
<file path=[Content_Types].xml><?xml version="1.0" encoding="utf-8"?>
<Types xmlns="http://schemas.openxmlformats.org/package/2006/content-types">
  <Default ContentType="image/jpeg" Extension="jpeg"/>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15.xml"/>
  <Override ContentType="application/vnd.openxmlformats-officedocument.wordprocessingml.footer+xml" PartName="/word/footer16.xml"/>
  <Override ContentType="application/vnd.openxmlformats-officedocument.wordprocessingml.footer+xml" PartName="/word/footer17.xml"/>
  <Override ContentType="application/vnd.openxmlformats-officedocument.wordprocessingml.footer+xml" PartName="/word/footer18.xml"/>
  <Override ContentType="application/vnd.openxmlformats-officedocument.wordprocessingml.footer+xml" PartName="/word/footer19.xml"/>
  <Override ContentType="application/vnd.openxmlformats-officedocument.wordprocessingml.footer+xml" PartName="/word/footer20.xml"/>
  <Override ContentType="application/vnd.openxmlformats-officedocument.wordprocessingml.footer+xml" PartName="/word/footer21.xml"/>
  <Override ContentType="application/vnd.openxmlformats-officedocument.wordprocessingml.footer+xml" PartName="/word/footer22.xml"/>
  <Override ContentType="application/vnd.openxmlformats-officedocument.wordprocessingml.footer+xml" PartName="/word/footer23.xml"/>
  <Override ContentType="application/vnd.openxmlformats-officedocument.wordprocessingml.footer+xml" PartName="/word/footer24.xml"/>
  <Override ContentType="application/vnd.openxmlformats-officedocument.wordprocessingml.footer+xml" PartName="/word/footer25.xml"/>
  <Override ContentType="application/vnd.openxmlformats-officedocument.wordprocessingml.footer+xml" PartName="/word/footer26.xml"/>
  <Override ContentType="application/vnd.openxmlformats-officedocument.wordprocessingml.footer+xml" PartName="/word/footer27.xml"/>
  <Override ContentType="application/vnd.openxmlformats-officedocument.wordprocessingml.footer+xml" PartName="/word/footer28.xml"/>
  <Override ContentType="application/vnd.openxmlformats-officedocument.wordprocessingml.footer+xml" PartName="/word/footer29.xml"/>
  <Override ContentType="application/vnd.openxmlformats-officedocument.wordprocessingml.footer+xml" PartName="/word/footer30.xml"/>
  <Override ContentType="application/vnd.openxmlformats-officedocument.wordprocessingml.footer+xml" PartName="/word/footer31.xml"/>
  <Override ContentType="application/vnd.openxmlformats-officedocument.wordprocessingml.footer+xml" PartName="/word/footer32.xml"/>
  <Override ContentType="application/vnd.openxmlformats-officedocument.wordprocessingml.footer+xml" PartName="/word/footer33.xml"/>
  <Override ContentType="application/vnd.openxmlformats-officedocument.wordprocessingml.footer+xml" PartName="/word/footer34.xml"/>
  <Override ContentType="application/vnd.openxmlformats-officedocument.wordprocessingml.footer+xml" PartName="/word/footer35.xml"/>
  <Override ContentType="application/vnd.openxmlformats-officedocument.wordprocessingml.footer+xml" PartName="/word/footer36.xml"/>
  <Override ContentType="application/vnd.openxmlformats-officedocument.wordprocessingml.footer+xml" PartName="/word/footer37.xml"/>
  <Override ContentType="application/vnd.openxmlformats-officedocument.wordprocessingml.footer+xml" PartName="/word/footer38.xml"/>
  <Override ContentType="application/vnd.openxmlformats-officedocument.wordprocessingml.footer+xml" PartName="/word/footer39.xml"/>
  <Override ContentType="application/vnd.openxmlformats-officedocument.wordprocessingml.footer+xml" PartName="/word/footer40.xml"/>
  <Override ContentType="application/vnd.openxmlformats-officedocument.wordprocessingml.footer+xml" PartName="/word/footer41.xml"/>
  <Override ContentType="application/vnd.openxmlformats-officedocument.wordprocessingml.footer+xml" PartName="/word/footer42.xml"/>
  <Override ContentType="application/vnd.openxmlformats-officedocument.wordprocessingml.footer+xml" PartName="/word/footer43.xml"/>
  <Override ContentType="application/vnd.openxmlformats-officedocument.wordprocessingml.footer+xml" PartName="/word/footer44.xml"/>
  <Override ContentType="application/vnd.openxmlformats-officedocument.wordprocessingml.footer+xml" PartName="/word/footer45.xml"/>
  <Override ContentType="application/vnd.openxmlformats-officedocument.wordprocessingml.footer+xml" PartName="/word/footer46.xml"/>
  <Override ContentType="application/vnd.openxmlformats-officedocument.wordprocessingml.footer+xml" PartName="/word/footer47.xml"/>
  <Override ContentType="application/vnd.openxmlformats-officedocument.wordprocessingml.footer+xml" PartName="/word/footer48.xml"/>
  <Override ContentType="application/vnd.openxmlformats-officedocument.wordprocessingml.footer+xml" PartName="/word/footer49.xml"/>
  <Override ContentType="application/vnd.openxmlformats-officedocument.wordprocessingml.footer+xml" PartName="/word/footer50.xml"/>
  <Override ContentType="application/vnd.openxmlformats-officedocument.wordprocessingml.footer+xml" PartName="/word/footer51.xml"/>
  <Override ContentType="application/vnd.openxmlformats-officedocument.wordprocessingml.footer+xml" PartName="/word/footer52.xml"/>
  <Override ContentType="application/vnd.openxmlformats-officedocument.wordprocessingml.footer+xml" PartName="/word/footer53.xml"/>
  <Override ContentType="application/vnd.openxmlformats-officedocument.wordprocessingml.footer+xml" PartName="/word/footer54.xml"/>
  <Override ContentType="application/vnd.openxmlformats-officedocument.wordprocessingml.footer+xml" PartName="/word/footer55.xml"/>
  <Override ContentType="application/vnd.openxmlformats-officedocument.wordprocessingml.footer+xml" PartName="/word/footer56.xml"/>
  <Override ContentType="application/vnd.openxmlformats-officedocument.wordprocessingml.footer+xml" PartName="/word/footer57.xml"/>
  <Override ContentType="application/vnd.openxmlformats-officedocument.wordprocessingml.footer+xml" PartName="/word/footer58.xml"/>
  <Override ContentType="application/vnd.openxmlformats-officedocument.wordprocessingml.footer+xml" PartName="/word/footer59.xml"/>
  <Override ContentType="application/vnd.openxmlformats-officedocument.wordprocessingml.footer+xml" PartName="/word/footer60.xml"/>
  <Override ContentType="application/vnd.openxmlformats-officedocument.wordprocessingml.footer+xml" PartName="/word/footer61.xml"/>
  <Override ContentType="application/vnd.openxmlformats-officedocument.wordprocessingml.footer+xml" PartName="/word/footer62.xml"/>
  <Override ContentType="application/vnd.openxmlformats-officedocument.wordprocessingml.footer+xml" PartName="/word/footer63.xml"/>
  <Override ContentType="application/vnd.openxmlformats-officedocument.wordprocessingml.footer+xml" PartName="/word/footer64.xml"/>
  <Override ContentType="application/vnd.openxmlformats-officedocument.wordprocessingml.footer+xml" PartName="/word/footer65.xml"/>
  <Override ContentType="application/vnd.openxmlformats-officedocument.wordprocessingml.footer+xml" PartName="/word/footer66.xml"/>
  <Override ContentType="application/vnd.openxmlformats-officedocument.wordprocessingml.footer+xml" PartName="/word/footer67.xml"/>
  <Override ContentType="application/vnd.openxmlformats-officedocument.wordprocessingml.footer+xml" PartName="/word/footer68.xml"/>
  <Override ContentType="application/vnd.openxmlformats-officedocument.wordprocessingml.footer+xml" PartName="/word/footer69.xml"/>
  <Override ContentType="application/vnd.openxmlformats-officedocument.wordprocessingml.footer+xml" PartName="/word/footer70.xml"/>
  <Override ContentType="application/vnd.openxmlformats-officedocument.wordprocessingml.footer+xml" PartName="/word/footer71.xml"/>
  <Override ContentType="application/vnd.openxmlformats-officedocument.wordprocessingml.footer+xml" PartName="/word/footer72.xml"/>
  <Override ContentType="application/vnd.openxmlformats-officedocument.wordprocessingml.footer+xml" PartName="/word/footer73.xml"/>
  <Override ContentType="application/vnd.openxmlformats-officedocument.wordprocessingml.footer+xml" PartName="/word/footer74.xml"/>
  <Override ContentType="application/vnd.openxmlformats-officedocument.wordprocessingml.footer+xml" PartName="/word/footer75.xml"/>
  <Override ContentType="application/vnd.openxmlformats-officedocument.wordprocessingml.footer+xml" PartName="/word/footer76.xml"/>
  <Override ContentType="application/vnd.openxmlformats-officedocument.wordprocessingml.footer+xml" PartName="/word/footer77.xml"/>
  <Override ContentType="application/vnd.openxmlformats-officedocument.wordprocessingml.footer+xml" PartName="/word/footer78.xml"/>
  <Override ContentType="application/vnd.openxmlformats-officedocument.wordprocessingml.footer+xml" PartName="/word/footer79.xml"/>
  <Override ContentType="application/vnd.openxmlformats-officedocument.wordprocessingml.footer+xml" PartName="/word/footer80.xml"/>
  <Override ContentType="application/vnd.openxmlformats-officedocument.wordprocessingml.footer+xml" PartName="/word/footer81.xml"/>
  <Override ContentType="application/vnd.openxmlformats-officedocument.wordprocessingml.footer+xml" PartName="/word/footer82.xml"/>
  <Override ContentType="application/vnd.openxmlformats-officedocument.wordprocessingml.footer+xml" PartName="/word/footer83.xml"/>
  <Override ContentType="application/vnd.openxmlformats-officedocument.wordprocessingml.footer+xml" PartName="/word/footer84.xml"/>
  <Override ContentType="application/vnd.openxmlformats-officedocument.wordprocessingml.footer+xml" PartName="/word/footer85.xml"/>
  <Override ContentType="application/vnd.openxmlformats-officedocument.wordprocessingml.footer+xml" PartName="/word/footer86.xml"/>
  <Override ContentType="application/vnd.openxmlformats-officedocument.wordprocessingml.footer+xml" PartName="/word/footer87.xml"/>
  <Override ContentType="application/vnd.openxmlformats-officedocument.wordprocessingml.footer+xml" PartName="/word/footer88.xml"/>
  <Override ContentType="application/vnd.openxmlformats-officedocument.wordprocessingml.footer+xml" PartName="/word/footer89.xml"/>
  <Override ContentType="application/vnd.openxmlformats-officedocument.wordprocessingml.footer+xml" PartName="/word/footer90.xml"/>
  <Override ContentType="application/vnd.openxmlformats-officedocument.wordprocessingml.footer+xml" PartName="/word/footer91.xml"/>
  <Override ContentType="application/vnd.openxmlformats-officedocument.wordprocessingml.footer+xml" PartName="/word/footer92.xml"/>
  <Override ContentType="application/vnd.openxmlformats-officedocument.wordprocessingml.footer+xml" PartName="/word/footer93.xml"/>
  <Override ContentType="application/vnd.openxmlformats-officedocument.wordprocessingml.footer+xml" PartName="/word/footer94.xml"/>
  <Override ContentType="application/vnd.openxmlformats-officedocument.wordprocessingml.footer+xml" PartName="/word/footer95.xml"/>
  <Override ContentType="application/vnd.openxmlformats-officedocument.wordprocessingml.footer+xml" PartName="/word/footer96.xml"/>
  <Override ContentType="application/vnd.openxmlformats-officedocument.wordprocessingml.footer+xml" PartName="/word/footer97.xml"/>
  <Override ContentType="application/vnd.openxmlformats-officedocument.wordprocessingml.footer+xml" PartName="/word/footer98.xml"/>
  <Override ContentType="application/vnd.openxmlformats-officedocument.wordprocessingml.footer+xml" PartName="/word/footer99.xml"/>
  <Override ContentType="application/vnd.openxmlformats-officedocument.wordprocessingml.footer+xml" PartName="/word/footer100.xml"/>
  <Override ContentType="application/vnd.openxmlformats-officedocument.wordprocessingml.footer+xml" PartName="/word/footer101.xml"/>
  <Override ContentType="application/vnd.openxmlformats-officedocument.wordprocessingml.footer+xml" PartName="/word/footer102.xml"/>
  <Override ContentType="application/vnd.openxmlformats-officedocument.wordprocessingml.footer+xml" PartName="/word/footer103.xml"/>
  <Override ContentType="application/vnd.openxmlformats-officedocument.wordprocessingml.footer+xml" PartName="/word/footer104.xml"/>
  <Override ContentType="application/vnd.openxmlformats-officedocument.wordprocessingml.footer+xml" PartName="/word/footer105.xml"/>
  <Override ContentType="application/vnd.openxmlformats-officedocument.wordprocessingml.footer+xml" PartName="/word/footer106.xml"/>
  <Override ContentType="application/vnd.openxmlformats-officedocument.wordprocessingml.footer+xml" PartName="/word/footer107.xml"/>
  <Override ContentType="application/vnd.openxmlformats-officedocument.wordprocessingml.footer+xml" PartName="/word/footer108.xml"/>
  <Override ContentType="application/vnd.openxmlformats-officedocument.wordprocessingml.footer+xml" PartName="/word/footer109.xml"/>
  <Override ContentType="application/vnd.openxmlformats-officedocument.wordprocessingml.footer+xml" PartName="/word/footer110.xml"/>
  <Override ContentType="application/vnd.openxmlformats-officedocument.wordprocessingml.footer+xml" PartName="/word/footer111.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header+xml" PartName="/word/header7.xml"/>
  <Override ContentType="application/vnd.openxmlformats-officedocument.wordprocessingml.header+xml" PartName="/word/header8.xml"/>
  <Override ContentType="application/vnd.openxmlformats-officedocument.wordprocessingml.header+xml" PartName="/word/header9.xml"/>
  <Override ContentType="application/vnd.openxmlformats-officedocument.wordprocessingml.header+xml" PartName="/word/header10.xml"/>
  <Override ContentType="application/vnd.openxmlformats-officedocument.wordprocessingml.header+xml" PartName="/word/header11.xml"/>
  <Override ContentType="application/vnd.openxmlformats-officedocument.wordprocessingml.header+xml" PartName="/word/header12.xml"/>
  <Override ContentType="application/vnd.openxmlformats-officedocument.wordprocessingml.header+xml" PartName="/word/header13.xml"/>
  <Override ContentType="application/vnd.openxmlformats-officedocument.wordprocessingml.header+xml" PartName="/word/header14.xml"/>
  <Override ContentType="application/vnd.openxmlformats-officedocument.wordprocessingml.header+xml" PartName="/word/header15.xml"/>
  <Override ContentType="application/vnd.openxmlformats-officedocument.wordprocessingml.header+xml" PartName="/word/header16.xml"/>
  <Override ContentType="application/vnd.openxmlformats-officedocument.wordprocessingml.header+xml" PartName="/word/header17.xml"/>
  <Override ContentType="application/vnd.openxmlformats-officedocument.wordprocessingml.header+xml" PartName="/word/header18.xml"/>
  <Override ContentType="application/vnd.openxmlformats-officedocument.wordprocessingml.header+xml" PartName="/word/header19.xml"/>
  <Override ContentType="application/vnd.openxmlformats-officedocument.wordprocessingml.header+xml" PartName="/word/header20.xml"/>
  <Override ContentType="application/vnd.openxmlformats-officedocument.wordprocessingml.header+xml" PartName="/word/header21.xml"/>
  <Override ContentType="application/vnd.openxmlformats-officedocument.wordprocessingml.header+xml" PartName="/word/header22.xml"/>
  <Override ContentType="application/vnd.openxmlformats-officedocument.wordprocessingml.header+xml" PartName="/word/header23.xml"/>
  <Override ContentType="application/vnd.openxmlformats-officedocument.wordprocessingml.header+xml" PartName="/word/header24.xml"/>
  <Override ContentType="application/vnd.openxmlformats-officedocument.wordprocessingml.header+xml" PartName="/word/header25.xml"/>
  <Override ContentType="application/vnd.openxmlformats-officedocument.wordprocessingml.header+xml" PartName="/word/header26.xml"/>
  <Override ContentType="application/vnd.openxmlformats-officedocument.wordprocessingml.header+xml" PartName="/word/header27.xml"/>
  <Override ContentType="application/vnd.openxmlformats-officedocument.wordprocessingml.header+xml" PartName="/word/header28.xml"/>
  <Override ContentType="application/vnd.openxmlformats-officedocument.wordprocessingml.header+xml" PartName="/word/header29.xml"/>
  <Override ContentType="application/vnd.openxmlformats-officedocument.wordprocessingml.header+xml" PartName="/word/header30.xml"/>
  <Override ContentType="application/vnd.openxmlformats-officedocument.wordprocessingml.header+xml" PartName="/word/header31.xml"/>
  <Override ContentType="application/vnd.openxmlformats-officedocument.wordprocessingml.header+xml" PartName="/word/header32.xml"/>
  <Override ContentType="application/vnd.openxmlformats-officedocument.wordprocessingml.header+xml" PartName="/word/header33.xml"/>
  <Override ContentType="application/vnd.openxmlformats-officedocument.wordprocessingml.header+xml" PartName="/word/header34.xml"/>
  <Override ContentType="application/vnd.openxmlformats-officedocument.wordprocessingml.header+xml" PartName="/word/header35.xml"/>
  <Override ContentType="application/vnd.openxmlformats-officedocument.wordprocessingml.header+xml" PartName="/word/header36.xml"/>
  <Override ContentType="application/vnd.openxmlformats-officedocument.wordprocessingml.header+xml" PartName="/word/header37.xml"/>
  <Override ContentType="application/vnd.openxmlformats-officedocument.wordprocessingml.header+xml" PartName="/word/header38.xml"/>
  <Override ContentType="application/vnd.openxmlformats-officedocument.wordprocessingml.header+xml" PartName="/word/header39.xml"/>
  <Override ContentType="application/vnd.openxmlformats-officedocument.wordprocessingml.header+xml" PartName="/word/header40.xml"/>
  <Override ContentType="application/vnd.openxmlformats-officedocument.wordprocessingml.header+xml" PartName="/word/header41.xml"/>
  <Override ContentType="application/vnd.openxmlformats-officedocument.wordprocessingml.header+xml" PartName="/word/header42.xml"/>
  <Override ContentType="application/vnd.openxmlformats-officedocument.wordprocessingml.header+xml" PartName="/word/header43.xml"/>
  <Override ContentType="application/vnd.openxmlformats-officedocument.wordprocessingml.header+xml" PartName="/word/header44.xml"/>
  <Override ContentType="application/vnd.openxmlformats-officedocument.wordprocessingml.header+xml" PartName="/word/header45.xml"/>
  <Override ContentType="application/vnd.openxmlformats-officedocument.wordprocessingml.header+xml" PartName="/word/header46.xml"/>
  <Override ContentType="application/vnd.openxmlformats-officedocument.wordprocessingml.header+xml" PartName="/word/header47.xml"/>
  <Override ContentType="application/vnd.openxmlformats-officedocument.wordprocessingml.header+xml" PartName="/word/header48.xml"/>
  <Override ContentType="application/vnd.openxmlformats-officedocument.wordprocessingml.header+xml" PartName="/word/header49.xml"/>
  <Override ContentType="application/vnd.openxmlformats-officedocument.wordprocessingml.header+xml" PartName="/word/header50.xml"/>
  <Override ContentType="application/vnd.openxmlformats-officedocument.wordprocessingml.header+xml" PartName="/word/header51.xml"/>
  <Override ContentType="application/vnd.openxmlformats-officedocument.wordprocessingml.header+xml" PartName="/word/header52.xml"/>
  <Override ContentType="application/vnd.openxmlformats-officedocument.wordprocessingml.header+xml" PartName="/word/header53.xml"/>
  <Override ContentType="application/vnd.openxmlformats-officedocument.wordprocessingml.header+xml" PartName="/word/header54.xml"/>
  <Override ContentType="application/vnd.openxmlformats-officedocument.wordprocessingml.header+xml" PartName="/word/header55.xml"/>
  <Override ContentType="application/vnd.openxmlformats-officedocument.wordprocessingml.header+xml" PartName="/word/header56.xml"/>
  <Override ContentType="application/vnd.openxmlformats-officedocument.wordprocessingml.header+xml" PartName="/word/header57.xml"/>
  <Override ContentType="application/vnd.openxmlformats-officedocument.wordprocessingml.header+xml" PartName="/word/header58.xml"/>
  <Override ContentType="application/vnd.openxmlformats-officedocument.wordprocessingml.header+xml" PartName="/word/header59.xml"/>
  <Override ContentType="application/vnd.openxmlformats-officedocument.wordprocessingml.header+xml" PartName="/word/header60.xml"/>
  <Override ContentType="application/vnd.openxmlformats-officedocument.wordprocessingml.header+xml" PartName="/word/header61.xml"/>
  <Override ContentType="application/vnd.openxmlformats-officedocument.wordprocessingml.header+xml" PartName="/word/header62.xml"/>
  <Override ContentType="application/vnd.openxmlformats-officedocument.wordprocessingml.header+xml" PartName="/word/header63.xml"/>
  <Override ContentType="application/vnd.openxmlformats-officedocument.wordprocessingml.header+xml" PartName="/word/header64.xml"/>
  <Override ContentType="application/vnd.openxmlformats-officedocument.wordprocessingml.header+xml" PartName="/word/header65.xml"/>
  <Override ContentType="application/vnd.openxmlformats-officedocument.wordprocessingml.header+xml" PartName="/word/header66.xml"/>
  <Override ContentType="application/vnd.openxmlformats-officedocument.wordprocessingml.header+xml" PartName="/word/header67.xml"/>
  <Override ContentType="application/vnd.openxmlformats-officedocument.wordprocessingml.header+xml" PartName="/word/header68.xml"/>
  <Override ContentType="application/vnd.openxmlformats-officedocument.wordprocessingml.header+xml" PartName="/word/header69.xml"/>
  <Override ContentType="application/vnd.openxmlformats-officedocument.wordprocessingml.header+xml" PartName="/word/header70.xml"/>
  <Override ContentType="application/vnd.openxmlformats-officedocument.wordprocessingml.header+xml" PartName="/word/header71.xml"/>
  <Override ContentType="application/vnd.openxmlformats-officedocument.wordprocessingml.header+xml" PartName="/word/header72.xml"/>
  <Override ContentType="application/vnd.openxmlformats-officedocument.wordprocessingml.header+xml" PartName="/word/header73.xml"/>
  <Override ContentType="application/vnd.openxmlformats-officedocument.wordprocessingml.header+xml" PartName="/word/header74.xml"/>
  <Override ContentType="application/vnd.openxmlformats-officedocument.wordprocessingml.header+xml" PartName="/word/header75.xml"/>
  <Override ContentType="application/vnd.openxmlformats-officedocument.wordprocessingml.header+xml" PartName="/word/header76.xml"/>
  <Override ContentType="application/vnd.openxmlformats-officedocument.wordprocessingml.header+xml" PartName="/word/header77.xml"/>
  <Override ContentType="application/vnd.openxmlformats-officedocument.wordprocessingml.header+xml" PartName="/word/header78.xml"/>
  <Override ContentType="application/vnd.openxmlformats-officedocument.wordprocessingml.header+xml" PartName="/word/header79.xml"/>
  <Override ContentType="application/vnd.openxmlformats-officedocument.wordprocessingml.header+xml" PartName="/word/header80.xml"/>
  <Override ContentType="application/vnd.openxmlformats-officedocument.wordprocessingml.header+xml" PartName="/word/header81.xml"/>
  <Override ContentType="application/vnd.openxmlformats-officedocument.wordprocessingml.header+xml" PartName="/word/header82.xml"/>
  <Override ContentType="application/vnd.openxmlformats-officedocument.wordprocessingml.header+xml" PartName="/word/header83.xml"/>
  <Override ContentType="application/vnd.openxmlformats-officedocument.wordprocessingml.header+xml" PartName="/word/header84.xml"/>
  <Override ContentType="application/vnd.openxmlformats-officedocument.wordprocessingml.header+xml" PartName="/word/header85.xml"/>
  <Override ContentType="application/vnd.openxmlformats-officedocument.wordprocessingml.header+xml" PartName="/word/header86.xml"/>
  <Override ContentType="application/vnd.openxmlformats-officedocument.wordprocessingml.header+xml" PartName="/word/header87.xml"/>
  <Override ContentType="application/vnd.openxmlformats-officedocument.wordprocessingml.header+xml" PartName="/word/header88.xml"/>
  <Override ContentType="application/vnd.openxmlformats-officedocument.wordprocessingml.header+xml" PartName="/word/header89.xml"/>
  <Override ContentType="application/vnd.openxmlformats-officedocument.wordprocessingml.header+xml" PartName="/word/header90.xml"/>
  <Override ContentType="application/vnd.openxmlformats-officedocument.wordprocessingml.header+xml" PartName="/word/header91.xml"/>
  <Override ContentType="application/vnd.openxmlformats-officedocument.wordprocessingml.header+xml" PartName="/word/header92.xml"/>
  <Override ContentType="application/vnd.openxmlformats-officedocument.wordprocessingml.header+xml" PartName="/word/header93.xml"/>
  <Override ContentType="application/vnd.openxmlformats-officedocument.wordprocessingml.header+xml" PartName="/word/header94.xml"/>
  <Override ContentType="application/vnd.openxmlformats-officedocument.wordprocessingml.header+xml" PartName="/word/header95.xml"/>
  <Override ContentType="application/vnd.openxmlformats-officedocument.wordprocessingml.header+xml" PartName="/word/header96.xml"/>
  <Override ContentType="application/vnd.openxmlformats-officedocument.wordprocessingml.header+xml" PartName="/word/header97.xml"/>
  <Override ContentType="application/vnd.openxmlformats-officedocument.wordprocessingml.header+xml" PartName="/word/header98.xml"/>
  <Override ContentType="application/vnd.openxmlformats-officedocument.wordprocessingml.header+xml" PartName="/word/header99.xml"/>
  <Override ContentType="application/vnd.openxmlformats-officedocument.wordprocessingml.header+xml" PartName="/word/header100.xml"/>
  <Override ContentType="application/vnd.openxmlformats-officedocument.wordprocessingml.header+xml" PartName="/word/header101.xml"/>
  <Override ContentType="application/vnd.openxmlformats-officedocument.wordprocessingml.header+xml" PartName="/word/header102.xml"/>
  <Override ContentType="application/vnd.openxmlformats-officedocument.wordprocessingml.header+xml" PartName="/word/header103.xml"/>
  <Override ContentType="application/vnd.openxmlformats-officedocument.wordprocessingml.header+xml" PartName="/word/header104.xml"/>
  <Override ContentType="application/vnd.openxmlformats-officedocument.wordprocessingml.header+xml" PartName="/word/header105.xml"/>
  <Override ContentType="application/vnd.openxmlformats-officedocument.wordprocessingml.header+xml" PartName="/word/header106.xml"/>
  <Override ContentType="application/vnd.openxmlformats-officedocument.wordprocessingml.header+xml" PartName="/word/header107.xml"/>
  <Override ContentType="application/vnd.openxmlformats-officedocument.wordprocessingml.header+xml" PartName="/word/header108.xml"/>
  <Override ContentType="application/vnd.openxmlformats-officedocument.wordprocessingml.header+xml" PartName="/word/header109.xml"/>
  <Override ContentType="application/vnd.openxmlformats-officedocument.wordprocessingml.header+xml" PartName="/word/header110.xml"/>
  <Override ContentType="application/vnd.openxmlformats-officedocument.wordprocessingml.header+xml" PartName="/word/header111.xml"/>
  <Override ContentType="application/vnd.openxmlformats-officedocument.wordprocessingml.header+xml" PartName="/word/header112.xml"/>
  <Override ContentType="application/vnd.openxmlformats-officedocument.wordprocessingml.header+xml" PartName="/word/header113.xml"/>
  <Override ContentType="application/vnd.openxmlformats-officedocument.wordprocessingml.header+xml" PartName="/word/header114.xml"/>
  <Override ContentType="application/vnd.openxmlformats-officedocument.wordprocessingml.header+xml" PartName="/word/header115.xml"/>
  <Override ContentType="application/vnd.openxmlformats-officedocument.wordprocessingml.header+xml" PartName="/word/header116.xml"/>
  <Override ContentType="application/vnd.openxmlformats-officedocument.wordprocessingml.header+xml" PartName="/word/header117.xml"/>
  <Override ContentType="application/vnd.openxmlformats-officedocument.wordprocessingml.header+xml" PartName="/word/header118.xml"/>
  <Override ContentType="application/vnd.openxmlformats-officedocument.wordprocessingml.header+xml" PartName="/word/header119.xml"/>
  <Override ContentType="application/vnd.openxmlformats-officedocument.wordprocessingml.header+xml" PartName="/word/header120.xml"/>
  <Override ContentType="application/vnd.openxmlformats-officedocument.wordprocessingml.header+xml" PartName="/word/header121.xml"/>
  <Override ContentType="application/vnd.openxmlformats-officedocument.wordprocessingml.header+xml" PartName="/word/header122.xml"/>
  <Override ContentType="application/vnd.openxmlformats-officedocument.wordprocessingml.header+xml" PartName="/word/header123.xml"/>
  <Override ContentType="application/vnd.openxmlformats-officedocument.wordprocessingml.header+xml" PartName="/word/header124.xml"/>
  <Override ContentType="application/vnd.openxmlformats-officedocument.wordprocessingml.header+xml" PartName="/word/header125.xml"/>
  <Override ContentType="application/vnd.openxmlformats-officedocument.wordprocessingml.header+xml" PartName="/word/header126.xml"/>
  <Override ContentType="application/vnd.openxmlformats-officedocument.wordprocessingml.header+xml" PartName="/word/header127.xml"/>
  <Override ContentType="application/vnd.openxmlformats-officedocument.wordprocessingml.header+xml" PartName="/word/header128.xml"/>
  <Override ContentType="application/vnd.openxmlformats-officedocument.wordprocessingml.header+xml" PartName="/word/header129.xml"/>
  <Override ContentType="application/vnd.openxmlformats-officedocument.wordprocessingml.header+xml" PartName="/word/header130.xml"/>
  <Override ContentType="application/vnd.openxmlformats-officedocument.wordprocessingml.header+xml" PartName="/word/header131.xml"/>
  <Override ContentType="application/vnd.openxmlformats-officedocument.wordprocessingml.header+xml" PartName="/word/header132.xml"/>
  <Override ContentType="application/vnd.openxmlformats-officedocument.wordprocessingml.header+xml" PartName="/word/header133.xml"/>
  <Override ContentType="application/vnd.openxmlformats-officedocument.wordprocessingml.header+xml" PartName="/word/header134.xml"/>
  <Override ContentType="application/vnd.openxmlformats-officedocument.wordprocessingml.header+xml" PartName="/word/header135.xml"/>
  <Override ContentType="application/vnd.openxmlformats-officedocument.wordprocessingml.header+xml" PartName="/word/header136.xml"/>
  <Override ContentType="application/vnd.openxmlformats-officedocument.wordprocessingml.header+xml" PartName="/word/header137.xml"/>
  <Override ContentType="application/vnd.openxmlformats-officedocument.wordprocessingml.header+xml" PartName="/word/header138.xml"/>
  <Override ContentType="application/vnd.openxmlformats-officedocument.wordprocessingml.header+xml" PartName="/word/header139.xml"/>
  <Override ContentType="application/vnd.openxmlformats-officedocument.wordprocessingml.header+xml" PartName="/word/header140.xml"/>
  <Override ContentType="application/vnd.openxmlformats-officedocument.wordprocessingml.header+xml" PartName="/word/header141.xml"/>
  <Override ContentType="application/vnd.openxmlformats-officedocument.wordprocessingml.header+xml" PartName="/word/header142.xml"/>
  <Override ContentType="application/vnd.openxmlformats-officedocument.wordprocessingml.header+xml" PartName="/word/header143.xml"/>
  <Override ContentType="application/vnd.openxmlformats-officedocument.wordprocessingml.header+xml" PartName="/word/header144.xml"/>
  <Override ContentType="application/vnd.openxmlformats-officedocument.wordprocessingml.header+xml" PartName="/word/header145.xml"/>
  <Override ContentType="application/vnd.openxmlformats-officedocument.wordprocessingml.header+xml" PartName="/word/header146.xml"/>
  <Override ContentType="application/vnd.openxmlformats-officedocument.wordprocessingml.header+xml" PartName="/word/header147.xml"/>
  <Override ContentType="application/vnd.openxmlformats-officedocument.wordprocessingml.header+xml" PartName="/word/header148.xml"/>
  <Override ContentType="application/vnd.openxmlformats-officedocument.wordprocessingml.header+xml" PartName="/word/header149.xml"/>
  <Override ContentType="application/vnd.openxmlformats-officedocument.wordprocessingml.header+xml" PartName="/word/header150.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word/document.xml" Type="http://schemas.openxmlformats.org/officeDocument/2006/relationships/officeDocument"/><Relationship Id="rId4" Target="docProps/custom.xml" Type="http://schemas.openxmlformats.org/officeDocument/2006/relationships/custom-properties"/></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rPr>
          <w:rFonts w:ascii="Times New Roman"/>
          <w:sz w:val="30"/>
        </w:rPr>
      </w:pPr>
    </w:p>
    <w:p>
      <w:pPr>
        <w:pStyle w:val="BodyText"/>
        <w:spacing w:before="76"/>
        <w:rPr>
          <w:rFonts w:ascii="Times New Roman"/>
          <w:sz w:val="30"/>
        </w:rPr>
      </w:pPr>
    </w:p>
    <w:p>
      <w:pPr>
        <w:spacing w:before="0"/>
        <w:ind w:left="1477" w:right="1477" w:firstLine="0"/>
        <w:jc w:val="center"/>
        <w:rPr>
          <w:b/>
          <w:sz w:val="30"/>
        </w:rPr>
      </w:pPr>
      <w:r>
        <w:rPr>
          <w:b/>
          <w:sz w:val="30"/>
        </w:rPr>
        <w:drawing>
          <wp:anchor distT="0" distB="0" distL="0" distR="0" allowOverlap="1" layoutInCell="1" locked="0" behindDoc="1" simplePos="0" relativeHeight="474266624">
            <wp:simplePos x="0" y="0"/>
            <wp:positionH relativeFrom="page">
              <wp:posOffset>720090</wp:posOffset>
            </wp:positionH>
            <wp:positionV relativeFrom="paragraph">
              <wp:posOffset>-3179097</wp:posOffset>
            </wp:positionV>
            <wp:extent cx="6138545" cy="7663610"/>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6138545" cy="7663610"/>
                    </a:xfrm>
                    <a:prstGeom prst="rect">
                      <a:avLst/>
                    </a:prstGeom>
                  </pic:spPr>
                </pic:pic>
              </a:graphicData>
            </a:graphic>
          </wp:anchor>
        </w:drawing>
      </w:r>
      <w:bookmarkStart w:name="1668_2025F6D04 Informe" w:id="1"/>
      <w:bookmarkEnd w:id="1"/>
      <w:r>
        <w:rPr/>
      </w:r>
      <w:r>
        <w:rPr>
          <w:b/>
          <w:sz w:val="30"/>
        </w:rPr>
        <w:t>N.º</w:t>
      </w:r>
      <w:r>
        <w:rPr>
          <w:b/>
          <w:spacing w:val="-4"/>
          <w:sz w:val="30"/>
        </w:rPr>
        <w:t> </w:t>
      </w:r>
      <w:r>
        <w:rPr>
          <w:b/>
          <w:spacing w:val="-2"/>
          <w:sz w:val="30"/>
        </w:rPr>
        <w:t>1.668</w:t>
      </w:r>
    </w:p>
    <w:p>
      <w:pPr>
        <w:pStyle w:val="BodyText"/>
        <w:spacing w:before="133"/>
        <w:rPr>
          <w:b/>
          <w:sz w:val="30"/>
        </w:rPr>
      </w:pPr>
    </w:p>
    <w:p>
      <w:pPr>
        <w:pStyle w:val="Heading2"/>
        <w:spacing w:line="259" w:lineRule="auto"/>
        <w:ind w:left="1100" w:right="1381"/>
        <w:jc w:val="both"/>
      </w:pPr>
      <w:r>
        <w:rPr/>
        <w:t>INFORME DE FISCALIZACIÓN SOBRE LAS MEDIDAS ADOPTADAS POR LAS ENTIDADES LOCALES PARA LOGRAR UNA MOVILIDAD SOSTENIBLE EN EL TRANSPORTE PÚBLICO COLECTIVO, EJERCICIOS 2023 Y 2024</w:t>
      </w:r>
    </w:p>
    <w:p>
      <w:pPr>
        <w:pStyle w:val="Heading2"/>
        <w:spacing w:after="0" w:line="259" w:lineRule="auto"/>
        <w:jc w:val="both"/>
        <w:sectPr>
          <w:headerReference w:type="default" r:id="rId5"/>
          <w:type w:val="continuous"/>
          <w:pgSz w:w="11910" w:h="16840"/>
          <w:pgMar w:header="856" w:footer="0" w:top="1680" w:bottom="280" w:left="141" w:right="141"/>
          <w:pgNumType w:start="3"/>
        </w:sectPr>
      </w:pPr>
    </w:p>
    <w:p>
      <w:pPr>
        <w:pStyle w:val="BodyText"/>
        <w:spacing w:before="4"/>
        <w:rPr>
          <w:b/>
          <w:sz w:val="17"/>
        </w:rPr>
      </w:pPr>
    </w:p>
    <w:p>
      <w:pPr>
        <w:pStyle w:val="BodyText"/>
        <w:spacing w:after="0"/>
        <w:rPr>
          <w:b/>
          <w:sz w:val="17"/>
        </w:rPr>
        <w:sectPr>
          <w:headerReference w:type="even" r:id="rId7"/>
          <w:pgSz w:w="11910" w:h="16840"/>
          <w:pgMar w:header="0" w:footer="0" w:top="1920" w:bottom="280" w:left="141" w:right="140"/>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52"/>
        <w:rPr>
          <w:b/>
        </w:rPr>
      </w:pPr>
    </w:p>
    <w:p>
      <w:pPr>
        <w:pStyle w:val="BodyText"/>
        <w:ind w:left="992" w:right="986"/>
        <w:jc w:val="both"/>
      </w:pPr>
      <w:r>
        <w:rPr/>
        <w:drawing>
          <wp:anchor distT="0" distB="0" distL="0" distR="0" allowOverlap="1" layoutInCell="1" locked="0" behindDoc="1" simplePos="0" relativeHeight="474267648">
            <wp:simplePos x="0" y="0"/>
            <wp:positionH relativeFrom="page">
              <wp:posOffset>718819</wp:posOffset>
            </wp:positionH>
            <wp:positionV relativeFrom="paragraph">
              <wp:posOffset>-2987375</wp:posOffset>
            </wp:positionV>
            <wp:extent cx="6138545" cy="7663610"/>
            <wp:effectExtent l="0" t="0" r="0" b="0"/>
            <wp:wrapNone/>
            <wp:docPr id="4" name="Image 4" descr="Forma  El contenido generado por IA puede ser incorrecto."/>
            <wp:cNvGraphicFramePr>
              <a:graphicFrameLocks/>
            </wp:cNvGraphicFramePr>
            <a:graphic>
              <a:graphicData uri="http://schemas.openxmlformats.org/drawingml/2006/picture">
                <pic:pic>
                  <pic:nvPicPr>
                    <pic:cNvPr id="4" name="Image 4" descr="Forma  El contenido generado por IA puede ser incorrecto."/>
                    <pic:cNvPicPr/>
                  </pic:nvPicPr>
                  <pic:blipFill>
                    <a:blip r:embed="rId9" cstate="print"/>
                    <a:stretch>
                      <a:fillRect/>
                    </a:stretch>
                  </pic:blipFill>
                  <pic:spPr>
                    <a:xfrm>
                      <a:off x="0" y="0"/>
                      <a:ext cx="6138545" cy="7663610"/>
                    </a:xfrm>
                    <a:prstGeom prst="rect">
                      <a:avLst/>
                    </a:prstGeom>
                  </pic:spPr>
                </pic:pic>
              </a:graphicData>
            </a:graphic>
          </wp:anchor>
        </w:drawing>
      </w:r>
      <w:r>
        <w:rPr/>
        <w:t>El Pleno del Tribunal de Cuentas, en el ejercicio de su función fiscalizadora establecida en los artículos 2.a), 9 y 21.3.a) de la Ley Orgánica 2/1982, de 12 de mayo, del Tribunal de Cuentas, y</w:t>
      </w:r>
      <w:r>
        <w:rPr>
          <w:spacing w:val="-1"/>
        </w:rPr>
        <w:t> </w:t>
      </w:r>
      <w:r>
        <w:rPr/>
        <w:t>a tenor</w:t>
      </w:r>
      <w:r>
        <w:rPr>
          <w:spacing w:val="-16"/>
        </w:rPr>
        <w:t> </w:t>
      </w:r>
      <w:r>
        <w:rPr/>
        <w:t>de</w:t>
      </w:r>
      <w:r>
        <w:rPr>
          <w:spacing w:val="-15"/>
        </w:rPr>
        <w:t> </w:t>
      </w:r>
      <w:r>
        <w:rPr/>
        <w:t>lo</w:t>
      </w:r>
      <w:r>
        <w:rPr>
          <w:spacing w:val="-15"/>
        </w:rPr>
        <w:t> </w:t>
      </w:r>
      <w:r>
        <w:rPr/>
        <w:t>previsto</w:t>
      </w:r>
      <w:r>
        <w:rPr>
          <w:spacing w:val="-16"/>
        </w:rPr>
        <w:t> </w:t>
      </w:r>
      <w:r>
        <w:rPr/>
        <w:t>en</w:t>
      </w:r>
      <w:r>
        <w:rPr>
          <w:spacing w:val="-15"/>
        </w:rPr>
        <w:t> </w:t>
      </w:r>
      <w:r>
        <w:rPr/>
        <w:t>los</w:t>
      </w:r>
      <w:r>
        <w:rPr>
          <w:spacing w:val="-15"/>
        </w:rPr>
        <w:t> </w:t>
      </w:r>
      <w:r>
        <w:rPr/>
        <w:t>artículos</w:t>
      </w:r>
      <w:r>
        <w:rPr>
          <w:spacing w:val="-15"/>
        </w:rPr>
        <w:t> </w:t>
      </w:r>
      <w:r>
        <w:rPr/>
        <w:t>12</w:t>
      </w:r>
      <w:r>
        <w:rPr>
          <w:spacing w:val="-16"/>
        </w:rPr>
        <w:t> </w:t>
      </w:r>
      <w:r>
        <w:rPr/>
        <w:t>y</w:t>
      </w:r>
      <w:r>
        <w:rPr>
          <w:spacing w:val="-15"/>
        </w:rPr>
        <w:t> </w:t>
      </w:r>
      <w:r>
        <w:rPr/>
        <w:t>14</w:t>
      </w:r>
      <w:r>
        <w:rPr>
          <w:spacing w:val="-15"/>
        </w:rPr>
        <w:t> </w:t>
      </w:r>
      <w:r>
        <w:rPr/>
        <w:t>de</w:t>
      </w:r>
      <w:r>
        <w:rPr>
          <w:spacing w:val="-16"/>
        </w:rPr>
        <w:t> </w:t>
      </w:r>
      <w:r>
        <w:rPr/>
        <w:t>la</w:t>
      </w:r>
      <w:r>
        <w:rPr>
          <w:spacing w:val="-15"/>
        </w:rPr>
        <w:t> </w:t>
      </w:r>
      <w:r>
        <w:rPr/>
        <w:t>misma</w:t>
      </w:r>
      <w:r>
        <w:rPr>
          <w:spacing w:val="-15"/>
        </w:rPr>
        <w:t> </w:t>
      </w:r>
      <w:r>
        <w:rPr/>
        <w:t>disposición</w:t>
      </w:r>
      <w:r>
        <w:rPr>
          <w:spacing w:val="-15"/>
        </w:rPr>
        <w:t> </w:t>
      </w:r>
      <w:r>
        <w:rPr/>
        <w:t>y</w:t>
      </w:r>
      <w:r>
        <w:rPr>
          <w:spacing w:val="-15"/>
        </w:rPr>
        <w:t> </w:t>
      </w:r>
      <w:r>
        <w:rPr/>
        <w:t>concordantes</w:t>
      </w:r>
      <w:r>
        <w:rPr>
          <w:spacing w:val="-14"/>
        </w:rPr>
        <w:t> </w:t>
      </w:r>
      <w:r>
        <w:rPr/>
        <w:t>de</w:t>
      </w:r>
      <w:r>
        <w:rPr>
          <w:spacing w:val="-15"/>
        </w:rPr>
        <w:t> </w:t>
      </w:r>
      <w:r>
        <w:rPr/>
        <w:t>la</w:t>
      </w:r>
      <w:r>
        <w:rPr>
          <w:spacing w:val="-12"/>
        </w:rPr>
        <w:t> </w:t>
      </w:r>
      <w:r>
        <w:rPr/>
        <w:t>Ley</w:t>
      </w:r>
      <w:r>
        <w:rPr>
          <w:spacing w:val="-15"/>
        </w:rPr>
        <w:t> </w:t>
      </w:r>
      <w:r>
        <w:rPr/>
        <w:t>7/1988, de 5 de abril, de Funcionamiento del Tribunal de Cuentas, ha aprobado, en su sesión de 18 de diciembre de 2025, el Informe de Fiscalización sobre las medidas adoptadas por las entidades locales para lograr una movilidad sostenible en el transporte público colectivo, ejercicios 2023 y 2024, y ha acordado su elevación a las Cortes Generales, así como a los Plenos de las entidades locales fiscalizadas, según lo prevenido en el artículo 28 de la Ley de Funcionamiento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8"/>
        <w:rPr>
          <w:sz w:val="20"/>
        </w:rPr>
      </w:pPr>
      <w:r>
        <w:rPr>
          <w:sz w:val="20"/>
        </w:rPr>
        <mc:AlternateContent>
          <mc:Choice Requires="wps">
            <w:drawing>
              <wp:anchor distT="0" distB="0" distL="0" distR="0" allowOverlap="1" layoutInCell="1" locked="0" behindDoc="1" simplePos="0" relativeHeight="487588352">
                <wp:simplePos x="0" y="0"/>
                <wp:positionH relativeFrom="page">
                  <wp:posOffset>701344</wp:posOffset>
                </wp:positionH>
                <wp:positionV relativeFrom="paragraph">
                  <wp:posOffset>179057</wp:posOffset>
                </wp:positionV>
                <wp:extent cx="6158230" cy="6350"/>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14.099024pt;width:484.9pt;height:.47998pt;mso-position-horizontal-relative:page;mso-position-vertical-relative:paragraph;z-index:-15728128;mso-wrap-distance-left:0;mso-wrap-distance-right:0" id="docshape1" filled="true" fillcolor="#000000" stroked="false">
                <v:fill type="solid"/>
                <w10:wrap type="topAndBottom"/>
              </v:rect>
            </w:pict>
          </mc:Fallback>
        </mc:AlternateContent>
      </w:r>
    </w:p>
    <w:p>
      <w:pPr>
        <w:pStyle w:val="BodyText"/>
        <w:spacing w:after="0"/>
        <w:rPr>
          <w:sz w:val="20"/>
        </w:rPr>
        <w:sectPr>
          <w:headerReference w:type="default" r:id="rId8"/>
          <w:pgSz w:w="11910" w:h="16840"/>
          <w:pgMar w:header="1133" w:footer="0" w:top="1960" w:bottom="280" w:left="141" w:right="141"/>
        </w:sectPr>
      </w:pPr>
    </w:p>
    <w:p>
      <w:pPr>
        <w:pStyle w:val="BodyText"/>
        <w:spacing w:before="4"/>
        <w:rPr>
          <w:sz w:val="17"/>
        </w:rPr>
      </w:pPr>
    </w:p>
    <w:p>
      <w:pPr>
        <w:pStyle w:val="BodyText"/>
        <w:spacing w:after="0"/>
        <w:rPr>
          <w:sz w:val="17"/>
        </w:rPr>
        <w:sectPr>
          <w:headerReference w:type="even" r:id="rId10"/>
          <w:pgSz w:w="11910" w:h="16840"/>
          <w:pgMar w:header="0" w:footer="0" w:top="1920" w:bottom="280" w:left="141" w:right="140"/>
        </w:sectPr>
      </w:pPr>
    </w:p>
    <w:p>
      <w:pPr>
        <w:spacing w:line="157" w:lineRule="exact"/>
        <w:ind w:left="7841" w:right="0" w:firstLine="0"/>
        <w:rPr>
          <w:position w:val="-2"/>
          <w:sz w:val="15"/>
        </w:rPr>
      </w:pPr>
      <w:r>
        <w:rPr>
          <w:position w:val="-2"/>
          <w:sz w:val="15"/>
        </w:rPr>
        <w:drawing>
          <wp:inline distT="0" distB="0" distL="0" distR="0">
            <wp:extent cx="1772833" cy="100012"/>
            <wp:effectExtent l="0" t="0" r="0" b="0"/>
            <wp:docPr id="12" name="Image 12"/>
            <wp:cNvGraphicFramePr>
              <a:graphicFrameLocks/>
            </wp:cNvGraphicFramePr>
            <a:graphic>
              <a:graphicData uri="http://schemas.openxmlformats.org/drawingml/2006/picture">
                <pic:pic>
                  <pic:nvPicPr>
                    <pic:cNvPr id="12" name="Image 12"/>
                    <pic:cNvPicPr/>
                  </pic:nvPicPr>
                  <pic:blipFill>
                    <a:blip r:embed="rId14" cstate="print"/>
                    <a:stretch>
                      <a:fillRect/>
                    </a:stretch>
                  </pic:blipFill>
                  <pic:spPr>
                    <a:xfrm>
                      <a:off x="0" y="0"/>
                      <a:ext cx="1772833" cy="100012"/>
                    </a:xfrm>
                    <a:prstGeom prst="rect">
                      <a:avLst/>
                    </a:prstGeom>
                  </pic:spPr>
                </pic:pic>
              </a:graphicData>
            </a:graphic>
          </wp:inline>
        </w:drawing>
      </w:r>
      <w:r>
        <w:rPr>
          <w:position w:val="-2"/>
          <w:sz w:val="15"/>
        </w:rPr>
      </w:r>
    </w:p>
    <w:p>
      <w:pPr>
        <w:pStyle w:val="BodyText"/>
      </w:pPr>
    </w:p>
    <w:p>
      <w:pPr>
        <w:pStyle w:val="BodyText"/>
      </w:pPr>
    </w:p>
    <w:p>
      <w:pPr>
        <w:pStyle w:val="BodyText"/>
      </w:pPr>
    </w:p>
    <w:p>
      <w:pPr>
        <w:pStyle w:val="BodyText"/>
        <w:spacing w:before="144"/>
      </w:pPr>
    </w:p>
    <w:p>
      <w:pPr>
        <w:pStyle w:val="Heading4"/>
        <w:ind w:left="0" w:right="1"/>
      </w:pPr>
      <w:r>
        <w:rPr/>
        <mc:AlternateContent>
          <mc:Choice Requires="wps">
            <w:drawing>
              <wp:anchor distT="0" distB="0" distL="0" distR="0" allowOverlap="1" layoutInCell="1" locked="0" behindDoc="0" simplePos="0" relativeHeight="15730176">
                <wp:simplePos x="0" y="0"/>
                <wp:positionH relativeFrom="page">
                  <wp:posOffset>701344</wp:posOffset>
                </wp:positionH>
                <wp:positionV relativeFrom="paragraph">
                  <wp:posOffset>172393</wp:posOffset>
                </wp:positionV>
                <wp:extent cx="6158230" cy="6350"/>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6158230" cy="6350"/>
                        </a:xfrm>
                        <a:custGeom>
                          <a:avLst/>
                          <a:gdLst/>
                          <a:ahLst/>
                          <a:cxnLst/>
                          <a:rect l="l" t="t" r="r" b="b"/>
                          <a:pathLst>
                            <a:path w="6158230" h="6350">
                              <a:moveTo>
                                <a:pt x="6158230" y="0"/>
                              </a:moveTo>
                              <a:lnTo>
                                <a:pt x="0" y="0"/>
                              </a:lnTo>
                              <a:lnTo>
                                <a:pt x="0" y="6096"/>
                              </a:lnTo>
                              <a:lnTo>
                                <a:pt x="6158230" y="6096"/>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13.574286pt;width:484.9pt;height:.48001pt;mso-position-horizontal-relative:page;mso-position-vertical-relative:paragraph;z-index:15730176" id="docshape8" filled="true" fillcolor="#000000" stroked="false">
                <v:fill type="solid"/>
                <w10:wrap type="none"/>
              </v:rect>
            </w:pict>
          </mc:Fallback>
        </mc:AlternateContent>
      </w:r>
      <w:r>
        <w:rPr>
          <w:spacing w:val="-2"/>
        </w:rPr>
        <w:t>ÍNDICE</w:t>
      </w:r>
    </w:p>
    <w:sdt>
      <w:sdtPr>
        <w:docPartObj>
          <w:docPartGallery w:val="Table of Contents"/>
          <w:docPartUnique/>
        </w:docPartObj>
      </w:sdtPr>
      <w:sdtEndPr/>
      <w:sdtContent>
        <w:p>
          <w:pPr>
            <w:pStyle w:val="TOC1"/>
            <w:numPr>
              <w:ilvl w:val="0"/>
              <w:numId w:val="1"/>
            </w:numPr>
            <w:tabs>
              <w:tab w:pos="1402" w:val="left" w:leader="none"/>
              <w:tab w:pos="10510" w:val="left" w:leader="dot"/>
            </w:tabs>
            <w:spacing w:line="240" w:lineRule="auto" w:before="393" w:after="0"/>
            <w:ind w:left="1402" w:right="0" w:hanging="182"/>
            <w:jc w:val="left"/>
          </w:pPr>
          <w:hyperlink w:history="true" w:anchor="_bookmark0">
            <w:r>
              <w:rPr>
                <w:spacing w:val="-2"/>
              </w:rPr>
              <w:t>INTRODUCCIÓN</w:t>
            </w:r>
            <w:r>
              <w:rPr/>
              <w:tab/>
            </w:r>
            <w:r>
              <w:rPr>
                <w:spacing w:val="-10"/>
              </w:rPr>
              <w:t>9</w:t>
            </w:r>
          </w:hyperlink>
        </w:p>
        <w:p>
          <w:pPr>
            <w:pStyle w:val="TOC1"/>
            <w:numPr>
              <w:ilvl w:val="1"/>
              <w:numId w:val="1"/>
            </w:numPr>
            <w:tabs>
              <w:tab w:pos="1576" w:val="left" w:leader="none"/>
              <w:tab w:pos="10510" w:val="left" w:leader="dot"/>
            </w:tabs>
            <w:spacing w:line="240" w:lineRule="auto" w:before="138" w:after="0"/>
            <w:ind w:left="1576" w:right="0" w:hanging="363"/>
            <w:jc w:val="left"/>
          </w:pPr>
          <w:hyperlink w:history="true" w:anchor="_bookmark1">
            <w:r>
              <w:rPr/>
              <w:t>ANTECEDENTES</w:t>
            </w:r>
            <w:r>
              <w:rPr>
                <w:spacing w:val="-7"/>
              </w:rPr>
              <w:t> </w:t>
            </w:r>
            <w:r>
              <w:rPr/>
              <w:t>E</w:t>
            </w:r>
            <w:r>
              <w:rPr>
                <w:spacing w:val="-8"/>
              </w:rPr>
              <w:t> </w:t>
            </w:r>
            <w:r>
              <w:rPr/>
              <w:t>INICIATIVA</w:t>
            </w:r>
            <w:r>
              <w:rPr>
                <w:spacing w:val="-7"/>
              </w:rPr>
              <w:t> </w:t>
            </w:r>
            <w:r>
              <w:rPr/>
              <w:t>DEL</w:t>
            </w:r>
            <w:r>
              <w:rPr>
                <w:spacing w:val="-6"/>
              </w:rPr>
              <w:t> </w:t>
            </w:r>
            <w:r>
              <w:rPr>
                <w:spacing w:val="-2"/>
              </w:rPr>
              <w:t>PROCEDIMIENTO</w:t>
            </w:r>
            <w:r>
              <w:rPr/>
              <w:tab/>
            </w:r>
            <w:r>
              <w:rPr>
                <w:spacing w:val="-10"/>
              </w:rPr>
              <w:t>9</w:t>
            </w:r>
          </w:hyperlink>
        </w:p>
        <w:p>
          <w:pPr>
            <w:pStyle w:val="TOC1"/>
            <w:numPr>
              <w:ilvl w:val="1"/>
              <w:numId w:val="1"/>
            </w:numPr>
            <w:tabs>
              <w:tab w:pos="1576" w:val="left" w:leader="none"/>
              <w:tab w:pos="10387" w:val="left" w:leader="dot"/>
            </w:tabs>
            <w:spacing w:line="240" w:lineRule="auto" w:before="119" w:after="0"/>
            <w:ind w:left="1576" w:right="0" w:hanging="363"/>
            <w:jc w:val="left"/>
          </w:pPr>
          <w:hyperlink w:history="true" w:anchor="_bookmark4">
            <w:r>
              <w:rPr/>
              <w:t>ÁMBITO</w:t>
            </w:r>
            <w:r>
              <w:rPr>
                <w:spacing w:val="-3"/>
              </w:rPr>
              <w:t> </w:t>
            </w:r>
            <w:r>
              <w:rPr/>
              <w:t>DE</w:t>
            </w:r>
            <w:r>
              <w:rPr>
                <w:spacing w:val="-4"/>
              </w:rPr>
              <w:t> </w:t>
            </w:r>
            <w:r>
              <w:rPr/>
              <w:t>LA</w:t>
            </w:r>
            <w:r>
              <w:rPr>
                <w:spacing w:val="-3"/>
              </w:rPr>
              <w:t> </w:t>
            </w:r>
            <w:r>
              <w:rPr>
                <w:spacing w:val="-2"/>
              </w:rPr>
              <w:t>FISCALIZACIÓN</w:t>
            </w:r>
            <w:r>
              <w:rPr/>
              <w:tab/>
            </w:r>
            <w:r>
              <w:rPr>
                <w:spacing w:val="-5"/>
              </w:rPr>
              <w:t>11</w:t>
            </w:r>
          </w:hyperlink>
        </w:p>
        <w:p>
          <w:pPr>
            <w:pStyle w:val="TOC2"/>
            <w:numPr>
              <w:ilvl w:val="2"/>
              <w:numId w:val="1"/>
            </w:numPr>
            <w:tabs>
              <w:tab w:pos="1993" w:val="left" w:leader="none"/>
              <w:tab w:pos="10378" w:val="left" w:leader="dot"/>
            </w:tabs>
            <w:spacing w:line="240" w:lineRule="auto" w:before="121" w:after="0"/>
            <w:ind w:left="1993" w:right="0" w:hanging="548"/>
            <w:jc w:val="left"/>
          </w:pPr>
          <w:hyperlink w:history="true" w:anchor="_bookmark5">
            <w:r>
              <w:rPr/>
              <w:t>Ámbito</w:t>
            </w:r>
            <w:r>
              <w:rPr>
                <w:spacing w:val="-8"/>
              </w:rPr>
              <w:t> </w:t>
            </w:r>
            <w:r>
              <w:rPr>
                <w:spacing w:val="-2"/>
              </w:rPr>
              <w:t>subjetivo</w:t>
            </w:r>
            <w:r>
              <w:rPr/>
              <w:tab/>
            </w:r>
            <w:r>
              <w:rPr>
                <w:spacing w:val="-5"/>
              </w:rPr>
              <w:t>11</w:t>
            </w:r>
          </w:hyperlink>
        </w:p>
        <w:p>
          <w:pPr>
            <w:pStyle w:val="TOC2"/>
            <w:numPr>
              <w:ilvl w:val="2"/>
              <w:numId w:val="1"/>
            </w:numPr>
            <w:tabs>
              <w:tab w:pos="1993" w:val="left" w:leader="none"/>
              <w:tab w:pos="10378" w:val="left" w:leader="dot"/>
            </w:tabs>
            <w:spacing w:line="240" w:lineRule="auto" w:before="119" w:after="0"/>
            <w:ind w:left="1993" w:right="0" w:hanging="548"/>
            <w:jc w:val="left"/>
          </w:pPr>
          <w:hyperlink w:history="true" w:anchor="_bookmark7">
            <w:r>
              <w:rPr/>
              <w:t>Ámbito</w:t>
            </w:r>
            <w:r>
              <w:rPr>
                <w:spacing w:val="-8"/>
              </w:rPr>
              <w:t> </w:t>
            </w:r>
            <w:r>
              <w:rPr>
                <w:spacing w:val="-2"/>
              </w:rPr>
              <w:t>objetivo</w:t>
            </w:r>
            <w:r>
              <w:rPr/>
              <w:tab/>
            </w:r>
            <w:r>
              <w:rPr>
                <w:spacing w:val="-5"/>
              </w:rPr>
              <w:t>12</w:t>
            </w:r>
          </w:hyperlink>
        </w:p>
        <w:p>
          <w:pPr>
            <w:pStyle w:val="TOC2"/>
            <w:numPr>
              <w:ilvl w:val="2"/>
              <w:numId w:val="1"/>
            </w:numPr>
            <w:tabs>
              <w:tab w:pos="1993" w:val="left" w:leader="none"/>
              <w:tab w:pos="10378" w:val="left" w:leader="dot"/>
            </w:tabs>
            <w:spacing w:line="240" w:lineRule="auto" w:before="122" w:after="0"/>
            <w:ind w:left="1993" w:right="0" w:hanging="548"/>
            <w:jc w:val="left"/>
          </w:pPr>
          <w:hyperlink w:history="true" w:anchor="_bookmark8">
            <w:r>
              <w:rPr/>
              <w:t>Ámbito</w:t>
            </w:r>
            <w:r>
              <w:rPr>
                <w:spacing w:val="-6"/>
              </w:rPr>
              <w:t> </w:t>
            </w:r>
            <w:r>
              <w:rPr>
                <w:spacing w:val="-2"/>
              </w:rPr>
              <w:t>temporal</w:t>
            </w:r>
            <w:r>
              <w:rPr/>
              <w:tab/>
            </w:r>
            <w:r>
              <w:rPr>
                <w:spacing w:val="-5"/>
              </w:rPr>
              <w:t>12</w:t>
            </w:r>
          </w:hyperlink>
        </w:p>
        <w:p>
          <w:pPr>
            <w:pStyle w:val="TOC1"/>
            <w:numPr>
              <w:ilvl w:val="1"/>
              <w:numId w:val="1"/>
            </w:numPr>
            <w:tabs>
              <w:tab w:pos="1576" w:val="left" w:leader="none"/>
              <w:tab w:pos="10387" w:val="left" w:leader="dot"/>
            </w:tabs>
            <w:spacing w:line="240" w:lineRule="auto" w:before="119" w:after="0"/>
            <w:ind w:left="1576" w:right="0" w:hanging="363"/>
            <w:jc w:val="left"/>
          </w:pPr>
          <w:hyperlink w:history="true" w:anchor="_bookmark9">
            <w:r>
              <w:rPr/>
              <w:t>TIPO</w:t>
            </w:r>
            <w:r>
              <w:rPr>
                <w:spacing w:val="-6"/>
              </w:rPr>
              <w:t> </w:t>
            </w:r>
            <w:r>
              <w:rPr/>
              <w:t>DE</w:t>
            </w:r>
            <w:r>
              <w:rPr>
                <w:spacing w:val="-4"/>
              </w:rPr>
              <w:t> </w:t>
            </w:r>
            <w:r>
              <w:rPr/>
              <w:t>FISCALIZACIÓN,</w:t>
            </w:r>
            <w:r>
              <w:rPr>
                <w:spacing w:val="-6"/>
              </w:rPr>
              <w:t> </w:t>
            </w:r>
            <w:r>
              <w:rPr/>
              <w:t>OBJETIVOS</w:t>
            </w:r>
            <w:r>
              <w:rPr>
                <w:spacing w:val="-4"/>
              </w:rPr>
              <w:t> </w:t>
            </w:r>
            <w:r>
              <w:rPr/>
              <w:t>Y</w:t>
            </w:r>
            <w:r>
              <w:rPr>
                <w:spacing w:val="-9"/>
              </w:rPr>
              <w:t> </w:t>
            </w:r>
            <w:r>
              <w:rPr>
                <w:spacing w:val="-2"/>
              </w:rPr>
              <w:t>PROCEDIMIENTO</w:t>
            </w:r>
            <w:r>
              <w:rPr/>
              <w:tab/>
            </w:r>
            <w:r>
              <w:rPr>
                <w:spacing w:val="-5"/>
              </w:rPr>
              <w:t>12</w:t>
            </w:r>
          </w:hyperlink>
        </w:p>
        <w:p>
          <w:pPr>
            <w:pStyle w:val="TOC1"/>
            <w:numPr>
              <w:ilvl w:val="0"/>
              <w:numId w:val="1"/>
            </w:numPr>
            <w:tabs>
              <w:tab w:pos="1465" w:val="left" w:leader="none"/>
              <w:tab w:pos="10387" w:val="left" w:leader="dot"/>
            </w:tabs>
            <w:spacing w:line="240" w:lineRule="auto" w:before="124" w:after="0"/>
            <w:ind w:left="1465" w:right="0" w:hanging="245"/>
            <w:jc w:val="left"/>
          </w:pPr>
          <w:hyperlink w:history="true" w:anchor="_bookmark11">
            <w:r>
              <w:rPr/>
              <w:t>RESULTADOS</w:t>
            </w:r>
            <w:r>
              <w:rPr>
                <w:spacing w:val="-6"/>
              </w:rPr>
              <w:t> </w:t>
            </w:r>
            <w:r>
              <w:rPr/>
              <w:t>DE</w:t>
            </w:r>
            <w:r>
              <w:rPr>
                <w:spacing w:val="-5"/>
              </w:rPr>
              <w:t> </w:t>
            </w:r>
            <w:r>
              <w:rPr/>
              <w:t>LA</w:t>
            </w:r>
            <w:r>
              <w:rPr>
                <w:spacing w:val="-3"/>
              </w:rPr>
              <w:t> </w:t>
            </w:r>
            <w:r>
              <w:rPr>
                <w:spacing w:val="-2"/>
              </w:rPr>
              <w:t>FISCALIZACIÓN</w:t>
            </w:r>
            <w:r>
              <w:rPr/>
              <w:tab/>
            </w:r>
            <w:r>
              <w:rPr>
                <w:spacing w:val="-5"/>
              </w:rPr>
              <w:t>13</w:t>
            </w:r>
          </w:hyperlink>
        </w:p>
        <w:p>
          <w:pPr>
            <w:pStyle w:val="TOC1"/>
            <w:numPr>
              <w:ilvl w:val="1"/>
              <w:numId w:val="1"/>
            </w:numPr>
            <w:tabs>
              <w:tab w:pos="1639" w:val="left" w:leader="none"/>
            </w:tabs>
            <w:spacing w:line="240" w:lineRule="auto" w:before="138" w:after="0"/>
            <w:ind w:left="1639" w:right="0" w:hanging="426"/>
            <w:jc w:val="left"/>
          </w:pPr>
          <w:hyperlink w:history="true" w:anchor="_bookmark12">
            <w:r>
              <w:rPr/>
              <w:t>CARACTERÍSTICAS</w:t>
            </w:r>
            <w:r>
              <w:rPr>
                <w:spacing w:val="-10"/>
              </w:rPr>
              <w:t> </w:t>
            </w:r>
            <w:r>
              <w:rPr/>
              <w:t>DEL</w:t>
            </w:r>
            <w:r>
              <w:rPr>
                <w:spacing w:val="-8"/>
              </w:rPr>
              <w:t> </w:t>
            </w:r>
            <w:r>
              <w:rPr/>
              <w:t>SERVICIO</w:t>
            </w:r>
            <w:r>
              <w:rPr>
                <w:spacing w:val="-8"/>
              </w:rPr>
              <w:t> </w:t>
            </w:r>
            <w:r>
              <w:rPr/>
              <w:t>DE</w:t>
            </w:r>
            <w:r>
              <w:rPr>
                <w:spacing w:val="-9"/>
              </w:rPr>
              <w:t> </w:t>
            </w:r>
            <w:r>
              <w:rPr/>
              <w:t>TRANSPORTE</w:t>
            </w:r>
            <w:r>
              <w:rPr>
                <w:spacing w:val="-8"/>
              </w:rPr>
              <w:t> </w:t>
            </w:r>
            <w:r>
              <w:rPr/>
              <w:t>PÚBLICO</w:t>
            </w:r>
            <w:r>
              <w:rPr>
                <w:spacing w:val="-8"/>
              </w:rPr>
              <w:t> </w:t>
            </w:r>
            <w:r>
              <w:rPr>
                <w:spacing w:val="-2"/>
              </w:rPr>
              <w:t>COLETIVO</w:t>
            </w:r>
          </w:hyperlink>
        </w:p>
        <w:p>
          <w:pPr>
            <w:pStyle w:val="TOC3"/>
            <w:tabs>
              <w:tab w:pos="10387" w:val="left" w:leader="dot"/>
            </w:tabs>
          </w:pPr>
          <w:hyperlink w:history="true" w:anchor="_bookmark12">
            <w:r>
              <w:rPr/>
              <w:t>URBANO</w:t>
            </w:r>
            <w:r>
              <w:rPr>
                <w:spacing w:val="-3"/>
              </w:rPr>
              <w:t> </w:t>
            </w:r>
            <w:r>
              <w:rPr/>
              <w:t>EN</w:t>
            </w:r>
            <w:r>
              <w:rPr>
                <w:spacing w:val="-5"/>
              </w:rPr>
              <w:t> </w:t>
            </w:r>
            <w:r>
              <w:rPr/>
              <w:t>LAS</w:t>
            </w:r>
            <w:r>
              <w:rPr>
                <w:spacing w:val="-8"/>
              </w:rPr>
              <w:t> </w:t>
            </w:r>
            <w:r>
              <w:rPr/>
              <w:t>ENTIDADES</w:t>
            </w:r>
            <w:r>
              <w:rPr>
                <w:spacing w:val="-4"/>
              </w:rPr>
              <w:t> </w:t>
            </w:r>
            <w:r>
              <w:rPr>
                <w:spacing w:val="-2"/>
              </w:rPr>
              <w:t>FISCALIZADAS</w:t>
            </w:r>
            <w:r>
              <w:rPr/>
              <w:tab/>
            </w:r>
            <w:r>
              <w:rPr>
                <w:spacing w:val="-5"/>
              </w:rPr>
              <w:t>14</w:t>
            </w:r>
          </w:hyperlink>
        </w:p>
        <w:p>
          <w:pPr>
            <w:pStyle w:val="TOC1"/>
            <w:numPr>
              <w:ilvl w:val="1"/>
              <w:numId w:val="1"/>
            </w:numPr>
            <w:tabs>
              <w:tab w:pos="1639" w:val="left" w:leader="none"/>
              <w:tab w:pos="10387" w:val="left" w:leader="dot"/>
            </w:tabs>
            <w:spacing w:line="240" w:lineRule="auto" w:before="119" w:after="0"/>
            <w:ind w:left="1639" w:right="0" w:hanging="426"/>
            <w:jc w:val="left"/>
          </w:pPr>
          <w:hyperlink w:history="true" w:anchor="_bookmark27">
            <w:r>
              <w:rPr/>
              <w:t>PLANIFICACIÓN</w:t>
            </w:r>
            <w:r>
              <w:rPr>
                <w:spacing w:val="-11"/>
              </w:rPr>
              <w:t> </w:t>
            </w:r>
            <w:r>
              <w:rPr/>
              <w:t>SOBRE</w:t>
            </w:r>
            <w:r>
              <w:rPr>
                <w:spacing w:val="-10"/>
              </w:rPr>
              <w:t> </w:t>
            </w:r>
            <w:r>
              <w:rPr/>
              <w:t>MOVILIDAD</w:t>
            </w:r>
            <w:r>
              <w:rPr>
                <w:spacing w:val="-10"/>
              </w:rPr>
              <w:t> </w:t>
            </w:r>
            <w:r>
              <w:rPr>
                <w:spacing w:val="-2"/>
              </w:rPr>
              <w:t>SOSTENIBLE</w:t>
            </w:r>
            <w:r>
              <w:rPr/>
              <w:tab/>
            </w:r>
            <w:r>
              <w:rPr>
                <w:spacing w:val="-5"/>
              </w:rPr>
              <w:t>21</w:t>
            </w:r>
          </w:hyperlink>
        </w:p>
        <w:p>
          <w:pPr>
            <w:pStyle w:val="TOC1"/>
            <w:numPr>
              <w:ilvl w:val="1"/>
              <w:numId w:val="1"/>
            </w:numPr>
            <w:tabs>
              <w:tab w:pos="1638" w:val="left" w:leader="none"/>
              <w:tab w:pos="1666" w:val="left" w:leader="none"/>
              <w:tab w:pos="10387" w:val="left" w:leader="dot"/>
            </w:tabs>
            <w:spacing w:line="256" w:lineRule="auto" w:before="123" w:after="0"/>
            <w:ind w:left="1666" w:right="989" w:hanging="454"/>
            <w:jc w:val="left"/>
          </w:pPr>
          <w:hyperlink w:history="true" w:anchor="_bookmark37">
            <w:r>
              <w:rPr/>
              <w:t>ACTUACIONES REALIZADAS PARA LOGRAR LA SOSTENIBILIDAD EN EL</w:t>
            </w:r>
          </w:hyperlink>
          <w:r>
            <w:rPr/>
            <w:t> </w:t>
          </w:r>
          <w:hyperlink w:history="true" w:anchor="_bookmark37">
            <w:r>
              <w:rPr/>
              <w:t>TRANSPORTE PÚBLICO COLECTIVO URBANO</w:t>
              <w:tab/>
            </w:r>
            <w:r>
              <w:rPr>
                <w:spacing w:val="-6"/>
              </w:rPr>
              <w:t>25</w:t>
            </w:r>
          </w:hyperlink>
        </w:p>
        <w:p>
          <w:pPr>
            <w:pStyle w:val="TOC2"/>
            <w:numPr>
              <w:ilvl w:val="2"/>
              <w:numId w:val="1"/>
            </w:numPr>
            <w:tabs>
              <w:tab w:pos="2053" w:val="left" w:leader="none"/>
              <w:tab w:pos="10378" w:val="left" w:leader="dot"/>
            </w:tabs>
            <w:spacing w:line="240" w:lineRule="auto" w:before="102" w:after="0"/>
            <w:ind w:left="2053" w:right="0" w:hanging="608"/>
            <w:jc w:val="left"/>
          </w:pPr>
          <w:hyperlink w:history="true" w:anchor="_bookmark38">
            <w:r>
              <w:rPr/>
              <w:t>Situación</w:t>
            </w:r>
            <w:r>
              <w:rPr>
                <w:spacing w:val="-6"/>
              </w:rPr>
              <w:t> </w:t>
            </w:r>
            <w:r>
              <w:rPr/>
              <w:t>a</w:t>
            </w:r>
            <w:r>
              <w:rPr>
                <w:spacing w:val="-3"/>
              </w:rPr>
              <w:t> </w:t>
            </w:r>
            <w:r>
              <w:rPr/>
              <w:t>31</w:t>
            </w:r>
            <w:r>
              <w:rPr>
                <w:spacing w:val="-6"/>
              </w:rPr>
              <w:t> </w:t>
            </w:r>
            <w:r>
              <w:rPr/>
              <w:t>de</w:t>
            </w:r>
            <w:r>
              <w:rPr>
                <w:spacing w:val="-5"/>
              </w:rPr>
              <w:t> </w:t>
            </w:r>
            <w:r>
              <w:rPr/>
              <w:t>diciembre</w:t>
            </w:r>
            <w:r>
              <w:rPr>
                <w:spacing w:val="-3"/>
              </w:rPr>
              <w:t> </w:t>
            </w:r>
            <w:r>
              <w:rPr/>
              <w:t>de</w:t>
            </w:r>
            <w:r>
              <w:rPr>
                <w:spacing w:val="-6"/>
              </w:rPr>
              <w:t> </w:t>
            </w:r>
            <w:r>
              <w:rPr/>
              <w:t>2022</w:t>
            </w:r>
            <w:r>
              <w:rPr>
                <w:spacing w:val="-3"/>
              </w:rPr>
              <w:t> </w:t>
            </w:r>
            <w:r>
              <w:rPr/>
              <w:t>y</w:t>
            </w:r>
            <w:r>
              <w:rPr>
                <w:spacing w:val="-5"/>
              </w:rPr>
              <w:t> </w:t>
            </w:r>
            <w:r>
              <w:rPr/>
              <w:t>actuaciones</w:t>
            </w:r>
            <w:r>
              <w:rPr>
                <w:spacing w:val="-4"/>
              </w:rPr>
              <w:t> </w:t>
            </w:r>
            <w:r>
              <w:rPr/>
              <w:t>acometidas</w:t>
            </w:r>
            <w:r>
              <w:rPr>
                <w:spacing w:val="-2"/>
              </w:rPr>
              <w:t> </w:t>
            </w:r>
            <w:r>
              <w:rPr/>
              <w:t>en</w:t>
            </w:r>
            <w:r>
              <w:rPr>
                <w:spacing w:val="-9"/>
              </w:rPr>
              <w:t> </w:t>
            </w:r>
            <w:r>
              <w:rPr/>
              <w:t>2023</w:t>
            </w:r>
            <w:r>
              <w:rPr>
                <w:spacing w:val="-3"/>
              </w:rPr>
              <w:t> </w:t>
            </w:r>
            <w:r>
              <w:rPr/>
              <w:t>y</w:t>
            </w:r>
            <w:r>
              <w:rPr>
                <w:spacing w:val="-2"/>
              </w:rPr>
              <w:t> </w:t>
            </w:r>
            <w:r>
              <w:rPr>
                <w:spacing w:val="-4"/>
              </w:rPr>
              <w:t>2024</w:t>
            </w:r>
            <w:r>
              <w:rPr/>
              <w:tab/>
            </w:r>
            <w:r>
              <w:rPr>
                <w:spacing w:val="-5"/>
              </w:rPr>
              <w:t>26</w:t>
            </w:r>
          </w:hyperlink>
        </w:p>
        <w:p>
          <w:pPr>
            <w:pStyle w:val="TOC2"/>
            <w:numPr>
              <w:ilvl w:val="2"/>
              <w:numId w:val="1"/>
            </w:numPr>
            <w:tabs>
              <w:tab w:pos="2053" w:val="left" w:leader="none"/>
              <w:tab w:pos="10378" w:val="left" w:leader="dot"/>
            </w:tabs>
            <w:spacing w:line="240" w:lineRule="auto" w:before="119" w:after="0"/>
            <w:ind w:left="2053" w:right="0" w:hanging="608"/>
            <w:jc w:val="left"/>
          </w:pPr>
          <w:hyperlink w:history="true" w:anchor="_bookmark44">
            <w:r>
              <w:rPr/>
              <w:t>Actuaciones</w:t>
            </w:r>
            <w:r>
              <w:rPr>
                <w:spacing w:val="-7"/>
              </w:rPr>
              <w:t> </w:t>
            </w:r>
            <w:r>
              <w:rPr/>
              <w:t>realizadas</w:t>
            </w:r>
            <w:r>
              <w:rPr>
                <w:spacing w:val="-4"/>
              </w:rPr>
              <w:t> </w:t>
            </w:r>
            <w:r>
              <w:rPr/>
              <w:t>en</w:t>
            </w:r>
            <w:r>
              <w:rPr>
                <w:spacing w:val="-4"/>
              </w:rPr>
              <w:t> </w:t>
            </w:r>
            <w:r>
              <w:rPr/>
              <w:t>2023</w:t>
            </w:r>
            <w:r>
              <w:rPr>
                <w:spacing w:val="-6"/>
              </w:rPr>
              <w:t> </w:t>
            </w:r>
            <w:r>
              <w:rPr/>
              <w:t>y</w:t>
            </w:r>
            <w:r>
              <w:rPr>
                <w:spacing w:val="-7"/>
              </w:rPr>
              <w:t> </w:t>
            </w:r>
            <w:r>
              <w:rPr/>
              <w:t>2024</w:t>
            </w:r>
            <w:r>
              <w:rPr>
                <w:spacing w:val="-4"/>
              </w:rPr>
              <w:t> </w:t>
            </w:r>
            <w:r>
              <w:rPr/>
              <w:t>según</w:t>
            </w:r>
            <w:r>
              <w:rPr>
                <w:spacing w:val="-4"/>
              </w:rPr>
              <w:t> </w:t>
            </w:r>
            <w:r>
              <w:rPr/>
              <w:t>su</w:t>
            </w:r>
            <w:r>
              <w:rPr>
                <w:spacing w:val="-5"/>
              </w:rPr>
              <w:t> </w:t>
            </w:r>
            <w:r>
              <w:rPr>
                <w:spacing w:val="-2"/>
              </w:rPr>
              <w:t>tipología</w:t>
            </w:r>
            <w:r>
              <w:rPr/>
              <w:tab/>
            </w:r>
            <w:r>
              <w:rPr>
                <w:spacing w:val="-5"/>
              </w:rPr>
              <w:t>40</w:t>
            </w:r>
          </w:hyperlink>
        </w:p>
        <w:p>
          <w:pPr>
            <w:pStyle w:val="TOC1"/>
            <w:numPr>
              <w:ilvl w:val="1"/>
              <w:numId w:val="1"/>
            </w:numPr>
            <w:tabs>
              <w:tab w:pos="1638" w:val="left" w:leader="none"/>
              <w:tab w:pos="1666" w:val="left" w:leader="none"/>
              <w:tab w:pos="10387" w:val="left" w:leader="dot"/>
            </w:tabs>
            <w:spacing w:line="256" w:lineRule="auto" w:before="125" w:after="0"/>
            <w:ind w:left="1666" w:right="989" w:hanging="454"/>
            <w:jc w:val="left"/>
          </w:pPr>
          <w:hyperlink w:history="true" w:anchor="_bookmark99">
            <w:r>
              <w:rPr/>
              <w:t>SEGUIMIENTO Y CONTROL DE LA EJECUCIÓN DE LAS ACTUACIONES</w:t>
            </w:r>
          </w:hyperlink>
          <w:r>
            <w:rPr/>
            <w:t> </w:t>
          </w:r>
          <w:hyperlink w:history="true" w:anchor="_bookmark99">
            <w:r>
              <w:rPr/>
              <w:t>FISCALIZADAS Y ENCUESTAS DE SATISFACCIÓN</w:t>
              <w:tab/>
            </w:r>
            <w:r>
              <w:rPr>
                <w:spacing w:val="-6"/>
              </w:rPr>
              <w:t>77</w:t>
            </w:r>
          </w:hyperlink>
        </w:p>
        <w:p>
          <w:pPr>
            <w:pStyle w:val="TOC2"/>
            <w:numPr>
              <w:ilvl w:val="2"/>
              <w:numId w:val="1"/>
            </w:numPr>
            <w:tabs>
              <w:tab w:pos="2053" w:val="left" w:leader="none"/>
              <w:tab w:pos="10378" w:val="left" w:leader="dot"/>
            </w:tabs>
            <w:spacing w:line="240" w:lineRule="auto" w:before="101" w:after="0"/>
            <w:ind w:left="2053" w:right="0" w:hanging="608"/>
            <w:jc w:val="left"/>
          </w:pPr>
          <w:hyperlink w:history="true" w:anchor="_bookmark100">
            <w:r>
              <w:rPr/>
              <w:t>Seguimiento</w:t>
            </w:r>
            <w:r>
              <w:rPr>
                <w:spacing w:val="-7"/>
              </w:rPr>
              <w:t> </w:t>
            </w:r>
            <w:r>
              <w:rPr/>
              <w:t>y</w:t>
            </w:r>
            <w:r>
              <w:rPr>
                <w:spacing w:val="-6"/>
              </w:rPr>
              <w:t> </w:t>
            </w:r>
            <w:r>
              <w:rPr/>
              <w:t>control</w:t>
            </w:r>
            <w:r>
              <w:rPr>
                <w:spacing w:val="-6"/>
              </w:rPr>
              <w:t> </w:t>
            </w:r>
            <w:r>
              <w:rPr/>
              <w:t>de</w:t>
            </w:r>
            <w:r>
              <w:rPr>
                <w:spacing w:val="-7"/>
              </w:rPr>
              <w:t> </w:t>
            </w:r>
            <w:r>
              <w:rPr/>
              <w:t>la</w:t>
            </w:r>
            <w:r>
              <w:rPr>
                <w:spacing w:val="-5"/>
              </w:rPr>
              <w:t> </w:t>
            </w:r>
            <w:r>
              <w:rPr/>
              <w:t>ejecución</w:t>
            </w:r>
            <w:r>
              <w:rPr>
                <w:spacing w:val="-5"/>
              </w:rPr>
              <w:t> </w:t>
            </w:r>
            <w:r>
              <w:rPr/>
              <w:t>de</w:t>
            </w:r>
            <w:r>
              <w:rPr>
                <w:spacing w:val="-7"/>
              </w:rPr>
              <w:t> </w:t>
            </w:r>
            <w:r>
              <w:rPr/>
              <w:t>las</w:t>
            </w:r>
            <w:r>
              <w:rPr>
                <w:spacing w:val="-5"/>
              </w:rPr>
              <w:t> </w:t>
            </w:r>
            <w:r>
              <w:rPr/>
              <w:t>actuaciones</w:t>
            </w:r>
            <w:r>
              <w:rPr>
                <w:spacing w:val="-4"/>
              </w:rPr>
              <w:t> </w:t>
            </w:r>
            <w:r>
              <w:rPr>
                <w:spacing w:val="-2"/>
              </w:rPr>
              <w:t>fiscalizadas</w:t>
            </w:r>
            <w:r>
              <w:rPr/>
              <w:tab/>
            </w:r>
            <w:r>
              <w:rPr>
                <w:spacing w:val="-5"/>
              </w:rPr>
              <w:t>77</w:t>
            </w:r>
          </w:hyperlink>
        </w:p>
        <w:p>
          <w:pPr>
            <w:pStyle w:val="TOC2"/>
            <w:numPr>
              <w:ilvl w:val="2"/>
              <w:numId w:val="1"/>
            </w:numPr>
            <w:tabs>
              <w:tab w:pos="2053" w:val="left" w:leader="none"/>
              <w:tab w:pos="10378" w:val="left" w:leader="dot"/>
            </w:tabs>
            <w:spacing w:line="240" w:lineRule="auto" w:before="119" w:after="0"/>
            <w:ind w:left="2053" w:right="0" w:hanging="608"/>
            <w:jc w:val="left"/>
          </w:pPr>
          <w:hyperlink w:history="true" w:anchor="_bookmark102">
            <w:r>
              <w:rPr/>
              <w:t>Encuestas</w:t>
            </w:r>
            <w:r>
              <w:rPr>
                <w:spacing w:val="-7"/>
              </w:rPr>
              <w:t> </w:t>
            </w:r>
            <w:r>
              <w:rPr/>
              <w:t>de</w:t>
            </w:r>
            <w:r>
              <w:rPr>
                <w:spacing w:val="-5"/>
              </w:rPr>
              <w:t> </w:t>
            </w:r>
            <w:r>
              <w:rPr/>
              <w:t>satisfacción</w:t>
            </w:r>
            <w:r>
              <w:rPr>
                <w:spacing w:val="-5"/>
              </w:rPr>
              <w:t> </w:t>
            </w:r>
            <w:r>
              <w:rPr/>
              <w:t>a</w:t>
            </w:r>
            <w:r>
              <w:rPr>
                <w:spacing w:val="-7"/>
              </w:rPr>
              <w:t> </w:t>
            </w:r>
            <w:r>
              <w:rPr/>
              <w:t>los</w:t>
            </w:r>
            <w:r>
              <w:rPr>
                <w:spacing w:val="-4"/>
              </w:rPr>
              <w:t> </w:t>
            </w:r>
            <w:r>
              <w:rPr>
                <w:spacing w:val="-2"/>
              </w:rPr>
              <w:t>usuarios</w:t>
            </w:r>
            <w:r>
              <w:rPr/>
              <w:tab/>
            </w:r>
            <w:r>
              <w:rPr>
                <w:spacing w:val="-5"/>
              </w:rPr>
              <w:t>79</w:t>
            </w:r>
          </w:hyperlink>
        </w:p>
        <w:p>
          <w:pPr>
            <w:pStyle w:val="TOC1"/>
            <w:numPr>
              <w:ilvl w:val="1"/>
              <w:numId w:val="1"/>
            </w:numPr>
            <w:tabs>
              <w:tab w:pos="1638" w:val="left" w:leader="none"/>
              <w:tab w:pos="1666" w:val="left" w:leader="none"/>
            </w:tabs>
            <w:spacing w:line="259" w:lineRule="auto" w:before="124" w:after="0"/>
            <w:ind w:left="1666" w:right="1694" w:hanging="454"/>
            <w:jc w:val="left"/>
          </w:pPr>
          <w:hyperlink w:history="true" w:anchor="_bookmark103">
            <w:r>
              <w:rPr/>
              <w:t>ANÁLISIS DE LAS SUBVENCIONES RECIBIDAS POR LOS AYUNTAMIENTOS</w:t>
            </w:r>
          </w:hyperlink>
          <w:r>
            <w:rPr/>
            <w:t> </w:t>
          </w:r>
          <w:hyperlink w:history="true" w:anchor="_bookmark103">
            <w:r>
              <w:rPr/>
              <w:t>FISCALIZADOS PROCEDENTES DEL PROGRAMA DE AYUDAS A MUNICIPIOS</w:t>
            </w:r>
          </w:hyperlink>
          <w:r>
            <w:rPr/>
            <w:t> </w:t>
          </w:r>
          <w:hyperlink w:history="true" w:anchor="_bookmark103">
            <w:r>
              <w:rPr/>
              <w:t>PARA LA IMPLANTACIÓN DE ZONAS DE BAJAS EMISIONES Y LA</w:t>
            </w:r>
          </w:hyperlink>
          <w:r>
            <w:rPr/>
            <w:t> </w:t>
          </w:r>
          <w:hyperlink w:history="true" w:anchor="_bookmark103">
            <w:r>
              <w:rPr/>
              <w:t>TRANSFORMACIÓN</w:t>
            </w:r>
            <w:r>
              <w:rPr>
                <w:spacing w:val="-7"/>
              </w:rPr>
              <w:t> </w:t>
            </w:r>
            <w:r>
              <w:rPr/>
              <w:t>DIGITAL</w:t>
            </w:r>
            <w:r>
              <w:rPr>
                <w:spacing w:val="-6"/>
              </w:rPr>
              <w:t> </w:t>
            </w:r>
            <w:r>
              <w:rPr/>
              <w:t>Y</w:t>
            </w:r>
            <w:r>
              <w:rPr>
                <w:spacing w:val="-5"/>
              </w:rPr>
              <w:t> </w:t>
            </w:r>
            <w:r>
              <w:rPr/>
              <w:t>SOSTENIBLE</w:t>
            </w:r>
            <w:r>
              <w:rPr>
                <w:spacing w:val="-7"/>
              </w:rPr>
              <w:t> </w:t>
            </w:r>
            <w:r>
              <w:rPr/>
              <w:t>DEL</w:t>
            </w:r>
            <w:r>
              <w:rPr>
                <w:spacing w:val="-5"/>
              </w:rPr>
              <w:t> </w:t>
            </w:r>
            <w:r>
              <w:rPr/>
              <w:t>TRANSPORTE</w:t>
            </w:r>
            <w:r>
              <w:rPr>
                <w:spacing w:val="-5"/>
              </w:rPr>
              <w:t> </w:t>
            </w:r>
            <w:r>
              <w:rPr/>
              <w:t>URBANO,</w:t>
            </w:r>
            <w:r>
              <w:rPr>
                <w:spacing w:val="-3"/>
              </w:rPr>
              <w:t> </w:t>
            </w:r>
            <w:r>
              <w:rPr/>
              <w:t>EN</w:t>
            </w:r>
          </w:hyperlink>
          <w:r>
            <w:rPr/>
            <w:t> </w:t>
          </w:r>
          <w:hyperlink w:history="true" w:anchor="_bookmark103">
            <w:r>
              <w:rPr/>
              <w:t>EL MARCO DEL PRTR, Y DEL CUMPLIMIENTO DE LOS PRINCIPIOS</w:t>
            </w:r>
          </w:hyperlink>
        </w:p>
        <w:p>
          <w:pPr>
            <w:pStyle w:val="TOC3"/>
            <w:tabs>
              <w:tab w:pos="10387" w:val="left" w:leader="dot"/>
            </w:tabs>
            <w:spacing w:line="250" w:lineRule="exact" w:before="0"/>
          </w:pPr>
          <w:hyperlink w:history="true" w:anchor="_bookmark103">
            <w:r>
              <w:rPr/>
              <w:t>TRANSVERSALES</w:t>
            </w:r>
            <w:r>
              <w:rPr>
                <w:spacing w:val="-7"/>
              </w:rPr>
              <w:t> </w:t>
            </w:r>
            <w:r>
              <w:rPr/>
              <w:t>DEL</w:t>
            </w:r>
            <w:r>
              <w:rPr>
                <w:spacing w:val="-7"/>
              </w:rPr>
              <w:t> </w:t>
            </w:r>
            <w:r>
              <w:rPr>
                <w:spacing w:val="-4"/>
              </w:rPr>
              <w:t>PRTR</w:t>
            </w:r>
            <w:r>
              <w:rPr/>
              <w:tab/>
            </w:r>
            <w:r>
              <w:rPr>
                <w:spacing w:val="-5"/>
              </w:rPr>
              <w:t>81</w:t>
            </w:r>
          </w:hyperlink>
        </w:p>
        <w:p>
          <w:pPr>
            <w:pStyle w:val="TOC2"/>
            <w:numPr>
              <w:ilvl w:val="2"/>
              <w:numId w:val="1"/>
            </w:numPr>
            <w:tabs>
              <w:tab w:pos="2053" w:val="left" w:leader="none"/>
              <w:tab w:pos="2069" w:val="left" w:leader="none"/>
            </w:tabs>
            <w:spacing w:line="259" w:lineRule="auto" w:before="122" w:after="0"/>
            <w:ind w:left="2069" w:right="2034" w:hanging="624"/>
            <w:jc w:val="left"/>
          </w:pPr>
          <w:hyperlink w:history="true" w:anchor="_bookmark104">
            <w:r>
              <w:rPr/>
              <w:t>Programa de ayudas a municipios para la implantación de zonas de bajas</w:t>
            </w:r>
          </w:hyperlink>
          <w:r>
            <w:rPr/>
            <w:t> </w:t>
          </w:r>
          <w:hyperlink w:history="true" w:anchor="_bookmark104">
            <w:r>
              <w:rPr/>
              <w:t>emisiones</w:t>
            </w:r>
            <w:r>
              <w:rPr>
                <w:spacing w:val="-3"/>
              </w:rPr>
              <w:t> </w:t>
            </w:r>
            <w:r>
              <w:rPr/>
              <w:t>y</w:t>
            </w:r>
            <w:r>
              <w:rPr>
                <w:spacing w:val="-4"/>
              </w:rPr>
              <w:t> </w:t>
            </w:r>
            <w:r>
              <w:rPr/>
              <w:t>la</w:t>
            </w:r>
            <w:r>
              <w:rPr>
                <w:spacing w:val="-3"/>
              </w:rPr>
              <w:t> </w:t>
            </w:r>
            <w:r>
              <w:rPr/>
              <w:t>transformación</w:t>
            </w:r>
            <w:r>
              <w:rPr>
                <w:spacing w:val="-3"/>
              </w:rPr>
              <w:t> </w:t>
            </w:r>
            <w:r>
              <w:rPr/>
              <w:t>digital</w:t>
            </w:r>
            <w:r>
              <w:rPr>
                <w:spacing w:val="-4"/>
              </w:rPr>
              <w:t> </w:t>
            </w:r>
            <w:r>
              <w:rPr/>
              <w:t>y</w:t>
            </w:r>
            <w:r>
              <w:rPr>
                <w:spacing w:val="-2"/>
              </w:rPr>
              <w:t> </w:t>
            </w:r>
            <w:r>
              <w:rPr/>
              <w:t>sostenible</w:t>
            </w:r>
            <w:r>
              <w:rPr>
                <w:spacing w:val="-5"/>
              </w:rPr>
              <w:t> </w:t>
            </w:r>
            <w:r>
              <w:rPr/>
              <w:t>del</w:t>
            </w:r>
            <w:r>
              <w:rPr>
                <w:spacing w:val="-3"/>
              </w:rPr>
              <w:t> </w:t>
            </w:r>
            <w:r>
              <w:rPr/>
              <w:t>transporte</w:t>
            </w:r>
            <w:r>
              <w:rPr>
                <w:spacing w:val="-5"/>
              </w:rPr>
              <w:t> </w:t>
            </w:r>
            <w:r>
              <w:rPr/>
              <w:t>urbano,</w:t>
            </w:r>
            <w:r>
              <w:rPr>
                <w:spacing w:val="-4"/>
              </w:rPr>
              <w:t> </w:t>
            </w:r>
            <w:r>
              <w:rPr/>
              <w:t>en</w:t>
            </w:r>
            <w:r>
              <w:rPr>
                <w:spacing w:val="-3"/>
              </w:rPr>
              <w:t> </w:t>
            </w:r>
            <w:r>
              <w:rPr/>
              <w:t>el</w:t>
            </w:r>
          </w:hyperlink>
        </w:p>
        <w:p>
          <w:pPr>
            <w:pStyle w:val="TOC4"/>
            <w:tabs>
              <w:tab w:pos="10378" w:val="left" w:leader="dot"/>
            </w:tabs>
          </w:pPr>
          <w:hyperlink w:history="true" w:anchor="_bookmark104">
            <w:r>
              <w:rPr/>
              <w:t>marco</w:t>
            </w:r>
            <w:r>
              <w:rPr>
                <w:spacing w:val="-5"/>
              </w:rPr>
              <w:t> </w:t>
            </w:r>
            <w:r>
              <w:rPr/>
              <w:t>del</w:t>
            </w:r>
            <w:r>
              <w:rPr>
                <w:spacing w:val="-2"/>
              </w:rPr>
              <w:t> </w:t>
            </w:r>
            <w:r>
              <w:rPr>
                <w:spacing w:val="-4"/>
              </w:rPr>
              <w:t>PRTR</w:t>
            </w:r>
            <w:r>
              <w:rPr/>
              <w:tab/>
            </w:r>
            <w:r>
              <w:rPr>
                <w:spacing w:val="-7"/>
              </w:rPr>
              <w:t>81</w:t>
            </w:r>
          </w:hyperlink>
        </w:p>
        <w:p>
          <w:pPr>
            <w:pStyle w:val="TOC2"/>
            <w:numPr>
              <w:ilvl w:val="2"/>
              <w:numId w:val="1"/>
            </w:numPr>
            <w:tabs>
              <w:tab w:pos="2053" w:val="left" w:leader="none"/>
              <w:tab w:pos="10378" w:val="left" w:leader="dot"/>
            </w:tabs>
            <w:spacing w:line="240" w:lineRule="auto" w:before="119" w:after="0"/>
            <w:ind w:left="2053" w:right="0" w:hanging="608"/>
            <w:jc w:val="left"/>
          </w:pPr>
          <w:hyperlink w:history="true" w:anchor="_bookmark108">
            <w:r>
              <w:rPr/>
              <w:t>Análisis</w:t>
            </w:r>
            <w:r>
              <w:rPr>
                <w:spacing w:val="-6"/>
              </w:rPr>
              <w:t> </w:t>
            </w:r>
            <w:r>
              <w:rPr/>
              <w:t>del</w:t>
            </w:r>
            <w:r>
              <w:rPr>
                <w:spacing w:val="-7"/>
              </w:rPr>
              <w:t> </w:t>
            </w:r>
            <w:r>
              <w:rPr/>
              <w:t>cumplimiento</w:t>
            </w:r>
            <w:r>
              <w:rPr>
                <w:spacing w:val="-6"/>
              </w:rPr>
              <w:t> </w:t>
            </w:r>
            <w:r>
              <w:rPr/>
              <w:t>de</w:t>
            </w:r>
            <w:r>
              <w:rPr>
                <w:spacing w:val="-8"/>
              </w:rPr>
              <w:t> </w:t>
            </w:r>
            <w:r>
              <w:rPr/>
              <w:t>los</w:t>
            </w:r>
            <w:r>
              <w:rPr>
                <w:spacing w:val="-7"/>
              </w:rPr>
              <w:t> </w:t>
            </w:r>
            <w:r>
              <w:rPr/>
              <w:t>principios</w:t>
            </w:r>
            <w:r>
              <w:rPr>
                <w:spacing w:val="-6"/>
              </w:rPr>
              <w:t> </w:t>
            </w:r>
            <w:r>
              <w:rPr/>
              <w:t>transversales</w:t>
            </w:r>
            <w:r>
              <w:rPr>
                <w:spacing w:val="-9"/>
              </w:rPr>
              <w:t> </w:t>
            </w:r>
            <w:r>
              <w:rPr/>
              <w:t>del</w:t>
            </w:r>
            <w:r>
              <w:rPr>
                <w:spacing w:val="-2"/>
              </w:rPr>
              <w:t> </w:t>
            </w:r>
            <w:r>
              <w:rPr>
                <w:spacing w:val="-4"/>
              </w:rPr>
              <w:t>PRTR</w:t>
            </w:r>
            <w:r>
              <w:rPr/>
              <w:tab/>
            </w:r>
            <w:r>
              <w:rPr>
                <w:spacing w:val="-5"/>
              </w:rPr>
              <w:t>84</w:t>
            </w:r>
          </w:hyperlink>
        </w:p>
        <w:p>
          <w:pPr>
            <w:pStyle w:val="TOC1"/>
            <w:numPr>
              <w:ilvl w:val="1"/>
              <w:numId w:val="1"/>
            </w:numPr>
            <w:tabs>
              <w:tab w:pos="1638" w:val="left" w:leader="none"/>
              <w:tab w:pos="1666" w:val="left" w:leader="none"/>
              <w:tab w:pos="10387" w:val="left" w:leader="dot"/>
            </w:tabs>
            <w:spacing w:line="256" w:lineRule="auto" w:before="121" w:after="0"/>
            <w:ind w:left="1666" w:right="989" w:hanging="454"/>
            <w:jc w:val="left"/>
          </w:pPr>
          <w:hyperlink w:history="true" w:anchor="_bookmark112">
            <w:r>
              <w:rPr/>
              <w:t>CONSIDERACIONES SOBRE IGUALDAD EFECTIVA DE MUJERES Y HOMBRES Y</w:t>
            </w:r>
          </w:hyperlink>
          <w:r>
            <w:rPr/>
            <w:t> </w:t>
          </w:r>
          <w:hyperlink w:history="true" w:anchor="_bookmark112">
            <w:r>
              <w:rPr>
                <w:spacing w:val="-2"/>
              </w:rPr>
              <w:t>TRANSPARENCIA</w:t>
            </w:r>
            <w:r>
              <w:rPr/>
              <w:tab/>
            </w:r>
            <w:r>
              <w:rPr>
                <w:spacing w:val="-5"/>
              </w:rPr>
              <w:t>88</w:t>
            </w:r>
          </w:hyperlink>
        </w:p>
        <w:p>
          <w:pPr>
            <w:pStyle w:val="TOC2"/>
            <w:numPr>
              <w:ilvl w:val="2"/>
              <w:numId w:val="1"/>
            </w:numPr>
            <w:tabs>
              <w:tab w:pos="2053" w:val="left" w:leader="none"/>
              <w:tab w:pos="10378" w:val="left" w:leader="dot"/>
            </w:tabs>
            <w:spacing w:line="240" w:lineRule="auto" w:before="104" w:after="0"/>
            <w:ind w:left="2053" w:right="0" w:hanging="608"/>
            <w:jc w:val="left"/>
          </w:pPr>
          <w:hyperlink w:history="true" w:anchor="_bookmark113">
            <w:r>
              <w:rPr/>
              <w:t>Consideraciones</w:t>
            </w:r>
            <w:r>
              <w:rPr>
                <w:spacing w:val="-6"/>
              </w:rPr>
              <w:t> </w:t>
            </w:r>
            <w:r>
              <w:rPr/>
              <w:t>sobre</w:t>
            </w:r>
            <w:r>
              <w:rPr>
                <w:spacing w:val="-6"/>
              </w:rPr>
              <w:t> </w:t>
            </w:r>
            <w:r>
              <w:rPr/>
              <w:t>igualdad</w:t>
            </w:r>
            <w:r>
              <w:rPr>
                <w:spacing w:val="-5"/>
              </w:rPr>
              <w:t> </w:t>
            </w:r>
            <w:r>
              <w:rPr/>
              <w:t>efectiva</w:t>
            </w:r>
            <w:r>
              <w:rPr>
                <w:spacing w:val="-7"/>
              </w:rPr>
              <w:t> </w:t>
            </w:r>
            <w:r>
              <w:rPr/>
              <w:t>de</w:t>
            </w:r>
            <w:r>
              <w:rPr>
                <w:spacing w:val="-6"/>
              </w:rPr>
              <w:t> </w:t>
            </w:r>
            <w:r>
              <w:rPr/>
              <w:t>mujeres</w:t>
            </w:r>
            <w:r>
              <w:rPr>
                <w:spacing w:val="-7"/>
              </w:rPr>
              <w:t> </w:t>
            </w:r>
            <w:r>
              <w:rPr/>
              <w:t>y</w:t>
            </w:r>
            <w:r>
              <w:rPr>
                <w:spacing w:val="-7"/>
              </w:rPr>
              <w:t> </w:t>
            </w:r>
            <w:r>
              <w:rPr>
                <w:spacing w:val="-2"/>
              </w:rPr>
              <w:t>hombres</w:t>
            </w:r>
            <w:r>
              <w:rPr/>
              <w:tab/>
            </w:r>
            <w:r>
              <w:rPr>
                <w:spacing w:val="-5"/>
              </w:rPr>
              <w:t>88</w:t>
            </w:r>
          </w:hyperlink>
        </w:p>
        <w:p>
          <w:pPr>
            <w:pStyle w:val="TOC2"/>
            <w:numPr>
              <w:ilvl w:val="2"/>
              <w:numId w:val="1"/>
            </w:numPr>
            <w:tabs>
              <w:tab w:pos="2053" w:val="left" w:leader="none"/>
              <w:tab w:pos="10378" w:val="left" w:leader="dot"/>
            </w:tabs>
            <w:spacing w:line="240" w:lineRule="auto" w:before="119" w:after="0"/>
            <w:ind w:left="2053" w:right="0" w:hanging="608"/>
            <w:jc w:val="left"/>
          </w:pPr>
          <w:hyperlink w:history="true" w:anchor="_bookmark117">
            <w:r>
              <w:rPr/>
              <w:t>Consideraciones</w:t>
            </w:r>
            <w:r>
              <w:rPr>
                <w:spacing w:val="-11"/>
              </w:rPr>
              <w:t> </w:t>
            </w:r>
            <w:r>
              <w:rPr/>
              <w:t>sobre</w:t>
            </w:r>
            <w:r>
              <w:rPr>
                <w:spacing w:val="-12"/>
              </w:rPr>
              <w:t> </w:t>
            </w:r>
            <w:r>
              <w:rPr>
                <w:spacing w:val="-2"/>
              </w:rPr>
              <w:t>transparencia</w:t>
            </w:r>
            <w:r>
              <w:rPr/>
              <w:tab/>
            </w:r>
            <w:r>
              <w:rPr>
                <w:spacing w:val="-5"/>
              </w:rPr>
              <w:t>91</w:t>
            </w:r>
          </w:hyperlink>
        </w:p>
        <w:p>
          <w:pPr>
            <w:pStyle w:val="TOC1"/>
            <w:numPr>
              <w:ilvl w:val="0"/>
              <w:numId w:val="1"/>
            </w:numPr>
            <w:tabs>
              <w:tab w:pos="1523" w:val="left" w:leader="none"/>
              <w:tab w:pos="10387" w:val="left" w:leader="dot"/>
            </w:tabs>
            <w:spacing w:line="240" w:lineRule="auto" w:before="122" w:after="0"/>
            <w:ind w:left="1523" w:right="0" w:hanging="303"/>
            <w:jc w:val="left"/>
          </w:pPr>
          <w:hyperlink w:history="true" w:anchor="_bookmark118">
            <w:r>
              <w:rPr/>
              <w:t>CONCLUSIONES</w:t>
            </w:r>
            <w:r>
              <w:rPr>
                <w:spacing w:val="-8"/>
              </w:rPr>
              <w:t> </w:t>
            </w:r>
            <w:r>
              <w:rPr/>
              <w:t>Y</w:t>
            </w:r>
            <w:r>
              <w:rPr>
                <w:spacing w:val="-9"/>
              </w:rPr>
              <w:t> </w:t>
            </w:r>
            <w:r>
              <w:rPr>
                <w:spacing w:val="-2"/>
              </w:rPr>
              <w:t>RECOMENDACIONES</w:t>
            </w:r>
            <w:r>
              <w:rPr/>
              <w:tab/>
            </w:r>
            <w:r>
              <w:rPr>
                <w:spacing w:val="-5"/>
              </w:rPr>
              <w:t>94</w:t>
            </w:r>
          </w:hyperlink>
        </w:p>
        <w:p>
          <w:pPr>
            <w:pStyle w:val="TOC1"/>
            <w:numPr>
              <w:ilvl w:val="1"/>
              <w:numId w:val="1"/>
            </w:numPr>
            <w:tabs>
              <w:tab w:pos="1700" w:val="left" w:leader="none"/>
            </w:tabs>
            <w:spacing w:line="240" w:lineRule="auto" w:before="140" w:after="0"/>
            <w:ind w:left="1700" w:right="0" w:hanging="487"/>
            <w:jc w:val="left"/>
          </w:pPr>
          <w:hyperlink w:history="true" w:anchor="_bookmark119">
            <w:r>
              <w:rPr/>
              <w:t>RELATIVAS</w:t>
            </w:r>
            <w:r>
              <w:rPr>
                <w:spacing w:val="-10"/>
              </w:rPr>
              <w:t> </w:t>
            </w:r>
            <w:r>
              <w:rPr/>
              <w:t>A</w:t>
            </w:r>
            <w:r>
              <w:rPr>
                <w:spacing w:val="-5"/>
              </w:rPr>
              <w:t> </w:t>
            </w:r>
            <w:r>
              <w:rPr/>
              <w:t>LA</w:t>
            </w:r>
            <w:r>
              <w:rPr>
                <w:spacing w:val="-9"/>
              </w:rPr>
              <w:t> </w:t>
            </w:r>
            <w:r>
              <w:rPr/>
              <w:t>CARACTERÍSTICAS</w:t>
            </w:r>
            <w:r>
              <w:rPr>
                <w:spacing w:val="-8"/>
              </w:rPr>
              <w:t> </w:t>
            </w:r>
            <w:r>
              <w:rPr/>
              <w:t>DEL</w:t>
            </w:r>
            <w:r>
              <w:rPr>
                <w:spacing w:val="-6"/>
              </w:rPr>
              <w:t> </w:t>
            </w:r>
            <w:r>
              <w:rPr/>
              <w:t>SERVICIO</w:t>
            </w:r>
            <w:r>
              <w:rPr>
                <w:spacing w:val="-6"/>
              </w:rPr>
              <w:t> </w:t>
            </w:r>
            <w:r>
              <w:rPr/>
              <w:t>DE</w:t>
            </w:r>
            <w:r>
              <w:rPr>
                <w:spacing w:val="-7"/>
              </w:rPr>
              <w:t> </w:t>
            </w:r>
            <w:r>
              <w:rPr>
                <w:spacing w:val="-2"/>
              </w:rPr>
              <w:t>TRANPSORTE</w:t>
            </w:r>
          </w:hyperlink>
        </w:p>
        <w:p>
          <w:pPr>
            <w:pStyle w:val="TOC3"/>
            <w:tabs>
              <w:tab w:pos="10387" w:val="left" w:leader="dot"/>
            </w:tabs>
          </w:pPr>
          <w:hyperlink w:history="true" w:anchor="_bookmark119">
            <w:r>
              <w:rPr/>
              <w:t>PÚBLICO</w:t>
            </w:r>
            <w:r>
              <w:rPr>
                <w:spacing w:val="-7"/>
              </w:rPr>
              <w:t> </w:t>
            </w:r>
            <w:r>
              <w:rPr/>
              <w:t>COLECTIVO</w:t>
            </w:r>
            <w:r>
              <w:rPr>
                <w:spacing w:val="-8"/>
              </w:rPr>
              <w:t> </w:t>
            </w:r>
            <w:r>
              <w:rPr/>
              <w:t>EN</w:t>
            </w:r>
            <w:r>
              <w:rPr>
                <w:spacing w:val="-5"/>
              </w:rPr>
              <w:t> </w:t>
            </w:r>
            <w:r>
              <w:rPr/>
              <w:t>LAS</w:t>
            </w:r>
            <w:r>
              <w:rPr>
                <w:spacing w:val="-5"/>
              </w:rPr>
              <w:t> </w:t>
            </w:r>
            <w:r>
              <w:rPr/>
              <w:t>ENTIDADES</w:t>
            </w:r>
            <w:r>
              <w:rPr>
                <w:spacing w:val="-5"/>
              </w:rPr>
              <w:t> </w:t>
            </w:r>
            <w:r>
              <w:rPr>
                <w:spacing w:val="-2"/>
              </w:rPr>
              <w:t>FISCALIZADAS</w:t>
            </w:r>
            <w:r>
              <w:rPr/>
              <w:tab/>
            </w:r>
            <w:r>
              <w:rPr>
                <w:spacing w:val="-5"/>
              </w:rPr>
              <w:t>94</w:t>
            </w:r>
          </w:hyperlink>
        </w:p>
      </w:sdtContent>
    </w:sdt>
    <w:p>
      <w:pPr>
        <w:pStyle w:val="TOC3"/>
        <w:spacing w:after="0"/>
        <w:sectPr>
          <w:headerReference w:type="default" r:id="rId11"/>
          <w:footerReference w:type="default" r:id="rId12"/>
          <w:footerReference w:type="even" r:id="rId13"/>
          <w:pgSz w:w="11910" w:h="16840"/>
          <w:pgMar w:header="0" w:footer="839" w:top="1220" w:bottom="1020" w:left="141" w:right="141"/>
          <w:pgNumType w:start="1"/>
        </w:sectPr>
      </w:pPr>
    </w:p>
    <w:p>
      <w:pPr>
        <w:pStyle w:val="BodyText"/>
        <w:rPr>
          <w:b/>
        </w:rPr>
      </w:pPr>
    </w:p>
    <w:p>
      <w:pPr>
        <w:pStyle w:val="BodyText"/>
        <w:rPr>
          <w:b/>
        </w:rPr>
      </w:pPr>
    </w:p>
    <w:p>
      <w:pPr>
        <w:pStyle w:val="BodyText"/>
        <w:rPr>
          <w:b/>
        </w:rPr>
      </w:pPr>
    </w:p>
    <w:p>
      <w:pPr>
        <w:pStyle w:val="BodyText"/>
        <w:spacing w:before="137"/>
        <w:rPr>
          <w:b/>
        </w:rPr>
      </w:pPr>
    </w:p>
    <w:p>
      <w:pPr>
        <w:pStyle w:val="ListParagraph"/>
        <w:numPr>
          <w:ilvl w:val="1"/>
          <w:numId w:val="2"/>
        </w:numPr>
        <w:tabs>
          <w:tab w:pos="1700" w:val="left" w:leader="none"/>
          <w:tab w:pos="10387" w:val="left" w:leader="dot"/>
        </w:tabs>
        <w:spacing w:line="240" w:lineRule="auto" w:before="0" w:after="0"/>
        <w:ind w:left="1700" w:right="0" w:hanging="487"/>
        <w:jc w:val="left"/>
        <w:rPr>
          <w:b/>
          <w:sz w:val="22"/>
        </w:rPr>
      </w:pPr>
      <w:hyperlink w:history="true" w:anchor="_bookmark120">
        <w:r>
          <w:rPr>
            <w:b/>
            <w:sz w:val="22"/>
          </w:rPr>
          <w:t>RELATIVAS</w:t>
        </w:r>
        <w:r>
          <w:rPr>
            <w:b/>
            <w:spacing w:val="-11"/>
            <w:sz w:val="22"/>
          </w:rPr>
          <w:t> </w:t>
        </w:r>
        <w:r>
          <w:rPr>
            <w:b/>
            <w:sz w:val="22"/>
          </w:rPr>
          <w:t>A</w:t>
        </w:r>
        <w:r>
          <w:rPr>
            <w:b/>
            <w:spacing w:val="-7"/>
            <w:sz w:val="22"/>
          </w:rPr>
          <w:t> </w:t>
        </w:r>
        <w:r>
          <w:rPr>
            <w:b/>
            <w:sz w:val="22"/>
          </w:rPr>
          <w:t>LA</w:t>
        </w:r>
        <w:r>
          <w:rPr>
            <w:b/>
            <w:spacing w:val="-9"/>
            <w:sz w:val="22"/>
          </w:rPr>
          <w:t> </w:t>
        </w:r>
        <w:r>
          <w:rPr>
            <w:b/>
            <w:sz w:val="22"/>
          </w:rPr>
          <w:t>PLANIFICACIÓN</w:t>
        </w:r>
        <w:r>
          <w:rPr>
            <w:b/>
            <w:spacing w:val="-7"/>
            <w:sz w:val="22"/>
          </w:rPr>
          <w:t> </w:t>
        </w:r>
        <w:r>
          <w:rPr>
            <w:b/>
            <w:sz w:val="22"/>
          </w:rPr>
          <w:t>SOBRE</w:t>
        </w:r>
        <w:r>
          <w:rPr>
            <w:b/>
            <w:spacing w:val="-7"/>
            <w:sz w:val="22"/>
          </w:rPr>
          <w:t> </w:t>
        </w:r>
        <w:r>
          <w:rPr>
            <w:b/>
            <w:sz w:val="22"/>
          </w:rPr>
          <w:t>MOVILIDAD</w:t>
        </w:r>
        <w:r>
          <w:rPr>
            <w:b/>
            <w:spacing w:val="-9"/>
            <w:sz w:val="22"/>
          </w:rPr>
          <w:t> </w:t>
        </w:r>
        <w:r>
          <w:rPr>
            <w:b/>
            <w:spacing w:val="-2"/>
            <w:sz w:val="22"/>
          </w:rPr>
          <w:t>SOSTENIBLE</w:t>
        </w:r>
        <w:r>
          <w:rPr>
            <w:b/>
            <w:sz w:val="22"/>
          </w:rPr>
          <w:tab/>
        </w:r>
        <w:r>
          <w:rPr>
            <w:b/>
            <w:spacing w:val="-5"/>
            <w:sz w:val="22"/>
          </w:rPr>
          <w:t>95</w:t>
        </w:r>
      </w:hyperlink>
    </w:p>
    <w:p>
      <w:pPr>
        <w:pStyle w:val="Heading4"/>
        <w:numPr>
          <w:ilvl w:val="1"/>
          <w:numId w:val="2"/>
        </w:numPr>
        <w:tabs>
          <w:tab w:pos="1666" w:val="left" w:leader="none"/>
          <w:tab w:pos="1699" w:val="left" w:leader="none"/>
          <w:tab w:pos="10387" w:val="left" w:leader="dot"/>
        </w:tabs>
        <w:spacing w:line="256" w:lineRule="auto" w:before="124" w:after="0"/>
        <w:ind w:left="1666" w:right="989" w:hanging="454"/>
        <w:jc w:val="left"/>
      </w:pPr>
      <w:hyperlink w:history="true" w:anchor="_bookmark121">
        <w:r>
          <w:rPr/>
          <w:t>RELATIVAS</w:t>
        </w:r>
        <w:r>
          <w:rPr>
            <w:spacing w:val="40"/>
          </w:rPr>
          <w:t> </w:t>
        </w:r>
        <w:r>
          <w:rPr/>
          <w:t>A LAS ACTUACIONES REALIZADAS PARA LOGRAR LA</w:t>
        </w:r>
      </w:hyperlink>
      <w:r>
        <w:rPr/>
        <w:t> </w:t>
      </w:r>
      <w:hyperlink w:history="true" w:anchor="_bookmark121">
        <w:r>
          <w:rPr/>
          <w:t>SOSTENIBILIDAD EN EL TRANSPORTE PÚBLICO COLECTIVO</w:t>
          <w:tab/>
        </w:r>
        <w:r>
          <w:rPr>
            <w:spacing w:val="-6"/>
          </w:rPr>
          <w:t>96</w:t>
        </w:r>
      </w:hyperlink>
    </w:p>
    <w:p>
      <w:pPr>
        <w:pStyle w:val="Heading4"/>
        <w:numPr>
          <w:ilvl w:val="1"/>
          <w:numId w:val="2"/>
        </w:numPr>
        <w:tabs>
          <w:tab w:pos="1666" w:val="left" w:leader="none"/>
          <w:tab w:pos="1699" w:val="left" w:leader="none"/>
          <w:tab w:pos="10387" w:val="left" w:leader="dot"/>
        </w:tabs>
        <w:spacing w:line="256" w:lineRule="auto" w:before="104" w:after="0"/>
        <w:ind w:left="1666" w:right="989" w:hanging="454"/>
        <w:jc w:val="left"/>
      </w:pPr>
      <w:hyperlink w:history="true" w:anchor="_bookmark122">
        <w:r>
          <w:rPr/>
          <w:t>RELATIVAS</w:t>
        </w:r>
        <w:r>
          <w:rPr>
            <w:spacing w:val="40"/>
          </w:rPr>
          <w:t> </w:t>
        </w:r>
        <w:r>
          <w:rPr/>
          <w:t>AL SEGUIMIENTO Y CONTROL DE LA EJECUCIÓN DE LAS</w:t>
        </w:r>
      </w:hyperlink>
      <w:r>
        <w:rPr/>
        <w:t> </w:t>
      </w:r>
      <w:hyperlink w:history="true" w:anchor="_bookmark122">
        <w:r>
          <w:rPr/>
          <w:t>ACTUACIONES FISCALIZADAS Y A LAS ENCUESTAS DE SATISFACCIÓN</w:t>
          <w:tab/>
        </w:r>
        <w:r>
          <w:rPr>
            <w:spacing w:val="-6"/>
          </w:rPr>
          <w:t>99</w:t>
        </w:r>
      </w:hyperlink>
    </w:p>
    <w:p>
      <w:pPr>
        <w:pStyle w:val="Heading4"/>
        <w:numPr>
          <w:ilvl w:val="1"/>
          <w:numId w:val="2"/>
        </w:numPr>
        <w:tabs>
          <w:tab w:pos="1666" w:val="left" w:leader="none"/>
          <w:tab w:pos="1699" w:val="left" w:leader="none"/>
        </w:tabs>
        <w:spacing w:line="259" w:lineRule="auto" w:before="104" w:after="0"/>
        <w:ind w:left="1666" w:right="1694" w:hanging="454"/>
        <w:jc w:val="left"/>
      </w:pPr>
      <w:hyperlink w:history="true" w:anchor="_bookmark123">
        <w:r>
          <w:rPr/>
          <w:t>RELATIVAS</w:t>
        </w:r>
        <w:r>
          <w:rPr>
            <w:spacing w:val="40"/>
          </w:rPr>
          <w:t> </w:t>
        </w:r>
        <w:r>
          <w:rPr/>
          <w:t>A LAS SUBVENCIONES RECIBIDAS POR LOS AYUNTAMIENTOS</w:t>
        </w:r>
      </w:hyperlink>
      <w:r>
        <w:rPr/>
        <w:t> </w:t>
      </w:r>
      <w:hyperlink w:history="true" w:anchor="_bookmark123">
        <w:r>
          <w:rPr/>
          <w:t>FISCALIZADOS PROCEDENTES DEL PROGRAMA DE AYUDAS A MUNICIPIOS</w:t>
        </w:r>
      </w:hyperlink>
      <w:r>
        <w:rPr/>
        <w:t> </w:t>
      </w:r>
      <w:hyperlink w:history="true" w:anchor="_bookmark123">
        <w:r>
          <w:rPr/>
          <w:t>PARA LA IMPLANTACIÓN DE ZONAS DE BAJAS EMISIONES Y LA</w:t>
        </w:r>
      </w:hyperlink>
      <w:r>
        <w:rPr/>
        <w:t> </w:t>
      </w:r>
      <w:hyperlink w:history="true" w:anchor="_bookmark123">
        <w:r>
          <w:rPr/>
          <w:t>TRANSFORMACIÓN</w:t>
        </w:r>
        <w:r>
          <w:rPr>
            <w:spacing w:val="-7"/>
          </w:rPr>
          <w:t> </w:t>
        </w:r>
        <w:r>
          <w:rPr/>
          <w:t>DIGITAL</w:t>
        </w:r>
        <w:r>
          <w:rPr>
            <w:spacing w:val="-6"/>
          </w:rPr>
          <w:t> </w:t>
        </w:r>
        <w:r>
          <w:rPr/>
          <w:t>Y</w:t>
        </w:r>
        <w:r>
          <w:rPr>
            <w:spacing w:val="-5"/>
          </w:rPr>
          <w:t> </w:t>
        </w:r>
        <w:r>
          <w:rPr/>
          <w:t>SOSTENIBLE</w:t>
        </w:r>
        <w:r>
          <w:rPr>
            <w:spacing w:val="-7"/>
          </w:rPr>
          <w:t> </w:t>
        </w:r>
        <w:r>
          <w:rPr/>
          <w:t>DEL</w:t>
        </w:r>
        <w:r>
          <w:rPr>
            <w:spacing w:val="-5"/>
          </w:rPr>
          <w:t> </w:t>
        </w:r>
        <w:r>
          <w:rPr/>
          <w:t>TRANSPORTE</w:t>
        </w:r>
        <w:r>
          <w:rPr>
            <w:spacing w:val="-5"/>
          </w:rPr>
          <w:t> </w:t>
        </w:r>
        <w:r>
          <w:rPr/>
          <w:t>URBANO,</w:t>
        </w:r>
        <w:r>
          <w:rPr>
            <w:spacing w:val="-3"/>
          </w:rPr>
          <w:t> </w:t>
        </w:r>
        <w:r>
          <w:rPr/>
          <w:t>EN</w:t>
        </w:r>
      </w:hyperlink>
      <w:r>
        <w:rPr/>
        <w:t> </w:t>
      </w:r>
      <w:hyperlink w:history="true" w:anchor="_bookmark123">
        <w:r>
          <w:rPr/>
          <w:t>EL MARCO DEL PLAN DE RECUPERACIÓN, TRANSFORMACIÓN, Y</w:t>
        </w:r>
      </w:hyperlink>
      <w:r>
        <w:rPr/>
        <w:t> </w:t>
      </w:r>
      <w:hyperlink w:history="true" w:anchor="_bookmark123">
        <w:r>
          <w:rPr/>
          <w:t>RESILIENCIA (PRTR), Y DEL CUMPLIMIENTO DE LOS PRINCIPIOS</w:t>
        </w:r>
      </w:hyperlink>
    </w:p>
    <w:p>
      <w:pPr>
        <w:pStyle w:val="Heading4"/>
        <w:tabs>
          <w:tab w:pos="10265" w:val="left" w:leader="dot"/>
        </w:tabs>
        <w:spacing w:line="251" w:lineRule="exact"/>
        <w:ind w:left="1666"/>
        <w:jc w:val="left"/>
      </w:pPr>
      <w:hyperlink w:history="true" w:anchor="_bookmark123">
        <w:r>
          <w:rPr/>
          <w:t>TRANSVERSALES</w:t>
        </w:r>
        <w:r>
          <w:rPr>
            <w:spacing w:val="-7"/>
          </w:rPr>
          <w:t> </w:t>
        </w:r>
        <w:r>
          <w:rPr/>
          <w:t>DEL</w:t>
        </w:r>
        <w:r>
          <w:rPr>
            <w:spacing w:val="-7"/>
          </w:rPr>
          <w:t> </w:t>
        </w:r>
        <w:r>
          <w:rPr>
            <w:spacing w:val="-4"/>
          </w:rPr>
          <w:t>PRTR</w:t>
        </w:r>
        <w:r>
          <w:rPr/>
          <w:tab/>
        </w:r>
        <w:r>
          <w:rPr>
            <w:spacing w:val="-5"/>
          </w:rPr>
          <w:t>101</w:t>
        </w:r>
      </w:hyperlink>
    </w:p>
    <w:p>
      <w:pPr>
        <w:pStyle w:val="Heading4"/>
        <w:numPr>
          <w:ilvl w:val="1"/>
          <w:numId w:val="2"/>
        </w:numPr>
        <w:tabs>
          <w:tab w:pos="1666" w:val="left" w:leader="none"/>
          <w:tab w:pos="1699" w:val="left" w:leader="none"/>
          <w:tab w:pos="10265" w:val="left" w:leader="dot"/>
        </w:tabs>
        <w:spacing w:line="256" w:lineRule="auto" w:before="122" w:after="0"/>
        <w:ind w:left="1666" w:right="989" w:hanging="454"/>
        <w:jc w:val="left"/>
      </w:pPr>
      <w:hyperlink w:history="true" w:anchor="_bookmark124">
        <w:r>
          <w:rPr/>
          <w:t>RELATIVAS</w:t>
        </w:r>
        <w:r>
          <w:rPr>
            <w:spacing w:val="40"/>
          </w:rPr>
          <w:t> </w:t>
        </w:r>
        <w:r>
          <w:rPr/>
          <w:t>A LA IGUALDAD EFECTIVA DE MUJERES Y HOMBRES Y</w:t>
        </w:r>
      </w:hyperlink>
      <w:r>
        <w:rPr/>
        <w:t> </w:t>
      </w:r>
      <w:hyperlink w:history="true" w:anchor="_bookmark124">
        <w:r>
          <w:rPr>
            <w:spacing w:val="-2"/>
          </w:rPr>
          <w:t>TRANSPARENCIA</w:t>
        </w:r>
        <w:r>
          <w:rPr/>
          <w:tab/>
        </w:r>
        <w:r>
          <w:rPr>
            <w:spacing w:val="-5"/>
          </w:rPr>
          <w:t>102</w:t>
        </w:r>
      </w:hyperlink>
    </w:p>
    <w:p>
      <w:pPr>
        <w:pStyle w:val="Heading4"/>
        <w:tabs>
          <w:tab w:pos="10265" w:val="left" w:leader="dot"/>
        </w:tabs>
        <w:spacing w:before="104"/>
        <w:ind w:left="1220"/>
        <w:jc w:val="left"/>
      </w:pPr>
      <w:hyperlink w:history="true" w:anchor="_bookmark125">
        <w:r>
          <w:rPr>
            <w:spacing w:val="-2"/>
          </w:rPr>
          <w:t>ANEXOS</w:t>
        </w:r>
        <w:r>
          <w:rPr/>
          <w:tab/>
        </w:r>
        <w:r>
          <w:rPr>
            <w:spacing w:val="-5"/>
          </w:rPr>
          <w:t>103</w:t>
        </w:r>
      </w:hyperlink>
    </w:p>
    <w:p>
      <w:pPr>
        <w:pStyle w:val="Heading4"/>
        <w:tabs>
          <w:tab w:pos="10265" w:val="left" w:leader="dot"/>
        </w:tabs>
        <w:spacing w:before="140"/>
        <w:ind w:left="1220"/>
        <w:jc w:val="left"/>
      </w:pPr>
      <w:hyperlink w:history="true" w:anchor="_bookmark158">
        <w:r>
          <w:rPr/>
          <w:t>ALEGACIONES</w:t>
        </w:r>
        <w:r>
          <w:rPr>
            <w:spacing w:val="-9"/>
          </w:rPr>
          <w:t> </w:t>
        </w:r>
        <w:r>
          <w:rPr>
            <w:spacing w:val="-2"/>
          </w:rPr>
          <w:t>FORMULADAS</w:t>
        </w:r>
        <w:r>
          <w:rPr/>
          <w:tab/>
        </w:r>
        <w:r>
          <w:rPr>
            <w:spacing w:val="-5"/>
          </w:rPr>
          <w:t>133</w:t>
        </w:r>
      </w:hyperlink>
    </w:p>
    <w:p>
      <w:pPr>
        <w:pStyle w:val="Heading4"/>
        <w:spacing w:after="0"/>
        <w:jc w:val="left"/>
        <w:sectPr>
          <w:headerReference w:type="even" r:id="rId15"/>
          <w:headerReference w:type="default" r:id="rId16"/>
          <w:pgSz w:w="11910" w:h="16840"/>
          <w:pgMar w:header="1203" w:footer="0" w:top="1400" w:bottom="1020" w:left="141" w:right="141"/>
        </w:sectPr>
      </w:pPr>
    </w:p>
    <w:p>
      <w:pPr>
        <w:pStyle w:val="BodyText"/>
        <w:rPr>
          <w:b/>
        </w:rPr>
      </w:pPr>
    </w:p>
    <w:p>
      <w:pPr>
        <w:pStyle w:val="BodyText"/>
        <w:rPr>
          <w:b/>
        </w:rPr>
      </w:pPr>
    </w:p>
    <w:p>
      <w:pPr>
        <w:pStyle w:val="BodyText"/>
        <w:rPr>
          <w:b/>
        </w:rPr>
      </w:pPr>
    </w:p>
    <w:p>
      <w:pPr>
        <w:pStyle w:val="BodyText"/>
        <w:rPr>
          <w:b/>
        </w:rPr>
      </w:pPr>
    </w:p>
    <w:p>
      <w:pPr>
        <w:pStyle w:val="BodyText"/>
        <w:spacing w:before="167"/>
        <w:rPr>
          <w:b/>
        </w:rPr>
      </w:pPr>
    </w:p>
    <w:p>
      <w:pPr>
        <w:pStyle w:val="Heading4"/>
        <w:ind w:left="0" w:right="1"/>
      </w:pPr>
      <w:r>
        <w:rPr/>
        <mc:AlternateContent>
          <mc:Choice Requires="wps">
            <w:drawing>
              <wp:anchor distT="0" distB="0" distL="0" distR="0" allowOverlap="1" layoutInCell="1" locked="0" behindDoc="1" simplePos="0" relativeHeight="487589888">
                <wp:simplePos x="0" y="0"/>
                <wp:positionH relativeFrom="page">
                  <wp:posOffset>701344</wp:posOffset>
                </wp:positionH>
                <wp:positionV relativeFrom="paragraph">
                  <wp:posOffset>172280</wp:posOffset>
                </wp:positionV>
                <wp:extent cx="6158230" cy="6350"/>
                <wp:effectExtent l="0" t="0" r="0" b="0"/>
                <wp:wrapTopAndBottom/>
                <wp:docPr id="19" name="Graphic 19"/>
                <wp:cNvGraphicFramePr>
                  <a:graphicFrameLocks/>
                </wp:cNvGraphicFramePr>
                <a:graphic>
                  <a:graphicData uri="http://schemas.microsoft.com/office/word/2010/wordprocessingShape">
                    <wps:wsp>
                      <wps:cNvPr id="19" name="Graphic 19"/>
                      <wps:cNvSpPr/>
                      <wps:spPr>
                        <a:xfrm>
                          <a:off x="0" y="0"/>
                          <a:ext cx="6158230" cy="6350"/>
                        </a:xfrm>
                        <a:custGeom>
                          <a:avLst/>
                          <a:gdLst/>
                          <a:ahLst/>
                          <a:cxnLst/>
                          <a:rect l="l" t="t" r="r" b="b"/>
                          <a:pathLst>
                            <a:path w="6158230" h="6350">
                              <a:moveTo>
                                <a:pt x="6158230" y="0"/>
                              </a:moveTo>
                              <a:lnTo>
                                <a:pt x="0" y="0"/>
                              </a:lnTo>
                              <a:lnTo>
                                <a:pt x="0" y="6096"/>
                              </a:lnTo>
                              <a:lnTo>
                                <a:pt x="6158230" y="6096"/>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13.565361pt;width:484.9pt;height:.48001pt;mso-position-horizontal-relative:page;mso-position-vertical-relative:paragraph;z-index:-15726592;mso-wrap-distance-left:0;mso-wrap-distance-right:0" id="docshape12" filled="true" fillcolor="#000000" stroked="false">
                <v:fill type="solid"/>
                <w10:wrap type="topAndBottom"/>
              </v:rect>
            </w:pict>
          </mc:Fallback>
        </mc:AlternateContent>
      </w:r>
      <w:r>
        <w:rPr/>
        <w:t>RELACIÓN</w:t>
      </w:r>
      <w:r>
        <w:rPr>
          <w:spacing w:val="-7"/>
        </w:rPr>
        <w:t> </w:t>
      </w:r>
      <w:r>
        <w:rPr/>
        <w:t>DE</w:t>
      </w:r>
      <w:r>
        <w:rPr>
          <w:spacing w:val="-6"/>
        </w:rPr>
        <w:t> </w:t>
      </w:r>
      <w:r>
        <w:rPr>
          <w:spacing w:val="-2"/>
        </w:rPr>
        <w:t>ABREVIATURAS</w:t>
      </w:r>
    </w:p>
    <w:p>
      <w:pPr>
        <w:pStyle w:val="BodyText"/>
        <w:spacing w:before="171"/>
        <w:rPr>
          <w:b/>
        </w:rPr>
      </w:pPr>
    </w:p>
    <w:p>
      <w:pPr>
        <w:pStyle w:val="BodyText"/>
        <w:tabs>
          <w:tab w:pos="2912" w:val="left" w:leader="none"/>
        </w:tabs>
        <w:spacing w:before="1"/>
        <w:ind w:left="1277"/>
      </w:pPr>
      <w:r>
        <w:rPr>
          <w:b/>
          <w:spacing w:val="-5"/>
        </w:rPr>
        <w:t>BEI</w:t>
      </w:r>
      <w:r>
        <w:rPr>
          <w:b/>
        </w:rPr>
        <w:tab/>
      </w:r>
      <w:r>
        <w:rPr/>
        <w:t>Banco</w:t>
      </w:r>
      <w:r>
        <w:rPr>
          <w:spacing w:val="-4"/>
        </w:rPr>
        <w:t> </w:t>
      </w:r>
      <w:r>
        <w:rPr/>
        <w:t>Europeo</w:t>
      </w:r>
      <w:r>
        <w:rPr>
          <w:spacing w:val="-6"/>
        </w:rPr>
        <w:t> </w:t>
      </w:r>
      <w:r>
        <w:rPr/>
        <w:t>de</w:t>
      </w:r>
      <w:r>
        <w:rPr>
          <w:spacing w:val="-5"/>
        </w:rPr>
        <w:t> </w:t>
      </w:r>
      <w:r>
        <w:rPr>
          <w:spacing w:val="-2"/>
        </w:rPr>
        <w:t>Inversiones.</w:t>
      </w:r>
    </w:p>
    <w:p>
      <w:pPr>
        <w:pStyle w:val="BodyText"/>
        <w:tabs>
          <w:tab w:pos="2912" w:val="left" w:leader="none"/>
        </w:tabs>
        <w:spacing w:before="140"/>
        <w:ind w:left="1277"/>
      </w:pPr>
      <w:r>
        <w:rPr>
          <w:b/>
          <w:spacing w:val="-5"/>
        </w:rPr>
        <w:t>BTR</w:t>
      </w:r>
      <w:r>
        <w:rPr>
          <w:b/>
        </w:rPr>
        <w:tab/>
      </w:r>
      <w:r>
        <w:rPr/>
        <w:t>Bus</w:t>
      </w:r>
      <w:r>
        <w:rPr>
          <w:spacing w:val="-4"/>
        </w:rPr>
        <w:t> </w:t>
      </w:r>
      <w:r>
        <w:rPr/>
        <w:t>Tránsito</w:t>
      </w:r>
      <w:r>
        <w:rPr>
          <w:spacing w:val="-4"/>
        </w:rPr>
        <w:t> </w:t>
      </w:r>
      <w:r>
        <w:rPr>
          <w:spacing w:val="-2"/>
        </w:rPr>
        <w:t>Rápido</w:t>
      </w:r>
    </w:p>
    <w:p>
      <w:pPr>
        <w:pStyle w:val="BodyText"/>
        <w:tabs>
          <w:tab w:pos="2912" w:val="left" w:leader="none"/>
        </w:tabs>
        <w:spacing w:before="140"/>
        <w:ind w:left="1277"/>
        <w:rPr>
          <w:position w:val="2"/>
        </w:rPr>
      </w:pPr>
      <w:r>
        <w:rPr>
          <w:b/>
          <w:spacing w:val="-5"/>
          <w:position w:val="2"/>
        </w:rPr>
        <w:t>CO</w:t>
      </w:r>
      <w:r>
        <w:rPr>
          <w:b/>
          <w:spacing w:val="-5"/>
          <w:sz w:val="14"/>
        </w:rPr>
        <w:t>2</w:t>
      </w:r>
      <w:r>
        <w:rPr>
          <w:b/>
          <w:sz w:val="14"/>
        </w:rPr>
        <w:tab/>
      </w:r>
      <w:r>
        <w:rPr>
          <w:position w:val="2"/>
        </w:rPr>
        <w:t>Dióxido</w:t>
      </w:r>
      <w:r>
        <w:rPr>
          <w:spacing w:val="-5"/>
          <w:position w:val="2"/>
        </w:rPr>
        <w:t> </w:t>
      </w:r>
      <w:r>
        <w:rPr>
          <w:position w:val="2"/>
        </w:rPr>
        <w:t>de</w:t>
      </w:r>
      <w:r>
        <w:rPr>
          <w:spacing w:val="-5"/>
          <w:position w:val="2"/>
        </w:rPr>
        <w:t> </w:t>
      </w:r>
      <w:r>
        <w:rPr>
          <w:spacing w:val="-2"/>
          <w:position w:val="2"/>
        </w:rPr>
        <w:t>carbono</w:t>
      </w:r>
    </w:p>
    <w:p>
      <w:pPr>
        <w:pStyle w:val="BodyText"/>
        <w:tabs>
          <w:tab w:pos="2912" w:val="left" w:leader="none"/>
        </w:tabs>
        <w:spacing w:before="138"/>
        <w:ind w:left="1277"/>
      </w:pPr>
      <w:r>
        <w:rPr>
          <w:b/>
          <w:spacing w:val="-5"/>
        </w:rPr>
        <w:t>GNC</w:t>
      </w:r>
      <w:r>
        <w:rPr>
          <w:b/>
        </w:rPr>
        <w:tab/>
      </w:r>
      <w:r>
        <w:rPr/>
        <w:t>Gas</w:t>
      </w:r>
      <w:r>
        <w:rPr>
          <w:spacing w:val="-4"/>
        </w:rPr>
        <w:t> </w:t>
      </w:r>
      <w:r>
        <w:rPr/>
        <w:t>natural</w:t>
      </w:r>
      <w:r>
        <w:rPr>
          <w:spacing w:val="-5"/>
        </w:rPr>
        <w:t> </w:t>
      </w:r>
      <w:r>
        <w:rPr>
          <w:spacing w:val="-2"/>
        </w:rPr>
        <w:t>comprimido</w:t>
      </w:r>
    </w:p>
    <w:p>
      <w:pPr>
        <w:pStyle w:val="BodyText"/>
        <w:tabs>
          <w:tab w:pos="2912" w:val="left" w:leader="none"/>
        </w:tabs>
        <w:spacing w:before="139"/>
        <w:ind w:left="1277"/>
      </w:pPr>
      <w:r>
        <w:rPr>
          <w:b/>
          <w:spacing w:val="-4"/>
        </w:rPr>
        <w:t>IGIC</w:t>
      </w:r>
      <w:r>
        <w:rPr>
          <w:b/>
        </w:rPr>
        <w:tab/>
      </w:r>
      <w:r>
        <w:rPr/>
        <w:t>Impuesto</w:t>
      </w:r>
      <w:r>
        <w:rPr>
          <w:spacing w:val="-9"/>
        </w:rPr>
        <w:t> </w:t>
      </w:r>
      <w:r>
        <w:rPr/>
        <w:t>General</w:t>
      </w:r>
      <w:r>
        <w:rPr>
          <w:spacing w:val="-8"/>
        </w:rPr>
        <w:t> </w:t>
      </w:r>
      <w:r>
        <w:rPr/>
        <w:t>Indirecto</w:t>
      </w:r>
      <w:r>
        <w:rPr>
          <w:spacing w:val="-6"/>
        </w:rPr>
        <w:t> </w:t>
      </w:r>
      <w:r>
        <w:rPr>
          <w:spacing w:val="-2"/>
        </w:rPr>
        <w:t>Canario</w:t>
      </w:r>
    </w:p>
    <w:p>
      <w:pPr>
        <w:tabs>
          <w:tab w:pos="2912" w:val="left" w:leader="none"/>
        </w:tabs>
        <w:spacing w:before="141"/>
        <w:ind w:left="1277" w:right="0" w:firstLine="0"/>
        <w:jc w:val="left"/>
        <w:rPr>
          <w:sz w:val="22"/>
        </w:rPr>
      </w:pPr>
      <w:r>
        <w:rPr>
          <w:b/>
          <w:spacing w:val="-5"/>
          <w:sz w:val="22"/>
        </w:rPr>
        <w:t>Km</w:t>
      </w:r>
      <w:r>
        <w:rPr>
          <w:b/>
          <w:sz w:val="22"/>
        </w:rPr>
        <w:tab/>
      </w:r>
      <w:r>
        <w:rPr>
          <w:spacing w:val="-2"/>
          <w:sz w:val="22"/>
        </w:rPr>
        <w:t>Kilómetro</w:t>
      </w:r>
    </w:p>
    <w:p>
      <w:pPr>
        <w:pStyle w:val="BodyText"/>
        <w:tabs>
          <w:tab w:pos="2912" w:val="left" w:leader="none"/>
        </w:tabs>
        <w:spacing w:line="259" w:lineRule="auto" w:before="140"/>
        <w:ind w:left="2912" w:right="1276" w:hanging="1635"/>
        <w:jc w:val="both"/>
      </w:pPr>
      <w:r>
        <w:rPr>
          <w:b/>
          <w:spacing w:val="-4"/>
        </w:rPr>
        <w:t>LCSP</w:t>
      </w:r>
      <w:r>
        <w:rPr>
          <w:b/>
        </w:rPr>
        <w:tab/>
      </w:r>
      <w:r>
        <w:rPr/>
        <w:t>Ley 9/2017, de 8 de noviembre, de Contratos del Sector Público, por la que se</w:t>
      </w:r>
      <w:r>
        <w:rPr>
          <w:spacing w:val="-16"/>
        </w:rPr>
        <w:t> </w:t>
      </w:r>
      <w:r>
        <w:rPr/>
        <w:t>transponen</w:t>
      </w:r>
      <w:r>
        <w:rPr>
          <w:spacing w:val="-15"/>
        </w:rPr>
        <w:t> </w:t>
      </w:r>
      <w:r>
        <w:rPr/>
        <w:t>al</w:t>
      </w:r>
      <w:r>
        <w:rPr>
          <w:spacing w:val="-15"/>
        </w:rPr>
        <w:t> </w:t>
      </w:r>
      <w:r>
        <w:rPr/>
        <w:t>ordenamiento</w:t>
      </w:r>
      <w:r>
        <w:rPr>
          <w:spacing w:val="-16"/>
        </w:rPr>
        <w:t> </w:t>
      </w:r>
      <w:r>
        <w:rPr/>
        <w:t>jurídico</w:t>
      </w:r>
      <w:r>
        <w:rPr>
          <w:spacing w:val="-15"/>
        </w:rPr>
        <w:t> </w:t>
      </w:r>
      <w:r>
        <w:rPr/>
        <w:t>español</w:t>
      </w:r>
      <w:r>
        <w:rPr>
          <w:spacing w:val="-15"/>
        </w:rPr>
        <w:t> </w:t>
      </w:r>
      <w:r>
        <w:rPr/>
        <w:t>las</w:t>
      </w:r>
      <w:r>
        <w:rPr>
          <w:spacing w:val="-15"/>
        </w:rPr>
        <w:t> </w:t>
      </w:r>
      <w:r>
        <w:rPr/>
        <w:t>Directivas</w:t>
      </w:r>
      <w:r>
        <w:rPr>
          <w:spacing w:val="-16"/>
        </w:rPr>
        <w:t> </w:t>
      </w:r>
      <w:r>
        <w:rPr/>
        <w:t>del</w:t>
      </w:r>
      <w:r>
        <w:rPr>
          <w:spacing w:val="-15"/>
        </w:rPr>
        <w:t> </w:t>
      </w:r>
      <w:r>
        <w:rPr/>
        <w:t>Parlamento Europeo</w:t>
      </w:r>
      <w:r>
        <w:rPr>
          <w:spacing w:val="-3"/>
        </w:rPr>
        <w:t> </w:t>
      </w:r>
      <w:r>
        <w:rPr/>
        <w:t>y</w:t>
      </w:r>
      <w:r>
        <w:rPr>
          <w:spacing w:val="-5"/>
        </w:rPr>
        <w:t> </w:t>
      </w:r>
      <w:r>
        <w:rPr/>
        <w:t>del</w:t>
      </w:r>
      <w:r>
        <w:rPr>
          <w:spacing w:val="-3"/>
        </w:rPr>
        <w:t> </w:t>
      </w:r>
      <w:r>
        <w:rPr/>
        <w:t>Consejo</w:t>
      </w:r>
      <w:r>
        <w:rPr>
          <w:spacing w:val="-3"/>
        </w:rPr>
        <w:t> </w:t>
      </w:r>
      <w:r>
        <w:rPr/>
        <w:t>2014/23/UE</w:t>
      </w:r>
      <w:r>
        <w:rPr>
          <w:spacing w:val="-5"/>
        </w:rPr>
        <w:t> </w:t>
      </w:r>
      <w:r>
        <w:rPr/>
        <w:t>y</w:t>
      </w:r>
      <w:r>
        <w:rPr>
          <w:spacing w:val="-2"/>
        </w:rPr>
        <w:t> </w:t>
      </w:r>
      <w:r>
        <w:rPr/>
        <w:t>2014/24/UE,</w:t>
      </w:r>
      <w:r>
        <w:rPr>
          <w:spacing w:val="-1"/>
        </w:rPr>
        <w:t> </w:t>
      </w:r>
      <w:r>
        <w:rPr/>
        <w:t>de</w:t>
      </w:r>
      <w:r>
        <w:rPr>
          <w:spacing w:val="-5"/>
        </w:rPr>
        <w:t> </w:t>
      </w:r>
      <w:r>
        <w:rPr/>
        <w:t>26</w:t>
      </w:r>
      <w:r>
        <w:rPr>
          <w:spacing w:val="-3"/>
        </w:rPr>
        <w:t> </w:t>
      </w:r>
      <w:r>
        <w:rPr/>
        <w:t>de</w:t>
      </w:r>
      <w:r>
        <w:rPr>
          <w:spacing w:val="-5"/>
        </w:rPr>
        <w:t> </w:t>
      </w:r>
      <w:r>
        <w:rPr/>
        <w:t>febrero</w:t>
      </w:r>
      <w:r>
        <w:rPr>
          <w:spacing w:val="-5"/>
        </w:rPr>
        <w:t> </w:t>
      </w:r>
      <w:r>
        <w:rPr/>
        <w:t>de</w:t>
      </w:r>
      <w:r>
        <w:rPr>
          <w:spacing w:val="-5"/>
        </w:rPr>
        <w:t> </w:t>
      </w:r>
      <w:r>
        <w:rPr/>
        <w:t>2014</w:t>
      </w:r>
    </w:p>
    <w:p>
      <w:pPr>
        <w:pStyle w:val="BodyText"/>
        <w:tabs>
          <w:tab w:pos="2912" w:val="left" w:leader="none"/>
        </w:tabs>
        <w:spacing w:before="119"/>
        <w:ind w:left="1277"/>
        <w:jc w:val="both"/>
      </w:pPr>
      <w:r>
        <w:rPr>
          <w:b/>
          <w:spacing w:val="-5"/>
        </w:rPr>
        <w:t>LED</w:t>
      </w:r>
      <w:r>
        <w:rPr>
          <w:b/>
        </w:rPr>
        <w:tab/>
      </w:r>
      <w:r>
        <w:rPr/>
        <w:t>Light</w:t>
      </w:r>
      <w:r>
        <w:rPr>
          <w:spacing w:val="-3"/>
        </w:rPr>
        <w:t> </w:t>
      </w:r>
      <w:r>
        <w:rPr/>
        <w:t>Emitting</w:t>
      </w:r>
      <w:r>
        <w:rPr>
          <w:spacing w:val="-4"/>
        </w:rPr>
        <w:t> </w:t>
      </w:r>
      <w:r>
        <w:rPr/>
        <w:t>Diode</w:t>
      </w:r>
      <w:r>
        <w:rPr>
          <w:spacing w:val="-3"/>
        </w:rPr>
        <w:t> </w:t>
      </w:r>
      <w:r>
        <w:rPr/>
        <w:t>o</w:t>
      </w:r>
      <w:r>
        <w:rPr>
          <w:spacing w:val="-6"/>
        </w:rPr>
        <w:t> </w:t>
      </w:r>
      <w:r>
        <w:rPr/>
        <w:t>diodo</w:t>
      </w:r>
      <w:r>
        <w:rPr>
          <w:spacing w:val="-5"/>
        </w:rPr>
        <w:t> </w:t>
      </w:r>
      <w:r>
        <w:rPr/>
        <w:t>emisor</w:t>
      </w:r>
      <w:r>
        <w:rPr>
          <w:spacing w:val="-3"/>
        </w:rPr>
        <w:t> </w:t>
      </w:r>
      <w:r>
        <w:rPr/>
        <w:t>de</w:t>
      </w:r>
      <w:r>
        <w:rPr>
          <w:spacing w:val="-6"/>
        </w:rPr>
        <w:t> </w:t>
      </w:r>
      <w:r>
        <w:rPr>
          <w:spacing w:val="-5"/>
        </w:rPr>
        <w:t>luz</w:t>
      </w:r>
    </w:p>
    <w:p>
      <w:pPr>
        <w:pStyle w:val="BodyText"/>
        <w:tabs>
          <w:tab w:pos="2912" w:val="left" w:leader="none"/>
        </w:tabs>
        <w:spacing w:before="141"/>
        <w:ind w:left="1277"/>
        <w:jc w:val="both"/>
      </w:pPr>
      <w:r>
        <w:rPr>
          <w:b/>
          <w:spacing w:val="-2"/>
        </w:rPr>
        <w:t>LRBRL</w:t>
      </w:r>
      <w:r>
        <w:rPr>
          <w:b/>
        </w:rPr>
        <w:tab/>
      </w:r>
      <w:r>
        <w:rPr/>
        <w:t>Ley</w:t>
      </w:r>
      <w:r>
        <w:rPr>
          <w:spacing w:val="-6"/>
        </w:rPr>
        <w:t> </w:t>
      </w:r>
      <w:r>
        <w:rPr/>
        <w:t>7/1985,</w:t>
      </w:r>
      <w:r>
        <w:rPr>
          <w:spacing w:val="-2"/>
        </w:rPr>
        <w:t> </w:t>
      </w:r>
      <w:r>
        <w:rPr/>
        <w:t>de</w:t>
      </w:r>
      <w:r>
        <w:rPr>
          <w:spacing w:val="-6"/>
        </w:rPr>
        <w:t> </w:t>
      </w:r>
      <w:r>
        <w:rPr/>
        <w:t>2</w:t>
      </w:r>
      <w:r>
        <w:rPr>
          <w:spacing w:val="-6"/>
        </w:rPr>
        <w:t> </w:t>
      </w:r>
      <w:r>
        <w:rPr/>
        <w:t>de</w:t>
      </w:r>
      <w:r>
        <w:rPr>
          <w:spacing w:val="-4"/>
        </w:rPr>
        <w:t> </w:t>
      </w:r>
      <w:r>
        <w:rPr/>
        <w:t>abril,</w:t>
      </w:r>
      <w:r>
        <w:rPr>
          <w:spacing w:val="-2"/>
        </w:rPr>
        <w:t> </w:t>
      </w:r>
      <w:r>
        <w:rPr/>
        <w:t>Reguladora</w:t>
      </w:r>
      <w:r>
        <w:rPr>
          <w:spacing w:val="-6"/>
        </w:rPr>
        <w:t> </w:t>
      </w:r>
      <w:r>
        <w:rPr/>
        <w:t>de</w:t>
      </w:r>
      <w:r>
        <w:rPr>
          <w:spacing w:val="-4"/>
        </w:rPr>
        <w:t> </w:t>
      </w:r>
      <w:r>
        <w:rPr/>
        <w:t>las</w:t>
      </w:r>
      <w:r>
        <w:rPr>
          <w:spacing w:val="-6"/>
        </w:rPr>
        <w:t> </w:t>
      </w:r>
      <w:r>
        <w:rPr/>
        <w:t>Bases</w:t>
      </w:r>
      <w:r>
        <w:rPr>
          <w:spacing w:val="-4"/>
        </w:rPr>
        <w:t> </w:t>
      </w:r>
      <w:r>
        <w:rPr/>
        <w:t>del</w:t>
      </w:r>
      <w:r>
        <w:rPr>
          <w:spacing w:val="-5"/>
        </w:rPr>
        <w:t> </w:t>
      </w:r>
      <w:r>
        <w:rPr/>
        <w:t>Régimen</w:t>
      </w:r>
      <w:r>
        <w:rPr>
          <w:spacing w:val="-5"/>
        </w:rPr>
        <w:t> </w:t>
      </w:r>
      <w:r>
        <w:rPr>
          <w:spacing w:val="-2"/>
        </w:rPr>
        <w:t>Local</w:t>
      </w:r>
    </w:p>
    <w:p>
      <w:pPr>
        <w:pStyle w:val="BodyText"/>
        <w:tabs>
          <w:tab w:pos="2912" w:val="left" w:leader="none"/>
        </w:tabs>
        <w:spacing w:line="256" w:lineRule="auto" w:before="140"/>
        <w:ind w:left="2912" w:right="1279" w:hanging="1635"/>
      </w:pPr>
      <w:r>
        <w:rPr>
          <w:b/>
          <w:spacing w:val="-2"/>
        </w:rPr>
        <w:t>LTAIBG</w:t>
      </w:r>
      <w:r>
        <w:rPr>
          <w:b/>
        </w:rPr>
        <w:tab/>
      </w:r>
      <w:r>
        <w:rPr/>
        <w:t>Ley 19/2013, de 9</w:t>
      </w:r>
      <w:r>
        <w:rPr>
          <w:spacing w:val="-1"/>
        </w:rPr>
        <w:t> </w:t>
      </w:r>
      <w:r>
        <w:rPr/>
        <w:t>de</w:t>
      </w:r>
      <w:r>
        <w:rPr>
          <w:spacing w:val="-1"/>
        </w:rPr>
        <w:t> </w:t>
      </w:r>
      <w:r>
        <w:rPr/>
        <w:t>diciembre, de</w:t>
      </w:r>
      <w:r>
        <w:rPr>
          <w:spacing w:val="-1"/>
        </w:rPr>
        <w:t> </w:t>
      </w:r>
      <w:r>
        <w:rPr/>
        <w:t>Transparencia, Acceso a</w:t>
      </w:r>
      <w:r>
        <w:rPr>
          <w:spacing w:val="-1"/>
        </w:rPr>
        <w:t> </w:t>
      </w:r>
      <w:r>
        <w:rPr/>
        <w:t>la Información Pública y Buen Gobierno</w:t>
      </w:r>
    </w:p>
    <w:p>
      <w:pPr>
        <w:pStyle w:val="BodyText"/>
        <w:tabs>
          <w:tab w:pos="2912" w:val="left" w:leader="none"/>
        </w:tabs>
        <w:spacing w:line="259" w:lineRule="auto" w:before="124"/>
        <w:ind w:left="2912" w:right="1279" w:hanging="1635"/>
      </w:pPr>
      <w:r>
        <w:rPr>
          <w:b/>
          <w:spacing w:val="-2"/>
        </w:rPr>
        <w:t>MINERVA</w:t>
      </w:r>
      <w:r>
        <w:rPr>
          <w:b/>
        </w:rPr>
        <w:tab/>
      </w:r>
      <w:r>
        <w:rPr/>
        <w:t>Sistema</w:t>
      </w:r>
      <w:r>
        <w:rPr>
          <w:spacing w:val="33"/>
        </w:rPr>
        <w:t> </w:t>
      </w:r>
      <w:r>
        <w:rPr/>
        <w:t>de</w:t>
      </w:r>
      <w:r>
        <w:rPr>
          <w:spacing w:val="33"/>
        </w:rPr>
        <w:t> </w:t>
      </w:r>
      <w:r>
        <w:rPr/>
        <w:t>análisis</w:t>
      </w:r>
      <w:r>
        <w:rPr>
          <w:spacing w:val="34"/>
        </w:rPr>
        <w:t> </w:t>
      </w:r>
      <w:r>
        <w:rPr/>
        <w:t>de</w:t>
      </w:r>
      <w:r>
        <w:rPr>
          <w:spacing w:val="30"/>
        </w:rPr>
        <w:t> </w:t>
      </w:r>
      <w:r>
        <w:rPr/>
        <w:t>riesgos</w:t>
      </w:r>
      <w:r>
        <w:rPr>
          <w:spacing w:val="33"/>
        </w:rPr>
        <w:t> </w:t>
      </w:r>
      <w:r>
        <w:rPr/>
        <w:t>de</w:t>
      </w:r>
      <w:r>
        <w:rPr>
          <w:spacing w:val="33"/>
        </w:rPr>
        <w:t> </w:t>
      </w:r>
      <w:r>
        <w:rPr/>
        <w:t>conflictos</w:t>
      </w:r>
      <w:r>
        <w:rPr>
          <w:spacing w:val="33"/>
        </w:rPr>
        <w:t> </w:t>
      </w:r>
      <w:r>
        <w:rPr/>
        <w:t>de</w:t>
      </w:r>
      <w:r>
        <w:rPr>
          <w:spacing w:val="30"/>
        </w:rPr>
        <w:t> </w:t>
      </w:r>
      <w:r>
        <w:rPr/>
        <w:t>interés</w:t>
      </w:r>
      <w:r>
        <w:rPr>
          <w:spacing w:val="33"/>
        </w:rPr>
        <w:t> </w:t>
      </w:r>
      <w:r>
        <w:rPr/>
        <w:t>introducido</w:t>
      </w:r>
      <w:r>
        <w:rPr>
          <w:spacing w:val="33"/>
        </w:rPr>
        <w:t> </w:t>
      </w:r>
      <w:r>
        <w:rPr/>
        <w:t>por</w:t>
      </w:r>
      <w:r>
        <w:rPr>
          <w:spacing w:val="32"/>
        </w:rPr>
        <w:t> </w:t>
      </w:r>
      <w:r>
        <w:rPr/>
        <w:t>la Orden HFP/55/2023, de 24 de enero</w:t>
      </w:r>
    </w:p>
    <w:p>
      <w:pPr>
        <w:pStyle w:val="BodyText"/>
        <w:tabs>
          <w:tab w:pos="2912" w:val="left" w:leader="none"/>
        </w:tabs>
        <w:spacing w:before="121"/>
        <w:ind w:left="1277"/>
      </w:pPr>
      <w:r>
        <w:rPr>
          <w:b/>
          <w:spacing w:val="-2"/>
        </w:rPr>
        <w:t>MITMA</w:t>
      </w:r>
      <w:r>
        <w:rPr>
          <w:b/>
        </w:rPr>
        <w:tab/>
      </w:r>
      <w:r>
        <w:rPr/>
        <w:t>Ministerio</w:t>
      </w:r>
      <w:r>
        <w:rPr>
          <w:spacing w:val="-7"/>
        </w:rPr>
        <w:t> </w:t>
      </w:r>
      <w:r>
        <w:rPr/>
        <w:t>de</w:t>
      </w:r>
      <w:r>
        <w:rPr>
          <w:spacing w:val="-8"/>
        </w:rPr>
        <w:t> </w:t>
      </w:r>
      <w:r>
        <w:rPr/>
        <w:t>Transportes</w:t>
      </w:r>
      <w:r>
        <w:rPr>
          <w:sz w:val="20"/>
        </w:rPr>
        <w:t>,</w:t>
      </w:r>
      <w:r>
        <w:rPr>
          <w:spacing w:val="-6"/>
          <w:sz w:val="20"/>
        </w:rPr>
        <w:t> </w:t>
      </w:r>
      <w:r>
        <w:rPr/>
        <w:t>Movilidad</w:t>
      </w:r>
      <w:r>
        <w:rPr>
          <w:spacing w:val="-7"/>
        </w:rPr>
        <w:t> </w:t>
      </w:r>
      <w:r>
        <w:rPr/>
        <w:t>y</w:t>
      </w:r>
      <w:r>
        <w:rPr>
          <w:spacing w:val="-5"/>
        </w:rPr>
        <w:t> </w:t>
      </w:r>
      <w:r>
        <w:rPr/>
        <w:t>Agenda</w:t>
      </w:r>
      <w:r>
        <w:rPr>
          <w:spacing w:val="-6"/>
        </w:rPr>
        <w:t> </w:t>
      </w:r>
      <w:r>
        <w:rPr>
          <w:spacing w:val="-2"/>
        </w:rPr>
        <w:t>Urbana</w:t>
      </w:r>
    </w:p>
    <w:p>
      <w:pPr>
        <w:pStyle w:val="BodyText"/>
        <w:tabs>
          <w:tab w:pos="2912" w:val="left" w:leader="none"/>
        </w:tabs>
        <w:spacing w:before="138"/>
        <w:ind w:left="1277"/>
        <w:jc w:val="both"/>
      </w:pPr>
      <w:r>
        <w:rPr>
          <w:b/>
          <w:spacing w:val="-5"/>
        </w:rPr>
        <w:t>ODS</w:t>
      </w:r>
      <w:r>
        <w:rPr>
          <w:b/>
        </w:rPr>
        <w:tab/>
      </w:r>
      <w:r>
        <w:rPr/>
        <w:t>Objetivos</w:t>
      </w:r>
      <w:r>
        <w:rPr>
          <w:spacing w:val="-7"/>
        </w:rPr>
        <w:t> </w:t>
      </w:r>
      <w:r>
        <w:rPr/>
        <w:t>de</w:t>
      </w:r>
      <w:r>
        <w:rPr>
          <w:spacing w:val="-7"/>
        </w:rPr>
        <w:t> </w:t>
      </w:r>
      <w:r>
        <w:rPr/>
        <w:t>desarrollo</w:t>
      </w:r>
      <w:r>
        <w:rPr>
          <w:spacing w:val="-6"/>
        </w:rPr>
        <w:t> </w:t>
      </w:r>
      <w:r>
        <w:rPr>
          <w:spacing w:val="-2"/>
        </w:rPr>
        <w:t>sostenible</w:t>
      </w:r>
    </w:p>
    <w:p>
      <w:pPr>
        <w:pStyle w:val="BodyText"/>
        <w:tabs>
          <w:tab w:pos="2912" w:val="left" w:leader="none"/>
        </w:tabs>
        <w:spacing w:before="141"/>
        <w:ind w:left="1277"/>
        <w:jc w:val="both"/>
      </w:pPr>
      <w:r>
        <w:rPr>
          <w:b/>
          <w:spacing w:val="-2"/>
        </w:rPr>
        <w:t>PACES</w:t>
      </w:r>
      <w:r>
        <w:rPr>
          <w:b/>
        </w:rPr>
        <w:tab/>
      </w:r>
      <w:r>
        <w:rPr/>
        <w:t>Plan</w:t>
      </w:r>
      <w:r>
        <w:rPr>
          <w:spacing w:val="-6"/>
        </w:rPr>
        <w:t> </w:t>
      </w:r>
      <w:r>
        <w:rPr/>
        <w:t>de</w:t>
      </w:r>
      <w:r>
        <w:rPr>
          <w:spacing w:val="-3"/>
        </w:rPr>
        <w:t> </w:t>
      </w:r>
      <w:r>
        <w:rPr/>
        <w:t>Acción</w:t>
      </w:r>
      <w:r>
        <w:rPr>
          <w:spacing w:val="-4"/>
        </w:rPr>
        <w:t> </w:t>
      </w:r>
      <w:r>
        <w:rPr/>
        <w:t>para</w:t>
      </w:r>
      <w:r>
        <w:rPr>
          <w:spacing w:val="-3"/>
        </w:rPr>
        <w:t> </w:t>
      </w:r>
      <w:r>
        <w:rPr/>
        <w:t>el</w:t>
      </w:r>
      <w:r>
        <w:rPr>
          <w:spacing w:val="-5"/>
        </w:rPr>
        <w:t> </w:t>
      </w:r>
      <w:r>
        <w:rPr/>
        <w:t>Clima</w:t>
      </w:r>
      <w:r>
        <w:rPr>
          <w:spacing w:val="-3"/>
        </w:rPr>
        <w:t> </w:t>
      </w:r>
      <w:r>
        <w:rPr/>
        <w:t>y</w:t>
      </w:r>
      <w:r>
        <w:rPr>
          <w:spacing w:val="-3"/>
        </w:rPr>
        <w:t> </w:t>
      </w:r>
      <w:r>
        <w:rPr/>
        <w:t>la</w:t>
      </w:r>
      <w:r>
        <w:rPr>
          <w:spacing w:val="-3"/>
        </w:rPr>
        <w:t> </w:t>
      </w:r>
      <w:r>
        <w:rPr/>
        <w:t>Energía</w:t>
      </w:r>
      <w:r>
        <w:rPr>
          <w:spacing w:val="-4"/>
        </w:rPr>
        <w:t> </w:t>
      </w:r>
      <w:r>
        <w:rPr>
          <w:spacing w:val="-2"/>
        </w:rPr>
        <w:t>Sostenible</w:t>
      </w:r>
    </w:p>
    <w:p>
      <w:pPr>
        <w:pStyle w:val="BodyText"/>
        <w:tabs>
          <w:tab w:pos="2912" w:val="left" w:leader="none"/>
        </w:tabs>
        <w:spacing w:before="140"/>
        <w:ind w:left="1277"/>
        <w:jc w:val="both"/>
      </w:pPr>
      <w:r>
        <w:rPr>
          <w:b/>
          <w:spacing w:val="-4"/>
        </w:rPr>
        <w:t>PALU</w:t>
      </w:r>
      <w:r>
        <w:rPr>
          <w:b/>
        </w:rPr>
        <w:tab/>
      </w:r>
      <w:r>
        <w:rPr/>
        <w:t>Plan</w:t>
      </w:r>
      <w:r>
        <w:rPr>
          <w:spacing w:val="-5"/>
        </w:rPr>
        <w:t> </w:t>
      </w:r>
      <w:r>
        <w:rPr/>
        <w:t>de</w:t>
      </w:r>
      <w:r>
        <w:rPr>
          <w:spacing w:val="-4"/>
        </w:rPr>
        <w:t> </w:t>
      </w:r>
      <w:r>
        <w:rPr/>
        <w:t>Acción</w:t>
      </w:r>
      <w:r>
        <w:rPr>
          <w:spacing w:val="-4"/>
        </w:rPr>
        <w:t> </w:t>
      </w:r>
      <w:r>
        <w:rPr/>
        <w:t>Agenda</w:t>
      </w:r>
      <w:r>
        <w:rPr>
          <w:spacing w:val="-6"/>
        </w:rPr>
        <w:t> </w:t>
      </w:r>
      <w:r>
        <w:rPr/>
        <w:t>Local</w:t>
      </w:r>
      <w:r>
        <w:rPr>
          <w:spacing w:val="-4"/>
        </w:rPr>
        <w:t> </w:t>
      </w:r>
      <w:r>
        <w:rPr>
          <w:spacing w:val="-2"/>
        </w:rPr>
        <w:t>Urbana</w:t>
      </w:r>
    </w:p>
    <w:p>
      <w:pPr>
        <w:pStyle w:val="BodyText"/>
        <w:tabs>
          <w:tab w:pos="2912" w:val="left" w:leader="none"/>
        </w:tabs>
        <w:spacing w:before="141"/>
        <w:ind w:left="1277"/>
        <w:jc w:val="both"/>
      </w:pPr>
      <w:r>
        <w:rPr>
          <w:b/>
          <w:spacing w:val="-5"/>
        </w:rPr>
        <w:t>PMA</w:t>
      </w:r>
      <w:r>
        <w:rPr>
          <w:b/>
        </w:rPr>
        <w:tab/>
      </w:r>
      <w:r>
        <w:rPr/>
        <w:t>Plan</w:t>
      </w:r>
      <w:r>
        <w:rPr>
          <w:spacing w:val="-4"/>
        </w:rPr>
        <w:t> </w:t>
      </w:r>
      <w:r>
        <w:rPr/>
        <w:t>de</w:t>
      </w:r>
      <w:r>
        <w:rPr>
          <w:spacing w:val="-4"/>
        </w:rPr>
        <w:t> </w:t>
      </w:r>
      <w:r>
        <w:rPr/>
        <w:t>Medidas</w:t>
      </w:r>
      <w:r>
        <w:rPr>
          <w:spacing w:val="-5"/>
        </w:rPr>
        <w:t> </w:t>
      </w:r>
      <w:r>
        <w:rPr>
          <w:spacing w:val="-2"/>
        </w:rPr>
        <w:t>Antifraude.</w:t>
      </w:r>
    </w:p>
    <w:p>
      <w:pPr>
        <w:pStyle w:val="BodyText"/>
        <w:tabs>
          <w:tab w:pos="2912" w:val="left" w:leader="none"/>
        </w:tabs>
        <w:spacing w:before="138"/>
        <w:ind w:left="1277"/>
        <w:jc w:val="both"/>
      </w:pPr>
      <w:r>
        <w:rPr>
          <w:b/>
          <w:spacing w:val="-4"/>
        </w:rPr>
        <w:t>PMUS</w:t>
      </w:r>
      <w:r>
        <w:rPr>
          <w:b/>
        </w:rPr>
        <w:tab/>
      </w:r>
      <w:r>
        <w:rPr/>
        <w:t>Plan</w:t>
      </w:r>
      <w:r>
        <w:rPr>
          <w:spacing w:val="-6"/>
        </w:rPr>
        <w:t> </w:t>
      </w:r>
      <w:r>
        <w:rPr/>
        <w:t>de</w:t>
      </w:r>
      <w:r>
        <w:rPr>
          <w:spacing w:val="-6"/>
        </w:rPr>
        <w:t> </w:t>
      </w:r>
      <w:r>
        <w:rPr/>
        <w:t>movilidad</w:t>
      </w:r>
      <w:r>
        <w:rPr>
          <w:spacing w:val="-4"/>
        </w:rPr>
        <w:t> </w:t>
      </w:r>
      <w:r>
        <w:rPr/>
        <w:t>urbana</w:t>
      </w:r>
      <w:r>
        <w:rPr>
          <w:spacing w:val="-4"/>
        </w:rPr>
        <w:t> </w:t>
      </w:r>
      <w:r>
        <w:rPr>
          <w:spacing w:val="-2"/>
        </w:rPr>
        <w:t>sostenible</w:t>
      </w:r>
    </w:p>
    <w:p>
      <w:pPr>
        <w:pStyle w:val="BodyText"/>
        <w:tabs>
          <w:tab w:pos="2912" w:val="left" w:leader="none"/>
        </w:tabs>
        <w:spacing w:line="259" w:lineRule="auto" w:before="141"/>
        <w:ind w:left="2912" w:right="1279" w:hanging="1635"/>
      </w:pPr>
      <w:r>
        <w:rPr>
          <w:b/>
          <w:spacing w:val="-4"/>
        </w:rPr>
        <w:t>PRTR</w:t>
      </w:r>
      <w:r>
        <w:rPr>
          <w:b/>
        </w:rPr>
        <w:tab/>
      </w:r>
      <w:r>
        <w:rPr/>
        <w:t>Plan</w:t>
      </w:r>
      <w:r>
        <w:rPr>
          <w:spacing w:val="-12"/>
        </w:rPr>
        <w:t> </w:t>
      </w:r>
      <w:r>
        <w:rPr/>
        <w:t>de</w:t>
      </w:r>
      <w:r>
        <w:rPr>
          <w:spacing w:val="-12"/>
        </w:rPr>
        <w:t> </w:t>
      </w:r>
      <w:r>
        <w:rPr/>
        <w:t>Recuperación,</w:t>
      </w:r>
      <w:r>
        <w:rPr>
          <w:spacing w:val="-10"/>
        </w:rPr>
        <w:t> </w:t>
      </w:r>
      <w:r>
        <w:rPr/>
        <w:t>Transformación,</w:t>
      </w:r>
      <w:r>
        <w:rPr>
          <w:spacing w:val="-10"/>
        </w:rPr>
        <w:t> </w:t>
      </w:r>
      <w:r>
        <w:rPr/>
        <w:t>y</w:t>
      </w:r>
      <w:r>
        <w:rPr>
          <w:spacing w:val="-11"/>
        </w:rPr>
        <w:t> </w:t>
      </w:r>
      <w:r>
        <w:rPr/>
        <w:t>Resiliencia,</w:t>
      </w:r>
      <w:r>
        <w:rPr>
          <w:spacing w:val="-11"/>
        </w:rPr>
        <w:t> </w:t>
      </w:r>
      <w:r>
        <w:rPr/>
        <w:t>aprobado</w:t>
      </w:r>
      <w:r>
        <w:rPr>
          <w:spacing w:val="-12"/>
        </w:rPr>
        <w:t> </w:t>
      </w:r>
      <w:r>
        <w:rPr/>
        <w:t>por</w:t>
      </w:r>
      <w:r>
        <w:rPr>
          <w:spacing w:val="-11"/>
        </w:rPr>
        <w:t> </w:t>
      </w:r>
      <w:r>
        <w:rPr/>
        <w:t>Acuerdo de Ministros de 27 de abril de 2021</w:t>
      </w:r>
    </w:p>
    <w:p>
      <w:pPr>
        <w:pStyle w:val="BodyText"/>
        <w:tabs>
          <w:tab w:pos="2912" w:val="left" w:leader="none"/>
        </w:tabs>
        <w:spacing w:before="121"/>
        <w:ind w:left="1277"/>
        <w:jc w:val="both"/>
      </w:pPr>
      <w:r>
        <w:rPr>
          <w:b/>
          <w:spacing w:val="-5"/>
        </w:rPr>
        <w:t>QR</w:t>
      </w:r>
      <w:r>
        <w:rPr>
          <w:b/>
        </w:rPr>
        <w:tab/>
      </w:r>
      <w:r>
        <w:rPr/>
        <w:t>Código</w:t>
      </w:r>
      <w:r>
        <w:rPr>
          <w:spacing w:val="-6"/>
        </w:rPr>
        <w:t> </w:t>
      </w:r>
      <w:r>
        <w:rPr/>
        <w:t>de</w:t>
      </w:r>
      <w:r>
        <w:rPr>
          <w:spacing w:val="-5"/>
        </w:rPr>
        <w:t> </w:t>
      </w:r>
      <w:r>
        <w:rPr/>
        <w:t>respuesta</w:t>
      </w:r>
      <w:r>
        <w:rPr>
          <w:spacing w:val="-7"/>
        </w:rPr>
        <w:t> </w:t>
      </w:r>
      <w:r>
        <w:rPr>
          <w:spacing w:val="-2"/>
        </w:rPr>
        <w:t>rápida</w:t>
      </w:r>
    </w:p>
    <w:p>
      <w:pPr>
        <w:pStyle w:val="BodyText"/>
        <w:tabs>
          <w:tab w:pos="2912" w:val="left" w:leader="none"/>
        </w:tabs>
        <w:spacing w:before="138"/>
        <w:ind w:left="1277"/>
        <w:jc w:val="both"/>
      </w:pPr>
      <w:r>
        <w:rPr>
          <w:b/>
          <w:spacing w:val="-5"/>
        </w:rPr>
        <w:t>SAE</w:t>
      </w:r>
      <w:r>
        <w:rPr>
          <w:b/>
        </w:rPr>
        <w:tab/>
      </w:r>
      <w:r>
        <w:rPr/>
        <w:t>Sistema</w:t>
      </w:r>
      <w:r>
        <w:rPr>
          <w:spacing w:val="-2"/>
        </w:rPr>
        <w:t> </w:t>
      </w:r>
      <w:r>
        <w:rPr/>
        <w:t>de</w:t>
      </w:r>
      <w:r>
        <w:rPr>
          <w:spacing w:val="-4"/>
        </w:rPr>
        <w:t> </w:t>
      </w:r>
      <w:r>
        <w:rPr/>
        <w:t>ayuda</w:t>
      </w:r>
      <w:r>
        <w:rPr>
          <w:spacing w:val="-4"/>
        </w:rPr>
        <w:t> </w:t>
      </w:r>
      <w:r>
        <w:rPr/>
        <w:t>a</w:t>
      </w:r>
      <w:r>
        <w:rPr>
          <w:spacing w:val="-2"/>
        </w:rPr>
        <w:t> </w:t>
      </w:r>
      <w:r>
        <w:rPr/>
        <w:t>la</w:t>
      </w:r>
      <w:r>
        <w:rPr>
          <w:spacing w:val="-2"/>
        </w:rPr>
        <w:t> explotación</w:t>
      </w:r>
    </w:p>
    <w:p>
      <w:pPr>
        <w:pStyle w:val="BodyText"/>
        <w:tabs>
          <w:tab w:pos="2912" w:val="left" w:leader="none"/>
        </w:tabs>
        <w:spacing w:before="141"/>
        <w:ind w:left="1277"/>
        <w:jc w:val="both"/>
      </w:pPr>
      <w:r>
        <w:rPr>
          <w:b/>
          <w:spacing w:val="-5"/>
        </w:rPr>
        <w:t>TAM</w:t>
      </w:r>
      <w:r>
        <w:rPr>
          <w:b/>
        </w:rPr>
        <w:tab/>
      </w:r>
      <w:r>
        <w:rPr/>
        <w:t>Transporte</w:t>
      </w:r>
      <w:r>
        <w:rPr>
          <w:spacing w:val="-13"/>
        </w:rPr>
        <w:t> </w:t>
      </w:r>
      <w:r>
        <w:rPr/>
        <w:t>Metropolitano</w:t>
      </w:r>
      <w:r>
        <w:rPr>
          <w:spacing w:val="-11"/>
        </w:rPr>
        <w:t> </w:t>
      </w:r>
      <w:r>
        <w:rPr>
          <w:spacing w:val="-2"/>
        </w:rPr>
        <w:t>Alicante</w:t>
      </w:r>
    </w:p>
    <w:p>
      <w:pPr>
        <w:pStyle w:val="BodyText"/>
        <w:tabs>
          <w:tab w:pos="2912" w:val="left" w:leader="none"/>
        </w:tabs>
        <w:spacing w:line="259" w:lineRule="auto" w:before="141"/>
        <w:ind w:left="2912" w:right="1279" w:hanging="1635"/>
      </w:pPr>
      <w:r>
        <w:rPr>
          <w:b/>
          <w:spacing w:val="-2"/>
        </w:rPr>
        <w:t>TRLRHL</w:t>
      </w:r>
      <w:r>
        <w:rPr>
          <w:b/>
        </w:rPr>
        <w:tab/>
      </w:r>
      <w:r>
        <w:rPr/>
        <w:t>Real Decreto Legislativo 2/2004, de 5 de marzo, por el que se aprueba el</w:t>
      </w:r>
      <w:r>
        <w:rPr>
          <w:spacing w:val="40"/>
        </w:rPr>
        <w:t> </w:t>
      </w:r>
      <w:r>
        <w:rPr/>
        <w:t>texto refundido de la Ley Reguladora de las Haciendas Locales</w:t>
      </w:r>
    </w:p>
    <w:p>
      <w:pPr>
        <w:pStyle w:val="BodyText"/>
        <w:tabs>
          <w:tab w:pos="2912" w:val="left" w:leader="none"/>
        </w:tabs>
        <w:spacing w:before="118"/>
        <w:ind w:left="1277"/>
        <w:jc w:val="both"/>
      </w:pPr>
      <w:r>
        <w:rPr>
          <w:b/>
          <w:spacing w:val="-5"/>
        </w:rPr>
        <w:t>UTE</w:t>
      </w:r>
      <w:r>
        <w:rPr>
          <w:b/>
        </w:rPr>
        <w:tab/>
      </w:r>
      <w:r>
        <w:rPr/>
        <w:t>Unión</w:t>
      </w:r>
      <w:r>
        <w:rPr>
          <w:spacing w:val="-7"/>
        </w:rPr>
        <w:t> </w:t>
      </w:r>
      <w:r>
        <w:rPr/>
        <w:t>temporal</w:t>
      </w:r>
      <w:r>
        <w:rPr>
          <w:spacing w:val="-5"/>
        </w:rPr>
        <w:t> </w:t>
      </w:r>
      <w:r>
        <w:rPr/>
        <w:t>de</w:t>
      </w:r>
      <w:r>
        <w:rPr>
          <w:spacing w:val="-4"/>
        </w:rPr>
        <w:t> </w:t>
      </w:r>
      <w:r>
        <w:rPr>
          <w:spacing w:val="-2"/>
        </w:rPr>
        <w:t>empresas</w:t>
      </w:r>
    </w:p>
    <w:p>
      <w:pPr>
        <w:pStyle w:val="BodyText"/>
        <w:spacing w:after="0"/>
        <w:jc w:val="both"/>
        <w:sectPr>
          <w:footerReference w:type="default" r:id="rId17"/>
          <w:pgSz w:w="11910" w:h="16840"/>
          <w:pgMar w:header="0" w:footer="839" w:top="1100" w:bottom="1020" w:left="141" w:right="141"/>
          <w:pgNumType w:start="3"/>
        </w:sectPr>
      </w:pPr>
    </w:p>
    <w:p>
      <w:pPr>
        <w:pStyle w:val="BodyText"/>
        <w:spacing w:before="4"/>
        <w:rPr>
          <w:sz w:val="17"/>
        </w:rPr>
      </w:pPr>
    </w:p>
    <w:p>
      <w:pPr>
        <w:pStyle w:val="BodyText"/>
        <w:spacing w:after="0"/>
        <w:rPr>
          <w:sz w:val="17"/>
        </w:rPr>
        <w:sectPr>
          <w:headerReference w:type="even" r:id="rId18"/>
          <w:footerReference w:type="even" r:id="rId19"/>
          <w:pgSz w:w="11910" w:h="16840"/>
          <w:pgMar w:header="0" w:footer="0" w:top="1920" w:bottom="280" w:left="141" w:right="141"/>
        </w:sectPr>
      </w:pPr>
    </w:p>
    <w:p>
      <w:pPr>
        <w:pStyle w:val="BodyText"/>
      </w:pPr>
    </w:p>
    <w:p>
      <w:pPr>
        <w:pStyle w:val="BodyText"/>
      </w:pPr>
    </w:p>
    <w:p>
      <w:pPr>
        <w:pStyle w:val="BodyText"/>
      </w:pPr>
    </w:p>
    <w:p>
      <w:pPr>
        <w:pStyle w:val="BodyText"/>
      </w:pPr>
    </w:p>
    <w:p>
      <w:pPr>
        <w:pStyle w:val="BodyText"/>
        <w:spacing w:before="167"/>
      </w:pPr>
    </w:p>
    <w:p>
      <w:pPr>
        <w:pStyle w:val="BodyText"/>
        <w:ind w:left="1477" w:right="1477"/>
        <w:jc w:val="center"/>
      </w:pPr>
      <w:r>
        <w:rPr/>
        <mc:AlternateContent>
          <mc:Choice Requires="wps">
            <w:drawing>
              <wp:anchor distT="0" distB="0" distL="0" distR="0" allowOverlap="1" layoutInCell="1" locked="0" behindDoc="0" simplePos="0" relativeHeight="15731200">
                <wp:simplePos x="0" y="0"/>
                <wp:positionH relativeFrom="page">
                  <wp:posOffset>701344</wp:posOffset>
                </wp:positionH>
                <wp:positionV relativeFrom="paragraph">
                  <wp:posOffset>172280</wp:posOffset>
                </wp:positionV>
                <wp:extent cx="6158230" cy="635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6158230" cy="6350"/>
                        </a:xfrm>
                        <a:custGeom>
                          <a:avLst/>
                          <a:gdLst/>
                          <a:ahLst/>
                          <a:cxnLst/>
                          <a:rect l="l" t="t" r="r" b="b"/>
                          <a:pathLst>
                            <a:path w="6158230" h="6350">
                              <a:moveTo>
                                <a:pt x="6158230" y="0"/>
                              </a:moveTo>
                              <a:lnTo>
                                <a:pt x="0" y="0"/>
                              </a:lnTo>
                              <a:lnTo>
                                <a:pt x="0" y="6096"/>
                              </a:lnTo>
                              <a:lnTo>
                                <a:pt x="6158230" y="6096"/>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13.565361pt;width:484.9pt;height:.48001pt;mso-position-horizontal-relative:page;mso-position-vertical-relative:paragraph;z-index:15731200" id="docshape16" filled="true" fillcolor="#000000" stroked="false">
                <v:fill type="solid"/>
                <w10:wrap type="none"/>
              </v:rect>
            </w:pict>
          </mc:Fallback>
        </mc:AlternateContent>
      </w:r>
      <w:r>
        <w:rPr/>
        <w:t>RELACIÓN</w:t>
      </w:r>
      <w:r>
        <w:rPr>
          <w:spacing w:val="-5"/>
        </w:rPr>
        <w:t> </w:t>
      </w:r>
      <w:r>
        <w:rPr/>
        <w:t>DE</w:t>
      </w:r>
      <w:r>
        <w:rPr>
          <w:spacing w:val="-4"/>
        </w:rPr>
        <w:t> </w:t>
      </w:r>
      <w:r>
        <w:rPr>
          <w:spacing w:val="-2"/>
        </w:rPr>
        <w:t>CUADROS</w:t>
      </w:r>
    </w:p>
    <w:p>
      <w:pPr>
        <w:pStyle w:val="Heading4"/>
        <w:tabs>
          <w:tab w:pos="10510" w:val="left" w:leader="dot"/>
        </w:tabs>
        <w:spacing w:line="259" w:lineRule="auto" w:before="392"/>
        <w:ind w:left="2523" w:right="989" w:hanging="1304"/>
        <w:jc w:val="left"/>
      </w:pPr>
      <w:hyperlink w:history="true" w:anchor="_bookmark2">
        <w:r>
          <w:rPr/>
          <w:t>CUADRO 1. OBJETIVO DEL PLAN ESTRATÉGICO EN LOS QUE SE ENCUADRA LA</w:t>
        </w:r>
      </w:hyperlink>
      <w:r>
        <w:rPr/>
        <w:t> </w:t>
      </w:r>
      <w:hyperlink w:history="true" w:anchor="_bookmark2">
        <w:r>
          <w:rPr/>
          <w:t>ACTUACIÓN</w:t>
        </w:r>
        <w:r>
          <w:rPr>
            <w:spacing w:val="-10"/>
          </w:rPr>
          <w:t> </w:t>
        </w:r>
        <w:r>
          <w:rPr>
            <w:spacing w:val="-2"/>
          </w:rPr>
          <w:t>FISCALIZADORA</w:t>
        </w:r>
        <w:r>
          <w:rPr/>
          <w:tab/>
        </w:r>
        <w:r>
          <w:rPr>
            <w:spacing w:val="-10"/>
          </w:rPr>
          <w:t>9</w:t>
        </w:r>
      </w:hyperlink>
    </w:p>
    <w:p>
      <w:pPr>
        <w:pStyle w:val="Heading4"/>
        <w:tabs>
          <w:tab w:pos="10387" w:val="left" w:leader="dot"/>
        </w:tabs>
        <w:spacing w:before="121"/>
        <w:ind w:left="1220"/>
        <w:jc w:val="left"/>
      </w:pPr>
      <w:hyperlink w:history="true" w:anchor="_bookmark6">
        <w:r>
          <w:rPr/>
          <w:t>CUADRO</w:t>
        </w:r>
        <w:r>
          <w:rPr>
            <w:spacing w:val="-6"/>
          </w:rPr>
          <w:t> </w:t>
        </w:r>
        <w:r>
          <w:rPr/>
          <w:t>2.</w:t>
        </w:r>
        <w:r>
          <w:rPr>
            <w:spacing w:val="-3"/>
          </w:rPr>
          <w:t> </w:t>
        </w:r>
        <w:r>
          <w:rPr/>
          <w:t>ENTIDADES</w:t>
        </w:r>
        <w:r>
          <w:rPr>
            <w:spacing w:val="-5"/>
          </w:rPr>
          <w:t> </w:t>
        </w:r>
        <w:r>
          <w:rPr/>
          <w:t>DEL</w:t>
        </w:r>
        <w:r>
          <w:rPr>
            <w:spacing w:val="-5"/>
          </w:rPr>
          <w:t> </w:t>
        </w:r>
        <w:r>
          <w:rPr/>
          <w:t>ÁMBITO</w:t>
        </w:r>
        <w:r>
          <w:rPr>
            <w:spacing w:val="-6"/>
          </w:rPr>
          <w:t> </w:t>
        </w:r>
        <w:r>
          <w:rPr/>
          <w:t>SUBJETIVO</w:t>
        </w:r>
        <w:r>
          <w:rPr>
            <w:spacing w:val="-5"/>
          </w:rPr>
          <w:t> </w:t>
        </w:r>
        <w:r>
          <w:rPr/>
          <w:t>DE</w:t>
        </w:r>
        <w:r>
          <w:rPr>
            <w:spacing w:val="-5"/>
          </w:rPr>
          <w:t> </w:t>
        </w:r>
        <w:r>
          <w:rPr/>
          <w:t>LA</w:t>
        </w:r>
        <w:r>
          <w:rPr>
            <w:spacing w:val="-3"/>
          </w:rPr>
          <w:t> </w:t>
        </w:r>
        <w:r>
          <w:rPr>
            <w:spacing w:val="-2"/>
          </w:rPr>
          <w:t>FISCALIZACIÓN</w:t>
        </w:r>
        <w:r>
          <w:rPr/>
          <w:tab/>
        </w:r>
        <w:r>
          <w:rPr>
            <w:spacing w:val="-5"/>
          </w:rPr>
          <w:t>12</w:t>
        </w:r>
      </w:hyperlink>
    </w:p>
    <w:p>
      <w:pPr>
        <w:pStyle w:val="Heading4"/>
        <w:tabs>
          <w:tab w:pos="10387" w:val="left" w:leader="dot"/>
        </w:tabs>
        <w:spacing w:before="141"/>
        <w:ind w:left="1220"/>
        <w:jc w:val="left"/>
      </w:pPr>
      <w:hyperlink w:history="true" w:anchor="_bookmark10">
        <w:r>
          <w:rPr/>
          <w:t>CUADRO</w:t>
        </w:r>
        <w:r>
          <w:rPr>
            <w:spacing w:val="-3"/>
          </w:rPr>
          <w:t> </w:t>
        </w:r>
        <w:r>
          <w:rPr/>
          <w:t>3.</w:t>
        </w:r>
        <w:r>
          <w:rPr>
            <w:spacing w:val="-6"/>
          </w:rPr>
          <w:t> </w:t>
        </w:r>
        <w:r>
          <w:rPr/>
          <w:t>OBJETIVOS</w:t>
        </w:r>
        <w:r>
          <w:rPr>
            <w:spacing w:val="-5"/>
          </w:rPr>
          <w:t> </w:t>
        </w:r>
        <w:r>
          <w:rPr/>
          <w:t>DE</w:t>
        </w:r>
        <w:r>
          <w:rPr>
            <w:spacing w:val="-5"/>
          </w:rPr>
          <w:t> </w:t>
        </w:r>
        <w:r>
          <w:rPr/>
          <w:t>LA</w:t>
        </w:r>
        <w:r>
          <w:rPr>
            <w:spacing w:val="-5"/>
          </w:rPr>
          <w:t> </w:t>
        </w:r>
        <w:r>
          <w:rPr>
            <w:spacing w:val="-2"/>
          </w:rPr>
          <w:t>FISCALIZACIÓN</w:t>
        </w:r>
        <w:r>
          <w:rPr/>
          <w:tab/>
        </w:r>
        <w:r>
          <w:rPr>
            <w:spacing w:val="-5"/>
          </w:rPr>
          <w:t>13</w:t>
        </w:r>
      </w:hyperlink>
    </w:p>
    <w:p>
      <w:pPr>
        <w:pStyle w:val="Heading4"/>
        <w:spacing w:before="138"/>
        <w:ind w:left="1220"/>
        <w:jc w:val="left"/>
      </w:pPr>
      <w:hyperlink w:history="true" w:anchor="_bookmark16">
        <w:r>
          <w:rPr/>
          <w:t>CUADRO</w:t>
        </w:r>
        <w:r>
          <w:rPr>
            <w:spacing w:val="-3"/>
          </w:rPr>
          <w:t> </w:t>
        </w:r>
        <w:r>
          <w:rPr/>
          <w:t>4.</w:t>
        </w:r>
        <w:r>
          <w:rPr>
            <w:spacing w:val="-6"/>
          </w:rPr>
          <w:t> </w:t>
        </w:r>
        <w:r>
          <w:rPr/>
          <w:t>MODOS</w:t>
        </w:r>
        <w:r>
          <w:rPr>
            <w:spacing w:val="-5"/>
          </w:rPr>
          <w:t> </w:t>
        </w:r>
        <w:r>
          <w:rPr/>
          <w:t>DE</w:t>
        </w:r>
        <w:r>
          <w:rPr>
            <w:spacing w:val="-5"/>
          </w:rPr>
          <w:t> </w:t>
        </w:r>
        <w:r>
          <w:rPr/>
          <w:t>TRANSPORTE</w:t>
        </w:r>
        <w:r>
          <w:rPr>
            <w:spacing w:val="-5"/>
          </w:rPr>
          <w:t> </w:t>
        </w:r>
        <w:r>
          <w:rPr/>
          <w:t>Y</w:t>
        </w:r>
        <w:r>
          <w:rPr>
            <w:spacing w:val="-7"/>
          </w:rPr>
          <w:t> </w:t>
        </w:r>
        <w:r>
          <w:rPr/>
          <w:t>GESTIÓN</w:t>
        </w:r>
        <w:r>
          <w:rPr>
            <w:spacing w:val="-5"/>
          </w:rPr>
          <w:t> </w:t>
        </w:r>
        <w:r>
          <w:rPr/>
          <w:t>DEL</w:t>
        </w:r>
        <w:r>
          <w:rPr>
            <w:spacing w:val="-7"/>
          </w:rPr>
          <w:t> </w:t>
        </w:r>
        <w:r>
          <w:rPr/>
          <w:t>SERVICIO</w:t>
        </w:r>
        <w:r>
          <w:rPr>
            <w:spacing w:val="-7"/>
          </w:rPr>
          <w:t> </w:t>
        </w:r>
        <w:r>
          <w:rPr>
            <w:spacing w:val="-2"/>
          </w:rPr>
          <w:t>PÚBLICO</w:t>
        </w:r>
      </w:hyperlink>
    </w:p>
    <w:p>
      <w:pPr>
        <w:pStyle w:val="Heading4"/>
        <w:tabs>
          <w:tab w:pos="10387" w:val="left" w:leader="dot"/>
        </w:tabs>
        <w:spacing w:before="21"/>
        <w:ind w:left="2523"/>
        <w:jc w:val="left"/>
      </w:pPr>
      <w:hyperlink w:history="true" w:anchor="_bookmark16">
        <w:r>
          <w:rPr>
            <w:spacing w:val="-2"/>
          </w:rPr>
          <w:t>COLECTIVO</w:t>
        </w:r>
        <w:r>
          <w:rPr/>
          <w:tab/>
        </w:r>
        <w:r>
          <w:rPr>
            <w:spacing w:val="-5"/>
          </w:rPr>
          <w:t>16</w:t>
        </w:r>
      </w:hyperlink>
    </w:p>
    <w:p>
      <w:pPr>
        <w:pStyle w:val="Heading4"/>
        <w:tabs>
          <w:tab w:pos="10387" w:val="left" w:leader="dot"/>
        </w:tabs>
        <w:spacing w:before="141"/>
        <w:ind w:left="1220"/>
        <w:jc w:val="left"/>
      </w:pPr>
      <w:hyperlink w:history="true" w:anchor="_bookmark36">
        <w:r>
          <w:rPr/>
          <w:t>CUADRO</w:t>
        </w:r>
        <w:r>
          <w:rPr>
            <w:spacing w:val="-4"/>
          </w:rPr>
          <w:t> </w:t>
        </w:r>
        <w:r>
          <w:rPr/>
          <w:t>5.</w:t>
        </w:r>
        <w:r>
          <w:rPr>
            <w:spacing w:val="-7"/>
          </w:rPr>
          <w:t> </w:t>
        </w:r>
        <w:r>
          <w:rPr/>
          <w:t>INSTRUMENTOS</w:t>
        </w:r>
        <w:r>
          <w:rPr>
            <w:spacing w:val="-8"/>
          </w:rPr>
          <w:t> </w:t>
        </w:r>
        <w:r>
          <w:rPr/>
          <w:t>DE</w:t>
        </w:r>
        <w:r>
          <w:rPr>
            <w:spacing w:val="-5"/>
          </w:rPr>
          <w:t> </w:t>
        </w:r>
        <w:r>
          <w:rPr/>
          <w:t>CONTROL</w:t>
        </w:r>
        <w:r>
          <w:rPr>
            <w:spacing w:val="-6"/>
          </w:rPr>
          <w:t> </w:t>
        </w:r>
        <w:r>
          <w:rPr/>
          <w:t>DE</w:t>
        </w:r>
        <w:r>
          <w:rPr>
            <w:spacing w:val="-5"/>
          </w:rPr>
          <w:t> </w:t>
        </w:r>
        <w:r>
          <w:rPr/>
          <w:t>LA</w:t>
        </w:r>
        <w:r>
          <w:rPr>
            <w:spacing w:val="-6"/>
          </w:rPr>
          <w:t> </w:t>
        </w:r>
        <w:r>
          <w:rPr>
            <w:spacing w:val="-2"/>
          </w:rPr>
          <w:t>PLANIFICACIÓN</w:t>
        </w:r>
        <w:r>
          <w:rPr/>
          <w:tab/>
        </w:r>
        <w:r>
          <w:rPr>
            <w:spacing w:val="-5"/>
          </w:rPr>
          <w:t>25</w:t>
        </w:r>
      </w:hyperlink>
    </w:p>
    <w:p>
      <w:pPr>
        <w:pStyle w:val="Heading4"/>
        <w:spacing w:before="141"/>
        <w:ind w:left="1220"/>
        <w:jc w:val="left"/>
      </w:pPr>
      <w:hyperlink w:history="true" w:anchor="_bookmark45">
        <w:r>
          <w:rPr/>
          <w:t>CUADRO</w:t>
        </w:r>
        <w:r>
          <w:rPr>
            <w:spacing w:val="-6"/>
          </w:rPr>
          <w:t> </w:t>
        </w:r>
        <w:r>
          <w:rPr/>
          <w:t>6.</w:t>
        </w:r>
        <w:r>
          <w:rPr>
            <w:spacing w:val="-6"/>
          </w:rPr>
          <w:t> </w:t>
        </w:r>
        <w:r>
          <w:rPr/>
          <w:t>ACTUACIONES</w:t>
        </w:r>
        <w:r>
          <w:rPr>
            <w:spacing w:val="-5"/>
          </w:rPr>
          <w:t> </w:t>
        </w:r>
        <w:r>
          <w:rPr/>
          <w:t>REALIZADAS</w:t>
        </w:r>
        <w:r>
          <w:rPr>
            <w:spacing w:val="-8"/>
          </w:rPr>
          <w:t> </w:t>
        </w:r>
        <w:r>
          <w:rPr/>
          <w:t>POR</w:t>
        </w:r>
        <w:r>
          <w:rPr>
            <w:spacing w:val="-5"/>
          </w:rPr>
          <w:t> </w:t>
        </w:r>
        <w:r>
          <w:rPr/>
          <w:t>LOS</w:t>
        </w:r>
        <w:r>
          <w:rPr>
            <w:spacing w:val="-6"/>
          </w:rPr>
          <w:t> </w:t>
        </w:r>
        <w:r>
          <w:rPr>
            <w:spacing w:val="-2"/>
          </w:rPr>
          <w:t>AYUNTAMIENTOS</w:t>
        </w:r>
      </w:hyperlink>
    </w:p>
    <w:p>
      <w:pPr>
        <w:pStyle w:val="Heading4"/>
        <w:tabs>
          <w:tab w:pos="10387" w:val="left" w:leader="dot"/>
        </w:tabs>
        <w:spacing w:before="18"/>
        <w:ind w:left="2523"/>
        <w:jc w:val="left"/>
      </w:pPr>
      <w:hyperlink w:history="true" w:anchor="_bookmark45">
        <w:r>
          <w:rPr/>
          <w:t>FISCALIZADOS</w:t>
        </w:r>
        <w:r>
          <w:rPr>
            <w:spacing w:val="-7"/>
          </w:rPr>
          <w:t> </w:t>
        </w:r>
        <w:r>
          <w:rPr/>
          <w:t>SEGÚN</w:t>
        </w:r>
        <w:r>
          <w:rPr>
            <w:spacing w:val="-7"/>
          </w:rPr>
          <w:t> </w:t>
        </w:r>
        <w:r>
          <w:rPr/>
          <w:t>SU</w:t>
        </w:r>
        <w:r>
          <w:rPr>
            <w:spacing w:val="-9"/>
          </w:rPr>
          <w:t> </w:t>
        </w:r>
        <w:r>
          <w:rPr>
            <w:spacing w:val="-2"/>
          </w:rPr>
          <w:t>TIPOLOGÍA</w:t>
        </w:r>
        <w:r>
          <w:rPr/>
          <w:tab/>
        </w:r>
        <w:r>
          <w:rPr>
            <w:spacing w:val="-5"/>
          </w:rPr>
          <w:t>40</w:t>
        </w:r>
      </w:hyperlink>
    </w:p>
    <w:p>
      <w:pPr>
        <w:pStyle w:val="Heading4"/>
        <w:tabs>
          <w:tab w:pos="10387" w:val="left" w:leader="dot"/>
        </w:tabs>
        <w:spacing w:before="140"/>
        <w:ind w:left="1220"/>
        <w:jc w:val="left"/>
      </w:pPr>
      <w:hyperlink w:history="true" w:anchor="_bookmark52">
        <w:r>
          <w:rPr/>
          <w:t>CUADRO</w:t>
        </w:r>
        <w:r>
          <w:rPr>
            <w:spacing w:val="-7"/>
          </w:rPr>
          <w:t> </w:t>
        </w:r>
        <w:r>
          <w:rPr/>
          <w:t>7.</w:t>
        </w:r>
        <w:r>
          <w:rPr>
            <w:spacing w:val="-8"/>
          </w:rPr>
          <w:t> </w:t>
        </w:r>
        <w:r>
          <w:rPr/>
          <w:t>AUTOBUSES</w:t>
        </w:r>
        <w:r>
          <w:rPr>
            <w:spacing w:val="-7"/>
          </w:rPr>
          <w:t> </w:t>
        </w:r>
        <w:r>
          <w:rPr/>
          <w:t>ADQUIRIDOS</w:t>
        </w:r>
        <w:r>
          <w:rPr>
            <w:spacing w:val="-7"/>
          </w:rPr>
          <w:t> </w:t>
        </w:r>
        <w:r>
          <w:rPr/>
          <w:t>POR</w:t>
        </w:r>
        <w:r>
          <w:rPr>
            <w:spacing w:val="-9"/>
          </w:rPr>
          <w:t> </w:t>
        </w:r>
        <w:r>
          <w:rPr/>
          <w:t>LOS</w:t>
        </w:r>
        <w:r>
          <w:rPr>
            <w:spacing w:val="-9"/>
          </w:rPr>
          <w:t> </w:t>
        </w:r>
        <w:r>
          <w:rPr/>
          <w:t>AYUNTAMIENTOS</w:t>
        </w:r>
        <w:r>
          <w:rPr>
            <w:spacing w:val="-6"/>
          </w:rPr>
          <w:t> </w:t>
        </w:r>
        <w:r>
          <w:rPr>
            <w:spacing w:val="-2"/>
          </w:rPr>
          <w:t>FISCALIZADOS</w:t>
        </w:r>
        <w:r>
          <w:rPr/>
          <w:tab/>
        </w:r>
        <w:r>
          <w:rPr>
            <w:spacing w:val="-5"/>
          </w:rPr>
          <w:t>44</w:t>
        </w:r>
      </w:hyperlink>
    </w:p>
    <w:p>
      <w:pPr>
        <w:pStyle w:val="Heading4"/>
        <w:spacing w:before="141"/>
        <w:ind w:left="1220"/>
        <w:jc w:val="left"/>
      </w:pPr>
      <w:hyperlink w:history="true" w:anchor="_bookmark57">
        <w:r>
          <w:rPr/>
          <w:t>CUADRO</w:t>
        </w:r>
        <w:r>
          <w:rPr>
            <w:spacing w:val="-5"/>
          </w:rPr>
          <w:t> </w:t>
        </w:r>
        <w:r>
          <w:rPr/>
          <w:t>8.</w:t>
        </w:r>
        <w:r>
          <w:rPr>
            <w:spacing w:val="-8"/>
          </w:rPr>
          <w:t> </w:t>
        </w:r>
        <w:r>
          <w:rPr/>
          <w:t>MATERIAL</w:t>
        </w:r>
        <w:r>
          <w:rPr>
            <w:spacing w:val="-8"/>
          </w:rPr>
          <w:t> </w:t>
        </w:r>
        <w:r>
          <w:rPr/>
          <w:t>MÓVIL</w:t>
        </w:r>
        <w:r>
          <w:rPr>
            <w:spacing w:val="-10"/>
          </w:rPr>
          <w:t> </w:t>
        </w:r>
        <w:r>
          <w:rPr/>
          <w:t>TRANVIARIO</w:t>
        </w:r>
        <w:r>
          <w:rPr>
            <w:spacing w:val="-9"/>
          </w:rPr>
          <w:t> </w:t>
        </w:r>
        <w:r>
          <w:rPr/>
          <w:t>ADQUIRIDO</w:t>
        </w:r>
        <w:r>
          <w:rPr>
            <w:spacing w:val="-5"/>
          </w:rPr>
          <w:t> </w:t>
        </w:r>
        <w:r>
          <w:rPr/>
          <w:t>POR</w:t>
        </w:r>
        <w:r>
          <w:rPr>
            <w:spacing w:val="-6"/>
          </w:rPr>
          <w:t> </w:t>
        </w:r>
        <w:r>
          <w:rPr>
            <w:spacing w:val="-5"/>
          </w:rPr>
          <w:t>LOS</w:t>
        </w:r>
      </w:hyperlink>
    </w:p>
    <w:p>
      <w:pPr>
        <w:pStyle w:val="Heading4"/>
        <w:tabs>
          <w:tab w:pos="10387" w:val="left" w:leader="dot"/>
        </w:tabs>
        <w:spacing w:before="21"/>
        <w:ind w:left="2523"/>
        <w:jc w:val="left"/>
      </w:pPr>
      <w:hyperlink w:history="true" w:anchor="_bookmark57">
        <w:r>
          <w:rPr/>
          <w:t>AYUNTAMIENTOS</w:t>
        </w:r>
        <w:r>
          <w:rPr>
            <w:spacing w:val="-12"/>
          </w:rPr>
          <w:t> </w:t>
        </w:r>
        <w:r>
          <w:rPr>
            <w:spacing w:val="-2"/>
          </w:rPr>
          <w:t>FISCALIZADOS</w:t>
        </w:r>
        <w:r>
          <w:rPr/>
          <w:tab/>
        </w:r>
        <w:r>
          <w:rPr>
            <w:spacing w:val="-5"/>
          </w:rPr>
          <w:t>48</w:t>
        </w:r>
      </w:hyperlink>
    </w:p>
    <w:p>
      <w:pPr>
        <w:pStyle w:val="Heading4"/>
        <w:tabs>
          <w:tab w:pos="10387" w:val="left" w:leader="dot"/>
        </w:tabs>
        <w:spacing w:before="138"/>
        <w:ind w:left="1220"/>
        <w:jc w:val="left"/>
      </w:pPr>
      <w:hyperlink w:history="true" w:anchor="_bookmark59">
        <w:r>
          <w:rPr/>
          <w:t>CUADRO</w:t>
        </w:r>
        <w:r>
          <w:rPr>
            <w:spacing w:val="-8"/>
          </w:rPr>
          <w:t> </w:t>
        </w:r>
        <w:r>
          <w:rPr/>
          <w:t>9.</w:t>
        </w:r>
        <w:r>
          <w:rPr>
            <w:spacing w:val="-8"/>
          </w:rPr>
          <w:t> </w:t>
        </w:r>
        <w:r>
          <w:rPr/>
          <w:t>ACTUACIONES</w:t>
        </w:r>
        <w:r>
          <w:rPr>
            <w:spacing w:val="-8"/>
          </w:rPr>
          <w:t> </w:t>
        </w:r>
        <w:r>
          <w:rPr/>
          <w:t>DE</w:t>
        </w:r>
        <w:r>
          <w:rPr>
            <w:spacing w:val="-7"/>
          </w:rPr>
          <w:t> </w:t>
        </w:r>
        <w:r>
          <w:rPr/>
          <w:t>INFRAESTRUCTURA</w:t>
        </w:r>
        <w:r>
          <w:rPr>
            <w:spacing w:val="-7"/>
          </w:rPr>
          <w:t> </w:t>
        </w:r>
        <w:r>
          <w:rPr/>
          <w:t>DE</w:t>
        </w:r>
        <w:r>
          <w:rPr>
            <w:spacing w:val="-8"/>
          </w:rPr>
          <w:t> </w:t>
        </w:r>
        <w:r>
          <w:rPr/>
          <w:t>RECARGA</w:t>
        </w:r>
        <w:r>
          <w:rPr>
            <w:spacing w:val="-9"/>
          </w:rPr>
          <w:t> </w:t>
        </w:r>
        <w:r>
          <w:rPr>
            <w:spacing w:val="-2"/>
          </w:rPr>
          <w:t>VEHÍCULOS</w:t>
        </w:r>
        <w:r>
          <w:rPr/>
          <w:tab/>
        </w:r>
        <w:r>
          <w:rPr>
            <w:spacing w:val="-5"/>
          </w:rPr>
          <w:t>49</w:t>
        </w:r>
      </w:hyperlink>
    </w:p>
    <w:p>
      <w:pPr>
        <w:pStyle w:val="Heading4"/>
        <w:tabs>
          <w:tab w:pos="10387" w:val="left" w:leader="dot"/>
        </w:tabs>
        <w:spacing w:before="140"/>
        <w:ind w:left="1220"/>
        <w:jc w:val="left"/>
      </w:pPr>
      <w:hyperlink w:history="true" w:anchor="_bookmark60">
        <w:r>
          <w:rPr/>
          <w:t>CUADRO</w:t>
        </w:r>
        <w:r>
          <w:rPr>
            <w:spacing w:val="-6"/>
          </w:rPr>
          <w:t> </w:t>
        </w:r>
        <w:r>
          <w:rPr/>
          <w:t>10.</w:t>
        </w:r>
        <w:r>
          <w:rPr>
            <w:spacing w:val="-7"/>
          </w:rPr>
          <w:t> </w:t>
        </w:r>
        <w:r>
          <w:rPr/>
          <w:t>OBRAS</w:t>
        </w:r>
        <w:r>
          <w:rPr>
            <w:spacing w:val="-9"/>
          </w:rPr>
          <w:t> </w:t>
        </w:r>
        <w:r>
          <w:rPr/>
          <w:t>EJECUTADAS</w:t>
        </w:r>
        <w:r>
          <w:rPr>
            <w:spacing w:val="-5"/>
          </w:rPr>
          <w:t> </w:t>
        </w:r>
        <w:r>
          <w:rPr/>
          <w:t>POR</w:t>
        </w:r>
        <w:r>
          <w:rPr>
            <w:spacing w:val="-6"/>
          </w:rPr>
          <w:t> </w:t>
        </w:r>
        <w:r>
          <w:rPr/>
          <w:t>LAS</w:t>
        </w:r>
        <w:r>
          <w:rPr>
            <w:spacing w:val="-8"/>
          </w:rPr>
          <w:t> </w:t>
        </w:r>
        <w:r>
          <w:rPr/>
          <w:t>ENTIDADES</w:t>
        </w:r>
        <w:r>
          <w:rPr>
            <w:spacing w:val="-5"/>
          </w:rPr>
          <w:t> </w:t>
        </w:r>
        <w:r>
          <w:rPr>
            <w:spacing w:val="-2"/>
          </w:rPr>
          <w:t>FISCALIZADAS</w:t>
        </w:r>
        <w:r>
          <w:rPr/>
          <w:tab/>
        </w:r>
        <w:r>
          <w:rPr>
            <w:spacing w:val="-5"/>
          </w:rPr>
          <w:t>52</w:t>
        </w:r>
      </w:hyperlink>
    </w:p>
    <w:p>
      <w:pPr>
        <w:pStyle w:val="Heading4"/>
        <w:tabs>
          <w:tab w:pos="10387" w:val="left" w:leader="dot"/>
        </w:tabs>
        <w:spacing w:line="259" w:lineRule="auto" w:before="141"/>
        <w:ind w:left="2636" w:right="989" w:hanging="1416"/>
        <w:jc w:val="left"/>
      </w:pPr>
      <w:hyperlink w:history="true" w:anchor="_bookmark75">
        <w:r>
          <w:rPr/>
          <w:t>CUADRO 11. ACTUACIONES DE DIGITALIZACIÓN LLEVADAS A CABO POR LAS</w:t>
        </w:r>
      </w:hyperlink>
      <w:r>
        <w:rPr/>
        <w:t> </w:t>
      </w:r>
      <w:hyperlink w:history="true" w:anchor="_bookmark75">
        <w:r>
          <w:rPr/>
          <w:t>ENTIDADES</w:t>
        </w:r>
        <w:r>
          <w:rPr>
            <w:spacing w:val="-8"/>
          </w:rPr>
          <w:t> </w:t>
        </w:r>
        <w:r>
          <w:rPr>
            <w:spacing w:val="-2"/>
          </w:rPr>
          <w:t>FISCALIZADAS</w:t>
        </w:r>
        <w:r>
          <w:rPr/>
          <w:tab/>
        </w:r>
        <w:r>
          <w:rPr>
            <w:spacing w:val="-5"/>
          </w:rPr>
          <w:t>62</w:t>
        </w:r>
      </w:hyperlink>
    </w:p>
    <w:p>
      <w:pPr>
        <w:pStyle w:val="Heading4"/>
        <w:tabs>
          <w:tab w:pos="10387" w:val="left" w:leader="dot"/>
        </w:tabs>
        <w:spacing w:before="119"/>
        <w:ind w:left="1220"/>
        <w:jc w:val="left"/>
      </w:pPr>
      <w:hyperlink w:history="true" w:anchor="_bookmark91">
        <w:r>
          <w:rPr/>
          <w:t>CUADRO</w:t>
        </w:r>
        <w:r>
          <w:rPr>
            <w:spacing w:val="-10"/>
          </w:rPr>
          <w:t> </w:t>
        </w:r>
        <w:r>
          <w:rPr/>
          <w:t>12.</w:t>
        </w:r>
        <w:r>
          <w:rPr>
            <w:spacing w:val="-10"/>
          </w:rPr>
          <w:t> </w:t>
        </w:r>
        <w:r>
          <w:rPr/>
          <w:t>ACTUACIONES</w:t>
        </w:r>
        <w:r>
          <w:rPr>
            <w:spacing w:val="-11"/>
          </w:rPr>
          <w:t> </w:t>
        </w:r>
        <w:r>
          <w:rPr/>
          <w:t>PROYECTO</w:t>
        </w:r>
        <w:r>
          <w:rPr>
            <w:spacing w:val="-11"/>
          </w:rPr>
          <w:t> </w:t>
        </w:r>
        <w:r>
          <w:rPr/>
          <w:t>INNOBUS-</w:t>
        </w:r>
        <w:r>
          <w:rPr>
            <w:spacing w:val="-5"/>
          </w:rPr>
          <w:t>TUR</w:t>
        </w:r>
        <w:r>
          <w:rPr/>
          <w:tab/>
        </w:r>
        <w:r>
          <w:rPr>
            <w:spacing w:val="-5"/>
          </w:rPr>
          <w:t>70</w:t>
        </w:r>
      </w:hyperlink>
    </w:p>
    <w:p>
      <w:pPr>
        <w:pStyle w:val="Heading4"/>
        <w:tabs>
          <w:tab w:pos="10387" w:val="left" w:leader="dot"/>
        </w:tabs>
        <w:spacing w:before="140"/>
        <w:ind w:left="1220"/>
        <w:jc w:val="left"/>
      </w:pPr>
      <w:hyperlink w:history="true" w:anchor="_bookmark96">
        <w:r>
          <w:rPr/>
          <w:t>CUADRO</w:t>
        </w:r>
        <w:r>
          <w:rPr>
            <w:spacing w:val="-5"/>
          </w:rPr>
          <w:t> </w:t>
        </w:r>
        <w:r>
          <w:rPr/>
          <w:t>13.</w:t>
        </w:r>
        <w:r>
          <w:rPr>
            <w:spacing w:val="-7"/>
          </w:rPr>
          <w:t> </w:t>
        </w:r>
        <w:r>
          <w:rPr/>
          <w:t>INFORMACIÓN</w:t>
        </w:r>
        <w:r>
          <w:rPr>
            <w:spacing w:val="-6"/>
          </w:rPr>
          <w:t> </w:t>
        </w:r>
        <w:r>
          <w:rPr/>
          <w:t>Y</w:t>
        </w:r>
        <w:r>
          <w:rPr>
            <w:spacing w:val="-8"/>
          </w:rPr>
          <w:t> </w:t>
        </w:r>
        <w:r>
          <w:rPr>
            <w:spacing w:val="-2"/>
          </w:rPr>
          <w:t>DIFUSIÓN</w:t>
        </w:r>
        <w:r>
          <w:rPr/>
          <w:tab/>
        </w:r>
        <w:r>
          <w:rPr>
            <w:spacing w:val="-5"/>
          </w:rPr>
          <w:t>74</w:t>
        </w:r>
      </w:hyperlink>
    </w:p>
    <w:p>
      <w:pPr>
        <w:pStyle w:val="Heading4"/>
        <w:tabs>
          <w:tab w:pos="10387" w:val="left" w:leader="dot"/>
        </w:tabs>
        <w:spacing w:before="141"/>
        <w:ind w:left="1220"/>
        <w:jc w:val="left"/>
      </w:pPr>
      <w:hyperlink w:history="true" w:anchor="_bookmark97">
        <w:r>
          <w:rPr/>
          <w:t>CUADRO</w:t>
        </w:r>
        <w:r>
          <w:rPr>
            <w:spacing w:val="-4"/>
          </w:rPr>
          <w:t> </w:t>
        </w:r>
        <w:r>
          <w:rPr/>
          <w:t>14.</w:t>
        </w:r>
        <w:r>
          <w:rPr>
            <w:spacing w:val="-6"/>
          </w:rPr>
          <w:t> </w:t>
        </w:r>
        <w:r>
          <w:rPr/>
          <w:t>OTRAS</w:t>
        </w:r>
        <w:r>
          <w:rPr>
            <w:spacing w:val="-7"/>
          </w:rPr>
          <w:t> </w:t>
        </w:r>
        <w:r>
          <w:rPr>
            <w:spacing w:val="-2"/>
          </w:rPr>
          <w:t>ACTUACIONES</w:t>
        </w:r>
        <w:r>
          <w:rPr/>
          <w:tab/>
        </w:r>
        <w:r>
          <w:rPr>
            <w:spacing w:val="-5"/>
          </w:rPr>
          <w:t>76</w:t>
        </w:r>
      </w:hyperlink>
    </w:p>
    <w:p>
      <w:pPr>
        <w:pStyle w:val="Heading4"/>
        <w:tabs>
          <w:tab w:pos="10387" w:val="left" w:leader="dot"/>
        </w:tabs>
        <w:spacing w:before="141"/>
        <w:ind w:left="1220"/>
        <w:jc w:val="left"/>
      </w:pPr>
      <w:hyperlink w:history="true" w:anchor="_bookmark107">
        <w:r>
          <w:rPr/>
          <w:t>CUADRO</w:t>
        </w:r>
        <w:r>
          <w:rPr>
            <w:spacing w:val="-4"/>
          </w:rPr>
          <w:t> </w:t>
        </w:r>
        <w:r>
          <w:rPr/>
          <w:t>15.</w:t>
        </w:r>
        <w:r>
          <w:rPr>
            <w:spacing w:val="-6"/>
          </w:rPr>
          <w:t> </w:t>
        </w:r>
        <w:r>
          <w:rPr/>
          <w:t>AYUDAS</w:t>
        </w:r>
        <w:r>
          <w:rPr>
            <w:spacing w:val="-9"/>
          </w:rPr>
          <w:t> </w:t>
        </w:r>
        <w:r>
          <w:rPr>
            <w:spacing w:val="-2"/>
          </w:rPr>
          <w:t>CONCEDIDAS</w:t>
        </w:r>
        <w:r>
          <w:rPr/>
          <w:tab/>
        </w:r>
        <w:r>
          <w:rPr>
            <w:spacing w:val="-5"/>
          </w:rPr>
          <w:t>83</w:t>
        </w:r>
      </w:hyperlink>
    </w:p>
    <w:p>
      <w:pPr>
        <w:pStyle w:val="Heading4"/>
        <w:spacing w:after="0"/>
        <w:jc w:val="left"/>
        <w:sectPr>
          <w:headerReference w:type="default" r:id="rId20"/>
          <w:footerReference w:type="default" r:id="rId21"/>
          <w:pgSz w:w="11910" w:h="16840"/>
          <w:pgMar w:header="920" w:footer="839" w:top="1100" w:bottom="1020" w:left="141" w:right="141"/>
          <w:pgNumType w:start="5"/>
        </w:sectPr>
      </w:pPr>
    </w:p>
    <w:p>
      <w:pPr>
        <w:pStyle w:val="BodyText"/>
        <w:spacing w:before="4"/>
        <w:rPr>
          <w:b/>
          <w:sz w:val="17"/>
        </w:rPr>
      </w:pPr>
    </w:p>
    <w:p>
      <w:pPr>
        <w:pStyle w:val="BodyText"/>
        <w:spacing w:after="0"/>
        <w:rPr>
          <w:b/>
          <w:sz w:val="17"/>
        </w:rPr>
        <w:sectPr>
          <w:headerReference w:type="even" r:id="rId22"/>
          <w:footerReference w:type="even" r:id="rId23"/>
          <w:pgSz w:w="11910" w:h="16840"/>
          <w:pgMar w:header="0" w:footer="0" w:top="1920" w:bottom="280" w:left="141" w:right="141"/>
        </w:sectPr>
      </w:pPr>
    </w:p>
    <w:p>
      <w:pPr>
        <w:pStyle w:val="BodyText"/>
        <w:rPr>
          <w:b/>
        </w:rPr>
      </w:pPr>
    </w:p>
    <w:p>
      <w:pPr>
        <w:pStyle w:val="BodyText"/>
        <w:rPr>
          <w:b/>
        </w:rPr>
      </w:pPr>
    </w:p>
    <w:p>
      <w:pPr>
        <w:pStyle w:val="BodyText"/>
        <w:rPr>
          <w:b/>
        </w:rPr>
      </w:pPr>
    </w:p>
    <w:p>
      <w:pPr>
        <w:pStyle w:val="BodyText"/>
        <w:rPr>
          <w:b/>
        </w:rPr>
      </w:pPr>
    </w:p>
    <w:p>
      <w:pPr>
        <w:pStyle w:val="BodyText"/>
        <w:spacing w:before="167"/>
        <w:rPr>
          <w:b/>
        </w:rPr>
      </w:pPr>
    </w:p>
    <w:p>
      <w:pPr>
        <w:spacing w:before="0"/>
        <w:ind w:left="2" w:right="0" w:firstLine="0"/>
        <w:jc w:val="center"/>
        <w:rPr>
          <w:b/>
          <w:sz w:val="22"/>
        </w:rPr>
      </w:pPr>
      <w:r>
        <w:rPr>
          <w:b/>
          <w:sz w:val="22"/>
        </w:rPr>
        <mc:AlternateContent>
          <mc:Choice Requires="wps">
            <w:drawing>
              <wp:anchor distT="0" distB="0" distL="0" distR="0" allowOverlap="1" layoutInCell="1" locked="0" behindDoc="0" simplePos="0" relativeHeight="15731712">
                <wp:simplePos x="0" y="0"/>
                <wp:positionH relativeFrom="page">
                  <wp:posOffset>701344</wp:posOffset>
                </wp:positionH>
                <wp:positionV relativeFrom="paragraph">
                  <wp:posOffset>172280</wp:posOffset>
                </wp:positionV>
                <wp:extent cx="6158230" cy="6350"/>
                <wp:effectExtent l="0" t="0" r="0" b="0"/>
                <wp:wrapNone/>
                <wp:docPr id="29" name="Graphic 29"/>
                <wp:cNvGraphicFramePr>
                  <a:graphicFrameLocks/>
                </wp:cNvGraphicFramePr>
                <a:graphic>
                  <a:graphicData uri="http://schemas.microsoft.com/office/word/2010/wordprocessingShape">
                    <wps:wsp>
                      <wps:cNvPr id="29" name="Graphic 29"/>
                      <wps:cNvSpPr/>
                      <wps:spPr>
                        <a:xfrm>
                          <a:off x="0" y="0"/>
                          <a:ext cx="6158230" cy="6350"/>
                        </a:xfrm>
                        <a:custGeom>
                          <a:avLst/>
                          <a:gdLst/>
                          <a:ahLst/>
                          <a:cxnLst/>
                          <a:rect l="l" t="t" r="r" b="b"/>
                          <a:pathLst>
                            <a:path w="6158230" h="6350">
                              <a:moveTo>
                                <a:pt x="6158230" y="0"/>
                              </a:moveTo>
                              <a:lnTo>
                                <a:pt x="0" y="0"/>
                              </a:lnTo>
                              <a:lnTo>
                                <a:pt x="0" y="6096"/>
                              </a:lnTo>
                              <a:lnTo>
                                <a:pt x="6158230" y="6096"/>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13.565361pt;width:484.9pt;height:.48001pt;mso-position-horizontal-relative:page;mso-position-vertical-relative:paragraph;z-index:15731712" id="docshape20" filled="true" fillcolor="#000000" stroked="false">
                <v:fill type="solid"/>
                <w10:wrap type="none"/>
              </v:rect>
            </w:pict>
          </mc:Fallback>
        </mc:AlternateContent>
      </w:r>
      <w:r>
        <w:rPr>
          <w:b/>
          <w:sz w:val="22"/>
        </w:rPr>
        <w:t>RELACIÓN</w:t>
      </w:r>
      <w:r>
        <w:rPr>
          <w:b/>
          <w:spacing w:val="-7"/>
          <w:sz w:val="22"/>
        </w:rPr>
        <w:t> </w:t>
      </w:r>
      <w:r>
        <w:rPr>
          <w:b/>
          <w:sz w:val="22"/>
        </w:rPr>
        <w:t>DE</w:t>
      </w:r>
      <w:r>
        <w:rPr>
          <w:b/>
          <w:spacing w:val="-5"/>
          <w:sz w:val="22"/>
        </w:rPr>
        <w:t> </w:t>
      </w:r>
      <w:r>
        <w:rPr>
          <w:b/>
          <w:spacing w:val="-2"/>
          <w:sz w:val="22"/>
        </w:rPr>
        <w:t>GRÁFICOS</w:t>
      </w:r>
    </w:p>
    <w:p>
      <w:pPr>
        <w:pStyle w:val="Heading4"/>
        <w:tabs>
          <w:tab w:pos="10387" w:val="left" w:leader="dot"/>
        </w:tabs>
        <w:spacing w:line="259" w:lineRule="auto" w:before="392"/>
        <w:ind w:left="2523" w:right="989" w:hanging="1304"/>
        <w:jc w:val="left"/>
      </w:pPr>
      <w:hyperlink w:history="true" w:anchor="_bookmark3">
        <w:r>
          <w:rPr/>
          <w:t>GRÁFICO 1. LÍNEA DE AYUDAS PARA LA TRANSFORMACIÓN SOSTENIBLE DEL</w:t>
        </w:r>
      </w:hyperlink>
      <w:r>
        <w:rPr/>
        <w:t> </w:t>
      </w:r>
      <w:hyperlink w:history="true" w:anchor="_bookmark3">
        <w:r>
          <w:rPr/>
          <w:t>TRANSPORTE</w:t>
        </w:r>
        <w:r>
          <w:rPr>
            <w:spacing w:val="-9"/>
          </w:rPr>
          <w:t> </w:t>
        </w:r>
        <w:r>
          <w:rPr>
            <w:spacing w:val="-2"/>
          </w:rPr>
          <w:t>PÚBLICO</w:t>
        </w:r>
        <w:r>
          <w:rPr/>
          <w:tab/>
        </w:r>
        <w:r>
          <w:rPr>
            <w:spacing w:val="-5"/>
          </w:rPr>
          <w:t>11</w:t>
        </w:r>
      </w:hyperlink>
    </w:p>
    <w:p>
      <w:pPr>
        <w:pStyle w:val="Heading4"/>
        <w:tabs>
          <w:tab w:pos="10387" w:val="left" w:leader="dot"/>
        </w:tabs>
        <w:spacing w:before="121"/>
        <w:ind w:left="1220"/>
        <w:jc w:val="left"/>
      </w:pPr>
      <w:hyperlink w:history="true" w:anchor="_bookmark17">
        <w:r>
          <w:rPr/>
          <w:t>GRÁFICO</w:t>
        </w:r>
        <w:r>
          <w:rPr>
            <w:spacing w:val="-5"/>
          </w:rPr>
          <w:t> </w:t>
        </w:r>
        <w:r>
          <w:rPr/>
          <w:t>2.</w:t>
        </w:r>
        <w:r>
          <w:rPr>
            <w:spacing w:val="-4"/>
          </w:rPr>
          <w:t> </w:t>
        </w:r>
        <w:r>
          <w:rPr/>
          <w:t>DENSIDAD</w:t>
        </w:r>
        <w:r>
          <w:rPr>
            <w:spacing w:val="-4"/>
          </w:rPr>
          <w:t> </w:t>
        </w:r>
        <w:r>
          <w:rPr/>
          <w:t>DE</w:t>
        </w:r>
        <w:r>
          <w:rPr>
            <w:spacing w:val="-3"/>
          </w:rPr>
          <w:t> </w:t>
        </w:r>
        <w:r>
          <w:rPr/>
          <w:t>LAS</w:t>
        </w:r>
        <w:r>
          <w:rPr>
            <w:spacing w:val="-7"/>
          </w:rPr>
          <w:t> </w:t>
        </w:r>
        <w:r>
          <w:rPr/>
          <w:t>LÍNEAS</w:t>
        </w:r>
        <w:r>
          <w:rPr>
            <w:spacing w:val="-3"/>
          </w:rPr>
          <w:t> </w:t>
        </w:r>
        <w:r>
          <w:rPr/>
          <w:t>DE</w:t>
        </w:r>
        <w:r>
          <w:rPr>
            <w:spacing w:val="-5"/>
          </w:rPr>
          <w:t> </w:t>
        </w:r>
        <w:r>
          <w:rPr>
            <w:spacing w:val="-2"/>
          </w:rPr>
          <w:t>AUTOBÚS</w:t>
        </w:r>
        <w:r>
          <w:rPr/>
          <w:tab/>
        </w:r>
        <w:r>
          <w:rPr>
            <w:spacing w:val="-5"/>
          </w:rPr>
          <w:t>17</w:t>
        </w:r>
      </w:hyperlink>
    </w:p>
    <w:p>
      <w:pPr>
        <w:pStyle w:val="Heading4"/>
        <w:tabs>
          <w:tab w:pos="10387" w:val="left" w:leader="dot"/>
        </w:tabs>
        <w:spacing w:before="141"/>
        <w:ind w:left="1220"/>
        <w:jc w:val="left"/>
      </w:pPr>
      <w:hyperlink w:history="true" w:anchor="_bookmark23">
        <w:r>
          <w:rPr/>
          <w:t>GRÁFICO</w:t>
        </w:r>
        <w:r>
          <w:rPr>
            <w:spacing w:val="-10"/>
          </w:rPr>
          <w:t> </w:t>
        </w:r>
        <w:r>
          <w:rPr/>
          <w:t>3.</w:t>
        </w:r>
        <w:r>
          <w:rPr>
            <w:spacing w:val="-8"/>
          </w:rPr>
          <w:t> </w:t>
        </w:r>
        <w:r>
          <w:rPr/>
          <w:t>USUARIOS</w:t>
        </w:r>
        <w:r>
          <w:rPr>
            <w:spacing w:val="-7"/>
          </w:rPr>
          <w:t> </w:t>
        </w:r>
        <w:r>
          <w:rPr/>
          <w:t>TRANSPORTE</w:t>
        </w:r>
        <w:r>
          <w:rPr>
            <w:spacing w:val="-7"/>
          </w:rPr>
          <w:t> </w:t>
        </w:r>
        <w:r>
          <w:rPr/>
          <w:t>PÚBLICO</w:t>
        </w:r>
        <w:r>
          <w:rPr>
            <w:spacing w:val="-7"/>
          </w:rPr>
          <w:t> </w:t>
        </w:r>
        <w:r>
          <w:rPr>
            <w:spacing w:val="-2"/>
          </w:rPr>
          <w:t>AUTOBÚS</w:t>
        </w:r>
        <w:r>
          <w:rPr/>
          <w:tab/>
        </w:r>
        <w:r>
          <w:rPr>
            <w:spacing w:val="-5"/>
          </w:rPr>
          <w:t>19</w:t>
        </w:r>
      </w:hyperlink>
    </w:p>
    <w:p>
      <w:pPr>
        <w:pStyle w:val="Heading4"/>
        <w:spacing w:before="138"/>
        <w:ind w:left="1220"/>
        <w:jc w:val="left"/>
      </w:pPr>
      <w:hyperlink w:history="true" w:anchor="_bookmark24">
        <w:r>
          <w:rPr/>
          <w:t>GRÁFICO</w:t>
        </w:r>
        <w:r>
          <w:rPr>
            <w:spacing w:val="-9"/>
          </w:rPr>
          <w:t> </w:t>
        </w:r>
        <w:r>
          <w:rPr/>
          <w:t>4.</w:t>
        </w:r>
        <w:r>
          <w:rPr>
            <w:spacing w:val="-6"/>
          </w:rPr>
          <w:t> </w:t>
        </w:r>
        <w:r>
          <w:rPr/>
          <w:t>INCREMENTO</w:t>
        </w:r>
        <w:r>
          <w:rPr>
            <w:spacing w:val="-7"/>
          </w:rPr>
          <w:t> </w:t>
        </w:r>
        <w:r>
          <w:rPr/>
          <w:t>DE</w:t>
        </w:r>
        <w:r>
          <w:rPr>
            <w:spacing w:val="-5"/>
          </w:rPr>
          <w:t> </w:t>
        </w:r>
        <w:r>
          <w:rPr/>
          <w:t>USUARIOS</w:t>
        </w:r>
        <w:r>
          <w:rPr>
            <w:spacing w:val="-9"/>
          </w:rPr>
          <w:t> </w:t>
        </w:r>
        <w:r>
          <w:rPr/>
          <w:t>DEL</w:t>
        </w:r>
        <w:r>
          <w:rPr>
            <w:spacing w:val="-7"/>
          </w:rPr>
          <w:t> </w:t>
        </w:r>
        <w:r>
          <w:rPr/>
          <w:t>TRANSPORTE</w:t>
        </w:r>
        <w:r>
          <w:rPr>
            <w:spacing w:val="-8"/>
          </w:rPr>
          <w:t> </w:t>
        </w:r>
        <w:r>
          <w:rPr/>
          <w:t>PÚBLICO</w:t>
        </w:r>
        <w:r>
          <w:rPr>
            <w:spacing w:val="-6"/>
          </w:rPr>
          <w:t> </w:t>
        </w:r>
        <w:r>
          <w:rPr>
            <w:spacing w:val="-2"/>
          </w:rPr>
          <w:t>AUTOBÚS</w:t>
        </w:r>
      </w:hyperlink>
    </w:p>
    <w:p>
      <w:pPr>
        <w:pStyle w:val="Heading5"/>
        <w:tabs>
          <w:tab w:pos="10387" w:val="left" w:leader="dot"/>
        </w:tabs>
        <w:spacing w:before="21"/>
        <w:ind w:left="2523"/>
      </w:pPr>
      <w:hyperlink w:history="true" w:anchor="_bookmark24">
        <w:r>
          <w:rPr>
            <w:spacing w:val="-2"/>
          </w:rPr>
          <w:t>2022-</w:t>
        </w:r>
        <w:r>
          <w:rPr>
            <w:spacing w:val="-4"/>
          </w:rPr>
          <w:t>2024</w:t>
        </w:r>
        <w:r>
          <w:rPr/>
          <w:tab/>
        </w:r>
        <w:r>
          <w:rPr>
            <w:spacing w:val="-5"/>
          </w:rPr>
          <w:t>19</w:t>
        </w:r>
      </w:hyperlink>
    </w:p>
    <w:p>
      <w:pPr>
        <w:pStyle w:val="Heading4"/>
        <w:tabs>
          <w:tab w:pos="10387" w:val="left" w:leader="dot"/>
        </w:tabs>
        <w:spacing w:before="141"/>
        <w:ind w:left="1220"/>
        <w:jc w:val="left"/>
      </w:pPr>
      <w:hyperlink w:history="true" w:anchor="_bookmark105">
        <w:r>
          <w:rPr/>
          <w:t>GRÁFICO</w:t>
        </w:r>
        <w:r>
          <w:rPr>
            <w:spacing w:val="-7"/>
          </w:rPr>
          <w:t> </w:t>
        </w:r>
        <w:r>
          <w:rPr/>
          <w:t>5.</w:t>
        </w:r>
        <w:r>
          <w:rPr>
            <w:spacing w:val="-7"/>
          </w:rPr>
          <w:t> </w:t>
        </w:r>
        <w:r>
          <w:rPr/>
          <w:t>LÍMITES</w:t>
        </w:r>
        <w:r>
          <w:rPr>
            <w:spacing w:val="-5"/>
          </w:rPr>
          <w:t> </w:t>
        </w:r>
        <w:r>
          <w:rPr/>
          <w:t>CUANTITATIVOS</w:t>
        </w:r>
        <w:r>
          <w:rPr>
            <w:spacing w:val="-6"/>
          </w:rPr>
          <w:t> </w:t>
        </w:r>
        <w:r>
          <w:rPr/>
          <w:t>DE</w:t>
        </w:r>
        <w:r>
          <w:rPr>
            <w:spacing w:val="-6"/>
          </w:rPr>
          <w:t> </w:t>
        </w:r>
        <w:r>
          <w:rPr/>
          <w:t>LAS</w:t>
        </w:r>
        <w:r>
          <w:rPr>
            <w:spacing w:val="-5"/>
          </w:rPr>
          <w:t> </w:t>
        </w:r>
        <w:r>
          <w:rPr>
            <w:spacing w:val="-2"/>
          </w:rPr>
          <w:t>AYUDAS</w:t>
        </w:r>
        <w:r>
          <w:rPr/>
          <w:tab/>
        </w:r>
        <w:r>
          <w:rPr>
            <w:spacing w:val="-5"/>
          </w:rPr>
          <w:t>82</w:t>
        </w:r>
      </w:hyperlink>
    </w:p>
    <w:p>
      <w:pPr>
        <w:pStyle w:val="Heading4"/>
        <w:tabs>
          <w:tab w:pos="10387" w:val="left" w:leader="dot"/>
        </w:tabs>
        <w:spacing w:before="141"/>
        <w:ind w:left="1220"/>
        <w:jc w:val="left"/>
      </w:pPr>
      <w:hyperlink w:history="true" w:anchor="_bookmark106">
        <w:r>
          <w:rPr/>
          <w:t>GRÁFICO</w:t>
        </w:r>
        <w:r>
          <w:rPr>
            <w:spacing w:val="-5"/>
          </w:rPr>
          <w:t> </w:t>
        </w:r>
        <w:r>
          <w:rPr/>
          <w:t>6.</w:t>
        </w:r>
        <w:r>
          <w:rPr>
            <w:spacing w:val="-4"/>
          </w:rPr>
          <w:t> </w:t>
        </w:r>
        <w:r>
          <w:rPr/>
          <w:t>LÍNEAS</w:t>
        </w:r>
        <w:r>
          <w:rPr>
            <w:spacing w:val="-3"/>
          </w:rPr>
          <w:t> </w:t>
        </w:r>
        <w:r>
          <w:rPr/>
          <w:t>DE</w:t>
        </w:r>
        <w:r>
          <w:rPr>
            <w:spacing w:val="-3"/>
          </w:rPr>
          <w:t> </w:t>
        </w:r>
        <w:r>
          <w:rPr>
            <w:spacing w:val="-2"/>
          </w:rPr>
          <w:t>AYUDAS</w:t>
        </w:r>
        <w:r>
          <w:rPr/>
          <w:tab/>
        </w:r>
        <w:r>
          <w:rPr>
            <w:spacing w:val="-5"/>
          </w:rPr>
          <w:t>83</w:t>
        </w:r>
      </w:hyperlink>
    </w:p>
    <w:p>
      <w:pPr>
        <w:pStyle w:val="Heading4"/>
        <w:tabs>
          <w:tab w:pos="10387" w:val="left" w:leader="dot"/>
        </w:tabs>
        <w:spacing w:before="138"/>
        <w:ind w:left="1220"/>
        <w:jc w:val="left"/>
      </w:pPr>
      <w:hyperlink w:history="true" w:anchor="_bookmark109">
        <w:r>
          <w:rPr/>
          <w:t>GRÁFICO</w:t>
        </w:r>
        <w:r>
          <w:rPr>
            <w:spacing w:val="-6"/>
          </w:rPr>
          <w:t> </w:t>
        </w:r>
        <w:r>
          <w:rPr/>
          <w:t>7.</w:t>
        </w:r>
        <w:r>
          <w:rPr>
            <w:spacing w:val="-6"/>
          </w:rPr>
          <w:t> </w:t>
        </w:r>
        <w:r>
          <w:rPr/>
          <w:t>PRINCIPIOS</w:t>
        </w:r>
        <w:r>
          <w:rPr>
            <w:spacing w:val="-6"/>
          </w:rPr>
          <w:t> </w:t>
        </w:r>
        <w:r>
          <w:rPr/>
          <w:t>DE</w:t>
        </w:r>
        <w:r>
          <w:rPr>
            <w:spacing w:val="-5"/>
          </w:rPr>
          <w:t> </w:t>
        </w:r>
        <w:r>
          <w:rPr/>
          <w:t>GESTIÓN</w:t>
        </w:r>
        <w:r>
          <w:rPr>
            <w:spacing w:val="-7"/>
          </w:rPr>
          <w:t> </w:t>
        </w:r>
        <w:r>
          <w:rPr/>
          <w:t>DEL</w:t>
        </w:r>
        <w:r>
          <w:rPr>
            <w:spacing w:val="-5"/>
          </w:rPr>
          <w:t> </w:t>
        </w:r>
        <w:r>
          <w:rPr>
            <w:spacing w:val="-4"/>
          </w:rPr>
          <w:t>PRTR</w:t>
        </w:r>
        <w:r>
          <w:rPr/>
          <w:tab/>
        </w:r>
        <w:r>
          <w:rPr>
            <w:spacing w:val="-5"/>
          </w:rPr>
          <w:t>85</w:t>
        </w:r>
      </w:hyperlink>
    </w:p>
    <w:p>
      <w:pPr>
        <w:pStyle w:val="Heading4"/>
        <w:spacing w:after="0"/>
        <w:jc w:val="left"/>
        <w:sectPr>
          <w:headerReference w:type="default" r:id="rId24"/>
          <w:footerReference w:type="default" r:id="rId25"/>
          <w:pgSz w:w="11910" w:h="16840"/>
          <w:pgMar w:header="920" w:footer="839" w:top="1100" w:bottom="1020" w:left="141" w:right="141"/>
          <w:pgNumType w:start="7"/>
        </w:sectPr>
      </w:pPr>
    </w:p>
    <w:p>
      <w:pPr>
        <w:pStyle w:val="BodyText"/>
        <w:spacing w:before="4"/>
        <w:rPr>
          <w:b/>
          <w:sz w:val="17"/>
        </w:rPr>
      </w:pPr>
    </w:p>
    <w:p>
      <w:pPr>
        <w:pStyle w:val="BodyText"/>
        <w:spacing w:after="0"/>
        <w:rPr>
          <w:b/>
          <w:sz w:val="17"/>
        </w:rPr>
        <w:sectPr>
          <w:headerReference w:type="even" r:id="rId26"/>
          <w:footerReference w:type="even" r:id="rId27"/>
          <w:pgSz w:w="11910" w:h="16840"/>
          <w:pgMar w:header="0" w:footer="0" w:top="1920" w:bottom="280" w:left="141" w:right="140"/>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20"/>
        <w:rPr>
          <w:b/>
        </w:rPr>
      </w:pPr>
    </w:p>
    <w:p>
      <w:pPr>
        <w:pStyle w:val="Heading4"/>
        <w:numPr>
          <w:ilvl w:val="0"/>
          <w:numId w:val="3"/>
        </w:numPr>
        <w:tabs>
          <w:tab w:pos="1173" w:val="left" w:leader="none"/>
        </w:tabs>
        <w:spacing w:line="240" w:lineRule="auto" w:before="0" w:after="0"/>
        <w:ind w:left="1173" w:right="0" w:hanging="181"/>
        <w:jc w:val="left"/>
      </w:pPr>
      <w:bookmarkStart w:name="_bookmark0" w:id="2"/>
      <w:bookmarkEnd w:id="2"/>
      <w:r>
        <w:rPr>
          <w:b w:val="0"/>
        </w:rPr>
      </w:r>
      <w:r>
        <w:rPr>
          <w:spacing w:val="-2"/>
        </w:rPr>
        <w:t>INTRODUCCIÓN</w:t>
      </w:r>
    </w:p>
    <w:p>
      <w:pPr>
        <w:pStyle w:val="BodyText"/>
        <w:spacing w:before="106"/>
        <w:rPr>
          <w:b/>
        </w:rPr>
      </w:pPr>
    </w:p>
    <w:p>
      <w:pPr>
        <w:pStyle w:val="Heading4"/>
        <w:numPr>
          <w:ilvl w:val="1"/>
          <w:numId w:val="3"/>
        </w:numPr>
        <w:tabs>
          <w:tab w:pos="1356" w:val="left" w:leader="none"/>
        </w:tabs>
        <w:spacing w:line="240" w:lineRule="auto" w:before="1" w:after="0"/>
        <w:ind w:left="1356" w:right="0" w:hanging="364"/>
        <w:jc w:val="left"/>
      </w:pPr>
      <w:bookmarkStart w:name="_bookmark1" w:id="3"/>
      <w:bookmarkEnd w:id="3"/>
      <w:r>
        <w:rPr>
          <w:b w:val="0"/>
        </w:rPr>
      </w:r>
      <w:r>
        <w:rPr/>
        <w:t>ANTECEDENTES</w:t>
      </w:r>
      <w:r>
        <w:rPr>
          <w:spacing w:val="-7"/>
        </w:rPr>
        <w:t> </w:t>
      </w:r>
      <w:r>
        <w:rPr/>
        <w:t>E</w:t>
      </w:r>
      <w:r>
        <w:rPr>
          <w:spacing w:val="-7"/>
        </w:rPr>
        <w:t> </w:t>
      </w:r>
      <w:r>
        <w:rPr/>
        <w:t>INICIATIVA</w:t>
      </w:r>
      <w:r>
        <w:rPr>
          <w:spacing w:val="-7"/>
        </w:rPr>
        <w:t> </w:t>
      </w:r>
      <w:r>
        <w:rPr/>
        <w:t>DEL</w:t>
      </w:r>
      <w:r>
        <w:rPr>
          <w:spacing w:val="-6"/>
        </w:rPr>
        <w:t> </w:t>
      </w:r>
      <w:r>
        <w:rPr>
          <w:spacing w:val="-2"/>
        </w:rPr>
        <w:t>PROCEDIMIENTO</w:t>
      </w:r>
    </w:p>
    <w:p>
      <w:pPr>
        <w:spacing w:line="240" w:lineRule="auto" w:before="241"/>
        <w:ind w:left="992" w:right="985" w:firstLine="0"/>
        <w:jc w:val="both"/>
        <w:rPr>
          <w:sz w:val="22"/>
        </w:rPr>
      </w:pPr>
      <w:r>
        <w:rPr>
          <w:sz w:val="22"/>
        </w:rPr>
        <w:t>La </w:t>
      </w:r>
      <w:r>
        <w:rPr>
          <w:i/>
          <w:sz w:val="22"/>
        </w:rPr>
        <w:t>Fiscalización sobre las medidas adoptadas por las entidades locales para lograr una movilidad</w:t>
      </w:r>
      <w:r>
        <w:rPr>
          <w:i/>
          <w:sz w:val="22"/>
        </w:rPr>
        <w:t> sostenible en el transporte público colectivo, ejercicios 2023 y 2024</w:t>
      </w:r>
      <w:r>
        <w:rPr>
          <w:sz w:val="22"/>
        </w:rPr>
        <w:t>, se incluyó en el Programa de Fiscalizaciones</w:t>
      </w:r>
      <w:r>
        <w:rPr>
          <w:spacing w:val="-6"/>
          <w:sz w:val="22"/>
        </w:rPr>
        <w:t> </w:t>
      </w:r>
      <w:r>
        <w:rPr>
          <w:sz w:val="22"/>
        </w:rPr>
        <w:t>del</w:t>
      </w:r>
      <w:r>
        <w:rPr>
          <w:spacing w:val="-7"/>
          <w:sz w:val="22"/>
        </w:rPr>
        <w:t> </w:t>
      </w:r>
      <w:r>
        <w:rPr>
          <w:sz w:val="22"/>
        </w:rPr>
        <w:t>Tribunal</w:t>
      </w:r>
      <w:r>
        <w:rPr>
          <w:spacing w:val="-7"/>
          <w:sz w:val="22"/>
        </w:rPr>
        <w:t> </w:t>
      </w:r>
      <w:r>
        <w:rPr>
          <w:sz w:val="22"/>
        </w:rPr>
        <w:t>de</w:t>
      </w:r>
      <w:r>
        <w:rPr>
          <w:spacing w:val="-7"/>
          <w:sz w:val="22"/>
        </w:rPr>
        <w:t> </w:t>
      </w:r>
      <w:r>
        <w:rPr>
          <w:sz w:val="22"/>
        </w:rPr>
        <w:t>Cuentas</w:t>
      </w:r>
      <w:r>
        <w:rPr>
          <w:spacing w:val="-8"/>
          <w:sz w:val="22"/>
        </w:rPr>
        <w:t> </w:t>
      </w:r>
      <w:r>
        <w:rPr>
          <w:sz w:val="22"/>
        </w:rPr>
        <w:t>para</w:t>
      </w:r>
      <w:r>
        <w:rPr>
          <w:spacing w:val="-6"/>
          <w:sz w:val="22"/>
        </w:rPr>
        <w:t> </w:t>
      </w:r>
      <w:r>
        <w:rPr>
          <w:sz w:val="22"/>
        </w:rPr>
        <w:t>el</w:t>
      </w:r>
      <w:r>
        <w:rPr>
          <w:spacing w:val="-10"/>
          <w:sz w:val="22"/>
        </w:rPr>
        <w:t> </w:t>
      </w:r>
      <w:r>
        <w:rPr>
          <w:sz w:val="22"/>
        </w:rPr>
        <w:t>año</w:t>
      </w:r>
      <w:r>
        <w:rPr>
          <w:spacing w:val="-7"/>
          <w:sz w:val="22"/>
        </w:rPr>
        <w:t> </w:t>
      </w:r>
      <w:r>
        <w:rPr>
          <w:sz w:val="22"/>
        </w:rPr>
        <w:t>2025,</w:t>
      </w:r>
      <w:r>
        <w:rPr>
          <w:spacing w:val="-5"/>
          <w:sz w:val="22"/>
        </w:rPr>
        <w:t> </w:t>
      </w:r>
      <w:r>
        <w:rPr>
          <w:sz w:val="22"/>
        </w:rPr>
        <w:t>aprobado</w:t>
      </w:r>
      <w:r>
        <w:rPr>
          <w:spacing w:val="-6"/>
          <w:sz w:val="22"/>
        </w:rPr>
        <w:t> </w:t>
      </w:r>
      <w:r>
        <w:rPr>
          <w:sz w:val="22"/>
        </w:rPr>
        <w:t>por</w:t>
      </w:r>
      <w:r>
        <w:rPr>
          <w:spacing w:val="-5"/>
          <w:sz w:val="22"/>
        </w:rPr>
        <w:t> </w:t>
      </w:r>
      <w:r>
        <w:rPr>
          <w:sz w:val="22"/>
        </w:rPr>
        <w:t>el</w:t>
      </w:r>
      <w:r>
        <w:rPr>
          <w:spacing w:val="-9"/>
          <w:sz w:val="22"/>
        </w:rPr>
        <w:t> </w:t>
      </w:r>
      <w:r>
        <w:rPr>
          <w:sz w:val="22"/>
        </w:rPr>
        <w:t>Pleno</w:t>
      </w:r>
      <w:r>
        <w:rPr>
          <w:spacing w:val="-6"/>
          <w:sz w:val="22"/>
        </w:rPr>
        <w:t> </w:t>
      </w:r>
      <w:r>
        <w:rPr>
          <w:sz w:val="22"/>
        </w:rPr>
        <w:t>de</w:t>
      </w:r>
      <w:r>
        <w:rPr>
          <w:spacing w:val="-7"/>
          <w:sz w:val="22"/>
        </w:rPr>
        <w:t> </w:t>
      </w:r>
      <w:r>
        <w:rPr>
          <w:sz w:val="22"/>
        </w:rPr>
        <w:t>la</w:t>
      </w:r>
      <w:r>
        <w:rPr>
          <w:spacing w:val="-6"/>
          <w:sz w:val="22"/>
        </w:rPr>
        <w:t> </w:t>
      </w:r>
      <w:r>
        <w:rPr>
          <w:sz w:val="22"/>
        </w:rPr>
        <w:t>Institución</w:t>
      </w:r>
      <w:r>
        <w:rPr>
          <w:spacing w:val="-8"/>
          <w:sz w:val="22"/>
        </w:rPr>
        <w:t> </w:t>
      </w:r>
      <w:r>
        <w:rPr>
          <w:sz w:val="22"/>
        </w:rPr>
        <w:t>el 18</w:t>
      </w:r>
      <w:r>
        <w:rPr>
          <w:spacing w:val="-6"/>
          <w:sz w:val="22"/>
        </w:rPr>
        <w:t> </w:t>
      </w:r>
      <w:r>
        <w:rPr>
          <w:sz w:val="22"/>
        </w:rPr>
        <w:t>de</w:t>
      </w:r>
      <w:r>
        <w:rPr>
          <w:spacing w:val="-9"/>
          <w:sz w:val="22"/>
        </w:rPr>
        <w:t> </w:t>
      </w:r>
      <w:r>
        <w:rPr>
          <w:sz w:val="22"/>
        </w:rPr>
        <w:t>diciembre</w:t>
      </w:r>
      <w:r>
        <w:rPr>
          <w:spacing w:val="-9"/>
          <w:sz w:val="22"/>
        </w:rPr>
        <w:t> </w:t>
      </w:r>
      <w:r>
        <w:rPr>
          <w:sz w:val="22"/>
        </w:rPr>
        <w:t>de</w:t>
      </w:r>
      <w:r>
        <w:rPr>
          <w:spacing w:val="-9"/>
          <w:sz w:val="22"/>
        </w:rPr>
        <w:t> </w:t>
      </w:r>
      <w:r>
        <w:rPr>
          <w:sz w:val="22"/>
        </w:rPr>
        <w:t>2024,</w:t>
      </w:r>
      <w:r>
        <w:rPr>
          <w:spacing w:val="-5"/>
          <w:sz w:val="22"/>
        </w:rPr>
        <w:t> </w:t>
      </w:r>
      <w:r>
        <w:rPr>
          <w:sz w:val="22"/>
        </w:rPr>
        <w:t>en</w:t>
      </w:r>
      <w:r>
        <w:rPr>
          <w:spacing w:val="-9"/>
          <w:sz w:val="22"/>
        </w:rPr>
        <w:t> </w:t>
      </w:r>
      <w:r>
        <w:rPr>
          <w:sz w:val="22"/>
        </w:rPr>
        <w:t>el</w:t>
      </w:r>
      <w:r>
        <w:rPr>
          <w:spacing w:val="-10"/>
          <w:sz w:val="22"/>
        </w:rPr>
        <w:t> </w:t>
      </w:r>
      <w:r>
        <w:rPr>
          <w:sz w:val="22"/>
        </w:rPr>
        <w:t>apartado</w:t>
      </w:r>
      <w:r>
        <w:rPr>
          <w:spacing w:val="-9"/>
          <w:sz w:val="22"/>
        </w:rPr>
        <w:t> </w:t>
      </w:r>
      <w:r>
        <w:rPr>
          <w:sz w:val="22"/>
        </w:rPr>
        <w:t>relativo</w:t>
      </w:r>
      <w:r>
        <w:rPr>
          <w:spacing w:val="-9"/>
          <w:sz w:val="22"/>
        </w:rPr>
        <w:t> </w:t>
      </w:r>
      <w:r>
        <w:rPr>
          <w:sz w:val="22"/>
        </w:rPr>
        <w:t>a</w:t>
      </w:r>
      <w:r>
        <w:rPr>
          <w:spacing w:val="-9"/>
          <w:sz w:val="22"/>
        </w:rPr>
        <w:t> </w:t>
      </w:r>
      <w:r>
        <w:rPr>
          <w:sz w:val="22"/>
        </w:rPr>
        <w:t>las</w:t>
      </w:r>
      <w:r>
        <w:rPr>
          <w:spacing w:val="-8"/>
          <w:sz w:val="22"/>
        </w:rPr>
        <w:t> </w:t>
      </w:r>
      <w:r>
        <w:rPr>
          <w:sz w:val="22"/>
        </w:rPr>
        <w:t>fiscalizaciones</w:t>
      </w:r>
      <w:r>
        <w:rPr>
          <w:spacing w:val="-6"/>
          <w:sz w:val="22"/>
        </w:rPr>
        <w:t> </w:t>
      </w:r>
      <w:r>
        <w:rPr>
          <w:sz w:val="22"/>
        </w:rPr>
        <w:t>programadas</w:t>
      </w:r>
      <w:r>
        <w:rPr>
          <w:spacing w:val="-9"/>
          <w:sz w:val="22"/>
        </w:rPr>
        <w:t> </w:t>
      </w:r>
      <w:r>
        <w:rPr>
          <w:sz w:val="22"/>
        </w:rPr>
        <w:t>por</w:t>
      </w:r>
      <w:r>
        <w:rPr>
          <w:spacing w:val="-8"/>
          <w:sz w:val="22"/>
        </w:rPr>
        <w:t> </w:t>
      </w:r>
      <w:r>
        <w:rPr>
          <w:sz w:val="22"/>
        </w:rPr>
        <w:t>iniciativa</w:t>
      </w:r>
      <w:r>
        <w:rPr>
          <w:spacing w:val="-7"/>
          <w:sz w:val="22"/>
        </w:rPr>
        <w:t> </w:t>
      </w:r>
      <w:r>
        <w:rPr>
          <w:sz w:val="22"/>
        </w:rPr>
        <w:t>del Tribunal de Cuentas.</w:t>
      </w:r>
    </w:p>
    <w:p>
      <w:pPr>
        <w:pStyle w:val="BodyText"/>
        <w:spacing w:before="240"/>
        <w:ind w:left="992" w:right="988"/>
        <w:jc w:val="both"/>
      </w:pPr>
      <w:r>
        <w:rPr/>
        <w:t>La iniciativa de la presente fiscalización tiene su origen en la conveniencia de acometer fiscalizaciones</w:t>
      </w:r>
      <w:r>
        <w:rPr>
          <w:spacing w:val="-3"/>
        </w:rPr>
        <w:t> </w:t>
      </w:r>
      <w:r>
        <w:rPr/>
        <w:t>operativas</w:t>
      </w:r>
      <w:r>
        <w:rPr>
          <w:spacing w:val="-2"/>
        </w:rPr>
        <w:t> </w:t>
      </w:r>
      <w:r>
        <w:rPr/>
        <w:t>relacionadas</w:t>
      </w:r>
      <w:r>
        <w:rPr>
          <w:spacing w:val="-3"/>
        </w:rPr>
        <w:t> </w:t>
      </w:r>
      <w:r>
        <w:rPr/>
        <w:t>con</w:t>
      </w:r>
      <w:r>
        <w:rPr>
          <w:spacing w:val="-5"/>
        </w:rPr>
        <w:t> </w:t>
      </w:r>
      <w:r>
        <w:rPr/>
        <w:t>el</w:t>
      </w:r>
      <w:r>
        <w:rPr>
          <w:spacing w:val="-4"/>
        </w:rPr>
        <w:t> </w:t>
      </w:r>
      <w:r>
        <w:rPr/>
        <w:t>análisis</w:t>
      </w:r>
      <w:r>
        <w:rPr>
          <w:spacing w:val="-2"/>
        </w:rPr>
        <w:t> </w:t>
      </w:r>
      <w:r>
        <w:rPr/>
        <w:t>del</w:t>
      </w:r>
      <w:r>
        <w:rPr>
          <w:spacing w:val="-3"/>
        </w:rPr>
        <w:t> </w:t>
      </w:r>
      <w:r>
        <w:rPr/>
        <w:t>sometimiento</w:t>
      </w:r>
      <w:r>
        <w:rPr>
          <w:spacing w:val="-3"/>
        </w:rPr>
        <w:t> </w:t>
      </w:r>
      <w:r>
        <w:rPr/>
        <w:t>de</w:t>
      </w:r>
      <w:r>
        <w:rPr>
          <w:spacing w:val="-3"/>
        </w:rPr>
        <w:t> </w:t>
      </w:r>
      <w:r>
        <w:rPr/>
        <w:t>la</w:t>
      </w:r>
      <w:r>
        <w:rPr>
          <w:spacing w:val="-3"/>
        </w:rPr>
        <w:t> </w:t>
      </w:r>
      <w:r>
        <w:rPr/>
        <w:t>actividad</w:t>
      </w:r>
      <w:r>
        <w:rPr>
          <w:spacing w:val="-3"/>
        </w:rPr>
        <w:t> </w:t>
      </w:r>
      <w:r>
        <w:rPr/>
        <w:t>económico-financiera del sector público al principio de la sostenibilidad ambiental, conforme al artículo 9.1 de la Ley Orgánica 2/1982, de 12 de mayo, del Tribunal de Cuentas, el Plan Estratégico del Tribunal de Cuentas 2024-2027 y el Acuerdo del Pleno de esta Institución para la aprobación de la planificación a medio plazo de la actividad fiscalizadora, además de para analizar actuaciones acogidas, parcial o</w:t>
      </w:r>
      <w:r>
        <w:rPr>
          <w:spacing w:val="-1"/>
        </w:rPr>
        <w:t> </w:t>
      </w:r>
      <w:r>
        <w:rPr/>
        <w:t>íntegramente, al Plan de</w:t>
      </w:r>
      <w:r>
        <w:rPr>
          <w:spacing w:val="-1"/>
        </w:rPr>
        <w:t> </w:t>
      </w:r>
      <w:r>
        <w:rPr/>
        <w:t>Recuperación, Transformación, y</w:t>
      </w:r>
      <w:r>
        <w:rPr>
          <w:spacing w:val="-1"/>
        </w:rPr>
        <w:t> </w:t>
      </w:r>
      <w:r>
        <w:rPr/>
        <w:t>Resiliencia (PRTR).</w:t>
      </w:r>
    </w:p>
    <w:p>
      <w:pPr>
        <w:pStyle w:val="BodyText"/>
        <w:spacing w:before="238"/>
        <w:ind w:left="992" w:right="988"/>
        <w:jc w:val="both"/>
      </w:pPr>
      <w:r>
        <w:rPr/>
        <w:t>Esta fiscalización queda enmarcada en el contexto del Plan Estratégico del Tribunal de Cuentas 2024-2027, y</w:t>
      </w:r>
      <w:r>
        <w:rPr>
          <w:spacing w:val="-2"/>
        </w:rPr>
        <w:t> </w:t>
      </w:r>
      <w:r>
        <w:rPr/>
        <w:t>el</w:t>
      </w:r>
      <w:r>
        <w:rPr>
          <w:spacing w:val="-1"/>
        </w:rPr>
        <w:t> </w:t>
      </w:r>
      <w:r>
        <w:rPr/>
        <w:t>Plan</w:t>
      </w:r>
      <w:r>
        <w:rPr>
          <w:spacing w:val="-2"/>
        </w:rPr>
        <w:t> </w:t>
      </w:r>
      <w:r>
        <w:rPr/>
        <w:t>Operativo</w:t>
      </w:r>
      <w:r>
        <w:rPr>
          <w:spacing w:val="-2"/>
        </w:rPr>
        <w:t> </w:t>
      </w:r>
      <w:r>
        <w:rPr/>
        <w:t>Bienal</w:t>
      </w:r>
      <w:r>
        <w:rPr>
          <w:spacing w:val="-1"/>
        </w:rPr>
        <w:t> </w:t>
      </w:r>
      <w:r>
        <w:rPr/>
        <w:t>2024-2025</w:t>
      </w:r>
      <w:r>
        <w:rPr>
          <w:spacing w:val="-2"/>
        </w:rPr>
        <w:t> </w:t>
      </w:r>
      <w:r>
        <w:rPr/>
        <w:t>del Tribunal de</w:t>
      </w:r>
      <w:r>
        <w:rPr>
          <w:spacing w:val="-2"/>
        </w:rPr>
        <w:t> </w:t>
      </w:r>
      <w:r>
        <w:rPr/>
        <w:t>Cuentas, aprobados</w:t>
      </w:r>
      <w:r>
        <w:rPr>
          <w:spacing w:val="-2"/>
        </w:rPr>
        <w:t> </w:t>
      </w:r>
      <w:r>
        <w:rPr/>
        <w:t>por</w:t>
      </w:r>
      <w:r>
        <w:rPr>
          <w:spacing w:val="-1"/>
        </w:rPr>
        <w:t> </w:t>
      </w:r>
      <w:r>
        <w:rPr/>
        <w:t>el</w:t>
      </w:r>
      <w:r>
        <w:rPr>
          <w:spacing w:val="-3"/>
        </w:rPr>
        <w:t> </w:t>
      </w:r>
      <w:r>
        <w:rPr/>
        <w:t>Pleno de esta Institución el 30 de mayo de 2024, en particular, en su objetivo estratégico 1. Contribuir a una</w:t>
      </w:r>
      <w:r>
        <w:rPr>
          <w:spacing w:val="-5"/>
        </w:rPr>
        <w:t> </w:t>
      </w:r>
      <w:r>
        <w:rPr/>
        <w:t>gestión</w:t>
      </w:r>
      <w:r>
        <w:rPr>
          <w:spacing w:val="-5"/>
        </w:rPr>
        <w:t> </w:t>
      </w:r>
      <w:r>
        <w:rPr/>
        <w:t>de</w:t>
      </w:r>
      <w:r>
        <w:rPr>
          <w:spacing w:val="-8"/>
        </w:rPr>
        <w:t> </w:t>
      </w:r>
      <w:r>
        <w:rPr/>
        <w:t>los</w:t>
      </w:r>
      <w:r>
        <w:rPr>
          <w:spacing w:val="-7"/>
        </w:rPr>
        <w:t> </w:t>
      </w:r>
      <w:r>
        <w:rPr/>
        <w:t>fondos</w:t>
      </w:r>
      <w:r>
        <w:rPr>
          <w:spacing w:val="-5"/>
        </w:rPr>
        <w:t> </w:t>
      </w:r>
      <w:r>
        <w:rPr/>
        <w:t>públicos</w:t>
      </w:r>
      <w:r>
        <w:rPr>
          <w:spacing w:val="-7"/>
        </w:rPr>
        <w:t> </w:t>
      </w:r>
      <w:r>
        <w:rPr/>
        <w:t>eficaz,</w:t>
      </w:r>
      <w:r>
        <w:rPr>
          <w:spacing w:val="-4"/>
        </w:rPr>
        <w:t> </w:t>
      </w:r>
      <w:r>
        <w:rPr/>
        <w:t>eficiente</w:t>
      </w:r>
      <w:r>
        <w:rPr>
          <w:spacing w:val="-5"/>
        </w:rPr>
        <w:t> </w:t>
      </w:r>
      <w:r>
        <w:rPr/>
        <w:t>y</w:t>
      </w:r>
      <w:r>
        <w:rPr>
          <w:spacing w:val="-7"/>
        </w:rPr>
        <w:t> </w:t>
      </w:r>
      <w:r>
        <w:rPr/>
        <w:t>transparente,</w:t>
      </w:r>
      <w:r>
        <w:rPr>
          <w:spacing w:val="-6"/>
        </w:rPr>
        <w:t> </w:t>
      </w:r>
      <w:r>
        <w:rPr/>
        <w:t>y,</w:t>
      </w:r>
      <w:r>
        <w:rPr>
          <w:spacing w:val="-6"/>
        </w:rPr>
        <w:t> </w:t>
      </w:r>
      <w:r>
        <w:rPr/>
        <w:t>en</w:t>
      </w:r>
      <w:r>
        <w:rPr>
          <w:spacing w:val="-8"/>
        </w:rPr>
        <w:t> </w:t>
      </w:r>
      <w:r>
        <w:rPr/>
        <w:t>concreto,</w:t>
      </w:r>
      <w:r>
        <w:rPr>
          <w:spacing w:val="-5"/>
        </w:rPr>
        <w:t> </w:t>
      </w:r>
      <w:r>
        <w:rPr/>
        <w:t>en</w:t>
      </w:r>
      <w:r>
        <w:rPr>
          <w:spacing w:val="-8"/>
        </w:rPr>
        <w:t> </w:t>
      </w:r>
      <w:r>
        <w:rPr/>
        <w:t>las</w:t>
      </w:r>
      <w:r>
        <w:rPr>
          <w:spacing w:val="-5"/>
        </w:rPr>
        <w:t> </w:t>
      </w:r>
      <w:r>
        <w:rPr/>
        <w:t>siguientes líneas de actuación:</w:t>
      </w:r>
    </w:p>
    <w:p>
      <w:pPr>
        <w:pStyle w:val="BodyText"/>
        <w:spacing w:before="108"/>
      </w:pPr>
    </w:p>
    <w:p>
      <w:pPr>
        <w:pStyle w:val="Heading4"/>
        <w:ind w:left="4223" w:right="1279" w:hanging="2735"/>
        <w:jc w:val="left"/>
      </w:pPr>
      <w:bookmarkStart w:name="_bookmark2" w:id="4"/>
      <w:bookmarkEnd w:id="4"/>
      <w:r>
        <w:rPr>
          <w:b w:val="0"/>
        </w:rPr>
      </w:r>
      <w:r>
        <w:rPr/>
        <w:t>CUADRO</w:t>
      </w:r>
      <w:r>
        <w:rPr>
          <w:spacing w:val="-2"/>
        </w:rPr>
        <w:t> </w:t>
      </w:r>
      <w:r>
        <w:rPr/>
        <w:t>1.</w:t>
      </w:r>
      <w:r>
        <w:rPr>
          <w:spacing w:val="-5"/>
        </w:rPr>
        <w:t> </w:t>
      </w:r>
      <w:r>
        <w:rPr/>
        <w:t>OBJETIVO</w:t>
      </w:r>
      <w:r>
        <w:rPr>
          <w:spacing w:val="-4"/>
        </w:rPr>
        <w:t> </w:t>
      </w:r>
      <w:r>
        <w:rPr/>
        <w:t>DEL</w:t>
      </w:r>
      <w:r>
        <w:rPr>
          <w:spacing w:val="-4"/>
        </w:rPr>
        <w:t> </w:t>
      </w:r>
      <w:r>
        <w:rPr/>
        <w:t>PLAN</w:t>
      </w:r>
      <w:r>
        <w:rPr>
          <w:spacing w:val="-4"/>
        </w:rPr>
        <w:t> </w:t>
      </w:r>
      <w:r>
        <w:rPr/>
        <w:t>ESTRATÉGICO</w:t>
      </w:r>
      <w:r>
        <w:rPr>
          <w:spacing w:val="-2"/>
        </w:rPr>
        <w:t> </w:t>
      </w:r>
      <w:r>
        <w:rPr/>
        <w:t>EN</w:t>
      </w:r>
      <w:r>
        <w:rPr>
          <w:spacing w:val="-4"/>
        </w:rPr>
        <w:t> </w:t>
      </w:r>
      <w:r>
        <w:rPr/>
        <w:t>LOS</w:t>
      </w:r>
      <w:r>
        <w:rPr>
          <w:spacing w:val="-6"/>
        </w:rPr>
        <w:t> </w:t>
      </w:r>
      <w:r>
        <w:rPr/>
        <w:t>QUE</w:t>
      </w:r>
      <w:r>
        <w:rPr>
          <w:spacing w:val="-4"/>
        </w:rPr>
        <w:t> </w:t>
      </w:r>
      <w:r>
        <w:rPr/>
        <w:t>SE</w:t>
      </w:r>
      <w:r>
        <w:rPr>
          <w:spacing w:val="-4"/>
        </w:rPr>
        <w:t> </w:t>
      </w:r>
      <w:r>
        <w:rPr/>
        <w:t>ENCUADRA</w:t>
      </w:r>
      <w:r>
        <w:rPr>
          <w:spacing w:val="-2"/>
        </w:rPr>
        <w:t> </w:t>
      </w:r>
      <w:r>
        <w:rPr/>
        <w:t>LA ACTUACIÓN FISCALIZADORA</w:t>
      </w:r>
    </w:p>
    <w:p>
      <w:pPr>
        <w:pStyle w:val="BodyText"/>
        <w:spacing w:before="9"/>
        <w:rPr>
          <w:b/>
          <w:sz w:val="18"/>
        </w:rPr>
      </w:pPr>
      <w:r>
        <w:rPr>
          <w:b/>
          <w:sz w:val="18"/>
        </w:rPr>
        <mc:AlternateContent>
          <mc:Choice Requires="wps">
            <w:drawing>
              <wp:anchor distT="0" distB="0" distL="0" distR="0" allowOverlap="1" layoutInCell="1" locked="0" behindDoc="1" simplePos="0" relativeHeight="487591424">
                <wp:simplePos x="0" y="0"/>
                <wp:positionH relativeFrom="page">
                  <wp:posOffset>675436</wp:posOffset>
                </wp:positionH>
                <wp:positionV relativeFrom="paragraph">
                  <wp:posOffset>152668</wp:posOffset>
                </wp:positionV>
                <wp:extent cx="6211570" cy="346075"/>
                <wp:effectExtent l="0" t="0" r="0" b="0"/>
                <wp:wrapTopAndBottom/>
                <wp:docPr id="38" name="Textbox 38"/>
                <wp:cNvGraphicFramePr>
                  <a:graphicFrameLocks/>
                </wp:cNvGraphicFramePr>
                <a:graphic>
                  <a:graphicData uri="http://schemas.microsoft.com/office/word/2010/wordprocessingShape">
                    <wps:wsp>
                      <wps:cNvPr id="38" name="Textbox 38"/>
                      <wps:cNvSpPr txBox="1"/>
                      <wps:spPr>
                        <a:xfrm>
                          <a:off x="0" y="0"/>
                          <a:ext cx="6211570" cy="346075"/>
                        </a:xfrm>
                        <a:prstGeom prst="rect">
                          <a:avLst/>
                        </a:prstGeom>
                        <a:solidFill>
                          <a:srgbClr val="002D5D"/>
                        </a:solidFill>
                      </wps:spPr>
                      <wps:txbx>
                        <w:txbxContent>
                          <w:p>
                            <w:pPr>
                              <w:spacing w:line="259" w:lineRule="auto" w:before="0"/>
                              <w:ind w:left="2659" w:right="104" w:hanging="2552"/>
                              <w:jc w:val="left"/>
                              <w:rPr>
                                <w:rFonts w:ascii="Arial Narrow" w:hAnsi="Arial Narrow"/>
                                <w:b/>
                                <w:color w:val="000000"/>
                                <w:sz w:val="22"/>
                              </w:rPr>
                            </w:pPr>
                            <w:r>
                              <w:rPr>
                                <w:rFonts w:ascii="Arial Narrow" w:hAnsi="Arial Narrow"/>
                                <w:b/>
                                <w:color w:val="FFFFFF"/>
                                <w:sz w:val="22"/>
                              </w:rPr>
                              <w:t>OBJETIVO</w:t>
                            </w:r>
                            <w:r>
                              <w:rPr>
                                <w:rFonts w:ascii="Arial Narrow" w:hAnsi="Arial Narrow"/>
                                <w:b/>
                                <w:color w:val="FFFFFF"/>
                                <w:spacing w:val="-3"/>
                                <w:sz w:val="22"/>
                              </w:rPr>
                              <w:t> </w:t>
                            </w:r>
                            <w:r>
                              <w:rPr>
                                <w:rFonts w:ascii="Arial Narrow" w:hAnsi="Arial Narrow"/>
                                <w:b/>
                                <w:color w:val="FFFFFF"/>
                                <w:sz w:val="22"/>
                              </w:rPr>
                              <w:t>ESTRATÉGICO</w:t>
                            </w:r>
                            <w:r>
                              <w:rPr>
                                <w:rFonts w:ascii="Arial Narrow" w:hAnsi="Arial Narrow"/>
                                <w:b/>
                                <w:color w:val="FFFFFF"/>
                                <w:spacing w:val="-3"/>
                                <w:sz w:val="22"/>
                              </w:rPr>
                              <w:t> </w:t>
                            </w:r>
                            <w:r>
                              <w:rPr>
                                <w:rFonts w:ascii="Arial Narrow" w:hAnsi="Arial Narrow"/>
                                <w:b/>
                                <w:color w:val="FFFFFF"/>
                                <w:sz w:val="22"/>
                              </w:rPr>
                              <w:t>1:</w:t>
                            </w:r>
                            <w:r>
                              <w:rPr>
                                <w:rFonts w:ascii="Arial Narrow" w:hAnsi="Arial Narrow"/>
                                <w:b/>
                                <w:color w:val="FFFFFF"/>
                                <w:spacing w:val="-2"/>
                                <w:sz w:val="22"/>
                              </w:rPr>
                              <w:t> </w:t>
                            </w:r>
                            <w:r>
                              <w:rPr>
                                <w:rFonts w:ascii="Arial Narrow" w:hAnsi="Arial Narrow"/>
                                <w:i/>
                                <w:color w:val="FFFFFF"/>
                                <w:sz w:val="22"/>
                              </w:rPr>
                              <w:t>Contribuir</w:t>
                            </w:r>
                            <w:r>
                              <w:rPr>
                                <w:rFonts w:ascii="Arial Narrow" w:hAnsi="Arial Narrow"/>
                                <w:i/>
                                <w:color w:val="FFFFFF"/>
                                <w:spacing w:val="-3"/>
                                <w:sz w:val="22"/>
                              </w:rPr>
                              <w:t> </w:t>
                            </w:r>
                            <w:r>
                              <w:rPr>
                                <w:rFonts w:ascii="Arial Narrow" w:hAnsi="Arial Narrow"/>
                                <w:i/>
                                <w:color w:val="FFFFFF"/>
                                <w:sz w:val="22"/>
                              </w:rPr>
                              <w:t>al</w:t>
                            </w:r>
                            <w:r>
                              <w:rPr>
                                <w:rFonts w:ascii="Arial Narrow" w:hAnsi="Arial Narrow"/>
                                <w:i/>
                                <w:color w:val="FFFFFF"/>
                                <w:spacing w:val="-3"/>
                                <w:sz w:val="22"/>
                              </w:rPr>
                              <w:t> </w:t>
                            </w:r>
                            <w:r>
                              <w:rPr>
                                <w:rFonts w:ascii="Arial Narrow" w:hAnsi="Arial Narrow"/>
                                <w:i/>
                                <w:color w:val="FFFFFF"/>
                                <w:sz w:val="22"/>
                              </w:rPr>
                              <w:t>buen</w:t>
                            </w:r>
                            <w:r>
                              <w:rPr>
                                <w:rFonts w:ascii="Arial Narrow" w:hAnsi="Arial Narrow"/>
                                <w:i/>
                                <w:color w:val="FFFFFF"/>
                                <w:spacing w:val="-3"/>
                                <w:sz w:val="22"/>
                              </w:rPr>
                              <w:t> </w:t>
                            </w:r>
                            <w:r>
                              <w:rPr>
                                <w:rFonts w:ascii="Arial Narrow" w:hAnsi="Arial Narrow"/>
                                <w:i/>
                                <w:color w:val="FFFFFF"/>
                                <w:sz w:val="22"/>
                              </w:rPr>
                              <w:t>gobierno</w:t>
                            </w:r>
                            <w:r>
                              <w:rPr>
                                <w:rFonts w:ascii="Arial Narrow" w:hAnsi="Arial Narrow"/>
                                <w:i/>
                                <w:color w:val="FFFFFF"/>
                                <w:spacing w:val="-6"/>
                                <w:sz w:val="22"/>
                              </w:rPr>
                              <w:t> </w:t>
                            </w:r>
                            <w:r>
                              <w:rPr>
                                <w:rFonts w:ascii="Arial Narrow" w:hAnsi="Arial Narrow"/>
                                <w:i/>
                                <w:color w:val="FFFFFF"/>
                                <w:sz w:val="22"/>
                              </w:rPr>
                              <w:t>y</w:t>
                            </w:r>
                            <w:r>
                              <w:rPr>
                                <w:rFonts w:ascii="Arial Narrow" w:hAnsi="Arial Narrow"/>
                                <w:i/>
                                <w:color w:val="FFFFFF"/>
                                <w:spacing w:val="-6"/>
                                <w:sz w:val="22"/>
                              </w:rPr>
                              <w:t> </w:t>
                            </w:r>
                            <w:r>
                              <w:rPr>
                                <w:rFonts w:ascii="Arial Narrow" w:hAnsi="Arial Narrow"/>
                                <w:i/>
                                <w:color w:val="FFFFFF"/>
                                <w:sz w:val="22"/>
                              </w:rPr>
                              <w:t>a</w:t>
                            </w:r>
                            <w:r>
                              <w:rPr>
                                <w:rFonts w:ascii="Arial Narrow" w:hAnsi="Arial Narrow"/>
                                <w:i/>
                                <w:color w:val="FFFFFF"/>
                                <w:spacing w:val="-4"/>
                                <w:sz w:val="22"/>
                              </w:rPr>
                              <w:t> </w:t>
                            </w:r>
                            <w:r>
                              <w:rPr>
                                <w:rFonts w:ascii="Arial Narrow" w:hAnsi="Arial Narrow"/>
                                <w:i/>
                                <w:color w:val="FFFFFF"/>
                                <w:sz w:val="22"/>
                              </w:rPr>
                              <w:t>la</w:t>
                            </w:r>
                            <w:r>
                              <w:rPr>
                                <w:rFonts w:ascii="Arial Narrow" w:hAnsi="Arial Narrow"/>
                                <w:i/>
                                <w:color w:val="FFFFFF"/>
                                <w:spacing w:val="-3"/>
                                <w:sz w:val="22"/>
                              </w:rPr>
                              <w:t> </w:t>
                            </w:r>
                            <w:r>
                              <w:rPr>
                                <w:rFonts w:ascii="Arial Narrow" w:hAnsi="Arial Narrow"/>
                                <w:i/>
                                <w:color w:val="FFFFFF"/>
                                <w:sz w:val="22"/>
                              </w:rPr>
                              <w:t>mejora</w:t>
                            </w:r>
                            <w:r>
                              <w:rPr>
                                <w:rFonts w:ascii="Arial Narrow" w:hAnsi="Arial Narrow"/>
                                <w:i/>
                                <w:color w:val="FFFFFF"/>
                                <w:spacing w:val="-4"/>
                                <w:sz w:val="22"/>
                              </w:rPr>
                              <w:t> </w:t>
                            </w:r>
                            <w:r>
                              <w:rPr>
                                <w:rFonts w:ascii="Arial Narrow" w:hAnsi="Arial Narrow"/>
                                <w:i/>
                                <w:color w:val="FFFFFF"/>
                                <w:sz w:val="22"/>
                              </w:rPr>
                              <w:t>de</w:t>
                            </w:r>
                            <w:r>
                              <w:rPr>
                                <w:rFonts w:ascii="Arial Narrow" w:hAnsi="Arial Narrow"/>
                                <w:i/>
                                <w:color w:val="FFFFFF"/>
                                <w:spacing w:val="-4"/>
                                <w:sz w:val="22"/>
                              </w:rPr>
                              <w:t> </w:t>
                            </w:r>
                            <w:r>
                              <w:rPr>
                                <w:rFonts w:ascii="Arial Narrow" w:hAnsi="Arial Narrow"/>
                                <w:i/>
                                <w:color w:val="FFFFFF"/>
                                <w:sz w:val="22"/>
                              </w:rPr>
                              <w:t>la</w:t>
                            </w:r>
                            <w:r>
                              <w:rPr>
                                <w:rFonts w:ascii="Arial Narrow" w:hAnsi="Arial Narrow"/>
                                <w:i/>
                                <w:color w:val="FFFFFF"/>
                                <w:spacing w:val="-3"/>
                                <w:sz w:val="22"/>
                              </w:rPr>
                              <w:t> </w:t>
                            </w:r>
                            <w:r>
                              <w:rPr>
                                <w:rFonts w:ascii="Arial Narrow" w:hAnsi="Arial Narrow"/>
                                <w:i/>
                                <w:color w:val="FFFFFF"/>
                                <w:sz w:val="22"/>
                              </w:rPr>
                              <w:t>actividad</w:t>
                            </w:r>
                            <w:r>
                              <w:rPr>
                                <w:rFonts w:ascii="Arial Narrow" w:hAnsi="Arial Narrow"/>
                                <w:i/>
                                <w:color w:val="FFFFFF"/>
                                <w:spacing w:val="-3"/>
                                <w:sz w:val="22"/>
                              </w:rPr>
                              <w:t> </w:t>
                            </w:r>
                            <w:r>
                              <w:rPr>
                                <w:rFonts w:ascii="Arial Narrow" w:hAnsi="Arial Narrow"/>
                                <w:i/>
                                <w:color w:val="FFFFFF"/>
                                <w:sz w:val="22"/>
                              </w:rPr>
                              <w:t>económico-financiera</w:t>
                            </w:r>
                            <w:r>
                              <w:rPr>
                                <w:rFonts w:ascii="Arial Narrow" w:hAnsi="Arial Narrow"/>
                                <w:i/>
                                <w:color w:val="FFFFFF"/>
                                <w:spacing w:val="-4"/>
                                <w:sz w:val="22"/>
                              </w:rPr>
                              <w:t> </w:t>
                            </w:r>
                            <w:r>
                              <w:rPr>
                                <w:rFonts w:ascii="Arial Narrow" w:hAnsi="Arial Narrow"/>
                                <w:i/>
                                <w:color w:val="FFFFFF"/>
                                <w:sz w:val="22"/>
                              </w:rPr>
                              <w:t>del</w:t>
                            </w:r>
                            <w:r>
                              <w:rPr>
                                <w:rFonts w:ascii="Arial Narrow" w:hAnsi="Arial Narrow"/>
                                <w:i/>
                                <w:color w:val="FFFFFF"/>
                                <w:spacing w:val="-3"/>
                                <w:sz w:val="22"/>
                              </w:rPr>
                              <w:t> </w:t>
                            </w:r>
                            <w:r>
                              <w:rPr>
                                <w:rFonts w:ascii="Arial Narrow" w:hAnsi="Arial Narrow"/>
                                <w:i/>
                                <w:color w:val="FFFFFF"/>
                                <w:sz w:val="22"/>
                              </w:rPr>
                              <w:t>sector</w:t>
                            </w:r>
                            <w:r>
                              <w:rPr>
                                <w:rFonts w:ascii="Arial Narrow" w:hAnsi="Arial Narrow"/>
                                <w:i/>
                                <w:color w:val="FFFFFF"/>
                                <w:sz w:val="22"/>
                              </w:rPr>
                              <w:t> </w:t>
                            </w:r>
                            <w:r>
                              <w:rPr>
                                <w:rFonts w:ascii="Arial Narrow" w:hAnsi="Arial Narrow"/>
                                <w:i/>
                                <w:color w:val="FFFFFF"/>
                                <w:spacing w:val="-2"/>
                                <w:sz w:val="22"/>
                              </w:rPr>
                              <w:t>público</w:t>
                            </w:r>
                            <w:r>
                              <w:rPr>
                                <w:rFonts w:ascii="Arial Narrow" w:hAnsi="Arial Narrow"/>
                                <w:b/>
                                <w:color w:val="FFFFFF"/>
                                <w:spacing w:val="-2"/>
                                <w:sz w:val="22"/>
                              </w:rPr>
                              <w:t>.</w:t>
                            </w:r>
                          </w:p>
                        </w:txbxContent>
                      </wps:txbx>
                      <wps:bodyPr wrap="square" lIns="0" tIns="0" rIns="0" bIns="0" rtlCol="0">
                        <a:noAutofit/>
                      </wps:bodyPr>
                    </wps:wsp>
                  </a:graphicData>
                </a:graphic>
              </wp:anchor>
            </w:drawing>
          </mc:Choice>
          <mc:Fallback>
            <w:pict>
              <v:shape style="position:absolute;margin-left:53.183998pt;margin-top:12.021152pt;width:489.1pt;height:27.25pt;mso-position-horizontal-relative:page;mso-position-vertical-relative:paragraph;z-index:-15725056;mso-wrap-distance-left:0;mso-wrap-distance-right:0" type="#_x0000_t202" id="docshape27" filled="true" fillcolor="#002d5d" stroked="false">
                <v:textbox inset="0,0,0,0">
                  <w:txbxContent>
                    <w:p>
                      <w:pPr>
                        <w:spacing w:line="259" w:lineRule="auto" w:before="0"/>
                        <w:ind w:left="2659" w:right="104" w:hanging="2552"/>
                        <w:jc w:val="left"/>
                        <w:rPr>
                          <w:rFonts w:ascii="Arial Narrow" w:hAnsi="Arial Narrow"/>
                          <w:b/>
                          <w:color w:val="000000"/>
                          <w:sz w:val="22"/>
                        </w:rPr>
                      </w:pPr>
                      <w:r>
                        <w:rPr>
                          <w:rFonts w:ascii="Arial Narrow" w:hAnsi="Arial Narrow"/>
                          <w:b/>
                          <w:color w:val="FFFFFF"/>
                          <w:sz w:val="22"/>
                        </w:rPr>
                        <w:t>OBJETIVO</w:t>
                      </w:r>
                      <w:r>
                        <w:rPr>
                          <w:rFonts w:ascii="Arial Narrow" w:hAnsi="Arial Narrow"/>
                          <w:b/>
                          <w:color w:val="FFFFFF"/>
                          <w:spacing w:val="-3"/>
                          <w:sz w:val="22"/>
                        </w:rPr>
                        <w:t> </w:t>
                      </w:r>
                      <w:r>
                        <w:rPr>
                          <w:rFonts w:ascii="Arial Narrow" w:hAnsi="Arial Narrow"/>
                          <w:b/>
                          <w:color w:val="FFFFFF"/>
                          <w:sz w:val="22"/>
                        </w:rPr>
                        <w:t>ESTRATÉGICO</w:t>
                      </w:r>
                      <w:r>
                        <w:rPr>
                          <w:rFonts w:ascii="Arial Narrow" w:hAnsi="Arial Narrow"/>
                          <w:b/>
                          <w:color w:val="FFFFFF"/>
                          <w:spacing w:val="-3"/>
                          <w:sz w:val="22"/>
                        </w:rPr>
                        <w:t> </w:t>
                      </w:r>
                      <w:r>
                        <w:rPr>
                          <w:rFonts w:ascii="Arial Narrow" w:hAnsi="Arial Narrow"/>
                          <w:b/>
                          <w:color w:val="FFFFFF"/>
                          <w:sz w:val="22"/>
                        </w:rPr>
                        <w:t>1:</w:t>
                      </w:r>
                      <w:r>
                        <w:rPr>
                          <w:rFonts w:ascii="Arial Narrow" w:hAnsi="Arial Narrow"/>
                          <w:b/>
                          <w:color w:val="FFFFFF"/>
                          <w:spacing w:val="-2"/>
                          <w:sz w:val="22"/>
                        </w:rPr>
                        <w:t> </w:t>
                      </w:r>
                      <w:r>
                        <w:rPr>
                          <w:rFonts w:ascii="Arial Narrow" w:hAnsi="Arial Narrow"/>
                          <w:i/>
                          <w:color w:val="FFFFFF"/>
                          <w:sz w:val="22"/>
                        </w:rPr>
                        <w:t>Contribuir</w:t>
                      </w:r>
                      <w:r>
                        <w:rPr>
                          <w:rFonts w:ascii="Arial Narrow" w:hAnsi="Arial Narrow"/>
                          <w:i/>
                          <w:color w:val="FFFFFF"/>
                          <w:spacing w:val="-3"/>
                          <w:sz w:val="22"/>
                        </w:rPr>
                        <w:t> </w:t>
                      </w:r>
                      <w:r>
                        <w:rPr>
                          <w:rFonts w:ascii="Arial Narrow" w:hAnsi="Arial Narrow"/>
                          <w:i/>
                          <w:color w:val="FFFFFF"/>
                          <w:sz w:val="22"/>
                        </w:rPr>
                        <w:t>al</w:t>
                      </w:r>
                      <w:r>
                        <w:rPr>
                          <w:rFonts w:ascii="Arial Narrow" w:hAnsi="Arial Narrow"/>
                          <w:i/>
                          <w:color w:val="FFFFFF"/>
                          <w:spacing w:val="-3"/>
                          <w:sz w:val="22"/>
                        </w:rPr>
                        <w:t> </w:t>
                      </w:r>
                      <w:r>
                        <w:rPr>
                          <w:rFonts w:ascii="Arial Narrow" w:hAnsi="Arial Narrow"/>
                          <w:i/>
                          <w:color w:val="FFFFFF"/>
                          <w:sz w:val="22"/>
                        </w:rPr>
                        <w:t>buen</w:t>
                      </w:r>
                      <w:r>
                        <w:rPr>
                          <w:rFonts w:ascii="Arial Narrow" w:hAnsi="Arial Narrow"/>
                          <w:i/>
                          <w:color w:val="FFFFFF"/>
                          <w:spacing w:val="-3"/>
                          <w:sz w:val="22"/>
                        </w:rPr>
                        <w:t> </w:t>
                      </w:r>
                      <w:r>
                        <w:rPr>
                          <w:rFonts w:ascii="Arial Narrow" w:hAnsi="Arial Narrow"/>
                          <w:i/>
                          <w:color w:val="FFFFFF"/>
                          <w:sz w:val="22"/>
                        </w:rPr>
                        <w:t>gobierno</w:t>
                      </w:r>
                      <w:r>
                        <w:rPr>
                          <w:rFonts w:ascii="Arial Narrow" w:hAnsi="Arial Narrow"/>
                          <w:i/>
                          <w:color w:val="FFFFFF"/>
                          <w:spacing w:val="-6"/>
                          <w:sz w:val="22"/>
                        </w:rPr>
                        <w:t> </w:t>
                      </w:r>
                      <w:r>
                        <w:rPr>
                          <w:rFonts w:ascii="Arial Narrow" w:hAnsi="Arial Narrow"/>
                          <w:i/>
                          <w:color w:val="FFFFFF"/>
                          <w:sz w:val="22"/>
                        </w:rPr>
                        <w:t>y</w:t>
                      </w:r>
                      <w:r>
                        <w:rPr>
                          <w:rFonts w:ascii="Arial Narrow" w:hAnsi="Arial Narrow"/>
                          <w:i/>
                          <w:color w:val="FFFFFF"/>
                          <w:spacing w:val="-6"/>
                          <w:sz w:val="22"/>
                        </w:rPr>
                        <w:t> </w:t>
                      </w:r>
                      <w:r>
                        <w:rPr>
                          <w:rFonts w:ascii="Arial Narrow" w:hAnsi="Arial Narrow"/>
                          <w:i/>
                          <w:color w:val="FFFFFF"/>
                          <w:sz w:val="22"/>
                        </w:rPr>
                        <w:t>a</w:t>
                      </w:r>
                      <w:r>
                        <w:rPr>
                          <w:rFonts w:ascii="Arial Narrow" w:hAnsi="Arial Narrow"/>
                          <w:i/>
                          <w:color w:val="FFFFFF"/>
                          <w:spacing w:val="-4"/>
                          <w:sz w:val="22"/>
                        </w:rPr>
                        <w:t> </w:t>
                      </w:r>
                      <w:r>
                        <w:rPr>
                          <w:rFonts w:ascii="Arial Narrow" w:hAnsi="Arial Narrow"/>
                          <w:i/>
                          <w:color w:val="FFFFFF"/>
                          <w:sz w:val="22"/>
                        </w:rPr>
                        <w:t>la</w:t>
                      </w:r>
                      <w:r>
                        <w:rPr>
                          <w:rFonts w:ascii="Arial Narrow" w:hAnsi="Arial Narrow"/>
                          <w:i/>
                          <w:color w:val="FFFFFF"/>
                          <w:spacing w:val="-3"/>
                          <w:sz w:val="22"/>
                        </w:rPr>
                        <w:t> </w:t>
                      </w:r>
                      <w:r>
                        <w:rPr>
                          <w:rFonts w:ascii="Arial Narrow" w:hAnsi="Arial Narrow"/>
                          <w:i/>
                          <w:color w:val="FFFFFF"/>
                          <w:sz w:val="22"/>
                        </w:rPr>
                        <w:t>mejora</w:t>
                      </w:r>
                      <w:r>
                        <w:rPr>
                          <w:rFonts w:ascii="Arial Narrow" w:hAnsi="Arial Narrow"/>
                          <w:i/>
                          <w:color w:val="FFFFFF"/>
                          <w:spacing w:val="-4"/>
                          <w:sz w:val="22"/>
                        </w:rPr>
                        <w:t> </w:t>
                      </w:r>
                      <w:r>
                        <w:rPr>
                          <w:rFonts w:ascii="Arial Narrow" w:hAnsi="Arial Narrow"/>
                          <w:i/>
                          <w:color w:val="FFFFFF"/>
                          <w:sz w:val="22"/>
                        </w:rPr>
                        <w:t>de</w:t>
                      </w:r>
                      <w:r>
                        <w:rPr>
                          <w:rFonts w:ascii="Arial Narrow" w:hAnsi="Arial Narrow"/>
                          <w:i/>
                          <w:color w:val="FFFFFF"/>
                          <w:spacing w:val="-4"/>
                          <w:sz w:val="22"/>
                        </w:rPr>
                        <w:t> </w:t>
                      </w:r>
                      <w:r>
                        <w:rPr>
                          <w:rFonts w:ascii="Arial Narrow" w:hAnsi="Arial Narrow"/>
                          <w:i/>
                          <w:color w:val="FFFFFF"/>
                          <w:sz w:val="22"/>
                        </w:rPr>
                        <w:t>la</w:t>
                      </w:r>
                      <w:r>
                        <w:rPr>
                          <w:rFonts w:ascii="Arial Narrow" w:hAnsi="Arial Narrow"/>
                          <w:i/>
                          <w:color w:val="FFFFFF"/>
                          <w:spacing w:val="-3"/>
                          <w:sz w:val="22"/>
                        </w:rPr>
                        <w:t> </w:t>
                      </w:r>
                      <w:r>
                        <w:rPr>
                          <w:rFonts w:ascii="Arial Narrow" w:hAnsi="Arial Narrow"/>
                          <w:i/>
                          <w:color w:val="FFFFFF"/>
                          <w:sz w:val="22"/>
                        </w:rPr>
                        <w:t>actividad</w:t>
                      </w:r>
                      <w:r>
                        <w:rPr>
                          <w:rFonts w:ascii="Arial Narrow" w:hAnsi="Arial Narrow"/>
                          <w:i/>
                          <w:color w:val="FFFFFF"/>
                          <w:spacing w:val="-3"/>
                          <w:sz w:val="22"/>
                        </w:rPr>
                        <w:t> </w:t>
                      </w:r>
                      <w:r>
                        <w:rPr>
                          <w:rFonts w:ascii="Arial Narrow" w:hAnsi="Arial Narrow"/>
                          <w:i/>
                          <w:color w:val="FFFFFF"/>
                          <w:sz w:val="22"/>
                        </w:rPr>
                        <w:t>económico-financiera</w:t>
                      </w:r>
                      <w:r>
                        <w:rPr>
                          <w:rFonts w:ascii="Arial Narrow" w:hAnsi="Arial Narrow"/>
                          <w:i/>
                          <w:color w:val="FFFFFF"/>
                          <w:spacing w:val="-4"/>
                          <w:sz w:val="22"/>
                        </w:rPr>
                        <w:t> </w:t>
                      </w:r>
                      <w:r>
                        <w:rPr>
                          <w:rFonts w:ascii="Arial Narrow" w:hAnsi="Arial Narrow"/>
                          <w:i/>
                          <w:color w:val="FFFFFF"/>
                          <w:sz w:val="22"/>
                        </w:rPr>
                        <w:t>del</w:t>
                      </w:r>
                      <w:r>
                        <w:rPr>
                          <w:rFonts w:ascii="Arial Narrow" w:hAnsi="Arial Narrow"/>
                          <w:i/>
                          <w:color w:val="FFFFFF"/>
                          <w:spacing w:val="-3"/>
                          <w:sz w:val="22"/>
                        </w:rPr>
                        <w:t> </w:t>
                      </w:r>
                      <w:r>
                        <w:rPr>
                          <w:rFonts w:ascii="Arial Narrow" w:hAnsi="Arial Narrow"/>
                          <w:i/>
                          <w:color w:val="FFFFFF"/>
                          <w:sz w:val="22"/>
                        </w:rPr>
                        <w:t>sector</w:t>
                      </w:r>
                      <w:r>
                        <w:rPr>
                          <w:rFonts w:ascii="Arial Narrow" w:hAnsi="Arial Narrow"/>
                          <w:i/>
                          <w:color w:val="FFFFFF"/>
                          <w:sz w:val="22"/>
                        </w:rPr>
                        <w:t> </w:t>
                      </w:r>
                      <w:r>
                        <w:rPr>
                          <w:rFonts w:ascii="Arial Narrow" w:hAnsi="Arial Narrow"/>
                          <w:i/>
                          <w:color w:val="FFFFFF"/>
                          <w:spacing w:val="-2"/>
                          <w:sz w:val="22"/>
                        </w:rPr>
                        <w:t>público</w:t>
                      </w:r>
                      <w:r>
                        <w:rPr>
                          <w:rFonts w:ascii="Arial Narrow" w:hAnsi="Arial Narrow"/>
                          <w:b/>
                          <w:color w:val="FFFFFF"/>
                          <w:spacing w:val="-2"/>
                          <w:sz w:val="22"/>
                        </w:rPr>
                        <w:t>.</w:t>
                      </w:r>
                    </w:p>
                  </w:txbxContent>
                </v:textbox>
                <v:fill type="solid"/>
                <w10:wrap type="topAndBottom"/>
              </v:shape>
            </w:pict>
          </mc:Fallback>
        </mc:AlternateContent>
      </w:r>
    </w:p>
    <w:p>
      <w:pPr>
        <w:pStyle w:val="BodyText"/>
        <w:spacing w:line="256" w:lineRule="auto" w:before="14" w:after="15"/>
        <w:ind w:left="1030" w:right="907"/>
        <w:rPr>
          <w:rFonts w:ascii="Arial Narrow" w:hAnsi="Arial Narrow"/>
        </w:rPr>
      </w:pPr>
      <w:r>
        <w:rPr>
          <w:rFonts w:ascii="Arial Narrow" w:hAnsi="Arial Narrow"/>
        </w:rPr>
        <w:t>Línea</w:t>
      </w:r>
      <w:r>
        <w:rPr>
          <w:rFonts w:ascii="Arial Narrow" w:hAnsi="Arial Narrow"/>
          <w:spacing w:val="-9"/>
        </w:rPr>
        <w:t> </w:t>
      </w:r>
      <w:r>
        <w:rPr>
          <w:rFonts w:ascii="Arial Narrow" w:hAnsi="Arial Narrow"/>
        </w:rPr>
        <w:t>de</w:t>
      </w:r>
      <w:r>
        <w:rPr>
          <w:rFonts w:ascii="Arial Narrow" w:hAnsi="Arial Narrow"/>
          <w:spacing w:val="-9"/>
        </w:rPr>
        <w:t> </w:t>
      </w:r>
      <w:r>
        <w:rPr>
          <w:rFonts w:ascii="Arial Narrow" w:hAnsi="Arial Narrow"/>
        </w:rPr>
        <w:t>actuación</w:t>
      </w:r>
      <w:r>
        <w:rPr>
          <w:rFonts w:ascii="Arial Narrow" w:hAnsi="Arial Narrow"/>
          <w:spacing w:val="-9"/>
        </w:rPr>
        <w:t> </w:t>
      </w:r>
      <w:r>
        <w:rPr>
          <w:rFonts w:ascii="Arial Narrow" w:hAnsi="Arial Narrow"/>
        </w:rPr>
        <w:t>1.</w:t>
      </w:r>
      <w:r>
        <w:rPr>
          <w:rFonts w:ascii="Arial Narrow" w:hAnsi="Arial Narrow"/>
          <w:spacing w:val="-9"/>
        </w:rPr>
        <w:t> </w:t>
      </w:r>
      <w:r>
        <w:rPr>
          <w:rFonts w:ascii="Arial Narrow" w:hAnsi="Arial Narrow"/>
        </w:rPr>
        <w:t>Impulsar</w:t>
      </w:r>
      <w:r>
        <w:rPr>
          <w:rFonts w:ascii="Arial Narrow" w:hAnsi="Arial Narrow"/>
          <w:spacing w:val="-12"/>
        </w:rPr>
        <w:t> </w:t>
      </w:r>
      <w:r>
        <w:rPr>
          <w:rFonts w:ascii="Arial Narrow" w:hAnsi="Arial Narrow"/>
        </w:rPr>
        <w:t>actuaciones</w:t>
      </w:r>
      <w:r>
        <w:rPr>
          <w:rFonts w:ascii="Arial Narrow" w:hAnsi="Arial Narrow"/>
          <w:spacing w:val="-9"/>
        </w:rPr>
        <w:t> </w:t>
      </w:r>
      <w:r>
        <w:rPr>
          <w:rFonts w:ascii="Arial Narrow" w:hAnsi="Arial Narrow"/>
        </w:rPr>
        <w:t>fiscalizadoras</w:t>
      </w:r>
      <w:r>
        <w:rPr>
          <w:rFonts w:ascii="Arial Narrow" w:hAnsi="Arial Narrow"/>
          <w:spacing w:val="-9"/>
        </w:rPr>
        <w:t> </w:t>
      </w:r>
      <w:r>
        <w:rPr>
          <w:rFonts w:ascii="Arial Narrow" w:hAnsi="Arial Narrow"/>
        </w:rPr>
        <w:t>sobre</w:t>
      </w:r>
      <w:r>
        <w:rPr>
          <w:rFonts w:ascii="Arial Narrow" w:hAnsi="Arial Narrow"/>
          <w:spacing w:val="-10"/>
        </w:rPr>
        <w:t> </w:t>
      </w:r>
      <w:r>
        <w:rPr>
          <w:rFonts w:ascii="Arial Narrow" w:hAnsi="Arial Narrow"/>
        </w:rPr>
        <w:t>asuntos</w:t>
      </w:r>
      <w:r>
        <w:rPr>
          <w:rFonts w:ascii="Arial Narrow" w:hAnsi="Arial Narrow"/>
          <w:spacing w:val="-9"/>
        </w:rPr>
        <w:t> </w:t>
      </w:r>
      <w:r>
        <w:rPr>
          <w:rFonts w:ascii="Arial Narrow" w:hAnsi="Arial Narrow"/>
        </w:rPr>
        <w:t>de</w:t>
      </w:r>
      <w:r>
        <w:rPr>
          <w:rFonts w:ascii="Arial Narrow" w:hAnsi="Arial Narrow"/>
          <w:spacing w:val="-9"/>
        </w:rPr>
        <w:t> </w:t>
      </w:r>
      <w:r>
        <w:rPr>
          <w:rFonts w:ascii="Arial Narrow" w:hAnsi="Arial Narrow"/>
        </w:rPr>
        <w:t>relevancia</w:t>
      </w:r>
      <w:r>
        <w:rPr>
          <w:rFonts w:ascii="Arial Narrow" w:hAnsi="Arial Narrow"/>
          <w:spacing w:val="-11"/>
        </w:rPr>
        <w:t> </w:t>
      </w:r>
      <w:r>
        <w:rPr>
          <w:rFonts w:ascii="Arial Narrow" w:hAnsi="Arial Narrow"/>
        </w:rPr>
        <w:t>social</w:t>
      </w:r>
      <w:r>
        <w:rPr>
          <w:rFonts w:ascii="Arial Narrow" w:hAnsi="Arial Narrow"/>
          <w:spacing w:val="-9"/>
        </w:rPr>
        <w:t> </w:t>
      </w:r>
      <w:r>
        <w:rPr>
          <w:rFonts w:ascii="Arial Narrow" w:hAnsi="Arial Narrow"/>
        </w:rPr>
        <w:t>y</w:t>
      </w:r>
      <w:r>
        <w:rPr>
          <w:rFonts w:ascii="Arial Narrow" w:hAnsi="Arial Narrow"/>
          <w:spacing w:val="-9"/>
        </w:rPr>
        <w:t> </w:t>
      </w:r>
      <w:r>
        <w:rPr>
          <w:rFonts w:ascii="Arial Narrow" w:hAnsi="Arial Narrow"/>
        </w:rPr>
        <w:t>sobre</w:t>
      </w:r>
      <w:r>
        <w:rPr>
          <w:rFonts w:ascii="Arial Narrow" w:hAnsi="Arial Narrow"/>
          <w:spacing w:val="-9"/>
        </w:rPr>
        <w:t> </w:t>
      </w:r>
      <w:r>
        <w:rPr>
          <w:rFonts w:ascii="Arial Narrow" w:hAnsi="Arial Narrow"/>
        </w:rPr>
        <w:t>las</w:t>
      </w:r>
      <w:r>
        <w:rPr>
          <w:rFonts w:ascii="Arial Narrow" w:hAnsi="Arial Narrow"/>
          <w:spacing w:val="-9"/>
        </w:rPr>
        <w:t> </w:t>
      </w:r>
      <w:r>
        <w:rPr>
          <w:rFonts w:ascii="Arial Narrow" w:hAnsi="Arial Narrow"/>
        </w:rPr>
        <w:t>principales</w:t>
      </w:r>
      <w:r>
        <w:rPr>
          <w:rFonts w:ascii="Arial Narrow" w:hAnsi="Arial Narrow"/>
          <w:spacing w:val="-9"/>
        </w:rPr>
        <w:t> </w:t>
      </w:r>
      <w:r>
        <w:rPr>
          <w:rFonts w:ascii="Arial Narrow" w:hAnsi="Arial Narrow"/>
        </w:rPr>
        <w:t>áreas de riesgo de la gestión pública, fomentando el enfoque evaluador.</w:t>
      </w:r>
    </w:p>
    <w:p>
      <w:pPr>
        <w:spacing w:line="20" w:lineRule="exact"/>
        <w:ind w:left="922" w:right="0" w:firstLine="0"/>
        <w:rPr>
          <w:rFonts w:ascii="Arial Narrow"/>
          <w:sz w:val="2"/>
        </w:rPr>
      </w:pPr>
      <w:r>
        <w:rPr>
          <w:rFonts w:ascii="Arial Narrow"/>
          <w:sz w:val="2"/>
        </w:rPr>
        <mc:AlternateContent>
          <mc:Choice Requires="wps">
            <w:drawing>
              <wp:inline distT="0" distB="0" distL="0" distR="0">
                <wp:extent cx="6211570" cy="6350"/>
                <wp:effectExtent l="0" t="0" r="0" b="0"/>
                <wp:docPr id="39" name="Group 39"/>
                <wp:cNvGraphicFramePr>
                  <a:graphicFrameLocks/>
                </wp:cNvGraphicFramePr>
                <a:graphic>
                  <a:graphicData uri="http://schemas.microsoft.com/office/word/2010/wordprocessingGroup">
                    <wpg:wgp>
                      <wpg:cNvPr id="39" name="Group 39"/>
                      <wpg:cNvGrpSpPr/>
                      <wpg:grpSpPr>
                        <a:xfrm>
                          <a:off x="0" y="0"/>
                          <a:ext cx="6211570" cy="6350"/>
                          <a:chExt cx="6211570" cy="6350"/>
                        </a:xfrm>
                      </wpg:grpSpPr>
                      <wps:wsp>
                        <wps:cNvPr id="40" name="Graphic 40"/>
                        <wps:cNvSpPr/>
                        <wps:spPr>
                          <a:xfrm>
                            <a:off x="0" y="0"/>
                            <a:ext cx="6211570" cy="6350"/>
                          </a:xfrm>
                          <a:custGeom>
                            <a:avLst/>
                            <a:gdLst/>
                            <a:ahLst/>
                            <a:cxnLst/>
                            <a:rect l="l" t="t" r="r" b="b"/>
                            <a:pathLst>
                              <a:path w="6211570" h="6350">
                                <a:moveTo>
                                  <a:pt x="6211570" y="0"/>
                                </a:moveTo>
                                <a:lnTo>
                                  <a:pt x="0" y="0"/>
                                </a:lnTo>
                                <a:lnTo>
                                  <a:pt x="0" y="6096"/>
                                </a:lnTo>
                                <a:lnTo>
                                  <a:pt x="6211570" y="6096"/>
                                </a:lnTo>
                                <a:lnTo>
                                  <a:pt x="6211570" y="0"/>
                                </a:lnTo>
                                <a:close/>
                              </a:path>
                            </a:pathLst>
                          </a:custGeom>
                          <a:solidFill>
                            <a:srgbClr val="002D5D"/>
                          </a:solidFill>
                        </wps:spPr>
                        <wps:bodyPr wrap="square" lIns="0" tIns="0" rIns="0" bIns="0" rtlCol="0">
                          <a:prstTxWarp prst="textNoShape">
                            <a:avLst/>
                          </a:prstTxWarp>
                          <a:noAutofit/>
                        </wps:bodyPr>
                      </wps:wsp>
                    </wpg:wgp>
                  </a:graphicData>
                </a:graphic>
              </wp:inline>
            </w:drawing>
          </mc:Choice>
          <mc:Fallback>
            <w:pict>
              <v:group style="width:489.1pt;height:.5pt;mso-position-horizontal-relative:char;mso-position-vertical-relative:line" id="docshapegroup28" coordorigin="0,0" coordsize="9782,10">
                <v:rect style="position:absolute;left:0;top:0;width:9782;height:10" id="docshape29" filled="true" fillcolor="#002d5d" stroked="false">
                  <v:fill type="solid"/>
                </v:rect>
              </v:group>
            </w:pict>
          </mc:Fallback>
        </mc:AlternateContent>
      </w:r>
      <w:r>
        <w:rPr>
          <w:rFonts w:ascii="Arial Narrow"/>
          <w:sz w:val="2"/>
        </w:rPr>
      </w:r>
    </w:p>
    <w:p>
      <w:pPr>
        <w:pStyle w:val="BodyText"/>
        <w:spacing w:before="138"/>
        <w:ind w:left="1030"/>
        <w:rPr>
          <w:rFonts w:ascii="Arial Narrow" w:hAnsi="Arial Narrow"/>
        </w:rPr>
      </w:pPr>
      <w:r>
        <w:rPr>
          <w:rFonts w:ascii="Arial Narrow" w:hAnsi="Arial Narrow"/>
        </w:rPr>
        <w:t>Línea</w:t>
      </w:r>
      <w:r>
        <w:rPr>
          <w:rFonts w:ascii="Arial Narrow" w:hAnsi="Arial Narrow"/>
          <w:spacing w:val="-7"/>
        </w:rPr>
        <w:t> </w:t>
      </w:r>
      <w:r>
        <w:rPr>
          <w:rFonts w:ascii="Arial Narrow" w:hAnsi="Arial Narrow"/>
        </w:rPr>
        <w:t>de</w:t>
      </w:r>
      <w:r>
        <w:rPr>
          <w:rFonts w:ascii="Arial Narrow" w:hAnsi="Arial Narrow"/>
          <w:spacing w:val="-7"/>
        </w:rPr>
        <w:t> </w:t>
      </w:r>
      <w:r>
        <w:rPr>
          <w:rFonts w:ascii="Arial Narrow" w:hAnsi="Arial Narrow"/>
        </w:rPr>
        <w:t>actuación</w:t>
      </w:r>
      <w:r>
        <w:rPr>
          <w:rFonts w:ascii="Arial Narrow" w:hAnsi="Arial Narrow"/>
          <w:spacing w:val="-5"/>
        </w:rPr>
        <w:t> </w:t>
      </w:r>
      <w:r>
        <w:rPr>
          <w:rFonts w:ascii="Arial Narrow" w:hAnsi="Arial Narrow"/>
        </w:rPr>
        <w:t>2:</w:t>
      </w:r>
      <w:r>
        <w:rPr>
          <w:rFonts w:ascii="Arial Narrow" w:hAnsi="Arial Narrow"/>
          <w:spacing w:val="-5"/>
        </w:rPr>
        <w:t> </w:t>
      </w:r>
      <w:r>
        <w:rPr>
          <w:rFonts w:ascii="Arial Narrow" w:hAnsi="Arial Narrow"/>
        </w:rPr>
        <w:t>Mejorar</w:t>
      </w:r>
      <w:r>
        <w:rPr>
          <w:rFonts w:ascii="Arial Narrow" w:hAnsi="Arial Narrow"/>
          <w:spacing w:val="-7"/>
        </w:rPr>
        <w:t> </w:t>
      </w:r>
      <w:r>
        <w:rPr>
          <w:rFonts w:ascii="Arial Narrow" w:hAnsi="Arial Narrow"/>
        </w:rPr>
        <w:t>la</w:t>
      </w:r>
      <w:r>
        <w:rPr>
          <w:rFonts w:ascii="Arial Narrow" w:hAnsi="Arial Narrow"/>
          <w:spacing w:val="-4"/>
        </w:rPr>
        <w:t> </w:t>
      </w:r>
      <w:r>
        <w:rPr>
          <w:rFonts w:ascii="Arial Narrow" w:hAnsi="Arial Narrow"/>
        </w:rPr>
        <w:t>planificación</w:t>
      </w:r>
      <w:r>
        <w:rPr>
          <w:rFonts w:ascii="Arial Narrow" w:hAnsi="Arial Narrow"/>
          <w:spacing w:val="-5"/>
        </w:rPr>
        <w:t> </w:t>
      </w:r>
      <w:r>
        <w:rPr>
          <w:rFonts w:ascii="Arial Narrow" w:hAnsi="Arial Narrow"/>
        </w:rPr>
        <w:t>de</w:t>
      </w:r>
      <w:r>
        <w:rPr>
          <w:rFonts w:ascii="Arial Narrow" w:hAnsi="Arial Narrow"/>
          <w:spacing w:val="-6"/>
        </w:rPr>
        <w:t> </w:t>
      </w:r>
      <w:r>
        <w:rPr>
          <w:rFonts w:ascii="Arial Narrow" w:hAnsi="Arial Narrow"/>
        </w:rPr>
        <w:t>las</w:t>
      </w:r>
      <w:r>
        <w:rPr>
          <w:rFonts w:ascii="Arial Narrow" w:hAnsi="Arial Narrow"/>
          <w:spacing w:val="-7"/>
        </w:rPr>
        <w:t> </w:t>
      </w:r>
      <w:r>
        <w:rPr>
          <w:rFonts w:ascii="Arial Narrow" w:hAnsi="Arial Narrow"/>
        </w:rPr>
        <w:t>actuaciones</w:t>
      </w:r>
      <w:r>
        <w:rPr>
          <w:rFonts w:ascii="Arial Narrow" w:hAnsi="Arial Narrow"/>
          <w:spacing w:val="-4"/>
        </w:rPr>
        <w:t> </w:t>
      </w:r>
      <w:r>
        <w:rPr>
          <w:rFonts w:ascii="Arial Narrow" w:hAnsi="Arial Narrow"/>
        </w:rPr>
        <w:t>fiscalizadoras</w:t>
      </w:r>
      <w:r>
        <w:rPr>
          <w:rFonts w:ascii="Arial Narrow" w:hAnsi="Arial Narrow"/>
          <w:spacing w:val="-7"/>
        </w:rPr>
        <w:t> </w:t>
      </w:r>
      <w:r>
        <w:rPr>
          <w:rFonts w:ascii="Arial Narrow" w:hAnsi="Arial Narrow"/>
        </w:rPr>
        <w:t>del</w:t>
      </w:r>
      <w:r>
        <w:rPr>
          <w:rFonts w:ascii="Arial Narrow" w:hAnsi="Arial Narrow"/>
          <w:spacing w:val="-4"/>
        </w:rPr>
        <w:t> </w:t>
      </w:r>
      <w:r>
        <w:rPr>
          <w:rFonts w:ascii="Arial Narrow" w:hAnsi="Arial Narrow"/>
        </w:rPr>
        <w:t>Tribunal</w:t>
      </w:r>
      <w:r>
        <w:rPr>
          <w:rFonts w:ascii="Arial Narrow" w:hAnsi="Arial Narrow"/>
          <w:spacing w:val="-7"/>
        </w:rPr>
        <w:t> </w:t>
      </w:r>
      <w:r>
        <w:rPr>
          <w:rFonts w:ascii="Arial Narrow" w:hAnsi="Arial Narrow"/>
        </w:rPr>
        <w:t>de</w:t>
      </w:r>
      <w:r>
        <w:rPr>
          <w:rFonts w:ascii="Arial Narrow" w:hAnsi="Arial Narrow"/>
          <w:spacing w:val="-4"/>
        </w:rPr>
        <w:t> </w:t>
      </w:r>
      <w:r>
        <w:rPr>
          <w:rFonts w:ascii="Arial Narrow" w:hAnsi="Arial Narrow"/>
          <w:spacing w:val="-2"/>
        </w:rPr>
        <w:t>Cuentas.</w:t>
      </w:r>
    </w:p>
    <w:p>
      <w:pPr>
        <w:pStyle w:val="BodyText"/>
        <w:spacing w:before="3"/>
        <w:rPr>
          <w:rFonts w:ascii="Arial Narrow"/>
          <w:sz w:val="12"/>
        </w:rPr>
      </w:pPr>
      <w:r>
        <w:rPr>
          <w:rFonts w:ascii="Arial Narrow"/>
          <w:sz w:val="12"/>
        </w:rPr>
        <mc:AlternateContent>
          <mc:Choice Requires="wps">
            <w:drawing>
              <wp:anchor distT="0" distB="0" distL="0" distR="0" allowOverlap="1" layoutInCell="1" locked="0" behindDoc="1" simplePos="0" relativeHeight="487592448">
                <wp:simplePos x="0" y="0"/>
                <wp:positionH relativeFrom="page">
                  <wp:posOffset>675436</wp:posOffset>
                </wp:positionH>
                <wp:positionV relativeFrom="paragraph">
                  <wp:posOffset>105130</wp:posOffset>
                </wp:positionV>
                <wp:extent cx="6211570" cy="6350"/>
                <wp:effectExtent l="0" t="0" r="0" b="0"/>
                <wp:wrapTopAndBottom/>
                <wp:docPr id="41" name="Graphic 41"/>
                <wp:cNvGraphicFramePr>
                  <a:graphicFrameLocks/>
                </wp:cNvGraphicFramePr>
                <a:graphic>
                  <a:graphicData uri="http://schemas.microsoft.com/office/word/2010/wordprocessingShape">
                    <wps:wsp>
                      <wps:cNvPr id="41" name="Graphic 41"/>
                      <wps:cNvSpPr/>
                      <wps:spPr>
                        <a:xfrm>
                          <a:off x="0" y="0"/>
                          <a:ext cx="6211570" cy="6350"/>
                        </a:xfrm>
                        <a:custGeom>
                          <a:avLst/>
                          <a:gdLst/>
                          <a:ahLst/>
                          <a:cxnLst/>
                          <a:rect l="l" t="t" r="r" b="b"/>
                          <a:pathLst>
                            <a:path w="6211570" h="6350">
                              <a:moveTo>
                                <a:pt x="6211570" y="0"/>
                              </a:moveTo>
                              <a:lnTo>
                                <a:pt x="0" y="0"/>
                              </a:lnTo>
                              <a:lnTo>
                                <a:pt x="0" y="6095"/>
                              </a:lnTo>
                              <a:lnTo>
                                <a:pt x="6211570" y="6095"/>
                              </a:lnTo>
                              <a:lnTo>
                                <a:pt x="621157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3.183998pt;margin-top:8.277989pt;width:489.1pt;height:.47998pt;mso-position-horizontal-relative:page;mso-position-vertical-relative:paragraph;z-index:-15724032;mso-wrap-distance-left:0;mso-wrap-distance-right:0" id="docshape30" filled="true" fillcolor="#002d5d" stroked="false">
                <v:fill type="solid"/>
                <w10:wrap type="topAndBottom"/>
              </v:rect>
            </w:pict>
          </mc:Fallback>
        </mc:AlternateContent>
      </w:r>
    </w:p>
    <w:p>
      <w:pPr>
        <w:pStyle w:val="BodyText"/>
        <w:spacing w:before="31" w:after="31"/>
        <w:ind w:left="1030" w:right="907"/>
        <w:rPr>
          <w:rFonts w:ascii="Arial Narrow" w:hAnsi="Arial Narrow"/>
        </w:rPr>
      </w:pPr>
      <w:r>
        <w:rPr>
          <w:rFonts w:ascii="Arial Narrow" w:hAnsi="Arial Narrow"/>
        </w:rPr>
        <w:t>Línea de actuación</w:t>
      </w:r>
      <w:r>
        <w:rPr>
          <w:rFonts w:ascii="Arial Narrow" w:hAnsi="Arial Narrow"/>
          <w:spacing w:val="-1"/>
        </w:rPr>
        <w:t> </w:t>
      </w:r>
      <w:r>
        <w:rPr>
          <w:rFonts w:ascii="Arial Narrow" w:hAnsi="Arial Narrow"/>
        </w:rPr>
        <w:t>3: Promover la mejora de la transparencia, la igualdad de género y la sostenibilidad de la gestión </w:t>
      </w:r>
      <w:r>
        <w:rPr>
          <w:rFonts w:ascii="Arial Narrow" w:hAnsi="Arial Narrow"/>
          <w:spacing w:val="-2"/>
        </w:rPr>
        <w:t>pública.</w:t>
      </w:r>
    </w:p>
    <w:p>
      <w:pPr>
        <w:spacing w:line="43" w:lineRule="exact"/>
        <w:ind w:left="922" w:right="0" w:firstLine="0"/>
        <w:rPr>
          <w:rFonts w:ascii="Arial Narrow"/>
          <w:position w:val="0"/>
          <w:sz w:val="4"/>
        </w:rPr>
      </w:pPr>
      <w:r>
        <w:rPr>
          <w:rFonts w:ascii="Arial Narrow"/>
          <w:position w:val="0"/>
          <w:sz w:val="4"/>
        </w:rPr>
        <mc:AlternateContent>
          <mc:Choice Requires="wps">
            <w:drawing>
              <wp:inline distT="0" distB="0" distL="0" distR="0">
                <wp:extent cx="6211570" cy="27940"/>
                <wp:effectExtent l="0" t="0" r="0" b="0"/>
                <wp:docPr id="42" name="Group 42"/>
                <wp:cNvGraphicFramePr>
                  <a:graphicFrameLocks/>
                </wp:cNvGraphicFramePr>
                <a:graphic>
                  <a:graphicData uri="http://schemas.microsoft.com/office/word/2010/wordprocessingGroup">
                    <wpg:wgp>
                      <wpg:cNvPr id="42" name="Group 42"/>
                      <wpg:cNvGrpSpPr/>
                      <wpg:grpSpPr>
                        <a:xfrm>
                          <a:off x="0" y="0"/>
                          <a:ext cx="6211570" cy="27940"/>
                          <a:chExt cx="6211570" cy="27940"/>
                        </a:xfrm>
                      </wpg:grpSpPr>
                      <wps:wsp>
                        <wps:cNvPr id="43" name="Graphic 43"/>
                        <wps:cNvSpPr/>
                        <wps:spPr>
                          <a:xfrm>
                            <a:off x="0" y="0"/>
                            <a:ext cx="6211570" cy="27940"/>
                          </a:xfrm>
                          <a:custGeom>
                            <a:avLst/>
                            <a:gdLst/>
                            <a:ahLst/>
                            <a:cxnLst/>
                            <a:rect l="l" t="t" r="r" b="b"/>
                            <a:pathLst>
                              <a:path w="6211570" h="27940">
                                <a:moveTo>
                                  <a:pt x="6211570" y="0"/>
                                </a:moveTo>
                                <a:lnTo>
                                  <a:pt x="0" y="0"/>
                                </a:lnTo>
                                <a:lnTo>
                                  <a:pt x="0" y="27432"/>
                                </a:lnTo>
                                <a:lnTo>
                                  <a:pt x="6211570" y="27432"/>
                                </a:lnTo>
                                <a:lnTo>
                                  <a:pt x="6211570" y="0"/>
                                </a:lnTo>
                                <a:close/>
                              </a:path>
                            </a:pathLst>
                          </a:custGeom>
                          <a:solidFill>
                            <a:srgbClr val="002D5D"/>
                          </a:solidFill>
                        </wps:spPr>
                        <wps:bodyPr wrap="square" lIns="0" tIns="0" rIns="0" bIns="0" rtlCol="0">
                          <a:prstTxWarp prst="textNoShape">
                            <a:avLst/>
                          </a:prstTxWarp>
                          <a:noAutofit/>
                        </wps:bodyPr>
                      </wps:wsp>
                    </wpg:wgp>
                  </a:graphicData>
                </a:graphic>
              </wp:inline>
            </w:drawing>
          </mc:Choice>
          <mc:Fallback>
            <w:pict>
              <v:group style="width:489.1pt;height:2.2pt;mso-position-horizontal-relative:char;mso-position-vertical-relative:line" id="docshapegroup31" coordorigin="0,0" coordsize="9782,44">
                <v:rect style="position:absolute;left:0;top:0;width:9782;height:44" id="docshape32" filled="true" fillcolor="#002d5d" stroked="false">
                  <v:fill type="solid"/>
                </v:rect>
              </v:group>
            </w:pict>
          </mc:Fallback>
        </mc:AlternateContent>
      </w:r>
      <w:r>
        <w:rPr>
          <w:rFonts w:ascii="Arial Narrow"/>
          <w:position w:val="0"/>
          <w:sz w:val="4"/>
        </w:rPr>
      </w:r>
    </w:p>
    <w:p>
      <w:pPr>
        <w:spacing w:before="47"/>
        <w:ind w:left="1030" w:right="0" w:firstLine="0"/>
        <w:jc w:val="left"/>
        <w:rPr>
          <w:rFonts w:ascii="Arial Narrow" w:hAnsi="Arial Narrow"/>
          <w:sz w:val="18"/>
        </w:rPr>
      </w:pPr>
      <w:r>
        <w:rPr>
          <w:rFonts w:ascii="Arial Narrow" w:hAnsi="Arial Narrow"/>
          <w:sz w:val="18"/>
        </w:rPr>
        <w:t>Fuente:</w:t>
      </w:r>
      <w:r>
        <w:rPr>
          <w:rFonts w:ascii="Arial Narrow" w:hAnsi="Arial Narrow"/>
          <w:spacing w:val="-4"/>
          <w:sz w:val="18"/>
        </w:rPr>
        <w:t> </w:t>
      </w:r>
      <w:r>
        <w:rPr>
          <w:rFonts w:ascii="Arial Narrow" w:hAnsi="Arial Narrow"/>
          <w:sz w:val="18"/>
        </w:rPr>
        <w:t>Elaboración</w:t>
      </w:r>
      <w:r>
        <w:rPr>
          <w:rFonts w:ascii="Arial Narrow" w:hAnsi="Arial Narrow"/>
          <w:spacing w:val="-4"/>
          <w:sz w:val="18"/>
        </w:rPr>
        <w:t> </w:t>
      </w:r>
      <w:r>
        <w:rPr>
          <w:rFonts w:ascii="Arial Narrow" w:hAnsi="Arial Narrow"/>
          <w:spacing w:val="-2"/>
          <w:sz w:val="18"/>
        </w:rPr>
        <w:t>propia</w:t>
      </w:r>
    </w:p>
    <w:p>
      <w:pPr>
        <w:pStyle w:val="BodyText"/>
        <w:spacing w:before="31"/>
        <w:rPr>
          <w:rFonts w:ascii="Arial Narrow"/>
        </w:rPr>
      </w:pPr>
    </w:p>
    <w:p>
      <w:pPr>
        <w:pStyle w:val="BodyText"/>
        <w:spacing w:before="1"/>
        <w:ind w:left="992" w:right="988"/>
        <w:jc w:val="both"/>
      </w:pPr>
      <w:r>
        <w:rPr/>
        <w:t>Cada año se realizan en España más de tres mil millones de viajes urbanos en transporte regular colectivo, lo que representa más del 60 % de todos los viajes realizados en el país y la circulación </w:t>
      </w:r>
      <w:r>
        <w:rPr>
          <w:position w:val="2"/>
        </w:rPr>
        <w:t>urbana es la causa del 40 % de las emisiones de dióxido de carbono (CO</w:t>
      </w:r>
      <w:r>
        <w:rPr>
          <w:sz w:val="14"/>
        </w:rPr>
        <w:t>2</w:t>
      </w:r>
      <w:r>
        <w:rPr>
          <w:position w:val="2"/>
        </w:rPr>
        <w:t>) y del 70 % de las </w:t>
      </w:r>
      <w:r>
        <w:rPr/>
        <w:t>emisiones de otros contaminantes procedentes</w:t>
      </w:r>
      <w:r>
        <w:rPr>
          <w:spacing w:val="-1"/>
        </w:rPr>
        <w:t> </w:t>
      </w:r>
      <w:r>
        <w:rPr/>
        <w:t>del transporte por carretera. Es por ello por lo que las administraciones públicas </w:t>
      </w:r>
      <w:r>
        <w:rPr>
          <w:color w:val="1D1D1B"/>
        </w:rPr>
        <w:t>juegan un papel fundamental para llevar a cabo una adecuada planificación, gestión y control de la movilidad</w:t>
      </w:r>
      <w:r>
        <w:rPr/>
        <w:t>.</w:t>
      </w:r>
    </w:p>
    <w:p>
      <w:pPr>
        <w:pStyle w:val="BodyText"/>
        <w:spacing w:before="238"/>
        <w:ind w:left="992" w:right="991"/>
        <w:jc w:val="both"/>
      </w:pPr>
      <w:r>
        <w:rPr>
          <w:color w:val="1D1D1B"/>
        </w:rPr>
        <w:t>La </w:t>
      </w:r>
      <w:hyperlink r:id="rId32">
        <w:r>
          <w:rPr>
            <w:color w:val="1D1D1B"/>
          </w:rPr>
          <w:t>movilidad sostenible</w:t>
        </w:r>
      </w:hyperlink>
      <w:r>
        <w:rPr>
          <w:color w:val="1D1D1B"/>
        </w:rPr>
        <w:t> busca promover el bienestar al impulsar una movilidad más accesible, eficiente,</w:t>
      </w:r>
      <w:r>
        <w:rPr>
          <w:color w:val="1D1D1B"/>
          <w:spacing w:val="-14"/>
        </w:rPr>
        <w:t> </w:t>
      </w:r>
      <w:r>
        <w:rPr>
          <w:color w:val="1D1D1B"/>
        </w:rPr>
        <w:t>eficaz</w:t>
      </w:r>
      <w:r>
        <w:rPr>
          <w:color w:val="1D1D1B"/>
          <w:spacing w:val="-13"/>
        </w:rPr>
        <w:t> </w:t>
      </w:r>
      <w:r>
        <w:rPr>
          <w:color w:val="1D1D1B"/>
        </w:rPr>
        <w:t>e</w:t>
      </w:r>
      <w:r>
        <w:rPr>
          <w:color w:val="1D1D1B"/>
          <w:spacing w:val="-14"/>
        </w:rPr>
        <w:t> </w:t>
      </w:r>
      <w:r>
        <w:rPr>
          <w:color w:val="1D1D1B"/>
        </w:rPr>
        <w:t>inclusiva,</w:t>
      </w:r>
      <w:r>
        <w:rPr>
          <w:color w:val="1D1D1B"/>
          <w:spacing w:val="-13"/>
        </w:rPr>
        <w:t> </w:t>
      </w:r>
      <w:r>
        <w:rPr>
          <w:color w:val="1D1D1B"/>
        </w:rPr>
        <w:t>que</w:t>
      </w:r>
      <w:r>
        <w:rPr>
          <w:color w:val="1D1D1B"/>
          <w:spacing w:val="-14"/>
        </w:rPr>
        <w:t> </w:t>
      </w:r>
      <w:r>
        <w:rPr>
          <w:color w:val="1D1D1B"/>
        </w:rPr>
        <w:t>contribuya</w:t>
      </w:r>
      <w:r>
        <w:rPr>
          <w:color w:val="1D1D1B"/>
          <w:spacing w:val="-14"/>
        </w:rPr>
        <w:t> </w:t>
      </w:r>
      <w:r>
        <w:rPr>
          <w:color w:val="1D1D1B"/>
        </w:rPr>
        <w:t>a</w:t>
      </w:r>
      <w:r>
        <w:rPr>
          <w:color w:val="1D1D1B"/>
          <w:spacing w:val="-16"/>
        </w:rPr>
        <w:t> </w:t>
      </w:r>
      <w:r>
        <w:rPr>
          <w:color w:val="1D1D1B"/>
        </w:rPr>
        <w:t>reducir</w:t>
      </w:r>
      <w:r>
        <w:rPr>
          <w:color w:val="1D1D1B"/>
          <w:spacing w:val="-13"/>
        </w:rPr>
        <w:t> </w:t>
      </w:r>
      <w:r>
        <w:rPr>
          <w:color w:val="1D1D1B"/>
        </w:rPr>
        <w:t>las</w:t>
      </w:r>
      <w:r>
        <w:rPr>
          <w:color w:val="1D1D1B"/>
          <w:spacing w:val="-13"/>
        </w:rPr>
        <w:t> </w:t>
      </w:r>
      <w:r>
        <w:rPr>
          <w:color w:val="1D1D1B"/>
        </w:rPr>
        <w:t>emisiones,</w:t>
      </w:r>
      <w:r>
        <w:rPr>
          <w:color w:val="1D1D1B"/>
          <w:spacing w:val="-15"/>
        </w:rPr>
        <w:t> </w:t>
      </w:r>
      <w:r>
        <w:rPr>
          <w:color w:val="1D1D1B"/>
        </w:rPr>
        <w:t>mejorar</w:t>
      </w:r>
      <w:r>
        <w:rPr>
          <w:color w:val="1D1D1B"/>
          <w:spacing w:val="-13"/>
        </w:rPr>
        <w:t> </w:t>
      </w:r>
      <w:r>
        <w:rPr>
          <w:color w:val="1D1D1B"/>
        </w:rPr>
        <w:t>la</w:t>
      </w:r>
      <w:r>
        <w:rPr>
          <w:color w:val="1D1D1B"/>
          <w:spacing w:val="-14"/>
        </w:rPr>
        <w:t> </w:t>
      </w:r>
      <w:r>
        <w:rPr>
          <w:color w:val="1D1D1B"/>
        </w:rPr>
        <w:t>calidad</w:t>
      </w:r>
      <w:r>
        <w:rPr>
          <w:color w:val="1D1D1B"/>
          <w:spacing w:val="-14"/>
        </w:rPr>
        <w:t> </w:t>
      </w:r>
      <w:r>
        <w:rPr>
          <w:color w:val="1D1D1B"/>
        </w:rPr>
        <w:t>del</w:t>
      </w:r>
      <w:r>
        <w:rPr>
          <w:color w:val="1D1D1B"/>
          <w:spacing w:val="-14"/>
        </w:rPr>
        <w:t> </w:t>
      </w:r>
      <w:r>
        <w:rPr>
          <w:color w:val="1D1D1B"/>
        </w:rPr>
        <w:t>aire,</w:t>
      </w:r>
      <w:r>
        <w:rPr>
          <w:color w:val="1D1D1B"/>
          <w:spacing w:val="-13"/>
        </w:rPr>
        <w:t> </w:t>
      </w:r>
      <w:r>
        <w:rPr>
          <w:color w:val="1D1D1B"/>
        </w:rPr>
        <w:t>ganar espacio para los peatones y ciclistas y disminuir la accidentalidad.</w:t>
      </w:r>
    </w:p>
    <w:p>
      <w:pPr>
        <w:pStyle w:val="BodyText"/>
        <w:spacing w:after="0"/>
        <w:jc w:val="both"/>
        <w:sectPr>
          <w:headerReference w:type="default" r:id="rId28"/>
          <w:headerReference w:type="even" r:id="rId29"/>
          <w:footerReference w:type="default" r:id="rId30"/>
          <w:footerReference w:type="even" r:id="rId31"/>
          <w:pgSz w:w="11910" w:h="16840"/>
          <w:pgMar w:header="1227" w:footer="839" w:top="1420" w:bottom="1020" w:left="141" w:right="141"/>
          <w:pgNumType w:start="9"/>
        </w:sectPr>
      </w:pPr>
    </w:p>
    <w:p>
      <w:pPr>
        <w:pStyle w:val="BodyText"/>
      </w:pPr>
    </w:p>
    <w:p>
      <w:pPr>
        <w:pStyle w:val="BodyText"/>
      </w:pPr>
    </w:p>
    <w:p>
      <w:pPr>
        <w:pStyle w:val="BodyText"/>
      </w:pPr>
    </w:p>
    <w:p>
      <w:pPr>
        <w:pStyle w:val="BodyText"/>
        <w:spacing w:before="112"/>
      </w:pPr>
    </w:p>
    <w:p>
      <w:pPr>
        <w:pStyle w:val="BodyText"/>
        <w:ind w:left="992" w:right="994"/>
        <w:jc w:val="both"/>
      </w:pPr>
      <w:r>
        <w:rPr/>
        <w:t>La sostenibilidad en el transporte público se ha de abordar en su triple vertiente: social, medioambiental y económica, priorizando la equidad económico social, la eficiencia energética, el respeto al</w:t>
      </w:r>
      <w:r>
        <w:rPr>
          <w:spacing w:val="-1"/>
        </w:rPr>
        <w:t> </w:t>
      </w:r>
      <w:r>
        <w:rPr/>
        <w:t>entorno natural y urbano, la lucha contra el</w:t>
      </w:r>
      <w:r>
        <w:rPr>
          <w:spacing w:val="-1"/>
        </w:rPr>
        <w:t> </w:t>
      </w:r>
      <w:r>
        <w:rPr/>
        <w:t>cambio climático, la mejora de la calidad del aire y la reducción del ruido.</w:t>
      </w:r>
    </w:p>
    <w:p>
      <w:pPr>
        <w:pStyle w:val="BodyText"/>
        <w:spacing w:before="162"/>
        <w:ind w:left="992"/>
        <w:jc w:val="both"/>
      </w:pPr>
      <w:r>
        <w:rPr/>
        <w:t>Entre</w:t>
      </w:r>
      <w:r>
        <w:rPr>
          <w:spacing w:val="-4"/>
        </w:rPr>
        <w:t> </w:t>
      </w:r>
      <w:r>
        <w:rPr/>
        <w:t>las</w:t>
      </w:r>
      <w:r>
        <w:rPr>
          <w:spacing w:val="-5"/>
        </w:rPr>
        <w:t> </w:t>
      </w:r>
      <w:r>
        <w:rPr/>
        <w:t>metas</w:t>
      </w:r>
      <w:r>
        <w:rPr>
          <w:spacing w:val="-5"/>
        </w:rPr>
        <w:t> </w:t>
      </w:r>
      <w:r>
        <w:rPr/>
        <w:t>de</w:t>
      </w:r>
      <w:r>
        <w:rPr>
          <w:spacing w:val="-4"/>
        </w:rPr>
        <w:t> </w:t>
      </w:r>
      <w:r>
        <w:rPr/>
        <w:t>la</w:t>
      </w:r>
      <w:r>
        <w:rPr>
          <w:spacing w:val="-5"/>
        </w:rPr>
        <w:t> </w:t>
      </w:r>
      <w:r>
        <w:rPr/>
        <w:t>movilidad</w:t>
      </w:r>
      <w:r>
        <w:rPr>
          <w:spacing w:val="-4"/>
        </w:rPr>
        <w:t> </w:t>
      </w:r>
      <w:r>
        <w:rPr/>
        <w:t>sostenible</w:t>
      </w:r>
      <w:r>
        <w:rPr>
          <w:spacing w:val="-3"/>
        </w:rPr>
        <w:t> </w:t>
      </w:r>
      <w:r>
        <w:rPr/>
        <w:t>se</w:t>
      </w:r>
      <w:r>
        <w:rPr>
          <w:spacing w:val="-2"/>
        </w:rPr>
        <w:t> encuentran:</w:t>
      </w:r>
    </w:p>
    <w:p>
      <w:pPr>
        <w:pStyle w:val="ListParagraph"/>
        <w:numPr>
          <w:ilvl w:val="0"/>
          <w:numId w:val="4"/>
        </w:numPr>
        <w:tabs>
          <w:tab w:pos="2431" w:val="left" w:leader="none"/>
        </w:tabs>
        <w:spacing w:line="252" w:lineRule="exact" w:before="160" w:after="0"/>
        <w:ind w:left="2431" w:right="0" w:hanging="359"/>
        <w:jc w:val="left"/>
        <w:rPr>
          <w:sz w:val="22"/>
        </w:rPr>
      </w:pPr>
      <w:r>
        <w:rPr>
          <w:sz w:val="22"/>
        </w:rPr>
        <w:t>Promocionar</w:t>
      </w:r>
      <w:r>
        <w:rPr>
          <w:spacing w:val="-8"/>
          <w:sz w:val="22"/>
        </w:rPr>
        <w:t> </w:t>
      </w:r>
      <w:r>
        <w:rPr>
          <w:sz w:val="22"/>
        </w:rPr>
        <w:t>y</w:t>
      </w:r>
      <w:r>
        <w:rPr>
          <w:spacing w:val="-7"/>
          <w:sz w:val="22"/>
        </w:rPr>
        <w:t> </w:t>
      </w:r>
      <w:r>
        <w:rPr>
          <w:sz w:val="22"/>
        </w:rPr>
        <w:t>priorizar</w:t>
      </w:r>
      <w:r>
        <w:rPr>
          <w:spacing w:val="-5"/>
          <w:sz w:val="22"/>
        </w:rPr>
        <w:t> </w:t>
      </w:r>
      <w:r>
        <w:rPr>
          <w:sz w:val="22"/>
        </w:rPr>
        <w:t>la</w:t>
      </w:r>
      <w:r>
        <w:rPr>
          <w:spacing w:val="-5"/>
          <w:sz w:val="22"/>
        </w:rPr>
        <w:t> </w:t>
      </w:r>
      <w:r>
        <w:rPr>
          <w:sz w:val="22"/>
        </w:rPr>
        <w:t>movilidad</w:t>
      </w:r>
      <w:r>
        <w:rPr>
          <w:spacing w:val="-4"/>
          <w:sz w:val="22"/>
        </w:rPr>
        <w:t> </w:t>
      </w:r>
      <w:r>
        <w:rPr>
          <w:sz w:val="22"/>
        </w:rPr>
        <w:t>activa</w:t>
      </w:r>
      <w:r>
        <w:rPr>
          <w:spacing w:val="-5"/>
          <w:sz w:val="22"/>
        </w:rPr>
        <w:t> </w:t>
      </w:r>
      <w:r>
        <w:rPr>
          <w:sz w:val="22"/>
        </w:rPr>
        <w:t>y</w:t>
      </w:r>
      <w:r>
        <w:rPr>
          <w:spacing w:val="-6"/>
          <w:sz w:val="22"/>
        </w:rPr>
        <w:t> </w:t>
      </w:r>
      <w:r>
        <w:rPr>
          <w:sz w:val="22"/>
        </w:rPr>
        <w:t>fomentar</w:t>
      </w:r>
      <w:r>
        <w:rPr>
          <w:spacing w:val="-4"/>
          <w:sz w:val="22"/>
        </w:rPr>
        <w:t> </w:t>
      </w:r>
      <w:r>
        <w:rPr>
          <w:sz w:val="22"/>
        </w:rPr>
        <w:t>el</w:t>
      </w:r>
      <w:r>
        <w:rPr>
          <w:spacing w:val="-6"/>
          <w:sz w:val="22"/>
        </w:rPr>
        <w:t> </w:t>
      </w:r>
      <w:r>
        <w:rPr>
          <w:sz w:val="22"/>
        </w:rPr>
        <w:t>uso</w:t>
      </w:r>
      <w:r>
        <w:rPr>
          <w:spacing w:val="-4"/>
          <w:sz w:val="22"/>
        </w:rPr>
        <w:t> </w:t>
      </w:r>
      <w:r>
        <w:rPr>
          <w:sz w:val="22"/>
        </w:rPr>
        <w:t>del</w:t>
      </w:r>
      <w:r>
        <w:rPr>
          <w:spacing w:val="-6"/>
          <w:sz w:val="22"/>
        </w:rPr>
        <w:t> </w:t>
      </w:r>
      <w:r>
        <w:rPr>
          <w:sz w:val="22"/>
        </w:rPr>
        <w:t>transporte</w:t>
      </w:r>
      <w:r>
        <w:rPr>
          <w:spacing w:val="-4"/>
          <w:sz w:val="22"/>
        </w:rPr>
        <w:t> </w:t>
      </w:r>
      <w:r>
        <w:rPr>
          <w:spacing w:val="-2"/>
          <w:sz w:val="22"/>
        </w:rPr>
        <w:t>público.</w:t>
      </w:r>
    </w:p>
    <w:p>
      <w:pPr>
        <w:pStyle w:val="ListParagraph"/>
        <w:numPr>
          <w:ilvl w:val="0"/>
          <w:numId w:val="4"/>
        </w:numPr>
        <w:tabs>
          <w:tab w:pos="2432" w:val="left" w:leader="none"/>
        </w:tabs>
        <w:spacing w:line="240" w:lineRule="auto" w:before="0" w:after="0"/>
        <w:ind w:left="2432" w:right="993" w:hanging="360"/>
        <w:jc w:val="left"/>
        <w:rPr>
          <w:sz w:val="22"/>
        </w:rPr>
      </w:pPr>
      <w:r>
        <w:rPr>
          <w:sz w:val="22"/>
        </w:rPr>
        <w:t>Impactar en la calidad de vida de las personas mejorando los espacios públicos, la accesibilidad, la calidad del aire y la reducción de la accidentalidad.</w:t>
      </w:r>
    </w:p>
    <w:p>
      <w:pPr>
        <w:pStyle w:val="ListParagraph"/>
        <w:numPr>
          <w:ilvl w:val="0"/>
          <w:numId w:val="4"/>
        </w:numPr>
        <w:tabs>
          <w:tab w:pos="2432" w:val="left" w:leader="none"/>
        </w:tabs>
        <w:spacing w:line="240" w:lineRule="auto" w:before="0" w:after="0"/>
        <w:ind w:left="2432" w:right="991" w:hanging="360"/>
        <w:jc w:val="left"/>
        <w:rPr>
          <w:sz w:val="22"/>
        </w:rPr>
      </w:pPr>
      <w:r>
        <w:rPr>
          <w:sz w:val="22"/>
        </w:rPr>
        <w:t>Favorecer la inclusión social, garantizando el acceso equitativo universal a medios de transporte eficientes.</w:t>
      </w:r>
    </w:p>
    <w:p>
      <w:pPr>
        <w:pStyle w:val="ListParagraph"/>
        <w:numPr>
          <w:ilvl w:val="0"/>
          <w:numId w:val="4"/>
        </w:numPr>
        <w:tabs>
          <w:tab w:pos="2432" w:val="left" w:leader="none"/>
        </w:tabs>
        <w:spacing w:line="240" w:lineRule="auto" w:before="1" w:after="0"/>
        <w:ind w:left="2432" w:right="995" w:hanging="360"/>
        <w:jc w:val="left"/>
        <w:rPr>
          <w:position w:val="2"/>
          <w:sz w:val="22"/>
        </w:rPr>
      </w:pPr>
      <w:r>
        <w:rPr>
          <w:sz w:val="22"/>
        </w:rPr>
        <w:t>Reducir</w:t>
      </w:r>
      <w:r>
        <w:rPr>
          <w:spacing w:val="80"/>
          <w:sz w:val="22"/>
        </w:rPr>
        <w:t> </w:t>
      </w:r>
      <w:r>
        <w:rPr>
          <w:sz w:val="22"/>
        </w:rPr>
        <w:t>el</w:t>
      </w:r>
      <w:r>
        <w:rPr>
          <w:spacing w:val="80"/>
          <w:sz w:val="22"/>
        </w:rPr>
        <w:t> </w:t>
      </w:r>
      <w:r>
        <w:rPr>
          <w:sz w:val="22"/>
        </w:rPr>
        <w:t>impacto</w:t>
      </w:r>
      <w:r>
        <w:rPr>
          <w:spacing w:val="80"/>
          <w:sz w:val="22"/>
        </w:rPr>
        <w:t> </w:t>
      </w:r>
      <w:r>
        <w:rPr>
          <w:sz w:val="22"/>
        </w:rPr>
        <w:t>ambiental,</w:t>
      </w:r>
      <w:r>
        <w:rPr>
          <w:spacing w:val="80"/>
          <w:sz w:val="22"/>
        </w:rPr>
        <w:t> </w:t>
      </w:r>
      <w:r>
        <w:rPr>
          <w:sz w:val="22"/>
        </w:rPr>
        <w:t>disminuyendo</w:t>
      </w:r>
      <w:r>
        <w:rPr>
          <w:spacing w:val="80"/>
          <w:sz w:val="22"/>
        </w:rPr>
        <w:t> </w:t>
      </w:r>
      <w:r>
        <w:rPr>
          <w:sz w:val="22"/>
        </w:rPr>
        <w:t>la</w:t>
      </w:r>
      <w:r>
        <w:rPr>
          <w:spacing w:val="80"/>
          <w:sz w:val="22"/>
        </w:rPr>
        <w:t> </w:t>
      </w:r>
      <w:r>
        <w:rPr>
          <w:sz w:val="22"/>
        </w:rPr>
        <w:t>contaminación</w:t>
      </w:r>
      <w:r>
        <w:rPr>
          <w:spacing w:val="80"/>
          <w:sz w:val="22"/>
        </w:rPr>
        <w:t> </w:t>
      </w:r>
      <w:r>
        <w:rPr>
          <w:sz w:val="22"/>
        </w:rPr>
        <w:t>del</w:t>
      </w:r>
      <w:r>
        <w:rPr>
          <w:spacing w:val="80"/>
          <w:sz w:val="22"/>
        </w:rPr>
        <w:t> </w:t>
      </w:r>
      <w:r>
        <w:rPr>
          <w:sz w:val="22"/>
        </w:rPr>
        <w:t>aire</w:t>
      </w:r>
      <w:r>
        <w:rPr>
          <w:spacing w:val="80"/>
          <w:sz w:val="22"/>
        </w:rPr>
        <w:t> </w:t>
      </w:r>
      <w:r>
        <w:rPr>
          <w:sz w:val="22"/>
        </w:rPr>
        <w:t>y</w:t>
      </w:r>
      <w:r>
        <w:rPr>
          <w:spacing w:val="80"/>
          <w:sz w:val="22"/>
        </w:rPr>
        <w:t> </w:t>
      </w:r>
      <w:r>
        <w:rPr>
          <w:sz w:val="22"/>
        </w:rPr>
        <w:t>las </w:t>
      </w:r>
      <w:r>
        <w:rPr>
          <w:position w:val="2"/>
          <w:sz w:val="22"/>
        </w:rPr>
        <w:t>emisiones de CO</w:t>
      </w:r>
      <w:r>
        <w:rPr>
          <w:sz w:val="14"/>
        </w:rPr>
        <w:t>2</w:t>
      </w:r>
      <w:r>
        <w:rPr>
          <w:spacing w:val="39"/>
          <w:sz w:val="14"/>
        </w:rPr>
        <w:t> </w:t>
      </w:r>
      <w:r>
        <w:rPr>
          <w:position w:val="2"/>
          <w:sz w:val="22"/>
        </w:rPr>
        <w:t>con la adopción de tecnologías limpias.</w:t>
      </w:r>
    </w:p>
    <w:p>
      <w:pPr>
        <w:pStyle w:val="ListParagraph"/>
        <w:numPr>
          <w:ilvl w:val="0"/>
          <w:numId w:val="4"/>
        </w:numPr>
        <w:tabs>
          <w:tab w:pos="2432" w:val="left" w:leader="none"/>
        </w:tabs>
        <w:spacing w:line="240" w:lineRule="auto" w:before="0" w:after="0"/>
        <w:ind w:left="2432" w:right="987" w:hanging="360"/>
        <w:jc w:val="left"/>
        <w:rPr>
          <w:sz w:val="22"/>
        </w:rPr>
      </w:pPr>
      <w:r>
        <w:rPr>
          <w:sz w:val="22"/>
        </w:rPr>
        <w:t>Promocionar</w:t>
      </w:r>
      <w:r>
        <w:rPr>
          <w:spacing w:val="-9"/>
          <w:sz w:val="22"/>
        </w:rPr>
        <w:t> </w:t>
      </w:r>
      <w:r>
        <w:rPr>
          <w:sz w:val="22"/>
        </w:rPr>
        <w:t>la</w:t>
      </w:r>
      <w:r>
        <w:rPr>
          <w:spacing w:val="-10"/>
          <w:sz w:val="22"/>
        </w:rPr>
        <w:t> </w:t>
      </w:r>
      <w:r>
        <w:rPr>
          <w:sz w:val="22"/>
        </w:rPr>
        <w:t>eficiencia</w:t>
      </w:r>
      <w:r>
        <w:rPr>
          <w:spacing w:val="-10"/>
          <w:sz w:val="22"/>
        </w:rPr>
        <w:t> </w:t>
      </w:r>
      <w:r>
        <w:rPr>
          <w:sz w:val="22"/>
        </w:rPr>
        <w:t>energética,</w:t>
      </w:r>
      <w:r>
        <w:rPr>
          <w:spacing w:val="-8"/>
          <w:sz w:val="22"/>
        </w:rPr>
        <w:t> </w:t>
      </w:r>
      <w:r>
        <w:rPr>
          <w:sz w:val="22"/>
        </w:rPr>
        <w:t>incentivando</w:t>
      </w:r>
      <w:r>
        <w:rPr>
          <w:spacing w:val="-12"/>
          <w:sz w:val="22"/>
        </w:rPr>
        <w:t> </w:t>
      </w:r>
      <w:r>
        <w:rPr>
          <w:sz w:val="22"/>
        </w:rPr>
        <w:t>formas</w:t>
      </w:r>
      <w:r>
        <w:rPr>
          <w:spacing w:val="-10"/>
          <w:sz w:val="22"/>
        </w:rPr>
        <w:t> </w:t>
      </w:r>
      <w:r>
        <w:rPr>
          <w:sz w:val="22"/>
        </w:rPr>
        <w:t>de</w:t>
      </w:r>
      <w:r>
        <w:rPr>
          <w:spacing w:val="-13"/>
          <w:sz w:val="22"/>
        </w:rPr>
        <w:t> </w:t>
      </w:r>
      <w:r>
        <w:rPr>
          <w:sz w:val="22"/>
        </w:rPr>
        <w:t>movilidad</w:t>
      </w:r>
      <w:r>
        <w:rPr>
          <w:spacing w:val="-10"/>
          <w:sz w:val="22"/>
        </w:rPr>
        <w:t> </w:t>
      </w:r>
      <w:r>
        <w:rPr>
          <w:sz w:val="22"/>
        </w:rPr>
        <w:t>compartida</w:t>
      </w:r>
      <w:r>
        <w:rPr>
          <w:spacing w:val="-6"/>
          <w:sz w:val="22"/>
        </w:rPr>
        <w:t> </w:t>
      </w:r>
      <w:r>
        <w:rPr>
          <w:sz w:val="22"/>
        </w:rPr>
        <w:t>y reduciendo el consumo energético.</w:t>
      </w:r>
    </w:p>
    <w:p>
      <w:pPr>
        <w:pStyle w:val="BodyText"/>
        <w:spacing w:before="156"/>
        <w:ind w:left="992" w:right="988"/>
        <w:jc w:val="both"/>
      </w:pPr>
      <w:r>
        <w:rPr/>
        <w:t>La Ley 7/1985, de 2 de abril, reguladora de las Bases de Régimen Local (LRBRL), atribuye a los municipios,</w:t>
      </w:r>
      <w:r>
        <w:rPr>
          <w:spacing w:val="-9"/>
        </w:rPr>
        <w:t> </w:t>
      </w:r>
      <w:r>
        <w:rPr/>
        <w:t>en</w:t>
      </w:r>
      <w:r>
        <w:rPr>
          <w:spacing w:val="-15"/>
        </w:rPr>
        <w:t> </w:t>
      </w:r>
      <w:r>
        <w:rPr/>
        <w:t>su</w:t>
      </w:r>
      <w:r>
        <w:rPr>
          <w:spacing w:val="-12"/>
        </w:rPr>
        <w:t> </w:t>
      </w:r>
      <w:r>
        <w:rPr/>
        <w:t>artículo</w:t>
      </w:r>
      <w:r>
        <w:rPr>
          <w:spacing w:val="-10"/>
        </w:rPr>
        <w:t> </w:t>
      </w:r>
      <w:r>
        <w:rPr/>
        <w:t>25.2.g),</w:t>
      </w:r>
      <w:r>
        <w:rPr>
          <w:spacing w:val="-11"/>
        </w:rPr>
        <w:t> </w:t>
      </w:r>
      <w:r>
        <w:rPr/>
        <w:t>como</w:t>
      </w:r>
      <w:r>
        <w:rPr>
          <w:spacing w:val="-12"/>
        </w:rPr>
        <w:t> </w:t>
      </w:r>
      <w:r>
        <w:rPr/>
        <w:t>competencias</w:t>
      </w:r>
      <w:r>
        <w:rPr>
          <w:spacing w:val="-10"/>
        </w:rPr>
        <w:t> </w:t>
      </w:r>
      <w:r>
        <w:rPr/>
        <w:t>propias,</w:t>
      </w:r>
      <w:r>
        <w:rPr>
          <w:spacing w:val="-11"/>
        </w:rPr>
        <w:t> </w:t>
      </w:r>
      <w:r>
        <w:rPr/>
        <w:t>la</w:t>
      </w:r>
      <w:r>
        <w:rPr>
          <w:spacing w:val="-12"/>
        </w:rPr>
        <w:t> </w:t>
      </w:r>
      <w:r>
        <w:rPr/>
        <w:t>movilidad</w:t>
      </w:r>
      <w:r>
        <w:rPr>
          <w:spacing w:val="-10"/>
        </w:rPr>
        <w:t> </w:t>
      </w:r>
      <w:r>
        <w:rPr/>
        <w:t>y</w:t>
      </w:r>
      <w:r>
        <w:rPr>
          <w:spacing w:val="-12"/>
        </w:rPr>
        <w:t> </w:t>
      </w:r>
      <w:r>
        <w:rPr/>
        <w:t>el</w:t>
      </w:r>
      <w:r>
        <w:rPr>
          <w:spacing w:val="-13"/>
        </w:rPr>
        <w:t> </w:t>
      </w:r>
      <w:r>
        <w:rPr/>
        <w:t>transporte</w:t>
      </w:r>
      <w:r>
        <w:rPr>
          <w:spacing w:val="-12"/>
        </w:rPr>
        <w:t> </w:t>
      </w:r>
      <w:r>
        <w:rPr/>
        <w:t>colectivo urbano y en su artículo 26.1.d) establece el transporte colectivo urbano de viajeros como servicio obligatorio en los municipios de más de 50.000 habitantes.</w:t>
      </w:r>
    </w:p>
    <w:p>
      <w:pPr>
        <w:pStyle w:val="BodyText"/>
        <w:spacing w:before="241"/>
        <w:ind w:left="992" w:right="988"/>
        <w:jc w:val="both"/>
      </w:pPr>
      <w:r>
        <w:rPr/>
        <w:t>Las</w:t>
      </w:r>
      <w:r>
        <w:rPr>
          <w:spacing w:val="-13"/>
        </w:rPr>
        <w:t> </w:t>
      </w:r>
      <w:r>
        <w:rPr/>
        <w:t>entidades</w:t>
      </w:r>
      <w:r>
        <w:rPr>
          <w:spacing w:val="-13"/>
        </w:rPr>
        <w:t> </w:t>
      </w:r>
      <w:r>
        <w:rPr/>
        <w:t>locales,</w:t>
      </w:r>
      <w:r>
        <w:rPr>
          <w:spacing w:val="-13"/>
        </w:rPr>
        <w:t> </w:t>
      </w:r>
      <w:r>
        <w:rPr/>
        <w:t>a</w:t>
      </w:r>
      <w:r>
        <w:rPr>
          <w:spacing w:val="-16"/>
        </w:rPr>
        <w:t> </w:t>
      </w:r>
      <w:r>
        <w:rPr/>
        <w:t>fin</w:t>
      </w:r>
      <w:r>
        <w:rPr>
          <w:spacing w:val="-13"/>
        </w:rPr>
        <w:t> </w:t>
      </w:r>
      <w:r>
        <w:rPr/>
        <w:t>de</w:t>
      </w:r>
      <w:r>
        <w:rPr>
          <w:spacing w:val="-14"/>
        </w:rPr>
        <w:t> </w:t>
      </w:r>
      <w:r>
        <w:rPr/>
        <w:t>acometer</w:t>
      </w:r>
      <w:r>
        <w:rPr>
          <w:spacing w:val="-15"/>
        </w:rPr>
        <w:t> </w:t>
      </w:r>
      <w:r>
        <w:rPr/>
        <w:t>medidas</w:t>
      </w:r>
      <w:r>
        <w:rPr>
          <w:spacing w:val="-16"/>
        </w:rPr>
        <w:t> </w:t>
      </w:r>
      <w:r>
        <w:rPr/>
        <w:t>dirigidas</w:t>
      </w:r>
      <w:r>
        <w:rPr>
          <w:spacing w:val="-12"/>
        </w:rPr>
        <w:t> </w:t>
      </w:r>
      <w:r>
        <w:rPr/>
        <w:t>a</w:t>
      </w:r>
      <w:r>
        <w:rPr>
          <w:spacing w:val="-14"/>
        </w:rPr>
        <w:t> </w:t>
      </w:r>
      <w:r>
        <w:rPr/>
        <w:t>lograr</w:t>
      </w:r>
      <w:r>
        <w:rPr>
          <w:spacing w:val="-13"/>
        </w:rPr>
        <w:t> </w:t>
      </w:r>
      <w:r>
        <w:rPr/>
        <w:t>una</w:t>
      </w:r>
      <w:r>
        <w:rPr>
          <w:spacing w:val="-16"/>
        </w:rPr>
        <w:t> </w:t>
      </w:r>
      <w:r>
        <w:rPr/>
        <w:t>movilidad</w:t>
      </w:r>
      <w:r>
        <w:rPr>
          <w:spacing w:val="-13"/>
        </w:rPr>
        <w:t> </w:t>
      </w:r>
      <w:r>
        <w:rPr/>
        <w:t>urbana</w:t>
      </w:r>
      <w:r>
        <w:rPr>
          <w:spacing w:val="-14"/>
        </w:rPr>
        <w:t> </w:t>
      </w:r>
      <w:r>
        <w:rPr/>
        <w:t>sostenible, así como para financiar el servicio de transporte público colectivo urbano, recurren tanto a fondos propios como ajenos. Entre estos últimos, están los percibidos de la Administración General del Estado, al amparo de lo previsto en la disposición adicional quinta del Texto Refundido de la Ley reguladora de las Haciendas Locales, que prevé que los Presupuestos Generales del Estado de cada año incluyan un crédito en favor de aquellas entidades locales que, cualquiera que sea la forma de gestión, tengan a su cargo el servicio de transporte colectivo urbano.</w:t>
      </w:r>
    </w:p>
    <w:p>
      <w:pPr>
        <w:pStyle w:val="BodyText"/>
        <w:spacing w:before="240"/>
        <w:ind w:left="992" w:right="989"/>
        <w:jc w:val="both"/>
      </w:pPr>
      <w:r>
        <w:rPr/>
        <w:t>Asimismo,</w:t>
      </w:r>
      <w:r>
        <w:rPr>
          <w:spacing w:val="-10"/>
        </w:rPr>
        <w:t> </w:t>
      </w:r>
      <w:r>
        <w:rPr/>
        <w:t>el</w:t>
      </w:r>
      <w:r>
        <w:rPr>
          <w:spacing w:val="-12"/>
        </w:rPr>
        <w:t> </w:t>
      </w:r>
      <w:r>
        <w:rPr/>
        <w:t>PRTR,</w:t>
      </w:r>
      <w:r>
        <w:rPr>
          <w:spacing w:val="-10"/>
        </w:rPr>
        <w:t> </w:t>
      </w:r>
      <w:r>
        <w:rPr/>
        <w:t>aprobado</w:t>
      </w:r>
      <w:r>
        <w:rPr>
          <w:spacing w:val="-12"/>
        </w:rPr>
        <w:t> </w:t>
      </w:r>
      <w:r>
        <w:rPr/>
        <w:t>por</w:t>
      </w:r>
      <w:r>
        <w:rPr>
          <w:spacing w:val="-10"/>
        </w:rPr>
        <w:t> </w:t>
      </w:r>
      <w:r>
        <w:rPr/>
        <w:t>el</w:t>
      </w:r>
      <w:r>
        <w:rPr>
          <w:spacing w:val="-12"/>
        </w:rPr>
        <w:t> </w:t>
      </w:r>
      <w:r>
        <w:rPr/>
        <w:t>Consejo</w:t>
      </w:r>
      <w:r>
        <w:rPr>
          <w:spacing w:val="-11"/>
        </w:rPr>
        <w:t> </w:t>
      </w:r>
      <w:r>
        <w:rPr/>
        <w:t>de</w:t>
      </w:r>
      <w:r>
        <w:rPr>
          <w:spacing w:val="-12"/>
        </w:rPr>
        <w:t> </w:t>
      </w:r>
      <w:r>
        <w:rPr/>
        <w:t>la</w:t>
      </w:r>
      <w:r>
        <w:rPr>
          <w:spacing w:val="-11"/>
        </w:rPr>
        <w:t> </w:t>
      </w:r>
      <w:r>
        <w:rPr/>
        <w:t>Unión</w:t>
      </w:r>
      <w:r>
        <w:rPr>
          <w:spacing w:val="-12"/>
        </w:rPr>
        <w:t> </w:t>
      </w:r>
      <w:r>
        <w:rPr/>
        <w:t>Europea</w:t>
      </w:r>
      <w:r>
        <w:rPr>
          <w:spacing w:val="-12"/>
        </w:rPr>
        <w:t> </w:t>
      </w:r>
      <w:r>
        <w:rPr/>
        <w:t>el</w:t>
      </w:r>
      <w:r>
        <w:rPr>
          <w:spacing w:val="-12"/>
        </w:rPr>
        <w:t> </w:t>
      </w:r>
      <w:r>
        <w:rPr/>
        <w:t>13</w:t>
      </w:r>
      <w:r>
        <w:rPr>
          <w:spacing w:val="-12"/>
        </w:rPr>
        <w:t> </w:t>
      </w:r>
      <w:r>
        <w:rPr/>
        <w:t>de</w:t>
      </w:r>
      <w:r>
        <w:rPr>
          <w:spacing w:val="-12"/>
        </w:rPr>
        <w:t> </w:t>
      </w:r>
      <w:r>
        <w:rPr/>
        <w:t>julio</w:t>
      </w:r>
      <w:r>
        <w:rPr>
          <w:spacing w:val="-11"/>
        </w:rPr>
        <w:t> </w:t>
      </w:r>
      <w:r>
        <w:rPr/>
        <w:t>de</w:t>
      </w:r>
      <w:r>
        <w:rPr>
          <w:spacing w:val="-12"/>
        </w:rPr>
        <w:t> </w:t>
      </w:r>
      <w:r>
        <w:rPr/>
        <w:t>2021,</w:t>
      </w:r>
      <w:r>
        <w:rPr>
          <w:spacing w:val="-10"/>
        </w:rPr>
        <w:t> </w:t>
      </w:r>
      <w:r>
        <w:rPr/>
        <w:t>establece, en su Componente 1, el Plan de choque de movilidad sostenible, segura y conectada en entornos urbanos y metropolitanos, y su inversión C1.I1 Zonas de bajas emisiones y transformación del transporte urbano y metropolitano, el programa de ayudas a municipios para, entre otros fines, la transformación digital y sostenible del transporte urbano.</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Heading4"/>
        <w:ind w:left="1551" w:right="1547"/>
      </w:pPr>
      <w:bookmarkStart w:name="_bookmark3" w:id="5"/>
      <w:bookmarkEnd w:id="5"/>
      <w:r>
        <w:rPr>
          <w:b w:val="0"/>
        </w:rPr>
      </w:r>
      <w:r>
        <w:rPr/>
        <w:t>GRÁFICO</w:t>
      </w:r>
      <w:r>
        <w:rPr>
          <w:spacing w:val="-4"/>
        </w:rPr>
        <w:t> </w:t>
      </w:r>
      <w:r>
        <w:rPr/>
        <w:t>1.</w:t>
      </w:r>
      <w:r>
        <w:rPr>
          <w:spacing w:val="-4"/>
        </w:rPr>
        <w:t> </w:t>
      </w:r>
      <w:r>
        <w:rPr/>
        <w:t>LÍNEA</w:t>
      </w:r>
      <w:r>
        <w:rPr>
          <w:spacing w:val="-1"/>
        </w:rPr>
        <w:t> </w:t>
      </w:r>
      <w:r>
        <w:rPr/>
        <w:t>DE</w:t>
      </w:r>
      <w:r>
        <w:rPr>
          <w:spacing w:val="-8"/>
        </w:rPr>
        <w:t> </w:t>
      </w:r>
      <w:r>
        <w:rPr/>
        <w:t>AYUDAS</w:t>
      </w:r>
      <w:r>
        <w:rPr>
          <w:spacing w:val="-3"/>
        </w:rPr>
        <w:t> </w:t>
      </w:r>
      <w:r>
        <w:rPr/>
        <w:t>PARA</w:t>
      </w:r>
      <w:r>
        <w:rPr>
          <w:spacing w:val="-1"/>
        </w:rPr>
        <w:t> </w:t>
      </w:r>
      <w:r>
        <w:rPr/>
        <w:t>LA</w:t>
      </w:r>
      <w:r>
        <w:rPr>
          <w:spacing w:val="-6"/>
        </w:rPr>
        <w:t> </w:t>
      </w:r>
      <w:r>
        <w:rPr/>
        <w:t>TRANSFORMACIÓN</w:t>
      </w:r>
      <w:r>
        <w:rPr>
          <w:spacing w:val="-3"/>
        </w:rPr>
        <w:t> </w:t>
      </w:r>
      <w:r>
        <w:rPr/>
        <w:t>SOSTENIBLE</w:t>
      </w:r>
      <w:r>
        <w:rPr>
          <w:spacing w:val="-4"/>
        </w:rPr>
        <w:t> </w:t>
      </w:r>
      <w:r>
        <w:rPr/>
        <w:t>DEL TRANSPORTE PÚBLICO</w:t>
      </w:r>
    </w:p>
    <w:p>
      <w:pPr>
        <w:pStyle w:val="BodyText"/>
        <w:spacing w:before="9"/>
        <w:rPr>
          <w:b/>
          <w:sz w:val="18"/>
        </w:rPr>
      </w:pPr>
      <w:r>
        <w:rPr>
          <w:b/>
          <w:sz w:val="18"/>
        </w:rPr>
        <w:drawing>
          <wp:anchor distT="0" distB="0" distL="0" distR="0" allowOverlap="1" layoutInCell="1" locked="0" behindDoc="1" simplePos="0" relativeHeight="487593472">
            <wp:simplePos x="0" y="0"/>
            <wp:positionH relativeFrom="page">
              <wp:posOffset>1398905</wp:posOffset>
            </wp:positionH>
            <wp:positionV relativeFrom="paragraph">
              <wp:posOffset>152862</wp:posOffset>
            </wp:positionV>
            <wp:extent cx="4729239" cy="3187636"/>
            <wp:effectExtent l="0" t="0" r="0" b="0"/>
            <wp:wrapTopAndBottom/>
            <wp:docPr id="44" name="Image 44"/>
            <wp:cNvGraphicFramePr>
              <a:graphicFrameLocks/>
            </wp:cNvGraphicFramePr>
            <a:graphic>
              <a:graphicData uri="http://schemas.openxmlformats.org/drawingml/2006/picture">
                <pic:pic>
                  <pic:nvPicPr>
                    <pic:cNvPr id="44" name="Image 44"/>
                    <pic:cNvPicPr/>
                  </pic:nvPicPr>
                  <pic:blipFill>
                    <a:blip r:embed="rId33" cstate="print"/>
                    <a:stretch>
                      <a:fillRect/>
                    </a:stretch>
                  </pic:blipFill>
                  <pic:spPr>
                    <a:xfrm>
                      <a:off x="0" y="0"/>
                      <a:ext cx="4729239" cy="3187636"/>
                    </a:xfrm>
                    <a:prstGeom prst="rect">
                      <a:avLst/>
                    </a:prstGeom>
                  </pic:spPr>
                </pic:pic>
              </a:graphicData>
            </a:graphic>
          </wp:anchor>
        </w:drawing>
      </w:r>
    </w:p>
    <w:p>
      <w:pPr>
        <w:spacing w:before="82"/>
        <w:ind w:left="-1" w:right="0" w:firstLine="0"/>
        <w:jc w:val="center"/>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3"/>
          <w:sz w:val="18"/>
        </w:rPr>
        <w:t> </w:t>
      </w:r>
      <w:r>
        <w:rPr>
          <w:rFonts w:ascii="Arial Narrow" w:hAnsi="Arial Narrow"/>
          <w:sz w:val="18"/>
        </w:rPr>
        <w:t>a</w:t>
      </w:r>
      <w:r>
        <w:rPr>
          <w:rFonts w:ascii="Arial Narrow" w:hAnsi="Arial Narrow"/>
          <w:spacing w:val="-2"/>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3"/>
          <w:sz w:val="18"/>
        </w:rPr>
        <w:t> </w:t>
      </w:r>
      <w:r>
        <w:rPr>
          <w:rFonts w:ascii="Arial Narrow" w:hAnsi="Arial Narrow"/>
          <w:sz w:val="18"/>
        </w:rPr>
        <w:t>la</w:t>
      </w:r>
      <w:r>
        <w:rPr>
          <w:rFonts w:ascii="Arial Narrow" w:hAnsi="Arial Narrow"/>
          <w:spacing w:val="-3"/>
          <w:sz w:val="18"/>
        </w:rPr>
        <w:t> </w:t>
      </w:r>
      <w:r>
        <w:rPr>
          <w:rFonts w:ascii="Arial Narrow" w:hAnsi="Arial Narrow"/>
          <w:sz w:val="18"/>
        </w:rPr>
        <w:t>información</w:t>
      </w:r>
      <w:r>
        <w:rPr>
          <w:rFonts w:ascii="Arial Narrow" w:hAnsi="Arial Narrow"/>
          <w:spacing w:val="-3"/>
          <w:sz w:val="18"/>
        </w:rPr>
        <w:t> </w:t>
      </w:r>
      <w:r>
        <w:rPr>
          <w:rFonts w:ascii="Arial Narrow" w:hAnsi="Arial Narrow"/>
          <w:sz w:val="18"/>
        </w:rPr>
        <w:t>publicada</w:t>
      </w:r>
      <w:r>
        <w:rPr>
          <w:rFonts w:ascii="Arial Narrow" w:hAnsi="Arial Narrow"/>
          <w:spacing w:val="1"/>
          <w:sz w:val="18"/>
        </w:rPr>
        <w:t> </w:t>
      </w:r>
      <w:r>
        <w:rPr>
          <w:rFonts w:ascii="Arial Narrow" w:hAnsi="Arial Narrow"/>
          <w:sz w:val="18"/>
        </w:rPr>
        <w:t>por</w:t>
      </w:r>
      <w:r>
        <w:rPr>
          <w:rFonts w:ascii="Arial Narrow" w:hAnsi="Arial Narrow"/>
          <w:spacing w:val="-2"/>
          <w:sz w:val="18"/>
        </w:rPr>
        <w:t> </w:t>
      </w:r>
      <w:r>
        <w:rPr>
          <w:rFonts w:ascii="Arial Narrow" w:hAnsi="Arial Narrow"/>
          <w:sz w:val="18"/>
        </w:rPr>
        <w:t>el</w:t>
      </w:r>
      <w:r>
        <w:rPr>
          <w:rFonts w:ascii="Arial Narrow" w:hAnsi="Arial Narrow"/>
          <w:spacing w:val="-3"/>
          <w:sz w:val="18"/>
        </w:rPr>
        <w:t> </w:t>
      </w:r>
      <w:r>
        <w:rPr>
          <w:rFonts w:ascii="Arial Narrow" w:hAnsi="Arial Narrow"/>
          <w:sz w:val="18"/>
        </w:rPr>
        <w:t>Ministerio</w:t>
      </w:r>
      <w:r>
        <w:rPr>
          <w:rFonts w:ascii="Arial Narrow" w:hAnsi="Arial Narrow"/>
          <w:spacing w:val="-3"/>
          <w:sz w:val="18"/>
        </w:rPr>
        <w:t> </w:t>
      </w:r>
      <w:r>
        <w:rPr>
          <w:rFonts w:ascii="Arial Narrow" w:hAnsi="Arial Narrow"/>
          <w:sz w:val="18"/>
        </w:rPr>
        <w:t>de</w:t>
      </w:r>
      <w:r>
        <w:rPr>
          <w:rFonts w:ascii="Arial Narrow" w:hAnsi="Arial Narrow"/>
          <w:spacing w:val="-2"/>
          <w:sz w:val="18"/>
        </w:rPr>
        <w:t> </w:t>
      </w:r>
      <w:r>
        <w:rPr>
          <w:rFonts w:ascii="Arial Narrow" w:hAnsi="Arial Narrow"/>
          <w:sz w:val="18"/>
        </w:rPr>
        <w:t>Transportes,</w:t>
      </w:r>
      <w:r>
        <w:rPr>
          <w:rFonts w:ascii="Arial Narrow" w:hAnsi="Arial Narrow"/>
          <w:spacing w:val="-3"/>
          <w:sz w:val="18"/>
        </w:rPr>
        <w:t> </w:t>
      </w:r>
      <w:r>
        <w:rPr>
          <w:rFonts w:ascii="Arial Narrow" w:hAnsi="Arial Narrow"/>
          <w:sz w:val="18"/>
        </w:rPr>
        <w:t>Movilidad</w:t>
      </w:r>
      <w:r>
        <w:rPr>
          <w:rFonts w:ascii="Arial Narrow" w:hAnsi="Arial Narrow"/>
          <w:spacing w:val="-3"/>
          <w:sz w:val="18"/>
        </w:rPr>
        <w:t> </w:t>
      </w:r>
      <w:r>
        <w:rPr>
          <w:rFonts w:ascii="Arial Narrow" w:hAnsi="Arial Narrow"/>
          <w:sz w:val="18"/>
        </w:rPr>
        <w:t>y</w:t>
      </w:r>
      <w:r>
        <w:rPr>
          <w:rFonts w:ascii="Arial Narrow" w:hAnsi="Arial Narrow"/>
          <w:spacing w:val="-2"/>
          <w:sz w:val="18"/>
        </w:rPr>
        <w:t> </w:t>
      </w:r>
      <w:r>
        <w:rPr>
          <w:rFonts w:ascii="Arial Narrow" w:hAnsi="Arial Narrow"/>
          <w:sz w:val="18"/>
        </w:rPr>
        <w:t>Agenda</w:t>
      </w:r>
      <w:r>
        <w:rPr>
          <w:rFonts w:ascii="Arial Narrow" w:hAnsi="Arial Narrow"/>
          <w:spacing w:val="-2"/>
          <w:sz w:val="18"/>
        </w:rPr>
        <w:t> Urbana</w:t>
      </w:r>
    </w:p>
    <w:p>
      <w:pPr>
        <w:pStyle w:val="BodyText"/>
        <w:spacing w:before="154"/>
        <w:rPr>
          <w:rFonts w:ascii="Arial Narrow"/>
          <w:sz w:val="18"/>
        </w:rPr>
      </w:pPr>
    </w:p>
    <w:p>
      <w:pPr>
        <w:pStyle w:val="Heading4"/>
        <w:numPr>
          <w:ilvl w:val="1"/>
          <w:numId w:val="3"/>
        </w:numPr>
        <w:tabs>
          <w:tab w:pos="1356" w:val="left" w:leader="none"/>
        </w:tabs>
        <w:spacing w:line="240" w:lineRule="auto" w:before="1" w:after="0"/>
        <w:ind w:left="1356" w:right="0" w:hanging="364"/>
        <w:jc w:val="left"/>
      </w:pPr>
      <w:bookmarkStart w:name="_bookmark4" w:id="6"/>
      <w:bookmarkEnd w:id="6"/>
      <w:r>
        <w:rPr>
          <w:b w:val="0"/>
        </w:rPr>
      </w:r>
      <w:r>
        <w:rPr/>
        <w:t>ÁMBITO</w:t>
      </w:r>
      <w:r>
        <w:rPr>
          <w:spacing w:val="-3"/>
        </w:rPr>
        <w:t> </w:t>
      </w:r>
      <w:r>
        <w:rPr/>
        <w:t>DE</w:t>
      </w:r>
      <w:r>
        <w:rPr>
          <w:spacing w:val="-3"/>
        </w:rPr>
        <w:t> </w:t>
      </w:r>
      <w:r>
        <w:rPr/>
        <w:t>LA</w:t>
      </w:r>
      <w:r>
        <w:rPr>
          <w:spacing w:val="-1"/>
        </w:rPr>
        <w:t> </w:t>
      </w:r>
      <w:r>
        <w:rPr>
          <w:spacing w:val="-2"/>
        </w:rPr>
        <w:t>FISCALIZACIÓN</w:t>
      </w:r>
    </w:p>
    <w:p>
      <w:pPr>
        <w:pStyle w:val="BodyText"/>
        <w:spacing w:before="105"/>
        <w:rPr>
          <w:b/>
        </w:rPr>
      </w:pPr>
    </w:p>
    <w:p>
      <w:pPr>
        <w:pStyle w:val="Heading5"/>
        <w:numPr>
          <w:ilvl w:val="2"/>
          <w:numId w:val="3"/>
        </w:numPr>
        <w:tabs>
          <w:tab w:pos="1679" w:val="left" w:leader="none"/>
        </w:tabs>
        <w:spacing w:line="240" w:lineRule="auto" w:before="1" w:after="0"/>
        <w:ind w:left="1679" w:right="0" w:hanging="546"/>
        <w:jc w:val="left"/>
      </w:pPr>
      <w:bookmarkStart w:name="_bookmark5" w:id="7"/>
      <w:bookmarkEnd w:id="7"/>
      <w:r>
        <w:rPr>
          <w:b w:val="0"/>
        </w:rPr>
      </w:r>
      <w:r>
        <w:rPr/>
        <w:t>Ámbito</w:t>
      </w:r>
      <w:r>
        <w:rPr>
          <w:spacing w:val="-6"/>
        </w:rPr>
        <w:t> </w:t>
      </w:r>
      <w:r>
        <w:rPr>
          <w:spacing w:val="-2"/>
        </w:rPr>
        <w:t>subjetivo</w:t>
      </w:r>
    </w:p>
    <w:p>
      <w:pPr>
        <w:pStyle w:val="BodyText"/>
        <w:spacing w:before="241"/>
        <w:ind w:left="992" w:right="989"/>
        <w:jc w:val="both"/>
      </w:pPr>
      <w:r>
        <w:rPr/>
        <w:t>Los municipios con población superior a 50.000 habitantes deben prestar el servicio de transporte colectivo urbano de viajeros, de acuerdo con el artículo 26.1.d) de la LRBRL. De los 8.130 municipios existentes en España, 150 disponían, a 1 de enero de 2023, de una población superior a 50.000 habitantes.</w:t>
      </w:r>
    </w:p>
    <w:p>
      <w:pPr>
        <w:pStyle w:val="BodyText"/>
        <w:spacing w:before="239"/>
        <w:ind w:left="992" w:right="988"/>
        <w:jc w:val="both"/>
      </w:pPr>
      <w:r>
        <w:rPr/>
        <w:t>El </w:t>
      </w:r>
      <w:r>
        <w:rPr>
          <w:b/>
        </w:rPr>
        <w:t>ámbito subjetivo </w:t>
      </w:r>
      <w:r>
        <w:rPr/>
        <w:t>de la fiscalización está integrado por una muestra de estas entidades, en concreto, los municipios con una población comprendida entre 300.000 y 750.000 habitantes, al tratarse de municipios que, al margen de los que constituyen grandes cuidades, cuentan con una población y una extensión territorial suficientemente elevadas para requerir de una amplia red de transporte colectivo urbano. Estas entidades son los Ayuntamientos de Alicante, Bilbao, Córdoba, Las Palmas de Gran Canaria, Málaga, Murcia, Palma, Sevilla y Zaragoza.</w:t>
      </w:r>
    </w:p>
    <w:p>
      <w:pPr>
        <w:pStyle w:val="BodyText"/>
        <w:spacing w:before="241"/>
        <w:ind w:left="992" w:right="987"/>
        <w:jc w:val="both"/>
      </w:pPr>
      <w:r>
        <w:rPr/>
        <w:t>En el siguiente cuadro se detallan la distribución geográfica, población a 1 de enero de 2023 y superficie de las entidades locales objeto de fiscalización:</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Heading4"/>
        <w:ind w:left="1"/>
      </w:pPr>
      <w:bookmarkStart w:name="_bookmark6" w:id="8"/>
      <w:bookmarkEnd w:id="8"/>
      <w:r>
        <w:rPr>
          <w:b w:val="0"/>
        </w:rPr>
      </w:r>
      <w:r>
        <w:rPr/>
        <w:t>CUADRO</w:t>
      </w:r>
      <w:r>
        <w:rPr>
          <w:spacing w:val="-6"/>
        </w:rPr>
        <w:t> </w:t>
      </w:r>
      <w:r>
        <w:rPr/>
        <w:t>2.</w:t>
      </w:r>
      <w:r>
        <w:rPr>
          <w:spacing w:val="-3"/>
        </w:rPr>
        <w:t> </w:t>
      </w:r>
      <w:r>
        <w:rPr/>
        <w:t>ENTIDADES</w:t>
      </w:r>
      <w:r>
        <w:rPr>
          <w:spacing w:val="-5"/>
        </w:rPr>
        <w:t> </w:t>
      </w:r>
      <w:r>
        <w:rPr/>
        <w:t>DEL</w:t>
      </w:r>
      <w:r>
        <w:rPr>
          <w:spacing w:val="-5"/>
        </w:rPr>
        <w:t> </w:t>
      </w:r>
      <w:r>
        <w:rPr/>
        <w:t>ÁMBITO</w:t>
      </w:r>
      <w:r>
        <w:rPr>
          <w:spacing w:val="-5"/>
        </w:rPr>
        <w:t> </w:t>
      </w:r>
      <w:r>
        <w:rPr/>
        <w:t>SUBJETIVO</w:t>
      </w:r>
      <w:r>
        <w:rPr>
          <w:spacing w:val="-4"/>
        </w:rPr>
        <w:t> </w:t>
      </w:r>
      <w:r>
        <w:rPr/>
        <w:t>DE</w:t>
      </w:r>
      <w:r>
        <w:rPr>
          <w:spacing w:val="-5"/>
        </w:rPr>
        <w:t> </w:t>
      </w:r>
      <w:r>
        <w:rPr/>
        <w:t>LA</w:t>
      </w:r>
      <w:r>
        <w:rPr>
          <w:spacing w:val="-3"/>
        </w:rPr>
        <w:t> </w:t>
      </w:r>
      <w:r>
        <w:rPr>
          <w:spacing w:val="-2"/>
        </w:rPr>
        <w:t>FISCALIZACIÓN</w:t>
      </w:r>
    </w:p>
    <w:p>
      <w:pPr>
        <w:pStyle w:val="BodyText"/>
        <w:spacing w:before="11"/>
        <w:rPr>
          <w:b/>
          <w:sz w:val="20"/>
        </w:rPr>
      </w:pPr>
    </w:p>
    <w:tbl>
      <w:tblPr>
        <w:tblW w:w="0" w:type="auto"/>
        <w:jc w:val="left"/>
        <w:tblInd w:w="20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64"/>
        <w:gridCol w:w="2147"/>
        <w:gridCol w:w="1608"/>
        <w:gridCol w:w="1098"/>
      </w:tblGrid>
      <w:tr>
        <w:trPr>
          <w:trHeight w:val="283" w:hRule="atLeast"/>
        </w:trPr>
        <w:tc>
          <w:tcPr>
            <w:tcW w:w="2764" w:type="dxa"/>
            <w:shd w:val="clear" w:color="auto" w:fill="002D5D"/>
          </w:tcPr>
          <w:p>
            <w:pPr>
              <w:pStyle w:val="TableParagraph"/>
              <w:spacing w:before="37"/>
              <w:ind w:left="240"/>
              <w:rPr>
                <w:b/>
                <w:sz w:val="18"/>
              </w:rPr>
            </w:pPr>
            <w:r>
              <w:rPr>
                <w:b/>
                <w:color w:val="FFFFFF"/>
                <w:spacing w:val="-2"/>
                <w:sz w:val="18"/>
              </w:rPr>
              <w:t>MUNICIPIO</w:t>
            </w:r>
          </w:p>
        </w:tc>
        <w:tc>
          <w:tcPr>
            <w:tcW w:w="2147" w:type="dxa"/>
            <w:shd w:val="clear" w:color="auto" w:fill="002D5D"/>
          </w:tcPr>
          <w:p>
            <w:pPr>
              <w:pStyle w:val="TableParagraph"/>
              <w:spacing w:before="37"/>
              <w:ind w:left="123"/>
              <w:rPr>
                <w:b/>
                <w:sz w:val="18"/>
              </w:rPr>
            </w:pPr>
            <w:r>
              <w:rPr>
                <w:b/>
                <w:color w:val="FFFFFF"/>
                <w:sz w:val="18"/>
              </w:rPr>
              <w:t>COMUNIDAD</w:t>
            </w:r>
            <w:r>
              <w:rPr>
                <w:b/>
                <w:color w:val="FFFFFF"/>
                <w:spacing w:val="-4"/>
                <w:sz w:val="18"/>
              </w:rPr>
              <w:t> </w:t>
            </w:r>
            <w:r>
              <w:rPr>
                <w:b/>
                <w:color w:val="FFFFFF"/>
                <w:spacing w:val="-2"/>
                <w:sz w:val="18"/>
              </w:rPr>
              <w:t>AUTÓNOMA</w:t>
            </w:r>
          </w:p>
        </w:tc>
        <w:tc>
          <w:tcPr>
            <w:tcW w:w="1608" w:type="dxa"/>
            <w:shd w:val="clear" w:color="auto" w:fill="002D5D"/>
          </w:tcPr>
          <w:p>
            <w:pPr>
              <w:pStyle w:val="TableParagraph"/>
              <w:spacing w:before="37"/>
              <w:ind w:right="139"/>
              <w:jc w:val="right"/>
              <w:rPr>
                <w:b/>
                <w:sz w:val="18"/>
              </w:rPr>
            </w:pPr>
            <w:r>
              <w:rPr>
                <w:b/>
                <w:color w:val="FFFFFF"/>
                <w:sz w:val="18"/>
              </w:rPr>
              <w:t>SUPERFICIE</w:t>
            </w:r>
            <w:r>
              <w:rPr>
                <w:b/>
                <w:color w:val="FFFFFF"/>
                <w:spacing w:val="-8"/>
                <w:sz w:val="18"/>
              </w:rPr>
              <w:t> </w:t>
            </w:r>
            <w:r>
              <w:rPr>
                <w:b/>
                <w:color w:val="FFFFFF"/>
                <w:spacing w:val="-2"/>
                <w:sz w:val="16"/>
              </w:rPr>
              <w:t>(KM</w:t>
            </w:r>
            <w:r>
              <w:rPr>
                <w:b/>
                <w:color w:val="FFFFFF"/>
                <w:spacing w:val="-2"/>
                <w:position w:val="4"/>
                <w:sz w:val="10"/>
              </w:rPr>
              <w:t>2</w:t>
            </w:r>
            <w:r>
              <w:rPr>
                <w:b/>
                <w:color w:val="FFFFFF"/>
                <w:spacing w:val="-2"/>
                <w:sz w:val="18"/>
              </w:rPr>
              <w:t>)</w:t>
            </w:r>
          </w:p>
        </w:tc>
        <w:tc>
          <w:tcPr>
            <w:tcW w:w="1098" w:type="dxa"/>
            <w:shd w:val="clear" w:color="auto" w:fill="002D5D"/>
          </w:tcPr>
          <w:p>
            <w:pPr>
              <w:pStyle w:val="TableParagraph"/>
              <w:spacing w:before="37"/>
              <w:ind w:left="71"/>
              <w:jc w:val="center"/>
              <w:rPr>
                <w:b/>
                <w:sz w:val="18"/>
              </w:rPr>
            </w:pPr>
            <w:r>
              <w:rPr>
                <w:b/>
                <w:color w:val="FFFFFF"/>
                <w:spacing w:val="-2"/>
                <w:sz w:val="18"/>
              </w:rPr>
              <w:t>POBLACIÓN</w:t>
            </w:r>
          </w:p>
        </w:tc>
      </w:tr>
      <w:tr>
        <w:trPr>
          <w:trHeight w:val="299" w:hRule="atLeast"/>
        </w:trPr>
        <w:tc>
          <w:tcPr>
            <w:tcW w:w="2764" w:type="dxa"/>
            <w:tcBorders>
              <w:bottom w:val="single" w:sz="4" w:space="0" w:color="002D5D"/>
            </w:tcBorders>
          </w:tcPr>
          <w:p>
            <w:pPr>
              <w:pStyle w:val="TableParagraph"/>
              <w:spacing w:before="47"/>
              <w:ind w:left="240"/>
              <w:rPr>
                <w:b/>
                <w:sz w:val="18"/>
              </w:rPr>
            </w:pPr>
            <w:r>
              <w:rPr>
                <w:b/>
                <w:spacing w:val="-2"/>
                <w:sz w:val="18"/>
              </w:rPr>
              <w:t>ALICANTE</w:t>
            </w:r>
          </w:p>
        </w:tc>
        <w:tc>
          <w:tcPr>
            <w:tcW w:w="2147" w:type="dxa"/>
            <w:tcBorders>
              <w:bottom w:val="single" w:sz="4" w:space="0" w:color="002D5D"/>
            </w:tcBorders>
          </w:tcPr>
          <w:p>
            <w:pPr>
              <w:pStyle w:val="TableParagraph"/>
              <w:spacing w:before="47"/>
              <w:ind w:left="188"/>
              <w:rPr>
                <w:sz w:val="18"/>
              </w:rPr>
            </w:pPr>
            <w:r>
              <w:rPr>
                <w:spacing w:val="-2"/>
                <w:sz w:val="18"/>
              </w:rPr>
              <w:t>Valenciana</w:t>
            </w:r>
          </w:p>
        </w:tc>
        <w:tc>
          <w:tcPr>
            <w:tcW w:w="1608" w:type="dxa"/>
            <w:tcBorders>
              <w:bottom w:val="single" w:sz="4" w:space="0" w:color="002D5D"/>
            </w:tcBorders>
          </w:tcPr>
          <w:p>
            <w:pPr>
              <w:pStyle w:val="TableParagraph"/>
              <w:spacing w:before="47"/>
              <w:ind w:right="280"/>
              <w:jc w:val="right"/>
              <w:rPr>
                <w:sz w:val="18"/>
              </w:rPr>
            </w:pPr>
            <w:r>
              <w:rPr>
                <w:spacing w:val="-2"/>
                <w:sz w:val="18"/>
              </w:rPr>
              <w:t>202,32</w:t>
            </w:r>
          </w:p>
        </w:tc>
        <w:tc>
          <w:tcPr>
            <w:tcW w:w="1098" w:type="dxa"/>
            <w:tcBorders>
              <w:bottom w:val="single" w:sz="4" w:space="0" w:color="002D5D"/>
            </w:tcBorders>
          </w:tcPr>
          <w:p>
            <w:pPr>
              <w:pStyle w:val="TableParagraph"/>
              <w:spacing w:before="47"/>
              <w:ind w:left="71" w:right="3"/>
              <w:jc w:val="center"/>
              <w:rPr>
                <w:sz w:val="18"/>
              </w:rPr>
            </w:pPr>
            <w:r>
              <w:rPr>
                <w:spacing w:val="-2"/>
                <w:sz w:val="18"/>
              </w:rPr>
              <w:t>349.282</w:t>
            </w:r>
          </w:p>
        </w:tc>
      </w:tr>
      <w:tr>
        <w:trPr>
          <w:trHeight w:val="299" w:hRule="atLeast"/>
        </w:trPr>
        <w:tc>
          <w:tcPr>
            <w:tcW w:w="2764" w:type="dxa"/>
            <w:tcBorders>
              <w:top w:val="single" w:sz="4" w:space="0" w:color="002D5D"/>
              <w:bottom w:val="single" w:sz="4" w:space="0" w:color="002D5D"/>
            </w:tcBorders>
          </w:tcPr>
          <w:p>
            <w:pPr>
              <w:pStyle w:val="TableParagraph"/>
              <w:spacing w:before="47"/>
              <w:ind w:left="240"/>
              <w:rPr>
                <w:b/>
                <w:sz w:val="18"/>
              </w:rPr>
            </w:pPr>
            <w:r>
              <w:rPr>
                <w:b/>
                <w:spacing w:val="-2"/>
                <w:sz w:val="18"/>
              </w:rPr>
              <w:t>BILBAO</w:t>
            </w:r>
          </w:p>
        </w:tc>
        <w:tc>
          <w:tcPr>
            <w:tcW w:w="2147" w:type="dxa"/>
            <w:tcBorders>
              <w:top w:val="single" w:sz="4" w:space="0" w:color="002D5D"/>
              <w:bottom w:val="single" w:sz="4" w:space="0" w:color="002D5D"/>
            </w:tcBorders>
          </w:tcPr>
          <w:p>
            <w:pPr>
              <w:pStyle w:val="TableParagraph"/>
              <w:spacing w:before="47"/>
              <w:ind w:left="188"/>
              <w:rPr>
                <w:sz w:val="18"/>
              </w:rPr>
            </w:pPr>
            <w:r>
              <w:rPr>
                <w:sz w:val="18"/>
              </w:rPr>
              <w:t>País</w:t>
            </w:r>
            <w:r>
              <w:rPr>
                <w:spacing w:val="-3"/>
                <w:sz w:val="18"/>
              </w:rPr>
              <w:t> </w:t>
            </w:r>
            <w:r>
              <w:rPr>
                <w:spacing w:val="-2"/>
                <w:sz w:val="18"/>
              </w:rPr>
              <w:t>Vasco</w:t>
            </w:r>
          </w:p>
        </w:tc>
        <w:tc>
          <w:tcPr>
            <w:tcW w:w="1608" w:type="dxa"/>
            <w:tcBorders>
              <w:top w:val="single" w:sz="4" w:space="0" w:color="002D5D"/>
              <w:bottom w:val="single" w:sz="4" w:space="0" w:color="002D5D"/>
            </w:tcBorders>
          </w:tcPr>
          <w:p>
            <w:pPr>
              <w:pStyle w:val="TableParagraph"/>
              <w:spacing w:before="47"/>
              <w:ind w:right="279"/>
              <w:jc w:val="right"/>
              <w:rPr>
                <w:sz w:val="18"/>
              </w:rPr>
            </w:pPr>
            <w:r>
              <w:rPr>
                <w:spacing w:val="-2"/>
                <w:sz w:val="18"/>
              </w:rPr>
              <w:t>41,30</w:t>
            </w:r>
          </w:p>
        </w:tc>
        <w:tc>
          <w:tcPr>
            <w:tcW w:w="1098" w:type="dxa"/>
            <w:tcBorders>
              <w:top w:val="single" w:sz="4" w:space="0" w:color="002D5D"/>
              <w:bottom w:val="single" w:sz="4" w:space="0" w:color="002D5D"/>
            </w:tcBorders>
          </w:tcPr>
          <w:p>
            <w:pPr>
              <w:pStyle w:val="TableParagraph"/>
              <w:spacing w:before="47"/>
              <w:ind w:left="71" w:right="3"/>
              <w:jc w:val="center"/>
              <w:rPr>
                <w:sz w:val="18"/>
              </w:rPr>
            </w:pPr>
            <w:r>
              <w:rPr>
                <w:spacing w:val="-2"/>
                <w:sz w:val="18"/>
              </w:rPr>
              <w:t>346.096</w:t>
            </w:r>
          </w:p>
        </w:tc>
      </w:tr>
      <w:tr>
        <w:trPr>
          <w:trHeight w:val="299" w:hRule="atLeast"/>
        </w:trPr>
        <w:tc>
          <w:tcPr>
            <w:tcW w:w="2764" w:type="dxa"/>
            <w:tcBorders>
              <w:top w:val="single" w:sz="4" w:space="0" w:color="002D5D"/>
              <w:bottom w:val="single" w:sz="4" w:space="0" w:color="002D5D"/>
            </w:tcBorders>
          </w:tcPr>
          <w:p>
            <w:pPr>
              <w:pStyle w:val="TableParagraph"/>
              <w:spacing w:before="47"/>
              <w:ind w:left="240"/>
              <w:rPr>
                <w:b/>
                <w:sz w:val="18"/>
              </w:rPr>
            </w:pPr>
            <w:r>
              <w:rPr>
                <w:b/>
                <w:spacing w:val="-2"/>
                <w:sz w:val="18"/>
              </w:rPr>
              <w:t>CÓRDOBA</w:t>
            </w:r>
          </w:p>
        </w:tc>
        <w:tc>
          <w:tcPr>
            <w:tcW w:w="2147" w:type="dxa"/>
            <w:tcBorders>
              <w:top w:val="single" w:sz="4" w:space="0" w:color="002D5D"/>
              <w:bottom w:val="single" w:sz="4" w:space="0" w:color="002D5D"/>
            </w:tcBorders>
          </w:tcPr>
          <w:p>
            <w:pPr>
              <w:pStyle w:val="TableParagraph"/>
              <w:spacing w:before="47"/>
              <w:ind w:left="188"/>
              <w:rPr>
                <w:sz w:val="18"/>
              </w:rPr>
            </w:pPr>
            <w:r>
              <w:rPr>
                <w:spacing w:val="-2"/>
                <w:sz w:val="18"/>
              </w:rPr>
              <w:t>Andalucía</w:t>
            </w:r>
          </w:p>
        </w:tc>
        <w:tc>
          <w:tcPr>
            <w:tcW w:w="1608" w:type="dxa"/>
            <w:tcBorders>
              <w:top w:val="single" w:sz="4" w:space="0" w:color="002D5D"/>
              <w:bottom w:val="single" w:sz="4" w:space="0" w:color="002D5D"/>
            </w:tcBorders>
          </w:tcPr>
          <w:p>
            <w:pPr>
              <w:pStyle w:val="TableParagraph"/>
              <w:spacing w:before="47"/>
              <w:ind w:right="279"/>
              <w:jc w:val="right"/>
              <w:rPr>
                <w:sz w:val="18"/>
              </w:rPr>
            </w:pPr>
            <w:r>
              <w:rPr>
                <w:spacing w:val="-2"/>
                <w:sz w:val="18"/>
              </w:rPr>
              <w:t>1254,00</w:t>
            </w:r>
          </w:p>
        </w:tc>
        <w:tc>
          <w:tcPr>
            <w:tcW w:w="1098" w:type="dxa"/>
            <w:tcBorders>
              <w:top w:val="single" w:sz="4" w:space="0" w:color="002D5D"/>
              <w:bottom w:val="single" w:sz="4" w:space="0" w:color="002D5D"/>
            </w:tcBorders>
          </w:tcPr>
          <w:p>
            <w:pPr>
              <w:pStyle w:val="TableParagraph"/>
              <w:spacing w:before="47"/>
              <w:ind w:left="71" w:right="3"/>
              <w:jc w:val="center"/>
              <w:rPr>
                <w:sz w:val="18"/>
              </w:rPr>
            </w:pPr>
            <w:r>
              <w:rPr>
                <w:spacing w:val="-2"/>
                <w:sz w:val="18"/>
              </w:rPr>
              <w:t>323.763</w:t>
            </w:r>
          </w:p>
        </w:tc>
      </w:tr>
      <w:tr>
        <w:trPr>
          <w:trHeight w:val="302" w:hRule="atLeast"/>
        </w:trPr>
        <w:tc>
          <w:tcPr>
            <w:tcW w:w="2764" w:type="dxa"/>
            <w:tcBorders>
              <w:top w:val="single" w:sz="4" w:space="0" w:color="002D5D"/>
              <w:bottom w:val="single" w:sz="4" w:space="0" w:color="002D5D"/>
            </w:tcBorders>
          </w:tcPr>
          <w:p>
            <w:pPr>
              <w:pStyle w:val="TableParagraph"/>
              <w:spacing w:before="47"/>
              <w:ind w:left="240"/>
              <w:rPr>
                <w:b/>
                <w:sz w:val="18"/>
              </w:rPr>
            </w:pPr>
            <w:r>
              <w:rPr>
                <w:b/>
                <w:sz w:val="18"/>
              </w:rPr>
              <w:t>LAS</w:t>
            </w:r>
            <w:r>
              <w:rPr>
                <w:b/>
                <w:spacing w:val="-2"/>
                <w:sz w:val="18"/>
              </w:rPr>
              <w:t> </w:t>
            </w:r>
            <w:r>
              <w:rPr>
                <w:b/>
                <w:sz w:val="18"/>
              </w:rPr>
              <w:t>PALMAS</w:t>
            </w:r>
            <w:r>
              <w:rPr>
                <w:b/>
                <w:spacing w:val="-2"/>
                <w:sz w:val="18"/>
              </w:rPr>
              <w:t> </w:t>
            </w:r>
            <w:r>
              <w:rPr>
                <w:b/>
                <w:sz w:val="18"/>
              </w:rPr>
              <w:t>DE</w:t>
            </w:r>
            <w:r>
              <w:rPr>
                <w:b/>
                <w:spacing w:val="-2"/>
                <w:sz w:val="18"/>
              </w:rPr>
              <w:t> </w:t>
            </w:r>
            <w:r>
              <w:rPr>
                <w:b/>
                <w:sz w:val="18"/>
              </w:rPr>
              <w:t>GRAN </w:t>
            </w:r>
            <w:r>
              <w:rPr>
                <w:b/>
                <w:spacing w:val="-2"/>
                <w:sz w:val="18"/>
              </w:rPr>
              <w:t>CANARIA</w:t>
            </w:r>
          </w:p>
        </w:tc>
        <w:tc>
          <w:tcPr>
            <w:tcW w:w="2147" w:type="dxa"/>
            <w:tcBorders>
              <w:top w:val="single" w:sz="4" w:space="0" w:color="002D5D"/>
              <w:bottom w:val="single" w:sz="4" w:space="0" w:color="002D5D"/>
            </w:tcBorders>
          </w:tcPr>
          <w:p>
            <w:pPr>
              <w:pStyle w:val="TableParagraph"/>
              <w:spacing w:before="47"/>
              <w:ind w:left="188"/>
              <w:rPr>
                <w:sz w:val="18"/>
              </w:rPr>
            </w:pPr>
            <w:r>
              <w:rPr>
                <w:spacing w:val="-2"/>
                <w:sz w:val="18"/>
              </w:rPr>
              <w:t>Canarias</w:t>
            </w:r>
          </w:p>
        </w:tc>
        <w:tc>
          <w:tcPr>
            <w:tcW w:w="1608" w:type="dxa"/>
            <w:tcBorders>
              <w:top w:val="single" w:sz="4" w:space="0" w:color="002D5D"/>
              <w:bottom w:val="single" w:sz="4" w:space="0" w:color="002D5D"/>
            </w:tcBorders>
          </w:tcPr>
          <w:p>
            <w:pPr>
              <w:pStyle w:val="TableParagraph"/>
              <w:spacing w:before="47"/>
              <w:ind w:right="279"/>
              <w:jc w:val="right"/>
              <w:rPr>
                <w:sz w:val="18"/>
              </w:rPr>
            </w:pPr>
            <w:r>
              <w:rPr>
                <w:spacing w:val="-2"/>
                <w:sz w:val="18"/>
              </w:rPr>
              <w:t>103,32</w:t>
            </w:r>
          </w:p>
        </w:tc>
        <w:tc>
          <w:tcPr>
            <w:tcW w:w="1098" w:type="dxa"/>
            <w:tcBorders>
              <w:top w:val="single" w:sz="4" w:space="0" w:color="002D5D"/>
              <w:bottom w:val="single" w:sz="4" w:space="0" w:color="002D5D"/>
            </w:tcBorders>
          </w:tcPr>
          <w:p>
            <w:pPr>
              <w:pStyle w:val="TableParagraph"/>
              <w:spacing w:before="47"/>
              <w:ind w:left="71" w:right="3"/>
              <w:jc w:val="center"/>
              <w:rPr>
                <w:sz w:val="18"/>
              </w:rPr>
            </w:pPr>
            <w:r>
              <w:rPr>
                <w:spacing w:val="-2"/>
                <w:sz w:val="18"/>
              </w:rPr>
              <w:t>378.027</w:t>
            </w:r>
          </w:p>
        </w:tc>
      </w:tr>
      <w:tr>
        <w:trPr>
          <w:trHeight w:val="299" w:hRule="atLeast"/>
        </w:trPr>
        <w:tc>
          <w:tcPr>
            <w:tcW w:w="2764" w:type="dxa"/>
            <w:tcBorders>
              <w:top w:val="single" w:sz="4" w:space="0" w:color="002D5D"/>
              <w:bottom w:val="single" w:sz="4" w:space="0" w:color="002D5D"/>
            </w:tcBorders>
          </w:tcPr>
          <w:p>
            <w:pPr>
              <w:pStyle w:val="TableParagraph"/>
              <w:spacing w:before="44"/>
              <w:ind w:left="240"/>
              <w:rPr>
                <w:b/>
                <w:sz w:val="18"/>
              </w:rPr>
            </w:pPr>
            <w:r>
              <w:rPr>
                <w:b/>
                <w:spacing w:val="-2"/>
                <w:sz w:val="18"/>
              </w:rPr>
              <w:t>MÁLAGA</w:t>
            </w:r>
          </w:p>
        </w:tc>
        <w:tc>
          <w:tcPr>
            <w:tcW w:w="2147" w:type="dxa"/>
            <w:tcBorders>
              <w:top w:val="single" w:sz="4" w:space="0" w:color="002D5D"/>
              <w:bottom w:val="single" w:sz="4" w:space="0" w:color="002D5D"/>
            </w:tcBorders>
          </w:tcPr>
          <w:p>
            <w:pPr>
              <w:pStyle w:val="TableParagraph"/>
              <w:spacing w:before="44"/>
              <w:ind w:left="188"/>
              <w:rPr>
                <w:sz w:val="18"/>
              </w:rPr>
            </w:pPr>
            <w:r>
              <w:rPr>
                <w:spacing w:val="-2"/>
                <w:sz w:val="18"/>
              </w:rPr>
              <w:t>Andalucía</w:t>
            </w:r>
          </w:p>
        </w:tc>
        <w:tc>
          <w:tcPr>
            <w:tcW w:w="1608" w:type="dxa"/>
            <w:tcBorders>
              <w:top w:val="single" w:sz="4" w:space="0" w:color="002D5D"/>
              <w:bottom w:val="single" w:sz="4" w:space="0" w:color="002D5D"/>
            </w:tcBorders>
          </w:tcPr>
          <w:p>
            <w:pPr>
              <w:pStyle w:val="TableParagraph"/>
              <w:spacing w:before="44"/>
              <w:ind w:right="279"/>
              <w:jc w:val="right"/>
              <w:rPr>
                <w:sz w:val="18"/>
              </w:rPr>
            </w:pPr>
            <w:r>
              <w:rPr>
                <w:spacing w:val="-2"/>
                <w:sz w:val="18"/>
              </w:rPr>
              <w:t>395,71</w:t>
            </w:r>
          </w:p>
        </w:tc>
        <w:tc>
          <w:tcPr>
            <w:tcW w:w="1098" w:type="dxa"/>
            <w:tcBorders>
              <w:top w:val="single" w:sz="4" w:space="0" w:color="002D5D"/>
              <w:bottom w:val="single" w:sz="4" w:space="0" w:color="002D5D"/>
            </w:tcBorders>
          </w:tcPr>
          <w:p>
            <w:pPr>
              <w:pStyle w:val="TableParagraph"/>
              <w:spacing w:before="44"/>
              <w:ind w:left="71" w:right="3"/>
              <w:jc w:val="center"/>
              <w:rPr>
                <w:sz w:val="18"/>
              </w:rPr>
            </w:pPr>
            <w:r>
              <w:rPr>
                <w:spacing w:val="-2"/>
                <w:sz w:val="18"/>
              </w:rPr>
              <w:t>586.384</w:t>
            </w:r>
          </w:p>
        </w:tc>
      </w:tr>
      <w:tr>
        <w:trPr>
          <w:trHeight w:val="299" w:hRule="atLeast"/>
        </w:trPr>
        <w:tc>
          <w:tcPr>
            <w:tcW w:w="2764" w:type="dxa"/>
            <w:tcBorders>
              <w:top w:val="single" w:sz="4" w:space="0" w:color="002D5D"/>
              <w:bottom w:val="single" w:sz="4" w:space="0" w:color="002D5D"/>
            </w:tcBorders>
          </w:tcPr>
          <w:p>
            <w:pPr>
              <w:pStyle w:val="TableParagraph"/>
              <w:spacing w:before="44"/>
              <w:ind w:left="240"/>
              <w:rPr>
                <w:b/>
                <w:sz w:val="18"/>
              </w:rPr>
            </w:pPr>
            <w:r>
              <w:rPr>
                <w:b/>
                <w:spacing w:val="-2"/>
                <w:sz w:val="18"/>
              </w:rPr>
              <w:t>MURCIA</w:t>
            </w:r>
          </w:p>
        </w:tc>
        <w:tc>
          <w:tcPr>
            <w:tcW w:w="2147" w:type="dxa"/>
            <w:tcBorders>
              <w:top w:val="single" w:sz="4" w:space="0" w:color="002D5D"/>
              <w:bottom w:val="single" w:sz="4" w:space="0" w:color="002D5D"/>
            </w:tcBorders>
          </w:tcPr>
          <w:p>
            <w:pPr>
              <w:pStyle w:val="TableParagraph"/>
              <w:spacing w:before="44"/>
              <w:ind w:left="188"/>
              <w:rPr>
                <w:sz w:val="18"/>
              </w:rPr>
            </w:pPr>
            <w:r>
              <w:rPr>
                <w:sz w:val="18"/>
              </w:rPr>
              <w:t>Región</w:t>
            </w:r>
            <w:r>
              <w:rPr>
                <w:spacing w:val="-5"/>
                <w:sz w:val="18"/>
              </w:rPr>
              <w:t> </w:t>
            </w:r>
            <w:r>
              <w:rPr>
                <w:sz w:val="18"/>
              </w:rPr>
              <w:t>de </w:t>
            </w:r>
            <w:r>
              <w:rPr>
                <w:spacing w:val="-2"/>
                <w:sz w:val="18"/>
              </w:rPr>
              <w:t>Murcia</w:t>
            </w:r>
          </w:p>
        </w:tc>
        <w:tc>
          <w:tcPr>
            <w:tcW w:w="1608" w:type="dxa"/>
            <w:tcBorders>
              <w:top w:val="single" w:sz="4" w:space="0" w:color="002D5D"/>
              <w:bottom w:val="single" w:sz="4" w:space="0" w:color="002D5D"/>
            </w:tcBorders>
          </w:tcPr>
          <w:p>
            <w:pPr>
              <w:pStyle w:val="TableParagraph"/>
              <w:spacing w:before="44"/>
              <w:ind w:right="279"/>
              <w:jc w:val="right"/>
              <w:rPr>
                <w:sz w:val="18"/>
              </w:rPr>
            </w:pPr>
            <w:r>
              <w:rPr>
                <w:spacing w:val="-2"/>
                <w:sz w:val="18"/>
              </w:rPr>
              <w:t>885,11</w:t>
            </w:r>
          </w:p>
        </w:tc>
        <w:tc>
          <w:tcPr>
            <w:tcW w:w="1098" w:type="dxa"/>
            <w:tcBorders>
              <w:top w:val="single" w:sz="4" w:space="0" w:color="002D5D"/>
              <w:bottom w:val="single" w:sz="4" w:space="0" w:color="002D5D"/>
            </w:tcBorders>
          </w:tcPr>
          <w:p>
            <w:pPr>
              <w:pStyle w:val="TableParagraph"/>
              <w:spacing w:before="44"/>
              <w:ind w:left="71" w:right="3"/>
              <w:jc w:val="center"/>
              <w:rPr>
                <w:sz w:val="18"/>
              </w:rPr>
            </w:pPr>
            <w:r>
              <w:rPr>
                <w:spacing w:val="-2"/>
                <w:sz w:val="18"/>
              </w:rPr>
              <w:t>469.177</w:t>
            </w:r>
          </w:p>
        </w:tc>
      </w:tr>
      <w:tr>
        <w:trPr>
          <w:trHeight w:val="300" w:hRule="atLeast"/>
        </w:trPr>
        <w:tc>
          <w:tcPr>
            <w:tcW w:w="2764" w:type="dxa"/>
            <w:tcBorders>
              <w:top w:val="single" w:sz="4" w:space="0" w:color="002D5D"/>
              <w:bottom w:val="single" w:sz="4" w:space="0" w:color="002D5D"/>
            </w:tcBorders>
          </w:tcPr>
          <w:p>
            <w:pPr>
              <w:pStyle w:val="TableParagraph"/>
              <w:spacing w:before="47"/>
              <w:ind w:left="240"/>
              <w:rPr>
                <w:b/>
                <w:sz w:val="18"/>
              </w:rPr>
            </w:pPr>
            <w:r>
              <w:rPr>
                <w:b/>
                <w:spacing w:val="-2"/>
                <w:sz w:val="18"/>
              </w:rPr>
              <w:t>PALMA</w:t>
            </w:r>
          </w:p>
        </w:tc>
        <w:tc>
          <w:tcPr>
            <w:tcW w:w="2147" w:type="dxa"/>
            <w:tcBorders>
              <w:top w:val="single" w:sz="4" w:space="0" w:color="002D5D"/>
              <w:bottom w:val="single" w:sz="4" w:space="0" w:color="002D5D"/>
            </w:tcBorders>
          </w:tcPr>
          <w:p>
            <w:pPr>
              <w:pStyle w:val="TableParagraph"/>
              <w:spacing w:before="47"/>
              <w:ind w:left="188"/>
              <w:rPr>
                <w:sz w:val="18"/>
              </w:rPr>
            </w:pPr>
            <w:r>
              <w:rPr>
                <w:sz w:val="18"/>
              </w:rPr>
              <w:t>Illes</w:t>
            </w:r>
            <w:r>
              <w:rPr>
                <w:spacing w:val="-3"/>
                <w:sz w:val="18"/>
              </w:rPr>
              <w:t> </w:t>
            </w:r>
            <w:r>
              <w:rPr>
                <w:spacing w:val="-2"/>
                <w:sz w:val="18"/>
              </w:rPr>
              <w:t>Balears</w:t>
            </w:r>
          </w:p>
        </w:tc>
        <w:tc>
          <w:tcPr>
            <w:tcW w:w="1608" w:type="dxa"/>
            <w:tcBorders>
              <w:top w:val="single" w:sz="4" w:space="0" w:color="002D5D"/>
              <w:bottom w:val="single" w:sz="4" w:space="0" w:color="002D5D"/>
            </w:tcBorders>
          </w:tcPr>
          <w:p>
            <w:pPr>
              <w:pStyle w:val="TableParagraph"/>
              <w:spacing w:before="47"/>
              <w:ind w:right="279"/>
              <w:jc w:val="right"/>
              <w:rPr>
                <w:sz w:val="18"/>
              </w:rPr>
            </w:pPr>
            <w:r>
              <w:rPr>
                <w:spacing w:val="-2"/>
                <w:sz w:val="18"/>
              </w:rPr>
              <w:t>208,63</w:t>
            </w:r>
          </w:p>
        </w:tc>
        <w:tc>
          <w:tcPr>
            <w:tcW w:w="1098" w:type="dxa"/>
            <w:tcBorders>
              <w:top w:val="single" w:sz="4" w:space="0" w:color="002D5D"/>
              <w:bottom w:val="single" w:sz="4" w:space="0" w:color="002D5D"/>
            </w:tcBorders>
          </w:tcPr>
          <w:p>
            <w:pPr>
              <w:pStyle w:val="TableParagraph"/>
              <w:spacing w:before="47"/>
              <w:ind w:left="71" w:right="3"/>
              <w:jc w:val="center"/>
              <w:rPr>
                <w:sz w:val="18"/>
              </w:rPr>
            </w:pPr>
            <w:r>
              <w:rPr>
                <w:spacing w:val="-2"/>
                <w:sz w:val="18"/>
              </w:rPr>
              <w:t>423.350</w:t>
            </w:r>
          </w:p>
        </w:tc>
      </w:tr>
      <w:tr>
        <w:trPr>
          <w:trHeight w:val="299" w:hRule="atLeast"/>
        </w:trPr>
        <w:tc>
          <w:tcPr>
            <w:tcW w:w="2764" w:type="dxa"/>
            <w:tcBorders>
              <w:top w:val="single" w:sz="4" w:space="0" w:color="002D5D"/>
              <w:bottom w:val="single" w:sz="4" w:space="0" w:color="002D5D"/>
            </w:tcBorders>
          </w:tcPr>
          <w:p>
            <w:pPr>
              <w:pStyle w:val="TableParagraph"/>
              <w:spacing w:before="47"/>
              <w:ind w:left="240"/>
              <w:rPr>
                <w:b/>
                <w:sz w:val="18"/>
              </w:rPr>
            </w:pPr>
            <w:r>
              <w:rPr>
                <w:b/>
                <w:spacing w:val="-2"/>
                <w:sz w:val="18"/>
              </w:rPr>
              <w:t>SEVILLA</w:t>
            </w:r>
          </w:p>
        </w:tc>
        <w:tc>
          <w:tcPr>
            <w:tcW w:w="2147" w:type="dxa"/>
            <w:tcBorders>
              <w:top w:val="single" w:sz="4" w:space="0" w:color="002D5D"/>
              <w:bottom w:val="single" w:sz="4" w:space="0" w:color="002D5D"/>
            </w:tcBorders>
          </w:tcPr>
          <w:p>
            <w:pPr>
              <w:pStyle w:val="TableParagraph"/>
              <w:spacing w:before="47"/>
              <w:ind w:left="188"/>
              <w:rPr>
                <w:sz w:val="18"/>
              </w:rPr>
            </w:pPr>
            <w:r>
              <w:rPr>
                <w:spacing w:val="-2"/>
                <w:sz w:val="18"/>
              </w:rPr>
              <w:t>Andalucía</w:t>
            </w:r>
          </w:p>
        </w:tc>
        <w:tc>
          <w:tcPr>
            <w:tcW w:w="1608" w:type="dxa"/>
            <w:tcBorders>
              <w:top w:val="single" w:sz="4" w:space="0" w:color="002D5D"/>
              <w:bottom w:val="single" w:sz="4" w:space="0" w:color="002D5D"/>
            </w:tcBorders>
          </w:tcPr>
          <w:p>
            <w:pPr>
              <w:pStyle w:val="TableParagraph"/>
              <w:spacing w:before="47"/>
              <w:ind w:right="279"/>
              <w:jc w:val="right"/>
              <w:rPr>
                <w:sz w:val="18"/>
              </w:rPr>
            </w:pPr>
            <w:r>
              <w:rPr>
                <w:spacing w:val="-2"/>
                <w:sz w:val="18"/>
              </w:rPr>
              <w:t>142,00</w:t>
            </w:r>
          </w:p>
        </w:tc>
        <w:tc>
          <w:tcPr>
            <w:tcW w:w="1098" w:type="dxa"/>
            <w:tcBorders>
              <w:top w:val="single" w:sz="4" w:space="0" w:color="002D5D"/>
              <w:bottom w:val="single" w:sz="4" w:space="0" w:color="002D5D"/>
            </w:tcBorders>
          </w:tcPr>
          <w:p>
            <w:pPr>
              <w:pStyle w:val="TableParagraph"/>
              <w:spacing w:before="47"/>
              <w:ind w:left="71" w:right="3"/>
              <w:jc w:val="center"/>
              <w:rPr>
                <w:sz w:val="18"/>
              </w:rPr>
            </w:pPr>
            <w:r>
              <w:rPr>
                <w:spacing w:val="-2"/>
                <w:sz w:val="18"/>
              </w:rPr>
              <w:t>684.025</w:t>
            </w:r>
          </w:p>
        </w:tc>
      </w:tr>
      <w:tr>
        <w:trPr>
          <w:trHeight w:val="299" w:hRule="atLeast"/>
        </w:trPr>
        <w:tc>
          <w:tcPr>
            <w:tcW w:w="2764" w:type="dxa"/>
            <w:tcBorders>
              <w:top w:val="single" w:sz="4" w:space="0" w:color="002D5D"/>
            </w:tcBorders>
          </w:tcPr>
          <w:p>
            <w:pPr>
              <w:pStyle w:val="TableParagraph"/>
              <w:spacing w:before="47"/>
              <w:ind w:left="240"/>
              <w:rPr>
                <w:b/>
                <w:sz w:val="18"/>
              </w:rPr>
            </w:pPr>
            <w:r>
              <w:rPr>
                <w:b/>
                <w:spacing w:val="-2"/>
                <w:sz w:val="18"/>
              </w:rPr>
              <w:t>ZARAGOZA</w:t>
            </w:r>
          </w:p>
        </w:tc>
        <w:tc>
          <w:tcPr>
            <w:tcW w:w="2147" w:type="dxa"/>
            <w:tcBorders>
              <w:top w:val="single" w:sz="4" w:space="0" w:color="002D5D"/>
            </w:tcBorders>
          </w:tcPr>
          <w:p>
            <w:pPr>
              <w:pStyle w:val="TableParagraph"/>
              <w:spacing w:before="47"/>
              <w:ind w:left="188"/>
              <w:rPr>
                <w:sz w:val="18"/>
              </w:rPr>
            </w:pPr>
            <w:r>
              <w:rPr>
                <w:spacing w:val="-2"/>
                <w:sz w:val="18"/>
              </w:rPr>
              <w:t>Aragón</w:t>
            </w:r>
          </w:p>
        </w:tc>
        <w:tc>
          <w:tcPr>
            <w:tcW w:w="1608" w:type="dxa"/>
            <w:tcBorders>
              <w:top w:val="single" w:sz="4" w:space="0" w:color="002D5D"/>
            </w:tcBorders>
          </w:tcPr>
          <w:p>
            <w:pPr>
              <w:pStyle w:val="TableParagraph"/>
              <w:spacing w:before="47"/>
              <w:ind w:right="279"/>
              <w:jc w:val="right"/>
              <w:rPr>
                <w:sz w:val="18"/>
              </w:rPr>
            </w:pPr>
            <w:r>
              <w:rPr>
                <w:spacing w:val="-2"/>
                <w:sz w:val="18"/>
              </w:rPr>
              <w:t>974,00</w:t>
            </w:r>
          </w:p>
        </w:tc>
        <w:tc>
          <w:tcPr>
            <w:tcW w:w="1098" w:type="dxa"/>
            <w:tcBorders>
              <w:top w:val="single" w:sz="4" w:space="0" w:color="002D5D"/>
            </w:tcBorders>
          </w:tcPr>
          <w:p>
            <w:pPr>
              <w:pStyle w:val="TableParagraph"/>
              <w:spacing w:before="47"/>
              <w:ind w:left="71" w:right="3"/>
              <w:jc w:val="center"/>
              <w:rPr>
                <w:sz w:val="18"/>
              </w:rPr>
            </w:pPr>
            <w:r>
              <w:rPr>
                <w:spacing w:val="-2"/>
                <w:sz w:val="18"/>
              </w:rPr>
              <w:t>682.513</w:t>
            </w:r>
          </w:p>
        </w:tc>
      </w:tr>
      <w:tr>
        <w:trPr>
          <w:trHeight w:val="300" w:hRule="atLeast"/>
        </w:trPr>
        <w:tc>
          <w:tcPr>
            <w:tcW w:w="4911" w:type="dxa"/>
            <w:gridSpan w:val="2"/>
            <w:shd w:val="clear" w:color="auto" w:fill="002D5D"/>
          </w:tcPr>
          <w:p>
            <w:pPr>
              <w:pStyle w:val="TableParagraph"/>
              <w:spacing w:before="47"/>
              <w:ind w:left="240"/>
              <w:rPr>
                <w:b/>
                <w:sz w:val="18"/>
              </w:rPr>
            </w:pPr>
            <w:r>
              <w:rPr>
                <w:b/>
                <w:color w:val="FFFFFF"/>
                <w:spacing w:val="-2"/>
                <w:sz w:val="18"/>
              </w:rPr>
              <w:t>TOTAL</w:t>
            </w:r>
          </w:p>
        </w:tc>
        <w:tc>
          <w:tcPr>
            <w:tcW w:w="1608" w:type="dxa"/>
            <w:shd w:val="clear" w:color="auto" w:fill="002D5D"/>
          </w:tcPr>
          <w:p>
            <w:pPr>
              <w:pStyle w:val="TableParagraph"/>
              <w:rPr>
                <w:rFonts w:ascii="Times New Roman"/>
                <w:sz w:val="20"/>
              </w:rPr>
            </w:pPr>
          </w:p>
        </w:tc>
        <w:tc>
          <w:tcPr>
            <w:tcW w:w="1098" w:type="dxa"/>
            <w:shd w:val="clear" w:color="auto" w:fill="002D5D"/>
          </w:tcPr>
          <w:p>
            <w:pPr>
              <w:pStyle w:val="TableParagraph"/>
              <w:spacing w:before="47"/>
              <w:ind w:left="71" w:right="3"/>
              <w:jc w:val="center"/>
              <w:rPr>
                <w:b/>
                <w:sz w:val="18"/>
              </w:rPr>
            </w:pPr>
            <w:r>
              <w:rPr>
                <w:b/>
                <w:color w:val="FFFFFF"/>
                <w:spacing w:val="-2"/>
                <w:sz w:val="18"/>
              </w:rPr>
              <w:t>4.242.617</w:t>
            </w:r>
          </w:p>
        </w:tc>
      </w:tr>
      <w:tr>
        <w:trPr>
          <w:trHeight w:val="254" w:hRule="atLeast"/>
        </w:trPr>
        <w:tc>
          <w:tcPr>
            <w:tcW w:w="4911" w:type="dxa"/>
            <w:gridSpan w:val="2"/>
          </w:tcPr>
          <w:p>
            <w:pPr>
              <w:pStyle w:val="TableParagraph"/>
              <w:spacing w:line="187" w:lineRule="exact" w:before="47"/>
              <w:ind w:left="69"/>
              <w:rPr>
                <w:sz w:val="18"/>
              </w:rPr>
            </w:pPr>
            <w:r>
              <w:rPr>
                <w:sz w:val="18"/>
              </w:rPr>
              <w:t>Fuente:</w:t>
            </w:r>
            <w:r>
              <w:rPr>
                <w:spacing w:val="-5"/>
                <w:sz w:val="18"/>
              </w:rPr>
              <w:t> </w:t>
            </w:r>
            <w:r>
              <w:rPr>
                <w:sz w:val="18"/>
              </w:rPr>
              <w:t>Elaboración</w:t>
            </w:r>
            <w:r>
              <w:rPr>
                <w:spacing w:val="-3"/>
                <w:sz w:val="18"/>
              </w:rPr>
              <w:t> </w:t>
            </w:r>
            <w:r>
              <w:rPr>
                <w:sz w:val="18"/>
              </w:rPr>
              <w:t>propia</w:t>
            </w:r>
            <w:r>
              <w:rPr>
                <w:spacing w:val="-2"/>
                <w:sz w:val="18"/>
              </w:rPr>
              <w:t> </w:t>
            </w:r>
            <w:r>
              <w:rPr>
                <w:sz w:val="18"/>
              </w:rPr>
              <w:t>a</w:t>
            </w:r>
            <w:r>
              <w:rPr>
                <w:spacing w:val="-3"/>
                <w:sz w:val="18"/>
              </w:rPr>
              <w:t> </w:t>
            </w:r>
            <w:r>
              <w:rPr>
                <w:sz w:val="18"/>
              </w:rPr>
              <w:t>partir de</w:t>
            </w:r>
            <w:r>
              <w:rPr>
                <w:spacing w:val="-3"/>
                <w:sz w:val="18"/>
              </w:rPr>
              <w:t> </w:t>
            </w:r>
            <w:r>
              <w:rPr>
                <w:sz w:val="18"/>
              </w:rPr>
              <w:t>la</w:t>
            </w:r>
            <w:r>
              <w:rPr>
                <w:spacing w:val="-2"/>
                <w:sz w:val="18"/>
              </w:rPr>
              <w:t> </w:t>
            </w:r>
            <w:r>
              <w:rPr>
                <w:sz w:val="18"/>
              </w:rPr>
              <w:t>información</w:t>
            </w:r>
            <w:r>
              <w:rPr>
                <w:spacing w:val="-3"/>
                <w:sz w:val="18"/>
              </w:rPr>
              <w:t> </w:t>
            </w:r>
            <w:r>
              <w:rPr>
                <w:sz w:val="18"/>
              </w:rPr>
              <w:t>publicada</w:t>
            </w:r>
            <w:r>
              <w:rPr>
                <w:spacing w:val="-2"/>
                <w:sz w:val="18"/>
              </w:rPr>
              <w:t> </w:t>
            </w:r>
            <w:r>
              <w:rPr>
                <w:sz w:val="18"/>
              </w:rPr>
              <w:t>en</w:t>
            </w:r>
            <w:r>
              <w:rPr>
                <w:spacing w:val="-3"/>
                <w:sz w:val="18"/>
              </w:rPr>
              <w:t> </w:t>
            </w:r>
            <w:r>
              <w:rPr>
                <w:sz w:val="18"/>
              </w:rPr>
              <w:t>el</w:t>
            </w:r>
            <w:r>
              <w:rPr>
                <w:spacing w:val="-1"/>
                <w:sz w:val="18"/>
              </w:rPr>
              <w:t> </w:t>
            </w:r>
            <w:r>
              <w:rPr>
                <w:spacing w:val="-5"/>
                <w:sz w:val="18"/>
              </w:rPr>
              <w:t>INE</w:t>
            </w:r>
          </w:p>
        </w:tc>
        <w:tc>
          <w:tcPr>
            <w:tcW w:w="1608" w:type="dxa"/>
          </w:tcPr>
          <w:p>
            <w:pPr>
              <w:pStyle w:val="TableParagraph"/>
              <w:rPr>
                <w:rFonts w:ascii="Times New Roman"/>
                <w:sz w:val="18"/>
              </w:rPr>
            </w:pPr>
          </w:p>
        </w:tc>
        <w:tc>
          <w:tcPr>
            <w:tcW w:w="1098" w:type="dxa"/>
          </w:tcPr>
          <w:p>
            <w:pPr>
              <w:pStyle w:val="TableParagraph"/>
              <w:rPr>
                <w:rFonts w:ascii="Times New Roman"/>
                <w:sz w:val="18"/>
              </w:rPr>
            </w:pPr>
          </w:p>
        </w:tc>
      </w:tr>
    </w:tbl>
    <w:p>
      <w:pPr>
        <w:pStyle w:val="BodyText"/>
        <w:spacing w:before="158"/>
        <w:rPr>
          <w:b/>
        </w:rPr>
      </w:pPr>
    </w:p>
    <w:p>
      <w:pPr>
        <w:pStyle w:val="Heading5"/>
        <w:numPr>
          <w:ilvl w:val="2"/>
          <w:numId w:val="3"/>
        </w:numPr>
        <w:tabs>
          <w:tab w:pos="1679" w:val="left" w:leader="none"/>
        </w:tabs>
        <w:spacing w:line="240" w:lineRule="auto" w:before="0" w:after="0"/>
        <w:ind w:left="1679" w:right="0" w:hanging="546"/>
        <w:jc w:val="left"/>
      </w:pPr>
      <w:bookmarkStart w:name="_bookmark7" w:id="9"/>
      <w:bookmarkEnd w:id="9"/>
      <w:r>
        <w:rPr>
          <w:b w:val="0"/>
        </w:rPr>
      </w:r>
      <w:r>
        <w:rPr/>
        <w:t>Ámbito</w:t>
      </w:r>
      <w:r>
        <w:rPr>
          <w:spacing w:val="-6"/>
        </w:rPr>
        <w:t> </w:t>
      </w:r>
      <w:r>
        <w:rPr>
          <w:spacing w:val="-2"/>
        </w:rPr>
        <w:t>objetivo</w:t>
      </w:r>
    </w:p>
    <w:p>
      <w:pPr>
        <w:pStyle w:val="BodyText"/>
        <w:spacing w:before="241"/>
        <w:ind w:left="992" w:right="984"/>
        <w:jc w:val="both"/>
      </w:pPr>
      <w:r>
        <w:rPr/>
        <w:t>El ámbito objetivo está constituido por las actuaciones llevadas a cabo por las entidades locales incluidas en el ámbito subjetivo de la fiscalización para lograr una movilidad sostenible en el transporte público colectivo urbano, desde una triple perspectiva: medioambiental, social y/o económica,</w:t>
      </w:r>
      <w:r>
        <w:rPr>
          <w:spacing w:val="-6"/>
        </w:rPr>
        <w:t> </w:t>
      </w:r>
      <w:r>
        <w:rPr/>
        <w:t>estén</w:t>
      </w:r>
      <w:r>
        <w:rPr>
          <w:spacing w:val="-8"/>
        </w:rPr>
        <w:t> </w:t>
      </w:r>
      <w:r>
        <w:rPr/>
        <w:t>o</w:t>
      </w:r>
      <w:r>
        <w:rPr>
          <w:spacing w:val="-7"/>
        </w:rPr>
        <w:t> </w:t>
      </w:r>
      <w:r>
        <w:rPr/>
        <w:t>no</w:t>
      </w:r>
      <w:r>
        <w:rPr>
          <w:spacing w:val="-5"/>
        </w:rPr>
        <w:t> </w:t>
      </w:r>
      <w:r>
        <w:rPr/>
        <w:t>encuadradas</w:t>
      </w:r>
      <w:r>
        <w:rPr>
          <w:spacing w:val="-7"/>
        </w:rPr>
        <w:t> </w:t>
      </w:r>
      <w:r>
        <w:rPr/>
        <w:t>dichas</w:t>
      </w:r>
      <w:r>
        <w:rPr>
          <w:spacing w:val="-7"/>
        </w:rPr>
        <w:t> </w:t>
      </w:r>
      <w:r>
        <w:rPr/>
        <w:t>actuaciones</w:t>
      </w:r>
      <w:r>
        <w:rPr>
          <w:spacing w:val="-5"/>
        </w:rPr>
        <w:t> </w:t>
      </w:r>
      <w:r>
        <w:rPr/>
        <w:t>en</w:t>
      </w:r>
      <w:r>
        <w:rPr>
          <w:spacing w:val="-8"/>
        </w:rPr>
        <w:t> </w:t>
      </w:r>
      <w:r>
        <w:rPr/>
        <w:t>alguna</w:t>
      </w:r>
      <w:r>
        <w:rPr>
          <w:spacing w:val="-5"/>
        </w:rPr>
        <w:t> </w:t>
      </w:r>
      <w:r>
        <w:rPr/>
        <w:t>estrategia</w:t>
      </w:r>
      <w:r>
        <w:rPr>
          <w:spacing w:val="-5"/>
        </w:rPr>
        <w:t> </w:t>
      </w:r>
      <w:r>
        <w:rPr/>
        <w:t>planificadora</w:t>
      </w:r>
      <w:r>
        <w:rPr>
          <w:spacing w:val="-5"/>
        </w:rPr>
        <w:t> </w:t>
      </w:r>
      <w:r>
        <w:rPr>
          <w:rFonts w:ascii="Symbol" w:hAnsi="Symbol"/>
        </w:rPr>
        <w:t></w:t>
      </w:r>
      <w:r>
        <w:rPr/>
        <w:t>planes de movilidad urbana sostenible (PMUS) o cualquier otro documento de planificación</w:t>
      </w:r>
      <w:r>
        <w:rPr>
          <w:rFonts w:ascii="Symbol" w:hAnsi="Symbol"/>
        </w:rPr>
        <w:t></w:t>
      </w:r>
      <w:r>
        <w:rPr/>
        <w:t>.</w:t>
      </w:r>
    </w:p>
    <w:p>
      <w:pPr>
        <w:pStyle w:val="BodyText"/>
        <w:spacing w:before="108"/>
      </w:pPr>
    </w:p>
    <w:p>
      <w:pPr>
        <w:pStyle w:val="Heading5"/>
        <w:numPr>
          <w:ilvl w:val="2"/>
          <w:numId w:val="3"/>
        </w:numPr>
        <w:tabs>
          <w:tab w:pos="1679" w:val="left" w:leader="none"/>
        </w:tabs>
        <w:spacing w:line="240" w:lineRule="auto" w:before="0" w:after="0"/>
        <w:ind w:left="1679" w:right="0" w:hanging="546"/>
        <w:jc w:val="left"/>
      </w:pPr>
      <w:bookmarkStart w:name="_bookmark8" w:id="10"/>
      <w:bookmarkEnd w:id="10"/>
      <w:r>
        <w:rPr>
          <w:b w:val="0"/>
        </w:rPr>
      </w:r>
      <w:r>
        <w:rPr/>
        <w:t>Ámbito</w:t>
      </w:r>
      <w:r>
        <w:rPr>
          <w:spacing w:val="-4"/>
        </w:rPr>
        <w:t> </w:t>
      </w:r>
      <w:r>
        <w:rPr>
          <w:spacing w:val="-2"/>
        </w:rPr>
        <w:t>temporal</w:t>
      </w:r>
    </w:p>
    <w:p>
      <w:pPr>
        <w:pStyle w:val="BodyText"/>
        <w:spacing w:before="239"/>
        <w:ind w:left="992" w:right="990"/>
        <w:jc w:val="both"/>
      </w:pPr>
      <w:r>
        <w:rPr/>
        <w:t>El ámbito temporal de la fiscalización comprende los ejercicios 2023 y 2024, sin perjuicio de que puedan efectuarse comprobaciones sobre ejercicios anteriores y posteriores para la mejor consecución de los objetivos de la fiscalización. La fecha de cierre de los trabajos de fiscalización ha sido el 30 de septiembre de 2025.</w:t>
      </w:r>
    </w:p>
    <w:p>
      <w:pPr>
        <w:pStyle w:val="BodyText"/>
        <w:spacing w:before="108"/>
      </w:pPr>
    </w:p>
    <w:p>
      <w:pPr>
        <w:pStyle w:val="Heading4"/>
        <w:numPr>
          <w:ilvl w:val="1"/>
          <w:numId w:val="3"/>
        </w:numPr>
        <w:tabs>
          <w:tab w:pos="1356" w:val="left" w:leader="none"/>
        </w:tabs>
        <w:spacing w:line="240" w:lineRule="auto" w:before="0" w:after="0"/>
        <w:ind w:left="1356" w:right="0" w:hanging="364"/>
        <w:jc w:val="left"/>
      </w:pPr>
      <w:bookmarkStart w:name="_bookmark9" w:id="11"/>
      <w:bookmarkEnd w:id="11"/>
      <w:r>
        <w:rPr>
          <w:b w:val="0"/>
        </w:rPr>
      </w:r>
      <w:r>
        <w:rPr/>
        <w:t>TIPO</w:t>
      </w:r>
      <w:r>
        <w:rPr>
          <w:spacing w:val="-8"/>
        </w:rPr>
        <w:t> </w:t>
      </w:r>
      <w:r>
        <w:rPr/>
        <w:t>DE</w:t>
      </w:r>
      <w:r>
        <w:rPr>
          <w:spacing w:val="-5"/>
        </w:rPr>
        <w:t> </w:t>
      </w:r>
      <w:r>
        <w:rPr/>
        <w:t>FISCALIZACIÓN,</w:t>
      </w:r>
      <w:r>
        <w:rPr>
          <w:spacing w:val="-5"/>
        </w:rPr>
        <w:t> </w:t>
      </w:r>
      <w:r>
        <w:rPr/>
        <w:t>OBJETIVOS</w:t>
      </w:r>
      <w:r>
        <w:rPr>
          <w:spacing w:val="-4"/>
        </w:rPr>
        <w:t> </w:t>
      </w:r>
      <w:r>
        <w:rPr/>
        <w:t>Y</w:t>
      </w:r>
      <w:r>
        <w:rPr>
          <w:spacing w:val="-7"/>
        </w:rPr>
        <w:t> </w:t>
      </w:r>
      <w:r>
        <w:rPr>
          <w:spacing w:val="-2"/>
        </w:rPr>
        <w:t>PROCEDIMIENTO</w:t>
      </w:r>
    </w:p>
    <w:p>
      <w:pPr>
        <w:pStyle w:val="BodyText"/>
        <w:spacing w:before="239"/>
        <w:ind w:left="992" w:right="987"/>
        <w:jc w:val="both"/>
      </w:pPr>
      <w:r>
        <w:rPr/>
        <w:t>De</w:t>
      </w:r>
      <w:r>
        <w:rPr>
          <w:spacing w:val="-8"/>
        </w:rPr>
        <w:t> </w:t>
      </w:r>
      <w:r>
        <w:rPr/>
        <w:t>acuerdo</w:t>
      </w:r>
      <w:r>
        <w:rPr>
          <w:spacing w:val="-10"/>
        </w:rPr>
        <w:t> </w:t>
      </w:r>
      <w:r>
        <w:rPr/>
        <w:t>con</w:t>
      </w:r>
      <w:r>
        <w:rPr>
          <w:spacing w:val="-11"/>
        </w:rPr>
        <w:t> </w:t>
      </w:r>
      <w:r>
        <w:rPr/>
        <w:t>las</w:t>
      </w:r>
      <w:r>
        <w:rPr>
          <w:spacing w:val="-10"/>
        </w:rPr>
        <w:t> </w:t>
      </w:r>
      <w:r>
        <w:rPr/>
        <w:t>Normas</w:t>
      </w:r>
      <w:r>
        <w:rPr>
          <w:spacing w:val="-10"/>
        </w:rPr>
        <w:t> </w:t>
      </w:r>
      <w:r>
        <w:rPr/>
        <w:t>Técnicas</w:t>
      </w:r>
      <w:r>
        <w:rPr>
          <w:spacing w:val="-10"/>
        </w:rPr>
        <w:t> </w:t>
      </w:r>
      <w:r>
        <w:rPr/>
        <w:t>6</w:t>
      </w:r>
      <w:r>
        <w:rPr>
          <w:spacing w:val="-8"/>
        </w:rPr>
        <w:t> </w:t>
      </w:r>
      <w:r>
        <w:rPr/>
        <w:t>y</w:t>
      </w:r>
      <w:r>
        <w:rPr>
          <w:spacing w:val="-10"/>
        </w:rPr>
        <w:t> </w:t>
      </w:r>
      <w:r>
        <w:rPr/>
        <w:t>8</w:t>
      </w:r>
      <w:r>
        <w:rPr>
          <w:spacing w:val="-10"/>
        </w:rPr>
        <w:t> </w:t>
      </w:r>
      <w:r>
        <w:rPr/>
        <w:t>de</w:t>
      </w:r>
      <w:r>
        <w:rPr>
          <w:spacing w:val="-11"/>
        </w:rPr>
        <w:t> </w:t>
      </w:r>
      <w:r>
        <w:rPr/>
        <w:t>las</w:t>
      </w:r>
      <w:r>
        <w:rPr>
          <w:spacing w:val="-8"/>
        </w:rPr>
        <w:t> </w:t>
      </w:r>
      <w:r>
        <w:rPr/>
        <w:t>Normas</w:t>
      </w:r>
      <w:r>
        <w:rPr>
          <w:spacing w:val="-10"/>
        </w:rPr>
        <w:t> </w:t>
      </w:r>
      <w:r>
        <w:rPr/>
        <w:t>de</w:t>
      </w:r>
      <w:r>
        <w:rPr>
          <w:spacing w:val="-11"/>
        </w:rPr>
        <w:t> </w:t>
      </w:r>
      <w:r>
        <w:rPr/>
        <w:t>Fiscalización</w:t>
      </w:r>
      <w:r>
        <w:rPr>
          <w:spacing w:val="-8"/>
        </w:rPr>
        <w:t> </w:t>
      </w:r>
      <w:r>
        <w:rPr/>
        <w:t>del</w:t>
      </w:r>
      <w:r>
        <w:rPr>
          <w:spacing w:val="-9"/>
        </w:rPr>
        <w:t> </w:t>
      </w:r>
      <w:r>
        <w:rPr/>
        <w:t>Tribunal</w:t>
      </w:r>
      <w:r>
        <w:rPr>
          <w:spacing w:val="-9"/>
        </w:rPr>
        <w:t> </w:t>
      </w:r>
      <w:r>
        <w:rPr/>
        <w:t>de</w:t>
      </w:r>
      <w:r>
        <w:rPr>
          <w:spacing w:val="-11"/>
        </w:rPr>
        <w:t> </w:t>
      </w:r>
      <w:r>
        <w:rPr/>
        <w:t>Cuentas, la</w:t>
      </w:r>
      <w:r>
        <w:rPr>
          <w:spacing w:val="-4"/>
        </w:rPr>
        <w:t> </w:t>
      </w:r>
      <w:r>
        <w:rPr/>
        <w:t>presente</w:t>
      </w:r>
      <w:r>
        <w:rPr>
          <w:spacing w:val="-6"/>
        </w:rPr>
        <w:t> </w:t>
      </w:r>
      <w:r>
        <w:rPr/>
        <w:t>fiscalización</w:t>
      </w:r>
      <w:r>
        <w:rPr>
          <w:spacing w:val="-7"/>
        </w:rPr>
        <w:t> </w:t>
      </w:r>
      <w:r>
        <w:rPr/>
        <w:t>es</w:t>
      </w:r>
      <w:r>
        <w:rPr>
          <w:spacing w:val="-4"/>
        </w:rPr>
        <w:t> </w:t>
      </w:r>
      <w:r>
        <w:rPr/>
        <w:t>una</w:t>
      </w:r>
      <w:r>
        <w:rPr>
          <w:spacing w:val="-4"/>
        </w:rPr>
        <w:t> </w:t>
      </w:r>
      <w:r>
        <w:rPr/>
        <w:t>fiscalización</w:t>
      </w:r>
      <w:r>
        <w:rPr>
          <w:spacing w:val="-4"/>
        </w:rPr>
        <w:t> </w:t>
      </w:r>
      <w:r>
        <w:rPr/>
        <w:t>horizontal</w:t>
      </w:r>
      <w:r>
        <w:rPr>
          <w:spacing w:val="-3"/>
        </w:rPr>
        <w:t> </w:t>
      </w:r>
      <w:r>
        <w:rPr/>
        <w:t>por</w:t>
      </w:r>
      <w:r>
        <w:rPr>
          <w:spacing w:val="-3"/>
        </w:rPr>
        <w:t> </w:t>
      </w:r>
      <w:r>
        <w:rPr/>
        <w:t>abarcar</w:t>
      </w:r>
      <w:r>
        <w:rPr>
          <w:spacing w:val="-6"/>
        </w:rPr>
        <w:t> </w:t>
      </w:r>
      <w:r>
        <w:rPr/>
        <w:t>una</w:t>
      </w:r>
      <w:r>
        <w:rPr>
          <w:spacing w:val="-4"/>
        </w:rPr>
        <w:t> </w:t>
      </w:r>
      <w:r>
        <w:rPr/>
        <w:t>pluralidad</w:t>
      </w:r>
      <w:r>
        <w:rPr>
          <w:spacing w:val="-4"/>
        </w:rPr>
        <w:t> </w:t>
      </w:r>
      <w:r>
        <w:rPr/>
        <w:t>de</w:t>
      </w:r>
      <w:r>
        <w:rPr>
          <w:spacing w:val="-4"/>
        </w:rPr>
        <w:t> </w:t>
      </w:r>
      <w:r>
        <w:rPr/>
        <w:t>entidades.</w:t>
      </w:r>
      <w:r>
        <w:rPr>
          <w:spacing w:val="-5"/>
        </w:rPr>
        <w:t> </w:t>
      </w:r>
      <w:r>
        <w:rPr/>
        <w:t>En función de sus objetivos</w:t>
      </w:r>
      <w:r>
        <w:rPr>
          <w:spacing w:val="-1"/>
        </w:rPr>
        <w:t> </w:t>
      </w:r>
      <w:r>
        <w:rPr/>
        <w:t>es de cumplimiento, así como operativa o de gestión. Es de cumplimiento en la medida en que tiene como finalidad verificar si las entidades fiscalizadas cumplen con la normativa aplicable que</w:t>
      </w:r>
      <w:r>
        <w:rPr>
          <w:spacing w:val="-2"/>
        </w:rPr>
        <w:t> </w:t>
      </w:r>
      <w:r>
        <w:rPr/>
        <w:t>resulta de aplicación a las actuaciones fiscalizadas. También es</w:t>
      </w:r>
      <w:r>
        <w:rPr>
          <w:spacing w:val="-1"/>
        </w:rPr>
        <w:t> </w:t>
      </w:r>
      <w:r>
        <w:rPr/>
        <w:t>operativa pues se valorarán los sistemas y procedimientos adoptados por las entidades para la gestión, ejecución y seguimiento de las actuaciones examinadas.</w:t>
      </w:r>
    </w:p>
    <w:p>
      <w:pPr>
        <w:pStyle w:val="BodyText"/>
        <w:spacing w:before="241"/>
        <w:ind w:left="992"/>
        <w:jc w:val="both"/>
      </w:pPr>
      <w:r>
        <w:rPr/>
        <w:t>Los</w:t>
      </w:r>
      <w:r>
        <w:rPr>
          <w:spacing w:val="-5"/>
        </w:rPr>
        <w:t> </w:t>
      </w:r>
      <w:r>
        <w:rPr/>
        <w:t>objetivos</w:t>
      </w:r>
      <w:r>
        <w:rPr>
          <w:spacing w:val="-5"/>
        </w:rPr>
        <w:t> </w:t>
      </w:r>
      <w:r>
        <w:rPr/>
        <w:t>generales</w:t>
      </w:r>
      <w:r>
        <w:rPr>
          <w:spacing w:val="-6"/>
        </w:rPr>
        <w:t> </w:t>
      </w:r>
      <w:r>
        <w:rPr/>
        <w:t>de</w:t>
      </w:r>
      <w:r>
        <w:rPr>
          <w:spacing w:val="-5"/>
        </w:rPr>
        <w:t> </w:t>
      </w:r>
      <w:r>
        <w:rPr/>
        <w:t>la</w:t>
      </w:r>
      <w:r>
        <w:rPr>
          <w:spacing w:val="-5"/>
        </w:rPr>
        <w:t> </w:t>
      </w:r>
      <w:r>
        <w:rPr/>
        <w:t>fiscalización</w:t>
      </w:r>
      <w:r>
        <w:rPr>
          <w:spacing w:val="-5"/>
        </w:rPr>
        <w:t> </w:t>
      </w:r>
      <w:r>
        <w:rPr/>
        <w:t>son</w:t>
      </w:r>
      <w:r>
        <w:rPr>
          <w:spacing w:val="-6"/>
        </w:rPr>
        <w:t> </w:t>
      </w:r>
      <w:r>
        <w:rPr/>
        <w:t>los</w:t>
      </w:r>
      <w:r>
        <w:rPr>
          <w:spacing w:val="-5"/>
        </w:rPr>
        <w:t> </w:t>
      </w:r>
      <w:r>
        <w:rPr>
          <w:spacing w:val="-2"/>
        </w:rPr>
        <w:t>siguientes: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4"/>
      </w:pPr>
    </w:p>
    <w:p>
      <w:pPr>
        <w:pStyle w:val="Heading4"/>
        <w:ind w:left="1477" w:right="1477"/>
      </w:pPr>
      <w:bookmarkStart w:name="_bookmark10" w:id="12"/>
      <w:bookmarkEnd w:id="12"/>
      <w:r>
        <w:rPr>
          <w:b w:val="0"/>
        </w:rPr>
      </w:r>
      <w:r>
        <w:rPr/>
        <w:t>CUADRO</w:t>
      </w:r>
      <w:r>
        <w:rPr>
          <w:spacing w:val="-3"/>
        </w:rPr>
        <w:t> </w:t>
      </w:r>
      <w:r>
        <w:rPr/>
        <w:t>3.</w:t>
      </w:r>
      <w:r>
        <w:rPr>
          <w:spacing w:val="-6"/>
        </w:rPr>
        <w:t> </w:t>
      </w:r>
      <w:r>
        <w:rPr/>
        <w:t>OBJETIVOS</w:t>
      </w:r>
      <w:r>
        <w:rPr>
          <w:spacing w:val="-5"/>
        </w:rPr>
        <w:t> </w:t>
      </w:r>
      <w:r>
        <w:rPr/>
        <w:t>DE</w:t>
      </w:r>
      <w:r>
        <w:rPr>
          <w:spacing w:val="-5"/>
        </w:rPr>
        <w:t> </w:t>
      </w:r>
      <w:r>
        <w:rPr/>
        <w:t>LA</w:t>
      </w:r>
      <w:r>
        <w:rPr>
          <w:spacing w:val="-5"/>
        </w:rPr>
        <w:t> </w:t>
      </w:r>
      <w:r>
        <w:rPr>
          <w:spacing w:val="-2"/>
        </w:rPr>
        <w:t>FISCALIZACIÓN</w:t>
      </w:r>
    </w:p>
    <w:p>
      <w:pPr>
        <w:pStyle w:val="BodyText"/>
        <w:rPr>
          <w:b/>
          <w:sz w:val="20"/>
        </w:rPr>
      </w:pPr>
    </w:p>
    <w:p>
      <w:pPr>
        <w:pStyle w:val="BodyText"/>
        <w:spacing w:before="76"/>
        <w:rPr>
          <w:b/>
          <w:sz w:val="20"/>
        </w:rPr>
      </w:pPr>
    </w:p>
    <w:p>
      <w:pPr>
        <w:pStyle w:val="BodyText"/>
        <w:spacing w:after="0"/>
        <w:rPr>
          <w:b/>
          <w:sz w:val="20"/>
        </w:rPr>
        <w:sectPr>
          <w:pgSz w:w="11910" w:h="16840"/>
          <w:pgMar w:header="1227" w:footer="839" w:top="1420" w:bottom="1020" w:left="141" w:right="141"/>
        </w:sectPr>
      </w:pPr>
    </w:p>
    <w:p>
      <w:pPr>
        <w:spacing w:line="259" w:lineRule="auto" w:before="99"/>
        <w:ind w:left="2252" w:right="0" w:firstLine="0"/>
        <w:jc w:val="left"/>
        <w:rPr>
          <w:rFonts w:ascii="Arial Narrow"/>
          <w:sz w:val="20"/>
        </w:rPr>
      </w:pPr>
      <w:r>
        <w:rPr>
          <w:rFonts w:ascii="Arial Narrow"/>
          <w:sz w:val="20"/>
        </w:rPr>
        <mc:AlternateContent>
          <mc:Choice Requires="wps">
            <w:drawing>
              <wp:anchor distT="0" distB="0" distL="0" distR="0" allowOverlap="1" layoutInCell="1" locked="0" behindDoc="1" simplePos="0" relativeHeight="474272768">
                <wp:simplePos x="0" y="0"/>
                <wp:positionH relativeFrom="page">
                  <wp:posOffset>735330</wp:posOffset>
                </wp:positionH>
                <wp:positionV relativeFrom="paragraph">
                  <wp:posOffset>-118905</wp:posOffset>
                </wp:positionV>
                <wp:extent cx="6072505" cy="3828415"/>
                <wp:effectExtent l="0" t="0" r="0" b="0"/>
                <wp:wrapNone/>
                <wp:docPr id="45" name="Group 45"/>
                <wp:cNvGraphicFramePr>
                  <a:graphicFrameLocks/>
                </wp:cNvGraphicFramePr>
                <a:graphic>
                  <a:graphicData uri="http://schemas.microsoft.com/office/word/2010/wordprocessingGroup">
                    <wpg:wgp>
                      <wpg:cNvPr id="45" name="Group 45"/>
                      <wpg:cNvGrpSpPr/>
                      <wpg:grpSpPr>
                        <a:xfrm>
                          <a:off x="0" y="0"/>
                          <a:ext cx="6072505" cy="3828415"/>
                          <a:chExt cx="6072505" cy="3828415"/>
                        </a:xfrm>
                      </wpg:grpSpPr>
                      <wps:wsp>
                        <wps:cNvPr id="46" name="Graphic 46"/>
                        <wps:cNvSpPr/>
                        <wps:spPr>
                          <a:xfrm>
                            <a:off x="6350" y="6350"/>
                            <a:ext cx="6059805" cy="3815715"/>
                          </a:xfrm>
                          <a:custGeom>
                            <a:avLst/>
                            <a:gdLst/>
                            <a:ahLst/>
                            <a:cxnLst/>
                            <a:rect l="l" t="t" r="r" b="b"/>
                            <a:pathLst>
                              <a:path w="6059805" h="3815715">
                                <a:moveTo>
                                  <a:pt x="0" y="97662"/>
                                </a:moveTo>
                                <a:lnTo>
                                  <a:pt x="7679" y="59632"/>
                                </a:lnTo>
                                <a:lnTo>
                                  <a:pt x="28622" y="28590"/>
                                </a:lnTo>
                                <a:lnTo>
                                  <a:pt x="59686" y="7669"/>
                                </a:lnTo>
                                <a:lnTo>
                                  <a:pt x="97726" y="0"/>
                                </a:lnTo>
                                <a:lnTo>
                                  <a:pt x="5962142" y="0"/>
                                </a:lnTo>
                                <a:lnTo>
                                  <a:pt x="6000118" y="7669"/>
                                </a:lnTo>
                                <a:lnTo>
                                  <a:pt x="6031166" y="28590"/>
                                </a:lnTo>
                                <a:lnTo>
                                  <a:pt x="6052117" y="59632"/>
                                </a:lnTo>
                                <a:lnTo>
                                  <a:pt x="6059805" y="97662"/>
                                </a:lnTo>
                                <a:lnTo>
                                  <a:pt x="6059805" y="3717924"/>
                                </a:lnTo>
                                <a:lnTo>
                                  <a:pt x="6052117" y="3755975"/>
                                </a:lnTo>
                                <a:lnTo>
                                  <a:pt x="6031166" y="3787060"/>
                                </a:lnTo>
                                <a:lnTo>
                                  <a:pt x="6000118" y="3808025"/>
                                </a:lnTo>
                                <a:lnTo>
                                  <a:pt x="5962142" y="3815714"/>
                                </a:lnTo>
                                <a:lnTo>
                                  <a:pt x="97726" y="3815714"/>
                                </a:lnTo>
                                <a:lnTo>
                                  <a:pt x="59686" y="3808025"/>
                                </a:lnTo>
                                <a:lnTo>
                                  <a:pt x="28622" y="3787060"/>
                                </a:lnTo>
                                <a:lnTo>
                                  <a:pt x="7679" y="3755975"/>
                                </a:lnTo>
                                <a:lnTo>
                                  <a:pt x="0" y="3717924"/>
                                </a:lnTo>
                                <a:lnTo>
                                  <a:pt x="0" y="97662"/>
                                </a:lnTo>
                                <a:close/>
                              </a:path>
                            </a:pathLst>
                          </a:custGeom>
                          <a:ln w="12700">
                            <a:solidFill>
                              <a:srgbClr val="436C92"/>
                            </a:solidFill>
                            <a:prstDash val="solid"/>
                          </a:ln>
                        </wps:spPr>
                        <wps:bodyPr wrap="square" lIns="0" tIns="0" rIns="0" bIns="0" rtlCol="0">
                          <a:prstTxWarp prst="textNoShape">
                            <a:avLst/>
                          </a:prstTxWarp>
                          <a:noAutofit/>
                        </wps:bodyPr>
                      </wps:wsp>
                      <pic:pic>
                        <pic:nvPicPr>
                          <pic:cNvPr id="47" name="Image 47"/>
                          <pic:cNvPicPr/>
                        </pic:nvPicPr>
                        <pic:blipFill>
                          <a:blip r:embed="rId34" cstate="print"/>
                          <a:stretch>
                            <a:fillRect/>
                          </a:stretch>
                        </pic:blipFill>
                        <pic:spPr>
                          <a:xfrm>
                            <a:off x="108958" y="72078"/>
                            <a:ext cx="5655578" cy="615965"/>
                          </a:xfrm>
                          <a:prstGeom prst="rect">
                            <a:avLst/>
                          </a:prstGeom>
                        </pic:spPr>
                      </pic:pic>
                      <wps:wsp>
                        <wps:cNvPr id="48" name="Graphic 48"/>
                        <wps:cNvSpPr/>
                        <wps:spPr>
                          <a:xfrm>
                            <a:off x="125882" y="80886"/>
                            <a:ext cx="5572125" cy="540385"/>
                          </a:xfrm>
                          <a:custGeom>
                            <a:avLst/>
                            <a:gdLst/>
                            <a:ahLst/>
                            <a:cxnLst/>
                            <a:rect l="l" t="t" r="r" b="b"/>
                            <a:pathLst>
                              <a:path w="5572125" h="540385">
                                <a:moveTo>
                                  <a:pt x="5571998" y="0"/>
                                </a:moveTo>
                                <a:lnTo>
                                  <a:pt x="0" y="0"/>
                                </a:lnTo>
                                <a:lnTo>
                                  <a:pt x="0" y="539889"/>
                                </a:lnTo>
                                <a:lnTo>
                                  <a:pt x="5571998" y="539889"/>
                                </a:lnTo>
                                <a:lnTo>
                                  <a:pt x="5571998" y="0"/>
                                </a:lnTo>
                                <a:close/>
                              </a:path>
                            </a:pathLst>
                          </a:custGeom>
                          <a:solidFill>
                            <a:srgbClr val="436C92"/>
                          </a:solidFill>
                        </wps:spPr>
                        <wps:bodyPr wrap="square" lIns="0" tIns="0" rIns="0" bIns="0" rtlCol="0">
                          <a:prstTxWarp prst="textNoShape">
                            <a:avLst/>
                          </a:prstTxWarp>
                          <a:noAutofit/>
                        </wps:bodyPr>
                      </wps:wsp>
                      <pic:pic>
                        <pic:nvPicPr>
                          <pic:cNvPr id="49" name="Image 49"/>
                          <pic:cNvPicPr/>
                        </pic:nvPicPr>
                        <pic:blipFill>
                          <a:blip r:embed="rId35" cstate="print"/>
                          <a:stretch>
                            <a:fillRect/>
                          </a:stretch>
                        </pic:blipFill>
                        <pic:spPr>
                          <a:xfrm>
                            <a:off x="4237482" y="157632"/>
                            <a:ext cx="1725167" cy="473938"/>
                          </a:xfrm>
                          <a:prstGeom prst="rect">
                            <a:avLst/>
                          </a:prstGeom>
                        </pic:spPr>
                      </pic:pic>
                      <wps:wsp>
                        <wps:cNvPr id="50" name="Graphic 50"/>
                        <wps:cNvSpPr/>
                        <wps:spPr>
                          <a:xfrm>
                            <a:off x="4272660" y="189737"/>
                            <a:ext cx="1605915" cy="360045"/>
                          </a:xfrm>
                          <a:custGeom>
                            <a:avLst/>
                            <a:gdLst/>
                            <a:ahLst/>
                            <a:cxnLst/>
                            <a:rect l="l" t="t" r="r" b="b"/>
                            <a:pathLst>
                              <a:path w="1605915" h="360045">
                                <a:moveTo>
                                  <a:pt x="1605914" y="0"/>
                                </a:moveTo>
                                <a:lnTo>
                                  <a:pt x="89916" y="0"/>
                                </a:lnTo>
                                <a:lnTo>
                                  <a:pt x="0" y="359918"/>
                                </a:lnTo>
                                <a:lnTo>
                                  <a:pt x="1515872" y="359918"/>
                                </a:lnTo>
                                <a:lnTo>
                                  <a:pt x="1605914" y="0"/>
                                </a:lnTo>
                                <a:close/>
                              </a:path>
                            </a:pathLst>
                          </a:custGeom>
                          <a:solidFill>
                            <a:srgbClr val="FFFFFF"/>
                          </a:solidFill>
                        </wps:spPr>
                        <wps:bodyPr wrap="square" lIns="0" tIns="0" rIns="0" bIns="0" rtlCol="0">
                          <a:prstTxWarp prst="textNoShape">
                            <a:avLst/>
                          </a:prstTxWarp>
                          <a:noAutofit/>
                        </wps:bodyPr>
                      </wps:wsp>
                      <wps:wsp>
                        <wps:cNvPr id="51" name="Graphic 51"/>
                        <wps:cNvSpPr/>
                        <wps:spPr>
                          <a:xfrm>
                            <a:off x="4272660" y="189737"/>
                            <a:ext cx="1605915" cy="360045"/>
                          </a:xfrm>
                          <a:custGeom>
                            <a:avLst/>
                            <a:gdLst/>
                            <a:ahLst/>
                            <a:cxnLst/>
                            <a:rect l="l" t="t" r="r" b="b"/>
                            <a:pathLst>
                              <a:path w="1605915" h="360045">
                                <a:moveTo>
                                  <a:pt x="0" y="359918"/>
                                </a:moveTo>
                                <a:lnTo>
                                  <a:pt x="89916" y="0"/>
                                </a:lnTo>
                                <a:lnTo>
                                  <a:pt x="1605914" y="0"/>
                                </a:lnTo>
                                <a:lnTo>
                                  <a:pt x="1515872" y="359918"/>
                                </a:lnTo>
                                <a:lnTo>
                                  <a:pt x="0" y="359918"/>
                                </a:lnTo>
                                <a:close/>
                              </a:path>
                            </a:pathLst>
                          </a:custGeom>
                          <a:ln w="12700">
                            <a:solidFill>
                              <a:srgbClr val="FFFFFF"/>
                            </a:solidFill>
                            <a:prstDash val="solid"/>
                          </a:ln>
                        </wps:spPr>
                        <wps:bodyPr wrap="square" lIns="0" tIns="0" rIns="0" bIns="0" rtlCol="0">
                          <a:prstTxWarp prst="textNoShape">
                            <a:avLst/>
                          </a:prstTxWarp>
                          <a:noAutofit/>
                        </wps:bodyPr>
                      </wps:wsp>
                      <wps:wsp>
                        <wps:cNvPr id="52" name="Graphic 52"/>
                        <wps:cNvSpPr/>
                        <wps:spPr>
                          <a:xfrm>
                            <a:off x="217196" y="133872"/>
                            <a:ext cx="393700" cy="391160"/>
                          </a:xfrm>
                          <a:custGeom>
                            <a:avLst/>
                            <a:gdLst/>
                            <a:ahLst/>
                            <a:cxnLst/>
                            <a:rect l="l" t="t" r="r" b="b"/>
                            <a:pathLst>
                              <a:path w="393700" h="391160">
                                <a:moveTo>
                                  <a:pt x="197005" y="0"/>
                                </a:moveTo>
                                <a:lnTo>
                                  <a:pt x="151656" y="5177"/>
                                </a:lnTo>
                                <a:lnTo>
                                  <a:pt x="110228" y="19891"/>
                                </a:lnTo>
                                <a:lnTo>
                                  <a:pt x="73692" y="42967"/>
                                </a:lnTo>
                                <a:lnTo>
                                  <a:pt x="43222" y="73232"/>
                                </a:lnTo>
                                <a:lnTo>
                                  <a:pt x="19998" y="109514"/>
                                </a:lnTo>
                                <a:lnTo>
                                  <a:pt x="5197" y="150637"/>
                                </a:lnTo>
                                <a:lnTo>
                                  <a:pt x="0" y="195428"/>
                                </a:lnTo>
                                <a:lnTo>
                                  <a:pt x="5198" y="240238"/>
                                </a:lnTo>
                                <a:lnTo>
                                  <a:pt x="20007" y="281373"/>
                                </a:lnTo>
                                <a:lnTo>
                                  <a:pt x="43243" y="317658"/>
                                </a:lnTo>
                                <a:lnTo>
                                  <a:pt x="73725" y="347922"/>
                                </a:lnTo>
                                <a:lnTo>
                                  <a:pt x="110271" y="370991"/>
                                </a:lnTo>
                                <a:lnTo>
                                  <a:pt x="151700" y="385692"/>
                                </a:lnTo>
                                <a:lnTo>
                                  <a:pt x="196828" y="390854"/>
                                </a:lnTo>
                                <a:lnTo>
                                  <a:pt x="241961" y="385693"/>
                                </a:lnTo>
                                <a:lnTo>
                                  <a:pt x="256418" y="380563"/>
                                </a:lnTo>
                                <a:lnTo>
                                  <a:pt x="196833" y="380562"/>
                                </a:lnTo>
                                <a:lnTo>
                                  <a:pt x="147263" y="373949"/>
                                </a:lnTo>
                                <a:lnTo>
                                  <a:pt x="102721" y="355286"/>
                                </a:lnTo>
                                <a:lnTo>
                                  <a:pt x="64983" y="326338"/>
                                </a:lnTo>
                                <a:lnTo>
                                  <a:pt x="35827" y="288869"/>
                                </a:lnTo>
                                <a:lnTo>
                                  <a:pt x="17030" y="244644"/>
                                </a:lnTo>
                                <a:lnTo>
                                  <a:pt x="10369" y="195428"/>
                                </a:lnTo>
                                <a:lnTo>
                                  <a:pt x="17073" y="146237"/>
                                </a:lnTo>
                                <a:lnTo>
                                  <a:pt x="35889" y="102036"/>
                                </a:lnTo>
                                <a:lnTo>
                                  <a:pt x="65044" y="64583"/>
                                </a:lnTo>
                                <a:lnTo>
                                  <a:pt x="102768" y="35635"/>
                                </a:lnTo>
                                <a:lnTo>
                                  <a:pt x="147288" y="16952"/>
                                </a:lnTo>
                                <a:lnTo>
                                  <a:pt x="196833" y="10291"/>
                                </a:lnTo>
                                <a:lnTo>
                                  <a:pt x="256503" y="10291"/>
                                </a:lnTo>
                                <a:lnTo>
                                  <a:pt x="242114" y="5177"/>
                                </a:lnTo>
                                <a:lnTo>
                                  <a:pt x="197005" y="0"/>
                                </a:lnTo>
                                <a:close/>
                              </a:path>
                              <a:path w="393700" h="391160">
                                <a:moveTo>
                                  <a:pt x="256503" y="10291"/>
                                </a:moveTo>
                                <a:lnTo>
                                  <a:pt x="196833" y="10291"/>
                                </a:lnTo>
                                <a:lnTo>
                                  <a:pt x="246762" y="16952"/>
                                </a:lnTo>
                                <a:lnTo>
                                  <a:pt x="246517" y="16952"/>
                                </a:lnTo>
                                <a:lnTo>
                                  <a:pt x="291034" y="35636"/>
                                </a:lnTo>
                                <a:lnTo>
                                  <a:pt x="328736" y="64583"/>
                                </a:lnTo>
                                <a:lnTo>
                                  <a:pt x="357863" y="102037"/>
                                </a:lnTo>
                                <a:lnTo>
                                  <a:pt x="376643" y="146238"/>
                                </a:lnTo>
                                <a:lnTo>
                                  <a:pt x="383301" y="195429"/>
                                </a:lnTo>
                                <a:lnTo>
                                  <a:pt x="376640" y="244645"/>
                                </a:lnTo>
                                <a:lnTo>
                                  <a:pt x="357842" y="288870"/>
                                </a:lnTo>
                                <a:lnTo>
                                  <a:pt x="328685" y="326338"/>
                                </a:lnTo>
                                <a:lnTo>
                                  <a:pt x="290946" y="355286"/>
                                </a:lnTo>
                                <a:lnTo>
                                  <a:pt x="246403" y="373949"/>
                                </a:lnTo>
                                <a:lnTo>
                                  <a:pt x="196833" y="380562"/>
                                </a:lnTo>
                                <a:lnTo>
                                  <a:pt x="256418" y="380563"/>
                                </a:lnTo>
                                <a:lnTo>
                                  <a:pt x="319939" y="347922"/>
                                </a:lnTo>
                                <a:lnTo>
                                  <a:pt x="350422" y="317658"/>
                                </a:lnTo>
                                <a:lnTo>
                                  <a:pt x="373659" y="281373"/>
                                </a:lnTo>
                                <a:lnTo>
                                  <a:pt x="388467" y="240239"/>
                                </a:lnTo>
                                <a:lnTo>
                                  <a:pt x="393666" y="195429"/>
                                </a:lnTo>
                                <a:lnTo>
                                  <a:pt x="388488" y="150637"/>
                                </a:lnTo>
                                <a:lnTo>
                                  <a:pt x="373703" y="109514"/>
                                </a:lnTo>
                                <a:lnTo>
                                  <a:pt x="350494" y="73233"/>
                                </a:lnTo>
                                <a:lnTo>
                                  <a:pt x="320038" y="42967"/>
                                </a:lnTo>
                                <a:lnTo>
                                  <a:pt x="283518" y="19891"/>
                                </a:lnTo>
                                <a:lnTo>
                                  <a:pt x="256503" y="10291"/>
                                </a:lnTo>
                                <a:close/>
                              </a:path>
                            </a:pathLst>
                          </a:custGeom>
                          <a:solidFill>
                            <a:srgbClr val="FFFFFF"/>
                          </a:solidFill>
                        </wps:spPr>
                        <wps:bodyPr wrap="square" lIns="0" tIns="0" rIns="0" bIns="0" rtlCol="0">
                          <a:prstTxWarp prst="textNoShape">
                            <a:avLst/>
                          </a:prstTxWarp>
                          <a:noAutofit/>
                        </wps:bodyPr>
                      </wps:wsp>
                      <wps:wsp>
                        <wps:cNvPr id="53" name="Graphic 53"/>
                        <wps:cNvSpPr/>
                        <wps:spPr>
                          <a:xfrm>
                            <a:off x="217196" y="133872"/>
                            <a:ext cx="393700" cy="391160"/>
                          </a:xfrm>
                          <a:custGeom>
                            <a:avLst/>
                            <a:gdLst/>
                            <a:ahLst/>
                            <a:cxnLst/>
                            <a:rect l="l" t="t" r="r" b="b"/>
                            <a:pathLst>
                              <a:path w="393700" h="391160">
                                <a:moveTo>
                                  <a:pt x="196833" y="10291"/>
                                </a:moveTo>
                                <a:lnTo>
                                  <a:pt x="246402" y="16904"/>
                                </a:lnTo>
                                <a:lnTo>
                                  <a:pt x="290946" y="35568"/>
                                </a:lnTo>
                                <a:lnTo>
                                  <a:pt x="328685" y="64517"/>
                                </a:lnTo>
                                <a:lnTo>
                                  <a:pt x="357842" y="101987"/>
                                </a:lnTo>
                                <a:lnTo>
                                  <a:pt x="376640" y="146213"/>
                                </a:lnTo>
                                <a:lnTo>
                                  <a:pt x="383301" y="195429"/>
                                </a:lnTo>
                                <a:lnTo>
                                  <a:pt x="376640" y="244645"/>
                                </a:lnTo>
                                <a:lnTo>
                                  <a:pt x="357842" y="288870"/>
                                </a:lnTo>
                                <a:lnTo>
                                  <a:pt x="328685" y="326338"/>
                                </a:lnTo>
                                <a:lnTo>
                                  <a:pt x="290946" y="355287"/>
                                </a:lnTo>
                                <a:lnTo>
                                  <a:pt x="246403" y="373949"/>
                                </a:lnTo>
                                <a:lnTo>
                                  <a:pt x="196833" y="380562"/>
                                </a:lnTo>
                                <a:lnTo>
                                  <a:pt x="147263" y="373949"/>
                                </a:lnTo>
                                <a:lnTo>
                                  <a:pt x="102721" y="355286"/>
                                </a:lnTo>
                                <a:lnTo>
                                  <a:pt x="64983" y="326338"/>
                                </a:lnTo>
                                <a:lnTo>
                                  <a:pt x="35827" y="288869"/>
                                </a:lnTo>
                                <a:lnTo>
                                  <a:pt x="17030" y="244645"/>
                                </a:lnTo>
                                <a:lnTo>
                                  <a:pt x="10369" y="195428"/>
                                </a:lnTo>
                                <a:lnTo>
                                  <a:pt x="17073" y="146237"/>
                                </a:lnTo>
                                <a:lnTo>
                                  <a:pt x="35889" y="102036"/>
                                </a:lnTo>
                                <a:lnTo>
                                  <a:pt x="65044" y="64583"/>
                                </a:lnTo>
                                <a:lnTo>
                                  <a:pt x="102768" y="35635"/>
                                </a:lnTo>
                                <a:lnTo>
                                  <a:pt x="147288" y="16952"/>
                                </a:lnTo>
                                <a:lnTo>
                                  <a:pt x="196833" y="10291"/>
                                </a:lnTo>
                              </a:path>
                              <a:path w="393700" h="391160">
                                <a:moveTo>
                                  <a:pt x="196833" y="0"/>
                                </a:moveTo>
                                <a:lnTo>
                                  <a:pt x="151701" y="5161"/>
                                </a:lnTo>
                                <a:lnTo>
                                  <a:pt x="110271" y="19864"/>
                                </a:lnTo>
                                <a:lnTo>
                                  <a:pt x="73725" y="42934"/>
                                </a:lnTo>
                                <a:lnTo>
                                  <a:pt x="43243" y="73199"/>
                                </a:lnTo>
                                <a:lnTo>
                                  <a:pt x="20008" y="109485"/>
                                </a:lnTo>
                                <a:lnTo>
                                  <a:pt x="5199" y="150620"/>
                                </a:lnTo>
                                <a:lnTo>
                                  <a:pt x="0" y="195428"/>
                                </a:lnTo>
                                <a:lnTo>
                                  <a:pt x="5198" y="240237"/>
                                </a:lnTo>
                                <a:lnTo>
                                  <a:pt x="20006" y="281371"/>
                                </a:lnTo>
                                <a:lnTo>
                                  <a:pt x="43241" y="317656"/>
                                </a:lnTo>
                                <a:lnTo>
                                  <a:pt x="73723" y="347920"/>
                                </a:lnTo>
                                <a:lnTo>
                                  <a:pt x="110269" y="370990"/>
                                </a:lnTo>
                                <a:lnTo>
                                  <a:pt x="151698" y="385692"/>
                                </a:lnTo>
                                <a:lnTo>
                                  <a:pt x="196828" y="390854"/>
                                </a:lnTo>
                                <a:lnTo>
                                  <a:pt x="241961" y="385693"/>
                                </a:lnTo>
                                <a:lnTo>
                                  <a:pt x="283392" y="370991"/>
                                </a:lnTo>
                                <a:lnTo>
                                  <a:pt x="319939" y="347922"/>
                                </a:lnTo>
                                <a:lnTo>
                                  <a:pt x="350422" y="317658"/>
                                </a:lnTo>
                                <a:lnTo>
                                  <a:pt x="373659" y="281373"/>
                                </a:lnTo>
                                <a:lnTo>
                                  <a:pt x="388467" y="240239"/>
                                </a:lnTo>
                                <a:lnTo>
                                  <a:pt x="393666" y="195429"/>
                                </a:lnTo>
                                <a:lnTo>
                                  <a:pt x="388488" y="150637"/>
                                </a:lnTo>
                                <a:lnTo>
                                  <a:pt x="373703" y="109514"/>
                                </a:lnTo>
                                <a:lnTo>
                                  <a:pt x="350494" y="73233"/>
                                </a:lnTo>
                                <a:lnTo>
                                  <a:pt x="320038" y="42967"/>
                                </a:lnTo>
                                <a:lnTo>
                                  <a:pt x="283518" y="19891"/>
                                </a:lnTo>
                                <a:lnTo>
                                  <a:pt x="242114" y="5177"/>
                                </a:lnTo>
                                <a:lnTo>
                                  <a:pt x="197005" y="0"/>
                                </a:lnTo>
                                <a:lnTo>
                                  <a:pt x="196833" y="0"/>
                                </a:lnTo>
                                <a:close/>
                              </a:path>
                            </a:pathLst>
                          </a:custGeom>
                          <a:ln w="10661">
                            <a:solidFill>
                              <a:srgbClr val="FFFFFF"/>
                            </a:solidFill>
                            <a:prstDash val="solid"/>
                          </a:ln>
                        </wps:spPr>
                        <wps:bodyPr wrap="square" lIns="0" tIns="0" rIns="0" bIns="0" rtlCol="0">
                          <a:prstTxWarp prst="textNoShape">
                            <a:avLst/>
                          </a:prstTxWarp>
                          <a:noAutofit/>
                        </wps:bodyPr>
                      </wps:wsp>
                      <pic:pic>
                        <pic:nvPicPr>
                          <pic:cNvPr id="54" name="Image 54"/>
                          <pic:cNvPicPr/>
                        </pic:nvPicPr>
                        <pic:blipFill>
                          <a:blip r:embed="rId36" cstate="print"/>
                          <a:stretch>
                            <a:fillRect/>
                          </a:stretch>
                        </pic:blipFill>
                        <pic:spPr>
                          <a:xfrm>
                            <a:off x="368860" y="231270"/>
                            <a:ext cx="64276" cy="184013"/>
                          </a:xfrm>
                          <a:prstGeom prst="rect">
                            <a:avLst/>
                          </a:prstGeom>
                        </pic:spPr>
                      </pic:pic>
                      <pic:pic>
                        <pic:nvPicPr>
                          <pic:cNvPr id="55" name="Image 55"/>
                          <pic:cNvPicPr/>
                        </pic:nvPicPr>
                        <pic:blipFill>
                          <a:blip r:embed="rId37" cstate="print"/>
                          <a:stretch>
                            <a:fillRect/>
                          </a:stretch>
                        </pic:blipFill>
                        <pic:spPr>
                          <a:xfrm>
                            <a:off x="99822" y="681837"/>
                            <a:ext cx="5652516" cy="641629"/>
                          </a:xfrm>
                          <a:prstGeom prst="rect">
                            <a:avLst/>
                          </a:prstGeom>
                        </pic:spPr>
                      </pic:pic>
                      <wps:wsp>
                        <wps:cNvPr id="56" name="Graphic 56"/>
                        <wps:cNvSpPr/>
                        <wps:spPr>
                          <a:xfrm>
                            <a:off x="125971" y="708469"/>
                            <a:ext cx="5551170" cy="540385"/>
                          </a:xfrm>
                          <a:custGeom>
                            <a:avLst/>
                            <a:gdLst/>
                            <a:ahLst/>
                            <a:cxnLst/>
                            <a:rect l="l" t="t" r="r" b="b"/>
                            <a:pathLst>
                              <a:path w="5551170" h="540385">
                                <a:moveTo>
                                  <a:pt x="5551170" y="0"/>
                                </a:moveTo>
                                <a:lnTo>
                                  <a:pt x="0" y="0"/>
                                </a:lnTo>
                                <a:lnTo>
                                  <a:pt x="0" y="539940"/>
                                </a:lnTo>
                                <a:lnTo>
                                  <a:pt x="5551170" y="539940"/>
                                </a:lnTo>
                                <a:lnTo>
                                  <a:pt x="5551170" y="0"/>
                                </a:lnTo>
                                <a:close/>
                              </a:path>
                            </a:pathLst>
                          </a:custGeom>
                          <a:solidFill>
                            <a:srgbClr val="436C92"/>
                          </a:solidFill>
                        </wps:spPr>
                        <wps:bodyPr wrap="square" lIns="0" tIns="0" rIns="0" bIns="0" rtlCol="0">
                          <a:prstTxWarp prst="textNoShape">
                            <a:avLst/>
                          </a:prstTxWarp>
                          <a:noAutofit/>
                        </wps:bodyPr>
                      </wps:wsp>
                      <pic:pic>
                        <pic:nvPicPr>
                          <pic:cNvPr id="57" name="Image 57"/>
                          <pic:cNvPicPr/>
                        </pic:nvPicPr>
                        <pic:blipFill>
                          <a:blip r:embed="rId38" cstate="print"/>
                          <a:stretch>
                            <a:fillRect/>
                          </a:stretch>
                        </pic:blipFill>
                        <pic:spPr>
                          <a:xfrm>
                            <a:off x="4202429" y="770216"/>
                            <a:ext cx="1723643" cy="475526"/>
                          </a:xfrm>
                          <a:prstGeom prst="rect">
                            <a:avLst/>
                          </a:prstGeom>
                        </pic:spPr>
                      </pic:pic>
                      <wps:wsp>
                        <wps:cNvPr id="58" name="Graphic 58"/>
                        <wps:cNvSpPr/>
                        <wps:spPr>
                          <a:xfrm>
                            <a:off x="4237482" y="803148"/>
                            <a:ext cx="1605915" cy="360045"/>
                          </a:xfrm>
                          <a:custGeom>
                            <a:avLst/>
                            <a:gdLst/>
                            <a:ahLst/>
                            <a:cxnLst/>
                            <a:rect l="l" t="t" r="r" b="b"/>
                            <a:pathLst>
                              <a:path w="1605915" h="360045">
                                <a:moveTo>
                                  <a:pt x="1605407" y="0"/>
                                </a:moveTo>
                                <a:lnTo>
                                  <a:pt x="89915" y="0"/>
                                </a:lnTo>
                                <a:lnTo>
                                  <a:pt x="0" y="359917"/>
                                </a:lnTo>
                                <a:lnTo>
                                  <a:pt x="1515490" y="359917"/>
                                </a:lnTo>
                                <a:lnTo>
                                  <a:pt x="1605407" y="0"/>
                                </a:lnTo>
                                <a:close/>
                              </a:path>
                            </a:pathLst>
                          </a:custGeom>
                          <a:solidFill>
                            <a:srgbClr val="FFFFFF"/>
                          </a:solidFill>
                        </wps:spPr>
                        <wps:bodyPr wrap="square" lIns="0" tIns="0" rIns="0" bIns="0" rtlCol="0">
                          <a:prstTxWarp prst="textNoShape">
                            <a:avLst/>
                          </a:prstTxWarp>
                          <a:noAutofit/>
                        </wps:bodyPr>
                      </wps:wsp>
                      <wps:wsp>
                        <wps:cNvPr id="59" name="Graphic 59"/>
                        <wps:cNvSpPr/>
                        <wps:spPr>
                          <a:xfrm>
                            <a:off x="4237482" y="803148"/>
                            <a:ext cx="1605915" cy="360045"/>
                          </a:xfrm>
                          <a:custGeom>
                            <a:avLst/>
                            <a:gdLst/>
                            <a:ahLst/>
                            <a:cxnLst/>
                            <a:rect l="l" t="t" r="r" b="b"/>
                            <a:pathLst>
                              <a:path w="1605915" h="360045">
                                <a:moveTo>
                                  <a:pt x="0" y="359917"/>
                                </a:moveTo>
                                <a:lnTo>
                                  <a:pt x="89915" y="0"/>
                                </a:lnTo>
                                <a:lnTo>
                                  <a:pt x="1605407" y="0"/>
                                </a:lnTo>
                                <a:lnTo>
                                  <a:pt x="1515490" y="359917"/>
                                </a:lnTo>
                                <a:lnTo>
                                  <a:pt x="0" y="359917"/>
                                </a:lnTo>
                                <a:close/>
                              </a:path>
                            </a:pathLst>
                          </a:custGeom>
                          <a:ln w="12700">
                            <a:solidFill>
                              <a:srgbClr val="FFFFFF"/>
                            </a:solidFill>
                            <a:prstDash val="solid"/>
                          </a:ln>
                        </wps:spPr>
                        <wps:bodyPr wrap="square" lIns="0" tIns="0" rIns="0" bIns="0" rtlCol="0">
                          <a:prstTxWarp prst="textNoShape">
                            <a:avLst/>
                          </a:prstTxWarp>
                          <a:noAutofit/>
                        </wps:bodyPr>
                      </wps:wsp>
                      <wps:wsp>
                        <wps:cNvPr id="60" name="Graphic 60"/>
                        <wps:cNvSpPr/>
                        <wps:spPr>
                          <a:xfrm>
                            <a:off x="229710" y="786918"/>
                            <a:ext cx="393700" cy="406400"/>
                          </a:xfrm>
                          <a:custGeom>
                            <a:avLst/>
                            <a:gdLst/>
                            <a:ahLst/>
                            <a:cxnLst/>
                            <a:rect l="l" t="t" r="r" b="b"/>
                            <a:pathLst>
                              <a:path w="393700" h="406400">
                                <a:moveTo>
                                  <a:pt x="197014" y="0"/>
                                </a:moveTo>
                                <a:lnTo>
                                  <a:pt x="151651" y="5381"/>
                                </a:lnTo>
                                <a:lnTo>
                                  <a:pt x="110224" y="20675"/>
                                </a:lnTo>
                                <a:lnTo>
                                  <a:pt x="73688" y="44662"/>
                                </a:lnTo>
                                <a:lnTo>
                                  <a:pt x="43218" y="76121"/>
                                </a:lnTo>
                                <a:lnTo>
                                  <a:pt x="19995" y="113834"/>
                                </a:lnTo>
                                <a:lnTo>
                                  <a:pt x="5196" y="156579"/>
                                </a:lnTo>
                                <a:lnTo>
                                  <a:pt x="0" y="203138"/>
                                </a:lnTo>
                                <a:lnTo>
                                  <a:pt x="5198" y="249714"/>
                                </a:lnTo>
                                <a:lnTo>
                                  <a:pt x="20005" y="292470"/>
                                </a:lnTo>
                                <a:lnTo>
                                  <a:pt x="43240" y="330187"/>
                                </a:lnTo>
                                <a:lnTo>
                                  <a:pt x="73721" y="361645"/>
                                </a:lnTo>
                                <a:lnTo>
                                  <a:pt x="110267" y="385625"/>
                                </a:lnTo>
                                <a:lnTo>
                                  <a:pt x="151696" y="400907"/>
                                </a:lnTo>
                                <a:lnTo>
                                  <a:pt x="196828" y="406272"/>
                                </a:lnTo>
                                <a:lnTo>
                                  <a:pt x="241959" y="400907"/>
                                </a:lnTo>
                                <a:lnTo>
                                  <a:pt x="256414" y="395575"/>
                                </a:lnTo>
                                <a:lnTo>
                                  <a:pt x="196828" y="395575"/>
                                </a:lnTo>
                                <a:lnTo>
                                  <a:pt x="147259" y="388701"/>
                                </a:lnTo>
                                <a:lnTo>
                                  <a:pt x="102716" y="369301"/>
                                </a:lnTo>
                                <a:lnTo>
                                  <a:pt x="64978" y="339211"/>
                                </a:lnTo>
                                <a:lnTo>
                                  <a:pt x="35822" y="300264"/>
                                </a:lnTo>
                                <a:lnTo>
                                  <a:pt x="17025" y="254295"/>
                                </a:lnTo>
                                <a:lnTo>
                                  <a:pt x="10365" y="203138"/>
                                </a:lnTo>
                                <a:lnTo>
                                  <a:pt x="17069" y="152006"/>
                                </a:lnTo>
                                <a:lnTo>
                                  <a:pt x="35885" y="106061"/>
                                </a:lnTo>
                                <a:lnTo>
                                  <a:pt x="65040" y="67130"/>
                                </a:lnTo>
                                <a:lnTo>
                                  <a:pt x="102763" y="37041"/>
                                </a:lnTo>
                                <a:lnTo>
                                  <a:pt x="147283" y="17621"/>
                                </a:lnTo>
                                <a:lnTo>
                                  <a:pt x="196828" y="10697"/>
                                </a:lnTo>
                                <a:lnTo>
                                  <a:pt x="256509" y="10697"/>
                                </a:lnTo>
                                <a:lnTo>
                                  <a:pt x="242120" y="5381"/>
                                </a:lnTo>
                                <a:lnTo>
                                  <a:pt x="197014" y="0"/>
                                </a:lnTo>
                                <a:close/>
                              </a:path>
                              <a:path w="393700" h="406400">
                                <a:moveTo>
                                  <a:pt x="256509" y="10697"/>
                                </a:moveTo>
                                <a:lnTo>
                                  <a:pt x="196828" y="10697"/>
                                </a:lnTo>
                                <a:lnTo>
                                  <a:pt x="246758" y="17621"/>
                                </a:lnTo>
                                <a:lnTo>
                                  <a:pt x="246513" y="17621"/>
                                </a:lnTo>
                                <a:lnTo>
                                  <a:pt x="291030" y="37041"/>
                                </a:lnTo>
                                <a:lnTo>
                                  <a:pt x="328732" y="67131"/>
                                </a:lnTo>
                                <a:lnTo>
                                  <a:pt x="357859" y="106062"/>
                                </a:lnTo>
                                <a:lnTo>
                                  <a:pt x="376639" y="152007"/>
                                </a:lnTo>
                                <a:lnTo>
                                  <a:pt x="383296" y="203138"/>
                                </a:lnTo>
                                <a:lnTo>
                                  <a:pt x="376635" y="254296"/>
                                </a:lnTo>
                                <a:lnTo>
                                  <a:pt x="357838" y="300265"/>
                                </a:lnTo>
                                <a:lnTo>
                                  <a:pt x="328680" y="339212"/>
                                </a:lnTo>
                                <a:lnTo>
                                  <a:pt x="290941" y="369302"/>
                                </a:lnTo>
                                <a:lnTo>
                                  <a:pt x="246398" y="388701"/>
                                </a:lnTo>
                                <a:lnTo>
                                  <a:pt x="196828" y="395575"/>
                                </a:lnTo>
                                <a:lnTo>
                                  <a:pt x="256414" y="395575"/>
                                </a:lnTo>
                                <a:lnTo>
                                  <a:pt x="319936" y="361645"/>
                                </a:lnTo>
                                <a:lnTo>
                                  <a:pt x="350418" y="330187"/>
                                </a:lnTo>
                                <a:lnTo>
                                  <a:pt x="373654" y="292471"/>
                                </a:lnTo>
                                <a:lnTo>
                                  <a:pt x="388463" y="249714"/>
                                </a:lnTo>
                                <a:lnTo>
                                  <a:pt x="393661" y="203138"/>
                                </a:lnTo>
                                <a:lnTo>
                                  <a:pt x="388484" y="156579"/>
                                </a:lnTo>
                                <a:lnTo>
                                  <a:pt x="373701" y="113834"/>
                                </a:lnTo>
                                <a:lnTo>
                                  <a:pt x="350493" y="76122"/>
                                </a:lnTo>
                                <a:lnTo>
                                  <a:pt x="320040" y="44662"/>
                                </a:lnTo>
                                <a:lnTo>
                                  <a:pt x="283523" y="20676"/>
                                </a:lnTo>
                                <a:lnTo>
                                  <a:pt x="256509" y="10697"/>
                                </a:lnTo>
                                <a:close/>
                              </a:path>
                            </a:pathLst>
                          </a:custGeom>
                          <a:solidFill>
                            <a:srgbClr val="FFFFFF"/>
                          </a:solidFill>
                        </wps:spPr>
                        <wps:bodyPr wrap="square" lIns="0" tIns="0" rIns="0" bIns="0" rtlCol="0">
                          <a:prstTxWarp prst="textNoShape">
                            <a:avLst/>
                          </a:prstTxWarp>
                          <a:noAutofit/>
                        </wps:bodyPr>
                      </wps:wsp>
                      <wps:wsp>
                        <wps:cNvPr id="61" name="Graphic 61"/>
                        <wps:cNvSpPr/>
                        <wps:spPr>
                          <a:xfrm>
                            <a:off x="229710" y="786918"/>
                            <a:ext cx="393700" cy="406400"/>
                          </a:xfrm>
                          <a:custGeom>
                            <a:avLst/>
                            <a:gdLst/>
                            <a:ahLst/>
                            <a:cxnLst/>
                            <a:rect l="l" t="t" r="r" b="b"/>
                            <a:pathLst>
                              <a:path w="393700" h="406400">
                                <a:moveTo>
                                  <a:pt x="196828" y="10697"/>
                                </a:moveTo>
                                <a:lnTo>
                                  <a:pt x="246398" y="17571"/>
                                </a:lnTo>
                                <a:lnTo>
                                  <a:pt x="290941" y="36971"/>
                                </a:lnTo>
                                <a:lnTo>
                                  <a:pt x="328680" y="67062"/>
                                </a:lnTo>
                                <a:lnTo>
                                  <a:pt x="357838" y="106010"/>
                                </a:lnTo>
                                <a:lnTo>
                                  <a:pt x="376635" y="151980"/>
                                </a:lnTo>
                                <a:lnTo>
                                  <a:pt x="383296" y="203138"/>
                                </a:lnTo>
                                <a:lnTo>
                                  <a:pt x="376635" y="254296"/>
                                </a:lnTo>
                                <a:lnTo>
                                  <a:pt x="357838" y="300265"/>
                                </a:lnTo>
                                <a:lnTo>
                                  <a:pt x="328680" y="339212"/>
                                </a:lnTo>
                                <a:lnTo>
                                  <a:pt x="290941" y="369302"/>
                                </a:lnTo>
                                <a:lnTo>
                                  <a:pt x="246398" y="388701"/>
                                </a:lnTo>
                                <a:lnTo>
                                  <a:pt x="196828" y="395575"/>
                                </a:lnTo>
                                <a:lnTo>
                                  <a:pt x="147259" y="388701"/>
                                </a:lnTo>
                                <a:lnTo>
                                  <a:pt x="102716" y="369301"/>
                                </a:lnTo>
                                <a:lnTo>
                                  <a:pt x="64978" y="339211"/>
                                </a:lnTo>
                                <a:lnTo>
                                  <a:pt x="35822" y="300264"/>
                                </a:lnTo>
                                <a:lnTo>
                                  <a:pt x="17025" y="254295"/>
                                </a:lnTo>
                                <a:lnTo>
                                  <a:pt x="10365" y="203138"/>
                                </a:lnTo>
                                <a:lnTo>
                                  <a:pt x="17069" y="152006"/>
                                </a:lnTo>
                                <a:lnTo>
                                  <a:pt x="35885" y="106061"/>
                                </a:lnTo>
                                <a:lnTo>
                                  <a:pt x="65040" y="67130"/>
                                </a:lnTo>
                                <a:lnTo>
                                  <a:pt x="102763" y="37041"/>
                                </a:lnTo>
                                <a:lnTo>
                                  <a:pt x="147283" y="17621"/>
                                </a:lnTo>
                                <a:lnTo>
                                  <a:pt x="196828" y="10697"/>
                                </a:lnTo>
                              </a:path>
                              <a:path w="393700" h="406400">
                                <a:moveTo>
                                  <a:pt x="196828" y="0"/>
                                </a:moveTo>
                                <a:lnTo>
                                  <a:pt x="151696" y="5365"/>
                                </a:lnTo>
                                <a:lnTo>
                                  <a:pt x="110267" y="20647"/>
                                </a:lnTo>
                                <a:lnTo>
                                  <a:pt x="73721" y="44628"/>
                                </a:lnTo>
                                <a:lnTo>
                                  <a:pt x="43240" y="76087"/>
                                </a:lnTo>
                                <a:lnTo>
                                  <a:pt x="20005" y="113804"/>
                                </a:lnTo>
                                <a:lnTo>
                                  <a:pt x="5198" y="156561"/>
                                </a:lnTo>
                                <a:lnTo>
                                  <a:pt x="0" y="203138"/>
                                </a:lnTo>
                                <a:lnTo>
                                  <a:pt x="5198" y="249714"/>
                                </a:lnTo>
                                <a:lnTo>
                                  <a:pt x="20005" y="292470"/>
                                </a:lnTo>
                                <a:lnTo>
                                  <a:pt x="43240" y="330187"/>
                                </a:lnTo>
                                <a:lnTo>
                                  <a:pt x="73721" y="361645"/>
                                </a:lnTo>
                                <a:lnTo>
                                  <a:pt x="110267" y="385625"/>
                                </a:lnTo>
                                <a:lnTo>
                                  <a:pt x="151696" y="400907"/>
                                </a:lnTo>
                                <a:lnTo>
                                  <a:pt x="196828" y="406272"/>
                                </a:lnTo>
                                <a:lnTo>
                                  <a:pt x="241959" y="400907"/>
                                </a:lnTo>
                                <a:lnTo>
                                  <a:pt x="283389" y="385625"/>
                                </a:lnTo>
                                <a:lnTo>
                                  <a:pt x="319936" y="361645"/>
                                </a:lnTo>
                                <a:lnTo>
                                  <a:pt x="350418" y="330187"/>
                                </a:lnTo>
                                <a:lnTo>
                                  <a:pt x="373654" y="292471"/>
                                </a:lnTo>
                                <a:lnTo>
                                  <a:pt x="388463" y="249714"/>
                                </a:lnTo>
                                <a:lnTo>
                                  <a:pt x="393661" y="203138"/>
                                </a:lnTo>
                                <a:lnTo>
                                  <a:pt x="388484" y="156579"/>
                                </a:lnTo>
                                <a:lnTo>
                                  <a:pt x="373701" y="113834"/>
                                </a:lnTo>
                                <a:lnTo>
                                  <a:pt x="350493" y="76122"/>
                                </a:lnTo>
                                <a:lnTo>
                                  <a:pt x="320040" y="44662"/>
                                </a:lnTo>
                                <a:lnTo>
                                  <a:pt x="283523" y="20676"/>
                                </a:lnTo>
                                <a:lnTo>
                                  <a:pt x="242120" y="5381"/>
                                </a:lnTo>
                                <a:lnTo>
                                  <a:pt x="197014" y="0"/>
                                </a:lnTo>
                                <a:lnTo>
                                  <a:pt x="196828" y="0"/>
                                </a:lnTo>
                                <a:close/>
                              </a:path>
                            </a:pathLst>
                          </a:custGeom>
                          <a:ln w="10698">
                            <a:solidFill>
                              <a:srgbClr val="FFFFFF"/>
                            </a:solidFill>
                            <a:prstDash val="solid"/>
                          </a:ln>
                        </wps:spPr>
                        <wps:bodyPr wrap="square" lIns="0" tIns="0" rIns="0" bIns="0" rtlCol="0">
                          <a:prstTxWarp prst="textNoShape">
                            <a:avLst/>
                          </a:prstTxWarp>
                          <a:noAutofit/>
                        </wps:bodyPr>
                      </wps:wsp>
                      <pic:pic>
                        <pic:nvPicPr>
                          <pic:cNvPr id="62" name="Image 62"/>
                          <pic:cNvPicPr/>
                        </pic:nvPicPr>
                        <pic:blipFill>
                          <a:blip r:embed="rId39" cstate="print"/>
                          <a:stretch>
                            <a:fillRect/>
                          </a:stretch>
                        </pic:blipFill>
                        <pic:spPr>
                          <a:xfrm>
                            <a:off x="369882" y="889430"/>
                            <a:ext cx="110239" cy="189785"/>
                          </a:xfrm>
                          <a:prstGeom prst="rect">
                            <a:avLst/>
                          </a:prstGeom>
                        </pic:spPr>
                      </pic:pic>
                      <pic:pic>
                        <pic:nvPicPr>
                          <pic:cNvPr id="63" name="Image 63"/>
                          <pic:cNvPicPr/>
                        </pic:nvPicPr>
                        <pic:blipFill>
                          <a:blip r:embed="rId40" cstate="print"/>
                          <a:stretch>
                            <a:fillRect/>
                          </a:stretch>
                        </pic:blipFill>
                        <pic:spPr>
                          <a:xfrm>
                            <a:off x="96773" y="1291475"/>
                            <a:ext cx="5652516" cy="857999"/>
                          </a:xfrm>
                          <a:prstGeom prst="rect">
                            <a:avLst/>
                          </a:prstGeom>
                        </pic:spPr>
                      </pic:pic>
                      <wps:wsp>
                        <wps:cNvPr id="64" name="Graphic 64"/>
                        <wps:cNvSpPr/>
                        <wps:spPr>
                          <a:xfrm>
                            <a:off x="122529" y="1317561"/>
                            <a:ext cx="5551170" cy="756285"/>
                          </a:xfrm>
                          <a:custGeom>
                            <a:avLst/>
                            <a:gdLst/>
                            <a:ahLst/>
                            <a:cxnLst/>
                            <a:rect l="l" t="t" r="r" b="b"/>
                            <a:pathLst>
                              <a:path w="5551170" h="756285">
                                <a:moveTo>
                                  <a:pt x="5551043" y="0"/>
                                </a:moveTo>
                                <a:lnTo>
                                  <a:pt x="0" y="0"/>
                                </a:lnTo>
                                <a:lnTo>
                                  <a:pt x="0" y="755840"/>
                                </a:lnTo>
                                <a:lnTo>
                                  <a:pt x="5551043" y="755840"/>
                                </a:lnTo>
                                <a:lnTo>
                                  <a:pt x="5551043" y="0"/>
                                </a:lnTo>
                                <a:close/>
                              </a:path>
                            </a:pathLst>
                          </a:custGeom>
                          <a:solidFill>
                            <a:srgbClr val="436C92"/>
                          </a:solidFill>
                        </wps:spPr>
                        <wps:bodyPr wrap="square" lIns="0" tIns="0" rIns="0" bIns="0" rtlCol="0">
                          <a:prstTxWarp prst="textNoShape">
                            <a:avLst/>
                          </a:prstTxWarp>
                          <a:noAutofit/>
                        </wps:bodyPr>
                      </wps:wsp>
                      <pic:pic>
                        <pic:nvPicPr>
                          <pic:cNvPr id="65" name="Image 65"/>
                          <pic:cNvPicPr/>
                        </pic:nvPicPr>
                        <pic:blipFill>
                          <a:blip r:embed="rId41" cstate="print"/>
                          <a:stretch>
                            <a:fillRect/>
                          </a:stretch>
                        </pic:blipFill>
                        <pic:spPr>
                          <a:xfrm>
                            <a:off x="4208526" y="1416405"/>
                            <a:ext cx="1725168" cy="614197"/>
                          </a:xfrm>
                          <a:prstGeom prst="rect">
                            <a:avLst/>
                          </a:prstGeom>
                        </pic:spPr>
                      </pic:pic>
                      <wps:wsp>
                        <wps:cNvPr id="66" name="Graphic 66"/>
                        <wps:cNvSpPr/>
                        <wps:spPr>
                          <a:xfrm>
                            <a:off x="4243704" y="1449450"/>
                            <a:ext cx="1605915" cy="498475"/>
                          </a:xfrm>
                          <a:custGeom>
                            <a:avLst/>
                            <a:gdLst/>
                            <a:ahLst/>
                            <a:cxnLst/>
                            <a:rect l="l" t="t" r="r" b="b"/>
                            <a:pathLst>
                              <a:path w="1605915" h="498475">
                                <a:moveTo>
                                  <a:pt x="1605407" y="0"/>
                                </a:moveTo>
                                <a:lnTo>
                                  <a:pt x="124587" y="0"/>
                                </a:lnTo>
                                <a:lnTo>
                                  <a:pt x="0" y="498475"/>
                                </a:lnTo>
                                <a:lnTo>
                                  <a:pt x="1480819" y="498475"/>
                                </a:lnTo>
                                <a:lnTo>
                                  <a:pt x="1605407" y="0"/>
                                </a:lnTo>
                                <a:close/>
                              </a:path>
                            </a:pathLst>
                          </a:custGeom>
                          <a:solidFill>
                            <a:srgbClr val="FFFFFF"/>
                          </a:solidFill>
                        </wps:spPr>
                        <wps:bodyPr wrap="square" lIns="0" tIns="0" rIns="0" bIns="0" rtlCol="0">
                          <a:prstTxWarp prst="textNoShape">
                            <a:avLst/>
                          </a:prstTxWarp>
                          <a:noAutofit/>
                        </wps:bodyPr>
                      </wps:wsp>
                      <wps:wsp>
                        <wps:cNvPr id="67" name="Graphic 67"/>
                        <wps:cNvSpPr/>
                        <wps:spPr>
                          <a:xfrm>
                            <a:off x="4243704" y="1449450"/>
                            <a:ext cx="1605915" cy="498475"/>
                          </a:xfrm>
                          <a:custGeom>
                            <a:avLst/>
                            <a:gdLst/>
                            <a:ahLst/>
                            <a:cxnLst/>
                            <a:rect l="l" t="t" r="r" b="b"/>
                            <a:pathLst>
                              <a:path w="1605915" h="498475">
                                <a:moveTo>
                                  <a:pt x="0" y="498475"/>
                                </a:moveTo>
                                <a:lnTo>
                                  <a:pt x="124587" y="0"/>
                                </a:lnTo>
                                <a:lnTo>
                                  <a:pt x="1605407" y="0"/>
                                </a:lnTo>
                                <a:lnTo>
                                  <a:pt x="1480819" y="498475"/>
                                </a:lnTo>
                                <a:lnTo>
                                  <a:pt x="0" y="498475"/>
                                </a:lnTo>
                                <a:close/>
                              </a:path>
                            </a:pathLst>
                          </a:custGeom>
                          <a:ln w="12700">
                            <a:solidFill>
                              <a:srgbClr val="FFFFFF"/>
                            </a:solidFill>
                            <a:prstDash val="solid"/>
                          </a:ln>
                        </wps:spPr>
                        <wps:bodyPr wrap="square" lIns="0" tIns="0" rIns="0" bIns="0" rtlCol="0">
                          <a:prstTxWarp prst="textNoShape">
                            <a:avLst/>
                          </a:prstTxWarp>
                          <a:noAutofit/>
                        </wps:bodyPr>
                      </wps:wsp>
                      <wps:wsp>
                        <wps:cNvPr id="68" name="Graphic 68"/>
                        <wps:cNvSpPr/>
                        <wps:spPr>
                          <a:xfrm>
                            <a:off x="244938" y="1504255"/>
                            <a:ext cx="393700" cy="390525"/>
                          </a:xfrm>
                          <a:custGeom>
                            <a:avLst/>
                            <a:gdLst/>
                            <a:ahLst/>
                            <a:cxnLst/>
                            <a:rect l="l" t="t" r="r" b="b"/>
                            <a:pathLst>
                              <a:path w="393700" h="390525">
                                <a:moveTo>
                                  <a:pt x="197014" y="0"/>
                                </a:moveTo>
                                <a:lnTo>
                                  <a:pt x="151651" y="5171"/>
                                </a:lnTo>
                                <a:lnTo>
                                  <a:pt x="110224" y="19866"/>
                                </a:lnTo>
                                <a:lnTo>
                                  <a:pt x="73688" y="42913"/>
                                </a:lnTo>
                                <a:lnTo>
                                  <a:pt x="43218" y="73140"/>
                                </a:lnTo>
                                <a:lnTo>
                                  <a:pt x="19995" y="109375"/>
                                </a:lnTo>
                                <a:lnTo>
                                  <a:pt x="5196" y="150446"/>
                                </a:lnTo>
                                <a:lnTo>
                                  <a:pt x="0" y="195181"/>
                                </a:lnTo>
                                <a:lnTo>
                                  <a:pt x="5198" y="239933"/>
                                </a:lnTo>
                                <a:lnTo>
                                  <a:pt x="20005" y="281015"/>
                                </a:lnTo>
                                <a:lnTo>
                                  <a:pt x="43240" y="317255"/>
                                </a:lnTo>
                                <a:lnTo>
                                  <a:pt x="73721" y="347480"/>
                                </a:lnTo>
                                <a:lnTo>
                                  <a:pt x="110267" y="370521"/>
                                </a:lnTo>
                                <a:lnTo>
                                  <a:pt x="151696" y="385205"/>
                                </a:lnTo>
                                <a:lnTo>
                                  <a:pt x="196828" y="390360"/>
                                </a:lnTo>
                                <a:lnTo>
                                  <a:pt x="241959" y="385205"/>
                                </a:lnTo>
                                <a:lnTo>
                                  <a:pt x="256414" y="380081"/>
                                </a:lnTo>
                                <a:lnTo>
                                  <a:pt x="196828" y="380081"/>
                                </a:lnTo>
                                <a:lnTo>
                                  <a:pt x="147259" y="373477"/>
                                </a:lnTo>
                                <a:lnTo>
                                  <a:pt x="102716" y="354837"/>
                                </a:lnTo>
                                <a:lnTo>
                                  <a:pt x="64978" y="325925"/>
                                </a:lnTo>
                                <a:lnTo>
                                  <a:pt x="35822" y="288504"/>
                                </a:lnTo>
                                <a:lnTo>
                                  <a:pt x="17025" y="244335"/>
                                </a:lnTo>
                                <a:lnTo>
                                  <a:pt x="10365" y="195181"/>
                                </a:lnTo>
                                <a:lnTo>
                                  <a:pt x="17069" y="146053"/>
                                </a:lnTo>
                                <a:lnTo>
                                  <a:pt x="35885" y="101907"/>
                                </a:lnTo>
                                <a:lnTo>
                                  <a:pt x="65040" y="64501"/>
                                </a:lnTo>
                                <a:lnTo>
                                  <a:pt x="102763" y="35590"/>
                                </a:lnTo>
                                <a:lnTo>
                                  <a:pt x="147283" y="16931"/>
                                </a:lnTo>
                                <a:lnTo>
                                  <a:pt x="196828" y="10278"/>
                                </a:lnTo>
                                <a:lnTo>
                                  <a:pt x="256509" y="10278"/>
                                </a:lnTo>
                                <a:lnTo>
                                  <a:pt x="242120" y="5171"/>
                                </a:lnTo>
                                <a:lnTo>
                                  <a:pt x="197014" y="0"/>
                                </a:lnTo>
                                <a:close/>
                              </a:path>
                              <a:path w="393700" h="390525">
                                <a:moveTo>
                                  <a:pt x="256509" y="10278"/>
                                </a:moveTo>
                                <a:lnTo>
                                  <a:pt x="196828" y="10278"/>
                                </a:lnTo>
                                <a:lnTo>
                                  <a:pt x="246758" y="16931"/>
                                </a:lnTo>
                                <a:lnTo>
                                  <a:pt x="246513" y="16931"/>
                                </a:lnTo>
                                <a:lnTo>
                                  <a:pt x="291030" y="35591"/>
                                </a:lnTo>
                                <a:lnTo>
                                  <a:pt x="328732" y="64502"/>
                                </a:lnTo>
                                <a:lnTo>
                                  <a:pt x="357859" y="101908"/>
                                </a:lnTo>
                                <a:lnTo>
                                  <a:pt x="376639" y="146053"/>
                                </a:lnTo>
                                <a:lnTo>
                                  <a:pt x="383296" y="195182"/>
                                </a:lnTo>
                                <a:lnTo>
                                  <a:pt x="376635" y="244336"/>
                                </a:lnTo>
                                <a:lnTo>
                                  <a:pt x="357838" y="288504"/>
                                </a:lnTo>
                                <a:lnTo>
                                  <a:pt x="328680" y="325926"/>
                                </a:lnTo>
                                <a:lnTo>
                                  <a:pt x="290941" y="354837"/>
                                </a:lnTo>
                                <a:lnTo>
                                  <a:pt x="246398" y="373477"/>
                                </a:lnTo>
                                <a:lnTo>
                                  <a:pt x="196828" y="380081"/>
                                </a:lnTo>
                                <a:lnTo>
                                  <a:pt x="256414" y="380081"/>
                                </a:lnTo>
                                <a:lnTo>
                                  <a:pt x="319936" y="347481"/>
                                </a:lnTo>
                                <a:lnTo>
                                  <a:pt x="350418" y="317255"/>
                                </a:lnTo>
                                <a:lnTo>
                                  <a:pt x="373654" y="281015"/>
                                </a:lnTo>
                                <a:lnTo>
                                  <a:pt x="388463" y="239934"/>
                                </a:lnTo>
                                <a:lnTo>
                                  <a:pt x="393661" y="195182"/>
                                </a:lnTo>
                                <a:lnTo>
                                  <a:pt x="388484" y="150447"/>
                                </a:lnTo>
                                <a:lnTo>
                                  <a:pt x="373701" y="109376"/>
                                </a:lnTo>
                                <a:lnTo>
                                  <a:pt x="350493" y="73140"/>
                                </a:lnTo>
                                <a:lnTo>
                                  <a:pt x="320040" y="42913"/>
                                </a:lnTo>
                                <a:lnTo>
                                  <a:pt x="283523" y="19866"/>
                                </a:lnTo>
                                <a:lnTo>
                                  <a:pt x="256509" y="10278"/>
                                </a:lnTo>
                                <a:close/>
                              </a:path>
                            </a:pathLst>
                          </a:custGeom>
                          <a:solidFill>
                            <a:srgbClr val="FFFFFF"/>
                          </a:solidFill>
                        </wps:spPr>
                        <wps:bodyPr wrap="square" lIns="0" tIns="0" rIns="0" bIns="0" rtlCol="0">
                          <a:prstTxWarp prst="textNoShape">
                            <a:avLst/>
                          </a:prstTxWarp>
                          <a:noAutofit/>
                        </wps:bodyPr>
                      </wps:wsp>
                      <wps:wsp>
                        <wps:cNvPr id="69" name="Graphic 69"/>
                        <wps:cNvSpPr/>
                        <wps:spPr>
                          <a:xfrm>
                            <a:off x="244938" y="1504255"/>
                            <a:ext cx="393700" cy="390525"/>
                          </a:xfrm>
                          <a:custGeom>
                            <a:avLst/>
                            <a:gdLst/>
                            <a:ahLst/>
                            <a:cxnLst/>
                            <a:rect l="l" t="t" r="r" b="b"/>
                            <a:pathLst>
                              <a:path w="393700" h="390525">
                                <a:moveTo>
                                  <a:pt x="196828" y="10278"/>
                                </a:moveTo>
                                <a:lnTo>
                                  <a:pt x="246398" y="16883"/>
                                </a:lnTo>
                                <a:lnTo>
                                  <a:pt x="290941" y="35523"/>
                                </a:lnTo>
                                <a:lnTo>
                                  <a:pt x="328680" y="64436"/>
                                </a:lnTo>
                                <a:lnTo>
                                  <a:pt x="357838" y="101858"/>
                                </a:lnTo>
                                <a:lnTo>
                                  <a:pt x="376635" y="146028"/>
                                </a:lnTo>
                                <a:lnTo>
                                  <a:pt x="383296" y="195182"/>
                                </a:lnTo>
                                <a:lnTo>
                                  <a:pt x="376635" y="244336"/>
                                </a:lnTo>
                                <a:lnTo>
                                  <a:pt x="357838" y="288504"/>
                                </a:lnTo>
                                <a:lnTo>
                                  <a:pt x="328680" y="325926"/>
                                </a:lnTo>
                                <a:lnTo>
                                  <a:pt x="290941" y="354837"/>
                                </a:lnTo>
                                <a:lnTo>
                                  <a:pt x="246398" y="373477"/>
                                </a:lnTo>
                                <a:lnTo>
                                  <a:pt x="196828" y="380081"/>
                                </a:lnTo>
                                <a:lnTo>
                                  <a:pt x="147259" y="373477"/>
                                </a:lnTo>
                                <a:lnTo>
                                  <a:pt x="102716" y="354837"/>
                                </a:lnTo>
                                <a:lnTo>
                                  <a:pt x="64978" y="325925"/>
                                </a:lnTo>
                                <a:lnTo>
                                  <a:pt x="35822" y="288504"/>
                                </a:lnTo>
                                <a:lnTo>
                                  <a:pt x="17025" y="244335"/>
                                </a:lnTo>
                                <a:lnTo>
                                  <a:pt x="10365" y="195181"/>
                                </a:lnTo>
                                <a:lnTo>
                                  <a:pt x="17069" y="146053"/>
                                </a:lnTo>
                                <a:lnTo>
                                  <a:pt x="35885" y="101907"/>
                                </a:lnTo>
                                <a:lnTo>
                                  <a:pt x="65040" y="64501"/>
                                </a:lnTo>
                                <a:lnTo>
                                  <a:pt x="102763" y="35590"/>
                                </a:lnTo>
                                <a:lnTo>
                                  <a:pt x="147283" y="16931"/>
                                </a:lnTo>
                                <a:lnTo>
                                  <a:pt x="196828" y="10278"/>
                                </a:lnTo>
                              </a:path>
                              <a:path w="393700" h="390525">
                                <a:moveTo>
                                  <a:pt x="196828" y="0"/>
                                </a:moveTo>
                                <a:lnTo>
                                  <a:pt x="151696" y="5155"/>
                                </a:lnTo>
                                <a:lnTo>
                                  <a:pt x="110267" y="19839"/>
                                </a:lnTo>
                                <a:lnTo>
                                  <a:pt x="73721" y="42880"/>
                                </a:lnTo>
                                <a:lnTo>
                                  <a:pt x="43240" y="73107"/>
                                </a:lnTo>
                                <a:lnTo>
                                  <a:pt x="20005" y="109347"/>
                                </a:lnTo>
                                <a:lnTo>
                                  <a:pt x="5198" y="150429"/>
                                </a:lnTo>
                                <a:lnTo>
                                  <a:pt x="0" y="195181"/>
                                </a:lnTo>
                                <a:lnTo>
                                  <a:pt x="5198" y="239933"/>
                                </a:lnTo>
                                <a:lnTo>
                                  <a:pt x="20005" y="281015"/>
                                </a:lnTo>
                                <a:lnTo>
                                  <a:pt x="43240" y="317255"/>
                                </a:lnTo>
                                <a:lnTo>
                                  <a:pt x="73721" y="347480"/>
                                </a:lnTo>
                                <a:lnTo>
                                  <a:pt x="110267" y="370521"/>
                                </a:lnTo>
                                <a:lnTo>
                                  <a:pt x="151696" y="385205"/>
                                </a:lnTo>
                                <a:lnTo>
                                  <a:pt x="196828" y="390360"/>
                                </a:lnTo>
                                <a:lnTo>
                                  <a:pt x="241959" y="385205"/>
                                </a:lnTo>
                                <a:lnTo>
                                  <a:pt x="283389" y="370521"/>
                                </a:lnTo>
                                <a:lnTo>
                                  <a:pt x="319936" y="347481"/>
                                </a:lnTo>
                                <a:lnTo>
                                  <a:pt x="350418" y="317255"/>
                                </a:lnTo>
                                <a:lnTo>
                                  <a:pt x="373654" y="281015"/>
                                </a:lnTo>
                                <a:lnTo>
                                  <a:pt x="388463" y="239934"/>
                                </a:lnTo>
                                <a:lnTo>
                                  <a:pt x="393661" y="195182"/>
                                </a:lnTo>
                                <a:lnTo>
                                  <a:pt x="388484" y="150447"/>
                                </a:lnTo>
                                <a:lnTo>
                                  <a:pt x="373701" y="109376"/>
                                </a:lnTo>
                                <a:lnTo>
                                  <a:pt x="350493" y="73140"/>
                                </a:lnTo>
                                <a:lnTo>
                                  <a:pt x="320040" y="42913"/>
                                </a:lnTo>
                                <a:lnTo>
                                  <a:pt x="283523" y="19866"/>
                                </a:lnTo>
                                <a:lnTo>
                                  <a:pt x="242120" y="5171"/>
                                </a:lnTo>
                                <a:lnTo>
                                  <a:pt x="197014" y="0"/>
                                </a:lnTo>
                                <a:lnTo>
                                  <a:pt x="196828" y="0"/>
                                </a:lnTo>
                                <a:close/>
                              </a:path>
                            </a:pathLst>
                          </a:custGeom>
                          <a:ln w="10829">
                            <a:solidFill>
                              <a:srgbClr val="FFFFFF"/>
                            </a:solidFill>
                            <a:prstDash val="solid"/>
                          </a:ln>
                        </wps:spPr>
                        <wps:bodyPr wrap="square" lIns="0" tIns="0" rIns="0" bIns="0" rtlCol="0">
                          <a:prstTxWarp prst="textNoShape">
                            <a:avLst/>
                          </a:prstTxWarp>
                          <a:noAutofit/>
                        </wps:bodyPr>
                      </wps:wsp>
                      <pic:pic>
                        <pic:nvPicPr>
                          <pic:cNvPr id="70" name="Image 70"/>
                          <pic:cNvPicPr/>
                        </pic:nvPicPr>
                        <pic:blipFill>
                          <a:blip r:embed="rId42" cstate="print"/>
                          <a:stretch>
                            <a:fillRect/>
                          </a:stretch>
                        </pic:blipFill>
                        <pic:spPr>
                          <a:xfrm>
                            <a:off x="387666" y="1607652"/>
                            <a:ext cx="104663" cy="185947"/>
                          </a:xfrm>
                          <a:prstGeom prst="rect">
                            <a:avLst/>
                          </a:prstGeom>
                        </pic:spPr>
                      </pic:pic>
                      <pic:pic>
                        <pic:nvPicPr>
                          <pic:cNvPr id="71" name="Image 71"/>
                          <pic:cNvPicPr/>
                        </pic:nvPicPr>
                        <pic:blipFill>
                          <a:blip r:embed="rId37" cstate="print"/>
                          <a:stretch>
                            <a:fillRect/>
                          </a:stretch>
                        </pic:blipFill>
                        <pic:spPr>
                          <a:xfrm>
                            <a:off x="99822" y="2126589"/>
                            <a:ext cx="5652516" cy="641629"/>
                          </a:xfrm>
                          <a:prstGeom prst="rect">
                            <a:avLst/>
                          </a:prstGeom>
                        </pic:spPr>
                      </pic:pic>
                      <wps:wsp>
                        <wps:cNvPr id="72" name="Graphic 72"/>
                        <wps:cNvSpPr/>
                        <wps:spPr>
                          <a:xfrm>
                            <a:off x="125971" y="2153018"/>
                            <a:ext cx="5551170" cy="540385"/>
                          </a:xfrm>
                          <a:custGeom>
                            <a:avLst/>
                            <a:gdLst/>
                            <a:ahLst/>
                            <a:cxnLst/>
                            <a:rect l="l" t="t" r="r" b="b"/>
                            <a:pathLst>
                              <a:path w="5551170" h="540385">
                                <a:moveTo>
                                  <a:pt x="5551043" y="0"/>
                                </a:moveTo>
                                <a:lnTo>
                                  <a:pt x="0" y="0"/>
                                </a:lnTo>
                                <a:lnTo>
                                  <a:pt x="0" y="539889"/>
                                </a:lnTo>
                                <a:lnTo>
                                  <a:pt x="5551043" y="539889"/>
                                </a:lnTo>
                                <a:lnTo>
                                  <a:pt x="5551043" y="0"/>
                                </a:lnTo>
                                <a:close/>
                              </a:path>
                            </a:pathLst>
                          </a:custGeom>
                          <a:solidFill>
                            <a:srgbClr val="436C92"/>
                          </a:solidFill>
                        </wps:spPr>
                        <wps:bodyPr wrap="square" lIns="0" tIns="0" rIns="0" bIns="0" rtlCol="0">
                          <a:prstTxWarp prst="textNoShape">
                            <a:avLst/>
                          </a:prstTxWarp>
                          <a:noAutofit/>
                        </wps:bodyPr>
                      </wps:wsp>
                      <pic:pic>
                        <pic:nvPicPr>
                          <pic:cNvPr id="73" name="Image 73"/>
                          <pic:cNvPicPr/>
                        </pic:nvPicPr>
                        <pic:blipFill>
                          <a:blip r:embed="rId43" cstate="print"/>
                          <a:stretch>
                            <a:fillRect/>
                          </a:stretch>
                        </pic:blipFill>
                        <pic:spPr>
                          <a:xfrm>
                            <a:off x="90677" y="2725547"/>
                            <a:ext cx="5673852" cy="1074419"/>
                          </a:xfrm>
                          <a:prstGeom prst="rect">
                            <a:avLst/>
                          </a:prstGeom>
                        </pic:spPr>
                      </pic:pic>
                      <wps:wsp>
                        <wps:cNvPr id="74" name="Graphic 74"/>
                        <wps:cNvSpPr/>
                        <wps:spPr>
                          <a:xfrm>
                            <a:off x="117322" y="2751708"/>
                            <a:ext cx="5570855" cy="972185"/>
                          </a:xfrm>
                          <a:custGeom>
                            <a:avLst/>
                            <a:gdLst/>
                            <a:ahLst/>
                            <a:cxnLst/>
                            <a:rect l="l" t="t" r="r" b="b"/>
                            <a:pathLst>
                              <a:path w="5570855" h="972185">
                                <a:moveTo>
                                  <a:pt x="5570855" y="0"/>
                                </a:moveTo>
                                <a:lnTo>
                                  <a:pt x="0" y="0"/>
                                </a:lnTo>
                                <a:lnTo>
                                  <a:pt x="0" y="971930"/>
                                </a:lnTo>
                                <a:lnTo>
                                  <a:pt x="5570855" y="971930"/>
                                </a:lnTo>
                                <a:lnTo>
                                  <a:pt x="5570855" y="0"/>
                                </a:lnTo>
                                <a:close/>
                              </a:path>
                            </a:pathLst>
                          </a:custGeom>
                          <a:solidFill>
                            <a:srgbClr val="436C92"/>
                          </a:solidFill>
                        </wps:spPr>
                        <wps:bodyPr wrap="square" lIns="0" tIns="0" rIns="0" bIns="0" rtlCol="0">
                          <a:prstTxWarp prst="textNoShape">
                            <a:avLst/>
                          </a:prstTxWarp>
                          <a:noAutofit/>
                        </wps:bodyPr>
                      </wps:wsp>
                      <pic:pic>
                        <pic:nvPicPr>
                          <pic:cNvPr id="75" name="Image 75"/>
                          <pic:cNvPicPr/>
                        </pic:nvPicPr>
                        <pic:blipFill>
                          <a:blip r:embed="rId44" cstate="print"/>
                          <a:stretch>
                            <a:fillRect/>
                          </a:stretch>
                        </pic:blipFill>
                        <pic:spPr>
                          <a:xfrm>
                            <a:off x="4207002" y="2853524"/>
                            <a:ext cx="1732788" cy="621830"/>
                          </a:xfrm>
                          <a:prstGeom prst="rect">
                            <a:avLst/>
                          </a:prstGeom>
                        </pic:spPr>
                      </pic:pic>
                      <wps:wsp>
                        <wps:cNvPr id="76" name="Graphic 76"/>
                        <wps:cNvSpPr/>
                        <wps:spPr>
                          <a:xfrm>
                            <a:off x="4246117" y="2892551"/>
                            <a:ext cx="1605915" cy="495300"/>
                          </a:xfrm>
                          <a:custGeom>
                            <a:avLst/>
                            <a:gdLst/>
                            <a:ahLst/>
                            <a:cxnLst/>
                            <a:rect l="l" t="t" r="r" b="b"/>
                            <a:pathLst>
                              <a:path w="1605915" h="495300">
                                <a:moveTo>
                                  <a:pt x="1605406" y="0"/>
                                </a:moveTo>
                                <a:lnTo>
                                  <a:pt x="123698" y="0"/>
                                </a:lnTo>
                                <a:lnTo>
                                  <a:pt x="0" y="495046"/>
                                </a:lnTo>
                                <a:lnTo>
                                  <a:pt x="1481709" y="495046"/>
                                </a:lnTo>
                                <a:lnTo>
                                  <a:pt x="1605406" y="0"/>
                                </a:lnTo>
                                <a:close/>
                              </a:path>
                            </a:pathLst>
                          </a:custGeom>
                          <a:solidFill>
                            <a:srgbClr val="FFFFFF"/>
                          </a:solidFill>
                        </wps:spPr>
                        <wps:bodyPr wrap="square" lIns="0" tIns="0" rIns="0" bIns="0" rtlCol="0">
                          <a:prstTxWarp prst="textNoShape">
                            <a:avLst/>
                          </a:prstTxWarp>
                          <a:noAutofit/>
                        </wps:bodyPr>
                      </wps:wsp>
                      <wps:wsp>
                        <wps:cNvPr id="77" name="Graphic 77"/>
                        <wps:cNvSpPr/>
                        <wps:spPr>
                          <a:xfrm>
                            <a:off x="4246117" y="2892551"/>
                            <a:ext cx="1605915" cy="495300"/>
                          </a:xfrm>
                          <a:custGeom>
                            <a:avLst/>
                            <a:gdLst/>
                            <a:ahLst/>
                            <a:cxnLst/>
                            <a:rect l="l" t="t" r="r" b="b"/>
                            <a:pathLst>
                              <a:path w="1605915" h="495300">
                                <a:moveTo>
                                  <a:pt x="0" y="495046"/>
                                </a:moveTo>
                                <a:lnTo>
                                  <a:pt x="123698" y="0"/>
                                </a:lnTo>
                                <a:lnTo>
                                  <a:pt x="1605406" y="0"/>
                                </a:lnTo>
                                <a:lnTo>
                                  <a:pt x="1481709" y="495046"/>
                                </a:lnTo>
                                <a:lnTo>
                                  <a:pt x="0" y="495046"/>
                                </a:lnTo>
                                <a:close/>
                              </a:path>
                            </a:pathLst>
                          </a:custGeom>
                          <a:ln w="25400">
                            <a:solidFill>
                              <a:srgbClr val="FFFFFF"/>
                            </a:solidFill>
                            <a:prstDash val="solid"/>
                          </a:ln>
                        </wps:spPr>
                        <wps:bodyPr wrap="square" lIns="0" tIns="0" rIns="0" bIns="0" rtlCol="0">
                          <a:prstTxWarp prst="textNoShape">
                            <a:avLst/>
                          </a:prstTxWarp>
                          <a:noAutofit/>
                        </wps:bodyPr>
                      </wps:wsp>
                      <wps:wsp>
                        <wps:cNvPr id="78" name="Graphic 78"/>
                        <wps:cNvSpPr/>
                        <wps:spPr>
                          <a:xfrm>
                            <a:off x="212027" y="3008036"/>
                            <a:ext cx="393700" cy="394335"/>
                          </a:xfrm>
                          <a:custGeom>
                            <a:avLst/>
                            <a:gdLst/>
                            <a:ahLst/>
                            <a:cxnLst/>
                            <a:rect l="l" t="t" r="r" b="b"/>
                            <a:pathLst>
                              <a:path w="393700" h="394335">
                                <a:moveTo>
                                  <a:pt x="196996" y="0"/>
                                </a:moveTo>
                                <a:lnTo>
                                  <a:pt x="151638" y="5221"/>
                                </a:lnTo>
                                <a:lnTo>
                                  <a:pt x="110214" y="20060"/>
                                </a:lnTo>
                                <a:lnTo>
                                  <a:pt x="73681" y="43333"/>
                                </a:lnTo>
                                <a:lnTo>
                                  <a:pt x="43214" y="73857"/>
                                </a:lnTo>
                                <a:lnTo>
                                  <a:pt x="19993" y="110447"/>
                                </a:lnTo>
                                <a:lnTo>
                                  <a:pt x="5195" y="151920"/>
                                </a:lnTo>
                                <a:lnTo>
                                  <a:pt x="0" y="197094"/>
                                </a:lnTo>
                                <a:lnTo>
                                  <a:pt x="5197" y="242284"/>
                                </a:lnTo>
                                <a:lnTo>
                                  <a:pt x="20003" y="283768"/>
                                </a:lnTo>
                                <a:lnTo>
                                  <a:pt x="43236" y="320363"/>
                                </a:lnTo>
                                <a:lnTo>
                                  <a:pt x="73714" y="350885"/>
                                </a:lnTo>
                                <a:lnTo>
                                  <a:pt x="110257" y="374151"/>
                                </a:lnTo>
                                <a:lnTo>
                                  <a:pt x="151683" y="388978"/>
                                </a:lnTo>
                                <a:lnTo>
                                  <a:pt x="196810" y="394184"/>
                                </a:lnTo>
                                <a:lnTo>
                                  <a:pt x="241937" y="388978"/>
                                </a:lnTo>
                                <a:lnTo>
                                  <a:pt x="256391" y="383805"/>
                                </a:lnTo>
                                <a:lnTo>
                                  <a:pt x="196810" y="383805"/>
                                </a:lnTo>
                                <a:lnTo>
                                  <a:pt x="147245" y="377135"/>
                                </a:lnTo>
                                <a:lnTo>
                                  <a:pt x="102707" y="358313"/>
                                </a:lnTo>
                                <a:lnTo>
                                  <a:pt x="64972" y="329118"/>
                                </a:lnTo>
                                <a:lnTo>
                                  <a:pt x="35819" y="291330"/>
                                </a:lnTo>
                                <a:lnTo>
                                  <a:pt x="17024" y="246729"/>
                                </a:lnTo>
                                <a:lnTo>
                                  <a:pt x="10364" y="197094"/>
                                </a:lnTo>
                                <a:lnTo>
                                  <a:pt x="17067" y="147483"/>
                                </a:lnTo>
                                <a:lnTo>
                                  <a:pt x="35881" y="102906"/>
                                </a:lnTo>
                                <a:lnTo>
                                  <a:pt x="65034" y="65133"/>
                                </a:lnTo>
                                <a:lnTo>
                                  <a:pt x="102754" y="35939"/>
                                </a:lnTo>
                                <a:lnTo>
                                  <a:pt x="147270" y="17096"/>
                                </a:lnTo>
                                <a:lnTo>
                                  <a:pt x="196810" y="10378"/>
                                </a:lnTo>
                                <a:lnTo>
                                  <a:pt x="256486" y="10378"/>
                                </a:lnTo>
                                <a:lnTo>
                                  <a:pt x="242098" y="5221"/>
                                </a:lnTo>
                                <a:lnTo>
                                  <a:pt x="196996" y="0"/>
                                </a:lnTo>
                                <a:close/>
                              </a:path>
                              <a:path w="393700" h="394335">
                                <a:moveTo>
                                  <a:pt x="256486" y="10378"/>
                                </a:moveTo>
                                <a:lnTo>
                                  <a:pt x="196810" y="10378"/>
                                </a:lnTo>
                                <a:lnTo>
                                  <a:pt x="246735" y="17097"/>
                                </a:lnTo>
                                <a:lnTo>
                                  <a:pt x="246490" y="17097"/>
                                </a:lnTo>
                                <a:lnTo>
                                  <a:pt x="291003" y="35939"/>
                                </a:lnTo>
                                <a:lnTo>
                                  <a:pt x="328702" y="65133"/>
                                </a:lnTo>
                                <a:lnTo>
                                  <a:pt x="357826" y="102906"/>
                                </a:lnTo>
                                <a:lnTo>
                                  <a:pt x="376605" y="147484"/>
                                </a:lnTo>
                                <a:lnTo>
                                  <a:pt x="383262" y="197094"/>
                                </a:lnTo>
                                <a:lnTo>
                                  <a:pt x="376601" y="246729"/>
                                </a:lnTo>
                                <a:lnTo>
                                  <a:pt x="357805" y="291331"/>
                                </a:lnTo>
                                <a:lnTo>
                                  <a:pt x="328651" y="329119"/>
                                </a:lnTo>
                                <a:lnTo>
                                  <a:pt x="290915" y="358313"/>
                                </a:lnTo>
                                <a:lnTo>
                                  <a:pt x="246376" y="377135"/>
                                </a:lnTo>
                                <a:lnTo>
                                  <a:pt x="196810" y="383805"/>
                                </a:lnTo>
                                <a:lnTo>
                                  <a:pt x="256391" y="383805"/>
                                </a:lnTo>
                                <a:lnTo>
                                  <a:pt x="319907" y="350885"/>
                                </a:lnTo>
                                <a:lnTo>
                                  <a:pt x="350386" y="320363"/>
                                </a:lnTo>
                                <a:lnTo>
                                  <a:pt x="373620" y="283768"/>
                                </a:lnTo>
                                <a:lnTo>
                                  <a:pt x="388427" y="242284"/>
                                </a:lnTo>
                                <a:lnTo>
                                  <a:pt x="393626" y="197094"/>
                                </a:lnTo>
                                <a:lnTo>
                                  <a:pt x="388449" y="151920"/>
                                </a:lnTo>
                                <a:lnTo>
                                  <a:pt x="373667" y="110447"/>
                                </a:lnTo>
                                <a:lnTo>
                                  <a:pt x="350461" y="73857"/>
                                </a:lnTo>
                                <a:lnTo>
                                  <a:pt x="320011" y="43333"/>
                                </a:lnTo>
                                <a:lnTo>
                                  <a:pt x="283497" y="20060"/>
                                </a:lnTo>
                                <a:lnTo>
                                  <a:pt x="256486" y="10378"/>
                                </a:lnTo>
                                <a:close/>
                              </a:path>
                            </a:pathLst>
                          </a:custGeom>
                          <a:solidFill>
                            <a:srgbClr val="FFFFFF"/>
                          </a:solidFill>
                        </wps:spPr>
                        <wps:bodyPr wrap="square" lIns="0" tIns="0" rIns="0" bIns="0" rtlCol="0">
                          <a:prstTxWarp prst="textNoShape">
                            <a:avLst/>
                          </a:prstTxWarp>
                          <a:noAutofit/>
                        </wps:bodyPr>
                      </wps:wsp>
                      <wps:wsp>
                        <wps:cNvPr id="79" name="Graphic 79"/>
                        <wps:cNvSpPr/>
                        <wps:spPr>
                          <a:xfrm>
                            <a:off x="212027" y="3008036"/>
                            <a:ext cx="393700" cy="394335"/>
                          </a:xfrm>
                          <a:custGeom>
                            <a:avLst/>
                            <a:gdLst/>
                            <a:ahLst/>
                            <a:cxnLst/>
                            <a:rect l="l" t="t" r="r" b="b"/>
                            <a:pathLst>
                              <a:path w="393700" h="394335">
                                <a:moveTo>
                                  <a:pt x="196810" y="10378"/>
                                </a:moveTo>
                                <a:lnTo>
                                  <a:pt x="246376" y="17048"/>
                                </a:lnTo>
                                <a:lnTo>
                                  <a:pt x="290915" y="35871"/>
                                </a:lnTo>
                                <a:lnTo>
                                  <a:pt x="328651" y="65067"/>
                                </a:lnTo>
                                <a:lnTo>
                                  <a:pt x="357805" y="102856"/>
                                </a:lnTo>
                                <a:lnTo>
                                  <a:pt x="376601" y="147458"/>
                                </a:lnTo>
                                <a:lnTo>
                                  <a:pt x="383262" y="197094"/>
                                </a:lnTo>
                                <a:lnTo>
                                  <a:pt x="376601" y="246729"/>
                                </a:lnTo>
                                <a:lnTo>
                                  <a:pt x="357805" y="291331"/>
                                </a:lnTo>
                                <a:lnTo>
                                  <a:pt x="328651" y="329119"/>
                                </a:lnTo>
                                <a:lnTo>
                                  <a:pt x="290915" y="358313"/>
                                </a:lnTo>
                                <a:lnTo>
                                  <a:pt x="246376" y="377135"/>
                                </a:lnTo>
                                <a:lnTo>
                                  <a:pt x="196810" y="383805"/>
                                </a:lnTo>
                                <a:lnTo>
                                  <a:pt x="147245" y="377135"/>
                                </a:lnTo>
                                <a:lnTo>
                                  <a:pt x="102707" y="358313"/>
                                </a:lnTo>
                                <a:lnTo>
                                  <a:pt x="64972" y="329118"/>
                                </a:lnTo>
                                <a:lnTo>
                                  <a:pt x="35819" y="291330"/>
                                </a:lnTo>
                                <a:lnTo>
                                  <a:pt x="17024" y="246729"/>
                                </a:lnTo>
                                <a:lnTo>
                                  <a:pt x="10364" y="197094"/>
                                </a:lnTo>
                                <a:lnTo>
                                  <a:pt x="17067" y="147483"/>
                                </a:lnTo>
                                <a:lnTo>
                                  <a:pt x="35881" y="102906"/>
                                </a:lnTo>
                                <a:lnTo>
                                  <a:pt x="65034" y="65133"/>
                                </a:lnTo>
                                <a:lnTo>
                                  <a:pt x="102754" y="35939"/>
                                </a:lnTo>
                                <a:lnTo>
                                  <a:pt x="147270" y="17096"/>
                                </a:lnTo>
                                <a:lnTo>
                                  <a:pt x="196810" y="10378"/>
                                </a:lnTo>
                              </a:path>
                              <a:path w="393700" h="394335">
                                <a:moveTo>
                                  <a:pt x="196810" y="0"/>
                                </a:moveTo>
                                <a:lnTo>
                                  <a:pt x="151683" y="5205"/>
                                </a:lnTo>
                                <a:lnTo>
                                  <a:pt x="110257" y="20033"/>
                                </a:lnTo>
                                <a:lnTo>
                                  <a:pt x="73714" y="43300"/>
                                </a:lnTo>
                                <a:lnTo>
                                  <a:pt x="43236" y="73823"/>
                                </a:lnTo>
                                <a:lnTo>
                                  <a:pt x="20003" y="110418"/>
                                </a:lnTo>
                                <a:lnTo>
                                  <a:pt x="5197" y="151903"/>
                                </a:lnTo>
                                <a:lnTo>
                                  <a:pt x="0" y="197094"/>
                                </a:lnTo>
                                <a:lnTo>
                                  <a:pt x="5197" y="242284"/>
                                </a:lnTo>
                                <a:lnTo>
                                  <a:pt x="20003" y="283768"/>
                                </a:lnTo>
                                <a:lnTo>
                                  <a:pt x="43236" y="320363"/>
                                </a:lnTo>
                                <a:lnTo>
                                  <a:pt x="73714" y="350885"/>
                                </a:lnTo>
                                <a:lnTo>
                                  <a:pt x="110257" y="374151"/>
                                </a:lnTo>
                                <a:lnTo>
                                  <a:pt x="151683" y="388978"/>
                                </a:lnTo>
                                <a:lnTo>
                                  <a:pt x="196810" y="394184"/>
                                </a:lnTo>
                                <a:lnTo>
                                  <a:pt x="241937" y="388978"/>
                                </a:lnTo>
                                <a:lnTo>
                                  <a:pt x="283363" y="374151"/>
                                </a:lnTo>
                                <a:lnTo>
                                  <a:pt x="319907" y="350885"/>
                                </a:lnTo>
                                <a:lnTo>
                                  <a:pt x="350386" y="320363"/>
                                </a:lnTo>
                                <a:lnTo>
                                  <a:pt x="373620" y="283768"/>
                                </a:lnTo>
                                <a:lnTo>
                                  <a:pt x="388427" y="242284"/>
                                </a:lnTo>
                                <a:lnTo>
                                  <a:pt x="393626" y="197094"/>
                                </a:lnTo>
                                <a:lnTo>
                                  <a:pt x="388449" y="151920"/>
                                </a:lnTo>
                                <a:lnTo>
                                  <a:pt x="373667" y="110447"/>
                                </a:lnTo>
                                <a:lnTo>
                                  <a:pt x="350461" y="73857"/>
                                </a:lnTo>
                                <a:lnTo>
                                  <a:pt x="320011" y="43333"/>
                                </a:lnTo>
                                <a:lnTo>
                                  <a:pt x="283497" y="20060"/>
                                </a:lnTo>
                                <a:lnTo>
                                  <a:pt x="242098" y="5221"/>
                                </a:lnTo>
                                <a:lnTo>
                                  <a:pt x="196996" y="0"/>
                                </a:lnTo>
                                <a:lnTo>
                                  <a:pt x="196810" y="0"/>
                                </a:lnTo>
                                <a:close/>
                              </a:path>
                            </a:pathLst>
                          </a:custGeom>
                          <a:ln w="12291">
                            <a:solidFill>
                              <a:srgbClr val="FFFFFF"/>
                            </a:solidFill>
                            <a:prstDash val="solid"/>
                          </a:ln>
                        </wps:spPr>
                        <wps:bodyPr wrap="square" lIns="0" tIns="0" rIns="0" bIns="0" rtlCol="0">
                          <a:prstTxWarp prst="textNoShape">
                            <a:avLst/>
                          </a:prstTxWarp>
                          <a:noAutofit/>
                        </wps:bodyPr>
                      </wps:wsp>
                      <pic:pic>
                        <pic:nvPicPr>
                          <pic:cNvPr id="80" name="Image 80"/>
                          <pic:cNvPicPr/>
                        </pic:nvPicPr>
                        <pic:blipFill>
                          <a:blip r:embed="rId45" cstate="print"/>
                          <a:stretch>
                            <a:fillRect/>
                          </a:stretch>
                        </pic:blipFill>
                        <pic:spPr>
                          <a:xfrm>
                            <a:off x="358534" y="3109517"/>
                            <a:ext cx="102757" cy="186128"/>
                          </a:xfrm>
                          <a:prstGeom prst="rect">
                            <a:avLst/>
                          </a:prstGeom>
                        </pic:spPr>
                      </pic:pic>
                      <wps:wsp>
                        <wps:cNvPr id="81" name="Graphic 81"/>
                        <wps:cNvSpPr/>
                        <wps:spPr>
                          <a:xfrm>
                            <a:off x="229710" y="2215631"/>
                            <a:ext cx="393700" cy="389255"/>
                          </a:xfrm>
                          <a:custGeom>
                            <a:avLst/>
                            <a:gdLst/>
                            <a:ahLst/>
                            <a:cxnLst/>
                            <a:rect l="l" t="t" r="r" b="b"/>
                            <a:pathLst>
                              <a:path w="393700" h="389255">
                                <a:moveTo>
                                  <a:pt x="197014" y="0"/>
                                </a:moveTo>
                                <a:lnTo>
                                  <a:pt x="151651" y="5151"/>
                                </a:lnTo>
                                <a:lnTo>
                                  <a:pt x="110224" y="19789"/>
                                </a:lnTo>
                                <a:lnTo>
                                  <a:pt x="73688" y="42748"/>
                                </a:lnTo>
                                <a:lnTo>
                                  <a:pt x="43218" y="72859"/>
                                </a:lnTo>
                                <a:lnTo>
                                  <a:pt x="19995" y="108956"/>
                                </a:lnTo>
                                <a:lnTo>
                                  <a:pt x="5196" y="149869"/>
                                </a:lnTo>
                                <a:lnTo>
                                  <a:pt x="0" y="194433"/>
                                </a:lnTo>
                                <a:lnTo>
                                  <a:pt x="5198" y="239013"/>
                                </a:lnTo>
                                <a:lnTo>
                                  <a:pt x="20005" y="279938"/>
                                </a:lnTo>
                                <a:lnTo>
                                  <a:pt x="43240" y="316038"/>
                                </a:lnTo>
                                <a:lnTo>
                                  <a:pt x="73721" y="346148"/>
                                </a:lnTo>
                                <a:lnTo>
                                  <a:pt x="110267" y="369100"/>
                                </a:lnTo>
                                <a:lnTo>
                                  <a:pt x="151696" y="383728"/>
                                </a:lnTo>
                                <a:lnTo>
                                  <a:pt x="196828" y="388863"/>
                                </a:lnTo>
                                <a:lnTo>
                                  <a:pt x="241959" y="383728"/>
                                </a:lnTo>
                                <a:lnTo>
                                  <a:pt x="256414" y="378624"/>
                                </a:lnTo>
                                <a:lnTo>
                                  <a:pt x="196828" y="378624"/>
                                </a:lnTo>
                                <a:lnTo>
                                  <a:pt x="147259" y="372045"/>
                                </a:lnTo>
                                <a:lnTo>
                                  <a:pt x="102716" y="353477"/>
                                </a:lnTo>
                                <a:lnTo>
                                  <a:pt x="64978" y="324676"/>
                                </a:lnTo>
                                <a:lnTo>
                                  <a:pt x="35822" y="287398"/>
                                </a:lnTo>
                                <a:lnTo>
                                  <a:pt x="17025" y="243398"/>
                                </a:lnTo>
                                <a:lnTo>
                                  <a:pt x="10365" y="194433"/>
                                </a:lnTo>
                                <a:lnTo>
                                  <a:pt x="17069" y="145493"/>
                                </a:lnTo>
                                <a:lnTo>
                                  <a:pt x="35885" y="101516"/>
                                </a:lnTo>
                                <a:lnTo>
                                  <a:pt x="65040" y="64254"/>
                                </a:lnTo>
                                <a:lnTo>
                                  <a:pt x="102763" y="35454"/>
                                </a:lnTo>
                                <a:lnTo>
                                  <a:pt x="147283" y="16866"/>
                                </a:lnTo>
                                <a:lnTo>
                                  <a:pt x="196828" y="10238"/>
                                </a:lnTo>
                                <a:lnTo>
                                  <a:pt x="256509" y="10238"/>
                                </a:lnTo>
                                <a:lnTo>
                                  <a:pt x="242120" y="5151"/>
                                </a:lnTo>
                                <a:lnTo>
                                  <a:pt x="197014" y="0"/>
                                </a:lnTo>
                                <a:close/>
                              </a:path>
                              <a:path w="393700" h="389255">
                                <a:moveTo>
                                  <a:pt x="256509" y="10238"/>
                                </a:moveTo>
                                <a:lnTo>
                                  <a:pt x="196828" y="10238"/>
                                </a:lnTo>
                                <a:lnTo>
                                  <a:pt x="246758" y="16866"/>
                                </a:lnTo>
                                <a:lnTo>
                                  <a:pt x="246513" y="16866"/>
                                </a:lnTo>
                                <a:lnTo>
                                  <a:pt x="291030" y="35454"/>
                                </a:lnTo>
                                <a:lnTo>
                                  <a:pt x="328732" y="64254"/>
                                </a:lnTo>
                                <a:lnTo>
                                  <a:pt x="357859" y="101517"/>
                                </a:lnTo>
                                <a:lnTo>
                                  <a:pt x="376639" y="145493"/>
                                </a:lnTo>
                                <a:lnTo>
                                  <a:pt x="383296" y="194434"/>
                                </a:lnTo>
                                <a:lnTo>
                                  <a:pt x="376635" y="243399"/>
                                </a:lnTo>
                                <a:lnTo>
                                  <a:pt x="357838" y="287398"/>
                                </a:lnTo>
                                <a:lnTo>
                                  <a:pt x="328680" y="324676"/>
                                </a:lnTo>
                                <a:lnTo>
                                  <a:pt x="290941" y="353477"/>
                                </a:lnTo>
                                <a:lnTo>
                                  <a:pt x="246398" y="372045"/>
                                </a:lnTo>
                                <a:lnTo>
                                  <a:pt x="196828" y="378624"/>
                                </a:lnTo>
                                <a:lnTo>
                                  <a:pt x="256414" y="378624"/>
                                </a:lnTo>
                                <a:lnTo>
                                  <a:pt x="319936" y="346148"/>
                                </a:lnTo>
                                <a:lnTo>
                                  <a:pt x="350418" y="316039"/>
                                </a:lnTo>
                                <a:lnTo>
                                  <a:pt x="373654" y="279938"/>
                                </a:lnTo>
                                <a:lnTo>
                                  <a:pt x="388463" y="239014"/>
                                </a:lnTo>
                                <a:lnTo>
                                  <a:pt x="393661" y="194434"/>
                                </a:lnTo>
                                <a:lnTo>
                                  <a:pt x="388484" y="149870"/>
                                </a:lnTo>
                                <a:lnTo>
                                  <a:pt x="373701" y="108956"/>
                                </a:lnTo>
                                <a:lnTo>
                                  <a:pt x="350493" y="72860"/>
                                </a:lnTo>
                                <a:lnTo>
                                  <a:pt x="320040" y="42749"/>
                                </a:lnTo>
                                <a:lnTo>
                                  <a:pt x="283523" y="19790"/>
                                </a:lnTo>
                                <a:lnTo>
                                  <a:pt x="256509" y="10238"/>
                                </a:lnTo>
                                <a:close/>
                              </a:path>
                            </a:pathLst>
                          </a:custGeom>
                          <a:solidFill>
                            <a:srgbClr val="FFFFFF"/>
                          </a:solidFill>
                        </wps:spPr>
                        <wps:bodyPr wrap="square" lIns="0" tIns="0" rIns="0" bIns="0" rtlCol="0">
                          <a:prstTxWarp prst="textNoShape">
                            <a:avLst/>
                          </a:prstTxWarp>
                          <a:noAutofit/>
                        </wps:bodyPr>
                      </wps:wsp>
                      <wps:wsp>
                        <wps:cNvPr id="82" name="Graphic 82"/>
                        <wps:cNvSpPr/>
                        <wps:spPr>
                          <a:xfrm>
                            <a:off x="229710" y="2215631"/>
                            <a:ext cx="393700" cy="389255"/>
                          </a:xfrm>
                          <a:custGeom>
                            <a:avLst/>
                            <a:gdLst/>
                            <a:ahLst/>
                            <a:cxnLst/>
                            <a:rect l="l" t="t" r="r" b="b"/>
                            <a:pathLst>
                              <a:path w="393700" h="389255">
                                <a:moveTo>
                                  <a:pt x="196828" y="10238"/>
                                </a:moveTo>
                                <a:lnTo>
                                  <a:pt x="246398" y="16818"/>
                                </a:lnTo>
                                <a:lnTo>
                                  <a:pt x="290941" y="35387"/>
                                </a:lnTo>
                                <a:lnTo>
                                  <a:pt x="328680" y="64189"/>
                                </a:lnTo>
                                <a:lnTo>
                                  <a:pt x="357838" y="101468"/>
                                </a:lnTo>
                                <a:lnTo>
                                  <a:pt x="376635" y="145468"/>
                                </a:lnTo>
                                <a:lnTo>
                                  <a:pt x="383296" y="194434"/>
                                </a:lnTo>
                                <a:lnTo>
                                  <a:pt x="376635" y="243399"/>
                                </a:lnTo>
                                <a:lnTo>
                                  <a:pt x="357838" y="287398"/>
                                </a:lnTo>
                                <a:lnTo>
                                  <a:pt x="328680" y="324676"/>
                                </a:lnTo>
                                <a:lnTo>
                                  <a:pt x="290941" y="353477"/>
                                </a:lnTo>
                                <a:lnTo>
                                  <a:pt x="246398" y="372045"/>
                                </a:lnTo>
                                <a:lnTo>
                                  <a:pt x="196828" y="378624"/>
                                </a:lnTo>
                                <a:lnTo>
                                  <a:pt x="147259" y="372045"/>
                                </a:lnTo>
                                <a:lnTo>
                                  <a:pt x="102716" y="353477"/>
                                </a:lnTo>
                                <a:lnTo>
                                  <a:pt x="64978" y="324676"/>
                                </a:lnTo>
                                <a:lnTo>
                                  <a:pt x="35822" y="287398"/>
                                </a:lnTo>
                                <a:lnTo>
                                  <a:pt x="17025" y="243398"/>
                                </a:lnTo>
                                <a:lnTo>
                                  <a:pt x="10365" y="194433"/>
                                </a:lnTo>
                                <a:lnTo>
                                  <a:pt x="17069" y="145493"/>
                                </a:lnTo>
                                <a:lnTo>
                                  <a:pt x="35885" y="101516"/>
                                </a:lnTo>
                                <a:lnTo>
                                  <a:pt x="65040" y="64254"/>
                                </a:lnTo>
                                <a:lnTo>
                                  <a:pt x="102763" y="35454"/>
                                </a:lnTo>
                                <a:lnTo>
                                  <a:pt x="147283" y="16866"/>
                                </a:lnTo>
                                <a:lnTo>
                                  <a:pt x="196828" y="10238"/>
                                </a:lnTo>
                              </a:path>
                              <a:path w="393700" h="389255">
                                <a:moveTo>
                                  <a:pt x="196828" y="0"/>
                                </a:moveTo>
                                <a:lnTo>
                                  <a:pt x="151696" y="5135"/>
                                </a:lnTo>
                                <a:lnTo>
                                  <a:pt x="110267" y="19763"/>
                                </a:lnTo>
                                <a:lnTo>
                                  <a:pt x="73721" y="42715"/>
                                </a:lnTo>
                                <a:lnTo>
                                  <a:pt x="43240" y="72826"/>
                                </a:lnTo>
                                <a:lnTo>
                                  <a:pt x="20005" y="108928"/>
                                </a:lnTo>
                                <a:lnTo>
                                  <a:pt x="5198" y="149852"/>
                                </a:lnTo>
                                <a:lnTo>
                                  <a:pt x="0" y="194433"/>
                                </a:lnTo>
                                <a:lnTo>
                                  <a:pt x="5198" y="239013"/>
                                </a:lnTo>
                                <a:lnTo>
                                  <a:pt x="20005" y="279938"/>
                                </a:lnTo>
                                <a:lnTo>
                                  <a:pt x="43240" y="316038"/>
                                </a:lnTo>
                                <a:lnTo>
                                  <a:pt x="73721" y="346148"/>
                                </a:lnTo>
                                <a:lnTo>
                                  <a:pt x="110267" y="369100"/>
                                </a:lnTo>
                                <a:lnTo>
                                  <a:pt x="151696" y="383728"/>
                                </a:lnTo>
                                <a:lnTo>
                                  <a:pt x="196828" y="388863"/>
                                </a:lnTo>
                                <a:lnTo>
                                  <a:pt x="241959" y="383728"/>
                                </a:lnTo>
                                <a:lnTo>
                                  <a:pt x="283389" y="369101"/>
                                </a:lnTo>
                                <a:lnTo>
                                  <a:pt x="319936" y="346148"/>
                                </a:lnTo>
                                <a:lnTo>
                                  <a:pt x="350418" y="316039"/>
                                </a:lnTo>
                                <a:lnTo>
                                  <a:pt x="373654" y="279938"/>
                                </a:lnTo>
                                <a:lnTo>
                                  <a:pt x="388463" y="239014"/>
                                </a:lnTo>
                                <a:lnTo>
                                  <a:pt x="393661" y="194434"/>
                                </a:lnTo>
                                <a:lnTo>
                                  <a:pt x="388484" y="149870"/>
                                </a:lnTo>
                                <a:lnTo>
                                  <a:pt x="373701" y="108956"/>
                                </a:lnTo>
                                <a:lnTo>
                                  <a:pt x="350493" y="72860"/>
                                </a:lnTo>
                                <a:lnTo>
                                  <a:pt x="320040" y="42749"/>
                                </a:lnTo>
                                <a:lnTo>
                                  <a:pt x="283523" y="19790"/>
                                </a:lnTo>
                                <a:lnTo>
                                  <a:pt x="242120" y="5151"/>
                                </a:lnTo>
                                <a:lnTo>
                                  <a:pt x="197014" y="0"/>
                                </a:lnTo>
                                <a:lnTo>
                                  <a:pt x="196828" y="0"/>
                                </a:lnTo>
                                <a:close/>
                              </a:path>
                            </a:pathLst>
                          </a:custGeom>
                          <a:ln w="10301">
                            <a:solidFill>
                              <a:srgbClr val="FFFFFF"/>
                            </a:solidFill>
                            <a:prstDash val="solid"/>
                          </a:ln>
                        </wps:spPr>
                        <wps:bodyPr wrap="square" lIns="0" tIns="0" rIns="0" bIns="0" rtlCol="0">
                          <a:prstTxWarp prst="textNoShape">
                            <a:avLst/>
                          </a:prstTxWarp>
                          <a:noAutofit/>
                        </wps:bodyPr>
                      </wps:wsp>
                      <pic:pic>
                        <pic:nvPicPr>
                          <pic:cNvPr id="83" name="Image 83"/>
                          <pic:cNvPicPr/>
                        </pic:nvPicPr>
                        <pic:blipFill>
                          <a:blip r:embed="rId46" cstate="print"/>
                          <a:stretch>
                            <a:fillRect/>
                          </a:stretch>
                        </pic:blipFill>
                        <pic:spPr>
                          <a:xfrm>
                            <a:off x="350744" y="2316650"/>
                            <a:ext cx="131805" cy="178801"/>
                          </a:xfrm>
                          <a:prstGeom prst="rect">
                            <a:avLst/>
                          </a:prstGeom>
                        </pic:spPr>
                      </pic:pic>
                      <pic:pic>
                        <pic:nvPicPr>
                          <pic:cNvPr id="84" name="Image 84"/>
                          <pic:cNvPicPr/>
                        </pic:nvPicPr>
                        <pic:blipFill>
                          <a:blip r:embed="rId47" cstate="print"/>
                          <a:stretch>
                            <a:fillRect/>
                          </a:stretch>
                        </pic:blipFill>
                        <pic:spPr>
                          <a:xfrm>
                            <a:off x="4239005" y="2201316"/>
                            <a:ext cx="1723643" cy="473938"/>
                          </a:xfrm>
                          <a:prstGeom prst="rect">
                            <a:avLst/>
                          </a:prstGeom>
                        </pic:spPr>
                      </pic:pic>
                      <wps:wsp>
                        <wps:cNvPr id="85" name="Graphic 85"/>
                        <wps:cNvSpPr/>
                        <wps:spPr>
                          <a:xfrm>
                            <a:off x="4273041" y="2233929"/>
                            <a:ext cx="1605915" cy="360045"/>
                          </a:xfrm>
                          <a:custGeom>
                            <a:avLst/>
                            <a:gdLst/>
                            <a:ahLst/>
                            <a:cxnLst/>
                            <a:rect l="l" t="t" r="r" b="b"/>
                            <a:pathLst>
                              <a:path w="1605915" h="360045">
                                <a:moveTo>
                                  <a:pt x="1605533" y="0"/>
                                </a:moveTo>
                                <a:lnTo>
                                  <a:pt x="90042" y="0"/>
                                </a:lnTo>
                                <a:lnTo>
                                  <a:pt x="0" y="359917"/>
                                </a:lnTo>
                                <a:lnTo>
                                  <a:pt x="1515491" y="359917"/>
                                </a:lnTo>
                                <a:lnTo>
                                  <a:pt x="1605533" y="0"/>
                                </a:lnTo>
                                <a:close/>
                              </a:path>
                            </a:pathLst>
                          </a:custGeom>
                          <a:solidFill>
                            <a:srgbClr val="FFFFFF"/>
                          </a:solidFill>
                        </wps:spPr>
                        <wps:bodyPr wrap="square" lIns="0" tIns="0" rIns="0" bIns="0" rtlCol="0">
                          <a:prstTxWarp prst="textNoShape">
                            <a:avLst/>
                          </a:prstTxWarp>
                          <a:noAutofit/>
                        </wps:bodyPr>
                      </wps:wsp>
                      <wps:wsp>
                        <wps:cNvPr id="86" name="Graphic 86"/>
                        <wps:cNvSpPr/>
                        <wps:spPr>
                          <a:xfrm>
                            <a:off x="4273041" y="2233929"/>
                            <a:ext cx="1605915" cy="360045"/>
                          </a:xfrm>
                          <a:custGeom>
                            <a:avLst/>
                            <a:gdLst/>
                            <a:ahLst/>
                            <a:cxnLst/>
                            <a:rect l="l" t="t" r="r" b="b"/>
                            <a:pathLst>
                              <a:path w="1605915" h="360045">
                                <a:moveTo>
                                  <a:pt x="0" y="359917"/>
                                </a:moveTo>
                                <a:lnTo>
                                  <a:pt x="90042" y="0"/>
                                </a:lnTo>
                                <a:lnTo>
                                  <a:pt x="1605533" y="0"/>
                                </a:lnTo>
                                <a:lnTo>
                                  <a:pt x="1515491" y="359917"/>
                                </a:lnTo>
                                <a:lnTo>
                                  <a:pt x="0" y="359917"/>
                                </a:lnTo>
                                <a:close/>
                              </a:path>
                            </a:pathLst>
                          </a:custGeom>
                          <a:ln w="12700">
                            <a:solidFill>
                              <a:srgbClr val="FFFFFF"/>
                            </a:solidFill>
                            <a:prstDash val="solid"/>
                          </a:ln>
                        </wps:spPr>
                        <wps:bodyPr wrap="square" lIns="0" tIns="0" rIns="0" bIns="0" rtlCol="0">
                          <a:prstTxWarp prst="textNoShape">
                            <a:avLst/>
                          </a:prstTxWarp>
                          <a:noAutofit/>
                        </wps:bodyPr>
                      </wps:wsp>
                      <wps:wsp>
                        <wps:cNvPr id="87" name="Textbox 87"/>
                        <wps:cNvSpPr txBox="1"/>
                        <wps:spPr>
                          <a:xfrm>
                            <a:off x="4535932" y="3007868"/>
                            <a:ext cx="705485" cy="274955"/>
                          </a:xfrm>
                          <a:prstGeom prst="rect">
                            <a:avLst/>
                          </a:prstGeom>
                        </wps:spPr>
                        <wps:txbx>
                          <w:txbxContent>
                            <w:p>
                              <w:pPr>
                                <w:spacing w:line="261" w:lineRule="auto" w:before="0"/>
                                <w:ind w:left="0" w:right="0" w:firstLine="0"/>
                                <w:jc w:val="left"/>
                                <w:rPr>
                                  <w:rFonts w:ascii="Arial Narrow" w:hAnsi="Arial Narrow"/>
                                  <w:sz w:val="18"/>
                                </w:rPr>
                              </w:pPr>
                              <w:hyperlink w:history="true" w:anchor="_bookmark108">
                                <w:r>
                                  <w:rPr>
                                    <w:rFonts w:ascii="Arial Narrow" w:hAnsi="Arial Narrow"/>
                                    <w:sz w:val="18"/>
                                  </w:rPr>
                                  <w:t>Epígrafe II.5.2</w:t>
                                </w:r>
                              </w:hyperlink>
                              <w:r>
                                <w:rPr>
                                  <w:rFonts w:ascii="Arial Narrow" w:hAnsi="Arial Narrow"/>
                                  <w:sz w:val="18"/>
                                </w:rPr>
                                <w:t> </w:t>
                              </w:r>
                              <w:r>
                                <w:rPr>
                                  <w:rFonts w:ascii="Arial Narrow" w:hAnsi="Arial Narrow"/>
                                  <w:color w:val="436C92"/>
                                  <w:sz w:val="18"/>
                                </w:rPr>
                                <w:t>y </w:t>
                              </w:r>
                              <w:hyperlink w:history="true" w:anchor="_bookmark112">
                                <w:r>
                                  <w:rPr>
                                    <w:rFonts w:ascii="Arial Narrow" w:hAnsi="Arial Narrow"/>
                                    <w:sz w:val="18"/>
                                  </w:rPr>
                                  <w:t>Subapartado</w:t>
                                </w:r>
                                <w:r>
                                  <w:rPr>
                                    <w:rFonts w:ascii="Arial Narrow" w:hAnsi="Arial Narrow"/>
                                    <w:spacing w:val="-4"/>
                                    <w:sz w:val="18"/>
                                  </w:rPr>
                                  <w:t> </w:t>
                                </w:r>
                                <w:r>
                                  <w:rPr>
                                    <w:rFonts w:ascii="Arial Narrow" w:hAnsi="Arial Narrow"/>
                                    <w:spacing w:val="-4"/>
                                    <w:sz w:val="18"/>
                                  </w:rPr>
                                  <w:t>II.6</w:t>
                                </w:r>
                              </w:hyperlink>
                            </w:p>
                          </w:txbxContent>
                        </wps:txbx>
                        <wps:bodyPr wrap="square" lIns="0" tIns="0" rIns="0" bIns="0" rtlCol="0">
                          <a:noAutofit/>
                        </wps:bodyPr>
                      </wps:wsp>
                      <wps:wsp>
                        <wps:cNvPr id="88" name="Textbox 88"/>
                        <wps:cNvSpPr txBox="1"/>
                        <wps:spPr>
                          <a:xfrm>
                            <a:off x="834644" y="2842538"/>
                            <a:ext cx="3367404" cy="775335"/>
                          </a:xfrm>
                          <a:prstGeom prst="rect">
                            <a:avLst/>
                          </a:prstGeom>
                        </wps:spPr>
                        <wps:txbx>
                          <w:txbxContent>
                            <w:p>
                              <w:pPr>
                                <w:spacing w:line="259" w:lineRule="auto" w:before="0"/>
                                <w:ind w:left="0" w:right="18" w:firstLine="0"/>
                                <w:jc w:val="both"/>
                                <w:rPr>
                                  <w:rFonts w:ascii="Arial Narrow" w:hAnsi="Arial Narrow"/>
                                  <w:sz w:val="20"/>
                                </w:rPr>
                              </w:pPr>
                              <w:r>
                                <w:rPr>
                                  <w:rFonts w:ascii="Arial Narrow" w:hAnsi="Arial Narrow"/>
                                  <w:color w:val="FFFFFF"/>
                                  <w:sz w:val="20"/>
                                </w:rPr>
                                <w:t>Verificar la observancia de la normativa para la igualdad efectiva de mujeres y hombres y</w:t>
                              </w:r>
                              <w:r>
                                <w:rPr>
                                  <w:rFonts w:ascii="Arial Narrow" w:hAnsi="Arial Narrow"/>
                                  <w:color w:val="FFFFFF"/>
                                  <w:spacing w:val="-2"/>
                                  <w:sz w:val="20"/>
                                </w:rPr>
                                <w:t> </w:t>
                              </w:r>
                              <w:r>
                                <w:rPr>
                                  <w:rFonts w:ascii="Arial Narrow" w:hAnsi="Arial Narrow"/>
                                  <w:color w:val="FFFFFF"/>
                                  <w:sz w:val="20"/>
                                </w:rPr>
                                <w:t>de las prescripciones de transparencia, así como las medidas implantadas al servicio de garantizar la integridad en la gestión</w:t>
                              </w:r>
                              <w:r>
                                <w:rPr>
                                  <w:rFonts w:ascii="Arial Narrow" w:hAnsi="Arial Narrow"/>
                                  <w:color w:val="FFFFFF"/>
                                  <w:spacing w:val="-10"/>
                                  <w:sz w:val="20"/>
                                </w:rPr>
                                <w:t> </w:t>
                              </w:r>
                              <w:r>
                                <w:rPr>
                                  <w:rFonts w:ascii="Arial Narrow" w:hAnsi="Arial Narrow"/>
                                  <w:color w:val="FFFFFF"/>
                                  <w:sz w:val="20"/>
                                </w:rPr>
                                <w:t>pública,</w:t>
                              </w:r>
                              <w:r>
                                <w:rPr>
                                  <w:rFonts w:ascii="Arial Narrow" w:hAnsi="Arial Narrow"/>
                                  <w:color w:val="FFFFFF"/>
                                  <w:spacing w:val="-10"/>
                                  <w:sz w:val="20"/>
                                </w:rPr>
                                <w:t> </w:t>
                              </w:r>
                              <w:r>
                                <w:rPr>
                                  <w:rFonts w:ascii="Arial Narrow" w:hAnsi="Arial Narrow"/>
                                  <w:color w:val="FFFFFF"/>
                                  <w:sz w:val="20"/>
                                </w:rPr>
                                <w:t>en</w:t>
                              </w:r>
                              <w:r>
                                <w:rPr>
                                  <w:rFonts w:ascii="Arial Narrow" w:hAnsi="Arial Narrow"/>
                                  <w:color w:val="FFFFFF"/>
                                  <w:spacing w:val="-10"/>
                                  <w:sz w:val="20"/>
                                </w:rPr>
                                <w:t> </w:t>
                              </w:r>
                              <w:r>
                                <w:rPr>
                                  <w:rFonts w:ascii="Arial Narrow" w:hAnsi="Arial Narrow"/>
                                  <w:color w:val="FFFFFF"/>
                                  <w:sz w:val="20"/>
                                </w:rPr>
                                <w:t>aquello</w:t>
                              </w:r>
                              <w:r>
                                <w:rPr>
                                  <w:rFonts w:ascii="Arial Narrow" w:hAnsi="Arial Narrow"/>
                                  <w:color w:val="FFFFFF"/>
                                  <w:spacing w:val="-11"/>
                                  <w:sz w:val="20"/>
                                </w:rPr>
                                <w:t> </w:t>
                              </w:r>
                              <w:r>
                                <w:rPr>
                                  <w:rFonts w:ascii="Arial Narrow" w:hAnsi="Arial Narrow"/>
                                  <w:color w:val="FFFFFF"/>
                                  <w:sz w:val="20"/>
                                </w:rPr>
                                <w:t>que</w:t>
                              </w:r>
                              <w:r>
                                <w:rPr>
                                  <w:rFonts w:ascii="Arial Narrow" w:hAnsi="Arial Narrow"/>
                                  <w:color w:val="FFFFFF"/>
                                  <w:spacing w:val="-10"/>
                                  <w:sz w:val="20"/>
                                </w:rPr>
                                <w:t> </w:t>
                              </w:r>
                              <w:r>
                                <w:rPr>
                                  <w:rFonts w:ascii="Arial Narrow" w:hAnsi="Arial Narrow"/>
                                  <w:color w:val="FFFFFF"/>
                                  <w:sz w:val="20"/>
                                </w:rPr>
                                <w:t>pudiera</w:t>
                              </w:r>
                              <w:r>
                                <w:rPr>
                                  <w:rFonts w:ascii="Arial Narrow" w:hAnsi="Arial Narrow"/>
                                  <w:color w:val="FFFFFF"/>
                                  <w:spacing w:val="-10"/>
                                  <w:sz w:val="20"/>
                                </w:rPr>
                                <w:t> </w:t>
                              </w:r>
                              <w:r>
                                <w:rPr>
                                  <w:rFonts w:ascii="Arial Narrow" w:hAnsi="Arial Narrow"/>
                                  <w:color w:val="FFFFFF"/>
                                  <w:sz w:val="20"/>
                                </w:rPr>
                                <w:t>tener</w:t>
                              </w:r>
                              <w:r>
                                <w:rPr>
                                  <w:rFonts w:ascii="Arial Narrow" w:hAnsi="Arial Narrow"/>
                                  <w:color w:val="FFFFFF"/>
                                  <w:spacing w:val="-10"/>
                                  <w:sz w:val="20"/>
                                </w:rPr>
                                <w:t> </w:t>
                              </w:r>
                              <w:r>
                                <w:rPr>
                                  <w:rFonts w:ascii="Arial Narrow" w:hAnsi="Arial Narrow"/>
                                  <w:color w:val="FFFFFF"/>
                                  <w:sz w:val="20"/>
                                </w:rPr>
                                <w:t>relación</w:t>
                              </w:r>
                              <w:r>
                                <w:rPr>
                                  <w:rFonts w:ascii="Arial Narrow" w:hAnsi="Arial Narrow"/>
                                  <w:color w:val="FFFFFF"/>
                                  <w:spacing w:val="-10"/>
                                  <w:sz w:val="20"/>
                                </w:rPr>
                                <w:t> </w:t>
                              </w:r>
                              <w:r>
                                <w:rPr>
                                  <w:rFonts w:ascii="Arial Narrow" w:hAnsi="Arial Narrow"/>
                                  <w:color w:val="FFFFFF"/>
                                  <w:sz w:val="20"/>
                                </w:rPr>
                                <w:t>con</w:t>
                              </w:r>
                              <w:r>
                                <w:rPr>
                                  <w:rFonts w:ascii="Arial Narrow" w:hAnsi="Arial Narrow"/>
                                  <w:color w:val="FFFFFF"/>
                                  <w:spacing w:val="-10"/>
                                  <w:sz w:val="20"/>
                                </w:rPr>
                                <w:t> </w:t>
                              </w:r>
                              <w:r>
                                <w:rPr>
                                  <w:rFonts w:ascii="Arial Narrow" w:hAnsi="Arial Narrow"/>
                                  <w:color w:val="FFFFFF"/>
                                  <w:sz w:val="20"/>
                                </w:rPr>
                                <w:t>el</w:t>
                              </w:r>
                              <w:r>
                                <w:rPr>
                                  <w:rFonts w:ascii="Arial Narrow" w:hAnsi="Arial Narrow"/>
                                  <w:color w:val="FFFFFF"/>
                                  <w:spacing w:val="-11"/>
                                  <w:sz w:val="20"/>
                                </w:rPr>
                                <w:t> </w:t>
                              </w:r>
                              <w:r>
                                <w:rPr>
                                  <w:rFonts w:ascii="Arial Narrow" w:hAnsi="Arial Narrow"/>
                                  <w:color w:val="FFFFFF"/>
                                  <w:sz w:val="20"/>
                                </w:rPr>
                                <w:t>objeto</w:t>
                              </w:r>
                              <w:r>
                                <w:rPr>
                                  <w:rFonts w:ascii="Arial Narrow" w:hAnsi="Arial Narrow"/>
                                  <w:color w:val="FFFFFF"/>
                                  <w:spacing w:val="-5"/>
                                  <w:sz w:val="20"/>
                                </w:rPr>
                                <w:t> </w:t>
                              </w:r>
                              <w:r>
                                <w:rPr>
                                  <w:rFonts w:ascii="Arial Narrow" w:hAnsi="Arial Narrow"/>
                                  <w:color w:val="FFFFFF"/>
                                  <w:sz w:val="20"/>
                                </w:rPr>
                                <w:t>de</w:t>
                              </w:r>
                              <w:r>
                                <w:rPr>
                                  <w:rFonts w:ascii="Arial Narrow" w:hAnsi="Arial Narrow"/>
                                  <w:color w:val="FFFFFF"/>
                                  <w:spacing w:val="-10"/>
                                  <w:sz w:val="20"/>
                                </w:rPr>
                                <w:t> </w:t>
                              </w:r>
                              <w:r>
                                <w:rPr>
                                  <w:rFonts w:ascii="Arial Narrow" w:hAnsi="Arial Narrow"/>
                                  <w:color w:val="FFFFFF"/>
                                  <w:sz w:val="20"/>
                                </w:rPr>
                                <w:t>las actuaciones fiscalizadas.</w:t>
                              </w:r>
                            </w:p>
                          </w:txbxContent>
                        </wps:txbx>
                        <wps:bodyPr wrap="square" lIns="0" tIns="0" rIns="0" bIns="0" rtlCol="0">
                          <a:noAutofit/>
                        </wps:bodyPr>
                      </wps:wsp>
                      <wps:wsp>
                        <wps:cNvPr id="89" name="Textbox 89"/>
                        <wps:cNvSpPr txBox="1"/>
                        <wps:spPr>
                          <a:xfrm>
                            <a:off x="4543552" y="2344928"/>
                            <a:ext cx="705485" cy="131445"/>
                          </a:xfrm>
                          <a:prstGeom prst="rect">
                            <a:avLst/>
                          </a:prstGeom>
                        </wps:spPr>
                        <wps:txbx>
                          <w:txbxContent>
                            <w:p>
                              <w:pPr>
                                <w:spacing w:line="206" w:lineRule="exact" w:before="0"/>
                                <w:ind w:left="0" w:right="0" w:firstLine="0"/>
                                <w:jc w:val="left"/>
                                <w:rPr>
                                  <w:rFonts w:ascii="Arial Narrow"/>
                                  <w:sz w:val="18"/>
                                </w:rPr>
                              </w:pPr>
                              <w:hyperlink w:history="true" w:anchor="_bookmark99">
                                <w:r>
                                  <w:rPr>
                                    <w:rFonts w:ascii="Arial Narrow"/>
                                    <w:sz w:val="18"/>
                                  </w:rPr>
                                  <w:t>Subapartado</w:t>
                                </w:r>
                                <w:r>
                                  <w:rPr>
                                    <w:rFonts w:ascii="Arial Narrow"/>
                                    <w:spacing w:val="-7"/>
                                    <w:sz w:val="18"/>
                                  </w:rPr>
                                  <w:t> </w:t>
                                </w:r>
                                <w:r>
                                  <w:rPr>
                                    <w:rFonts w:ascii="Arial Narrow"/>
                                    <w:spacing w:val="-4"/>
                                    <w:sz w:val="18"/>
                                  </w:rPr>
                                  <w:t>II.4</w:t>
                                </w:r>
                              </w:hyperlink>
                            </w:p>
                          </w:txbxContent>
                        </wps:txbx>
                        <wps:bodyPr wrap="square" lIns="0" tIns="0" rIns="0" bIns="0" rtlCol="0">
                          <a:noAutofit/>
                        </wps:bodyPr>
                      </wps:wsp>
                      <wps:wsp>
                        <wps:cNvPr id="90" name="Textbox 90"/>
                        <wps:cNvSpPr txBox="1"/>
                        <wps:spPr>
                          <a:xfrm>
                            <a:off x="837691" y="2234462"/>
                            <a:ext cx="3356610" cy="304165"/>
                          </a:xfrm>
                          <a:prstGeom prst="rect">
                            <a:avLst/>
                          </a:prstGeom>
                        </wps:spPr>
                        <wps:txbx>
                          <w:txbxContent>
                            <w:p>
                              <w:pPr>
                                <w:spacing w:line="261" w:lineRule="auto" w:before="0"/>
                                <w:ind w:left="0" w:right="18" w:firstLine="0"/>
                                <w:jc w:val="left"/>
                                <w:rPr>
                                  <w:rFonts w:ascii="Arial Narrow" w:hAnsi="Arial Narrow"/>
                                  <w:sz w:val="20"/>
                                </w:rPr>
                              </w:pPr>
                              <w:r>
                                <w:rPr>
                                  <w:rFonts w:ascii="Arial Narrow" w:hAnsi="Arial Narrow"/>
                                  <w:color w:val="FFFFFF"/>
                                  <w:sz w:val="20"/>
                                </w:rPr>
                                <w:t>Verificar</w:t>
                              </w:r>
                              <w:r>
                                <w:rPr>
                                  <w:rFonts w:ascii="Arial Narrow" w:hAnsi="Arial Narrow"/>
                                  <w:color w:val="FFFFFF"/>
                                  <w:spacing w:val="26"/>
                                  <w:sz w:val="20"/>
                                </w:rPr>
                                <w:t> </w:t>
                              </w:r>
                              <w:r>
                                <w:rPr>
                                  <w:rFonts w:ascii="Arial Narrow" w:hAnsi="Arial Narrow"/>
                                  <w:color w:val="FFFFFF"/>
                                  <w:sz w:val="20"/>
                                </w:rPr>
                                <w:t>la</w:t>
                              </w:r>
                              <w:r>
                                <w:rPr>
                                  <w:rFonts w:ascii="Arial Narrow" w:hAnsi="Arial Narrow"/>
                                  <w:color w:val="FFFFFF"/>
                                  <w:spacing w:val="25"/>
                                  <w:sz w:val="20"/>
                                </w:rPr>
                                <w:t> </w:t>
                              </w:r>
                              <w:r>
                                <w:rPr>
                                  <w:rFonts w:ascii="Arial Narrow" w:hAnsi="Arial Narrow"/>
                                  <w:color w:val="FFFFFF"/>
                                  <w:sz w:val="20"/>
                                </w:rPr>
                                <w:t>existencia</w:t>
                              </w:r>
                              <w:r>
                                <w:rPr>
                                  <w:rFonts w:ascii="Arial Narrow" w:hAnsi="Arial Narrow"/>
                                  <w:color w:val="FFFFFF"/>
                                  <w:spacing w:val="25"/>
                                  <w:sz w:val="20"/>
                                </w:rPr>
                                <w:t> </w:t>
                              </w:r>
                              <w:r>
                                <w:rPr>
                                  <w:rFonts w:ascii="Arial Narrow" w:hAnsi="Arial Narrow"/>
                                  <w:color w:val="FFFFFF"/>
                                  <w:sz w:val="20"/>
                                </w:rPr>
                                <w:t>de</w:t>
                              </w:r>
                              <w:r>
                                <w:rPr>
                                  <w:rFonts w:ascii="Arial Narrow" w:hAnsi="Arial Narrow"/>
                                  <w:color w:val="FFFFFF"/>
                                  <w:spacing w:val="26"/>
                                  <w:sz w:val="20"/>
                                </w:rPr>
                                <w:t> </w:t>
                              </w:r>
                              <w:r>
                                <w:rPr>
                                  <w:rFonts w:ascii="Arial Narrow" w:hAnsi="Arial Narrow"/>
                                  <w:color w:val="FFFFFF"/>
                                  <w:sz w:val="20"/>
                                </w:rPr>
                                <w:t>mecanismos</w:t>
                              </w:r>
                              <w:r>
                                <w:rPr>
                                  <w:rFonts w:ascii="Arial Narrow" w:hAnsi="Arial Narrow"/>
                                  <w:color w:val="FFFFFF"/>
                                  <w:spacing w:val="25"/>
                                  <w:sz w:val="20"/>
                                </w:rPr>
                                <w:t> </w:t>
                              </w:r>
                              <w:r>
                                <w:rPr>
                                  <w:rFonts w:ascii="Arial Narrow" w:hAnsi="Arial Narrow"/>
                                  <w:color w:val="FFFFFF"/>
                                  <w:sz w:val="20"/>
                                </w:rPr>
                                <w:t>de</w:t>
                              </w:r>
                              <w:r>
                                <w:rPr>
                                  <w:rFonts w:ascii="Arial Narrow" w:hAnsi="Arial Narrow"/>
                                  <w:color w:val="FFFFFF"/>
                                  <w:spacing w:val="26"/>
                                  <w:sz w:val="20"/>
                                </w:rPr>
                                <w:t> </w:t>
                              </w:r>
                              <w:r>
                                <w:rPr>
                                  <w:rFonts w:ascii="Arial Narrow" w:hAnsi="Arial Narrow"/>
                                  <w:color w:val="FFFFFF"/>
                                  <w:sz w:val="20"/>
                                </w:rPr>
                                <w:t>seguimiento</w:t>
                              </w:r>
                              <w:r>
                                <w:rPr>
                                  <w:rFonts w:ascii="Arial Narrow" w:hAnsi="Arial Narrow"/>
                                  <w:color w:val="FFFFFF"/>
                                  <w:spacing w:val="25"/>
                                  <w:sz w:val="20"/>
                                </w:rPr>
                                <w:t> </w:t>
                              </w:r>
                              <w:r>
                                <w:rPr>
                                  <w:rFonts w:ascii="Arial Narrow" w:hAnsi="Arial Narrow"/>
                                  <w:color w:val="FFFFFF"/>
                                  <w:sz w:val="20"/>
                                </w:rPr>
                                <w:t>y</w:t>
                              </w:r>
                              <w:r>
                                <w:rPr>
                                  <w:rFonts w:ascii="Arial Narrow" w:hAnsi="Arial Narrow"/>
                                  <w:color w:val="FFFFFF"/>
                                  <w:spacing w:val="25"/>
                                  <w:sz w:val="20"/>
                                </w:rPr>
                                <w:t> </w:t>
                              </w:r>
                              <w:r>
                                <w:rPr>
                                  <w:rFonts w:ascii="Arial Narrow" w:hAnsi="Arial Narrow"/>
                                  <w:color w:val="FFFFFF"/>
                                  <w:sz w:val="20"/>
                                </w:rPr>
                                <w:t>control</w:t>
                              </w:r>
                              <w:r>
                                <w:rPr>
                                  <w:rFonts w:ascii="Arial Narrow" w:hAnsi="Arial Narrow"/>
                                  <w:color w:val="FFFFFF"/>
                                  <w:spacing w:val="23"/>
                                  <w:sz w:val="20"/>
                                </w:rPr>
                                <w:t> </w:t>
                              </w:r>
                              <w:r>
                                <w:rPr>
                                  <w:rFonts w:ascii="Arial Narrow" w:hAnsi="Arial Narrow"/>
                                  <w:color w:val="FFFFFF"/>
                                  <w:sz w:val="20"/>
                                </w:rPr>
                                <w:t>de</w:t>
                              </w:r>
                              <w:r>
                                <w:rPr>
                                  <w:rFonts w:ascii="Arial Narrow" w:hAnsi="Arial Narrow"/>
                                  <w:color w:val="FFFFFF"/>
                                  <w:spacing w:val="26"/>
                                  <w:sz w:val="20"/>
                                </w:rPr>
                                <w:t> </w:t>
                              </w:r>
                              <w:r>
                                <w:rPr>
                                  <w:rFonts w:ascii="Arial Narrow" w:hAnsi="Arial Narrow"/>
                                  <w:color w:val="FFFFFF"/>
                                  <w:sz w:val="20"/>
                                </w:rPr>
                                <w:t>la ejecución de las actuaciones fiscalizadas.</w:t>
                              </w:r>
                            </w:p>
                          </w:txbxContent>
                        </wps:txbx>
                        <wps:bodyPr wrap="square" lIns="0" tIns="0" rIns="0" bIns="0" rtlCol="0">
                          <a:noAutofit/>
                        </wps:bodyPr>
                      </wps:wsp>
                      <wps:wsp>
                        <wps:cNvPr id="91" name="Textbox 91"/>
                        <wps:cNvSpPr txBox="1"/>
                        <wps:spPr>
                          <a:xfrm>
                            <a:off x="4506976" y="913511"/>
                            <a:ext cx="705485" cy="131445"/>
                          </a:xfrm>
                          <a:prstGeom prst="rect">
                            <a:avLst/>
                          </a:prstGeom>
                        </wps:spPr>
                        <wps:txbx>
                          <w:txbxContent>
                            <w:p>
                              <w:pPr>
                                <w:spacing w:line="206" w:lineRule="exact" w:before="0"/>
                                <w:ind w:left="0" w:right="0" w:firstLine="0"/>
                                <w:jc w:val="left"/>
                                <w:rPr>
                                  <w:rFonts w:ascii="Arial Narrow"/>
                                  <w:sz w:val="18"/>
                                </w:rPr>
                              </w:pPr>
                              <w:hyperlink w:history="true" w:anchor="_bookmark27">
                                <w:r>
                                  <w:rPr>
                                    <w:rFonts w:ascii="Arial Narrow"/>
                                    <w:sz w:val="18"/>
                                  </w:rPr>
                                  <w:t>Subapartado</w:t>
                                </w:r>
                                <w:r>
                                  <w:rPr>
                                    <w:rFonts w:ascii="Arial Narrow"/>
                                    <w:spacing w:val="-7"/>
                                    <w:sz w:val="18"/>
                                  </w:rPr>
                                  <w:t> </w:t>
                                </w:r>
                                <w:r>
                                  <w:rPr>
                                    <w:rFonts w:ascii="Arial Narrow"/>
                                    <w:spacing w:val="-4"/>
                                    <w:sz w:val="18"/>
                                  </w:rPr>
                                  <w:t>II.2</w:t>
                                </w:r>
                              </w:hyperlink>
                            </w:p>
                          </w:txbxContent>
                        </wps:txbx>
                        <wps:bodyPr wrap="square" lIns="0" tIns="0" rIns="0" bIns="0" rtlCol="0">
                          <a:noAutofit/>
                        </wps:bodyPr>
                      </wps:wsp>
                      <wps:wsp>
                        <wps:cNvPr id="92" name="Textbox 92"/>
                        <wps:cNvSpPr txBox="1"/>
                        <wps:spPr>
                          <a:xfrm>
                            <a:off x="834644" y="832001"/>
                            <a:ext cx="3354704" cy="304165"/>
                          </a:xfrm>
                          <a:prstGeom prst="rect">
                            <a:avLst/>
                          </a:prstGeom>
                        </wps:spPr>
                        <wps:txbx>
                          <w:txbxContent>
                            <w:p>
                              <w:pPr>
                                <w:spacing w:line="261" w:lineRule="auto" w:before="0"/>
                                <w:ind w:left="0" w:right="18" w:firstLine="0"/>
                                <w:jc w:val="left"/>
                                <w:rPr>
                                  <w:rFonts w:ascii="Arial Narrow"/>
                                  <w:sz w:val="20"/>
                                </w:rPr>
                              </w:pPr>
                              <w:r>
                                <w:rPr>
                                  <w:rFonts w:ascii="Arial Narrow"/>
                                  <w:color w:val="FFFFFF"/>
                                  <w:sz w:val="20"/>
                                </w:rPr>
                                <w:t>Verificar las actuaciones realizadas por las entidades para planificar y promover una movilidad sostenible.</w:t>
                              </w:r>
                            </w:p>
                          </w:txbxContent>
                        </wps:txbx>
                        <wps:bodyPr wrap="square" lIns="0" tIns="0" rIns="0" bIns="0" rtlCol="0">
                          <a:noAutofit/>
                        </wps:bodyPr>
                      </wps:wsp>
                    </wpg:wgp>
                  </a:graphicData>
                </a:graphic>
              </wp:anchor>
            </w:drawing>
          </mc:Choice>
          <mc:Fallback>
            <w:pict>
              <v:group style="position:absolute;margin-left:57.900002pt;margin-top:-9.362676pt;width:478.15pt;height:301.45pt;mso-position-horizontal-relative:page;mso-position-vertical-relative:paragraph;z-index:-29043712" id="docshapegroup33" coordorigin="1158,-187" coordsize="9563,6029">
                <v:shape style="position:absolute;left:1168;top:-178;width:9543;height:6009" id="docshape34" coordorigin="1168,-177" coordsize="9543,6009" path="m1168,-23l1180,-83,1213,-132,1262,-165,1322,-177,10557,-177,10617,-165,10666,-132,10699,-83,10711,-23,10711,5678,10699,5738,10666,5787,10617,5820,10557,5832,1322,5832,1262,5820,1213,5787,1180,5738,1168,5678,1168,-23xe" filled="false" stroked="true" strokeweight="1pt" strokecolor="#436c92">
                  <v:path arrowok="t"/>
                  <v:stroke dashstyle="solid"/>
                </v:shape>
                <v:shape style="position:absolute;left:1329;top:-74;width:8907;height:971" type="#_x0000_t75" id="docshape35" stroked="false">
                  <v:imagedata r:id="rId34" o:title=""/>
                </v:shape>
                <v:rect style="position:absolute;left:1356;top:-60;width:8775;height:851" id="docshape36" filled="true" fillcolor="#436c92" stroked="false">
                  <v:fill type="solid"/>
                </v:rect>
                <v:shape style="position:absolute;left:7831;top:60;width:2717;height:747" type="#_x0000_t75" id="docshape37" stroked="false">
                  <v:imagedata r:id="rId35" o:title=""/>
                </v:shape>
                <v:shape style="position:absolute;left:7886;top:111;width:2529;height:567" id="docshape38" coordorigin="7887,112" coordsize="2529,567" path="m10416,112l8028,112,7887,678,10274,678,10416,112xe" filled="true" fillcolor="#ffffff" stroked="false">
                  <v:path arrowok="t"/>
                  <v:fill type="solid"/>
                </v:shape>
                <v:shape style="position:absolute;left:7886;top:111;width:2529;height:567" id="docshape39" coordorigin="7887,112" coordsize="2529,567" path="m7887,678l8028,112,10416,112,10274,678,7887,678xe" filled="false" stroked="true" strokeweight="1pt" strokecolor="#ffffff">
                  <v:path arrowok="t"/>
                  <v:stroke dashstyle="solid"/>
                </v:shape>
                <v:shape style="position:absolute;left:1500;top:23;width:620;height:616" id="docshape40" coordorigin="1500,24" coordsize="620,616" path="m1810,24l1810,24,1739,32,1674,55,1616,91,1568,139,1532,196,1508,261,1500,331,1508,402,1532,467,1568,524,1616,571,1674,608,1739,631,1810,639,1881,631,1904,623,1810,623,1732,612,1662,583,1602,537,1556,478,1527,409,1516,331,1527,254,1557,184,1602,125,1662,80,1732,50,1810,40,1904,40,1881,32,1810,24xm1904,40l1810,40,1889,50,1888,50,1958,80,2018,125,2064,184,2093,254,2104,331,2093,409,2064,478,2018,537,1958,583,1888,612,1810,623,1904,623,1946,608,2004,571,2052,524,2088,467,2112,402,2120,331,2112,261,2089,196,2052,139,2004,91,1947,55,1904,40xe" filled="true" fillcolor="#ffffff" stroked="false">
                  <v:path arrowok="t"/>
                  <v:fill type="solid"/>
                </v:shape>
                <v:shape style="position:absolute;left:1500;top:23;width:620;height:616" id="docshape41" coordorigin="1500,24" coordsize="620,616" path="m1810,40l1888,50,1958,80,2018,125,2064,184,2093,254,2104,331,2093,409,2064,478,2018,537,1958,583,1888,612,1810,623,1732,612,1662,583,1602,537,1556,478,1527,409,1516,331,1527,254,1557,184,1602,125,1662,80,1732,50,1810,40m1810,24l1739,32,1674,55,1616,91,1568,139,1532,196,1508,261,1500,331,1508,402,1532,467,1568,524,1616,571,1674,608,1739,631,1810,639,1881,631,1946,608,2004,571,2052,524,2088,467,2112,402,2120,331,2112,261,2089,196,2052,139,2004,91,1947,55,1881,32,1810,24,1810,24,1810,24,1810,24xe" filled="false" stroked="true" strokeweight=".839465pt" strokecolor="#ffffff">
                  <v:path arrowok="t"/>
                  <v:stroke dashstyle="solid"/>
                </v:shape>
                <v:shape style="position:absolute;left:1738;top:176;width:102;height:290" type="#_x0000_t75" id="docshape42" stroked="false">
                  <v:imagedata r:id="rId36" o:title=""/>
                </v:shape>
                <v:shape style="position:absolute;left:1315;top:886;width:8902;height:1011" type="#_x0000_t75" id="docshape43" stroked="false">
                  <v:imagedata r:id="rId37" o:title=""/>
                </v:shape>
                <v:rect style="position:absolute;left:1356;top:928;width:8742;height:851" id="docshape44" filled="true" fillcolor="#436c92" stroked="false">
                  <v:fill type="solid"/>
                </v:rect>
                <v:shape style="position:absolute;left:7776;top:1025;width:2715;height:749" type="#_x0000_t75" id="docshape45" stroked="false">
                  <v:imagedata r:id="rId38" o:title=""/>
                </v:shape>
                <v:shape style="position:absolute;left:7831;top:1077;width:2529;height:567" id="docshape46" coordorigin="7831,1078" coordsize="2529,567" path="m10359,1078l7973,1078,7831,1644,10218,1644,10359,1078xe" filled="true" fillcolor="#ffffff" stroked="false">
                  <v:path arrowok="t"/>
                  <v:fill type="solid"/>
                </v:shape>
                <v:shape style="position:absolute;left:7831;top:1077;width:2529;height:567" id="docshape47" coordorigin="7831,1078" coordsize="2529,567" path="m7831,1644l7973,1078,10359,1078,10218,1644,7831,1644xe" filled="false" stroked="true" strokeweight="1pt" strokecolor="#ffffff">
                  <v:path arrowok="t"/>
                  <v:stroke dashstyle="solid"/>
                </v:shape>
                <v:shape style="position:absolute;left:1519;top:1051;width:620;height:640" id="docshape48" coordorigin="1520,1052" coordsize="620,640" path="m1830,1052l1830,1052,1759,1060,1693,1085,1636,1122,1588,1172,1551,1231,1528,1299,1520,1372,1528,1445,1551,1513,1588,1572,1636,1622,1693,1659,1759,1683,1830,1692,1901,1683,1924,1675,1830,1675,1752,1664,1682,1634,1622,1586,1576,1525,1547,1452,1536,1372,1547,1291,1576,1219,1622,1158,1682,1110,1752,1080,1830,1069,1924,1069,1901,1060,1830,1052xm1924,1069l1830,1069,1908,1080,1908,1080,1978,1110,2037,1158,2083,1219,2113,1291,2123,1372,2113,1452,2083,1525,2037,1586,1978,1634,1908,1664,1830,1675,1924,1675,1966,1659,2024,1622,2072,1572,2108,1513,2132,1445,2140,1372,2132,1299,2108,1231,2072,1172,2024,1122,1966,1085,1924,1069xe" filled="true" fillcolor="#ffffff" stroked="false">
                  <v:path arrowok="t"/>
                  <v:fill type="solid"/>
                </v:shape>
                <v:shape style="position:absolute;left:1519;top:1051;width:620;height:640" id="docshape49" coordorigin="1520,1052" coordsize="620,640" path="m1830,1069l1908,1080,1978,1110,2037,1158,2083,1219,2113,1291,2123,1372,2113,1452,2083,1525,2037,1586,1978,1634,1908,1664,1830,1675,1752,1664,1682,1634,1622,1586,1576,1525,1547,1452,1536,1372,1547,1291,1576,1219,1622,1158,1682,1110,1752,1080,1830,1069m1830,1052l1759,1060,1693,1085,1636,1122,1588,1172,1551,1231,1528,1299,1520,1372,1528,1445,1551,1513,1588,1572,1636,1622,1693,1659,1759,1683,1830,1692,1901,1683,1966,1659,2024,1622,2072,1572,2108,1513,2132,1445,2140,1372,2132,1299,2108,1231,2072,1172,2024,1122,1966,1085,1901,1060,1830,1052,1830,1052,1830,1052,1830,1052xe" filled="false" stroked="true" strokeweight=".842385pt" strokecolor="#ffffff">
                  <v:path arrowok="t"/>
                  <v:stroke dashstyle="solid"/>
                </v:shape>
                <v:shape style="position:absolute;left:1740;top:1213;width:174;height:299" type="#_x0000_t75" id="docshape50" stroked="false">
                  <v:imagedata r:id="rId39" o:title=""/>
                </v:shape>
                <v:shape style="position:absolute;left:1310;top:1846;width:8902;height:1352" type="#_x0000_t75" id="docshape51" stroked="false">
                  <v:imagedata r:id="rId40" o:title=""/>
                </v:shape>
                <v:rect style="position:absolute;left:1350;top:1887;width:8742;height:1191" id="docshape52" filled="true" fillcolor="#436c92" stroked="false">
                  <v:fill type="solid"/>
                </v:rect>
                <v:shape style="position:absolute;left:7785;top:2043;width:2717;height:968" type="#_x0000_t75" id="docshape53" stroked="false">
                  <v:imagedata r:id="rId41" o:title=""/>
                </v:shape>
                <v:shape style="position:absolute;left:7841;top:2095;width:2529;height:785" id="docshape54" coordorigin="7841,2095" coordsize="2529,785" path="m10369,2095l8037,2095,7841,2880,10173,2880,10369,2095xe" filled="true" fillcolor="#ffffff" stroked="false">
                  <v:path arrowok="t"/>
                  <v:fill type="solid"/>
                </v:shape>
                <v:shape style="position:absolute;left:7841;top:2095;width:2529;height:785" id="docshape55" coordorigin="7841,2095" coordsize="2529,785" path="m7841,2880l8037,2095,10369,2095,10173,2880,7841,2880xe" filled="false" stroked="true" strokeweight="1pt" strokecolor="#ffffff">
                  <v:path arrowok="t"/>
                  <v:stroke dashstyle="solid"/>
                </v:shape>
                <v:shape style="position:absolute;left:1543;top:2181;width:620;height:615" id="docshape56" coordorigin="1544,2182" coordsize="620,615" path="m1854,2182l1854,2182,1783,2190,1717,2213,1660,2249,1612,2297,1575,2354,1552,2419,1544,2489,1552,2560,1575,2624,1612,2681,1660,2729,1717,2765,1783,2788,1854,2796,1925,2788,1948,2780,1854,2780,1776,2770,1705,2740,1646,2695,1600,2636,1571,2566,1560,2489,1571,2412,1600,2342,1646,2283,1706,2238,1776,2208,1854,2198,1948,2198,1925,2190,1854,2182xm1948,2198l1854,2198,1932,2208,1932,2208,2002,2238,2061,2283,2107,2342,2137,2412,2147,2489,2137,2566,2107,2636,2061,2695,2002,2740,1932,2770,1854,2780,1948,2780,1990,2765,2048,2729,2096,2681,2132,2624,2155,2560,2164,2489,2156,2419,2132,2354,2096,2297,2048,2249,1990,2213,1948,2198xe" filled="true" fillcolor="#ffffff" stroked="false">
                  <v:path arrowok="t"/>
                  <v:fill type="solid"/>
                </v:shape>
                <v:shape style="position:absolute;left:1543;top:2181;width:620;height:615" id="docshape57" coordorigin="1544,2182" coordsize="620,615" path="m1854,2198l1932,2208,2002,2238,2061,2283,2107,2342,2137,2412,2147,2489,2137,2566,2107,2636,2061,2695,2002,2740,1932,2770,1854,2780,1776,2770,1705,2740,1646,2695,1600,2636,1571,2566,1560,2489,1571,2412,1600,2342,1646,2283,1706,2238,1776,2208,1854,2198m1854,2182l1783,2190,1717,2213,1660,2249,1612,2297,1575,2354,1552,2419,1544,2489,1552,2560,1575,2624,1612,2681,1660,2729,1717,2765,1783,2788,1854,2796,1925,2788,1990,2765,2048,2729,2096,2681,2132,2624,2155,2560,2164,2489,2156,2419,2132,2354,2096,2297,2048,2249,1990,2213,1925,2190,1854,2182,1854,2182,1854,2182,1854,2182xe" filled="false" stroked="true" strokeweight=".852685pt" strokecolor="#ffffff">
                  <v:path arrowok="t"/>
                  <v:stroke dashstyle="solid"/>
                </v:shape>
                <v:shape style="position:absolute;left:1768;top:2344;width:165;height:293" type="#_x0000_t75" id="docshape58" stroked="false">
                  <v:imagedata r:id="rId42" o:title=""/>
                </v:shape>
                <v:shape style="position:absolute;left:1315;top:3161;width:8902;height:1011" type="#_x0000_t75" id="docshape59" stroked="false">
                  <v:imagedata r:id="rId37" o:title=""/>
                </v:shape>
                <v:rect style="position:absolute;left:1356;top:3203;width:8742;height:851" id="docshape60" filled="true" fillcolor="#436c92" stroked="false">
                  <v:fill type="solid"/>
                </v:rect>
                <v:shape style="position:absolute;left:1300;top:4104;width:8936;height:1692" type="#_x0000_t75" id="docshape61" stroked="false">
                  <v:imagedata r:id="rId43" o:title=""/>
                </v:shape>
                <v:rect style="position:absolute;left:1342;top:4146;width:8773;height:1531" id="docshape62" filled="true" fillcolor="#436c92" stroked="false">
                  <v:fill type="solid"/>
                </v:rect>
                <v:shape style="position:absolute;left:7783;top:4306;width:2729;height:980" type="#_x0000_t75" id="docshape63" stroked="false">
                  <v:imagedata r:id="rId44" o:title=""/>
                </v:shape>
                <v:shape style="position:absolute;left:7844;top:4367;width:2529;height:780" id="docshape64" coordorigin="7845,4368" coordsize="2529,780" path="m10373,4368l8040,4368,7845,5148,10178,5148,10373,4368xe" filled="true" fillcolor="#ffffff" stroked="false">
                  <v:path arrowok="t"/>
                  <v:fill type="solid"/>
                </v:shape>
                <v:shape style="position:absolute;left:7844;top:4367;width:2529;height:780" id="docshape65" coordorigin="7845,4368" coordsize="2529,780" path="m7845,5148l8040,4368,10373,4368,10178,5148,7845,5148xe" filled="false" stroked="true" strokeweight="2pt" strokecolor="#ffffff">
                  <v:path arrowok="t"/>
                  <v:stroke dashstyle="solid"/>
                </v:shape>
                <v:shape style="position:absolute;left:1491;top:4549;width:620;height:621" id="docshape66" coordorigin="1492,4550" coordsize="620,621" path="m1802,4550l1802,4550,1731,4558,1665,4581,1608,4618,1560,4666,1523,4724,1500,4789,1492,4860,1500,4931,1523,4997,1560,5054,1608,5102,1666,5139,1731,5162,1802,5171,1873,5162,1896,5154,1802,5154,1724,5144,1654,5114,1594,5068,1548,5009,1519,4938,1508,4860,1519,4782,1548,4712,1594,4652,1654,4606,1724,4577,1802,4566,1896,4566,1873,4558,1802,4550xm1896,4566l1802,4566,1880,4577,1880,4577,1950,4606,2010,4652,2055,4712,2085,4782,2095,4860,2085,4938,2055,5009,2009,5068,1950,5114,1880,5144,1802,5154,1896,5154,1938,5139,1996,5102,2044,5054,2080,4997,2104,4931,2112,4860,2104,4789,2080,4724,2044,4666,1996,4618,1938,4581,1896,4566xe" filled="true" fillcolor="#ffffff" stroked="false">
                  <v:path arrowok="t"/>
                  <v:fill type="solid"/>
                </v:shape>
                <v:shape style="position:absolute;left:1491;top:4549;width:620;height:621" id="docshape67" coordorigin="1492,4550" coordsize="620,621" path="m1802,4566l1880,4577,1950,4606,2009,4652,2055,4712,2085,4782,2095,4860,2085,4938,2055,5009,2009,5068,1950,5114,1880,5144,1802,5154,1724,5144,1654,5114,1594,5068,1548,5009,1519,4938,1508,4860,1519,4782,1548,4712,1594,4652,1654,4606,1724,4577,1802,4566m1802,4550l1731,4558,1666,4581,1608,4618,1560,4666,1523,4724,1500,4789,1492,4860,1500,4931,1523,4997,1560,5054,1608,5102,1666,5139,1731,5162,1802,5171,1873,5162,1938,5139,1996,5102,2044,5054,2080,4997,2104,4931,2112,4860,2104,4789,2080,4724,2044,4666,1996,4618,1938,4581,1873,4558,1802,4550,1802,4550,1802,4550,1802,4550xe" filled="false" stroked="true" strokeweight=".96787pt" strokecolor="#ffffff">
                  <v:path arrowok="t"/>
                  <v:stroke dashstyle="solid"/>
                </v:shape>
                <v:shape style="position:absolute;left:1722;top:4709;width:162;height:294" type="#_x0000_t75" id="docshape68" stroked="false">
                  <v:imagedata r:id="rId45" o:title=""/>
                </v:shape>
                <v:shape style="position:absolute;left:1519;top:3301;width:620;height:613" id="docshape69" coordorigin="1520,3302" coordsize="620,613" path="m1830,3302l1830,3302,1759,3310,1693,3333,1636,3369,1588,3417,1551,3474,1528,3538,1520,3608,1528,3678,1551,3743,1588,3800,1636,3847,1693,3883,1759,3906,1830,3914,1901,3906,1924,3898,1830,3898,1752,3888,1682,3859,1622,3813,1576,3755,1547,3685,1536,3608,1547,3531,1576,3462,1622,3403,1682,3358,1752,3328,1830,3318,1924,3318,1901,3310,1830,3302xm1924,3318l1830,3318,1908,3328,1908,3328,1978,3358,2037,3403,2083,3462,2113,3531,2123,3608,2113,3685,2083,3755,2037,3813,1978,3859,1908,3888,1830,3898,1924,3898,1966,3883,2024,3847,2072,3800,2108,3743,2132,3678,2140,3608,2132,3538,2108,3474,2072,3417,2024,3369,1966,3333,1924,3318xe" filled="true" fillcolor="#ffffff" stroked="false">
                  <v:path arrowok="t"/>
                  <v:fill type="solid"/>
                </v:shape>
                <v:shape style="position:absolute;left:1519;top:3301;width:620;height:613" id="docshape70" coordorigin="1520,3302" coordsize="620,613" path="m1830,3318l1908,3328,1978,3358,2037,3403,2083,3462,2113,3531,2123,3608,2113,3685,2083,3755,2037,3813,1978,3859,1908,3888,1830,3898,1752,3888,1682,3859,1622,3813,1576,3755,1547,3685,1536,3608,1547,3531,1576,3462,1622,3403,1682,3358,1752,3328,1830,3318m1830,3302l1759,3310,1693,3333,1636,3369,1588,3417,1551,3473,1528,3538,1520,3608,1528,3678,1551,3743,1588,3800,1636,3847,1693,3883,1759,3906,1830,3914,1901,3906,1966,3883,2024,3847,2072,3800,2108,3743,2132,3678,2140,3608,2132,3538,2108,3474,2072,3417,2024,3369,1966,3333,1901,3310,1830,3302,1830,3302,1830,3302,1830,3302xe" filled="false" stroked="true" strokeweight=".811175pt" strokecolor="#ffffff">
                  <v:path arrowok="t"/>
                  <v:stroke dashstyle="solid"/>
                </v:shape>
                <v:shape style="position:absolute;left:1710;top:3461;width:208;height:282" type="#_x0000_t75" id="docshape71" stroked="false">
                  <v:imagedata r:id="rId46" o:title=""/>
                </v:shape>
                <v:shape style="position:absolute;left:7833;top:3279;width:2715;height:747" type="#_x0000_t75" id="docshape72" stroked="false">
                  <v:imagedata r:id="rId47" o:title=""/>
                </v:shape>
                <v:shape style="position:absolute;left:7887;top:3330;width:2529;height:567" id="docshape73" coordorigin="7887,3331" coordsize="2529,567" path="m10416,3331l8029,3331,7887,3898,10274,3898,10416,3331xe" filled="true" fillcolor="#ffffff" stroked="false">
                  <v:path arrowok="t"/>
                  <v:fill type="solid"/>
                </v:shape>
                <v:shape style="position:absolute;left:7887;top:3330;width:2529;height:567" id="docshape74" coordorigin="7887,3331" coordsize="2529,567" path="m7887,3898l8029,3331,10416,3331,10274,3898,7887,3898xe" filled="false" stroked="true" strokeweight="1pt" strokecolor="#ffffff">
                  <v:path arrowok="t"/>
                  <v:stroke dashstyle="solid"/>
                </v:shape>
                <v:shape style="position:absolute;left:8301;top:4549;width:1111;height:433" type="#_x0000_t202" id="docshape75" filled="false" stroked="false">
                  <v:textbox inset="0,0,0,0">
                    <w:txbxContent>
                      <w:p>
                        <w:pPr>
                          <w:spacing w:line="261" w:lineRule="auto" w:before="0"/>
                          <w:ind w:left="0" w:right="0" w:firstLine="0"/>
                          <w:jc w:val="left"/>
                          <w:rPr>
                            <w:rFonts w:ascii="Arial Narrow" w:hAnsi="Arial Narrow"/>
                            <w:sz w:val="18"/>
                          </w:rPr>
                        </w:pPr>
                        <w:hyperlink w:history="true" w:anchor="_bookmark108">
                          <w:r>
                            <w:rPr>
                              <w:rFonts w:ascii="Arial Narrow" w:hAnsi="Arial Narrow"/>
                              <w:sz w:val="18"/>
                            </w:rPr>
                            <w:t>Epígrafe II.5.2</w:t>
                          </w:r>
                        </w:hyperlink>
                        <w:r>
                          <w:rPr>
                            <w:rFonts w:ascii="Arial Narrow" w:hAnsi="Arial Narrow"/>
                            <w:sz w:val="18"/>
                          </w:rPr>
                          <w:t> </w:t>
                        </w:r>
                        <w:r>
                          <w:rPr>
                            <w:rFonts w:ascii="Arial Narrow" w:hAnsi="Arial Narrow"/>
                            <w:color w:val="436C92"/>
                            <w:sz w:val="18"/>
                          </w:rPr>
                          <w:t>y </w:t>
                        </w:r>
                        <w:hyperlink w:history="true" w:anchor="_bookmark112">
                          <w:r>
                            <w:rPr>
                              <w:rFonts w:ascii="Arial Narrow" w:hAnsi="Arial Narrow"/>
                              <w:sz w:val="18"/>
                            </w:rPr>
                            <w:t>Subapartado</w:t>
                          </w:r>
                          <w:r>
                            <w:rPr>
                              <w:rFonts w:ascii="Arial Narrow" w:hAnsi="Arial Narrow"/>
                              <w:spacing w:val="-4"/>
                              <w:sz w:val="18"/>
                            </w:rPr>
                            <w:t> </w:t>
                          </w:r>
                          <w:r>
                            <w:rPr>
                              <w:rFonts w:ascii="Arial Narrow" w:hAnsi="Arial Narrow"/>
                              <w:spacing w:val="-4"/>
                              <w:sz w:val="18"/>
                            </w:rPr>
                            <w:t>II.6</w:t>
                          </w:r>
                        </w:hyperlink>
                      </w:p>
                    </w:txbxContent>
                  </v:textbox>
                  <w10:wrap type="none"/>
                </v:shape>
                <v:shape style="position:absolute;left:2472;top:4289;width:5303;height:1221" type="#_x0000_t202" id="docshape76" filled="false" stroked="false">
                  <v:textbox inset="0,0,0,0">
                    <w:txbxContent>
                      <w:p>
                        <w:pPr>
                          <w:spacing w:line="259" w:lineRule="auto" w:before="0"/>
                          <w:ind w:left="0" w:right="18" w:firstLine="0"/>
                          <w:jc w:val="both"/>
                          <w:rPr>
                            <w:rFonts w:ascii="Arial Narrow" w:hAnsi="Arial Narrow"/>
                            <w:sz w:val="20"/>
                          </w:rPr>
                        </w:pPr>
                        <w:r>
                          <w:rPr>
                            <w:rFonts w:ascii="Arial Narrow" w:hAnsi="Arial Narrow"/>
                            <w:color w:val="FFFFFF"/>
                            <w:sz w:val="20"/>
                          </w:rPr>
                          <w:t>Verificar la observancia de la normativa para la igualdad efectiva de mujeres y hombres y</w:t>
                        </w:r>
                        <w:r>
                          <w:rPr>
                            <w:rFonts w:ascii="Arial Narrow" w:hAnsi="Arial Narrow"/>
                            <w:color w:val="FFFFFF"/>
                            <w:spacing w:val="-2"/>
                            <w:sz w:val="20"/>
                          </w:rPr>
                          <w:t> </w:t>
                        </w:r>
                        <w:r>
                          <w:rPr>
                            <w:rFonts w:ascii="Arial Narrow" w:hAnsi="Arial Narrow"/>
                            <w:color w:val="FFFFFF"/>
                            <w:sz w:val="20"/>
                          </w:rPr>
                          <w:t>de las prescripciones de transparencia, así como las medidas implantadas al servicio de garantizar la integridad en la gestión</w:t>
                        </w:r>
                        <w:r>
                          <w:rPr>
                            <w:rFonts w:ascii="Arial Narrow" w:hAnsi="Arial Narrow"/>
                            <w:color w:val="FFFFFF"/>
                            <w:spacing w:val="-10"/>
                            <w:sz w:val="20"/>
                          </w:rPr>
                          <w:t> </w:t>
                        </w:r>
                        <w:r>
                          <w:rPr>
                            <w:rFonts w:ascii="Arial Narrow" w:hAnsi="Arial Narrow"/>
                            <w:color w:val="FFFFFF"/>
                            <w:sz w:val="20"/>
                          </w:rPr>
                          <w:t>pública,</w:t>
                        </w:r>
                        <w:r>
                          <w:rPr>
                            <w:rFonts w:ascii="Arial Narrow" w:hAnsi="Arial Narrow"/>
                            <w:color w:val="FFFFFF"/>
                            <w:spacing w:val="-10"/>
                            <w:sz w:val="20"/>
                          </w:rPr>
                          <w:t> </w:t>
                        </w:r>
                        <w:r>
                          <w:rPr>
                            <w:rFonts w:ascii="Arial Narrow" w:hAnsi="Arial Narrow"/>
                            <w:color w:val="FFFFFF"/>
                            <w:sz w:val="20"/>
                          </w:rPr>
                          <w:t>en</w:t>
                        </w:r>
                        <w:r>
                          <w:rPr>
                            <w:rFonts w:ascii="Arial Narrow" w:hAnsi="Arial Narrow"/>
                            <w:color w:val="FFFFFF"/>
                            <w:spacing w:val="-10"/>
                            <w:sz w:val="20"/>
                          </w:rPr>
                          <w:t> </w:t>
                        </w:r>
                        <w:r>
                          <w:rPr>
                            <w:rFonts w:ascii="Arial Narrow" w:hAnsi="Arial Narrow"/>
                            <w:color w:val="FFFFFF"/>
                            <w:sz w:val="20"/>
                          </w:rPr>
                          <w:t>aquello</w:t>
                        </w:r>
                        <w:r>
                          <w:rPr>
                            <w:rFonts w:ascii="Arial Narrow" w:hAnsi="Arial Narrow"/>
                            <w:color w:val="FFFFFF"/>
                            <w:spacing w:val="-11"/>
                            <w:sz w:val="20"/>
                          </w:rPr>
                          <w:t> </w:t>
                        </w:r>
                        <w:r>
                          <w:rPr>
                            <w:rFonts w:ascii="Arial Narrow" w:hAnsi="Arial Narrow"/>
                            <w:color w:val="FFFFFF"/>
                            <w:sz w:val="20"/>
                          </w:rPr>
                          <w:t>que</w:t>
                        </w:r>
                        <w:r>
                          <w:rPr>
                            <w:rFonts w:ascii="Arial Narrow" w:hAnsi="Arial Narrow"/>
                            <w:color w:val="FFFFFF"/>
                            <w:spacing w:val="-10"/>
                            <w:sz w:val="20"/>
                          </w:rPr>
                          <w:t> </w:t>
                        </w:r>
                        <w:r>
                          <w:rPr>
                            <w:rFonts w:ascii="Arial Narrow" w:hAnsi="Arial Narrow"/>
                            <w:color w:val="FFFFFF"/>
                            <w:sz w:val="20"/>
                          </w:rPr>
                          <w:t>pudiera</w:t>
                        </w:r>
                        <w:r>
                          <w:rPr>
                            <w:rFonts w:ascii="Arial Narrow" w:hAnsi="Arial Narrow"/>
                            <w:color w:val="FFFFFF"/>
                            <w:spacing w:val="-10"/>
                            <w:sz w:val="20"/>
                          </w:rPr>
                          <w:t> </w:t>
                        </w:r>
                        <w:r>
                          <w:rPr>
                            <w:rFonts w:ascii="Arial Narrow" w:hAnsi="Arial Narrow"/>
                            <w:color w:val="FFFFFF"/>
                            <w:sz w:val="20"/>
                          </w:rPr>
                          <w:t>tener</w:t>
                        </w:r>
                        <w:r>
                          <w:rPr>
                            <w:rFonts w:ascii="Arial Narrow" w:hAnsi="Arial Narrow"/>
                            <w:color w:val="FFFFFF"/>
                            <w:spacing w:val="-10"/>
                            <w:sz w:val="20"/>
                          </w:rPr>
                          <w:t> </w:t>
                        </w:r>
                        <w:r>
                          <w:rPr>
                            <w:rFonts w:ascii="Arial Narrow" w:hAnsi="Arial Narrow"/>
                            <w:color w:val="FFFFFF"/>
                            <w:sz w:val="20"/>
                          </w:rPr>
                          <w:t>relación</w:t>
                        </w:r>
                        <w:r>
                          <w:rPr>
                            <w:rFonts w:ascii="Arial Narrow" w:hAnsi="Arial Narrow"/>
                            <w:color w:val="FFFFFF"/>
                            <w:spacing w:val="-10"/>
                            <w:sz w:val="20"/>
                          </w:rPr>
                          <w:t> </w:t>
                        </w:r>
                        <w:r>
                          <w:rPr>
                            <w:rFonts w:ascii="Arial Narrow" w:hAnsi="Arial Narrow"/>
                            <w:color w:val="FFFFFF"/>
                            <w:sz w:val="20"/>
                          </w:rPr>
                          <w:t>con</w:t>
                        </w:r>
                        <w:r>
                          <w:rPr>
                            <w:rFonts w:ascii="Arial Narrow" w:hAnsi="Arial Narrow"/>
                            <w:color w:val="FFFFFF"/>
                            <w:spacing w:val="-10"/>
                            <w:sz w:val="20"/>
                          </w:rPr>
                          <w:t> </w:t>
                        </w:r>
                        <w:r>
                          <w:rPr>
                            <w:rFonts w:ascii="Arial Narrow" w:hAnsi="Arial Narrow"/>
                            <w:color w:val="FFFFFF"/>
                            <w:sz w:val="20"/>
                          </w:rPr>
                          <w:t>el</w:t>
                        </w:r>
                        <w:r>
                          <w:rPr>
                            <w:rFonts w:ascii="Arial Narrow" w:hAnsi="Arial Narrow"/>
                            <w:color w:val="FFFFFF"/>
                            <w:spacing w:val="-11"/>
                            <w:sz w:val="20"/>
                          </w:rPr>
                          <w:t> </w:t>
                        </w:r>
                        <w:r>
                          <w:rPr>
                            <w:rFonts w:ascii="Arial Narrow" w:hAnsi="Arial Narrow"/>
                            <w:color w:val="FFFFFF"/>
                            <w:sz w:val="20"/>
                          </w:rPr>
                          <w:t>objeto</w:t>
                        </w:r>
                        <w:r>
                          <w:rPr>
                            <w:rFonts w:ascii="Arial Narrow" w:hAnsi="Arial Narrow"/>
                            <w:color w:val="FFFFFF"/>
                            <w:spacing w:val="-5"/>
                            <w:sz w:val="20"/>
                          </w:rPr>
                          <w:t> </w:t>
                        </w:r>
                        <w:r>
                          <w:rPr>
                            <w:rFonts w:ascii="Arial Narrow" w:hAnsi="Arial Narrow"/>
                            <w:color w:val="FFFFFF"/>
                            <w:sz w:val="20"/>
                          </w:rPr>
                          <w:t>de</w:t>
                        </w:r>
                        <w:r>
                          <w:rPr>
                            <w:rFonts w:ascii="Arial Narrow" w:hAnsi="Arial Narrow"/>
                            <w:color w:val="FFFFFF"/>
                            <w:spacing w:val="-10"/>
                            <w:sz w:val="20"/>
                          </w:rPr>
                          <w:t> </w:t>
                        </w:r>
                        <w:r>
                          <w:rPr>
                            <w:rFonts w:ascii="Arial Narrow" w:hAnsi="Arial Narrow"/>
                            <w:color w:val="FFFFFF"/>
                            <w:sz w:val="20"/>
                          </w:rPr>
                          <w:t>las actuaciones fiscalizadas.</w:t>
                        </w:r>
                      </w:p>
                    </w:txbxContent>
                  </v:textbox>
                  <w10:wrap type="none"/>
                </v:shape>
                <v:shape style="position:absolute;left:8313;top:3505;width:1111;height:207" type="#_x0000_t202" id="docshape77" filled="false" stroked="false">
                  <v:textbox inset="0,0,0,0">
                    <w:txbxContent>
                      <w:p>
                        <w:pPr>
                          <w:spacing w:line="206" w:lineRule="exact" w:before="0"/>
                          <w:ind w:left="0" w:right="0" w:firstLine="0"/>
                          <w:jc w:val="left"/>
                          <w:rPr>
                            <w:rFonts w:ascii="Arial Narrow"/>
                            <w:sz w:val="18"/>
                          </w:rPr>
                        </w:pPr>
                        <w:hyperlink w:history="true" w:anchor="_bookmark99">
                          <w:r>
                            <w:rPr>
                              <w:rFonts w:ascii="Arial Narrow"/>
                              <w:sz w:val="18"/>
                            </w:rPr>
                            <w:t>Subapartado</w:t>
                          </w:r>
                          <w:r>
                            <w:rPr>
                              <w:rFonts w:ascii="Arial Narrow"/>
                              <w:spacing w:val="-7"/>
                              <w:sz w:val="18"/>
                            </w:rPr>
                            <w:t> </w:t>
                          </w:r>
                          <w:r>
                            <w:rPr>
                              <w:rFonts w:ascii="Arial Narrow"/>
                              <w:spacing w:val="-4"/>
                              <w:sz w:val="18"/>
                            </w:rPr>
                            <w:t>II.4</w:t>
                          </w:r>
                        </w:hyperlink>
                      </w:p>
                    </w:txbxContent>
                  </v:textbox>
                  <w10:wrap type="none"/>
                </v:shape>
                <v:shape style="position:absolute;left:2477;top:3331;width:5286;height:479" type="#_x0000_t202" id="docshape78" filled="false" stroked="false">
                  <v:textbox inset="0,0,0,0">
                    <w:txbxContent>
                      <w:p>
                        <w:pPr>
                          <w:spacing w:line="261" w:lineRule="auto" w:before="0"/>
                          <w:ind w:left="0" w:right="18" w:firstLine="0"/>
                          <w:jc w:val="left"/>
                          <w:rPr>
                            <w:rFonts w:ascii="Arial Narrow" w:hAnsi="Arial Narrow"/>
                            <w:sz w:val="20"/>
                          </w:rPr>
                        </w:pPr>
                        <w:r>
                          <w:rPr>
                            <w:rFonts w:ascii="Arial Narrow" w:hAnsi="Arial Narrow"/>
                            <w:color w:val="FFFFFF"/>
                            <w:sz w:val="20"/>
                          </w:rPr>
                          <w:t>Verificar</w:t>
                        </w:r>
                        <w:r>
                          <w:rPr>
                            <w:rFonts w:ascii="Arial Narrow" w:hAnsi="Arial Narrow"/>
                            <w:color w:val="FFFFFF"/>
                            <w:spacing w:val="26"/>
                            <w:sz w:val="20"/>
                          </w:rPr>
                          <w:t> </w:t>
                        </w:r>
                        <w:r>
                          <w:rPr>
                            <w:rFonts w:ascii="Arial Narrow" w:hAnsi="Arial Narrow"/>
                            <w:color w:val="FFFFFF"/>
                            <w:sz w:val="20"/>
                          </w:rPr>
                          <w:t>la</w:t>
                        </w:r>
                        <w:r>
                          <w:rPr>
                            <w:rFonts w:ascii="Arial Narrow" w:hAnsi="Arial Narrow"/>
                            <w:color w:val="FFFFFF"/>
                            <w:spacing w:val="25"/>
                            <w:sz w:val="20"/>
                          </w:rPr>
                          <w:t> </w:t>
                        </w:r>
                        <w:r>
                          <w:rPr>
                            <w:rFonts w:ascii="Arial Narrow" w:hAnsi="Arial Narrow"/>
                            <w:color w:val="FFFFFF"/>
                            <w:sz w:val="20"/>
                          </w:rPr>
                          <w:t>existencia</w:t>
                        </w:r>
                        <w:r>
                          <w:rPr>
                            <w:rFonts w:ascii="Arial Narrow" w:hAnsi="Arial Narrow"/>
                            <w:color w:val="FFFFFF"/>
                            <w:spacing w:val="25"/>
                            <w:sz w:val="20"/>
                          </w:rPr>
                          <w:t> </w:t>
                        </w:r>
                        <w:r>
                          <w:rPr>
                            <w:rFonts w:ascii="Arial Narrow" w:hAnsi="Arial Narrow"/>
                            <w:color w:val="FFFFFF"/>
                            <w:sz w:val="20"/>
                          </w:rPr>
                          <w:t>de</w:t>
                        </w:r>
                        <w:r>
                          <w:rPr>
                            <w:rFonts w:ascii="Arial Narrow" w:hAnsi="Arial Narrow"/>
                            <w:color w:val="FFFFFF"/>
                            <w:spacing w:val="26"/>
                            <w:sz w:val="20"/>
                          </w:rPr>
                          <w:t> </w:t>
                        </w:r>
                        <w:r>
                          <w:rPr>
                            <w:rFonts w:ascii="Arial Narrow" w:hAnsi="Arial Narrow"/>
                            <w:color w:val="FFFFFF"/>
                            <w:sz w:val="20"/>
                          </w:rPr>
                          <w:t>mecanismos</w:t>
                        </w:r>
                        <w:r>
                          <w:rPr>
                            <w:rFonts w:ascii="Arial Narrow" w:hAnsi="Arial Narrow"/>
                            <w:color w:val="FFFFFF"/>
                            <w:spacing w:val="25"/>
                            <w:sz w:val="20"/>
                          </w:rPr>
                          <w:t> </w:t>
                        </w:r>
                        <w:r>
                          <w:rPr>
                            <w:rFonts w:ascii="Arial Narrow" w:hAnsi="Arial Narrow"/>
                            <w:color w:val="FFFFFF"/>
                            <w:sz w:val="20"/>
                          </w:rPr>
                          <w:t>de</w:t>
                        </w:r>
                        <w:r>
                          <w:rPr>
                            <w:rFonts w:ascii="Arial Narrow" w:hAnsi="Arial Narrow"/>
                            <w:color w:val="FFFFFF"/>
                            <w:spacing w:val="26"/>
                            <w:sz w:val="20"/>
                          </w:rPr>
                          <w:t> </w:t>
                        </w:r>
                        <w:r>
                          <w:rPr>
                            <w:rFonts w:ascii="Arial Narrow" w:hAnsi="Arial Narrow"/>
                            <w:color w:val="FFFFFF"/>
                            <w:sz w:val="20"/>
                          </w:rPr>
                          <w:t>seguimiento</w:t>
                        </w:r>
                        <w:r>
                          <w:rPr>
                            <w:rFonts w:ascii="Arial Narrow" w:hAnsi="Arial Narrow"/>
                            <w:color w:val="FFFFFF"/>
                            <w:spacing w:val="25"/>
                            <w:sz w:val="20"/>
                          </w:rPr>
                          <w:t> </w:t>
                        </w:r>
                        <w:r>
                          <w:rPr>
                            <w:rFonts w:ascii="Arial Narrow" w:hAnsi="Arial Narrow"/>
                            <w:color w:val="FFFFFF"/>
                            <w:sz w:val="20"/>
                          </w:rPr>
                          <w:t>y</w:t>
                        </w:r>
                        <w:r>
                          <w:rPr>
                            <w:rFonts w:ascii="Arial Narrow" w:hAnsi="Arial Narrow"/>
                            <w:color w:val="FFFFFF"/>
                            <w:spacing w:val="25"/>
                            <w:sz w:val="20"/>
                          </w:rPr>
                          <w:t> </w:t>
                        </w:r>
                        <w:r>
                          <w:rPr>
                            <w:rFonts w:ascii="Arial Narrow" w:hAnsi="Arial Narrow"/>
                            <w:color w:val="FFFFFF"/>
                            <w:sz w:val="20"/>
                          </w:rPr>
                          <w:t>control</w:t>
                        </w:r>
                        <w:r>
                          <w:rPr>
                            <w:rFonts w:ascii="Arial Narrow" w:hAnsi="Arial Narrow"/>
                            <w:color w:val="FFFFFF"/>
                            <w:spacing w:val="23"/>
                            <w:sz w:val="20"/>
                          </w:rPr>
                          <w:t> </w:t>
                        </w:r>
                        <w:r>
                          <w:rPr>
                            <w:rFonts w:ascii="Arial Narrow" w:hAnsi="Arial Narrow"/>
                            <w:color w:val="FFFFFF"/>
                            <w:sz w:val="20"/>
                          </w:rPr>
                          <w:t>de</w:t>
                        </w:r>
                        <w:r>
                          <w:rPr>
                            <w:rFonts w:ascii="Arial Narrow" w:hAnsi="Arial Narrow"/>
                            <w:color w:val="FFFFFF"/>
                            <w:spacing w:val="26"/>
                            <w:sz w:val="20"/>
                          </w:rPr>
                          <w:t> </w:t>
                        </w:r>
                        <w:r>
                          <w:rPr>
                            <w:rFonts w:ascii="Arial Narrow" w:hAnsi="Arial Narrow"/>
                            <w:color w:val="FFFFFF"/>
                            <w:sz w:val="20"/>
                          </w:rPr>
                          <w:t>la ejecución de las actuaciones fiscalizadas.</w:t>
                        </w:r>
                      </w:p>
                    </w:txbxContent>
                  </v:textbox>
                  <w10:wrap type="none"/>
                </v:shape>
                <v:shape style="position:absolute;left:8255;top:1251;width:1111;height:207" type="#_x0000_t202" id="docshape79" filled="false" stroked="false">
                  <v:textbox inset="0,0,0,0">
                    <w:txbxContent>
                      <w:p>
                        <w:pPr>
                          <w:spacing w:line="206" w:lineRule="exact" w:before="0"/>
                          <w:ind w:left="0" w:right="0" w:firstLine="0"/>
                          <w:jc w:val="left"/>
                          <w:rPr>
                            <w:rFonts w:ascii="Arial Narrow"/>
                            <w:sz w:val="18"/>
                          </w:rPr>
                        </w:pPr>
                        <w:hyperlink w:history="true" w:anchor="_bookmark27">
                          <w:r>
                            <w:rPr>
                              <w:rFonts w:ascii="Arial Narrow"/>
                              <w:sz w:val="18"/>
                            </w:rPr>
                            <w:t>Subapartado</w:t>
                          </w:r>
                          <w:r>
                            <w:rPr>
                              <w:rFonts w:ascii="Arial Narrow"/>
                              <w:spacing w:val="-7"/>
                              <w:sz w:val="18"/>
                            </w:rPr>
                            <w:t> </w:t>
                          </w:r>
                          <w:r>
                            <w:rPr>
                              <w:rFonts w:ascii="Arial Narrow"/>
                              <w:spacing w:val="-4"/>
                              <w:sz w:val="18"/>
                            </w:rPr>
                            <w:t>II.2</w:t>
                          </w:r>
                        </w:hyperlink>
                      </w:p>
                    </w:txbxContent>
                  </v:textbox>
                  <w10:wrap type="none"/>
                </v:shape>
                <v:shape style="position:absolute;left:2472;top:1122;width:5283;height:479" type="#_x0000_t202" id="docshape80" filled="false" stroked="false">
                  <v:textbox inset="0,0,0,0">
                    <w:txbxContent>
                      <w:p>
                        <w:pPr>
                          <w:spacing w:line="261" w:lineRule="auto" w:before="0"/>
                          <w:ind w:left="0" w:right="18" w:firstLine="0"/>
                          <w:jc w:val="left"/>
                          <w:rPr>
                            <w:rFonts w:ascii="Arial Narrow"/>
                            <w:sz w:val="20"/>
                          </w:rPr>
                        </w:pPr>
                        <w:r>
                          <w:rPr>
                            <w:rFonts w:ascii="Arial Narrow"/>
                            <w:color w:val="FFFFFF"/>
                            <w:sz w:val="20"/>
                          </w:rPr>
                          <w:t>Verificar las actuaciones realizadas por las entidades para planificar y promover una movilidad sostenible.</w:t>
                        </w:r>
                      </w:p>
                    </w:txbxContent>
                  </v:textbox>
                  <w10:wrap type="none"/>
                </v:shape>
                <w10:wrap type="none"/>
              </v:group>
            </w:pict>
          </mc:Fallback>
        </mc:AlternateContent>
      </w:r>
      <w:r>
        <w:rPr>
          <w:rFonts w:ascii="Arial Narrow"/>
          <w:color w:val="FFFFFF"/>
          <w:sz w:val="20"/>
        </w:rPr>
        <w:t>Verificar</w:t>
      </w:r>
      <w:r>
        <w:rPr>
          <w:rFonts w:ascii="Arial Narrow"/>
          <w:color w:val="FFFFFF"/>
          <w:spacing w:val="-12"/>
          <w:sz w:val="20"/>
        </w:rPr>
        <w:t> </w:t>
      </w:r>
      <w:r>
        <w:rPr>
          <w:rFonts w:ascii="Arial Narrow"/>
          <w:color w:val="FFFFFF"/>
          <w:sz w:val="20"/>
        </w:rPr>
        <w:t>el</w:t>
      </w:r>
      <w:r>
        <w:rPr>
          <w:rFonts w:ascii="Arial Narrow"/>
          <w:color w:val="FFFFFF"/>
          <w:spacing w:val="-10"/>
          <w:sz w:val="20"/>
        </w:rPr>
        <w:t> </w:t>
      </w:r>
      <w:r>
        <w:rPr>
          <w:rFonts w:ascii="Arial Narrow"/>
          <w:color w:val="FFFFFF"/>
          <w:sz w:val="20"/>
        </w:rPr>
        <w:t>cumplimiento</w:t>
      </w:r>
      <w:r>
        <w:rPr>
          <w:rFonts w:ascii="Arial Narrow"/>
          <w:color w:val="FFFFFF"/>
          <w:spacing w:val="-10"/>
          <w:sz w:val="20"/>
        </w:rPr>
        <w:t> </w:t>
      </w:r>
      <w:r>
        <w:rPr>
          <w:rFonts w:ascii="Arial Narrow"/>
          <w:color w:val="FFFFFF"/>
          <w:sz w:val="20"/>
        </w:rPr>
        <w:t>de</w:t>
      </w:r>
      <w:r>
        <w:rPr>
          <w:rFonts w:ascii="Arial Narrow"/>
          <w:color w:val="FFFFFF"/>
          <w:spacing w:val="-12"/>
          <w:sz w:val="20"/>
        </w:rPr>
        <w:t> </w:t>
      </w:r>
      <w:r>
        <w:rPr>
          <w:rFonts w:ascii="Arial Narrow"/>
          <w:color w:val="FFFFFF"/>
          <w:sz w:val="20"/>
        </w:rPr>
        <w:t>la</w:t>
      </w:r>
      <w:r>
        <w:rPr>
          <w:rFonts w:ascii="Arial Narrow"/>
          <w:color w:val="FFFFFF"/>
          <w:spacing w:val="-9"/>
          <w:sz w:val="20"/>
        </w:rPr>
        <w:t> </w:t>
      </w:r>
      <w:r>
        <w:rPr>
          <w:rFonts w:ascii="Arial Narrow"/>
          <w:color w:val="FFFFFF"/>
          <w:sz w:val="20"/>
        </w:rPr>
        <w:t>normativa</w:t>
      </w:r>
      <w:r>
        <w:rPr>
          <w:rFonts w:ascii="Arial Narrow"/>
          <w:color w:val="FFFFFF"/>
          <w:spacing w:val="-12"/>
          <w:sz w:val="20"/>
        </w:rPr>
        <w:t> </w:t>
      </w:r>
      <w:r>
        <w:rPr>
          <w:rFonts w:ascii="Arial Narrow"/>
          <w:color w:val="FFFFFF"/>
          <w:sz w:val="20"/>
        </w:rPr>
        <w:t>en</w:t>
      </w:r>
      <w:r>
        <w:rPr>
          <w:rFonts w:ascii="Arial Narrow"/>
          <w:color w:val="FFFFFF"/>
          <w:spacing w:val="-11"/>
          <w:sz w:val="20"/>
        </w:rPr>
        <w:t> </w:t>
      </w:r>
      <w:r>
        <w:rPr>
          <w:rFonts w:ascii="Arial Narrow"/>
          <w:color w:val="FFFFFF"/>
          <w:sz w:val="20"/>
        </w:rPr>
        <w:t>materia</w:t>
      </w:r>
      <w:r>
        <w:rPr>
          <w:rFonts w:ascii="Arial Narrow"/>
          <w:color w:val="FFFFFF"/>
          <w:spacing w:val="-10"/>
          <w:sz w:val="20"/>
        </w:rPr>
        <w:t> </w:t>
      </w:r>
      <w:r>
        <w:rPr>
          <w:rFonts w:ascii="Arial Narrow"/>
          <w:color w:val="FFFFFF"/>
          <w:sz w:val="20"/>
        </w:rPr>
        <w:t>medioambiental</w:t>
      </w:r>
      <w:r>
        <w:rPr>
          <w:rFonts w:ascii="Arial Narrow"/>
          <w:color w:val="FFFFFF"/>
          <w:spacing w:val="-12"/>
          <w:sz w:val="20"/>
        </w:rPr>
        <w:t> </w:t>
      </w:r>
      <w:r>
        <w:rPr>
          <w:rFonts w:ascii="Arial Narrow"/>
          <w:color w:val="FFFFFF"/>
          <w:sz w:val="20"/>
        </w:rPr>
        <w:t>y</w:t>
      </w:r>
      <w:r>
        <w:rPr>
          <w:rFonts w:ascii="Arial Narrow"/>
          <w:color w:val="FFFFFF"/>
          <w:spacing w:val="-11"/>
          <w:sz w:val="20"/>
        </w:rPr>
        <w:t> </w:t>
      </w:r>
      <w:r>
        <w:rPr>
          <w:rFonts w:ascii="Arial Narrow"/>
          <w:color w:val="FFFFFF"/>
          <w:sz w:val="20"/>
        </w:rPr>
        <w:t>de accesibilidad social en las actuaciones fiscalizadas por las entidades.</w:t>
      </w:r>
    </w:p>
    <w:p>
      <w:pPr>
        <w:pStyle w:val="BodyText"/>
        <w:spacing w:before="46"/>
        <w:rPr>
          <w:rFonts w:ascii="Arial Narrow"/>
          <w:sz w:val="18"/>
        </w:rPr>
      </w:pPr>
      <w:r>
        <w:rPr/>
        <w:br w:type="column"/>
      </w:r>
      <w:r>
        <w:rPr>
          <w:rFonts w:ascii="Arial Narrow"/>
          <w:sz w:val="18"/>
        </w:rPr>
      </w:r>
    </w:p>
    <w:p>
      <w:pPr>
        <w:spacing w:before="0"/>
        <w:ind w:left="613" w:right="0" w:firstLine="0"/>
        <w:jc w:val="left"/>
        <w:rPr>
          <w:rFonts w:ascii="Arial Narrow"/>
          <w:sz w:val="18"/>
        </w:rPr>
      </w:pPr>
      <w:hyperlink w:history="true" w:anchor="_bookmark27">
        <w:r>
          <w:rPr>
            <w:rFonts w:ascii="Arial Narrow"/>
            <w:sz w:val="18"/>
          </w:rPr>
          <w:t>Subapartados</w:t>
        </w:r>
        <w:r>
          <w:rPr>
            <w:rFonts w:ascii="Arial Narrow"/>
            <w:spacing w:val="-2"/>
            <w:sz w:val="18"/>
          </w:rPr>
          <w:t> </w:t>
        </w:r>
        <w:r>
          <w:rPr>
            <w:rFonts w:ascii="Arial Narrow"/>
            <w:sz w:val="18"/>
          </w:rPr>
          <w:t>II.2</w:t>
        </w:r>
        <w:r>
          <w:rPr>
            <w:rFonts w:ascii="Arial Narrow"/>
            <w:spacing w:val="-1"/>
            <w:sz w:val="18"/>
          </w:rPr>
          <w:t> </w:t>
        </w:r>
        <w:r>
          <w:rPr>
            <w:rFonts w:ascii="Arial Narrow"/>
            <w:sz w:val="18"/>
          </w:rPr>
          <w:t>a</w:t>
        </w:r>
        <w:r>
          <w:rPr>
            <w:rFonts w:ascii="Arial Narrow"/>
            <w:spacing w:val="-2"/>
            <w:sz w:val="18"/>
          </w:rPr>
          <w:t> </w:t>
        </w:r>
        <w:r>
          <w:rPr>
            <w:rFonts w:ascii="Arial Narrow"/>
            <w:spacing w:val="-4"/>
            <w:sz w:val="18"/>
          </w:rPr>
          <w:t>II.5</w:t>
        </w:r>
      </w:hyperlink>
    </w:p>
    <w:p>
      <w:pPr>
        <w:spacing w:after="0"/>
        <w:jc w:val="left"/>
        <w:rPr>
          <w:rFonts w:ascii="Arial Narrow"/>
          <w:sz w:val="18"/>
        </w:rPr>
        <w:sectPr>
          <w:type w:val="continuous"/>
          <w:pgSz w:w="11910" w:h="16840"/>
          <w:pgMar w:header="1227" w:footer="839" w:top="1680" w:bottom="280" w:left="141" w:right="141"/>
          <w:cols w:num="2" w:equalWidth="0">
            <w:col w:w="7519" w:space="40"/>
            <w:col w:w="4069"/>
          </w:cols>
        </w:sectPr>
      </w:pPr>
    </w:p>
    <w:p>
      <w:pPr>
        <w:pStyle w:val="BodyText"/>
        <w:rPr>
          <w:rFonts w:ascii="Arial Narrow"/>
          <w:sz w:val="20"/>
        </w:rPr>
      </w:pPr>
    </w:p>
    <w:p>
      <w:pPr>
        <w:pStyle w:val="BodyText"/>
        <w:rPr>
          <w:rFonts w:ascii="Arial Narrow"/>
          <w:sz w:val="20"/>
        </w:rPr>
      </w:pPr>
    </w:p>
    <w:p>
      <w:pPr>
        <w:pStyle w:val="BodyText"/>
        <w:rPr>
          <w:rFonts w:ascii="Arial Narrow"/>
          <w:sz w:val="20"/>
        </w:rPr>
      </w:pPr>
    </w:p>
    <w:p>
      <w:pPr>
        <w:pStyle w:val="BodyText"/>
        <w:rPr>
          <w:rFonts w:ascii="Arial Narrow"/>
          <w:sz w:val="20"/>
        </w:rPr>
      </w:pPr>
    </w:p>
    <w:p>
      <w:pPr>
        <w:pStyle w:val="BodyText"/>
        <w:spacing w:before="116"/>
        <w:rPr>
          <w:rFonts w:ascii="Arial Narrow"/>
          <w:sz w:val="20"/>
        </w:rPr>
      </w:pPr>
    </w:p>
    <w:p>
      <w:pPr>
        <w:pStyle w:val="BodyText"/>
        <w:spacing w:after="0"/>
        <w:rPr>
          <w:rFonts w:ascii="Arial Narrow"/>
          <w:sz w:val="20"/>
        </w:rPr>
        <w:sectPr>
          <w:type w:val="continuous"/>
          <w:pgSz w:w="11910" w:h="16840"/>
          <w:pgMar w:header="1227" w:footer="839" w:top="1680" w:bottom="280" w:left="141" w:right="141"/>
        </w:sectPr>
      </w:pPr>
    </w:p>
    <w:p>
      <w:pPr>
        <w:spacing w:line="259" w:lineRule="auto" w:before="99"/>
        <w:ind w:left="2312" w:right="0" w:firstLine="0"/>
        <w:jc w:val="both"/>
        <w:rPr>
          <w:rFonts w:ascii="Arial Narrow" w:hAnsi="Arial Narrow"/>
          <w:sz w:val="20"/>
        </w:rPr>
      </w:pPr>
      <w:r>
        <w:rPr>
          <w:rFonts w:ascii="Arial Narrow" w:hAnsi="Arial Narrow"/>
          <w:color w:val="FFFFFF"/>
          <w:sz w:val="20"/>
        </w:rPr>
        <w:t>Analizar el alcance de las actuaciones realizadas por las entidades fiscalizadas</w:t>
      </w:r>
      <w:r>
        <w:rPr>
          <w:rFonts w:ascii="Arial Narrow" w:hAnsi="Arial Narrow"/>
          <w:color w:val="FFFFFF"/>
          <w:spacing w:val="-12"/>
          <w:sz w:val="20"/>
        </w:rPr>
        <w:t> </w:t>
      </w:r>
      <w:r>
        <w:rPr>
          <w:rFonts w:ascii="Arial Narrow" w:hAnsi="Arial Narrow"/>
          <w:color w:val="FFFFFF"/>
          <w:sz w:val="20"/>
        </w:rPr>
        <w:t>para</w:t>
      </w:r>
      <w:r>
        <w:rPr>
          <w:rFonts w:ascii="Arial Narrow" w:hAnsi="Arial Narrow"/>
          <w:color w:val="FFFFFF"/>
          <w:spacing w:val="-11"/>
          <w:sz w:val="20"/>
        </w:rPr>
        <w:t> </w:t>
      </w:r>
      <w:r>
        <w:rPr>
          <w:rFonts w:ascii="Arial Narrow" w:hAnsi="Arial Narrow"/>
          <w:color w:val="FFFFFF"/>
          <w:sz w:val="20"/>
        </w:rPr>
        <w:t>lograr</w:t>
      </w:r>
      <w:r>
        <w:rPr>
          <w:rFonts w:ascii="Arial Narrow" w:hAnsi="Arial Narrow"/>
          <w:color w:val="FFFFFF"/>
          <w:spacing w:val="-12"/>
          <w:sz w:val="20"/>
        </w:rPr>
        <w:t> </w:t>
      </w:r>
      <w:r>
        <w:rPr>
          <w:rFonts w:ascii="Arial Narrow" w:hAnsi="Arial Narrow"/>
          <w:color w:val="FFFFFF"/>
          <w:sz w:val="20"/>
        </w:rPr>
        <w:t>la</w:t>
      </w:r>
      <w:r>
        <w:rPr>
          <w:rFonts w:ascii="Arial Narrow" w:hAnsi="Arial Narrow"/>
          <w:color w:val="FFFFFF"/>
          <w:spacing w:val="-11"/>
          <w:sz w:val="20"/>
        </w:rPr>
        <w:t> </w:t>
      </w:r>
      <w:r>
        <w:rPr>
          <w:rFonts w:ascii="Arial Narrow" w:hAnsi="Arial Narrow"/>
          <w:color w:val="FFFFFF"/>
          <w:sz w:val="20"/>
        </w:rPr>
        <w:t>sostenibilidad</w:t>
      </w:r>
      <w:r>
        <w:rPr>
          <w:rFonts w:ascii="Arial Narrow" w:hAnsi="Arial Narrow"/>
          <w:color w:val="FFFFFF"/>
          <w:spacing w:val="-11"/>
          <w:sz w:val="20"/>
        </w:rPr>
        <w:t> </w:t>
      </w:r>
      <w:r>
        <w:rPr>
          <w:rFonts w:ascii="Arial Narrow" w:hAnsi="Arial Narrow"/>
          <w:color w:val="FFFFFF"/>
          <w:sz w:val="20"/>
        </w:rPr>
        <w:t>en</w:t>
      </w:r>
      <w:r>
        <w:rPr>
          <w:rFonts w:ascii="Arial Narrow" w:hAnsi="Arial Narrow"/>
          <w:color w:val="FFFFFF"/>
          <w:spacing w:val="-12"/>
          <w:sz w:val="20"/>
        </w:rPr>
        <w:t> </w:t>
      </w:r>
      <w:r>
        <w:rPr>
          <w:rFonts w:ascii="Arial Narrow" w:hAnsi="Arial Narrow"/>
          <w:color w:val="FFFFFF"/>
          <w:sz w:val="20"/>
        </w:rPr>
        <w:t>el</w:t>
      </w:r>
      <w:r>
        <w:rPr>
          <w:rFonts w:ascii="Arial Narrow" w:hAnsi="Arial Narrow"/>
          <w:color w:val="FFFFFF"/>
          <w:spacing w:val="-11"/>
          <w:sz w:val="20"/>
        </w:rPr>
        <w:t> </w:t>
      </w:r>
      <w:r>
        <w:rPr>
          <w:rFonts w:ascii="Arial Narrow" w:hAnsi="Arial Narrow"/>
          <w:color w:val="FFFFFF"/>
          <w:sz w:val="20"/>
        </w:rPr>
        <w:t>transporte</w:t>
      </w:r>
      <w:r>
        <w:rPr>
          <w:rFonts w:ascii="Arial Narrow" w:hAnsi="Arial Narrow"/>
          <w:color w:val="FFFFFF"/>
          <w:spacing w:val="-12"/>
          <w:sz w:val="20"/>
        </w:rPr>
        <w:t> </w:t>
      </w:r>
      <w:r>
        <w:rPr>
          <w:rFonts w:ascii="Arial Narrow" w:hAnsi="Arial Narrow"/>
          <w:color w:val="FFFFFF"/>
          <w:sz w:val="20"/>
        </w:rPr>
        <w:t>público</w:t>
      </w:r>
      <w:r>
        <w:rPr>
          <w:rFonts w:ascii="Arial Narrow" w:hAnsi="Arial Narrow"/>
          <w:color w:val="FFFFFF"/>
          <w:spacing w:val="-11"/>
          <w:sz w:val="20"/>
        </w:rPr>
        <w:t> </w:t>
      </w:r>
      <w:r>
        <w:rPr>
          <w:rFonts w:ascii="Arial Narrow" w:hAnsi="Arial Narrow"/>
          <w:color w:val="FFFFFF"/>
          <w:sz w:val="20"/>
        </w:rPr>
        <w:t>colectivo urbano, en su triple vertiente</w:t>
      </w:r>
      <w:r>
        <w:rPr>
          <w:rFonts w:ascii="Arial Narrow" w:hAnsi="Arial Narrow"/>
          <w:color w:val="FFFFFF"/>
          <w:spacing w:val="-3"/>
          <w:sz w:val="20"/>
        </w:rPr>
        <w:t> </w:t>
      </w:r>
      <w:r>
        <w:rPr>
          <w:rFonts w:ascii="Arial Narrow" w:hAnsi="Arial Narrow"/>
          <w:color w:val="FFFFFF"/>
          <w:sz w:val="20"/>
        </w:rPr>
        <w:t>−medioambiental, social y económica−, su tramitación, coste, financiación y grado de ejecución.</w:t>
      </w:r>
    </w:p>
    <w:p>
      <w:pPr>
        <w:pStyle w:val="BodyText"/>
        <w:spacing w:before="204"/>
        <w:rPr>
          <w:rFonts w:ascii="Arial Narrow"/>
          <w:sz w:val="18"/>
        </w:rPr>
      </w:pPr>
      <w:r>
        <w:rPr/>
        <w:br w:type="column"/>
      </w:r>
      <w:r>
        <w:rPr>
          <w:rFonts w:ascii="Arial Narrow"/>
          <w:sz w:val="18"/>
        </w:rPr>
      </w:r>
    </w:p>
    <w:p>
      <w:pPr>
        <w:spacing w:line="256" w:lineRule="auto" w:before="0"/>
        <w:ind w:left="525" w:right="2269" w:firstLine="0"/>
        <w:jc w:val="left"/>
        <w:rPr>
          <w:rFonts w:ascii="Arial Narrow" w:hAnsi="Arial Narrow"/>
          <w:sz w:val="18"/>
        </w:rPr>
      </w:pPr>
      <w:hyperlink w:history="true" w:anchor="_bookmark37">
        <w:r>
          <w:rPr>
            <w:rFonts w:ascii="Arial Narrow" w:hAnsi="Arial Narrow"/>
            <w:sz w:val="18"/>
          </w:rPr>
          <w:t>Subapartado</w:t>
        </w:r>
        <w:r>
          <w:rPr>
            <w:rFonts w:ascii="Arial Narrow" w:hAnsi="Arial Narrow"/>
            <w:spacing w:val="-11"/>
            <w:sz w:val="18"/>
          </w:rPr>
          <w:t> </w:t>
        </w:r>
        <w:r>
          <w:rPr>
            <w:rFonts w:ascii="Arial Narrow" w:hAnsi="Arial Narrow"/>
            <w:sz w:val="18"/>
          </w:rPr>
          <w:t>II.3</w:t>
        </w:r>
      </w:hyperlink>
      <w:r>
        <w:rPr>
          <w:rFonts w:ascii="Arial Narrow" w:hAnsi="Arial Narrow"/>
          <w:spacing w:val="-10"/>
          <w:sz w:val="18"/>
        </w:rPr>
        <w:t> </w:t>
      </w:r>
      <w:r>
        <w:rPr>
          <w:rFonts w:ascii="Arial Narrow" w:hAnsi="Arial Narrow"/>
          <w:color w:val="436C92"/>
          <w:sz w:val="18"/>
        </w:rPr>
        <w:t>y </w:t>
      </w:r>
      <w:hyperlink w:history="true" w:anchor="_bookmark104">
        <w:r>
          <w:rPr>
            <w:rFonts w:ascii="Arial Narrow" w:hAnsi="Arial Narrow"/>
            <w:sz w:val="18"/>
          </w:rPr>
          <w:t>Epígrafe</w:t>
        </w:r>
        <w:r>
          <w:rPr>
            <w:rFonts w:ascii="Arial Narrow" w:hAnsi="Arial Narrow"/>
            <w:spacing w:val="-2"/>
            <w:sz w:val="18"/>
          </w:rPr>
          <w:t> </w:t>
        </w:r>
        <w:r>
          <w:rPr>
            <w:rFonts w:ascii="Arial Narrow" w:hAnsi="Arial Narrow"/>
            <w:sz w:val="18"/>
          </w:rPr>
          <w:t>II.5.1</w:t>
        </w:r>
      </w:hyperlink>
    </w:p>
    <w:p>
      <w:pPr>
        <w:spacing w:after="0" w:line="256" w:lineRule="auto"/>
        <w:jc w:val="left"/>
        <w:rPr>
          <w:rFonts w:ascii="Arial Narrow" w:hAnsi="Arial Narrow"/>
          <w:sz w:val="18"/>
        </w:rPr>
        <w:sectPr>
          <w:type w:val="continuous"/>
          <w:pgSz w:w="11910" w:h="16840"/>
          <w:pgMar w:header="1227" w:footer="839" w:top="1680" w:bottom="280" w:left="141" w:right="141"/>
          <w:cols w:num="2" w:equalWidth="0">
            <w:col w:w="7583" w:space="40"/>
            <w:col w:w="4005"/>
          </w:cols>
        </w:sect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spacing w:before="72"/>
        <w:rPr>
          <w:rFonts w:ascii="Arial Narrow"/>
          <w:sz w:val="18"/>
        </w:rPr>
      </w:pPr>
    </w:p>
    <w:p>
      <w:pPr>
        <w:spacing w:before="0"/>
        <w:ind w:left="992" w:right="0" w:firstLine="0"/>
        <w:jc w:val="both"/>
        <w:rPr>
          <w:rFonts w:ascii="Arial Narrow" w:hAnsi="Arial Narrow"/>
          <w:sz w:val="18"/>
        </w:rPr>
      </w:pPr>
      <w:r>
        <w:rPr>
          <w:rFonts w:ascii="Arial Narrow" w:hAnsi="Arial Narrow"/>
          <w:sz w:val="18"/>
        </w:rPr>
        <w:t>Fuente:</w:t>
      </w:r>
      <w:r>
        <w:rPr>
          <w:rFonts w:ascii="Arial Narrow" w:hAnsi="Arial Narrow"/>
          <w:spacing w:val="-4"/>
          <w:sz w:val="18"/>
        </w:rPr>
        <w:t> </w:t>
      </w:r>
      <w:r>
        <w:rPr>
          <w:rFonts w:ascii="Arial Narrow" w:hAnsi="Arial Narrow"/>
          <w:sz w:val="18"/>
        </w:rPr>
        <w:t>Elaboración</w:t>
      </w:r>
      <w:r>
        <w:rPr>
          <w:rFonts w:ascii="Arial Narrow" w:hAnsi="Arial Narrow"/>
          <w:spacing w:val="-4"/>
          <w:sz w:val="18"/>
        </w:rPr>
        <w:t> </w:t>
      </w:r>
      <w:r>
        <w:rPr>
          <w:rFonts w:ascii="Arial Narrow" w:hAnsi="Arial Narrow"/>
          <w:spacing w:val="-2"/>
          <w:sz w:val="18"/>
        </w:rPr>
        <w:t>propia</w:t>
      </w:r>
    </w:p>
    <w:p>
      <w:pPr>
        <w:pStyle w:val="BodyText"/>
        <w:spacing w:before="34"/>
        <w:rPr>
          <w:rFonts w:ascii="Arial Narrow"/>
          <w:sz w:val="18"/>
        </w:rPr>
      </w:pPr>
    </w:p>
    <w:p>
      <w:pPr>
        <w:pStyle w:val="BodyText"/>
        <w:ind w:left="992" w:right="992"/>
        <w:jc w:val="both"/>
      </w:pPr>
      <w:r>
        <w:rPr/>
        <w:t>En esta fiscalización se han aplicado las Normas del Tribunal de Cuentas, con las modificaciones aprobadas posteriormente y, se han llevado a cabo todas las pruebas y actuaciones que se han considerado</w:t>
      </w:r>
      <w:r>
        <w:rPr>
          <w:spacing w:val="-3"/>
        </w:rPr>
        <w:t> </w:t>
      </w:r>
      <w:r>
        <w:rPr/>
        <w:t>precisas</w:t>
      </w:r>
      <w:r>
        <w:rPr>
          <w:spacing w:val="-5"/>
        </w:rPr>
        <w:t> </w:t>
      </w:r>
      <w:r>
        <w:rPr/>
        <w:t>para</w:t>
      </w:r>
      <w:r>
        <w:rPr>
          <w:spacing w:val="-3"/>
        </w:rPr>
        <w:t> </w:t>
      </w:r>
      <w:r>
        <w:rPr/>
        <w:t>dar</w:t>
      </w:r>
      <w:r>
        <w:rPr>
          <w:spacing w:val="-6"/>
        </w:rPr>
        <w:t> </w:t>
      </w:r>
      <w:r>
        <w:rPr/>
        <w:t>cumplimiento</w:t>
      </w:r>
      <w:r>
        <w:rPr>
          <w:spacing w:val="-5"/>
        </w:rPr>
        <w:t> </w:t>
      </w:r>
      <w:r>
        <w:rPr/>
        <w:t>a</w:t>
      </w:r>
      <w:r>
        <w:rPr>
          <w:spacing w:val="-5"/>
        </w:rPr>
        <w:t> </w:t>
      </w:r>
      <w:r>
        <w:rPr/>
        <w:t>los</w:t>
      </w:r>
      <w:r>
        <w:rPr>
          <w:spacing w:val="-7"/>
        </w:rPr>
        <w:t> </w:t>
      </w:r>
      <w:r>
        <w:rPr/>
        <w:t>objetivos</w:t>
      </w:r>
      <w:r>
        <w:rPr>
          <w:spacing w:val="-5"/>
        </w:rPr>
        <w:t> </w:t>
      </w:r>
      <w:r>
        <w:rPr/>
        <w:t>señalados</w:t>
      </w:r>
      <w:r>
        <w:rPr>
          <w:spacing w:val="-5"/>
        </w:rPr>
        <w:t> </w:t>
      </w:r>
      <w:r>
        <w:rPr/>
        <w:t>anteriormente,</w:t>
      </w:r>
      <w:r>
        <w:rPr>
          <w:spacing w:val="-4"/>
        </w:rPr>
        <w:t> </w:t>
      </w:r>
      <w:r>
        <w:rPr/>
        <w:t>utilizando</w:t>
      </w:r>
      <w:r>
        <w:rPr>
          <w:spacing w:val="-3"/>
        </w:rPr>
        <w:t> </w:t>
      </w:r>
      <w:r>
        <w:rPr/>
        <w:t>los procedimientos y técnicas habituales de auditoría.</w:t>
      </w:r>
    </w:p>
    <w:p>
      <w:pPr>
        <w:pStyle w:val="BodyText"/>
        <w:spacing w:before="241"/>
        <w:ind w:left="992"/>
        <w:jc w:val="both"/>
      </w:pPr>
      <w:r>
        <w:rPr/>
        <w:t>En</w:t>
      </w:r>
      <w:r>
        <w:rPr>
          <w:spacing w:val="-6"/>
        </w:rPr>
        <w:t> </w:t>
      </w:r>
      <w:r>
        <w:rPr/>
        <w:t>el</w:t>
      </w:r>
      <w:r>
        <w:rPr>
          <w:spacing w:val="-3"/>
        </w:rPr>
        <w:t> </w:t>
      </w:r>
      <w:hyperlink w:history="true" w:anchor="_bookmark126">
        <w:r>
          <w:rPr>
            <w:color w:val="0033CC"/>
            <w:u w:val="single" w:color="0033CC"/>
          </w:rPr>
          <w:t>Anexo</w:t>
        </w:r>
        <w:r>
          <w:rPr>
            <w:color w:val="0033CC"/>
            <w:spacing w:val="-5"/>
            <w:u w:val="single" w:color="0033CC"/>
          </w:rPr>
          <w:t> </w:t>
        </w:r>
        <w:r>
          <w:rPr>
            <w:color w:val="0033CC"/>
            <w:u w:val="single" w:color="0033CC"/>
          </w:rPr>
          <w:t>I</w:t>
        </w:r>
      </w:hyperlink>
      <w:r>
        <w:rPr>
          <w:color w:val="0033CC"/>
          <w:spacing w:val="-1"/>
          <w:u w:val="none"/>
        </w:rPr>
        <w:t> </w:t>
      </w:r>
      <w:r>
        <w:rPr>
          <w:u w:val="none"/>
        </w:rPr>
        <w:t>se</w:t>
      </w:r>
      <w:r>
        <w:rPr>
          <w:spacing w:val="-6"/>
          <w:u w:val="none"/>
        </w:rPr>
        <w:t> </w:t>
      </w:r>
      <w:r>
        <w:rPr>
          <w:u w:val="none"/>
        </w:rPr>
        <w:t>detalla</w:t>
      </w:r>
      <w:r>
        <w:rPr>
          <w:spacing w:val="-3"/>
          <w:u w:val="none"/>
        </w:rPr>
        <w:t> </w:t>
      </w:r>
      <w:r>
        <w:rPr>
          <w:u w:val="none"/>
        </w:rPr>
        <w:t>el</w:t>
      </w:r>
      <w:r>
        <w:rPr>
          <w:spacing w:val="-4"/>
          <w:u w:val="none"/>
        </w:rPr>
        <w:t> </w:t>
      </w:r>
      <w:r>
        <w:rPr>
          <w:u w:val="none"/>
        </w:rPr>
        <w:t>marco</w:t>
      </w:r>
      <w:r>
        <w:rPr>
          <w:spacing w:val="-5"/>
          <w:u w:val="none"/>
        </w:rPr>
        <w:t> </w:t>
      </w:r>
      <w:r>
        <w:rPr>
          <w:u w:val="none"/>
        </w:rPr>
        <w:t>normativo</w:t>
      </w:r>
      <w:r>
        <w:rPr>
          <w:spacing w:val="-3"/>
          <w:u w:val="none"/>
        </w:rPr>
        <w:t> </w:t>
      </w:r>
      <w:r>
        <w:rPr>
          <w:u w:val="none"/>
        </w:rPr>
        <w:t>de</w:t>
      </w:r>
      <w:r>
        <w:rPr>
          <w:spacing w:val="-5"/>
          <w:u w:val="none"/>
        </w:rPr>
        <w:t> </w:t>
      </w:r>
      <w:r>
        <w:rPr>
          <w:spacing w:val="-2"/>
          <w:u w:val="none"/>
        </w:rPr>
        <w:t>aplicación.</w:t>
      </w:r>
    </w:p>
    <w:p>
      <w:pPr>
        <w:pStyle w:val="BodyText"/>
        <w:spacing w:before="239"/>
        <w:ind w:left="992" w:right="989"/>
        <w:jc w:val="both"/>
      </w:pPr>
      <w:r>
        <w:rPr/>
        <w:t>En</w:t>
      </w:r>
      <w:r>
        <w:rPr>
          <w:spacing w:val="-9"/>
        </w:rPr>
        <w:t> </w:t>
      </w:r>
      <w:r>
        <w:rPr/>
        <w:t>el</w:t>
      </w:r>
      <w:r>
        <w:rPr>
          <w:spacing w:val="-10"/>
        </w:rPr>
        <w:t> </w:t>
      </w:r>
      <w:hyperlink w:history="true" w:anchor="_bookmark128">
        <w:r>
          <w:rPr>
            <w:color w:val="0033CC"/>
            <w:u w:val="single" w:color="0033CC"/>
          </w:rPr>
          <w:t>Anexo</w:t>
        </w:r>
        <w:r>
          <w:rPr>
            <w:color w:val="0033CC"/>
            <w:spacing w:val="-9"/>
            <w:u w:val="single" w:color="0033CC"/>
          </w:rPr>
          <w:t> </w:t>
        </w:r>
        <w:r>
          <w:rPr>
            <w:color w:val="0033CC"/>
            <w:u w:val="single" w:color="0033CC"/>
          </w:rPr>
          <w:t>II</w:t>
        </w:r>
      </w:hyperlink>
      <w:r>
        <w:rPr>
          <w:color w:val="0033CC"/>
          <w:spacing w:val="-6"/>
          <w:u w:val="none"/>
        </w:rPr>
        <w:t> </w:t>
      </w:r>
      <w:r>
        <w:rPr>
          <w:u w:val="none"/>
        </w:rPr>
        <w:t>se</w:t>
      </w:r>
      <w:r>
        <w:rPr>
          <w:spacing w:val="-11"/>
          <w:u w:val="none"/>
        </w:rPr>
        <w:t> </w:t>
      </w:r>
      <w:r>
        <w:rPr>
          <w:u w:val="none"/>
        </w:rPr>
        <w:t>expone</w:t>
      </w:r>
      <w:r>
        <w:rPr>
          <w:spacing w:val="-11"/>
          <w:u w:val="none"/>
        </w:rPr>
        <w:t> </w:t>
      </w:r>
      <w:r>
        <w:rPr>
          <w:u w:val="none"/>
        </w:rPr>
        <w:t>el</w:t>
      </w:r>
      <w:r>
        <w:rPr>
          <w:spacing w:val="-10"/>
          <w:u w:val="none"/>
        </w:rPr>
        <w:t> </w:t>
      </w:r>
      <w:r>
        <w:rPr>
          <w:u w:val="none"/>
        </w:rPr>
        <w:t>cumplimiento</w:t>
      </w:r>
      <w:r>
        <w:rPr>
          <w:spacing w:val="-11"/>
          <w:u w:val="none"/>
        </w:rPr>
        <w:t> </w:t>
      </w:r>
      <w:r>
        <w:rPr>
          <w:u w:val="none"/>
        </w:rPr>
        <w:t>por</w:t>
      </w:r>
      <w:r>
        <w:rPr>
          <w:spacing w:val="-10"/>
          <w:u w:val="none"/>
        </w:rPr>
        <w:t> </w:t>
      </w:r>
      <w:r>
        <w:rPr>
          <w:u w:val="none"/>
        </w:rPr>
        <w:t>parte</w:t>
      </w:r>
      <w:r>
        <w:rPr>
          <w:spacing w:val="-9"/>
          <w:u w:val="none"/>
        </w:rPr>
        <w:t> </w:t>
      </w:r>
      <w:r>
        <w:rPr>
          <w:u w:val="none"/>
        </w:rPr>
        <w:t>de</w:t>
      </w:r>
      <w:r>
        <w:rPr>
          <w:spacing w:val="-9"/>
          <w:u w:val="none"/>
        </w:rPr>
        <w:t> </w:t>
      </w:r>
      <w:r>
        <w:rPr>
          <w:u w:val="none"/>
        </w:rPr>
        <w:t>las</w:t>
      </w:r>
      <w:r>
        <w:rPr>
          <w:spacing w:val="-9"/>
          <w:u w:val="none"/>
        </w:rPr>
        <w:t> </w:t>
      </w:r>
      <w:r>
        <w:rPr>
          <w:u w:val="none"/>
        </w:rPr>
        <w:t>entidades</w:t>
      </w:r>
      <w:r>
        <w:rPr>
          <w:spacing w:val="-8"/>
          <w:u w:val="none"/>
        </w:rPr>
        <w:t> </w:t>
      </w:r>
      <w:r>
        <w:rPr>
          <w:u w:val="none"/>
        </w:rPr>
        <w:t>analizadas</w:t>
      </w:r>
      <w:r>
        <w:rPr>
          <w:spacing w:val="-9"/>
          <w:u w:val="none"/>
        </w:rPr>
        <w:t> </w:t>
      </w:r>
      <w:r>
        <w:rPr>
          <w:u w:val="none"/>
        </w:rPr>
        <w:t>de</w:t>
      </w:r>
      <w:r>
        <w:rPr>
          <w:spacing w:val="-9"/>
          <w:u w:val="none"/>
        </w:rPr>
        <w:t> </w:t>
      </w:r>
      <w:r>
        <w:rPr>
          <w:u w:val="none"/>
        </w:rPr>
        <w:t>sus</w:t>
      </w:r>
      <w:r>
        <w:rPr>
          <w:spacing w:val="-11"/>
          <w:u w:val="none"/>
        </w:rPr>
        <w:t> </w:t>
      </w:r>
      <w:r>
        <w:rPr>
          <w:u w:val="none"/>
        </w:rPr>
        <w:t>obligaciones de</w:t>
      </w:r>
      <w:r>
        <w:rPr>
          <w:spacing w:val="-9"/>
          <w:u w:val="none"/>
        </w:rPr>
        <w:t> </w:t>
      </w:r>
      <w:r>
        <w:rPr>
          <w:u w:val="none"/>
        </w:rPr>
        <w:t>rendición</w:t>
      </w:r>
      <w:r>
        <w:rPr>
          <w:spacing w:val="-9"/>
          <w:u w:val="none"/>
        </w:rPr>
        <w:t> </w:t>
      </w:r>
      <w:r>
        <w:rPr>
          <w:u w:val="none"/>
        </w:rPr>
        <w:t>de</w:t>
      </w:r>
      <w:r>
        <w:rPr>
          <w:spacing w:val="-12"/>
          <w:u w:val="none"/>
        </w:rPr>
        <w:t> </w:t>
      </w:r>
      <w:r>
        <w:rPr>
          <w:u w:val="none"/>
        </w:rPr>
        <w:t>cuentas</w:t>
      </w:r>
      <w:r>
        <w:rPr>
          <w:spacing w:val="-11"/>
          <w:u w:val="none"/>
        </w:rPr>
        <w:t> </w:t>
      </w:r>
      <w:r>
        <w:rPr>
          <w:u w:val="none"/>
        </w:rPr>
        <w:t>anuales,</w:t>
      </w:r>
      <w:r>
        <w:rPr>
          <w:spacing w:val="-8"/>
          <w:u w:val="none"/>
        </w:rPr>
        <w:t> </w:t>
      </w:r>
      <w:r>
        <w:rPr>
          <w:u w:val="none"/>
        </w:rPr>
        <w:t>así</w:t>
      </w:r>
      <w:r>
        <w:rPr>
          <w:spacing w:val="-7"/>
          <w:u w:val="none"/>
        </w:rPr>
        <w:t> </w:t>
      </w:r>
      <w:r>
        <w:rPr>
          <w:u w:val="none"/>
        </w:rPr>
        <w:t>como</w:t>
      </w:r>
      <w:r>
        <w:rPr>
          <w:spacing w:val="-11"/>
          <w:u w:val="none"/>
        </w:rPr>
        <w:t> </w:t>
      </w:r>
      <w:r>
        <w:rPr>
          <w:u w:val="none"/>
        </w:rPr>
        <w:t>de</w:t>
      </w:r>
      <w:r>
        <w:rPr>
          <w:spacing w:val="-12"/>
          <w:u w:val="none"/>
        </w:rPr>
        <w:t> </w:t>
      </w:r>
      <w:r>
        <w:rPr>
          <w:u w:val="none"/>
        </w:rPr>
        <w:t>remisión</w:t>
      </w:r>
      <w:r>
        <w:rPr>
          <w:spacing w:val="-9"/>
          <w:u w:val="none"/>
        </w:rPr>
        <w:t> </w:t>
      </w:r>
      <w:r>
        <w:rPr>
          <w:u w:val="none"/>
        </w:rPr>
        <w:t>al</w:t>
      </w:r>
      <w:r>
        <w:rPr>
          <w:spacing w:val="-10"/>
          <w:u w:val="none"/>
        </w:rPr>
        <w:t> </w:t>
      </w:r>
      <w:r>
        <w:rPr>
          <w:u w:val="none"/>
        </w:rPr>
        <w:t>Tribunal</w:t>
      </w:r>
      <w:r>
        <w:rPr>
          <w:spacing w:val="-10"/>
          <w:u w:val="none"/>
        </w:rPr>
        <w:t> </w:t>
      </w:r>
      <w:r>
        <w:rPr>
          <w:u w:val="none"/>
        </w:rPr>
        <w:t>de</w:t>
      </w:r>
      <w:r>
        <w:rPr>
          <w:spacing w:val="-12"/>
          <w:u w:val="none"/>
        </w:rPr>
        <w:t> </w:t>
      </w:r>
      <w:r>
        <w:rPr>
          <w:u w:val="none"/>
        </w:rPr>
        <w:t>Cuentas</w:t>
      </w:r>
      <w:r>
        <w:rPr>
          <w:spacing w:val="-9"/>
          <w:u w:val="none"/>
        </w:rPr>
        <w:t> </w:t>
      </w:r>
      <w:r>
        <w:rPr>
          <w:u w:val="none"/>
        </w:rPr>
        <w:t>de</w:t>
      </w:r>
      <w:r>
        <w:rPr>
          <w:spacing w:val="-12"/>
          <w:u w:val="none"/>
        </w:rPr>
        <w:t> </w:t>
      </w:r>
      <w:r>
        <w:rPr>
          <w:u w:val="none"/>
        </w:rPr>
        <w:t>la</w:t>
      </w:r>
      <w:r>
        <w:rPr>
          <w:spacing w:val="-9"/>
          <w:u w:val="none"/>
        </w:rPr>
        <w:t> </w:t>
      </w:r>
      <w:r>
        <w:rPr>
          <w:u w:val="none"/>
        </w:rPr>
        <w:t>documentación contractual,</w:t>
      </w:r>
      <w:r>
        <w:rPr>
          <w:spacing w:val="-8"/>
          <w:u w:val="none"/>
        </w:rPr>
        <w:t> </w:t>
      </w:r>
      <w:r>
        <w:rPr>
          <w:u w:val="none"/>
        </w:rPr>
        <w:t>de</w:t>
      </w:r>
      <w:r>
        <w:rPr>
          <w:spacing w:val="-10"/>
          <w:u w:val="none"/>
        </w:rPr>
        <w:t> </w:t>
      </w:r>
      <w:r>
        <w:rPr>
          <w:u w:val="none"/>
        </w:rPr>
        <w:t>convenios</w:t>
      </w:r>
      <w:r>
        <w:rPr>
          <w:spacing w:val="-7"/>
          <w:u w:val="none"/>
        </w:rPr>
        <w:t> </w:t>
      </w:r>
      <w:r>
        <w:rPr>
          <w:u w:val="none"/>
        </w:rPr>
        <w:t>y</w:t>
      </w:r>
      <w:r>
        <w:rPr>
          <w:spacing w:val="-9"/>
          <w:u w:val="none"/>
        </w:rPr>
        <w:t> </w:t>
      </w:r>
      <w:r>
        <w:rPr>
          <w:u w:val="none"/>
        </w:rPr>
        <w:t>de</w:t>
      </w:r>
      <w:r>
        <w:rPr>
          <w:spacing w:val="-10"/>
          <w:u w:val="none"/>
        </w:rPr>
        <w:t> </w:t>
      </w:r>
      <w:r>
        <w:rPr>
          <w:u w:val="none"/>
        </w:rPr>
        <w:t>la</w:t>
      </w:r>
      <w:r>
        <w:rPr>
          <w:spacing w:val="-7"/>
          <w:u w:val="none"/>
        </w:rPr>
        <w:t> </w:t>
      </w:r>
      <w:r>
        <w:rPr>
          <w:u w:val="none"/>
        </w:rPr>
        <w:t>información</w:t>
      </w:r>
      <w:r>
        <w:rPr>
          <w:spacing w:val="-10"/>
          <w:u w:val="none"/>
        </w:rPr>
        <w:t> </w:t>
      </w:r>
      <w:r>
        <w:rPr>
          <w:u w:val="none"/>
        </w:rPr>
        <w:t>relativa</w:t>
      </w:r>
      <w:r>
        <w:rPr>
          <w:spacing w:val="-7"/>
          <w:u w:val="none"/>
        </w:rPr>
        <w:t> </w:t>
      </w:r>
      <w:r>
        <w:rPr>
          <w:u w:val="none"/>
        </w:rPr>
        <w:t>al</w:t>
      </w:r>
      <w:r>
        <w:rPr>
          <w:spacing w:val="-11"/>
          <w:u w:val="none"/>
        </w:rPr>
        <w:t> </w:t>
      </w:r>
      <w:r>
        <w:rPr>
          <w:u w:val="none"/>
        </w:rPr>
        <w:t>control</w:t>
      </w:r>
      <w:r>
        <w:rPr>
          <w:spacing w:val="-8"/>
          <w:u w:val="none"/>
        </w:rPr>
        <w:t> </w:t>
      </w:r>
      <w:r>
        <w:rPr>
          <w:u w:val="none"/>
        </w:rPr>
        <w:t>interno,</w:t>
      </w:r>
      <w:r>
        <w:rPr>
          <w:spacing w:val="-5"/>
          <w:u w:val="none"/>
        </w:rPr>
        <w:t> </w:t>
      </w:r>
      <w:r>
        <w:rPr>
          <w:u w:val="none"/>
        </w:rPr>
        <w:t>en</w:t>
      </w:r>
      <w:r>
        <w:rPr>
          <w:spacing w:val="-10"/>
          <w:u w:val="none"/>
        </w:rPr>
        <w:t> </w:t>
      </w:r>
      <w:r>
        <w:rPr>
          <w:u w:val="none"/>
        </w:rPr>
        <w:t>los</w:t>
      </w:r>
      <w:r>
        <w:rPr>
          <w:spacing w:val="-7"/>
          <w:u w:val="none"/>
        </w:rPr>
        <w:t> </w:t>
      </w:r>
      <w:r>
        <w:rPr>
          <w:u w:val="none"/>
        </w:rPr>
        <w:t>términos</w:t>
      </w:r>
      <w:r>
        <w:rPr>
          <w:spacing w:val="-9"/>
          <w:u w:val="none"/>
        </w:rPr>
        <w:t> </w:t>
      </w:r>
      <w:r>
        <w:rPr>
          <w:u w:val="none"/>
        </w:rPr>
        <w:t>exigidos</w:t>
      </w:r>
      <w:r>
        <w:rPr>
          <w:spacing w:val="-9"/>
          <w:u w:val="none"/>
        </w:rPr>
        <w:t> </w:t>
      </w:r>
      <w:r>
        <w:rPr>
          <w:u w:val="none"/>
        </w:rPr>
        <w:t>por las disposiciones legales aplicables.</w:t>
      </w:r>
    </w:p>
    <w:p>
      <w:pPr>
        <w:pStyle w:val="BodyText"/>
        <w:spacing w:before="109"/>
      </w:pPr>
    </w:p>
    <w:p>
      <w:pPr>
        <w:pStyle w:val="Heading4"/>
        <w:numPr>
          <w:ilvl w:val="0"/>
          <w:numId w:val="3"/>
        </w:numPr>
        <w:tabs>
          <w:tab w:pos="1235" w:val="left" w:leader="none"/>
        </w:tabs>
        <w:spacing w:line="240" w:lineRule="auto" w:before="0" w:after="0"/>
        <w:ind w:left="1235" w:right="0" w:hanging="243"/>
        <w:jc w:val="left"/>
      </w:pPr>
      <w:bookmarkStart w:name="_bookmark11" w:id="13"/>
      <w:bookmarkEnd w:id="13"/>
      <w:r>
        <w:rPr>
          <w:b w:val="0"/>
        </w:rPr>
      </w:r>
      <w:r>
        <w:rPr/>
        <w:t>RESULTADOS</w:t>
      </w:r>
      <w:r>
        <w:rPr>
          <w:spacing w:val="-4"/>
        </w:rPr>
        <w:t> </w:t>
      </w:r>
      <w:r>
        <w:rPr/>
        <w:t>DE</w:t>
      </w:r>
      <w:r>
        <w:rPr>
          <w:spacing w:val="-4"/>
        </w:rPr>
        <w:t> </w:t>
      </w:r>
      <w:r>
        <w:rPr/>
        <w:t>LA</w:t>
      </w:r>
      <w:r>
        <w:rPr>
          <w:spacing w:val="-2"/>
        </w:rPr>
        <w:t> FISCALIZACIÓN</w:t>
      </w:r>
    </w:p>
    <w:p>
      <w:pPr>
        <w:pStyle w:val="BodyText"/>
        <w:spacing w:before="239"/>
        <w:ind w:left="992" w:right="990"/>
        <w:jc w:val="both"/>
      </w:pPr>
      <w:r>
        <w:rPr/>
        <w:t>En</w:t>
      </w:r>
      <w:r>
        <w:rPr>
          <w:spacing w:val="-7"/>
        </w:rPr>
        <w:t> </w:t>
      </w:r>
      <w:r>
        <w:rPr/>
        <w:t>el</w:t>
      </w:r>
      <w:r>
        <w:rPr>
          <w:spacing w:val="-8"/>
        </w:rPr>
        <w:t> </w:t>
      </w:r>
      <w:r>
        <w:rPr/>
        <w:t>Subapartado</w:t>
      </w:r>
      <w:r>
        <w:rPr>
          <w:spacing w:val="-10"/>
        </w:rPr>
        <w:t> </w:t>
      </w:r>
      <w:r>
        <w:rPr/>
        <w:t>II.1</w:t>
      </w:r>
      <w:r>
        <w:rPr>
          <w:spacing w:val="-9"/>
        </w:rPr>
        <w:t> </w:t>
      </w:r>
      <w:r>
        <w:rPr/>
        <w:t>se</w:t>
      </w:r>
      <w:r>
        <w:rPr>
          <w:spacing w:val="-7"/>
        </w:rPr>
        <w:t> </w:t>
      </w:r>
      <w:r>
        <w:rPr/>
        <w:t>exponen</w:t>
      </w:r>
      <w:r>
        <w:rPr>
          <w:spacing w:val="-10"/>
        </w:rPr>
        <w:t> </w:t>
      </w:r>
      <w:r>
        <w:rPr/>
        <w:t>las</w:t>
      </w:r>
      <w:r>
        <w:rPr>
          <w:spacing w:val="-7"/>
        </w:rPr>
        <w:t> </w:t>
      </w:r>
      <w:r>
        <w:rPr/>
        <w:t>características</w:t>
      </w:r>
      <w:r>
        <w:rPr>
          <w:spacing w:val="-7"/>
        </w:rPr>
        <w:t> </w:t>
      </w:r>
      <w:r>
        <w:rPr/>
        <w:t>del</w:t>
      </w:r>
      <w:r>
        <w:rPr>
          <w:spacing w:val="-8"/>
        </w:rPr>
        <w:t> </w:t>
      </w:r>
      <w:r>
        <w:rPr/>
        <w:t>servicio</w:t>
      </w:r>
      <w:r>
        <w:rPr>
          <w:spacing w:val="-7"/>
        </w:rPr>
        <w:t> </w:t>
      </w:r>
      <w:r>
        <w:rPr/>
        <w:t>público</w:t>
      </w:r>
      <w:r>
        <w:rPr>
          <w:spacing w:val="-10"/>
        </w:rPr>
        <w:t> </w:t>
      </w:r>
      <w:r>
        <w:rPr/>
        <w:t>colectivo</w:t>
      </w:r>
      <w:r>
        <w:rPr>
          <w:spacing w:val="-8"/>
        </w:rPr>
        <w:t> </w:t>
      </w:r>
      <w:r>
        <w:rPr/>
        <w:t>en</w:t>
      </w:r>
      <w:r>
        <w:rPr>
          <w:spacing w:val="-10"/>
        </w:rPr>
        <w:t> </w:t>
      </w:r>
      <w:r>
        <w:rPr/>
        <w:t>las</w:t>
      </w:r>
      <w:r>
        <w:rPr>
          <w:spacing w:val="-7"/>
        </w:rPr>
        <w:t> </w:t>
      </w:r>
      <w:r>
        <w:rPr/>
        <w:t>entidades </w:t>
      </w:r>
      <w:r>
        <w:rPr>
          <w:spacing w:val="-2"/>
        </w:rPr>
        <w:t>fiscalizadas.</w:t>
      </w:r>
    </w:p>
    <w:p>
      <w:pPr>
        <w:pStyle w:val="BodyText"/>
        <w:spacing w:before="240"/>
        <w:ind w:left="992" w:right="989"/>
        <w:jc w:val="both"/>
      </w:pPr>
      <w:r>
        <w:rPr/>
        <w:t>En el Subapartado II.2 se recogen las actuaciones realizadas por las entidades para planificar y promover una movilidad sostenible.</w:t>
      </w:r>
    </w:p>
    <w:p>
      <w:pPr>
        <w:pStyle w:val="BodyText"/>
        <w:spacing w:before="241"/>
        <w:ind w:left="992" w:right="987"/>
        <w:jc w:val="both"/>
      </w:pPr>
      <w:r>
        <w:rPr/>
        <w:t>En</w:t>
      </w:r>
      <w:r>
        <w:rPr>
          <w:spacing w:val="-11"/>
        </w:rPr>
        <w:t> </w:t>
      </w:r>
      <w:r>
        <w:rPr/>
        <w:t>el</w:t>
      </w:r>
      <w:r>
        <w:rPr>
          <w:spacing w:val="-12"/>
        </w:rPr>
        <w:t> </w:t>
      </w:r>
      <w:r>
        <w:rPr/>
        <w:t>Subapartado</w:t>
      </w:r>
      <w:r>
        <w:rPr>
          <w:spacing w:val="-14"/>
        </w:rPr>
        <w:t> </w:t>
      </w:r>
      <w:r>
        <w:rPr/>
        <w:t>II.3</w:t>
      </w:r>
      <w:r>
        <w:rPr>
          <w:spacing w:val="-14"/>
        </w:rPr>
        <w:t> </w:t>
      </w:r>
      <w:r>
        <w:rPr/>
        <w:t>se</w:t>
      </w:r>
      <w:r>
        <w:rPr>
          <w:spacing w:val="-14"/>
        </w:rPr>
        <w:t> </w:t>
      </w:r>
      <w:r>
        <w:rPr/>
        <w:t>desarrollan</w:t>
      </w:r>
      <w:r>
        <w:rPr>
          <w:spacing w:val="-12"/>
        </w:rPr>
        <w:t> </w:t>
      </w:r>
      <w:r>
        <w:rPr/>
        <w:t>las</w:t>
      </w:r>
      <w:r>
        <w:rPr>
          <w:spacing w:val="-10"/>
        </w:rPr>
        <w:t> </w:t>
      </w:r>
      <w:r>
        <w:rPr/>
        <w:t>actuaciones</w:t>
      </w:r>
      <w:r>
        <w:rPr>
          <w:spacing w:val="-11"/>
        </w:rPr>
        <w:t> </w:t>
      </w:r>
      <w:r>
        <w:rPr/>
        <w:t>realizadas</w:t>
      </w:r>
      <w:r>
        <w:rPr>
          <w:spacing w:val="-11"/>
        </w:rPr>
        <w:t> </w:t>
      </w:r>
      <w:r>
        <w:rPr/>
        <w:t>por</w:t>
      </w:r>
      <w:r>
        <w:rPr>
          <w:spacing w:val="-10"/>
        </w:rPr>
        <w:t> </w:t>
      </w:r>
      <w:r>
        <w:rPr/>
        <w:t>las</w:t>
      </w:r>
      <w:r>
        <w:rPr>
          <w:spacing w:val="-11"/>
        </w:rPr>
        <w:t> </w:t>
      </w:r>
      <w:r>
        <w:rPr/>
        <w:t>entidades</w:t>
      </w:r>
      <w:r>
        <w:rPr>
          <w:spacing w:val="-11"/>
        </w:rPr>
        <w:t> </w:t>
      </w:r>
      <w:r>
        <w:rPr/>
        <w:t>examinadas</w:t>
      </w:r>
      <w:r>
        <w:rPr>
          <w:spacing w:val="-11"/>
        </w:rPr>
        <w:t> </w:t>
      </w:r>
      <w:r>
        <w:rPr/>
        <w:t>para lograr</w:t>
      </w:r>
      <w:r>
        <w:rPr>
          <w:spacing w:val="78"/>
          <w:w w:val="150"/>
        </w:rPr>
        <w:t> </w:t>
      </w:r>
      <w:r>
        <w:rPr/>
        <w:t>la</w:t>
      </w:r>
      <w:r>
        <w:rPr>
          <w:spacing w:val="77"/>
          <w:w w:val="150"/>
        </w:rPr>
        <w:t> </w:t>
      </w:r>
      <w:r>
        <w:rPr/>
        <w:t>sostenibilidad</w:t>
      </w:r>
      <w:r>
        <w:rPr>
          <w:spacing w:val="80"/>
          <w:w w:val="150"/>
        </w:rPr>
        <w:t> </w:t>
      </w:r>
      <w:r>
        <w:rPr/>
        <w:t>en</w:t>
      </w:r>
      <w:r>
        <w:rPr>
          <w:spacing w:val="77"/>
          <w:w w:val="150"/>
        </w:rPr>
        <w:t> </w:t>
      </w:r>
      <w:r>
        <w:rPr/>
        <w:t>el</w:t>
      </w:r>
      <w:r>
        <w:rPr>
          <w:spacing w:val="76"/>
          <w:w w:val="150"/>
        </w:rPr>
        <w:t> </w:t>
      </w:r>
      <w:r>
        <w:rPr/>
        <w:t>transporte</w:t>
      </w:r>
      <w:r>
        <w:rPr>
          <w:spacing w:val="77"/>
          <w:w w:val="150"/>
        </w:rPr>
        <w:t> </w:t>
      </w:r>
      <w:r>
        <w:rPr/>
        <w:t>público</w:t>
      </w:r>
      <w:r>
        <w:rPr>
          <w:spacing w:val="77"/>
          <w:w w:val="150"/>
        </w:rPr>
        <w:t> </w:t>
      </w:r>
      <w:r>
        <w:rPr/>
        <w:t>colectivo</w:t>
      </w:r>
      <w:r>
        <w:rPr>
          <w:spacing w:val="77"/>
          <w:w w:val="150"/>
        </w:rPr>
        <w:t> </w:t>
      </w:r>
      <w:r>
        <w:rPr/>
        <w:t>urbano,</w:t>
      </w:r>
      <w:r>
        <w:rPr>
          <w:spacing w:val="77"/>
          <w:w w:val="150"/>
        </w:rPr>
        <w:t> </w:t>
      </w:r>
      <w:r>
        <w:rPr/>
        <w:t>en</w:t>
      </w:r>
      <w:r>
        <w:rPr>
          <w:spacing w:val="77"/>
          <w:w w:val="150"/>
        </w:rPr>
        <w:t> </w:t>
      </w:r>
      <w:r>
        <w:rPr/>
        <w:t>su</w:t>
      </w:r>
      <w:r>
        <w:rPr>
          <w:spacing w:val="77"/>
          <w:w w:val="150"/>
        </w:rPr>
        <w:t> </w:t>
      </w:r>
      <w:r>
        <w:rPr/>
        <w:t>triple</w:t>
      </w:r>
      <w:r>
        <w:rPr>
          <w:spacing w:val="77"/>
          <w:w w:val="150"/>
        </w:rPr>
        <w:t> </w:t>
      </w:r>
      <w:r>
        <w:rPr/>
        <w:t>vertiente</w:t>
      </w:r>
    </w:p>
    <w:p>
      <w:pPr>
        <w:pStyle w:val="BodyText"/>
        <w:ind w:left="992"/>
        <w:jc w:val="both"/>
      </w:pPr>
      <w:r>
        <w:rPr>
          <w:rFonts w:ascii="Symbol" w:hAnsi="Symbol"/>
        </w:rPr>
        <w:t></w:t>
      </w:r>
      <w:r>
        <w:rPr/>
        <w:t>medioambiental,</w:t>
      </w:r>
      <w:r>
        <w:rPr>
          <w:spacing w:val="-10"/>
        </w:rPr>
        <w:t> </w:t>
      </w:r>
      <w:r>
        <w:rPr/>
        <w:t>social</w:t>
      </w:r>
      <w:r>
        <w:rPr>
          <w:spacing w:val="-9"/>
        </w:rPr>
        <w:t> </w:t>
      </w:r>
      <w:r>
        <w:rPr/>
        <w:t>y</w:t>
      </w:r>
      <w:r>
        <w:rPr>
          <w:spacing w:val="-6"/>
        </w:rPr>
        <w:t> </w:t>
      </w:r>
      <w:r>
        <w:rPr/>
        <w:t>económica</w:t>
      </w:r>
      <w:r>
        <w:rPr>
          <w:rFonts w:ascii="Symbol" w:hAnsi="Symbol"/>
        </w:rPr>
        <w:t></w:t>
      </w:r>
      <w:r>
        <w:rPr/>
        <w:t>,</w:t>
      </w:r>
      <w:r>
        <w:rPr>
          <w:spacing w:val="-5"/>
        </w:rPr>
        <w:t> </w:t>
      </w:r>
      <w:r>
        <w:rPr/>
        <w:t>su</w:t>
      </w:r>
      <w:r>
        <w:rPr>
          <w:spacing w:val="-8"/>
        </w:rPr>
        <w:t> </w:t>
      </w:r>
      <w:r>
        <w:rPr/>
        <w:t>tramitación,</w:t>
      </w:r>
      <w:r>
        <w:rPr>
          <w:spacing w:val="-5"/>
        </w:rPr>
        <w:t> </w:t>
      </w:r>
      <w:r>
        <w:rPr/>
        <w:t>coste,</w:t>
      </w:r>
      <w:r>
        <w:rPr>
          <w:spacing w:val="-7"/>
        </w:rPr>
        <w:t> </w:t>
      </w:r>
      <w:r>
        <w:rPr/>
        <w:t>financiación</w:t>
      </w:r>
      <w:r>
        <w:rPr>
          <w:spacing w:val="-9"/>
        </w:rPr>
        <w:t> </w:t>
      </w:r>
      <w:r>
        <w:rPr/>
        <w:t>y</w:t>
      </w:r>
      <w:r>
        <w:rPr>
          <w:spacing w:val="-6"/>
        </w:rPr>
        <w:t> </w:t>
      </w:r>
      <w:r>
        <w:rPr/>
        <w:t>grado</w:t>
      </w:r>
      <w:r>
        <w:rPr>
          <w:spacing w:val="-8"/>
        </w:rPr>
        <w:t> </w:t>
      </w:r>
      <w:r>
        <w:rPr/>
        <w:t>de</w:t>
      </w:r>
      <w:r>
        <w:rPr>
          <w:spacing w:val="-6"/>
        </w:rPr>
        <w:t> </w:t>
      </w:r>
      <w:r>
        <w:rPr>
          <w:spacing w:val="-2"/>
        </w:rPr>
        <w:t>ejecución.</w:t>
      </w:r>
    </w:p>
    <w:p>
      <w:pPr>
        <w:pStyle w:val="BodyText"/>
        <w:spacing w:after="0"/>
        <w:jc w:val="both"/>
        <w:sectPr>
          <w:type w:val="continuous"/>
          <w:pgSz w:w="11910" w:h="16840"/>
          <w:pgMar w:header="1227" w:footer="839" w:top="1680" w:bottom="280" w:left="141" w:right="141"/>
        </w:sectPr>
      </w:pPr>
    </w:p>
    <w:p>
      <w:pPr>
        <w:pStyle w:val="BodyText"/>
      </w:pPr>
    </w:p>
    <w:p>
      <w:pPr>
        <w:pStyle w:val="BodyText"/>
      </w:pPr>
    </w:p>
    <w:p>
      <w:pPr>
        <w:pStyle w:val="BodyText"/>
      </w:pPr>
    </w:p>
    <w:p>
      <w:pPr>
        <w:pStyle w:val="BodyText"/>
        <w:spacing w:before="112"/>
      </w:pPr>
    </w:p>
    <w:p>
      <w:pPr>
        <w:pStyle w:val="BodyText"/>
        <w:ind w:left="992" w:right="994"/>
        <w:jc w:val="both"/>
      </w:pPr>
      <w:r>
        <w:rPr/>
        <w:t>En el Subapartado II.4 se exponen el seguimiento y control de la ejecución de las actuaciones fiscalizadas y las encuestas de satisfacción de los usuarios.</w:t>
      </w:r>
    </w:p>
    <w:p>
      <w:pPr>
        <w:pStyle w:val="BodyText"/>
        <w:spacing w:before="240"/>
        <w:ind w:left="992" w:right="990"/>
        <w:jc w:val="both"/>
        <w:rPr>
          <w:rFonts w:ascii="Calibri" w:hAnsi="Calibri"/>
        </w:rPr>
      </w:pPr>
      <w:r>
        <w:rPr/>
        <w:t>El</w:t>
      </w:r>
      <w:r>
        <w:rPr>
          <w:spacing w:val="-2"/>
        </w:rPr>
        <w:t> </w:t>
      </w:r>
      <w:r>
        <w:rPr/>
        <w:t>Subapartado</w:t>
      </w:r>
      <w:r>
        <w:rPr>
          <w:spacing w:val="-2"/>
        </w:rPr>
        <w:t> </w:t>
      </w:r>
      <w:r>
        <w:rPr/>
        <w:t>II.5</w:t>
      </w:r>
      <w:r>
        <w:rPr>
          <w:spacing w:val="-4"/>
        </w:rPr>
        <w:t> </w:t>
      </w:r>
      <w:r>
        <w:rPr/>
        <w:t>señala</w:t>
      </w:r>
      <w:r>
        <w:rPr>
          <w:spacing w:val="-1"/>
        </w:rPr>
        <w:t> </w:t>
      </w:r>
      <w:r>
        <w:rPr/>
        <w:t>las</w:t>
      </w:r>
      <w:r>
        <w:rPr>
          <w:spacing w:val="-2"/>
        </w:rPr>
        <w:t> </w:t>
      </w:r>
      <w:r>
        <w:rPr/>
        <w:t>ayudas</w:t>
      </w:r>
      <w:r>
        <w:rPr>
          <w:spacing w:val="-1"/>
        </w:rPr>
        <w:t> </w:t>
      </w:r>
      <w:r>
        <w:rPr/>
        <w:t>recibidas</w:t>
      </w:r>
      <w:r>
        <w:rPr>
          <w:spacing w:val="-1"/>
        </w:rPr>
        <w:t> </w:t>
      </w:r>
      <w:r>
        <w:rPr/>
        <w:t>por</w:t>
      </w:r>
      <w:r>
        <w:rPr>
          <w:spacing w:val="-1"/>
        </w:rPr>
        <w:t> </w:t>
      </w:r>
      <w:r>
        <w:rPr/>
        <w:t>los</w:t>
      </w:r>
      <w:r>
        <w:rPr>
          <w:spacing w:val="-2"/>
        </w:rPr>
        <w:t> </w:t>
      </w:r>
      <w:r>
        <w:rPr/>
        <w:t>ayuntamientos</w:t>
      </w:r>
      <w:r>
        <w:rPr>
          <w:spacing w:val="-4"/>
        </w:rPr>
        <w:t> </w:t>
      </w:r>
      <w:r>
        <w:rPr/>
        <w:t>fiscalizados</w:t>
      </w:r>
      <w:r>
        <w:rPr>
          <w:spacing w:val="-2"/>
        </w:rPr>
        <w:t> </w:t>
      </w:r>
      <w:r>
        <w:rPr/>
        <w:t>en</w:t>
      </w:r>
      <w:r>
        <w:rPr>
          <w:spacing w:val="-2"/>
        </w:rPr>
        <w:t> </w:t>
      </w:r>
      <w:r>
        <w:rPr/>
        <w:t>el</w:t>
      </w:r>
      <w:r>
        <w:rPr>
          <w:spacing w:val="-3"/>
        </w:rPr>
        <w:t> </w:t>
      </w:r>
      <w:r>
        <w:rPr/>
        <w:t>marco</w:t>
      </w:r>
      <w:r>
        <w:rPr>
          <w:spacing w:val="-1"/>
        </w:rPr>
        <w:t> </w:t>
      </w:r>
      <w:r>
        <w:rPr/>
        <w:t>del PRTR, así como las medidas implantadas al servicio de garantizar la integridad en la gestión pública, en aquello que pudiera tener relación con el objeto de las actuaciones fiscalizadas</w:t>
      </w:r>
      <w:r>
        <w:rPr>
          <w:rFonts w:ascii="Calibri" w:hAnsi="Calibri"/>
        </w:rPr>
        <w:t>.</w:t>
      </w:r>
    </w:p>
    <w:p>
      <w:pPr>
        <w:pStyle w:val="BodyText"/>
        <w:spacing w:before="241"/>
        <w:ind w:left="992" w:right="989"/>
        <w:jc w:val="both"/>
      </w:pPr>
      <w:r>
        <w:rPr/>
        <w:t>El Subapartado</w:t>
      </w:r>
      <w:r>
        <w:rPr>
          <w:spacing w:val="-1"/>
        </w:rPr>
        <w:t> </w:t>
      </w:r>
      <w:r>
        <w:rPr/>
        <w:t>II.6 se analiza el grado de cumplimiento, por parte de las entidades de la muestra, de la normativa para la igualdad efectiva de mujeres y hombres y de las prescripciones de </w:t>
      </w:r>
      <w:r>
        <w:rPr>
          <w:spacing w:val="-2"/>
        </w:rPr>
        <w:t>transparencia.</w:t>
      </w:r>
    </w:p>
    <w:p>
      <w:pPr>
        <w:pStyle w:val="BodyText"/>
        <w:spacing w:before="107"/>
      </w:pPr>
    </w:p>
    <w:p>
      <w:pPr>
        <w:pStyle w:val="Heading4"/>
        <w:numPr>
          <w:ilvl w:val="1"/>
          <w:numId w:val="3"/>
        </w:numPr>
        <w:tabs>
          <w:tab w:pos="1416" w:val="left" w:leader="none"/>
        </w:tabs>
        <w:spacing w:line="240" w:lineRule="auto" w:before="0" w:after="0"/>
        <w:ind w:left="992" w:right="988" w:firstLine="0"/>
        <w:jc w:val="left"/>
      </w:pPr>
      <w:bookmarkStart w:name="_bookmark12" w:id="14"/>
      <w:bookmarkEnd w:id="14"/>
      <w:r>
        <w:rPr>
          <w:b w:val="0"/>
        </w:rPr>
      </w:r>
      <w:r>
        <w:rPr/>
        <w:t>CARACTERÍSTICAS</w:t>
      </w:r>
      <w:r>
        <w:rPr>
          <w:spacing w:val="-15"/>
        </w:rPr>
        <w:t> </w:t>
      </w:r>
      <w:r>
        <w:rPr/>
        <w:t>DEL</w:t>
      </w:r>
      <w:r>
        <w:rPr>
          <w:spacing w:val="-12"/>
        </w:rPr>
        <w:t> </w:t>
      </w:r>
      <w:r>
        <w:rPr/>
        <w:t>SERVICIO</w:t>
      </w:r>
      <w:r>
        <w:rPr>
          <w:spacing w:val="-11"/>
        </w:rPr>
        <w:t> </w:t>
      </w:r>
      <w:r>
        <w:rPr/>
        <w:t>DE</w:t>
      </w:r>
      <w:r>
        <w:rPr>
          <w:spacing w:val="-15"/>
        </w:rPr>
        <w:t> </w:t>
      </w:r>
      <w:r>
        <w:rPr/>
        <w:t>TRANSPORTE</w:t>
      </w:r>
      <w:r>
        <w:rPr>
          <w:spacing w:val="-14"/>
        </w:rPr>
        <w:t> </w:t>
      </w:r>
      <w:r>
        <w:rPr/>
        <w:t>PÚBLICO</w:t>
      </w:r>
      <w:r>
        <w:rPr>
          <w:spacing w:val="-14"/>
        </w:rPr>
        <w:t> </w:t>
      </w:r>
      <w:r>
        <w:rPr/>
        <w:t>COLETIVO</w:t>
      </w:r>
      <w:r>
        <w:rPr>
          <w:spacing w:val="-13"/>
        </w:rPr>
        <w:t> </w:t>
      </w:r>
      <w:r>
        <w:rPr/>
        <w:t>URBANO</w:t>
      </w:r>
      <w:r>
        <w:rPr>
          <w:spacing w:val="-13"/>
        </w:rPr>
        <w:t> </w:t>
      </w:r>
      <w:r>
        <w:rPr/>
        <w:t>EN LAS ENTIDADES FISCALIZADAS</w:t>
      </w:r>
    </w:p>
    <w:p>
      <w:pPr>
        <w:spacing w:before="241"/>
        <w:ind w:left="992" w:right="987" w:firstLine="0"/>
        <w:jc w:val="both"/>
        <w:rPr>
          <w:sz w:val="22"/>
        </w:rPr>
      </w:pPr>
      <w:r>
        <w:rPr>
          <w:sz w:val="22"/>
        </w:rPr>
        <w:t>Los servicios públicos de competencia local pueden gestionarse directa o indirectamente</w:t>
      </w:r>
      <w:hyperlink w:history="true" w:anchor="_bookmark13">
        <w:r>
          <w:rPr>
            <w:sz w:val="22"/>
            <w:vertAlign w:val="superscript"/>
          </w:rPr>
          <w:t>1</w:t>
        </w:r>
      </w:hyperlink>
      <w:r>
        <w:rPr>
          <w:sz w:val="22"/>
          <w:vertAlign w:val="baseline"/>
        </w:rPr>
        <w:t>. Los </w:t>
      </w:r>
      <w:r>
        <w:rPr>
          <w:b/>
          <w:sz w:val="22"/>
          <w:vertAlign w:val="baseline"/>
        </w:rPr>
        <w:t>Ayuntamientos de Córdoba, Las Palmas de Gran Canaria, Málaga, Palma </w:t>
      </w:r>
      <w:r>
        <w:rPr>
          <w:sz w:val="22"/>
          <w:vertAlign w:val="baseline"/>
        </w:rPr>
        <w:t>y </w:t>
      </w:r>
      <w:r>
        <w:rPr>
          <w:b/>
          <w:sz w:val="22"/>
          <w:vertAlign w:val="baseline"/>
        </w:rPr>
        <w:t>Sevilla </w:t>
      </w:r>
      <w:r>
        <w:rPr>
          <w:sz w:val="22"/>
          <w:vertAlign w:val="baseline"/>
        </w:rPr>
        <w:t>prestaron en 2023 y 2024 el servicio de transporte público colectivo urbano directamente a través de sociedades mercantiles de capital íntegramente municipal y los de </w:t>
      </w:r>
      <w:r>
        <w:rPr>
          <w:b/>
          <w:sz w:val="22"/>
          <w:vertAlign w:val="baseline"/>
        </w:rPr>
        <w:t>Alicante, Bilbao, Murcia </w:t>
      </w:r>
      <w:r>
        <w:rPr>
          <w:sz w:val="22"/>
          <w:vertAlign w:val="baseline"/>
        </w:rPr>
        <w:t>y </w:t>
      </w:r>
      <w:r>
        <w:rPr>
          <w:b/>
          <w:sz w:val="22"/>
          <w:vertAlign w:val="baseline"/>
        </w:rPr>
        <w:t>Zaragoza </w:t>
      </w:r>
      <w:r>
        <w:rPr>
          <w:sz w:val="22"/>
          <w:vertAlign w:val="baseline"/>
        </w:rPr>
        <w:t>lo hicieron indirectamente a</w:t>
      </w:r>
      <w:r>
        <w:rPr>
          <w:spacing w:val="-2"/>
          <w:sz w:val="22"/>
          <w:vertAlign w:val="baseline"/>
        </w:rPr>
        <w:t> </w:t>
      </w:r>
      <w:r>
        <w:rPr>
          <w:sz w:val="22"/>
          <w:vertAlign w:val="baseline"/>
        </w:rPr>
        <w:t>través de concesiones a empresas privadas o de economía </w:t>
      </w:r>
      <w:r>
        <w:rPr>
          <w:spacing w:val="-2"/>
          <w:sz w:val="22"/>
          <w:vertAlign w:val="baseline"/>
        </w:rPr>
        <w:t>mixta.</w:t>
      </w:r>
    </w:p>
    <w:p>
      <w:pPr>
        <w:pStyle w:val="BodyText"/>
        <w:spacing w:before="239"/>
        <w:ind w:left="992" w:right="987"/>
        <w:jc w:val="both"/>
      </w:pPr>
      <w:r>
        <w:rPr/>
        <w:t>En el periodo fiscalizado el contrato de prestación del servicio municipal de transporte público urbano</w:t>
      </w:r>
      <w:r>
        <w:rPr>
          <w:spacing w:val="-5"/>
        </w:rPr>
        <w:t> </w:t>
      </w:r>
      <w:r>
        <w:rPr/>
        <w:t>colectivo</w:t>
      </w:r>
      <w:r>
        <w:rPr>
          <w:spacing w:val="-5"/>
        </w:rPr>
        <w:t> </w:t>
      </w:r>
      <w:r>
        <w:rPr/>
        <w:t>en</w:t>
      </w:r>
      <w:r>
        <w:rPr>
          <w:spacing w:val="-8"/>
        </w:rPr>
        <w:t> </w:t>
      </w:r>
      <w:r>
        <w:rPr/>
        <w:t>autobús</w:t>
      </w:r>
      <w:r>
        <w:rPr>
          <w:spacing w:val="-4"/>
        </w:rPr>
        <w:t> </w:t>
      </w:r>
      <w:r>
        <w:rPr/>
        <w:t>suscrito</w:t>
      </w:r>
      <w:r>
        <w:rPr>
          <w:spacing w:val="-5"/>
        </w:rPr>
        <w:t> </w:t>
      </w:r>
      <w:r>
        <w:rPr/>
        <w:t>por</w:t>
      </w:r>
      <w:r>
        <w:rPr>
          <w:spacing w:val="-6"/>
        </w:rPr>
        <w:t> </w:t>
      </w:r>
      <w:r>
        <w:rPr/>
        <w:t>el</w:t>
      </w:r>
      <w:r>
        <w:rPr>
          <w:spacing w:val="-6"/>
        </w:rPr>
        <w:t> </w:t>
      </w:r>
      <w:r>
        <w:rPr>
          <w:b/>
        </w:rPr>
        <w:t>Ayuntamiento</w:t>
      </w:r>
      <w:r>
        <w:rPr>
          <w:b/>
          <w:spacing w:val="-7"/>
        </w:rPr>
        <w:t> </w:t>
      </w:r>
      <w:r>
        <w:rPr>
          <w:b/>
        </w:rPr>
        <w:t>de</w:t>
      </w:r>
      <w:r>
        <w:rPr>
          <w:b/>
          <w:spacing w:val="-5"/>
        </w:rPr>
        <w:t> </w:t>
      </w:r>
      <w:r>
        <w:rPr>
          <w:b/>
        </w:rPr>
        <w:t>Bilbao</w:t>
      </w:r>
      <w:r>
        <w:rPr>
          <w:b/>
          <w:spacing w:val="-7"/>
        </w:rPr>
        <w:t> </w:t>
      </w:r>
      <w:r>
        <w:rPr/>
        <w:t>ha</w:t>
      </w:r>
      <w:r>
        <w:rPr>
          <w:spacing w:val="-5"/>
        </w:rPr>
        <w:t> </w:t>
      </w:r>
      <w:r>
        <w:rPr/>
        <w:t>sido</w:t>
      </w:r>
      <w:r>
        <w:rPr>
          <w:spacing w:val="-5"/>
        </w:rPr>
        <w:t> </w:t>
      </w:r>
      <w:r>
        <w:rPr/>
        <w:t>resuelto,</w:t>
      </w:r>
      <w:r>
        <w:rPr>
          <w:spacing w:val="-4"/>
        </w:rPr>
        <w:t> </w:t>
      </w:r>
      <w:r>
        <w:rPr/>
        <w:t>por</w:t>
      </w:r>
      <w:r>
        <w:rPr>
          <w:spacing w:val="-4"/>
        </w:rPr>
        <w:t> </w:t>
      </w:r>
      <w:r>
        <w:rPr/>
        <w:t>acuerdo de la Junta de Gobierno de 12 de junio de 2024, por incumplimiento no culpable de la empresa contratista de las obligaciones esenciales del contrato. En ese mismo acuerdo, se ordenó a la empresa la continuidad de la prestación del servicio hasta que se tramitara y adjudicara un nuevo contrato. A fecha de 30 de septiembre de 2025 este contrato está aún sin licitar.</w:t>
      </w:r>
    </w:p>
    <w:p>
      <w:pPr>
        <w:pStyle w:val="BodyText"/>
        <w:spacing w:before="241"/>
        <w:ind w:left="992" w:right="986"/>
        <w:jc w:val="both"/>
      </w:pPr>
      <w:r>
        <w:rPr/>
        <w:t>En</w:t>
      </w:r>
      <w:r>
        <w:rPr>
          <w:spacing w:val="-11"/>
        </w:rPr>
        <w:t> </w:t>
      </w:r>
      <w:r>
        <w:rPr/>
        <w:t>el</w:t>
      </w:r>
      <w:r>
        <w:rPr>
          <w:spacing w:val="-15"/>
        </w:rPr>
        <w:t> </w:t>
      </w:r>
      <w:r>
        <w:rPr/>
        <w:t>municipio</w:t>
      </w:r>
      <w:r>
        <w:rPr>
          <w:spacing w:val="-11"/>
        </w:rPr>
        <w:t> </w:t>
      </w:r>
      <w:r>
        <w:rPr/>
        <w:t>de</w:t>
      </w:r>
      <w:r>
        <w:rPr>
          <w:spacing w:val="-16"/>
        </w:rPr>
        <w:t> </w:t>
      </w:r>
      <w:r>
        <w:rPr/>
        <w:t>Murcia,</w:t>
      </w:r>
      <w:r>
        <w:rPr>
          <w:spacing w:val="-9"/>
        </w:rPr>
        <w:t> </w:t>
      </w:r>
      <w:r>
        <w:rPr/>
        <w:t>dado</w:t>
      </w:r>
      <w:r>
        <w:rPr>
          <w:spacing w:val="-12"/>
        </w:rPr>
        <w:t> </w:t>
      </w:r>
      <w:r>
        <w:rPr/>
        <w:t>su</w:t>
      </w:r>
      <w:r>
        <w:rPr>
          <w:spacing w:val="-14"/>
        </w:rPr>
        <w:t> </w:t>
      </w:r>
      <w:r>
        <w:rPr/>
        <w:t>gran</w:t>
      </w:r>
      <w:r>
        <w:rPr>
          <w:spacing w:val="-14"/>
        </w:rPr>
        <w:t> </w:t>
      </w:r>
      <w:r>
        <w:rPr/>
        <w:t>extensión</w:t>
      </w:r>
      <w:r>
        <w:rPr>
          <w:spacing w:val="-12"/>
        </w:rPr>
        <w:t> </w:t>
      </w:r>
      <w:r>
        <w:rPr/>
        <w:t>y</w:t>
      </w:r>
      <w:r>
        <w:rPr>
          <w:spacing w:val="-13"/>
        </w:rPr>
        <w:t> </w:t>
      </w:r>
      <w:r>
        <w:rPr/>
        <w:t>dispersión</w:t>
      </w:r>
      <w:r>
        <w:rPr>
          <w:spacing w:val="-14"/>
        </w:rPr>
        <w:t> </w:t>
      </w:r>
      <w:r>
        <w:rPr/>
        <w:t>poblacional,</w:t>
      </w:r>
      <w:r>
        <w:rPr>
          <w:spacing w:val="-10"/>
        </w:rPr>
        <w:t> </w:t>
      </w:r>
      <w:r>
        <w:rPr/>
        <w:t>el</w:t>
      </w:r>
      <w:r>
        <w:rPr>
          <w:spacing w:val="-15"/>
        </w:rPr>
        <w:t> </w:t>
      </w:r>
      <w:r>
        <w:rPr/>
        <w:t>servicio</w:t>
      </w:r>
      <w:r>
        <w:rPr>
          <w:spacing w:val="-14"/>
        </w:rPr>
        <w:t> </w:t>
      </w:r>
      <w:r>
        <w:rPr/>
        <w:t>de</w:t>
      </w:r>
      <w:r>
        <w:rPr>
          <w:spacing w:val="-14"/>
        </w:rPr>
        <w:t> </w:t>
      </w:r>
      <w:r>
        <w:rPr/>
        <w:t>transporte público</w:t>
      </w:r>
      <w:r>
        <w:rPr>
          <w:spacing w:val="-5"/>
        </w:rPr>
        <w:t> </w:t>
      </w:r>
      <w:r>
        <w:rPr/>
        <w:t>mediante</w:t>
      </w:r>
      <w:r>
        <w:rPr>
          <w:spacing w:val="-6"/>
        </w:rPr>
        <w:t> </w:t>
      </w:r>
      <w:r>
        <w:rPr/>
        <w:t>autobuses</w:t>
      </w:r>
      <w:r>
        <w:rPr>
          <w:spacing w:val="-4"/>
        </w:rPr>
        <w:t> </w:t>
      </w:r>
      <w:r>
        <w:rPr/>
        <w:t>se</w:t>
      </w:r>
      <w:r>
        <w:rPr>
          <w:spacing w:val="-6"/>
        </w:rPr>
        <w:t> </w:t>
      </w:r>
      <w:r>
        <w:rPr/>
        <w:t>presta</w:t>
      </w:r>
      <w:r>
        <w:rPr>
          <w:spacing w:val="-6"/>
        </w:rPr>
        <w:t> </w:t>
      </w:r>
      <w:r>
        <w:rPr/>
        <w:t>por</w:t>
      </w:r>
      <w:r>
        <w:rPr>
          <w:spacing w:val="-5"/>
        </w:rPr>
        <w:t> </w:t>
      </w:r>
      <w:r>
        <w:rPr/>
        <w:t>dos</w:t>
      </w:r>
      <w:r>
        <w:rPr>
          <w:spacing w:val="-5"/>
        </w:rPr>
        <w:t> </w:t>
      </w:r>
      <w:r>
        <w:rPr/>
        <w:t>uniones</w:t>
      </w:r>
      <w:r>
        <w:rPr>
          <w:spacing w:val="-6"/>
        </w:rPr>
        <w:t> </w:t>
      </w:r>
      <w:r>
        <w:rPr/>
        <w:t>temporales</w:t>
      </w:r>
      <w:r>
        <w:rPr>
          <w:spacing w:val="-6"/>
        </w:rPr>
        <w:t> </w:t>
      </w:r>
      <w:r>
        <w:rPr/>
        <w:t>de</w:t>
      </w:r>
      <w:r>
        <w:rPr>
          <w:spacing w:val="-7"/>
        </w:rPr>
        <w:t> </w:t>
      </w:r>
      <w:r>
        <w:rPr/>
        <w:t>empresas</w:t>
      </w:r>
      <w:r>
        <w:rPr>
          <w:spacing w:val="-5"/>
        </w:rPr>
        <w:t> </w:t>
      </w:r>
      <w:r>
        <w:rPr/>
        <w:t>(UTE),</w:t>
      </w:r>
      <w:r>
        <w:rPr>
          <w:spacing w:val="-5"/>
        </w:rPr>
        <w:t> </w:t>
      </w:r>
      <w:r>
        <w:rPr/>
        <w:t>una</w:t>
      </w:r>
      <w:r>
        <w:rPr>
          <w:spacing w:val="-6"/>
        </w:rPr>
        <w:t> </w:t>
      </w:r>
      <w:r>
        <w:rPr/>
        <w:t>para</w:t>
      </w:r>
      <w:r>
        <w:rPr>
          <w:spacing w:val="-6"/>
        </w:rPr>
        <w:t> </w:t>
      </w:r>
      <w:r>
        <w:rPr/>
        <w:t>el transporte por la ciudad y otra para las pedanías. El </w:t>
      </w:r>
      <w:r>
        <w:rPr>
          <w:b/>
        </w:rPr>
        <w:t>Ayuntamiento de Murcia </w:t>
      </w:r>
      <w:r>
        <w:rPr/>
        <w:t>inició en 2020 la elaboración del Proyecto de servicio de la nueva red de transporte público colectivo en autobús urbano,</w:t>
      </w:r>
      <w:r>
        <w:rPr>
          <w:spacing w:val="-5"/>
        </w:rPr>
        <w:t> </w:t>
      </w:r>
      <w:r>
        <w:rPr/>
        <w:t>que</w:t>
      </w:r>
      <w:r>
        <w:rPr>
          <w:spacing w:val="-6"/>
        </w:rPr>
        <w:t> </w:t>
      </w:r>
      <w:r>
        <w:rPr/>
        <w:t>fue</w:t>
      </w:r>
      <w:r>
        <w:rPr>
          <w:spacing w:val="-4"/>
        </w:rPr>
        <w:t> </w:t>
      </w:r>
      <w:r>
        <w:rPr/>
        <w:t>aprobado</w:t>
      </w:r>
      <w:r>
        <w:rPr>
          <w:spacing w:val="-4"/>
        </w:rPr>
        <w:t> </w:t>
      </w:r>
      <w:r>
        <w:rPr/>
        <w:t>el</w:t>
      </w:r>
      <w:r>
        <w:rPr>
          <w:spacing w:val="-5"/>
        </w:rPr>
        <w:t> </w:t>
      </w:r>
      <w:r>
        <w:rPr/>
        <w:t>14</w:t>
      </w:r>
      <w:r>
        <w:rPr>
          <w:spacing w:val="-4"/>
        </w:rPr>
        <w:t> </w:t>
      </w:r>
      <w:r>
        <w:rPr/>
        <w:t>de</w:t>
      </w:r>
      <w:r>
        <w:rPr>
          <w:spacing w:val="-4"/>
        </w:rPr>
        <w:t> </w:t>
      </w:r>
      <w:r>
        <w:rPr/>
        <w:t>enero</w:t>
      </w:r>
      <w:r>
        <w:rPr>
          <w:spacing w:val="-4"/>
        </w:rPr>
        <w:t> </w:t>
      </w:r>
      <w:r>
        <w:rPr/>
        <w:t>de</w:t>
      </w:r>
      <w:r>
        <w:rPr>
          <w:spacing w:val="-7"/>
        </w:rPr>
        <w:t> </w:t>
      </w:r>
      <w:r>
        <w:rPr/>
        <w:t>2022,</w:t>
      </w:r>
      <w:r>
        <w:rPr>
          <w:spacing w:val="-3"/>
        </w:rPr>
        <w:t> </w:t>
      </w:r>
      <w:r>
        <w:rPr/>
        <w:t>para</w:t>
      </w:r>
      <w:r>
        <w:rPr>
          <w:spacing w:val="-6"/>
        </w:rPr>
        <w:t> </w:t>
      </w:r>
      <w:r>
        <w:rPr/>
        <w:t>unificar</w:t>
      </w:r>
      <w:r>
        <w:rPr>
          <w:spacing w:val="-5"/>
        </w:rPr>
        <w:t> </w:t>
      </w:r>
      <w:r>
        <w:rPr/>
        <w:t>este</w:t>
      </w:r>
      <w:r>
        <w:rPr>
          <w:spacing w:val="-3"/>
        </w:rPr>
        <w:t> </w:t>
      </w:r>
      <w:r>
        <w:rPr/>
        <w:t>servicio</w:t>
      </w:r>
      <w:r>
        <w:rPr>
          <w:spacing w:val="-4"/>
        </w:rPr>
        <w:t> </w:t>
      </w:r>
      <w:r>
        <w:rPr/>
        <w:t>en</w:t>
      </w:r>
      <w:r>
        <w:rPr>
          <w:spacing w:val="-4"/>
        </w:rPr>
        <w:t> </w:t>
      </w:r>
      <w:r>
        <w:rPr/>
        <w:t>un</w:t>
      </w:r>
      <w:r>
        <w:rPr>
          <w:spacing w:val="-4"/>
        </w:rPr>
        <w:t> </w:t>
      </w:r>
      <w:r>
        <w:rPr/>
        <w:t>único</w:t>
      </w:r>
      <w:r>
        <w:rPr>
          <w:spacing w:val="-4"/>
        </w:rPr>
        <w:t> </w:t>
      </w:r>
      <w:r>
        <w:rPr/>
        <w:t>operador, una vez finalizados los dos contratos</w:t>
      </w:r>
      <w:r>
        <w:rPr>
          <w:spacing w:val="-1"/>
        </w:rPr>
        <w:t> </w:t>
      </w:r>
      <w:r>
        <w:rPr/>
        <w:t>formalizados con las citadas UTES. Sin embargo, concluidos los</w:t>
      </w:r>
      <w:r>
        <w:rPr>
          <w:spacing w:val="-11"/>
        </w:rPr>
        <w:t> </w:t>
      </w:r>
      <w:r>
        <w:rPr/>
        <w:t>plazos</w:t>
      </w:r>
      <w:r>
        <w:rPr>
          <w:spacing w:val="-9"/>
        </w:rPr>
        <w:t> </w:t>
      </w:r>
      <w:r>
        <w:rPr/>
        <w:t>de</w:t>
      </w:r>
      <w:r>
        <w:rPr>
          <w:spacing w:val="-11"/>
        </w:rPr>
        <w:t> </w:t>
      </w:r>
      <w:r>
        <w:rPr/>
        <w:t>duración</w:t>
      </w:r>
      <w:r>
        <w:rPr>
          <w:spacing w:val="-10"/>
        </w:rPr>
        <w:t> </w:t>
      </w:r>
      <w:r>
        <w:rPr/>
        <w:t>de</w:t>
      </w:r>
      <w:r>
        <w:rPr>
          <w:spacing w:val="-11"/>
        </w:rPr>
        <w:t> </w:t>
      </w:r>
      <w:r>
        <w:rPr/>
        <w:t>ambos,</w:t>
      </w:r>
      <w:r>
        <w:rPr>
          <w:spacing w:val="-8"/>
        </w:rPr>
        <w:t> </w:t>
      </w:r>
      <w:r>
        <w:rPr/>
        <w:t>el</w:t>
      </w:r>
      <w:r>
        <w:rPr>
          <w:spacing w:val="-11"/>
        </w:rPr>
        <w:t> </w:t>
      </w:r>
      <w:r>
        <w:rPr/>
        <w:t>nuevo</w:t>
      </w:r>
      <w:r>
        <w:rPr>
          <w:spacing w:val="-14"/>
        </w:rPr>
        <w:t> </w:t>
      </w:r>
      <w:r>
        <w:rPr/>
        <w:t>contrato</w:t>
      </w:r>
      <w:r>
        <w:rPr>
          <w:spacing w:val="-10"/>
        </w:rPr>
        <w:t> </w:t>
      </w:r>
      <w:r>
        <w:rPr/>
        <w:t>está,</w:t>
      </w:r>
      <w:r>
        <w:rPr>
          <w:spacing w:val="-11"/>
        </w:rPr>
        <w:t> </w:t>
      </w:r>
      <w:r>
        <w:rPr/>
        <w:t>a</w:t>
      </w:r>
      <w:r>
        <w:rPr>
          <w:spacing w:val="-11"/>
        </w:rPr>
        <w:t> </w:t>
      </w:r>
      <w:r>
        <w:rPr/>
        <w:t>fecha</w:t>
      </w:r>
      <w:r>
        <w:rPr>
          <w:spacing w:val="-10"/>
        </w:rPr>
        <w:t> </w:t>
      </w:r>
      <w:r>
        <w:rPr/>
        <w:t>de</w:t>
      </w:r>
      <w:r>
        <w:rPr>
          <w:spacing w:val="-10"/>
        </w:rPr>
        <w:t> </w:t>
      </w:r>
      <w:r>
        <w:rPr/>
        <w:t>30</w:t>
      </w:r>
      <w:r>
        <w:rPr>
          <w:spacing w:val="-12"/>
        </w:rPr>
        <w:t> </w:t>
      </w:r>
      <w:r>
        <w:rPr/>
        <w:t>de</w:t>
      </w:r>
      <w:r>
        <w:rPr>
          <w:spacing w:val="-12"/>
        </w:rPr>
        <w:t> </w:t>
      </w:r>
      <w:r>
        <w:rPr/>
        <w:t>septiembre</w:t>
      </w:r>
      <w:r>
        <w:rPr>
          <w:spacing w:val="-11"/>
        </w:rPr>
        <w:t> </w:t>
      </w:r>
      <w:r>
        <w:rPr/>
        <w:t>de</w:t>
      </w:r>
      <w:r>
        <w:rPr>
          <w:spacing w:val="-10"/>
        </w:rPr>
        <w:t> </w:t>
      </w:r>
      <w:r>
        <w:rPr/>
        <w:t>2025,</w:t>
      </w:r>
      <w:r>
        <w:rPr>
          <w:spacing w:val="-8"/>
        </w:rPr>
        <w:t> </w:t>
      </w:r>
      <w:r>
        <w:rPr>
          <w:spacing w:val="-5"/>
        </w:rPr>
        <w:t>aún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25"/>
        <w:rPr>
          <w:sz w:val="20"/>
        </w:rPr>
      </w:pPr>
      <w:r>
        <w:rPr>
          <w:sz w:val="20"/>
        </w:rPr>
        <mc:AlternateContent>
          <mc:Choice Requires="wps">
            <w:drawing>
              <wp:anchor distT="0" distB="0" distL="0" distR="0" allowOverlap="1" layoutInCell="1" locked="0" behindDoc="1" simplePos="0" relativeHeight="487594496">
                <wp:simplePos x="0" y="0"/>
                <wp:positionH relativeFrom="page">
                  <wp:posOffset>719632</wp:posOffset>
                </wp:positionH>
                <wp:positionV relativeFrom="paragraph">
                  <wp:posOffset>304411</wp:posOffset>
                </wp:positionV>
                <wp:extent cx="1829435" cy="9525"/>
                <wp:effectExtent l="0" t="0" r="0" b="0"/>
                <wp:wrapTopAndBottom/>
                <wp:docPr id="93" name="Graphic 93"/>
                <wp:cNvGraphicFramePr>
                  <a:graphicFrameLocks/>
                </wp:cNvGraphicFramePr>
                <a:graphic>
                  <a:graphicData uri="http://schemas.microsoft.com/office/word/2010/wordprocessingShape">
                    <wps:wsp>
                      <wps:cNvPr id="93" name="Graphic 93"/>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23.969404pt;width:144.020pt;height:.72003pt;mso-position-horizontal-relative:page;mso-position-vertical-relative:paragraph;z-index:-15721984;mso-wrap-distance-left:0;mso-wrap-distance-right:0" id="docshape81" filled="true" fillcolor="#000000" stroked="false">
                <v:fill type="solid"/>
                <w10:wrap type="topAndBottom"/>
              </v:rect>
            </w:pict>
          </mc:Fallback>
        </mc:AlternateContent>
      </w:r>
    </w:p>
    <w:p>
      <w:pPr>
        <w:spacing w:before="124"/>
        <w:ind w:left="992" w:right="1000" w:firstLine="0"/>
        <w:jc w:val="both"/>
        <w:rPr>
          <w:sz w:val="18"/>
        </w:rPr>
      </w:pPr>
      <w:bookmarkStart w:name="_bookmark13" w:id="15"/>
      <w:bookmarkEnd w:id="15"/>
      <w:r>
        <w:rPr/>
      </w:r>
      <w:r>
        <w:rPr>
          <w:rFonts w:ascii="Calibri" w:hAnsi="Calibri"/>
          <w:sz w:val="20"/>
          <w:vertAlign w:val="superscript"/>
        </w:rPr>
        <w:t>1</w:t>
      </w:r>
      <w:r>
        <w:rPr>
          <w:rFonts w:ascii="Calibri" w:hAnsi="Calibri"/>
          <w:sz w:val="20"/>
          <w:vertAlign w:val="baseline"/>
        </w:rPr>
        <w:t> A</w:t>
      </w:r>
      <w:r>
        <w:rPr>
          <w:sz w:val="18"/>
          <w:vertAlign w:val="baseline"/>
        </w:rPr>
        <w:t>rtículo 85 de la LRBRL. La gestión directa es aquella que se lleva a cabo por la propia entidad local, mediante un organismo autónomo, entidad pública empresarial local o sociedad mercantil local, cuyo capital social sea de titularidad pública. La gestión indirecta se lleva a cabo mediante las distintas formas previstas en la legislación de contratos del sector público.</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84"/>
        <w:jc w:val="both"/>
      </w:pPr>
      <w:r>
        <w:rPr/>
        <w:t>sin licitar</w:t>
      </w:r>
      <w:hyperlink w:history="true" w:anchor="_bookmark14">
        <w:r>
          <w:rPr>
            <w:vertAlign w:val="superscript"/>
          </w:rPr>
          <w:t>2</w:t>
        </w:r>
        <w:r>
          <w:rPr>
            <w:vertAlign w:val="baseline"/>
          </w:rPr>
          <w:t>.</w:t>
        </w:r>
      </w:hyperlink>
      <w:r>
        <w:rPr>
          <w:vertAlign w:val="baseline"/>
        </w:rPr>
        <w:t> Se encuentra en tramitación el Plan Director de Transportes de la Región de Murcia, recogido</w:t>
      </w:r>
      <w:r>
        <w:rPr>
          <w:spacing w:val="-2"/>
          <w:vertAlign w:val="baseline"/>
        </w:rPr>
        <w:t> </w:t>
      </w:r>
      <w:r>
        <w:rPr>
          <w:vertAlign w:val="baseline"/>
        </w:rPr>
        <w:t>en</w:t>
      </w:r>
      <w:r>
        <w:rPr>
          <w:spacing w:val="-4"/>
          <w:vertAlign w:val="baseline"/>
        </w:rPr>
        <w:t> </w:t>
      </w:r>
      <w:r>
        <w:rPr>
          <w:vertAlign w:val="baseline"/>
        </w:rPr>
        <w:t>la</w:t>
      </w:r>
      <w:r>
        <w:rPr>
          <w:spacing w:val="-2"/>
          <w:vertAlign w:val="baseline"/>
        </w:rPr>
        <w:t> </w:t>
      </w:r>
      <w:r>
        <w:rPr>
          <w:vertAlign w:val="baseline"/>
        </w:rPr>
        <w:t>Ley</w:t>
      </w:r>
      <w:r>
        <w:rPr>
          <w:spacing w:val="-1"/>
          <w:vertAlign w:val="baseline"/>
        </w:rPr>
        <w:t> </w:t>
      </w:r>
      <w:r>
        <w:rPr>
          <w:vertAlign w:val="baseline"/>
        </w:rPr>
        <w:t>10/2015, de</w:t>
      </w:r>
      <w:r>
        <w:rPr>
          <w:spacing w:val="-4"/>
          <w:vertAlign w:val="baseline"/>
        </w:rPr>
        <w:t> </w:t>
      </w:r>
      <w:r>
        <w:rPr>
          <w:vertAlign w:val="baseline"/>
        </w:rPr>
        <w:t>24</w:t>
      </w:r>
      <w:r>
        <w:rPr>
          <w:spacing w:val="-4"/>
          <w:vertAlign w:val="baseline"/>
        </w:rPr>
        <w:t> </w:t>
      </w:r>
      <w:r>
        <w:rPr>
          <w:vertAlign w:val="baseline"/>
        </w:rPr>
        <w:t>de</w:t>
      </w:r>
      <w:r>
        <w:rPr>
          <w:spacing w:val="-4"/>
          <w:vertAlign w:val="baseline"/>
        </w:rPr>
        <w:t> </w:t>
      </w:r>
      <w:r>
        <w:rPr>
          <w:vertAlign w:val="baseline"/>
        </w:rPr>
        <w:t>marzo, por</w:t>
      </w:r>
      <w:r>
        <w:rPr>
          <w:spacing w:val="-3"/>
          <w:vertAlign w:val="baseline"/>
        </w:rPr>
        <w:t> </w:t>
      </w:r>
      <w:r>
        <w:rPr>
          <w:vertAlign w:val="baseline"/>
        </w:rPr>
        <w:t>la</w:t>
      </w:r>
      <w:r>
        <w:rPr>
          <w:spacing w:val="-2"/>
          <w:vertAlign w:val="baseline"/>
        </w:rPr>
        <w:t> </w:t>
      </w:r>
      <w:r>
        <w:rPr>
          <w:vertAlign w:val="baseline"/>
        </w:rPr>
        <w:t>que</w:t>
      </w:r>
      <w:r>
        <w:rPr>
          <w:spacing w:val="-4"/>
          <w:vertAlign w:val="baseline"/>
        </w:rPr>
        <w:t> </w:t>
      </w:r>
      <w:r>
        <w:rPr>
          <w:vertAlign w:val="baseline"/>
        </w:rPr>
        <w:t>se</w:t>
      </w:r>
      <w:r>
        <w:rPr>
          <w:spacing w:val="-4"/>
          <w:vertAlign w:val="baseline"/>
        </w:rPr>
        <w:t> </w:t>
      </w:r>
      <w:r>
        <w:rPr>
          <w:vertAlign w:val="baseline"/>
        </w:rPr>
        <w:t>establece</w:t>
      </w:r>
      <w:r>
        <w:rPr>
          <w:spacing w:val="-4"/>
          <w:vertAlign w:val="baseline"/>
        </w:rPr>
        <w:t> </w:t>
      </w:r>
      <w:r>
        <w:rPr>
          <w:vertAlign w:val="baseline"/>
        </w:rPr>
        <w:t>el</w:t>
      </w:r>
      <w:r>
        <w:rPr>
          <w:spacing w:val="-5"/>
          <w:vertAlign w:val="baseline"/>
        </w:rPr>
        <w:t> </w:t>
      </w:r>
      <w:r>
        <w:rPr>
          <w:vertAlign w:val="baseline"/>
        </w:rPr>
        <w:t>sistema competencial</w:t>
      </w:r>
      <w:r>
        <w:rPr>
          <w:spacing w:val="-3"/>
          <w:vertAlign w:val="baseline"/>
        </w:rPr>
        <w:t> </w:t>
      </w:r>
      <w:r>
        <w:rPr>
          <w:vertAlign w:val="baseline"/>
        </w:rPr>
        <w:t>en</w:t>
      </w:r>
      <w:r>
        <w:rPr>
          <w:spacing w:val="-2"/>
          <w:vertAlign w:val="baseline"/>
        </w:rPr>
        <w:t> </w:t>
      </w:r>
      <w:r>
        <w:rPr>
          <w:vertAlign w:val="baseline"/>
        </w:rPr>
        <w:t>el transporte</w:t>
      </w:r>
      <w:r>
        <w:rPr>
          <w:spacing w:val="-8"/>
          <w:vertAlign w:val="baseline"/>
        </w:rPr>
        <w:t> </w:t>
      </w:r>
      <w:r>
        <w:rPr>
          <w:vertAlign w:val="baseline"/>
        </w:rPr>
        <w:t>urbano</w:t>
      </w:r>
      <w:r>
        <w:rPr>
          <w:spacing w:val="-8"/>
          <w:vertAlign w:val="baseline"/>
        </w:rPr>
        <w:t> </w:t>
      </w:r>
      <w:r>
        <w:rPr>
          <w:vertAlign w:val="baseline"/>
        </w:rPr>
        <w:t>e</w:t>
      </w:r>
      <w:r>
        <w:rPr>
          <w:spacing w:val="-8"/>
          <w:vertAlign w:val="baseline"/>
        </w:rPr>
        <w:t> </w:t>
      </w:r>
      <w:r>
        <w:rPr>
          <w:vertAlign w:val="baseline"/>
        </w:rPr>
        <w:t>interurbano</w:t>
      </w:r>
      <w:r>
        <w:rPr>
          <w:spacing w:val="-6"/>
          <w:vertAlign w:val="baseline"/>
        </w:rPr>
        <w:t> </w:t>
      </w:r>
      <w:r>
        <w:rPr>
          <w:vertAlign w:val="baseline"/>
        </w:rPr>
        <w:t>de</w:t>
      </w:r>
      <w:r>
        <w:rPr>
          <w:spacing w:val="-8"/>
          <w:vertAlign w:val="baseline"/>
        </w:rPr>
        <w:t> </w:t>
      </w:r>
      <w:r>
        <w:rPr>
          <w:vertAlign w:val="baseline"/>
        </w:rPr>
        <w:t>la</w:t>
      </w:r>
      <w:r>
        <w:rPr>
          <w:spacing w:val="-5"/>
          <w:vertAlign w:val="baseline"/>
        </w:rPr>
        <w:t> </w:t>
      </w:r>
      <w:r>
        <w:rPr>
          <w:vertAlign w:val="baseline"/>
        </w:rPr>
        <w:t>Región</w:t>
      </w:r>
      <w:r>
        <w:rPr>
          <w:spacing w:val="-6"/>
          <w:vertAlign w:val="baseline"/>
        </w:rPr>
        <w:t> </w:t>
      </w:r>
      <w:r>
        <w:rPr>
          <w:vertAlign w:val="baseline"/>
        </w:rPr>
        <w:t>de</w:t>
      </w:r>
      <w:r>
        <w:rPr>
          <w:spacing w:val="-11"/>
          <w:vertAlign w:val="baseline"/>
        </w:rPr>
        <w:t> </w:t>
      </w:r>
      <w:r>
        <w:rPr>
          <w:vertAlign w:val="baseline"/>
        </w:rPr>
        <w:t>Murcia.</w:t>
      </w:r>
      <w:r>
        <w:rPr>
          <w:spacing w:val="-6"/>
          <w:vertAlign w:val="baseline"/>
        </w:rPr>
        <w:t> </w:t>
      </w:r>
      <w:r>
        <w:rPr>
          <w:vertAlign w:val="baseline"/>
        </w:rPr>
        <w:t>En</w:t>
      </w:r>
      <w:r>
        <w:rPr>
          <w:spacing w:val="-8"/>
          <w:vertAlign w:val="baseline"/>
        </w:rPr>
        <w:t> </w:t>
      </w:r>
      <w:r>
        <w:rPr>
          <w:vertAlign w:val="baseline"/>
        </w:rPr>
        <w:t>él</w:t>
      </w:r>
      <w:r>
        <w:rPr>
          <w:spacing w:val="-6"/>
          <w:vertAlign w:val="baseline"/>
        </w:rPr>
        <w:t> </w:t>
      </w:r>
      <w:r>
        <w:rPr>
          <w:vertAlign w:val="baseline"/>
        </w:rPr>
        <w:t>se</w:t>
      </w:r>
      <w:r>
        <w:rPr>
          <w:spacing w:val="-8"/>
          <w:vertAlign w:val="baseline"/>
        </w:rPr>
        <w:t> </w:t>
      </w:r>
      <w:r>
        <w:rPr>
          <w:vertAlign w:val="baseline"/>
        </w:rPr>
        <w:t>prevé</w:t>
      </w:r>
      <w:r>
        <w:rPr>
          <w:spacing w:val="-7"/>
          <w:vertAlign w:val="baseline"/>
        </w:rPr>
        <w:t> </w:t>
      </w:r>
      <w:r>
        <w:rPr>
          <w:vertAlign w:val="baseline"/>
        </w:rPr>
        <w:t>la</w:t>
      </w:r>
      <w:r>
        <w:rPr>
          <w:spacing w:val="-8"/>
          <w:vertAlign w:val="baseline"/>
        </w:rPr>
        <w:t> </w:t>
      </w:r>
      <w:r>
        <w:rPr>
          <w:vertAlign w:val="baseline"/>
        </w:rPr>
        <w:t>necesidad</w:t>
      </w:r>
      <w:r>
        <w:rPr>
          <w:spacing w:val="-5"/>
          <w:vertAlign w:val="baseline"/>
        </w:rPr>
        <w:t> </w:t>
      </w:r>
      <w:r>
        <w:rPr>
          <w:vertAlign w:val="baseline"/>
        </w:rPr>
        <w:t>de</w:t>
      </w:r>
      <w:r>
        <w:rPr>
          <w:spacing w:val="-6"/>
          <w:vertAlign w:val="baseline"/>
        </w:rPr>
        <w:t> </w:t>
      </w:r>
      <w:r>
        <w:rPr>
          <w:vertAlign w:val="baseline"/>
        </w:rPr>
        <w:t>crear</w:t>
      </w:r>
      <w:r>
        <w:rPr>
          <w:spacing w:val="-7"/>
          <w:vertAlign w:val="baseline"/>
        </w:rPr>
        <w:t> </w:t>
      </w:r>
      <w:r>
        <w:rPr>
          <w:vertAlign w:val="baseline"/>
        </w:rPr>
        <w:t>redes urbanas</w:t>
      </w:r>
      <w:r>
        <w:rPr>
          <w:spacing w:val="-14"/>
          <w:vertAlign w:val="baseline"/>
        </w:rPr>
        <w:t> </w:t>
      </w:r>
      <w:r>
        <w:rPr>
          <w:vertAlign w:val="baseline"/>
        </w:rPr>
        <w:t>integradas,</w:t>
      </w:r>
      <w:r>
        <w:rPr>
          <w:spacing w:val="-13"/>
          <w:vertAlign w:val="baseline"/>
        </w:rPr>
        <w:t> </w:t>
      </w:r>
      <w:r>
        <w:rPr>
          <w:vertAlign w:val="baseline"/>
        </w:rPr>
        <w:t>unificando</w:t>
      </w:r>
      <w:r>
        <w:rPr>
          <w:spacing w:val="-14"/>
          <w:vertAlign w:val="baseline"/>
        </w:rPr>
        <w:t> </w:t>
      </w:r>
      <w:r>
        <w:rPr>
          <w:vertAlign w:val="baseline"/>
        </w:rPr>
        <w:t>servicios</w:t>
      </w:r>
      <w:r>
        <w:rPr>
          <w:spacing w:val="-16"/>
          <w:vertAlign w:val="baseline"/>
        </w:rPr>
        <w:t> </w:t>
      </w:r>
      <w:r>
        <w:rPr>
          <w:vertAlign w:val="baseline"/>
        </w:rPr>
        <w:t>municipales</w:t>
      </w:r>
      <w:r>
        <w:rPr>
          <w:spacing w:val="-13"/>
          <w:vertAlign w:val="baseline"/>
        </w:rPr>
        <w:t> </w:t>
      </w:r>
      <w:r>
        <w:rPr>
          <w:vertAlign w:val="baseline"/>
        </w:rPr>
        <w:t>y</w:t>
      </w:r>
      <w:r>
        <w:rPr>
          <w:spacing w:val="-13"/>
          <w:vertAlign w:val="baseline"/>
        </w:rPr>
        <w:t> </w:t>
      </w:r>
      <w:r>
        <w:rPr>
          <w:vertAlign w:val="baseline"/>
        </w:rPr>
        <w:t>regionales</w:t>
      </w:r>
      <w:r>
        <w:rPr>
          <w:spacing w:val="-12"/>
          <w:vertAlign w:val="baseline"/>
        </w:rPr>
        <w:t> </w:t>
      </w:r>
      <w:r>
        <w:rPr>
          <w:vertAlign w:val="baseline"/>
        </w:rPr>
        <w:t>en</w:t>
      </w:r>
      <w:r>
        <w:rPr>
          <w:spacing w:val="-14"/>
          <w:vertAlign w:val="baseline"/>
        </w:rPr>
        <w:t> </w:t>
      </w:r>
      <w:r>
        <w:rPr>
          <w:vertAlign w:val="baseline"/>
        </w:rPr>
        <w:t>una</w:t>
      </w:r>
      <w:r>
        <w:rPr>
          <w:spacing w:val="-14"/>
          <w:vertAlign w:val="baseline"/>
        </w:rPr>
        <w:t> </w:t>
      </w:r>
      <w:r>
        <w:rPr>
          <w:vertAlign w:val="baseline"/>
        </w:rPr>
        <w:t>red</w:t>
      </w:r>
      <w:r>
        <w:rPr>
          <w:spacing w:val="-14"/>
          <w:vertAlign w:val="baseline"/>
        </w:rPr>
        <w:t> </w:t>
      </w:r>
      <w:r>
        <w:rPr>
          <w:vertAlign w:val="baseline"/>
        </w:rPr>
        <w:t>coordinada</w:t>
      </w:r>
      <w:r>
        <w:rPr>
          <w:spacing w:val="-14"/>
          <w:vertAlign w:val="baseline"/>
        </w:rPr>
        <w:t> </w:t>
      </w:r>
      <w:r>
        <w:rPr>
          <w:vertAlign w:val="baseline"/>
        </w:rPr>
        <w:t>y</w:t>
      </w:r>
      <w:r>
        <w:rPr>
          <w:spacing w:val="-13"/>
          <w:vertAlign w:val="baseline"/>
        </w:rPr>
        <w:t> </w:t>
      </w:r>
      <w:r>
        <w:rPr>
          <w:vertAlign w:val="baseline"/>
        </w:rPr>
        <w:t>eficiente, para lo que es preciso la segregación de servicios urbanos dentro del municipio de aquellos gestionados por la Comunidad Autónoma</w:t>
      </w:r>
      <w:hyperlink w:history="true" w:anchor="_bookmark15">
        <w:r>
          <w:rPr>
            <w:vertAlign w:val="superscript"/>
          </w:rPr>
          <w:t>3</w:t>
        </w:r>
      </w:hyperlink>
      <w:r>
        <w:rPr>
          <w:vertAlign w:val="baseline"/>
        </w:rPr>
        <w:t>.</w:t>
      </w:r>
    </w:p>
    <w:p>
      <w:pPr>
        <w:pStyle w:val="BodyText"/>
        <w:spacing w:before="241"/>
        <w:ind w:left="992" w:right="985"/>
        <w:jc w:val="both"/>
      </w:pPr>
      <w:r>
        <w:rPr/>
        <w:t>El primero de los citados contratos, de 12 de julio de 2012, fue adjudicado por un período de diez años.</w:t>
      </w:r>
      <w:r>
        <w:rPr>
          <w:spacing w:val="-5"/>
        </w:rPr>
        <w:t> </w:t>
      </w:r>
      <w:r>
        <w:rPr/>
        <w:t>Toda</w:t>
      </w:r>
      <w:r>
        <w:rPr>
          <w:spacing w:val="-7"/>
        </w:rPr>
        <w:t> </w:t>
      </w:r>
      <w:r>
        <w:rPr/>
        <w:t>vez</w:t>
      </w:r>
      <w:r>
        <w:rPr>
          <w:spacing w:val="-6"/>
        </w:rPr>
        <w:t> </w:t>
      </w:r>
      <w:r>
        <w:rPr/>
        <w:t>que</w:t>
      </w:r>
      <w:r>
        <w:rPr>
          <w:spacing w:val="-6"/>
        </w:rPr>
        <w:t> </w:t>
      </w:r>
      <w:r>
        <w:rPr/>
        <w:t>dicho</w:t>
      </w:r>
      <w:r>
        <w:rPr>
          <w:spacing w:val="-4"/>
        </w:rPr>
        <w:t> </w:t>
      </w:r>
      <w:r>
        <w:rPr/>
        <w:t>plazo</w:t>
      </w:r>
      <w:r>
        <w:rPr>
          <w:spacing w:val="-6"/>
        </w:rPr>
        <w:t> </w:t>
      </w:r>
      <w:r>
        <w:rPr/>
        <w:t>finalizó</w:t>
      </w:r>
      <w:r>
        <w:rPr>
          <w:spacing w:val="-6"/>
        </w:rPr>
        <w:t> </w:t>
      </w:r>
      <w:r>
        <w:rPr/>
        <w:t>el</w:t>
      </w:r>
      <w:r>
        <w:rPr>
          <w:spacing w:val="-5"/>
        </w:rPr>
        <w:t> </w:t>
      </w:r>
      <w:r>
        <w:rPr/>
        <w:t>30</w:t>
      </w:r>
      <w:r>
        <w:rPr>
          <w:spacing w:val="-7"/>
        </w:rPr>
        <w:t> </w:t>
      </w:r>
      <w:r>
        <w:rPr/>
        <w:t>de</w:t>
      </w:r>
      <w:r>
        <w:rPr>
          <w:spacing w:val="-7"/>
        </w:rPr>
        <w:t> </w:t>
      </w:r>
      <w:r>
        <w:rPr/>
        <w:t>septiembre</w:t>
      </w:r>
      <w:r>
        <w:rPr>
          <w:spacing w:val="-6"/>
        </w:rPr>
        <w:t> </w:t>
      </w:r>
      <w:r>
        <w:rPr/>
        <w:t>de</w:t>
      </w:r>
      <w:r>
        <w:rPr>
          <w:spacing w:val="-7"/>
        </w:rPr>
        <w:t> </w:t>
      </w:r>
      <w:r>
        <w:rPr/>
        <w:t>2022,</w:t>
      </w:r>
      <w:r>
        <w:rPr>
          <w:spacing w:val="-4"/>
        </w:rPr>
        <w:t> </w:t>
      </w:r>
      <w:r>
        <w:rPr/>
        <w:t>se</w:t>
      </w:r>
      <w:r>
        <w:rPr>
          <w:spacing w:val="-6"/>
        </w:rPr>
        <w:t> </w:t>
      </w:r>
      <w:r>
        <w:rPr/>
        <w:t>acordó</w:t>
      </w:r>
      <w:r>
        <w:rPr>
          <w:spacing w:val="-6"/>
        </w:rPr>
        <w:t> </w:t>
      </w:r>
      <w:r>
        <w:rPr/>
        <w:t>la</w:t>
      </w:r>
      <w:r>
        <w:rPr>
          <w:spacing w:val="-4"/>
        </w:rPr>
        <w:t> </w:t>
      </w:r>
      <w:r>
        <w:rPr/>
        <w:t>prórroga</w:t>
      </w:r>
      <w:r>
        <w:rPr>
          <w:spacing w:val="-6"/>
        </w:rPr>
        <w:t> </w:t>
      </w:r>
      <w:r>
        <w:rPr/>
        <w:t>forzosa del</w:t>
      </w:r>
      <w:r>
        <w:rPr>
          <w:spacing w:val="-12"/>
        </w:rPr>
        <w:t> </w:t>
      </w:r>
      <w:r>
        <w:rPr/>
        <w:t>contrato</w:t>
      </w:r>
      <w:r>
        <w:rPr>
          <w:spacing w:val="-13"/>
        </w:rPr>
        <w:t> </w:t>
      </w:r>
      <w:r>
        <w:rPr/>
        <w:t>como</w:t>
      </w:r>
      <w:r>
        <w:rPr>
          <w:spacing w:val="-14"/>
        </w:rPr>
        <w:t> </w:t>
      </w:r>
      <w:r>
        <w:rPr/>
        <w:t>medida</w:t>
      </w:r>
      <w:r>
        <w:rPr>
          <w:spacing w:val="-12"/>
        </w:rPr>
        <w:t> </w:t>
      </w:r>
      <w:r>
        <w:rPr/>
        <w:t>de</w:t>
      </w:r>
      <w:r>
        <w:rPr>
          <w:spacing w:val="-14"/>
        </w:rPr>
        <w:t> </w:t>
      </w:r>
      <w:r>
        <w:rPr/>
        <w:t>emergencia,</w:t>
      </w:r>
      <w:r>
        <w:rPr>
          <w:spacing w:val="-12"/>
        </w:rPr>
        <w:t> </w:t>
      </w:r>
      <w:r>
        <w:rPr/>
        <w:t>al</w:t>
      </w:r>
      <w:r>
        <w:rPr>
          <w:spacing w:val="-15"/>
        </w:rPr>
        <w:t> </w:t>
      </w:r>
      <w:r>
        <w:rPr/>
        <w:t>amparo</w:t>
      </w:r>
      <w:r>
        <w:rPr>
          <w:spacing w:val="-11"/>
        </w:rPr>
        <w:t> </w:t>
      </w:r>
      <w:r>
        <w:rPr/>
        <w:t>del</w:t>
      </w:r>
      <w:r>
        <w:rPr>
          <w:spacing w:val="-14"/>
        </w:rPr>
        <w:t> </w:t>
      </w:r>
      <w:r>
        <w:rPr/>
        <w:t>artículo</w:t>
      </w:r>
      <w:r>
        <w:rPr>
          <w:spacing w:val="-11"/>
        </w:rPr>
        <w:t> </w:t>
      </w:r>
      <w:r>
        <w:rPr/>
        <w:t>5.5</w:t>
      </w:r>
      <w:r>
        <w:rPr>
          <w:spacing w:val="-14"/>
        </w:rPr>
        <w:t> </w:t>
      </w:r>
      <w:r>
        <w:rPr/>
        <w:t>del</w:t>
      </w:r>
      <w:r>
        <w:rPr>
          <w:spacing w:val="-12"/>
        </w:rPr>
        <w:t> </w:t>
      </w:r>
      <w:r>
        <w:rPr/>
        <w:t>Reglamento</w:t>
      </w:r>
      <w:r>
        <w:rPr>
          <w:spacing w:val="-14"/>
        </w:rPr>
        <w:t> </w:t>
      </w:r>
      <w:r>
        <w:rPr/>
        <w:t>UE</w:t>
      </w:r>
      <w:r>
        <w:rPr>
          <w:spacing w:val="-12"/>
        </w:rPr>
        <w:t> </w:t>
      </w:r>
      <w:r>
        <w:rPr/>
        <w:t>1370/2007, hasta</w:t>
      </w:r>
      <w:r>
        <w:rPr>
          <w:spacing w:val="-5"/>
        </w:rPr>
        <w:t> </w:t>
      </w:r>
      <w:r>
        <w:rPr/>
        <w:t>la</w:t>
      </w:r>
      <w:r>
        <w:rPr>
          <w:spacing w:val="-5"/>
        </w:rPr>
        <w:t> </w:t>
      </w:r>
      <w:r>
        <w:rPr/>
        <w:t>fecha</w:t>
      </w:r>
      <w:r>
        <w:rPr>
          <w:spacing w:val="-6"/>
        </w:rPr>
        <w:t> </w:t>
      </w:r>
      <w:r>
        <w:rPr/>
        <w:t>de</w:t>
      </w:r>
      <w:r>
        <w:rPr>
          <w:spacing w:val="-6"/>
        </w:rPr>
        <w:t> </w:t>
      </w:r>
      <w:r>
        <w:rPr/>
        <w:t>puesta</w:t>
      </w:r>
      <w:r>
        <w:rPr>
          <w:spacing w:val="-8"/>
        </w:rPr>
        <w:t> </w:t>
      </w:r>
      <w:r>
        <w:rPr/>
        <w:t>en</w:t>
      </w:r>
      <w:r>
        <w:rPr>
          <w:spacing w:val="-6"/>
        </w:rPr>
        <w:t> </w:t>
      </w:r>
      <w:r>
        <w:rPr/>
        <w:t>funcionamiento</w:t>
      </w:r>
      <w:r>
        <w:rPr>
          <w:spacing w:val="-7"/>
        </w:rPr>
        <w:t> </w:t>
      </w:r>
      <w:r>
        <w:rPr/>
        <w:t>del</w:t>
      </w:r>
      <w:r>
        <w:rPr>
          <w:spacing w:val="-6"/>
        </w:rPr>
        <w:t> </w:t>
      </w:r>
      <w:r>
        <w:rPr/>
        <w:t>nuevo</w:t>
      </w:r>
      <w:r>
        <w:rPr>
          <w:spacing w:val="-6"/>
        </w:rPr>
        <w:t> </w:t>
      </w:r>
      <w:r>
        <w:rPr/>
        <w:t>contrato</w:t>
      </w:r>
      <w:r>
        <w:rPr>
          <w:spacing w:val="-5"/>
        </w:rPr>
        <w:t> </w:t>
      </w:r>
      <w:r>
        <w:rPr/>
        <w:t>de</w:t>
      </w:r>
      <w:r>
        <w:rPr>
          <w:spacing w:val="-8"/>
        </w:rPr>
        <w:t> </w:t>
      </w:r>
      <w:r>
        <w:rPr/>
        <w:t>servicios</w:t>
      </w:r>
      <w:r>
        <w:rPr>
          <w:spacing w:val="-8"/>
        </w:rPr>
        <w:t> </w:t>
      </w:r>
      <w:r>
        <w:rPr/>
        <w:t>de</w:t>
      </w:r>
      <w:r>
        <w:rPr>
          <w:spacing w:val="-3"/>
        </w:rPr>
        <w:t> </w:t>
      </w:r>
      <w:r>
        <w:rPr/>
        <w:t>transporte</w:t>
      </w:r>
      <w:r>
        <w:rPr>
          <w:spacing w:val="-5"/>
        </w:rPr>
        <w:t> </w:t>
      </w:r>
      <w:r>
        <w:rPr/>
        <w:t>urbano</w:t>
      </w:r>
      <w:r>
        <w:rPr>
          <w:spacing w:val="-8"/>
        </w:rPr>
        <w:t> </w:t>
      </w:r>
      <w:r>
        <w:rPr/>
        <w:t>o, en su caso, hasta diciembre de 2024, comprometiéndose la entidad al</w:t>
      </w:r>
      <w:r>
        <w:rPr>
          <w:spacing w:val="-1"/>
        </w:rPr>
        <w:t> </w:t>
      </w:r>
      <w:r>
        <w:rPr/>
        <w:t>pago en favor de</w:t>
      </w:r>
      <w:r>
        <w:rPr>
          <w:spacing w:val="-2"/>
        </w:rPr>
        <w:t> </w:t>
      </w:r>
      <w:r>
        <w:rPr/>
        <w:t>la UTE de unas compensaciones anuales y mensuales. Cumplido este último plazo y no habiéndose aún suscrito</w:t>
      </w:r>
      <w:r>
        <w:rPr>
          <w:spacing w:val="-16"/>
        </w:rPr>
        <w:t> </w:t>
      </w:r>
      <w:r>
        <w:rPr/>
        <w:t>el</w:t>
      </w:r>
      <w:r>
        <w:rPr>
          <w:spacing w:val="-15"/>
        </w:rPr>
        <w:t> </w:t>
      </w:r>
      <w:r>
        <w:rPr/>
        <w:t>nuevo</w:t>
      </w:r>
      <w:r>
        <w:rPr>
          <w:spacing w:val="-15"/>
        </w:rPr>
        <w:t> </w:t>
      </w:r>
      <w:r>
        <w:rPr/>
        <w:t>contrato,</w:t>
      </w:r>
      <w:r>
        <w:rPr>
          <w:spacing w:val="-16"/>
        </w:rPr>
        <w:t> </w:t>
      </w:r>
      <w:r>
        <w:rPr/>
        <w:t>la</w:t>
      </w:r>
      <w:r>
        <w:rPr>
          <w:spacing w:val="-15"/>
        </w:rPr>
        <w:t> </w:t>
      </w:r>
      <w:r>
        <w:rPr/>
        <w:t>Junta</w:t>
      </w:r>
      <w:r>
        <w:rPr>
          <w:spacing w:val="-15"/>
        </w:rPr>
        <w:t> </w:t>
      </w:r>
      <w:r>
        <w:rPr/>
        <w:t>de</w:t>
      </w:r>
      <w:r>
        <w:rPr>
          <w:spacing w:val="-15"/>
        </w:rPr>
        <w:t> </w:t>
      </w:r>
      <w:r>
        <w:rPr/>
        <w:t>Gobierno</w:t>
      </w:r>
      <w:r>
        <w:rPr>
          <w:spacing w:val="-16"/>
        </w:rPr>
        <w:t> </w:t>
      </w:r>
      <w:r>
        <w:rPr/>
        <w:t>Local</w:t>
      </w:r>
      <w:r>
        <w:rPr>
          <w:spacing w:val="-15"/>
        </w:rPr>
        <w:t> </w:t>
      </w:r>
      <w:r>
        <w:rPr/>
        <w:t>adoptó</w:t>
      </w:r>
      <w:r>
        <w:rPr>
          <w:spacing w:val="-15"/>
        </w:rPr>
        <w:t> </w:t>
      </w:r>
      <w:r>
        <w:rPr/>
        <w:t>sendos</w:t>
      </w:r>
      <w:r>
        <w:rPr>
          <w:spacing w:val="-16"/>
        </w:rPr>
        <w:t> </w:t>
      </w:r>
      <w:r>
        <w:rPr/>
        <w:t>acuerdos</w:t>
      </w:r>
      <w:r>
        <w:rPr>
          <w:spacing w:val="-15"/>
        </w:rPr>
        <w:t> </w:t>
      </w:r>
      <w:r>
        <w:rPr/>
        <w:t>para</w:t>
      </w:r>
      <w:r>
        <w:rPr>
          <w:spacing w:val="-15"/>
        </w:rPr>
        <w:t> </w:t>
      </w:r>
      <w:r>
        <w:rPr/>
        <w:t>los</w:t>
      </w:r>
      <w:r>
        <w:rPr>
          <w:spacing w:val="-15"/>
        </w:rPr>
        <w:t> </w:t>
      </w:r>
      <w:r>
        <w:rPr/>
        <w:t>que</w:t>
      </w:r>
      <w:r>
        <w:rPr>
          <w:spacing w:val="-16"/>
        </w:rPr>
        <w:t> </w:t>
      </w:r>
      <w:r>
        <w:rPr/>
        <w:t>autorizó el gasto correspondiente a las citadas compensaciones para los meses de enero a mayo de 2025 y junio de 2025 a mayo de 2027 </w:t>
      </w:r>
      <w:r>
        <w:rPr>
          <w:rFonts w:ascii="Symbol" w:hAnsi="Symbol"/>
        </w:rPr>
        <w:t></w:t>
      </w:r>
      <w:r>
        <w:rPr/>
        <w:t>subordinado a la existencia de crédito adecuado y suficiente</w:t>
      </w:r>
      <w:r>
        <w:rPr>
          <w:rFonts w:ascii="Symbol" w:hAnsi="Symbol"/>
        </w:rPr>
        <w:t></w:t>
      </w:r>
      <w:r>
        <w:rPr/>
        <w:t>, </w:t>
      </w:r>
      <w:r>
        <w:rPr>
          <w:spacing w:val="-2"/>
        </w:rPr>
        <w:t>respectivamente.</w:t>
      </w:r>
    </w:p>
    <w:p>
      <w:pPr>
        <w:pStyle w:val="BodyText"/>
        <w:spacing w:before="241"/>
        <w:ind w:left="992" w:right="983"/>
        <w:jc w:val="both"/>
      </w:pPr>
      <w:r>
        <w:rPr/>
        <w:t>Igualmente, el contrato de gestión del servicio público de transporte urbano a pedanías, firmado el 24 de noviembre de 2021, tenía vigencia hasta el 2 de diciembre de 2023, habiéndose prorrogado por dos años adicionales hasta el 2 de diciembre de 2025.</w:t>
      </w:r>
    </w:p>
    <w:p>
      <w:pPr>
        <w:pStyle w:val="BodyText"/>
        <w:spacing w:before="239"/>
        <w:ind w:left="992" w:right="988"/>
        <w:jc w:val="both"/>
      </w:pPr>
      <w:r>
        <w:rPr/>
        <w:t>Las entidades fiscalizadas prestaron el servicio de transporte público colectivo urbano a través de autobús. Además, los </w:t>
      </w:r>
      <w:r>
        <w:rPr>
          <w:b/>
        </w:rPr>
        <w:t>Ayuntamientos de Murcia, Sevilla </w:t>
      </w:r>
      <w:r>
        <w:rPr/>
        <w:t>y </w:t>
      </w:r>
      <w:r>
        <w:rPr>
          <w:b/>
        </w:rPr>
        <w:t>Zaragoza </w:t>
      </w:r>
      <w:r>
        <w:rPr/>
        <w:t>cuentan con un tranvía y el de </w:t>
      </w:r>
      <w:r>
        <w:rPr>
          <w:b/>
        </w:rPr>
        <w:t>Bilbao </w:t>
      </w:r>
      <w:r>
        <w:rPr/>
        <w:t>con un funicular que comunica la ciudad con la cima del monte Artxanda.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7"/>
        <w:rPr>
          <w:sz w:val="20"/>
        </w:rPr>
      </w:pPr>
      <w:r>
        <w:rPr>
          <w:sz w:val="20"/>
        </w:rPr>
        <mc:AlternateContent>
          <mc:Choice Requires="wps">
            <w:drawing>
              <wp:anchor distT="0" distB="0" distL="0" distR="0" allowOverlap="1" layoutInCell="1" locked="0" behindDoc="1" simplePos="0" relativeHeight="487595008">
                <wp:simplePos x="0" y="0"/>
                <wp:positionH relativeFrom="page">
                  <wp:posOffset>719632</wp:posOffset>
                </wp:positionH>
                <wp:positionV relativeFrom="paragraph">
                  <wp:posOffset>172410</wp:posOffset>
                </wp:positionV>
                <wp:extent cx="1829435" cy="9525"/>
                <wp:effectExtent l="0" t="0" r="0" b="0"/>
                <wp:wrapTopAndBottom/>
                <wp:docPr id="94" name="Graphic 94"/>
                <wp:cNvGraphicFramePr>
                  <a:graphicFrameLocks/>
                </wp:cNvGraphicFramePr>
                <a:graphic>
                  <a:graphicData uri="http://schemas.microsoft.com/office/word/2010/wordprocessingShape">
                    <wps:wsp>
                      <wps:cNvPr id="94" name="Graphic 94"/>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3.575634pt;width:144.020pt;height:.72003pt;mso-position-horizontal-relative:page;mso-position-vertical-relative:paragraph;z-index:-15721472;mso-wrap-distance-left:0;mso-wrap-distance-right:0" id="docshape82" filled="true" fillcolor="#000000" stroked="false">
                <v:fill type="solid"/>
                <w10:wrap type="topAndBottom"/>
              </v:rect>
            </w:pict>
          </mc:Fallback>
        </mc:AlternateContent>
      </w:r>
    </w:p>
    <w:p>
      <w:pPr>
        <w:spacing w:before="115"/>
        <w:ind w:left="992" w:right="988" w:firstLine="0"/>
        <w:jc w:val="both"/>
        <w:rPr>
          <w:sz w:val="18"/>
        </w:rPr>
      </w:pPr>
      <w:bookmarkStart w:name="_bookmark14" w:id="16"/>
      <w:bookmarkEnd w:id="16"/>
      <w:r>
        <w:rPr/>
      </w:r>
      <w:r>
        <w:rPr>
          <w:position w:val="6"/>
          <w:sz w:val="12"/>
        </w:rPr>
        <w:t>2</w:t>
      </w:r>
      <w:r>
        <w:rPr>
          <w:spacing w:val="35"/>
          <w:position w:val="6"/>
          <w:sz w:val="12"/>
        </w:rPr>
        <w:t> </w:t>
      </w:r>
      <w:r>
        <w:rPr>
          <w:sz w:val="18"/>
        </w:rPr>
        <w:t>La entidad ha informado que se están elaborando los nuevos pliegos de condiciones que han de regir la nueva red transporte,</w:t>
      </w:r>
      <w:r>
        <w:rPr>
          <w:spacing w:val="-3"/>
          <w:sz w:val="18"/>
        </w:rPr>
        <w:t> </w:t>
      </w:r>
      <w:r>
        <w:rPr>
          <w:sz w:val="18"/>
        </w:rPr>
        <w:t>sin</w:t>
      </w:r>
      <w:r>
        <w:rPr>
          <w:spacing w:val="-2"/>
          <w:sz w:val="18"/>
        </w:rPr>
        <w:t> </w:t>
      </w:r>
      <w:r>
        <w:rPr>
          <w:sz w:val="18"/>
        </w:rPr>
        <w:t>que</w:t>
      </w:r>
      <w:r>
        <w:rPr>
          <w:spacing w:val="-2"/>
          <w:sz w:val="18"/>
        </w:rPr>
        <w:t> </w:t>
      </w:r>
      <w:r>
        <w:rPr>
          <w:sz w:val="18"/>
        </w:rPr>
        <w:t>se</w:t>
      </w:r>
      <w:r>
        <w:rPr>
          <w:spacing w:val="-2"/>
          <w:sz w:val="18"/>
        </w:rPr>
        <w:t> </w:t>
      </w:r>
      <w:r>
        <w:rPr>
          <w:sz w:val="18"/>
        </w:rPr>
        <w:t>haya</w:t>
      </w:r>
      <w:r>
        <w:rPr>
          <w:spacing w:val="-2"/>
          <w:sz w:val="18"/>
        </w:rPr>
        <w:t> </w:t>
      </w:r>
      <w:r>
        <w:rPr>
          <w:sz w:val="18"/>
        </w:rPr>
        <w:t>iniciado todavía</w:t>
      </w:r>
      <w:r>
        <w:rPr>
          <w:spacing w:val="-2"/>
          <w:sz w:val="18"/>
        </w:rPr>
        <w:t> </w:t>
      </w:r>
      <w:r>
        <w:rPr>
          <w:sz w:val="18"/>
        </w:rPr>
        <w:t>la</w:t>
      </w:r>
      <w:r>
        <w:rPr>
          <w:spacing w:val="-3"/>
          <w:sz w:val="18"/>
        </w:rPr>
        <w:t> </w:t>
      </w:r>
      <w:r>
        <w:rPr>
          <w:sz w:val="18"/>
        </w:rPr>
        <w:t>licitación</w:t>
      </w:r>
      <w:r>
        <w:rPr>
          <w:spacing w:val="-2"/>
          <w:sz w:val="18"/>
        </w:rPr>
        <w:t> </w:t>
      </w:r>
      <w:r>
        <w:rPr>
          <w:sz w:val="18"/>
        </w:rPr>
        <w:t>del</w:t>
      </w:r>
      <w:r>
        <w:rPr>
          <w:spacing w:val="-2"/>
          <w:sz w:val="18"/>
        </w:rPr>
        <w:t> </w:t>
      </w:r>
      <w:r>
        <w:rPr>
          <w:sz w:val="18"/>
        </w:rPr>
        <w:t>nuevo</w:t>
      </w:r>
      <w:r>
        <w:rPr>
          <w:spacing w:val="-3"/>
          <w:sz w:val="18"/>
        </w:rPr>
        <w:t> </w:t>
      </w:r>
      <w:r>
        <w:rPr>
          <w:sz w:val="18"/>
        </w:rPr>
        <w:t>modelo</w:t>
      </w:r>
      <w:r>
        <w:rPr>
          <w:spacing w:val="-3"/>
          <w:sz w:val="18"/>
        </w:rPr>
        <w:t> </w:t>
      </w:r>
      <w:r>
        <w:rPr>
          <w:sz w:val="18"/>
        </w:rPr>
        <w:t>de</w:t>
      </w:r>
      <w:r>
        <w:rPr>
          <w:spacing w:val="-3"/>
          <w:sz w:val="18"/>
        </w:rPr>
        <w:t> </w:t>
      </w:r>
      <w:r>
        <w:rPr>
          <w:sz w:val="18"/>
        </w:rPr>
        <w:t>prestación</w:t>
      </w:r>
      <w:r>
        <w:rPr>
          <w:spacing w:val="-3"/>
          <w:sz w:val="18"/>
        </w:rPr>
        <w:t> </w:t>
      </w:r>
      <w:r>
        <w:rPr>
          <w:sz w:val="18"/>
        </w:rPr>
        <w:t>de</w:t>
      </w:r>
      <w:r>
        <w:rPr>
          <w:spacing w:val="-3"/>
          <w:sz w:val="18"/>
        </w:rPr>
        <w:t> </w:t>
      </w:r>
      <w:r>
        <w:rPr>
          <w:sz w:val="18"/>
        </w:rPr>
        <w:t>servicio</w:t>
      </w:r>
      <w:r>
        <w:rPr>
          <w:spacing w:val="-2"/>
          <w:sz w:val="18"/>
        </w:rPr>
        <w:t> </w:t>
      </w:r>
      <w:r>
        <w:rPr>
          <w:sz w:val="18"/>
        </w:rPr>
        <w:t>de</w:t>
      </w:r>
      <w:r>
        <w:rPr>
          <w:spacing w:val="-2"/>
          <w:sz w:val="18"/>
        </w:rPr>
        <w:t> </w:t>
      </w:r>
      <w:r>
        <w:rPr>
          <w:sz w:val="18"/>
        </w:rPr>
        <w:t>transporte</w:t>
      </w:r>
      <w:r>
        <w:rPr>
          <w:spacing w:val="-2"/>
          <w:sz w:val="18"/>
        </w:rPr>
        <w:t> </w:t>
      </w:r>
      <w:r>
        <w:rPr>
          <w:sz w:val="18"/>
        </w:rPr>
        <w:t>urbano en</w:t>
      </w:r>
      <w:r>
        <w:rPr>
          <w:spacing w:val="-2"/>
          <w:sz w:val="18"/>
        </w:rPr>
        <w:t> </w:t>
      </w:r>
      <w:r>
        <w:rPr>
          <w:sz w:val="18"/>
        </w:rPr>
        <w:t>Murcia</w:t>
      </w:r>
      <w:r>
        <w:rPr>
          <w:spacing w:val="-2"/>
          <w:sz w:val="18"/>
        </w:rPr>
        <w:t> </w:t>
      </w:r>
      <w:r>
        <w:rPr>
          <w:sz w:val="18"/>
        </w:rPr>
        <w:t>y</w:t>
      </w:r>
      <w:r>
        <w:rPr>
          <w:spacing w:val="-2"/>
          <w:sz w:val="18"/>
        </w:rPr>
        <w:t> </w:t>
      </w:r>
      <w:r>
        <w:rPr>
          <w:sz w:val="18"/>
        </w:rPr>
        <w:t>pedanías.</w:t>
      </w:r>
      <w:r>
        <w:rPr>
          <w:spacing w:val="-2"/>
          <w:sz w:val="18"/>
        </w:rPr>
        <w:t> </w:t>
      </w:r>
      <w:r>
        <w:rPr>
          <w:sz w:val="18"/>
        </w:rPr>
        <w:t>La</w:t>
      </w:r>
      <w:r>
        <w:rPr>
          <w:spacing w:val="-2"/>
          <w:sz w:val="18"/>
        </w:rPr>
        <w:t> </w:t>
      </w:r>
      <w:r>
        <w:rPr>
          <w:sz w:val="18"/>
        </w:rPr>
        <w:t>causa</w:t>
      </w:r>
      <w:r>
        <w:rPr>
          <w:spacing w:val="-2"/>
          <w:sz w:val="18"/>
        </w:rPr>
        <w:t> </w:t>
      </w:r>
      <w:r>
        <w:rPr>
          <w:sz w:val="18"/>
        </w:rPr>
        <w:t>aducida</w:t>
      </w:r>
      <w:r>
        <w:rPr>
          <w:spacing w:val="-2"/>
          <w:sz w:val="18"/>
        </w:rPr>
        <w:t> </w:t>
      </w:r>
      <w:r>
        <w:rPr>
          <w:sz w:val="18"/>
        </w:rPr>
        <w:t>por</w:t>
      </w:r>
      <w:r>
        <w:rPr>
          <w:spacing w:val="-1"/>
          <w:sz w:val="18"/>
        </w:rPr>
        <w:t> </w:t>
      </w:r>
      <w:r>
        <w:rPr>
          <w:sz w:val="18"/>
        </w:rPr>
        <w:t>la</w:t>
      </w:r>
      <w:r>
        <w:rPr>
          <w:spacing w:val="-4"/>
          <w:sz w:val="18"/>
        </w:rPr>
        <w:t> </w:t>
      </w:r>
      <w:r>
        <w:rPr>
          <w:sz w:val="18"/>
        </w:rPr>
        <w:t>entidad</w:t>
      </w:r>
      <w:r>
        <w:rPr>
          <w:spacing w:val="-2"/>
          <w:sz w:val="18"/>
        </w:rPr>
        <w:t> </w:t>
      </w:r>
      <w:r>
        <w:rPr>
          <w:sz w:val="18"/>
        </w:rPr>
        <w:t>es</w:t>
      </w:r>
      <w:r>
        <w:rPr>
          <w:spacing w:val="-1"/>
          <w:sz w:val="18"/>
        </w:rPr>
        <w:t> </w:t>
      </w:r>
      <w:r>
        <w:rPr>
          <w:sz w:val="18"/>
        </w:rPr>
        <w:t>que</w:t>
      </w:r>
      <w:r>
        <w:rPr>
          <w:spacing w:val="-2"/>
          <w:sz w:val="18"/>
        </w:rPr>
        <w:t> </w:t>
      </w:r>
      <w:r>
        <w:rPr>
          <w:sz w:val="18"/>
        </w:rPr>
        <w:t>la</w:t>
      </w:r>
      <w:r>
        <w:rPr>
          <w:spacing w:val="-1"/>
          <w:sz w:val="18"/>
        </w:rPr>
        <w:t> </w:t>
      </w:r>
      <w:r>
        <w:rPr>
          <w:sz w:val="18"/>
        </w:rPr>
        <w:t>planificación</w:t>
      </w:r>
      <w:r>
        <w:rPr>
          <w:spacing w:val="-4"/>
          <w:sz w:val="18"/>
        </w:rPr>
        <w:t> </w:t>
      </w:r>
      <w:r>
        <w:rPr>
          <w:sz w:val="18"/>
        </w:rPr>
        <w:t>de</w:t>
      </w:r>
      <w:r>
        <w:rPr>
          <w:spacing w:val="-4"/>
          <w:sz w:val="18"/>
        </w:rPr>
        <w:t> </w:t>
      </w:r>
      <w:r>
        <w:rPr>
          <w:sz w:val="18"/>
        </w:rPr>
        <w:t>la nueva</w:t>
      </w:r>
      <w:r>
        <w:rPr>
          <w:spacing w:val="-1"/>
          <w:sz w:val="18"/>
        </w:rPr>
        <w:t> </w:t>
      </w:r>
      <w:r>
        <w:rPr>
          <w:sz w:val="18"/>
        </w:rPr>
        <w:t>red</w:t>
      </w:r>
      <w:r>
        <w:rPr>
          <w:spacing w:val="-2"/>
          <w:sz w:val="18"/>
        </w:rPr>
        <w:t> </w:t>
      </w:r>
      <w:r>
        <w:rPr>
          <w:sz w:val="18"/>
        </w:rPr>
        <w:t>de</w:t>
      </w:r>
      <w:r>
        <w:rPr>
          <w:spacing w:val="-4"/>
          <w:sz w:val="18"/>
        </w:rPr>
        <w:t> </w:t>
      </w:r>
      <w:r>
        <w:rPr>
          <w:sz w:val="18"/>
        </w:rPr>
        <w:t>servicios del</w:t>
      </w:r>
      <w:r>
        <w:rPr>
          <w:spacing w:val="-2"/>
          <w:sz w:val="18"/>
        </w:rPr>
        <w:t> </w:t>
      </w:r>
      <w:r>
        <w:rPr>
          <w:sz w:val="18"/>
        </w:rPr>
        <w:t>transporte público colectivo que se desarrollará tanto dentro de su término municipal, como de conexión con su área metropolitana se ha visto afectada por el Plan Director de Transportes de la Región de Murcia para superar los problemas compartimentación competencial. Para ello se ha establecido fórmulas colaborativas entre ambas administraciones (autonómica y local) para permitir el tráfico coordinado de viajeros urbanos e interurbanos en el marco de los servicios RMU-1 Alcantarilla-Murcia y el RMU-2 Beniel-Murcia proyectados por la Comunidad Autónoma y los de titularidad del Ayuntamiento de Murcia en relación con los municipios de Alcantarilla, Santomera y Beniel. Para ello, se ha suscrito el 31-03-2025, y publicado el 15-05-2025, un </w:t>
      </w:r>
      <w:hyperlink r:id="rId48">
        <w:r>
          <w:rPr>
            <w:i/>
            <w:sz w:val="18"/>
          </w:rPr>
          <w:t>Protocolo General de actuación</w:t>
        </w:r>
      </w:hyperlink>
      <w:r>
        <w:rPr>
          <w:i/>
          <w:sz w:val="18"/>
        </w:rPr>
        <w:t> </w:t>
      </w:r>
      <w:r>
        <w:rPr>
          <w:sz w:val="18"/>
        </w:rPr>
        <w:t>como paso previo al desarrollo del oportuno convenio de colaboración, que recogerá las líneas a prestar, régimen económico y cesión de material móvil, con la finalidad de promover su optimización y ofrecer a la población un servicio esencial más eficiente.</w:t>
      </w:r>
    </w:p>
    <w:p>
      <w:pPr>
        <w:spacing w:before="61"/>
        <w:ind w:left="992" w:right="986" w:firstLine="0"/>
        <w:jc w:val="both"/>
        <w:rPr>
          <w:sz w:val="18"/>
        </w:rPr>
      </w:pPr>
      <w:r>
        <w:rPr>
          <w:sz w:val="18"/>
        </w:rPr>
        <w:t>Por tanto, siguiendo las directrices marcadas por el </w:t>
      </w:r>
      <w:r>
        <w:rPr>
          <w:i/>
          <w:sz w:val="18"/>
        </w:rPr>
        <w:t>Plan Director </w:t>
      </w:r>
      <w:r>
        <w:rPr>
          <w:sz w:val="18"/>
        </w:rPr>
        <w:t>de </w:t>
      </w:r>
      <w:r>
        <w:rPr>
          <w:i/>
          <w:sz w:val="18"/>
        </w:rPr>
        <w:t>la Región de Murcia </w:t>
      </w:r>
      <w:r>
        <w:rPr>
          <w:sz w:val="18"/>
        </w:rPr>
        <w:t>y el acuerdo definido en el </w:t>
      </w:r>
      <w:r>
        <w:rPr>
          <w:i/>
          <w:sz w:val="18"/>
        </w:rPr>
        <w:t>Protocolo</w:t>
      </w:r>
      <w:r>
        <w:rPr>
          <w:i/>
          <w:spacing w:val="-7"/>
          <w:sz w:val="18"/>
        </w:rPr>
        <w:t> </w:t>
      </w:r>
      <w:r>
        <w:rPr>
          <w:sz w:val="18"/>
        </w:rPr>
        <w:t>ut</w:t>
      </w:r>
      <w:r>
        <w:rPr>
          <w:spacing w:val="-8"/>
          <w:sz w:val="18"/>
        </w:rPr>
        <w:t> </w:t>
      </w:r>
      <w:r>
        <w:rPr>
          <w:sz w:val="18"/>
        </w:rPr>
        <w:t>supra</w:t>
      </w:r>
      <w:r>
        <w:rPr>
          <w:spacing w:val="-5"/>
          <w:sz w:val="18"/>
        </w:rPr>
        <w:t> </w:t>
      </w:r>
      <w:r>
        <w:rPr>
          <w:sz w:val="18"/>
        </w:rPr>
        <w:t>indicado,</w:t>
      </w:r>
      <w:r>
        <w:rPr>
          <w:spacing w:val="-6"/>
          <w:sz w:val="18"/>
        </w:rPr>
        <w:t> </w:t>
      </w:r>
      <w:r>
        <w:rPr>
          <w:sz w:val="18"/>
        </w:rPr>
        <w:t>el</w:t>
      </w:r>
      <w:r>
        <w:rPr>
          <w:spacing w:val="-8"/>
          <w:sz w:val="18"/>
        </w:rPr>
        <w:t> </w:t>
      </w:r>
      <w:r>
        <w:rPr>
          <w:sz w:val="18"/>
        </w:rPr>
        <w:t>Ayuntamiento</w:t>
      </w:r>
      <w:r>
        <w:rPr>
          <w:spacing w:val="-7"/>
          <w:sz w:val="18"/>
        </w:rPr>
        <w:t> </w:t>
      </w:r>
      <w:r>
        <w:rPr>
          <w:sz w:val="18"/>
        </w:rPr>
        <w:t>de</w:t>
      </w:r>
      <w:r>
        <w:rPr>
          <w:spacing w:val="-8"/>
          <w:sz w:val="18"/>
        </w:rPr>
        <w:t> </w:t>
      </w:r>
      <w:r>
        <w:rPr>
          <w:sz w:val="18"/>
        </w:rPr>
        <w:t>Murcia</w:t>
      </w:r>
      <w:r>
        <w:rPr>
          <w:spacing w:val="-5"/>
          <w:sz w:val="18"/>
        </w:rPr>
        <w:t> </w:t>
      </w:r>
      <w:r>
        <w:rPr>
          <w:sz w:val="18"/>
        </w:rPr>
        <w:t>está</w:t>
      </w:r>
      <w:r>
        <w:rPr>
          <w:spacing w:val="-7"/>
          <w:sz w:val="18"/>
        </w:rPr>
        <w:t> </w:t>
      </w:r>
      <w:r>
        <w:rPr>
          <w:sz w:val="18"/>
        </w:rPr>
        <w:t>abordando</w:t>
      </w:r>
      <w:r>
        <w:rPr>
          <w:spacing w:val="-8"/>
          <w:sz w:val="18"/>
        </w:rPr>
        <w:t> </w:t>
      </w:r>
      <w:r>
        <w:rPr>
          <w:sz w:val="18"/>
        </w:rPr>
        <w:t>actualmente</w:t>
      </w:r>
      <w:r>
        <w:rPr>
          <w:spacing w:val="-7"/>
          <w:sz w:val="18"/>
        </w:rPr>
        <w:t> </w:t>
      </w:r>
      <w:r>
        <w:rPr>
          <w:sz w:val="18"/>
        </w:rPr>
        <w:t>la</w:t>
      </w:r>
      <w:r>
        <w:rPr>
          <w:spacing w:val="-4"/>
          <w:sz w:val="18"/>
        </w:rPr>
        <w:t> </w:t>
      </w:r>
      <w:r>
        <w:rPr>
          <w:sz w:val="18"/>
        </w:rPr>
        <w:t>planificación</w:t>
      </w:r>
      <w:r>
        <w:rPr>
          <w:spacing w:val="-8"/>
          <w:sz w:val="18"/>
        </w:rPr>
        <w:t> </w:t>
      </w:r>
      <w:r>
        <w:rPr>
          <w:sz w:val="18"/>
        </w:rPr>
        <w:t>de</w:t>
      </w:r>
      <w:r>
        <w:rPr>
          <w:spacing w:val="-8"/>
          <w:sz w:val="18"/>
        </w:rPr>
        <w:t> </w:t>
      </w:r>
      <w:r>
        <w:rPr>
          <w:sz w:val="18"/>
        </w:rPr>
        <w:t>la</w:t>
      </w:r>
      <w:r>
        <w:rPr>
          <w:spacing w:val="-5"/>
          <w:sz w:val="18"/>
        </w:rPr>
        <w:t> </w:t>
      </w:r>
      <w:r>
        <w:rPr>
          <w:sz w:val="18"/>
        </w:rPr>
        <w:t>red</w:t>
      </w:r>
      <w:r>
        <w:rPr>
          <w:spacing w:val="-8"/>
          <w:sz w:val="18"/>
        </w:rPr>
        <w:t> </w:t>
      </w:r>
      <w:r>
        <w:rPr>
          <w:sz w:val="18"/>
        </w:rPr>
        <w:t>de</w:t>
      </w:r>
      <w:r>
        <w:rPr>
          <w:spacing w:val="-8"/>
          <w:sz w:val="18"/>
        </w:rPr>
        <w:t> </w:t>
      </w:r>
      <w:r>
        <w:rPr>
          <w:sz w:val="18"/>
        </w:rPr>
        <w:t>servicios que se desarrollan tanto dentro de su término municipal,</w:t>
      </w:r>
      <w:r>
        <w:rPr>
          <w:spacing w:val="-1"/>
          <w:sz w:val="18"/>
        </w:rPr>
        <w:t> </w:t>
      </w:r>
      <w:r>
        <w:rPr>
          <w:sz w:val="18"/>
        </w:rPr>
        <w:t>como de conexión</w:t>
      </w:r>
      <w:r>
        <w:rPr>
          <w:spacing w:val="-1"/>
          <w:sz w:val="18"/>
        </w:rPr>
        <w:t> </w:t>
      </w:r>
      <w:r>
        <w:rPr>
          <w:sz w:val="18"/>
        </w:rPr>
        <w:t>con su área</w:t>
      </w:r>
      <w:r>
        <w:rPr>
          <w:spacing w:val="-1"/>
          <w:sz w:val="18"/>
        </w:rPr>
        <w:t> </w:t>
      </w:r>
      <w:r>
        <w:rPr>
          <w:sz w:val="18"/>
        </w:rPr>
        <w:t>metropolitana. En base a ello</w:t>
      </w:r>
      <w:r>
        <w:rPr>
          <w:spacing w:val="-1"/>
          <w:sz w:val="18"/>
        </w:rPr>
        <w:t> </w:t>
      </w:r>
      <w:r>
        <w:rPr>
          <w:sz w:val="18"/>
        </w:rPr>
        <w:t>el 21-07-2025</w:t>
      </w:r>
      <w:r>
        <w:rPr>
          <w:spacing w:val="-6"/>
          <w:sz w:val="18"/>
        </w:rPr>
        <w:t> </w:t>
      </w:r>
      <w:r>
        <w:rPr>
          <w:sz w:val="18"/>
        </w:rPr>
        <w:t>se</w:t>
      </w:r>
      <w:r>
        <w:rPr>
          <w:spacing w:val="-6"/>
          <w:sz w:val="18"/>
        </w:rPr>
        <w:t> </w:t>
      </w:r>
      <w:r>
        <w:rPr>
          <w:sz w:val="18"/>
        </w:rPr>
        <w:t>elaboró</w:t>
      </w:r>
      <w:r>
        <w:rPr>
          <w:spacing w:val="-6"/>
          <w:sz w:val="18"/>
        </w:rPr>
        <w:t> </w:t>
      </w:r>
      <w:r>
        <w:rPr>
          <w:sz w:val="18"/>
        </w:rPr>
        <w:t>la</w:t>
      </w:r>
      <w:r>
        <w:rPr>
          <w:spacing w:val="-4"/>
          <w:sz w:val="18"/>
        </w:rPr>
        <w:t> </w:t>
      </w:r>
      <w:hyperlink r:id="rId49">
        <w:r>
          <w:rPr>
            <w:i/>
            <w:sz w:val="18"/>
          </w:rPr>
          <w:t>Nueva</w:t>
        </w:r>
        <w:r>
          <w:rPr>
            <w:i/>
            <w:spacing w:val="-6"/>
            <w:sz w:val="18"/>
          </w:rPr>
          <w:t> </w:t>
        </w:r>
        <w:r>
          <w:rPr>
            <w:i/>
            <w:sz w:val="18"/>
          </w:rPr>
          <w:t>Red</w:t>
        </w:r>
        <w:r>
          <w:rPr>
            <w:i/>
            <w:spacing w:val="-6"/>
            <w:sz w:val="18"/>
          </w:rPr>
          <w:t> </w:t>
        </w:r>
        <w:r>
          <w:rPr>
            <w:i/>
            <w:sz w:val="18"/>
          </w:rPr>
          <w:t>de</w:t>
        </w:r>
        <w:r>
          <w:rPr>
            <w:i/>
            <w:spacing w:val="-6"/>
            <w:sz w:val="18"/>
          </w:rPr>
          <w:t> </w:t>
        </w:r>
        <w:r>
          <w:rPr>
            <w:i/>
            <w:sz w:val="18"/>
          </w:rPr>
          <w:t>Transportes</w:t>
        </w:r>
        <w:r>
          <w:rPr>
            <w:i/>
            <w:spacing w:val="-6"/>
            <w:sz w:val="18"/>
          </w:rPr>
          <w:t> </w:t>
        </w:r>
        <w:r>
          <w:rPr>
            <w:i/>
            <w:sz w:val="18"/>
          </w:rPr>
          <w:t>Púbico</w:t>
        </w:r>
        <w:r>
          <w:rPr>
            <w:i/>
            <w:spacing w:val="-9"/>
            <w:sz w:val="18"/>
          </w:rPr>
          <w:t> </w:t>
        </w:r>
        <w:r>
          <w:rPr>
            <w:i/>
            <w:sz w:val="18"/>
          </w:rPr>
          <w:t>Colectivo</w:t>
        </w:r>
      </w:hyperlink>
      <w:r>
        <w:rPr>
          <w:i/>
          <w:spacing w:val="-2"/>
          <w:sz w:val="18"/>
        </w:rPr>
        <w:t> </w:t>
      </w:r>
      <w:r>
        <w:rPr>
          <w:sz w:val="18"/>
        </w:rPr>
        <w:t>mediante</w:t>
      </w:r>
      <w:r>
        <w:rPr>
          <w:spacing w:val="-6"/>
          <w:sz w:val="18"/>
        </w:rPr>
        <w:t> </w:t>
      </w:r>
      <w:r>
        <w:rPr>
          <w:sz w:val="18"/>
        </w:rPr>
        <w:t>autobús</w:t>
      </w:r>
      <w:r>
        <w:rPr>
          <w:spacing w:val="-6"/>
          <w:sz w:val="18"/>
        </w:rPr>
        <w:t> </w:t>
      </w:r>
      <w:r>
        <w:rPr>
          <w:sz w:val="18"/>
        </w:rPr>
        <w:t>urbano</w:t>
      </w:r>
      <w:r>
        <w:rPr>
          <w:spacing w:val="-6"/>
          <w:sz w:val="18"/>
        </w:rPr>
        <w:t> </w:t>
      </w:r>
      <w:r>
        <w:rPr>
          <w:sz w:val="18"/>
        </w:rPr>
        <w:t>del</w:t>
      </w:r>
      <w:r>
        <w:rPr>
          <w:spacing w:val="-6"/>
          <w:sz w:val="18"/>
        </w:rPr>
        <w:t> </w:t>
      </w:r>
      <w:r>
        <w:rPr>
          <w:sz w:val="18"/>
        </w:rPr>
        <w:t>término</w:t>
      </w:r>
      <w:r>
        <w:rPr>
          <w:spacing w:val="-6"/>
          <w:sz w:val="18"/>
        </w:rPr>
        <w:t> </w:t>
      </w:r>
      <w:r>
        <w:rPr>
          <w:sz w:val="18"/>
        </w:rPr>
        <w:t>municipal</w:t>
      </w:r>
      <w:r>
        <w:rPr>
          <w:spacing w:val="-6"/>
          <w:sz w:val="18"/>
        </w:rPr>
        <w:t> </w:t>
      </w:r>
      <w:r>
        <w:rPr>
          <w:sz w:val="18"/>
        </w:rPr>
        <w:t>de Murcia, que servirá de base para la elaboración de los pliegos del nuevo contrato de transporte público colectivo. Asimismo, está a la espera de un informe de la Junta Regional de Contratación Administrativa sobre la estructura de costes</w:t>
      </w:r>
      <w:r>
        <w:rPr>
          <w:spacing w:val="-13"/>
          <w:sz w:val="18"/>
        </w:rPr>
        <w:t> </w:t>
      </w:r>
      <w:r>
        <w:rPr>
          <w:sz w:val="18"/>
        </w:rPr>
        <w:t>que</w:t>
      </w:r>
      <w:r>
        <w:rPr>
          <w:spacing w:val="-12"/>
          <w:sz w:val="18"/>
        </w:rPr>
        <w:t> </w:t>
      </w:r>
      <w:r>
        <w:rPr>
          <w:sz w:val="18"/>
        </w:rPr>
        <w:t>han</w:t>
      </w:r>
      <w:r>
        <w:rPr>
          <w:spacing w:val="-13"/>
          <w:sz w:val="18"/>
        </w:rPr>
        <w:t> </w:t>
      </w:r>
      <w:r>
        <w:rPr>
          <w:sz w:val="18"/>
        </w:rPr>
        <w:t>de</w:t>
      </w:r>
      <w:r>
        <w:rPr>
          <w:spacing w:val="-12"/>
          <w:sz w:val="18"/>
        </w:rPr>
        <w:t> </w:t>
      </w:r>
      <w:r>
        <w:rPr>
          <w:sz w:val="18"/>
        </w:rPr>
        <w:t>servir</w:t>
      </w:r>
      <w:r>
        <w:rPr>
          <w:spacing w:val="-13"/>
          <w:sz w:val="18"/>
        </w:rPr>
        <w:t> </w:t>
      </w:r>
      <w:r>
        <w:rPr>
          <w:sz w:val="18"/>
        </w:rPr>
        <w:t>para</w:t>
      </w:r>
      <w:r>
        <w:rPr>
          <w:spacing w:val="-12"/>
          <w:sz w:val="18"/>
        </w:rPr>
        <w:t> </w:t>
      </w:r>
      <w:r>
        <w:rPr>
          <w:sz w:val="18"/>
        </w:rPr>
        <w:t>incluir</w:t>
      </w:r>
      <w:r>
        <w:rPr>
          <w:spacing w:val="-11"/>
          <w:sz w:val="18"/>
        </w:rPr>
        <w:t> </w:t>
      </w:r>
      <w:r>
        <w:rPr>
          <w:sz w:val="18"/>
        </w:rPr>
        <w:t>las</w:t>
      </w:r>
      <w:r>
        <w:rPr>
          <w:spacing w:val="-12"/>
          <w:sz w:val="18"/>
        </w:rPr>
        <w:t> </w:t>
      </w:r>
      <w:r>
        <w:rPr>
          <w:sz w:val="18"/>
        </w:rPr>
        <w:t>fórmulas</w:t>
      </w:r>
      <w:r>
        <w:rPr>
          <w:spacing w:val="-10"/>
          <w:sz w:val="18"/>
        </w:rPr>
        <w:t> </w:t>
      </w:r>
      <w:r>
        <w:rPr>
          <w:sz w:val="18"/>
        </w:rPr>
        <w:t>de</w:t>
      </w:r>
      <w:r>
        <w:rPr>
          <w:spacing w:val="-10"/>
          <w:sz w:val="18"/>
        </w:rPr>
        <w:t> </w:t>
      </w:r>
      <w:r>
        <w:rPr>
          <w:sz w:val="18"/>
        </w:rPr>
        <w:t>revisión</w:t>
      </w:r>
      <w:r>
        <w:rPr>
          <w:spacing w:val="-14"/>
          <w:sz w:val="18"/>
        </w:rPr>
        <w:t> </w:t>
      </w:r>
      <w:r>
        <w:rPr>
          <w:sz w:val="18"/>
        </w:rPr>
        <w:t>de</w:t>
      </w:r>
      <w:r>
        <w:rPr>
          <w:spacing w:val="-10"/>
          <w:sz w:val="18"/>
        </w:rPr>
        <w:t> </w:t>
      </w:r>
      <w:r>
        <w:rPr>
          <w:sz w:val="18"/>
        </w:rPr>
        <w:t>precios</w:t>
      </w:r>
      <w:r>
        <w:rPr>
          <w:spacing w:val="-12"/>
          <w:sz w:val="18"/>
        </w:rPr>
        <w:t> </w:t>
      </w:r>
      <w:r>
        <w:rPr>
          <w:sz w:val="18"/>
        </w:rPr>
        <w:t>del</w:t>
      </w:r>
      <w:r>
        <w:rPr>
          <w:spacing w:val="-6"/>
          <w:sz w:val="18"/>
        </w:rPr>
        <w:t> </w:t>
      </w:r>
      <w:r>
        <w:rPr>
          <w:sz w:val="18"/>
        </w:rPr>
        <w:t>nuevo</w:t>
      </w:r>
      <w:r>
        <w:rPr>
          <w:spacing w:val="-13"/>
          <w:sz w:val="18"/>
        </w:rPr>
        <w:t> </w:t>
      </w:r>
      <w:r>
        <w:rPr>
          <w:sz w:val="18"/>
        </w:rPr>
        <w:t>contrato</w:t>
      </w:r>
      <w:r>
        <w:rPr>
          <w:spacing w:val="-13"/>
          <w:sz w:val="18"/>
        </w:rPr>
        <w:t> </w:t>
      </w:r>
      <w:r>
        <w:rPr>
          <w:sz w:val="18"/>
        </w:rPr>
        <w:t>de</w:t>
      </w:r>
      <w:r>
        <w:rPr>
          <w:spacing w:val="-10"/>
          <w:sz w:val="18"/>
        </w:rPr>
        <w:t> </w:t>
      </w:r>
      <w:r>
        <w:rPr>
          <w:sz w:val="18"/>
        </w:rPr>
        <w:t>transporte</w:t>
      </w:r>
      <w:r>
        <w:rPr>
          <w:spacing w:val="-12"/>
          <w:sz w:val="18"/>
        </w:rPr>
        <w:t> </w:t>
      </w:r>
      <w:r>
        <w:rPr>
          <w:sz w:val="18"/>
        </w:rPr>
        <w:t>urbano</w:t>
      </w:r>
      <w:r>
        <w:rPr>
          <w:spacing w:val="-13"/>
          <w:sz w:val="18"/>
        </w:rPr>
        <w:t> </w:t>
      </w:r>
      <w:r>
        <w:rPr>
          <w:sz w:val="18"/>
        </w:rPr>
        <w:t>municipal.</w:t>
      </w:r>
    </w:p>
    <w:p>
      <w:pPr>
        <w:spacing w:before="57"/>
        <w:ind w:left="992" w:right="989" w:firstLine="0"/>
        <w:jc w:val="both"/>
        <w:rPr>
          <w:sz w:val="18"/>
        </w:rPr>
      </w:pPr>
      <w:bookmarkStart w:name="_bookmark15" w:id="17"/>
      <w:bookmarkEnd w:id="17"/>
      <w:r>
        <w:rPr/>
      </w:r>
      <w:r>
        <w:rPr>
          <w:position w:val="6"/>
          <w:sz w:val="12"/>
        </w:rPr>
        <w:t>3</w:t>
      </w:r>
      <w:r>
        <w:rPr>
          <w:spacing w:val="40"/>
          <w:position w:val="6"/>
          <w:sz w:val="12"/>
        </w:rPr>
        <w:t> </w:t>
      </w:r>
      <w:r>
        <w:rPr>
          <w:sz w:val="18"/>
        </w:rPr>
        <w:t>El 31 de marzo de 2025 la Comunidad Autónoma y el Ayuntamiento de Murcia firmaron un protocolo general de actuación, previo a la firma de un convenio de colaboración, para permitir el tráfico coordinado de viajeros urbanos e interurbanos en los municipios de Alcantarilla, Santomera y Beniel, en donde se han observado la existencia de duplicidades y solapamientos en los tráficos interurbanos y urbanos, estando en tramitación de la delegación de competencias de la Comunidad Autónoma</w:t>
      </w:r>
      <w:r>
        <w:rPr>
          <w:spacing w:val="-1"/>
          <w:sz w:val="18"/>
        </w:rPr>
        <w:t> </w:t>
      </w:r>
      <w:r>
        <w:rPr>
          <w:sz w:val="18"/>
        </w:rPr>
        <w:t>en favor</w:t>
      </w:r>
      <w:r>
        <w:rPr>
          <w:spacing w:val="-1"/>
          <w:sz w:val="18"/>
        </w:rPr>
        <w:t> </w:t>
      </w:r>
      <w:r>
        <w:rPr>
          <w:sz w:val="18"/>
        </w:rPr>
        <w:t>del Ayuntamiento</w:t>
      </w:r>
      <w:r>
        <w:rPr>
          <w:spacing w:val="-1"/>
          <w:sz w:val="18"/>
        </w:rPr>
        <w:t> </w:t>
      </w:r>
      <w:r>
        <w:rPr>
          <w:sz w:val="18"/>
        </w:rPr>
        <w:t>para</w:t>
      </w:r>
      <w:r>
        <w:rPr>
          <w:spacing w:val="-1"/>
          <w:sz w:val="18"/>
        </w:rPr>
        <w:t> </w:t>
      </w:r>
      <w:r>
        <w:rPr>
          <w:sz w:val="18"/>
        </w:rPr>
        <w:t>la prestación de</w:t>
      </w:r>
      <w:r>
        <w:rPr>
          <w:spacing w:val="-1"/>
          <w:sz w:val="18"/>
        </w:rPr>
        <w:t> </w:t>
      </w:r>
      <w:r>
        <w:rPr>
          <w:sz w:val="18"/>
        </w:rPr>
        <w:t>los servicios interurbanos de transporte en estos municipios.</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Heading4"/>
        <w:ind w:left="1153"/>
        <w:jc w:val="left"/>
      </w:pPr>
      <w:bookmarkStart w:name="_bookmark16" w:id="18"/>
      <w:bookmarkEnd w:id="18"/>
      <w:r>
        <w:rPr>
          <w:b w:val="0"/>
        </w:rPr>
      </w:r>
      <w:r>
        <w:rPr/>
        <w:t>CUADRO</w:t>
      </w:r>
      <w:r>
        <w:rPr>
          <w:spacing w:val="-5"/>
        </w:rPr>
        <w:t> </w:t>
      </w:r>
      <w:r>
        <w:rPr/>
        <w:t>4.</w:t>
      </w:r>
      <w:r>
        <w:rPr>
          <w:spacing w:val="-6"/>
        </w:rPr>
        <w:t> </w:t>
      </w:r>
      <w:r>
        <w:rPr/>
        <w:t>MODOS</w:t>
      </w:r>
      <w:r>
        <w:rPr>
          <w:spacing w:val="-5"/>
        </w:rPr>
        <w:t> </w:t>
      </w:r>
      <w:r>
        <w:rPr/>
        <w:t>DE</w:t>
      </w:r>
      <w:r>
        <w:rPr>
          <w:spacing w:val="-5"/>
        </w:rPr>
        <w:t> </w:t>
      </w:r>
      <w:r>
        <w:rPr/>
        <w:t>TRANSPORTE</w:t>
      </w:r>
      <w:r>
        <w:rPr>
          <w:spacing w:val="-5"/>
        </w:rPr>
        <w:t> </w:t>
      </w:r>
      <w:r>
        <w:rPr/>
        <w:t>Y</w:t>
      </w:r>
      <w:r>
        <w:rPr>
          <w:spacing w:val="-7"/>
        </w:rPr>
        <w:t> </w:t>
      </w:r>
      <w:r>
        <w:rPr/>
        <w:t>GESTIÓN</w:t>
      </w:r>
      <w:r>
        <w:rPr>
          <w:spacing w:val="-5"/>
        </w:rPr>
        <w:t> </w:t>
      </w:r>
      <w:r>
        <w:rPr/>
        <w:t>DEL</w:t>
      </w:r>
      <w:r>
        <w:rPr>
          <w:spacing w:val="-7"/>
        </w:rPr>
        <w:t> </w:t>
      </w:r>
      <w:r>
        <w:rPr/>
        <w:t>SERVICIO</w:t>
      </w:r>
      <w:r>
        <w:rPr>
          <w:spacing w:val="-7"/>
        </w:rPr>
        <w:t> </w:t>
      </w:r>
      <w:r>
        <w:rPr/>
        <w:t>PÚBLICO</w:t>
      </w:r>
      <w:r>
        <w:rPr>
          <w:spacing w:val="1"/>
        </w:rPr>
        <w:t> </w:t>
      </w:r>
      <w:r>
        <w:rPr>
          <w:spacing w:val="-2"/>
        </w:rPr>
        <w:t>COLECTIVO</w:t>
      </w:r>
    </w:p>
    <w:p>
      <w:pPr>
        <w:pStyle w:val="BodyText"/>
        <w:spacing w:before="26"/>
        <w:rPr>
          <w:b/>
          <w:sz w:val="20"/>
        </w:rPr>
      </w:pPr>
    </w:p>
    <w:tbl>
      <w:tblPr>
        <w:tblW w:w="0" w:type="auto"/>
        <w:jc w:val="left"/>
        <w:tblInd w:w="671" w:type="dxa"/>
        <w:tblBorders>
          <w:top w:val="single" w:sz="12" w:space="0" w:color="002D5D"/>
          <w:left w:val="single" w:sz="12" w:space="0" w:color="002D5D"/>
          <w:bottom w:val="single" w:sz="12" w:space="0" w:color="002D5D"/>
          <w:right w:val="single" w:sz="12" w:space="0" w:color="002D5D"/>
          <w:insideH w:val="single" w:sz="12" w:space="0" w:color="002D5D"/>
          <w:insideV w:val="single" w:sz="12" w:space="0" w:color="002D5D"/>
        </w:tblBorders>
        <w:tblLayout w:type="fixed"/>
        <w:tblCellMar>
          <w:top w:w="0" w:type="dxa"/>
          <w:left w:w="0" w:type="dxa"/>
          <w:bottom w:w="0" w:type="dxa"/>
          <w:right w:w="0" w:type="dxa"/>
        </w:tblCellMar>
        <w:tblLook w:val="01E0"/>
      </w:tblPr>
      <w:tblGrid>
        <w:gridCol w:w="2120"/>
        <w:gridCol w:w="939"/>
        <w:gridCol w:w="730"/>
        <w:gridCol w:w="910"/>
        <w:gridCol w:w="1258"/>
        <w:gridCol w:w="4359"/>
      </w:tblGrid>
      <w:tr>
        <w:trPr>
          <w:trHeight w:val="496" w:hRule="atLeast"/>
        </w:trPr>
        <w:tc>
          <w:tcPr>
            <w:tcW w:w="2120" w:type="dxa"/>
            <w:vMerge w:val="restart"/>
            <w:tcBorders>
              <w:top w:val="nil"/>
              <w:bottom w:val="nil"/>
              <w:right w:val="nil"/>
            </w:tcBorders>
            <w:shd w:val="clear" w:color="auto" w:fill="002D5D"/>
          </w:tcPr>
          <w:p>
            <w:pPr>
              <w:pStyle w:val="TableParagraph"/>
              <w:rPr>
                <w:rFonts w:ascii="Arial"/>
                <w:b/>
                <w:sz w:val="18"/>
              </w:rPr>
            </w:pPr>
          </w:p>
          <w:p>
            <w:pPr>
              <w:pStyle w:val="TableParagraph"/>
              <w:spacing w:before="97"/>
              <w:rPr>
                <w:rFonts w:ascii="Arial"/>
                <w:b/>
                <w:sz w:val="18"/>
              </w:rPr>
            </w:pPr>
          </w:p>
          <w:p>
            <w:pPr>
              <w:pStyle w:val="TableParagraph"/>
              <w:ind w:left="405"/>
              <w:rPr>
                <w:b/>
                <w:sz w:val="18"/>
              </w:rPr>
            </w:pPr>
            <w:r>
              <w:rPr>
                <w:b/>
                <w:color w:val="FFFFFF"/>
                <w:spacing w:val="-2"/>
                <w:sz w:val="20"/>
              </w:rPr>
              <w:t>A</w:t>
            </w:r>
            <w:r>
              <w:rPr>
                <w:b/>
                <w:color w:val="FFFFFF"/>
                <w:spacing w:val="-2"/>
                <w:sz w:val="18"/>
              </w:rPr>
              <w:t>YUNTAMIENTOS</w:t>
            </w:r>
          </w:p>
        </w:tc>
        <w:tc>
          <w:tcPr>
            <w:tcW w:w="2579" w:type="dxa"/>
            <w:gridSpan w:val="3"/>
            <w:tcBorders>
              <w:top w:val="nil"/>
              <w:left w:val="nil"/>
              <w:bottom w:val="single" w:sz="12" w:space="0" w:color="FFFFFF"/>
              <w:right w:val="nil"/>
            </w:tcBorders>
            <w:shd w:val="clear" w:color="auto" w:fill="002D5D"/>
          </w:tcPr>
          <w:p>
            <w:pPr>
              <w:pStyle w:val="TableParagraph"/>
              <w:spacing w:before="145"/>
              <w:ind w:left="367"/>
              <w:rPr>
                <w:b/>
                <w:sz w:val="18"/>
              </w:rPr>
            </w:pPr>
            <w:r>
              <w:rPr>
                <w:b/>
                <w:color w:val="FFFFFF"/>
                <w:sz w:val="18"/>
              </w:rPr>
              <w:t>MODOS</w:t>
            </w:r>
            <w:r>
              <w:rPr>
                <w:b/>
                <w:color w:val="FFFFFF"/>
                <w:spacing w:val="-2"/>
                <w:sz w:val="18"/>
              </w:rPr>
              <w:t> </w:t>
            </w:r>
            <w:r>
              <w:rPr>
                <w:b/>
                <w:color w:val="FFFFFF"/>
                <w:sz w:val="18"/>
              </w:rPr>
              <w:t>DE</w:t>
            </w:r>
            <w:r>
              <w:rPr>
                <w:b/>
                <w:color w:val="FFFFFF"/>
                <w:spacing w:val="-1"/>
                <w:sz w:val="18"/>
              </w:rPr>
              <w:t> </w:t>
            </w:r>
            <w:r>
              <w:rPr>
                <w:b/>
                <w:color w:val="FFFFFF"/>
                <w:spacing w:val="-2"/>
                <w:sz w:val="18"/>
              </w:rPr>
              <w:t>TRANSPORTE</w:t>
            </w:r>
          </w:p>
        </w:tc>
        <w:tc>
          <w:tcPr>
            <w:tcW w:w="5617" w:type="dxa"/>
            <w:gridSpan w:val="2"/>
            <w:tcBorders>
              <w:top w:val="nil"/>
              <w:left w:val="nil"/>
              <w:bottom w:val="single" w:sz="12" w:space="0" w:color="FFFFFF"/>
              <w:right w:val="nil"/>
            </w:tcBorders>
            <w:shd w:val="clear" w:color="auto" w:fill="002D5D"/>
          </w:tcPr>
          <w:p>
            <w:pPr>
              <w:pStyle w:val="TableParagraph"/>
              <w:spacing w:before="145"/>
              <w:ind w:left="23"/>
              <w:jc w:val="center"/>
              <w:rPr>
                <w:b/>
                <w:sz w:val="18"/>
              </w:rPr>
            </w:pPr>
            <w:r>
              <w:rPr>
                <w:b/>
                <w:color w:val="FFFFFF"/>
                <w:sz w:val="18"/>
              </w:rPr>
              <w:t>GESTIÓN</w:t>
            </w:r>
            <w:r>
              <w:rPr>
                <w:b/>
                <w:color w:val="FFFFFF"/>
                <w:spacing w:val="-2"/>
                <w:sz w:val="18"/>
              </w:rPr>
              <w:t> </w:t>
            </w:r>
            <w:r>
              <w:rPr>
                <w:b/>
                <w:color w:val="FFFFFF"/>
                <w:sz w:val="18"/>
              </w:rPr>
              <w:t>DEL </w:t>
            </w:r>
            <w:r>
              <w:rPr>
                <w:b/>
                <w:color w:val="FFFFFF"/>
                <w:spacing w:val="-2"/>
                <w:sz w:val="18"/>
              </w:rPr>
              <w:t>SERVICIO</w:t>
            </w:r>
          </w:p>
        </w:tc>
      </w:tr>
      <w:tr>
        <w:trPr>
          <w:trHeight w:val="726" w:hRule="atLeast"/>
        </w:trPr>
        <w:tc>
          <w:tcPr>
            <w:tcW w:w="2120" w:type="dxa"/>
            <w:vMerge/>
            <w:tcBorders>
              <w:top w:val="nil"/>
              <w:bottom w:val="nil"/>
              <w:right w:val="nil"/>
            </w:tcBorders>
            <w:shd w:val="clear" w:color="auto" w:fill="002D5D"/>
          </w:tcPr>
          <w:p>
            <w:pPr>
              <w:rPr>
                <w:sz w:val="2"/>
                <w:szCs w:val="2"/>
              </w:rPr>
            </w:pPr>
          </w:p>
        </w:tc>
        <w:tc>
          <w:tcPr>
            <w:tcW w:w="939" w:type="dxa"/>
            <w:tcBorders>
              <w:top w:val="single" w:sz="12" w:space="0" w:color="FFFFFF"/>
              <w:left w:val="nil"/>
              <w:bottom w:val="single" w:sz="8" w:space="0" w:color="002D5D"/>
              <w:right w:val="nil"/>
            </w:tcBorders>
            <w:shd w:val="clear" w:color="auto" w:fill="5E89B4"/>
          </w:tcPr>
          <w:p>
            <w:pPr>
              <w:pStyle w:val="TableParagraph"/>
              <w:ind w:left="302" w:right="145" w:hanging="46"/>
              <w:rPr>
                <w:b/>
                <w:sz w:val="16"/>
              </w:rPr>
            </w:pPr>
            <w:r>
              <w:rPr>
                <w:b/>
                <w:color w:val="FFFFFF"/>
                <w:spacing w:val="-2"/>
                <w:sz w:val="16"/>
              </w:rPr>
              <w:t>Autobús</w:t>
            </w:r>
            <w:r>
              <w:rPr>
                <w:b/>
                <w:color w:val="FFFFFF"/>
                <w:spacing w:val="40"/>
                <w:sz w:val="16"/>
              </w:rPr>
              <w:t> </w:t>
            </w:r>
            <w:r>
              <w:rPr>
                <w:b/>
                <w:color w:val="FFFFFF"/>
                <w:spacing w:val="-2"/>
                <w:sz w:val="16"/>
              </w:rPr>
              <w:t>urbano</w:t>
            </w:r>
          </w:p>
          <w:p>
            <w:pPr>
              <w:pStyle w:val="TableParagraph"/>
              <w:rPr>
                <w:rFonts w:ascii="Arial"/>
                <w:b/>
                <w:sz w:val="9"/>
              </w:rPr>
            </w:pPr>
          </w:p>
          <w:p>
            <w:pPr>
              <w:pStyle w:val="TableParagraph"/>
              <w:spacing w:line="175" w:lineRule="exact"/>
              <w:ind w:left="370"/>
              <w:rPr>
                <w:rFonts w:ascii="Arial"/>
                <w:position w:val="-3"/>
                <w:sz w:val="17"/>
              </w:rPr>
            </w:pPr>
            <w:r>
              <w:rPr>
                <w:rFonts w:ascii="Arial"/>
                <w:position w:val="-3"/>
                <w:sz w:val="17"/>
              </w:rPr>
              <w:drawing>
                <wp:inline distT="0" distB="0" distL="0" distR="0">
                  <wp:extent cx="197847" cy="111728"/>
                  <wp:effectExtent l="0" t="0" r="0" b="0"/>
                  <wp:docPr id="95" name="Image 95"/>
                  <wp:cNvGraphicFramePr>
                    <a:graphicFrameLocks/>
                  </wp:cNvGraphicFramePr>
                  <a:graphic>
                    <a:graphicData uri="http://schemas.openxmlformats.org/drawingml/2006/picture">
                      <pic:pic>
                        <pic:nvPicPr>
                          <pic:cNvPr id="95" name="Image 95"/>
                          <pic:cNvPicPr/>
                        </pic:nvPicPr>
                        <pic:blipFill>
                          <a:blip r:embed="rId50" cstate="print"/>
                          <a:stretch>
                            <a:fillRect/>
                          </a:stretch>
                        </pic:blipFill>
                        <pic:spPr>
                          <a:xfrm>
                            <a:off x="0" y="0"/>
                            <a:ext cx="197847" cy="111728"/>
                          </a:xfrm>
                          <a:prstGeom prst="rect">
                            <a:avLst/>
                          </a:prstGeom>
                        </pic:spPr>
                      </pic:pic>
                    </a:graphicData>
                  </a:graphic>
                </wp:inline>
              </w:drawing>
            </w:r>
            <w:r>
              <w:rPr>
                <w:rFonts w:ascii="Arial"/>
                <w:position w:val="-3"/>
                <w:sz w:val="17"/>
              </w:rPr>
            </w:r>
          </w:p>
        </w:tc>
        <w:tc>
          <w:tcPr>
            <w:tcW w:w="730" w:type="dxa"/>
            <w:tcBorders>
              <w:top w:val="single" w:sz="12" w:space="0" w:color="FFFFFF"/>
              <w:left w:val="nil"/>
              <w:bottom w:val="single" w:sz="8" w:space="0" w:color="002D5D"/>
              <w:right w:val="nil"/>
            </w:tcBorders>
            <w:shd w:val="clear" w:color="auto" w:fill="5E89B4"/>
          </w:tcPr>
          <w:p>
            <w:pPr>
              <w:pStyle w:val="TableParagraph"/>
              <w:spacing w:before="92"/>
              <w:ind w:left="90"/>
              <w:jc w:val="center"/>
              <w:rPr>
                <w:b/>
                <w:sz w:val="16"/>
              </w:rPr>
            </w:pPr>
            <w:r>
              <w:rPr>
                <w:b/>
                <w:color w:val="FFFFFF"/>
                <w:spacing w:val="-2"/>
                <w:sz w:val="16"/>
              </w:rPr>
              <w:t>Tranvía</w:t>
            </w:r>
          </w:p>
          <w:p>
            <w:pPr>
              <w:pStyle w:val="TableParagraph"/>
              <w:spacing w:before="4"/>
              <w:rPr>
                <w:rFonts w:ascii="Arial"/>
                <w:b/>
                <w:sz w:val="12"/>
              </w:rPr>
            </w:pPr>
          </w:p>
          <w:p>
            <w:pPr>
              <w:pStyle w:val="TableParagraph"/>
              <w:ind w:left="326"/>
              <w:rPr>
                <w:rFonts w:ascii="Arial"/>
                <w:sz w:val="20"/>
              </w:rPr>
            </w:pPr>
            <w:r>
              <w:rPr>
                <w:rFonts w:ascii="Arial"/>
                <w:sz w:val="20"/>
              </w:rPr>
              <w:drawing>
                <wp:inline distT="0" distB="0" distL="0" distR="0">
                  <wp:extent cx="107649" cy="179736"/>
                  <wp:effectExtent l="0" t="0" r="0" b="0"/>
                  <wp:docPr id="96" name="Image 96"/>
                  <wp:cNvGraphicFramePr>
                    <a:graphicFrameLocks/>
                  </wp:cNvGraphicFramePr>
                  <a:graphic>
                    <a:graphicData uri="http://schemas.openxmlformats.org/drawingml/2006/picture">
                      <pic:pic>
                        <pic:nvPicPr>
                          <pic:cNvPr id="96" name="Image 96"/>
                          <pic:cNvPicPr/>
                        </pic:nvPicPr>
                        <pic:blipFill>
                          <a:blip r:embed="rId51" cstate="print"/>
                          <a:stretch>
                            <a:fillRect/>
                          </a:stretch>
                        </pic:blipFill>
                        <pic:spPr>
                          <a:xfrm>
                            <a:off x="0" y="0"/>
                            <a:ext cx="107649" cy="179736"/>
                          </a:xfrm>
                          <a:prstGeom prst="rect">
                            <a:avLst/>
                          </a:prstGeom>
                        </pic:spPr>
                      </pic:pic>
                    </a:graphicData>
                  </a:graphic>
                </wp:inline>
              </w:drawing>
            </w:r>
            <w:r>
              <w:rPr>
                <w:rFonts w:ascii="Arial"/>
                <w:sz w:val="20"/>
              </w:rPr>
            </w:r>
          </w:p>
        </w:tc>
        <w:tc>
          <w:tcPr>
            <w:tcW w:w="910" w:type="dxa"/>
            <w:tcBorders>
              <w:top w:val="single" w:sz="12" w:space="0" w:color="FFFFFF"/>
              <w:left w:val="nil"/>
              <w:bottom w:val="single" w:sz="8" w:space="0" w:color="002D5D"/>
              <w:right w:val="nil"/>
            </w:tcBorders>
            <w:shd w:val="clear" w:color="auto" w:fill="5E89B4"/>
          </w:tcPr>
          <w:p>
            <w:pPr>
              <w:pStyle w:val="TableParagraph"/>
              <w:ind w:left="114" w:right="114" w:firstLine="163"/>
              <w:rPr>
                <w:b/>
                <w:sz w:val="16"/>
              </w:rPr>
            </w:pPr>
            <w:r>
              <w:rPr>
                <w:b/>
                <w:color w:val="FFFFFF"/>
                <w:spacing w:val="-4"/>
                <w:sz w:val="16"/>
              </w:rPr>
              <w:t>Otros</w:t>
            </w:r>
            <w:r>
              <w:rPr>
                <w:b/>
                <w:color w:val="FFFFFF"/>
                <w:spacing w:val="40"/>
                <w:sz w:val="16"/>
              </w:rPr>
              <w:t> </w:t>
            </w:r>
            <w:r>
              <w:rPr>
                <w:b/>
                <w:color w:val="FFFFFF"/>
                <w:spacing w:val="-2"/>
                <w:sz w:val="16"/>
              </w:rPr>
              <w:t>(Funicular)</w:t>
            </w:r>
          </w:p>
          <w:p>
            <w:pPr>
              <w:pStyle w:val="TableParagraph"/>
              <w:spacing w:before="11"/>
              <w:rPr>
                <w:rFonts w:ascii="Arial"/>
                <w:b/>
                <w:sz w:val="2"/>
              </w:rPr>
            </w:pPr>
          </w:p>
          <w:p>
            <w:pPr>
              <w:pStyle w:val="TableParagraph"/>
              <w:ind w:left="265"/>
              <w:rPr>
                <w:rFonts w:ascii="Arial"/>
                <w:sz w:val="20"/>
              </w:rPr>
            </w:pPr>
            <w:r>
              <w:rPr>
                <w:rFonts w:ascii="Arial"/>
                <w:sz w:val="20"/>
              </w:rPr>
              <w:drawing>
                <wp:inline distT="0" distB="0" distL="0" distR="0">
                  <wp:extent cx="236866" cy="190500"/>
                  <wp:effectExtent l="0" t="0" r="0" b="0"/>
                  <wp:docPr id="97" name="Image 97"/>
                  <wp:cNvGraphicFramePr>
                    <a:graphicFrameLocks/>
                  </wp:cNvGraphicFramePr>
                  <a:graphic>
                    <a:graphicData uri="http://schemas.openxmlformats.org/drawingml/2006/picture">
                      <pic:pic>
                        <pic:nvPicPr>
                          <pic:cNvPr id="97" name="Image 97"/>
                          <pic:cNvPicPr/>
                        </pic:nvPicPr>
                        <pic:blipFill>
                          <a:blip r:embed="rId52" cstate="print"/>
                          <a:stretch>
                            <a:fillRect/>
                          </a:stretch>
                        </pic:blipFill>
                        <pic:spPr>
                          <a:xfrm>
                            <a:off x="0" y="0"/>
                            <a:ext cx="236866" cy="190500"/>
                          </a:xfrm>
                          <a:prstGeom prst="rect">
                            <a:avLst/>
                          </a:prstGeom>
                        </pic:spPr>
                      </pic:pic>
                    </a:graphicData>
                  </a:graphic>
                </wp:inline>
              </w:drawing>
            </w:r>
            <w:r>
              <w:rPr>
                <w:rFonts w:ascii="Arial"/>
                <w:sz w:val="20"/>
              </w:rPr>
            </w:r>
          </w:p>
        </w:tc>
        <w:tc>
          <w:tcPr>
            <w:tcW w:w="1258" w:type="dxa"/>
            <w:tcBorders>
              <w:top w:val="single" w:sz="12" w:space="0" w:color="FFFFFF"/>
              <w:left w:val="nil"/>
              <w:bottom w:val="single" w:sz="8" w:space="0" w:color="002D5D"/>
              <w:right w:val="nil"/>
            </w:tcBorders>
            <w:shd w:val="clear" w:color="auto" w:fill="5E89B4"/>
          </w:tcPr>
          <w:p>
            <w:pPr>
              <w:pStyle w:val="TableParagraph"/>
              <w:spacing w:before="157"/>
              <w:ind w:left="378" w:right="280" w:hanging="70"/>
              <w:rPr>
                <w:b/>
                <w:sz w:val="18"/>
              </w:rPr>
            </w:pPr>
            <w:r>
              <w:rPr>
                <w:b/>
                <w:color w:val="FFFFFF"/>
                <w:sz w:val="18"/>
              </w:rPr>
              <w:t>Forma</w:t>
            </w:r>
            <w:r>
              <w:rPr>
                <w:b/>
                <w:color w:val="FFFFFF"/>
                <w:spacing w:val="-11"/>
                <w:sz w:val="18"/>
              </w:rPr>
              <w:t> </w:t>
            </w:r>
            <w:r>
              <w:rPr>
                <w:b/>
                <w:color w:val="FFFFFF"/>
                <w:sz w:val="18"/>
              </w:rPr>
              <w:t>de </w:t>
            </w:r>
            <w:r>
              <w:rPr>
                <w:b/>
                <w:color w:val="FFFFFF"/>
                <w:spacing w:val="-2"/>
                <w:sz w:val="18"/>
              </w:rPr>
              <w:t>gestión</w:t>
            </w:r>
          </w:p>
        </w:tc>
        <w:tc>
          <w:tcPr>
            <w:tcW w:w="4359" w:type="dxa"/>
            <w:tcBorders>
              <w:top w:val="single" w:sz="12" w:space="0" w:color="FFFFFF"/>
              <w:left w:val="nil"/>
              <w:bottom w:val="single" w:sz="8" w:space="0" w:color="002D5D"/>
              <w:right w:val="nil"/>
            </w:tcBorders>
            <w:shd w:val="clear" w:color="auto" w:fill="5E89B4"/>
          </w:tcPr>
          <w:p>
            <w:pPr>
              <w:pStyle w:val="TableParagraph"/>
              <w:spacing w:before="53"/>
              <w:rPr>
                <w:rFonts w:ascii="Arial"/>
                <w:b/>
                <w:sz w:val="18"/>
              </w:rPr>
            </w:pPr>
          </w:p>
          <w:p>
            <w:pPr>
              <w:pStyle w:val="TableParagraph"/>
              <w:ind w:left="649"/>
              <w:rPr>
                <w:b/>
                <w:sz w:val="18"/>
              </w:rPr>
            </w:pPr>
            <w:r>
              <w:rPr>
                <w:b/>
                <w:color w:val="FFFFFF"/>
                <w:sz w:val="18"/>
              </w:rPr>
              <w:t>Contrato/</w:t>
            </w:r>
            <w:r>
              <w:rPr>
                <w:b/>
                <w:color w:val="FFFFFF"/>
                <w:spacing w:val="-3"/>
                <w:sz w:val="18"/>
              </w:rPr>
              <w:t> </w:t>
            </w:r>
            <w:r>
              <w:rPr>
                <w:b/>
                <w:color w:val="FFFFFF"/>
                <w:sz w:val="18"/>
              </w:rPr>
              <w:t>empresa</w:t>
            </w:r>
            <w:r>
              <w:rPr>
                <w:b/>
                <w:color w:val="FFFFFF"/>
                <w:spacing w:val="-2"/>
                <w:sz w:val="18"/>
              </w:rPr>
              <w:t> municipal</w:t>
            </w:r>
          </w:p>
        </w:tc>
      </w:tr>
      <w:tr>
        <w:trPr>
          <w:trHeight w:val="284" w:hRule="atLeast"/>
        </w:trPr>
        <w:tc>
          <w:tcPr>
            <w:tcW w:w="2120" w:type="dxa"/>
            <w:tcBorders>
              <w:top w:val="nil"/>
              <w:bottom w:val="single" w:sz="8" w:space="0" w:color="002D5D"/>
            </w:tcBorders>
          </w:tcPr>
          <w:p>
            <w:pPr>
              <w:pStyle w:val="TableParagraph"/>
              <w:spacing w:before="39"/>
              <w:ind w:left="69"/>
              <w:rPr>
                <w:b/>
                <w:sz w:val="18"/>
              </w:rPr>
            </w:pPr>
            <w:r>
              <w:rPr>
                <w:b/>
                <w:spacing w:val="-2"/>
                <w:sz w:val="18"/>
              </w:rPr>
              <w:t>ALICANTE</w:t>
            </w:r>
          </w:p>
        </w:tc>
        <w:tc>
          <w:tcPr>
            <w:tcW w:w="2579" w:type="dxa"/>
            <w:gridSpan w:val="3"/>
            <w:tcBorders>
              <w:top w:val="single" w:sz="8" w:space="0" w:color="002D5D"/>
              <w:bottom w:val="single" w:sz="8" w:space="0" w:color="002D5D"/>
            </w:tcBorders>
          </w:tcPr>
          <w:p>
            <w:pPr>
              <w:pStyle w:val="TableParagraph"/>
              <w:spacing w:before="33"/>
              <w:ind w:left="431"/>
              <w:rPr>
                <w:rFonts w:ascii="Wingdings" w:hAnsi="Wingdings"/>
                <w:sz w:val="20"/>
              </w:rPr>
            </w:pPr>
            <w:r>
              <w:rPr>
                <w:rFonts w:ascii="Wingdings" w:hAnsi="Wingdings"/>
                <w:color w:val="00AF50"/>
                <w:spacing w:val="-10"/>
                <w:sz w:val="20"/>
              </w:rPr>
              <w:t></w:t>
            </w:r>
          </w:p>
        </w:tc>
        <w:tc>
          <w:tcPr>
            <w:tcW w:w="1258" w:type="dxa"/>
            <w:tcBorders>
              <w:top w:val="single" w:sz="8" w:space="0" w:color="002D5D"/>
              <w:bottom w:val="single" w:sz="8" w:space="0" w:color="002D5D"/>
              <w:right w:val="nil"/>
            </w:tcBorders>
          </w:tcPr>
          <w:p>
            <w:pPr>
              <w:pStyle w:val="TableParagraph"/>
              <w:spacing w:before="39"/>
              <w:ind w:left="135"/>
              <w:rPr>
                <w:sz w:val="18"/>
              </w:rPr>
            </w:pPr>
            <w:r>
              <w:rPr>
                <w:spacing w:val="-2"/>
                <w:sz w:val="18"/>
              </w:rPr>
              <w:t>Indirecta</w:t>
            </w:r>
          </w:p>
        </w:tc>
        <w:tc>
          <w:tcPr>
            <w:tcW w:w="4359" w:type="dxa"/>
            <w:tcBorders>
              <w:top w:val="single" w:sz="8" w:space="0" w:color="002D5D"/>
              <w:left w:val="nil"/>
              <w:bottom w:val="single" w:sz="8" w:space="0" w:color="002D5D"/>
            </w:tcBorders>
          </w:tcPr>
          <w:p>
            <w:pPr>
              <w:pStyle w:val="TableParagraph"/>
              <w:spacing w:before="39"/>
              <w:ind w:left="82"/>
              <w:rPr>
                <w:sz w:val="18"/>
              </w:rPr>
            </w:pPr>
            <w:r>
              <w:rPr>
                <w:sz w:val="18"/>
              </w:rPr>
              <w:t>Contrato</w:t>
            </w:r>
            <w:r>
              <w:rPr>
                <w:spacing w:val="-5"/>
                <w:sz w:val="18"/>
              </w:rPr>
              <w:t> </w:t>
            </w:r>
            <w:r>
              <w:rPr>
                <w:sz w:val="18"/>
              </w:rPr>
              <w:t>de</w:t>
            </w:r>
            <w:r>
              <w:rPr>
                <w:spacing w:val="-1"/>
                <w:sz w:val="18"/>
              </w:rPr>
              <w:t> </w:t>
            </w:r>
            <w:r>
              <w:rPr>
                <w:sz w:val="18"/>
              </w:rPr>
              <w:t>concesión</w:t>
            </w:r>
            <w:r>
              <w:rPr>
                <w:spacing w:val="-3"/>
                <w:sz w:val="18"/>
              </w:rPr>
              <w:t> </w:t>
            </w:r>
            <w:r>
              <w:rPr>
                <w:sz w:val="18"/>
              </w:rPr>
              <w:t>de</w:t>
            </w:r>
            <w:r>
              <w:rPr>
                <w:spacing w:val="-2"/>
                <w:sz w:val="18"/>
              </w:rPr>
              <w:t> servicios</w:t>
            </w:r>
          </w:p>
        </w:tc>
      </w:tr>
      <w:tr>
        <w:trPr>
          <w:trHeight w:val="287" w:hRule="atLeast"/>
        </w:trPr>
        <w:tc>
          <w:tcPr>
            <w:tcW w:w="2120" w:type="dxa"/>
            <w:tcBorders>
              <w:top w:val="single" w:sz="8" w:space="0" w:color="002D5D"/>
              <w:bottom w:val="single" w:sz="8" w:space="0" w:color="002D5D"/>
            </w:tcBorders>
          </w:tcPr>
          <w:p>
            <w:pPr>
              <w:pStyle w:val="TableParagraph"/>
              <w:spacing w:before="39"/>
              <w:ind w:left="69"/>
              <w:rPr>
                <w:b/>
                <w:sz w:val="18"/>
              </w:rPr>
            </w:pPr>
            <w:r>
              <w:rPr>
                <w:b/>
                <w:spacing w:val="-2"/>
                <w:sz w:val="18"/>
              </w:rPr>
              <w:t>BILBAO</w:t>
            </w:r>
          </w:p>
        </w:tc>
        <w:tc>
          <w:tcPr>
            <w:tcW w:w="939" w:type="dxa"/>
            <w:tcBorders>
              <w:top w:val="single" w:sz="8" w:space="0" w:color="002D5D"/>
              <w:bottom w:val="single" w:sz="8" w:space="0" w:color="002D5D"/>
              <w:right w:val="nil"/>
            </w:tcBorders>
          </w:tcPr>
          <w:p>
            <w:pPr>
              <w:pStyle w:val="TableParagraph"/>
              <w:spacing w:before="33"/>
              <w:ind w:right="333"/>
              <w:jc w:val="right"/>
              <w:rPr>
                <w:rFonts w:ascii="Wingdings" w:hAnsi="Wingdings"/>
                <w:sz w:val="20"/>
              </w:rPr>
            </w:pPr>
            <w:r>
              <w:rPr>
                <w:rFonts w:ascii="Wingdings" w:hAnsi="Wingdings"/>
                <w:color w:val="00AF50"/>
                <w:spacing w:val="-10"/>
                <w:sz w:val="20"/>
              </w:rPr>
              <w:t></w:t>
            </w:r>
          </w:p>
        </w:tc>
        <w:tc>
          <w:tcPr>
            <w:tcW w:w="730" w:type="dxa"/>
            <w:tcBorders>
              <w:top w:val="single" w:sz="8" w:space="0" w:color="002D5D"/>
              <w:left w:val="nil"/>
              <w:bottom w:val="single" w:sz="8" w:space="0" w:color="002D5D"/>
              <w:right w:val="nil"/>
            </w:tcBorders>
          </w:tcPr>
          <w:p>
            <w:pPr>
              <w:pStyle w:val="TableParagraph"/>
              <w:rPr>
                <w:rFonts w:ascii="Times New Roman"/>
                <w:sz w:val="20"/>
              </w:rPr>
            </w:pPr>
          </w:p>
        </w:tc>
        <w:tc>
          <w:tcPr>
            <w:tcW w:w="910" w:type="dxa"/>
            <w:tcBorders>
              <w:top w:val="single" w:sz="8" w:space="0" w:color="002D5D"/>
              <w:left w:val="nil"/>
              <w:bottom w:val="single" w:sz="8" w:space="0" w:color="002D5D"/>
            </w:tcBorders>
          </w:tcPr>
          <w:p>
            <w:pPr>
              <w:pStyle w:val="TableParagraph"/>
              <w:spacing w:before="33"/>
              <w:ind w:left="8"/>
              <w:jc w:val="center"/>
              <w:rPr>
                <w:rFonts w:ascii="Wingdings" w:hAnsi="Wingdings"/>
                <w:sz w:val="20"/>
              </w:rPr>
            </w:pPr>
            <w:r>
              <w:rPr>
                <w:rFonts w:ascii="Wingdings" w:hAnsi="Wingdings"/>
                <w:color w:val="00AF50"/>
                <w:spacing w:val="-10"/>
                <w:sz w:val="20"/>
              </w:rPr>
              <w:t></w:t>
            </w:r>
          </w:p>
        </w:tc>
        <w:tc>
          <w:tcPr>
            <w:tcW w:w="1258" w:type="dxa"/>
            <w:tcBorders>
              <w:top w:val="single" w:sz="8" w:space="0" w:color="002D5D"/>
              <w:bottom w:val="single" w:sz="8" w:space="0" w:color="002D5D"/>
              <w:right w:val="nil"/>
            </w:tcBorders>
          </w:tcPr>
          <w:p>
            <w:pPr>
              <w:pStyle w:val="TableParagraph"/>
              <w:spacing w:before="39"/>
              <w:ind w:left="135"/>
              <w:rPr>
                <w:sz w:val="18"/>
              </w:rPr>
            </w:pPr>
            <w:r>
              <w:rPr>
                <w:spacing w:val="-2"/>
                <w:sz w:val="18"/>
              </w:rPr>
              <w:t>Indirecta/directa</w:t>
            </w:r>
          </w:p>
        </w:tc>
        <w:tc>
          <w:tcPr>
            <w:tcW w:w="4359" w:type="dxa"/>
            <w:tcBorders>
              <w:top w:val="single" w:sz="8" w:space="0" w:color="002D5D"/>
              <w:left w:val="nil"/>
              <w:bottom w:val="single" w:sz="8" w:space="0" w:color="002D5D"/>
            </w:tcBorders>
          </w:tcPr>
          <w:p>
            <w:pPr>
              <w:pStyle w:val="TableParagraph"/>
              <w:spacing w:before="39"/>
              <w:ind w:left="82"/>
              <w:rPr>
                <w:sz w:val="18"/>
              </w:rPr>
            </w:pPr>
            <w:r>
              <w:rPr>
                <w:sz w:val="18"/>
              </w:rPr>
              <w:t>Contrato</w:t>
            </w:r>
            <w:r>
              <w:rPr>
                <w:spacing w:val="-3"/>
                <w:sz w:val="18"/>
              </w:rPr>
              <w:t> </w:t>
            </w:r>
            <w:r>
              <w:rPr>
                <w:sz w:val="18"/>
              </w:rPr>
              <w:t>de concesión</w:t>
            </w:r>
            <w:r>
              <w:rPr>
                <w:spacing w:val="-2"/>
                <w:sz w:val="18"/>
              </w:rPr>
              <w:t> </w:t>
            </w:r>
            <w:r>
              <w:rPr>
                <w:sz w:val="18"/>
              </w:rPr>
              <w:t>de</w:t>
            </w:r>
            <w:r>
              <w:rPr>
                <w:spacing w:val="-2"/>
                <w:sz w:val="18"/>
              </w:rPr>
              <w:t> </w:t>
            </w:r>
            <w:r>
              <w:rPr>
                <w:sz w:val="18"/>
              </w:rPr>
              <w:t>servicios</w:t>
            </w:r>
            <w:r>
              <w:rPr>
                <w:spacing w:val="-3"/>
                <w:sz w:val="18"/>
              </w:rPr>
              <w:t> </w:t>
            </w:r>
            <w:r>
              <w:rPr>
                <w:sz w:val="18"/>
              </w:rPr>
              <w:t>/Funicular</w:t>
            </w:r>
            <w:r>
              <w:rPr>
                <w:spacing w:val="-1"/>
                <w:sz w:val="18"/>
              </w:rPr>
              <w:t> </w:t>
            </w:r>
            <w:r>
              <w:rPr>
                <w:sz w:val="18"/>
              </w:rPr>
              <w:t>de</w:t>
            </w:r>
            <w:r>
              <w:rPr>
                <w:spacing w:val="-2"/>
                <w:sz w:val="18"/>
              </w:rPr>
              <w:t> </w:t>
            </w:r>
            <w:r>
              <w:rPr>
                <w:sz w:val="18"/>
              </w:rPr>
              <w:t>Artxanda,</w:t>
            </w:r>
            <w:r>
              <w:rPr>
                <w:spacing w:val="-1"/>
                <w:sz w:val="18"/>
              </w:rPr>
              <w:t> </w:t>
            </w:r>
            <w:r>
              <w:rPr>
                <w:spacing w:val="-4"/>
                <w:sz w:val="18"/>
              </w:rPr>
              <w:t>S.A.</w:t>
            </w:r>
          </w:p>
        </w:tc>
      </w:tr>
      <w:tr>
        <w:trPr>
          <w:trHeight w:val="285" w:hRule="atLeast"/>
        </w:trPr>
        <w:tc>
          <w:tcPr>
            <w:tcW w:w="2120" w:type="dxa"/>
            <w:tcBorders>
              <w:top w:val="single" w:sz="8" w:space="0" w:color="002D5D"/>
              <w:bottom w:val="single" w:sz="8" w:space="0" w:color="002D5D"/>
            </w:tcBorders>
          </w:tcPr>
          <w:p>
            <w:pPr>
              <w:pStyle w:val="TableParagraph"/>
              <w:spacing w:before="37"/>
              <w:ind w:left="69"/>
              <w:rPr>
                <w:b/>
                <w:sz w:val="18"/>
              </w:rPr>
            </w:pPr>
            <w:r>
              <w:rPr>
                <w:b/>
                <w:spacing w:val="-2"/>
                <w:sz w:val="18"/>
              </w:rPr>
              <w:t>CÓRDOBA</w:t>
            </w:r>
          </w:p>
        </w:tc>
        <w:tc>
          <w:tcPr>
            <w:tcW w:w="2579" w:type="dxa"/>
            <w:gridSpan w:val="3"/>
            <w:tcBorders>
              <w:top w:val="single" w:sz="8" w:space="0" w:color="002D5D"/>
              <w:bottom w:val="single" w:sz="8" w:space="0" w:color="002D5D"/>
            </w:tcBorders>
          </w:tcPr>
          <w:p>
            <w:pPr>
              <w:pStyle w:val="TableParagraph"/>
              <w:spacing w:before="31"/>
              <w:ind w:left="431"/>
              <w:rPr>
                <w:rFonts w:ascii="Wingdings" w:hAnsi="Wingdings"/>
                <w:sz w:val="20"/>
              </w:rPr>
            </w:pPr>
            <w:r>
              <w:rPr>
                <w:rFonts w:ascii="Wingdings" w:hAnsi="Wingdings"/>
                <w:color w:val="00AF50"/>
                <w:spacing w:val="-10"/>
                <w:sz w:val="20"/>
              </w:rPr>
              <w:t></w:t>
            </w:r>
          </w:p>
        </w:tc>
        <w:tc>
          <w:tcPr>
            <w:tcW w:w="1258" w:type="dxa"/>
            <w:tcBorders>
              <w:top w:val="single" w:sz="8" w:space="0" w:color="002D5D"/>
              <w:bottom w:val="single" w:sz="8" w:space="0" w:color="002D5D"/>
              <w:right w:val="nil"/>
            </w:tcBorders>
          </w:tcPr>
          <w:p>
            <w:pPr>
              <w:pStyle w:val="TableParagraph"/>
              <w:spacing w:before="37"/>
              <w:ind w:left="135"/>
              <w:rPr>
                <w:sz w:val="18"/>
              </w:rPr>
            </w:pPr>
            <w:r>
              <w:rPr>
                <w:spacing w:val="-2"/>
                <w:sz w:val="18"/>
              </w:rPr>
              <w:t>Directa</w:t>
            </w:r>
          </w:p>
        </w:tc>
        <w:tc>
          <w:tcPr>
            <w:tcW w:w="4359" w:type="dxa"/>
            <w:tcBorders>
              <w:top w:val="single" w:sz="8" w:space="0" w:color="002D5D"/>
              <w:left w:val="nil"/>
              <w:bottom w:val="single" w:sz="8" w:space="0" w:color="002D5D"/>
            </w:tcBorders>
          </w:tcPr>
          <w:p>
            <w:pPr>
              <w:pStyle w:val="TableParagraph"/>
              <w:spacing w:before="37"/>
              <w:ind w:left="82"/>
              <w:rPr>
                <w:sz w:val="18"/>
              </w:rPr>
            </w:pPr>
            <w:r>
              <w:rPr>
                <w:sz w:val="18"/>
              </w:rPr>
              <w:t>Autobuses</w:t>
            </w:r>
            <w:r>
              <w:rPr>
                <w:spacing w:val="-3"/>
                <w:sz w:val="18"/>
              </w:rPr>
              <w:t> </w:t>
            </w:r>
            <w:r>
              <w:rPr>
                <w:sz w:val="18"/>
              </w:rPr>
              <w:t>Urbanos de</w:t>
            </w:r>
            <w:r>
              <w:rPr>
                <w:spacing w:val="-3"/>
                <w:sz w:val="18"/>
              </w:rPr>
              <w:t> </w:t>
            </w:r>
            <w:r>
              <w:rPr>
                <w:sz w:val="18"/>
              </w:rPr>
              <w:t>Córdoba,</w:t>
            </w:r>
            <w:r>
              <w:rPr>
                <w:spacing w:val="-2"/>
                <w:sz w:val="18"/>
              </w:rPr>
              <w:t> </w:t>
            </w:r>
            <w:r>
              <w:rPr>
                <w:sz w:val="18"/>
              </w:rPr>
              <w:t>S.A.M</w:t>
            </w:r>
            <w:r>
              <w:rPr>
                <w:spacing w:val="-2"/>
                <w:sz w:val="18"/>
              </w:rPr>
              <w:t> (AUCORSA)</w:t>
            </w:r>
          </w:p>
        </w:tc>
      </w:tr>
      <w:tr>
        <w:trPr>
          <w:trHeight w:val="411" w:hRule="atLeast"/>
        </w:trPr>
        <w:tc>
          <w:tcPr>
            <w:tcW w:w="2120" w:type="dxa"/>
            <w:tcBorders>
              <w:top w:val="single" w:sz="8" w:space="0" w:color="002D5D"/>
              <w:bottom w:val="single" w:sz="8" w:space="0" w:color="002D5D"/>
            </w:tcBorders>
          </w:tcPr>
          <w:p>
            <w:pPr>
              <w:pStyle w:val="TableParagraph"/>
              <w:spacing w:line="206" w:lineRule="exact"/>
              <w:ind w:left="69"/>
              <w:rPr>
                <w:b/>
                <w:sz w:val="18"/>
              </w:rPr>
            </w:pPr>
            <w:r>
              <w:rPr>
                <w:b/>
                <w:sz w:val="18"/>
              </w:rPr>
              <w:t>LAS</w:t>
            </w:r>
            <w:r>
              <w:rPr>
                <w:b/>
                <w:spacing w:val="-11"/>
                <w:sz w:val="18"/>
              </w:rPr>
              <w:t> </w:t>
            </w:r>
            <w:r>
              <w:rPr>
                <w:b/>
                <w:sz w:val="18"/>
              </w:rPr>
              <w:t>PALMAS</w:t>
            </w:r>
            <w:r>
              <w:rPr>
                <w:b/>
                <w:spacing w:val="-10"/>
                <w:sz w:val="18"/>
              </w:rPr>
              <w:t> </w:t>
            </w:r>
            <w:r>
              <w:rPr>
                <w:b/>
                <w:sz w:val="18"/>
              </w:rPr>
              <w:t>DE</w:t>
            </w:r>
            <w:r>
              <w:rPr>
                <w:b/>
                <w:spacing w:val="-10"/>
                <w:sz w:val="18"/>
              </w:rPr>
              <w:t> </w:t>
            </w:r>
            <w:r>
              <w:rPr>
                <w:b/>
                <w:sz w:val="18"/>
              </w:rPr>
              <w:t>GRAN </w:t>
            </w:r>
            <w:r>
              <w:rPr>
                <w:b/>
                <w:spacing w:val="-2"/>
                <w:sz w:val="18"/>
              </w:rPr>
              <w:t>CANARIA</w:t>
            </w:r>
          </w:p>
        </w:tc>
        <w:tc>
          <w:tcPr>
            <w:tcW w:w="2579" w:type="dxa"/>
            <w:gridSpan w:val="3"/>
            <w:tcBorders>
              <w:top w:val="single" w:sz="8" w:space="0" w:color="002D5D"/>
              <w:bottom w:val="single" w:sz="8" w:space="0" w:color="002D5D"/>
            </w:tcBorders>
          </w:tcPr>
          <w:p>
            <w:pPr>
              <w:pStyle w:val="TableParagraph"/>
              <w:spacing w:before="96"/>
              <w:ind w:left="431"/>
              <w:rPr>
                <w:rFonts w:ascii="Wingdings" w:hAnsi="Wingdings"/>
                <w:sz w:val="20"/>
              </w:rPr>
            </w:pPr>
            <w:r>
              <w:rPr>
                <w:rFonts w:ascii="Wingdings" w:hAnsi="Wingdings"/>
                <w:color w:val="00AF50"/>
                <w:spacing w:val="-10"/>
                <w:sz w:val="20"/>
              </w:rPr>
              <w:t></w:t>
            </w:r>
          </w:p>
        </w:tc>
        <w:tc>
          <w:tcPr>
            <w:tcW w:w="1258" w:type="dxa"/>
            <w:tcBorders>
              <w:top w:val="single" w:sz="8" w:space="0" w:color="002D5D"/>
              <w:bottom w:val="single" w:sz="8" w:space="0" w:color="002D5D"/>
              <w:right w:val="nil"/>
            </w:tcBorders>
          </w:tcPr>
          <w:p>
            <w:pPr>
              <w:pStyle w:val="TableParagraph"/>
              <w:spacing w:before="102"/>
              <w:ind w:left="135"/>
              <w:rPr>
                <w:sz w:val="18"/>
              </w:rPr>
            </w:pPr>
            <w:r>
              <w:rPr>
                <w:spacing w:val="-2"/>
                <w:sz w:val="18"/>
              </w:rPr>
              <w:t>Directa</w:t>
            </w:r>
          </w:p>
        </w:tc>
        <w:tc>
          <w:tcPr>
            <w:tcW w:w="4359" w:type="dxa"/>
            <w:tcBorders>
              <w:top w:val="single" w:sz="8" w:space="0" w:color="002D5D"/>
              <w:left w:val="nil"/>
              <w:bottom w:val="single" w:sz="8" w:space="0" w:color="002D5D"/>
            </w:tcBorders>
          </w:tcPr>
          <w:p>
            <w:pPr>
              <w:pStyle w:val="TableParagraph"/>
              <w:spacing w:before="102"/>
              <w:ind w:left="82"/>
              <w:rPr>
                <w:sz w:val="18"/>
              </w:rPr>
            </w:pPr>
            <w:r>
              <w:rPr>
                <w:sz w:val="18"/>
              </w:rPr>
              <w:t>Guaguas</w:t>
            </w:r>
            <w:r>
              <w:rPr>
                <w:spacing w:val="-4"/>
                <w:sz w:val="18"/>
              </w:rPr>
              <w:t> </w:t>
            </w:r>
            <w:r>
              <w:rPr>
                <w:sz w:val="18"/>
              </w:rPr>
              <w:t>Municipales</w:t>
            </w:r>
            <w:r>
              <w:rPr>
                <w:spacing w:val="-3"/>
                <w:sz w:val="18"/>
              </w:rPr>
              <w:t> </w:t>
            </w:r>
            <w:r>
              <w:rPr>
                <w:sz w:val="18"/>
              </w:rPr>
              <w:t>S.</w:t>
            </w:r>
            <w:r>
              <w:rPr>
                <w:spacing w:val="-3"/>
                <w:sz w:val="18"/>
              </w:rPr>
              <w:t> </w:t>
            </w:r>
            <w:r>
              <w:rPr>
                <w:spacing w:val="-10"/>
                <w:sz w:val="18"/>
              </w:rPr>
              <w:t>A</w:t>
            </w:r>
          </w:p>
        </w:tc>
      </w:tr>
      <w:tr>
        <w:trPr>
          <w:trHeight w:val="284" w:hRule="atLeast"/>
        </w:trPr>
        <w:tc>
          <w:tcPr>
            <w:tcW w:w="2120" w:type="dxa"/>
            <w:tcBorders>
              <w:top w:val="single" w:sz="8" w:space="0" w:color="002D5D"/>
              <w:bottom w:val="single" w:sz="8" w:space="0" w:color="002D5D"/>
            </w:tcBorders>
          </w:tcPr>
          <w:p>
            <w:pPr>
              <w:pStyle w:val="TableParagraph"/>
              <w:spacing w:before="39"/>
              <w:ind w:left="69"/>
              <w:rPr>
                <w:b/>
                <w:sz w:val="18"/>
              </w:rPr>
            </w:pPr>
            <w:r>
              <w:rPr>
                <w:b/>
                <w:spacing w:val="-2"/>
                <w:sz w:val="18"/>
              </w:rPr>
              <w:t>MÁLAGA</w:t>
            </w:r>
          </w:p>
        </w:tc>
        <w:tc>
          <w:tcPr>
            <w:tcW w:w="2579" w:type="dxa"/>
            <w:gridSpan w:val="3"/>
            <w:tcBorders>
              <w:top w:val="single" w:sz="8" w:space="0" w:color="002D5D"/>
              <w:bottom w:val="single" w:sz="8" w:space="0" w:color="002D5D"/>
            </w:tcBorders>
          </w:tcPr>
          <w:p>
            <w:pPr>
              <w:pStyle w:val="TableParagraph"/>
              <w:spacing w:before="33"/>
              <w:ind w:left="431"/>
              <w:rPr>
                <w:rFonts w:ascii="Wingdings" w:hAnsi="Wingdings"/>
                <w:sz w:val="20"/>
              </w:rPr>
            </w:pPr>
            <w:r>
              <w:rPr>
                <w:rFonts w:ascii="Wingdings" w:hAnsi="Wingdings"/>
                <w:color w:val="00AF50"/>
                <w:spacing w:val="-10"/>
                <w:sz w:val="20"/>
              </w:rPr>
              <w:t></w:t>
            </w:r>
          </w:p>
        </w:tc>
        <w:tc>
          <w:tcPr>
            <w:tcW w:w="1258" w:type="dxa"/>
            <w:tcBorders>
              <w:top w:val="single" w:sz="8" w:space="0" w:color="002D5D"/>
              <w:bottom w:val="single" w:sz="8" w:space="0" w:color="002D5D"/>
              <w:right w:val="nil"/>
            </w:tcBorders>
          </w:tcPr>
          <w:p>
            <w:pPr>
              <w:pStyle w:val="TableParagraph"/>
              <w:spacing w:before="39"/>
              <w:ind w:left="135"/>
              <w:rPr>
                <w:sz w:val="18"/>
              </w:rPr>
            </w:pPr>
            <w:r>
              <w:rPr>
                <w:spacing w:val="-2"/>
                <w:sz w:val="18"/>
              </w:rPr>
              <w:t>Directa</w:t>
            </w:r>
          </w:p>
        </w:tc>
        <w:tc>
          <w:tcPr>
            <w:tcW w:w="4359" w:type="dxa"/>
            <w:tcBorders>
              <w:top w:val="single" w:sz="8" w:space="0" w:color="002D5D"/>
              <w:left w:val="nil"/>
              <w:bottom w:val="single" w:sz="8" w:space="0" w:color="002D5D"/>
            </w:tcBorders>
          </w:tcPr>
          <w:p>
            <w:pPr>
              <w:pStyle w:val="TableParagraph"/>
              <w:spacing w:before="39"/>
              <w:ind w:left="82"/>
              <w:rPr>
                <w:sz w:val="18"/>
              </w:rPr>
            </w:pPr>
            <w:r>
              <w:rPr>
                <w:sz w:val="18"/>
              </w:rPr>
              <w:t>Empresa</w:t>
            </w:r>
            <w:r>
              <w:rPr>
                <w:spacing w:val="-5"/>
                <w:sz w:val="18"/>
              </w:rPr>
              <w:t> </w:t>
            </w:r>
            <w:r>
              <w:rPr>
                <w:sz w:val="18"/>
              </w:rPr>
              <w:t>Malagueña</w:t>
            </w:r>
            <w:r>
              <w:rPr>
                <w:spacing w:val="-2"/>
                <w:sz w:val="18"/>
              </w:rPr>
              <w:t> </w:t>
            </w:r>
            <w:r>
              <w:rPr>
                <w:sz w:val="18"/>
              </w:rPr>
              <w:t>de</w:t>
            </w:r>
            <w:r>
              <w:rPr>
                <w:spacing w:val="-3"/>
                <w:sz w:val="18"/>
              </w:rPr>
              <w:t> </w:t>
            </w:r>
            <w:r>
              <w:rPr>
                <w:sz w:val="18"/>
              </w:rPr>
              <w:t>Transportes,</w:t>
            </w:r>
            <w:r>
              <w:rPr>
                <w:spacing w:val="-1"/>
                <w:sz w:val="18"/>
              </w:rPr>
              <w:t> </w:t>
            </w:r>
            <w:r>
              <w:rPr>
                <w:sz w:val="18"/>
              </w:rPr>
              <w:t>S.A.M</w:t>
            </w:r>
            <w:r>
              <w:rPr>
                <w:spacing w:val="-2"/>
                <w:sz w:val="18"/>
              </w:rPr>
              <w:t> (EMTSAM)</w:t>
            </w:r>
          </w:p>
        </w:tc>
      </w:tr>
      <w:tr>
        <w:trPr>
          <w:trHeight w:val="284" w:hRule="atLeast"/>
        </w:trPr>
        <w:tc>
          <w:tcPr>
            <w:tcW w:w="2120" w:type="dxa"/>
            <w:tcBorders>
              <w:top w:val="single" w:sz="8" w:space="0" w:color="002D5D"/>
              <w:bottom w:val="single" w:sz="8" w:space="0" w:color="002D5D"/>
            </w:tcBorders>
          </w:tcPr>
          <w:p>
            <w:pPr>
              <w:pStyle w:val="TableParagraph"/>
              <w:spacing w:before="39"/>
              <w:ind w:left="69"/>
              <w:rPr>
                <w:b/>
                <w:sz w:val="18"/>
              </w:rPr>
            </w:pPr>
            <w:r>
              <w:rPr>
                <w:b/>
                <w:spacing w:val="-2"/>
                <w:sz w:val="18"/>
              </w:rPr>
              <w:t>MURCIA</w:t>
            </w:r>
          </w:p>
        </w:tc>
        <w:tc>
          <w:tcPr>
            <w:tcW w:w="939" w:type="dxa"/>
            <w:tcBorders>
              <w:top w:val="single" w:sz="8" w:space="0" w:color="002D5D"/>
              <w:bottom w:val="single" w:sz="8" w:space="0" w:color="002D5D"/>
              <w:right w:val="nil"/>
            </w:tcBorders>
          </w:tcPr>
          <w:p>
            <w:pPr>
              <w:pStyle w:val="TableParagraph"/>
              <w:spacing w:before="33"/>
              <w:ind w:right="333"/>
              <w:jc w:val="right"/>
              <w:rPr>
                <w:rFonts w:ascii="Wingdings" w:hAnsi="Wingdings"/>
                <w:sz w:val="20"/>
              </w:rPr>
            </w:pPr>
            <w:r>
              <w:rPr>
                <w:rFonts w:ascii="Wingdings" w:hAnsi="Wingdings"/>
                <w:color w:val="00AF50"/>
                <w:spacing w:val="-10"/>
                <w:sz w:val="20"/>
              </w:rPr>
              <w:t></w:t>
            </w:r>
          </w:p>
        </w:tc>
        <w:tc>
          <w:tcPr>
            <w:tcW w:w="730" w:type="dxa"/>
            <w:tcBorders>
              <w:top w:val="single" w:sz="8" w:space="0" w:color="002D5D"/>
              <w:left w:val="nil"/>
              <w:bottom w:val="single" w:sz="8" w:space="0" w:color="002D5D"/>
              <w:right w:val="nil"/>
            </w:tcBorders>
          </w:tcPr>
          <w:p>
            <w:pPr>
              <w:pStyle w:val="TableParagraph"/>
              <w:spacing w:before="33"/>
              <w:ind w:left="90" w:right="2"/>
              <w:jc w:val="center"/>
              <w:rPr>
                <w:rFonts w:ascii="Wingdings" w:hAnsi="Wingdings"/>
                <w:sz w:val="20"/>
              </w:rPr>
            </w:pPr>
            <w:r>
              <w:rPr>
                <w:rFonts w:ascii="Wingdings" w:hAnsi="Wingdings"/>
                <w:color w:val="00AF50"/>
                <w:spacing w:val="-10"/>
                <w:sz w:val="20"/>
              </w:rPr>
              <w:t></w:t>
            </w:r>
          </w:p>
        </w:tc>
        <w:tc>
          <w:tcPr>
            <w:tcW w:w="910" w:type="dxa"/>
            <w:tcBorders>
              <w:top w:val="single" w:sz="8" w:space="0" w:color="002D5D"/>
              <w:left w:val="nil"/>
              <w:bottom w:val="single" w:sz="8" w:space="0" w:color="002D5D"/>
            </w:tcBorders>
          </w:tcPr>
          <w:p>
            <w:pPr>
              <w:pStyle w:val="TableParagraph"/>
              <w:rPr>
                <w:rFonts w:ascii="Times New Roman"/>
                <w:sz w:val="20"/>
              </w:rPr>
            </w:pPr>
          </w:p>
        </w:tc>
        <w:tc>
          <w:tcPr>
            <w:tcW w:w="1258" w:type="dxa"/>
            <w:tcBorders>
              <w:top w:val="single" w:sz="8" w:space="0" w:color="002D5D"/>
              <w:bottom w:val="single" w:sz="8" w:space="0" w:color="002D5D"/>
              <w:right w:val="nil"/>
            </w:tcBorders>
          </w:tcPr>
          <w:p>
            <w:pPr>
              <w:pStyle w:val="TableParagraph"/>
              <w:spacing w:before="39"/>
              <w:ind w:left="135"/>
              <w:rPr>
                <w:sz w:val="18"/>
              </w:rPr>
            </w:pPr>
            <w:r>
              <w:rPr>
                <w:spacing w:val="-2"/>
                <w:sz w:val="18"/>
              </w:rPr>
              <w:t>Indirecta</w:t>
            </w:r>
          </w:p>
        </w:tc>
        <w:tc>
          <w:tcPr>
            <w:tcW w:w="4359" w:type="dxa"/>
            <w:tcBorders>
              <w:top w:val="single" w:sz="8" w:space="0" w:color="002D5D"/>
              <w:left w:val="nil"/>
              <w:bottom w:val="single" w:sz="8" w:space="0" w:color="002D5D"/>
            </w:tcBorders>
          </w:tcPr>
          <w:p>
            <w:pPr>
              <w:pStyle w:val="TableParagraph"/>
              <w:spacing w:before="39"/>
              <w:ind w:left="82"/>
              <w:rPr>
                <w:sz w:val="18"/>
              </w:rPr>
            </w:pPr>
            <w:r>
              <w:rPr>
                <w:sz w:val="18"/>
              </w:rPr>
              <w:t>Contrato</w:t>
            </w:r>
            <w:r>
              <w:rPr>
                <w:spacing w:val="-5"/>
                <w:sz w:val="18"/>
              </w:rPr>
              <w:t> </w:t>
            </w:r>
            <w:r>
              <w:rPr>
                <w:sz w:val="18"/>
              </w:rPr>
              <w:t>de</w:t>
            </w:r>
            <w:r>
              <w:rPr>
                <w:spacing w:val="-1"/>
                <w:sz w:val="18"/>
              </w:rPr>
              <w:t> </w:t>
            </w:r>
            <w:r>
              <w:rPr>
                <w:sz w:val="18"/>
              </w:rPr>
              <w:t>concesión</w:t>
            </w:r>
            <w:r>
              <w:rPr>
                <w:spacing w:val="-3"/>
                <w:sz w:val="18"/>
              </w:rPr>
              <w:t> </w:t>
            </w:r>
            <w:r>
              <w:rPr>
                <w:sz w:val="18"/>
              </w:rPr>
              <w:t>de</w:t>
            </w:r>
            <w:r>
              <w:rPr>
                <w:spacing w:val="-2"/>
                <w:sz w:val="18"/>
              </w:rPr>
              <w:t> servicios</w:t>
            </w:r>
          </w:p>
        </w:tc>
      </w:tr>
      <w:tr>
        <w:trPr>
          <w:trHeight w:val="414" w:hRule="atLeast"/>
        </w:trPr>
        <w:tc>
          <w:tcPr>
            <w:tcW w:w="2120" w:type="dxa"/>
            <w:tcBorders>
              <w:top w:val="single" w:sz="8" w:space="0" w:color="002D5D"/>
              <w:bottom w:val="single" w:sz="8" w:space="0" w:color="002D5D"/>
            </w:tcBorders>
          </w:tcPr>
          <w:p>
            <w:pPr>
              <w:pStyle w:val="TableParagraph"/>
              <w:spacing w:before="104"/>
              <w:ind w:left="69"/>
              <w:rPr>
                <w:b/>
                <w:sz w:val="18"/>
              </w:rPr>
            </w:pPr>
            <w:r>
              <w:rPr>
                <w:b/>
                <w:spacing w:val="-2"/>
                <w:sz w:val="18"/>
              </w:rPr>
              <w:t>PALMA</w:t>
            </w:r>
          </w:p>
        </w:tc>
        <w:tc>
          <w:tcPr>
            <w:tcW w:w="2579" w:type="dxa"/>
            <w:gridSpan w:val="3"/>
            <w:tcBorders>
              <w:top w:val="single" w:sz="8" w:space="0" w:color="002D5D"/>
              <w:bottom w:val="single" w:sz="8" w:space="0" w:color="002D5D"/>
            </w:tcBorders>
          </w:tcPr>
          <w:p>
            <w:pPr>
              <w:pStyle w:val="TableParagraph"/>
              <w:spacing w:before="96"/>
              <w:ind w:left="431"/>
              <w:rPr>
                <w:rFonts w:ascii="Wingdings" w:hAnsi="Wingdings"/>
                <w:sz w:val="20"/>
              </w:rPr>
            </w:pPr>
            <w:r>
              <w:rPr>
                <w:rFonts w:ascii="Wingdings" w:hAnsi="Wingdings"/>
                <w:color w:val="00AF50"/>
                <w:spacing w:val="-10"/>
                <w:sz w:val="20"/>
              </w:rPr>
              <w:t></w:t>
            </w:r>
          </w:p>
        </w:tc>
        <w:tc>
          <w:tcPr>
            <w:tcW w:w="1258" w:type="dxa"/>
            <w:tcBorders>
              <w:top w:val="single" w:sz="8" w:space="0" w:color="002D5D"/>
              <w:bottom w:val="single" w:sz="8" w:space="0" w:color="002D5D"/>
              <w:right w:val="nil"/>
            </w:tcBorders>
          </w:tcPr>
          <w:p>
            <w:pPr>
              <w:pStyle w:val="TableParagraph"/>
              <w:spacing w:before="104"/>
              <w:ind w:left="135"/>
              <w:rPr>
                <w:sz w:val="18"/>
              </w:rPr>
            </w:pPr>
            <w:r>
              <w:rPr>
                <w:spacing w:val="-2"/>
                <w:sz w:val="18"/>
              </w:rPr>
              <w:t>Directa</w:t>
            </w:r>
          </w:p>
        </w:tc>
        <w:tc>
          <w:tcPr>
            <w:tcW w:w="4359" w:type="dxa"/>
            <w:tcBorders>
              <w:top w:val="single" w:sz="8" w:space="0" w:color="002D5D"/>
              <w:left w:val="nil"/>
              <w:bottom w:val="single" w:sz="8" w:space="0" w:color="002D5D"/>
            </w:tcBorders>
          </w:tcPr>
          <w:p>
            <w:pPr>
              <w:pStyle w:val="TableParagraph"/>
              <w:spacing w:line="200" w:lineRule="atLeast"/>
              <w:ind w:left="82"/>
              <w:rPr>
                <w:sz w:val="18"/>
              </w:rPr>
            </w:pPr>
            <w:r>
              <w:rPr>
                <w:sz w:val="18"/>
              </w:rPr>
              <w:t>Empresa</w:t>
            </w:r>
            <w:r>
              <w:rPr>
                <w:spacing w:val="-5"/>
                <w:sz w:val="18"/>
              </w:rPr>
              <w:t> </w:t>
            </w:r>
            <w:r>
              <w:rPr>
                <w:sz w:val="18"/>
              </w:rPr>
              <w:t>Municipal</w:t>
            </w:r>
            <w:r>
              <w:rPr>
                <w:spacing w:val="-4"/>
                <w:sz w:val="18"/>
              </w:rPr>
              <w:t> </w:t>
            </w:r>
            <w:r>
              <w:rPr>
                <w:sz w:val="18"/>
              </w:rPr>
              <w:t>de</w:t>
            </w:r>
            <w:r>
              <w:rPr>
                <w:spacing w:val="-5"/>
                <w:sz w:val="18"/>
              </w:rPr>
              <w:t> </w:t>
            </w:r>
            <w:r>
              <w:rPr>
                <w:sz w:val="18"/>
              </w:rPr>
              <w:t>Transports</w:t>
            </w:r>
            <w:r>
              <w:rPr>
                <w:spacing w:val="-5"/>
                <w:sz w:val="18"/>
              </w:rPr>
              <w:t> </w:t>
            </w:r>
            <w:r>
              <w:rPr>
                <w:sz w:val="18"/>
              </w:rPr>
              <w:t>Urbans</w:t>
            </w:r>
            <w:r>
              <w:rPr>
                <w:spacing w:val="-5"/>
                <w:sz w:val="18"/>
              </w:rPr>
              <w:t> </w:t>
            </w:r>
            <w:r>
              <w:rPr>
                <w:sz w:val="18"/>
              </w:rPr>
              <w:t>de</w:t>
            </w:r>
            <w:r>
              <w:rPr>
                <w:spacing w:val="-5"/>
                <w:sz w:val="18"/>
              </w:rPr>
              <w:t> </w:t>
            </w:r>
            <w:r>
              <w:rPr>
                <w:sz w:val="18"/>
              </w:rPr>
              <w:t>Palma</w:t>
            </w:r>
            <w:r>
              <w:rPr>
                <w:spacing w:val="-5"/>
                <w:sz w:val="18"/>
              </w:rPr>
              <w:t> </w:t>
            </w:r>
            <w:r>
              <w:rPr>
                <w:sz w:val="18"/>
              </w:rPr>
              <w:t>S.A</w:t>
            </w:r>
            <w:r>
              <w:rPr>
                <w:spacing w:val="-5"/>
                <w:sz w:val="18"/>
              </w:rPr>
              <w:t> </w:t>
            </w:r>
            <w:r>
              <w:rPr>
                <w:sz w:val="18"/>
              </w:rPr>
              <w:t>(EMT </w:t>
            </w:r>
            <w:r>
              <w:rPr>
                <w:spacing w:val="-2"/>
                <w:sz w:val="18"/>
              </w:rPr>
              <w:t>Palma)</w:t>
            </w:r>
          </w:p>
        </w:tc>
      </w:tr>
      <w:tr>
        <w:trPr>
          <w:trHeight w:val="284" w:hRule="atLeast"/>
        </w:trPr>
        <w:tc>
          <w:tcPr>
            <w:tcW w:w="2120" w:type="dxa"/>
            <w:tcBorders>
              <w:top w:val="single" w:sz="8" w:space="0" w:color="002D5D"/>
              <w:bottom w:val="single" w:sz="8" w:space="0" w:color="002D5D"/>
            </w:tcBorders>
          </w:tcPr>
          <w:p>
            <w:pPr>
              <w:pStyle w:val="TableParagraph"/>
              <w:spacing w:before="37"/>
              <w:ind w:left="69"/>
              <w:rPr>
                <w:b/>
                <w:sz w:val="18"/>
              </w:rPr>
            </w:pPr>
            <w:r>
              <w:rPr>
                <w:b/>
                <w:spacing w:val="-2"/>
                <w:sz w:val="18"/>
              </w:rPr>
              <w:t>SEVILLA</w:t>
            </w:r>
          </w:p>
        </w:tc>
        <w:tc>
          <w:tcPr>
            <w:tcW w:w="939" w:type="dxa"/>
            <w:tcBorders>
              <w:top w:val="single" w:sz="8" w:space="0" w:color="002D5D"/>
              <w:bottom w:val="single" w:sz="8" w:space="0" w:color="002D5D"/>
              <w:right w:val="nil"/>
            </w:tcBorders>
          </w:tcPr>
          <w:p>
            <w:pPr>
              <w:pStyle w:val="TableParagraph"/>
              <w:spacing w:before="31"/>
              <w:ind w:right="333"/>
              <w:jc w:val="right"/>
              <w:rPr>
                <w:rFonts w:ascii="Wingdings" w:hAnsi="Wingdings"/>
                <w:sz w:val="20"/>
              </w:rPr>
            </w:pPr>
            <w:r>
              <w:rPr>
                <w:rFonts w:ascii="Wingdings" w:hAnsi="Wingdings"/>
                <w:color w:val="00AF50"/>
                <w:spacing w:val="-10"/>
                <w:sz w:val="20"/>
              </w:rPr>
              <w:t></w:t>
            </w:r>
          </w:p>
        </w:tc>
        <w:tc>
          <w:tcPr>
            <w:tcW w:w="730" w:type="dxa"/>
            <w:tcBorders>
              <w:top w:val="single" w:sz="8" w:space="0" w:color="002D5D"/>
              <w:left w:val="nil"/>
              <w:bottom w:val="single" w:sz="8" w:space="0" w:color="002D5D"/>
              <w:right w:val="nil"/>
            </w:tcBorders>
          </w:tcPr>
          <w:p>
            <w:pPr>
              <w:pStyle w:val="TableParagraph"/>
              <w:spacing w:before="31"/>
              <w:ind w:left="90" w:right="2"/>
              <w:jc w:val="center"/>
              <w:rPr>
                <w:rFonts w:ascii="Wingdings" w:hAnsi="Wingdings"/>
                <w:sz w:val="20"/>
              </w:rPr>
            </w:pPr>
            <w:r>
              <w:rPr>
                <w:rFonts w:ascii="Wingdings" w:hAnsi="Wingdings"/>
                <w:color w:val="00AF50"/>
                <w:spacing w:val="-10"/>
                <w:sz w:val="20"/>
              </w:rPr>
              <w:t></w:t>
            </w:r>
          </w:p>
        </w:tc>
        <w:tc>
          <w:tcPr>
            <w:tcW w:w="910" w:type="dxa"/>
            <w:tcBorders>
              <w:top w:val="single" w:sz="8" w:space="0" w:color="002D5D"/>
              <w:left w:val="nil"/>
              <w:bottom w:val="single" w:sz="8" w:space="0" w:color="002D5D"/>
            </w:tcBorders>
          </w:tcPr>
          <w:p>
            <w:pPr>
              <w:pStyle w:val="TableParagraph"/>
              <w:rPr>
                <w:rFonts w:ascii="Times New Roman"/>
                <w:sz w:val="20"/>
              </w:rPr>
            </w:pPr>
          </w:p>
        </w:tc>
        <w:tc>
          <w:tcPr>
            <w:tcW w:w="1258" w:type="dxa"/>
            <w:tcBorders>
              <w:top w:val="single" w:sz="8" w:space="0" w:color="002D5D"/>
              <w:bottom w:val="single" w:sz="8" w:space="0" w:color="002D5D"/>
              <w:right w:val="nil"/>
            </w:tcBorders>
          </w:tcPr>
          <w:p>
            <w:pPr>
              <w:pStyle w:val="TableParagraph"/>
              <w:spacing w:before="37"/>
              <w:ind w:left="135"/>
              <w:rPr>
                <w:sz w:val="18"/>
              </w:rPr>
            </w:pPr>
            <w:r>
              <w:rPr>
                <w:spacing w:val="-2"/>
                <w:sz w:val="18"/>
              </w:rPr>
              <w:t>Directa</w:t>
            </w:r>
          </w:p>
        </w:tc>
        <w:tc>
          <w:tcPr>
            <w:tcW w:w="4359" w:type="dxa"/>
            <w:tcBorders>
              <w:top w:val="single" w:sz="8" w:space="0" w:color="002D5D"/>
              <w:left w:val="nil"/>
              <w:bottom w:val="single" w:sz="8" w:space="0" w:color="002D5D"/>
            </w:tcBorders>
          </w:tcPr>
          <w:p>
            <w:pPr>
              <w:pStyle w:val="TableParagraph"/>
              <w:spacing w:before="37"/>
              <w:ind w:left="82"/>
              <w:rPr>
                <w:sz w:val="18"/>
              </w:rPr>
            </w:pPr>
            <w:r>
              <w:rPr>
                <w:sz w:val="18"/>
              </w:rPr>
              <w:t>Transportes</w:t>
            </w:r>
            <w:r>
              <w:rPr>
                <w:spacing w:val="-2"/>
                <w:sz w:val="18"/>
              </w:rPr>
              <w:t> </w:t>
            </w:r>
            <w:r>
              <w:rPr>
                <w:sz w:val="18"/>
              </w:rPr>
              <w:t>urbanos</w:t>
            </w:r>
            <w:r>
              <w:rPr>
                <w:spacing w:val="-2"/>
                <w:sz w:val="18"/>
              </w:rPr>
              <w:t> </w:t>
            </w:r>
            <w:r>
              <w:rPr>
                <w:sz w:val="18"/>
              </w:rPr>
              <w:t>de</w:t>
            </w:r>
            <w:r>
              <w:rPr>
                <w:spacing w:val="-2"/>
                <w:sz w:val="18"/>
              </w:rPr>
              <w:t> </w:t>
            </w:r>
            <w:r>
              <w:rPr>
                <w:sz w:val="18"/>
              </w:rPr>
              <w:t>Sevilla,</w:t>
            </w:r>
            <w:r>
              <w:rPr>
                <w:spacing w:val="-3"/>
                <w:sz w:val="18"/>
              </w:rPr>
              <w:t> </w:t>
            </w:r>
            <w:r>
              <w:rPr>
                <w:sz w:val="18"/>
              </w:rPr>
              <w:t>S.A.M</w:t>
            </w:r>
            <w:r>
              <w:rPr>
                <w:spacing w:val="-2"/>
                <w:sz w:val="18"/>
              </w:rPr>
              <w:t> (TUSSAM)</w:t>
            </w:r>
          </w:p>
        </w:tc>
      </w:tr>
      <w:tr>
        <w:trPr>
          <w:trHeight w:val="284" w:hRule="atLeast"/>
        </w:trPr>
        <w:tc>
          <w:tcPr>
            <w:tcW w:w="2120" w:type="dxa"/>
            <w:tcBorders>
              <w:top w:val="single" w:sz="8" w:space="0" w:color="002D5D"/>
            </w:tcBorders>
          </w:tcPr>
          <w:p>
            <w:pPr>
              <w:pStyle w:val="TableParagraph"/>
              <w:spacing w:before="37"/>
              <w:ind w:left="69"/>
              <w:rPr>
                <w:b/>
                <w:sz w:val="18"/>
              </w:rPr>
            </w:pPr>
            <w:r>
              <w:rPr>
                <w:b/>
                <w:spacing w:val="-2"/>
                <w:sz w:val="18"/>
              </w:rPr>
              <w:t>ZARAGOZA</w:t>
            </w:r>
          </w:p>
        </w:tc>
        <w:tc>
          <w:tcPr>
            <w:tcW w:w="939" w:type="dxa"/>
            <w:tcBorders>
              <w:top w:val="single" w:sz="8" w:space="0" w:color="002D5D"/>
              <w:right w:val="nil"/>
            </w:tcBorders>
          </w:tcPr>
          <w:p>
            <w:pPr>
              <w:pStyle w:val="TableParagraph"/>
              <w:spacing w:before="31"/>
              <w:ind w:right="333"/>
              <w:jc w:val="right"/>
              <w:rPr>
                <w:rFonts w:ascii="Wingdings" w:hAnsi="Wingdings"/>
                <w:sz w:val="20"/>
              </w:rPr>
            </w:pPr>
            <w:r>
              <w:rPr>
                <w:rFonts w:ascii="Wingdings" w:hAnsi="Wingdings"/>
                <w:color w:val="00AF50"/>
                <w:spacing w:val="-10"/>
                <w:sz w:val="20"/>
              </w:rPr>
              <w:t></w:t>
            </w:r>
          </w:p>
        </w:tc>
        <w:tc>
          <w:tcPr>
            <w:tcW w:w="730" w:type="dxa"/>
            <w:tcBorders>
              <w:top w:val="single" w:sz="8" w:space="0" w:color="002D5D"/>
              <w:left w:val="nil"/>
              <w:right w:val="nil"/>
            </w:tcBorders>
          </w:tcPr>
          <w:p>
            <w:pPr>
              <w:pStyle w:val="TableParagraph"/>
              <w:spacing w:before="31"/>
              <w:ind w:left="90" w:right="2"/>
              <w:jc w:val="center"/>
              <w:rPr>
                <w:rFonts w:ascii="Wingdings" w:hAnsi="Wingdings"/>
                <w:sz w:val="20"/>
              </w:rPr>
            </w:pPr>
            <w:r>
              <w:rPr>
                <w:rFonts w:ascii="Wingdings" w:hAnsi="Wingdings"/>
                <w:color w:val="00AF50"/>
                <w:spacing w:val="-10"/>
                <w:sz w:val="20"/>
              </w:rPr>
              <w:t></w:t>
            </w:r>
          </w:p>
        </w:tc>
        <w:tc>
          <w:tcPr>
            <w:tcW w:w="910" w:type="dxa"/>
            <w:tcBorders>
              <w:top w:val="single" w:sz="8" w:space="0" w:color="002D5D"/>
              <w:left w:val="nil"/>
            </w:tcBorders>
          </w:tcPr>
          <w:p>
            <w:pPr>
              <w:pStyle w:val="TableParagraph"/>
              <w:rPr>
                <w:rFonts w:ascii="Times New Roman"/>
                <w:sz w:val="20"/>
              </w:rPr>
            </w:pPr>
          </w:p>
        </w:tc>
        <w:tc>
          <w:tcPr>
            <w:tcW w:w="1258" w:type="dxa"/>
            <w:tcBorders>
              <w:top w:val="single" w:sz="8" w:space="0" w:color="002D5D"/>
              <w:right w:val="nil"/>
            </w:tcBorders>
          </w:tcPr>
          <w:p>
            <w:pPr>
              <w:pStyle w:val="TableParagraph"/>
              <w:spacing w:before="37"/>
              <w:ind w:left="135"/>
              <w:rPr>
                <w:sz w:val="18"/>
              </w:rPr>
            </w:pPr>
            <w:r>
              <w:rPr>
                <w:spacing w:val="-2"/>
                <w:sz w:val="18"/>
              </w:rPr>
              <w:t>Indirecta</w:t>
            </w:r>
          </w:p>
        </w:tc>
        <w:tc>
          <w:tcPr>
            <w:tcW w:w="4359" w:type="dxa"/>
            <w:tcBorders>
              <w:top w:val="single" w:sz="8" w:space="0" w:color="002D5D"/>
              <w:left w:val="nil"/>
            </w:tcBorders>
          </w:tcPr>
          <w:p>
            <w:pPr>
              <w:pStyle w:val="TableParagraph"/>
              <w:spacing w:before="37"/>
              <w:ind w:left="82"/>
              <w:rPr>
                <w:sz w:val="18"/>
              </w:rPr>
            </w:pPr>
            <w:r>
              <w:rPr>
                <w:sz w:val="18"/>
              </w:rPr>
              <w:t>Contratos</w:t>
            </w:r>
            <w:r>
              <w:rPr>
                <w:spacing w:val="-2"/>
                <w:sz w:val="18"/>
              </w:rPr>
              <w:t> </w:t>
            </w:r>
            <w:r>
              <w:rPr>
                <w:sz w:val="18"/>
              </w:rPr>
              <w:t>de</w:t>
            </w:r>
            <w:r>
              <w:rPr>
                <w:spacing w:val="-2"/>
                <w:sz w:val="18"/>
              </w:rPr>
              <w:t> </w:t>
            </w:r>
            <w:r>
              <w:rPr>
                <w:sz w:val="18"/>
              </w:rPr>
              <w:t>concesión de</w:t>
            </w:r>
            <w:r>
              <w:rPr>
                <w:spacing w:val="-2"/>
                <w:sz w:val="18"/>
              </w:rPr>
              <w:t> </w:t>
            </w:r>
            <w:r>
              <w:rPr>
                <w:sz w:val="18"/>
              </w:rPr>
              <w:t>servicio</w:t>
            </w:r>
            <w:r>
              <w:rPr>
                <w:spacing w:val="-2"/>
                <w:sz w:val="18"/>
              </w:rPr>
              <w:t> </w:t>
            </w:r>
            <w:r>
              <w:rPr>
                <w:sz w:val="18"/>
              </w:rPr>
              <w:t>de</w:t>
            </w:r>
            <w:r>
              <w:rPr>
                <w:spacing w:val="-2"/>
                <w:sz w:val="18"/>
              </w:rPr>
              <w:t> </w:t>
            </w:r>
            <w:r>
              <w:rPr>
                <w:sz w:val="18"/>
              </w:rPr>
              <w:t>autobús</w:t>
            </w:r>
            <w:r>
              <w:rPr>
                <w:spacing w:val="1"/>
                <w:sz w:val="18"/>
              </w:rPr>
              <w:t> </w:t>
            </w:r>
            <w:r>
              <w:rPr>
                <w:sz w:val="18"/>
              </w:rPr>
              <w:t>y</w:t>
            </w:r>
            <w:r>
              <w:rPr>
                <w:spacing w:val="-1"/>
                <w:sz w:val="18"/>
              </w:rPr>
              <w:t> </w:t>
            </w:r>
            <w:r>
              <w:rPr>
                <w:sz w:val="18"/>
              </w:rPr>
              <w:t>de</w:t>
            </w:r>
            <w:r>
              <w:rPr>
                <w:spacing w:val="-2"/>
                <w:sz w:val="18"/>
              </w:rPr>
              <w:t> tranvía</w:t>
            </w:r>
          </w:p>
        </w:tc>
      </w:tr>
    </w:tbl>
    <w:p>
      <w:pPr>
        <w:spacing w:before="79"/>
        <w:ind w:left="651"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2"/>
          <w:sz w:val="18"/>
        </w:rPr>
        <w:t> </w:t>
      </w:r>
      <w:r>
        <w:rPr>
          <w:rFonts w:ascii="Arial Narrow" w:hAnsi="Arial Narrow"/>
          <w:sz w:val="18"/>
        </w:rPr>
        <w:t>propia</w:t>
      </w:r>
      <w:r>
        <w:rPr>
          <w:rFonts w:ascii="Arial Narrow" w:hAnsi="Arial Narrow"/>
          <w:spacing w:val="-2"/>
          <w:sz w:val="18"/>
        </w:rPr>
        <w:t> </w:t>
      </w:r>
      <w:r>
        <w:rPr>
          <w:rFonts w:ascii="Arial Narrow" w:hAnsi="Arial Narrow"/>
          <w:sz w:val="18"/>
        </w:rPr>
        <w:t>a</w:t>
      </w:r>
      <w:r>
        <w:rPr>
          <w:rFonts w:ascii="Arial Narrow" w:hAnsi="Arial Narrow"/>
          <w:spacing w:val="-2"/>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2"/>
          <w:sz w:val="18"/>
        </w:rPr>
        <w:t> </w:t>
      </w:r>
      <w:r>
        <w:rPr>
          <w:rFonts w:ascii="Arial Narrow" w:hAnsi="Arial Narrow"/>
          <w:sz w:val="18"/>
        </w:rPr>
        <w:t>la</w:t>
      </w:r>
      <w:r>
        <w:rPr>
          <w:rFonts w:ascii="Arial Narrow" w:hAnsi="Arial Narrow"/>
          <w:spacing w:val="-2"/>
          <w:sz w:val="18"/>
        </w:rPr>
        <w:t> </w:t>
      </w:r>
      <w:r>
        <w:rPr>
          <w:rFonts w:ascii="Arial Narrow" w:hAnsi="Arial Narrow"/>
          <w:sz w:val="18"/>
        </w:rPr>
        <w:t>información</w:t>
      </w:r>
      <w:r>
        <w:rPr>
          <w:rFonts w:ascii="Arial Narrow" w:hAnsi="Arial Narrow"/>
          <w:spacing w:val="-3"/>
          <w:sz w:val="18"/>
        </w:rPr>
        <w:t> </w:t>
      </w:r>
      <w:r>
        <w:rPr>
          <w:rFonts w:ascii="Arial Narrow" w:hAnsi="Arial Narrow"/>
          <w:sz w:val="18"/>
        </w:rPr>
        <w:t>publicada</w:t>
      </w:r>
      <w:r>
        <w:rPr>
          <w:rFonts w:ascii="Arial Narrow" w:hAnsi="Arial Narrow"/>
          <w:spacing w:val="-2"/>
          <w:sz w:val="18"/>
        </w:rPr>
        <w:t> </w:t>
      </w:r>
      <w:r>
        <w:rPr>
          <w:rFonts w:ascii="Arial Narrow" w:hAnsi="Arial Narrow"/>
          <w:sz w:val="18"/>
        </w:rPr>
        <w:t>en</w:t>
      </w:r>
      <w:r>
        <w:rPr>
          <w:rFonts w:ascii="Arial Narrow" w:hAnsi="Arial Narrow"/>
          <w:spacing w:val="-3"/>
          <w:sz w:val="18"/>
        </w:rPr>
        <w:t> </w:t>
      </w:r>
      <w:r>
        <w:rPr>
          <w:rFonts w:ascii="Arial Narrow" w:hAnsi="Arial Narrow"/>
          <w:sz w:val="18"/>
        </w:rPr>
        <w:t>los</w:t>
      </w:r>
      <w:r>
        <w:rPr>
          <w:rFonts w:ascii="Arial Narrow" w:hAnsi="Arial Narrow"/>
          <w:spacing w:val="-2"/>
          <w:sz w:val="18"/>
        </w:rPr>
        <w:t> </w:t>
      </w:r>
      <w:r>
        <w:rPr>
          <w:rFonts w:ascii="Arial Narrow" w:hAnsi="Arial Narrow"/>
          <w:sz w:val="18"/>
        </w:rPr>
        <w:t>portales</w:t>
      </w:r>
      <w:r>
        <w:rPr>
          <w:rFonts w:ascii="Arial Narrow" w:hAnsi="Arial Narrow"/>
          <w:spacing w:val="-2"/>
          <w:sz w:val="18"/>
        </w:rPr>
        <w:t> </w:t>
      </w:r>
      <w:r>
        <w:rPr>
          <w:rFonts w:ascii="Arial Narrow" w:hAnsi="Arial Narrow"/>
          <w:sz w:val="18"/>
        </w:rPr>
        <w:t>de</w:t>
      </w:r>
      <w:r>
        <w:rPr>
          <w:rFonts w:ascii="Arial Narrow" w:hAnsi="Arial Narrow"/>
          <w:spacing w:val="-3"/>
          <w:sz w:val="18"/>
        </w:rPr>
        <w:t> </w:t>
      </w:r>
      <w:r>
        <w:rPr>
          <w:rFonts w:ascii="Arial Narrow" w:hAnsi="Arial Narrow"/>
          <w:sz w:val="18"/>
        </w:rPr>
        <w:t>transparencia</w:t>
      </w:r>
      <w:r>
        <w:rPr>
          <w:rFonts w:ascii="Arial Narrow" w:hAnsi="Arial Narrow"/>
          <w:spacing w:val="-2"/>
          <w:sz w:val="18"/>
        </w:rPr>
        <w:t> </w:t>
      </w:r>
      <w:r>
        <w:rPr>
          <w:rFonts w:ascii="Arial Narrow" w:hAnsi="Arial Narrow"/>
          <w:sz w:val="18"/>
        </w:rPr>
        <w:t>de</w:t>
      </w:r>
      <w:r>
        <w:rPr>
          <w:rFonts w:ascii="Arial Narrow" w:hAnsi="Arial Narrow"/>
          <w:spacing w:val="-3"/>
          <w:sz w:val="18"/>
        </w:rPr>
        <w:t> </w:t>
      </w:r>
      <w:r>
        <w:rPr>
          <w:rFonts w:ascii="Arial Narrow" w:hAnsi="Arial Narrow"/>
          <w:sz w:val="18"/>
        </w:rPr>
        <w:t>las</w:t>
      </w:r>
      <w:r>
        <w:rPr>
          <w:rFonts w:ascii="Arial Narrow" w:hAnsi="Arial Narrow"/>
          <w:spacing w:val="-2"/>
          <w:sz w:val="18"/>
        </w:rPr>
        <w:t> </w:t>
      </w:r>
      <w:r>
        <w:rPr>
          <w:rFonts w:ascii="Arial Narrow" w:hAnsi="Arial Narrow"/>
          <w:sz w:val="18"/>
        </w:rPr>
        <w:t>entidades</w:t>
      </w:r>
      <w:r>
        <w:rPr>
          <w:rFonts w:ascii="Arial Narrow" w:hAnsi="Arial Narrow"/>
          <w:spacing w:val="-1"/>
          <w:sz w:val="18"/>
        </w:rPr>
        <w:t> </w:t>
      </w:r>
      <w:r>
        <w:rPr>
          <w:rFonts w:ascii="Arial Narrow" w:hAnsi="Arial Narrow"/>
          <w:spacing w:val="-2"/>
          <w:sz w:val="18"/>
        </w:rPr>
        <w:t>fiscalizadas.</w:t>
      </w:r>
    </w:p>
    <w:p>
      <w:pPr>
        <w:pStyle w:val="BodyText"/>
        <w:spacing w:before="34"/>
        <w:rPr>
          <w:rFonts w:ascii="Arial Narrow"/>
          <w:sz w:val="18"/>
        </w:rPr>
      </w:pPr>
    </w:p>
    <w:p>
      <w:pPr>
        <w:pStyle w:val="BodyText"/>
        <w:ind w:left="850" w:right="987"/>
        <w:jc w:val="both"/>
      </w:pPr>
      <w:r>
        <w:rPr/>
        <w:t>El</w:t>
      </w:r>
      <w:r>
        <w:rPr>
          <w:spacing w:val="-1"/>
        </w:rPr>
        <w:t> </w:t>
      </w:r>
      <w:r>
        <w:rPr/>
        <w:t>número</w:t>
      </w:r>
      <w:r>
        <w:rPr>
          <w:spacing w:val="-3"/>
        </w:rPr>
        <w:t> </w:t>
      </w:r>
      <w:r>
        <w:rPr/>
        <w:t>y la</w:t>
      </w:r>
      <w:r>
        <w:rPr>
          <w:spacing w:val="-1"/>
        </w:rPr>
        <w:t> </w:t>
      </w:r>
      <w:r>
        <w:rPr/>
        <w:t>longitud</w:t>
      </w:r>
      <w:r>
        <w:rPr>
          <w:spacing w:val="-1"/>
        </w:rPr>
        <w:t> </w:t>
      </w:r>
      <w:r>
        <w:rPr/>
        <w:t>de</w:t>
      </w:r>
      <w:r>
        <w:rPr>
          <w:spacing w:val="-1"/>
        </w:rPr>
        <w:t> </w:t>
      </w:r>
      <w:r>
        <w:rPr/>
        <w:t>las líneas,</w:t>
      </w:r>
      <w:r>
        <w:rPr>
          <w:spacing w:val="-2"/>
        </w:rPr>
        <w:t> </w:t>
      </w:r>
      <w:r>
        <w:rPr/>
        <w:t>el</w:t>
      </w:r>
      <w:r>
        <w:rPr>
          <w:spacing w:val="-2"/>
        </w:rPr>
        <w:t> </w:t>
      </w:r>
      <w:r>
        <w:rPr/>
        <w:t>número</w:t>
      </w:r>
      <w:r>
        <w:rPr>
          <w:spacing w:val="-1"/>
        </w:rPr>
        <w:t> </w:t>
      </w:r>
      <w:r>
        <w:rPr/>
        <w:t>de</w:t>
      </w:r>
      <w:r>
        <w:rPr>
          <w:spacing w:val="-1"/>
        </w:rPr>
        <w:t> </w:t>
      </w:r>
      <w:r>
        <w:rPr/>
        <w:t>paradas</w:t>
      </w:r>
      <w:r>
        <w:rPr>
          <w:spacing w:val="-3"/>
        </w:rPr>
        <w:t> </w:t>
      </w:r>
      <w:r>
        <w:rPr/>
        <w:t>y la</w:t>
      </w:r>
      <w:r>
        <w:rPr>
          <w:spacing w:val="-1"/>
        </w:rPr>
        <w:t> </w:t>
      </w:r>
      <w:r>
        <w:rPr/>
        <w:t>longitud</w:t>
      </w:r>
      <w:r>
        <w:rPr>
          <w:spacing w:val="-1"/>
        </w:rPr>
        <w:t> </w:t>
      </w:r>
      <w:r>
        <w:rPr/>
        <w:t>de</w:t>
      </w:r>
      <w:r>
        <w:rPr>
          <w:spacing w:val="-1"/>
        </w:rPr>
        <w:t> </w:t>
      </w:r>
      <w:r>
        <w:rPr/>
        <w:t>carriles</w:t>
      </w:r>
      <w:r>
        <w:rPr>
          <w:spacing w:val="-1"/>
        </w:rPr>
        <w:t> </w:t>
      </w:r>
      <w:r>
        <w:rPr/>
        <w:t>bus</w:t>
      </w:r>
      <w:r>
        <w:rPr>
          <w:spacing w:val="-3"/>
        </w:rPr>
        <w:t> </w:t>
      </w:r>
      <w:r>
        <w:rPr/>
        <w:t>son</w:t>
      </w:r>
      <w:r>
        <w:rPr>
          <w:spacing w:val="-1"/>
        </w:rPr>
        <w:t> </w:t>
      </w:r>
      <w:r>
        <w:rPr/>
        <w:t>algunos de los indicadores básicos de las redes de autobuses. El número de paradas es un indicador de la accesibilidad de las redes de autobús. Los carriles bus favorecen que el transporte público alcance mayor</w:t>
      </w:r>
      <w:r>
        <w:rPr>
          <w:spacing w:val="-3"/>
        </w:rPr>
        <w:t> </w:t>
      </w:r>
      <w:r>
        <w:rPr/>
        <w:t>velocidad</w:t>
      </w:r>
      <w:r>
        <w:rPr>
          <w:spacing w:val="-2"/>
        </w:rPr>
        <w:t> </w:t>
      </w:r>
      <w:r>
        <w:rPr/>
        <w:t>de</w:t>
      </w:r>
      <w:r>
        <w:rPr>
          <w:spacing w:val="-4"/>
        </w:rPr>
        <w:t> </w:t>
      </w:r>
      <w:r>
        <w:rPr/>
        <w:t>circulación</w:t>
      </w:r>
      <w:r>
        <w:rPr>
          <w:spacing w:val="-2"/>
        </w:rPr>
        <w:t> </w:t>
      </w:r>
      <w:r>
        <w:rPr/>
        <w:t>y</w:t>
      </w:r>
      <w:r>
        <w:rPr>
          <w:spacing w:val="-1"/>
        </w:rPr>
        <w:t> </w:t>
      </w:r>
      <w:r>
        <w:rPr/>
        <w:t>reduzca</w:t>
      </w:r>
      <w:r>
        <w:rPr>
          <w:spacing w:val="-4"/>
        </w:rPr>
        <w:t> </w:t>
      </w:r>
      <w:r>
        <w:rPr/>
        <w:t>tiempos</w:t>
      </w:r>
      <w:r>
        <w:rPr>
          <w:spacing w:val="-4"/>
        </w:rPr>
        <w:t> </w:t>
      </w:r>
      <w:r>
        <w:rPr/>
        <w:t>de</w:t>
      </w:r>
      <w:r>
        <w:rPr>
          <w:spacing w:val="-2"/>
        </w:rPr>
        <w:t> </w:t>
      </w:r>
      <w:r>
        <w:rPr/>
        <w:t>viaje,</w:t>
      </w:r>
      <w:r>
        <w:rPr>
          <w:spacing w:val="-3"/>
        </w:rPr>
        <w:t> </w:t>
      </w:r>
      <w:r>
        <w:rPr/>
        <w:t>emisión</w:t>
      </w:r>
      <w:r>
        <w:rPr>
          <w:spacing w:val="-2"/>
        </w:rPr>
        <w:t> </w:t>
      </w:r>
      <w:r>
        <w:rPr/>
        <w:t>de</w:t>
      </w:r>
      <w:r>
        <w:rPr>
          <w:spacing w:val="-2"/>
        </w:rPr>
        <w:t> </w:t>
      </w:r>
      <w:r>
        <w:rPr/>
        <w:t>contaminantes</w:t>
      </w:r>
      <w:r>
        <w:rPr>
          <w:spacing w:val="-1"/>
        </w:rPr>
        <w:t> </w:t>
      </w:r>
      <w:r>
        <w:rPr/>
        <w:t>y</w:t>
      </w:r>
      <w:r>
        <w:rPr>
          <w:spacing w:val="-4"/>
        </w:rPr>
        <w:t> </w:t>
      </w:r>
      <w:r>
        <w:rPr/>
        <w:t>consumo</w:t>
      </w:r>
      <w:r>
        <w:rPr>
          <w:spacing w:val="-4"/>
        </w:rPr>
        <w:t> </w:t>
      </w:r>
      <w:r>
        <w:rPr/>
        <w:t>de combustible al disminuir las acciones de aceleración y frenado debidas al tráfico.</w:t>
      </w:r>
    </w:p>
    <w:p>
      <w:pPr>
        <w:pStyle w:val="BodyText"/>
        <w:spacing w:before="240"/>
        <w:ind w:left="850" w:right="989"/>
        <w:jc w:val="both"/>
      </w:pPr>
      <w:r>
        <w:rPr/>
        <w:t>En</w:t>
      </w:r>
      <w:r>
        <w:rPr>
          <w:spacing w:val="-4"/>
        </w:rPr>
        <w:t> </w:t>
      </w:r>
      <w:r>
        <w:rPr/>
        <w:t>el</w:t>
      </w:r>
      <w:r>
        <w:rPr>
          <w:spacing w:val="-5"/>
        </w:rPr>
        <w:t> </w:t>
      </w:r>
      <w:hyperlink w:history="true" w:anchor="_bookmark130">
        <w:r>
          <w:rPr/>
          <w:t>Anexo</w:t>
        </w:r>
        <w:r>
          <w:rPr>
            <w:spacing w:val="-7"/>
          </w:rPr>
          <w:t> </w:t>
        </w:r>
        <w:r>
          <w:rPr/>
          <w:t>III</w:t>
        </w:r>
      </w:hyperlink>
      <w:r>
        <w:rPr>
          <w:spacing w:val="-5"/>
        </w:rPr>
        <w:t> </w:t>
      </w:r>
      <w:r>
        <w:rPr/>
        <w:t>se</w:t>
      </w:r>
      <w:r>
        <w:rPr>
          <w:spacing w:val="-6"/>
        </w:rPr>
        <w:t> </w:t>
      </w:r>
      <w:r>
        <w:rPr/>
        <w:t>exponen</w:t>
      </w:r>
      <w:r>
        <w:rPr>
          <w:spacing w:val="-4"/>
        </w:rPr>
        <w:t> </w:t>
      </w:r>
      <w:r>
        <w:rPr/>
        <w:t>las</w:t>
      </w:r>
      <w:r>
        <w:rPr>
          <w:spacing w:val="-4"/>
        </w:rPr>
        <w:t> </w:t>
      </w:r>
      <w:r>
        <w:rPr/>
        <w:t>principales</w:t>
      </w:r>
      <w:r>
        <w:rPr>
          <w:spacing w:val="-4"/>
        </w:rPr>
        <w:t> </w:t>
      </w:r>
      <w:r>
        <w:rPr/>
        <w:t>características</w:t>
      </w:r>
      <w:r>
        <w:rPr>
          <w:spacing w:val="-4"/>
        </w:rPr>
        <w:t> </w:t>
      </w:r>
      <w:r>
        <w:rPr/>
        <w:t>de</w:t>
      </w:r>
      <w:r>
        <w:rPr>
          <w:spacing w:val="-7"/>
        </w:rPr>
        <w:t> </w:t>
      </w:r>
      <w:r>
        <w:rPr/>
        <w:t>las</w:t>
      </w:r>
      <w:r>
        <w:rPr>
          <w:spacing w:val="-6"/>
        </w:rPr>
        <w:t> </w:t>
      </w:r>
      <w:r>
        <w:rPr/>
        <w:t>redes</w:t>
      </w:r>
      <w:r>
        <w:rPr>
          <w:spacing w:val="-6"/>
        </w:rPr>
        <w:t> </w:t>
      </w:r>
      <w:r>
        <w:rPr/>
        <w:t>de</w:t>
      </w:r>
      <w:r>
        <w:rPr>
          <w:spacing w:val="-9"/>
        </w:rPr>
        <w:t> </w:t>
      </w:r>
      <w:r>
        <w:rPr/>
        <w:t>autobús</w:t>
      </w:r>
      <w:r>
        <w:rPr>
          <w:spacing w:val="-6"/>
        </w:rPr>
        <w:t> </w:t>
      </w:r>
      <w:r>
        <w:rPr/>
        <w:t>y</w:t>
      </w:r>
      <w:r>
        <w:rPr>
          <w:spacing w:val="-4"/>
        </w:rPr>
        <w:t> </w:t>
      </w:r>
      <w:r>
        <w:rPr/>
        <w:t>de</w:t>
      </w:r>
      <w:r>
        <w:rPr>
          <w:spacing w:val="-9"/>
        </w:rPr>
        <w:t> </w:t>
      </w:r>
      <w:r>
        <w:rPr/>
        <w:t>tranvía</w:t>
      </w:r>
      <w:r>
        <w:rPr>
          <w:spacing w:val="-6"/>
        </w:rPr>
        <w:t> </w:t>
      </w:r>
      <w:r>
        <w:rPr/>
        <w:t>de</w:t>
      </w:r>
      <w:r>
        <w:rPr>
          <w:spacing w:val="-4"/>
        </w:rPr>
        <w:t> </w:t>
      </w:r>
      <w:r>
        <w:rPr/>
        <w:t>las entidades fiscalizadas, atendiendo a estos indicadores.</w:t>
      </w:r>
    </w:p>
    <w:p>
      <w:pPr>
        <w:pStyle w:val="BodyText"/>
        <w:spacing w:before="241"/>
        <w:ind w:left="850" w:right="990"/>
        <w:jc w:val="both"/>
      </w:pPr>
      <w:r>
        <w:rPr/>
        <w:t>De todos los municipios examinados, </w:t>
      </w:r>
      <w:r>
        <w:rPr>
          <w:b/>
        </w:rPr>
        <w:t>Málaga </w:t>
      </w:r>
      <w:r>
        <w:rPr/>
        <w:t>es el que cuenta con mayor número de líneas de autobuses y una mayor longitud de líneas y </w:t>
      </w:r>
      <w:r>
        <w:rPr>
          <w:b/>
        </w:rPr>
        <w:t>Murcia</w:t>
      </w:r>
      <w:r>
        <w:rPr/>
        <w:t>, un mayor número de paradas.</w:t>
      </w:r>
    </w:p>
    <w:p>
      <w:pPr>
        <w:pStyle w:val="BodyText"/>
        <w:spacing w:before="240"/>
        <w:ind w:left="850" w:right="987"/>
        <w:jc w:val="both"/>
      </w:pPr>
      <w:r>
        <w:rPr/>
        <w:t>Si</w:t>
      </w:r>
      <w:r>
        <w:rPr>
          <w:spacing w:val="-16"/>
        </w:rPr>
        <w:t> </w:t>
      </w:r>
      <w:r>
        <w:rPr/>
        <w:t>se</w:t>
      </w:r>
      <w:r>
        <w:rPr>
          <w:spacing w:val="-14"/>
        </w:rPr>
        <w:t> </w:t>
      </w:r>
      <w:r>
        <w:rPr/>
        <w:t>analizan</w:t>
      </w:r>
      <w:r>
        <w:rPr>
          <w:spacing w:val="-14"/>
        </w:rPr>
        <w:t> </w:t>
      </w:r>
      <w:r>
        <w:rPr/>
        <w:t>las</w:t>
      </w:r>
      <w:r>
        <w:rPr>
          <w:spacing w:val="-16"/>
        </w:rPr>
        <w:t> </w:t>
      </w:r>
      <w:r>
        <w:rPr/>
        <w:t>cifras</w:t>
      </w:r>
      <w:r>
        <w:rPr>
          <w:spacing w:val="-12"/>
        </w:rPr>
        <w:t> </w:t>
      </w:r>
      <w:r>
        <w:rPr/>
        <w:t>de</w:t>
      </w:r>
      <w:r>
        <w:rPr>
          <w:spacing w:val="-12"/>
        </w:rPr>
        <w:t> </w:t>
      </w:r>
      <w:r>
        <w:rPr/>
        <w:t>estos</w:t>
      </w:r>
      <w:r>
        <w:rPr>
          <w:spacing w:val="-13"/>
        </w:rPr>
        <w:t> </w:t>
      </w:r>
      <w:r>
        <w:rPr/>
        <w:t>indicadores</w:t>
      </w:r>
      <w:r>
        <w:rPr>
          <w:spacing w:val="-15"/>
        </w:rPr>
        <w:t> </w:t>
      </w:r>
      <w:r>
        <w:rPr/>
        <w:t>a</w:t>
      </w:r>
      <w:r>
        <w:rPr>
          <w:spacing w:val="-16"/>
        </w:rPr>
        <w:t> </w:t>
      </w:r>
      <w:r>
        <w:rPr/>
        <w:t>31</w:t>
      </w:r>
      <w:r>
        <w:rPr>
          <w:spacing w:val="-15"/>
        </w:rPr>
        <w:t> </w:t>
      </w:r>
      <w:r>
        <w:rPr/>
        <w:t>de</w:t>
      </w:r>
      <w:r>
        <w:rPr>
          <w:spacing w:val="-13"/>
        </w:rPr>
        <w:t> </w:t>
      </w:r>
      <w:r>
        <w:rPr/>
        <w:t>diciembre</w:t>
      </w:r>
      <w:r>
        <w:rPr>
          <w:spacing w:val="-16"/>
        </w:rPr>
        <w:t> </w:t>
      </w:r>
      <w:r>
        <w:rPr/>
        <w:t>de</w:t>
      </w:r>
      <w:r>
        <w:rPr>
          <w:spacing w:val="-15"/>
        </w:rPr>
        <w:t> </w:t>
      </w:r>
      <w:r>
        <w:rPr/>
        <w:t>2022</w:t>
      </w:r>
      <w:r>
        <w:rPr>
          <w:spacing w:val="-14"/>
        </w:rPr>
        <w:t> </w:t>
      </w:r>
      <w:r>
        <w:rPr/>
        <w:t>y</w:t>
      </w:r>
      <w:r>
        <w:rPr>
          <w:spacing w:val="-13"/>
        </w:rPr>
        <w:t> </w:t>
      </w:r>
      <w:r>
        <w:rPr/>
        <w:t>las</w:t>
      </w:r>
      <w:r>
        <w:rPr>
          <w:spacing w:val="-13"/>
        </w:rPr>
        <w:t> </w:t>
      </w:r>
      <w:r>
        <w:rPr/>
        <w:t>habidas</w:t>
      </w:r>
      <w:r>
        <w:rPr>
          <w:spacing w:val="-13"/>
        </w:rPr>
        <w:t> </w:t>
      </w:r>
      <w:r>
        <w:rPr/>
        <w:t>en</w:t>
      </w:r>
      <w:r>
        <w:rPr>
          <w:spacing w:val="-16"/>
        </w:rPr>
        <w:t> </w:t>
      </w:r>
      <w:r>
        <w:rPr/>
        <w:t>los</w:t>
      </w:r>
      <w:r>
        <w:rPr>
          <w:spacing w:val="-15"/>
        </w:rPr>
        <w:t> </w:t>
      </w:r>
      <w:r>
        <w:rPr/>
        <w:t>ejercicios fiscalizados, se observa que, en términos generales, estas no han variado significativamente. Se advierte un ligero incremento del número y la longitud de las líneas y del número de paradas en </w:t>
      </w:r>
      <w:r>
        <w:rPr>
          <w:b/>
        </w:rPr>
        <w:t>Alicante</w:t>
      </w:r>
      <w:r>
        <w:rPr/>
        <w:t>,</w:t>
      </w:r>
      <w:r>
        <w:rPr>
          <w:spacing w:val="-7"/>
        </w:rPr>
        <w:t> </w:t>
      </w:r>
      <w:r>
        <w:rPr/>
        <w:t>mientras</w:t>
      </w:r>
      <w:r>
        <w:rPr>
          <w:spacing w:val="-6"/>
        </w:rPr>
        <w:t> </w:t>
      </w:r>
      <w:r>
        <w:rPr/>
        <w:t>que</w:t>
      </w:r>
      <w:r>
        <w:rPr>
          <w:spacing w:val="-9"/>
        </w:rPr>
        <w:t> </w:t>
      </w:r>
      <w:r>
        <w:rPr/>
        <w:t>en</w:t>
      </w:r>
      <w:r>
        <w:rPr>
          <w:spacing w:val="-6"/>
        </w:rPr>
        <w:t> </w:t>
      </w:r>
      <w:r>
        <w:rPr/>
        <w:t>el</w:t>
      </w:r>
      <w:r>
        <w:rPr>
          <w:spacing w:val="-7"/>
        </w:rPr>
        <w:t> </w:t>
      </w:r>
      <w:r>
        <w:rPr/>
        <w:t>resto</w:t>
      </w:r>
      <w:r>
        <w:rPr>
          <w:spacing w:val="-5"/>
        </w:rPr>
        <w:t> </w:t>
      </w:r>
      <w:r>
        <w:rPr/>
        <w:t>de</w:t>
      </w:r>
      <w:r>
        <w:rPr>
          <w:spacing w:val="-9"/>
        </w:rPr>
        <w:t> </w:t>
      </w:r>
      <w:r>
        <w:rPr/>
        <w:t>los</w:t>
      </w:r>
      <w:r>
        <w:rPr>
          <w:spacing w:val="-9"/>
        </w:rPr>
        <w:t> </w:t>
      </w:r>
      <w:r>
        <w:rPr/>
        <w:t>municipios</w:t>
      </w:r>
      <w:r>
        <w:rPr>
          <w:spacing w:val="-6"/>
        </w:rPr>
        <w:t> </w:t>
      </w:r>
      <w:r>
        <w:rPr/>
        <w:t>se</w:t>
      </w:r>
      <w:r>
        <w:rPr>
          <w:spacing w:val="-9"/>
        </w:rPr>
        <w:t> </w:t>
      </w:r>
      <w:r>
        <w:rPr/>
        <w:t>registran</w:t>
      </w:r>
      <w:r>
        <w:rPr>
          <w:spacing w:val="-7"/>
        </w:rPr>
        <w:t> </w:t>
      </w:r>
      <w:r>
        <w:rPr/>
        <w:t>pocos</w:t>
      </w:r>
      <w:r>
        <w:rPr>
          <w:spacing w:val="-6"/>
        </w:rPr>
        <w:t> </w:t>
      </w:r>
      <w:r>
        <w:rPr/>
        <w:t>cambios.</w:t>
      </w:r>
      <w:r>
        <w:rPr>
          <w:spacing w:val="-5"/>
        </w:rPr>
        <w:t> </w:t>
      </w:r>
      <w:r>
        <w:rPr/>
        <w:t>Por</w:t>
      </w:r>
      <w:r>
        <w:rPr>
          <w:spacing w:val="-5"/>
        </w:rPr>
        <w:t> </w:t>
      </w:r>
      <w:r>
        <w:rPr/>
        <w:t>lo</w:t>
      </w:r>
      <w:r>
        <w:rPr>
          <w:spacing w:val="-9"/>
        </w:rPr>
        <w:t> </w:t>
      </w:r>
      <w:r>
        <w:rPr/>
        <w:t>que</w:t>
      </w:r>
      <w:r>
        <w:rPr>
          <w:spacing w:val="-9"/>
        </w:rPr>
        <w:t> </w:t>
      </w:r>
      <w:r>
        <w:rPr/>
        <w:t>respecta a</w:t>
      </w:r>
      <w:r>
        <w:rPr>
          <w:spacing w:val="-9"/>
        </w:rPr>
        <w:t> </w:t>
      </w:r>
      <w:r>
        <w:rPr/>
        <w:t>los</w:t>
      </w:r>
      <w:r>
        <w:rPr>
          <w:spacing w:val="-9"/>
        </w:rPr>
        <w:t> </w:t>
      </w:r>
      <w:r>
        <w:rPr/>
        <w:t>carriles</w:t>
      </w:r>
      <w:r>
        <w:rPr>
          <w:spacing w:val="-9"/>
        </w:rPr>
        <w:t> </w:t>
      </w:r>
      <w:r>
        <w:rPr/>
        <w:t>bus,</w:t>
      </w:r>
      <w:r>
        <w:rPr>
          <w:spacing w:val="-8"/>
        </w:rPr>
        <w:t> </w:t>
      </w:r>
      <w:r>
        <w:rPr/>
        <w:t>también</w:t>
      </w:r>
      <w:r>
        <w:rPr>
          <w:spacing w:val="-9"/>
        </w:rPr>
        <w:t> </w:t>
      </w:r>
      <w:r>
        <w:rPr/>
        <w:t>se</w:t>
      </w:r>
      <w:r>
        <w:rPr>
          <w:spacing w:val="-9"/>
        </w:rPr>
        <w:t> </w:t>
      </w:r>
      <w:r>
        <w:rPr/>
        <w:t>aprecian</w:t>
      </w:r>
      <w:r>
        <w:rPr>
          <w:spacing w:val="-8"/>
        </w:rPr>
        <w:t> </w:t>
      </w:r>
      <w:r>
        <w:rPr/>
        <w:t>escasas</w:t>
      </w:r>
      <w:r>
        <w:rPr>
          <w:spacing w:val="-11"/>
        </w:rPr>
        <w:t> </w:t>
      </w:r>
      <w:r>
        <w:rPr/>
        <w:t>variaciones,</w:t>
      </w:r>
      <w:r>
        <w:rPr>
          <w:spacing w:val="-8"/>
        </w:rPr>
        <w:t> </w:t>
      </w:r>
      <w:r>
        <w:rPr/>
        <w:t>con</w:t>
      </w:r>
      <w:r>
        <w:rPr>
          <w:spacing w:val="-12"/>
        </w:rPr>
        <w:t> </w:t>
      </w:r>
      <w:r>
        <w:rPr/>
        <w:t>una</w:t>
      </w:r>
      <w:r>
        <w:rPr>
          <w:spacing w:val="-11"/>
        </w:rPr>
        <w:t> </w:t>
      </w:r>
      <w:r>
        <w:rPr/>
        <w:t>pequeña</w:t>
      </w:r>
      <w:r>
        <w:rPr>
          <w:spacing w:val="-9"/>
        </w:rPr>
        <w:t> </w:t>
      </w:r>
      <w:r>
        <w:rPr/>
        <w:t>disminución</w:t>
      </w:r>
      <w:r>
        <w:rPr>
          <w:spacing w:val="-9"/>
        </w:rPr>
        <w:t> </w:t>
      </w:r>
      <w:r>
        <w:rPr/>
        <w:t>en</w:t>
      </w:r>
      <w:r>
        <w:rPr>
          <w:spacing w:val="-10"/>
        </w:rPr>
        <w:t> </w:t>
      </w:r>
      <w:r>
        <w:rPr>
          <w:b/>
        </w:rPr>
        <w:t>Bilbao </w:t>
      </w:r>
      <w:r>
        <w:rPr/>
        <w:t>y un ligero aumento en </w:t>
      </w:r>
      <w:r>
        <w:rPr>
          <w:b/>
        </w:rPr>
        <w:t>Las Palmas de Gran Canaria</w:t>
      </w:r>
      <w:r>
        <w:rPr/>
        <w:t>.</w:t>
      </w:r>
    </w:p>
    <w:p>
      <w:pPr>
        <w:pStyle w:val="BodyText"/>
        <w:spacing w:before="242"/>
        <w:ind w:left="850" w:right="987"/>
        <w:jc w:val="both"/>
      </w:pPr>
      <w:r>
        <w:rPr/>
        <w:t>Para comparar de forma más homogénea la longitud de las líneas, se ha de tener en cuenta la población y la extensión de los municipios. Las cifras de la población de las entidades fiscalizadas estuvieron</w:t>
      </w:r>
      <w:r>
        <w:rPr>
          <w:spacing w:val="-16"/>
        </w:rPr>
        <w:t> </w:t>
      </w:r>
      <w:r>
        <w:rPr/>
        <w:t>comprendidas</w:t>
      </w:r>
      <w:r>
        <w:rPr>
          <w:spacing w:val="-15"/>
        </w:rPr>
        <w:t> </w:t>
      </w:r>
      <w:r>
        <w:rPr/>
        <w:t>entre</w:t>
      </w:r>
      <w:r>
        <w:rPr>
          <w:spacing w:val="-15"/>
        </w:rPr>
        <w:t> </w:t>
      </w:r>
      <w:r>
        <w:rPr/>
        <w:t>aquellas</w:t>
      </w:r>
      <w:r>
        <w:rPr>
          <w:spacing w:val="-16"/>
        </w:rPr>
        <w:t> </w:t>
      </w:r>
      <w:r>
        <w:rPr/>
        <w:t>que</w:t>
      </w:r>
      <w:r>
        <w:rPr>
          <w:spacing w:val="-15"/>
        </w:rPr>
        <w:t> </w:t>
      </w:r>
      <w:r>
        <w:rPr/>
        <w:t>no</w:t>
      </w:r>
      <w:r>
        <w:rPr>
          <w:spacing w:val="-15"/>
        </w:rPr>
        <w:t> </w:t>
      </w:r>
      <w:r>
        <w:rPr/>
        <w:t>alcanzaron</w:t>
      </w:r>
      <w:r>
        <w:rPr>
          <w:spacing w:val="-15"/>
        </w:rPr>
        <w:t> </w:t>
      </w:r>
      <w:r>
        <w:rPr/>
        <w:t>los</w:t>
      </w:r>
      <w:r>
        <w:rPr>
          <w:spacing w:val="-16"/>
        </w:rPr>
        <w:t> </w:t>
      </w:r>
      <w:r>
        <w:rPr/>
        <w:t>400.000</w:t>
      </w:r>
      <w:r>
        <w:rPr>
          <w:spacing w:val="-15"/>
        </w:rPr>
        <w:t> </w:t>
      </w:r>
      <w:r>
        <w:rPr/>
        <w:t>habitantes,</w:t>
      </w:r>
      <w:r>
        <w:rPr>
          <w:spacing w:val="-15"/>
        </w:rPr>
        <w:t> </w:t>
      </w:r>
      <w:r>
        <w:rPr/>
        <w:t>que</w:t>
      </w:r>
      <w:r>
        <w:rPr>
          <w:spacing w:val="-16"/>
        </w:rPr>
        <w:t> </w:t>
      </w:r>
      <w:r>
        <w:rPr/>
        <w:t>corresponden a</w:t>
      </w:r>
      <w:r>
        <w:rPr>
          <w:spacing w:val="-6"/>
        </w:rPr>
        <w:t> </w:t>
      </w:r>
      <w:r>
        <w:rPr/>
        <w:t>los</w:t>
      </w:r>
      <w:r>
        <w:rPr>
          <w:spacing w:val="-8"/>
        </w:rPr>
        <w:t> </w:t>
      </w:r>
      <w:r>
        <w:rPr/>
        <w:t>municipios</w:t>
      </w:r>
      <w:r>
        <w:rPr>
          <w:spacing w:val="-6"/>
        </w:rPr>
        <w:t> </w:t>
      </w:r>
      <w:r>
        <w:rPr/>
        <w:t>de</w:t>
      </w:r>
      <w:r>
        <w:rPr>
          <w:spacing w:val="-10"/>
        </w:rPr>
        <w:t> </w:t>
      </w:r>
      <w:r>
        <w:rPr>
          <w:b/>
        </w:rPr>
        <w:t>Alicante,</w:t>
      </w:r>
      <w:r>
        <w:rPr>
          <w:b/>
          <w:spacing w:val="-7"/>
        </w:rPr>
        <w:t> </w:t>
      </w:r>
      <w:r>
        <w:rPr>
          <w:b/>
        </w:rPr>
        <w:t>Bilbao,</w:t>
      </w:r>
      <w:r>
        <w:rPr>
          <w:b/>
          <w:spacing w:val="-8"/>
        </w:rPr>
        <w:t> </w:t>
      </w:r>
      <w:r>
        <w:rPr>
          <w:b/>
        </w:rPr>
        <w:t>Córdoba</w:t>
      </w:r>
      <w:r>
        <w:rPr>
          <w:b/>
          <w:spacing w:val="-9"/>
        </w:rPr>
        <w:t> </w:t>
      </w:r>
      <w:r>
        <w:rPr/>
        <w:t>y</w:t>
      </w:r>
      <w:r>
        <w:rPr>
          <w:spacing w:val="-10"/>
        </w:rPr>
        <w:t> </w:t>
      </w:r>
      <w:r>
        <w:rPr>
          <w:b/>
        </w:rPr>
        <w:t>Las</w:t>
      </w:r>
      <w:r>
        <w:rPr>
          <w:b/>
          <w:spacing w:val="-6"/>
        </w:rPr>
        <w:t> </w:t>
      </w:r>
      <w:r>
        <w:rPr>
          <w:b/>
        </w:rPr>
        <w:t>Palmas</w:t>
      </w:r>
      <w:r>
        <w:rPr>
          <w:b/>
          <w:spacing w:val="-9"/>
        </w:rPr>
        <w:t> </w:t>
      </w:r>
      <w:r>
        <w:rPr>
          <w:b/>
        </w:rPr>
        <w:t>de</w:t>
      </w:r>
      <w:r>
        <w:rPr>
          <w:b/>
          <w:spacing w:val="-9"/>
        </w:rPr>
        <w:t> </w:t>
      </w:r>
      <w:r>
        <w:rPr>
          <w:b/>
        </w:rPr>
        <w:t>Gran</w:t>
      </w:r>
      <w:r>
        <w:rPr>
          <w:b/>
          <w:spacing w:val="-9"/>
        </w:rPr>
        <w:t> </w:t>
      </w:r>
      <w:r>
        <w:rPr>
          <w:b/>
        </w:rPr>
        <w:t>Canaria</w:t>
      </w:r>
      <w:r>
        <w:rPr/>
        <w:t>,</w:t>
      </w:r>
      <w:r>
        <w:rPr>
          <w:spacing w:val="-7"/>
        </w:rPr>
        <w:t> </w:t>
      </w:r>
      <w:r>
        <w:rPr/>
        <w:t>y</w:t>
      </w:r>
      <w:r>
        <w:rPr>
          <w:spacing w:val="-8"/>
        </w:rPr>
        <w:t> </w:t>
      </w:r>
      <w:r>
        <w:rPr/>
        <w:t>las</w:t>
      </w:r>
      <w:r>
        <w:rPr>
          <w:spacing w:val="-9"/>
        </w:rPr>
        <w:t> </w:t>
      </w:r>
      <w:r>
        <w:rPr/>
        <w:t>que</w:t>
      </w:r>
      <w:r>
        <w:rPr>
          <w:spacing w:val="-9"/>
        </w:rPr>
        <w:t> </w:t>
      </w:r>
      <w:r>
        <w:rPr/>
        <w:t>superaron los 600.000 habitantes, </w:t>
      </w:r>
      <w:r>
        <w:rPr>
          <w:b/>
        </w:rPr>
        <w:t>Sevilla </w:t>
      </w:r>
      <w:r>
        <w:rPr/>
        <w:t>y </w:t>
      </w:r>
      <w:r>
        <w:rPr>
          <w:b/>
        </w:rPr>
        <w:t>Zaragoza</w:t>
      </w:r>
      <w:r>
        <w:rPr/>
        <w:t>. La población de los municipios de </w:t>
      </w:r>
      <w:r>
        <w:rPr>
          <w:b/>
        </w:rPr>
        <w:t>Málaga, Murcia </w:t>
      </w:r>
      <w:r>
        <w:rPr/>
        <w:t>y </w:t>
      </w:r>
      <w:r>
        <w:rPr>
          <w:b/>
        </w:rPr>
        <w:t>Palma </w:t>
      </w:r>
      <w:r>
        <w:rPr/>
        <w:t>superó los 400.000 habitantes, sin que ninguno de ellos llegara a alcanzar los 600.000 </w:t>
      </w:r>
      <w:r>
        <w:rPr>
          <w:spacing w:val="-2"/>
        </w:rPr>
        <w:t>habitantes.</w:t>
      </w:r>
    </w:p>
    <w:p>
      <w:pPr>
        <w:pStyle w:val="BodyText"/>
        <w:spacing w:before="238"/>
        <w:ind w:left="850" w:right="986"/>
        <w:jc w:val="both"/>
      </w:pPr>
      <w:r>
        <w:rPr/>
        <w:t>Las diferencias más notables se encuentran en la extensión de estos municipios. El de menor extensión es </w:t>
      </w:r>
      <w:r>
        <w:rPr>
          <w:b/>
        </w:rPr>
        <w:t>Bilbao</w:t>
      </w:r>
      <w:r>
        <w:rPr/>
        <w:t>, con tan solo 41,30 km</w:t>
      </w:r>
      <w:r>
        <w:rPr>
          <w:vertAlign w:val="superscript"/>
        </w:rPr>
        <w:t>2</w:t>
      </w:r>
      <w:r>
        <w:rPr>
          <w:vertAlign w:val="baseline"/>
        </w:rPr>
        <w:t>, seguido de </w:t>
      </w:r>
      <w:r>
        <w:rPr>
          <w:b/>
          <w:vertAlign w:val="baseline"/>
        </w:rPr>
        <w:t>Las Palmas de Gran Canaria </w:t>
      </w:r>
      <w:r>
        <w:rPr>
          <w:vertAlign w:val="baseline"/>
        </w:rPr>
        <w:t>y </w:t>
      </w:r>
      <w:r>
        <w:rPr>
          <w:b/>
          <w:vertAlign w:val="baseline"/>
        </w:rPr>
        <w:t>Sevilla</w:t>
      </w:r>
      <w:r>
        <w:rPr>
          <w:vertAlign w:val="baseline"/>
        </w:rPr>
        <w:t>, con</w:t>
      </w:r>
      <w:r>
        <w:rPr>
          <w:spacing w:val="-16"/>
          <w:vertAlign w:val="baseline"/>
        </w:rPr>
        <w:t> </w:t>
      </w:r>
      <w:r>
        <w:rPr>
          <w:vertAlign w:val="baseline"/>
        </w:rPr>
        <w:t>103,32</w:t>
      </w:r>
      <w:r>
        <w:rPr>
          <w:spacing w:val="-15"/>
          <w:vertAlign w:val="baseline"/>
        </w:rPr>
        <w:t> </w:t>
      </w:r>
      <w:r>
        <w:rPr>
          <w:vertAlign w:val="baseline"/>
        </w:rPr>
        <w:t>km</w:t>
      </w:r>
      <w:r>
        <w:rPr>
          <w:vertAlign w:val="superscript"/>
        </w:rPr>
        <w:t>2</w:t>
      </w:r>
      <w:r>
        <w:rPr>
          <w:spacing w:val="-15"/>
          <w:vertAlign w:val="baseline"/>
        </w:rPr>
        <w:t> </w:t>
      </w:r>
      <w:r>
        <w:rPr>
          <w:vertAlign w:val="baseline"/>
        </w:rPr>
        <w:t>y</w:t>
      </w:r>
      <w:r>
        <w:rPr>
          <w:spacing w:val="-16"/>
          <w:vertAlign w:val="baseline"/>
        </w:rPr>
        <w:t> </w:t>
      </w:r>
      <w:r>
        <w:rPr>
          <w:vertAlign w:val="baseline"/>
        </w:rPr>
        <w:t>142</w:t>
      </w:r>
      <w:r>
        <w:rPr>
          <w:spacing w:val="-11"/>
          <w:vertAlign w:val="baseline"/>
        </w:rPr>
        <w:t> </w:t>
      </w:r>
      <w:r>
        <w:rPr>
          <w:vertAlign w:val="baseline"/>
        </w:rPr>
        <w:t>km</w:t>
      </w:r>
      <w:r>
        <w:rPr>
          <w:vertAlign w:val="superscript"/>
        </w:rPr>
        <w:t>2</w:t>
      </w:r>
      <w:r>
        <w:rPr>
          <w:vertAlign w:val="baseline"/>
        </w:rPr>
        <w:t>,</w:t>
      </w:r>
      <w:r>
        <w:rPr>
          <w:spacing w:val="-10"/>
          <w:vertAlign w:val="baseline"/>
        </w:rPr>
        <w:t> </w:t>
      </w:r>
      <w:r>
        <w:rPr>
          <w:vertAlign w:val="baseline"/>
        </w:rPr>
        <w:t>respectivamente.</w:t>
      </w:r>
      <w:r>
        <w:rPr>
          <w:spacing w:val="-10"/>
          <w:vertAlign w:val="baseline"/>
        </w:rPr>
        <w:t> </w:t>
      </w:r>
      <w:r>
        <w:rPr>
          <w:vertAlign w:val="baseline"/>
        </w:rPr>
        <w:t>El</w:t>
      </w:r>
      <w:r>
        <w:rPr>
          <w:spacing w:val="-12"/>
          <w:vertAlign w:val="baseline"/>
        </w:rPr>
        <w:t> </w:t>
      </w:r>
      <w:r>
        <w:rPr>
          <w:vertAlign w:val="baseline"/>
        </w:rPr>
        <w:t>municipio</w:t>
      </w:r>
      <w:r>
        <w:rPr>
          <w:spacing w:val="-11"/>
          <w:vertAlign w:val="baseline"/>
        </w:rPr>
        <w:t> </w:t>
      </w:r>
      <w:r>
        <w:rPr>
          <w:vertAlign w:val="baseline"/>
        </w:rPr>
        <w:t>de</w:t>
      </w:r>
      <w:r>
        <w:rPr>
          <w:spacing w:val="-12"/>
          <w:vertAlign w:val="baseline"/>
        </w:rPr>
        <w:t> </w:t>
      </w:r>
      <w:r>
        <w:rPr>
          <w:vertAlign w:val="baseline"/>
        </w:rPr>
        <w:t>mayor</w:t>
      </w:r>
      <w:r>
        <w:rPr>
          <w:spacing w:val="-10"/>
          <w:vertAlign w:val="baseline"/>
        </w:rPr>
        <w:t> </w:t>
      </w:r>
      <w:r>
        <w:rPr>
          <w:vertAlign w:val="baseline"/>
        </w:rPr>
        <w:t>superficie</w:t>
      </w:r>
      <w:r>
        <w:rPr>
          <w:spacing w:val="-11"/>
          <w:vertAlign w:val="baseline"/>
        </w:rPr>
        <w:t> </w:t>
      </w:r>
      <w:r>
        <w:rPr>
          <w:vertAlign w:val="baseline"/>
        </w:rPr>
        <w:t>es</w:t>
      </w:r>
      <w:r>
        <w:rPr>
          <w:spacing w:val="-8"/>
          <w:vertAlign w:val="baseline"/>
        </w:rPr>
        <w:t> </w:t>
      </w:r>
      <w:r>
        <w:rPr>
          <w:b/>
          <w:vertAlign w:val="baseline"/>
        </w:rPr>
        <w:t>Córdoba</w:t>
      </w:r>
      <w:r>
        <w:rPr>
          <w:vertAlign w:val="baseline"/>
        </w:rPr>
        <w:t>,</w:t>
      </w:r>
      <w:r>
        <w:rPr>
          <w:spacing w:val="-10"/>
          <w:vertAlign w:val="baseline"/>
        </w:rPr>
        <w:t> </w:t>
      </w:r>
      <w:r>
        <w:rPr>
          <w:vertAlign w:val="baseline"/>
        </w:rPr>
        <w:t>con</w:t>
      </w:r>
      <w:r>
        <w:rPr>
          <w:spacing w:val="-12"/>
          <w:vertAlign w:val="baseline"/>
        </w:rPr>
        <w:t> </w:t>
      </w:r>
      <w:r>
        <w:rPr>
          <w:vertAlign w:val="baseline"/>
        </w:rPr>
        <w:t>1.254 km</w:t>
      </w:r>
      <w:r>
        <w:rPr>
          <w:vertAlign w:val="superscript"/>
        </w:rPr>
        <w:t>2</w:t>
      </w:r>
      <w:r>
        <w:rPr>
          <w:vertAlign w:val="baseline"/>
        </w:rPr>
        <w:t>.</w:t>
      </w:r>
      <w:r>
        <w:rPr>
          <w:spacing w:val="-10"/>
          <w:vertAlign w:val="baseline"/>
        </w:rPr>
        <w:t> </w:t>
      </w:r>
      <w:r>
        <w:rPr>
          <w:vertAlign w:val="baseline"/>
        </w:rPr>
        <w:t>El</w:t>
      </w:r>
      <w:r>
        <w:rPr>
          <w:spacing w:val="-12"/>
          <w:vertAlign w:val="baseline"/>
        </w:rPr>
        <w:t> </w:t>
      </w:r>
      <w:r>
        <w:rPr>
          <w:vertAlign w:val="baseline"/>
        </w:rPr>
        <w:t>resto</w:t>
      </w:r>
      <w:r>
        <w:rPr>
          <w:spacing w:val="-14"/>
          <w:vertAlign w:val="baseline"/>
        </w:rPr>
        <w:t> </w:t>
      </w:r>
      <w:r>
        <w:rPr>
          <w:vertAlign w:val="baseline"/>
        </w:rPr>
        <w:t>de</w:t>
      </w:r>
      <w:r>
        <w:rPr>
          <w:spacing w:val="-11"/>
          <w:vertAlign w:val="baseline"/>
        </w:rPr>
        <w:t> </w:t>
      </w:r>
      <w:r>
        <w:rPr>
          <w:vertAlign w:val="baseline"/>
        </w:rPr>
        <w:t>los</w:t>
      </w:r>
      <w:r>
        <w:rPr>
          <w:spacing w:val="-13"/>
          <w:vertAlign w:val="baseline"/>
        </w:rPr>
        <w:t> </w:t>
      </w:r>
      <w:r>
        <w:rPr>
          <w:vertAlign w:val="baseline"/>
        </w:rPr>
        <w:t>municipios</w:t>
      </w:r>
      <w:r>
        <w:rPr>
          <w:spacing w:val="-10"/>
          <w:vertAlign w:val="baseline"/>
        </w:rPr>
        <w:t> </w:t>
      </w:r>
      <w:r>
        <w:rPr>
          <w:vertAlign w:val="baseline"/>
        </w:rPr>
        <w:t>tienen</w:t>
      </w:r>
      <w:r>
        <w:rPr>
          <w:spacing w:val="-12"/>
          <w:vertAlign w:val="baseline"/>
        </w:rPr>
        <w:t> </w:t>
      </w:r>
      <w:r>
        <w:rPr>
          <w:vertAlign w:val="baseline"/>
        </w:rPr>
        <w:t>una</w:t>
      </w:r>
      <w:r>
        <w:rPr>
          <w:spacing w:val="-11"/>
          <w:vertAlign w:val="baseline"/>
        </w:rPr>
        <w:t> </w:t>
      </w:r>
      <w:r>
        <w:rPr>
          <w:vertAlign w:val="baseline"/>
        </w:rPr>
        <w:t>extensión</w:t>
      </w:r>
      <w:r>
        <w:rPr>
          <w:spacing w:val="-12"/>
          <w:vertAlign w:val="baseline"/>
        </w:rPr>
        <w:t> </w:t>
      </w:r>
      <w:r>
        <w:rPr>
          <w:vertAlign w:val="baseline"/>
        </w:rPr>
        <w:t>que</w:t>
      </w:r>
      <w:r>
        <w:rPr>
          <w:spacing w:val="-11"/>
          <w:vertAlign w:val="baseline"/>
        </w:rPr>
        <w:t> </w:t>
      </w:r>
      <w:r>
        <w:rPr>
          <w:vertAlign w:val="baseline"/>
        </w:rPr>
        <w:t>oscila</w:t>
      </w:r>
      <w:r>
        <w:rPr>
          <w:spacing w:val="-11"/>
          <w:vertAlign w:val="baseline"/>
        </w:rPr>
        <w:t> </w:t>
      </w:r>
      <w:r>
        <w:rPr>
          <w:vertAlign w:val="baseline"/>
        </w:rPr>
        <w:t>entre</w:t>
      </w:r>
      <w:r>
        <w:rPr>
          <w:spacing w:val="-11"/>
          <w:vertAlign w:val="baseline"/>
        </w:rPr>
        <w:t> </w:t>
      </w:r>
      <w:r>
        <w:rPr>
          <w:vertAlign w:val="baseline"/>
        </w:rPr>
        <w:t>los</w:t>
      </w:r>
      <w:r>
        <w:rPr>
          <w:spacing w:val="-11"/>
          <w:vertAlign w:val="baseline"/>
        </w:rPr>
        <w:t> </w:t>
      </w:r>
      <w:r>
        <w:rPr>
          <w:vertAlign w:val="baseline"/>
        </w:rPr>
        <w:t>202,32</w:t>
      </w:r>
      <w:r>
        <w:rPr>
          <w:spacing w:val="-11"/>
          <w:vertAlign w:val="baseline"/>
        </w:rPr>
        <w:t> </w:t>
      </w:r>
      <w:r>
        <w:rPr>
          <w:vertAlign w:val="baseline"/>
        </w:rPr>
        <w:t>km</w:t>
      </w:r>
      <w:r>
        <w:rPr>
          <w:vertAlign w:val="superscript"/>
        </w:rPr>
        <w:t>2</w:t>
      </w:r>
      <w:r>
        <w:rPr>
          <w:spacing w:val="-11"/>
          <w:vertAlign w:val="baseline"/>
        </w:rPr>
        <w:t> </w:t>
      </w:r>
      <w:r>
        <w:rPr>
          <w:vertAlign w:val="baseline"/>
        </w:rPr>
        <w:t>y</w:t>
      </w:r>
      <w:r>
        <w:rPr>
          <w:spacing w:val="-11"/>
          <w:vertAlign w:val="baseline"/>
        </w:rPr>
        <w:t> </w:t>
      </w:r>
      <w:r>
        <w:rPr>
          <w:vertAlign w:val="baseline"/>
        </w:rPr>
        <w:t>los</w:t>
      </w:r>
      <w:r>
        <w:rPr>
          <w:spacing w:val="-11"/>
          <w:vertAlign w:val="baseline"/>
        </w:rPr>
        <w:t> </w:t>
      </w:r>
      <w:r>
        <w:rPr>
          <w:vertAlign w:val="baseline"/>
        </w:rPr>
        <w:t>974,00</w:t>
      </w:r>
      <w:r>
        <w:rPr>
          <w:spacing w:val="-11"/>
          <w:vertAlign w:val="baseline"/>
        </w:rPr>
        <w:t> </w:t>
      </w:r>
      <w:r>
        <w:rPr>
          <w:vertAlign w:val="baseline"/>
        </w:rPr>
        <w:t>km</w:t>
      </w:r>
      <w:r>
        <w:rPr>
          <w:vertAlign w:val="superscript"/>
        </w:rPr>
        <w:t>2</w:t>
      </w:r>
      <w:r>
        <w:rPr>
          <w:vertAlign w:val="baseline"/>
        </w:rPr>
        <w:t>.</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spacing w:before="0"/>
        <w:ind w:left="850" w:right="986" w:firstLine="0"/>
        <w:jc w:val="both"/>
        <w:rPr>
          <w:sz w:val="22"/>
        </w:rPr>
      </w:pPr>
      <w:r>
        <w:rPr>
          <w:sz w:val="22"/>
        </w:rPr>
        <w:t>Si</w:t>
      </w:r>
      <w:r>
        <w:rPr>
          <w:spacing w:val="-7"/>
          <w:sz w:val="22"/>
        </w:rPr>
        <w:t> </w:t>
      </w:r>
      <w:r>
        <w:rPr>
          <w:sz w:val="22"/>
        </w:rPr>
        <w:t>se</w:t>
      </w:r>
      <w:r>
        <w:rPr>
          <w:spacing w:val="-6"/>
          <w:sz w:val="22"/>
        </w:rPr>
        <w:t> </w:t>
      </w:r>
      <w:r>
        <w:rPr>
          <w:sz w:val="22"/>
        </w:rPr>
        <w:t>tienen</w:t>
      </w:r>
      <w:r>
        <w:rPr>
          <w:spacing w:val="-7"/>
          <w:sz w:val="22"/>
        </w:rPr>
        <w:t> </w:t>
      </w:r>
      <w:r>
        <w:rPr>
          <w:sz w:val="22"/>
        </w:rPr>
        <w:t>en</w:t>
      </w:r>
      <w:r>
        <w:rPr>
          <w:spacing w:val="-7"/>
          <w:sz w:val="22"/>
        </w:rPr>
        <w:t> </w:t>
      </w:r>
      <w:r>
        <w:rPr>
          <w:sz w:val="22"/>
        </w:rPr>
        <w:t>cuenta</w:t>
      </w:r>
      <w:r>
        <w:rPr>
          <w:spacing w:val="-6"/>
          <w:sz w:val="22"/>
        </w:rPr>
        <w:t> </w:t>
      </w:r>
      <w:r>
        <w:rPr>
          <w:sz w:val="22"/>
        </w:rPr>
        <w:t>los</w:t>
      </w:r>
      <w:r>
        <w:rPr>
          <w:spacing w:val="-6"/>
          <w:sz w:val="22"/>
        </w:rPr>
        <w:t> </w:t>
      </w:r>
      <w:r>
        <w:rPr>
          <w:sz w:val="22"/>
        </w:rPr>
        <w:t>habitantes,</w:t>
      </w:r>
      <w:r>
        <w:rPr>
          <w:spacing w:val="-7"/>
          <w:sz w:val="22"/>
        </w:rPr>
        <w:t> </w:t>
      </w:r>
      <w:r>
        <w:rPr>
          <w:sz w:val="22"/>
        </w:rPr>
        <w:t>resulta</w:t>
      </w:r>
      <w:r>
        <w:rPr>
          <w:spacing w:val="-6"/>
          <w:sz w:val="22"/>
        </w:rPr>
        <w:t> </w:t>
      </w:r>
      <w:r>
        <w:rPr>
          <w:sz w:val="22"/>
        </w:rPr>
        <w:t>que</w:t>
      </w:r>
      <w:r>
        <w:rPr>
          <w:spacing w:val="-6"/>
          <w:sz w:val="22"/>
        </w:rPr>
        <w:t> </w:t>
      </w:r>
      <w:r>
        <w:rPr>
          <w:sz w:val="22"/>
        </w:rPr>
        <w:t>todos</w:t>
      </w:r>
      <w:r>
        <w:rPr>
          <w:spacing w:val="-6"/>
          <w:sz w:val="22"/>
        </w:rPr>
        <w:t> </w:t>
      </w:r>
      <w:r>
        <w:rPr>
          <w:sz w:val="22"/>
        </w:rPr>
        <w:t>los</w:t>
      </w:r>
      <w:r>
        <w:rPr>
          <w:spacing w:val="-9"/>
          <w:sz w:val="22"/>
        </w:rPr>
        <w:t> </w:t>
      </w:r>
      <w:r>
        <w:rPr>
          <w:sz w:val="22"/>
        </w:rPr>
        <w:t>municipios</w:t>
      </w:r>
      <w:r>
        <w:rPr>
          <w:spacing w:val="-5"/>
          <w:sz w:val="22"/>
        </w:rPr>
        <w:t> </w:t>
      </w:r>
      <w:r>
        <w:rPr>
          <w:sz w:val="22"/>
        </w:rPr>
        <w:t>tienen</w:t>
      </w:r>
      <w:r>
        <w:rPr>
          <w:spacing w:val="-7"/>
          <w:sz w:val="22"/>
        </w:rPr>
        <w:t> </w:t>
      </w:r>
      <w:r>
        <w:rPr>
          <w:sz w:val="22"/>
        </w:rPr>
        <w:t>una</w:t>
      </w:r>
      <w:r>
        <w:rPr>
          <w:spacing w:val="-6"/>
          <w:sz w:val="22"/>
        </w:rPr>
        <w:t> </w:t>
      </w:r>
      <w:r>
        <w:rPr>
          <w:sz w:val="22"/>
        </w:rPr>
        <w:t>densidad</w:t>
      </w:r>
      <w:r>
        <w:rPr>
          <w:spacing w:val="-6"/>
          <w:sz w:val="22"/>
        </w:rPr>
        <w:t> </w:t>
      </w:r>
      <w:r>
        <w:rPr>
          <w:sz w:val="22"/>
        </w:rPr>
        <w:t>de</w:t>
      </w:r>
      <w:r>
        <w:rPr>
          <w:spacing w:val="-7"/>
          <w:sz w:val="22"/>
        </w:rPr>
        <w:t> </w:t>
      </w:r>
      <w:r>
        <w:rPr>
          <w:sz w:val="22"/>
        </w:rPr>
        <w:t>líneas por habitantes muy pareja, sobresaliendo algo más </w:t>
      </w:r>
      <w:r>
        <w:rPr>
          <w:b/>
          <w:sz w:val="22"/>
        </w:rPr>
        <w:t>Las Palmas de Gran Canaria, Bilbao </w:t>
      </w:r>
      <w:r>
        <w:rPr>
          <w:sz w:val="22"/>
        </w:rPr>
        <w:t>y </w:t>
      </w:r>
      <w:r>
        <w:rPr>
          <w:b/>
          <w:sz w:val="22"/>
        </w:rPr>
        <w:t>Córdoba</w:t>
      </w:r>
      <w:r>
        <w:rPr>
          <w:sz w:val="22"/>
        </w:rPr>
        <w:t>. Si se atiende a la extensión, destacan </w:t>
      </w:r>
      <w:r>
        <w:rPr>
          <w:b/>
          <w:sz w:val="22"/>
        </w:rPr>
        <w:t>Bilbao, Las Palmas de Gran Canaria </w:t>
      </w:r>
      <w:r>
        <w:rPr>
          <w:sz w:val="22"/>
        </w:rPr>
        <w:t>y </w:t>
      </w:r>
      <w:r>
        <w:rPr>
          <w:b/>
          <w:sz w:val="22"/>
        </w:rPr>
        <w:t>Sevilla </w:t>
      </w:r>
      <w:r>
        <w:rPr>
          <w:sz w:val="22"/>
        </w:rPr>
        <w:t>como los municipios con mayor densidad de líneas por superficie, tal y como se refleja en el gráfico </w:t>
      </w:r>
      <w:r>
        <w:rPr>
          <w:spacing w:val="-2"/>
          <w:sz w:val="22"/>
        </w:rPr>
        <w:t>siguiente.</w:t>
      </w:r>
    </w:p>
    <w:p>
      <w:pPr>
        <w:pStyle w:val="BodyText"/>
        <w:spacing w:before="107"/>
      </w:pPr>
    </w:p>
    <w:p>
      <w:pPr>
        <w:pStyle w:val="Heading4"/>
        <w:ind w:left="0" w:right="1"/>
      </w:pPr>
      <w:bookmarkStart w:name="_bookmark17" w:id="19"/>
      <w:bookmarkEnd w:id="19"/>
      <w:r>
        <w:rPr>
          <w:b w:val="0"/>
        </w:rPr>
      </w:r>
      <w:r>
        <w:rPr/>
        <w:t>GRÁFICO</w:t>
      </w:r>
      <w:r>
        <w:rPr>
          <w:spacing w:val="-5"/>
        </w:rPr>
        <w:t> </w:t>
      </w:r>
      <w:r>
        <w:rPr/>
        <w:t>2.</w:t>
      </w:r>
      <w:r>
        <w:rPr>
          <w:spacing w:val="-4"/>
        </w:rPr>
        <w:t> </w:t>
      </w:r>
      <w:r>
        <w:rPr/>
        <w:t>DENSIDAD</w:t>
      </w:r>
      <w:r>
        <w:rPr>
          <w:spacing w:val="-4"/>
        </w:rPr>
        <w:t> </w:t>
      </w:r>
      <w:r>
        <w:rPr/>
        <w:t>DE</w:t>
      </w:r>
      <w:r>
        <w:rPr>
          <w:spacing w:val="-3"/>
        </w:rPr>
        <w:t> </w:t>
      </w:r>
      <w:r>
        <w:rPr/>
        <w:t>LAS</w:t>
      </w:r>
      <w:r>
        <w:rPr>
          <w:spacing w:val="-7"/>
        </w:rPr>
        <w:t> </w:t>
      </w:r>
      <w:r>
        <w:rPr/>
        <w:t>LÍNEAS</w:t>
      </w:r>
      <w:r>
        <w:rPr>
          <w:spacing w:val="-3"/>
        </w:rPr>
        <w:t> </w:t>
      </w:r>
      <w:r>
        <w:rPr/>
        <w:t>DE</w:t>
      </w:r>
      <w:r>
        <w:rPr>
          <w:spacing w:val="-5"/>
        </w:rPr>
        <w:t> </w:t>
      </w:r>
      <w:r>
        <w:rPr>
          <w:spacing w:val="-2"/>
        </w:rPr>
        <w:t>AUTOBÚS</w:t>
      </w:r>
    </w:p>
    <w:p>
      <w:pPr>
        <w:pStyle w:val="BodyText"/>
        <w:spacing w:before="1"/>
        <w:rPr>
          <w:b/>
          <w:sz w:val="18"/>
        </w:rPr>
      </w:pPr>
      <w:r>
        <w:rPr>
          <w:b/>
          <w:sz w:val="18"/>
        </w:rPr>
        <mc:AlternateContent>
          <mc:Choice Requires="wps">
            <w:drawing>
              <wp:anchor distT="0" distB="0" distL="0" distR="0" allowOverlap="1" layoutInCell="1" locked="0" behindDoc="1" simplePos="0" relativeHeight="487595520">
                <wp:simplePos x="0" y="0"/>
                <wp:positionH relativeFrom="page">
                  <wp:posOffset>1044257</wp:posOffset>
                </wp:positionH>
                <wp:positionV relativeFrom="paragraph">
                  <wp:posOffset>148041</wp:posOffset>
                </wp:positionV>
                <wp:extent cx="5371465" cy="2562225"/>
                <wp:effectExtent l="0" t="0" r="0" b="0"/>
                <wp:wrapTopAndBottom/>
                <wp:docPr id="98" name="Group 98"/>
                <wp:cNvGraphicFramePr>
                  <a:graphicFrameLocks/>
                </wp:cNvGraphicFramePr>
                <a:graphic>
                  <a:graphicData uri="http://schemas.microsoft.com/office/word/2010/wordprocessingGroup">
                    <wpg:wgp>
                      <wpg:cNvPr id="98" name="Group 98"/>
                      <wpg:cNvGrpSpPr/>
                      <wpg:grpSpPr>
                        <a:xfrm>
                          <a:off x="0" y="0"/>
                          <a:ext cx="5371465" cy="2562225"/>
                          <a:chExt cx="5371465" cy="2562225"/>
                        </a:xfrm>
                      </wpg:grpSpPr>
                      <wps:wsp>
                        <wps:cNvPr id="99" name="Graphic 99"/>
                        <wps:cNvSpPr/>
                        <wps:spPr>
                          <a:xfrm>
                            <a:off x="315023" y="300799"/>
                            <a:ext cx="4912360" cy="937260"/>
                          </a:xfrm>
                          <a:custGeom>
                            <a:avLst/>
                            <a:gdLst/>
                            <a:ahLst/>
                            <a:cxnLst/>
                            <a:rect l="l" t="t" r="r" b="b"/>
                            <a:pathLst>
                              <a:path w="4912360" h="937260">
                                <a:moveTo>
                                  <a:pt x="0" y="937260"/>
                                </a:moveTo>
                                <a:lnTo>
                                  <a:pt x="603631" y="937260"/>
                                </a:lnTo>
                              </a:path>
                              <a:path w="4912360" h="937260">
                                <a:moveTo>
                                  <a:pt x="800226" y="937260"/>
                                </a:moveTo>
                                <a:lnTo>
                                  <a:pt x="1694814" y="937260"/>
                                </a:lnTo>
                              </a:path>
                              <a:path w="4912360" h="937260">
                                <a:moveTo>
                                  <a:pt x="1892934" y="937260"/>
                                </a:moveTo>
                                <a:lnTo>
                                  <a:pt x="1927986" y="937260"/>
                                </a:lnTo>
                              </a:path>
                              <a:path w="4912360" h="937260">
                                <a:moveTo>
                                  <a:pt x="2124583" y="937260"/>
                                </a:moveTo>
                                <a:lnTo>
                                  <a:pt x="2241931" y="937260"/>
                                </a:lnTo>
                              </a:path>
                              <a:path w="4912360" h="937260">
                                <a:moveTo>
                                  <a:pt x="2438527" y="937260"/>
                                </a:moveTo>
                                <a:lnTo>
                                  <a:pt x="3333115" y="937260"/>
                                </a:lnTo>
                              </a:path>
                              <a:path w="4912360" h="937260">
                                <a:moveTo>
                                  <a:pt x="3529710" y="937260"/>
                                </a:moveTo>
                                <a:lnTo>
                                  <a:pt x="3878706" y="937260"/>
                                </a:lnTo>
                              </a:path>
                              <a:path w="4912360" h="937260">
                                <a:moveTo>
                                  <a:pt x="4075303" y="937260"/>
                                </a:moveTo>
                                <a:lnTo>
                                  <a:pt x="4911979" y="937260"/>
                                </a:lnTo>
                              </a:path>
                              <a:path w="4912360" h="937260">
                                <a:moveTo>
                                  <a:pt x="0" y="780288"/>
                                </a:moveTo>
                                <a:lnTo>
                                  <a:pt x="603631" y="780288"/>
                                </a:lnTo>
                              </a:path>
                              <a:path w="4912360" h="937260">
                                <a:moveTo>
                                  <a:pt x="800226" y="780288"/>
                                </a:moveTo>
                                <a:lnTo>
                                  <a:pt x="1694814" y="780288"/>
                                </a:lnTo>
                              </a:path>
                              <a:path w="4912360" h="937260">
                                <a:moveTo>
                                  <a:pt x="1892934" y="780288"/>
                                </a:moveTo>
                                <a:lnTo>
                                  <a:pt x="3878706" y="780288"/>
                                </a:lnTo>
                              </a:path>
                              <a:path w="4912360" h="937260">
                                <a:moveTo>
                                  <a:pt x="4075303" y="780288"/>
                                </a:moveTo>
                                <a:lnTo>
                                  <a:pt x="4911979" y="780288"/>
                                </a:lnTo>
                              </a:path>
                              <a:path w="4912360" h="937260">
                                <a:moveTo>
                                  <a:pt x="0" y="624840"/>
                                </a:moveTo>
                                <a:lnTo>
                                  <a:pt x="603631" y="624840"/>
                                </a:lnTo>
                              </a:path>
                              <a:path w="4912360" h="937260">
                                <a:moveTo>
                                  <a:pt x="800226" y="624840"/>
                                </a:moveTo>
                                <a:lnTo>
                                  <a:pt x="1694814" y="624840"/>
                                </a:lnTo>
                              </a:path>
                              <a:path w="4912360" h="937260">
                                <a:moveTo>
                                  <a:pt x="0" y="467868"/>
                                </a:moveTo>
                                <a:lnTo>
                                  <a:pt x="603631" y="467868"/>
                                </a:lnTo>
                              </a:path>
                              <a:path w="4912360" h="937260">
                                <a:moveTo>
                                  <a:pt x="800226" y="467868"/>
                                </a:moveTo>
                                <a:lnTo>
                                  <a:pt x="4911979" y="467868"/>
                                </a:lnTo>
                              </a:path>
                              <a:path w="4912360" h="937260">
                                <a:moveTo>
                                  <a:pt x="0" y="312420"/>
                                </a:moveTo>
                                <a:lnTo>
                                  <a:pt x="603631" y="312420"/>
                                </a:lnTo>
                              </a:path>
                              <a:path w="4912360" h="937260">
                                <a:moveTo>
                                  <a:pt x="800226" y="312420"/>
                                </a:moveTo>
                                <a:lnTo>
                                  <a:pt x="4911979" y="312420"/>
                                </a:lnTo>
                              </a:path>
                              <a:path w="4912360" h="937260">
                                <a:moveTo>
                                  <a:pt x="0" y="155448"/>
                                </a:moveTo>
                                <a:lnTo>
                                  <a:pt x="603631" y="155448"/>
                                </a:lnTo>
                              </a:path>
                              <a:path w="4912360" h="937260">
                                <a:moveTo>
                                  <a:pt x="800226" y="155448"/>
                                </a:moveTo>
                                <a:lnTo>
                                  <a:pt x="4911979" y="155448"/>
                                </a:lnTo>
                              </a:path>
                              <a:path w="4912360" h="937260">
                                <a:moveTo>
                                  <a:pt x="0" y="0"/>
                                </a:moveTo>
                                <a:lnTo>
                                  <a:pt x="603631" y="0"/>
                                </a:lnTo>
                              </a:path>
                              <a:path w="4912360" h="937260">
                                <a:moveTo>
                                  <a:pt x="800226" y="0"/>
                                </a:moveTo>
                                <a:lnTo>
                                  <a:pt x="4911979" y="0"/>
                                </a:lnTo>
                              </a:path>
                            </a:pathLst>
                          </a:custGeom>
                          <a:ln w="9525">
                            <a:solidFill>
                              <a:srgbClr val="D9D9D9"/>
                            </a:solidFill>
                            <a:prstDash val="solid"/>
                          </a:ln>
                        </wps:spPr>
                        <wps:bodyPr wrap="square" lIns="0" tIns="0" rIns="0" bIns="0" rtlCol="0">
                          <a:prstTxWarp prst="textNoShape">
                            <a:avLst/>
                          </a:prstTxWarp>
                          <a:noAutofit/>
                        </wps:bodyPr>
                      </wps:wsp>
                      <wps:wsp>
                        <wps:cNvPr id="100" name="Graphic 100"/>
                        <wps:cNvSpPr/>
                        <wps:spPr>
                          <a:xfrm>
                            <a:off x="373062" y="163639"/>
                            <a:ext cx="4563110" cy="1230630"/>
                          </a:xfrm>
                          <a:custGeom>
                            <a:avLst/>
                            <a:gdLst/>
                            <a:ahLst/>
                            <a:cxnLst/>
                            <a:rect l="l" t="t" r="r" b="b"/>
                            <a:pathLst>
                              <a:path w="4563110" h="1230630">
                                <a:moveTo>
                                  <a:pt x="196596" y="1094232"/>
                                </a:moveTo>
                                <a:lnTo>
                                  <a:pt x="0" y="1094232"/>
                                </a:lnTo>
                                <a:lnTo>
                                  <a:pt x="0" y="1230249"/>
                                </a:lnTo>
                                <a:lnTo>
                                  <a:pt x="196596" y="1230249"/>
                                </a:lnTo>
                                <a:lnTo>
                                  <a:pt x="196596" y="1094232"/>
                                </a:lnTo>
                                <a:close/>
                              </a:path>
                              <a:path w="4563110" h="1230630">
                                <a:moveTo>
                                  <a:pt x="742188" y="0"/>
                                </a:moveTo>
                                <a:lnTo>
                                  <a:pt x="545592" y="0"/>
                                </a:lnTo>
                                <a:lnTo>
                                  <a:pt x="545592" y="1230249"/>
                                </a:lnTo>
                                <a:lnTo>
                                  <a:pt x="742188" y="1230249"/>
                                </a:lnTo>
                                <a:lnTo>
                                  <a:pt x="742188" y="0"/>
                                </a:lnTo>
                                <a:close/>
                              </a:path>
                              <a:path w="4563110" h="1230630">
                                <a:moveTo>
                                  <a:pt x="1289304" y="1197864"/>
                                </a:moveTo>
                                <a:lnTo>
                                  <a:pt x="1091184" y="1197864"/>
                                </a:lnTo>
                                <a:lnTo>
                                  <a:pt x="1091184" y="1230249"/>
                                </a:lnTo>
                                <a:lnTo>
                                  <a:pt x="1289304" y="1230249"/>
                                </a:lnTo>
                                <a:lnTo>
                                  <a:pt x="1289304" y="1197864"/>
                                </a:lnTo>
                                <a:close/>
                              </a:path>
                              <a:path w="4563110" h="1230630">
                                <a:moveTo>
                                  <a:pt x="1834883" y="618744"/>
                                </a:moveTo>
                                <a:lnTo>
                                  <a:pt x="1636776" y="618744"/>
                                </a:lnTo>
                                <a:lnTo>
                                  <a:pt x="1636776" y="1230249"/>
                                </a:lnTo>
                                <a:lnTo>
                                  <a:pt x="1834883" y="1230249"/>
                                </a:lnTo>
                                <a:lnTo>
                                  <a:pt x="1834883" y="618744"/>
                                </a:lnTo>
                                <a:close/>
                              </a:path>
                              <a:path w="4563110" h="1230630">
                                <a:moveTo>
                                  <a:pt x="2380488" y="1048512"/>
                                </a:moveTo>
                                <a:lnTo>
                                  <a:pt x="2183892" y="1048512"/>
                                </a:lnTo>
                                <a:lnTo>
                                  <a:pt x="2183892" y="1230249"/>
                                </a:lnTo>
                                <a:lnTo>
                                  <a:pt x="2380488" y="1230249"/>
                                </a:lnTo>
                                <a:lnTo>
                                  <a:pt x="2380488" y="1048512"/>
                                </a:lnTo>
                                <a:close/>
                              </a:path>
                              <a:path w="4563110" h="1230630">
                                <a:moveTo>
                                  <a:pt x="2926080" y="1184148"/>
                                </a:moveTo>
                                <a:lnTo>
                                  <a:pt x="2729484" y="1184148"/>
                                </a:lnTo>
                                <a:lnTo>
                                  <a:pt x="2729484" y="1230249"/>
                                </a:lnTo>
                                <a:lnTo>
                                  <a:pt x="2926080" y="1230249"/>
                                </a:lnTo>
                                <a:lnTo>
                                  <a:pt x="2926080" y="1184148"/>
                                </a:lnTo>
                                <a:close/>
                              </a:path>
                              <a:path w="4563110" h="1230630">
                                <a:moveTo>
                                  <a:pt x="3471672" y="1024128"/>
                                </a:moveTo>
                                <a:lnTo>
                                  <a:pt x="3275076" y="1024128"/>
                                </a:lnTo>
                                <a:lnTo>
                                  <a:pt x="3275076" y="1230249"/>
                                </a:lnTo>
                                <a:lnTo>
                                  <a:pt x="3471672" y="1230249"/>
                                </a:lnTo>
                                <a:lnTo>
                                  <a:pt x="3471672" y="1024128"/>
                                </a:lnTo>
                                <a:close/>
                              </a:path>
                              <a:path w="4563110" h="1230630">
                                <a:moveTo>
                                  <a:pt x="4017264" y="842772"/>
                                </a:moveTo>
                                <a:lnTo>
                                  <a:pt x="3820668" y="842772"/>
                                </a:lnTo>
                                <a:lnTo>
                                  <a:pt x="3820668" y="1230249"/>
                                </a:lnTo>
                                <a:lnTo>
                                  <a:pt x="4017264" y="1230249"/>
                                </a:lnTo>
                                <a:lnTo>
                                  <a:pt x="4017264" y="842772"/>
                                </a:lnTo>
                                <a:close/>
                              </a:path>
                              <a:path w="4563110" h="1230630">
                                <a:moveTo>
                                  <a:pt x="4562856" y="1176528"/>
                                </a:moveTo>
                                <a:lnTo>
                                  <a:pt x="4366260" y="1176528"/>
                                </a:lnTo>
                                <a:lnTo>
                                  <a:pt x="4366260" y="1230249"/>
                                </a:lnTo>
                                <a:lnTo>
                                  <a:pt x="4562856" y="1230249"/>
                                </a:lnTo>
                                <a:lnTo>
                                  <a:pt x="4562856" y="1176528"/>
                                </a:lnTo>
                                <a:close/>
                              </a:path>
                            </a:pathLst>
                          </a:custGeom>
                          <a:solidFill>
                            <a:srgbClr val="891538"/>
                          </a:solidFill>
                        </wps:spPr>
                        <wps:bodyPr wrap="square" lIns="0" tIns="0" rIns="0" bIns="0" rtlCol="0">
                          <a:prstTxWarp prst="textNoShape">
                            <a:avLst/>
                          </a:prstTxWarp>
                          <a:noAutofit/>
                        </wps:bodyPr>
                      </wps:wsp>
                      <wps:wsp>
                        <wps:cNvPr id="101" name="Graphic 101"/>
                        <wps:cNvSpPr/>
                        <wps:spPr>
                          <a:xfrm>
                            <a:off x="606234" y="1227403"/>
                            <a:ext cx="4563110" cy="167005"/>
                          </a:xfrm>
                          <a:custGeom>
                            <a:avLst/>
                            <a:gdLst/>
                            <a:ahLst/>
                            <a:cxnLst/>
                            <a:rect l="l" t="t" r="r" b="b"/>
                            <a:pathLst>
                              <a:path w="4563110" h="167005">
                                <a:moveTo>
                                  <a:pt x="196596" y="89903"/>
                                </a:moveTo>
                                <a:lnTo>
                                  <a:pt x="0" y="89903"/>
                                </a:lnTo>
                                <a:lnTo>
                                  <a:pt x="0" y="166484"/>
                                </a:lnTo>
                                <a:lnTo>
                                  <a:pt x="196596" y="166484"/>
                                </a:lnTo>
                                <a:lnTo>
                                  <a:pt x="196596" y="89903"/>
                                </a:lnTo>
                                <a:close/>
                              </a:path>
                              <a:path w="4563110" h="167005">
                                <a:moveTo>
                                  <a:pt x="742188" y="19799"/>
                                </a:moveTo>
                                <a:lnTo>
                                  <a:pt x="545592" y="19799"/>
                                </a:lnTo>
                                <a:lnTo>
                                  <a:pt x="545592" y="166484"/>
                                </a:lnTo>
                                <a:lnTo>
                                  <a:pt x="742188" y="166484"/>
                                </a:lnTo>
                                <a:lnTo>
                                  <a:pt x="742188" y="19799"/>
                                </a:lnTo>
                                <a:close/>
                              </a:path>
                              <a:path w="4563110" h="167005">
                                <a:moveTo>
                                  <a:pt x="1287780" y="41135"/>
                                </a:moveTo>
                                <a:lnTo>
                                  <a:pt x="1091184" y="41135"/>
                                </a:lnTo>
                                <a:lnTo>
                                  <a:pt x="1091184" y="166484"/>
                                </a:lnTo>
                                <a:lnTo>
                                  <a:pt x="1287780" y="166484"/>
                                </a:lnTo>
                                <a:lnTo>
                                  <a:pt x="1287780" y="41135"/>
                                </a:lnTo>
                                <a:close/>
                              </a:path>
                              <a:path w="4563110" h="167005">
                                <a:moveTo>
                                  <a:pt x="1833372" y="0"/>
                                </a:moveTo>
                                <a:lnTo>
                                  <a:pt x="1636763" y="0"/>
                                </a:lnTo>
                                <a:lnTo>
                                  <a:pt x="1636763" y="166484"/>
                                </a:lnTo>
                                <a:lnTo>
                                  <a:pt x="1833372" y="166484"/>
                                </a:lnTo>
                                <a:lnTo>
                                  <a:pt x="1833372" y="0"/>
                                </a:lnTo>
                                <a:close/>
                              </a:path>
                              <a:path w="4563110" h="167005">
                                <a:moveTo>
                                  <a:pt x="2378964" y="44183"/>
                                </a:moveTo>
                                <a:lnTo>
                                  <a:pt x="2182368" y="44183"/>
                                </a:lnTo>
                                <a:lnTo>
                                  <a:pt x="2182368" y="166484"/>
                                </a:lnTo>
                                <a:lnTo>
                                  <a:pt x="2378964" y="166484"/>
                                </a:lnTo>
                                <a:lnTo>
                                  <a:pt x="2378964" y="44183"/>
                                </a:lnTo>
                                <a:close/>
                              </a:path>
                              <a:path w="4563110" h="167005">
                                <a:moveTo>
                                  <a:pt x="2924556" y="80759"/>
                                </a:moveTo>
                                <a:lnTo>
                                  <a:pt x="2727960" y="80759"/>
                                </a:lnTo>
                                <a:lnTo>
                                  <a:pt x="2727960" y="166484"/>
                                </a:lnTo>
                                <a:lnTo>
                                  <a:pt x="2924556" y="166484"/>
                                </a:lnTo>
                                <a:lnTo>
                                  <a:pt x="2924556" y="80759"/>
                                </a:lnTo>
                                <a:close/>
                              </a:path>
                              <a:path w="4563110" h="167005">
                                <a:moveTo>
                                  <a:pt x="3471672" y="67043"/>
                                </a:moveTo>
                                <a:lnTo>
                                  <a:pt x="3273552" y="67043"/>
                                </a:lnTo>
                                <a:lnTo>
                                  <a:pt x="3273552" y="166484"/>
                                </a:lnTo>
                                <a:lnTo>
                                  <a:pt x="3471672" y="166484"/>
                                </a:lnTo>
                                <a:lnTo>
                                  <a:pt x="3471672" y="67043"/>
                                </a:lnTo>
                                <a:close/>
                              </a:path>
                              <a:path w="4563110" h="167005">
                                <a:moveTo>
                                  <a:pt x="4017264" y="86855"/>
                                </a:moveTo>
                                <a:lnTo>
                                  <a:pt x="3819144" y="86855"/>
                                </a:lnTo>
                                <a:lnTo>
                                  <a:pt x="3819144" y="166484"/>
                                </a:lnTo>
                                <a:lnTo>
                                  <a:pt x="4017264" y="166484"/>
                                </a:lnTo>
                                <a:lnTo>
                                  <a:pt x="4017264" y="86855"/>
                                </a:lnTo>
                                <a:close/>
                              </a:path>
                              <a:path w="4563110" h="167005">
                                <a:moveTo>
                                  <a:pt x="4562856" y="89903"/>
                                </a:moveTo>
                                <a:lnTo>
                                  <a:pt x="4366260" y="89903"/>
                                </a:lnTo>
                                <a:lnTo>
                                  <a:pt x="4366260" y="166484"/>
                                </a:lnTo>
                                <a:lnTo>
                                  <a:pt x="4562856" y="166484"/>
                                </a:lnTo>
                                <a:lnTo>
                                  <a:pt x="4562856" y="89903"/>
                                </a:lnTo>
                                <a:close/>
                              </a:path>
                            </a:pathLst>
                          </a:custGeom>
                          <a:solidFill>
                            <a:srgbClr val="002D5D"/>
                          </a:solidFill>
                        </wps:spPr>
                        <wps:bodyPr wrap="square" lIns="0" tIns="0" rIns="0" bIns="0" rtlCol="0">
                          <a:prstTxWarp prst="textNoShape">
                            <a:avLst/>
                          </a:prstTxWarp>
                          <a:noAutofit/>
                        </wps:bodyPr>
                      </wps:wsp>
                      <wps:wsp>
                        <wps:cNvPr id="102" name="Graphic 102"/>
                        <wps:cNvSpPr/>
                        <wps:spPr>
                          <a:xfrm>
                            <a:off x="315023" y="1393888"/>
                            <a:ext cx="4912360" cy="1270"/>
                          </a:xfrm>
                          <a:custGeom>
                            <a:avLst/>
                            <a:gdLst/>
                            <a:ahLst/>
                            <a:cxnLst/>
                            <a:rect l="l" t="t" r="r" b="b"/>
                            <a:pathLst>
                              <a:path w="4912360" h="0">
                                <a:moveTo>
                                  <a:pt x="0" y="0"/>
                                </a:moveTo>
                                <a:lnTo>
                                  <a:pt x="4911979" y="0"/>
                                </a:lnTo>
                              </a:path>
                            </a:pathLst>
                          </a:custGeom>
                          <a:ln w="9525">
                            <a:solidFill>
                              <a:srgbClr val="D9D9D9"/>
                            </a:solidFill>
                            <a:prstDash val="solid"/>
                          </a:ln>
                        </wps:spPr>
                        <wps:bodyPr wrap="square" lIns="0" tIns="0" rIns="0" bIns="0" rtlCol="0">
                          <a:prstTxWarp prst="textNoShape">
                            <a:avLst/>
                          </a:prstTxWarp>
                          <a:noAutofit/>
                        </wps:bodyPr>
                      </wps:wsp>
                      <wps:wsp>
                        <wps:cNvPr id="103" name="Graphic 103"/>
                        <wps:cNvSpPr/>
                        <wps:spPr>
                          <a:xfrm>
                            <a:off x="1356804" y="214746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891538"/>
                          </a:solidFill>
                        </wps:spPr>
                        <wps:bodyPr wrap="square" lIns="0" tIns="0" rIns="0" bIns="0" rtlCol="0">
                          <a:prstTxWarp prst="textNoShape">
                            <a:avLst/>
                          </a:prstTxWarp>
                          <a:noAutofit/>
                        </wps:bodyPr>
                      </wps:wsp>
                      <wps:wsp>
                        <wps:cNvPr id="104" name="Graphic 104"/>
                        <wps:cNvSpPr/>
                        <wps:spPr>
                          <a:xfrm>
                            <a:off x="1356804" y="236184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002D5D"/>
                          </a:solidFill>
                        </wps:spPr>
                        <wps:bodyPr wrap="square" lIns="0" tIns="0" rIns="0" bIns="0" rtlCol="0">
                          <a:prstTxWarp prst="textNoShape">
                            <a:avLst/>
                          </a:prstTxWarp>
                          <a:noAutofit/>
                        </wps:bodyPr>
                      </wps:wsp>
                      <wps:wsp>
                        <wps:cNvPr id="105" name="Graphic 105"/>
                        <wps:cNvSpPr/>
                        <wps:spPr>
                          <a:xfrm>
                            <a:off x="4762" y="4762"/>
                            <a:ext cx="5361940" cy="2552700"/>
                          </a:xfrm>
                          <a:custGeom>
                            <a:avLst/>
                            <a:gdLst/>
                            <a:ahLst/>
                            <a:cxnLst/>
                            <a:rect l="l" t="t" r="r" b="b"/>
                            <a:pathLst>
                              <a:path w="5361940" h="2552700">
                                <a:moveTo>
                                  <a:pt x="0" y="2552700"/>
                                </a:moveTo>
                                <a:lnTo>
                                  <a:pt x="5361939" y="2552700"/>
                                </a:lnTo>
                                <a:lnTo>
                                  <a:pt x="5361939" y="0"/>
                                </a:lnTo>
                                <a:lnTo>
                                  <a:pt x="0" y="0"/>
                                </a:lnTo>
                                <a:lnTo>
                                  <a:pt x="0" y="2552700"/>
                                </a:lnTo>
                                <a:close/>
                              </a:path>
                            </a:pathLst>
                          </a:custGeom>
                          <a:ln w="9525">
                            <a:solidFill>
                              <a:srgbClr val="D9D9D9"/>
                            </a:solidFill>
                            <a:prstDash val="solid"/>
                          </a:ln>
                        </wps:spPr>
                        <wps:bodyPr wrap="square" lIns="0" tIns="0" rIns="0" bIns="0" rtlCol="0">
                          <a:prstTxWarp prst="textNoShape">
                            <a:avLst/>
                          </a:prstTxWarp>
                          <a:noAutofit/>
                        </wps:bodyPr>
                      </wps:wsp>
                      <wps:wsp>
                        <wps:cNvPr id="106" name="Textbox 106"/>
                        <wps:cNvSpPr txBox="1"/>
                        <wps:spPr>
                          <a:xfrm>
                            <a:off x="87464" y="68253"/>
                            <a:ext cx="135255" cy="1389380"/>
                          </a:xfrm>
                          <a:prstGeom prst="rect">
                            <a:avLst/>
                          </a:prstGeom>
                        </wps:spPr>
                        <wps:txbx>
                          <w:txbxContent>
                            <w:p>
                              <w:pPr>
                                <w:spacing w:line="217" w:lineRule="exact" w:before="0"/>
                                <w:ind w:left="0" w:right="0" w:firstLine="0"/>
                                <w:jc w:val="left"/>
                                <w:rPr>
                                  <w:rFonts w:ascii="Calibri"/>
                                  <w:sz w:val="18"/>
                                </w:rPr>
                              </w:pPr>
                              <w:r>
                                <w:rPr>
                                  <w:rFonts w:ascii="Calibri"/>
                                  <w:color w:val="585858"/>
                                  <w:spacing w:val="-5"/>
                                  <w:w w:val="105"/>
                                  <w:sz w:val="18"/>
                                </w:rPr>
                                <w:t>16</w:t>
                              </w:r>
                            </w:p>
                            <w:p>
                              <w:pPr>
                                <w:spacing w:before="26"/>
                                <w:ind w:left="0" w:right="0" w:firstLine="0"/>
                                <w:jc w:val="left"/>
                                <w:rPr>
                                  <w:rFonts w:ascii="Calibri"/>
                                  <w:sz w:val="18"/>
                                </w:rPr>
                              </w:pPr>
                              <w:r>
                                <w:rPr>
                                  <w:rFonts w:ascii="Calibri"/>
                                  <w:color w:val="585858"/>
                                  <w:spacing w:val="-5"/>
                                  <w:w w:val="105"/>
                                  <w:sz w:val="18"/>
                                </w:rPr>
                                <w:t>14</w:t>
                              </w:r>
                            </w:p>
                            <w:p>
                              <w:pPr>
                                <w:spacing w:before="26"/>
                                <w:ind w:left="0" w:right="0" w:firstLine="0"/>
                                <w:jc w:val="left"/>
                                <w:rPr>
                                  <w:rFonts w:ascii="Calibri"/>
                                  <w:sz w:val="18"/>
                                </w:rPr>
                              </w:pPr>
                              <w:r>
                                <w:rPr>
                                  <w:rFonts w:ascii="Calibri"/>
                                  <w:color w:val="585858"/>
                                  <w:spacing w:val="-5"/>
                                  <w:w w:val="105"/>
                                  <w:sz w:val="18"/>
                                </w:rPr>
                                <w:t>12</w:t>
                              </w:r>
                            </w:p>
                            <w:p>
                              <w:pPr>
                                <w:spacing w:before="26"/>
                                <w:ind w:left="0" w:right="0" w:firstLine="0"/>
                                <w:jc w:val="left"/>
                                <w:rPr>
                                  <w:rFonts w:ascii="Calibri"/>
                                  <w:sz w:val="18"/>
                                </w:rPr>
                              </w:pPr>
                              <w:r>
                                <w:rPr>
                                  <w:rFonts w:ascii="Calibri"/>
                                  <w:color w:val="585858"/>
                                  <w:spacing w:val="-5"/>
                                  <w:w w:val="105"/>
                                  <w:sz w:val="18"/>
                                </w:rPr>
                                <w:t>10</w:t>
                              </w:r>
                            </w:p>
                            <w:p>
                              <w:pPr>
                                <w:spacing w:before="27"/>
                                <w:ind w:left="96" w:right="0" w:firstLine="0"/>
                                <w:jc w:val="left"/>
                                <w:rPr>
                                  <w:rFonts w:ascii="Calibri"/>
                                  <w:sz w:val="18"/>
                                </w:rPr>
                              </w:pPr>
                              <w:r>
                                <w:rPr>
                                  <w:rFonts w:ascii="Calibri"/>
                                  <w:color w:val="585858"/>
                                  <w:spacing w:val="-10"/>
                                  <w:w w:val="105"/>
                                  <w:sz w:val="18"/>
                                </w:rPr>
                                <w:t>8</w:t>
                              </w:r>
                            </w:p>
                            <w:p>
                              <w:pPr>
                                <w:spacing w:before="26"/>
                                <w:ind w:left="96" w:right="0" w:firstLine="0"/>
                                <w:jc w:val="left"/>
                                <w:rPr>
                                  <w:rFonts w:ascii="Calibri"/>
                                  <w:sz w:val="18"/>
                                </w:rPr>
                              </w:pPr>
                              <w:r>
                                <w:rPr>
                                  <w:rFonts w:ascii="Calibri"/>
                                  <w:color w:val="585858"/>
                                  <w:spacing w:val="-10"/>
                                  <w:w w:val="105"/>
                                  <w:sz w:val="18"/>
                                </w:rPr>
                                <w:t>6</w:t>
                              </w:r>
                            </w:p>
                            <w:p>
                              <w:pPr>
                                <w:spacing w:before="26"/>
                                <w:ind w:left="96" w:right="0" w:firstLine="0"/>
                                <w:jc w:val="left"/>
                                <w:rPr>
                                  <w:rFonts w:ascii="Calibri"/>
                                  <w:sz w:val="18"/>
                                </w:rPr>
                              </w:pPr>
                              <w:r>
                                <w:rPr>
                                  <w:rFonts w:ascii="Calibri"/>
                                  <w:color w:val="585858"/>
                                  <w:spacing w:val="-10"/>
                                  <w:w w:val="105"/>
                                  <w:sz w:val="18"/>
                                </w:rPr>
                                <w:t>4</w:t>
                              </w:r>
                            </w:p>
                            <w:p>
                              <w:pPr>
                                <w:spacing w:before="26"/>
                                <w:ind w:left="96" w:right="0" w:firstLine="0"/>
                                <w:jc w:val="left"/>
                                <w:rPr>
                                  <w:rFonts w:ascii="Calibri"/>
                                  <w:sz w:val="18"/>
                                </w:rPr>
                              </w:pPr>
                              <w:r>
                                <w:rPr>
                                  <w:rFonts w:ascii="Calibri"/>
                                  <w:color w:val="585858"/>
                                  <w:spacing w:val="-10"/>
                                  <w:w w:val="105"/>
                                  <w:sz w:val="18"/>
                                </w:rPr>
                                <w:t>2</w:t>
                              </w:r>
                            </w:p>
                            <w:p>
                              <w:pPr>
                                <w:spacing w:before="27"/>
                                <w:ind w:left="96" w:right="0" w:firstLine="0"/>
                                <w:jc w:val="left"/>
                                <w:rPr>
                                  <w:rFonts w:ascii="Calibri"/>
                                  <w:sz w:val="18"/>
                                </w:rPr>
                              </w:pPr>
                              <w:r>
                                <w:rPr>
                                  <w:rFonts w:ascii="Calibri"/>
                                  <w:color w:val="585858"/>
                                  <w:spacing w:val="-10"/>
                                  <w:w w:val="105"/>
                                  <w:sz w:val="18"/>
                                </w:rPr>
                                <w:t>0</w:t>
                              </w:r>
                            </w:p>
                          </w:txbxContent>
                        </wps:txbx>
                        <wps:bodyPr wrap="square" lIns="0" tIns="0" rIns="0" bIns="0" rtlCol="0">
                          <a:noAutofit/>
                        </wps:bodyPr>
                      </wps:wsp>
                      <wps:wsp>
                        <wps:cNvPr id="107" name="Textbox 107"/>
                        <wps:cNvSpPr txBox="1"/>
                        <wps:spPr>
                          <a:xfrm>
                            <a:off x="315023" y="24412"/>
                            <a:ext cx="4925060" cy="110489"/>
                          </a:xfrm>
                          <a:prstGeom prst="rect">
                            <a:avLst/>
                          </a:prstGeom>
                        </wps:spPr>
                        <wps:txbx>
                          <w:txbxContent>
                            <w:p>
                              <w:pPr>
                                <w:tabs>
                                  <w:tab w:pos="950" w:val="left" w:leader="none"/>
                                  <w:tab w:pos="7735" w:val="left" w:leader="none"/>
                                </w:tabs>
                                <w:spacing w:before="1"/>
                                <w:ind w:left="0" w:right="0" w:firstLine="0"/>
                                <w:jc w:val="left"/>
                                <w:rPr>
                                  <w:rFonts w:ascii="Arial Narrow"/>
                                  <w:b/>
                                  <w:sz w:val="15"/>
                                </w:rPr>
                              </w:pPr>
                              <w:r>
                                <w:rPr>
                                  <w:rFonts w:ascii="Arial Narrow"/>
                                  <w:b/>
                                  <w:color w:val="891538"/>
                                  <w:sz w:val="15"/>
                                  <w:u w:val="single" w:color="D9D9D9"/>
                                </w:rPr>
                                <w:tab/>
                              </w:r>
                              <w:r>
                                <w:rPr>
                                  <w:rFonts w:ascii="Arial Narrow"/>
                                  <w:b/>
                                  <w:color w:val="891538"/>
                                  <w:spacing w:val="-2"/>
                                  <w:sz w:val="15"/>
                                  <w:u w:val="single" w:color="D9D9D9"/>
                                </w:rPr>
                                <w:t>15,76</w:t>
                              </w:r>
                              <w:r>
                                <w:rPr>
                                  <w:rFonts w:ascii="Arial Narrow"/>
                                  <w:b/>
                                  <w:color w:val="891538"/>
                                  <w:sz w:val="15"/>
                                  <w:u w:val="single" w:color="D9D9D9"/>
                                </w:rPr>
                                <w:tab/>
                              </w:r>
                            </w:p>
                          </w:txbxContent>
                        </wps:txbx>
                        <wps:bodyPr wrap="square" lIns="0" tIns="0" rIns="0" bIns="0" rtlCol="0">
                          <a:noAutofit/>
                        </wps:bodyPr>
                      </wps:wsp>
                      <wps:wsp>
                        <wps:cNvPr id="108" name="Textbox 108"/>
                        <wps:cNvSpPr txBox="1"/>
                        <wps:spPr>
                          <a:xfrm>
                            <a:off x="2032063" y="615724"/>
                            <a:ext cx="166370" cy="110489"/>
                          </a:xfrm>
                          <a:prstGeom prst="rect">
                            <a:avLst/>
                          </a:prstGeom>
                        </wps:spPr>
                        <wps:txbx>
                          <w:txbxContent>
                            <w:p>
                              <w:pPr>
                                <w:spacing w:before="1"/>
                                <w:ind w:left="0" w:right="0" w:firstLine="0"/>
                                <w:jc w:val="left"/>
                                <w:rPr>
                                  <w:rFonts w:ascii="Arial Narrow"/>
                                  <w:b/>
                                  <w:sz w:val="15"/>
                                </w:rPr>
                              </w:pPr>
                              <w:r>
                                <w:rPr>
                                  <w:rFonts w:ascii="Arial Narrow"/>
                                  <w:b/>
                                  <w:color w:val="891538"/>
                                  <w:spacing w:val="-4"/>
                                  <w:sz w:val="15"/>
                                </w:rPr>
                                <w:t>7,84</w:t>
                              </w:r>
                            </w:p>
                          </w:txbxContent>
                        </wps:txbx>
                        <wps:bodyPr wrap="square" lIns="0" tIns="0" rIns="0" bIns="0" rtlCol="0">
                          <a:noAutofit/>
                        </wps:bodyPr>
                      </wps:wsp>
                      <wps:wsp>
                        <wps:cNvPr id="109" name="Textbox 109"/>
                        <wps:cNvSpPr txBox="1"/>
                        <wps:spPr>
                          <a:xfrm>
                            <a:off x="2207958" y="841022"/>
                            <a:ext cx="3032125" cy="110489"/>
                          </a:xfrm>
                          <a:prstGeom prst="rect">
                            <a:avLst/>
                          </a:prstGeom>
                        </wps:spPr>
                        <wps:txbx>
                          <w:txbxContent>
                            <w:p>
                              <w:pPr>
                                <w:tabs>
                                  <w:tab w:pos="3161" w:val="left" w:leader="none"/>
                                  <w:tab w:pos="4754" w:val="left" w:leader="none"/>
                                </w:tabs>
                                <w:spacing w:before="1"/>
                                <w:ind w:left="0" w:right="0" w:firstLine="0"/>
                                <w:jc w:val="left"/>
                                <w:rPr>
                                  <w:rFonts w:ascii="Arial Narrow"/>
                                  <w:b/>
                                  <w:sz w:val="15"/>
                                </w:rPr>
                              </w:pPr>
                              <w:r>
                                <w:rPr>
                                  <w:rFonts w:ascii="Arial Narrow"/>
                                  <w:b/>
                                  <w:color w:val="891538"/>
                                  <w:sz w:val="15"/>
                                  <w:u w:val="single" w:color="D9D9D9"/>
                                </w:rPr>
                                <w:tab/>
                              </w:r>
                              <w:r>
                                <w:rPr>
                                  <w:rFonts w:ascii="Arial Narrow"/>
                                  <w:b/>
                                  <w:color w:val="891538"/>
                                  <w:spacing w:val="-4"/>
                                  <w:sz w:val="15"/>
                                  <w:u w:val="single" w:color="D9D9D9"/>
                                </w:rPr>
                                <w:t>4,96</w:t>
                              </w:r>
                              <w:r>
                                <w:rPr>
                                  <w:rFonts w:ascii="Arial Narrow"/>
                                  <w:b/>
                                  <w:color w:val="891538"/>
                                  <w:sz w:val="15"/>
                                  <w:u w:val="single" w:color="D9D9D9"/>
                                </w:rPr>
                                <w:tab/>
                              </w:r>
                            </w:p>
                          </w:txbxContent>
                        </wps:txbx>
                        <wps:bodyPr wrap="square" lIns="0" tIns="0" rIns="0" bIns="0" rtlCol="0">
                          <a:noAutofit/>
                        </wps:bodyPr>
                      </wps:wsp>
                      <wps:wsp>
                        <wps:cNvPr id="110" name="Textbox 110"/>
                        <wps:cNvSpPr txBox="1"/>
                        <wps:spPr>
                          <a:xfrm>
                            <a:off x="394398" y="1092482"/>
                            <a:ext cx="166370" cy="110489"/>
                          </a:xfrm>
                          <a:prstGeom prst="rect">
                            <a:avLst/>
                          </a:prstGeom>
                        </wps:spPr>
                        <wps:txbx>
                          <w:txbxContent>
                            <w:p>
                              <w:pPr>
                                <w:spacing w:before="1"/>
                                <w:ind w:left="0" w:right="0" w:firstLine="0"/>
                                <w:jc w:val="left"/>
                                <w:rPr>
                                  <w:rFonts w:ascii="Arial Narrow"/>
                                  <w:b/>
                                  <w:sz w:val="15"/>
                                </w:rPr>
                              </w:pPr>
                              <w:r>
                                <w:rPr>
                                  <w:rFonts w:ascii="Arial Narrow"/>
                                  <w:b/>
                                  <w:color w:val="891538"/>
                                  <w:spacing w:val="-4"/>
                                  <w:sz w:val="15"/>
                                </w:rPr>
                                <w:t>1,74</w:t>
                              </w:r>
                            </w:p>
                          </w:txbxContent>
                        </wps:txbx>
                        <wps:bodyPr wrap="square" lIns="0" tIns="0" rIns="0" bIns="0" rtlCol="0">
                          <a:noAutofit/>
                        </wps:bodyPr>
                      </wps:wsp>
                      <wps:wsp>
                        <wps:cNvPr id="111" name="Textbox 111"/>
                        <wps:cNvSpPr txBox="1"/>
                        <wps:spPr>
                          <a:xfrm>
                            <a:off x="626935" y="1151537"/>
                            <a:ext cx="166370" cy="110489"/>
                          </a:xfrm>
                          <a:prstGeom prst="rect">
                            <a:avLst/>
                          </a:prstGeom>
                        </wps:spPr>
                        <wps:txbx>
                          <w:txbxContent>
                            <w:p>
                              <w:pPr>
                                <w:spacing w:before="1"/>
                                <w:ind w:left="0" w:right="0" w:firstLine="0"/>
                                <w:jc w:val="left"/>
                                <w:rPr>
                                  <w:rFonts w:ascii="Arial Narrow"/>
                                  <w:b/>
                                  <w:sz w:val="15"/>
                                </w:rPr>
                              </w:pPr>
                              <w:r>
                                <w:rPr>
                                  <w:rFonts w:ascii="Arial Narrow"/>
                                  <w:b/>
                                  <w:color w:val="002D5D"/>
                                  <w:spacing w:val="-4"/>
                                  <w:sz w:val="15"/>
                                </w:rPr>
                                <w:t>0,98</w:t>
                              </w:r>
                            </w:p>
                          </w:txbxContent>
                        </wps:txbx>
                        <wps:bodyPr wrap="square" lIns="0" tIns="0" rIns="0" bIns="0" rtlCol="0">
                          <a:noAutofit/>
                        </wps:bodyPr>
                      </wps:wsp>
                      <wps:wsp>
                        <wps:cNvPr id="112" name="Textbox 112"/>
                        <wps:cNvSpPr txBox="1"/>
                        <wps:spPr>
                          <a:xfrm>
                            <a:off x="1172908" y="1082068"/>
                            <a:ext cx="166370" cy="110489"/>
                          </a:xfrm>
                          <a:prstGeom prst="rect">
                            <a:avLst/>
                          </a:prstGeom>
                        </wps:spPr>
                        <wps:txbx>
                          <w:txbxContent>
                            <w:p>
                              <w:pPr>
                                <w:spacing w:before="1"/>
                                <w:ind w:left="0" w:right="0" w:firstLine="0"/>
                                <w:jc w:val="left"/>
                                <w:rPr>
                                  <w:rFonts w:ascii="Arial Narrow"/>
                                  <w:b/>
                                  <w:sz w:val="15"/>
                                </w:rPr>
                              </w:pPr>
                              <w:r>
                                <w:rPr>
                                  <w:rFonts w:ascii="Arial Narrow"/>
                                  <w:b/>
                                  <w:color w:val="002D5D"/>
                                  <w:spacing w:val="-4"/>
                                  <w:sz w:val="15"/>
                                </w:rPr>
                                <w:t>1,87</w:t>
                              </w:r>
                            </w:p>
                          </w:txbxContent>
                        </wps:txbx>
                        <wps:bodyPr wrap="square" lIns="0" tIns="0" rIns="0" bIns="0" rtlCol="0">
                          <a:noAutofit/>
                        </wps:bodyPr>
                      </wps:wsp>
                      <wps:wsp>
                        <wps:cNvPr id="113" name="Textbox 113"/>
                        <wps:cNvSpPr txBox="1"/>
                        <wps:spPr>
                          <a:xfrm>
                            <a:off x="1718754" y="1101880"/>
                            <a:ext cx="166370" cy="110489"/>
                          </a:xfrm>
                          <a:prstGeom prst="rect">
                            <a:avLst/>
                          </a:prstGeom>
                        </wps:spPr>
                        <wps:txbx>
                          <w:txbxContent>
                            <w:p>
                              <w:pPr>
                                <w:spacing w:before="1"/>
                                <w:ind w:left="0" w:right="0" w:firstLine="0"/>
                                <w:jc w:val="left"/>
                                <w:rPr>
                                  <w:rFonts w:ascii="Arial Narrow"/>
                                  <w:b/>
                                  <w:sz w:val="15"/>
                                </w:rPr>
                              </w:pPr>
                              <w:r>
                                <w:rPr>
                                  <w:rFonts w:ascii="Arial Narrow"/>
                                  <w:b/>
                                  <w:color w:val="002D5D"/>
                                  <w:spacing w:val="-4"/>
                                  <w:sz w:val="15"/>
                                </w:rPr>
                                <w:t>1,61</w:t>
                              </w:r>
                            </w:p>
                          </w:txbxContent>
                        </wps:txbx>
                        <wps:bodyPr wrap="square" lIns="0" tIns="0" rIns="0" bIns="0" rtlCol="0">
                          <a:noAutofit/>
                        </wps:bodyPr>
                      </wps:wsp>
                      <wps:wsp>
                        <wps:cNvPr id="114" name="Textbox 114"/>
                        <wps:cNvSpPr txBox="1"/>
                        <wps:spPr>
                          <a:xfrm>
                            <a:off x="2264600" y="1061621"/>
                            <a:ext cx="166370" cy="110489"/>
                          </a:xfrm>
                          <a:prstGeom prst="rect">
                            <a:avLst/>
                          </a:prstGeom>
                        </wps:spPr>
                        <wps:txbx>
                          <w:txbxContent>
                            <w:p>
                              <w:pPr>
                                <w:spacing w:before="1"/>
                                <w:ind w:left="0" w:right="0" w:firstLine="0"/>
                                <w:jc w:val="left"/>
                                <w:rPr>
                                  <w:rFonts w:ascii="Arial Narrow"/>
                                  <w:b/>
                                  <w:sz w:val="15"/>
                                </w:rPr>
                              </w:pPr>
                              <w:r>
                                <w:rPr>
                                  <w:rFonts w:ascii="Arial Narrow"/>
                                  <w:b/>
                                  <w:color w:val="002D5D"/>
                                  <w:spacing w:val="-4"/>
                                  <w:sz w:val="15"/>
                                </w:rPr>
                                <w:t>2,13</w:t>
                              </w:r>
                            </w:p>
                          </w:txbxContent>
                        </wps:txbx>
                        <wps:bodyPr wrap="square" lIns="0" tIns="0" rIns="0" bIns="0" rtlCol="0">
                          <a:noAutofit/>
                        </wps:bodyPr>
                      </wps:wsp>
                      <wps:wsp>
                        <wps:cNvPr id="115" name="Textbox 115"/>
                        <wps:cNvSpPr txBox="1"/>
                        <wps:spPr>
                          <a:xfrm>
                            <a:off x="2578036" y="1046127"/>
                            <a:ext cx="398780" cy="170815"/>
                          </a:xfrm>
                          <a:prstGeom prst="rect">
                            <a:avLst/>
                          </a:prstGeom>
                        </wps:spPr>
                        <wps:txbx>
                          <w:txbxContent>
                            <w:p>
                              <w:pPr>
                                <w:spacing w:before="1"/>
                                <w:ind w:left="0" w:right="0" w:firstLine="0"/>
                                <w:jc w:val="left"/>
                                <w:rPr>
                                  <w:rFonts w:ascii="Arial Narrow"/>
                                  <w:b/>
                                  <w:position w:val="-8"/>
                                  <w:sz w:val="15"/>
                                </w:rPr>
                              </w:pPr>
                              <w:r>
                                <w:rPr>
                                  <w:rFonts w:ascii="Arial Narrow"/>
                                  <w:b/>
                                  <w:color w:val="891538"/>
                                  <w:sz w:val="15"/>
                                </w:rPr>
                                <w:t>2,33</w:t>
                              </w:r>
                              <w:r>
                                <w:rPr>
                                  <w:rFonts w:ascii="Arial Narrow"/>
                                  <w:b/>
                                  <w:color w:val="891538"/>
                                  <w:spacing w:val="71"/>
                                  <w:w w:val="150"/>
                                  <w:sz w:val="15"/>
                                </w:rPr>
                                <w:t> </w:t>
                              </w:r>
                              <w:r>
                                <w:rPr>
                                  <w:rFonts w:ascii="Arial Narrow"/>
                                  <w:b/>
                                  <w:color w:val="002D5D"/>
                                  <w:spacing w:val="-4"/>
                                  <w:position w:val="-8"/>
                                  <w:sz w:val="15"/>
                                </w:rPr>
                                <w:t>1,56</w:t>
                              </w:r>
                            </w:p>
                          </w:txbxContent>
                        </wps:txbx>
                        <wps:bodyPr wrap="square" lIns="0" tIns="0" rIns="0" bIns="0" rtlCol="0">
                          <a:noAutofit/>
                        </wps:bodyPr>
                      </wps:wsp>
                      <wps:wsp>
                        <wps:cNvPr id="116" name="Textbox 116"/>
                        <wps:cNvSpPr txBox="1"/>
                        <wps:spPr>
                          <a:xfrm>
                            <a:off x="1486217" y="1195479"/>
                            <a:ext cx="166370" cy="110489"/>
                          </a:xfrm>
                          <a:prstGeom prst="rect">
                            <a:avLst/>
                          </a:prstGeom>
                        </wps:spPr>
                        <wps:txbx>
                          <w:txbxContent>
                            <w:p>
                              <w:pPr>
                                <w:spacing w:before="1"/>
                                <w:ind w:left="0" w:right="0" w:firstLine="0"/>
                                <w:jc w:val="left"/>
                                <w:rPr>
                                  <w:rFonts w:ascii="Arial Narrow"/>
                                  <w:b/>
                                  <w:sz w:val="15"/>
                                </w:rPr>
                              </w:pPr>
                              <w:r>
                                <w:rPr>
                                  <w:rFonts w:ascii="Arial Narrow"/>
                                  <w:b/>
                                  <w:color w:val="891538"/>
                                  <w:spacing w:val="-4"/>
                                  <w:sz w:val="15"/>
                                </w:rPr>
                                <w:t>0,42</w:t>
                              </w:r>
                            </w:p>
                          </w:txbxContent>
                        </wps:txbx>
                        <wps:bodyPr wrap="square" lIns="0" tIns="0" rIns="0" bIns="0" rtlCol="0">
                          <a:noAutofit/>
                        </wps:bodyPr>
                      </wps:wsp>
                      <wps:wsp>
                        <wps:cNvPr id="117" name="Textbox 117"/>
                        <wps:cNvSpPr txBox="1"/>
                        <wps:spPr>
                          <a:xfrm>
                            <a:off x="3123882" y="1143028"/>
                            <a:ext cx="398780" cy="149860"/>
                          </a:xfrm>
                          <a:prstGeom prst="rect">
                            <a:avLst/>
                          </a:prstGeom>
                        </wps:spPr>
                        <wps:txbx>
                          <w:txbxContent>
                            <w:p>
                              <w:pPr>
                                <w:spacing w:before="1"/>
                                <w:ind w:left="0" w:right="0" w:firstLine="0"/>
                                <w:jc w:val="left"/>
                                <w:rPr>
                                  <w:rFonts w:ascii="Arial Narrow"/>
                                  <w:b/>
                                  <w:sz w:val="15"/>
                                </w:rPr>
                              </w:pPr>
                              <w:r>
                                <w:rPr>
                                  <w:rFonts w:ascii="Arial Narrow"/>
                                  <w:b/>
                                  <w:color w:val="891538"/>
                                  <w:position w:val="-5"/>
                                  <w:sz w:val="15"/>
                                </w:rPr>
                                <w:t>0,58</w:t>
                              </w:r>
                              <w:r>
                                <w:rPr>
                                  <w:rFonts w:ascii="Arial Narrow"/>
                                  <w:b/>
                                  <w:color w:val="891538"/>
                                  <w:spacing w:val="71"/>
                                  <w:w w:val="150"/>
                                  <w:position w:val="-5"/>
                                  <w:sz w:val="15"/>
                                </w:rPr>
                                <w:t> </w:t>
                              </w:r>
                              <w:r>
                                <w:rPr>
                                  <w:rFonts w:ascii="Arial Narrow"/>
                                  <w:b/>
                                  <w:color w:val="002D5D"/>
                                  <w:spacing w:val="-4"/>
                                  <w:sz w:val="15"/>
                                </w:rPr>
                                <w:t>1,09</w:t>
                              </w:r>
                            </w:p>
                          </w:txbxContent>
                        </wps:txbx>
                        <wps:bodyPr wrap="square" lIns="0" tIns="0" rIns="0" bIns="0" rtlCol="0">
                          <a:noAutofit/>
                        </wps:bodyPr>
                      </wps:wsp>
                      <wps:wsp>
                        <wps:cNvPr id="118" name="Textbox 118"/>
                        <wps:cNvSpPr txBox="1"/>
                        <wps:spPr>
                          <a:xfrm>
                            <a:off x="3669728" y="1021997"/>
                            <a:ext cx="398780" cy="217170"/>
                          </a:xfrm>
                          <a:prstGeom prst="rect">
                            <a:avLst/>
                          </a:prstGeom>
                        </wps:spPr>
                        <wps:txbx>
                          <w:txbxContent>
                            <w:p>
                              <w:pPr>
                                <w:spacing w:line="170" w:lineRule="exact" w:before="1"/>
                                <w:ind w:left="0" w:right="0" w:firstLine="0"/>
                                <w:jc w:val="left"/>
                                <w:rPr>
                                  <w:rFonts w:ascii="Arial Narrow"/>
                                  <w:b/>
                                  <w:sz w:val="15"/>
                                </w:rPr>
                              </w:pPr>
                              <w:r>
                                <w:rPr>
                                  <w:rFonts w:ascii="Arial Narrow"/>
                                  <w:b/>
                                  <w:color w:val="891538"/>
                                  <w:spacing w:val="-4"/>
                                  <w:sz w:val="15"/>
                                </w:rPr>
                                <w:t>2,64</w:t>
                              </w:r>
                            </w:p>
                            <w:p>
                              <w:pPr>
                                <w:spacing w:line="170" w:lineRule="exact" w:before="0"/>
                                <w:ind w:left="366" w:right="0" w:firstLine="0"/>
                                <w:jc w:val="left"/>
                                <w:rPr>
                                  <w:rFonts w:ascii="Arial Narrow"/>
                                  <w:b/>
                                  <w:sz w:val="15"/>
                                </w:rPr>
                              </w:pPr>
                              <w:r>
                                <w:rPr>
                                  <w:rFonts w:ascii="Arial Narrow"/>
                                  <w:b/>
                                  <w:color w:val="002D5D"/>
                                  <w:spacing w:val="-4"/>
                                  <w:sz w:val="15"/>
                                </w:rPr>
                                <w:t>1,27</w:t>
                              </w:r>
                            </w:p>
                          </w:txbxContent>
                        </wps:txbx>
                        <wps:bodyPr wrap="square" lIns="0" tIns="0" rIns="0" bIns="0" rtlCol="0">
                          <a:noAutofit/>
                        </wps:bodyPr>
                      </wps:wsp>
                      <wps:wsp>
                        <wps:cNvPr id="119" name="Textbox 119"/>
                        <wps:cNvSpPr txBox="1"/>
                        <wps:spPr>
                          <a:xfrm>
                            <a:off x="4390326" y="1147981"/>
                            <a:ext cx="770255" cy="135890"/>
                          </a:xfrm>
                          <a:prstGeom prst="rect">
                            <a:avLst/>
                          </a:prstGeom>
                        </wps:spPr>
                        <wps:txbx>
                          <w:txbxContent>
                            <w:p>
                              <w:pPr>
                                <w:tabs>
                                  <w:tab w:pos="584" w:val="left" w:leader="none"/>
                                </w:tabs>
                                <w:spacing w:line="208" w:lineRule="exact" w:before="5"/>
                                <w:ind w:left="0" w:right="0" w:firstLine="0"/>
                                <w:jc w:val="left"/>
                                <w:rPr>
                                  <w:rFonts w:ascii="Arial Narrow"/>
                                  <w:b/>
                                  <w:sz w:val="15"/>
                                </w:rPr>
                              </w:pPr>
                              <w:r>
                                <w:rPr>
                                  <w:rFonts w:ascii="Arial Narrow"/>
                                  <w:b/>
                                  <w:color w:val="002D5D"/>
                                  <w:spacing w:val="56"/>
                                  <w:sz w:val="15"/>
                                  <w:u w:val="single" w:color="D9D9D9"/>
                                </w:rPr>
                                <w:t> </w:t>
                              </w:r>
                              <w:r>
                                <w:rPr>
                                  <w:rFonts w:ascii="Arial Narrow"/>
                                  <w:b/>
                                  <w:color w:val="002D5D"/>
                                  <w:spacing w:val="-4"/>
                                  <w:sz w:val="15"/>
                                  <w:u w:val="single" w:color="D9D9D9"/>
                                </w:rPr>
                                <w:t>1,02</w:t>
                              </w:r>
                              <w:r>
                                <w:rPr>
                                  <w:rFonts w:ascii="Arial Narrow"/>
                                  <w:b/>
                                  <w:color w:val="002D5D"/>
                                  <w:sz w:val="15"/>
                                  <w:u w:val="single" w:color="D9D9D9"/>
                                </w:rPr>
                                <w:tab/>
                              </w:r>
                              <w:r>
                                <w:rPr>
                                  <w:rFonts w:ascii="Arial Narrow"/>
                                  <w:b/>
                                  <w:color w:val="891538"/>
                                  <w:position w:val="-3"/>
                                  <w:sz w:val="15"/>
                                  <w:u w:val="none"/>
                                </w:rPr>
                                <w:t>0,70</w:t>
                              </w:r>
                              <w:r>
                                <w:rPr>
                                  <w:rFonts w:ascii="Arial Narrow"/>
                                  <w:b/>
                                  <w:color w:val="891538"/>
                                  <w:spacing w:val="71"/>
                                  <w:w w:val="150"/>
                                  <w:position w:val="-3"/>
                                  <w:sz w:val="15"/>
                                  <w:u w:val="none"/>
                                </w:rPr>
                                <w:t> </w:t>
                              </w:r>
                              <w:r>
                                <w:rPr>
                                  <w:rFonts w:ascii="Arial Narrow"/>
                                  <w:b/>
                                  <w:color w:val="002D5D"/>
                                  <w:spacing w:val="-4"/>
                                  <w:sz w:val="15"/>
                                  <w:u w:val="none"/>
                                </w:rPr>
                                <w:t>0,99</w:t>
                              </w:r>
                            </w:p>
                          </w:txbxContent>
                        </wps:txbx>
                        <wps:bodyPr wrap="square" lIns="0" tIns="0" rIns="0" bIns="0" rtlCol="0">
                          <a:noAutofit/>
                        </wps:bodyPr>
                      </wps:wsp>
                      <wps:wsp>
                        <wps:cNvPr id="120" name="Textbox 120"/>
                        <wps:cNvSpPr txBox="1"/>
                        <wps:spPr>
                          <a:xfrm>
                            <a:off x="351472" y="1465136"/>
                            <a:ext cx="975360" cy="131445"/>
                          </a:xfrm>
                          <a:prstGeom prst="rect">
                            <a:avLst/>
                          </a:prstGeom>
                        </wps:spPr>
                        <wps:txbx>
                          <w:txbxContent>
                            <w:p>
                              <w:pPr>
                                <w:tabs>
                                  <w:tab w:pos="949" w:val="left" w:leader="none"/>
                                </w:tabs>
                                <w:spacing w:line="206" w:lineRule="exact" w:before="0"/>
                                <w:ind w:left="0" w:right="0" w:firstLine="0"/>
                                <w:jc w:val="left"/>
                                <w:rPr>
                                  <w:rFonts w:ascii="Arial Narrow"/>
                                  <w:b/>
                                  <w:sz w:val="18"/>
                                </w:rPr>
                              </w:pPr>
                              <w:r>
                                <w:rPr>
                                  <w:rFonts w:ascii="Arial Narrow"/>
                                  <w:b/>
                                  <w:color w:val="585858"/>
                                  <w:spacing w:val="-2"/>
                                  <w:sz w:val="18"/>
                                </w:rPr>
                                <w:t>ALICANTE</w:t>
                              </w:r>
                              <w:r>
                                <w:rPr>
                                  <w:rFonts w:ascii="Arial Narrow"/>
                                  <w:b/>
                                  <w:color w:val="585858"/>
                                  <w:sz w:val="18"/>
                                </w:rPr>
                                <w:tab/>
                              </w:r>
                              <w:r>
                                <w:rPr>
                                  <w:rFonts w:ascii="Arial Narrow"/>
                                  <w:b/>
                                  <w:color w:val="585858"/>
                                  <w:spacing w:val="-2"/>
                                  <w:sz w:val="18"/>
                                </w:rPr>
                                <w:t>BILBAO</w:t>
                              </w:r>
                            </w:p>
                          </w:txbxContent>
                        </wps:txbx>
                        <wps:bodyPr wrap="square" lIns="0" tIns="0" rIns="0" bIns="0" rtlCol="0">
                          <a:noAutofit/>
                        </wps:bodyPr>
                      </wps:wsp>
                      <wps:wsp>
                        <wps:cNvPr id="121" name="Textbox 121"/>
                        <wps:cNvSpPr txBox="1"/>
                        <wps:spPr>
                          <a:xfrm>
                            <a:off x="1438084" y="1465136"/>
                            <a:ext cx="1551305" cy="525145"/>
                          </a:xfrm>
                          <a:prstGeom prst="rect">
                            <a:avLst/>
                          </a:prstGeom>
                        </wps:spPr>
                        <wps:txbx>
                          <w:txbxContent>
                            <w:p>
                              <w:pPr>
                                <w:tabs>
                                  <w:tab w:pos="1093" w:val="left" w:leader="none"/>
                                  <w:tab w:pos="1776" w:val="left" w:leader="none"/>
                                </w:tabs>
                                <w:spacing w:before="0"/>
                                <w:ind w:left="0" w:right="18" w:firstLine="0"/>
                                <w:jc w:val="center"/>
                                <w:rPr>
                                  <w:rFonts w:ascii="Arial Narrow" w:hAnsi="Arial Narrow"/>
                                  <w:b/>
                                  <w:sz w:val="18"/>
                                </w:rPr>
                              </w:pPr>
                              <w:r>
                                <w:rPr>
                                  <w:rFonts w:ascii="Arial Narrow" w:hAnsi="Arial Narrow"/>
                                  <w:b/>
                                  <w:color w:val="585858"/>
                                  <w:spacing w:val="-2"/>
                                  <w:sz w:val="18"/>
                                </w:rPr>
                                <w:t>CÓRDOBA</w:t>
                              </w:r>
                              <w:r>
                                <w:rPr>
                                  <w:rFonts w:ascii="Arial Narrow" w:hAnsi="Arial Narrow"/>
                                  <w:b/>
                                  <w:color w:val="585858"/>
                                  <w:sz w:val="18"/>
                                </w:rPr>
                                <w:tab/>
                              </w:r>
                              <w:r>
                                <w:rPr>
                                  <w:rFonts w:ascii="Arial Narrow" w:hAnsi="Arial Narrow"/>
                                  <w:b/>
                                  <w:color w:val="585858"/>
                                  <w:spacing w:val="-4"/>
                                  <w:sz w:val="18"/>
                                </w:rPr>
                                <w:t>LAS</w:t>
                              </w:r>
                              <w:r>
                                <w:rPr>
                                  <w:rFonts w:ascii="Arial Narrow" w:hAnsi="Arial Narrow"/>
                                  <w:b/>
                                  <w:color w:val="585858"/>
                                  <w:sz w:val="18"/>
                                </w:rPr>
                                <w:tab/>
                              </w:r>
                              <w:r>
                                <w:rPr>
                                  <w:rFonts w:ascii="Arial Narrow" w:hAnsi="Arial Narrow"/>
                                  <w:b/>
                                  <w:color w:val="585858"/>
                                  <w:spacing w:val="-2"/>
                                  <w:sz w:val="18"/>
                                </w:rPr>
                                <w:t>MÁLAGA</w:t>
                              </w:r>
                              <w:r>
                                <w:rPr>
                                  <w:rFonts w:ascii="Arial Narrow" w:hAnsi="Arial Narrow"/>
                                  <w:b/>
                                  <w:color w:val="585858"/>
                                  <w:sz w:val="18"/>
                                </w:rPr>
                                <w:t> </w:t>
                              </w:r>
                              <w:r>
                                <w:rPr>
                                  <w:rFonts w:ascii="Arial Narrow" w:hAnsi="Arial Narrow"/>
                                  <w:b/>
                                  <w:color w:val="585858"/>
                                  <w:spacing w:val="-2"/>
                                  <w:sz w:val="18"/>
                                </w:rPr>
                                <w:t>PALMAS</w:t>
                              </w:r>
                            </w:p>
                            <w:p>
                              <w:pPr>
                                <w:spacing w:before="0"/>
                                <w:ind w:left="900" w:right="859" w:hanging="1"/>
                                <w:jc w:val="center"/>
                                <w:rPr>
                                  <w:rFonts w:ascii="Arial Narrow"/>
                                  <w:b/>
                                  <w:sz w:val="18"/>
                                </w:rPr>
                              </w:pPr>
                              <w:r>
                                <w:rPr>
                                  <w:rFonts w:ascii="Arial Narrow"/>
                                  <w:b/>
                                  <w:color w:val="585858"/>
                                  <w:sz w:val="18"/>
                                </w:rPr>
                                <w:t>DE</w:t>
                              </w:r>
                              <w:r>
                                <w:rPr>
                                  <w:rFonts w:ascii="Arial Narrow"/>
                                  <w:b/>
                                  <w:color w:val="585858"/>
                                  <w:spacing w:val="-11"/>
                                  <w:sz w:val="18"/>
                                </w:rPr>
                                <w:t> </w:t>
                              </w:r>
                              <w:r>
                                <w:rPr>
                                  <w:rFonts w:ascii="Arial Narrow"/>
                                  <w:b/>
                                  <w:color w:val="585858"/>
                                  <w:sz w:val="18"/>
                                </w:rPr>
                                <w:t>GRAN </w:t>
                              </w:r>
                              <w:r>
                                <w:rPr>
                                  <w:rFonts w:ascii="Arial Narrow"/>
                                  <w:b/>
                                  <w:color w:val="585858"/>
                                  <w:spacing w:val="-2"/>
                                  <w:sz w:val="18"/>
                                </w:rPr>
                                <w:t>CANARIA</w:t>
                              </w:r>
                            </w:p>
                          </w:txbxContent>
                        </wps:txbx>
                        <wps:bodyPr wrap="square" lIns="0" tIns="0" rIns="0" bIns="0" rtlCol="0">
                          <a:noAutofit/>
                        </wps:bodyPr>
                      </wps:wsp>
                      <wps:wsp>
                        <wps:cNvPr id="122" name="Textbox 122"/>
                        <wps:cNvSpPr txBox="1"/>
                        <wps:spPr>
                          <a:xfrm>
                            <a:off x="3130232" y="1465136"/>
                            <a:ext cx="2103755" cy="131445"/>
                          </a:xfrm>
                          <a:prstGeom prst="rect">
                            <a:avLst/>
                          </a:prstGeom>
                        </wps:spPr>
                        <wps:txbx>
                          <w:txbxContent>
                            <w:p>
                              <w:pPr>
                                <w:tabs>
                                  <w:tab w:pos="892" w:val="left" w:leader="none"/>
                                  <w:tab w:pos="1682" w:val="left" w:leader="none"/>
                                </w:tabs>
                                <w:spacing w:line="206" w:lineRule="exact" w:before="0"/>
                                <w:ind w:left="0" w:right="0" w:firstLine="0"/>
                                <w:jc w:val="left"/>
                                <w:rPr>
                                  <w:rFonts w:ascii="Arial Narrow"/>
                                  <w:b/>
                                  <w:sz w:val="18"/>
                                </w:rPr>
                              </w:pPr>
                              <w:r>
                                <w:rPr>
                                  <w:rFonts w:ascii="Arial Narrow"/>
                                  <w:b/>
                                  <w:color w:val="585858"/>
                                  <w:spacing w:val="-2"/>
                                  <w:sz w:val="18"/>
                                </w:rPr>
                                <w:t>MURCIA</w:t>
                              </w:r>
                              <w:r>
                                <w:rPr>
                                  <w:rFonts w:ascii="Arial Narrow"/>
                                  <w:b/>
                                  <w:color w:val="585858"/>
                                  <w:sz w:val="18"/>
                                </w:rPr>
                                <w:tab/>
                              </w:r>
                              <w:r>
                                <w:rPr>
                                  <w:rFonts w:ascii="Arial Narrow"/>
                                  <w:b/>
                                  <w:color w:val="585858"/>
                                  <w:spacing w:val="-4"/>
                                  <w:sz w:val="18"/>
                                </w:rPr>
                                <w:t>PALMA</w:t>
                              </w:r>
                              <w:r>
                                <w:rPr>
                                  <w:rFonts w:ascii="Arial Narrow"/>
                                  <w:b/>
                                  <w:color w:val="585858"/>
                                  <w:sz w:val="18"/>
                                </w:rPr>
                                <w:tab/>
                                <w:t>SEVILLA</w:t>
                              </w:r>
                              <w:r>
                                <w:rPr>
                                  <w:rFonts w:ascii="Arial Narrow"/>
                                  <w:b/>
                                  <w:color w:val="585858"/>
                                  <w:spacing w:val="33"/>
                                  <w:sz w:val="18"/>
                                </w:rPr>
                                <w:t>  </w:t>
                              </w:r>
                              <w:r>
                                <w:rPr>
                                  <w:rFonts w:ascii="Arial Narrow"/>
                                  <w:b/>
                                  <w:color w:val="585858"/>
                                  <w:spacing w:val="-2"/>
                                  <w:sz w:val="18"/>
                                </w:rPr>
                                <w:t>ZARAGOZA</w:t>
                              </w:r>
                            </w:p>
                          </w:txbxContent>
                        </wps:txbx>
                        <wps:bodyPr wrap="square" lIns="0" tIns="0" rIns="0" bIns="0" rtlCol="0">
                          <a:noAutofit/>
                        </wps:bodyPr>
                      </wps:wsp>
                      <wps:wsp>
                        <wps:cNvPr id="123" name="Textbox 123"/>
                        <wps:cNvSpPr txBox="1"/>
                        <wps:spPr>
                          <a:xfrm>
                            <a:off x="1446593" y="2102507"/>
                            <a:ext cx="2633980" cy="354330"/>
                          </a:xfrm>
                          <a:prstGeom prst="rect">
                            <a:avLst/>
                          </a:prstGeom>
                        </wps:spPr>
                        <wps:txbx>
                          <w:txbxContent>
                            <w:p>
                              <w:pPr>
                                <w:spacing w:line="218" w:lineRule="exact" w:before="0"/>
                                <w:ind w:left="0" w:right="0" w:firstLine="0"/>
                                <w:jc w:val="left"/>
                                <w:rPr>
                                  <w:rFonts w:ascii="Calibri" w:hAnsi="Calibri"/>
                                  <w:sz w:val="18"/>
                                </w:rPr>
                              </w:pPr>
                              <w:r>
                                <w:rPr>
                                  <w:rFonts w:ascii="Calibri" w:hAnsi="Calibri"/>
                                  <w:color w:val="585858"/>
                                  <w:w w:val="105"/>
                                  <w:sz w:val="18"/>
                                </w:rPr>
                                <w:t>Densidad</w:t>
                              </w:r>
                              <w:r>
                                <w:rPr>
                                  <w:rFonts w:ascii="Calibri" w:hAnsi="Calibri"/>
                                  <w:color w:val="585858"/>
                                  <w:spacing w:val="1"/>
                                  <w:w w:val="105"/>
                                  <w:sz w:val="18"/>
                                </w:rPr>
                                <w:t> </w:t>
                              </w:r>
                              <w:r>
                                <w:rPr>
                                  <w:rFonts w:ascii="Calibri" w:hAnsi="Calibri"/>
                                  <w:color w:val="585858"/>
                                  <w:w w:val="105"/>
                                  <w:sz w:val="18"/>
                                </w:rPr>
                                <w:t>líneas</w:t>
                              </w:r>
                              <w:r>
                                <w:rPr>
                                  <w:rFonts w:ascii="Calibri" w:hAnsi="Calibri"/>
                                  <w:color w:val="585858"/>
                                  <w:spacing w:val="3"/>
                                  <w:w w:val="105"/>
                                  <w:sz w:val="18"/>
                                </w:rPr>
                                <w:t> </w:t>
                              </w:r>
                              <w:r>
                                <w:rPr>
                                  <w:rFonts w:ascii="Calibri" w:hAnsi="Calibri"/>
                                  <w:color w:val="585858"/>
                                  <w:w w:val="105"/>
                                  <w:sz w:val="18"/>
                                </w:rPr>
                                <w:t>por</w:t>
                              </w:r>
                              <w:r>
                                <w:rPr>
                                  <w:rFonts w:ascii="Calibri" w:hAnsi="Calibri"/>
                                  <w:color w:val="585858"/>
                                  <w:spacing w:val="1"/>
                                  <w:w w:val="105"/>
                                  <w:sz w:val="18"/>
                                </w:rPr>
                                <w:t> </w:t>
                              </w:r>
                              <w:r>
                                <w:rPr>
                                  <w:rFonts w:ascii="Calibri" w:hAnsi="Calibri"/>
                                  <w:color w:val="585858"/>
                                  <w:w w:val="105"/>
                                  <w:sz w:val="18"/>
                                </w:rPr>
                                <w:t>superficie</w:t>
                              </w:r>
                              <w:r>
                                <w:rPr>
                                  <w:rFonts w:ascii="Calibri" w:hAnsi="Calibri"/>
                                  <w:color w:val="585858"/>
                                  <w:spacing w:val="3"/>
                                  <w:w w:val="105"/>
                                  <w:sz w:val="18"/>
                                </w:rPr>
                                <w:t> </w:t>
                              </w:r>
                              <w:r>
                                <w:rPr>
                                  <w:rFonts w:ascii="Calibri" w:hAnsi="Calibri"/>
                                  <w:color w:val="585858"/>
                                  <w:w w:val="105"/>
                                  <w:sz w:val="18"/>
                                </w:rPr>
                                <w:t>(km</w:t>
                              </w:r>
                              <w:r>
                                <w:rPr>
                                  <w:rFonts w:ascii="Calibri" w:hAnsi="Calibri"/>
                                  <w:color w:val="585858"/>
                                  <w:spacing w:val="4"/>
                                  <w:w w:val="105"/>
                                  <w:sz w:val="18"/>
                                </w:rPr>
                                <w:t> </w:t>
                              </w:r>
                              <w:r>
                                <w:rPr>
                                  <w:rFonts w:ascii="Calibri" w:hAnsi="Calibri"/>
                                  <w:color w:val="585858"/>
                                  <w:w w:val="105"/>
                                  <w:sz w:val="18"/>
                                </w:rPr>
                                <w:t>líneas</w:t>
                              </w:r>
                              <w:r>
                                <w:rPr>
                                  <w:rFonts w:ascii="Calibri" w:hAnsi="Calibri"/>
                                  <w:color w:val="585858"/>
                                  <w:spacing w:val="1"/>
                                  <w:w w:val="105"/>
                                  <w:sz w:val="18"/>
                                </w:rPr>
                                <w:t> </w:t>
                              </w:r>
                              <w:r>
                                <w:rPr>
                                  <w:rFonts w:ascii="Calibri" w:hAnsi="Calibri"/>
                                  <w:color w:val="585858"/>
                                  <w:w w:val="105"/>
                                  <w:sz w:val="18"/>
                                </w:rPr>
                                <w:t>/</w:t>
                              </w:r>
                              <w:r>
                                <w:rPr>
                                  <w:rFonts w:ascii="Calibri" w:hAnsi="Calibri"/>
                                  <w:color w:val="585858"/>
                                  <w:spacing w:val="3"/>
                                  <w:w w:val="105"/>
                                  <w:sz w:val="18"/>
                                </w:rPr>
                                <w:t> </w:t>
                              </w:r>
                              <w:r>
                                <w:rPr>
                                  <w:rFonts w:ascii="Calibri" w:hAnsi="Calibri"/>
                                  <w:color w:val="585858"/>
                                  <w:spacing w:val="-4"/>
                                  <w:w w:val="105"/>
                                  <w:sz w:val="18"/>
                                </w:rPr>
                                <w:t>km2)</w:t>
                              </w:r>
                            </w:p>
                            <w:p>
                              <w:pPr>
                                <w:spacing w:before="118"/>
                                <w:ind w:left="0" w:right="0" w:firstLine="0"/>
                                <w:jc w:val="left"/>
                                <w:rPr>
                                  <w:rFonts w:ascii="Calibri" w:hAnsi="Calibri"/>
                                  <w:sz w:val="18"/>
                                </w:rPr>
                              </w:pPr>
                              <w:r>
                                <w:rPr>
                                  <w:rFonts w:ascii="Calibri" w:hAnsi="Calibri"/>
                                  <w:color w:val="585858"/>
                                  <w:w w:val="105"/>
                                  <w:sz w:val="18"/>
                                </w:rPr>
                                <w:t>Densidad</w:t>
                              </w:r>
                              <w:r>
                                <w:rPr>
                                  <w:rFonts w:ascii="Calibri" w:hAnsi="Calibri"/>
                                  <w:color w:val="585858"/>
                                  <w:spacing w:val="-4"/>
                                  <w:w w:val="105"/>
                                  <w:sz w:val="18"/>
                                </w:rPr>
                                <w:t> </w:t>
                              </w:r>
                              <w:r>
                                <w:rPr>
                                  <w:rFonts w:ascii="Calibri" w:hAnsi="Calibri"/>
                                  <w:color w:val="585858"/>
                                  <w:w w:val="105"/>
                                  <w:sz w:val="18"/>
                                </w:rPr>
                                <w:t>líneas</w:t>
                              </w:r>
                              <w:r>
                                <w:rPr>
                                  <w:rFonts w:ascii="Calibri" w:hAnsi="Calibri"/>
                                  <w:color w:val="585858"/>
                                  <w:spacing w:val="-2"/>
                                  <w:w w:val="105"/>
                                  <w:sz w:val="18"/>
                                </w:rPr>
                                <w:t> </w:t>
                              </w:r>
                              <w:r>
                                <w:rPr>
                                  <w:rFonts w:ascii="Calibri" w:hAnsi="Calibri"/>
                                  <w:color w:val="585858"/>
                                  <w:w w:val="105"/>
                                  <w:sz w:val="18"/>
                                </w:rPr>
                                <w:t>por</w:t>
                              </w:r>
                              <w:r>
                                <w:rPr>
                                  <w:rFonts w:ascii="Calibri" w:hAnsi="Calibri"/>
                                  <w:color w:val="585858"/>
                                  <w:spacing w:val="-5"/>
                                  <w:w w:val="105"/>
                                  <w:sz w:val="18"/>
                                </w:rPr>
                                <w:t> </w:t>
                              </w:r>
                              <w:r>
                                <w:rPr>
                                  <w:rFonts w:ascii="Calibri" w:hAnsi="Calibri"/>
                                  <w:color w:val="585858"/>
                                  <w:w w:val="105"/>
                                  <w:sz w:val="18"/>
                                </w:rPr>
                                <w:t>habitante</w:t>
                              </w:r>
                              <w:r>
                                <w:rPr>
                                  <w:rFonts w:ascii="Calibri" w:hAnsi="Calibri"/>
                                  <w:color w:val="585858"/>
                                  <w:spacing w:val="-1"/>
                                  <w:w w:val="105"/>
                                  <w:sz w:val="18"/>
                                </w:rPr>
                                <w:t> </w:t>
                              </w:r>
                              <w:r>
                                <w:rPr>
                                  <w:rFonts w:ascii="Calibri" w:hAnsi="Calibri"/>
                                  <w:color w:val="585858"/>
                                  <w:w w:val="105"/>
                                  <w:sz w:val="18"/>
                                </w:rPr>
                                <w:t>(km</w:t>
                              </w:r>
                              <w:r>
                                <w:rPr>
                                  <w:rFonts w:ascii="Calibri" w:hAnsi="Calibri"/>
                                  <w:color w:val="585858"/>
                                  <w:spacing w:val="-1"/>
                                  <w:w w:val="105"/>
                                  <w:sz w:val="18"/>
                                </w:rPr>
                                <w:t> </w:t>
                              </w:r>
                              <w:r>
                                <w:rPr>
                                  <w:rFonts w:ascii="Calibri" w:hAnsi="Calibri"/>
                                  <w:color w:val="585858"/>
                                  <w:w w:val="105"/>
                                  <w:sz w:val="18"/>
                                </w:rPr>
                                <w:t>líneas</w:t>
                              </w:r>
                              <w:r>
                                <w:rPr>
                                  <w:rFonts w:ascii="Calibri" w:hAnsi="Calibri"/>
                                  <w:color w:val="585858"/>
                                  <w:spacing w:val="-4"/>
                                  <w:w w:val="105"/>
                                  <w:sz w:val="18"/>
                                </w:rPr>
                                <w:t> </w:t>
                              </w:r>
                              <w:r>
                                <w:rPr>
                                  <w:rFonts w:ascii="Calibri" w:hAnsi="Calibri"/>
                                  <w:color w:val="585858"/>
                                  <w:w w:val="105"/>
                                  <w:sz w:val="18"/>
                                </w:rPr>
                                <w:t>/</w:t>
                              </w:r>
                              <w:r>
                                <w:rPr>
                                  <w:rFonts w:ascii="Calibri" w:hAnsi="Calibri"/>
                                  <w:color w:val="585858"/>
                                  <w:spacing w:val="-2"/>
                                  <w:w w:val="105"/>
                                  <w:sz w:val="18"/>
                                </w:rPr>
                                <w:t> </w:t>
                              </w:r>
                              <w:r>
                                <w:rPr>
                                  <w:rFonts w:ascii="Calibri" w:hAnsi="Calibri"/>
                                  <w:color w:val="585858"/>
                                  <w:w w:val="105"/>
                                  <w:sz w:val="18"/>
                                </w:rPr>
                                <w:t>1000 </w:t>
                              </w:r>
                              <w:r>
                                <w:rPr>
                                  <w:rFonts w:ascii="Calibri" w:hAnsi="Calibri"/>
                                  <w:color w:val="585858"/>
                                  <w:spacing w:val="-2"/>
                                  <w:w w:val="105"/>
                                  <w:sz w:val="18"/>
                                </w:rPr>
                                <w:t>hab.)</w:t>
                              </w:r>
                            </w:p>
                          </w:txbxContent>
                        </wps:txbx>
                        <wps:bodyPr wrap="square" lIns="0" tIns="0" rIns="0" bIns="0" rtlCol="0">
                          <a:noAutofit/>
                        </wps:bodyPr>
                      </wps:wsp>
                    </wpg:wgp>
                  </a:graphicData>
                </a:graphic>
              </wp:anchor>
            </w:drawing>
          </mc:Choice>
          <mc:Fallback>
            <w:pict>
              <v:group style="position:absolute;margin-left:82.224998pt;margin-top:11.656816pt;width:422.95pt;height:201.75pt;mso-position-horizontal-relative:page;mso-position-vertical-relative:paragraph;z-index:-15720960;mso-wrap-distance-left:0;mso-wrap-distance-right:0" id="docshapegroup83" coordorigin="1644,233" coordsize="8459,4035">
                <v:shape style="position:absolute;left:2140;top:706;width:7736;height:1476" id="docshape84" coordorigin="2141,707" coordsize="7736,1476" path="m2141,2183l3091,2183m3401,2183l4810,2183m5122,2183l5177,2183m5486,2183l5671,2183m5981,2183l7390,2183m7699,2183l8249,2183m8558,2183l9876,2183m2141,1936l3091,1936m3401,1936l4810,1936m5122,1936l8249,1936m8558,1936l9876,1936m2141,1691l3091,1691m3401,1691l4810,1691m2141,1444l3091,1444m3401,1444l9876,1444m2141,1199l3091,1199m3401,1199l9876,1199m2141,952l3091,952m3401,952l9876,952m2141,707l3091,707m3401,707l9876,707e" filled="false" stroked="true" strokeweight=".75pt" strokecolor="#d9d9d9">
                  <v:path arrowok="t"/>
                  <v:stroke dashstyle="solid"/>
                </v:shape>
                <v:shape style="position:absolute;left:2232;top:490;width:7186;height:1938" id="docshape85" coordorigin="2232,491" coordsize="7186,1938" path="m2542,2214l2232,2214,2232,2428,2542,2428,2542,2214xm3401,491l3091,491,3091,2428,3401,2428,3401,491xm4262,2377l3950,2377,3950,2428,4262,2428,4262,2377xm5122,1465l4810,1465,4810,2428,5122,2428,5122,1465xm5981,2142l5671,2142,5671,2428,5981,2428,5981,2142xm6840,2356l6530,2356,6530,2428,6840,2428,6840,2356xm7699,2104l7390,2104,7390,2428,7699,2428,7699,2104xm8558,1818l8249,1818,8249,2428,8558,2428,8558,1818xm9418,2344l9108,2344,9108,2428,9418,2428,9418,2344xe" filled="true" fillcolor="#891538" stroked="false">
                  <v:path arrowok="t"/>
                  <v:fill type="solid"/>
                </v:shape>
                <v:shape style="position:absolute;left:2599;top:2166;width:7186;height:263" id="docshape86" coordorigin="2599,2166" coordsize="7186,263" path="m2909,2308l2599,2308,2599,2428,2909,2428,2909,2308xm3768,2197l3458,2197,3458,2428,3768,2428,3768,2197xm4627,2231l4318,2231,4318,2428,4627,2428,4627,2231xm5486,2166l5177,2166,5177,2428,5486,2428,5486,2166xm6346,2236l6036,2236,6036,2428,6346,2428,6346,2236xm7205,2293l6895,2293,6895,2428,7205,2428,7205,2293xm8066,2272l7754,2272,7754,2428,8066,2428,8066,2272xm8926,2303l8614,2303,8614,2428,8926,2428,8926,2303xm9785,2308l9475,2308,9475,2428,9785,2428,9785,2308xe" filled="true" fillcolor="#002d5d" stroked="false">
                  <v:path arrowok="t"/>
                  <v:fill type="solid"/>
                </v:shape>
                <v:line style="position:absolute" from="2141,2428" to="9876,2428" stroked="true" strokeweight=".75pt" strokecolor="#d9d9d9">
                  <v:stroke dashstyle="solid"/>
                </v:line>
                <v:rect style="position:absolute;left:3781;top:3614;width:99;height:99" id="docshape87" filled="true" fillcolor="#891538" stroked="false">
                  <v:fill type="solid"/>
                </v:rect>
                <v:rect style="position:absolute;left:3781;top:3952;width:99;height:99" id="docshape88" filled="true" fillcolor="#002d5d" stroked="false">
                  <v:fill type="solid"/>
                </v:rect>
                <v:rect style="position:absolute;left:1652;top:240;width:8444;height:4020" id="docshape89" filled="false" stroked="true" strokeweight=".75pt" strokecolor="#d9d9d9">
                  <v:stroke dashstyle="solid"/>
                </v:rect>
                <v:shape style="position:absolute;left:1782;top:340;width:213;height:2188" type="#_x0000_t202" id="docshape90" filled="false" stroked="false">
                  <v:textbox inset="0,0,0,0">
                    <w:txbxContent>
                      <w:p>
                        <w:pPr>
                          <w:spacing w:line="217" w:lineRule="exact" w:before="0"/>
                          <w:ind w:left="0" w:right="0" w:firstLine="0"/>
                          <w:jc w:val="left"/>
                          <w:rPr>
                            <w:rFonts w:ascii="Calibri"/>
                            <w:sz w:val="18"/>
                          </w:rPr>
                        </w:pPr>
                        <w:r>
                          <w:rPr>
                            <w:rFonts w:ascii="Calibri"/>
                            <w:color w:val="585858"/>
                            <w:spacing w:val="-5"/>
                            <w:w w:val="105"/>
                            <w:sz w:val="18"/>
                          </w:rPr>
                          <w:t>16</w:t>
                        </w:r>
                      </w:p>
                      <w:p>
                        <w:pPr>
                          <w:spacing w:before="26"/>
                          <w:ind w:left="0" w:right="0" w:firstLine="0"/>
                          <w:jc w:val="left"/>
                          <w:rPr>
                            <w:rFonts w:ascii="Calibri"/>
                            <w:sz w:val="18"/>
                          </w:rPr>
                        </w:pPr>
                        <w:r>
                          <w:rPr>
                            <w:rFonts w:ascii="Calibri"/>
                            <w:color w:val="585858"/>
                            <w:spacing w:val="-5"/>
                            <w:w w:val="105"/>
                            <w:sz w:val="18"/>
                          </w:rPr>
                          <w:t>14</w:t>
                        </w:r>
                      </w:p>
                      <w:p>
                        <w:pPr>
                          <w:spacing w:before="26"/>
                          <w:ind w:left="0" w:right="0" w:firstLine="0"/>
                          <w:jc w:val="left"/>
                          <w:rPr>
                            <w:rFonts w:ascii="Calibri"/>
                            <w:sz w:val="18"/>
                          </w:rPr>
                        </w:pPr>
                        <w:r>
                          <w:rPr>
                            <w:rFonts w:ascii="Calibri"/>
                            <w:color w:val="585858"/>
                            <w:spacing w:val="-5"/>
                            <w:w w:val="105"/>
                            <w:sz w:val="18"/>
                          </w:rPr>
                          <w:t>12</w:t>
                        </w:r>
                      </w:p>
                      <w:p>
                        <w:pPr>
                          <w:spacing w:before="26"/>
                          <w:ind w:left="0" w:right="0" w:firstLine="0"/>
                          <w:jc w:val="left"/>
                          <w:rPr>
                            <w:rFonts w:ascii="Calibri"/>
                            <w:sz w:val="18"/>
                          </w:rPr>
                        </w:pPr>
                        <w:r>
                          <w:rPr>
                            <w:rFonts w:ascii="Calibri"/>
                            <w:color w:val="585858"/>
                            <w:spacing w:val="-5"/>
                            <w:w w:val="105"/>
                            <w:sz w:val="18"/>
                          </w:rPr>
                          <w:t>10</w:t>
                        </w:r>
                      </w:p>
                      <w:p>
                        <w:pPr>
                          <w:spacing w:before="27"/>
                          <w:ind w:left="96" w:right="0" w:firstLine="0"/>
                          <w:jc w:val="left"/>
                          <w:rPr>
                            <w:rFonts w:ascii="Calibri"/>
                            <w:sz w:val="18"/>
                          </w:rPr>
                        </w:pPr>
                        <w:r>
                          <w:rPr>
                            <w:rFonts w:ascii="Calibri"/>
                            <w:color w:val="585858"/>
                            <w:spacing w:val="-10"/>
                            <w:w w:val="105"/>
                            <w:sz w:val="18"/>
                          </w:rPr>
                          <w:t>8</w:t>
                        </w:r>
                      </w:p>
                      <w:p>
                        <w:pPr>
                          <w:spacing w:before="26"/>
                          <w:ind w:left="96" w:right="0" w:firstLine="0"/>
                          <w:jc w:val="left"/>
                          <w:rPr>
                            <w:rFonts w:ascii="Calibri"/>
                            <w:sz w:val="18"/>
                          </w:rPr>
                        </w:pPr>
                        <w:r>
                          <w:rPr>
                            <w:rFonts w:ascii="Calibri"/>
                            <w:color w:val="585858"/>
                            <w:spacing w:val="-10"/>
                            <w:w w:val="105"/>
                            <w:sz w:val="18"/>
                          </w:rPr>
                          <w:t>6</w:t>
                        </w:r>
                      </w:p>
                      <w:p>
                        <w:pPr>
                          <w:spacing w:before="26"/>
                          <w:ind w:left="96" w:right="0" w:firstLine="0"/>
                          <w:jc w:val="left"/>
                          <w:rPr>
                            <w:rFonts w:ascii="Calibri"/>
                            <w:sz w:val="18"/>
                          </w:rPr>
                        </w:pPr>
                        <w:r>
                          <w:rPr>
                            <w:rFonts w:ascii="Calibri"/>
                            <w:color w:val="585858"/>
                            <w:spacing w:val="-10"/>
                            <w:w w:val="105"/>
                            <w:sz w:val="18"/>
                          </w:rPr>
                          <w:t>4</w:t>
                        </w:r>
                      </w:p>
                      <w:p>
                        <w:pPr>
                          <w:spacing w:before="26"/>
                          <w:ind w:left="96" w:right="0" w:firstLine="0"/>
                          <w:jc w:val="left"/>
                          <w:rPr>
                            <w:rFonts w:ascii="Calibri"/>
                            <w:sz w:val="18"/>
                          </w:rPr>
                        </w:pPr>
                        <w:r>
                          <w:rPr>
                            <w:rFonts w:ascii="Calibri"/>
                            <w:color w:val="585858"/>
                            <w:spacing w:val="-10"/>
                            <w:w w:val="105"/>
                            <w:sz w:val="18"/>
                          </w:rPr>
                          <w:t>2</w:t>
                        </w:r>
                      </w:p>
                      <w:p>
                        <w:pPr>
                          <w:spacing w:before="27"/>
                          <w:ind w:left="96" w:right="0" w:firstLine="0"/>
                          <w:jc w:val="left"/>
                          <w:rPr>
                            <w:rFonts w:ascii="Calibri"/>
                            <w:sz w:val="18"/>
                          </w:rPr>
                        </w:pPr>
                        <w:r>
                          <w:rPr>
                            <w:rFonts w:ascii="Calibri"/>
                            <w:color w:val="585858"/>
                            <w:spacing w:val="-10"/>
                            <w:w w:val="105"/>
                            <w:sz w:val="18"/>
                          </w:rPr>
                          <w:t>0</w:t>
                        </w:r>
                      </w:p>
                    </w:txbxContent>
                  </v:textbox>
                  <w10:wrap type="none"/>
                </v:shape>
                <v:shape style="position:absolute;left:2140;top:271;width:7756;height:174" type="#_x0000_t202" id="docshape91" filled="false" stroked="false">
                  <v:textbox inset="0,0,0,0">
                    <w:txbxContent>
                      <w:p>
                        <w:pPr>
                          <w:tabs>
                            <w:tab w:pos="950" w:val="left" w:leader="none"/>
                            <w:tab w:pos="7735" w:val="left" w:leader="none"/>
                          </w:tabs>
                          <w:spacing w:before="1"/>
                          <w:ind w:left="0" w:right="0" w:firstLine="0"/>
                          <w:jc w:val="left"/>
                          <w:rPr>
                            <w:rFonts w:ascii="Arial Narrow"/>
                            <w:b/>
                            <w:sz w:val="15"/>
                          </w:rPr>
                        </w:pPr>
                        <w:r>
                          <w:rPr>
                            <w:rFonts w:ascii="Arial Narrow"/>
                            <w:b/>
                            <w:color w:val="891538"/>
                            <w:sz w:val="15"/>
                            <w:u w:val="single" w:color="D9D9D9"/>
                          </w:rPr>
                          <w:tab/>
                        </w:r>
                        <w:r>
                          <w:rPr>
                            <w:rFonts w:ascii="Arial Narrow"/>
                            <w:b/>
                            <w:color w:val="891538"/>
                            <w:spacing w:val="-2"/>
                            <w:sz w:val="15"/>
                            <w:u w:val="single" w:color="D9D9D9"/>
                          </w:rPr>
                          <w:t>15,76</w:t>
                        </w:r>
                        <w:r>
                          <w:rPr>
                            <w:rFonts w:ascii="Arial Narrow"/>
                            <w:b/>
                            <w:color w:val="891538"/>
                            <w:sz w:val="15"/>
                            <w:u w:val="single" w:color="D9D9D9"/>
                          </w:rPr>
                          <w:tab/>
                        </w:r>
                      </w:p>
                    </w:txbxContent>
                  </v:textbox>
                  <w10:wrap type="none"/>
                </v:shape>
                <v:shape style="position:absolute;left:4844;top:1202;width:262;height:174" type="#_x0000_t202" id="docshape92" filled="false" stroked="false">
                  <v:textbox inset="0,0,0,0">
                    <w:txbxContent>
                      <w:p>
                        <w:pPr>
                          <w:spacing w:before="1"/>
                          <w:ind w:left="0" w:right="0" w:firstLine="0"/>
                          <w:jc w:val="left"/>
                          <w:rPr>
                            <w:rFonts w:ascii="Arial Narrow"/>
                            <w:b/>
                            <w:sz w:val="15"/>
                          </w:rPr>
                        </w:pPr>
                        <w:r>
                          <w:rPr>
                            <w:rFonts w:ascii="Arial Narrow"/>
                            <w:b/>
                            <w:color w:val="891538"/>
                            <w:spacing w:val="-4"/>
                            <w:sz w:val="15"/>
                          </w:rPr>
                          <w:t>7,84</w:t>
                        </w:r>
                      </w:p>
                    </w:txbxContent>
                  </v:textbox>
                  <w10:wrap type="none"/>
                </v:shape>
                <v:shape style="position:absolute;left:5121;top:1557;width:4775;height:174" type="#_x0000_t202" id="docshape93" filled="false" stroked="false">
                  <v:textbox inset="0,0,0,0">
                    <w:txbxContent>
                      <w:p>
                        <w:pPr>
                          <w:tabs>
                            <w:tab w:pos="3161" w:val="left" w:leader="none"/>
                            <w:tab w:pos="4754" w:val="left" w:leader="none"/>
                          </w:tabs>
                          <w:spacing w:before="1"/>
                          <w:ind w:left="0" w:right="0" w:firstLine="0"/>
                          <w:jc w:val="left"/>
                          <w:rPr>
                            <w:rFonts w:ascii="Arial Narrow"/>
                            <w:b/>
                            <w:sz w:val="15"/>
                          </w:rPr>
                        </w:pPr>
                        <w:r>
                          <w:rPr>
                            <w:rFonts w:ascii="Arial Narrow"/>
                            <w:b/>
                            <w:color w:val="891538"/>
                            <w:sz w:val="15"/>
                            <w:u w:val="single" w:color="D9D9D9"/>
                          </w:rPr>
                          <w:tab/>
                        </w:r>
                        <w:r>
                          <w:rPr>
                            <w:rFonts w:ascii="Arial Narrow"/>
                            <w:b/>
                            <w:color w:val="891538"/>
                            <w:spacing w:val="-4"/>
                            <w:sz w:val="15"/>
                            <w:u w:val="single" w:color="D9D9D9"/>
                          </w:rPr>
                          <w:t>4,96</w:t>
                        </w:r>
                        <w:r>
                          <w:rPr>
                            <w:rFonts w:ascii="Arial Narrow"/>
                            <w:b/>
                            <w:color w:val="891538"/>
                            <w:sz w:val="15"/>
                            <w:u w:val="single" w:color="D9D9D9"/>
                          </w:rPr>
                          <w:tab/>
                        </w:r>
                      </w:p>
                    </w:txbxContent>
                  </v:textbox>
                  <w10:wrap type="none"/>
                </v:shape>
                <v:shape style="position:absolute;left:2265;top:1953;width:262;height:174" type="#_x0000_t202" id="docshape94" filled="false" stroked="false">
                  <v:textbox inset="0,0,0,0">
                    <w:txbxContent>
                      <w:p>
                        <w:pPr>
                          <w:spacing w:before="1"/>
                          <w:ind w:left="0" w:right="0" w:firstLine="0"/>
                          <w:jc w:val="left"/>
                          <w:rPr>
                            <w:rFonts w:ascii="Arial Narrow"/>
                            <w:b/>
                            <w:sz w:val="15"/>
                          </w:rPr>
                        </w:pPr>
                        <w:r>
                          <w:rPr>
                            <w:rFonts w:ascii="Arial Narrow"/>
                            <w:b/>
                            <w:color w:val="891538"/>
                            <w:spacing w:val="-4"/>
                            <w:sz w:val="15"/>
                          </w:rPr>
                          <w:t>1,74</w:t>
                        </w:r>
                      </w:p>
                    </w:txbxContent>
                  </v:textbox>
                  <w10:wrap type="none"/>
                </v:shape>
                <v:shape style="position:absolute;left:2631;top:2046;width:262;height:174" type="#_x0000_t202" id="docshape95" filled="false" stroked="false">
                  <v:textbox inset="0,0,0,0">
                    <w:txbxContent>
                      <w:p>
                        <w:pPr>
                          <w:spacing w:before="1"/>
                          <w:ind w:left="0" w:right="0" w:firstLine="0"/>
                          <w:jc w:val="left"/>
                          <w:rPr>
                            <w:rFonts w:ascii="Arial Narrow"/>
                            <w:b/>
                            <w:sz w:val="15"/>
                          </w:rPr>
                        </w:pPr>
                        <w:r>
                          <w:rPr>
                            <w:rFonts w:ascii="Arial Narrow"/>
                            <w:b/>
                            <w:color w:val="002D5D"/>
                            <w:spacing w:val="-4"/>
                            <w:sz w:val="15"/>
                          </w:rPr>
                          <w:t>0,98</w:t>
                        </w:r>
                      </w:p>
                    </w:txbxContent>
                  </v:textbox>
                  <w10:wrap type="none"/>
                </v:shape>
                <v:shape style="position:absolute;left:3491;top:1937;width:262;height:174" type="#_x0000_t202" id="docshape96" filled="false" stroked="false">
                  <v:textbox inset="0,0,0,0">
                    <w:txbxContent>
                      <w:p>
                        <w:pPr>
                          <w:spacing w:before="1"/>
                          <w:ind w:left="0" w:right="0" w:firstLine="0"/>
                          <w:jc w:val="left"/>
                          <w:rPr>
                            <w:rFonts w:ascii="Arial Narrow"/>
                            <w:b/>
                            <w:sz w:val="15"/>
                          </w:rPr>
                        </w:pPr>
                        <w:r>
                          <w:rPr>
                            <w:rFonts w:ascii="Arial Narrow"/>
                            <w:b/>
                            <w:color w:val="002D5D"/>
                            <w:spacing w:val="-4"/>
                            <w:sz w:val="15"/>
                          </w:rPr>
                          <w:t>1,87</w:t>
                        </w:r>
                      </w:p>
                    </w:txbxContent>
                  </v:textbox>
                  <w10:wrap type="none"/>
                </v:shape>
                <v:shape style="position:absolute;left:4351;top:1968;width:262;height:174" type="#_x0000_t202" id="docshape97" filled="false" stroked="false">
                  <v:textbox inset="0,0,0,0">
                    <w:txbxContent>
                      <w:p>
                        <w:pPr>
                          <w:spacing w:before="1"/>
                          <w:ind w:left="0" w:right="0" w:firstLine="0"/>
                          <w:jc w:val="left"/>
                          <w:rPr>
                            <w:rFonts w:ascii="Arial Narrow"/>
                            <w:b/>
                            <w:sz w:val="15"/>
                          </w:rPr>
                        </w:pPr>
                        <w:r>
                          <w:rPr>
                            <w:rFonts w:ascii="Arial Narrow"/>
                            <w:b/>
                            <w:color w:val="002D5D"/>
                            <w:spacing w:val="-4"/>
                            <w:sz w:val="15"/>
                          </w:rPr>
                          <w:t>1,61</w:t>
                        </w:r>
                      </w:p>
                    </w:txbxContent>
                  </v:textbox>
                  <w10:wrap type="none"/>
                </v:shape>
                <v:shape style="position:absolute;left:5210;top:1904;width:262;height:174" type="#_x0000_t202" id="docshape98" filled="false" stroked="false">
                  <v:textbox inset="0,0,0,0">
                    <w:txbxContent>
                      <w:p>
                        <w:pPr>
                          <w:spacing w:before="1"/>
                          <w:ind w:left="0" w:right="0" w:firstLine="0"/>
                          <w:jc w:val="left"/>
                          <w:rPr>
                            <w:rFonts w:ascii="Arial Narrow"/>
                            <w:b/>
                            <w:sz w:val="15"/>
                          </w:rPr>
                        </w:pPr>
                        <w:r>
                          <w:rPr>
                            <w:rFonts w:ascii="Arial Narrow"/>
                            <w:b/>
                            <w:color w:val="002D5D"/>
                            <w:spacing w:val="-4"/>
                            <w:sz w:val="15"/>
                          </w:rPr>
                          <w:t>2,13</w:t>
                        </w:r>
                      </w:p>
                    </w:txbxContent>
                  </v:textbox>
                  <w10:wrap type="none"/>
                </v:shape>
                <v:shape style="position:absolute;left:5704;top:1880;width:628;height:269" type="#_x0000_t202" id="docshape99" filled="false" stroked="false">
                  <v:textbox inset="0,0,0,0">
                    <w:txbxContent>
                      <w:p>
                        <w:pPr>
                          <w:spacing w:before="1"/>
                          <w:ind w:left="0" w:right="0" w:firstLine="0"/>
                          <w:jc w:val="left"/>
                          <w:rPr>
                            <w:rFonts w:ascii="Arial Narrow"/>
                            <w:b/>
                            <w:position w:val="-8"/>
                            <w:sz w:val="15"/>
                          </w:rPr>
                        </w:pPr>
                        <w:r>
                          <w:rPr>
                            <w:rFonts w:ascii="Arial Narrow"/>
                            <w:b/>
                            <w:color w:val="891538"/>
                            <w:sz w:val="15"/>
                          </w:rPr>
                          <w:t>2,33</w:t>
                        </w:r>
                        <w:r>
                          <w:rPr>
                            <w:rFonts w:ascii="Arial Narrow"/>
                            <w:b/>
                            <w:color w:val="891538"/>
                            <w:spacing w:val="71"/>
                            <w:w w:val="150"/>
                            <w:sz w:val="15"/>
                          </w:rPr>
                          <w:t> </w:t>
                        </w:r>
                        <w:r>
                          <w:rPr>
                            <w:rFonts w:ascii="Arial Narrow"/>
                            <w:b/>
                            <w:color w:val="002D5D"/>
                            <w:spacing w:val="-4"/>
                            <w:position w:val="-8"/>
                            <w:sz w:val="15"/>
                          </w:rPr>
                          <w:t>1,56</w:t>
                        </w:r>
                      </w:p>
                    </w:txbxContent>
                  </v:textbox>
                  <w10:wrap type="none"/>
                </v:shape>
                <v:shape style="position:absolute;left:3985;top:2115;width:262;height:174" type="#_x0000_t202" id="docshape100" filled="false" stroked="false">
                  <v:textbox inset="0,0,0,0">
                    <w:txbxContent>
                      <w:p>
                        <w:pPr>
                          <w:spacing w:before="1"/>
                          <w:ind w:left="0" w:right="0" w:firstLine="0"/>
                          <w:jc w:val="left"/>
                          <w:rPr>
                            <w:rFonts w:ascii="Arial Narrow"/>
                            <w:b/>
                            <w:sz w:val="15"/>
                          </w:rPr>
                        </w:pPr>
                        <w:r>
                          <w:rPr>
                            <w:rFonts w:ascii="Arial Narrow"/>
                            <w:b/>
                            <w:color w:val="891538"/>
                            <w:spacing w:val="-4"/>
                            <w:sz w:val="15"/>
                          </w:rPr>
                          <w:t>0,42</w:t>
                        </w:r>
                      </w:p>
                    </w:txbxContent>
                  </v:textbox>
                  <w10:wrap type="none"/>
                </v:shape>
                <v:shape style="position:absolute;left:6564;top:2033;width:628;height:236" type="#_x0000_t202" id="docshape101" filled="false" stroked="false">
                  <v:textbox inset="0,0,0,0">
                    <w:txbxContent>
                      <w:p>
                        <w:pPr>
                          <w:spacing w:before="1"/>
                          <w:ind w:left="0" w:right="0" w:firstLine="0"/>
                          <w:jc w:val="left"/>
                          <w:rPr>
                            <w:rFonts w:ascii="Arial Narrow"/>
                            <w:b/>
                            <w:sz w:val="15"/>
                          </w:rPr>
                        </w:pPr>
                        <w:r>
                          <w:rPr>
                            <w:rFonts w:ascii="Arial Narrow"/>
                            <w:b/>
                            <w:color w:val="891538"/>
                            <w:position w:val="-5"/>
                            <w:sz w:val="15"/>
                          </w:rPr>
                          <w:t>0,58</w:t>
                        </w:r>
                        <w:r>
                          <w:rPr>
                            <w:rFonts w:ascii="Arial Narrow"/>
                            <w:b/>
                            <w:color w:val="891538"/>
                            <w:spacing w:val="71"/>
                            <w:w w:val="150"/>
                            <w:position w:val="-5"/>
                            <w:sz w:val="15"/>
                          </w:rPr>
                          <w:t> </w:t>
                        </w:r>
                        <w:r>
                          <w:rPr>
                            <w:rFonts w:ascii="Arial Narrow"/>
                            <w:b/>
                            <w:color w:val="002D5D"/>
                            <w:spacing w:val="-4"/>
                            <w:sz w:val="15"/>
                          </w:rPr>
                          <w:t>1,09</w:t>
                        </w:r>
                      </w:p>
                    </w:txbxContent>
                  </v:textbox>
                  <w10:wrap type="none"/>
                </v:shape>
                <v:shape style="position:absolute;left:7423;top:1842;width:628;height:342" type="#_x0000_t202" id="docshape102" filled="false" stroked="false">
                  <v:textbox inset="0,0,0,0">
                    <w:txbxContent>
                      <w:p>
                        <w:pPr>
                          <w:spacing w:line="170" w:lineRule="exact" w:before="1"/>
                          <w:ind w:left="0" w:right="0" w:firstLine="0"/>
                          <w:jc w:val="left"/>
                          <w:rPr>
                            <w:rFonts w:ascii="Arial Narrow"/>
                            <w:b/>
                            <w:sz w:val="15"/>
                          </w:rPr>
                        </w:pPr>
                        <w:r>
                          <w:rPr>
                            <w:rFonts w:ascii="Arial Narrow"/>
                            <w:b/>
                            <w:color w:val="891538"/>
                            <w:spacing w:val="-4"/>
                            <w:sz w:val="15"/>
                          </w:rPr>
                          <w:t>2,64</w:t>
                        </w:r>
                      </w:p>
                      <w:p>
                        <w:pPr>
                          <w:spacing w:line="170" w:lineRule="exact" w:before="0"/>
                          <w:ind w:left="366" w:right="0" w:firstLine="0"/>
                          <w:jc w:val="left"/>
                          <w:rPr>
                            <w:rFonts w:ascii="Arial Narrow"/>
                            <w:b/>
                            <w:sz w:val="15"/>
                          </w:rPr>
                        </w:pPr>
                        <w:r>
                          <w:rPr>
                            <w:rFonts w:ascii="Arial Narrow"/>
                            <w:b/>
                            <w:color w:val="002D5D"/>
                            <w:spacing w:val="-4"/>
                            <w:sz w:val="15"/>
                          </w:rPr>
                          <w:t>1,27</w:t>
                        </w:r>
                      </w:p>
                    </w:txbxContent>
                  </v:textbox>
                  <w10:wrap type="none"/>
                </v:shape>
                <v:shape style="position:absolute;left:8558;top:2040;width:1213;height:214" type="#_x0000_t202" id="docshape103" filled="false" stroked="false">
                  <v:textbox inset="0,0,0,0">
                    <w:txbxContent>
                      <w:p>
                        <w:pPr>
                          <w:tabs>
                            <w:tab w:pos="584" w:val="left" w:leader="none"/>
                          </w:tabs>
                          <w:spacing w:line="208" w:lineRule="exact" w:before="5"/>
                          <w:ind w:left="0" w:right="0" w:firstLine="0"/>
                          <w:jc w:val="left"/>
                          <w:rPr>
                            <w:rFonts w:ascii="Arial Narrow"/>
                            <w:b/>
                            <w:sz w:val="15"/>
                          </w:rPr>
                        </w:pPr>
                        <w:r>
                          <w:rPr>
                            <w:rFonts w:ascii="Arial Narrow"/>
                            <w:b/>
                            <w:color w:val="002D5D"/>
                            <w:spacing w:val="56"/>
                            <w:sz w:val="15"/>
                            <w:u w:val="single" w:color="D9D9D9"/>
                          </w:rPr>
                          <w:t> </w:t>
                        </w:r>
                        <w:r>
                          <w:rPr>
                            <w:rFonts w:ascii="Arial Narrow"/>
                            <w:b/>
                            <w:color w:val="002D5D"/>
                            <w:spacing w:val="-4"/>
                            <w:sz w:val="15"/>
                            <w:u w:val="single" w:color="D9D9D9"/>
                          </w:rPr>
                          <w:t>1,02</w:t>
                        </w:r>
                        <w:r>
                          <w:rPr>
                            <w:rFonts w:ascii="Arial Narrow"/>
                            <w:b/>
                            <w:color w:val="002D5D"/>
                            <w:sz w:val="15"/>
                            <w:u w:val="single" w:color="D9D9D9"/>
                          </w:rPr>
                          <w:tab/>
                        </w:r>
                        <w:r>
                          <w:rPr>
                            <w:rFonts w:ascii="Arial Narrow"/>
                            <w:b/>
                            <w:color w:val="891538"/>
                            <w:position w:val="-3"/>
                            <w:sz w:val="15"/>
                            <w:u w:val="none"/>
                          </w:rPr>
                          <w:t>0,70</w:t>
                        </w:r>
                        <w:r>
                          <w:rPr>
                            <w:rFonts w:ascii="Arial Narrow"/>
                            <w:b/>
                            <w:color w:val="891538"/>
                            <w:spacing w:val="71"/>
                            <w:w w:val="150"/>
                            <w:position w:val="-3"/>
                            <w:sz w:val="15"/>
                            <w:u w:val="none"/>
                          </w:rPr>
                          <w:t> </w:t>
                        </w:r>
                        <w:r>
                          <w:rPr>
                            <w:rFonts w:ascii="Arial Narrow"/>
                            <w:b/>
                            <w:color w:val="002D5D"/>
                            <w:spacing w:val="-4"/>
                            <w:sz w:val="15"/>
                            <w:u w:val="none"/>
                          </w:rPr>
                          <w:t>0,99</w:t>
                        </w:r>
                      </w:p>
                    </w:txbxContent>
                  </v:textbox>
                  <w10:wrap type="none"/>
                </v:shape>
                <v:shape style="position:absolute;left:2198;top:2540;width:1536;height:207" type="#_x0000_t202" id="docshape104" filled="false" stroked="false">
                  <v:textbox inset="0,0,0,0">
                    <w:txbxContent>
                      <w:p>
                        <w:pPr>
                          <w:tabs>
                            <w:tab w:pos="949" w:val="left" w:leader="none"/>
                          </w:tabs>
                          <w:spacing w:line="206" w:lineRule="exact" w:before="0"/>
                          <w:ind w:left="0" w:right="0" w:firstLine="0"/>
                          <w:jc w:val="left"/>
                          <w:rPr>
                            <w:rFonts w:ascii="Arial Narrow"/>
                            <w:b/>
                            <w:sz w:val="18"/>
                          </w:rPr>
                        </w:pPr>
                        <w:r>
                          <w:rPr>
                            <w:rFonts w:ascii="Arial Narrow"/>
                            <w:b/>
                            <w:color w:val="585858"/>
                            <w:spacing w:val="-2"/>
                            <w:sz w:val="18"/>
                          </w:rPr>
                          <w:t>ALICANTE</w:t>
                        </w:r>
                        <w:r>
                          <w:rPr>
                            <w:rFonts w:ascii="Arial Narrow"/>
                            <w:b/>
                            <w:color w:val="585858"/>
                            <w:sz w:val="18"/>
                          </w:rPr>
                          <w:tab/>
                        </w:r>
                        <w:r>
                          <w:rPr>
                            <w:rFonts w:ascii="Arial Narrow"/>
                            <w:b/>
                            <w:color w:val="585858"/>
                            <w:spacing w:val="-2"/>
                            <w:sz w:val="18"/>
                          </w:rPr>
                          <w:t>BILBAO</w:t>
                        </w:r>
                      </w:p>
                    </w:txbxContent>
                  </v:textbox>
                  <w10:wrap type="none"/>
                </v:shape>
                <v:shape style="position:absolute;left:3909;top:2540;width:2443;height:827" type="#_x0000_t202" id="docshape105" filled="false" stroked="false">
                  <v:textbox inset="0,0,0,0">
                    <w:txbxContent>
                      <w:p>
                        <w:pPr>
                          <w:tabs>
                            <w:tab w:pos="1093" w:val="left" w:leader="none"/>
                            <w:tab w:pos="1776" w:val="left" w:leader="none"/>
                          </w:tabs>
                          <w:spacing w:before="0"/>
                          <w:ind w:left="0" w:right="18" w:firstLine="0"/>
                          <w:jc w:val="center"/>
                          <w:rPr>
                            <w:rFonts w:ascii="Arial Narrow" w:hAnsi="Arial Narrow"/>
                            <w:b/>
                            <w:sz w:val="18"/>
                          </w:rPr>
                        </w:pPr>
                        <w:r>
                          <w:rPr>
                            <w:rFonts w:ascii="Arial Narrow" w:hAnsi="Arial Narrow"/>
                            <w:b/>
                            <w:color w:val="585858"/>
                            <w:spacing w:val="-2"/>
                            <w:sz w:val="18"/>
                          </w:rPr>
                          <w:t>CÓRDOBA</w:t>
                        </w:r>
                        <w:r>
                          <w:rPr>
                            <w:rFonts w:ascii="Arial Narrow" w:hAnsi="Arial Narrow"/>
                            <w:b/>
                            <w:color w:val="585858"/>
                            <w:sz w:val="18"/>
                          </w:rPr>
                          <w:tab/>
                        </w:r>
                        <w:r>
                          <w:rPr>
                            <w:rFonts w:ascii="Arial Narrow" w:hAnsi="Arial Narrow"/>
                            <w:b/>
                            <w:color w:val="585858"/>
                            <w:spacing w:val="-4"/>
                            <w:sz w:val="18"/>
                          </w:rPr>
                          <w:t>LAS</w:t>
                        </w:r>
                        <w:r>
                          <w:rPr>
                            <w:rFonts w:ascii="Arial Narrow" w:hAnsi="Arial Narrow"/>
                            <w:b/>
                            <w:color w:val="585858"/>
                            <w:sz w:val="18"/>
                          </w:rPr>
                          <w:tab/>
                        </w:r>
                        <w:r>
                          <w:rPr>
                            <w:rFonts w:ascii="Arial Narrow" w:hAnsi="Arial Narrow"/>
                            <w:b/>
                            <w:color w:val="585858"/>
                            <w:spacing w:val="-2"/>
                            <w:sz w:val="18"/>
                          </w:rPr>
                          <w:t>MÁLAGA</w:t>
                        </w:r>
                        <w:r>
                          <w:rPr>
                            <w:rFonts w:ascii="Arial Narrow" w:hAnsi="Arial Narrow"/>
                            <w:b/>
                            <w:color w:val="585858"/>
                            <w:sz w:val="18"/>
                          </w:rPr>
                          <w:t> </w:t>
                        </w:r>
                        <w:r>
                          <w:rPr>
                            <w:rFonts w:ascii="Arial Narrow" w:hAnsi="Arial Narrow"/>
                            <w:b/>
                            <w:color w:val="585858"/>
                            <w:spacing w:val="-2"/>
                            <w:sz w:val="18"/>
                          </w:rPr>
                          <w:t>PALMAS</w:t>
                        </w:r>
                      </w:p>
                      <w:p>
                        <w:pPr>
                          <w:spacing w:before="0"/>
                          <w:ind w:left="900" w:right="859" w:hanging="1"/>
                          <w:jc w:val="center"/>
                          <w:rPr>
                            <w:rFonts w:ascii="Arial Narrow"/>
                            <w:b/>
                            <w:sz w:val="18"/>
                          </w:rPr>
                        </w:pPr>
                        <w:r>
                          <w:rPr>
                            <w:rFonts w:ascii="Arial Narrow"/>
                            <w:b/>
                            <w:color w:val="585858"/>
                            <w:sz w:val="18"/>
                          </w:rPr>
                          <w:t>DE</w:t>
                        </w:r>
                        <w:r>
                          <w:rPr>
                            <w:rFonts w:ascii="Arial Narrow"/>
                            <w:b/>
                            <w:color w:val="585858"/>
                            <w:spacing w:val="-11"/>
                            <w:sz w:val="18"/>
                          </w:rPr>
                          <w:t> </w:t>
                        </w:r>
                        <w:r>
                          <w:rPr>
                            <w:rFonts w:ascii="Arial Narrow"/>
                            <w:b/>
                            <w:color w:val="585858"/>
                            <w:sz w:val="18"/>
                          </w:rPr>
                          <w:t>GRAN </w:t>
                        </w:r>
                        <w:r>
                          <w:rPr>
                            <w:rFonts w:ascii="Arial Narrow"/>
                            <w:b/>
                            <w:color w:val="585858"/>
                            <w:spacing w:val="-2"/>
                            <w:sz w:val="18"/>
                          </w:rPr>
                          <w:t>CANARIA</w:t>
                        </w:r>
                      </w:p>
                    </w:txbxContent>
                  </v:textbox>
                  <w10:wrap type="none"/>
                </v:shape>
                <v:shape style="position:absolute;left:6574;top:2540;width:3313;height:207" type="#_x0000_t202" id="docshape106" filled="false" stroked="false">
                  <v:textbox inset="0,0,0,0">
                    <w:txbxContent>
                      <w:p>
                        <w:pPr>
                          <w:tabs>
                            <w:tab w:pos="892" w:val="left" w:leader="none"/>
                            <w:tab w:pos="1682" w:val="left" w:leader="none"/>
                          </w:tabs>
                          <w:spacing w:line="206" w:lineRule="exact" w:before="0"/>
                          <w:ind w:left="0" w:right="0" w:firstLine="0"/>
                          <w:jc w:val="left"/>
                          <w:rPr>
                            <w:rFonts w:ascii="Arial Narrow"/>
                            <w:b/>
                            <w:sz w:val="18"/>
                          </w:rPr>
                        </w:pPr>
                        <w:r>
                          <w:rPr>
                            <w:rFonts w:ascii="Arial Narrow"/>
                            <w:b/>
                            <w:color w:val="585858"/>
                            <w:spacing w:val="-2"/>
                            <w:sz w:val="18"/>
                          </w:rPr>
                          <w:t>MURCIA</w:t>
                        </w:r>
                        <w:r>
                          <w:rPr>
                            <w:rFonts w:ascii="Arial Narrow"/>
                            <w:b/>
                            <w:color w:val="585858"/>
                            <w:sz w:val="18"/>
                          </w:rPr>
                          <w:tab/>
                        </w:r>
                        <w:r>
                          <w:rPr>
                            <w:rFonts w:ascii="Arial Narrow"/>
                            <w:b/>
                            <w:color w:val="585858"/>
                            <w:spacing w:val="-4"/>
                            <w:sz w:val="18"/>
                          </w:rPr>
                          <w:t>PALMA</w:t>
                        </w:r>
                        <w:r>
                          <w:rPr>
                            <w:rFonts w:ascii="Arial Narrow"/>
                            <w:b/>
                            <w:color w:val="585858"/>
                            <w:sz w:val="18"/>
                          </w:rPr>
                          <w:tab/>
                          <w:t>SEVILLA</w:t>
                        </w:r>
                        <w:r>
                          <w:rPr>
                            <w:rFonts w:ascii="Arial Narrow"/>
                            <w:b/>
                            <w:color w:val="585858"/>
                            <w:spacing w:val="33"/>
                            <w:sz w:val="18"/>
                          </w:rPr>
                          <w:t>  </w:t>
                        </w:r>
                        <w:r>
                          <w:rPr>
                            <w:rFonts w:ascii="Arial Narrow"/>
                            <w:b/>
                            <w:color w:val="585858"/>
                            <w:spacing w:val="-2"/>
                            <w:sz w:val="18"/>
                          </w:rPr>
                          <w:t>ZARAGOZA</w:t>
                        </w:r>
                      </w:p>
                    </w:txbxContent>
                  </v:textbox>
                  <w10:wrap type="none"/>
                </v:shape>
                <v:shape style="position:absolute;left:3922;top:3544;width:4148;height:558" type="#_x0000_t202" id="docshape107" filled="false" stroked="false">
                  <v:textbox inset="0,0,0,0">
                    <w:txbxContent>
                      <w:p>
                        <w:pPr>
                          <w:spacing w:line="218" w:lineRule="exact" w:before="0"/>
                          <w:ind w:left="0" w:right="0" w:firstLine="0"/>
                          <w:jc w:val="left"/>
                          <w:rPr>
                            <w:rFonts w:ascii="Calibri" w:hAnsi="Calibri"/>
                            <w:sz w:val="18"/>
                          </w:rPr>
                        </w:pPr>
                        <w:r>
                          <w:rPr>
                            <w:rFonts w:ascii="Calibri" w:hAnsi="Calibri"/>
                            <w:color w:val="585858"/>
                            <w:w w:val="105"/>
                            <w:sz w:val="18"/>
                          </w:rPr>
                          <w:t>Densidad</w:t>
                        </w:r>
                        <w:r>
                          <w:rPr>
                            <w:rFonts w:ascii="Calibri" w:hAnsi="Calibri"/>
                            <w:color w:val="585858"/>
                            <w:spacing w:val="1"/>
                            <w:w w:val="105"/>
                            <w:sz w:val="18"/>
                          </w:rPr>
                          <w:t> </w:t>
                        </w:r>
                        <w:r>
                          <w:rPr>
                            <w:rFonts w:ascii="Calibri" w:hAnsi="Calibri"/>
                            <w:color w:val="585858"/>
                            <w:w w:val="105"/>
                            <w:sz w:val="18"/>
                          </w:rPr>
                          <w:t>líneas</w:t>
                        </w:r>
                        <w:r>
                          <w:rPr>
                            <w:rFonts w:ascii="Calibri" w:hAnsi="Calibri"/>
                            <w:color w:val="585858"/>
                            <w:spacing w:val="3"/>
                            <w:w w:val="105"/>
                            <w:sz w:val="18"/>
                          </w:rPr>
                          <w:t> </w:t>
                        </w:r>
                        <w:r>
                          <w:rPr>
                            <w:rFonts w:ascii="Calibri" w:hAnsi="Calibri"/>
                            <w:color w:val="585858"/>
                            <w:w w:val="105"/>
                            <w:sz w:val="18"/>
                          </w:rPr>
                          <w:t>por</w:t>
                        </w:r>
                        <w:r>
                          <w:rPr>
                            <w:rFonts w:ascii="Calibri" w:hAnsi="Calibri"/>
                            <w:color w:val="585858"/>
                            <w:spacing w:val="1"/>
                            <w:w w:val="105"/>
                            <w:sz w:val="18"/>
                          </w:rPr>
                          <w:t> </w:t>
                        </w:r>
                        <w:r>
                          <w:rPr>
                            <w:rFonts w:ascii="Calibri" w:hAnsi="Calibri"/>
                            <w:color w:val="585858"/>
                            <w:w w:val="105"/>
                            <w:sz w:val="18"/>
                          </w:rPr>
                          <w:t>superficie</w:t>
                        </w:r>
                        <w:r>
                          <w:rPr>
                            <w:rFonts w:ascii="Calibri" w:hAnsi="Calibri"/>
                            <w:color w:val="585858"/>
                            <w:spacing w:val="3"/>
                            <w:w w:val="105"/>
                            <w:sz w:val="18"/>
                          </w:rPr>
                          <w:t> </w:t>
                        </w:r>
                        <w:r>
                          <w:rPr>
                            <w:rFonts w:ascii="Calibri" w:hAnsi="Calibri"/>
                            <w:color w:val="585858"/>
                            <w:w w:val="105"/>
                            <w:sz w:val="18"/>
                          </w:rPr>
                          <w:t>(km</w:t>
                        </w:r>
                        <w:r>
                          <w:rPr>
                            <w:rFonts w:ascii="Calibri" w:hAnsi="Calibri"/>
                            <w:color w:val="585858"/>
                            <w:spacing w:val="4"/>
                            <w:w w:val="105"/>
                            <w:sz w:val="18"/>
                          </w:rPr>
                          <w:t> </w:t>
                        </w:r>
                        <w:r>
                          <w:rPr>
                            <w:rFonts w:ascii="Calibri" w:hAnsi="Calibri"/>
                            <w:color w:val="585858"/>
                            <w:w w:val="105"/>
                            <w:sz w:val="18"/>
                          </w:rPr>
                          <w:t>líneas</w:t>
                        </w:r>
                        <w:r>
                          <w:rPr>
                            <w:rFonts w:ascii="Calibri" w:hAnsi="Calibri"/>
                            <w:color w:val="585858"/>
                            <w:spacing w:val="1"/>
                            <w:w w:val="105"/>
                            <w:sz w:val="18"/>
                          </w:rPr>
                          <w:t> </w:t>
                        </w:r>
                        <w:r>
                          <w:rPr>
                            <w:rFonts w:ascii="Calibri" w:hAnsi="Calibri"/>
                            <w:color w:val="585858"/>
                            <w:w w:val="105"/>
                            <w:sz w:val="18"/>
                          </w:rPr>
                          <w:t>/</w:t>
                        </w:r>
                        <w:r>
                          <w:rPr>
                            <w:rFonts w:ascii="Calibri" w:hAnsi="Calibri"/>
                            <w:color w:val="585858"/>
                            <w:spacing w:val="3"/>
                            <w:w w:val="105"/>
                            <w:sz w:val="18"/>
                          </w:rPr>
                          <w:t> </w:t>
                        </w:r>
                        <w:r>
                          <w:rPr>
                            <w:rFonts w:ascii="Calibri" w:hAnsi="Calibri"/>
                            <w:color w:val="585858"/>
                            <w:spacing w:val="-4"/>
                            <w:w w:val="105"/>
                            <w:sz w:val="18"/>
                          </w:rPr>
                          <w:t>km2)</w:t>
                        </w:r>
                      </w:p>
                      <w:p>
                        <w:pPr>
                          <w:spacing w:before="118"/>
                          <w:ind w:left="0" w:right="0" w:firstLine="0"/>
                          <w:jc w:val="left"/>
                          <w:rPr>
                            <w:rFonts w:ascii="Calibri" w:hAnsi="Calibri"/>
                            <w:sz w:val="18"/>
                          </w:rPr>
                        </w:pPr>
                        <w:r>
                          <w:rPr>
                            <w:rFonts w:ascii="Calibri" w:hAnsi="Calibri"/>
                            <w:color w:val="585858"/>
                            <w:w w:val="105"/>
                            <w:sz w:val="18"/>
                          </w:rPr>
                          <w:t>Densidad</w:t>
                        </w:r>
                        <w:r>
                          <w:rPr>
                            <w:rFonts w:ascii="Calibri" w:hAnsi="Calibri"/>
                            <w:color w:val="585858"/>
                            <w:spacing w:val="-4"/>
                            <w:w w:val="105"/>
                            <w:sz w:val="18"/>
                          </w:rPr>
                          <w:t> </w:t>
                        </w:r>
                        <w:r>
                          <w:rPr>
                            <w:rFonts w:ascii="Calibri" w:hAnsi="Calibri"/>
                            <w:color w:val="585858"/>
                            <w:w w:val="105"/>
                            <w:sz w:val="18"/>
                          </w:rPr>
                          <w:t>líneas</w:t>
                        </w:r>
                        <w:r>
                          <w:rPr>
                            <w:rFonts w:ascii="Calibri" w:hAnsi="Calibri"/>
                            <w:color w:val="585858"/>
                            <w:spacing w:val="-2"/>
                            <w:w w:val="105"/>
                            <w:sz w:val="18"/>
                          </w:rPr>
                          <w:t> </w:t>
                        </w:r>
                        <w:r>
                          <w:rPr>
                            <w:rFonts w:ascii="Calibri" w:hAnsi="Calibri"/>
                            <w:color w:val="585858"/>
                            <w:w w:val="105"/>
                            <w:sz w:val="18"/>
                          </w:rPr>
                          <w:t>por</w:t>
                        </w:r>
                        <w:r>
                          <w:rPr>
                            <w:rFonts w:ascii="Calibri" w:hAnsi="Calibri"/>
                            <w:color w:val="585858"/>
                            <w:spacing w:val="-5"/>
                            <w:w w:val="105"/>
                            <w:sz w:val="18"/>
                          </w:rPr>
                          <w:t> </w:t>
                        </w:r>
                        <w:r>
                          <w:rPr>
                            <w:rFonts w:ascii="Calibri" w:hAnsi="Calibri"/>
                            <w:color w:val="585858"/>
                            <w:w w:val="105"/>
                            <w:sz w:val="18"/>
                          </w:rPr>
                          <w:t>habitante</w:t>
                        </w:r>
                        <w:r>
                          <w:rPr>
                            <w:rFonts w:ascii="Calibri" w:hAnsi="Calibri"/>
                            <w:color w:val="585858"/>
                            <w:spacing w:val="-1"/>
                            <w:w w:val="105"/>
                            <w:sz w:val="18"/>
                          </w:rPr>
                          <w:t> </w:t>
                        </w:r>
                        <w:r>
                          <w:rPr>
                            <w:rFonts w:ascii="Calibri" w:hAnsi="Calibri"/>
                            <w:color w:val="585858"/>
                            <w:w w:val="105"/>
                            <w:sz w:val="18"/>
                          </w:rPr>
                          <w:t>(km</w:t>
                        </w:r>
                        <w:r>
                          <w:rPr>
                            <w:rFonts w:ascii="Calibri" w:hAnsi="Calibri"/>
                            <w:color w:val="585858"/>
                            <w:spacing w:val="-1"/>
                            <w:w w:val="105"/>
                            <w:sz w:val="18"/>
                          </w:rPr>
                          <w:t> </w:t>
                        </w:r>
                        <w:r>
                          <w:rPr>
                            <w:rFonts w:ascii="Calibri" w:hAnsi="Calibri"/>
                            <w:color w:val="585858"/>
                            <w:w w:val="105"/>
                            <w:sz w:val="18"/>
                          </w:rPr>
                          <w:t>líneas</w:t>
                        </w:r>
                        <w:r>
                          <w:rPr>
                            <w:rFonts w:ascii="Calibri" w:hAnsi="Calibri"/>
                            <w:color w:val="585858"/>
                            <w:spacing w:val="-4"/>
                            <w:w w:val="105"/>
                            <w:sz w:val="18"/>
                          </w:rPr>
                          <w:t> </w:t>
                        </w:r>
                        <w:r>
                          <w:rPr>
                            <w:rFonts w:ascii="Calibri" w:hAnsi="Calibri"/>
                            <w:color w:val="585858"/>
                            <w:w w:val="105"/>
                            <w:sz w:val="18"/>
                          </w:rPr>
                          <w:t>/</w:t>
                        </w:r>
                        <w:r>
                          <w:rPr>
                            <w:rFonts w:ascii="Calibri" w:hAnsi="Calibri"/>
                            <w:color w:val="585858"/>
                            <w:spacing w:val="-2"/>
                            <w:w w:val="105"/>
                            <w:sz w:val="18"/>
                          </w:rPr>
                          <w:t> </w:t>
                        </w:r>
                        <w:r>
                          <w:rPr>
                            <w:rFonts w:ascii="Calibri" w:hAnsi="Calibri"/>
                            <w:color w:val="585858"/>
                            <w:w w:val="105"/>
                            <w:sz w:val="18"/>
                          </w:rPr>
                          <w:t>1000 </w:t>
                        </w:r>
                        <w:r>
                          <w:rPr>
                            <w:rFonts w:ascii="Calibri" w:hAnsi="Calibri"/>
                            <w:color w:val="585858"/>
                            <w:spacing w:val="-2"/>
                            <w:w w:val="105"/>
                            <w:sz w:val="18"/>
                          </w:rPr>
                          <w:t>hab.)</w:t>
                        </w:r>
                      </w:p>
                    </w:txbxContent>
                  </v:textbox>
                  <w10:wrap type="none"/>
                </v:shape>
                <w10:wrap type="topAndBottom"/>
              </v:group>
            </w:pict>
          </mc:Fallback>
        </mc:AlternateContent>
      </w:r>
    </w:p>
    <w:p>
      <w:pPr>
        <w:spacing w:before="54"/>
        <w:ind w:left="1558"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3"/>
          <w:sz w:val="18"/>
        </w:rPr>
        <w:t> </w:t>
      </w:r>
      <w:r>
        <w:rPr>
          <w:rFonts w:ascii="Arial Narrow" w:hAnsi="Arial Narrow"/>
          <w:sz w:val="18"/>
        </w:rPr>
        <w:t>a</w:t>
      </w:r>
      <w:r>
        <w:rPr>
          <w:rFonts w:ascii="Arial Narrow" w:hAnsi="Arial Narrow"/>
          <w:spacing w:val="-3"/>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2"/>
          <w:sz w:val="18"/>
        </w:rPr>
        <w:t> </w:t>
      </w:r>
      <w:r>
        <w:rPr>
          <w:rFonts w:ascii="Arial Narrow" w:hAnsi="Arial Narrow"/>
          <w:sz w:val="18"/>
        </w:rPr>
        <w:t>los</w:t>
      </w:r>
      <w:r>
        <w:rPr>
          <w:rFonts w:ascii="Arial Narrow" w:hAnsi="Arial Narrow"/>
          <w:spacing w:val="-3"/>
          <w:sz w:val="18"/>
        </w:rPr>
        <w:t> </w:t>
      </w:r>
      <w:r>
        <w:rPr>
          <w:rFonts w:ascii="Arial Narrow" w:hAnsi="Arial Narrow"/>
          <w:sz w:val="18"/>
        </w:rPr>
        <w:t>datos</w:t>
      </w:r>
      <w:r>
        <w:rPr>
          <w:rFonts w:ascii="Arial Narrow" w:hAnsi="Arial Narrow"/>
          <w:spacing w:val="-1"/>
          <w:sz w:val="18"/>
        </w:rPr>
        <w:t> </w:t>
      </w:r>
      <w:r>
        <w:rPr>
          <w:rFonts w:ascii="Arial Narrow" w:hAnsi="Arial Narrow"/>
          <w:sz w:val="18"/>
        </w:rPr>
        <w:t>facilitados</w:t>
      </w:r>
      <w:r>
        <w:rPr>
          <w:rFonts w:ascii="Arial Narrow" w:hAnsi="Arial Narrow"/>
          <w:spacing w:val="-1"/>
          <w:sz w:val="18"/>
        </w:rPr>
        <w:t> </w:t>
      </w:r>
      <w:r>
        <w:rPr>
          <w:rFonts w:ascii="Arial Narrow" w:hAnsi="Arial Narrow"/>
          <w:sz w:val="18"/>
        </w:rPr>
        <w:t>por</w:t>
      </w:r>
      <w:r>
        <w:rPr>
          <w:rFonts w:ascii="Arial Narrow" w:hAnsi="Arial Narrow"/>
          <w:spacing w:val="-2"/>
          <w:sz w:val="18"/>
        </w:rPr>
        <w:t> </w:t>
      </w:r>
      <w:r>
        <w:rPr>
          <w:rFonts w:ascii="Arial Narrow" w:hAnsi="Arial Narrow"/>
          <w:sz w:val="18"/>
        </w:rPr>
        <w:t>las</w:t>
      </w:r>
      <w:r>
        <w:rPr>
          <w:rFonts w:ascii="Arial Narrow" w:hAnsi="Arial Narrow"/>
          <w:spacing w:val="-3"/>
          <w:sz w:val="18"/>
        </w:rPr>
        <w:t> </w:t>
      </w:r>
      <w:r>
        <w:rPr>
          <w:rFonts w:ascii="Arial Narrow" w:hAnsi="Arial Narrow"/>
          <w:sz w:val="18"/>
        </w:rPr>
        <w:t>entidades</w:t>
      </w:r>
      <w:r>
        <w:rPr>
          <w:rFonts w:ascii="Arial Narrow" w:hAnsi="Arial Narrow"/>
          <w:spacing w:val="-2"/>
          <w:sz w:val="18"/>
        </w:rPr>
        <w:t> fiscalizadas</w:t>
      </w:r>
    </w:p>
    <w:p>
      <w:pPr>
        <w:pStyle w:val="BodyText"/>
        <w:spacing w:before="33"/>
        <w:rPr>
          <w:rFonts w:ascii="Arial Narrow"/>
          <w:sz w:val="18"/>
        </w:rPr>
      </w:pPr>
    </w:p>
    <w:p>
      <w:pPr>
        <w:pStyle w:val="BodyText"/>
        <w:spacing w:before="1"/>
        <w:ind w:left="850" w:right="987"/>
        <w:jc w:val="both"/>
      </w:pPr>
      <w:r>
        <w:rPr>
          <w:b/>
        </w:rPr>
        <w:t>Murcia</w:t>
      </w:r>
      <w:r>
        <w:rPr/>
        <w:t>, </w:t>
      </w:r>
      <w:r>
        <w:rPr>
          <w:b/>
        </w:rPr>
        <w:t>Sevilla </w:t>
      </w:r>
      <w:r>
        <w:rPr/>
        <w:t>y </w:t>
      </w:r>
      <w:r>
        <w:rPr>
          <w:b/>
        </w:rPr>
        <w:t>Zaragoza</w:t>
      </w:r>
      <w:r>
        <w:rPr/>
        <w:t>, además de presentar el servicio de transporte público colectivo en autobús,</w:t>
      </w:r>
      <w:r>
        <w:rPr>
          <w:spacing w:val="-5"/>
        </w:rPr>
        <w:t> </w:t>
      </w:r>
      <w:r>
        <w:rPr/>
        <w:t>cuentan</w:t>
      </w:r>
      <w:r>
        <w:rPr>
          <w:spacing w:val="-9"/>
        </w:rPr>
        <w:t> </w:t>
      </w:r>
      <w:r>
        <w:rPr/>
        <w:t>también</w:t>
      </w:r>
      <w:r>
        <w:rPr>
          <w:spacing w:val="-3"/>
        </w:rPr>
        <w:t> </w:t>
      </w:r>
      <w:r>
        <w:rPr/>
        <w:t>con</w:t>
      </w:r>
      <w:r>
        <w:rPr>
          <w:spacing w:val="-9"/>
        </w:rPr>
        <w:t> </w:t>
      </w:r>
      <w:r>
        <w:rPr/>
        <w:t>tranvía,</w:t>
      </w:r>
      <w:r>
        <w:rPr>
          <w:spacing w:val="-8"/>
        </w:rPr>
        <w:t> </w:t>
      </w:r>
      <w:r>
        <w:rPr/>
        <w:t>con</w:t>
      </w:r>
      <w:r>
        <w:rPr>
          <w:spacing w:val="-7"/>
        </w:rPr>
        <w:t> </w:t>
      </w:r>
      <w:r>
        <w:rPr/>
        <w:t>una</w:t>
      </w:r>
      <w:r>
        <w:rPr>
          <w:spacing w:val="-6"/>
        </w:rPr>
        <w:t> </w:t>
      </w:r>
      <w:r>
        <w:rPr/>
        <w:t>única</w:t>
      </w:r>
      <w:r>
        <w:rPr>
          <w:spacing w:val="-4"/>
        </w:rPr>
        <w:t> </w:t>
      </w:r>
      <w:r>
        <w:rPr/>
        <w:t>línea</w:t>
      </w:r>
      <w:r>
        <w:rPr>
          <w:spacing w:val="-6"/>
        </w:rPr>
        <w:t> </w:t>
      </w:r>
      <w:r>
        <w:rPr/>
        <w:t>por</w:t>
      </w:r>
      <w:r>
        <w:rPr>
          <w:spacing w:val="-5"/>
        </w:rPr>
        <w:t> </w:t>
      </w:r>
      <w:r>
        <w:rPr/>
        <w:t>municipio.</w:t>
      </w:r>
      <w:r>
        <w:rPr>
          <w:spacing w:val="-6"/>
        </w:rPr>
        <w:t> </w:t>
      </w:r>
      <w:r>
        <w:rPr/>
        <w:t>Las</w:t>
      </w:r>
      <w:r>
        <w:rPr>
          <w:spacing w:val="-4"/>
        </w:rPr>
        <w:t> </w:t>
      </w:r>
      <w:r>
        <w:rPr/>
        <w:t>de</w:t>
      </w:r>
      <w:r>
        <w:rPr>
          <w:spacing w:val="-9"/>
        </w:rPr>
        <w:t> </w:t>
      </w:r>
      <w:r>
        <w:rPr>
          <w:b/>
        </w:rPr>
        <w:t>Murcia</w:t>
      </w:r>
      <w:r>
        <w:rPr>
          <w:b/>
          <w:spacing w:val="-6"/>
        </w:rPr>
        <w:t> </w:t>
      </w:r>
      <w:r>
        <w:rPr/>
        <w:t>y</w:t>
      </w:r>
      <w:r>
        <w:rPr>
          <w:spacing w:val="-6"/>
        </w:rPr>
        <w:t> </w:t>
      </w:r>
      <w:r>
        <w:rPr>
          <w:b/>
        </w:rPr>
        <w:t>Zaragoza </w:t>
      </w:r>
      <w:r>
        <w:rPr/>
        <w:t>son las que tienen mayor longitud y mayor número de paradas, con más de 20 km de longitud, y 28 y 50 paradas, respectivamente. </w:t>
      </w:r>
      <w:r>
        <w:rPr>
          <w:b/>
        </w:rPr>
        <w:t>Sevilla </w:t>
      </w:r>
      <w:r>
        <w:rPr/>
        <w:t>solo dispone de siete km de longitud y quince paradas.</w:t>
      </w:r>
    </w:p>
    <w:p>
      <w:pPr>
        <w:pStyle w:val="BodyText"/>
        <w:spacing w:before="238"/>
        <w:ind w:left="850" w:right="987"/>
        <w:jc w:val="both"/>
      </w:pPr>
      <w:r>
        <w:rPr/>
        <w:t>Por lo que se refiere al material móvil utilizado para la prestación del servicio de transporte público, las</w:t>
      </w:r>
      <w:r>
        <w:rPr>
          <w:spacing w:val="-5"/>
        </w:rPr>
        <w:t> </w:t>
      </w:r>
      <w:r>
        <w:rPr/>
        <w:t>mayores</w:t>
      </w:r>
      <w:r>
        <w:rPr>
          <w:spacing w:val="-8"/>
        </w:rPr>
        <w:t> </w:t>
      </w:r>
      <w:r>
        <w:rPr/>
        <w:t>flotas</w:t>
      </w:r>
      <w:r>
        <w:rPr>
          <w:spacing w:val="-7"/>
        </w:rPr>
        <w:t> </w:t>
      </w:r>
      <w:r>
        <w:rPr/>
        <w:t>de</w:t>
      </w:r>
      <w:r>
        <w:rPr>
          <w:spacing w:val="-6"/>
        </w:rPr>
        <w:t> </w:t>
      </w:r>
      <w:r>
        <w:rPr/>
        <w:t>autobús</w:t>
      </w:r>
      <w:r>
        <w:rPr>
          <w:spacing w:val="-4"/>
        </w:rPr>
        <w:t> </w:t>
      </w:r>
      <w:r>
        <w:rPr/>
        <w:t>a</w:t>
      </w:r>
      <w:r>
        <w:rPr>
          <w:spacing w:val="-5"/>
        </w:rPr>
        <w:t> </w:t>
      </w:r>
      <w:r>
        <w:rPr/>
        <w:t>31</w:t>
      </w:r>
      <w:r>
        <w:rPr>
          <w:spacing w:val="-6"/>
        </w:rPr>
        <w:t> </w:t>
      </w:r>
      <w:r>
        <w:rPr/>
        <w:t>de</w:t>
      </w:r>
      <w:r>
        <w:rPr>
          <w:spacing w:val="-6"/>
        </w:rPr>
        <w:t> </w:t>
      </w:r>
      <w:r>
        <w:rPr/>
        <w:t>diciembre</w:t>
      </w:r>
      <w:r>
        <w:rPr>
          <w:spacing w:val="-5"/>
        </w:rPr>
        <w:t> </w:t>
      </w:r>
      <w:r>
        <w:rPr/>
        <w:t>de</w:t>
      </w:r>
      <w:r>
        <w:rPr>
          <w:spacing w:val="-5"/>
        </w:rPr>
        <w:t> </w:t>
      </w:r>
      <w:r>
        <w:rPr/>
        <w:t>2024</w:t>
      </w:r>
      <w:r>
        <w:rPr>
          <w:spacing w:val="-5"/>
        </w:rPr>
        <w:t> </w:t>
      </w:r>
      <w:r>
        <w:rPr/>
        <w:t>están</w:t>
      </w:r>
      <w:r>
        <w:rPr>
          <w:spacing w:val="-5"/>
        </w:rPr>
        <w:t> </w:t>
      </w:r>
      <w:r>
        <w:rPr/>
        <w:t>en</w:t>
      </w:r>
      <w:r>
        <w:rPr>
          <w:spacing w:val="-6"/>
        </w:rPr>
        <w:t> </w:t>
      </w:r>
      <w:r>
        <w:rPr>
          <w:b/>
        </w:rPr>
        <w:t>Sevilla</w:t>
      </w:r>
      <w:r>
        <w:rPr/>
        <w:t>,</w:t>
      </w:r>
      <w:r>
        <w:rPr>
          <w:spacing w:val="-6"/>
        </w:rPr>
        <w:t> </w:t>
      </w:r>
      <w:r>
        <w:rPr>
          <w:b/>
        </w:rPr>
        <w:t>Zaragoza</w:t>
      </w:r>
      <w:r>
        <w:rPr>
          <w:b/>
          <w:spacing w:val="-5"/>
        </w:rPr>
        <w:t> </w:t>
      </w:r>
      <w:r>
        <w:rPr/>
        <w:t>y</w:t>
      </w:r>
      <w:r>
        <w:rPr>
          <w:spacing w:val="-7"/>
        </w:rPr>
        <w:t> </w:t>
      </w:r>
      <w:r>
        <w:rPr>
          <w:b/>
        </w:rPr>
        <w:t>Málaga</w:t>
      </w:r>
      <w:r>
        <w:rPr/>
        <w:t>.</w:t>
      </w:r>
      <w:r>
        <w:rPr>
          <w:spacing w:val="-4"/>
        </w:rPr>
        <w:t> </w:t>
      </w:r>
      <w:r>
        <w:rPr/>
        <w:t>Con respecto al ejercicio 2022, aumentaron las flotas de todos los municipios examinados, salvo la de </w:t>
      </w:r>
      <w:r>
        <w:rPr>
          <w:b/>
        </w:rPr>
        <w:t>Bilbao</w:t>
      </w:r>
      <w:r>
        <w:rPr/>
        <w:t>, que permaneció igual al ir sustituyendo los autobuses diésel por eléctricos, y la de </w:t>
      </w:r>
      <w:r>
        <w:rPr>
          <w:b/>
        </w:rPr>
        <w:t>Palma</w:t>
      </w:r>
      <w:r>
        <w:rPr/>
        <w:t>, que</w:t>
      </w:r>
      <w:r>
        <w:rPr>
          <w:spacing w:val="-8"/>
        </w:rPr>
        <w:t> </w:t>
      </w:r>
      <w:r>
        <w:rPr/>
        <w:t>sufrió</w:t>
      </w:r>
      <w:r>
        <w:rPr>
          <w:spacing w:val="-11"/>
        </w:rPr>
        <w:t> </w:t>
      </w:r>
      <w:r>
        <w:rPr/>
        <w:t>un</w:t>
      </w:r>
      <w:r>
        <w:rPr>
          <w:spacing w:val="-12"/>
        </w:rPr>
        <w:t> </w:t>
      </w:r>
      <w:r>
        <w:rPr/>
        <w:t>ligero</w:t>
      </w:r>
      <w:r>
        <w:rPr>
          <w:spacing w:val="-9"/>
        </w:rPr>
        <w:t> </w:t>
      </w:r>
      <w:r>
        <w:rPr/>
        <w:t>descenso.</w:t>
      </w:r>
      <w:r>
        <w:rPr>
          <w:spacing w:val="-9"/>
        </w:rPr>
        <w:t> </w:t>
      </w:r>
      <w:r>
        <w:rPr/>
        <w:t>En</w:t>
      </w:r>
      <w:r>
        <w:rPr>
          <w:spacing w:val="-9"/>
        </w:rPr>
        <w:t> </w:t>
      </w:r>
      <w:r>
        <w:rPr/>
        <w:t>el</w:t>
      </w:r>
      <w:r>
        <w:rPr>
          <w:spacing w:val="-12"/>
        </w:rPr>
        <w:t> </w:t>
      </w:r>
      <w:r>
        <w:rPr/>
        <w:t>caso</w:t>
      </w:r>
      <w:r>
        <w:rPr>
          <w:spacing w:val="-12"/>
        </w:rPr>
        <w:t> </w:t>
      </w:r>
      <w:r>
        <w:rPr/>
        <w:t>de</w:t>
      </w:r>
      <w:r>
        <w:rPr>
          <w:spacing w:val="-12"/>
        </w:rPr>
        <w:t> </w:t>
      </w:r>
      <w:r>
        <w:rPr/>
        <w:t>la</w:t>
      </w:r>
      <w:r>
        <w:rPr>
          <w:spacing w:val="-11"/>
        </w:rPr>
        <w:t> </w:t>
      </w:r>
      <w:r>
        <w:rPr/>
        <w:t>flota</w:t>
      </w:r>
      <w:r>
        <w:rPr>
          <w:spacing w:val="-9"/>
        </w:rPr>
        <w:t> </w:t>
      </w:r>
      <w:r>
        <w:rPr/>
        <w:t>de</w:t>
      </w:r>
      <w:r>
        <w:rPr>
          <w:spacing w:val="-12"/>
        </w:rPr>
        <w:t> </w:t>
      </w:r>
      <w:r>
        <w:rPr/>
        <w:t>autobuses</w:t>
      </w:r>
      <w:r>
        <w:rPr>
          <w:spacing w:val="-11"/>
        </w:rPr>
        <w:t> </w:t>
      </w:r>
      <w:r>
        <w:rPr/>
        <w:t>del</w:t>
      </w:r>
      <w:r>
        <w:rPr>
          <w:spacing w:val="-12"/>
        </w:rPr>
        <w:t> </w:t>
      </w:r>
      <w:r>
        <w:rPr>
          <w:b/>
        </w:rPr>
        <w:t>Ayuntamiento</w:t>
      </w:r>
      <w:r>
        <w:rPr>
          <w:b/>
          <w:spacing w:val="-11"/>
        </w:rPr>
        <w:t> </w:t>
      </w:r>
      <w:r>
        <w:rPr>
          <w:b/>
        </w:rPr>
        <w:t>de</w:t>
      </w:r>
      <w:r>
        <w:rPr>
          <w:b/>
          <w:spacing w:val="-12"/>
        </w:rPr>
        <w:t> </w:t>
      </w:r>
      <w:r>
        <w:rPr>
          <w:b/>
        </w:rPr>
        <w:t>Murcia</w:t>
      </w:r>
      <w:r>
        <w:rPr/>
        <w:t>,</w:t>
      </w:r>
      <w:r>
        <w:rPr>
          <w:spacing w:val="-10"/>
        </w:rPr>
        <w:t> </w:t>
      </w:r>
      <w:r>
        <w:rPr/>
        <w:t>solo incrementó su número con autobuses diésel con sistema AdBlue</w:t>
      </w:r>
      <w:hyperlink w:history="true" w:anchor="_bookmark18">
        <w:r>
          <w:rPr>
            <w:vertAlign w:val="superscript"/>
          </w:rPr>
          <w:t>4</w:t>
        </w:r>
        <w:r>
          <w:rPr>
            <w:vertAlign w:val="baseline"/>
          </w:rPr>
          <w:t>.</w:t>
        </w:r>
      </w:hyperlink>
    </w:p>
    <w:p>
      <w:pPr>
        <w:pStyle w:val="BodyText"/>
        <w:spacing w:before="242"/>
        <w:ind w:left="850" w:right="996"/>
        <w:jc w:val="both"/>
      </w:pPr>
      <w:r>
        <w:rPr/>
        <w:t>El incremento de la flota de autobús es acorde con lo previsto en la mayoría de los PMUS y demás instrumentos de planificación de los ayuntamientos fiscalizados, que incluían entre sus objetivos la adquisición de autobuses no contaminantes.</w:t>
      </w:r>
    </w:p>
    <w:p>
      <w:pPr>
        <w:pStyle w:val="BodyText"/>
        <w:spacing w:before="239"/>
        <w:ind w:left="850" w:right="986"/>
        <w:jc w:val="both"/>
      </w:pPr>
      <w:r>
        <w:rPr/>
        <w:t>Asimismo, la adquisición de nuevos vehículos se ha visto incentivada por la percepción por los ayuntamientos fiscalizados, salvo los de </w:t>
      </w:r>
      <w:r>
        <w:rPr>
          <w:b/>
        </w:rPr>
        <w:t>Córdoba </w:t>
      </w:r>
      <w:r>
        <w:rPr/>
        <w:t>y </w:t>
      </w:r>
      <w:r>
        <w:rPr>
          <w:b/>
        </w:rPr>
        <w:t>Murcia</w:t>
      </w:r>
      <w:r>
        <w:rPr/>
        <w:t>, de ayudas procedentes del PRTR </w:t>
      </w:r>
      <w:r>
        <w:rPr>
          <w:rFonts w:ascii="Symbol" w:hAnsi="Symbol"/>
        </w:rPr>
        <w:t></w:t>
      </w:r>
      <w:r>
        <w:rPr/>
        <w:t>el </w:t>
      </w:r>
      <w:r>
        <w:rPr>
          <w:b/>
        </w:rPr>
        <w:t>Ayuntamiento de Córdoba </w:t>
      </w:r>
      <w:r>
        <w:rPr/>
        <w:t>renunció a la subvención inicialmente concedida, lo que se expone en el</w:t>
      </w:r>
      <w:r>
        <w:rPr>
          <w:spacing w:val="48"/>
        </w:rPr>
        <w:t> </w:t>
      </w:r>
      <w:r>
        <w:rPr/>
        <w:t>Subepígrafe</w:t>
      </w:r>
      <w:r>
        <w:rPr>
          <w:spacing w:val="49"/>
        </w:rPr>
        <w:t> </w:t>
      </w:r>
      <w:r>
        <w:rPr/>
        <w:t>II.3.2.1</w:t>
      </w:r>
      <w:r>
        <w:rPr>
          <w:spacing w:val="47"/>
        </w:rPr>
        <w:t> </w:t>
      </w:r>
      <w:r>
        <w:rPr/>
        <w:t>de</w:t>
      </w:r>
      <w:r>
        <w:rPr>
          <w:spacing w:val="50"/>
        </w:rPr>
        <w:t> </w:t>
      </w:r>
      <w:r>
        <w:rPr/>
        <w:t>este</w:t>
      </w:r>
      <w:r>
        <w:rPr>
          <w:spacing w:val="47"/>
        </w:rPr>
        <w:t> </w:t>
      </w:r>
      <w:r>
        <w:rPr/>
        <w:t>Informe</w:t>
      </w:r>
      <w:r>
        <w:rPr>
          <w:rFonts w:ascii="Symbol" w:hAnsi="Symbol"/>
        </w:rPr>
        <w:t></w:t>
      </w:r>
      <w:r>
        <w:rPr/>
        <w:t>.</w:t>
      </w:r>
      <w:r>
        <w:rPr>
          <w:spacing w:val="53"/>
        </w:rPr>
        <w:t> </w:t>
      </w:r>
      <w:r>
        <w:rPr/>
        <w:t>En</w:t>
      </w:r>
      <w:r>
        <w:rPr>
          <w:spacing w:val="49"/>
        </w:rPr>
        <w:t> </w:t>
      </w:r>
      <w:r>
        <w:rPr/>
        <w:t>concreto,</w:t>
      </w:r>
      <w:r>
        <w:rPr>
          <w:spacing w:val="53"/>
        </w:rPr>
        <w:t> </w:t>
      </w:r>
      <w:r>
        <w:rPr/>
        <w:t>las</w:t>
      </w:r>
      <w:r>
        <w:rPr>
          <w:spacing w:val="49"/>
        </w:rPr>
        <w:t> </w:t>
      </w:r>
      <w:r>
        <w:rPr/>
        <w:t>ayudas</w:t>
      </w:r>
      <w:r>
        <w:rPr>
          <w:spacing w:val="50"/>
        </w:rPr>
        <w:t> </w:t>
      </w:r>
      <w:r>
        <w:rPr/>
        <w:t>reguladas</w:t>
      </w:r>
      <w:r>
        <w:rPr>
          <w:spacing w:val="50"/>
        </w:rPr>
        <w:t> </w:t>
      </w:r>
      <w:r>
        <w:rPr/>
        <w:t>por</w:t>
      </w:r>
      <w:r>
        <w:rPr>
          <w:spacing w:val="50"/>
        </w:rPr>
        <w:t> </w:t>
      </w:r>
      <w:r>
        <w:rPr/>
        <w:t>la</w:t>
      </w:r>
      <w:r>
        <w:rPr>
          <w:spacing w:val="49"/>
        </w:rPr>
        <w:t> </w:t>
      </w:r>
      <w:r>
        <w:rPr/>
        <w:t>Orden</w:t>
      </w:r>
      <w:r>
        <w:rPr>
          <w:spacing w:val="50"/>
        </w:rPr>
        <w:t> </w:t>
      </w:r>
      <w:r>
        <w:rPr>
          <w:spacing w:val="-5"/>
        </w:rPr>
        <w:t>del</w:t>
      </w:r>
    </w:p>
    <w:p>
      <w:pPr>
        <w:pStyle w:val="BodyText"/>
        <w:rPr>
          <w:sz w:val="20"/>
        </w:rPr>
      </w:pPr>
    </w:p>
    <w:p>
      <w:pPr>
        <w:pStyle w:val="BodyText"/>
        <w:rPr>
          <w:sz w:val="20"/>
        </w:rPr>
      </w:pPr>
    </w:p>
    <w:p>
      <w:pPr>
        <w:pStyle w:val="BodyText"/>
        <w:spacing w:before="190"/>
        <w:rPr>
          <w:sz w:val="20"/>
        </w:rPr>
      </w:pPr>
      <w:r>
        <w:rPr>
          <w:sz w:val="20"/>
        </w:rPr>
        <mc:AlternateContent>
          <mc:Choice Requires="wps">
            <w:drawing>
              <wp:anchor distT="0" distB="0" distL="0" distR="0" allowOverlap="1" layoutInCell="1" locked="0" behindDoc="1" simplePos="0" relativeHeight="487596032">
                <wp:simplePos x="0" y="0"/>
                <wp:positionH relativeFrom="page">
                  <wp:posOffset>719632</wp:posOffset>
                </wp:positionH>
                <wp:positionV relativeFrom="paragraph">
                  <wp:posOffset>282226</wp:posOffset>
                </wp:positionV>
                <wp:extent cx="1829435" cy="9525"/>
                <wp:effectExtent l="0" t="0" r="0" b="0"/>
                <wp:wrapTopAndBottom/>
                <wp:docPr id="124" name="Graphic 124"/>
                <wp:cNvGraphicFramePr>
                  <a:graphicFrameLocks/>
                </wp:cNvGraphicFramePr>
                <a:graphic>
                  <a:graphicData uri="http://schemas.microsoft.com/office/word/2010/wordprocessingShape">
                    <wps:wsp>
                      <wps:cNvPr id="124" name="Graphic 124"/>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22.222591pt;width:144.020pt;height:.72003pt;mso-position-horizontal-relative:page;mso-position-vertical-relative:paragraph;z-index:-15720448;mso-wrap-distance-left:0;mso-wrap-distance-right:0" id="docshape108" filled="true" fillcolor="#000000" stroked="false">
                <v:fill type="solid"/>
                <w10:wrap type="topAndBottom"/>
              </v:rect>
            </w:pict>
          </mc:Fallback>
        </mc:AlternateContent>
      </w:r>
    </w:p>
    <w:p>
      <w:pPr>
        <w:spacing w:before="118"/>
        <w:ind w:left="992" w:right="907" w:firstLine="0"/>
        <w:jc w:val="left"/>
        <w:rPr>
          <w:sz w:val="18"/>
        </w:rPr>
      </w:pPr>
      <w:bookmarkStart w:name="_bookmark18" w:id="20"/>
      <w:bookmarkEnd w:id="20"/>
      <w:r>
        <w:rPr/>
      </w:r>
      <w:r>
        <w:rPr>
          <w:position w:val="6"/>
          <w:sz w:val="12"/>
        </w:rPr>
        <w:t>4</w:t>
      </w:r>
      <w:r>
        <w:rPr>
          <w:spacing w:val="36"/>
          <w:position w:val="6"/>
          <w:sz w:val="12"/>
        </w:rPr>
        <w:t> </w:t>
      </w:r>
      <w:r>
        <w:rPr>
          <w:sz w:val="18"/>
        </w:rPr>
        <w:t>El</w:t>
      </w:r>
      <w:r>
        <w:rPr>
          <w:spacing w:val="20"/>
          <w:sz w:val="18"/>
        </w:rPr>
        <w:t> </w:t>
      </w:r>
      <w:r>
        <w:rPr>
          <w:sz w:val="18"/>
        </w:rPr>
        <w:t>sistema</w:t>
      </w:r>
      <w:r>
        <w:rPr>
          <w:spacing w:val="20"/>
          <w:sz w:val="18"/>
        </w:rPr>
        <w:t> </w:t>
      </w:r>
      <w:r>
        <w:rPr>
          <w:sz w:val="18"/>
        </w:rPr>
        <w:t>AdBlue</w:t>
      </w:r>
      <w:r>
        <w:rPr>
          <w:spacing w:val="17"/>
          <w:sz w:val="18"/>
        </w:rPr>
        <w:t> </w:t>
      </w:r>
      <w:r>
        <w:rPr>
          <w:sz w:val="18"/>
        </w:rPr>
        <w:t>de</w:t>
      </w:r>
      <w:r>
        <w:rPr>
          <w:spacing w:val="20"/>
          <w:sz w:val="18"/>
        </w:rPr>
        <w:t> </w:t>
      </w:r>
      <w:r>
        <w:rPr>
          <w:sz w:val="18"/>
        </w:rPr>
        <w:t>los</w:t>
      </w:r>
      <w:r>
        <w:rPr>
          <w:spacing w:val="20"/>
          <w:sz w:val="18"/>
        </w:rPr>
        <w:t> </w:t>
      </w:r>
      <w:r>
        <w:rPr>
          <w:sz w:val="18"/>
        </w:rPr>
        <w:t>autobuses</w:t>
      </w:r>
      <w:r>
        <w:rPr>
          <w:spacing w:val="18"/>
          <w:sz w:val="18"/>
        </w:rPr>
        <w:t> </w:t>
      </w:r>
      <w:r>
        <w:rPr>
          <w:sz w:val="18"/>
        </w:rPr>
        <w:t>y</w:t>
      </w:r>
      <w:r>
        <w:rPr>
          <w:spacing w:val="20"/>
          <w:sz w:val="18"/>
        </w:rPr>
        <w:t> </w:t>
      </w:r>
      <w:r>
        <w:rPr>
          <w:sz w:val="18"/>
        </w:rPr>
        <w:t>otros</w:t>
      </w:r>
      <w:r>
        <w:rPr>
          <w:spacing w:val="20"/>
          <w:sz w:val="18"/>
        </w:rPr>
        <w:t> </w:t>
      </w:r>
      <w:r>
        <w:rPr>
          <w:sz w:val="18"/>
        </w:rPr>
        <w:t>vehículos</w:t>
      </w:r>
      <w:r>
        <w:rPr>
          <w:spacing w:val="20"/>
          <w:sz w:val="18"/>
        </w:rPr>
        <w:t> </w:t>
      </w:r>
      <w:r>
        <w:rPr>
          <w:sz w:val="18"/>
        </w:rPr>
        <w:t>diésel</w:t>
      </w:r>
      <w:r>
        <w:rPr>
          <w:spacing w:val="28"/>
          <w:sz w:val="18"/>
        </w:rPr>
        <w:t> </w:t>
      </w:r>
      <w:r>
        <w:rPr>
          <w:sz w:val="18"/>
        </w:rPr>
        <w:t>ayuda</w:t>
      </w:r>
      <w:r>
        <w:rPr>
          <w:spacing w:val="20"/>
          <w:sz w:val="18"/>
        </w:rPr>
        <w:t> </w:t>
      </w:r>
      <w:r>
        <w:rPr>
          <w:sz w:val="18"/>
        </w:rPr>
        <w:t>a</w:t>
      </w:r>
      <w:r>
        <w:rPr>
          <w:spacing w:val="21"/>
          <w:sz w:val="18"/>
        </w:rPr>
        <w:t> </w:t>
      </w:r>
      <w:r>
        <w:rPr>
          <w:sz w:val="18"/>
        </w:rPr>
        <w:t>reducir</w:t>
      </w:r>
      <w:r>
        <w:rPr>
          <w:spacing w:val="19"/>
          <w:sz w:val="18"/>
        </w:rPr>
        <w:t> </w:t>
      </w:r>
      <w:r>
        <w:rPr>
          <w:sz w:val="18"/>
        </w:rPr>
        <w:t>las</w:t>
      </w:r>
      <w:r>
        <w:rPr>
          <w:spacing w:val="20"/>
          <w:sz w:val="18"/>
        </w:rPr>
        <w:t> </w:t>
      </w:r>
      <w:r>
        <w:rPr>
          <w:sz w:val="18"/>
        </w:rPr>
        <w:t>emisiones</w:t>
      </w:r>
      <w:r>
        <w:rPr>
          <w:spacing w:val="20"/>
          <w:sz w:val="18"/>
        </w:rPr>
        <w:t> </w:t>
      </w:r>
      <w:r>
        <w:rPr>
          <w:sz w:val="18"/>
        </w:rPr>
        <w:t>de</w:t>
      </w:r>
      <w:r>
        <w:rPr>
          <w:spacing w:val="20"/>
          <w:sz w:val="18"/>
        </w:rPr>
        <w:t> </w:t>
      </w:r>
      <w:r>
        <w:rPr>
          <w:sz w:val="18"/>
        </w:rPr>
        <w:t>óxidos</w:t>
      </w:r>
      <w:r>
        <w:rPr>
          <w:spacing w:val="20"/>
          <w:sz w:val="18"/>
        </w:rPr>
        <w:t> </w:t>
      </w:r>
      <w:r>
        <w:rPr>
          <w:sz w:val="18"/>
        </w:rPr>
        <w:t>de</w:t>
      </w:r>
      <w:r>
        <w:rPr>
          <w:spacing w:val="20"/>
          <w:sz w:val="18"/>
        </w:rPr>
        <w:t> </w:t>
      </w:r>
      <w:r>
        <w:rPr>
          <w:sz w:val="18"/>
        </w:rPr>
        <w:t>nitrógeno nocivos mediante la inyección de una solución de urea, conocida como AdBlue, en el sistema de escape.</w:t>
      </w:r>
    </w:p>
    <w:p>
      <w:pPr>
        <w:spacing w:after="0"/>
        <w:jc w:val="left"/>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850" w:right="988"/>
        <w:jc w:val="both"/>
      </w:pPr>
      <w:r>
        <w:rPr/>
        <w:t>Ministerio de Transportes, Movilidad y Agenda Urbana (MITMA)</w:t>
      </w:r>
      <w:hyperlink w:history="true" w:anchor="_bookmark19">
        <w:r>
          <w:rPr>
            <w:vertAlign w:val="superscript"/>
          </w:rPr>
          <w:t>5</w:t>
        </w:r>
        <w:r>
          <w:rPr>
            <w:vertAlign w:val="baseline"/>
          </w:rPr>
          <w:t>,</w:t>
        </w:r>
      </w:hyperlink>
      <w:r>
        <w:rPr>
          <w:vertAlign w:val="baseline"/>
        </w:rPr>
        <w:t> de 17 de agosto de 2021, por la que se aprueban las bases reguladoras para el Programa de ayudas a municipios para la implantación de zonas de bajas emisiones y la transformación digital y sostenible del transporte urbano, en el marco del PRTR (en adelante, Programa de ayudas para la transformación digital y sostenible</w:t>
      </w:r>
      <w:r>
        <w:rPr>
          <w:spacing w:val="-6"/>
          <w:vertAlign w:val="baseline"/>
        </w:rPr>
        <w:t> </w:t>
      </w:r>
      <w:r>
        <w:rPr>
          <w:vertAlign w:val="baseline"/>
        </w:rPr>
        <w:t>del</w:t>
      </w:r>
      <w:r>
        <w:rPr>
          <w:spacing w:val="-10"/>
          <w:vertAlign w:val="baseline"/>
        </w:rPr>
        <w:t> </w:t>
      </w:r>
      <w:r>
        <w:rPr>
          <w:vertAlign w:val="baseline"/>
        </w:rPr>
        <w:t>transporte</w:t>
      </w:r>
      <w:r>
        <w:rPr>
          <w:spacing w:val="-11"/>
          <w:vertAlign w:val="baseline"/>
        </w:rPr>
        <w:t> </w:t>
      </w:r>
      <w:r>
        <w:rPr>
          <w:vertAlign w:val="baseline"/>
        </w:rPr>
        <w:t>urbano,</w:t>
      </w:r>
      <w:r>
        <w:rPr>
          <w:spacing w:val="-7"/>
          <w:vertAlign w:val="baseline"/>
        </w:rPr>
        <w:t> </w:t>
      </w:r>
      <w:r>
        <w:rPr>
          <w:vertAlign w:val="baseline"/>
        </w:rPr>
        <w:t>PRTR),</w:t>
      </w:r>
      <w:r>
        <w:rPr>
          <w:spacing w:val="-7"/>
          <w:vertAlign w:val="baseline"/>
        </w:rPr>
        <w:t> </w:t>
      </w:r>
      <w:r>
        <w:rPr>
          <w:vertAlign w:val="baseline"/>
        </w:rPr>
        <w:t>que</w:t>
      </w:r>
      <w:r>
        <w:rPr>
          <w:spacing w:val="-9"/>
          <w:vertAlign w:val="baseline"/>
        </w:rPr>
        <w:t> </w:t>
      </w:r>
      <w:r>
        <w:rPr>
          <w:vertAlign w:val="baseline"/>
        </w:rPr>
        <w:t>contaron</w:t>
      </w:r>
      <w:r>
        <w:rPr>
          <w:spacing w:val="-6"/>
          <w:vertAlign w:val="baseline"/>
        </w:rPr>
        <w:t> </w:t>
      </w:r>
      <w:r>
        <w:rPr>
          <w:vertAlign w:val="baseline"/>
        </w:rPr>
        <w:t>con</w:t>
      </w:r>
      <w:r>
        <w:rPr>
          <w:spacing w:val="-9"/>
          <w:vertAlign w:val="baseline"/>
        </w:rPr>
        <w:t> </w:t>
      </w:r>
      <w:r>
        <w:rPr>
          <w:vertAlign w:val="baseline"/>
        </w:rPr>
        <w:t>dos</w:t>
      </w:r>
      <w:r>
        <w:rPr>
          <w:spacing w:val="-8"/>
          <w:vertAlign w:val="baseline"/>
        </w:rPr>
        <w:t> </w:t>
      </w:r>
      <w:r>
        <w:rPr>
          <w:vertAlign w:val="baseline"/>
        </w:rPr>
        <w:t>convocatorias,</w:t>
      </w:r>
      <w:r>
        <w:rPr>
          <w:spacing w:val="-5"/>
          <w:vertAlign w:val="baseline"/>
        </w:rPr>
        <w:t> </w:t>
      </w:r>
      <w:r>
        <w:rPr>
          <w:vertAlign w:val="baseline"/>
        </w:rPr>
        <w:t>una</w:t>
      </w:r>
      <w:r>
        <w:rPr>
          <w:spacing w:val="-9"/>
          <w:vertAlign w:val="baseline"/>
        </w:rPr>
        <w:t> </w:t>
      </w:r>
      <w:r>
        <w:rPr>
          <w:vertAlign w:val="baseline"/>
        </w:rPr>
        <w:t>en</w:t>
      </w:r>
      <w:r>
        <w:rPr>
          <w:spacing w:val="-9"/>
          <w:vertAlign w:val="baseline"/>
        </w:rPr>
        <w:t> </w:t>
      </w:r>
      <w:r>
        <w:rPr>
          <w:vertAlign w:val="baseline"/>
        </w:rPr>
        <w:t>2021</w:t>
      </w:r>
      <w:r>
        <w:rPr>
          <w:spacing w:val="-9"/>
          <w:vertAlign w:val="baseline"/>
        </w:rPr>
        <w:t> </w:t>
      </w:r>
      <w:r>
        <w:rPr>
          <w:vertAlign w:val="baseline"/>
        </w:rPr>
        <w:t>y</w:t>
      </w:r>
      <w:r>
        <w:rPr>
          <w:spacing w:val="-6"/>
          <w:vertAlign w:val="baseline"/>
        </w:rPr>
        <w:t> </w:t>
      </w:r>
      <w:r>
        <w:rPr>
          <w:vertAlign w:val="baseline"/>
        </w:rPr>
        <w:t>otra</w:t>
      </w:r>
      <w:r>
        <w:rPr>
          <w:spacing w:val="-9"/>
          <w:vertAlign w:val="baseline"/>
        </w:rPr>
        <w:t> </w:t>
      </w:r>
      <w:r>
        <w:rPr>
          <w:vertAlign w:val="baseline"/>
        </w:rPr>
        <w:t>en </w:t>
      </w:r>
      <w:r>
        <w:rPr>
          <w:spacing w:val="-2"/>
          <w:vertAlign w:val="baseline"/>
        </w:rPr>
        <w:t>2022</w:t>
      </w:r>
      <w:hyperlink w:history="true" w:anchor="_bookmark20">
        <w:r>
          <w:rPr>
            <w:spacing w:val="-2"/>
            <w:vertAlign w:val="superscript"/>
          </w:rPr>
          <w:t>6</w:t>
        </w:r>
        <w:r>
          <w:rPr>
            <w:spacing w:val="-2"/>
            <w:vertAlign w:val="baseline"/>
          </w:rPr>
          <w:t>.</w:t>
        </w:r>
      </w:hyperlink>
    </w:p>
    <w:p>
      <w:pPr>
        <w:pStyle w:val="BodyText"/>
        <w:spacing w:before="241"/>
        <w:ind w:left="850" w:right="988"/>
        <w:jc w:val="both"/>
      </w:pPr>
      <w:r>
        <w:rPr/>
        <w:t>En este programa de ayudas resultaban financiables actuaciones de adquisición de vehículos cero emisiones.</w:t>
      </w:r>
      <w:r>
        <w:rPr>
          <w:spacing w:val="-3"/>
        </w:rPr>
        <w:t> </w:t>
      </w:r>
      <w:r>
        <w:rPr/>
        <w:t>Se</w:t>
      </w:r>
      <w:r>
        <w:rPr>
          <w:spacing w:val="-4"/>
        </w:rPr>
        <w:t> </w:t>
      </w:r>
      <w:r>
        <w:rPr/>
        <w:t>subvencionaba</w:t>
      </w:r>
      <w:r>
        <w:rPr>
          <w:spacing w:val="-2"/>
        </w:rPr>
        <w:t> </w:t>
      </w:r>
      <w:r>
        <w:rPr/>
        <w:t>parcialmente</w:t>
      </w:r>
      <w:r>
        <w:rPr>
          <w:spacing w:val="-4"/>
        </w:rPr>
        <w:t> </w:t>
      </w:r>
      <w:r>
        <w:rPr/>
        <w:t>el</w:t>
      </w:r>
      <w:r>
        <w:rPr>
          <w:spacing w:val="-5"/>
        </w:rPr>
        <w:t> </w:t>
      </w:r>
      <w:r>
        <w:rPr/>
        <w:t>coste</w:t>
      </w:r>
      <w:r>
        <w:rPr>
          <w:spacing w:val="-4"/>
        </w:rPr>
        <w:t> </w:t>
      </w:r>
      <w:r>
        <w:rPr/>
        <w:t>de</w:t>
      </w:r>
      <w:r>
        <w:rPr>
          <w:spacing w:val="-4"/>
        </w:rPr>
        <w:t> </w:t>
      </w:r>
      <w:r>
        <w:rPr/>
        <w:t>los</w:t>
      </w:r>
      <w:r>
        <w:rPr>
          <w:spacing w:val="-2"/>
        </w:rPr>
        <w:t> </w:t>
      </w:r>
      <w:r>
        <w:rPr/>
        <w:t>autobuses,</w:t>
      </w:r>
      <w:r>
        <w:rPr>
          <w:spacing w:val="-3"/>
        </w:rPr>
        <w:t> </w:t>
      </w:r>
      <w:r>
        <w:rPr/>
        <w:t>pero</w:t>
      </w:r>
      <w:r>
        <w:rPr>
          <w:spacing w:val="-2"/>
        </w:rPr>
        <w:t> </w:t>
      </w:r>
      <w:r>
        <w:rPr/>
        <w:t>con</w:t>
      </w:r>
      <w:r>
        <w:rPr>
          <w:spacing w:val="-4"/>
        </w:rPr>
        <w:t> </w:t>
      </w:r>
      <w:r>
        <w:rPr/>
        <w:t>la</w:t>
      </w:r>
      <w:r>
        <w:rPr>
          <w:spacing w:val="-4"/>
        </w:rPr>
        <w:t> </w:t>
      </w:r>
      <w:r>
        <w:rPr/>
        <w:t>restricción</w:t>
      </w:r>
      <w:r>
        <w:rPr>
          <w:spacing w:val="-2"/>
        </w:rPr>
        <w:t> </w:t>
      </w:r>
      <w:r>
        <w:rPr/>
        <w:t>de</w:t>
      </w:r>
      <w:r>
        <w:rPr>
          <w:spacing w:val="-4"/>
        </w:rPr>
        <w:t> </w:t>
      </w:r>
      <w:r>
        <w:rPr/>
        <w:t>que fueran eléctricos o impulsados por hidrógeno, lo que ha condicionado la política de renovación de flota de autobuses de alguno de los ayuntamientos fiscalizados, como el </w:t>
      </w:r>
      <w:r>
        <w:rPr>
          <w:b/>
        </w:rPr>
        <w:t>Ayuntamiento de Bilbao</w:t>
      </w:r>
      <w:r>
        <w:rPr/>
        <w:t>, lo que se desarrolla en el Subepígrafe II.3.2.1 del Informe.</w:t>
      </w:r>
    </w:p>
    <w:p>
      <w:pPr>
        <w:pStyle w:val="BodyText"/>
        <w:spacing w:before="241"/>
        <w:ind w:left="850" w:right="987"/>
        <w:jc w:val="both"/>
      </w:pPr>
      <w:r>
        <w:rPr/>
        <w:t>Analizada la información facilitada por las entidades fiscalizadas, se observa una mejoría en la tecnología de motor de la flota de autobuses con respecto a 2022, pues, todos los ayuntamientos o no tienen o han reducido el número de autobuses Euro III</w:t>
      </w:r>
      <w:hyperlink w:history="true" w:anchor="_bookmark21">
        <w:r>
          <w:rPr>
            <w:vertAlign w:val="superscript"/>
          </w:rPr>
          <w:t>7</w:t>
        </w:r>
      </w:hyperlink>
      <w:r>
        <w:rPr>
          <w:vertAlign w:val="baseline"/>
        </w:rPr>
        <w:t>, y aumentan el número de autobús con tecnología Euro VI.</w:t>
      </w:r>
    </w:p>
    <w:p>
      <w:pPr>
        <w:pStyle w:val="BodyText"/>
        <w:spacing w:before="238"/>
        <w:ind w:left="850" w:right="987"/>
        <w:jc w:val="both"/>
      </w:pPr>
      <w:r>
        <w:rPr/>
        <w:t>Respecto al tipo de combustible, se reduce el uso del diésel en todos los municipios, salvo en </w:t>
      </w:r>
      <w:r>
        <w:rPr>
          <w:b/>
        </w:rPr>
        <w:t>Las Palmas de Gran Canaria</w:t>
      </w:r>
      <w:r>
        <w:rPr/>
        <w:t>, en donde se incrementa el número de autobuses diésel en un 6,67 %.</w:t>
      </w:r>
    </w:p>
    <w:p>
      <w:pPr>
        <w:spacing w:before="241"/>
        <w:ind w:left="850" w:right="988" w:firstLine="0"/>
        <w:jc w:val="both"/>
        <w:rPr>
          <w:sz w:val="22"/>
        </w:rPr>
      </w:pPr>
      <w:r>
        <w:rPr>
          <w:sz w:val="22"/>
        </w:rPr>
        <w:t>Todas las entidades examinadas, salvo el </w:t>
      </w:r>
      <w:r>
        <w:rPr>
          <w:b/>
          <w:sz w:val="22"/>
        </w:rPr>
        <w:t>Ayuntamiento de Murcia</w:t>
      </w:r>
      <w:r>
        <w:rPr>
          <w:sz w:val="22"/>
        </w:rPr>
        <w:t>, han incrementado el número de</w:t>
      </w:r>
      <w:r>
        <w:rPr>
          <w:spacing w:val="-4"/>
          <w:sz w:val="22"/>
        </w:rPr>
        <w:t> </w:t>
      </w:r>
      <w:r>
        <w:rPr>
          <w:sz w:val="22"/>
        </w:rPr>
        <w:t>autobuses</w:t>
      </w:r>
      <w:r>
        <w:rPr>
          <w:spacing w:val="-6"/>
          <w:sz w:val="22"/>
        </w:rPr>
        <w:t> </w:t>
      </w:r>
      <w:r>
        <w:rPr>
          <w:sz w:val="22"/>
        </w:rPr>
        <w:t>limpios</w:t>
      </w:r>
      <w:hyperlink w:history="true" w:anchor="_bookmark22">
        <w:r>
          <w:rPr>
            <w:sz w:val="22"/>
            <w:vertAlign w:val="superscript"/>
          </w:rPr>
          <w:t>8</w:t>
        </w:r>
        <w:r>
          <w:rPr>
            <w:sz w:val="22"/>
            <w:vertAlign w:val="baseline"/>
          </w:rPr>
          <w:t>,</w:t>
        </w:r>
      </w:hyperlink>
      <w:r>
        <w:rPr>
          <w:spacing w:val="-3"/>
          <w:sz w:val="22"/>
          <w:vertAlign w:val="baseline"/>
        </w:rPr>
        <w:t> </w:t>
      </w:r>
      <w:r>
        <w:rPr>
          <w:sz w:val="22"/>
          <w:vertAlign w:val="baseline"/>
        </w:rPr>
        <w:t>destacando</w:t>
      </w:r>
      <w:r>
        <w:rPr>
          <w:spacing w:val="-6"/>
          <w:sz w:val="22"/>
          <w:vertAlign w:val="baseline"/>
        </w:rPr>
        <w:t> </w:t>
      </w:r>
      <w:r>
        <w:rPr>
          <w:sz w:val="22"/>
          <w:vertAlign w:val="baseline"/>
        </w:rPr>
        <w:t>el</w:t>
      </w:r>
      <w:r>
        <w:rPr>
          <w:spacing w:val="-7"/>
          <w:sz w:val="22"/>
          <w:vertAlign w:val="baseline"/>
        </w:rPr>
        <w:t> </w:t>
      </w:r>
      <w:r>
        <w:rPr>
          <w:b/>
          <w:sz w:val="22"/>
          <w:vertAlign w:val="baseline"/>
        </w:rPr>
        <w:t>Ayuntamiento</w:t>
      </w:r>
      <w:r>
        <w:rPr>
          <w:b/>
          <w:spacing w:val="-4"/>
          <w:sz w:val="22"/>
          <w:vertAlign w:val="baseline"/>
        </w:rPr>
        <w:t> </w:t>
      </w:r>
      <w:r>
        <w:rPr>
          <w:b/>
          <w:sz w:val="22"/>
          <w:vertAlign w:val="baseline"/>
        </w:rPr>
        <w:t>de</w:t>
      </w:r>
      <w:r>
        <w:rPr>
          <w:b/>
          <w:spacing w:val="-9"/>
          <w:sz w:val="22"/>
          <w:vertAlign w:val="baseline"/>
        </w:rPr>
        <w:t> </w:t>
      </w:r>
      <w:r>
        <w:rPr>
          <w:b/>
          <w:sz w:val="22"/>
          <w:vertAlign w:val="baseline"/>
        </w:rPr>
        <w:t>Málaga,</w:t>
      </w:r>
      <w:r>
        <w:rPr>
          <w:b/>
          <w:spacing w:val="-5"/>
          <w:sz w:val="22"/>
          <w:vertAlign w:val="baseline"/>
        </w:rPr>
        <w:t> </w:t>
      </w:r>
      <w:r>
        <w:rPr>
          <w:sz w:val="22"/>
          <w:vertAlign w:val="baseline"/>
        </w:rPr>
        <w:t>cuya</w:t>
      </w:r>
      <w:r>
        <w:rPr>
          <w:spacing w:val="-9"/>
          <w:sz w:val="22"/>
          <w:vertAlign w:val="baseline"/>
        </w:rPr>
        <w:t> </w:t>
      </w:r>
      <w:r>
        <w:rPr>
          <w:sz w:val="22"/>
          <w:vertAlign w:val="baseline"/>
        </w:rPr>
        <w:t>flota</w:t>
      </w:r>
      <w:r>
        <w:rPr>
          <w:spacing w:val="-8"/>
          <w:sz w:val="22"/>
          <w:vertAlign w:val="baseline"/>
        </w:rPr>
        <w:t> </w:t>
      </w:r>
      <w:r>
        <w:rPr>
          <w:sz w:val="22"/>
          <w:vertAlign w:val="baseline"/>
        </w:rPr>
        <w:t>en</w:t>
      </w:r>
      <w:r>
        <w:rPr>
          <w:spacing w:val="-4"/>
          <w:sz w:val="22"/>
          <w:vertAlign w:val="baseline"/>
        </w:rPr>
        <w:t> </w:t>
      </w:r>
      <w:r>
        <w:rPr>
          <w:sz w:val="22"/>
          <w:vertAlign w:val="baseline"/>
        </w:rPr>
        <w:t>2024</w:t>
      </w:r>
      <w:r>
        <w:rPr>
          <w:spacing w:val="-7"/>
          <w:sz w:val="22"/>
          <w:vertAlign w:val="baseline"/>
        </w:rPr>
        <w:t> </w:t>
      </w:r>
      <w:r>
        <w:rPr>
          <w:sz w:val="22"/>
          <w:vertAlign w:val="baseline"/>
        </w:rPr>
        <w:t>está</w:t>
      </w:r>
      <w:r>
        <w:rPr>
          <w:spacing w:val="-6"/>
          <w:sz w:val="22"/>
          <w:vertAlign w:val="baseline"/>
        </w:rPr>
        <w:t> </w:t>
      </w:r>
      <w:r>
        <w:rPr>
          <w:sz w:val="22"/>
          <w:vertAlign w:val="baseline"/>
        </w:rPr>
        <w:t>compuesta en su totalidad por autobuses limpios, seguido del </w:t>
      </w:r>
      <w:r>
        <w:rPr>
          <w:b/>
          <w:sz w:val="22"/>
          <w:vertAlign w:val="baseline"/>
        </w:rPr>
        <w:t>Ayuntamiento de Bilbao</w:t>
      </w:r>
      <w:r>
        <w:rPr>
          <w:sz w:val="22"/>
          <w:vertAlign w:val="baseline"/>
        </w:rPr>
        <w:t>, con un 82,27 %. En cambio, en los </w:t>
      </w:r>
      <w:r>
        <w:rPr>
          <w:b/>
          <w:sz w:val="22"/>
          <w:vertAlign w:val="baseline"/>
        </w:rPr>
        <w:t>Ayuntamientos de Las Palmas de Gran Canaria </w:t>
      </w:r>
      <w:r>
        <w:rPr>
          <w:sz w:val="22"/>
          <w:vertAlign w:val="baseline"/>
        </w:rPr>
        <w:t>y </w:t>
      </w:r>
      <w:r>
        <w:rPr>
          <w:b/>
          <w:sz w:val="22"/>
          <w:vertAlign w:val="baseline"/>
        </w:rPr>
        <w:t>Murcia</w:t>
      </w:r>
      <w:r>
        <w:rPr>
          <w:sz w:val="22"/>
          <w:vertAlign w:val="baseline"/>
        </w:rPr>
        <w:t>, el porcentaje de vehículos limpios solo asciende a un 6,91 % y un 23,66 %, respectivamente.</w:t>
      </w:r>
    </w:p>
    <w:p>
      <w:pPr>
        <w:pStyle w:val="BodyText"/>
        <w:spacing w:before="240"/>
        <w:ind w:left="850" w:right="987"/>
        <w:jc w:val="both"/>
      </w:pPr>
      <w:r>
        <w:rPr/>
        <w:t>En cuanto a la antigüedad de la flota, la flota más joven en 2024 es la de </w:t>
      </w:r>
      <w:r>
        <w:rPr>
          <w:b/>
        </w:rPr>
        <w:t>Bilbao</w:t>
      </w:r>
      <w:r>
        <w:rPr/>
        <w:t>, con 5,03 años de media, seguida de la de </w:t>
      </w:r>
      <w:r>
        <w:rPr>
          <w:b/>
        </w:rPr>
        <w:t>Alicante</w:t>
      </w:r>
      <w:r>
        <w:rPr/>
        <w:t>, con 6,81 años. Las que tienen más años son las de </w:t>
      </w:r>
      <w:r>
        <w:rPr>
          <w:b/>
        </w:rPr>
        <w:t>Murcia </w:t>
      </w:r>
      <w:r>
        <w:rPr/>
        <w:t>y </w:t>
      </w:r>
      <w:r>
        <w:rPr>
          <w:b/>
        </w:rPr>
        <w:t>Málaga</w:t>
      </w:r>
      <w:r>
        <w:rPr/>
        <w:t>, con 12,33 y 11,40 años, respectivamente.</w:t>
      </w:r>
    </w:p>
    <w:p>
      <w:pPr>
        <w:pStyle w:val="BodyText"/>
        <w:spacing w:before="242"/>
        <w:ind w:left="850" w:right="990"/>
        <w:jc w:val="both"/>
      </w:pPr>
      <w:r>
        <w:rPr/>
        <w:t>En el </w:t>
      </w:r>
      <w:hyperlink w:history="true" w:anchor="_bookmark132">
        <w:r>
          <w:rPr/>
          <w:t>Anexo IV</w:t>
        </w:r>
      </w:hyperlink>
      <w:r>
        <w:rPr/>
        <w:t> se exponen el número de vehículos limpios, el número de autobuses eléctricos, así como la antigüedad media de la flota.</w:t>
      </w:r>
    </w:p>
    <w:p>
      <w:pPr>
        <w:pStyle w:val="BodyText"/>
        <w:spacing w:before="238"/>
        <w:ind w:left="850" w:right="997"/>
        <w:jc w:val="both"/>
      </w:pPr>
      <w:r>
        <w:rPr/>
        <w:t>En cuanto a la demanda del sistema de transporte público mediante autobús, se aprecia un notable incremento de viajeros en los ejercicios 2023 y 2024, en relación con el ejercicio 2022, así como de número de viajes realizados.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6"/>
        <w:rPr>
          <w:sz w:val="20"/>
        </w:rPr>
      </w:pPr>
      <w:r>
        <w:rPr>
          <w:sz w:val="20"/>
        </w:rPr>
        <mc:AlternateContent>
          <mc:Choice Requires="wps">
            <w:drawing>
              <wp:anchor distT="0" distB="0" distL="0" distR="0" allowOverlap="1" layoutInCell="1" locked="0" behindDoc="1" simplePos="0" relativeHeight="487596544">
                <wp:simplePos x="0" y="0"/>
                <wp:positionH relativeFrom="page">
                  <wp:posOffset>719632</wp:posOffset>
                </wp:positionH>
                <wp:positionV relativeFrom="paragraph">
                  <wp:posOffset>196879</wp:posOffset>
                </wp:positionV>
                <wp:extent cx="1829435" cy="9525"/>
                <wp:effectExtent l="0" t="0" r="0" b="0"/>
                <wp:wrapTopAndBottom/>
                <wp:docPr id="125" name="Graphic 125"/>
                <wp:cNvGraphicFramePr>
                  <a:graphicFrameLocks/>
                </wp:cNvGraphicFramePr>
                <a:graphic>
                  <a:graphicData uri="http://schemas.microsoft.com/office/word/2010/wordprocessingShape">
                    <wps:wsp>
                      <wps:cNvPr id="125" name="Graphic 125"/>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5.502353pt;width:144.020pt;height:.72003pt;mso-position-horizontal-relative:page;mso-position-vertical-relative:paragraph;z-index:-15719936;mso-wrap-distance-left:0;mso-wrap-distance-right:0" id="docshape109" filled="true" fillcolor="#000000" stroked="false">
                <v:fill type="solid"/>
                <w10:wrap type="topAndBottom"/>
              </v:rect>
            </w:pict>
          </mc:Fallback>
        </mc:AlternateContent>
      </w:r>
    </w:p>
    <w:p>
      <w:pPr>
        <w:spacing w:before="115"/>
        <w:ind w:left="992" w:right="999" w:firstLine="0"/>
        <w:jc w:val="both"/>
        <w:rPr>
          <w:sz w:val="18"/>
        </w:rPr>
      </w:pPr>
      <w:bookmarkStart w:name="_bookmark19" w:id="21"/>
      <w:bookmarkEnd w:id="21"/>
      <w:r>
        <w:rPr/>
      </w:r>
      <w:r>
        <w:rPr>
          <w:position w:val="6"/>
          <w:sz w:val="12"/>
        </w:rPr>
        <w:t>5</w:t>
      </w:r>
      <w:r>
        <w:rPr>
          <w:spacing w:val="13"/>
          <w:position w:val="6"/>
          <w:sz w:val="12"/>
        </w:rPr>
        <w:t> </w:t>
      </w:r>
      <w:r>
        <w:rPr>
          <w:sz w:val="18"/>
        </w:rPr>
        <w:t>El</w:t>
      </w:r>
      <w:r>
        <w:rPr>
          <w:spacing w:val="-4"/>
          <w:sz w:val="18"/>
        </w:rPr>
        <w:t> </w:t>
      </w:r>
      <w:r>
        <w:rPr>
          <w:sz w:val="18"/>
        </w:rPr>
        <w:t>Real</w:t>
      </w:r>
      <w:r>
        <w:rPr>
          <w:spacing w:val="-4"/>
          <w:sz w:val="18"/>
        </w:rPr>
        <w:t> </w:t>
      </w:r>
      <w:r>
        <w:rPr>
          <w:sz w:val="18"/>
        </w:rPr>
        <w:t>Decreto</w:t>
      </w:r>
      <w:r>
        <w:rPr>
          <w:spacing w:val="-4"/>
          <w:sz w:val="18"/>
        </w:rPr>
        <w:t> </w:t>
      </w:r>
      <w:r>
        <w:rPr>
          <w:sz w:val="18"/>
        </w:rPr>
        <w:t>829/2023,</w:t>
      </w:r>
      <w:r>
        <w:rPr>
          <w:spacing w:val="-4"/>
          <w:sz w:val="18"/>
        </w:rPr>
        <w:t> </w:t>
      </w:r>
      <w:r>
        <w:rPr>
          <w:sz w:val="18"/>
        </w:rPr>
        <w:t>de</w:t>
      </w:r>
      <w:r>
        <w:rPr>
          <w:spacing w:val="-6"/>
          <w:sz w:val="18"/>
        </w:rPr>
        <w:t> </w:t>
      </w:r>
      <w:r>
        <w:rPr>
          <w:sz w:val="18"/>
        </w:rPr>
        <w:t>20</w:t>
      </w:r>
      <w:r>
        <w:rPr>
          <w:spacing w:val="-4"/>
          <w:sz w:val="18"/>
        </w:rPr>
        <w:t> </w:t>
      </w:r>
      <w:r>
        <w:rPr>
          <w:sz w:val="18"/>
        </w:rPr>
        <w:t>de</w:t>
      </w:r>
      <w:r>
        <w:rPr>
          <w:spacing w:val="-4"/>
          <w:sz w:val="18"/>
        </w:rPr>
        <w:t> </w:t>
      </w:r>
      <w:r>
        <w:rPr>
          <w:sz w:val="18"/>
        </w:rPr>
        <w:t>noviembre,</w:t>
      </w:r>
      <w:r>
        <w:rPr>
          <w:spacing w:val="-4"/>
          <w:sz w:val="18"/>
        </w:rPr>
        <w:t> </w:t>
      </w:r>
      <w:r>
        <w:rPr>
          <w:sz w:val="18"/>
        </w:rPr>
        <w:t>por</w:t>
      </w:r>
      <w:r>
        <w:rPr>
          <w:spacing w:val="-4"/>
          <w:sz w:val="18"/>
        </w:rPr>
        <w:t> </w:t>
      </w:r>
      <w:r>
        <w:rPr>
          <w:sz w:val="18"/>
        </w:rPr>
        <w:t>el</w:t>
      </w:r>
      <w:r>
        <w:rPr>
          <w:spacing w:val="-4"/>
          <w:sz w:val="18"/>
        </w:rPr>
        <w:t> </w:t>
      </w:r>
      <w:r>
        <w:rPr>
          <w:sz w:val="18"/>
        </w:rPr>
        <w:t>que</w:t>
      </w:r>
      <w:r>
        <w:rPr>
          <w:spacing w:val="-4"/>
          <w:sz w:val="18"/>
        </w:rPr>
        <w:t> </w:t>
      </w:r>
      <w:r>
        <w:rPr>
          <w:sz w:val="18"/>
        </w:rPr>
        <w:t>se</w:t>
      </w:r>
      <w:r>
        <w:rPr>
          <w:spacing w:val="-4"/>
          <w:sz w:val="18"/>
        </w:rPr>
        <w:t> </w:t>
      </w:r>
      <w:r>
        <w:rPr>
          <w:sz w:val="18"/>
        </w:rPr>
        <w:t>reestructuran</w:t>
      </w:r>
      <w:r>
        <w:rPr>
          <w:spacing w:val="-6"/>
          <w:sz w:val="18"/>
        </w:rPr>
        <w:t> </w:t>
      </w:r>
      <w:r>
        <w:rPr>
          <w:sz w:val="18"/>
        </w:rPr>
        <w:t>los</w:t>
      </w:r>
      <w:r>
        <w:rPr>
          <w:spacing w:val="-6"/>
          <w:sz w:val="18"/>
        </w:rPr>
        <w:t> </w:t>
      </w:r>
      <w:r>
        <w:rPr>
          <w:sz w:val="18"/>
        </w:rPr>
        <w:t>departamentos</w:t>
      </w:r>
      <w:r>
        <w:rPr>
          <w:spacing w:val="-6"/>
          <w:sz w:val="18"/>
        </w:rPr>
        <w:t> </w:t>
      </w:r>
      <w:r>
        <w:rPr>
          <w:sz w:val="18"/>
        </w:rPr>
        <w:t>ministeriales,</w:t>
      </w:r>
      <w:r>
        <w:rPr>
          <w:spacing w:val="-4"/>
          <w:sz w:val="18"/>
        </w:rPr>
        <w:t> </w:t>
      </w:r>
      <w:r>
        <w:rPr>
          <w:sz w:val="18"/>
        </w:rPr>
        <w:t>suprimió</w:t>
      </w:r>
      <w:r>
        <w:rPr>
          <w:spacing w:val="-4"/>
          <w:sz w:val="18"/>
        </w:rPr>
        <w:t> </w:t>
      </w:r>
      <w:r>
        <w:rPr>
          <w:sz w:val="18"/>
        </w:rPr>
        <w:t>el Ministerio de Transportes, Movilidad y Agenda Urbana y atribuyó al Ministerio de Transportes y Movilidad Sostenible la propuesta</w:t>
      </w:r>
      <w:r>
        <w:rPr>
          <w:spacing w:val="-8"/>
          <w:sz w:val="18"/>
        </w:rPr>
        <w:t> </w:t>
      </w:r>
      <w:r>
        <w:rPr>
          <w:sz w:val="18"/>
        </w:rPr>
        <w:t>y</w:t>
      </w:r>
      <w:r>
        <w:rPr>
          <w:spacing w:val="-8"/>
          <w:sz w:val="18"/>
        </w:rPr>
        <w:t> </w:t>
      </w:r>
      <w:r>
        <w:rPr>
          <w:sz w:val="18"/>
        </w:rPr>
        <w:t>ejecución</w:t>
      </w:r>
      <w:r>
        <w:rPr>
          <w:spacing w:val="-9"/>
          <w:sz w:val="18"/>
        </w:rPr>
        <w:t> </w:t>
      </w:r>
      <w:r>
        <w:rPr>
          <w:sz w:val="18"/>
        </w:rPr>
        <w:t>de</w:t>
      </w:r>
      <w:r>
        <w:rPr>
          <w:spacing w:val="-9"/>
          <w:sz w:val="18"/>
        </w:rPr>
        <w:t> </w:t>
      </w:r>
      <w:r>
        <w:rPr>
          <w:sz w:val="18"/>
        </w:rPr>
        <w:t>las</w:t>
      </w:r>
      <w:r>
        <w:rPr>
          <w:spacing w:val="-8"/>
          <w:sz w:val="18"/>
        </w:rPr>
        <w:t> </w:t>
      </w:r>
      <w:r>
        <w:rPr>
          <w:sz w:val="18"/>
        </w:rPr>
        <w:t>políticas</w:t>
      </w:r>
      <w:r>
        <w:rPr>
          <w:spacing w:val="-6"/>
          <w:sz w:val="18"/>
        </w:rPr>
        <w:t> </w:t>
      </w:r>
      <w:r>
        <w:rPr>
          <w:sz w:val="18"/>
        </w:rPr>
        <w:t>del</w:t>
      </w:r>
      <w:r>
        <w:rPr>
          <w:spacing w:val="-6"/>
          <w:sz w:val="18"/>
        </w:rPr>
        <w:t> </w:t>
      </w:r>
      <w:r>
        <w:rPr>
          <w:sz w:val="18"/>
        </w:rPr>
        <w:t>Gobierno</w:t>
      </w:r>
      <w:r>
        <w:rPr>
          <w:spacing w:val="-9"/>
          <w:sz w:val="18"/>
        </w:rPr>
        <w:t> </w:t>
      </w:r>
      <w:r>
        <w:rPr>
          <w:sz w:val="18"/>
        </w:rPr>
        <w:t>en</w:t>
      </w:r>
      <w:r>
        <w:rPr>
          <w:spacing w:val="-9"/>
          <w:sz w:val="18"/>
        </w:rPr>
        <w:t> </w:t>
      </w:r>
      <w:r>
        <w:rPr>
          <w:sz w:val="18"/>
        </w:rPr>
        <w:t>materia</w:t>
      </w:r>
      <w:r>
        <w:rPr>
          <w:spacing w:val="-6"/>
          <w:sz w:val="18"/>
        </w:rPr>
        <w:t> </w:t>
      </w:r>
      <w:r>
        <w:rPr>
          <w:sz w:val="18"/>
        </w:rPr>
        <w:t>de</w:t>
      </w:r>
      <w:r>
        <w:rPr>
          <w:spacing w:val="-9"/>
          <w:sz w:val="18"/>
        </w:rPr>
        <w:t> </w:t>
      </w:r>
      <w:r>
        <w:rPr>
          <w:sz w:val="18"/>
        </w:rPr>
        <w:t>infraestructuras,</w:t>
      </w:r>
      <w:r>
        <w:rPr>
          <w:spacing w:val="-9"/>
          <w:sz w:val="18"/>
        </w:rPr>
        <w:t> </w:t>
      </w:r>
      <w:r>
        <w:rPr>
          <w:sz w:val="18"/>
        </w:rPr>
        <w:t>de</w:t>
      </w:r>
      <w:r>
        <w:rPr>
          <w:spacing w:val="-9"/>
          <w:sz w:val="18"/>
        </w:rPr>
        <w:t> </w:t>
      </w:r>
      <w:r>
        <w:rPr>
          <w:sz w:val="18"/>
        </w:rPr>
        <w:t>transporte</w:t>
      </w:r>
      <w:r>
        <w:rPr>
          <w:spacing w:val="-6"/>
          <w:sz w:val="18"/>
        </w:rPr>
        <w:t> </w:t>
      </w:r>
      <w:r>
        <w:rPr>
          <w:sz w:val="18"/>
        </w:rPr>
        <w:t>terrestre</w:t>
      </w:r>
      <w:r>
        <w:rPr>
          <w:spacing w:val="-6"/>
          <w:sz w:val="18"/>
        </w:rPr>
        <w:t> </w:t>
      </w:r>
      <w:r>
        <w:rPr>
          <w:sz w:val="18"/>
        </w:rPr>
        <w:t>de</w:t>
      </w:r>
      <w:r>
        <w:rPr>
          <w:spacing w:val="-6"/>
          <w:sz w:val="18"/>
        </w:rPr>
        <w:t> </w:t>
      </w:r>
      <w:r>
        <w:rPr>
          <w:sz w:val="18"/>
        </w:rPr>
        <w:t>competencia estatal, aéreo y marítimo.</w:t>
      </w:r>
    </w:p>
    <w:p>
      <w:pPr>
        <w:spacing w:before="56"/>
        <w:ind w:left="992" w:right="0" w:firstLine="0"/>
        <w:jc w:val="both"/>
        <w:rPr>
          <w:sz w:val="18"/>
        </w:rPr>
      </w:pPr>
      <w:bookmarkStart w:name="_bookmark20" w:id="22"/>
      <w:bookmarkEnd w:id="22"/>
      <w:r>
        <w:rPr/>
      </w:r>
      <w:r>
        <w:rPr>
          <w:position w:val="6"/>
          <w:sz w:val="12"/>
        </w:rPr>
        <w:t>6</w:t>
      </w:r>
      <w:r>
        <w:rPr>
          <w:spacing w:val="14"/>
          <w:position w:val="6"/>
          <w:sz w:val="12"/>
        </w:rPr>
        <w:t> </w:t>
      </w:r>
      <w:r>
        <w:rPr>
          <w:sz w:val="18"/>
        </w:rPr>
        <w:t>La</w:t>
      </w:r>
      <w:r>
        <w:rPr>
          <w:spacing w:val="-2"/>
          <w:sz w:val="18"/>
        </w:rPr>
        <w:t> </w:t>
      </w:r>
      <w:r>
        <w:rPr>
          <w:sz w:val="18"/>
        </w:rPr>
        <w:t>primera</w:t>
      </w:r>
      <w:r>
        <w:rPr>
          <w:spacing w:val="-3"/>
          <w:sz w:val="18"/>
        </w:rPr>
        <w:t> </w:t>
      </w:r>
      <w:r>
        <w:rPr>
          <w:sz w:val="18"/>
        </w:rPr>
        <w:t>convocatoria</w:t>
      </w:r>
      <w:r>
        <w:rPr>
          <w:spacing w:val="-2"/>
          <w:sz w:val="18"/>
        </w:rPr>
        <w:t> </w:t>
      </w:r>
      <w:r>
        <w:rPr>
          <w:sz w:val="18"/>
        </w:rPr>
        <w:t>del</w:t>
      </w:r>
      <w:r>
        <w:rPr>
          <w:spacing w:val="1"/>
          <w:sz w:val="18"/>
        </w:rPr>
        <w:t> </w:t>
      </w:r>
      <w:r>
        <w:rPr>
          <w:sz w:val="18"/>
        </w:rPr>
        <w:t>Programa</w:t>
      </w:r>
      <w:r>
        <w:rPr>
          <w:spacing w:val="-2"/>
          <w:sz w:val="18"/>
        </w:rPr>
        <w:t> </w:t>
      </w:r>
      <w:r>
        <w:rPr>
          <w:sz w:val="18"/>
        </w:rPr>
        <w:t>de</w:t>
      </w:r>
      <w:r>
        <w:rPr>
          <w:spacing w:val="-5"/>
          <w:sz w:val="18"/>
        </w:rPr>
        <w:t> </w:t>
      </w:r>
      <w:r>
        <w:rPr>
          <w:sz w:val="18"/>
        </w:rPr>
        <w:t>ayudas</w:t>
      </w:r>
      <w:r>
        <w:rPr>
          <w:spacing w:val="-1"/>
          <w:sz w:val="18"/>
        </w:rPr>
        <w:t> </w:t>
      </w:r>
      <w:r>
        <w:rPr>
          <w:sz w:val="18"/>
        </w:rPr>
        <w:t>ser</w:t>
      </w:r>
      <w:r>
        <w:rPr>
          <w:spacing w:val="-3"/>
          <w:sz w:val="18"/>
        </w:rPr>
        <w:t> </w:t>
      </w:r>
      <w:r>
        <w:rPr>
          <w:sz w:val="18"/>
        </w:rPr>
        <w:t>resolvió</w:t>
      </w:r>
      <w:r>
        <w:rPr>
          <w:spacing w:val="-2"/>
          <w:sz w:val="18"/>
        </w:rPr>
        <w:t> </w:t>
      </w:r>
      <w:r>
        <w:rPr>
          <w:sz w:val="18"/>
        </w:rPr>
        <w:t>en</w:t>
      </w:r>
      <w:r>
        <w:rPr>
          <w:spacing w:val="-2"/>
          <w:sz w:val="18"/>
        </w:rPr>
        <w:t> </w:t>
      </w:r>
      <w:r>
        <w:rPr>
          <w:sz w:val="18"/>
        </w:rPr>
        <w:t>2022</w:t>
      </w:r>
      <w:r>
        <w:rPr>
          <w:spacing w:val="-5"/>
          <w:sz w:val="18"/>
        </w:rPr>
        <w:t> </w:t>
      </w:r>
      <w:r>
        <w:rPr>
          <w:sz w:val="18"/>
        </w:rPr>
        <w:t>y</w:t>
      </w:r>
      <w:r>
        <w:rPr>
          <w:spacing w:val="-1"/>
          <w:sz w:val="18"/>
        </w:rPr>
        <w:t> </w:t>
      </w:r>
      <w:r>
        <w:rPr>
          <w:sz w:val="18"/>
        </w:rPr>
        <w:t>la</w:t>
      </w:r>
      <w:r>
        <w:rPr>
          <w:spacing w:val="-3"/>
          <w:sz w:val="18"/>
        </w:rPr>
        <w:t> </w:t>
      </w:r>
      <w:r>
        <w:rPr>
          <w:sz w:val="18"/>
        </w:rPr>
        <w:t>segunda</w:t>
      </w:r>
      <w:r>
        <w:rPr>
          <w:spacing w:val="-4"/>
          <w:sz w:val="18"/>
        </w:rPr>
        <w:t> </w:t>
      </w:r>
      <w:r>
        <w:rPr>
          <w:sz w:val="18"/>
        </w:rPr>
        <w:t>en</w:t>
      </w:r>
      <w:r>
        <w:rPr>
          <w:spacing w:val="-2"/>
          <w:sz w:val="18"/>
        </w:rPr>
        <w:t> 2023.</w:t>
      </w:r>
    </w:p>
    <w:p>
      <w:pPr>
        <w:spacing w:before="73"/>
        <w:ind w:left="992" w:right="0" w:firstLine="0"/>
        <w:jc w:val="both"/>
        <w:rPr>
          <w:sz w:val="18"/>
        </w:rPr>
      </w:pPr>
      <w:bookmarkStart w:name="_bookmark21" w:id="23"/>
      <w:bookmarkEnd w:id="23"/>
      <w:r>
        <w:rPr/>
      </w:r>
      <w:r>
        <w:rPr>
          <w:position w:val="6"/>
          <w:sz w:val="12"/>
        </w:rPr>
        <w:t>7</w:t>
      </w:r>
      <w:r>
        <w:rPr>
          <w:spacing w:val="21"/>
          <w:position w:val="6"/>
          <w:sz w:val="12"/>
        </w:rPr>
        <w:t> </w:t>
      </w:r>
      <w:r>
        <w:rPr>
          <w:sz w:val="18"/>
        </w:rPr>
        <w:t>La</w:t>
      </w:r>
      <w:r>
        <w:rPr>
          <w:spacing w:val="5"/>
          <w:sz w:val="18"/>
        </w:rPr>
        <w:t> </w:t>
      </w:r>
      <w:r>
        <w:rPr>
          <w:sz w:val="18"/>
        </w:rPr>
        <w:t>normativa</w:t>
      </w:r>
      <w:r>
        <w:rPr>
          <w:spacing w:val="5"/>
          <w:sz w:val="18"/>
        </w:rPr>
        <w:t> </w:t>
      </w:r>
      <w:r>
        <w:rPr>
          <w:sz w:val="18"/>
        </w:rPr>
        <w:t>europea</w:t>
      </w:r>
      <w:r>
        <w:rPr>
          <w:spacing w:val="5"/>
          <w:sz w:val="18"/>
        </w:rPr>
        <w:t> </w:t>
      </w:r>
      <w:r>
        <w:rPr>
          <w:sz w:val="18"/>
        </w:rPr>
        <w:t>clasifica</w:t>
      </w:r>
      <w:r>
        <w:rPr>
          <w:spacing w:val="7"/>
          <w:sz w:val="18"/>
        </w:rPr>
        <w:t> </w:t>
      </w:r>
      <w:r>
        <w:rPr>
          <w:sz w:val="18"/>
        </w:rPr>
        <w:t>los</w:t>
      </w:r>
      <w:r>
        <w:rPr>
          <w:spacing w:val="6"/>
          <w:sz w:val="18"/>
        </w:rPr>
        <w:t> </w:t>
      </w:r>
      <w:r>
        <w:rPr>
          <w:sz w:val="18"/>
        </w:rPr>
        <w:t>vehículos</w:t>
      </w:r>
      <w:r>
        <w:rPr>
          <w:spacing w:val="6"/>
          <w:sz w:val="18"/>
        </w:rPr>
        <w:t> </w:t>
      </w:r>
      <w:r>
        <w:rPr>
          <w:sz w:val="18"/>
        </w:rPr>
        <w:t>en</w:t>
      </w:r>
      <w:r>
        <w:rPr>
          <w:spacing w:val="5"/>
          <w:sz w:val="18"/>
        </w:rPr>
        <w:t> </w:t>
      </w:r>
      <w:r>
        <w:rPr>
          <w:sz w:val="18"/>
        </w:rPr>
        <w:t>función</w:t>
      </w:r>
      <w:r>
        <w:rPr>
          <w:spacing w:val="7"/>
          <w:sz w:val="18"/>
        </w:rPr>
        <w:t> </w:t>
      </w:r>
      <w:r>
        <w:rPr>
          <w:sz w:val="18"/>
        </w:rPr>
        <w:t>de</w:t>
      </w:r>
      <w:r>
        <w:rPr>
          <w:spacing w:val="3"/>
          <w:sz w:val="18"/>
        </w:rPr>
        <w:t> </w:t>
      </w:r>
      <w:r>
        <w:rPr>
          <w:sz w:val="18"/>
        </w:rPr>
        <w:t>las</w:t>
      </w:r>
      <w:r>
        <w:rPr>
          <w:spacing w:val="6"/>
          <w:sz w:val="18"/>
        </w:rPr>
        <w:t> </w:t>
      </w:r>
      <w:r>
        <w:rPr>
          <w:sz w:val="18"/>
        </w:rPr>
        <w:t>emisiones</w:t>
      </w:r>
      <w:r>
        <w:rPr>
          <w:spacing w:val="8"/>
          <w:sz w:val="18"/>
        </w:rPr>
        <w:t> </w:t>
      </w:r>
      <w:r>
        <w:rPr>
          <w:sz w:val="18"/>
        </w:rPr>
        <w:t>de</w:t>
      </w:r>
      <w:r>
        <w:rPr>
          <w:spacing w:val="5"/>
          <w:sz w:val="18"/>
        </w:rPr>
        <w:t> </w:t>
      </w:r>
      <w:r>
        <w:rPr>
          <w:sz w:val="18"/>
        </w:rPr>
        <w:t>sustancias</w:t>
      </w:r>
      <w:r>
        <w:rPr>
          <w:spacing w:val="7"/>
          <w:sz w:val="18"/>
        </w:rPr>
        <w:t> </w:t>
      </w:r>
      <w:r>
        <w:rPr>
          <w:sz w:val="18"/>
        </w:rPr>
        <w:t>contaminantes</w:t>
      </w:r>
      <w:r>
        <w:rPr>
          <w:spacing w:val="8"/>
          <w:sz w:val="18"/>
        </w:rPr>
        <w:t> </w:t>
      </w:r>
      <w:r>
        <w:rPr>
          <w:sz w:val="18"/>
        </w:rPr>
        <w:t>a</w:t>
      </w:r>
      <w:r>
        <w:rPr>
          <w:spacing w:val="6"/>
          <w:sz w:val="18"/>
        </w:rPr>
        <w:t> </w:t>
      </w:r>
      <w:r>
        <w:rPr>
          <w:sz w:val="18"/>
        </w:rPr>
        <w:t>la</w:t>
      </w:r>
      <w:r>
        <w:rPr>
          <w:spacing w:val="6"/>
          <w:sz w:val="18"/>
        </w:rPr>
        <w:t> </w:t>
      </w:r>
      <w:r>
        <w:rPr>
          <w:spacing w:val="-2"/>
          <w:sz w:val="18"/>
        </w:rPr>
        <w:t>atmósfera</w:t>
      </w:r>
    </w:p>
    <w:p>
      <w:pPr>
        <w:spacing w:before="2"/>
        <w:ind w:left="992" w:right="0" w:firstLine="0"/>
        <w:jc w:val="both"/>
        <w:rPr>
          <w:sz w:val="18"/>
        </w:rPr>
      </w:pPr>
      <w:r>
        <w:rPr>
          <w:sz w:val="18"/>
        </w:rPr>
        <w:t>con</w:t>
      </w:r>
      <w:r>
        <w:rPr>
          <w:spacing w:val="-5"/>
          <w:sz w:val="18"/>
        </w:rPr>
        <w:t> </w:t>
      </w:r>
      <w:r>
        <w:rPr>
          <w:sz w:val="18"/>
        </w:rPr>
        <w:t>la</w:t>
      </w:r>
      <w:r>
        <w:rPr>
          <w:spacing w:val="-2"/>
          <w:sz w:val="18"/>
        </w:rPr>
        <w:t> </w:t>
      </w:r>
      <w:r>
        <w:rPr>
          <w:sz w:val="18"/>
        </w:rPr>
        <w:t>denominación</w:t>
      </w:r>
      <w:r>
        <w:rPr>
          <w:spacing w:val="-2"/>
          <w:sz w:val="18"/>
        </w:rPr>
        <w:t> </w:t>
      </w:r>
      <w:r>
        <w:rPr>
          <w:sz w:val="18"/>
        </w:rPr>
        <w:t>“Euro”,</w:t>
      </w:r>
      <w:r>
        <w:rPr>
          <w:spacing w:val="-4"/>
          <w:sz w:val="18"/>
        </w:rPr>
        <w:t> </w:t>
      </w:r>
      <w:r>
        <w:rPr>
          <w:sz w:val="18"/>
        </w:rPr>
        <w:t>siendo</w:t>
      </w:r>
      <w:r>
        <w:rPr>
          <w:spacing w:val="-4"/>
          <w:sz w:val="18"/>
        </w:rPr>
        <w:t> </w:t>
      </w:r>
      <w:r>
        <w:rPr>
          <w:sz w:val="18"/>
        </w:rPr>
        <w:t>la</w:t>
      </w:r>
      <w:r>
        <w:rPr>
          <w:spacing w:val="-2"/>
          <w:sz w:val="18"/>
        </w:rPr>
        <w:t> </w:t>
      </w:r>
      <w:r>
        <w:rPr>
          <w:sz w:val="18"/>
        </w:rPr>
        <w:t>última</w:t>
      </w:r>
      <w:r>
        <w:rPr>
          <w:spacing w:val="-2"/>
          <w:sz w:val="18"/>
        </w:rPr>
        <w:t> </w:t>
      </w:r>
      <w:r>
        <w:rPr>
          <w:sz w:val="18"/>
        </w:rPr>
        <w:t>escala</w:t>
      </w:r>
      <w:r>
        <w:rPr>
          <w:spacing w:val="-4"/>
          <w:sz w:val="18"/>
        </w:rPr>
        <w:t> </w:t>
      </w:r>
      <w:r>
        <w:rPr>
          <w:sz w:val="18"/>
        </w:rPr>
        <w:t>de</w:t>
      </w:r>
      <w:r>
        <w:rPr>
          <w:spacing w:val="-4"/>
          <w:sz w:val="18"/>
        </w:rPr>
        <w:t> </w:t>
      </w:r>
      <w:r>
        <w:rPr>
          <w:sz w:val="18"/>
        </w:rPr>
        <w:t>clasificación</w:t>
      </w:r>
      <w:r>
        <w:rPr>
          <w:spacing w:val="-4"/>
          <w:sz w:val="18"/>
        </w:rPr>
        <w:t> </w:t>
      </w:r>
      <w:r>
        <w:rPr>
          <w:sz w:val="18"/>
        </w:rPr>
        <w:t>la</w:t>
      </w:r>
      <w:r>
        <w:rPr>
          <w:spacing w:val="-2"/>
          <w:sz w:val="18"/>
        </w:rPr>
        <w:t> </w:t>
      </w:r>
      <w:r>
        <w:rPr>
          <w:sz w:val="18"/>
        </w:rPr>
        <w:t>Euro</w:t>
      </w:r>
      <w:r>
        <w:rPr>
          <w:spacing w:val="-2"/>
          <w:sz w:val="18"/>
        </w:rPr>
        <w:t> </w:t>
      </w:r>
      <w:r>
        <w:rPr>
          <w:spacing w:val="-5"/>
          <w:sz w:val="18"/>
        </w:rPr>
        <w:t>VI.</w:t>
      </w:r>
    </w:p>
    <w:p>
      <w:pPr>
        <w:spacing w:before="55"/>
        <w:ind w:left="992" w:right="1000" w:firstLine="0"/>
        <w:jc w:val="both"/>
        <w:rPr>
          <w:sz w:val="18"/>
        </w:rPr>
      </w:pPr>
      <w:bookmarkStart w:name="_bookmark22" w:id="24"/>
      <w:bookmarkEnd w:id="24"/>
      <w:r>
        <w:rPr/>
      </w:r>
      <w:r>
        <w:rPr>
          <w:position w:val="6"/>
          <w:sz w:val="12"/>
        </w:rPr>
        <w:t>8</w:t>
      </w:r>
      <w:r>
        <w:rPr>
          <w:spacing w:val="35"/>
          <w:position w:val="6"/>
          <w:sz w:val="12"/>
        </w:rPr>
        <w:t> </w:t>
      </w:r>
      <w:r>
        <w:rPr>
          <w:sz w:val="18"/>
        </w:rPr>
        <w:t>Los vehículos limpios son aquellos de bajas emisiones, que utilizan combustibles alternativos (biocombustibles, gas natural) o híbridos enchufables.</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Heading4"/>
        <w:ind w:left="1"/>
      </w:pPr>
      <w:bookmarkStart w:name="_bookmark23" w:id="25"/>
      <w:bookmarkEnd w:id="25"/>
      <w:r>
        <w:rPr>
          <w:b w:val="0"/>
        </w:rPr>
      </w:r>
      <w:r>
        <w:rPr/>
        <w:t>GRÁFICO</w:t>
      </w:r>
      <w:r>
        <w:rPr>
          <w:spacing w:val="-7"/>
        </w:rPr>
        <w:t> </w:t>
      </w:r>
      <w:r>
        <w:rPr/>
        <w:t>3.</w:t>
      </w:r>
      <w:r>
        <w:rPr>
          <w:spacing w:val="-8"/>
        </w:rPr>
        <w:t> </w:t>
      </w:r>
      <w:r>
        <w:rPr/>
        <w:t>USUARIOS</w:t>
      </w:r>
      <w:r>
        <w:rPr>
          <w:spacing w:val="-6"/>
        </w:rPr>
        <w:t> </w:t>
      </w:r>
      <w:r>
        <w:rPr/>
        <w:t>TRANSPORTE</w:t>
      </w:r>
      <w:r>
        <w:rPr>
          <w:spacing w:val="-6"/>
        </w:rPr>
        <w:t> </w:t>
      </w:r>
      <w:r>
        <w:rPr/>
        <w:t>PÚBLICO</w:t>
      </w:r>
      <w:r>
        <w:rPr>
          <w:spacing w:val="-7"/>
        </w:rPr>
        <w:t> </w:t>
      </w:r>
      <w:r>
        <w:rPr>
          <w:spacing w:val="-2"/>
        </w:rPr>
        <w:t>AUTOBÚS</w:t>
      </w:r>
    </w:p>
    <w:p>
      <w:pPr>
        <w:pStyle w:val="BodyText"/>
        <w:spacing w:before="10"/>
        <w:rPr>
          <w:b/>
          <w:sz w:val="18"/>
        </w:rPr>
      </w:pPr>
      <w:r>
        <w:rPr>
          <w:b/>
          <w:sz w:val="18"/>
        </w:rPr>
        <w:drawing>
          <wp:anchor distT="0" distB="0" distL="0" distR="0" allowOverlap="1" layoutInCell="1" locked="0" behindDoc="1" simplePos="0" relativeHeight="487597056">
            <wp:simplePos x="0" y="0"/>
            <wp:positionH relativeFrom="page">
              <wp:posOffset>1437005</wp:posOffset>
            </wp:positionH>
            <wp:positionV relativeFrom="paragraph">
              <wp:posOffset>153230</wp:posOffset>
            </wp:positionV>
            <wp:extent cx="4675843" cy="2948749"/>
            <wp:effectExtent l="0" t="0" r="0" b="0"/>
            <wp:wrapTopAndBottom/>
            <wp:docPr id="126" name="Image 126"/>
            <wp:cNvGraphicFramePr>
              <a:graphicFrameLocks/>
            </wp:cNvGraphicFramePr>
            <a:graphic>
              <a:graphicData uri="http://schemas.openxmlformats.org/drawingml/2006/picture">
                <pic:pic>
                  <pic:nvPicPr>
                    <pic:cNvPr id="126" name="Image 126"/>
                    <pic:cNvPicPr/>
                  </pic:nvPicPr>
                  <pic:blipFill>
                    <a:blip r:embed="rId53" cstate="print"/>
                    <a:stretch>
                      <a:fillRect/>
                    </a:stretch>
                  </pic:blipFill>
                  <pic:spPr>
                    <a:xfrm>
                      <a:off x="0" y="0"/>
                      <a:ext cx="4675843" cy="2948749"/>
                    </a:xfrm>
                    <a:prstGeom prst="rect">
                      <a:avLst/>
                    </a:prstGeom>
                  </pic:spPr>
                </pic:pic>
              </a:graphicData>
            </a:graphic>
          </wp:anchor>
        </w:drawing>
      </w:r>
    </w:p>
    <w:p>
      <w:pPr>
        <w:spacing w:before="125"/>
        <w:ind w:left="2125" w:right="0" w:firstLine="0"/>
        <w:jc w:val="left"/>
        <w:rPr>
          <w:rFonts w:ascii="Arial Narrow" w:hAnsi="Arial Narrow"/>
          <w:sz w:val="18"/>
        </w:rPr>
      </w:pPr>
      <w:r>
        <w:rPr>
          <w:rFonts w:ascii="Arial Narrow" w:hAnsi="Arial Narrow"/>
          <w:sz w:val="18"/>
        </w:rPr>
        <w:t>Fuente:</w:t>
      </w:r>
      <w:r>
        <w:rPr>
          <w:rFonts w:ascii="Arial Narrow" w:hAnsi="Arial Narrow"/>
          <w:spacing w:val="-3"/>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3"/>
          <w:sz w:val="18"/>
        </w:rPr>
        <w:t> </w:t>
      </w:r>
      <w:r>
        <w:rPr>
          <w:rFonts w:ascii="Arial Narrow" w:hAnsi="Arial Narrow"/>
          <w:sz w:val="18"/>
        </w:rPr>
        <w:t>a</w:t>
      </w:r>
      <w:r>
        <w:rPr>
          <w:rFonts w:ascii="Arial Narrow" w:hAnsi="Arial Narrow"/>
          <w:spacing w:val="-2"/>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3"/>
          <w:sz w:val="18"/>
        </w:rPr>
        <w:t> </w:t>
      </w:r>
      <w:r>
        <w:rPr>
          <w:rFonts w:ascii="Arial Narrow" w:hAnsi="Arial Narrow"/>
          <w:sz w:val="18"/>
        </w:rPr>
        <w:t>los</w:t>
      </w:r>
      <w:r>
        <w:rPr>
          <w:rFonts w:ascii="Arial Narrow" w:hAnsi="Arial Narrow"/>
          <w:spacing w:val="-3"/>
          <w:sz w:val="18"/>
        </w:rPr>
        <w:t> </w:t>
      </w:r>
      <w:r>
        <w:rPr>
          <w:rFonts w:ascii="Arial Narrow" w:hAnsi="Arial Narrow"/>
          <w:sz w:val="18"/>
        </w:rPr>
        <w:t>datos facilitados</w:t>
      </w:r>
      <w:r>
        <w:rPr>
          <w:rFonts w:ascii="Arial Narrow" w:hAnsi="Arial Narrow"/>
          <w:spacing w:val="-1"/>
          <w:sz w:val="18"/>
        </w:rPr>
        <w:t> </w:t>
      </w:r>
      <w:r>
        <w:rPr>
          <w:rFonts w:ascii="Arial Narrow" w:hAnsi="Arial Narrow"/>
          <w:sz w:val="18"/>
        </w:rPr>
        <w:t>por</w:t>
      </w:r>
      <w:r>
        <w:rPr>
          <w:rFonts w:ascii="Arial Narrow" w:hAnsi="Arial Narrow"/>
          <w:spacing w:val="-1"/>
          <w:sz w:val="18"/>
        </w:rPr>
        <w:t> </w:t>
      </w:r>
      <w:r>
        <w:rPr>
          <w:rFonts w:ascii="Arial Narrow" w:hAnsi="Arial Narrow"/>
          <w:sz w:val="18"/>
        </w:rPr>
        <w:t>las</w:t>
      </w:r>
      <w:r>
        <w:rPr>
          <w:rFonts w:ascii="Arial Narrow" w:hAnsi="Arial Narrow"/>
          <w:spacing w:val="-3"/>
          <w:sz w:val="18"/>
        </w:rPr>
        <w:t> </w:t>
      </w:r>
      <w:r>
        <w:rPr>
          <w:rFonts w:ascii="Arial Narrow" w:hAnsi="Arial Narrow"/>
          <w:sz w:val="18"/>
        </w:rPr>
        <w:t>entidades</w:t>
      </w:r>
      <w:r>
        <w:rPr>
          <w:rFonts w:ascii="Arial Narrow" w:hAnsi="Arial Narrow"/>
          <w:spacing w:val="-2"/>
          <w:sz w:val="18"/>
        </w:rPr>
        <w:t> fiscalizadas</w:t>
      </w:r>
    </w:p>
    <w:p>
      <w:pPr>
        <w:pStyle w:val="BodyText"/>
        <w:spacing w:before="154"/>
        <w:rPr>
          <w:rFonts w:ascii="Arial Narrow"/>
          <w:sz w:val="18"/>
        </w:rPr>
      </w:pPr>
    </w:p>
    <w:p>
      <w:pPr>
        <w:spacing w:before="0"/>
        <w:ind w:left="850" w:right="907" w:firstLine="0"/>
        <w:jc w:val="left"/>
        <w:rPr>
          <w:sz w:val="22"/>
        </w:rPr>
      </w:pPr>
      <w:r>
        <w:rPr>
          <w:sz w:val="22"/>
        </w:rPr>
        <w:t>Destacan</w:t>
      </w:r>
      <w:r>
        <w:rPr>
          <w:spacing w:val="31"/>
          <w:sz w:val="22"/>
        </w:rPr>
        <w:t> </w:t>
      </w:r>
      <w:r>
        <w:rPr>
          <w:b/>
          <w:sz w:val="22"/>
        </w:rPr>
        <w:t>Palma,</w:t>
      </w:r>
      <w:r>
        <w:rPr>
          <w:b/>
          <w:spacing w:val="30"/>
          <w:sz w:val="22"/>
        </w:rPr>
        <w:t> </w:t>
      </w:r>
      <w:r>
        <w:rPr>
          <w:b/>
          <w:sz w:val="22"/>
        </w:rPr>
        <w:t>Murcia,</w:t>
      </w:r>
      <w:r>
        <w:rPr>
          <w:b/>
          <w:spacing w:val="30"/>
          <w:sz w:val="22"/>
        </w:rPr>
        <w:t> </w:t>
      </w:r>
      <w:r>
        <w:rPr>
          <w:b/>
          <w:sz w:val="22"/>
        </w:rPr>
        <w:t>Alicante</w:t>
      </w:r>
      <w:r>
        <w:rPr>
          <w:b/>
          <w:spacing w:val="30"/>
          <w:sz w:val="22"/>
        </w:rPr>
        <w:t> </w:t>
      </w:r>
      <w:r>
        <w:rPr>
          <w:b/>
          <w:sz w:val="22"/>
        </w:rPr>
        <w:t>y</w:t>
      </w:r>
      <w:r>
        <w:rPr>
          <w:b/>
          <w:spacing w:val="31"/>
          <w:sz w:val="22"/>
        </w:rPr>
        <w:t> </w:t>
      </w:r>
      <w:r>
        <w:rPr>
          <w:b/>
          <w:sz w:val="22"/>
        </w:rPr>
        <w:t>Las</w:t>
      </w:r>
      <w:r>
        <w:rPr>
          <w:b/>
          <w:spacing w:val="29"/>
          <w:sz w:val="22"/>
        </w:rPr>
        <w:t> </w:t>
      </w:r>
      <w:r>
        <w:rPr>
          <w:b/>
          <w:sz w:val="22"/>
        </w:rPr>
        <w:t>Palmas</w:t>
      </w:r>
      <w:r>
        <w:rPr>
          <w:b/>
          <w:spacing w:val="30"/>
          <w:sz w:val="22"/>
        </w:rPr>
        <w:t> </w:t>
      </w:r>
      <w:r>
        <w:rPr>
          <w:b/>
          <w:sz w:val="22"/>
        </w:rPr>
        <w:t>de</w:t>
      </w:r>
      <w:r>
        <w:rPr>
          <w:b/>
          <w:spacing w:val="29"/>
          <w:sz w:val="22"/>
        </w:rPr>
        <w:t> </w:t>
      </w:r>
      <w:r>
        <w:rPr>
          <w:b/>
          <w:sz w:val="22"/>
        </w:rPr>
        <w:t>Gran</w:t>
      </w:r>
      <w:r>
        <w:rPr>
          <w:b/>
          <w:spacing w:val="31"/>
          <w:sz w:val="22"/>
        </w:rPr>
        <w:t> </w:t>
      </w:r>
      <w:r>
        <w:rPr>
          <w:b/>
          <w:sz w:val="22"/>
        </w:rPr>
        <w:t>Canaria</w:t>
      </w:r>
      <w:r>
        <w:rPr>
          <w:sz w:val="22"/>
        </w:rPr>
        <w:t>,</w:t>
      </w:r>
      <w:r>
        <w:rPr>
          <w:spacing w:val="32"/>
          <w:sz w:val="22"/>
        </w:rPr>
        <w:t> </w:t>
      </w:r>
      <w:r>
        <w:rPr>
          <w:sz w:val="22"/>
        </w:rPr>
        <w:t>donde</w:t>
      </w:r>
      <w:r>
        <w:rPr>
          <w:spacing w:val="30"/>
          <w:sz w:val="22"/>
        </w:rPr>
        <w:t> </w:t>
      </w:r>
      <w:r>
        <w:rPr>
          <w:sz w:val="22"/>
        </w:rPr>
        <w:t>el</w:t>
      </w:r>
      <w:r>
        <w:rPr>
          <w:spacing w:val="30"/>
          <w:sz w:val="22"/>
        </w:rPr>
        <w:t> </w:t>
      </w:r>
      <w:r>
        <w:rPr>
          <w:sz w:val="22"/>
        </w:rPr>
        <w:t>incremento</w:t>
      </w:r>
      <w:r>
        <w:rPr>
          <w:spacing w:val="29"/>
          <w:sz w:val="22"/>
        </w:rPr>
        <w:t> </w:t>
      </w:r>
      <w:r>
        <w:rPr>
          <w:sz w:val="22"/>
        </w:rPr>
        <w:t>de</w:t>
      </w:r>
      <w:r>
        <w:rPr>
          <w:spacing w:val="30"/>
          <w:sz w:val="22"/>
        </w:rPr>
        <w:t> </w:t>
      </w:r>
      <w:r>
        <w:rPr>
          <w:sz w:val="22"/>
        </w:rPr>
        <w:t>la demanda es mayor respecto de 2022, como se detalla en el gráfico siguiente.</w:t>
      </w:r>
    </w:p>
    <w:p>
      <w:pPr>
        <w:pStyle w:val="BodyText"/>
        <w:spacing w:before="108"/>
      </w:pPr>
    </w:p>
    <w:p>
      <w:pPr>
        <w:pStyle w:val="Heading4"/>
        <w:ind w:left="1477" w:right="1477"/>
      </w:pPr>
      <w:bookmarkStart w:name="_bookmark24" w:id="26"/>
      <w:bookmarkEnd w:id="26"/>
      <w:r>
        <w:rPr>
          <w:b w:val="0"/>
        </w:rPr>
      </w:r>
      <w:r>
        <w:rPr/>
        <w:t>GRÁFICO</w:t>
      </w:r>
      <w:r>
        <w:rPr>
          <w:spacing w:val="-4"/>
        </w:rPr>
        <w:t> </w:t>
      </w:r>
      <w:r>
        <w:rPr/>
        <w:t>4.</w:t>
      </w:r>
      <w:r>
        <w:rPr>
          <w:spacing w:val="-4"/>
        </w:rPr>
        <w:t> </w:t>
      </w:r>
      <w:r>
        <w:rPr/>
        <w:t>INCREMENTO</w:t>
      </w:r>
      <w:r>
        <w:rPr>
          <w:spacing w:val="-4"/>
        </w:rPr>
        <w:t> </w:t>
      </w:r>
      <w:r>
        <w:rPr/>
        <w:t>DE</w:t>
      </w:r>
      <w:r>
        <w:rPr>
          <w:spacing w:val="-3"/>
        </w:rPr>
        <w:t> </w:t>
      </w:r>
      <w:r>
        <w:rPr/>
        <w:t>USUARIOS</w:t>
      </w:r>
      <w:r>
        <w:rPr>
          <w:spacing w:val="-6"/>
        </w:rPr>
        <w:t> </w:t>
      </w:r>
      <w:r>
        <w:rPr/>
        <w:t>DEL</w:t>
      </w:r>
      <w:r>
        <w:rPr>
          <w:spacing w:val="-5"/>
        </w:rPr>
        <w:t> </w:t>
      </w:r>
      <w:r>
        <w:rPr/>
        <w:t>TRANSPORTE</w:t>
      </w:r>
      <w:r>
        <w:rPr>
          <w:spacing w:val="-6"/>
        </w:rPr>
        <w:t> </w:t>
      </w:r>
      <w:r>
        <w:rPr/>
        <w:t>PÚBLICO</w:t>
      </w:r>
      <w:r>
        <w:rPr>
          <w:spacing w:val="-4"/>
        </w:rPr>
        <w:t> </w:t>
      </w:r>
      <w:r>
        <w:rPr/>
        <w:t>AUTOBÚS </w:t>
      </w:r>
      <w:r>
        <w:rPr>
          <w:spacing w:val="-2"/>
        </w:rPr>
        <w:t>(2022-2024)</w:t>
      </w:r>
    </w:p>
    <w:p>
      <w:pPr>
        <w:pStyle w:val="BodyText"/>
        <w:spacing w:before="8"/>
        <w:rPr>
          <w:b/>
          <w:sz w:val="18"/>
        </w:rPr>
      </w:pPr>
      <w:r>
        <w:rPr>
          <w:b/>
          <w:sz w:val="18"/>
        </w:rPr>
        <w:drawing>
          <wp:anchor distT="0" distB="0" distL="0" distR="0" allowOverlap="1" layoutInCell="1" locked="0" behindDoc="1" simplePos="0" relativeHeight="487597568">
            <wp:simplePos x="0" y="0"/>
            <wp:positionH relativeFrom="page">
              <wp:posOffset>1710308</wp:posOffset>
            </wp:positionH>
            <wp:positionV relativeFrom="paragraph">
              <wp:posOffset>151969</wp:posOffset>
            </wp:positionV>
            <wp:extent cx="4166260" cy="2794635"/>
            <wp:effectExtent l="0" t="0" r="0" b="0"/>
            <wp:wrapTopAndBottom/>
            <wp:docPr id="127" name="Image 127"/>
            <wp:cNvGraphicFramePr>
              <a:graphicFrameLocks/>
            </wp:cNvGraphicFramePr>
            <a:graphic>
              <a:graphicData uri="http://schemas.openxmlformats.org/drawingml/2006/picture">
                <pic:pic>
                  <pic:nvPicPr>
                    <pic:cNvPr id="127" name="Image 127"/>
                    <pic:cNvPicPr/>
                  </pic:nvPicPr>
                  <pic:blipFill>
                    <a:blip r:embed="rId54" cstate="print"/>
                    <a:stretch>
                      <a:fillRect/>
                    </a:stretch>
                  </pic:blipFill>
                  <pic:spPr>
                    <a:xfrm>
                      <a:off x="0" y="0"/>
                      <a:ext cx="4166260" cy="2794635"/>
                    </a:xfrm>
                    <a:prstGeom prst="rect">
                      <a:avLst/>
                    </a:prstGeom>
                  </pic:spPr>
                </pic:pic>
              </a:graphicData>
            </a:graphic>
          </wp:anchor>
        </w:drawing>
      </w:r>
    </w:p>
    <w:p>
      <w:pPr>
        <w:spacing w:before="100"/>
        <w:ind w:left="2693"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3"/>
          <w:sz w:val="18"/>
        </w:rPr>
        <w:t> </w:t>
      </w:r>
      <w:r>
        <w:rPr>
          <w:rFonts w:ascii="Arial Narrow" w:hAnsi="Arial Narrow"/>
          <w:sz w:val="18"/>
        </w:rPr>
        <w:t>a</w:t>
      </w:r>
      <w:r>
        <w:rPr>
          <w:rFonts w:ascii="Arial Narrow" w:hAnsi="Arial Narrow"/>
          <w:spacing w:val="-2"/>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3"/>
          <w:sz w:val="18"/>
        </w:rPr>
        <w:t> </w:t>
      </w:r>
      <w:r>
        <w:rPr>
          <w:rFonts w:ascii="Arial Narrow" w:hAnsi="Arial Narrow"/>
          <w:sz w:val="18"/>
        </w:rPr>
        <w:t>los</w:t>
      </w:r>
      <w:r>
        <w:rPr>
          <w:rFonts w:ascii="Arial Narrow" w:hAnsi="Arial Narrow"/>
          <w:spacing w:val="-3"/>
          <w:sz w:val="18"/>
        </w:rPr>
        <w:t> </w:t>
      </w:r>
      <w:r>
        <w:rPr>
          <w:rFonts w:ascii="Arial Narrow" w:hAnsi="Arial Narrow"/>
          <w:sz w:val="18"/>
        </w:rPr>
        <w:t>datos</w:t>
      </w:r>
      <w:r>
        <w:rPr>
          <w:rFonts w:ascii="Arial Narrow" w:hAnsi="Arial Narrow"/>
          <w:spacing w:val="1"/>
          <w:sz w:val="18"/>
        </w:rPr>
        <w:t> </w:t>
      </w:r>
      <w:r>
        <w:rPr>
          <w:rFonts w:ascii="Arial Narrow" w:hAnsi="Arial Narrow"/>
          <w:sz w:val="18"/>
        </w:rPr>
        <w:t>facilitados</w:t>
      </w:r>
      <w:r>
        <w:rPr>
          <w:rFonts w:ascii="Arial Narrow" w:hAnsi="Arial Narrow"/>
          <w:spacing w:val="-2"/>
          <w:sz w:val="18"/>
        </w:rPr>
        <w:t> </w:t>
      </w:r>
      <w:r>
        <w:rPr>
          <w:rFonts w:ascii="Arial Narrow" w:hAnsi="Arial Narrow"/>
          <w:sz w:val="18"/>
        </w:rPr>
        <w:t>por</w:t>
      </w:r>
      <w:r>
        <w:rPr>
          <w:rFonts w:ascii="Arial Narrow" w:hAnsi="Arial Narrow"/>
          <w:spacing w:val="-1"/>
          <w:sz w:val="18"/>
        </w:rPr>
        <w:t> </w:t>
      </w:r>
      <w:r>
        <w:rPr>
          <w:rFonts w:ascii="Arial Narrow" w:hAnsi="Arial Narrow"/>
          <w:sz w:val="18"/>
        </w:rPr>
        <w:t>las</w:t>
      </w:r>
      <w:r>
        <w:rPr>
          <w:rFonts w:ascii="Arial Narrow" w:hAnsi="Arial Narrow"/>
          <w:spacing w:val="-3"/>
          <w:sz w:val="18"/>
        </w:rPr>
        <w:t> </w:t>
      </w:r>
      <w:r>
        <w:rPr>
          <w:rFonts w:ascii="Arial Narrow" w:hAnsi="Arial Narrow"/>
          <w:sz w:val="18"/>
        </w:rPr>
        <w:t>entidades</w:t>
      </w:r>
      <w:r>
        <w:rPr>
          <w:rFonts w:ascii="Arial Narrow" w:hAnsi="Arial Narrow"/>
          <w:spacing w:val="-2"/>
          <w:sz w:val="18"/>
        </w:rPr>
        <w:t> fiscalizadas</w:t>
      </w:r>
    </w:p>
    <w:p>
      <w:pPr>
        <w:pStyle w:val="BodyText"/>
        <w:spacing w:before="154"/>
        <w:rPr>
          <w:rFonts w:ascii="Arial Narrow"/>
          <w:sz w:val="18"/>
        </w:rPr>
      </w:pPr>
    </w:p>
    <w:p>
      <w:pPr>
        <w:pStyle w:val="BodyText"/>
        <w:ind w:left="850" w:right="907"/>
      </w:pPr>
      <w:r>
        <w:rPr/>
        <w:t>Este</w:t>
      </w:r>
      <w:r>
        <w:rPr>
          <w:spacing w:val="-14"/>
        </w:rPr>
        <w:t> </w:t>
      </w:r>
      <w:r>
        <w:rPr/>
        <w:t>incremento</w:t>
      </w:r>
      <w:r>
        <w:rPr>
          <w:spacing w:val="-14"/>
        </w:rPr>
        <w:t> </w:t>
      </w:r>
      <w:r>
        <w:rPr/>
        <w:t>de</w:t>
      </w:r>
      <w:r>
        <w:rPr>
          <w:spacing w:val="-14"/>
        </w:rPr>
        <w:t> </w:t>
      </w:r>
      <w:r>
        <w:rPr/>
        <w:t>la</w:t>
      </w:r>
      <w:r>
        <w:rPr>
          <w:spacing w:val="-14"/>
        </w:rPr>
        <w:t> </w:t>
      </w:r>
      <w:r>
        <w:rPr/>
        <w:t>demanda</w:t>
      </w:r>
      <w:r>
        <w:rPr>
          <w:spacing w:val="-14"/>
        </w:rPr>
        <w:t> </w:t>
      </w:r>
      <w:r>
        <w:rPr/>
        <w:t>se</w:t>
      </w:r>
      <w:r>
        <w:rPr>
          <w:spacing w:val="-14"/>
        </w:rPr>
        <w:t> </w:t>
      </w:r>
      <w:r>
        <w:rPr/>
        <w:t>debe,</w:t>
      </w:r>
      <w:r>
        <w:rPr>
          <w:spacing w:val="-12"/>
        </w:rPr>
        <w:t> </w:t>
      </w:r>
      <w:r>
        <w:rPr/>
        <w:t>entre</w:t>
      </w:r>
      <w:r>
        <w:rPr>
          <w:spacing w:val="-12"/>
        </w:rPr>
        <w:t> </w:t>
      </w:r>
      <w:r>
        <w:rPr/>
        <w:t>otros</w:t>
      </w:r>
      <w:r>
        <w:rPr>
          <w:spacing w:val="-14"/>
        </w:rPr>
        <w:t> </w:t>
      </w:r>
      <w:r>
        <w:rPr/>
        <w:t>motivos,</w:t>
      </w:r>
      <w:r>
        <w:rPr>
          <w:spacing w:val="-12"/>
        </w:rPr>
        <w:t> </w:t>
      </w:r>
      <w:r>
        <w:rPr/>
        <w:t>a</w:t>
      </w:r>
      <w:r>
        <w:rPr>
          <w:spacing w:val="-14"/>
        </w:rPr>
        <w:t> </w:t>
      </w:r>
      <w:r>
        <w:rPr/>
        <w:t>la</w:t>
      </w:r>
      <w:r>
        <w:rPr>
          <w:spacing w:val="-14"/>
        </w:rPr>
        <w:t> </w:t>
      </w:r>
      <w:r>
        <w:rPr/>
        <w:t>superación</w:t>
      </w:r>
      <w:r>
        <w:rPr>
          <w:spacing w:val="-14"/>
        </w:rPr>
        <w:t> </w:t>
      </w:r>
      <w:r>
        <w:rPr/>
        <w:t>de</w:t>
      </w:r>
      <w:r>
        <w:rPr>
          <w:spacing w:val="-14"/>
        </w:rPr>
        <w:t> </w:t>
      </w:r>
      <w:r>
        <w:rPr/>
        <w:t>la</w:t>
      </w:r>
      <w:r>
        <w:rPr>
          <w:spacing w:val="-14"/>
        </w:rPr>
        <w:t> </w:t>
      </w:r>
      <w:r>
        <w:rPr/>
        <w:t>pandemia</w:t>
      </w:r>
      <w:r>
        <w:rPr>
          <w:spacing w:val="-14"/>
        </w:rPr>
        <w:t> </w:t>
      </w:r>
      <w:r>
        <w:rPr/>
        <w:t>COVID-19</w:t>
      </w:r>
      <w:r>
        <w:rPr>
          <w:spacing w:val="1"/>
        </w:rPr>
        <w:t> </w:t>
      </w:r>
      <w:r>
        <w:rPr/>
        <w:t>y</w:t>
      </w:r>
      <w:r>
        <w:rPr>
          <w:spacing w:val="1"/>
        </w:rPr>
        <w:t> </w:t>
      </w:r>
      <w:r>
        <w:rPr/>
        <w:t>a las políticas tarifarias</w:t>
      </w:r>
      <w:r>
        <w:rPr>
          <w:spacing w:val="1"/>
        </w:rPr>
        <w:t> </w:t>
      </w:r>
      <w:r>
        <w:rPr/>
        <w:t>llevadas a cabo por</w:t>
      </w:r>
      <w:r>
        <w:rPr>
          <w:spacing w:val="2"/>
        </w:rPr>
        <w:t> </w:t>
      </w:r>
      <w:r>
        <w:rPr/>
        <w:t>los</w:t>
      </w:r>
      <w:r>
        <w:rPr>
          <w:spacing w:val="1"/>
        </w:rPr>
        <w:t> </w:t>
      </w:r>
      <w:r>
        <w:rPr/>
        <w:t>ayuntamientos</w:t>
      </w:r>
      <w:r>
        <w:rPr>
          <w:spacing w:val="-2"/>
        </w:rPr>
        <w:t> </w:t>
      </w:r>
      <w:r>
        <w:rPr/>
        <w:t>fiscalizados,</w:t>
      </w:r>
      <w:r>
        <w:rPr>
          <w:spacing w:val="3"/>
        </w:rPr>
        <w:t> </w:t>
      </w:r>
      <w:r>
        <w:rPr/>
        <w:t>al</w:t>
      </w:r>
      <w:r>
        <w:rPr>
          <w:spacing w:val="-1"/>
        </w:rPr>
        <w:t> </w:t>
      </w:r>
      <w:r>
        <w:rPr/>
        <w:t>acogerse, </w:t>
      </w:r>
      <w:r>
        <w:rPr>
          <w:spacing w:val="-2"/>
        </w:rPr>
        <w:t>desde</w:t>
      </w:r>
    </w:p>
    <w:p>
      <w:pPr>
        <w:pStyle w:val="BodyText"/>
        <w:spacing w:after="0"/>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850" w:right="988"/>
        <w:jc w:val="both"/>
      </w:pPr>
      <w:r>
        <w:rPr/>
        <w:t>el</w:t>
      </w:r>
      <w:r>
        <w:rPr>
          <w:spacing w:val="-16"/>
        </w:rPr>
        <w:t> </w:t>
      </w:r>
      <w:r>
        <w:rPr/>
        <w:t>mes</w:t>
      </w:r>
      <w:r>
        <w:rPr>
          <w:spacing w:val="-15"/>
        </w:rPr>
        <w:t> </w:t>
      </w:r>
      <w:r>
        <w:rPr/>
        <w:t>de</w:t>
      </w:r>
      <w:r>
        <w:rPr>
          <w:spacing w:val="-15"/>
        </w:rPr>
        <w:t> </w:t>
      </w:r>
      <w:r>
        <w:rPr/>
        <w:t>septiembre</w:t>
      </w:r>
      <w:r>
        <w:rPr>
          <w:spacing w:val="-16"/>
        </w:rPr>
        <w:t> </w:t>
      </w:r>
      <w:r>
        <w:rPr/>
        <w:t>de</w:t>
      </w:r>
      <w:r>
        <w:rPr>
          <w:spacing w:val="-15"/>
        </w:rPr>
        <w:t> </w:t>
      </w:r>
      <w:r>
        <w:rPr/>
        <w:t>2022</w:t>
      </w:r>
      <w:r>
        <w:rPr>
          <w:spacing w:val="-15"/>
        </w:rPr>
        <w:t> </w:t>
      </w:r>
      <w:r>
        <w:rPr/>
        <w:t>y</w:t>
      </w:r>
      <w:r>
        <w:rPr>
          <w:spacing w:val="-15"/>
        </w:rPr>
        <w:t> </w:t>
      </w:r>
      <w:r>
        <w:rPr/>
        <w:t>durante</w:t>
      </w:r>
      <w:r>
        <w:rPr>
          <w:spacing w:val="-16"/>
        </w:rPr>
        <w:t> </w:t>
      </w:r>
      <w:r>
        <w:rPr/>
        <w:t>todo</w:t>
      </w:r>
      <w:r>
        <w:rPr>
          <w:spacing w:val="-15"/>
        </w:rPr>
        <w:t> </w:t>
      </w:r>
      <w:r>
        <w:rPr/>
        <w:t>el</w:t>
      </w:r>
      <w:r>
        <w:rPr>
          <w:spacing w:val="-15"/>
        </w:rPr>
        <w:t> </w:t>
      </w:r>
      <w:r>
        <w:rPr/>
        <w:t>periodo</w:t>
      </w:r>
      <w:r>
        <w:rPr>
          <w:spacing w:val="-16"/>
        </w:rPr>
        <w:t> </w:t>
      </w:r>
      <w:r>
        <w:rPr/>
        <w:t>fiscalizado,</w:t>
      </w:r>
      <w:r>
        <w:rPr>
          <w:spacing w:val="-15"/>
        </w:rPr>
        <w:t> </w:t>
      </w:r>
      <w:r>
        <w:rPr/>
        <w:t>a</w:t>
      </w:r>
      <w:r>
        <w:rPr>
          <w:spacing w:val="-15"/>
        </w:rPr>
        <w:t> </w:t>
      </w:r>
      <w:r>
        <w:rPr/>
        <w:t>las</w:t>
      </w:r>
      <w:r>
        <w:rPr>
          <w:spacing w:val="-15"/>
        </w:rPr>
        <w:t> </w:t>
      </w:r>
      <w:r>
        <w:rPr/>
        <w:t>ayudas</w:t>
      </w:r>
      <w:r>
        <w:rPr>
          <w:spacing w:val="-16"/>
        </w:rPr>
        <w:t> </w:t>
      </w:r>
      <w:r>
        <w:rPr/>
        <w:t>directas</w:t>
      </w:r>
      <w:r>
        <w:rPr>
          <w:spacing w:val="-15"/>
        </w:rPr>
        <w:t> </w:t>
      </w:r>
      <w:r>
        <w:rPr/>
        <w:t>al</w:t>
      </w:r>
      <w:r>
        <w:rPr>
          <w:spacing w:val="-15"/>
        </w:rPr>
        <w:t> </w:t>
      </w:r>
      <w:r>
        <w:rPr/>
        <w:t>transporte de</w:t>
      </w:r>
      <w:r>
        <w:rPr>
          <w:spacing w:val="-3"/>
        </w:rPr>
        <w:t> </w:t>
      </w:r>
      <w:r>
        <w:rPr/>
        <w:t>viajeros</w:t>
      </w:r>
      <w:r>
        <w:rPr>
          <w:spacing w:val="-5"/>
        </w:rPr>
        <w:t> </w:t>
      </w:r>
      <w:r>
        <w:rPr/>
        <w:t>reguladas</w:t>
      </w:r>
      <w:r>
        <w:rPr>
          <w:spacing w:val="-3"/>
        </w:rPr>
        <w:t> </w:t>
      </w:r>
      <w:r>
        <w:rPr/>
        <w:t>en</w:t>
      </w:r>
      <w:r>
        <w:rPr>
          <w:spacing w:val="-5"/>
        </w:rPr>
        <w:t> </w:t>
      </w:r>
      <w:r>
        <w:rPr/>
        <w:t>los</w:t>
      </w:r>
      <w:r>
        <w:rPr>
          <w:spacing w:val="-3"/>
        </w:rPr>
        <w:t> </w:t>
      </w:r>
      <w:r>
        <w:rPr/>
        <w:t>Reales</w:t>
      </w:r>
      <w:r>
        <w:rPr>
          <w:spacing w:val="-2"/>
        </w:rPr>
        <w:t> </w:t>
      </w:r>
      <w:r>
        <w:rPr/>
        <w:t>Decreto-leyes</w:t>
      </w:r>
      <w:r>
        <w:rPr>
          <w:spacing w:val="-2"/>
        </w:rPr>
        <w:t> </w:t>
      </w:r>
      <w:r>
        <w:rPr/>
        <w:t>aprobados</w:t>
      </w:r>
      <w:r>
        <w:rPr>
          <w:spacing w:val="-2"/>
        </w:rPr>
        <w:t> </w:t>
      </w:r>
      <w:r>
        <w:rPr/>
        <w:t>para</w:t>
      </w:r>
      <w:r>
        <w:rPr>
          <w:spacing w:val="-2"/>
        </w:rPr>
        <w:t> </w:t>
      </w:r>
      <w:r>
        <w:rPr/>
        <w:t>hacer</w:t>
      </w:r>
      <w:r>
        <w:rPr>
          <w:spacing w:val="-4"/>
        </w:rPr>
        <w:t> </w:t>
      </w:r>
      <w:r>
        <w:rPr/>
        <w:t>frente</w:t>
      </w:r>
      <w:r>
        <w:rPr>
          <w:spacing w:val="-5"/>
        </w:rPr>
        <w:t> </w:t>
      </w:r>
      <w:r>
        <w:rPr/>
        <w:t>a</w:t>
      </w:r>
      <w:r>
        <w:rPr>
          <w:spacing w:val="-3"/>
        </w:rPr>
        <w:t> </w:t>
      </w:r>
      <w:r>
        <w:rPr/>
        <w:t>las</w:t>
      </w:r>
      <w:r>
        <w:rPr>
          <w:spacing w:val="-5"/>
        </w:rPr>
        <w:t> </w:t>
      </w:r>
      <w:r>
        <w:rPr/>
        <w:t>consecuencias económicas y sociales de la guerra en Ucrania y Oriente Próximo, a situaciones de vulnerabilidad social y económica, y para la recuperación económica y social de la isla de La Palma</w:t>
      </w:r>
      <w:hyperlink w:history="true" w:anchor="_bookmark25">
        <w:r>
          <w:rPr>
            <w:vertAlign w:val="superscript"/>
          </w:rPr>
          <w:t>9</w:t>
        </w:r>
      </w:hyperlink>
      <w:r>
        <w:rPr>
          <w:vertAlign w:val="baseline"/>
        </w:rPr>
        <w:t>.</w:t>
      </w:r>
    </w:p>
    <w:p>
      <w:pPr>
        <w:pStyle w:val="BodyText"/>
        <w:spacing w:before="241"/>
        <w:ind w:left="850" w:right="990"/>
        <w:jc w:val="both"/>
      </w:pPr>
      <w:r>
        <w:rPr/>
        <w:t>Esta</w:t>
      </w:r>
      <w:r>
        <w:rPr>
          <w:spacing w:val="-4"/>
        </w:rPr>
        <w:t> </w:t>
      </w:r>
      <w:r>
        <w:rPr/>
        <w:t>normativa</w:t>
      </w:r>
      <w:r>
        <w:rPr>
          <w:spacing w:val="-4"/>
        </w:rPr>
        <w:t> </w:t>
      </w:r>
      <w:r>
        <w:rPr/>
        <w:t>establece</w:t>
      </w:r>
      <w:r>
        <w:rPr>
          <w:spacing w:val="-1"/>
        </w:rPr>
        <w:t> </w:t>
      </w:r>
      <w:r>
        <w:rPr/>
        <w:t>un</w:t>
      </w:r>
      <w:r>
        <w:rPr>
          <w:spacing w:val="-4"/>
        </w:rPr>
        <w:t> </w:t>
      </w:r>
      <w:r>
        <w:rPr/>
        <w:t>sistema</w:t>
      </w:r>
      <w:r>
        <w:rPr>
          <w:spacing w:val="-4"/>
        </w:rPr>
        <w:t> </w:t>
      </w:r>
      <w:r>
        <w:rPr/>
        <w:t>de</w:t>
      </w:r>
      <w:r>
        <w:rPr>
          <w:spacing w:val="-4"/>
        </w:rPr>
        <w:t> </w:t>
      </w:r>
      <w:r>
        <w:rPr/>
        <w:t>ayudas</w:t>
      </w:r>
      <w:r>
        <w:rPr>
          <w:spacing w:val="-6"/>
        </w:rPr>
        <w:t> </w:t>
      </w:r>
      <w:r>
        <w:rPr/>
        <w:t>directas</w:t>
      </w:r>
      <w:r>
        <w:rPr>
          <w:spacing w:val="-4"/>
        </w:rPr>
        <w:t> </w:t>
      </w:r>
      <w:r>
        <w:rPr/>
        <w:t>para</w:t>
      </w:r>
      <w:r>
        <w:rPr>
          <w:spacing w:val="-4"/>
        </w:rPr>
        <w:t> </w:t>
      </w:r>
      <w:r>
        <w:rPr/>
        <w:t>la</w:t>
      </w:r>
      <w:r>
        <w:rPr>
          <w:spacing w:val="-4"/>
        </w:rPr>
        <w:t> </w:t>
      </w:r>
      <w:r>
        <w:rPr/>
        <w:t>concesión</w:t>
      </w:r>
      <w:r>
        <w:rPr>
          <w:spacing w:val="-2"/>
        </w:rPr>
        <w:t> </w:t>
      </w:r>
      <w:r>
        <w:rPr/>
        <w:t>de</w:t>
      </w:r>
      <w:r>
        <w:rPr>
          <w:spacing w:val="-4"/>
        </w:rPr>
        <w:t> </w:t>
      </w:r>
      <w:r>
        <w:rPr/>
        <w:t>apoyo</w:t>
      </w:r>
      <w:r>
        <w:rPr>
          <w:spacing w:val="-7"/>
        </w:rPr>
        <w:t> </w:t>
      </w:r>
      <w:r>
        <w:rPr/>
        <w:t>financiero</w:t>
      </w:r>
      <w:r>
        <w:rPr>
          <w:spacing w:val="-4"/>
        </w:rPr>
        <w:t> </w:t>
      </w:r>
      <w:r>
        <w:rPr/>
        <w:t>a</w:t>
      </w:r>
      <w:r>
        <w:rPr>
          <w:spacing w:val="-4"/>
        </w:rPr>
        <w:t> </w:t>
      </w:r>
      <w:r>
        <w:rPr/>
        <w:t>las entidades</w:t>
      </w:r>
      <w:r>
        <w:rPr>
          <w:spacing w:val="-16"/>
        </w:rPr>
        <w:t> </w:t>
      </w:r>
      <w:r>
        <w:rPr/>
        <w:t>locales</w:t>
      </w:r>
      <w:r>
        <w:rPr>
          <w:spacing w:val="-14"/>
        </w:rPr>
        <w:t> </w:t>
      </w:r>
      <w:r>
        <w:rPr/>
        <w:t>(también</w:t>
      </w:r>
      <w:r>
        <w:rPr>
          <w:spacing w:val="-15"/>
        </w:rPr>
        <w:t> </w:t>
      </w:r>
      <w:r>
        <w:rPr/>
        <w:t>a</w:t>
      </w:r>
      <w:r>
        <w:rPr>
          <w:spacing w:val="-15"/>
        </w:rPr>
        <w:t> </w:t>
      </w:r>
      <w:r>
        <w:rPr/>
        <w:t>comunidades</w:t>
      </w:r>
      <w:r>
        <w:rPr>
          <w:spacing w:val="-14"/>
        </w:rPr>
        <w:t> </w:t>
      </w:r>
      <w:r>
        <w:rPr/>
        <w:t>autónomas</w:t>
      </w:r>
      <w:r>
        <w:rPr>
          <w:spacing w:val="-14"/>
        </w:rPr>
        <w:t> </w:t>
      </w:r>
      <w:r>
        <w:rPr/>
        <w:t>y</w:t>
      </w:r>
      <w:r>
        <w:rPr>
          <w:spacing w:val="-16"/>
        </w:rPr>
        <w:t> </w:t>
      </w:r>
      <w:r>
        <w:rPr/>
        <w:t>entes</w:t>
      </w:r>
      <w:r>
        <w:rPr>
          <w:spacing w:val="-15"/>
        </w:rPr>
        <w:t> </w:t>
      </w:r>
      <w:r>
        <w:rPr/>
        <w:t>locales</w:t>
      </w:r>
      <w:r>
        <w:rPr>
          <w:spacing w:val="-14"/>
        </w:rPr>
        <w:t> </w:t>
      </w:r>
      <w:r>
        <w:rPr/>
        <w:t>supramunicipales</w:t>
      </w:r>
      <w:r>
        <w:rPr>
          <w:spacing w:val="-14"/>
        </w:rPr>
        <w:t> </w:t>
      </w:r>
      <w:r>
        <w:rPr/>
        <w:t>que</w:t>
      </w:r>
      <w:r>
        <w:rPr>
          <w:spacing w:val="-15"/>
        </w:rPr>
        <w:t> </w:t>
      </w:r>
      <w:r>
        <w:rPr/>
        <w:t>agrupen varios municipios) que presten servicio de transporte colectivo urbano o interurbano. Esta ayuda permite</w:t>
      </w:r>
      <w:r>
        <w:rPr>
          <w:spacing w:val="-2"/>
        </w:rPr>
        <w:t> </w:t>
      </w:r>
      <w:r>
        <w:rPr/>
        <w:t>bonificar</w:t>
      </w:r>
      <w:r>
        <w:rPr>
          <w:spacing w:val="-1"/>
        </w:rPr>
        <w:t> </w:t>
      </w:r>
      <w:r>
        <w:rPr/>
        <w:t>el</w:t>
      </w:r>
      <w:r>
        <w:rPr>
          <w:spacing w:val="-1"/>
        </w:rPr>
        <w:t> </w:t>
      </w:r>
      <w:r>
        <w:rPr/>
        <w:t>30</w:t>
      </w:r>
      <w:r>
        <w:rPr>
          <w:spacing w:val="-4"/>
        </w:rPr>
        <w:t> </w:t>
      </w:r>
      <w:r>
        <w:rPr/>
        <w:t>%</w:t>
      </w:r>
      <w:r>
        <w:rPr>
          <w:spacing w:val="-1"/>
        </w:rPr>
        <w:t> </w:t>
      </w:r>
      <w:r>
        <w:rPr/>
        <w:t>del precio</w:t>
      </w:r>
      <w:r>
        <w:rPr>
          <w:spacing w:val="-2"/>
        </w:rPr>
        <w:t> </w:t>
      </w:r>
      <w:r>
        <w:rPr/>
        <w:t>del</w:t>
      </w:r>
      <w:r>
        <w:rPr>
          <w:spacing w:val="-2"/>
        </w:rPr>
        <w:t> </w:t>
      </w:r>
      <w:r>
        <w:rPr/>
        <w:t>transporte</w:t>
      </w:r>
      <w:r>
        <w:rPr>
          <w:spacing w:val="-2"/>
        </w:rPr>
        <w:t> </w:t>
      </w:r>
      <w:r>
        <w:rPr/>
        <w:t>urbano</w:t>
      </w:r>
      <w:r>
        <w:rPr>
          <w:spacing w:val="-2"/>
        </w:rPr>
        <w:t> </w:t>
      </w:r>
      <w:r>
        <w:rPr/>
        <w:t>e</w:t>
      </w:r>
      <w:r>
        <w:rPr>
          <w:spacing w:val="-2"/>
        </w:rPr>
        <w:t> </w:t>
      </w:r>
      <w:r>
        <w:rPr/>
        <w:t>interurbano de</w:t>
      </w:r>
      <w:r>
        <w:rPr>
          <w:spacing w:val="-2"/>
        </w:rPr>
        <w:t> </w:t>
      </w:r>
      <w:r>
        <w:rPr/>
        <w:t>competencia</w:t>
      </w:r>
      <w:r>
        <w:rPr>
          <w:spacing w:val="-2"/>
        </w:rPr>
        <w:t> </w:t>
      </w:r>
      <w:r>
        <w:rPr/>
        <w:t>autonómica o municipal para aquellas comunidades y ayuntamientos que acordasen una bonificación adicional del</w:t>
      </w:r>
      <w:r>
        <w:rPr>
          <w:spacing w:val="-16"/>
        </w:rPr>
        <w:t> </w:t>
      </w:r>
      <w:r>
        <w:rPr/>
        <w:t>20</w:t>
      </w:r>
      <w:r>
        <w:rPr>
          <w:spacing w:val="-15"/>
        </w:rPr>
        <w:t> </w:t>
      </w:r>
      <w:r>
        <w:rPr/>
        <w:t>%.</w:t>
      </w:r>
      <w:r>
        <w:rPr>
          <w:spacing w:val="-15"/>
        </w:rPr>
        <w:t> </w:t>
      </w:r>
      <w:r>
        <w:rPr/>
        <w:t>Con</w:t>
      </w:r>
      <w:r>
        <w:rPr>
          <w:spacing w:val="-16"/>
        </w:rPr>
        <w:t> </w:t>
      </w:r>
      <w:r>
        <w:rPr/>
        <w:t>ello,</w:t>
      </w:r>
      <w:r>
        <w:rPr>
          <w:spacing w:val="-15"/>
        </w:rPr>
        <w:t> </w:t>
      </w:r>
      <w:r>
        <w:rPr/>
        <w:t>se</w:t>
      </w:r>
      <w:r>
        <w:rPr>
          <w:spacing w:val="-15"/>
        </w:rPr>
        <w:t> </w:t>
      </w:r>
      <w:r>
        <w:rPr/>
        <w:t>puede</w:t>
      </w:r>
      <w:r>
        <w:rPr>
          <w:spacing w:val="-15"/>
        </w:rPr>
        <w:t> </w:t>
      </w:r>
      <w:r>
        <w:rPr/>
        <w:t>alcanzar</w:t>
      </w:r>
      <w:r>
        <w:rPr>
          <w:spacing w:val="-16"/>
        </w:rPr>
        <w:t> </w:t>
      </w:r>
      <w:r>
        <w:rPr/>
        <w:t>una</w:t>
      </w:r>
      <w:r>
        <w:rPr>
          <w:spacing w:val="-15"/>
        </w:rPr>
        <w:t> </w:t>
      </w:r>
      <w:r>
        <w:rPr/>
        <w:t>bonificación</w:t>
      </w:r>
      <w:r>
        <w:rPr>
          <w:spacing w:val="-13"/>
        </w:rPr>
        <w:t> </w:t>
      </w:r>
      <w:r>
        <w:rPr/>
        <w:t>del</w:t>
      </w:r>
      <w:r>
        <w:rPr>
          <w:spacing w:val="-16"/>
        </w:rPr>
        <w:t> </w:t>
      </w:r>
      <w:r>
        <w:rPr/>
        <w:t>50</w:t>
      </w:r>
      <w:r>
        <w:rPr>
          <w:spacing w:val="-15"/>
        </w:rPr>
        <w:t> </w:t>
      </w:r>
      <w:r>
        <w:rPr/>
        <w:t>%</w:t>
      </w:r>
      <w:r>
        <w:rPr>
          <w:spacing w:val="-14"/>
        </w:rPr>
        <w:t> </w:t>
      </w:r>
      <w:r>
        <w:rPr/>
        <w:t>del</w:t>
      </w:r>
      <w:r>
        <w:rPr>
          <w:spacing w:val="-16"/>
        </w:rPr>
        <w:t> </w:t>
      </w:r>
      <w:r>
        <w:rPr/>
        <w:t>precio</w:t>
      </w:r>
      <w:r>
        <w:rPr>
          <w:spacing w:val="-15"/>
        </w:rPr>
        <w:t> </w:t>
      </w:r>
      <w:r>
        <w:rPr/>
        <w:t>para</w:t>
      </w:r>
      <w:r>
        <w:rPr>
          <w:spacing w:val="-15"/>
        </w:rPr>
        <w:t> </w:t>
      </w:r>
      <w:r>
        <w:rPr/>
        <w:t>los</w:t>
      </w:r>
      <w:r>
        <w:rPr>
          <w:spacing w:val="-13"/>
        </w:rPr>
        <w:t> </w:t>
      </w:r>
      <w:r>
        <w:rPr/>
        <w:t>viajeros</w:t>
      </w:r>
      <w:r>
        <w:rPr>
          <w:spacing w:val="-15"/>
        </w:rPr>
        <w:t> </w:t>
      </w:r>
      <w:r>
        <w:rPr/>
        <w:t>habituales en transporte público en todo el territorio nacional.</w:t>
      </w:r>
    </w:p>
    <w:p>
      <w:pPr>
        <w:pStyle w:val="BodyText"/>
        <w:spacing w:before="241"/>
        <w:ind w:left="850" w:right="988"/>
        <w:jc w:val="both"/>
      </w:pPr>
      <w:r>
        <w:rPr/>
        <w:t>En el caso de las Islas Canarias y Baleares la bonificación alcanza el 100 % en el precio de los abonos de transporte y títulos multiviaje para viajeros habituales del transporte público colectivo terrestre. La gratuidad del transporte en las islas ha originado un importante incremento del número de viajeros que ha llevado a las entidades locales a utilizar algunos autobuses con 25 años de antigüedad para poder atender a esa demanda, vehículos, en su mayoría diésel y, por tanto, no sostenibles medioambientalmente.</w:t>
      </w:r>
    </w:p>
    <w:p>
      <w:pPr>
        <w:pStyle w:val="BodyText"/>
        <w:spacing w:before="239"/>
        <w:ind w:left="850" w:right="988"/>
        <w:jc w:val="both"/>
      </w:pPr>
      <w:r>
        <w:rPr/>
        <w:t>Otros factores que han intervenido en ese incremento de la demanda son la llevanza de políticas dirigidas a fomentar el uso del transporte público</w:t>
      </w:r>
      <w:hyperlink w:history="true" w:anchor="_bookmark26">
        <w:r>
          <w:rPr>
            <w:vertAlign w:val="superscript"/>
          </w:rPr>
          <w:t>10</w:t>
        </w:r>
      </w:hyperlink>
      <w:r>
        <w:rPr>
          <w:vertAlign w:val="baseline"/>
        </w:rPr>
        <w:t>, el aumento del coste de otros medios de transporte,</w:t>
      </w:r>
      <w:r>
        <w:rPr>
          <w:spacing w:val="-6"/>
          <w:vertAlign w:val="baseline"/>
        </w:rPr>
        <w:t> </w:t>
      </w:r>
      <w:r>
        <w:rPr>
          <w:vertAlign w:val="baseline"/>
        </w:rPr>
        <w:t>el</w:t>
      </w:r>
      <w:r>
        <w:rPr>
          <w:spacing w:val="-8"/>
          <w:vertAlign w:val="baseline"/>
        </w:rPr>
        <w:t> </w:t>
      </w:r>
      <w:r>
        <w:rPr>
          <w:vertAlign w:val="baseline"/>
        </w:rPr>
        <w:t>crecimiento</w:t>
      </w:r>
      <w:r>
        <w:rPr>
          <w:spacing w:val="-5"/>
          <w:vertAlign w:val="baseline"/>
        </w:rPr>
        <w:t> </w:t>
      </w:r>
      <w:r>
        <w:rPr>
          <w:vertAlign w:val="baseline"/>
        </w:rPr>
        <w:t>poblacional</w:t>
      </w:r>
      <w:r>
        <w:rPr>
          <w:spacing w:val="-6"/>
          <w:vertAlign w:val="baseline"/>
        </w:rPr>
        <w:t> </w:t>
      </w:r>
      <w:r>
        <w:rPr>
          <w:vertAlign w:val="baseline"/>
        </w:rPr>
        <w:t>así</w:t>
      </w:r>
      <w:r>
        <w:rPr>
          <w:spacing w:val="-6"/>
          <w:vertAlign w:val="baseline"/>
        </w:rPr>
        <w:t> </w:t>
      </w:r>
      <w:r>
        <w:rPr>
          <w:vertAlign w:val="baseline"/>
        </w:rPr>
        <w:t>como</w:t>
      </w:r>
      <w:r>
        <w:rPr>
          <w:spacing w:val="-7"/>
          <w:vertAlign w:val="baseline"/>
        </w:rPr>
        <w:t> </w:t>
      </w:r>
      <w:r>
        <w:rPr>
          <w:vertAlign w:val="baseline"/>
        </w:rPr>
        <w:t>las</w:t>
      </w:r>
      <w:r>
        <w:rPr>
          <w:spacing w:val="-7"/>
          <w:vertAlign w:val="baseline"/>
        </w:rPr>
        <w:t> </w:t>
      </w:r>
      <w:r>
        <w:rPr>
          <w:vertAlign w:val="baseline"/>
        </w:rPr>
        <w:t>mejoras</w:t>
      </w:r>
      <w:r>
        <w:rPr>
          <w:spacing w:val="-7"/>
          <w:vertAlign w:val="baseline"/>
        </w:rPr>
        <w:t> </w:t>
      </w:r>
      <w:r>
        <w:rPr>
          <w:vertAlign w:val="baseline"/>
        </w:rPr>
        <w:t>en</w:t>
      </w:r>
      <w:r>
        <w:rPr>
          <w:spacing w:val="-5"/>
          <w:vertAlign w:val="baseline"/>
        </w:rPr>
        <w:t> </w:t>
      </w:r>
      <w:r>
        <w:rPr>
          <w:vertAlign w:val="baseline"/>
        </w:rPr>
        <w:t>la</w:t>
      </w:r>
      <w:r>
        <w:rPr>
          <w:spacing w:val="-7"/>
          <w:vertAlign w:val="baseline"/>
        </w:rPr>
        <w:t> </w:t>
      </w:r>
      <w:r>
        <w:rPr>
          <w:vertAlign w:val="baseline"/>
        </w:rPr>
        <w:t>prestación</w:t>
      </w:r>
      <w:r>
        <w:rPr>
          <w:spacing w:val="-5"/>
          <w:vertAlign w:val="baseline"/>
        </w:rPr>
        <w:t> </w:t>
      </w:r>
      <w:r>
        <w:rPr>
          <w:vertAlign w:val="baseline"/>
        </w:rPr>
        <w:t>del</w:t>
      </w:r>
      <w:r>
        <w:rPr>
          <w:spacing w:val="-8"/>
          <w:vertAlign w:val="baseline"/>
        </w:rPr>
        <w:t> </w:t>
      </w:r>
      <w:r>
        <w:rPr>
          <w:vertAlign w:val="baseline"/>
        </w:rPr>
        <w:t>servicio</w:t>
      </w:r>
      <w:r>
        <w:rPr>
          <w:spacing w:val="-7"/>
          <w:vertAlign w:val="baseline"/>
        </w:rPr>
        <w:t> </w:t>
      </w:r>
      <w:r>
        <w:rPr>
          <w:rFonts w:ascii="Symbol" w:hAnsi="Symbol"/>
          <w:vertAlign w:val="baseline"/>
        </w:rPr>
        <w:t></w:t>
      </w:r>
      <w:r>
        <w:rPr>
          <w:vertAlign w:val="baseline"/>
        </w:rPr>
        <w:t>mejoras</w:t>
      </w:r>
      <w:r>
        <w:rPr>
          <w:spacing w:val="-8"/>
          <w:vertAlign w:val="baseline"/>
        </w:rPr>
        <w:t> </w:t>
      </w:r>
      <w:r>
        <w:rPr>
          <w:vertAlign w:val="baseline"/>
        </w:rPr>
        <w:t>en la frecuencia y en la cobertura geográfica, la intermodalidad, el transporte a demanda, …</w:t>
      </w:r>
      <w:r>
        <w:rPr>
          <w:rFonts w:ascii="Symbol" w:hAnsi="Symbol"/>
          <w:vertAlign w:val="baseline"/>
        </w:rPr>
        <w:t></w:t>
      </w:r>
      <w:r>
        <w:rPr>
          <w:rFonts w:ascii="Times New Roman" w:hAnsi="Times New Roman"/>
          <w:vertAlign w:val="baseline"/>
        </w:rPr>
        <w:t> </w:t>
      </w:r>
      <w:r>
        <w:rPr>
          <w:vertAlign w:val="baseline"/>
        </w:rPr>
        <w:t>.</w:t>
      </w:r>
    </w:p>
    <w:p>
      <w:pPr>
        <w:pStyle w:val="BodyText"/>
        <w:spacing w:before="242"/>
        <w:ind w:left="850" w:right="993"/>
        <w:jc w:val="both"/>
      </w:pPr>
      <w:r>
        <w:rPr/>
        <w:t>En el </w:t>
      </w:r>
      <w:hyperlink w:history="true" w:anchor="_bookmark134">
        <w:r>
          <w:rPr/>
          <w:t>Anexo V</w:t>
        </w:r>
      </w:hyperlink>
      <w:r>
        <w:rPr/>
        <w:t> se exponen el número de viajeros, de viajes realizados, de plazas ofertadas y de kilómetros</w:t>
      </w:r>
      <w:r>
        <w:rPr>
          <w:spacing w:val="-16"/>
        </w:rPr>
        <w:t> </w:t>
      </w:r>
      <w:r>
        <w:rPr/>
        <w:t>recorridos</w:t>
      </w:r>
      <w:r>
        <w:rPr>
          <w:spacing w:val="-10"/>
        </w:rPr>
        <w:t> </w:t>
      </w:r>
      <w:r>
        <w:rPr/>
        <w:t>en</w:t>
      </w:r>
      <w:r>
        <w:rPr>
          <w:spacing w:val="-14"/>
        </w:rPr>
        <w:t> </w:t>
      </w:r>
      <w:r>
        <w:rPr/>
        <w:t>los</w:t>
      </w:r>
      <w:r>
        <w:rPr>
          <w:spacing w:val="-11"/>
        </w:rPr>
        <w:t> </w:t>
      </w:r>
      <w:r>
        <w:rPr/>
        <w:t>ejercicios</w:t>
      </w:r>
      <w:r>
        <w:rPr>
          <w:spacing w:val="-14"/>
        </w:rPr>
        <w:t> </w:t>
      </w:r>
      <w:r>
        <w:rPr/>
        <w:t>2022</w:t>
      </w:r>
      <w:r>
        <w:rPr>
          <w:spacing w:val="-12"/>
        </w:rPr>
        <w:t> </w:t>
      </w:r>
      <w:r>
        <w:rPr/>
        <w:t>a</w:t>
      </w:r>
      <w:r>
        <w:rPr>
          <w:spacing w:val="-14"/>
        </w:rPr>
        <w:t> </w:t>
      </w:r>
      <w:r>
        <w:rPr/>
        <w:t>2024,</w:t>
      </w:r>
      <w:r>
        <w:rPr>
          <w:spacing w:val="-10"/>
        </w:rPr>
        <w:t> </w:t>
      </w:r>
      <w:r>
        <w:rPr/>
        <w:t>en</w:t>
      </w:r>
      <w:r>
        <w:rPr>
          <w:spacing w:val="-14"/>
        </w:rPr>
        <w:t> </w:t>
      </w:r>
      <w:r>
        <w:rPr/>
        <w:t>donde</w:t>
      </w:r>
      <w:r>
        <w:rPr>
          <w:spacing w:val="-14"/>
        </w:rPr>
        <w:t> </w:t>
      </w:r>
      <w:r>
        <w:rPr/>
        <w:t>se</w:t>
      </w:r>
      <w:r>
        <w:rPr>
          <w:spacing w:val="-14"/>
        </w:rPr>
        <w:t> </w:t>
      </w:r>
      <w:r>
        <w:rPr/>
        <w:t>aprecia</w:t>
      </w:r>
      <w:r>
        <w:rPr>
          <w:spacing w:val="-11"/>
        </w:rPr>
        <w:t> </w:t>
      </w:r>
      <w:r>
        <w:rPr/>
        <w:t>el</w:t>
      </w:r>
      <w:r>
        <w:rPr>
          <w:spacing w:val="-12"/>
        </w:rPr>
        <w:t> </w:t>
      </w:r>
      <w:r>
        <w:rPr/>
        <w:t>incremento</w:t>
      </w:r>
      <w:r>
        <w:rPr>
          <w:spacing w:val="-14"/>
        </w:rPr>
        <w:t> </w:t>
      </w:r>
      <w:r>
        <w:rPr/>
        <w:t>de</w:t>
      </w:r>
      <w:r>
        <w:rPr>
          <w:spacing w:val="-12"/>
        </w:rPr>
        <w:t> </w:t>
      </w:r>
      <w:r>
        <w:rPr/>
        <w:t>estos</w:t>
      </w:r>
      <w:r>
        <w:rPr>
          <w:spacing w:val="-14"/>
        </w:rPr>
        <w:t> </w:t>
      </w:r>
      <w:r>
        <w:rPr/>
        <w:t>datos en los ejercicios fiscalizados respecto de 2022.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0"/>
        <w:rPr>
          <w:sz w:val="20"/>
        </w:rPr>
      </w:pPr>
      <w:r>
        <w:rPr>
          <w:sz w:val="20"/>
        </w:rPr>
        <mc:AlternateContent>
          <mc:Choice Requires="wps">
            <w:drawing>
              <wp:anchor distT="0" distB="0" distL="0" distR="0" allowOverlap="1" layoutInCell="1" locked="0" behindDoc="1" simplePos="0" relativeHeight="487598080">
                <wp:simplePos x="0" y="0"/>
                <wp:positionH relativeFrom="page">
                  <wp:posOffset>719632</wp:posOffset>
                </wp:positionH>
                <wp:positionV relativeFrom="paragraph">
                  <wp:posOffset>199549</wp:posOffset>
                </wp:positionV>
                <wp:extent cx="1829435" cy="9525"/>
                <wp:effectExtent l="0" t="0" r="0" b="0"/>
                <wp:wrapTopAndBottom/>
                <wp:docPr id="128" name="Graphic 128"/>
                <wp:cNvGraphicFramePr>
                  <a:graphicFrameLocks/>
                </wp:cNvGraphicFramePr>
                <a:graphic>
                  <a:graphicData uri="http://schemas.microsoft.com/office/word/2010/wordprocessingShape">
                    <wps:wsp>
                      <wps:cNvPr id="128" name="Graphic 128"/>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5.712587pt;width:144.020pt;height:.72003pt;mso-position-horizontal-relative:page;mso-position-vertical-relative:paragraph;z-index:-15718400;mso-wrap-distance-left:0;mso-wrap-distance-right:0" id="docshape110" filled="true" fillcolor="#000000" stroked="false">
                <v:fill type="solid"/>
                <w10:wrap type="topAndBottom"/>
              </v:rect>
            </w:pict>
          </mc:Fallback>
        </mc:AlternateContent>
      </w:r>
    </w:p>
    <w:p>
      <w:pPr>
        <w:spacing w:before="118"/>
        <w:ind w:left="992" w:right="0" w:firstLine="0"/>
        <w:jc w:val="both"/>
        <w:rPr>
          <w:sz w:val="18"/>
        </w:rPr>
      </w:pPr>
      <w:bookmarkStart w:name="_bookmark25" w:id="27"/>
      <w:bookmarkEnd w:id="27"/>
      <w:r>
        <w:rPr/>
      </w:r>
      <w:r>
        <w:rPr>
          <w:position w:val="6"/>
          <w:sz w:val="12"/>
        </w:rPr>
        <w:t>9</w:t>
      </w:r>
      <w:r>
        <w:rPr>
          <w:spacing w:val="13"/>
          <w:position w:val="6"/>
          <w:sz w:val="12"/>
        </w:rPr>
        <w:t> </w:t>
      </w:r>
      <w:r>
        <w:rPr>
          <w:sz w:val="18"/>
        </w:rPr>
        <w:t>Reales</w:t>
      </w:r>
      <w:r>
        <w:rPr>
          <w:spacing w:val="-2"/>
          <w:sz w:val="18"/>
        </w:rPr>
        <w:t> </w:t>
      </w:r>
      <w:r>
        <w:rPr>
          <w:sz w:val="18"/>
        </w:rPr>
        <w:t>Decreto-ley</w:t>
      </w:r>
      <w:r>
        <w:rPr>
          <w:spacing w:val="-5"/>
          <w:sz w:val="18"/>
        </w:rPr>
        <w:t> </w:t>
      </w:r>
      <w:r>
        <w:rPr>
          <w:spacing w:val="-2"/>
          <w:sz w:val="18"/>
        </w:rPr>
        <w:t>aprobados:</w:t>
      </w:r>
    </w:p>
    <w:p>
      <w:pPr>
        <w:pStyle w:val="ListParagraph"/>
        <w:numPr>
          <w:ilvl w:val="0"/>
          <w:numId w:val="5"/>
        </w:numPr>
        <w:tabs>
          <w:tab w:pos="1162" w:val="left" w:leader="none"/>
        </w:tabs>
        <w:spacing w:line="240" w:lineRule="auto" w:before="59" w:after="0"/>
        <w:ind w:left="1162" w:right="998" w:hanging="171"/>
        <w:jc w:val="both"/>
        <w:rPr>
          <w:sz w:val="18"/>
        </w:rPr>
      </w:pPr>
      <w:r>
        <w:rPr>
          <w:sz w:val="18"/>
        </w:rPr>
        <w:t>Real</w:t>
      </w:r>
      <w:r>
        <w:rPr>
          <w:spacing w:val="-2"/>
          <w:sz w:val="18"/>
        </w:rPr>
        <w:t> </w:t>
      </w:r>
      <w:r>
        <w:rPr>
          <w:sz w:val="18"/>
        </w:rPr>
        <w:t>Decreto-ley</w:t>
      </w:r>
      <w:r>
        <w:rPr>
          <w:spacing w:val="-3"/>
          <w:sz w:val="18"/>
        </w:rPr>
        <w:t> </w:t>
      </w:r>
      <w:r>
        <w:rPr>
          <w:sz w:val="18"/>
        </w:rPr>
        <w:t>11/2022,</w:t>
      </w:r>
      <w:r>
        <w:rPr>
          <w:spacing w:val="-2"/>
          <w:sz w:val="18"/>
        </w:rPr>
        <w:t> </w:t>
      </w:r>
      <w:r>
        <w:rPr>
          <w:sz w:val="18"/>
        </w:rPr>
        <w:t>de</w:t>
      </w:r>
      <w:r>
        <w:rPr>
          <w:spacing w:val="-4"/>
          <w:sz w:val="18"/>
        </w:rPr>
        <w:t> </w:t>
      </w:r>
      <w:r>
        <w:rPr>
          <w:sz w:val="18"/>
        </w:rPr>
        <w:t>25</w:t>
      </w:r>
      <w:r>
        <w:rPr>
          <w:spacing w:val="-2"/>
          <w:sz w:val="18"/>
        </w:rPr>
        <w:t> </w:t>
      </w:r>
      <w:r>
        <w:rPr>
          <w:sz w:val="18"/>
        </w:rPr>
        <w:t>de</w:t>
      </w:r>
      <w:r>
        <w:rPr>
          <w:spacing w:val="-4"/>
          <w:sz w:val="18"/>
        </w:rPr>
        <w:t> </w:t>
      </w:r>
      <w:r>
        <w:rPr>
          <w:sz w:val="18"/>
        </w:rPr>
        <w:t>junio,</w:t>
      </w:r>
      <w:r>
        <w:rPr>
          <w:spacing w:val="-2"/>
          <w:sz w:val="18"/>
        </w:rPr>
        <w:t> </w:t>
      </w:r>
      <w:r>
        <w:rPr>
          <w:sz w:val="18"/>
        </w:rPr>
        <w:t>por</w:t>
      </w:r>
      <w:r>
        <w:rPr>
          <w:spacing w:val="-2"/>
          <w:sz w:val="18"/>
        </w:rPr>
        <w:t> </w:t>
      </w:r>
      <w:r>
        <w:rPr>
          <w:sz w:val="18"/>
        </w:rPr>
        <w:t>el</w:t>
      </w:r>
      <w:r>
        <w:rPr>
          <w:spacing w:val="-2"/>
          <w:sz w:val="18"/>
        </w:rPr>
        <w:t> </w:t>
      </w:r>
      <w:r>
        <w:rPr>
          <w:sz w:val="18"/>
        </w:rPr>
        <w:t>que</w:t>
      </w:r>
      <w:r>
        <w:rPr>
          <w:spacing w:val="-4"/>
          <w:sz w:val="18"/>
        </w:rPr>
        <w:t> </w:t>
      </w:r>
      <w:r>
        <w:rPr>
          <w:sz w:val="18"/>
        </w:rPr>
        <w:t>se</w:t>
      </w:r>
      <w:r>
        <w:rPr>
          <w:spacing w:val="-4"/>
          <w:sz w:val="18"/>
        </w:rPr>
        <w:t> </w:t>
      </w:r>
      <w:r>
        <w:rPr>
          <w:sz w:val="18"/>
        </w:rPr>
        <w:t>adoptan</w:t>
      </w:r>
      <w:r>
        <w:rPr>
          <w:spacing w:val="-4"/>
          <w:sz w:val="18"/>
        </w:rPr>
        <w:t> </w:t>
      </w:r>
      <w:r>
        <w:rPr>
          <w:sz w:val="18"/>
        </w:rPr>
        <w:t>y</w:t>
      </w:r>
      <w:r>
        <w:rPr>
          <w:spacing w:val="-1"/>
          <w:sz w:val="18"/>
        </w:rPr>
        <w:t> </w:t>
      </w:r>
      <w:r>
        <w:rPr>
          <w:sz w:val="18"/>
        </w:rPr>
        <w:t>se</w:t>
      </w:r>
      <w:r>
        <w:rPr>
          <w:spacing w:val="-2"/>
          <w:sz w:val="18"/>
        </w:rPr>
        <w:t> </w:t>
      </w:r>
      <w:r>
        <w:rPr>
          <w:sz w:val="18"/>
        </w:rPr>
        <w:t>prorrogan</w:t>
      </w:r>
      <w:r>
        <w:rPr>
          <w:spacing w:val="-4"/>
          <w:sz w:val="18"/>
        </w:rPr>
        <w:t> </w:t>
      </w:r>
      <w:r>
        <w:rPr>
          <w:sz w:val="18"/>
        </w:rPr>
        <w:t>determinadas</w:t>
      </w:r>
      <w:r>
        <w:rPr>
          <w:spacing w:val="-3"/>
          <w:sz w:val="18"/>
        </w:rPr>
        <w:t> </w:t>
      </w:r>
      <w:r>
        <w:rPr>
          <w:sz w:val="18"/>
        </w:rPr>
        <w:t>medidas</w:t>
      </w:r>
      <w:r>
        <w:rPr>
          <w:spacing w:val="-1"/>
          <w:sz w:val="18"/>
        </w:rPr>
        <w:t> </w:t>
      </w:r>
      <w:r>
        <w:rPr>
          <w:sz w:val="18"/>
        </w:rPr>
        <w:t>para</w:t>
      </w:r>
      <w:r>
        <w:rPr>
          <w:spacing w:val="-2"/>
          <w:sz w:val="18"/>
        </w:rPr>
        <w:t> </w:t>
      </w:r>
      <w:r>
        <w:rPr>
          <w:sz w:val="18"/>
        </w:rPr>
        <w:t>responder a las consecuencias económicas y sociales de la guerra en Ucrania, para hacer frente a situaciones de vulnerabilidad social y económica, y para la recuperación económica y social de la isla de La Palma.</w:t>
      </w:r>
    </w:p>
    <w:p>
      <w:pPr>
        <w:pStyle w:val="ListParagraph"/>
        <w:numPr>
          <w:ilvl w:val="0"/>
          <w:numId w:val="5"/>
        </w:numPr>
        <w:tabs>
          <w:tab w:pos="1162" w:val="left" w:leader="none"/>
        </w:tabs>
        <w:spacing w:line="240" w:lineRule="auto" w:before="61" w:after="0"/>
        <w:ind w:left="1162" w:right="1001" w:hanging="171"/>
        <w:jc w:val="both"/>
        <w:rPr>
          <w:sz w:val="18"/>
        </w:rPr>
      </w:pPr>
      <w:r>
        <w:rPr>
          <w:sz w:val="18"/>
        </w:rPr>
        <w:t>Real Decreto-ley 20/2022, de 27 de diciembre, de medidas de respuesta a las consecuencias económicas y sociales de la Guerra de Ucrania y de apoyo a la reconstrucción de la isla de La Palma y a otras situaciones de vulnerabilidad.</w:t>
      </w:r>
    </w:p>
    <w:p>
      <w:pPr>
        <w:pStyle w:val="ListParagraph"/>
        <w:numPr>
          <w:ilvl w:val="0"/>
          <w:numId w:val="5"/>
        </w:numPr>
        <w:tabs>
          <w:tab w:pos="1162" w:val="left" w:leader="none"/>
        </w:tabs>
        <w:spacing w:line="240" w:lineRule="auto" w:before="59" w:after="0"/>
        <w:ind w:left="1162" w:right="996" w:hanging="171"/>
        <w:jc w:val="both"/>
        <w:rPr>
          <w:sz w:val="18"/>
        </w:rPr>
      </w:pPr>
      <w:r>
        <w:rPr>
          <w:sz w:val="18"/>
        </w:rPr>
        <w:t>Real Decreto-ley 5/2023, de 28 de junio, por el que se adoptan y prorrogan determinadas medidas de respuesta a las consecuencias económicas y sociales de la Guerra de Ucrania, de apoyo a la reconstrucción de la isla de La Palma y a</w:t>
      </w:r>
      <w:r>
        <w:rPr>
          <w:spacing w:val="-4"/>
          <w:sz w:val="18"/>
        </w:rPr>
        <w:t> </w:t>
      </w:r>
      <w:r>
        <w:rPr>
          <w:sz w:val="18"/>
        </w:rPr>
        <w:t>otras</w:t>
      </w:r>
      <w:r>
        <w:rPr>
          <w:spacing w:val="-6"/>
          <w:sz w:val="18"/>
        </w:rPr>
        <w:t> </w:t>
      </w:r>
      <w:r>
        <w:rPr>
          <w:sz w:val="18"/>
        </w:rPr>
        <w:t>situaciones</w:t>
      </w:r>
      <w:r>
        <w:rPr>
          <w:spacing w:val="-4"/>
          <w:sz w:val="18"/>
        </w:rPr>
        <w:t> </w:t>
      </w:r>
      <w:r>
        <w:rPr>
          <w:sz w:val="18"/>
        </w:rPr>
        <w:t>de</w:t>
      </w:r>
      <w:r>
        <w:rPr>
          <w:spacing w:val="-6"/>
          <w:sz w:val="18"/>
        </w:rPr>
        <w:t> </w:t>
      </w:r>
      <w:r>
        <w:rPr>
          <w:sz w:val="18"/>
        </w:rPr>
        <w:t>vulnerabilidad;</w:t>
      </w:r>
      <w:r>
        <w:rPr>
          <w:spacing w:val="-4"/>
          <w:sz w:val="18"/>
        </w:rPr>
        <w:t> </w:t>
      </w:r>
      <w:r>
        <w:rPr>
          <w:sz w:val="18"/>
        </w:rPr>
        <w:t>de</w:t>
      </w:r>
      <w:r>
        <w:rPr>
          <w:spacing w:val="-4"/>
          <w:sz w:val="18"/>
        </w:rPr>
        <w:t> </w:t>
      </w:r>
      <w:r>
        <w:rPr>
          <w:sz w:val="18"/>
        </w:rPr>
        <w:t>transposición</w:t>
      </w:r>
      <w:r>
        <w:rPr>
          <w:spacing w:val="-4"/>
          <w:sz w:val="18"/>
        </w:rPr>
        <w:t> </w:t>
      </w:r>
      <w:r>
        <w:rPr>
          <w:sz w:val="18"/>
        </w:rPr>
        <w:t>de</w:t>
      </w:r>
      <w:r>
        <w:rPr>
          <w:spacing w:val="-4"/>
          <w:sz w:val="18"/>
        </w:rPr>
        <w:t> </w:t>
      </w:r>
      <w:r>
        <w:rPr>
          <w:sz w:val="18"/>
        </w:rPr>
        <w:t>Directivas</w:t>
      </w:r>
      <w:r>
        <w:rPr>
          <w:spacing w:val="-4"/>
          <w:sz w:val="18"/>
        </w:rPr>
        <w:t> </w:t>
      </w:r>
      <w:r>
        <w:rPr>
          <w:sz w:val="18"/>
        </w:rPr>
        <w:t>de</w:t>
      </w:r>
      <w:r>
        <w:rPr>
          <w:spacing w:val="-4"/>
          <w:sz w:val="18"/>
        </w:rPr>
        <w:t> </w:t>
      </w:r>
      <w:r>
        <w:rPr>
          <w:sz w:val="18"/>
        </w:rPr>
        <w:t>la</w:t>
      </w:r>
      <w:r>
        <w:rPr>
          <w:spacing w:val="-4"/>
          <w:sz w:val="18"/>
        </w:rPr>
        <w:t> </w:t>
      </w:r>
      <w:r>
        <w:rPr>
          <w:sz w:val="18"/>
        </w:rPr>
        <w:t>Unión</w:t>
      </w:r>
      <w:r>
        <w:rPr>
          <w:spacing w:val="-4"/>
          <w:sz w:val="18"/>
        </w:rPr>
        <w:t> </w:t>
      </w:r>
      <w:r>
        <w:rPr>
          <w:sz w:val="18"/>
        </w:rPr>
        <w:t>Europea</w:t>
      </w:r>
      <w:r>
        <w:rPr>
          <w:spacing w:val="-4"/>
          <w:sz w:val="18"/>
        </w:rPr>
        <w:t> </w:t>
      </w:r>
      <w:r>
        <w:rPr>
          <w:sz w:val="18"/>
        </w:rPr>
        <w:t>en</w:t>
      </w:r>
      <w:r>
        <w:rPr>
          <w:spacing w:val="-4"/>
          <w:sz w:val="18"/>
        </w:rPr>
        <w:t> </w:t>
      </w:r>
      <w:r>
        <w:rPr>
          <w:sz w:val="18"/>
        </w:rPr>
        <w:t>materia</w:t>
      </w:r>
      <w:r>
        <w:rPr>
          <w:spacing w:val="-4"/>
          <w:sz w:val="18"/>
        </w:rPr>
        <w:t> </w:t>
      </w:r>
      <w:r>
        <w:rPr>
          <w:sz w:val="18"/>
        </w:rPr>
        <w:t>de</w:t>
      </w:r>
      <w:r>
        <w:rPr>
          <w:spacing w:val="-4"/>
          <w:sz w:val="18"/>
        </w:rPr>
        <w:t> </w:t>
      </w:r>
      <w:r>
        <w:rPr>
          <w:sz w:val="18"/>
        </w:rPr>
        <w:t>modificaciones estructurales de</w:t>
      </w:r>
      <w:r>
        <w:rPr>
          <w:spacing w:val="-2"/>
          <w:sz w:val="18"/>
        </w:rPr>
        <w:t> </w:t>
      </w:r>
      <w:r>
        <w:rPr>
          <w:sz w:val="18"/>
        </w:rPr>
        <w:t>sociedades</w:t>
      </w:r>
      <w:r>
        <w:rPr>
          <w:spacing w:val="-1"/>
          <w:sz w:val="18"/>
        </w:rPr>
        <w:t> </w:t>
      </w:r>
      <w:r>
        <w:rPr>
          <w:sz w:val="18"/>
        </w:rPr>
        <w:t>mercantiles</w:t>
      </w:r>
      <w:r>
        <w:rPr>
          <w:spacing w:val="-1"/>
          <w:sz w:val="18"/>
        </w:rPr>
        <w:t> </w:t>
      </w:r>
      <w:r>
        <w:rPr>
          <w:sz w:val="18"/>
        </w:rPr>
        <w:t>y conciliación</w:t>
      </w:r>
      <w:r>
        <w:rPr>
          <w:spacing w:val="-2"/>
          <w:sz w:val="18"/>
        </w:rPr>
        <w:t> </w:t>
      </w:r>
      <w:r>
        <w:rPr>
          <w:sz w:val="18"/>
        </w:rPr>
        <w:t>de la</w:t>
      </w:r>
      <w:r>
        <w:rPr>
          <w:spacing w:val="-2"/>
          <w:sz w:val="18"/>
        </w:rPr>
        <w:t> </w:t>
      </w:r>
      <w:r>
        <w:rPr>
          <w:sz w:val="18"/>
        </w:rPr>
        <w:t>vida</w:t>
      </w:r>
      <w:r>
        <w:rPr>
          <w:spacing w:val="-2"/>
          <w:sz w:val="18"/>
        </w:rPr>
        <w:t> </w:t>
      </w:r>
      <w:r>
        <w:rPr>
          <w:sz w:val="18"/>
        </w:rPr>
        <w:t>familiar</w:t>
      </w:r>
      <w:r>
        <w:rPr>
          <w:spacing w:val="-2"/>
          <w:sz w:val="18"/>
        </w:rPr>
        <w:t> </w:t>
      </w:r>
      <w:r>
        <w:rPr>
          <w:sz w:val="18"/>
        </w:rPr>
        <w:t>y la</w:t>
      </w:r>
      <w:r>
        <w:rPr>
          <w:spacing w:val="-2"/>
          <w:sz w:val="18"/>
        </w:rPr>
        <w:t> </w:t>
      </w:r>
      <w:r>
        <w:rPr>
          <w:sz w:val="18"/>
        </w:rPr>
        <w:t>vida profesional de los progenitores</w:t>
      </w:r>
      <w:r>
        <w:rPr>
          <w:spacing w:val="-1"/>
          <w:sz w:val="18"/>
        </w:rPr>
        <w:t> </w:t>
      </w:r>
      <w:r>
        <w:rPr>
          <w:sz w:val="18"/>
        </w:rPr>
        <w:t>y los cuidadores; y de ejecución y cumplimiento del Derecho de la Unión Europea.</w:t>
      </w:r>
    </w:p>
    <w:p>
      <w:pPr>
        <w:pStyle w:val="ListParagraph"/>
        <w:numPr>
          <w:ilvl w:val="0"/>
          <w:numId w:val="5"/>
        </w:numPr>
        <w:tabs>
          <w:tab w:pos="1162" w:val="left" w:leader="none"/>
        </w:tabs>
        <w:spacing w:line="240" w:lineRule="auto" w:before="62" w:after="0"/>
        <w:ind w:left="1162" w:right="1000" w:hanging="171"/>
        <w:jc w:val="both"/>
        <w:rPr>
          <w:sz w:val="18"/>
        </w:rPr>
      </w:pPr>
      <w:r>
        <w:rPr>
          <w:sz w:val="18"/>
        </w:rPr>
        <w:t>Real Decreto-ley 8/2023, de 27 de diciembre, por el que se adoptan medidas para afrontar las consecuencias económicas</w:t>
      </w:r>
      <w:r>
        <w:rPr>
          <w:spacing w:val="-1"/>
          <w:sz w:val="18"/>
        </w:rPr>
        <w:t> </w:t>
      </w:r>
      <w:r>
        <w:rPr>
          <w:sz w:val="18"/>
        </w:rPr>
        <w:t>y</w:t>
      </w:r>
      <w:r>
        <w:rPr>
          <w:spacing w:val="-1"/>
          <w:sz w:val="18"/>
        </w:rPr>
        <w:t> </w:t>
      </w:r>
      <w:r>
        <w:rPr>
          <w:sz w:val="18"/>
        </w:rPr>
        <w:t>sociales</w:t>
      </w:r>
      <w:r>
        <w:rPr>
          <w:spacing w:val="-1"/>
          <w:sz w:val="18"/>
        </w:rPr>
        <w:t> </w:t>
      </w:r>
      <w:r>
        <w:rPr>
          <w:sz w:val="18"/>
        </w:rPr>
        <w:t>derivadas</w:t>
      </w:r>
      <w:r>
        <w:rPr>
          <w:spacing w:val="-1"/>
          <w:sz w:val="18"/>
        </w:rPr>
        <w:t> </w:t>
      </w:r>
      <w:r>
        <w:rPr>
          <w:sz w:val="18"/>
        </w:rPr>
        <w:t>de</w:t>
      </w:r>
      <w:r>
        <w:rPr>
          <w:spacing w:val="-2"/>
          <w:sz w:val="18"/>
        </w:rPr>
        <w:t> </w:t>
      </w:r>
      <w:r>
        <w:rPr>
          <w:sz w:val="18"/>
        </w:rPr>
        <w:t>los</w:t>
      </w:r>
      <w:r>
        <w:rPr>
          <w:spacing w:val="-3"/>
          <w:sz w:val="18"/>
        </w:rPr>
        <w:t> </w:t>
      </w:r>
      <w:r>
        <w:rPr>
          <w:sz w:val="18"/>
        </w:rPr>
        <w:t>conflictos</w:t>
      </w:r>
      <w:r>
        <w:rPr>
          <w:spacing w:val="-3"/>
          <w:sz w:val="18"/>
        </w:rPr>
        <w:t> </w:t>
      </w:r>
      <w:r>
        <w:rPr>
          <w:sz w:val="18"/>
        </w:rPr>
        <w:t>en</w:t>
      </w:r>
      <w:r>
        <w:rPr>
          <w:spacing w:val="-2"/>
          <w:sz w:val="18"/>
        </w:rPr>
        <w:t> </w:t>
      </w:r>
      <w:r>
        <w:rPr>
          <w:sz w:val="18"/>
        </w:rPr>
        <w:t>Ucrania</w:t>
      </w:r>
      <w:r>
        <w:rPr>
          <w:spacing w:val="-4"/>
          <w:sz w:val="18"/>
        </w:rPr>
        <w:t> </w:t>
      </w:r>
      <w:r>
        <w:rPr>
          <w:sz w:val="18"/>
        </w:rPr>
        <w:t>y</w:t>
      </w:r>
      <w:r>
        <w:rPr>
          <w:spacing w:val="-1"/>
          <w:sz w:val="18"/>
        </w:rPr>
        <w:t> </w:t>
      </w:r>
      <w:r>
        <w:rPr>
          <w:sz w:val="18"/>
        </w:rPr>
        <w:t>Oriente</w:t>
      </w:r>
      <w:r>
        <w:rPr>
          <w:spacing w:val="-2"/>
          <w:sz w:val="18"/>
        </w:rPr>
        <w:t> </w:t>
      </w:r>
      <w:r>
        <w:rPr>
          <w:sz w:val="18"/>
        </w:rPr>
        <w:t>Próximo,</w:t>
      </w:r>
      <w:r>
        <w:rPr>
          <w:spacing w:val="-2"/>
          <w:sz w:val="18"/>
        </w:rPr>
        <w:t> </w:t>
      </w:r>
      <w:r>
        <w:rPr>
          <w:sz w:val="18"/>
        </w:rPr>
        <w:t>así</w:t>
      </w:r>
      <w:r>
        <w:rPr>
          <w:spacing w:val="-2"/>
          <w:sz w:val="18"/>
        </w:rPr>
        <w:t> </w:t>
      </w:r>
      <w:r>
        <w:rPr>
          <w:sz w:val="18"/>
        </w:rPr>
        <w:t>como</w:t>
      </w:r>
      <w:r>
        <w:rPr>
          <w:spacing w:val="-4"/>
          <w:sz w:val="18"/>
        </w:rPr>
        <w:t> </w:t>
      </w:r>
      <w:r>
        <w:rPr>
          <w:sz w:val="18"/>
        </w:rPr>
        <w:t>para</w:t>
      </w:r>
      <w:r>
        <w:rPr>
          <w:spacing w:val="-2"/>
          <w:sz w:val="18"/>
        </w:rPr>
        <w:t> </w:t>
      </w:r>
      <w:r>
        <w:rPr>
          <w:sz w:val="18"/>
        </w:rPr>
        <w:t>paliar</w:t>
      </w:r>
      <w:r>
        <w:rPr>
          <w:spacing w:val="-2"/>
          <w:sz w:val="18"/>
        </w:rPr>
        <w:t> </w:t>
      </w:r>
      <w:r>
        <w:rPr>
          <w:sz w:val="18"/>
        </w:rPr>
        <w:t>los</w:t>
      </w:r>
      <w:r>
        <w:rPr>
          <w:spacing w:val="-1"/>
          <w:sz w:val="18"/>
        </w:rPr>
        <w:t> </w:t>
      </w:r>
      <w:r>
        <w:rPr>
          <w:sz w:val="18"/>
        </w:rPr>
        <w:t>efectos</w:t>
      </w:r>
      <w:r>
        <w:rPr>
          <w:spacing w:val="-1"/>
          <w:sz w:val="18"/>
        </w:rPr>
        <w:t> </w:t>
      </w:r>
      <w:r>
        <w:rPr>
          <w:sz w:val="18"/>
        </w:rPr>
        <w:t>de</w:t>
      </w:r>
      <w:r>
        <w:rPr>
          <w:spacing w:val="-2"/>
          <w:sz w:val="18"/>
        </w:rPr>
        <w:t> </w:t>
      </w:r>
      <w:r>
        <w:rPr>
          <w:sz w:val="18"/>
        </w:rPr>
        <w:t>la </w:t>
      </w:r>
      <w:r>
        <w:rPr>
          <w:spacing w:val="-2"/>
          <w:sz w:val="18"/>
        </w:rPr>
        <w:t>sequía.</w:t>
      </w:r>
    </w:p>
    <w:p>
      <w:pPr>
        <w:spacing w:before="54"/>
        <w:ind w:left="992" w:right="1000" w:firstLine="0"/>
        <w:jc w:val="both"/>
        <w:rPr>
          <w:sz w:val="18"/>
        </w:rPr>
      </w:pPr>
      <w:bookmarkStart w:name="_bookmark26" w:id="28"/>
      <w:bookmarkEnd w:id="28"/>
      <w:r>
        <w:rPr/>
      </w:r>
      <w:r>
        <w:rPr>
          <w:position w:val="6"/>
          <w:sz w:val="12"/>
        </w:rPr>
        <w:t>10</w:t>
      </w:r>
      <w:r>
        <w:rPr>
          <w:spacing w:val="-9"/>
          <w:position w:val="6"/>
          <w:sz w:val="12"/>
        </w:rPr>
        <w:t> </w:t>
      </w:r>
      <w:r>
        <w:rPr>
          <w:sz w:val="18"/>
        </w:rPr>
        <w:t>El</w:t>
      </w:r>
      <w:r>
        <w:rPr>
          <w:spacing w:val="-12"/>
          <w:sz w:val="18"/>
        </w:rPr>
        <w:t> </w:t>
      </w:r>
      <w:r>
        <w:rPr>
          <w:sz w:val="18"/>
        </w:rPr>
        <w:t>sistema</w:t>
      </w:r>
      <w:r>
        <w:rPr>
          <w:spacing w:val="-13"/>
          <w:sz w:val="18"/>
        </w:rPr>
        <w:t> </w:t>
      </w:r>
      <w:r>
        <w:rPr>
          <w:sz w:val="18"/>
        </w:rPr>
        <w:t>tarifario</w:t>
      </w:r>
      <w:r>
        <w:rPr>
          <w:spacing w:val="-12"/>
          <w:sz w:val="18"/>
        </w:rPr>
        <w:t> </w:t>
      </w:r>
      <w:r>
        <w:rPr>
          <w:sz w:val="18"/>
        </w:rPr>
        <w:t>integrado</w:t>
      </w:r>
      <w:r>
        <w:rPr>
          <w:spacing w:val="-13"/>
          <w:sz w:val="18"/>
        </w:rPr>
        <w:t> </w:t>
      </w:r>
      <w:r>
        <w:rPr>
          <w:sz w:val="18"/>
        </w:rPr>
        <w:t>es</w:t>
      </w:r>
      <w:r>
        <w:rPr>
          <w:spacing w:val="-12"/>
          <w:sz w:val="18"/>
        </w:rPr>
        <w:t> </w:t>
      </w:r>
      <w:r>
        <w:rPr>
          <w:sz w:val="18"/>
        </w:rPr>
        <w:t>un</w:t>
      </w:r>
      <w:r>
        <w:rPr>
          <w:spacing w:val="-13"/>
          <w:sz w:val="18"/>
        </w:rPr>
        <w:t> </w:t>
      </w:r>
      <w:r>
        <w:rPr>
          <w:sz w:val="18"/>
        </w:rPr>
        <w:t>sistema</w:t>
      </w:r>
      <w:r>
        <w:rPr>
          <w:spacing w:val="-12"/>
          <w:sz w:val="18"/>
        </w:rPr>
        <w:t> </w:t>
      </w:r>
      <w:r>
        <w:rPr>
          <w:sz w:val="18"/>
        </w:rPr>
        <w:t>que</w:t>
      </w:r>
      <w:r>
        <w:rPr>
          <w:spacing w:val="-13"/>
          <w:sz w:val="18"/>
        </w:rPr>
        <w:t> </w:t>
      </w:r>
      <w:r>
        <w:rPr>
          <w:sz w:val="18"/>
        </w:rPr>
        <w:t>permite</w:t>
      </w:r>
      <w:r>
        <w:rPr>
          <w:spacing w:val="-12"/>
          <w:sz w:val="18"/>
        </w:rPr>
        <w:t> </w:t>
      </w:r>
      <w:r>
        <w:rPr>
          <w:sz w:val="18"/>
        </w:rPr>
        <w:t>a</w:t>
      </w:r>
      <w:r>
        <w:rPr>
          <w:spacing w:val="-13"/>
          <w:sz w:val="18"/>
        </w:rPr>
        <w:t> </w:t>
      </w:r>
      <w:r>
        <w:rPr>
          <w:sz w:val="18"/>
        </w:rPr>
        <w:t>todos</w:t>
      </w:r>
      <w:r>
        <w:rPr>
          <w:spacing w:val="-12"/>
          <w:sz w:val="18"/>
        </w:rPr>
        <w:t> </w:t>
      </w:r>
      <w:r>
        <w:rPr>
          <w:sz w:val="18"/>
        </w:rPr>
        <w:t>los</w:t>
      </w:r>
      <w:r>
        <w:rPr>
          <w:spacing w:val="-13"/>
          <w:sz w:val="18"/>
        </w:rPr>
        <w:t> </w:t>
      </w:r>
      <w:r>
        <w:rPr>
          <w:sz w:val="18"/>
        </w:rPr>
        <w:t>usuarios</w:t>
      </w:r>
      <w:r>
        <w:rPr>
          <w:spacing w:val="-12"/>
          <w:sz w:val="18"/>
        </w:rPr>
        <w:t> </w:t>
      </w:r>
      <w:r>
        <w:rPr>
          <w:sz w:val="18"/>
        </w:rPr>
        <w:t>de</w:t>
      </w:r>
      <w:r>
        <w:rPr>
          <w:spacing w:val="-13"/>
          <w:sz w:val="18"/>
        </w:rPr>
        <w:t> </w:t>
      </w:r>
      <w:r>
        <w:rPr>
          <w:sz w:val="18"/>
        </w:rPr>
        <w:t>transporte</w:t>
      </w:r>
      <w:r>
        <w:rPr>
          <w:spacing w:val="-12"/>
          <w:sz w:val="18"/>
        </w:rPr>
        <w:t> </w:t>
      </w:r>
      <w:r>
        <w:rPr>
          <w:sz w:val="18"/>
        </w:rPr>
        <w:t>público</w:t>
      </w:r>
      <w:r>
        <w:rPr>
          <w:spacing w:val="-13"/>
          <w:sz w:val="18"/>
        </w:rPr>
        <w:t> </w:t>
      </w:r>
      <w:r>
        <w:rPr>
          <w:sz w:val="18"/>
        </w:rPr>
        <w:t>desplazarse</w:t>
      </w:r>
      <w:r>
        <w:rPr>
          <w:spacing w:val="-12"/>
          <w:sz w:val="18"/>
        </w:rPr>
        <w:t> </w:t>
      </w:r>
      <w:r>
        <w:rPr>
          <w:sz w:val="18"/>
        </w:rPr>
        <w:t>utilizando diferentes modos de transporte con un único soporte (tarjeta) y obtener ventajas económicas Este sistema facilita la intermodalidad y favorece una mayor conveniencia y ahorro para los usuarios, al permitirles realizar transbordos entre distintos modos de transporte sin necesidad de adquirir otros billetes.</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Heading4"/>
        <w:numPr>
          <w:ilvl w:val="1"/>
          <w:numId w:val="3"/>
        </w:numPr>
        <w:tabs>
          <w:tab w:pos="1416" w:val="left" w:leader="none"/>
        </w:tabs>
        <w:spacing w:line="240" w:lineRule="auto" w:before="0" w:after="0"/>
        <w:ind w:left="1416" w:right="0" w:hanging="424"/>
        <w:jc w:val="left"/>
      </w:pPr>
      <w:bookmarkStart w:name="_bookmark27" w:id="29"/>
      <w:bookmarkEnd w:id="29"/>
      <w:r>
        <w:rPr>
          <w:b w:val="0"/>
        </w:rPr>
      </w:r>
      <w:r>
        <w:rPr/>
        <w:t>PLANIFICACIÓN</w:t>
      </w:r>
      <w:r>
        <w:rPr>
          <w:spacing w:val="-10"/>
        </w:rPr>
        <w:t> </w:t>
      </w:r>
      <w:r>
        <w:rPr/>
        <w:t>SOBRE</w:t>
      </w:r>
      <w:r>
        <w:rPr>
          <w:spacing w:val="-9"/>
        </w:rPr>
        <w:t> </w:t>
      </w:r>
      <w:r>
        <w:rPr/>
        <w:t>MOVILIDAD</w:t>
      </w:r>
      <w:r>
        <w:rPr>
          <w:spacing w:val="-12"/>
        </w:rPr>
        <w:t> </w:t>
      </w:r>
      <w:r>
        <w:rPr>
          <w:spacing w:val="-2"/>
        </w:rPr>
        <w:t>SOSTENIBLE</w:t>
      </w:r>
    </w:p>
    <w:p>
      <w:pPr>
        <w:pStyle w:val="BodyText"/>
        <w:spacing w:before="241"/>
        <w:ind w:left="992" w:right="990"/>
        <w:jc w:val="both"/>
      </w:pPr>
      <w:r>
        <w:rPr/>
        <w:t>En 2015 la Organización de las Naciones Unidas aprobó la Agenda 2030 sobre el Desarrollo Sostenible, que cuenta con diecisiete Objetivos de Desarrollo Sostenible (ODS), que incluyen la defensa del medio ambiente y el diseño de ciudades y comunidades sostenibles.</w:t>
      </w:r>
    </w:p>
    <w:p>
      <w:pPr>
        <w:pStyle w:val="BodyText"/>
        <w:spacing w:before="240"/>
        <w:ind w:left="992" w:right="987"/>
        <w:jc w:val="both"/>
      </w:pPr>
      <w:r>
        <w:rPr/>
        <w:t>El</w:t>
      </w:r>
      <w:r>
        <w:rPr>
          <w:spacing w:val="-10"/>
        </w:rPr>
        <w:t> </w:t>
      </w:r>
      <w:r>
        <w:rPr/>
        <w:t>ODS</w:t>
      </w:r>
      <w:r>
        <w:rPr>
          <w:spacing w:val="-9"/>
        </w:rPr>
        <w:t> </w:t>
      </w:r>
      <w:r>
        <w:rPr/>
        <w:t>7,</w:t>
      </w:r>
      <w:r>
        <w:rPr>
          <w:spacing w:val="-10"/>
        </w:rPr>
        <w:t> </w:t>
      </w:r>
      <w:r>
        <w:rPr>
          <w:i/>
        </w:rPr>
        <w:t>Energía</w:t>
      </w:r>
      <w:r>
        <w:rPr>
          <w:i/>
          <w:spacing w:val="-11"/>
        </w:rPr>
        <w:t> </w:t>
      </w:r>
      <w:r>
        <w:rPr>
          <w:i/>
        </w:rPr>
        <w:t>asequible</w:t>
      </w:r>
      <w:r>
        <w:rPr>
          <w:i/>
          <w:spacing w:val="-9"/>
        </w:rPr>
        <w:t> </w:t>
      </w:r>
      <w:r>
        <w:rPr>
          <w:i/>
        </w:rPr>
        <w:t>y</w:t>
      </w:r>
      <w:r>
        <w:rPr>
          <w:i/>
          <w:spacing w:val="-8"/>
        </w:rPr>
        <w:t> </w:t>
      </w:r>
      <w:r>
        <w:rPr>
          <w:i/>
        </w:rPr>
        <w:t>no</w:t>
      </w:r>
      <w:r>
        <w:rPr>
          <w:i/>
          <w:spacing w:val="-9"/>
        </w:rPr>
        <w:t> </w:t>
      </w:r>
      <w:r>
        <w:rPr>
          <w:i/>
        </w:rPr>
        <w:t>contaminante,</w:t>
      </w:r>
      <w:r>
        <w:rPr>
          <w:i/>
          <w:spacing w:val="-8"/>
        </w:rPr>
        <w:t> </w:t>
      </w:r>
      <w:r>
        <w:rPr/>
        <w:t>pretende</w:t>
      </w:r>
      <w:r>
        <w:rPr>
          <w:spacing w:val="-12"/>
        </w:rPr>
        <w:t> </w:t>
      </w:r>
      <w:r>
        <w:rPr/>
        <w:t>garantizar</w:t>
      </w:r>
      <w:r>
        <w:rPr>
          <w:spacing w:val="-10"/>
        </w:rPr>
        <w:t> </w:t>
      </w:r>
      <w:r>
        <w:rPr/>
        <w:t>el</w:t>
      </w:r>
      <w:r>
        <w:rPr>
          <w:spacing w:val="-10"/>
        </w:rPr>
        <w:t> </w:t>
      </w:r>
      <w:r>
        <w:rPr/>
        <w:t>acceso</w:t>
      </w:r>
      <w:r>
        <w:rPr>
          <w:spacing w:val="-9"/>
        </w:rPr>
        <w:t> </w:t>
      </w:r>
      <w:r>
        <w:rPr/>
        <w:t>a</w:t>
      </w:r>
      <w:r>
        <w:rPr>
          <w:spacing w:val="-9"/>
        </w:rPr>
        <w:t> </w:t>
      </w:r>
      <w:r>
        <w:rPr/>
        <w:t>una</w:t>
      </w:r>
      <w:r>
        <w:rPr>
          <w:spacing w:val="-11"/>
        </w:rPr>
        <w:t> </w:t>
      </w:r>
      <w:r>
        <w:rPr/>
        <w:t>energía</w:t>
      </w:r>
      <w:r>
        <w:rPr>
          <w:spacing w:val="-11"/>
        </w:rPr>
        <w:t> </w:t>
      </w:r>
      <w:r>
        <w:rPr/>
        <w:t>limpia y asequible, clave para el desarrollo, entre otros, del transporte. El ODS 11, </w:t>
      </w:r>
      <w:r>
        <w:rPr>
          <w:i/>
        </w:rPr>
        <w:t>Ciudades y</w:t>
      </w:r>
      <w:r>
        <w:rPr>
          <w:i/>
        </w:rPr>
        <w:t> Comunidades</w:t>
      </w:r>
      <w:r>
        <w:rPr>
          <w:i/>
          <w:spacing w:val="-16"/>
        </w:rPr>
        <w:t> </w:t>
      </w:r>
      <w:r>
        <w:rPr>
          <w:i/>
        </w:rPr>
        <w:t>sostenibles</w:t>
      </w:r>
      <w:r>
        <w:rPr/>
        <w:t>,</w:t>
      </w:r>
      <w:r>
        <w:rPr>
          <w:spacing w:val="-15"/>
        </w:rPr>
        <w:t> </w:t>
      </w:r>
      <w:r>
        <w:rPr/>
        <w:t>persigue</w:t>
      </w:r>
      <w:r>
        <w:rPr>
          <w:spacing w:val="-15"/>
        </w:rPr>
        <w:t> </w:t>
      </w:r>
      <w:r>
        <w:rPr/>
        <w:t>que</w:t>
      </w:r>
      <w:r>
        <w:rPr>
          <w:spacing w:val="-16"/>
        </w:rPr>
        <w:t> </w:t>
      </w:r>
      <w:r>
        <w:rPr/>
        <w:t>las</w:t>
      </w:r>
      <w:r>
        <w:rPr>
          <w:spacing w:val="-15"/>
        </w:rPr>
        <w:t> </w:t>
      </w:r>
      <w:r>
        <w:rPr/>
        <w:t>ciudades</w:t>
      </w:r>
      <w:r>
        <w:rPr>
          <w:spacing w:val="-15"/>
        </w:rPr>
        <w:t> </w:t>
      </w:r>
      <w:r>
        <w:rPr/>
        <w:t>y</w:t>
      </w:r>
      <w:r>
        <w:rPr>
          <w:spacing w:val="-15"/>
        </w:rPr>
        <w:t> </w:t>
      </w:r>
      <w:r>
        <w:rPr/>
        <w:t>los</w:t>
      </w:r>
      <w:r>
        <w:rPr>
          <w:spacing w:val="-16"/>
        </w:rPr>
        <w:t> </w:t>
      </w:r>
      <w:r>
        <w:rPr/>
        <w:t>asentamientos</w:t>
      </w:r>
      <w:r>
        <w:rPr>
          <w:spacing w:val="-15"/>
        </w:rPr>
        <w:t> </w:t>
      </w:r>
      <w:r>
        <w:rPr/>
        <w:t>humanos</w:t>
      </w:r>
      <w:r>
        <w:rPr>
          <w:spacing w:val="-15"/>
        </w:rPr>
        <w:t> </w:t>
      </w:r>
      <w:r>
        <w:rPr/>
        <w:t>sean</w:t>
      </w:r>
      <w:r>
        <w:rPr>
          <w:spacing w:val="-16"/>
        </w:rPr>
        <w:t> </w:t>
      </w:r>
      <w:r>
        <w:rPr/>
        <w:t>inclusivos, seguros, resilientes y sostenibles. Entre sus metas, están proporcionar acceso a sistemas de transporte seguros, asequibles, accesibles y sostenibles para todos y mejorar la seguridad vial, en particular, mediante la ampliación del transporte público, prestando especial atención a las necesidades de las personas en situación de vulnerabilidad, las mujeres, los niños, las personas con discapacidad y las personas de edad.</w:t>
      </w:r>
    </w:p>
    <w:p>
      <w:pPr>
        <w:pStyle w:val="BodyText"/>
        <w:spacing w:before="240"/>
        <w:ind w:left="992" w:right="988"/>
        <w:jc w:val="both"/>
      </w:pPr>
      <w:r>
        <w:rPr/>
        <w:t>El</w:t>
      </w:r>
      <w:r>
        <w:rPr>
          <w:spacing w:val="-12"/>
        </w:rPr>
        <w:t> </w:t>
      </w:r>
      <w:r>
        <w:rPr/>
        <w:t>Acuerdo</w:t>
      </w:r>
      <w:r>
        <w:rPr>
          <w:spacing w:val="-12"/>
        </w:rPr>
        <w:t> </w:t>
      </w:r>
      <w:r>
        <w:rPr/>
        <w:t>de</w:t>
      </w:r>
      <w:r>
        <w:rPr>
          <w:spacing w:val="-14"/>
        </w:rPr>
        <w:t> </w:t>
      </w:r>
      <w:r>
        <w:rPr/>
        <w:t>París</w:t>
      </w:r>
      <w:r>
        <w:rPr>
          <w:spacing w:val="-11"/>
        </w:rPr>
        <w:t> </w:t>
      </w:r>
      <w:r>
        <w:rPr/>
        <w:t>de</w:t>
      </w:r>
      <w:r>
        <w:rPr>
          <w:spacing w:val="-14"/>
        </w:rPr>
        <w:t> </w:t>
      </w:r>
      <w:r>
        <w:rPr/>
        <w:t>2015,</w:t>
      </w:r>
      <w:r>
        <w:rPr>
          <w:spacing w:val="-10"/>
        </w:rPr>
        <w:t> </w:t>
      </w:r>
      <w:r>
        <w:rPr/>
        <w:t>sobre</w:t>
      </w:r>
      <w:r>
        <w:rPr>
          <w:spacing w:val="-11"/>
        </w:rPr>
        <w:t> </w:t>
      </w:r>
      <w:r>
        <w:rPr/>
        <w:t>cambio</w:t>
      </w:r>
      <w:r>
        <w:rPr>
          <w:spacing w:val="-11"/>
        </w:rPr>
        <w:t> </w:t>
      </w:r>
      <w:r>
        <w:rPr/>
        <w:t>climático,</w:t>
      </w:r>
      <w:r>
        <w:rPr>
          <w:spacing w:val="-10"/>
        </w:rPr>
        <w:t> </w:t>
      </w:r>
      <w:r>
        <w:rPr/>
        <w:t>adoptado</w:t>
      </w:r>
      <w:r>
        <w:rPr>
          <w:spacing w:val="-11"/>
        </w:rPr>
        <w:t> </w:t>
      </w:r>
      <w:r>
        <w:rPr/>
        <w:t>en</w:t>
      </w:r>
      <w:r>
        <w:rPr>
          <w:spacing w:val="-14"/>
        </w:rPr>
        <w:t> </w:t>
      </w:r>
      <w:r>
        <w:rPr/>
        <w:t>la</w:t>
      </w:r>
      <w:r>
        <w:rPr>
          <w:spacing w:val="-11"/>
        </w:rPr>
        <w:t> </w:t>
      </w:r>
      <w:r>
        <w:rPr/>
        <w:t>21.ª</w:t>
      </w:r>
      <w:r>
        <w:rPr>
          <w:spacing w:val="-16"/>
        </w:rPr>
        <w:t> </w:t>
      </w:r>
      <w:r>
        <w:rPr/>
        <w:t>Conferencia</w:t>
      </w:r>
      <w:r>
        <w:rPr>
          <w:spacing w:val="-10"/>
        </w:rPr>
        <w:t> </w:t>
      </w:r>
      <w:r>
        <w:rPr/>
        <w:t>de</w:t>
      </w:r>
      <w:r>
        <w:rPr>
          <w:spacing w:val="-14"/>
        </w:rPr>
        <w:t> </w:t>
      </w:r>
      <w:r>
        <w:rPr/>
        <w:t>las</w:t>
      </w:r>
      <w:r>
        <w:rPr>
          <w:spacing w:val="-11"/>
        </w:rPr>
        <w:t> </w:t>
      </w:r>
      <w:r>
        <w:rPr/>
        <w:t>Partes de la Convención Marco de las Naciones Unidas sobre el Cambio Climático tiene como objetivos evitar que el incremento de la temperatura media global del planeta supere los 2ºC respecto a los niveles preindustriales y promover esfuerzos adicionales que hagan posible que el calentamiento global no supere los 1,5ºC. Además, reconoce la necesidad de que las emisiones globales toquen techo lo antes posible y establece la necesidad de conseguir la neutralidad climática, es decir, un equilibrio</w:t>
      </w:r>
      <w:r>
        <w:rPr>
          <w:spacing w:val="-12"/>
        </w:rPr>
        <w:t> </w:t>
      </w:r>
      <w:r>
        <w:rPr/>
        <w:t>entre</w:t>
      </w:r>
      <w:r>
        <w:rPr>
          <w:spacing w:val="-11"/>
        </w:rPr>
        <w:t> </w:t>
      </w:r>
      <w:r>
        <w:rPr/>
        <w:t>las</w:t>
      </w:r>
      <w:r>
        <w:rPr>
          <w:spacing w:val="-14"/>
        </w:rPr>
        <w:t> </w:t>
      </w:r>
      <w:r>
        <w:rPr/>
        <w:t>emisiones</w:t>
      </w:r>
      <w:r>
        <w:rPr>
          <w:spacing w:val="-11"/>
        </w:rPr>
        <w:t> </w:t>
      </w:r>
      <w:r>
        <w:rPr/>
        <w:t>y</w:t>
      </w:r>
      <w:r>
        <w:rPr>
          <w:spacing w:val="-13"/>
        </w:rPr>
        <w:t> </w:t>
      </w:r>
      <w:r>
        <w:rPr/>
        <w:t>las</w:t>
      </w:r>
      <w:r>
        <w:rPr>
          <w:spacing w:val="-11"/>
        </w:rPr>
        <w:t> </w:t>
      </w:r>
      <w:r>
        <w:rPr/>
        <w:t>absorciones</w:t>
      </w:r>
      <w:r>
        <w:rPr>
          <w:spacing w:val="-11"/>
        </w:rPr>
        <w:t> </w:t>
      </w:r>
      <w:r>
        <w:rPr/>
        <w:t>de</w:t>
      </w:r>
      <w:r>
        <w:rPr>
          <w:spacing w:val="-16"/>
        </w:rPr>
        <w:t> </w:t>
      </w:r>
      <w:r>
        <w:rPr/>
        <w:t>gases</w:t>
      </w:r>
      <w:r>
        <w:rPr>
          <w:spacing w:val="-10"/>
        </w:rPr>
        <w:t> </w:t>
      </w:r>
      <w:r>
        <w:rPr/>
        <w:t>de</w:t>
      </w:r>
      <w:r>
        <w:rPr>
          <w:spacing w:val="-14"/>
        </w:rPr>
        <w:t> </w:t>
      </w:r>
      <w:r>
        <w:rPr/>
        <w:t>efecto</w:t>
      </w:r>
      <w:r>
        <w:rPr>
          <w:spacing w:val="-11"/>
        </w:rPr>
        <w:t> </w:t>
      </w:r>
      <w:r>
        <w:rPr/>
        <w:t>invernadero</w:t>
      </w:r>
      <w:r>
        <w:rPr>
          <w:spacing w:val="-11"/>
        </w:rPr>
        <w:t> </w:t>
      </w:r>
      <w:r>
        <w:rPr/>
        <w:t>en</w:t>
      </w:r>
      <w:r>
        <w:rPr>
          <w:spacing w:val="-14"/>
        </w:rPr>
        <w:t> </w:t>
      </w:r>
      <w:r>
        <w:rPr/>
        <w:t>la</w:t>
      </w:r>
      <w:r>
        <w:rPr>
          <w:spacing w:val="-11"/>
        </w:rPr>
        <w:t> </w:t>
      </w:r>
      <w:r>
        <w:rPr/>
        <w:t>segunda</w:t>
      </w:r>
      <w:r>
        <w:rPr>
          <w:spacing w:val="-14"/>
        </w:rPr>
        <w:t> </w:t>
      </w:r>
      <w:r>
        <w:rPr/>
        <w:t>mitad de siglo.</w:t>
      </w:r>
    </w:p>
    <w:p>
      <w:pPr>
        <w:pStyle w:val="BodyText"/>
        <w:spacing w:before="239"/>
        <w:ind w:left="992" w:right="987"/>
        <w:jc w:val="both"/>
      </w:pPr>
      <w:r>
        <w:rPr/>
        <w:t>Para asegurar el</w:t>
      </w:r>
      <w:r>
        <w:rPr>
          <w:spacing w:val="-1"/>
        </w:rPr>
        <w:t> </w:t>
      </w:r>
      <w:r>
        <w:rPr/>
        <w:t>cumplimiento de los</w:t>
      </w:r>
      <w:r>
        <w:rPr>
          <w:spacing w:val="-2"/>
        </w:rPr>
        <w:t> </w:t>
      </w:r>
      <w:r>
        <w:rPr/>
        <w:t>objetivos de este acuerdo, la Ley 7/2021, de 20</w:t>
      </w:r>
      <w:r>
        <w:rPr>
          <w:spacing w:val="-2"/>
        </w:rPr>
        <w:t> </w:t>
      </w:r>
      <w:r>
        <w:rPr/>
        <w:t>de</w:t>
      </w:r>
      <w:r>
        <w:rPr>
          <w:spacing w:val="-2"/>
        </w:rPr>
        <w:t> </w:t>
      </w:r>
      <w:r>
        <w:rPr/>
        <w:t>mayo, de cambio</w:t>
      </w:r>
      <w:r>
        <w:rPr>
          <w:spacing w:val="-16"/>
        </w:rPr>
        <w:t> </w:t>
      </w:r>
      <w:r>
        <w:rPr/>
        <w:t>climático</w:t>
      </w:r>
      <w:r>
        <w:rPr>
          <w:spacing w:val="-15"/>
        </w:rPr>
        <w:t> </w:t>
      </w:r>
      <w:r>
        <w:rPr/>
        <w:t>y</w:t>
      </w:r>
      <w:r>
        <w:rPr>
          <w:spacing w:val="-15"/>
        </w:rPr>
        <w:t> </w:t>
      </w:r>
      <w:r>
        <w:rPr/>
        <w:t>transición</w:t>
      </w:r>
      <w:r>
        <w:rPr>
          <w:spacing w:val="-16"/>
        </w:rPr>
        <w:t> </w:t>
      </w:r>
      <w:r>
        <w:rPr/>
        <w:t>energética,</w:t>
      </w:r>
      <w:r>
        <w:rPr>
          <w:spacing w:val="-15"/>
        </w:rPr>
        <w:t> </w:t>
      </w:r>
      <w:r>
        <w:rPr/>
        <w:t>promueve</w:t>
      </w:r>
      <w:r>
        <w:rPr>
          <w:spacing w:val="-15"/>
        </w:rPr>
        <w:t> </w:t>
      </w:r>
      <w:r>
        <w:rPr/>
        <w:t>una</w:t>
      </w:r>
      <w:r>
        <w:rPr>
          <w:spacing w:val="-15"/>
        </w:rPr>
        <w:t> </w:t>
      </w:r>
      <w:r>
        <w:rPr/>
        <w:t>serie</w:t>
      </w:r>
      <w:r>
        <w:rPr>
          <w:spacing w:val="-16"/>
        </w:rPr>
        <w:t> </w:t>
      </w:r>
      <w:r>
        <w:rPr/>
        <w:t>de</w:t>
      </w:r>
      <w:r>
        <w:rPr>
          <w:spacing w:val="-15"/>
        </w:rPr>
        <w:t> </w:t>
      </w:r>
      <w:r>
        <w:rPr/>
        <w:t>medidas.</w:t>
      </w:r>
      <w:r>
        <w:rPr>
          <w:spacing w:val="-15"/>
        </w:rPr>
        <w:t> </w:t>
      </w:r>
      <w:r>
        <w:rPr/>
        <w:t>Una</w:t>
      </w:r>
      <w:r>
        <w:rPr>
          <w:spacing w:val="-16"/>
        </w:rPr>
        <w:t> </w:t>
      </w:r>
      <w:r>
        <w:rPr/>
        <w:t>de</w:t>
      </w:r>
      <w:r>
        <w:rPr>
          <w:spacing w:val="-15"/>
        </w:rPr>
        <w:t> </w:t>
      </w:r>
      <w:r>
        <w:rPr/>
        <w:t>ellas</w:t>
      </w:r>
      <w:r>
        <w:rPr>
          <w:spacing w:val="-15"/>
        </w:rPr>
        <w:t> </w:t>
      </w:r>
      <w:r>
        <w:rPr/>
        <w:t>es</w:t>
      </w:r>
      <w:r>
        <w:rPr>
          <w:spacing w:val="-15"/>
        </w:rPr>
        <w:t> </w:t>
      </w:r>
      <w:r>
        <w:rPr/>
        <w:t>la</w:t>
      </w:r>
      <w:r>
        <w:rPr>
          <w:spacing w:val="-16"/>
        </w:rPr>
        <w:t> </w:t>
      </w:r>
      <w:r>
        <w:rPr/>
        <w:t>prevista en su artículo 14.3, que exige que los municipios de más de 50.000 habitantes y los territorios insulares hayan adoptado antes de 2023 PMUS que introduzcan, al menos, una serie de medidas relacionadas en ese precepto. Entre estas medidas están las comprendidas en sus apartados c) y d), consistentes en la mejora y uso de la red de transporte público, incluyendo medidas de integración multimodal, así como la electrificación de la red de transporte público y otros combustibles sin emisiones de gases de efecto invernadero, como el biometano</w:t>
      </w:r>
      <w:hyperlink w:history="true" w:anchor="_bookmark28">
        <w:r>
          <w:rPr>
            <w:vertAlign w:val="superscript"/>
          </w:rPr>
          <w:t>11</w:t>
        </w:r>
      </w:hyperlink>
      <w:r>
        <w:rPr>
          <w:vertAlign w:val="baseline"/>
        </w:rPr>
        <w:t>.</w:t>
      </w:r>
    </w:p>
    <w:p>
      <w:pPr>
        <w:pStyle w:val="BodyText"/>
        <w:spacing w:before="242"/>
        <w:ind w:left="992" w:right="988"/>
        <w:jc w:val="both"/>
      </w:pPr>
      <w:r>
        <w:rPr/>
        <w:t>La Ley 2/2011, de</w:t>
      </w:r>
      <w:r>
        <w:rPr>
          <w:spacing w:val="-2"/>
        </w:rPr>
        <w:t> </w:t>
      </w:r>
      <w:r>
        <w:rPr/>
        <w:t>4 de</w:t>
      </w:r>
      <w:r>
        <w:rPr>
          <w:spacing w:val="-4"/>
        </w:rPr>
        <w:t> </w:t>
      </w:r>
      <w:r>
        <w:rPr/>
        <w:t>marzo, de</w:t>
      </w:r>
      <w:r>
        <w:rPr>
          <w:spacing w:val="-2"/>
        </w:rPr>
        <w:t> </w:t>
      </w:r>
      <w:r>
        <w:rPr/>
        <w:t>Economía</w:t>
      </w:r>
      <w:r>
        <w:rPr>
          <w:spacing w:val="-2"/>
        </w:rPr>
        <w:t> </w:t>
      </w:r>
      <w:r>
        <w:rPr/>
        <w:t>Sostenible, define en</w:t>
      </w:r>
      <w:r>
        <w:rPr>
          <w:spacing w:val="-2"/>
        </w:rPr>
        <w:t> </w:t>
      </w:r>
      <w:r>
        <w:rPr/>
        <w:t>su artículo 101</w:t>
      </w:r>
      <w:r>
        <w:rPr>
          <w:spacing w:val="-2"/>
        </w:rPr>
        <w:t> </w:t>
      </w:r>
      <w:r>
        <w:rPr/>
        <w:t>los PMUS como un</w:t>
      </w:r>
      <w:r>
        <w:rPr>
          <w:spacing w:val="-4"/>
        </w:rPr>
        <w:t> </w:t>
      </w:r>
      <w:r>
        <w:rPr/>
        <w:t>conjunto</w:t>
      </w:r>
      <w:r>
        <w:rPr>
          <w:spacing w:val="-4"/>
        </w:rPr>
        <w:t> </w:t>
      </w:r>
      <w:r>
        <w:rPr/>
        <w:t>de</w:t>
      </w:r>
      <w:r>
        <w:rPr>
          <w:spacing w:val="-4"/>
        </w:rPr>
        <w:t> </w:t>
      </w:r>
      <w:r>
        <w:rPr/>
        <w:t>actuaciones</w:t>
      </w:r>
      <w:r>
        <w:rPr>
          <w:spacing w:val="-4"/>
        </w:rPr>
        <w:t> </w:t>
      </w:r>
      <w:r>
        <w:rPr/>
        <w:t>que</w:t>
      </w:r>
      <w:r>
        <w:rPr>
          <w:spacing w:val="-4"/>
        </w:rPr>
        <w:t> </w:t>
      </w:r>
      <w:r>
        <w:rPr/>
        <w:t>tienen</w:t>
      </w:r>
      <w:r>
        <w:rPr>
          <w:spacing w:val="-4"/>
        </w:rPr>
        <w:t> </w:t>
      </w:r>
      <w:r>
        <w:rPr/>
        <w:t>como</w:t>
      </w:r>
      <w:r>
        <w:rPr>
          <w:spacing w:val="-4"/>
        </w:rPr>
        <w:t> </w:t>
      </w:r>
      <w:r>
        <w:rPr/>
        <w:t>objetivo</w:t>
      </w:r>
      <w:r>
        <w:rPr>
          <w:spacing w:val="-4"/>
        </w:rPr>
        <w:t> </w:t>
      </w:r>
      <w:r>
        <w:rPr/>
        <w:t>la</w:t>
      </w:r>
      <w:r>
        <w:rPr>
          <w:spacing w:val="-4"/>
        </w:rPr>
        <w:t> </w:t>
      </w:r>
      <w:r>
        <w:rPr/>
        <w:t>implantación</w:t>
      </w:r>
      <w:r>
        <w:rPr>
          <w:spacing w:val="-4"/>
        </w:rPr>
        <w:t> </w:t>
      </w:r>
      <w:r>
        <w:rPr/>
        <w:t>de</w:t>
      </w:r>
      <w:r>
        <w:rPr>
          <w:spacing w:val="-7"/>
        </w:rPr>
        <w:t> </w:t>
      </w:r>
      <w:r>
        <w:rPr/>
        <w:t>formas</w:t>
      </w:r>
      <w:r>
        <w:rPr>
          <w:spacing w:val="-4"/>
        </w:rPr>
        <w:t> </w:t>
      </w:r>
      <w:r>
        <w:rPr/>
        <w:t>de</w:t>
      </w:r>
      <w:r>
        <w:rPr>
          <w:spacing w:val="-4"/>
        </w:rPr>
        <w:t> </w:t>
      </w:r>
      <w:r>
        <w:rPr/>
        <w:t>desplazamiento más sostenibles en el ámbito geográfico que corresponda, priorizando la reducción del transporte individual en beneficio de los sistemas colectivos y de otros modos no motorizados de transportes y</w:t>
      </w:r>
      <w:r>
        <w:rPr>
          <w:spacing w:val="-14"/>
        </w:rPr>
        <w:t> </w:t>
      </w:r>
      <w:r>
        <w:rPr/>
        <w:t>desarrollando</w:t>
      </w:r>
      <w:r>
        <w:rPr>
          <w:spacing w:val="-15"/>
        </w:rPr>
        <w:t> </w:t>
      </w:r>
      <w:r>
        <w:rPr/>
        <w:t>aquellos</w:t>
      </w:r>
      <w:r>
        <w:rPr>
          <w:spacing w:val="-14"/>
        </w:rPr>
        <w:t> </w:t>
      </w:r>
      <w:r>
        <w:rPr/>
        <w:t>que</w:t>
      </w:r>
      <w:r>
        <w:rPr>
          <w:spacing w:val="-15"/>
        </w:rPr>
        <w:t> </w:t>
      </w:r>
      <w:r>
        <w:rPr/>
        <w:t>hagan</w:t>
      </w:r>
      <w:r>
        <w:rPr>
          <w:spacing w:val="-15"/>
        </w:rPr>
        <w:t> </w:t>
      </w:r>
      <w:r>
        <w:rPr/>
        <w:t>compatibles</w:t>
      </w:r>
      <w:r>
        <w:rPr>
          <w:spacing w:val="-14"/>
        </w:rPr>
        <w:t> </w:t>
      </w:r>
      <w:r>
        <w:rPr/>
        <w:t>crecimiento</w:t>
      </w:r>
      <w:r>
        <w:rPr>
          <w:spacing w:val="-15"/>
        </w:rPr>
        <w:t> </w:t>
      </w:r>
      <w:r>
        <w:rPr/>
        <w:t>económico,</w:t>
      </w:r>
      <w:r>
        <w:rPr>
          <w:spacing w:val="-16"/>
        </w:rPr>
        <w:t> </w:t>
      </w:r>
      <w:r>
        <w:rPr/>
        <w:t>cohesión</w:t>
      </w:r>
      <w:r>
        <w:rPr>
          <w:spacing w:val="-14"/>
        </w:rPr>
        <w:t> </w:t>
      </w:r>
      <w:r>
        <w:rPr/>
        <w:t>social,</w:t>
      </w:r>
      <w:r>
        <w:rPr>
          <w:spacing w:val="-13"/>
        </w:rPr>
        <w:t> </w:t>
      </w:r>
      <w:r>
        <w:rPr/>
        <w:t>seguridad vial</w:t>
      </w:r>
      <w:r>
        <w:rPr>
          <w:spacing w:val="-4"/>
        </w:rPr>
        <w:t> </w:t>
      </w:r>
      <w:r>
        <w:rPr/>
        <w:t>y</w:t>
      </w:r>
      <w:r>
        <w:rPr>
          <w:spacing w:val="-3"/>
        </w:rPr>
        <w:t> </w:t>
      </w:r>
      <w:r>
        <w:rPr/>
        <w:t>defensa</w:t>
      </w:r>
      <w:r>
        <w:rPr>
          <w:spacing w:val="-3"/>
        </w:rPr>
        <w:t> </w:t>
      </w:r>
      <w:r>
        <w:rPr/>
        <w:t>del</w:t>
      </w:r>
      <w:r>
        <w:rPr>
          <w:spacing w:val="-4"/>
        </w:rPr>
        <w:t> </w:t>
      </w:r>
      <w:r>
        <w:rPr/>
        <w:t>medio</w:t>
      </w:r>
      <w:r>
        <w:rPr>
          <w:spacing w:val="-5"/>
        </w:rPr>
        <w:t> </w:t>
      </w:r>
      <w:r>
        <w:rPr/>
        <w:t>ambiente,</w:t>
      </w:r>
      <w:r>
        <w:rPr>
          <w:spacing w:val="-4"/>
        </w:rPr>
        <w:t> </w:t>
      </w:r>
      <w:r>
        <w:rPr/>
        <w:t>garantizando,</w:t>
      </w:r>
      <w:r>
        <w:rPr>
          <w:spacing w:val="-4"/>
        </w:rPr>
        <w:t> </w:t>
      </w:r>
      <w:r>
        <w:rPr/>
        <w:t>de</w:t>
      </w:r>
      <w:r>
        <w:rPr>
          <w:spacing w:val="-3"/>
        </w:rPr>
        <w:t> </w:t>
      </w:r>
      <w:r>
        <w:rPr/>
        <w:t>esta</w:t>
      </w:r>
      <w:r>
        <w:rPr>
          <w:spacing w:val="-5"/>
        </w:rPr>
        <w:t> </w:t>
      </w:r>
      <w:r>
        <w:rPr/>
        <w:t>forma,</w:t>
      </w:r>
      <w:r>
        <w:rPr>
          <w:spacing w:val="-2"/>
        </w:rPr>
        <w:t> </w:t>
      </w:r>
      <w:r>
        <w:rPr/>
        <w:t>una</w:t>
      </w:r>
      <w:r>
        <w:rPr>
          <w:spacing w:val="-5"/>
        </w:rPr>
        <w:t> </w:t>
      </w:r>
      <w:r>
        <w:rPr/>
        <w:t>mejor</w:t>
      </w:r>
      <w:r>
        <w:rPr>
          <w:spacing w:val="-5"/>
        </w:rPr>
        <w:t> </w:t>
      </w:r>
      <w:r>
        <w:rPr/>
        <w:t>calidad</w:t>
      </w:r>
      <w:r>
        <w:rPr>
          <w:spacing w:val="-3"/>
        </w:rPr>
        <w:t> </w:t>
      </w:r>
      <w:r>
        <w:rPr/>
        <w:t>de</w:t>
      </w:r>
      <w:r>
        <w:rPr>
          <w:spacing w:val="-3"/>
        </w:rPr>
        <w:t> </w:t>
      </w:r>
      <w:r>
        <w:rPr/>
        <w:t>vida</w:t>
      </w:r>
      <w:r>
        <w:rPr>
          <w:spacing w:val="-3"/>
        </w:rPr>
        <w:t> </w:t>
      </w:r>
      <w:r>
        <w:rPr/>
        <w:t>para</w:t>
      </w:r>
      <w:r>
        <w:rPr>
          <w:spacing w:val="-3"/>
        </w:rPr>
        <w:t> </w:t>
      </w:r>
      <w:r>
        <w:rPr/>
        <w:t>los ciudadanos. Estos planes deberán incluir iniciativas que reduzcan eficazmente el impacto medioambiental de la movilidad, al menor coste posible.</w:t>
      </w:r>
    </w:p>
    <w:p>
      <w:pPr>
        <w:pStyle w:val="BodyText"/>
        <w:spacing w:before="240"/>
        <w:ind w:left="992" w:right="988"/>
        <w:jc w:val="both"/>
      </w:pPr>
      <w:r>
        <w:rPr/>
        <w:t>En</w:t>
      </w:r>
      <w:r>
        <w:rPr>
          <w:spacing w:val="-6"/>
        </w:rPr>
        <w:t> </w:t>
      </w:r>
      <w:r>
        <w:rPr/>
        <w:t>el</w:t>
      </w:r>
      <w:r>
        <w:rPr>
          <w:spacing w:val="-7"/>
        </w:rPr>
        <w:t> </w:t>
      </w:r>
      <w:r>
        <w:rPr/>
        <w:t>ámbito</w:t>
      </w:r>
      <w:r>
        <w:rPr>
          <w:spacing w:val="-9"/>
        </w:rPr>
        <w:t> </w:t>
      </w:r>
      <w:r>
        <w:rPr/>
        <w:t>local,</w:t>
      </w:r>
      <w:r>
        <w:rPr>
          <w:spacing w:val="-5"/>
        </w:rPr>
        <w:t> </w:t>
      </w:r>
      <w:r>
        <w:rPr/>
        <w:t>el</w:t>
      </w:r>
      <w:r>
        <w:rPr>
          <w:spacing w:val="-7"/>
        </w:rPr>
        <w:t> </w:t>
      </w:r>
      <w:r>
        <w:rPr/>
        <w:t>Pacto</w:t>
      </w:r>
      <w:r>
        <w:rPr>
          <w:spacing w:val="-6"/>
        </w:rPr>
        <w:t> </w:t>
      </w:r>
      <w:r>
        <w:rPr/>
        <w:t>de</w:t>
      </w:r>
      <w:r>
        <w:rPr>
          <w:spacing w:val="-7"/>
        </w:rPr>
        <w:t> </w:t>
      </w:r>
      <w:r>
        <w:rPr/>
        <w:t>Alcaldes</w:t>
      </w:r>
      <w:r>
        <w:rPr>
          <w:spacing w:val="-6"/>
        </w:rPr>
        <w:t> </w:t>
      </w:r>
      <w:r>
        <w:rPr/>
        <w:t>es</w:t>
      </w:r>
      <w:r>
        <w:rPr>
          <w:spacing w:val="-9"/>
        </w:rPr>
        <w:t> </w:t>
      </w:r>
      <w:r>
        <w:rPr/>
        <w:t>la</w:t>
      </w:r>
      <w:r>
        <w:rPr>
          <w:spacing w:val="-6"/>
        </w:rPr>
        <w:t> </w:t>
      </w:r>
      <w:r>
        <w:rPr/>
        <w:t>principal</w:t>
      </w:r>
      <w:r>
        <w:rPr>
          <w:spacing w:val="-7"/>
        </w:rPr>
        <w:t> </w:t>
      </w:r>
      <w:r>
        <w:rPr/>
        <w:t>iniciativa</w:t>
      </w:r>
      <w:r>
        <w:rPr>
          <w:spacing w:val="-7"/>
        </w:rPr>
        <w:t> </w:t>
      </w:r>
      <w:r>
        <w:rPr/>
        <w:t>impulsada</w:t>
      </w:r>
      <w:r>
        <w:rPr>
          <w:spacing w:val="-6"/>
        </w:rPr>
        <w:t> </w:t>
      </w:r>
      <w:r>
        <w:rPr/>
        <w:t>por</w:t>
      </w:r>
      <w:r>
        <w:rPr>
          <w:spacing w:val="-5"/>
        </w:rPr>
        <w:t> </w:t>
      </w:r>
      <w:r>
        <w:rPr/>
        <w:t>la</w:t>
      </w:r>
      <w:r>
        <w:rPr>
          <w:spacing w:val="-6"/>
        </w:rPr>
        <w:t> </w:t>
      </w:r>
      <w:r>
        <w:rPr/>
        <w:t>Comisión</w:t>
      </w:r>
      <w:r>
        <w:rPr>
          <w:spacing w:val="-7"/>
        </w:rPr>
        <w:t> </w:t>
      </w:r>
      <w:r>
        <w:rPr/>
        <w:t>Europea desde el año 2008, en la que participan las autoridades locales y regionales asumiendo el compromiso voluntario de mejorar la eficiencia energética y fomentar el uso de energía renovable en sus territorios. Las entidades firmantes de este Pacto deben elaborar y entregar un Plan de Acción para el Clima y la Energía Sostenible (PACES), donde han de relacionar las acciones que</w:t>
      </w:r>
    </w:p>
    <w:p>
      <w:pPr>
        <w:pStyle w:val="BodyText"/>
        <w:rPr>
          <w:sz w:val="20"/>
        </w:rPr>
      </w:pPr>
    </w:p>
    <w:p>
      <w:pPr>
        <w:pStyle w:val="BodyText"/>
        <w:spacing w:before="27"/>
        <w:rPr>
          <w:sz w:val="20"/>
        </w:rPr>
      </w:pPr>
      <w:r>
        <w:rPr>
          <w:sz w:val="20"/>
        </w:rPr>
        <mc:AlternateContent>
          <mc:Choice Requires="wps">
            <w:drawing>
              <wp:anchor distT="0" distB="0" distL="0" distR="0" allowOverlap="1" layoutInCell="1" locked="0" behindDoc="1" simplePos="0" relativeHeight="487598592">
                <wp:simplePos x="0" y="0"/>
                <wp:positionH relativeFrom="page">
                  <wp:posOffset>719632</wp:posOffset>
                </wp:positionH>
                <wp:positionV relativeFrom="paragraph">
                  <wp:posOffset>178883</wp:posOffset>
                </wp:positionV>
                <wp:extent cx="1829435" cy="9525"/>
                <wp:effectExtent l="0" t="0" r="0" b="0"/>
                <wp:wrapTopAndBottom/>
                <wp:docPr id="129" name="Graphic 129"/>
                <wp:cNvGraphicFramePr>
                  <a:graphicFrameLocks/>
                </wp:cNvGraphicFramePr>
                <a:graphic>
                  <a:graphicData uri="http://schemas.microsoft.com/office/word/2010/wordprocessingShape">
                    <wps:wsp>
                      <wps:cNvPr id="129" name="Graphic 129"/>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4.085346pt;width:144.020pt;height:.71997pt;mso-position-horizontal-relative:page;mso-position-vertical-relative:paragraph;z-index:-15717888;mso-wrap-distance-left:0;mso-wrap-distance-right:0" id="docshape111" filled="true" fillcolor="#000000" stroked="false">
                <v:fill type="solid"/>
                <w10:wrap type="topAndBottom"/>
              </v:rect>
            </w:pict>
          </mc:Fallback>
        </mc:AlternateContent>
      </w:r>
    </w:p>
    <w:p>
      <w:pPr>
        <w:spacing w:line="244" w:lineRule="auto" w:before="124"/>
        <w:ind w:left="992" w:right="999" w:firstLine="0"/>
        <w:jc w:val="both"/>
        <w:rPr>
          <w:sz w:val="18"/>
        </w:rPr>
      </w:pPr>
      <w:bookmarkStart w:name="_bookmark28" w:id="30"/>
      <w:bookmarkEnd w:id="30"/>
      <w:r>
        <w:rPr/>
      </w:r>
      <w:r>
        <w:rPr>
          <w:rFonts w:ascii="Calibri" w:hAnsi="Calibri"/>
          <w:position w:val="5"/>
          <w:sz w:val="12"/>
        </w:rPr>
        <w:t>11</w:t>
      </w:r>
      <w:r>
        <w:rPr>
          <w:rFonts w:ascii="Calibri" w:hAnsi="Calibri"/>
          <w:spacing w:val="37"/>
          <w:position w:val="5"/>
          <w:sz w:val="12"/>
        </w:rPr>
        <w:t> </w:t>
      </w:r>
      <w:r>
        <w:rPr>
          <w:sz w:val="18"/>
        </w:rPr>
        <w:t>Lo dispuesto en este apartado será aplicable a los municipios de más de 20.000 habitantes cuando se superen los valores</w:t>
      </w:r>
      <w:r>
        <w:rPr>
          <w:spacing w:val="-11"/>
          <w:sz w:val="18"/>
        </w:rPr>
        <w:t> </w:t>
      </w:r>
      <w:r>
        <w:rPr>
          <w:sz w:val="18"/>
        </w:rPr>
        <w:t>límite</w:t>
      </w:r>
      <w:r>
        <w:rPr>
          <w:spacing w:val="-11"/>
          <w:sz w:val="18"/>
        </w:rPr>
        <w:t> </w:t>
      </w:r>
      <w:r>
        <w:rPr>
          <w:sz w:val="18"/>
        </w:rPr>
        <w:t>de</w:t>
      </w:r>
      <w:r>
        <w:rPr>
          <w:spacing w:val="-11"/>
          <w:sz w:val="18"/>
        </w:rPr>
        <w:t> </w:t>
      </w:r>
      <w:r>
        <w:rPr>
          <w:sz w:val="18"/>
        </w:rPr>
        <w:t>los</w:t>
      </w:r>
      <w:r>
        <w:rPr>
          <w:spacing w:val="-11"/>
          <w:sz w:val="18"/>
        </w:rPr>
        <w:t> </w:t>
      </w:r>
      <w:r>
        <w:rPr>
          <w:sz w:val="18"/>
        </w:rPr>
        <w:t>contaminantes</w:t>
      </w:r>
      <w:r>
        <w:rPr>
          <w:spacing w:val="-11"/>
          <w:sz w:val="18"/>
        </w:rPr>
        <w:t> </w:t>
      </w:r>
      <w:r>
        <w:rPr>
          <w:sz w:val="18"/>
        </w:rPr>
        <w:t>regulados</w:t>
      </w:r>
      <w:r>
        <w:rPr>
          <w:spacing w:val="-11"/>
          <w:sz w:val="18"/>
        </w:rPr>
        <w:t> </w:t>
      </w:r>
      <w:r>
        <w:rPr>
          <w:sz w:val="18"/>
        </w:rPr>
        <w:t>en</w:t>
      </w:r>
      <w:r>
        <w:rPr>
          <w:spacing w:val="-11"/>
          <w:sz w:val="18"/>
        </w:rPr>
        <w:t> </w:t>
      </w:r>
      <w:r>
        <w:rPr>
          <w:sz w:val="18"/>
        </w:rPr>
        <w:t>Real</w:t>
      </w:r>
      <w:r>
        <w:rPr>
          <w:spacing w:val="-11"/>
          <w:sz w:val="18"/>
        </w:rPr>
        <w:t> </w:t>
      </w:r>
      <w:r>
        <w:rPr>
          <w:sz w:val="18"/>
        </w:rPr>
        <w:t>Decreto</w:t>
      </w:r>
      <w:r>
        <w:rPr>
          <w:spacing w:val="-9"/>
          <w:sz w:val="18"/>
        </w:rPr>
        <w:t> </w:t>
      </w:r>
      <w:r>
        <w:rPr>
          <w:sz w:val="18"/>
        </w:rPr>
        <w:t>102/2011,</w:t>
      </w:r>
      <w:r>
        <w:rPr>
          <w:spacing w:val="-11"/>
          <w:sz w:val="18"/>
        </w:rPr>
        <w:t> </w:t>
      </w:r>
      <w:r>
        <w:rPr>
          <w:sz w:val="18"/>
        </w:rPr>
        <w:t>de</w:t>
      </w:r>
      <w:r>
        <w:rPr>
          <w:spacing w:val="-11"/>
          <w:sz w:val="18"/>
        </w:rPr>
        <w:t> </w:t>
      </w:r>
      <w:r>
        <w:rPr>
          <w:sz w:val="18"/>
        </w:rPr>
        <w:t>28</w:t>
      </w:r>
      <w:r>
        <w:rPr>
          <w:spacing w:val="-11"/>
          <w:sz w:val="18"/>
        </w:rPr>
        <w:t> </w:t>
      </w:r>
      <w:r>
        <w:rPr>
          <w:sz w:val="18"/>
        </w:rPr>
        <w:t>de</w:t>
      </w:r>
      <w:r>
        <w:rPr>
          <w:spacing w:val="-11"/>
          <w:sz w:val="18"/>
        </w:rPr>
        <w:t> </w:t>
      </w:r>
      <w:r>
        <w:rPr>
          <w:sz w:val="18"/>
        </w:rPr>
        <w:t>enero,</w:t>
      </w:r>
      <w:r>
        <w:rPr>
          <w:spacing w:val="-9"/>
          <w:sz w:val="18"/>
        </w:rPr>
        <w:t> </w:t>
      </w:r>
      <w:r>
        <w:rPr>
          <w:sz w:val="18"/>
        </w:rPr>
        <w:t>relativo</w:t>
      </w:r>
      <w:r>
        <w:rPr>
          <w:spacing w:val="-11"/>
          <w:sz w:val="18"/>
        </w:rPr>
        <w:t> </w:t>
      </w:r>
      <w:r>
        <w:rPr>
          <w:sz w:val="18"/>
        </w:rPr>
        <w:t>a</w:t>
      </w:r>
      <w:r>
        <w:rPr>
          <w:spacing w:val="-9"/>
          <w:sz w:val="18"/>
        </w:rPr>
        <w:t> </w:t>
      </w:r>
      <w:r>
        <w:rPr>
          <w:sz w:val="18"/>
        </w:rPr>
        <w:t>la</w:t>
      </w:r>
      <w:r>
        <w:rPr>
          <w:spacing w:val="-11"/>
          <w:sz w:val="18"/>
        </w:rPr>
        <w:t> </w:t>
      </w:r>
      <w:r>
        <w:rPr>
          <w:sz w:val="18"/>
        </w:rPr>
        <w:t>mejora</w:t>
      </w:r>
      <w:r>
        <w:rPr>
          <w:spacing w:val="-11"/>
          <w:sz w:val="18"/>
        </w:rPr>
        <w:t> </w:t>
      </w:r>
      <w:r>
        <w:rPr>
          <w:sz w:val="18"/>
        </w:rPr>
        <w:t>de</w:t>
      </w:r>
      <w:r>
        <w:rPr>
          <w:spacing w:val="-11"/>
          <w:sz w:val="18"/>
        </w:rPr>
        <w:t> </w:t>
      </w:r>
      <w:r>
        <w:rPr>
          <w:sz w:val="18"/>
        </w:rPr>
        <w:t>la</w:t>
      </w:r>
      <w:r>
        <w:rPr>
          <w:spacing w:val="-11"/>
          <w:sz w:val="18"/>
        </w:rPr>
        <w:t> </w:t>
      </w:r>
      <w:r>
        <w:rPr>
          <w:sz w:val="18"/>
        </w:rPr>
        <w:t>calidad del aire.</w:t>
      </w:r>
    </w:p>
    <w:p>
      <w:pPr>
        <w:spacing w:after="0" w:line="244" w:lineRule="auto"/>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8"/>
        <w:jc w:val="both"/>
      </w:pPr>
      <w:r>
        <w:rPr/>
        <w:t>van a realizar para alcanzar el cumplimiento de los compromisos suscritos</w:t>
      </w:r>
      <w:hyperlink w:history="true" w:anchor="_bookmark29">
        <w:r>
          <w:rPr>
            <w:vertAlign w:val="superscript"/>
          </w:rPr>
          <w:t>12</w:t>
        </w:r>
      </w:hyperlink>
      <w:r>
        <w:rPr>
          <w:vertAlign w:val="baseline"/>
        </w:rPr>
        <w:t>. El transporte es uno de los sectores claves, ya que representa el 14,5 % de las acciones presentadas por los firmantes del Pacto y el 26 % del total de las emisiones.</w:t>
      </w:r>
    </w:p>
    <w:p>
      <w:pPr>
        <w:pStyle w:val="BodyText"/>
        <w:spacing w:before="242"/>
        <w:ind w:left="992" w:right="987"/>
        <w:jc w:val="both"/>
      </w:pPr>
      <w:r>
        <w:rPr/>
        <w:t>En</w:t>
      </w:r>
      <w:r>
        <w:rPr>
          <w:spacing w:val="-6"/>
        </w:rPr>
        <w:t> </w:t>
      </w:r>
      <w:r>
        <w:rPr/>
        <w:t>junio</w:t>
      </w:r>
      <w:r>
        <w:rPr>
          <w:spacing w:val="-6"/>
        </w:rPr>
        <w:t> </w:t>
      </w:r>
      <w:r>
        <w:rPr/>
        <w:t>de</w:t>
      </w:r>
      <w:r>
        <w:rPr>
          <w:spacing w:val="-6"/>
        </w:rPr>
        <w:t> </w:t>
      </w:r>
      <w:r>
        <w:rPr/>
        <w:t>2018</w:t>
      </w:r>
      <w:r>
        <w:rPr>
          <w:spacing w:val="-8"/>
        </w:rPr>
        <w:t> </w:t>
      </w:r>
      <w:r>
        <w:rPr/>
        <w:t>el</w:t>
      </w:r>
      <w:r>
        <w:rPr>
          <w:spacing w:val="-6"/>
        </w:rPr>
        <w:t> </w:t>
      </w:r>
      <w:r>
        <w:rPr/>
        <w:t>Gobierno</w:t>
      </w:r>
      <w:r>
        <w:rPr>
          <w:spacing w:val="-6"/>
        </w:rPr>
        <w:t> </w:t>
      </w:r>
      <w:r>
        <w:rPr/>
        <w:t>aprobó</w:t>
      </w:r>
      <w:r>
        <w:rPr>
          <w:spacing w:val="-8"/>
        </w:rPr>
        <w:t> </w:t>
      </w:r>
      <w:r>
        <w:rPr/>
        <w:t>el</w:t>
      </w:r>
      <w:r>
        <w:rPr>
          <w:spacing w:val="-6"/>
        </w:rPr>
        <w:t> </w:t>
      </w:r>
      <w:r>
        <w:rPr/>
        <w:t>Plan</w:t>
      </w:r>
      <w:r>
        <w:rPr>
          <w:spacing w:val="-7"/>
        </w:rPr>
        <w:t> </w:t>
      </w:r>
      <w:r>
        <w:rPr/>
        <w:t>de</w:t>
      </w:r>
      <w:r>
        <w:rPr>
          <w:spacing w:val="-6"/>
        </w:rPr>
        <w:t> </w:t>
      </w:r>
      <w:r>
        <w:rPr/>
        <w:t>Acción</w:t>
      </w:r>
      <w:r>
        <w:rPr>
          <w:spacing w:val="-7"/>
        </w:rPr>
        <w:t> </w:t>
      </w:r>
      <w:r>
        <w:rPr/>
        <w:t>de</w:t>
      </w:r>
      <w:r>
        <w:rPr>
          <w:spacing w:val="-6"/>
        </w:rPr>
        <w:t> </w:t>
      </w:r>
      <w:r>
        <w:rPr/>
        <w:t>la</w:t>
      </w:r>
      <w:r>
        <w:rPr>
          <w:spacing w:val="-6"/>
        </w:rPr>
        <w:t> </w:t>
      </w:r>
      <w:r>
        <w:rPr/>
        <w:t>Agenda</w:t>
      </w:r>
      <w:r>
        <w:rPr>
          <w:spacing w:val="-6"/>
        </w:rPr>
        <w:t> </w:t>
      </w:r>
      <w:r>
        <w:rPr/>
        <w:t>2030,</w:t>
      </w:r>
      <w:r>
        <w:rPr>
          <w:spacing w:val="-3"/>
        </w:rPr>
        <w:t> </w:t>
      </w:r>
      <w:r>
        <w:rPr/>
        <w:t>en</w:t>
      </w:r>
      <w:r>
        <w:rPr>
          <w:spacing w:val="-6"/>
        </w:rPr>
        <w:t> </w:t>
      </w:r>
      <w:r>
        <w:rPr/>
        <w:t>el</w:t>
      </w:r>
      <w:r>
        <w:rPr>
          <w:spacing w:val="-7"/>
        </w:rPr>
        <w:t> </w:t>
      </w:r>
      <w:r>
        <w:rPr/>
        <w:t>que</w:t>
      </w:r>
      <w:r>
        <w:rPr>
          <w:spacing w:val="-8"/>
        </w:rPr>
        <w:t> </w:t>
      </w:r>
      <w:r>
        <w:rPr/>
        <w:t>se</w:t>
      </w:r>
      <w:r>
        <w:rPr>
          <w:spacing w:val="-6"/>
        </w:rPr>
        <w:t> </w:t>
      </w:r>
      <w:r>
        <w:rPr/>
        <w:t>señala</w:t>
      </w:r>
      <w:r>
        <w:rPr>
          <w:spacing w:val="-6"/>
        </w:rPr>
        <w:t> </w:t>
      </w:r>
      <w:r>
        <w:rPr/>
        <w:t>que en</w:t>
      </w:r>
      <w:r>
        <w:rPr>
          <w:spacing w:val="-2"/>
        </w:rPr>
        <w:t> </w:t>
      </w:r>
      <w:r>
        <w:rPr/>
        <w:t>España</w:t>
      </w:r>
      <w:r>
        <w:rPr>
          <w:spacing w:val="-2"/>
        </w:rPr>
        <w:t> </w:t>
      </w:r>
      <w:r>
        <w:rPr/>
        <w:t>las</w:t>
      </w:r>
      <w:r>
        <w:rPr>
          <w:spacing w:val="-2"/>
        </w:rPr>
        <w:t> </w:t>
      </w:r>
      <w:r>
        <w:rPr/>
        <w:t>energías</w:t>
      </w:r>
      <w:r>
        <w:rPr>
          <w:spacing w:val="-1"/>
        </w:rPr>
        <w:t> </w:t>
      </w:r>
      <w:r>
        <w:rPr/>
        <w:t>fósiles</w:t>
      </w:r>
      <w:r>
        <w:rPr>
          <w:spacing w:val="-2"/>
        </w:rPr>
        <w:t> </w:t>
      </w:r>
      <w:r>
        <w:rPr/>
        <w:t>constituyen</w:t>
      </w:r>
      <w:r>
        <w:rPr>
          <w:spacing w:val="-2"/>
        </w:rPr>
        <w:t> </w:t>
      </w:r>
      <w:r>
        <w:rPr/>
        <w:t>el</w:t>
      </w:r>
      <w:r>
        <w:rPr>
          <w:spacing w:val="-2"/>
        </w:rPr>
        <w:t> </w:t>
      </w:r>
      <w:r>
        <w:rPr/>
        <w:t>núcleo</w:t>
      </w:r>
      <w:r>
        <w:rPr>
          <w:spacing w:val="-2"/>
        </w:rPr>
        <w:t> </w:t>
      </w:r>
      <w:r>
        <w:rPr/>
        <w:t>del</w:t>
      </w:r>
      <w:r>
        <w:rPr>
          <w:spacing w:val="-2"/>
        </w:rPr>
        <w:t> </w:t>
      </w:r>
      <w:r>
        <w:rPr/>
        <w:t>sistema</w:t>
      </w:r>
      <w:r>
        <w:rPr>
          <w:spacing w:val="-1"/>
        </w:rPr>
        <w:t> </w:t>
      </w:r>
      <w:r>
        <w:rPr/>
        <w:t>energético,</w:t>
      </w:r>
      <w:r>
        <w:rPr>
          <w:spacing w:val="-1"/>
        </w:rPr>
        <w:t> </w:t>
      </w:r>
      <w:r>
        <w:rPr/>
        <w:t>ya</w:t>
      </w:r>
      <w:r>
        <w:rPr>
          <w:spacing w:val="-2"/>
        </w:rPr>
        <w:t> </w:t>
      </w:r>
      <w:r>
        <w:rPr/>
        <w:t>que</w:t>
      </w:r>
      <w:r>
        <w:rPr>
          <w:spacing w:val="-4"/>
        </w:rPr>
        <w:t> </w:t>
      </w:r>
      <w:r>
        <w:rPr/>
        <w:t>representan</w:t>
      </w:r>
      <w:r>
        <w:rPr>
          <w:spacing w:val="-2"/>
        </w:rPr>
        <w:t> </w:t>
      </w:r>
      <w:r>
        <w:rPr/>
        <w:t>el 74</w:t>
      </w:r>
      <w:r>
        <w:rPr>
          <w:spacing w:val="-16"/>
        </w:rPr>
        <w:t> </w:t>
      </w:r>
      <w:r>
        <w:rPr/>
        <w:t>%</w:t>
      </w:r>
      <w:r>
        <w:rPr>
          <w:spacing w:val="-15"/>
        </w:rPr>
        <w:t> </w:t>
      </w:r>
      <w:r>
        <w:rPr/>
        <w:t>de</w:t>
      </w:r>
      <w:r>
        <w:rPr>
          <w:spacing w:val="-15"/>
        </w:rPr>
        <w:t> </w:t>
      </w:r>
      <w:r>
        <w:rPr/>
        <w:t>la</w:t>
      </w:r>
      <w:r>
        <w:rPr>
          <w:spacing w:val="-16"/>
        </w:rPr>
        <w:t> </w:t>
      </w:r>
      <w:r>
        <w:rPr/>
        <w:t>energía</w:t>
      </w:r>
      <w:r>
        <w:rPr>
          <w:spacing w:val="-15"/>
        </w:rPr>
        <w:t> </w:t>
      </w:r>
      <w:r>
        <w:rPr/>
        <w:t>primaria.</w:t>
      </w:r>
      <w:r>
        <w:rPr>
          <w:spacing w:val="-15"/>
        </w:rPr>
        <w:t> </w:t>
      </w:r>
      <w:r>
        <w:rPr/>
        <w:t>Las</w:t>
      </w:r>
      <w:r>
        <w:rPr>
          <w:spacing w:val="-15"/>
        </w:rPr>
        <w:t> </w:t>
      </w:r>
      <w:r>
        <w:rPr/>
        <w:t>energías</w:t>
      </w:r>
      <w:r>
        <w:rPr>
          <w:spacing w:val="-16"/>
        </w:rPr>
        <w:t> </w:t>
      </w:r>
      <w:r>
        <w:rPr/>
        <w:t>renovables</w:t>
      </w:r>
      <w:r>
        <w:rPr>
          <w:spacing w:val="-15"/>
        </w:rPr>
        <w:t> </w:t>
      </w:r>
      <w:r>
        <w:rPr/>
        <w:t>suponen</w:t>
      </w:r>
      <w:r>
        <w:rPr>
          <w:spacing w:val="-15"/>
        </w:rPr>
        <w:t> </w:t>
      </w:r>
      <w:r>
        <w:rPr/>
        <w:t>el</w:t>
      </w:r>
      <w:r>
        <w:rPr>
          <w:spacing w:val="-16"/>
        </w:rPr>
        <w:t> </w:t>
      </w:r>
      <w:r>
        <w:rPr/>
        <w:t>14</w:t>
      </w:r>
      <w:r>
        <w:rPr>
          <w:spacing w:val="-13"/>
        </w:rPr>
        <w:t> </w:t>
      </w:r>
      <w:r>
        <w:rPr/>
        <w:t>%</w:t>
      </w:r>
      <w:r>
        <w:rPr>
          <w:spacing w:val="-14"/>
        </w:rPr>
        <w:t> </w:t>
      </w:r>
      <w:r>
        <w:rPr/>
        <w:t>y</w:t>
      </w:r>
      <w:r>
        <w:rPr>
          <w:spacing w:val="-15"/>
        </w:rPr>
        <w:t> </w:t>
      </w:r>
      <w:r>
        <w:rPr/>
        <w:t>la</w:t>
      </w:r>
      <w:r>
        <w:rPr>
          <w:spacing w:val="-16"/>
        </w:rPr>
        <w:t> </w:t>
      </w:r>
      <w:r>
        <w:rPr/>
        <w:t>nuclear,</w:t>
      </w:r>
      <w:r>
        <w:rPr>
          <w:spacing w:val="-14"/>
        </w:rPr>
        <w:t> </w:t>
      </w:r>
      <w:r>
        <w:rPr/>
        <w:t>el</w:t>
      </w:r>
      <w:r>
        <w:rPr>
          <w:spacing w:val="-15"/>
        </w:rPr>
        <w:t> </w:t>
      </w:r>
      <w:r>
        <w:rPr/>
        <w:t>12</w:t>
      </w:r>
      <w:r>
        <w:rPr>
          <w:spacing w:val="-15"/>
        </w:rPr>
        <w:t> </w:t>
      </w:r>
      <w:r>
        <w:rPr/>
        <w:t>%</w:t>
      </w:r>
      <w:r>
        <w:rPr>
          <w:spacing w:val="-16"/>
        </w:rPr>
        <w:t> </w:t>
      </w:r>
      <w:r>
        <w:rPr/>
        <w:t>restante. De</w:t>
      </w:r>
      <w:r>
        <w:rPr>
          <w:spacing w:val="-4"/>
        </w:rPr>
        <w:t> </w:t>
      </w:r>
      <w:r>
        <w:rPr/>
        <w:t>ahí</w:t>
      </w:r>
      <w:r>
        <w:rPr>
          <w:spacing w:val="-5"/>
        </w:rPr>
        <w:t> </w:t>
      </w:r>
      <w:r>
        <w:rPr/>
        <w:t>que</w:t>
      </w:r>
      <w:r>
        <w:rPr>
          <w:spacing w:val="-6"/>
        </w:rPr>
        <w:t> </w:t>
      </w:r>
      <w:r>
        <w:rPr/>
        <w:t>la</w:t>
      </w:r>
      <w:r>
        <w:rPr>
          <w:spacing w:val="-6"/>
        </w:rPr>
        <w:t> </w:t>
      </w:r>
      <w:r>
        <w:rPr/>
        <w:t>gran</w:t>
      </w:r>
      <w:r>
        <w:rPr>
          <w:spacing w:val="-7"/>
        </w:rPr>
        <w:t> </w:t>
      </w:r>
      <w:r>
        <w:rPr/>
        <w:t>mayoría</w:t>
      </w:r>
      <w:r>
        <w:rPr>
          <w:spacing w:val="-6"/>
        </w:rPr>
        <w:t> </w:t>
      </w:r>
      <w:r>
        <w:rPr/>
        <w:t>de</w:t>
      </w:r>
      <w:r>
        <w:rPr>
          <w:spacing w:val="-7"/>
        </w:rPr>
        <w:t> </w:t>
      </w:r>
      <w:r>
        <w:rPr/>
        <w:t>las</w:t>
      </w:r>
      <w:r>
        <w:rPr>
          <w:spacing w:val="-6"/>
        </w:rPr>
        <w:t> </w:t>
      </w:r>
      <w:r>
        <w:rPr/>
        <w:t>emisiones</w:t>
      </w:r>
      <w:r>
        <w:rPr>
          <w:spacing w:val="-6"/>
        </w:rPr>
        <w:t> </w:t>
      </w:r>
      <w:r>
        <w:rPr/>
        <w:t>de</w:t>
      </w:r>
      <w:r>
        <w:rPr>
          <w:spacing w:val="-7"/>
        </w:rPr>
        <w:t> </w:t>
      </w:r>
      <w:r>
        <w:rPr/>
        <w:t>gases</w:t>
      </w:r>
      <w:r>
        <w:rPr>
          <w:spacing w:val="-4"/>
        </w:rPr>
        <w:t> </w:t>
      </w:r>
      <w:r>
        <w:rPr/>
        <w:t>de</w:t>
      </w:r>
      <w:r>
        <w:rPr>
          <w:spacing w:val="-7"/>
        </w:rPr>
        <w:t> </w:t>
      </w:r>
      <w:r>
        <w:rPr/>
        <w:t>efecto</w:t>
      </w:r>
      <w:r>
        <w:rPr>
          <w:spacing w:val="-6"/>
        </w:rPr>
        <w:t> </w:t>
      </w:r>
      <w:r>
        <w:rPr/>
        <w:t>invernadero</w:t>
      </w:r>
      <w:r>
        <w:rPr>
          <w:spacing w:val="-6"/>
        </w:rPr>
        <w:t> </w:t>
      </w:r>
      <w:r>
        <w:rPr/>
        <w:t>se</w:t>
      </w:r>
      <w:r>
        <w:rPr>
          <w:spacing w:val="-6"/>
        </w:rPr>
        <w:t> </w:t>
      </w:r>
      <w:r>
        <w:rPr/>
        <w:t>imputen</w:t>
      </w:r>
      <w:r>
        <w:rPr>
          <w:spacing w:val="-6"/>
        </w:rPr>
        <w:t> </w:t>
      </w:r>
      <w:r>
        <w:rPr/>
        <w:t>al</w:t>
      </w:r>
      <w:r>
        <w:rPr>
          <w:spacing w:val="-5"/>
        </w:rPr>
        <w:t> </w:t>
      </w:r>
      <w:r>
        <w:rPr/>
        <w:t>sistema energético y dentro de él, uno de los máximos responsables sea el transporte (28 % de las emisiones totales). Es por ello por lo que, entre sus objetivos se encuentra el lograr una movilidad sostenible, fomentando el uso del transporte público terrestre. La Agenda Urbana Española tiene su adaptación al ámbito local en la Agenda Local Urbana. Los municipios que desean aplicar las políticas recogidas en la Agenda Urbana Española han elaborado Planes de Acción Agenda Local Urbana (PALU), que contienen objetivos estratégicos y específicos y líneas de actuación, parte de ellos relacionados con el objeto de esta fiscalización.</w:t>
      </w:r>
    </w:p>
    <w:p>
      <w:pPr>
        <w:pStyle w:val="BodyText"/>
        <w:spacing w:before="239"/>
        <w:ind w:left="992" w:right="989"/>
        <w:jc w:val="both"/>
      </w:pPr>
      <w:r>
        <w:rPr/>
        <w:t>Otra iniciativa es la “Red de ciudades españolas por el clima”, creada en 2005 por la Federación Española de Municipios y Provincias. La Red elaboró la Estrategia Local de Cambio Climático, documento destinado a proporcionar a los gobiernos locales el texto de referencia y consulta para desarrollar planes específicos de movilidad sostenible, gestión de la energía, edificación y planificación urbana, y gestión de</w:t>
      </w:r>
      <w:r>
        <w:rPr>
          <w:spacing w:val="-2"/>
        </w:rPr>
        <w:t> </w:t>
      </w:r>
      <w:r>
        <w:rPr/>
        <w:t>residuos,</w:t>
      </w:r>
      <w:r>
        <w:rPr>
          <w:spacing w:val="-1"/>
        </w:rPr>
        <w:t> </w:t>
      </w:r>
      <w:r>
        <w:rPr/>
        <w:t>entre</w:t>
      </w:r>
      <w:r>
        <w:rPr>
          <w:spacing w:val="-2"/>
        </w:rPr>
        <w:t> </w:t>
      </w:r>
      <w:r>
        <w:rPr/>
        <w:t>otros, con los que</w:t>
      </w:r>
      <w:r>
        <w:rPr>
          <w:spacing w:val="-2"/>
        </w:rPr>
        <w:t> </w:t>
      </w:r>
      <w:r>
        <w:rPr/>
        <w:t>impulsar</w:t>
      </w:r>
      <w:r>
        <w:rPr>
          <w:spacing w:val="-1"/>
        </w:rPr>
        <w:t> </w:t>
      </w:r>
      <w:r>
        <w:rPr/>
        <w:t>medidas para</w:t>
      </w:r>
      <w:r>
        <w:rPr>
          <w:spacing w:val="-2"/>
        </w:rPr>
        <w:t> </w:t>
      </w:r>
      <w:r>
        <w:rPr/>
        <w:t>reducir las emisiones de gases de efecto invernadero.</w:t>
      </w:r>
    </w:p>
    <w:p>
      <w:pPr>
        <w:pStyle w:val="BodyText"/>
        <w:spacing w:before="239"/>
        <w:ind w:left="992" w:right="988"/>
        <w:jc w:val="both"/>
      </w:pPr>
      <w:r>
        <w:rPr/>
        <w:t>Siguiendo las iniciativas relacionadas anteriormente, así como otras existentes sobre la materia, además de la normativa estatal y autonómica dictada al efecto, las entidades fiscalizadas han aprobado planes que incluyen, entre sus objetivos, alcanzar una movilidad urbana sostenible.</w:t>
      </w:r>
    </w:p>
    <w:p>
      <w:pPr>
        <w:spacing w:before="243"/>
        <w:ind w:left="992" w:right="987" w:firstLine="0"/>
        <w:jc w:val="both"/>
        <w:rPr>
          <w:sz w:val="22"/>
        </w:rPr>
      </w:pPr>
      <w:r>
        <w:rPr>
          <w:sz w:val="22"/>
        </w:rPr>
        <w:t>Los Ayuntamientos examinados cuentan</w:t>
      </w:r>
      <w:r>
        <w:rPr>
          <w:spacing w:val="-2"/>
          <w:sz w:val="22"/>
        </w:rPr>
        <w:t> </w:t>
      </w:r>
      <w:r>
        <w:rPr>
          <w:sz w:val="22"/>
        </w:rPr>
        <w:t>con PMUS</w:t>
      </w:r>
      <w:hyperlink w:history="true" w:anchor="_bookmark30">
        <w:r>
          <w:rPr>
            <w:sz w:val="22"/>
            <w:vertAlign w:val="superscript"/>
          </w:rPr>
          <w:t>13</w:t>
        </w:r>
      </w:hyperlink>
      <w:r>
        <w:rPr>
          <w:sz w:val="22"/>
          <w:vertAlign w:val="baseline"/>
        </w:rPr>
        <w:t>, si bien solo el</w:t>
      </w:r>
      <w:r>
        <w:rPr>
          <w:spacing w:val="-1"/>
          <w:sz w:val="22"/>
          <w:vertAlign w:val="baseline"/>
        </w:rPr>
        <w:t> </w:t>
      </w:r>
      <w:r>
        <w:rPr>
          <w:sz w:val="22"/>
          <w:vertAlign w:val="baseline"/>
        </w:rPr>
        <w:t>del </w:t>
      </w:r>
      <w:r>
        <w:rPr>
          <w:b/>
          <w:sz w:val="22"/>
          <w:vertAlign w:val="baseline"/>
        </w:rPr>
        <w:t>Ayuntamiento de Palma </w:t>
      </w:r>
      <w:r>
        <w:rPr>
          <w:sz w:val="22"/>
          <w:vertAlign w:val="baseline"/>
        </w:rPr>
        <w:t>se ajusta al contenido mínimo previsto en la Ley</w:t>
      </w:r>
      <w:r>
        <w:rPr>
          <w:spacing w:val="28"/>
          <w:sz w:val="22"/>
          <w:vertAlign w:val="baseline"/>
        </w:rPr>
        <w:t> </w:t>
      </w:r>
      <w:r>
        <w:rPr>
          <w:sz w:val="22"/>
          <w:vertAlign w:val="baseline"/>
        </w:rPr>
        <w:t>de cambio climático y transición energética. Los de los </w:t>
      </w:r>
      <w:r>
        <w:rPr>
          <w:b/>
          <w:sz w:val="22"/>
          <w:vertAlign w:val="baseline"/>
        </w:rPr>
        <w:t>Ayuntamientos de Alicante, Córdoba, Las Palmas de Gran Canaria, Murcia, Sevilla </w:t>
      </w:r>
      <w:r>
        <w:rPr>
          <w:sz w:val="22"/>
          <w:vertAlign w:val="baseline"/>
        </w:rPr>
        <w:t>y </w:t>
      </w:r>
      <w:r>
        <w:rPr>
          <w:b/>
          <w:sz w:val="22"/>
          <w:vertAlign w:val="baseline"/>
        </w:rPr>
        <w:t>Zaragoza</w:t>
      </w:r>
      <w:r>
        <w:rPr>
          <w:b/>
          <w:spacing w:val="-2"/>
          <w:sz w:val="22"/>
          <w:vertAlign w:val="baseline"/>
        </w:rPr>
        <w:t> </w:t>
      </w:r>
      <w:r>
        <w:rPr>
          <w:sz w:val="22"/>
          <w:vertAlign w:val="baseline"/>
        </w:rPr>
        <w:t>se</w:t>
      </w:r>
      <w:r>
        <w:rPr>
          <w:spacing w:val="-2"/>
          <w:sz w:val="22"/>
          <w:vertAlign w:val="baseline"/>
        </w:rPr>
        <w:t> </w:t>
      </w:r>
      <w:r>
        <w:rPr>
          <w:sz w:val="22"/>
          <w:vertAlign w:val="baseline"/>
        </w:rPr>
        <w:t>habían</w:t>
      </w:r>
      <w:r>
        <w:rPr>
          <w:spacing w:val="-2"/>
          <w:sz w:val="22"/>
          <w:vertAlign w:val="baseline"/>
        </w:rPr>
        <w:t> </w:t>
      </w:r>
      <w:r>
        <w:rPr>
          <w:sz w:val="22"/>
          <w:vertAlign w:val="baseline"/>
        </w:rPr>
        <w:t>aprobado</w:t>
      </w:r>
      <w:r>
        <w:rPr>
          <w:spacing w:val="-2"/>
          <w:sz w:val="22"/>
          <w:vertAlign w:val="baseline"/>
        </w:rPr>
        <w:t> </w:t>
      </w:r>
      <w:r>
        <w:rPr>
          <w:sz w:val="22"/>
          <w:vertAlign w:val="baseline"/>
        </w:rPr>
        <w:t>con</w:t>
      </w:r>
      <w:r>
        <w:rPr>
          <w:spacing w:val="-2"/>
          <w:sz w:val="22"/>
          <w:vertAlign w:val="baseline"/>
        </w:rPr>
        <w:t> </w:t>
      </w:r>
      <w:r>
        <w:rPr>
          <w:sz w:val="22"/>
          <w:vertAlign w:val="baseline"/>
        </w:rPr>
        <w:t>anterioridad</w:t>
      </w:r>
      <w:r>
        <w:rPr>
          <w:spacing w:val="-2"/>
          <w:sz w:val="22"/>
          <w:vertAlign w:val="baseline"/>
        </w:rPr>
        <w:t> </w:t>
      </w:r>
      <w:r>
        <w:rPr>
          <w:sz w:val="22"/>
          <w:vertAlign w:val="baseline"/>
        </w:rPr>
        <w:t>a</w:t>
      </w:r>
      <w:r>
        <w:rPr>
          <w:spacing w:val="-4"/>
          <w:sz w:val="22"/>
          <w:vertAlign w:val="baseline"/>
        </w:rPr>
        <w:t> </w:t>
      </w:r>
      <w:r>
        <w:rPr>
          <w:sz w:val="22"/>
          <w:vertAlign w:val="baseline"/>
        </w:rPr>
        <w:t>la</w:t>
      </w:r>
      <w:r>
        <w:rPr>
          <w:spacing w:val="-2"/>
          <w:sz w:val="22"/>
          <w:vertAlign w:val="baseline"/>
        </w:rPr>
        <w:t> </w:t>
      </w:r>
      <w:r>
        <w:rPr>
          <w:sz w:val="22"/>
          <w:vertAlign w:val="baseline"/>
        </w:rPr>
        <w:t>entrada</w:t>
      </w:r>
      <w:r>
        <w:rPr>
          <w:spacing w:val="-4"/>
          <w:sz w:val="22"/>
          <w:vertAlign w:val="baseline"/>
        </w:rPr>
        <w:t> </w:t>
      </w:r>
      <w:r>
        <w:rPr>
          <w:sz w:val="22"/>
          <w:vertAlign w:val="baseline"/>
        </w:rPr>
        <w:t>en</w:t>
      </w:r>
      <w:r>
        <w:rPr>
          <w:spacing w:val="-2"/>
          <w:sz w:val="22"/>
          <w:vertAlign w:val="baseline"/>
        </w:rPr>
        <w:t> </w:t>
      </w:r>
      <w:r>
        <w:rPr>
          <w:sz w:val="22"/>
          <w:vertAlign w:val="baseline"/>
        </w:rPr>
        <w:t>vigor</w:t>
      </w:r>
      <w:r>
        <w:rPr>
          <w:spacing w:val="-3"/>
          <w:sz w:val="22"/>
          <w:vertAlign w:val="baseline"/>
        </w:rPr>
        <w:t> </w:t>
      </w:r>
      <w:r>
        <w:rPr>
          <w:sz w:val="22"/>
          <w:vertAlign w:val="baseline"/>
        </w:rPr>
        <w:t>de esa</w:t>
      </w:r>
      <w:r>
        <w:rPr>
          <w:spacing w:val="-1"/>
          <w:sz w:val="22"/>
          <w:vertAlign w:val="baseline"/>
        </w:rPr>
        <w:t> </w:t>
      </w:r>
      <w:r>
        <w:rPr>
          <w:sz w:val="22"/>
          <w:vertAlign w:val="baseline"/>
        </w:rPr>
        <w:t>Ley, sin</w:t>
      </w:r>
      <w:r>
        <w:rPr>
          <w:spacing w:val="-2"/>
          <w:sz w:val="22"/>
          <w:vertAlign w:val="baseline"/>
        </w:rPr>
        <w:t> </w:t>
      </w:r>
      <w:r>
        <w:rPr>
          <w:sz w:val="22"/>
          <w:vertAlign w:val="baseline"/>
        </w:rPr>
        <w:t>que</w:t>
      </w:r>
      <w:r>
        <w:rPr>
          <w:spacing w:val="-2"/>
          <w:sz w:val="22"/>
          <w:vertAlign w:val="baseline"/>
        </w:rPr>
        <w:t> </w:t>
      </w:r>
      <w:r>
        <w:rPr>
          <w:sz w:val="22"/>
          <w:vertAlign w:val="baseline"/>
        </w:rPr>
        <w:t>se</w:t>
      </w:r>
      <w:r>
        <w:rPr>
          <w:spacing w:val="-4"/>
          <w:sz w:val="22"/>
          <w:vertAlign w:val="baseline"/>
        </w:rPr>
        <w:t> </w:t>
      </w:r>
      <w:r>
        <w:rPr>
          <w:sz w:val="22"/>
          <w:vertAlign w:val="baseline"/>
        </w:rPr>
        <w:t>hayan llevado a cabo las modificaciones necesarias para adaptarlos</w:t>
      </w:r>
      <w:hyperlink w:history="true" w:anchor="_bookmark31">
        <w:r>
          <w:rPr>
            <w:sz w:val="22"/>
            <w:vertAlign w:val="superscript"/>
          </w:rPr>
          <w:t>14</w:t>
        </w:r>
        <w:r>
          <w:rPr>
            <w:sz w:val="22"/>
            <w:vertAlign w:val="baseline"/>
          </w:rPr>
          <w:t>.</w:t>
        </w:r>
      </w:hyperlink>
      <w:r>
        <w:rPr>
          <w:sz w:val="22"/>
          <w:vertAlign w:val="baseline"/>
        </w:rPr>
        <w:t> El </w:t>
      </w:r>
      <w:r>
        <w:rPr>
          <w:b/>
          <w:sz w:val="22"/>
          <w:vertAlign w:val="baseline"/>
        </w:rPr>
        <w:t>Ayuntamiento de Murcia </w:t>
      </w:r>
      <w:r>
        <w:rPr>
          <w:sz w:val="22"/>
          <w:vertAlign w:val="baseline"/>
        </w:rPr>
        <w:t>encargó en febrero de 2022 a una sociedad mercantil municipal la revisión del PMUS, si bien aún no</w:t>
      </w:r>
      <w:r>
        <w:rPr>
          <w:spacing w:val="-6"/>
          <w:sz w:val="22"/>
          <w:vertAlign w:val="baseline"/>
        </w:rPr>
        <w:t> </w:t>
      </w:r>
      <w:r>
        <w:rPr>
          <w:sz w:val="22"/>
          <w:vertAlign w:val="baseline"/>
        </w:rPr>
        <w:t>se</w:t>
      </w:r>
      <w:r>
        <w:rPr>
          <w:spacing w:val="-5"/>
          <w:sz w:val="22"/>
          <w:vertAlign w:val="baseline"/>
        </w:rPr>
        <w:t> </w:t>
      </w:r>
      <w:r>
        <w:rPr>
          <w:sz w:val="22"/>
          <w:vertAlign w:val="baseline"/>
        </w:rPr>
        <w:t>ha</w:t>
      </w:r>
      <w:r>
        <w:rPr>
          <w:spacing w:val="-8"/>
          <w:sz w:val="22"/>
          <w:vertAlign w:val="baseline"/>
        </w:rPr>
        <w:t> </w:t>
      </w:r>
      <w:r>
        <w:rPr>
          <w:sz w:val="22"/>
          <w:vertAlign w:val="baseline"/>
        </w:rPr>
        <w:t>aprobado</w:t>
      </w:r>
      <w:r>
        <w:rPr>
          <w:spacing w:val="-5"/>
          <w:sz w:val="22"/>
          <w:vertAlign w:val="baseline"/>
        </w:rPr>
        <w:t> </w:t>
      </w:r>
      <w:r>
        <w:rPr>
          <w:sz w:val="22"/>
          <w:vertAlign w:val="baseline"/>
        </w:rPr>
        <w:t>el</w:t>
      </w:r>
      <w:r>
        <w:rPr>
          <w:spacing w:val="-9"/>
          <w:sz w:val="22"/>
          <w:vertAlign w:val="baseline"/>
        </w:rPr>
        <w:t> </w:t>
      </w:r>
      <w:r>
        <w:rPr>
          <w:sz w:val="22"/>
          <w:vertAlign w:val="baseline"/>
        </w:rPr>
        <w:t>PMUS</w:t>
      </w:r>
      <w:r>
        <w:rPr>
          <w:spacing w:val="-6"/>
          <w:sz w:val="22"/>
          <w:vertAlign w:val="baseline"/>
        </w:rPr>
        <w:t> </w:t>
      </w:r>
      <w:r>
        <w:rPr>
          <w:sz w:val="22"/>
          <w:vertAlign w:val="baseline"/>
        </w:rPr>
        <w:t>actualizado</w:t>
      </w:r>
      <w:hyperlink w:history="true" w:anchor="_bookmark32">
        <w:r>
          <w:rPr>
            <w:sz w:val="22"/>
            <w:vertAlign w:val="superscript"/>
          </w:rPr>
          <w:t>15</w:t>
        </w:r>
      </w:hyperlink>
      <w:r>
        <w:rPr>
          <w:sz w:val="22"/>
          <w:vertAlign w:val="baseline"/>
        </w:rPr>
        <w:t>.</w:t>
      </w:r>
      <w:r>
        <w:rPr>
          <w:spacing w:val="-6"/>
          <w:sz w:val="22"/>
          <w:vertAlign w:val="baseline"/>
        </w:rPr>
        <w:t> </w:t>
      </w:r>
      <w:r>
        <w:rPr>
          <w:sz w:val="22"/>
          <w:vertAlign w:val="baseline"/>
        </w:rPr>
        <w:t>El</w:t>
      </w:r>
      <w:r>
        <w:rPr>
          <w:spacing w:val="-6"/>
          <w:sz w:val="22"/>
          <w:vertAlign w:val="baseline"/>
        </w:rPr>
        <w:t> </w:t>
      </w:r>
      <w:r>
        <w:rPr>
          <w:sz w:val="22"/>
          <w:vertAlign w:val="baseline"/>
        </w:rPr>
        <w:t>del</w:t>
      </w:r>
      <w:r>
        <w:rPr>
          <w:spacing w:val="-8"/>
          <w:sz w:val="22"/>
          <w:vertAlign w:val="baseline"/>
        </w:rPr>
        <w:t> </w:t>
      </w:r>
      <w:r>
        <w:rPr>
          <w:b/>
          <w:sz w:val="22"/>
          <w:vertAlign w:val="baseline"/>
        </w:rPr>
        <w:t>Ayuntamiento</w:t>
      </w:r>
      <w:r>
        <w:rPr>
          <w:b/>
          <w:spacing w:val="-8"/>
          <w:sz w:val="22"/>
          <w:vertAlign w:val="baseline"/>
        </w:rPr>
        <w:t> </w:t>
      </w:r>
      <w:r>
        <w:rPr>
          <w:b/>
          <w:sz w:val="22"/>
          <w:vertAlign w:val="baseline"/>
        </w:rPr>
        <w:t>de</w:t>
      </w:r>
      <w:r>
        <w:rPr>
          <w:b/>
          <w:spacing w:val="-8"/>
          <w:sz w:val="22"/>
          <w:vertAlign w:val="baseline"/>
        </w:rPr>
        <w:t> </w:t>
      </w:r>
      <w:r>
        <w:rPr>
          <w:b/>
          <w:sz w:val="22"/>
          <w:vertAlign w:val="baseline"/>
        </w:rPr>
        <w:t>Málaga</w:t>
      </w:r>
      <w:r>
        <w:rPr>
          <w:b/>
          <w:spacing w:val="-7"/>
          <w:sz w:val="22"/>
          <w:vertAlign w:val="baseline"/>
        </w:rPr>
        <w:t> </w:t>
      </w:r>
      <w:r>
        <w:rPr>
          <w:sz w:val="22"/>
          <w:vertAlign w:val="baseline"/>
        </w:rPr>
        <w:t>se</w:t>
      </w:r>
      <w:r>
        <w:rPr>
          <w:spacing w:val="-5"/>
          <w:sz w:val="22"/>
          <w:vertAlign w:val="baseline"/>
        </w:rPr>
        <w:t> </w:t>
      </w:r>
      <w:r>
        <w:rPr>
          <w:sz w:val="22"/>
          <w:vertAlign w:val="baseline"/>
        </w:rPr>
        <w:t>aprobó</w:t>
      </w:r>
      <w:r>
        <w:rPr>
          <w:spacing w:val="-8"/>
          <w:sz w:val="22"/>
          <w:vertAlign w:val="baseline"/>
        </w:rPr>
        <w:t> </w:t>
      </w:r>
      <w:r>
        <w:rPr>
          <w:sz w:val="22"/>
          <w:vertAlign w:val="baseline"/>
        </w:rPr>
        <w:t>un</w:t>
      </w:r>
      <w:r>
        <w:rPr>
          <w:spacing w:val="-8"/>
          <w:sz w:val="22"/>
          <w:vertAlign w:val="baseline"/>
        </w:rPr>
        <w:t> </w:t>
      </w:r>
      <w:r>
        <w:rPr>
          <w:sz w:val="22"/>
          <w:vertAlign w:val="baseline"/>
        </w:rPr>
        <w:t>mes</w:t>
      </w:r>
      <w:r>
        <w:rPr>
          <w:spacing w:val="-8"/>
          <w:sz w:val="22"/>
          <w:vertAlign w:val="baseline"/>
        </w:rPr>
        <w:t> </w:t>
      </w:r>
      <w:r>
        <w:rPr>
          <w:sz w:val="22"/>
          <w:vertAlign w:val="baseline"/>
        </w:rPr>
        <w:t>más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4"/>
        <w:rPr>
          <w:sz w:val="20"/>
        </w:rPr>
      </w:pPr>
      <w:r>
        <w:rPr>
          <w:sz w:val="20"/>
        </w:rPr>
        <mc:AlternateContent>
          <mc:Choice Requires="wps">
            <w:drawing>
              <wp:anchor distT="0" distB="0" distL="0" distR="0" allowOverlap="1" layoutInCell="1" locked="0" behindDoc="1" simplePos="0" relativeHeight="487599104">
                <wp:simplePos x="0" y="0"/>
                <wp:positionH relativeFrom="page">
                  <wp:posOffset>719632</wp:posOffset>
                </wp:positionH>
                <wp:positionV relativeFrom="paragraph">
                  <wp:posOffset>221252</wp:posOffset>
                </wp:positionV>
                <wp:extent cx="1829435" cy="9525"/>
                <wp:effectExtent l="0" t="0" r="0" b="0"/>
                <wp:wrapTopAndBottom/>
                <wp:docPr id="130" name="Graphic 130"/>
                <wp:cNvGraphicFramePr>
                  <a:graphicFrameLocks/>
                </wp:cNvGraphicFramePr>
                <a:graphic>
                  <a:graphicData uri="http://schemas.microsoft.com/office/word/2010/wordprocessingShape">
                    <wps:wsp>
                      <wps:cNvPr id="130" name="Graphic 130"/>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7.421436pt;width:144.020pt;height:.71997pt;mso-position-horizontal-relative:page;mso-position-vertical-relative:paragraph;z-index:-15717376;mso-wrap-distance-left:0;mso-wrap-distance-right:0" id="docshape112" filled="true" fillcolor="#000000" stroked="false">
                <v:fill type="solid"/>
                <w10:wrap type="topAndBottom"/>
              </v:rect>
            </w:pict>
          </mc:Fallback>
        </mc:AlternateContent>
      </w:r>
    </w:p>
    <w:p>
      <w:pPr>
        <w:spacing w:before="118"/>
        <w:ind w:left="992" w:right="989" w:firstLine="0"/>
        <w:jc w:val="both"/>
        <w:rPr>
          <w:sz w:val="18"/>
        </w:rPr>
      </w:pPr>
      <w:bookmarkStart w:name="_bookmark29" w:id="31"/>
      <w:bookmarkEnd w:id="31"/>
      <w:r>
        <w:rPr/>
      </w:r>
      <w:r>
        <w:rPr>
          <w:position w:val="6"/>
          <w:sz w:val="12"/>
        </w:rPr>
        <w:t>12</w:t>
      </w:r>
      <w:r>
        <w:rPr>
          <w:spacing w:val="11"/>
          <w:position w:val="6"/>
          <w:sz w:val="12"/>
        </w:rPr>
        <w:t> </w:t>
      </w:r>
      <w:r>
        <w:rPr>
          <w:sz w:val="18"/>
        </w:rPr>
        <w:t>En</w:t>
      </w:r>
      <w:r>
        <w:rPr>
          <w:spacing w:val="-5"/>
          <w:sz w:val="18"/>
        </w:rPr>
        <w:t> </w:t>
      </w:r>
      <w:r>
        <w:rPr>
          <w:sz w:val="18"/>
        </w:rPr>
        <w:t>Andalucía,</w:t>
      </w:r>
      <w:r>
        <w:rPr>
          <w:spacing w:val="-6"/>
          <w:sz w:val="18"/>
        </w:rPr>
        <w:t> </w:t>
      </w:r>
      <w:r>
        <w:rPr>
          <w:sz w:val="18"/>
        </w:rPr>
        <w:t>la</w:t>
      </w:r>
      <w:r>
        <w:rPr>
          <w:spacing w:val="-5"/>
          <w:sz w:val="18"/>
        </w:rPr>
        <w:t> </w:t>
      </w:r>
      <w:r>
        <w:rPr>
          <w:sz w:val="18"/>
        </w:rPr>
        <w:t>Ley</w:t>
      </w:r>
      <w:r>
        <w:rPr>
          <w:spacing w:val="-5"/>
          <w:sz w:val="18"/>
        </w:rPr>
        <w:t> </w:t>
      </w:r>
      <w:r>
        <w:rPr>
          <w:sz w:val="18"/>
        </w:rPr>
        <w:t>8/2018,</w:t>
      </w:r>
      <w:r>
        <w:rPr>
          <w:spacing w:val="-8"/>
          <w:sz w:val="18"/>
        </w:rPr>
        <w:t> </w:t>
      </w:r>
      <w:r>
        <w:rPr>
          <w:sz w:val="18"/>
        </w:rPr>
        <w:t>de</w:t>
      </w:r>
      <w:r>
        <w:rPr>
          <w:spacing w:val="-5"/>
          <w:sz w:val="18"/>
        </w:rPr>
        <w:t> </w:t>
      </w:r>
      <w:r>
        <w:rPr>
          <w:sz w:val="18"/>
        </w:rPr>
        <w:t>8</w:t>
      </w:r>
      <w:r>
        <w:rPr>
          <w:spacing w:val="-5"/>
          <w:sz w:val="18"/>
        </w:rPr>
        <w:t> </w:t>
      </w:r>
      <w:r>
        <w:rPr>
          <w:sz w:val="18"/>
        </w:rPr>
        <w:t>de</w:t>
      </w:r>
      <w:r>
        <w:rPr>
          <w:spacing w:val="-5"/>
          <w:sz w:val="18"/>
        </w:rPr>
        <w:t> </w:t>
      </w:r>
      <w:r>
        <w:rPr>
          <w:sz w:val="18"/>
        </w:rPr>
        <w:t>octubre,</w:t>
      </w:r>
      <w:r>
        <w:rPr>
          <w:spacing w:val="-6"/>
          <w:sz w:val="18"/>
        </w:rPr>
        <w:t> </w:t>
      </w:r>
      <w:r>
        <w:rPr>
          <w:sz w:val="18"/>
        </w:rPr>
        <w:t>de</w:t>
      </w:r>
      <w:r>
        <w:rPr>
          <w:spacing w:val="-5"/>
          <w:sz w:val="18"/>
        </w:rPr>
        <w:t> </w:t>
      </w:r>
      <w:r>
        <w:rPr>
          <w:sz w:val="18"/>
        </w:rPr>
        <w:t>medidas</w:t>
      </w:r>
      <w:r>
        <w:rPr>
          <w:spacing w:val="-5"/>
          <w:sz w:val="18"/>
        </w:rPr>
        <w:t> </w:t>
      </w:r>
      <w:r>
        <w:rPr>
          <w:sz w:val="18"/>
        </w:rPr>
        <w:t>frente</w:t>
      </w:r>
      <w:r>
        <w:rPr>
          <w:spacing w:val="-5"/>
          <w:sz w:val="18"/>
        </w:rPr>
        <w:t> </w:t>
      </w:r>
      <w:r>
        <w:rPr>
          <w:sz w:val="18"/>
        </w:rPr>
        <w:t>al</w:t>
      </w:r>
      <w:r>
        <w:rPr>
          <w:spacing w:val="-5"/>
          <w:sz w:val="18"/>
        </w:rPr>
        <w:t> </w:t>
      </w:r>
      <w:r>
        <w:rPr>
          <w:sz w:val="18"/>
        </w:rPr>
        <w:t>cambio</w:t>
      </w:r>
      <w:r>
        <w:rPr>
          <w:spacing w:val="-5"/>
          <w:sz w:val="18"/>
        </w:rPr>
        <w:t> </w:t>
      </w:r>
      <w:r>
        <w:rPr>
          <w:sz w:val="18"/>
        </w:rPr>
        <w:t>climático</w:t>
      </w:r>
      <w:r>
        <w:rPr>
          <w:spacing w:val="-5"/>
          <w:sz w:val="18"/>
        </w:rPr>
        <w:t> </w:t>
      </w:r>
      <w:r>
        <w:rPr>
          <w:sz w:val="18"/>
        </w:rPr>
        <w:t>y</w:t>
      </w:r>
      <w:r>
        <w:rPr>
          <w:spacing w:val="-5"/>
          <w:sz w:val="18"/>
        </w:rPr>
        <w:t> </w:t>
      </w:r>
      <w:r>
        <w:rPr>
          <w:sz w:val="18"/>
        </w:rPr>
        <w:t>para</w:t>
      </w:r>
      <w:r>
        <w:rPr>
          <w:spacing w:val="-8"/>
          <w:sz w:val="18"/>
        </w:rPr>
        <w:t> </w:t>
      </w:r>
      <w:r>
        <w:rPr>
          <w:sz w:val="18"/>
        </w:rPr>
        <w:t>la</w:t>
      </w:r>
      <w:r>
        <w:rPr>
          <w:spacing w:val="-5"/>
          <w:sz w:val="18"/>
        </w:rPr>
        <w:t> </w:t>
      </w:r>
      <w:r>
        <w:rPr>
          <w:sz w:val="18"/>
        </w:rPr>
        <w:t>transición</w:t>
      </w:r>
      <w:r>
        <w:rPr>
          <w:spacing w:val="-8"/>
          <w:sz w:val="18"/>
        </w:rPr>
        <w:t> </w:t>
      </w:r>
      <w:r>
        <w:rPr>
          <w:sz w:val="18"/>
        </w:rPr>
        <w:t>hacia</w:t>
      </w:r>
      <w:r>
        <w:rPr>
          <w:spacing w:val="-5"/>
          <w:sz w:val="18"/>
        </w:rPr>
        <w:t> </w:t>
      </w:r>
      <w:r>
        <w:rPr>
          <w:sz w:val="18"/>
        </w:rPr>
        <w:t>un</w:t>
      </w:r>
      <w:r>
        <w:rPr>
          <w:spacing w:val="-8"/>
          <w:sz w:val="18"/>
        </w:rPr>
        <w:t> </w:t>
      </w:r>
      <w:r>
        <w:rPr>
          <w:sz w:val="18"/>
        </w:rPr>
        <w:t>nuevo modelo energético en Andalucía, establece la obligación a los municipios andaluces de elaborar y aprobar planes municipales</w:t>
      </w:r>
      <w:r>
        <w:rPr>
          <w:spacing w:val="-3"/>
          <w:sz w:val="18"/>
        </w:rPr>
        <w:t> </w:t>
      </w:r>
      <w:r>
        <w:rPr>
          <w:sz w:val="18"/>
        </w:rPr>
        <w:t>contra</w:t>
      </w:r>
      <w:r>
        <w:rPr>
          <w:spacing w:val="-6"/>
          <w:sz w:val="18"/>
        </w:rPr>
        <w:t> </w:t>
      </w:r>
      <w:r>
        <w:rPr>
          <w:sz w:val="18"/>
        </w:rPr>
        <w:t>el</w:t>
      </w:r>
      <w:r>
        <w:rPr>
          <w:spacing w:val="-6"/>
          <w:sz w:val="18"/>
        </w:rPr>
        <w:t> </w:t>
      </w:r>
      <w:r>
        <w:rPr>
          <w:sz w:val="18"/>
        </w:rPr>
        <w:t>cambio</w:t>
      </w:r>
      <w:r>
        <w:rPr>
          <w:spacing w:val="-6"/>
          <w:sz w:val="18"/>
        </w:rPr>
        <w:t> </w:t>
      </w:r>
      <w:r>
        <w:rPr>
          <w:sz w:val="18"/>
        </w:rPr>
        <w:t>climático,</w:t>
      </w:r>
      <w:r>
        <w:rPr>
          <w:spacing w:val="-4"/>
          <w:sz w:val="18"/>
        </w:rPr>
        <w:t> </w:t>
      </w:r>
      <w:r>
        <w:rPr>
          <w:sz w:val="18"/>
        </w:rPr>
        <w:t>en</w:t>
      </w:r>
      <w:r>
        <w:rPr>
          <w:spacing w:val="-6"/>
          <w:sz w:val="18"/>
        </w:rPr>
        <w:t> </w:t>
      </w:r>
      <w:r>
        <w:rPr>
          <w:sz w:val="18"/>
        </w:rPr>
        <w:t>el</w:t>
      </w:r>
      <w:r>
        <w:rPr>
          <w:spacing w:val="-4"/>
          <w:sz w:val="18"/>
        </w:rPr>
        <w:t> </w:t>
      </w:r>
      <w:r>
        <w:rPr>
          <w:sz w:val="18"/>
        </w:rPr>
        <w:t>ámbito</w:t>
      </w:r>
      <w:r>
        <w:rPr>
          <w:spacing w:val="-4"/>
          <w:sz w:val="18"/>
        </w:rPr>
        <w:t> </w:t>
      </w:r>
      <w:r>
        <w:rPr>
          <w:sz w:val="18"/>
        </w:rPr>
        <w:t>de</w:t>
      </w:r>
      <w:r>
        <w:rPr>
          <w:spacing w:val="-6"/>
          <w:sz w:val="18"/>
        </w:rPr>
        <w:t> </w:t>
      </w:r>
      <w:r>
        <w:rPr>
          <w:sz w:val="18"/>
        </w:rPr>
        <w:t>las</w:t>
      </w:r>
      <w:r>
        <w:rPr>
          <w:spacing w:val="-3"/>
          <w:sz w:val="18"/>
        </w:rPr>
        <w:t> </w:t>
      </w:r>
      <w:r>
        <w:rPr>
          <w:sz w:val="18"/>
        </w:rPr>
        <w:t>competencias</w:t>
      </w:r>
      <w:r>
        <w:rPr>
          <w:spacing w:val="-6"/>
          <w:sz w:val="18"/>
        </w:rPr>
        <w:t> </w:t>
      </w:r>
      <w:r>
        <w:rPr>
          <w:sz w:val="18"/>
        </w:rPr>
        <w:t>propias</w:t>
      </w:r>
      <w:r>
        <w:rPr>
          <w:spacing w:val="-6"/>
          <w:sz w:val="18"/>
        </w:rPr>
        <w:t> </w:t>
      </w:r>
      <w:r>
        <w:rPr>
          <w:sz w:val="18"/>
        </w:rPr>
        <w:t>y</w:t>
      </w:r>
      <w:r>
        <w:rPr>
          <w:spacing w:val="-3"/>
          <w:sz w:val="18"/>
        </w:rPr>
        <w:t> </w:t>
      </w:r>
      <w:r>
        <w:rPr>
          <w:sz w:val="18"/>
        </w:rPr>
        <w:t>dentro</w:t>
      </w:r>
      <w:r>
        <w:rPr>
          <w:spacing w:val="-4"/>
          <w:sz w:val="18"/>
        </w:rPr>
        <w:t> </w:t>
      </w:r>
      <w:r>
        <w:rPr>
          <w:sz w:val="18"/>
        </w:rPr>
        <w:t>del</w:t>
      </w:r>
      <w:r>
        <w:rPr>
          <w:spacing w:val="-4"/>
          <w:sz w:val="18"/>
        </w:rPr>
        <w:t> </w:t>
      </w:r>
      <w:r>
        <w:rPr>
          <w:sz w:val="18"/>
        </w:rPr>
        <w:t>marco</w:t>
      </w:r>
      <w:r>
        <w:rPr>
          <w:spacing w:val="-4"/>
          <w:sz w:val="18"/>
        </w:rPr>
        <w:t> </w:t>
      </w:r>
      <w:r>
        <w:rPr>
          <w:sz w:val="18"/>
        </w:rPr>
        <w:t>del</w:t>
      </w:r>
      <w:r>
        <w:rPr>
          <w:spacing w:val="-4"/>
          <w:sz w:val="18"/>
        </w:rPr>
        <w:t> </w:t>
      </w:r>
      <w:r>
        <w:rPr>
          <w:sz w:val="18"/>
        </w:rPr>
        <w:t>Plan</w:t>
      </w:r>
      <w:r>
        <w:rPr>
          <w:spacing w:val="-4"/>
          <w:sz w:val="18"/>
        </w:rPr>
        <w:t> </w:t>
      </w:r>
      <w:r>
        <w:rPr>
          <w:sz w:val="18"/>
        </w:rPr>
        <w:t>Andaluz</w:t>
      </w:r>
      <w:r>
        <w:rPr>
          <w:spacing w:val="-3"/>
          <w:sz w:val="18"/>
        </w:rPr>
        <w:t> </w:t>
      </w:r>
      <w:r>
        <w:rPr>
          <w:sz w:val="18"/>
        </w:rPr>
        <w:t>de Acción</w:t>
      </w:r>
      <w:r>
        <w:rPr>
          <w:spacing w:val="-9"/>
          <w:sz w:val="18"/>
        </w:rPr>
        <w:t> </w:t>
      </w:r>
      <w:r>
        <w:rPr>
          <w:sz w:val="18"/>
        </w:rPr>
        <w:t>por</w:t>
      </w:r>
      <w:r>
        <w:rPr>
          <w:spacing w:val="-12"/>
          <w:sz w:val="18"/>
        </w:rPr>
        <w:t> </w:t>
      </w:r>
      <w:r>
        <w:rPr>
          <w:sz w:val="18"/>
        </w:rPr>
        <w:t>el</w:t>
      </w:r>
      <w:r>
        <w:rPr>
          <w:spacing w:val="-9"/>
          <w:sz w:val="18"/>
        </w:rPr>
        <w:t> </w:t>
      </w:r>
      <w:r>
        <w:rPr>
          <w:sz w:val="18"/>
        </w:rPr>
        <w:t>Clima,</w:t>
      </w:r>
      <w:r>
        <w:rPr>
          <w:spacing w:val="-9"/>
          <w:sz w:val="18"/>
        </w:rPr>
        <w:t> </w:t>
      </w:r>
      <w:r>
        <w:rPr>
          <w:sz w:val="18"/>
        </w:rPr>
        <w:t>en</w:t>
      </w:r>
      <w:r>
        <w:rPr>
          <w:spacing w:val="-11"/>
          <w:sz w:val="18"/>
        </w:rPr>
        <w:t> </w:t>
      </w:r>
      <w:r>
        <w:rPr>
          <w:sz w:val="18"/>
        </w:rPr>
        <w:t>los</w:t>
      </w:r>
      <w:r>
        <w:rPr>
          <w:spacing w:val="-11"/>
          <w:sz w:val="18"/>
        </w:rPr>
        <w:t> </w:t>
      </w:r>
      <w:r>
        <w:rPr>
          <w:sz w:val="18"/>
        </w:rPr>
        <w:t>que</w:t>
      </w:r>
      <w:r>
        <w:rPr>
          <w:spacing w:val="-11"/>
          <w:sz w:val="18"/>
        </w:rPr>
        <w:t> </w:t>
      </w:r>
      <w:r>
        <w:rPr>
          <w:sz w:val="18"/>
        </w:rPr>
        <w:t>se</w:t>
      </w:r>
      <w:r>
        <w:rPr>
          <w:spacing w:val="-9"/>
          <w:sz w:val="18"/>
        </w:rPr>
        <w:t> </w:t>
      </w:r>
      <w:r>
        <w:rPr>
          <w:sz w:val="18"/>
        </w:rPr>
        <w:t>incorporen</w:t>
      </w:r>
      <w:r>
        <w:rPr>
          <w:spacing w:val="-11"/>
          <w:sz w:val="18"/>
        </w:rPr>
        <w:t> </w:t>
      </w:r>
      <w:r>
        <w:rPr>
          <w:sz w:val="18"/>
        </w:rPr>
        <w:t>medidas</w:t>
      </w:r>
      <w:r>
        <w:rPr>
          <w:spacing w:val="-8"/>
          <w:sz w:val="18"/>
        </w:rPr>
        <w:t> </w:t>
      </w:r>
      <w:r>
        <w:rPr>
          <w:sz w:val="18"/>
        </w:rPr>
        <w:t>y</w:t>
      </w:r>
      <w:r>
        <w:rPr>
          <w:spacing w:val="-11"/>
          <w:sz w:val="18"/>
        </w:rPr>
        <w:t> </w:t>
      </w:r>
      <w:r>
        <w:rPr>
          <w:sz w:val="18"/>
        </w:rPr>
        <w:t>actuaciones</w:t>
      </w:r>
      <w:r>
        <w:rPr>
          <w:spacing w:val="-11"/>
          <w:sz w:val="18"/>
        </w:rPr>
        <w:t> </w:t>
      </w:r>
      <w:r>
        <w:rPr>
          <w:sz w:val="18"/>
        </w:rPr>
        <w:t>de</w:t>
      </w:r>
      <w:r>
        <w:rPr>
          <w:spacing w:val="-9"/>
          <w:sz w:val="18"/>
        </w:rPr>
        <w:t> </w:t>
      </w:r>
      <w:r>
        <w:rPr>
          <w:sz w:val="18"/>
        </w:rPr>
        <w:t>ahorro</w:t>
      </w:r>
      <w:r>
        <w:rPr>
          <w:spacing w:val="-11"/>
          <w:sz w:val="18"/>
        </w:rPr>
        <w:t> </w:t>
      </w:r>
      <w:r>
        <w:rPr>
          <w:sz w:val="18"/>
        </w:rPr>
        <w:t>y</w:t>
      </w:r>
      <w:r>
        <w:rPr>
          <w:spacing w:val="-8"/>
          <w:sz w:val="18"/>
        </w:rPr>
        <w:t> </w:t>
      </w:r>
      <w:r>
        <w:rPr>
          <w:sz w:val="18"/>
        </w:rPr>
        <w:t>eficiencia</w:t>
      </w:r>
      <w:r>
        <w:rPr>
          <w:spacing w:val="-11"/>
          <w:sz w:val="18"/>
        </w:rPr>
        <w:t> </w:t>
      </w:r>
      <w:r>
        <w:rPr>
          <w:sz w:val="18"/>
        </w:rPr>
        <w:t>y</w:t>
      </w:r>
      <w:r>
        <w:rPr>
          <w:spacing w:val="-8"/>
          <w:sz w:val="18"/>
        </w:rPr>
        <w:t> </w:t>
      </w:r>
      <w:r>
        <w:rPr>
          <w:sz w:val="18"/>
        </w:rPr>
        <w:t>energética. El</w:t>
      </w:r>
      <w:r>
        <w:rPr>
          <w:spacing w:val="-9"/>
          <w:sz w:val="18"/>
        </w:rPr>
        <w:t> </w:t>
      </w:r>
      <w:r>
        <w:rPr>
          <w:sz w:val="18"/>
        </w:rPr>
        <w:t>Plan</w:t>
      </w:r>
      <w:r>
        <w:rPr>
          <w:spacing w:val="-9"/>
          <w:sz w:val="18"/>
        </w:rPr>
        <w:t> </w:t>
      </w:r>
      <w:r>
        <w:rPr>
          <w:sz w:val="18"/>
        </w:rPr>
        <w:t>Municipal Contra el Cambio Climático deberá concretar las líneas de actuación para la mitigación de las emisiones de gases de efecto invernadero, la transición hacia un nuevo modelo energético y la adaptación al cambio climático.</w:t>
      </w:r>
    </w:p>
    <w:p>
      <w:pPr>
        <w:spacing w:line="242" w:lineRule="auto" w:before="80"/>
        <w:ind w:left="992" w:right="988" w:firstLine="0"/>
        <w:jc w:val="both"/>
        <w:rPr>
          <w:sz w:val="18"/>
        </w:rPr>
      </w:pPr>
      <w:bookmarkStart w:name="_bookmark30" w:id="32"/>
      <w:bookmarkEnd w:id="32"/>
      <w:r>
        <w:rPr/>
      </w:r>
      <w:r>
        <w:rPr>
          <w:rFonts w:ascii="Calibri" w:hAnsi="Calibri"/>
          <w:sz w:val="18"/>
          <w:vertAlign w:val="superscript"/>
        </w:rPr>
        <w:t>13</w:t>
      </w:r>
      <w:r>
        <w:rPr>
          <w:sz w:val="18"/>
          <w:vertAlign w:val="baseline"/>
        </w:rPr>
        <w:t>Los PMUS de las entidades fiscalizadas han sido examinados por el Tribunal de Cuentas, en coordinación con los Órganos de Control Externo de las Comunidades Autónomas, en el Informe de fiscalización de las medidas de ahorro y eficiencia energética en el ámbito local, aprobado por el Pleno del Tribunal el 18 de diciembre de 2024.</w:t>
      </w:r>
    </w:p>
    <w:p>
      <w:pPr>
        <w:spacing w:before="52"/>
        <w:ind w:left="992" w:right="994" w:firstLine="0"/>
        <w:jc w:val="both"/>
        <w:rPr>
          <w:sz w:val="18"/>
        </w:rPr>
      </w:pPr>
      <w:bookmarkStart w:name="_bookmark31" w:id="33"/>
      <w:bookmarkEnd w:id="33"/>
      <w:r>
        <w:rPr/>
      </w:r>
      <w:r>
        <w:rPr>
          <w:position w:val="6"/>
          <w:sz w:val="12"/>
        </w:rPr>
        <w:t>14</w:t>
      </w:r>
      <w:r>
        <w:rPr>
          <w:spacing w:val="17"/>
          <w:position w:val="6"/>
          <w:sz w:val="12"/>
        </w:rPr>
        <w:t> </w:t>
      </w:r>
      <w:r>
        <w:rPr>
          <w:sz w:val="18"/>
        </w:rPr>
        <w:t>El </w:t>
      </w:r>
      <w:r>
        <w:rPr>
          <w:b/>
          <w:sz w:val="18"/>
        </w:rPr>
        <w:t>Ayuntamiento de</w:t>
      </w:r>
      <w:r>
        <w:rPr>
          <w:b/>
          <w:spacing w:val="-2"/>
          <w:sz w:val="18"/>
        </w:rPr>
        <w:t> </w:t>
      </w:r>
      <w:r>
        <w:rPr>
          <w:b/>
          <w:sz w:val="18"/>
        </w:rPr>
        <w:t>Las Palmas de Gran Canaria </w:t>
      </w:r>
      <w:r>
        <w:rPr>
          <w:sz w:val="18"/>
        </w:rPr>
        <w:t>ha formalizado el</w:t>
      </w:r>
      <w:r>
        <w:rPr>
          <w:spacing w:val="-2"/>
          <w:sz w:val="18"/>
        </w:rPr>
        <w:t> </w:t>
      </w:r>
      <w:r>
        <w:rPr>
          <w:sz w:val="18"/>
        </w:rPr>
        <w:t>22 de</w:t>
      </w:r>
      <w:r>
        <w:rPr>
          <w:spacing w:val="-2"/>
          <w:sz w:val="18"/>
        </w:rPr>
        <w:t> </w:t>
      </w:r>
      <w:r>
        <w:rPr>
          <w:sz w:val="18"/>
        </w:rPr>
        <w:t>mayo de</w:t>
      </w:r>
      <w:r>
        <w:rPr>
          <w:spacing w:val="-2"/>
          <w:sz w:val="18"/>
        </w:rPr>
        <w:t> </w:t>
      </w:r>
      <w:r>
        <w:rPr>
          <w:sz w:val="18"/>
        </w:rPr>
        <w:t>2025 un contrato de</w:t>
      </w:r>
      <w:r>
        <w:rPr>
          <w:spacing w:val="-2"/>
          <w:sz w:val="18"/>
        </w:rPr>
        <w:t> </w:t>
      </w:r>
      <w:r>
        <w:rPr>
          <w:sz w:val="18"/>
        </w:rPr>
        <w:t>consultoría y asistencia técnica para la actualización del PMUS.</w:t>
      </w:r>
    </w:p>
    <w:p>
      <w:pPr>
        <w:spacing w:before="58"/>
        <w:ind w:left="992" w:right="993" w:firstLine="0"/>
        <w:jc w:val="both"/>
        <w:rPr>
          <w:sz w:val="18"/>
        </w:rPr>
      </w:pPr>
      <w:bookmarkStart w:name="_bookmark32" w:id="34"/>
      <w:bookmarkEnd w:id="34"/>
      <w:r>
        <w:rPr/>
      </w:r>
      <w:r>
        <w:rPr>
          <w:position w:val="6"/>
          <w:sz w:val="12"/>
        </w:rPr>
        <w:t>15</w:t>
      </w:r>
      <w:r>
        <w:rPr>
          <w:spacing w:val="13"/>
          <w:position w:val="6"/>
          <w:sz w:val="12"/>
        </w:rPr>
        <w:t> </w:t>
      </w:r>
      <w:r>
        <w:rPr>
          <w:sz w:val="18"/>
        </w:rPr>
        <w:t>La</w:t>
      </w:r>
      <w:r>
        <w:rPr>
          <w:spacing w:val="-4"/>
          <w:sz w:val="18"/>
        </w:rPr>
        <w:t> </w:t>
      </w:r>
      <w:r>
        <w:rPr>
          <w:sz w:val="18"/>
        </w:rPr>
        <w:t>entidad</w:t>
      </w:r>
      <w:r>
        <w:rPr>
          <w:spacing w:val="-4"/>
          <w:sz w:val="18"/>
        </w:rPr>
        <w:t> </w:t>
      </w:r>
      <w:r>
        <w:rPr>
          <w:sz w:val="18"/>
        </w:rPr>
        <w:t>ha</w:t>
      </w:r>
      <w:r>
        <w:rPr>
          <w:spacing w:val="-6"/>
          <w:sz w:val="18"/>
        </w:rPr>
        <w:t> </w:t>
      </w:r>
      <w:r>
        <w:rPr>
          <w:sz w:val="18"/>
        </w:rPr>
        <w:t>informado</w:t>
      </w:r>
      <w:r>
        <w:rPr>
          <w:spacing w:val="-4"/>
          <w:sz w:val="18"/>
        </w:rPr>
        <w:t> </w:t>
      </w:r>
      <w:r>
        <w:rPr>
          <w:sz w:val="18"/>
        </w:rPr>
        <w:t>en</w:t>
      </w:r>
      <w:r>
        <w:rPr>
          <w:spacing w:val="-6"/>
          <w:sz w:val="18"/>
        </w:rPr>
        <w:t> </w:t>
      </w:r>
      <w:r>
        <w:rPr>
          <w:sz w:val="18"/>
        </w:rPr>
        <w:t>el</w:t>
      </w:r>
      <w:r>
        <w:rPr>
          <w:spacing w:val="-6"/>
          <w:sz w:val="18"/>
        </w:rPr>
        <w:t> </w:t>
      </w:r>
      <w:r>
        <w:rPr>
          <w:sz w:val="18"/>
        </w:rPr>
        <w:t>trámite</w:t>
      </w:r>
      <w:r>
        <w:rPr>
          <w:spacing w:val="-4"/>
          <w:sz w:val="18"/>
        </w:rPr>
        <w:t> </w:t>
      </w:r>
      <w:r>
        <w:rPr>
          <w:sz w:val="18"/>
        </w:rPr>
        <w:t>de</w:t>
      </w:r>
      <w:r>
        <w:rPr>
          <w:spacing w:val="-6"/>
          <w:sz w:val="18"/>
        </w:rPr>
        <w:t> </w:t>
      </w:r>
      <w:r>
        <w:rPr>
          <w:sz w:val="18"/>
        </w:rPr>
        <w:t>alegaciones</w:t>
      </w:r>
      <w:r>
        <w:rPr>
          <w:spacing w:val="-3"/>
          <w:sz w:val="18"/>
        </w:rPr>
        <w:t> </w:t>
      </w:r>
      <w:r>
        <w:rPr>
          <w:sz w:val="18"/>
        </w:rPr>
        <w:t>que</w:t>
      </w:r>
      <w:r>
        <w:rPr>
          <w:spacing w:val="-4"/>
          <w:sz w:val="18"/>
        </w:rPr>
        <w:t> </w:t>
      </w:r>
      <w:r>
        <w:rPr>
          <w:sz w:val="18"/>
        </w:rPr>
        <w:t>el</w:t>
      </w:r>
      <w:r>
        <w:rPr>
          <w:spacing w:val="-6"/>
          <w:sz w:val="18"/>
        </w:rPr>
        <w:t> </w:t>
      </w:r>
      <w:r>
        <w:rPr>
          <w:sz w:val="18"/>
        </w:rPr>
        <w:t>PMUS</w:t>
      </w:r>
      <w:r>
        <w:rPr>
          <w:spacing w:val="-5"/>
          <w:sz w:val="18"/>
        </w:rPr>
        <w:t> </w:t>
      </w:r>
      <w:r>
        <w:rPr>
          <w:sz w:val="18"/>
        </w:rPr>
        <w:t>actualizado</w:t>
      </w:r>
      <w:r>
        <w:rPr>
          <w:spacing w:val="-4"/>
          <w:sz w:val="18"/>
        </w:rPr>
        <w:t> </w:t>
      </w:r>
      <w:r>
        <w:rPr>
          <w:sz w:val="18"/>
        </w:rPr>
        <w:t>ha</w:t>
      </w:r>
      <w:r>
        <w:rPr>
          <w:spacing w:val="-6"/>
          <w:sz w:val="18"/>
        </w:rPr>
        <w:t> </w:t>
      </w:r>
      <w:r>
        <w:rPr>
          <w:sz w:val="18"/>
        </w:rPr>
        <w:t>sido</w:t>
      </w:r>
      <w:r>
        <w:rPr>
          <w:spacing w:val="-4"/>
          <w:sz w:val="18"/>
        </w:rPr>
        <w:t> </w:t>
      </w:r>
      <w:r>
        <w:rPr>
          <w:sz w:val="18"/>
        </w:rPr>
        <w:t>presentado</w:t>
      </w:r>
      <w:r>
        <w:rPr>
          <w:spacing w:val="-4"/>
          <w:sz w:val="18"/>
        </w:rPr>
        <w:t> </w:t>
      </w:r>
      <w:r>
        <w:rPr>
          <w:sz w:val="18"/>
        </w:rPr>
        <w:t>en</w:t>
      </w:r>
      <w:r>
        <w:rPr>
          <w:spacing w:val="-4"/>
          <w:sz w:val="18"/>
        </w:rPr>
        <w:t> </w:t>
      </w:r>
      <w:r>
        <w:rPr>
          <w:sz w:val="18"/>
        </w:rPr>
        <w:t>octubre</w:t>
      </w:r>
      <w:r>
        <w:rPr>
          <w:spacing w:val="-4"/>
          <w:sz w:val="18"/>
        </w:rPr>
        <w:t> </w:t>
      </w:r>
      <w:r>
        <w:rPr>
          <w:sz w:val="18"/>
        </w:rPr>
        <w:t>de</w:t>
      </w:r>
      <w:r>
        <w:rPr>
          <w:spacing w:val="-4"/>
          <w:sz w:val="18"/>
        </w:rPr>
        <w:t> </w:t>
      </w:r>
      <w:r>
        <w:rPr>
          <w:sz w:val="18"/>
        </w:rPr>
        <w:t>2025 ante el Consejo Social de la Ciudad, estando pendiente de aprobación.</w:t>
      </w:r>
    </w:p>
    <w:p>
      <w:pPr>
        <w:spacing w:after="0"/>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90"/>
        <w:jc w:val="both"/>
      </w:pPr>
      <w:r>
        <w:rPr/>
        <w:t>tarde</w:t>
      </w:r>
      <w:r>
        <w:rPr>
          <w:spacing w:val="-3"/>
        </w:rPr>
        <w:t> </w:t>
      </w:r>
      <w:r>
        <w:rPr/>
        <w:t>a</w:t>
      </w:r>
      <w:r>
        <w:rPr>
          <w:spacing w:val="-3"/>
        </w:rPr>
        <w:t> </w:t>
      </w:r>
      <w:r>
        <w:rPr/>
        <w:t>la</w:t>
      </w:r>
      <w:r>
        <w:rPr>
          <w:spacing w:val="-3"/>
        </w:rPr>
        <w:t> </w:t>
      </w:r>
      <w:r>
        <w:rPr/>
        <w:t>entrada</w:t>
      </w:r>
      <w:r>
        <w:rPr>
          <w:spacing w:val="-3"/>
        </w:rPr>
        <w:t> </w:t>
      </w:r>
      <w:r>
        <w:rPr/>
        <w:t>en</w:t>
      </w:r>
      <w:r>
        <w:rPr>
          <w:spacing w:val="-3"/>
        </w:rPr>
        <w:t> </w:t>
      </w:r>
      <w:r>
        <w:rPr/>
        <w:t>vigor</w:t>
      </w:r>
      <w:r>
        <w:rPr>
          <w:spacing w:val="-2"/>
        </w:rPr>
        <w:t> </w:t>
      </w:r>
      <w:r>
        <w:rPr/>
        <w:t>de</w:t>
      </w:r>
      <w:r>
        <w:rPr>
          <w:spacing w:val="-3"/>
        </w:rPr>
        <w:t> </w:t>
      </w:r>
      <w:r>
        <w:rPr/>
        <w:t>la</w:t>
      </w:r>
      <w:r>
        <w:rPr>
          <w:spacing w:val="-1"/>
        </w:rPr>
        <w:t> </w:t>
      </w:r>
      <w:r>
        <w:rPr/>
        <w:t>Ley</w:t>
      </w:r>
      <w:r>
        <w:rPr>
          <w:spacing w:val="-4"/>
        </w:rPr>
        <w:t> </w:t>
      </w:r>
      <w:r>
        <w:rPr/>
        <w:t>y</w:t>
      </w:r>
      <w:r>
        <w:rPr>
          <w:spacing w:val="-3"/>
        </w:rPr>
        <w:t> </w:t>
      </w:r>
      <w:r>
        <w:rPr/>
        <w:t>en</w:t>
      </w:r>
      <w:r>
        <w:rPr>
          <w:spacing w:val="-3"/>
        </w:rPr>
        <w:t> </w:t>
      </w:r>
      <w:r>
        <w:rPr/>
        <w:t>su</w:t>
      </w:r>
      <w:r>
        <w:rPr>
          <w:spacing w:val="-3"/>
        </w:rPr>
        <w:t> </w:t>
      </w:r>
      <w:r>
        <w:rPr/>
        <w:t>elaboración</w:t>
      </w:r>
      <w:r>
        <w:rPr>
          <w:spacing w:val="-3"/>
        </w:rPr>
        <w:t> </w:t>
      </w:r>
      <w:r>
        <w:rPr/>
        <w:t>se</w:t>
      </w:r>
      <w:r>
        <w:rPr>
          <w:spacing w:val="-3"/>
        </w:rPr>
        <w:t> </w:t>
      </w:r>
      <w:r>
        <w:rPr/>
        <w:t>tuvo</w:t>
      </w:r>
      <w:r>
        <w:rPr>
          <w:spacing w:val="-3"/>
        </w:rPr>
        <w:t> </w:t>
      </w:r>
      <w:r>
        <w:rPr/>
        <w:t>en</w:t>
      </w:r>
      <w:r>
        <w:rPr>
          <w:spacing w:val="-6"/>
        </w:rPr>
        <w:t> </w:t>
      </w:r>
      <w:r>
        <w:rPr/>
        <w:t>cuenta</w:t>
      </w:r>
      <w:r>
        <w:rPr>
          <w:spacing w:val="-3"/>
        </w:rPr>
        <w:t> </w:t>
      </w:r>
      <w:r>
        <w:rPr/>
        <w:t>el</w:t>
      </w:r>
      <w:r>
        <w:rPr>
          <w:spacing w:val="-2"/>
        </w:rPr>
        <w:t> </w:t>
      </w:r>
      <w:r>
        <w:rPr/>
        <w:t>Anteproyecto</w:t>
      </w:r>
      <w:r>
        <w:rPr>
          <w:spacing w:val="-3"/>
        </w:rPr>
        <w:t> </w:t>
      </w:r>
      <w:r>
        <w:rPr/>
        <w:t>de</w:t>
      </w:r>
      <w:r>
        <w:rPr>
          <w:spacing w:val="-3"/>
        </w:rPr>
        <w:t> </w:t>
      </w:r>
      <w:r>
        <w:rPr/>
        <w:t>Ley, si bien no se ha modificado para ajustarlo íntegramente a esa norma</w:t>
      </w:r>
      <w:hyperlink w:history="true" w:anchor="_bookmark33">
        <w:r>
          <w:rPr>
            <w:vertAlign w:val="superscript"/>
          </w:rPr>
          <w:t>16</w:t>
        </w:r>
      </w:hyperlink>
      <w:r>
        <w:rPr>
          <w:vertAlign w:val="baseline"/>
        </w:rPr>
        <w:t>.</w:t>
      </w:r>
    </w:p>
    <w:p>
      <w:pPr>
        <w:pStyle w:val="BodyText"/>
        <w:spacing w:before="240"/>
        <w:ind w:left="992" w:right="988"/>
        <w:jc w:val="both"/>
      </w:pPr>
      <w:r>
        <w:rPr/>
        <w:t>En</w:t>
      </w:r>
      <w:r>
        <w:rPr>
          <w:spacing w:val="-2"/>
        </w:rPr>
        <w:t> </w:t>
      </w:r>
      <w:r>
        <w:rPr/>
        <w:t>lo</w:t>
      </w:r>
      <w:r>
        <w:rPr>
          <w:spacing w:val="-2"/>
        </w:rPr>
        <w:t> </w:t>
      </w:r>
      <w:r>
        <w:rPr/>
        <w:t>que</w:t>
      </w:r>
      <w:r>
        <w:rPr>
          <w:spacing w:val="-4"/>
        </w:rPr>
        <w:t> </w:t>
      </w:r>
      <w:r>
        <w:rPr/>
        <w:t>se</w:t>
      </w:r>
      <w:r>
        <w:rPr>
          <w:spacing w:val="-4"/>
        </w:rPr>
        <w:t> </w:t>
      </w:r>
      <w:r>
        <w:rPr/>
        <w:t>refiere</w:t>
      </w:r>
      <w:r>
        <w:rPr>
          <w:spacing w:val="-3"/>
        </w:rPr>
        <w:t> </w:t>
      </w:r>
      <w:r>
        <w:rPr/>
        <w:t>en</w:t>
      </w:r>
      <w:r>
        <w:rPr>
          <w:spacing w:val="-4"/>
        </w:rPr>
        <w:t> </w:t>
      </w:r>
      <w:r>
        <w:rPr/>
        <w:t>concreto</w:t>
      </w:r>
      <w:r>
        <w:rPr>
          <w:spacing w:val="-2"/>
        </w:rPr>
        <w:t> </w:t>
      </w:r>
      <w:r>
        <w:rPr/>
        <w:t>al</w:t>
      </w:r>
      <w:r>
        <w:rPr>
          <w:spacing w:val="-5"/>
        </w:rPr>
        <w:t> </w:t>
      </w:r>
      <w:r>
        <w:rPr/>
        <w:t>transporte</w:t>
      </w:r>
      <w:r>
        <w:rPr>
          <w:spacing w:val="-4"/>
        </w:rPr>
        <w:t> </w:t>
      </w:r>
      <w:r>
        <w:rPr/>
        <w:t>público</w:t>
      </w:r>
      <w:r>
        <w:rPr>
          <w:spacing w:val="-2"/>
        </w:rPr>
        <w:t> </w:t>
      </w:r>
      <w:r>
        <w:rPr/>
        <w:t>colectivo,</w:t>
      </w:r>
      <w:r>
        <w:rPr>
          <w:spacing w:val="-1"/>
        </w:rPr>
        <w:t> </w:t>
      </w:r>
      <w:r>
        <w:rPr/>
        <w:t>todos</w:t>
      </w:r>
      <w:r>
        <w:rPr>
          <w:spacing w:val="-3"/>
        </w:rPr>
        <w:t> </w:t>
      </w:r>
      <w:r>
        <w:rPr/>
        <w:t>los</w:t>
      </w:r>
      <w:r>
        <w:rPr>
          <w:spacing w:val="-2"/>
        </w:rPr>
        <w:t> </w:t>
      </w:r>
      <w:r>
        <w:rPr/>
        <w:t>PMUS</w:t>
      </w:r>
      <w:r>
        <w:rPr>
          <w:spacing w:val="-2"/>
        </w:rPr>
        <w:t> </w:t>
      </w:r>
      <w:r>
        <w:rPr/>
        <w:t>previeron</w:t>
      </w:r>
      <w:r>
        <w:rPr>
          <w:spacing w:val="-4"/>
        </w:rPr>
        <w:t> </w:t>
      </w:r>
      <w:r>
        <w:rPr/>
        <w:t>medidas dirigidas a la mejora y uso de la red de transporte público, tales como el desarrollo y mejora de la oferta del transporte público (imagen, información, velocidad comercial, etc.) </w:t>
      </w:r>
      <w:r>
        <w:rPr>
          <w:rFonts w:ascii="Symbol" w:hAnsi="Symbol"/>
        </w:rPr>
        <w:t></w:t>
      </w:r>
      <w:r>
        <w:rPr>
          <w:b/>
        </w:rPr>
        <w:t>Ayuntamiento de Alicante</w:t>
      </w:r>
      <w:r>
        <w:rPr>
          <w:rFonts w:ascii="Symbol" w:hAnsi="Symbol"/>
        </w:rPr>
        <w:t></w:t>
      </w:r>
      <w:r>
        <w:rPr/>
        <w:t>, la mejora de la intermodalidad o de la información a los viajeros y la reducción de los tiempos de viajes en autobús </w:t>
      </w:r>
      <w:r>
        <w:rPr>
          <w:rFonts w:ascii="Symbol" w:hAnsi="Symbol"/>
        </w:rPr>
        <w:t></w:t>
      </w:r>
      <w:r>
        <w:rPr>
          <w:b/>
        </w:rPr>
        <w:t>Ayuntamiento de Bilbao</w:t>
      </w:r>
      <w:r>
        <w:rPr>
          <w:rFonts w:ascii="Symbol" w:hAnsi="Symbol"/>
        </w:rPr>
        <w:t></w:t>
      </w:r>
      <w:r>
        <w:rPr/>
        <w:t>, la integración de todo el sistema intermodal de transporte </w:t>
      </w:r>
      <w:r>
        <w:rPr>
          <w:rFonts w:ascii="Symbol" w:hAnsi="Symbol"/>
        </w:rPr>
        <w:t></w:t>
      </w:r>
      <w:r>
        <w:rPr>
          <w:b/>
        </w:rPr>
        <w:t>Ayuntamiento de Córdoba</w:t>
      </w:r>
      <w:r>
        <w:rPr>
          <w:rFonts w:ascii="Symbol" w:hAnsi="Symbol"/>
        </w:rPr>
        <w:t></w:t>
      </w:r>
      <w:r>
        <w:rPr/>
        <w:t>, la mejora de itinerarios, calidad y frecuencias</w:t>
      </w:r>
      <w:r>
        <w:rPr>
          <w:spacing w:val="-2"/>
        </w:rPr>
        <w:t> </w:t>
      </w:r>
      <w:r>
        <w:rPr/>
        <w:t>del</w:t>
      </w:r>
      <w:r>
        <w:rPr>
          <w:spacing w:val="-2"/>
        </w:rPr>
        <w:t> </w:t>
      </w:r>
      <w:r>
        <w:rPr/>
        <w:t>transporte público colectivo </w:t>
      </w:r>
      <w:r>
        <w:rPr>
          <w:rFonts w:ascii="Symbol" w:hAnsi="Symbol"/>
        </w:rPr>
        <w:t></w:t>
      </w:r>
      <w:r>
        <w:rPr>
          <w:b/>
        </w:rPr>
        <w:t>Ayuntamiento</w:t>
      </w:r>
      <w:r>
        <w:rPr>
          <w:b/>
          <w:spacing w:val="-2"/>
        </w:rPr>
        <w:t> </w:t>
      </w:r>
      <w:r>
        <w:rPr>
          <w:b/>
        </w:rPr>
        <w:t>de</w:t>
      </w:r>
      <w:r>
        <w:rPr>
          <w:b/>
          <w:spacing w:val="-1"/>
        </w:rPr>
        <w:t> </w:t>
      </w:r>
      <w:r>
        <w:rPr>
          <w:b/>
        </w:rPr>
        <w:t>Las</w:t>
      </w:r>
      <w:r>
        <w:rPr>
          <w:b/>
          <w:spacing w:val="-2"/>
        </w:rPr>
        <w:t> </w:t>
      </w:r>
      <w:r>
        <w:rPr>
          <w:b/>
        </w:rPr>
        <w:t>Palmas de</w:t>
      </w:r>
      <w:r>
        <w:rPr>
          <w:b/>
          <w:spacing w:val="-5"/>
        </w:rPr>
        <w:t> </w:t>
      </w:r>
      <w:r>
        <w:rPr>
          <w:b/>
        </w:rPr>
        <w:t>Gran</w:t>
      </w:r>
      <w:r>
        <w:rPr>
          <w:b/>
          <w:spacing w:val="-2"/>
        </w:rPr>
        <w:t> </w:t>
      </w:r>
      <w:r>
        <w:rPr>
          <w:b/>
        </w:rPr>
        <w:t>Canaria</w:t>
      </w:r>
      <w:r>
        <w:rPr>
          <w:rFonts w:ascii="Symbol" w:hAnsi="Symbol"/>
        </w:rPr>
        <w:t></w:t>
      </w:r>
      <w:r>
        <w:rPr/>
        <w:t>, la ampliación,</w:t>
      </w:r>
      <w:r>
        <w:rPr>
          <w:spacing w:val="-16"/>
        </w:rPr>
        <w:t> </w:t>
      </w:r>
      <w:r>
        <w:rPr/>
        <w:t>conservación</w:t>
      </w:r>
      <w:r>
        <w:rPr>
          <w:spacing w:val="-13"/>
        </w:rPr>
        <w:t> </w:t>
      </w:r>
      <w:r>
        <w:rPr/>
        <w:t>y</w:t>
      </w:r>
      <w:r>
        <w:rPr>
          <w:spacing w:val="-16"/>
        </w:rPr>
        <w:t> </w:t>
      </w:r>
      <w:r>
        <w:rPr/>
        <w:t>mejora</w:t>
      </w:r>
      <w:r>
        <w:rPr>
          <w:spacing w:val="-15"/>
        </w:rPr>
        <w:t> </w:t>
      </w:r>
      <w:r>
        <w:rPr/>
        <w:t>de</w:t>
      </w:r>
      <w:r>
        <w:rPr>
          <w:spacing w:val="-14"/>
        </w:rPr>
        <w:t> </w:t>
      </w:r>
      <w:r>
        <w:rPr/>
        <w:t>la</w:t>
      </w:r>
      <w:r>
        <w:rPr>
          <w:spacing w:val="-16"/>
        </w:rPr>
        <w:t> </w:t>
      </w:r>
      <w:r>
        <w:rPr/>
        <w:t>red</w:t>
      </w:r>
      <w:r>
        <w:rPr>
          <w:spacing w:val="-14"/>
        </w:rPr>
        <w:t> </w:t>
      </w:r>
      <w:r>
        <w:rPr/>
        <w:t>de</w:t>
      </w:r>
      <w:r>
        <w:rPr>
          <w:spacing w:val="-14"/>
        </w:rPr>
        <w:t> </w:t>
      </w:r>
      <w:r>
        <w:rPr/>
        <w:t>carriles</w:t>
      </w:r>
      <w:r>
        <w:rPr>
          <w:spacing w:val="-13"/>
        </w:rPr>
        <w:t> </w:t>
      </w:r>
      <w:r>
        <w:rPr/>
        <w:t>bus,</w:t>
      </w:r>
      <w:r>
        <w:rPr>
          <w:spacing w:val="-12"/>
        </w:rPr>
        <w:t> </w:t>
      </w:r>
      <w:r>
        <w:rPr/>
        <w:t>la</w:t>
      </w:r>
      <w:r>
        <w:rPr>
          <w:spacing w:val="-14"/>
        </w:rPr>
        <w:t> </w:t>
      </w:r>
      <w:r>
        <w:rPr/>
        <w:t>priorización</w:t>
      </w:r>
      <w:r>
        <w:rPr>
          <w:spacing w:val="-14"/>
        </w:rPr>
        <w:t> </w:t>
      </w:r>
      <w:r>
        <w:rPr/>
        <w:t>semafórica</w:t>
      </w:r>
      <w:r>
        <w:rPr>
          <w:spacing w:val="-16"/>
        </w:rPr>
        <w:t> </w:t>
      </w:r>
      <w:r>
        <w:rPr/>
        <w:t>del</w:t>
      </w:r>
      <w:r>
        <w:rPr>
          <w:spacing w:val="-15"/>
        </w:rPr>
        <w:t> </w:t>
      </w:r>
      <w:r>
        <w:rPr/>
        <w:t>transporte público, la implantación de nuevas tecnologías aplicadas al transporte público, así como la implantación</w:t>
      </w:r>
      <w:r>
        <w:rPr>
          <w:spacing w:val="76"/>
          <w:w w:val="150"/>
        </w:rPr>
        <w:t> </w:t>
      </w:r>
      <w:r>
        <w:rPr/>
        <w:t>de</w:t>
      </w:r>
      <w:r>
        <w:rPr>
          <w:spacing w:val="76"/>
          <w:w w:val="150"/>
        </w:rPr>
        <w:t> </w:t>
      </w:r>
      <w:r>
        <w:rPr/>
        <w:t>intercambiadores</w:t>
      </w:r>
      <w:r>
        <w:rPr>
          <w:spacing w:val="74"/>
          <w:w w:val="150"/>
        </w:rPr>
        <w:t> </w:t>
      </w:r>
      <w:r>
        <w:rPr/>
        <w:t>modales</w:t>
      </w:r>
      <w:r>
        <w:rPr>
          <w:spacing w:val="76"/>
          <w:w w:val="150"/>
        </w:rPr>
        <w:t> </w:t>
      </w:r>
      <w:r>
        <w:rPr/>
        <w:t>asociados</w:t>
      </w:r>
      <w:r>
        <w:rPr>
          <w:spacing w:val="76"/>
          <w:w w:val="150"/>
        </w:rPr>
        <w:t> </w:t>
      </w:r>
      <w:r>
        <w:rPr/>
        <w:t>a</w:t>
      </w:r>
      <w:r>
        <w:rPr>
          <w:spacing w:val="76"/>
          <w:w w:val="150"/>
        </w:rPr>
        <w:t> </w:t>
      </w:r>
      <w:r>
        <w:rPr/>
        <w:t>modos</w:t>
      </w:r>
      <w:r>
        <w:rPr>
          <w:spacing w:val="74"/>
          <w:w w:val="150"/>
        </w:rPr>
        <w:t> </w:t>
      </w:r>
      <w:r>
        <w:rPr/>
        <w:t>de</w:t>
      </w:r>
      <w:r>
        <w:rPr>
          <w:spacing w:val="80"/>
        </w:rPr>
        <w:t> </w:t>
      </w:r>
      <w:r>
        <w:rPr/>
        <w:t>transporte</w:t>
      </w:r>
      <w:r>
        <w:rPr>
          <w:spacing w:val="80"/>
        </w:rPr>
        <w:t> </w:t>
      </w:r>
      <w:r>
        <w:rPr/>
        <w:t>sostenibles</w:t>
      </w:r>
    </w:p>
    <w:p>
      <w:pPr>
        <w:pStyle w:val="BodyText"/>
        <w:spacing w:before="2"/>
        <w:ind w:left="992" w:right="988"/>
        <w:jc w:val="both"/>
      </w:pPr>
      <w:r>
        <w:rPr>
          <w:rFonts w:ascii="Symbol" w:hAnsi="Symbol"/>
        </w:rPr>
        <w:t></w:t>
      </w:r>
      <w:r>
        <w:rPr>
          <w:b/>
        </w:rPr>
        <w:t>Ayuntamiento de Málaga</w:t>
      </w:r>
      <w:r>
        <w:rPr>
          <w:rFonts w:ascii="Symbol" w:hAnsi="Symbol"/>
        </w:rPr>
        <w:t></w:t>
      </w:r>
      <w:r>
        <w:rPr/>
        <w:t>, el incremento significativo de la utilización de transporte público con la implantación del tranvía y el establecimiento de puntos que permitan el intercambio entre los distintos</w:t>
      </w:r>
      <w:r>
        <w:rPr>
          <w:spacing w:val="-3"/>
        </w:rPr>
        <w:t> </w:t>
      </w:r>
      <w:r>
        <w:rPr/>
        <w:t>medios</w:t>
      </w:r>
      <w:r>
        <w:rPr>
          <w:spacing w:val="-4"/>
        </w:rPr>
        <w:t> </w:t>
      </w:r>
      <w:r>
        <w:rPr/>
        <w:t>de</w:t>
      </w:r>
      <w:r>
        <w:rPr>
          <w:spacing w:val="-4"/>
        </w:rPr>
        <w:t> </w:t>
      </w:r>
      <w:r>
        <w:rPr/>
        <w:t>transporte</w:t>
      </w:r>
      <w:r>
        <w:rPr>
          <w:spacing w:val="-2"/>
        </w:rPr>
        <w:t> </w:t>
      </w:r>
      <w:r>
        <w:rPr>
          <w:rFonts w:ascii="Symbol" w:hAnsi="Symbol"/>
        </w:rPr>
        <w:t></w:t>
      </w:r>
      <w:r>
        <w:rPr>
          <w:b/>
        </w:rPr>
        <w:t>Ayuntamiento</w:t>
      </w:r>
      <w:r>
        <w:rPr>
          <w:b/>
          <w:spacing w:val="-4"/>
        </w:rPr>
        <w:t> </w:t>
      </w:r>
      <w:r>
        <w:rPr>
          <w:b/>
        </w:rPr>
        <w:t>de</w:t>
      </w:r>
      <w:r>
        <w:rPr>
          <w:b/>
          <w:spacing w:val="-1"/>
        </w:rPr>
        <w:t> </w:t>
      </w:r>
      <w:r>
        <w:rPr>
          <w:b/>
        </w:rPr>
        <w:t>Murcia</w:t>
      </w:r>
      <w:r>
        <w:rPr>
          <w:rFonts w:ascii="Symbol" w:hAnsi="Symbol"/>
        </w:rPr>
        <w:t></w:t>
      </w:r>
      <w:r>
        <w:rPr/>
        <w:t>,</w:t>
      </w:r>
      <w:r>
        <w:rPr>
          <w:spacing w:val="-3"/>
        </w:rPr>
        <w:t> </w:t>
      </w:r>
      <w:r>
        <w:rPr/>
        <w:t>la</w:t>
      </w:r>
      <w:r>
        <w:rPr>
          <w:spacing w:val="-4"/>
        </w:rPr>
        <w:t> </w:t>
      </w:r>
      <w:r>
        <w:rPr/>
        <w:t>creación</w:t>
      </w:r>
      <w:r>
        <w:rPr>
          <w:spacing w:val="-4"/>
        </w:rPr>
        <w:t> </w:t>
      </w:r>
      <w:r>
        <w:rPr/>
        <w:t>de</w:t>
      </w:r>
      <w:r>
        <w:rPr>
          <w:spacing w:val="-2"/>
        </w:rPr>
        <w:t> </w:t>
      </w:r>
      <w:r>
        <w:rPr/>
        <w:t>nuevos</w:t>
      </w:r>
      <w:r>
        <w:rPr>
          <w:spacing w:val="-4"/>
        </w:rPr>
        <w:t> </w:t>
      </w:r>
      <w:r>
        <w:rPr/>
        <w:t>carriles</w:t>
      </w:r>
      <w:r>
        <w:rPr>
          <w:spacing w:val="-2"/>
        </w:rPr>
        <w:t> </w:t>
      </w:r>
      <w:r>
        <w:rPr/>
        <w:t>bus</w:t>
      </w:r>
      <w:r>
        <w:rPr>
          <w:spacing w:val="-1"/>
        </w:rPr>
        <w:t> </w:t>
      </w:r>
      <w:r>
        <w:rPr/>
        <w:t>y</w:t>
      </w:r>
      <w:r>
        <w:rPr>
          <w:spacing w:val="-4"/>
        </w:rPr>
        <w:t> </w:t>
      </w:r>
      <w:r>
        <w:rPr/>
        <w:t>la priorización semafórica del autobús, así como la renovación de la flota de vehículos municipales con</w:t>
      </w:r>
      <w:r>
        <w:rPr>
          <w:spacing w:val="-4"/>
        </w:rPr>
        <w:t> </w:t>
      </w:r>
      <w:r>
        <w:rPr/>
        <w:t>criterios</w:t>
      </w:r>
      <w:r>
        <w:rPr>
          <w:spacing w:val="-6"/>
        </w:rPr>
        <w:t> </w:t>
      </w:r>
      <w:r>
        <w:rPr/>
        <w:t>ecológicos</w:t>
      </w:r>
      <w:r>
        <w:rPr>
          <w:spacing w:val="-8"/>
        </w:rPr>
        <w:t> </w:t>
      </w:r>
      <w:r>
        <w:rPr>
          <w:rFonts w:ascii="Symbol" w:hAnsi="Symbol"/>
        </w:rPr>
        <w:t></w:t>
      </w:r>
      <w:r>
        <w:rPr>
          <w:b/>
        </w:rPr>
        <w:t>Ayuntamiento</w:t>
      </w:r>
      <w:r>
        <w:rPr>
          <w:b/>
          <w:spacing w:val="-6"/>
        </w:rPr>
        <w:t> </w:t>
      </w:r>
      <w:r>
        <w:rPr>
          <w:b/>
        </w:rPr>
        <w:t>de</w:t>
      </w:r>
      <w:r>
        <w:rPr>
          <w:b/>
          <w:spacing w:val="-6"/>
        </w:rPr>
        <w:t> </w:t>
      </w:r>
      <w:r>
        <w:rPr>
          <w:b/>
        </w:rPr>
        <w:t>Palma</w:t>
      </w:r>
      <w:r>
        <w:rPr>
          <w:rFonts w:ascii="Symbol" w:hAnsi="Symbol"/>
        </w:rPr>
        <w:t></w:t>
      </w:r>
      <w:r>
        <w:rPr/>
        <w:t>,</w:t>
      </w:r>
      <w:r>
        <w:rPr>
          <w:spacing w:val="-5"/>
        </w:rPr>
        <w:t> </w:t>
      </w:r>
      <w:r>
        <w:rPr/>
        <w:t>la</w:t>
      </w:r>
      <w:r>
        <w:rPr>
          <w:spacing w:val="-4"/>
        </w:rPr>
        <w:t> </w:t>
      </w:r>
      <w:r>
        <w:rPr/>
        <w:t>optimización</w:t>
      </w:r>
      <w:r>
        <w:rPr>
          <w:spacing w:val="-7"/>
        </w:rPr>
        <w:t> </w:t>
      </w:r>
      <w:r>
        <w:rPr/>
        <w:t>de</w:t>
      </w:r>
      <w:r>
        <w:rPr>
          <w:spacing w:val="-7"/>
        </w:rPr>
        <w:t> </w:t>
      </w:r>
      <w:r>
        <w:rPr/>
        <w:t>la</w:t>
      </w:r>
      <w:r>
        <w:rPr>
          <w:spacing w:val="-4"/>
        </w:rPr>
        <w:t> </w:t>
      </w:r>
      <w:r>
        <w:rPr/>
        <w:t>red</w:t>
      </w:r>
      <w:r>
        <w:rPr>
          <w:spacing w:val="-7"/>
        </w:rPr>
        <w:t> </w:t>
      </w:r>
      <w:r>
        <w:rPr/>
        <w:t>de</w:t>
      </w:r>
      <w:r>
        <w:rPr>
          <w:spacing w:val="-9"/>
        </w:rPr>
        <w:t> </w:t>
      </w:r>
      <w:r>
        <w:rPr/>
        <w:t>transporte</w:t>
      </w:r>
      <w:r>
        <w:rPr>
          <w:spacing w:val="-4"/>
        </w:rPr>
        <w:t> </w:t>
      </w:r>
      <w:r>
        <w:rPr/>
        <w:t>urbano</w:t>
      </w:r>
    </w:p>
    <w:p>
      <w:pPr>
        <w:pStyle w:val="BodyText"/>
        <w:spacing w:line="242" w:lineRule="auto"/>
        <w:ind w:left="992" w:right="986"/>
        <w:jc w:val="both"/>
      </w:pPr>
      <w:r>
        <w:rPr>
          <w:rFonts w:ascii="Symbol" w:hAnsi="Symbol"/>
        </w:rPr>
        <w:t></w:t>
      </w:r>
      <w:r>
        <w:rPr>
          <w:b/>
        </w:rPr>
        <w:t>Ayuntamiento</w:t>
      </w:r>
      <w:r>
        <w:rPr>
          <w:b/>
          <w:spacing w:val="-7"/>
        </w:rPr>
        <w:t> </w:t>
      </w:r>
      <w:r>
        <w:rPr>
          <w:b/>
        </w:rPr>
        <w:t>de</w:t>
      </w:r>
      <w:r>
        <w:rPr>
          <w:b/>
          <w:spacing w:val="-7"/>
        </w:rPr>
        <w:t> </w:t>
      </w:r>
      <w:r>
        <w:rPr>
          <w:b/>
        </w:rPr>
        <w:t>Sevilla</w:t>
      </w:r>
      <w:r>
        <w:rPr>
          <w:rFonts w:ascii="Symbol" w:hAnsi="Symbol"/>
        </w:rPr>
        <w:t></w:t>
      </w:r>
      <w:r>
        <w:rPr/>
        <w:t>,</w:t>
      </w:r>
      <w:r>
        <w:rPr>
          <w:spacing w:val="-6"/>
        </w:rPr>
        <w:t> </w:t>
      </w:r>
      <w:r>
        <w:rPr/>
        <w:t>así</w:t>
      </w:r>
      <w:r>
        <w:rPr>
          <w:spacing w:val="-6"/>
        </w:rPr>
        <w:t> </w:t>
      </w:r>
      <w:r>
        <w:rPr/>
        <w:t>como</w:t>
      </w:r>
      <w:r>
        <w:rPr>
          <w:spacing w:val="-7"/>
        </w:rPr>
        <w:t> </w:t>
      </w:r>
      <w:r>
        <w:rPr/>
        <w:t>el</w:t>
      </w:r>
      <w:r>
        <w:rPr>
          <w:spacing w:val="-6"/>
        </w:rPr>
        <w:t> </w:t>
      </w:r>
      <w:r>
        <w:rPr/>
        <w:t>incremento</w:t>
      </w:r>
      <w:r>
        <w:rPr>
          <w:spacing w:val="-4"/>
        </w:rPr>
        <w:t> </w:t>
      </w:r>
      <w:r>
        <w:rPr/>
        <w:t>de</w:t>
      </w:r>
      <w:r>
        <w:rPr>
          <w:spacing w:val="-10"/>
        </w:rPr>
        <w:t> </w:t>
      </w:r>
      <w:r>
        <w:rPr/>
        <w:t>carriles</w:t>
      </w:r>
      <w:r>
        <w:rPr>
          <w:spacing w:val="-5"/>
        </w:rPr>
        <w:t> </w:t>
      </w:r>
      <w:r>
        <w:rPr/>
        <w:t>bus,</w:t>
      </w:r>
      <w:r>
        <w:rPr>
          <w:spacing w:val="-4"/>
        </w:rPr>
        <w:t> </w:t>
      </w:r>
      <w:r>
        <w:rPr/>
        <w:t>la</w:t>
      </w:r>
      <w:r>
        <w:rPr>
          <w:spacing w:val="-5"/>
        </w:rPr>
        <w:t> </w:t>
      </w:r>
      <w:r>
        <w:rPr/>
        <w:t>implantación</w:t>
      </w:r>
      <w:r>
        <w:rPr>
          <w:spacing w:val="-5"/>
        </w:rPr>
        <w:t> </w:t>
      </w:r>
      <w:r>
        <w:rPr/>
        <w:t>de</w:t>
      </w:r>
      <w:r>
        <w:rPr>
          <w:spacing w:val="-8"/>
        </w:rPr>
        <w:t> </w:t>
      </w:r>
      <w:r>
        <w:rPr/>
        <w:t>corredores de</w:t>
      </w:r>
      <w:r>
        <w:rPr>
          <w:spacing w:val="77"/>
        </w:rPr>
        <w:t> </w:t>
      </w:r>
      <w:r>
        <w:rPr/>
        <w:t>alta</w:t>
      </w:r>
      <w:r>
        <w:rPr>
          <w:spacing w:val="75"/>
        </w:rPr>
        <w:t> </w:t>
      </w:r>
      <w:r>
        <w:rPr/>
        <w:t>capacidad,</w:t>
      </w:r>
      <w:r>
        <w:rPr>
          <w:spacing w:val="77"/>
        </w:rPr>
        <w:t> </w:t>
      </w:r>
      <w:r>
        <w:rPr/>
        <w:t>el</w:t>
      </w:r>
      <w:r>
        <w:rPr>
          <w:spacing w:val="75"/>
        </w:rPr>
        <w:t> </w:t>
      </w:r>
      <w:r>
        <w:rPr/>
        <w:t>fomento</w:t>
      </w:r>
      <w:r>
        <w:rPr>
          <w:spacing w:val="75"/>
        </w:rPr>
        <w:t> </w:t>
      </w:r>
      <w:r>
        <w:rPr/>
        <w:t>de</w:t>
      </w:r>
      <w:r>
        <w:rPr>
          <w:spacing w:val="74"/>
        </w:rPr>
        <w:t> </w:t>
      </w:r>
      <w:r>
        <w:rPr/>
        <w:t>la</w:t>
      </w:r>
      <w:r>
        <w:rPr>
          <w:spacing w:val="75"/>
        </w:rPr>
        <w:t> </w:t>
      </w:r>
      <w:r>
        <w:rPr/>
        <w:t>intermodalidad</w:t>
      </w:r>
      <w:r>
        <w:rPr>
          <w:spacing w:val="77"/>
        </w:rPr>
        <w:t> </w:t>
      </w:r>
      <w:r>
        <w:rPr/>
        <w:t>y</w:t>
      </w:r>
      <w:r>
        <w:rPr>
          <w:spacing w:val="80"/>
        </w:rPr>
        <w:t> </w:t>
      </w:r>
      <w:r>
        <w:rPr/>
        <w:t>el</w:t>
      </w:r>
      <w:r>
        <w:rPr>
          <w:spacing w:val="74"/>
        </w:rPr>
        <w:t> </w:t>
      </w:r>
      <w:r>
        <w:rPr/>
        <w:t>sistema</w:t>
      </w:r>
      <w:r>
        <w:rPr>
          <w:spacing w:val="73"/>
        </w:rPr>
        <w:t> </w:t>
      </w:r>
      <w:r>
        <w:rPr/>
        <w:t>tarifario</w:t>
      </w:r>
      <w:r>
        <w:rPr>
          <w:spacing w:val="77"/>
        </w:rPr>
        <w:t> </w:t>
      </w:r>
      <w:r>
        <w:rPr/>
        <w:t>unificado</w:t>
      </w:r>
      <w:r>
        <w:rPr>
          <w:spacing w:val="77"/>
        </w:rPr>
        <w:t> </w:t>
      </w:r>
      <w:r>
        <w:rPr/>
        <w:t>urbano</w:t>
      </w:r>
    </w:p>
    <w:p>
      <w:pPr>
        <w:spacing w:line="265" w:lineRule="exact" w:before="0"/>
        <w:ind w:left="992" w:right="0" w:firstLine="0"/>
        <w:jc w:val="both"/>
        <w:rPr>
          <w:sz w:val="22"/>
        </w:rPr>
      </w:pPr>
      <w:r>
        <w:rPr>
          <w:rFonts w:ascii="Symbol" w:hAnsi="Symbol"/>
          <w:sz w:val="22"/>
        </w:rPr>
        <w:t></w:t>
      </w:r>
      <w:r>
        <w:rPr>
          <w:b/>
          <w:sz w:val="22"/>
        </w:rPr>
        <w:t>Ayuntamiento</w:t>
      </w:r>
      <w:r>
        <w:rPr>
          <w:b/>
          <w:spacing w:val="-7"/>
          <w:sz w:val="22"/>
        </w:rPr>
        <w:t> </w:t>
      </w:r>
      <w:r>
        <w:rPr>
          <w:b/>
          <w:sz w:val="22"/>
        </w:rPr>
        <w:t>de</w:t>
      </w:r>
      <w:r>
        <w:rPr>
          <w:b/>
          <w:spacing w:val="-6"/>
          <w:sz w:val="22"/>
        </w:rPr>
        <w:t> </w:t>
      </w:r>
      <w:r>
        <w:rPr>
          <w:b/>
          <w:spacing w:val="-2"/>
          <w:sz w:val="22"/>
        </w:rPr>
        <w:t>Zaragoza</w:t>
      </w:r>
      <w:r>
        <w:rPr>
          <w:rFonts w:ascii="Symbol" w:hAnsi="Symbol"/>
          <w:spacing w:val="-2"/>
          <w:sz w:val="22"/>
        </w:rPr>
        <w:t></w:t>
      </w:r>
      <w:r>
        <w:rPr>
          <w:spacing w:val="-2"/>
          <w:sz w:val="22"/>
        </w:rPr>
        <w:t>.</w:t>
      </w:r>
    </w:p>
    <w:p>
      <w:pPr>
        <w:spacing w:before="238"/>
        <w:ind w:left="992" w:right="985" w:firstLine="0"/>
        <w:jc w:val="both"/>
        <w:rPr>
          <w:sz w:val="22"/>
        </w:rPr>
      </w:pPr>
      <w:r>
        <w:rPr>
          <w:sz w:val="22"/>
        </w:rPr>
        <w:t>Los PMUS de los </w:t>
      </w:r>
      <w:r>
        <w:rPr>
          <w:b/>
          <w:sz w:val="22"/>
        </w:rPr>
        <w:t>Ayuntamientos de Alicante, Bilbao, Córdoba, Murcia, Palma, Sevilla </w:t>
      </w:r>
      <w:r>
        <w:rPr>
          <w:sz w:val="22"/>
        </w:rPr>
        <w:t>y </w:t>
      </w:r>
      <w:r>
        <w:rPr>
          <w:b/>
          <w:sz w:val="22"/>
        </w:rPr>
        <w:t>Zaragoza </w:t>
      </w:r>
      <w:r>
        <w:rPr>
          <w:sz w:val="22"/>
        </w:rPr>
        <w:t>se refieren específicamente a la electrificación de la red de transporte público y/o a la reducción de emisiones menos contaminantes.</w:t>
      </w:r>
    </w:p>
    <w:p>
      <w:pPr>
        <w:pStyle w:val="BodyText"/>
        <w:spacing w:before="242"/>
        <w:ind w:left="992" w:right="987"/>
        <w:jc w:val="both"/>
      </w:pPr>
      <w:r>
        <w:rPr/>
        <w:t>Igualmente,</w:t>
      </w:r>
      <w:r>
        <w:rPr>
          <w:spacing w:val="-1"/>
        </w:rPr>
        <w:t> </w:t>
      </w:r>
      <w:r>
        <w:rPr/>
        <w:t>todos</w:t>
      </w:r>
      <w:r>
        <w:rPr>
          <w:spacing w:val="-3"/>
        </w:rPr>
        <w:t> </w:t>
      </w:r>
      <w:r>
        <w:rPr/>
        <w:t>los Ayuntamientos</w:t>
      </w:r>
      <w:r>
        <w:rPr>
          <w:spacing w:val="-2"/>
        </w:rPr>
        <w:t> </w:t>
      </w:r>
      <w:r>
        <w:rPr/>
        <w:t>fiscalizados están</w:t>
      </w:r>
      <w:r>
        <w:rPr>
          <w:spacing w:val="-3"/>
        </w:rPr>
        <w:t> </w:t>
      </w:r>
      <w:r>
        <w:rPr/>
        <w:t>adheridos al</w:t>
      </w:r>
      <w:r>
        <w:rPr>
          <w:spacing w:val="-2"/>
        </w:rPr>
        <w:t> </w:t>
      </w:r>
      <w:r>
        <w:rPr/>
        <w:t>Pacto de</w:t>
      </w:r>
      <w:r>
        <w:rPr>
          <w:spacing w:val="-1"/>
        </w:rPr>
        <w:t> </w:t>
      </w:r>
      <w:r>
        <w:rPr/>
        <w:t>Alcaldes</w:t>
      </w:r>
      <w:r>
        <w:rPr>
          <w:spacing w:val="-2"/>
        </w:rPr>
        <w:t> </w:t>
      </w:r>
      <w:r>
        <w:rPr/>
        <w:t>y disponen de</w:t>
      </w:r>
      <w:r>
        <w:rPr>
          <w:spacing w:val="-4"/>
        </w:rPr>
        <w:t> </w:t>
      </w:r>
      <w:r>
        <w:rPr/>
        <w:t>PACES,</w:t>
      </w:r>
      <w:r>
        <w:rPr>
          <w:spacing w:val="-5"/>
        </w:rPr>
        <w:t> </w:t>
      </w:r>
      <w:r>
        <w:rPr/>
        <w:t>salvo</w:t>
      </w:r>
      <w:r>
        <w:rPr>
          <w:spacing w:val="-4"/>
        </w:rPr>
        <w:t> </w:t>
      </w:r>
      <w:r>
        <w:rPr/>
        <w:t>el</w:t>
      </w:r>
      <w:r>
        <w:rPr>
          <w:spacing w:val="-10"/>
        </w:rPr>
        <w:t> </w:t>
      </w:r>
      <w:r>
        <w:rPr>
          <w:b/>
        </w:rPr>
        <w:t>Ayuntamiento</w:t>
      </w:r>
      <w:r>
        <w:rPr>
          <w:b/>
          <w:spacing w:val="-6"/>
        </w:rPr>
        <w:t> </w:t>
      </w:r>
      <w:r>
        <w:rPr>
          <w:b/>
        </w:rPr>
        <w:t>de</w:t>
      </w:r>
      <w:r>
        <w:rPr>
          <w:b/>
          <w:spacing w:val="-8"/>
        </w:rPr>
        <w:t> </w:t>
      </w:r>
      <w:r>
        <w:rPr>
          <w:b/>
        </w:rPr>
        <w:t>Alicante</w:t>
      </w:r>
      <w:r>
        <w:rPr/>
        <w:t>.</w:t>
      </w:r>
      <w:r>
        <w:rPr>
          <w:spacing w:val="-7"/>
        </w:rPr>
        <w:t> </w:t>
      </w:r>
      <w:r>
        <w:rPr/>
        <w:t>El</w:t>
      </w:r>
      <w:r>
        <w:rPr>
          <w:spacing w:val="-5"/>
        </w:rPr>
        <w:t> </w:t>
      </w:r>
      <w:r>
        <w:rPr>
          <w:b/>
        </w:rPr>
        <w:t>Ayuntamiento</w:t>
      </w:r>
      <w:r>
        <w:rPr>
          <w:b/>
          <w:spacing w:val="-5"/>
        </w:rPr>
        <w:t> </w:t>
      </w:r>
      <w:r>
        <w:rPr/>
        <w:t>de</w:t>
      </w:r>
      <w:r>
        <w:rPr>
          <w:spacing w:val="-6"/>
        </w:rPr>
        <w:t> </w:t>
      </w:r>
      <w:r>
        <w:rPr>
          <w:b/>
        </w:rPr>
        <w:t>Córdoba</w:t>
      </w:r>
      <w:r>
        <w:rPr>
          <w:b/>
          <w:spacing w:val="-4"/>
        </w:rPr>
        <w:t> </w:t>
      </w:r>
      <w:r>
        <w:rPr/>
        <w:t>optó</w:t>
      </w:r>
      <w:r>
        <w:rPr>
          <w:spacing w:val="-6"/>
        </w:rPr>
        <w:t> </w:t>
      </w:r>
      <w:r>
        <w:rPr/>
        <w:t>por</w:t>
      </w:r>
      <w:r>
        <w:rPr>
          <w:spacing w:val="-5"/>
        </w:rPr>
        <w:t> </w:t>
      </w:r>
      <w:r>
        <w:rPr/>
        <w:t>realizar</w:t>
      </w:r>
      <w:r>
        <w:rPr>
          <w:spacing w:val="-3"/>
        </w:rPr>
        <w:t> </w:t>
      </w:r>
      <w:r>
        <w:rPr/>
        <w:t>la planificación en materia de cambio climático siguiendo su normativa autonómica.</w:t>
      </w:r>
    </w:p>
    <w:p>
      <w:pPr>
        <w:pStyle w:val="BodyText"/>
        <w:spacing w:before="239"/>
        <w:ind w:left="992" w:right="988"/>
        <w:jc w:val="both"/>
      </w:pPr>
      <w:r>
        <w:rPr/>
        <w:t>Entre</w:t>
      </w:r>
      <w:r>
        <w:rPr>
          <w:spacing w:val="-9"/>
        </w:rPr>
        <w:t> </w:t>
      </w:r>
      <w:r>
        <w:rPr/>
        <w:t>las</w:t>
      </w:r>
      <w:r>
        <w:rPr>
          <w:spacing w:val="-9"/>
        </w:rPr>
        <w:t> </w:t>
      </w:r>
      <w:r>
        <w:rPr/>
        <w:t>acciones</w:t>
      </w:r>
      <w:r>
        <w:rPr>
          <w:spacing w:val="-9"/>
        </w:rPr>
        <w:t> </w:t>
      </w:r>
      <w:r>
        <w:rPr/>
        <w:t>previstas</w:t>
      </w:r>
      <w:r>
        <w:rPr>
          <w:spacing w:val="-9"/>
        </w:rPr>
        <w:t> </w:t>
      </w:r>
      <w:r>
        <w:rPr/>
        <w:t>en</w:t>
      </w:r>
      <w:r>
        <w:rPr>
          <w:spacing w:val="-9"/>
        </w:rPr>
        <w:t> </w:t>
      </w:r>
      <w:r>
        <w:rPr/>
        <w:t>los</w:t>
      </w:r>
      <w:r>
        <w:rPr>
          <w:spacing w:val="-9"/>
        </w:rPr>
        <w:t> </w:t>
      </w:r>
      <w:r>
        <w:rPr/>
        <w:t>PACES</w:t>
      </w:r>
      <w:r>
        <w:rPr>
          <w:spacing w:val="-8"/>
        </w:rPr>
        <w:t> </w:t>
      </w:r>
      <w:r>
        <w:rPr/>
        <w:t>de</w:t>
      </w:r>
      <w:r>
        <w:rPr>
          <w:spacing w:val="-9"/>
        </w:rPr>
        <w:t> </w:t>
      </w:r>
      <w:r>
        <w:rPr/>
        <w:t>estas</w:t>
      </w:r>
      <w:r>
        <w:rPr>
          <w:spacing w:val="-9"/>
        </w:rPr>
        <w:t> </w:t>
      </w:r>
      <w:r>
        <w:rPr/>
        <w:t>entidades</w:t>
      </w:r>
      <w:r>
        <w:rPr>
          <w:spacing w:val="-8"/>
        </w:rPr>
        <w:t> </w:t>
      </w:r>
      <w:r>
        <w:rPr/>
        <w:t>están</w:t>
      </w:r>
      <w:r>
        <w:rPr>
          <w:spacing w:val="-8"/>
        </w:rPr>
        <w:t> </w:t>
      </w:r>
      <w:r>
        <w:rPr/>
        <w:t>la</w:t>
      </w:r>
      <w:r>
        <w:rPr>
          <w:spacing w:val="-9"/>
        </w:rPr>
        <w:t> </w:t>
      </w:r>
      <w:r>
        <w:rPr/>
        <w:t>descarbonización</w:t>
      </w:r>
      <w:r>
        <w:rPr>
          <w:spacing w:val="-9"/>
        </w:rPr>
        <w:t> </w:t>
      </w:r>
      <w:r>
        <w:rPr/>
        <w:t>del</w:t>
      </w:r>
      <w:r>
        <w:rPr>
          <w:spacing w:val="-10"/>
        </w:rPr>
        <w:t> </w:t>
      </w:r>
      <w:r>
        <w:rPr/>
        <w:t>sector del transporte incentivando la movilidad a través del uso del transporte público y la electrificación del parque de vehículos, la sustitución de la flota municipal hacia vehículos más eficientes, la instalación</w:t>
      </w:r>
      <w:r>
        <w:rPr>
          <w:spacing w:val="-1"/>
        </w:rPr>
        <w:t> </w:t>
      </w:r>
      <w:r>
        <w:rPr/>
        <w:t>de</w:t>
      </w:r>
      <w:r>
        <w:rPr>
          <w:spacing w:val="-1"/>
        </w:rPr>
        <w:t> </w:t>
      </w:r>
      <w:r>
        <w:rPr/>
        <w:t>puntos de</w:t>
      </w:r>
      <w:r>
        <w:rPr>
          <w:spacing w:val="-3"/>
        </w:rPr>
        <w:t> </w:t>
      </w:r>
      <w:r>
        <w:rPr/>
        <w:t>recarga</w:t>
      </w:r>
      <w:r>
        <w:rPr>
          <w:spacing w:val="-1"/>
        </w:rPr>
        <w:t> </w:t>
      </w:r>
      <w:r>
        <w:rPr/>
        <w:t>para</w:t>
      </w:r>
      <w:r>
        <w:rPr>
          <w:spacing w:val="-1"/>
        </w:rPr>
        <w:t> </w:t>
      </w:r>
      <w:r>
        <w:rPr/>
        <w:t>el</w:t>
      </w:r>
      <w:r>
        <w:rPr>
          <w:spacing w:val="-1"/>
        </w:rPr>
        <w:t> </w:t>
      </w:r>
      <w:r>
        <w:rPr/>
        <w:t>parque</w:t>
      </w:r>
      <w:r>
        <w:rPr>
          <w:spacing w:val="-5"/>
        </w:rPr>
        <w:t> </w:t>
      </w:r>
      <w:r>
        <w:rPr/>
        <w:t>móvil</w:t>
      </w:r>
      <w:r>
        <w:rPr>
          <w:spacing w:val="-1"/>
        </w:rPr>
        <w:t> </w:t>
      </w:r>
      <w:r>
        <w:rPr/>
        <w:t>público, la</w:t>
      </w:r>
      <w:r>
        <w:rPr>
          <w:spacing w:val="-1"/>
        </w:rPr>
        <w:t> </w:t>
      </w:r>
      <w:r>
        <w:rPr/>
        <w:t>expansión</w:t>
      </w:r>
      <w:r>
        <w:rPr>
          <w:spacing w:val="-1"/>
        </w:rPr>
        <w:t> </w:t>
      </w:r>
      <w:r>
        <w:rPr/>
        <w:t>de</w:t>
      </w:r>
      <w:r>
        <w:rPr>
          <w:spacing w:val="-1"/>
        </w:rPr>
        <w:t> </w:t>
      </w:r>
      <w:r>
        <w:rPr/>
        <w:t>la</w:t>
      </w:r>
      <w:r>
        <w:rPr>
          <w:spacing w:val="-1"/>
        </w:rPr>
        <w:t> </w:t>
      </w:r>
      <w:r>
        <w:rPr/>
        <w:t>red</w:t>
      </w:r>
      <w:r>
        <w:rPr>
          <w:spacing w:val="-1"/>
        </w:rPr>
        <w:t> </w:t>
      </w:r>
      <w:r>
        <w:rPr/>
        <w:t>de</w:t>
      </w:r>
      <w:r>
        <w:rPr>
          <w:spacing w:val="-3"/>
        </w:rPr>
        <w:t> </w:t>
      </w:r>
      <w:r>
        <w:rPr/>
        <w:t>transporte público, así como la mejora de la infraestructura</w:t>
      </w:r>
      <w:r>
        <w:rPr>
          <w:spacing w:val="-2"/>
        </w:rPr>
        <w:t> </w:t>
      </w:r>
      <w:r>
        <w:rPr/>
        <w:t>y la reorganización de las líneas para optimizar la eficiencia y reducir emisiones de gases de efecto invernadero.</w:t>
      </w:r>
    </w:p>
    <w:p>
      <w:pPr>
        <w:pStyle w:val="BodyText"/>
        <w:spacing w:before="239"/>
        <w:ind w:left="992" w:right="990"/>
        <w:jc w:val="both"/>
      </w:pPr>
      <w:r>
        <w:rPr/>
        <w:t>Asimismo, todos los ayuntamientos fiscalizados, a excepción del </w:t>
      </w:r>
      <w:r>
        <w:rPr>
          <w:b/>
        </w:rPr>
        <w:t>Ayuntamiento de Palma</w:t>
      </w:r>
      <w:r>
        <w:rPr/>
        <w:t>, contaron con PALU, en los que se prevén acciones tales como ejecutar proyectos movilidad cero emisiones</w:t>
      </w:r>
      <w:r>
        <w:rPr>
          <w:spacing w:val="80"/>
          <w:w w:val="150"/>
        </w:rPr>
        <w:t> </w:t>
      </w:r>
      <w:r>
        <w:rPr/>
        <w:t>y</w:t>
      </w:r>
      <w:r>
        <w:rPr>
          <w:spacing w:val="80"/>
          <w:w w:val="150"/>
        </w:rPr>
        <w:t> </w:t>
      </w:r>
      <w:r>
        <w:rPr/>
        <w:t>desarrollar</w:t>
      </w:r>
      <w:r>
        <w:rPr>
          <w:spacing w:val="36"/>
        </w:rPr>
        <w:t>  </w:t>
      </w:r>
      <w:r>
        <w:rPr/>
        <w:t>la</w:t>
      </w:r>
      <w:r>
        <w:rPr>
          <w:spacing w:val="80"/>
          <w:w w:val="150"/>
        </w:rPr>
        <w:t> </w:t>
      </w:r>
      <w:r>
        <w:rPr/>
        <w:t>movilidad</w:t>
      </w:r>
      <w:r>
        <w:rPr>
          <w:spacing w:val="80"/>
          <w:w w:val="150"/>
        </w:rPr>
        <w:t> </w:t>
      </w:r>
      <w:r>
        <w:rPr/>
        <w:t>urbana</w:t>
      </w:r>
      <w:r>
        <w:rPr>
          <w:spacing w:val="80"/>
          <w:w w:val="150"/>
        </w:rPr>
        <w:t> </w:t>
      </w:r>
      <w:r>
        <w:rPr/>
        <w:t>hacia</w:t>
      </w:r>
      <w:r>
        <w:rPr>
          <w:spacing w:val="80"/>
          <w:w w:val="150"/>
        </w:rPr>
        <w:t> </w:t>
      </w:r>
      <w:r>
        <w:rPr/>
        <w:t>tendencias</w:t>
      </w:r>
      <w:r>
        <w:rPr>
          <w:spacing w:val="80"/>
          <w:w w:val="150"/>
        </w:rPr>
        <w:t> </w:t>
      </w:r>
      <w:r>
        <w:rPr/>
        <w:t>de</w:t>
      </w:r>
      <w:r>
        <w:rPr>
          <w:spacing w:val="80"/>
          <w:w w:val="150"/>
        </w:rPr>
        <w:t> </w:t>
      </w:r>
      <w:r>
        <w:rPr/>
        <w:t>movilidad</w:t>
      </w:r>
      <w:r>
        <w:rPr>
          <w:spacing w:val="80"/>
          <w:w w:val="150"/>
        </w:rPr>
        <w:t> </w:t>
      </w:r>
      <w:r>
        <w:rPr/>
        <w:t>sostenible</w:t>
      </w:r>
    </w:p>
    <w:p>
      <w:pPr>
        <w:spacing w:before="2"/>
        <w:ind w:left="992" w:right="986" w:firstLine="0"/>
        <w:jc w:val="both"/>
        <w:rPr>
          <w:sz w:val="22"/>
        </w:rPr>
      </w:pPr>
      <w:r>
        <w:rPr>
          <w:rFonts w:ascii="Symbol" w:hAnsi="Symbol"/>
          <w:sz w:val="22"/>
        </w:rPr>
        <w:t></w:t>
      </w:r>
      <w:r>
        <w:rPr>
          <w:b/>
          <w:sz w:val="22"/>
        </w:rPr>
        <w:t>Ayuntamientos de Alicante, Bilbao </w:t>
      </w:r>
      <w:r>
        <w:rPr>
          <w:sz w:val="22"/>
        </w:rPr>
        <w:t>y </w:t>
      </w:r>
      <w:r>
        <w:rPr>
          <w:b/>
          <w:sz w:val="22"/>
        </w:rPr>
        <w:t>Las Palmas de Gran Canaria</w:t>
      </w:r>
      <w:r>
        <w:rPr>
          <w:rFonts w:ascii="Symbol" w:hAnsi="Symbol"/>
          <w:sz w:val="22"/>
        </w:rPr>
        <w:t></w:t>
      </w:r>
      <w:r>
        <w:rPr>
          <w:sz w:val="22"/>
        </w:rPr>
        <w:t>, abordar de manera integral</w:t>
      </w:r>
      <w:r>
        <w:rPr>
          <w:spacing w:val="-1"/>
          <w:sz w:val="22"/>
        </w:rPr>
        <w:t> </w:t>
      </w:r>
      <w:r>
        <w:rPr>
          <w:sz w:val="22"/>
        </w:rPr>
        <w:t>soluciones alternativas y</w:t>
      </w:r>
      <w:r>
        <w:rPr>
          <w:spacing w:val="-2"/>
          <w:sz w:val="22"/>
        </w:rPr>
        <w:t> </w:t>
      </w:r>
      <w:r>
        <w:rPr>
          <w:sz w:val="22"/>
        </w:rPr>
        <w:t>sostenibles para</w:t>
      </w:r>
      <w:r>
        <w:rPr>
          <w:spacing w:val="-2"/>
          <w:sz w:val="22"/>
        </w:rPr>
        <w:t> </w:t>
      </w:r>
      <w:r>
        <w:rPr>
          <w:sz w:val="22"/>
        </w:rPr>
        <w:t>mejorar</w:t>
      </w:r>
      <w:r>
        <w:rPr>
          <w:spacing w:val="-1"/>
          <w:sz w:val="22"/>
        </w:rPr>
        <w:t> </w:t>
      </w:r>
      <w:r>
        <w:rPr>
          <w:sz w:val="22"/>
        </w:rPr>
        <w:t>el</w:t>
      </w:r>
      <w:r>
        <w:rPr>
          <w:spacing w:val="-1"/>
          <w:sz w:val="22"/>
        </w:rPr>
        <w:t> </w:t>
      </w:r>
      <w:r>
        <w:rPr>
          <w:sz w:val="22"/>
        </w:rPr>
        <w:t>servicio de</w:t>
      </w:r>
      <w:r>
        <w:rPr>
          <w:spacing w:val="-2"/>
          <w:sz w:val="22"/>
        </w:rPr>
        <w:t> </w:t>
      </w:r>
      <w:r>
        <w:rPr>
          <w:sz w:val="22"/>
        </w:rPr>
        <w:t>transporte</w:t>
      </w:r>
      <w:r>
        <w:rPr>
          <w:spacing w:val="-2"/>
          <w:sz w:val="22"/>
        </w:rPr>
        <w:t> </w:t>
      </w:r>
      <w:r>
        <w:rPr>
          <w:sz w:val="22"/>
        </w:rPr>
        <w:t>público urbano, articular una infraestructura de red para la recarga de vehículos de bajas emisiones, promover la</w:t>
      </w:r>
    </w:p>
    <w:p>
      <w:pPr>
        <w:pStyle w:val="BodyText"/>
        <w:spacing w:before="8"/>
        <w:rPr>
          <w:sz w:val="15"/>
        </w:rPr>
      </w:pPr>
      <w:r>
        <w:rPr>
          <w:sz w:val="15"/>
        </w:rPr>
        <mc:AlternateContent>
          <mc:Choice Requires="wps">
            <w:drawing>
              <wp:anchor distT="0" distB="0" distL="0" distR="0" allowOverlap="1" layoutInCell="1" locked="0" behindDoc="1" simplePos="0" relativeHeight="487599616">
                <wp:simplePos x="0" y="0"/>
                <wp:positionH relativeFrom="page">
                  <wp:posOffset>719632</wp:posOffset>
                </wp:positionH>
                <wp:positionV relativeFrom="paragraph">
                  <wp:posOffset>130066</wp:posOffset>
                </wp:positionV>
                <wp:extent cx="1829435" cy="9525"/>
                <wp:effectExtent l="0" t="0" r="0" b="0"/>
                <wp:wrapTopAndBottom/>
                <wp:docPr id="131" name="Graphic 131"/>
                <wp:cNvGraphicFramePr>
                  <a:graphicFrameLocks/>
                </wp:cNvGraphicFramePr>
                <a:graphic>
                  <a:graphicData uri="http://schemas.microsoft.com/office/word/2010/wordprocessingShape">
                    <wps:wsp>
                      <wps:cNvPr id="131" name="Graphic 131"/>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0.24145pt;width:144.020pt;height:.72003pt;mso-position-horizontal-relative:page;mso-position-vertical-relative:paragraph;z-index:-15716864;mso-wrap-distance-left:0;mso-wrap-distance-right:0" id="docshape113" filled="true" fillcolor="#000000" stroked="false">
                <v:fill type="solid"/>
                <w10:wrap type="topAndBottom"/>
              </v:rect>
            </w:pict>
          </mc:Fallback>
        </mc:AlternateContent>
      </w:r>
    </w:p>
    <w:p>
      <w:pPr>
        <w:spacing w:line="259" w:lineRule="auto" w:before="118"/>
        <w:ind w:left="992" w:right="988" w:firstLine="0"/>
        <w:jc w:val="both"/>
        <w:rPr>
          <w:sz w:val="18"/>
        </w:rPr>
      </w:pPr>
      <w:bookmarkStart w:name="_bookmark33" w:id="35"/>
      <w:bookmarkEnd w:id="35"/>
      <w:r>
        <w:rPr/>
      </w:r>
      <w:r>
        <w:rPr>
          <w:position w:val="6"/>
          <w:sz w:val="12"/>
        </w:rPr>
        <w:t>16</w:t>
      </w:r>
      <w:r>
        <w:rPr>
          <w:spacing w:val="34"/>
          <w:position w:val="6"/>
          <w:sz w:val="12"/>
        </w:rPr>
        <w:t> </w:t>
      </w:r>
      <w:r>
        <w:rPr>
          <w:sz w:val="18"/>
        </w:rPr>
        <w:t>El </w:t>
      </w:r>
      <w:r>
        <w:rPr>
          <w:b/>
          <w:sz w:val="18"/>
        </w:rPr>
        <w:t>Ayuntamiento de Málaga </w:t>
      </w:r>
      <w:r>
        <w:rPr>
          <w:sz w:val="18"/>
        </w:rPr>
        <w:t>ha alegado que en la elaboración del PMUS se incluyeron diagnósticos y propuestas enmarcadas en el Anteproyecto de la Ley 7/2021, en relación con la promoción de la movilidad sin emisiones y la instalación de puntos de recarga eléctrica, por lo que considera que su PMUS sí está alineado con las disposiciones de esa Ley. Al respecto se ha de señalar que, sin perjuicio de que en la elaboración del PMUS la entidad tuviera en consideración</w:t>
      </w:r>
      <w:r>
        <w:rPr>
          <w:spacing w:val="-11"/>
          <w:sz w:val="18"/>
        </w:rPr>
        <w:t> </w:t>
      </w:r>
      <w:r>
        <w:rPr>
          <w:sz w:val="18"/>
        </w:rPr>
        <w:t>dicho</w:t>
      </w:r>
      <w:r>
        <w:rPr>
          <w:spacing w:val="-11"/>
          <w:sz w:val="18"/>
        </w:rPr>
        <w:t> </w:t>
      </w:r>
      <w:r>
        <w:rPr>
          <w:sz w:val="18"/>
        </w:rPr>
        <w:t>Anteproyecto</w:t>
      </w:r>
      <w:r>
        <w:rPr>
          <w:spacing w:val="-11"/>
          <w:sz w:val="18"/>
        </w:rPr>
        <w:t> </w:t>
      </w:r>
      <w:r>
        <w:rPr>
          <w:sz w:val="18"/>
        </w:rPr>
        <w:t>y</w:t>
      </w:r>
      <w:r>
        <w:rPr>
          <w:spacing w:val="-11"/>
          <w:sz w:val="18"/>
        </w:rPr>
        <w:t> </w:t>
      </w:r>
      <w:r>
        <w:rPr>
          <w:sz w:val="18"/>
        </w:rPr>
        <w:t>una</w:t>
      </w:r>
      <w:r>
        <w:rPr>
          <w:spacing w:val="-11"/>
          <w:sz w:val="18"/>
        </w:rPr>
        <w:t> </w:t>
      </w:r>
      <w:r>
        <w:rPr>
          <w:sz w:val="18"/>
        </w:rPr>
        <w:t>parte</w:t>
      </w:r>
      <w:r>
        <w:rPr>
          <w:spacing w:val="-9"/>
          <w:sz w:val="18"/>
        </w:rPr>
        <w:t> </w:t>
      </w:r>
      <w:r>
        <w:rPr>
          <w:sz w:val="18"/>
        </w:rPr>
        <w:t>importante</w:t>
      </w:r>
      <w:r>
        <w:rPr>
          <w:spacing w:val="-9"/>
          <w:sz w:val="18"/>
        </w:rPr>
        <w:t> </w:t>
      </w:r>
      <w:r>
        <w:rPr>
          <w:sz w:val="18"/>
        </w:rPr>
        <w:t>de</w:t>
      </w:r>
      <w:r>
        <w:rPr>
          <w:spacing w:val="-9"/>
          <w:sz w:val="18"/>
        </w:rPr>
        <w:t> </w:t>
      </w:r>
      <w:r>
        <w:rPr>
          <w:sz w:val="18"/>
        </w:rPr>
        <w:t>este</w:t>
      </w:r>
      <w:r>
        <w:rPr>
          <w:spacing w:val="-11"/>
          <w:sz w:val="18"/>
        </w:rPr>
        <w:t> </w:t>
      </w:r>
      <w:r>
        <w:rPr>
          <w:sz w:val="18"/>
        </w:rPr>
        <w:t>sea</w:t>
      </w:r>
      <w:r>
        <w:rPr>
          <w:spacing w:val="-11"/>
          <w:sz w:val="18"/>
        </w:rPr>
        <w:t> </w:t>
      </w:r>
      <w:r>
        <w:rPr>
          <w:sz w:val="18"/>
        </w:rPr>
        <w:t>acorde</w:t>
      </w:r>
      <w:r>
        <w:rPr>
          <w:spacing w:val="-11"/>
          <w:sz w:val="18"/>
        </w:rPr>
        <w:t> </w:t>
      </w:r>
      <w:r>
        <w:rPr>
          <w:sz w:val="18"/>
        </w:rPr>
        <w:t>con</w:t>
      </w:r>
      <w:r>
        <w:rPr>
          <w:spacing w:val="-11"/>
          <w:sz w:val="18"/>
        </w:rPr>
        <w:t> </w:t>
      </w:r>
      <w:r>
        <w:rPr>
          <w:sz w:val="18"/>
        </w:rPr>
        <w:t>la</w:t>
      </w:r>
      <w:r>
        <w:rPr>
          <w:spacing w:val="-11"/>
          <w:sz w:val="18"/>
        </w:rPr>
        <w:t> </w:t>
      </w:r>
      <w:r>
        <w:rPr>
          <w:sz w:val="18"/>
        </w:rPr>
        <w:t>Ley,</w:t>
      </w:r>
      <w:r>
        <w:rPr>
          <w:spacing w:val="-9"/>
          <w:sz w:val="18"/>
        </w:rPr>
        <w:t> </w:t>
      </w:r>
      <w:r>
        <w:rPr>
          <w:sz w:val="18"/>
        </w:rPr>
        <w:t>el</w:t>
      </w:r>
      <w:r>
        <w:rPr>
          <w:spacing w:val="-6"/>
          <w:sz w:val="18"/>
        </w:rPr>
        <w:t> </w:t>
      </w:r>
      <w:r>
        <w:rPr>
          <w:sz w:val="18"/>
        </w:rPr>
        <w:t>Plan</w:t>
      </w:r>
      <w:r>
        <w:rPr>
          <w:spacing w:val="-9"/>
          <w:sz w:val="18"/>
        </w:rPr>
        <w:t> </w:t>
      </w:r>
      <w:r>
        <w:rPr>
          <w:sz w:val="18"/>
        </w:rPr>
        <w:t>no</w:t>
      </w:r>
      <w:r>
        <w:rPr>
          <w:spacing w:val="-9"/>
          <w:sz w:val="18"/>
        </w:rPr>
        <w:t> </w:t>
      </w:r>
      <w:r>
        <w:rPr>
          <w:sz w:val="18"/>
        </w:rPr>
        <w:t>se</w:t>
      </w:r>
      <w:r>
        <w:rPr>
          <w:spacing w:val="-9"/>
          <w:sz w:val="18"/>
        </w:rPr>
        <w:t> </w:t>
      </w:r>
      <w:r>
        <w:rPr>
          <w:sz w:val="18"/>
        </w:rPr>
        <w:t>ajusta</w:t>
      </w:r>
      <w:r>
        <w:rPr>
          <w:spacing w:val="-11"/>
          <w:sz w:val="18"/>
        </w:rPr>
        <w:t> </w:t>
      </w:r>
      <w:r>
        <w:rPr>
          <w:sz w:val="18"/>
        </w:rPr>
        <w:t>íntegramente al contenido mínimo exigido legalmente, tal y como se señala en el Informe de Fiscalización de las medidas de ahorro</w:t>
      </w:r>
      <w:r>
        <w:rPr>
          <w:spacing w:val="-1"/>
          <w:sz w:val="18"/>
        </w:rPr>
        <w:t> </w:t>
      </w:r>
      <w:r>
        <w:rPr>
          <w:sz w:val="18"/>
        </w:rPr>
        <w:t>y eficiencia</w:t>
      </w:r>
      <w:r>
        <w:rPr>
          <w:spacing w:val="-11"/>
          <w:sz w:val="18"/>
        </w:rPr>
        <w:t> </w:t>
      </w:r>
      <w:r>
        <w:rPr>
          <w:sz w:val="18"/>
        </w:rPr>
        <w:t>energética</w:t>
      </w:r>
      <w:r>
        <w:rPr>
          <w:spacing w:val="-11"/>
          <w:sz w:val="18"/>
        </w:rPr>
        <w:t> </w:t>
      </w:r>
      <w:r>
        <w:rPr>
          <w:sz w:val="18"/>
        </w:rPr>
        <w:t>en</w:t>
      </w:r>
      <w:r>
        <w:rPr>
          <w:spacing w:val="-11"/>
          <w:sz w:val="18"/>
        </w:rPr>
        <w:t> </w:t>
      </w:r>
      <w:r>
        <w:rPr>
          <w:sz w:val="18"/>
        </w:rPr>
        <w:t>el</w:t>
      </w:r>
      <w:r>
        <w:rPr>
          <w:spacing w:val="-11"/>
          <w:sz w:val="18"/>
        </w:rPr>
        <w:t> </w:t>
      </w:r>
      <w:r>
        <w:rPr>
          <w:sz w:val="18"/>
        </w:rPr>
        <w:t>ámbito</w:t>
      </w:r>
      <w:r>
        <w:rPr>
          <w:spacing w:val="-11"/>
          <w:sz w:val="18"/>
        </w:rPr>
        <w:t> </w:t>
      </w:r>
      <w:r>
        <w:rPr>
          <w:sz w:val="18"/>
        </w:rPr>
        <w:t>local,</w:t>
      </w:r>
      <w:r>
        <w:rPr>
          <w:spacing w:val="-11"/>
          <w:sz w:val="18"/>
        </w:rPr>
        <w:t> </w:t>
      </w:r>
      <w:r>
        <w:rPr>
          <w:sz w:val="18"/>
        </w:rPr>
        <w:t>aprobado</w:t>
      </w:r>
      <w:r>
        <w:rPr>
          <w:spacing w:val="-11"/>
          <w:sz w:val="18"/>
        </w:rPr>
        <w:t> </w:t>
      </w:r>
      <w:r>
        <w:rPr>
          <w:sz w:val="18"/>
        </w:rPr>
        <w:t>por</w:t>
      </w:r>
      <w:r>
        <w:rPr>
          <w:spacing w:val="-12"/>
          <w:sz w:val="18"/>
        </w:rPr>
        <w:t> </w:t>
      </w:r>
      <w:r>
        <w:rPr>
          <w:sz w:val="18"/>
        </w:rPr>
        <w:t>el</w:t>
      </w:r>
      <w:r>
        <w:rPr>
          <w:spacing w:val="-11"/>
          <w:sz w:val="18"/>
        </w:rPr>
        <w:t> </w:t>
      </w:r>
      <w:r>
        <w:rPr>
          <w:sz w:val="18"/>
        </w:rPr>
        <w:t>Pleno</w:t>
      </w:r>
      <w:r>
        <w:rPr>
          <w:spacing w:val="-11"/>
          <w:sz w:val="18"/>
        </w:rPr>
        <w:t> </w:t>
      </w:r>
      <w:r>
        <w:rPr>
          <w:sz w:val="18"/>
        </w:rPr>
        <w:t>del</w:t>
      </w:r>
      <w:r>
        <w:rPr>
          <w:spacing w:val="-9"/>
          <w:sz w:val="18"/>
        </w:rPr>
        <w:t> </w:t>
      </w:r>
      <w:r>
        <w:rPr>
          <w:sz w:val="18"/>
        </w:rPr>
        <w:t>Tribunal</w:t>
      </w:r>
      <w:r>
        <w:rPr>
          <w:spacing w:val="-11"/>
          <w:sz w:val="18"/>
        </w:rPr>
        <w:t> </w:t>
      </w:r>
      <w:r>
        <w:rPr>
          <w:sz w:val="18"/>
        </w:rPr>
        <w:t>de</w:t>
      </w:r>
      <w:r>
        <w:rPr>
          <w:spacing w:val="-11"/>
          <w:sz w:val="18"/>
        </w:rPr>
        <w:t> </w:t>
      </w:r>
      <w:r>
        <w:rPr>
          <w:sz w:val="18"/>
        </w:rPr>
        <w:t>Cuentas</w:t>
      </w:r>
      <w:r>
        <w:rPr>
          <w:spacing w:val="-11"/>
          <w:sz w:val="18"/>
        </w:rPr>
        <w:t> </w:t>
      </w:r>
      <w:r>
        <w:rPr>
          <w:sz w:val="18"/>
        </w:rPr>
        <w:t>el</w:t>
      </w:r>
      <w:r>
        <w:rPr>
          <w:spacing w:val="-11"/>
          <w:sz w:val="18"/>
        </w:rPr>
        <w:t> </w:t>
      </w:r>
      <w:r>
        <w:rPr>
          <w:sz w:val="18"/>
        </w:rPr>
        <w:t>18</w:t>
      </w:r>
      <w:r>
        <w:rPr>
          <w:spacing w:val="-13"/>
          <w:sz w:val="18"/>
        </w:rPr>
        <w:t> </w:t>
      </w:r>
      <w:r>
        <w:rPr>
          <w:sz w:val="18"/>
        </w:rPr>
        <w:t>de</w:t>
      </w:r>
      <w:r>
        <w:rPr>
          <w:spacing w:val="-8"/>
          <w:sz w:val="18"/>
        </w:rPr>
        <w:t> </w:t>
      </w:r>
      <w:r>
        <w:rPr>
          <w:sz w:val="18"/>
        </w:rPr>
        <w:t>diciembre</w:t>
      </w:r>
      <w:r>
        <w:rPr>
          <w:spacing w:val="-3"/>
          <w:sz w:val="18"/>
        </w:rPr>
        <w:t> </w:t>
      </w:r>
      <w:r>
        <w:rPr>
          <w:sz w:val="18"/>
        </w:rPr>
        <w:t>de</w:t>
      </w:r>
      <w:r>
        <w:rPr>
          <w:spacing w:val="-11"/>
          <w:sz w:val="18"/>
        </w:rPr>
        <w:t> </w:t>
      </w:r>
      <w:r>
        <w:rPr>
          <w:sz w:val="18"/>
        </w:rPr>
        <w:t>2024</w:t>
      </w:r>
      <w:r>
        <w:rPr>
          <w:spacing w:val="-10"/>
          <w:sz w:val="18"/>
        </w:rPr>
        <w:t> </w:t>
      </w:r>
      <w:r>
        <w:rPr>
          <w:rFonts w:ascii="Symbol" w:hAnsi="Symbol"/>
          <w:sz w:val="18"/>
        </w:rPr>
        <w:t></w:t>
      </w:r>
      <w:r>
        <w:rPr>
          <w:sz w:val="18"/>
        </w:rPr>
        <w:t>Anexo X del Informe</w:t>
      </w:r>
      <w:r>
        <w:rPr>
          <w:rFonts w:ascii="Symbol" w:hAnsi="Symbol"/>
          <w:sz w:val="18"/>
        </w:rPr>
        <w:t></w:t>
      </w:r>
      <w:r>
        <w:rPr>
          <w:sz w:val="18"/>
        </w:rPr>
        <w:t>.</w:t>
      </w:r>
    </w:p>
    <w:p>
      <w:pPr>
        <w:spacing w:after="0" w:line="259" w:lineRule="auto"/>
        <w:jc w:val="both"/>
        <w:rPr>
          <w:sz w:val="18"/>
        </w:rPr>
        <w:sectPr>
          <w:pgSz w:w="11910" w:h="16840"/>
          <w:pgMar w:header="1227" w:footer="839" w:top="1420" w:bottom="1060" w:left="141" w:right="141"/>
        </w:sectPr>
      </w:pPr>
    </w:p>
    <w:p>
      <w:pPr>
        <w:pStyle w:val="BodyText"/>
      </w:pPr>
    </w:p>
    <w:p>
      <w:pPr>
        <w:pStyle w:val="BodyText"/>
      </w:pPr>
    </w:p>
    <w:p>
      <w:pPr>
        <w:pStyle w:val="BodyText"/>
      </w:pPr>
    </w:p>
    <w:p>
      <w:pPr>
        <w:pStyle w:val="BodyText"/>
        <w:spacing w:before="111"/>
      </w:pPr>
    </w:p>
    <w:p>
      <w:pPr>
        <w:spacing w:before="1"/>
        <w:ind w:left="992" w:right="986" w:firstLine="0"/>
        <w:jc w:val="both"/>
        <w:rPr>
          <w:sz w:val="22"/>
        </w:rPr>
      </w:pPr>
      <w:r>
        <w:rPr>
          <w:sz w:val="22"/>
        </w:rPr>
        <w:t>intermodalidad de modos de transporte </w:t>
      </w:r>
      <w:r>
        <w:rPr>
          <w:rFonts w:ascii="Symbol" w:hAnsi="Symbol"/>
          <w:sz w:val="22"/>
        </w:rPr>
        <w:t></w:t>
      </w:r>
      <w:r>
        <w:rPr>
          <w:b/>
          <w:sz w:val="22"/>
        </w:rPr>
        <w:t>Ayuntamientos de Málaga </w:t>
      </w:r>
      <w:r>
        <w:rPr>
          <w:sz w:val="22"/>
        </w:rPr>
        <w:t>y </w:t>
      </w:r>
      <w:r>
        <w:rPr>
          <w:b/>
          <w:sz w:val="22"/>
        </w:rPr>
        <w:t>Córdoba</w:t>
      </w:r>
      <w:r>
        <w:rPr>
          <w:rFonts w:ascii="Symbol" w:hAnsi="Symbol"/>
          <w:sz w:val="22"/>
        </w:rPr>
        <w:t></w:t>
      </w:r>
      <w:r>
        <w:rPr>
          <w:sz w:val="22"/>
        </w:rPr>
        <w:t>, crear un viario segregado para el transporte público </w:t>
      </w:r>
      <w:r>
        <w:rPr>
          <w:rFonts w:ascii="Symbol" w:hAnsi="Symbol"/>
          <w:sz w:val="22"/>
        </w:rPr>
        <w:t></w:t>
      </w:r>
      <w:r>
        <w:rPr>
          <w:b/>
          <w:sz w:val="22"/>
        </w:rPr>
        <w:t>Ayuntamiento de Murcia</w:t>
      </w:r>
      <w:r>
        <w:rPr>
          <w:rFonts w:ascii="Symbol" w:hAnsi="Symbol"/>
          <w:sz w:val="22"/>
        </w:rPr>
        <w:t></w:t>
      </w:r>
      <w:r>
        <w:rPr>
          <w:sz w:val="22"/>
        </w:rPr>
        <w:t>, fomentar el transporte público descarbonizado,</w:t>
      </w:r>
      <w:r>
        <w:rPr>
          <w:spacing w:val="-9"/>
          <w:sz w:val="22"/>
        </w:rPr>
        <w:t> </w:t>
      </w:r>
      <w:r>
        <w:rPr>
          <w:sz w:val="22"/>
        </w:rPr>
        <w:t>con</w:t>
      </w:r>
      <w:r>
        <w:rPr>
          <w:spacing w:val="-8"/>
          <w:sz w:val="22"/>
        </w:rPr>
        <w:t> </w:t>
      </w:r>
      <w:r>
        <w:rPr>
          <w:sz w:val="22"/>
        </w:rPr>
        <w:t>la</w:t>
      </w:r>
      <w:r>
        <w:rPr>
          <w:spacing w:val="-8"/>
          <w:sz w:val="22"/>
        </w:rPr>
        <w:t> </w:t>
      </w:r>
      <w:r>
        <w:rPr>
          <w:sz w:val="22"/>
        </w:rPr>
        <w:t>integración</w:t>
      </w:r>
      <w:r>
        <w:rPr>
          <w:spacing w:val="-8"/>
          <w:sz w:val="22"/>
        </w:rPr>
        <w:t> </w:t>
      </w:r>
      <w:r>
        <w:rPr>
          <w:sz w:val="22"/>
        </w:rPr>
        <w:t>de</w:t>
      </w:r>
      <w:r>
        <w:rPr>
          <w:spacing w:val="-11"/>
          <w:sz w:val="22"/>
        </w:rPr>
        <w:t> </w:t>
      </w:r>
      <w:r>
        <w:rPr>
          <w:sz w:val="22"/>
        </w:rPr>
        <w:t>autobuses</w:t>
      </w:r>
      <w:r>
        <w:rPr>
          <w:spacing w:val="-10"/>
          <w:sz w:val="22"/>
        </w:rPr>
        <w:t> </w:t>
      </w:r>
      <w:r>
        <w:rPr>
          <w:sz w:val="22"/>
        </w:rPr>
        <w:t>eléctricos</w:t>
      </w:r>
      <w:r>
        <w:rPr>
          <w:spacing w:val="-8"/>
          <w:sz w:val="22"/>
        </w:rPr>
        <w:t> </w:t>
      </w:r>
      <w:r>
        <w:rPr>
          <w:sz w:val="22"/>
        </w:rPr>
        <w:t>y</w:t>
      </w:r>
      <w:r>
        <w:rPr>
          <w:spacing w:val="-10"/>
          <w:sz w:val="22"/>
        </w:rPr>
        <w:t> </w:t>
      </w:r>
      <w:r>
        <w:rPr>
          <w:sz w:val="22"/>
        </w:rPr>
        <w:t>la</w:t>
      </w:r>
      <w:r>
        <w:rPr>
          <w:spacing w:val="-8"/>
          <w:sz w:val="22"/>
        </w:rPr>
        <w:t> </w:t>
      </w:r>
      <w:r>
        <w:rPr>
          <w:sz w:val="22"/>
        </w:rPr>
        <w:t>optimización</w:t>
      </w:r>
      <w:r>
        <w:rPr>
          <w:spacing w:val="-8"/>
          <w:sz w:val="22"/>
        </w:rPr>
        <w:t> </w:t>
      </w:r>
      <w:r>
        <w:rPr>
          <w:sz w:val="22"/>
        </w:rPr>
        <w:t>de</w:t>
      </w:r>
      <w:r>
        <w:rPr>
          <w:spacing w:val="-8"/>
          <w:sz w:val="22"/>
        </w:rPr>
        <w:t> </w:t>
      </w:r>
      <w:r>
        <w:rPr>
          <w:sz w:val="22"/>
        </w:rPr>
        <w:t>la</w:t>
      </w:r>
      <w:r>
        <w:rPr>
          <w:spacing w:val="-8"/>
          <w:sz w:val="22"/>
        </w:rPr>
        <w:t> </w:t>
      </w:r>
      <w:r>
        <w:rPr>
          <w:sz w:val="22"/>
        </w:rPr>
        <w:t>red</w:t>
      </w:r>
      <w:r>
        <w:rPr>
          <w:spacing w:val="-11"/>
          <w:sz w:val="22"/>
        </w:rPr>
        <w:t> </w:t>
      </w:r>
      <w:r>
        <w:rPr>
          <w:sz w:val="22"/>
        </w:rPr>
        <w:t>de</w:t>
      </w:r>
      <w:r>
        <w:rPr>
          <w:spacing w:val="-11"/>
          <w:sz w:val="22"/>
        </w:rPr>
        <w:t> </w:t>
      </w:r>
      <w:r>
        <w:rPr>
          <w:sz w:val="22"/>
        </w:rPr>
        <w:t>transporte urbano </w:t>
      </w:r>
      <w:r>
        <w:rPr>
          <w:rFonts w:ascii="Symbol" w:hAnsi="Symbol"/>
          <w:sz w:val="22"/>
        </w:rPr>
        <w:t></w:t>
      </w:r>
      <w:r>
        <w:rPr>
          <w:b/>
          <w:sz w:val="22"/>
        </w:rPr>
        <w:t>Ayuntamiento de Sevilla</w:t>
      </w:r>
      <w:r>
        <w:rPr>
          <w:rFonts w:ascii="Symbol" w:hAnsi="Symbol"/>
          <w:sz w:val="22"/>
        </w:rPr>
        <w:t></w:t>
      </w:r>
      <w:r>
        <w:rPr>
          <w:rFonts w:ascii="Times New Roman" w:hAnsi="Times New Roman"/>
          <w:sz w:val="22"/>
        </w:rPr>
        <w:t> </w:t>
      </w:r>
      <w:r>
        <w:rPr>
          <w:sz w:val="22"/>
        </w:rPr>
        <w:t>y descarbonizar la flota de autobuses urbanos, crear aparcamientos de disuasión y/o intermodales y digitalizar la movilidad </w:t>
      </w:r>
      <w:r>
        <w:rPr>
          <w:rFonts w:ascii="Symbol" w:hAnsi="Symbol"/>
          <w:sz w:val="22"/>
        </w:rPr>
        <w:t></w:t>
      </w:r>
      <w:r>
        <w:rPr>
          <w:b/>
          <w:sz w:val="22"/>
        </w:rPr>
        <w:t>Ayuntamiento de </w:t>
      </w:r>
      <w:r>
        <w:rPr>
          <w:b/>
          <w:spacing w:val="-2"/>
          <w:sz w:val="22"/>
        </w:rPr>
        <w:t>Zaragoza</w:t>
      </w:r>
      <w:r>
        <w:rPr>
          <w:rFonts w:ascii="Symbol" w:hAnsi="Symbol"/>
          <w:spacing w:val="-2"/>
          <w:sz w:val="22"/>
        </w:rPr>
        <w:t></w:t>
      </w:r>
      <w:r>
        <w:rPr>
          <w:spacing w:val="-2"/>
          <w:sz w:val="22"/>
        </w:rPr>
        <w:t>.</w:t>
      </w:r>
    </w:p>
    <w:p>
      <w:pPr>
        <w:pStyle w:val="BodyText"/>
        <w:spacing w:before="240"/>
        <w:ind w:left="992" w:right="986"/>
        <w:jc w:val="both"/>
      </w:pPr>
      <w:r>
        <w:rPr/>
        <w:t>Además de estos planes, algunos de los ayuntamientos fiscalizados o sus empresas públicas prestadoras del servicio público de transporte colectivo urbano cuentan con otros instrumentos de planificación relacionados con ese servicio. El </w:t>
      </w:r>
      <w:r>
        <w:rPr>
          <w:b/>
        </w:rPr>
        <w:t>Ayuntamiento de Bilbao </w:t>
      </w:r>
      <w:r>
        <w:rPr/>
        <w:t>tiene un Plan de mejora de</w:t>
      </w:r>
      <w:r>
        <w:rPr>
          <w:spacing w:val="-4"/>
        </w:rPr>
        <w:t> </w:t>
      </w:r>
      <w:r>
        <w:rPr/>
        <w:t>la</w:t>
      </w:r>
      <w:r>
        <w:rPr>
          <w:spacing w:val="-4"/>
        </w:rPr>
        <w:t> </w:t>
      </w:r>
      <w:r>
        <w:rPr/>
        <w:t>calidad</w:t>
      </w:r>
      <w:r>
        <w:rPr>
          <w:spacing w:val="-4"/>
        </w:rPr>
        <w:t> </w:t>
      </w:r>
      <w:r>
        <w:rPr/>
        <w:t>del</w:t>
      </w:r>
      <w:r>
        <w:rPr>
          <w:spacing w:val="-7"/>
        </w:rPr>
        <w:t> </w:t>
      </w:r>
      <w:r>
        <w:rPr/>
        <w:t>aire,</w:t>
      </w:r>
      <w:r>
        <w:rPr>
          <w:spacing w:val="-5"/>
        </w:rPr>
        <w:t> </w:t>
      </w:r>
      <w:r>
        <w:rPr/>
        <w:t>en</w:t>
      </w:r>
      <w:r>
        <w:rPr>
          <w:spacing w:val="-9"/>
        </w:rPr>
        <w:t> </w:t>
      </w:r>
      <w:r>
        <w:rPr/>
        <w:t>el</w:t>
      </w:r>
      <w:r>
        <w:rPr>
          <w:spacing w:val="-5"/>
        </w:rPr>
        <w:t> </w:t>
      </w:r>
      <w:r>
        <w:rPr/>
        <w:t>que</w:t>
      </w:r>
      <w:r>
        <w:rPr>
          <w:spacing w:val="-4"/>
        </w:rPr>
        <w:t> </w:t>
      </w:r>
      <w:r>
        <w:rPr/>
        <w:t>se</w:t>
      </w:r>
      <w:r>
        <w:rPr>
          <w:spacing w:val="-6"/>
        </w:rPr>
        <w:t> </w:t>
      </w:r>
      <w:r>
        <w:rPr/>
        <w:t>prevé</w:t>
      </w:r>
      <w:r>
        <w:rPr>
          <w:spacing w:val="-4"/>
        </w:rPr>
        <w:t> </w:t>
      </w:r>
      <w:r>
        <w:rPr/>
        <w:t>la</w:t>
      </w:r>
      <w:r>
        <w:rPr>
          <w:spacing w:val="-6"/>
        </w:rPr>
        <w:t> </w:t>
      </w:r>
      <w:r>
        <w:rPr/>
        <w:t>renovación</w:t>
      </w:r>
      <w:r>
        <w:rPr>
          <w:spacing w:val="-4"/>
        </w:rPr>
        <w:t> </w:t>
      </w:r>
      <w:r>
        <w:rPr/>
        <w:t>de</w:t>
      </w:r>
      <w:r>
        <w:rPr>
          <w:spacing w:val="-3"/>
        </w:rPr>
        <w:t> </w:t>
      </w:r>
      <w:r>
        <w:rPr/>
        <w:t>los</w:t>
      </w:r>
      <w:r>
        <w:rPr>
          <w:spacing w:val="-6"/>
        </w:rPr>
        <w:t> </w:t>
      </w:r>
      <w:r>
        <w:rPr/>
        <w:t>autobuses</w:t>
      </w:r>
      <w:r>
        <w:rPr>
          <w:spacing w:val="-6"/>
        </w:rPr>
        <w:t> </w:t>
      </w:r>
      <w:r>
        <w:rPr/>
        <w:t>municipales,</w:t>
      </w:r>
      <w:r>
        <w:rPr>
          <w:spacing w:val="-2"/>
        </w:rPr>
        <w:t> </w:t>
      </w:r>
      <w:r>
        <w:rPr/>
        <w:t>incidiendo</w:t>
      </w:r>
      <w:r>
        <w:rPr>
          <w:spacing w:val="-4"/>
        </w:rPr>
        <w:t> </w:t>
      </w:r>
      <w:r>
        <w:rPr/>
        <w:t>en la compra de vehículos de bajas emisiones o eléctricos. El </w:t>
      </w:r>
      <w:r>
        <w:rPr>
          <w:b/>
        </w:rPr>
        <w:t>Ayuntamiento de Sevilla </w:t>
      </w:r>
      <w:r>
        <w:rPr/>
        <w:t>cuenta con un</w:t>
      </w:r>
      <w:r>
        <w:rPr>
          <w:spacing w:val="-16"/>
        </w:rPr>
        <w:t> </w:t>
      </w:r>
      <w:r>
        <w:rPr/>
        <w:t>plan</w:t>
      </w:r>
      <w:r>
        <w:rPr>
          <w:spacing w:val="-15"/>
        </w:rPr>
        <w:t> </w:t>
      </w:r>
      <w:r>
        <w:rPr/>
        <w:t>estratégico,</w:t>
      </w:r>
      <w:r>
        <w:rPr>
          <w:spacing w:val="-15"/>
        </w:rPr>
        <w:t> </w:t>
      </w:r>
      <w:r>
        <w:rPr/>
        <w:t>en</w:t>
      </w:r>
      <w:r>
        <w:rPr>
          <w:spacing w:val="-16"/>
        </w:rPr>
        <w:t> </w:t>
      </w:r>
      <w:r>
        <w:rPr/>
        <w:t>el</w:t>
      </w:r>
      <w:r>
        <w:rPr>
          <w:spacing w:val="-15"/>
        </w:rPr>
        <w:t> </w:t>
      </w:r>
      <w:r>
        <w:rPr/>
        <w:t>que</w:t>
      </w:r>
      <w:r>
        <w:rPr>
          <w:spacing w:val="-15"/>
        </w:rPr>
        <w:t> </w:t>
      </w:r>
      <w:r>
        <w:rPr/>
        <w:t>la</w:t>
      </w:r>
      <w:r>
        <w:rPr>
          <w:spacing w:val="-15"/>
        </w:rPr>
        <w:t> </w:t>
      </w:r>
      <w:r>
        <w:rPr/>
        <w:t>movilidad</w:t>
      </w:r>
      <w:r>
        <w:rPr>
          <w:spacing w:val="-16"/>
        </w:rPr>
        <w:t> </w:t>
      </w:r>
      <w:r>
        <w:rPr/>
        <w:t>conectada,</w:t>
      </w:r>
      <w:r>
        <w:rPr>
          <w:spacing w:val="-15"/>
        </w:rPr>
        <w:t> </w:t>
      </w:r>
      <w:r>
        <w:rPr/>
        <w:t>accesible</w:t>
      </w:r>
      <w:r>
        <w:rPr>
          <w:spacing w:val="-15"/>
        </w:rPr>
        <w:t> </w:t>
      </w:r>
      <w:r>
        <w:rPr/>
        <w:t>y</w:t>
      </w:r>
      <w:r>
        <w:rPr>
          <w:spacing w:val="-16"/>
        </w:rPr>
        <w:t> </w:t>
      </w:r>
      <w:r>
        <w:rPr/>
        <w:t>sostenible</w:t>
      </w:r>
      <w:r>
        <w:rPr>
          <w:spacing w:val="-15"/>
        </w:rPr>
        <w:t> </w:t>
      </w:r>
      <w:r>
        <w:rPr/>
        <w:t>es</w:t>
      </w:r>
      <w:r>
        <w:rPr>
          <w:spacing w:val="-15"/>
        </w:rPr>
        <w:t> </w:t>
      </w:r>
      <w:r>
        <w:rPr/>
        <w:t>uno</w:t>
      </w:r>
      <w:r>
        <w:rPr>
          <w:spacing w:val="-15"/>
        </w:rPr>
        <w:t> </w:t>
      </w:r>
      <w:r>
        <w:rPr/>
        <w:t>de</w:t>
      </w:r>
      <w:r>
        <w:rPr>
          <w:spacing w:val="-16"/>
        </w:rPr>
        <w:t> </w:t>
      </w:r>
      <w:r>
        <w:rPr/>
        <w:t>sus</w:t>
      </w:r>
      <w:r>
        <w:rPr>
          <w:spacing w:val="-15"/>
        </w:rPr>
        <w:t> </w:t>
      </w:r>
      <w:r>
        <w:rPr/>
        <w:t>objetivos, además del acceso garantizado al transporte público a todas las personas en situación de vulnerabilidad</w:t>
      </w:r>
      <w:r>
        <w:rPr>
          <w:spacing w:val="-12"/>
        </w:rPr>
        <w:t> </w:t>
      </w:r>
      <w:r>
        <w:rPr/>
        <w:t>económica</w:t>
      </w:r>
      <w:r>
        <w:rPr>
          <w:spacing w:val="-12"/>
        </w:rPr>
        <w:t> </w:t>
      </w:r>
      <w:r>
        <w:rPr/>
        <w:t>o</w:t>
      </w:r>
      <w:r>
        <w:rPr>
          <w:spacing w:val="-12"/>
        </w:rPr>
        <w:t> </w:t>
      </w:r>
      <w:r>
        <w:rPr/>
        <w:t>social.</w:t>
      </w:r>
      <w:r>
        <w:rPr>
          <w:spacing w:val="-11"/>
        </w:rPr>
        <w:t> </w:t>
      </w:r>
      <w:r>
        <w:rPr/>
        <w:t>Las</w:t>
      </w:r>
      <w:r>
        <w:rPr>
          <w:spacing w:val="-12"/>
        </w:rPr>
        <w:t> </w:t>
      </w:r>
      <w:r>
        <w:rPr/>
        <w:t>empresas</w:t>
      </w:r>
      <w:r>
        <w:rPr>
          <w:spacing w:val="-13"/>
        </w:rPr>
        <w:t> </w:t>
      </w:r>
      <w:r>
        <w:rPr/>
        <w:t>públicas</w:t>
      </w:r>
      <w:r>
        <w:rPr>
          <w:spacing w:val="-12"/>
        </w:rPr>
        <w:t> </w:t>
      </w:r>
      <w:r>
        <w:rPr/>
        <w:t>de</w:t>
      </w:r>
      <w:r>
        <w:rPr>
          <w:spacing w:val="-12"/>
        </w:rPr>
        <w:t> </w:t>
      </w:r>
      <w:r>
        <w:rPr/>
        <w:t>los</w:t>
      </w:r>
      <w:r>
        <w:rPr>
          <w:spacing w:val="-11"/>
        </w:rPr>
        <w:t> </w:t>
      </w:r>
      <w:r>
        <w:rPr>
          <w:b/>
        </w:rPr>
        <w:t>Ayuntamientos</w:t>
      </w:r>
      <w:r>
        <w:rPr>
          <w:b/>
          <w:spacing w:val="-12"/>
        </w:rPr>
        <w:t> </w:t>
      </w:r>
      <w:r>
        <w:rPr>
          <w:b/>
        </w:rPr>
        <w:t>de</w:t>
      </w:r>
      <w:r>
        <w:rPr>
          <w:b/>
          <w:spacing w:val="-14"/>
        </w:rPr>
        <w:t> </w:t>
      </w:r>
      <w:r>
        <w:rPr>
          <w:b/>
        </w:rPr>
        <w:t>Córdoba,</w:t>
      </w:r>
      <w:r>
        <w:rPr>
          <w:b/>
          <w:spacing w:val="-11"/>
        </w:rPr>
        <w:t> </w:t>
      </w:r>
      <w:r>
        <w:rPr>
          <w:b/>
        </w:rPr>
        <w:t>Las Palmas de Gran Canaria, Málaga y Sevilla </w:t>
      </w:r>
      <w:r>
        <w:rPr/>
        <w:t>disponen de programas de actuación, planes estratégicos o planes anuales de contratación, en los que se prevén medidas como la renovación de flota de autobuses, el suministro de sistema de ayuda a la explotación (SAE) y sistema de </w:t>
      </w:r>
      <w:r>
        <w:rPr>
          <w:i/>
        </w:rPr>
        <w:t>ticketing</w:t>
      </w:r>
      <w:hyperlink w:history="true" w:anchor="_bookmark34">
        <w:r>
          <w:rPr>
            <w:i/>
            <w:vertAlign w:val="superscript"/>
          </w:rPr>
          <w:t>17</w:t>
        </w:r>
      </w:hyperlink>
      <w:r>
        <w:rPr>
          <w:i/>
          <w:vertAlign w:val="baseline"/>
        </w:rPr>
        <w:t> </w:t>
      </w:r>
      <w:r>
        <w:rPr>
          <w:vertAlign w:val="baseline"/>
        </w:rPr>
        <w:t>y monética, la descarbonización o la mejora de la movilidad sostenible, equilibrio financiero, calidad ambiental, accesibilidad e integración modal</w:t>
      </w:r>
      <w:hyperlink w:history="true" w:anchor="_bookmark35">
        <w:r>
          <w:rPr>
            <w:vertAlign w:val="superscript"/>
          </w:rPr>
          <w:t>18</w:t>
        </w:r>
        <w:r>
          <w:rPr>
            <w:vertAlign w:val="baseline"/>
          </w:rPr>
          <w:t>.</w:t>
        </w:r>
      </w:hyperlink>
    </w:p>
    <w:p>
      <w:pPr>
        <w:pStyle w:val="BodyText"/>
        <w:spacing w:before="243"/>
        <w:ind w:left="992" w:right="987"/>
        <w:jc w:val="both"/>
      </w:pPr>
      <w:r>
        <w:rPr/>
        <w:t>Toda planificación requiere realizar un seguimiento de los objetivos estratégicos previstos, para lo que resulta conveniente establecer unos indicadores que permitan analizar el grado de ejecución de las acciones contempladas en los planes. En particular, las entidades firmantes del Pacto de Alcaldes se comprometen a presentar un informe de implementación cada dos años a partir de la presentación de los planes, con fines de evaluación, seguimiento y verificación</w:t>
      </w:r>
      <w:r>
        <w:rPr>
          <w:b/>
        </w:rPr>
        <w:t>. </w:t>
      </w:r>
      <w:r>
        <w:rPr/>
        <w:t>Además, cada cuatro años deben elaborar un informe completo que incluya, al menos, un inventario de seguimiento</w:t>
      </w:r>
      <w:r>
        <w:rPr>
          <w:spacing w:val="-9"/>
        </w:rPr>
        <w:t> </w:t>
      </w:r>
      <w:r>
        <w:rPr/>
        <w:t>de</w:t>
      </w:r>
      <w:r>
        <w:rPr>
          <w:spacing w:val="-9"/>
        </w:rPr>
        <w:t> </w:t>
      </w:r>
      <w:r>
        <w:rPr/>
        <w:t>emisiones.</w:t>
      </w:r>
      <w:r>
        <w:rPr>
          <w:spacing w:val="-8"/>
        </w:rPr>
        <w:t> </w:t>
      </w:r>
      <w:r>
        <w:rPr/>
        <w:t>Por</w:t>
      </w:r>
      <w:r>
        <w:rPr>
          <w:spacing w:val="-10"/>
        </w:rPr>
        <w:t> </w:t>
      </w:r>
      <w:r>
        <w:rPr/>
        <w:t>otra</w:t>
      </w:r>
      <w:r>
        <w:rPr>
          <w:spacing w:val="-9"/>
        </w:rPr>
        <w:t> </w:t>
      </w:r>
      <w:r>
        <w:rPr/>
        <w:t>parte,</w:t>
      </w:r>
      <w:r>
        <w:rPr>
          <w:spacing w:val="-10"/>
        </w:rPr>
        <w:t> </w:t>
      </w:r>
      <w:r>
        <w:rPr/>
        <w:t>la</w:t>
      </w:r>
      <w:r>
        <w:rPr>
          <w:spacing w:val="-9"/>
        </w:rPr>
        <w:t> </w:t>
      </w:r>
      <w:r>
        <w:rPr/>
        <w:t>normativa</w:t>
      </w:r>
      <w:r>
        <w:rPr>
          <w:spacing w:val="-9"/>
        </w:rPr>
        <w:t> </w:t>
      </w:r>
      <w:r>
        <w:rPr/>
        <w:t>autonómica</w:t>
      </w:r>
      <w:r>
        <w:rPr>
          <w:spacing w:val="-9"/>
        </w:rPr>
        <w:t> </w:t>
      </w:r>
      <w:r>
        <w:rPr/>
        <w:t>de</w:t>
      </w:r>
      <w:r>
        <w:rPr>
          <w:spacing w:val="-9"/>
        </w:rPr>
        <w:t> </w:t>
      </w:r>
      <w:r>
        <w:rPr/>
        <w:t>Andalucía</w:t>
      </w:r>
      <w:r>
        <w:rPr>
          <w:spacing w:val="-8"/>
        </w:rPr>
        <w:t> </w:t>
      </w:r>
      <w:r>
        <w:rPr/>
        <w:t>establece</w:t>
      </w:r>
      <w:r>
        <w:rPr>
          <w:spacing w:val="-9"/>
        </w:rPr>
        <w:t> </w:t>
      </w:r>
      <w:r>
        <w:rPr/>
        <w:t>que</w:t>
      </w:r>
      <w:r>
        <w:rPr>
          <w:spacing w:val="-11"/>
        </w:rPr>
        <w:t> </w:t>
      </w:r>
      <w:r>
        <w:rPr/>
        <w:t>con carácter obligatorio los ayuntamientos elaboren y aprueben, cada dos años, un informe sobre el grado de cumplimiento de sus planes.</w:t>
      </w:r>
    </w:p>
    <w:p>
      <w:pPr>
        <w:pStyle w:val="BodyText"/>
        <w:spacing w:before="238"/>
        <w:ind w:left="992" w:right="984"/>
        <w:jc w:val="both"/>
      </w:pPr>
      <w:r>
        <w:rPr/>
        <w:t>En los que se refiere a los PMUS, solo los de los </w:t>
      </w:r>
      <w:r>
        <w:rPr>
          <w:b/>
        </w:rPr>
        <w:t>Ayuntamientos de Alicante, Bilbao, Málaga, Murcia, Palma </w:t>
      </w:r>
      <w:r>
        <w:rPr/>
        <w:t>y </w:t>
      </w:r>
      <w:r>
        <w:rPr>
          <w:b/>
        </w:rPr>
        <w:t>Zaragoza </w:t>
      </w:r>
      <w:r>
        <w:rPr/>
        <w:t>incluyeron indicadores para hacer el seguimiento de las medidas previstas en ellos, y únicamente en los </w:t>
      </w:r>
      <w:r>
        <w:rPr>
          <w:b/>
        </w:rPr>
        <w:t>Ayuntamientos de Bilbao, Córdoba </w:t>
      </w:r>
      <w:r>
        <w:rPr/>
        <w:t>y </w:t>
      </w:r>
      <w:r>
        <w:rPr>
          <w:b/>
        </w:rPr>
        <w:t>Málaga </w:t>
      </w:r>
      <w:r>
        <w:rPr/>
        <w:t>se han constituido comisiones encargadas de llevar a cabo ese seguimiento. De todos ellos, solo los </w:t>
      </w:r>
      <w:r>
        <w:rPr>
          <w:b/>
        </w:rPr>
        <w:t>Ayuntamientos de Bilbao </w:t>
      </w:r>
      <w:r>
        <w:rPr/>
        <w:t>y </w:t>
      </w:r>
      <w:r>
        <w:rPr>
          <w:b/>
        </w:rPr>
        <w:t>Málaga </w:t>
      </w:r>
      <w:r>
        <w:rPr/>
        <w:t>han elaborado informes de seguimiento. El primero de esos ayuntamientos</w:t>
      </w:r>
      <w:r>
        <w:rPr>
          <w:spacing w:val="-9"/>
        </w:rPr>
        <w:t> </w:t>
      </w:r>
      <w:r>
        <w:rPr/>
        <w:t>ha</w:t>
      </w:r>
      <w:r>
        <w:rPr>
          <w:spacing w:val="-12"/>
        </w:rPr>
        <w:t> </w:t>
      </w:r>
      <w:r>
        <w:rPr/>
        <w:t>aportado</w:t>
      </w:r>
      <w:r>
        <w:rPr>
          <w:spacing w:val="-9"/>
        </w:rPr>
        <w:t> </w:t>
      </w:r>
      <w:r>
        <w:rPr/>
        <w:t>los</w:t>
      </w:r>
      <w:r>
        <w:rPr>
          <w:spacing w:val="-11"/>
        </w:rPr>
        <w:t> </w:t>
      </w:r>
      <w:r>
        <w:rPr/>
        <w:t>tres</w:t>
      </w:r>
      <w:r>
        <w:rPr>
          <w:spacing w:val="-11"/>
        </w:rPr>
        <w:t> </w:t>
      </w:r>
      <w:r>
        <w:rPr/>
        <w:t>informes</w:t>
      </w:r>
      <w:r>
        <w:rPr>
          <w:spacing w:val="-8"/>
        </w:rPr>
        <w:t> </w:t>
      </w:r>
      <w:r>
        <w:rPr/>
        <w:t>emitidos</w:t>
      </w:r>
      <w:r>
        <w:rPr>
          <w:spacing w:val="-8"/>
        </w:rPr>
        <w:t> </w:t>
      </w:r>
      <w:r>
        <w:rPr/>
        <w:t>en</w:t>
      </w:r>
      <w:r>
        <w:rPr>
          <w:spacing w:val="-12"/>
        </w:rPr>
        <w:t> </w:t>
      </w:r>
      <w:r>
        <w:rPr/>
        <w:t>2023</w:t>
      </w:r>
      <w:r>
        <w:rPr>
          <w:spacing w:val="-12"/>
        </w:rPr>
        <w:t> </w:t>
      </w:r>
      <w:r>
        <w:rPr/>
        <w:t>y</w:t>
      </w:r>
      <w:r>
        <w:rPr>
          <w:spacing w:val="-8"/>
        </w:rPr>
        <w:t> </w:t>
      </w:r>
      <w:r>
        <w:rPr/>
        <w:t>2024,</w:t>
      </w:r>
      <w:r>
        <w:rPr>
          <w:spacing w:val="-10"/>
        </w:rPr>
        <w:t> </w:t>
      </w:r>
      <w:r>
        <w:rPr/>
        <w:t>de</w:t>
      </w:r>
      <w:r>
        <w:rPr>
          <w:spacing w:val="-9"/>
        </w:rPr>
        <w:t> </w:t>
      </w:r>
      <w:r>
        <w:rPr/>
        <w:t>los</w:t>
      </w:r>
      <w:r>
        <w:rPr>
          <w:spacing w:val="-9"/>
        </w:rPr>
        <w:t> </w:t>
      </w:r>
      <w:r>
        <w:rPr/>
        <w:t>que</w:t>
      </w:r>
      <w:r>
        <w:rPr>
          <w:spacing w:val="-11"/>
        </w:rPr>
        <w:t> </w:t>
      </w:r>
      <w:r>
        <w:rPr/>
        <w:t>se</w:t>
      </w:r>
      <w:r>
        <w:rPr>
          <w:spacing w:val="-11"/>
        </w:rPr>
        <w:t> </w:t>
      </w:r>
      <w:r>
        <w:rPr/>
        <w:t>desprende</w:t>
      </w:r>
      <w:r>
        <w:rPr>
          <w:spacing w:val="-8"/>
        </w:rPr>
        <w:t> </w:t>
      </w:r>
      <w:r>
        <w:rPr/>
        <w:t>que algunas medidas</w:t>
      </w:r>
      <w:r>
        <w:rPr>
          <w:spacing w:val="-2"/>
        </w:rPr>
        <w:t> </w:t>
      </w:r>
      <w:r>
        <w:rPr/>
        <w:t>se</w:t>
      </w:r>
      <w:r>
        <w:rPr>
          <w:spacing w:val="-2"/>
        </w:rPr>
        <w:t> </w:t>
      </w:r>
      <w:r>
        <w:rPr/>
        <w:t>han</w:t>
      </w:r>
      <w:r>
        <w:rPr>
          <w:spacing w:val="-4"/>
        </w:rPr>
        <w:t> </w:t>
      </w:r>
      <w:r>
        <w:rPr/>
        <w:t>ejecutado</w:t>
      </w:r>
      <w:r>
        <w:rPr>
          <w:spacing w:val="-2"/>
        </w:rPr>
        <w:t> </w:t>
      </w:r>
      <w:r>
        <w:rPr/>
        <w:t>o</w:t>
      </w:r>
      <w:r>
        <w:rPr>
          <w:spacing w:val="-2"/>
        </w:rPr>
        <w:t> </w:t>
      </w:r>
      <w:r>
        <w:rPr/>
        <w:t>se</w:t>
      </w:r>
      <w:r>
        <w:rPr>
          <w:spacing w:val="-2"/>
        </w:rPr>
        <w:t> </w:t>
      </w:r>
      <w:r>
        <w:rPr/>
        <w:t>encuentran en</w:t>
      </w:r>
      <w:r>
        <w:rPr>
          <w:spacing w:val="-2"/>
        </w:rPr>
        <w:t> </w:t>
      </w:r>
      <w:r>
        <w:rPr/>
        <w:t>fase</w:t>
      </w:r>
      <w:r>
        <w:rPr>
          <w:spacing w:val="-2"/>
        </w:rPr>
        <w:t> </w:t>
      </w:r>
      <w:r>
        <w:rPr/>
        <w:t>de ejecución,</w:t>
      </w:r>
      <w:r>
        <w:rPr>
          <w:spacing w:val="-3"/>
        </w:rPr>
        <w:t> </w:t>
      </w:r>
      <w:r>
        <w:rPr/>
        <w:t>como la implantación de un</w:t>
      </w:r>
      <w:r>
        <w:rPr>
          <w:spacing w:val="-7"/>
        </w:rPr>
        <w:t> </w:t>
      </w:r>
      <w:r>
        <w:rPr/>
        <w:t>nuevo</w:t>
      </w:r>
      <w:r>
        <w:rPr>
          <w:spacing w:val="-9"/>
        </w:rPr>
        <w:t> </w:t>
      </w:r>
      <w:r>
        <w:rPr/>
        <w:t>SAE,</w:t>
      </w:r>
      <w:r>
        <w:rPr>
          <w:spacing w:val="-7"/>
        </w:rPr>
        <w:t> </w:t>
      </w:r>
      <w:r>
        <w:rPr/>
        <w:t>que</w:t>
      </w:r>
      <w:r>
        <w:rPr>
          <w:spacing w:val="-9"/>
        </w:rPr>
        <w:t> </w:t>
      </w:r>
      <w:r>
        <w:rPr/>
        <w:t>se</w:t>
      </w:r>
      <w:r>
        <w:rPr>
          <w:spacing w:val="-9"/>
        </w:rPr>
        <w:t> </w:t>
      </w:r>
      <w:r>
        <w:rPr/>
        <w:t>está</w:t>
      </w:r>
      <w:r>
        <w:rPr>
          <w:spacing w:val="-6"/>
        </w:rPr>
        <w:t> </w:t>
      </w:r>
      <w:r>
        <w:rPr/>
        <w:t>implantando</w:t>
      </w:r>
      <w:r>
        <w:rPr>
          <w:spacing w:val="-9"/>
        </w:rPr>
        <w:t> </w:t>
      </w:r>
      <w:r>
        <w:rPr/>
        <w:t>desde</w:t>
      </w:r>
      <w:r>
        <w:rPr>
          <w:spacing w:val="-9"/>
        </w:rPr>
        <w:t> </w:t>
      </w:r>
      <w:r>
        <w:rPr/>
        <w:t>2019</w:t>
      </w:r>
      <w:r>
        <w:rPr>
          <w:spacing w:val="-7"/>
        </w:rPr>
        <w:t> </w:t>
      </w:r>
      <w:r>
        <w:rPr/>
        <w:t>o</w:t>
      </w:r>
      <w:r>
        <w:rPr>
          <w:spacing w:val="-9"/>
        </w:rPr>
        <w:t> </w:t>
      </w:r>
      <w:r>
        <w:rPr/>
        <w:t>la</w:t>
      </w:r>
      <w:r>
        <w:rPr>
          <w:spacing w:val="-6"/>
        </w:rPr>
        <w:t> </w:t>
      </w:r>
      <w:r>
        <w:rPr/>
        <w:t>implementación</w:t>
      </w:r>
      <w:r>
        <w:rPr>
          <w:spacing w:val="-7"/>
        </w:rPr>
        <w:t> </w:t>
      </w:r>
      <w:r>
        <w:rPr/>
        <w:t>de</w:t>
      </w:r>
      <w:r>
        <w:rPr>
          <w:spacing w:val="-6"/>
        </w:rPr>
        <w:t> </w:t>
      </w:r>
      <w:r>
        <w:rPr/>
        <w:t>vehículos</w:t>
      </w:r>
      <w:r>
        <w:rPr>
          <w:spacing w:val="-9"/>
        </w:rPr>
        <w:t> </w:t>
      </w:r>
      <w:r>
        <w:rPr/>
        <w:t>de</w:t>
      </w:r>
      <w:r>
        <w:rPr>
          <w:spacing w:val="-9"/>
        </w:rPr>
        <w:t> </w:t>
      </w:r>
      <w:r>
        <w:rPr/>
        <w:t>vigilancia del carril bus. El segundo de los ayuntamientos ha elaborado un documento que comprende los principales indicadores de movilidad de demanda (reparto modal, distribución zonal, distribución horaria, entre otros).</w:t>
      </w:r>
    </w:p>
    <w:p>
      <w:pPr>
        <w:pStyle w:val="BodyText"/>
        <w:spacing w:before="242"/>
        <w:ind w:left="992" w:right="986"/>
        <w:jc w:val="both"/>
      </w:pPr>
      <w:r>
        <w:rPr/>
        <w:t>En el cuadro siguiente se resume los instrumentos de control de la planificación de las entidades </w:t>
      </w:r>
      <w:r>
        <w:rPr>
          <w:spacing w:val="-2"/>
        </w:rPr>
        <w:t>fiscalizadas.</w:t>
      </w:r>
    </w:p>
    <w:p>
      <w:pPr>
        <w:pStyle w:val="BodyText"/>
        <w:rPr>
          <w:sz w:val="20"/>
        </w:rPr>
      </w:pPr>
    </w:p>
    <w:p>
      <w:pPr>
        <w:pStyle w:val="BodyText"/>
        <w:spacing w:before="172"/>
        <w:rPr>
          <w:sz w:val="20"/>
        </w:rPr>
      </w:pPr>
      <w:r>
        <w:rPr>
          <w:sz w:val="20"/>
        </w:rPr>
        <mc:AlternateContent>
          <mc:Choice Requires="wps">
            <w:drawing>
              <wp:anchor distT="0" distB="0" distL="0" distR="0" allowOverlap="1" layoutInCell="1" locked="0" behindDoc="1" simplePos="0" relativeHeight="487600128">
                <wp:simplePos x="0" y="0"/>
                <wp:positionH relativeFrom="page">
                  <wp:posOffset>719632</wp:posOffset>
                </wp:positionH>
                <wp:positionV relativeFrom="paragraph">
                  <wp:posOffset>270555</wp:posOffset>
                </wp:positionV>
                <wp:extent cx="1829435" cy="9525"/>
                <wp:effectExtent l="0" t="0" r="0" b="0"/>
                <wp:wrapTopAndBottom/>
                <wp:docPr id="132" name="Graphic 132"/>
                <wp:cNvGraphicFramePr>
                  <a:graphicFrameLocks/>
                </wp:cNvGraphicFramePr>
                <a:graphic>
                  <a:graphicData uri="http://schemas.microsoft.com/office/word/2010/wordprocessingShape">
                    <wps:wsp>
                      <wps:cNvPr id="132" name="Graphic 132"/>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21.303545pt;width:144.020pt;height:.72003pt;mso-position-horizontal-relative:page;mso-position-vertical-relative:paragraph;z-index:-15716352;mso-wrap-distance-left:0;mso-wrap-distance-right:0" id="docshape114" filled="true" fillcolor="#000000" stroked="false">
                <v:fill type="solid"/>
                <w10:wrap type="topAndBottom"/>
              </v:rect>
            </w:pict>
          </mc:Fallback>
        </mc:AlternateContent>
      </w:r>
    </w:p>
    <w:p>
      <w:pPr>
        <w:spacing w:before="124"/>
        <w:ind w:left="992" w:right="0" w:firstLine="0"/>
        <w:jc w:val="both"/>
        <w:rPr>
          <w:rFonts w:ascii="Calibri" w:hAnsi="Calibri"/>
          <w:sz w:val="20"/>
        </w:rPr>
      </w:pPr>
      <w:bookmarkStart w:name="_bookmark34" w:id="36"/>
      <w:bookmarkEnd w:id="36"/>
      <w:r>
        <w:rPr/>
      </w:r>
      <w:r>
        <w:rPr>
          <w:rFonts w:ascii="Calibri" w:hAnsi="Calibri"/>
          <w:sz w:val="18"/>
          <w:vertAlign w:val="superscript"/>
        </w:rPr>
        <w:t>17</w:t>
      </w:r>
      <w:r>
        <w:rPr>
          <w:rFonts w:ascii="Calibri" w:hAnsi="Calibri"/>
          <w:spacing w:val="46"/>
          <w:sz w:val="18"/>
          <w:vertAlign w:val="baseline"/>
        </w:rPr>
        <w:t> </w:t>
      </w:r>
      <w:r>
        <w:rPr>
          <w:sz w:val="18"/>
          <w:vertAlign w:val="baseline"/>
        </w:rPr>
        <w:t>Método</w:t>
      </w:r>
      <w:r>
        <w:rPr>
          <w:spacing w:val="-2"/>
          <w:sz w:val="18"/>
          <w:vertAlign w:val="baseline"/>
        </w:rPr>
        <w:t> </w:t>
      </w:r>
      <w:r>
        <w:rPr>
          <w:sz w:val="18"/>
          <w:vertAlign w:val="baseline"/>
        </w:rPr>
        <w:t>digital</w:t>
      </w:r>
      <w:r>
        <w:rPr>
          <w:spacing w:val="-2"/>
          <w:sz w:val="18"/>
          <w:vertAlign w:val="baseline"/>
        </w:rPr>
        <w:t> </w:t>
      </w:r>
      <w:r>
        <w:rPr>
          <w:sz w:val="18"/>
          <w:vertAlign w:val="baseline"/>
        </w:rPr>
        <w:t>para</w:t>
      </w:r>
      <w:r>
        <w:rPr>
          <w:spacing w:val="-2"/>
          <w:sz w:val="18"/>
          <w:vertAlign w:val="baseline"/>
        </w:rPr>
        <w:t> </w:t>
      </w:r>
      <w:r>
        <w:rPr>
          <w:sz w:val="18"/>
          <w:vertAlign w:val="baseline"/>
        </w:rPr>
        <w:t>gestionar</w:t>
      </w:r>
      <w:r>
        <w:rPr>
          <w:spacing w:val="-4"/>
          <w:sz w:val="18"/>
          <w:vertAlign w:val="baseline"/>
        </w:rPr>
        <w:t> </w:t>
      </w:r>
      <w:r>
        <w:rPr>
          <w:sz w:val="18"/>
          <w:vertAlign w:val="baseline"/>
        </w:rPr>
        <w:t>el</w:t>
      </w:r>
      <w:r>
        <w:rPr>
          <w:spacing w:val="-1"/>
          <w:sz w:val="18"/>
          <w:vertAlign w:val="baseline"/>
        </w:rPr>
        <w:t> </w:t>
      </w:r>
      <w:r>
        <w:rPr>
          <w:sz w:val="18"/>
          <w:vertAlign w:val="baseline"/>
        </w:rPr>
        <w:t>acceso</w:t>
      </w:r>
      <w:r>
        <w:rPr>
          <w:spacing w:val="-3"/>
          <w:sz w:val="18"/>
          <w:vertAlign w:val="baseline"/>
        </w:rPr>
        <w:t> </w:t>
      </w:r>
      <w:r>
        <w:rPr>
          <w:sz w:val="18"/>
          <w:vertAlign w:val="baseline"/>
        </w:rPr>
        <w:t>y pago</w:t>
      </w:r>
      <w:r>
        <w:rPr>
          <w:spacing w:val="-2"/>
          <w:sz w:val="18"/>
          <w:vertAlign w:val="baseline"/>
        </w:rPr>
        <w:t> </w:t>
      </w:r>
      <w:r>
        <w:rPr>
          <w:sz w:val="18"/>
          <w:vertAlign w:val="baseline"/>
        </w:rPr>
        <w:t>del</w:t>
      </w:r>
      <w:r>
        <w:rPr>
          <w:spacing w:val="-3"/>
          <w:sz w:val="18"/>
          <w:vertAlign w:val="baseline"/>
        </w:rPr>
        <w:t> </w:t>
      </w:r>
      <w:r>
        <w:rPr>
          <w:sz w:val="18"/>
          <w:vertAlign w:val="baseline"/>
        </w:rPr>
        <w:t>transporte</w:t>
      </w:r>
      <w:r>
        <w:rPr>
          <w:spacing w:val="-1"/>
          <w:sz w:val="18"/>
          <w:vertAlign w:val="baseline"/>
        </w:rPr>
        <w:t> </w:t>
      </w:r>
      <w:r>
        <w:rPr>
          <w:spacing w:val="-2"/>
          <w:sz w:val="18"/>
          <w:vertAlign w:val="baseline"/>
        </w:rPr>
        <w:t>público</w:t>
      </w:r>
      <w:r>
        <w:rPr>
          <w:rFonts w:ascii="Calibri" w:hAnsi="Calibri"/>
          <w:spacing w:val="-2"/>
          <w:sz w:val="20"/>
          <w:vertAlign w:val="baseline"/>
        </w:rPr>
        <w:t>.</w:t>
      </w:r>
    </w:p>
    <w:p>
      <w:pPr>
        <w:spacing w:before="73"/>
        <w:ind w:left="992" w:right="995" w:firstLine="0"/>
        <w:jc w:val="both"/>
        <w:rPr>
          <w:sz w:val="18"/>
        </w:rPr>
      </w:pPr>
      <w:bookmarkStart w:name="_bookmark35" w:id="37"/>
      <w:bookmarkEnd w:id="37"/>
      <w:r>
        <w:rPr/>
      </w:r>
      <w:r>
        <w:rPr>
          <w:position w:val="6"/>
          <w:sz w:val="12"/>
        </w:rPr>
        <w:t>18</w:t>
      </w:r>
      <w:r>
        <w:rPr>
          <w:spacing w:val="22"/>
          <w:position w:val="6"/>
          <w:sz w:val="12"/>
        </w:rPr>
        <w:t> </w:t>
      </w:r>
      <w:r>
        <w:rPr>
          <w:sz w:val="18"/>
        </w:rPr>
        <w:t>El </w:t>
      </w:r>
      <w:r>
        <w:rPr>
          <w:b/>
          <w:sz w:val="18"/>
        </w:rPr>
        <w:t>Ayuntamiento de Zaragoza </w:t>
      </w:r>
      <w:r>
        <w:rPr>
          <w:sz w:val="18"/>
        </w:rPr>
        <w:t>ha licitado el nuevo contrato de concesión del servicio de transporte público colectivo mediante autobús, en el que se prevén medidas tales como la renovación de la flota mediante la incorporación de vehículos limpios, SAE y sistemas avanzados de billetaje y validación.</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Heading4"/>
        <w:ind w:left="2"/>
      </w:pPr>
      <w:bookmarkStart w:name="_bookmark36" w:id="38"/>
      <w:bookmarkEnd w:id="38"/>
      <w:r>
        <w:rPr>
          <w:b w:val="0"/>
        </w:rPr>
      </w:r>
      <w:r>
        <w:rPr/>
        <w:t>CUADRO</w:t>
      </w:r>
      <w:r>
        <w:rPr>
          <w:spacing w:val="-3"/>
        </w:rPr>
        <w:t> </w:t>
      </w:r>
      <w:r>
        <w:rPr/>
        <w:t>5.</w:t>
      </w:r>
      <w:r>
        <w:rPr>
          <w:spacing w:val="-6"/>
        </w:rPr>
        <w:t> </w:t>
      </w:r>
      <w:r>
        <w:rPr/>
        <w:t>INSTRUMENTOS</w:t>
      </w:r>
      <w:r>
        <w:rPr>
          <w:spacing w:val="-9"/>
        </w:rPr>
        <w:t> </w:t>
      </w:r>
      <w:r>
        <w:rPr/>
        <w:t>DE</w:t>
      </w:r>
      <w:r>
        <w:rPr>
          <w:spacing w:val="-3"/>
        </w:rPr>
        <w:t> </w:t>
      </w:r>
      <w:r>
        <w:rPr/>
        <w:t>CONTROL</w:t>
      </w:r>
      <w:r>
        <w:rPr>
          <w:spacing w:val="-6"/>
        </w:rPr>
        <w:t> </w:t>
      </w:r>
      <w:r>
        <w:rPr/>
        <w:t>DE</w:t>
      </w:r>
      <w:r>
        <w:rPr>
          <w:spacing w:val="-5"/>
        </w:rPr>
        <w:t> </w:t>
      </w:r>
      <w:r>
        <w:rPr/>
        <w:t>LA</w:t>
      </w:r>
      <w:r>
        <w:rPr>
          <w:spacing w:val="-5"/>
        </w:rPr>
        <w:t> </w:t>
      </w:r>
      <w:r>
        <w:rPr>
          <w:spacing w:val="-2"/>
        </w:rPr>
        <w:t>PLANIFICACIÓN</w:t>
      </w:r>
    </w:p>
    <w:p>
      <w:pPr>
        <w:pStyle w:val="BodyText"/>
        <w:spacing w:before="6" w:after="1"/>
        <w:rPr>
          <w:b/>
          <w:sz w:val="20"/>
        </w:rPr>
      </w:pPr>
    </w:p>
    <w:tbl>
      <w:tblPr>
        <w:tblW w:w="0" w:type="auto"/>
        <w:jc w:val="left"/>
        <w:tblInd w:w="2413" w:type="dxa"/>
        <w:tblBorders>
          <w:top w:val="single" w:sz="4" w:space="0" w:color="001F5F"/>
          <w:left w:val="single" w:sz="4" w:space="0" w:color="001F5F"/>
          <w:bottom w:val="single" w:sz="4" w:space="0" w:color="001F5F"/>
          <w:right w:val="single" w:sz="4" w:space="0" w:color="001F5F"/>
          <w:insideH w:val="single" w:sz="4" w:space="0" w:color="001F5F"/>
          <w:insideV w:val="single" w:sz="4" w:space="0" w:color="001F5F"/>
        </w:tblBorders>
        <w:tblLayout w:type="fixed"/>
        <w:tblCellMar>
          <w:top w:w="0" w:type="dxa"/>
          <w:left w:w="0" w:type="dxa"/>
          <w:bottom w:w="0" w:type="dxa"/>
          <w:right w:w="0" w:type="dxa"/>
        </w:tblCellMar>
        <w:tblLook w:val="01E0"/>
      </w:tblPr>
      <w:tblGrid>
        <w:gridCol w:w="1383"/>
        <w:gridCol w:w="1880"/>
        <w:gridCol w:w="886"/>
        <w:gridCol w:w="888"/>
        <w:gridCol w:w="889"/>
        <w:gridCol w:w="886"/>
      </w:tblGrid>
      <w:tr>
        <w:trPr>
          <w:trHeight w:val="453" w:hRule="atLeast"/>
        </w:trPr>
        <w:tc>
          <w:tcPr>
            <w:tcW w:w="1383" w:type="dxa"/>
            <w:tcBorders>
              <w:top w:val="nil"/>
              <w:bottom w:val="nil"/>
              <w:right w:val="nil"/>
            </w:tcBorders>
            <w:shd w:val="clear" w:color="auto" w:fill="1F3763"/>
          </w:tcPr>
          <w:p>
            <w:pPr>
              <w:pStyle w:val="TableParagraph"/>
              <w:spacing w:before="128"/>
              <w:ind w:left="79"/>
              <w:rPr>
                <w:b/>
                <w:sz w:val="17"/>
              </w:rPr>
            </w:pPr>
            <w:r>
              <w:rPr>
                <w:b/>
                <w:color w:val="FFFFFF"/>
                <w:spacing w:val="-2"/>
                <w:sz w:val="17"/>
              </w:rPr>
              <w:t>AYUNTAMIENTOS</w:t>
            </w:r>
          </w:p>
        </w:tc>
        <w:tc>
          <w:tcPr>
            <w:tcW w:w="1880" w:type="dxa"/>
            <w:tcBorders>
              <w:top w:val="nil"/>
              <w:left w:val="nil"/>
              <w:bottom w:val="nil"/>
              <w:right w:val="nil"/>
            </w:tcBorders>
            <w:shd w:val="clear" w:color="auto" w:fill="1F3763"/>
          </w:tcPr>
          <w:p>
            <w:pPr>
              <w:pStyle w:val="TableParagraph"/>
              <w:rPr>
                <w:rFonts w:ascii="Times New Roman"/>
                <w:sz w:val="20"/>
              </w:rPr>
            </w:pPr>
          </w:p>
        </w:tc>
        <w:tc>
          <w:tcPr>
            <w:tcW w:w="886" w:type="dxa"/>
            <w:tcBorders>
              <w:top w:val="nil"/>
              <w:left w:val="nil"/>
              <w:right w:val="nil"/>
            </w:tcBorders>
            <w:shd w:val="clear" w:color="auto" w:fill="1F3763"/>
          </w:tcPr>
          <w:p>
            <w:pPr>
              <w:pStyle w:val="TableParagraph"/>
              <w:spacing w:before="128"/>
              <w:ind w:left="7"/>
              <w:jc w:val="center"/>
              <w:rPr>
                <w:b/>
                <w:sz w:val="17"/>
              </w:rPr>
            </w:pPr>
            <w:r>
              <w:rPr>
                <w:b/>
                <w:color w:val="FFFFFF"/>
                <w:spacing w:val="-4"/>
                <w:sz w:val="17"/>
              </w:rPr>
              <w:t>PMUS</w:t>
            </w:r>
          </w:p>
        </w:tc>
        <w:tc>
          <w:tcPr>
            <w:tcW w:w="888" w:type="dxa"/>
            <w:tcBorders>
              <w:top w:val="nil"/>
              <w:left w:val="nil"/>
              <w:right w:val="nil"/>
            </w:tcBorders>
            <w:shd w:val="clear" w:color="auto" w:fill="1F3763"/>
          </w:tcPr>
          <w:p>
            <w:pPr>
              <w:pStyle w:val="TableParagraph"/>
              <w:spacing w:before="128"/>
              <w:ind w:left="5"/>
              <w:jc w:val="center"/>
              <w:rPr>
                <w:b/>
                <w:sz w:val="17"/>
              </w:rPr>
            </w:pPr>
            <w:r>
              <w:rPr>
                <w:b/>
                <w:color w:val="FFFFFF"/>
                <w:spacing w:val="-2"/>
                <w:sz w:val="17"/>
              </w:rPr>
              <w:t>PACES</w:t>
            </w:r>
          </w:p>
        </w:tc>
        <w:tc>
          <w:tcPr>
            <w:tcW w:w="889" w:type="dxa"/>
            <w:tcBorders>
              <w:top w:val="nil"/>
              <w:left w:val="nil"/>
              <w:right w:val="nil"/>
            </w:tcBorders>
            <w:shd w:val="clear" w:color="auto" w:fill="1F3763"/>
          </w:tcPr>
          <w:p>
            <w:pPr>
              <w:pStyle w:val="TableParagraph"/>
              <w:spacing w:before="128"/>
              <w:ind w:left="7"/>
              <w:jc w:val="center"/>
              <w:rPr>
                <w:b/>
                <w:sz w:val="17"/>
              </w:rPr>
            </w:pPr>
            <w:r>
              <w:rPr>
                <w:b/>
                <w:color w:val="FFFFFF"/>
                <w:spacing w:val="-2"/>
                <w:sz w:val="17"/>
              </w:rPr>
              <w:t>PALUS</w:t>
            </w:r>
          </w:p>
        </w:tc>
        <w:tc>
          <w:tcPr>
            <w:tcW w:w="886" w:type="dxa"/>
            <w:tcBorders>
              <w:top w:val="nil"/>
              <w:left w:val="nil"/>
            </w:tcBorders>
            <w:shd w:val="clear" w:color="auto" w:fill="1F3763"/>
          </w:tcPr>
          <w:p>
            <w:pPr>
              <w:pStyle w:val="TableParagraph"/>
              <w:spacing w:before="128"/>
              <w:ind w:left="68"/>
              <w:jc w:val="center"/>
              <w:rPr>
                <w:b/>
                <w:sz w:val="17"/>
              </w:rPr>
            </w:pPr>
            <w:r>
              <w:rPr>
                <w:b/>
                <w:color w:val="FFFFFF"/>
                <w:spacing w:val="-2"/>
                <w:sz w:val="17"/>
              </w:rPr>
              <w:t>OTROS</w:t>
            </w:r>
          </w:p>
        </w:tc>
      </w:tr>
      <w:tr>
        <w:trPr>
          <w:trHeight w:val="292" w:hRule="atLeast"/>
        </w:trPr>
        <w:tc>
          <w:tcPr>
            <w:tcW w:w="1383" w:type="dxa"/>
            <w:vMerge w:val="restart"/>
            <w:tcBorders>
              <w:top w:val="nil"/>
              <w:left w:val="single" w:sz="4" w:space="0" w:color="000000"/>
              <w:bottom w:val="single" w:sz="12" w:space="0" w:color="002D5D"/>
              <w:right w:val="single" w:sz="4" w:space="0" w:color="000000"/>
            </w:tcBorders>
          </w:tcPr>
          <w:p>
            <w:pPr>
              <w:pStyle w:val="TableParagraph"/>
              <w:spacing w:before="152"/>
              <w:rPr>
                <w:rFonts w:ascii="Arial"/>
                <w:b/>
                <w:sz w:val="18"/>
              </w:rPr>
            </w:pPr>
          </w:p>
          <w:p>
            <w:pPr>
              <w:pStyle w:val="TableParagraph"/>
              <w:ind w:left="69"/>
              <w:rPr>
                <w:b/>
                <w:sz w:val="18"/>
              </w:rPr>
            </w:pPr>
            <w:r>
              <w:rPr>
                <w:b/>
                <w:spacing w:val="-2"/>
                <w:sz w:val="18"/>
              </w:rPr>
              <w:t>ALICANTE</w:t>
            </w:r>
          </w:p>
        </w:tc>
        <w:tc>
          <w:tcPr>
            <w:tcW w:w="1880" w:type="dxa"/>
            <w:tcBorders>
              <w:top w:val="nil"/>
              <w:left w:val="single" w:sz="4" w:space="0" w:color="000000"/>
              <w:bottom w:val="single" w:sz="6" w:space="0" w:color="002D5D"/>
              <w:right w:val="single" w:sz="4" w:space="0" w:color="000000"/>
            </w:tcBorders>
          </w:tcPr>
          <w:p>
            <w:pPr>
              <w:pStyle w:val="TableParagraph"/>
              <w:spacing w:before="47"/>
              <w:ind w:left="64"/>
              <w:rPr>
                <w:sz w:val="18"/>
              </w:rPr>
            </w:pPr>
            <w:r>
              <w:rPr>
                <w:sz w:val="18"/>
              </w:rPr>
              <w:t>Comisión</w:t>
            </w:r>
            <w:r>
              <w:rPr>
                <w:spacing w:val="-4"/>
                <w:sz w:val="18"/>
              </w:rPr>
              <w:t> </w:t>
            </w:r>
            <w:r>
              <w:rPr>
                <w:sz w:val="18"/>
              </w:rPr>
              <w:t>de</w:t>
            </w:r>
            <w:r>
              <w:rPr>
                <w:spacing w:val="-3"/>
                <w:sz w:val="18"/>
              </w:rPr>
              <w:t> </w:t>
            </w:r>
            <w:r>
              <w:rPr>
                <w:spacing w:val="-2"/>
                <w:sz w:val="18"/>
              </w:rPr>
              <w:t>seguimiento</w:t>
            </w:r>
          </w:p>
        </w:tc>
        <w:tc>
          <w:tcPr>
            <w:tcW w:w="886" w:type="dxa"/>
            <w:tcBorders>
              <w:left w:val="single" w:sz="4" w:space="0" w:color="000000"/>
            </w:tcBorders>
          </w:tcPr>
          <w:p>
            <w:pPr>
              <w:pStyle w:val="TableParagraph"/>
              <w:spacing w:line="272" w:lineRule="exact"/>
              <w:ind w:left="8" w:right="3"/>
              <w:jc w:val="center"/>
              <w:rPr>
                <w:rFonts w:ascii="Bradley Hand ITC"/>
                <w:b/>
                <w:sz w:val="28"/>
              </w:rPr>
            </w:pPr>
            <w:r>
              <w:rPr>
                <w:rFonts w:ascii="Bradley Hand ITC"/>
                <w:b/>
                <w:color w:val="FF0000"/>
                <w:spacing w:val="-10"/>
                <w:sz w:val="28"/>
              </w:rPr>
              <w:t>X</w:t>
            </w:r>
          </w:p>
        </w:tc>
        <w:tc>
          <w:tcPr>
            <w:tcW w:w="888" w:type="dxa"/>
          </w:tcPr>
          <w:p>
            <w:pPr>
              <w:pStyle w:val="TableParagraph"/>
              <w:spacing w:line="272" w:lineRule="exact"/>
              <w:ind w:left="52" w:right="50"/>
              <w:jc w:val="center"/>
              <w:rPr>
                <w:rFonts w:ascii="Bradley Hand ITC"/>
                <w:b/>
                <w:sz w:val="28"/>
              </w:rPr>
            </w:pPr>
            <w:r>
              <w:rPr>
                <w:rFonts w:ascii="Bradley Hand ITC"/>
                <w:b/>
                <w:color w:val="FF0000"/>
                <w:spacing w:val="-10"/>
                <w:sz w:val="28"/>
              </w:rPr>
              <w:t>X</w:t>
            </w:r>
          </w:p>
        </w:tc>
        <w:tc>
          <w:tcPr>
            <w:tcW w:w="889" w:type="dxa"/>
          </w:tcPr>
          <w:p>
            <w:pPr>
              <w:pStyle w:val="TableParagraph"/>
              <w:spacing w:line="272" w:lineRule="exact"/>
              <w:ind w:left="5"/>
              <w:jc w:val="center"/>
              <w:rPr>
                <w:rFonts w:ascii="Segoe UI Symbol" w:hAnsi="Segoe UI Symbol"/>
                <w:b/>
                <w:sz w:val="24"/>
              </w:rPr>
            </w:pPr>
            <w:r>
              <w:rPr>
                <w:rFonts w:ascii="Segoe UI Symbol" w:hAnsi="Segoe UI Symbol"/>
                <w:b/>
                <w:color w:val="46894A"/>
                <w:spacing w:val="-10"/>
                <w:sz w:val="24"/>
              </w:rPr>
              <w:t>✓</w:t>
            </w:r>
          </w:p>
        </w:tc>
        <w:tc>
          <w:tcPr>
            <w:tcW w:w="886" w:type="dxa"/>
            <w:tcBorders>
              <w:right w:val="single" w:sz="4" w:space="0" w:color="002D5D"/>
            </w:tcBorders>
          </w:tcPr>
          <w:p>
            <w:pPr>
              <w:pStyle w:val="TableParagraph"/>
              <w:spacing w:line="272" w:lineRule="exact"/>
              <w:ind w:left="8" w:right="5"/>
              <w:jc w:val="center"/>
              <w:rPr>
                <w:rFonts w:ascii="Bradley Hand ITC"/>
                <w:b/>
                <w:sz w:val="28"/>
              </w:rPr>
            </w:pPr>
            <w:r>
              <w:rPr>
                <w:rFonts w:ascii="Bradley Hand ITC"/>
                <w:b/>
                <w:color w:val="FF0000"/>
                <w:spacing w:val="-10"/>
                <w:sz w:val="28"/>
              </w:rPr>
              <w:t>X</w:t>
            </w:r>
          </w:p>
        </w:tc>
      </w:tr>
      <w:tr>
        <w:trPr>
          <w:trHeight w:val="284"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6" w:space="0" w:color="002D5D"/>
              <w:right w:val="single" w:sz="4" w:space="0" w:color="000000"/>
            </w:tcBorders>
            <w:shd w:val="clear" w:color="auto" w:fill="F1F1F1"/>
          </w:tcPr>
          <w:p>
            <w:pPr>
              <w:pStyle w:val="TableParagraph"/>
              <w:spacing w:before="46"/>
              <w:ind w:left="64"/>
              <w:rPr>
                <w:sz w:val="18"/>
              </w:rPr>
            </w:pPr>
            <w:r>
              <w:rPr>
                <w:spacing w:val="-2"/>
                <w:sz w:val="18"/>
              </w:rPr>
              <w:t>Indicadores</w:t>
            </w:r>
          </w:p>
        </w:tc>
        <w:tc>
          <w:tcPr>
            <w:tcW w:w="886" w:type="dxa"/>
            <w:tcBorders>
              <w:left w:val="single" w:sz="4" w:space="0" w:color="000000"/>
            </w:tcBorders>
            <w:shd w:val="clear" w:color="auto" w:fill="F1F1F1"/>
          </w:tcPr>
          <w:p>
            <w:pPr>
              <w:pStyle w:val="TableParagraph"/>
              <w:spacing w:line="255" w:lineRule="exact" w:before="9"/>
              <w:ind w:left="8"/>
              <w:jc w:val="center"/>
              <w:rPr>
                <w:rFonts w:ascii="Segoe UI Symbol" w:hAnsi="Segoe UI Symbol"/>
                <w:b/>
                <w:sz w:val="24"/>
              </w:rPr>
            </w:pPr>
            <w:r>
              <w:rPr>
                <w:rFonts w:ascii="Segoe UI Symbol" w:hAnsi="Segoe UI Symbol"/>
                <w:b/>
                <w:color w:val="46894A"/>
                <w:spacing w:val="-10"/>
                <w:sz w:val="24"/>
              </w:rPr>
              <w:t>✓</w:t>
            </w:r>
          </w:p>
        </w:tc>
        <w:tc>
          <w:tcPr>
            <w:tcW w:w="888" w:type="dxa"/>
            <w:shd w:val="clear" w:color="auto" w:fill="F1F1F1"/>
          </w:tcPr>
          <w:p>
            <w:pPr>
              <w:pStyle w:val="TableParagraph"/>
              <w:spacing w:line="256" w:lineRule="exact" w:before="9"/>
              <w:ind w:left="52" w:right="50"/>
              <w:jc w:val="center"/>
              <w:rPr>
                <w:rFonts w:ascii="Bradley Hand ITC"/>
                <w:b/>
                <w:sz w:val="28"/>
              </w:rPr>
            </w:pPr>
            <w:r>
              <w:rPr>
                <w:rFonts w:ascii="Bradley Hand ITC"/>
                <w:b/>
                <w:color w:val="FF0000"/>
                <w:spacing w:val="-10"/>
                <w:sz w:val="28"/>
              </w:rPr>
              <w:t>X</w:t>
            </w:r>
          </w:p>
        </w:tc>
        <w:tc>
          <w:tcPr>
            <w:tcW w:w="889" w:type="dxa"/>
            <w:shd w:val="clear" w:color="auto" w:fill="F1F1F1"/>
          </w:tcPr>
          <w:p>
            <w:pPr>
              <w:pStyle w:val="TableParagraph"/>
              <w:spacing w:line="255" w:lineRule="exact" w:before="9"/>
              <w:ind w:left="5"/>
              <w:jc w:val="center"/>
              <w:rPr>
                <w:rFonts w:ascii="Segoe UI Symbol" w:hAnsi="Segoe UI Symbol"/>
                <w:b/>
                <w:sz w:val="24"/>
              </w:rPr>
            </w:pPr>
            <w:r>
              <w:rPr>
                <w:rFonts w:ascii="Segoe UI Symbol" w:hAnsi="Segoe UI Symbol"/>
                <w:b/>
                <w:color w:val="46894A"/>
                <w:spacing w:val="-10"/>
                <w:sz w:val="24"/>
              </w:rPr>
              <w:t>✓</w:t>
            </w:r>
          </w:p>
        </w:tc>
        <w:tc>
          <w:tcPr>
            <w:tcW w:w="886" w:type="dxa"/>
            <w:tcBorders>
              <w:right w:val="single" w:sz="4" w:space="0" w:color="002D5D"/>
            </w:tcBorders>
            <w:shd w:val="clear" w:color="auto" w:fill="F1F1F1"/>
          </w:tcPr>
          <w:p>
            <w:pPr>
              <w:pStyle w:val="TableParagraph"/>
              <w:spacing w:line="256" w:lineRule="exact" w:before="9"/>
              <w:ind w:left="8" w:right="5"/>
              <w:jc w:val="center"/>
              <w:rPr>
                <w:rFonts w:ascii="Bradley Hand ITC"/>
                <w:b/>
                <w:sz w:val="28"/>
              </w:rPr>
            </w:pPr>
            <w:r>
              <w:rPr>
                <w:rFonts w:ascii="Bradley Hand ITC"/>
                <w:b/>
                <w:color w:val="FF0000"/>
                <w:spacing w:val="-10"/>
                <w:sz w:val="28"/>
              </w:rPr>
              <w:t>X</w:t>
            </w:r>
          </w:p>
        </w:tc>
      </w:tr>
      <w:tr>
        <w:trPr>
          <w:trHeight w:val="289"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12" w:space="0" w:color="002D5D"/>
              <w:right w:val="single" w:sz="4" w:space="0" w:color="000000"/>
            </w:tcBorders>
          </w:tcPr>
          <w:p>
            <w:pPr>
              <w:pStyle w:val="TableParagraph"/>
              <w:spacing w:before="44"/>
              <w:ind w:left="64"/>
              <w:rPr>
                <w:sz w:val="18"/>
              </w:rPr>
            </w:pPr>
            <w:r>
              <w:rPr>
                <w:sz w:val="18"/>
              </w:rPr>
              <w:t>Informes</w:t>
            </w:r>
            <w:r>
              <w:rPr>
                <w:spacing w:val="-4"/>
                <w:sz w:val="18"/>
              </w:rPr>
              <w:t> </w:t>
            </w:r>
            <w:r>
              <w:rPr>
                <w:spacing w:val="-2"/>
                <w:sz w:val="18"/>
              </w:rPr>
              <w:t>seguimiento</w:t>
            </w:r>
          </w:p>
        </w:tc>
        <w:tc>
          <w:tcPr>
            <w:tcW w:w="886" w:type="dxa"/>
            <w:tcBorders>
              <w:left w:val="single" w:sz="4" w:space="0" w:color="000000"/>
              <w:bottom w:val="single" w:sz="12" w:space="0" w:color="002D5D"/>
              <w:right w:val="single" w:sz="4" w:space="0" w:color="002D5D"/>
            </w:tcBorders>
          </w:tcPr>
          <w:p>
            <w:pPr>
              <w:pStyle w:val="TableParagraph"/>
              <w:spacing w:line="263" w:lineRule="exact" w:before="6"/>
              <w:ind w:left="8" w:right="3"/>
              <w:jc w:val="center"/>
              <w:rPr>
                <w:rFonts w:ascii="Bradley Hand ITC"/>
                <w:b/>
                <w:sz w:val="28"/>
              </w:rPr>
            </w:pPr>
            <w:r>
              <w:rPr>
                <w:rFonts w:ascii="Bradley Hand ITC"/>
                <w:b/>
                <w:color w:val="FF0000"/>
                <w:spacing w:val="-10"/>
                <w:sz w:val="28"/>
              </w:rPr>
              <w:t>X</w:t>
            </w:r>
          </w:p>
        </w:tc>
        <w:tc>
          <w:tcPr>
            <w:tcW w:w="888" w:type="dxa"/>
            <w:tcBorders>
              <w:left w:val="single" w:sz="4" w:space="0" w:color="002D5D"/>
              <w:bottom w:val="single" w:sz="12" w:space="0" w:color="002D5D"/>
              <w:right w:val="single" w:sz="4" w:space="0" w:color="002D5D"/>
            </w:tcBorders>
          </w:tcPr>
          <w:p>
            <w:pPr>
              <w:pStyle w:val="TableParagraph"/>
              <w:spacing w:line="263" w:lineRule="exact" w:before="6"/>
              <w:ind w:left="52" w:right="50"/>
              <w:jc w:val="center"/>
              <w:rPr>
                <w:rFonts w:ascii="Bradley Hand ITC"/>
                <w:b/>
                <w:sz w:val="28"/>
              </w:rPr>
            </w:pPr>
            <w:r>
              <w:rPr>
                <w:rFonts w:ascii="Bradley Hand ITC"/>
                <w:b/>
                <w:color w:val="FF0000"/>
                <w:spacing w:val="-10"/>
                <w:sz w:val="28"/>
              </w:rPr>
              <w:t>X</w:t>
            </w:r>
          </w:p>
        </w:tc>
        <w:tc>
          <w:tcPr>
            <w:tcW w:w="889" w:type="dxa"/>
            <w:tcBorders>
              <w:left w:val="single" w:sz="4" w:space="0" w:color="002D5D"/>
              <w:bottom w:val="single" w:sz="12" w:space="0" w:color="002D5D"/>
              <w:right w:val="single" w:sz="4" w:space="0" w:color="002D5D"/>
            </w:tcBorders>
          </w:tcPr>
          <w:p>
            <w:pPr>
              <w:pStyle w:val="TableParagraph"/>
              <w:spacing w:line="262" w:lineRule="exact" w:before="7"/>
              <w:ind w:left="5"/>
              <w:jc w:val="center"/>
              <w:rPr>
                <w:rFonts w:ascii="Segoe UI Symbol" w:hAnsi="Segoe UI Symbol"/>
                <w:b/>
                <w:sz w:val="24"/>
              </w:rPr>
            </w:pPr>
            <w:r>
              <w:rPr>
                <w:rFonts w:ascii="Segoe UI Symbol" w:hAnsi="Segoe UI Symbol"/>
                <w:b/>
                <w:color w:val="46894A"/>
                <w:spacing w:val="-10"/>
                <w:sz w:val="24"/>
              </w:rPr>
              <w:t>✓</w:t>
            </w:r>
          </w:p>
        </w:tc>
        <w:tc>
          <w:tcPr>
            <w:tcW w:w="886" w:type="dxa"/>
            <w:tcBorders>
              <w:left w:val="single" w:sz="4" w:space="0" w:color="002D5D"/>
              <w:bottom w:val="single" w:sz="12" w:space="0" w:color="002D5D"/>
              <w:right w:val="single" w:sz="4" w:space="0" w:color="002D5D"/>
            </w:tcBorders>
          </w:tcPr>
          <w:p>
            <w:pPr>
              <w:pStyle w:val="TableParagraph"/>
              <w:spacing w:line="263" w:lineRule="exact" w:before="6"/>
              <w:ind w:left="8" w:right="5"/>
              <w:jc w:val="center"/>
              <w:rPr>
                <w:rFonts w:ascii="Bradley Hand ITC"/>
                <w:b/>
                <w:sz w:val="28"/>
              </w:rPr>
            </w:pPr>
            <w:r>
              <w:rPr>
                <w:rFonts w:ascii="Bradley Hand ITC"/>
                <w:b/>
                <w:color w:val="FF0000"/>
                <w:spacing w:val="-10"/>
                <w:sz w:val="28"/>
              </w:rPr>
              <w:t>X</w:t>
            </w:r>
          </w:p>
        </w:tc>
      </w:tr>
      <w:tr>
        <w:trPr>
          <w:trHeight w:val="272" w:hRule="atLeast"/>
        </w:trPr>
        <w:tc>
          <w:tcPr>
            <w:tcW w:w="1383" w:type="dxa"/>
            <w:vMerge w:val="restart"/>
            <w:tcBorders>
              <w:top w:val="single" w:sz="12" w:space="0" w:color="002D5D"/>
              <w:left w:val="single" w:sz="4" w:space="0" w:color="000000"/>
              <w:bottom w:val="single" w:sz="12" w:space="0" w:color="002D5D"/>
              <w:right w:val="single" w:sz="4" w:space="0" w:color="000000"/>
            </w:tcBorders>
          </w:tcPr>
          <w:p>
            <w:pPr>
              <w:pStyle w:val="TableParagraph"/>
              <w:spacing w:before="142"/>
              <w:rPr>
                <w:rFonts w:ascii="Arial"/>
                <w:b/>
                <w:sz w:val="18"/>
              </w:rPr>
            </w:pPr>
          </w:p>
          <w:p>
            <w:pPr>
              <w:pStyle w:val="TableParagraph"/>
              <w:ind w:left="69"/>
              <w:rPr>
                <w:b/>
                <w:sz w:val="18"/>
              </w:rPr>
            </w:pPr>
            <w:r>
              <w:rPr>
                <w:b/>
                <w:spacing w:val="-2"/>
                <w:sz w:val="18"/>
              </w:rPr>
              <w:t>BILBAO</w:t>
            </w:r>
          </w:p>
        </w:tc>
        <w:tc>
          <w:tcPr>
            <w:tcW w:w="1880" w:type="dxa"/>
            <w:tcBorders>
              <w:top w:val="single" w:sz="12" w:space="0" w:color="002D5D"/>
              <w:left w:val="single" w:sz="4" w:space="0" w:color="000000"/>
              <w:bottom w:val="single" w:sz="6" w:space="0" w:color="002D5D"/>
              <w:right w:val="single" w:sz="4" w:space="0" w:color="000000"/>
            </w:tcBorders>
          </w:tcPr>
          <w:p>
            <w:pPr>
              <w:pStyle w:val="TableParagraph"/>
              <w:spacing w:before="37"/>
              <w:ind w:left="64"/>
              <w:rPr>
                <w:sz w:val="18"/>
              </w:rPr>
            </w:pPr>
            <w:r>
              <w:rPr>
                <w:sz w:val="18"/>
              </w:rPr>
              <w:t>Comisión</w:t>
            </w:r>
            <w:r>
              <w:rPr>
                <w:spacing w:val="-4"/>
                <w:sz w:val="18"/>
              </w:rPr>
              <w:t> </w:t>
            </w:r>
            <w:r>
              <w:rPr>
                <w:sz w:val="18"/>
              </w:rPr>
              <w:t>de</w:t>
            </w:r>
            <w:r>
              <w:rPr>
                <w:spacing w:val="-3"/>
                <w:sz w:val="18"/>
              </w:rPr>
              <w:t> </w:t>
            </w:r>
            <w:r>
              <w:rPr>
                <w:spacing w:val="-2"/>
                <w:sz w:val="18"/>
              </w:rPr>
              <w:t>seguimiento</w:t>
            </w:r>
          </w:p>
        </w:tc>
        <w:tc>
          <w:tcPr>
            <w:tcW w:w="886" w:type="dxa"/>
            <w:tcBorders>
              <w:top w:val="single" w:sz="12" w:space="0" w:color="002D5D"/>
              <w:left w:val="single" w:sz="4" w:space="0" w:color="000000"/>
              <w:bottom w:val="single" w:sz="4" w:space="0" w:color="000000"/>
              <w:right w:val="single" w:sz="4" w:space="0" w:color="002D5D"/>
            </w:tcBorders>
          </w:tcPr>
          <w:p>
            <w:pPr>
              <w:pStyle w:val="TableParagraph"/>
              <w:spacing w:line="252"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12" w:space="0" w:color="002D5D"/>
              <w:left w:val="single" w:sz="4" w:space="0" w:color="002D5D"/>
              <w:bottom w:val="single" w:sz="4" w:space="0" w:color="000000"/>
              <w:right w:val="single" w:sz="4" w:space="0" w:color="002D5D"/>
            </w:tcBorders>
          </w:tcPr>
          <w:p>
            <w:pPr>
              <w:pStyle w:val="TableParagraph"/>
              <w:spacing w:line="252"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12" w:space="0" w:color="002D5D"/>
              <w:left w:val="single" w:sz="4" w:space="0" w:color="002D5D"/>
              <w:bottom w:val="single" w:sz="4" w:space="0" w:color="000000"/>
              <w:right w:val="single" w:sz="4" w:space="0" w:color="002D5D"/>
            </w:tcBorders>
          </w:tcPr>
          <w:p>
            <w:pPr>
              <w:pStyle w:val="TableParagraph"/>
              <w:spacing w:line="252" w:lineRule="exact"/>
              <w:ind w:left="5" w:right="3"/>
              <w:jc w:val="center"/>
              <w:rPr>
                <w:rFonts w:ascii="Bradley Hand ITC"/>
                <w:b/>
                <w:sz w:val="28"/>
              </w:rPr>
            </w:pPr>
            <w:r>
              <w:rPr>
                <w:rFonts w:ascii="Bradley Hand ITC"/>
                <w:b/>
                <w:color w:val="FF0000"/>
                <w:spacing w:val="-10"/>
                <w:sz w:val="28"/>
              </w:rPr>
              <w:t>X</w:t>
            </w:r>
          </w:p>
        </w:tc>
        <w:tc>
          <w:tcPr>
            <w:tcW w:w="886" w:type="dxa"/>
            <w:tcBorders>
              <w:top w:val="single" w:sz="12" w:space="0" w:color="002D5D"/>
              <w:left w:val="single" w:sz="4" w:space="0" w:color="002D5D"/>
              <w:bottom w:val="single" w:sz="4" w:space="0" w:color="000000"/>
              <w:right w:val="single" w:sz="4" w:space="0" w:color="002D5D"/>
            </w:tcBorders>
          </w:tcPr>
          <w:p>
            <w:pPr>
              <w:pStyle w:val="TableParagraph"/>
              <w:spacing w:line="252" w:lineRule="exact"/>
              <w:ind w:left="8" w:right="5"/>
              <w:jc w:val="center"/>
              <w:rPr>
                <w:rFonts w:ascii="Bradley Hand ITC"/>
                <w:b/>
                <w:sz w:val="28"/>
              </w:rPr>
            </w:pPr>
            <w:r>
              <w:rPr>
                <w:rFonts w:ascii="Bradley Hand ITC"/>
                <w:b/>
                <w:color w:val="FF0000"/>
                <w:spacing w:val="-10"/>
                <w:sz w:val="28"/>
              </w:rPr>
              <w:t>X</w:t>
            </w:r>
          </w:p>
        </w:tc>
      </w:tr>
      <w:tr>
        <w:trPr>
          <w:trHeight w:val="284"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6" w:space="0" w:color="002D5D"/>
              <w:right w:val="single" w:sz="4" w:space="0" w:color="000000"/>
            </w:tcBorders>
            <w:shd w:val="clear" w:color="auto" w:fill="F1F1F1"/>
          </w:tcPr>
          <w:p>
            <w:pPr>
              <w:pStyle w:val="TableParagraph"/>
              <w:spacing w:before="39"/>
              <w:ind w:left="64"/>
              <w:rPr>
                <w:sz w:val="18"/>
              </w:rPr>
            </w:pPr>
            <w:r>
              <w:rPr>
                <w:spacing w:val="-2"/>
                <w:sz w:val="18"/>
              </w:rPr>
              <w:t>Indicadores</w:t>
            </w:r>
          </w:p>
        </w:tc>
        <w:tc>
          <w:tcPr>
            <w:tcW w:w="886" w:type="dxa"/>
            <w:tcBorders>
              <w:top w:val="single" w:sz="4" w:space="0" w:color="000000"/>
              <w:left w:val="single" w:sz="4" w:space="0" w:color="000000"/>
              <w:bottom w:val="single" w:sz="4" w:space="0" w:color="000000"/>
              <w:right w:val="single" w:sz="4" w:space="0" w:color="002D5D"/>
            </w:tcBorders>
            <w:shd w:val="clear" w:color="auto" w:fill="F1F1F1"/>
          </w:tcPr>
          <w:p>
            <w:pPr>
              <w:pStyle w:val="TableParagraph"/>
              <w:spacing w:line="264"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4" w:space="0" w:color="000000"/>
              <w:left w:val="single" w:sz="4" w:space="0" w:color="002D5D"/>
              <w:bottom w:val="single" w:sz="4" w:space="0" w:color="000000"/>
              <w:right w:val="single" w:sz="4" w:space="0" w:color="002D5D"/>
            </w:tcBorders>
            <w:shd w:val="clear" w:color="auto" w:fill="F1F1F1"/>
          </w:tcPr>
          <w:p>
            <w:pPr>
              <w:pStyle w:val="TableParagraph"/>
              <w:spacing w:line="264"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4" w:space="0" w:color="000000"/>
              <w:left w:val="single" w:sz="4" w:space="0" w:color="002D5D"/>
              <w:bottom w:val="single" w:sz="4" w:space="0" w:color="000000"/>
              <w:right w:val="single" w:sz="4" w:space="0" w:color="002D5D"/>
            </w:tcBorders>
            <w:shd w:val="clear" w:color="auto" w:fill="F1F1F1"/>
          </w:tcPr>
          <w:p>
            <w:pPr>
              <w:pStyle w:val="TableParagraph"/>
              <w:spacing w:line="264" w:lineRule="exact"/>
              <w:ind w:left="5" w:right="3"/>
              <w:jc w:val="center"/>
              <w:rPr>
                <w:rFonts w:ascii="Bradley Hand ITC"/>
                <w:b/>
                <w:sz w:val="28"/>
              </w:rPr>
            </w:pPr>
            <w:r>
              <w:rPr>
                <w:rFonts w:ascii="Bradley Hand ITC"/>
                <w:b/>
                <w:color w:val="FF0000"/>
                <w:spacing w:val="-10"/>
                <w:sz w:val="28"/>
              </w:rPr>
              <w:t>X</w:t>
            </w:r>
          </w:p>
        </w:tc>
        <w:tc>
          <w:tcPr>
            <w:tcW w:w="886" w:type="dxa"/>
            <w:tcBorders>
              <w:top w:val="single" w:sz="4" w:space="0" w:color="000000"/>
              <w:left w:val="single" w:sz="4" w:space="0" w:color="002D5D"/>
              <w:bottom w:val="single" w:sz="4" w:space="0" w:color="000000"/>
              <w:right w:val="single" w:sz="4" w:space="0" w:color="002D5D"/>
            </w:tcBorders>
            <w:shd w:val="clear" w:color="auto" w:fill="F1F1F1"/>
          </w:tcPr>
          <w:p>
            <w:pPr>
              <w:pStyle w:val="TableParagraph"/>
              <w:spacing w:line="264" w:lineRule="exact"/>
              <w:ind w:left="8" w:right="5"/>
              <w:jc w:val="center"/>
              <w:rPr>
                <w:rFonts w:ascii="Bradley Hand ITC"/>
                <w:b/>
                <w:sz w:val="28"/>
              </w:rPr>
            </w:pPr>
            <w:r>
              <w:rPr>
                <w:rFonts w:ascii="Bradley Hand ITC"/>
                <w:b/>
                <w:color w:val="FF0000"/>
                <w:spacing w:val="-10"/>
                <w:sz w:val="28"/>
              </w:rPr>
              <w:t>X</w:t>
            </w:r>
          </w:p>
        </w:tc>
      </w:tr>
      <w:tr>
        <w:trPr>
          <w:trHeight w:val="289"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12" w:space="0" w:color="002D5D"/>
              <w:right w:val="single" w:sz="4" w:space="0" w:color="000000"/>
            </w:tcBorders>
          </w:tcPr>
          <w:p>
            <w:pPr>
              <w:pStyle w:val="TableParagraph"/>
              <w:spacing w:before="37"/>
              <w:ind w:left="64"/>
              <w:rPr>
                <w:sz w:val="18"/>
              </w:rPr>
            </w:pPr>
            <w:r>
              <w:rPr>
                <w:sz w:val="18"/>
              </w:rPr>
              <w:t>Informes</w:t>
            </w:r>
            <w:r>
              <w:rPr>
                <w:spacing w:val="-3"/>
                <w:sz w:val="18"/>
              </w:rPr>
              <w:t> </w:t>
            </w:r>
            <w:r>
              <w:rPr>
                <w:sz w:val="18"/>
              </w:rPr>
              <w:t>de</w:t>
            </w:r>
            <w:r>
              <w:rPr>
                <w:spacing w:val="-3"/>
                <w:sz w:val="18"/>
              </w:rPr>
              <w:t> </w:t>
            </w:r>
            <w:r>
              <w:rPr>
                <w:spacing w:val="-2"/>
                <w:sz w:val="18"/>
              </w:rPr>
              <w:t>seguimiento</w:t>
            </w:r>
          </w:p>
        </w:tc>
        <w:tc>
          <w:tcPr>
            <w:tcW w:w="886" w:type="dxa"/>
            <w:tcBorders>
              <w:top w:val="single" w:sz="4" w:space="0" w:color="000000"/>
              <w:left w:val="single" w:sz="4" w:space="0" w:color="000000"/>
              <w:bottom w:val="single" w:sz="12" w:space="0" w:color="002D5D"/>
              <w:right w:val="single" w:sz="4" w:space="0" w:color="002D5D"/>
            </w:tcBorders>
          </w:tcPr>
          <w:p>
            <w:pPr>
              <w:pStyle w:val="TableParagraph"/>
              <w:spacing w:line="270"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4" w:space="0" w:color="000000"/>
              <w:left w:val="single" w:sz="4" w:space="0" w:color="002D5D"/>
              <w:bottom w:val="single" w:sz="12" w:space="0" w:color="002D5D"/>
              <w:right w:val="single" w:sz="4" w:space="0" w:color="002D5D"/>
            </w:tcBorders>
          </w:tcPr>
          <w:p>
            <w:pPr>
              <w:pStyle w:val="TableParagraph"/>
              <w:spacing w:line="270" w:lineRule="exact"/>
              <w:ind w:left="2" w:right="50"/>
              <w:jc w:val="center"/>
              <w:rPr>
                <w:rFonts w:ascii="Bradley Hand ITC"/>
                <w:b/>
                <w:sz w:val="28"/>
              </w:rPr>
            </w:pPr>
            <w:r>
              <w:rPr>
                <w:rFonts w:ascii="Bradley Hand ITC"/>
                <w:b/>
                <w:color w:val="FF0000"/>
                <w:spacing w:val="-10"/>
                <w:sz w:val="28"/>
              </w:rPr>
              <w:t>X</w:t>
            </w:r>
          </w:p>
        </w:tc>
        <w:tc>
          <w:tcPr>
            <w:tcW w:w="889" w:type="dxa"/>
            <w:tcBorders>
              <w:top w:val="single" w:sz="4" w:space="0" w:color="000000"/>
              <w:left w:val="single" w:sz="4" w:space="0" w:color="002D5D"/>
              <w:bottom w:val="single" w:sz="12" w:space="0" w:color="002D5D"/>
              <w:right w:val="single" w:sz="4" w:space="0" w:color="002D5D"/>
            </w:tcBorders>
          </w:tcPr>
          <w:p>
            <w:pPr>
              <w:pStyle w:val="TableParagraph"/>
              <w:spacing w:line="270" w:lineRule="exact"/>
              <w:ind w:left="5" w:right="3"/>
              <w:jc w:val="center"/>
              <w:rPr>
                <w:rFonts w:ascii="Bradley Hand ITC"/>
                <w:b/>
                <w:sz w:val="28"/>
              </w:rPr>
            </w:pPr>
            <w:r>
              <w:rPr>
                <w:rFonts w:ascii="Bradley Hand ITC"/>
                <w:b/>
                <w:color w:val="FF0000"/>
                <w:spacing w:val="-10"/>
                <w:sz w:val="28"/>
              </w:rPr>
              <w:t>X</w:t>
            </w:r>
          </w:p>
        </w:tc>
        <w:tc>
          <w:tcPr>
            <w:tcW w:w="886" w:type="dxa"/>
            <w:tcBorders>
              <w:top w:val="single" w:sz="4" w:space="0" w:color="000000"/>
              <w:left w:val="single" w:sz="4" w:space="0" w:color="002D5D"/>
              <w:bottom w:val="single" w:sz="12" w:space="0" w:color="002D5D"/>
              <w:right w:val="single" w:sz="4" w:space="0" w:color="002D5D"/>
            </w:tcBorders>
          </w:tcPr>
          <w:p>
            <w:pPr>
              <w:pStyle w:val="TableParagraph"/>
              <w:spacing w:line="270" w:lineRule="exact"/>
              <w:ind w:left="8" w:right="5"/>
              <w:jc w:val="center"/>
              <w:rPr>
                <w:rFonts w:ascii="Bradley Hand ITC"/>
                <w:b/>
                <w:sz w:val="28"/>
              </w:rPr>
            </w:pPr>
            <w:r>
              <w:rPr>
                <w:rFonts w:ascii="Bradley Hand ITC"/>
                <w:b/>
                <w:color w:val="FF0000"/>
                <w:spacing w:val="-10"/>
                <w:sz w:val="28"/>
              </w:rPr>
              <w:t>X</w:t>
            </w:r>
          </w:p>
        </w:tc>
      </w:tr>
      <w:tr>
        <w:trPr>
          <w:trHeight w:val="272" w:hRule="atLeast"/>
        </w:trPr>
        <w:tc>
          <w:tcPr>
            <w:tcW w:w="1383" w:type="dxa"/>
            <w:vMerge w:val="restart"/>
            <w:tcBorders>
              <w:top w:val="single" w:sz="12" w:space="0" w:color="002D5D"/>
              <w:left w:val="single" w:sz="4" w:space="0" w:color="000000"/>
              <w:bottom w:val="single" w:sz="12" w:space="0" w:color="002D5D"/>
              <w:right w:val="single" w:sz="4" w:space="0" w:color="000000"/>
            </w:tcBorders>
          </w:tcPr>
          <w:p>
            <w:pPr>
              <w:pStyle w:val="TableParagraph"/>
              <w:spacing w:before="142"/>
              <w:rPr>
                <w:rFonts w:ascii="Arial"/>
                <w:b/>
                <w:sz w:val="18"/>
              </w:rPr>
            </w:pPr>
          </w:p>
          <w:p>
            <w:pPr>
              <w:pStyle w:val="TableParagraph"/>
              <w:ind w:left="69"/>
              <w:rPr>
                <w:b/>
                <w:sz w:val="18"/>
              </w:rPr>
            </w:pPr>
            <w:r>
              <w:rPr>
                <w:b/>
                <w:spacing w:val="-2"/>
                <w:sz w:val="18"/>
              </w:rPr>
              <w:t>CÓRDOBA</w:t>
            </w:r>
          </w:p>
        </w:tc>
        <w:tc>
          <w:tcPr>
            <w:tcW w:w="1880" w:type="dxa"/>
            <w:tcBorders>
              <w:top w:val="single" w:sz="12" w:space="0" w:color="002D5D"/>
              <w:left w:val="single" w:sz="4" w:space="0" w:color="000000"/>
              <w:bottom w:val="single" w:sz="6" w:space="0" w:color="002D5D"/>
              <w:right w:val="single" w:sz="4" w:space="0" w:color="000000"/>
            </w:tcBorders>
          </w:tcPr>
          <w:p>
            <w:pPr>
              <w:pStyle w:val="TableParagraph"/>
              <w:spacing w:before="37"/>
              <w:ind w:left="64"/>
              <w:rPr>
                <w:sz w:val="18"/>
              </w:rPr>
            </w:pPr>
            <w:r>
              <w:rPr>
                <w:sz w:val="18"/>
              </w:rPr>
              <w:t>Comisión</w:t>
            </w:r>
            <w:r>
              <w:rPr>
                <w:spacing w:val="-4"/>
                <w:sz w:val="18"/>
              </w:rPr>
              <w:t> </w:t>
            </w:r>
            <w:r>
              <w:rPr>
                <w:sz w:val="18"/>
              </w:rPr>
              <w:t>de</w:t>
            </w:r>
            <w:r>
              <w:rPr>
                <w:spacing w:val="-3"/>
                <w:sz w:val="18"/>
              </w:rPr>
              <w:t> </w:t>
            </w:r>
            <w:r>
              <w:rPr>
                <w:spacing w:val="-2"/>
                <w:sz w:val="18"/>
              </w:rPr>
              <w:t>seguimiento</w:t>
            </w:r>
          </w:p>
        </w:tc>
        <w:tc>
          <w:tcPr>
            <w:tcW w:w="886" w:type="dxa"/>
            <w:tcBorders>
              <w:top w:val="single" w:sz="12" w:space="0" w:color="002D5D"/>
              <w:left w:val="single" w:sz="4" w:space="0" w:color="000000"/>
              <w:right w:val="single" w:sz="4" w:space="0" w:color="002D5D"/>
            </w:tcBorders>
          </w:tcPr>
          <w:p>
            <w:pPr>
              <w:pStyle w:val="TableParagraph"/>
              <w:spacing w:line="252"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12" w:space="0" w:color="002D5D"/>
              <w:left w:val="single" w:sz="4" w:space="0" w:color="002D5D"/>
              <w:right w:val="single" w:sz="4" w:space="0" w:color="002D5D"/>
            </w:tcBorders>
          </w:tcPr>
          <w:p>
            <w:pPr>
              <w:pStyle w:val="TableParagraph"/>
              <w:spacing w:line="252"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12" w:space="0" w:color="002D5D"/>
              <w:left w:val="single" w:sz="4" w:space="0" w:color="002D5D"/>
              <w:right w:val="single" w:sz="4" w:space="0" w:color="002D5D"/>
            </w:tcBorders>
          </w:tcPr>
          <w:p>
            <w:pPr>
              <w:pStyle w:val="TableParagraph"/>
              <w:spacing w:line="252" w:lineRule="exact"/>
              <w:ind w:left="5"/>
              <w:jc w:val="center"/>
              <w:rPr>
                <w:rFonts w:ascii="Segoe UI Symbol" w:hAnsi="Segoe UI Symbol"/>
                <w:b/>
                <w:sz w:val="24"/>
              </w:rPr>
            </w:pPr>
            <w:r>
              <w:rPr>
                <w:rFonts w:ascii="Segoe UI Symbol" w:hAnsi="Segoe UI Symbol"/>
                <w:b/>
                <w:color w:val="46894A"/>
                <w:spacing w:val="-10"/>
                <w:sz w:val="24"/>
              </w:rPr>
              <w:t>✓</w:t>
            </w:r>
          </w:p>
        </w:tc>
        <w:tc>
          <w:tcPr>
            <w:tcW w:w="886" w:type="dxa"/>
            <w:tcBorders>
              <w:top w:val="single" w:sz="12" w:space="0" w:color="002D5D"/>
              <w:left w:val="single" w:sz="4" w:space="0" w:color="002D5D"/>
              <w:right w:val="single" w:sz="4" w:space="0" w:color="002D5D"/>
            </w:tcBorders>
          </w:tcPr>
          <w:p>
            <w:pPr>
              <w:pStyle w:val="TableParagraph"/>
              <w:spacing w:line="252" w:lineRule="exact"/>
              <w:ind w:left="8" w:right="5"/>
              <w:jc w:val="center"/>
              <w:rPr>
                <w:rFonts w:ascii="Bradley Hand ITC"/>
                <w:b/>
                <w:sz w:val="28"/>
              </w:rPr>
            </w:pPr>
            <w:r>
              <w:rPr>
                <w:rFonts w:ascii="Bradley Hand ITC"/>
                <w:b/>
                <w:color w:val="FF0000"/>
                <w:spacing w:val="-10"/>
                <w:sz w:val="28"/>
              </w:rPr>
              <w:t>X</w:t>
            </w:r>
          </w:p>
        </w:tc>
      </w:tr>
      <w:tr>
        <w:trPr>
          <w:trHeight w:val="284"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6" w:space="0" w:color="002D5D"/>
              <w:right w:val="single" w:sz="4" w:space="0" w:color="000000"/>
            </w:tcBorders>
            <w:shd w:val="clear" w:color="auto" w:fill="F1F1F1"/>
          </w:tcPr>
          <w:p>
            <w:pPr>
              <w:pStyle w:val="TableParagraph"/>
              <w:spacing w:before="39"/>
              <w:ind w:left="64"/>
              <w:rPr>
                <w:sz w:val="18"/>
              </w:rPr>
            </w:pPr>
            <w:r>
              <w:rPr>
                <w:spacing w:val="-2"/>
                <w:sz w:val="18"/>
              </w:rPr>
              <w:t>Indicadores</w:t>
            </w:r>
          </w:p>
        </w:tc>
        <w:tc>
          <w:tcPr>
            <w:tcW w:w="886" w:type="dxa"/>
            <w:tcBorders>
              <w:left w:val="single" w:sz="4" w:space="0" w:color="000000"/>
              <w:right w:val="single" w:sz="4" w:space="0" w:color="002D5D"/>
            </w:tcBorders>
            <w:shd w:val="clear" w:color="auto" w:fill="F1F1F1"/>
          </w:tcPr>
          <w:p>
            <w:pPr>
              <w:pStyle w:val="TableParagraph"/>
              <w:spacing w:line="264" w:lineRule="exact"/>
              <w:ind w:left="8" w:right="3"/>
              <w:jc w:val="center"/>
              <w:rPr>
                <w:rFonts w:ascii="Bradley Hand ITC"/>
                <w:b/>
                <w:sz w:val="28"/>
              </w:rPr>
            </w:pPr>
            <w:r>
              <w:rPr>
                <w:rFonts w:ascii="Bradley Hand ITC"/>
                <w:b/>
                <w:color w:val="FF0000"/>
                <w:spacing w:val="-10"/>
                <w:sz w:val="28"/>
              </w:rPr>
              <w:t>X</w:t>
            </w:r>
          </w:p>
        </w:tc>
        <w:tc>
          <w:tcPr>
            <w:tcW w:w="888" w:type="dxa"/>
            <w:tcBorders>
              <w:left w:val="single" w:sz="4" w:space="0" w:color="002D5D"/>
              <w:right w:val="single" w:sz="4" w:space="0" w:color="002D5D"/>
            </w:tcBorders>
            <w:shd w:val="clear" w:color="auto" w:fill="F1F1F1"/>
          </w:tcPr>
          <w:p>
            <w:pPr>
              <w:pStyle w:val="TableParagraph"/>
              <w:spacing w:line="264"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left w:val="single" w:sz="4" w:space="0" w:color="002D5D"/>
              <w:right w:val="single" w:sz="4" w:space="0" w:color="002D5D"/>
            </w:tcBorders>
            <w:shd w:val="clear" w:color="auto" w:fill="F1F1F1"/>
          </w:tcPr>
          <w:p>
            <w:pPr>
              <w:pStyle w:val="TableParagraph"/>
              <w:spacing w:line="264" w:lineRule="exact"/>
              <w:ind w:left="5"/>
              <w:jc w:val="center"/>
              <w:rPr>
                <w:rFonts w:ascii="Segoe UI Symbol" w:hAnsi="Segoe UI Symbol"/>
                <w:b/>
                <w:sz w:val="24"/>
              </w:rPr>
            </w:pPr>
            <w:r>
              <w:rPr>
                <w:rFonts w:ascii="Segoe UI Symbol" w:hAnsi="Segoe UI Symbol"/>
                <w:b/>
                <w:color w:val="46894A"/>
                <w:spacing w:val="-10"/>
                <w:sz w:val="24"/>
              </w:rPr>
              <w:t>✓</w:t>
            </w:r>
          </w:p>
        </w:tc>
        <w:tc>
          <w:tcPr>
            <w:tcW w:w="886" w:type="dxa"/>
            <w:tcBorders>
              <w:left w:val="single" w:sz="4" w:space="0" w:color="002D5D"/>
              <w:right w:val="single" w:sz="4" w:space="0" w:color="002D5D"/>
            </w:tcBorders>
            <w:shd w:val="clear" w:color="auto" w:fill="F1F1F1"/>
          </w:tcPr>
          <w:p>
            <w:pPr>
              <w:pStyle w:val="TableParagraph"/>
              <w:spacing w:line="264" w:lineRule="exact"/>
              <w:ind w:left="8" w:right="2"/>
              <w:jc w:val="center"/>
              <w:rPr>
                <w:rFonts w:ascii="Segoe UI Symbol" w:hAnsi="Segoe UI Symbol"/>
                <w:b/>
                <w:sz w:val="24"/>
              </w:rPr>
            </w:pPr>
            <w:r>
              <w:rPr>
                <w:rFonts w:ascii="Segoe UI Symbol" w:hAnsi="Segoe UI Symbol"/>
                <w:b/>
                <w:color w:val="46894A"/>
                <w:spacing w:val="-10"/>
                <w:sz w:val="24"/>
              </w:rPr>
              <w:t>✓</w:t>
            </w:r>
          </w:p>
        </w:tc>
      </w:tr>
      <w:tr>
        <w:trPr>
          <w:trHeight w:val="289"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12" w:space="0" w:color="002D5D"/>
              <w:right w:val="single" w:sz="4" w:space="0" w:color="000000"/>
            </w:tcBorders>
          </w:tcPr>
          <w:p>
            <w:pPr>
              <w:pStyle w:val="TableParagraph"/>
              <w:spacing w:before="37"/>
              <w:ind w:left="64"/>
              <w:rPr>
                <w:sz w:val="18"/>
              </w:rPr>
            </w:pPr>
            <w:r>
              <w:rPr>
                <w:sz w:val="18"/>
              </w:rPr>
              <w:t>Informes</w:t>
            </w:r>
            <w:r>
              <w:rPr>
                <w:spacing w:val="-3"/>
                <w:sz w:val="18"/>
              </w:rPr>
              <w:t> </w:t>
            </w:r>
            <w:r>
              <w:rPr>
                <w:sz w:val="18"/>
              </w:rPr>
              <w:t>de</w:t>
            </w:r>
            <w:r>
              <w:rPr>
                <w:spacing w:val="-3"/>
                <w:sz w:val="18"/>
              </w:rPr>
              <w:t> </w:t>
            </w:r>
            <w:r>
              <w:rPr>
                <w:spacing w:val="-2"/>
                <w:sz w:val="18"/>
              </w:rPr>
              <w:t>seguimiento</w:t>
            </w:r>
          </w:p>
        </w:tc>
        <w:tc>
          <w:tcPr>
            <w:tcW w:w="886" w:type="dxa"/>
            <w:tcBorders>
              <w:left w:val="single" w:sz="4" w:space="0" w:color="000000"/>
              <w:bottom w:val="single" w:sz="12" w:space="0" w:color="002D5D"/>
              <w:right w:val="single" w:sz="4" w:space="0" w:color="002D5D"/>
            </w:tcBorders>
          </w:tcPr>
          <w:p>
            <w:pPr>
              <w:pStyle w:val="TableParagraph"/>
              <w:spacing w:line="269" w:lineRule="exact"/>
              <w:ind w:left="8" w:right="3"/>
              <w:jc w:val="center"/>
              <w:rPr>
                <w:rFonts w:ascii="Bradley Hand ITC"/>
                <w:b/>
                <w:sz w:val="28"/>
              </w:rPr>
            </w:pPr>
            <w:r>
              <w:rPr>
                <w:rFonts w:ascii="Bradley Hand ITC"/>
                <w:b/>
                <w:color w:val="FF0000"/>
                <w:spacing w:val="-10"/>
                <w:sz w:val="28"/>
              </w:rPr>
              <w:t>X</w:t>
            </w:r>
          </w:p>
        </w:tc>
        <w:tc>
          <w:tcPr>
            <w:tcW w:w="888" w:type="dxa"/>
            <w:tcBorders>
              <w:left w:val="single" w:sz="4" w:space="0" w:color="002D5D"/>
              <w:bottom w:val="single" w:sz="12" w:space="0" w:color="002D5D"/>
              <w:right w:val="single" w:sz="4" w:space="0" w:color="002D5D"/>
            </w:tcBorders>
          </w:tcPr>
          <w:p>
            <w:pPr>
              <w:pStyle w:val="TableParagraph"/>
              <w:spacing w:line="269" w:lineRule="exact"/>
              <w:ind w:left="2" w:right="50"/>
              <w:jc w:val="center"/>
              <w:rPr>
                <w:rFonts w:ascii="Bradley Hand ITC"/>
                <w:b/>
                <w:sz w:val="28"/>
              </w:rPr>
            </w:pPr>
            <w:r>
              <w:rPr>
                <w:rFonts w:ascii="Bradley Hand ITC"/>
                <w:b/>
                <w:color w:val="FF0000"/>
                <w:spacing w:val="-10"/>
                <w:sz w:val="28"/>
              </w:rPr>
              <w:t>X</w:t>
            </w:r>
          </w:p>
        </w:tc>
        <w:tc>
          <w:tcPr>
            <w:tcW w:w="889" w:type="dxa"/>
            <w:tcBorders>
              <w:left w:val="single" w:sz="4" w:space="0" w:color="002D5D"/>
              <w:bottom w:val="single" w:sz="12" w:space="0" w:color="002D5D"/>
              <w:right w:val="single" w:sz="4" w:space="0" w:color="002D5D"/>
            </w:tcBorders>
          </w:tcPr>
          <w:p>
            <w:pPr>
              <w:pStyle w:val="TableParagraph"/>
              <w:spacing w:line="269" w:lineRule="exact"/>
              <w:ind w:left="5" w:right="3"/>
              <w:jc w:val="center"/>
              <w:rPr>
                <w:rFonts w:ascii="Bradley Hand ITC"/>
                <w:b/>
                <w:sz w:val="28"/>
              </w:rPr>
            </w:pPr>
            <w:r>
              <w:rPr>
                <w:rFonts w:ascii="Bradley Hand ITC"/>
                <w:b/>
                <w:color w:val="FF0000"/>
                <w:spacing w:val="-10"/>
                <w:sz w:val="28"/>
              </w:rPr>
              <w:t>X</w:t>
            </w:r>
          </w:p>
        </w:tc>
        <w:tc>
          <w:tcPr>
            <w:tcW w:w="886" w:type="dxa"/>
            <w:tcBorders>
              <w:left w:val="single" w:sz="4" w:space="0" w:color="002D5D"/>
              <w:bottom w:val="single" w:sz="12" w:space="0" w:color="002D5D"/>
              <w:right w:val="single" w:sz="4" w:space="0" w:color="002D5D"/>
            </w:tcBorders>
          </w:tcPr>
          <w:p>
            <w:pPr>
              <w:pStyle w:val="TableParagraph"/>
              <w:spacing w:line="269" w:lineRule="exact"/>
              <w:ind w:left="8" w:right="5"/>
              <w:jc w:val="center"/>
              <w:rPr>
                <w:rFonts w:ascii="Bradley Hand ITC"/>
                <w:b/>
                <w:sz w:val="28"/>
              </w:rPr>
            </w:pPr>
            <w:r>
              <w:rPr>
                <w:rFonts w:ascii="Bradley Hand ITC"/>
                <w:b/>
                <w:color w:val="FF0000"/>
                <w:spacing w:val="-10"/>
                <w:sz w:val="28"/>
              </w:rPr>
              <w:t>X</w:t>
            </w:r>
          </w:p>
        </w:tc>
      </w:tr>
      <w:tr>
        <w:trPr>
          <w:trHeight w:val="274" w:hRule="atLeast"/>
        </w:trPr>
        <w:tc>
          <w:tcPr>
            <w:tcW w:w="1383" w:type="dxa"/>
            <w:vMerge w:val="restart"/>
            <w:tcBorders>
              <w:top w:val="single" w:sz="12" w:space="0" w:color="002D5D"/>
              <w:left w:val="single" w:sz="4" w:space="0" w:color="000000"/>
              <w:bottom w:val="single" w:sz="12" w:space="0" w:color="002D5D"/>
              <w:right w:val="single" w:sz="4" w:space="0" w:color="000000"/>
            </w:tcBorders>
          </w:tcPr>
          <w:p>
            <w:pPr>
              <w:pStyle w:val="TableParagraph"/>
              <w:spacing w:before="38"/>
              <w:rPr>
                <w:rFonts w:ascii="Arial"/>
                <w:b/>
                <w:sz w:val="18"/>
              </w:rPr>
            </w:pPr>
          </w:p>
          <w:p>
            <w:pPr>
              <w:pStyle w:val="TableParagraph"/>
              <w:spacing w:before="1"/>
              <w:ind w:left="69"/>
              <w:rPr>
                <w:b/>
                <w:sz w:val="18"/>
              </w:rPr>
            </w:pPr>
            <w:r>
              <w:rPr>
                <w:b/>
                <w:sz w:val="18"/>
              </w:rPr>
              <w:t>LAS</w:t>
            </w:r>
            <w:r>
              <w:rPr>
                <w:b/>
                <w:spacing w:val="-11"/>
                <w:sz w:val="18"/>
              </w:rPr>
              <w:t> </w:t>
            </w:r>
            <w:r>
              <w:rPr>
                <w:b/>
                <w:sz w:val="18"/>
              </w:rPr>
              <w:t>PALMAS</w:t>
            </w:r>
            <w:r>
              <w:rPr>
                <w:b/>
                <w:spacing w:val="-10"/>
                <w:sz w:val="18"/>
              </w:rPr>
              <w:t> </w:t>
            </w:r>
            <w:r>
              <w:rPr>
                <w:b/>
                <w:sz w:val="18"/>
              </w:rPr>
              <w:t>DE GRAN</w:t>
            </w:r>
            <w:r>
              <w:rPr>
                <w:b/>
                <w:spacing w:val="-1"/>
                <w:sz w:val="18"/>
              </w:rPr>
              <w:t> </w:t>
            </w:r>
            <w:r>
              <w:rPr>
                <w:b/>
                <w:spacing w:val="-2"/>
                <w:sz w:val="18"/>
              </w:rPr>
              <w:t>CANARIA</w:t>
            </w:r>
          </w:p>
        </w:tc>
        <w:tc>
          <w:tcPr>
            <w:tcW w:w="1880" w:type="dxa"/>
            <w:tcBorders>
              <w:top w:val="single" w:sz="12" w:space="0" w:color="002D5D"/>
              <w:left w:val="single" w:sz="4" w:space="0" w:color="000000"/>
              <w:bottom w:val="single" w:sz="6" w:space="0" w:color="002D5D"/>
              <w:right w:val="single" w:sz="4" w:space="0" w:color="000000"/>
            </w:tcBorders>
          </w:tcPr>
          <w:p>
            <w:pPr>
              <w:pStyle w:val="TableParagraph"/>
              <w:spacing w:before="37"/>
              <w:ind w:left="64"/>
              <w:rPr>
                <w:sz w:val="18"/>
              </w:rPr>
            </w:pPr>
            <w:r>
              <w:rPr>
                <w:sz w:val="18"/>
              </w:rPr>
              <w:t>Comisión</w:t>
            </w:r>
            <w:r>
              <w:rPr>
                <w:spacing w:val="-4"/>
                <w:sz w:val="18"/>
              </w:rPr>
              <w:t> </w:t>
            </w:r>
            <w:r>
              <w:rPr>
                <w:sz w:val="18"/>
              </w:rPr>
              <w:t>de</w:t>
            </w:r>
            <w:r>
              <w:rPr>
                <w:spacing w:val="-3"/>
                <w:sz w:val="18"/>
              </w:rPr>
              <w:t> </w:t>
            </w:r>
            <w:r>
              <w:rPr>
                <w:spacing w:val="-2"/>
                <w:sz w:val="18"/>
              </w:rPr>
              <w:t>seguimiento</w:t>
            </w:r>
          </w:p>
        </w:tc>
        <w:tc>
          <w:tcPr>
            <w:tcW w:w="886" w:type="dxa"/>
            <w:tcBorders>
              <w:top w:val="single" w:sz="12" w:space="0" w:color="002D5D"/>
              <w:left w:val="single" w:sz="4" w:space="0" w:color="000000"/>
              <w:bottom w:val="single" w:sz="4" w:space="0" w:color="002D5D"/>
              <w:right w:val="single" w:sz="4" w:space="0" w:color="002D5D"/>
            </w:tcBorders>
          </w:tcPr>
          <w:p>
            <w:pPr>
              <w:pStyle w:val="TableParagraph"/>
              <w:spacing w:line="255" w:lineRule="exact"/>
              <w:ind w:left="8" w:right="3"/>
              <w:jc w:val="center"/>
              <w:rPr>
                <w:rFonts w:ascii="Bradley Hand ITC"/>
                <w:b/>
                <w:sz w:val="28"/>
              </w:rPr>
            </w:pPr>
            <w:r>
              <w:rPr>
                <w:rFonts w:ascii="Bradley Hand ITC"/>
                <w:b/>
                <w:color w:val="FF0000"/>
                <w:spacing w:val="-10"/>
                <w:sz w:val="28"/>
              </w:rPr>
              <w:t>X</w:t>
            </w:r>
          </w:p>
        </w:tc>
        <w:tc>
          <w:tcPr>
            <w:tcW w:w="888"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2" w:right="50"/>
              <w:jc w:val="center"/>
              <w:rPr>
                <w:rFonts w:ascii="Bradley Hand ITC"/>
                <w:b/>
                <w:sz w:val="28"/>
              </w:rPr>
            </w:pPr>
            <w:r>
              <w:rPr>
                <w:rFonts w:ascii="Bradley Hand ITC"/>
                <w:b/>
                <w:color w:val="FF0000"/>
                <w:spacing w:val="-10"/>
                <w:sz w:val="28"/>
              </w:rPr>
              <w:t>X</w:t>
            </w:r>
          </w:p>
        </w:tc>
        <w:tc>
          <w:tcPr>
            <w:tcW w:w="889"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5" w:right="3"/>
              <w:jc w:val="center"/>
              <w:rPr>
                <w:rFonts w:ascii="Bradley Hand ITC"/>
                <w:b/>
                <w:sz w:val="28"/>
              </w:rPr>
            </w:pPr>
            <w:r>
              <w:rPr>
                <w:rFonts w:ascii="Bradley Hand ITC"/>
                <w:b/>
                <w:color w:val="FF0000"/>
                <w:spacing w:val="-10"/>
                <w:sz w:val="28"/>
              </w:rPr>
              <w:t>X</w:t>
            </w:r>
          </w:p>
        </w:tc>
        <w:tc>
          <w:tcPr>
            <w:tcW w:w="886"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8" w:right="5"/>
              <w:jc w:val="center"/>
              <w:rPr>
                <w:rFonts w:ascii="Bradley Hand ITC"/>
                <w:b/>
                <w:sz w:val="28"/>
              </w:rPr>
            </w:pPr>
            <w:r>
              <w:rPr>
                <w:rFonts w:ascii="Bradley Hand ITC"/>
                <w:b/>
                <w:color w:val="FF0000"/>
                <w:spacing w:val="-10"/>
                <w:sz w:val="28"/>
              </w:rPr>
              <w:t>X</w:t>
            </w:r>
          </w:p>
        </w:tc>
      </w:tr>
      <w:tr>
        <w:trPr>
          <w:trHeight w:val="282"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6" w:space="0" w:color="002D5D"/>
              <w:right w:val="single" w:sz="4" w:space="0" w:color="000000"/>
            </w:tcBorders>
            <w:shd w:val="clear" w:color="auto" w:fill="F1F1F1"/>
          </w:tcPr>
          <w:p>
            <w:pPr>
              <w:pStyle w:val="TableParagraph"/>
              <w:spacing w:before="37"/>
              <w:ind w:left="64"/>
              <w:rPr>
                <w:sz w:val="18"/>
              </w:rPr>
            </w:pPr>
            <w:r>
              <w:rPr>
                <w:spacing w:val="-2"/>
                <w:sz w:val="18"/>
              </w:rPr>
              <w:t>Indicadores</w:t>
            </w:r>
          </w:p>
        </w:tc>
        <w:tc>
          <w:tcPr>
            <w:tcW w:w="886" w:type="dxa"/>
            <w:tcBorders>
              <w:top w:val="single" w:sz="4" w:space="0" w:color="002D5D"/>
              <w:left w:val="single" w:sz="4" w:space="0" w:color="000000"/>
              <w:bottom w:val="single" w:sz="4" w:space="0" w:color="002D5D"/>
              <w:right w:val="single" w:sz="4" w:space="0" w:color="002D5D"/>
            </w:tcBorders>
            <w:shd w:val="clear" w:color="auto" w:fill="F1F1F1"/>
          </w:tcPr>
          <w:p>
            <w:pPr>
              <w:pStyle w:val="TableParagraph"/>
              <w:spacing w:line="262" w:lineRule="exact"/>
              <w:ind w:left="8" w:right="3"/>
              <w:jc w:val="center"/>
              <w:rPr>
                <w:rFonts w:ascii="Bradley Hand ITC"/>
                <w:b/>
                <w:sz w:val="28"/>
              </w:rPr>
            </w:pPr>
            <w:r>
              <w:rPr>
                <w:rFonts w:ascii="Bradley Hand ITC"/>
                <w:b/>
                <w:color w:val="FF0000"/>
                <w:spacing w:val="-10"/>
                <w:sz w:val="28"/>
              </w:rPr>
              <w:t>X</w:t>
            </w:r>
          </w:p>
        </w:tc>
        <w:tc>
          <w:tcPr>
            <w:tcW w:w="888"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5"/>
              <w:jc w:val="center"/>
              <w:rPr>
                <w:rFonts w:ascii="Segoe UI Symbol" w:hAnsi="Segoe UI Symbol"/>
                <w:b/>
                <w:sz w:val="24"/>
              </w:rPr>
            </w:pPr>
            <w:r>
              <w:rPr>
                <w:rFonts w:ascii="Segoe UI Symbol" w:hAnsi="Segoe UI Symbol"/>
                <w:b/>
                <w:color w:val="46894A"/>
                <w:spacing w:val="-10"/>
                <w:sz w:val="24"/>
              </w:rPr>
              <w:t>✓</w:t>
            </w:r>
          </w:p>
        </w:tc>
        <w:tc>
          <w:tcPr>
            <w:tcW w:w="886"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8" w:right="2"/>
              <w:jc w:val="center"/>
              <w:rPr>
                <w:rFonts w:ascii="Segoe UI Symbol" w:hAnsi="Segoe UI Symbol"/>
                <w:b/>
                <w:sz w:val="24"/>
              </w:rPr>
            </w:pPr>
            <w:r>
              <w:rPr>
                <w:rFonts w:ascii="Segoe UI Symbol" w:hAnsi="Segoe UI Symbol"/>
                <w:b/>
                <w:color w:val="46894A"/>
                <w:spacing w:val="-10"/>
                <w:sz w:val="24"/>
              </w:rPr>
              <w:t>✓</w:t>
            </w:r>
          </w:p>
        </w:tc>
      </w:tr>
      <w:tr>
        <w:trPr>
          <w:trHeight w:val="289"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12" w:space="0" w:color="002D5D"/>
              <w:right w:val="single" w:sz="4" w:space="0" w:color="000000"/>
            </w:tcBorders>
          </w:tcPr>
          <w:p>
            <w:pPr>
              <w:pStyle w:val="TableParagraph"/>
              <w:spacing w:before="37"/>
              <w:ind w:left="64"/>
              <w:rPr>
                <w:sz w:val="18"/>
              </w:rPr>
            </w:pPr>
            <w:r>
              <w:rPr>
                <w:sz w:val="18"/>
              </w:rPr>
              <w:t>Informes</w:t>
            </w:r>
            <w:r>
              <w:rPr>
                <w:spacing w:val="-3"/>
                <w:sz w:val="18"/>
              </w:rPr>
              <w:t> </w:t>
            </w:r>
            <w:r>
              <w:rPr>
                <w:sz w:val="18"/>
              </w:rPr>
              <w:t>de</w:t>
            </w:r>
            <w:r>
              <w:rPr>
                <w:spacing w:val="-3"/>
                <w:sz w:val="18"/>
              </w:rPr>
              <w:t> </w:t>
            </w:r>
            <w:r>
              <w:rPr>
                <w:spacing w:val="-2"/>
                <w:sz w:val="18"/>
              </w:rPr>
              <w:t>seguimiento</w:t>
            </w:r>
          </w:p>
        </w:tc>
        <w:tc>
          <w:tcPr>
            <w:tcW w:w="886" w:type="dxa"/>
            <w:tcBorders>
              <w:top w:val="single" w:sz="4" w:space="0" w:color="002D5D"/>
              <w:left w:val="single" w:sz="4" w:space="0" w:color="000000"/>
              <w:bottom w:val="single" w:sz="12" w:space="0" w:color="002D5D"/>
              <w:right w:val="single" w:sz="4" w:space="0" w:color="002D5D"/>
            </w:tcBorders>
          </w:tcPr>
          <w:p>
            <w:pPr>
              <w:pStyle w:val="TableParagraph"/>
              <w:spacing w:line="269" w:lineRule="exact"/>
              <w:ind w:left="8" w:right="3"/>
              <w:jc w:val="center"/>
              <w:rPr>
                <w:rFonts w:ascii="Bradley Hand ITC"/>
                <w:b/>
                <w:sz w:val="28"/>
              </w:rPr>
            </w:pPr>
            <w:r>
              <w:rPr>
                <w:rFonts w:ascii="Bradley Hand ITC"/>
                <w:b/>
                <w:color w:val="FF0000"/>
                <w:spacing w:val="-10"/>
                <w:sz w:val="28"/>
              </w:rPr>
              <w:t>X</w:t>
            </w:r>
          </w:p>
        </w:tc>
        <w:tc>
          <w:tcPr>
            <w:tcW w:w="888"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2" w:right="50"/>
              <w:jc w:val="center"/>
              <w:rPr>
                <w:rFonts w:ascii="Bradley Hand ITC"/>
                <w:b/>
                <w:sz w:val="28"/>
              </w:rPr>
            </w:pPr>
            <w:r>
              <w:rPr>
                <w:rFonts w:ascii="Bradley Hand ITC"/>
                <w:b/>
                <w:color w:val="FF0000"/>
                <w:spacing w:val="-10"/>
                <w:sz w:val="28"/>
              </w:rPr>
              <w:t>X</w:t>
            </w:r>
          </w:p>
        </w:tc>
        <w:tc>
          <w:tcPr>
            <w:tcW w:w="889"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5" w:right="3"/>
              <w:jc w:val="center"/>
              <w:rPr>
                <w:rFonts w:ascii="Bradley Hand ITC"/>
                <w:b/>
                <w:sz w:val="28"/>
              </w:rPr>
            </w:pPr>
            <w:r>
              <w:rPr>
                <w:rFonts w:ascii="Bradley Hand ITC"/>
                <w:b/>
                <w:color w:val="FF0000"/>
                <w:spacing w:val="-10"/>
                <w:sz w:val="28"/>
              </w:rPr>
              <w:t>X</w:t>
            </w:r>
          </w:p>
        </w:tc>
        <w:tc>
          <w:tcPr>
            <w:tcW w:w="886"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8" w:right="5"/>
              <w:jc w:val="center"/>
              <w:rPr>
                <w:rFonts w:ascii="Bradley Hand ITC"/>
                <w:b/>
                <w:sz w:val="28"/>
              </w:rPr>
            </w:pPr>
            <w:r>
              <w:rPr>
                <w:rFonts w:ascii="Bradley Hand ITC"/>
                <w:b/>
                <w:color w:val="FF0000"/>
                <w:spacing w:val="-10"/>
                <w:sz w:val="28"/>
              </w:rPr>
              <w:t>X</w:t>
            </w:r>
          </w:p>
        </w:tc>
      </w:tr>
      <w:tr>
        <w:trPr>
          <w:trHeight w:val="274" w:hRule="atLeast"/>
        </w:trPr>
        <w:tc>
          <w:tcPr>
            <w:tcW w:w="1383" w:type="dxa"/>
            <w:vMerge w:val="restart"/>
            <w:tcBorders>
              <w:top w:val="single" w:sz="12" w:space="0" w:color="002D5D"/>
              <w:left w:val="single" w:sz="4" w:space="0" w:color="000000"/>
              <w:bottom w:val="single" w:sz="12" w:space="0" w:color="002D5D"/>
              <w:right w:val="single" w:sz="4" w:space="0" w:color="000000"/>
            </w:tcBorders>
          </w:tcPr>
          <w:p>
            <w:pPr>
              <w:pStyle w:val="TableParagraph"/>
              <w:spacing w:before="142"/>
              <w:rPr>
                <w:rFonts w:ascii="Arial"/>
                <w:b/>
                <w:sz w:val="18"/>
              </w:rPr>
            </w:pPr>
          </w:p>
          <w:p>
            <w:pPr>
              <w:pStyle w:val="TableParagraph"/>
              <w:ind w:left="69"/>
              <w:rPr>
                <w:b/>
                <w:sz w:val="18"/>
              </w:rPr>
            </w:pPr>
            <w:r>
              <w:rPr>
                <w:b/>
                <w:spacing w:val="-2"/>
                <w:sz w:val="18"/>
              </w:rPr>
              <w:t>MÁLAGA</w:t>
            </w:r>
          </w:p>
        </w:tc>
        <w:tc>
          <w:tcPr>
            <w:tcW w:w="1880" w:type="dxa"/>
            <w:tcBorders>
              <w:top w:val="single" w:sz="12" w:space="0" w:color="002D5D"/>
              <w:left w:val="single" w:sz="4" w:space="0" w:color="000000"/>
              <w:bottom w:val="single" w:sz="6" w:space="0" w:color="002D5D"/>
              <w:right w:val="single" w:sz="4" w:space="0" w:color="000000"/>
            </w:tcBorders>
          </w:tcPr>
          <w:p>
            <w:pPr>
              <w:pStyle w:val="TableParagraph"/>
              <w:spacing w:before="37"/>
              <w:ind w:left="64"/>
              <w:rPr>
                <w:sz w:val="18"/>
              </w:rPr>
            </w:pPr>
            <w:r>
              <w:rPr>
                <w:sz w:val="18"/>
              </w:rPr>
              <w:t>Comisión</w:t>
            </w:r>
            <w:r>
              <w:rPr>
                <w:spacing w:val="-4"/>
                <w:sz w:val="18"/>
              </w:rPr>
              <w:t> </w:t>
            </w:r>
            <w:r>
              <w:rPr>
                <w:sz w:val="18"/>
              </w:rPr>
              <w:t>de</w:t>
            </w:r>
            <w:r>
              <w:rPr>
                <w:spacing w:val="-3"/>
                <w:sz w:val="18"/>
              </w:rPr>
              <w:t> </w:t>
            </w:r>
            <w:r>
              <w:rPr>
                <w:spacing w:val="-2"/>
                <w:sz w:val="18"/>
              </w:rPr>
              <w:t>seguimiento</w:t>
            </w:r>
          </w:p>
        </w:tc>
        <w:tc>
          <w:tcPr>
            <w:tcW w:w="886" w:type="dxa"/>
            <w:tcBorders>
              <w:top w:val="single" w:sz="12" w:space="0" w:color="002D5D"/>
              <w:left w:val="single" w:sz="4" w:space="0" w:color="000000"/>
              <w:bottom w:val="single" w:sz="4" w:space="0" w:color="002D5D"/>
              <w:right w:val="single" w:sz="4" w:space="0" w:color="002D5D"/>
            </w:tcBorders>
          </w:tcPr>
          <w:p>
            <w:pPr>
              <w:pStyle w:val="TableParagraph"/>
              <w:spacing w:line="255"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2" w:right="50"/>
              <w:jc w:val="center"/>
              <w:rPr>
                <w:rFonts w:ascii="Bradley Hand ITC"/>
                <w:b/>
                <w:sz w:val="28"/>
              </w:rPr>
            </w:pPr>
            <w:r>
              <w:rPr>
                <w:rFonts w:ascii="Bradley Hand ITC"/>
                <w:b/>
                <w:color w:val="FF0000"/>
                <w:spacing w:val="-10"/>
                <w:sz w:val="28"/>
              </w:rPr>
              <w:t>X</w:t>
            </w:r>
          </w:p>
        </w:tc>
        <w:tc>
          <w:tcPr>
            <w:tcW w:w="889"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5" w:right="3"/>
              <w:jc w:val="center"/>
              <w:rPr>
                <w:rFonts w:ascii="Bradley Hand ITC"/>
                <w:b/>
                <w:sz w:val="28"/>
              </w:rPr>
            </w:pPr>
            <w:r>
              <w:rPr>
                <w:rFonts w:ascii="Bradley Hand ITC"/>
                <w:b/>
                <w:color w:val="FF0000"/>
                <w:spacing w:val="-10"/>
                <w:sz w:val="28"/>
              </w:rPr>
              <w:t>X</w:t>
            </w:r>
          </w:p>
        </w:tc>
        <w:tc>
          <w:tcPr>
            <w:tcW w:w="886"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8" w:right="5"/>
              <w:jc w:val="center"/>
              <w:rPr>
                <w:rFonts w:ascii="Bradley Hand ITC"/>
                <w:b/>
                <w:sz w:val="28"/>
              </w:rPr>
            </w:pPr>
            <w:r>
              <w:rPr>
                <w:rFonts w:ascii="Bradley Hand ITC"/>
                <w:b/>
                <w:color w:val="FF0000"/>
                <w:spacing w:val="-10"/>
                <w:sz w:val="28"/>
              </w:rPr>
              <w:t>X</w:t>
            </w:r>
          </w:p>
        </w:tc>
      </w:tr>
      <w:tr>
        <w:trPr>
          <w:trHeight w:val="281"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6" w:space="0" w:color="002D5D"/>
              <w:right w:val="single" w:sz="4" w:space="0" w:color="000000"/>
            </w:tcBorders>
            <w:shd w:val="clear" w:color="auto" w:fill="F1F1F1"/>
          </w:tcPr>
          <w:p>
            <w:pPr>
              <w:pStyle w:val="TableParagraph"/>
              <w:spacing w:before="37"/>
              <w:ind w:left="64"/>
              <w:rPr>
                <w:sz w:val="18"/>
              </w:rPr>
            </w:pPr>
            <w:r>
              <w:rPr>
                <w:spacing w:val="-2"/>
                <w:sz w:val="18"/>
              </w:rPr>
              <w:t>Indicadores</w:t>
            </w:r>
          </w:p>
        </w:tc>
        <w:tc>
          <w:tcPr>
            <w:tcW w:w="886" w:type="dxa"/>
            <w:tcBorders>
              <w:top w:val="single" w:sz="4" w:space="0" w:color="002D5D"/>
              <w:left w:val="single" w:sz="4" w:space="0" w:color="000000"/>
              <w:bottom w:val="single" w:sz="4" w:space="0" w:color="002D5D"/>
              <w:right w:val="single" w:sz="4" w:space="0" w:color="002D5D"/>
            </w:tcBorders>
            <w:shd w:val="clear" w:color="auto" w:fill="F1F1F1"/>
          </w:tcPr>
          <w:p>
            <w:pPr>
              <w:pStyle w:val="TableParagraph"/>
              <w:spacing w:line="262"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5"/>
              <w:jc w:val="center"/>
              <w:rPr>
                <w:rFonts w:ascii="Segoe UI Symbol" w:hAnsi="Segoe UI Symbol"/>
                <w:b/>
                <w:sz w:val="24"/>
              </w:rPr>
            </w:pPr>
            <w:r>
              <w:rPr>
                <w:rFonts w:ascii="Segoe UI Symbol" w:hAnsi="Segoe UI Symbol"/>
                <w:b/>
                <w:color w:val="46894A"/>
                <w:spacing w:val="-10"/>
                <w:sz w:val="24"/>
              </w:rPr>
              <w:t>✓</w:t>
            </w:r>
          </w:p>
        </w:tc>
        <w:tc>
          <w:tcPr>
            <w:tcW w:w="886"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8" w:right="5"/>
              <w:jc w:val="center"/>
              <w:rPr>
                <w:rFonts w:ascii="Bradley Hand ITC"/>
                <w:b/>
                <w:sz w:val="28"/>
              </w:rPr>
            </w:pPr>
            <w:r>
              <w:rPr>
                <w:rFonts w:ascii="Bradley Hand ITC"/>
                <w:b/>
                <w:color w:val="FF0000"/>
                <w:spacing w:val="-10"/>
                <w:sz w:val="28"/>
              </w:rPr>
              <w:t>X</w:t>
            </w:r>
          </w:p>
        </w:tc>
      </w:tr>
      <w:tr>
        <w:trPr>
          <w:trHeight w:val="289"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12" w:space="0" w:color="002D5D"/>
              <w:right w:val="single" w:sz="4" w:space="0" w:color="000000"/>
            </w:tcBorders>
          </w:tcPr>
          <w:p>
            <w:pPr>
              <w:pStyle w:val="TableParagraph"/>
              <w:spacing w:before="37"/>
              <w:ind w:left="64"/>
              <w:rPr>
                <w:sz w:val="18"/>
              </w:rPr>
            </w:pPr>
            <w:r>
              <w:rPr>
                <w:sz w:val="18"/>
              </w:rPr>
              <w:t>Informes</w:t>
            </w:r>
            <w:r>
              <w:rPr>
                <w:spacing w:val="-3"/>
                <w:sz w:val="18"/>
              </w:rPr>
              <w:t> </w:t>
            </w:r>
            <w:r>
              <w:rPr>
                <w:sz w:val="18"/>
              </w:rPr>
              <w:t>de</w:t>
            </w:r>
            <w:r>
              <w:rPr>
                <w:spacing w:val="-3"/>
                <w:sz w:val="18"/>
              </w:rPr>
              <w:t> </w:t>
            </w:r>
            <w:r>
              <w:rPr>
                <w:spacing w:val="-2"/>
                <w:sz w:val="18"/>
              </w:rPr>
              <w:t>seguimiento</w:t>
            </w:r>
          </w:p>
        </w:tc>
        <w:tc>
          <w:tcPr>
            <w:tcW w:w="886" w:type="dxa"/>
            <w:tcBorders>
              <w:top w:val="single" w:sz="4" w:space="0" w:color="002D5D"/>
              <w:left w:val="single" w:sz="4" w:space="0" w:color="000000"/>
              <w:bottom w:val="single" w:sz="12" w:space="0" w:color="002D5D"/>
              <w:right w:val="single" w:sz="4" w:space="0" w:color="002D5D"/>
            </w:tcBorders>
          </w:tcPr>
          <w:p>
            <w:pPr>
              <w:pStyle w:val="TableParagraph"/>
              <w:spacing w:line="269"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2" w:right="50"/>
              <w:jc w:val="center"/>
              <w:rPr>
                <w:rFonts w:ascii="Bradley Hand ITC"/>
                <w:b/>
                <w:sz w:val="28"/>
              </w:rPr>
            </w:pPr>
            <w:r>
              <w:rPr>
                <w:rFonts w:ascii="Bradley Hand ITC"/>
                <w:b/>
                <w:color w:val="FF0000"/>
                <w:spacing w:val="-10"/>
                <w:sz w:val="28"/>
              </w:rPr>
              <w:t>X</w:t>
            </w:r>
          </w:p>
        </w:tc>
        <w:tc>
          <w:tcPr>
            <w:tcW w:w="889"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5" w:right="3"/>
              <w:jc w:val="center"/>
              <w:rPr>
                <w:rFonts w:ascii="Bradley Hand ITC"/>
                <w:b/>
                <w:sz w:val="28"/>
              </w:rPr>
            </w:pPr>
            <w:r>
              <w:rPr>
                <w:rFonts w:ascii="Bradley Hand ITC"/>
                <w:b/>
                <w:color w:val="FF0000"/>
                <w:spacing w:val="-10"/>
                <w:sz w:val="28"/>
              </w:rPr>
              <w:t>X</w:t>
            </w:r>
          </w:p>
        </w:tc>
        <w:tc>
          <w:tcPr>
            <w:tcW w:w="886"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8" w:right="2"/>
              <w:jc w:val="center"/>
              <w:rPr>
                <w:rFonts w:ascii="Segoe UI Symbol" w:hAnsi="Segoe UI Symbol"/>
                <w:b/>
                <w:sz w:val="24"/>
              </w:rPr>
            </w:pPr>
            <w:r>
              <w:rPr>
                <w:rFonts w:ascii="Segoe UI Symbol" w:hAnsi="Segoe UI Symbol"/>
                <w:b/>
                <w:color w:val="46894A"/>
                <w:spacing w:val="-10"/>
                <w:sz w:val="24"/>
              </w:rPr>
              <w:t>✓</w:t>
            </w:r>
          </w:p>
        </w:tc>
      </w:tr>
      <w:tr>
        <w:trPr>
          <w:trHeight w:val="274" w:hRule="atLeast"/>
        </w:trPr>
        <w:tc>
          <w:tcPr>
            <w:tcW w:w="1383" w:type="dxa"/>
            <w:vMerge w:val="restart"/>
            <w:tcBorders>
              <w:top w:val="single" w:sz="12" w:space="0" w:color="002D5D"/>
              <w:left w:val="single" w:sz="4" w:space="0" w:color="000000"/>
              <w:bottom w:val="single" w:sz="12" w:space="0" w:color="002D5D"/>
              <w:right w:val="single" w:sz="4" w:space="0" w:color="000000"/>
            </w:tcBorders>
          </w:tcPr>
          <w:p>
            <w:pPr>
              <w:pStyle w:val="TableParagraph"/>
              <w:spacing w:before="142"/>
              <w:rPr>
                <w:rFonts w:ascii="Arial"/>
                <w:b/>
                <w:sz w:val="18"/>
              </w:rPr>
            </w:pPr>
          </w:p>
          <w:p>
            <w:pPr>
              <w:pStyle w:val="TableParagraph"/>
              <w:ind w:left="69"/>
              <w:rPr>
                <w:b/>
                <w:sz w:val="18"/>
              </w:rPr>
            </w:pPr>
            <w:r>
              <w:rPr>
                <w:b/>
                <w:spacing w:val="-2"/>
                <w:sz w:val="18"/>
              </w:rPr>
              <w:t>MURCIA</w:t>
            </w:r>
          </w:p>
        </w:tc>
        <w:tc>
          <w:tcPr>
            <w:tcW w:w="1880" w:type="dxa"/>
            <w:tcBorders>
              <w:top w:val="single" w:sz="12" w:space="0" w:color="002D5D"/>
              <w:left w:val="single" w:sz="4" w:space="0" w:color="000000"/>
              <w:bottom w:val="single" w:sz="6" w:space="0" w:color="002D5D"/>
              <w:right w:val="single" w:sz="4" w:space="0" w:color="000000"/>
            </w:tcBorders>
          </w:tcPr>
          <w:p>
            <w:pPr>
              <w:pStyle w:val="TableParagraph"/>
              <w:spacing w:before="37"/>
              <w:ind w:left="64"/>
              <w:rPr>
                <w:sz w:val="18"/>
              </w:rPr>
            </w:pPr>
            <w:r>
              <w:rPr>
                <w:sz w:val="18"/>
              </w:rPr>
              <w:t>Comisión</w:t>
            </w:r>
            <w:r>
              <w:rPr>
                <w:spacing w:val="-4"/>
                <w:sz w:val="18"/>
              </w:rPr>
              <w:t> </w:t>
            </w:r>
            <w:r>
              <w:rPr>
                <w:sz w:val="18"/>
              </w:rPr>
              <w:t>de</w:t>
            </w:r>
            <w:r>
              <w:rPr>
                <w:spacing w:val="-3"/>
                <w:sz w:val="18"/>
              </w:rPr>
              <w:t> </w:t>
            </w:r>
            <w:r>
              <w:rPr>
                <w:spacing w:val="-2"/>
                <w:sz w:val="18"/>
              </w:rPr>
              <w:t>seguimiento</w:t>
            </w:r>
          </w:p>
        </w:tc>
        <w:tc>
          <w:tcPr>
            <w:tcW w:w="886" w:type="dxa"/>
            <w:tcBorders>
              <w:top w:val="single" w:sz="12" w:space="0" w:color="002D5D"/>
              <w:left w:val="single" w:sz="4" w:space="0" w:color="000000"/>
              <w:bottom w:val="single" w:sz="4" w:space="0" w:color="002D5D"/>
              <w:right w:val="single" w:sz="4" w:space="0" w:color="002D5D"/>
            </w:tcBorders>
          </w:tcPr>
          <w:p>
            <w:pPr>
              <w:pStyle w:val="TableParagraph"/>
              <w:spacing w:line="255" w:lineRule="exact"/>
              <w:ind w:left="8" w:right="3"/>
              <w:jc w:val="center"/>
              <w:rPr>
                <w:rFonts w:ascii="Bradley Hand ITC"/>
                <w:b/>
                <w:sz w:val="28"/>
              </w:rPr>
            </w:pPr>
            <w:r>
              <w:rPr>
                <w:rFonts w:ascii="Bradley Hand ITC"/>
                <w:b/>
                <w:color w:val="FF0000"/>
                <w:spacing w:val="-10"/>
                <w:sz w:val="28"/>
              </w:rPr>
              <w:t>X</w:t>
            </w:r>
          </w:p>
        </w:tc>
        <w:tc>
          <w:tcPr>
            <w:tcW w:w="888"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5"/>
              <w:jc w:val="center"/>
              <w:rPr>
                <w:rFonts w:ascii="Segoe UI Symbol" w:hAnsi="Segoe UI Symbol"/>
                <w:b/>
                <w:sz w:val="24"/>
              </w:rPr>
            </w:pPr>
            <w:r>
              <w:rPr>
                <w:rFonts w:ascii="Segoe UI Symbol" w:hAnsi="Segoe UI Symbol"/>
                <w:b/>
                <w:color w:val="46894A"/>
                <w:spacing w:val="-10"/>
                <w:sz w:val="24"/>
              </w:rPr>
              <w:t>✓</w:t>
            </w:r>
          </w:p>
        </w:tc>
        <w:tc>
          <w:tcPr>
            <w:tcW w:w="886"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8" w:right="2"/>
              <w:jc w:val="center"/>
              <w:rPr>
                <w:rFonts w:ascii="Segoe UI Symbol" w:hAnsi="Segoe UI Symbol"/>
                <w:b/>
                <w:sz w:val="24"/>
              </w:rPr>
            </w:pPr>
            <w:r>
              <w:rPr>
                <w:rFonts w:ascii="Segoe UI Symbol" w:hAnsi="Segoe UI Symbol"/>
                <w:b/>
                <w:color w:val="46894A"/>
                <w:spacing w:val="-10"/>
                <w:sz w:val="24"/>
              </w:rPr>
              <w:t>✓</w:t>
            </w:r>
          </w:p>
        </w:tc>
      </w:tr>
      <w:tr>
        <w:trPr>
          <w:trHeight w:val="282"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6" w:space="0" w:color="002D5D"/>
              <w:right w:val="single" w:sz="4" w:space="0" w:color="000000"/>
            </w:tcBorders>
            <w:shd w:val="clear" w:color="auto" w:fill="F1F1F1"/>
          </w:tcPr>
          <w:p>
            <w:pPr>
              <w:pStyle w:val="TableParagraph"/>
              <w:spacing w:before="37"/>
              <w:ind w:left="64"/>
              <w:rPr>
                <w:sz w:val="18"/>
              </w:rPr>
            </w:pPr>
            <w:r>
              <w:rPr>
                <w:spacing w:val="-2"/>
                <w:sz w:val="18"/>
              </w:rPr>
              <w:t>Indicadores</w:t>
            </w:r>
          </w:p>
        </w:tc>
        <w:tc>
          <w:tcPr>
            <w:tcW w:w="886" w:type="dxa"/>
            <w:tcBorders>
              <w:top w:val="single" w:sz="4" w:space="0" w:color="002D5D"/>
              <w:left w:val="single" w:sz="4" w:space="0" w:color="000000"/>
              <w:bottom w:val="single" w:sz="4" w:space="0" w:color="002D5D"/>
              <w:right w:val="single" w:sz="4" w:space="0" w:color="002D5D"/>
            </w:tcBorders>
            <w:shd w:val="clear" w:color="auto" w:fill="F1F1F1"/>
          </w:tcPr>
          <w:p>
            <w:pPr>
              <w:pStyle w:val="TableParagraph"/>
              <w:spacing w:line="262"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5"/>
              <w:jc w:val="center"/>
              <w:rPr>
                <w:rFonts w:ascii="Segoe UI Symbol" w:hAnsi="Segoe UI Symbol"/>
                <w:b/>
                <w:sz w:val="24"/>
              </w:rPr>
            </w:pPr>
            <w:r>
              <w:rPr>
                <w:rFonts w:ascii="Segoe UI Symbol" w:hAnsi="Segoe UI Symbol"/>
                <w:b/>
                <w:color w:val="46894A"/>
                <w:spacing w:val="-10"/>
                <w:sz w:val="24"/>
              </w:rPr>
              <w:t>✓</w:t>
            </w:r>
          </w:p>
        </w:tc>
        <w:tc>
          <w:tcPr>
            <w:tcW w:w="886"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8" w:right="2"/>
              <w:jc w:val="center"/>
              <w:rPr>
                <w:rFonts w:ascii="Segoe UI Symbol" w:hAnsi="Segoe UI Symbol"/>
                <w:b/>
                <w:sz w:val="24"/>
              </w:rPr>
            </w:pPr>
            <w:r>
              <w:rPr>
                <w:rFonts w:ascii="Segoe UI Symbol" w:hAnsi="Segoe UI Symbol"/>
                <w:b/>
                <w:color w:val="46894A"/>
                <w:spacing w:val="-10"/>
                <w:sz w:val="24"/>
              </w:rPr>
              <w:t>✓</w:t>
            </w:r>
          </w:p>
        </w:tc>
      </w:tr>
      <w:tr>
        <w:trPr>
          <w:trHeight w:val="289"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12" w:space="0" w:color="002D5D"/>
              <w:right w:val="single" w:sz="4" w:space="0" w:color="000000"/>
            </w:tcBorders>
          </w:tcPr>
          <w:p>
            <w:pPr>
              <w:pStyle w:val="TableParagraph"/>
              <w:spacing w:before="37"/>
              <w:ind w:left="64"/>
              <w:rPr>
                <w:sz w:val="18"/>
              </w:rPr>
            </w:pPr>
            <w:r>
              <w:rPr>
                <w:sz w:val="18"/>
              </w:rPr>
              <w:t>Informes</w:t>
            </w:r>
            <w:r>
              <w:rPr>
                <w:spacing w:val="-3"/>
                <w:sz w:val="18"/>
              </w:rPr>
              <w:t> </w:t>
            </w:r>
            <w:r>
              <w:rPr>
                <w:sz w:val="18"/>
              </w:rPr>
              <w:t>de</w:t>
            </w:r>
            <w:r>
              <w:rPr>
                <w:spacing w:val="-3"/>
                <w:sz w:val="18"/>
              </w:rPr>
              <w:t> </w:t>
            </w:r>
            <w:r>
              <w:rPr>
                <w:spacing w:val="-2"/>
                <w:sz w:val="18"/>
              </w:rPr>
              <w:t>seguimiento</w:t>
            </w:r>
          </w:p>
        </w:tc>
        <w:tc>
          <w:tcPr>
            <w:tcW w:w="886" w:type="dxa"/>
            <w:tcBorders>
              <w:top w:val="single" w:sz="4" w:space="0" w:color="002D5D"/>
              <w:left w:val="single" w:sz="4" w:space="0" w:color="000000"/>
              <w:bottom w:val="single" w:sz="12" w:space="0" w:color="002D5D"/>
              <w:right w:val="single" w:sz="4" w:space="0" w:color="002D5D"/>
            </w:tcBorders>
          </w:tcPr>
          <w:p>
            <w:pPr>
              <w:pStyle w:val="TableParagraph"/>
              <w:spacing w:line="269" w:lineRule="exact"/>
              <w:ind w:left="8" w:right="3"/>
              <w:jc w:val="center"/>
              <w:rPr>
                <w:rFonts w:ascii="Bradley Hand ITC"/>
                <w:b/>
                <w:sz w:val="28"/>
              </w:rPr>
            </w:pPr>
            <w:r>
              <w:rPr>
                <w:rFonts w:ascii="Bradley Hand ITC"/>
                <w:b/>
                <w:color w:val="FF0000"/>
                <w:spacing w:val="-10"/>
                <w:sz w:val="28"/>
              </w:rPr>
              <w:t>X</w:t>
            </w:r>
          </w:p>
        </w:tc>
        <w:tc>
          <w:tcPr>
            <w:tcW w:w="888"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5" w:right="3"/>
              <w:jc w:val="center"/>
              <w:rPr>
                <w:rFonts w:ascii="Bradley Hand ITC"/>
                <w:b/>
                <w:sz w:val="28"/>
              </w:rPr>
            </w:pPr>
            <w:r>
              <w:rPr>
                <w:rFonts w:ascii="Bradley Hand ITC"/>
                <w:b/>
                <w:color w:val="FF0000"/>
                <w:spacing w:val="-10"/>
                <w:sz w:val="28"/>
              </w:rPr>
              <w:t>X</w:t>
            </w:r>
          </w:p>
        </w:tc>
        <w:tc>
          <w:tcPr>
            <w:tcW w:w="886"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8" w:right="5"/>
              <w:jc w:val="center"/>
              <w:rPr>
                <w:rFonts w:ascii="Bradley Hand ITC"/>
                <w:b/>
                <w:sz w:val="28"/>
              </w:rPr>
            </w:pPr>
            <w:r>
              <w:rPr>
                <w:rFonts w:ascii="Bradley Hand ITC"/>
                <w:b/>
                <w:color w:val="FF0000"/>
                <w:spacing w:val="-10"/>
                <w:sz w:val="28"/>
              </w:rPr>
              <w:t>X</w:t>
            </w:r>
          </w:p>
        </w:tc>
      </w:tr>
      <w:tr>
        <w:trPr>
          <w:trHeight w:val="274" w:hRule="atLeast"/>
        </w:trPr>
        <w:tc>
          <w:tcPr>
            <w:tcW w:w="1383" w:type="dxa"/>
            <w:vMerge w:val="restart"/>
            <w:tcBorders>
              <w:top w:val="single" w:sz="12" w:space="0" w:color="002D5D"/>
              <w:left w:val="single" w:sz="4" w:space="0" w:color="000000"/>
              <w:bottom w:val="single" w:sz="12" w:space="0" w:color="002D5D"/>
              <w:right w:val="single" w:sz="4" w:space="0" w:color="000000"/>
            </w:tcBorders>
          </w:tcPr>
          <w:p>
            <w:pPr>
              <w:pStyle w:val="TableParagraph"/>
              <w:spacing w:before="142"/>
              <w:rPr>
                <w:rFonts w:ascii="Arial"/>
                <w:b/>
                <w:sz w:val="18"/>
              </w:rPr>
            </w:pPr>
          </w:p>
          <w:p>
            <w:pPr>
              <w:pStyle w:val="TableParagraph"/>
              <w:ind w:left="69"/>
              <w:rPr>
                <w:b/>
                <w:sz w:val="18"/>
              </w:rPr>
            </w:pPr>
            <w:r>
              <w:rPr>
                <w:b/>
                <w:spacing w:val="-2"/>
                <w:sz w:val="18"/>
              </w:rPr>
              <w:t>PALMA</w:t>
            </w:r>
          </w:p>
        </w:tc>
        <w:tc>
          <w:tcPr>
            <w:tcW w:w="1880" w:type="dxa"/>
            <w:tcBorders>
              <w:top w:val="single" w:sz="12" w:space="0" w:color="002D5D"/>
              <w:left w:val="single" w:sz="4" w:space="0" w:color="000000"/>
              <w:bottom w:val="single" w:sz="6" w:space="0" w:color="002D5D"/>
              <w:right w:val="single" w:sz="4" w:space="0" w:color="000000"/>
            </w:tcBorders>
          </w:tcPr>
          <w:p>
            <w:pPr>
              <w:pStyle w:val="TableParagraph"/>
              <w:spacing w:before="37"/>
              <w:ind w:left="64"/>
              <w:rPr>
                <w:sz w:val="18"/>
              </w:rPr>
            </w:pPr>
            <w:r>
              <w:rPr>
                <w:sz w:val="18"/>
              </w:rPr>
              <w:t>Comisión</w:t>
            </w:r>
            <w:r>
              <w:rPr>
                <w:spacing w:val="-4"/>
                <w:sz w:val="18"/>
              </w:rPr>
              <w:t> </w:t>
            </w:r>
            <w:r>
              <w:rPr>
                <w:sz w:val="18"/>
              </w:rPr>
              <w:t>de</w:t>
            </w:r>
            <w:r>
              <w:rPr>
                <w:spacing w:val="-3"/>
                <w:sz w:val="18"/>
              </w:rPr>
              <w:t> </w:t>
            </w:r>
            <w:r>
              <w:rPr>
                <w:spacing w:val="-2"/>
                <w:sz w:val="18"/>
              </w:rPr>
              <w:t>seguimiento</w:t>
            </w:r>
          </w:p>
        </w:tc>
        <w:tc>
          <w:tcPr>
            <w:tcW w:w="886" w:type="dxa"/>
            <w:tcBorders>
              <w:top w:val="single" w:sz="12" w:space="0" w:color="002D5D"/>
              <w:left w:val="single" w:sz="4" w:space="0" w:color="000000"/>
              <w:bottom w:val="single" w:sz="4" w:space="0" w:color="002D5D"/>
              <w:right w:val="single" w:sz="4" w:space="0" w:color="002D5D"/>
            </w:tcBorders>
          </w:tcPr>
          <w:p>
            <w:pPr>
              <w:pStyle w:val="TableParagraph"/>
              <w:spacing w:line="255" w:lineRule="exact"/>
              <w:ind w:left="8" w:right="3"/>
              <w:jc w:val="center"/>
              <w:rPr>
                <w:rFonts w:ascii="Bradley Hand ITC"/>
                <w:b/>
                <w:sz w:val="28"/>
              </w:rPr>
            </w:pPr>
            <w:r>
              <w:rPr>
                <w:rFonts w:ascii="Bradley Hand ITC"/>
                <w:b/>
                <w:color w:val="FF0000"/>
                <w:spacing w:val="-10"/>
                <w:sz w:val="28"/>
              </w:rPr>
              <w:t>X</w:t>
            </w:r>
          </w:p>
        </w:tc>
        <w:tc>
          <w:tcPr>
            <w:tcW w:w="888"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2" w:right="50"/>
              <w:jc w:val="center"/>
              <w:rPr>
                <w:rFonts w:ascii="Bradley Hand ITC"/>
                <w:b/>
                <w:sz w:val="28"/>
              </w:rPr>
            </w:pPr>
            <w:r>
              <w:rPr>
                <w:rFonts w:ascii="Bradley Hand ITC"/>
                <w:b/>
                <w:color w:val="FF0000"/>
                <w:spacing w:val="-10"/>
                <w:sz w:val="28"/>
              </w:rPr>
              <w:t>X</w:t>
            </w:r>
          </w:p>
        </w:tc>
        <w:tc>
          <w:tcPr>
            <w:tcW w:w="889"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5" w:right="3"/>
              <w:jc w:val="center"/>
              <w:rPr>
                <w:rFonts w:ascii="Bradley Hand ITC"/>
                <w:b/>
                <w:sz w:val="28"/>
              </w:rPr>
            </w:pPr>
            <w:r>
              <w:rPr>
                <w:rFonts w:ascii="Bradley Hand ITC"/>
                <w:b/>
                <w:color w:val="FF0000"/>
                <w:spacing w:val="-10"/>
                <w:sz w:val="28"/>
              </w:rPr>
              <w:t>X</w:t>
            </w:r>
          </w:p>
        </w:tc>
        <w:tc>
          <w:tcPr>
            <w:tcW w:w="886"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8" w:right="5"/>
              <w:jc w:val="center"/>
              <w:rPr>
                <w:rFonts w:ascii="Bradley Hand ITC"/>
                <w:b/>
                <w:sz w:val="28"/>
              </w:rPr>
            </w:pPr>
            <w:r>
              <w:rPr>
                <w:rFonts w:ascii="Bradley Hand ITC"/>
                <w:b/>
                <w:color w:val="FF0000"/>
                <w:spacing w:val="-10"/>
                <w:sz w:val="28"/>
              </w:rPr>
              <w:t>X</w:t>
            </w:r>
          </w:p>
        </w:tc>
      </w:tr>
      <w:tr>
        <w:trPr>
          <w:trHeight w:val="281"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6" w:space="0" w:color="002D5D"/>
              <w:right w:val="single" w:sz="4" w:space="0" w:color="000000"/>
            </w:tcBorders>
            <w:shd w:val="clear" w:color="auto" w:fill="F1F1F1"/>
          </w:tcPr>
          <w:p>
            <w:pPr>
              <w:pStyle w:val="TableParagraph"/>
              <w:spacing w:before="37"/>
              <w:ind w:left="64"/>
              <w:rPr>
                <w:sz w:val="18"/>
              </w:rPr>
            </w:pPr>
            <w:r>
              <w:rPr>
                <w:spacing w:val="-2"/>
                <w:sz w:val="18"/>
              </w:rPr>
              <w:t>Indicadores</w:t>
            </w:r>
          </w:p>
        </w:tc>
        <w:tc>
          <w:tcPr>
            <w:tcW w:w="886" w:type="dxa"/>
            <w:tcBorders>
              <w:top w:val="single" w:sz="4" w:space="0" w:color="002D5D"/>
              <w:left w:val="single" w:sz="4" w:space="0" w:color="000000"/>
              <w:bottom w:val="single" w:sz="4" w:space="0" w:color="002D5D"/>
              <w:right w:val="single" w:sz="4" w:space="0" w:color="002D5D"/>
            </w:tcBorders>
            <w:shd w:val="clear" w:color="auto" w:fill="F1F1F1"/>
          </w:tcPr>
          <w:p>
            <w:pPr>
              <w:pStyle w:val="TableParagraph"/>
              <w:spacing w:line="262"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5" w:right="3"/>
              <w:jc w:val="center"/>
              <w:rPr>
                <w:rFonts w:ascii="Bradley Hand ITC"/>
                <w:b/>
                <w:sz w:val="28"/>
              </w:rPr>
            </w:pPr>
            <w:r>
              <w:rPr>
                <w:rFonts w:ascii="Bradley Hand ITC"/>
                <w:b/>
                <w:color w:val="FF0000"/>
                <w:spacing w:val="-10"/>
                <w:sz w:val="28"/>
              </w:rPr>
              <w:t>X</w:t>
            </w:r>
          </w:p>
        </w:tc>
        <w:tc>
          <w:tcPr>
            <w:tcW w:w="886"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8" w:right="5"/>
              <w:jc w:val="center"/>
              <w:rPr>
                <w:rFonts w:ascii="Bradley Hand ITC"/>
                <w:b/>
                <w:sz w:val="28"/>
              </w:rPr>
            </w:pPr>
            <w:r>
              <w:rPr>
                <w:rFonts w:ascii="Bradley Hand ITC"/>
                <w:b/>
                <w:color w:val="FF0000"/>
                <w:spacing w:val="-10"/>
                <w:sz w:val="28"/>
              </w:rPr>
              <w:t>X</w:t>
            </w:r>
          </w:p>
        </w:tc>
      </w:tr>
      <w:tr>
        <w:trPr>
          <w:trHeight w:val="289"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12" w:space="0" w:color="002D5D"/>
              <w:right w:val="single" w:sz="4" w:space="0" w:color="000000"/>
            </w:tcBorders>
          </w:tcPr>
          <w:p>
            <w:pPr>
              <w:pStyle w:val="TableParagraph"/>
              <w:spacing w:before="37"/>
              <w:ind w:left="64"/>
              <w:rPr>
                <w:sz w:val="18"/>
              </w:rPr>
            </w:pPr>
            <w:r>
              <w:rPr>
                <w:sz w:val="18"/>
              </w:rPr>
              <w:t>Informes</w:t>
            </w:r>
            <w:r>
              <w:rPr>
                <w:spacing w:val="-3"/>
                <w:sz w:val="18"/>
              </w:rPr>
              <w:t> </w:t>
            </w:r>
            <w:r>
              <w:rPr>
                <w:sz w:val="18"/>
              </w:rPr>
              <w:t>de</w:t>
            </w:r>
            <w:r>
              <w:rPr>
                <w:spacing w:val="-3"/>
                <w:sz w:val="18"/>
              </w:rPr>
              <w:t> </w:t>
            </w:r>
            <w:r>
              <w:rPr>
                <w:spacing w:val="-2"/>
                <w:sz w:val="18"/>
              </w:rPr>
              <w:t>seguimiento</w:t>
            </w:r>
          </w:p>
        </w:tc>
        <w:tc>
          <w:tcPr>
            <w:tcW w:w="886" w:type="dxa"/>
            <w:tcBorders>
              <w:top w:val="single" w:sz="4" w:space="0" w:color="002D5D"/>
              <w:left w:val="single" w:sz="4" w:space="0" w:color="000000"/>
              <w:bottom w:val="single" w:sz="12" w:space="0" w:color="002D5D"/>
              <w:right w:val="single" w:sz="4" w:space="0" w:color="002D5D"/>
            </w:tcBorders>
          </w:tcPr>
          <w:p>
            <w:pPr>
              <w:pStyle w:val="TableParagraph"/>
              <w:spacing w:line="269" w:lineRule="exact"/>
              <w:ind w:left="8" w:right="3"/>
              <w:jc w:val="center"/>
              <w:rPr>
                <w:rFonts w:ascii="Bradley Hand ITC"/>
                <w:b/>
                <w:sz w:val="28"/>
              </w:rPr>
            </w:pPr>
            <w:r>
              <w:rPr>
                <w:rFonts w:ascii="Bradley Hand ITC"/>
                <w:b/>
                <w:color w:val="FF0000"/>
                <w:spacing w:val="-10"/>
                <w:sz w:val="28"/>
              </w:rPr>
              <w:t>X</w:t>
            </w:r>
          </w:p>
        </w:tc>
        <w:tc>
          <w:tcPr>
            <w:tcW w:w="888"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2" w:right="50"/>
              <w:jc w:val="center"/>
              <w:rPr>
                <w:rFonts w:ascii="Bradley Hand ITC"/>
                <w:b/>
                <w:sz w:val="28"/>
              </w:rPr>
            </w:pPr>
            <w:r>
              <w:rPr>
                <w:rFonts w:ascii="Bradley Hand ITC"/>
                <w:b/>
                <w:color w:val="FF0000"/>
                <w:spacing w:val="-10"/>
                <w:sz w:val="28"/>
              </w:rPr>
              <w:t>X</w:t>
            </w:r>
          </w:p>
        </w:tc>
        <w:tc>
          <w:tcPr>
            <w:tcW w:w="889"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5" w:right="3"/>
              <w:jc w:val="center"/>
              <w:rPr>
                <w:rFonts w:ascii="Bradley Hand ITC"/>
                <w:b/>
                <w:sz w:val="28"/>
              </w:rPr>
            </w:pPr>
            <w:r>
              <w:rPr>
                <w:rFonts w:ascii="Bradley Hand ITC"/>
                <w:b/>
                <w:color w:val="FF0000"/>
                <w:spacing w:val="-10"/>
                <w:sz w:val="28"/>
              </w:rPr>
              <w:t>X</w:t>
            </w:r>
          </w:p>
        </w:tc>
        <w:tc>
          <w:tcPr>
            <w:tcW w:w="886"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8" w:right="5"/>
              <w:jc w:val="center"/>
              <w:rPr>
                <w:rFonts w:ascii="Bradley Hand ITC"/>
                <w:b/>
                <w:sz w:val="28"/>
              </w:rPr>
            </w:pPr>
            <w:r>
              <w:rPr>
                <w:rFonts w:ascii="Bradley Hand ITC"/>
                <w:b/>
                <w:color w:val="FF0000"/>
                <w:spacing w:val="-10"/>
                <w:sz w:val="28"/>
              </w:rPr>
              <w:t>X</w:t>
            </w:r>
          </w:p>
        </w:tc>
      </w:tr>
      <w:tr>
        <w:trPr>
          <w:trHeight w:val="274" w:hRule="atLeast"/>
        </w:trPr>
        <w:tc>
          <w:tcPr>
            <w:tcW w:w="1383" w:type="dxa"/>
            <w:vMerge w:val="restart"/>
            <w:tcBorders>
              <w:top w:val="single" w:sz="12" w:space="0" w:color="002D5D"/>
              <w:left w:val="single" w:sz="4" w:space="0" w:color="000000"/>
              <w:bottom w:val="single" w:sz="12" w:space="0" w:color="002D5D"/>
              <w:right w:val="single" w:sz="4" w:space="0" w:color="000000"/>
            </w:tcBorders>
          </w:tcPr>
          <w:p>
            <w:pPr>
              <w:pStyle w:val="TableParagraph"/>
              <w:spacing w:before="142"/>
              <w:rPr>
                <w:rFonts w:ascii="Arial"/>
                <w:b/>
                <w:sz w:val="18"/>
              </w:rPr>
            </w:pPr>
          </w:p>
          <w:p>
            <w:pPr>
              <w:pStyle w:val="TableParagraph"/>
              <w:ind w:left="69"/>
              <w:rPr>
                <w:b/>
                <w:sz w:val="18"/>
              </w:rPr>
            </w:pPr>
            <w:r>
              <w:rPr>
                <w:b/>
                <w:spacing w:val="-2"/>
                <w:sz w:val="18"/>
              </w:rPr>
              <w:t>SEVILLA</w:t>
            </w:r>
          </w:p>
        </w:tc>
        <w:tc>
          <w:tcPr>
            <w:tcW w:w="1880" w:type="dxa"/>
            <w:tcBorders>
              <w:top w:val="single" w:sz="12" w:space="0" w:color="002D5D"/>
              <w:left w:val="single" w:sz="4" w:space="0" w:color="000000"/>
              <w:bottom w:val="single" w:sz="6" w:space="0" w:color="002D5D"/>
              <w:right w:val="single" w:sz="4" w:space="0" w:color="000000"/>
            </w:tcBorders>
          </w:tcPr>
          <w:p>
            <w:pPr>
              <w:pStyle w:val="TableParagraph"/>
              <w:spacing w:before="37"/>
              <w:ind w:left="64"/>
              <w:rPr>
                <w:sz w:val="18"/>
              </w:rPr>
            </w:pPr>
            <w:r>
              <w:rPr>
                <w:sz w:val="18"/>
              </w:rPr>
              <w:t>Comisión</w:t>
            </w:r>
            <w:r>
              <w:rPr>
                <w:spacing w:val="-4"/>
                <w:sz w:val="18"/>
              </w:rPr>
              <w:t> </w:t>
            </w:r>
            <w:r>
              <w:rPr>
                <w:sz w:val="18"/>
              </w:rPr>
              <w:t>de</w:t>
            </w:r>
            <w:r>
              <w:rPr>
                <w:spacing w:val="-3"/>
                <w:sz w:val="18"/>
              </w:rPr>
              <w:t> </w:t>
            </w:r>
            <w:r>
              <w:rPr>
                <w:spacing w:val="-2"/>
                <w:sz w:val="18"/>
              </w:rPr>
              <w:t>seguimiento</w:t>
            </w:r>
          </w:p>
        </w:tc>
        <w:tc>
          <w:tcPr>
            <w:tcW w:w="886" w:type="dxa"/>
            <w:tcBorders>
              <w:top w:val="single" w:sz="12" w:space="0" w:color="002D5D"/>
              <w:left w:val="single" w:sz="4" w:space="0" w:color="000000"/>
              <w:bottom w:val="single" w:sz="4" w:space="0" w:color="002D5D"/>
              <w:right w:val="single" w:sz="4" w:space="0" w:color="002D5D"/>
            </w:tcBorders>
          </w:tcPr>
          <w:p>
            <w:pPr>
              <w:pStyle w:val="TableParagraph"/>
              <w:spacing w:line="255" w:lineRule="exact"/>
              <w:ind w:left="8" w:right="3"/>
              <w:jc w:val="center"/>
              <w:rPr>
                <w:rFonts w:ascii="Bradley Hand ITC"/>
                <w:b/>
                <w:sz w:val="28"/>
              </w:rPr>
            </w:pPr>
            <w:r>
              <w:rPr>
                <w:rFonts w:ascii="Bradley Hand ITC"/>
                <w:b/>
                <w:color w:val="FF0000"/>
                <w:spacing w:val="-10"/>
                <w:sz w:val="28"/>
              </w:rPr>
              <w:t>X</w:t>
            </w:r>
          </w:p>
        </w:tc>
        <w:tc>
          <w:tcPr>
            <w:tcW w:w="888"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5" w:right="3"/>
              <w:jc w:val="center"/>
              <w:rPr>
                <w:rFonts w:ascii="Bradley Hand ITC"/>
                <w:b/>
                <w:sz w:val="28"/>
              </w:rPr>
            </w:pPr>
            <w:r>
              <w:rPr>
                <w:rFonts w:ascii="Bradley Hand ITC"/>
                <w:b/>
                <w:color w:val="FF0000"/>
                <w:spacing w:val="-10"/>
                <w:sz w:val="28"/>
              </w:rPr>
              <w:t>X</w:t>
            </w:r>
          </w:p>
        </w:tc>
        <w:tc>
          <w:tcPr>
            <w:tcW w:w="886" w:type="dxa"/>
            <w:tcBorders>
              <w:top w:val="single" w:sz="12" w:space="0" w:color="002D5D"/>
              <w:left w:val="single" w:sz="4" w:space="0" w:color="002D5D"/>
              <w:bottom w:val="single" w:sz="4" w:space="0" w:color="002D5D"/>
              <w:right w:val="single" w:sz="4" w:space="0" w:color="002D5D"/>
            </w:tcBorders>
          </w:tcPr>
          <w:p>
            <w:pPr>
              <w:pStyle w:val="TableParagraph"/>
              <w:spacing w:line="255" w:lineRule="exact"/>
              <w:ind w:left="8" w:right="2"/>
              <w:jc w:val="center"/>
              <w:rPr>
                <w:rFonts w:ascii="Segoe UI Symbol" w:hAnsi="Segoe UI Symbol"/>
                <w:b/>
                <w:sz w:val="24"/>
              </w:rPr>
            </w:pPr>
            <w:r>
              <w:rPr>
                <w:rFonts w:ascii="Segoe UI Symbol" w:hAnsi="Segoe UI Symbol"/>
                <w:b/>
                <w:color w:val="46894A"/>
                <w:spacing w:val="-10"/>
                <w:sz w:val="24"/>
              </w:rPr>
              <w:t>✓</w:t>
            </w:r>
          </w:p>
        </w:tc>
      </w:tr>
      <w:tr>
        <w:trPr>
          <w:trHeight w:val="282"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6" w:space="0" w:color="002D5D"/>
              <w:right w:val="single" w:sz="4" w:space="0" w:color="000000"/>
            </w:tcBorders>
            <w:shd w:val="clear" w:color="auto" w:fill="F1F1F1"/>
          </w:tcPr>
          <w:p>
            <w:pPr>
              <w:pStyle w:val="TableParagraph"/>
              <w:spacing w:before="37"/>
              <w:ind w:left="64"/>
              <w:rPr>
                <w:sz w:val="18"/>
              </w:rPr>
            </w:pPr>
            <w:r>
              <w:rPr>
                <w:spacing w:val="-2"/>
                <w:sz w:val="18"/>
              </w:rPr>
              <w:t>Indicadores</w:t>
            </w:r>
          </w:p>
        </w:tc>
        <w:tc>
          <w:tcPr>
            <w:tcW w:w="886" w:type="dxa"/>
            <w:tcBorders>
              <w:top w:val="single" w:sz="4" w:space="0" w:color="002D5D"/>
              <w:left w:val="single" w:sz="4" w:space="0" w:color="000000"/>
              <w:bottom w:val="single" w:sz="4" w:space="0" w:color="002D5D"/>
              <w:right w:val="single" w:sz="4" w:space="0" w:color="002D5D"/>
            </w:tcBorders>
            <w:shd w:val="clear" w:color="auto" w:fill="F1F1F1"/>
          </w:tcPr>
          <w:p>
            <w:pPr>
              <w:pStyle w:val="TableParagraph"/>
              <w:spacing w:line="262" w:lineRule="exact"/>
              <w:ind w:left="8" w:right="3"/>
              <w:jc w:val="center"/>
              <w:rPr>
                <w:rFonts w:ascii="Bradley Hand ITC"/>
                <w:b/>
                <w:sz w:val="28"/>
              </w:rPr>
            </w:pPr>
            <w:r>
              <w:rPr>
                <w:rFonts w:ascii="Bradley Hand ITC"/>
                <w:b/>
                <w:color w:val="FF0000"/>
                <w:spacing w:val="-10"/>
                <w:sz w:val="28"/>
              </w:rPr>
              <w:t>X</w:t>
            </w:r>
          </w:p>
        </w:tc>
        <w:tc>
          <w:tcPr>
            <w:tcW w:w="888"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5" w:right="3"/>
              <w:jc w:val="center"/>
              <w:rPr>
                <w:rFonts w:ascii="Bradley Hand ITC"/>
                <w:b/>
                <w:sz w:val="28"/>
              </w:rPr>
            </w:pPr>
            <w:r>
              <w:rPr>
                <w:rFonts w:ascii="Bradley Hand ITC"/>
                <w:b/>
                <w:color w:val="FF0000"/>
                <w:spacing w:val="-10"/>
                <w:sz w:val="28"/>
              </w:rPr>
              <w:t>X</w:t>
            </w:r>
          </w:p>
        </w:tc>
        <w:tc>
          <w:tcPr>
            <w:tcW w:w="886"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62" w:lineRule="exact"/>
              <w:ind w:left="8" w:right="2"/>
              <w:jc w:val="center"/>
              <w:rPr>
                <w:rFonts w:ascii="Segoe UI Symbol" w:hAnsi="Segoe UI Symbol"/>
                <w:b/>
                <w:sz w:val="24"/>
              </w:rPr>
            </w:pPr>
            <w:r>
              <w:rPr>
                <w:rFonts w:ascii="Segoe UI Symbol" w:hAnsi="Segoe UI Symbol"/>
                <w:b/>
                <w:color w:val="46894A"/>
                <w:spacing w:val="-10"/>
                <w:sz w:val="24"/>
              </w:rPr>
              <w:t>✓</w:t>
            </w:r>
          </w:p>
        </w:tc>
      </w:tr>
      <w:tr>
        <w:trPr>
          <w:trHeight w:val="289" w:hRule="atLeast"/>
        </w:trPr>
        <w:tc>
          <w:tcPr>
            <w:tcW w:w="1383" w:type="dxa"/>
            <w:vMerge/>
            <w:tcBorders>
              <w:top w:val="nil"/>
              <w:left w:val="single" w:sz="4" w:space="0" w:color="000000"/>
              <w:bottom w:val="single" w:sz="12" w:space="0" w:color="002D5D"/>
              <w:right w:val="single" w:sz="4" w:space="0" w:color="000000"/>
            </w:tcBorders>
          </w:tcPr>
          <w:p>
            <w:pPr>
              <w:rPr>
                <w:sz w:val="2"/>
                <w:szCs w:val="2"/>
              </w:rPr>
            </w:pPr>
          </w:p>
        </w:tc>
        <w:tc>
          <w:tcPr>
            <w:tcW w:w="1880" w:type="dxa"/>
            <w:tcBorders>
              <w:top w:val="single" w:sz="6" w:space="0" w:color="002D5D"/>
              <w:left w:val="single" w:sz="4" w:space="0" w:color="000000"/>
              <w:bottom w:val="single" w:sz="12" w:space="0" w:color="002D5D"/>
              <w:right w:val="single" w:sz="4" w:space="0" w:color="000000"/>
            </w:tcBorders>
          </w:tcPr>
          <w:p>
            <w:pPr>
              <w:pStyle w:val="TableParagraph"/>
              <w:spacing w:before="37"/>
              <w:ind w:left="64"/>
              <w:rPr>
                <w:sz w:val="18"/>
              </w:rPr>
            </w:pPr>
            <w:r>
              <w:rPr>
                <w:sz w:val="18"/>
              </w:rPr>
              <w:t>Informes</w:t>
            </w:r>
            <w:r>
              <w:rPr>
                <w:spacing w:val="-3"/>
                <w:sz w:val="18"/>
              </w:rPr>
              <w:t> </w:t>
            </w:r>
            <w:r>
              <w:rPr>
                <w:sz w:val="18"/>
              </w:rPr>
              <w:t>de</w:t>
            </w:r>
            <w:r>
              <w:rPr>
                <w:spacing w:val="-3"/>
                <w:sz w:val="18"/>
              </w:rPr>
              <w:t> </w:t>
            </w:r>
            <w:r>
              <w:rPr>
                <w:spacing w:val="-2"/>
                <w:sz w:val="18"/>
              </w:rPr>
              <w:t>seguimiento</w:t>
            </w:r>
          </w:p>
        </w:tc>
        <w:tc>
          <w:tcPr>
            <w:tcW w:w="886" w:type="dxa"/>
            <w:tcBorders>
              <w:top w:val="single" w:sz="4" w:space="0" w:color="002D5D"/>
              <w:left w:val="single" w:sz="4" w:space="0" w:color="000000"/>
              <w:bottom w:val="single" w:sz="12" w:space="0" w:color="002D5D"/>
              <w:right w:val="single" w:sz="4" w:space="0" w:color="002D5D"/>
            </w:tcBorders>
          </w:tcPr>
          <w:p>
            <w:pPr>
              <w:pStyle w:val="TableParagraph"/>
              <w:spacing w:line="269" w:lineRule="exact"/>
              <w:ind w:left="8" w:right="3"/>
              <w:jc w:val="center"/>
              <w:rPr>
                <w:rFonts w:ascii="Bradley Hand ITC"/>
                <w:b/>
                <w:sz w:val="28"/>
              </w:rPr>
            </w:pPr>
            <w:r>
              <w:rPr>
                <w:rFonts w:ascii="Bradley Hand ITC"/>
                <w:b/>
                <w:color w:val="FF0000"/>
                <w:spacing w:val="-10"/>
                <w:sz w:val="28"/>
              </w:rPr>
              <w:t>X</w:t>
            </w:r>
          </w:p>
        </w:tc>
        <w:tc>
          <w:tcPr>
            <w:tcW w:w="888"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5" w:right="3"/>
              <w:jc w:val="center"/>
              <w:rPr>
                <w:rFonts w:ascii="Bradley Hand ITC"/>
                <w:b/>
                <w:sz w:val="28"/>
              </w:rPr>
            </w:pPr>
            <w:r>
              <w:rPr>
                <w:rFonts w:ascii="Bradley Hand ITC"/>
                <w:b/>
                <w:color w:val="FF0000"/>
                <w:spacing w:val="-10"/>
                <w:sz w:val="28"/>
              </w:rPr>
              <w:t>X</w:t>
            </w:r>
          </w:p>
        </w:tc>
        <w:tc>
          <w:tcPr>
            <w:tcW w:w="886" w:type="dxa"/>
            <w:tcBorders>
              <w:top w:val="single" w:sz="4" w:space="0" w:color="002D5D"/>
              <w:left w:val="single" w:sz="4" w:space="0" w:color="002D5D"/>
              <w:bottom w:val="single" w:sz="12" w:space="0" w:color="002D5D"/>
              <w:right w:val="single" w:sz="4" w:space="0" w:color="002D5D"/>
            </w:tcBorders>
          </w:tcPr>
          <w:p>
            <w:pPr>
              <w:pStyle w:val="TableParagraph"/>
              <w:spacing w:line="269" w:lineRule="exact"/>
              <w:ind w:left="8" w:right="2"/>
              <w:jc w:val="center"/>
              <w:rPr>
                <w:rFonts w:ascii="Segoe UI Symbol" w:hAnsi="Segoe UI Symbol"/>
                <w:b/>
                <w:sz w:val="24"/>
              </w:rPr>
            </w:pPr>
            <w:r>
              <w:rPr>
                <w:rFonts w:ascii="Segoe UI Symbol" w:hAnsi="Segoe UI Symbol"/>
                <w:b/>
                <w:color w:val="46894A"/>
                <w:spacing w:val="-10"/>
                <w:sz w:val="24"/>
              </w:rPr>
              <w:t>✓</w:t>
            </w:r>
          </w:p>
        </w:tc>
      </w:tr>
      <w:tr>
        <w:trPr>
          <w:trHeight w:val="282" w:hRule="atLeast"/>
        </w:trPr>
        <w:tc>
          <w:tcPr>
            <w:tcW w:w="1383" w:type="dxa"/>
            <w:vMerge w:val="restart"/>
            <w:tcBorders>
              <w:top w:val="single" w:sz="12" w:space="0" w:color="002D5D"/>
              <w:left w:val="single" w:sz="4" w:space="0" w:color="000000"/>
              <w:bottom w:val="single" w:sz="4" w:space="0" w:color="000000"/>
              <w:right w:val="single" w:sz="4" w:space="0" w:color="000000"/>
            </w:tcBorders>
          </w:tcPr>
          <w:p>
            <w:pPr>
              <w:pStyle w:val="TableParagraph"/>
              <w:spacing w:before="142"/>
              <w:rPr>
                <w:rFonts w:ascii="Arial"/>
                <w:b/>
                <w:sz w:val="18"/>
              </w:rPr>
            </w:pPr>
          </w:p>
          <w:p>
            <w:pPr>
              <w:pStyle w:val="TableParagraph"/>
              <w:ind w:left="69"/>
              <w:rPr>
                <w:b/>
                <w:sz w:val="18"/>
              </w:rPr>
            </w:pPr>
            <w:r>
              <w:rPr>
                <w:b/>
                <w:spacing w:val="-2"/>
                <w:sz w:val="18"/>
              </w:rPr>
              <w:t>ZARAGOZA</w:t>
            </w:r>
          </w:p>
        </w:tc>
        <w:tc>
          <w:tcPr>
            <w:tcW w:w="1880" w:type="dxa"/>
            <w:tcBorders>
              <w:top w:val="single" w:sz="12" w:space="0" w:color="002D5D"/>
              <w:left w:val="single" w:sz="4" w:space="0" w:color="000000"/>
              <w:bottom w:val="single" w:sz="6" w:space="0" w:color="002D5D"/>
              <w:right w:val="single" w:sz="4" w:space="0" w:color="000000"/>
            </w:tcBorders>
          </w:tcPr>
          <w:p>
            <w:pPr>
              <w:pStyle w:val="TableParagraph"/>
              <w:spacing w:before="37"/>
              <w:ind w:left="64"/>
              <w:rPr>
                <w:sz w:val="18"/>
              </w:rPr>
            </w:pPr>
            <w:r>
              <w:rPr>
                <w:sz w:val="18"/>
              </w:rPr>
              <w:t>Comisión</w:t>
            </w:r>
            <w:r>
              <w:rPr>
                <w:spacing w:val="-4"/>
                <w:sz w:val="18"/>
              </w:rPr>
              <w:t> </w:t>
            </w:r>
            <w:r>
              <w:rPr>
                <w:sz w:val="18"/>
              </w:rPr>
              <w:t>de</w:t>
            </w:r>
            <w:r>
              <w:rPr>
                <w:spacing w:val="-3"/>
                <w:sz w:val="18"/>
              </w:rPr>
              <w:t> </w:t>
            </w:r>
            <w:r>
              <w:rPr>
                <w:spacing w:val="-2"/>
                <w:sz w:val="18"/>
              </w:rPr>
              <w:t>seguimiento</w:t>
            </w:r>
          </w:p>
        </w:tc>
        <w:tc>
          <w:tcPr>
            <w:tcW w:w="886" w:type="dxa"/>
            <w:tcBorders>
              <w:top w:val="single" w:sz="12" w:space="0" w:color="002D5D"/>
              <w:left w:val="single" w:sz="4" w:space="0" w:color="000000"/>
              <w:bottom w:val="single" w:sz="4" w:space="0" w:color="002D5D"/>
              <w:right w:val="single" w:sz="4" w:space="0" w:color="002D5D"/>
            </w:tcBorders>
          </w:tcPr>
          <w:p>
            <w:pPr>
              <w:pStyle w:val="TableParagraph"/>
              <w:spacing w:line="262" w:lineRule="exact"/>
              <w:ind w:left="8" w:right="3"/>
              <w:jc w:val="center"/>
              <w:rPr>
                <w:rFonts w:ascii="Bradley Hand ITC"/>
                <w:b/>
                <w:sz w:val="28"/>
              </w:rPr>
            </w:pPr>
            <w:r>
              <w:rPr>
                <w:rFonts w:ascii="Bradley Hand ITC"/>
                <w:b/>
                <w:color w:val="FF0000"/>
                <w:spacing w:val="-10"/>
                <w:sz w:val="28"/>
              </w:rPr>
              <w:t>X</w:t>
            </w:r>
          </w:p>
        </w:tc>
        <w:tc>
          <w:tcPr>
            <w:tcW w:w="888" w:type="dxa"/>
            <w:tcBorders>
              <w:top w:val="single" w:sz="12" w:space="0" w:color="002D5D"/>
              <w:left w:val="single" w:sz="4" w:space="0" w:color="002D5D"/>
              <w:bottom w:val="single" w:sz="4" w:space="0" w:color="002D5D"/>
              <w:right w:val="single" w:sz="4" w:space="0" w:color="002D5D"/>
            </w:tcBorders>
          </w:tcPr>
          <w:p>
            <w:pPr>
              <w:pStyle w:val="TableParagraph"/>
              <w:spacing w:line="262" w:lineRule="exact"/>
              <w:ind w:left="2" w:right="50"/>
              <w:jc w:val="center"/>
              <w:rPr>
                <w:rFonts w:ascii="Bradley Hand ITC"/>
                <w:b/>
                <w:sz w:val="28"/>
              </w:rPr>
            </w:pPr>
            <w:r>
              <w:rPr>
                <w:rFonts w:ascii="Bradley Hand ITC"/>
                <w:b/>
                <w:color w:val="FF0000"/>
                <w:spacing w:val="-10"/>
                <w:sz w:val="28"/>
              </w:rPr>
              <w:t>X</w:t>
            </w:r>
          </w:p>
        </w:tc>
        <w:tc>
          <w:tcPr>
            <w:tcW w:w="889" w:type="dxa"/>
            <w:tcBorders>
              <w:top w:val="single" w:sz="12" w:space="0" w:color="002D5D"/>
              <w:left w:val="single" w:sz="4" w:space="0" w:color="002D5D"/>
              <w:bottom w:val="single" w:sz="4" w:space="0" w:color="002D5D"/>
              <w:right w:val="single" w:sz="4" w:space="0" w:color="002D5D"/>
            </w:tcBorders>
          </w:tcPr>
          <w:p>
            <w:pPr>
              <w:pStyle w:val="TableParagraph"/>
              <w:spacing w:line="262" w:lineRule="exact"/>
              <w:ind w:left="5" w:right="3"/>
              <w:jc w:val="center"/>
              <w:rPr>
                <w:rFonts w:ascii="Bradley Hand ITC"/>
                <w:b/>
                <w:sz w:val="28"/>
              </w:rPr>
            </w:pPr>
            <w:r>
              <w:rPr>
                <w:rFonts w:ascii="Bradley Hand ITC"/>
                <w:b/>
                <w:color w:val="FF0000"/>
                <w:spacing w:val="-10"/>
                <w:sz w:val="28"/>
              </w:rPr>
              <w:t>X</w:t>
            </w:r>
          </w:p>
        </w:tc>
        <w:tc>
          <w:tcPr>
            <w:tcW w:w="886" w:type="dxa"/>
            <w:tcBorders>
              <w:top w:val="single" w:sz="12" w:space="0" w:color="002D5D"/>
              <w:left w:val="single" w:sz="4" w:space="0" w:color="002D5D"/>
              <w:bottom w:val="single" w:sz="4" w:space="0" w:color="002D5D"/>
              <w:right w:val="single" w:sz="4" w:space="0" w:color="002D5D"/>
            </w:tcBorders>
          </w:tcPr>
          <w:p>
            <w:pPr>
              <w:pStyle w:val="TableParagraph"/>
              <w:spacing w:line="262" w:lineRule="exact"/>
              <w:ind w:left="8" w:right="5"/>
              <w:jc w:val="center"/>
              <w:rPr>
                <w:rFonts w:ascii="Bradley Hand ITC"/>
                <w:b/>
                <w:sz w:val="28"/>
              </w:rPr>
            </w:pPr>
            <w:r>
              <w:rPr>
                <w:rFonts w:ascii="Bradley Hand ITC"/>
                <w:b/>
                <w:color w:val="FF0000"/>
                <w:spacing w:val="-10"/>
                <w:sz w:val="28"/>
              </w:rPr>
              <w:t>X</w:t>
            </w:r>
          </w:p>
        </w:tc>
      </w:tr>
      <w:tr>
        <w:trPr>
          <w:trHeight w:val="297" w:hRule="atLeast"/>
        </w:trPr>
        <w:tc>
          <w:tcPr>
            <w:tcW w:w="1383" w:type="dxa"/>
            <w:vMerge/>
            <w:tcBorders>
              <w:top w:val="nil"/>
              <w:left w:val="single" w:sz="4" w:space="0" w:color="000000"/>
              <w:bottom w:val="single" w:sz="4" w:space="0" w:color="000000"/>
              <w:right w:val="single" w:sz="4" w:space="0" w:color="000000"/>
            </w:tcBorders>
          </w:tcPr>
          <w:p>
            <w:pPr>
              <w:rPr>
                <w:sz w:val="2"/>
                <w:szCs w:val="2"/>
              </w:rPr>
            </w:pPr>
          </w:p>
        </w:tc>
        <w:tc>
          <w:tcPr>
            <w:tcW w:w="1880" w:type="dxa"/>
            <w:tcBorders>
              <w:top w:val="single" w:sz="6" w:space="0" w:color="002D5D"/>
              <w:left w:val="single" w:sz="4" w:space="0" w:color="000000"/>
              <w:bottom w:val="single" w:sz="6" w:space="0" w:color="002D5D"/>
              <w:right w:val="single" w:sz="4" w:space="0" w:color="000000"/>
            </w:tcBorders>
            <w:shd w:val="clear" w:color="auto" w:fill="F1F1F1"/>
          </w:tcPr>
          <w:p>
            <w:pPr>
              <w:pStyle w:val="TableParagraph"/>
              <w:spacing w:before="44"/>
              <w:ind w:left="64"/>
              <w:rPr>
                <w:sz w:val="18"/>
              </w:rPr>
            </w:pPr>
            <w:r>
              <w:rPr>
                <w:spacing w:val="-2"/>
                <w:sz w:val="18"/>
              </w:rPr>
              <w:t>Indicadores</w:t>
            </w:r>
          </w:p>
        </w:tc>
        <w:tc>
          <w:tcPr>
            <w:tcW w:w="886" w:type="dxa"/>
            <w:tcBorders>
              <w:top w:val="single" w:sz="4" w:space="0" w:color="002D5D"/>
              <w:left w:val="single" w:sz="4" w:space="0" w:color="000000"/>
              <w:bottom w:val="single" w:sz="4" w:space="0" w:color="002D5D"/>
              <w:right w:val="single" w:sz="4" w:space="0" w:color="002D5D"/>
            </w:tcBorders>
            <w:shd w:val="clear" w:color="auto" w:fill="F1F1F1"/>
          </w:tcPr>
          <w:p>
            <w:pPr>
              <w:pStyle w:val="TableParagraph"/>
              <w:spacing w:line="277" w:lineRule="exact"/>
              <w:ind w:left="8"/>
              <w:jc w:val="center"/>
              <w:rPr>
                <w:rFonts w:ascii="Segoe UI Symbol" w:hAnsi="Segoe UI Symbol"/>
                <w:b/>
                <w:sz w:val="24"/>
              </w:rPr>
            </w:pPr>
            <w:r>
              <w:rPr>
                <w:rFonts w:ascii="Segoe UI Symbol" w:hAnsi="Segoe UI Symbol"/>
                <w:b/>
                <w:color w:val="46894A"/>
                <w:spacing w:val="-10"/>
                <w:sz w:val="24"/>
              </w:rPr>
              <w:t>✓</w:t>
            </w:r>
          </w:p>
        </w:tc>
        <w:tc>
          <w:tcPr>
            <w:tcW w:w="888"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77" w:lineRule="exact"/>
              <w:ind w:left="2" w:right="52"/>
              <w:jc w:val="center"/>
              <w:rPr>
                <w:rFonts w:ascii="Segoe UI Symbol" w:hAnsi="Segoe UI Symbol"/>
                <w:b/>
                <w:sz w:val="24"/>
              </w:rPr>
            </w:pPr>
            <w:r>
              <w:rPr>
                <w:rFonts w:ascii="Segoe UI Symbol" w:hAnsi="Segoe UI Symbol"/>
                <w:b/>
                <w:color w:val="46894A"/>
                <w:spacing w:val="-10"/>
                <w:sz w:val="24"/>
              </w:rPr>
              <w:t>✓</w:t>
            </w:r>
          </w:p>
        </w:tc>
        <w:tc>
          <w:tcPr>
            <w:tcW w:w="889"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77" w:lineRule="exact"/>
              <w:ind w:left="5"/>
              <w:jc w:val="center"/>
              <w:rPr>
                <w:rFonts w:ascii="Segoe UI Symbol" w:hAnsi="Segoe UI Symbol"/>
                <w:b/>
                <w:sz w:val="24"/>
              </w:rPr>
            </w:pPr>
            <w:r>
              <w:rPr>
                <w:rFonts w:ascii="Segoe UI Symbol" w:hAnsi="Segoe UI Symbol"/>
                <w:b/>
                <w:color w:val="46894A"/>
                <w:spacing w:val="-10"/>
                <w:sz w:val="24"/>
              </w:rPr>
              <w:t>✓</w:t>
            </w:r>
          </w:p>
        </w:tc>
        <w:tc>
          <w:tcPr>
            <w:tcW w:w="886" w:type="dxa"/>
            <w:tcBorders>
              <w:top w:val="single" w:sz="4" w:space="0" w:color="002D5D"/>
              <w:left w:val="single" w:sz="4" w:space="0" w:color="002D5D"/>
              <w:bottom w:val="single" w:sz="4" w:space="0" w:color="002D5D"/>
              <w:right w:val="single" w:sz="4" w:space="0" w:color="002D5D"/>
            </w:tcBorders>
            <w:shd w:val="clear" w:color="auto" w:fill="F1F1F1"/>
          </w:tcPr>
          <w:p>
            <w:pPr>
              <w:pStyle w:val="TableParagraph"/>
              <w:spacing w:line="277" w:lineRule="exact"/>
              <w:ind w:left="8" w:right="2"/>
              <w:jc w:val="center"/>
              <w:rPr>
                <w:rFonts w:ascii="Segoe UI Symbol" w:hAnsi="Segoe UI Symbol"/>
                <w:b/>
                <w:sz w:val="24"/>
              </w:rPr>
            </w:pPr>
            <w:r>
              <w:rPr>
                <w:rFonts w:ascii="Segoe UI Symbol" w:hAnsi="Segoe UI Symbol"/>
                <w:b/>
                <w:color w:val="46894A"/>
                <w:spacing w:val="-10"/>
                <w:sz w:val="24"/>
              </w:rPr>
              <w:t>✓</w:t>
            </w:r>
          </w:p>
        </w:tc>
      </w:tr>
      <w:tr>
        <w:trPr>
          <w:trHeight w:val="297" w:hRule="atLeast"/>
        </w:trPr>
        <w:tc>
          <w:tcPr>
            <w:tcW w:w="1383" w:type="dxa"/>
            <w:vMerge/>
            <w:tcBorders>
              <w:top w:val="nil"/>
              <w:left w:val="single" w:sz="4" w:space="0" w:color="000000"/>
              <w:bottom w:val="single" w:sz="4" w:space="0" w:color="000000"/>
              <w:right w:val="single" w:sz="4" w:space="0" w:color="000000"/>
            </w:tcBorders>
          </w:tcPr>
          <w:p>
            <w:pPr>
              <w:rPr>
                <w:sz w:val="2"/>
                <w:szCs w:val="2"/>
              </w:rPr>
            </w:pPr>
          </w:p>
        </w:tc>
        <w:tc>
          <w:tcPr>
            <w:tcW w:w="1880" w:type="dxa"/>
            <w:tcBorders>
              <w:top w:val="single" w:sz="6" w:space="0" w:color="002D5D"/>
              <w:left w:val="single" w:sz="4" w:space="0" w:color="000000"/>
              <w:bottom w:val="single" w:sz="4" w:space="0" w:color="000000"/>
              <w:right w:val="single" w:sz="4" w:space="0" w:color="000000"/>
            </w:tcBorders>
          </w:tcPr>
          <w:p>
            <w:pPr>
              <w:pStyle w:val="TableParagraph"/>
              <w:spacing w:before="44"/>
              <w:ind w:left="64"/>
              <w:rPr>
                <w:sz w:val="18"/>
              </w:rPr>
            </w:pPr>
            <w:r>
              <w:rPr>
                <w:sz w:val="18"/>
              </w:rPr>
              <w:t>Informes</w:t>
            </w:r>
            <w:r>
              <w:rPr>
                <w:spacing w:val="-3"/>
                <w:sz w:val="18"/>
              </w:rPr>
              <w:t> </w:t>
            </w:r>
            <w:r>
              <w:rPr>
                <w:sz w:val="18"/>
              </w:rPr>
              <w:t>de</w:t>
            </w:r>
            <w:r>
              <w:rPr>
                <w:spacing w:val="-3"/>
                <w:sz w:val="18"/>
              </w:rPr>
              <w:t> </w:t>
            </w:r>
            <w:r>
              <w:rPr>
                <w:spacing w:val="-2"/>
                <w:sz w:val="18"/>
              </w:rPr>
              <w:t>seguimiento</w:t>
            </w:r>
          </w:p>
        </w:tc>
        <w:tc>
          <w:tcPr>
            <w:tcW w:w="886" w:type="dxa"/>
            <w:tcBorders>
              <w:top w:val="single" w:sz="4" w:space="0" w:color="002D5D"/>
              <w:left w:val="single" w:sz="4" w:space="0" w:color="000000"/>
              <w:bottom w:val="single" w:sz="4" w:space="0" w:color="000000"/>
              <w:right w:val="single" w:sz="4" w:space="0" w:color="002D5D"/>
            </w:tcBorders>
          </w:tcPr>
          <w:p>
            <w:pPr>
              <w:pStyle w:val="TableParagraph"/>
              <w:spacing w:line="277" w:lineRule="exact"/>
              <w:ind w:left="8" w:right="3"/>
              <w:jc w:val="center"/>
              <w:rPr>
                <w:rFonts w:ascii="Bradley Hand ITC"/>
                <w:b/>
                <w:sz w:val="28"/>
              </w:rPr>
            </w:pPr>
            <w:r>
              <w:rPr>
                <w:rFonts w:ascii="Bradley Hand ITC"/>
                <w:b/>
                <w:color w:val="FF0000"/>
                <w:spacing w:val="-10"/>
                <w:sz w:val="28"/>
              </w:rPr>
              <w:t>X</w:t>
            </w:r>
          </w:p>
        </w:tc>
        <w:tc>
          <w:tcPr>
            <w:tcW w:w="888" w:type="dxa"/>
            <w:tcBorders>
              <w:top w:val="single" w:sz="4" w:space="0" w:color="002D5D"/>
              <w:left w:val="single" w:sz="4" w:space="0" w:color="002D5D"/>
              <w:bottom w:val="single" w:sz="4" w:space="0" w:color="000000"/>
              <w:right w:val="single" w:sz="4" w:space="0" w:color="002D5D"/>
            </w:tcBorders>
          </w:tcPr>
          <w:p>
            <w:pPr>
              <w:pStyle w:val="TableParagraph"/>
              <w:spacing w:line="277" w:lineRule="exact"/>
              <w:ind w:left="2" w:right="50"/>
              <w:jc w:val="center"/>
              <w:rPr>
                <w:rFonts w:ascii="Bradley Hand ITC"/>
                <w:b/>
                <w:sz w:val="28"/>
              </w:rPr>
            </w:pPr>
            <w:r>
              <w:rPr>
                <w:rFonts w:ascii="Bradley Hand ITC"/>
                <w:b/>
                <w:color w:val="FF0000"/>
                <w:spacing w:val="-10"/>
                <w:sz w:val="28"/>
              </w:rPr>
              <w:t>X</w:t>
            </w:r>
          </w:p>
        </w:tc>
        <w:tc>
          <w:tcPr>
            <w:tcW w:w="889" w:type="dxa"/>
            <w:tcBorders>
              <w:top w:val="single" w:sz="4" w:space="0" w:color="002D5D"/>
              <w:left w:val="single" w:sz="4" w:space="0" w:color="002D5D"/>
              <w:bottom w:val="single" w:sz="4" w:space="0" w:color="000000"/>
              <w:right w:val="single" w:sz="4" w:space="0" w:color="002D5D"/>
            </w:tcBorders>
          </w:tcPr>
          <w:p>
            <w:pPr>
              <w:pStyle w:val="TableParagraph"/>
              <w:spacing w:line="277" w:lineRule="exact"/>
              <w:ind w:left="5"/>
              <w:jc w:val="center"/>
              <w:rPr>
                <w:rFonts w:ascii="Segoe UI Symbol" w:hAnsi="Segoe UI Symbol"/>
                <w:b/>
                <w:sz w:val="24"/>
              </w:rPr>
            </w:pPr>
            <w:r>
              <w:rPr>
                <w:rFonts w:ascii="Segoe UI Symbol" w:hAnsi="Segoe UI Symbol"/>
                <w:b/>
                <w:color w:val="46894A"/>
                <w:spacing w:val="-10"/>
                <w:sz w:val="24"/>
              </w:rPr>
              <w:t>✓</w:t>
            </w:r>
          </w:p>
        </w:tc>
        <w:tc>
          <w:tcPr>
            <w:tcW w:w="886" w:type="dxa"/>
            <w:tcBorders>
              <w:top w:val="single" w:sz="4" w:space="0" w:color="002D5D"/>
              <w:left w:val="single" w:sz="4" w:space="0" w:color="002D5D"/>
              <w:bottom w:val="single" w:sz="4" w:space="0" w:color="000000"/>
              <w:right w:val="single" w:sz="4" w:space="0" w:color="002D5D"/>
            </w:tcBorders>
          </w:tcPr>
          <w:p>
            <w:pPr>
              <w:pStyle w:val="TableParagraph"/>
              <w:spacing w:line="277" w:lineRule="exact"/>
              <w:ind w:left="8" w:right="5"/>
              <w:jc w:val="center"/>
              <w:rPr>
                <w:rFonts w:ascii="Bradley Hand ITC"/>
                <w:b/>
                <w:sz w:val="28"/>
              </w:rPr>
            </w:pPr>
            <w:r>
              <w:rPr>
                <w:rFonts w:ascii="Bradley Hand ITC"/>
                <w:b/>
                <w:color w:val="FF0000"/>
                <w:spacing w:val="-10"/>
                <w:sz w:val="28"/>
              </w:rPr>
              <w:t>X</w:t>
            </w:r>
          </w:p>
        </w:tc>
      </w:tr>
    </w:tbl>
    <w:p>
      <w:pPr>
        <w:spacing w:before="85"/>
        <w:ind w:left="2477" w:right="0" w:firstLine="0"/>
        <w:jc w:val="left"/>
        <w:rPr>
          <w:rFonts w:ascii="Arial Narrow" w:hAnsi="Arial Narrow"/>
          <w:sz w:val="18"/>
        </w:rPr>
      </w:pPr>
      <w:r>
        <w:rPr>
          <w:rFonts w:ascii="Arial Narrow" w:hAnsi="Arial Narrow"/>
          <w:sz w:val="18"/>
        </w:rPr>
        <mc:AlternateContent>
          <mc:Choice Requires="wps">
            <w:drawing>
              <wp:anchor distT="0" distB="0" distL="0" distR="0" allowOverlap="1" layoutInCell="1" locked="0" behindDoc="1" simplePos="0" relativeHeight="474279424">
                <wp:simplePos x="0" y="0"/>
                <wp:positionH relativeFrom="page">
                  <wp:posOffset>1618741</wp:posOffset>
                </wp:positionH>
                <wp:positionV relativeFrom="paragraph">
                  <wp:posOffset>10159</wp:posOffset>
                </wp:positionV>
                <wp:extent cx="4324985" cy="219710"/>
                <wp:effectExtent l="0" t="0" r="0" b="0"/>
                <wp:wrapNone/>
                <wp:docPr id="133" name="Graphic 133"/>
                <wp:cNvGraphicFramePr>
                  <a:graphicFrameLocks/>
                </wp:cNvGraphicFramePr>
                <a:graphic>
                  <a:graphicData uri="http://schemas.microsoft.com/office/word/2010/wordprocessingShape">
                    <wps:wsp>
                      <wps:cNvPr id="133" name="Graphic 133"/>
                      <wps:cNvSpPr/>
                      <wps:spPr>
                        <a:xfrm>
                          <a:off x="0" y="0"/>
                          <a:ext cx="4324985" cy="219710"/>
                        </a:xfrm>
                        <a:custGeom>
                          <a:avLst/>
                          <a:gdLst/>
                          <a:ahLst/>
                          <a:cxnLst/>
                          <a:rect l="l" t="t" r="r" b="b"/>
                          <a:pathLst>
                            <a:path w="4324985" h="219710">
                              <a:moveTo>
                                <a:pt x="4324477" y="0"/>
                              </a:moveTo>
                              <a:lnTo>
                                <a:pt x="0" y="0"/>
                              </a:lnTo>
                              <a:lnTo>
                                <a:pt x="0" y="219456"/>
                              </a:lnTo>
                              <a:lnTo>
                                <a:pt x="4324477" y="219456"/>
                              </a:lnTo>
                              <a:lnTo>
                                <a:pt x="4324477"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127.459999pt;margin-top:.79999pt;width:340.51pt;height:17.28pt;mso-position-horizontal-relative:page;mso-position-vertical-relative:paragraph;z-index:-29037056" id="docshape115" filled="true" fillcolor="#ffffff" stroked="false">
                <v:fill type="solid"/>
                <w10:wrap type="none"/>
              </v:rect>
            </w:pict>
          </mc:Fallback>
        </mc:AlternateContent>
      </w: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3"/>
          <w:sz w:val="18"/>
        </w:rPr>
        <w:t> </w:t>
      </w:r>
      <w:r>
        <w:rPr>
          <w:rFonts w:ascii="Arial Narrow" w:hAnsi="Arial Narrow"/>
          <w:sz w:val="18"/>
        </w:rPr>
        <w:t>a</w:t>
      </w:r>
      <w:r>
        <w:rPr>
          <w:rFonts w:ascii="Arial Narrow" w:hAnsi="Arial Narrow"/>
          <w:spacing w:val="-2"/>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3"/>
          <w:sz w:val="18"/>
        </w:rPr>
        <w:t> </w:t>
      </w:r>
      <w:r>
        <w:rPr>
          <w:rFonts w:ascii="Arial Narrow" w:hAnsi="Arial Narrow"/>
          <w:sz w:val="18"/>
        </w:rPr>
        <w:t>los</w:t>
      </w:r>
      <w:r>
        <w:rPr>
          <w:rFonts w:ascii="Arial Narrow" w:hAnsi="Arial Narrow"/>
          <w:spacing w:val="-3"/>
          <w:sz w:val="18"/>
        </w:rPr>
        <w:t> </w:t>
      </w:r>
      <w:r>
        <w:rPr>
          <w:rFonts w:ascii="Arial Narrow" w:hAnsi="Arial Narrow"/>
          <w:sz w:val="18"/>
        </w:rPr>
        <w:t>datos</w:t>
      </w:r>
      <w:r>
        <w:rPr>
          <w:rFonts w:ascii="Arial Narrow" w:hAnsi="Arial Narrow"/>
          <w:spacing w:val="1"/>
          <w:sz w:val="18"/>
        </w:rPr>
        <w:t> </w:t>
      </w:r>
      <w:r>
        <w:rPr>
          <w:rFonts w:ascii="Arial Narrow" w:hAnsi="Arial Narrow"/>
          <w:sz w:val="18"/>
        </w:rPr>
        <w:t>facilitados</w:t>
      </w:r>
      <w:r>
        <w:rPr>
          <w:rFonts w:ascii="Arial Narrow" w:hAnsi="Arial Narrow"/>
          <w:spacing w:val="-2"/>
          <w:sz w:val="18"/>
        </w:rPr>
        <w:t> </w:t>
      </w:r>
      <w:r>
        <w:rPr>
          <w:rFonts w:ascii="Arial Narrow" w:hAnsi="Arial Narrow"/>
          <w:sz w:val="18"/>
        </w:rPr>
        <w:t>por</w:t>
      </w:r>
      <w:r>
        <w:rPr>
          <w:rFonts w:ascii="Arial Narrow" w:hAnsi="Arial Narrow"/>
          <w:spacing w:val="-1"/>
          <w:sz w:val="18"/>
        </w:rPr>
        <w:t> </w:t>
      </w:r>
      <w:r>
        <w:rPr>
          <w:rFonts w:ascii="Arial Narrow" w:hAnsi="Arial Narrow"/>
          <w:sz w:val="18"/>
        </w:rPr>
        <w:t>las</w:t>
      </w:r>
      <w:r>
        <w:rPr>
          <w:rFonts w:ascii="Arial Narrow" w:hAnsi="Arial Narrow"/>
          <w:spacing w:val="-3"/>
          <w:sz w:val="18"/>
        </w:rPr>
        <w:t> </w:t>
      </w:r>
      <w:r>
        <w:rPr>
          <w:rFonts w:ascii="Arial Narrow" w:hAnsi="Arial Narrow"/>
          <w:sz w:val="18"/>
        </w:rPr>
        <w:t>entidades</w:t>
      </w:r>
      <w:r>
        <w:rPr>
          <w:rFonts w:ascii="Arial Narrow" w:hAnsi="Arial Narrow"/>
          <w:spacing w:val="-2"/>
          <w:sz w:val="18"/>
        </w:rPr>
        <w:t> fiscalizadas</w:t>
      </w:r>
    </w:p>
    <w:p>
      <w:pPr>
        <w:pStyle w:val="ListParagraph"/>
        <w:numPr>
          <w:ilvl w:val="0"/>
          <w:numId w:val="6"/>
        </w:numPr>
        <w:tabs>
          <w:tab w:pos="2723" w:val="left" w:leader="none"/>
        </w:tabs>
        <w:spacing w:line="240" w:lineRule="auto" w:before="71" w:after="0"/>
        <w:ind w:left="2723" w:right="0" w:hanging="246"/>
        <w:jc w:val="left"/>
        <w:rPr>
          <w:rFonts w:ascii="Arial Narrow" w:hAnsi="Arial Narrow"/>
          <w:sz w:val="18"/>
        </w:rPr>
      </w:pPr>
      <w:r>
        <w:rPr>
          <w:rFonts w:ascii="Arial Narrow" w:hAnsi="Arial Narrow"/>
          <w:spacing w:val="-2"/>
          <w:sz w:val="18"/>
        </w:rPr>
        <w:t>Disponible</w:t>
      </w:r>
    </w:p>
    <w:p>
      <w:pPr>
        <w:spacing w:before="0"/>
        <w:ind w:left="2477" w:right="0" w:firstLine="0"/>
        <w:jc w:val="left"/>
        <w:rPr>
          <w:rFonts w:ascii="Arial Narrow"/>
          <w:sz w:val="18"/>
        </w:rPr>
      </w:pPr>
      <w:bookmarkStart w:name="_bookmark37" w:id="39"/>
      <w:bookmarkEnd w:id="39"/>
      <w:r>
        <w:rPr/>
      </w:r>
      <w:r>
        <w:rPr>
          <w:rFonts w:ascii="Bradley Hand ITC"/>
          <w:b/>
          <w:color w:val="FF0000"/>
          <w:sz w:val="24"/>
        </w:rPr>
        <w:t>X</w:t>
      </w:r>
      <w:r>
        <w:rPr>
          <w:rFonts w:ascii="Bradley Hand ITC"/>
          <w:b/>
          <w:color w:val="FF0000"/>
          <w:spacing w:val="6"/>
          <w:sz w:val="24"/>
        </w:rPr>
        <w:t> </w:t>
      </w:r>
      <w:r>
        <w:rPr>
          <w:rFonts w:ascii="Arial Narrow"/>
          <w:sz w:val="18"/>
        </w:rPr>
        <w:t>No</w:t>
      </w:r>
      <w:r>
        <w:rPr>
          <w:rFonts w:ascii="Arial Narrow"/>
          <w:spacing w:val="-2"/>
          <w:sz w:val="18"/>
        </w:rPr>
        <w:t> disponible</w:t>
      </w:r>
    </w:p>
    <w:p>
      <w:pPr>
        <w:pStyle w:val="BodyText"/>
        <w:spacing w:before="153"/>
        <w:rPr>
          <w:rFonts w:ascii="Arial Narrow"/>
          <w:sz w:val="18"/>
        </w:rPr>
      </w:pPr>
    </w:p>
    <w:p>
      <w:pPr>
        <w:pStyle w:val="Heading4"/>
        <w:numPr>
          <w:ilvl w:val="1"/>
          <w:numId w:val="3"/>
        </w:numPr>
        <w:tabs>
          <w:tab w:pos="1416" w:val="left" w:leader="none"/>
          <w:tab w:pos="3301" w:val="left" w:leader="none"/>
          <w:tab w:pos="4986" w:val="left" w:leader="none"/>
          <w:tab w:pos="5876" w:val="left" w:leader="none"/>
          <w:tab w:pos="7094" w:val="left" w:leader="none"/>
          <w:tab w:pos="7653" w:val="left" w:leader="none"/>
          <w:tab w:pos="9778" w:val="left" w:leader="none"/>
          <w:tab w:pos="10349" w:val="left" w:leader="none"/>
        </w:tabs>
        <w:spacing w:line="240" w:lineRule="auto" w:before="1" w:after="0"/>
        <w:ind w:left="992" w:right="991" w:firstLine="0"/>
        <w:jc w:val="left"/>
      </w:pPr>
      <w:r>
        <w:rPr>
          <w:spacing w:val="-2"/>
        </w:rPr>
        <w:t>ACTUACIONES</w:t>
      </w:r>
      <w:r>
        <w:rPr/>
        <w:tab/>
      </w:r>
      <w:r>
        <w:rPr>
          <w:spacing w:val="-2"/>
        </w:rPr>
        <w:t>REALIZADAS</w:t>
      </w:r>
      <w:r>
        <w:rPr/>
        <w:tab/>
      </w:r>
      <w:r>
        <w:rPr>
          <w:spacing w:val="-4"/>
        </w:rPr>
        <w:t>PARA</w:t>
      </w:r>
      <w:r>
        <w:rPr/>
        <w:tab/>
      </w:r>
      <w:r>
        <w:rPr>
          <w:spacing w:val="-2"/>
        </w:rPr>
        <w:t>LOGRAR</w:t>
      </w:r>
      <w:r>
        <w:rPr/>
        <w:tab/>
      </w:r>
      <w:r>
        <w:rPr>
          <w:spacing w:val="-6"/>
        </w:rPr>
        <w:t>LA</w:t>
      </w:r>
      <w:r>
        <w:rPr/>
        <w:tab/>
      </w:r>
      <w:r>
        <w:rPr>
          <w:spacing w:val="-2"/>
        </w:rPr>
        <w:t>SOSTENIBILIDAD</w:t>
      </w:r>
      <w:r>
        <w:rPr/>
        <w:tab/>
      </w:r>
      <w:r>
        <w:rPr>
          <w:spacing w:val="-6"/>
        </w:rPr>
        <w:t>EN</w:t>
      </w:r>
      <w:r>
        <w:rPr/>
        <w:tab/>
      </w:r>
      <w:r>
        <w:rPr>
          <w:spacing w:val="-6"/>
        </w:rPr>
        <w:t>EL </w:t>
      </w:r>
      <w:r>
        <w:rPr/>
        <w:t>TRANSPORTE PÚBLICO COLECTIVO URBANO</w:t>
      </w:r>
    </w:p>
    <w:p>
      <w:pPr>
        <w:pStyle w:val="BodyText"/>
        <w:spacing w:before="240"/>
        <w:ind w:left="992" w:right="988"/>
        <w:jc w:val="both"/>
      </w:pPr>
      <w:r>
        <w:rPr/>
        <w:t>Los</w:t>
      </w:r>
      <w:r>
        <w:rPr>
          <w:spacing w:val="-16"/>
        </w:rPr>
        <w:t> </w:t>
      </w:r>
      <w:r>
        <w:rPr/>
        <w:t>ayuntamientos</w:t>
      </w:r>
      <w:r>
        <w:rPr>
          <w:spacing w:val="-15"/>
        </w:rPr>
        <w:t> </w:t>
      </w:r>
      <w:r>
        <w:rPr/>
        <w:t>fiscalizados</w:t>
      </w:r>
      <w:r>
        <w:rPr>
          <w:spacing w:val="-15"/>
        </w:rPr>
        <w:t> </w:t>
      </w:r>
      <w:r>
        <w:rPr/>
        <w:t>han</w:t>
      </w:r>
      <w:r>
        <w:rPr>
          <w:spacing w:val="-16"/>
        </w:rPr>
        <w:t> </w:t>
      </w:r>
      <w:r>
        <w:rPr/>
        <w:t>ejecutado</w:t>
      </w:r>
      <w:r>
        <w:rPr>
          <w:spacing w:val="-15"/>
        </w:rPr>
        <w:t> </w:t>
      </w:r>
      <w:r>
        <w:rPr/>
        <w:t>en</w:t>
      </w:r>
      <w:r>
        <w:rPr>
          <w:spacing w:val="-15"/>
        </w:rPr>
        <w:t> </w:t>
      </w:r>
      <w:r>
        <w:rPr/>
        <w:t>los</w:t>
      </w:r>
      <w:r>
        <w:rPr>
          <w:spacing w:val="-15"/>
        </w:rPr>
        <w:t> </w:t>
      </w:r>
      <w:r>
        <w:rPr/>
        <w:t>ejercicios</w:t>
      </w:r>
      <w:r>
        <w:rPr>
          <w:spacing w:val="-16"/>
        </w:rPr>
        <w:t> </w:t>
      </w:r>
      <w:r>
        <w:rPr/>
        <w:t>fiscalizados</w:t>
      </w:r>
      <w:r>
        <w:rPr>
          <w:spacing w:val="-15"/>
        </w:rPr>
        <w:t> </w:t>
      </w:r>
      <w:r>
        <w:rPr/>
        <w:t>una</w:t>
      </w:r>
      <w:r>
        <w:rPr>
          <w:spacing w:val="-15"/>
        </w:rPr>
        <w:t> </w:t>
      </w:r>
      <w:r>
        <w:rPr/>
        <w:t>serie</w:t>
      </w:r>
      <w:r>
        <w:rPr>
          <w:spacing w:val="-16"/>
        </w:rPr>
        <w:t> </w:t>
      </w:r>
      <w:r>
        <w:rPr/>
        <w:t>de</w:t>
      </w:r>
      <w:r>
        <w:rPr>
          <w:spacing w:val="-15"/>
        </w:rPr>
        <w:t> </w:t>
      </w:r>
      <w:r>
        <w:rPr/>
        <w:t>actuaciones con el</w:t>
      </w:r>
      <w:r>
        <w:rPr>
          <w:spacing w:val="-2"/>
        </w:rPr>
        <w:t> </w:t>
      </w:r>
      <w:r>
        <w:rPr/>
        <w:t>fin</w:t>
      </w:r>
      <w:r>
        <w:rPr>
          <w:spacing w:val="-1"/>
        </w:rPr>
        <w:t> </w:t>
      </w:r>
      <w:r>
        <w:rPr/>
        <w:t>de</w:t>
      </w:r>
      <w:r>
        <w:rPr>
          <w:spacing w:val="-1"/>
        </w:rPr>
        <w:t> </w:t>
      </w:r>
      <w:r>
        <w:rPr/>
        <w:t>lograr la</w:t>
      </w:r>
      <w:r>
        <w:rPr>
          <w:spacing w:val="-1"/>
        </w:rPr>
        <w:t> </w:t>
      </w:r>
      <w:r>
        <w:rPr/>
        <w:t>sostenibilidad medioambiental y</w:t>
      </w:r>
      <w:r>
        <w:rPr>
          <w:spacing w:val="-1"/>
        </w:rPr>
        <w:t> </w:t>
      </w:r>
      <w:r>
        <w:rPr/>
        <w:t>social de</w:t>
      </w:r>
      <w:r>
        <w:rPr>
          <w:spacing w:val="-1"/>
        </w:rPr>
        <w:t> </w:t>
      </w:r>
      <w:r>
        <w:rPr/>
        <w:t>la</w:t>
      </w:r>
      <w:r>
        <w:rPr>
          <w:spacing w:val="-1"/>
        </w:rPr>
        <w:t> </w:t>
      </w:r>
      <w:r>
        <w:rPr/>
        <w:t>movilidad urbana</w:t>
      </w:r>
      <w:r>
        <w:rPr>
          <w:spacing w:val="-4"/>
        </w:rPr>
        <w:t> </w:t>
      </w:r>
      <w:r>
        <w:rPr/>
        <w:t>y la</w:t>
      </w:r>
      <w:r>
        <w:rPr>
          <w:spacing w:val="-3"/>
        </w:rPr>
        <w:t> </w:t>
      </w:r>
      <w:r>
        <w:rPr/>
        <w:t>mejora</w:t>
      </w:r>
      <w:r>
        <w:rPr>
          <w:spacing w:val="-1"/>
        </w:rPr>
        <w:t> </w:t>
      </w:r>
      <w:r>
        <w:rPr/>
        <w:t>del transporte público colectivo, que han supuesto un avance respecto a la situación en que se encontraba el servicio en los ejercicios anteriores.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7"/>
        <w:jc w:val="both"/>
      </w:pPr>
      <w:r>
        <w:rPr/>
        <w:t>En el Epígrafe II.3.1 del Informe se expone, por cada uno de los ayuntamientos examinados, la situación del servicio a 31 de diciembre de 2022, antes de los ejercicios fiscalizados, y una breve descripción de las actuaciones acometidas en esos ejercicios.</w:t>
      </w:r>
    </w:p>
    <w:p>
      <w:pPr>
        <w:pStyle w:val="BodyText"/>
        <w:spacing w:before="242"/>
        <w:ind w:left="992" w:right="986"/>
        <w:jc w:val="both"/>
      </w:pPr>
      <w:r>
        <w:rPr/>
        <w:t>En</w:t>
      </w:r>
      <w:r>
        <w:rPr>
          <w:spacing w:val="-4"/>
        </w:rPr>
        <w:t> </w:t>
      </w:r>
      <w:r>
        <w:rPr/>
        <w:t>el</w:t>
      </w:r>
      <w:r>
        <w:rPr>
          <w:spacing w:val="-5"/>
        </w:rPr>
        <w:t> </w:t>
      </w:r>
      <w:r>
        <w:rPr/>
        <w:t>Epígrafe</w:t>
      </w:r>
      <w:r>
        <w:rPr>
          <w:spacing w:val="-8"/>
        </w:rPr>
        <w:t> </w:t>
      </w:r>
      <w:r>
        <w:rPr/>
        <w:t>II.3.2</w:t>
      </w:r>
      <w:r>
        <w:rPr>
          <w:spacing w:val="-6"/>
        </w:rPr>
        <w:t> </w:t>
      </w:r>
      <w:r>
        <w:rPr/>
        <w:t>se</w:t>
      </w:r>
      <w:r>
        <w:rPr>
          <w:spacing w:val="-6"/>
        </w:rPr>
        <w:t> </w:t>
      </w:r>
      <w:r>
        <w:rPr/>
        <w:t>analizan</w:t>
      </w:r>
      <w:r>
        <w:rPr>
          <w:spacing w:val="-4"/>
        </w:rPr>
        <w:t> </w:t>
      </w:r>
      <w:r>
        <w:rPr/>
        <w:t>de</w:t>
      </w:r>
      <w:r>
        <w:rPr>
          <w:spacing w:val="-4"/>
        </w:rPr>
        <w:t> </w:t>
      </w:r>
      <w:r>
        <w:rPr/>
        <w:t>forma</w:t>
      </w:r>
      <w:r>
        <w:rPr>
          <w:spacing w:val="-6"/>
        </w:rPr>
        <w:t> </w:t>
      </w:r>
      <w:r>
        <w:rPr/>
        <w:t>conjunta</w:t>
      </w:r>
      <w:r>
        <w:rPr>
          <w:spacing w:val="-4"/>
        </w:rPr>
        <w:t> </w:t>
      </w:r>
      <w:r>
        <w:rPr/>
        <w:t>las</w:t>
      </w:r>
      <w:r>
        <w:rPr>
          <w:spacing w:val="-4"/>
        </w:rPr>
        <w:t> </w:t>
      </w:r>
      <w:r>
        <w:rPr/>
        <w:t>actuaciones</w:t>
      </w:r>
      <w:r>
        <w:rPr>
          <w:spacing w:val="-6"/>
        </w:rPr>
        <w:t> </w:t>
      </w:r>
      <w:r>
        <w:rPr/>
        <w:t>llevadas</w:t>
      </w:r>
      <w:r>
        <w:rPr>
          <w:spacing w:val="-4"/>
        </w:rPr>
        <w:t> </w:t>
      </w:r>
      <w:r>
        <w:rPr/>
        <w:t>a</w:t>
      </w:r>
      <w:r>
        <w:rPr>
          <w:spacing w:val="-6"/>
        </w:rPr>
        <w:t> </w:t>
      </w:r>
      <w:r>
        <w:rPr/>
        <w:t>cabo</w:t>
      </w:r>
      <w:r>
        <w:rPr>
          <w:spacing w:val="-3"/>
        </w:rPr>
        <w:t> </w:t>
      </w:r>
      <w:r>
        <w:rPr/>
        <w:t>en</w:t>
      </w:r>
      <w:r>
        <w:rPr>
          <w:spacing w:val="-4"/>
        </w:rPr>
        <w:t> </w:t>
      </w:r>
      <w:r>
        <w:rPr/>
        <w:t>2023</w:t>
      </w:r>
      <w:r>
        <w:rPr>
          <w:spacing w:val="-7"/>
        </w:rPr>
        <w:t> </w:t>
      </w:r>
      <w:r>
        <w:rPr/>
        <w:t>y</w:t>
      </w:r>
      <w:r>
        <w:rPr>
          <w:spacing w:val="-6"/>
        </w:rPr>
        <w:t> </w:t>
      </w:r>
      <w:r>
        <w:rPr/>
        <w:t>2004 por</w:t>
      </w:r>
      <w:r>
        <w:rPr>
          <w:spacing w:val="-13"/>
        </w:rPr>
        <w:t> </w:t>
      </w:r>
      <w:r>
        <w:rPr/>
        <w:t>las</w:t>
      </w:r>
      <w:r>
        <w:rPr>
          <w:spacing w:val="-13"/>
        </w:rPr>
        <w:t> </w:t>
      </w:r>
      <w:r>
        <w:rPr/>
        <w:t>entidades</w:t>
      </w:r>
      <w:r>
        <w:rPr>
          <w:spacing w:val="-16"/>
        </w:rPr>
        <w:t> </w:t>
      </w:r>
      <w:r>
        <w:rPr/>
        <w:t>fiscalizadas,</w:t>
      </w:r>
      <w:r>
        <w:rPr>
          <w:spacing w:val="-12"/>
        </w:rPr>
        <w:t> </w:t>
      </w:r>
      <w:r>
        <w:rPr/>
        <w:t>según</w:t>
      </w:r>
      <w:r>
        <w:rPr>
          <w:spacing w:val="-14"/>
        </w:rPr>
        <w:t> </w:t>
      </w:r>
      <w:r>
        <w:rPr/>
        <w:t>su</w:t>
      </w:r>
      <w:r>
        <w:rPr>
          <w:spacing w:val="-14"/>
        </w:rPr>
        <w:t> </w:t>
      </w:r>
      <w:r>
        <w:rPr/>
        <w:t>tipología:</w:t>
      </w:r>
      <w:r>
        <w:rPr>
          <w:spacing w:val="-13"/>
        </w:rPr>
        <w:t> </w:t>
      </w:r>
      <w:r>
        <w:rPr/>
        <w:t>adquisición</w:t>
      </w:r>
      <w:r>
        <w:rPr>
          <w:spacing w:val="-14"/>
        </w:rPr>
        <w:t> </w:t>
      </w:r>
      <w:r>
        <w:rPr/>
        <w:t>de</w:t>
      </w:r>
      <w:r>
        <w:rPr>
          <w:spacing w:val="-14"/>
        </w:rPr>
        <w:t> </w:t>
      </w:r>
      <w:r>
        <w:rPr/>
        <w:t>material</w:t>
      </w:r>
      <w:r>
        <w:rPr>
          <w:spacing w:val="-15"/>
        </w:rPr>
        <w:t> </w:t>
      </w:r>
      <w:r>
        <w:rPr/>
        <w:t>móvil</w:t>
      </w:r>
      <w:r>
        <w:rPr>
          <w:spacing w:val="-13"/>
        </w:rPr>
        <w:t> </w:t>
      </w:r>
      <w:r>
        <w:rPr/>
        <w:t>y</w:t>
      </w:r>
      <w:r>
        <w:rPr>
          <w:spacing w:val="-13"/>
        </w:rPr>
        <w:t> </w:t>
      </w:r>
      <w:r>
        <w:rPr/>
        <w:t>de</w:t>
      </w:r>
      <w:r>
        <w:rPr>
          <w:spacing w:val="-14"/>
        </w:rPr>
        <w:t> </w:t>
      </w:r>
      <w:r>
        <w:rPr/>
        <w:t>infraestructuras para la recarga de vehículos, ejecución de obras, digitalización del servicio, difusión y promoción del</w:t>
      </w:r>
      <w:r>
        <w:rPr>
          <w:spacing w:val="-2"/>
        </w:rPr>
        <w:t> </w:t>
      </w:r>
      <w:r>
        <w:rPr/>
        <w:t>transporte</w:t>
      </w:r>
      <w:r>
        <w:rPr>
          <w:spacing w:val="-4"/>
        </w:rPr>
        <w:t> </w:t>
      </w:r>
      <w:r>
        <w:rPr/>
        <w:t>público</w:t>
      </w:r>
      <w:r>
        <w:rPr>
          <w:spacing w:val="-2"/>
        </w:rPr>
        <w:t> </w:t>
      </w:r>
      <w:r>
        <w:rPr/>
        <w:t>y</w:t>
      </w:r>
      <w:r>
        <w:rPr>
          <w:spacing w:val="-3"/>
        </w:rPr>
        <w:t> </w:t>
      </w:r>
      <w:r>
        <w:rPr/>
        <w:t>otras.</w:t>
      </w:r>
      <w:r>
        <w:rPr>
          <w:spacing w:val="-1"/>
        </w:rPr>
        <w:t> </w:t>
      </w:r>
      <w:r>
        <w:rPr/>
        <w:t>El</w:t>
      </w:r>
      <w:r>
        <w:rPr>
          <w:spacing w:val="-2"/>
        </w:rPr>
        <w:t> </w:t>
      </w:r>
      <w:r>
        <w:rPr/>
        <w:t>criterio</w:t>
      </w:r>
      <w:r>
        <w:rPr>
          <w:spacing w:val="-5"/>
        </w:rPr>
        <w:t> </w:t>
      </w:r>
      <w:r>
        <w:rPr/>
        <w:t>empleado</w:t>
      </w:r>
      <w:r>
        <w:rPr>
          <w:spacing w:val="-4"/>
        </w:rPr>
        <w:t> </w:t>
      </w:r>
      <w:r>
        <w:rPr/>
        <w:t>para</w:t>
      </w:r>
      <w:r>
        <w:rPr>
          <w:spacing w:val="-4"/>
        </w:rPr>
        <w:t> </w:t>
      </w:r>
      <w:r>
        <w:rPr/>
        <w:t>incluir</w:t>
      </w:r>
      <w:r>
        <w:rPr>
          <w:spacing w:val="-3"/>
        </w:rPr>
        <w:t> </w:t>
      </w:r>
      <w:r>
        <w:rPr/>
        <w:t>estas</w:t>
      </w:r>
      <w:r>
        <w:rPr>
          <w:spacing w:val="-4"/>
        </w:rPr>
        <w:t> </w:t>
      </w:r>
      <w:r>
        <w:rPr/>
        <w:t>actuaciones</w:t>
      </w:r>
      <w:r>
        <w:rPr>
          <w:spacing w:val="-2"/>
        </w:rPr>
        <w:t> </w:t>
      </w:r>
      <w:r>
        <w:rPr/>
        <w:t>en</w:t>
      </w:r>
      <w:r>
        <w:rPr>
          <w:spacing w:val="-2"/>
        </w:rPr>
        <w:t> </w:t>
      </w:r>
      <w:r>
        <w:rPr/>
        <w:t>el</w:t>
      </w:r>
      <w:r>
        <w:rPr>
          <w:spacing w:val="-5"/>
        </w:rPr>
        <w:t> </w:t>
      </w:r>
      <w:r>
        <w:rPr/>
        <w:t>ámbito</w:t>
      </w:r>
      <w:r>
        <w:rPr>
          <w:spacing w:val="-4"/>
        </w:rPr>
        <w:t> </w:t>
      </w:r>
      <w:r>
        <w:rPr/>
        <w:t>de</w:t>
      </w:r>
      <w:r>
        <w:rPr>
          <w:spacing w:val="-2"/>
        </w:rPr>
        <w:t> </w:t>
      </w:r>
      <w:r>
        <w:rPr/>
        <w:t>la fiscalización</w:t>
      </w:r>
      <w:r>
        <w:rPr>
          <w:spacing w:val="-12"/>
        </w:rPr>
        <w:t> </w:t>
      </w:r>
      <w:r>
        <w:rPr/>
        <w:t>ha</w:t>
      </w:r>
      <w:r>
        <w:rPr>
          <w:spacing w:val="-12"/>
        </w:rPr>
        <w:t> </w:t>
      </w:r>
      <w:r>
        <w:rPr/>
        <w:t>sido</w:t>
      </w:r>
      <w:r>
        <w:rPr>
          <w:spacing w:val="-14"/>
        </w:rPr>
        <w:t> </w:t>
      </w:r>
      <w:r>
        <w:rPr/>
        <w:t>que</w:t>
      </w:r>
      <w:r>
        <w:rPr>
          <w:spacing w:val="-11"/>
        </w:rPr>
        <w:t> </w:t>
      </w:r>
      <w:r>
        <w:rPr/>
        <w:t>las</w:t>
      </w:r>
      <w:r>
        <w:rPr>
          <w:spacing w:val="-11"/>
        </w:rPr>
        <w:t> </w:t>
      </w:r>
      <w:r>
        <w:rPr/>
        <w:t>mismas</w:t>
      </w:r>
      <w:r>
        <w:rPr>
          <w:spacing w:val="-14"/>
        </w:rPr>
        <w:t> </w:t>
      </w:r>
      <w:r>
        <w:rPr/>
        <w:t>se</w:t>
      </w:r>
      <w:r>
        <w:rPr>
          <w:spacing w:val="-14"/>
        </w:rPr>
        <w:t> </w:t>
      </w:r>
      <w:r>
        <w:rPr/>
        <w:t>hubieran</w:t>
      </w:r>
      <w:r>
        <w:rPr>
          <w:spacing w:val="-9"/>
        </w:rPr>
        <w:t> </w:t>
      </w:r>
      <w:r>
        <w:rPr/>
        <w:t>iniciado</w:t>
      </w:r>
      <w:r>
        <w:rPr>
          <w:spacing w:val="-11"/>
        </w:rPr>
        <w:t> </w:t>
      </w:r>
      <w:r>
        <w:rPr/>
        <w:t>o</w:t>
      </w:r>
      <w:r>
        <w:rPr>
          <w:spacing w:val="-11"/>
        </w:rPr>
        <w:t> </w:t>
      </w:r>
      <w:r>
        <w:rPr/>
        <w:t>estuviesen</w:t>
      </w:r>
      <w:r>
        <w:rPr>
          <w:spacing w:val="-11"/>
        </w:rPr>
        <w:t> </w:t>
      </w:r>
      <w:r>
        <w:rPr/>
        <w:t>en</w:t>
      </w:r>
      <w:r>
        <w:rPr>
          <w:spacing w:val="-13"/>
        </w:rPr>
        <w:t> </w:t>
      </w:r>
      <w:r>
        <w:rPr/>
        <w:t>ejecución</w:t>
      </w:r>
      <w:r>
        <w:rPr>
          <w:spacing w:val="-12"/>
        </w:rPr>
        <w:t> </w:t>
      </w:r>
      <w:r>
        <w:rPr/>
        <w:t>en</w:t>
      </w:r>
      <w:r>
        <w:rPr>
          <w:spacing w:val="-12"/>
        </w:rPr>
        <w:t> </w:t>
      </w:r>
      <w:r>
        <w:rPr/>
        <w:t>2023</w:t>
      </w:r>
      <w:r>
        <w:rPr>
          <w:spacing w:val="-14"/>
        </w:rPr>
        <w:t> </w:t>
      </w:r>
      <w:r>
        <w:rPr/>
        <w:t>y</w:t>
      </w:r>
      <w:r>
        <w:rPr>
          <w:spacing w:val="-13"/>
        </w:rPr>
        <w:t> </w:t>
      </w:r>
      <w:r>
        <w:rPr/>
        <w:t>2024, pudiendo estar algunas de ellas, por lo tanto, sin concluir en esos ejercicios.</w:t>
      </w:r>
    </w:p>
    <w:p>
      <w:pPr>
        <w:pStyle w:val="BodyText"/>
        <w:spacing w:before="106"/>
      </w:pPr>
    </w:p>
    <w:p>
      <w:pPr>
        <w:pStyle w:val="Heading5"/>
        <w:numPr>
          <w:ilvl w:val="2"/>
          <w:numId w:val="3"/>
        </w:numPr>
        <w:tabs>
          <w:tab w:pos="1739" w:val="left" w:leader="none"/>
        </w:tabs>
        <w:spacing w:line="240" w:lineRule="auto" w:before="0" w:after="0"/>
        <w:ind w:left="1739" w:right="0" w:hanging="606"/>
        <w:jc w:val="left"/>
      </w:pPr>
      <w:bookmarkStart w:name="_bookmark38" w:id="40"/>
      <w:bookmarkEnd w:id="40"/>
      <w:r>
        <w:rPr>
          <w:b w:val="0"/>
        </w:rPr>
      </w:r>
      <w:r>
        <w:rPr/>
        <w:t>Situación</w:t>
      </w:r>
      <w:r>
        <w:rPr>
          <w:spacing w:val="-8"/>
        </w:rPr>
        <w:t> </w:t>
      </w:r>
      <w:r>
        <w:rPr/>
        <w:t>a</w:t>
      </w:r>
      <w:r>
        <w:rPr>
          <w:spacing w:val="-5"/>
        </w:rPr>
        <w:t> </w:t>
      </w:r>
      <w:r>
        <w:rPr/>
        <w:t>31</w:t>
      </w:r>
      <w:r>
        <w:rPr>
          <w:spacing w:val="-4"/>
        </w:rPr>
        <w:t> </w:t>
      </w:r>
      <w:r>
        <w:rPr/>
        <w:t>de</w:t>
      </w:r>
      <w:r>
        <w:rPr>
          <w:spacing w:val="-6"/>
        </w:rPr>
        <w:t> </w:t>
      </w:r>
      <w:r>
        <w:rPr/>
        <w:t>diciembre</w:t>
      </w:r>
      <w:r>
        <w:rPr>
          <w:spacing w:val="-3"/>
        </w:rPr>
        <w:t> </w:t>
      </w:r>
      <w:r>
        <w:rPr/>
        <w:t>de</w:t>
      </w:r>
      <w:r>
        <w:rPr>
          <w:spacing w:val="-6"/>
        </w:rPr>
        <w:t> </w:t>
      </w:r>
      <w:r>
        <w:rPr/>
        <w:t>2022</w:t>
      </w:r>
      <w:r>
        <w:rPr>
          <w:spacing w:val="-4"/>
        </w:rPr>
        <w:t> </w:t>
      </w:r>
      <w:r>
        <w:rPr/>
        <w:t>y</w:t>
      </w:r>
      <w:r>
        <w:rPr>
          <w:spacing w:val="-4"/>
        </w:rPr>
        <w:t> </w:t>
      </w:r>
      <w:r>
        <w:rPr/>
        <w:t>actuaciones</w:t>
      </w:r>
      <w:r>
        <w:rPr>
          <w:spacing w:val="-3"/>
        </w:rPr>
        <w:t> </w:t>
      </w:r>
      <w:r>
        <w:rPr/>
        <w:t>acometidas</w:t>
      </w:r>
      <w:r>
        <w:rPr>
          <w:spacing w:val="-6"/>
        </w:rPr>
        <w:t> </w:t>
      </w:r>
      <w:r>
        <w:rPr/>
        <w:t>en</w:t>
      </w:r>
      <w:r>
        <w:rPr>
          <w:spacing w:val="-3"/>
        </w:rPr>
        <w:t> </w:t>
      </w:r>
      <w:r>
        <w:rPr/>
        <w:t>2023</w:t>
      </w:r>
      <w:r>
        <w:rPr>
          <w:spacing w:val="-4"/>
        </w:rPr>
        <w:t> </w:t>
      </w:r>
      <w:r>
        <w:rPr/>
        <w:t>y</w:t>
      </w:r>
      <w:r>
        <w:rPr>
          <w:spacing w:val="-1"/>
        </w:rPr>
        <w:t> </w:t>
      </w:r>
      <w:r>
        <w:rPr>
          <w:spacing w:val="-4"/>
        </w:rPr>
        <w:t>2024</w:t>
      </w:r>
    </w:p>
    <w:p>
      <w:pPr>
        <w:pStyle w:val="BodyText"/>
        <w:spacing w:before="239"/>
        <w:ind w:left="992" w:right="989"/>
        <w:jc w:val="both"/>
      </w:pPr>
      <w:r>
        <w:rPr/>
        <w:t>Los</w:t>
      </w:r>
      <w:r>
        <w:rPr>
          <w:spacing w:val="-6"/>
        </w:rPr>
        <w:t> </w:t>
      </w:r>
      <w:r>
        <w:rPr/>
        <w:t>ayuntamientos</w:t>
      </w:r>
      <w:r>
        <w:rPr>
          <w:spacing w:val="-9"/>
        </w:rPr>
        <w:t> </w:t>
      </w:r>
      <w:r>
        <w:rPr/>
        <w:t>fiscalizados</w:t>
      </w:r>
      <w:r>
        <w:rPr>
          <w:spacing w:val="-5"/>
        </w:rPr>
        <w:t> </w:t>
      </w:r>
      <w:r>
        <w:rPr/>
        <w:t>realizaron</w:t>
      </w:r>
      <w:r>
        <w:rPr>
          <w:spacing w:val="-6"/>
        </w:rPr>
        <w:t> </w:t>
      </w:r>
      <w:r>
        <w:rPr/>
        <w:t>en</w:t>
      </w:r>
      <w:r>
        <w:rPr>
          <w:spacing w:val="-7"/>
        </w:rPr>
        <w:t> </w:t>
      </w:r>
      <w:r>
        <w:rPr/>
        <w:t>2023</w:t>
      </w:r>
      <w:r>
        <w:rPr>
          <w:spacing w:val="-6"/>
        </w:rPr>
        <w:t> </w:t>
      </w:r>
      <w:r>
        <w:rPr/>
        <w:t>y</w:t>
      </w:r>
      <w:r>
        <w:rPr>
          <w:spacing w:val="-6"/>
        </w:rPr>
        <w:t> </w:t>
      </w:r>
      <w:r>
        <w:rPr/>
        <w:t>2024</w:t>
      </w:r>
      <w:r>
        <w:rPr>
          <w:spacing w:val="-7"/>
        </w:rPr>
        <w:t> </w:t>
      </w:r>
      <w:r>
        <w:rPr/>
        <w:t>diversas</w:t>
      </w:r>
      <w:r>
        <w:rPr>
          <w:spacing w:val="-6"/>
        </w:rPr>
        <w:t> </w:t>
      </w:r>
      <w:r>
        <w:rPr/>
        <w:t>actuaciones</w:t>
      </w:r>
      <w:r>
        <w:rPr>
          <w:spacing w:val="-6"/>
        </w:rPr>
        <w:t> </w:t>
      </w:r>
      <w:r>
        <w:rPr/>
        <w:t>dirigidas</w:t>
      </w:r>
      <w:r>
        <w:rPr>
          <w:spacing w:val="-6"/>
        </w:rPr>
        <w:t> </w:t>
      </w:r>
      <w:r>
        <w:rPr/>
        <w:t>a</w:t>
      </w:r>
      <w:r>
        <w:rPr>
          <w:spacing w:val="-5"/>
        </w:rPr>
        <w:t> </w:t>
      </w:r>
      <w:r>
        <w:rPr/>
        <w:t>lograr</w:t>
      </w:r>
      <w:r>
        <w:rPr>
          <w:spacing w:val="-6"/>
        </w:rPr>
        <w:t> </w:t>
      </w:r>
      <w:r>
        <w:rPr/>
        <w:t>la movilidad</w:t>
      </w:r>
      <w:r>
        <w:rPr>
          <w:spacing w:val="-4"/>
        </w:rPr>
        <w:t> </w:t>
      </w:r>
      <w:r>
        <w:rPr/>
        <w:t>sostenible</w:t>
      </w:r>
      <w:r>
        <w:rPr>
          <w:spacing w:val="-4"/>
        </w:rPr>
        <w:t> </w:t>
      </w:r>
      <w:r>
        <w:rPr/>
        <w:t>en</w:t>
      </w:r>
      <w:r>
        <w:rPr>
          <w:spacing w:val="-8"/>
        </w:rPr>
        <w:t> </w:t>
      </w:r>
      <w:r>
        <w:rPr/>
        <w:t>el</w:t>
      </w:r>
      <w:r>
        <w:rPr>
          <w:spacing w:val="-5"/>
        </w:rPr>
        <w:t> </w:t>
      </w:r>
      <w:r>
        <w:rPr/>
        <w:t>transporte</w:t>
      </w:r>
      <w:r>
        <w:rPr>
          <w:spacing w:val="-6"/>
        </w:rPr>
        <w:t> </w:t>
      </w:r>
      <w:r>
        <w:rPr/>
        <w:t>colectivo</w:t>
      </w:r>
      <w:r>
        <w:rPr>
          <w:spacing w:val="-7"/>
        </w:rPr>
        <w:t> </w:t>
      </w:r>
      <w:r>
        <w:rPr/>
        <w:t>urbano,</w:t>
      </w:r>
      <w:r>
        <w:rPr>
          <w:spacing w:val="-5"/>
        </w:rPr>
        <w:t> </w:t>
      </w:r>
      <w:r>
        <w:rPr/>
        <w:t>que</w:t>
      </w:r>
      <w:r>
        <w:rPr>
          <w:spacing w:val="-6"/>
        </w:rPr>
        <w:t> </w:t>
      </w:r>
      <w:r>
        <w:rPr/>
        <w:t>han</w:t>
      </w:r>
      <w:r>
        <w:rPr>
          <w:spacing w:val="-6"/>
        </w:rPr>
        <w:t> </w:t>
      </w:r>
      <w:r>
        <w:rPr/>
        <w:t>supuesto</w:t>
      </w:r>
      <w:r>
        <w:rPr>
          <w:spacing w:val="-6"/>
        </w:rPr>
        <w:t> </w:t>
      </w:r>
      <w:r>
        <w:rPr/>
        <w:t>un</w:t>
      </w:r>
      <w:r>
        <w:rPr>
          <w:spacing w:val="-4"/>
        </w:rPr>
        <w:t> </w:t>
      </w:r>
      <w:r>
        <w:rPr/>
        <w:t>avance</w:t>
      </w:r>
      <w:r>
        <w:rPr>
          <w:spacing w:val="-7"/>
        </w:rPr>
        <w:t> </w:t>
      </w:r>
      <w:r>
        <w:rPr/>
        <w:t>en</w:t>
      </w:r>
      <w:r>
        <w:rPr>
          <w:spacing w:val="-7"/>
        </w:rPr>
        <w:t> </w:t>
      </w:r>
      <w:r>
        <w:rPr/>
        <w:t>este</w:t>
      </w:r>
      <w:r>
        <w:rPr>
          <w:spacing w:val="-6"/>
        </w:rPr>
        <w:t> </w:t>
      </w:r>
      <w:r>
        <w:rPr/>
        <w:t>ámbito respecto de su situación a 31 de diciembre de 2022.</w:t>
      </w:r>
    </w:p>
    <w:p>
      <w:pPr>
        <w:pStyle w:val="BodyText"/>
        <w:spacing w:before="109"/>
      </w:pPr>
    </w:p>
    <w:p>
      <w:pPr>
        <w:pStyle w:val="ListParagraph"/>
        <w:numPr>
          <w:ilvl w:val="3"/>
          <w:numId w:val="3"/>
        </w:numPr>
        <w:tabs>
          <w:tab w:pos="1779" w:val="left" w:leader="none"/>
        </w:tabs>
        <w:spacing w:line="240" w:lineRule="auto" w:before="0" w:after="0"/>
        <w:ind w:left="1779" w:right="0" w:hanging="787"/>
        <w:jc w:val="left"/>
        <w:rPr>
          <w:sz w:val="22"/>
        </w:rPr>
      </w:pPr>
      <w:r>
        <w:rPr>
          <w:sz w:val="22"/>
        </w:rPr>
        <w:t>AYUNTAMIENTO</w:t>
      </w:r>
      <w:r>
        <w:rPr>
          <w:spacing w:val="-6"/>
          <w:sz w:val="22"/>
        </w:rPr>
        <w:t> </w:t>
      </w:r>
      <w:r>
        <w:rPr>
          <w:sz w:val="22"/>
        </w:rPr>
        <w:t>DE</w:t>
      </w:r>
      <w:r>
        <w:rPr>
          <w:spacing w:val="-6"/>
          <w:sz w:val="22"/>
        </w:rPr>
        <w:t> </w:t>
      </w:r>
      <w:r>
        <w:rPr>
          <w:spacing w:val="-2"/>
          <w:sz w:val="22"/>
        </w:rPr>
        <w:t>ALICANTE</w:t>
      </w:r>
    </w:p>
    <w:p>
      <w:pPr>
        <w:pStyle w:val="BodyText"/>
        <w:spacing w:before="239"/>
        <w:ind w:left="992" w:right="988"/>
        <w:jc w:val="both"/>
      </w:pPr>
      <w:r>
        <w:rPr/>
        <w:t>El</w:t>
      </w:r>
      <w:r>
        <w:rPr>
          <w:spacing w:val="-16"/>
        </w:rPr>
        <w:t> </w:t>
      </w:r>
      <w:r>
        <w:rPr/>
        <w:t>servicio</w:t>
      </w:r>
      <w:r>
        <w:rPr>
          <w:spacing w:val="-15"/>
        </w:rPr>
        <w:t> </w:t>
      </w:r>
      <w:r>
        <w:rPr/>
        <w:t>de</w:t>
      </w:r>
      <w:r>
        <w:rPr>
          <w:spacing w:val="-15"/>
        </w:rPr>
        <w:t> </w:t>
      </w:r>
      <w:r>
        <w:rPr/>
        <w:t>transporte</w:t>
      </w:r>
      <w:r>
        <w:rPr>
          <w:spacing w:val="-16"/>
        </w:rPr>
        <w:t> </w:t>
      </w:r>
      <w:r>
        <w:rPr/>
        <w:t>urbano</w:t>
      </w:r>
      <w:r>
        <w:rPr>
          <w:spacing w:val="-15"/>
        </w:rPr>
        <w:t> </w:t>
      </w:r>
      <w:r>
        <w:rPr/>
        <w:t>en</w:t>
      </w:r>
      <w:r>
        <w:rPr>
          <w:spacing w:val="-15"/>
        </w:rPr>
        <w:t> </w:t>
      </w:r>
      <w:r>
        <w:rPr/>
        <w:t>Alicante</w:t>
      </w:r>
      <w:r>
        <w:rPr>
          <w:spacing w:val="-15"/>
        </w:rPr>
        <w:t> </w:t>
      </w:r>
      <w:r>
        <w:rPr/>
        <w:t>se</w:t>
      </w:r>
      <w:r>
        <w:rPr>
          <w:spacing w:val="-16"/>
        </w:rPr>
        <w:t> </w:t>
      </w:r>
      <w:r>
        <w:rPr/>
        <w:t>venía</w:t>
      </w:r>
      <w:r>
        <w:rPr>
          <w:spacing w:val="-15"/>
        </w:rPr>
        <w:t> </w:t>
      </w:r>
      <w:r>
        <w:rPr/>
        <w:t>prestando</w:t>
      </w:r>
      <w:r>
        <w:rPr>
          <w:spacing w:val="-15"/>
        </w:rPr>
        <w:t> </w:t>
      </w:r>
      <w:r>
        <w:rPr/>
        <w:t>hasta</w:t>
      </w:r>
      <w:r>
        <w:rPr>
          <w:spacing w:val="-16"/>
        </w:rPr>
        <w:t> </w:t>
      </w:r>
      <w:r>
        <w:rPr/>
        <w:t>2022</w:t>
      </w:r>
      <w:r>
        <w:rPr>
          <w:spacing w:val="-15"/>
        </w:rPr>
        <w:t> </w:t>
      </w:r>
      <w:r>
        <w:rPr/>
        <w:t>por</w:t>
      </w:r>
      <w:r>
        <w:rPr>
          <w:spacing w:val="-15"/>
        </w:rPr>
        <w:t> </w:t>
      </w:r>
      <w:r>
        <w:rPr/>
        <w:t>una</w:t>
      </w:r>
      <w:r>
        <w:rPr>
          <w:spacing w:val="-15"/>
        </w:rPr>
        <w:t> </w:t>
      </w:r>
      <w:r>
        <w:rPr/>
        <w:t>empresa</w:t>
      </w:r>
      <w:r>
        <w:rPr>
          <w:spacing w:val="-16"/>
        </w:rPr>
        <w:t> </w:t>
      </w:r>
      <w:r>
        <w:rPr/>
        <w:t>externa con la que el </w:t>
      </w:r>
      <w:r>
        <w:rPr>
          <w:b/>
        </w:rPr>
        <w:t>Ayuntamiento de Alicante </w:t>
      </w:r>
      <w:r>
        <w:rPr/>
        <w:t>había celebrado un contrato de concesión en agosto de 1970, por</w:t>
      </w:r>
      <w:r>
        <w:rPr>
          <w:spacing w:val="-1"/>
        </w:rPr>
        <w:t> </w:t>
      </w:r>
      <w:r>
        <w:rPr/>
        <w:t>un</w:t>
      </w:r>
      <w:r>
        <w:rPr>
          <w:spacing w:val="-2"/>
        </w:rPr>
        <w:t> </w:t>
      </w:r>
      <w:r>
        <w:rPr/>
        <w:t>plazo</w:t>
      </w:r>
      <w:r>
        <w:rPr>
          <w:spacing w:val="-2"/>
        </w:rPr>
        <w:t> </w:t>
      </w:r>
      <w:r>
        <w:rPr/>
        <w:t>de</w:t>
      </w:r>
      <w:r>
        <w:rPr>
          <w:spacing w:val="-2"/>
        </w:rPr>
        <w:t> </w:t>
      </w:r>
      <w:r>
        <w:rPr/>
        <w:t>50</w:t>
      </w:r>
      <w:r>
        <w:rPr>
          <w:spacing w:val="-2"/>
        </w:rPr>
        <w:t> </w:t>
      </w:r>
      <w:r>
        <w:rPr/>
        <w:t>años, siendo</w:t>
      </w:r>
      <w:r>
        <w:rPr>
          <w:spacing w:val="-2"/>
        </w:rPr>
        <w:t> </w:t>
      </w:r>
      <w:r>
        <w:rPr/>
        <w:t>su</w:t>
      </w:r>
      <w:r>
        <w:rPr>
          <w:spacing w:val="-1"/>
        </w:rPr>
        <w:t> </w:t>
      </w:r>
      <w:r>
        <w:rPr/>
        <w:t>fecha</w:t>
      </w:r>
      <w:r>
        <w:rPr>
          <w:spacing w:val="-2"/>
        </w:rPr>
        <w:t> </w:t>
      </w:r>
      <w:r>
        <w:rPr/>
        <w:t>de</w:t>
      </w:r>
      <w:r>
        <w:rPr>
          <w:spacing w:val="-2"/>
        </w:rPr>
        <w:t> </w:t>
      </w:r>
      <w:r>
        <w:rPr/>
        <w:t>finalización el</w:t>
      </w:r>
      <w:r>
        <w:rPr>
          <w:spacing w:val="-1"/>
        </w:rPr>
        <w:t> </w:t>
      </w:r>
      <w:r>
        <w:rPr/>
        <w:t>16</w:t>
      </w:r>
      <w:r>
        <w:rPr>
          <w:spacing w:val="-2"/>
        </w:rPr>
        <w:t> </w:t>
      </w:r>
      <w:r>
        <w:rPr/>
        <w:t>de</w:t>
      </w:r>
      <w:r>
        <w:rPr>
          <w:spacing w:val="-3"/>
        </w:rPr>
        <w:t> </w:t>
      </w:r>
      <w:r>
        <w:rPr/>
        <w:t>julio de</w:t>
      </w:r>
      <w:r>
        <w:rPr>
          <w:spacing w:val="-2"/>
        </w:rPr>
        <w:t> </w:t>
      </w:r>
      <w:r>
        <w:rPr/>
        <w:t>2019. Un</w:t>
      </w:r>
      <w:r>
        <w:rPr>
          <w:spacing w:val="-2"/>
        </w:rPr>
        <w:t> </w:t>
      </w:r>
      <w:r>
        <w:rPr/>
        <w:t>día</w:t>
      </w:r>
      <w:r>
        <w:rPr>
          <w:spacing w:val="-1"/>
        </w:rPr>
        <w:t> </w:t>
      </w:r>
      <w:r>
        <w:rPr/>
        <w:t>antes de</w:t>
      </w:r>
      <w:r>
        <w:rPr>
          <w:spacing w:val="-16"/>
        </w:rPr>
        <w:t> </w:t>
      </w:r>
      <w:r>
        <w:rPr/>
        <w:t>esa</w:t>
      </w:r>
      <w:r>
        <w:rPr>
          <w:spacing w:val="-15"/>
        </w:rPr>
        <w:t> </w:t>
      </w:r>
      <w:r>
        <w:rPr/>
        <w:t>fecha,</w:t>
      </w:r>
      <w:r>
        <w:rPr>
          <w:spacing w:val="-15"/>
        </w:rPr>
        <w:t> </w:t>
      </w:r>
      <w:r>
        <w:rPr/>
        <w:t>la</w:t>
      </w:r>
      <w:r>
        <w:rPr>
          <w:spacing w:val="-16"/>
        </w:rPr>
        <w:t> </w:t>
      </w:r>
      <w:r>
        <w:rPr/>
        <w:t>Junta</w:t>
      </w:r>
      <w:r>
        <w:rPr>
          <w:spacing w:val="-15"/>
        </w:rPr>
        <w:t> </w:t>
      </w:r>
      <w:r>
        <w:rPr/>
        <w:t>de</w:t>
      </w:r>
      <w:r>
        <w:rPr>
          <w:spacing w:val="-15"/>
        </w:rPr>
        <w:t> </w:t>
      </w:r>
      <w:r>
        <w:rPr/>
        <w:t>Gobierno</w:t>
      </w:r>
      <w:r>
        <w:rPr>
          <w:spacing w:val="-15"/>
        </w:rPr>
        <w:t> </w:t>
      </w:r>
      <w:r>
        <w:rPr/>
        <w:t>Local</w:t>
      </w:r>
      <w:r>
        <w:rPr>
          <w:spacing w:val="-16"/>
        </w:rPr>
        <w:t> </w:t>
      </w:r>
      <w:r>
        <w:rPr/>
        <w:t>acordó</w:t>
      </w:r>
      <w:r>
        <w:rPr>
          <w:spacing w:val="-15"/>
        </w:rPr>
        <w:t> </w:t>
      </w:r>
      <w:r>
        <w:rPr/>
        <w:t>la</w:t>
      </w:r>
      <w:r>
        <w:rPr>
          <w:spacing w:val="-15"/>
        </w:rPr>
        <w:t> </w:t>
      </w:r>
      <w:r>
        <w:rPr/>
        <w:t>prórroga</w:t>
      </w:r>
      <w:r>
        <w:rPr>
          <w:spacing w:val="-16"/>
        </w:rPr>
        <w:t> </w:t>
      </w:r>
      <w:r>
        <w:rPr/>
        <w:t>excepcional</w:t>
      </w:r>
      <w:r>
        <w:rPr>
          <w:spacing w:val="-15"/>
        </w:rPr>
        <w:t> </w:t>
      </w:r>
      <w:r>
        <w:rPr/>
        <w:t>de</w:t>
      </w:r>
      <w:r>
        <w:rPr>
          <w:spacing w:val="-15"/>
        </w:rPr>
        <w:t> </w:t>
      </w:r>
      <w:r>
        <w:rPr/>
        <w:t>la</w:t>
      </w:r>
      <w:r>
        <w:rPr>
          <w:spacing w:val="-15"/>
        </w:rPr>
        <w:t> </w:t>
      </w:r>
      <w:r>
        <w:rPr/>
        <w:t>concesión</w:t>
      </w:r>
      <w:r>
        <w:rPr>
          <w:spacing w:val="-16"/>
        </w:rPr>
        <w:t> </w:t>
      </w:r>
      <w:r>
        <w:rPr/>
        <w:t>por</w:t>
      </w:r>
      <w:r>
        <w:rPr>
          <w:spacing w:val="-15"/>
        </w:rPr>
        <w:t> </w:t>
      </w:r>
      <w:r>
        <w:rPr/>
        <w:t>motivos de interés público.</w:t>
      </w:r>
    </w:p>
    <w:p>
      <w:pPr>
        <w:pStyle w:val="BodyText"/>
        <w:spacing w:before="241"/>
        <w:ind w:left="992" w:right="989"/>
        <w:jc w:val="both"/>
      </w:pPr>
      <w:r>
        <w:rPr/>
        <w:t>En marzo de 2022 el Ayuntamiento aprobó el Proyecto de Servicio Público de Transporte urbano de viajeros en la ciudad de Alicante, que tenía por objetivo el diagnóstico, diseño y gestión de la nueva</w:t>
      </w:r>
      <w:r>
        <w:rPr>
          <w:spacing w:val="-13"/>
        </w:rPr>
        <w:t> </w:t>
      </w:r>
      <w:r>
        <w:rPr/>
        <w:t>prestación</w:t>
      </w:r>
      <w:r>
        <w:rPr>
          <w:spacing w:val="-14"/>
        </w:rPr>
        <w:t> </w:t>
      </w:r>
      <w:r>
        <w:rPr/>
        <w:t>del</w:t>
      </w:r>
      <w:r>
        <w:rPr>
          <w:spacing w:val="-14"/>
        </w:rPr>
        <w:t> </w:t>
      </w:r>
      <w:r>
        <w:rPr/>
        <w:t>servicio</w:t>
      </w:r>
      <w:r>
        <w:rPr>
          <w:spacing w:val="-11"/>
        </w:rPr>
        <w:t> </w:t>
      </w:r>
      <w:r>
        <w:rPr/>
        <w:t>de</w:t>
      </w:r>
      <w:r>
        <w:rPr>
          <w:spacing w:val="-14"/>
        </w:rPr>
        <w:t> </w:t>
      </w:r>
      <w:r>
        <w:rPr/>
        <w:t>transporte</w:t>
      </w:r>
      <w:r>
        <w:rPr>
          <w:spacing w:val="-14"/>
        </w:rPr>
        <w:t> </w:t>
      </w:r>
      <w:r>
        <w:rPr/>
        <w:t>público</w:t>
      </w:r>
      <w:r>
        <w:rPr>
          <w:spacing w:val="-11"/>
        </w:rPr>
        <w:t> </w:t>
      </w:r>
      <w:r>
        <w:rPr/>
        <w:t>colectivo</w:t>
      </w:r>
      <w:r>
        <w:rPr>
          <w:spacing w:val="-14"/>
        </w:rPr>
        <w:t> </w:t>
      </w:r>
      <w:r>
        <w:rPr/>
        <w:t>urbano.</w:t>
      </w:r>
      <w:r>
        <w:rPr>
          <w:spacing w:val="-13"/>
        </w:rPr>
        <w:t> </w:t>
      </w:r>
      <w:r>
        <w:rPr/>
        <w:t>Para</w:t>
      </w:r>
      <w:r>
        <w:rPr>
          <w:spacing w:val="-16"/>
        </w:rPr>
        <w:t> </w:t>
      </w:r>
      <w:r>
        <w:rPr/>
        <w:t>su</w:t>
      </w:r>
      <w:r>
        <w:rPr>
          <w:spacing w:val="-11"/>
        </w:rPr>
        <w:t> </w:t>
      </w:r>
      <w:r>
        <w:rPr/>
        <w:t>elaboración,</w:t>
      </w:r>
      <w:r>
        <w:rPr>
          <w:spacing w:val="-10"/>
        </w:rPr>
        <w:t> </w:t>
      </w:r>
      <w:r>
        <w:rPr/>
        <w:t>contó</w:t>
      </w:r>
      <w:r>
        <w:rPr>
          <w:spacing w:val="-14"/>
        </w:rPr>
        <w:t> </w:t>
      </w:r>
      <w:r>
        <w:rPr/>
        <w:t>con una mesa del transporte, que integraba representación vecinal, conductores, representación de la concesionaria</w:t>
      </w:r>
      <w:r>
        <w:rPr>
          <w:spacing w:val="-12"/>
        </w:rPr>
        <w:t> </w:t>
      </w:r>
      <w:r>
        <w:rPr/>
        <w:t>del</w:t>
      </w:r>
      <w:r>
        <w:rPr>
          <w:spacing w:val="-14"/>
        </w:rPr>
        <w:t> </w:t>
      </w:r>
      <w:r>
        <w:rPr/>
        <w:t>servicio</w:t>
      </w:r>
      <w:r>
        <w:rPr>
          <w:spacing w:val="-11"/>
        </w:rPr>
        <w:t> </w:t>
      </w:r>
      <w:r>
        <w:rPr/>
        <w:t>y</w:t>
      </w:r>
      <w:r>
        <w:rPr>
          <w:spacing w:val="-13"/>
        </w:rPr>
        <w:t> </w:t>
      </w:r>
      <w:r>
        <w:rPr/>
        <w:t>técnicos</w:t>
      </w:r>
      <w:r>
        <w:rPr>
          <w:spacing w:val="-16"/>
        </w:rPr>
        <w:t> </w:t>
      </w:r>
      <w:r>
        <w:rPr/>
        <w:t>municipales.</w:t>
      </w:r>
      <w:r>
        <w:rPr>
          <w:spacing w:val="-12"/>
        </w:rPr>
        <w:t> </w:t>
      </w:r>
      <w:r>
        <w:rPr/>
        <w:t>Las</w:t>
      </w:r>
      <w:r>
        <w:rPr>
          <w:spacing w:val="-13"/>
        </w:rPr>
        <w:t> </w:t>
      </w:r>
      <w:r>
        <w:rPr/>
        <w:t>propuestas</w:t>
      </w:r>
      <w:r>
        <w:rPr>
          <w:spacing w:val="-14"/>
        </w:rPr>
        <w:t> </w:t>
      </w:r>
      <w:r>
        <w:rPr/>
        <w:t>de</w:t>
      </w:r>
      <w:r>
        <w:rPr>
          <w:spacing w:val="-14"/>
        </w:rPr>
        <w:t> </w:t>
      </w:r>
      <w:r>
        <w:rPr/>
        <w:t>la</w:t>
      </w:r>
      <w:r>
        <w:rPr>
          <w:spacing w:val="-14"/>
        </w:rPr>
        <w:t> </w:t>
      </w:r>
      <w:r>
        <w:rPr/>
        <w:t>mesa</w:t>
      </w:r>
      <w:r>
        <w:rPr>
          <w:spacing w:val="-11"/>
        </w:rPr>
        <w:t> </w:t>
      </w:r>
      <w:r>
        <w:rPr/>
        <w:t>del</w:t>
      </w:r>
      <w:r>
        <w:rPr>
          <w:spacing w:val="-14"/>
        </w:rPr>
        <w:t> </w:t>
      </w:r>
      <w:r>
        <w:rPr/>
        <w:t>transporte</w:t>
      </w:r>
      <w:r>
        <w:rPr>
          <w:spacing w:val="-11"/>
        </w:rPr>
        <w:t> </w:t>
      </w:r>
      <w:r>
        <w:rPr/>
        <w:t>incluían la</w:t>
      </w:r>
      <w:r>
        <w:rPr>
          <w:spacing w:val="-14"/>
        </w:rPr>
        <w:t> </w:t>
      </w:r>
      <w:r>
        <w:rPr/>
        <w:t>modificación</w:t>
      </w:r>
      <w:r>
        <w:rPr>
          <w:spacing w:val="-14"/>
        </w:rPr>
        <w:t> </w:t>
      </w:r>
      <w:r>
        <w:rPr/>
        <w:t>de</w:t>
      </w:r>
      <w:r>
        <w:rPr>
          <w:spacing w:val="-14"/>
        </w:rPr>
        <w:t> </w:t>
      </w:r>
      <w:r>
        <w:rPr/>
        <w:t>las</w:t>
      </w:r>
      <w:r>
        <w:rPr>
          <w:spacing w:val="-13"/>
        </w:rPr>
        <w:t> </w:t>
      </w:r>
      <w:r>
        <w:rPr/>
        <w:t>líneas</w:t>
      </w:r>
      <w:r>
        <w:rPr>
          <w:spacing w:val="-13"/>
        </w:rPr>
        <w:t> </w:t>
      </w:r>
      <w:r>
        <w:rPr/>
        <w:t>existentes</w:t>
      </w:r>
      <w:r>
        <w:rPr>
          <w:spacing w:val="-13"/>
        </w:rPr>
        <w:t> </w:t>
      </w:r>
      <w:r>
        <w:rPr/>
        <w:t>y</w:t>
      </w:r>
      <w:r>
        <w:rPr>
          <w:spacing w:val="-13"/>
        </w:rPr>
        <w:t> </w:t>
      </w:r>
      <w:r>
        <w:rPr/>
        <w:t>el</w:t>
      </w:r>
      <w:r>
        <w:rPr>
          <w:spacing w:val="-15"/>
        </w:rPr>
        <w:t> </w:t>
      </w:r>
      <w:r>
        <w:rPr/>
        <w:t>establecimiento</w:t>
      </w:r>
      <w:r>
        <w:rPr>
          <w:spacing w:val="-14"/>
        </w:rPr>
        <w:t> </w:t>
      </w:r>
      <w:r>
        <w:rPr/>
        <w:t>de</w:t>
      </w:r>
      <w:r>
        <w:rPr>
          <w:spacing w:val="-14"/>
        </w:rPr>
        <w:t> </w:t>
      </w:r>
      <w:r>
        <w:rPr/>
        <w:t>un</w:t>
      </w:r>
      <w:r>
        <w:rPr>
          <w:spacing w:val="-16"/>
        </w:rPr>
        <w:t> </w:t>
      </w:r>
      <w:r>
        <w:rPr/>
        <w:t>sistema</w:t>
      </w:r>
      <w:r>
        <w:rPr>
          <w:spacing w:val="-15"/>
        </w:rPr>
        <w:t> </w:t>
      </w:r>
      <w:r>
        <w:rPr/>
        <w:t>de</w:t>
      </w:r>
      <w:r>
        <w:rPr>
          <w:spacing w:val="-13"/>
        </w:rPr>
        <w:t> </w:t>
      </w:r>
      <w:r>
        <w:rPr/>
        <w:t>transporte</w:t>
      </w:r>
      <w:r>
        <w:rPr>
          <w:spacing w:val="-14"/>
        </w:rPr>
        <w:t> </w:t>
      </w:r>
      <w:r>
        <w:rPr/>
        <w:t>a</w:t>
      </w:r>
      <w:r>
        <w:rPr>
          <w:spacing w:val="-14"/>
        </w:rPr>
        <w:t> </w:t>
      </w:r>
      <w:r>
        <w:rPr/>
        <w:t>demanda, que</w:t>
      </w:r>
      <w:r>
        <w:rPr>
          <w:spacing w:val="-3"/>
        </w:rPr>
        <w:t> </w:t>
      </w:r>
      <w:r>
        <w:rPr/>
        <w:t>se</w:t>
      </w:r>
      <w:r>
        <w:rPr>
          <w:spacing w:val="-4"/>
        </w:rPr>
        <w:t> </w:t>
      </w:r>
      <w:r>
        <w:rPr/>
        <w:t>incorporaron</w:t>
      </w:r>
      <w:r>
        <w:rPr>
          <w:spacing w:val="-4"/>
        </w:rPr>
        <w:t> </w:t>
      </w:r>
      <w:r>
        <w:rPr/>
        <w:t>entre</w:t>
      </w:r>
      <w:r>
        <w:rPr>
          <w:spacing w:val="-3"/>
        </w:rPr>
        <w:t> </w:t>
      </w:r>
      <w:r>
        <w:rPr/>
        <w:t>las</w:t>
      </w:r>
      <w:r>
        <w:rPr>
          <w:spacing w:val="-4"/>
        </w:rPr>
        <w:t> </w:t>
      </w:r>
      <w:r>
        <w:rPr/>
        <w:t>condiciones</w:t>
      </w:r>
      <w:r>
        <w:rPr>
          <w:spacing w:val="-3"/>
        </w:rPr>
        <w:t> </w:t>
      </w:r>
      <w:r>
        <w:rPr/>
        <w:t>previstas</w:t>
      </w:r>
      <w:r>
        <w:rPr>
          <w:spacing w:val="-3"/>
        </w:rPr>
        <w:t> </w:t>
      </w:r>
      <w:r>
        <w:rPr/>
        <w:t>en</w:t>
      </w:r>
      <w:r>
        <w:rPr>
          <w:spacing w:val="-4"/>
        </w:rPr>
        <w:t> </w:t>
      </w:r>
      <w:r>
        <w:rPr/>
        <w:t>la</w:t>
      </w:r>
      <w:r>
        <w:rPr>
          <w:spacing w:val="-3"/>
        </w:rPr>
        <w:t> </w:t>
      </w:r>
      <w:r>
        <w:rPr/>
        <w:t>licitación</w:t>
      </w:r>
      <w:r>
        <w:rPr>
          <w:spacing w:val="-4"/>
        </w:rPr>
        <w:t> </w:t>
      </w:r>
      <w:r>
        <w:rPr/>
        <w:t>del</w:t>
      </w:r>
      <w:r>
        <w:rPr>
          <w:spacing w:val="-3"/>
        </w:rPr>
        <w:t> </w:t>
      </w:r>
      <w:r>
        <w:rPr/>
        <w:t>nuevo</w:t>
      </w:r>
      <w:r>
        <w:rPr>
          <w:spacing w:val="-3"/>
        </w:rPr>
        <w:t> </w:t>
      </w:r>
      <w:r>
        <w:rPr/>
        <w:t>servicio</w:t>
      </w:r>
      <w:r>
        <w:rPr>
          <w:spacing w:val="-3"/>
        </w:rPr>
        <w:t> </w:t>
      </w:r>
      <w:r>
        <w:rPr/>
        <w:t>de</w:t>
      </w:r>
      <w:r>
        <w:rPr>
          <w:spacing w:val="-6"/>
        </w:rPr>
        <w:t> </w:t>
      </w:r>
      <w:r>
        <w:rPr/>
        <w:t>transporte público urbano colectivo de viajeros.</w:t>
      </w:r>
    </w:p>
    <w:p>
      <w:pPr>
        <w:pStyle w:val="BodyText"/>
        <w:spacing w:before="239"/>
        <w:ind w:left="992" w:right="990"/>
        <w:jc w:val="both"/>
      </w:pPr>
      <w:r>
        <w:rPr/>
        <w:t>El</w:t>
      </w:r>
      <w:r>
        <w:rPr>
          <w:spacing w:val="-2"/>
        </w:rPr>
        <w:t> </w:t>
      </w:r>
      <w:r>
        <w:rPr/>
        <w:t>nuevo</w:t>
      </w:r>
      <w:r>
        <w:rPr>
          <w:spacing w:val="-4"/>
        </w:rPr>
        <w:t> </w:t>
      </w:r>
      <w:r>
        <w:rPr/>
        <w:t>contrato</w:t>
      </w:r>
      <w:r>
        <w:rPr>
          <w:spacing w:val="-4"/>
        </w:rPr>
        <w:t> </w:t>
      </w:r>
      <w:r>
        <w:rPr/>
        <w:t>de</w:t>
      </w:r>
      <w:r>
        <w:rPr>
          <w:spacing w:val="-4"/>
        </w:rPr>
        <w:t> </w:t>
      </w:r>
      <w:r>
        <w:rPr/>
        <w:t>concesión</w:t>
      </w:r>
      <w:r>
        <w:rPr>
          <w:spacing w:val="-2"/>
        </w:rPr>
        <w:t> </w:t>
      </w:r>
      <w:r>
        <w:rPr/>
        <w:t>del</w:t>
      </w:r>
      <w:r>
        <w:rPr>
          <w:spacing w:val="-2"/>
        </w:rPr>
        <w:t> </w:t>
      </w:r>
      <w:r>
        <w:rPr/>
        <w:t>servicio</w:t>
      </w:r>
      <w:r>
        <w:rPr>
          <w:spacing w:val="-4"/>
        </w:rPr>
        <w:t> </w:t>
      </w:r>
      <w:r>
        <w:rPr/>
        <w:t>se</w:t>
      </w:r>
      <w:r>
        <w:rPr>
          <w:spacing w:val="-4"/>
        </w:rPr>
        <w:t> </w:t>
      </w:r>
      <w:r>
        <w:rPr/>
        <w:t>formalizó</w:t>
      </w:r>
      <w:r>
        <w:rPr>
          <w:spacing w:val="-2"/>
        </w:rPr>
        <w:t> </w:t>
      </w:r>
      <w:r>
        <w:rPr/>
        <w:t>el</w:t>
      </w:r>
      <w:r>
        <w:rPr>
          <w:spacing w:val="-2"/>
        </w:rPr>
        <w:t> </w:t>
      </w:r>
      <w:r>
        <w:rPr/>
        <w:t>16</w:t>
      </w:r>
      <w:r>
        <w:rPr>
          <w:spacing w:val="-4"/>
        </w:rPr>
        <w:t> </w:t>
      </w:r>
      <w:r>
        <w:rPr/>
        <w:t>de</w:t>
      </w:r>
      <w:r>
        <w:rPr>
          <w:spacing w:val="-4"/>
        </w:rPr>
        <w:t> </w:t>
      </w:r>
      <w:r>
        <w:rPr/>
        <w:t>diciembre</w:t>
      </w:r>
      <w:r>
        <w:rPr>
          <w:spacing w:val="-2"/>
        </w:rPr>
        <w:t> </w:t>
      </w:r>
      <w:r>
        <w:rPr/>
        <w:t>de</w:t>
      </w:r>
      <w:r>
        <w:rPr>
          <w:spacing w:val="-4"/>
        </w:rPr>
        <w:t> </w:t>
      </w:r>
      <w:r>
        <w:rPr/>
        <w:t>2022,</w:t>
      </w:r>
      <w:r>
        <w:rPr>
          <w:spacing w:val="-3"/>
        </w:rPr>
        <w:t> </w:t>
      </w:r>
      <w:r>
        <w:rPr/>
        <w:t>iniciándose</w:t>
      </w:r>
      <w:r>
        <w:rPr>
          <w:spacing w:val="-2"/>
        </w:rPr>
        <w:t> </w:t>
      </w:r>
      <w:r>
        <w:rPr/>
        <w:t>la prestación del servicio el 1 de enero de 2023, con una duración de diez años.</w:t>
      </w:r>
    </w:p>
    <w:p>
      <w:pPr>
        <w:pStyle w:val="BodyText"/>
        <w:spacing w:line="242" w:lineRule="auto" w:before="240"/>
        <w:ind w:left="992" w:right="990"/>
        <w:jc w:val="both"/>
      </w:pPr>
      <w:r>
        <w:rPr/>
        <w:t>A</w:t>
      </w:r>
      <w:r>
        <w:rPr>
          <w:spacing w:val="-12"/>
        </w:rPr>
        <w:t> </w:t>
      </w:r>
      <w:r>
        <w:rPr/>
        <w:t>31</w:t>
      </w:r>
      <w:r>
        <w:rPr>
          <w:spacing w:val="-12"/>
        </w:rPr>
        <w:t> </w:t>
      </w:r>
      <w:r>
        <w:rPr/>
        <w:t>de</w:t>
      </w:r>
      <w:r>
        <w:rPr>
          <w:spacing w:val="-14"/>
        </w:rPr>
        <w:t> </w:t>
      </w:r>
      <w:r>
        <w:rPr/>
        <w:t>diciembre</w:t>
      </w:r>
      <w:r>
        <w:rPr>
          <w:spacing w:val="-11"/>
        </w:rPr>
        <w:t> </w:t>
      </w:r>
      <w:r>
        <w:rPr/>
        <w:t>de</w:t>
      </w:r>
      <w:r>
        <w:rPr>
          <w:spacing w:val="-14"/>
        </w:rPr>
        <w:t> </w:t>
      </w:r>
      <w:r>
        <w:rPr/>
        <w:t>2022,</w:t>
      </w:r>
      <w:r>
        <w:rPr>
          <w:spacing w:val="-10"/>
        </w:rPr>
        <w:t> </w:t>
      </w:r>
      <w:r>
        <w:rPr/>
        <w:t>esto</w:t>
      </w:r>
      <w:r>
        <w:rPr>
          <w:spacing w:val="-14"/>
        </w:rPr>
        <w:t> </w:t>
      </w:r>
      <w:r>
        <w:rPr/>
        <w:t>es,</w:t>
      </w:r>
      <w:r>
        <w:rPr>
          <w:spacing w:val="-13"/>
        </w:rPr>
        <w:t> </w:t>
      </w:r>
      <w:r>
        <w:rPr/>
        <w:t>en</w:t>
      </w:r>
      <w:r>
        <w:rPr>
          <w:spacing w:val="-14"/>
        </w:rPr>
        <w:t> </w:t>
      </w:r>
      <w:r>
        <w:rPr/>
        <w:t>el</w:t>
      </w:r>
      <w:r>
        <w:rPr>
          <w:spacing w:val="-12"/>
        </w:rPr>
        <w:t> </w:t>
      </w:r>
      <w:r>
        <w:rPr/>
        <w:t>último</w:t>
      </w:r>
      <w:r>
        <w:rPr>
          <w:spacing w:val="-11"/>
        </w:rPr>
        <w:t> </w:t>
      </w:r>
      <w:r>
        <w:rPr/>
        <w:t>año</w:t>
      </w:r>
      <w:r>
        <w:rPr>
          <w:spacing w:val="-12"/>
        </w:rPr>
        <w:t> </w:t>
      </w:r>
      <w:r>
        <w:rPr/>
        <w:t>que</w:t>
      </w:r>
      <w:r>
        <w:rPr>
          <w:spacing w:val="-11"/>
        </w:rPr>
        <w:t> </w:t>
      </w:r>
      <w:r>
        <w:rPr/>
        <w:t>prestaba</w:t>
      </w:r>
      <w:r>
        <w:rPr>
          <w:spacing w:val="-14"/>
        </w:rPr>
        <w:t> </w:t>
      </w:r>
      <w:r>
        <w:rPr/>
        <w:t>servicio</w:t>
      </w:r>
      <w:r>
        <w:rPr>
          <w:spacing w:val="-14"/>
        </w:rPr>
        <w:t> </w:t>
      </w:r>
      <w:r>
        <w:rPr/>
        <w:t>la</w:t>
      </w:r>
      <w:r>
        <w:rPr>
          <w:spacing w:val="-11"/>
        </w:rPr>
        <w:t> </w:t>
      </w:r>
      <w:r>
        <w:rPr/>
        <w:t>anterior</w:t>
      </w:r>
      <w:r>
        <w:rPr>
          <w:spacing w:val="-10"/>
        </w:rPr>
        <w:t> </w:t>
      </w:r>
      <w:r>
        <w:rPr/>
        <w:t>concesionaria, la flota de autobuses solo contaba con cinco autobuses híbridos y 92 térmicos, ninguno eléctrico.</w:t>
      </w:r>
    </w:p>
    <w:p>
      <w:pPr>
        <w:pStyle w:val="BodyText"/>
        <w:spacing w:before="236"/>
        <w:ind w:left="992" w:right="989"/>
        <w:jc w:val="both"/>
      </w:pPr>
      <w:r>
        <w:rPr/>
        <w:t>A esa fecha, la entidad no disponía de sistemas que contribuían a reducir el consumo de energía en los edificios, centros e instalaciones destinados al transporte público colectivo, tales como luminarias de bajo consumo energético o sistemas de climatización sostenibles energéticamente. Tampoco</w:t>
      </w:r>
      <w:r>
        <w:rPr>
          <w:spacing w:val="-2"/>
        </w:rPr>
        <w:t> </w:t>
      </w:r>
      <w:r>
        <w:rPr/>
        <w:t>estaba</w:t>
      </w:r>
      <w:r>
        <w:rPr>
          <w:spacing w:val="-2"/>
        </w:rPr>
        <w:t> </w:t>
      </w:r>
      <w:r>
        <w:rPr/>
        <w:t>haciendo</w:t>
      </w:r>
      <w:r>
        <w:rPr>
          <w:spacing w:val="-2"/>
        </w:rPr>
        <w:t> </w:t>
      </w:r>
      <w:r>
        <w:rPr/>
        <w:t>uso</w:t>
      </w:r>
      <w:r>
        <w:rPr>
          <w:spacing w:val="-2"/>
        </w:rPr>
        <w:t> </w:t>
      </w:r>
      <w:r>
        <w:rPr/>
        <w:t>de</w:t>
      </w:r>
      <w:r>
        <w:rPr>
          <w:spacing w:val="-2"/>
        </w:rPr>
        <w:t> </w:t>
      </w:r>
      <w:r>
        <w:rPr/>
        <w:t>energías</w:t>
      </w:r>
      <w:r>
        <w:rPr>
          <w:spacing w:val="-2"/>
        </w:rPr>
        <w:t> </w:t>
      </w:r>
      <w:r>
        <w:rPr/>
        <w:t>renovables</w:t>
      </w:r>
      <w:r>
        <w:rPr>
          <w:spacing w:val="-2"/>
        </w:rPr>
        <w:t> </w:t>
      </w:r>
      <w:r>
        <w:rPr/>
        <w:t>como</w:t>
      </w:r>
      <w:r>
        <w:rPr>
          <w:spacing w:val="-2"/>
        </w:rPr>
        <w:t> </w:t>
      </w:r>
      <w:r>
        <w:rPr/>
        <w:t>paneles</w:t>
      </w:r>
      <w:r>
        <w:rPr>
          <w:spacing w:val="-2"/>
        </w:rPr>
        <w:t> </w:t>
      </w:r>
      <w:r>
        <w:rPr/>
        <w:t>solares</w:t>
      </w:r>
      <w:r>
        <w:rPr>
          <w:spacing w:val="-1"/>
        </w:rPr>
        <w:t> </w:t>
      </w:r>
      <w:r>
        <w:rPr/>
        <w:t>térmicos</w:t>
      </w:r>
      <w:r>
        <w:rPr>
          <w:spacing w:val="-2"/>
        </w:rPr>
        <w:t> </w:t>
      </w:r>
      <w:r>
        <w:rPr/>
        <w:t>en</w:t>
      </w:r>
      <w:r>
        <w:rPr>
          <w:spacing w:val="-4"/>
        </w:rPr>
        <w:t> </w:t>
      </w:r>
      <w:r>
        <w:rPr/>
        <w:t>edificios ni placas fotovoltaicas en autobuses, paradas, estaciones y centros logísticos. Tampoco disponía de hidrogeneras, electrolineras ni de pantógrafos.</w:t>
      </w:r>
    </w:p>
    <w:p>
      <w:pPr>
        <w:pStyle w:val="BodyText"/>
        <w:spacing w:before="239"/>
        <w:ind w:left="992" w:right="994"/>
        <w:jc w:val="both"/>
      </w:pPr>
      <w:r>
        <w:rPr/>
        <w:t>La entidad no tenía implantado algún sistema de gestión ambiental ni había recibido alguna certificación sobre la gestión medioambiental.</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93"/>
        <w:jc w:val="both"/>
      </w:pPr>
      <w:r>
        <w:rPr/>
        <w:t>En materia de residuos, la concesionaria había contratado a una empresa para el tratamiento de residuos y disponía de una zona para el almacenamiento segregado de los residuos procedentes de la actividad.</w:t>
      </w:r>
    </w:p>
    <w:p>
      <w:pPr>
        <w:pStyle w:val="BodyText"/>
        <w:spacing w:before="242"/>
        <w:ind w:left="992" w:right="987"/>
        <w:jc w:val="both"/>
      </w:pPr>
      <w:r>
        <w:rPr/>
        <w:t>A 31 de diciembre de 2022 Alicante disponía de aparcamientos disuasorios para vehículos y bicicletas, que permitían el fomento del uso del transporte público colectivo y los medios de transporte</w:t>
      </w:r>
      <w:r>
        <w:rPr>
          <w:spacing w:val="-11"/>
        </w:rPr>
        <w:t> </w:t>
      </w:r>
      <w:r>
        <w:rPr/>
        <w:t>público</w:t>
      </w:r>
      <w:r>
        <w:rPr>
          <w:spacing w:val="-10"/>
        </w:rPr>
        <w:t> </w:t>
      </w:r>
      <w:r>
        <w:rPr/>
        <w:t>colectivo</w:t>
      </w:r>
      <w:r>
        <w:rPr>
          <w:spacing w:val="-10"/>
        </w:rPr>
        <w:t> </w:t>
      </w:r>
      <w:r>
        <w:rPr/>
        <w:t>disponibles</w:t>
      </w:r>
      <w:r>
        <w:rPr>
          <w:spacing w:val="-10"/>
        </w:rPr>
        <w:t> </w:t>
      </w:r>
      <w:r>
        <w:rPr/>
        <w:t>en</w:t>
      </w:r>
      <w:r>
        <w:rPr>
          <w:spacing w:val="-12"/>
        </w:rPr>
        <w:t> </w:t>
      </w:r>
      <w:r>
        <w:rPr/>
        <w:t>el</w:t>
      </w:r>
      <w:r>
        <w:rPr>
          <w:spacing w:val="-12"/>
        </w:rPr>
        <w:t> </w:t>
      </w:r>
      <w:r>
        <w:rPr/>
        <w:t>municipio</w:t>
      </w:r>
      <w:r>
        <w:rPr>
          <w:spacing w:val="-10"/>
        </w:rPr>
        <w:t> </w:t>
      </w:r>
      <w:r>
        <w:rPr/>
        <w:t>se</w:t>
      </w:r>
      <w:r>
        <w:rPr>
          <w:spacing w:val="-10"/>
        </w:rPr>
        <w:t> </w:t>
      </w:r>
      <w:r>
        <w:rPr/>
        <w:t>encontraban</w:t>
      </w:r>
      <w:r>
        <w:rPr>
          <w:spacing w:val="-12"/>
        </w:rPr>
        <w:t> </w:t>
      </w:r>
      <w:r>
        <w:rPr/>
        <w:t>interconectados,</w:t>
      </w:r>
      <w:r>
        <w:rPr>
          <w:spacing w:val="-10"/>
        </w:rPr>
        <w:t> </w:t>
      </w:r>
      <w:r>
        <w:rPr/>
        <w:t>de</w:t>
      </w:r>
      <w:r>
        <w:rPr>
          <w:spacing w:val="-12"/>
        </w:rPr>
        <w:t> </w:t>
      </w:r>
      <w:r>
        <w:rPr/>
        <w:t>manera que</w:t>
      </w:r>
      <w:r>
        <w:rPr>
          <w:spacing w:val="-11"/>
        </w:rPr>
        <w:t> </w:t>
      </w:r>
      <w:r>
        <w:rPr/>
        <w:t>se</w:t>
      </w:r>
      <w:r>
        <w:rPr>
          <w:spacing w:val="-11"/>
        </w:rPr>
        <w:t> </w:t>
      </w:r>
      <w:r>
        <w:rPr/>
        <w:t>garantizaba</w:t>
      </w:r>
      <w:r>
        <w:rPr>
          <w:spacing w:val="-11"/>
        </w:rPr>
        <w:t> </w:t>
      </w:r>
      <w:r>
        <w:rPr/>
        <w:t>la</w:t>
      </w:r>
      <w:r>
        <w:rPr>
          <w:spacing w:val="-11"/>
        </w:rPr>
        <w:t> </w:t>
      </w:r>
      <w:r>
        <w:rPr/>
        <w:t>intermodalidad</w:t>
      </w:r>
      <w:r>
        <w:rPr>
          <w:spacing w:val="-11"/>
        </w:rPr>
        <w:t> </w:t>
      </w:r>
      <w:r>
        <w:rPr/>
        <w:t>a</w:t>
      </w:r>
      <w:r>
        <w:rPr>
          <w:spacing w:val="-11"/>
        </w:rPr>
        <w:t> </w:t>
      </w:r>
      <w:r>
        <w:rPr/>
        <w:t>través</w:t>
      </w:r>
      <w:r>
        <w:rPr>
          <w:spacing w:val="-13"/>
        </w:rPr>
        <w:t> </w:t>
      </w:r>
      <w:r>
        <w:rPr/>
        <w:t>del</w:t>
      </w:r>
      <w:r>
        <w:rPr>
          <w:spacing w:val="-12"/>
        </w:rPr>
        <w:t> </w:t>
      </w:r>
      <w:r>
        <w:rPr/>
        <w:t>sistema</w:t>
      </w:r>
      <w:r>
        <w:rPr>
          <w:spacing w:val="-13"/>
        </w:rPr>
        <w:t> </w:t>
      </w:r>
      <w:r>
        <w:rPr/>
        <w:t>tarifario</w:t>
      </w:r>
      <w:r>
        <w:rPr>
          <w:spacing w:val="-12"/>
        </w:rPr>
        <w:t> </w:t>
      </w:r>
      <w:r>
        <w:rPr/>
        <w:t>único</w:t>
      </w:r>
      <w:r>
        <w:rPr>
          <w:spacing w:val="-11"/>
        </w:rPr>
        <w:t> </w:t>
      </w:r>
      <w:r>
        <w:rPr/>
        <w:t>en</w:t>
      </w:r>
      <w:r>
        <w:rPr>
          <w:spacing w:val="-14"/>
        </w:rPr>
        <w:t> </w:t>
      </w:r>
      <w:r>
        <w:rPr/>
        <w:t>el</w:t>
      </w:r>
      <w:r>
        <w:rPr>
          <w:spacing w:val="-12"/>
        </w:rPr>
        <w:t> </w:t>
      </w:r>
      <w:r>
        <w:rPr/>
        <w:t>área</w:t>
      </w:r>
      <w:r>
        <w:rPr>
          <w:spacing w:val="-11"/>
        </w:rPr>
        <w:t> </w:t>
      </w:r>
      <w:r>
        <w:rPr/>
        <w:t>TAM</w:t>
      </w:r>
      <w:r>
        <w:rPr>
          <w:spacing w:val="-9"/>
        </w:rPr>
        <w:t> </w:t>
      </w:r>
      <w:r>
        <w:rPr/>
        <w:t>(Transporte Metropolitano Alicante).</w:t>
      </w:r>
    </w:p>
    <w:p>
      <w:pPr>
        <w:pStyle w:val="BodyText"/>
        <w:spacing w:before="240"/>
        <w:ind w:left="992" w:right="989"/>
        <w:jc w:val="both"/>
      </w:pPr>
      <w:r>
        <w:rPr/>
        <w:t>Los</w:t>
      </w:r>
      <w:r>
        <w:rPr>
          <w:spacing w:val="-11"/>
        </w:rPr>
        <w:t> </w:t>
      </w:r>
      <w:r>
        <w:rPr/>
        <w:t>ejercicios</w:t>
      </w:r>
      <w:r>
        <w:rPr>
          <w:spacing w:val="-13"/>
        </w:rPr>
        <w:t> </w:t>
      </w:r>
      <w:r>
        <w:rPr/>
        <w:t>fiscalizados</w:t>
      </w:r>
      <w:r>
        <w:rPr>
          <w:spacing w:val="-11"/>
        </w:rPr>
        <w:t> </w:t>
      </w:r>
      <w:r>
        <w:rPr/>
        <w:t>coinciden</w:t>
      </w:r>
      <w:r>
        <w:rPr>
          <w:spacing w:val="-11"/>
        </w:rPr>
        <w:t> </w:t>
      </w:r>
      <w:r>
        <w:rPr/>
        <w:t>con</w:t>
      </w:r>
      <w:r>
        <w:rPr>
          <w:spacing w:val="-14"/>
        </w:rPr>
        <w:t> </w:t>
      </w:r>
      <w:r>
        <w:rPr/>
        <w:t>el</w:t>
      </w:r>
      <w:r>
        <w:rPr>
          <w:spacing w:val="-12"/>
        </w:rPr>
        <w:t> </w:t>
      </w:r>
      <w:r>
        <w:rPr/>
        <w:t>inicio</w:t>
      </w:r>
      <w:r>
        <w:rPr>
          <w:spacing w:val="-11"/>
        </w:rPr>
        <w:t> </w:t>
      </w:r>
      <w:r>
        <w:rPr/>
        <w:t>del</w:t>
      </w:r>
      <w:r>
        <w:rPr>
          <w:spacing w:val="-12"/>
        </w:rPr>
        <w:t> </w:t>
      </w:r>
      <w:r>
        <w:rPr/>
        <w:t>nuevo</w:t>
      </w:r>
      <w:r>
        <w:rPr>
          <w:spacing w:val="-12"/>
        </w:rPr>
        <w:t> </w:t>
      </w:r>
      <w:r>
        <w:rPr/>
        <w:t>contrato</w:t>
      </w:r>
      <w:r>
        <w:rPr>
          <w:spacing w:val="-11"/>
        </w:rPr>
        <w:t> </w:t>
      </w:r>
      <w:r>
        <w:rPr/>
        <w:t>de</w:t>
      </w:r>
      <w:r>
        <w:rPr>
          <w:spacing w:val="-14"/>
        </w:rPr>
        <w:t> </w:t>
      </w:r>
      <w:r>
        <w:rPr/>
        <w:t>concesión</w:t>
      </w:r>
      <w:r>
        <w:rPr>
          <w:spacing w:val="-12"/>
        </w:rPr>
        <w:t> </w:t>
      </w:r>
      <w:r>
        <w:rPr/>
        <w:t>para</w:t>
      </w:r>
      <w:r>
        <w:rPr>
          <w:spacing w:val="-14"/>
        </w:rPr>
        <w:t> </w:t>
      </w:r>
      <w:r>
        <w:rPr/>
        <w:t>la</w:t>
      </w:r>
      <w:r>
        <w:rPr>
          <w:spacing w:val="-11"/>
        </w:rPr>
        <w:t> </w:t>
      </w:r>
      <w:r>
        <w:rPr/>
        <w:t>prestación del</w:t>
      </w:r>
      <w:r>
        <w:rPr>
          <w:spacing w:val="-1"/>
        </w:rPr>
        <w:t> </w:t>
      </w:r>
      <w:r>
        <w:rPr/>
        <w:t>servicio.</w:t>
      </w:r>
      <w:r>
        <w:rPr>
          <w:spacing w:val="-2"/>
        </w:rPr>
        <w:t> </w:t>
      </w:r>
      <w:r>
        <w:rPr/>
        <w:t>Además,</w:t>
      </w:r>
      <w:r>
        <w:rPr>
          <w:spacing w:val="-1"/>
        </w:rPr>
        <w:t> </w:t>
      </w:r>
      <w:r>
        <w:rPr/>
        <w:t>la</w:t>
      </w:r>
      <w:r>
        <w:rPr>
          <w:spacing w:val="-3"/>
        </w:rPr>
        <w:t> </w:t>
      </w:r>
      <w:r>
        <w:rPr/>
        <w:t>entidad participó</w:t>
      </w:r>
      <w:r>
        <w:rPr>
          <w:spacing w:val="-1"/>
        </w:rPr>
        <w:t> </w:t>
      </w:r>
      <w:r>
        <w:rPr/>
        <w:t>en</w:t>
      </w:r>
      <w:r>
        <w:rPr>
          <w:spacing w:val="-3"/>
        </w:rPr>
        <w:t> </w:t>
      </w:r>
      <w:r>
        <w:rPr/>
        <w:t>la primera</w:t>
      </w:r>
      <w:r>
        <w:rPr>
          <w:spacing w:val="-2"/>
        </w:rPr>
        <w:t> </w:t>
      </w:r>
      <w:r>
        <w:rPr/>
        <w:t>convocatoria</w:t>
      </w:r>
      <w:r>
        <w:rPr>
          <w:spacing w:val="-3"/>
        </w:rPr>
        <w:t> </w:t>
      </w:r>
      <w:r>
        <w:rPr/>
        <w:t>del Programa de</w:t>
      </w:r>
      <w:r>
        <w:rPr>
          <w:spacing w:val="-3"/>
        </w:rPr>
        <w:t> </w:t>
      </w:r>
      <w:r>
        <w:rPr/>
        <w:t>ayudas para la transformación digital y sostenible del transporte urbano, PRTR. La existencia de una nueva empresa</w:t>
      </w:r>
      <w:r>
        <w:rPr>
          <w:spacing w:val="-4"/>
        </w:rPr>
        <w:t> </w:t>
      </w:r>
      <w:r>
        <w:rPr/>
        <w:t>responsable</w:t>
      </w:r>
      <w:r>
        <w:rPr>
          <w:spacing w:val="-2"/>
        </w:rPr>
        <w:t> </w:t>
      </w:r>
      <w:r>
        <w:rPr/>
        <w:t>de</w:t>
      </w:r>
      <w:r>
        <w:rPr>
          <w:spacing w:val="-4"/>
        </w:rPr>
        <w:t> </w:t>
      </w:r>
      <w:r>
        <w:rPr/>
        <w:t>prestar</w:t>
      </w:r>
      <w:r>
        <w:rPr>
          <w:spacing w:val="-3"/>
        </w:rPr>
        <w:t> </w:t>
      </w:r>
      <w:r>
        <w:rPr/>
        <w:t>el</w:t>
      </w:r>
      <w:r>
        <w:rPr>
          <w:spacing w:val="-3"/>
        </w:rPr>
        <w:t> </w:t>
      </w:r>
      <w:r>
        <w:rPr/>
        <w:t>servicio,</w:t>
      </w:r>
      <w:r>
        <w:rPr>
          <w:spacing w:val="-1"/>
        </w:rPr>
        <w:t> </w:t>
      </w:r>
      <w:r>
        <w:rPr/>
        <w:t>a</w:t>
      </w:r>
      <w:r>
        <w:rPr>
          <w:spacing w:val="-4"/>
        </w:rPr>
        <w:t> </w:t>
      </w:r>
      <w:r>
        <w:rPr/>
        <w:t>la</w:t>
      </w:r>
      <w:r>
        <w:rPr>
          <w:spacing w:val="-2"/>
        </w:rPr>
        <w:t> </w:t>
      </w:r>
      <w:r>
        <w:rPr/>
        <w:t>que</w:t>
      </w:r>
      <w:r>
        <w:rPr>
          <w:spacing w:val="-2"/>
        </w:rPr>
        <w:t> </w:t>
      </w:r>
      <w:r>
        <w:rPr/>
        <w:t>se</w:t>
      </w:r>
      <w:r>
        <w:rPr>
          <w:spacing w:val="-2"/>
        </w:rPr>
        <w:t> </w:t>
      </w:r>
      <w:r>
        <w:rPr/>
        <w:t>le</w:t>
      </w:r>
      <w:r>
        <w:rPr>
          <w:spacing w:val="-2"/>
        </w:rPr>
        <w:t> </w:t>
      </w:r>
      <w:r>
        <w:rPr/>
        <w:t>exigía</w:t>
      </w:r>
      <w:r>
        <w:rPr>
          <w:spacing w:val="-1"/>
        </w:rPr>
        <w:t> </w:t>
      </w:r>
      <w:r>
        <w:rPr/>
        <w:t>en</w:t>
      </w:r>
      <w:r>
        <w:rPr>
          <w:spacing w:val="-4"/>
        </w:rPr>
        <w:t> </w:t>
      </w:r>
      <w:r>
        <w:rPr/>
        <w:t>su</w:t>
      </w:r>
      <w:r>
        <w:rPr>
          <w:spacing w:val="-4"/>
        </w:rPr>
        <w:t> </w:t>
      </w:r>
      <w:r>
        <w:rPr/>
        <w:t>contratación</w:t>
      </w:r>
      <w:r>
        <w:rPr>
          <w:spacing w:val="-2"/>
        </w:rPr>
        <w:t> </w:t>
      </w:r>
      <w:r>
        <w:rPr/>
        <w:t>la</w:t>
      </w:r>
      <w:r>
        <w:rPr>
          <w:spacing w:val="-2"/>
        </w:rPr>
        <w:t> </w:t>
      </w:r>
      <w:r>
        <w:rPr/>
        <w:t>adopción</w:t>
      </w:r>
      <w:r>
        <w:rPr>
          <w:spacing w:val="-2"/>
        </w:rPr>
        <w:t> </w:t>
      </w:r>
      <w:r>
        <w:rPr/>
        <w:t>de medidas dirigidas</w:t>
      </w:r>
      <w:r>
        <w:rPr>
          <w:spacing w:val="-2"/>
        </w:rPr>
        <w:t> </w:t>
      </w:r>
      <w:r>
        <w:rPr/>
        <w:t>a</w:t>
      </w:r>
      <w:r>
        <w:rPr>
          <w:spacing w:val="-2"/>
        </w:rPr>
        <w:t> </w:t>
      </w:r>
      <w:r>
        <w:rPr/>
        <w:t>mejorar</w:t>
      </w:r>
      <w:r>
        <w:rPr>
          <w:spacing w:val="-1"/>
        </w:rPr>
        <w:t> </w:t>
      </w:r>
      <w:r>
        <w:rPr/>
        <w:t>la sostenibilidad del servicio,</w:t>
      </w:r>
      <w:r>
        <w:rPr>
          <w:spacing w:val="-1"/>
        </w:rPr>
        <w:t> </w:t>
      </w:r>
      <w:r>
        <w:rPr/>
        <w:t>y la</w:t>
      </w:r>
      <w:r>
        <w:rPr>
          <w:spacing w:val="-2"/>
        </w:rPr>
        <w:t> </w:t>
      </w:r>
      <w:r>
        <w:rPr/>
        <w:t>percepción de ayudas</w:t>
      </w:r>
      <w:r>
        <w:rPr>
          <w:spacing w:val="-2"/>
        </w:rPr>
        <w:t> </w:t>
      </w:r>
      <w:r>
        <w:rPr/>
        <w:t>del PRTR</w:t>
      </w:r>
      <w:r>
        <w:rPr>
          <w:spacing w:val="-3"/>
        </w:rPr>
        <w:t> </w:t>
      </w:r>
      <w:r>
        <w:rPr/>
        <w:t>han contribuido a avanzar en la consecución de la sostenibilidad del transporte público colectivo y la descarbonización del transporte.</w:t>
      </w:r>
    </w:p>
    <w:p>
      <w:pPr>
        <w:pStyle w:val="BodyText"/>
        <w:spacing w:before="238"/>
        <w:ind w:left="992" w:right="990"/>
        <w:jc w:val="both"/>
      </w:pPr>
      <w:r>
        <w:rPr/>
        <w:t>Las actuaciones llevadas a cabo por el </w:t>
      </w:r>
      <w:r>
        <w:rPr>
          <w:b/>
        </w:rPr>
        <w:t>Ayuntamiento de Alicante </w:t>
      </w:r>
      <w:r>
        <w:rPr/>
        <w:t>en 2023 y 2024 dirigidas a la movilidad sostenible del transporte público colectivo han supuesto un importe de 22.416.320,32 euros. La relación de estas actuaciones se recoge en el </w:t>
      </w:r>
      <w:hyperlink w:history="true" w:anchor="_bookmark136">
        <w:r>
          <w:rPr/>
          <w:t>Anexo VI.</w:t>
        </w:r>
      </w:hyperlink>
    </w:p>
    <w:p>
      <w:pPr>
        <w:pStyle w:val="BodyText"/>
        <w:spacing w:before="242"/>
        <w:ind w:left="992" w:right="987"/>
        <w:jc w:val="both"/>
      </w:pPr>
      <w:r>
        <w:rPr/>
        <w:t>Estas han consistido en la renovación y electrificación de la flota de autobuses, con la adquisición de 23 vehículos eléctricos accesibles y la instalación de los correspondientes puntos de recarga, así</w:t>
      </w:r>
      <w:r>
        <w:rPr>
          <w:spacing w:val="-3"/>
        </w:rPr>
        <w:t> </w:t>
      </w:r>
      <w:r>
        <w:rPr/>
        <w:t>como</w:t>
      </w:r>
      <w:r>
        <w:rPr>
          <w:spacing w:val="-3"/>
        </w:rPr>
        <w:t> </w:t>
      </w:r>
      <w:r>
        <w:rPr/>
        <w:t>con</w:t>
      </w:r>
      <w:r>
        <w:rPr>
          <w:spacing w:val="-3"/>
        </w:rPr>
        <w:t> </w:t>
      </w:r>
      <w:r>
        <w:rPr/>
        <w:t>el</w:t>
      </w:r>
      <w:r>
        <w:rPr>
          <w:spacing w:val="-4"/>
        </w:rPr>
        <w:t> </w:t>
      </w:r>
      <w:r>
        <w:rPr/>
        <w:t>incremento</w:t>
      </w:r>
      <w:r>
        <w:rPr>
          <w:spacing w:val="-3"/>
        </w:rPr>
        <w:t> </w:t>
      </w:r>
      <w:r>
        <w:rPr/>
        <w:t>del</w:t>
      </w:r>
      <w:r>
        <w:rPr>
          <w:spacing w:val="-4"/>
        </w:rPr>
        <w:t> </w:t>
      </w:r>
      <w:r>
        <w:rPr/>
        <w:t>número</w:t>
      </w:r>
      <w:r>
        <w:rPr>
          <w:spacing w:val="-3"/>
        </w:rPr>
        <w:t> </w:t>
      </w:r>
      <w:r>
        <w:rPr/>
        <w:t>de</w:t>
      </w:r>
      <w:r>
        <w:rPr>
          <w:spacing w:val="-3"/>
        </w:rPr>
        <w:t> </w:t>
      </w:r>
      <w:r>
        <w:rPr/>
        <w:t>autobuses</w:t>
      </w:r>
      <w:r>
        <w:rPr>
          <w:spacing w:val="-3"/>
        </w:rPr>
        <w:t> </w:t>
      </w:r>
      <w:r>
        <w:rPr/>
        <w:t>híbridos,</w:t>
      </w:r>
      <w:r>
        <w:rPr>
          <w:spacing w:val="-3"/>
        </w:rPr>
        <w:t> </w:t>
      </w:r>
      <w:r>
        <w:rPr/>
        <w:t>que</w:t>
      </w:r>
      <w:r>
        <w:rPr>
          <w:spacing w:val="-3"/>
        </w:rPr>
        <w:t> </w:t>
      </w:r>
      <w:r>
        <w:rPr/>
        <w:t>a</w:t>
      </w:r>
      <w:r>
        <w:rPr>
          <w:spacing w:val="-3"/>
        </w:rPr>
        <w:t> </w:t>
      </w:r>
      <w:r>
        <w:rPr/>
        <w:t>31</w:t>
      </w:r>
      <w:r>
        <w:rPr>
          <w:spacing w:val="-6"/>
        </w:rPr>
        <w:t> </w:t>
      </w:r>
      <w:r>
        <w:rPr/>
        <w:t>de</w:t>
      </w:r>
      <w:r>
        <w:rPr>
          <w:spacing w:val="-3"/>
        </w:rPr>
        <w:t> </w:t>
      </w:r>
      <w:r>
        <w:rPr/>
        <w:t>diciembre</w:t>
      </w:r>
      <w:r>
        <w:rPr>
          <w:spacing w:val="-3"/>
        </w:rPr>
        <w:t> </w:t>
      </w:r>
      <w:r>
        <w:rPr/>
        <w:t>de</w:t>
      </w:r>
      <w:r>
        <w:rPr>
          <w:spacing w:val="-3"/>
        </w:rPr>
        <w:t> </w:t>
      </w:r>
      <w:r>
        <w:rPr/>
        <w:t>2024</w:t>
      </w:r>
      <w:r>
        <w:rPr>
          <w:spacing w:val="-3"/>
        </w:rPr>
        <w:t> </w:t>
      </w:r>
      <w:r>
        <w:rPr/>
        <w:t>han ascendido</w:t>
      </w:r>
      <w:r>
        <w:rPr>
          <w:spacing w:val="-16"/>
        </w:rPr>
        <w:t> </w:t>
      </w:r>
      <w:r>
        <w:rPr/>
        <w:t>a</w:t>
      </w:r>
      <w:r>
        <w:rPr>
          <w:spacing w:val="-15"/>
        </w:rPr>
        <w:t> </w:t>
      </w:r>
      <w:r>
        <w:rPr/>
        <w:t>25.</w:t>
      </w:r>
      <w:r>
        <w:rPr>
          <w:spacing w:val="-15"/>
        </w:rPr>
        <w:t> </w:t>
      </w:r>
      <w:r>
        <w:rPr/>
        <w:t>Ello</w:t>
      </w:r>
      <w:r>
        <w:rPr>
          <w:spacing w:val="-16"/>
        </w:rPr>
        <w:t> </w:t>
      </w:r>
      <w:r>
        <w:rPr/>
        <w:t>ha</w:t>
      </w:r>
      <w:r>
        <w:rPr>
          <w:spacing w:val="-15"/>
        </w:rPr>
        <w:t> </w:t>
      </w:r>
      <w:r>
        <w:rPr/>
        <w:t>supuesto</w:t>
      </w:r>
      <w:r>
        <w:rPr>
          <w:spacing w:val="-15"/>
        </w:rPr>
        <w:t> </w:t>
      </w:r>
      <w:r>
        <w:rPr/>
        <w:t>que</w:t>
      </w:r>
      <w:r>
        <w:rPr>
          <w:spacing w:val="-15"/>
        </w:rPr>
        <w:t> </w:t>
      </w:r>
      <w:r>
        <w:rPr/>
        <w:t>la</w:t>
      </w:r>
      <w:r>
        <w:rPr>
          <w:spacing w:val="-16"/>
        </w:rPr>
        <w:t> </w:t>
      </w:r>
      <w:r>
        <w:rPr/>
        <w:t>antigüedad</w:t>
      </w:r>
      <w:r>
        <w:rPr>
          <w:spacing w:val="-15"/>
        </w:rPr>
        <w:t> </w:t>
      </w:r>
      <w:r>
        <w:rPr/>
        <w:t>media</w:t>
      </w:r>
      <w:r>
        <w:rPr>
          <w:spacing w:val="-15"/>
        </w:rPr>
        <w:t> </w:t>
      </w:r>
      <w:r>
        <w:rPr/>
        <w:t>de</w:t>
      </w:r>
      <w:r>
        <w:rPr>
          <w:spacing w:val="-16"/>
        </w:rPr>
        <w:t> </w:t>
      </w:r>
      <w:r>
        <w:rPr/>
        <w:t>la</w:t>
      </w:r>
      <w:r>
        <w:rPr>
          <w:spacing w:val="-15"/>
        </w:rPr>
        <w:t> </w:t>
      </w:r>
      <w:r>
        <w:rPr/>
        <w:t>flota</w:t>
      </w:r>
      <w:r>
        <w:rPr>
          <w:spacing w:val="-15"/>
        </w:rPr>
        <w:t> </w:t>
      </w:r>
      <w:r>
        <w:rPr/>
        <w:t>haya</w:t>
      </w:r>
      <w:r>
        <w:rPr>
          <w:spacing w:val="-15"/>
        </w:rPr>
        <w:t> </w:t>
      </w:r>
      <w:r>
        <w:rPr/>
        <w:t>descendido</w:t>
      </w:r>
      <w:r>
        <w:rPr>
          <w:spacing w:val="-16"/>
        </w:rPr>
        <w:t> </w:t>
      </w:r>
      <w:r>
        <w:rPr/>
        <w:t>notablemente a lo largo del periodo objeto de la fiscalización </w:t>
      </w:r>
      <w:r>
        <w:rPr>
          <w:rFonts w:ascii="Symbol" w:hAnsi="Symbol"/>
        </w:rPr>
        <w:t></w:t>
      </w:r>
      <w:r>
        <w:rPr/>
        <w:t>de 12,23 años, de edad media de los autobuses a 31</w:t>
      </w:r>
      <w:r>
        <w:rPr>
          <w:spacing w:val="-8"/>
        </w:rPr>
        <w:t> </w:t>
      </w:r>
      <w:r>
        <w:rPr/>
        <w:t>de</w:t>
      </w:r>
      <w:r>
        <w:rPr>
          <w:spacing w:val="-8"/>
        </w:rPr>
        <w:t> </w:t>
      </w:r>
      <w:r>
        <w:rPr/>
        <w:t>diciembre</w:t>
      </w:r>
      <w:r>
        <w:rPr>
          <w:spacing w:val="-8"/>
        </w:rPr>
        <w:t> </w:t>
      </w:r>
      <w:r>
        <w:rPr/>
        <w:t>de</w:t>
      </w:r>
      <w:r>
        <w:rPr>
          <w:spacing w:val="-8"/>
        </w:rPr>
        <w:t> </w:t>
      </w:r>
      <w:r>
        <w:rPr/>
        <w:t>2022,</w:t>
      </w:r>
      <w:r>
        <w:rPr>
          <w:spacing w:val="-6"/>
        </w:rPr>
        <w:t> </w:t>
      </w:r>
      <w:r>
        <w:rPr/>
        <w:t>a</w:t>
      </w:r>
      <w:r>
        <w:rPr>
          <w:spacing w:val="-8"/>
        </w:rPr>
        <w:t> </w:t>
      </w:r>
      <w:r>
        <w:rPr/>
        <w:t>6,81</w:t>
      </w:r>
      <w:r>
        <w:rPr>
          <w:spacing w:val="-7"/>
        </w:rPr>
        <w:t> </w:t>
      </w:r>
      <w:r>
        <w:rPr/>
        <w:t>años</w:t>
      </w:r>
      <w:r>
        <w:rPr>
          <w:spacing w:val="-10"/>
        </w:rPr>
        <w:t> </w:t>
      </w:r>
      <w:r>
        <w:rPr/>
        <w:t>a</w:t>
      </w:r>
      <w:r>
        <w:rPr>
          <w:spacing w:val="-8"/>
        </w:rPr>
        <w:t> </w:t>
      </w:r>
      <w:r>
        <w:rPr/>
        <w:t>31</w:t>
      </w:r>
      <w:r>
        <w:rPr>
          <w:spacing w:val="-8"/>
        </w:rPr>
        <w:t> </w:t>
      </w:r>
      <w:r>
        <w:rPr/>
        <w:t>de</w:t>
      </w:r>
      <w:r>
        <w:rPr>
          <w:spacing w:val="-8"/>
        </w:rPr>
        <w:t> </w:t>
      </w:r>
      <w:r>
        <w:rPr/>
        <w:t>diciembre</w:t>
      </w:r>
      <w:r>
        <w:rPr>
          <w:spacing w:val="-8"/>
        </w:rPr>
        <w:t> </w:t>
      </w:r>
      <w:r>
        <w:rPr/>
        <w:t>de</w:t>
      </w:r>
      <w:r>
        <w:rPr>
          <w:spacing w:val="-8"/>
        </w:rPr>
        <w:t> </w:t>
      </w:r>
      <w:r>
        <w:rPr/>
        <w:t>2024</w:t>
      </w:r>
      <w:r>
        <w:rPr>
          <w:rFonts w:ascii="Symbol" w:hAnsi="Symbol"/>
        </w:rPr>
        <w:t></w:t>
      </w:r>
      <w:r>
        <w:rPr/>
        <w:t>,</w:t>
      </w:r>
      <w:r>
        <w:rPr>
          <w:spacing w:val="-6"/>
        </w:rPr>
        <w:t> </w:t>
      </w:r>
      <w:r>
        <w:rPr/>
        <w:t>lo</w:t>
      </w:r>
      <w:r>
        <w:rPr>
          <w:spacing w:val="-8"/>
        </w:rPr>
        <w:t> </w:t>
      </w:r>
      <w:r>
        <w:rPr/>
        <w:t>que</w:t>
      </w:r>
      <w:r>
        <w:rPr>
          <w:spacing w:val="-8"/>
        </w:rPr>
        <w:t> </w:t>
      </w:r>
      <w:r>
        <w:rPr/>
        <w:t>se</w:t>
      </w:r>
      <w:r>
        <w:rPr>
          <w:spacing w:val="-8"/>
        </w:rPr>
        <w:t> </w:t>
      </w:r>
      <w:r>
        <w:rPr/>
        <w:t>traduce</w:t>
      </w:r>
      <w:r>
        <w:rPr>
          <w:spacing w:val="-11"/>
        </w:rPr>
        <w:t> </w:t>
      </w:r>
      <w:r>
        <w:rPr/>
        <w:t>en</w:t>
      </w:r>
      <w:r>
        <w:rPr>
          <w:spacing w:val="-8"/>
        </w:rPr>
        <w:t> </w:t>
      </w:r>
      <w:r>
        <w:rPr/>
        <w:t>una</w:t>
      </w:r>
      <w:r>
        <w:rPr>
          <w:spacing w:val="-8"/>
        </w:rPr>
        <w:t> </w:t>
      </w:r>
      <w:r>
        <w:rPr/>
        <w:t>mejora en la eficiencia y la seguridad de los vehículos.</w:t>
      </w:r>
    </w:p>
    <w:p>
      <w:pPr>
        <w:pStyle w:val="BodyText"/>
        <w:spacing w:before="239"/>
        <w:ind w:left="992" w:right="992"/>
        <w:jc w:val="both"/>
      </w:pPr>
      <w:r>
        <w:rPr/>
        <w:t>En</w:t>
      </w:r>
      <w:r>
        <w:rPr>
          <w:spacing w:val="-2"/>
        </w:rPr>
        <w:t> </w:t>
      </w:r>
      <w:r>
        <w:rPr/>
        <w:t>materia</w:t>
      </w:r>
      <w:r>
        <w:rPr>
          <w:spacing w:val="-5"/>
        </w:rPr>
        <w:t> </w:t>
      </w:r>
      <w:r>
        <w:rPr/>
        <w:t>de</w:t>
      </w:r>
      <w:r>
        <w:rPr>
          <w:spacing w:val="-4"/>
        </w:rPr>
        <w:t> </w:t>
      </w:r>
      <w:r>
        <w:rPr/>
        <w:t>accesibilidad,</w:t>
      </w:r>
      <w:r>
        <w:rPr>
          <w:spacing w:val="-1"/>
        </w:rPr>
        <w:t> </w:t>
      </w:r>
      <w:r>
        <w:rPr/>
        <w:t>la</w:t>
      </w:r>
      <w:r>
        <w:rPr>
          <w:spacing w:val="-4"/>
        </w:rPr>
        <w:t> </w:t>
      </w:r>
      <w:r>
        <w:rPr/>
        <w:t>flota</w:t>
      </w:r>
      <w:r>
        <w:rPr>
          <w:spacing w:val="-4"/>
        </w:rPr>
        <w:t> </w:t>
      </w:r>
      <w:r>
        <w:rPr/>
        <w:t>estaba</w:t>
      </w:r>
      <w:r>
        <w:rPr>
          <w:spacing w:val="-4"/>
        </w:rPr>
        <w:t> </w:t>
      </w:r>
      <w:r>
        <w:rPr/>
        <w:t>en</w:t>
      </w:r>
      <w:r>
        <w:rPr>
          <w:spacing w:val="-4"/>
        </w:rPr>
        <w:t> </w:t>
      </w:r>
      <w:r>
        <w:rPr/>
        <w:t>2022</w:t>
      </w:r>
      <w:r>
        <w:rPr>
          <w:spacing w:val="-2"/>
        </w:rPr>
        <w:t> </w:t>
      </w:r>
      <w:r>
        <w:rPr/>
        <w:t>adaptaba</w:t>
      </w:r>
      <w:r>
        <w:rPr>
          <w:spacing w:val="-2"/>
        </w:rPr>
        <w:t> </w:t>
      </w:r>
      <w:r>
        <w:rPr/>
        <w:t>a</w:t>
      </w:r>
      <w:r>
        <w:rPr>
          <w:spacing w:val="-4"/>
        </w:rPr>
        <w:t> </w:t>
      </w:r>
      <w:r>
        <w:rPr/>
        <w:t>personas</w:t>
      </w:r>
      <w:r>
        <w:rPr>
          <w:spacing w:val="-6"/>
        </w:rPr>
        <w:t> </w:t>
      </w:r>
      <w:r>
        <w:rPr/>
        <w:t>con</w:t>
      </w:r>
      <w:r>
        <w:rPr>
          <w:spacing w:val="-4"/>
        </w:rPr>
        <w:t> </w:t>
      </w:r>
      <w:r>
        <w:rPr/>
        <w:t>movilidad</w:t>
      </w:r>
      <w:r>
        <w:rPr>
          <w:spacing w:val="-2"/>
        </w:rPr>
        <w:t> </w:t>
      </w:r>
      <w:r>
        <w:rPr/>
        <w:t>reducida</w:t>
      </w:r>
      <w:r>
        <w:rPr>
          <w:spacing w:val="-4"/>
        </w:rPr>
        <w:t> </w:t>
      </w:r>
      <w:r>
        <w:rPr/>
        <w:t>y con discapacidad, incrementándose en 2023 y 2024 los vehículos con estas características.</w:t>
      </w:r>
    </w:p>
    <w:p>
      <w:pPr>
        <w:pStyle w:val="BodyText"/>
        <w:spacing w:before="241"/>
        <w:ind w:left="992" w:right="987"/>
        <w:jc w:val="both"/>
      </w:pPr>
      <w:r>
        <w:rPr/>
        <w:t>Asimismo,</w:t>
      </w:r>
      <w:r>
        <w:rPr>
          <w:spacing w:val="-16"/>
        </w:rPr>
        <w:t> </w:t>
      </w:r>
      <w:r>
        <w:rPr/>
        <w:t>la</w:t>
      </w:r>
      <w:r>
        <w:rPr>
          <w:spacing w:val="-15"/>
        </w:rPr>
        <w:t> </w:t>
      </w:r>
      <w:r>
        <w:rPr/>
        <w:t>entidad</w:t>
      </w:r>
      <w:r>
        <w:rPr>
          <w:spacing w:val="-15"/>
        </w:rPr>
        <w:t> </w:t>
      </w:r>
      <w:r>
        <w:rPr/>
        <w:t>ha</w:t>
      </w:r>
      <w:r>
        <w:rPr>
          <w:spacing w:val="-16"/>
        </w:rPr>
        <w:t> </w:t>
      </w:r>
      <w:r>
        <w:rPr/>
        <w:t>incorporado</w:t>
      </w:r>
      <w:r>
        <w:rPr>
          <w:spacing w:val="-15"/>
        </w:rPr>
        <w:t> </w:t>
      </w:r>
      <w:r>
        <w:rPr/>
        <w:t>diversas</w:t>
      </w:r>
      <w:r>
        <w:rPr>
          <w:spacing w:val="-15"/>
        </w:rPr>
        <w:t> </w:t>
      </w:r>
      <w:r>
        <w:rPr/>
        <w:t>soluciones</w:t>
      </w:r>
      <w:r>
        <w:rPr>
          <w:spacing w:val="-15"/>
        </w:rPr>
        <w:t> </w:t>
      </w:r>
      <w:r>
        <w:rPr/>
        <w:t>tecnológicas</w:t>
      </w:r>
      <w:r>
        <w:rPr>
          <w:spacing w:val="-16"/>
        </w:rPr>
        <w:t> </w:t>
      </w:r>
      <w:r>
        <w:rPr/>
        <w:t>en</w:t>
      </w:r>
      <w:r>
        <w:rPr>
          <w:spacing w:val="-15"/>
        </w:rPr>
        <w:t> </w:t>
      </w:r>
      <w:r>
        <w:rPr/>
        <w:t>el</w:t>
      </w:r>
      <w:r>
        <w:rPr>
          <w:spacing w:val="-15"/>
        </w:rPr>
        <w:t> </w:t>
      </w:r>
      <w:r>
        <w:rPr/>
        <w:t>transporte,</w:t>
      </w:r>
      <w:r>
        <w:rPr>
          <w:spacing w:val="-16"/>
        </w:rPr>
        <w:t> </w:t>
      </w:r>
      <w:r>
        <w:rPr/>
        <w:t>que</w:t>
      </w:r>
      <w:r>
        <w:rPr>
          <w:spacing w:val="-15"/>
        </w:rPr>
        <w:t> </w:t>
      </w:r>
      <w:r>
        <w:rPr/>
        <w:t>permiten utilizar los dispositivos móviles en los procesos aplicados en los medios de pago. También ha procedido a la renovación del equipamiento de las paradas de autobuses, sustituyendo las marquesinas</w:t>
      </w:r>
      <w:r>
        <w:rPr>
          <w:spacing w:val="-4"/>
        </w:rPr>
        <w:t> </w:t>
      </w:r>
      <w:r>
        <w:rPr/>
        <w:t>por</w:t>
      </w:r>
      <w:r>
        <w:rPr>
          <w:spacing w:val="-1"/>
        </w:rPr>
        <w:t> </w:t>
      </w:r>
      <w:r>
        <w:rPr/>
        <w:t>otras</w:t>
      </w:r>
      <w:r>
        <w:rPr>
          <w:spacing w:val="-4"/>
        </w:rPr>
        <w:t> </w:t>
      </w:r>
      <w:r>
        <w:rPr/>
        <w:t>con</w:t>
      </w:r>
      <w:r>
        <w:rPr>
          <w:spacing w:val="-2"/>
        </w:rPr>
        <w:t> </w:t>
      </w:r>
      <w:r>
        <w:rPr/>
        <w:t>puntos</w:t>
      </w:r>
      <w:r>
        <w:rPr>
          <w:spacing w:val="-1"/>
        </w:rPr>
        <w:t> </w:t>
      </w:r>
      <w:r>
        <w:rPr/>
        <w:t>wifi</w:t>
      </w:r>
      <w:r>
        <w:rPr>
          <w:spacing w:val="-5"/>
        </w:rPr>
        <w:t> </w:t>
      </w:r>
      <w:r>
        <w:rPr/>
        <w:t>e</w:t>
      </w:r>
      <w:r>
        <w:rPr>
          <w:spacing w:val="-4"/>
        </w:rPr>
        <w:t> </w:t>
      </w:r>
      <w:r>
        <w:rPr/>
        <w:t>instalando</w:t>
      </w:r>
      <w:r>
        <w:rPr>
          <w:spacing w:val="-2"/>
        </w:rPr>
        <w:t> </w:t>
      </w:r>
      <w:r>
        <w:rPr/>
        <w:t>nuevos</w:t>
      </w:r>
      <w:r>
        <w:rPr>
          <w:spacing w:val="-4"/>
        </w:rPr>
        <w:t> </w:t>
      </w:r>
      <w:r>
        <w:rPr/>
        <w:t>paneles</w:t>
      </w:r>
      <w:r>
        <w:rPr>
          <w:spacing w:val="-4"/>
        </w:rPr>
        <w:t> </w:t>
      </w:r>
      <w:r>
        <w:rPr/>
        <w:t>de</w:t>
      </w:r>
      <w:r>
        <w:rPr>
          <w:spacing w:val="-4"/>
        </w:rPr>
        <w:t> </w:t>
      </w:r>
      <w:r>
        <w:rPr/>
        <w:t>información</w:t>
      </w:r>
      <w:r>
        <w:rPr>
          <w:spacing w:val="-4"/>
        </w:rPr>
        <w:t> </w:t>
      </w:r>
      <w:r>
        <w:rPr/>
        <w:t>con</w:t>
      </w:r>
      <w:r>
        <w:rPr>
          <w:spacing w:val="-4"/>
        </w:rPr>
        <w:t> </w:t>
      </w:r>
      <w:r>
        <w:rPr/>
        <w:t>los</w:t>
      </w:r>
      <w:r>
        <w:rPr>
          <w:spacing w:val="-4"/>
        </w:rPr>
        <w:t> </w:t>
      </w:r>
      <w:r>
        <w:rPr/>
        <w:t>tiempos de espera y recorrido de los autobuses, medidas todas ellas que han favorecido la sostenibilidad medioambiental y social del transporte público colectivo. No obstante, se ha de seguir avanzando en este ámbito, con la adopción de medidas tales como la implantación de herramientas de planificación de viajes y mejora de la información al transporte o de sistemas de información y gestión de la movilidad basados en la medición de la calidad del aire u otros factores </w:t>
      </w:r>
      <w:r>
        <w:rPr>
          <w:spacing w:val="-2"/>
        </w:rPr>
        <w:t>medioambientales.</w:t>
      </w:r>
    </w:p>
    <w:p>
      <w:pPr>
        <w:pStyle w:val="BodyText"/>
        <w:spacing w:before="240"/>
        <w:ind w:left="992" w:right="988"/>
        <w:jc w:val="both"/>
      </w:pPr>
      <w:r>
        <w:rPr/>
        <w:t>La entidad ha realizado campañas para promocionar el uso del transporte público urbano. Asimismo, la empresa concesionaria ha implantado el sistema gestión ambiental y el transporte a la demanda a las partidas rurales y ha aumento la extensión de la red de transporte urbano.</w:t>
      </w:r>
    </w:p>
    <w:p>
      <w:pPr>
        <w:pStyle w:val="BodyText"/>
        <w:spacing w:before="239"/>
        <w:ind w:left="992" w:right="988"/>
        <w:jc w:val="both"/>
      </w:pPr>
      <w:r>
        <w:rPr/>
        <w:t>La</w:t>
      </w:r>
      <w:r>
        <w:rPr>
          <w:spacing w:val="-4"/>
        </w:rPr>
        <w:t> </w:t>
      </w:r>
      <w:r>
        <w:rPr/>
        <w:t>entidad</w:t>
      </w:r>
      <w:r>
        <w:rPr>
          <w:spacing w:val="-4"/>
        </w:rPr>
        <w:t> </w:t>
      </w:r>
      <w:r>
        <w:rPr/>
        <w:t>también</w:t>
      </w:r>
      <w:r>
        <w:rPr>
          <w:spacing w:val="-4"/>
        </w:rPr>
        <w:t> </w:t>
      </w:r>
      <w:r>
        <w:rPr/>
        <w:t>ha</w:t>
      </w:r>
      <w:r>
        <w:rPr>
          <w:spacing w:val="-4"/>
        </w:rPr>
        <w:t> </w:t>
      </w:r>
      <w:r>
        <w:rPr/>
        <w:t>informado</w:t>
      </w:r>
      <w:r>
        <w:rPr>
          <w:spacing w:val="-4"/>
        </w:rPr>
        <w:t> </w:t>
      </w:r>
      <w:r>
        <w:rPr/>
        <w:t>que</w:t>
      </w:r>
      <w:r>
        <w:rPr>
          <w:spacing w:val="-4"/>
        </w:rPr>
        <w:t> </w:t>
      </w:r>
      <w:r>
        <w:rPr/>
        <w:t>la</w:t>
      </w:r>
      <w:r>
        <w:rPr>
          <w:spacing w:val="-4"/>
        </w:rPr>
        <w:t> </w:t>
      </w:r>
      <w:r>
        <w:rPr/>
        <w:t>nueva</w:t>
      </w:r>
      <w:r>
        <w:rPr>
          <w:spacing w:val="-7"/>
        </w:rPr>
        <w:t> </w:t>
      </w:r>
      <w:r>
        <w:rPr/>
        <w:t>empresa</w:t>
      </w:r>
      <w:r>
        <w:rPr>
          <w:spacing w:val="-6"/>
        </w:rPr>
        <w:t> </w:t>
      </w:r>
      <w:r>
        <w:rPr/>
        <w:t>concesionaria</w:t>
      </w:r>
      <w:r>
        <w:rPr>
          <w:spacing w:val="-4"/>
        </w:rPr>
        <w:t> </w:t>
      </w:r>
      <w:r>
        <w:rPr/>
        <w:t>ha</w:t>
      </w:r>
      <w:r>
        <w:rPr>
          <w:spacing w:val="-7"/>
        </w:rPr>
        <w:t> </w:t>
      </w:r>
      <w:r>
        <w:rPr/>
        <w:t>recibido</w:t>
      </w:r>
      <w:r>
        <w:rPr>
          <w:spacing w:val="-4"/>
        </w:rPr>
        <w:t> </w:t>
      </w:r>
      <w:r>
        <w:rPr/>
        <w:t>una</w:t>
      </w:r>
      <w:r>
        <w:rPr>
          <w:spacing w:val="-4"/>
        </w:rPr>
        <w:t> </w:t>
      </w:r>
      <w:r>
        <w:rPr/>
        <w:t>certificación sobre</w:t>
      </w:r>
      <w:r>
        <w:rPr>
          <w:spacing w:val="-9"/>
        </w:rPr>
        <w:t> </w:t>
      </w:r>
      <w:r>
        <w:rPr/>
        <w:t>la</w:t>
      </w:r>
      <w:r>
        <w:rPr>
          <w:spacing w:val="-9"/>
        </w:rPr>
        <w:t> </w:t>
      </w:r>
      <w:r>
        <w:rPr/>
        <w:t>gestión</w:t>
      </w:r>
      <w:r>
        <w:rPr>
          <w:spacing w:val="-9"/>
        </w:rPr>
        <w:t> </w:t>
      </w:r>
      <w:r>
        <w:rPr/>
        <w:t>medioambiental,</w:t>
      </w:r>
      <w:r>
        <w:rPr>
          <w:spacing w:val="-7"/>
        </w:rPr>
        <w:t> </w:t>
      </w:r>
      <w:r>
        <w:rPr/>
        <w:t>ha</w:t>
      </w:r>
      <w:r>
        <w:rPr>
          <w:spacing w:val="-12"/>
        </w:rPr>
        <w:t> </w:t>
      </w:r>
      <w:r>
        <w:rPr/>
        <w:t>incorporado</w:t>
      </w:r>
      <w:r>
        <w:rPr>
          <w:spacing w:val="-11"/>
        </w:rPr>
        <w:t> </w:t>
      </w:r>
      <w:r>
        <w:rPr/>
        <w:t>sistemas</w:t>
      </w:r>
      <w:r>
        <w:rPr>
          <w:spacing w:val="-8"/>
        </w:rPr>
        <w:t> </w:t>
      </w:r>
      <w:r>
        <w:rPr/>
        <w:t>que</w:t>
      </w:r>
      <w:r>
        <w:rPr>
          <w:spacing w:val="-9"/>
        </w:rPr>
        <w:t> </w:t>
      </w:r>
      <w:r>
        <w:rPr/>
        <w:t>contribuyen</w:t>
      </w:r>
      <w:r>
        <w:rPr>
          <w:spacing w:val="-9"/>
        </w:rPr>
        <w:t> </w:t>
      </w:r>
      <w:r>
        <w:rPr/>
        <w:t>a</w:t>
      </w:r>
      <w:r>
        <w:rPr>
          <w:spacing w:val="-9"/>
        </w:rPr>
        <w:t> </w:t>
      </w:r>
      <w:r>
        <w:rPr/>
        <w:t>reducir</w:t>
      </w:r>
      <w:r>
        <w:rPr>
          <w:spacing w:val="-10"/>
        </w:rPr>
        <w:t> </w:t>
      </w:r>
      <w:r>
        <w:rPr/>
        <w:t>el</w:t>
      </w:r>
      <w:r>
        <w:rPr>
          <w:spacing w:val="-10"/>
        </w:rPr>
        <w:t> </w:t>
      </w:r>
      <w:r>
        <w:rPr/>
        <w:t>consumo</w:t>
      </w:r>
      <w:r>
        <w:rPr>
          <w:spacing w:val="-11"/>
        </w:rPr>
        <w:t> </w:t>
      </w:r>
      <w:r>
        <w:rPr/>
        <w:t>de energía en edificios e instalaciones dedicados al transporte público colectivo </w:t>
      </w:r>
      <w:r>
        <w:rPr>
          <w:rFonts w:ascii="Symbol" w:hAnsi="Symbol"/>
        </w:rPr>
        <w:t></w:t>
      </w:r>
      <w:r>
        <w:rPr/>
        <w:t>luminarias de bajo consumo en campa cocheras y oficinas</w:t>
      </w:r>
      <w:r>
        <w:rPr>
          <w:rFonts w:ascii="Symbol" w:hAnsi="Symbol"/>
        </w:rPr>
        <w:t></w:t>
      </w:r>
      <w:r>
        <w:rPr>
          <w:rFonts w:ascii="Times New Roman" w:hAnsi="Times New Roman"/>
          <w:spacing w:val="17"/>
        </w:rPr>
        <w:t> </w:t>
      </w:r>
      <w:r>
        <w:rPr/>
        <w:t>y ha facilitado a los empleados formación y sesiones de</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90"/>
        <w:jc w:val="both"/>
      </w:pPr>
      <w:r>
        <w:rPr/>
        <w:t>sensibilización</w:t>
      </w:r>
      <w:r>
        <w:rPr>
          <w:spacing w:val="-5"/>
        </w:rPr>
        <w:t> </w:t>
      </w:r>
      <w:r>
        <w:rPr/>
        <w:t>para</w:t>
      </w:r>
      <w:r>
        <w:rPr>
          <w:spacing w:val="-5"/>
        </w:rPr>
        <w:t> </w:t>
      </w:r>
      <w:r>
        <w:rPr/>
        <w:t>manejar</w:t>
      </w:r>
      <w:r>
        <w:rPr>
          <w:spacing w:val="-4"/>
        </w:rPr>
        <w:t> </w:t>
      </w:r>
      <w:r>
        <w:rPr/>
        <w:t>la</w:t>
      </w:r>
      <w:r>
        <w:rPr>
          <w:spacing w:val="-5"/>
        </w:rPr>
        <w:t> </w:t>
      </w:r>
      <w:r>
        <w:rPr/>
        <w:t>información</w:t>
      </w:r>
      <w:r>
        <w:rPr>
          <w:spacing w:val="-5"/>
        </w:rPr>
        <w:t> </w:t>
      </w:r>
      <w:r>
        <w:rPr/>
        <w:t>ambiental</w:t>
      </w:r>
      <w:r>
        <w:rPr>
          <w:spacing w:val="-5"/>
        </w:rPr>
        <w:t> </w:t>
      </w:r>
      <w:r>
        <w:rPr/>
        <w:t>específica</w:t>
      </w:r>
      <w:r>
        <w:rPr>
          <w:spacing w:val="-5"/>
        </w:rPr>
        <w:t> </w:t>
      </w:r>
      <w:r>
        <w:rPr/>
        <w:t>para</w:t>
      </w:r>
      <w:r>
        <w:rPr>
          <w:spacing w:val="-7"/>
        </w:rPr>
        <w:t> </w:t>
      </w:r>
      <w:r>
        <w:rPr/>
        <w:t>el</w:t>
      </w:r>
      <w:r>
        <w:rPr>
          <w:spacing w:val="-6"/>
        </w:rPr>
        <w:t> </w:t>
      </w:r>
      <w:r>
        <w:rPr/>
        <w:t>desarrollo</w:t>
      </w:r>
      <w:r>
        <w:rPr>
          <w:spacing w:val="-5"/>
        </w:rPr>
        <w:t> </w:t>
      </w:r>
      <w:r>
        <w:rPr/>
        <w:t>de</w:t>
      </w:r>
      <w:r>
        <w:rPr>
          <w:spacing w:val="-5"/>
        </w:rPr>
        <w:t> </w:t>
      </w:r>
      <w:r>
        <w:rPr/>
        <w:t>su</w:t>
      </w:r>
      <w:r>
        <w:rPr>
          <w:spacing w:val="-5"/>
        </w:rPr>
        <w:t> </w:t>
      </w:r>
      <w:r>
        <w:rPr/>
        <w:t>puesto</w:t>
      </w:r>
      <w:r>
        <w:rPr>
          <w:spacing w:val="-5"/>
        </w:rPr>
        <w:t> </w:t>
      </w:r>
      <w:r>
        <w:rPr/>
        <w:t>de trabajo, así como directrices y herramientas para el cuidado del medio ambiente.</w:t>
      </w:r>
    </w:p>
    <w:p>
      <w:pPr>
        <w:pStyle w:val="BodyText"/>
        <w:spacing w:before="107"/>
      </w:pPr>
    </w:p>
    <w:p>
      <w:pPr>
        <w:pStyle w:val="ListParagraph"/>
        <w:numPr>
          <w:ilvl w:val="3"/>
          <w:numId w:val="3"/>
        </w:numPr>
        <w:tabs>
          <w:tab w:pos="1779" w:val="left" w:leader="none"/>
        </w:tabs>
        <w:spacing w:line="240" w:lineRule="auto" w:before="0" w:after="0"/>
        <w:ind w:left="1779" w:right="0" w:hanging="787"/>
        <w:jc w:val="left"/>
        <w:rPr>
          <w:sz w:val="22"/>
        </w:rPr>
      </w:pPr>
      <w:r>
        <w:rPr>
          <w:sz w:val="22"/>
        </w:rPr>
        <w:t>AYUNTAMIENTO</w:t>
      </w:r>
      <w:r>
        <w:rPr>
          <w:spacing w:val="-5"/>
          <w:sz w:val="22"/>
        </w:rPr>
        <w:t> </w:t>
      </w:r>
      <w:r>
        <w:rPr>
          <w:sz w:val="22"/>
        </w:rPr>
        <w:t>DE</w:t>
      </w:r>
      <w:r>
        <w:rPr>
          <w:spacing w:val="-6"/>
          <w:sz w:val="22"/>
        </w:rPr>
        <w:t> </w:t>
      </w:r>
      <w:r>
        <w:rPr>
          <w:spacing w:val="-2"/>
          <w:sz w:val="22"/>
        </w:rPr>
        <w:t>BILBAO</w:t>
      </w:r>
    </w:p>
    <w:p>
      <w:pPr>
        <w:pStyle w:val="BodyText"/>
        <w:spacing w:before="242"/>
        <w:ind w:left="992" w:right="985"/>
        <w:jc w:val="both"/>
      </w:pPr>
      <w:r>
        <w:rPr/>
        <w:t>El </w:t>
      </w:r>
      <w:r>
        <w:rPr>
          <w:b/>
        </w:rPr>
        <w:t>Ayuntamiento de Bilbao </w:t>
      </w:r>
      <w:r>
        <w:rPr/>
        <w:t>cuenta con servicio de autobús, llamado Bilbobus, y de funicular. El primero</w:t>
      </w:r>
      <w:r>
        <w:rPr>
          <w:spacing w:val="-13"/>
        </w:rPr>
        <w:t> </w:t>
      </w:r>
      <w:r>
        <w:rPr/>
        <w:t>se</w:t>
      </w:r>
      <w:r>
        <w:rPr>
          <w:spacing w:val="-13"/>
        </w:rPr>
        <w:t> </w:t>
      </w:r>
      <w:r>
        <w:rPr/>
        <w:t>presta</w:t>
      </w:r>
      <w:r>
        <w:rPr>
          <w:spacing w:val="-13"/>
        </w:rPr>
        <w:t> </w:t>
      </w:r>
      <w:r>
        <w:rPr/>
        <w:t>a</w:t>
      </w:r>
      <w:r>
        <w:rPr>
          <w:spacing w:val="-13"/>
        </w:rPr>
        <w:t> </w:t>
      </w:r>
      <w:r>
        <w:rPr/>
        <w:t>través</w:t>
      </w:r>
      <w:r>
        <w:rPr>
          <w:spacing w:val="-10"/>
        </w:rPr>
        <w:t> </w:t>
      </w:r>
      <w:r>
        <w:rPr/>
        <w:t>de</w:t>
      </w:r>
      <w:r>
        <w:rPr>
          <w:spacing w:val="-9"/>
        </w:rPr>
        <w:t> </w:t>
      </w:r>
      <w:r>
        <w:rPr/>
        <w:t>una</w:t>
      </w:r>
      <w:r>
        <w:rPr>
          <w:spacing w:val="-13"/>
        </w:rPr>
        <w:t> </w:t>
      </w:r>
      <w:r>
        <w:rPr/>
        <w:t>empresa</w:t>
      </w:r>
      <w:r>
        <w:rPr>
          <w:spacing w:val="-13"/>
        </w:rPr>
        <w:t> </w:t>
      </w:r>
      <w:r>
        <w:rPr/>
        <w:t>externa</w:t>
      </w:r>
      <w:r>
        <w:rPr>
          <w:spacing w:val="-10"/>
        </w:rPr>
        <w:t> </w:t>
      </w:r>
      <w:r>
        <w:rPr/>
        <w:t>cuyo</w:t>
      </w:r>
      <w:r>
        <w:rPr>
          <w:spacing w:val="-13"/>
        </w:rPr>
        <w:t> </w:t>
      </w:r>
      <w:r>
        <w:rPr/>
        <w:t>contrato,</w:t>
      </w:r>
      <w:r>
        <w:rPr>
          <w:spacing w:val="-11"/>
        </w:rPr>
        <w:t> </w:t>
      </w:r>
      <w:r>
        <w:rPr/>
        <w:t>suscrito</w:t>
      </w:r>
      <w:r>
        <w:rPr>
          <w:spacing w:val="-13"/>
        </w:rPr>
        <w:t> </w:t>
      </w:r>
      <w:r>
        <w:rPr/>
        <w:t>en</w:t>
      </w:r>
      <w:r>
        <w:rPr>
          <w:spacing w:val="-11"/>
        </w:rPr>
        <w:t> </w:t>
      </w:r>
      <w:r>
        <w:rPr/>
        <w:t>2019,</w:t>
      </w:r>
      <w:r>
        <w:rPr>
          <w:spacing w:val="-10"/>
        </w:rPr>
        <w:t> </w:t>
      </w:r>
      <w:r>
        <w:rPr/>
        <w:t>ha</w:t>
      </w:r>
      <w:r>
        <w:rPr>
          <w:spacing w:val="-13"/>
        </w:rPr>
        <w:t> </w:t>
      </w:r>
      <w:r>
        <w:rPr/>
        <w:t>sido</w:t>
      </w:r>
      <w:r>
        <w:rPr>
          <w:spacing w:val="-11"/>
        </w:rPr>
        <w:t> </w:t>
      </w:r>
      <w:r>
        <w:rPr/>
        <w:t>resuelto en junio de 2024, aunque sigue prestándolo hasta que se adjudique el nuevo contrato a fin de dar continuidad al servicio. El segundo se lleva a cabo con medios propios.</w:t>
      </w:r>
    </w:p>
    <w:p>
      <w:pPr>
        <w:pStyle w:val="BodyText"/>
        <w:spacing w:before="239"/>
        <w:ind w:left="992" w:right="987"/>
        <w:jc w:val="both"/>
      </w:pPr>
      <w:r>
        <w:rPr/>
        <w:t>En</w:t>
      </w:r>
      <w:r>
        <w:rPr>
          <w:spacing w:val="-16"/>
        </w:rPr>
        <w:t> </w:t>
      </w:r>
      <w:r>
        <w:rPr/>
        <w:t>2022</w:t>
      </w:r>
      <w:r>
        <w:rPr>
          <w:spacing w:val="-15"/>
        </w:rPr>
        <w:t> </w:t>
      </w:r>
      <w:r>
        <w:rPr/>
        <w:t>en</w:t>
      </w:r>
      <w:r>
        <w:rPr>
          <w:spacing w:val="-15"/>
        </w:rPr>
        <w:t> </w:t>
      </w:r>
      <w:r>
        <w:rPr/>
        <w:t>Bilbao</w:t>
      </w:r>
      <w:r>
        <w:rPr>
          <w:spacing w:val="-16"/>
        </w:rPr>
        <w:t> </w:t>
      </w:r>
      <w:r>
        <w:rPr/>
        <w:t>se</w:t>
      </w:r>
      <w:r>
        <w:rPr>
          <w:spacing w:val="-15"/>
        </w:rPr>
        <w:t> </w:t>
      </w:r>
      <w:r>
        <w:rPr/>
        <w:t>hacía</w:t>
      </w:r>
      <w:r>
        <w:rPr>
          <w:spacing w:val="-15"/>
        </w:rPr>
        <w:t> </w:t>
      </w:r>
      <w:r>
        <w:rPr/>
        <w:t>uso</w:t>
      </w:r>
      <w:r>
        <w:rPr>
          <w:spacing w:val="-15"/>
        </w:rPr>
        <w:t> </w:t>
      </w:r>
      <w:r>
        <w:rPr/>
        <w:t>de</w:t>
      </w:r>
      <w:r>
        <w:rPr>
          <w:spacing w:val="-16"/>
        </w:rPr>
        <w:t> </w:t>
      </w:r>
      <w:r>
        <w:rPr/>
        <w:t>energías</w:t>
      </w:r>
      <w:r>
        <w:rPr>
          <w:spacing w:val="-15"/>
        </w:rPr>
        <w:t> </w:t>
      </w:r>
      <w:r>
        <w:rPr/>
        <w:t>renovables</w:t>
      </w:r>
      <w:r>
        <w:rPr>
          <w:spacing w:val="-15"/>
        </w:rPr>
        <w:t> </w:t>
      </w:r>
      <w:r>
        <w:rPr/>
        <w:t>en</w:t>
      </w:r>
      <w:r>
        <w:rPr>
          <w:spacing w:val="-16"/>
        </w:rPr>
        <w:t> </w:t>
      </w:r>
      <w:r>
        <w:rPr/>
        <w:t>las</w:t>
      </w:r>
      <w:r>
        <w:rPr>
          <w:spacing w:val="-15"/>
        </w:rPr>
        <w:t> </w:t>
      </w:r>
      <w:r>
        <w:rPr/>
        <w:t>instalaciones</w:t>
      </w:r>
      <w:r>
        <w:rPr>
          <w:spacing w:val="-15"/>
        </w:rPr>
        <w:t> </w:t>
      </w:r>
      <w:r>
        <w:rPr/>
        <w:t>destinadas</w:t>
      </w:r>
      <w:r>
        <w:rPr>
          <w:spacing w:val="-15"/>
        </w:rPr>
        <w:t> </w:t>
      </w:r>
      <w:r>
        <w:rPr/>
        <w:t>al</w:t>
      </w:r>
      <w:r>
        <w:rPr>
          <w:spacing w:val="-16"/>
        </w:rPr>
        <w:t> </w:t>
      </w:r>
      <w:r>
        <w:rPr/>
        <w:t>transporte público</w:t>
      </w:r>
      <w:r>
        <w:rPr>
          <w:spacing w:val="-12"/>
        </w:rPr>
        <w:t> </w:t>
      </w:r>
      <w:r>
        <w:rPr/>
        <w:t>colectivo,</w:t>
      </w:r>
      <w:r>
        <w:rPr>
          <w:spacing w:val="-12"/>
        </w:rPr>
        <w:t> </w:t>
      </w:r>
      <w:r>
        <w:rPr/>
        <w:t>con</w:t>
      </w:r>
      <w:r>
        <w:rPr>
          <w:spacing w:val="-13"/>
        </w:rPr>
        <w:t> </w:t>
      </w:r>
      <w:r>
        <w:rPr/>
        <w:t>luminarias</w:t>
      </w:r>
      <w:r>
        <w:rPr>
          <w:spacing w:val="-11"/>
        </w:rPr>
        <w:t> </w:t>
      </w:r>
      <w:r>
        <w:rPr/>
        <w:t>de</w:t>
      </w:r>
      <w:r>
        <w:rPr>
          <w:spacing w:val="-14"/>
        </w:rPr>
        <w:t> </w:t>
      </w:r>
      <w:r>
        <w:rPr/>
        <w:t>bajo</w:t>
      </w:r>
      <w:r>
        <w:rPr>
          <w:spacing w:val="-14"/>
        </w:rPr>
        <w:t> </w:t>
      </w:r>
      <w:r>
        <w:rPr/>
        <w:t>consumo,</w:t>
      </w:r>
      <w:r>
        <w:rPr>
          <w:spacing w:val="-12"/>
        </w:rPr>
        <w:t> </w:t>
      </w:r>
      <w:r>
        <w:rPr/>
        <w:t>total</w:t>
      </w:r>
      <w:r>
        <w:rPr>
          <w:spacing w:val="-14"/>
        </w:rPr>
        <w:t> </w:t>
      </w:r>
      <w:r>
        <w:rPr/>
        <w:t>o</w:t>
      </w:r>
      <w:r>
        <w:rPr>
          <w:spacing w:val="-14"/>
        </w:rPr>
        <w:t> </w:t>
      </w:r>
      <w:r>
        <w:rPr/>
        <w:t>parcialmente,</w:t>
      </w:r>
      <w:r>
        <w:rPr>
          <w:spacing w:val="-12"/>
        </w:rPr>
        <w:t> </w:t>
      </w:r>
      <w:r>
        <w:rPr/>
        <w:t>y</w:t>
      </w:r>
      <w:r>
        <w:rPr>
          <w:spacing w:val="-16"/>
        </w:rPr>
        <w:t> </w:t>
      </w:r>
      <w:r>
        <w:rPr/>
        <w:t>placas</w:t>
      </w:r>
      <w:r>
        <w:rPr>
          <w:spacing w:val="-11"/>
        </w:rPr>
        <w:t> </w:t>
      </w:r>
      <w:r>
        <w:rPr/>
        <w:t>fotovoltaicas.</w:t>
      </w:r>
      <w:r>
        <w:rPr>
          <w:spacing w:val="-12"/>
        </w:rPr>
        <w:t> </w:t>
      </w:r>
      <w:r>
        <w:rPr/>
        <w:t>Toda la energía eléctrica consumida en las instalaciones tenía garantía de origen renovable. No había hidrogeneras ni pantógrafos, pero sí doce electrolineras.</w:t>
      </w:r>
    </w:p>
    <w:p>
      <w:pPr>
        <w:pStyle w:val="BodyText"/>
        <w:spacing w:before="241"/>
        <w:ind w:left="992" w:right="985"/>
        <w:jc w:val="both"/>
      </w:pPr>
      <w:r>
        <w:rPr/>
        <w:t>La empresa concesionaria del servicio de transporte mediante autobús disponía de un sistema de gestión medioambiental conforme a la norma ISO 14001:2015. En 2022 había sido auditada por una empresa externa sobre el sistema de gestión ambiental y energético, en cuyo informe se indicaba</w:t>
      </w:r>
      <w:r>
        <w:rPr>
          <w:spacing w:val="-4"/>
        </w:rPr>
        <w:t> </w:t>
      </w:r>
      <w:r>
        <w:rPr/>
        <w:t>que</w:t>
      </w:r>
      <w:r>
        <w:rPr>
          <w:spacing w:val="-4"/>
        </w:rPr>
        <w:t> </w:t>
      </w:r>
      <w:r>
        <w:rPr/>
        <w:t>cumplía</w:t>
      </w:r>
      <w:r>
        <w:rPr>
          <w:spacing w:val="-4"/>
        </w:rPr>
        <w:t> </w:t>
      </w:r>
      <w:r>
        <w:rPr/>
        <w:t>la</w:t>
      </w:r>
      <w:r>
        <w:rPr>
          <w:spacing w:val="-6"/>
        </w:rPr>
        <w:t> </w:t>
      </w:r>
      <w:r>
        <w:rPr/>
        <w:t>normativa</w:t>
      </w:r>
      <w:r>
        <w:rPr>
          <w:spacing w:val="-4"/>
        </w:rPr>
        <w:t> </w:t>
      </w:r>
      <w:r>
        <w:rPr/>
        <w:t>de</w:t>
      </w:r>
      <w:r>
        <w:rPr>
          <w:spacing w:val="-4"/>
        </w:rPr>
        <w:t> </w:t>
      </w:r>
      <w:r>
        <w:rPr/>
        <w:t>aplicación,</w:t>
      </w:r>
      <w:r>
        <w:rPr>
          <w:spacing w:val="-3"/>
        </w:rPr>
        <w:t> </w:t>
      </w:r>
      <w:r>
        <w:rPr/>
        <w:t>señalando,</w:t>
      </w:r>
      <w:r>
        <w:rPr>
          <w:spacing w:val="-3"/>
        </w:rPr>
        <w:t> </w:t>
      </w:r>
      <w:r>
        <w:rPr/>
        <w:t>respecto</w:t>
      </w:r>
      <w:r>
        <w:rPr>
          <w:spacing w:val="-4"/>
        </w:rPr>
        <w:t> </w:t>
      </w:r>
      <w:r>
        <w:rPr/>
        <w:t>de</w:t>
      </w:r>
      <w:r>
        <w:rPr>
          <w:spacing w:val="-8"/>
        </w:rPr>
        <w:t> </w:t>
      </w:r>
      <w:r>
        <w:rPr/>
        <w:t>Bilbao,</w:t>
      </w:r>
      <w:r>
        <w:rPr>
          <w:spacing w:val="-3"/>
        </w:rPr>
        <w:t> </w:t>
      </w:r>
      <w:r>
        <w:rPr/>
        <w:t>la</w:t>
      </w:r>
      <w:r>
        <w:rPr>
          <w:spacing w:val="-4"/>
        </w:rPr>
        <w:t> </w:t>
      </w:r>
      <w:r>
        <w:rPr/>
        <w:t>introducción</w:t>
      </w:r>
      <w:r>
        <w:rPr>
          <w:spacing w:val="-4"/>
        </w:rPr>
        <w:t> </w:t>
      </w:r>
      <w:r>
        <w:rPr/>
        <w:t>del autobús de hidrógeno, así como algunas deficiencias en las instalaciones (incorrecta segregación de algunos residuos o contenedor de baterías usadas de plomo inundado sin techado). Asimismo, había contratado a una empresa externa para la gestión de residuos (peligrosos y no peligrosos).</w:t>
      </w:r>
    </w:p>
    <w:p>
      <w:pPr>
        <w:pStyle w:val="BodyText"/>
        <w:spacing w:before="240"/>
        <w:ind w:left="992" w:right="988"/>
        <w:jc w:val="both"/>
      </w:pPr>
      <w:r>
        <w:rPr/>
        <w:t>En materia de intermodalidad, en la ciudad de Bilbao había en 2022 cuatro aparcamientos disuasorios situados a lo largo de la línea de metro, que son gestionados por otras entidades públicas distintas al Ayuntamiento. También existían dos estaciones para la conexión del autobús con otros medios de transporte.</w:t>
      </w:r>
    </w:p>
    <w:p>
      <w:pPr>
        <w:pStyle w:val="BodyText"/>
        <w:spacing w:before="239"/>
        <w:ind w:left="992" w:right="992"/>
        <w:jc w:val="both"/>
      </w:pPr>
      <w:r>
        <w:rPr/>
        <w:t>Los autobuses</w:t>
      </w:r>
      <w:r>
        <w:rPr>
          <w:spacing w:val="-2"/>
        </w:rPr>
        <w:t> </w:t>
      </w:r>
      <w:r>
        <w:rPr/>
        <w:t>de</w:t>
      </w:r>
      <w:r>
        <w:rPr>
          <w:spacing w:val="-2"/>
        </w:rPr>
        <w:t> </w:t>
      </w:r>
      <w:r>
        <w:rPr/>
        <w:t>la</w:t>
      </w:r>
      <w:r>
        <w:rPr>
          <w:spacing w:val="-2"/>
        </w:rPr>
        <w:t> </w:t>
      </w:r>
      <w:r>
        <w:rPr/>
        <w:t>flota</w:t>
      </w:r>
      <w:r>
        <w:rPr>
          <w:spacing w:val="-1"/>
        </w:rPr>
        <w:t> </w:t>
      </w:r>
      <w:r>
        <w:rPr/>
        <w:t>estaban equipados</w:t>
      </w:r>
      <w:r>
        <w:rPr>
          <w:spacing w:val="-2"/>
        </w:rPr>
        <w:t> </w:t>
      </w:r>
      <w:r>
        <w:rPr/>
        <w:t>con</w:t>
      </w:r>
      <w:r>
        <w:rPr>
          <w:spacing w:val="-4"/>
        </w:rPr>
        <w:t> </w:t>
      </w:r>
      <w:r>
        <w:rPr/>
        <w:t>varias herramientas</w:t>
      </w:r>
      <w:r>
        <w:rPr>
          <w:spacing w:val="-2"/>
        </w:rPr>
        <w:t> </w:t>
      </w:r>
      <w:r>
        <w:rPr/>
        <w:t>para</w:t>
      </w:r>
      <w:r>
        <w:rPr>
          <w:spacing w:val="-2"/>
        </w:rPr>
        <w:t> </w:t>
      </w:r>
      <w:r>
        <w:rPr/>
        <w:t>facilitar el</w:t>
      </w:r>
      <w:r>
        <w:rPr>
          <w:spacing w:val="-3"/>
        </w:rPr>
        <w:t> </w:t>
      </w:r>
      <w:r>
        <w:rPr/>
        <w:t>acceso</w:t>
      </w:r>
      <w:r>
        <w:rPr>
          <w:spacing w:val="-2"/>
        </w:rPr>
        <w:t> </w:t>
      </w:r>
      <w:r>
        <w:rPr/>
        <w:t>y</w:t>
      </w:r>
      <w:r>
        <w:rPr>
          <w:spacing w:val="-2"/>
        </w:rPr>
        <w:t> </w:t>
      </w:r>
      <w:r>
        <w:rPr/>
        <w:t>uso del transporte a personas con movilidad reducida o necesidades especiales.</w:t>
      </w:r>
    </w:p>
    <w:p>
      <w:pPr>
        <w:pStyle w:val="BodyText"/>
        <w:spacing w:before="241"/>
        <w:ind w:left="992" w:right="991"/>
        <w:jc w:val="both"/>
      </w:pPr>
      <w:r>
        <w:rPr/>
        <w:t>El Ayuntamiento</w:t>
      </w:r>
      <w:r>
        <w:rPr>
          <w:spacing w:val="-2"/>
        </w:rPr>
        <w:t> </w:t>
      </w:r>
      <w:r>
        <w:rPr/>
        <w:t>forma</w:t>
      </w:r>
      <w:r>
        <w:rPr>
          <w:spacing w:val="-2"/>
        </w:rPr>
        <w:t> </w:t>
      </w:r>
      <w:r>
        <w:rPr/>
        <w:t>parte</w:t>
      </w:r>
      <w:r>
        <w:rPr>
          <w:spacing w:val="-2"/>
        </w:rPr>
        <w:t> </w:t>
      </w:r>
      <w:r>
        <w:rPr/>
        <w:t>del Consorcio de</w:t>
      </w:r>
      <w:r>
        <w:rPr>
          <w:spacing w:val="-2"/>
        </w:rPr>
        <w:t> </w:t>
      </w:r>
      <w:r>
        <w:rPr/>
        <w:t>Transportes</w:t>
      </w:r>
      <w:r>
        <w:rPr>
          <w:spacing w:val="-2"/>
        </w:rPr>
        <w:t> </w:t>
      </w:r>
      <w:r>
        <w:rPr/>
        <w:t>de</w:t>
      </w:r>
      <w:r>
        <w:rPr>
          <w:spacing w:val="-2"/>
        </w:rPr>
        <w:t> </w:t>
      </w:r>
      <w:r>
        <w:rPr/>
        <w:t>Bizkaia, que ha</w:t>
      </w:r>
      <w:r>
        <w:rPr>
          <w:spacing w:val="-2"/>
        </w:rPr>
        <w:t> </w:t>
      </w:r>
      <w:r>
        <w:rPr/>
        <w:t>diseñado el</w:t>
      </w:r>
      <w:r>
        <w:rPr>
          <w:spacing w:val="-3"/>
        </w:rPr>
        <w:t> </w:t>
      </w:r>
      <w:r>
        <w:rPr/>
        <w:t>sistema de integración tarifaria, con un título monedero multimodal válido en todos los operadores de transporte de la red de transportes del Consorcio y una tarjeta sin contacto para el pago.</w:t>
      </w:r>
    </w:p>
    <w:p>
      <w:pPr>
        <w:pStyle w:val="BodyText"/>
        <w:spacing w:before="239"/>
        <w:ind w:left="992" w:right="989"/>
        <w:jc w:val="both"/>
      </w:pPr>
      <w:r>
        <w:rPr/>
        <w:t>En cuanto a los medios digitales, la entidad ha contado con herramientas digitales básicas, principalmente, un sistema de información geográfica, el SAE y la aplicación móvil específica del servicio Bilbobus.</w:t>
      </w:r>
    </w:p>
    <w:p>
      <w:pPr>
        <w:pStyle w:val="BodyText"/>
        <w:spacing w:before="242"/>
        <w:ind w:left="992" w:right="987"/>
        <w:jc w:val="both"/>
      </w:pPr>
      <w:r>
        <w:rPr/>
        <w:t>Las actuaciones realizadas por</w:t>
      </w:r>
      <w:r>
        <w:rPr>
          <w:spacing w:val="-1"/>
        </w:rPr>
        <w:t> </w:t>
      </w:r>
      <w:r>
        <w:rPr/>
        <w:t>el </w:t>
      </w:r>
      <w:r>
        <w:rPr>
          <w:b/>
        </w:rPr>
        <w:t>Ayuntamiento</w:t>
      </w:r>
      <w:r>
        <w:rPr>
          <w:b/>
          <w:spacing w:val="-4"/>
        </w:rPr>
        <w:t> </w:t>
      </w:r>
      <w:r>
        <w:rPr>
          <w:b/>
        </w:rPr>
        <w:t>de Bilbao</w:t>
      </w:r>
      <w:r>
        <w:rPr>
          <w:b/>
          <w:spacing w:val="-1"/>
        </w:rPr>
        <w:t> </w:t>
      </w:r>
      <w:r>
        <w:rPr/>
        <w:t>en 2023</w:t>
      </w:r>
      <w:r>
        <w:rPr>
          <w:spacing w:val="-2"/>
        </w:rPr>
        <w:t> </w:t>
      </w:r>
      <w:r>
        <w:rPr/>
        <w:t>y 2024, dirigidas a</w:t>
      </w:r>
      <w:r>
        <w:rPr>
          <w:spacing w:val="-2"/>
        </w:rPr>
        <w:t> </w:t>
      </w:r>
      <w:r>
        <w:rPr/>
        <w:t>lograr</w:t>
      </w:r>
      <w:r>
        <w:rPr>
          <w:spacing w:val="-1"/>
        </w:rPr>
        <w:t> </w:t>
      </w:r>
      <w:r>
        <w:rPr/>
        <w:t>una movilidad</w:t>
      </w:r>
      <w:r>
        <w:rPr>
          <w:spacing w:val="-6"/>
        </w:rPr>
        <w:t> </w:t>
      </w:r>
      <w:r>
        <w:rPr/>
        <w:t>sostenible</w:t>
      </w:r>
      <w:r>
        <w:rPr>
          <w:spacing w:val="-6"/>
        </w:rPr>
        <w:t> </w:t>
      </w:r>
      <w:r>
        <w:rPr/>
        <w:t>en</w:t>
      </w:r>
      <w:r>
        <w:rPr>
          <w:spacing w:val="-9"/>
        </w:rPr>
        <w:t> </w:t>
      </w:r>
      <w:r>
        <w:rPr/>
        <w:t>el</w:t>
      </w:r>
      <w:r>
        <w:rPr>
          <w:spacing w:val="-7"/>
        </w:rPr>
        <w:t> </w:t>
      </w:r>
      <w:r>
        <w:rPr/>
        <w:t>transporte</w:t>
      </w:r>
      <w:r>
        <w:rPr>
          <w:spacing w:val="-9"/>
        </w:rPr>
        <w:t> </w:t>
      </w:r>
      <w:r>
        <w:rPr/>
        <w:t>público</w:t>
      </w:r>
      <w:r>
        <w:rPr>
          <w:spacing w:val="-6"/>
        </w:rPr>
        <w:t> </w:t>
      </w:r>
      <w:r>
        <w:rPr/>
        <w:t>colectivo,</w:t>
      </w:r>
      <w:r>
        <w:rPr>
          <w:spacing w:val="-3"/>
        </w:rPr>
        <w:t> </w:t>
      </w:r>
      <w:r>
        <w:rPr/>
        <w:t>han</w:t>
      </w:r>
      <w:r>
        <w:rPr>
          <w:spacing w:val="-9"/>
        </w:rPr>
        <w:t> </w:t>
      </w:r>
      <w:r>
        <w:rPr/>
        <w:t>sido</w:t>
      </w:r>
      <w:r>
        <w:rPr>
          <w:spacing w:val="-7"/>
        </w:rPr>
        <w:t> </w:t>
      </w:r>
      <w:r>
        <w:rPr/>
        <w:t>escasas</w:t>
      </w:r>
      <w:r>
        <w:rPr>
          <w:spacing w:val="-5"/>
        </w:rPr>
        <w:t> </w:t>
      </w:r>
      <w:r>
        <w:rPr/>
        <w:t>y</w:t>
      </w:r>
      <w:r>
        <w:rPr>
          <w:spacing w:val="-8"/>
        </w:rPr>
        <w:t> </w:t>
      </w:r>
      <w:r>
        <w:rPr/>
        <w:t>su</w:t>
      </w:r>
      <w:r>
        <w:rPr>
          <w:spacing w:val="-6"/>
        </w:rPr>
        <w:t> </w:t>
      </w:r>
      <w:r>
        <w:rPr/>
        <w:t>importe</w:t>
      </w:r>
      <w:r>
        <w:rPr>
          <w:spacing w:val="-6"/>
        </w:rPr>
        <w:t> </w:t>
      </w:r>
      <w:r>
        <w:rPr/>
        <w:t>ha</w:t>
      </w:r>
      <w:r>
        <w:rPr>
          <w:spacing w:val="-9"/>
        </w:rPr>
        <w:t> </w:t>
      </w:r>
      <w:r>
        <w:rPr/>
        <w:t>ascendido a 7.564.988,34 euros. El detalle de estas actuaciones se recoge en el </w:t>
      </w:r>
      <w:hyperlink w:history="true" w:anchor="_bookmark138">
        <w:r>
          <w:rPr/>
          <w:t>Anexo VII.</w:t>
        </w:r>
      </w:hyperlink>
    </w:p>
    <w:p>
      <w:pPr>
        <w:pStyle w:val="BodyText"/>
        <w:spacing w:before="240"/>
        <w:ind w:left="992" w:right="986"/>
        <w:jc w:val="both"/>
      </w:pPr>
      <w:r>
        <w:rPr/>
        <w:t>Casi su totalidad, el 92,11 % del importe total de las actuaciones realizadas en esos ejercicios, ha consistido en la compra de autobuses eléctricos y la instalación de electrolineras para su recarga, que</w:t>
      </w:r>
      <w:r>
        <w:rPr>
          <w:spacing w:val="-6"/>
        </w:rPr>
        <w:t> </w:t>
      </w:r>
      <w:r>
        <w:rPr/>
        <w:t>estaban</w:t>
      </w:r>
      <w:r>
        <w:rPr>
          <w:spacing w:val="-7"/>
        </w:rPr>
        <w:t> </w:t>
      </w:r>
      <w:r>
        <w:rPr/>
        <w:t>subvencionados</w:t>
      </w:r>
      <w:r>
        <w:rPr>
          <w:spacing w:val="-6"/>
        </w:rPr>
        <w:t> </w:t>
      </w:r>
      <w:r>
        <w:rPr/>
        <w:t>por</w:t>
      </w:r>
      <w:r>
        <w:rPr>
          <w:spacing w:val="-5"/>
        </w:rPr>
        <w:t> </w:t>
      </w:r>
      <w:r>
        <w:rPr/>
        <w:t>el</w:t>
      </w:r>
      <w:r>
        <w:rPr>
          <w:spacing w:val="-7"/>
        </w:rPr>
        <w:t> </w:t>
      </w:r>
      <w:r>
        <w:rPr/>
        <w:t>Programa</w:t>
      </w:r>
      <w:r>
        <w:rPr>
          <w:spacing w:val="-6"/>
        </w:rPr>
        <w:t> </w:t>
      </w:r>
      <w:r>
        <w:rPr/>
        <w:t>de</w:t>
      </w:r>
      <w:r>
        <w:rPr>
          <w:spacing w:val="-9"/>
        </w:rPr>
        <w:t> </w:t>
      </w:r>
      <w:r>
        <w:rPr/>
        <w:t>ayudas</w:t>
      </w:r>
      <w:r>
        <w:rPr>
          <w:spacing w:val="-6"/>
        </w:rPr>
        <w:t> </w:t>
      </w:r>
      <w:r>
        <w:rPr/>
        <w:t>para</w:t>
      </w:r>
      <w:r>
        <w:rPr>
          <w:spacing w:val="-6"/>
        </w:rPr>
        <w:t> </w:t>
      </w:r>
      <w:r>
        <w:rPr/>
        <w:t>la</w:t>
      </w:r>
      <w:r>
        <w:rPr>
          <w:spacing w:val="-6"/>
        </w:rPr>
        <w:t> </w:t>
      </w:r>
      <w:r>
        <w:rPr/>
        <w:t>transformación</w:t>
      </w:r>
      <w:r>
        <w:rPr>
          <w:spacing w:val="-7"/>
        </w:rPr>
        <w:t> </w:t>
      </w:r>
      <w:r>
        <w:rPr/>
        <w:t>digital</w:t>
      </w:r>
      <w:r>
        <w:rPr>
          <w:spacing w:val="-7"/>
        </w:rPr>
        <w:t> </w:t>
      </w:r>
      <w:r>
        <w:rPr/>
        <w:t>y</w:t>
      </w:r>
      <w:r>
        <w:rPr>
          <w:spacing w:val="-6"/>
        </w:rPr>
        <w:t> </w:t>
      </w:r>
      <w:r>
        <w:rPr/>
        <w:t>sostenible del transporte urbano, PRTR.</w:t>
      </w:r>
    </w:p>
    <w:p>
      <w:pPr>
        <w:pStyle w:val="BodyText"/>
        <w:spacing w:before="238"/>
        <w:ind w:left="992" w:right="987"/>
        <w:jc w:val="both"/>
      </w:pPr>
      <w:r>
        <w:rPr/>
        <w:t>También</w:t>
      </w:r>
      <w:r>
        <w:rPr>
          <w:spacing w:val="-7"/>
        </w:rPr>
        <w:t> </w:t>
      </w:r>
      <w:r>
        <w:rPr/>
        <w:t>ha</w:t>
      </w:r>
      <w:r>
        <w:rPr>
          <w:spacing w:val="-7"/>
        </w:rPr>
        <w:t> </w:t>
      </w:r>
      <w:r>
        <w:rPr/>
        <w:t>realizado</w:t>
      </w:r>
      <w:r>
        <w:rPr>
          <w:spacing w:val="-6"/>
        </w:rPr>
        <w:t> </w:t>
      </w:r>
      <w:r>
        <w:rPr/>
        <w:t>unas</w:t>
      </w:r>
      <w:r>
        <w:rPr>
          <w:spacing w:val="-6"/>
        </w:rPr>
        <w:t> </w:t>
      </w:r>
      <w:r>
        <w:rPr/>
        <w:t>obras</w:t>
      </w:r>
      <w:r>
        <w:rPr>
          <w:spacing w:val="-6"/>
        </w:rPr>
        <w:t> </w:t>
      </w:r>
      <w:r>
        <w:rPr/>
        <w:t>para</w:t>
      </w:r>
      <w:r>
        <w:rPr>
          <w:spacing w:val="-6"/>
        </w:rPr>
        <w:t> </w:t>
      </w:r>
      <w:r>
        <w:rPr/>
        <w:t>la</w:t>
      </w:r>
      <w:r>
        <w:rPr>
          <w:spacing w:val="-6"/>
        </w:rPr>
        <w:t> </w:t>
      </w:r>
      <w:r>
        <w:rPr/>
        <w:t>mejora</w:t>
      </w:r>
      <w:r>
        <w:rPr>
          <w:spacing w:val="-7"/>
        </w:rPr>
        <w:t> </w:t>
      </w:r>
      <w:r>
        <w:rPr/>
        <w:t>de</w:t>
      </w:r>
      <w:r>
        <w:rPr>
          <w:spacing w:val="-7"/>
        </w:rPr>
        <w:t> </w:t>
      </w:r>
      <w:r>
        <w:rPr/>
        <w:t>las</w:t>
      </w:r>
      <w:r>
        <w:rPr>
          <w:spacing w:val="-6"/>
        </w:rPr>
        <w:t> </w:t>
      </w:r>
      <w:r>
        <w:rPr/>
        <w:t>paradas</w:t>
      </w:r>
      <w:r>
        <w:rPr>
          <w:spacing w:val="-6"/>
        </w:rPr>
        <w:t> </w:t>
      </w:r>
      <w:r>
        <w:rPr/>
        <w:t>de</w:t>
      </w:r>
      <w:r>
        <w:rPr>
          <w:spacing w:val="-7"/>
        </w:rPr>
        <w:t> </w:t>
      </w:r>
      <w:r>
        <w:rPr/>
        <w:t>autobús</w:t>
      </w:r>
      <w:r>
        <w:rPr>
          <w:spacing w:val="-6"/>
        </w:rPr>
        <w:t> </w:t>
      </w:r>
      <w:r>
        <w:rPr/>
        <w:t>con</w:t>
      </w:r>
      <w:r>
        <w:rPr>
          <w:spacing w:val="-7"/>
        </w:rPr>
        <w:t> </w:t>
      </w:r>
      <w:r>
        <w:rPr/>
        <w:t>objeto,</w:t>
      </w:r>
      <w:r>
        <w:rPr>
          <w:spacing w:val="-5"/>
        </w:rPr>
        <w:t> </w:t>
      </w:r>
      <w:r>
        <w:rPr/>
        <w:t>entre</w:t>
      </w:r>
      <w:r>
        <w:rPr>
          <w:spacing w:val="-8"/>
        </w:rPr>
        <w:t> </w:t>
      </w:r>
      <w:r>
        <w:rPr/>
        <w:t>otros, de</w:t>
      </w:r>
      <w:r>
        <w:rPr>
          <w:spacing w:val="-16"/>
        </w:rPr>
        <w:t> </w:t>
      </w:r>
      <w:r>
        <w:rPr/>
        <w:t>mejorar</w:t>
      </w:r>
      <w:r>
        <w:rPr>
          <w:spacing w:val="-15"/>
        </w:rPr>
        <w:t> </w:t>
      </w:r>
      <w:r>
        <w:rPr/>
        <w:t>su</w:t>
      </w:r>
      <w:r>
        <w:rPr>
          <w:spacing w:val="-15"/>
        </w:rPr>
        <w:t> </w:t>
      </w:r>
      <w:r>
        <w:rPr/>
        <w:t>accesibilidad,</w:t>
      </w:r>
      <w:r>
        <w:rPr>
          <w:spacing w:val="-16"/>
        </w:rPr>
        <w:t> </w:t>
      </w:r>
      <w:r>
        <w:rPr/>
        <w:t>y</w:t>
      </w:r>
      <w:r>
        <w:rPr>
          <w:spacing w:val="-15"/>
        </w:rPr>
        <w:t> </w:t>
      </w:r>
      <w:r>
        <w:rPr/>
        <w:t>ha</w:t>
      </w:r>
      <w:r>
        <w:rPr>
          <w:spacing w:val="-15"/>
        </w:rPr>
        <w:t> </w:t>
      </w:r>
      <w:r>
        <w:rPr/>
        <w:t>renovado</w:t>
      </w:r>
      <w:r>
        <w:rPr>
          <w:spacing w:val="-15"/>
        </w:rPr>
        <w:t> </w:t>
      </w:r>
      <w:r>
        <w:rPr/>
        <w:t>su</w:t>
      </w:r>
      <w:r>
        <w:rPr>
          <w:spacing w:val="-16"/>
        </w:rPr>
        <w:t> </w:t>
      </w:r>
      <w:r>
        <w:rPr/>
        <w:t>equipamiento,</w:t>
      </w:r>
      <w:r>
        <w:rPr>
          <w:spacing w:val="-15"/>
        </w:rPr>
        <w:t> </w:t>
      </w:r>
      <w:r>
        <w:rPr/>
        <w:t>sustituyendo</w:t>
      </w:r>
      <w:r>
        <w:rPr>
          <w:spacing w:val="-15"/>
        </w:rPr>
        <w:t> </w:t>
      </w:r>
      <w:r>
        <w:rPr/>
        <w:t>las</w:t>
      </w:r>
      <w:r>
        <w:rPr>
          <w:spacing w:val="-16"/>
        </w:rPr>
        <w:t> </w:t>
      </w:r>
      <w:r>
        <w:rPr/>
        <w:t>marquesinas</w:t>
      </w:r>
      <w:r>
        <w:rPr>
          <w:spacing w:val="-15"/>
        </w:rPr>
        <w:t> </w:t>
      </w:r>
      <w:r>
        <w:rPr/>
        <w:t>por</w:t>
      </w:r>
      <w:r>
        <w:rPr>
          <w:spacing w:val="-15"/>
        </w:rPr>
        <w:t> </w:t>
      </w:r>
      <w:r>
        <w:rPr/>
        <w:t>otras con puntos wifi e instalando nuevos paneles de información.</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8"/>
        <w:jc w:val="both"/>
      </w:pPr>
      <w:r>
        <w:rPr/>
        <w:t>En</w:t>
      </w:r>
      <w:r>
        <w:rPr>
          <w:spacing w:val="-2"/>
        </w:rPr>
        <w:t> </w:t>
      </w:r>
      <w:r>
        <w:rPr/>
        <w:t>materia</w:t>
      </w:r>
      <w:r>
        <w:rPr>
          <w:spacing w:val="-2"/>
        </w:rPr>
        <w:t> </w:t>
      </w:r>
      <w:r>
        <w:rPr/>
        <w:t>digital,</w:t>
      </w:r>
      <w:r>
        <w:rPr>
          <w:spacing w:val="-3"/>
        </w:rPr>
        <w:t> </w:t>
      </w:r>
      <w:r>
        <w:rPr/>
        <w:t>solo ha</w:t>
      </w:r>
      <w:r>
        <w:rPr>
          <w:spacing w:val="-2"/>
        </w:rPr>
        <w:t> </w:t>
      </w:r>
      <w:r>
        <w:rPr/>
        <w:t>renovado</w:t>
      </w:r>
      <w:r>
        <w:rPr>
          <w:spacing w:val="-4"/>
        </w:rPr>
        <w:t> </w:t>
      </w:r>
      <w:r>
        <w:rPr/>
        <w:t>la</w:t>
      </w:r>
      <w:r>
        <w:rPr>
          <w:spacing w:val="-2"/>
        </w:rPr>
        <w:t> </w:t>
      </w:r>
      <w:r>
        <w:rPr/>
        <w:t>aplicación</w:t>
      </w:r>
      <w:r>
        <w:rPr>
          <w:spacing w:val="-4"/>
        </w:rPr>
        <w:t> </w:t>
      </w:r>
      <w:r>
        <w:rPr/>
        <w:t>informática</w:t>
      </w:r>
      <w:r>
        <w:rPr>
          <w:spacing w:val="-2"/>
        </w:rPr>
        <w:t> </w:t>
      </w:r>
      <w:r>
        <w:rPr/>
        <w:t>de</w:t>
      </w:r>
      <w:r>
        <w:rPr>
          <w:spacing w:val="-2"/>
        </w:rPr>
        <w:t> </w:t>
      </w:r>
      <w:r>
        <w:rPr/>
        <w:t>Bilbobus,</w:t>
      </w:r>
      <w:r>
        <w:rPr>
          <w:spacing w:val="-3"/>
        </w:rPr>
        <w:t> </w:t>
      </w:r>
      <w:r>
        <w:rPr/>
        <w:t>sin</w:t>
      </w:r>
      <w:r>
        <w:rPr>
          <w:spacing w:val="-2"/>
        </w:rPr>
        <w:t> </w:t>
      </w:r>
      <w:r>
        <w:rPr/>
        <w:t>que</w:t>
      </w:r>
      <w:r>
        <w:rPr>
          <w:spacing w:val="-2"/>
        </w:rPr>
        <w:t> </w:t>
      </w:r>
      <w:r>
        <w:rPr/>
        <w:t>haya</w:t>
      </w:r>
      <w:r>
        <w:rPr>
          <w:spacing w:val="-4"/>
        </w:rPr>
        <w:t> </w:t>
      </w:r>
      <w:r>
        <w:rPr/>
        <w:t>introducido tecnologías más avanzadas que las disponibles hasta entonces, que permitieran mejorar la eficiencia y la sostenibilidad del transporte colectivo.</w:t>
      </w:r>
    </w:p>
    <w:p>
      <w:pPr>
        <w:pStyle w:val="BodyText"/>
        <w:spacing w:before="109"/>
      </w:pPr>
    </w:p>
    <w:p>
      <w:pPr>
        <w:pStyle w:val="ListParagraph"/>
        <w:numPr>
          <w:ilvl w:val="3"/>
          <w:numId w:val="3"/>
        </w:numPr>
        <w:tabs>
          <w:tab w:pos="1779" w:val="left" w:leader="none"/>
        </w:tabs>
        <w:spacing w:line="240" w:lineRule="auto" w:before="0" w:after="0"/>
        <w:ind w:left="1779" w:right="0" w:hanging="787"/>
        <w:jc w:val="left"/>
        <w:rPr>
          <w:sz w:val="22"/>
        </w:rPr>
      </w:pPr>
      <w:r>
        <w:rPr>
          <w:sz w:val="22"/>
        </w:rPr>
        <w:t>AYUNTAMIENTO</w:t>
      </w:r>
      <w:r>
        <w:rPr>
          <w:spacing w:val="-6"/>
          <w:sz w:val="22"/>
        </w:rPr>
        <w:t> </w:t>
      </w:r>
      <w:r>
        <w:rPr>
          <w:sz w:val="22"/>
        </w:rPr>
        <w:t>DE</w:t>
      </w:r>
      <w:r>
        <w:rPr>
          <w:spacing w:val="-6"/>
          <w:sz w:val="22"/>
        </w:rPr>
        <w:t> </w:t>
      </w:r>
      <w:r>
        <w:rPr>
          <w:spacing w:val="-2"/>
          <w:sz w:val="22"/>
        </w:rPr>
        <w:t>CÓRDOBA</w:t>
      </w:r>
    </w:p>
    <w:p>
      <w:pPr>
        <w:pStyle w:val="BodyText"/>
        <w:spacing w:before="239"/>
        <w:ind w:left="992" w:right="988"/>
        <w:jc w:val="both"/>
      </w:pPr>
      <w:r>
        <w:rPr/>
        <w:t>El </w:t>
      </w:r>
      <w:r>
        <w:rPr>
          <w:b/>
        </w:rPr>
        <w:t>Ayuntamiento de Córdoba </w:t>
      </w:r>
      <w:r>
        <w:rPr/>
        <w:t>gestiona el transporte urbano colectivo por autobús a través de gestión directa mediante una empresa pública 100 % municipal. Aunque esta empresa no ha aprobado ningún plan o documento estratégico, anualmente redacta un programa de actuaciones, inversiones y financiación en el que se detallan las inversiones concretas a realizar en cada año y los recursos financieros asignados. Las previsiones contenidas en el mismo se han materializado en</w:t>
      </w:r>
      <w:r>
        <w:rPr>
          <w:spacing w:val="-9"/>
        </w:rPr>
        <w:t> </w:t>
      </w:r>
      <w:r>
        <w:rPr/>
        <w:t>algunas</w:t>
      </w:r>
      <w:r>
        <w:rPr>
          <w:spacing w:val="-8"/>
        </w:rPr>
        <w:t> </w:t>
      </w:r>
      <w:r>
        <w:rPr/>
        <w:t>de</w:t>
      </w:r>
      <w:r>
        <w:rPr>
          <w:spacing w:val="-10"/>
        </w:rPr>
        <w:t> </w:t>
      </w:r>
      <w:r>
        <w:rPr/>
        <w:t>las</w:t>
      </w:r>
      <w:r>
        <w:rPr>
          <w:spacing w:val="-9"/>
        </w:rPr>
        <w:t> </w:t>
      </w:r>
      <w:r>
        <w:rPr/>
        <w:t>actuaciones</w:t>
      </w:r>
      <w:r>
        <w:rPr>
          <w:spacing w:val="-9"/>
        </w:rPr>
        <w:t> </w:t>
      </w:r>
      <w:r>
        <w:rPr/>
        <w:t>realizadas</w:t>
      </w:r>
      <w:r>
        <w:rPr>
          <w:spacing w:val="-9"/>
        </w:rPr>
        <w:t> </w:t>
      </w:r>
      <w:r>
        <w:rPr/>
        <w:t>en</w:t>
      </w:r>
      <w:r>
        <w:rPr>
          <w:spacing w:val="-10"/>
        </w:rPr>
        <w:t> </w:t>
      </w:r>
      <w:r>
        <w:rPr/>
        <w:t>los</w:t>
      </w:r>
      <w:r>
        <w:rPr>
          <w:spacing w:val="-9"/>
        </w:rPr>
        <w:t> </w:t>
      </w:r>
      <w:r>
        <w:rPr/>
        <w:t>ejercicios</w:t>
      </w:r>
      <w:r>
        <w:rPr>
          <w:spacing w:val="-9"/>
        </w:rPr>
        <w:t> </w:t>
      </w:r>
      <w:r>
        <w:rPr/>
        <w:t>fiscalizados,</w:t>
      </w:r>
      <w:r>
        <w:rPr>
          <w:spacing w:val="-10"/>
        </w:rPr>
        <w:t> </w:t>
      </w:r>
      <w:r>
        <w:rPr/>
        <w:t>tales</w:t>
      </w:r>
      <w:r>
        <w:rPr>
          <w:spacing w:val="-8"/>
        </w:rPr>
        <w:t> </w:t>
      </w:r>
      <w:r>
        <w:rPr/>
        <w:t>como</w:t>
      </w:r>
      <w:r>
        <w:rPr>
          <w:spacing w:val="-11"/>
        </w:rPr>
        <w:t> </w:t>
      </w:r>
      <w:r>
        <w:rPr/>
        <w:t>la</w:t>
      </w:r>
      <w:r>
        <w:rPr>
          <w:spacing w:val="-9"/>
        </w:rPr>
        <w:t> </w:t>
      </w:r>
      <w:r>
        <w:rPr/>
        <w:t>adquisición</w:t>
      </w:r>
      <w:r>
        <w:rPr>
          <w:spacing w:val="-9"/>
        </w:rPr>
        <w:t> </w:t>
      </w:r>
      <w:r>
        <w:rPr/>
        <w:t>de </w:t>
      </w:r>
      <w:r>
        <w:rPr>
          <w:spacing w:val="-2"/>
        </w:rPr>
        <w:t>vehículos.</w:t>
      </w:r>
    </w:p>
    <w:p>
      <w:pPr>
        <w:pStyle w:val="BodyText"/>
        <w:spacing w:before="241"/>
        <w:ind w:left="992" w:right="989"/>
        <w:jc w:val="both"/>
      </w:pPr>
      <w:r>
        <w:rPr/>
        <w:t>A 31 de diciembre de 2022, la entidad disponía, como sistemas de reducción del consumo de energía en los edificios, centros e instalaciones destinados al transporte del autobús, de lámparas LED (</w:t>
      </w:r>
      <w:r>
        <w:rPr>
          <w:i/>
        </w:rPr>
        <w:t>Light Emitting Diode </w:t>
      </w:r>
      <w:r>
        <w:rPr/>
        <w:t>o diodo emisor de luz) con detectores de presencia en todas las instalaciones, así como de 83 ventanas con aislamiento térmico y acústico en los edificios de oficinas y de control.</w:t>
      </w:r>
    </w:p>
    <w:p>
      <w:pPr>
        <w:pStyle w:val="BodyText"/>
        <w:spacing w:before="240"/>
        <w:ind w:left="992" w:right="991"/>
        <w:jc w:val="both"/>
      </w:pPr>
      <w:r>
        <w:rPr/>
        <w:t>Contaba con placas fotovoltaicas que daban servicio al sistema de iluminación del interior en los aseos de cabecera de dos líneas, y estaba instalada una gasinera desde 2018 como estación de compresión y repostaje de gas natural comprimido vehicular y del taller; no así de hidrogeneras, electrolineras y pantógrafos.</w:t>
      </w:r>
    </w:p>
    <w:p>
      <w:pPr>
        <w:pStyle w:val="BodyText"/>
        <w:spacing w:before="239"/>
        <w:ind w:left="992" w:right="992"/>
        <w:jc w:val="both"/>
      </w:pPr>
      <w:r>
        <w:rPr/>
        <w:t>La empresa municipal no tenía implantado un sistema de gestión ambiental ni había recibido ninguna certificación sobre la gestión</w:t>
      </w:r>
      <w:r>
        <w:rPr>
          <w:spacing w:val="-1"/>
        </w:rPr>
        <w:t> </w:t>
      </w:r>
      <w:r>
        <w:rPr/>
        <w:t>medioambiental. No</w:t>
      </w:r>
      <w:r>
        <w:rPr>
          <w:spacing w:val="-1"/>
        </w:rPr>
        <w:t> </w:t>
      </w:r>
      <w:r>
        <w:rPr/>
        <w:t>obstante, tiene</w:t>
      </w:r>
      <w:r>
        <w:rPr>
          <w:spacing w:val="-1"/>
        </w:rPr>
        <w:t> </w:t>
      </w:r>
      <w:r>
        <w:rPr/>
        <w:t>contratada</w:t>
      </w:r>
      <w:r>
        <w:rPr>
          <w:spacing w:val="-1"/>
        </w:rPr>
        <w:t> </w:t>
      </w:r>
      <w:r>
        <w:rPr/>
        <w:t>una</w:t>
      </w:r>
      <w:r>
        <w:rPr>
          <w:spacing w:val="-1"/>
        </w:rPr>
        <w:t> </w:t>
      </w:r>
      <w:r>
        <w:rPr/>
        <w:t>empresa de asesoría especializada en este ámbito que imparte formación y asesora en la gestión de </w:t>
      </w:r>
      <w:r>
        <w:rPr>
          <w:spacing w:val="-2"/>
        </w:rPr>
        <w:t>residuos.</w:t>
      </w:r>
    </w:p>
    <w:p>
      <w:pPr>
        <w:pStyle w:val="BodyText"/>
        <w:spacing w:before="241"/>
        <w:ind w:left="992" w:right="985"/>
        <w:jc w:val="both"/>
      </w:pPr>
      <w:r>
        <w:rPr/>
        <w:t>La</w:t>
      </w:r>
      <w:r>
        <w:rPr>
          <w:spacing w:val="-7"/>
        </w:rPr>
        <w:t> </w:t>
      </w:r>
      <w:r>
        <w:rPr/>
        <w:t>sociedad</w:t>
      </w:r>
      <w:r>
        <w:rPr>
          <w:spacing w:val="-7"/>
        </w:rPr>
        <w:t> </w:t>
      </w:r>
      <w:r>
        <w:rPr/>
        <w:t>municipal</w:t>
      </w:r>
      <w:r>
        <w:rPr>
          <w:spacing w:val="-7"/>
        </w:rPr>
        <w:t> </w:t>
      </w:r>
      <w:r>
        <w:rPr/>
        <w:t>gestiona,</w:t>
      </w:r>
      <w:r>
        <w:rPr>
          <w:spacing w:val="-5"/>
        </w:rPr>
        <w:t> </w:t>
      </w:r>
      <w:r>
        <w:rPr/>
        <w:t>anualmente,</w:t>
      </w:r>
      <w:r>
        <w:rPr>
          <w:spacing w:val="-5"/>
        </w:rPr>
        <w:t> </w:t>
      </w:r>
      <w:r>
        <w:rPr/>
        <w:t>los</w:t>
      </w:r>
      <w:r>
        <w:rPr>
          <w:spacing w:val="-9"/>
        </w:rPr>
        <w:t> </w:t>
      </w:r>
      <w:r>
        <w:rPr/>
        <w:t>residuos</w:t>
      </w:r>
      <w:r>
        <w:rPr>
          <w:spacing w:val="-6"/>
        </w:rPr>
        <w:t> </w:t>
      </w:r>
      <w:r>
        <w:rPr/>
        <w:t>peligrosos</w:t>
      </w:r>
      <w:r>
        <w:rPr>
          <w:spacing w:val="-6"/>
        </w:rPr>
        <w:t> </w:t>
      </w:r>
      <w:r>
        <w:rPr/>
        <w:t>y</w:t>
      </w:r>
      <w:r>
        <w:rPr>
          <w:spacing w:val="-8"/>
        </w:rPr>
        <w:t> </w:t>
      </w:r>
      <w:r>
        <w:rPr/>
        <w:t>no</w:t>
      </w:r>
      <w:r>
        <w:rPr>
          <w:spacing w:val="-9"/>
        </w:rPr>
        <w:t> </w:t>
      </w:r>
      <w:r>
        <w:rPr/>
        <w:t>peligrosos</w:t>
      </w:r>
      <w:r>
        <w:rPr>
          <w:spacing w:val="-6"/>
        </w:rPr>
        <w:t> </w:t>
      </w:r>
      <w:r>
        <w:rPr/>
        <w:t>a</w:t>
      </w:r>
      <w:r>
        <w:rPr>
          <w:spacing w:val="-6"/>
        </w:rPr>
        <w:t> </w:t>
      </w:r>
      <w:r>
        <w:rPr/>
        <w:t>través</w:t>
      </w:r>
      <w:r>
        <w:rPr>
          <w:spacing w:val="-6"/>
        </w:rPr>
        <w:t> </w:t>
      </w:r>
      <w:r>
        <w:rPr/>
        <w:t>de</w:t>
      </w:r>
      <w:r>
        <w:rPr>
          <w:spacing w:val="-9"/>
        </w:rPr>
        <w:t> </w:t>
      </w:r>
      <w:r>
        <w:rPr/>
        <w:t>un gestor</w:t>
      </w:r>
      <w:r>
        <w:rPr>
          <w:spacing w:val="-1"/>
        </w:rPr>
        <w:t> </w:t>
      </w:r>
      <w:r>
        <w:rPr/>
        <w:t>autorizado. La</w:t>
      </w:r>
      <w:r>
        <w:rPr>
          <w:spacing w:val="-2"/>
        </w:rPr>
        <w:t> </w:t>
      </w:r>
      <w:r>
        <w:rPr/>
        <w:t>empresa</w:t>
      </w:r>
      <w:r>
        <w:rPr>
          <w:spacing w:val="-2"/>
        </w:rPr>
        <w:t> </w:t>
      </w:r>
      <w:r>
        <w:rPr/>
        <w:t>tiene</w:t>
      </w:r>
      <w:r>
        <w:rPr>
          <w:spacing w:val="-2"/>
        </w:rPr>
        <w:t> </w:t>
      </w:r>
      <w:r>
        <w:rPr/>
        <w:t>instalados, en</w:t>
      </w:r>
      <w:r>
        <w:rPr>
          <w:spacing w:val="-2"/>
        </w:rPr>
        <w:t> </w:t>
      </w:r>
      <w:r>
        <w:rPr/>
        <w:t>diferentes</w:t>
      </w:r>
      <w:r>
        <w:rPr>
          <w:spacing w:val="-4"/>
        </w:rPr>
        <w:t> </w:t>
      </w:r>
      <w:r>
        <w:rPr/>
        <w:t>puntos</w:t>
      </w:r>
      <w:r>
        <w:rPr>
          <w:spacing w:val="-1"/>
        </w:rPr>
        <w:t> </w:t>
      </w:r>
      <w:r>
        <w:rPr/>
        <w:t>diferenciados,</w:t>
      </w:r>
      <w:r>
        <w:rPr>
          <w:spacing w:val="-1"/>
        </w:rPr>
        <w:t> </w:t>
      </w:r>
      <w:r>
        <w:rPr/>
        <w:t>puntos</w:t>
      </w:r>
      <w:r>
        <w:rPr>
          <w:spacing w:val="-3"/>
        </w:rPr>
        <w:t> </w:t>
      </w:r>
      <w:r>
        <w:rPr/>
        <w:t>verdes, contenedores</w:t>
      </w:r>
      <w:r>
        <w:rPr>
          <w:spacing w:val="-8"/>
        </w:rPr>
        <w:t> </w:t>
      </w:r>
      <w:r>
        <w:rPr/>
        <w:t>selectivos</w:t>
      </w:r>
      <w:r>
        <w:rPr>
          <w:spacing w:val="-10"/>
        </w:rPr>
        <w:t> </w:t>
      </w:r>
      <w:r>
        <w:rPr/>
        <w:t>y</w:t>
      </w:r>
      <w:r>
        <w:rPr>
          <w:spacing w:val="-6"/>
        </w:rPr>
        <w:t> </w:t>
      </w:r>
      <w:r>
        <w:rPr/>
        <w:t>depósitos</w:t>
      </w:r>
      <w:r>
        <w:rPr>
          <w:spacing w:val="-6"/>
        </w:rPr>
        <w:t> </w:t>
      </w:r>
      <w:r>
        <w:rPr/>
        <w:t>enterrados</w:t>
      </w:r>
      <w:r>
        <w:rPr>
          <w:spacing w:val="-6"/>
        </w:rPr>
        <w:t> </w:t>
      </w:r>
      <w:r>
        <w:rPr/>
        <w:t>para</w:t>
      </w:r>
      <w:r>
        <w:rPr>
          <w:spacing w:val="-6"/>
        </w:rPr>
        <w:t> </w:t>
      </w:r>
      <w:r>
        <w:rPr/>
        <w:t>la</w:t>
      </w:r>
      <w:r>
        <w:rPr>
          <w:spacing w:val="-6"/>
        </w:rPr>
        <w:t> </w:t>
      </w:r>
      <w:r>
        <w:rPr/>
        <w:t>recogida</w:t>
      </w:r>
      <w:r>
        <w:rPr>
          <w:spacing w:val="-7"/>
        </w:rPr>
        <w:t> </w:t>
      </w:r>
      <w:r>
        <w:rPr/>
        <w:t>de</w:t>
      </w:r>
      <w:r>
        <w:rPr>
          <w:spacing w:val="-9"/>
        </w:rPr>
        <w:t> </w:t>
      </w:r>
      <w:r>
        <w:rPr/>
        <w:t>los</w:t>
      </w:r>
      <w:r>
        <w:rPr>
          <w:spacing w:val="-6"/>
        </w:rPr>
        <w:t> </w:t>
      </w:r>
      <w:r>
        <w:rPr/>
        <w:t>distintos</w:t>
      </w:r>
      <w:r>
        <w:rPr>
          <w:spacing w:val="-8"/>
        </w:rPr>
        <w:t> </w:t>
      </w:r>
      <w:r>
        <w:rPr/>
        <w:t>tipos</w:t>
      </w:r>
      <w:r>
        <w:rPr>
          <w:spacing w:val="-6"/>
        </w:rPr>
        <w:t> </w:t>
      </w:r>
      <w:r>
        <w:rPr/>
        <w:t>de</w:t>
      </w:r>
      <w:r>
        <w:rPr>
          <w:spacing w:val="-9"/>
        </w:rPr>
        <w:t> </w:t>
      </w:r>
      <w:r>
        <w:rPr/>
        <w:t>residuos</w:t>
      </w:r>
      <w:r>
        <w:rPr>
          <w:spacing w:val="-6"/>
        </w:rPr>
        <w:t> </w:t>
      </w:r>
      <w:r>
        <w:rPr/>
        <w:t>y aceites usados. Además, la infraestructura de las instalaciones está construida con sistemas para evitar los vertidos</w:t>
      </w:r>
      <w:hyperlink w:history="true" w:anchor="_bookmark39">
        <w:r>
          <w:rPr>
            <w:vertAlign w:val="superscript"/>
          </w:rPr>
          <w:t>19</w:t>
        </w:r>
        <w:r>
          <w:rPr>
            <w:vertAlign w:val="baseline"/>
          </w:rPr>
          <w:t>.</w:t>
        </w:r>
      </w:hyperlink>
    </w:p>
    <w:p>
      <w:pPr>
        <w:pStyle w:val="BodyText"/>
        <w:spacing w:before="239"/>
        <w:ind w:left="992" w:right="992"/>
        <w:jc w:val="both"/>
      </w:pPr>
      <w:r>
        <w:rPr/>
        <w:t>El</w:t>
      </w:r>
      <w:r>
        <w:rPr>
          <w:spacing w:val="-10"/>
        </w:rPr>
        <w:t> </w:t>
      </w:r>
      <w:r>
        <w:rPr/>
        <w:t>personal</w:t>
      </w:r>
      <w:r>
        <w:rPr>
          <w:spacing w:val="-10"/>
        </w:rPr>
        <w:t> </w:t>
      </w:r>
      <w:r>
        <w:rPr/>
        <w:t>de</w:t>
      </w:r>
      <w:r>
        <w:rPr>
          <w:spacing w:val="-9"/>
        </w:rPr>
        <w:t> </w:t>
      </w:r>
      <w:r>
        <w:rPr/>
        <w:t>la</w:t>
      </w:r>
      <w:r>
        <w:rPr>
          <w:spacing w:val="-9"/>
        </w:rPr>
        <w:t> </w:t>
      </w:r>
      <w:r>
        <w:rPr/>
        <w:t>entidad</w:t>
      </w:r>
      <w:r>
        <w:rPr>
          <w:spacing w:val="-11"/>
        </w:rPr>
        <w:t> </w:t>
      </w:r>
      <w:r>
        <w:rPr/>
        <w:t>había</w:t>
      </w:r>
      <w:r>
        <w:rPr>
          <w:spacing w:val="-8"/>
        </w:rPr>
        <w:t> </w:t>
      </w:r>
      <w:r>
        <w:rPr/>
        <w:t>recibido</w:t>
      </w:r>
      <w:r>
        <w:rPr>
          <w:spacing w:val="-11"/>
        </w:rPr>
        <w:t> </w:t>
      </w:r>
      <w:r>
        <w:rPr/>
        <w:t>formación</w:t>
      </w:r>
      <w:r>
        <w:rPr>
          <w:spacing w:val="-11"/>
        </w:rPr>
        <w:t> </w:t>
      </w:r>
      <w:r>
        <w:rPr/>
        <w:t>destinada</w:t>
      </w:r>
      <w:r>
        <w:rPr>
          <w:spacing w:val="-9"/>
        </w:rPr>
        <w:t> </w:t>
      </w:r>
      <w:r>
        <w:rPr/>
        <w:t>a</w:t>
      </w:r>
      <w:r>
        <w:rPr>
          <w:spacing w:val="-9"/>
        </w:rPr>
        <w:t> </w:t>
      </w:r>
      <w:r>
        <w:rPr/>
        <w:t>la</w:t>
      </w:r>
      <w:r>
        <w:rPr>
          <w:spacing w:val="-9"/>
        </w:rPr>
        <w:t> </w:t>
      </w:r>
      <w:r>
        <w:rPr/>
        <w:t>conducción</w:t>
      </w:r>
      <w:r>
        <w:rPr>
          <w:spacing w:val="-9"/>
        </w:rPr>
        <w:t> </w:t>
      </w:r>
      <w:r>
        <w:rPr/>
        <w:t>eficiente</w:t>
      </w:r>
      <w:r>
        <w:rPr>
          <w:spacing w:val="-9"/>
        </w:rPr>
        <w:t> </w:t>
      </w:r>
      <w:r>
        <w:rPr/>
        <w:t>y</w:t>
      </w:r>
      <w:r>
        <w:rPr>
          <w:spacing w:val="-11"/>
        </w:rPr>
        <w:t> </w:t>
      </w:r>
      <w:r>
        <w:rPr/>
        <w:t>cuidado</w:t>
      </w:r>
      <w:r>
        <w:rPr>
          <w:spacing w:val="-9"/>
        </w:rPr>
        <w:t> </w:t>
      </w:r>
      <w:r>
        <w:rPr/>
        <w:t>del medio ambiente.</w:t>
      </w:r>
    </w:p>
    <w:p>
      <w:pPr>
        <w:pStyle w:val="BodyText"/>
        <w:spacing w:before="242"/>
        <w:ind w:left="992" w:right="987"/>
        <w:jc w:val="both"/>
      </w:pPr>
      <w:r>
        <w:rPr/>
        <w:t>Aunque el PMUS aprobado en 2013 sí proponía la realización de varias actuaciones con el fin de potenciar el aparcamiento disuasorio, a 31 de diciembre de 2022 no disponía de ninguno. Los medios</w:t>
      </w:r>
      <w:r>
        <w:rPr>
          <w:spacing w:val="-16"/>
        </w:rPr>
        <w:t> </w:t>
      </w:r>
      <w:r>
        <w:rPr/>
        <w:t>de</w:t>
      </w:r>
      <w:r>
        <w:rPr>
          <w:spacing w:val="-15"/>
        </w:rPr>
        <w:t> </w:t>
      </w:r>
      <w:r>
        <w:rPr/>
        <w:t>transporte</w:t>
      </w:r>
      <w:r>
        <w:rPr>
          <w:spacing w:val="-15"/>
        </w:rPr>
        <w:t> </w:t>
      </w:r>
      <w:r>
        <w:rPr/>
        <w:t>público</w:t>
      </w:r>
      <w:r>
        <w:rPr>
          <w:spacing w:val="-15"/>
        </w:rPr>
        <w:t> </w:t>
      </w:r>
      <w:r>
        <w:rPr/>
        <w:t>colectivo</w:t>
      </w:r>
      <w:r>
        <w:rPr>
          <w:spacing w:val="-14"/>
        </w:rPr>
        <w:t> </w:t>
      </w:r>
      <w:r>
        <w:rPr/>
        <w:t>disponibles</w:t>
      </w:r>
      <w:r>
        <w:rPr>
          <w:spacing w:val="-13"/>
        </w:rPr>
        <w:t> </w:t>
      </w:r>
      <w:r>
        <w:rPr/>
        <w:t>en</w:t>
      </w:r>
      <w:r>
        <w:rPr>
          <w:spacing w:val="-14"/>
        </w:rPr>
        <w:t> </w:t>
      </w:r>
      <w:r>
        <w:rPr/>
        <w:t>el</w:t>
      </w:r>
      <w:r>
        <w:rPr>
          <w:spacing w:val="-16"/>
        </w:rPr>
        <w:t> </w:t>
      </w:r>
      <w:r>
        <w:rPr/>
        <w:t>municipio</w:t>
      </w:r>
      <w:r>
        <w:rPr>
          <w:spacing w:val="-14"/>
        </w:rPr>
        <w:t> </w:t>
      </w:r>
      <w:r>
        <w:rPr/>
        <w:t>no</w:t>
      </w:r>
      <w:r>
        <w:rPr>
          <w:spacing w:val="-16"/>
        </w:rPr>
        <w:t> </w:t>
      </w:r>
      <w:r>
        <w:rPr/>
        <w:t>se</w:t>
      </w:r>
      <w:r>
        <w:rPr>
          <w:spacing w:val="-13"/>
        </w:rPr>
        <w:t> </w:t>
      </w:r>
      <w:r>
        <w:rPr/>
        <w:t>encontraban</w:t>
      </w:r>
      <w:r>
        <w:rPr>
          <w:spacing w:val="-16"/>
        </w:rPr>
        <w:t> </w:t>
      </w:r>
      <w:r>
        <w:rPr/>
        <w:t>perfectamente interconectados, de manera que se garantizara la intermodalidad; no disponían de intercambiadores, sino de un punto de conexión en la estación de ferrocarril y la estación de autobuses metropolitanos con cinco líneas de autobuses urbanos.</w:t>
      </w:r>
    </w:p>
    <w:p>
      <w:pPr>
        <w:pStyle w:val="BodyText"/>
        <w:rPr>
          <w:sz w:val="20"/>
        </w:rPr>
      </w:pPr>
    </w:p>
    <w:p>
      <w:pPr>
        <w:pStyle w:val="BodyText"/>
        <w:rPr>
          <w:sz w:val="20"/>
        </w:rPr>
      </w:pPr>
    </w:p>
    <w:p>
      <w:pPr>
        <w:pStyle w:val="BodyText"/>
        <w:spacing w:before="74"/>
        <w:rPr>
          <w:sz w:val="20"/>
        </w:rPr>
      </w:pPr>
      <w:r>
        <w:rPr>
          <w:sz w:val="20"/>
        </w:rPr>
        <mc:AlternateContent>
          <mc:Choice Requires="wps">
            <w:drawing>
              <wp:anchor distT="0" distB="0" distL="0" distR="0" allowOverlap="1" layoutInCell="1" locked="0" behindDoc="1" simplePos="0" relativeHeight="487601152">
                <wp:simplePos x="0" y="0"/>
                <wp:positionH relativeFrom="page">
                  <wp:posOffset>719632</wp:posOffset>
                </wp:positionH>
                <wp:positionV relativeFrom="paragraph">
                  <wp:posOffset>208496</wp:posOffset>
                </wp:positionV>
                <wp:extent cx="1829435" cy="9525"/>
                <wp:effectExtent l="0" t="0" r="0" b="0"/>
                <wp:wrapTopAndBottom/>
                <wp:docPr id="134" name="Graphic 134"/>
                <wp:cNvGraphicFramePr>
                  <a:graphicFrameLocks/>
                </wp:cNvGraphicFramePr>
                <a:graphic>
                  <a:graphicData uri="http://schemas.microsoft.com/office/word/2010/wordprocessingShape">
                    <wps:wsp>
                      <wps:cNvPr id="134" name="Graphic 134"/>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6.41704pt;width:144.020pt;height:.72003pt;mso-position-horizontal-relative:page;mso-position-vertical-relative:paragraph;z-index:-15715328;mso-wrap-distance-left:0;mso-wrap-distance-right:0" id="docshape116" filled="true" fillcolor="#000000" stroked="false">
                <v:fill type="solid"/>
                <w10:wrap type="topAndBottom"/>
              </v:rect>
            </w:pict>
          </mc:Fallback>
        </mc:AlternateContent>
      </w:r>
    </w:p>
    <w:p>
      <w:pPr>
        <w:spacing w:before="115"/>
        <w:ind w:left="992" w:right="998" w:firstLine="0"/>
        <w:jc w:val="both"/>
        <w:rPr>
          <w:sz w:val="18"/>
        </w:rPr>
      </w:pPr>
      <w:bookmarkStart w:name="_bookmark39" w:id="41"/>
      <w:bookmarkEnd w:id="41"/>
      <w:r>
        <w:rPr/>
      </w:r>
      <w:r>
        <w:rPr>
          <w:position w:val="6"/>
          <w:sz w:val="12"/>
        </w:rPr>
        <w:t>19</w:t>
      </w:r>
      <w:r>
        <w:rPr>
          <w:spacing w:val="21"/>
          <w:position w:val="6"/>
          <w:sz w:val="12"/>
        </w:rPr>
        <w:t> </w:t>
      </w:r>
      <w:r>
        <w:rPr>
          <w:sz w:val="18"/>
        </w:rPr>
        <w:t>Alcantarillado independiente destinado al taller que separa los hidrocarburos para que posteriormente sean retirados; planta</w:t>
      </w:r>
      <w:r>
        <w:rPr>
          <w:spacing w:val="-4"/>
          <w:sz w:val="18"/>
        </w:rPr>
        <w:t> </w:t>
      </w:r>
      <w:r>
        <w:rPr>
          <w:sz w:val="18"/>
        </w:rPr>
        <w:t>de</w:t>
      </w:r>
      <w:r>
        <w:rPr>
          <w:spacing w:val="-4"/>
          <w:sz w:val="18"/>
        </w:rPr>
        <w:t> </w:t>
      </w:r>
      <w:r>
        <w:rPr>
          <w:sz w:val="18"/>
        </w:rPr>
        <w:t>reciclaje</w:t>
      </w:r>
      <w:r>
        <w:rPr>
          <w:spacing w:val="-4"/>
          <w:sz w:val="18"/>
        </w:rPr>
        <w:t> </w:t>
      </w:r>
      <w:r>
        <w:rPr>
          <w:sz w:val="18"/>
        </w:rPr>
        <w:t>de</w:t>
      </w:r>
      <w:r>
        <w:rPr>
          <w:spacing w:val="-4"/>
          <w:sz w:val="18"/>
        </w:rPr>
        <w:t> </w:t>
      </w:r>
      <w:r>
        <w:rPr>
          <w:sz w:val="18"/>
        </w:rPr>
        <w:t>agua</w:t>
      </w:r>
      <w:r>
        <w:rPr>
          <w:spacing w:val="-6"/>
          <w:sz w:val="18"/>
        </w:rPr>
        <w:t> </w:t>
      </w:r>
      <w:r>
        <w:rPr>
          <w:sz w:val="18"/>
        </w:rPr>
        <w:t>para</w:t>
      </w:r>
      <w:r>
        <w:rPr>
          <w:spacing w:val="-4"/>
          <w:sz w:val="18"/>
        </w:rPr>
        <w:t> </w:t>
      </w:r>
      <w:r>
        <w:rPr>
          <w:sz w:val="18"/>
        </w:rPr>
        <w:t>el</w:t>
      </w:r>
      <w:r>
        <w:rPr>
          <w:spacing w:val="-6"/>
          <w:sz w:val="18"/>
        </w:rPr>
        <w:t> </w:t>
      </w:r>
      <w:r>
        <w:rPr>
          <w:sz w:val="18"/>
        </w:rPr>
        <w:t>lavado</w:t>
      </w:r>
      <w:r>
        <w:rPr>
          <w:spacing w:val="-4"/>
          <w:sz w:val="18"/>
        </w:rPr>
        <w:t> </w:t>
      </w:r>
      <w:r>
        <w:rPr>
          <w:sz w:val="18"/>
        </w:rPr>
        <w:t>de</w:t>
      </w:r>
      <w:r>
        <w:rPr>
          <w:spacing w:val="-4"/>
          <w:sz w:val="18"/>
        </w:rPr>
        <w:t> </w:t>
      </w:r>
      <w:r>
        <w:rPr>
          <w:sz w:val="18"/>
        </w:rPr>
        <w:t>los</w:t>
      </w:r>
      <w:r>
        <w:rPr>
          <w:spacing w:val="-6"/>
          <w:sz w:val="18"/>
        </w:rPr>
        <w:t> </w:t>
      </w:r>
      <w:r>
        <w:rPr>
          <w:sz w:val="18"/>
        </w:rPr>
        <w:t>autobuses</w:t>
      </w:r>
      <w:r>
        <w:rPr>
          <w:spacing w:val="-6"/>
          <w:sz w:val="18"/>
        </w:rPr>
        <w:t> </w:t>
      </w:r>
      <w:r>
        <w:rPr>
          <w:sz w:val="18"/>
        </w:rPr>
        <w:t>que</w:t>
      </w:r>
      <w:r>
        <w:rPr>
          <w:spacing w:val="-4"/>
          <w:sz w:val="18"/>
        </w:rPr>
        <w:t> </w:t>
      </w:r>
      <w:r>
        <w:rPr>
          <w:sz w:val="18"/>
        </w:rPr>
        <w:t>minimiza</w:t>
      </w:r>
      <w:r>
        <w:rPr>
          <w:spacing w:val="-6"/>
          <w:sz w:val="18"/>
        </w:rPr>
        <w:t> </w:t>
      </w:r>
      <w:r>
        <w:rPr>
          <w:sz w:val="18"/>
        </w:rPr>
        <w:t>el</w:t>
      </w:r>
      <w:r>
        <w:rPr>
          <w:spacing w:val="-6"/>
          <w:sz w:val="18"/>
        </w:rPr>
        <w:t> </w:t>
      </w:r>
      <w:r>
        <w:rPr>
          <w:sz w:val="18"/>
        </w:rPr>
        <w:t>consumo</w:t>
      </w:r>
      <w:r>
        <w:rPr>
          <w:spacing w:val="-6"/>
          <w:sz w:val="18"/>
        </w:rPr>
        <w:t> </w:t>
      </w:r>
      <w:r>
        <w:rPr>
          <w:sz w:val="18"/>
        </w:rPr>
        <w:t>de</w:t>
      </w:r>
      <w:r>
        <w:rPr>
          <w:spacing w:val="-6"/>
          <w:sz w:val="18"/>
        </w:rPr>
        <w:t> </w:t>
      </w:r>
      <w:r>
        <w:rPr>
          <w:sz w:val="18"/>
        </w:rPr>
        <w:t>agua</w:t>
      </w:r>
      <w:r>
        <w:rPr>
          <w:spacing w:val="-4"/>
          <w:sz w:val="18"/>
        </w:rPr>
        <w:t> </w:t>
      </w:r>
      <w:r>
        <w:rPr>
          <w:sz w:val="18"/>
        </w:rPr>
        <w:t>y</w:t>
      </w:r>
      <w:r>
        <w:rPr>
          <w:spacing w:val="-6"/>
          <w:sz w:val="18"/>
        </w:rPr>
        <w:t> </w:t>
      </w:r>
      <w:r>
        <w:rPr>
          <w:sz w:val="18"/>
        </w:rPr>
        <w:t>separa</w:t>
      </w:r>
      <w:r>
        <w:rPr>
          <w:spacing w:val="-6"/>
          <w:sz w:val="18"/>
        </w:rPr>
        <w:t> </w:t>
      </w:r>
      <w:r>
        <w:rPr>
          <w:sz w:val="18"/>
        </w:rPr>
        <w:t>los</w:t>
      </w:r>
      <w:r>
        <w:rPr>
          <w:spacing w:val="-6"/>
          <w:sz w:val="18"/>
        </w:rPr>
        <w:t> </w:t>
      </w:r>
      <w:r>
        <w:rPr>
          <w:sz w:val="18"/>
        </w:rPr>
        <w:t>hidrocarburos y</w:t>
      </w:r>
      <w:r>
        <w:rPr>
          <w:spacing w:val="-1"/>
          <w:sz w:val="18"/>
        </w:rPr>
        <w:t> </w:t>
      </w:r>
      <w:r>
        <w:rPr>
          <w:sz w:val="18"/>
        </w:rPr>
        <w:t>la</w:t>
      </w:r>
      <w:r>
        <w:rPr>
          <w:spacing w:val="-4"/>
          <w:sz w:val="18"/>
        </w:rPr>
        <w:t> </w:t>
      </w:r>
      <w:r>
        <w:rPr>
          <w:sz w:val="18"/>
        </w:rPr>
        <w:t>suciedad;</w:t>
      </w:r>
      <w:r>
        <w:rPr>
          <w:spacing w:val="-4"/>
          <w:sz w:val="18"/>
        </w:rPr>
        <w:t> </w:t>
      </w:r>
      <w:r>
        <w:rPr>
          <w:sz w:val="18"/>
        </w:rPr>
        <w:t>bandejas</w:t>
      </w:r>
      <w:r>
        <w:rPr>
          <w:spacing w:val="-1"/>
          <w:sz w:val="18"/>
        </w:rPr>
        <w:t> </w:t>
      </w:r>
      <w:r>
        <w:rPr>
          <w:sz w:val="18"/>
        </w:rPr>
        <w:t>recogedoras</w:t>
      </w:r>
      <w:r>
        <w:rPr>
          <w:spacing w:val="-1"/>
          <w:sz w:val="18"/>
        </w:rPr>
        <w:t> </w:t>
      </w:r>
      <w:r>
        <w:rPr>
          <w:sz w:val="18"/>
        </w:rPr>
        <w:t>de</w:t>
      </w:r>
      <w:r>
        <w:rPr>
          <w:spacing w:val="-4"/>
          <w:sz w:val="18"/>
        </w:rPr>
        <w:t> </w:t>
      </w:r>
      <w:r>
        <w:rPr>
          <w:sz w:val="18"/>
        </w:rPr>
        <w:t>aceite</w:t>
      </w:r>
      <w:r>
        <w:rPr>
          <w:spacing w:val="-4"/>
          <w:sz w:val="18"/>
        </w:rPr>
        <w:t> </w:t>
      </w:r>
      <w:r>
        <w:rPr>
          <w:sz w:val="18"/>
        </w:rPr>
        <w:t>en</w:t>
      </w:r>
      <w:r>
        <w:rPr>
          <w:spacing w:val="-2"/>
          <w:sz w:val="18"/>
        </w:rPr>
        <w:t> </w:t>
      </w:r>
      <w:r>
        <w:rPr>
          <w:sz w:val="18"/>
        </w:rPr>
        <w:t>los</w:t>
      </w:r>
      <w:r>
        <w:rPr>
          <w:spacing w:val="-1"/>
          <w:sz w:val="18"/>
        </w:rPr>
        <w:t> </w:t>
      </w:r>
      <w:r>
        <w:rPr>
          <w:sz w:val="18"/>
        </w:rPr>
        <w:t>fosos</w:t>
      </w:r>
      <w:r>
        <w:rPr>
          <w:spacing w:val="-3"/>
          <w:sz w:val="18"/>
        </w:rPr>
        <w:t> </w:t>
      </w:r>
      <w:r>
        <w:rPr>
          <w:sz w:val="18"/>
        </w:rPr>
        <w:t>donde</w:t>
      </w:r>
      <w:r>
        <w:rPr>
          <w:spacing w:val="-4"/>
          <w:sz w:val="18"/>
        </w:rPr>
        <w:t> </w:t>
      </w:r>
      <w:r>
        <w:rPr>
          <w:sz w:val="18"/>
        </w:rPr>
        <w:t>se</w:t>
      </w:r>
      <w:r>
        <w:rPr>
          <w:spacing w:val="-2"/>
          <w:sz w:val="18"/>
        </w:rPr>
        <w:t> </w:t>
      </w:r>
      <w:r>
        <w:rPr>
          <w:sz w:val="18"/>
        </w:rPr>
        <w:t>realizan</w:t>
      </w:r>
      <w:r>
        <w:rPr>
          <w:spacing w:val="-2"/>
          <w:sz w:val="18"/>
        </w:rPr>
        <w:t> </w:t>
      </w:r>
      <w:r>
        <w:rPr>
          <w:sz w:val="18"/>
        </w:rPr>
        <w:t>los</w:t>
      </w:r>
      <w:r>
        <w:rPr>
          <w:spacing w:val="-3"/>
          <w:sz w:val="18"/>
        </w:rPr>
        <w:t> </w:t>
      </w:r>
      <w:r>
        <w:rPr>
          <w:sz w:val="18"/>
        </w:rPr>
        <w:t>cambios</w:t>
      </w:r>
      <w:r>
        <w:rPr>
          <w:spacing w:val="-4"/>
          <w:sz w:val="18"/>
        </w:rPr>
        <w:t> </w:t>
      </w:r>
      <w:r>
        <w:rPr>
          <w:sz w:val="18"/>
        </w:rPr>
        <w:t>de</w:t>
      </w:r>
      <w:r>
        <w:rPr>
          <w:spacing w:val="-2"/>
          <w:sz w:val="18"/>
        </w:rPr>
        <w:t> </w:t>
      </w:r>
      <w:r>
        <w:rPr>
          <w:sz w:val="18"/>
        </w:rPr>
        <w:t>aceite;</w:t>
      </w:r>
      <w:r>
        <w:rPr>
          <w:spacing w:val="-2"/>
          <w:sz w:val="18"/>
        </w:rPr>
        <w:t> </w:t>
      </w:r>
      <w:r>
        <w:rPr>
          <w:sz w:val="18"/>
        </w:rPr>
        <w:t>sistemas</w:t>
      </w:r>
      <w:r>
        <w:rPr>
          <w:spacing w:val="-1"/>
          <w:sz w:val="18"/>
        </w:rPr>
        <w:t> </w:t>
      </w:r>
      <w:r>
        <w:rPr>
          <w:sz w:val="18"/>
        </w:rPr>
        <w:t>de</w:t>
      </w:r>
      <w:r>
        <w:rPr>
          <w:spacing w:val="-2"/>
          <w:sz w:val="18"/>
        </w:rPr>
        <w:t> </w:t>
      </w:r>
      <w:r>
        <w:rPr>
          <w:sz w:val="18"/>
        </w:rPr>
        <w:t>alarma que se activan en caso de fugas en los depósitos de gasoil y en la gasinera, etc.</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91"/>
        <w:jc w:val="both"/>
      </w:pPr>
      <w:r>
        <w:rPr/>
        <w:t>En esa fecha había un carril bus-taxi, de 7,90 km de longitud, que permitía el fomento del uso del transporte colectivo.</w:t>
      </w:r>
    </w:p>
    <w:p>
      <w:pPr>
        <w:pStyle w:val="BodyText"/>
        <w:spacing w:before="240"/>
        <w:ind w:left="992" w:right="991"/>
        <w:jc w:val="both"/>
      </w:pPr>
      <w:r>
        <w:rPr/>
        <w:t>El sistema tarifario implantado por la empresa</w:t>
      </w:r>
      <w:r>
        <w:rPr>
          <w:spacing w:val="-2"/>
        </w:rPr>
        <w:t> </w:t>
      </w:r>
      <w:r>
        <w:rPr/>
        <w:t>municipal permitía la gestión y validación de billetes y tarjetas de transporte propios. También había un sistema tarifario único en el ámbito urbano y </w:t>
      </w:r>
      <w:r>
        <w:rPr>
          <w:spacing w:val="-2"/>
        </w:rPr>
        <w:t>metropolitano.</w:t>
      </w:r>
    </w:p>
    <w:p>
      <w:pPr>
        <w:pStyle w:val="BodyText"/>
        <w:spacing w:before="240"/>
        <w:ind w:left="992" w:right="984"/>
        <w:jc w:val="both"/>
      </w:pPr>
      <w:r>
        <w:rPr/>
        <w:t>A 31 de diciembre de 2022, la flota de autobuses contaba con 116 autobuses, de los que 67 eran vehículos limpios (47 propulsados por gas natural comprimido (GNC), diecinueve híbridos y uno </w:t>
      </w:r>
      <w:r>
        <w:rPr>
          <w:spacing w:val="-2"/>
        </w:rPr>
        <w:t>eléctrico).</w:t>
      </w:r>
    </w:p>
    <w:p>
      <w:pPr>
        <w:pStyle w:val="BodyText"/>
        <w:spacing w:before="242"/>
        <w:ind w:left="992" w:right="988"/>
        <w:jc w:val="both"/>
      </w:pPr>
      <w:r>
        <w:rPr/>
        <w:t>En</w:t>
      </w:r>
      <w:r>
        <w:rPr>
          <w:spacing w:val="-15"/>
        </w:rPr>
        <w:t> </w:t>
      </w:r>
      <w:r>
        <w:rPr/>
        <w:t>los</w:t>
      </w:r>
      <w:r>
        <w:rPr>
          <w:spacing w:val="-13"/>
        </w:rPr>
        <w:t> </w:t>
      </w:r>
      <w:r>
        <w:rPr/>
        <w:t>ejercicios</w:t>
      </w:r>
      <w:r>
        <w:rPr>
          <w:spacing w:val="-13"/>
        </w:rPr>
        <w:t> </w:t>
      </w:r>
      <w:r>
        <w:rPr/>
        <w:t>2023</w:t>
      </w:r>
      <w:r>
        <w:rPr>
          <w:spacing w:val="-16"/>
        </w:rPr>
        <w:t> </w:t>
      </w:r>
      <w:r>
        <w:rPr/>
        <w:t>y</w:t>
      </w:r>
      <w:r>
        <w:rPr>
          <w:spacing w:val="-12"/>
        </w:rPr>
        <w:t> </w:t>
      </w:r>
      <w:r>
        <w:rPr/>
        <w:t>2024</w:t>
      </w:r>
      <w:r>
        <w:rPr>
          <w:spacing w:val="-14"/>
        </w:rPr>
        <w:t> </w:t>
      </w:r>
      <w:r>
        <w:rPr/>
        <w:t>el</w:t>
      </w:r>
      <w:r>
        <w:rPr>
          <w:spacing w:val="-14"/>
        </w:rPr>
        <w:t> </w:t>
      </w:r>
      <w:r>
        <w:rPr>
          <w:b/>
        </w:rPr>
        <w:t>Ayuntamiento</w:t>
      </w:r>
      <w:r>
        <w:rPr>
          <w:b/>
          <w:spacing w:val="-14"/>
        </w:rPr>
        <w:t> </w:t>
      </w:r>
      <w:r>
        <w:rPr>
          <w:b/>
        </w:rPr>
        <w:t>de</w:t>
      </w:r>
      <w:r>
        <w:rPr>
          <w:b/>
          <w:spacing w:val="-16"/>
        </w:rPr>
        <w:t> </w:t>
      </w:r>
      <w:r>
        <w:rPr>
          <w:b/>
        </w:rPr>
        <w:t>Córdoba</w:t>
      </w:r>
      <w:r>
        <w:rPr>
          <w:b/>
          <w:spacing w:val="-12"/>
        </w:rPr>
        <w:t> </w:t>
      </w:r>
      <w:r>
        <w:rPr/>
        <w:t>ha</w:t>
      </w:r>
      <w:r>
        <w:rPr>
          <w:spacing w:val="-14"/>
        </w:rPr>
        <w:t> </w:t>
      </w:r>
      <w:r>
        <w:rPr/>
        <w:t>llevado</w:t>
      </w:r>
      <w:r>
        <w:rPr>
          <w:spacing w:val="-14"/>
        </w:rPr>
        <w:t> </w:t>
      </w:r>
      <w:r>
        <w:rPr/>
        <w:t>a</w:t>
      </w:r>
      <w:r>
        <w:rPr>
          <w:spacing w:val="-14"/>
        </w:rPr>
        <w:t> </w:t>
      </w:r>
      <w:r>
        <w:rPr/>
        <w:t>cabo</w:t>
      </w:r>
      <w:r>
        <w:rPr>
          <w:spacing w:val="-14"/>
        </w:rPr>
        <w:t> </w:t>
      </w:r>
      <w:r>
        <w:rPr/>
        <w:t>diversas</w:t>
      </w:r>
      <w:r>
        <w:rPr>
          <w:spacing w:val="-13"/>
        </w:rPr>
        <w:t> </w:t>
      </w:r>
      <w:r>
        <w:rPr/>
        <w:t>actuaciones dirigidas a la movilidad sostenible del transporte público colectivo, por importe conjunto de 12.754.533,27 euros. La relación de estas actuaciones figura en el </w:t>
      </w:r>
      <w:hyperlink w:history="true" w:anchor="_bookmark140">
        <w:r>
          <w:rPr/>
          <w:t>Anexo VIII</w:t>
        </w:r>
      </w:hyperlink>
      <w:r>
        <w:rPr/>
        <w:t>.</w:t>
      </w:r>
    </w:p>
    <w:p>
      <w:pPr>
        <w:pStyle w:val="BodyText"/>
        <w:spacing w:before="240"/>
        <w:ind w:left="992" w:right="989"/>
        <w:jc w:val="both"/>
      </w:pPr>
      <w:r>
        <w:rPr/>
        <w:t>La entidad ha continuado con su política de renovación paulatina de la flota hacia vehículos con mejores prestaciones medioambientales en cuanto a emisiones y ruido, con la adquisición de 23 nuevos</w:t>
      </w:r>
      <w:r>
        <w:rPr>
          <w:spacing w:val="-4"/>
        </w:rPr>
        <w:t> </w:t>
      </w:r>
      <w:r>
        <w:rPr/>
        <w:t>autobuses</w:t>
      </w:r>
      <w:r>
        <w:rPr>
          <w:spacing w:val="-4"/>
        </w:rPr>
        <w:t> </w:t>
      </w:r>
      <w:r>
        <w:rPr/>
        <w:t>impulsados</w:t>
      </w:r>
      <w:r>
        <w:rPr>
          <w:spacing w:val="-4"/>
        </w:rPr>
        <w:t> </w:t>
      </w:r>
      <w:r>
        <w:rPr/>
        <w:t>por</w:t>
      </w:r>
      <w:r>
        <w:rPr>
          <w:spacing w:val="-5"/>
        </w:rPr>
        <w:t> </w:t>
      </w:r>
      <w:r>
        <w:rPr/>
        <w:t>GNC-híbrido,</w:t>
      </w:r>
      <w:r>
        <w:rPr>
          <w:spacing w:val="-5"/>
        </w:rPr>
        <w:t> </w:t>
      </w:r>
      <w:r>
        <w:rPr/>
        <w:t>para</w:t>
      </w:r>
      <w:r>
        <w:rPr>
          <w:spacing w:val="-4"/>
        </w:rPr>
        <w:t> </w:t>
      </w:r>
      <w:r>
        <w:rPr/>
        <w:t>lo</w:t>
      </w:r>
      <w:r>
        <w:rPr>
          <w:spacing w:val="-4"/>
        </w:rPr>
        <w:t> </w:t>
      </w:r>
      <w:r>
        <w:rPr/>
        <w:t>que</w:t>
      </w:r>
      <w:r>
        <w:rPr>
          <w:spacing w:val="-4"/>
        </w:rPr>
        <w:t> </w:t>
      </w:r>
      <w:r>
        <w:rPr/>
        <w:t>la</w:t>
      </w:r>
      <w:r>
        <w:rPr>
          <w:spacing w:val="-4"/>
        </w:rPr>
        <w:t> </w:t>
      </w:r>
      <w:r>
        <w:rPr/>
        <w:t>entidad</w:t>
      </w:r>
      <w:r>
        <w:rPr>
          <w:spacing w:val="-4"/>
        </w:rPr>
        <w:t> </w:t>
      </w:r>
      <w:r>
        <w:rPr/>
        <w:t>ha</w:t>
      </w:r>
      <w:r>
        <w:rPr>
          <w:spacing w:val="-7"/>
        </w:rPr>
        <w:t> </w:t>
      </w:r>
      <w:r>
        <w:rPr/>
        <w:t>empleado</w:t>
      </w:r>
      <w:r>
        <w:rPr>
          <w:spacing w:val="-4"/>
        </w:rPr>
        <w:t> </w:t>
      </w:r>
      <w:r>
        <w:rPr/>
        <w:t>el</w:t>
      </w:r>
      <w:r>
        <w:rPr>
          <w:spacing w:val="-5"/>
        </w:rPr>
        <w:t> </w:t>
      </w:r>
      <w:r>
        <w:rPr/>
        <w:t>60,80</w:t>
      </w:r>
      <w:r>
        <w:rPr>
          <w:spacing w:val="-7"/>
        </w:rPr>
        <w:t> </w:t>
      </w:r>
      <w:r>
        <w:rPr/>
        <w:t>%</w:t>
      </w:r>
      <w:r>
        <w:rPr>
          <w:spacing w:val="-3"/>
        </w:rPr>
        <w:t> </w:t>
      </w:r>
      <w:r>
        <w:rPr/>
        <w:t>del importe total de todas las actuaciones ejecutadas en esos ejercicios.</w:t>
      </w:r>
    </w:p>
    <w:p>
      <w:pPr>
        <w:pStyle w:val="BodyText"/>
        <w:spacing w:before="238"/>
        <w:ind w:left="992" w:right="986"/>
        <w:jc w:val="both"/>
      </w:pPr>
      <w:r>
        <w:rPr/>
        <w:t>Estos autobuses están adaptados a personas con movilidad reducida y con discapacidad visual y auditiva. Cuentan con un sistema de embarcado de información acústica y visual que facilita la información de paradas, destinos y horarios a las personas con discapacidad visual y con pictogramas en</w:t>
      </w:r>
      <w:r>
        <w:rPr>
          <w:spacing w:val="-1"/>
        </w:rPr>
        <w:t> </w:t>
      </w:r>
      <w:r>
        <w:rPr/>
        <w:t>diferentes puntos</w:t>
      </w:r>
      <w:r>
        <w:rPr>
          <w:spacing w:val="-1"/>
        </w:rPr>
        <w:t> </w:t>
      </w:r>
      <w:r>
        <w:rPr/>
        <w:t>de los autobuses para</w:t>
      </w:r>
      <w:r>
        <w:rPr>
          <w:spacing w:val="-1"/>
        </w:rPr>
        <w:t> </w:t>
      </w:r>
      <w:r>
        <w:rPr/>
        <w:t>facilitar</w:t>
      </w:r>
      <w:r>
        <w:rPr>
          <w:spacing w:val="-1"/>
        </w:rPr>
        <w:t> </w:t>
      </w:r>
      <w:r>
        <w:rPr/>
        <w:t>la autonomía</w:t>
      </w:r>
      <w:r>
        <w:rPr>
          <w:spacing w:val="-1"/>
        </w:rPr>
        <w:t> </w:t>
      </w:r>
      <w:r>
        <w:rPr/>
        <w:t>de las personas</w:t>
      </w:r>
      <w:r>
        <w:rPr>
          <w:spacing w:val="-1"/>
        </w:rPr>
        <w:t> </w:t>
      </w:r>
      <w:r>
        <w:rPr/>
        <w:t>con autismo, medidas de accesibilidad que ya cumplían los autobuses disponibles en 2022.</w:t>
      </w:r>
    </w:p>
    <w:p>
      <w:pPr>
        <w:pStyle w:val="BodyText"/>
        <w:spacing w:before="241"/>
        <w:ind w:left="992" w:right="988"/>
        <w:jc w:val="both"/>
      </w:pPr>
      <w:r>
        <w:rPr/>
        <w:t>Las obras realizadas en el periodo fiscalizado se han limitado a la instalación de pavimento podotáctil en tres paradas de autobús para la mejora de la accesibilidad a personas con movilidad reducida y al suministro e instalación de nuevas marquesinas en las líneas de las barriadas periféricas. En 2022 el 55</w:t>
      </w:r>
      <w:r>
        <w:rPr>
          <w:spacing w:val="-1"/>
        </w:rPr>
        <w:t> </w:t>
      </w:r>
      <w:r>
        <w:rPr/>
        <w:t>% de las paradas disponían de paneles informativos sobre el tiempo estimado</w:t>
      </w:r>
      <w:r>
        <w:rPr>
          <w:spacing w:val="-14"/>
        </w:rPr>
        <w:t> </w:t>
      </w:r>
      <w:r>
        <w:rPr/>
        <w:t>de</w:t>
      </w:r>
      <w:r>
        <w:rPr>
          <w:spacing w:val="-12"/>
        </w:rPr>
        <w:t> </w:t>
      </w:r>
      <w:r>
        <w:rPr/>
        <w:t>llegada.</w:t>
      </w:r>
      <w:r>
        <w:rPr>
          <w:spacing w:val="-13"/>
        </w:rPr>
        <w:t> </w:t>
      </w:r>
      <w:r>
        <w:rPr/>
        <w:t>En</w:t>
      </w:r>
      <w:r>
        <w:rPr>
          <w:spacing w:val="-11"/>
        </w:rPr>
        <w:t> </w:t>
      </w:r>
      <w:r>
        <w:rPr/>
        <w:t>las</w:t>
      </w:r>
      <w:r>
        <w:rPr>
          <w:spacing w:val="-11"/>
        </w:rPr>
        <w:t> </w:t>
      </w:r>
      <w:r>
        <w:rPr/>
        <w:t>marquesinas</w:t>
      </w:r>
      <w:r>
        <w:rPr>
          <w:spacing w:val="-13"/>
        </w:rPr>
        <w:t> </w:t>
      </w:r>
      <w:r>
        <w:rPr/>
        <w:t>y</w:t>
      </w:r>
      <w:r>
        <w:rPr>
          <w:spacing w:val="-11"/>
        </w:rPr>
        <w:t> </w:t>
      </w:r>
      <w:r>
        <w:rPr/>
        <w:t>postes</w:t>
      </w:r>
      <w:r>
        <w:rPr>
          <w:spacing w:val="-14"/>
        </w:rPr>
        <w:t> </w:t>
      </w:r>
      <w:r>
        <w:rPr/>
        <w:t>había</w:t>
      </w:r>
      <w:r>
        <w:rPr>
          <w:spacing w:val="-10"/>
        </w:rPr>
        <w:t> </w:t>
      </w:r>
      <w:r>
        <w:rPr/>
        <w:t>información</w:t>
      </w:r>
      <w:r>
        <w:rPr>
          <w:spacing w:val="-12"/>
        </w:rPr>
        <w:t> </w:t>
      </w:r>
      <w:r>
        <w:rPr/>
        <w:t>con</w:t>
      </w:r>
      <w:r>
        <w:rPr>
          <w:spacing w:val="-14"/>
        </w:rPr>
        <w:t> </w:t>
      </w:r>
      <w:r>
        <w:rPr/>
        <w:t>un</w:t>
      </w:r>
      <w:r>
        <w:rPr>
          <w:spacing w:val="-14"/>
        </w:rPr>
        <w:t> </w:t>
      </w:r>
      <w:r>
        <w:rPr/>
        <w:t>plano</w:t>
      </w:r>
      <w:r>
        <w:rPr>
          <w:spacing w:val="-11"/>
        </w:rPr>
        <w:t> </w:t>
      </w:r>
      <w:r>
        <w:rPr/>
        <w:t>general</w:t>
      </w:r>
      <w:r>
        <w:rPr>
          <w:spacing w:val="-15"/>
        </w:rPr>
        <w:t> </w:t>
      </w:r>
      <w:r>
        <w:rPr/>
        <w:t>de</w:t>
      </w:r>
      <w:r>
        <w:rPr>
          <w:spacing w:val="-12"/>
        </w:rPr>
        <w:t> </w:t>
      </w:r>
      <w:r>
        <w:rPr/>
        <w:t>líneas y</w:t>
      </w:r>
      <w:r>
        <w:rPr>
          <w:spacing w:val="-11"/>
        </w:rPr>
        <w:t> </w:t>
      </w:r>
      <w:r>
        <w:rPr/>
        <w:t>de</w:t>
      </w:r>
      <w:r>
        <w:rPr>
          <w:spacing w:val="-14"/>
        </w:rPr>
        <w:t> </w:t>
      </w:r>
      <w:r>
        <w:rPr/>
        <w:t>zona</w:t>
      </w:r>
      <w:r>
        <w:rPr>
          <w:spacing w:val="-14"/>
        </w:rPr>
        <w:t> </w:t>
      </w:r>
      <w:r>
        <w:rPr/>
        <w:t>y</w:t>
      </w:r>
      <w:r>
        <w:rPr>
          <w:spacing w:val="-13"/>
        </w:rPr>
        <w:t> </w:t>
      </w:r>
      <w:r>
        <w:rPr/>
        <w:t>de</w:t>
      </w:r>
      <w:r>
        <w:rPr>
          <w:spacing w:val="-14"/>
        </w:rPr>
        <w:t> </w:t>
      </w:r>
      <w:r>
        <w:rPr/>
        <w:t>un</w:t>
      </w:r>
      <w:r>
        <w:rPr>
          <w:spacing w:val="-14"/>
        </w:rPr>
        <w:t> </w:t>
      </w:r>
      <w:r>
        <w:rPr/>
        <w:t>código</w:t>
      </w:r>
      <w:r>
        <w:rPr>
          <w:spacing w:val="-16"/>
        </w:rPr>
        <w:t> </w:t>
      </w:r>
      <w:r>
        <w:rPr/>
        <w:t>personalizado</w:t>
      </w:r>
      <w:r>
        <w:rPr>
          <w:spacing w:val="-10"/>
        </w:rPr>
        <w:t> </w:t>
      </w:r>
      <w:r>
        <w:rPr/>
        <w:t>para</w:t>
      </w:r>
      <w:r>
        <w:rPr>
          <w:spacing w:val="-14"/>
        </w:rPr>
        <w:t> </w:t>
      </w:r>
      <w:r>
        <w:rPr/>
        <w:t>consultar</w:t>
      </w:r>
      <w:r>
        <w:rPr>
          <w:spacing w:val="-13"/>
        </w:rPr>
        <w:t> </w:t>
      </w:r>
      <w:r>
        <w:rPr/>
        <w:t>desde</w:t>
      </w:r>
      <w:r>
        <w:rPr>
          <w:spacing w:val="-14"/>
        </w:rPr>
        <w:t> </w:t>
      </w:r>
      <w:r>
        <w:rPr/>
        <w:t>el</w:t>
      </w:r>
      <w:r>
        <w:rPr>
          <w:spacing w:val="-15"/>
        </w:rPr>
        <w:t> </w:t>
      </w:r>
      <w:r>
        <w:rPr/>
        <w:t>teléfono</w:t>
      </w:r>
      <w:r>
        <w:rPr>
          <w:spacing w:val="-16"/>
        </w:rPr>
        <w:t> </w:t>
      </w:r>
      <w:r>
        <w:rPr/>
        <w:t>móvil</w:t>
      </w:r>
      <w:r>
        <w:rPr>
          <w:spacing w:val="-11"/>
        </w:rPr>
        <w:t> </w:t>
      </w:r>
      <w:r>
        <w:rPr/>
        <w:t>cualquier</w:t>
      </w:r>
      <w:r>
        <w:rPr>
          <w:spacing w:val="-10"/>
        </w:rPr>
        <w:t> </w:t>
      </w:r>
      <w:r>
        <w:rPr/>
        <w:t>información sobre líneas, horarios, etc. La sociedad había instalado la tecnología NaviLens</w:t>
      </w:r>
      <w:hyperlink w:history="true" w:anchor="_bookmark40">
        <w:r>
          <w:rPr>
            <w:vertAlign w:val="superscript"/>
          </w:rPr>
          <w:t>20</w:t>
        </w:r>
      </w:hyperlink>
      <w:r>
        <w:rPr>
          <w:vertAlign w:val="baseline"/>
        </w:rPr>
        <w:t> en numerosas paradas de la red, permitiendo a personas con dificultades visuales recibir información en tiempo real sobre líneas y tiempos de espera mediante su teléfono móvil.</w:t>
      </w:r>
    </w:p>
    <w:p>
      <w:pPr>
        <w:pStyle w:val="BodyText"/>
        <w:spacing w:before="240"/>
        <w:ind w:left="992" w:right="988"/>
        <w:jc w:val="both"/>
      </w:pPr>
      <w:r>
        <w:rPr/>
        <w:t>En materia de digitalización, la sociedad disponía en 2022 de diversas herramientas para la planificación</w:t>
      </w:r>
      <w:r>
        <w:rPr>
          <w:spacing w:val="-15"/>
        </w:rPr>
        <w:t> </w:t>
      </w:r>
      <w:r>
        <w:rPr/>
        <w:t>de</w:t>
      </w:r>
      <w:r>
        <w:rPr>
          <w:spacing w:val="-14"/>
        </w:rPr>
        <w:t> </w:t>
      </w:r>
      <w:r>
        <w:rPr/>
        <w:t>viajes</w:t>
      </w:r>
      <w:r>
        <w:rPr>
          <w:spacing w:val="-13"/>
        </w:rPr>
        <w:t> </w:t>
      </w:r>
      <w:r>
        <w:rPr/>
        <w:t>y</w:t>
      </w:r>
      <w:r>
        <w:rPr>
          <w:spacing w:val="-13"/>
        </w:rPr>
        <w:t> </w:t>
      </w:r>
      <w:r>
        <w:rPr/>
        <w:t>la</w:t>
      </w:r>
      <w:r>
        <w:rPr>
          <w:spacing w:val="-14"/>
        </w:rPr>
        <w:t> </w:t>
      </w:r>
      <w:r>
        <w:rPr/>
        <w:t>mejora</w:t>
      </w:r>
      <w:r>
        <w:rPr>
          <w:spacing w:val="-13"/>
        </w:rPr>
        <w:t> </w:t>
      </w:r>
      <w:r>
        <w:rPr/>
        <w:t>de</w:t>
      </w:r>
      <w:r>
        <w:rPr>
          <w:spacing w:val="-16"/>
        </w:rPr>
        <w:t> </w:t>
      </w:r>
      <w:r>
        <w:rPr/>
        <w:t>la</w:t>
      </w:r>
      <w:r>
        <w:rPr>
          <w:spacing w:val="-13"/>
        </w:rPr>
        <w:t> </w:t>
      </w:r>
      <w:r>
        <w:rPr/>
        <w:t>información</w:t>
      </w:r>
      <w:r>
        <w:rPr>
          <w:spacing w:val="-14"/>
        </w:rPr>
        <w:t> </w:t>
      </w:r>
      <w:r>
        <w:rPr/>
        <w:t>del</w:t>
      </w:r>
      <w:r>
        <w:rPr>
          <w:spacing w:val="-14"/>
        </w:rPr>
        <w:t> </w:t>
      </w:r>
      <w:r>
        <w:rPr/>
        <w:t>transporte,</w:t>
      </w:r>
      <w:r>
        <w:rPr>
          <w:spacing w:val="-12"/>
        </w:rPr>
        <w:t> </w:t>
      </w:r>
      <w:r>
        <w:rPr/>
        <w:t>que</w:t>
      </w:r>
      <w:r>
        <w:rPr>
          <w:spacing w:val="-16"/>
        </w:rPr>
        <w:t> </w:t>
      </w:r>
      <w:r>
        <w:rPr/>
        <w:t>incluían</w:t>
      </w:r>
      <w:r>
        <w:rPr>
          <w:spacing w:val="-12"/>
        </w:rPr>
        <w:t> </w:t>
      </w:r>
      <w:r>
        <w:rPr/>
        <w:t>un</w:t>
      </w:r>
      <w:r>
        <w:rPr>
          <w:spacing w:val="-10"/>
        </w:rPr>
        <w:t> </w:t>
      </w:r>
      <w:r>
        <w:rPr/>
        <w:t>SAE</w:t>
      </w:r>
      <w:r>
        <w:rPr>
          <w:spacing w:val="-14"/>
        </w:rPr>
        <w:t> </w:t>
      </w:r>
      <w:r>
        <w:rPr/>
        <w:t>y</w:t>
      </w:r>
      <w:r>
        <w:rPr>
          <w:spacing w:val="-13"/>
        </w:rPr>
        <w:t> </w:t>
      </w:r>
      <w:r>
        <w:rPr/>
        <w:t>un</w:t>
      </w:r>
      <w:r>
        <w:rPr>
          <w:spacing w:val="-14"/>
        </w:rPr>
        <w:t> </w:t>
      </w:r>
      <w:r>
        <w:rPr/>
        <w:t>sistema de </w:t>
      </w:r>
      <w:r>
        <w:rPr>
          <w:i/>
        </w:rPr>
        <w:t>ticketing</w:t>
      </w:r>
      <w:r>
        <w:rPr/>
        <w:t>, validación de pagos y control de títulos de transporte. Debido a las limitaciones tecnológicas y funcionales derivadas de su antigüedad, la entidad procedió durante los ejercicios fiscalizados, a</w:t>
      </w:r>
      <w:r>
        <w:rPr>
          <w:spacing w:val="-2"/>
        </w:rPr>
        <w:t> </w:t>
      </w:r>
      <w:r>
        <w:rPr/>
        <w:t>la renovación del SAE y de</w:t>
      </w:r>
      <w:r>
        <w:rPr>
          <w:spacing w:val="-2"/>
        </w:rPr>
        <w:t> </w:t>
      </w:r>
      <w:r>
        <w:rPr>
          <w:i/>
        </w:rPr>
        <w:t>ticketing</w:t>
      </w:r>
      <w:r>
        <w:rPr/>
        <w:t>, con</w:t>
      </w:r>
      <w:r>
        <w:rPr>
          <w:spacing w:val="-2"/>
        </w:rPr>
        <w:t> </w:t>
      </w:r>
      <w:r>
        <w:rPr/>
        <w:t>el</w:t>
      </w:r>
      <w:r>
        <w:rPr>
          <w:spacing w:val="-1"/>
        </w:rPr>
        <w:t> </w:t>
      </w:r>
      <w:r>
        <w:rPr/>
        <w:t>objetivo, entre</w:t>
      </w:r>
      <w:r>
        <w:rPr>
          <w:spacing w:val="-2"/>
        </w:rPr>
        <w:t> </w:t>
      </w:r>
      <w:r>
        <w:rPr/>
        <w:t>otros,</w:t>
      </w:r>
      <w:r>
        <w:rPr>
          <w:spacing w:val="-1"/>
        </w:rPr>
        <w:t> </w:t>
      </w:r>
      <w:r>
        <w:rPr/>
        <w:t>de integrar nuevos medios de pago digitales como aplicaciones móviles y tarjetas bancarias.</w:t>
      </w:r>
    </w:p>
    <w:p>
      <w:pPr>
        <w:pStyle w:val="BodyText"/>
        <w:spacing w:before="242"/>
        <w:ind w:left="992" w:right="991"/>
        <w:jc w:val="both"/>
      </w:pPr>
      <w:r>
        <w:rPr/>
        <w:t>Además,</w:t>
      </w:r>
      <w:r>
        <w:rPr>
          <w:spacing w:val="-7"/>
        </w:rPr>
        <w:t> </w:t>
      </w:r>
      <w:r>
        <w:rPr/>
        <w:t>con</w:t>
      </w:r>
      <w:r>
        <w:rPr>
          <w:spacing w:val="-8"/>
        </w:rPr>
        <w:t> </w:t>
      </w:r>
      <w:r>
        <w:rPr/>
        <w:t>el</w:t>
      </w:r>
      <w:r>
        <w:rPr>
          <w:spacing w:val="-9"/>
        </w:rPr>
        <w:t> </w:t>
      </w:r>
      <w:r>
        <w:rPr/>
        <w:t>objetivo</w:t>
      </w:r>
      <w:r>
        <w:rPr>
          <w:spacing w:val="-10"/>
        </w:rPr>
        <w:t> </w:t>
      </w:r>
      <w:r>
        <w:rPr/>
        <w:t>de</w:t>
      </w:r>
      <w:r>
        <w:rPr>
          <w:spacing w:val="-8"/>
        </w:rPr>
        <w:t> </w:t>
      </w:r>
      <w:r>
        <w:rPr/>
        <w:t>mejorar</w:t>
      </w:r>
      <w:r>
        <w:rPr>
          <w:spacing w:val="-7"/>
        </w:rPr>
        <w:t> </w:t>
      </w:r>
      <w:r>
        <w:rPr/>
        <w:t>el</w:t>
      </w:r>
      <w:r>
        <w:rPr>
          <w:spacing w:val="-9"/>
        </w:rPr>
        <w:t> </w:t>
      </w:r>
      <w:r>
        <w:rPr/>
        <w:t>acceso</w:t>
      </w:r>
      <w:r>
        <w:rPr>
          <w:spacing w:val="-8"/>
        </w:rPr>
        <w:t> </w:t>
      </w:r>
      <w:r>
        <w:rPr/>
        <w:t>al</w:t>
      </w:r>
      <w:r>
        <w:rPr>
          <w:spacing w:val="-9"/>
        </w:rPr>
        <w:t> </w:t>
      </w:r>
      <w:r>
        <w:rPr/>
        <w:t>servicio</w:t>
      </w:r>
      <w:r>
        <w:rPr>
          <w:spacing w:val="-5"/>
        </w:rPr>
        <w:t> </w:t>
      </w:r>
      <w:r>
        <w:rPr/>
        <w:t>a</w:t>
      </w:r>
      <w:r>
        <w:rPr>
          <w:spacing w:val="-8"/>
        </w:rPr>
        <w:t> </w:t>
      </w:r>
      <w:r>
        <w:rPr/>
        <w:t>los</w:t>
      </w:r>
      <w:r>
        <w:rPr>
          <w:spacing w:val="-8"/>
        </w:rPr>
        <w:t> </w:t>
      </w:r>
      <w:r>
        <w:rPr/>
        <w:t>usuarios,</w:t>
      </w:r>
      <w:r>
        <w:rPr>
          <w:spacing w:val="-6"/>
        </w:rPr>
        <w:t> </w:t>
      </w:r>
      <w:r>
        <w:rPr/>
        <w:t>en</w:t>
      </w:r>
      <w:r>
        <w:rPr>
          <w:spacing w:val="-8"/>
        </w:rPr>
        <w:t> </w:t>
      </w:r>
      <w:r>
        <w:rPr/>
        <w:t>2023</w:t>
      </w:r>
      <w:r>
        <w:rPr>
          <w:spacing w:val="-6"/>
        </w:rPr>
        <w:t> </w:t>
      </w:r>
      <w:r>
        <w:rPr/>
        <w:t>se</w:t>
      </w:r>
      <w:r>
        <w:rPr>
          <w:spacing w:val="-8"/>
        </w:rPr>
        <w:t> </w:t>
      </w:r>
      <w:r>
        <w:rPr/>
        <w:t>implementó</w:t>
      </w:r>
      <w:r>
        <w:rPr>
          <w:spacing w:val="-8"/>
        </w:rPr>
        <w:t> </w:t>
      </w:r>
      <w:r>
        <w:rPr/>
        <w:t>una solución</w:t>
      </w:r>
      <w:r>
        <w:rPr>
          <w:spacing w:val="-11"/>
        </w:rPr>
        <w:t> </w:t>
      </w:r>
      <w:r>
        <w:rPr/>
        <w:t>web</w:t>
      </w:r>
      <w:r>
        <w:rPr>
          <w:spacing w:val="-11"/>
        </w:rPr>
        <w:t> </w:t>
      </w:r>
      <w:r>
        <w:rPr/>
        <w:t>corporativa</w:t>
      </w:r>
      <w:r>
        <w:rPr>
          <w:spacing w:val="-11"/>
        </w:rPr>
        <w:t> </w:t>
      </w:r>
      <w:r>
        <w:rPr/>
        <w:t>multiplataforma,</w:t>
      </w:r>
      <w:r>
        <w:rPr>
          <w:spacing w:val="-9"/>
        </w:rPr>
        <w:t> </w:t>
      </w:r>
      <w:r>
        <w:rPr/>
        <w:t>disponible</w:t>
      </w:r>
      <w:r>
        <w:rPr>
          <w:spacing w:val="-11"/>
        </w:rPr>
        <w:t> </w:t>
      </w:r>
      <w:r>
        <w:rPr/>
        <w:t>tanto</w:t>
      </w:r>
      <w:r>
        <w:rPr>
          <w:spacing w:val="-13"/>
        </w:rPr>
        <w:t> </w:t>
      </w:r>
      <w:r>
        <w:rPr/>
        <w:t>para</w:t>
      </w:r>
      <w:r>
        <w:rPr>
          <w:spacing w:val="-11"/>
        </w:rPr>
        <w:t> </w:t>
      </w:r>
      <w:r>
        <w:rPr/>
        <w:t>entorno</w:t>
      </w:r>
      <w:r>
        <w:rPr>
          <w:spacing w:val="-11"/>
        </w:rPr>
        <w:t> </w:t>
      </w:r>
      <w:r>
        <w:rPr/>
        <w:t>web</w:t>
      </w:r>
      <w:r>
        <w:rPr>
          <w:spacing w:val="-11"/>
        </w:rPr>
        <w:t> </w:t>
      </w:r>
      <w:r>
        <w:rPr/>
        <w:t>como</w:t>
      </w:r>
      <w:r>
        <w:rPr>
          <w:spacing w:val="-11"/>
        </w:rPr>
        <w:t> </w:t>
      </w:r>
      <w:r>
        <w:rPr/>
        <w:t>para</w:t>
      </w:r>
      <w:r>
        <w:rPr>
          <w:spacing w:val="-13"/>
        </w:rPr>
        <w:t> </w:t>
      </w:r>
      <w:r>
        <w:rPr/>
        <w:t>dispositivos </w:t>
      </w:r>
      <w:r>
        <w:rPr>
          <w:spacing w:val="-2"/>
        </w:rPr>
        <w:t>móviles</w:t>
      </w:r>
      <w:r>
        <w:rPr>
          <w:spacing w:val="-5"/>
        </w:rPr>
        <w:t> </w:t>
      </w:r>
      <w:r>
        <w:rPr>
          <w:spacing w:val="-2"/>
        </w:rPr>
        <w:t>y</w:t>
      </w:r>
      <w:r>
        <w:rPr>
          <w:spacing w:val="-7"/>
        </w:rPr>
        <w:t> </w:t>
      </w:r>
      <w:r>
        <w:rPr>
          <w:spacing w:val="-2"/>
        </w:rPr>
        <w:t>en</w:t>
      </w:r>
      <w:r>
        <w:rPr>
          <w:spacing w:val="-9"/>
        </w:rPr>
        <w:t> </w:t>
      </w:r>
      <w:r>
        <w:rPr>
          <w:spacing w:val="-2"/>
        </w:rPr>
        <w:t>2024</w:t>
      </w:r>
      <w:r>
        <w:rPr>
          <w:spacing w:val="-9"/>
        </w:rPr>
        <w:t> </w:t>
      </w:r>
      <w:r>
        <w:rPr>
          <w:spacing w:val="-2"/>
        </w:rPr>
        <w:t>se</w:t>
      </w:r>
      <w:r>
        <w:rPr>
          <w:spacing w:val="-9"/>
        </w:rPr>
        <w:t> </w:t>
      </w:r>
      <w:r>
        <w:rPr>
          <w:spacing w:val="-2"/>
        </w:rPr>
        <w:t>renovó</w:t>
      </w:r>
      <w:r>
        <w:rPr>
          <w:spacing w:val="-5"/>
        </w:rPr>
        <w:t> </w:t>
      </w:r>
      <w:r>
        <w:rPr>
          <w:spacing w:val="-2"/>
        </w:rPr>
        <w:t>el</w:t>
      </w:r>
      <w:r>
        <w:rPr>
          <w:spacing w:val="-9"/>
        </w:rPr>
        <w:t> </w:t>
      </w:r>
      <w:r>
        <w:rPr>
          <w:spacing w:val="-2"/>
        </w:rPr>
        <w:t>servicio</w:t>
      </w:r>
      <w:r>
        <w:rPr>
          <w:spacing w:val="-9"/>
        </w:rPr>
        <w:t> </w:t>
      </w:r>
      <w:r>
        <w:rPr>
          <w:spacing w:val="-2"/>
        </w:rPr>
        <w:t>de</w:t>
      </w:r>
      <w:r>
        <w:rPr>
          <w:spacing w:val="-9"/>
        </w:rPr>
        <w:t> </w:t>
      </w:r>
      <w:r>
        <w:rPr>
          <w:spacing w:val="-2"/>
        </w:rPr>
        <w:t>venta</w:t>
      </w:r>
      <w:r>
        <w:rPr>
          <w:spacing w:val="-9"/>
        </w:rPr>
        <w:t> </w:t>
      </w:r>
      <w:r>
        <w:rPr>
          <w:spacing w:val="-2"/>
        </w:rPr>
        <w:t>de</w:t>
      </w:r>
      <w:r>
        <w:rPr>
          <w:spacing w:val="-5"/>
        </w:rPr>
        <w:t> </w:t>
      </w:r>
      <w:r>
        <w:rPr>
          <w:spacing w:val="-2"/>
        </w:rPr>
        <w:t>billete</w:t>
      </w:r>
      <w:r>
        <w:rPr>
          <w:spacing w:val="-4"/>
        </w:rPr>
        <w:t> </w:t>
      </w:r>
      <w:r>
        <w:rPr>
          <w:spacing w:val="-2"/>
        </w:rPr>
        <w:t>electrónico</w:t>
      </w:r>
      <w:r>
        <w:rPr>
          <w:spacing w:val="-9"/>
        </w:rPr>
        <w:t> </w:t>
      </w:r>
      <w:r>
        <w:rPr>
          <w:spacing w:val="-2"/>
        </w:rPr>
        <w:t>y</w:t>
      </w:r>
      <w:r>
        <w:rPr>
          <w:spacing w:val="-7"/>
        </w:rPr>
        <w:t> </w:t>
      </w:r>
      <w:r>
        <w:rPr>
          <w:spacing w:val="-2"/>
        </w:rPr>
        <w:t>mediante</w:t>
      </w:r>
      <w:r>
        <w:rPr>
          <w:spacing w:val="-5"/>
        </w:rPr>
        <w:t> </w:t>
      </w:r>
      <w:r>
        <w:rPr>
          <w:spacing w:val="-2"/>
        </w:rPr>
        <w:t>código</w:t>
      </w:r>
      <w:r>
        <w:rPr>
          <w:spacing w:val="-9"/>
        </w:rPr>
        <w:t> </w:t>
      </w:r>
      <w:r>
        <w:rPr>
          <w:spacing w:val="-2"/>
        </w:rPr>
        <w:t>embarcado, </w:t>
      </w:r>
      <w:r>
        <w:rPr/>
        <w:t>ya en funcionamiento desde 2021.</w:t>
      </w:r>
    </w:p>
    <w:p>
      <w:pPr>
        <w:pStyle w:val="BodyText"/>
        <w:rPr>
          <w:sz w:val="20"/>
        </w:rPr>
      </w:pPr>
    </w:p>
    <w:p>
      <w:pPr>
        <w:pStyle w:val="BodyText"/>
        <w:rPr>
          <w:sz w:val="20"/>
        </w:rPr>
      </w:pPr>
    </w:p>
    <w:p>
      <w:pPr>
        <w:pStyle w:val="BodyText"/>
        <w:spacing w:before="101"/>
        <w:rPr>
          <w:sz w:val="20"/>
        </w:rPr>
      </w:pPr>
      <w:r>
        <w:rPr>
          <w:sz w:val="20"/>
        </w:rPr>
        <mc:AlternateContent>
          <mc:Choice Requires="wps">
            <w:drawing>
              <wp:anchor distT="0" distB="0" distL="0" distR="0" allowOverlap="1" layoutInCell="1" locked="0" behindDoc="1" simplePos="0" relativeHeight="487601664">
                <wp:simplePos x="0" y="0"/>
                <wp:positionH relativeFrom="page">
                  <wp:posOffset>719632</wp:posOffset>
                </wp:positionH>
                <wp:positionV relativeFrom="paragraph">
                  <wp:posOffset>225477</wp:posOffset>
                </wp:positionV>
                <wp:extent cx="1829435" cy="9525"/>
                <wp:effectExtent l="0" t="0" r="0" b="0"/>
                <wp:wrapTopAndBottom/>
                <wp:docPr id="135" name="Graphic 135"/>
                <wp:cNvGraphicFramePr>
                  <a:graphicFrameLocks/>
                </wp:cNvGraphicFramePr>
                <a:graphic>
                  <a:graphicData uri="http://schemas.microsoft.com/office/word/2010/wordprocessingShape">
                    <wps:wsp>
                      <wps:cNvPr id="135" name="Graphic 135"/>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7.754114pt;width:144.020pt;height:.72003pt;mso-position-horizontal-relative:page;mso-position-vertical-relative:paragraph;z-index:-15714816;mso-wrap-distance-left:0;mso-wrap-distance-right:0" id="docshape117" filled="true" fillcolor="#000000" stroked="false">
                <v:fill type="solid"/>
                <w10:wrap type="topAndBottom"/>
              </v:rect>
            </w:pict>
          </mc:Fallback>
        </mc:AlternateContent>
      </w:r>
    </w:p>
    <w:p>
      <w:pPr>
        <w:spacing w:before="118"/>
        <w:ind w:left="992" w:right="907" w:firstLine="0"/>
        <w:jc w:val="left"/>
        <w:rPr>
          <w:sz w:val="18"/>
        </w:rPr>
      </w:pPr>
      <w:bookmarkStart w:name="_bookmark40" w:id="42"/>
      <w:bookmarkEnd w:id="42"/>
      <w:r>
        <w:rPr/>
      </w:r>
      <w:r>
        <w:rPr>
          <w:position w:val="6"/>
          <w:sz w:val="12"/>
        </w:rPr>
        <w:t>20</w:t>
      </w:r>
      <w:r>
        <w:rPr>
          <w:spacing w:val="3"/>
          <w:position w:val="6"/>
          <w:sz w:val="12"/>
        </w:rPr>
        <w:t> </w:t>
      </w:r>
      <w:r>
        <w:rPr>
          <w:sz w:val="18"/>
        </w:rPr>
        <w:t>Sistema</w:t>
      </w:r>
      <w:r>
        <w:rPr>
          <w:spacing w:val="-12"/>
          <w:sz w:val="18"/>
        </w:rPr>
        <w:t> </w:t>
      </w:r>
      <w:r>
        <w:rPr>
          <w:sz w:val="18"/>
        </w:rPr>
        <w:t>que</w:t>
      </w:r>
      <w:r>
        <w:rPr>
          <w:spacing w:val="-13"/>
          <w:sz w:val="18"/>
        </w:rPr>
        <w:t> </w:t>
      </w:r>
      <w:r>
        <w:rPr>
          <w:sz w:val="18"/>
        </w:rPr>
        <w:t>permite,</w:t>
      </w:r>
      <w:r>
        <w:rPr>
          <w:spacing w:val="-12"/>
          <w:sz w:val="18"/>
        </w:rPr>
        <w:t> </w:t>
      </w:r>
      <w:r>
        <w:rPr>
          <w:sz w:val="18"/>
        </w:rPr>
        <w:t>a</w:t>
      </w:r>
      <w:r>
        <w:rPr>
          <w:spacing w:val="-11"/>
          <w:sz w:val="18"/>
        </w:rPr>
        <w:t> </w:t>
      </w:r>
      <w:r>
        <w:rPr>
          <w:sz w:val="18"/>
        </w:rPr>
        <w:t>través</w:t>
      </w:r>
      <w:r>
        <w:rPr>
          <w:spacing w:val="-13"/>
          <w:sz w:val="18"/>
        </w:rPr>
        <w:t> </w:t>
      </w:r>
      <w:r>
        <w:rPr>
          <w:sz w:val="18"/>
        </w:rPr>
        <w:t>de</w:t>
      </w:r>
      <w:r>
        <w:rPr>
          <w:spacing w:val="-10"/>
          <w:sz w:val="18"/>
        </w:rPr>
        <w:t> </w:t>
      </w:r>
      <w:r>
        <w:rPr>
          <w:sz w:val="18"/>
        </w:rPr>
        <w:t>unos</w:t>
      </w:r>
      <w:r>
        <w:rPr>
          <w:spacing w:val="-13"/>
          <w:sz w:val="18"/>
        </w:rPr>
        <w:t> </w:t>
      </w:r>
      <w:r>
        <w:rPr>
          <w:sz w:val="18"/>
        </w:rPr>
        <w:t>códigos</w:t>
      </w:r>
      <w:r>
        <w:rPr>
          <w:spacing w:val="-10"/>
          <w:sz w:val="18"/>
        </w:rPr>
        <w:t> </w:t>
      </w:r>
      <w:r>
        <w:rPr>
          <w:sz w:val="18"/>
        </w:rPr>
        <w:t>de</w:t>
      </w:r>
      <w:r>
        <w:rPr>
          <w:spacing w:val="-13"/>
          <w:sz w:val="18"/>
        </w:rPr>
        <w:t> </w:t>
      </w:r>
      <w:r>
        <w:rPr>
          <w:sz w:val="18"/>
        </w:rPr>
        <w:t>colores,</w:t>
      </w:r>
      <w:r>
        <w:rPr>
          <w:spacing w:val="-10"/>
          <w:sz w:val="18"/>
        </w:rPr>
        <w:t> </w:t>
      </w:r>
      <w:r>
        <w:rPr>
          <w:sz w:val="18"/>
        </w:rPr>
        <w:t>que</w:t>
      </w:r>
      <w:r>
        <w:rPr>
          <w:spacing w:val="-11"/>
          <w:sz w:val="18"/>
        </w:rPr>
        <w:t> </w:t>
      </w:r>
      <w:r>
        <w:rPr>
          <w:sz w:val="18"/>
        </w:rPr>
        <w:t>las</w:t>
      </w:r>
      <w:r>
        <w:rPr>
          <w:spacing w:val="-11"/>
          <w:sz w:val="18"/>
        </w:rPr>
        <w:t> </w:t>
      </w:r>
      <w:r>
        <w:rPr>
          <w:sz w:val="18"/>
        </w:rPr>
        <w:t>personas</w:t>
      </w:r>
      <w:r>
        <w:rPr>
          <w:spacing w:val="-13"/>
          <w:sz w:val="18"/>
        </w:rPr>
        <w:t> </w:t>
      </w:r>
      <w:r>
        <w:rPr>
          <w:sz w:val="18"/>
        </w:rPr>
        <w:t>ciegas</w:t>
      </w:r>
      <w:r>
        <w:rPr>
          <w:spacing w:val="-12"/>
          <w:sz w:val="18"/>
        </w:rPr>
        <w:t> </w:t>
      </w:r>
      <w:r>
        <w:rPr>
          <w:sz w:val="18"/>
        </w:rPr>
        <w:t>o</w:t>
      </w:r>
      <w:r>
        <w:rPr>
          <w:spacing w:val="-13"/>
          <w:sz w:val="18"/>
        </w:rPr>
        <w:t> </w:t>
      </w:r>
      <w:r>
        <w:rPr>
          <w:sz w:val="18"/>
        </w:rPr>
        <w:t>con</w:t>
      </w:r>
      <w:r>
        <w:rPr>
          <w:spacing w:val="-12"/>
          <w:sz w:val="18"/>
        </w:rPr>
        <w:t> </w:t>
      </w:r>
      <w:r>
        <w:rPr>
          <w:sz w:val="18"/>
        </w:rPr>
        <w:t>baja</w:t>
      </w:r>
      <w:r>
        <w:rPr>
          <w:spacing w:val="-11"/>
          <w:sz w:val="18"/>
        </w:rPr>
        <w:t> </w:t>
      </w:r>
      <w:r>
        <w:rPr>
          <w:sz w:val="18"/>
        </w:rPr>
        <w:t>visión</w:t>
      </w:r>
      <w:r>
        <w:rPr>
          <w:spacing w:val="-11"/>
          <w:sz w:val="18"/>
        </w:rPr>
        <w:t> </w:t>
      </w:r>
      <w:r>
        <w:rPr>
          <w:sz w:val="18"/>
        </w:rPr>
        <w:t>puedan</w:t>
      </w:r>
      <w:r>
        <w:rPr>
          <w:spacing w:val="-11"/>
          <w:sz w:val="18"/>
        </w:rPr>
        <w:t> </w:t>
      </w:r>
      <w:r>
        <w:rPr>
          <w:sz w:val="18"/>
        </w:rPr>
        <w:t>detectarlos con su teléfono móvil.</w:t>
      </w:r>
    </w:p>
    <w:p>
      <w:pPr>
        <w:spacing w:after="0"/>
        <w:jc w:val="left"/>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87"/>
        <w:jc w:val="both"/>
      </w:pPr>
      <w:r>
        <w:rPr/>
        <w:t>La</w:t>
      </w:r>
      <w:r>
        <w:rPr>
          <w:spacing w:val="-9"/>
        </w:rPr>
        <w:t> </w:t>
      </w:r>
      <w:r>
        <w:rPr/>
        <w:t>empresa</w:t>
      </w:r>
      <w:r>
        <w:rPr>
          <w:spacing w:val="-9"/>
        </w:rPr>
        <w:t> </w:t>
      </w:r>
      <w:r>
        <w:rPr/>
        <w:t>municipal</w:t>
      </w:r>
      <w:r>
        <w:rPr>
          <w:spacing w:val="-10"/>
        </w:rPr>
        <w:t> </w:t>
      </w:r>
      <w:r>
        <w:rPr/>
        <w:t>ha</w:t>
      </w:r>
      <w:r>
        <w:rPr>
          <w:spacing w:val="-12"/>
        </w:rPr>
        <w:t> </w:t>
      </w:r>
      <w:r>
        <w:rPr/>
        <w:t>realizado</w:t>
      </w:r>
      <w:r>
        <w:rPr>
          <w:spacing w:val="-9"/>
        </w:rPr>
        <w:t> </w:t>
      </w:r>
      <w:r>
        <w:rPr/>
        <w:t>diversas</w:t>
      </w:r>
      <w:r>
        <w:rPr>
          <w:spacing w:val="-8"/>
        </w:rPr>
        <w:t> </w:t>
      </w:r>
      <w:r>
        <w:rPr/>
        <w:t>campañas</w:t>
      </w:r>
      <w:r>
        <w:rPr>
          <w:spacing w:val="-9"/>
        </w:rPr>
        <w:t> </w:t>
      </w:r>
      <w:r>
        <w:rPr/>
        <w:t>de</w:t>
      </w:r>
      <w:r>
        <w:rPr>
          <w:spacing w:val="-9"/>
        </w:rPr>
        <w:t> </w:t>
      </w:r>
      <w:r>
        <w:rPr/>
        <w:t>publicidad</w:t>
      </w:r>
      <w:r>
        <w:rPr>
          <w:spacing w:val="-9"/>
        </w:rPr>
        <w:t> </w:t>
      </w:r>
      <w:r>
        <w:rPr/>
        <w:t>dirigidas</w:t>
      </w:r>
      <w:r>
        <w:rPr>
          <w:spacing w:val="-8"/>
        </w:rPr>
        <w:t> </w:t>
      </w:r>
      <w:r>
        <w:rPr/>
        <w:t>a</w:t>
      </w:r>
      <w:r>
        <w:rPr>
          <w:spacing w:val="-9"/>
        </w:rPr>
        <w:t> </w:t>
      </w:r>
      <w:r>
        <w:rPr/>
        <w:t>promocionar</w:t>
      </w:r>
      <w:r>
        <w:rPr>
          <w:spacing w:val="-8"/>
        </w:rPr>
        <w:t> </w:t>
      </w:r>
      <w:r>
        <w:rPr/>
        <w:t>el</w:t>
      </w:r>
      <w:r>
        <w:rPr>
          <w:spacing w:val="-10"/>
        </w:rPr>
        <w:t> </w:t>
      </w:r>
      <w:r>
        <w:rPr/>
        <w:t>uso del transporte público por autobús en determinadas épocas del año o informar sobre las líneas en centros</w:t>
      </w:r>
      <w:r>
        <w:rPr>
          <w:spacing w:val="-10"/>
        </w:rPr>
        <w:t> </w:t>
      </w:r>
      <w:r>
        <w:rPr/>
        <w:t>educativos,</w:t>
      </w:r>
      <w:r>
        <w:rPr>
          <w:spacing w:val="-9"/>
        </w:rPr>
        <w:t> </w:t>
      </w:r>
      <w:r>
        <w:rPr/>
        <w:t>cívicos</w:t>
      </w:r>
      <w:r>
        <w:rPr>
          <w:spacing w:val="-8"/>
        </w:rPr>
        <w:t> </w:t>
      </w:r>
      <w:r>
        <w:rPr/>
        <w:t>y</w:t>
      </w:r>
      <w:r>
        <w:rPr>
          <w:spacing w:val="-7"/>
        </w:rPr>
        <w:t> </w:t>
      </w:r>
      <w:r>
        <w:rPr/>
        <w:t>de</w:t>
      </w:r>
      <w:r>
        <w:rPr>
          <w:spacing w:val="-13"/>
        </w:rPr>
        <w:t> </w:t>
      </w:r>
      <w:r>
        <w:rPr/>
        <w:t>mayores</w:t>
      </w:r>
      <w:r>
        <w:rPr>
          <w:spacing w:val="-10"/>
        </w:rPr>
        <w:t> </w:t>
      </w:r>
      <w:r>
        <w:rPr/>
        <w:t>y</w:t>
      </w:r>
      <w:r>
        <w:rPr>
          <w:spacing w:val="-10"/>
        </w:rPr>
        <w:t> </w:t>
      </w:r>
      <w:r>
        <w:rPr/>
        <w:t>las</w:t>
      </w:r>
      <w:r>
        <w:rPr>
          <w:spacing w:val="-8"/>
        </w:rPr>
        <w:t> </w:t>
      </w:r>
      <w:r>
        <w:rPr/>
        <w:t>opciones</w:t>
      </w:r>
      <w:r>
        <w:rPr>
          <w:spacing w:val="-8"/>
        </w:rPr>
        <w:t> </w:t>
      </w:r>
      <w:r>
        <w:rPr/>
        <w:t>de</w:t>
      </w:r>
      <w:r>
        <w:rPr>
          <w:spacing w:val="-11"/>
        </w:rPr>
        <w:t> </w:t>
      </w:r>
      <w:r>
        <w:rPr/>
        <w:t>recarga</w:t>
      </w:r>
      <w:r>
        <w:rPr>
          <w:spacing w:val="-9"/>
        </w:rPr>
        <w:t> </w:t>
      </w:r>
      <w:r>
        <w:rPr/>
        <w:t>de</w:t>
      </w:r>
      <w:r>
        <w:rPr>
          <w:spacing w:val="-8"/>
        </w:rPr>
        <w:t> </w:t>
      </w:r>
      <w:r>
        <w:rPr/>
        <w:t>los</w:t>
      </w:r>
      <w:r>
        <w:rPr>
          <w:spacing w:val="-13"/>
        </w:rPr>
        <w:t> </w:t>
      </w:r>
      <w:r>
        <w:rPr/>
        <w:t>distintos</w:t>
      </w:r>
      <w:r>
        <w:rPr>
          <w:spacing w:val="-7"/>
        </w:rPr>
        <w:t> </w:t>
      </w:r>
      <w:r>
        <w:rPr/>
        <w:t>soportes</w:t>
      </w:r>
      <w:r>
        <w:rPr>
          <w:spacing w:val="-7"/>
        </w:rPr>
        <w:t> </w:t>
      </w:r>
      <w:r>
        <w:rPr/>
        <w:t>válidos en la empresa.</w:t>
      </w:r>
    </w:p>
    <w:p>
      <w:pPr>
        <w:pStyle w:val="BodyText"/>
        <w:spacing w:before="108"/>
      </w:pPr>
    </w:p>
    <w:p>
      <w:pPr>
        <w:pStyle w:val="ListParagraph"/>
        <w:numPr>
          <w:ilvl w:val="3"/>
          <w:numId w:val="3"/>
        </w:numPr>
        <w:tabs>
          <w:tab w:pos="1779" w:val="left" w:leader="none"/>
        </w:tabs>
        <w:spacing w:line="240" w:lineRule="auto" w:before="0" w:after="0"/>
        <w:ind w:left="1779" w:right="0" w:hanging="787"/>
        <w:jc w:val="left"/>
        <w:rPr>
          <w:sz w:val="22"/>
        </w:rPr>
      </w:pPr>
      <w:r>
        <w:rPr>
          <w:sz w:val="22"/>
        </w:rPr>
        <w:t>AYUNTAMIENTO</w:t>
      </w:r>
      <w:r>
        <w:rPr>
          <w:spacing w:val="-4"/>
          <w:sz w:val="22"/>
        </w:rPr>
        <w:t> </w:t>
      </w:r>
      <w:r>
        <w:rPr>
          <w:sz w:val="22"/>
        </w:rPr>
        <w:t>DE</w:t>
      </w:r>
      <w:r>
        <w:rPr>
          <w:spacing w:val="-4"/>
          <w:sz w:val="22"/>
        </w:rPr>
        <w:t> </w:t>
      </w:r>
      <w:r>
        <w:rPr>
          <w:sz w:val="22"/>
        </w:rPr>
        <w:t>LAS</w:t>
      </w:r>
      <w:r>
        <w:rPr>
          <w:spacing w:val="-4"/>
          <w:sz w:val="22"/>
        </w:rPr>
        <w:t> </w:t>
      </w:r>
      <w:r>
        <w:rPr>
          <w:sz w:val="22"/>
        </w:rPr>
        <w:t>PALMAS</w:t>
      </w:r>
      <w:r>
        <w:rPr>
          <w:spacing w:val="-5"/>
          <w:sz w:val="22"/>
        </w:rPr>
        <w:t> </w:t>
      </w:r>
      <w:r>
        <w:rPr>
          <w:sz w:val="22"/>
        </w:rPr>
        <w:t>DE</w:t>
      </w:r>
      <w:r>
        <w:rPr>
          <w:spacing w:val="-5"/>
          <w:sz w:val="22"/>
        </w:rPr>
        <w:t> </w:t>
      </w:r>
      <w:r>
        <w:rPr>
          <w:sz w:val="22"/>
        </w:rPr>
        <w:t>GRAN</w:t>
      </w:r>
      <w:r>
        <w:rPr>
          <w:spacing w:val="-4"/>
          <w:sz w:val="22"/>
        </w:rPr>
        <w:t> </w:t>
      </w:r>
      <w:r>
        <w:rPr>
          <w:spacing w:val="-2"/>
          <w:sz w:val="22"/>
        </w:rPr>
        <w:t>CANARIA</w:t>
      </w:r>
    </w:p>
    <w:p>
      <w:pPr>
        <w:pStyle w:val="BodyText"/>
        <w:spacing w:before="239"/>
        <w:ind w:left="992" w:right="987"/>
        <w:jc w:val="both"/>
      </w:pPr>
      <w:r>
        <w:rPr/>
        <w:t>En</w:t>
      </w:r>
      <w:r>
        <w:rPr>
          <w:spacing w:val="-2"/>
        </w:rPr>
        <w:t> </w:t>
      </w:r>
      <w:r>
        <w:rPr/>
        <w:t>la</w:t>
      </w:r>
      <w:r>
        <w:rPr>
          <w:spacing w:val="-2"/>
        </w:rPr>
        <w:t> </w:t>
      </w:r>
      <w:r>
        <w:rPr/>
        <w:t>ciudad</w:t>
      </w:r>
      <w:r>
        <w:rPr>
          <w:spacing w:val="-3"/>
        </w:rPr>
        <w:t> </w:t>
      </w:r>
      <w:r>
        <w:rPr/>
        <w:t>de</w:t>
      </w:r>
      <w:r>
        <w:rPr>
          <w:spacing w:val="-3"/>
        </w:rPr>
        <w:t> </w:t>
      </w:r>
      <w:r>
        <w:rPr/>
        <w:t>Las</w:t>
      </w:r>
      <w:r>
        <w:rPr>
          <w:spacing w:val="-3"/>
        </w:rPr>
        <w:t> </w:t>
      </w:r>
      <w:r>
        <w:rPr/>
        <w:t>Palmas</w:t>
      </w:r>
      <w:r>
        <w:rPr>
          <w:spacing w:val="-3"/>
        </w:rPr>
        <w:t> </w:t>
      </w:r>
      <w:r>
        <w:rPr/>
        <w:t>de</w:t>
      </w:r>
      <w:r>
        <w:rPr>
          <w:spacing w:val="-3"/>
        </w:rPr>
        <w:t> </w:t>
      </w:r>
      <w:r>
        <w:rPr/>
        <w:t>Gran</w:t>
      </w:r>
      <w:r>
        <w:rPr>
          <w:spacing w:val="-2"/>
        </w:rPr>
        <w:t> </w:t>
      </w:r>
      <w:r>
        <w:rPr/>
        <w:t>Canaria</w:t>
      </w:r>
      <w:r>
        <w:rPr>
          <w:spacing w:val="-2"/>
        </w:rPr>
        <w:t> </w:t>
      </w:r>
      <w:r>
        <w:rPr/>
        <w:t>el</w:t>
      </w:r>
      <w:r>
        <w:rPr>
          <w:spacing w:val="-4"/>
        </w:rPr>
        <w:t> </w:t>
      </w:r>
      <w:r>
        <w:rPr/>
        <w:t>servicio</w:t>
      </w:r>
      <w:r>
        <w:rPr>
          <w:spacing w:val="-2"/>
        </w:rPr>
        <w:t> </w:t>
      </w:r>
      <w:r>
        <w:rPr/>
        <w:t>de</w:t>
      </w:r>
      <w:r>
        <w:rPr>
          <w:spacing w:val="-3"/>
        </w:rPr>
        <w:t> </w:t>
      </w:r>
      <w:r>
        <w:rPr/>
        <w:t>transporte</w:t>
      </w:r>
      <w:r>
        <w:rPr>
          <w:spacing w:val="-3"/>
        </w:rPr>
        <w:t> </w:t>
      </w:r>
      <w:r>
        <w:rPr/>
        <w:t>urbano</w:t>
      </w:r>
      <w:r>
        <w:rPr>
          <w:spacing w:val="-2"/>
        </w:rPr>
        <w:t> </w:t>
      </w:r>
      <w:r>
        <w:rPr/>
        <w:t>de</w:t>
      </w:r>
      <w:r>
        <w:rPr>
          <w:spacing w:val="-3"/>
        </w:rPr>
        <w:t> </w:t>
      </w:r>
      <w:r>
        <w:rPr/>
        <w:t>viajeros</w:t>
      </w:r>
      <w:r>
        <w:rPr>
          <w:spacing w:val="-3"/>
        </w:rPr>
        <w:t> </w:t>
      </w:r>
      <w:r>
        <w:rPr/>
        <w:t>se</w:t>
      </w:r>
      <w:r>
        <w:rPr>
          <w:spacing w:val="-3"/>
        </w:rPr>
        <w:t> </w:t>
      </w:r>
      <w:r>
        <w:rPr/>
        <w:t>presta por una sociedad municipal, medio propio personificado y servicio técnico del </w:t>
      </w:r>
      <w:r>
        <w:rPr>
          <w:b/>
        </w:rPr>
        <w:t>Ayuntamiento de Las Palmas de Gran Canaria </w:t>
      </w:r>
      <w:r>
        <w:rPr/>
        <w:t>y de las demás entidades y organismos autónomos dependientes del mismo.</w:t>
      </w:r>
    </w:p>
    <w:p>
      <w:pPr>
        <w:pStyle w:val="BodyText"/>
        <w:spacing w:before="241"/>
        <w:ind w:left="992" w:right="990"/>
        <w:jc w:val="both"/>
      </w:pPr>
      <w:r>
        <w:rPr/>
        <w:t>A 31 de diciembre de 2022, la sociedad disponía en todas sus infraestructuras de luminarias con tecnología</w:t>
      </w:r>
      <w:r>
        <w:rPr>
          <w:spacing w:val="-10"/>
        </w:rPr>
        <w:t> </w:t>
      </w:r>
      <w:r>
        <w:rPr/>
        <w:t>LED.</w:t>
      </w:r>
      <w:r>
        <w:rPr>
          <w:spacing w:val="-8"/>
        </w:rPr>
        <w:t> </w:t>
      </w:r>
      <w:r>
        <w:rPr/>
        <w:t>Además,</w:t>
      </w:r>
      <w:r>
        <w:rPr>
          <w:spacing w:val="-6"/>
        </w:rPr>
        <w:t> </w:t>
      </w:r>
      <w:r>
        <w:rPr/>
        <w:t>el</w:t>
      </w:r>
      <w:r>
        <w:rPr>
          <w:spacing w:val="-11"/>
        </w:rPr>
        <w:t> </w:t>
      </w:r>
      <w:r>
        <w:rPr/>
        <w:t>grupo</w:t>
      </w:r>
      <w:r>
        <w:rPr>
          <w:spacing w:val="-10"/>
        </w:rPr>
        <w:t> </w:t>
      </w:r>
      <w:r>
        <w:rPr/>
        <w:t>de</w:t>
      </w:r>
      <w:r>
        <w:rPr>
          <w:spacing w:val="-10"/>
        </w:rPr>
        <w:t> </w:t>
      </w:r>
      <w:r>
        <w:rPr/>
        <w:t>presión</w:t>
      </w:r>
      <w:r>
        <w:rPr>
          <w:spacing w:val="-10"/>
        </w:rPr>
        <w:t> </w:t>
      </w:r>
      <w:r>
        <w:rPr/>
        <w:t>y</w:t>
      </w:r>
      <w:r>
        <w:rPr>
          <w:spacing w:val="-7"/>
        </w:rPr>
        <w:t> </w:t>
      </w:r>
      <w:r>
        <w:rPr/>
        <w:t>las</w:t>
      </w:r>
      <w:r>
        <w:rPr>
          <w:spacing w:val="-7"/>
        </w:rPr>
        <w:t> </w:t>
      </w:r>
      <w:r>
        <w:rPr/>
        <w:t>principales</w:t>
      </w:r>
      <w:r>
        <w:rPr>
          <w:spacing w:val="-7"/>
        </w:rPr>
        <w:t> </w:t>
      </w:r>
      <w:r>
        <w:rPr/>
        <w:t>bombas</w:t>
      </w:r>
      <w:r>
        <w:rPr>
          <w:spacing w:val="-7"/>
        </w:rPr>
        <w:t> </w:t>
      </w:r>
      <w:r>
        <w:rPr/>
        <w:t>que</w:t>
      </w:r>
      <w:r>
        <w:rPr>
          <w:spacing w:val="-7"/>
        </w:rPr>
        <w:t> </w:t>
      </w:r>
      <w:r>
        <w:rPr/>
        <w:t>suministran</w:t>
      </w:r>
      <w:r>
        <w:rPr>
          <w:spacing w:val="-10"/>
        </w:rPr>
        <w:t> </w:t>
      </w:r>
      <w:r>
        <w:rPr/>
        <w:t>agua</w:t>
      </w:r>
      <w:r>
        <w:rPr>
          <w:spacing w:val="-10"/>
        </w:rPr>
        <w:t> </w:t>
      </w:r>
      <w:r>
        <w:rPr/>
        <w:t>en</w:t>
      </w:r>
      <w:r>
        <w:rPr>
          <w:spacing w:val="-10"/>
        </w:rPr>
        <w:t> </w:t>
      </w:r>
      <w:r>
        <w:rPr/>
        <w:t>las instalaciones estaban gestionadas a través de un sistema de arranque progresivo que optimizaba el consumo de energía eléctrica.</w:t>
      </w:r>
    </w:p>
    <w:p>
      <w:pPr>
        <w:pStyle w:val="BodyText"/>
        <w:spacing w:before="241"/>
        <w:ind w:left="992" w:right="988"/>
        <w:jc w:val="both"/>
      </w:pPr>
      <w:r>
        <w:rPr/>
        <w:t>La sede central la empresa de transporte urbano contaba con una planta fotovoltaica de autoconsumo</w:t>
      </w:r>
      <w:r>
        <w:rPr>
          <w:spacing w:val="-8"/>
        </w:rPr>
        <w:t> </w:t>
      </w:r>
      <w:r>
        <w:rPr/>
        <w:t>y</w:t>
      </w:r>
      <w:r>
        <w:rPr>
          <w:spacing w:val="-12"/>
        </w:rPr>
        <w:t> </w:t>
      </w:r>
      <w:r>
        <w:rPr/>
        <w:t>tenía</w:t>
      </w:r>
      <w:r>
        <w:rPr>
          <w:spacing w:val="-10"/>
        </w:rPr>
        <w:t> </w:t>
      </w:r>
      <w:r>
        <w:rPr/>
        <w:t>contratado</w:t>
      </w:r>
      <w:r>
        <w:rPr>
          <w:spacing w:val="-8"/>
        </w:rPr>
        <w:t> </w:t>
      </w:r>
      <w:r>
        <w:rPr/>
        <w:t>el</w:t>
      </w:r>
      <w:r>
        <w:rPr>
          <w:spacing w:val="-11"/>
        </w:rPr>
        <w:t> </w:t>
      </w:r>
      <w:r>
        <w:rPr/>
        <w:t>suministro</w:t>
      </w:r>
      <w:r>
        <w:rPr>
          <w:spacing w:val="-8"/>
        </w:rPr>
        <w:t> </w:t>
      </w:r>
      <w:r>
        <w:rPr/>
        <w:t>de</w:t>
      </w:r>
      <w:r>
        <w:rPr>
          <w:spacing w:val="-11"/>
        </w:rPr>
        <w:t> </w:t>
      </w:r>
      <w:r>
        <w:rPr/>
        <w:t>energía</w:t>
      </w:r>
      <w:r>
        <w:rPr>
          <w:spacing w:val="-10"/>
        </w:rPr>
        <w:t> </w:t>
      </w:r>
      <w:r>
        <w:rPr/>
        <w:t>eléctrica</w:t>
      </w:r>
      <w:r>
        <w:rPr>
          <w:spacing w:val="-8"/>
        </w:rPr>
        <w:t> </w:t>
      </w:r>
      <w:r>
        <w:rPr/>
        <w:t>de</w:t>
      </w:r>
      <w:r>
        <w:rPr>
          <w:spacing w:val="-11"/>
        </w:rPr>
        <w:t> </w:t>
      </w:r>
      <w:r>
        <w:rPr/>
        <w:t>todas</w:t>
      </w:r>
      <w:r>
        <w:rPr>
          <w:spacing w:val="-13"/>
        </w:rPr>
        <w:t> </w:t>
      </w:r>
      <w:r>
        <w:rPr/>
        <w:t>sus</w:t>
      </w:r>
      <w:r>
        <w:rPr>
          <w:spacing w:val="-8"/>
        </w:rPr>
        <w:t> </w:t>
      </w:r>
      <w:r>
        <w:rPr/>
        <w:t>infraestructuras</w:t>
      </w:r>
      <w:r>
        <w:rPr>
          <w:spacing w:val="-10"/>
        </w:rPr>
        <w:t> </w:t>
      </w:r>
      <w:r>
        <w:rPr/>
        <w:t>con porcentaje de energía renovable igual o superior al 50 %. Además, había paneles fotovoltaicos en postes de información en paradas.</w:t>
      </w:r>
    </w:p>
    <w:p>
      <w:pPr>
        <w:pStyle w:val="BodyText"/>
        <w:spacing w:before="239"/>
        <w:ind w:left="992" w:right="990"/>
        <w:jc w:val="both"/>
      </w:pPr>
      <w:r>
        <w:rPr/>
        <w:t>No contaba con</w:t>
      </w:r>
      <w:r>
        <w:rPr>
          <w:spacing w:val="-1"/>
        </w:rPr>
        <w:t> </w:t>
      </w:r>
      <w:r>
        <w:rPr/>
        <w:t>hidrogeneras, electrolineras ni</w:t>
      </w:r>
      <w:r>
        <w:rPr>
          <w:spacing w:val="-1"/>
        </w:rPr>
        <w:t> </w:t>
      </w:r>
      <w:r>
        <w:rPr/>
        <w:t>pantógrafos,</w:t>
      </w:r>
      <w:r>
        <w:rPr>
          <w:spacing w:val="-2"/>
        </w:rPr>
        <w:t> </w:t>
      </w:r>
      <w:r>
        <w:rPr/>
        <w:t>aunque</w:t>
      </w:r>
      <w:r>
        <w:rPr>
          <w:spacing w:val="-1"/>
        </w:rPr>
        <w:t> </w:t>
      </w:r>
      <w:r>
        <w:rPr/>
        <w:t>sí con cargadores de</w:t>
      </w:r>
      <w:r>
        <w:rPr>
          <w:spacing w:val="-1"/>
        </w:rPr>
        <w:t> </w:t>
      </w:r>
      <w:r>
        <w:rPr/>
        <w:t>baterías eléctricas para los vehículos cero emisiones de la flota.</w:t>
      </w:r>
    </w:p>
    <w:p>
      <w:pPr>
        <w:pStyle w:val="BodyText"/>
        <w:spacing w:before="241"/>
        <w:ind w:left="992" w:right="995"/>
        <w:jc w:val="both"/>
      </w:pPr>
      <w:r>
        <w:rPr/>
        <w:t>La empresa realizaba</w:t>
      </w:r>
      <w:r>
        <w:rPr>
          <w:spacing w:val="-2"/>
        </w:rPr>
        <w:t> </w:t>
      </w:r>
      <w:r>
        <w:rPr/>
        <w:t>mediciones con el</w:t>
      </w:r>
      <w:r>
        <w:rPr>
          <w:spacing w:val="-1"/>
        </w:rPr>
        <w:t> </w:t>
      </w:r>
      <w:r>
        <w:rPr/>
        <w:t>fin de evaluar y controlar</w:t>
      </w:r>
      <w:r>
        <w:rPr>
          <w:spacing w:val="-1"/>
        </w:rPr>
        <w:t> </w:t>
      </w:r>
      <w:r>
        <w:rPr/>
        <w:t>sus impactos</w:t>
      </w:r>
      <w:r>
        <w:rPr>
          <w:spacing w:val="-2"/>
        </w:rPr>
        <w:t> </w:t>
      </w:r>
      <w:r>
        <w:rPr/>
        <w:t>medioambientales y tenía implantado y certificado un sistema de gestión medioambiental según la norma ISO 14001:2015 desde el año 2003.</w:t>
      </w:r>
    </w:p>
    <w:p>
      <w:pPr>
        <w:pStyle w:val="BodyText"/>
        <w:spacing w:before="239"/>
        <w:ind w:left="992" w:right="987"/>
        <w:jc w:val="both"/>
      </w:pPr>
      <w:r>
        <w:rPr/>
        <w:t>Los medios de transporte público colectivo disponibles en el municipio se encontraban interconectados</w:t>
      </w:r>
      <w:r>
        <w:rPr>
          <w:spacing w:val="-16"/>
        </w:rPr>
        <w:t> </w:t>
      </w:r>
      <w:r>
        <w:rPr/>
        <w:t>en</w:t>
      </w:r>
      <w:r>
        <w:rPr>
          <w:spacing w:val="-15"/>
        </w:rPr>
        <w:t> </w:t>
      </w:r>
      <w:r>
        <w:rPr/>
        <w:t>2022</w:t>
      </w:r>
      <w:r>
        <w:rPr>
          <w:spacing w:val="-15"/>
        </w:rPr>
        <w:t> </w:t>
      </w:r>
      <w:r>
        <w:rPr/>
        <w:t>y</w:t>
      </w:r>
      <w:r>
        <w:rPr>
          <w:spacing w:val="-16"/>
        </w:rPr>
        <w:t> </w:t>
      </w:r>
      <w:r>
        <w:rPr/>
        <w:t>se</w:t>
      </w:r>
      <w:r>
        <w:rPr>
          <w:spacing w:val="-15"/>
        </w:rPr>
        <w:t> </w:t>
      </w:r>
      <w:r>
        <w:rPr/>
        <w:t>disponía</w:t>
      </w:r>
      <w:r>
        <w:rPr>
          <w:spacing w:val="-15"/>
        </w:rPr>
        <w:t> </w:t>
      </w:r>
      <w:r>
        <w:rPr/>
        <w:t>de</w:t>
      </w:r>
      <w:r>
        <w:rPr>
          <w:spacing w:val="-15"/>
        </w:rPr>
        <w:t> </w:t>
      </w:r>
      <w:r>
        <w:rPr/>
        <w:t>integración</w:t>
      </w:r>
      <w:r>
        <w:rPr>
          <w:spacing w:val="-16"/>
        </w:rPr>
        <w:t> </w:t>
      </w:r>
      <w:r>
        <w:rPr/>
        <w:t>tarifaria.</w:t>
      </w:r>
      <w:r>
        <w:rPr>
          <w:spacing w:val="-15"/>
        </w:rPr>
        <w:t> </w:t>
      </w:r>
      <w:r>
        <w:rPr/>
        <w:t>La</w:t>
      </w:r>
      <w:r>
        <w:rPr>
          <w:spacing w:val="-15"/>
        </w:rPr>
        <w:t> </w:t>
      </w:r>
      <w:r>
        <w:rPr/>
        <w:t>flota</w:t>
      </w:r>
      <w:r>
        <w:rPr>
          <w:spacing w:val="-16"/>
        </w:rPr>
        <w:t> </w:t>
      </w:r>
      <w:r>
        <w:rPr/>
        <w:t>era</w:t>
      </w:r>
      <w:r>
        <w:rPr>
          <w:spacing w:val="-15"/>
        </w:rPr>
        <w:t> </w:t>
      </w:r>
      <w:r>
        <w:rPr/>
        <w:t>de</w:t>
      </w:r>
      <w:r>
        <w:rPr>
          <w:spacing w:val="-15"/>
        </w:rPr>
        <w:t> </w:t>
      </w:r>
      <w:r>
        <w:rPr/>
        <w:t>piso</w:t>
      </w:r>
      <w:r>
        <w:rPr>
          <w:spacing w:val="-15"/>
        </w:rPr>
        <w:t> </w:t>
      </w:r>
      <w:r>
        <w:rPr/>
        <w:t>bajo,</w:t>
      </w:r>
      <w:r>
        <w:rPr>
          <w:spacing w:val="-16"/>
        </w:rPr>
        <w:t> </w:t>
      </w:r>
      <w:r>
        <w:rPr/>
        <w:t>favoreciendo el acceso de personas con movilidad reducida, además de disponer de un servicio especial a demanda para personas con necesidades especiales.</w:t>
      </w:r>
    </w:p>
    <w:p>
      <w:pPr>
        <w:pStyle w:val="BodyText"/>
        <w:spacing w:before="241"/>
        <w:ind w:left="992" w:right="990"/>
        <w:jc w:val="both"/>
      </w:pPr>
      <w:r>
        <w:rPr/>
        <w:t>En ese ejercicio la empresa disponía de ciertas herramientas de digitalización, como la aplicación informática para dispositivos móviles y postes de información de paso en tiempo real </w:t>
      </w:r>
      <w:r>
        <w:rPr>
          <w:rFonts w:ascii="Symbol" w:hAnsi="Symbol"/>
        </w:rPr>
        <w:t></w:t>
      </w:r>
      <w:r>
        <w:rPr/>
        <w:t>ambos adaptados para invidentes o con visibilidad reducida</w:t>
      </w:r>
      <w:r>
        <w:rPr>
          <w:rFonts w:ascii="Symbol" w:hAnsi="Symbol"/>
        </w:rPr>
        <w:t></w:t>
      </w:r>
      <w:r>
        <w:rPr/>
        <w:t>, SAE que permite monitorizar la flota que presta el servicio en tiempo real, así como sistemas de pago con tarjeta o con código.</w:t>
      </w:r>
    </w:p>
    <w:p>
      <w:pPr>
        <w:pStyle w:val="BodyText"/>
        <w:spacing w:before="240"/>
        <w:ind w:left="992" w:right="986"/>
        <w:jc w:val="both"/>
      </w:pPr>
      <w:r>
        <w:rPr/>
        <w:t>Las actuaciones llevadas a cabo en los ejercicios 2023 y 2024, por importe conjunto de 52.313.442,73 euros, se han dirigido hacia la ejecución de obras, la digitalización del transporte público colectivo y la promoción y difusión del transporte público colectivo, además de otras actuaciones como el mantenimiento integral de los puntos o postes de información al viajero alimentados por energía solar o el suministro de tarjetas inteligentes sin contacto. La relación de estas actuaciones se detalla en el </w:t>
      </w:r>
      <w:hyperlink w:history="true" w:anchor="_bookmark142">
        <w:r>
          <w:rPr/>
          <w:t>Anexo IX.</w:t>
        </w:r>
      </w:hyperlink>
    </w:p>
    <w:p>
      <w:pPr>
        <w:pStyle w:val="BodyText"/>
        <w:spacing w:before="241"/>
        <w:ind w:left="992" w:right="987"/>
        <w:jc w:val="both"/>
      </w:pPr>
      <w:r>
        <w:rPr/>
        <w:t>El</w:t>
      </w:r>
      <w:r>
        <w:rPr>
          <w:spacing w:val="-10"/>
        </w:rPr>
        <w:t> </w:t>
      </w:r>
      <w:r>
        <w:rPr/>
        <w:t>mayor</w:t>
      </w:r>
      <w:r>
        <w:rPr>
          <w:spacing w:val="-10"/>
        </w:rPr>
        <w:t> </w:t>
      </w:r>
      <w:r>
        <w:rPr/>
        <w:t>importe</w:t>
      </w:r>
      <w:r>
        <w:rPr>
          <w:spacing w:val="-11"/>
        </w:rPr>
        <w:t> </w:t>
      </w:r>
      <w:r>
        <w:rPr/>
        <w:t>de</w:t>
      </w:r>
      <w:r>
        <w:rPr>
          <w:spacing w:val="-9"/>
        </w:rPr>
        <w:t> </w:t>
      </w:r>
      <w:r>
        <w:rPr/>
        <w:t>las</w:t>
      </w:r>
      <w:r>
        <w:rPr>
          <w:spacing w:val="-14"/>
        </w:rPr>
        <w:t> </w:t>
      </w:r>
      <w:r>
        <w:rPr/>
        <w:t>actuaciones</w:t>
      </w:r>
      <w:r>
        <w:rPr>
          <w:spacing w:val="-11"/>
        </w:rPr>
        <w:t> </w:t>
      </w:r>
      <w:r>
        <w:rPr/>
        <w:t>realizadas</w:t>
      </w:r>
      <w:r>
        <w:rPr>
          <w:spacing w:val="-9"/>
        </w:rPr>
        <w:t> </w:t>
      </w:r>
      <w:r>
        <w:rPr/>
        <w:t>en</w:t>
      </w:r>
      <w:r>
        <w:rPr>
          <w:spacing w:val="-9"/>
        </w:rPr>
        <w:t> </w:t>
      </w:r>
      <w:r>
        <w:rPr/>
        <w:t>los</w:t>
      </w:r>
      <w:r>
        <w:rPr>
          <w:spacing w:val="-9"/>
        </w:rPr>
        <w:t> </w:t>
      </w:r>
      <w:r>
        <w:rPr/>
        <w:t>ejercicios</w:t>
      </w:r>
      <w:r>
        <w:rPr>
          <w:spacing w:val="-11"/>
        </w:rPr>
        <w:t> </w:t>
      </w:r>
      <w:r>
        <w:rPr/>
        <w:t>fiscalizados,</w:t>
      </w:r>
      <w:r>
        <w:rPr>
          <w:spacing w:val="-8"/>
        </w:rPr>
        <w:t> </w:t>
      </w:r>
      <w:r>
        <w:rPr/>
        <w:t>el</w:t>
      </w:r>
      <w:r>
        <w:rPr>
          <w:spacing w:val="-6"/>
        </w:rPr>
        <w:t> </w:t>
      </w:r>
      <w:r>
        <w:rPr/>
        <w:t>66,06</w:t>
      </w:r>
      <w:r>
        <w:rPr>
          <w:spacing w:val="-11"/>
        </w:rPr>
        <w:t> </w:t>
      </w:r>
      <w:r>
        <w:rPr/>
        <w:t>%</w:t>
      </w:r>
      <w:r>
        <w:rPr>
          <w:spacing w:val="-10"/>
        </w:rPr>
        <w:t> </w:t>
      </w:r>
      <w:r>
        <w:rPr/>
        <w:t>del</w:t>
      </w:r>
      <w:r>
        <w:rPr>
          <w:spacing w:val="-10"/>
        </w:rPr>
        <w:t> </w:t>
      </w:r>
      <w:r>
        <w:rPr/>
        <w:t>importe total</w:t>
      </w:r>
      <w:r>
        <w:rPr>
          <w:spacing w:val="-16"/>
        </w:rPr>
        <w:t> </w:t>
      </w:r>
      <w:r>
        <w:rPr/>
        <w:t>de</w:t>
      </w:r>
      <w:r>
        <w:rPr>
          <w:spacing w:val="-15"/>
        </w:rPr>
        <w:t> </w:t>
      </w:r>
      <w:r>
        <w:rPr/>
        <w:t>las</w:t>
      </w:r>
      <w:r>
        <w:rPr>
          <w:spacing w:val="-15"/>
        </w:rPr>
        <w:t> </w:t>
      </w:r>
      <w:r>
        <w:rPr/>
        <w:t>actuaciones</w:t>
      </w:r>
      <w:r>
        <w:rPr>
          <w:spacing w:val="-16"/>
        </w:rPr>
        <w:t> </w:t>
      </w:r>
      <w:r>
        <w:rPr/>
        <w:t>examinadas,</w:t>
      </w:r>
      <w:r>
        <w:rPr>
          <w:spacing w:val="-15"/>
        </w:rPr>
        <w:t> </w:t>
      </w:r>
      <w:r>
        <w:rPr/>
        <w:t>corresponde</w:t>
      </w:r>
      <w:r>
        <w:rPr>
          <w:spacing w:val="-15"/>
        </w:rPr>
        <w:t> </w:t>
      </w:r>
      <w:r>
        <w:rPr/>
        <w:t>a</w:t>
      </w:r>
      <w:r>
        <w:rPr>
          <w:spacing w:val="-15"/>
        </w:rPr>
        <w:t> </w:t>
      </w:r>
      <w:r>
        <w:rPr/>
        <w:t>obras</w:t>
      </w:r>
      <w:r>
        <w:rPr>
          <w:spacing w:val="-16"/>
        </w:rPr>
        <w:t> </w:t>
      </w:r>
      <w:r>
        <w:rPr/>
        <w:t>relacionadas</w:t>
      </w:r>
      <w:r>
        <w:rPr>
          <w:spacing w:val="-15"/>
        </w:rPr>
        <w:t> </w:t>
      </w:r>
      <w:r>
        <w:rPr/>
        <w:t>con</w:t>
      </w:r>
      <w:r>
        <w:rPr>
          <w:spacing w:val="-15"/>
        </w:rPr>
        <w:t> </w:t>
      </w:r>
      <w:r>
        <w:rPr/>
        <w:t>el</w:t>
      </w:r>
      <w:r>
        <w:rPr>
          <w:spacing w:val="-16"/>
        </w:rPr>
        <w:t> </w:t>
      </w:r>
      <w:r>
        <w:rPr/>
        <w:t>proyecto</w:t>
      </w:r>
      <w:r>
        <w:rPr>
          <w:spacing w:val="-15"/>
        </w:rPr>
        <w:t> </w:t>
      </w:r>
      <w:r>
        <w:rPr/>
        <w:t>denominado MetroGuagua,</w:t>
      </w:r>
      <w:r>
        <w:rPr>
          <w:spacing w:val="-8"/>
        </w:rPr>
        <w:t> </w:t>
      </w:r>
      <w:r>
        <w:rPr/>
        <w:t>sistema</w:t>
      </w:r>
      <w:r>
        <w:rPr>
          <w:spacing w:val="-8"/>
        </w:rPr>
        <w:t> </w:t>
      </w:r>
      <w:r>
        <w:rPr/>
        <w:t>de</w:t>
      </w:r>
      <w:r>
        <w:rPr>
          <w:spacing w:val="-9"/>
        </w:rPr>
        <w:t> </w:t>
      </w:r>
      <w:r>
        <w:rPr/>
        <w:t>transporte</w:t>
      </w:r>
      <w:r>
        <w:rPr>
          <w:spacing w:val="-9"/>
        </w:rPr>
        <w:t> </w:t>
      </w:r>
      <w:r>
        <w:rPr/>
        <w:t>de</w:t>
      </w:r>
      <w:r>
        <w:rPr>
          <w:spacing w:val="-9"/>
        </w:rPr>
        <w:t> </w:t>
      </w:r>
      <w:r>
        <w:rPr/>
        <w:t>alta</w:t>
      </w:r>
      <w:r>
        <w:rPr>
          <w:spacing w:val="-9"/>
        </w:rPr>
        <w:t> </w:t>
      </w:r>
      <w:r>
        <w:rPr/>
        <w:t>capacidad</w:t>
      </w:r>
      <w:r>
        <w:rPr>
          <w:spacing w:val="-9"/>
        </w:rPr>
        <w:t> </w:t>
      </w:r>
      <w:r>
        <w:rPr/>
        <w:t>mediante</w:t>
      </w:r>
      <w:r>
        <w:rPr>
          <w:spacing w:val="-9"/>
        </w:rPr>
        <w:t> </w:t>
      </w:r>
      <w:r>
        <w:rPr/>
        <w:t>guaguas</w:t>
      </w:r>
      <w:r>
        <w:rPr>
          <w:spacing w:val="-8"/>
        </w:rPr>
        <w:t> </w:t>
      </w:r>
      <w:r>
        <w:rPr/>
        <w:t>articuladas,</w:t>
      </w:r>
      <w:r>
        <w:rPr>
          <w:spacing w:val="-8"/>
        </w:rPr>
        <w:t> </w:t>
      </w:r>
      <w:r>
        <w:rPr/>
        <w:t>que</w:t>
      </w:r>
      <w:r>
        <w:rPr>
          <w:spacing w:val="-9"/>
        </w:rPr>
        <w:t> </w:t>
      </w:r>
      <w:r>
        <w:rPr/>
        <w:t>se</w:t>
      </w:r>
      <w:r>
        <w:rPr>
          <w:spacing w:val="-9"/>
        </w:rPr>
        <w:t> </w:t>
      </w:r>
      <w:r>
        <w:rPr/>
        <w:t>inició en 2017 y que debía concluir en 2021, pero que no ha finalizado en las fechas previstas debido 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95"/>
        <w:jc w:val="both"/>
      </w:pPr>
      <w:r>
        <w:rPr/>
        <w:t>incidencias en la ejecución de las obras, siendo la última fecha prevista de finalización el segundo trimestre de 2028.</w:t>
      </w:r>
    </w:p>
    <w:p>
      <w:pPr>
        <w:pStyle w:val="BodyText"/>
        <w:spacing w:before="240"/>
        <w:ind w:left="992" w:right="987"/>
        <w:jc w:val="both"/>
      </w:pPr>
      <w:r>
        <w:rPr/>
        <w:t>Las actuaciones de digitalización las ha acometido, fundamentalmente, contando con ayudas del PRTR, en agrupación con otros tres ayuntamientos, los de Donostia/San Sebastián, Málaga y Palma,</w:t>
      </w:r>
      <w:r>
        <w:rPr>
          <w:spacing w:val="-4"/>
        </w:rPr>
        <w:t> </w:t>
      </w:r>
      <w:r>
        <w:rPr/>
        <w:t>para</w:t>
      </w:r>
      <w:r>
        <w:rPr>
          <w:spacing w:val="-7"/>
        </w:rPr>
        <w:t> </w:t>
      </w:r>
      <w:r>
        <w:rPr/>
        <w:t>el</w:t>
      </w:r>
      <w:r>
        <w:rPr>
          <w:spacing w:val="-6"/>
        </w:rPr>
        <w:t> </w:t>
      </w:r>
      <w:r>
        <w:rPr/>
        <w:t>desarrollo</w:t>
      </w:r>
      <w:r>
        <w:rPr>
          <w:spacing w:val="-5"/>
        </w:rPr>
        <w:t> </w:t>
      </w:r>
      <w:r>
        <w:rPr/>
        <w:t>del</w:t>
      </w:r>
      <w:r>
        <w:rPr>
          <w:spacing w:val="-6"/>
        </w:rPr>
        <w:t> </w:t>
      </w:r>
      <w:r>
        <w:rPr/>
        <w:t>proyecto</w:t>
      </w:r>
      <w:r>
        <w:rPr>
          <w:spacing w:val="-4"/>
        </w:rPr>
        <w:t> </w:t>
      </w:r>
      <w:r>
        <w:rPr/>
        <w:t>INNOBUS-TUR:</w:t>
      </w:r>
      <w:r>
        <w:rPr>
          <w:spacing w:val="-4"/>
        </w:rPr>
        <w:t> </w:t>
      </w:r>
      <w:r>
        <w:rPr/>
        <w:t>digitalización</w:t>
      </w:r>
      <w:r>
        <w:rPr>
          <w:spacing w:val="-5"/>
        </w:rPr>
        <w:t> </w:t>
      </w:r>
      <w:r>
        <w:rPr/>
        <w:t>de</w:t>
      </w:r>
      <w:r>
        <w:rPr>
          <w:spacing w:val="-5"/>
        </w:rPr>
        <w:t> </w:t>
      </w:r>
      <w:r>
        <w:rPr/>
        <w:t>modos</w:t>
      </w:r>
      <w:r>
        <w:rPr>
          <w:spacing w:val="-5"/>
        </w:rPr>
        <w:t> </w:t>
      </w:r>
      <w:r>
        <w:rPr/>
        <w:t>de</w:t>
      </w:r>
      <w:r>
        <w:rPr>
          <w:spacing w:val="-5"/>
        </w:rPr>
        <w:t> </w:t>
      </w:r>
      <w:r>
        <w:rPr/>
        <w:t>pagos,</w:t>
      </w:r>
      <w:r>
        <w:rPr>
          <w:spacing w:val="-4"/>
        </w:rPr>
        <w:t> </w:t>
      </w:r>
      <w:r>
        <w:rPr/>
        <w:t>sistemas de</w:t>
      </w:r>
      <w:r>
        <w:rPr>
          <w:spacing w:val="-16"/>
        </w:rPr>
        <w:t> </w:t>
      </w:r>
      <w:r>
        <w:rPr/>
        <w:t>información</w:t>
      </w:r>
      <w:r>
        <w:rPr>
          <w:spacing w:val="-15"/>
        </w:rPr>
        <w:t> </w:t>
      </w:r>
      <w:r>
        <w:rPr/>
        <w:t>y</w:t>
      </w:r>
      <w:r>
        <w:rPr>
          <w:spacing w:val="-15"/>
        </w:rPr>
        <w:t> </w:t>
      </w:r>
      <w:r>
        <w:rPr/>
        <w:t>comunicación</w:t>
      </w:r>
      <w:r>
        <w:rPr>
          <w:spacing w:val="-16"/>
        </w:rPr>
        <w:t> </w:t>
      </w:r>
      <w:r>
        <w:rPr/>
        <w:t>y</w:t>
      </w:r>
      <w:r>
        <w:rPr>
          <w:spacing w:val="-15"/>
        </w:rPr>
        <w:t> </w:t>
      </w:r>
      <w:r>
        <w:rPr/>
        <w:t>paradas</w:t>
      </w:r>
      <w:r>
        <w:rPr>
          <w:spacing w:val="-15"/>
        </w:rPr>
        <w:t> </w:t>
      </w:r>
      <w:r>
        <w:rPr/>
        <w:t>y</w:t>
      </w:r>
      <w:r>
        <w:rPr>
          <w:spacing w:val="-15"/>
        </w:rPr>
        <w:t> </w:t>
      </w:r>
      <w:r>
        <w:rPr/>
        <w:t>marquesinas</w:t>
      </w:r>
      <w:r>
        <w:rPr>
          <w:spacing w:val="-16"/>
        </w:rPr>
        <w:t> </w:t>
      </w:r>
      <w:r>
        <w:rPr/>
        <w:t>inteligentes,</w:t>
      </w:r>
      <w:r>
        <w:rPr>
          <w:spacing w:val="-15"/>
        </w:rPr>
        <w:t> </w:t>
      </w:r>
      <w:r>
        <w:rPr/>
        <w:t>entre</w:t>
      </w:r>
      <w:r>
        <w:rPr>
          <w:spacing w:val="-15"/>
        </w:rPr>
        <w:t> </w:t>
      </w:r>
      <w:r>
        <w:rPr/>
        <w:t>otras,</w:t>
      </w:r>
      <w:r>
        <w:rPr>
          <w:spacing w:val="-16"/>
        </w:rPr>
        <w:t> </w:t>
      </w:r>
      <w:r>
        <w:rPr/>
        <w:t>como</w:t>
      </w:r>
      <w:r>
        <w:rPr>
          <w:spacing w:val="-15"/>
        </w:rPr>
        <w:t> </w:t>
      </w:r>
      <w:r>
        <w:rPr/>
        <w:t>se</w:t>
      </w:r>
      <w:r>
        <w:rPr>
          <w:spacing w:val="-15"/>
        </w:rPr>
        <w:t> </w:t>
      </w:r>
      <w:r>
        <w:rPr/>
        <w:t>expondrá en</w:t>
      </w:r>
      <w:r>
        <w:rPr>
          <w:spacing w:val="-1"/>
        </w:rPr>
        <w:t> </w:t>
      </w:r>
      <w:r>
        <w:rPr/>
        <w:t>el</w:t>
      </w:r>
      <w:r>
        <w:rPr>
          <w:spacing w:val="-2"/>
        </w:rPr>
        <w:t> </w:t>
      </w:r>
      <w:r>
        <w:rPr/>
        <w:t>Subepígrafe</w:t>
      </w:r>
      <w:r>
        <w:rPr>
          <w:spacing w:val="-3"/>
        </w:rPr>
        <w:t> </w:t>
      </w:r>
      <w:r>
        <w:rPr/>
        <w:t>II.3.2.3. Solo</w:t>
      </w:r>
      <w:r>
        <w:rPr>
          <w:spacing w:val="-1"/>
        </w:rPr>
        <w:t> </w:t>
      </w:r>
      <w:r>
        <w:rPr/>
        <w:t>alguna</w:t>
      </w:r>
      <w:r>
        <w:rPr>
          <w:spacing w:val="-1"/>
        </w:rPr>
        <w:t> </w:t>
      </w:r>
      <w:r>
        <w:rPr/>
        <w:t>actuación</w:t>
      </w:r>
      <w:r>
        <w:rPr>
          <w:spacing w:val="-3"/>
        </w:rPr>
        <w:t> </w:t>
      </w:r>
      <w:r>
        <w:rPr/>
        <w:t>de</w:t>
      </w:r>
      <w:r>
        <w:rPr>
          <w:spacing w:val="-1"/>
        </w:rPr>
        <w:t> </w:t>
      </w:r>
      <w:r>
        <w:rPr/>
        <w:t>mantenimiento</w:t>
      </w:r>
      <w:r>
        <w:rPr>
          <w:spacing w:val="-1"/>
        </w:rPr>
        <w:t> </w:t>
      </w:r>
      <w:r>
        <w:rPr/>
        <w:t>de</w:t>
      </w:r>
      <w:r>
        <w:rPr>
          <w:spacing w:val="-3"/>
        </w:rPr>
        <w:t> </w:t>
      </w:r>
      <w:r>
        <w:rPr/>
        <w:t>software</w:t>
      </w:r>
      <w:r>
        <w:rPr>
          <w:spacing w:val="-3"/>
        </w:rPr>
        <w:t> </w:t>
      </w:r>
      <w:r>
        <w:rPr/>
        <w:t>la</w:t>
      </w:r>
      <w:r>
        <w:rPr>
          <w:spacing w:val="-1"/>
        </w:rPr>
        <w:t> </w:t>
      </w:r>
      <w:r>
        <w:rPr/>
        <w:t>ha</w:t>
      </w:r>
      <w:r>
        <w:rPr>
          <w:spacing w:val="-1"/>
        </w:rPr>
        <w:t> </w:t>
      </w:r>
      <w:r>
        <w:rPr/>
        <w:t>ejecutado</w:t>
      </w:r>
      <w:r>
        <w:rPr>
          <w:spacing w:val="-1"/>
        </w:rPr>
        <w:t> </w:t>
      </w:r>
      <w:r>
        <w:rPr/>
        <w:t>de forma individual y exclusivamente con fondos propios.</w:t>
      </w:r>
    </w:p>
    <w:p>
      <w:pPr>
        <w:pStyle w:val="BodyText"/>
        <w:spacing w:before="242"/>
        <w:ind w:left="992" w:right="988"/>
        <w:jc w:val="both"/>
      </w:pPr>
      <w:r>
        <w:rPr/>
        <w:t>Asimismo,</w:t>
      </w:r>
      <w:r>
        <w:rPr>
          <w:spacing w:val="-3"/>
        </w:rPr>
        <w:t> </w:t>
      </w:r>
      <w:r>
        <w:rPr/>
        <w:t>en</w:t>
      </w:r>
      <w:r>
        <w:rPr>
          <w:spacing w:val="-4"/>
        </w:rPr>
        <w:t> </w:t>
      </w:r>
      <w:r>
        <w:rPr/>
        <w:t>esos</w:t>
      </w:r>
      <w:r>
        <w:rPr>
          <w:spacing w:val="-4"/>
        </w:rPr>
        <w:t> </w:t>
      </w:r>
      <w:r>
        <w:rPr/>
        <w:t>ejercicios</w:t>
      </w:r>
      <w:r>
        <w:rPr>
          <w:spacing w:val="-4"/>
        </w:rPr>
        <w:t> </w:t>
      </w:r>
      <w:r>
        <w:rPr/>
        <w:t>ha</w:t>
      </w:r>
      <w:r>
        <w:rPr>
          <w:spacing w:val="-4"/>
        </w:rPr>
        <w:t> </w:t>
      </w:r>
      <w:r>
        <w:rPr/>
        <w:t>adquirido</w:t>
      </w:r>
      <w:r>
        <w:rPr>
          <w:spacing w:val="-3"/>
        </w:rPr>
        <w:t> </w:t>
      </w:r>
      <w:r>
        <w:rPr/>
        <w:t>catorce</w:t>
      </w:r>
      <w:r>
        <w:rPr>
          <w:spacing w:val="-6"/>
        </w:rPr>
        <w:t> </w:t>
      </w:r>
      <w:r>
        <w:rPr/>
        <w:t>autobuses</w:t>
      </w:r>
      <w:r>
        <w:rPr>
          <w:spacing w:val="-4"/>
        </w:rPr>
        <w:t> </w:t>
      </w:r>
      <w:r>
        <w:rPr/>
        <w:t>eléctricos</w:t>
      </w:r>
      <w:r>
        <w:rPr>
          <w:spacing w:val="-6"/>
        </w:rPr>
        <w:t> </w:t>
      </w:r>
      <w:r>
        <w:rPr/>
        <w:t>y</w:t>
      </w:r>
      <w:r>
        <w:rPr>
          <w:spacing w:val="-4"/>
        </w:rPr>
        <w:t> </w:t>
      </w:r>
      <w:r>
        <w:rPr/>
        <w:t>uno</w:t>
      </w:r>
      <w:r>
        <w:rPr>
          <w:spacing w:val="-4"/>
        </w:rPr>
        <w:t> </w:t>
      </w:r>
      <w:r>
        <w:rPr/>
        <w:t>de</w:t>
      </w:r>
      <w:r>
        <w:rPr>
          <w:spacing w:val="-4"/>
        </w:rPr>
        <w:t> </w:t>
      </w:r>
      <w:r>
        <w:rPr/>
        <w:t>pila</w:t>
      </w:r>
      <w:r>
        <w:rPr>
          <w:spacing w:val="-4"/>
        </w:rPr>
        <w:t> </w:t>
      </w:r>
      <w:r>
        <w:rPr/>
        <w:t>de</w:t>
      </w:r>
      <w:r>
        <w:rPr>
          <w:spacing w:val="-4"/>
        </w:rPr>
        <w:t> </w:t>
      </w:r>
      <w:r>
        <w:rPr/>
        <w:t>hidrógeno, además de instalar puntos de recarga para los primeros.</w:t>
      </w:r>
    </w:p>
    <w:p>
      <w:pPr>
        <w:pStyle w:val="BodyText"/>
        <w:spacing w:before="105"/>
      </w:pPr>
    </w:p>
    <w:p>
      <w:pPr>
        <w:pStyle w:val="ListParagraph"/>
        <w:numPr>
          <w:ilvl w:val="3"/>
          <w:numId w:val="3"/>
        </w:numPr>
        <w:tabs>
          <w:tab w:pos="1779" w:val="left" w:leader="none"/>
        </w:tabs>
        <w:spacing w:line="240" w:lineRule="auto" w:before="0" w:after="0"/>
        <w:ind w:left="1779" w:right="0" w:hanging="787"/>
        <w:jc w:val="left"/>
        <w:rPr>
          <w:sz w:val="22"/>
        </w:rPr>
      </w:pPr>
      <w:r>
        <w:rPr>
          <w:sz w:val="22"/>
        </w:rPr>
        <w:t>AYUNTAMIENTO</w:t>
      </w:r>
      <w:r>
        <w:rPr>
          <w:spacing w:val="-6"/>
          <w:sz w:val="22"/>
        </w:rPr>
        <w:t> </w:t>
      </w:r>
      <w:r>
        <w:rPr>
          <w:sz w:val="22"/>
        </w:rPr>
        <w:t>DE</w:t>
      </w:r>
      <w:r>
        <w:rPr>
          <w:spacing w:val="-8"/>
          <w:sz w:val="22"/>
        </w:rPr>
        <w:t> </w:t>
      </w:r>
      <w:r>
        <w:rPr>
          <w:spacing w:val="-2"/>
          <w:sz w:val="22"/>
        </w:rPr>
        <w:t>MÁLAGA</w:t>
      </w:r>
    </w:p>
    <w:p>
      <w:pPr>
        <w:pStyle w:val="BodyText"/>
        <w:spacing w:before="242"/>
        <w:ind w:left="992" w:right="988"/>
        <w:jc w:val="both"/>
      </w:pPr>
      <w:r>
        <w:rPr/>
        <w:t>El transporte público colectivo urbano en Málaga se presta a través de una empresa municipal de transportes adscrita al </w:t>
      </w:r>
      <w:r>
        <w:rPr>
          <w:b/>
        </w:rPr>
        <w:t>Ayuntamiento de Málaga</w:t>
      </w:r>
      <w:r>
        <w:rPr/>
        <w:t>. En 2022 había una flota de 249 autobuses, 37 de ellos híbridos y ninguno eléctrico. Todos los vehículos estaban adaptados a personas con movilidad reducida y con discapacidad visual y auditiva.</w:t>
      </w:r>
    </w:p>
    <w:p>
      <w:pPr>
        <w:pStyle w:val="BodyText"/>
        <w:spacing w:before="238"/>
        <w:ind w:left="992" w:right="987"/>
        <w:jc w:val="both"/>
      </w:pPr>
      <w:r>
        <w:rPr/>
        <w:t>En ese año había 49 líneas de autobús con 921 km y 1.108 paradas, 563 de ellas, el 50,81</w:t>
      </w:r>
      <w:r>
        <w:rPr>
          <w:spacing w:val="-2"/>
        </w:rPr>
        <w:t> </w:t>
      </w:r>
      <w:r>
        <w:rPr/>
        <w:t>%, cumplía</w:t>
      </w:r>
      <w:r>
        <w:rPr>
          <w:spacing w:val="-9"/>
        </w:rPr>
        <w:t> </w:t>
      </w:r>
      <w:r>
        <w:rPr/>
        <w:t>en</w:t>
      </w:r>
      <w:r>
        <w:rPr>
          <w:spacing w:val="-7"/>
        </w:rPr>
        <w:t> </w:t>
      </w:r>
      <w:r>
        <w:rPr/>
        <w:t>su</w:t>
      </w:r>
      <w:r>
        <w:rPr>
          <w:spacing w:val="-9"/>
        </w:rPr>
        <w:t> </w:t>
      </w:r>
      <w:r>
        <w:rPr/>
        <w:t>totalidad</w:t>
      </w:r>
      <w:r>
        <w:rPr>
          <w:spacing w:val="-6"/>
        </w:rPr>
        <w:t> </w:t>
      </w:r>
      <w:r>
        <w:rPr/>
        <w:t>el</w:t>
      </w:r>
      <w:r>
        <w:rPr>
          <w:spacing w:val="-7"/>
        </w:rPr>
        <w:t> </w:t>
      </w:r>
      <w:r>
        <w:rPr/>
        <w:t>artículo</w:t>
      </w:r>
      <w:r>
        <w:rPr>
          <w:spacing w:val="-6"/>
        </w:rPr>
        <w:t> </w:t>
      </w:r>
      <w:r>
        <w:rPr/>
        <w:t>6</w:t>
      </w:r>
      <w:r>
        <w:rPr>
          <w:spacing w:val="-9"/>
        </w:rPr>
        <w:t> </w:t>
      </w:r>
      <w:r>
        <w:rPr/>
        <w:t>del</w:t>
      </w:r>
      <w:r>
        <w:rPr>
          <w:spacing w:val="-6"/>
        </w:rPr>
        <w:t> </w:t>
      </w:r>
      <w:r>
        <w:rPr/>
        <w:t>Real</w:t>
      </w:r>
      <w:r>
        <w:rPr>
          <w:spacing w:val="-7"/>
        </w:rPr>
        <w:t> </w:t>
      </w:r>
      <w:r>
        <w:rPr/>
        <w:t>Decreto</w:t>
      </w:r>
      <w:r>
        <w:rPr>
          <w:spacing w:val="-5"/>
        </w:rPr>
        <w:t> </w:t>
      </w:r>
      <w:r>
        <w:rPr/>
        <w:t>1544/2007,</w:t>
      </w:r>
      <w:r>
        <w:rPr>
          <w:spacing w:val="-7"/>
        </w:rPr>
        <w:t> </w:t>
      </w:r>
      <w:r>
        <w:rPr/>
        <w:t>de</w:t>
      </w:r>
      <w:r>
        <w:rPr>
          <w:spacing w:val="-7"/>
        </w:rPr>
        <w:t> </w:t>
      </w:r>
      <w:r>
        <w:rPr/>
        <w:t>23</w:t>
      </w:r>
      <w:r>
        <w:rPr>
          <w:spacing w:val="-9"/>
        </w:rPr>
        <w:t> </w:t>
      </w:r>
      <w:r>
        <w:rPr/>
        <w:t>de</w:t>
      </w:r>
      <w:r>
        <w:rPr>
          <w:spacing w:val="-9"/>
        </w:rPr>
        <w:t> </w:t>
      </w:r>
      <w:r>
        <w:rPr/>
        <w:t>noviembre,</w:t>
      </w:r>
      <w:r>
        <w:rPr>
          <w:spacing w:val="-5"/>
        </w:rPr>
        <w:t> </w:t>
      </w:r>
      <w:r>
        <w:rPr/>
        <w:t>por</w:t>
      </w:r>
      <w:r>
        <w:rPr>
          <w:spacing w:val="-5"/>
        </w:rPr>
        <w:t> </w:t>
      </w:r>
      <w:r>
        <w:rPr/>
        <w:t>el</w:t>
      </w:r>
      <w:r>
        <w:rPr>
          <w:spacing w:val="-7"/>
        </w:rPr>
        <w:t> </w:t>
      </w:r>
      <w:r>
        <w:rPr/>
        <w:t>que</w:t>
      </w:r>
      <w:r>
        <w:rPr>
          <w:spacing w:val="-9"/>
        </w:rPr>
        <w:t> </w:t>
      </w:r>
      <w:r>
        <w:rPr/>
        <w:t>se regulan</w:t>
      </w:r>
      <w:r>
        <w:rPr>
          <w:spacing w:val="-4"/>
        </w:rPr>
        <w:t> </w:t>
      </w:r>
      <w:r>
        <w:rPr/>
        <w:t>las</w:t>
      </w:r>
      <w:r>
        <w:rPr>
          <w:spacing w:val="-4"/>
        </w:rPr>
        <w:t> </w:t>
      </w:r>
      <w:r>
        <w:rPr/>
        <w:t>condiciones</w:t>
      </w:r>
      <w:r>
        <w:rPr>
          <w:spacing w:val="-4"/>
        </w:rPr>
        <w:t> </w:t>
      </w:r>
      <w:r>
        <w:rPr/>
        <w:t>básicas</w:t>
      </w:r>
      <w:r>
        <w:rPr>
          <w:spacing w:val="-4"/>
        </w:rPr>
        <w:t> </w:t>
      </w:r>
      <w:r>
        <w:rPr/>
        <w:t>de</w:t>
      </w:r>
      <w:r>
        <w:rPr>
          <w:spacing w:val="-4"/>
        </w:rPr>
        <w:t> </w:t>
      </w:r>
      <w:r>
        <w:rPr/>
        <w:t>accesibilidad</w:t>
      </w:r>
      <w:r>
        <w:rPr>
          <w:spacing w:val="-4"/>
        </w:rPr>
        <w:t> </w:t>
      </w:r>
      <w:r>
        <w:rPr/>
        <w:t>y</w:t>
      </w:r>
      <w:r>
        <w:rPr>
          <w:spacing w:val="-4"/>
        </w:rPr>
        <w:t> </w:t>
      </w:r>
      <w:r>
        <w:rPr/>
        <w:t>no</w:t>
      </w:r>
      <w:r>
        <w:rPr>
          <w:spacing w:val="-4"/>
        </w:rPr>
        <w:t> </w:t>
      </w:r>
      <w:r>
        <w:rPr/>
        <w:t>discriminación</w:t>
      </w:r>
      <w:r>
        <w:rPr>
          <w:spacing w:val="-4"/>
        </w:rPr>
        <w:t> </w:t>
      </w:r>
      <w:r>
        <w:rPr/>
        <w:t>para</w:t>
      </w:r>
      <w:r>
        <w:rPr>
          <w:spacing w:val="-6"/>
        </w:rPr>
        <w:t> </w:t>
      </w:r>
      <w:r>
        <w:rPr/>
        <w:t>el</w:t>
      </w:r>
      <w:r>
        <w:rPr>
          <w:spacing w:val="-5"/>
        </w:rPr>
        <w:t> </w:t>
      </w:r>
      <w:r>
        <w:rPr/>
        <w:t>acceso</w:t>
      </w:r>
      <w:r>
        <w:rPr>
          <w:spacing w:val="-4"/>
        </w:rPr>
        <w:t> </w:t>
      </w:r>
      <w:r>
        <w:rPr/>
        <w:t>y</w:t>
      </w:r>
      <w:r>
        <w:rPr>
          <w:spacing w:val="-4"/>
        </w:rPr>
        <w:t> </w:t>
      </w:r>
      <w:r>
        <w:rPr/>
        <w:t>utilización</w:t>
      </w:r>
      <w:r>
        <w:rPr>
          <w:spacing w:val="-4"/>
        </w:rPr>
        <w:t> </w:t>
      </w:r>
      <w:r>
        <w:rPr/>
        <w:t>de los modos de transporte para personas con discapacidad.</w:t>
      </w:r>
    </w:p>
    <w:p>
      <w:pPr>
        <w:pStyle w:val="BodyText"/>
        <w:spacing w:before="242"/>
        <w:ind w:left="992" w:right="990"/>
        <w:jc w:val="both"/>
      </w:pPr>
      <w:r>
        <w:rPr/>
        <w:t>Existía</w:t>
      </w:r>
      <w:r>
        <w:rPr>
          <w:spacing w:val="-9"/>
        </w:rPr>
        <w:t> </w:t>
      </w:r>
      <w:r>
        <w:rPr/>
        <w:t>integración</w:t>
      </w:r>
      <w:r>
        <w:rPr>
          <w:spacing w:val="-9"/>
        </w:rPr>
        <w:t> </w:t>
      </w:r>
      <w:r>
        <w:rPr/>
        <w:t>tarifaria,</w:t>
      </w:r>
      <w:r>
        <w:rPr>
          <w:spacing w:val="-8"/>
        </w:rPr>
        <w:t> </w:t>
      </w:r>
      <w:r>
        <w:rPr/>
        <w:t>mediante</w:t>
      </w:r>
      <w:r>
        <w:rPr>
          <w:spacing w:val="-9"/>
        </w:rPr>
        <w:t> </w:t>
      </w:r>
      <w:r>
        <w:rPr/>
        <w:t>la</w:t>
      </w:r>
      <w:r>
        <w:rPr>
          <w:spacing w:val="-11"/>
        </w:rPr>
        <w:t> </w:t>
      </w:r>
      <w:r>
        <w:rPr/>
        <w:t>tarjeta</w:t>
      </w:r>
      <w:r>
        <w:rPr>
          <w:spacing w:val="-9"/>
        </w:rPr>
        <w:t> </w:t>
      </w:r>
      <w:r>
        <w:rPr/>
        <w:t>transbordos</w:t>
      </w:r>
      <w:r>
        <w:rPr>
          <w:spacing w:val="-11"/>
        </w:rPr>
        <w:t> </w:t>
      </w:r>
      <w:r>
        <w:rPr/>
        <w:t>multiviajes</w:t>
      </w:r>
      <w:r>
        <w:rPr>
          <w:spacing w:val="-6"/>
        </w:rPr>
        <w:t> </w:t>
      </w:r>
      <w:r>
        <w:rPr/>
        <w:t>con</w:t>
      </w:r>
      <w:r>
        <w:rPr>
          <w:spacing w:val="-12"/>
        </w:rPr>
        <w:t> </w:t>
      </w:r>
      <w:r>
        <w:rPr/>
        <w:t>la</w:t>
      </w:r>
      <w:r>
        <w:rPr>
          <w:spacing w:val="-9"/>
        </w:rPr>
        <w:t> </w:t>
      </w:r>
      <w:r>
        <w:rPr/>
        <w:t>que</w:t>
      </w:r>
      <w:r>
        <w:rPr>
          <w:spacing w:val="-9"/>
        </w:rPr>
        <w:t> </w:t>
      </w:r>
      <w:r>
        <w:rPr/>
        <w:t>se</w:t>
      </w:r>
      <w:r>
        <w:rPr>
          <w:spacing w:val="-9"/>
        </w:rPr>
        <w:t> </w:t>
      </w:r>
      <w:r>
        <w:rPr/>
        <w:t>podían</w:t>
      </w:r>
      <w:r>
        <w:rPr>
          <w:spacing w:val="-11"/>
        </w:rPr>
        <w:t> </w:t>
      </w:r>
      <w:r>
        <w:rPr/>
        <w:t>realizar diferentes etapas en un mismo viaje de forma gratuita.</w:t>
      </w:r>
    </w:p>
    <w:p>
      <w:pPr>
        <w:pStyle w:val="BodyText"/>
        <w:spacing w:before="240"/>
        <w:ind w:left="992" w:right="987"/>
        <w:jc w:val="both"/>
      </w:pPr>
      <w:r>
        <w:rPr/>
        <w:t>A diciembre de 2022, había luminarias LED en el taller, en los aparcamientos de cocheras y en la estación de autobuses. También contaba con placas solares para el calentamiento del agua del vestuario de</w:t>
      </w:r>
      <w:r>
        <w:rPr>
          <w:spacing w:val="-1"/>
        </w:rPr>
        <w:t> </w:t>
      </w:r>
      <w:r>
        <w:rPr/>
        <w:t>taller y parte de la flota de</w:t>
      </w:r>
      <w:r>
        <w:rPr>
          <w:spacing w:val="-1"/>
        </w:rPr>
        <w:t> </w:t>
      </w:r>
      <w:r>
        <w:rPr/>
        <w:t>autobuses disponía de placas</w:t>
      </w:r>
      <w:r>
        <w:rPr>
          <w:spacing w:val="-1"/>
        </w:rPr>
        <w:t> </w:t>
      </w:r>
      <w:r>
        <w:rPr/>
        <w:t>fotovoltaicas para la</w:t>
      </w:r>
      <w:r>
        <w:rPr>
          <w:spacing w:val="-1"/>
        </w:rPr>
        <w:t> </w:t>
      </w:r>
      <w:r>
        <w:rPr/>
        <w:t>recarga de las baterías. No había hidrogeneras, electrolineras ni pantógrafos.</w:t>
      </w:r>
    </w:p>
    <w:p>
      <w:pPr>
        <w:pStyle w:val="BodyText"/>
        <w:spacing w:before="241"/>
        <w:ind w:left="992" w:right="991"/>
        <w:jc w:val="both"/>
      </w:pPr>
      <w:r>
        <w:rPr/>
        <w:t>Para favorecer la intermodalidad, en 2022 ya contaba con 1.868 plazas de aparcamientos disuasorios de bicicletas y 700 plazas de vehículos.</w:t>
      </w:r>
    </w:p>
    <w:p>
      <w:pPr>
        <w:pStyle w:val="BodyText"/>
        <w:spacing w:before="238"/>
        <w:ind w:left="992" w:right="988"/>
        <w:jc w:val="both"/>
      </w:pPr>
      <w:r>
        <w:rPr/>
        <w:t>Desde el año 2001 la empresa municipal de transportes tiene implantado un sistema de gestión ambiental, según norma ISO 14001.</w:t>
      </w:r>
    </w:p>
    <w:p>
      <w:pPr>
        <w:pStyle w:val="BodyText"/>
        <w:spacing w:before="241"/>
        <w:ind w:left="992" w:right="988"/>
        <w:jc w:val="both"/>
      </w:pPr>
      <w:r>
        <w:rPr/>
        <w:t>También disponía en 2022 de un centro de control y gestión equipado con un software específico que</w:t>
      </w:r>
      <w:r>
        <w:rPr>
          <w:spacing w:val="-16"/>
        </w:rPr>
        <w:t> </w:t>
      </w:r>
      <w:r>
        <w:rPr/>
        <w:t>permitía</w:t>
      </w:r>
      <w:r>
        <w:rPr>
          <w:spacing w:val="-15"/>
        </w:rPr>
        <w:t> </w:t>
      </w:r>
      <w:r>
        <w:rPr/>
        <w:t>disponer</w:t>
      </w:r>
      <w:r>
        <w:rPr>
          <w:spacing w:val="-15"/>
        </w:rPr>
        <w:t> </w:t>
      </w:r>
      <w:r>
        <w:rPr/>
        <w:t>de</w:t>
      </w:r>
      <w:r>
        <w:rPr>
          <w:spacing w:val="-16"/>
        </w:rPr>
        <w:t> </w:t>
      </w:r>
      <w:r>
        <w:rPr/>
        <w:t>la</w:t>
      </w:r>
      <w:r>
        <w:rPr>
          <w:spacing w:val="-15"/>
        </w:rPr>
        <w:t> </w:t>
      </w:r>
      <w:r>
        <w:rPr/>
        <w:t>localización</w:t>
      </w:r>
      <w:r>
        <w:rPr>
          <w:spacing w:val="-15"/>
        </w:rPr>
        <w:t> </w:t>
      </w:r>
      <w:r>
        <w:rPr/>
        <w:t>de</w:t>
      </w:r>
      <w:r>
        <w:rPr>
          <w:spacing w:val="-15"/>
        </w:rPr>
        <w:t> </w:t>
      </w:r>
      <w:r>
        <w:rPr/>
        <w:t>cada</w:t>
      </w:r>
      <w:r>
        <w:rPr>
          <w:spacing w:val="-16"/>
        </w:rPr>
        <w:t> </w:t>
      </w:r>
      <w:r>
        <w:rPr/>
        <w:t>bus</w:t>
      </w:r>
      <w:r>
        <w:rPr>
          <w:spacing w:val="-15"/>
        </w:rPr>
        <w:t> </w:t>
      </w:r>
      <w:r>
        <w:rPr/>
        <w:t>en</w:t>
      </w:r>
      <w:r>
        <w:rPr>
          <w:spacing w:val="-15"/>
        </w:rPr>
        <w:t> </w:t>
      </w:r>
      <w:r>
        <w:rPr/>
        <w:t>tiempo</w:t>
      </w:r>
      <w:r>
        <w:rPr>
          <w:spacing w:val="-16"/>
        </w:rPr>
        <w:t> </w:t>
      </w:r>
      <w:r>
        <w:rPr/>
        <w:t>real,</w:t>
      </w:r>
      <w:r>
        <w:rPr>
          <w:spacing w:val="-15"/>
        </w:rPr>
        <w:t> </w:t>
      </w:r>
      <w:r>
        <w:rPr/>
        <w:t>coordinado</w:t>
      </w:r>
      <w:r>
        <w:rPr>
          <w:spacing w:val="-15"/>
        </w:rPr>
        <w:t> </w:t>
      </w:r>
      <w:r>
        <w:rPr/>
        <w:t>con</w:t>
      </w:r>
      <w:r>
        <w:rPr>
          <w:spacing w:val="-15"/>
        </w:rPr>
        <w:t> </w:t>
      </w:r>
      <w:r>
        <w:rPr/>
        <w:t>la</w:t>
      </w:r>
      <w:r>
        <w:rPr>
          <w:spacing w:val="-16"/>
        </w:rPr>
        <w:t> </w:t>
      </w:r>
      <w:r>
        <w:rPr/>
        <w:t>programación de los servicios y la monética.</w:t>
      </w:r>
    </w:p>
    <w:p>
      <w:pPr>
        <w:pStyle w:val="BodyText"/>
        <w:spacing w:before="240"/>
        <w:ind w:left="992" w:right="986"/>
        <w:jc w:val="both"/>
      </w:pPr>
      <w:r>
        <w:rPr/>
        <w:t>Asimismo, contaba con una aplicación para web y móvil que permitía disponer de toda la información</w:t>
      </w:r>
      <w:r>
        <w:rPr>
          <w:spacing w:val="-13"/>
        </w:rPr>
        <w:t> </w:t>
      </w:r>
      <w:r>
        <w:rPr/>
        <w:t>de</w:t>
      </w:r>
      <w:r>
        <w:rPr>
          <w:spacing w:val="-11"/>
        </w:rPr>
        <w:t> </w:t>
      </w:r>
      <w:r>
        <w:rPr/>
        <w:t>la</w:t>
      </w:r>
      <w:r>
        <w:rPr>
          <w:spacing w:val="-13"/>
        </w:rPr>
        <w:t> </w:t>
      </w:r>
      <w:r>
        <w:rPr/>
        <w:t>red</w:t>
      </w:r>
      <w:r>
        <w:rPr>
          <w:spacing w:val="-13"/>
        </w:rPr>
        <w:t> </w:t>
      </w:r>
      <w:r>
        <w:rPr/>
        <w:t>de</w:t>
      </w:r>
      <w:r>
        <w:rPr>
          <w:spacing w:val="-13"/>
        </w:rPr>
        <w:t> </w:t>
      </w:r>
      <w:r>
        <w:rPr/>
        <w:t>transporte</w:t>
      </w:r>
      <w:r>
        <w:rPr>
          <w:spacing w:val="-10"/>
        </w:rPr>
        <w:t> </w:t>
      </w:r>
      <w:r>
        <w:rPr/>
        <w:t>urbano</w:t>
      </w:r>
      <w:r>
        <w:rPr>
          <w:spacing w:val="-13"/>
        </w:rPr>
        <w:t> </w:t>
      </w:r>
      <w:r>
        <w:rPr/>
        <w:t>ofrecido</w:t>
      </w:r>
      <w:r>
        <w:rPr>
          <w:spacing w:val="-11"/>
        </w:rPr>
        <w:t> </w:t>
      </w:r>
      <w:r>
        <w:rPr/>
        <w:t>por</w:t>
      </w:r>
      <w:r>
        <w:rPr>
          <w:spacing w:val="-11"/>
        </w:rPr>
        <w:t> </w:t>
      </w:r>
      <w:r>
        <w:rPr/>
        <w:t>la</w:t>
      </w:r>
      <w:r>
        <w:rPr>
          <w:spacing w:val="-10"/>
        </w:rPr>
        <w:t> </w:t>
      </w:r>
      <w:r>
        <w:rPr/>
        <w:t>empresa,</w:t>
      </w:r>
      <w:r>
        <w:rPr>
          <w:spacing w:val="-11"/>
        </w:rPr>
        <w:t> </w:t>
      </w:r>
      <w:r>
        <w:rPr/>
        <w:t>así</w:t>
      </w:r>
      <w:r>
        <w:rPr>
          <w:spacing w:val="-12"/>
        </w:rPr>
        <w:t> </w:t>
      </w:r>
      <w:r>
        <w:rPr/>
        <w:t>como</w:t>
      </w:r>
      <w:r>
        <w:rPr>
          <w:spacing w:val="-10"/>
        </w:rPr>
        <w:t> </w:t>
      </w:r>
      <w:r>
        <w:rPr/>
        <w:t>los</w:t>
      </w:r>
      <w:r>
        <w:rPr>
          <w:spacing w:val="-13"/>
        </w:rPr>
        <w:t> </w:t>
      </w:r>
      <w:r>
        <w:rPr/>
        <w:t>tiempos</w:t>
      </w:r>
      <w:r>
        <w:rPr>
          <w:spacing w:val="-10"/>
        </w:rPr>
        <w:t> </w:t>
      </w:r>
      <w:r>
        <w:rPr/>
        <w:t>de</w:t>
      </w:r>
      <w:r>
        <w:rPr>
          <w:spacing w:val="-13"/>
        </w:rPr>
        <w:t> </w:t>
      </w:r>
      <w:r>
        <w:rPr/>
        <w:t>llegada de los autobuses a las paradas y horarios planificados. Disponía de funcionalidades como el </w:t>
      </w:r>
      <w:r>
        <w:rPr>
          <w:i/>
        </w:rPr>
        <w:t>seguimiento</w:t>
      </w:r>
      <w:r>
        <w:rPr>
          <w:i/>
          <w:spacing w:val="-10"/>
        </w:rPr>
        <w:t> </w:t>
      </w:r>
      <w:r>
        <w:rPr>
          <w:i/>
        </w:rPr>
        <w:t>del</w:t>
      </w:r>
      <w:r>
        <w:rPr>
          <w:i/>
          <w:spacing w:val="-11"/>
        </w:rPr>
        <w:t> </w:t>
      </w:r>
      <w:r>
        <w:rPr>
          <w:i/>
        </w:rPr>
        <w:t>trayecto</w:t>
      </w:r>
      <w:r>
        <w:rPr>
          <w:i/>
          <w:spacing w:val="-14"/>
        </w:rPr>
        <w:t> </w:t>
      </w:r>
      <w:r>
        <w:rPr/>
        <w:t>donde</w:t>
      </w:r>
      <w:r>
        <w:rPr>
          <w:spacing w:val="-10"/>
        </w:rPr>
        <w:t> </w:t>
      </w:r>
      <w:r>
        <w:rPr/>
        <w:t>el</w:t>
      </w:r>
      <w:r>
        <w:rPr>
          <w:spacing w:val="-11"/>
        </w:rPr>
        <w:t> </w:t>
      </w:r>
      <w:r>
        <w:rPr/>
        <w:t>usuario</w:t>
      </w:r>
      <w:r>
        <w:rPr>
          <w:spacing w:val="-11"/>
        </w:rPr>
        <w:t> </w:t>
      </w:r>
      <w:r>
        <w:rPr/>
        <w:t>podía</w:t>
      </w:r>
      <w:r>
        <w:rPr>
          <w:spacing w:val="-10"/>
        </w:rPr>
        <w:t> </w:t>
      </w:r>
      <w:r>
        <w:rPr/>
        <w:t>planificar</w:t>
      </w:r>
      <w:r>
        <w:rPr>
          <w:spacing w:val="-9"/>
        </w:rPr>
        <w:t> </w:t>
      </w:r>
      <w:r>
        <w:rPr/>
        <w:t>su</w:t>
      </w:r>
      <w:r>
        <w:rPr>
          <w:spacing w:val="-10"/>
        </w:rPr>
        <w:t> </w:t>
      </w:r>
      <w:r>
        <w:rPr/>
        <w:t>viaje</w:t>
      </w:r>
      <w:r>
        <w:rPr>
          <w:spacing w:val="-13"/>
        </w:rPr>
        <w:t> </w:t>
      </w:r>
      <w:r>
        <w:rPr/>
        <w:t>y</w:t>
      </w:r>
      <w:r>
        <w:rPr>
          <w:spacing w:val="-9"/>
        </w:rPr>
        <w:t> </w:t>
      </w:r>
      <w:r>
        <w:rPr/>
        <w:t>le</w:t>
      </w:r>
      <w:r>
        <w:rPr>
          <w:spacing w:val="-10"/>
        </w:rPr>
        <w:t> </w:t>
      </w:r>
      <w:r>
        <w:rPr/>
        <w:t>guiaba</w:t>
      </w:r>
      <w:r>
        <w:rPr>
          <w:spacing w:val="-10"/>
        </w:rPr>
        <w:t> </w:t>
      </w:r>
      <w:r>
        <w:rPr/>
        <w:t>a</w:t>
      </w:r>
      <w:r>
        <w:rPr>
          <w:spacing w:val="-10"/>
        </w:rPr>
        <w:t> </w:t>
      </w:r>
      <w:r>
        <w:rPr/>
        <w:t>lo</w:t>
      </w:r>
      <w:r>
        <w:rPr>
          <w:spacing w:val="-10"/>
        </w:rPr>
        <w:t> </w:t>
      </w:r>
      <w:r>
        <w:rPr/>
        <w:t>largo</w:t>
      </w:r>
      <w:r>
        <w:rPr>
          <w:spacing w:val="-10"/>
        </w:rPr>
        <w:t> </w:t>
      </w:r>
      <w:r>
        <w:rPr/>
        <w:t>del</w:t>
      </w:r>
      <w:r>
        <w:rPr>
          <w:spacing w:val="-11"/>
        </w:rPr>
        <w:t> </w:t>
      </w:r>
      <w:r>
        <w:rPr/>
        <w:t>trayecto, avisando al usuario antes de llegar a su parada de destino. También permitía la recarga de títulos de transporte y la obtención de códigos para el acceso al autobús.</w:t>
      </w:r>
    </w:p>
    <w:p>
      <w:pPr>
        <w:pStyle w:val="BodyText"/>
        <w:spacing w:before="241"/>
        <w:ind w:left="992" w:right="990"/>
        <w:jc w:val="both"/>
      </w:pPr>
      <w:r>
        <w:rPr/>
        <w:t>Málaga tiene un Observatorio de la Movilidad Viaria, que es una infraestructura integrada en el centro de gestión, el centro de semaforización y el centro de señalización.</w:t>
      </w:r>
      <w:r>
        <w:rPr>
          <w:spacing w:val="17"/>
        </w:rPr>
        <w:t> </w:t>
      </w:r>
      <w:r>
        <w:rPr/>
        <w:t>Cuenta con un circuito</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8"/>
        <w:jc w:val="both"/>
      </w:pPr>
      <w:r>
        <w:rPr/>
        <w:t>cerrado de televisión con 137 cámaras, trece paneles informativos y un sistema informático para controlar la red semafórica. En el periodo fiscalizado se han incorporado dieciséis nuevos paneles </w:t>
      </w:r>
      <w:r>
        <w:rPr>
          <w:spacing w:val="-2"/>
        </w:rPr>
        <w:t>informativos.</w:t>
      </w:r>
    </w:p>
    <w:p>
      <w:pPr>
        <w:pStyle w:val="BodyText"/>
        <w:spacing w:before="242"/>
        <w:ind w:left="992" w:right="985"/>
        <w:jc w:val="both"/>
      </w:pPr>
      <w:r>
        <w:rPr/>
        <w:t>Durante los ejercicios fiscalizados el </w:t>
      </w:r>
      <w:r>
        <w:rPr>
          <w:b/>
        </w:rPr>
        <w:t>Ayuntamiento de Málaga </w:t>
      </w:r>
      <w:r>
        <w:rPr/>
        <w:t>ha seguido avanzando hacia la sostenibilidad del transporte público colectivo, mediante medidas dirigidas a una mayor sostenibilidad</w:t>
      </w:r>
      <w:r>
        <w:rPr>
          <w:spacing w:val="-11"/>
        </w:rPr>
        <w:t> </w:t>
      </w:r>
      <w:r>
        <w:rPr/>
        <w:t>social</w:t>
      </w:r>
      <w:r>
        <w:rPr>
          <w:spacing w:val="-12"/>
        </w:rPr>
        <w:t> </w:t>
      </w:r>
      <w:r>
        <w:rPr/>
        <w:t>y</w:t>
      </w:r>
      <w:r>
        <w:rPr>
          <w:spacing w:val="-13"/>
        </w:rPr>
        <w:t> </w:t>
      </w:r>
      <w:r>
        <w:rPr/>
        <w:t>medioambiental.</w:t>
      </w:r>
      <w:r>
        <w:rPr>
          <w:spacing w:val="-10"/>
        </w:rPr>
        <w:t> </w:t>
      </w:r>
      <w:r>
        <w:rPr/>
        <w:t>El</w:t>
      </w:r>
      <w:r>
        <w:rPr>
          <w:spacing w:val="-14"/>
        </w:rPr>
        <w:t> </w:t>
      </w:r>
      <w:r>
        <w:rPr/>
        <w:t>total</w:t>
      </w:r>
      <w:r>
        <w:rPr>
          <w:spacing w:val="-12"/>
        </w:rPr>
        <w:t> </w:t>
      </w:r>
      <w:r>
        <w:rPr/>
        <w:t>de</w:t>
      </w:r>
      <w:r>
        <w:rPr>
          <w:spacing w:val="-14"/>
        </w:rPr>
        <w:t> </w:t>
      </w:r>
      <w:r>
        <w:rPr/>
        <w:t>actuaciones,</w:t>
      </w:r>
      <w:r>
        <w:rPr>
          <w:spacing w:val="-12"/>
        </w:rPr>
        <w:t> </w:t>
      </w:r>
      <w:r>
        <w:rPr/>
        <w:t>por</w:t>
      </w:r>
      <w:r>
        <w:rPr>
          <w:spacing w:val="-12"/>
        </w:rPr>
        <w:t> </w:t>
      </w:r>
      <w:r>
        <w:rPr/>
        <w:t>importe</w:t>
      </w:r>
      <w:r>
        <w:rPr>
          <w:spacing w:val="-14"/>
        </w:rPr>
        <w:t> </w:t>
      </w:r>
      <w:r>
        <w:rPr/>
        <w:t>de</w:t>
      </w:r>
      <w:r>
        <w:rPr>
          <w:spacing w:val="-13"/>
        </w:rPr>
        <w:t> </w:t>
      </w:r>
      <w:r>
        <w:rPr/>
        <w:t>49.175.802,03</w:t>
      </w:r>
      <w:r>
        <w:rPr>
          <w:spacing w:val="-13"/>
        </w:rPr>
        <w:t> </w:t>
      </w:r>
      <w:r>
        <w:rPr/>
        <w:t>euros, se relaciona en el </w:t>
      </w:r>
      <w:hyperlink w:history="true" w:anchor="_bookmark144">
        <w:r>
          <w:rPr/>
          <w:t>Anexo X.</w:t>
        </w:r>
      </w:hyperlink>
    </w:p>
    <w:p>
      <w:pPr>
        <w:pStyle w:val="BodyText"/>
        <w:spacing w:before="238"/>
        <w:ind w:left="992" w:right="988"/>
        <w:jc w:val="both"/>
      </w:pPr>
      <w:r>
        <w:rPr/>
        <w:t>La mayor inversión se ha llevado a cabo en la adquisición de autobuses y de cargadores para la recarga</w:t>
      </w:r>
      <w:r>
        <w:rPr>
          <w:spacing w:val="-4"/>
        </w:rPr>
        <w:t> </w:t>
      </w:r>
      <w:r>
        <w:rPr/>
        <w:t>de</w:t>
      </w:r>
      <w:r>
        <w:rPr>
          <w:spacing w:val="-4"/>
        </w:rPr>
        <w:t> </w:t>
      </w:r>
      <w:r>
        <w:rPr/>
        <w:t>autobuses</w:t>
      </w:r>
      <w:r>
        <w:rPr>
          <w:spacing w:val="-3"/>
        </w:rPr>
        <w:t> </w:t>
      </w:r>
      <w:r>
        <w:rPr/>
        <w:t>eléctricos,</w:t>
      </w:r>
      <w:r>
        <w:rPr>
          <w:spacing w:val="-3"/>
        </w:rPr>
        <w:t> </w:t>
      </w:r>
      <w:r>
        <w:rPr/>
        <w:t>con</w:t>
      </w:r>
      <w:r>
        <w:rPr>
          <w:spacing w:val="-4"/>
        </w:rPr>
        <w:t> </w:t>
      </w:r>
      <w:r>
        <w:rPr/>
        <w:t>un</w:t>
      </w:r>
      <w:r>
        <w:rPr>
          <w:spacing w:val="-2"/>
        </w:rPr>
        <w:t> </w:t>
      </w:r>
      <w:r>
        <w:rPr/>
        <w:t>82,87</w:t>
      </w:r>
      <w:r>
        <w:rPr>
          <w:spacing w:val="-4"/>
        </w:rPr>
        <w:t> </w:t>
      </w:r>
      <w:r>
        <w:rPr/>
        <w:t>%</w:t>
      </w:r>
      <w:r>
        <w:rPr>
          <w:spacing w:val="-3"/>
        </w:rPr>
        <w:t> </w:t>
      </w:r>
      <w:r>
        <w:rPr/>
        <w:t>del</w:t>
      </w:r>
      <w:r>
        <w:rPr>
          <w:spacing w:val="-2"/>
        </w:rPr>
        <w:t> </w:t>
      </w:r>
      <w:r>
        <w:rPr/>
        <w:t>importe</w:t>
      </w:r>
      <w:r>
        <w:rPr>
          <w:spacing w:val="-4"/>
        </w:rPr>
        <w:t> </w:t>
      </w:r>
      <w:r>
        <w:rPr/>
        <w:t>total</w:t>
      </w:r>
      <w:r>
        <w:rPr>
          <w:spacing w:val="-3"/>
        </w:rPr>
        <w:t> </w:t>
      </w:r>
      <w:r>
        <w:rPr/>
        <w:t>de</w:t>
      </w:r>
      <w:r>
        <w:rPr>
          <w:spacing w:val="-4"/>
        </w:rPr>
        <w:t> </w:t>
      </w:r>
      <w:r>
        <w:rPr/>
        <w:t>las</w:t>
      </w:r>
      <w:r>
        <w:rPr>
          <w:spacing w:val="-4"/>
        </w:rPr>
        <w:t> </w:t>
      </w:r>
      <w:r>
        <w:rPr/>
        <w:t>actuaciones</w:t>
      </w:r>
      <w:r>
        <w:rPr>
          <w:spacing w:val="-4"/>
        </w:rPr>
        <w:t> </w:t>
      </w:r>
      <w:r>
        <w:rPr/>
        <w:t>realizadas</w:t>
      </w:r>
      <w:r>
        <w:rPr>
          <w:spacing w:val="-4"/>
        </w:rPr>
        <w:t> </w:t>
      </w:r>
      <w:r>
        <w:rPr/>
        <w:t>en 2023 y 2024. Se han incorporado veinte autobuses eléctricos y otros 23 estaban pendientes de recepción a 31 de diciembre de 2024. También se han incorporado a la flota doce autobuses híbridos y otros diez se recibirán en 2025.</w:t>
      </w:r>
    </w:p>
    <w:p>
      <w:pPr>
        <w:pStyle w:val="BodyText"/>
        <w:spacing w:line="242" w:lineRule="auto" w:before="240"/>
        <w:ind w:left="992" w:right="989"/>
        <w:jc w:val="both"/>
      </w:pPr>
      <w:r>
        <w:rPr/>
        <w:t>En</w:t>
      </w:r>
      <w:r>
        <w:rPr>
          <w:spacing w:val="-4"/>
        </w:rPr>
        <w:t> </w:t>
      </w:r>
      <w:r>
        <w:rPr/>
        <w:t>2024</w:t>
      </w:r>
      <w:r>
        <w:rPr>
          <w:spacing w:val="-4"/>
        </w:rPr>
        <w:t> </w:t>
      </w:r>
      <w:r>
        <w:rPr/>
        <w:t>la</w:t>
      </w:r>
      <w:r>
        <w:rPr>
          <w:spacing w:val="-4"/>
        </w:rPr>
        <w:t> </w:t>
      </w:r>
      <w:r>
        <w:rPr/>
        <w:t>ciudad</w:t>
      </w:r>
      <w:r>
        <w:rPr>
          <w:spacing w:val="-4"/>
        </w:rPr>
        <w:t> </w:t>
      </w:r>
      <w:r>
        <w:rPr/>
        <w:t>cuenta</w:t>
      </w:r>
      <w:r>
        <w:rPr>
          <w:spacing w:val="-3"/>
        </w:rPr>
        <w:t> </w:t>
      </w:r>
      <w:r>
        <w:rPr/>
        <w:t>con</w:t>
      </w:r>
      <w:r>
        <w:rPr>
          <w:spacing w:val="-4"/>
        </w:rPr>
        <w:t> </w:t>
      </w:r>
      <w:r>
        <w:rPr/>
        <w:t>un</w:t>
      </w:r>
      <w:r>
        <w:rPr>
          <w:spacing w:val="-4"/>
        </w:rPr>
        <w:t> </w:t>
      </w:r>
      <w:r>
        <w:rPr/>
        <w:t>mayor</w:t>
      </w:r>
      <w:r>
        <w:rPr>
          <w:spacing w:val="-3"/>
        </w:rPr>
        <w:t> </w:t>
      </w:r>
      <w:r>
        <w:rPr/>
        <w:t>número</w:t>
      </w:r>
      <w:r>
        <w:rPr>
          <w:spacing w:val="-6"/>
        </w:rPr>
        <w:t> </w:t>
      </w:r>
      <w:r>
        <w:rPr/>
        <w:t>de</w:t>
      </w:r>
      <w:r>
        <w:rPr>
          <w:spacing w:val="-4"/>
        </w:rPr>
        <w:t> </w:t>
      </w:r>
      <w:r>
        <w:rPr/>
        <w:t>paradas</w:t>
      </w:r>
      <w:r>
        <w:rPr>
          <w:spacing w:val="-5"/>
        </w:rPr>
        <w:t> </w:t>
      </w:r>
      <w:r>
        <w:rPr>
          <w:rFonts w:ascii="Symbol" w:hAnsi="Symbol"/>
        </w:rPr>
        <w:t></w:t>
      </w:r>
      <w:r>
        <w:rPr/>
        <w:t>1.147</w:t>
      </w:r>
      <w:r>
        <w:rPr>
          <w:rFonts w:ascii="Symbol" w:hAnsi="Symbol"/>
        </w:rPr>
        <w:t></w:t>
      </w:r>
      <w:r>
        <w:rPr/>
        <w:t>,</w:t>
      </w:r>
      <w:r>
        <w:rPr>
          <w:spacing w:val="-3"/>
        </w:rPr>
        <w:t> </w:t>
      </w:r>
      <w:r>
        <w:rPr/>
        <w:t>de</w:t>
      </w:r>
      <w:r>
        <w:rPr>
          <w:spacing w:val="-4"/>
        </w:rPr>
        <w:t> </w:t>
      </w:r>
      <w:r>
        <w:rPr/>
        <w:t>las</w:t>
      </w:r>
      <w:r>
        <w:rPr>
          <w:spacing w:val="-4"/>
        </w:rPr>
        <w:t> </w:t>
      </w:r>
      <w:r>
        <w:rPr/>
        <w:t>cuales</w:t>
      </w:r>
      <w:r>
        <w:rPr>
          <w:spacing w:val="-4"/>
        </w:rPr>
        <w:t> </w:t>
      </w:r>
      <w:r>
        <w:rPr/>
        <w:t>601</w:t>
      </w:r>
      <w:r>
        <w:rPr>
          <w:spacing w:val="-4"/>
        </w:rPr>
        <w:t> </w:t>
      </w:r>
      <w:r>
        <w:rPr/>
        <w:t>cumplen</w:t>
      </w:r>
      <w:r>
        <w:rPr>
          <w:spacing w:val="-4"/>
        </w:rPr>
        <w:t> </w:t>
      </w:r>
      <w:r>
        <w:rPr/>
        <w:t>lo dispuesto en el Real Decreto 1544/2007. También hay una nueva línea.</w:t>
      </w:r>
    </w:p>
    <w:p>
      <w:pPr>
        <w:pStyle w:val="BodyText"/>
        <w:spacing w:before="236"/>
        <w:ind w:left="992" w:right="990"/>
        <w:jc w:val="both"/>
      </w:pPr>
      <w:r>
        <w:rPr/>
        <w:t>En 2024 se están dotando de placas fotovoltaicas a las estaciones de autobuses. También ha realizado diversas obras dirigidas a fomentar el transporte público colectivo y lograr una mayor accesibilidad, todas ellas financiadas con subvenciones del Programa de ayudas para la transformación digital y sostenible del transporte urbano, PRTR, si bien alguna no está concluida por</w:t>
      </w:r>
      <w:r>
        <w:rPr>
          <w:spacing w:val="-16"/>
        </w:rPr>
        <w:t> </w:t>
      </w:r>
      <w:r>
        <w:rPr/>
        <w:t>incidencias</w:t>
      </w:r>
      <w:r>
        <w:rPr>
          <w:spacing w:val="-15"/>
        </w:rPr>
        <w:t> </w:t>
      </w:r>
      <w:r>
        <w:rPr/>
        <w:t>surgidas</w:t>
      </w:r>
      <w:r>
        <w:rPr>
          <w:spacing w:val="-15"/>
        </w:rPr>
        <w:t> </w:t>
      </w:r>
      <w:r>
        <w:rPr/>
        <w:t>en</w:t>
      </w:r>
      <w:r>
        <w:rPr>
          <w:spacing w:val="-16"/>
        </w:rPr>
        <w:t> </w:t>
      </w:r>
      <w:r>
        <w:rPr/>
        <w:t>su</w:t>
      </w:r>
      <w:r>
        <w:rPr>
          <w:spacing w:val="-15"/>
        </w:rPr>
        <w:t> </w:t>
      </w:r>
      <w:r>
        <w:rPr/>
        <w:t>ejecución:</w:t>
      </w:r>
      <w:r>
        <w:rPr>
          <w:spacing w:val="-15"/>
        </w:rPr>
        <w:t> </w:t>
      </w:r>
      <w:r>
        <w:rPr/>
        <w:t>construcción</w:t>
      </w:r>
      <w:r>
        <w:rPr>
          <w:spacing w:val="-15"/>
        </w:rPr>
        <w:t> </w:t>
      </w:r>
      <w:r>
        <w:rPr/>
        <w:t>y</w:t>
      </w:r>
      <w:r>
        <w:rPr>
          <w:spacing w:val="-16"/>
        </w:rPr>
        <w:t> </w:t>
      </w:r>
      <w:r>
        <w:rPr/>
        <w:t>puesta</w:t>
      </w:r>
      <w:r>
        <w:rPr>
          <w:spacing w:val="-15"/>
        </w:rPr>
        <w:t> </w:t>
      </w:r>
      <w:r>
        <w:rPr/>
        <w:t>en</w:t>
      </w:r>
      <w:r>
        <w:rPr>
          <w:spacing w:val="-15"/>
        </w:rPr>
        <w:t> </w:t>
      </w:r>
      <w:r>
        <w:rPr/>
        <w:t>servicio</w:t>
      </w:r>
      <w:r>
        <w:rPr>
          <w:spacing w:val="-16"/>
        </w:rPr>
        <w:t> </w:t>
      </w:r>
      <w:r>
        <w:rPr/>
        <w:t>de</w:t>
      </w:r>
      <w:r>
        <w:rPr>
          <w:spacing w:val="-15"/>
        </w:rPr>
        <w:t> </w:t>
      </w:r>
      <w:r>
        <w:rPr/>
        <w:t>un</w:t>
      </w:r>
      <w:r>
        <w:rPr>
          <w:spacing w:val="-15"/>
        </w:rPr>
        <w:t> </w:t>
      </w:r>
      <w:r>
        <w:rPr/>
        <w:t>carril</w:t>
      </w:r>
      <w:r>
        <w:rPr>
          <w:spacing w:val="-15"/>
        </w:rPr>
        <w:t> </w:t>
      </w:r>
      <w:r>
        <w:rPr/>
        <w:t>bus</w:t>
      </w:r>
      <w:r>
        <w:rPr>
          <w:spacing w:val="-16"/>
        </w:rPr>
        <w:t> </w:t>
      </w:r>
      <w:r>
        <w:rPr/>
        <w:t>exclusivo para</w:t>
      </w:r>
      <w:r>
        <w:rPr>
          <w:spacing w:val="-11"/>
        </w:rPr>
        <w:t> </w:t>
      </w:r>
      <w:r>
        <w:rPr/>
        <w:t>mejorar</w:t>
      </w:r>
      <w:r>
        <w:rPr>
          <w:spacing w:val="-8"/>
        </w:rPr>
        <w:t> </w:t>
      </w:r>
      <w:r>
        <w:rPr/>
        <w:t>el</w:t>
      </w:r>
      <w:r>
        <w:rPr>
          <w:spacing w:val="-12"/>
        </w:rPr>
        <w:t> </w:t>
      </w:r>
      <w:r>
        <w:rPr/>
        <w:t>transporte</w:t>
      </w:r>
      <w:r>
        <w:rPr>
          <w:spacing w:val="-9"/>
        </w:rPr>
        <w:t> </w:t>
      </w:r>
      <w:r>
        <w:rPr/>
        <w:t>público</w:t>
      </w:r>
      <w:r>
        <w:rPr>
          <w:spacing w:val="-9"/>
        </w:rPr>
        <w:t> </w:t>
      </w:r>
      <w:r>
        <w:rPr/>
        <w:t>en</w:t>
      </w:r>
      <w:r>
        <w:rPr>
          <w:spacing w:val="-11"/>
        </w:rPr>
        <w:t> </w:t>
      </w:r>
      <w:r>
        <w:rPr/>
        <w:t>el</w:t>
      </w:r>
      <w:r>
        <w:rPr>
          <w:spacing w:val="-10"/>
        </w:rPr>
        <w:t> </w:t>
      </w:r>
      <w:r>
        <w:rPr/>
        <w:t>campus</w:t>
      </w:r>
      <w:r>
        <w:rPr>
          <w:spacing w:val="-11"/>
        </w:rPr>
        <w:t> </w:t>
      </w:r>
      <w:r>
        <w:rPr/>
        <w:t>universitario;</w:t>
      </w:r>
      <w:r>
        <w:rPr>
          <w:spacing w:val="-10"/>
        </w:rPr>
        <w:t> </w:t>
      </w:r>
      <w:r>
        <w:rPr/>
        <w:t>priorización</w:t>
      </w:r>
      <w:r>
        <w:rPr>
          <w:spacing w:val="-10"/>
        </w:rPr>
        <w:t> </w:t>
      </w:r>
      <w:r>
        <w:rPr/>
        <w:t>en</w:t>
      </w:r>
      <w:r>
        <w:rPr>
          <w:spacing w:val="-9"/>
        </w:rPr>
        <w:t> </w:t>
      </w:r>
      <w:r>
        <w:rPr/>
        <w:t>el</w:t>
      </w:r>
      <w:r>
        <w:rPr>
          <w:spacing w:val="-9"/>
        </w:rPr>
        <w:t> </w:t>
      </w:r>
      <w:r>
        <w:rPr/>
        <w:t>viario</w:t>
      </w:r>
      <w:r>
        <w:rPr>
          <w:spacing w:val="-12"/>
        </w:rPr>
        <w:t> </w:t>
      </w:r>
      <w:r>
        <w:rPr/>
        <w:t>y</w:t>
      </w:r>
      <w:r>
        <w:rPr>
          <w:spacing w:val="-11"/>
        </w:rPr>
        <w:t> </w:t>
      </w:r>
      <w:r>
        <w:rPr/>
        <w:t>construcción de</w:t>
      </w:r>
      <w:r>
        <w:rPr>
          <w:spacing w:val="-16"/>
        </w:rPr>
        <w:t> </w:t>
      </w:r>
      <w:r>
        <w:rPr/>
        <w:t>paradas</w:t>
      </w:r>
      <w:r>
        <w:rPr>
          <w:spacing w:val="-15"/>
        </w:rPr>
        <w:t> </w:t>
      </w:r>
      <w:r>
        <w:rPr/>
        <w:t>accesibles;</w:t>
      </w:r>
      <w:r>
        <w:rPr>
          <w:spacing w:val="-14"/>
        </w:rPr>
        <w:t> </w:t>
      </w:r>
      <w:r>
        <w:rPr/>
        <w:t>y</w:t>
      </w:r>
      <w:r>
        <w:rPr>
          <w:spacing w:val="-16"/>
        </w:rPr>
        <w:t> </w:t>
      </w:r>
      <w:r>
        <w:rPr/>
        <w:t>mejora</w:t>
      </w:r>
      <w:r>
        <w:rPr>
          <w:spacing w:val="-15"/>
        </w:rPr>
        <w:t> </w:t>
      </w:r>
      <w:r>
        <w:rPr/>
        <w:t>de</w:t>
      </w:r>
      <w:r>
        <w:rPr>
          <w:spacing w:val="-15"/>
        </w:rPr>
        <w:t> </w:t>
      </w:r>
      <w:r>
        <w:rPr/>
        <w:t>la</w:t>
      </w:r>
      <w:r>
        <w:rPr>
          <w:spacing w:val="-14"/>
        </w:rPr>
        <w:t> </w:t>
      </w:r>
      <w:r>
        <w:rPr/>
        <w:t>accesibilidad</w:t>
      </w:r>
      <w:r>
        <w:rPr>
          <w:spacing w:val="-13"/>
        </w:rPr>
        <w:t> </w:t>
      </w:r>
      <w:r>
        <w:rPr/>
        <w:t>física</w:t>
      </w:r>
      <w:r>
        <w:rPr>
          <w:spacing w:val="-16"/>
        </w:rPr>
        <w:t> </w:t>
      </w:r>
      <w:r>
        <w:rPr/>
        <w:t>de</w:t>
      </w:r>
      <w:r>
        <w:rPr>
          <w:spacing w:val="-15"/>
        </w:rPr>
        <w:t> </w:t>
      </w:r>
      <w:r>
        <w:rPr/>
        <w:t>las</w:t>
      </w:r>
      <w:r>
        <w:rPr>
          <w:spacing w:val="-15"/>
        </w:rPr>
        <w:t> </w:t>
      </w:r>
      <w:r>
        <w:rPr/>
        <w:t>paradas</w:t>
      </w:r>
      <w:r>
        <w:rPr>
          <w:spacing w:val="-16"/>
        </w:rPr>
        <w:t> </w:t>
      </w:r>
      <w:r>
        <w:rPr/>
        <w:t>de</w:t>
      </w:r>
      <w:r>
        <w:rPr>
          <w:spacing w:val="-15"/>
        </w:rPr>
        <w:t> </w:t>
      </w:r>
      <w:r>
        <w:rPr/>
        <w:t>autobús</w:t>
      </w:r>
      <w:r>
        <w:rPr>
          <w:spacing w:val="-15"/>
        </w:rPr>
        <w:t> </w:t>
      </w:r>
      <w:r>
        <w:rPr/>
        <w:t>y</w:t>
      </w:r>
      <w:r>
        <w:rPr>
          <w:spacing w:val="-15"/>
        </w:rPr>
        <w:t> </w:t>
      </w:r>
      <w:r>
        <w:rPr/>
        <w:t>su</w:t>
      </w:r>
      <w:r>
        <w:rPr>
          <w:spacing w:val="-16"/>
        </w:rPr>
        <w:t> </w:t>
      </w:r>
      <w:r>
        <w:rPr/>
        <w:t>adaptación a los requerimientos contenidos en el Real Decreto 1544/2007.</w:t>
      </w:r>
    </w:p>
    <w:p>
      <w:pPr>
        <w:pStyle w:val="BodyText"/>
        <w:spacing w:before="240"/>
        <w:ind w:left="992" w:right="986"/>
        <w:jc w:val="both"/>
      </w:pPr>
      <w:r>
        <w:rPr/>
        <w:t>Asimismo,</w:t>
      </w:r>
      <w:r>
        <w:rPr>
          <w:spacing w:val="-13"/>
        </w:rPr>
        <w:t> </w:t>
      </w:r>
      <w:r>
        <w:rPr/>
        <w:t>durante</w:t>
      </w:r>
      <w:r>
        <w:rPr>
          <w:spacing w:val="-14"/>
        </w:rPr>
        <w:t> </w:t>
      </w:r>
      <w:r>
        <w:rPr/>
        <w:t>el</w:t>
      </w:r>
      <w:r>
        <w:rPr>
          <w:spacing w:val="-12"/>
        </w:rPr>
        <w:t> </w:t>
      </w:r>
      <w:r>
        <w:rPr/>
        <w:t>periodo</w:t>
      </w:r>
      <w:r>
        <w:rPr>
          <w:spacing w:val="-11"/>
        </w:rPr>
        <w:t> </w:t>
      </w:r>
      <w:r>
        <w:rPr/>
        <w:t>fiscalizado</w:t>
      </w:r>
      <w:r>
        <w:rPr>
          <w:spacing w:val="-11"/>
        </w:rPr>
        <w:t> </w:t>
      </w:r>
      <w:r>
        <w:rPr/>
        <w:t>la</w:t>
      </w:r>
      <w:r>
        <w:rPr>
          <w:spacing w:val="-14"/>
        </w:rPr>
        <w:t> </w:t>
      </w:r>
      <w:r>
        <w:rPr/>
        <w:t>entidad</w:t>
      </w:r>
      <w:r>
        <w:rPr>
          <w:spacing w:val="-14"/>
        </w:rPr>
        <w:t> </w:t>
      </w:r>
      <w:r>
        <w:rPr/>
        <w:t>ha</w:t>
      </w:r>
      <w:r>
        <w:rPr>
          <w:spacing w:val="-12"/>
        </w:rPr>
        <w:t> </w:t>
      </w:r>
      <w:r>
        <w:rPr/>
        <w:t>incorporado</w:t>
      </w:r>
      <w:r>
        <w:rPr>
          <w:spacing w:val="-14"/>
        </w:rPr>
        <w:t> </w:t>
      </w:r>
      <w:r>
        <w:rPr/>
        <w:t>diversas</w:t>
      </w:r>
      <w:r>
        <w:rPr>
          <w:spacing w:val="-15"/>
        </w:rPr>
        <w:t> </w:t>
      </w:r>
      <w:r>
        <w:rPr/>
        <w:t>soluciones</w:t>
      </w:r>
      <w:r>
        <w:rPr>
          <w:spacing w:val="-11"/>
        </w:rPr>
        <w:t> </w:t>
      </w:r>
      <w:r>
        <w:rPr/>
        <w:t>tecnológicas en el transporte, para las que también ha contado con ayudas del citado Programa del PRTR. El Ayuntamiento ha recibido subvenciones para tres proyectos, dos de ellos presentados de manera individualizada</w:t>
      </w:r>
      <w:r>
        <w:rPr>
          <w:spacing w:val="-6"/>
        </w:rPr>
        <w:t> </w:t>
      </w:r>
      <w:r>
        <w:rPr/>
        <w:t>ante</w:t>
      </w:r>
      <w:r>
        <w:rPr>
          <w:spacing w:val="-9"/>
        </w:rPr>
        <w:t> </w:t>
      </w:r>
      <w:r>
        <w:rPr/>
        <w:t>el</w:t>
      </w:r>
      <w:r>
        <w:rPr>
          <w:spacing w:val="-7"/>
        </w:rPr>
        <w:t> </w:t>
      </w:r>
      <w:r>
        <w:rPr/>
        <w:t>MITMA</w:t>
      </w:r>
      <w:r>
        <w:rPr>
          <w:spacing w:val="-6"/>
        </w:rPr>
        <w:t> </w:t>
      </w:r>
      <w:r>
        <w:rPr/>
        <w:t>y</w:t>
      </w:r>
      <w:r>
        <w:rPr>
          <w:spacing w:val="-8"/>
        </w:rPr>
        <w:t> </w:t>
      </w:r>
      <w:r>
        <w:rPr/>
        <w:t>otro</w:t>
      </w:r>
      <w:r>
        <w:rPr>
          <w:spacing w:val="-9"/>
        </w:rPr>
        <w:t> </w:t>
      </w:r>
      <w:r>
        <w:rPr/>
        <w:t>en</w:t>
      </w:r>
      <w:r>
        <w:rPr>
          <w:spacing w:val="-7"/>
        </w:rPr>
        <w:t> </w:t>
      </w:r>
      <w:r>
        <w:rPr/>
        <w:t>agrupación</w:t>
      </w:r>
      <w:r>
        <w:rPr>
          <w:spacing w:val="-6"/>
        </w:rPr>
        <w:t> </w:t>
      </w:r>
      <w:r>
        <w:rPr/>
        <w:t>con</w:t>
      </w:r>
      <w:r>
        <w:rPr>
          <w:spacing w:val="-9"/>
        </w:rPr>
        <w:t> </w:t>
      </w:r>
      <w:r>
        <w:rPr/>
        <w:t>otros</w:t>
      </w:r>
      <w:r>
        <w:rPr>
          <w:spacing w:val="-9"/>
        </w:rPr>
        <w:t> </w:t>
      </w:r>
      <w:r>
        <w:rPr/>
        <w:t>tres</w:t>
      </w:r>
      <w:r>
        <w:rPr>
          <w:spacing w:val="-3"/>
        </w:rPr>
        <w:t> </w:t>
      </w:r>
      <w:r>
        <w:rPr/>
        <w:t>ayuntamientos,</w:t>
      </w:r>
      <w:r>
        <w:rPr>
          <w:spacing w:val="-8"/>
        </w:rPr>
        <w:t> </w:t>
      </w:r>
      <w:r>
        <w:rPr/>
        <w:t>para</w:t>
      </w:r>
      <w:r>
        <w:rPr>
          <w:spacing w:val="-9"/>
        </w:rPr>
        <w:t> </w:t>
      </w:r>
      <w:r>
        <w:rPr/>
        <w:t>el</w:t>
      </w:r>
      <w:r>
        <w:rPr>
          <w:spacing w:val="-7"/>
        </w:rPr>
        <w:t> </w:t>
      </w:r>
      <w:r>
        <w:rPr/>
        <w:t>desarrollo del proyecto INNOBUS-TUR, al que se ha hecho anteriormente referencia. Estas actuaciones han consistido en la digitalización de los medios de pago y la eliminación del pago en efectivo; la digitalización de los sistemas de comunicación e información</w:t>
      </w:r>
      <w:r>
        <w:rPr>
          <w:rFonts w:ascii="Arial Narrow" w:hAnsi="Arial Narrow"/>
          <w:sz w:val="17"/>
        </w:rPr>
        <w:t>; </w:t>
      </w:r>
      <w:r>
        <w:rPr/>
        <w:t>la sustitución de marquesinas existentes por otras inteligentes con nuevos paneles de información con los tiempos de espera y recorrido de los autobuses; la implantación de sistemas de sensorización y monitorización de los autobuses,</w:t>
      </w:r>
      <w:r>
        <w:rPr>
          <w:spacing w:val="-10"/>
        </w:rPr>
        <w:t> </w:t>
      </w:r>
      <w:r>
        <w:rPr/>
        <w:t>así</w:t>
      </w:r>
      <w:r>
        <w:rPr>
          <w:spacing w:val="-10"/>
        </w:rPr>
        <w:t> </w:t>
      </w:r>
      <w:r>
        <w:rPr/>
        <w:t>como</w:t>
      </w:r>
      <w:r>
        <w:rPr>
          <w:spacing w:val="-10"/>
        </w:rPr>
        <w:t> </w:t>
      </w:r>
      <w:r>
        <w:rPr/>
        <w:t>de</w:t>
      </w:r>
      <w:r>
        <w:rPr>
          <w:spacing w:val="-14"/>
        </w:rPr>
        <w:t> </w:t>
      </w:r>
      <w:r>
        <w:rPr/>
        <w:t>antiemparejamiento</w:t>
      </w:r>
      <w:r>
        <w:rPr>
          <w:spacing w:val="-11"/>
        </w:rPr>
        <w:t> </w:t>
      </w:r>
      <w:r>
        <w:rPr/>
        <w:t>de</w:t>
      </w:r>
      <w:r>
        <w:rPr>
          <w:spacing w:val="-9"/>
        </w:rPr>
        <w:t> </w:t>
      </w:r>
      <w:r>
        <w:rPr/>
        <w:t>autobuses</w:t>
      </w:r>
      <w:r>
        <w:rPr>
          <w:spacing w:val="-11"/>
        </w:rPr>
        <w:t> </w:t>
      </w:r>
      <w:r>
        <w:rPr/>
        <w:t>y</w:t>
      </w:r>
      <w:r>
        <w:rPr>
          <w:spacing w:val="-8"/>
        </w:rPr>
        <w:t> </w:t>
      </w:r>
      <w:r>
        <w:rPr/>
        <w:t>de</w:t>
      </w:r>
      <w:r>
        <w:rPr>
          <w:spacing w:val="-12"/>
        </w:rPr>
        <w:t> </w:t>
      </w:r>
      <w:r>
        <w:rPr/>
        <w:t>conducción</w:t>
      </w:r>
      <w:r>
        <w:rPr>
          <w:spacing w:val="-9"/>
        </w:rPr>
        <w:t> </w:t>
      </w:r>
      <w:r>
        <w:rPr/>
        <w:t>eficiente;</w:t>
      </w:r>
      <w:r>
        <w:rPr>
          <w:spacing w:val="-10"/>
        </w:rPr>
        <w:t> </w:t>
      </w:r>
      <w:r>
        <w:rPr/>
        <w:t>y</w:t>
      </w:r>
      <w:r>
        <w:rPr>
          <w:spacing w:val="-8"/>
        </w:rPr>
        <w:t> </w:t>
      </w:r>
      <w:r>
        <w:rPr/>
        <w:t>el</w:t>
      </w:r>
      <w:r>
        <w:rPr>
          <w:spacing w:val="-10"/>
        </w:rPr>
        <w:t> </w:t>
      </w:r>
      <w:r>
        <w:rPr/>
        <w:t>desarrollo y</w:t>
      </w:r>
      <w:r>
        <w:rPr>
          <w:spacing w:val="-4"/>
        </w:rPr>
        <w:t> </w:t>
      </w:r>
      <w:r>
        <w:rPr/>
        <w:t>puesta</w:t>
      </w:r>
      <w:r>
        <w:rPr>
          <w:spacing w:val="-6"/>
        </w:rPr>
        <w:t> </w:t>
      </w:r>
      <w:r>
        <w:rPr/>
        <w:t>en</w:t>
      </w:r>
      <w:r>
        <w:rPr>
          <w:spacing w:val="-7"/>
        </w:rPr>
        <w:t> </w:t>
      </w:r>
      <w:r>
        <w:rPr/>
        <w:t>servicio</w:t>
      </w:r>
      <w:r>
        <w:rPr>
          <w:spacing w:val="-6"/>
        </w:rPr>
        <w:t> </w:t>
      </w:r>
      <w:r>
        <w:rPr/>
        <w:t>de</w:t>
      </w:r>
      <w:r>
        <w:rPr>
          <w:spacing w:val="-7"/>
        </w:rPr>
        <w:t> </w:t>
      </w:r>
      <w:r>
        <w:rPr/>
        <w:t>sistema</w:t>
      </w:r>
      <w:r>
        <w:rPr>
          <w:spacing w:val="-6"/>
        </w:rPr>
        <w:t> </w:t>
      </w:r>
      <w:r>
        <w:rPr/>
        <w:t>digital</w:t>
      </w:r>
      <w:r>
        <w:rPr>
          <w:spacing w:val="-7"/>
        </w:rPr>
        <w:t> </w:t>
      </w:r>
      <w:r>
        <w:rPr/>
        <w:t>de</w:t>
      </w:r>
      <w:r>
        <w:rPr>
          <w:spacing w:val="-4"/>
        </w:rPr>
        <w:t> </w:t>
      </w:r>
      <w:r>
        <w:rPr/>
        <w:t>información</w:t>
      </w:r>
      <w:r>
        <w:rPr>
          <w:spacing w:val="-4"/>
        </w:rPr>
        <w:t> </w:t>
      </w:r>
      <w:r>
        <w:rPr/>
        <w:t>a</w:t>
      </w:r>
      <w:r>
        <w:rPr>
          <w:spacing w:val="-4"/>
        </w:rPr>
        <w:t> </w:t>
      </w:r>
      <w:r>
        <w:rPr/>
        <w:t>usuarios</w:t>
      </w:r>
      <w:r>
        <w:rPr>
          <w:spacing w:val="-6"/>
        </w:rPr>
        <w:t> </w:t>
      </w:r>
      <w:r>
        <w:rPr/>
        <w:t>del</w:t>
      </w:r>
      <w:r>
        <w:rPr>
          <w:spacing w:val="-7"/>
        </w:rPr>
        <w:t> </w:t>
      </w:r>
      <w:r>
        <w:rPr/>
        <w:t>transporte</w:t>
      </w:r>
      <w:r>
        <w:rPr>
          <w:spacing w:val="-6"/>
        </w:rPr>
        <w:t> </w:t>
      </w:r>
      <w:r>
        <w:rPr/>
        <w:t>público,</w:t>
      </w:r>
      <w:r>
        <w:rPr>
          <w:spacing w:val="-5"/>
        </w:rPr>
        <w:t> </w:t>
      </w:r>
      <w:r>
        <w:rPr/>
        <w:t>entre</w:t>
      </w:r>
      <w:r>
        <w:rPr>
          <w:spacing w:val="-6"/>
        </w:rPr>
        <w:t> </w:t>
      </w:r>
      <w:r>
        <w:rPr/>
        <w:t>otras.</w:t>
      </w:r>
    </w:p>
    <w:p>
      <w:pPr>
        <w:pStyle w:val="BodyText"/>
        <w:spacing w:before="109"/>
      </w:pPr>
    </w:p>
    <w:p>
      <w:pPr>
        <w:pStyle w:val="ListParagraph"/>
        <w:numPr>
          <w:ilvl w:val="3"/>
          <w:numId w:val="3"/>
        </w:numPr>
        <w:tabs>
          <w:tab w:pos="1779" w:val="left" w:leader="none"/>
        </w:tabs>
        <w:spacing w:line="240" w:lineRule="auto" w:before="0" w:after="0"/>
        <w:ind w:left="1779" w:right="0" w:hanging="787"/>
        <w:jc w:val="left"/>
        <w:rPr>
          <w:sz w:val="22"/>
        </w:rPr>
      </w:pPr>
      <w:r>
        <w:rPr>
          <w:sz w:val="22"/>
        </w:rPr>
        <w:t>AYUNTAMIENTO</w:t>
      </w:r>
      <w:r>
        <w:rPr>
          <w:spacing w:val="-6"/>
          <w:sz w:val="22"/>
        </w:rPr>
        <w:t> </w:t>
      </w:r>
      <w:r>
        <w:rPr>
          <w:sz w:val="22"/>
        </w:rPr>
        <w:t>DE</w:t>
      </w:r>
      <w:r>
        <w:rPr>
          <w:spacing w:val="-8"/>
          <w:sz w:val="22"/>
        </w:rPr>
        <w:t> </w:t>
      </w:r>
      <w:r>
        <w:rPr>
          <w:spacing w:val="-2"/>
          <w:sz w:val="22"/>
        </w:rPr>
        <w:t>MURCIA</w:t>
      </w:r>
    </w:p>
    <w:p>
      <w:pPr>
        <w:pStyle w:val="BodyText"/>
        <w:spacing w:before="239"/>
        <w:ind w:left="992" w:right="987"/>
        <w:jc w:val="both"/>
      </w:pPr>
      <w:r>
        <w:rPr/>
        <w:t>El</w:t>
      </w:r>
      <w:r>
        <w:rPr>
          <w:spacing w:val="-2"/>
        </w:rPr>
        <w:t> </w:t>
      </w:r>
      <w:r>
        <w:rPr/>
        <w:t>servicio</w:t>
      </w:r>
      <w:r>
        <w:rPr>
          <w:spacing w:val="-2"/>
        </w:rPr>
        <w:t> </w:t>
      </w:r>
      <w:r>
        <w:rPr/>
        <w:t>de</w:t>
      </w:r>
      <w:r>
        <w:rPr>
          <w:spacing w:val="-6"/>
        </w:rPr>
        <w:t> </w:t>
      </w:r>
      <w:r>
        <w:rPr/>
        <w:t>transporte</w:t>
      </w:r>
      <w:r>
        <w:rPr>
          <w:spacing w:val="-4"/>
        </w:rPr>
        <w:t> </w:t>
      </w:r>
      <w:r>
        <w:rPr/>
        <w:t>colectivo</w:t>
      </w:r>
      <w:r>
        <w:rPr>
          <w:spacing w:val="-2"/>
        </w:rPr>
        <w:t> </w:t>
      </w:r>
      <w:r>
        <w:rPr/>
        <w:t>urbano</w:t>
      </w:r>
      <w:r>
        <w:rPr>
          <w:spacing w:val="-4"/>
        </w:rPr>
        <w:t> </w:t>
      </w:r>
      <w:r>
        <w:rPr/>
        <w:t>gestionado</w:t>
      </w:r>
      <w:r>
        <w:rPr>
          <w:spacing w:val="-2"/>
        </w:rPr>
        <w:t> </w:t>
      </w:r>
      <w:r>
        <w:rPr/>
        <w:t>por</w:t>
      </w:r>
      <w:r>
        <w:rPr>
          <w:spacing w:val="-3"/>
        </w:rPr>
        <w:t> </w:t>
      </w:r>
      <w:r>
        <w:rPr/>
        <w:t>el</w:t>
      </w:r>
      <w:r>
        <w:rPr>
          <w:spacing w:val="-5"/>
        </w:rPr>
        <w:t> </w:t>
      </w:r>
      <w:r>
        <w:rPr>
          <w:b/>
        </w:rPr>
        <w:t>Ayuntamiento</w:t>
      </w:r>
      <w:r>
        <w:rPr>
          <w:b/>
          <w:spacing w:val="-2"/>
        </w:rPr>
        <w:t> </w:t>
      </w:r>
      <w:r>
        <w:rPr>
          <w:b/>
        </w:rPr>
        <w:t>de</w:t>
      </w:r>
      <w:r>
        <w:rPr>
          <w:b/>
          <w:spacing w:val="-3"/>
        </w:rPr>
        <w:t> </w:t>
      </w:r>
      <w:r>
        <w:rPr>
          <w:b/>
        </w:rPr>
        <w:t>Murcia</w:t>
      </w:r>
      <w:r>
        <w:rPr>
          <w:b/>
          <w:spacing w:val="-4"/>
        </w:rPr>
        <w:t> </w:t>
      </w:r>
      <w:r>
        <w:rPr/>
        <w:t>se</w:t>
      </w:r>
      <w:r>
        <w:rPr>
          <w:spacing w:val="-4"/>
        </w:rPr>
        <w:t> </w:t>
      </w:r>
      <w:r>
        <w:rPr/>
        <w:t>compone de una red de líneas de autobús y una línea tranviaria. Ambos servicios se prestan por empresas concesionarias.</w:t>
      </w:r>
      <w:r>
        <w:rPr>
          <w:spacing w:val="-7"/>
        </w:rPr>
        <w:t> </w:t>
      </w:r>
      <w:r>
        <w:rPr/>
        <w:t>El</w:t>
      </w:r>
      <w:r>
        <w:rPr>
          <w:spacing w:val="-10"/>
        </w:rPr>
        <w:t> </w:t>
      </w:r>
      <w:r>
        <w:rPr/>
        <w:t>servicio</w:t>
      </w:r>
      <w:r>
        <w:rPr>
          <w:spacing w:val="-9"/>
        </w:rPr>
        <w:t> </w:t>
      </w:r>
      <w:r>
        <w:rPr/>
        <w:t>de</w:t>
      </w:r>
      <w:r>
        <w:rPr>
          <w:spacing w:val="-9"/>
        </w:rPr>
        <w:t> </w:t>
      </w:r>
      <w:r>
        <w:rPr/>
        <w:t>transporte</w:t>
      </w:r>
      <w:r>
        <w:rPr>
          <w:spacing w:val="-9"/>
        </w:rPr>
        <w:t> </w:t>
      </w:r>
      <w:r>
        <w:rPr/>
        <w:t>urbano</w:t>
      </w:r>
      <w:r>
        <w:rPr>
          <w:spacing w:val="-9"/>
        </w:rPr>
        <w:t> </w:t>
      </w:r>
      <w:r>
        <w:rPr/>
        <w:t>en</w:t>
      </w:r>
      <w:r>
        <w:rPr>
          <w:spacing w:val="-9"/>
        </w:rPr>
        <w:t> </w:t>
      </w:r>
      <w:r>
        <w:rPr/>
        <w:t>autobús</w:t>
      </w:r>
      <w:r>
        <w:rPr>
          <w:spacing w:val="-9"/>
        </w:rPr>
        <w:t> </w:t>
      </w:r>
      <w:r>
        <w:rPr/>
        <w:t>es</w:t>
      </w:r>
      <w:r>
        <w:rPr>
          <w:spacing w:val="-9"/>
        </w:rPr>
        <w:t> </w:t>
      </w:r>
      <w:r>
        <w:rPr/>
        <w:t>complejo</w:t>
      </w:r>
      <w:r>
        <w:rPr>
          <w:spacing w:val="-9"/>
        </w:rPr>
        <w:t> </w:t>
      </w:r>
      <w:r>
        <w:rPr/>
        <w:t>debido</w:t>
      </w:r>
      <w:r>
        <w:rPr>
          <w:spacing w:val="-9"/>
        </w:rPr>
        <w:t> </w:t>
      </w:r>
      <w:r>
        <w:rPr/>
        <w:t>a</w:t>
      </w:r>
      <w:r>
        <w:rPr>
          <w:spacing w:val="-9"/>
        </w:rPr>
        <w:t> </w:t>
      </w:r>
      <w:r>
        <w:rPr/>
        <w:t>la</w:t>
      </w:r>
      <w:r>
        <w:rPr>
          <w:spacing w:val="-5"/>
        </w:rPr>
        <w:t> </w:t>
      </w:r>
      <w:r>
        <w:rPr/>
        <w:t>gran</w:t>
      </w:r>
      <w:r>
        <w:rPr>
          <w:spacing w:val="-9"/>
        </w:rPr>
        <w:t> </w:t>
      </w:r>
      <w:r>
        <w:rPr/>
        <w:t>extensión y dispersión poblacional existente en el municipio, lo que dificulta la existencia de un sistema de transporte</w:t>
      </w:r>
      <w:r>
        <w:rPr>
          <w:spacing w:val="-6"/>
        </w:rPr>
        <w:t> </w:t>
      </w:r>
      <w:r>
        <w:rPr/>
        <w:t>público</w:t>
      </w:r>
      <w:r>
        <w:rPr>
          <w:spacing w:val="-4"/>
        </w:rPr>
        <w:t> </w:t>
      </w:r>
      <w:r>
        <w:rPr/>
        <w:t>eficiente.</w:t>
      </w:r>
      <w:r>
        <w:rPr>
          <w:spacing w:val="-5"/>
        </w:rPr>
        <w:t> </w:t>
      </w:r>
      <w:r>
        <w:rPr/>
        <w:t>Este</w:t>
      </w:r>
      <w:r>
        <w:rPr>
          <w:spacing w:val="-6"/>
        </w:rPr>
        <w:t> </w:t>
      </w:r>
      <w:r>
        <w:rPr/>
        <w:t>servicio</w:t>
      </w:r>
      <w:r>
        <w:rPr>
          <w:spacing w:val="-6"/>
        </w:rPr>
        <w:t> </w:t>
      </w:r>
      <w:r>
        <w:rPr/>
        <w:t>se</w:t>
      </w:r>
      <w:r>
        <w:rPr>
          <w:spacing w:val="-4"/>
        </w:rPr>
        <w:t> </w:t>
      </w:r>
      <w:r>
        <w:rPr/>
        <w:t>presta</w:t>
      </w:r>
      <w:r>
        <w:rPr>
          <w:spacing w:val="-4"/>
        </w:rPr>
        <w:t> </w:t>
      </w:r>
      <w:r>
        <w:rPr/>
        <w:t>por</w:t>
      </w:r>
      <w:r>
        <w:rPr>
          <w:spacing w:val="-5"/>
        </w:rPr>
        <w:t> </w:t>
      </w:r>
      <w:r>
        <w:rPr/>
        <w:t>dos</w:t>
      </w:r>
      <w:r>
        <w:rPr>
          <w:spacing w:val="-3"/>
        </w:rPr>
        <w:t> </w:t>
      </w:r>
      <w:r>
        <w:rPr/>
        <w:t>empresas,</w:t>
      </w:r>
      <w:r>
        <w:rPr>
          <w:spacing w:val="-5"/>
        </w:rPr>
        <w:t> </w:t>
      </w:r>
      <w:r>
        <w:rPr/>
        <w:t>una</w:t>
      </w:r>
      <w:r>
        <w:rPr>
          <w:spacing w:val="-6"/>
        </w:rPr>
        <w:t> </w:t>
      </w:r>
      <w:r>
        <w:rPr/>
        <w:t>para</w:t>
      </w:r>
      <w:r>
        <w:rPr>
          <w:spacing w:val="-6"/>
        </w:rPr>
        <w:t> </w:t>
      </w:r>
      <w:r>
        <w:rPr/>
        <w:t>el</w:t>
      </w:r>
      <w:r>
        <w:rPr>
          <w:spacing w:val="-5"/>
        </w:rPr>
        <w:t> </w:t>
      </w:r>
      <w:r>
        <w:rPr/>
        <w:t>transporte</w:t>
      </w:r>
      <w:r>
        <w:rPr>
          <w:spacing w:val="-4"/>
        </w:rPr>
        <w:t> </w:t>
      </w:r>
      <w:r>
        <w:rPr/>
        <w:t>por</w:t>
      </w:r>
      <w:r>
        <w:rPr>
          <w:spacing w:val="-3"/>
        </w:rPr>
        <w:t> </w:t>
      </w:r>
      <w:r>
        <w:rPr/>
        <w:t>la ciudad y otra para las pedanías. El Proyecto de servicio de la nueva red de transporte público colectivo</w:t>
      </w:r>
      <w:r>
        <w:rPr>
          <w:spacing w:val="-7"/>
        </w:rPr>
        <w:t> </w:t>
      </w:r>
      <w:r>
        <w:rPr/>
        <w:t>en</w:t>
      </w:r>
      <w:r>
        <w:rPr>
          <w:spacing w:val="-9"/>
        </w:rPr>
        <w:t> </w:t>
      </w:r>
      <w:r>
        <w:rPr/>
        <w:t>autobús</w:t>
      </w:r>
      <w:r>
        <w:rPr>
          <w:spacing w:val="-6"/>
        </w:rPr>
        <w:t> </w:t>
      </w:r>
      <w:r>
        <w:rPr/>
        <w:t>urbano,</w:t>
      </w:r>
      <w:r>
        <w:rPr>
          <w:spacing w:val="-5"/>
        </w:rPr>
        <w:t> </w:t>
      </w:r>
      <w:r>
        <w:rPr/>
        <w:t>aprobado</w:t>
      </w:r>
      <w:r>
        <w:rPr>
          <w:spacing w:val="-9"/>
        </w:rPr>
        <w:t> </w:t>
      </w:r>
      <w:r>
        <w:rPr/>
        <w:t>el</w:t>
      </w:r>
      <w:r>
        <w:rPr>
          <w:spacing w:val="-7"/>
        </w:rPr>
        <w:t> </w:t>
      </w:r>
      <w:r>
        <w:rPr/>
        <w:t>14</w:t>
      </w:r>
      <w:r>
        <w:rPr>
          <w:spacing w:val="-9"/>
        </w:rPr>
        <w:t> </w:t>
      </w:r>
      <w:r>
        <w:rPr/>
        <w:t>de</w:t>
      </w:r>
      <w:r>
        <w:rPr>
          <w:spacing w:val="-9"/>
        </w:rPr>
        <w:t> </w:t>
      </w:r>
      <w:r>
        <w:rPr/>
        <w:t>enero</w:t>
      </w:r>
      <w:r>
        <w:rPr>
          <w:spacing w:val="-6"/>
        </w:rPr>
        <w:t> </w:t>
      </w:r>
      <w:r>
        <w:rPr/>
        <w:t>de</w:t>
      </w:r>
      <w:r>
        <w:rPr>
          <w:spacing w:val="-9"/>
        </w:rPr>
        <w:t> </w:t>
      </w:r>
      <w:r>
        <w:rPr/>
        <w:t>2022,</w:t>
      </w:r>
      <w:r>
        <w:rPr>
          <w:spacing w:val="-5"/>
        </w:rPr>
        <w:t> </w:t>
      </w:r>
      <w:r>
        <w:rPr/>
        <w:t>prevé</w:t>
      </w:r>
      <w:r>
        <w:rPr>
          <w:spacing w:val="-9"/>
        </w:rPr>
        <w:t> </w:t>
      </w:r>
      <w:r>
        <w:rPr/>
        <w:t>la</w:t>
      </w:r>
      <w:r>
        <w:rPr>
          <w:spacing w:val="-6"/>
        </w:rPr>
        <w:t> </w:t>
      </w:r>
      <w:r>
        <w:rPr/>
        <w:t>unificación</w:t>
      </w:r>
      <w:r>
        <w:rPr>
          <w:spacing w:val="-7"/>
        </w:rPr>
        <w:t> </w:t>
      </w:r>
      <w:r>
        <w:rPr/>
        <w:t>de</w:t>
      </w:r>
      <w:r>
        <w:rPr>
          <w:spacing w:val="-6"/>
        </w:rPr>
        <w:t> </w:t>
      </w:r>
      <w:r>
        <w:rPr/>
        <w:t>este</w:t>
      </w:r>
      <w:r>
        <w:rPr>
          <w:spacing w:val="-8"/>
        </w:rPr>
        <w:t> </w:t>
      </w:r>
      <w:r>
        <w:rPr/>
        <w:t>servicio en un único operador, si bien esta medida aún no se ha alcanzado, debido, entre otros motivos, a que</w:t>
      </w:r>
      <w:r>
        <w:rPr>
          <w:spacing w:val="-6"/>
        </w:rPr>
        <w:t> </w:t>
      </w:r>
      <w:r>
        <w:rPr/>
        <w:t>esta</w:t>
      </w:r>
      <w:r>
        <w:rPr>
          <w:spacing w:val="-6"/>
        </w:rPr>
        <w:t> </w:t>
      </w:r>
      <w:r>
        <w:rPr/>
        <w:t>nueva</w:t>
      </w:r>
      <w:r>
        <w:rPr>
          <w:spacing w:val="-8"/>
        </w:rPr>
        <w:t> </w:t>
      </w:r>
      <w:r>
        <w:rPr/>
        <w:t>red</w:t>
      </w:r>
      <w:r>
        <w:rPr>
          <w:spacing w:val="-7"/>
        </w:rPr>
        <w:t> </w:t>
      </w:r>
      <w:r>
        <w:rPr/>
        <w:t>de</w:t>
      </w:r>
      <w:r>
        <w:rPr>
          <w:spacing w:val="-7"/>
        </w:rPr>
        <w:t> </w:t>
      </w:r>
      <w:r>
        <w:rPr/>
        <w:t>servicios</w:t>
      </w:r>
      <w:r>
        <w:rPr>
          <w:spacing w:val="-6"/>
        </w:rPr>
        <w:t> </w:t>
      </w:r>
      <w:r>
        <w:rPr/>
        <w:t>se</w:t>
      </w:r>
      <w:r>
        <w:rPr>
          <w:spacing w:val="-6"/>
        </w:rPr>
        <w:t> </w:t>
      </w:r>
      <w:r>
        <w:rPr/>
        <w:t>desarrollará</w:t>
      </w:r>
      <w:r>
        <w:rPr>
          <w:spacing w:val="-6"/>
        </w:rPr>
        <w:t> </w:t>
      </w:r>
      <w:r>
        <w:rPr/>
        <w:t>tanto</w:t>
      </w:r>
      <w:r>
        <w:rPr>
          <w:spacing w:val="-6"/>
        </w:rPr>
        <w:t> </w:t>
      </w:r>
      <w:r>
        <w:rPr/>
        <w:t>dentro</w:t>
      </w:r>
      <w:r>
        <w:rPr>
          <w:spacing w:val="-6"/>
        </w:rPr>
        <w:t> </w:t>
      </w:r>
      <w:r>
        <w:rPr/>
        <w:t>del</w:t>
      </w:r>
      <w:r>
        <w:rPr>
          <w:spacing w:val="-7"/>
        </w:rPr>
        <w:t> </w:t>
      </w:r>
      <w:r>
        <w:rPr/>
        <w:t>término</w:t>
      </w:r>
      <w:r>
        <w:rPr>
          <w:spacing w:val="-8"/>
        </w:rPr>
        <w:t> </w:t>
      </w:r>
      <w:r>
        <w:rPr/>
        <w:t>municipal</w:t>
      </w:r>
      <w:r>
        <w:rPr>
          <w:spacing w:val="-4"/>
        </w:rPr>
        <w:t> </w:t>
      </w:r>
      <w:r>
        <w:rPr/>
        <w:t>como</w:t>
      </w:r>
      <w:r>
        <w:rPr>
          <w:spacing w:val="-6"/>
        </w:rPr>
        <w:t> </w:t>
      </w:r>
      <w:r>
        <w:rPr/>
        <w:t>en</w:t>
      </w:r>
      <w:r>
        <w:rPr>
          <w:spacing w:val="-7"/>
        </w:rPr>
        <w:t> </w:t>
      </w:r>
      <w:r>
        <w:rPr/>
        <w:t>su</w:t>
      </w:r>
      <w:r>
        <w:rPr>
          <w:spacing w:val="-6"/>
        </w:rPr>
        <w:t> </w:t>
      </w:r>
      <w:r>
        <w:rPr/>
        <w:t>área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7"/>
        <w:jc w:val="both"/>
      </w:pPr>
      <w:r>
        <w:rPr/>
        <w:t>metropolitana, lo que se ha visto afectada por el Plan Director de Transportes de la Región de </w:t>
      </w:r>
      <w:r>
        <w:rPr>
          <w:spacing w:val="-2"/>
        </w:rPr>
        <w:t>Murcia.</w:t>
      </w:r>
    </w:p>
    <w:p>
      <w:pPr>
        <w:pStyle w:val="BodyText"/>
        <w:spacing w:before="240"/>
        <w:ind w:left="992" w:right="987"/>
        <w:jc w:val="both"/>
      </w:pPr>
      <w:r>
        <w:rPr/>
        <w:t>A 31 de diciembre de</w:t>
      </w:r>
      <w:r>
        <w:rPr>
          <w:spacing w:val="-2"/>
        </w:rPr>
        <w:t> </w:t>
      </w:r>
      <w:r>
        <w:rPr/>
        <w:t>2022 las empresas</w:t>
      </w:r>
      <w:r>
        <w:rPr>
          <w:spacing w:val="-2"/>
        </w:rPr>
        <w:t> </w:t>
      </w:r>
      <w:r>
        <w:rPr/>
        <w:t>concesionarias contaban con</w:t>
      </w:r>
      <w:r>
        <w:rPr>
          <w:spacing w:val="-2"/>
        </w:rPr>
        <w:t> </w:t>
      </w:r>
      <w:r>
        <w:rPr/>
        <w:t>sistemas</w:t>
      </w:r>
      <w:r>
        <w:rPr>
          <w:spacing w:val="-1"/>
        </w:rPr>
        <w:t> </w:t>
      </w:r>
      <w:r>
        <w:rPr/>
        <w:t>que contribuían a reducir el consumo de energía en los edificios, centros e instalaciones destinados al transporte público colectivo, tales como luminarias de bajo consumo energético. Dos de ellas disponían también de sistemas de climatización sostenibles energéticamente.</w:t>
      </w:r>
    </w:p>
    <w:p>
      <w:pPr>
        <w:pStyle w:val="BodyText"/>
        <w:spacing w:before="241"/>
        <w:ind w:left="992" w:right="986"/>
        <w:jc w:val="both"/>
      </w:pPr>
      <w:r>
        <w:rPr/>
        <w:t>Dos de las empresas concesionarias estaban haciendo uso de energías renovables en medios, edificios,</w:t>
      </w:r>
      <w:r>
        <w:rPr>
          <w:spacing w:val="-8"/>
        </w:rPr>
        <w:t> </w:t>
      </w:r>
      <w:r>
        <w:rPr/>
        <w:t>centros</w:t>
      </w:r>
      <w:r>
        <w:rPr>
          <w:spacing w:val="-11"/>
        </w:rPr>
        <w:t> </w:t>
      </w:r>
      <w:r>
        <w:rPr/>
        <w:t>e</w:t>
      </w:r>
      <w:r>
        <w:rPr>
          <w:spacing w:val="-11"/>
        </w:rPr>
        <w:t> </w:t>
      </w:r>
      <w:r>
        <w:rPr/>
        <w:t>instalaciones</w:t>
      </w:r>
      <w:r>
        <w:rPr>
          <w:spacing w:val="-9"/>
        </w:rPr>
        <w:t> </w:t>
      </w:r>
      <w:r>
        <w:rPr/>
        <w:t>del</w:t>
      </w:r>
      <w:r>
        <w:rPr>
          <w:spacing w:val="-10"/>
        </w:rPr>
        <w:t> </w:t>
      </w:r>
      <w:r>
        <w:rPr/>
        <w:t>transporte</w:t>
      </w:r>
      <w:r>
        <w:rPr>
          <w:spacing w:val="-11"/>
        </w:rPr>
        <w:t> </w:t>
      </w:r>
      <w:r>
        <w:rPr/>
        <w:t>público</w:t>
      </w:r>
      <w:r>
        <w:rPr>
          <w:spacing w:val="-9"/>
        </w:rPr>
        <w:t> </w:t>
      </w:r>
      <w:r>
        <w:rPr/>
        <w:t>colectivo</w:t>
      </w:r>
      <w:r>
        <w:rPr>
          <w:spacing w:val="-7"/>
        </w:rPr>
        <w:t> </w:t>
      </w:r>
      <w:r>
        <w:rPr/>
        <w:t>con</w:t>
      </w:r>
      <w:r>
        <w:rPr>
          <w:spacing w:val="-11"/>
        </w:rPr>
        <w:t> </w:t>
      </w:r>
      <w:r>
        <w:rPr/>
        <w:t>paneles</w:t>
      </w:r>
      <w:r>
        <w:rPr>
          <w:spacing w:val="-9"/>
        </w:rPr>
        <w:t> </w:t>
      </w:r>
      <w:r>
        <w:rPr/>
        <w:t>solares</w:t>
      </w:r>
      <w:r>
        <w:rPr>
          <w:spacing w:val="-11"/>
        </w:rPr>
        <w:t> </w:t>
      </w:r>
      <w:r>
        <w:rPr/>
        <w:t>térmicos</w:t>
      </w:r>
      <w:r>
        <w:rPr>
          <w:spacing w:val="-9"/>
        </w:rPr>
        <w:t> </w:t>
      </w:r>
      <w:r>
        <w:rPr/>
        <w:t>y</w:t>
      </w:r>
      <w:r>
        <w:rPr>
          <w:spacing w:val="-10"/>
        </w:rPr>
        <w:t> </w:t>
      </w:r>
      <w:r>
        <w:rPr/>
        <w:t>con placas fotovoltaicas en autobuses, paradas y centros logísticos. Una de las empresas disponía de </w:t>
      </w:r>
      <w:r>
        <w:rPr>
          <w:spacing w:val="-2"/>
        </w:rPr>
        <w:t>electrolineras.</w:t>
      </w:r>
    </w:p>
    <w:p>
      <w:pPr>
        <w:pStyle w:val="BodyText"/>
        <w:spacing w:before="239"/>
        <w:ind w:left="992" w:right="986"/>
        <w:jc w:val="both"/>
      </w:pPr>
      <w:r>
        <w:rPr/>
        <w:t>A 31 de diciembre de 2022 las empresas concesionarias tenían implantado un sistema de gestión ambiental y habían recibido algún certificado respecto a la gestión ambiental. También habían realizado</w:t>
      </w:r>
      <w:r>
        <w:rPr>
          <w:spacing w:val="-4"/>
        </w:rPr>
        <w:t> </w:t>
      </w:r>
      <w:r>
        <w:rPr/>
        <w:t>auditorías</w:t>
      </w:r>
      <w:r>
        <w:rPr>
          <w:spacing w:val="-6"/>
        </w:rPr>
        <w:t> </w:t>
      </w:r>
      <w:r>
        <w:rPr/>
        <w:t>internas</w:t>
      </w:r>
      <w:r>
        <w:rPr>
          <w:spacing w:val="-4"/>
        </w:rPr>
        <w:t> </w:t>
      </w:r>
      <w:r>
        <w:rPr/>
        <w:t>y</w:t>
      </w:r>
      <w:r>
        <w:rPr>
          <w:spacing w:val="-6"/>
        </w:rPr>
        <w:t> </w:t>
      </w:r>
      <w:r>
        <w:rPr/>
        <w:t>externas</w:t>
      </w:r>
      <w:r>
        <w:rPr>
          <w:spacing w:val="-6"/>
        </w:rPr>
        <w:t> </w:t>
      </w:r>
      <w:r>
        <w:rPr/>
        <w:t>de</w:t>
      </w:r>
      <w:r>
        <w:rPr>
          <w:spacing w:val="-7"/>
        </w:rPr>
        <w:t> </w:t>
      </w:r>
      <w:r>
        <w:rPr/>
        <w:t>seguimiento</w:t>
      </w:r>
      <w:r>
        <w:rPr>
          <w:spacing w:val="-6"/>
        </w:rPr>
        <w:t> </w:t>
      </w:r>
      <w:r>
        <w:rPr/>
        <w:t>de</w:t>
      </w:r>
      <w:r>
        <w:rPr>
          <w:spacing w:val="-4"/>
        </w:rPr>
        <w:t> </w:t>
      </w:r>
      <w:r>
        <w:rPr/>
        <w:t>la</w:t>
      </w:r>
      <w:r>
        <w:rPr>
          <w:spacing w:val="-6"/>
        </w:rPr>
        <w:t> </w:t>
      </w:r>
      <w:r>
        <w:rPr/>
        <w:t>calidad</w:t>
      </w:r>
      <w:r>
        <w:rPr>
          <w:spacing w:val="-4"/>
        </w:rPr>
        <w:t> </w:t>
      </w:r>
      <w:r>
        <w:rPr/>
        <w:t>de</w:t>
      </w:r>
      <w:r>
        <w:rPr>
          <w:spacing w:val="-4"/>
        </w:rPr>
        <w:t> </w:t>
      </w:r>
      <w:r>
        <w:rPr/>
        <w:t>la</w:t>
      </w:r>
      <w:r>
        <w:rPr>
          <w:spacing w:val="-4"/>
        </w:rPr>
        <w:t> </w:t>
      </w:r>
      <w:r>
        <w:rPr/>
        <w:t>gestión</w:t>
      </w:r>
      <w:r>
        <w:rPr>
          <w:spacing w:val="-7"/>
        </w:rPr>
        <w:t> </w:t>
      </w:r>
      <w:r>
        <w:rPr/>
        <w:t>medioambiental.</w:t>
      </w:r>
    </w:p>
    <w:p>
      <w:pPr>
        <w:pStyle w:val="BodyText"/>
        <w:spacing w:before="242"/>
        <w:ind w:left="992"/>
        <w:jc w:val="both"/>
      </w:pPr>
      <w:r>
        <w:rPr/>
        <w:t>En</w:t>
      </w:r>
      <w:r>
        <w:rPr>
          <w:spacing w:val="-6"/>
        </w:rPr>
        <w:t> </w:t>
      </w:r>
      <w:r>
        <w:rPr/>
        <w:t>materia</w:t>
      </w:r>
      <w:r>
        <w:rPr>
          <w:spacing w:val="-4"/>
        </w:rPr>
        <w:t> </w:t>
      </w:r>
      <w:r>
        <w:rPr/>
        <w:t>de</w:t>
      </w:r>
      <w:r>
        <w:rPr>
          <w:spacing w:val="-6"/>
        </w:rPr>
        <w:t> </w:t>
      </w:r>
      <w:r>
        <w:rPr/>
        <w:t>residuos</w:t>
      </w:r>
      <w:r>
        <w:rPr>
          <w:spacing w:val="-6"/>
        </w:rPr>
        <w:t> </w:t>
      </w:r>
      <w:r>
        <w:rPr/>
        <w:t>habían</w:t>
      </w:r>
      <w:r>
        <w:rPr>
          <w:spacing w:val="-3"/>
        </w:rPr>
        <w:t> </w:t>
      </w:r>
      <w:r>
        <w:rPr/>
        <w:t>contratado</w:t>
      </w:r>
      <w:r>
        <w:rPr>
          <w:spacing w:val="-4"/>
        </w:rPr>
        <w:t> </w:t>
      </w:r>
      <w:r>
        <w:rPr/>
        <w:t>a</w:t>
      </w:r>
      <w:r>
        <w:rPr>
          <w:spacing w:val="-6"/>
        </w:rPr>
        <w:t> </w:t>
      </w:r>
      <w:r>
        <w:rPr/>
        <w:t>una</w:t>
      </w:r>
      <w:r>
        <w:rPr>
          <w:spacing w:val="-6"/>
        </w:rPr>
        <w:t> </w:t>
      </w:r>
      <w:r>
        <w:rPr/>
        <w:t>empresa</w:t>
      </w:r>
      <w:r>
        <w:rPr>
          <w:spacing w:val="-6"/>
        </w:rPr>
        <w:t> </w:t>
      </w:r>
      <w:r>
        <w:rPr/>
        <w:t>para</w:t>
      </w:r>
      <w:r>
        <w:rPr>
          <w:spacing w:val="-5"/>
        </w:rPr>
        <w:t> </w:t>
      </w:r>
      <w:r>
        <w:rPr/>
        <w:t>el</w:t>
      </w:r>
      <w:r>
        <w:rPr>
          <w:spacing w:val="-7"/>
        </w:rPr>
        <w:t> </w:t>
      </w:r>
      <w:r>
        <w:rPr/>
        <w:t>tratamiento</w:t>
      </w:r>
      <w:r>
        <w:rPr>
          <w:spacing w:val="-4"/>
        </w:rPr>
        <w:t> </w:t>
      </w:r>
      <w:r>
        <w:rPr/>
        <w:t>de</w:t>
      </w:r>
      <w:r>
        <w:rPr>
          <w:spacing w:val="-5"/>
        </w:rPr>
        <w:t> </w:t>
      </w:r>
      <w:r>
        <w:rPr>
          <w:spacing w:val="-2"/>
        </w:rPr>
        <w:t>residuos.</w:t>
      </w:r>
    </w:p>
    <w:p>
      <w:pPr>
        <w:pStyle w:val="BodyText"/>
        <w:spacing w:before="239"/>
        <w:ind w:left="992" w:right="987"/>
        <w:jc w:val="both"/>
      </w:pPr>
      <w:r>
        <w:rPr/>
        <w:t>A</w:t>
      </w:r>
      <w:r>
        <w:rPr>
          <w:spacing w:val="-4"/>
        </w:rPr>
        <w:t> </w:t>
      </w:r>
      <w:r>
        <w:rPr/>
        <w:t>31</w:t>
      </w:r>
      <w:r>
        <w:rPr>
          <w:spacing w:val="-4"/>
        </w:rPr>
        <w:t> </w:t>
      </w:r>
      <w:r>
        <w:rPr/>
        <w:t>de</w:t>
      </w:r>
      <w:r>
        <w:rPr>
          <w:spacing w:val="-4"/>
        </w:rPr>
        <w:t> </w:t>
      </w:r>
      <w:r>
        <w:rPr/>
        <w:t>diciembre</w:t>
      </w:r>
      <w:r>
        <w:rPr>
          <w:spacing w:val="-6"/>
        </w:rPr>
        <w:t> </w:t>
      </w:r>
      <w:r>
        <w:rPr/>
        <w:t>de</w:t>
      </w:r>
      <w:r>
        <w:rPr>
          <w:spacing w:val="-4"/>
        </w:rPr>
        <w:t> </w:t>
      </w:r>
      <w:r>
        <w:rPr/>
        <w:t>2022</w:t>
      </w:r>
      <w:r>
        <w:rPr>
          <w:spacing w:val="-4"/>
        </w:rPr>
        <w:t> </w:t>
      </w:r>
      <w:r>
        <w:rPr/>
        <w:t>Murcia</w:t>
      </w:r>
      <w:r>
        <w:rPr>
          <w:spacing w:val="-3"/>
        </w:rPr>
        <w:t> </w:t>
      </w:r>
      <w:r>
        <w:rPr/>
        <w:t>tenía</w:t>
      </w:r>
      <w:r>
        <w:rPr>
          <w:spacing w:val="-6"/>
        </w:rPr>
        <w:t> </w:t>
      </w:r>
      <w:r>
        <w:rPr/>
        <w:t>aparcamientos</w:t>
      </w:r>
      <w:r>
        <w:rPr>
          <w:spacing w:val="-4"/>
        </w:rPr>
        <w:t> </w:t>
      </w:r>
      <w:r>
        <w:rPr/>
        <w:t>disuasorios</w:t>
      </w:r>
      <w:r>
        <w:rPr>
          <w:spacing w:val="-6"/>
        </w:rPr>
        <w:t> </w:t>
      </w:r>
      <w:r>
        <w:rPr/>
        <w:t>para</w:t>
      </w:r>
      <w:r>
        <w:rPr>
          <w:spacing w:val="-6"/>
        </w:rPr>
        <w:t> </w:t>
      </w:r>
      <w:r>
        <w:rPr/>
        <w:t>vehículos</w:t>
      </w:r>
      <w:r>
        <w:rPr>
          <w:spacing w:val="-4"/>
        </w:rPr>
        <w:t> </w:t>
      </w:r>
      <w:r>
        <w:rPr/>
        <w:t>y</w:t>
      </w:r>
      <w:r>
        <w:rPr>
          <w:spacing w:val="-6"/>
        </w:rPr>
        <w:t> </w:t>
      </w:r>
      <w:r>
        <w:rPr/>
        <w:t>bicicletas</w:t>
      </w:r>
      <w:r>
        <w:rPr>
          <w:spacing w:val="-1"/>
        </w:rPr>
        <w:t> </w:t>
      </w:r>
      <w:r>
        <w:rPr/>
        <w:t>y</w:t>
      </w:r>
      <w:r>
        <w:rPr>
          <w:spacing w:val="-6"/>
        </w:rPr>
        <w:t> </w:t>
      </w:r>
      <w:r>
        <w:rPr/>
        <w:t>se disponía de</w:t>
      </w:r>
      <w:r>
        <w:rPr>
          <w:spacing w:val="-2"/>
        </w:rPr>
        <w:t> </w:t>
      </w:r>
      <w:r>
        <w:rPr/>
        <w:t>integración</w:t>
      </w:r>
      <w:r>
        <w:rPr>
          <w:spacing w:val="-2"/>
        </w:rPr>
        <w:t> </w:t>
      </w:r>
      <w:r>
        <w:rPr/>
        <w:t>tarifaria, que</w:t>
      </w:r>
      <w:r>
        <w:rPr>
          <w:spacing w:val="-2"/>
        </w:rPr>
        <w:t> </w:t>
      </w:r>
      <w:r>
        <w:rPr/>
        <w:t>permitía el</w:t>
      </w:r>
      <w:r>
        <w:rPr>
          <w:spacing w:val="-3"/>
        </w:rPr>
        <w:t> </w:t>
      </w:r>
      <w:r>
        <w:rPr/>
        <w:t>trasbordo entre</w:t>
      </w:r>
      <w:r>
        <w:rPr>
          <w:spacing w:val="-2"/>
        </w:rPr>
        <w:t> </w:t>
      </w:r>
      <w:r>
        <w:rPr/>
        <w:t>distintos</w:t>
      </w:r>
      <w:r>
        <w:rPr>
          <w:spacing w:val="-4"/>
        </w:rPr>
        <w:t> </w:t>
      </w:r>
      <w:r>
        <w:rPr/>
        <w:t>medios</w:t>
      </w:r>
      <w:r>
        <w:rPr>
          <w:spacing w:val="-2"/>
        </w:rPr>
        <w:t> </w:t>
      </w:r>
      <w:r>
        <w:rPr/>
        <w:t>transporte, lo que fomentaba del uso del transporte público colectivo.</w:t>
      </w:r>
    </w:p>
    <w:p>
      <w:pPr>
        <w:pStyle w:val="BodyText"/>
        <w:spacing w:before="240"/>
        <w:ind w:left="992" w:right="987"/>
        <w:jc w:val="both"/>
      </w:pPr>
      <w:r>
        <w:rPr/>
        <w:t>En</w:t>
      </w:r>
      <w:r>
        <w:rPr>
          <w:spacing w:val="-11"/>
        </w:rPr>
        <w:t> </w:t>
      </w:r>
      <w:r>
        <w:rPr/>
        <w:t>materia</w:t>
      </w:r>
      <w:r>
        <w:rPr>
          <w:spacing w:val="-12"/>
        </w:rPr>
        <w:t> </w:t>
      </w:r>
      <w:r>
        <w:rPr/>
        <w:t>de</w:t>
      </w:r>
      <w:r>
        <w:rPr>
          <w:spacing w:val="-14"/>
        </w:rPr>
        <w:t> </w:t>
      </w:r>
      <w:r>
        <w:rPr/>
        <w:t>accesibilidad</w:t>
      </w:r>
      <w:r>
        <w:rPr>
          <w:spacing w:val="-11"/>
        </w:rPr>
        <w:t> </w:t>
      </w:r>
      <w:r>
        <w:rPr/>
        <w:t>la</w:t>
      </w:r>
      <w:r>
        <w:rPr>
          <w:spacing w:val="-11"/>
        </w:rPr>
        <w:t> </w:t>
      </w:r>
      <w:r>
        <w:rPr/>
        <w:t>flota</w:t>
      </w:r>
      <w:r>
        <w:rPr>
          <w:spacing w:val="-11"/>
        </w:rPr>
        <w:t> </w:t>
      </w:r>
      <w:r>
        <w:rPr/>
        <w:t>estaba</w:t>
      </w:r>
      <w:r>
        <w:rPr>
          <w:spacing w:val="-11"/>
        </w:rPr>
        <w:t> </w:t>
      </w:r>
      <w:r>
        <w:rPr/>
        <w:t>adaptada</w:t>
      </w:r>
      <w:r>
        <w:rPr>
          <w:spacing w:val="-12"/>
        </w:rPr>
        <w:t> </w:t>
      </w:r>
      <w:r>
        <w:rPr/>
        <w:t>para</w:t>
      </w:r>
      <w:r>
        <w:rPr>
          <w:spacing w:val="-14"/>
        </w:rPr>
        <w:t> </w:t>
      </w:r>
      <w:r>
        <w:rPr/>
        <w:t>facilitar</w:t>
      </w:r>
      <w:r>
        <w:rPr>
          <w:spacing w:val="-13"/>
        </w:rPr>
        <w:t> </w:t>
      </w:r>
      <w:r>
        <w:rPr/>
        <w:t>el</w:t>
      </w:r>
      <w:r>
        <w:rPr>
          <w:spacing w:val="-12"/>
        </w:rPr>
        <w:t> </w:t>
      </w:r>
      <w:r>
        <w:rPr/>
        <w:t>acceso</w:t>
      </w:r>
      <w:r>
        <w:rPr>
          <w:spacing w:val="-14"/>
        </w:rPr>
        <w:t> </w:t>
      </w:r>
      <w:r>
        <w:rPr/>
        <w:t>al</w:t>
      </w:r>
      <w:r>
        <w:rPr>
          <w:spacing w:val="-12"/>
        </w:rPr>
        <w:t> </w:t>
      </w:r>
      <w:r>
        <w:rPr/>
        <w:t>transporte</w:t>
      </w:r>
      <w:r>
        <w:rPr>
          <w:spacing w:val="-14"/>
        </w:rPr>
        <w:t> </w:t>
      </w:r>
      <w:r>
        <w:rPr/>
        <w:t>a</w:t>
      </w:r>
      <w:r>
        <w:rPr>
          <w:spacing w:val="-6"/>
        </w:rPr>
        <w:t> </w:t>
      </w:r>
      <w:r>
        <w:rPr/>
        <w:t>personas con movilidad reducida o necesidades especiales (rampas de accesos para sillas de ruedas, sistema de arrodillamiento, piso bajo y sistema de megafonía que permite activar el programa de síntesis de voz que informa de próximas llegadas en parada y de destinos dentro del autobús).</w:t>
      </w:r>
    </w:p>
    <w:p>
      <w:pPr>
        <w:pStyle w:val="BodyText"/>
        <w:spacing w:before="241"/>
        <w:ind w:left="992" w:right="986"/>
        <w:jc w:val="both"/>
      </w:pPr>
      <w:r>
        <w:rPr/>
        <w:t>Respecto a los medios digitales, la flota de autobuses llevaba embarcado SAE y aplicación móvil gratuita</w:t>
      </w:r>
      <w:r>
        <w:rPr>
          <w:spacing w:val="-6"/>
        </w:rPr>
        <w:t> </w:t>
      </w:r>
      <w:r>
        <w:rPr/>
        <w:t>que</w:t>
      </w:r>
      <w:r>
        <w:rPr>
          <w:spacing w:val="-8"/>
        </w:rPr>
        <w:t> </w:t>
      </w:r>
      <w:r>
        <w:rPr/>
        <w:t>proporcionaba</w:t>
      </w:r>
      <w:r>
        <w:rPr>
          <w:spacing w:val="-6"/>
        </w:rPr>
        <w:t> </w:t>
      </w:r>
      <w:r>
        <w:rPr/>
        <w:t>información</w:t>
      </w:r>
      <w:r>
        <w:rPr>
          <w:spacing w:val="-7"/>
        </w:rPr>
        <w:t> </w:t>
      </w:r>
      <w:r>
        <w:rPr/>
        <w:t>en</w:t>
      </w:r>
      <w:r>
        <w:rPr>
          <w:spacing w:val="-7"/>
        </w:rPr>
        <w:t> </w:t>
      </w:r>
      <w:r>
        <w:rPr/>
        <w:t>tiempo</w:t>
      </w:r>
      <w:r>
        <w:rPr>
          <w:spacing w:val="-6"/>
        </w:rPr>
        <w:t> </w:t>
      </w:r>
      <w:r>
        <w:rPr/>
        <w:t>real</w:t>
      </w:r>
      <w:r>
        <w:rPr>
          <w:spacing w:val="-7"/>
        </w:rPr>
        <w:t> </w:t>
      </w:r>
      <w:r>
        <w:rPr/>
        <w:t>sobre</w:t>
      </w:r>
      <w:r>
        <w:rPr>
          <w:spacing w:val="-6"/>
        </w:rPr>
        <w:t> </w:t>
      </w:r>
      <w:r>
        <w:rPr/>
        <w:t>las</w:t>
      </w:r>
      <w:r>
        <w:rPr>
          <w:spacing w:val="-6"/>
        </w:rPr>
        <w:t> </w:t>
      </w:r>
      <w:r>
        <w:rPr/>
        <w:t>líneas</w:t>
      </w:r>
      <w:r>
        <w:rPr>
          <w:spacing w:val="-6"/>
        </w:rPr>
        <w:t> </w:t>
      </w:r>
      <w:r>
        <w:rPr/>
        <w:t>de</w:t>
      </w:r>
      <w:r>
        <w:rPr>
          <w:spacing w:val="-8"/>
        </w:rPr>
        <w:t> </w:t>
      </w:r>
      <w:r>
        <w:rPr/>
        <w:t>autobús</w:t>
      </w:r>
      <w:r>
        <w:rPr>
          <w:spacing w:val="-6"/>
        </w:rPr>
        <w:t> </w:t>
      </w:r>
      <w:r>
        <w:rPr/>
        <w:t>y</w:t>
      </w:r>
      <w:r>
        <w:rPr>
          <w:spacing w:val="-7"/>
        </w:rPr>
        <w:t> </w:t>
      </w:r>
      <w:r>
        <w:rPr/>
        <w:t>las</w:t>
      </w:r>
      <w:r>
        <w:rPr>
          <w:spacing w:val="-6"/>
        </w:rPr>
        <w:t> </w:t>
      </w:r>
      <w:r>
        <w:rPr/>
        <w:t>esperas</w:t>
      </w:r>
      <w:r>
        <w:rPr>
          <w:spacing w:val="-7"/>
        </w:rPr>
        <w:t> </w:t>
      </w:r>
      <w:r>
        <w:rPr/>
        <w:t>en las</w:t>
      </w:r>
      <w:r>
        <w:rPr>
          <w:spacing w:val="-1"/>
        </w:rPr>
        <w:t> </w:t>
      </w:r>
      <w:r>
        <w:rPr/>
        <w:t>paradas</w:t>
      </w:r>
      <w:r>
        <w:rPr>
          <w:spacing w:val="-3"/>
        </w:rPr>
        <w:t> </w:t>
      </w:r>
      <w:r>
        <w:rPr/>
        <w:t>en</w:t>
      </w:r>
      <w:r>
        <w:rPr>
          <w:spacing w:val="-6"/>
        </w:rPr>
        <w:t> </w:t>
      </w:r>
      <w:r>
        <w:rPr/>
        <w:t>Murcia</w:t>
      </w:r>
      <w:r>
        <w:rPr>
          <w:spacing w:val="-4"/>
        </w:rPr>
        <w:t> </w:t>
      </w:r>
      <w:r>
        <w:rPr/>
        <w:t>y</w:t>
      </w:r>
      <w:r>
        <w:rPr>
          <w:spacing w:val="-5"/>
        </w:rPr>
        <w:t> </w:t>
      </w:r>
      <w:r>
        <w:rPr/>
        <w:t>sus</w:t>
      </w:r>
      <w:r>
        <w:rPr>
          <w:spacing w:val="-1"/>
        </w:rPr>
        <w:t> </w:t>
      </w:r>
      <w:r>
        <w:rPr/>
        <w:t>pedanías.</w:t>
      </w:r>
      <w:r>
        <w:rPr>
          <w:spacing w:val="-1"/>
        </w:rPr>
        <w:t> </w:t>
      </w:r>
      <w:r>
        <w:rPr/>
        <w:t>Los</w:t>
      </w:r>
      <w:r>
        <w:rPr>
          <w:spacing w:val="-3"/>
        </w:rPr>
        <w:t> </w:t>
      </w:r>
      <w:r>
        <w:rPr/>
        <w:t>autobuses y</w:t>
      </w:r>
      <w:r>
        <w:rPr>
          <w:spacing w:val="-3"/>
        </w:rPr>
        <w:t> </w:t>
      </w:r>
      <w:r>
        <w:rPr/>
        <w:t>las</w:t>
      </w:r>
      <w:r>
        <w:rPr>
          <w:spacing w:val="-3"/>
        </w:rPr>
        <w:t> </w:t>
      </w:r>
      <w:r>
        <w:rPr/>
        <w:t>paradas</w:t>
      </w:r>
      <w:r>
        <w:rPr>
          <w:spacing w:val="-2"/>
        </w:rPr>
        <w:t> </w:t>
      </w:r>
      <w:r>
        <w:rPr/>
        <w:t>destinados al</w:t>
      </w:r>
      <w:r>
        <w:rPr>
          <w:spacing w:val="-4"/>
        </w:rPr>
        <w:t> </w:t>
      </w:r>
      <w:r>
        <w:rPr/>
        <w:t>transporte</w:t>
      </w:r>
      <w:r>
        <w:rPr>
          <w:spacing w:val="-3"/>
        </w:rPr>
        <w:t> </w:t>
      </w:r>
      <w:r>
        <w:rPr/>
        <w:t>por</w:t>
      </w:r>
      <w:r>
        <w:rPr>
          <w:spacing w:val="-2"/>
        </w:rPr>
        <w:t> </w:t>
      </w:r>
      <w:r>
        <w:rPr/>
        <w:t>la ciudad tenían, además, el sistema NaviLens, un sistema de alerta de seguridad en la flota y un sistema</w:t>
      </w:r>
      <w:r>
        <w:rPr>
          <w:spacing w:val="-11"/>
        </w:rPr>
        <w:t> </w:t>
      </w:r>
      <w:r>
        <w:rPr/>
        <w:t>que</w:t>
      </w:r>
      <w:r>
        <w:rPr>
          <w:spacing w:val="-11"/>
        </w:rPr>
        <w:t> </w:t>
      </w:r>
      <w:r>
        <w:rPr/>
        <w:t>permitía</w:t>
      </w:r>
      <w:r>
        <w:rPr>
          <w:spacing w:val="-11"/>
        </w:rPr>
        <w:t> </w:t>
      </w:r>
      <w:r>
        <w:rPr/>
        <w:t>a</w:t>
      </w:r>
      <w:r>
        <w:rPr>
          <w:spacing w:val="-11"/>
        </w:rPr>
        <w:t> </w:t>
      </w:r>
      <w:r>
        <w:rPr/>
        <w:t>las</w:t>
      </w:r>
      <w:r>
        <w:rPr>
          <w:spacing w:val="-8"/>
        </w:rPr>
        <w:t> </w:t>
      </w:r>
      <w:r>
        <w:rPr/>
        <w:t>diversas</w:t>
      </w:r>
      <w:r>
        <w:rPr>
          <w:spacing w:val="-11"/>
        </w:rPr>
        <w:t> </w:t>
      </w:r>
      <w:r>
        <w:rPr/>
        <w:t>unidades</w:t>
      </w:r>
      <w:r>
        <w:rPr>
          <w:spacing w:val="-11"/>
        </w:rPr>
        <w:t> </w:t>
      </w:r>
      <w:r>
        <w:rPr/>
        <w:t>de</w:t>
      </w:r>
      <w:r>
        <w:rPr>
          <w:spacing w:val="-12"/>
        </w:rPr>
        <w:t> </w:t>
      </w:r>
      <w:r>
        <w:rPr/>
        <w:t>control</w:t>
      </w:r>
      <w:r>
        <w:rPr>
          <w:spacing w:val="-12"/>
        </w:rPr>
        <w:t> </w:t>
      </w:r>
      <w:r>
        <w:rPr/>
        <w:t>electrónico</w:t>
      </w:r>
      <w:r>
        <w:rPr>
          <w:spacing w:val="-9"/>
        </w:rPr>
        <w:t> </w:t>
      </w:r>
      <w:r>
        <w:rPr/>
        <w:t>dentro</w:t>
      </w:r>
      <w:r>
        <w:rPr>
          <w:spacing w:val="-14"/>
        </w:rPr>
        <w:t> </w:t>
      </w:r>
      <w:r>
        <w:rPr/>
        <w:t>del</w:t>
      </w:r>
      <w:r>
        <w:rPr>
          <w:spacing w:val="-10"/>
        </w:rPr>
        <w:t> </w:t>
      </w:r>
      <w:r>
        <w:rPr/>
        <w:t>vehículo</w:t>
      </w:r>
      <w:r>
        <w:rPr>
          <w:spacing w:val="-9"/>
        </w:rPr>
        <w:t> </w:t>
      </w:r>
      <w:r>
        <w:rPr/>
        <w:t>intercambiar información,</w:t>
      </w:r>
      <w:r>
        <w:rPr>
          <w:spacing w:val="-7"/>
        </w:rPr>
        <w:t> </w:t>
      </w:r>
      <w:r>
        <w:rPr/>
        <w:t>reduciendo</w:t>
      </w:r>
      <w:r>
        <w:rPr>
          <w:spacing w:val="-10"/>
        </w:rPr>
        <w:t> </w:t>
      </w:r>
      <w:r>
        <w:rPr/>
        <w:t>el</w:t>
      </w:r>
      <w:r>
        <w:rPr>
          <w:spacing w:val="-10"/>
        </w:rPr>
        <w:t> </w:t>
      </w:r>
      <w:r>
        <w:rPr/>
        <w:t>cableado</w:t>
      </w:r>
      <w:r>
        <w:rPr>
          <w:spacing w:val="-9"/>
        </w:rPr>
        <w:t> </w:t>
      </w:r>
      <w:r>
        <w:rPr/>
        <w:t>y</w:t>
      </w:r>
      <w:r>
        <w:rPr>
          <w:spacing w:val="-8"/>
        </w:rPr>
        <w:t> </w:t>
      </w:r>
      <w:r>
        <w:rPr/>
        <w:t>simplificando</w:t>
      </w:r>
      <w:r>
        <w:rPr>
          <w:spacing w:val="-9"/>
        </w:rPr>
        <w:t> </w:t>
      </w:r>
      <w:r>
        <w:rPr/>
        <w:t>la</w:t>
      </w:r>
      <w:r>
        <w:rPr>
          <w:spacing w:val="-9"/>
        </w:rPr>
        <w:t> </w:t>
      </w:r>
      <w:r>
        <w:rPr/>
        <w:t>gestión</w:t>
      </w:r>
      <w:r>
        <w:rPr>
          <w:spacing w:val="-9"/>
        </w:rPr>
        <w:t> </w:t>
      </w:r>
      <w:r>
        <w:rPr/>
        <w:t>electrónica.</w:t>
      </w:r>
      <w:r>
        <w:rPr>
          <w:spacing w:val="-10"/>
        </w:rPr>
        <w:t> </w:t>
      </w:r>
      <w:r>
        <w:rPr/>
        <w:t>El</w:t>
      </w:r>
      <w:r>
        <w:rPr>
          <w:spacing w:val="-10"/>
        </w:rPr>
        <w:t> </w:t>
      </w:r>
      <w:r>
        <w:rPr/>
        <w:t>tranvía</w:t>
      </w:r>
      <w:r>
        <w:rPr>
          <w:spacing w:val="-9"/>
        </w:rPr>
        <w:t> </w:t>
      </w:r>
      <w:r>
        <w:rPr/>
        <w:t>disponía</w:t>
      </w:r>
      <w:r>
        <w:rPr>
          <w:spacing w:val="-11"/>
        </w:rPr>
        <w:t> </w:t>
      </w:r>
      <w:r>
        <w:rPr/>
        <w:t>de</w:t>
      </w:r>
      <w:r>
        <w:rPr>
          <w:spacing w:val="-9"/>
        </w:rPr>
        <w:t> </w:t>
      </w:r>
      <w:r>
        <w:rPr/>
        <w:t>un sistema SAE para gestión del tráfico, otro sistema para gestionar de forma eficiente el mantenimiento</w:t>
      </w:r>
      <w:r>
        <w:rPr>
          <w:spacing w:val="-5"/>
        </w:rPr>
        <w:t> </w:t>
      </w:r>
      <w:r>
        <w:rPr/>
        <w:t>del</w:t>
      </w:r>
      <w:r>
        <w:rPr>
          <w:spacing w:val="-8"/>
        </w:rPr>
        <w:t> </w:t>
      </w:r>
      <w:r>
        <w:rPr/>
        <w:t>material</w:t>
      </w:r>
      <w:r>
        <w:rPr>
          <w:spacing w:val="-6"/>
        </w:rPr>
        <w:t> </w:t>
      </w:r>
      <w:r>
        <w:rPr/>
        <w:t>rodante,</w:t>
      </w:r>
      <w:r>
        <w:rPr>
          <w:spacing w:val="-4"/>
        </w:rPr>
        <w:t> </w:t>
      </w:r>
      <w:r>
        <w:rPr/>
        <w:t>las</w:t>
      </w:r>
      <w:r>
        <w:rPr>
          <w:spacing w:val="-7"/>
        </w:rPr>
        <w:t> </w:t>
      </w:r>
      <w:r>
        <w:rPr/>
        <w:t>infraestructuras</w:t>
      </w:r>
      <w:r>
        <w:rPr>
          <w:spacing w:val="-7"/>
        </w:rPr>
        <w:t> </w:t>
      </w:r>
      <w:r>
        <w:rPr/>
        <w:t>y</w:t>
      </w:r>
      <w:r>
        <w:rPr>
          <w:spacing w:val="-7"/>
        </w:rPr>
        <w:t> </w:t>
      </w:r>
      <w:r>
        <w:rPr/>
        <w:t>las</w:t>
      </w:r>
      <w:r>
        <w:rPr>
          <w:spacing w:val="-7"/>
        </w:rPr>
        <w:t> </w:t>
      </w:r>
      <w:r>
        <w:rPr/>
        <w:t>instalaciones, el</w:t>
      </w:r>
      <w:r>
        <w:rPr>
          <w:spacing w:val="-8"/>
        </w:rPr>
        <w:t> </w:t>
      </w:r>
      <w:r>
        <w:rPr/>
        <w:t>sistema</w:t>
      </w:r>
      <w:r>
        <w:rPr>
          <w:spacing w:val="-7"/>
        </w:rPr>
        <w:t> </w:t>
      </w:r>
      <w:r>
        <w:rPr/>
        <w:t>NaviLens</w:t>
      </w:r>
      <w:r>
        <w:rPr>
          <w:spacing w:val="-5"/>
        </w:rPr>
        <w:t> </w:t>
      </w:r>
      <w:r>
        <w:rPr/>
        <w:t>en andén y tranvías, así como la aplicación de usuarios con información del servicio en tiempo real.</w:t>
      </w:r>
    </w:p>
    <w:p>
      <w:pPr>
        <w:pStyle w:val="BodyText"/>
        <w:spacing w:before="241"/>
        <w:ind w:left="992" w:right="986"/>
        <w:jc w:val="both"/>
      </w:pPr>
      <w:r>
        <w:rPr/>
        <w:t>En la flota no había autobuses híbridos ni eléctricos. Del total de la flota solo 31, el 25</w:t>
      </w:r>
      <w:r>
        <w:rPr>
          <w:spacing w:val="-4"/>
        </w:rPr>
        <w:t> </w:t>
      </w:r>
      <w:r>
        <w:rPr/>
        <w:t>%, eran autobuses propulsados por GNC.</w:t>
      </w:r>
    </w:p>
    <w:p>
      <w:pPr>
        <w:pStyle w:val="BodyText"/>
        <w:spacing w:before="239"/>
        <w:ind w:left="992" w:right="986"/>
        <w:jc w:val="both"/>
      </w:pPr>
      <w:r>
        <w:rPr/>
        <w:t>En 2023 y 2024 no se han comprado autobuses, a pesar de que la adquisición de autobuses urbanos</w:t>
      </w:r>
      <w:r>
        <w:rPr>
          <w:spacing w:val="-9"/>
        </w:rPr>
        <w:t> </w:t>
      </w:r>
      <w:r>
        <w:rPr/>
        <w:t>propulsados</w:t>
      </w:r>
      <w:r>
        <w:rPr>
          <w:spacing w:val="-12"/>
        </w:rPr>
        <w:t> </w:t>
      </w:r>
      <w:r>
        <w:rPr/>
        <w:t>por</w:t>
      </w:r>
      <w:r>
        <w:rPr>
          <w:spacing w:val="-11"/>
        </w:rPr>
        <w:t> </w:t>
      </w:r>
      <w:r>
        <w:rPr/>
        <w:t>energías</w:t>
      </w:r>
      <w:r>
        <w:rPr>
          <w:spacing w:val="-12"/>
        </w:rPr>
        <w:t> </w:t>
      </w:r>
      <w:r>
        <w:rPr/>
        <w:t>limpias</w:t>
      </w:r>
      <w:r>
        <w:rPr>
          <w:spacing w:val="-12"/>
        </w:rPr>
        <w:t> </w:t>
      </w:r>
      <w:r>
        <w:rPr/>
        <w:t>(eléctrica</w:t>
      </w:r>
      <w:r>
        <w:rPr>
          <w:spacing w:val="-10"/>
        </w:rPr>
        <w:t> </w:t>
      </w:r>
      <w:r>
        <w:rPr/>
        <w:t>o</w:t>
      </w:r>
      <w:r>
        <w:rPr>
          <w:spacing w:val="-12"/>
        </w:rPr>
        <w:t> </w:t>
      </w:r>
      <w:r>
        <w:rPr/>
        <w:t>hidrógeno)</w:t>
      </w:r>
      <w:r>
        <w:rPr>
          <w:spacing w:val="-9"/>
        </w:rPr>
        <w:t> </w:t>
      </w:r>
      <w:r>
        <w:rPr/>
        <w:t>se</w:t>
      </w:r>
      <w:r>
        <w:rPr>
          <w:spacing w:val="-12"/>
        </w:rPr>
        <w:t> </w:t>
      </w:r>
      <w:r>
        <w:rPr/>
        <w:t>encontraba</w:t>
      </w:r>
      <w:r>
        <w:rPr>
          <w:spacing w:val="-11"/>
        </w:rPr>
        <w:t> </w:t>
      </w:r>
      <w:r>
        <w:rPr/>
        <w:t>subvencionada</w:t>
      </w:r>
      <w:r>
        <w:rPr>
          <w:spacing w:val="-12"/>
        </w:rPr>
        <w:t> </w:t>
      </w:r>
      <w:r>
        <w:rPr/>
        <w:t>por el Programa de ayudas para la transformación digital y sostenible del transporte urbano, PRTR.</w:t>
      </w:r>
    </w:p>
    <w:p>
      <w:pPr>
        <w:pStyle w:val="BodyText"/>
        <w:spacing w:before="241"/>
        <w:ind w:left="992" w:right="988"/>
        <w:jc w:val="both"/>
      </w:pPr>
      <w:r>
        <w:rPr/>
        <w:t>Las</w:t>
      </w:r>
      <w:r>
        <w:rPr>
          <w:spacing w:val="-12"/>
        </w:rPr>
        <w:t> </w:t>
      </w:r>
      <w:r>
        <w:rPr/>
        <w:t>actuaciones</w:t>
      </w:r>
      <w:r>
        <w:rPr>
          <w:spacing w:val="-12"/>
        </w:rPr>
        <w:t> </w:t>
      </w:r>
      <w:r>
        <w:rPr/>
        <w:t>realizadas</w:t>
      </w:r>
      <w:r>
        <w:rPr>
          <w:spacing w:val="-12"/>
        </w:rPr>
        <w:t> </w:t>
      </w:r>
      <w:r>
        <w:rPr/>
        <w:t>por</w:t>
      </w:r>
      <w:r>
        <w:rPr>
          <w:spacing w:val="-13"/>
        </w:rPr>
        <w:t> </w:t>
      </w:r>
      <w:r>
        <w:rPr/>
        <w:t>la</w:t>
      </w:r>
      <w:r>
        <w:rPr>
          <w:spacing w:val="-12"/>
        </w:rPr>
        <w:t> </w:t>
      </w:r>
      <w:r>
        <w:rPr/>
        <w:t>entidad</w:t>
      </w:r>
      <w:r>
        <w:rPr>
          <w:spacing w:val="-12"/>
        </w:rPr>
        <w:t> </w:t>
      </w:r>
      <w:r>
        <w:rPr/>
        <w:t>en</w:t>
      </w:r>
      <w:r>
        <w:rPr>
          <w:spacing w:val="-13"/>
        </w:rPr>
        <w:t> </w:t>
      </w:r>
      <w:r>
        <w:rPr/>
        <w:t>esos</w:t>
      </w:r>
      <w:r>
        <w:rPr>
          <w:spacing w:val="-14"/>
        </w:rPr>
        <w:t> </w:t>
      </w:r>
      <w:r>
        <w:rPr/>
        <w:t>ejercicios,</w:t>
      </w:r>
      <w:r>
        <w:rPr>
          <w:spacing w:val="-11"/>
        </w:rPr>
        <w:t> </w:t>
      </w:r>
      <w:r>
        <w:rPr/>
        <w:t>por</w:t>
      </w:r>
      <w:r>
        <w:rPr>
          <w:spacing w:val="-11"/>
        </w:rPr>
        <w:t> </w:t>
      </w:r>
      <w:r>
        <w:rPr/>
        <w:t>importe</w:t>
      </w:r>
      <w:r>
        <w:rPr>
          <w:spacing w:val="-12"/>
        </w:rPr>
        <w:t> </w:t>
      </w:r>
      <w:r>
        <w:rPr/>
        <w:t>conjunto</w:t>
      </w:r>
      <w:r>
        <w:rPr>
          <w:spacing w:val="-15"/>
        </w:rPr>
        <w:t> </w:t>
      </w:r>
      <w:r>
        <w:rPr/>
        <w:t>de</w:t>
      </w:r>
      <w:r>
        <w:rPr>
          <w:spacing w:val="-13"/>
        </w:rPr>
        <w:t> </w:t>
      </w:r>
      <w:r>
        <w:rPr/>
        <w:t>34.945.208,01 euros, han consistido principalmente en la ejecución de obras e infraestructuras en la vía pública, para</w:t>
      </w:r>
      <w:r>
        <w:rPr>
          <w:spacing w:val="-13"/>
        </w:rPr>
        <w:t> </w:t>
      </w:r>
      <w:r>
        <w:rPr/>
        <w:t>las</w:t>
      </w:r>
      <w:r>
        <w:rPr>
          <w:spacing w:val="-12"/>
        </w:rPr>
        <w:t> </w:t>
      </w:r>
      <w:r>
        <w:rPr/>
        <w:t>que</w:t>
      </w:r>
      <w:r>
        <w:rPr>
          <w:spacing w:val="-13"/>
        </w:rPr>
        <w:t> </w:t>
      </w:r>
      <w:r>
        <w:rPr/>
        <w:t>la</w:t>
      </w:r>
      <w:r>
        <w:rPr>
          <w:spacing w:val="-13"/>
        </w:rPr>
        <w:t> </w:t>
      </w:r>
      <w:r>
        <w:rPr/>
        <w:t>entidad</w:t>
      </w:r>
      <w:r>
        <w:rPr>
          <w:spacing w:val="-13"/>
        </w:rPr>
        <w:t> </w:t>
      </w:r>
      <w:r>
        <w:rPr/>
        <w:t>ha</w:t>
      </w:r>
      <w:r>
        <w:rPr>
          <w:spacing w:val="-13"/>
        </w:rPr>
        <w:t> </w:t>
      </w:r>
      <w:r>
        <w:rPr/>
        <w:t>empleado</w:t>
      </w:r>
      <w:r>
        <w:rPr>
          <w:spacing w:val="-13"/>
        </w:rPr>
        <w:t> </w:t>
      </w:r>
      <w:r>
        <w:rPr/>
        <w:t>el</w:t>
      </w:r>
      <w:r>
        <w:rPr>
          <w:spacing w:val="-14"/>
        </w:rPr>
        <w:t> </w:t>
      </w:r>
      <w:r>
        <w:rPr/>
        <w:t>82,93</w:t>
      </w:r>
      <w:r>
        <w:rPr>
          <w:spacing w:val="-13"/>
        </w:rPr>
        <w:t> </w:t>
      </w:r>
      <w:r>
        <w:rPr/>
        <w:t>%</w:t>
      </w:r>
      <w:r>
        <w:rPr>
          <w:spacing w:val="-14"/>
        </w:rPr>
        <w:t> </w:t>
      </w:r>
      <w:r>
        <w:rPr/>
        <w:t>del</w:t>
      </w:r>
      <w:r>
        <w:rPr>
          <w:spacing w:val="-14"/>
        </w:rPr>
        <w:t> </w:t>
      </w:r>
      <w:r>
        <w:rPr/>
        <w:t>importe</w:t>
      </w:r>
      <w:r>
        <w:rPr>
          <w:spacing w:val="-15"/>
        </w:rPr>
        <w:t> </w:t>
      </w:r>
      <w:r>
        <w:rPr/>
        <w:t>total</w:t>
      </w:r>
      <w:r>
        <w:rPr>
          <w:spacing w:val="-14"/>
        </w:rPr>
        <w:t> </w:t>
      </w:r>
      <w:r>
        <w:rPr/>
        <w:t>de</w:t>
      </w:r>
      <w:r>
        <w:rPr>
          <w:spacing w:val="-13"/>
        </w:rPr>
        <w:t> </w:t>
      </w:r>
      <w:r>
        <w:rPr/>
        <w:t>todas</w:t>
      </w:r>
      <w:r>
        <w:rPr>
          <w:spacing w:val="-12"/>
        </w:rPr>
        <w:t> </w:t>
      </w:r>
      <w:r>
        <w:rPr/>
        <w:t>las</w:t>
      </w:r>
      <w:r>
        <w:rPr>
          <w:spacing w:val="-12"/>
        </w:rPr>
        <w:t> </w:t>
      </w:r>
      <w:r>
        <w:rPr/>
        <w:t>actuaciones</w:t>
      </w:r>
      <w:r>
        <w:rPr>
          <w:spacing w:val="-15"/>
        </w:rPr>
        <w:t> </w:t>
      </w:r>
      <w:r>
        <w:rPr/>
        <w:t>realizadas en esos ejercicios. El total de actuaciones se relaciona en el </w:t>
      </w:r>
      <w:hyperlink w:history="true" w:anchor="_bookmark146">
        <w:r>
          <w:rPr/>
          <w:t>Anexo XI</w:t>
        </w:r>
      </w:hyperlink>
      <w:r>
        <w:rPr/>
        <w:t>.</w:t>
      </w:r>
    </w:p>
    <w:p>
      <w:pPr>
        <w:pStyle w:val="BodyText"/>
        <w:spacing w:before="239"/>
        <w:ind w:left="992" w:right="990"/>
        <w:jc w:val="both"/>
      </w:pPr>
      <w:r>
        <w:rPr/>
        <w:t>Las</w:t>
      </w:r>
      <w:r>
        <w:rPr>
          <w:spacing w:val="-1"/>
        </w:rPr>
        <w:t> </w:t>
      </w:r>
      <w:r>
        <w:rPr/>
        <w:t>obras</w:t>
      </w:r>
      <w:r>
        <w:rPr>
          <w:spacing w:val="-4"/>
        </w:rPr>
        <w:t> </w:t>
      </w:r>
      <w:r>
        <w:rPr/>
        <w:t>han</w:t>
      </w:r>
      <w:r>
        <w:rPr>
          <w:spacing w:val="-4"/>
        </w:rPr>
        <w:t> </w:t>
      </w:r>
      <w:r>
        <w:rPr/>
        <w:t>tenido</w:t>
      </w:r>
      <w:r>
        <w:rPr>
          <w:spacing w:val="-4"/>
        </w:rPr>
        <w:t> </w:t>
      </w:r>
      <w:r>
        <w:rPr/>
        <w:t>por</w:t>
      </w:r>
      <w:r>
        <w:rPr>
          <w:spacing w:val="-3"/>
        </w:rPr>
        <w:t> </w:t>
      </w:r>
      <w:r>
        <w:rPr/>
        <w:t>objeto</w:t>
      </w:r>
      <w:r>
        <w:rPr>
          <w:spacing w:val="-2"/>
        </w:rPr>
        <w:t> </w:t>
      </w:r>
      <w:r>
        <w:rPr/>
        <w:t>la</w:t>
      </w:r>
      <w:r>
        <w:rPr>
          <w:spacing w:val="-2"/>
        </w:rPr>
        <w:t> </w:t>
      </w:r>
      <w:r>
        <w:rPr/>
        <w:t>implantación</w:t>
      </w:r>
      <w:r>
        <w:rPr>
          <w:spacing w:val="-4"/>
        </w:rPr>
        <w:t> </w:t>
      </w:r>
      <w:r>
        <w:rPr/>
        <w:t>de</w:t>
      </w:r>
      <w:r>
        <w:rPr>
          <w:spacing w:val="-2"/>
        </w:rPr>
        <w:t> </w:t>
      </w:r>
      <w:r>
        <w:rPr/>
        <w:t>nodos</w:t>
      </w:r>
      <w:r>
        <w:rPr>
          <w:spacing w:val="-4"/>
        </w:rPr>
        <w:t> </w:t>
      </w:r>
      <w:r>
        <w:rPr/>
        <w:t>de</w:t>
      </w:r>
      <w:r>
        <w:rPr>
          <w:spacing w:val="-4"/>
        </w:rPr>
        <w:t> </w:t>
      </w:r>
      <w:r>
        <w:rPr/>
        <w:t>transporte</w:t>
      </w:r>
      <w:r>
        <w:rPr>
          <w:spacing w:val="-4"/>
        </w:rPr>
        <w:t> </w:t>
      </w:r>
      <w:r>
        <w:rPr/>
        <w:t>para</w:t>
      </w:r>
      <w:r>
        <w:rPr>
          <w:spacing w:val="-4"/>
        </w:rPr>
        <w:t> </w:t>
      </w:r>
      <w:r>
        <w:rPr/>
        <w:t>favorecer</w:t>
      </w:r>
      <w:r>
        <w:rPr>
          <w:spacing w:val="-3"/>
        </w:rPr>
        <w:t> </w:t>
      </w:r>
      <w:r>
        <w:rPr/>
        <w:t>la</w:t>
      </w:r>
      <w:r>
        <w:rPr>
          <w:spacing w:val="-4"/>
        </w:rPr>
        <w:t> </w:t>
      </w:r>
      <w:r>
        <w:rPr/>
        <w:t>movilidad en</w:t>
      </w:r>
      <w:r>
        <w:rPr>
          <w:spacing w:val="-1"/>
        </w:rPr>
        <w:t> </w:t>
      </w:r>
      <w:r>
        <w:rPr/>
        <w:t>el</w:t>
      </w:r>
      <w:r>
        <w:rPr>
          <w:spacing w:val="-2"/>
        </w:rPr>
        <w:t> </w:t>
      </w:r>
      <w:r>
        <w:rPr/>
        <w:t>transporte</w:t>
      </w:r>
      <w:r>
        <w:rPr>
          <w:spacing w:val="-1"/>
        </w:rPr>
        <w:t> </w:t>
      </w:r>
      <w:r>
        <w:rPr/>
        <w:t>público,</w:t>
      </w:r>
      <w:r>
        <w:rPr>
          <w:spacing w:val="-3"/>
        </w:rPr>
        <w:t> </w:t>
      </w:r>
      <w:r>
        <w:rPr/>
        <w:t>la</w:t>
      </w:r>
      <w:r>
        <w:rPr>
          <w:spacing w:val="-1"/>
        </w:rPr>
        <w:t> </w:t>
      </w:r>
      <w:r>
        <w:rPr/>
        <w:t>redacción</w:t>
      </w:r>
      <w:r>
        <w:rPr>
          <w:spacing w:val="-1"/>
        </w:rPr>
        <w:t> </w:t>
      </w:r>
      <w:r>
        <w:rPr/>
        <w:t>del</w:t>
      </w:r>
      <w:r>
        <w:rPr>
          <w:spacing w:val="-1"/>
        </w:rPr>
        <w:t> </w:t>
      </w:r>
      <w:r>
        <w:rPr/>
        <w:t>proyecto</w:t>
      </w:r>
      <w:r>
        <w:rPr>
          <w:spacing w:val="-3"/>
        </w:rPr>
        <w:t> </w:t>
      </w:r>
      <w:r>
        <w:rPr/>
        <w:t>para</w:t>
      </w:r>
      <w:r>
        <w:rPr>
          <w:spacing w:val="-1"/>
        </w:rPr>
        <w:t> </w:t>
      </w:r>
      <w:r>
        <w:rPr/>
        <w:t>la</w:t>
      </w:r>
      <w:r>
        <w:rPr>
          <w:spacing w:val="-1"/>
        </w:rPr>
        <w:t> </w:t>
      </w:r>
      <w:r>
        <w:rPr/>
        <w:t>implantación</w:t>
      </w:r>
      <w:r>
        <w:rPr>
          <w:spacing w:val="-1"/>
        </w:rPr>
        <w:t> </w:t>
      </w:r>
      <w:r>
        <w:rPr/>
        <w:t>de</w:t>
      </w:r>
      <w:r>
        <w:rPr>
          <w:spacing w:val="-3"/>
        </w:rPr>
        <w:t> </w:t>
      </w:r>
      <w:r>
        <w:rPr/>
        <w:t>tres</w:t>
      </w:r>
      <w:r>
        <w:rPr>
          <w:spacing w:val="-1"/>
        </w:rPr>
        <w:t> </w:t>
      </w:r>
      <w:r>
        <w:rPr/>
        <w:t>líneas</w:t>
      </w:r>
      <w:r>
        <w:rPr>
          <w:spacing w:val="-1"/>
        </w:rPr>
        <w:t> </w:t>
      </w:r>
      <w:r>
        <w:rPr/>
        <w:t>de</w:t>
      </w:r>
      <w:r>
        <w:rPr>
          <w:spacing w:val="-3"/>
        </w:rPr>
        <w:t> </w:t>
      </w:r>
      <w:r>
        <w:rPr/>
        <w:t>transporte</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8"/>
        <w:jc w:val="both"/>
      </w:pPr>
      <w:r>
        <w:rPr/>
        <w:t>público colectivo de la tipología de Bus Tránsito Rápido (BTR) y la ampliación de la red de plataformas destinadas a carriles bici y carriles bus y la implantación de líneas de BTR.</w:t>
      </w:r>
    </w:p>
    <w:p>
      <w:pPr>
        <w:pStyle w:val="BodyText"/>
        <w:spacing w:before="240"/>
        <w:ind w:left="992" w:right="986"/>
        <w:jc w:val="both"/>
      </w:pPr>
      <w:r>
        <w:rPr/>
        <w:t>En</w:t>
      </w:r>
      <w:r>
        <w:rPr>
          <w:spacing w:val="-5"/>
        </w:rPr>
        <w:t> </w:t>
      </w:r>
      <w:r>
        <w:rPr/>
        <w:t>lo</w:t>
      </w:r>
      <w:r>
        <w:rPr>
          <w:spacing w:val="-5"/>
        </w:rPr>
        <w:t> </w:t>
      </w:r>
      <w:r>
        <w:rPr/>
        <w:t>que</w:t>
      </w:r>
      <w:r>
        <w:rPr>
          <w:spacing w:val="-10"/>
        </w:rPr>
        <w:t> </w:t>
      </w:r>
      <w:r>
        <w:rPr/>
        <w:t>respecta</w:t>
      </w:r>
      <w:r>
        <w:rPr>
          <w:spacing w:val="-7"/>
        </w:rPr>
        <w:t> </w:t>
      </w:r>
      <w:r>
        <w:rPr/>
        <w:t>a</w:t>
      </w:r>
      <w:r>
        <w:rPr>
          <w:spacing w:val="-7"/>
        </w:rPr>
        <w:t> </w:t>
      </w:r>
      <w:r>
        <w:rPr/>
        <w:t>la</w:t>
      </w:r>
      <w:r>
        <w:rPr>
          <w:spacing w:val="-4"/>
        </w:rPr>
        <w:t> </w:t>
      </w:r>
      <w:r>
        <w:rPr/>
        <w:t>digitalización,</w:t>
      </w:r>
      <w:r>
        <w:rPr>
          <w:spacing w:val="-3"/>
        </w:rPr>
        <w:t> </w:t>
      </w:r>
      <w:r>
        <w:rPr/>
        <w:t>las</w:t>
      </w:r>
      <w:r>
        <w:rPr>
          <w:spacing w:val="-5"/>
        </w:rPr>
        <w:t> </w:t>
      </w:r>
      <w:r>
        <w:rPr/>
        <w:t>actuaciones</w:t>
      </w:r>
      <w:r>
        <w:rPr>
          <w:spacing w:val="-7"/>
        </w:rPr>
        <w:t> </w:t>
      </w:r>
      <w:r>
        <w:rPr/>
        <w:t>realizadas</w:t>
      </w:r>
      <w:r>
        <w:rPr>
          <w:spacing w:val="-5"/>
        </w:rPr>
        <w:t> </w:t>
      </w:r>
      <w:r>
        <w:rPr/>
        <w:t>han</w:t>
      </w:r>
      <w:r>
        <w:rPr>
          <w:spacing w:val="-7"/>
        </w:rPr>
        <w:t> </w:t>
      </w:r>
      <w:r>
        <w:rPr/>
        <w:t>sido</w:t>
      </w:r>
      <w:r>
        <w:rPr>
          <w:spacing w:val="-9"/>
        </w:rPr>
        <w:t> </w:t>
      </w:r>
      <w:r>
        <w:rPr/>
        <w:t>el</w:t>
      </w:r>
      <w:r>
        <w:rPr>
          <w:spacing w:val="-6"/>
        </w:rPr>
        <w:t> </w:t>
      </w:r>
      <w:r>
        <w:rPr/>
        <w:t>suministro,</w:t>
      </w:r>
      <w:r>
        <w:rPr>
          <w:spacing w:val="-6"/>
        </w:rPr>
        <w:t> </w:t>
      </w:r>
      <w:r>
        <w:rPr/>
        <w:t>instalación, integración y puesta en marcha de los elementos que conforman los sistemas inteligentes de transporte para la prestación del servicio de transporte público urbano mediante autobús. Sin embargo, esta actuación, financiada con fondos del PRTR, no se han implantado en la flota de autobuses ni hay una fecha concreta para su implementación ya que los elementos objeto de contratación se facilitarán por el Ayuntamiento al nuevo operador, una vez se adjudique el nuevo contrato de concesión. También está en ejecución la implementación de nuevos medios de pago, tarjeta inteligente, en el transporte público municipal.</w:t>
      </w:r>
    </w:p>
    <w:p>
      <w:pPr>
        <w:pStyle w:val="BodyText"/>
        <w:spacing w:before="240"/>
        <w:ind w:left="992" w:right="987"/>
        <w:jc w:val="both"/>
      </w:pPr>
      <w:r>
        <w:rPr/>
        <w:t>La entidad también ha realizado otras actuaciones, tales como la firma de un convenio con una Universidad para el desarrollo del laboratorio de Movilidad Urbana Municipal de Murcia, unidad de apoyo y de asesoramiento para la toma de decisiones relacionadas con la movilidad urbana.</w:t>
      </w:r>
    </w:p>
    <w:p>
      <w:pPr>
        <w:pStyle w:val="BodyText"/>
        <w:spacing w:before="109"/>
      </w:pPr>
    </w:p>
    <w:p>
      <w:pPr>
        <w:pStyle w:val="ListParagraph"/>
        <w:numPr>
          <w:ilvl w:val="3"/>
          <w:numId w:val="3"/>
        </w:numPr>
        <w:tabs>
          <w:tab w:pos="1779" w:val="left" w:leader="none"/>
        </w:tabs>
        <w:spacing w:line="240" w:lineRule="auto" w:before="0" w:after="0"/>
        <w:ind w:left="1779" w:right="0" w:hanging="787"/>
        <w:jc w:val="left"/>
        <w:rPr>
          <w:sz w:val="22"/>
        </w:rPr>
      </w:pPr>
      <w:r>
        <w:rPr>
          <w:sz w:val="22"/>
        </w:rPr>
        <w:t>AYUNTAMIENTO</w:t>
      </w:r>
      <w:r>
        <w:rPr>
          <w:spacing w:val="-6"/>
          <w:sz w:val="22"/>
        </w:rPr>
        <w:t> </w:t>
      </w:r>
      <w:r>
        <w:rPr>
          <w:sz w:val="22"/>
        </w:rPr>
        <w:t>DE</w:t>
      </w:r>
      <w:r>
        <w:rPr>
          <w:spacing w:val="-6"/>
          <w:sz w:val="22"/>
        </w:rPr>
        <w:t> </w:t>
      </w:r>
      <w:r>
        <w:rPr>
          <w:spacing w:val="-2"/>
          <w:sz w:val="22"/>
        </w:rPr>
        <w:t>PALMA</w:t>
      </w:r>
    </w:p>
    <w:p>
      <w:pPr>
        <w:pStyle w:val="BodyText"/>
        <w:spacing w:before="239"/>
        <w:ind w:left="992" w:right="990"/>
        <w:jc w:val="both"/>
      </w:pPr>
      <w:r>
        <w:rPr/>
        <w:t>El </w:t>
      </w:r>
      <w:r>
        <w:rPr>
          <w:b/>
        </w:rPr>
        <w:t>Ayuntamiento de Palma </w:t>
      </w:r>
      <w:r>
        <w:rPr/>
        <w:t>gestiona el transporte urbano colectivo por autobús a través de una empresa pública 100 % municipal.</w:t>
      </w:r>
    </w:p>
    <w:p>
      <w:pPr>
        <w:pStyle w:val="BodyText"/>
        <w:spacing w:before="241"/>
        <w:ind w:left="992" w:right="988"/>
        <w:jc w:val="both"/>
      </w:pPr>
      <w:r>
        <w:rPr/>
        <w:t>La entidad, consciente de la antigüedad del parque móvil de transporte urbano colectivo con que contaba, que ocasionaba la emisión de más contaminación y una menor eficiencia energética, emprendió</w:t>
      </w:r>
      <w:r>
        <w:rPr>
          <w:spacing w:val="-16"/>
        </w:rPr>
        <w:t> </w:t>
      </w:r>
      <w:r>
        <w:rPr/>
        <w:t>en</w:t>
      </w:r>
      <w:r>
        <w:rPr>
          <w:spacing w:val="-15"/>
        </w:rPr>
        <w:t> </w:t>
      </w:r>
      <w:r>
        <w:rPr/>
        <w:t>2018</w:t>
      </w:r>
      <w:r>
        <w:rPr>
          <w:spacing w:val="-15"/>
        </w:rPr>
        <w:t> </w:t>
      </w:r>
      <w:r>
        <w:rPr/>
        <w:t>un</w:t>
      </w:r>
      <w:r>
        <w:rPr>
          <w:spacing w:val="-16"/>
        </w:rPr>
        <w:t> </w:t>
      </w:r>
      <w:r>
        <w:rPr/>
        <w:t>proyecto</w:t>
      </w:r>
      <w:r>
        <w:rPr>
          <w:spacing w:val="-15"/>
        </w:rPr>
        <w:t> </w:t>
      </w:r>
      <w:r>
        <w:rPr/>
        <w:t>de</w:t>
      </w:r>
      <w:r>
        <w:rPr>
          <w:spacing w:val="-15"/>
        </w:rPr>
        <w:t> </w:t>
      </w:r>
      <w:r>
        <w:rPr/>
        <w:t>renovación</w:t>
      </w:r>
      <w:r>
        <w:rPr>
          <w:spacing w:val="-15"/>
        </w:rPr>
        <w:t> </w:t>
      </w:r>
      <w:r>
        <w:rPr/>
        <w:t>de</w:t>
      </w:r>
      <w:r>
        <w:rPr>
          <w:spacing w:val="-16"/>
        </w:rPr>
        <w:t> </w:t>
      </w:r>
      <w:r>
        <w:rPr/>
        <w:t>sus</w:t>
      </w:r>
      <w:r>
        <w:rPr>
          <w:spacing w:val="-15"/>
        </w:rPr>
        <w:t> </w:t>
      </w:r>
      <w:r>
        <w:rPr/>
        <w:t>autobuses,</w:t>
      </w:r>
      <w:r>
        <w:rPr>
          <w:spacing w:val="-15"/>
        </w:rPr>
        <w:t> </w:t>
      </w:r>
      <w:r>
        <w:rPr/>
        <w:t>con</w:t>
      </w:r>
      <w:r>
        <w:rPr>
          <w:spacing w:val="-16"/>
        </w:rPr>
        <w:t> </w:t>
      </w:r>
      <w:r>
        <w:rPr/>
        <w:t>el</w:t>
      </w:r>
      <w:r>
        <w:rPr>
          <w:spacing w:val="-15"/>
        </w:rPr>
        <w:t> </w:t>
      </w:r>
      <w:r>
        <w:rPr/>
        <w:t>que</w:t>
      </w:r>
      <w:r>
        <w:rPr>
          <w:spacing w:val="-15"/>
        </w:rPr>
        <w:t> </w:t>
      </w:r>
      <w:r>
        <w:rPr/>
        <w:t>pretendía</w:t>
      </w:r>
      <w:r>
        <w:rPr>
          <w:spacing w:val="-15"/>
        </w:rPr>
        <w:t> </w:t>
      </w:r>
      <w:r>
        <w:rPr/>
        <w:t>la</w:t>
      </w:r>
      <w:r>
        <w:rPr>
          <w:spacing w:val="-16"/>
        </w:rPr>
        <w:t> </w:t>
      </w:r>
      <w:r>
        <w:rPr/>
        <w:t>eliminación de las emisiones contaminantes de CO</w:t>
      </w:r>
      <w:r>
        <w:rPr>
          <w:rFonts w:ascii="Cambria Math" w:hAnsi="Cambria Math"/>
        </w:rPr>
        <w:t>₂</w:t>
      </w:r>
      <w:r>
        <w:rPr/>
        <w:t>, partículas y la reducción del impacto sonoro. Una de las medidas adoptadas fue la aprobación de un acuerdo marco para la adquisición de autobuses urbanos de gas natural comprimido Euro VI para el periodo 2018-2023, habiéndose realizado una primera adquisición de 100 autobuses y una segunda de 44.</w:t>
      </w:r>
    </w:p>
    <w:p>
      <w:pPr>
        <w:pStyle w:val="BodyText"/>
        <w:spacing w:before="240"/>
        <w:ind w:left="992" w:right="990"/>
        <w:jc w:val="both"/>
      </w:pPr>
      <w:r>
        <w:rPr/>
        <w:t>A diciembre de 2022 la empresa contaba con una planta fotovoltaica situada en el centro de operaciones y disponía de luminarias de bajo consumo energético en este centro y en su centro administrativo.</w:t>
      </w:r>
      <w:r>
        <w:rPr>
          <w:spacing w:val="-4"/>
        </w:rPr>
        <w:t> </w:t>
      </w:r>
      <w:r>
        <w:rPr/>
        <w:t>Además,</w:t>
      </w:r>
      <w:r>
        <w:rPr>
          <w:spacing w:val="-6"/>
        </w:rPr>
        <w:t> </w:t>
      </w:r>
      <w:r>
        <w:rPr/>
        <w:t>a</w:t>
      </w:r>
      <w:r>
        <w:rPr>
          <w:spacing w:val="-5"/>
        </w:rPr>
        <w:t> </w:t>
      </w:r>
      <w:r>
        <w:rPr/>
        <w:t>dicha</w:t>
      </w:r>
      <w:r>
        <w:rPr>
          <w:spacing w:val="-5"/>
        </w:rPr>
        <w:t> </w:t>
      </w:r>
      <w:r>
        <w:rPr/>
        <w:t>fecha,</w:t>
      </w:r>
      <w:r>
        <w:rPr>
          <w:spacing w:val="-2"/>
        </w:rPr>
        <w:t> </w:t>
      </w:r>
      <w:r>
        <w:rPr/>
        <w:t>144</w:t>
      </w:r>
      <w:r>
        <w:rPr>
          <w:spacing w:val="-5"/>
        </w:rPr>
        <w:t> </w:t>
      </w:r>
      <w:r>
        <w:rPr/>
        <w:t>autobuses</w:t>
      </w:r>
      <w:r>
        <w:rPr>
          <w:spacing w:val="-5"/>
        </w:rPr>
        <w:t> </w:t>
      </w:r>
      <w:r>
        <w:rPr/>
        <w:t>disponían</w:t>
      </w:r>
      <w:r>
        <w:rPr>
          <w:spacing w:val="-5"/>
        </w:rPr>
        <w:t> </w:t>
      </w:r>
      <w:r>
        <w:rPr/>
        <w:t>de</w:t>
      </w:r>
      <w:r>
        <w:rPr>
          <w:spacing w:val="-7"/>
        </w:rPr>
        <w:t> </w:t>
      </w:r>
      <w:r>
        <w:rPr/>
        <w:t>placas</w:t>
      </w:r>
      <w:r>
        <w:rPr>
          <w:spacing w:val="-5"/>
        </w:rPr>
        <w:t> </w:t>
      </w:r>
      <w:r>
        <w:rPr/>
        <w:t>solares.</w:t>
      </w:r>
      <w:r>
        <w:rPr>
          <w:spacing w:val="-6"/>
        </w:rPr>
        <w:t> </w:t>
      </w:r>
      <w:r>
        <w:rPr/>
        <w:t>La</w:t>
      </w:r>
      <w:r>
        <w:rPr>
          <w:spacing w:val="-5"/>
        </w:rPr>
        <w:t> </w:t>
      </w:r>
      <w:r>
        <w:rPr/>
        <w:t>empresa</w:t>
      </w:r>
      <w:r>
        <w:rPr>
          <w:spacing w:val="-6"/>
        </w:rPr>
        <w:t> </w:t>
      </w:r>
      <w:r>
        <w:rPr/>
        <w:t>no contaba con hidrogeneras, electrolineras ni pantógrafos, pero sí con una gasinera.</w:t>
      </w:r>
    </w:p>
    <w:p>
      <w:pPr>
        <w:pStyle w:val="BodyText"/>
        <w:spacing w:before="239"/>
        <w:ind w:left="992" w:right="987"/>
        <w:jc w:val="both"/>
      </w:pPr>
      <w:r>
        <w:rPr/>
        <w:t>La</w:t>
      </w:r>
      <w:r>
        <w:rPr>
          <w:spacing w:val="-7"/>
        </w:rPr>
        <w:t> </w:t>
      </w:r>
      <w:r>
        <w:rPr/>
        <w:t>empresa</w:t>
      </w:r>
      <w:r>
        <w:rPr>
          <w:spacing w:val="-9"/>
        </w:rPr>
        <w:t> </w:t>
      </w:r>
      <w:r>
        <w:rPr/>
        <w:t>no</w:t>
      </w:r>
      <w:r>
        <w:rPr>
          <w:spacing w:val="-9"/>
        </w:rPr>
        <w:t> </w:t>
      </w:r>
      <w:r>
        <w:rPr/>
        <w:t>tenía</w:t>
      </w:r>
      <w:r>
        <w:rPr>
          <w:spacing w:val="-9"/>
        </w:rPr>
        <w:t> </w:t>
      </w:r>
      <w:r>
        <w:rPr/>
        <w:t>implantado</w:t>
      </w:r>
      <w:r>
        <w:rPr>
          <w:spacing w:val="-6"/>
        </w:rPr>
        <w:t> </w:t>
      </w:r>
      <w:r>
        <w:rPr/>
        <w:t>ningún</w:t>
      </w:r>
      <w:r>
        <w:rPr>
          <w:spacing w:val="-7"/>
        </w:rPr>
        <w:t> </w:t>
      </w:r>
      <w:r>
        <w:rPr/>
        <w:t>sistema</w:t>
      </w:r>
      <w:r>
        <w:rPr>
          <w:spacing w:val="-8"/>
        </w:rPr>
        <w:t> </w:t>
      </w:r>
      <w:r>
        <w:rPr/>
        <w:t>de</w:t>
      </w:r>
      <w:r>
        <w:rPr>
          <w:spacing w:val="-6"/>
        </w:rPr>
        <w:t> </w:t>
      </w:r>
      <w:r>
        <w:rPr/>
        <w:t>gestión</w:t>
      </w:r>
      <w:r>
        <w:rPr>
          <w:spacing w:val="-9"/>
        </w:rPr>
        <w:t> </w:t>
      </w:r>
      <w:r>
        <w:rPr/>
        <w:t>ambiental.</w:t>
      </w:r>
      <w:r>
        <w:rPr>
          <w:spacing w:val="-5"/>
        </w:rPr>
        <w:t> </w:t>
      </w:r>
      <w:r>
        <w:rPr/>
        <w:t>Únicamente</w:t>
      </w:r>
      <w:r>
        <w:rPr>
          <w:spacing w:val="-9"/>
        </w:rPr>
        <w:t> </w:t>
      </w:r>
      <w:r>
        <w:rPr/>
        <w:t>disponía,</w:t>
      </w:r>
      <w:r>
        <w:rPr>
          <w:spacing w:val="-7"/>
        </w:rPr>
        <w:t> </w:t>
      </w:r>
      <w:r>
        <w:rPr/>
        <w:t>según publica en su página web, de un sistema de gestión de la calidad basado</w:t>
      </w:r>
      <w:r>
        <w:rPr>
          <w:spacing w:val="-1"/>
        </w:rPr>
        <w:t> </w:t>
      </w:r>
      <w:r>
        <w:rPr/>
        <w:t>en las normas ISO 9001 de gestión de calidad, UNE 13816 de calidad en el transporte y UNE 93200 de carta de servicios. Tampoco</w:t>
      </w:r>
      <w:r>
        <w:rPr>
          <w:spacing w:val="-2"/>
        </w:rPr>
        <w:t> </w:t>
      </w:r>
      <w:r>
        <w:rPr/>
        <w:t>disponía</w:t>
      </w:r>
      <w:r>
        <w:rPr>
          <w:spacing w:val="-1"/>
        </w:rPr>
        <w:t> </w:t>
      </w:r>
      <w:r>
        <w:rPr/>
        <w:t>de</w:t>
      </w:r>
      <w:r>
        <w:rPr>
          <w:spacing w:val="-2"/>
        </w:rPr>
        <w:t> </w:t>
      </w:r>
      <w:r>
        <w:rPr/>
        <w:t>normativa</w:t>
      </w:r>
      <w:r>
        <w:rPr>
          <w:spacing w:val="-2"/>
        </w:rPr>
        <w:t> </w:t>
      </w:r>
      <w:r>
        <w:rPr/>
        <w:t>sobre</w:t>
      </w:r>
      <w:r>
        <w:rPr>
          <w:spacing w:val="-2"/>
        </w:rPr>
        <w:t> </w:t>
      </w:r>
      <w:r>
        <w:rPr/>
        <w:t>gestión</w:t>
      </w:r>
      <w:r>
        <w:rPr>
          <w:spacing w:val="-2"/>
        </w:rPr>
        <w:t> </w:t>
      </w:r>
      <w:r>
        <w:rPr/>
        <w:t>de</w:t>
      </w:r>
      <w:r>
        <w:rPr>
          <w:spacing w:val="-4"/>
        </w:rPr>
        <w:t> </w:t>
      </w:r>
      <w:r>
        <w:rPr/>
        <w:t>residuos</w:t>
      </w:r>
      <w:r>
        <w:rPr>
          <w:spacing w:val="-2"/>
        </w:rPr>
        <w:t> </w:t>
      </w:r>
      <w:r>
        <w:rPr/>
        <w:t>aplicada</w:t>
      </w:r>
      <w:r>
        <w:rPr>
          <w:spacing w:val="-2"/>
        </w:rPr>
        <w:t> </w:t>
      </w:r>
      <w:r>
        <w:rPr/>
        <w:t>al</w:t>
      </w:r>
      <w:r>
        <w:rPr>
          <w:spacing w:val="-2"/>
        </w:rPr>
        <w:t> </w:t>
      </w:r>
      <w:r>
        <w:rPr/>
        <w:t>transporte</w:t>
      </w:r>
      <w:r>
        <w:rPr>
          <w:spacing w:val="-2"/>
        </w:rPr>
        <w:t> </w:t>
      </w:r>
      <w:r>
        <w:rPr/>
        <w:t>público</w:t>
      </w:r>
      <w:r>
        <w:rPr>
          <w:spacing w:val="-2"/>
        </w:rPr>
        <w:t> </w:t>
      </w:r>
      <w:r>
        <w:rPr/>
        <w:t>colectivo, ni había llevado a cabo ninguna actuación de formación y sensibilización a su personal en esta materia, entregando los residuos peligrosos y no peligrosos derivados de su actividad a dos empresas externas especializadas en dicha gestión.</w:t>
      </w:r>
    </w:p>
    <w:p>
      <w:pPr>
        <w:pStyle w:val="BodyText"/>
        <w:spacing w:before="241"/>
        <w:ind w:left="992"/>
        <w:jc w:val="both"/>
      </w:pPr>
      <w:r>
        <w:rPr/>
        <w:t>A</w:t>
      </w:r>
      <w:r>
        <w:rPr>
          <w:spacing w:val="-6"/>
        </w:rPr>
        <w:t> </w:t>
      </w:r>
      <w:r>
        <w:rPr/>
        <w:t>31</w:t>
      </w:r>
      <w:r>
        <w:rPr>
          <w:spacing w:val="-4"/>
        </w:rPr>
        <w:t> </w:t>
      </w:r>
      <w:r>
        <w:rPr/>
        <w:t>de</w:t>
      </w:r>
      <w:r>
        <w:rPr>
          <w:spacing w:val="-5"/>
        </w:rPr>
        <w:t> </w:t>
      </w:r>
      <w:r>
        <w:rPr/>
        <w:t>diciembre</w:t>
      </w:r>
      <w:r>
        <w:rPr>
          <w:spacing w:val="-6"/>
        </w:rPr>
        <w:t> </w:t>
      </w:r>
      <w:r>
        <w:rPr/>
        <w:t>de</w:t>
      </w:r>
      <w:r>
        <w:rPr>
          <w:spacing w:val="-3"/>
        </w:rPr>
        <w:t> </w:t>
      </w:r>
      <w:r>
        <w:rPr/>
        <w:t>2022</w:t>
      </w:r>
      <w:r>
        <w:rPr>
          <w:spacing w:val="-4"/>
        </w:rPr>
        <w:t> </w:t>
      </w:r>
      <w:r>
        <w:rPr/>
        <w:t>la</w:t>
      </w:r>
      <w:r>
        <w:rPr>
          <w:spacing w:val="-4"/>
        </w:rPr>
        <w:t> </w:t>
      </w:r>
      <w:r>
        <w:rPr/>
        <w:t>ciudad</w:t>
      </w:r>
      <w:r>
        <w:rPr>
          <w:spacing w:val="-3"/>
        </w:rPr>
        <w:t> </w:t>
      </w:r>
      <w:r>
        <w:rPr/>
        <w:t>de</w:t>
      </w:r>
      <w:r>
        <w:rPr>
          <w:spacing w:val="-6"/>
        </w:rPr>
        <w:t> </w:t>
      </w:r>
      <w:r>
        <w:rPr/>
        <w:t>Palma</w:t>
      </w:r>
      <w:r>
        <w:rPr>
          <w:spacing w:val="-5"/>
        </w:rPr>
        <w:t> </w:t>
      </w:r>
      <w:r>
        <w:rPr/>
        <w:t>contaba</w:t>
      </w:r>
      <w:r>
        <w:rPr>
          <w:spacing w:val="-4"/>
        </w:rPr>
        <w:t> </w:t>
      </w:r>
      <w:r>
        <w:rPr/>
        <w:t>con</w:t>
      </w:r>
      <w:r>
        <w:rPr>
          <w:spacing w:val="-5"/>
        </w:rPr>
        <w:t> </w:t>
      </w:r>
      <w:r>
        <w:rPr/>
        <w:t>tres</w:t>
      </w:r>
      <w:r>
        <w:rPr>
          <w:spacing w:val="-6"/>
        </w:rPr>
        <w:t> </w:t>
      </w:r>
      <w:r>
        <w:rPr/>
        <w:t>aparcamientos</w:t>
      </w:r>
      <w:r>
        <w:rPr>
          <w:spacing w:val="-3"/>
        </w:rPr>
        <w:t> </w:t>
      </w:r>
      <w:r>
        <w:rPr>
          <w:spacing w:val="-2"/>
        </w:rPr>
        <w:t>disuasorios.</w:t>
      </w:r>
    </w:p>
    <w:p>
      <w:pPr>
        <w:pStyle w:val="BodyText"/>
        <w:spacing w:before="241"/>
        <w:ind w:left="992" w:right="989"/>
        <w:jc w:val="both"/>
      </w:pPr>
      <w:r>
        <w:rPr/>
        <w:t>En cuanto a las herramientas de digitalización, la entidad disponía de diversos softwares para la gestión del transporte público colectivo enfocadas a la planificación, operación, supervisión y optimización del servicio, principalmente herramientas digitales para la planificación de viajes y la mejora</w:t>
      </w:r>
      <w:r>
        <w:rPr>
          <w:spacing w:val="-9"/>
        </w:rPr>
        <w:t> </w:t>
      </w:r>
      <w:r>
        <w:rPr/>
        <w:t>de</w:t>
      </w:r>
      <w:r>
        <w:rPr>
          <w:spacing w:val="-9"/>
        </w:rPr>
        <w:t> </w:t>
      </w:r>
      <w:r>
        <w:rPr/>
        <w:t>la</w:t>
      </w:r>
      <w:r>
        <w:rPr>
          <w:spacing w:val="-9"/>
        </w:rPr>
        <w:t> </w:t>
      </w:r>
      <w:r>
        <w:rPr/>
        <w:t>información</w:t>
      </w:r>
      <w:r>
        <w:rPr>
          <w:spacing w:val="-9"/>
        </w:rPr>
        <w:t> </w:t>
      </w:r>
      <w:r>
        <w:rPr/>
        <w:t>del</w:t>
      </w:r>
      <w:r>
        <w:rPr>
          <w:spacing w:val="-10"/>
        </w:rPr>
        <w:t> </w:t>
      </w:r>
      <w:r>
        <w:rPr/>
        <w:t>transporte,</w:t>
      </w:r>
      <w:r>
        <w:rPr>
          <w:spacing w:val="-7"/>
        </w:rPr>
        <w:t> </w:t>
      </w:r>
      <w:r>
        <w:rPr/>
        <w:t>para</w:t>
      </w:r>
      <w:r>
        <w:rPr>
          <w:spacing w:val="-11"/>
        </w:rPr>
        <w:t> </w:t>
      </w:r>
      <w:r>
        <w:rPr/>
        <w:t>la</w:t>
      </w:r>
      <w:r>
        <w:rPr>
          <w:spacing w:val="-9"/>
        </w:rPr>
        <w:t> </w:t>
      </w:r>
      <w:r>
        <w:rPr/>
        <w:t>venta</w:t>
      </w:r>
      <w:r>
        <w:rPr>
          <w:spacing w:val="-8"/>
        </w:rPr>
        <w:t> </w:t>
      </w:r>
      <w:r>
        <w:rPr/>
        <w:t>de</w:t>
      </w:r>
      <w:r>
        <w:rPr>
          <w:spacing w:val="-9"/>
        </w:rPr>
        <w:t> </w:t>
      </w:r>
      <w:r>
        <w:rPr/>
        <w:t>billetes</w:t>
      </w:r>
      <w:r>
        <w:rPr>
          <w:spacing w:val="-8"/>
        </w:rPr>
        <w:t> </w:t>
      </w:r>
      <w:r>
        <w:rPr/>
        <w:t>y</w:t>
      </w:r>
      <w:r>
        <w:rPr>
          <w:spacing w:val="-8"/>
        </w:rPr>
        <w:t> </w:t>
      </w:r>
      <w:r>
        <w:rPr/>
        <w:t>para</w:t>
      </w:r>
      <w:r>
        <w:rPr>
          <w:spacing w:val="-9"/>
        </w:rPr>
        <w:t> </w:t>
      </w:r>
      <w:r>
        <w:rPr/>
        <w:t>el</w:t>
      </w:r>
      <w:r>
        <w:rPr>
          <w:spacing w:val="-12"/>
        </w:rPr>
        <w:t> </w:t>
      </w:r>
      <w:r>
        <w:rPr/>
        <w:t>mantenimiento</w:t>
      </w:r>
      <w:r>
        <w:rPr>
          <w:spacing w:val="-9"/>
        </w:rPr>
        <w:t> </w:t>
      </w:r>
      <w:r>
        <w:rPr/>
        <w:t>de</w:t>
      </w:r>
      <w:r>
        <w:rPr>
          <w:spacing w:val="-9"/>
        </w:rPr>
        <w:t> </w:t>
      </w:r>
      <w:r>
        <w:rPr/>
        <w:t>la</w:t>
      </w:r>
      <w:r>
        <w:rPr>
          <w:spacing w:val="-9"/>
        </w:rPr>
        <w:t> </w:t>
      </w:r>
      <w:r>
        <w:rPr/>
        <w:t>flota. Además,</w:t>
      </w:r>
      <w:r>
        <w:rPr>
          <w:spacing w:val="-2"/>
        </w:rPr>
        <w:t> </w:t>
      </w:r>
      <w:r>
        <w:rPr/>
        <w:t>contaba</w:t>
      </w:r>
      <w:r>
        <w:rPr>
          <w:spacing w:val="-1"/>
        </w:rPr>
        <w:t> </w:t>
      </w:r>
      <w:r>
        <w:rPr/>
        <w:t>con</w:t>
      </w:r>
      <w:r>
        <w:rPr>
          <w:spacing w:val="-3"/>
        </w:rPr>
        <w:t> </w:t>
      </w:r>
      <w:r>
        <w:rPr/>
        <w:t>una</w:t>
      </w:r>
      <w:r>
        <w:rPr>
          <w:spacing w:val="-1"/>
        </w:rPr>
        <w:t> </w:t>
      </w:r>
      <w:r>
        <w:rPr/>
        <w:t>aplicación</w:t>
      </w:r>
      <w:r>
        <w:rPr>
          <w:spacing w:val="-1"/>
        </w:rPr>
        <w:t> </w:t>
      </w:r>
      <w:r>
        <w:rPr/>
        <w:t>móvil</w:t>
      </w:r>
      <w:r>
        <w:rPr>
          <w:spacing w:val="-1"/>
        </w:rPr>
        <w:t> </w:t>
      </w:r>
      <w:r>
        <w:rPr/>
        <w:t>que</w:t>
      </w:r>
      <w:r>
        <w:rPr>
          <w:spacing w:val="-1"/>
        </w:rPr>
        <w:t> </w:t>
      </w:r>
      <w:r>
        <w:rPr/>
        <w:t>permitía</w:t>
      </w:r>
      <w:r>
        <w:rPr>
          <w:spacing w:val="-1"/>
        </w:rPr>
        <w:t> </w:t>
      </w:r>
      <w:r>
        <w:rPr/>
        <w:t>al</w:t>
      </w:r>
      <w:r>
        <w:rPr>
          <w:spacing w:val="-1"/>
        </w:rPr>
        <w:t> </w:t>
      </w:r>
      <w:r>
        <w:rPr/>
        <w:t>usuario</w:t>
      </w:r>
      <w:r>
        <w:rPr>
          <w:spacing w:val="-1"/>
        </w:rPr>
        <w:t> </w:t>
      </w:r>
      <w:r>
        <w:rPr/>
        <w:t>la</w:t>
      </w:r>
      <w:r>
        <w:rPr>
          <w:spacing w:val="-1"/>
        </w:rPr>
        <w:t> </w:t>
      </w:r>
      <w:r>
        <w:rPr/>
        <w:t>consulta</w:t>
      </w:r>
      <w:r>
        <w:rPr>
          <w:spacing w:val="-1"/>
        </w:rPr>
        <w:t> </w:t>
      </w:r>
      <w:r>
        <w:rPr/>
        <w:t>de</w:t>
      </w:r>
      <w:r>
        <w:rPr>
          <w:spacing w:val="-1"/>
        </w:rPr>
        <w:t> </w:t>
      </w:r>
      <w:r>
        <w:rPr/>
        <w:t>líneas,</w:t>
      </w:r>
      <w:r>
        <w:rPr>
          <w:spacing w:val="-2"/>
        </w:rPr>
        <w:t> </w:t>
      </w:r>
      <w:r>
        <w:rPr/>
        <w:t>horarios</w:t>
      </w:r>
      <w:r>
        <w:rPr>
          <w:spacing w:val="-1"/>
        </w:rPr>
        <w:t> </w:t>
      </w:r>
      <w:r>
        <w:rPr/>
        <w:t>y la previsión de llegadas en tiempo real.</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7"/>
        <w:jc w:val="both"/>
      </w:pPr>
      <w:r>
        <w:rPr/>
        <w:t>Durante los ejercicios fiscalizados el </w:t>
      </w:r>
      <w:r>
        <w:rPr>
          <w:b/>
        </w:rPr>
        <w:t>Ayuntamiento de Palma </w:t>
      </w:r>
      <w:r>
        <w:rPr/>
        <w:t>ha seguido avanzando hacia la sostenibilidad del transporte público colectivo, mediante medidas dirigidas a una mayor sostenibilidad</w:t>
      </w:r>
      <w:r>
        <w:rPr>
          <w:spacing w:val="-12"/>
        </w:rPr>
        <w:t> </w:t>
      </w:r>
      <w:r>
        <w:rPr/>
        <w:t>social</w:t>
      </w:r>
      <w:r>
        <w:rPr>
          <w:spacing w:val="-12"/>
        </w:rPr>
        <w:t> </w:t>
      </w:r>
      <w:r>
        <w:rPr/>
        <w:t>y</w:t>
      </w:r>
      <w:r>
        <w:rPr>
          <w:spacing w:val="-13"/>
        </w:rPr>
        <w:t> </w:t>
      </w:r>
      <w:r>
        <w:rPr/>
        <w:t>medioambiental.</w:t>
      </w:r>
      <w:r>
        <w:rPr>
          <w:spacing w:val="-11"/>
        </w:rPr>
        <w:t> </w:t>
      </w:r>
      <w:r>
        <w:rPr/>
        <w:t>El</w:t>
      </w:r>
      <w:r>
        <w:rPr>
          <w:spacing w:val="-14"/>
        </w:rPr>
        <w:t> </w:t>
      </w:r>
      <w:r>
        <w:rPr/>
        <w:t>total</w:t>
      </w:r>
      <w:r>
        <w:rPr>
          <w:spacing w:val="-12"/>
        </w:rPr>
        <w:t> </w:t>
      </w:r>
      <w:r>
        <w:rPr/>
        <w:t>de</w:t>
      </w:r>
      <w:r>
        <w:rPr>
          <w:spacing w:val="-14"/>
        </w:rPr>
        <w:t> </w:t>
      </w:r>
      <w:r>
        <w:rPr/>
        <w:t>actuaciones,</w:t>
      </w:r>
      <w:r>
        <w:rPr>
          <w:spacing w:val="-12"/>
        </w:rPr>
        <w:t> </w:t>
      </w:r>
      <w:r>
        <w:rPr/>
        <w:t>por</w:t>
      </w:r>
      <w:r>
        <w:rPr>
          <w:spacing w:val="-12"/>
        </w:rPr>
        <w:t> </w:t>
      </w:r>
      <w:r>
        <w:rPr/>
        <w:t>importe</w:t>
      </w:r>
      <w:r>
        <w:rPr>
          <w:spacing w:val="-14"/>
        </w:rPr>
        <w:t> </w:t>
      </w:r>
      <w:r>
        <w:rPr/>
        <w:t>de</w:t>
      </w:r>
      <w:r>
        <w:rPr>
          <w:spacing w:val="-14"/>
        </w:rPr>
        <w:t> </w:t>
      </w:r>
      <w:r>
        <w:rPr/>
        <w:t>43.143.888,85</w:t>
      </w:r>
      <w:r>
        <w:rPr>
          <w:spacing w:val="-13"/>
        </w:rPr>
        <w:t> </w:t>
      </w:r>
      <w:r>
        <w:rPr/>
        <w:t>euros, se relaciona en el </w:t>
      </w:r>
      <w:hyperlink w:history="true" w:anchor="_bookmark148">
        <w:r>
          <w:rPr/>
          <w:t>Anexo XII</w:t>
        </w:r>
      </w:hyperlink>
      <w:r>
        <w:rPr/>
        <w:t>.</w:t>
      </w:r>
    </w:p>
    <w:p>
      <w:pPr>
        <w:pStyle w:val="BodyText"/>
        <w:spacing w:before="241"/>
        <w:ind w:left="992" w:right="990"/>
        <w:jc w:val="both"/>
      </w:pPr>
      <w:r>
        <w:rPr/>
        <w:t>En septiembre de 2022</w:t>
      </w:r>
      <w:r>
        <w:rPr>
          <w:spacing w:val="-1"/>
        </w:rPr>
        <w:t> </w:t>
      </w:r>
      <w:r>
        <w:rPr/>
        <w:t>Palma aprobó un nuevo PMUS que sustituía al anterior de 2014. En dicho plan</w:t>
      </w:r>
      <w:r>
        <w:rPr>
          <w:spacing w:val="-4"/>
        </w:rPr>
        <w:t> </w:t>
      </w:r>
      <w:r>
        <w:rPr/>
        <w:t>se</w:t>
      </w:r>
      <w:r>
        <w:rPr>
          <w:spacing w:val="-4"/>
        </w:rPr>
        <w:t> </w:t>
      </w:r>
      <w:r>
        <w:rPr/>
        <w:t>analizaron</w:t>
      </w:r>
      <w:r>
        <w:rPr>
          <w:spacing w:val="-6"/>
        </w:rPr>
        <w:t> </w:t>
      </w:r>
      <w:r>
        <w:rPr/>
        <w:t>los</w:t>
      </w:r>
      <w:r>
        <w:rPr>
          <w:spacing w:val="-6"/>
        </w:rPr>
        <w:t> </w:t>
      </w:r>
      <w:r>
        <w:rPr/>
        <w:t>datos</w:t>
      </w:r>
      <w:r>
        <w:rPr>
          <w:spacing w:val="-6"/>
        </w:rPr>
        <w:t> </w:t>
      </w:r>
      <w:r>
        <w:rPr/>
        <w:t>de</w:t>
      </w:r>
      <w:r>
        <w:rPr>
          <w:spacing w:val="-7"/>
        </w:rPr>
        <w:t> </w:t>
      </w:r>
      <w:r>
        <w:rPr/>
        <w:t>movilidad</w:t>
      </w:r>
      <w:r>
        <w:rPr>
          <w:spacing w:val="-4"/>
        </w:rPr>
        <w:t> </w:t>
      </w:r>
      <w:r>
        <w:rPr/>
        <w:t>de</w:t>
      </w:r>
      <w:r>
        <w:rPr>
          <w:spacing w:val="-7"/>
        </w:rPr>
        <w:t> </w:t>
      </w:r>
      <w:r>
        <w:rPr/>
        <w:t>la</w:t>
      </w:r>
      <w:r>
        <w:rPr>
          <w:spacing w:val="-4"/>
        </w:rPr>
        <w:t> </w:t>
      </w:r>
      <w:r>
        <w:rPr/>
        <w:t>ciudad,</w:t>
      </w:r>
      <w:r>
        <w:rPr>
          <w:spacing w:val="-5"/>
        </w:rPr>
        <w:t> </w:t>
      </w:r>
      <w:r>
        <w:rPr/>
        <w:t>recogiéndose</w:t>
      </w:r>
      <w:r>
        <w:rPr>
          <w:spacing w:val="-6"/>
        </w:rPr>
        <w:t> </w:t>
      </w:r>
      <w:r>
        <w:rPr/>
        <w:t>como</w:t>
      </w:r>
      <w:r>
        <w:rPr>
          <w:spacing w:val="-6"/>
        </w:rPr>
        <w:t> </w:t>
      </w:r>
      <w:r>
        <w:rPr/>
        <w:t>uno</w:t>
      </w:r>
      <w:r>
        <w:rPr>
          <w:spacing w:val="-6"/>
        </w:rPr>
        <w:t> </w:t>
      </w:r>
      <w:r>
        <w:rPr/>
        <w:t>de</w:t>
      </w:r>
      <w:r>
        <w:rPr>
          <w:spacing w:val="-7"/>
        </w:rPr>
        <w:t> </w:t>
      </w:r>
      <w:r>
        <w:rPr/>
        <w:t>sus</w:t>
      </w:r>
      <w:r>
        <w:rPr>
          <w:spacing w:val="-6"/>
        </w:rPr>
        <w:t> </w:t>
      </w:r>
      <w:r>
        <w:rPr/>
        <w:t>objetivos</w:t>
      </w:r>
      <w:r>
        <w:rPr>
          <w:spacing w:val="-6"/>
        </w:rPr>
        <w:t> </w:t>
      </w:r>
      <w:r>
        <w:rPr/>
        <w:t>un crecimiento del transporte público de un 5 %, pasando del 13 % en 2022</w:t>
      </w:r>
      <w:r>
        <w:rPr>
          <w:spacing w:val="-1"/>
        </w:rPr>
        <w:t> </w:t>
      </w:r>
      <w:r>
        <w:rPr/>
        <w:t>al 18 % en 2030. Para lo consecución de estos objetivos se recogieron cuarenta acciones estructuradas en siete ejes, uno de ellos, la mejora del transporte público de la empresa municipal.</w:t>
      </w:r>
    </w:p>
    <w:p>
      <w:pPr>
        <w:pStyle w:val="BodyText"/>
        <w:spacing w:before="240"/>
        <w:ind w:left="992" w:right="988"/>
        <w:jc w:val="both"/>
      </w:pPr>
      <w:r>
        <w:rPr/>
        <w:t>Por ello, la mayor inversión de esta entidad se ha destinado a la adquisición de autobuses, por importe</w:t>
      </w:r>
      <w:r>
        <w:rPr>
          <w:spacing w:val="-4"/>
        </w:rPr>
        <w:t> </w:t>
      </w:r>
      <w:r>
        <w:rPr/>
        <w:t>de</w:t>
      </w:r>
      <w:r>
        <w:rPr>
          <w:spacing w:val="-2"/>
        </w:rPr>
        <w:t> </w:t>
      </w:r>
      <w:r>
        <w:rPr/>
        <w:t>29.236.600,00</w:t>
      </w:r>
      <w:r>
        <w:rPr>
          <w:spacing w:val="-1"/>
        </w:rPr>
        <w:t> </w:t>
      </w:r>
      <w:r>
        <w:rPr/>
        <w:t>euros,</w:t>
      </w:r>
      <w:r>
        <w:rPr>
          <w:spacing w:val="-3"/>
        </w:rPr>
        <w:t> </w:t>
      </w:r>
      <w:r>
        <w:rPr/>
        <w:t>IVA</w:t>
      </w:r>
      <w:r>
        <w:rPr>
          <w:spacing w:val="-2"/>
        </w:rPr>
        <w:t> </w:t>
      </w:r>
      <w:r>
        <w:rPr/>
        <w:t>excluido, con</w:t>
      </w:r>
      <w:r>
        <w:rPr>
          <w:spacing w:val="-2"/>
        </w:rPr>
        <w:t> </w:t>
      </w:r>
      <w:r>
        <w:rPr/>
        <w:t>un 67,77</w:t>
      </w:r>
      <w:r>
        <w:rPr>
          <w:spacing w:val="-4"/>
        </w:rPr>
        <w:t> </w:t>
      </w:r>
      <w:r>
        <w:rPr/>
        <w:t>%</w:t>
      </w:r>
      <w:r>
        <w:rPr>
          <w:spacing w:val="-1"/>
        </w:rPr>
        <w:t> </w:t>
      </w:r>
      <w:r>
        <w:rPr/>
        <w:t>del</w:t>
      </w:r>
      <w:r>
        <w:rPr>
          <w:spacing w:val="-2"/>
        </w:rPr>
        <w:t> </w:t>
      </w:r>
      <w:r>
        <w:rPr/>
        <w:t>importe</w:t>
      </w:r>
      <w:r>
        <w:rPr>
          <w:spacing w:val="-4"/>
        </w:rPr>
        <w:t> </w:t>
      </w:r>
      <w:r>
        <w:rPr/>
        <w:t>total</w:t>
      </w:r>
      <w:r>
        <w:rPr>
          <w:spacing w:val="-2"/>
        </w:rPr>
        <w:t> </w:t>
      </w:r>
      <w:r>
        <w:rPr/>
        <w:t>de</w:t>
      </w:r>
      <w:r>
        <w:rPr>
          <w:spacing w:val="-2"/>
        </w:rPr>
        <w:t> </w:t>
      </w:r>
      <w:r>
        <w:rPr/>
        <w:t>las</w:t>
      </w:r>
      <w:r>
        <w:rPr>
          <w:spacing w:val="-2"/>
        </w:rPr>
        <w:t> </w:t>
      </w:r>
      <w:r>
        <w:rPr/>
        <w:t>actuaciones realizadas en 2023 y 2024. Se han incorporado sesenta y un autobuses, diecisiete eléctricos y cuarenta y cuatro de GNC, todos ellos recepcionados en el periodo fiscalizado, y se ha dotado de infraestructura para la recarga de doce autobuses eléctricos.</w:t>
      </w:r>
    </w:p>
    <w:p>
      <w:pPr>
        <w:pStyle w:val="BodyText"/>
        <w:spacing w:before="240"/>
        <w:ind w:left="992" w:right="994"/>
        <w:jc w:val="both"/>
      </w:pPr>
      <w:r>
        <w:rPr/>
        <w:t>Además, la entidad realizó actuaciones dirigidas a la mejora de accesibilidad de las paradas, actuaciones que incluían la adquisición de nuevas marquesinas y la ejecución de las obras necesarias para su instalación, así como la mejora de accesibilidad de las ya existentes.</w:t>
      </w:r>
    </w:p>
    <w:p>
      <w:pPr>
        <w:pStyle w:val="BodyText"/>
        <w:spacing w:before="240"/>
        <w:ind w:left="992" w:right="991"/>
        <w:jc w:val="both"/>
      </w:pPr>
      <w:r>
        <w:rPr/>
        <w:t>Durante el periodo fiscalizado la entidad ha incorporado diversas soluciones tecnológicas en el transporte que han consistido en la digitalización de los medios de pago y la eliminación del pago en efectivo; la digitalización de los sistemas de comunicación e información; la implantación de sistemas de sensorización y monitorización de los autobuses, así como de antiemparejamiento de autobuses y de conducción eficiente; y el desarrollo y puesta en servicio de sistema digital de información a usuarios del transporte público, entre otras.</w:t>
      </w:r>
    </w:p>
    <w:p>
      <w:pPr>
        <w:pStyle w:val="BodyText"/>
        <w:spacing w:before="242"/>
        <w:ind w:left="992" w:right="990"/>
        <w:jc w:val="both"/>
      </w:pPr>
      <w:r>
        <w:rPr/>
        <w:t>Por</w:t>
      </w:r>
      <w:r>
        <w:rPr>
          <w:spacing w:val="-7"/>
        </w:rPr>
        <w:t> </w:t>
      </w:r>
      <w:r>
        <w:rPr/>
        <w:t>último,</w:t>
      </w:r>
      <w:r>
        <w:rPr>
          <w:spacing w:val="-8"/>
        </w:rPr>
        <w:t> </w:t>
      </w:r>
      <w:r>
        <w:rPr/>
        <w:t>la</w:t>
      </w:r>
      <w:r>
        <w:rPr>
          <w:spacing w:val="-8"/>
        </w:rPr>
        <w:t> </w:t>
      </w:r>
      <w:r>
        <w:rPr/>
        <w:t>entidad</w:t>
      </w:r>
      <w:r>
        <w:rPr>
          <w:spacing w:val="-8"/>
        </w:rPr>
        <w:t> </w:t>
      </w:r>
      <w:r>
        <w:rPr/>
        <w:t>llevó</w:t>
      </w:r>
      <w:r>
        <w:rPr>
          <w:spacing w:val="-8"/>
        </w:rPr>
        <w:t> </w:t>
      </w:r>
      <w:r>
        <w:rPr/>
        <w:t>a</w:t>
      </w:r>
      <w:r>
        <w:rPr>
          <w:spacing w:val="-8"/>
        </w:rPr>
        <w:t> </w:t>
      </w:r>
      <w:r>
        <w:rPr/>
        <w:t>cabo</w:t>
      </w:r>
      <w:r>
        <w:rPr>
          <w:spacing w:val="-8"/>
        </w:rPr>
        <w:t> </w:t>
      </w:r>
      <w:r>
        <w:rPr/>
        <w:t>un</w:t>
      </w:r>
      <w:r>
        <w:rPr>
          <w:spacing w:val="-8"/>
        </w:rPr>
        <w:t> </w:t>
      </w:r>
      <w:r>
        <w:rPr/>
        <w:t>proyecto</w:t>
      </w:r>
      <w:r>
        <w:rPr>
          <w:spacing w:val="-8"/>
        </w:rPr>
        <w:t> </w:t>
      </w:r>
      <w:r>
        <w:rPr/>
        <w:t>educativo</w:t>
      </w:r>
      <w:r>
        <w:rPr>
          <w:spacing w:val="-8"/>
        </w:rPr>
        <w:t> </w:t>
      </w:r>
      <w:r>
        <w:rPr/>
        <w:t>para</w:t>
      </w:r>
      <w:r>
        <w:rPr>
          <w:spacing w:val="-8"/>
        </w:rPr>
        <w:t> </w:t>
      </w:r>
      <w:r>
        <w:rPr/>
        <w:t>la</w:t>
      </w:r>
      <w:r>
        <w:rPr>
          <w:spacing w:val="-8"/>
        </w:rPr>
        <w:t> </w:t>
      </w:r>
      <w:r>
        <w:rPr/>
        <w:t>promoción</w:t>
      </w:r>
      <w:r>
        <w:rPr>
          <w:spacing w:val="-11"/>
        </w:rPr>
        <w:t> </w:t>
      </w:r>
      <w:r>
        <w:rPr/>
        <w:t>y</w:t>
      </w:r>
      <w:r>
        <w:rPr>
          <w:spacing w:val="-7"/>
        </w:rPr>
        <w:t> </w:t>
      </w:r>
      <w:r>
        <w:rPr/>
        <w:t>difusión</w:t>
      </w:r>
      <w:r>
        <w:rPr>
          <w:spacing w:val="-8"/>
        </w:rPr>
        <w:t> </w:t>
      </w:r>
      <w:r>
        <w:rPr/>
        <w:t>del</w:t>
      </w:r>
      <w:r>
        <w:rPr>
          <w:spacing w:val="-9"/>
        </w:rPr>
        <w:t> </w:t>
      </w:r>
      <w:r>
        <w:rPr/>
        <w:t>transporte público,</w:t>
      </w:r>
      <w:r>
        <w:rPr>
          <w:spacing w:val="-5"/>
        </w:rPr>
        <w:t> </w:t>
      </w:r>
      <w:r>
        <w:rPr/>
        <w:t>con</w:t>
      </w:r>
      <w:r>
        <w:rPr>
          <w:spacing w:val="-9"/>
        </w:rPr>
        <w:t> </w:t>
      </w:r>
      <w:r>
        <w:rPr/>
        <w:t>el</w:t>
      </w:r>
      <w:r>
        <w:rPr>
          <w:spacing w:val="-7"/>
        </w:rPr>
        <w:t> </w:t>
      </w:r>
      <w:r>
        <w:rPr/>
        <w:t>objetivo,</w:t>
      </w:r>
      <w:r>
        <w:rPr>
          <w:spacing w:val="-5"/>
        </w:rPr>
        <w:t> </w:t>
      </w:r>
      <w:r>
        <w:rPr/>
        <w:t>entre</w:t>
      </w:r>
      <w:r>
        <w:rPr>
          <w:spacing w:val="-9"/>
        </w:rPr>
        <w:t> </w:t>
      </w:r>
      <w:r>
        <w:rPr/>
        <w:t>otros,</w:t>
      </w:r>
      <w:r>
        <w:rPr>
          <w:spacing w:val="-8"/>
        </w:rPr>
        <w:t> </w:t>
      </w:r>
      <w:r>
        <w:rPr/>
        <w:t>de</w:t>
      </w:r>
      <w:r>
        <w:rPr>
          <w:spacing w:val="-9"/>
        </w:rPr>
        <w:t> </w:t>
      </w:r>
      <w:r>
        <w:rPr/>
        <w:t>fomentar</w:t>
      </w:r>
      <w:r>
        <w:rPr>
          <w:spacing w:val="-8"/>
        </w:rPr>
        <w:t> </w:t>
      </w:r>
      <w:r>
        <w:rPr/>
        <w:t>el</w:t>
      </w:r>
      <w:r>
        <w:rPr>
          <w:spacing w:val="-10"/>
        </w:rPr>
        <w:t> </w:t>
      </w:r>
      <w:r>
        <w:rPr/>
        <w:t>uso</w:t>
      </w:r>
      <w:r>
        <w:rPr>
          <w:spacing w:val="-9"/>
        </w:rPr>
        <w:t> </w:t>
      </w:r>
      <w:r>
        <w:rPr/>
        <w:t>del</w:t>
      </w:r>
      <w:r>
        <w:rPr>
          <w:spacing w:val="-7"/>
        </w:rPr>
        <w:t> </w:t>
      </w:r>
      <w:r>
        <w:rPr/>
        <w:t>bus</w:t>
      </w:r>
      <w:r>
        <w:rPr>
          <w:spacing w:val="-8"/>
        </w:rPr>
        <w:t> </w:t>
      </w:r>
      <w:r>
        <w:rPr/>
        <w:t>como</w:t>
      </w:r>
      <w:r>
        <w:rPr>
          <w:spacing w:val="-9"/>
        </w:rPr>
        <w:t> </w:t>
      </w:r>
      <w:r>
        <w:rPr/>
        <w:t>alternativa</w:t>
      </w:r>
      <w:r>
        <w:rPr>
          <w:spacing w:val="-7"/>
        </w:rPr>
        <w:t> </w:t>
      </w:r>
      <w:r>
        <w:rPr/>
        <w:t>sostenible</w:t>
      </w:r>
      <w:r>
        <w:rPr>
          <w:spacing w:val="-6"/>
        </w:rPr>
        <w:t> </w:t>
      </w:r>
      <w:r>
        <w:rPr/>
        <w:t>al</w:t>
      </w:r>
      <w:r>
        <w:rPr>
          <w:spacing w:val="-10"/>
        </w:rPr>
        <w:t> </w:t>
      </w:r>
      <w:r>
        <w:rPr/>
        <w:t>coche y</w:t>
      </w:r>
      <w:r>
        <w:rPr>
          <w:spacing w:val="-2"/>
        </w:rPr>
        <w:t> </w:t>
      </w:r>
      <w:r>
        <w:rPr/>
        <w:t>sensibilizar</w:t>
      </w:r>
      <w:r>
        <w:rPr>
          <w:spacing w:val="-2"/>
        </w:rPr>
        <w:t> </w:t>
      </w:r>
      <w:r>
        <w:rPr/>
        <w:t>sobre</w:t>
      </w:r>
      <w:r>
        <w:rPr>
          <w:spacing w:val="-5"/>
        </w:rPr>
        <w:t> </w:t>
      </w:r>
      <w:r>
        <w:rPr/>
        <w:t>las</w:t>
      </w:r>
      <w:r>
        <w:rPr>
          <w:spacing w:val="-3"/>
        </w:rPr>
        <w:t> </w:t>
      </w:r>
      <w:r>
        <w:rPr/>
        <w:t>diferentes</w:t>
      </w:r>
      <w:r>
        <w:rPr>
          <w:spacing w:val="-3"/>
        </w:rPr>
        <w:t> </w:t>
      </w:r>
      <w:r>
        <w:rPr/>
        <w:t>problemáticas</w:t>
      </w:r>
      <w:r>
        <w:rPr>
          <w:spacing w:val="-5"/>
        </w:rPr>
        <w:t> </w:t>
      </w:r>
      <w:r>
        <w:rPr/>
        <w:t>medioambientales</w:t>
      </w:r>
      <w:r>
        <w:rPr>
          <w:spacing w:val="-5"/>
        </w:rPr>
        <w:t> </w:t>
      </w:r>
      <w:r>
        <w:rPr/>
        <w:t>y</w:t>
      </w:r>
      <w:r>
        <w:rPr>
          <w:spacing w:val="-2"/>
        </w:rPr>
        <w:t> </w:t>
      </w:r>
      <w:r>
        <w:rPr/>
        <w:t>urbanas</w:t>
      </w:r>
      <w:r>
        <w:rPr>
          <w:spacing w:val="-3"/>
        </w:rPr>
        <w:t> </w:t>
      </w:r>
      <w:r>
        <w:rPr/>
        <w:t>derivadas</w:t>
      </w:r>
      <w:r>
        <w:rPr>
          <w:spacing w:val="-5"/>
        </w:rPr>
        <w:t> </w:t>
      </w:r>
      <w:r>
        <w:rPr/>
        <w:t>del</w:t>
      </w:r>
      <w:r>
        <w:rPr>
          <w:spacing w:val="-3"/>
        </w:rPr>
        <w:t> </w:t>
      </w:r>
      <w:r>
        <w:rPr/>
        <w:t>uso</w:t>
      </w:r>
      <w:r>
        <w:rPr>
          <w:spacing w:val="-3"/>
        </w:rPr>
        <w:t> </w:t>
      </w:r>
      <w:r>
        <w:rPr/>
        <w:t>de </w:t>
      </w:r>
      <w:r>
        <w:rPr>
          <w:spacing w:val="-2"/>
        </w:rPr>
        <w:t>este.</w:t>
      </w:r>
    </w:p>
    <w:p>
      <w:pPr>
        <w:pStyle w:val="BodyText"/>
        <w:spacing w:before="238"/>
        <w:ind w:left="992" w:right="988"/>
        <w:jc w:val="both"/>
      </w:pPr>
      <w:r>
        <w:rPr/>
        <w:t>Para la financiación de estas actuaciones la entidad ha contado con ayudas del citado Programa del</w:t>
      </w:r>
      <w:r>
        <w:rPr>
          <w:spacing w:val="-10"/>
        </w:rPr>
        <w:t> </w:t>
      </w:r>
      <w:r>
        <w:rPr/>
        <w:t>PRTR.</w:t>
      </w:r>
      <w:r>
        <w:rPr>
          <w:spacing w:val="-7"/>
        </w:rPr>
        <w:t> </w:t>
      </w:r>
      <w:r>
        <w:rPr/>
        <w:t>El</w:t>
      </w:r>
      <w:r>
        <w:rPr>
          <w:spacing w:val="-10"/>
        </w:rPr>
        <w:t> </w:t>
      </w:r>
      <w:r>
        <w:rPr/>
        <w:t>Ayuntamiento</w:t>
      </w:r>
      <w:r>
        <w:rPr>
          <w:spacing w:val="-8"/>
        </w:rPr>
        <w:t> </w:t>
      </w:r>
      <w:r>
        <w:rPr/>
        <w:t>ha</w:t>
      </w:r>
      <w:r>
        <w:rPr>
          <w:spacing w:val="-12"/>
        </w:rPr>
        <w:t> </w:t>
      </w:r>
      <w:r>
        <w:rPr/>
        <w:t>recibido</w:t>
      </w:r>
      <w:r>
        <w:rPr>
          <w:spacing w:val="-12"/>
        </w:rPr>
        <w:t> </w:t>
      </w:r>
      <w:r>
        <w:rPr/>
        <w:t>subvenciones</w:t>
      </w:r>
      <w:r>
        <w:rPr>
          <w:spacing w:val="-9"/>
        </w:rPr>
        <w:t> </w:t>
      </w:r>
      <w:r>
        <w:rPr/>
        <w:t>para</w:t>
      </w:r>
      <w:r>
        <w:rPr>
          <w:spacing w:val="-11"/>
        </w:rPr>
        <w:t> </w:t>
      </w:r>
      <w:r>
        <w:rPr/>
        <w:t>tres</w:t>
      </w:r>
      <w:r>
        <w:rPr>
          <w:spacing w:val="-11"/>
        </w:rPr>
        <w:t> </w:t>
      </w:r>
      <w:r>
        <w:rPr/>
        <w:t>proyectos,</w:t>
      </w:r>
      <w:r>
        <w:rPr>
          <w:spacing w:val="-7"/>
        </w:rPr>
        <w:t> </w:t>
      </w:r>
      <w:r>
        <w:rPr/>
        <w:t>dos</w:t>
      </w:r>
      <w:r>
        <w:rPr>
          <w:spacing w:val="-11"/>
        </w:rPr>
        <w:t> </w:t>
      </w:r>
      <w:r>
        <w:rPr/>
        <w:t>de</w:t>
      </w:r>
      <w:r>
        <w:rPr>
          <w:spacing w:val="-12"/>
        </w:rPr>
        <w:t> </w:t>
      </w:r>
      <w:r>
        <w:rPr/>
        <w:t>ellos</w:t>
      </w:r>
      <w:r>
        <w:rPr>
          <w:spacing w:val="-9"/>
        </w:rPr>
        <w:t> </w:t>
      </w:r>
      <w:r>
        <w:rPr/>
        <w:t>presentados de manera individualizada ante el</w:t>
      </w:r>
      <w:r>
        <w:rPr>
          <w:spacing w:val="-1"/>
        </w:rPr>
        <w:t> </w:t>
      </w:r>
      <w:r>
        <w:rPr/>
        <w:t>MITMA y otro en agrupación con otros tres ayuntamientos, para el</w:t>
      </w:r>
      <w:r>
        <w:rPr>
          <w:spacing w:val="-6"/>
        </w:rPr>
        <w:t> </w:t>
      </w:r>
      <w:r>
        <w:rPr/>
        <w:t>desarrollo</w:t>
      </w:r>
      <w:r>
        <w:rPr>
          <w:spacing w:val="-5"/>
        </w:rPr>
        <w:t> </w:t>
      </w:r>
      <w:r>
        <w:rPr/>
        <w:t>del</w:t>
      </w:r>
      <w:r>
        <w:rPr>
          <w:spacing w:val="-6"/>
        </w:rPr>
        <w:t> </w:t>
      </w:r>
      <w:r>
        <w:rPr/>
        <w:t>proyecto</w:t>
      </w:r>
      <w:r>
        <w:rPr>
          <w:spacing w:val="-6"/>
        </w:rPr>
        <w:t> </w:t>
      </w:r>
      <w:r>
        <w:rPr/>
        <w:t>INNOBUS-TUR.</w:t>
      </w:r>
      <w:r>
        <w:rPr>
          <w:spacing w:val="-4"/>
        </w:rPr>
        <w:t> </w:t>
      </w:r>
      <w:r>
        <w:rPr/>
        <w:t>Además,</w:t>
      </w:r>
      <w:r>
        <w:rPr>
          <w:spacing w:val="-4"/>
        </w:rPr>
        <w:t> </w:t>
      </w:r>
      <w:r>
        <w:rPr/>
        <w:t>para</w:t>
      </w:r>
      <w:r>
        <w:rPr>
          <w:spacing w:val="-7"/>
        </w:rPr>
        <w:t> </w:t>
      </w:r>
      <w:r>
        <w:rPr/>
        <w:t>la</w:t>
      </w:r>
      <w:r>
        <w:rPr>
          <w:spacing w:val="-5"/>
        </w:rPr>
        <w:t> </w:t>
      </w:r>
      <w:r>
        <w:rPr/>
        <w:t>adquisición</w:t>
      </w:r>
      <w:r>
        <w:rPr>
          <w:spacing w:val="-5"/>
        </w:rPr>
        <w:t> </w:t>
      </w:r>
      <w:r>
        <w:rPr/>
        <w:t>de</w:t>
      </w:r>
      <w:r>
        <w:rPr>
          <w:spacing w:val="-10"/>
        </w:rPr>
        <w:t> </w:t>
      </w:r>
      <w:r>
        <w:rPr/>
        <w:t>autobuses</w:t>
      </w:r>
      <w:r>
        <w:rPr>
          <w:spacing w:val="-7"/>
        </w:rPr>
        <w:t> </w:t>
      </w:r>
      <w:r>
        <w:rPr/>
        <w:t>eléctricos,</w:t>
      </w:r>
      <w:r>
        <w:rPr>
          <w:spacing w:val="-6"/>
        </w:rPr>
        <w:t> </w:t>
      </w:r>
      <w:r>
        <w:rPr/>
        <w:t>ha contado con subvenciones de la Comunidad Autónoma de las Illes Balears.</w:t>
      </w:r>
    </w:p>
    <w:p>
      <w:pPr>
        <w:pStyle w:val="BodyText"/>
        <w:spacing w:before="107"/>
      </w:pPr>
    </w:p>
    <w:p>
      <w:pPr>
        <w:pStyle w:val="ListParagraph"/>
        <w:numPr>
          <w:ilvl w:val="3"/>
          <w:numId w:val="3"/>
        </w:numPr>
        <w:tabs>
          <w:tab w:pos="1779" w:val="left" w:leader="none"/>
        </w:tabs>
        <w:spacing w:line="240" w:lineRule="auto" w:before="1" w:after="0"/>
        <w:ind w:left="1779" w:right="0" w:hanging="787"/>
        <w:jc w:val="left"/>
        <w:rPr>
          <w:sz w:val="22"/>
        </w:rPr>
      </w:pPr>
      <w:r>
        <w:rPr>
          <w:sz w:val="22"/>
        </w:rPr>
        <w:t>AYUNTAMIENTO</w:t>
      </w:r>
      <w:r>
        <w:rPr>
          <w:spacing w:val="-6"/>
          <w:sz w:val="22"/>
        </w:rPr>
        <w:t> </w:t>
      </w:r>
      <w:r>
        <w:rPr>
          <w:sz w:val="22"/>
        </w:rPr>
        <w:t>DE</w:t>
      </w:r>
      <w:r>
        <w:rPr>
          <w:spacing w:val="-6"/>
          <w:sz w:val="22"/>
        </w:rPr>
        <w:t> </w:t>
      </w:r>
      <w:r>
        <w:rPr>
          <w:spacing w:val="-2"/>
          <w:sz w:val="22"/>
        </w:rPr>
        <w:t>SEVILLA</w:t>
      </w:r>
    </w:p>
    <w:p>
      <w:pPr>
        <w:pStyle w:val="BodyText"/>
        <w:spacing w:before="241"/>
        <w:ind w:left="992" w:right="989"/>
        <w:jc w:val="both"/>
      </w:pPr>
      <w:r>
        <w:rPr/>
        <w:t>El transporte público colectivo urbano en Sevilla se presta por una empresa municipal adscrita al </w:t>
      </w:r>
      <w:r>
        <w:rPr>
          <w:b/>
        </w:rPr>
        <w:t>Ayuntamiento de Sevilla</w:t>
      </w:r>
      <w:r>
        <w:rPr/>
        <w:t>. Esta entidad cuenta con un plan estratégico para el</w:t>
      </w:r>
      <w:r>
        <w:rPr>
          <w:spacing w:val="-1"/>
        </w:rPr>
        <w:t> </w:t>
      </w:r>
      <w:r>
        <w:rPr/>
        <w:t>periodo 2021-2030 con</w:t>
      </w:r>
      <w:r>
        <w:rPr>
          <w:spacing w:val="-4"/>
        </w:rPr>
        <w:t> </w:t>
      </w:r>
      <w:r>
        <w:rPr/>
        <w:t>cuatro</w:t>
      </w:r>
      <w:r>
        <w:rPr>
          <w:spacing w:val="-6"/>
        </w:rPr>
        <w:t> </w:t>
      </w:r>
      <w:r>
        <w:rPr/>
        <w:t>perspectivas</w:t>
      </w:r>
      <w:r>
        <w:rPr>
          <w:spacing w:val="-9"/>
        </w:rPr>
        <w:t> </w:t>
      </w:r>
      <w:r>
        <w:rPr/>
        <w:t>y</w:t>
      </w:r>
      <w:r>
        <w:rPr>
          <w:spacing w:val="-4"/>
        </w:rPr>
        <w:t> </w:t>
      </w:r>
      <w:r>
        <w:rPr/>
        <w:t>diecinueve</w:t>
      </w:r>
      <w:r>
        <w:rPr>
          <w:spacing w:val="-4"/>
        </w:rPr>
        <w:t> </w:t>
      </w:r>
      <w:r>
        <w:rPr/>
        <w:t>objetivos</w:t>
      </w:r>
      <w:r>
        <w:rPr>
          <w:spacing w:val="-6"/>
        </w:rPr>
        <w:t> </w:t>
      </w:r>
      <w:r>
        <w:rPr/>
        <w:t>estratégicos,</w:t>
      </w:r>
      <w:r>
        <w:rPr>
          <w:spacing w:val="-5"/>
        </w:rPr>
        <w:t> </w:t>
      </w:r>
      <w:r>
        <w:rPr/>
        <w:t>entre</w:t>
      </w:r>
      <w:r>
        <w:rPr>
          <w:spacing w:val="-4"/>
        </w:rPr>
        <w:t> </w:t>
      </w:r>
      <w:r>
        <w:rPr/>
        <w:t>los</w:t>
      </w:r>
      <w:r>
        <w:rPr>
          <w:spacing w:val="-6"/>
        </w:rPr>
        <w:t> </w:t>
      </w:r>
      <w:r>
        <w:rPr/>
        <w:t>que</w:t>
      </w:r>
      <w:r>
        <w:rPr>
          <w:spacing w:val="-9"/>
        </w:rPr>
        <w:t> </w:t>
      </w:r>
      <w:r>
        <w:rPr/>
        <w:t>se</w:t>
      </w:r>
      <w:r>
        <w:rPr>
          <w:spacing w:val="-4"/>
        </w:rPr>
        <w:t> </w:t>
      </w:r>
      <w:r>
        <w:rPr/>
        <w:t>encuentran</w:t>
      </w:r>
      <w:r>
        <w:rPr>
          <w:spacing w:val="-7"/>
        </w:rPr>
        <w:t> </w:t>
      </w:r>
      <w:r>
        <w:rPr/>
        <w:t>mejorar</w:t>
      </w:r>
      <w:r>
        <w:rPr>
          <w:spacing w:val="-6"/>
        </w:rPr>
        <w:t> </w:t>
      </w:r>
      <w:r>
        <w:rPr/>
        <w:t>la movilidad sostenible en Sevilla y su área metropolitana, aumentar la capacidad de la red y la accesibilidad</w:t>
      </w:r>
      <w:r>
        <w:rPr>
          <w:spacing w:val="-4"/>
        </w:rPr>
        <w:t> </w:t>
      </w:r>
      <w:r>
        <w:rPr/>
        <w:t>y</w:t>
      </w:r>
      <w:r>
        <w:rPr>
          <w:spacing w:val="-4"/>
        </w:rPr>
        <w:t> </w:t>
      </w:r>
      <w:r>
        <w:rPr/>
        <w:t>avanzar</w:t>
      </w:r>
      <w:r>
        <w:rPr>
          <w:spacing w:val="-3"/>
        </w:rPr>
        <w:t> </w:t>
      </w:r>
      <w:r>
        <w:rPr/>
        <w:t>en</w:t>
      </w:r>
      <w:r>
        <w:rPr>
          <w:spacing w:val="-4"/>
        </w:rPr>
        <w:t> </w:t>
      </w:r>
      <w:r>
        <w:rPr/>
        <w:t>la</w:t>
      </w:r>
      <w:r>
        <w:rPr>
          <w:spacing w:val="-4"/>
        </w:rPr>
        <w:t> </w:t>
      </w:r>
      <w:r>
        <w:rPr/>
        <w:t>integración</w:t>
      </w:r>
      <w:r>
        <w:rPr>
          <w:spacing w:val="-4"/>
        </w:rPr>
        <w:t> </w:t>
      </w:r>
      <w:r>
        <w:rPr/>
        <w:t>modal.</w:t>
      </w:r>
      <w:r>
        <w:rPr>
          <w:spacing w:val="-1"/>
        </w:rPr>
        <w:t> </w:t>
      </w:r>
      <w:r>
        <w:rPr/>
        <w:t>Asimismo,</w:t>
      </w:r>
      <w:r>
        <w:rPr>
          <w:spacing w:val="-5"/>
        </w:rPr>
        <w:t> </w:t>
      </w:r>
      <w:r>
        <w:rPr/>
        <w:t>el</w:t>
      </w:r>
      <w:r>
        <w:rPr>
          <w:spacing w:val="-5"/>
        </w:rPr>
        <w:t> </w:t>
      </w:r>
      <w:r>
        <w:rPr/>
        <w:t>código</w:t>
      </w:r>
      <w:r>
        <w:rPr>
          <w:spacing w:val="-4"/>
        </w:rPr>
        <w:t> </w:t>
      </w:r>
      <w:r>
        <w:rPr/>
        <w:t>ético</w:t>
      </w:r>
      <w:r>
        <w:rPr>
          <w:spacing w:val="-7"/>
        </w:rPr>
        <w:t> </w:t>
      </w:r>
      <w:r>
        <w:rPr/>
        <w:t>de</w:t>
      </w:r>
      <w:r>
        <w:rPr>
          <w:spacing w:val="-4"/>
        </w:rPr>
        <w:t> </w:t>
      </w:r>
      <w:r>
        <w:rPr/>
        <w:t>esta</w:t>
      </w:r>
      <w:r>
        <w:rPr>
          <w:spacing w:val="-3"/>
        </w:rPr>
        <w:t> </w:t>
      </w:r>
      <w:r>
        <w:rPr/>
        <w:t>empresa</w:t>
      </w:r>
      <w:r>
        <w:rPr>
          <w:spacing w:val="-6"/>
        </w:rPr>
        <w:t> </w:t>
      </w:r>
      <w:r>
        <w:rPr/>
        <w:t>incluye entre sus principios el respeto al medio ambiente.</w:t>
      </w:r>
    </w:p>
    <w:p>
      <w:pPr>
        <w:pStyle w:val="BodyText"/>
        <w:spacing w:before="239"/>
        <w:ind w:left="992" w:right="987"/>
        <w:jc w:val="both"/>
      </w:pPr>
      <w:r>
        <w:rPr/>
        <w:t>A diciembre de 2022 contaba con una planta solar en el aparcamiento de autobuses de TUSSAM, con 54 velas solares con una extensión de 15.000 m² y la energía eléctrica consumida en las instalaciones</w:t>
      </w:r>
      <w:r>
        <w:rPr>
          <w:spacing w:val="34"/>
        </w:rPr>
        <w:t> </w:t>
      </w:r>
      <w:r>
        <w:rPr/>
        <w:t>tenía</w:t>
      </w:r>
      <w:r>
        <w:rPr>
          <w:spacing w:val="32"/>
        </w:rPr>
        <w:t> </w:t>
      </w:r>
      <w:r>
        <w:rPr/>
        <w:t>la</w:t>
      </w:r>
      <w:r>
        <w:rPr>
          <w:spacing w:val="32"/>
        </w:rPr>
        <w:t> </w:t>
      </w:r>
      <w:r>
        <w:rPr/>
        <w:t>consideración</w:t>
      </w:r>
      <w:r>
        <w:rPr>
          <w:spacing w:val="34"/>
        </w:rPr>
        <w:t> </w:t>
      </w:r>
      <w:r>
        <w:rPr/>
        <w:t>de</w:t>
      </w:r>
      <w:r>
        <w:rPr>
          <w:spacing w:val="31"/>
        </w:rPr>
        <w:t> </w:t>
      </w:r>
      <w:r>
        <w:rPr/>
        <w:t>energía</w:t>
      </w:r>
      <w:r>
        <w:rPr>
          <w:spacing w:val="30"/>
        </w:rPr>
        <w:t> </w:t>
      </w:r>
      <w:r>
        <w:rPr/>
        <w:t>verde,</w:t>
      </w:r>
      <w:r>
        <w:rPr>
          <w:spacing w:val="33"/>
        </w:rPr>
        <w:t> </w:t>
      </w:r>
      <w:r>
        <w:rPr/>
        <w:t>al</w:t>
      </w:r>
      <w:r>
        <w:rPr>
          <w:spacing w:val="31"/>
        </w:rPr>
        <w:t> </w:t>
      </w:r>
      <w:r>
        <w:rPr/>
        <w:t>ser</w:t>
      </w:r>
      <w:r>
        <w:rPr>
          <w:spacing w:val="33"/>
        </w:rPr>
        <w:t> </w:t>
      </w:r>
      <w:r>
        <w:rPr/>
        <w:t>de</w:t>
      </w:r>
      <w:r>
        <w:rPr>
          <w:spacing w:val="31"/>
        </w:rPr>
        <w:t> </w:t>
      </w:r>
      <w:r>
        <w:rPr/>
        <w:t>origen</w:t>
      </w:r>
      <w:r>
        <w:rPr>
          <w:spacing w:val="32"/>
        </w:rPr>
        <w:t> </w:t>
      </w:r>
      <w:r>
        <w:rPr/>
        <w:t>renovable.</w:t>
      </w:r>
      <w:r>
        <w:rPr>
          <w:spacing w:val="33"/>
        </w:rPr>
        <w:t> </w:t>
      </w:r>
      <w:r>
        <w:rPr/>
        <w:t>A</w:t>
      </w:r>
      <w:r>
        <w:rPr>
          <w:spacing w:val="31"/>
        </w:rPr>
        <w:t> </w:t>
      </w:r>
      <w:r>
        <w:rPr/>
        <w:t>esa</w:t>
      </w:r>
      <w:r>
        <w:rPr>
          <w:spacing w:val="31"/>
        </w:rPr>
        <w:t> </w:t>
      </w:r>
      <w:r>
        <w:rPr/>
        <w:t>fecha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5"/>
        <w:jc w:val="both"/>
      </w:pPr>
      <w:r>
        <w:rPr/>
        <w:t>disponía de un total de 788 luminarias, de las que 467 eran tipo LED. Había sustituido las climatizadoras</w:t>
      </w:r>
      <w:r>
        <w:rPr>
          <w:spacing w:val="-4"/>
        </w:rPr>
        <w:t> </w:t>
      </w:r>
      <w:r>
        <w:rPr/>
        <w:t>que</w:t>
      </w:r>
      <w:r>
        <w:rPr>
          <w:spacing w:val="-6"/>
        </w:rPr>
        <w:t> </w:t>
      </w:r>
      <w:r>
        <w:rPr/>
        <w:t>funcionaban</w:t>
      </w:r>
      <w:r>
        <w:rPr>
          <w:spacing w:val="-2"/>
        </w:rPr>
        <w:t> </w:t>
      </w:r>
      <w:r>
        <w:rPr/>
        <w:t>con</w:t>
      </w:r>
      <w:r>
        <w:rPr>
          <w:spacing w:val="-4"/>
        </w:rPr>
        <w:t> </w:t>
      </w:r>
      <w:r>
        <w:rPr/>
        <w:t>gas</w:t>
      </w:r>
      <w:r>
        <w:rPr>
          <w:spacing w:val="-4"/>
        </w:rPr>
        <w:t> </w:t>
      </w:r>
      <w:r>
        <w:rPr/>
        <w:t>natural</w:t>
      </w:r>
      <w:r>
        <w:rPr>
          <w:spacing w:val="-5"/>
        </w:rPr>
        <w:t> </w:t>
      </w:r>
      <w:r>
        <w:rPr/>
        <w:t>por</w:t>
      </w:r>
      <w:r>
        <w:rPr>
          <w:spacing w:val="-1"/>
        </w:rPr>
        <w:t> </w:t>
      </w:r>
      <w:r>
        <w:rPr/>
        <w:t>otras</w:t>
      </w:r>
      <w:r>
        <w:rPr>
          <w:spacing w:val="-3"/>
        </w:rPr>
        <w:t> </w:t>
      </w:r>
      <w:r>
        <w:rPr/>
        <w:t>que</w:t>
      </w:r>
      <w:r>
        <w:rPr>
          <w:spacing w:val="-4"/>
        </w:rPr>
        <w:t> </w:t>
      </w:r>
      <w:r>
        <w:rPr/>
        <w:t>funcionan</w:t>
      </w:r>
      <w:r>
        <w:rPr>
          <w:spacing w:val="-7"/>
        </w:rPr>
        <w:t> </w:t>
      </w:r>
      <w:r>
        <w:rPr/>
        <w:t>con</w:t>
      </w:r>
      <w:r>
        <w:rPr>
          <w:spacing w:val="-2"/>
        </w:rPr>
        <w:t> </w:t>
      </w:r>
      <w:r>
        <w:rPr/>
        <w:t>electricidad</w:t>
      </w:r>
      <w:r>
        <w:rPr>
          <w:spacing w:val="-3"/>
        </w:rPr>
        <w:t> </w:t>
      </w:r>
      <w:r>
        <w:rPr/>
        <w:t>renovable y había paneles solares en los edificios y centros destinados al transporte público. Contaba con hidrogeneras y diez electrolineras, no así de pantógrafos.</w:t>
      </w:r>
    </w:p>
    <w:p>
      <w:pPr>
        <w:pStyle w:val="BodyText"/>
        <w:spacing w:before="241"/>
        <w:ind w:left="992" w:right="988"/>
        <w:jc w:val="both"/>
      </w:pPr>
      <w:r>
        <w:rPr/>
        <w:t>A esa fecha tenía implantado un sistema de gestión ambiental según la norma UNE EN ISO 14001:2015 y según el Reglamento 1221/2009 EMAS III, modificado por el Reglamento UE 2017/1505</w:t>
      </w:r>
      <w:r>
        <w:rPr>
          <w:spacing w:val="-12"/>
        </w:rPr>
        <w:t> </w:t>
      </w:r>
      <w:r>
        <w:rPr/>
        <w:t>y</w:t>
      </w:r>
      <w:r>
        <w:rPr>
          <w:spacing w:val="-11"/>
        </w:rPr>
        <w:t> </w:t>
      </w:r>
      <w:r>
        <w:rPr/>
        <w:t>Reglamento</w:t>
      </w:r>
      <w:r>
        <w:rPr>
          <w:spacing w:val="-11"/>
        </w:rPr>
        <w:t> </w:t>
      </w:r>
      <w:r>
        <w:rPr/>
        <w:t>UE</w:t>
      </w:r>
      <w:r>
        <w:rPr>
          <w:spacing w:val="-9"/>
        </w:rPr>
        <w:t> </w:t>
      </w:r>
      <w:r>
        <w:rPr/>
        <w:t>2018/2026,</w:t>
      </w:r>
      <w:r>
        <w:rPr>
          <w:spacing w:val="-10"/>
        </w:rPr>
        <w:t> </w:t>
      </w:r>
      <w:r>
        <w:rPr/>
        <w:t>y</w:t>
      </w:r>
      <w:r>
        <w:rPr>
          <w:spacing w:val="-11"/>
        </w:rPr>
        <w:t> </w:t>
      </w:r>
      <w:r>
        <w:rPr/>
        <w:t>contaba</w:t>
      </w:r>
      <w:r>
        <w:rPr>
          <w:spacing w:val="-9"/>
        </w:rPr>
        <w:t> </w:t>
      </w:r>
      <w:r>
        <w:rPr/>
        <w:t>con</w:t>
      </w:r>
      <w:r>
        <w:rPr>
          <w:spacing w:val="-12"/>
        </w:rPr>
        <w:t> </w:t>
      </w:r>
      <w:r>
        <w:rPr/>
        <w:t>un</w:t>
      </w:r>
      <w:r>
        <w:rPr>
          <w:spacing w:val="-11"/>
        </w:rPr>
        <w:t> </w:t>
      </w:r>
      <w:r>
        <w:rPr/>
        <w:t>certificado</w:t>
      </w:r>
      <w:r>
        <w:rPr>
          <w:spacing w:val="-14"/>
        </w:rPr>
        <w:t> </w:t>
      </w:r>
      <w:r>
        <w:rPr/>
        <w:t>ODS-Cámara</w:t>
      </w:r>
      <w:r>
        <w:rPr>
          <w:spacing w:val="-11"/>
        </w:rPr>
        <w:t> </w:t>
      </w:r>
      <w:r>
        <w:rPr/>
        <w:t>de</w:t>
      </w:r>
      <w:r>
        <w:rPr>
          <w:spacing w:val="-12"/>
        </w:rPr>
        <w:t> </w:t>
      </w:r>
      <w:r>
        <w:rPr/>
        <w:t>contribución a</w:t>
      </w:r>
      <w:r>
        <w:rPr>
          <w:spacing w:val="-6"/>
        </w:rPr>
        <w:t> </w:t>
      </w:r>
      <w:r>
        <w:rPr/>
        <w:t>los</w:t>
      </w:r>
      <w:r>
        <w:rPr>
          <w:spacing w:val="-6"/>
        </w:rPr>
        <w:t> </w:t>
      </w:r>
      <w:r>
        <w:rPr/>
        <w:t>objetivos</w:t>
      </w:r>
      <w:r>
        <w:rPr>
          <w:spacing w:val="-6"/>
        </w:rPr>
        <w:t> </w:t>
      </w:r>
      <w:r>
        <w:rPr/>
        <w:t>de</w:t>
      </w:r>
      <w:r>
        <w:rPr>
          <w:spacing w:val="-7"/>
        </w:rPr>
        <w:t> </w:t>
      </w:r>
      <w:r>
        <w:rPr/>
        <w:t>desarrollo</w:t>
      </w:r>
      <w:r>
        <w:rPr>
          <w:spacing w:val="-6"/>
        </w:rPr>
        <w:t> </w:t>
      </w:r>
      <w:r>
        <w:rPr/>
        <w:t>sostenible.</w:t>
      </w:r>
      <w:r>
        <w:rPr>
          <w:spacing w:val="-5"/>
        </w:rPr>
        <w:t> </w:t>
      </w:r>
      <w:r>
        <w:rPr/>
        <w:t>También</w:t>
      </w:r>
      <w:r>
        <w:rPr>
          <w:spacing w:val="-9"/>
        </w:rPr>
        <w:t> </w:t>
      </w:r>
      <w:r>
        <w:rPr/>
        <w:t>se</w:t>
      </w:r>
      <w:r>
        <w:rPr>
          <w:spacing w:val="-6"/>
        </w:rPr>
        <w:t> </w:t>
      </w:r>
      <w:r>
        <w:rPr/>
        <w:t>habían</w:t>
      </w:r>
      <w:r>
        <w:rPr>
          <w:spacing w:val="-6"/>
        </w:rPr>
        <w:t> </w:t>
      </w:r>
      <w:r>
        <w:rPr/>
        <w:t>realizado</w:t>
      </w:r>
      <w:r>
        <w:rPr>
          <w:spacing w:val="-5"/>
        </w:rPr>
        <w:t> </w:t>
      </w:r>
      <w:r>
        <w:rPr/>
        <w:t>auditorías</w:t>
      </w:r>
      <w:r>
        <w:rPr>
          <w:spacing w:val="-6"/>
        </w:rPr>
        <w:t> </w:t>
      </w:r>
      <w:r>
        <w:rPr/>
        <w:t>internas</w:t>
      </w:r>
      <w:r>
        <w:rPr>
          <w:spacing w:val="-6"/>
        </w:rPr>
        <w:t> </w:t>
      </w:r>
      <w:r>
        <w:rPr/>
        <w:t>y</w:t>
      </w:r>
      <w:r>
        <w:rPr>
          <w:spacing w:val="-6"/>
        </w:rPr>
        <w:t> </w:t>
      </w:r>
      <w:r>
        <w:rPr/>
        <w:t>externas del seguimiento de gestión de calidad medioambiental.</w:t>
      </w:r>
    </w:p>
    <w:p>
      <w:pPr>
        <w:pStyle w:val="BodyText"/>
        <w:spacing w:before="240"/>
        <w:ind w:left="992" w:right="985"/>
        <w:jc w:val="both"/>
      </w:pPr>
      <w:r>
        <w:rPr/>
        <w:t>La sociedad municipal había realizado actuaciones de gestión de los residuos (peligrosos y no peligrosos)</w:t>
      </w:r>
      <w:r>
        <w:rPr>
          <w:spacing w:val="-13"/>
        </w:rPr>
        <w:t> </w:t>
      </w:r>
      <w:r>
        <w:rPr/>
        <w:t>derivados</w:t>
      </w:r>
      <w:r>
        <w:rPr>
          <w:spacing w:val="-16"/>
        </w:rPr>
        <w:t> </w:t>
      </w:r>
      <w:r>
        <w:rPr/>
        <w:t>de</w:t>
      </w:r>
      <w:r>
        <w:rPr>
          <w:spacing w:val="-15"/>
        </w:rPr>
        <w:t> </w:t>
      </w:r>
      <w:r>
        <w:rPr/>
        <w:t>la</w:t>
      </w:r>
      <w:r>
        <w:rPr>
          <w:spacing w:val="-13"/>
        </w:rPr>
        <w:t> </w:t>
      </w:r>
      <w:r>
        <w:rPr/>
        <w:t>actividad</w:t>
      </w:r>
      <w:r>
        <w:rPr>
          <w:spacing w:val="-14"/>
        </w:rPr>
        <w:t> </w:t>
      </w:r>
      <w:r>
        <w:rPr/>
        <w:t>del</w:t>
      </w:r>
      <w:r>
        <w:rPr>
          <w:spacing w:val="-14"/>
        </w:rPr>
        <w:t> </w:t>
      </w:r>
      <w:r>
        <w:rPr/>
        <w:t>transporte</w:t>
      </w:r>
      <w:r>
        <w:rPr>
          <w:spacing w:val="-14"/>
        </w:rPr>
        <w:t> </w:t>
      </w:r>
      <w:r>
        <w:rPr/>
        <w:t>público</w:t>
      </w:r>
      <w:r>
        <w:rPr>
          <w:spacing w:val="-14"/>
        </w:rPr>
        <w:t> </w:t>
      </w:r>
      <w:r>
        <w:rPr/>
        <w:t>colectivo.</w:t>
      </w:r>
      <w:r>
        <w:rPr>
          <w:spacing w:val="-10"/>
        </w:rPr>
        <w:t> </w:t>
      </w:r>
      <w:r>
        <w:rPr/>
        <w:t>El</w:t>
      </w:r>
      <w:r>
        <w:rPr>
          <w:spacing w:val="-14"/>
        </w:rPr>
        <w:t> </w:t>
      </w:r>
      <w:r>
        <w:rPr/>
        <w:t>personal</w:t>
      </w:r>
      <w:r>
        <w:rPr>
          <w:spacing w:val="-15"/>
        </w:rPr>
        <w:t> </w:t>
      </w:r>
      <w:r>
        <w:rPr/>
        <w:t>de</w:t>
      </w:r>
      <w:r>
        <w:rPr>
          <w:spacing w:val="-14"/>
        </w:rPr>
        <w:t> </w:t>
      </w:r>
      <w:r>
        <w:rPr/>
        <w:t>la</w:t>
      </w:r>
      <w:r>
        <w:rPr>
          <w:spacing w:val="-14"/>
        </w:rPr>
        <w:t> </w:t>
      </w:r>
      <w:r>
        <w:rPr/>
        <w:t>entidad</w:t>
      </w:r>
      <w:r>
        <w:rPr>
          <w:spacing w:val="-14"/>
        </w:rPr>
        <w:t> </w:t>
      </w:r>
      <w:r>
        <w:rPr/>
        <w:t>había recibido formación y sesiones de sensibilización cuyo objetivo era manejar información ambiental específica para el desarrollo de su puesto de trabajo.</w:t>
      </w:r>
    </w:p>
    <w:p>
      <w:pPr>
        <w:pStyle w:val="BodyText"/>
        <w:spacing w:before="241"/>
        <w:ind w:left="992" w:right="990"/>
        <w:jc w:val="both"/>
      </w:pPr>
      <w:r>
        <w:rPr/>
        <w:t>A 31 de diciembre de 2022 en la ciudad de Sevilla había siete aparcamientos disuasorios en la corona</w:t>
      </w:r>
      <w:r>
        <w:rPr>
          <w:spacing w:val="-2"/>
        </w:rPr>
        <w:t> </w:t>
      </w:r>
      <w:r>
        <w:rPr/>
        <w:t>del centro</w:t>
      </w:r>
      <w:r>
        <w:rPr>
          <w:spacing w:val="-2"/>
        </w:rPr>
        <w:t> </w:t>
      </w:r>
      <w:r>
        <w:rPr/>
        <w:t>histórico y</w:t>
      </w:r>
      <w:r>
        <w:rPr>
          <w:spacing w:val="-2"/>
        </w:rPr>
        <w:t> </w:t>
      </w:r>
      <w:r>
        <w:rPr/>
        <w:t>en</w:t>
      </w:r>
      <w:r>
        <w:rPr>
          <w:spacing w:val="-2"/>
        </w:rPr>
        <w:t> </w:t>
      </w:r>
      <w:r>
        <w:rPr/>
        <w:t>zonas</w:t>
      </w:r>
      <w:r>
        <w:rPr>
          <w:spacing w:val="-2"/>
        </w:rPr>
        <w:t> </w:t>
      </w:r>
      <w:r>
        <w:rPr/>
        <w:t>de</w:t>
      </w:r>
      <w:r>
        <w:rPr>
          <w:spacing w:val="-2"/>
        </w:rPr>
        <w:t> </w:t>
      </w:r>
      <w:r>
        <w:rPr/>
        <w:t>especial</w:t>
      </w:r>
      <w:r>
        <w:rPr>
          <w:spacing w:val="-1"/>
        </w:rPr>
        <w:t> </w:t>
      </w:r>
      <w:r>
        <w:rPr/>
        <w:t>saturación de</w:t>
      </w:r>
      <w:r>
        <w:rPr>
          <w:spacing w:val="-2"/>
        </w:rPr>
        <w:t> </w:t>
      </w:r>
      <w:r>
        <w:rPr/>
        <w:t>tráfico y</w:t>
      </w:r>
      <w:r>
        <w:rPr>
          <w:spacing w:val="-4"/>
        </w:rPr>
        <w:t> </w:t>
      </w:r>
      <w:r>
        <w:rPr/>
        <w:t>la configuración de</w:t>
      </w:r>
      <w:r>
        <w:rPr>
          <w:spacing w:val="-2"/>
        </w:rPr>
        <w:t> </w:t>
      </w:r>
      <w:r>
        <w:rPr/>
        <w:t>la</w:t>
      </w:r>
      <w:r>
        <w:rPr>
          <w:spacing w:val="-2"/>
        </w:rPr>
        <w:t> </w:t>
      </w:r>
      <w:r>
        <w:rPr/>
        <w:t>red de líneas de autobús estaba diseñada favoreciendo la intermodalidad.</w:t>
      </w:r>
    </w:p>
    <w:p>
      <w:pPr>
        <w:pStyle w:val="BodyText"/>
        <w:spacing w:before="240"/>
        <w:ind w:left="992" w:right="988"/>
        <w:jc w:val="both"/>
      </w:pPr>
      <w:r>
        <w:rPr/>
        <w:t>En 2016 se habían iniciado obras en distintos puntos de la ciudad para la adaptación y mejora de la accesibilidad de las paradas a personas con movilidad reducida, creando y mejorando los entornos de las paradas. A bordo de la flota había un sistema que anunciaba en las cercanías de las paradas su nombre, permitiendo a las personas con discapacidad visual estar informados.</w:t>
      </w:r>
    </w:p>
    <w:p>
      <w:pPr>
        <w:pStyle w:val="BodyText"/>
        <w:spacing w:before="239"/>
        <w:ind w:left="992" w:right="990"/>
        <w:jc w:val="both"/>
      </w:pPr>
      <w:r>
        <w:rPr/>
        <w:t>La</w:t>
      </w:r>
      <w:r>
        <w:rPr>
          <w:spacing w:val="-9"/>
        </w:rPr>
        <w:t> </w:t>
      </w:r>
      <w:r>
        <w:rPr/>
        <w:t>aplicación</w:t>
      </w:r>
      <w:r>
        <w:rPr>
          <w:spacing w:val="-9"/>
        </w:rPr>
        <w:t> </w:t>
      </w:r>
      <w:r>
        <w:rPr/>
        <w:t>para</w:t>
      </w:r>
      <w:r>
        <w:rPr>
          <w:spacing w:val="-9"/>
        </w:rPr>
        <w:t> </w:t>
      </w:r>
      <w:r>
        <w:rPr/>
        <w:t>dispositivos</w:t>
      </w:r>
      <w:r>
        <w:rPr>
          <w:spacing w:val="-9"/>
        </w:rPr>
        <w:t> </w:t>
      </w:r>
      <w:r>
        <w:rPr/>
        <w:t>móviles</w:t>
      </w:r>
      <w:r>
        <w:rPr>
          <w:spacing w:val="-7"/>
        </w:rPr>
        <w:t> </w:t>
      </w:r>
      <w:r>
        <w:rPr/>
        <w:t>estaba</w:t>
      </w:r>
      <w:r>
        <w:rPr>
          <w:spacing w:val="-8"/>
        </w:rPr>
        <w:t> </w:t>
      </w:r>
      <w:r>
        <w:rPr/>
        <w:t>adaptada</w:t>
      </w:r>
      <w:r>
        <w:rPr>
          <w:spacing w:val="-9"/>
        </w:rPr>
        <w:t> </w:t>
      </w:r>
      <w:r>
        <w:rPr/>
        <w:t>para</w:t>
      </w:r>
      <w:r>
        <w:rPr>
          <w:spacing w:val="-11"/>
        </w:rPr>
        <w:t> </w:t>
      </w:r>
      <w:r>
        <w:rPr/>
        <w:t>invidentes.</w:t>
      </w:r>
      <w:r>
        <w:rPr>
          <w:spacing w:val="-11"/>
        </w:rPr>
        <w:t> </w:t>
      </w:r>
      <w:r>
        <w:rPr/>
        <w:t>Toda</w:t>
      </w:r>
      <w:r>
        <w:rPr>
          <w:spacing w:val="-8"/>
        </w:rPr>
        <w:t> </w:t>
      </w:r>
      <w:r>
        <w:rPr/>
        <w:t>la</w:t>
      </w:r>
      <w:r>
        <w:rPr>
          <w:spacing w:val="-9"/>
        </w:rPr>
        <w:t> </w:t>
      </w:r>
      <w:r>
        <w:rPr/>
        <w:t>flota</w:t>
      </w:r>
      <w:r>
        <w:rPr>
          <w:spacing w:val="-10"/>
        </w:rPr>
        <w:t> </w:t>
      </w:r>
      <w:r>
        <w:rPr/>
        <w:t>tenía</w:t>
      </w:r>
      <w:r>
        <w:rPr>
          <w:spacing w:val="-11"/>
        </w:rPr>
        <w:t> </w:t>
      </w:r>
      <w:r>
        <w:rPr/>
        <w:t>rampas automáticas y/o manuales, que facilitaban el acceso a las personas con movilidad reducida.</w:t>
      </w:r>
    </w:p>
    <w:p>
      <w:pPr>
        <w:pStyle w:val="BodyText"/>
        <w:spacing w:before="240"/>
        <w:ind w:left="992" w:right="987"/>
        <w:jc w:val="both"/>
        <w:rPr>
          <w:i/>
        </w:rPr>
      </w:pPr>
      <w:r>
        <w:rPr/>
        <w:t>En</w:t>
      </w:r>
      <w:r>
        <w:rPr>
          <w:spacing w:val="-16"/>
        </w:rPr>
        <w:t> </w:t>
      </w:r>
      <w:r>
        <w:rPr/>
        <w:t>cuanto</w:t>
      </w:r>
      <w:r>
        <w:rPr>
          <w:spacing w:val="-15"/>
        </w:rPr>
        <w:t> </w:t>
      </w:r>
      <w:r>
        <w:rPr/>
        <w:t>a</w:t>
      </w:r>
      <w:r>
        <w:rPr>
          <w:spacing w:val="-15"/>
        </w:rPr>
        <w:t> </w:t>
      </w:r>
      <w:r>
        <w:rPr/>
        <w:t>las</w:t>
      </w:r>
      <w:r>
        <w:rPr>
          <w:spacing w:val="-16"/>
        </w:rPr>
        <w:t> </w:t>
      </w:r>
      <w:r>
        <w:rPr/>
        <w:t>herramientas</w:t>
      </w:r>
      <w:r>
        <w:rPr>
          <w:spacing w:val="-15"/>
        </w:rPr>
        <w:t> </w:t>
      </w:r>
      <w:r>
        <w:rPr/>
        <w:t>de</w:t>
      </w:r>
      <w:r>
        <w:rPr>
          <w:spacing w:val="-15"/>
        </w:rPr>
        <w:t> </w:t>
      </w:r>
      <w:r>
        <w:rPr/>
        <w:t>digitalización,</w:t>
      </w:r>
      <w:r>
        <w:rPr>
          <w:spacing w:val="-15"/>
        </w:rPr>
        <w:t> </w:t>
      </w:r>
      <w:r>
        <w:rPr/>
        <w:t>la</w:t>
      </w:r>
      <w:r>
        <w:rPr>
          <w:spacing w:val="-16"/>
        </w:rPr>
        <w:t> </w:t>
      </w:r>
      <w:r>
        <w:rPr/>
        <w:t>entidad</w:t>
      </w:r>
      <w:r>
        <w:rPr>
          <w:spacing w:val="-15"/>
        </w:rPr>
        <w:t> </w:t>
      </w:r>
      <w:r>
        <w:rPr/>
        <w:t>disponía</w:t>
      </w:r>
      <w:r>
        <w:rPr>
          <w:spacing w:val="-15"/>
        </w:rPr>
        <w:t> </w:t>
      </w:r>
      <w:r>
        <w:rPr/>
        <w:t>de</w:t>
      </w:r>
      <w:r>
        <w:rPr>
          <w:spacing w:val="-16"/>
        </w:rPr>
        <w:t> </w:t>
      </w:r>
      <w:r>
        <w:rPr/>
        <w:t>un</w:t>
      </w:r>
      <w:r>
        <w:rPr>
          <w:spacing w:val="-15"/>
        </w:rPr>
        <w:t> </w:t>
      </w:r>
      <w:r>
        <w:rPr/>
        <w:t>cuadro</w:t>
      </w:r>
      <w:r>
        <w:rPr>
          <w:spacing w:val="-15"/>
        </w:rPr>
        <w:t> </w:t>
      </w:r>
      <w:r>
        <w:rPr/>
        <w:t>de</w:t>
      </w:r>
      <w:r>
        <w:rPr>
          <w:spacing w:val="-15"/>
        </w:rPr>
        <w:t> </w:t>
      </w:r>
      <w:r>
        <w:rPr/>
        <w:t>mando,</w:t>
      </w:r>
      <w:r>
        <w:rPr>
          <w:spacing w:val="-16"/>
        </w:rPr>
        <w:t> </w:t>
      </w:r>
      <w:r>
        <w:rPr/>
        <w:t>diseñado en 2016, para la captación de datos que facilitaba la toma de decisiones estratégicas (indicadores asociados, entre otros, a medio ambiente). También disponía de un sistema de </w:t>
      </w:r>
      <w:r>
        <w:rPr>
          <w:i/>
        </w:rPr>
        <w:t>ticketing.</w:t>
      </w:r>
    </w:p>
    <w:p>
      <w:pPr>
        <w:pStyle w:val="BodyText"/>
        <w:spacing w:before="242"/>
        <w:ind w:left="992" w:right="986"/>
        <w:jc w:val="both"/>
      </w:pPr>
      <w:r>
        <w:rPr/>
        <w:t>Las</w:t>
      </w:r>
      <w:r>
        <w:rPr>
          <w:spacing w:val="-8"/>
        </w:rPr>
        <w:t> </w:t>
      </w:r>
      <w:r>
        <w:rPr/>
        <w:t>actuaciones</w:t>
      </w:r>
      <w:r>
        <w:rPr>
          <w:spacing w:val="-11"/>
        </w:rPr>
        <w:t> </w:t>
      </w:r>
      <w:r>
        <w:rPr/>
        <w:t>llevadas</w:t>
      </w:r>
      <w:r>
        <w:rPr>
          <w:spacing w:val="-8"/>
        </w:rPr>
        <w:t> </w:t>
      </w:r>
      <w:r>
        <w:rPr/>
        <w:t>a</w:t>
      </w:r>
      <w:r>
        <w:rPr>
          <w:spacing w:val="-11"/>
        </w:rPr>
        <w:t> </w:t>
      </w:r>
      <w:r>
        <w:rPr/>
        <w:t>cabo</w:t>
      </w:r>
      <w:r>
        <w:rPr>
          <w:spacing w:val="-11"/>
        </w:rPr>
        <w:t> </w:t>
      </w:r>
      <w:r>
        <w:rPr/>
        <w:t>en</w:t>
      </w:r>
      <w:r>
        <w:rPr>
          <w:spacing w:val="-12"/>
        </w:rPr>
        <w:t> </w:t>
      </w:r>
      <w:r>
        <w:rPr/>
        <w:t>2023</w:t>
      </w:r>
      <w:r>
        <w:rPr>
          <w:spacing w:val="-12"/>
        </w:rPr>
        <w:t> </w:t>
      </w:r>
      <w:r>
        <w:rPr/>
        <w:t>y</w:t>
      </w:r>
      <w:r>
        <w:rPr>
          <w:spacing w:val="-11"/>
        </w:rPr>
        <w:t> </w:t>
      </w:r>
      <w:r>
        <w:rPr/>
        <w:t>2024,</w:t>
      </w:r>
      <w:r>
        <w:rPr>
          <w:spacing w:val="-12"/>
        </w:rPr>
        <w:t> </w:t>
      </w:r>
      <w:r>
        <w:rPr/>
        <w:t>por</w:t>
      </w:r>
      <w:r>
        <w:rPr>
          <w:spacing w:val="-8"/>
        </w:rPr>
        <w:t> </w:t>
      </w:r>
      <w:r>
        <w:rPr/>
        <w:t>importe</w:t>
      </w:r>
      <w:r>
        <w:rPr>
          <w:spacing w:val="-11"/>
        </w:rPr>
        <w:t> </w:t>
      </w:r>
      <w:r>
        <w:rPr/>
        <w:t>conjunto</w:t>
      </w:r>
      <w:r>
        <w:rPr>
          <w:spacing w:val="-10"/>
        </w:rPr>
        <w:t> </w:t>
      </w:r>
      <w:r>
        <w:rPr/>
        <w:t>de</w:t>
      </w:r>
      <w:r>
        <w:rPr>
          <w:spacing w:val="-14"/>
        </w:rPr>
        <w:t> </w:t>
      </w:r>
      <w:r>
        <w:rPr/>
        <w:t>97.379.664,02</w:t>
      </w:r>
      <w:r>
        <w:rPr>
          <w:spacing w:val="-11"/>
        </w:rPr>
        <w:t> </w:t>
      </w:r>
      <w:r>
        <w:rPr/>
        <w:t>euros,</w:t>
      </w:r>
      <w:r>
        <w:rPr>
          <w:spacing w:val="-9"/>
        </w:rPr>
        <w:t> </w:t>
      </w:r>
      <w:r>
        <w:rPr/>
        <w:t>han consistido</w:t>
      </w:r>
      <w:r>
        <w:rPr>
          <w:spacing w:val="-13"/>
        </w:rPr>
        <w:t> </w:t>
      </w:r>
      <w:r>
        <w:rPr/>
        <w:t>en</w:t>
      </w:r>
      <w:r>
        <w:rPr>
          <w:spacing w:val="-13"/>
        </w:rPr>
        <w:t> </w:t>
      </w:r>
      <w:r>
        <w:rPr/>
        <w:t>la</w:t>
      </w:r>
      <w:r>
        <w:rPr>
          <w:spacing w:val="-13"/>
        </w:rPr>
        <w:t> </w:t>
      </w:r>
      <w:r>
        <w:rPr/>
        <w:t>adquisición</w:t>
      </w:r>
      <w:r>
        <w:rPr>
          <w:spacing w:val="-13"/>
        </w:rPr>
        <w:t> </w:t>
      </w:r>
      <w:r>
        <w:rPr/>
        <w:t>de</w:t>
      </w:r>
      <w:r>
        <w:rPr>
          <w:spacing w:val="-13"/>
        </w:rPr>
        <w:t> </w:t>
      </w:r>
      <w:r>
        <w:rPr/>
        <w:t>autobuses</w:t>
      </w:r>
      <w:r>
        <w:rPr>
          <w:spacing w:val="-15"/>
        </w:rPr>
        <w:t> </w:t>
      </w:r>
      <w:r>
        <w:rPr/>
        <w:t>y</w:t>
      </w:r>
      <w:r>
        <w:rPr>
          <w:spacing w:val="-15"/>
        </w:rPr>
        <w:t> </w:t>
      </w:r>
      <w:r>
        <w:rPr/>
        <w:t>material</w:t>
      </w:r>
      <w:r>
        <w:rPr>
          <w:spacing w:val="-14"/>
        </w:rPr>
        <w:t> </w:t>
      </w:r>
      <w:r>
        <w:rPr/>
        <w:t>tranviario.</w:t>
      </w:r>
      <w:r>
        <w:rPr>
          <w:spacing w:val="-11"/>
        </w:rPr>
        <w:t> </w:t>
      </w:r>
      <w:r>
        <w:rPr/>
        <w:t>La</w:t>
      </w:r>
      <w:r>
        <w:rPr>
          <w:spacing w:val="-13"/>
        </w:rPr>
        <w:t> </w:t>
      </w:r>
      <w:r>
        <w:rPr/>
        <w:t>empresa</w:t>
      </w:r>
      <w:r>
        <w:rPr>
          <w:spacing w:val="-15"/>
        </w:rPr>
        <w:t> </w:t>
      </w:r>
      <w:r>
        <w:rPr/>
        <w:t>municipal</w:t>
      </w:r>
      <w:r>
        <w:rPr>
          <w:spacing w:val="-13"/>
        </w:rPr>
        <w:t> </w:t>
      </w:r>
      <w:r>
        <w:rPr/>
        <w:t>de</w:t>
      </w:r>
      <w:r>
        <w:rPr>
          <w:spacing w:val="-13"/>
        </w:rPr>
        <w:t> </w:t>
      </w:r>
      <w:r>
        <w:rPr/>
        <w:t>transportes había</w:t>
      </w:r>
      <w:r>
        <w:rPr>
          <w:spacing w:val="-13"/>
        </w:rPr>
        <w:t> </w:t>
      </w:r>
      <w:r>
        <w:rPr/>
        <w:t>apostado</w:t>
      </w:r>
      <w:r>
        <w:rPr>
          <w:spacing w:val="-14"/>
        </w:rPr>
        <w:t> </w:t>
      </w:r>
      <w:r>
        <w:rPr/>
        <w:t>por</w:t>
      </w:r>
      <w:r>
        <w:rPr>
          <w:spacing w:val="-12"/>
        </w:rPr>
        <w:t> </w:t>
      </w:r>
      <w:r>
        <w:rPr/>
        <w:t>los</w:t>
      </w:r>
      <w:r>
        <w:rPr>
          <w:spacing w:val="-11"/>
        </w:rPr>
        <w:t> </w:t>
      </w:r>
      <w:r>
        <w:rPr/>
        <w:t>autobuses</w:t>
      </w:r>
      <w:r>
        <w:rPr>
          <w:spacing w:val="-13"/>
        </w:rPr>
        <w:t> </w:t>
      </w:r>
      <w:r>
        <w:rPr/>
        <w:t>propulsados</w:t>
      </w:r>
      <w:r>
        <w:rPr>
          <w:spacing w:val="-12"/>
        </w:rPr>
        <w:t> </w:t>
      </w:r>
      <w:r>
        <w:rPr/>
        <w:t>por</w:t>
      </w:r>
      <w:r>
        <w:rPr>
          <w:spacing w:val="-12"/>
        </w:rPr>
        <w:t> </w:t>
      </w:r>
      <w:r>
        <w:rPr/>
        <w:t>GNC,</w:t>
      </w:r>
      <w:r>
        <w:rPr>
          <w:spacing w:val="-12"/>
        </w:rPr>
        <w:t> </w:t>
      </w:r>
      <w:r>
        <w:rPr/>
        <w:t>lo</w:t>
      </w:r>
      <w:r>
        <w:rPr>
          <w:spacing w:val="-14"/>
        </w:rPr>
        <w:t> </w:t>
      </w:r>
      <w:r>
        <w:rPr/>
        <w:t>que</w:t>
      </w:r>
      <w:r>
        <w:rPr>
          <w:spacing w:val="-14"/>
        </w:rPr>
        <w:t> </w:t>
      </w:r>
      <w:r>
        <w:rPr/>
        <w:t>se</w:t>
      </w:r>
      <w:r>
        <w:rPr>
          <w:spacing w:val="-14"/>
        </w:rPr>
        <w:t> </w:t>
      </w:r>
      <w:r>
        <w:rPr/>
        <w:t>había</w:t>
      </w:r>
      <w:r>
        <w:rPr>
          <w:spacing w:val="-16"/>
        </w:rPr>
        <w:t> </w:t>
      </w:r>
      <w:r>
        <w:rPr/>
        <w:t>traducido</w:t>
      </w:r>
      <w:r>
        <w:rPr>
          <w:spacing w:val="-11"/>
        </w:rPr>
        <w:t> </w:t>
      </w:r>
      <w:r>
        <w:rPr/>
        <w:t>en</w:t>
      </w:r>
      <w:r>
        <w:rPr>
          <w:spacing w:val="-14"/>
        </w:rPr>
        <w:t> </w:t>
      </w:r>
      <w:r>
        <w:rPr/>
        <w:t>la</w:t>
      </w:r>
      <w:r>
        <w:rPr>
          <w:spacing w:val="-11"/>
        </w:rPr>
        <w:t> </w:t>
      </w:r>
      <w:r>
        <w:rPr/>
        <w:t>adquisición de este tipo de autobuses y la construcción de una estación de carga rápida de GNC. A 31 de diciembre de 2022, había 314 autobuses de esta tipología, de un total de 425 </w:t>
      </w:r>
      <w:r>
        <w:rPr>
          <w:rFonts w:ascii="Symbol" w:hAnsi="Symbol"/>
        </w:rPr>
        <w:t></w:t>
      </w:r>
      <w:r>
        <w:rPr/>
        <w:t>el 73,88 % de la flota</w:t>
      </w:r>
      <w:r>
        <w:rPr>
          <w:rFonts w:ascii="Symbol" w:hAnsi="Symbol"/>
        </w:rPr>
        <w:t></w:t>
      </w:r>
      <w:r>
        <w:rPr/>
        <w:t>. No hay ningún vehículo eléctrico.</w:t>
      </w:r>
    </w:p>
    <w:p>
      <w:pPr>
        <w:pStyle w:val="BodyText"/>
        <w:spacing w:before="240"/>
        <w:ind w:left="992" w:right="992"/>
        <w:jc w:val="both"/>
      </w:pPr>
      <w:r>
        <w:rPr/>
        <w:t>En los ejercicios fiscalizados la entidad ha</w:t>
      </w:r>
      <w:r>
        <w:rPr>
          <w:spacing w:val="-3"/>
        </w:rPr>
        <w:t> </w:t>
      </w:r>
      <w:r>
        <w:rPr/>
        <w:t>adquirido</w:t>
      </w:r>
      <w:r>
        <w:rPr>
          <w:spacing w:val="-1"/>
        </w:rPr>
        <w:t> </w:t>
      </w:r>
      <w:r>
        <w:rPr/>
        <w:t>33</w:t>
      </w:r>
      <w:r>
        <w:rPr>
          <w:spacing w:val="-1"/>
        </w:rPr>
        <w:t> </w:t>
      </w:r>
      <w:r>
        <w:rPr/>
        <w:t>autobuses eléctricos, 23</w:t>
      </w:r>
      <w:r>
        <w:rPr>
          <w:spacing w:val="-3"/>
        </w:rPr>
        <w:t> </w:t>
      </w:r>
      <w:r>
        <w:rPr/>
        <w:t>de</w:t>
      </w:r>
      <w:r>
        <w:rPr>
          <w:spacing w:val="-1"/>
        </w:rPr>
        <w:t> </w:t>
      </w:r>
      <w:r>
        <w:rPr/>
        <w:t>ellos contando con</w:t>
      </w:r>
      <w:r>
        <w:rPr>
          <w:spacing w:val="-16"/>
        </w:rPr>
        <w:t> </w:t>
      </w:r>
      <w:r>
        <w:rPr/>
        <w:t>ayudas</w:t>
      </w:r>
      <w:r>
        <w:rPr>
          <w:spacing w:val="-15"/>
        </w:rPr>
        <w:t> </w:t>
      </w:r>
      <w:r>
        <w:rPr/>
        <w:t>del</w:t>
      </w:r>
      <w:r>
        <w:rPr>
          <w:spacing w:val="-15"/>
        </w:rPr>
        <w:t> </w:t>
      </w:r>
      <w:r>
        <w:rPr/>
        <w:t>PRTR,</w:t>
      </w:r>
      <w:r>
        <w:rPr>
          <w:spacing w:val="-16"/>
        </w:rPr>
        <w:t> </w:t>
      </w:r>
      <w:r>
        <w:rPr/>
        <w:t>que</w:t>
      </w:r>
      <w:r>
        <w:rPr>
          <w:spacing w:val="-15"/>
        </w:rPr>
        <w:t> </w:t>
      </w:r>
      <w:r>
        <w:rPr/>
        <w:t>representan</w:t>
      </w:r>
      <w:r>
        <w:rPr>
          <w:spacing w:val="-15"/>
        </w:rPr>
        <w:t> </w:t>
      </w:r>
      <w:r>
        <w:rPr/>
        <w:t>el</w:t>
      </w:r>
      <w:r>
        <w:rPr>
          <w:spacing w:val="-15"/>
        </w:rPr>
        <w:t> </w:t>
      </w:r>
      <w:r>
        <w:rPr/>
        <w:t>7,67</w:t>
      </w:r>
      <w:r>
        <w:rPr>
          <w:spacing w:val="-16"/>
        </w:rPr>
        <w:t> </w:t>
      </w:r>
      <w:r>
        <w:rPr/>
        <w:t>%</w:t>
      </w:r>
      <w:r>
        <w:rPr>
          <w:spacing w:val="-15"/>
        </w:rPr>
        <w:t> </w:t>
      </w:r>
      <w:r>
        <w:rPr/>
        <w:t>de</w:t>
      </w:r>
      <w:r>
        <w:rPr>
          <w:spacing w:val="-15"/>
        </w:rPr>
        <w:t> </w:t>
      </w:r>
      <w:r>
        <w:rPr/>
        <w:t>la</w:t>
      </w:r>
      <w:r>
        <w:rPr>
          <w:spacing w:val="-16"/>
        </w:rPr>
        <w:t> </w:t>
      </w:r>
      <w:r>
        <w:rPr/>
        <w:t>flota,</w:t>
      </w:r>
      <w:r>
        <w:rPr>
          <w:spacing w:val="-15"/>
        </w:rPr>
        <w:t> </w:t>
      </w:r>
      <w:r>
        <w:rPr/>
        <w:t>así</w:t>
      </w:r>
      <w:r>
        <w:rPr>
          <w:spacing w:val="-15"/>
        </w:rPr>
        <w:t> </w:t>
      </w:r>
      <w:r>
        <w:rPr/>
        <w:t>como</w:t>
      </w:r>
      <w:r>
        <w:rPr>
          <w:spacing w:val="-15"/>
        </w:rPr>
        <w:t> </w:t>
      </w:r>
      <w:r>
        <w:rPr/>
        <w:t>infraestructura</w:t>
      </w:r>
      <w:r>
        <w:rPr>
          <w:spacing w:val="-16"/>
        </w:rPr>
        <w:t> </w:t>
      </w:r>
      <w:r>
        <w:rPr/>
        <w:t>para</w:t>
      </w:r>
      <w:r>
        <w:rPr>
          <w:spacing w:val="-15"/>
        </w:rPr>
        <w:t> </w:t>
      </w:r>
      <w:r>
        <w:rPr/>
        <w:t>la</w:t>
      </w:r>
      <w:r>
        <w:rPr>
          <w:spacing w:val="-15"/>
        </w:rPr>
        <w:t> </w:t>
      </w:r>
      <w:r>
        <w:rPr/>
        <w:t>recarga de 23 autobuses. También ha adquirido cinco unidades tranviarias.</w:t>
      </w:r>
    </w:p>
    <w:p>
      <w:pPr>
        <w:pStyle w:val="BodyText"/>
        <w:spacing w:before="239"/>
        <w:ind w:left="992" w:right="988"/>
        <w:jc w:val="both"/>
      </w:pPr>
      <w:r>
        <w:rPr/>
        <w:t>Asimismo, ha acometido diversas obras que han afectado al servicio de autobús y al tranviario: construcción</w:t>
      </w:r>
      <w:r>
        <w:rPr>
          <w:spacing w:val="-9"/>
        </w:rPr>
        <w:t> </w:t>
      </w:r>
      <w:r>
        <w:rPr/>
        <w:t>de</w:t>
      </w:r>
      <w:r>
        <w:rPr>
          <w:spacing w:val="-9"/>
        </w:rPr>
        <w:t> </w:t>
      </w:r>
      <w:r>
        <w:rPr/>
        <w:t>un</w:t>
      </w:r>
      <w:r>
        <w:rPr>
          <w:spacing w:val="-9"/>
        </w:rPr>
        <w:t> </w:t>
      </w:r>
      <w:r>
        <w:rPr/>
        <w:t>carril</w:t>
      </w:r>
      <w:r>
        <w:rPr>
          <w:spacing w:val="-9"/>
        </w:rPr>
        <w:t> </w:t>
      </w:r>
      <w:r>
        <w:rPr/>
        <w:t>bus</w:t>
      </w:r>
      <w:r>
        <w:rPr>
          <w:spacing w:val="-8"/>
        </w:rPr>
        <w:t> </w:t>
      </w:r>
      <w:r>
        <w:rPr/>
        <w:t>segregado,</w:t>
      </w:r>
      <w:r>
        <w:rPr>
          <w:spacing w:val="-7"/>
        </w:rPr>
        <w:t> </w:t>
      </w:r>
      <w:r>
        <w:rPr/>
        <w:t>así</w:t>
      </w:r>
      <w:r>
        <w:rPr>
          <w:spacing w:val="-9"/>
        </w:rPr>
        <w:t> </w:t>
      </w:r>
      <w:r>
        <w:rPr/>
        <w:t>como</w:t>
      </w:r>
      <w:r>
        <w:rPr>
          <w:spacing w:val="-9"/>
        </w:rPr>
        <w:t> </w:t>
      </w:r>
      <w:r>
        <w:rPr/>
        <w:t>obras</w:t>
      </w:r>
      <w:r>
        <w:rPr>
          <w:spacing w:val="-9"/>
        </w:rPr>
        <w:t> </w:t>
      </w:r>
      <w:r>
        <w:rPr/>
        <w:t>e</w:t>
      </w:r>
      <w:r>
        <w:rPr>
          <w:spacing w:val="-9"/>
        </w:rPr>
        <w:t> </w:t>
      </w:r>
      <w:r>
        <w:rPr/>
        <w:t>instalación</w:t>
      </w:r>
      <w:r>
        <w:rPr>
          <w:spacing w:val="-9"/>
        </w:rPr>
        <w:t> </w:t>
      </w:r>
      <w:r>
        <w:rPr/>
        <w:t>de</w:t>
      </w:r>
      <w:r>
        <w:rPr>
          <w:spacing w:val="-9"/>
        </w:rPr>
        <w:t> </w:t>
      </w:r>
      <w:r>
        <w:rPr/>
        <w:t>equipos</w:t>
      </w:r>
      <w:r>
        <w:rPr>
          <w:spacing w:val="-8"/>
        </w:rPr>
        <w:t> </w:t>
      </w:r>
      <w:r>
        <w:rPr/>
        <w:t>de</w:t>
      </w:r>
      <w:r>
        <w:rPr>
          <w:spacing w:val="-9"/>
        </w:rPr>
        <w:t> </w:t>
      </w:r>
      <w:r>
        <w:rPr/>
        <w:t>parada</w:t>
      </w:r>
      <w:r>
        <w:rPr>
          <w:spacing w:val="-9"/>
        </w:rPr>
        <w:t> </w:t>
      </w:r>
      <w:r>
        <w:rPr/>
        <w:t>en</w:t>
      </w:r>
      <w:r>
        <w:rPr>
          <w:spacing w:val="-9"/>
        </w:rPr>
        <w:t> </w:t>
      </w:r>
      <w:r>
        <w:rPr/>
        <w:t>uno de los tramos del metro ligero.</w:t>
      </w:r>
    </w:p>
    <w:p>
      <w:pPr>
        <w:pStyle w:val="BodyText"/>
        <w:spacing w:before="240"/>
        <w:ind w:left="992" w:right="990"/>
        <w:jc w:val="both"/>
      </w:pPr>
      <w:r>
        <w:rPr/>
        <w:t>En</w:t>
      </w:r>
      <w:r>
        <w:rPr>
          <w:spacing w:val="-16"/>
        </w:rPr>
        <w:t> </w:t>
      </w:r>
      <w:r>
        <w:rPr/>
        <w:t>materia</w:t>
      </w:r>
      <w:r>
        <w:rPr>
          <w:spacing w:val="-15"/>
        </w:rPr>
        <w:t> </w:t>
      </w:r>
      <w:r>
        <w:rPr/>
        <w:t>de</w:t>
      </w:r>
      <w:r>
        <w:rPr>
          <w:spacing w:val="-15"/>
        </w:rPr>
        <w:t> </w:t>
      </w:r>
      <w:r>
        <w:rPr/>
        <w:t>digitalización,</w:t>
      </w:r>
      <w:r>
        <w:rPr>
          <w:spacing w:val="-16"/>
        </w:rPr>
        <w:t> </w:t>
      </w:r>
      <w:r>
        <w:rPr/>
        <w:t>la</w:t>
      </w:r>
      <w:r>
        <w:rPr>
          <w:spacing w:val="-15"/>
        </w:rPr>
        <w:t> </w:t>
      </w:r>
      <w:r>
        <w:rPr/>
        <w:t>entidad</w:t>
      </w:r>
      <w:r>
        <w:rPr>
          <w:spacing w:val="-15"/>
        </w:rPr>
        <w:t> </w:t>
      </w:r>
      <w:r>
        <w:rPr/>
        <w:t>ha</w:t>
      </w:r>
      <w:r>
        <w:rPr>
          <w:spacing w:val="-15"/>
        </w:rPr>
        <w:t> </w:t>
      </w:r>
      <w:r>
        <w:rPr/>
        <w:t>llevado</w:t>
      </w:r>
      <w:r>
        <w:rPr>
          <w:spacing w:val="-16"/>
        </w:rPr>
        <w:t> </w:t>
      </w:r>
      <w:r>
        <w:rPr/>
        <w:t>a</w:t>
      </w:r>
      <w:r>
        <w:rPr>
          <w:spacing w:val="-15"/>
        </w:rPr>
        <w:t> </w:t>
      </w:r>
      <w:r>
        <w:rPr/>
        <w:t>cabo</w:t>
      </w:r>
      <w:r>
        <w:rPr>
          <w:spacing w:val="-15"/>
        </w:rPr>
        <w:t> </w:t>
      </w:r>
      <w:r>
        <w:rPr/>
        <w:t>dos</w:t>
      </w:r>
      <w:r>
        <w:rPr>
          <w:spacing w:val="-16"/>
        </w:rPr>
        <w:t> </w:t>
      </w:r>
      <w:r>
        <w:rPr/>
        <w:t>actuaciones,</w:t>
      </w:r>
      <w:r>
        <w:rPr>
          <w:spacing w:val="-15"/>
        </w:rPr>
        <w:t> </w:t>
      </w:r>
      <w:r>
        <w:rPr/>
        <w:t>el</w:t>
      </w:r>
      <w:r>
        <w:rPr>
          <w:spacing w:val="-15"/>
        </w:rPr>
        <w:t> </w:t>
      </w:r>
      <w:r>
        <w:rPr/>
        <w:t>pago</w:t>
      </w:r>
      <w:r>
        <w:rPr>
          <w:spacing w:val="-15"/>
        </w:rPr>
        <w:t> </w:t>
      </w:r>
      <w:r>
        <w:rPr/>
        <w:t>directo</w:t>
      </w:r>
      <w:r>
        <w:rPr>
          <w:spacing w:val="-16"/>
        </w:rPr>
        <w:t> </w:t>
      </w:r>
      <w:r>
        <w:rPr/>
        <w:t>con</w:t>
      </w:r>
      <w:r>
        <w:rPr>
          <w:spacing w:val="-15"/>
        </w:rPr>
        <w:t> </w:t>
      </w:r>
      <w:r>
        <w:rPr/>
        <w:t>tarjeta bancaria sin contacto y el acceso a internet en la flota.</w:t>
      </w:r>
    </w:p>
    <w:p>
      <w:pPr>
        <w:pStyle w:val="BodyText"/>
        <w:spacing w:before="240"/>
        <w:ind w:left="992" w:right="987"/>
        <w:jc w:val="both"/>
      </w:pPr>
      <w:r>
        <w:rPr/>
        <w:t>Ha realizado campañas de difusión con el objetivo de informar, sensibilizar y concienciar a los ciudadanos del uso y las ventajas del transporte urbano de Sevilla y ha contratado la creación de</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95"/>
        <w:jc w:val="both"/>
      </w:pPr>
      <w:r>
        <w:rPr/>
        <w:t>una</w:t>
      </w:r>
      <w:r>
        <w:rPr>
          <w:spacing w:val="-3"/>
        </w:rPr>
        <w:t> </w:t>
      </w:r>
      <w:r>
        <w:rPr/>
        <w:t>línea</w:t>
      </w:r>
      <w:r>
        <w:rPr>
          <w:spacing w:val="-5"/>
        </w:rPr>
        <w:t> </w:t>
      </w:r>
      <w:r>
        <w:rPr/>
        <w:t>900,</w:t>
      </w:r>
      <w:r>
        <w:rPr>
          <w:spacing w:val="-1"/>
        </w:rPr>
        <w:t> </w:t>
      </w:r>
      <w:r>
        <w:rPr/>
        <w:t>gratuita</w:t>
      </w:r>
      <w:r>
        <w:rPr>
          <w:spacing w:val="-3"/>
        </w:rPr>
        <w:t> </w:t>
      </w:r>
      <w:r>
        <w:rPr/>
        <w:t>para</w:t>
      </w:r>
      <w:r>
        <w:rPr>
          <w:spacing w:val="-2"/>
        </w:rPr>
        <w:t> </w:t>
      </w:r>
      <w:r>
        <w:rPr/>
        <w:t>los</w:t>
      </w:r>
      <w:r>
        <w:rPr>
          <w:spacing w:val="-5"/>
        </w:rPr>
        <w:t> </w:t>
      </w:r>
      <w:r>
        <w:rPr/>
        <w:t>usuarios,</w:t>
      </w:r>
      <w:r>
        <w:rPr>
          <w:spacing w:val="-4"/>
        </w:rPr>
        <w:t> </w:t>
      </w:r>
      <w:r>
        <w:rPr/>
        <w:t>con</w:t>
      </w:r>
      <w:r>
        <w:rPr>
          <w:spacing w:val="-5"/>
        </w:rPr>
        <w:t> </w:t>
      </w:r>
      <w:r>
        <w:rPr/>
        <w:t>objeto</w:t>
      </w:r>
      <w:r>
        <w:rPr>
          <w:spacing w:val="-2"/>
        </w:rPr>
        <w:t> </w:t>
      </w:r>
      <w:r>
        <w:rPr/>
        <w:t>de</w:t>
      </w:r>
      <w:r>
        <w:rPr>
          <w:spacing w:val="-8"/>
        </w:rPr>
        <w:t> </w:t>
      </w:r>
      <w:r>
        <w:rPr/>
        <w:t>recibir</w:t>
      </w:r>
      <w:r>
        <w:rPr>
          <w:spacing w:val="-4"/>
        </w:rPr>
        <w:t> </w:t>
      </w:r>
      <w:r>
        <w:rPr/>
        <w:t>directamente</w:t>
      </w:r>
      <w:r>
        <w:rPr>
          <w:spacing w:val="-3"/>
        </w:rPr>
        <w:t> </w:t>
      </w:r>
      <w:r>
        <w:rPr/>
        <w:t>las</w:t>
      </w:r>
      <w:r>
        <w:rPr>
          <w:spacing w:val="-5"/>
        </w:rPr>
        <w:t> </w:t>
      </w:r>
      <w:r>
        <w:rPr/>
        <w:t>consultas</w:t>
      </w:r>
      <w:r>
        <w:rPr>
          <w:spacing w:val="-5"/>
        </w:rPr>
        <w:t> </w:t>
      </w:r>
      <w:r>
        <w:rPr/>
        <w:t>sobre</w:t>
      </w:r>
      <w:r>
        <w:rPr>
          <w:spacing w:val="-5"/>
        </w:rPr>
        <w:t> </w:t>
      </w:r>
      <w:r>
        <w:rPr/>
        <w:t>los servicios de la entidad</w:t>
      </w:r>
    </w:p>
    <w:p>
      <w:pPr>
        <w:pStyle w:val="BodyText"/>
        <w:spacing w:before="240"/>
        <w:ind w:left="992" w:right="987"/>
        <w:jc w:val="both"/>
      </w:pPr>
      <w:r>
        <w:rPr/>
        <w:t>Igualmente,</w:t>
      </w:r>
      <w:r>
        <w:rPr>
          <w:spacing w:val="-10"/>
        </w:rPr>
        <w:t> </w:t>
      </w:r>
      <w:r>
        <w:rPr/>
        <w:t>ha</w:t>
      </w:r>
      <w:r>
        <w:rPr>
          <w:spacing w:val="-12"/>
        </w:rPr>
        <w:t> </w:t>
      </w:r>
      <w:r>
        <w:rPr/>
        <w:t>renovado</w:t>
      </w:r>
      <w:r>
        <w:rPr>
          <w:spacing w:val="-11"/>
        </w:rPr>
        <w:t> </w:t>
      </w:r>
      <w:r>
        <w:rPr/>
        <w:t>el</w:t>
      </w:r>
      <w:r>
        <w:rPr>
          <w:spacing w:val="-10"/>
        </w:rPr>
        <w:t> </w:t>
      </w:r>
      <w:r>
        <w:rPr/>
        <w:t>servicio</w:t>
      </w:r>
      <w:r>
        <w:rPr>
          <w:spacing w:val="-9"/>
        </w:rPr>
        <w:t> </w:t>
      </w:r>
      <w:r>
        <w:rPr/>
        <w:t>de</w:t>
      </w:r>
      <w:r>
        <w:rPr>
          <w:spacing w:val="-9"/>
        </w:rPr>
        <w:t> </w:t>
      </w:r>
      <w:r>
        <w:rPr/>
        <w:t>gestor</w:t>
      </w:r>
      <w:r>
        <w:rPr>
          <w:spacing w:val="-10"/>
        </w:rPr>
        <w:t> </w:t>
      </w:r>
      <w:r>
        <w:rPr/>
        <w:t>integral</w:t>
      </w:r>
      <w:r>
        <w:rPr>
          <w:spacing w:val="-9"/>
        </w:rPr>
        <w:t> </w:t>
      </w:r>
      <w:r>
        <w:rPr/>
        <w:t>de</w:t>
      </w:r>
      <w:r>
        <w:rPr>
          <w:spacing w:val="-12"/>
        </w:rPr>
        <w:t> </w:t>
      </w:r>
      <w:r>
        <w:rPr/>
        <w:t>residuos</w:t>
      </w:r>
      <w:r>
        <w:rPr>
          <w:spacing w:val="-9"/>
        </w:rPr>
        <w:t> </w:t>
      </w:r>
      <w:r>
        <w:rPr/>
        <w:t>peligrosos</w:t>
      </w:r>
      <w:r>
        <w:rPr>
          <w:spacing w:val="-9"/>
        </w:rPr>
        <w:t> </w:t>
      </w:r>
      <w:r>
        <w:rPr/>
        <w:t>y</w:t>
      </w:r>
      <w:r>
        <w:rPr>
          <w:spacing w:val="-8"/>
        </w:rPr>
        <w:t> </w:t>
      </w:r>
      <w:r>
        <w:rPr/>
        <w:t>no</w:t>
      </w:r>
      <w:r>
        <w:rPr>
          <w:spacing w:val="-12"/>
        </w:rPr>
        <w:t> </w:t>
      </w:r>
      <w:r>
        <w:rPr/>
        <w:t>peligrosos</w:t>
      </w:r>
      <w:r>
        <w:rPr>
          <w:spacing w:val="-11"/>
        </w:rPr>
        <w:t> </w:t>
      </w:r>
      <w:r>
        <w:rPr/>
        <w:t>de</w:t>
      </w:r>
      <w:r>
        <w:rPr>
          <w:spacing w:val="-7"/>
        </w:rPr>
        <w:t> </w:t>
      </w:r>
      <w:r>
        <w:rPr/>
        <w:t>sus </w:t>
      </w:r>
      <w:r>
        <w:rPr>
          <w:spacing w:val="-2"/>
        </w:rPr>
        <w:t>instalaciones.</w:t>
      </w:r>
    </w:p>
    <w:p>
      <w:pPr>
        <w:pStyle w:val="BodyText"/>
        <w:spacing w:before="241"/>
        <w:ind w:left="992"/>
        <w:jc w:val="both"/>
      </w:pPr>
      <w:r>
        <w:rPr/>
        <w:t>El</w:t>
      </w:r>
      <w:r>
        <w:rPr>
          <w:spacing w:val="-7"/>
        </w:rPr>
        <w:t> </w:t>
      </w:r>
      <w:r>
        <w:rPr/>
        <w:t>total</w:t>
      </w:r>
      <w:r>
        <w:rPr>
          <w:spacing w:val="-5"/>
        </w:rPr>
        <w:t> </w:t>
      </w:r>
      <w:r>
        <w:rPr/>
        <w:t>de</w:t>
      </w:r>
      <w:r>
        <w:rPr>
          <w:spacing w:val="-6"/>
        </w:rPr>
        <w:t> </w:t>
      </w:r>
      <w:r>
        <w:rPr/>
        <w:t>actuaciones</w:t>
      </w:r>
      <w:r>
        <w:rPr>
          <w:spacing w:val="-5"/>
        </w:rPr>
        <w:t> </w:t>
      </w:r>
      <w:r>
        <w:rPr/>
        <w:t>ejecutadas</w:t>
      </w:r>
      <w:r>
        <w:rPr>
          <w:spacing w:val="-4"/>
        </w:rPr>
        <w:t> </w:t>
      </w:r>
      <w:r>
        <w:rPr/>
        <w:t>por</w:t>
      </w:r>
      <w:r>
        <w:rPr>
          <w:spacing w:val="-6"/>
        </w:rPr>
        <w:t> </w:t>
      </w:r>
      <w:r>
        <w:rPr/>
        <w:t>el</w:t>
      </w:r>
      <w:r>
        <w:rPr>
          <w:spacing w:val="-6"/>
        </w:rPr>
        <w:t> </w:t>
      </w:r>
      <w:r>
        <w:rPr/>
        <w:t>Ayuntamiento</w:t>
      </w:r>
      <w:r>
        <w:rPr>
          <w:spacing w:val="-4"/>
        </w:rPr>
        <w:t> </w:t>
      </w:r>
      <w:r>
        <w:rPr/>
        <w:t>de</w:t>
      </w:r>
      <w:r>
        <w:rPr>
          <w:spacing w:val="-5"/>
        </w:rPr>
        <w:t> </w:t>
      </w:r>
      <w:r>
        <w:rPr/>
        <w:t>Sevilla</w:t>
      </w:r>
      <w:r>
        <w:rPr>
          <w:spacing w:val="-4"/>
        </w:rPr>
        <w:t> </w:t>
      </w:r>
      <w:r>
        <w:rPr/>
        <w:t>se</w:t>
      </w:r>
      <w:r>
        <w:rPr>
          <w:spacing w:val="-6"/>
        </w:rPr>
        <w:t> </w:t>
      </w:r>
      <w:r>
        <w:rPr/>
        <w:t>relaciona</w:t>
      </w:r>
      <w:r>
        <w:rPr>
          <w:spacing w:val="-5"/>
        </w:rPr>
        <w:t> </w:t>
      </w:r>
      <w:r>
        <w:rPr/>
        <w:t>en</w:t>
      </w:r>
      <w:r>
        <w:rPr>
          <w:spacing w:val="-4"/>
        </w:rPr>
        <w:t> </w:t>
      </w:r>
      <w:r>
        <w:rPr/>
        <w:t>el</w:t>
      </w:r>
      <w:r>
        <w:rPr>
          <w:spacing w:val="-2"/>
        </w:rPr>
        <w:t> </w:t>
      </w:r>
      <w:hyperlink w:history="true" w:anchor="_bookmark150">
        <w:r>
          <w:rPr/>
          <w:t>Anexo</w:t>
        </w:r>
        <w:r>
          <w:rPr>
            <w:spacing w:val="-6"/>
          </w:rPr>
          <w:t> </w:t>
        </w:r>
        <w:r>
          <w:rPr>
            <w:spacing w:val="-2"/>
          </w:rPr>
          <w:t>XIII</w:t>
        </w:r>
      </w:hyperlink>
      <w:r>
        <w:rPr>
          <w:spacing w:val="-2"/>
        </w:rPr>
        <w:t>.</w:t>
      </w:r>
    </w:p>
    <w:p>
      <w:pPr>
        <w:pStyle w:val="BodyText"/>
        <w:spacing w:before="106"/>
      </w:pPr>
    </w:p>
    <w:p>
      <w:pPr>
        <w:pStyle w:val="ListParagraph"/>
        <w:numPr>
          <w:ilvl w:val="3"/>
          <w:numId w:val="3"/>
        </w:numPr>
        <w:tabs>
          <w:tab w:pos="1779" w:val="left" w:leader="none"/>
        </w:tabs>
        <w:spacing w:line="240" w:lineRule="auto" w:before="0" w:after="0"/>
        <w:ind w:left="1779" w:right="0" w:hanging="787"/>
        <w:jc w:val="left"/>
        <w:rPr>
          <w:sz w:val="22"/>
        </w:rPr>
      </w:pPr>
      <w:r>
        <w:rPr>
          <w:sz w:val="22"/>
        </w:rPr>
        <w:t>AYUNTAMIENTO</w:t>
      </w:r>
      <w:r>
        <w:rPr>
          <w:spacing w:val="-6"/>
          <w:sz w:val="22"/>
        </w:rPr>
        <w:t> </w:t>
      </w:r>
      <w:r>
        <w:rPr>
          <w:sz w:val="22"/>
        </w:rPr>
        <w:t>DE</w:t>
      </w:r>
      <w:r>
        <w:rPr>
          <w:spacing w:val="-6"/>
          <w:sz w:val="22"/>
        </w:rPr>
        <w:t> </w:t>
      </w:r>
      <w:r>
        <w:rPr>
          <w:spacing w:val="-2"/>
          <w:sz w:val="22"/>
        </w:rPr>
        <w:t>ZARAGOZA</w:t>
      </w:r>
    </w:p>
    <w:p>
      <w:pPr>
        <w:pStyle w:val="BodyText"/>
        <w:spacing w:before="242"/>
        <w:ind w:left="992" w:right="984"/>
        <w:jc w:val="both"/>
      </w:pPr>
      <w:r>
        <w:rPr/>
        <w:t>El servicio de transporte colectivo urbano gestionado por el </w:t>
      </w:r>
      <w:r>
        <w:rPr>
          <w:b/>
        </w:rPr>
        <w:t>Ayuntamiento de Zaragoza </w:t>
      </w:r>
      <w:r>
        <w:rPr/>
        <w:t>se compone de una red de líneas de autobús y una línea de tranvía. El servicio de transporte urbano por autobús se presta por una empresa externa con la que el Ayuntamiento había suscrito un contrato de gestión de servicio público en julio de 2013, en la modalidad de concesión, por un periodo de diez años.</w:t>
      </w:r>
    </w:p>
    <w:p>
      <w:pPr>
        <w:pStyle w:val="BodyText"/>
        <w:spacing w:before="240"/>
        <w:ind w:left="992" w:right="994"/>
        <w:jc w:val="both"/>
      </w:pPr>
      <w:r>
        <w:rPr/>
        <w:t>El servicio público de transporte por tranvía se realiza por una sociedad de economía mixta desde el 30 de julio de 2009, por un plazo de 35 años.</w:t>
      </w:r>
    </w:p>
    <w:p>
      <w:pPr>
        <w:pStyle w:val="BodyText"/>
        <w:spacing w:before="240"/>
        <w:ind w:left="992" w:right="988"/>
        <w:jc w:val="both"/>
      </w:pPr>
      <w:r>
        <w:rPr/>
        <w:t>Desde la formalización del contrato de concesión de transporte en autobús el Ayuntamiento ha aprobado su modificación en siete ocasiones. En los primeros años se modificó el plan de renovación</w:t>
      </w:r>
      <w:r>
        <w:rPr>
          <w:spacing w:val="-7"/>
        </w:rPr>
        <w:t> </w:t>
      </w:r>
      <w:r>
        <w:rPr/>
        <w:t>de</w:t>
      </w:r>
      <w:r>
        <w:rPr>
          <w:spacing w:val="-7"/>
        </w:rPr>
        <w:t> </w:t>
      </w:r>
      <w:r>
        <w:rPr/>
        <w:t>la</w:t>
      </w:r>
      <w:r>
        <w:rPr>
          <w:spacing w:val="-6"/>
        </w:rPr>
        <w:t> </w:t>
      </w:r>
      <w:r>
        <w:rPr/>
        <w:t>flota</w:t>
      </w:r>
      <w:r>
        <w:rPr>
          <w:spacing w:val="-5"/>
        </w:rPr>
        <w:t> </w:t>
      </w:r>
      <w:r>
        <w:rPr/>
        <w:t>con</w:t>
      </w:r>
      <w:r>
        <w:rPr>
          <w:spacing w:val="-4"/>
        </w:rPr>
        <w:t> </w:t>
      </w:r>
      <w:r>
        <w:rPr/>
        <w:t>el</w:t>
      </w:r>
      <w:r>
        <w:rPr>
          <w:spacing w:val="-7"/>
        </w:rPr>
        <w:t> </w:t>
      </w:r>
      <w:r>
        <w:rPr/>
        <w:t>fin</w:t>
      </w:r>
      <w:r>
        <w:rPr>
          <w:spacing w:val="-6"/>
        </w:rPr>
        <w:t> </w:t>
      </w:r>
      <w:r>
        <w:rPr/>
        <w:t>de</w:t>
      </w:r>
      <w:r>
        <w:rPr>
          <w:spacing w:val="-6"/>
        </w:rPr>
        <w:t> </w:t>
      </w:r>
      <w:r>
        <w:rPr/>
        <w:t>sustituir</w:t>
      </w:r>
      <w:r>
        <w:rPr>
          <w:spacing w:val="-5"/>
        </w:rPr>
        <w:t> </w:t>
      </w:r>
      <w:r>
        <w:rPr/>
        <w:t>el</w:t>
      </w:r>
      <w:r>
        <w:rPr>
          <w:spacing w:val="-7"/>
        </w:rPr>
        <w:t> </w:t>
      </w:r>
      <w:r>
        <w:rPr/>
        <w:t>material</w:t>
      </w:r>
      <w:r>
        <w:rPr>
          <w:spacing w:val="-5"/>
        </w:rPr>
        <w:t> </w:t>
      </w:r>
      <w:r>
        <w:rPr/>
        <w:t>móvil</w:t>
      </w:r>
      <w:r>
        <w:rPr>
          <w:spacing w:val="-5"/>
        </w:rPr>
        <w:t> </w:t>
      </w:r>
      <w:r>
        <w:rPr/>
        <w:t>de</w:t>
      </w:r>
      <w:r>
        <w:rPr>
          <w:spacing w:val="-7"/>
        </w:rPr>
        <w:t> </w:t>
      </w:r>
      <w:r>
        <w:rPr/>
        <w:t>propulsión</w:t>
      </w:r>
      <w:r>
        <w:rPr>
          <w:spacing w:val="-9"/>
        </w:rPr>
        <w:t> </w:t>
      </w:r>
      <w:r>
        <w:rPr/>
        <w:t>de</w:t>
      </w:r>
      <w:r>
        <w:rPr>
          <w:spacing w:val="-4"/>
        </w:rPr>
        <w:t> </w:t>
      </w:r>
      <w:r>
        <w:rPr/>
        <w:t>gasóleo</w:t>
      </w:r>
      <w:r>
        <w:rPr>
          <w:spacing w:val="-7"/>
        </w:rPr>
        <w:t> </w:t>
      </w:r>
      <w:r>
        <w:rPr/>
        <w:t>por</w:t>
      </w:r>
      <w:r>
        <w:rPr>
          <w:spacing w:val="-8"/>
        </w:rPr>
        <w:t> </w:t>
      </w:r>
      <w:r>
        <w:rPr/>
        <w:t>vehículos híbridos, se</w:t>
      </w:r>
      <w:r>
        <w:rPr>
          <w:spacing w:val="-1"/>
        </w:rPr>
        <w:t> </w:t>
      </w:r>
      <w:r>
        <w:rPr/>
        <w:t>implantó</w:t>
      </w:r>
      <w:r>
        <w:rPr>
          <w:spacing w:val="-1"/>
        </w:rPr>
        <w:t> </w:t>
      </w:r>
      <w:r>
        <w:rPr/>
        <w:t>una nueva</w:t>
      </w:r>
      <w:r>
        <w:rPr>
          <w:spacing w:val="-1"/>
        </w:rPr>
        <w:t> </w:t>
      </w:r>
      <w:r>
        <w:rPr/>
        <w:t>línea, se</w:t>
      </w:r>
      <w:r>
        <w:rPr>
          <w:spacing w:val="-1"/>
        </w:rPr>
        <w:t> </w:t>
      </w:r>
      <w:r>
        <w:rPr/>
        <w:t>amplió</w:t>
      </w:r>
      <w:r>
        <w:rPr>
          <w:spacing w:val="-3"/>
        </w:rPr>
        <w:t> </w:t>
      </w:r>
      <w:r>
        <w:rPr/>
        <w:t>otra</w:t>
      </w:r>
      <w:r>
        <w:rPr>
          <w:spacing w:val="-1"/>
        </w:rPr>
        <w:t> </w:t>
      </w:r>
      <w:r>
        <w:rPr/>
        <w:t>y</w:t>
      </w:r>
      <w:r>
        <w:rPr>
          <w:spacing w:val="-1"/>
        </w:rPr>
        <w:t> </w:t>
      </w:r>
      <w:r>
        <w:rPr/>
        <w:t>se</w:t>
      </w:r>
      <w:r>
        <w:rPr>
          <w:spacing w:val="-3"/>
        </w:rPr>
        <w:t> </w:t>
      </w:r>
      <w:r>
        <w:rPr/>
        <w:t>mejoró</w:t>
      </w:r>
      <w:r>
        <w:rPr>
          <w:spacing w:val="-1"/>
        </w:rPr>
        <w:t> </w:t>
      </w:r>
      <w:r>
        <w:rPr/>
        <w:t>la</w:t>
      </w:r>
      <w:r>
        <w:rPr>
          <w:spacing w:val="-1"/>
        </w:rPr>
        <w:t> </w:t>
      </w:r>
      <w:r>
        <w:rPr/>
        <w:t>frecuencia en</w:t>
      </w:r>
      <w:r>
        <w:rPr>
          <w:spacing w:val="-1"/>
        </w:rPr>
        <w:t> </w:t>
      </w:r>
      <w:r>
        <w:rPr/>
        <w:t>las</w:t>
      </w:r>
      <w:r>
        <w:rPr>
          <w:spacing w:val="-1"/>
        </w:rPr>
        <w:t> </w:t>
      </w:r>
      <w:r>
        <w:rPr/>
        <w:t>mismas, con el objeto de incentivar su uso.</w:t>
      </w:r>
    </w:p>
    <w:p>
      <w:pPr>
        <w:pStyle w:val="BodyText"/>
        <w:spacing w:before="241"/>
        <w:ind w:left="992" w:right="991"/>
        <w:jc w:val="both"/>
      </w:pPr>
      <w:r>
        <w:rPr/>
        <w:t>Con</w:t>
      </w:r>
      <w:r>
        <w:rPr>
          <w:spacing w:val="-2"/>
        </w:rPr>
        <w:t> </w:t>
      </w:r>
      <w:r>
        <w:rPr/>
        <w:t>el</w:t>
      </w:r>
      <w:r>
        <w:rPr>
          <w:spacing w:val="-2"/>
        </w:rPr>
        <w:t> </w:t>
      </w:r>
      <w:r>
        <w:rPr/>
        <w:t>objetivo</w:t>
      </w:r>
      <w:r>
        <w:rPr>
          <w:spacing w:val="-2"/>
        </w:rPr>
        <w:t> </w:t>
      </w:r>
      <w:r>
        <w:rPr/>
        <w:t>de</w:t>
      </w:r>
      <w:r>
        <w:rPr>
          <w:spacing w:val="-4"/>
        </w:rPr>
        <w:t> </w:t>
      </w:r>
      <w:r>
        <w:rPr/>
        <w:t>transformar la</w:t>
      </w:r>
      <w:r>
        <w:rPr>
          <w:spacing w:val="-2"/>
        </w:rPr>
        <w:t> </w:t>
      </w:r>
      <w:r>
        <w:rPr/>
        <w:t>flota</w:t>
      </w:r>
      <w:r>
        <w:rPr>
          <w:spacing w:val="-1"/>
        </w:rPr>
        <w:t> </w:t>
      </w:r>
      <w:r>
        <w:rPr/>
        <w:t>del</w:t>
      </w:r>
      <w:r>
        <w:rPr>
          <w:spacing w:val="-3"/>
        </w:rPr>
        <w:t> </w:t>
      </w:r>
      <w:r>
        <w:rPr/>
        <w:t>servicio</w:t>
      </w:r>
      <w:r>
        <w:rPr>
          <w:spacing w:val="-4"/>
        </w:rPr>
        <w:t> </w:t>
      </w:r>
      <w:r>
        <w:rPr/>
        <w:t>de</w:t>
      </w:r>
      <w:r>
        <w:rPr>
          <w:spacing w:val="-2"/>
        </w:rPr>
        <w:t> </w:t>
      </w:r>
      <w:r>
        <w:rPr/>
        <w:t>transporte</w:t>
      </w:r>
      <w:r>
        <w:rPr>
          <w:spacing w:val="-2"/>
        </w:rPr>
        <w:t> </w:t>
      </w:r>
      <w:r>
        <w:rPr/>
        <w:t>público</w:t>
      </w:r>
      <w:r>
        <w:rPr>
          <w:spacing w:val="-2"/>
        </w:rPr>
        <w:t> </w:t>
      </w:r>
      <w:r>
        <w:rPr/>
        <w:t>en</w:t>
      </w:r>
      <w:r>
        <w:rPr>
          <w:spacing w:val="-2"/>
        </w:rPr>
        <w:t> </w:t>
      </w:r>
      <w:r>
        <w:rPr/>
        <w:t>flota</w:t>
      </w:r>
      <w:r>
        <w:rPr>
          <w:spacing w:val="-1"/>
        </w:rPr>
        <w:t> </w:t>
      </w:r>
      <w:r>
        <w:rPr/>
        <w:t>de</w:t>
      </w:r>
      <w:r>
        <w:rPr>
          <w:spacing w:val="-2"/>
        </w:rPr>
        <w:t> </w:t>
      </w:r>
      <w:r>
        <w:rPr/>
        <w:t>cero</w:t>
      </w:r>
      <w:r>
        <w:rPr>
          <w:spacing w:val="-2"/>
        </w:rPr>
        <w:t> </w:t>
      </w:r>
      <w:r>
        <w:rPr/>
        <w:t>emisiones, en línea con lo previsto en el PMUS, el Ayuntamiento ha aprobado en 2021 y 2023 sendas modificaciones del contrato de gestión del servicio para la renovación de la flota mediante la adquisición de 160 nuevos vehículos eléctricos que habrían de incorporarse sucesivamente </w:t>
      </w:r>
      <w:r>
        <w:rPr>
          <w:rFonts w:ascii="Symbol" w:hAnsi="Symbol"/>
        </w:rPr>
        <w:t></w:t>
      </w:r>
      <w:r>
        <w:rPr/>
        <w:t>los últimos en julio de 2027</w:t>
      </w:r>
      <w:r>
        <w:rPr>
          <w:rFonts w:ascii="Symbol" w:hAnsi="Symbol"/>
        </w:rPr>
        <w:t></w:t>
      </w:r>
      <w:r>
        <w:rPr/>
        <w:t>, así como la adecuación de infraestructura eléctrica, reparación de pavimentos, inversión en puntos de recarga y otras actividades complementarias.</w:t>
      </w:r>
    </w:p>
    <w:p>
      <w:pPr>
        <w:pStyle w:val="BodyText"/>
        <w:spacing w:before="239"/>
        <w:ind w:left="992" w:right="989"/>
        <w:jc w:val="both"/>
      </w:pPr>
      <w:r>
        <w:rPr/>
        <w:t>Al objeto de obtener financiación para la consecución de este objetivo, la entidad participó en las dos</w:t>
      </w:r>
      <w:r>
        <w:rPr>
          <w:spacing w:val="-9"/>
        </w:rPr>
        <w:t> </w:t>
      </w:r>
      <w:r>
        <w:rPr/>
        <w:t>convocatorias</w:t>
      </w:r>
      <w:r>
        <w:rPr>
          <w:spacing w:val="-12"/>
        </w:rPr>
        <w:t> </w:t>
      </w:r>
      <w:r>
        <w:rPr/>
        <w:t>del</w:t>
      </w:r>
      <w:r>
        <w:rPr>
          <w:spacing w:val="-9"/>
        </w:rPr>
        <w:t> </w:t>
      </w:r>
      <w:r>
        <w:rPr/>
        <w:t>Programa</w:t>
      </w:r>
      <w:r>
        <w:rPr>
          <w:spacing w:val="-12"/>
        </w:rPr>
        <w:t> </w:t>
      </w:r>
      <w:r>
        <w:rPr/>
        <w:t>de</w:t>
      </w:r>
      <w:r>
        <w:rPr>
          <w:spacing w:val="-13"/>
        </w:rPr>
        <w:t> </w:t>
      </w:r>
      <w:r>
        <w:rPr/>
        <w:t>ayudas</w:t>
      </w:r>
      <w:r>
        <w:rPr>
          <w:spacing w:val="-12"/>
        </w:rPr>
        <w:t> </w:t>
      </w:r>
      <w:r>
        <w:rPr/>
        <w:t>para</w:t>
      </w:r>
      <w:r>
        <w:rPr>
          <w:spacing w:val="-12"/>
        </w:rPr>
        <w:t> </w:t>
      </w:r>
      <w:r>
        <w:rPr/>
        <w:t>la</w:t>
      </w:r>
      <w:r>
        <w:rPr>
          <w:spacing w:val="-12"/>
        </w:rPr>
        <w:t> </w:t>
      </w:r>
      <w:r>
        <w:rPr/>
        <w:t>transformación</w:t>
      </w:r>
      <w:r>
        <w:rPr>
          <w:spacing w:val="-13"/>
        </w:rPr>
        <w:t> </w:t>
      </w:r>
      <w:r>
        <w:rPr/>
        <w:t>digital</w:t>
      </w:r>
      <w:r>
        <w:rPr>
          <w:spacing w:val="-11"/>
        </w:rPr>
        <w:t> </w:t>
      </w:r>
      <w:r>
        <w:rPr/>
        <w:t>y</w:t>
      </w:r>
      <w:r>
        <w:rPr>
          <w:spacing w:val="-12"/>
        </w:rPr>
        <w:t> </w:t>
      </w:r>
      <w:r>
        <w:rPr/>
        <w:t>sostenible</w:t>
      </w:r>
      <w:r>
        <w:rPr>
          <w:spacing w:val="-10"/>
        </w:rPr>
        <w:t> </w:t>
      </w:r>
      <w:r>
        <w:rPr/>
        <w:t>del</w:t>
      </w:r>
      <w:r>
        <w:rPr>
          <w:spacing w:val="-13"/>
        </w:rPr>
        <w:t> </w:t>
      </w:r>
      <w:r>
        <w:rPr/>
        <w:t>transporte urbano, PRTR.</w:t>
      </w:r>
    </w:p>
    <w:p>
      <w:pPr>
        <w:pStyle w:val="BodyText"/>
        <w:spacing w:before="240"/>
        <w:ind w:left="992" w:right="987"/>
        <w:jc w:val="both"/>
      </w:pPr>
      <w:r>
        <w:rPr/>
        <w:t>A 31 de diciembre de 2022, la flota de autobuses contaba con 17 autobuses eléctricos y 111 híbridos,</w:t>
      </w:r>
      <w:r>
        <w:rPr>
          <w:spacing w:val="-7"/>
        </w:rPr>
        <w:t> </w:t>
      </w:r>
      <w:r>
        <w:rPr/>
        <w:t>representando</w:t>
      </w:r>
      <w:r>
        <w:rPr>
          <w:spacing w:val="-9"/>
        </w:rPr>
        <w:t> </w:t>
      </w:r>
      <w:r>
        <w:rPr/>
        <w:t>el</w:t>
      </w:r>
      <w:r>
        <w:rPr>
          <w:spacing w:val="-7"/>
        </w:rPr>
        <w:t> </w:t>
      </w:r>
      <w:r>
        <w:rPr/>
        <w:t>número</w:t>
      </w:r>
      <w:r>
        <w:rPr>
          <w:spacing w:val="-6"/>
        </w:rPr>
        <w:t> </w:t>
      </w:r>
      <w:r>
        <w:rPr/>
        <w:t>de</w:t>
      </w:r>
      <w:r>
        <w:rPr>
          <w:spacing w:val="-7"/>
        </w:rPr>
        <w:t> </w:t>
      </w:r>
      <w:r>
        <w:rPr/>
        <w:t>vehículos</w:t>
      </w:r>
      <w:r>
        <w:rPr>
          <w:spacing w:val="-6"/>
        </w:rPr>
        <w:t> </w:t>
      </w:r>
      <w:r>
        <w:rPr/>
        <w:t>limpios</w:t>
      </w:r>
      <w:r>
        <w:rPr>
          <w:spacing w:val="-6"/>
        </w:rPr>
        <w:t> </w:t>
      </w:r>
      <w:r>
        <w:rPr/>
        <w:t>el</w:t>
      </w:r>
      <w:r>
        <w:rPr>
          <w:spacing w:val="-7"/>
        </w:rPr>
        <w:t> </w:t>
      </w:r>
      <w:r>
        <w:rPr/>
        <w:t>36</w:t>
      </w:r>
      <w:r>
        <w:rPr>
          <w:spacing w:val="-5"/>
        </w:rPr>
        <w:t> </w:t>
      </w:r>
      <w:r>
        <w:rPr/>
        <w:t>%</w:t>
      </w:r>
      <w:r>
        <w:rPr>
          <w:spacing w:val="-6"/>
        </w:rPr>
        <w:t> </w:t>
      </w:r>
      <w:r>
        <w:rPr/>
        <w:t>del</w:t>
      </w:r>
      <w:r>
        <w:rPr>
          <w:spacing w:val="-7"/>
        </w:rPr>
        <w:t> </w:t>
      </w:r>
      <w:r>
        <w:rPr/>
        <w:t>total</w:t>
      </w:r>
      <w:r>
        <w:rPr>
          <w:spacing w:val="-7"/>
        </w:rPr>
        <w:t> </w:t>
      </w:r>
      <w:r>
        <w:rPr/>
        <w:t>de</w:t>
      </w:r>
      <w:r>
        <w:rPr>
          <w:spacing w:val="-6"/>
        </w:rPr>
        <w:t> </w:t>
      </w:r>
      <w:r>
        <w:rPr/>
        <w:t>autobuses</w:t>
      </w:r>
      <w:hyperlink w:history="true" w:anchor="_bookmark41">
        <w:r>
          <w:rPr>
            <w:vertAlign w:val="superscript"/>
          </w:rPr>
          <w:t>21</w:t>
        </w:r>
      </w:hyperlink>
      <w:r>
        <w:rPr>
          <w:vertAlign w:val="baseline"/>
        </w:rPr>
        <w:t>.</w:t>
      </w:r>
      <w:r>
        <w:rPr>
          <w:spacing w:val="-5"/>
          <w:vertAlign w:val="baseline"/>
        </w:rPr>
        <w:t> </w:t>
      </w:r>
      <w:r>
        <w:rPr>
          <w:vertAlign w:val="baseline"/>
        </w:rPr>
        <w:t>El</w:t>
      </w:r>
      <w:r>
        <w:rPr>
          <w:spacing w:val="-7"/>
          <w:vertAlign w:val="baseline"/>
        </w:rPr>
        <w:t> </w:t>
      </w:r>
      <w:r>
        <w:rPr>
          <w:vertAlign w:val="baseline"/>
        </w:rPr>
        <w:t>número de unidades tranviarias operativas era de 21</w:t>
      </w:r>
      <w:hyperlink w:history="true" w:anchor="_bookmark42">
        <w:r>
          <w:rPr>
            <w:vertAlign w:val="superscript"/>
          </w:rPr>
          <w:t>22</w:t>
        </w:r>
        <w:r>
          <w:rPr>
            <w:vertAlign w:val="baseline"/>
          </w:rPr>
          <w:t>.</w:t>
        </w:r>
      </w:hyperlink>
    </w:p>
    <w:p>
      <w:pPr>
        <w:pStyle w:val="BodyText"/>
        <w:spacing w:before="240"/>
        <w:ind w:left="992" w:right="990"/>
        <w:jc w:val="both"/>
      </w:pPr>
      <w:r>
        <w:rPr/>
        <w:t>A</w:t>
      </w:r>
      <w:r>
        <w:rPr>
          <w:spacing w:val="-8"/>
        </w:rPr>
        <w:t> </w:t>
      </w:r>
      <w:r>
        <w:rPr/>
        <w:t>esa</w:t>
      </w:r>
      <w:r>
        <w:rPr>
          <w:spacing w:val="-9"/>
        </w:rPr>
        <w:t> </w:t>
      </w:r>
      <w:r>
        <w:rPr/>
        <w:t>fecha,</w:t>
      </w:r>
      <w:r>
        <w:rPr>
          <w:spacing w:val="-8"/>
        </w:rPr>
        <w:t> </w:t>
      </w:r>
      <w:r>
        <w:rPr/>
        <w:t>la</w:t>
      </w:r>
      <w:r>
        <w:rPr>
          <w:spacing w:val="-7"/>
        </w:rPr>
        <w:t> </w:t>
      </w:r>
      <w:r>
        <w:rPr/>
        <w:t>entidad</w:t>
      </w:r>
      <w:r>
        <w:rPr>
          <w:spacing w:val="-7"/>
        </w:rPr>
        <w:t> </w:t>
      </w:r>
      <w:r>
        <w:rPr/>
        <w:t>no</w:t>
      </w:r>
      <w:r>
        <w:rPr>
          <w:spacing w:val="-7"/>
        </w:rPr>
        <w:t> </w:t>
      </w:r>
      <w:r>
        <w:rPr/>
        <w:t>tenía</w:t>
      </w:r>
      <w:r>
        <w:rPr>
          <w:spacing w:val="-7"/>
        </w:rPr>
        <w:t> </w:t>
      </w:r>
      <w:r>
        <w:rPr/>
        <w:t>establecidas,</w:t>
      </w:r>
      <w:r>
        <w:rPr>
          <w:spacing w:val="-8"/>
        </w:rPr>
        <w:t> </w:t>
      </w:r>
      <w:r>
        <w:rPr/>
        <w:t>como</w:t>
      </w:r>
      <w:r>
        <w:rPr>
          <w:spacing w:val="-7"/>
        </w:rPr>
        <w:t> </w:t>
      </w:r>
      <w:r>
        <w:rPr/>
        <w:t>sistemas</w:t>
      </w:r>
      <w:r>
        <w:rPr>
          <w:spacing w:val="-7"/>
        </w:rPr>
        <w:t> </w:t>
      </w:r>
      <w:r>
        <w:rPr/>
        <w:t>de</w:t>
      </w:r>
      <w:r>
        <w:rPr>
          <w:spacing w:val="-9"/>
        </w:rPr>
        <w:t> </w:t>
      </w:r>
      <w:r>
        <w:rPr/>
        <w:t>reducción</w:t>
      </w:r>
      <w:r>
        <w:rPr>
          <w:spacing w:val="-7"/>
        </w:rPr>
        <w:t> </w:t>
      </w:r>
      <w:r>
        <w:rPr/>
        <w:t>del</w:t>
      </w:r>
      <w:r>
        <w:rPr>
          <w:spacing w:val="-8"/>
        </w:rPr>
        <w:t> </w:t>
      </w:r>
      <w:r>
        <w:rPr/>
        <w:t>consumo</w:t>
      </w:r>
      <w:r>
        <w:rPr>
          <w:spacing w:val="-7"/>
        </w:rPr>
        <w:t> </w:t>
      </w:r>
      <w:r>
        <w:rPr/>
        <w:t>de</w:t>
      </w:r>
      <w:r>
        <w:rPr>
          <w:spacing w:val="-9"/>
        </w:rPr>
        <w:t> </w:t>
      </w:r>
      <w:r>
        <w:rPr/>
        <w:t>energía en</w:t>
      </w:r>
      <w:r>
        <w:rPr>
          <w:spacing w:val="-4"/>
        </w:rPr>
        <w:t> </w:t>
      </w:r>
      <w:r>
        <w:rPr/>
        <w:t>los</w:t>
      </w:r>
      <w:r>
        <w:rPr>
          <w:spacing w:val="-4"/>
        </w:rPr>
        <w:t> </w:t>
      </w:r>
      <w:r>
        <w:rPr/>
        <w:t>edificios,</w:t>
      </w:r>
      <w:r>
        <w:rPr>
          <w:spacing w:val="-3"/>
        </w:rPr>
        <w:t> </w:t>
      </w:r>
      <w:r>
        <w:rPr/>
        <w:t>centros</w:t>
      </w:r>
      <w:r>
        <w:rPr>
          <w:spacing w:val="-9"/>
        </w:rPr>
        <w:t> </w:t>
      </w:r>
      <w:r>
        <w:rPr/>
        <w:t>e</w:t>
      </w:r>
      <w:r>
        <w:rPr>
          <w:spacing w:val="-4"/>
        </w:rPr>
        <w:t> </w:t>
      </w:r>
      <w:r>
        <w:rPr/>
        <w:t>instalaciones</w:t>
      </w:r>
      <w:r>
        <w:rPr>
          <w:spacing w:val="-4"/>
        </w:rPr>
        <w:t> </w:t>
      </w:r>
      <w:r>
        <w:rPr/>
        <w:t>destinados</w:t>
      </w:r>
      <w:r>
        <w:rPr>
          <w:spacing w:val="-4"/>
        </w:rPr>
        <w:t> </w:t>
      </w:r>
      <w:r>
        <w:rPr/>
        <w:t>al</w:t>
      </w:r>
      <w:r>
        <w:rPr>
          <w:spacing w:val="-5"/>
        </w:rPr>
        <w:t> </w:t>
      </w:r>
      <w:r>
        <w:rPr/>
        <w:t>transporte</w:t>
      </w:r>
      <w:r>
        <w:rPr>
          <w:spacing w:val="-4"/>
        </w:rPr>
        <w:t> </w:t>
      </w:r>
      <w:r>
        <w:rPr/>
        <w:t>del</w:t>
      </w:r>
      <w:r>
        <w:rPr>
          <w:spacing w:val="-5"/>
        </w:rPr>
        <w:t> </w:t>
      </w:r>
      <w:r>
        <w:rPr/>
        <w:t>autobús,</w:t>
      </w:r>
      <w:r>
        <w:rPr>
          <w:spacing w:val="-5"/>
        </w:rPr>
        <w:t> </w:t>
      </w:r>
      <w:r>
        <w:rPr/>
        <w:t>tales</w:t>
      </w:r>
      <w:r>
        <w:rPr>
          <w:spacing w:val="-4"/>
        </w:rPr>
        <w:t> </w:t>
      </w:r>
      <w:r>
        <w:rPr/>
        <w:t>como</w:t>
      </w:r>
      <w:r>
        <w:rPr>
          <w:spacing w:val="-6"/>
        </w:rPr>
        <w:t> </w:t>
      </w:r>
      <w:r>
        <w:rPr/>
        <w:t>luminarias de</w:t>
      </w:r>
      <w:r>
        <w:rPr>
          <w:spacing w:val="-16"/>
        </w:rPr>
        <w:t> </w:t>
      </w:r>
      <w:r>
        <w:rPr/>
        <w:t>bajo</w:t>
      </w:r>
      <w:r>
        <w:rPr>
          <w:spacing w:val="-15"/>
        </w:rPr>
        <w:t> </w:t>
      </w:r>
      <w:r>
        <w:rPr/>
        <w:t>consumo</w:t>
      </w:r>
      <w:r>
        <w:rPr>
          <w:spacing w:val="-15"/>
        </w:rPr>
        <w:t> </w:t>
      </w:r>
      <w:r>
        <w:rPr/>
        <w:t>energético</w:t>
      </w:r>
      <w:r>
        <w:rPr>
          <w:spacing w:val="-16"/>
        </w:rPr>
        <w:t> </w:t>
      </w:r>
      <w:r>
        <w:rPr/>
        <w:t>o</w:t>
      </w:r>
      <w:r>
        <w:rPr>
          <w:spacing w:val="-15"/>
        </w:rPr>
        <w:t> </w:t>
      </w:r>
      <w:r>
        <w:rPr/>
        <w:t>sistemas</w:t>
      </w:r>
      <w:r>
        <w:rPr>
          <w:spacing w:val="-15"/>
        </w:rPr>
        <w:t> </w:t>
      </w:r>
      <w:r>
        <w:rPr/>
        <w:t>de</w:t>
      </w:r>
      <w:r>
        <w:rPr>
          <w:spacing w:val="-15"/>
        </w:rPr>
        <w:t> </w:t>
      </w:r>
      <w:r>
        <w:rPr/>
        <w:t>climatización</w:t>
      </w:r>
      <w:r>
        <w:rPr>
          <w:spacing w:val="-16"/>
        </w:rPr>
        <w:t> </w:t>
      </w:r>
      <w:r>
        <w:rPr/>
        <w:t>sostenibles</w:t>
      </w:r>
      <w:r>
        <w:rPr>
          <w:spacing w:val="-15"/>
        </w:rPr>
        <w:t> </w:t>
      </w:r>
      <w:r>
        <w:rPr/>
        <w:t>energéticamente.</w:t>
      </w:r>
      <w:r>
        <w:rPr>
          <w:spacing w:val="-15"/>
        </w:rPr>
        <w:t> </w:t>
      </w:r>
      <w:r>
        <w:rPr/>
        <w:t>Sin</w:t>
      </w:r>
      <w:r>
        <w:rPr>
          <w:spacing w:val="-16"/>
        </w:rPr>
        <w:t> </w:t>
      </w:r>
      <w:r>
        <w:rPr/>
        <w:t>embargo, en el servicio de tranvía se instalaron equipos de iluminación LED en los talleres en 2018 y en las paradas en 2019.</w:t>
      </w:r>
    </w:p>
    <w:p>
      <w:pPr>
        <w:pStyle w:val="BodyText"/>
        <w:rPr>
          <w:sz w:val="20"/>
        </w:rPr>
      </w:pPr>
    </w:p>
    <w:p>
      <w:pPr>
        <w:pStyle w:val="BodyText"/>
        <w:spacing w:before="178"/>
        <w:rPr>
          <w:sz w:val="20"/>
        </w:rPr>
      </w:pPr>
      <w:r>
        <w:rPr>
          <w:sz w:val="20"/>
        </w:rPr>
        <mc:AlternateContent>
          <mc:Choice Requires="wps">
            <w:drawing>
              <wp:anchor distT="0" distB="0" distL="0" distR="0" allowOverlap="1" layoutInCell="1" locked="0" behindDoc="1" simplePos="0" relativeHeight="487602176">
                <wp:simplePos x="0" y="0"/>
                <wp:positionH relativeFrom="page">
                  <wp:posOffset>719632</wp:posOffset>
                </wp:positionH>
                <wp:positionV relativeFrom="paragraph">
                  <wp:posOffset>274442</wp:posOffset>
                </wp:positionV>
                <wp:extent cx="1829435" cy="9525"/>
                <wp:effectExtent l="0" t="0" r="0" b="0"/>
                <wp:wrapTopAndBottom/>
                <wp:docPr id="136" name="Graphic 136"/>
                <wp:cNvGraphicFramePr>
                  <a:graphicFrameLocks/>
                </wp:cNvGraphicFramePr>
                <a:graphic>
                  <a:graphicData uri="http://schemas.microsoft.com/office/word/2010/wordprocessingShape">
                    <wps:wsp>
                      <wps:cNvPr id="136" name="Graphic 136"/>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21.609619pt;width:144.020pt;height:.72003pt;mso-position-horizontal-relative:page;mso-position-vertical-relative:paragraph;z-index:-15714304;mso-wrap-distance-left:0;mso-wrap-distance-right:0" id="docshape118" filled="true" fillcolor="#000000" stroked="false">
                <v:fill type="solid"/>
                <w10:wrap type="topAndBottom"/>
              </v:rect>
            </w:pict>
          </mc:Fallback>
        </mc:AlternateContent>
      </w:r>
    </w:p>
    <w:p>
      <w:pPr>
        <w:spacing w:before="115"/>
        <w:ind w:left="992" w:right="990" w:firstLine="0"/>
        <w:jc w:val="both"/>
        <w:rPr>
          <w:sz w:val="18"/>
        </w:rPr>
      </w:pPr>
      <w:bookmarkStart w:name="_bookmark41" w:id="43"/>
      <w:bookmarkEnd w:id="43"/>
      <w:r>
        <w:rPr/>
      </w:r>
      <w:r>
        <w:rPr>
          <w:position w:val="6"/>
          <w:sz w:val="12"/>
        </w:rPr>
        <w:t>21</w:t>
      </w:r>
      <w:r>
        <w:rPr>
          <w:spacing w:val="32"/>
          <w:position w:val="6"/>
          <w:sz w:val="12"/>
        </w:rPr>
        <w:t> </w:t>
      </w:r>
      <w:r>
        <w:rPr>
          <w:sz w:val="18"/>
        </w:rPr>
        <w:t>A 31 de diciembre de 2024, el número de vehículos eléctricos ha aumentado hasta 72, con lo que el porcentaje de vehículos limpios se ha incrementado al 51 %. El objetivo previsto en el PMUS era lograr un 50 % de la flota eléctrica al final de su vigencia (2026); en 2024, se ha alcanzado un 20,17 %.</w:t>
      </w:r>
    </w:p>
    <w:p>
      <w:pPr>
        <w:spacing w:before="57"/>
        <w:ind w:left="992" w:right="0" w:firstLine="0"/>
        <w:jc w:val="both"/>
        <w:rPr>
          <w:sz w:val="18"/>
        </w:rPr>
      </w:pPr>
      <w:bookmarkStart w:name="_bookmark42" w:id="44"/>
      <w:bookmarkEnd w:id="44"/>
      <w:r>
        <w:rPr/>
      </w:r>
      <w:r>
        <w:rPr>
          <w:position w:val="6"/>
          <w:sz w:val="12"/>
        </w:rPr>
        <w:t>22</w:t>
      </w:r>
      <w:r>
        <w:rPr>
          <w:spacing w:val="13"/>
          <w:position w:val="6"/>
          <w:sz w:val="12"/>
        </w:rPr>
        <w:t> </w:t>
      </w:r>
      <w:r>
        <w:rPr>
          <w:sz w:val="18"/>
        </w:rPr>
        <w:t>A</w:t>
      </w:r>
      <w:r>
        <w:rPr>
          <w:spacing w:val="-1"/>
          <w:sz w:val="18"/>
        </w:rPr>
        <w:t> </w:t>
      </w:r>
      <w:r>
        <w:rPr>
          <w:sz w:val="18"/>
        </w:rPr>
        <w:t>31</w:t>
      </w:r>
      <w:r>
        <w:rPr>
          <w:spacing w:val="-2"/>
          <w:sz w:val="18"/>
        </w:rPr>
        <w:t> </w:t>
      </w:r>
      <w:r>
        <w:rPr>
          <w:sz w:val="18"/>
        </w:rPr>
        <w:t>de</w:t>
      </w:r>
      <w:r>
        <w:rPr>
          <w:spacing w:val="-1"/>
          <w:sz w:val="18"/>
        </w:rPr>
        <w:t> </w:t>
      </w:r>
      <w:r>
        <w:rPr>
          <w:sz w:val="18"/>
        </w:rPr>
        <w:t>diciembre</w:t>
      </w:r>
      <w:r>
        <w:rPr>
          <w:spacing w:val="-1"/>
          <w:sz w:val="18"/>
        </w:rPr>
        <w:t> </w:t>
      </w:r>
      <w:r>
        <w:rPr>
          <w:sz w:val="18"/>
        </w:rPr>
        <w:t>de</w:t>
      </w:r>
      <w:r>
        <w:rPr>
          <w:spacing w:val="-4"/>
          <w:sz w:val="18"/>
        </w:rPr>
        <w:t> </w:t>
      </w:r>
      <w:r>
        <w:rPr>
          <w:sz w:val="18"/>
        </w:rPr>
        <w:t>2024</w:t>
      </w:r>
      <w:r>
        <w:rPr>
          <w:spacing w:val="-1"/>
          <w:sz w:val="18"/>
        </w:rPr>
        <w:t> </w:t>
      </w:r>
      <w:r>
        <w:rPr>
          <w:sz w:val="18"/>
        </w:rPr>
        <w:t>era</w:t>
      </w:r>
      <w:r>
        <w:rPr>
          <w:spacing w:val="-2"/>
          <w:sz w:val="18"/>
        </w:rPr>
        <w:t> </w:t>
      </w:r>
      <w:r>
        <w:rPr>
          <w:sz w:val="18"/>
        </w:rPr>
        <w:t>de</w:t>
      </w:r>
      <w:r>
        <w:rPr>
          <w:spacing w:val="-1"/>
          <w:sz w:val="18"/>
        </w:rPr>
        <w:t> </w:t>
      </w:r>
      <w:r>
        <w:rPr>
          <w:sz w:val="18"/>
        </w:rPr>
        <w:t>23</w:t>
      </w:r>
      <w:r>
        <w:rPr>
          <w:spacing w:val="-1"/>
          <w:sz w:val="18"/>
        </w:rPr>
        <w:t> </w:t>
      </w:r>
      <w:r>
        <w:rPr>
          <w:sz w:val="18"/>
        </w:rPr>
        <w:t>(por</w:t>
      </w:r>
      <w:r>
        <w:rPr>
          <w:spacing w:val="-2"/>
          <w:sz w:val="18"/>
        </w:rPr>
        <w:t> </w:t>
      </w:r>
      <w:r>
        <w:rPr>
          <w:sz w:val="18"/>
        </w:rPr>
        <w:t>la</w:t>
      </w:r>
      <w:r>
        <w:rPr>
          <w:spacing w:val="-3"/>
          <w:sz w:val="18"/>
        </w:rPr>
        <w:t> </w:t>
      </w:r>
      <w:r>
        <w:rPr>
          <w:sz w:val="18"/>
        </w:rPr>
        <w:t>compra</w:t>
      </w:r>
      <w:r>
        <w:rPr>
          <w:spacing w:val="-4"/>
          <w:sz w:val="18"/>
        </w:rPr>
        <w:t> </w:t>
      </w:r>
      <w:r>
        <w:rPr>
          <w:sz w:val="18"/>
        </w:rPr>
        <w:t>de</w:t>
      </w:r>
      <w:r>
        <w:rPr>
          <w:spacing w:val="-3"/>
          <w:sz w:val="18"/>
        </w:rPr>
        <w:t> </w:t>
      </w:r>
      <w:r>
        <w:rPr>
          <w:sz w:val="18"/>
        </w:rPr>
        <w:t>dos</w:t>
      </w:r>
      <w:r>
        <w:rPr>
          <w:spacing w:val="-2"/>
          <w:sz w:val="18"/>
        </w:rPr>
        <w:t> </w:t>
      </w:r>
      <w:r>
        <w:rPr>
          <w:sz w:val="18"/>
        </w:rPr>
        <w:t>unidades</w:t>
      </w:r>
      <w:r>
        <w:rPr>
          <w:spacing w:val="-1"/>
          <w:sz w:val="18"/>
        </w:rPr>
        <w:t> </w:t>
      </w:r>
      <w:r>
        <w:rPr>
          <w:sz w:val="18"/>
        </w:rPr>
        <w:t>con</w:t>
      </w:r>
      <w:r>
        <w:rPr>
          <w:spacing w:val="-1"/>
          <w:sz w:val="18"/>
        </w:rPr>
        <w:t> </w:t>
      </w:r>
      <w:r>
        <w:rPr>
          <w:sz w:val="18"/>
        </w:rPr>
        <w:t>ayudas </w:t>
      </w:r>
      <w:r>
        <w:rPr>
          <w:spacing w:val="-2"/>
          <w:sz w:val="18"/>
        </w:rPr>
        <w:t>PRTR).</w:t>
      </w:r>
    </w:p>
    <w:p>
      <w:pPr>
        <w:spacing w:after="0"/>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9"/>
        <w:jc w:val="both"/>
      </w:pPr>
      <w:r>
        <w:rPr/>
        <w:t>El</w:t>
      </w:r>
      <w:r>
        <w:rPr>
          <w:spacing w:val="-1"/>
        </w:rPr>
        <w:t> </w:t>
      </w:r>
      <w:r>
        <w:rPr/>
        <w:t>100 % de</w:t>
      </w:r>
      <w:r>
        <w:rPr>
          <w:spacing w:val="-1"/>
        </w:rPr>
        <w:t> </w:t>
      </w:r>
      <w:r>
        <w:rPr/>
        <w:t>la</w:t>
      </w:r>
      <w:r>
        <w:rPr>
          <w:spacing w:val="-1"/>
        </w:rPr>
        <w:t> </w:t>
      </w:r>
      <w:r>
        <w:rPr/>
        <w:t>energía</w:t>
      </w:r>
      <w:r>
        <w:rPr>
          <w:spacing w:val="-1"/>
        </w:rPr>
        <w:t> </w:t>
      </w:r>
      <w:r>
        <w:rPr/>
        <w:t>eléctrica</w:t>
      </w:r>
      <w:r>
        <w:rPr>
          <w:spacing w:val="-1"/>
        </w:rPr>
        <w:t> </w:t>
      </w:r>
      <w:r>
        <w:rPr/>
        <w:t>en</w:t>
      </w:r>
      <w:r>
        <w:rPr>
          <w:spacing w:val="-1"/>
        </w:rPr>
        <w:t> </w:t>
      </w:r>
      <w:r>
        <w:rPr/>
        <w:t>cocheras</w:t>
      </w:r>
      <w:r>
        <w:rPr>
          <w:spacing w:val="-1"/>
        </w:rPr>
        <w:t> </w:t>
      </w:r>
      <w:r>
        <w:rPr/>
        <w:t>del</w:t>
      </w:r>
      <w:r>
        <w:rPr>
          <w:spacing w:val="-4"/>
        </w:rPr>
        <w:t> </w:t>
      </w:r>
      <w:r>
        <w:rPr/>
        <w:t>servicio</w:t>
      </w:r>
      <w:r>
        <w:rPr>
          <w:spacing w:val="-1"/>
        </w:rPr>
        <w:t> </w:t>
      </w:r>
      <w:r>
        <w:rPr/>
        <w:t>de</w:t>
      </w:r>
      <w:r>
        <w:rPr>
          <w:spacing w:val="-1"/>
        </w:rPr>
        <w:t> </w:t>
      </w:r>
      <w:r>
        <w:rPr/>
        <w:t>autobús y en</w:t>
      </w:r>
      <w:r>
        <w:rPr>
          <w:spacing w:val="-3"/>
        </w:rPr>
        <w:t> </w:t>
      </w:r>
      <w:r>
        <w:rPr/>
        <w:t>tranvía</w:t>
      </w:r>
      <w:r>
        <w:rPr>
          <w:spacing w:val="-1"/>
        </w:rPr>
        <w:t> </w:t>
      </w:r>
      <w:r>
        <w:rPr/>
        <w:t>es</w:t>
      </w:r>
      <w:r>
        <w:rPr>
          <w:spacing w:val="-2"/>
        </w:rPr>
        <w:t> </w:t>
      </w:r>
      <w:r>
        <w:rPr/>
        <w:t>renovable</w:t>
      </w:r>
      <w:r>
        <w:rPr>
          <w:spacing w:val="-1"/>
        </w:rPr>
        <w:t> </w:t>
      </w:r>
      <w:r>
        <w:rPr/>
        <w:t>con certificado</w:t>
      </w:r>
      <w:r>
        <w:rPr>
          <w:spacing w:val="-2"/>
        </w:rPr>
        <w:t> </w:t>
      </w:r>
      <w:r>
        <w:rPr/>
        <w:t>de origen. El</w:t>
      </w:r>
      <w:r>
        <w:rPr>
          <w:spacing w:val="-2"/>
        </w:rPr>
        <w:t> </w:t>
      </w:r>
      <w:r>
        <w:rPr/>
        <w:t>servicio de autobús,</w:t>
      </w:r>
      <w:r>
        <w:rPr>
          <w:spacing w:val="-1"/>
        </w:rPr>
        <w:t> </w:t>
      </w:r>
      <w:r>
        <w:rPr/>
        <w:t>además,</w:t>
      </w:r>
      <w:r>
        <w:rPr>
          <w:spacing w:val="-1"/>
        </w:rPr>
        <w:t> </w:t>
      </w:r>
      <w:r>
        <w:rPr/>
        <w:t>dispone de una instalación fotovoltaica en</w:t>
      </w:r>
      <w:r>
        <w:rPr>
          <w:spacing w:val="-2"/>
        </w:rPr>
        <w:t> </w:t>
      </w:r>
      <w:r>
        <w:rPr/>
        <w:t>el edificio de cocheras, placas fotovoltaicas en 20 aseos para conductores en terminal de líneas y se han instalado 80 cargadores en la electrolinera y 76 pantógrafos invertidos.</w:t>
      </w:r>
    </w:p>
    <w:p>
      <w:pPr>
        <w:pStyle w:val="BodyText"/>
        <w:spacing w:before="241"/>
        <w:ind w:left="992" w:right="988"/>
        <w:jc w:val="both"/>
      </w:pPr>
      <w:r>
        <w:rPr/>
        <w:t>La</w:t>
      </w:r>
      <w:r>
        <w:rPr>
          <w:spacing w:val="-9"/>
        </w:rPr>
        <w:t> </w:t>
      </w:r>
      <w:r>
        <w:rPr/>
        <w:t>entidad</w:t>
      </w:r>
      <w:r>
        <w:rPr>
          <w:spacing w:val="-11"/>
        </w:rPr>
        <w:t> </w:t>
      </w:r>
      <w:r>
        <w:rPr/>
        <w:t>gestora</w:t>
      </w:r>
      <w:r>
        <w:rPr>
          <w:spacing w:val="-11"/>
        </w:rPr>
        <w:t> </w:t>
      </w:r>
      <w:r>
        <w:rPr/>
        <w:t>del</w:t>
      </w:r>
      <w:r>
        <w:rPr>
          <w:spacing w:val="-10"/>
        </w:rPr>
        <w:t> </w:t>
      </w:r>
      <w:r>
        <w:rPr/>
        <w:t>servicio</w:t>
      </w:r>
      <w:r>
        <w:rPr>
          <w:spacing w:val="-9"/>
        </w:rPr>
        <w:t> </w:t>
      </w:r>
      <w:r>
        <w:rPr/>
        <w:t>de</w:t>
      </w:r>
      <w:r>
        <w:rPr>
          <w:spacing w:val="-12"/>
        </w:rPr>
        <w:t> </w:t>
      </w:r>
      <w:r>
        <w:rPr/>
        <w:t>transporte</w:t>
      </w:r>
      <w:r>
        <w:rPr>
          <w:spacing w:val="-11"/>
        </w:rPr>
        <w:t> </w:t>
      </w:r>
      <w:r>
        <w:rPr/>
        <w:t>por</w:t>
      </w:r>
      <w:r>
        <w:rPr>
          <w:spacing w:val="-10"/>
        </w:rPr>
        <w:t> </w:t>
      </w:r>
      <w:r>
        <w:rPr/>
        <w:t>autobús</w:t>
      </w:r>
      <w:r>
        <w:rPr>
          <w:spacing w:val="-9"/>
        </w:rPr>
        <w:t> </w:t>
      </w:r>
      <w:r>
        <w:rPr/>
        <w:t>tenía</w:t>
      </w:r>
      <w:r>
        <w:rPr>
          <w:spacing w:val="-9"/>
        </w:rPr>
        <w:t> </w:t>
      </w:r>
      <w:r>
        <w:rPr/>
        <w:t>implantado</w:t>
      </w:r>
      <w:r>
        <w:rPr>
          <w:spacing w:val="-14"/>
        </w:rPr>
        <w:t> </w:t>
      </w:r>
      <w:r>
        <w:rPr/>
        <w:t>algún</w:t>
      </w:r>
      <w:r>
        <w:rPr>
          <w:spacing w:val="-9"/>
        </w:rPr>
        <w:t> </w:t>
      </w:r>
      <w:r>
        <w:rPr/>
        <w:t>sistema</w:t>
      </w:r>
      <w:r>
        <w:rPr>
          <w:spacing w:val="-9"/>
        </w:rPr>
        <w:t> </w:t>
      </w:r>
      <w:r>
        <w:rPr/>
        <w:t>de</w:t>
      </w:r>
      <w:r>
        <w:rPr>
          <w:spacing w:val="-12"/>
        </w:rPr>
        <w:t> </w:t>
      </w:r>
      <w:r>
        <w:rPr/>
        <w:t>gestión ambiental y había recibido alguna certificación sobre la gestión medioambiental.</w:t>
      </w:r>
    </w:p>
    <w:p>
      <w:pPr>
        <w:pStyle w:val="BodyText"/>
        <w:spacing w:before="240"/>
        <w:ind w:left="992" w:right="987"/>
        <w:jc w:val="both"/>
      </w:pPr>
      <w:r>
        <w:rPr/>
        <w:t>En materia de residuos, las empresas prestadoras del servicio de autobús y tranvía gestionan, anualmente,</w:t>
      </w:r>
      <w:r>
        <w:rPr>
          <w:spacing w:val="-12"/>
        </w:rPr>
        <w:t> </w:t>
      </w:r>
      <w:r>
        <w:rPr/>
        <w:t>los</w:t>
      </w:r>
      <w:r>
        <w:rPr>
          <w:spacing w:val="-12"/>
        </w:rPr>
        <w:t> </w:t>
      </w:r>
      <w:r>
        <w:rPr/>
        <w:t>residuos</w:t>
      </w:r>
      <w:r>
        <w:rPr>
          <w:spacing w:val="-13"/>
        </w:rPr>
        <w:t> </w:t>
      </w:r>
      <w:r>
        <w:rPr/>
        <w:t>peligrosos</w:t>
      </w:r>
      <w:r>
        <w:rPr>
          <w:spacing w:val="-10"/>
        </w:rPr>
        <w:t> </w:t>
      </w:r>
      <w:r>
        <w:rPr/>
        <w:t>y</w:t>
      </w:r>
      <w:r>
        <w:rPr>
          <w:spacing w:val="-12"/>
        </w:rPr>
        <w:t> </w:t>
      </w:r>
      <w:r>
        <w:rPr/>
        <w:t>no</w:t>
      </w:r>
      <w:r>
        <w:rPr>
          <w:spacing w:val="-11"/>
        </w:rPr>
        <w:t> </w:t>
      </w:r>
      <w:r>
        <w:rPr/>
        <w:t>peligrosos</w:t>
      </w:r>
      <w:r>
        <w:rPr>
          <w:spacing w:val="-10"/>
        </w:rPr>
        <w:t> </w:t>
      </w:r>
      <w:r>
        <w:rPr/>
        <w:t>a</w:t>
      </w:r>
      <w:r>
        <w:rPr>
          <w:spacing w:val="-13"/>
        </w:rPr>
        <w:t> </w:t>
      </w:r>
      <w:r>
        <w:rPr/>
        <w:t>través</w:t>
      </w:r>
      <w:r>
        <w:rPr>
          <w:spacing w:val="-10"/>
        </w:rPr>
        <w:t> </w:t>
      </w:r>
      <w:r>
        <w:rPr/>
        <w:t>de</w:t>
      </w:r>
      <w:r>
        <w:rPr>
          <w:spacing w:val="-13"/>
        </w:rPr>
        <w:t> </w:t>
      </w:r>
      <w:r>
        <w:rPr/>
        <w:t>un</w:t>
      </w:r>
      <w:r>
        <w:rPr>
          <w:spacing w:val="-11"/>
        </w:rPr>
        <w:t> </w:t>
      </w:r>
      <w:r>
        <w:rPr/>
        <w:t>gestor</w:t>
      </w:r>
      <w:r>
        <w:rPr>
          <w:spacing w:val="-14"/>
        </w:rPr>
        <w:t> </w:t>
      </w:r>
      <w:r>
        <w:rPr/>
        <w:t>autorizado.</w:t>
      </w:r>
      <w:r>
        <w:rPr>
          <w:spacing w:val="-11"/>
        </w:rPr>
        <w:t> </w:t>
      </w:r>
      <w:r>
        <w:rPr/>
        <w:t>Las</w:t>
      </w:r>
      <w:r>
        <w:rPr>
          <w:spacing w:val="-12"/>
        </w:rPr>
        <w:t> </w:t>
      </w:r>
      <w:r>
        <w:rPr/>
        <w:t>empresas acondicionan</w:t>
      </w:r>
      <w:r>
        <w:rPr>
          <w:spacing w:val="-8"/>
        </w:rPr>
        <w:t> </w:t>
      </w:r>
      <w:r>
        <w:rPr/>
        <w:t>sus</w:t>
      </w:r>
      <w:r>
        <w:rPr>
          <w:spacing w:val="-10"/>
        </w:rPr>
        <w:t> </w:t>
      </w:r>
      <w:r>
        <w:rPr/>
        <w:t>residuos</w:t>
      </w:r>
      <w:r>
        <w:rPr>
          <w:spacing w:val="-7"/>
        </w:rPr>
        <w:t> </w:t>
      </w:r>
      <w:r>
        <w:rPr/>
        <w:t>en</w:t>
      </w:r>
      <w:r>
        <w:rPr>
          <w:spacing w:val="-8"/>
        </w:rPr>
        <w:t> </w:t>
      </w:r>
      <w:r>
        <w:rPr/>
        <w:t>contenedores</w:t>
      </w:r>
      <w:r>
        <w:rPr>
          <w:spacing w:val="-7"/>
        </w:rPr>
        <w:t> </w:t>
      </w:r>
      <w:r>
        <w:rPr/>
        <w:t>segregados</w:t>
      </w:r>
      <w:r>
        <w:rPr>
          <w:spacing w:val="-7"/>
        </w:rPr>
        <w:t> </w:t>
      </w:r>
      <w:r>
        <w:rPr/>
        <w:t>según</w:t>
      </w:r>
      <w:r>
        <w:rPr>
          <w:spacing w:val="-10"/>
        </w:rPr>
        <w:t> </w:t>
      </w:r>
      <w:r>
        <w:rPr/>
        <w:t>tipología;</w:t>
      </w:r>
      <w:r>
        <w:rPr>
          <w:spacing w:val="-9"/>
        </w:rPr>
        <w:t> </w:t>
      </w:r>
      <w:r>
        <w:rPr/>
        <w:t>la</w:t>
      </w:r>
      <w:r>
        <w:rPr>
          <w:spacing w:val="-7"/>
        </w:rPr>
        <w:t> </w:t>
      </w:r>
      <w:r>
        <w:rPr/>
        <w:t>empresa</w:t>
      </w:r>
      <w:r>
        <w:rPr>
          <w:spacing w:val="-10"/>
        </w:rPr>
        <w:t> </w:t>
      </w:r>
      <w:r>
        <w:rPr/>
        <w:t>concesionaria del</w:t>
      </w:r>
      <w:r>
        <w:rPr>
          <w:spacing w:val="-2"/>
        </w:rPr>
        <w:t> </w:t>
      </w:r>
      <w:r>
        <w:rPr/>
        <w:t>servicio</w:t>
      </w:r>
      <w:r>
        <w:rPr>
          <w:spacing w:val="-2"/>
        </w:rPr>
        <w:t> </w:t>
      </w:r>
      <w:r>
        <w:rPr/>
        <w:t>de</w:t>
      </w:r>
      <w:r>
        <w:rPr>
          <w:spacing w:val="-2"/>
        </w:rPr>
        <w:t> </w:t>
      </w:r>
      <w:r>
        <w:rPr/>
        <w:t>autobús</w:t>
      </w:r>
      <w:r>
        <w:rPr>
          <w:spacing w:val="-6"/>
        </w:rPr>
        <w:t> </w:t>
      </w:r>
      <w:r>
        <w:rPr/>
        <w:t>mantiene,</w:t>
      </w:r>
      <w:r>
        <w:rPr>
          <w:spacing w:val="-3"/>
        </w:rPr>
        <w:t> </w:t>
      </w:r>
      <w:r>
        <w:rPr/>
        <w:t>además,</w:t>
      </w:r>
      <w:r>
        <w:rPr>
          <w:spacing w:val="-3"/>
        </w:rPr>
        <w:t> </w:t>
      </w:r>
      <w:r>
        <w:rPr/>
        <w:t>un</w:t>
      </w:r>
      <w:r>
        <w:rPr>
          <w:spacing w:val="-2"/>
        </w:rPr>
        <w:t> </w:t>
      </w:r>
      <w:r>
        <w:rPr/>
        <w:t>archivo</w:t>
      </w:r>
      <w:r>
        <w:rPr>
          <w:spacing w:val="-2"/>
        </w:rPr>
        <w:t> </w:t>
      </w:r>
      <w:r>
        <w:rPr/>
        <w:t>cronológico</w:t>
      </w:r>
      <w:r>
        <w:rPr>
          <w:spacing w:val="-2"/>
        </w:rPr>
        <w:t> </w:t>
      </w:r>
      <w:r>
        <w:rPr/>
        <w:t>de</w:t>
      </w:r>
      <w:r>
        <w:rPr>
          <w:spacing w:val="-4"/>
        </w:rPr>
        <w:t> </w:t>
      </w:r>
      <w:r>
        <w:rPr/>
        <w:t>residuos</w:t>
      </w:r>
      <w:r>
        <w:rPr>
          <w:spacing w:val="-2"/>
        </w:rPr>
        <w:t> </w:t>
      </w:r>
      <w:r>
        <w:rPr/>
        <w:t>con</w:t>
      </w:r>
      <w:r>
        <w:rPr>
          <w:spacing w:val="-2"/>
        </w:rPr>
        <w:t> </w:t>
      </w:r>
      <w:r>
        <w:rPr/>
        <w:t>la</w:t>
      </w:r>
      <w:r>
        <w:rPr>
          <w:spacing w:val="-4"/>
        </w:rPr>
        <w:t> </w:t>
      </w:r>
      <w:r>
        <w:rPr/>
        <w:t>descripción</w:t>
      </w:r>
      <w:r>
        <w:rPr>
          <w:spacing w:val="-4"/>
        </w:rPr>
        <w:t> </w:t>
      </w:r>
      <w:r>
        <w:rPr/>
        <w:t>y cantidad</w:t>
      </w:r>
      <w:r>
        <w:rPr>
          <w:spacing w:val="-10"/>
        </w:rPr>
        <w:t> </w:t>
      </w:r>
      <w:r>
        <w:rPr/>
        <w:t>de</w:t>
      </w:r>
      <w:r>
        <w:rPr>
          <w:spacing w:val="-11"/>
        </w:rPr>
        <w:t> </w:t>
      </w:r>
      <w:r>
        <w:rPr/>
        <w:t>los</w:t>
      </w:r>
      <w:r>
        <w:rPr>
          <w:spacing w:val="-10"/>
        </w:rPr>
        <w:t> </w:t>
      </w:r>
      <w:r>
        <w:rPr/>
        <w:t>residuos</w:t>
      </w:r>
      <w:r>
        <w:rPr>
          <w:spacing w:val="-12"/>
        </w:rPr>
        <w:t> </w:t>
      </w:r>
      <w:r>
        <w:rPr/>
        <w:t>generados,</w:t>
      </w:r>
      <w:r>
        <w:rPr>
          <w:spacing w:val="-9"/>
        </w:rPr>
        <w:t> </w:t>
      </w:r>
      <w:r>
        <w:rPr/>
        <w:t>la</w:t>
      </w:r>
      <w:r>
        <w:rPr>
          <w:spacing w:val="-10"/>
        </w:rPr>
        <w:t> </w:t>
      </w:r>
      <w:r>
        <w:rPr/>
        <w:t>documentación</w:t>
      </w:r>
      <w:r>
        <w:rPr>
          <w:spacing w:val="-11"/>
        </w:rPr>
        <w:t> </w:t>
      </w:r>
      <w:r>
        <w:rPr/>
        <w:t>que</w:t>
      </w:r>
      <w:r>
        <w:rPr>
          <w:spacing w:val="-10"/>
        </w:rPr>
        <w:t> </w:t>
      </w:r>
      <w:r>
        <w:rPr/>
        <w:t>permite</w:t>
      </w:r>
      <w:r>
        <w:rPr>
          <w:spacing w:val="-13"/>
        </w:rPr>
        <w:t> </w:t>
      </w:r>
      <w:r>
        <w:rPr/>
        <w:t>el</w:t>
      </w:r>
      <w:r>
        <w:rPr>
          <w:spacing w:val="-11"/>
        </w:rPr>
        <w:t> </w:t>
      </w:r>
      <w:r>
        <w:rPr/>
        <w:t>control</w:t>
      </w:r>
      <w:r>
        <w:rPr>
          <w:spacing w:val="-11"/>
        </w:rPr>
        <w:t> </w:t>
      </w:r>
      <w:r>
        <w:rPr/>
        <w:t>y</w:t>
      </w:r>
      <w:r>
        <w:rPr>
          <w:spacing w:val="-10"/>
        </w:rPr>
        <w:t> </w:t>
      </w:r>
      <w:r>
        <w:rPr/>
        <w:t>seguimiento</w:t>
      </w:r>
      <w:r>
        <w:rPr>
          <w:spacing w:val="-10"/>
        </w:rPr>
        <w:t> </w:t>
      </w:r>
      <w:r>
        <w:rPr/>
        <w:t>de</w:t>
      </w:r>
      <w:r>
        <w:rPr>
          <w:spacing w:val="-13"/>
        </w:rPr>
        <w:t> </w:t>
      </w:r>
      <w:r>
        <w:rPr/>
        <w:t>cada uno de ellos, y la operación a la que se someten en su destino final.</w:t>
      </w:r>
    </w:p>
    <w:p>
      <w:pPr>
        <w:pStyle w:val="BodyText"/>
        <w:spacing w:before="240"/>
        <w:ind w:left="992" w:right="989"/>
        <w:jc w:val="both"/>
      </w:pPr>
      <w:r>
        <w:rPr/>
        <w:t>A 31 de diciembre de 2022 Zaragoza disponía, vinculados a la línea del tranvía, de dos aparcamientos intermodales bonificados</w:t>
      </w:r>
      <w:hyperlink w:history="true" w:anchor="_bookmark43">
        <w:r>
          <w:rPr>
            <w:vertAlign w:val="superscript"/>
          </w:rPr>
          <w:t>23</w:t>
        </w:r>
      </w:hyperlink>
      <w:r>
        <w:rPr>
          <w:vertAlign w:val="baseline"/>
        </w:rPr>
        <w:t> para vehículos y un estacionamiento seguro de bicicletas, y puntos de</w:t>
      </w:r>
      <w:r>
        <w:rPr>
          <w:spacing w:val="-2"/>
          <w:vertAlign w:val="baseline"/>
        </w:rPr>
        <w:t> </w:t>
      </w:r>
      <w:r>
        <w:rPr>
          <w:vertAlign w:val="baseline"/>
        </w:rPr>
        <w:t>interconexión entre</w:t>
      </w:r>
      <w:r>
        <w:rPr>
          <w:spacing w:val="-2"/>
          <w:vertAlign w:val="baseline"/>
        </w:rPr>
        <w:t> </w:t>
      </w:r>
      <w:r>
        <w:rPr>
          <w:vertAlign w:val="baseline"/>
        </w:rPr>
        <w:t>las líneas de autobús y de estas con la línea de</w:t>
      </w:r>
      <w:r>
        <w:rPr>
          <w:spacing w:val="-2"/>
          <w:vertAlign w:val="baseline"/>
        </w:rPr>
        <w:t> </w:t>
      </w:r>
      <w:r>
        <w:rPr>
          <w:vertAlign w:val="baseline"/>
        </w:rPr>
        <w:t>tranvía, lo que permitía el fomento del uso del transporte público colectivo y se garantizaba la </w:t>
      </w:r>
      <w:r>
        <w:rPr>
          <w:spacing w:val="-2"/>
          <w:vertAlign w:val="baseline"/>
        </w:rPr>
        <w:t>intermodalidad.</w:t>
      </w:r>
    </w:p>
    <w:p>
      <w:pPr>
        <w:pStyle w:val="BodyText"/>
        <w:spacing w:before="240"/>
        <w:ind w:left="992" w:right="997"/>
        <w:jc w:val="both"/>
      </w:pPr>
      <w:r>
        <w:rPr/>
        <w:t>También disponía de integración tarifaria (utilización de “billete único” para un viaje con diferentes etapas y varios modos de transporte) y de un sistema tarifario único en el ámbito urbano y </w:t>
      </w:r>
      <w:r>
        <w:rPr>
          <w:spacing w:val="-2"/>
        </w:rPr>
        <w:t>metropolitano.</w:t>
      </w:r>
    </w:p>
    <w:p>
      <w:pPr>
        <w:pStyle w:val="BodyText"/>
        <w:spacing w:before="240"/>
        <w:ind w:left="992" w:right="987"/>
        <w:jc w:val="both"/>
      </w:pPr>
      <w:r>
        <w:rPr/>
        <w:t>En</w:t>
      </w:r>
      <w:r>
        <w:rPr>
          <w:spacing w:val="-8"/>
        </w:rPr>
        <w:t> </w:t>
      </w:r>
      <w:r>
        <w:rPr/>
        <w:t>materia</w:t>
      </w:r>
      <w:r>
        <w:rPr>
          <w:spacing w:val="-8"/>
        </w:rPr>
        <w:t> </w:t>
      </w:r>
      <w:r>
        <w:rPr/>
        <w:t>de</w:t>
      </w:r>
      <w:r>
        <w:rPr>
          <w:spacing w:val="-8"/>
        </w:rPr>
        <w:t> </w:t>
      </w:r>
      <w:r>
        <w:rPr/>
        <w:t>accesibilidad,</w:t>
      </w:r>
      <w:r>
        <w:rPr>
          <w:spacing w:val="-7"/>
        </w:rPr>
        <w:t> </w:t>
      </w:r>
      <w:r>
        <w:rPr/>
        <w:t>la</w:t>
      </w:r>
      <w:r>
        <w:rPr>
          <w:spacing w:val="-8"/>
        </w:rPr>
        <w:t> </w:t>
      </w:r>
      <w:r>
        <w:rPr/>
        <w:t>totalidad</w:t>
      </w:r>
      <w:r>
        <w:rPr>
          <w:spacing w:val="-8"/>
        </w:rPr>
        <w:t> </w:t>
      </w:r>
      <w:r>
        <w:rPr/>
        <w:t>de</w:t>
      </w:r>
      <w:r>
        <w:rPr>
          <w:spacing w:val="-8"/>
        </w:rPr>
        <w:t> </w:t>
      </w:r>
      <w:r>
        <w:rPr/>
        <w:t>la</w:t>
      </w:r>
      <w:r>
        <w:rPr>
          <w:spacing w:val="-8"/>
        </w:rPr>
        <w:t> </w:t>
      </w:r>
      <w:r>
        <w:rPr/>
        <w:t>flota</w:t>
      </w:r>
      <w:r>
        <w:rPr>
          <w:spacing w:val="-10"/>
        </w:rPr>
        <w:t> </w:t>
      </w:r>
      <w:r>
        <w:rPr/>
        <w:t>de</w:t>
      </w:r>
      <w:r>
        <w:rPr>
          <w:spacing w:val="-8"/>
        </w:rPr>
        <w:t> </w:t>
      </w:r>
      <w:r>
        <w:rPr/>
        <w:t>autobuses</w:t>
      </w:r>
      <w:r>
        <w:rPr>
          <w:spacing w:val="-7"/>
        </w:rPr>
        <w:t> </w:t>
      </w:r>
      <w:r>
        <w:rPr/>
        <w:t>y</w:t>
      </w:r>
      <w:r>
        <w:rPr>
          <w:spacing w:val="-10"/>
        </w:rPr>
        <w:t> </w:t>
      </w:r>
      <w:r>
        <w:rPr/>
        <w:t>tranvía</w:t>
      </w:r>
      <w:r>
        <w:rPr>
          <w:spacing w:val="-8"/>
        </w:rPr>
        <w:t> </w:t>
      </w:r>
      <w:r>
        <w:rPr/>
        <w:t>estaba</w:t>
      </w:r>
      <w:r>
        <w:rPr>
          <w:spacing w:val="-8"/>
        </w:rPr>
        <w:t> </w:t>
      </w:r>
      <w:r>
        <w:rPr/>
        <w:t>en</w:t>
      </w:r>
      <w:r>
        <w:rPr>
          <w:spacing w:val="-8"/>
        </w:rPr>
        <w:t> </w:t>
      </w:r>
      <w:r>
        <w:rPr/>
        <w:t>2022</w:t>
      </w:r>
      <w:r>
        <w:rPr>
          <w:spacing w:val="-8"/>
        </w:rPr>
        <w:t> </w:t>
      </w:r>
      <w:r>
        <w:rPr/>
        <w:t>adaptada a</w:t>
      </w:r>
      <w:r>
        <w:rPr>
          <w:spacing w:val="-3"/>
        </w:rPr>
        <w:t> </w:t>
      </w:r>
      <w:r>
        <w:rPr/>
        <w:t>personas</w:t>
      </w:r>
      <w:r>
        <w:rPr>
          <w:spacing w:val="-4"/>
        </w:rPr>
        <w:t> </w:t>
      </w:r>
      <w:r>
        <w:rPr/>
        <w:t>con</w:t>
      </w:r>
      <w:r>
        <w:rPr>
          <w:spacing w:val="-4"/>
        </w:rPr>
        <w:t> </w:t>
      </w:r>
      <w:r>
        <w:rPr/>
        <w:t>movilidad</w:t>
      </w:r>
      <w:r>
        <w:rPr>
          <w:spacing w:val="-3"/>
        </w:rPr>
        <w:t> </w:t>
      </w:r>
      <w:r>
        <w:rPr/>
        <w:t>reducida</w:t>
      </w:r>
      <w:r>
        <w:rPr>
          <w:spacing w:val="-3"/>
        </w:rPr>
        <w:t> </w:t>
      </w:r>
      <w:r>
        <w:rPr/>
        <w:t>y</w:t>
      </w:r>
      <w:r>
        <w:rPr>
          <w:spacing w:val="-4"/>
        </w:rPr>
        <w:t> </w:t>
      </w:r>
      <w:r>
        <w:rPr/>
        <w:t>con</w:t>
      </w:r>
      <w:r>
        <w:rPr>
          <w:spacing w:val="-4"/>
        </w:rPr>
        <w:t> </w:t>
      </w:r>
      <w:r>
        <w:rPr/>
        <w:t>discapacidad</w:t>
      </w:r>
      <w:r>
        <w:rPr>
          <w:spacing w:val="-3"/>
        </w:rPr>
        <w:t> </w:t>
      </w:r>
      <w:r>
        <w:rPr/>
        <w:t>visual</w:t>
      </w:r>
      <w:r>
        <w:rPr>
          <w:spacing w:val="-3"/>
        </w:rPr>
        <w:t> </w:t>
      </w:r>
      <w:r>
        <w:rPr/>
        <w:t>y</w:t>
      </w:r>
      <w:r>
        <w:rPr>
          <w:spacing w:val="-4"/>
        </w:rPr>
        <w:t> </w:t>
      </w:r>
      <w:r>
        <w:rPr/>
        <w:t>auditiva.</w:t>
      </w:r>
      <w:r>
        <w:rPr>
          <w:spacing w:val="-3"/>
        </w:rPr>
        <w:t> </w:t>
      </w:r>
      <w:r>
        <w:rPr/>
        <w:t>La</w:t>
      </w:r>
      <w:r>
        <w:rPr>
          <w:spacing w:val="-3"/>
        </w:rPr>
        <w:t> </w:t>
      </w:r>
      <w:r>
        <w:rPr/>
        <w:t>empresa</w:t>
      </w:r>
      <w:r>
        <w:rPr>
          <w:spacing w:val="-4"/>
        </w:rPr>
        <w:t> </w:t>
      </w:r>
      <w:r>
        <w:rPr/>
        <w:t>concesionaria del servicio de autobús disponía también de diez microbuses a demanda para la prestación del servicio a personas con movilidad reducida.</w:t>
      </w:r>
    </w:p>
    <w:p>
      <w:pPr>
        <w:pStyle w:val="BodyText"/>
        <w:spacing w:before="241"/>
        <w:ind w:left="992" w:right="989"/>
        <w:jc w:val="both"/>
      </w:pPr>
      <w:r>
        <w:rPr/>
        <w:t>Las actuaciones llevadas a</w:t>
      </w:r>
      <w:r>
        <w:rPr>
          <w:spacing w:val="-2"/>
        </w:rPr>
        <w:t> </w:t>
      </w:r>
      <w:r>
        <w:rPr/>
        <w:t>cabo</w:t>
      </w:r>
      <w:r>
        <w:rPr>
          <w:spacing w:val="-2"/>
        </w:rPr>
        <w:t> </w:t>
      </w:r>
      <w:r>
        <w:rPr/>
        <w:t>por</w:t>
      </w:r>
      <w:r>
        <w:rPr>
          <w:spacing w:val="-1"/>
        </w:rPr>
        <w:t> </w:t>
      </w:r>
      <w:r>
        <w:rPr/>
        <w:t>el </w:t>
      </w:r>
      <w:r>
        <w:rPr>
          <w:b/>
        </w:rPr>
        <w:t>Ayuntamiento</w:t>
      </w:r>
      <w:r>
        <w:rPr>
          <w:b/>
          <w:spacing w:val="-2"/>
        </w:rPr>
        <w:t> </w:t>
      </w:r>
      <w:r>
        <w:rPr>
          <w:b/>
        </w:rPr>
        <w:t>de</w:t>
      </w:r>
      <w:r>
        <w:rPr>
          <w:b/>
          <w:spacing w:val="-2"/>
        </w:rPr>
        <w:t> </w:t>
      </w:r>
      <w:r>
        <w:rPr>
          <w:b/>
        </w:rPr>
        <w:t>Zaragoza</w:t>
      </w:r>
      <w:r>
        <w:rPr>
          <w:b/>
          <w:spacing w:val="-2"/>
        </w:rPr>
        <w:t> </w:t>
      </w:r>
      <w:r>
        <w:rPr/>
        <w:t>en</w:t>
      </w:r>
      <w:r>
        <w:rPr>
          <w:spacing w:val="-2"/>
        </w:rPr>
        <w:t> </w:t>
      </w:r>
      <w:r>
        <w:rPr/>
        <w:t>2023 y</w:t>
      </w:r>
      <w:r>
        <w:rPr>
          <w:spacing w:val="-2"/>
        </w:rPr>
        <w:t> </w:t>
      </w:r>
      <w:r>
        <w:rPr/>
        <w:t>2024,</w:t>
      </w:r>
      <w:r>
        <w:rPr>
          <w:spacing w:val="-3"/>
        </w:rPr>
        <w:t> </w:t>
      </w:r>
      <w:r>
        <w:rPr/>
        <w:t>relacionadas en el </w:t>
      </w:r>
      <w:hyperlink w:history="true" w:anchor="_bookmark152">
        <w:r>
          <w:rPr/>
          <w:t>Anexo XIV</w:t>
        </w:r>
      </w:hyperlink>
      <w:r>
        <w:rPr/>
        <w:t>, han tenido un importe total de 94.441.906,20 euros.</w:t>
      </w:r>
    </w:p>
    <w:p>
      <w:pPr>
        <w:pStyle w:val="BodyText"/>
        <w:spacing w:before="240"/>
        <w:ind w:left="992" w:right="989"/>
        <w:jc w:val="both"/>
      </w:pPr>
      <w:r>
        <w:rPr/>
        <w:t>Estas</w:t>
      </w:r>
      <w:r>
        <w:rPr>
          <w:spacing w:val="-4"/>
        </w:rPr>
        <w:t> </w:t>
      </w:r>
      <w:r>
        <w:rPr/>
        <w:t>han</w:t>
      </w:r>
      <w:r>
        <w:rPr>
          <w:spacing w:val="-6"/>
        </w:rPr>
        <w:t> </w:t>
      </w:r>
      <w:r>
        <w:rPr/>
        <w:t>consistido</w:t>
      </w:r>
      <w:r>
        <w:rPr>
          <w:spacing w:val="-4"/>
        </w:rPr>
        <w:t> </w:t>
      </w:r>
      <w:r>
        <w:rPr/>
        <w:t>en</w:t>
      </w:r>
      <w:r>
        <w:rPr>
          <w:spacing w:val="-7"/>
        </w:rPr>
        <w:t> </w:t>
      </w:r>
      <w:r>
        <w:rPr/>
        <w:t>la</w:t>
      </w:r>
      <w:r>
        <w:rPr>
          <w:spacing w:val="-4"/>
        </w:rPr>
        <w:t> </w:t>
      </w:r>
      <w:r>
        <w:rPr/>
        <w:t>renovación</w:t>
      </w:r>
      <w:r>
        <w:rPr>
          <w:spacing w:val="-4"/>
        </w:rPr>
        <w:t> </w:t>
      </w:r>
      <w:r>
        <w:rPr/>
        <w:t>y</w:t>
      </w:r>
      <w:r>
        <w:rPr>
          <w:spacing w:val="-6"/>
        </w:rPr>
        <w:t> </w:t>
      </w:r>
      <w:r>
        <w:rPr/>
        <w:t>electrificación</w:t>
      </w:r>
      <w:r>
        <w:rPr>
          <w:spacing w:val="-4"/>
        </w:rPr>
        <w:t> </w:t>
      </w:r>
      <w:r>
        <w:rPr/>
        <w:t>de</w:t>
      </w:r>
      <w:r>
        <w:rPr>
          <w:spacing w:val="-4"/>
        </w:rPr>
        <w:t> </w:t>
      </w:r>
      <w:r>
        <w:rPr/>
        <w:t>la</w:t>
      </w:r>
      <w:r>
        <w:rPr>
          <w:spacing w:val="-6"/>
        </w:rPr>
        <w:t> </w:t>
      </w:r>
      <w:r>
        <w:rPr/>
        <w:t>flota</w:t>
      </w:r>
      <w:r>
        <w:rPr>
          <w:spacing w:val="-6"/>
        </w:rPr>
        <w:t> </w:t>
      </w:r>
      <w:r>
        <w:rPr/>
        <w:t>de</w:t>
      </w:r>
      <w:r>
        <w:rPr>
          <w:spacing w:val="-7"/>
        </w:rPr>
        <w:t> </w:t>
      </w:r>
      <w:r>
        <w:rPr/>
        <w:t>autobuses</w:t>
      </w:r>
      <w:r>
        <w:rPr>
          <w:spacing w:val="-2"/>
        </w:rPr>
        <w:t> </w:t>
      </w:r>
      <w:r>
        <w:rPr/>
        <w:t>y</w:t>
      </w:r>
      <w:r>
        <w:rPr>
          <w:spacing w:val="-6"/>
        </w:rPr>
        <w:t> </w:t>
      </w:r>
      <w:r>
        <w:rPr/>
        <w:t>de</w:t>
      </w:r>
      <w:r>
        <w:rPr>
          <w:spacing w:val="-7"/>
        </w:rPr>
        <w:t> </w:t>
      </w:r>
      <w:r>
        <w:rPr/>
        <w:t>tranvías,</w:t>
      </w:r>
      <w:r>
        <w:rPr>
          <w:spacing w:val="-5"/>
        </w:rPr>
        <w:t> </w:t>
      </w:r>
      <w:r>
        <w:rPr/>
        <w:t>con</w:t>
      </w:r>
      <w:r>
        <w:rPr>
          <w:spacing w:val="-7"/>
        </w:rPr>
        <w:t> </w:t>
      </w:r>
      <w:r>
        <w:rPr/>
        <w:t>la adquisición</w:t>
      </w:r>
      <w:r>
        <w:rPr>
          <w:spacing w:val="-9"/>
        </w:rPr>
        <w:t> </w:t>
      </w:r>
      <w:r>
        <w:rPr/>
        <w:t>de</w:t>
      </w:r>
      <w:r>
        <w:rPr>
          <w:spacing w:val="-9"/>
        </w:rPr>
        <w:t> </w:t>
      </w:r>
      <w:r>
        <w:rPr/>
        <w:t>108</w:t>
      </w:r>
      <w:r>
        <w:rPr>
          <w:spacing w:val="-9"/>
        </w:rPr>
        <w:t> </w:t>
      </w:r>
      <w:r>
        <w:rPr/>
        <w:t>vehículos</w:t>
      </w:r>
      <w:r>
        <w:rPr>
          <w:spacing w:val="-9"/>
        </w:rPr>
        <w:t> </w:t>
      </w:r>
      <w:r>
        <w:rPr/>
        <w:t>eléctricos</w:t>
      </w:r>
      <w:r>
        <w:rPr>
          <w:spacing w:val="-9"/>
        </w:rPr>
        <w:t> </w:t>
      </w:r>
      <w:r>
        <w:rPr/>
        <w:t>accesibles</w:t>
      </w:r>
      <w:r>
        <w:rPr>
          <w:spacing w:val="-9"/>
        </w:rPr>
        <w:t> </w:t>
      </w:r>
      <w:r>
        <w:rPr/>
        <w:t>y</w:t>
      </w:r>
      <w:r>
        <w:rPr>
          <w:spacing w:val="-8"/>
        </w:rPr>
        <w:t> </w:t>
      </w:r>
      <w:r>
        <w:rPr/>
        <w:t>la</w:t>
      </w:r>
      <w:r>
        <w:rPr>
          <w:spacing w:val="-9"/>
        </w:rPr>
        <w:t> </w:t>
      </w:r>
      <w:r>
        <w:rPr/>
        <w:t>electrificación</w:t>
      </w:r>
      <w:r>
        <w:rPr>
          <w:spacing w:val="-9"/>
        </w:rPr>
        <w:t> </w:t>
      </w:r>
      <w:r>
        <w:rPr/>
        <w:t>del</w:t>
      </w:r>
      <w:r>
        <w:rPr>
          <w:spacing w:val="-10"/>
        </w:rPr>
        <w:t> </w:t>
      </w:r>
      <w:r>
        <w:rPr/>
        <w:t>centro</w:t>
      </w:r>
      <w:r>
        <w:rPr>
          <w:spacing w:val="-9"/>
        </w:rPr>
        <w:t> </w:t>
      </w:r>
      <w:r>
        <w:rPr/>
        <w:t>de</w:t>
      </w:r>
      <w:r>
        <w:rPr>
          <w:spacing w:val="-12"/>
        </w:rPr>
        <w:t> </w:t>
      </w:r>
      <w:r>
        <w:rPr/>
        <w:t>operaciones</w:t>
      </w:r>
      <w:r>
        <w:rPr>
          <w:spacing w:val="-9"/>
        </w:rPr>
        <w:t> </w:t>
      </w:r>
      <w:r>
        <w:rPr/>
        <w:t>que comprendía, entre otros, la renovación de las instalaciones en las cocheras y la instalación de los correspondientes puntos de recarga, así como con la adquisición de dos nuevas unidades tranviarias,</w:t>
      </w:r>
      <w:r>
        <w:rPr>
          <w:spacing w:val="-9"/>
        </w:rPr>
        <w:t> </w:t>
      </w:r>
      <w:r>
        <w:rPr/>
        <w:t>para</w:t>
      </w:r>
      <w:r>
        <w:rPr>
          <w:spacing w:val="-10"/>
        </w:rPr>
        <w:t> </w:t>
      </w:r>
      <w:r>
        <w:rPr/>
        <w:t>lo</w:t>
      </w:r>
      <w:r>
        <w:rPr>
          <w:spacing w:val="-10"/>
        </w:rPr>
        <w:t> </w:t>
      </w:r>
      <w:r>
        <w:rPr/>
        <w:t>que</w:t>
      </w:r>
      <w:r>
        <w:rPr>
          <w:spacing w:val="-13"/>
        </w:rPr>
        <w:t> </w:t>
      </w:r>
      <w:r>
        <w:rPr/>
        <w:t>la</w:t>
      </w:r>
      <w:r>
        <w:rPr>
          <w:spacing w:val="-10"/>
        </w:rPr>
        <w:t> </w:t>
      </w:r>
      <w:r>
        <w:rPr/>
        <w:t>entidad</w:t>
      </w:r>
      <w:r>
        <w:rPr>
          <w:spacing w:val="-10"/>
        </w:rPr>
        <w:t> </w:t>
      </w:r>
      <w:r>
        <w:rPr/>
        <w:t>ha</w:t>
      </w:r>
      <w:r>
        <w:rPr>
          <w:spacing w:val="-11"/>
        </w:rPr>
        <w:t> </w:t>
      </w:r>
      <w:r>
        <w:rPr/>
        <w:t>empleado</w:t>
      </w:r>
      <w:r>
        <w:rPr>
          <w:spacing w:val="-11"/>
        </w:rPr>
        <w:t> </w:t>
      </w:r>
      <w:r>
        <w:rPr/>
        <w:t>el</w:t>
      </w:r>
      <w:r>
        <w:rPr>
          <w:spacing w:val="-14"/>
        </w:rPr>
        <w:t> </w:t>
      </w:r>
      <w:r>
        <w:rPr/>
        <w:t>96,75</w:t>
      </w:r>
      <w:r>
        <w:rPr>
          <w:spacing w:val="-11"/>
        </w:rPr>
        <w:t> </w:t>
      </w:r>
      <w:r>
        <w:rPr/>
        <w:t>%</w:t>
      </w:r>
      <w:r>
        <w:rPr>
          <w:spacing w:val="-12"/>
        </w:rPr>
        <w:t> </w:t>
      </w:r>
      <w:r>
        <w:rPr/>
        <w:t>del</w:t>
      </w:r>
      <w:r>
        <w:rPr>
          <w:spacing w:val="-11"/>
        </w:rPr>
        <w:t> </w:t>
      </w:r>
      <w:r>
        <w:rPr/>
        <w:t>importe</w:t>
      </w:r>
      <w:r>
        <w:rPr>
          <w:spacing w:val="-13"/>
        </w:rPr>
        <w:t> </w:t>
      </w:r>
      <w:r>
        <w:rPr/>
        <w:t>total</w:t>
      </w:r>
      <w:r>
        <w:rPr>
          <w:spacing w:val="-14"/>
        </w:rPr>
        <w:t> </w:t>
      </w:r>
      <w:r>
        <w:rPr/>
        <w:t>de</w:t>
      </w:r>
      <w:r>
        <w:rPr>
          <w:spacing w:val="-11"/>
        </w:rPr>
        <w:t> </w:t>
      </w:r>
      <w:r>
        <w:rPr/>
        <w:t>todas</w:t>
      </w:r>
      <w:r>
        <w:rPr>
          <w:spacing w:val="-13"/>
        </w:rPr>
        <w:t> </w:t>
      </w:r>
      <w:r>
        <w:rPr/>
        <w:t>las</w:t>
      </w:r>
      <w:r>
        <w:rPr>
          <w:spacing w:val="-10"/>
        </w:rPr>
        <w:t> </w:t>
      </w:r>
      <w:r>
        <w:rPr/>
        <w:t>actuaciones ejecutadas en esos ejercicios.</w:t>
      </w:r>
    </w:p>
    <w:p>
      <w:pPr>
        <w:pStyle w:val="BodyText"/>
        <w:spacing w:before="240"/>
        <w:ind w:left="992" w:right="987"/>
        <w:jc w:val="both"/>
      </w:pPr>
      <w:r>
        <w:rPr/>
        <w:t>La empresa concesionaria del servicio de autobús también ha realizado diversas obras de acondicionamiento y colocación de plataformas en las paradas de autobús en 2023 y 2024, y ha ampliado la extensión de la red de transporte urbano.</w:t>
      </w:r>
    </w:p>
    <w:p>
      <w:pPr>
        <w:pStyle w:val="BodyText"/>
        <w:spacing w:before="241"/>
        <w:ind w:left="992" w:right="986"/>
        <w:jc w:val="both"/>
      </w:pPr>
      <w:r>
        <w:rPr/>
        <w:t>En</w:t>
      </w:r>
      <w:r>
        <w:rPr>
          <w:spacing w:val="-11"/>
        </w:rPr>
        <w:t> </w:t>
      </w:r>
      <w:r>
        <w:rPr/>
        <w:t>materia</w:t>
      </w:r>
      <w:r>
        <w:rPr>
          <w:spacing w:val="-9"/>
        </w:rPr>
        <w:t> </w:t>
      </w:r>
      <w:r>
        <w:rPr/>
        <w:t>de</w:t>
      </w:r>
      <w:r>
        <w:rPr>
          <w:spacing w:val="-12"/>
        </w:rPr>
        <w:t> </w:t>
      </w:r>
      <w:r>
        <w:rPr/>
        <w:t>digitalización,</w:t>
      </w:r>
      <w:r>
        <w:rPr>
          <w:spacing w:val="-10"/>
        </w:rPr>
        <w:t> </w:t>
      </w:r>
      <w:r>
        <w:rPr/>
        <w:t>a</w:t>
      </w:r>
      <w:r>
        <w:rPr>
          <w:spacing w:val="-10"/>
        </w:rPr>
        <w:t> </w:t>
      </w:r>
      <w:r>
        <w:rPr/>
        <w:t>31</w:t>
      </w:r>
      <w:r>
        <w:rPr>
          <w:spacing w:val="-12"/>
        </w:rPr>
        <w:t> </w:t>
      </w:r>
      <w:r>
        <w:rPr/>
        <w:t>de</w:t>
      </w:r>
      <w:r>
        <w:rPr>
          <w:spacing w:val="-12"/>
        </w:rPr>
        <w:t> </w:t>
      </w:r>
      <w:r>
        <w:rPr/>
        <w:t>diciembre</w:t>
      </w:r>
      <w:r>
        <w:rPr>
          <w:spacing w:val="-11"/>
        </w:rPr>
        <w:t> </w:t>
      </w:r>
      <w:r>
        <w:rPr/>
        <w:t>de</w:t>
      </w:r>
      <w:r>
        <w:rPr>
          <w:spacing w:val="-13"/>
        </w:rPr>
        <w:t> </w:t>
      </w:r>
      <w:r>
        <w:rPr/>
        <w:t>2022</w:t>
      </w:r>
      <w:r>
        <w:rPr>
          <w:spacing w:val="-9"/>
        </w:rPr>
        <w:t> </w:t>
      </w:r>
      <w:r>
        <w:rPr/>
        <w:t>la</w:t>
      </w:r>
      <w:r>
        <w:rPr>
          <w:spacing w:val="-11"/>
        </w:rPr>
        <w:t> </w:t>
      </w:r>
      <w:r>
        <w:rPr/>
        <w:t>entidad</w:t>
      </w:r>
      <w:r>
        <w:rPr>
          <w:spacing w:val="-11"/>
        </w:rPr>
        <w:t> </w:t>
      </w:r>
      <w:r>
        <w:rPr/>
        <w:t>ya</w:t>
      </w:r>
      <w:r>
        <w:rPr>
          <w:spacing w:val="-11"/>
        </w:rPr>
        <w:t> </w:t>
      </w:r>
      <w:r>
        <w:rPr/>
        <w:t>disponía</w:t>
      </w:r>
      <w:r>
        <w:rPr>
          <w:spacing w:val="-11"/>
        </w:rPr>
        <w:t> </w:t>
      </w:r>
      <w:r>
        <w:rPr/>
        <w:t>de</w:t>
      </w:r>
      <w:r>
        <w:rPr>
          <w:spacing w:val="-12"/>
        </w:rPr>
        <w:t> </w:t>
      </w:r>
      <w:r>
        <w:rPr/>
        <w:t>herramientas</w:t>
      </w:r>
      <w:r>
        <w:rPr>
          <w:spacing w:val="-11"/>
        </w:rPr>
        <w:t> </w:t>
      </w:r>
      <w:r>
        <w:rPr/>
        <w:t>para la mejora del servicio y de la experiencia del usuario (planificación de viajes, procedimientos de </w:t>
      </w:r>
      <w:r>
        <w:rPr>
          <w:i/>
        </w:rPr>
        <w:t>ticketing, </w:t>
      </w:r>
      <w:r>
        <w:rPr/>
        <w:t>integración títulos, etc.) y de mejora de gestión de movilidad.</w:t>
      </w:r>
    </w:p>
    <w:p>
      <w:pPr>
        <w:pStyle w:val="BodyText"/>
        <w:rPr>
          <w:sz w:val="20"/>
        </w:rPr>
      </w:pPr>
    </w:p>
    <w:p>
      <w:pPr>
        <w:pStyle w:val="BodyText"/>
        <w:spacing w:before="137"/>
        <w:rPr>
          <w:sz w:val="20"/>
        </w:rPr>
      </w:pPr>
      <w:r>
        <w:rPr>
          <w:sz w:val="20"/>
        </w:rPr>
        <mc:AlternateContent>
          <mc:Choice Requires="wps">
            <w:drawing>
              <wp:anchor distT="0" distB="0" distL="0" distR="0" allowOverlap="1" layoutInCell="1" locked="0" behindDoc="1" simplePos="0" relativeHeight="487602688">
                <wp:simplePos x="0" y="0"/>
                <wp:positionH relativeFrom="page">
                  <wp:posOffset>719632</wp:posOffset>
                </wp:positionH>
                <wp:positionV relativeFrom="paragraph">
                  <wp:posOffset>248692</wp:posOffset>
                </wp:positionV>
                <wp:extent cx="1829435" cy="9525"/>
                <wp:effectExtent l="0" t="0" r="0" b="0"/>
                <wp:wrapTopAndBottom/>
                <wp:docPr id="137" name="Graphic 137"/>
                <wp:cNvGraphicFramePr>
                  <a:graphicFrameLocks/>
                </wp:cNvGraphicFramePr>
                <a:graphic>
                  <a:graphicData uri="http://schemas.microsoft.com/office/word/2010/wordprocessingShape">
                    <wps:wsp>
                      <wps:cNvPr id="137" name="Graphic 137"/>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9.582064pt;width:144.020pt;height:.72003pt;mso-position-horizontal-relative:page;mso-position-vertical-relative:paragraph;z-index:-15713792;mso-wrap-distance-left:0;mso-wrap-distance-right:0" id="docshape119" filled="true" fillcolor="#000000" stroked="false">
                <v:fill type="solid"/>
                <w10:wrap type="topAndBottom"/>
              </v:rect>
            </w:pict>
          </mc:Fallback>
        </mc:AlternateContent>
      </w:r>
    </w:p>
    <w:p>
      <w:pPr>
        <w:spacing w:before="118"/>
        <w:ind w:left="992" w:right="1000" w:firstLine="0"/>
        <w:jc w:val="both"/>
        <w:rPr>
          <w:sz w:val="18"/>
        </w:rPr>
      </w:pPr>
      <w:bookmarkStart w:name="_bookmark43" w:id="45"/>
      <w:bookmarkEnd w:id="45"/>
      <w:r>
        <w:rPr/>
      </w:r>
      <w:r>
        <w:rPr>
          <w:position w:val="6"/>
          <w:sz w:val="12"/>
        </w:rPr>
        <w:t>23</w:t>
      </w:r>
      <w:r>
        <w:rPr>
          <w:spacing w:val="13"/>
          <w:position w:val="6"/>
          <w:sz w:val="12"/>
        </w:rPr>
        <w:t> </w:t>
      </w:r>
      <w:r>
        <w:rPr>
          <w:sz w:val="18"/>
        </w:rPr>
        <w:t>Los</w:t>
      </w:r>
      <w:r>
        <w:rPr>
          <w:spacing w:val="-3"/>
          <w:sz w:val="18"/>
        </w:rPr>
        <w:t> </w:t>
      </w:r>
      <w:r>
        <w:rPr>
          <w:sz w:val="18"/>
        </w:rPr>
        <w:t>aparcamientos</w:t>
      </w:r>
      <w:r>
        <w:rPr>
          <w:spacing w:val="-3"/>
          <w:sz w:val="18"/>
        </w:rPr>
        <w:t> </w:t>
      </w:r>
      <w:r>
        <w:rPr>
          <w:sz w:val="18"/>
        </w:rPr>
        <w:t>estaban</w:t>
      </w:r>
      <w:r>
        <w:rPr>
          <w:spacing w:val="-6"/>
          <w:sz w:val="18"/>
        </w:rPr>
        <w:t> </w:t>
      </w:r>
      <w:r>
        <w:rPr>
          <w:sz w:val="18"/>
        </w:rPr>
        <w:t>situados</w:t>
      </w:r>
      <w:r>
        <w:rPr>
          <w:spacing w:val="-3"/>
          <w:sz w:val="18"/>
        </w:rPr>
        <w:t> </w:t>
      </w:r>
      <w:r>
        <w:rPr>
          <w:sz w:val="18"/>
        </w:rPr>
        <w:t>en</w:t>
      </w:r>
      <w:r>
        <w:rPr>
          <w:spacing w:val="-6"/>
          <w:sz w:val="18"/>
        </w:rPr>
        <w:t> </w:t>
      </w:r>
      <w:r>
        <w:rPr>
          <w:sz w:val="18"/>
        </w:rPr>
        <w:t>las</w:t>
      </w:r>
      <w:r>
        <w:rPr>
          <w:spacing w:val="-6"/>
          <w:sz w:val="18"/>
        </w:rPr>
        <w:t> </w:t>
      </w:r>
      <w:r>
        <w:rPr>
          <w:sz w:val="18"/>
        </w:rPr>
        <w:t>entradas</w:t>
      </w:r>
      <w:r>
        <w:rPr>
          <w:spacing w:val="-3"/>
          <w:sz w:val="18"/>
        </w:rPr>
        <w:t> </w:t>
      </w:r>
      <w:r>
        <w:rPr>
          <w:sz w:val="18"/>
        </w:rPr>
        <w:t>a</w:t>
      </w:r>
      <w:r>
        <w:rPr>
          <w:spacing w:val="-4"/>
          <w:sz w:val="18"/>
        </w:rPr>
        <w:t> </w:t>
      </w:r>
      <w:r>
        <w:rPr>
          <w:sz w:val="18"/>
        </w:rPr>
        <w:t>la</w:t>
      </w:r>
      <w:r>
        <w:rPr>
          <w:spacing w:val="-6"/>
          <w:sz w:val="18"/>
        </w:rPr>
        <w:t> </w:t>
      </w:r>
      <w:r>
        <w:rPr>
          <w:sz w:val="18"/>
        </w:rPr>
        <w:t>ciudad</w:t>
      </w:r>
      <w:r>
        <w:rPr>
          <w:spacing w:val="-4"/>
          <w:sz w:val="18"/>
        </w:rPr>
        <w:t> </w:t>
      </w:r>
      <w:r>
        <w:rPr>
          <w:sz w:val="18"/>
        </w:rPr>
        <w:t>y</w:t>
      </w:r>
      <w:r>
        <w:rPr>
          <w:spacing w:val="-6"/>
          <w:sz w:val="18"/>
        </w:rPr>
        <w:t> </w:t>
      </w:r>
      <w:r>
        <w:rPr>
          <w:sz w:val="18"/>
        </w:rPr>
        <w:t>permiten</w:t>
      </w:r>
      <w:r>
        <w:rPr>
          <w:spacing w:val="-4"/>
          <w:sz w:val="18"/>
        </w:rPr>
        <w:t> </w:t>
      </w:r>
      <w:r>
        <w:rPr>
          <w:sz w:val="18"/>
        </w:rPr>
        <w:t>dejar</w:t>
      </w:r>
      <w:r>
        <w:rPr>
          <w:spacing w:val="-4"/>
          <w:sz w:val="18"/>
        </w:rPr>
        <w:t> </w:t>
      </w:r>
      <w:r>
        <w:rPr>
          <w:sz w:val="18"/>
        </w:rPr>
        <w:t>el</w:t>
      </w:r>
      <w:r>
        <w:rPr>
          <w:spacing w:val="-6"/>
          <w:sz w:val="18"/>
        </w:rPr>
        <w:t> </w:t>
      </w:r>
      <w:r>
        <w:rPr>
          <w:sz w:val="18"/>
        </w:rPr>
        <w:t>coche</w:t>
      </w:r>
      <w:r>
        <w:rPr>
          <w:spacing w:val="-6"/>
          <w:sz w:val="18"/>
        </w:rPr>
        <w:t> </w:t>
      </w:r>
      <w:r>
        <w:rPr>
          <w:sz w:val="18"/>
        </w:rPr>
        <w:t>en</w:t>
      </w:r>
      <w:r>
        <w:rPr>
          <w:spacing w:val="-4"/>
          <w:sz w:val="18"/>
        </w:rPr>
        <w:t> </w:t>
      </w:r>
      <w:r>
        <w:rPr>
          <w:sz w:val="18"/>
        </w:rPr>
        <w:t>un</w:t>
      </w:r>
      <w:r>
        <w:rPr>
          <w:spacing w:val="-4"/>
          <w:sz w:val="18"/>
        </w:rPr>
        <w:t> </w:t>
      </w:r>
      <w:r>
        <w:rPr>
          <w:sz w:val="18"/>
        </w:rPr>
        <w:t>lugar</w:t>
      </w:r>
      <w:r>
        <w:rPr>
          <w:spacing w:val="-7"/>
          <w:sz w:val="18"/>
        </w:rPr>
        <w:t> </w:t>
      </w:r>
      <w:r>
        <w:rPr>
          <w:sz w:val="18"/>
        </w:rPr>
        <w:t>vigilado</w:t>
      </w:r>
      <w:r>
        <w:rPr>
          <w:spacing w:val="-4"/>
          <w:sz w:val="18"/>
        </w:rPr>
        <w:t> </w:t>
      </w:r>
      <w:r>
        <w:rPr>
          <w:sz w:val="18"/>
        </w:rPr>
        <w:t>con</w:t>
      </w:r>
      <w:r>
        <w:rPr>
          <w:spacing w:val="-4"/>
          <w:sz w:val="18"/>
        </w:rPr>
        <w:t> </w:t>
      </w:r>
      <w:r>
        <w:rPr>
          <w:sz w:val="18"/>
        </w:rPr>
        <w:t>una tarifa hiperreducida (si se utiliza al menos dos veces en las siguientes 24 horas), para fomentar el desplazamiento en </w:t>
      </w:r>
      <w:r>
        <w:rPr>
          <w:spacing w:val="-2"/>
          <w:sz w:val="18"/>
        </w:rPr>
        <w:t>tranvía.</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85"/>
        <w:jc w:val="both"/>
      </w:pPr>
      <w:r>
        <w:rPr/>
        <w:t>En 2023 y 2024 ha incorporado diversas soluciones tecnológicas en el transporte que permiten utilizar los dispositivos móviles en los procesos aplicados en los medios de pago en autobús y tranvía. Asimismo, la empresa concesionaria del servicio de autobús ha implementado una tecnología</w:t>
      </w:r>
      <w:r>
        <w:rPr>
          <w:spacing w:val="-1"/>
        </w:rPr>
        <w:t> </w:t>
      </w:r>
      <w:r>
        <w:rPr/>
        <w:t>que</w:t>
      </w:r>
      <w:r>
        <w:rPr>
          <w:spacing w:val="-3"/>
        </w:rPr>
        <w:t> </w:t>
      </w:r>
      <w:r>
        <w:rPr/>
        <w:t>permite,</w:t>
      </w:r>
      <w:r>
        <w:rPr>
          <w:spacing w:val="-2"/>
        </w:rPr>
        <w:t> </w:t>
      </w:r>
      <w:r>
        <w:rPr/>
        <w:t>a</w:t>
      </w:r>
      <w:r>
        <w:rPr>
          <w:spacing w:val="-1"/>
        </w:rPr>
        <w:t> </w:t>
      </w:r>
      <w:r>
        <w:rPr/>
        <w:t>través de</w:t>
      </w:r>
      <w:r>
        <w:rPr>
          <w:spacing w:val="-3"/>
        </w:rPr>
        <w:t> </w:t>
      </w:r>
      <w:r>
        <w:rPr/>
        <w:t>unos</w:t>
      </w:r>
      <w:r>
        <w:rPr>
          <w:spacing w:val="-3"/>
        </w:rPr>
        <w:t> </w:t>
      </w:r>
      <w:r>
        <w:rPr/>
        <w:t>códigos</w:t>
      </w:r>
      <w:r>
        <w:rPr>
          <w:spacing w:val="-3"/>
        </w:rPr>
        <w:t> </w:t>
      </w:r>
      <w:r>
        <w:rPr/>
        <w:t>de</w:t>
      </w:r>
      <w:r>
        <w:rPr>
          <w:spacing w:val="-1"/>
        </w:rPr>
        <w:t> </w:t>
      </w:r>
      <w:r>
        <w:rPr/>
        <w:t>colores</w:t>
      </w:r>
      <w:r>
        <w:rPr>
          <w:spacing w:val="-3"/>
        </w:rPr>
        <w:t> </w:t>
      </w:r>
      <w:r>
        <w:rPr/>
        <w:t>similares</w:t>
      </w:r>
      <w:r>
        <w:rPr>
          <w:spacing w:val="-3"/>
        </w:rPr>
        <w:t> </w:t>
      </w:r>
      <w:r>
        <w:rPr/>
        <w:t>a</w:t>
      </w:r>
      <w:r>
        <w:rPr>
          <w:spacing w:val="-1"/>
        </w:rPr>
        <w:t> </w:t>
      </w:r>
      <w:r>
        <w:rPr/>
        <w:t>los códigos de</w:t>
      </w:r>
      <w:r>
        <w:rPr>
          <w:spacing w:val="-3"/>
        </w:rPr>
        <w:t> </w:t>
      </w:r>
      <w:r>
        <w:rPr/>
        <w:t>barras,</w:t>
      </w:r>
      <w:r>
        <w:rPr>
          <w:spacing w:val="-2"/>
        </w:rPr>
        <w:t> </w:t>
      </w:r>
      <w:r>
        <w:rPr/>
        <w:t>que las personas ciegas o con baja visión puedan detectarlos con su teléfono móvil, y ha instalado información dinámica en las paradas de autobuses. Todas estas medidas tecnológicas han favorecido la sostenibilidad medioambiental y social del transporte público colectivo, si bien la entidad considera necesario implementar en los próximos años herramientas y recursos que permitan</w:t>
      </w:r>
      <w:r>
        <w:rPr>
          <w:spacing w:val="-3"/>
        </w:rPr>
        <w:t> </w:t>
      </w:r>
      <w:r>
        <w:rPr/>
        <w:t>completar</w:t>
      </w:r>
      <w:r>
        <w:rPr>
          <w:spacing w:val="-2"/>
        </w:rPr>
        <w:t> </w:t>
      </w:r>
      <w:r>
        <w:rPr/>
        <w:t>los</w:t>
      </w:r>
      <w:r>
        <w:rPr>
          <w:spacing w:val="-3"/>
        </w:rPr>
        <w:t> </w:t>
      </w:r>
      <w:r>
        <w:rPr/>
        <w:t>modelos</w:t>
      </w:r>
      <w:r>
        <w:rPr>
          <w:spacing w:val="-1"/>
        </w:rPr>
        <w:t> </w:t>
      </w:r>
      <w:r>
        <w:rPr/>
        <w:t>de</w:t>
      </w:r>
      <w:r>
        <w:rPr>
          <w:spacing w:val="-3"/>
        </w:rPr>
        <w:t> </w:t>
      </w:r>
      <w:r>
        <w:rPr/>
        <w:t>simulación</w:t>
      </w:r>
      <w:r>
        <w:rPr>
          <w:spacing w:val="-1"/>
        </w:rPr>
        <w:t> </w:t>
      </w:r>
      <w:r>
        <w:rPr/>
        <w:t>de</w:t>
      </w:r>
      <w:r>
        <w:rPr>
          <w:spacing w:val="-1"/>
        </w:rPr>
        <w:t> </w:t>
      </w:r>
      <w:r>
        <w:rPr/>
        <w:t>movilidad</w:t>
      </w:r>
      <w:r>
        <w:rPr>
          <w:spacing w:val="-1"/>
        </w:rPr>
        <w:t> </w:t>
      </w:r>
      <w:r>
        <w:rPr/>
        <w:t>y</w:t>
      </w:r>
      <w:r>
        <w:rPr>
          <w:spacing w:val="-1"/>
        </w:rPr>
        <w:t> </w:t>
      </w:r>
      <w:r>
        <w:rPr/>
        <w:t>generar</w:t>
      </w:r>
      <w:r>
        <w:rPr>
          <w:spacing w:val="-2"/>
        </w:rPr>
        <w:t> </w:t>
      </w:r>
      <w:r>
        <w:rPr/>
        <w:t>un</w:t>
      </w:r>
      <w:r>
        <w:rPr>
          <w:spacing w:val="-3"/>
        </w:rPr>
        <w:t> </w:t>
      </w:r>
      <w:r>
        <w:rPr/>
        <w:t>gemelo</w:t>
      </w:r>
      <w:r>
        <w:rPr>
          <w:spacing w:val="-1"/>
        </w:rPr>
        <w:t> </w:t>
      </w:r>
      <w:r>
        <w:rPr/>
        <w:t>digital</w:t>
      </w:r>
      <w:r>
        <w:rPr>
          <w:spacing w:val="-2"/>
        </w:rPr>
        <w:t> </w:t>
      </w:r>
      <w:r>
        <w:rPr/>
        <w:t>que</w:t>
      </w:r>
      <w:r>
        <w:rPr>
          <w:spacing w:val="-3"/>
        </w:rPr>
        <w:t> </w:t>
      </w:r>
      <w:r>
        <w:rPr/>
        <w:t>pueda mantenerse</w:t>
      </w:r>
      <w:r>
        <w:rPr>
          <w:spacing w:val="-1"/>
        </w:rPr>
        <w:t> </w:t>
      </w:r>
      <w:r>
        <w:rPr/>
        <w:t>y actualizarse en el</w:t>
      </w:r>
      <w:r>
        <w:rPr>
          <w:spacing w:val="-2"/>
        </w:rPr>
        <w:t> </w:t>
      </w:r>
      <w:r>
        <w:rPr/>
        <w:t>tiempo</w:t>
      </w:r>
      <w:r>
        <w:rPr>
          <w:spacing w:val="-1"/>
        </w:rPr>
        <w:t> </w:t>
      </w:r>
      <w:r>
        <w:rPr/>
        <w:t>y</w:t>
      </w:r>
      <w:r>
        <w:rPr>
          <w:spacing w:val="-1"/>
        </w:rPr>
        <w:t> </w:t>
      </w:r>
      <w:r>
        <w:rPr/>
        <w:t>ser alimentado con</w:t>
      </w:r>
      <w:r>
        <w:rPr>
          <w:spacing w:val="-1"/>
        </w:rPr>
        <w:t> </w:t>
      </w:r>
      <w:r>
        <w:rPr/>
        <w:t>información</w:t>
      </w:r>
      <w:r>
        <w:rPr>
          <w:spacing w:val="-4"/>
        </w:rPr>
        <w:t> </w:t>
      </w:r>
      <w:r>
        <w:rPr/>
        <w:t>adecuada y permanente.</w:t>
      </w:r>
    </w:p>
    <w:p>
      <w:pPr>
        <w:pStyle w:val="BodyText"/>
        <w:spacing w:before="107"/>
      </w:pPr>
    </w:p>
    <w:p>
      <w:pPr>
        <w:pStyle w:val="Heading5"/>
        <w:numPr>
          <w:ilvl w:val="2"/>
          <w:numId w:val="3"/>
        </w:numPr>
        <w:tabs>
          <w:tab w:pos="1598" w:val="left" w:leader="none"/>
        </w:tabs>
        <w:spacing w:line="240" w:lineRule="auto" w:before="0" w:after="0"/>
        <w:ind w:left="1598" w:right="0" w:hanging="606"/>
        <w:jc w:val="left"/>
      </w:pPr>
      <w:bookmarkStart w:name="_bookmark44" w:id="46"/>
      <w:bookmarkEnd w:id="46"/>
      <w:r>
        <w:rPr>
          <w:b w:val="0"/>
        </w:rPr>
      </w:r>
      <w:r>
        <w:rPr/>
        <w:t>Actuaciones</w:t>
      </w:r>
      <w:r>
        <w:rPr>
          <w:spacing w:val="-5"/>
        </w:rPr>
        <w:t> </w:t>
      </w:r>
      <w:r>
        <w:rPr/>
        <w:t>realizadas</w:t>
      </w:r>
      <w:r>
        <w:rPr>
          <w:spacing w:val="-5"/>
        </w:rPr>
        <w:t> </w:t>
      </w:r>
      <w:r>
        <w:rPr/>
        <w:t>en</w:t>
      </w:r>
      <w:r>
        <w:rPr>
          <w:spacing w:val="-3"/>
        </w:rPr>
        <w:t> </w:t>
      </w:r>
      <w:r>
        <w:rPr/>
        <w:t>2023</w:t>
      </w:r>
      <w:r>
        <w:rPr>
          <w:spacing w:val="-5"/>
        </w:rPr>
        <w:t> </w:t>
      </w:r>
      <w:r>
        <w:rPr/>
        <w:t>y</w:t>
      </w:r>
      <w:r>
        <w:rPr>
          <w:spacing w:val="-3"/>
        </w:rPr>
        <w:t> </w:t>
      </w:r>
      <w:r>
        <w:rPr/>
        <w:t>2024</w:t>
      </w:r>
      <w:r>
        <w:rPr>
          <w:spacing w:val="-4"/>
        </w:rPr>
        <w:t> </w:t>
      </w:r>
      <w:r>
        <w:rPr/>
        <w:t>según</w:t>
      </w:r>
      <w:r>
        <w:rPr>
          <w:spacing w:val="-5"/>
        </w:rPr>
        <w:t> </w:t>
      </w:r>
      <w:r>
        <w:rPr/>
        <w:t>su</w:t>
      </w:r>
      <w:r>
        <w:rPr>
          <w:spacing w:val="-3"/>
        </w:rPr>
        <w:t> </w:t>
      </w:r>
      <w:r>
        <w:rPr>
          <w:spacing w:val="-2"/>
        </w:rPr>
        <w:t>tipología</w:t>
      </w:r>
    </w:p>
    <w:p>
      <w:pPr>
        <w:pStyle w:val="BodyText"/>
        <w:spacing w:before="242"/>
        <w:ind w:left="992" w:right="991"/>
        <w:jc w:val="both"/>
      </w:pPr>
      <w:r>
        <w:rPr>
          <w:spacing w:val="-2"/>
        </w:rPr>
        <w:t>Los ayuntamientos</w:t>
      </w:r>
      <w:r>
        <w:rPr>
          <w:spacing w:val="-5"/>
        </w:rPr>
        <w:t> </w:t>
      </w:r>
      <w:r>
        <w:rPr>
          <w:spacing w:val="-2"/>
        </w:rPr>
        <w:t>fiscalizados han</w:t>
      </w:r>
      <w:r>
        <w:rPr>
          <w:spacing w:val="-5"/>
        </w:rPr>
        <w:t> </w:t>
      </w:r>
      <w:r>
        <w:rPr>
          <w:spacing w:val="-2"/>
        </w:rPr>
        <w:t>ejecutado en</w:t>
      </w:r>
      <w:r>
        <w:rPr>
          <w:spacing w:val="-5"/>
        </w:rPr>
        <w:t> </w:t>
      </w:r>
      <w:r>
        <w:rPr>
          <w:spacing w:val="-2"/>
        </w:rPr>
        <w:t>los ejercicios</w:t>
      </w:r>
      <w:r>
        <w:rPr>
          <w:spacing w:val="-5"/>
        </w:rPr>
        <w:t> </w:t>
      </w:r>
      <w:r>
        <w:rPr>
          <w:spacing w:val="-2"/>
        </w:rPr>
        <w:t>fiscalizados</w:t>
      </w:r>
      <w:r>
        <w:rPr>
          <w:spacing w:val="-8"/>
        </w:rPr>
        <w:t> </w:t>
      </w:r>
      <w:r>
        <w:rPr>
          <w:spacing w:val="-2"/>
        </w:rPr>
        <w:t>una serie de</w:t>
      </w:r>
      <w:r>
        <w:rPr>
          <w:spacing w:val="-5"/>
        </w:rPr>
        <w:t> </w:t>
      </w:r>
      <w:r>
        <w:rPr>
          <w:spacing w:val="-2"/>
        </w:rPr>
        <w:t>actuaciones </w:t>
      </w:r>
      <w:r>
        <w:rPr/>
        <w:t>con el</w:t>
      </w:r>
      <w:r>
        <w:rPr>
          <w:spacing w:val="-2"/>
        </w:rPr>
        <w:t> </w:t>
      </w:r>
      <w:r>
        <w:rPr/>
        <w:t>fin</w:t>
      </w:r>
      <w:r>
        <w:rPr>
          <w:spacing w:val="-1"/>
        </w:rPr>
        <w:t> </w:t>
      </w:r>
      <w:r>
        <w:rPr/>
        <w:t>de</w:t>
      </w:r>
      <w:r>
        <w:rPr>
          <w:spacing w:val="-1"/>
        </w:rPr>
        <w:t> </w:t>
      </w:r>
      <w:r>
        <w:rPr/>
        <w:t>lograr la</w:t>
      </w:r>
      <w:r>
        <w:rPr>
          <w:spacing w:val="-1"/>
        </w:rPr>
        <w:t> </w:t>
      </w:r>
      <w:r>
        <w:rPr/>
        <w:t>sostenibilidad medioambiental y</w:t>
      </w:r>
      <w:r>
        <w:rPr>
          <w:spacing w:val="-1"/>
        </w:rPr>
        <w:t> </w:t>
      </w:r>
      <w:r>
        <w:rPr/>
        <w:t>social de</w:t>
      </w:r>
      <w:r>
        <w:rPr>
          <w:spacing w:val="-1"/>
        </w:rPr>
        <w:t> </w:t>
      </w:r>
      <w:r>
        <w:rPr/>
        <w:t>la</w:t>
      </w:r>
      <w:r>
        <w:rPr>
          <w:spacing w:val="-1"/>
        </w:rPr>
        <w:t> </w:t>
      </w:r>
      <w:r>
        <w:rPr/>
        <w:t>movilidad urbana</w:t>
      </w:r>
      <w:r>
        <w:rPr>
          <w:spacing w:val="-4"/>
        </w:rPr>
        <w:t> </w:t>
      </w:r>
      <w:r>
        <w:rPr/>
        <w:t>y la</w:t>
      </w:r>
      <w:r>
        <w:rPr>
          <w:spacing w:val="-3"/>
        </w:rPr>
        <w:t> </w:t>
      </w:r>
      <w:r>
        <w:rPr/>
        <w:t>mejora</w:t>
      </w:r>
      <w:r>
        <w:rPr>
          <w:spacing w:val="-1"/>
        </w:rPr>
        <w:t> </w:t>
      </w:r>
      <w:r>
        <w:rPr/>
        <w:t>del transporte público colectivo.</w:t>
      </w:r>
    </w:p>
    <w:p>
      <w:pPr>
        <w:pStyle w:val="BodyText"/>
        <w:spacing w:before="239"/>
        <w:ind w:left="992" w:right="994"/>
        <w:jc w:val="both"/>
      </w:pPr>
      <w:r>
        <w:rPr/>
        <w:t>En el cuadro siguiente se resumen las actuaciones realizadas según su tipología, indicando su número y su importe, que comprende el importe de los contratos celebrados y los incrementos producidos con motivo de las modificaciones aprobadas hasta 31 de diciembre de 2024.</w:t>
      </w:r>
    </w:p>
    <w:p>
      <w:pPr>
        <w:pStyle w:val="BodyText"/>
        <w:spacing w:before="107"/>
      </w:pPr>
    </w:p>
    <w:p>
      <w:pPr>
        <w:pStyle w:val="Heading4"/>
        <w:ind w:left="4600" w:right="907" w:hanging="3332"/>
        <w:jc w:val="left"/>
      </w:pPr>
      <w:bookmarkStart w:name="_bookmark45" w:id="47"/>
      <w:bookmarkEnd w:id="47"/>
      <w:r>
        <w:rPr>
          <w:b w:val="0"/>
        </w:rPr>
      </w:r>
      <w:r>
        <w:rPr/>
        <w:t>CUADRO</w:t>
      </w:r>
      <w:r>
        <w:rPr>
          <w:spacing w:val="-3"/>
        </w:rPr>
        <w:t> </w:t>
      </w:r>
      <w:r>
        <w:rPr/>
        <w:t>6.</w:t>
      </w:r>
      <w:r>
        <w:rPr>
          <w:spacing w:val="-6"/>
        </w:rPr>
        <w:t> </w:t>
      </w:r>
      <w:r>
        <w:rPr/>
        <w:t>ACTUACIONES</w:t>
      </w:r>
      <w:r>
        <w:rPr>
          <w:spacing w:val="-5"/>
        </w:rPr>
        <w:t> </w:t>
      </w:r>
      <w:r>
        <w:rPr/>
        <w:t>REALIZADAS</w:t>
      </w:r>
      <w:r>
        <w:rPr>
          <w:spacing w:val="-7"/>
        </w:rPr>
        <w:t> </w:t>
      </w:r>
      <w:r>
        <w:rPr/>
        <w:t>POR</w:t>
      </w:r>
      <w:r>
        <w:rPr>
          <w:spacing w:val="-5"/>
        </w:rPr>
        <w:t> </w:t>
      </w:r>
      <w:r>
        <w:rPr/>
        <w:t>LOS</w:t>
      </w:r>
      <w:r>
        <w:rPr>
          <w:spacing w:val="-6"/>
        </w:rPr>
        <w:t> </w:t>
      </w:r>
      <w:r>
        <w:rPr/>
        <w:t>AYUNTAMIENTOS</w:t>
      </w:r>
      <w:r>
        <w:rPr>
          <w:spacing w:val="-5"/>
        </w:rPr>
        <w:t> </w:t>
      </w:r>
      <w:r>
        <w:rPr/>
        <w:t>FISCALIZADOS SEGÚN SU TIPOLOGÍA</w:t>
      </w:r>
    </w:p>
    <w:p>
      <w:pPr>
        <w:pStyle w:val="BodyText"/>
        <w:spacing w:before="10" w:after="1"/>
        <w:rPr>
          <w:b/>
          <w:sz w:val="20"/>
        </w:rPr>
      </w:pPr>
    </w:p>
    <w:tbl>
      <w:tblPr>
        <w:tblW w:w="0" w:type="auto"/>
        <w:jc w:val="left"/>
        <w:tblInd w:w="745" w:type="dxa"/>
        <w:tblBorders>
          <w:top w:val="single" w:sz="4" w:space="0" w:color="002D5D"/>
          <w:left w:val="single" w:sz="4" w:space="0" w:color="002D5D"/>
          <w:bottom w:val="single" w:sz="4" w:space="0" w:color="002D5D"/>
          <w:right w:val="single" w:sz="4" w:space="0" w:color="002D5D"/>
          <w:insideH w:val="single" w:sz="4" w:space="0" w:color="002D5D"/>
          <w:insideV w:val="single" w:sz="4" w:space="0" w:color="002D5D"/>
        </w:tblBorders>
        <w:tblLayout w:type="fixed"/>
        <w:tblCellMar>
          <w:top w:w="0" w:type="dxa"/>
          <w:left w:w="0" w:type="dxa"/>
          <w:bottom w:w="0" w:type="dxa"/>
          <w:right w:w="0" w:type="dxa"/>
        </w:tblCellMar>
        <w:tblLook w:val="01E0"/>
      </w:tblPr>
      <w:tblGrid>
        <w:gridCol w:w="1419"/>
        <w:gridCol w:w="437"/>
        <w:gridCol w:w="1182"/>
        <w:gridCol w:w="411"/>
        <w:gridCol w:w="1109"/>
        <w:gridCol w:w="411"/>
        <w:gridCol w:w="1032"/>
        <w:gridCol w:w="408"/>
        <w:gridCol w:w="956"/>
        <w:gridCol w:w="293"/>
        <w:gridCol w:w="955"/>
        <w:gridCol w:w="430"/>
        <w:gridCol w:w="1111"/>
      </w:tblGrid>
      <w:tr>
        <w:trPr>
          <w:trHeight w:val="1099" w:hRule="atLeast"/>
        </w:trPr>
        <w:tc>
          <w:tcPr>
            <w:tcW w:w="1419" w:type="dxa"/>
            <w:tcBorders>
              <w:top w:val="nil"/>
              <w:left w:val="nil"/>
              <w:bottom w:val="nil"/>
              <w:right w:val="nil"/>
            </w:tcBorders>
            <w:shd w:val="clear" w:color="auto" w:fill="002D5D"/>
          </w:tcPr>
          <w:p>
            <w:pPr>
              <w:pStyle w:val="TableParagraph"/>
              <w:rPr>
                <w:rFonts w:ascii="Arial"/>
                <w:b/>
                <w:sz w:val="17"/>
              </w:rPr>
            </w:pPr>
          </w:p>
          <w:p>
            <w:pPr>
              <w:pStyle w:val="TableParagraph"/>
              <w:rPr>
                <w:rFonts w:ascii="Arial"/>
                <w:b/>
                <w:sz w:val="17"/>
              </w:rPr>
            </w:pPr>
          </w:p>
          <w:p>
            <w:pPr>
              <w:pStyle w:val="TableParagraph"/>
              <w:spacing w:before="24"/>
              <w:rPr>
                <w:rFonts w:ascii="Arial"/>
                <w:b/>
                <w:sz w:val="17"/>
              </w:rPr>
            </w:pPr>
          </w:p>
          <w:p>
            <w:pPr>
              <w:pStyle w:val="TableParagraph"/>
              <w:ind w:left="74"/>
              <w:rPr>
                <w:b/>
                <w:sz w:val="17"/>
              </w:rPr>
            </w:pPr>
            <w:r>
              <w:rPr>
                <w:b/>
                <w:color w:val="FFFFFF"/>
                <w:spacing w:val="-2"/>
                <w:sz w:val="17"/>
              </w:rPr>
              <w:t>AYUNTAMIENTO</w:t>
            </w:r>
          </w:p>
        </w:tc>
        <w:tc>
          <w:tcPr>
            <w:tcW w:w="1619" w:type="dxa"/>
            <w:gridSpan w:val="2"/>
            <w:tcBorders>
              <w:top w:val="nil"/>
              <w:left w:val="nil"/>
              <w:bottom w:val="nil"/>
              <w:right w:val="nil"/>
            </w:tcBorders>
            <w:shd w:val="clear" w:color="auto" w:fill="002D5D"/>
          </w:tcPr>
          <w:p>
            <w:pPr>
              <w:pStyle w:val="TableParagraph"/>
              <w:spacing w:before="59"/>
              <w:ind w:left="74" w:right="62" w:hanging="5"/>
              <w:jc w:val="center"/>
              <w:rPr>
                <w:b/>
                <w:sz w:val="17"/>
              </w:rPr>
            </w:pPr>
            <w:r>
              <w:rPr>
                <w:b/>
                <w:color w:val="FFFFFF"/>
                <w:spacing w:val="-2"/>
                <w:sz w:val="17"/>
              </w:rPr>
              <w:t>ADQUISICIÓN</w:t>
            </w:r>
            <w:r>
              <w:rPr>
                <w:b/>
                <w:color w:val="FFFFFF"/>
                <w:spacing w:val="40"/>
                <w:sz w:val="17"/>
              </w:rPr>
              <w:t> </w:t>
            </w:r>
            <w:r>
              <w:rPr>
                <w:b/>
                <w:color w:val="FFFFFF"/>
                <w:sz w:val="17"/>
              </w:rPr>
              <w:t>MATERIAL MÓVIL E</w:t>
            </w:r>
            <w:r>
              <w:rPr>
                <w:b/>
                <w:color w:val="FFFFFF"/>
                <w:spacing w:val="40"/>
                <w:sz w:val="17"/>
              </w:rPr>
              <w:t> </w:t>
            </w:r>
            <w:r>
              <w:rPr>
                <w:b/>
                <w:color w:val="FFFFFF"/>
                <w:spacing w:val="-2"/>
                <w:sz w:val="17"/>
              </w:rPr>
              <w:t>INFRAESTRUCTURAS</w:t>
            </w:r>
            <w:r>
              <w:rPr>
                <w:b/>
                <w:color w:val="FFFFFF"/>
                <w:spacing w:val="40"/>
                <w:sz w:val="17"/>
              </w:rPr>
              <w:t> </w:t>
            </w:r>
            <w:r>
              <w:rPr>
                <w:b/>
                <w:color w:val="FFFFFF"/>
                <w:spacing w:val="-2"/>
                <w:sz w:val="17"/>
              </w:rPr>
              <w:t>RECARGA</w:t>
            </w:r>
            <w:r>
              <w:rPr>
                <w:b/>
                <w:color w:val="FFFFFF"/>
                <w:spacing w:val="40"/>
                <w:sz w:val="17"/>
              </w:rPr>
              <w:t> </w:t>
            </w:r>
            <w:r>
              <w:rPr>
                <w:b/>
                <w:color w:val="FFFFFF"/>
                <w:spacing w:val="-2"/>
                <w:sz w:val="17"/>
              </w:rPr>
              <w:t>VEHÍCULOS</w:t>
            </w:r>
          </w:p>
        </w:tc>
        <w:tc>
          <w:tcPr>
            <w:tcW w:w="1520" w:type="dxa"/>
            <w:gridSpan w:val="2"/>
            <w:tcBorders>
              <w:top w:val="nil"/>
              <w:left w:val="nil"/>
              <w:bottom w:val="nil"/>
              <w:right w:val="nil"/>
            </w:tcBorders>
            <w:shd w:val="clear" w:color="auto" w:fill="002D5D"/>
          </w:tcPr>
          <w:p>
            <w:pPr>
              <w:pStyle w:val="TableParagraph"/>
              <w:spacing w:before="58"/>
              <w:rPr>
                <w:rFonts w:ascii="Arial"/>
                <w:b/>
                <w:sz w:val="17"/>
              </w:rPr>
            </w:pPr>
          </w:p>
          <w:p>
            <w:pPr>
              <w:pStyle w:val="TableParagraph"/>
              <w:ind w:left="121" w:right="108"/>
              <w:jc w:val="center"/>
              <w:rPr>
                <w:b/>
                <w:sz w:val="17"/>
              </w:rPr>
            </w:pPr>
            <w:r>
              <w:rPr>
                <w:b/>
                <w:color w:val="FFFFFF"/>
                <w:sz w:val="17"/>
              </w:rPr>
              <w:t>OBRAS</w:t>
            </w:r>
            <w:r>
              <w:rPr>
                <w:b/>
                <w:color w:val="FFFFFF"/>
                <w:spacing w:val="-2"/>
                <w:sz w:val="17"/>
              </w:rPr>
              <w:t> </w:t>
            </w:r>
            <w:r>
              <w:rPr>
                <w:b/>
                <w:color w:val="FFFFFF"/>
                <w:sz w:val="17"/>
              </w:rPr>
              <w:t>Y</w:t>
            </w:r>
            <w:r>
              <w:rPr>
                <w:b/>
                <w:color w:val="FFFFFF"/>
                <w:spacing w:val="40"/>
                <w:sz w:val="17"/>
              </w:rPr>
              <w:t> </w:t>
            </w:r>
            <w:r>
              <w:rPr>
                <w:b/>
                <w:color w:val="FFFFFF"/>
                <w:sz w:val="17"/>
              </w:rPr>
              <w:t>ESTRUCTURAS</w:t>
            </w:r>
            <w:r>
              <w:rPr>
                <w:b/>
                <w:color w:val="FFFFFF"/>
                <w:spacing w:val="-10"/>
                <w:sz w:val="17"/>
              </w:rPr>
              <w:t> </w:t>
            </w:r>
            <w:r>
              <w:rPr>
                <w:b/>
                <w:color w:val="FFFFFF"/>
                <w:sz w:val="17"/>
              </w:rPr>
              <w:t>EN</w:t>
            </w:r>
            <w:r>
              <w:rPr>
                <w:b/>
                <w:color w:val="FFFFFF"/>
                <w:spacing w:val="40"/>
                <w:sz w:val="17"/>
              </w:rPr>
              <w:t> </w:t>
            </w:r>
            <w:r>
              <w:rPr>
                <w:b/>
                <w:color w:val="FFFFFF"/>
                <w:sz w:val="17"/>
              </w:rPr>
              <w:t>VÍA</w:t>
            </w:r>
            <w:r>
              <w:rPr>
                <w:b/>
                <w:color w:val="FFFFFF"/>
                <w:spacing w:val="-4"/>
                <w:sz w:val="17"/>
              </w:rPr>
              <w:t> </w:t>
            </w:r>
            <w:r>
              <w:rPr>
                <w:b/>
                <w:color w:val="FFFFFF"/>
                <w:sz w:val="17"/>
              </w:rPr>
              <w:t>PÚBLICA</w:t>
            </w:r>
          </w:p>
        </w:tc>
        <w:tc>
          <w:tcPr>
            <w:tcW w:w="1443" w:type="dxa"/>
            <w:gridSpan w:val="2"/>
            <w:tcBorders>
              <w:top w:val="nil"/>
              <w:left w:val="nil"/>
              <w:bottom w:val="nil"/>
              <w:right w:val="nil"/>
            </w:tcBorders>
            <w:shd w:val="clear" w:color="auto" w:fill="002D5D"/>
          </w:tcPr>
          <w:p>
            <w:pPr>
              <w:pStyle w:val="TableParagraph"/>
              <w:rPr>
                <w:rFonts w:ascii="Arial"/>
                <w:b/>
                <w:sz w:val="17"/>
              </w:rPr>
            </w:pPr>
          </w:p>
          <w:p>
            <w:pPr>
              <w:pStyle w:val="TableParagraph"/>
              <w:spacing w:before="59"/>
              <w:rPr>
                <w:rFonts w:ascii="Arial"/>
                <w:b/>
                <w:sz w:val="17"/>
              </w:rPr>
            </w:pPr>
          </w:p>
          <w:p>
            <w:pPr>
              <w:pStyle w:val="TableParagraph"/>
              <w:ind w:left="159"/>
              <w:rPr>
                <w:b/>
                <w:sz w:val="17"/>
              </w:rPr>
            </w:pPr>
            <w:r>
              <w:rPr>
                <w:b/>
                <w:color w:val="FFFFFF"/>
                <w:spacing w:val="-2"/>
                <w:sz w:val="17"/>
              </w:rPr>
              <w:t>DIGITALIZACIÓN</w:t>
            </w:r>
          </w:p>
        </w:tc>
        <w:tc>
          <w:tcPr>
            <w:tcW w:w="1364" w:type="dxa"/>
            <w:gridSpan w:val="2"/>
            <w:tcBorders>
              <w:top w:val="nil"/>
              <w:left w:val="nil"/>
              <w:bottom w:val="nil"/>
              <w:right w:val="nil"/>
            </w:tcBorders>
            <w:shd w:val="clear" w:color="auto" w:fill="002D5D"/>
          </w:tcPr>
          <w:p>
            <w:pPr>
              <w:pStyle w:val="TableParagraph"/>
              <w:spacing w:before="156"/>
              <w:rPr>
                <w:rFonts w:ascii="Arial"/>
                <w:b/>
                <w:sz w:val="17"/>
              </w:rPr>
            </w:pPr>
          </w:p>
          <w:p>
            <w:pPr>
              <w:pStyle w:val="TableParagraph"/>
              <w:ind w:left="350" w:right="111" w:hanging="233"/>
              <w:rPr>
                <w:b/>
                <w:sz w:val="17"/>
              </w:rPr>
            </w:pPr>
            <w:r>
              <w:rPr>
                <w:b/>
                <w:color w:val="FFFFFF"/>
                <w:sz w:val="17"/>
              </w:rPr>
              <w:t>INFORMACIÓN</w:t>
            </w:r>
            <w:r>
              <w:rPr>
                <w:b/>
                <w:color w:val="FFFFFF"/>
                <w:spacing w:val="-10"/>
                <w:sz w:val="17"/>
              </w:rPr>
              <w:t> </w:t>
            </w:r>
            <w:r>
              <w:rPr>
                <w:b/>
                <w:color w:val="FFFFFF"/>
                <w:sz w:val="17"/>
              </w:rPr>
              <w:t>Y</w:t>
            </w:r>
            <w:r>
              <w:rPr>
                <w:b/>
                <w:color w:val="FFFFFF"/>
                <w:spacing w:val="40"/>
                <w:sz w:val="17"/>
              </w:rPr>
              <w:t> </w:t>
            </w:r>
            <w:r>
              <w:rPr>
                <w:b/>
                <w:color w:val="FFFFFF"/>
                <w:spacing w:val="-2"/>
                <w:sz w:val="17"/>
              </w:rPr>
              <w:t>DIFUSIÓN</w:t>
            </w:r>
          </w:p>
        </w:tc>
        <w:tc>
          <w:tcPr>
            <w:tcW w:w="293" w:type="dxa"/>
            <w:tcBorders>
              <w:top w:val="nil"/>
              <w:left w:val="nil"/>
              <w:bottom w:val="nil"/>
              <w:right w:val="nil"/>
            </w:tcBorders>
            <w:shd w:val="clear" w:color="auto" w:fill="002D5D"/>
          </w:tcPr>
          <w:p>
            <w:pPr>
              <w:pStyle w:val="TableParagraph"/>
              <w:rPr>
                <w:rFonts w:ascii="Times New Roman"/>
                <w:sz w:val="18"/>
              </w:rPr>
            </w:pPr>
          </w:p>
        </w:tc>
        <w:tc>
          <w:tcPr>
            <w:tcW w:w="955" w:type="dxa"/>
            <w:tcBorders>
              <w:top w:val="nil"/>
              <w:left w:val="nil"/>
              <w:bottom w:val="nil"/>
              <w:right w:val="nil"/>
            </w:tcBorders>
            <w:shd w:val="clear" w:color="auto" w:fill="002D5D"/>
          </w:tcPr>
          <w:p>
            <w:pPr>
              <w:pStyle w:val="TableParagraph"/>
              <w:rPr>
                <w:rFonts w:ascii="Arial"/>
                <w:b/>
                <w:sz w:val="17"/>
              </w:rPr>
            </w:pPr>
          </w:p>
          <w:p>
            <w:pPr>
              <w:pStyle w:val="TableParagraph"/>
              <w:spacing w:before="59"/>
              <w:rPr>
                <w:rFonts w:ascii="Arial"/>
                <w:b/>
                <w:sz w:val="17"/>
              </w:rPr>
            </w:pPr>
          </w:p>
          <w:p>
            <w:pPr>
              <w:pStyle w:val="TableParagraph"/>
              <w:ind w:left="88"/>
              <w:rPr>
                <w:b/>
                <w:sz w:val="17"/>
              </w:rPr>
            </w:pPr>
            <w:r>
              <w:rPr>
                <w:b/>
                <w:color w:val="FFFFFF"/>
                <w:spacing w:val="-2"/>
                <w:sz w:val="17"/>
              </w:rPr>
              <w:t>OTRAS</w:t>
            </w:r>
          </w:p>
        </w:tc>
        <w:tc>
          <w:tcPr>
            <w:tcW w:w="430" w:type="dxa"/>
            <w:tcBorders>
              <w:top w:val="nil"/>
              <w:left w:val="nil"/>
              <w:bottom w:val="nil"/>
              <w:right w:val="nil"/>
            </w:tcBorders>
            <w:shd w:val="clear" w:color="auto" w:fill="002D5D"/>
          </w:tcPr>
          <w:p>
            <w:pPr>
              <w:pStyle w:val="TableParagraph"/>
              <w:rPr>
                <w:rFonts w:ascii="Times New Roman"/>
                <w:sz w:val="18"/>
              </w:rPr>
            </w:pPr>
          </w:p>
        </w:tc>
        <w:tc>
          <w:tcPr>
            <w:tcW w:w="1111" w:type="dxa"/>
            <w:tcBorders>
              <w:top w:val="nil"/>
              <w:left w:val="nil"/>
              <w:bottom w:val="nil"/>
              <w:right w:val="nil"/>
            </w:tcBorders>
            <w:shd w:val="clear" w:color="auto" w:fill="002D5D"/>
          </w:tcPr>
          <w:p>
            <w:pPr>
              <w:pStyle w:val="TableParagraph"/>
              <w:rPr>
                <w:rFonts w:ascii="Arial"/>
                <w:b/>
                <w:sz w:val="17"/>
              </w:rPr>
            </w:pPr>
          </w:p>
          <w:p>
            <w:pPr>
              <w:pStyle w:val="TableParagraph"/>
              <w:spacing w:before="59"/>
              <w:rPr>
                <w:rFonts w:ascii="Arial"/>
                <w:b/>
                <w:sz w:val="17"/>
              </w:rPr>
            </w:pPr>
          </w:p>
          <w:p>
            <w:pPr>
              <w:pStyle w:val="TableParagraph"/>
              <w:ind w:left="110"/>
              <w:rPr>
                <w:b/>
                <w:sz w:val="17"/>
              </w:rPr>
            </w:pPr>
            <w:r>
              <w:rPr>
                <w:b/>
                <w:color w:val="FFFFFF"/>
                <w:spacing w:val="-2"/>
                <w:sz w:val="17"/>
              </w:rPr>
              <w:t>TOTAL</w:t>
            </w:r>
          </w:p>
        </w:tc>
      </w:tr>
      <w:tr>
        <w:trPr>
          <w:trHeight w:val="320" w:hRule="atLeast"/>
        </w:trPr>
        <w:tc>
          <w:tcPr>
            <w:tcW w:w="1419" w:type="dxa"/>
            <w:tcBorders>
              <w:top w:val="nil"/>
              <w:left w:val="nil"/>
              <w:bottom w:val="nil"/>
              <w:right w:val="nil"/>
            </w:tcBorders>
            <w:shd w:val="clear" w:color="auto" w:fill="002D5D"/>
          </w:tcPr>
          <w:p>
            <w:pPr>
              <w:pStyle w:val="TableParagraph"/>
              <w:rPr>
                <w:rFonts w:ascii="Times New Roman"/>
                <w:sz w:val="18"/>
              </w:rPr>
            </w:pPr>
          </w:p>
        </w:tc>
        <w:tc>
          <w:tcPr>
            <w:tcW w:w="437" w:type="dxa"/>
            <w:tcBorders>
              <w:top w:val="nil"/>
              <w:left w:val="nil"/>
              <w:bottom w:val="nil"/>
              <w:right w:val="nil"/>
            </w:tcBorders>
            <w:shd w:val="clear" w:color="auto" w:fill="002D5D"/>
          </w:tcPr>
          <w:p>
            <w:pPr>
              <w:pStyle w:val="TableParagraph"/>
              <w:spacing w:before="65"/>
              <w:ind w:left="7"/>
              <w:jc w:val="center"/>
              <w:rPr>
                <w:b/>
                <w:sz w:val="17"/>
              </w:rPr>
            </w:pPr>
            <w:r>
              <w:rPr>
                <w:b/>
                <w:color w:val="FFFFFF"/>
                <w:spacing w:val="-5"/>
                <w:sz w:val="17"/>
              </w:rPr>
              <w:t>Nº</w:t>
            </w:r>
          </w:p>
        </w:tc>
        <w:tc>
          <w:tcPr>
            <w:tcW w:w="1182" w:type="dxa"/>
            <w:tcBorders>
              <w:top w:val="nil"/>
              <w:left w:val="nil"/>
              <w:bottom w:val="nil"/>
              <w:right w:val="nil"/>
            </w:tcBorders>
            <w:shd w:val="clear" w:color="auto" w:fill="002D5D"/>
          </w:tcPr>
          <w:p>
            <w:pPr>
              <w:pStyle w:val="TableParagraph"/>
              <w:spacing w:before="65"/>
              <w:ind w:left="234"/>
              <w:rPr>
                <w:b/>
                <w:sz w:val="17"/>
              </w:rPr>
            </w:pPr>
            <w:r>
              <w:rPr>
                <w:b/>
                <w:color w:val="FFFFFF"/>
                <w:sz w:val="17"/>
              </w:rPr>
              <w:t>Importe</w:t>
            </w:r>
            <w:r>
              <w:rPr>
                <w:b/>
                <w:color w:val="FFFFFF"/>
                <w:spacing w:val="-3"/>
                <w:sz w:val="17"/>
              </w:rPr>
              <w:t> </w:t>
            </w:r>
            <w:r>
              <w:rPr>
                <w:b/>
                <w:color w:val="FFFFFF"/>
                <w:spacing w:val="-5"/>
                <w:sz w:val="17"/>
              </w:rPr>
              <w:t>(€)</w:t>
            </w:r>
          </w:p>
        </w:tc>
        <w:tc>
          <w:tcPr>
            <w:tcW w:w="411" w:type="dxa"/>
            <w:tcBorders>
              <w:top w:val="nil"/>
              <w:left w:val="nil"/>
              <w:bottom w:val="nil"/>
              <w:right w:val="nil"/>
            </w:tcBorders>
            <w:shd w:val="clear" w:color="auto" w:fill="002D5D"/>
          </w:tcPr>
          <w:p>
            <w:pPr>
              <w:pStyle w:val="TableParagraph"/>
              <w:spacing w:before="65"/>
              <w:ind w:left="7"/>
              <w:jc w:val="center"/>
              <w:rPr>
                <w:b/>
                <w:sz w:val="17"/>
              </w:rPr>
            </w:pPr>
            <w:r>
              <w:rPr>
                <w:b/>
                <w:color w:val="FFFFFF"/>
                <w:spacing w:val="-5"/>
                <w:sz w:val="17"/>
              </w:rPr>
              <w:t>Nº</w:t>
            </w:r>
          </w:p>
        </w:tc>
        <w:tc>
          <w:tcPr>
            <w:tcW w:w="1109" w:type="dxa"/>
            <w:tcBorders>
              <w:top w:val="nil"/>
              <w:left w:val="nil"/>
              <w:bottom w:val="nil"/>
              <w:right w:val="nil"/>
            </w:tcBorders>
            <w:shd w:val="clear" w:color="auto" w:fill="002D5D"/>
          </w:tcPr>
          <w:p>
            <w:pPr>
              <w:pStyle w:val="TableParagraph"/>
              <w:spacing w:before="65"/>
              <w:ind w:left="197"/>
              <w:rPr>
                <w:b/>
                <w:sz w:val="17"/>
              </w:rPr>
            </w:pPr>
            <w:r>
              <w:rPr>
                <w:b/>
                <w:color w:val="FFFFFF"/>
                <w:sz w:val="17"/>
              </w:rPr>
              <w:t>Importe</w:t>
            </w:r>
            <w:r>
              <w:rPr>
                <w:b/>
                <w:color w:val="FFFFFF"/>
                <w:spacing w:val="-3"/>
                <w:sz w:val="17"/>
              </w:rPr>
              <w:t> </w:t>
            </w:r>
            <w:r>
              <w:rPr>
                <w:b/>
                <w:color w:val="FFFFFF"/>
                <w:spacing w:val="-5"/>
                <w:sz w:val="17"/>
              </w:rPr>
              <w:t>(€)</w:t>
            </w:r>
          </w:p>
        </w:tc>
        <w:tc>
          <w:tcPr>
            <w:tcW w:w="411" w:type="dxa"/>
            <w:tcBorders>
              <w:top w:val="nil"/>
              <w:left w:val="nil"/>
              <w:bottom w:val="nil"/>
              <w:right w:val="nil"/>
            </w:tcBorders>
            <w:shd w:val="clear" w:color="auto" w:fill="002D5D"/>
          </w:tcPr>
          <w:p>
            <w:pPr>
              <w:pStyle w:val="TableParagraph"/>
              <w:spacing w:before="65"/>
              <w:ind w:left="6"/>
              <w:jc w:val="center"/>
              <w:rPr>
                <w:b/>
                <w:sz w:val="17"/>
              </w:rPr>
            </w:pPr>
            <w:r>
              <w:rPr>
                <w:b/>
                <w:color w:val="FFFFFF"/>
                <w:spacing w:val="-5"/>
                <w:sz w:val="17"/>
              </w:rPr>
              <w:t>Nº</w:t>
            </w:r>
          </w:p>
        </w:tc>
        <w:tc>
          <w:tcPr>
            <w:tcW w:w="1032" w:type="dxa"/>
            <w:tcBorders>
              <w:top w:val="nil"/>
              <w:left w:val="nil"/>
              <w:bottom w:val="nil"/>
              <w:right w:val="nil"/>
            </w:tcBorders>
            <w:shd w:val="clear" w:color="auto" w:fill="002D5D"/>
          </w:tcPr>
          <w:p>
            <w:pPr>
              <w:pStyle w:val="TableParagraph"/>
              <w:spacing w:before="65"/>
              <w:ind w:left="4"/>
              <w:jc w:val="center"/>
              <w:rPr>
                <w:b/>
                <w:sz w:val="17"/>
              </w:rPr>
            </w:pPr>
            <w:r>
              <w:rPr>
                <w:b/>
                <w:color w:val="FFFFFF"/>
                <w:sz w:val="17"/>
              </w:rPr>
              <w:t>Importe</w:t>
            </w:r>
            <w:r>
              <w:rPr>
                <w:b/>
                <w:color w:val="FFFFFF"/>
                <w:spacing w:val="-3"/>
                <w:sz w:val="17"/>
              </w:rPr>
              <w:t> </w:t>
            </w:r>
            <w:r>
              <w:rPr>
                <w:b/>
                <w:color w:val="FFFFFF"/>
                <w:spacing w:val="-5"/>
                <w:sz w:val="17"/>
              </w:rPr>
              <w:t>(€)</w:t>
            </w:r>
          </w:p>
        </w:tc>
        <w:tc>
          <w:tcPr>
            <w:tcW w:w="408" w:type="dxa"/>
            <w:tcBorders>
              <w:top w:val="nil"/>
              <w:left w:val="nil"/>
              <w:bottom w:val="nil"/>
              <w:right w:val="nil"/>
            </w:tcBorders>
            <w:shd w:val="clear" w:color="auto" w:fill="002D5D"/>
          </w:tcPr>
          <w:p>
            <w:pPr>
              <w:pStyle w:val="TableParagraph"/>
              <w:spacing w:before="65"/>
              <w:ind w:left="3"/>
              <w:jc w:val="center"/>
              <w:rPr>
                <w:b/>
                <w:sz w:val="17"/>
              </w:rPr>
            </w:pPr>
            <w:r>
              <w:rPr>
                <w:b/>
                <w:color w:val="FFFFFF"/>
                <w:spacing w:val="-5"/>
                <w:sz w:val="17"/>
              </w:rPr>
              <w:t>Nº</w:t>
            </w:r>
          </w:p>
        </w:tc>
        <w:tc>
          <w:tcPr>
            <w:tcW w:w="956" w:type="dxa"/>
            <w:tcBorders>
              <w:top w:val="nil"/>
              <w:left w:val="nil"/>
              <w:bottom w:val="nil"/>
              <w:right w:val="nil"/>
            </w:tcBorders>
            <w:shd w:val="clear" w:color="auto" w:fill="002D5D"/>
          </w:tcPr>
          <w:p>
            <w:pPr>
              <w:pStyle w:val="TableParagraph"/>
              <w:spacing w:before="65"/>
              <w:ind w:right="115"/>
              <w:jc w:val="right"/>
              <w:rPr>
                <w:b/>
                <w:sz w:val="17"/>
              </w:rPr>
            </w:pPr>
            <w:r>
              <w:rPr>
                <w:b/>
                <w:color w:val="FFFFFF"/>
                <w:sz w:val="17"/>
              </w:rPr>
              <w:t>Importe</w:t>
            </w:r>
            <w:r>
              <w:rPr>
                <w:b/>
                <w:color w:val="FFFFFF"/>
                <w:spacing w:val="-3"/>
                <w:sz w:val="17"/>
              </w:rPr>
              <w:t> </w:t>
            </w:r>
            <w:r>
              <w:rPr>
                <w:b/>
                <w:color w:val="FFFFFF"/>
                <w:spacing w:val="-5"/>
                <w:sz w:val="17"/>
              </w:rPr>
              <w:t>(€)</w:t>
            </w:r>
          </w:p>
        </w:tc>
        <w:tc>
          <w:tcPr>
            <w:tcW w:w="293" w:type="dxa"/>
            <w:tcBorders>
              <w:top w:val="nil"/>
              <w:left w:val="nil"/>
              <w:bottom w:val="nil"/>
              <w:right w:val="nil"/>
            </w:tcBorders>
            <w:shd w:val="clear" w:color="auto" w:fill="002D5D"/>
          </w:tcPr>
          <w:p>
            <w:pPr>
              <w:pStyle w:val="TableParagraph"/>
              <w:spacing w:before="65"/>
              <w:ind w:left="33" w:right="30"/>
              <w:jc w:val="center"/>
              <w:rPr>
                <w:b/>
                <w:sz w:val="17"/>
              </w:rPr>
            </w:pPr>
            <w:r>
              <w:rPr>
                <w:b/>
                <w:color w:val="FFFFFF"/>
                <w:spacing w:val="-5"/>
                <w:sz w:val="17"/>
              </w:rPr>
              <w:t>Nº</w:t>
            </w:r>
          </w:p>
        </w:tc>
        <w:tc>
          <w:tcPr>
            <w:tcW w:w="955" w:type="dxa"/>
            <w:tcBorders>
              <w:top w:val="nil"/>
              <w:left w:val="nil"/>
              <w:bottom w:val="nil"/>
              <w:right w:val="nil"/>
            </w:tcBorders>
            <w:shd w:val="clear" w:color="auto" w:fill="002D5D"/>
          </w:tcPr>
          <w:p>
            <w:pPr>
              <w:pStyle w:val="TableParagraph"/>
              <w:spacing w:before="65"/>
              <w:ind w:left="119"/>
              <w:rPr>
                <w:b/>
                <w:sz w:val="17"/>
              </w:rPr>
            </w:pPr>
            <w:r>
              <w:rPr>
                <w:b/>
                <w:color w:val="FFFFFF"/>
                <w:sz w:val="17"/>
              </w:rPr>
              <w:t>Importe</w:t>
            </w:r>
            <w:r>
              <w:rPr>
                <w:b/>
                <w:color w:val="FFFFFF"/>
                <w:spacing w:val="-3"/>
                <w:sz w:val="17"/>
              </w:rPr>
              <w:t> </w:t>
            </w:r>
            <w:r>
              <w:rPr>
                <w:b/>
                <w:color w:val="FFFFFF"/>
                <w:spacing w:val="-5"/>
                <w:sz w:val="17"/>
              </w:rPr>
              <w:t>(€)</w:t>
            </w:r>
          </w:p>
        </w:tc>
        <w:tc>
          <w:tcPr>
            <w:tcW w:w="430" w:type="dxa"/>
            <w:tcBorders>
              <w:top w:val="nil"/>
              <w:left w:val="nil"/>
              <w:bottom w:val="nil"/>
              <w:right w:val="nil"/>
            </w:tcBorders>
            <w:shd w:val="clear" w:color="auto" w:fill="002D5D"/>
          </w:tcPr>
          <w:p>
            <w:pPr>
              <w:pStyle w:val="TableParagraph"/>
              <w:spacing w:before="65"/>
              <w:ind w:right="134"/>
              <w:jc w:val="right"/>
              <w:rPr>
                <w:b/>
                <w:sz w:val="17"/>
              </w:rPr>
            </w:pPr>
            <w:r>
              <w:rPr>
                <w:b/>
                <w:color w:val="FFFFFF"/>
                <w:spacing w:val="-5"/>
                <w:sz w:val="17"/>
              </w:rPr>
              <w:t>Nº</w:t>
            </w:r>
          </w:p>
        </w:tc>
        <w:tc>
          <w:tcPr>
            <w:tcW w:w="1111" w:type="dxa"/>
            <w:tcBorders>
              <w:top w:val="nil"/>
              <w:left w:val="nil"/>
              <w:bottom w:val="nil"/>
              <w:right w:val="nil"/>
            </w:tcBorders>
            <w:shd w:val="clear" w:color="auto" w:fill="002D5D"/>
          </w:tcPr>
          <w:p>
            <w:pPr>
              <w:pStyle w:val="TableParagraph"/>
              <w:spacing w:before="65"/>
              <w:ind w:left="196"/>
              <w:rPr>
                <w:b/>
                <w:sz w:val="17"/>
              </w:rPr>
            </w:pPr>
            <w:r>
              <w:rPr>
                <w:b/>
                <w:color w:val="FFFFFF"/>
                <w:sz w:val="17"/>
              </w:rPr>
              <w:t>Importe</w:t>
            </w:r>
            <w:r>
              <w:rPr>
                <w:b/>
                <w:color w:val="FFFFFF"/>
                <w:spacing w:val="-3"/>
                <w:sz w:val="17"/>
              </w:rPr>
              <w:t> </w:t>
            </w:r>
            <w:r>
              <w:rPr>
                <w:b/>
                <w:color w:val="FFFFFF"/>
                <w:spacing w:val="-5"/>
                <w:sz w:val="17"/>
              </w:rPr>
              <w:t>(€)</w:t>
            </w:r>
          </w:p>
        </w:tc>
      </w:tr>
      <w:tr>
        <w:trPr>
          <w:trHeight w:val="340" w:hRule="atLeast"/>
        </w:trPr>
        <w:tc>
          <w:tcPr>
            <w:tcW w:w="1419" w:type="dxa"/>
            <w:tcBorders>
              <w:top w:val="nil"/>
              <w:bottom w:val="single" w:sz="8" w:space="0" w:color="002D5D"/>
              <w:right w:val="single" w:sz="4" w:space="0" w:color="000000"/>
            </w:tcBorders>
          </w:tcPr>
          <w:p>
            <w:pPr>
              <w:pStyle w:val="TableParagraph"/>
              <w:spacing w:before="71"/>
              <w:ind w:left="126"/>
              <w:rPr>
                <w:b/>
                <w:sz w:val="17"/>
              </w:rPr>
            </w:pPr>
            <w:r>
              <w:rPr>
                <w:b/>
                <w:spacing w:val="-2"/>
                <w:sz w:val="17"/>
              </w:rPr>
              <w:t>ALICANTE</w:t>
            </w:r>
          </w:p>
        </w:tc>
        <w:tc>
          <w:tcPr>
            <w:tcW w:w="437" w:type="dxa"/>
            <w:tcBorders>
              <w:top w:val="nil"/>
              <w:left w:val="single" w:sz="4" w:space="0" w:color="000000"/>
              <w:bottom w:val="single" w:sz="8" w:space="0" w:color="002D5D"/>
              <w:right w:val="single" w:sz="4" w:space="0" w:color="000000"/>
            </w:tcBorders>
          </w:tcPr>
          <w:p>
            <w:pPr>
              <w:pStyle w:val="TableParagraph"/>
              <w:spacing w:before="71"/>
              <w:jc w:val="center"/>
              <w:rPr>
                <w:sz w:val="17"/>
              </w:rPr>
            </w:pPr>
            <w:r>
              <w:rPr>
                <w:spacing w:val="-10"/>
                <w:sz w:val="17"/>
              </w:rPr>
              <w:t>2</w:t>
            </w:r>
          </w:p>
        </w:tc>
        <w:tc>
          <w:tcPr>
            <w:tcW w:w="1182" w:type="dxa"/>
            <w:tcBorders>
              <w:top w:val="nil"/>
              <w:left w:val="single" w:sz="4" w:space="0" w:color="000000"/>
              <w:bottom w:val="single" w:sz="8" w:space="0" w:color="002D5D"/>
              <w:right w:val="single" w:sz="4" w:space="0" w:color="000000"/>
            </w:tcBorders>
          </w:tcPr>
          <w:p>
            <w:pPr>
              <w:pStyle w:val="TableParagraph"/>
              <w:spacing w:before="71"/>
              <w:ind w:right="58"/>
              <w:jc w:val="right"/>
              <w:rPr>
                <w:sz w:val="17"/>
              </w:rPr>
            </w:pPr>
            <w:r>
              <w:rPr>
                <w:spacing w:val="-2"/>
                <w:sz w:val="17"/>
              </w:rPr>
              <w:t>15.262.188,98</w:t>
            </w:r>
          </w:p>
        </w:tc>
        <w:tc>
          <w:tcPr>
            <w:tcW w:w="411" w:type="dxa"/>
            <w:tcBorders>
              <w:top w:val="nil"/>
              <w:left w:val="single" w:sz="4" w:space="0" w:color="000000"/>
              <w:bottom w:val="single" w:sz="8" w:space="0" w:color="002D5D"/>
              <w:right w:val="single" w:sz="4" w:space="0" w:color="000000"/>
            </w:tcBorders>
          </w:tcPr>
          <w:p>
            <w:pPr>
              <w:pStyle w:val="TableParagraph"/>
              <w:spacing w:before="71"/>
              <w:ind w:right="21"/>
              <w:jc w:val="center"/>
              <w:rPr>
                <w:sz w:val="17"/>
              </w:rPr>
            </w:pPr>
            <w:r>
              <w:rPr>
                <w:spacing w:val="-10"/>
                <w:sz w:val="17"/>
              </w:rPr>
              <w:t>0</w:t>
            </w:r>
          </w:p>
        </w:tc>
        <w:tc>
          <w:tcPr>
            <w:tcW w:w="1109" w:type="dxa"/>
            <w:tcBorders>
              <w:top w:val="nil"/>
              <w:left w:val="single" w:sz="4" w:space="0" w:color="000000"/>
              <w:bottom w:val="single" w:sz="8" w:space="0" w:color="002D5D"/>
              <w:right w:val="single" w:sz="4" w:space="0" w:color="000000"/>
            </w:tcBorders>
          </w:tcPr>
          <w:p>
            <w:pPr>
              <w:pStyle w:val="TableParagraph"/>
              <w:spacing w:before="71"/>
              <w:ind w:right="61"/>
              <w:jc w:val="right"/>
              <w:rPr>
                <w:sz w:val="17"/>
              </w:rPr>
            </w:pPr>
            <w:r>
              <w:rPr>
                <w:spacing w:val="-4"/>
                <w:sz w:val="17"/>
              </w:rPr>
              <w:t>0,00</w:t>
            </w:r>
          </w:p>
        </w:tc>
        <w:tc>
          <w:tcPr>
            <w:tcW w:w="411" w:type="dxa"/>
            <w:tcBorders>
              <w:top w:val="nil"/>
              <w:left w:val="single" w:sz="4" w:space="0" w:color="000000"/>
              <w:bottom w:val="single" w:sz="8" w:space="0" w:color="002D5D"/>
              <w:right w:val="single" w:sz="4" w:space="0" w:color="000000"/>
            </w:tcBorders>
          </w:tcPr>
          <w:p>
            <w:pPr>
              <w:pStyle w:val="TableParagraph"/>
              <w:spacing w:before="71"/>
              <w:ind w:right="22"/>
              <w:jc w:val="center"/>
              <w:rPr>
                <w:sz w:val="17"/>
              </w:rPr>
            </w:pPr>
            <w:r>
              <w:rPr>
                <w:spacing w:val="-10"/>
                <w:sz w:val="17"/>
              </w:rPr>
              <w:t>1</w:t>
            </w:r>
          </w:p>
        </w:tc>
        <w:tc>
          <w:tcPr>
            <w:tcW w:w="1032" w:type="dxa"/>
            <w:tcBorders>
              <w:top w:val="nil"/>
              <w:left w:val="single" w:sz="4" w:space="0" w:color="000000"/>
              <w:bottom w:val="single" w:sz="8" w:space="0" w:color="002D5D"/>
              <w:right w:val="single" w:sz="4" w:space="0" w:color="000000"/>
            </w:tcBorders>
          </w:tcPr>
          <w:p>
            <w:pPr>
              <w:pStyle w:val="TableParagraph"/>
              <w:spacing w:before="71"/>
              <w:ind w:left="83"/>
              <w:jc w:val="center"/>
              <w:rPr>
                <w:sz w:val="17"/>
              </w:rPr>
            </w:pPr>
            <w:r>
              <w:rPr>
                <w:spacing w:val="-2"/>
                <w:sz w:val="17"/>
              </w:rPr>
              <w:t>3.257.077,51</w:t>
            </w:r>
          </w:p>
        </w:tc>
        <w:tc>
          <w:tcPr>
            <w:tcW w:w="408" w:type="dxa"/>
            <w:tcBorders>
              <w:top w:val="nil"/>
              <w:left w:val="single" w:sz="4" w:space="0" w:color="000000"/>
              <w:bottom w:val="single" w:sz="8" w:space="0" w:color="002D5D"/>
              <w:right w:val="single" w:sz="4" w:space="0" w:color="000000"/>
            </w:tcBorders>
          </w:tcPr>
          <w:p>
            <w:pPr>
              <w:pStyle w:val="TableParagraph"/>
              <w:spacing w:before="71"/>
              <w:ind w:right="25"/>
              <w:jc w:val="center"/>
              <w:rPr>
                <w:sz w:val="17"/>
              </w:rPr>
            </w:pPr>
            <w:r>
              <w:rPr>
                <w:spacing w:val="-10"/>
                <w:sz w:val="17"/>
              </w:rPr>
              <w:t>1</w:t>
            </w:r>
          </w:p>
        </w:tc>
        <w:tc>
          <w:tcPr>
            <w:tcW w:w="956" w:type="dxa"/>
            <w:tcBorders>
              <w:top w:val="nil"/>
              <w:left w:val="single" w:sz="4" w:space="0" w:color="000000"/>
              <w:bottom w:val="single" w:sz="8" w:space="0" w:color="002D5D"/>
              <w:right w:val="single" w:sz="4" w:space="0" w:color="000000"/>
            </w:tcBorders>
          </w:tcPr>
          <w:p>
            <w:pPr>
              <w:pStyle w:val="TableParagraph"/>
              <w:spacing w:before="71"/>
              <w:ind w:right="62"/>
              <w:jc w:val="right"/>
              <w:rPr>
                <w:sz w:val="17"/>
              </w:rPr>
            </w:pPr>
            <w:r>
              <w:rPr>
                <w:spacing w:val="-2"/>
                <w:sz w:val="17"/>
              </w:rPr>
              <w:t>59.195,03</w:t>
            </w:r>
          </w:p>
        </w:tc>
        <w:tc>
          <w:tcPr>
            <w:tcW w:w="293" w:type="dxa"/>
            <w:tcBorders>
              <w:top w:val="nil"/>
              <w:left w:val="single" w:sz="4" w:space="0" w:color="000000"/>
              <w:bottom w:val="single" w:sz="8" w:space="0" w:color="002D5D"/>
              <w:right w:val="single" w:sz="4" w:space="0" w:color="000000"/>
            </w:tcBorders>
          </w:tcPr>
          <w:p>
            <w:pPr>
              <w:pStyle w:val="TableParagraph"/>
              <w:spacing w:before="71"/>
              <w:ind w:right="30"/>
              <w:jc w:val="center"/>
              <w:rPr>
                <w:sz w:val="17"/>
              </w:rPr>
            </w:pPr>
            <w:r>
              <w:rPr>
                <w:spacing w:val="-10"/>
                <w:sz w:val="17"/>
              </w:rPr>
              <w:t>3</w:t>
            </w:r>
          </w:p>
        </w:tc>
        <w:tc>
          <w:tcPr>
            <w:tcW w:w="955" w:type="dxa"/>
            <w:tcBorders>
              <w:top w:val="nil"/>
              <w:left w:val="single" w:sz="4" w:space="0" w:color="000000"/>
              <w:bottom w:val="single" w:sz="8" w:space="0" w:color="002D5D"/>
              <w:right w:val="single" w:sz="4" w:space="0" w:color="000000"/>
            </w:tcBorders>
          </w:tcPr>
          <w:p>
            <w:pPr>
              <w:pStyle w:val="TableParagraph"/>
              <w:spacing w:before="71"/>
              <w:ind w:left="69"/>
              <w:rPr>
                <w:sz w:val="17"/>
              </w:rPr>
            </w:pPr>
            <w:r>
              <w:rPr>
                <w:spacing w:val="-2"/>
                <w:sz w:val="17"/>
              </w:rPr>
              <w:t>3.837.858,80</w:t>
            </w:r>
          </w:p>
        </w:tc>
        <w:tc>
          <w:tcPr>
            <w:tcW w:w="430" w:type="dxa"/>
            <w:tcBorders>
              <w:top w:val="nil"/>
              <w:left w:val="single" w:sz="4" w:space="0" w:color="000000"/>
              <w:bottom w:val="single" w:sz="8" w:space="0" w:color="002D5D"/>
              <w:right w:val="single" w:sz="4" w:space="0" w:color="000000"/>
            </w:tcBorders>
          </w:tcPr>
          <w:p>
            <w:pPr>
              <w:pStyle w:val="TableParagraph"/>
              <w:spacing w:before="71"/>
              <w:ind w:right="117"/>
              <w:jc w:val="right"/>
              <w:rPr>
                <w:sz w:val="17"/>
              </w:rPr>
            </w:pPr>
            <w:r>
              <w:rPr>
                <w:spacing w:val="-10"/>
                <w:sz w:val="17"/>
              </w:rPr>
              <w:t>7</w:t>
            </w:r>
          </w:p>
        </w:tc>
        <w:tc>
          <w:tcPr>
            <w:tcW w:w="1111" w:type="dxa"/>
            <w:tcBorders>
              <w:top w:val="nil"/>
              <w:left w:val="single" w:sz="4" w:space="0" w:color="000000"/>
              <w:bottom w:val="single" w:sz="8" w:space="0" w:color="002D5D"/>
              <w:right w:val="single" w:sz="4" w:space="0" w:color="000000"/>
            </w:tcBorders>
          </w:tcPr>
          <w:p>
            <w:pPr>
              <w:pStyle w:val="TableParagraph"/>
              <w:spacing w:before="71"/>
              <w:ind w:right="61"/>
              <w:jc w:val="right"/>
              <w:rPr>
                <w:sz w:val="17"/>
              </w:rPr>
            </w:pPr>
            <w:r>
              <w:rPr>
                <w:spacing w:val="-2"/>
                <w:sz w:val="17"/>
              </w:rPr>
              <w:t>22.416.320,32</w:t>
            </w:r>
          </w:p>
        </w:tc>
      </w:tr>
      <w:tr>
        <w:trPr>
          <w:trHeight w:val="340" w:hRule="atLeast"/>
        </w:trPr>
        <w:tc>
          <w:tcPr>
            <w:tcW w:w="1419" w:type="dxa"/>
            <w:tcBorders>
              <w:top w:val="single" w:sz="8" w:space="0" w:color="002D5D"/>
              <w:bottom w:val="single" w:sz="8" w:space="0" w:color="002D5D"/>
              <w:right w:val="single" w:sz="4" w:space="0" w:color="000000"/>
            </w:tcBorders>
          </w:tcPr>
          <w:p>
            <w:pPr>
              <w:pStyle w:val="TableParagraph"/>
              <w:spacing w:before="70"/>
              <w:ind w:left="126"/>
              <w:rPr>
                <w:b/>
                <w:sz w:val="17"/>
              </w:rPr>
            </w:pPr>
            <w:r>
              <w:rPr>
                <w:b/>
                <w:spacing w:val="-2"/>
                <w:sz w:val="17"/>
              </w:rPr>
              <w:t>BILBAO</w:t>
            </w:r>
          </w:p>
        </w:tc>
        <w:tc>
          <w:tcPr>
            <w:tcW w:w="437" w:type="dxa"/>
            <w:tcBorders>
              <w:top w:val="single" w:sz="8" w:space="0" w:color="002D5D"/>
              <w:left w:val="single" w:sz="4" w:space="0" w:color="000000"/>
              <w:bottom w:val="single" w:sz="8" w:space="0" w:color="002D5D"/>
              <w:right w:val="single" w:sz="4" w:space="0" w:color="000000"/>
            </w:tcBorders>
          </w:tcPr>
          <w:p>
            <w:pPr>
              <w:pStyle w:val="TableParagraph"/>
              <w:spacing w:before="70"/>
              <w:jc w:val="center"/>
              <w:rPr>
                <w:sz w:val="17"/>
              </w:rPr>
            </w:pPr>
            <w:r>
              <w:rPr>
                <w:spacing w:val="-10"/>
                <w:sz w:val="17"/>
              </w:rPr>
              <w:t>2</w:t>
            </w:r>
          </w:p>
        </w:tc>
        <w:tc>
          <w:tcPr>
            <w:tcW w:w="1182" w:type="dxa"/>
            <w:tcBorders>
              <w:top w:val="single" w:sz="8" w:space="0" w:color="002D5D"/>
              <w:left w:val="single" w:sz="4" w:space="0" w:color="000000"/>
              <w:bottom w:val="single" w:sz="8" w:space="0" w:color="002D5D"/>
              <w:right w:val="single" w:sz="4" w:space="0" w:color="000000"/>
            </w:tcBorders>
          </w:tcPr>
          <w:p>
            <w:pPr>
              <w:pStyle w:val="TableParagraph"/>
              <w:spacing w:before="70"/>
              <w:ind w:right="58"/>
              <w:jc w:val="right"/>
              <w:rPr>
                <w:sz w:val="17"/>
              </w:rPr>
            </w:pPr>
            <w:r>
              <w:rPr>
                <w:spacing w:val="-2"/>
                <w:sz w:val="17"/>
              </w:rPr>
              <w:t>6.967.883,58</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0"/>
              <w:ind w:right="21"/>
              <w:jc w:val="center"/>
              <w:rPr>
                <w:sz w:val="17"/>
              </w:rPr>
            </w:pPr>
            <w:r>
              <w:rPr>
                <w:spacing w:val="-10"/>
                <w:sz w:val="17"/>
              </w:rPr>
              <w:t>1</w:t>
            </w:r>
          </w:p>
        </w:tc>
        <w:tc>
          <w:tcPr>
            <w:tcW w:w="1109" w:type="dxa"/>
            <w:tcBorders>
              <w:top w:val="single" w:sz="8" w:space="0" w:color="002D5D"/>
              <w:left w:val="single" w:sz="4" w:space="0" w:color="000000"/>
              <w:bottom w:val="single" w:sz="8" w:space="0" w:color="002D5D"/>
              <w:right w:val="single" w:sz="4" w:space="0" w:color="000000"/>
            </w:tcBorders>
          </w:tcPr>
          <w:p>
            <w:pPr>
              <w:pStyle w:val="TableParagraph"/>
              <w:spacing w:before="70"/>
              <w:ind w:right="61"/>
              <w:jc w:val="right"/>
              <w:rPr>
                <w:sz w:val="17"/>
              </w:rPr>
            </w:pPr>
            <w:r>
              <w:rPr>
                <w:spacing w:val="-2"/>
                <w:sz w:val="17"/>
              </w:rPr>
              <w:t>493.443,59</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0"/>
              <w:ind w:right="22"/>
              <w:jc w:val="center"/>
              <w:rPr>
                <w:sz w:val="17"/>
              </w:rPr>
            </w:pPr>
            <w:r>
              <w:rPr>
                <w:spacing w:val="-10"/>
                <w:sz w:val="17"/>
              </w:rPr>
              <w:t>2</w:t>
            </w:r>
          </w:p>
        </w:tc>
        <w:tc>
          <w:tcPr>
            <w:tcW w:w="1032" w:type="dxa"/>
            <w:tcBorders>
              <w:top w:val="single" w:sz="8" w:space="0" w:color="002D5D"/>
              <w:left w:val="single" w:sz="4" w:space="0" w:color="000000"/>
              <w:bottom w:val="single" w:sz="8" w:space="0" w:color="002D5D"/>
              <w:right w:val="single" w:sz="4" w:space="0" w:color="000000"/>
            </w:tcBorders>
          </w:tcPr>
          <w:p>
            <w:pPr>
              <w:pStyle w:val="TableParagraph"/>
              <w:spacing w:before="70"/>
              <w:ind w:left="198"/>
              <w:jc w:val="center"/>
              <w:rPr>
                <w:sz w:val="17"/>
              </w:rPr>
            </w:pPr>
            <w:r>
              <w:rPr>
                <w:spacing w:val="-2"/>
                <w:sz w:val="17"/>
              </w:rPr>
              <w:t>103.661,17</w:t>
            </w:r>
          </w:p>
        </w:tc>
        <w:tc>
          <w:tcPr>
            <w:tcW w:w="408" w:type="dxa"/>
            <w:tcBorders>
              <w:top w:val="single" w:sz="8" w:space="0" w:color="002D5D"/>
              <w:left w:val="single" w:sz="4" w:space="0" w:color="000000"/>
              <w:bottom w:val="single" w:sz="8" w:space="0" w:color="002D5D"/>
              <w:right w:val="single" w:sz="4" w:space="0" w:color="000000"/>
            </w:tcBorders>
          </w:tcPr>
          <w:p>
            <w:pPr>
              <w:pStyle w:val="TableParagraph"/>
              <w:spacing w:before="70"/>
              <w:ind w:right="25"/>
              <w:jc w:val="center"/>
              <w:rPr>
                <w:sz w:val="17"/>
              </w:rPr>
            </w:pPr>
            <w:r>
              <w:rPr>
                <w:spacing w:val="-10"/>
                <w:sz w:val="17"/>
              </w:rPr>
              <w:t>0</w:t>
            </w:r>
          </w:p>
        </w:tc>
        <w:tc>
          <w:tcPr>
            <w:tcW w:w="956" w:type="dxa"/>
            <w:tcBorders>
              <w:top w:val="single" w:sz="8" w:space="0" w:color="002D5D"/>
              <w:left w:val="single" w:sz="4" w:space="0" w:color="000000"/>
              <w:bottom w:val="single" w:sz="8" w:space="0" w:color="002D5D"/>
              <w:right w:val="single" w:sz="4" w:space="0" w:color="000000"/>
            </w:tcBorders>
          </w:tcPr>
          <w:p>
            <w:pPr>
              <w:pStyle w:val="TableParagraph"/>
              <w:spacing w:before="70"/>
              <w:ind w:right="61"/>
              <w:jc w:val="right"/>
              <w:rPr>
                <w:sz w:val="17"/>
              </w:rPr>
            </w:pPr>
            <w:r>
              <w:rPr>
                <w:spacing w:val="-4"/>
                <w:sz w:val="17"/>
              </w:rPr>
              <w:t>0,00</w:t>
            </w:r>
          </w:p>
        </w:tc>
        <w:tc>
          <w:tcPr>
            <w:tcW w:w="293" w:type="dxa"/>
            <w:tcBorders>
              <w:top w:val="single" w:sz="8" w:space="0" w:color="002D5D"/>
              <w:left w:val="single" w:sz="4" w:space="0" w:color="000000"/>
              <w:bottom w:val="single" w:sz="8" w:space="0" w:color="002D5D"/>
              <w:right w:val="single" w:sz="4" w:space="0" w:color="000000"/>
            </w:tcBorders>
          </w:tcPr>
          <w:p>
            <w:pPr>
              <w:pStyle w:val="TableParagraph"/>
              <w:spacing w:before="70"/>
              <w:ind w:right="30"/>
              <w:jc w:val="center"/>
              <w:rPr>
                <w:sz w:val="17"/>
              </w:rPr>
            </w:pPr>
            <w:r>
              <w:rPr>
                <w:spacing w:val="-10"/>
                <w:sz w:val="17"/>
              </w:rPr>
              <w:t>0</w:t>
            </w:r>
          </w:p>
        </w:tc>
        <w:tc>
          <w:tcPr>
            <w:tcW w:w="955" w:type="dxa"/>
            <w:tcBorders>
              <w:top w:val="single" w:sz="8" w:space="0" w:color="002D5D"/>
              <w:left w:val="single" w:sz="4" w:space="0" w:color="000000"/>
              <w:bottom w:val="single" w:sz="8" w:space="0" w:color="002D5D"/>
              <w:right w:val="single" w:sz="4" w:space="0" w:color="000000"/>
            </w:tcBorders>
          </w:tcPr>
          <w:p>
            <w:pPr>
              <w:pStyle w:val="TableParagraph"/>
              <w:spacing w:before="70"/>
              <w:ind w:right="61"/>
              <w:jc w:val="right"/>
              <w:rPr>
                <w:sz w:val="17"/>
              </w:rPr>
            </w:pPr>
            <w:r>
              <w:rPr>
                <w:spacing w:val="-4"/>
                <w:sz w:val="17"/>
              </w:rPr>
              <w:t>0,00</w:t>
            </w:r>
          </w:p>
        </w:tc>
        <w:tc>
          <w:tcPr>
            <w:tcW w:w="430" w:type="dxa"/>
            <w:tcBorders>
              <w:top w:val="single" w:sz="8" w:space="0" w:color="002D5D"/>
              <w:left w:val="single" w:sz="4" w:space="0" w:color="000000"/>
              <w:bottom w:val="single" w:sz="8" w:space="0" w:color="002D5D"/>
              <w:right w:val="single" w:sz="4" w:space="0" w:color="000000"/>
            </w:tcBorders>
          </w:tcPr>
          <w:p>
            <w:pPr>
              <w:pStyle w:val="TableParagraph"/>
              <w:spacing w:before="70"/>
              <w:ind w:right="117"/>
              <w:jc w:val="right"/>
              <w:rPr>
                <w:sz w:val="17"/>
              </w:rPr>
            </w:pPr>
            <w:r>
              <w:rPr>
                <w:spacing w:val="-10"/>
                <w:sz w:val="17"/>
              </w:rPr>
              <w:t>5</w:t>
            </w:r>
          </w:p>
        </w:tc>
        <w:tc>
          <w:tcPr>
            <w:tcW w:w="1111" w:type="dxa"/>
            <w:tcBorders>
              <w:top w:val="single" w:sz="8" w:space="0" w:color="002D5D"/>
              <w:left w:val="single" w:sz="4" w:space="0" w:color="000000"/>
              <w:bottom w:val="single" w:sz="8" w:space="0" w:color="002D5D"/>
              <w:right w:val="single" w:sz="4" w:space="0" w:color="000000"/>
            </w:tcBorders>
          </w:tcPr>
          <w:p>
            <w:pPr>
              <w:pStyle w:val="TableParagraph"/>
              <w:spacing w:before="70"/>
              <w:ind w:right="61"/>
              <w:jc w:val="right"/>
              <w:rPr>
                <w:sz w:val="17"/>
              </w:rPr>
            </w:pPr>
            <w:r>
              <w:rPr>
                <w:spacing w:val="-2"/>
                <w:sz w:val="17"/>
              </w:rPr>
              <w:t>7.564.988,34</w:t>
            </w:r>
          </w:p>
        </w:tc>
      </w:tr>
      <w:tr>
        <w:trPr>
          <w:trHeight w:val="340" w:hRule="atLeast"/>
        </w:trPr>
        <w:tc>
          <w:tcPr>
            <w:tcW w:w="1419" w:type="dxa"/>
            <w:tcBorders>
              <w:top w:val="single" w:sz="8" w:space="0" w:color="002D5D"/>
              <w:bottom w:val="single" w:sz="8" w:space="0" w:color="002D5D"/>
              <w:right w:val="single" w:sz="4" w:space="0" w:color="000000"/>
            </w:tcBorders>
          </w:tcPr>
          <w:p>
            <w:pPr>
              <w:pStyle w:val="TableParagraph"/>
              <w:spacing w:before="70"/>
              <w:ind w:left="126"/>
              <w:rPr>
                <w:b/>
                <w:sz w:val="17"/>
              </w:rPr>
            </w:pPr>
            <w:r>
              <w:rPr>
                <w:b/>
                <w:spacing w:val="-2"/>
                <w:sz w:val="17"/>
              </w:rPr>
              <w:t>CÓRDOBA</w:t>
            </w:r>
          </w:p>
        </w:tc>
        <w:tc>
          <w:tcPr>
            <w:tcW w:w="437" w:type="dxa"/>
            <w:tcBorders>
              <w:top w:val="single" w:sz="8" w:space="0" w:color="002D5D"/>
              <w:left w:val="single" w:sz="4" w:space="0" w:color="000000"/>
              <w:bottom w:val="single" w:sz="8" w:space="0" w:color="002D5D"/>
              <w:right w:val="single" w:sz="4" w:space="0" w:color="000000"/>
            </w:tcBorders>
          </w:tcPr>
          <w:p>
            <w:pPr>
              <w:pStyle w:val="TableParagraph"/>
              <w:spacing w:before="70"/>
              <w:jc w:val="center"/>
              <w:rPr>
                <w:sz w:val="17"/>
              </w:rPr>
            </w:pPr>
            <w:r>
              <w:rPr>
                <w:spacing w:val="-10"/>
                <w:sz w:val="17"/>
              </w:rPr>
              <w:t>1</w:t>
            </w:r>
          </w:p>
        </w:tc>
        <w:tc>
          <w:tcPr>
            <w:tcW w:w="1182" w:type="dxa"/>
            <w:tcBorders>
              <w:top w:val="single" w:sz="8" w:space="0" w:color="002D5D"/>
              <w:left w:val="single" w:sz="4" w:space="0" w:color="000000"/>
              <w:bottom w:val="single" w:sz="8" w:space="0" w:color="002D5D"/>
              <w:right w:val="single" w:sz="4" w:space="0" w:color="000000"/>
            </w:tcBorders>
          </w:tcPr>
          <w:p>
            <w:pPr>
              <w:pStyle w:val="TableParagraph"/>
              <w:spacing w:before="70"/>
              <w:ind w:right="58"/>
              <w:jc w:val="right"/>
              <w:rPr>
                <w:sz w:val="17"/>
              </w:rPr>
            </w:pPr>
            <w:r>
              <w:rPr>
                <w:spacing w:val="-2"/>
                <w:sz w:val="17"/>
              </w:rPr>
              <w:t>7.755.000,00</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0"/>
              <w:ind w:right="21"/>
              <w:jc w:val="center"/>
              <w:rPr>
                <w:sz w:val="17"/>
              </w:rPr>
            </w:pPr>
            <w:r>
              <w:rPr>
                <w:spacing w:val="-10"/>
                <w:sz w:val="17"/>
              </w:rPr>
              <w:t>2</w:t>
            </w:r>
          </w:p>
        </w:tc>
        <w:tc>
          <w:tcPr>
            <w:tcW w:w="1109" w:type="dxa"/>
            <w:tcBorders>
              <w:top w:val="single" w:sz="8" w:space="0" w:color="002D5D"/>
              <w:left w:val="single" w:sz="4" w:space="0" w:color="000000"/>
              <w:bottom w:val="single" w:sz="8" w:space="0" w:color="002D5D"/>
              <w:right w:val="single" w:sz="4" w:space="0" w:color="000000"/>
            </w:tcBorders>
          </w:tcPr>
          <w:p>
            <w:pPr>
              <w:pStyle w:val="TableParagraph"/>
              <w:spacing w:before="70"/>
              <w:ind w:right="61"/>
              <w:jc w:val="right"/>
              <w:rPr>
                <w:sz w:val="17"/>
              </w:rPr>
            </w:pPr>
            <w:r>
              <w:rPr>
                <w:spacing w:val="-2"/>
                <w:sz w:val="17"/>
              </w:rPr>
              <w:t>17.303,62</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0"/>
              <w:ind w:right="22"/>
              <w:jc w:val="center"/>
              <w:rPr>
                <w:sz w:val="17"/>
              </w:rPr>
            </w:pPr>
            <w:r>
              <w:rPr>
                <w:spacing w:val="-10"/>
                <w:sz w:val="17"/>
              </w:rPr>
              <w:t>3</w:t>
            </w:r>
          </w:p>
        </w:tc>
        <w:tc>
          <w:tcPr>
            <w:tcW w:w="1032" w:type="dxa"/>
            <w:tcBorders>
              <w:top w:val="single" w:sz="8" w:space="0" w:color="002D5D"/>
              <w:left w:val="single" w:sz="4" w:space="0" w:color="000000"/>
              <w:bottom w:val="single" w:sz="8" w:space="0" w:color="002D5D"/>
              <w:right w:val="single" w:sz="4" w:space="0" w:color="000000"/>
            </w:tcBorders>
          </w:tcPr>
          <w:p>
            <w:pPr>
              <w:pStyle w:val="TableParagraph"/>
              <w:spacing w:before="70"/>
              <w:ind w:left="83"/>
              <w:jc w:val="center"/>
              <w:rPr>
                <w:sz w:val="17"/>
              </w:rPr>
            </w:pPr>
            <w:r>
              <w:rPr>
                <w:spacing w:val="-2"/>
                <w:sz w:val="17"/>
              </w:rPr>
              <w:t>4.945.286,13</w:t>
            </w:r>
          </w:p>
        </w:tc>
        <w:tc>
          <w:tcPr>
            <w:tcW w:w="408" w:type="dxa"/>
            <w:tcBorders>
              <w:top w:val="single" w:sz="8" w:space="0" w:color="002D5D"/>
              <w:left w:val="single" w:sz="4" w:space="0" w:color="000000"/>
              <w:bottom w:val="single" w:sz="8" w:space="0" w:color="002D5D"/>
              <w:right w:val="single" w:sz="4" w:space="0" w:color="000000"/>
            </w:tcBorders>
          </w:tcPr>
          <w:p>
            <w:pPr>
              <w:pStyle w:val="TableParagraph"/>
              <w:spacing w:before="70"/>
              <w:ind w:right="25"/>
              <w:jc w:val="center"/>
              <w:rPr>
                <w:sz w:val="17"/>
              </w:rPr>
            </w:pPr>
            <w:r>
              <w:rPr>
                <w:spacing w:val="-10"/>
                <w:sz w:val="17"/>
              </w:rPr>
              <w:t>4</w:t>
            </w:r>
          </w:p>
        </w:tc>
        <w:tc>
          <w:tcPr>
            <w:tcW w:w="956" w:type="dxa"/>
            <w:tcBorders>
              <w:top w:val="single" w:sz="8" w:space="0" w:color="002D5D"/>
              <w:left w:val="single" w:sz="4" w:space="0" w:color="000000"/>
              <w:bottom w:val="single" w:sz="8" w:space="0" w:color="002D5D"/>
              <w:right w:val="single" w:sz="4" w:space="0" w:color="000000"/>
            </w:tcBorders>
          </w:tcPr>
          <w:p>
            <w:pPr>
              <w:pStyle w:val="TableParagraph"/>
              <w:spacing w:before="70"/>
              <w:ind w:right="62"/>
              <w:jc w:val="right"/>
              <w:rPr>
                <w:sz w:val="17"/>
              </w:rPr>
            </w:pPr>
            <w:r>
              <w:rPr>
                <w:spacing w:val="-2"/>
                <w:sz w:val="17"/>
              </w:rPr>
              <w:t>36.943,52</w:t>
            </w:r>
          </w:p>
        </w:tc>
        <w:tc>
          <w:tcPr>
            <w:tcW w:w="293" w:type="dxa"/>
            <w:tcBorders>
              <w:top w:val="single" w:sz="8" w:space="0" w:color="002D5D"/>
              <w:left w:val="single" w:sz="4" w:space="0" w:color="000000"/>
              <w:bottom w:val="single" w:sz="8" w:space="0" w:color="002D5D"/>
              <w:right w:val="single" w:sz="4" w:space="0" w:color="000000"/>
            </w:tcBorders>
          </w:tcPr>
          <w:p>
            <w:pPr>
              <w:pStyle w:val="TableParagraph"/>
              <w:spacing w:before="70"/>
              <w:ind w:right="30"/>
              <w:jc w:val="center"/>
              <w:rPr>
                <w:sz w:val="17"/>
              </w:rPr>
            </w:pPr>
            <w:r>
              <w:rPr>
                <w:spacing w:val="-10"/>
                <w:sz w:val="17"/>
              </w:rPr>
              <w:t>0</w:t>
            </w:r>
          </w:p>
        </w:tc>
        <w:tc>
          <w:tcPr>
            <w:tcW w:w="955" w:type="dxa"/>
            <w:tcBorders>
              <w:top w:val="single" w:sz="8" w:space="0" w:color="002D5D"/>
              <w:left w:val="single" w:sz="4" w:space="0" w:color="000000"/>
              <w:bottom w:val="single" w:sz="8" w:space="0" w:color="002D5D"/>
              <w:right w:val="single" w:sz="4" w:space="0" w:color="000000"/>
            </w:tcBorders>
          </w:tcPr>
          <w:p>
            <w:pPr>
              <w:pStyle w:val="TableParagraph"/>
              <w:spacing w:before="70"/>
              <w:ind w:right="61"/>
              <w:jc w:val="right"/>
              <w:rPr>
                <w:sz w:val="17"/>
              </w:rPr>
            </w:pPr>
            <w:r>
              <w:rPr>
                <w:spacing w:val="-4"/>
                <w:sz w:val="17"/>
              </w:rPr>
              <w:t>0,00</w:t>
            </w:r>
          </w:p>
        </w:tc>
        <w:tc>
          <w:tcPr>
            <w:tcW w:w="430" w:type="dxa"/>
            <w:tcBorders>
              <w:top w:val="single" w:sz="8" w:space="0" w:color="002D5D"/>
              <w:left w:val="single" w:sz="4" w:space="0" w:color="000000"/>
              <w:bottom w:val="single" w:sz="8" w:space="0" w:color="002D5D"/>
              <w:right w:val="single" w:sz="4" w:space="0" w:color="000000"/>
            </w:tcBorders>
          </w:tcPr>
          <w:p>
            <w:pPr>
              <w:pStyle w:val="TableParagraph"/>
              <w:spacing w:before="70"/>
              <w:ind w:right="120"/>
              <w:jc w:val="right"/>
              <w:rPr>
                <w:sz w:val="17"/>
              </w:rPr>
            </w:pPr>
            <w:r>
              <w:rPr>
                <w:spacing w:val="-5"/>
                <w:sz w:val="17"/>
              </w:rPr>
              <w:t>10</w:t>
            </w:r>
          </w:p>
        </w:tc>
        <w:tc>
          <w:tcPr>
            <w:tcW w:w="1111" w:type="dxa"/>
            <w:tcBorders>
              <w:top w:val="single" w:sz="8" w:space="0" w:color="002D5D"/>
              <w:left w:val="single" w:sz="4" w:space="0" w:color="000000"/>
              <w:bottom w:val="single" w:sz="8" w:space="0" w:color="002D5D"/>
              <w:right w:val="single" w:sz="4" w:space="0" w:color="000000"/>
            </w:tcBorders>
          </w:tcPr>
          <w:p>
            <w:pPr>
              <w:pStyle w:val="TableParagraph"/>
              <w:spacing w:before="70"/>
              <w:ind w:right="61"/>
              <w:jc w:val="right"/>
              <w:rPr>
                <w:sz w:val="17"/>
              </w:rPr>
            </w:pPr>
            <w:r>
              <w:rPr>
                <w:spacing w:val="-2"/>
                <w:sz w:val="17"/>
              </w:rPr>
              <w:t>12.754.533,27</w:t>
            </w:r>
          </w:p>
        </w:tc>
      </w:tr>
      <w:tr>
        <w:trPr>
          <w:trHeight w:val="387" w:hRule="atLeast"/>
        </w:trPr>
        <w:tc>
          <w:tcPr>
            <w:tcW w:w="1419" w:type="dxa"/>
            <w:tcBorders>
              <w:top w:val="single" w:sz="8" w:space="0" w:color="002D5D"/>
              <w:bottom w:val="single" w:sz="8" w:space="0" w:color="002D5D"/>
              <w:right w:val="single" w:sz="4" w:space="0" w:color="000000"/>
            </w:tcBorders>
          </w:tcPr>
          <w:p>
            <w:pPr>
              <w:pStyle w:val="TableParagraph"/>
              <w:spacing w:line="194" w:lineRule="exact"/>
              <w:ind w:left="126"/>
              <w:rPr>
                <w:b/>
                <w:sz w:val="17"/>
              </w:rPr>
            </w:pPr>
            <w:r>
              <w:rPr>
                <w:b/>
                <w:sz w:val="17"/>
              </w:rPr>
              <w:t>LAS</w:t>
            </w:r>
            <w:r>
              <w:rPr>
                <w:b/>
                <w:spacing w:val="-10"/>
                <w:sz w:val="17"/>
              </w:rPr>
              <w:t> </w:t>
            </w:r>
            <w:r>
              <w:rPr>
                <w:b/>
                <w:sz w:val="17"/>
              </w:rPr>
              <w:t>PALMAS</w:t>
            </w:r>
            <w:r>
              <w:rPr>
                <w:b/>
                <w:spacing w:val="-10"/>
                <w:sz w:val="17"/>
              </w:rPr>
              <w:t> </w:t>
            </w:r>
            <w:r>
              <w:rPr>
                <w:b/>
                <w:sz w:val="17"/>
              </w:rPr>
              <w:t>DE</w:t>
            </w:r>
            <w:r>
              <w:rPr>
                <w:b/>
                <w:spacing w:val="40"/>
                <w:sz w:val="17"/>
              </w:rPr>
              <w:t> </w:t>
            </w:r>
            <w:r>
              <w:rPr>
                <w:b/>
                <w:sz w:val="17"/>
              </w:rPr>
              <w:t>GRAN</w:t>
            </w:r>
            <w:r>
              <w:rPr>
                <w:b/>
                <w:spacing w:val="-2"/>
                <w:sz w:val="17"/>
              </w:rPr>
              <w:t> CANARIA</w:t>
            </w:r>
          </w:p>
        </w:tc>
        <w:tc>
          <w:tcPr>
            <w:tcW w:w="437" w:type="dxa"/>
            <w:tcBorders>
              <w:top w:val="single" w:sz="8" w:space="0" w:color="002D5D"/>
              <w:left w:val="single" w:sz="4" w:space="0" w:color="000000"/>
              <w:bottom w:val="single" w:sz="8" w:space="0" w:color="002D5D"/>
              <w:right w:val="single" w:sz="4" w:space="0" w:color="000000"/>
            </w:tcBorders>
          </w:tcPr>
          <w:p>
            <w:pPr>
              <w:pStyle w:val="TableParagraph"/>
              <w:spacing w:before="97"/>
              <w:jc w:val="center"/>
              <w:rPr>
                <w:sz w:val="17"/>
              </w:rPr>
            </w:pPr>
            <w:r>
              <w:rPr>
                <w:spacing w:val="-10"/>
                <w:sz w:val="17"/>
              </w:rPr>
              <w:t>2</w:t>
            </w:r>
          </w:p>
        </w:tc>
        <w:tc>
          <w:tcPr>
            <w:tcW w:w="1182" w:type="dxa"/>
            <w:tcBorders>
              <w:top w:val="single" w:sz="8" w:space="0" w:color="002D5D"/>
              <w:left w:val="single" w:sz="4" w:space="0" w:color="000000"/>
              <w:bottom w:val="single" w:sz="8" w:space="0" w:color="002D5D"/>
              <w:right w:val="single" w:sz="4" w:space="0" w:color="000000"/>
            </w:tcBorders>
          </w:tcPr>
          <w:p>
            <w:pPr>
              <w:pStyle w:val="TableParagraph"/>
              <w:spacing w:before="97"/>
              <w:ind w:right="58"/>
              <w:jc w:val="right"/>
              <w:rPr>
                <w:sz w:val="17"/>
              </w:rPr>
            </w:pPr>
            <w:r>
              <w:rPr>
                <w:spacing w:val="-2"/>
                <w:sz w:val="17"/>
              </w:rPr>
              <w:t>9.996.888,46</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97"/>
              <w:ind w:right="21"/>
              <w:jc w:val="center"/>
              <w:rPr>
                <w:sz w:val="17"/>
              </w:rPr>
            </w:pPr>
            <w:r>
              <w:rPr>
                <w:spacing w:val="-10"/>
                <w:sz w:val="17"/>
              </w:rPr>
              <w:t>4</w:t>
            </w:r>
          </w:p>
        </w:tc>
        <w:tc>
          <w:tcPr>
            <w:tcW w:w="1109" w:type="dxa"/>
            <w:tcBorders>
              <w:top w:val="single" w:sz="8" w:space="0" w:color="002D5D"/>
              <w:left w:val="single" w:sz="4" w:space="0" w:color="000000"/>
              <w:bottom w:val="single" w:sz="8" w:space="0" w:color="002D5D"/>
              <w:right w:val="single" w:sz="4" w:space="0" w:color="000000"/>
            </w:tcBorders>
          </w:tcPr>
          <w:p>
            <w:pPr>
              <w:pStyle w:val="TableParagraph"/>
              <w:spacing w:before="97"/>
              <w:ind w:right="61"/>
              <w:jc w:val="right"/>
              <w:rPr>
                <w:sz w:val="17"/>
              </w:rPr>
            </w:pPr>
            <w:r>
              <w:rPr>
                <w:spacing w:val="-2"/>
                <w:sz w:val="17"/>
              </w:rPr>
              <w:t>34.544.516,48</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97"/>
              <w:ind w:right="104"/>
              <w:jc w:val="center"/>
              <w:rPr>
                <w:sz w:val="17"/>
              </w:rPr>
            </w:pPr>
            <w:r>
              <w:rPr>
                <w:spacing w:val="-5"/>
                <w:sz w:val="17"/>
              </w:rPr>
              <w:t>12</w:t>
            </w:r>
          </w:p>
        </w:tc>
        <w:tc>
          <w:tcPr>
            <w:tcW w:w="1032" w:type="dxa"/>
            <w:tcBorders>
              <w:top w:val="single" w:sz="8" w:space="0" w:color="002D5D"/>
              <w:left w:val="single" w:sz="4" w:space="0" w:color="000000"/>
              <w:bottom w:val="single" w:sz="8" w:space="0" w:color="002D5D"/>
              <w:right w:val="single" w:sz="4" w:space="0" w:color="000000"/>
            </w:tcBorders>
          </w:tcPr>
          <w:p>
            <w:pPr>
              <w:pStyle w:val="TableParagraph"/>
              <w:spacing w:before="97"/>
              <w:ind w:left="83"/>
              <w:jc w:val="center"/>
              <w:rPr>
                <w:sz w:val="17"/>
              </w:rPr>
            </w:pPr>
            <w:r>
              <w:rPr>
                <w:spacing w:val="-2"/>
                <w:sz w:val="17"/>
              </w:rPr>
              <w:t>5.761.282,93</w:t>
            </w:r>
          </w:p>
        </w:tc>
        <w:tc>
          <w:tcPr>
            <w:tcW w:w="408" w:type="dxa"/>
            <w:tcBorders>
              <w:top w:val="single" w:sz="8" w:space="0" w:color="002D5D"/>
              <w:left w:val="single" w:sz="4" w:space="0" w:color="000000"/>
              <w:bottom w:val="single" w:sz="8" w:space="0" w:color="002D5D"/>
              <w:right w:val="single" w:sz="4" w:space="0" w:color="000000"/>
            </w:tcBorders>
          </w:tcPr>
          <w:p>
            <w:pPr>
              <w:pStyle w:val="TableParagraph"/>
              <w:spacing w:before="97"/>
              <w:ind w:right="25"/>
              <w:jc w:val="center"/>
              <w:rPr>
                <w:sz w:val="17"/>
              </w:rPr>
            </w:pPr>
            <w:r>
              <w:rPr>
                <w:spacing w:val="-10"/>
                <w:sz w:val="17"/>
              </w:rPr>
              <w:t>2</w:t>
            </w:r>
          </w:p>
        </w:tc>
        <w:tc>
          <w:tcPr>
            <w:tcW w:w="956" w:type="dxa"/>
            <w:tcBorders>
              <w:top w:val="single" w:sz="8" w:space="0" w:color="002D5D"/>
              <w:left w:val="single" w:sz="4" w:space="0" w:color="000000"/>
              <w:bottom w:val="single" w:sz="8" w:space="0" w:color="002D5D"/>
              <w:right w:val="single" w:sz="4" w:space="0" w:color="000000"/>
            </w:tcBorders>
          </w:tcPr>
          <w:p>
            <w:pPr>
              <w:pStyle w:val="TableParagraph"/>
              <w:spacing w:before="97"/>
              <w:ind w:right="62"/>
              <w:jc w:val="right"/>
              <w:rPr>
                <w:sz w:val="17"/>
              </w:rPr>
            </w:pPr>
            <w:r>
              <w:rPr>
                <w:spacing w:val="-2"/>
                <w:sz w:val="17"/>
              </w:rPr>
              <w:t>198.716,86</w:t>
            </w:r>
          </w:p>
        </w:tc>
        <w:tc>
          <w:tcPr>
            <w:tcW w:w="293" w:type="dxa"/>
            <w:tcBorders>
              <w:top w:val="single" w:sz="8" w:space="0" w:color="002D5D"/>
              <w:left w:val="single" w:sz="4" w:space="0" w:color="000000"/>
              <w:bottom w:val="single" w:sz="8" w:space="0" w:color="002D5D"/>
              <w:right w:val="single" w:sz="4" w:space="0" w:color="000000"/>
            </w:tcBorders>
          </w:tcPr>
          <w:p>
            <w:pPr>
              <w:pStyle w:val="TableParagraph"/>
              <w:spacing w:before="97"/>
              <w:ind w:right="30"/>
              <w:jc w:val="center"/>
              <w:rPr>
                <w:sz w:val="17"/>
              </w:rPr>
            </w:pPr>
            <w:r>
              <w:rPr>
                <w:spacing w:val="-10"/>
                <w:sz w:val="17"/>
              </w:rPr>
              <w:t>1</w:t>
            </w:r>
          </w:p>
        </w:tc>
        <w:tc>
          <w:tcPr>
            <w:tcW w:w="955" w:type="dxa"/>
            <w:tcBorders>
              <w:top w:val="single" w:sz="8" w:space="0" w:color="002D5D"/>
              <w:left w:val="single" w:sz="4" w:space="0" w:color="000000"/>
              <w:bottom w:val="single" w:sz="8" w:space="0" w:color="002D5D"/>
              <w:right w:val="single" w:sz="4" w:space="0" w:color="000000"/>
            </w:tcBorders>
          </w:tcPr>
          <w:p>
            <w:pPr>
              <w:pStyle w:val="TableParagraph"/>
              <w:spacing w:before="97"/>
              <w:ind w:left="69"/>
              <w:rPr>
                <w:sz w:val="17"/>
              </w:rPr>
            </w:pPr>
            <w:r>
              <w:rPr>
                <w:spacing w:val="-2"/>
                <w:sz w:val="17"/>
              </w:rPr>
              <w:t>1.812.038,00</w:t>
            </w:r>
          </w:p>
        </w:tc>
        <w:tc>
          <w:tcPr>
            <w:tcW w:w="430" w:type="dxa"/>
            <w:tcBorders>
              <w:top w:val="single" w:sz="8" w:space="0" w:color="002D5D"/>
              <w:left w:val="single" w:sz="4" w:space="0" w:color="000000"/>
              <w:bottom w:val="single" w:sz="8" w:space="0" w:color="002D5D"/>
              <w:right w:val="single" w:sz="4" w:space="0" w:color="000000"/>
            </w:tcBorders>
          </w:tcPr>
          <w:p>
            <w:pPr>
              <w:pStyle w:val="TableParagraph"/>
              <w:spacing w:before="97"/>
              <w:ind w:right="120"/>
              <w:jc w:val="right"/>
              <w:rPr>
                <w:sz w:val="17"/>
              </w:rPr>
            </w:pPr>
            <w:r>
              <w:rPr>
                <w:spacing w:val="-5"/>
                <w:sz w:val="17"/>
              </w:rPr>
              <w:t>21</w:t>
            </w:r>
          </w:p>
        </w:tc>
        <w:tc>
          <w:tcPr>
            <w:tcW w:w="1111" w:type="dxa"/>
            <w:tcBorders>
              <w:top w:val="single" w:sz="8" w:space="0" w:color="002D5D"/>
              <w:left w:val="single" w:sz="4" w:space="0" w:color="000000"/>
              <w:bottom w:val="single" w:sz="8" w:space="0" w:color="002D5D"/>
              <w:right w:val="single" w:sz="4" w:space="0" w:color="000000"/>
            </w:tcBorders>
          </w:tcPr>
          <w:p>
            <w:pPr>
              <w:pStyle w:val="TableParagraph"/>
              <w:spacing w:before="97"/>
              <w:ind w:right="61"/>
              <w:jc w:val="right"/>
              <w:rPr>
                <w:sz w:val="17"/>
              </w:rPr>
            </w:pPr>
            <w:r>
              <w:rPr>
                <w:spacing w:val="-2"/>
                <w:sz w:val="17"/>
              </w:rPr>
              <w:t>52.313.442,73</w:t>
            </w:r>
          </w:p>
        </w:tc>
      </w:tr>
      <w:tr>
        <w:trPr>
          <w:trHeight w:val="340" w:hRule="atLeast"/>
        </w:trPr>
        <w:tc>
          <w:tcPr>
            <w:tcW w:w="1419" w:type="dxa"/>
            <w:tcBorders>
              <w:top w:val="single" w:sz="8" w:space="0" w:color="002D5D"/>
              <w:bottom w:val="single" w:sz="8" w:space="0" w:color="002D5D"/>
              <w:right w:val="single" w:sz="4" w:space="0" w:color="000000"/>
            </w:tcBorders>
          </w:tcPr>
          <w:p>
            <w:pPr>
              <w:pStyle w:val="TableParagraph"/>
              <w:spacing w:before="73"/>
              <w:ind w:left="126"/>
              <w:rPr>
                <w:b/>
                <w:sz w:val="17"/>
              </w:rPr>
            </w:pPr>
            <w:r>
              <w:rPr>
                <w:b/>
                <w:spacing w:val="-2"/>
                <w:sz w:val="17"/>
              </w:rPr>
              <w:t>MÁLAGA</w:t>
            </w:r>
          </w:p>
        </w:tc>
        <w:tc>
          <w:tcPr>
            <w:tcW w:w="437" w:type="dxa"/>
            <w:tcBorders>
              <w:top w:val="single" w:sz="8" w:space="0" w:color="002D5D"/>
              <w:left w:val="single" w:sz="4" w:space="0" w:color="000000"/>
              <w:bottom w:val="single" w:sz="8" w:space="0" w:color="002D5D"/>
              <w:right w:val="single" w:sz="4" w:space="0" w:color="000000"/>
            </w:tcBorders>
          </w:tcPr>
          <w:p>
            <w:pPr>
              <w:pStyle w:val="TableParagraph"/>
              <w:spacing w:before="73"/>
              <w:jc w:val="center"/>
              <w:rPr>
                <w:sz w:val="17"/>
              </w:rPr>
            </w:pPr>
            <w:r>
              <w:rPr>
                <w:spacing w:val="-10"/>
                <w:sz w:val="17"/>
              </w:rPr>
              <w:t>2</w:t>
            </w:r>
          </w:p>
        </w:tc>
        <w:tc>
          <w:tcPr>
            <w:tcW w:w="1182" w:type="dxa"/>
            <w:tcBorders>
              <w:top w:val="single" w:sz="8" w:space="0" w:color="002D5D"/>
              <w:left w:val="single" w:sz="4" w:space="0" w:color="000000"/>
              <w:bottom w:val="single" w:sz="8" w:space="0" w:color="002D5D"/>
              <w:right w:val="single" w:sz="4" w:space="0" w:color="000000"/>
            </w:tcBorders>
          </w:tcPr>
          <w:p>
            <w:pPr>
              <w:pStyle w:val="TableParagraph"/>
              <w:spacing w:before="73"/>
              <w:ind w:right="58"/>
              <w:jc w:val="right"/>
              <w:rPr>
                <w:sz w:val="17"/>
              </w:rPr>
            </w:pPr>
            <w:r>
              <w:rPr>
                <w:spacing w:val="-2"/>
                <w:sz w:val="17"/>
              </w:rPr>
              <w:t>40.797.802,94</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3"/>
              <w:ind w:right="21"/>
              <w:jc w:val="center"/>
              <w:rPr>
                <w:sz w:val="17"/>
              </w:rPr>
            </w:pPr>
            <w:r>
              <w:rPr>
                <w:spacing w:val="-10"/>
                <w:sz w:val="17"/>
              </w:rPr>
              <w:t>4</w:t>
            </w:r>
          </w:p>
        </w:tc>
        <w:tc>
          <w:tcPr>
            <w:tcW w:w="1109"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1.631.330,65</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3"/>
              <w:ind w:right="22"/>
              <w:jc w:val="center"/>
              <w:rPr>
                <w:sz w:val="17"/>
              </w:rPr>
            </w:pPr>
            <w:r>
              <w:rPr>
                <w:spacing w:val="-10"/>
                <w:sz w:val="17"/>
              </w:rPr>
              <w:t>8</w:t>
            </w:r>
          </w:p>
        </w:tc>
        <w:tc>
          <w:tcPr>
            <w:tcW w:w="1032" w:type="dxa"/>
            <w:tcBorders>
              <w:top w:val="single" w:sz="8" w:space="0" w:color="002D5D"/>
              <w:left w:val="single" w:sz="4" w:space="0" w:color="000000"/>
              <w:bottom w:val="single" w:sz="8" w:space="0" w:color="002D5D"/>
              <w:right w:val="single" w:sz="4" w:space="0" w:color="000000"/>
            </w:tcBorders>
          </w:tcPr>
          <w:p>
            <w:pPr>
              <w:pStyle w:val="TableParagraph"/>
              <w:spacing w:before="73"/>
              <w:ind w:left="83"/>
              <w:jc w:val="center"/>
              <w:rPr>
                <w:sz w:val="17"/>
              </w:rPr>
            </w:pPr>
            <w:r>
              <w:rPr>
                <w:spacing w:val="-2"/>
                <w:sz w:val="17"/>
              </w:rPr>
              <w:t>6.746.668,44</w:t>
            </w:r>
          </w:p>
        </w:tc>
        <w:tc>
          <w:tcPr>
            <w:tcW w:w="408" w:type="dxa"/>
            <w:tcBorders>
              <w:top w:val="single" w:sz="8" w:space="0" w:color="002D5D"/>
              <w:left w:val="single" w:sz="4" w:space="0" w:color="000000"/>
              <w:bottom w:val="single" w:sz="8" w:space="0" w:color="002D5D"/>
              <w:right w:val="single" w:sz="4" w:space="0" w:color="000000"/>
            </w:tcBorders>
          </w:tcPr>
          <w:p>
            <w:pPr>
              <w:pStyle w:val="TableParagraph"/>
              <w:spacing w:before="73"/>
              <w:ind w:right="25"/>
              <w:jc w:val="center"/>
              <w:rPr>
                <w:sz w:val="17"/>
              </w:rPr>
            </w:pPr>
            <w:r>
              <w:rPr>
                <w:spacing w:val="-10"/>
                <w:sz w:val="17"/>
              </w:rPr>
              <w:t>0</w:t>
            </w:r>
          </w:p>
        </w:tc>
        <w:tc>
          <w:tcPr>
            <w:tcW w:w="956"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4"/>
                <w:sz w:val="17"/>
              </w:rPr>
              <w:t>0,00</w:t>
            </w:r>
          </w:p>
        </w:tc>
        <w:tc>
          <w:tcPr>
            <w:tcW w:w="293" w:type="dxa"/>
            <w:tcBorders>
              <w:top w:val="single" w:sz="8" w:space="0" w:color="002D5D"/>
              <w:left w:val="single" w:sz="4" w:space="0" w:color="000000"/>
              <w:bottom w:val="single" w:sz="8" w:space="0" w:color="002D5D"/>
              <w:right w:val="single" w:sz="4" w:space="0" w:color="000000"/>
            </w:tcBorders>
          </w:tcPr>
          <w:p>
            <w:pPr>
              <w:pStyle w:val="TableParagraph"/>
              <w:spacing w:before="73"/>
              <w:ind w:right="30"/>
              <w:jc w:val="center"/>
              <w:rPr>
                <w:sz w:val="17"/>
              </w:rPr>
            </w:pPr>
            <w:r>
              <w:rPr>
                <w:spacing w:val="-10"/>
                <w:sz w:val="17"/>
              </w:rPr>
              <w:t>0</w:t>
            </w:r>
          </w:p>
        </w:tc>
        <w:tc>
          <w:tcPr>
            <w:tcW w:w="955"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4"/>
                <w:sz w:val="17"/>
              </w:rPr>
              <w:t>0,00</w:t>
            </w:r>
          </w:p>
        </w:tc>
        <w:tc>
          <w:tcPr>
            <w:tcW w:w="430" w:type="dxa"/>
            <w:tcBorders>
              <w:top w:val="single" w:sz="8" w:space="0" w:color="002D5D"/>
              <w:left w:val="single" w:sz="4" w:space="0" w:color="000000"/>
              <w:bottom w:val="single" w:sz="8" w:space="0" w:color="002D5D"/>
              <w:right w:val="single" w:sz="4" w:space="0" w:color="000000"/>
            </w:tcBorders>
          </w:tcPr>
          <w:p>
            <w:pPr>
              <w:pStyle w:val="TableParagraph"/>
              <w:spacing w:before="73"/>
              <w:ind w:right="120"/>
              <w:jc w:val="right"/>
              <w:rPr>
                <w:sz w:val="17"/>
              </w:rPr>
            </w:pPr>
            <w:r>
              <w:rPr>
                <w:spacing w:val="-5"/>
                <w:sz w:val="17"/>
              </w:rPr>
              <w:t>14</w:t>
            </w:r>
          </w:p>
        </w:tc>
        <w:tc>
          <w:tcPr>
            <w:tcW w:w="1111"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49.175.802,03</w:t>
            </w:r>
          </w:p>
        </w:tc>
      </w:tr>
      <w:tr>
        <w:trPr>
          <w:trHeight w:val="340" w:hRule="atLeast"/>
        </w:trPr>
        <w:tc>
          <w:tcPr>
            <w:tcW w:w="1419" w:type="dxa"/>
            <w:tcBorders>
              <w:top w:val="single" w:sz="8" w:space="0" w:color="002D5D"/>
              <w:bottom w:val="single" w:sz="8" w:space="0" w:color="002D5D"/>
              <w:right w:val="single" w:sz="4" w:space="0" w:color="000000"/>
            </w:tcBorders>
          </w:tcPr>
          <w:p>
            <w:pPr>
              <w:pStyle w:val="TableParagraph"/>
              <w:spacing w:before="73"/>
              <w:ind w:left="126"/>
              <w:rPr>
                <w:b/>
                <w:sz w:val="17"/>
              </w:rPr>
            </w:pPr>
            <w:r>
              <w:rPr>
                <w:b/>
                <w:spacing w:val="-2"/>
                <w:sz w:val="17"/>
              </w:rPr>
              <w:t>MURCIA</w:t>
            </w:r>
          </w:p>
        </w:tc>
        <w:tc>
          <w:tcPr>
            <w:tcW w:w="437" w:type="dxa"/>
            <w:tcBorders>
              <w:top w:val="single" w:sz="8" w:space="0" w:color="002D5D"/>
              <w:left w:val="single" w:sz="4" w:space="0" w:color="000000"/>
              <w:bottom w:val="single" w:sz="8" w:space="0" w:color="002D5D"/>
              <w:right w:val="single" w:sz="4" w:space="0" w:color="000000"/>
            </w:tcBorders>
          </w:tcPr>
          <w:p>
            <w:pPr>
              <w:pStyle w:val="TableParagraph"/>
              <w:spacing w:before="73"/>
              <w:jc w:val="center"/>
              <w:rPr>
                <w:sz w:val="17"/>
              </w:rPr>
            </w:pPr>
            <w:r>
              <w:rPr>
                <w:spacing w:val="-10"/>
                <w:sz w:val="17"/>
              </w:rPr>
              <w:t>0</w:t>
            </w:r>
          </w:p>
        </w:tc>
        <w:tc>
          <w:tcPr>
            <w:tcW w:w="1182" w:type="dxa"/>
            <w:tcBorders>
              <w:top w:val="single" w:sz="8" w:space="0" w:color="002D5D"/>
              <w:left w:val="single" w:sz="4" w:space="0" w:color="000000"/>
              <w:bottom w:val="single" w:sz="8" w:space="0" w:color="002D5D"/>
              <w:right w:val="single" w:sz="4" w:space="0" w:color="000000"/>
            </w:tcBorders>
          </w:tcPr>
          <w:p>
            <w:pPr>
              <w:pStyle w:val="TableParagraph"/>
              <w:spacing w:before="73"/>
              <w:ind w:right="57"/>
              <w:jc w:val="right"/>
              <w:rPr>
                <w:sz w:val="17"/>
              </w:rPr>
            </w:pPr>
            <w:r>
              <w:rPr>
                <w:spacing w:val="-4"/>
                <w:sz w:val="17"/>
              </w:rPr>
              <w:t>0,00</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3"/>
              <w:ind w:right="21"/>
              <w:jc w:val="center"/>
              <w:rPr>
                <w:sz w:val="17"/>
              </w:rPr>
            </w:pPr>
            <w:r>
              <w:rPr>
                <w:spacing w:val="-10"/>
                <w:sz w:val="17"/>
              </w:rPr>
              <w:t>3</w:t>
            </w:r>
          </w:p>
        </w:tc>
        <w:tc>
          <w:tcPr>
            <w:tcW w:w="1109"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29.575.517,28</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3"/>
              <w:ind w:right="22"/>
              <w:jc w:val="center"/>
              <w:rPr>
                <w:sz w:val="17"/>
              </w:rPr>
            </w:pPr>
            <w:r>
              <w:rPr>
                <w:spacing w:val="-10"/>
                <w:sz w:val="17"/>
              </w:rPr>
              <w:t>3</w:t>
            </w:r>
          </w:p>
        </w:tc>
        <w:tc>
          <w:tcPr>
            <w:tcW w:w="1032" w:type="dxa"/>
            <w:tcBorders>
              <w:top w:val="single" w:sz="8" w:space="0" w:color="002D5D"/>
              <w:left w:val="single" w:sz="4" w:space="0" w:color="000000"/>
              <w:bottom w:val="single" w:sz="8" w:space="0" w:color="002D5D"/>
              <w:right w:val="single" w:sz="4" w:space="0" w:color="000000"/>
            </w:tcBorders>
          </w:tcPr>
          <w:p>
            <w:pPr>
              <w:pStyle w:val="TableParagraph"/>
              <w:spacing w:before="73"/>
              <w:ind w:left="83"/>
              <w:jc w:val="center"/>
              <w:rPr>
                <w:sz w:val="17"/>
              </w:rPr>
            </w:pPr>
            <w:r>
              <w:rPr>
                <w:spacing w:val="-2"/>
                <w:sz w:val="17"/>
              </w:rPr>
              <w:t>5.267.645,09</w:t>
            </w:r>
          </w:p>
        </w:tc>
        <w:tc>
          <w:tcPr>
            <w:tcW w:w="408" w:type="dxa"/>
            <w:tcBorders>
              <w:top w:val="single" w:sz="8" w:space="0" w:color="002D5D"/>
              <w:left w:val="single" w:sz="4" w:space="0" w:color="000000"/>
              <w:bottom w:val="single" w:sz="8" w:space="0" w:color="002D5D"/>
              <w:right w:val="single" w:sz="4" w:space="0" w:color="000000"/>
            </w:tcBorders>
          </w:tcPr>
          <w:p>
            <w:pPr>
              <w:pStyle w:val="TableParagraph"/>
              <w:spacing w:before="73"/>
              <w:ind w:right="25"/>
              <w:jc w:val="center"/>
              <w:rPr>
                <w:sz w:val="17"/>
              </w:rPr>
            </w:pPr>
            <w:r>
              <w:rPr>
                <w:spacing w:val="-10"/>
                <w:sz w:val="17"/>
              </w:rPr>
              <w:t>0</w:t>
            </w:r>
          </w:p>
        </w:tc>
        <w:tc>
          <w:tcPr>
            <w:tcW w:w="956"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4"/>
                <w:sz w:val="17"/>
              </w:rPr>
              <w:t>0,00</w:t>
            </w:r>
          </w:p>
        </w:tc>
        <w:tc>
          <w:tcPr>
            <w:tcW w:w="293" w:type="dxa"/>
            <w:tcBorders>
              <w:top w:val="single" w:sz="8" w:space="0" w:color="002D5D"/>
              <w:left w:val="single" w:sz="4" w:space="0" w:color="000000"/>
              <w:bottom w:val="single" w:sz="8" w:space="0" w:color="002D5D"/>
              <w:right w:val="single" w:sz="4" w:space="0" w:color="000000"/>
            </w:tcBorders>
          </w:tcPr>
          <w:p>
            <w:pPr>
              <w:pStyle w:val="TableParagraph"/>
              <w:spacing w:before="73"/>
              <w:ind w:right="30"/>
              <w:jc w:val="center"/>
              <w:rPr>
                <w:sz w:val="17"/>
              </w:rPr>
            </w:pPr>
            <w:r>
              <w:rPr>
                <w:spacing w:val="-10"/>
                <w:sz w:val="17"/>
              </w:rPr>
              <w:t>1</w:t>
            </w:r>
          </w:p>
        </w:tc>
        <w:tc>
          <w:tcPr>
            <w:tcW w:w="955"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102.045,64</w:t>
            </w:r>
          </w:p>
        </w:tc>
        <w:tc>
          <w:tcPr>
            <w:tcW w:w="430" w:type="dxa"/>
            <w:tcBorders>
              <w:top w:val="single" w:sz="8" w:space="0" w:color="002D5D"/>
              <w:left w:val="single" w:sz="4" w:space="0" w:color="000000"/>
              <w:bottom w:val="single" w:sz="8" w:space="0" w:color="002D5D"/>
              <w:right w:val="single" w:sz="4" w:space="0" w:color="000000"/>
            </w:tcBorders>
          </w:tcPr>
          <w:p>
            <w:pPr>
              <w:pStyle w:val="TableParagraph"/>
              <w:spacing w:before="73"/>
              <w:ind w:right="117"/>
              <w:jc w:val="right"/>
              <w:rPr>
                <w:sz w:val="17"/>
              </w:rPr>
            </w:pPr>
            <w:r>
              <w:rPr>
                <w:spacing w:val="-10"/>
                <w:sz w:val="17"/>
              </w:rPr>
              <w:t>7</w:t>
            </w:r>
          </w:p>
        </w:tc>
        <w:tc>
          <w:tcPr>
            <w:tcW w:w="1111"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34.945.208,01</w:t>
            </w:r>
          </w:p>
        </w:tc>
      </w:tr>
      <w:tr>
        <w:trPr>
          <w:trHeight w:val="340" w:hRule="atLeast"/>
        </w:trPr>
        <w:tc>
          <w:tcPr>
            <w:tcW w:w="1419" w:type="dxa"/>
            <w:tcBorders>
              <w:top w:val="single" w:sz="8" w:space="0" w:color="002D5D"/>
              <w:bottom w:val="single" w:sz="8" w:space="0" w:color="002D5D"/>
              <w:right w:val="single" w:sz="4" w:space="0" w:color="000000"/>
            </w:tcBorders>
          </w:tcPr>
          <w:p>
            <w:pPr>
              <w:pStyle w:val="TableParagraph"/>
              <w:spacing w:before="73"/>
              <w:ind w:left="126"/>
              <w:rPr>
                <w:b/>
                <w:sz w:val="17"/>
              </w:rPr>
            </w:pPr>
            <w:r>
              <w:rPr>
                <w:b/>
                <w:spacing w:val="-2"/>
                <w:sz w:val="17"/>
              </w:rPr>
              <w:t>PALMA</w:t>
            </w:r>
          </w:p>
        </w:tc>
        <w:tc>
          <w:tcPr>
            <w:tcW w:w="437" w:type="dxa"/>
            <w:tcBorders>
              <w:top w:val="single" w:sz="8" w:space="0" w:color="002D5D"/>
              <w:left w:val="single" w:sz="4" w:space="0" w:color="000000"/>
              <w:bottom w:val="single" w:sz="8" w:space="0" w:color="002D5D"/>
              <w:right w:val="single" w:sz="4" w:space="0" w:color="000000"/>
            </w:tcBorders>
          </w:tcPr>
          <w:p>
            <w:pPr>
              <w:pStyle w:val="TableParagraph"/>
              <w:spacing w:before="73"/>
              <w:jc w:val="center"/>
              <w:rPr>
                <w:sz w:val="17"/>
              </w:rPr>
            </w:pPr>
            <w:r>
              <w:rPr>
                <w:spacing w:val="-10"/>
                <w:sz w:val="17"/>
              </w:rPr>
              <w:t>2</w:t>
            </w:r>
          </w:p>
        </w:tc>
        <w:tc>
          <w:tcPr>
            <w:tcW w:w="1182" w:type="dxa"/>
            <w:tcBorders>
              <w:top w:val="single" w:sz="8" w:space="0" w:color="002D5D"/>
              <w:left w:val="single" w:sz="4" w:space="0" w:color="000000"/>
              <w:bottom w:val="single" w:sz="8" w:space="0" w:color="002D5D"/>
              <w:right w:val="single" w:sz="4" w:space="0" w:color="000000"/>
            </w:tcBorders>
          </w:tcPr>
          <w:p>
            <w:pPr>
              <w:pStyle w:val="TableParagraph"/>
              <w:spacing w:before="73"/>
              <w:ind w:right="58"/>
              <w:jc w:val="right"/>
              <w:rPr>
                <w:sz w:val="17"/>
              </w:rPr>
            </w:pPr>
            <w:r>
              <w:rPr>
                <w:spacing w:val="-2"/>
                <w:sz w:val="17"/>
              </w:rPr>
              <w:t>29.740.600,00</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3"/>
              <w:ind w:right="21"/>
              <w:jc w:val="center"/>
              <w:rPr>
                <w:sz w:val="17"/>
              </w:rPr>
            </w:pPr>
            <w:r>
              <w:rPr>
                <w:spacing w:val="-10"/>
                <w:sz w:val="17"/>
              </w:rPr>
              <w:t>1</w:t>
            </w:r>
          </w:p>
        </w:tc>
        <w:tc>
          <w:tcPr>
            <w:tcW w:w="1109"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5.427.480,63</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3"/>
              <w:ind w:right="104"/>
              <w:jc w:val="center"/>
              <w:rPr>
                <w:sz w:val="17"/>
              </w:rPr>
            </w:pPr>
            <w:r>
              <w:rPr>
                <w:spacing w:val="-5"/>
                <w:sz w:val="17"/>
              </w:rPr>
              <w:t>13</w:t>
            </w:r>
          </w:p>
        </w:tc>
        <w:tc>
          <w:tcPr>
            <w:tcW w:w="1032" w:type="dxa"/>
            <w:tcBorders>
              <w:top w:val="single" w:sz="8" w:space="0" w:color="002D5D"/>
              <w:left w:val="single" w:sz="4" w:space="0" w:color="000000"/>
              <w:bottom w:val="single" w:sz="8" w:space="0" w:color="002D5D"/>
              <w:right w:val="single" w:sz="4" w:space="0" w:color="000000"/>
            </w:tcBorders>
          </w:tcPr>
          <w:p>
            <w:pPr>
              <w:pStyle w:val="TableParagraph"/>
              <w:spacing w:before="73"/>
              <w:ind w:left="83"/>
              <w:jc w:val="center"/>
              <w:rPr>
                <w:sz w:val="17"/>
              </w:rPr>
            </w:pPr>
            <w:r>
              <w:rPr>
                <w:spacing w:val="-2"/>
                <w:sz w:val="17"/>
              </w:rPr>
              <w:t>7.917.431,38</w:t>
            </w:r>
          </w:p>
        </w:tc>
        <w:tc>
          <w:tcPr>
            <w:tcW w:w="408" w:type="dxa"/>
            <w:tcBorders>
              <w:top w:val="single" w:sz="8" w:space="0" w:color="002D5D"/>
              <w:left w:val="single" w:sz="4" w:space="0" w:color="000000"/>
              <w:bottom w:val="single" w:sz="8" w:space="0" w:color="002D5D"/>
              <w:right w:val="single" w:sz="4" w:space="0" w:color="000000"/>
            </w:tcBorders>
          </w:tcPr>
          <w:p>
            <w:pPr>
              <w:pStyle w:val="TableParagraph"/>
              <w:spacing w:before="73"/>
              <w:ind w:right="25"/>
              <w:jc w:val="center"/>
              <w:rPr>
                <w:sz w:val="17"/>
              </w:rPr>
            </w:pPr>
            <w:r>
              <w:rPr>
                <w:spacing w:val="-10"/>
                <w:sz w:val="17"/>
              </w:rPr>
              <w:t>1</w:t>
            </w:r>
          </w:p>
        </w:tc>
        <w:tc>
          <w:tcPr>
            <w:tcW w:w="956" w:type="dxa"/>
            <w:tcBorders>
              <w:top w:val="single" w:sz="8" w:space="0" w:color="002D5D"/>
              <w:left w:val="single" w:sz="4" w:space="0" w:color="000000"/>
              <w:bottom w:val="single" w:sz="8" w:space="0" w:color="002D5D"/>
              <w:right w:val="single" w:sz="4" w:space="0" w:color="000000"/>
            </w:tcBorders>
          </w:tcPr>
          <w:p>
            <w:pPr>
              <w:pStyle w:val="TableParagraph"/>
              <w:spacing w:before="73"/>
              <w:ind w:right="62"/>
              <w:jc w:val="right"/>
              <w:rPr>
                <w:sz w:val="17"/>
              </w:rPr>
            </w:pPr>
            <w:r>
              <w:rPr>
                <w:spacing w:val="-2"/>
                <w:sz w:val="17"/>
              </w:rPr>
              <w:t>58.376,84</w:t>
            </w:r>
          </w:p>
        </w:tc>
        <w:tc>
          <w:tcPr>
            <w:tcW w:w="293" w:type="dxa"/>
            <w:tcBorders>
              <w:top w:val="single" w:sz="8" w:space="0" w:color="002D5D"/>
              <w:left w:val="single" w:sz="4" w:space="0" w:color="000000"/>
              <w:bottom w:val="single" w:sz="8" w:space="0" w:color="002D5D"/>
              <w:right w:val="single" w:sz="4" w:space="0" w:color="000000"/>
            </w:tcBorders>
          </w:tcPr>
          <w:p>
            <w:pPr>
              <w:pStyle w:val="TableParagraph"/>
              <w:spacing w:before="73"/>
              <w:ind w:right="30"/>
              <w:jc w:val="center"/>
              <w:rPr>
                <w:sz w:val="17"/>
              </w:rPr>
            </w:pPr>
            <w:r>
              <w:rPr>
                <w:spacing w:val="-10"/>
                <w:sz w:val="17"/>
              </w:rPr>
              <w:t>0</w:t>
            </w:r>
          </w:p>
        </w:tc>
        <w:tc>
          <w:tcPr>
            <w:tcW w:w="955"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4"/>
                <w:sz w:val="17"/>
              </w:rPr>
              <w:t>0,00</w:t>
            </w:r>
          </w:p>
        </w:tc>
        <w:tc>
          <w:tcPr>
            <w:tcW w:w="430" w:type="dxa"/>
            <w:tcBorders>
              <w:top w:val="single" w:sz="8" w:space="0" w:color="002D5D"/>
              <w:left w:val="single" w:sz="4" w:space="0" w:color="000000"/>
              <w:bottom w:val="single" w:sz="8" w:space="0" w:color="002D5D"/>
              <w:right w:val="single" w:sz="4" w:space="0" w:color="000000"/>
            </w:tcBorders>
          </w:tcPr>
          <w:p>
            <w:pPr>
              <w:pStyle w:val="TableParagraph"/>
              <w:spacing w:before="73"/>
              <w:ind w:right="120"/>
              <w:jc w:val="right"/>
              <w:rPr>
                <w:sz w:val="17"/>
              </w:rPr>
            </w:pPr>
            <w:r>
              <w:rPr>
                <w:spacing w:val="-5"/>
                <w:sz w:val="17"/>
              </w:rPr>
              <w:t>17</w:t>
            </w:r>
          </w:p>
        </w:tc>
        <w:tc>
          <w:tcPr>
            <w:tcW w:w="1111"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43.143.888,85</w:t>
            </w:r>
          </w:p>
        </w:tc>
      </w:tr>
      <w:tr>
        <w:trPr>
          <w:trHeight w:val="340" w:hRule="atLeast"/>
        </w:trPr>
        <w:tc>
          <w:tcPr>
            <w:tcW w:w="1419" w:type="dxa"/>
            <w:tcBorders>
              <w:top w:val="single" w:sz="8" w:space="0" w:color="002D5D"/>
              <w:bottom w:val="single" w:sz="8" w:space="0" w:color="002D5D"/>
              <w:right w:val="single" w:sz="4" w:space="0" w:color="000000"/>
            </w:tcBorders>
          </w:tcPr>
          <w:p>
            <w:pPr>
              <w:pStyle w:val="TableParagraph"/>
              <w:spacing w:before="73"/>
              <w:ind w:left="126"/>
              <w:rPr>
                <w:b/>
                <w:sz w:val="17"/>
              </w:rPr>
            </w:pPr>
            <w:r>
              <w:rPr>
                <w:b/>
                <w:spacing w:val="-2"/>
                <w:sz w:val="17"/>
              </w:rPr>
              <w:t>SEVILLA</w:t>
            </w:r>
          </w:p>
        </w:tc>
        <w:tc>
          <w:tcPr>
            <w:tcW w:w="437" w:type="dxa"/>
            <w:tcBorders>
              <w:top w:val="single" w:sz="8" w:space="0" w:color="002D5D"/>
              <w:left w:val="single" w:sz="4" w:space="0" w:color="000000"/>
              <w:bottom w:val="single" w:sz="8" w:space="0" w:color="002D5D"/>
              <w:right w:val="single" w:sz="4" w:space="0" w:color="000000"/>
            </w:tcBorders>
          </w:tcPr>
          <w:p>
            <w:pPr>
              <w:pStyle w:val="TableParagraph"/>
              <w:spacing w:before="73"/>
              <w:jc w:val="center"/>
              <w:rPr>
                <w:sz w:val="17"/>
              </w:rPr>
            </w:pPr>
            <w:r>
              <w:rPr>
                <w:spacing w:val="-10"/>
                <w:sz w:val="17"/>
              </w:rPr>
              <w:t>3</w:t>
            </w:r>
          </w:p>
        </w:tc>
        <w:tc>
          <w:tcPr>
            <w:tcW w:w="1182" w:type="dxa"/>
            <w:tcBorders>
              <w:top w:val="single" w:sz="8" w:space="0" w:color="002D5D"/>
              <w:left w:val="single" w:sz="4" w:space="0" w:color="000000"/>
              <w:bottom w:val="single" w:sz="8" w:space="0" w:color="002D5D"/>
              <w:right w:val="single" w:sz="4" w:space="0" w:color="000000"/>
            </w:tcBorders>
          </w:tcPr>
          <w:p>
            <w:pPr>
              <w:pStyle w:val="TableParagraph"/>
              <w:spacing w:before="73"/>
              <w:ind w:right="58"/>
              <w:jc w:val="right"/>
              <w:rPr>
                <w:sz w:val="17"/>
              </w:rPr>
            </w:pPr>
            <w:r>
              <w:rPr>
                <w:spacing w:val="-2"/>
                <w:sz w:val="17"/>
              </w:rPr>
              <w:t>58.029.782,79</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3"/>
              <w:ind w:right="21"/>
              <w:jc w:val="center"/>
              <w:rPr>
                <w:sz w:val="17"/>
              </w:rPr>
            </w:pPr>
            <w:r>
              <w:rPr>
                <w:spacing w:val="-10"/>
                <w:sz w:val="17"/>
              </w:rPr>
              <w:t>3</w:t>
            </w:r>
          </w:p>
        </w:tc>
        <w:tc>
          <w:tcPr>
            <w:tcW w:w="1109"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36.611.115,25</w:t>
            </w:r>
          </w:p>
        </w:tc>
        <w:tc>
          <w:tcPr>
            <w:tcW w:w="411" w:type="dxa"/>
            <w:tcBorders>
              <w:top w:val="single" w:sz="8" w:space="0" w:color="002D5D"/>
              <w:left w:val="single" w:sz="4" w:space="0" w:color="000000"/>
              <w:bottom w:val="single" w:sz="8" w:space="0" w:color="002D5D"/>
              <w:right w:val="single" w:sz="4" w:space="0" w:color="000000"/>
            </w:tcBorders>
          </w:tcPr>
          <w:p>
            <w:pPr>
              <w:pStyle w:val="TableParagraph"/>
              <w:spacing w:before="73"/>
              <w:ind w:right="22"/>
              <w:jc w:val="center"/>
              <w:rPr>
                <w:sz w:val="17"/>
              </w:rPr>
            </w:pPr>
            <w:r>
              <w:rPr>
                <w:spacing w:val="-10"/>
                <w:sz w:val="17"/>
              </w:rPr>
              <w:t>2</w:t>
            </w:r>
          </w:p>
        </w:tc>
        <w:tc>
          <w:tcPr>
            <w:tcW w:w="1032" w:type="dxa"/>
            <w:tcBorders>
              <w:top w:val="single" w:sz="8" w:space="0" w:color="002D5D"/>
              <w:left w:val="single" w:sz="4" w:space="0" w:color="000000"/>
              <w:bottom w:val="single" w:sz="8" w:space="0" w:color="002D5D"/>
              <w:right w:val="single" w:sz="4" w:space="0" w:color="000000"/>
            </w:tcBorders>
          </w:tcPr>
          <w:p>
            <w:pPr>
              <w:pStyle w:val="TableParagraph"/>
              <w:spacing w:before="73"/>
              <w:ind w:left="83"/>
              <w:jc w:val="center"/>
              <w:rPr>
                <w:sz w:val="17"/>
              </w:rPr>
            </w:pPr>
            <w:r>
              <w:rPr>
                <w:spacing w:val="-2"/>
                <w:sz w:val="17"/>
              </w:rPr>
              <w:t>1.486.690,98</w:t>
            </w:r>
          </w:p>
        </w:tc>
        <w:tc>
          <w:tcPr>
            <w:tcW w:w="408" w:type="dxa"/>
            <w:tcBorders>
              <w:top w:val="single" w:sz="8" w:space="0" w:color="002D5D"/>
              <w:left w:val="single" w:sz="4" w:space="0" w:color="000000"/>
              <w:bottom w:val="single" w:sz="8" w:space="0" w:color="002D5D"/>
              <w:right w:val="single" w:sz="4" w:space="0" w:color="000000"/>
            </w:tcBorders>
          </w:tcPr>
          <w:p>
            <w:pPr>
              <w:pStyle w:val="TableParagraph"/>
              <w:spacing w:before="73"/>
              <w:ind w:right="25"/>
              <w:jc w:val="center"/>
              <w:rPr>
                <w:sz w:val="17"/>
              </w:rPr>
            </w:pPr>
            <w:r>
              <w:rPr>
                <w:spacing w:val="-10"/>
                <w:sz w:val="17"/>
              </w:rPr>
              <w:t>2</w:t>
            </w:r>
          </w:p>
        </w:tc>
        <w:tc>
          <w:tcPr>
            <w:tcW w:w="956" w:type="dxa"/>
            <w:tcBorders>
              <w:top w:val="single" w:sz="8" w:space="0" w:color="002D5D"/>
              <w:left w:val="single" w:sz="4" w:space="0" w:color="000000"/>
              <w:bottom w:val="single" w:sz="8" w:space="0" w:color="002D5D"/>
              <w:right w:val="single" w:sz="4" w:space="0" w:color="000000"/>
            </w:tcBorders>
          </w:tcPr>
          <w:p>
            <w:pPr>
              <w:pStyle w:val="TableParagraph"/>
              <w:spacing w:before="73"/>
              <w:ind w:right="62"/>
              <w:jc w:val="right"/>
              <w:rPr>
                <w:sz w:val="17"/>
              </w:rPr>
            </w:pPr>
            <w:r>
              <w:rPr>
                <w:spacing w:val="-2"/>
                <w:sz w:val="17"/>
              </w:rPr>
              <w:t>1.222.075,00</w:t>
            </w:r>
          </w:p>
        </w:tc>
        <w:tc>
          <w:tcPr>
            <w:tcW w:w="293" w:type="dxa"/>
            <w:tcBorders>
              <w:top w:val="single" w:sz="8" w:space="0" w:color="002D5D"/>
              <w:left w:val="single" w:sz="4" w:space="0" w:color="000000"/>
              <w:bottom w:val="single" w:sz="8" w:space="0" w:color="002D5D"/>
              <w:right w:val="single" w:sz="4" w:space="0" w:color="000000"/>
            </w:tcBorders>
          </w:tcPr>
          <w:p>
            <w:pPr>
              <w:pStyle w:val="TableParagraph"/>
              <w:spacing w:before="73"/>
              <w:ind w:right="30"/>
              <w:jc w:val="center"/>
              <w:rPr>
                <w:sz w:val="17"/>
              </w:rPr>
            </w:pPr>
            <w:r>
              <w:rPr>
                <w:spacing w:val="-10"/>
                <w:sz w:val="17"/>
              </w:rPr>
              <w:t>1</w:t>
            </w:r>
          </w:p>
        </w:tc>
        <w:tc>
          <w:tcPr>
            <w:tcW w:w="955"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30.000,00</w:t>
            </w:r>
          </w:p>
        </w:tc>
        <w:tc>
          <w:tcPr>
            <w:tcW w:w="430" w:type="dxa"/>
            <w:tcBorders>
              <w:top w:val="single" w:sz="8" w:space="0" w:color="002D5D"/>
              <w:left w:val="single" w:sz="4" w:space="0" w:color="000000"/>
              <w:bottom w:val="single" w:sz="8" w:space="0" w:color="002D5D"/>
              <w:right w:val="single" w:sz="4" w:space="0" w:color="000000"/>
            </w:tcBorders>
          </w:tcPr>
          <w:p>
            <w:pPr>
              <w:pStyle w:val="TableParagraph"/>
              <w:spacing w:before="73"/>
              <w:ind w:right="120"/>
              <w:jc w:val="right"/>
              <w:rPr>
                <w:sz w:val="17"/>
              </w:rPr>
            </w:pPr>
            <w:r>
              <w:rPr>
                <w:spacing w:val="-5"/>
                <w:sz w:val="17"/>
              </w:rPr>
              <w:t>11</w:t>
            </w:r>
          </w:p>
        </w:tc>
        <w:tc>
          <w:tcPr>
            <w:tcW w:w="1111" w:type="dxa"/>
            <w:tcBorders>
              <w:top w:val="single" w:sz="8" w:space="0" w:color="002D5D"/>
              <w:left w:val="single" w:sz="4" w:space="0" w:color="000000"/>
              <w:bottom w:val="single" w:sz="8" w:space="0" w:color="002D5D"/>
              <w:right w:val="single" w:sz="4" w:space="0" w:color="000000"/>
            </w:tcBorders>
          </w:tcPr>
          <w:p>
            <w:pPr>
              <w:pStyle w:val="TableParagraph"/>
              <w:spacing w:before="73"/>
              <w:ind w:right="61"/>
              <w:jc w:val="right"/>
              <w:rPr>
                <w:sz w:val="17"/>
              </w:rPr>
            </w:pPr>
            <w:r>
              <w:rPr>
                <w:spacing w:val="-2"/>
                <w:sz w:val="17"/>
              </w:rPr>
              <w:t>97.379.664,02</w:t>
            </w:r>
          </w:p>
        </w:tc>
      </w:tr>
      <w:tr>
        <w:trPr>
          <w:trHeight w:val="335" w:hRule="atLeast"/>
        </w:trPr>
        <w:tc>
          <w:tcPr>
            <w:tcW w:w="1419" w:type="dxa"/>
            <w:tcBorders>
              <w:top w:val="single" w:sz="8" w:space="0" w:color="002D5D"/>
              <w:right w:val="single" w:sz="4" w:space="0" w:color="000000"/>
            </w:tcBorders>
          </w:tcPr>
          <w:p>
            <w:pPr>
              <w:pStyle w:val="TableParagraph"/>
              <w:spacing w:before="73"/>
              <w:ind w:left="126"/>
              <w:rPr>
                <w:b/>
                <w:sz w:val="17"/>
              </w:rPr>
            </w:pPr>
            <w:r>
              <w:rPr>
                <w:b/>
                <w:spacing w:val="-2"/>
                <w:sz w:val="17"/>
              </w:rPr>
              <w:t>ZARAGOZA</w:t>
            </w:r>
          </w:p>
        </w:tc>
        <w:tc>
          <w:tcPr>
            <w:tcW w:w="437" w:type="dxa"/>
            <w:tcBorders>
              <w:top w:val="single" w:sz="8" w:space="0" w:color="002D5D"/>
              <w:left w:val="single" w:sz="4" w:space="0" w:color="000000"/>
              <w:right w:val="single" w:sz="4" w:space="0" w:color="000000"/>
            </w:tcBorders>
          </w:tcPr>
          <w:p>
            <w:pPr>
              <w:pStyle w:val="TableParagraph"/>
              <w:spacing w:before="73"/>
              <w:jc w:val="center"/>
              <w:rPr>
                <w:sz w:val="17"/>
              </w:rPr>
            </w:pPr>
            <w:r>
              <w:rPr>
                <w:spacing w:val="-10"/>
                <w:sz w:val="17"/>
              </w:rPr>
              <w:t>3</w:t>
            </w:r>
          </w:p>
        </w:tc>
        <w:tc>
          <w:tcPr>
            <w:tcW w:w="1182" w:type="dxa"/>
            <w:tcBorders>
              <w:top w:val="single" w:sz="8" w:space="0" w:color="002D5D"/>
              <w:left w:val="single" w:sz="4" w:space="0" w:color="000000"/>
              <w:right w:val="single" w:sz="4" w:space="0" w:color="000000"/>
            </w:tcBorders>
          </w:tcPr>
          <w:p>
            <w:pPr>
              <w:pStyle w:val="TableParagraph"/>
              <w:spacing w:before="73"/>
              <w:ind w:right="58"/>
              <w:jc w:val="right"/>
              <w:rPr>
                <w:sz w:val="17"/>
              </w:rPr>
            </w:pPr>
            <w:r>
              <w:rPr>
                <w:spacing w:val="-2"/>
                <w:sz w:val="17"/>
              </w:rPr>
              <w:t>91.373.630,91</w:t>
            </w:r>
          </w:p>
        </w:tc>
        <w:tc>
          <w:tcPr>
            <w:tcW w:w="411" w:type="dxa"/>
            <w:tcBorders>
              <w:top w:val="single" w:sz="8" w:space="0" w:color="002D5D"/>
              <w:left w:val="single" w:sz="4" w:space="0" w:color="000000"/>
              <w:right w:val="single" w:sz="4" w:space="0" w:color="000000"/>
            </w:tcBorders>
          </w:tcPr>
          <w:p>
            <w:pPr>
              <w:pStyle w:val="TableParagraph"/>
              <w:spacing w:before="73"/>
              <w:ind w:right="21"/>
              <w:jc w:val="center"/>
              <w:rPr>
                <w:sz w:val="17"/>
              </w:rPr>
            </w:pPr>
            <w:r>
              <w:rPr>
                <w:spacing w:val="-10"/>
                <w:sz w:val="17"/>
              </w:rPr>
              <w:t>1</w:t>
            </w:r>
          </w:p>
        </w:tc>
        <w:tc>
          <w:tcPr>
            <w:tcW w:w="1109" w:type="dxa"/>
            <w:tcBorders>
              <w:top w:val="single" w:sz="8" w:space="0" w:color="002D5D"/>
              <w:left w:val="single" w:sz="4" w:space="0" w:color="000000"/>
              <w:right w:val="single" w:sz="4" w:space="0" w:color="000000"/>
            </w:tcBorders>
          </w:tcPr>
          <w:p>
            <w:pPr>
              <w:pStyle w:val="TableParagraph"/>
              <w:spacing w:before="73"/>
              <w:ind w:right="61"/>
              <w:jc w:val="right"/>
              <w:rPr>
                <w:sz w:val="17"/>
              </w:rPr>
            </w:pPr>
            <w:r>
              <w:rPr>
                <w:spacing w:val="-2"/>
                <w:sz w:val="17"/>
              </w:rPr>
              <w:t>307.722,69</w:t>
            </w:r>
          </w:p>
        </w:tc>
        <w:tc>
          <w:tcPr>
            <w:tcW w:w="411" w:type="dxa"/>
            <w:tcBorders>
              <w:top w:val="single" w:sz="8" w:space="0" w:color="002D5D"/>
              <w:left w:val="single" w:sz="4" w:space="0" w:color="000000"/>
              <w:right w:val="single" w:sz="4" w:space="0" w:color="000000"/>
            </w:tcBorders>
          </w:tcPr>
          <w:p>
            <w:pPr>
              <w:pStyle w:val="TableParagraph"/>
              <w:spacing w:before="73"/>
              <w:ind w:right="22"/>
              <w:jc w:val="center"/>
              <w:rPr>
                <w:sz w:val="17"/>
              </w:rPr>
            </w:pPr>
            <w:r>
              <w:rPr>
                <w:spacing w:val="-10"/>
                <w:sz w:val="17"/>
              </w:rPr>
              <w:t>3</w:t>
            </w:r>
          </w:p>
        </w:tc>
        <w:tc>
          <w:tcPr>
            <w:tcW w:w="1032" w:type="dxa"/>
            <w:tcBorders>
              <w:top w:val="single" w:sz="8" w:space="0" w:color="002D5D"/>
              <w:left w:val="single" w:sz="4" w:space="0" w:color="000000"/>
              <w:right w:val="single" w:sz="4" w:space="0" w:color="000000"/>
            </w:tcBorders>
          </w:tcPr>
          <w:p>
            <w:pPr>
              <w:pStyle w:val="TableParagraph"/>
              <w:spacing w:before="73"/>
              <w:ind w:left="83"/>
              <w:jc w:val="center"/>
              <w:rPr>
                <w:sz w:val="17"/>
              </w:rPr>
            </w:pPr>
            <w:r>
              <w:rPr>
                <w:spacing w:val="-2"/>
                <w:sz w:val="17"/>
              </w:rPr>
              <w:t>1.265.078,60</w:t>
            </w:r>
          </w:p>
        </w:tc>
        <w:tc>
          <w:tcPr>
            <w:tcW w:w="408" w:type="dxa"/>
            <w:tcBorders>
              <w:top w:val="single" w:sz="8" w:space="0" w:color="002D5D"/>
              <w:left w:val="single" w:sz="4" w:space="0" w:color="000000"/>
              <w:right w:val="single" w:sz="4" w:space="0" w:color="000000"/>
            </w:tcBorders>
          </w:tcPr>
          <w:p>
            <w:pPr>
              <w:pStyle w:val="TableParagraph"/>
              <w:spacing w:before="73"/>
              <w:ind w:right="25"/>
              <w:jc w:val="center"/>
              <w:rPr>
                <w:sz w:val="17"/>
              </w:rPr>
            </w:pPr>
            <w:r>
              <w:rPr>
                <w:spacing w:val="-10"/>
                <w:sz w:val="17"/>
              </w:rPr>
              <w:t>0</w:t>
            </w:r>
          </w:p>
        </w:tc>
        <w:tc>
          <w:tcPr>
            <w:tcW w:w="956" w:type="dxa"/>
            <w:tcBorders>
              <w:top w:val="single" w:sz="8" w:space="0" w:color="002D5D"/>
              <w:left w:val="single" w:sz="4" w:space="0" w:color="000000"/>
              <w:right w:val="single" w:sz="4" w:space="0" w:color="000000"/>
            </w:tcBorders>
          </w:tcPr>
          <w:p>
            <w:pPr>
              <w:pStyle w:val="TableParagraph"/>
              <w:spacing w:before="73"/>
              <w:ind w:right="61"/>
              <w:jc w:val="right"/>
              <w:rPr>
                <w:sz w:val="17"/>
              </w:rPr>
            </w:pPr>
            <w:r>
              <w:rPr>
                <w:spacing w:val="-4"/>
                <w:sz w:val="17"/>
              </w:rPr>
              <w:t>0,00</w:t>
            </w:r>
          </w:p>
        </w:tc>
        <w:tc>
          <w:tcPr>
            <w:tcW w:w="293" w:type="dxa"/>
            <w:tcBorders>
              <w:top w:val="single" w:sz="8" w:space="0" w:color="002D5D"/>
              <w:left w:val="single" w:sz="4" w:space="0" w:color="000000"/>
              <w:right w:val="single" w:sz="4" w:space="0" w:color="000000"/>
            </w:tcBorders>
          </w:tcPr>
          <w:p>
            <w:pPr>
              <w:pStyle w:val="TableParagraph"/>
              <w:spacing w:before="73"/>
              <w:ind w:right="30"/>
              <w:jc w:val="center"/>
              <w:rPr>
                <w:sz w:val="17"/>
              </w:rPr>
            </w:pPr>
            <w:r>
              <w:rPr>
                <w:spacing w:val="-10"/>
                <w:sz w:val="17"/>
              </w:rPr>
              <w:t>1</w:t>
            </w:r>
          </w:p>
        </w:tc>
        <w:tc>
          <w:tcPr>
            <w:tcW w:w="955" w:type="dxa"/>
            <w:tcBorders>
              <w:top w:val="single" w:sz="8" w:space="0" w:color="002D5D"/>
              <w:left w:val="single" w:sz="4" w:space="0" w:color="000000"/>
              <w:right w:val="single" w:sz="4" w:space="0" w:color="000000"/>
            </w:tcBorders>
          </w:tcPr>
          <w:p>
            <w:pPr>
              <w:pStyle w:val="TableParagraph"/>
              <w:spacing w:before="73"/>
              <w:ind w:left="69"/>
              <w:rPr>
                <w:sz w:val="17"/>
              </w:rPr>
            </w:pPr>
            <w:r>
              <w:rPr>
                <w:spacing w:val="-2"/>
                <w:sz w:val="17"/>
              </w:rPr>
              <w:t>1.495.474,00</w:t>
            </w:r>
          </w:p>
        </w:tc>
        <w:tc>
          <w:tcPr>
            <w:tcW w:w="430" w:type="dxa"/>
            <w:tcBorders>
              <w:top w:val="single" w:sz="8" w:space="0" w:color="002D5D"/>
              <w:left w:val="single" w:sz="4" w:space="0" w:color="000000"/>
              <w:right w:val="single" w:sz="4" w:space="0" w:color="000000"/>
            </w:tcBorders>
          </w:tcPr>
          <w:p>
            <w:pPr>
              <w:pStyle w:val="TableParagraph"/>
              <w:spacing w:before="73"/>
              <w:ind w:right="117"/>
              <w:jc w:val="right"/>
              <w:rPr>
                <w:sz w:val="17"/>
              </w:rPr>
            </w:pPr>
            <w:r>
              <w:rPr>
                <w:spacing w:val="-10"/>
                <w:sz w:val="17"/>
              </w:rPr>
              <w:t>8</w:t>
            </w:r>
          </w:p>
        </w:tc>
        <w:tc>
          <w:tcPr>
            <w:tcW w:w="1111" w:type="dxa"/>
            <w:tcBorders>
              <w:top w:val="single" w:sz="8" w:space="0" w:color="002D5D"/>
              <w:left w:val="single" w:sz="4" w:space="0" w:color="000000"/>
              <w:right w:val="single" w:sz="4" w:space="0" w:color="000000"/>
            </w:tcBorders>
          </w:tcPr>
          <w:p>
            <w:pPr>
              <w:pStyle w:val="TableParagraph"/>
              <w:spacing w:before="73"/>
              <w:ind w:right="61"/>
              <w:jc w:val="right"/>
              <w:rPr>
                <w:sz w:val="17"/>
              </w:rPr>
            </w:pPr>
            <w:r>
              <w:rPr>
                <w:spacing w:val="-2"/>
                <w:sz w:val="17"/>
              </w:rPr>
              <w:t>94.441.906,20</w:t>
            </w:r>
          </w:p>
        </w:tc>
      </w:tr>
      <w:tr>
        <w:trPr>
          <w:trHeight w:val="345" w:hRule="atLeast"/>
        </w:trPr>
        <w:tc>
          <w:tcPr>
            <w:tcW w:w="1419" w:type="dxa"/>
            <w:tcBorders>
              <w:top w:val="nil"/>
              <w:left w:val="nil"/>
              <w:bottom w:val="nil"/>
              <w:right w:val="nil"/>
            </w:tcBorders>
            <w:shd w:val="clear" w:color="auto" w:fill="002D5D"/>
          </w:tcPr>
          <w:p>
            <w:pPr>
              <w:pStyle w:val="TableParagraph"/>
              <w:spacing w:before="78"/>
              <w:ind w:left="131"/>
              <w:rPr>
                <w:b/>
                <w:sz w:val="17"/>
              </w:rPr>
            </w:pPr>
            <w:r>
              <w:rPr>
                <w:b/>
                <w:color w:val="FFFFFF"/>
                <w:spacing w:val="-2"/>
                <w:sz w:val="17"/>
              </w:rPr>
              <w:t>TOTAL</w:t>
            </w:r>
          </w:p>
        </w:tc>
        <w:tc>
          <w:tcPr>
            <w:tcW w:w="437" w:type="dxa"/>
            <w:tcBorders>
              <w:top w:val="nil"/>
              <w:left w:val="nil"/>
              <w:bottom w:val="nil"/>
              <w:right w:val="nil"/>
            </w:tcBorders>
            <w:shd w:val="clear" w:color="auto" w:fill="002D5D"/>
          </w:tcPr>
          <w:p>
            <w:pPr>
              <w:pStyle w:val="TableParagraph"/>
              <w:spacing w:before="78"/>
              <w:ind w:left="7" w:right="87"/>
              <w:jc w:val="center"/>
              <w:rPr>
                <w:b/>
                <w:sz w:val="17"/>
              </w:rPr>
            </w:pPr>
            <w:r>
              <w:rPr>
                <w:b/>
                <w:color w:val="FFFFFF"/>
                <w:spacing w:val="-5"/>
                <w:sz w:val="17"/>
              </w:rPr>
              <w:t>17</w:t>
            </w:r>
          </w:p>
        </w:tc>
        <w:tc>
          <w:tcPr>
            <w:tcW w:w="1182" w:type="dxa"/>
            <w:tcBorders>
              <w:top w:val="nil"/>
              <w:left w:val="nil"/>
              <w:bottom w:val="nil"/>
              <w:right w:val="nil"/>
            </w:tcBorders>
            <w:shd w:val="clear" w:color="auto" w:fill="002D5D"/>
          </w:tcPr>
          <w:p>
            <w:pPr>
              <w:pStyle w:val="TableParagraph"/>
              <w:spacing w:before="78"/>
              <w:ind w:right="63"/>
              <w:jc w:val="right"/>
              <w:rPr>
                <w:b/>
                <w:sz w:val="17"/>
              </w:rPr>
            </w:pPr>
            <w:r>
              <w:rPr>
                <w:b/>
                <w:color w:val="FFFFFF"/>
                <w:spacing w:val="-2"/>
                <w:sz w:val="17"/>
              </w:rPr>
              <w:t>259.923.777,66</w:t>
            </w:r>
          </w:p>
        </w:tc>
        <w:tc>
          <w:tcPr>
            <w:tcW w:w="411" w:type="dxa"/>
            <w:tcBorders>
              <w:top w:val="nil"/>
              <w:left w:val="nil"/>
              <w:bottom w:val="nil"/>
              <w:right w:val="nil"/>
            </w:tcBorders>
            <w:shd w:val="clear" w:color="auto" w:fill="002D5D"/>
          </w:tcPr>
          <w:p>
            <w:pPr>
              <w:pStyle w:val="TableParagraph"/>
              <w:spacing w:before="78"/>
              <w:ind w:left="7" w:right="110"/>
              <w:jc w:val="center"/>
              <w:rPr>
                <w:b/>
                <w:sz w:val="17"/>
              </w:rPr>
            </w:pPr>
            <w:r>
              <w:rPr>
                <w:b/>
                <w:color w:val="FFFFFF"/>
                <w:spacing w:val="-5"/>
                <w:sz w:val="17"/>
              </w:rPr>
              <w:t>19</w:t>
            </w:r>
          </w:p>
        </w:tc>
        <w:tc>
          <w:tcPr>
            <w:tcW w:w="1109" w:type="dxa"/>
            <w:tcBorders>
              <w:top w:val="nil"/>
              <w:left w:val="nil"/>
              <w:bottom w:val="nil"/>
              <w:right w:val="nil"/>
            </w:tcBorders>
            <w:shd w:val="clear" w:color="auto" w:fill="002D5D"/>
          </w:tcPr>
          <w:p>
            <w:pPr>
              <w:pStyle w:val="TableParagraph"/>
              <w:spacing w:before="78"/>
              <w:ind w:right="66"/>
              <w:jc w:val="right"/>
              <w:rPr>
                <w:b/>
                <w:sz w:val="17"/>
              </w:rPr>
            </w:pPr>
            <w:r>
              <w:rPr>
                <w:b/>
                <w:color w:val="FFFFFF"/>
                <w:spacing w:val="-2"/>
                <w:sz w:val="17"/>
              </w:rPr>
              <w:t>108.608.430,19</w:t>
            </w:r>
          </w:p>
        </w:tc>
        <w:tc>
          <w:tcPr>
            <w:tcW w:w="411" w:type="dxa"/>
            <w:tcBorders>
              <w:top w:val="nil"/>
              <w:left w:val="nil"/>
              <w:bottom w:val="nil"/>
              <w:right w:val="nil"/>
            </w:tcBorders>
            <w:shd w:val="clear" w:color="auto" w:fill="002D5D"/>
          </w:tcPr>
          <w:p>
            <w:pPr>
              <w:pStyle w:val="TableParagraph"/>
              <w:spacing w:before="78"/>
              <w:ind w:left="7" w:right="111"/>
              <w:jc w:val="center"/>
              <w:rPr>
                <w:b/>
                <w:sz w:val="17"/>
              </w:rPr>
            </w:pPr>
            <w:r>
              <w:rPr>
                <w:b/>
                <w:color w:val="FFFFFF"/>
                <w:spacing w:val="-5"/>
                <w:sz w:val="17"/>
              </w:rPr>
              <w:t>47</w:t>
            </w:r>
          </w:p>
        </w:tc>
        <w:tc>
          <w:tcPr>
            <w:tcW w:w="1032" w:type="dxa"/>
            <w:tcBorders>
              <w:top w:val="nil"/>
              <w:left w:val="nil"/>
              <w:bottom w:val="nil"/>
              <w:right w:val="nil"/>
            </w:tcBorders>
            <w:shd w:val="clear" w:color="auto" w:fill="002D5D"/>
          </w:tcPr>
          <w:p>
            <w:pPr>
              <w:pStyle w:val="TableParagraph"/>
              <w:spacing w:before="78"/>
              <w:ind w:left="4" w:right="1"/>
              <w:jc w:val="center"/>
              <w:rPr>
                <w:b/>
                <w:sz w:val="17"/>
              </w:rPr>
            </w:pPr>
            <w:r>
              <w:rPr>
                <w:b/>
                <w:color w:val="FFFFFF"/>
                <w:spacing w:val="-2"/>
                <w:sz w:val="17"/>
              </w:rPr>
              <w:t>36.750.822,23</w:t>
            </w:r>
          </w:p>
        </w:tc>
        <w:tc>
          <w:tcPr>
            <w:tcW w:w="408" w:type="dxa"/>
            <w:tcBorders>
              <w:top w:val="nil"/>
              <w:left w:val="nil"/>
              <w:bottom w:val="nil"/>
              <w:right w:val="nil"/>
            </w:tcBorders>
            <w:shd w:val="clear" w:color="auto" w:fill="002D5D"/>
          </w:tcPr>
          <w:p>
            <w:pPr>
              <w:pStyle w:val="TableParagraph"/>
              <w:spacing w:before="78"/>
              <w:ind w:left="3" w:right="110"/>
              <w:jc w:val="center"/>
              <w:rPr>
                <w:b/>
                <w:sz w:val="17"/>
              </w:rPr>
            </w:pPr>
            <w:r>
              <w:rPr>
                <w:b/>
                <w:color w:val="FFFFFF"/>
                <w:spacing w:val="-5"/>
                <w:sz w:val="17"/>
              </w:rPr>
              <w:t>10</w:t>
            </w:r>
          </w:p>
        </w:tc>
        <w:tc>
          <w:tcPr>
            <w:tcW w:w="956" w:type="dxa"/>
            <w:tcBorders>
              <w:top w:val="nil"/>
              <w:left w:val="nil"/>
              <w:bottom w:val="nil"/>
              <w:right w:val="nil"/>
            </w:tcBorders>
            <w:shd w:val="clear" w:color="auto" w:fill="002D5D"/>
          </w:tcPr>
          <w:p>
            <w:pPr>
              <w:pStyle w:val="TableParagraph"/>
              <w:spacing w:before="78"/>
              <w:ind w:right="67"/>
              <w:jc w:val="right"/>
              <w:rPr>
                <w:b/>
                <w:sz w:val="17"/>
              </w:rPr>
            </w:pPr>
            <w:r>
              <w:rPr>
                <w:b/>
                <w:color w:val="FFFFFF"/>
                <w:spacing w:val="-2"/>
                <w:sz w:val="17"/>
              </w:rPr>
              <w:t>1.575.307,25</w:t>
            </w:r>
          </w:p>
        </w:tc>
        <w:tc>
          <w:tcPr>
            <w:tcW w:w="293" w:type="dxa"/>
            <w:tcBorders>
              <w:top w:val="nil"/>
              <w:left w:val="nil"/>
              <w:bottom w:val="nil"/>
              <w:right w:val="nil"/>
            </w:tcBorders>
            <w:shd w:val="clear" w:color="auto" w:fill="002D5D"/>
          </w:tcPr>
          <w:p>
            <w:pPr>
              <w:pStyle w:val="TableParagraph"/>
              <w:spacing w:before="78"/>
              <w:ind w:left="3" w:right="33"/>
              <w:jc w:val="center"/>
              <w:rPr>
                <w:b/>
                <w:sz w:val="17"/>
              </w:rPr>
            </w:pPr>
            <w:r>
              <w:rPr>
                <w:b/>
                <w:color w:val="FFFFFF"/>
                <w:spacing w:val="-10"/>
                <w:sz w:val="17"/>
              </w:rPr>
              <w:t>7</w:t>
            </w:r>
          </w:p>
        </w:tc>
        <w:tc>
          <w:tcPr>
            <w:tcW w:w="955" w:type="dxa"/>
            <w:tcBorders>
              <w:top w:val="nil"/>
              <w:left w:val="nil"/>
              <w:bottom w:val="nil"/>
              <w:right w:val="nil"/>
            </w:tcBorders>
            <w:shd w:val="clear" w:color="auto" w:fill="002D5D"/>
          </w:tcPr>
          <w:p>
            <w:pPr>
              <w:pStyle w:val="TableParagraph"/>
              <w:spacing w:before="78"/>
              <w:ind w:left="74"/>
              <w:rPr>
                <w:b/>
                <w:sz w:val="17"/>
              </w:rPr>
            </w:pPr>
            <w:r>
              <w:rPr>
                <w:b/>
                <w:color w:val="FFFFFF"/>
                <w:spacing w:val="-2"/>
                <w:sz w:val="17"/>
              </w:rPr>
              <w:t>7.277.416,44</w:t>
            </w:r>
          </w:p>
        </w:tc>
        <w:tc>
          <w:tcPr>
            <w:tcW w:w="430" w:type="dxa"/>
            <w:tcBorders>
              <w:top w:val="nil"/>
              <w:left w:val="nil"/>
              <w:bottom w:val="nil"/>
              <w:right w:val="nil"/>
            </w:tcBorders>
            <w:shd w:val="clear" w:color="auto" w:fill="002D5D"/>
          </w:tcPr>
          <w:p>
            <w:pPr>
              <w:pStyle w:val="TableParagraph"/>
              <w:spacing w:before="78"/>
              <w:ind w:right="125"/>
              <w:jc w:val="right"/>
              <w:rPr>
                <w:b/>
                <w:sz w:val="17"/>
              </w:rPr>
            </w:pPr>
            <w:r>
              <w:rPr>
                <w:b/>
                <w:color w:val="FFFFFF"/>
                <w:spacing w:val="-5"/>
                <w:sz w:val="17"/>
              </w:rPr>
              <w:t>100</w:t>
            </w:r>
          </w:p>
        </w:tc>
        <w:tc>
          <w:tcPr>
            <w:tcW w:w="1111" w:type="dxa"/>
            <w:tcBorders>
              <w:top w:val="nil"/>
              <w:left w:val="nil"/>
              <w:bottom w:val="nil"/>
              <w:right w:val="single" w:sz="4" w:space="0" w:color="000000"/>
            </w:tcBorders>
            <w:shd w:val="clear" w:color="auto" w:fill="002D5D"/>
          </w:tcPr>
          <w:p>
            <w:pPr>
              <w:pStyle w:val="TableParagraph"/>
              <w:spacing w:before="78"/>
              <w:ind w:left="74"/>
              <w:rPr>
                <w:b/>
                <w:sz w:val="17"/>
              </w:rPr>
            </w:pPr>
            <w:r>
              <w:rPr>
                <w:b/>
                <w:color w:val="FFFFFF"/>
                <w:spacing w:val="-2"/>
                <w:sz w:val="17"/>
              </w:rPr>
              <w:t>414.135.753,77</w:t>
            </w:r>
          </w:p>
        </w:tc>
      </w:tr>
    </w:tbl>
    <w:p>
      <w:pPr>
        <w:spacing w:before="78"/>
        <w:ind w:left="807" w:right="0" w:firstLine="0"/>
        <w:jc w:val="left"/>
        <w:rPr>
          <w:rFonts w:ascii="Arial Narrow" w:hAnsi="Arial Narrow"/>
          <w:sz w:val="17"/>
        </w:rPr>
      </w:pPr>
      <w:r>
        <w:rPr>
          <w:rFonts w:ascii="Arial Narrow" w:hAnsi="Arial Narrow"/>
          <w:sz w:val="17"/>
        </w:rPr>
        <w:t>Fuente:</w:t>
      </w:r>
      <w:r>
        <w:rPr>
          <w:rFonts w:ascii="Arial Narrow" w:hAnsi="Arial Narrow"/>
          <w:spacing w:val="-5"/>
          <w:sz w:val="17"/>
        </w:rPr>
        <w:t> </w:t>
      </w:r>
      <w:r>
        <w:rPr>
          <w:rFonts w:ascii="Arial Narrow" w:hAnsi="Arial Narrow"/>
          <w:sz w:val="17"/>
        </w:rPr>
        <w:t>Elaboración</w:t>
      </w:r>
      <w:r>
        <w:rPr>
          <w:rFonts w:ascii="Arial Narrow" w:hAnsi="Arial Narrow"/>
          <w:spacing w:val="-3"/>
          <w:sz w:val="17"/>
        </w:rPr>
        <w:t> </w:t>
      </w:r>
      <w:r>
        <w:rPr>
          <w:rFonts w:ascii="Arial Narrow" w:hAnsi="Arial Narrow"/>
          <w:sz w:val="17"/>
        </w:rPr>
        <w:t>propia</w:t>
      </w:r>
      <w:r>
        <w:rPr>
          <w:rFonts w:ascii="Arial Narrow" w:hAnsi="Arial Narrow"/>
          <w:spacing w:val="-3"/>
          <w:sz w:val="17"/>
        </w:rPr>
        <w:t> </w:t>
      </w:r>
      <w:r>
        <w:rPr>
          <w:rFonts w:ascii="Arial Narrow" w:hAnsi="Arial Narrow"/>
          <w:sz w:val="17"/>
        </w:rPr>
        <w:t>a</w:t>
      </w:r>
      <w:r>
        <w:rPr>
          <w:rFonts w:ascii="Arial Narrow" w:hAnsi="Arial Narrow"/>
          <w:spacing w:val="-3"/>
          <w:sz w:val="17"/>
        </w:rPr>
        <w:t> </w:t>
      </w:r>
      <w:r>
        <w:rPr>
          <w:rFonts w:ascii="Arial Narrow" w:hAnsi="Arial Narrow"/>
          <w:sz w:val="17"/>
        </w:rPr>
        <w:t>partir</w:t>
      </w:r>
      <w:r>
        <w:rPr>
          <w:rFonts w:ascii="Arial Narrow" w:hAnsi="Arial Narrow"/>
          <w:spacing w:val="-3"/>
          <w:sz w:val="17"/>
        </w:rPr>
        <w:t> </w:t>
      </w:r>
      <w:r>
        <w:rPr>
          <w:rFonts w:ascii="Arial Narrow" w:hAnsi="Arial Narrow"/>
          <w:sz w:val="17"/>
        </w:rPr>
        <w:t>de</w:t>
      </w:r>
      <w:r>
        <w:rPr>
          <w:rFonts w:ascii="Arial Narrow" w:hAnsi="Arial Narrow"/>
          <w:spacing w:val="-3"/>
          <w:sz w:val="17"/>
        </w:rPr>
        <w:t> </w:t>
      </w:r>
      <w:r>
        <w:rPr>
          <w:rFonts w:ascii="Arial Narrow" w:hAnsi="Arial Narrow"/>
          <w:sz w:val="17"/>
        </w:rPr>
        <w:t>los</w:t>
      </w:r>
      <w:r>
        <w:rPr>
          <w:rFonts w:ascii="Arial Narrow" w:hAnsi="Arial Narrow"/>
          <w:spacing w:val="-3"/>
          <w:sz w:val="17"/>
        </w:rPr>
        <w:t> </w:t>
      </w:r>
      <w:r>
        <w:rPr>
          <w:rFonts w:ascii="Arial Narrow" w:hAnsi="Arial Narrow"/>
          <w:sz w:val="17"/>
        </w:rPr>
        <w:t>datos</w:t>
      </w:r>
      <w:r>
        <w:rPr>
          <w:rFonts w:ascii="Arial Narrow" w:hAnsi="Arial Narrow"/>
          <w:spacing w:val="-2"/>
          <w:sz w:val="17"/>
        </w:rPr>
        <w:t> </w:t>
      </w:r>
      <w:r>
        <w:rPr>
          <w:rFonts w:ascii="Arial Narrow" w:hAnsi="Arial Narrow"/>
          <w:sz w:val="17"/>
        </w:rPr>
        <w:t>facilitados</w:t>
      </w:r>
      <w:r>
        <w:rPr>
          <w:rFonts w:ascii="Arial Narrow" w:hAnsi="Arial Narrow"/>
          <w:spacing w:val="-1"/>
          <w:sz w:val="17"/>
        </w:rPr>
        <w:t> </w:t>
      </w:r>
      <w:r>
        <w:rPr>
          <w:rFonts w:ascii="Arial Narrow" w:hAnsi="Arial Narrow"/>
          <w:sz w:val="17"/>
        </w:rPr>
        <w:t>por</w:t>
      </w:r>
      <w:r>
        <w:rPr>
          <w:rFonts w:ascii="Arial Narrow" w:hAnsi="Arial Narrow"/>
          <w:spacing w:val="-3"/>
          <w:sz w:val="17"/>
        </w:rPr>
        <w:t> </w:t>
      </w:r>
      <w:r>
        <w:rPr>
          <w:rFonts w:ascii="Arial Narrow" w:hAnsi="Arial Narrow"/>
          <w:sz w:val="17"/>
        </w:rPr>
        <w:t>las</w:t>
      </w:r>
      <w:r>
        <w:rPr>
          <w:rFonts w:ascii="Arial Narrow" w:hAnsi="Arial Narrow"/>
          <w:spacing w:val="-3"/>
          <w:sz w:val="17"/>
        </w:rPr>
        <w:t> </w:t>
      </w:r>
      <w:r>
        <w:rPr>
          <w:rFonts w:ascii="Arial Narrow" w:hAnsi="Arial Narrow"/>
          <w:sz w:val="17"/>
        </w:rPr>
        <w:t>entidades</w:t>
      </w:r>
      <w:r>
        <w:rPr>
          <w:rFonts w:ascii="Arial Narrow" w:hAnsi="Arial Narrow"/>
          <w:spacing w:val="-2"/>
          <w:sz w:val="17"/>
        </w:rPr>
        <w:t> fiscalizadas</w:t>
      </w:r>
    </w:p>
    <w:p>
      <w:pPr>
        <w:pStyle w:val="BodyText"/>
        <w:spacing w:before="117"/>
        <w:rPr>
          <w:rFonts w:ascii="Arial Narrow"/>
          <w:sz w:val="17"/>
        </w:rPr>
      </w:pPr>
    </w:p>
    <w:p>
      <w:pPr>
        <w:pStyle w:val="BodyText"/>
        <w:ind w:left="992" w:right="986"/>
        <w:jc w:val="both"/>
      </w:pPr>
      <w:r>
        <w:rPr/>
        <w:t>Estas actuaciones se llevaron a cabo mayoritariamente con medios externos. Los ayuntamientos, las empresas municipales o las concesionarias acudieron a su</w:t>
      </w:r>
      <w:r>
        <w:rPr>
          <w:spacing w:val="-1"/>
        </w:rPr>
        <w:t> </w:t>
      </w:r>
      <w:r>
        <w:rPr/>
        <w:t>contratación, siendo excepcional el empleo</w:t>
      </w:r>
      <w:r>
        <w:rPr>
          <w:spacing w:val="-16"/>
        </w:rPr>
        <w:t> </w:t>
      </w:r>
      <w:r>
        <w:rPr/>
        <w:t>de</w:t>
      </w:r>
      <w:r>
        <w:rPr>
          <w:spacing w:val="-15"/>
        </w:rPr>
        <w:t> </w:t>
      </w:r>
      <w:r>
        <w:rPr/>
        <w:t>medios</w:t>
      </w:r>
      <w:r>
        <w:rPr>
          <w:spacing w:val="-14"/>
        </w:rPr>
        <w:t> </w:t>
      </w:r>
      <w:r>
        <w:rPr/>
        <w:t>propios</w:t>
      </w:r>
      <w:r>
        <w:rPr>
          <w:spacing w:val="-13"/>
        </w:rPr>
        <w:t> </w:t>
      </w:r>
      <w:r>
        <w:rPr>
          <w:rFonts w:ascii="Symbol" w:hAnsi="Symbol"/>
        </w:rPr>
        <w:t></w:t>
      </w:r>
      <w:r>
        <w:rPr/>
        <w:t>actuaciones</w:t>
      </w:r>
      <w:r>
        <w:rPr>
          <w:spacing w:val="-13"/>
        </w:rPr>
        <w:t> </w:t>
      </w:r>
      <w:r>
        <w:rPr/>
        <w:t>de</w:t>
      </w:r>
      <w:r>
        <w:rPr>
          <w:spacing w:val="-16"/>
        </w:rPr>
        <w:t> </w:t>
      </w:r>
      <w:r>
        <w:rPr/>
        <w:t>información</w:t>
      </w:r>
      <w:r>
        <w:rPr>
          <w:spacing w:val="-14"/>
        </w:rPr>
        <w:t> </w:t>
      </w:r>
      <w:r>
        <w:rPr/>
        <w:t>y</w:t>
      </w:r>
      <w:r>
        <w:rPr>
          <w:spacing w:val="-13"/>
        </w:rPr>
        <w:t> </w:t>
      </w:r>
      <w:r>
        <w:rPr/>
        <w:t>difusión</w:t>
      </w:r>
      <w:r>
        <w:rPr>
          <w:spacing w:val="-14"/>
        </w:rPr>
        <w:t> </w:t>
      </w:r>
      <w:r>
        <w:rPr/>
        <w:t>del</w:t>
      </w:r>
      <w:r>
        <w:rPr>
          <w:spacing w:val="-15"/>
        </w:rPr>
        <w:t> </w:t>
      </w:r>
      <w:r>
        <w:rPr>
          <w:b/>
        </w:rPr>
        <w:t>Ayuntamiento</w:t>
      </w:r>
      <w:r>
        <w:rPr>
          <w:b/>
          <w:spacing w:val="-14"/>
        </w:rPr>
        <w:t> </w:t>
      </w:r>
      <w:r>
        <w:rPr>
          <w:b/>
        </w:rPr>
        <w:t>de</w:t>
      </w:r>
      <w:r>
        <w:rPr>
          <w:b/>
          <w:spacing w:val="-16"/>
        </w:rPr>
        <w:t> </w:t>
      </w:r>
      <w:r>
        <w:rPr>
          <w:b/>
        </w:rPr>
        <w:t>Córdoba</w:t>
      </w:r>
      <w:r>
        <w:rPr>
          <w:rFonts w:ascii="Symbol" w:hAnsi="Symbol"/>
        </w:rPr>
        <w:t></w:t>
      </w:r>
      <w:r>
        <w:rPr/>
        <w:t>.</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ListParagraph"/>
        <w:numPr>
          <w:ilvl w:val="3"/>
          <w:numId w:val="3"/>
        </w:numPr>
        <w:tabs>
          <w:tab w:pos="1779" w:val="left" w:leader="none"/>
        </w:tabs>
        <w:spacing w:line="240" w:lineRule="auto" w:before="0" w:after="0"/>
        <w:ind w:left="992" w:right="993" w:firstLine="0"/>
        <w:jc w:val="left"/>
        <w:rPr>
          <w:sz w:val="22"/>
        </w:rPr>
      </w:pPr>
      <w:r>
        <w:rPr>
          <w:sz w:val="22"/>
        </w:rPr>
        <w:t>ADQUISICIÓN</w:t>
      </w:r>
      <w:r>
        <w:rPr>
          <w:spacing w:val="-1"/>
          <w:sz w:val="22"/>
        </w:rPr>
        <w:t> </w:t>
      </w:r>
      <w:r>
        <w:rPr>
          <w:sz w:val="22"/>
        </w:rPr>
        <w:t>DE</w:t>
      </w:r>
      <w:r>
        <w:rPr>
          <w:spacing w:val="-3"/>
          <w:sz w:val="22"/>
        </w:rPr>
        <w:t> </w:t>
      </w:r>
      <w:r>
        <w:rPr>
          <w:sz w:val="22"/>
        </w:rPr>
        <w:t>MATERIAL MÓVIL E</w:t>
      </w:r>
      <w:r>
        <w:rPr>
          <w:spacing w:val="-3"/>
          <w:sz w:val="22"/>
        </w:rPr>
        <w:t> </w:t>
      </w:r>
      <w:r>
        <w:rPr>
          <w:sz w:val="22"/>
        </w:rPr>
        <w:t>INFRAESTRUCTURAS</w:t>
      </w:r>
      <w:r>
        <w:rPr>
          <w:spacing w:val="-1"/>
          <w:sz w:val="22"/>
        </w:rPr>
        <w:t> </w:t>
      </w:r>
      <w:r>
        <w:rPr>
          <w:sz w:val="22"/>
        </w:rPr>
        <w:t>PARA LA</w:t>
      </w:r>
      <w:r>
        <w:rPr>
          <w:spacing w:val="-1"/>
          <w:sz w:val="22"/>
        </w:rPr>
        <w:t> </w:t>
      </w:r>
      <w:r>
        <w:rPr>
          <w:sz w:val="22"/>
        </w:rPr>
        <w:t>RECARGA</w:t>
      </w:r>
      <w:r>
        <w:rPr>
          <w:spacing w:val="-1"/>
          <w:sz w:val="22"/>
        </w:rPr>
        <w:t> </w:t>
      </w:r>
      <w:r>
        <w:rPr>
          <w:sz w:val="22"/>
        </w:rPr>
        <w:t>DE </w:t>
      </w:r>
      <w:r>
        <w:rPr>
          <w:spacing w:val="-2"/>
          <w:sz w:val="22"/>
        </w:rPr>
        <w:t>VEHÍCULOS</w:t>
      </w:r>
    </w:p>
    <w:p>
      <w:pPr>
        <w:spacing w:before="240"/>
        <w:ind w:left="992" w:right="0" w:firstLine="0"/>
        <w:jc w:val="both"/>
        <w:rPr>
          <w:i/>
          <w:sz w:val="22"/>
        </w:rPr>
      </w:pPr>
      <w:r>
        <w:rPr>
          <w:i/>
          <w:color w:val="365F91"/>
          <w:sz w:val="22"/>
        </w:rPr>
        <w:t>Adquisición</w:t>
      </w:r>
      <w:r>
        <w:rPr>
          <w:i/>
          <w:color w:val="365F91"/>
          <w:spacing w:val="-7"/>
          <w:sz w:val="22"/>
        </w:rPr>
        <w:t> </w:t>
      </w:r>
      <w:r>
        <w:rPr>
          <w:i/>
          <w:color w:val="365F91"/>
          <w:sz w:val="22"/>
        </w:rPr>
        <w:t>de</w:t>
      </w:r>
      <w:r>
        <w:rPr>
          <w:i/>
          <w:color w:val="365F91"/>
          <w:spacing w:val="-7"/>
          <w:sz w:val="22"/>
        </w:rPr>
        <w:t> </w:t>
      </w:r>
      <w:r>
        <w:rPr>
          <w:i/>
          <w:color w:val="365F91"/>
          <w:spacing w:val="-2"/>
          <w:sz w:val="22"/>
        </w:rPr>
        <w:t>autobuses</w:t>
      </w:r>
    </w:p>
    <w:p>
      <w:pPr>
        <w:pStyle w:val="BodyText"/>
        <w:spacing w:before="242"/>
        <w:ind w:left="992" w:right="985"/>
        <w:jc w:val="both"/>
      </w:pPr>
      <w:r>
        <w:rPr/>
        <w:t>Todos los ayuntamientos fiscalizados, salvo el </w:t>
      </w:r>
      <w:r>
        <w:rPr>
          <w:b/>
        </w:rPr>
        <w:t>Ayuntamiento de Murcia</w:t>
      </w:r>
      <w:hyperlink w:history="true" w:anchor="_bookmark46">
        <w:r>
          <w:rPr>
            <w:vertAlign w:val="superscript"/>
          </w:rPr>
          <w:t>24</w:t>
        </w:r>
      </w:hyperlink>
      <w:r>
        <w:rPr>
          <w:vertAlign w:val="baseline"/>
        </w:rPr>
        <w:t>, adquirieron, bien directamente o a través de las empresas municipales o concesionarias, autobuses en 2023 y/o 2024,</w:t>
      </w:r>
      <w:r>
        <w:rPr>
          <w:spacing w:val="-3"/>
          <w:vertAlign w:val="baseline"/>
        </w:rPr>
        <w:t> </w:t>
      </w:r>
      <w:r>
        <w:rPr>
          <w:vertAlign w:val="baseline"/>
        </w:rPr>
        <w:t>con</w:t>
      </w:r>
      <w:r>
        <w:rPr>
          <w:spacing w:val="-7"/>
          <w:vertAlign w:val="baseline"/>
        </w:rPr>
        <w:t> </w:t>
      </w:r>
      <w:r>
        <w:rPr>
          <w:vertAlign w:val="baseline"/>
        </w:rPr>
        <w:t>el</w:t>
      </w:r>
      <w:r>
        <w:rPr>
          <w:spacing w:val="-5"/>
          <w:vertAlign w:val="baseline"/>
        </w:rPr>
        <w:t> </w:t>
      </w:r>
      <w:r>
        <w:rPr>
          <w:vertAlign w:val="baseline"/>
        </w:rPr>
        <w:t>objeto</w:t>
      </w:r>
      <w:r>
        <w:rPr>
          <w:spacing w:val="-6"/>
          <w:vertAlign w:val="baseline"/>
        </w:rPr>
        <w:t> </w:t>
      </w:r>
      <w:r>
        <w:rPr>
          <w:vertAlign w:val="baseline"/>
        </w:rPr>
        <w:t>de</w:t>
      </w:r>
      <w:r>
        <w:rPr>
          <w:spacing w:val="-6"/>
          <w:vertAlign w:val="baseline"/>
        </w:rPr>
        <w:t> </w:t>
      </w:r>
      <w:r>
        <w:rPr>
          <w:vertAlign w:val="baseline"/>
        </w:rPr>
        <w:t>transformar</w:t>
      </w:r>
      <w:r>
        <w:rPr>
          <w:spacing w:val="-6"/>
          <w:vertAlign w:val="baseline"/>
        </w:rPr>
        <w:t> </w:t>
      </w:r>
      <w:r>
        <w:rPr>
          <w:vertAlign w:val="baseline"/>
        </w:rPr>
        <w:t>e</w:t>
      </w:r>
      <w:r>
        <w:rPr>
          <w:spacing w:val="-6"/>
          <w:vertAlign w:val="baseline"/>
        </w:rPr>
        <w:t> </w:t>
      </w:r>
      <w:r>
        <w:rPr>
          <w:vertAlign w:val="baseline"/>
        </w:rPr>
        <w:t>incrementar</w:t>
      </w:r>
      <w:r>
        <w:rPr>
          <w:spacing w:val="-8"/>
          <w:vertAlign w:val="baseline"/>
        </w:rPr>
        <w:t> </w:t>
      </w:r>
      <w:r>
        <w:rPr>
          <w:vertAlign w:val="baseline"/>
        </w:rPr>
        <w:t>las</w:t>
      </w:r>
      <w:r>
        <w:rPr>
          <w:spacing w:val="-4"/>
          <w:vertAlign w:val="baseline"/>
        </w:rPr>
        <w:t> </w:t>
      </w:r>
      <w:r>
        <w:rPr>
          <w:vertAlign w:val="baseline"/>
        </w:rPr>
        <w:t>flotas</w:t>
      </w:r>
      <w:r>
        <w:rPr>
          <w:spacing w:val="-6"/>
          <w:vertAlign w:val="baseline"/>
        </w:rPr>
        <w:t> </w:t>
      </w:r>
      <w:r>
        <w:rPr>
          <w:vertAlign w:val="baseline"/>
        </w:rPr>
        <w:t>de</w:t>
      </w:r>
      <w:r>
        <w:rPr>
          <w:spacing w:val="-7"/>
          <w:vertAlign w:val="baseline"/>
        </w:rPr>
        <w:t> </w:t>
      </w:r>
      <w:r>
        <w:rPr>
          <w:vertAlign w:val="baseline"/>
        </w:rPr>
        <w:t>transporte</w:t>
      </w:r>
      <w:r>
        <w:rPr>
          <w:spacing w:val="-4"/>
          <w:vertAlign w:val="baseline"/>
        </w:rPr>
        <w:t> </w:t>
      </w:r>
      <w:r>
        <w:rPr>
          <w:vertAlign w:val="baseline"/>
        </w:rPr>
        <w:t>público,</w:t>
      </w:r>
      <w:r>
        <w:rPr>
          <w:spacing w:val="-3"/>
          <w:vertAlign w:val="baseline"/>
        </w:rPr>
        <w:t> </w:t>
      </w:r>
      <w:r>
        <w:rPr>
          <w:vertAlign w:val="baseline"/>
        </w:rPr>
        <w:t>retirando</w:t>
      </w:r>
      <w:r>
        <w:rPr>
          <w:spacing w:val="-4"/>
          <w:vertAlign w:val="baseline"/>
        </w:rPr>
        <w:t> </w:t>
      </w:r>
      <w:r>
        <w:rPr>
          <w:vertAlign w:val="baseline"/>
        </w:rPr>
        <w:t>aquellos vehículos más antiguos con emisiones III o anteriores y sustituyéndolos por otros propulsados por energías limpias.</w:t>
      </w:r>
    </w:p>
    <w:p>
      <w:pPr>
        <w:pStyle w:val="BodyText"/>
        <w:spacing w:before="240"/>
        <w:ind w:left="992" w:right="987"/>
        <w:jc w:val="both"/>
      </w:pPr>
      <w:r>
        <w:rPr/>
        <w:t>La existencia de un alto número de autobuses con una edad media conjunta de 9,44 años y un elevado número de kilómetros de servicio ha llevado a las entidades a la sustitución de los autobuses disponibles por otros con mejores prestaciones medioambientales y de accesibilidad.</w:t>
      </w:r>
    </w:p>
    <w:p>
      <w:pPr>
        <w:pStyle w:val="BodyText"/>
        <w:spacing w:before="240"/>
        <w:ind w:left="992" w:right="985"/>
        <w:jc w:val="both"/>
      </w:pPr>
      <w:r>
        <w:rPr/>
        <w:t>Los </w:t>
      </w:r>
      <w:r>
        <w:rPr>
          <w:u w:val="single"/>
        </w:rPr>
        <w:t>planes sobre movilidad</w:t>
      </w:r>
      <w:r>
        <w:rPr>
          <w:u w:val="none"/>
        </w:rPr>
        <w:t> aprobados por estas entidades preveían la descarbonización de la movilidad</w:t>
      </w:r>
      <w:r>
        <w:rPr>
          <w:spacing w:val="-8"/>
          <w:u w:val="none"/>
        </w:rPr>
        <w:t> </w:t>
      </w:r>
      <w:r>
        <w:rPr>
          <w:u w:val="none"/>
        </w:rPr>
        <w:t>urbana</w:t>
      </w:r>
      <w:r>
        <w:rPr>
          <w:spacing w:val="-10"/>
          <w:u w:val="none"/>
        </w:rPr>
        <w:t> </w:t>
      </w:r>
      <w:r>
        <w:rPr>
          <w:u w:val="none"/>
        </w:rPr>
        <w:t>y</w:t>
      </w:r>
      <w:r>
        <w:rPr>
          <w:spacing w:val="-10"/>
          <w:u w:val="none"/>
        </w:rPr>
        <w:t> </w:t>
      </w:r>
      <w:r>
        <w:rPr>
          <w:u w:val="none"/>
        </w:rPr>
        <w:t>la</w:t>
      </w:r>
      <w:r>
        <w:rPr>
          <w:spacing w:val="-8"/>
          <w:u w:val="none"/>
        </w:rPr>
        <w:t> </w:t>
      </w:r>
      <w:r>
        <w:rPr>
          <w:u w:val="none"/>
        </w:rPr>
        <w:t>electrificación</w:t>
      </w:r>
      <w:r>
        <w:rPr>
          <w:spacing w:val="-11"/>
          <w:u w:val="none"/>
        </w:rPr>
        <w:t> </w:t>
      </w:r>
      <w:r>
        <w:rPr>
          <w:u w:val="none"/>
        </w:rPr>
        <w:t>del</w:t>
      </w:r>
      <w:r>
        <w:rPr>
          <w:spacing w:val="-11"/>
          <w:u w:val="none"/>
        </w:rPr>
        <w:t> </w:t>
      </w:r>
      <w:r>
        <w:rPr>
          <w:u w:val="none"/>
        </w:rPr>
        <w:t>transporte</w:t>
      </w:r>
      <w:r>
        <w:rPr>
          <w:spacing w:val="-10"/>
          <w:u w:val="none"/>
        </w:rPr>
        <w:t> </w:t>
      </w:r>
      <w:r>
        <w:rPr>
          <w:u w:val="none"/>
        </w:rPr>
        <w:t>público.</w:t>
      </w:r>
      <w:r>
        <w:rPr>
          <w:spacing w:val="-9"/>
          <w:u w:val="none"/>
        </w:rPr>
        <w:t> </w:t>
      </w:r>
      <w:r>
        <w:rPr>
          <w:u w:val="none"/>
        </w:rPr>
        <w:t>Un</w:t>
      </w:r>
      <w:r>
        <w:rPr>
          <w:spacing w:val="-10"/>
          <w:u w:val="none"/>
        </w:rPr>
        <w:t> </w:t>
      </w:r>
      <w:r>
        <w:rPr>
          <w:u w:val="none"/>
        </w:rPr>
        <w:t>menor</w:t>
      </w:r>
      <w:r>
        <w:rPr>
          <w:spacing w:val="-9"/>
          <w:u w:val="none"/>
        </w:rPr>
        <w:t> </w:t>
      </w:r>
      <w:r>
        <w:rPr>
          <w:u w:val="none"/>
        </w:rPr>
        <w:t>coste</w:t>
      </w:r>
      <w:r>
        <w:rPr>
          <w:spacing w:val="-13"/>
          <w:u w:val="none"/>
        </w:rPr>
        <w:t> </w:t>
      </w:r>
      <w:r>
        <w:rPr>
          <w:u w:val="none"/>
        </w:rPr>
        <w:t>de</w:t>
      </w:r>
      <w:r>
        <w:rPr>
          <w:spacing w:val="-8"/>
          <w:u w:val="none"/>
        </w:rPr>
        <w:t> </w:t>
      </w:r>
      <w:r>
        <w:rPr>
          <w:u w:val="none"/>
        </w:rPr>
        <w:t>consumo,</w:t>
      </w:r>
      <w:r>
        <w:rPr>
          <w:spacing w:val="-8"/>
          <w:u w:val="none"/>
        </w:rPr>
        <w:t> </w:t>
      </w:r>
      <w:r>
        <w:rPr>
          <w:u w:val="none"/>
        </w:rPr>
        <w:t>una</w:t>
      </w:r>
      <w:r>
        <w:rPr>
          <w:spacing w:val="-12"/>
          <w:u w:val="none"/>
        </w:rPr>
        <w:t> </w:t>
      </w:r>
      <w:r>
        <w:rPr>
          <w:u w:val="none"/>
        </w:rPr>
        <w:t>menor contaminación</w:t>
      </w:r>
      <w:r>
        <w:rPr>
          <w:spacing w:val="-4"/>
          <w:u w:val="none"/>
        </w:rPr>
        <w:t> </w:t>
      </w:r>
      <w:r>
        <w:rPr>
          <w:u w:val="none"/>
        </w:rPr>
        <w:t>atmosférica</w:t>
      </w:r>
      <w:r>
        <w:rPr>
          <w:spacing w:val="-3"/>
          <w:u w:val="none"/>
        </w:rPr>
        <w:t> </w:t>
      </w:r>
      <w:r>
        <w:rPr>
          <w:u w:val="none"/>
        </w:rPr>
        <w:t>y</w:t>
      </w:r>
      <w:r>
        <w:rPr>
          <w:spacing w:val="-4"/>
          <w:u w:val="none"/>
        </w:rPr>
        <w:t> </w:t>
      </w:r>
      <w:r>
        <w:rPr>
          <w:u w:val="none"/>
        </w:rPr>
        <w:t>la</w:t>
      </w:r>
      <w:r>
        <w:rPr>
          <w:spacing w:val="-6"/>
          <w:u w:val="none"/>
        </w:rPr>
        <w:t> </w:t>
      </w:r>
      <w:r>
        <w:rPr>
          <w:u w:val="none"/>
        </w:rPr>
        <w:t>no</w:t>
      </w:r>
      <w:r>
        <w:rPr>
          <w:spacing w:val="-4"/>
          <w:u w:val="none"/>
        </w:rPr>
        <w:t> </w:t>
      </w:r>
      <w:r>
        <w:rPr>
          <w:u w:val="none"/>
        </w:rPr>
        <w:t>emisión</w:t>
      </w:r>
      <w:r>
        <w:rPr>
          <w:spacing w:val="-4"/>
          <w:u w:val="none"/>
        </w:rPr>
        <w:t> </w:t>
      </w:r>
      <w:r>
        <w:rPr>
          <w:u w:val="none"/>
        </w:rPr>
        <w:t>de</w:t>
      </w:r>
      <w:r>
        <w:rPr>
          <w:spacing w:val="-7"/>
          <w:u w:val="none"/>
        </w:rPr>
        <w:t> </w:t>
      </w:r>
      <w:r>
        <w:rPr>
          <w:u w:val="none"/>
        </w:rPr>
        <w:t>ruidos</w:t>
      </w:r>
      <w:r>
        <w:rPr>
          <w:spacing w:val="-4"/>
          <w:u w:val="none"/>
        </w:rPr>
        <w:t> </w:t>
      </w:r>
      <w:r>
        <w:rPr>
          <w:u w:val="none"/>
        </w:rPr>
        <w:t>son</w:t>
      </w:r>
      <w:r>
        <w:rPr>
          <w:spacing w:val="-4"/>
          <w:u w:val="none"/>
        </w:rPr>
        <w:t> </w:t>
      </w:r>
      <w:r>
        <w:rPr>
          <w:u w:val="none"/>
        </w:rPr>
        <w:t>algunas</w:t>
      </w:r>
      <w:r>
        <w:rPr>
          <w:spacing w:val="-6"/>
          <w:u w:val="none"/>
        </w:rPr>
        <w:t> </w:t>
      </w:r>
      <w:r>
        <w:rPr>
          <w:u w:val="none"/>
        </w:rPr>
        <w:t>de</w:t>
      </w:r>
      <w:r>
        <w:rPr>
          <w:spacing w:val="-4"/>
          <w:u w:val="none"/>
        </w:rPr>
        <w:t> </w:t>
      </w:r>
      <w:r>
        <w:rPr>
          <w:u w:val="none"/>
        </w:rPr>
        <w:t>las</w:t>
      </w:r>
      <w:r>
        <w:rPr>
          <w:spacing w:val="-6"/>
          <w:u w:val="none"/>
        </w:rPr>
        <w:t> </w:t>
      </w:r>
      <w:r>
        <w:rPr>
          <w:u w:val="none"/>
        </w:rPr>
        <w:t>ventajas</w:t>
      </w:r>
      <w:r>
        <w:rPr>
          <w:spacing w:val="-6"/>
          <w:u w:val="none"/>
        </w:rPr>
        <w:t> </w:t>
      </w:r>
      <w:r>
        <w:rPr>
          <w:u w:val="none"/>
        </w:rPr>
        <w:t>que</w:t>
      </w:r>
      <w:r>
        <w:rPr>
          <w:spacing w:val="-4"/>
          <w:u w:val="none"/>
        </w:rPr>
        <w:t> </w:t>
      </w:r>
      <w:r>
        <w:rPr>
          <w:u w:val="none"/>
        </w:rPr>
        <w:t>las</w:t>
      </w:r>
      <w:r>
        <w:rPr>
          <w:spacing w:val="-6"/>
          <w:u w:val="none"/>
        </w:rPr>
        <w:t> </w:t>
      </w:r>
      <w:r>
        <w:rPr>
          <w:u w:val="none"/>
        </w:rPr>
        <w:t>entidades fiscalizadas observaban en los vehículos de transporte públicos eléctricos.</w:t>
      </w:r>
    </w:p>
    <w:p>
      <w:pPr>
        <w:pStyle w:val="BodyText"/>
        <w:spacing w:before="238"/>
        <w:ind w:left="992" w:right="986"/>
        <w:jc w:val="both"/>
      </w:pPr>
      <w:r>
        <w:rPr/>
        <w:t>No obstante, estos planes plantearon mayoritariamente la adquisición de vehículos de forma genérica, sin concretar el número y el porcentaje</w:t>
      </w:r>
      <w:r>
        <w:rPr>
          <w:spacing w:val="-2"/>
        </w:rPr>
        <w:t> </w:t>
      </w:r>
      <w:r>
        <w:rPr/>
        <w:t>de vehículos a adquirir, el tipo de combustible, ni el</w:t>
      </w:r>
      <w:r>
        <w:rPr>
          <w:spacing w:val="-6"/>
        </w:rPr>
        <w:t> </w:t>
      </w:r>
      <w:r>
        <w:rPr/>
        <w:t>periodo</w:t>
      </w:r>
      <w:r>
        <w:rPr>
          <w:spacing w:val="-8"/>
        </w:rPr>
        <w:t> </w:t>
      </w:r>
      <w:r>
        <w:rPr/>
        <w:t>temporal</w:t>
      </w:r>
      <w:r>
        <w:rPr>
          <w:spacing w:val="-6"/>
        </w:rPr>
        <w:t> </w:t>
      </w:r>
      <w:r>
        <w:rPr/>
        <w:t>en</w:t>
      </w:r>
      <w:r>
        <w:rPr>
          <w:spacing w:val="-8"/>
        </w:rPr>
        <w:t> </w:t>
      </w:r>
      <w:r>
        <w:rPr/>
        <w:t>el</w:t>
      </w:r>
      <w:r>
        <w:rPr>
          <w:spacing w:val="-11"/>
        </w:rPr>
        <w:t> </w:t>
      </w:r>
      <w:r>
        <w:rPr/>
        <w:t>que</w:t>
      </w:r>
      <w:r>
        <w:rPr>
          <w:spacing w:val="-5"/>
        </w:rPr>
        <w:t> </w:t>
      </w:r>
      <w:r>
        <w:rPr/>
        <w:t>habían</w:t>
      </w:r>
      <w:r>
        <w:rPr>
          <w:spacing w:val="-8"/>
        </w:rPr>
        <w:t> </w:t>
      </w:r>
      <w:r>
        <w:rPr/>
        <w:t>de</w:t>
      </w:r>
      <w:r>
        <w:rPr>
          <w:spacing w:val="-8"/>
        </w:rPr>
        <w:t> </w:t>
      </w:r>
      <w:r>
        <w:rPr/>
        <w:t>realizarse</w:t>
      </w:r>
      <w:r>
        <w:rPr>
          <w:spacing w:val="-8"/>
        </w:rPr>
        <w:t> </w:t>
      </w:r>
      <w:r>
        <w:rPr/>
        <w:t>las</w:t>
      </w:r>
      <w:r>
        <w:rPr>
          <w:spacing w:val="-8"/>
        </w:rPr>
        <w:t> </w:t>
      </w:r>
      <w:r>
        <w:rPr/>
        <w:t>compras,</w:t>
      </w:r>
      <w:r>
        <w:rPr>
          <w:spacing w:val="-7"/>
        </w:rPr>
        <w:t> </w:t>
      </w:r>
      <w:r>
        <w:rPr/>
        <w:t>por</w:t>
      </w:r>
      <w:r>
        <w:rPr>
          <w:spacing w:val="-4"/>
        </w:rPr>
        <w:t> </w:t>
      </w:r>
      <w:r>
        <w:rPr/>
        <w:t>lo</w:t>
      </w:r>
      <w:r>
        <w:rPr>
          <w:spacing w:val="-8"/>
        </w:rPr>
        <w:t> </w:t>
      </w:r>
      <w:r>
        <w:rPr/>
        <w:t>que</w:t>
      </w:r>
      <w:r>
        <w:rPr>
          <w:spacing w:val="-8"/>
        </w:rPr>
        <w:t> </w:t>
      </w:r>
      <w:r>
        <w:rPr/>
        <w:t>no</w:t>
      </w:r>
      <w:r>
        <w:rPr>
          <w:spacing w:val="-6"/>
        </w:rPr>
        <w:t> </w:t>
      </w:r>
      <w:r>
        <w:rPr/>
        <w:t>es</w:t>
      </w:r>
      <w:r>
        <w:rPr>
          <w:spacing w:val="-8"/>
        </w:rPr>
        <w:t> </w:t>
      </w:r>
      <w:r>
        <w:rPr/>
        <w:t>posible</w:t>
      </w:r>
      <w:r>
        <w:rPr>
          <w:spacing w:val="-5"/>
        </w:rPr>
        <w:t> </w:t>
      </w:r>
      <w:r>
        <w:rPr/>
        <w:t>verificar</w:t>
      </w:r>
      <w:r>
        <w:rPr>
          <w:spacing w:val="-7"/>
        </w:rPr>
        <w:t> </w:t>
      </w:r>
      <w:r>
        <w:rPr/>
        <w:t>su grado de cumplimiento.</w:t>
      </w:r>
    </w:p>
    <w:p>
      <w:pPr>
        <w:spacing w:line="252" w:lineRule="exact" w:before="242"/>
        <w:ind w:left="992" w:right="0" w:firstLine="0"/>
        <w:jc w:val="both"/>
        <w:rPr>
          <w:sz w:val="22"/>
        </w:rPr>
      </w:pPr>
      <w:r>
        <w:rPr>
          <w:sz w:val="22"/>
        </w:rPr>
        <w:t>Solo</w:t>
      </w:r>
      <w:r>
        <w:rPr>
          <w:spacing w:val="28"/>
          <w:sz w:val="22"/>
        </w:rPr>
        <w:t> </w:t>
      </w:r>
      <w:r>
        <w:rPr>
          <w:sz w:val="22"/>
        </w:rPr>
        <w:t>el</w:t>
      </w:r>
      <w:r>
        <w:rPr>
          <w:spacing w:val="29"/>
          <w:sz w:val="22"/>
        </w:rPr>
        <w:t> </w:t>
      </w:r>
      <w:r>
        <w:rPr>
          <w:sz w:val="22"/>
        </w:rPr>
        <w:t>PACES</w:t>
      </w:r>
      <w:r>
        <w:rPr>
          <w:spacing w:val="29"/>
          <w:sz w:val="22"/>
        </w:rPr>
        <w:t> </w:t>
      </w:r>
      <w:r>
        <w:rPr>
          <w:sz w:val="22"/>
        </w:rPr>
        <w:t>del</w:t>
      </w:r>
      <w:r>
        <w:rPr>
          <w:spacing w:val="31"/>
          <w:sz w:val="22"/>
        </w:rPr>
        <w:t> </w:t>
      </w:r>
      <w:r>
        <w:rPr>
          <w:b/>
          <w:sz w:val="22"/>
        </w:rPr>
        <w:t>Ayuntamiento</w:t>
      </w:r>
      <w:r>
        <w:rPr>
          <w:b/>
          <w:spacing w:val="29"/>
          <w:sz w:val="22"/>
        </w:rPr>
        <w:t> </w:t>
      </w:r>
      <w:r>
        <w:rPr>
          <w:b/>
          <w:sz w:val="22"/>
        </w:rPr>
        <w:t>de</w:t>
      </w:r>
      <w:r>
        <w:rPr>
          <w:b/>
          <w:spacing w:val="30"/>
          <w:sz w:val="22"/>
        </w:rPr>
        <w:t> </w:t>
      </w:r>
      <w:r>
        <w:rPr>
          <w:b/>
          <w:sz w:val="22"/>
        </w:rPr>
        <w:t>Bilbao</w:t>
      </w:r>
      <w:r>
        <w:rPr>
          <w:b/>
          <w:spacing w:val="33"/>
          <w:sz w:val="22"/>
        </w:rPr>
        <w:t> </w:t>
      </w:r>
      <w:r>
        <w:rPr>
          <w:sz w:val="22"/>
        </w:rPr>
        <w:t>o</w:t>
      </w:r>
      <w:r>
        <w:rPr>
          <w:spacing w:val="27"/>
          <w:sz w:val="22"/>
        </w:rPr>
        <w:t> </w:t>
      </w:r>
      <w:r>
        <w:rPr>
          <w:sz w:val="22"/>
        </w:rPr>
        <w:t>los</w:t>
      </w:r>
      <w:r>
        <w:rPr>
          <w:spacing w:val="30"/>
          <w:sz w:val="22"/>
        </w:rPr>
        <w:t> </w:t>
      </w:r>
      <w:r>
        <w:rPr>
          <w:sz w:val="22"/>
        </w:rPr>
        <w:t>PMUS</w:t>
      </w:r>
      <w:r>
        <w:rPr>
          <w:spacing w:val="30"/>
          <w:sz w:val="22"/>
        </w:rPr>
        <w:t> </w:t>
      </w:r>
      <w:r>
        <w:rPr>
          <w:sz w:val="22"/>
        </w:rPr>
        <w:t>de</w:t>
      </w:r>
      <w:r>
        <w:rPr>
          <w:spacing w:val="27"/>
          <w:sz w:val="22"/>
        </w:rPr>
        <w:t> </w:t>
      </w:r>
      <w:r>
        <w:rPr>
          <w:sz w:val="22"/>
        </w:rPr>
        <w:t>los</w:t>
      </w:r>
      <w:r>
        <w:rPr>
          <w:spacing w:val="29"/>
          <w:sz w:val="22"/>
        </w:rPr>
        <w:t> </w:t>
      </w:r>
      <w:r>
        <w:rPr>
          <w:b/>
          <w:sz w:val="22"/>
        </w:rPr>
        <w:t>Ayuntamientos</w:t>
      </w:r>
      <w:r>
        <w:rPr>
          <w:b/>
          <w:spacing w:val="28"/>
          <w:sz w:val="22"/>
        </w:rPr>
        <w:t> </w:t>
      </w:r>
      <w:r>
        <w:rPr>
          <w:b/>
          <w:sz w:val="22"/>
        </w:rPr>
        <w:t>de</w:t>
      </w:r>
      <w:r>
        <w:rPr>
          <w:b/>
          <w:spacing w:val="29"/>
          <w:sz w:val="22"/>
        </w:rPr>
        <w:t> </w:t>
      </w:r>
      <w:r>
        <w:rPr>
          <w:b/>
          <w:sz w:val="22"/>
        </w:rPr>
        <w:t>Palma</w:t>
      </w:r>
      <w:r>
        <w:rPr>
          <w:b/>
          <w:spacing w:val="31"/>
          <w:sz w:val="22"/>
        </w:rPr>
        <w:t> </w:t>
      </w:r>
      <w:r>
        <w:rPr>
          <w:spacing w:val="-10"/>
          <w:sz w:val="22"/>
        </w:rPr>
        <w:t>y</w:t>
      </w:r>
    </w:p>
    <w:p>
      <w:pPr>
        <w:pStyle w:val="BodyText"/>
        <w:spacing w:line="252" w:lineRule="exact"/>
        <w:ind w:left="992"/>
        <w:jc w:val="both"/>
      </w:pPr>
      <w:r>
        <w:rPr>
          <w:b/>
        </w:rPr>
        <w:t>Zaragoza</w:t>
      </w:r>
      <w:r>
        <w:rPr>
          <w:b/>
          <w:spacing w:val="-6"/>
        </w:rPr>
        <w:t> </w:t>
      </w:r>
      <w:r>
        <w:rPr/>
        <w:t>han</w:t>
      </w:r>
      <w:r>
        <w:rPr>
          <w:spacing w:val="-5"/>
        </w:rPr>
        <w:t> </w:t>
      </w:r>
      <w:r>
        <w:rPr/>
        <w:t>concretado</w:t>
      </w:r>
      <w:r>
        <w:rPr>
          <w:spacing w:val="-3"/>
        </w:rPr>
        <w:t> </w:t>
      </w:r>
      <w:r>
        <w:rPr/>
        <w:t>el</w:t>
      </w:r>
      <w:r>
        <w:rPr>
          <w:spacing w:val="-3"/>
        </w:rPr>
        <w:t> </w:t>
      </w:r>
      <w:r>
        <w:rPr/>
        <w:t>número</w:t>
      </w:r>
      <w:r>
        <w:rPr>
          <w:spacing w:val="-4"/>
        </w:rPr>
        <w:t> </w:t>
      </w:r>
      <w:r>
        <w:rPr/>
        <w:t>o</w:t>
      </w:r>
      <w:r>
        <w:rPr>
          <w:spacing w:val="-5"/>
        </w:rPr>
        <w:t> </w:t>
      </w:r>
      <w:r>
        <w:rPr/>
        <w:t>el</w:t>
      </w:r>
      <w:r>
        <w:rPr>
          <w:spacing w:val="-6"/>
        </w:rPr>
        <w:t> </w:t>
      </w:r>
      <w:r>
        <w:rPr/>
        <w:t>tipo</w:t>
      </w:r>
      <w:r>
        <w:rPr>
          <w:spacing w:val="-3"/>
        </w:rPr>
        <w:t> </w:t>
      </w:r>
      <w:r>
        <w:rPr/>
        <w:t>de</w:t>
      </w:r>
      <w:r>
        <w:rPr>
          <w:spacing w:val="-5"/>
        </w:rPr>
        <w:t> </w:t>
      </w:r>
      <w:r>
        <w:rPr/>
        <w:t>vehículo</w:t>
      </w:r>
      <w:r>
        <w:rPr>
          <w:spacing w:val="-3"/>
        </w:rPr>
        <w:t> </w:t>
      </w:r>
      <w:r>
        <w:rPr/>
        <w:t>a</w:t>
      </w:r>
      <w:r>
        <w:rPr>
          <w:spacing w:val="-5"/>
        </w:rPr>
        <w:t> </w:t>
      </w:r>
      <w:r>
        <w:rPr>
          <w:spacing w:val="-2"/>
        </w:rPr>
        <w:t>adquirir.</w:t>
      </w:r>
    </w:p>
    <w:p>
      <w:pPr>
        <w:pStyle w:val="BodyText"/>
        <w:spacing w:before="241"/>
        <w:ind w:left="992" w:right="989"/>
        <w:jc w:val="both"/>
      </w:pPr>
      <w:r>
        <w:rPr/>
        <w:t>Así,</w:t>
      </w:r>
      <w:r>
        <w:rPr>
          <w:spacing w:val="-12"/>
        </w:rPr>
        <w:t> </w:t>
      </w:r>
      <w:r>
        <w:rPr/>
        <w:t>el</w:t>
      </w:r>
      <w:r>
        <w:rPr>
          <w:spacing w:val="-12"/>
        </w:rPr>
        <w:t> </w:t>
      </w:r>
      <w:r>
        <w:rPr/>
        <w:t>PACES</w:t>
      </w:r>
      <w:r>
        <w:rPr>
          <w:spacing w:val="-12"/>
        </w:rPr>
        <w:t> </w:t>
      </w:r>
      <w:r>
        <w:rPr/>
        <w:t>del</w:t>
      </w:r>
      <w:r>
        <w:rPr>
          <w:spacing w:val="-14"/>
        </w:rPr>
        <w:t> </w:t>
      </w:r>
      <w:r>
        <w:rPr>
          <w:b/>
        </w:rPr>
        <w:t>Ayuntamiento</w:t>
      </w:r>
      <w:r>
        <w:rPr>
          <w:b/>
          <w:spacing w:val="-11"/>
        </w:rPr>
        <w:t> </w:t>
      </w:r>
      <w:r>
        <w:rPr>
          <w:b/>
        </w:rPr>
        <w:t>de</w:t>
      </w:r>
      <w:r>
        <w:rPr>
          <w:b/>
          <w:spacing w:val="-14"/>
        </w:rPr>
        <w:t> </w:t>
      </w:r>
      <w:r>
        <w:rPr>
          <w:b/>
        </w:rPr>
        <w:t>Bilbao</w:t>
      </w:r>
      <w:r>
        <w:rPr>
          <w:b/>
          <w:spacing w:val="-9"/>
        </w:rPr>
        <w:t> </w:t>
      </w:r>
      <w:r>
        <w:rPr/>
        <w:t>prevé</w:t>
      </w:r>
      <w:r>
        <w:rPr>
          <w:spacing w:val="-11"/>
        </w:rPr>
        <w:t> </w:t>
      </w:r>
      <w:r>
        <w:rPr/>
        <w:t>que</w:t>
      </w:r>
      <w:r>
        <w:rPr>
          <w:spacing w:val="-11"/>
        </w:rPr>
        <w:t> </w:t>
      </w:r>
      <w:r>
        <w:rPr/>
        <w:t>en</w:t>
      </w:r>
      <w:r>
        <w:rPr>
          <w:spacing w:val="-14"/>
        </w:rPr>
        <w:t> </w:t>
      </w:r>
      <w:r>
        <w:rPr/>
        <w:t>2030</w:t>
      </w:r>
      <w:r>
        <w:rPr>
          <w:spacing w:val="-14"/>
        </w:rPr>
        <w:t> </w:t>
      </w:r>
      <w:r>
        <w:rPr/>
        <w:t>la</w:t>
      </w:r>
      <w:r>
        <w:rPr>
          <w:spacing w:val="-11"/>
        </w:rPr>
        <w:t> </w:t>
      </w:r>
      <w:r>
        <w:rPr/>
        <w:t>flota</w:t>
      </w:r>
      <w:r>
        <w:rPr>
          <w:spacing w:val="-11"/>
        </w:rPr>
        <w:t> </w:t>
      </w:r>
      <w:r>
        <w:rPr/>
        <w:t>de</w:t>
      </w:r>
      <w:r>
        <w:rPr>
          <w:spacing w:val="-16"/>
        </w:rPr>
        <w:t> </w:t>
      </w:r>
      <w:r>
        <w:rPr/>
        <w:t>autobuses</w:t>
      </w:r>
      <w:r>
        <w:rPr>
          <w:spacing w:val="-12"/>
        </w:rPr>
        <w:t> </w:t>
      </w:r>
      <w:r>
        <w:rPr/>
        <w:t>esté</w:t>
      </w:r>
      <w:r>
        <w:rPr>
          <w:spacing w:val="-13"/>
        </w:rPr>
        <w:t> </w:t>
      </w:r>
      <w:r>
        <w:rPr/>
        <w:t>integrada por 72 % vehículos híbridos y 18 % eléctricos. A 31 de diciembre de 2024, la flota de autobuses estaba formada por el 17,73 % diésel, el 66,67 % híbrido y el 15,60 % eléctrico.</w:t>
      </w:r>
    </w:p>
    <w:p>
      <w:pPr>
        <w:pStyle w:val="BodyText"/>
        <w:spacing w:before="240"/>
        <w:ind w:left="992" w:right="985"/>
        <w:jc w:val="both"/>
      </w:pPr>
      <w:r>
        <w:rPr/>
        <w:t>El</w:t>
      </w:r>
      <w:r>
        <w:rPr>
          <w:spacing w:val="-2"/>
        </w:rPr>
        <w:t> </w:t>
      </w:r>
      <w:r>
        <w:rPr/>
        <w:t>PMUS</w:t>
      </w:r>
      <w:r>
        <w:rPr>
          <w:spacing w:val="-2"/>
        </w:rPr>
        <w:t> </w:t>
      </w:r>
      <w:r>
        <w:rPr/>
        <w:t>del</w:t>
      </w:r>
      <w:r>
        <w:rPr>
          <w:spacing w:val="-2"/>
        </w:rPr>
        <w:t> </w:t>
      </w:r>
      <w:r>
        <w:rPr>
          <w:b/>
        </w:rPr>
        <w:t>Ayuntamiento</w:t>
      </w:r>
      <w:r>
        <w:rPr>
          <w:b/>
          <w:spacing w:val="-2"/>
        </w:rPr>
        <w:t> </w:t>
      </w:r>
      <w:r>
        <w:rPr>
          <w:b/>
        </w:rPr>
        <w:t>de</w:t>
      </w:r>
      <w:r>
        <w:rPr>
          <w:b/>
          <w:spacing w:val="-2"/>
        </w:rPr>
        <w:t> </w:t>
      </w:r>
      <w:r>
        <w:rPr>
          <w:b/>
        </w:rPr>
        <w:t>Palma</w:t>
      </w:r>
      <w:r>
        <w:rPr>
          <w:b/>
          <w:spacing w:val="-2"/>
        </w:rPr>
        <w:t> </w:t>
      </w:r>
      <w:r>
        <w:rPr/>
        <w:t>contiene</w:t>
      </w:r>
      <w:r>
        <w:rPr>
          <w:spacing w:val="-1"/>
        </w:rPr>
        <w:t> </w:t>
      </w:r>
      <w:r>
        <w:rPr/>
        <w:t>dos</w:t>
      </w:r>
      <w:r>
        <w:rPr>
          <w:spacing w:val="-2"/>
        </w:rPr>
        <w:t> </w:t>
      </w:r>
      <w:r>
        <w:rPr/>
        <w:t>previsiones,</w:t>
      </w:r>
      <w:r>
        <w:rPr>
          <w:spacing w:val="-3"/>
        </w:rPr>
        <w:t> </w:t>
      </w:r>
      <w:r>
        <w:rPr/>
        <w:t>una</w:t>
      </w:r>
      <w:r>
        <w:rPr>
          <w:spacing w:val="-2"/>
        </w:rPr>
        <w:t> </w:t>
      </w:r>
      <w:r>
        <w:rPr/>
        <w:t>a</w:t>
      </w:r>
      <w:r>
        <w:rPr>
          <w:spacing w:val="-4"/>
        </w:rPr>
        <w:t> </w:t>
      </w:r>
      <w:r>
        <w:rPr/>
        <w:t>corto</w:t>
      </w:r>
      <w:r>
        <w:rPr>
          <w:spacing w:val="-2"/>
        </w:rPr>
        <w:t> </w:t>
      </w:r>
      <w:r>
        <w:rPr/>
        <w:t>plazo,</w:t>
      </w:r>
      <w:r>
        <w:rPr>
          <w:spacing w:val="-3"/>
        </w:rPr>
        <w:t> </w:t>
      </w:r>
      <w:r>
        <w:rPr/>
        <w:t>consistente</w:t>
      </w:r>
      <w:r>
        <w:rPr>
          <w:spacing w:val="-4"/>
        </w:rPr>
        <w:t> </w:t>
      </w:r>
      <w:r>
        <w:rPr/>
        <w:t>en la incorporación de cinco autobuses de hidrógeno verde en 2023, que se complementaría con la adquisición</w:t>
      </w:r>
      <w:r>
        <w:rPr>
          <w:spacing w:val="-9"/>
        </w:rPr>
        <w:t> </w:t>
      </w:r>
      <w:r>
        <w:rPr/>
        <w:t>de</w:t>
      </w:r>
      <w:r>
        <w:rPr>
          <w:spacing w:val="-9"/>
        </w:rPr>
        <w:t> </w:t>
      </w:r>
      <w:r>
        <w:rPr/>
        <w:t>hasta</w:t>
      </w:r>
      <w:r>
        <w:rPr>
          <w:spacing w:val="-9"/>
        </w:rPr>
        <w:t> </w:t>
      </w:r>
      <w:r>
        <w:rPr/>
        <w:t>doce</w:t>
      </w:r>
      <w:r>
        <w:rPr>
          <w:spacing w:val="-8"/>
        </w:rPr>
        <w:t> </w:t>
      </w:r>
      <w:r>
        <w:rPr/>
        <w:t>buses</w:t>
      </w:r>
      <w:r>
        <w:rPr>
          <w:spacing w:val="-9"/>
        </w:rPr>
        <w:t> </w:t>
      </w:r>
      <w:r>
        <w:rPr/>
        <w:t>eléctricos,</w:t>
      </w:r>
      <w:r>
        <w:rPr>
          <w:spacing w:val="-10"/>
        </w:rPr>
        <w:t> </w:t>
      </w:r>
      <w:r>
        <w:rPr/>
        <w:t>cuya</w:t>
      </w:r>
      <w:r>
        <w:rPr>
          <w:spacing w:val="-12"/>
        </w:rPr>
        <w:t> </w:t>
      </w:r>
      <w:r>
        <w:rPr/>
        <w:t>licitación</w:t>
      </w:r>
      <w:r>
        <w:rPr>
          <w:spacing w:val="-9"/>
        </w:rPr>
        <w:t> </w:t>
      </w:r>
      <w:r>
        <w:rPr/>
        <w:t>tendría</w:t>
      </w:r>
      <w:r>
        <w:rPr>
          <w:spacing w:val="-9"/>
        </w:rPr>
        <w:t> </w:t>
      </w:r>
      <w:r>
        <w:rPr/>
        <w:t>lugar</w:t>
      </w:r>
      <w:r>
        <w:rPr>
          <w:spacing w:val="-9"/>
        </w:rPr>
        <w:t> </w:t>
      </w:r>
      <w:r>
        <w:rPr/>
        <w:t>en</w:t>
      </w:r>
      <w:r>
        <w:rPr>
          <w:spacing w:val="-12"/>
        </w:rPr>
        <w:t> </w:t>
      </w:r>
      <w:r>
        <w:rPr/>
        <w:t>2022,</w:t>
      </w:r>
      <w:r>
        <w:rPr>
          <w:spacing w:val="-7"/>
        </w:rPr>
        <w:t> </w:t>
      </w:r>
      <w:r>
        <w:rPr/>
        <w:t>en</w:t>
      </w:r>
      <w:r>
        <w:rPr>
          <w:spacing w:val="-9"/>
        </w:rPr>
        <w:t> </w:t>
      </w:r>
      <w:r>
        <w:rPr/>
        <w:t>el</w:t>
      </w:r>
      <w:r>
        <w:rPr>
          <w:spacing w:val="-12"/>
        </w:rPr>
        <w:t> </w:t>
      </w:r>
      <w:r>
        <w:rPr/>
        <w:t>marco</w:t>
      </w:r>
      <w:r>
        <w:rPr>
          <w:spacing w:val="-9"/>
        </w:rPr>
        <w:t> </w:t>
      </w:r>
      <w:r>
        <w:rPr/>
        <w:t>de</w:t>
      </w:r>
      <w:r>
        <w:rPr>
          <w:spacing w:val="-9"/>
        </w:rPr>
        <w:t> </w:t>
      </w:r>
      <w:r>
        <w:rPr/>
        <w:t>las ayudas procedentes del PRTR, y otra a medio plazo, que reside en no contar con ningún autobús con diésel, alcanzando el 20 % de los vehículos de bajas emisiones en 2030. La primera</w:t>
      </w:r>
      <w:r>
        <w:rPr>
          <w:spacing w:val="-1"/>
        </w:rPr>
        <w:t> </w:t>
      </w:r>
      <w:r>
        <w:rPr/>
        <w:t>previsión se ha cumplido, mientras que la segunda requiere que sea impulsada por la entidad, pues aunque aún no se ha cumplido el hito temporal, a 31 de diciembre de 2024 el número de vehículos diésel ascendía a 71.</w:t>
      </w:r>
    </w:p>
    <w:p>
      <w:pPr>
        <w:pStyle w:val="BodyText"/>
        <w:spacing w:before="239"/>
        <w:ind w:left="992" w:right="987"/>
        <w:jc w:val="both"/>
      </w:pPr>
      <w:r>
        <w:rPr/>
        <w:t>El PMUS del </w:t>
      </w:r>
      <w:r>
        <w:rPr>
          <w:b/>
        </w:rPr>
        <w:t>Ayuntamiento de Zaragoza </w:t>
      </w:r>
      <w:r>
        <w:rPr/>
        <w:t>prevé el incremento de la flota de autobuses eléctricos, hasta</w:t>
      </w:r>
      <w:r>
        <w:rPr>
          <w:spacing w:val="-8"/>
        </w:rPr>
        <w:t> </w:t>
      </w:r>
      <w:r>
        <w:rPr/>
        <w:t>conseguir</w:t>
      </w:r>
      <w:r>
        <w:rPr>
          <w:spacing w:val="-7"/>
        </w:rPr>
        <w:t> </w:t>
      </w:r>
      <w:r>
        <w:rPr/>
        <w:t>en</w:t>
      </w:r>
      <w:r>
        <w:rPr>
          <w:spacing w:val="-11"/>
        </w:rPr>
        <w:t> </w:t>
      </w:r>
      <w:r>
        <w:rPr/>
        <w:t>2027</w:t>
      </w:r>
      <w:r>
        <w:rPr>
          <w:spacing w:val="-13"/>
        </w:rPr>
        <w:t> </w:t>
      </w:r>
      <w:r>
        <w:rPr>
          <w:rFonts w:ascii="Symbol" w:hAnsi="Symbol"/>
        </w:rPr>
        <w:t></w:t>
      </w:r>
      <w:r>
        <w:rPr/>
        <w:t>año</w:t>
      </w:r>
      <w:r>
        <w:rPr>
          <w:spacing w:val="-10"/>
        </w:rPr>
        <w:t> </w:t>
      </w:r>
      <w:r>
        <w:rPr/>
        <w:t>final</w:t>
      </w:r>
      <w:r>
        <w:rPr>
          <w:spacing w:val="-9"/>
        </w:rPr>
        <w:t> </w:t>
      </w:r>
      <w:r>
        <w:rPr/>
        <w:t>de</w:t>
      </w:r>
      <w:r>
        <w:rPr>
          <w:spacing w:val="-8"/>
        </w:rPr>
        <w:t> </w:t>
      </w:r>
      <w:r>
        <w:rPr/>
        <w:t>vigencia</w:t>
      </w:r>
      <w:r>
        <w:rPr>
          <w:spacing w:val="-8"/>
        </w:rPr>
        <w:t> </w:t>
      </w:r>
      <w:r>
        <w:rPr/>
        <w:t>del</w:t>
      </w:r>
      <w:r>
        <w:rPr>
          <w:spacing w:val="-11"/>
        </w:rPr>
        <w:t> </w:t>
      </w:r>
      <w:r>
        <w:rPr/>
        <w:t>PMUS</w:t>
      </w:r>
      <w:r>
        <w:rPr>
          <w:rFonts w:ascii="Symbol" w:hAnsi="Symbol"/>
        </w:rPr>
        <w:t></w:t>
      </w:r>
      <w:r>
        <w:rPr>
          <w:rFonts w:ascii="Times New Roman" w:hAnsi="Times New Roman"/>
          <w:spacing w:val="-2"/>
        </w:rPr>
        <w:t> </w:t>
      </w:r>
      <w:r>
        <w:rPr/>
        <w:t>una</w:t>
      </w:r>
      <w:r>
        <w:rPr>
          <w:spacing w:val="-10"/>
        </w:rPr>
        <w:t> </w:t>
      </w:r>
      <w:r>
        <w:rPr/>
        <w:t>red</w:t>
      </w:r>
      <w:r>
        <w:rPr>
          <w:spacing w:val="-11"/>
        </w:rPr>
        <w:t> </w:t>
      </w:r>
      <w:r>
        <w:rPr/>
        <w:t>50</w:t>
      </w:r>
      <w:r>
        <w:rPr>
          <w:spacing w:val="-10"/>
        </w:rPr>
        <w:t> </w:t>
      </w:r>
      <w:r>
        <w:rPr/>
        <w:t>%</w:t>
      </w:r>
      <w:r>
        <w:rPr>
          <w:spacing w:val="-7"/>
        </w:rPr>
        <w:t> </w:t>
      </w:r>
      <w:r>
        <w:rPr/>
        <w:t>eléctrica</w:t>
      </w:r>
      <w:r>
        <w:rPr>
          <w:spacing w:val="-10"/>
        </w:rPr>
        <w:t> </w:t>
      </w:r>
      <w:r>
        <w:rPr/>
        <w:t>y</w:t>
      </w:r>
      <w:r>
        <w:rPr>
          <w:spacing w:val="-7"/>
        </w:rPr>
        <w:t> </w:t>
      </w:r>
      <w:r>
        <w:rPr/>
        <w:t>el</w:t>
      </w:r>
      <w:r>
        <w:rPr>
          <w:spacing w:val="-11"/>
        </w:rPr>
        <w:t> </w:t>
      </w:r>
      <w:r>
        <w:rPr/>
        <w:t>resto</w:t>
      </w:r>
      <w:r>
        <w:rPr>
          <w:spacing w:val="-8"/>
        </w:rPr>
        <w:t> </w:t>
      </w:r>
      <w:r>
        <w:rPr/>
        <w:t>híbrida, para la mejora de la calidad del aire, así como para reducir la contaminación atmosférica y acústica</w:t>
      </w:r>
      <w:hyperlink w:history="true" w:anchor="_bookmark47">
        <w:r>
          <w:rPr>
            <w:vertAlign w:val="superscript"/>
          </w:rPr>
          <w:t>25</w:t>
        </w:r>
        <w:r>
          <w:rPr>
            <w:vertAlign w:val="baseline"/>
          </w:rPr>
          <w:t>.</w:t>
        </w:r>
      </w:hyperlink>
      <w:r>
        <w:rPr>
          <w:vertAlign w:val="baseline"/>
        </w:rPr>
        <w:t> Con</w:t>
      </w:r>
      <w:r>
        <w:rPr>
          <w:spacing w:val="-1"/>
          <w:vertAlign w:val="baseline"/>
        </w:rPr>
        <w:t> </w:t>
      </w:r>
      <w:r>
        <w:rPr>
          <w:vertAlign w:val="baseline"/>
        </w:rPr>
        <w:t>este</w:t>
      </w:r>
      <w:r>
        <w:rPr>
          <w:spacing w:val="-2"/>
          <w:vertAlign w:val="baseline"/>
        </w:rPr>
        <w:t> </w:t>
      </w:r>
      <w:r>
        <w:rPr>
          <w:vertAlign w:val="baseline"/>
        </w:rPr>
        <w:t>fin, el</w:t>
      </w:r>
      <w:r>
        <w:rPr>
          <w:spacing w:val="-4"/>
          <w:vertAlign w:val="baseline"/>
        </w:rPr>
        <w:t> </w:t>
      </w:r>
      <w:r>
        <w:rPr>
          <w:vertAlign w:val="baseline"/>
        </w:rPr>
        <w:t>Gobierno</w:t>
      </w:r>
      <w:r>
        <w:rPr>
          <w:spacing w:val="-1"/>
          <w:vertAlign w:val="baseline"/>
        </w:rPr>
        <w:t> </w:t>
      </w:r>
      <w:r>
        <w:rPr>
          <w:vertAlign w:val="baseline"/>
        </w:rPr>
        <w:t>de</w:t>
      </w:r>
      <w:r>
        <w:rPr>
          <w:spacing w:val="-1"/>
          <w:vertAlign w:val="baseline"/>
        </w:rPr>
        <w:t> </w:t>
      </w:r>
      <w:r>
        <w:rPr>
          <w:vertAlign w:val="baseline"/>
        </w:rPr>
        <w:t>Zaragoza</w:t>
      </w:r>
      <w:r>
        <w:rPr>
          <w:spacing w:val="-1"/>
          <w:vertAlign w:val="baseline"/>
        </w:rPr>
        <w:t> </w:t>
      </w:r>
      <w:r>
        <w:rPr>
          <w:vertAlign w:val="baseline"/>
        </w:rPr>
        <w:t>declaró de</w:t>
      </w:r>
      <w:r>
        <w:rPr>
          <w:spacing w:val="-1"/>
          <w:vertAlign w:val="baseline"/>
        </w:rPr>
        <w:t> </w:t>
      </w:r>
      <w:r>
        <w:rPr>
          <w:vertAlign w:val="baseline"/>
        </w:rPr>
        <w:t>interés</w:t>
      </w:r>
      <w:r>
        <w:rPr>
          <w:spacing w:val="-3"/>
          <w:vertAlign w:val="baseline"/>
        </w:rPr>
        <w:t> </w:t>
      </w:r>
      <w:r>
        <w:rPr>
          <w:vertAlign w:val="baseline"/>
        </w:rPr>
        <w:t>público, en</w:t>
      </w:r>
      <w:r>
        <w:rPr>
          <w:spacing w:val="-1"/>
          <w:vertAlign w:val="baseline"/>
        </w:rPr>
        <w:t> </w:t>
      </w:r>
      <w:r>
        <w:rPr>
          <w:vertAlign w:val="baseline"/>
        </w:rPr>
        <w:t>2021</w:t>
      </w:r>
      <w:r>
        <w:rPr>
          <w:spacing w:val="-1"/>
          <w:vertAlign w:val="baseline"/>
        </w:rPr>
        <w:t> </w:t>
      </w:r>
      <w:r>
        <w:rPr>
          <w:vertAlign w:val="baseline"/>
        </w:rPr>
        <w:t>y en</w:t>
      </w:r>
      <w:r>
        <w:rPr>
          <w:spacing w:val="-1"/>
          <w:vertAlign w:val="baseline"/>
        </w:rPr>
        <w:t> </w:t>
      </w:r>
      <w:r>
        <w:rPr>
          <w:vertAlign w:val="baseline"/>
        </w:rPr>
        <w:t>2023, la modificación</w:t>
      </w:r>
      <w:r>
        <w:rPr>
          <w:spacing w:val="-4"/>
          <w:vertAlign w:val="baseline"/>
        </w:rPr>
        <w:t> </w:t>
      </w:r>
      <w:r>
        <w:rPr>
          <w:vertAlign w:val="baseline"/>
        </w:rPr>
        <w:t>del</w:t>
      </w:r>
      <w:r>
        <w:rPr>
          <w:spacing w:val="-5"/>
          <w:vertAlign w:val="baseline"/>
        </w:rPr>
        <w:t> </w:t>
      </w:r>
      <w:r>
        <w:rPr>
          <w:vertAlign w:val="baseline"/>
        </w:rPr>
        <w:t>contrato</w:t>
      </w:r>
      <w:r>
        <w:rPr>
          <w:spacing w:val="-6"/>
          <w:vertAlign w:val="baseline"/>
        </w:rPr>
        <w:t> </w:t>
      </w:r>
      <w:r>
        <w:rPr>
          <w:vertAlign w:val="baseline"/>
        </w:rPr>
        <w:t>de</w:t>
      </w:r>
      <w:r>
        <w:rPr>
          <w:spacing w:val="-4"/>
          <w:vertAlign w:val="baseline"/>
        </w:rPr>
        <w:t> </w:t>
      </w:r>
      <w:r>
        <w:rPr>
          <w:vertAlign w:val="baseline"/>
        </w:rPr>
        <w:t>gestión</w:t>
      </w:r>
      <w:r>
        <w:rPr>
          <w:spacing w:val="-4"/>
          <w:vertAlign w:val="baseline"/>
        </w:rPr>
        <w:t> </w:t>
      </w:r>
      <w:r>
        <w:rPr>
          <w:vertAlign w:val="baseline"/>
        </w:rPr>
        <w:t>del</w:t>
      </w:r>
      <w:r>
        <w:rPr>
          <w:spacing w:val="-5"/>
          <w:vertAlign w:val="baseline"/>
        </w:rPr>
        <w:t> </w:t>
      </w:r>
      <w:r>
        <w:rPr>
          <w:vertAlign w:val="baseline"/>
        </w:rPr>
        <w:t>servicio</w:t>
      </w:r>
      <w:r>
        <w:rPr>
          <w:spacing w:val="-4"/>
          <w:vertAlign w:val="baseline"/>
        </w:rPr>
        <w:t> </w:t>
      </w:r>
      <w:r>
        <w:rPr>
          <w:vertAlign w:val="baseline"/>
        </w:rPr>
        <w:t>público</w:t>
      </w:r>
      <w:r>
        <w:rPr>
          <w:spacing w:val="-4"/>
          <w:vertAlign w:val="baseline"/>
        </w:rPr>
        <w:t> </w:t>
      </w:r>
      <w:r>
        <w:rPr>
          <w:vertAlign w:val="baseline"/>
        </w:rPr>
        <w:t>de</w:t>
      </w:r>
      <w:r>
        <w:rPr>
          <w:spacing w:val="-4"/>
          <w:vertAlign w:val="baseline"/>
        </w:rPr>
        <w:t> </w:t>
      </w:r>
      <w:r>
        <w:rPr>
          <w:vertAlign w:val="baseline"/>
        </w:rPr>
        <w:t>transporte</w:t>
      </w:r>
      <w:r>
        <w:rPr>
          <w:spacing w:val="-4"/>
          <w:vertAlign w:val="baseline"/>
        </w:rPr>
        <w:t> </w:t>
      </w:r>
      <w:r>
        <w:rPr>
          <w:vertAlign w:val="baseline"/>
        </w:rPr>
        <w:t>por</w:t>
      </w:r>
      <w:r>
        <w:rPr>
          <w:spacing w:val="-5"/>
          <w:vertAlign w:val="baseline"/>
        </w:rPr>
        <w:t> </w:t>
      </w:r>
      <w:r>
        <w:rPr>
          <w:vertAlign w:val="baseline"/>
        </w:rPr>
        <w:t>autobús</w:t>
      </w:r>
      <w:r>
        <w:rPr>
          <w:spacing w:val="-1"/>
          <w:vertAlign w:val="baseline"/>
        </w:rPr>
        <w:t> </w:t>
      </w:r>
      <w:r>
        <w:rPr>
          <w:vertAlign w:val="baseline"/>
        </w:rPr>
        <w:t>y</w:t>
      </w:r>
      <w:r>
        <w:rPr>
          <w:spacing w:val="-4"/>
          <w:vertAlign w:val="baseline"/>
        </w:rPr>
        <w:t> </w:t>
      </w:r>
      <w:r>
        <w:rPr>
          <w:vertAlign w:val="baseline"/>
        </w:rPr>
        <w:t>la</w:t>
      </w:r>
      <w:r>
        <w:rPr>
          <w:spacing w:val="-4"/>
          <w:vertAlign w:val="baseline"/>
        </w:rPr>
        <w:t> </w:t>
      </w:r>
      <w:r>
        <w:rPr>
          <w:vertAlign w:val="baseline"/>
        </w:rPr>
        <w:t>prórroga</w:t>
      </w:r>
      <w:r>
        <w:rPr>
          <w:spacing w:val="-4"/>
          <w:vertAlign w:val="baseline"/>
        </w:rPr>
        <w:t> </w:t>
      </w:r>
      <w:r>
        <w:rPr>
          <w:vertAlign w:val="baseline"/>
        </w:rPr>
        <w:t>del</w:t>
      </w:r>
    </w:p>
    <w:p>
      <w:pPr>
        <w:pStyle w:val="BodyText"/>
        <w:spacing w:before="34"/>
        <w:rPr>
          <w:sz w:val="20"/>
        </w:rPr>
      </w:pPr>
      <w:r>
        <w:rPr>
          <w:sz w:val="20"/>
        </w:rPr>
        <mc:AlternateContent>
          <mc:Choice Requires="wps">
            <w:drawing>
              <wp:anchor distT="0" distB="0" distL="0" distR="0" allowOverlap="1" layoutInCell="1" locked="0" behindDoc="1" simplePos="0" relativeHeight="487603200">
                <wp:simplePos x="0" y="0"/>
                <wp:positionH relativeFrom="page">
                  <wp:posOffset>719632</wp:posOffset>
                </wp:positionH>
                <wp:positionV relativeFrom="paragraph">
                  <wp:posOffset>183461</wp:posOffset>
                </wp:positionV>
                <wp:extent cx="1829435" cy="9525"/>
                <wp:effectExtent l="0" t="0" r="0" b="0"/>
                <wp:wrapTopAndBottom/>
                <wp:docPr id="138" name="Graphic 138"/>
                <wp:cNvGraphicFramePr>
                  <a:graphicFrameLocks/>
                </wp:cNvGraphicFramePr>
                <a:graphic>
                  <a:graphicData uri="http://schemas.microsoft.com/office/word/2010/wordprocessingShape">
                    <wps:wsp>
                      <wps:cNvPr id="138" name="Graphic 138"/>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4.445815pt;width:144.020pt;height:.72003pt;mso-position-horizontal-relative:page;mso-position-vertical-relative:paragraph;z-index:-15713280;mso-wrap-distance-left:0;mso-wrap-distance-right:0" id="docshape120" filled="true" fillcolor="#000000" stroked="false">
                <v:fill type="solid"/>
                <w10:wrap type="topAndBottom"/>
              </v:rect>
            </w:pict>
          </mc:Fallback>
        </mc:AlternateContent>
      </w:r>
    </w:p>
    <w:p>
      <w:pPr>
        <w:spacing w:before="118"/>
        <w:ind w:left="1162" w:right="991" w:hanging="171"/>
        <w:jc w:val="both"/>
        <w:rPr>
          <w:sz w:val="18"/>
        </w:rPr>
      </w:pPr>
      <w:bookmarkStart w:name="_bookmark46" w:id="48"/>
      <w:bookmarkEnd w:id="48"/>
      <w:r>
        <w:rPr/>
      </w:r>
      <w:r>
        <w:rPr>
          <w:position w:val="6"/>
          <w:sz w:val="12"/>
        </w:rPr>
        <w:t>24</w:t>
      </w:r>
      <w:r>
        <w:rPr>
          <w:spacing w:val="27"/>
          <w:position w:val="6"/>
          <w:sz w:val="12"/>
        </w:rPr>
        <w:t> </w:t>
      </w:r>
      <w:r>
        <w:rPr>
          <w:sz w:val="18"/>
        </w:rPr>
        <w:t>Como se ha indicado anteriormente, el </w:t>
      </w:r>
      <w:r>
        <w:rPr>
          <w:b/>
          <w:sz w:val="18"/>
        </w:rPr>
        <w:t>Ayuntamiento de Murcia </w:t>
      </w:r>
      <w:r>
        <w:rPr>
          <w:sz w:val="18"/>
        </w:rPr>
        <w:t>solo incrementó su flota con autobuses diésel con sistema AdBlue. La entidad ha informado que tiene previsto la renovación de la flota, mediante la adscripción de una flota</w:t>
      </w:r>
      <w:r>
        <w:rPr>
          <w:spacing w:val="-4"/>
          <w:sz w:val="18"/>
        </w:rPr>
        <w:t> </w:t>
      </w:r>
      <w:r>
        <w:rPr>
          <w:sz w:val="18"/>
        </w:rPr>
        <w:t>medioambientalmente</w:t>
      </w:r>
      <w:r>
        <w:rPr>
          <w:spacing w:val="-4"/>
          <w:sz w:val="18"/>
        </w:rPr>
        <w:t> </w:t>
      </w:r>
      <w:r>
        <w:rPr>
          <w:sz w:val="18"/>
        </w:rPr>
        <w:t>más</w:t>
      </w:r>
      <w:r>
        <w:rPr>
          <w:spacing w:val="-3"/>
          <w:sz w:val="18"/>
        </w:rPr>
        <w:t> </w:t>
      </w:r>
      <w:r>
        <w:rPr>
          <w:sz w:val="18"/>
        </w:rPr>
        <w:t>limpia</w:t>
      </w:r>
      <w:r>
        <w:rPr>
          <w:spacing w:val="-2"/>
          <w:sz w:val="18"/>
        </w:rPr>
        <w:t> </w:t>
      </w:r>
      <w:r>
        <w:rPr>
          <w:sz w:val="18"/>
        </w:rPr>
        <w:t>en</w:t>
      </w:r>
      <w:r>
        <w:rPr>
          <w:spacing w:val="-4"/>
          <w:sz w:val="18"/>
        </w:rPr>
        <w:t> </w:t>
      </w:r>
      <w:r>
        <w:rPr>
          <w:sz w:val="18"/>
        </w:rPr>
        <w:t>el</w:t>
      </w:r>
      <w:r>
        <w:rPr>
          <w:spacing w:val="-4"/>
          <w:sz w:val="18"/>
        </w:rPr>
        <w:t> </w:t>
      </w:r>
      <w:r>
        <w:rPr>
          <w:sz w:val="18"/>
        </w:rPr>
        <w:t>nuevo</w:t>
      </w:r>
      <w:r>
        <w:rPr>
          <w:spacing w:val="-4"/>
          <w:sz w:val="18"/>
        </w:rPr>
        <w:t> </w:t>
      </w:r>
      <w:r>
        <w:rPr>
          <w:sz w:val="18"/>
        </w:rPr>
        <w:t>contrato</w:t>
      </w:r>
      <w:r>
        <w:rPr>
          <w:spacing w:val="-6"/>
          <w:sz w:val="18"/>
        </w:rPr>
        <w:t> </w:t>
      </w:r>
      <w:r>
        <w:rPr>
          <w:sz w:val="18"/>
        </w:rPr>
        <w:t>de</w:t>
      </w:r>
      <w:r>
        <w:rPr>
          <w:spacing w:val="-2"/>
          <w:sz w:val="18"/>
        </w:rPr>
        <w:t> </w:t>
      </w:r>
      <w:r>
        <w:rPr>
          <w:sz w:val="18"/>
        </w:rPr>
        <w:t>transporte</w:t>
      </w:r>
      <w:r>
        <w:rPr>
          <w:spacing w:val="-2"/>
          <w:sz w:val="18"/>
        </w:rPr>
        <w:t> </w:t>
      </w:r>
      <w:r>
        <w:rPr>
          <w:sz w:val="18"/>
        </w:rPr>
        <w:t>público</w:t>
      </w:r>
      <w:r>
        <w:rPr>
          <w:spacing w:val="-6"/>
          <w:sz w:val="18"/>
        </w:rPr>
        <w:t> </w:t>
      </w:r>
      <w:r>
        <w:rPr>
          <w:sz w:val="18"/>
        </w:rPr>
        <w:t>colectivo</w:t>
      </w:r>
      <w:r>
        <w:rPr>
          <w:spacing w:val="-4"/>
          <w:sz w:val="18"/>
        </w:rPr>
        <w:t> </w:t>
      </w:r>
      <w:r>
        <w:rPr>
          <w:sz w:val="18"/>
        </w:rPr>
        <w:t>que</w:t>
      </w:r>
      <w:r>
        <w:rPr>
          <w:spacing w:val="-4"/>
          <w:sz w:val="18"/>
        </w:rPr>
        <w:t> </w:t>
      </w:r>
      <w:r>
        <w:rPr>
          <w:sz w:val="18"/>
        </w:rPr>
        <w:t>tiene</w:t>
      </w:r>
      <w:r>
        <w:rPr>
          <w:spacing w:val="-4"/>
          <w:sz w:val="18"/>
        </w:rPr>
        <w:t> </w:t>
      </w:r>
      <w:r>
        <w:rPr>
          <w:sz w:val="18"/>
        </w:rPr>
        <w:t>proyectado</w:t>
      </w:r>
      <w:r>
        <w:rPr>
          <w:spacing w:val="-4"/>
          <w:sz w:val="18"/>
        </w:rPr>
        <w:t> </w:t>
      </w:r>
      <w:r>
        <w:rPr>
          <w:sz w:val="18"/>
        </w:rPr>
        <w:t>licitar.</w:t>
      </w:r>
    </w:p>
    <w:p>
      <w:pPr>
        <w:spacing w:line="244" w:lineRule="auto" w:before="70"/>
        <w:ind w:left="1162" w:right="990" w:hanging="171"/>
        <w:jc w:val="both"/>
        <w:rPr>
          <w:sz w:val="18"/>
        </w:rPr>
      </w:pPr>
      <w:bookmarkStart w:name="_bookmark47" w:id="49"/>
      <w:bookmarkEnd w:id="49"/>
      <w:r>
        <w:rPr/>
      </w:r>
      <w:r>
        <w:rPr>
          <w:rFonts w:ascii="Calibri" w:hAnsi="Calibri"/>
          <w:sz w:val="18"/>
          <w:vertAlign w:val="superscript"/>
        </w:rPr>
        <w:t>25</w:t>
      </w:r>
      <w:r>
        <w:rPr>
          <w:rFonts w:ascii="Calibri" w:hAnsi="Calibri"/>
          <w:sz w:val="18"/>
          <w:vertAlign w:val="baseline"/>
        </w:rPr>
        <w:t> </w:t>
      </w:r>
      <w:r>
        <w:rPr>
          <w:sz w:val="18"/>
          <w:vertAlign w:val="baseline"/>
        </w:rPr>
        <w:t>A 31 de diciembre de 2024, la flota de autobuses estaba formada por 49 % diésel </w:t>
      </w:r>
      <w:r>
        <w:rPr>
          <w:rFonts w:ascii="Symbol" w:hAnsi="Symbol"/>
          <w:sz w:val="18"/>
          <w:vertAlign w:val="baseline"/>
        </w:rPr>
        <w:t></w:t>
      </w:r>
      <w:r>
        <w:rPr>
          <w:sz w:val="18"/>
          <w:vertAlign w:val="baseline"/>
        </w:rPr>
        <w:t>de ellos, 80</w:t>
      </w:r>
      <w:r>
        <w:rPr>
          <w:spacing w:val="-3"/>
          <w:sz w:val="18"/>
          <w:vertAlign w:val="baseline"/>
        </w:rPr>
        <w:t> </w:t>
      </w:r>
      <w:r>
        <w:rPr>
          <w:sz w:val="18"/>
          <w:vertAlign w:val="baseline"/>
        </w:rPr>
        <w:t>% AdBlue</w:t>
      </w:r>
      <w:r>
        <w:rPr>
          <w:rFonts w:ascii="Symbol" w:hAnsi="Symbol"/>
          <w:sz w:val="18"/>
          <w:vertAlign w:val="baseline"/>
        </w:rPr>
        <w:t></w:t>
      </w:r>
      <w:r>
        <w:rPr>
          <w:sz w:val="18"/>
          <w:vertAlign w:val="baseline"/>
        </w:rPr>
        <w:t>, 31 % híbridos y 20 % eléctricos.</w:t>
      </w:r>
    </w:p>
    <w:p>
      <w:pPr>
        <w:spacing w:after="0" w:line="244" w:lineRule="auto"/>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4"/>
        <w:jc w:val="both"/>
      </w:pPr>
      <w:r>
        <w:rPr/>
        <w:t>contrato hasta 31 de julio de 2027, que incluía, entre otros extremos, la transición de la flota de autobuses</w:t>
      </w:r>
      <w:r>
        <w:rPr>
          <w:spacing w:val="-6"/>
        </w:rPr>
        <w:t> </w:t>
      </w:r>
      <w:r>
        <w:rPr/>
        <w:t>urbanos,</w:t>
      </w:r>
      <w:r>
        <w:rPr>
          <w:spacing w:val="-5"/>
        </w:rPr>
        <w:t> </w:t>
      </w:r>
      <w:r>
        <w:rPr/>
        <w:t>compuesta</w:t>
      </w:r>
      <w:r>
        <w:rPr>
          <w:spacing w:val="-3"/>
        </w:rPr>
        <w:t> </w:t>
      </w:r>
      <w:r>
        <w:rPr/>
        <w:t>en</w:t>
      </w:r>
      <w:r>
        <w:rPr>
          <w:spacing w:val="-6"/>
        </w:rPr>
        <w:t> </w:t>
      </w:r>
      <w:r>
        <w:rPr/>
        <w:t>2021</w:t>
      </w:r>
      <w:r>
        <w:rPr>
          <w:spacing w:val="-6"/>
        </w:rPr>
        <w:t> </w:t>
      </w:r>
      <w:r>
        <w:rPr/>
        <w:t>de</w:t>
      </w:r>
      <w:r>
        <w:rPr>
          <w:spacing w:val="-4"/>
        </w:rPr>
        <w:t> </w:t>
      </w:r>
      <w:r>
        <w:rPr/>
        <w:t>352</w:t>
      </w:r>
      <w:r>
        <w:rPr>
          <w:spacing w:val="-6"/>
        </w:rPr>
        <w:t> </w:t>
      </w:r>
      <w:r>
        <w:rPr/>
        <w:t>vehículos</w:t>
      </w:r>
      <w:r>
        <w:rPr>
          <w:spacing w:val="-6"/>
        </w:rPr>
        <w:t> </w:t>
      </w:r>
      <w:r>
        <w:rPr/>
        <w:t>(111</w:t>
      </w:r>
      <w:r>
        <w:rPr>
          <w:spacing w:val="-4"/>
        </w:rPr>
        <w:t> </w:t>
      </w:r>
      <w:r>
        <w:rPr/>
        <w:t>híbridos,</w:t>
      </w:r>
      <w:r>
        <w:rPr>
          <w:spacing w:val="-3"/>
        </w:rPr>
        <w:t> </w:t>
      </w:r>
      <w:r>
        <w:rPr/>
        <w:t>cuatro</w:t>
      </w:r>
      <w:r>
        <w:rPr>
          <w:spacing w:val="-6"/>
        </w:rPr>
        <w:t> </w:t>
      </w:r>
      <w:r>
        <w:rPr/>
        <w:t>eléctricos</w:t>
      </w:r>
      <w:r>
        <w:rPr>
          <w:spacing w:val="-6"/>
        </w:rPr>
        <w:t> </w:t>
      </w:r>
      <w:r>
        <w:rPr/>
        <w:t>y</w:t>
      </w:r>
      <w:r>
        <w:rPr>
          <w:spacing w:val="-6"/>
        </w:rPr>
        <w:t> </w:t>
      </w:r>
      <w:r>
        <w:rPr/>
        <w:t>el</w:t>
      </w:r>
      <w:r>
        <w:rPr>
          <w:spacing w:val="-7"/>
        </w:rPr>
        <w:t> </w:t>
      </w:r>
      <w:r>
        <w:rPr/>
        <w:t>resto de combustión), hacia una flota 100 % eléctrica</w:t>
      </w:r>
      <w:hyperlink w:history="true" w:anchor="_bookmark48">
        <w:r>
          <w:rPr>
            <w:vertAlign w:val="superscript"/>
          </w:rPr>
          <w:t>26</w:t>
        </w:r>
        <w:r>
          <w:rPr>
            <w:vertAlign w:val="baseline"/>
          </w:rPr>
          <w:t>,</w:t>
        </w:r>
      </w:hyperlink>
      <w:r>
        <w:rPr>
          <w:vertAlign w:val="baseline"/>
        </w:rPr>
        <w:t> la ampliación y modernización de las unidades tranviarias, la renovación de las instalaciones en las cocheras e inversión en puntos de recarga y una nueva conexión a la red eléctrica que permitiera atender incrementos energéticos. La repercusión económica total de ambas modificaciones supone un coste estimado máximo de 58.270.020,97 euros y 89.836.044,62 euros, sin IVA, respectivamente, no siendo necesario el reequilibrio de la concesión. Para hacer frente a estos gastos, la entidad se acogió a las dos convocatorias de ayudas en el marco del PRTR, lo que le permitió la incorporación primero de 68 vehículos</w:t>
      </w:r>
      <w:r>
        <w:rPr>
          <w:spacing w:val="-6"/>
          <w:vertAlign w:val="baseline"/>
        </w:rPr>
        <w:t> </w:t>
      </w:r>
      <w:r>
        <w:rPr>
          <w:vertAlign w:val="baseline"/>
        </w:rPr>
        <w:t>eléctricos</w:t>
      </w:r>
      <w:r>
        <w:rPr>
          <w:spacing w:val="-6"/>
          <w:vertAlign w:val="baseline"/>
        </w:rPr>
        <w:t> </w:t>
      </w:r>
      <w:r>
        <w:rPr>
          <w:vertAlign w:val="baseline"/>
        </w:rPr>
        <w:t>a</w:t>
      </w:r>
      <w:r>
        <w:rPr>
          <w:spacing w:val="-6"/>
          <w:vertAlign w:val="baseline"/>
        </w:rPr>
        <w:t> </w:t>
      </w:r>
      <w:r>
        <w:rPr>
          <w:vertAlign w:val="baseline"/>
        </w:rPr>
        <w:t>la</w:t>
      </w:r>
      <w:r>
        <w:rPr>
          <w:spacing w:val="-6"/>
          <w:vertAlign w:val="baseline"/>
        </w:rPr>
        <w:t> </w:t>
      </w:r>
      <w:r>
        <w:rPr>
          <w:vertAlign w:val="baseline"/>
        </w:rPr>
        <w:t>flota</w:t>
      </w:r>
      <w:r>
        <w:rPr>
          <w:spacing w:val="-3"/>
          <w:vertAlign w:val="baseline"/>
        </w:rPr>
        <w:t> </w:t>
      </w:r>
      <w:r>
        <w:rPr>
          <w:vertAlign w:val="baseline"/>
        </w:rPr>
        <w:t>de</w:t>
      </w:r>
      <w:r>
        <w:rPr>
          <w:spacing w:val="-7"/>
          <w:vertAlign w:val="baseline"/>
        </w:rPr>
        <w:t> </w:t>
      </w:r>
      <w:r>
        <w:rPr>
          <w:vertAlign w:val="baseline"/>
        </w:rPr>
        <w:t>autobuses</w:t>
      </w:r>
      <w:r>
        <w:rPr>
          <w:spacing w:val="-5"/>
          <w:vertAlign w:val="baseline"/>
        </w:rPr>
        <w:t> </w:t>
      </w:r>
      <w:r>
        <w:rPr>
          <w:vertAlign w:val="baseline"/>
        </w:rPr>
        <w:t>y</w:t>
      </w:r>
      <w:r>
        <w:rPr>
          <w:spacing w:val="-6"/>
          <w:vertAlign w:val="baseline"/>
        </w:rPr>
        <w:t> </w:t>
      </w:r>
      <w:r>
        <w:rPr>
          <w:vertAlign w:val="baseline"/>
        </w:rPr>
        <w:t>posteriormente</w:t>
      </w:r>
      <w:r>
        <w:rPr>
          <w:spacing w:val="-6"/>
          <w:vertAlign w:val="baseline"/>
        </w:rPr>
        <w:t> </w:t>
      </w:r>
      <w:r>
        <w:rPr>
          <w:vertAlign w:val="baseline"/>
        </w:rPr>
        <w:t>otros</w:t>
      </w:r>
      <w:r>
        <w:rPr>
          <w:spacing w:val="-6"/>
          <w:vertAlign w:val="baseline"/>
        </w:rPr>
        <w:t> </w:t>
      </w:r>
      <w:r>
        <w:rPr>
          <w:vertAlign w:val="baseline"/>
        </w:rPr>
        <w:t>40,</w:t>
      </w:r>
      <w:r>
        <w:rPr>
          <w:spacing w:val="-5"/>
          <w:vertAlign w:val="baseline"/>
        </w:rPr>
        <w:t> </w:t>
      </w:r>
      <w:r>
        <w:rPr>
          <w:vertAlign w:val="baseline"/>
        </w:rPr>
        <w:t>además</w:t>
      </w:r>
      <w:r>
        <w:rPr>
          <w:spacing w:val="-6"/>
          <w:vertAlign w:val="baseline"/>
        </w:rPr>
        <w:t> </w:t>
      </w:r>
      <w:r>
        <w:rPr>
          <w:vertAlign w:val="baseline"/>
        </w:rPr>
        <w:t>de</w:t>
      </w:r>
      <w:r>
        <w:rPr>
          <w:spacing w:val="-7"/>
          <w:vertAlign w:val="baseline"/>
        </w:rPr>
        <w:t> </w:t>
      </w:r>
      <w:r>
        <w:rPr>
          <w:vertAlign w:val="baseline"/>
        </w:rPr>
        <w:t>la</w:t>
      </w:r>
      <w:r>
        <w:rPr>
          <w:spacing w:val="-4"/>
          <w:vertAlign w:val="baseline"/>
        </w:rPr>
        <w:t> </w:t>
      </w:r>
      <w:r>
        <w:rPr>
          <w:vertAlign w:val="baseline"/>
        </w:rPr>
        <w:t>adecuación</w:t>
      </w:r>
      <w:r>
        <w:rPr>
          <w:spacing w:val="-7"/>
          <w:vertAlign w:val="baseline"/>
        </w:rPr>
        <w:t> </w:t>
      </w:r>
      <w:r>
        <w:rPr>
          <w:vertAlign w:val="baseline"/>
        </w:rPr>
        <w:t>de infraestructura eléctrica.</w:t>
      </w:r>
    </w:p>
    <w:p>
      <w:pPr>
        <w:pStyle w:val="BodyText"/>
        <w:spacing w:before="242"/>
        <w:ind w:left="992" w:right="987"/>
        <w:jc w:val="both"/>
      </w:pPr>
      <w:r>
        <w:rPr/>
        <w:t>Al margen de los planes de los ayuntamientos fiscalizados, Alicante, Bilbao, Málaga y Sevilla establecieron</w:t>
      </w:r>
      <w:r>
        <w:rPr>
          <w:spacing w:val="-12"/>
        </w:rPr>
        <w:t> </w:t>
      </w:r>
      <w:r>
        <w:rPr/>
        <w:t>algunas</w:t>
      </w:r>
      <w:r>
        <w:rPr>
          <w:spacing w:val="-12"/>
        </w:rPr>
        <w:t> </w:t>
      </w:r>
      <w:r>
        <w:rPr/>
        <w:t>previsiones</w:t>
      </w:r>
      <w:r>
        <w:rPr>
          <w:spacing w:val="-12"/>
        </w:rPr>
        <w:t> </w:t>
      </w:r>
      <w:r>
        <w:rPr/>
        <w:t>sobre</w:t>
      </w:r>
      <w:r>
        <w:rPr>
          <w:spacing w:val="-12"/>
        </w:rPr>
        <w:t> </w:t>
      </w:r>
      <w:r>
        <w:rPr/>
        <w:t>las</w:t>
      </w:r>
      <w:r>
        <w:rPr>
          <w:spacing w:val="-12"/>
        </w:rPr>
        <w:t> </w:t>
      </w:r>
      <w:r>
        <w:rPr/>
        <w:t>características</w:t>
      </w:r>
      <w:r>
        <w:rPr>
          <w:spacing w:val="-12"/>
        </w:rPr>
        <w:t> </w:t>
      </w:r>
      <w:r>
        <w:rPr/>
        <w:t>de</w:t>
      </w:r>
      <w:r>
        <w:rPr>
          <w:spacing w:val="-15"/>
        </w:rPr>
        <w:t> </w:t>
      </w:r>
      <w:r>
        <w:rPr/>
        <w:t>las</w:t>
      </w:r>
      <w:r>
        <w:rPr>
          <w:spacing w:val="-12"/>
        </w:rPr>
        <w:t> </w:t>
      </w:r>
      <w:r>
        <w:rPr/>
        <w:t>nuevas</w:t>
      </w:r>
      <w:r>
        <w:rPr>
          <w:spacing w:val="-12"/>
        </w:rPr>
        <w:t> </w:t>
      </w:r>
      <w:r>
        <w:rPr/>
        <w:t>adquisiciones.</w:t>
      </w:r>
      <w:r>
        <w:rPr>
          <w:spacing w:val="-8"/>
        </w:rPr>
        <w:t> </w:t>
      </w:r>
      <w:r>
        <w:rPr/>
        <w:t>El</w:t>
      </w:r>
      <w:r>
        <w:rPr>
          <w:spacing w:val="-13"/>
        </w:rPr>
        <w:t> </w:t>
      </w:r>
      <w:r>
        <w:rPr/>
        <w:t>contrato de concesión del servicio público del transporte urbano colectivo de viajeros en autobús, suscrito en noviembre de 2022, por el </w:t>
      </w:r>
      <w:r>
        <w:rPr>
          <w:b/>
        </w:rPr>
        <w:t>Ayuntamiento de Alicante </w:t>
      </w:r>
      <w:r>
        <w:rPr/>
        <w:t>preveía la adquisición de 23 vehículos eléctricos por la empresa concesionaria y su puesta en funcionamiento antes del 31 de diciembre de 2024, lo que no se llevó a efecto en el plazo estipulado, como se expone más adelante.</w:t>
      </w:r>
    </w:p>
    <w:p>
      <w:pPr>
        <w:pStyle w:val="BodyText"/>
        <w:spacing w:before="239"/>
        <w:ind w:left="992" w:right="986"/>
        <w:jc w:val="both"/>
      </w:pPr>
      <w:r>
        <w:rPr/>
        <w:t>El </w:t>
      </w:r>
      <w:r>
        <w:rPr>
          <w:b/>
        </w:rPr>
        <w:t>Ayuntamiento de Bilbao </w:t>
      </w:r>
      <w:r>
        <w:rPr/>
        <w:t>había fijado en el pliego de prescripciones técnicas del contrato de prestación del servicio público de transporte urbano un plan de renovación de la flota, que fue modificado en dos ocasiones con ocasión de las dos convocatorias de ayudas en el marco del PRTR, sustituyendo</w:t>
      </w:r>
      <w:r>
        <w:rPr>
          <w:spacing w:val="-2"/>
        </w:rPr>
        <w:t> </w:t>
      </w:r>
      <w:r>
        <w:rPr/>
        <w:t>los</w:t>
      </w:r>
      <w:r>
        <w:rPr>
          <w:spacing w:val="-2"/>
        </w:rPr>
        <w:t> </w:t>
      </w:r>
      <w:r>
        <w:rPr/>
        <w:t>autobuses híbridos que</w:t>
      </w:r>
      <w:r>
        <w:rPr>
          <w:spacing w:val="-4"/>
        </w:rPr>
        <w:t> </w:t>
      </w:r>
      <w:r>
        <w:rPr/>
        <w:t>estaba previsto que</w:t>
      </w:r>
      <w:r>
        <w:rPr>
          <w:spacing w:val="-2"/>
        </w:rPr>
        <w:t> </w:t>
      </w:r>
      <w:r>
        <w:rPr/>
        <w:t>se adquirieran, por autobuses eléctricos que eran el tipo de vehículos subvencionables, de forma que en 2024 la flota estaría compuesta por 25 autobuses diésel, 94 híbridos y 22 eléctricos, previsión que se ha cumplido. El contrato preveía un sistema de pagos a la empresa concesionaria, de forma que, además del importe</w:t>
      </w:r>
      <w:r>
        <w:rPr>
          <w:spacing w:val="-2"/>
        </w:rPr>
        <w:t> </w:t>
      </w:r>
      <w:r>
        <w:rPr/>
        <w:t>mensual a abonar por</w:t>
      </w:r>
      <w:r>
        <w:rPr>
          <w:spacing w:val="-1"/>
        </w:rPr>
        <w:t> </w:t>
      </w:r>
      <w:r>
        <w:rPr/>
        <w:t>el</w:t>
      </w:r>
      <w:r>
        <w:rPr>
          <w:spacing w:val="-1"/>
        </w:rPr>
        <w:t> </w:t>
      </w:r>
      <w:r>
        <w:rPr/>
        <w:t>Ayuntamiento</w:t>
      </w:r>
      <w:r>
        <w:rPr>
          <w:spacing w:val="-1"/>
        </w:rPr>
        <w:t> </w:t>
      </w:r>
      <w:r>
        <w:rPr/>
        <w:t>por el</w:t>
      </w:r>
      <w:r>
        <w:rPr>
          <w:spacing w:val="-1"/>
        </w:rPr>
        <w:t> </w:t>
      </w:r>
      <w:r>
        <w:rPr/>
        <w:t>servicio prestado, tenía que pagar el</w:t>
      </w:r>
      <w:r>
        <w:rPr>
          <w:spacing w:val="-1"/>
        </w:rPr>
        <w:t> </w:t>
      </w:r>
      <w:r>
        <w:rPr/>
        <w:t>importe relativo a la amortización de las inversiones, entre ellas, los vehículos híbridos que inicialmente estaba previsto que debía adquirir la empresa concesionaria. Al ser superior el coste de los vehículos eléctricos que el de los híbridos, la empresa aceptó asumir el sobrecoste de compra no cubierto</w:t>
      </w:r>
      <w:r>
        <w:rPr>
          <w:spacing w:val="-5"/>
        </w:rPr>
        <w:t> </w:t>
      </w:r>
      <w:r>
        <w:rPr/>
        <w:t>con</w:t>
      </w:r>
      <w:r>
        <w:rPr>
          <w:spacing w:val="-3"/>
        </w:rPr>
        <w:t> </w:t>
      </w:r>
      <w:r>
        <w:rPr/>
        <w:t>la</w:t>
      </w:r>
      <w:r>
        <w:rPr>
          <w:spacing w:val="-3"/>
        </w:rPr>
        <w:t> </w:t>
      </w:r>
      <w:r>
        <w:rPr/>
        <w:t>subvención</w:t>
      </w:r>
      <w:r>
        <w:rPr>
          <w:spacing w:val="-3"/>
        </w:rPr>
        <w:t> </w:t>
      </w:r>
      <w:r>
        <w:rPr/>
        <w:t>procedente</w:t>
      </w:r>
      <w:r>
        <w:rPr>
          <w:spacing w:val="-3"/>
        </w:rPr>
        <w:t> </w:t>
      </w:r>
      <w:r>
        <w:rPr/>
        <w:t>del</w:t>
      </w:r>
      <w:r>
        <w:rPr>
          <w:spacing w:val="-3"/>
        </w:rPr>
        <w:t> </w:t>
      </w:r>
      <w:r>
        <w:rPr/>
        <w:t>PRTR, por</w:t>
      </w:r>
      <w:r>
        <w:rPr>
          <w:spacing w:val="-2"/>
        </w:rPr>
        <w:t> </w:t>
      </w:r>
      <w:r>
        <w:rPr/>
        <w:t>valor</w:t>
      </w:r>
      <w:r>
        <w:rPr>
          <w:spacing w:val="-4"/>
        </w:rPr>
        <w:t> </w:t>
      </w:r>
      <w:r>
        <w:rPr/>
        <w:t>de</w:t>
      </w:r>
      <w:r>
        <w:rPr>
          <w:spacing w:val="-3"/>
        </w:rPr>
        <w:t> </w:t>
      </w:r>
      <w:r>
        <w:rPr/>
        <w:t>2.131.060,95</w:t>
      </w:r>
      <w:r>
        <w:rPr>
          <w:spacing w:val="-3"/>
        </w:rPr>
        <w:t> </w:t>
      </w:r>
      <w:r>
        <w:rPr/>
        <w:t>euros, sin</w:t>
      </w:r>
      <w:r>
        <w:rPr>
          <w:spacing w:val="-5"/>
        </w:rPr>
        <w:t> </w:t>
      </w:r>
      <w:r>
        <w:rPr/>
        <w:t>repercusión económica para el Ayuntamiento, que estimaban que sería compensado por la reducción de los costes asociados al mantenimiento</w:t>
      </w:r>
      <w:hyperlink w:history="true" w:anchor="_bookmark49">
        <w:r>
          <w:rPr>
            <w:vertAlign w:val="superscript"/>
          </w:rPr>
          <w:t>27</w:t>
        </w:r>
        <w:r>
          <w:rPr>
            <w:vertAlign w:val="baseline"/>
          </w:rPr>
          <w:t>.</w:t>
        </w:r>
      </w:hyperlink>
    </w:p>
    <w:p>
      <w:pPr>
        <w:pStyle w:val="BodyText"/>
        <w:spacing w:before="241"/>
        <w:ind w:left="992" w:right="987"/>
        <w:jc w:val="both"/>
      </w:pPr>
      <w:r>
        <w:rPr/>
        <w:t>La empresa municipal de transportes del </w:t>
      </w:r>
      <w:r>
        <w:rPr>
          <w:b/>
        </w:rPr>
        <w:t>Ayuntamiento de Málaga </w:t>
      </w:r>
      <w:r>
        <w:rPr/>
        <w:t>estableció dentro de su Plan Estratégico 2022-2024 el objetivo de renovación de la flota de vehículos: doce vehículos híbridos en</w:t>
      </w:r>
      <w:r>
        <w:rPr>
          <w:spacing w:val="-1"/>
        </w:rPr>
        <w:t> </w:t>
      </w:r>
      <w:r>
        <w:rPr/>
        <w:t>2022</w:t>
      </w:r>
      <w:r>
        <w:rPr>
          <w:spacing w:val="-3"/>
        </w:rPr>
        <w:t> </w:t>
      </w:r>
      <w:r>
        <w:rPr/>
        <w:t>y</w:t>
      </w:r>
      <w:r>
        <w:rPr>
          <w:spacing w:val="-3"/>
        </w:rPr>
        <w:t> </w:t>
      </w:r>
      <w:r>
        <w:rPr/>
        <w:t>2023</w:t>
      </w:r>
      <w:r>
        <w:rPr>
          <w:spacing w:val="-6"/>
        </w:rPr>
        <w:t> </w:t>
      </w:r>
      <w:r>
        <w:rPr/>
        <w:t>y</w:t>
      </w:r>
      <w:r>
        <w:rPr>
          <w:spacing w:val="-3"/>
        </w:rPr>
        <w:t> </w:t>
      </w:r>
      <w:r>
        <w:rPr/>
        <w:t>diez en</w:t>
      </w:r>
      <w:r>
        <w:rPr>
          <w:spacing w:val="-5"/>
        </w:rPr>
        <w:t> </w:t>
      </w:r>
      <w:r>
        <w:rPr/>
        <w:t>2024.</w:t>
      </w:r>
      <w:r>
        <w:rPr>
          <w:spacing w:val="-2"/>
        </w:rPr>
        <w:t> </w:t>
      </w:r>
      <w:r>
        <w:rPr/>
        <w:t>Los</w:t>
      </w:r>
      <w:r>
        <w:rPr>
          <w:spacing w:val="-3"/>
        </w:rPr>
        <w:t> </w:t>
      </w:r>
      <w:r>
        <w:rPr/>
        <w:t>de</w:t>
      </w:r>
      <w:r>
        <w:rPr>
          <w:spacing w:val="-3"/>
        </w:rPr>
        <w:t> </w:t>
      </w:r>
      <w:r>
        <w:rPr/>
        <w:t>2022</w:t>
      </w:r>
      <w:r>
        <w:rPr>
          <w:spacing w:val="-3"/>
        </w:rPr>
        <w:t> </w:t>
      </w:r>
      <w:r>
        <w:rPr/>
        <w:t>y</w:t>
      </w:r>
      <w:r>
        <w:rPr>
          <w:spacing w:val="-3"/>
        </w:rPr>
        <w:t> </w:t>
      </w:r>
      <w:r>
        <w:rPr/>
        <w:t>2023</w:t>
      </w:r>
      <w:r>
        <w:rPr>
          <w:spacing w:val="-1"/>
        </w:rPr>
        <w:t> </w:t>
      </w:r>
      <w:r>
        <w:rPr/>
        <w:t>se</w:t>
      </w:r>
      <w:r>
        <w:rPr>
          <w:spacing w:val="-5"/>
        </w:rPr>
        <w:t> </w:t>
      </w:r>
      <w:r>
        <w:rPr/>
        <w:t>recibieron</w:t>
      </w:r>
      <w:r>
        <w:rPr>
          <w:spacing w:val="-3"/>
        </w:rPr>
        <w:t> </w:t>
      </w:r>
      <w:r>
        <w:rPr/>
        <w:t>en</w:t>
      </w:r>
      <w:r>
        <w:rPr>
          <w:spacing w:val="-3"/>
        </w:rPr>
        <w:t> </w:t>
      </w:r>
      <w:r>
        <w:rPr/>
        <w:t>esos</w:t>
      </w:r>
      <w:r>
        <w:rPr>
          <w:spacing w:val="-5"/>
        </w:rPr>
        <w:t> </w:t>
      </w:r>
      <w:r>
        <w:rPr/>
        <w:t>ejercicios.</w:t>
      </w:r>
      <w:r>
        <w:rPr>
          <w:spacing w:val="-2"/>
        </w:rPr>
        <w:t> </w:t>
      </w:r>
      <w:r>
        <w:rPr/>
        <w:t>La</w:t>
      </w:r>
      <w:r>
        <w:rPr>
          <w:spacing w:val="-5"/>
        </w:rPr>
        <w:t> </w:t>
      </w:r>
      <w:r>
        <w:rPr/>
        <w:t>compra</w:t>
      </w:r>
      <w:r>
        <w:rPr>
          <w:spacing w:val="-3"/>
        </w:rPr>
        <w:t> </w:t>
      </w:r>
      <w:r>
        <w:rPr/>
        <w:t>de los de 2024 se llevó a efecto en diciembre de ese año, estando prevista su entrega en 2025. Asimismo, se establecía la renovación de la flota con vehículos 100 % eléctricos-cero emisiones. Los autobuses correspondientes a los ejercicios 2022 y 2023 se han recibido, estando a 31 de diciembre</w:t>
      </w:r>
      <w:r>
        <w:rPr>
          <w:spacing w:val="-4"/>
        </w:rPr>
        <w:t> </w:t>
      </w:r>
      <w:r>
        <w:rPr/>
        <w:t>de</w:t>
      </w:r>
      <w:r>
        <w:rPr>
          <w:spacing w:val="-7"/>
        </w:rPr>
        <w:t> </w:t>
      </w:r>
      <w:r>
        <w:rPr/>
        <w:t>2024</w:t>
      </w:r>
      <w:r>
        <w:rPr>
          <w:spacing w:val="-7"/>
        </w:rPr>
        <w:t> </w:t>
      </w:r>
      <w:r>
        <w:rPr/>
        <w:t>pendiente</w:t>
      </w:r>
      <w:r>
        <w:rPr>
          <w:spacing w:val="-4"/>
        </w:rPr>
        <w:t> </w:t>
      </w:r>
      <w:r>
        <w:rPr/>
        <w:t>de</w:t>
      </w:r>
      <w:r>
        <w:rPr>
          <w:spacing w:val="-7"/>
        </w:rPr>
        <w:t> </w:t>
      </w:r>
      <w:r>
        <w:rPr/>
        <w:t>entrega</w:t>
      </w:r>
      <w:r>
        <w:rPr>
          <w:spacing w:val="-6"/>
        </w:rPr>
        <w:t> </w:t>
      </w:r>
      <w:r>
        <w:rPr/>
        <w:t>los</w:t>
      </w:r>
      <w:r>
        <w:rPr>
          <w:spacing w:val="-3"/>
        </w:rPr>
        <w:t> </w:t>
      </w:r>
      <w:r>
        <w:rPr/>
        <w:t>diez</w:t>
      </w:r>
      <w:r>
        <w:rPr>
          <w:spacing w:val="-9"/>
        </w:rPr>
        <w:t> </w:t>
      </w:r>
      <w:r>
        <w:rPr/>
        <w:t>correspondientes</w:t>
      </w:r>
      <w:r>
        <w:rPr>
          <w:spacing w:val="-4"/>
        </w:rPr>
        <w:t> </w:t>
      </w:r>
      <w:r>
        <w:rPr/>
        <w:t>a</w:t>
      </w:r>
      <w:r>
        <w:rPr>
          <w:spacing w:val="-6"/>
        </w:rPr>
        <w:t> </w:t>
      </w:r>
      <w:r>
        <w:rPr/>
        <w:t>ese</w:t>
      </w:r>
      <w:r>
        <w:rPr>
          <w:spacing w:val="-9"/>
        </w:rPr>
        <w:t> </w:t>
      </w:r>
      <w:r>
        <w:rPr/>
        <w:t>ejercicio.</w:t>
      </w:r>
      <w:r>
        <w:rPr>
          <w:spacing w:val="-5"/>
        </w:rPr>
        <w:t> </w:t>
      </w:r>
      <w:r>
        <w:rPr/>
        <w:t>También</w:t>
      </w:r>
      <w:r>
        <w:rPr>
          <w:spacing w:val="-4"/>
        </w:rPr>
        <w:t> </w:t>
      </w:r>
      <w:r>
        <w:rPr/>
        <w:t>estaba prevista</w:t>
      </w:r>
      <w:r>
        <w:rPr>
          <w:spacing w:val="-7"/>
        </w:rPr>
        <w:t> </w:t>
      </w:r>
      <w:r>
        <w:rPr/>
        <w:t>la</w:t>
      </w:r>
      <w:r>
        <w:rPr>
          <w:spacing w:val="-7"/>
        </w:rPr>
        <w:t> </w:t>
      </w:r>
      <w:r>
        <w:rPr/>
        <w:t>adquisición</w:t>
      </w:r>
      <w:r>
        <w:rPr>
          <w:spacing w:val="-8"/>
        </w:rPr>
        <w:t> </w:t>
      </w:r>
      <w:r>
        <w:rPr/>
        <w:t>de</w:t>
      </w:r>
      <w:r>
        <w:rPr>
          <w:spacing w:val="-7"/>
        </w:rPr>
        <w:t> </w:t>
      </w:r>
      <w:r>
        <w:rPr/>
        <w:t>dos</w:t>
      </w:r>
      <w:r>
        <w:rPr>
          <w:spacing w:val="-6"/>
        </w:rPr>
        <w:t> </w:t>
      </w:r>
      <w:r>
        <w:rPr/>
        <w:t>vehículos</w:t>
      </w:r>
      <w:r>
        <w:rPr>
          <w:spacing w:val="-10"/>
        </w:rPr>
        <w:t> </w:t>
      </w:r>
      <w:r>
        <w:rPr/>
        <w:t>propulsados</w:t>
      </w:r>
      <w:r>
        <w:rPr>
          <w:spacing w:val="-7"/>
        </w:rPr>
        <w:t> </w:t>
      </w:r>
      <w:r>
        <w:rPr/>
        <w:t>por</w:t>
      </w:r>
      <w:r>
        <w:rPr>
          <w:spacing w:val="-6"/>
        </w:rPr>
        <w:t> </w:t>
      </w:r>
      <w:r>
        <w:rPr/>
        <w:t>hidrógeno-cero</w:t>
      </w:r>
      <w:r>
        <w:rPr>
          <w:spacing w:val="-9"/>
        </w:rPr>
        <w:t> </w:t>
      </w:r>
      <w:r>
        <w:rPr/>
        <w:t>emisiones,</w:t>
      </w:r>
      <w:r>
        <w:rPr>
          <w:spacing w:val="-6"/>
        </w:rPr>
        <w:t> </w:t>
      </w:r>
      <w:r>
        <w:rPr/>
        <w:t>pero</w:t>
      </w:r>
      <w:r>
        <w:rPr>
          <w:spacing w:val="-7"/>
        </w:rPr>
        <w:t> </w:t>
      </w:r>
      <w:r>
        <w:rPr/>
        <w:t>la</w:t>
      </w:r>
      <w:r>
        <w:rPr>
          <w:spacing w:val="-7"/>
        </w:rPr>
        <w:t> </w:t>
      </w:r>
      <w:r>
        <w:rPr/>
        <w:t>entidad advirtió que</w:t>
      </w:r>
      <w:r>
        <w:rPr>
          <w:spacing w:val="-1"/>
        </w:rPr>
        <w:t> </w:t>
      </w:r>
      <w:r>
        <w:rPr/>
        <w:t>el</w:t>
      </w:r>
      <w:r>
        <w:rPr>
          <w:spacing w:val="-2"/>
        </w:rPr>
        <w:t> </w:t>
      </w:r>
      <w:r>
        <w:rPr/>
        <w:t>proyecto</w:t>
      </w:r>
      <w:r>
        <w:rPr>
          <w:spacing w:val="-3"/>
        </w:rPr>
        <w:t> </w:t>
      </w:r>
      <w:r>
        <w:rPr/>
        <w:t>no era</w:t>
      </w:r>
      <w:r>
        <w:rPr>
          <w:spacing w:val="-2"/>
        </w:rPr>
        <w:t> </w:t>
      </w:r>
      <w:r>
        <w:rPr/>
        <w:t>viable, dada</w:t>
      </w:r>
      <w:r>
        <w:rPr>
          <w:spacing w:val="-1"/>
        </w:rPr>
        <w:t> </w:t>
      </w:r>
      <w:r>
        <w:rPr/>
        <w:t>la</w:t>
      </w:r>
      <w:r>
        <w:rPr>
          <w:spacing w:val="-1"/>
        </w:rPr>
        <w:t> </w:t>
      </w:r>
      <w:r>
        <w:rPr/>
        <w:t>dificultad para</w:t>
      </w:r>
      <w:r>
        <w:rPr>
          <w:spacing w:val="-1"/>
        </w:rPr>
        <w:t> </w:t>
      </w:r>
      <w:r>
        <w:rPr/>
        <w:t>su</w:t>
      </w:r>
      <w:r>
        <w:rPr>
          <w:spacing w:val="-1"/>
        </w:rPr>
        <w:t> </w:t>
      </w:r>
      <w:r>
        <w:rPr/>
        <w:t>repostaje, por lo</w:t>
      </w:r>
      <w:r>
        <w:rPr>
          <w:spacing w:val="-1"/>
        </w:rPr>
        <w:t> </w:t>
      </w:r>
      <w:r>
        <w:rPr/>
        <w:t>que</w:t>
      </w:r>
      <w:r>
        <w:rPr>
          <w:spacing w:val="-1"/>
        </w:rPr>
        <w:t> </w:t>
      </w:r>
      <w:r>
        <w:rPr/>
        <w:t>finalmente</w:t>
      </w:r>
      <w:r>
        <w:rPr>
          <w:spacing w:val="-1"/>
        </w:rPr>
        <w:t> </w:t>
      </w:r>
      <w:r>
        <w:rPr/>
        <w:t>no se llevó a cabo, lo que evidencia carencias en la planificación inicial efectuada.</w:t>
      </w:r>
    </w:p>
    <w:p>
      <w:pPr>
        <w:pStyle w:val="BodyText"/>
        <w:rPr>
          <w:sz w:val="20"/>
        </w:rPr>
      </w:pPr>
    </w:p>
    <w:p>
      <w:pPr>
        <w:pStyle w:val="BodyText"/>
        <w:rPr>
          <w:sz w:val="20"/>
        </w:rPr>
      </w:pPr>
    </w:p>
    <w:p>
      <w:pPr>
        <w:pStyle w:val="BodyText"/>
        <w:spacing w:before="148"/>
        <w:rPr>
          <w:sz w:val="20"/>
        </w:rPr>
      </w:pPr>
      <w:r>
        <w:rPr>
          <w:sz w:val="20"/>
        </w:rPr>
        <mc:AlternateContent>
          <mc:Choice Requires="wps">
            <w:drawing>
              <wp:anchor distT="0" distB="0" distL="0" distR="0" allowOverlap="1" layoutInCell="1" locked="0" behindDoc="1" simplePos="0" relativeHeight="487603712">
                <wp:simplePos x="0" y="0"/>
                <wp:positionH relativeFrom="page">
                  <wp:posOffset>719632</wp:posOffset>
                </wp:positionH>
                <wp:positionV relativeFrom="paragraph">
                  <wp:posOffset>255400</wp:posOffset>
                </wp:positionV>
                <wp:extent cx="1829435" cy="9525"/>
                <wp:effectExtent l="0" t="0" r="0" b="0"/>
                <wp:wrapTopAndBottom/>
                <wp:docPr id="139" name="Graphic 139"/>
                <wp:cNvGraphicFramePr>
                  <a:graphicFrameLocks/>
                </wp:cNvGraphicFramePr>
                <a:graphic>
                  <a:graphicData uri="http://schemas.microsoft.com/office/word/2010/wordprocessingShape">
                    <wps:wsp>
                      <wps:cNvPr id="139" name="Graphic 139"/>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20.110264pt;width:144.020pt;height:.72003pt;mso-position-horizontal-relative:page;mso-position-vertical-relative:paragraph;z-index:-15712768;mso-wrap-distance-left:0;mso-wrap-distance-right:0" id="docshape121" filled="true" fillcolor="#000000" stroked="false">
                <v:fill type="solid"/>
                <w10:wrap type="topAndBottom"/>
              </v:rect>
            </w:pict>
          </mc:Fallback>
        </mc:AlternateContent>
      </w:r>
    </w:p>
    <w:p>
      <w:pPr>
        <w:spacing w:before="118"/>
        <w:ind w:left="992" w:right="0" w:firstLine="0"/>
        <w:jc w:val="both"/>
        <w:rPr>
          <w:sz w:val="18"/>
        </w:rPr>
      </w:pPr>
      <w:bookmarkStart w:name="_bookmark48" w:id="50"/>
      <w:bookmarkEnd w:id="50"/>
      <w:r>
        <w:rPr/>
      </w:r>
      <w:r>
        <w:rPr>
          <w:position w:val="6"/>
          <w:sz w:val="12"/>
        </w:rPr>
        <w:t>26</w:t>
      </w:r>
      <w:r>
        <w:rPr>
          <w:spacing w:val="14"/>
          <w:position w:val="6"/>
          <w:sz w:val="12"/>
        </w:rPr>
        <w:t> </w:t>
      </w:r>
      <w:r>
        <w:rPr>
          <w:sz w:val="18"/>
        </w:rPr>
        <w:t>La</w:t>
      </w:r>
      <w:r>
        <w:rPr>
          <w:spacing w:val="-2"/>
          <w:sz w:val="18"/>
        </w:rPr>
        <w:t> </w:t>
      </w:r>
      <w:r>
        <w:rPr>
          <w:sz w:val="18"/>
        </w:rPr>
        <w:t>previsión</w:t>
      </w:r>
      <w:r>
        <w:rPr>
          <w:spacing w:val="-2"/>
          <w:sz w:val="18"/>
        </w:rPr>
        <w:t> </w:t>
      </w:r>
      <w:r>
        <w:rPr>
          <w:sz w:val="18"/>
        </w:rPr>
        <w:t>es</w:t>
      </w:r>
      <w:r>
        <w:rPr>
          <w:spacing w:val="-1"/>
          <w:sz w:val="18"/>
        </w:rPr>
        <w:t> </w:t>
      </w:r>
      <w:r>
        <w:rPr>
          <w:sz w:val="18"/>
        </w:rPr>
        <w:t>contar</w:t>
      </w:r>
      <w:r>
        <w:rPr>
          <w:spacing w:val="-5"/>
          <w:sz w:val="18"/>
        </w:rPr>
        <w:t> </w:t>
      </w:r>
      <w:r>
        <w:rPr>
          <w:sz w:val="18"/>
        </w:rPr>
        <w:t>con</w:t>
      </w:r>
      <w:r>
        <w:rPr>
          <w:spacing w:val="-3"/>
          <w:sz w:val="18"/>
        </w:rPr>
        <w:t> </w:t>
      </w:r>
      <w:r>
        <w:rPr>
          <w:sz w:val="18"/>
        </w:rPr>
        <w:t>164</w:t>
      </w:r>
      <w:r>
        <w:rPr>
          <w:spacing w:val="-2"/>
          <w:sz w:val="18"/>
        </w:rPr>
        <w:t> </w:t>
      </w:r>
      <w:r>
        <w:rPr>
          <w:sz w:val="18"/>
        </w:rPr>
        <w:t>vehículos</w:t>
      </w:r>
      <w:r>
        <w:rPr>
          <w:spacing w:val="-1"/>
          <w:sz w:val="18"/>
        </w:rPr>
        <w:t> </w:t>
      </w:r>
      <w:r>
        <w:rPr>
          <w:sz w:val="18"/>
        </w:rPr>
        <w:t>eléctricos</w:t>
      </w:r>
      <w:r>
        <w:rPr>
          <w:spacing w:val="-1"/>
          <w:sz w:val="18"/>
        </w:rPr>
        <w:t> </w:t>
      </w:r>
      <w:r>
        <w:rPr>
          <w:sz w:val="18"/>
        </w:rPr>
        <w:t>en</w:t>
      </w:r>
      <w:r>
        <w:rPr>
          <w:spacing w:val="-2"/>
          <w:sz w:val="18"/>
        </w:rPr>
        <w:t> </w:t>
      </w:r>
      <w:r>
        <w:rPr>
          <w:spacing w:val="-4"/>
          <w:sz w:val="18"/>
        </w:rPr>
        <w:t>2027.</w:t>
      </w:r>
    </w:p>
    <w:p>
      <w:pPr>
        <w:spacing w:before="1"/>
        <w:ind w:left="992" w:right="987" w:firstLine="0"/>
        <w:jc w:val="both"/>
        <w:rPr>
          <w:sz w:val="18"/>
        </w:rPr>
      </w:pPr>
      <w:bookmarkStart w:name="_bookmark49" w:id="51"/>
      <w:bookmarkEnd w:id="51"/>
      <w:r>
        <w:rPr/>
      </w:r>
      <w:r>
        <w:rPr>
          <w:position w:val="6"/>
          <w:sz w:val="12"/>
        </w:rPr>
        <w:t>27</w:t>
      </w:r>
      <w:r>
        <w:rPr>
          <w:spacing w:val="4"/>
          <w:position w:val="6"/>
          <w:sz w:val="12"/>
        </w:rPr>
        <w:t> </w:t>
      </w:r>
      <w:r>
        <w:rPr>
          <w:sz w:val="18"/>
        </w:rPr>
        <w:t>El</w:t>
      </w:r>
      <w:r>
        <w:rPr>
          <w:spacing w:val="-11"/>
          <w:sz w:val="18"/>
        </w:rPr>
        <w:t> </w:t>
      </w:r>
      <w:r>
        <w:rPr>
          <w:sz w:val="18"/>
        </w:rPr>
        <w:t>importe</w:t>
      </w:r>
      <w:r>
        <w:rPr>
          <w:spacing w:val="-11"/>
          <w:sz w:val="18"/>
        </w:rPr>
        <w:t> </w:t>
      </w:r>
      <w:r>
        <w:rPr>
          <w:sz w:val="18"/>
        </w:rPr>
        <w:t>total</w:t>
      </w:r>
      <w:r>
        <w:rPr>
          <w:spacing w:val="-11"/>
          <w:sz w:val="18"/>
        </w:rPr>
        <w:t> </w:t>
      </w:r>
      <w:r>
        <w:rPr>
          <w:sz w:val="18"/>
        </w:rPr>
        <w:t>de</w:t>
      </w:r>
      <w:r>
        <w:rPr>
          <w:spacing w:val="-13"/>
          <w:sz w:val="18"/>
        </w:rPr>
        <w:t> </w:t>
      </w:r>
      <w:r>
        <w:rPr>
          <w:sz w:val="18"/>
        </w:rPr>
        <w:t>la</w:t>
      </w:r>
      <w:r>
        <w:rPr>
          <w:spacing w:val="-11"/>
          <w:sz w:val="18"/>
        </w:rPr>
        <w:t> </w:t>
      </w:r>
      <w:r>
        <w:rPr>
          <w:sz w:val="18"/>
        </w:rPr>
        <w:t>actuación</w:t>
      </w:r>
      <w:r>
        <w:rPr>
          <w:spacing w:val="-8"/>
          <w:sz w:val="18"/>
        </w:rPr>
        <w:t> </w:t>
      </w:r>
      <w:r>
        <w:rPr>
          <w:sz w:val="18"/>
        </w:rPr>
        <w:t>para</w:t>
      </w:r>
      <w:r>
        <w:rPr>
          <w:spacing w:val="-11"/>
          <w:sz w:val="18"/>
        </w:rPr>
        <w:t> </w:t>
      </w:r>
      <w:r>
        <w:rPr>
          <w:sz w:val="18"/>
        </w:rPr>
        <w:t>el</w:t>
      </w:r>
      <w:r>
        <w:rPr>
          <w:spacing w:val="-11"/>
          <w:sz w:val="18"/>
        </w:rPr>
        <w:t> </w:t>
      </w:r>
      <w:r>
        <w:rPr>
          <w:sz w:val="18"/>
        </w:rPr>
        <w:t>Ayuntamiento</w:t>
      </w:r>
      <w:r>
        <w:rPr>
          <w:spacing w:val="-9"/>
          <w:sz w:val="18"/>
        </w:rPr>
        <w:t> </w:t>
      </w:r>
      <w:r>
        <w:rPr>
          <w:sz w:val="18"/>
        </w:rPr>
        <w:t>ascendió</w:t>
      </w:r>
      <w:r>
        <w:rPr>
          <w:spacing w:val="-11"/>
          <w:sz w:val="18"/>
        </w:rPr>
        <w:t> </w:t>
      </w:r>
      <w:r>
        <w:rPr>
          <w:sz w:val="18"/>
        </w:rPr>
        <w:t>6.580.883,58</w:t>
      </w:r>
      <w:r>
        <w:rPr>
          <w:spacing w:val="-11"/>
          <w:sz w:val="18"/>
        </w:rPr>
        <w:t> </w:t>
      </w:r>
      <w:r>
        <w:rPr>
          <w:sz w:val="18"/>
        </w:rPr>
        <w:t>euros,</w:t>
      </w:r>
      <w:r>
        <w:rPr>
          <w:spacing w:val="-9"/>
          <w:sz w:val="18"/>
        </w:rPr>
        <w:t> </w:t>
      </w:r>
      <w:r>
        <w:rPr>
          <w:rFonts w:ascii="Symbol" w:hAnsi="Symbol"/>
          <w:sz w:val="18"/>
        </w:rPr>
        <w:t></w:t>
      </w:r>
      <w:r>
        <w:rPr>
          <w:sz w:val="18"/>
        </w:rPr>
        <w:t>excluido,</w:t>
      </w:r>
      <w:r>
        <w:rPr>
          <w:spacing w:val="-11"/>
          <w:sz w:val="18"/>
        </w:rPr>
        <w:t> </w:t>
      </w:r>
      <w:r>
        <w:rPr>
          <w:sz w:val="18"/>
        </w:rPr>
        <w:t>por</w:t>
      </w:r>
      <w:r>
        <w:rPr>
          <w:spacing w:val="-12"/>
          <w:sz w:val="18"/>
        </w:rPr>
        <w:t> </w:t>
      </w:r>
      <w:r>
        <w:rPr>
          <w:sz w:val="18"/>
        </w:rPr>
        <w:t>lo</w:t>
      </w:r>
      <w:r>
        <w:rPr>
          <w:spacing w:val="-11"/>
          <w:sz w:val="18"/>
        </w:rPr>
        <w:t> </w:t>
      </w:r>
      <w:r>
        <w:rPr>
          <w:sz w:val="18"/>
        </w:rPr>
        <w:t>tanto,</w:t>
      </w:r>
      <w:r>
        <w:rPr>
          <w:spacing w:val="-9"/>
          <w:sz w:val="18"/>
        </w:rPr>
        <w:t> </w:t>
      </w:r>
      <w:r>
        <w:rPr>
          <w:sz w:val="18"/>
        </w:rPr>
        <w:t>el</w:t>
      </w:r>
      <w:r>
        <w:rPr>
          <w:spacing w:val="-13"/>
          <w:sz w:val="18"/>
        </w:rPr>
        <w:t> </w:t>
      </w:r>
      <w:r>
        <w:rPr>
          <w:sz w:val="18"/>
        </w:rPr>
        <w:t>sobrecoste asumido por la empresa concesionaria</w:t>
      </w:r>
      <w:r>
        <w:rPr>
          <w:rFonts w:ascii="Symbol" w:hAnsi="Symbol"/>
          <w:sz w:val="18"/>
        </w:rPr>
        <w:t></w:t>
      </w:r>
      <w:r>
        <w:rPr>
          <w:sz w:val="18"/>
        </w:rPr>
        <w:t>, habiendo recibido el Ayuntamiento subvenciones por 2.680.000,00 euros. A 31 de</w:t>
      </w:r>
      <w:r>
        <w:rPr>
          <w:spacing w:val="-6"/>
          <w:sz w:val="18"/>
        </w:rPr>
        <w:t> </w:t>
      </w:r>
      <w:r>
        <w:rPr>
          <w:sz w:val="18"/>
        </w:rPr>
        <w:t>diciembre</w:t>
      </w:r>
      <w:r>
        <w:rPr>
          <w:spacing w:val="-6"/>
          <w:sz w:val="18"/>
        </w:rPr>
        <w:t> </w:t>
      </w:r>
      <w:r>
        <w:rPr>
          <w:sz w:val="18"/>
        </w:rPr>
        <w:t>de</w:t>
      </w:r>
      <w:r>
        <w:rPr>
          <w:spacing w:val="-6"/>
          <w:sz w:val="18"/>
        </w:rPr>
        <w:t> </w:t>
      </w:r>
      <w:r>
        <w:rPr>
          <w:sz w:val="18"/>
        </w:rPr>
        <w:t>2024,</w:t>
      </w:r>
      <w:r>
        <w:rPr>
          <w:spacing w:val="-7"/>
          <w:sz w:val="18"/>
        </w:rPr>
        <w:t> </w:t>
      </w:r>
      <w:r>
        <w:rPr>
          <w:sz w:val="18"/>
        </w:rPr>
        <w:t>el</w:t>
      </w:r>
      <w:r>
        <w:rPr>
          <w:spacing w:val="-6"/>
          <w:sz w:val="18"/>
        </w:rPr>
        <w:t> </w:t>
      </w:r>
      <w:r>
        <w:rPr>
          <w:sz w:val="18"/>
        </w:rPr>
        <w:t>Ayuntamiento</w:t>
      </w:r>
      <w:r>
        <w:rPr>
          <w:spacing w:val="-6"/>
          <w:sz w:val="18"/>
        </w:rPr>
        <w:t> </w:t>
      </w:r>
      <w:r>
        <w:rPr>
          <w:sz w:val="18"/>
        </w:rPr>
        <w:t>ha</w:t>
      </w:r>
      <w:r>
        <w:rPr>
          <w:spacing w:val="-6"/>
          <w:sz w:val="18"/>
        </w:rPr>
        <w:t> </w:t>
      </w:r>
      <w:r>
        <w:rPr>
          <w:sz w:val="18"/>
        </w:rPr>
        <w:t>abonado</w:t>
      </w:r>
      <w:r>
        <w:rPr>
          <w:spacing w:val="-9"/>
          <w:sz w:val="18"/>
        </w:rPr>
        <w:t> </w:t>
      </w:r>
      <w:r>
        <w:rPr>
          <w:sz w:val="18"/>
        </w:rPr>
        <w:t>447.234,59</w:t>
      </w:r>
      <w:r>
        <w:rPr>
          <w:spacing w:val="-6"/>
          <w:sz w:val="18"/>
        </w:rPr>
        <w:t> </w:t>
      </w:r>
      <w:r>
        <w:rPr>
          <w:sz w:val="18"/>
        </w:rPr>
        <w:t>euros</w:t>
      </w:r>
      <w:r>
        <w:rPr>
          <w:spacing w:val="-6"/>
          <w:sz w:val="18"/>
        </w:rPr>
        <w:t> </w:t>
      </w:r>
      <w:r>
        <w:rPr>
          <w:sz w:val="18"/>
        </w:rPr>
        <w:t>en</w:t>
      </w:r>
      <w:r>
        <w:rPr>
          <w:spacing w:val="-6"/>
          <w:sz w:val="18"/>
        </w:rPr>
        <w:t> </w:t>
      </w:r>
      <w:r>
        <w:rPr>
          <w:sz w:val="18"/>
        </w:rPr>
        <w:t>concepto</w:t>
      </w:r>
      <w:r>
        <w:rPr>
          <w:spacing w:val="-8"/>
          <w:sz w:val="18"/>
        </w:rPr>
        <w:t> </w:t>
      </w:r>
      <w:r>
        <w:rPr>
          <w:sz w:val="18"/>
        </w:rPr>
        <w:t>de</w:t>
      </w:r>
      <w:r>
        <w:rPr>
          <w:spacing w:val="-6"/>
          <w:sz w:val="18"/>
        </w:rPr>
        <w:t> </w:t>
      </w:r>
      <w:r>
        <w:rPr>
          <w:sz w:val="18"/>
        </w:rPr>
        <w:t>amortizaciones,</w:t>
      </w:r>
      <w:r>
        <w:rPr>
          <w:spacing w:val="-7"/>
          <w:sz w:val="18"/>
        </w:rPr>
        <w:t> </w:t>
      </w:r>
      <w:r>
        <w:rPr>
          <w:sz w:val="18"/>
        </w:rPr>
        <w:t>estando</w:t>
      </w:r>
      <w:r>
        <w:rPr>
          <w:spacing w:val="-6"/>
          <w:sz w:val="18"/>
        </w:rPr>
        <w:t> </w:t>
      </w:r>
      <w:r>
        <w:rPr>
          <w:sz w:val="18"/>
        </w:rPr>
        <w:t>pendiente de amortizar 3.453.648,99 euros.</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88"/>
        <w:jc w:val="both"/>
      </w:pPr>
      <w:r>
        <w:rPr/>
        <w:t>La</w:t>
      </w:r>
      <w:r>
        <w:rPr>
          <w:spacing w:val="-2"/>
        </w:rPr>
        <w:t> </w:t>
      </w:r>
      <w:r>
        <w:rPr/>
        <w:t>empresa</w:t>
      </w:r>
      <w:r>
        <w:rPr>
          <w:spacing w:val="-4"/>
        </w:rPr>
        <w:t> </w:t>
      </w:r>
      <w:r>
        <w:rPr/>
        <w:t>municipal</w:t>
      </w:r>
      <w:r>
        <w:rPr>
          <w:spacing w:val="-1"/>
        </w:rPr>
        <w:t> </w:t>
      </w:r>
      <w:r>
        <w:rPr/>
        <w:t>de</w:t>
      </w:r>
      <w:r>
        <w:rPr>
          <w:spacing w:val="-2"/>
        </w:rPr>
        <w:t> </w:t>
      </w:r>
      <w:r>
        <w:rPr/>
        <w:t>transportes</w:t>
      </w:r>
      <w:r>
        <w:rPr>
          <w:spacing w:val="-1"/>
        </w:rPr>
        <w:t> </w:t>
      </w:r>
      <w:r>
        <w:rPr/>
        <w:t>del</w:t>
      </w:r>
      <w:r>
        <w:rPr>
          <w:spacing w:val="-5"/>
        </w:rPr>
        <w:t> </w:t>
      </w:r>
      <w:r>
        <w:rPr>
          <w:b/>
        </w:rPr>
        <w:t>Ayuntamiento</w:t>
      </w:r>
      <w:r>
        <w:rPr>
          <w:b/>
          <w:spacing w:val="-2"/>
        </w:rPr>
        <w:t> </w:t>
      </w:r>
      <w:r>
        <w:rPr>
          <w:b/>
        </w:rPr>
        <w:t>de Sevilla</w:t>
      </w:r>
      <w:r>
        <w:rPr>
          <w:b/>
          <w:spacing w:val="-3"/>
        </w:rPr>
        <w:t> </w:t>
      </w:r>
      <w:r>
        <w:rPr/>
        <w:t>cuenta</w:t>
      </w:r>
      <w:r>
        <w:rPr>
          <w:spacing w:val="-2"/>
        </w:rPr>
        <w:t> </w:t>
      </w:r>
      <w:r>
        <w:rPr/>
        <w:t>con</w:t>
      </w:r>
      <w:r>
        <w:rPr>
          <w:spacing w:val="-2"/>
        </w:rPr>
        <w:t> </w:t>
      </w:r>
      <w:r>
        <w:rPr/>
        <w:t>un</w:t>
      </w:r>
      <w:r>
        <w:rPr>
          <w:spacing w:val="-4"/>
        </w:rPr>
        <w:t> </w:t>
      </w:r>
      <w:r>
        <w:rPr/>
        <w:t>plan</w:t>
      </w:r>
      <w:r>
        <w:rPr>
          <w:spacing w:val="-2"/>
        </w:rPr>
        <w:t> </w:t>
      </w:r>
      <w:r>
        <w:rPr/>
        <w:t>estratégico para el periodo 2021-2030, que es actualizado anualmente, en el que se cuantifican los vehículos eléctricos que se prevén adquirir cada año. Para 2023 y 2024, las previsiones consistían en la adquisición de 21 y 33 vehículos eléctricos, respectivamente, que se cumplieron en ambos </w:t>
      </w:r>
      <w:r>
        <w:rPr>
          <w:spacing w:val="-2"/>
        </w:rPr>
        <w:t>ejercicios.</w:t>
      </w:r>
    </w:p>
    <w:p>
      <w:pPr>
        <w:pStyle w:val="BodyText"/>
        <w:spacing w:before="240"/>
        <w:ind w:left="992" w:right="985"/>
        <w:jc w:val="both"/>
      </w:pPr>
      <w:r>
        <w:rPr/>
        <w:t>En</w:t>
      </w:r>
      <w:r>
        <w:rPr>
          <w:spacing w:val="-4"/>
        </w:rPr>
        <w:t> </w:t>
      </w:r>
      <w:r>
        <w:rPr/>
        <w:t>lo</w:t>
      </w:r>
      <w:r>
        <w:rPr>
          <w:spacing w:val="-4"/>
        </w:rPr>
        <w:t> </w:t>
      </w:r>
      <w:r>
        <w:rPr/>
        <w:t>que</w:t>
      </w:r>
      <w:r>
        <w:rPr>
          <w:spacing w:val="-4"/>
        </w:rPr>
        <w:t> </w:t>
      </w:r>
      <w:r>
        <w:rPr/>
        <w:t>respecta</w:t>
      </w:r>
      <w:r>
        <w:rPr>
          <w:spacing w:val="-6"/>
        </w:rPr>
        <w:t> </w:t>
      </w:r>
      <w:r>
        <w:rPr/>
        <w:t>a</w:t>
      </w:r>
      <w:r>
        <w:rPr>
          <w:spacing w:val="-4"/>
        </w:rPr>
        <w:t> </w:t>
      </w:r>
      <w:r>
        <w:rPr/>
        <w:t>la</w:t>
      </w:r>
      <w:r>
        <w:rPr>
          <w:spacing w:val="-3"/>
        </w:rPr>
        <w:t> </w:t>
      </w:r>
      <w:r>
        <w:rPr>
          <w:u w:val="single"/>
        </w:rPr>
        <w:t>financiación</w:t>
      </w:r>
      <w:r>
        <w:rPr>
          <w:spacing w:val="-4"/>
          <w:u w:val="single"/>
        </w:rPr>
        <w:t> </w:t>
      </w:r>
      <w:r>
        <w:rPr>
          <w:u w:val="single"/>
        </w:rPr>
        <w:t>de</w:t>
      </w:r>
      <w:r>
        <w:rPr>
          <w:spacing w:val="-5"/>
          <w:u w:val="single"/>
        </w:rPr>
        <w:t> </w:t>
      </w:r>
      <w:r>
        <w:rPr>
          <w:u w:val="single"/>
        </w:rPr>
        <w:t>las</w:t>
      </w:r>
      <w:r>
        <w:rPr>
          <w:spacing w:val="-4"/>
          <w:u w:val="single"/>
        </w:rPr>
        <w:t> </w:t>
      </w:r>
      <w:r>
        <w:rPr>
          <w:u w:val="single"/>
        </w:rPr>
        <w:t>adquisiciones</w:t>
      </w:r>
      <w:r>
        <w:rPr>
          <w:u w:val="none"/>
        </w:rPr>
        <w:t>,</w:t>
      </w:r>
      <w:r>
        <w:rPr>
          <w:spacing w:val="-3"/>
          <w:u w:val="none"/>
        </w:rPr>
        <w:t> </w:t>
      </w:r>
      <w:r>
        <w:rPr>
          <w:u w:val="none"/>
        </w:rPr>
        <w:t>los</w:t>
      </w:r>
      <w:r>
        <w:rPr>
          <w:spacing w:val="-6"/>
          <w:u w:val="none"/>
        </w:rPr>
        <w:t> </w:t>
      </w:r>
      <w:r>
        <w:rPr>
          <w:b/>
          <w:u w:val="none"/>
        </w:rPr>
        <w:t>Ayuntamientos</w:t>
      </w:r>
      <w:r>
        <w:rPr>
          <w:b/>
          <w:spacing w:val="-4"/>
          <w:u w:val="none"/>
        </w:rPr>
        <w:t> </w:t>
      </w:r>
      <w:r>
        <w:rPr>
          <w:b/>
          <w:u w:val="none"/>
        </w:rPr>
        <w:t>de</w:t>
      </w:r>
      <w:r>
        <w:rPr>
          <w:b/>
          <w:spacing w:val="-4"/>
          <w:u w:val="none"/>
        </w:rPr>
        <w:t> </w:t>
      </w:r>
      <w:r>
        <w:rPr>
          <w:b/>
          <w:u w:val="none"/>
        </w:rPr>
        <w:t>Alicante,</w:t>
      </w:r>
      <w:r>
        <w:rPr>
          <w:b/>
          <w:spacing w:val="-1"/>
          <w:u w:val="none"/>
        </w:rPr>
        <w:t> </w:t>
      </w:r>
      <w:r>
        <w:rPr>
          <w:b/>
          <w:u w:val="none"/>
        </w:rPr>
        <w:t>Bilbao, Las Palmas de Gran Canaria, Sevilla, Málaga</w:t>
      </w:r>
      <w:r>
        <w:rPr>
          <w:u w:val="none"/>
        </w:rPr>
        <w:t>, </w:t>
      </w:r>
      <w:r>
        <w:rPr>
          <w:b/>
          <w:u w:val="none"/>
        </w:rPr>
        <w:t>Palma </w:t>
      </w:r>
      <w:r>
        <w:rPr>
          <w:u w:val="none"/>
        </w:rPr>
        <w:t>y </w:t>
      </w:r>
      <w:r>
        <w:rPr>
          <w:b/>
          <w:u w:val="none"/>
        </w:rPr>
        <w:t>Zaragoza </w:t>
      </w:r>
      <w:r>
        <w:rPr>
          <w:u w:val="none"/>
        </w:rPr>
        <w:t>han percibido ayudas procedentes del PRTR, lo que ha contribuido a que hayan adquirido autobuses medioambientalmente sostenibles. Entre los gastos subvencionables previstas en la Orden TMA/892/2021,</w:t>
      </w:r>
      <w:r>
        <w:rPr>
          <w:spacing w:val="-5"/>
          <w:u w:val="none"/>
        </w:rPr>
        <w:t> </w:t>
      </w:r>
      <w:r>
        <w:rPr>
          <w:u w:val="none"/>
        </w:rPr>
        <w:t>de</w:t>
      </w:r>
      <w:r>
        <w:rPr>
          <w:spacing w:val="-7"/>
          <w:u w:val="none"/>
        </w:rPr>
        <w:t> </w:t>
      </w:r>
      <w:r>
        <w:rPr>
          <w:u w:val="none"/>
        </w:rPr>
        <w:t>17</w:t>
      </w:r>
      <w:r>
        <w:rPr>
          <w:spacing w:val="-7"/>
          <w:u w:val="none"/>
        </w:rPr>
        <w:t> </w:t>
      </w:r>
      <w:r>
        <w:rPr>
          <w:u w:val="none"/>
        </w:rPr>
        <w:t>de</w:t>
      </w:r>
      <w:r>
        <w:rPr>
          <w:spacing w:val="-7"/>
          <w:u w:val="none"/>
        </w:rPr>
        <w:t> </w:t>
      </w:r>
      <w:r>
        <w:rPr>
          <w:u w:val="none"/>
        </w:rPr>
        <w:t>agosto,</w:t>
      </w:r>
      <w:r>
        <w:rPr>
          <w:spacing w:val="-5"/>
          <w:u w:val="none"/>
        </w:rPr>
        <w:t> </w:t>
      </w:r>
      <w:r>
        <w:rPr>
          <w:u w:val="none"/>
        </w:rPr>
        <w:t>se</w:t>
      </w:r>
      <w:r>
        <w:rPr>
          <w:spacing w:val="-6"/>
          <w:u w:val="none"/>
        </w:rPr>
        <w:t> </w:t>
      </w:r>
      <w:r>
        <w:rPr>
          <w:u w:val="none"/>
        </w:rPr>
        <w:t>encontraban</w:t>
      </w:r>
      <w:r>
        <w:rPr>
          <w:spacing w:val="-9"/>
          <w:u w:val="none"/>
        </w:rPr>
        <w:t> </w:t>
      </w:r>
      <w:r>
        <w:rPr>
          <w:u w:val="none"/>
        </w:rPr>
        <w:t>la</w:t>
      </w:r>
      <w:r>
        <w:rPr>
          <w:spacing w:val="-4"/>
          <w:u w:val="none"/>
        </w:rPr>
        <w:t> </w:t>
      </w:r>
      <w:r>
        <w:rPr>
          <w:u w:val="none"/>
        </w:rPr>
        <w:t>adquisición</w:t>
      </w:r>
      <w:r>
        <w:rPr>
          <w:spacing w:val="-4"/>
          <w:u w:val="none"/>
        </w:rPr>
        <w:t> </w:t>
      </w:r>
      <w:r>
        <w:rPr>
          <w:u w:val="none"/>
        </w:rPr>
        <w:t>de</w:t>
      </w:r>
      <w:r>
        <w:rPr>
          <w:spacing w:val="-4"/>
          <w:u w:val="none"/>
        </w:rPr>
        <w:t> </w:t>
      </w:r>
      <w:r>
        <w:rPr>
          <w:u w:val="none"/>
        </w:rPr>
        <w:t>autobuses</w:t>
      </w:r>
      <w:r>
        <w:rPr>
          <w:spacing w:val="-4"/>
          <w:u w:val="none"/>
        </w:rPr>
        <w:t> </w:t>
      </w:r>
      <w:r>
        <w:rPr>
          <w:u w:val="none"/>
        </w:rPr>
        <w:t>urbanos</w:t>
      </w:r>
      <w:r>
        <w:rPr>
          <w:spacing w:val="-6"/>
          <w:u w:val="none"/>
        </w:rPr>
        <w:t> </w:t>
      </w:r>
      <w:r>
        <w:rPr>
          <w:u w:val="none"/>
        </w:rPr>
        <w:t>propulsados por energías</w:t>
      </w:r>
      <w:r>
        <w:rPr>
          <w:spacing w:val="-2"/>
          <w:u w:val="none"/>
        </w:rPr>
        <w:t> </w:t>
      </w:r>
      <w:r>
        <w:rPr>
          <w:u w:val="none"/>
        </w:rPr>
        <w:t>limpias (eléctrica o</w:t>
      </w:r>
      <w:r>
        <w:rPr>
          <w:spacing w:val="-2"/>
          <w:u w:val="none"/>
        </w:rPr>
        <w:t> </w:t>
      </w:r>
      <w:r>
        <w:rPr>
          <w:u w:val="none"/>
        </w:rPr>
        <w:t>hidrógeno), así como la instalación de</w:t>
      </w:r>
      <w:r>
        <w:rPr>
          <w:spacing w:val="-2"/>
          <w:u w:val="none"/>
        </w:rPr>
        <w:t> </w:t>
      </w:r>
      <w:r>
        <w:rPr>
          <w:u w:val="none"/>
        </w:rPr>
        <w:t>puntos de</w:t>
      </w:r>
      <w:r>
        <w:rPr>
          <w:spacing w:val="-2"/>
          <w:u w:val="none"/>
        </w:rPr>
        <w:t> </w:t>
      </w:r>
      <w:r>
        <w:rPr>
          <w:u w:val="none"/>
        </w:rPr>
        <w:t>recarga eléctrica para estos vehículos, con el fin de contribuir a la consecución de los objetivos de la Directiva (UE) 2019/1161, de 20 de junio de 2019, por la que se modifica la Directiva 2009/33/CE relativa a la promoción de vehículos</w:t>
      </w:r>
      <w:r>
        <w:rPr>
          <w:spacing w:val="-2"/>
          <w:u w:val="none"/>
        </w:rPr>
        <w:t> </w:t>
      </w:r>
      <w:r>
        <w:rPr>
          <w:u w:val="none"/>
        </w:rPr>
        <w:t>de transporte por carretera limpios y energéticamente eficientes</w:t>
      </w:r>
      <w:r>
        <w:rPr>
          <w:spacing w:val="-2"/>
          <w:u w:val="none"/>
        </w:rPr>
        <w:t> </w:t>
      </w:r>
      <w:r>
        <w:rPr>
          <w:u w:val="none"/>
        </w:rPr>
        <w:t>(Directiva de Vehículos Limpios), que establece unos objetivos mínimos de porcentajes de vehículos limpios a cumplir en la contratación pública</w:t>
      </w:r>
      <w:hyperlink w:history="true" w:anchor="_bookmark50">
        <w:r>
          <w:rPr>
            <w:u w:val="none"/>
            <w:vertAlign w:val="superscript"/>
          </w:rPr>
          <w:t>28</w:t>
        </w:r>
        <w:r>
          <w:rPr>
            <w:u w:val="none"/>
            <w:vertAlign w:val="baseline"/>
          </w:rPr>
          <w:t>.</w:t>
        </w:r>
      </w:hyperlink>
    </w:p>
    <w:p>
      <w:pPr>
        <w:pStyle w:val="BodyText"/>
        <w:spacing w:before="242"/>
        <w:ind w:left="992" w:right="986"/>
        <w:jc w:val="both"/>
      </w:pPr>
      <w:r>
        <w:rPr/>
        <w:t>El</w:t>
      </w:r>
      <w:r>
        <w:rPr>
          <w:spacing w:val="-10"/>
        </w:rPr>
        <w:t> </w:t>
      </w:r>
      <w:r>
        <w:rPr>
          <w:b/>
        </w:rPr>
        <w:t>Ayuntamiento</w:t>
      </w:r>
      <w:r>
        <w:rPr>
          <w:b/>
          <w:spacing w:val="-11"/>
        </w:rPr>
        <w:t> </w:t>
      </w:r>
      <w:r>
        <w:rPr>
          <w:b/>
        </w:rPr>
        <w:t>de</w:t>
      </w:r>
      <w:r>
        <w:rPr>
          <w:b/>
          <w:spacing w:val="-12"/>
        </w:rPr>
        <w:t> </w:t>
      </w:r>
      <w:r>
        <w:rPr>
          <w:b/>
        </w:rPr>
        <w:t>Córdoba</w:t>
      </w:r>
      <w:r>
        <w:rPr>
          <w:b/>
          <w:spacing w:val="-9"/>
        </w:rPr>
        <w:t> </w:t>
      </w:r>
      <w:r>
        <w:rPr/>
        <w:t>es</w:t>
      </w:r>
      <w:r>
        <w:rPr>
          <w:spacing w:val="-9"/>
        </w:rPr>
        <w:t> </w:t>
      </w:r>
      <w:r>
        <w:rPr/>
        <w:t>la</w:t>
      </w:r>
      <w:r>
        <w:rPr>
          <w:spacing w:val="-11"/>
        </w:rPr>
        <w:t> </w:t>
      </w:r>
      <w:r>
        <w:rPr/>
        <w:t>única</w:t>
      </w:r>
      <w:r>
        <w:rPr>
          <w:spacing w:val="-11"/>
        </w:rPr>
        <w:t> </w:t>
      </w:r>
      <w:r>
        <w:rPr/>
        <w:t>entidad</w:t>
      </w:r>
      <w:r>
        <w:rPr>
          <w:spacing w:val="-10"/>
        </w:rPr>
        <w:t> </w:t>
      </w:r>
      <w:r>
        <w:rPr/>
        <w:t>que</w:t>
      </w:r>
      <w:r>
        <w:rPr>
          <w:spacing w:val="-11"/>
        </w:rPr>
        <w:t> </w:t>
      </w:r>
      <w:r>
        <w:rPr/>
        <w:t>ha</w:t>
      </w:r>
      <w:r>
        <w:rPr>
          <w:spacing w:val="-12"/>
        </w:rPr>
        <w:t> </w:t>
      </w:r>
      <w:r>
        <w:rPr/>
        <w:t>empleado</w:t>
      </w:r>
      <w:r>
        <w:rPr>
          <w:spacing w:val="-10"/>
        </w:rPr>
        <w:t> </w:t>
      </w:r>
      <w:r>
        <w:rPr/>
        <w:t>exclusivamente</w:t>
      </w:r>
      <w:r>
        <w:rPr>
          <w:spacing w:val="-14"/>
        </w:rPr>
        <w:t> </w:t>
      </w:r>
      <w:r>
        <w:rPr/>
        <w:t>fondos</w:t>
      </w:r>
      <w:r>
        <w:rPr>
          <w:spacing w:val="-11"/>
        </w:rPr>
        <w:t> </w:t>
      </w:r>
      <w:r>
        <w:rPr/>
        <w:t>propios para</w:t>
      </w:r>
      <w:r>
        <w:rPr>
          <w:spacing w:val="-10"/>
        </w:rPr>
        <w:t> </w:t>
      </w:r>
      <w:r>
        <w:rPr/>
        <w:t>la</w:t>
      </w:r>
      <w:r>
        <w:rPr>
          <w:spacing w:val="-12"/>
        </w:rPr>
        <w:t> </w:t>
      </w:r>
      <w:r>
        <w:rPr/>
        <w:t>adquisición</w:t>
      </w:r>
      <w:r>
        <w:rPr>
          <w:spacing w:val="-10"/>
        </w:rPr>
        <w:t> </w:t>
      </w:r>
      <w:r>
        <w:rPr/>
        <w:t>de</w:t>
      </w:r>
      <w:r>
        <w:rPr>
          <w:spacing w:val="-12"/>
        </w:rPr>
        <w:t> </w:t>
      </w:r>
      <w:r>
        <w:rPr/>
        <w:t>autobuses</w:t>
      </w:r>
      <w:r>
        <w:rPr>
          <w:spacing w:val="-12"/>
        </w:rPr>
        <w:t> </w:t>
      </w:r>
      <w:r>
        <w:rPr/>
        <w:t>(7.755.000,00</w:t>
      </w:r>
      <w:r>
        <w:rPr>
          <w:spacing w:val="-12"/>
        </w:rPr>
        <w:t> </w:t>
      </w:r>
      <w:r>
        <w:rPr/>
        <w:t>euros).</w:t>
      </w:r>
      <w:r>
        <w:rPr>
          <w:spacing w:val="-11"/>
        </w:rPr>
        <w:t> </w:t>
      </w:r>
      <w:r>
        <w:rPr/>
        <w:t>Esta</w:t>
      </w:r>
      <w:r>
        <w:rPr>
          <w:spacing w:val="-12"/>
        </w:rPr>
        <w:t> </w:t>
      </w:r>
      <w:r>
        <w:rPr/>
        <w:t>entidad</w:t>
      </w:r>
      <w:r>
        <w:rPr>
          <w:spacing w:val="-10"/>
        </w:rPr>
        <w:t> </w:t>
      </w:r>
      <w:r>
        <w:rPr/>
        <w:t>había</w:t>
      </w:r>
      <w:r>
        <w:rPr>
          <w:spacing w:val="-11"/>
        </w:rPr>
        <w:t> </w:t>
      </w:r>
      <w:r>
        <w:rPr/>
        <w:t>resultado</w:t>
      </w:r>
      <w:r>
        <w:rPr>
          <w:spacing w:val="-12"/>
        </w:rPr>
        <w:t> </w:t>
      </w:r>
      <w:r>
        <w:rPr/>
        <w:t>beneficiaria</w:t>
      </w:r>
      <w:r>
        <w:rPr>
          <w:spacing w:val="-12"/>
        </w:rPr>
        <w:t> </w:t>
      </w:r>
      <w:r>
        <w:rPr/>
        <w:t>de una subvención en la primera de las convocatorias de ayudas en el marco del PRTR, por importe 11.014.615,00</w:t>
      </w:r>
      <w:r>
        <w:rPr>
          <w:spacing w:val="-9"/>
        </w:rPr>
        <w:t> </w:t>
      </w:r>
      <w:r>
        <w:rPr/>
        <w:t>euros.</w:t>
      </w:r>
      <w:r>
        <w:rPr>
          <w:spacing w:val="-7"/>
        </w:rPr>
        <w:t> </w:t>
      </w:r>
      <w:r>
        <w:rPr/>
        <w:t>El</w:t>
      </w:r>
      <w:r>
        <w:rPr>
          <w:spacing w:val="-10"/>
        </w:rPr>
        <w:t> </w:t>
      </w:r>
      <w:r>
        <w:rPr/>
        <w:t>proyecto</w:t>
      </w:r>
      <w:r>
        <w:rPr>
          <w:spacing w:val="-9"/>
        </w:rPr>
        <w:t> </w:t>
      </w:r>
      <w:r>
        <w:rPr/>
        <w:t>subvencionado</w:t>
      </w:r>
      <w:r>
        <w:rPr>
          <w:spacing w:val="-9"/>
        </w:rPr>
        <w:t> </w:t>
      </w:r>
      <w:r>
        <w:rPr/>
        <w:t>tenía</w:t>
      </w:r>
      <w:r>
        <w:rPr>
          <w:spacing w:val="-9"/>
        </w:rPr>
        <w:t> </w:t>
      </w:r>
      <w:r>
        <w:rPr/>
        <w:t>por</w:t>
      </w:r>
      <w:r>
        <w:rPr>
          <w:spacing w:val="-5"/>
        </w:rPr>
        <w:t> </w:t>
      </w:r>
      <w:r>
        <w:rPr/>
        <w:t>objeto</w:t>
      </w:r>
      <w:r>
        <w:rPr>
          <w:spacing w:val="-9"/>
        </w:rPr>
        <w:t> </w:t>
      </w:r>
      <w:r>
        <w:rPr/>
        <w:t>la</w:t>
      </w:r>
      <w:r>
        <w:rPr>
          <w:spacing w:val="-9"/>
        </w:rPr>
        <w:t> </w:t>
      </w:r>
      <w:r>
        <w:rPr/>
        <w:t>mejora</w:t>
      </w:r>
      <w:r>
        <w:rPr>
          <w:spacing w:val="-6"/>
        </w:rPr>
        <w:t> </w:t>
      </w:r>
      <w:r>
        <w:rPr/>
        <w:t>de</w:t>
      </w:r>
      <w:r>
        <w:rPr>
          <w:spacing w:val="-9"/>
        </w:rPr>
        <w:t> </w:t>
      </w:r>
      <w:r>
        <w:rPr/>
        <w:t>la</w:t>
      </w:r>
      <w:r>
        <w:rPr>
          <w:spacing w:val="-9"/>
        </w:rPr>
        <w:t> </w:t>
      </w:r>
      <w:r>
        <w:rPr/>
        <w:t>calidad</w:t>
      </w:r>
      <w:r>
        <w:rPr>
          <w:spacing w:val="-6"/>
        </w:rPr>
        <w:t> </w:t>
      </w:r>
      <w:r>
        <w:rPr/>
        <w:t>del</w:t>
      </w:r>
      <w:r>
        <w:rPr>
          <w:spacing w:val="-7"/>
        </w:rPr>
        <w:t> </w:t>
      </w:r>
      <w:r>
        <w:rPr/>
        <w:t>aire</w:t>
      </w:r>
      <w:r>
        <w:rPr>
          <w:spacing w:val="-9"/>
        </w:rPr>
        <w:t> </w:t>
      </w:r>
      <w:r>
        <w:rPr/>
        <w:t>en </w:t>
      </w:r>
      <w:r>
        <w:rPr>
          <w:position w:val="2"/>
        </w:rPr>
        <w:t>la ciudad, la reducción de emisiones de CO</w:t>
      </w:r>
      <w:r>
        <w:rPr>
          <w:sz w:val="14"/>
        </w:rPr>
        <w:t>2 </w:t>
      </w:r>
      <w:r>
        <w:rPr>
          <w:position w:val="2"/>
        </w:rPr>
        <w:t>debidas al tráfico rodado y el fomento de la movilidad </w:t>
      </w:r>
      <w:r>
        <w:rPr/>
        <w:t>activa en</w:t>
      </w:r>
      <w:r>
        <w:rPr>
          <w:spacing w:val="-2"/>
        </w:rPr>
        <w:t> </w:t>
      </w:r>
      <w:r>
        <w:rPr/>
        <w:t>el</w:t>
      </w:r>
      <w:r>
        <w:rPr>
          <w:spacing w:val="-1"/>
        </w:rPr>
        <w:t> </w:t>
      </w:r>
      <w:r>
        <w:rPr/>
        <w:t>municipio. Entre</w:t>
      </w:r>
      <w:r>
        <w:rPr>
          <w:spacing w:val="-2"/>
        </w:rPr>
        <w:t> </w:t>
      </w:r>
      <w:r>
        <w:rPr/>
        <w:t>las actuaciones incluidas en ese</w:t>
      </w:r>
      <w:r>
        <w:rPr>
          <w:spacing w:val="-2"/>
        </w:rPr>
        <w:t> </w:t>
      </w:r>
      <w:r>
        <w:rPr/>
        <w:t>proyecto estaba la adquisición de</w:t>
      </w:r>
      <w:r>
        <w:rPr>
          <w:spacing w:val="-2"/>
        </w:rPr>
        <w:t> </w:t>
      </w:r>
      <w:r>
        <w:rPr/>
        <w:t>un autobús impulsado por hidrógeno, con un presupuesto de 800.000,00 euros, sin IVA, que se financiaría con fondos europeos y fondos propios</w:t>
      </w:r>
      <w:hyperlink w:history="true" w:anchor="_bookmark51">
        <w:r>
          <w:rPr>
            <w:vertAlign w:val="superscript"/>
          </w:rPr>
          <w:t>29</w:t>
        </w:r>
        <w:r>
          <w:rPr>
            <w:vertAlign w:val="baseline"/>
          </w:rPr>
          <w:t>.</w:t>
        </w:r>
      </w:hyperlink>
    </w:p>
    <w:p>
      <w:pPr>
        <w:pStyle w:val="BodyText"/>
        <w:spacing w:before="236"/>
        <w:ind w:left="992" w:right="987"/>
        <w:jc w:val="both"/>
      </w:pPr>
      <w:r>
        <w:rPr/>
        <w:t>El Ayuntamiento solicitó con fecha 5 de septiembre de 2022 la modificación de las condiciones de la concesión de la subvención, con el fin de reducir el total del importe de la ayuda concedida a 5.943.682,19 euros, lo que representaba una reducción del 46 % del presupuesto inicial. El Ayuntamiento alegó un cambio imprevisto en las condiciones macroeconómicas a causa de la guerra en Ucrania que había provocado un encarecimiento extraordinario de los materiales y un alargamiento de los plazos de entrega de los componentes a suministrar, además de errores cometidos en la memoria de solicitud de concesión de la ayuda.</w:t>
      </w:r>
    </w:p>
    <w:p>
      <w:pPr>
        <w:pStyle w:val="BodyText"/>
        <w:spacing w:before="241"/>
        <w:ind w:left="992" w:right="988"/>
        <w:jc w:val="both"/>
      </w:pPr>
      <w:r>
        <w:rPr/>
        <w:t>La entidad proponía, entre otros, el incremento de la subvención del proyecto de sistema de información al pasajero, petición que no fue aceptada por el Ministerio convocante por considerar que no se justificaba debidamente. El Ayuntamiento, en abril de 2023, formuló reclamación previa al orden jurisdiccional contencioso-administrativo, solicitando la estimación de la solicitud de modificación, sobre la que no hubo pronunciamiento.</w:t>
      </w:r>
    </w:p>
    <w:p>
      <w:pPr>
        <w:pStyle w:val="BodyText"/>
        <w:spacing w:before="240"/>
        <w:ind w:left="992" w:right="987"/>
        <w:jc w:val="both"/>
      </w:pPr>
      <w:r>
        <w:rPr/>
        <w:t>Posteriormente,</w:t>
      </w:r>
      <w:r>
        <w:rPr>
          <w:spacing w:val="-7"/>
        </w:rPr>
        <w:t> </w:t>
      </w:r>
      <w:r>
        <w:rPr/>
        <w:t>en</w:t>
      </w:r>
      <w:r>
        <w:rPr>
          <w:spacing w:val="-8"/>
        </w:rPr>
        <w:t> </w:t>
      </w:r>
      <w:r>
        <w:rPr/>
        <w:t>diciembre</w:t>
      </w:r>
      <w:r>
        <w:rPr>
          <w:spacing w:val="-8"/>
        </w:rPr>
        <w:t> </w:t>
      </w:r>
      <w:r>
        <w:rPr/>
        <w:t>de</w:t>
      </w:r>
      <w:r>
        <w:rPr>
          <w:spacing w:val="-9"/>
        </w:rPr>
        <w:t> </w:t>
      </w:r>
      <w:r>
        <w:rPr/>
        <w:t>2024,</w:t>
      </w:r>
      <w:r>
        <w:rPr>
          <w:spacing w:val="-7"/>
        </w:rPr>
        <w:t> </w:t>
      </w:r>
      <w:r>
        <w:rPr/>
        <w:t>la</w:t>
      </w:r>
      <w:r>
        <w:rPr>
          <w:spacing w:val="-9"/>
        </w:rPr>
        <w:t> </w:t>
      </w:r>
      <w:r>
        <w:rPr/>
        <w:t>entidad,</w:t>
      </w:r>
      <w:r>
        <w:rPr>
          <w:spacing w:val="-7"/>
        </w:rPr>
        <w:t> </w:t>
      </w:r>
      <w:r>
        <w:rPr/>
        <w:t>a</w:t>
      </w:r>
      <w:r>
        <w:rPr>
          <w:spacing w:val="-9"/>
        </w:rPr>
        <w:t> </w:t>
      </w:r>
      <w:r>
        <w:rPr/>
        <w:t>la</w:t>
      </w:r>
      <w:r>
        <w:rPr>
          <w:spacing w:val="-9"/>
        </w:rPr>
        <w:t> </w:t>
      </w:r>
      <w:r>
        <w:rPr/>
        <w:t>vista</w:t>
      </w:r>
      <w:r>
        <w:rPr>
          <w:spacing w:val="-8"/>
        </w:rPr>
        <w:t> </w:t>
      </w:r>
      <w:r>
        <w:rPr/>
        <w:t>de</w:t>
      </w:r>
      <w:r>
        <w:rPr>
          <w:spacing w:val="-9"/>
        </w:rPr>
        <w:t> </w:t>
      </w:r>
      <w:r>
        <w:rPr/>
        <w:t>que</w:t>
      </w:r>
      <w:r>
        <w:rPr>
          <w:spacing w:val="-9"/>
        </w:rPr>
        <w:t> </w:t>
      </w:r>
      <w:r>
        <w:rPr/>
        <w:t>no</w:t>
      </w:r>
      <w:r>
        <w:rPr>
          <w:spacing w:val="-9"/>
        </w:rPr>
        <w:t> </w:t>
      </w:r>
      <w:r>
        <w:rPr/>
        <w:t>se</w:t>
      </w:r>
      <w:r>
        <w:rPr>
          <w:spacing w:val="-11"/>
        </w:rPr>
        <w:t> </w:t>
      </w:r>
      <w:r>
        <w:rPr/>
        <w:t>autorizaba</w:t>
      </w:r>
      <w:r>
        <w:rPr>
          <w:spacing w:val="-9"/>
        </w:rPr>
        <w:t> </w:t>
      </w:r>
      <w:r>
        <w:rPr/>
        <w:t>la</w:t>
      </w:r>
      <w:r>
        <w:rPr>
          <w:spacing w:val="-9"/>
        </w:rPr>
        <w:t> </w:t>
      </w:r>
      <w:r>
        <w:rPr/>
        <w:t>modificación solicitada y de que el plazo de ejecución de la subvención finalizaba el 31 de diciembre de 2024, presentó la</w:t>
      </w:r>
      <w:r>
        <w:rPr>
          <w:spacing w:val="13"/>
        </w:rPr>
        <w:t> </w:t>
      </w:r>
      <w:r>
        <w:rPr/>
        <w:t>renuncia</w:t>
      </w:r>
      <w:r>
        <w:rPr>
          <w:spacing w:val="13"/>
        </w:rPr>
        <w:t> </w:t>
      </w:r>
      <w:r>
        <w:rPr/>
        <w:t>a</w:t>
      </w:r>
      <w:r>
        <w:rPr>
          <w:spacing w:val="13"/>
        </w:rPr>
        <w:t> </w:t>
      </w:r>
      <w:r>
        <w:rPr/>
        <w:t>la</w:t>
      </w:r>
      <w:r>
        <w:rPr>
          <w:spacing w:val="13"/>
        </w:rPr>
        <w:t> </w:t>
      </w:r>
      <w:r>
        <w:rPr/>
        <w:t>subvención, que fue aceptada</w:t>
      </w:r>
      <w:r>
        <w:rPr>
          <w:spacing w:val="14"/>
        </w:rPr>
        <w:t> </w:t>
      </w:r>
      <w:r>
        <w:rPr/>
        <w:t>el 13</w:t>
      </w:r>
      <w:r>
        <w:rPr>
          <w:spacing w:val="13"/>
        </w:rPr>
        <w:t> </w:t>
      </w:r>
      <w:r>
        <w:rPr/>
        <w:t>de mayo de 2025</w:t>
      </w:r>
      <w:r>
        <w:rPr>
          <w:spacing w:val="14"/>
        </w:rPr>
        <w:t> </w:t>
      </w:r>
      <w:r>
        <w:rPr/>
        <w:t>por</w:t>
      </w:r>
      <w:r>
        <w:rPr>
          <w:spacing w:val="14"/>
        </w:rPr>
        <w:t> </w:t>
      </w:r>
      <w:r>
        <w:rPr/>
        <w:t>la</w:t>
      </w:r>
      <w:r>
        <w:rPr>
          <w:spacing w:val="13"/>
        </w:rPr>
        <w:t> </w:t>
      </w:r>
      <w:r>
        <w:rPr/>
        <w:t>Secretaría</w:t>
      </w:r>
    </w:p>
    <w:p>
      <w:pPr>
        <w:pStyle w:val="BodyText"/>
        <w:spacing w:before="4"/>
        <w:rPr>
          <w:sz w:val="18"/>
        </w:rPr>
      </w:pPr>
      <w:r>
        <w:rPr>
          <w:sz w:val="18"/>
        </w:rPr>
        <mc:AlternateContent>
          <mc:Choice Requires="wps">
            <w:drawing>
              <wp:anchor distT="0" distB="0" distL="0" distR="0" allowOverlap="1" layoutInCell="1" locked="0" behindDoc="1" simplePos="0" relativeHeight="487604224">
                <wp:simplePos x="0" y="0"/>
                <wp:positionH relativeFrom="page">
                  <wp:posOffset>719632</wp:posOffset>
                </wp:positionH>
                <wp:positionV relativeFrom="paragraph">
                  <wp:posOffset>149401</wp:posOffset>
                </wp:positionV>
                <wp:extent cx="1829435" cy="9525"/>
                <wp:effectExtent l="0" t="0" r="0" b="0"/>
                <wp:wrapTopAndBottom/>
                <wp:docPr id="140" name="Graphic 140"/>
                <wp:cNvGraphicFramePr>
                  <a:graphicFrameLocks/>
                </wp:cNvGraphicFramePr>
                <a:graphic>
                  <a:graphicData uri="http://schemas.microsoft.com/office/word/2010/wordprocessingShape">
                    <wps:wsp>
                      <wps:cNvPr id="140" name="Graphic 140"/>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1.763878pt;width:144.020pt;height:.71997pt;mso-position-horizontal-relative:page;mso-position-vertical-relative:paragraph;z-index:-15712256;mso-wrap-distance-left:0;mso-wrap-distance-right:0" id="docshape122" filled="true" fillcolor="#000000" stroked="false">
                <v:fill type="solid"/>
                <w10:wrap type="topAndBottom"/>
              </v:rect>
            </w:pict>
          </mc:Fallback>
        </mc:AlternateContent>
      </w:r>
    </w:p>
    <w:p>
      <w:pPr>
        <w:spacing w:before="115"/>
        <w:ind w:left="992" w:right="998" w:firstLine="0"/>
        <w:jc w:val="both"/>
        <w:rPr>
          <w:sz w:val="18"/>
        </w:rPr>
      </w:pPr>
      <w:bookmarkStart w:name="_bookmark50" w:id="52"/>
      <w:bookmarkEnd w:id="52"/>
      <w:r>
        <w:rPr/>
      </w:r>
      <w:r>
        <w:rPr>
          <w:position w:val="6"/>
          <w:sz w:val="12"/>
        </w:rPr>
        <w:t>28 </w:t>
      </w:r>
      <w:r>
        <w:rPr>
          <w:sz w:val="18"/>
        </w:rPr>
        <w:t>La Directiva fija</w:t>
      </w:r>
      <w:r>
        <w:rPr>
          <w:spacing w:val="-2"/>
          <w:sz w:val="18"/>
        </w:rPr>
        <w:t> </w:t>
      </w:r>
      <w:r>
        <w:rPr>
          <w:sz w:val="18"/>
        </w:rPr>
        <w:t>dos</w:t>
      </w:r>
      <w:r>
        <w:rPr>
          <w:spacing w:val="-1"/>
          <w:sz w:val="18"/>
        </w:rPr>
        <w:t> </w:t>
      </w:r>
      <w:r>
        <w:rPr>
          <w:sz w:val="18"/>
        </w:rPr>
        <w:t>periodos</w:t>
      </w:r>
      <w:r>
        <w:rPr>
          <w:spacing w:val="-1"/>
          <w:sz w:val="18"/>
        </w:rPr>
        <w:t> </w:t>
      </w:r>
      <w:r>
        <w:rPr>
          <w:sz w:val="18"/>
        </w:rPr>
        <w:t>de aplicación. El primero, comprendido desde el</w:t>
      </w:r>
      <w:r>
        <w:rPr>
          <w:spacing w:val="-2"/>
          <w:sz w:val="18"/>
        </w:rPr>
        <w:t> </w:t>
      </w:r>
      <w:r>
        <w:rPr>
          <w:sz w:val="18"/>
        </w:rPr>
        <w:t>2 de</w:t>
      </w:r>
      <w:r>
        <w:rPr>
          <w:spacing w:val="-2"/>
          <w:sz w:val="18"/>
        </w:rPr>
        <w:t> </w:t>
      </w:r>
      <w:r>
        <w:rPr>
          <w:sz w:val="18"/>
        </w:rPr>
        <w:t>agosto</w:t>
      </w:r>
      <w:r>
        <w:rPr>
          <w:spacing w:val="-1"/>
          <w:sz w:val="18"/>
        </w:rPr>
        <w:t> </w:t>
      </w:r>
      <w:r>
        <w:rPr>
          <w:sz w:val="18"/>
        </w:rPr>
        <w:t>de 2021 al</w:t>
      </w:r>
      <w:r>
        <w:rPr>
          <w:spacing w:val="-2"/>
          <w:sz w:val="18"/>
        </w:rPr>
        <w:t> </w:t>
      </w:r>
      <w:r>
        <w:rPr>
          <w:sz w:val="18"/>
        </w:rPr>
        <w:t>31 de diciembre de</w:t>
      </w:r>
      <w:r>
        <w:rPr>
          <w:spacing w:val="-2"/>
          <w:sz w:val="18"/>
        </w:rPr>
        <w:t> </w:t>
      </w:r>
      <w:r>
        <w:rPr>
          <w:sz w:val="18"/>
        </w:rPr>
        <w:t>2025,</w:t>
      </w:r>
      <w:r>
        <w:rPr>
          <w:spacing w:val="-4"/>
          <w:sz w:val="18"/>
        </w:rPr>
        <w:t> </w:t>
      </w:r>
      <w:r>
        <w:rPr>
          <w:sz w:val="18"/>
        </w:rPr>
        <w:t>que</w:t>
      </w:r>
      <w:r>
        <w:rPr>
          <w:spacing w:val="-4"/>
          <w:sz w:val="18"/>
        </w:rPr>
        <w:t> </w:t>
      </w:r>
      <w:r>
        <w:rPr>
          <w:sz w:val="18"/>
        </w:rPr>
        <w:t>establece</w:t>
      </w:r>
      <w:r>
        <w:rPr>
          <w:spacing w:val="-4"/>
          <w:sz w:val="18"/>
        </w:rPr>
        <w:t> </w:t>
      </w:r>
      <w:r>
        <w:rPr>
          <w:sz w:val="18"/>
        </w:rPr>
        <w:t>que</w:t>
      </w:r>
      <w:r>
        <w:rPr>
          <w:spacing w:val="-4"/>
          <w:sz w:val="18"/>
        </w:rPr>
        <w:t> </w:t>
      </w:r>
      <w:r>
        <w:rPr>
          <w:sz w:val="18"/>
        </w:rPr>
        <w:t>la</w:t>
      </w:r>
      <w:r>
        <w:rPr>
          <w:spacing w:val="-4"/>
          <w:sz w:val="18"/>
        </w:rPr>
        <w:t> </w:t>
      </w:r>
      <w:r>
        <w:rPr>
          <w:sz w:val="18"/>
        </w:rPr>
        <w:t>cuota</w:t>
      </w:r>
      <w:r>
        <w:rPr>
          <w:spacing w:val="-4"/>
          <w:sz w:val="18"/>
        </w:rPr>
        <w:t> </w:t>
      </w:r>
      <w:r>
        <w:rPr>
          <w:sz w:val="18"/>
        </w:rPr>
        <w:t>de</w:t>
      </w:r>
      <w:r>
        <w:rPr>
          <w:spacing w:val="-4"/>
          <w:sz w:val="18"/>
        </w:rPr>
        <w:t> </w:t>
      </w:r>
      <w:r>
        <w:rPr>
          <w:sz w:val="18"/>
        </w:rPr>
        <w:t>vehículos</w:t>
      </w:r>
      <w:r>
        <w:rPr>
          <w:spacing w:val="-3"/>
          <w:sz w:val="18"/>
        </w:rPr>
        <w:t> </w:t>
      </w:r>
      <w:r>
        <w:rPr>
          <w:sz w:val="18"/>
        </w:rPr>
        <w:t>pesados</w:t>
      </w:r>
      <w:r>
        <w:rPr>
          <w:spacing w:val="-3"/>
          <w:sz w:val="18"/>
        </w:rPr>
        <w:t> </w:t>
      </w:r>
      <w:r>
        <w:rPr>
          <w:sz w:val="18"/>
        </w:rPr>
        <w:t>limpios</w:t>
      </w:r>
      <w:r>
        <w:rPr>
          <w:spacing w:val="-3"/>
          <w:sz w:val="18"/>
        </w:rPr>
        <w:t> </w:t>
      </w:r>
      <w:r>
        <w:rPr>
          <w:sz w:val="18"/>
        </w:rPr>
        <w:t>en</w:t>
      </w:r>
      <w:r>
        <w:rPr>
          <w:spacing w:val="-4"/>
          <w:sz w:val="18"/>
        </w:rPr>
        <w:t> </w:t>
      </w:r>
      <w:r>
        <w:rPr>
          <w:sz w:val="18"/>
        </w:rPr>
        <w:t>el</w:t>
      </w:r>
      <w:r>
        <w:rPr>
          <w:spacing w:val="-4"/>
          <w:sz w:val="18"/>
        </w:rPr>
        <w:t> </w:t>
      </w:r>
      <w:r>
        <w:rPr>
          <w:sz w:val="18"/>
        </w:rPr>
        <w:t>número</w:t>
      </w:r>
      <w:r>
        <w:rPr>
          <w:spacing w:val="-4"/>
          <w:sz w:val="18"/>
        </w:rPr>
        <w:t> </w:t>
      </w:r>
      <w:r>
        <w:rPr>
          <w:sz w:val="18"/>
        </w:rPr>
        <w:t>total</w:t>
      </w:r>
      <w:r>
        <w:rPr>
          <w:spacing w:val="-4"/>
          <w:sz w:val="18"/>
        </w:rPr>
        <w:t> </w:t>
      </w:r>
      <w:r>
        <w:rPr>
          <w:sz w:val="18"/>
        </w:rPr>
        <w:t>de</w:t>
      </w:r>
      <w:r>
        <w:rPr>
          <w:spacing w:val="-4"/>
          <w:sz w:val="18"/>
        </w:rPr>
        <w:t> </w:t>
      </w:r>
      <w:r>
        <w:rPr>
          <w:sz w:val="18"/>
        </w:rPr>
        <w:t>vehículos</w:t>
      </w:r>
      <w:r>
        <w:rPr>
          <w:spacing w:val="-4"/>
          <w:sz w:val="18"/>
        </w:rPr>
        <w:t> </w:t>
      </w:r>
      <w:r>
        <w:rPr>
          <w:sz w:val="18"/>
        </w:rPr>
        <w:t>pesados</w:t>
      </w:r>
      <w:r>
        <w:rPr>
          <w:spacing w:val="-4"/>
          <w:sz w:val="18"/>
        </w:rPr>
        <w:t> </w:t>
      </w:r>
      <w:r>
        <w:rPr>
          <w:sz w:val="18"/>
        </w:rPr>
        <w:t>objeto</w:t>
      </w:r>
      <w:r>
        <w:rPr>
          <w:spacing w:val="-2"/>
          <w:sz w:val="18"/>
        </w:rPr>
        <w:t> </w:t>
      </w:r>
      <w:r>
        <w:rPr>
          <w:sz w:val="18"/>
        </w:rPr>
        <w:t>de</w:t>
      </w:r>
      <w:r>
        <w:rPr>
          <w:spacing w:val="-4"/>
          <w:sz w:val="18"/>
        </w:rPr>
        <w:t> </w:t>
      </w:r>
      <w:r>
        <w:rPr>
          <w:sz w:val="18"/>
        </w:rPr>
        <w:t>los contratos será del 45 %. El segundo, comprendido desde el 1 de enero de 2026 al 31 de diciembre de 2030, establece que</w:t>
      </w:r>
      <w:r>
        <w:rPr>
          <w:spacing w:val="-6"/>
          <w:sz w:val="18"/>
        </w:rPr>
        <w:t> </w:t>
      </w:r>
      <w:r>
        <w:rPr>
          <w:sz w:val="18"/>
        </w:rPr>
        <w:t>la</w:t>
      </w:r>
      <w:r>
        <w:rPr>
          <w:spacing w:val="-9"/>
          <w:sz w:val="18"/>
        </w:rPr>
        <w:t> </w:t>
      </w:r>
      <w:r>
        <w:rPr>
          <w:sz w:val="18"/>
        </w:rPr>
        <w:t>cuota</w:t>
      </w:r>
      <w:r>
        <w:rPr>
          <w:spacing w:val="-6"/>
          <w:sz w:val="18"/>
        </w:rPr>
        <w:t> </w:t>
      </w:r>
      <w:r>
        <w:rPr>
          <w:sz w:val="18"/>
        </w:rPr>
        <w:t>de</w:t>
      </w:r>
      <w:r>
        <w:rPr>
          <w:spacing w:val="-9"/>
          <w:sz w:val="18"/>
        </w:rPr>
        <w:t> </w:t>
      </w:r>
      <w:r>
        <w:rPr>
          <w:sz w:val="18"/>
        </w:rPr>
        <w:t>vehículos</w:t>
      </w:r>
      <w:r>
        <w:rPr>
          <w:spacing w:val="-8"/>
          <w:sz w:val="18"/>
        </w:rPr>
        <w:t> </w:t>
      </w:r>
      <w:r>
        <w:rPr>
          <w:sz w:val="18"/>
        </w:rPr>
        <w:t>pesados</w:t>
      </w:r>
      <w:r>
        <w:rPr>
          <w:spacing w:val="-8"/>
          <w:sz w:val="18"/>
        </w:rPr>
        <w:t> </w:t>
      </w:r>
      <w:r>
        <w:rPr>
          <w:sz w:val="18"/>
        </w:rPr>
        <w:t>limpios</w:t>
      </w:r>
      <w:r>
        <w:rPr>
          <w:spacing w:val="-6"/>
          <w:sz w:val="18"/>
        </w:rPr>
        <w:t> </w:t>
      </w:r>
      <w:r>
        <w:rPr>
          <w:sz w:val="18"/>
        </w:rPr>
        <w:t>en</w:t>
      </w:r>
      <w:r>
        <w:rPr>
          <w:spacing w:val="-9"/>
          <w:sz w:val="18"/>
        </w:rPr>
        <w:t> </w:t>
      </w:r>
      <w:r>
        <w:rPr>
          <w:sz w:val="18"/>
        </w:rPr>
        <w:t>el</w:t>
      </w:r>
      <w:r>
        <w:rPr>
          <w:spacing w:val="-6"/>
          <w:sz w:val="18"/>
        </w:rPr>
        <w:t> </w:t>
      </w:r>
      <w:r>
        <w:rPr>
          <w:sz w:val="18"/>
        </w:rPr>
        <w:t>número</w:t>
      </w:r>
      <w:r>
        <w:rPr>
          <w:spacing w:val="-9"/>
          <w:sz w:val="18"/>
        </w:rPr>
        <w:t> </w:t>
      </w:r>
      <w:r>
        <w:rPr>
          <w:sz w:val="18"/>
        </w:rPr>
        <w:t>total</w:t>
      </w:r>
      <w:r>
        <w:rPr>
          <w:spacing w:val="-6"/>
          <w:sz w:val="18"/>
        </w:rPr>
        <w:t> </w:t>
      </w:r>
      <w:r>
        <w:rPr>
          <w:sz w:val="18"/>
        </w:rPr>
        <w:t>de</w:t>
      </w:r>
      <w:r>
        <w:rPr>
          <w:spacing w:val="-6"/>
          <w:sz w:val="18"/>
        </w:rPr>
        <w:t> </w:t>
      </w:r>
      <w:r>
        <w:rPr>
          <w:sz w:val="18"/>
        </w:rPr>
        <w:t>vehículos</w:t>
      </w:r>
      <w:r>
        <w:rPr>
          <w:spacing w:val="-6"/>
          <w:sz w:val="18"/>
        </w:rPr>
        <w:t> </w:t>
      </w:r>
      <w:r>
        <w:rPr>
          <w:sz w:val="18"/>
        </w:rPr>
        <w:t>pesados</w:t>
      </w:r>
      <w:r>
        <w:rPr>
          <w:spacing w:val="-6"/>
          <w:sz w:val="18"/>
        </w:rPr>
        <w:t> </w:t>
      </w:r>
      <w:r>
        <w:rPr>
          <w:sz w:val="18"/>
        </w:rPr>
        <w:t>objeto</w:t>
      </w:r>
      <w:r>
        <w:rPr>
          <w:spacing w:val="-9"/>
          <w:sz w:val="18"/>
        </w:rPr>
        <w:t> </w:t>
      </w:r>
      <w:r>
        <w:rPr>
          <w:sz w:val="18"/>
        </w:rPr>
        <w:t>de</w:t>
      </w:r>
      <w:r>
        <w:rPr>
          <w:spacing w:val="-6"/>
          <w:sz w:val="18"/>
        </w:rPr>
        <w:t> </w:t>
      </w:r>
      <w:r>
        <w:rPr>
          <w:sz w:val="18"/>
        </w:rPr>
        <w:t>los</w:t>
      </w:r>
      <w:r>
        <w:rPr>
          <w:spacing w:val="-6"/>
          <w:sz w:val="18"/>
        </w:rPr>
        <w:t> </w:t>
      </w:r>
      <w:r>
        <w:rPr>
          <w:sz w:val="18"/>
        </w:rPr>
        <w:t>contratos</w:t>
      </w:r>
      <w:r>
        <w:rPr>
          <w:spacing w:val="-6"/>
          <w:sz w:val="18"/>
        </w:rPr>
        <w:t> </w:t>
      </w:r>
      <w:r>
        <w:rPr>
          <w:sz w:val="18"/>
        </w:rPr>
        <w:t>será</w:t>
      </w:r>
      <w:r>
        <w:rPr>
          <w:spacing w:val="-6"/>
          <w:sz w:val="18"/>
        </w:rPr>
        <w:t> </w:t>
      </w:r>
      <w:r>
        <w:rPr>
          <w:sz w:val="18"/>
        </w:rPr>
        <w:t>del</w:t>
      </w:r>
      <w:r>
        <w:rPr>
          <w:spacing w:val="-6"/>
          <w:sz w:val="18"/>
        </w:rPr>
        <w:t> </w:t>
      </w:r>
      <w:r>
        <w:rPr>
          <w:sz w:val="18"/>
        </w:rPr>
        <w:t>65</w:t>
      </w:r>
      <w:r>
        <w:rPr>
          <w:spacing w:val="-6"/>
          <w:sz w:val="18"/>
        </w:rPr>
        <w:t> </w:t>
      </w:r>
      <w:r>
        <w:rPr>
          <w:sz w:val="18"/>
        </w:rPr>
        <w:t>%.</w:t>
      </w:r>
    </w:p>
    <w:p>
      <w:pPr>
        <w:spacing w:before="56"/>
        <w:ind w:left="992" w:right="992" w:firstLine="0"/>
        <w:jc w:val="both"/>
        <w:rPr>
          <w:sz w:val="18"/>
        </w:rPr>
      </w:pPr>
      <w:bookmarkStart w:name="_bookmark51" w:id="53"/>
      <w:bookmarkEnd w:id="53"/>
      <w:r>
        <w:rPr/>
      </w:r>
      <w:r>
        <w:rPr>
          <w:position w:val="6"/>
          <w:sz w:val="12"/>
        </w:rPr>
        <w:t>29</w:t>
      </w:r>
      <w:r>
        <w:rPr>
          <w:spacing w:val="15"/>
          <w:position w:val="6"/>
          <w:sz w:val="12"/>
        </w:rPr>
        <w:t> </w:t>
      </w:r>
      <w:r>
        <w:rPr>
          <w:color w:val="0D0D0D"/>
          <w:sz w:val="18"/>
        </w:rPr>
        <w:t>Las</w:t>
      </w:r>
      <w:r>
        <w:rPr>
          <w:color w:val="0D0D0D"/>
          <w:spacing w:val="-1"/>
          <w:sz w:val="18"/>
        </w:rPr>
        <w:t> </w:t>
      </w:r>
      <w:r>
        <w:rPr>
          <w:color w:val="0D0D0D"/>
          <w:sz w:val="18"/>
        </w:rPr>
        <w:t>otras</w:t>
      </w:r>
      <w:r>
        <w:rPr>
          <w:color w:val="0D0D0D"/>
          <w:spacing w:val="-1"/>
          <w:sz w:val="18"/>
        </w:rPr>
        <w:t> </w:t>
      </w:r>
      <w:r>
        <w:rPr>
          <w:color w:val="0D0D0D"/>
          <w:sz w:val="18"/>
        </w:rPr>
        <w:t>actuaciones</w:t>
      </w:r>
      <w:r>
        <w:rPr>
          <w:color w:val="0D0D0D"/>
          <w:spacing w:val="-1"/>
          <w:sz w:val="18"/>
        </w:rPr>
        <w:t> </w:t>
      </w:r>
      <w:r>
        <w:rPr>
          <w:color w:val="0D0D0D"/>
          <w:sz w:val="18"/>
        </w:rPr>
        <w:t>consistieron</w:t>
      </w:r>
      <w:r>
        <w:rPr>
          <w:color w:val="0D0D0D"/>
          <w:spacing w:val="-2"/>
          <w:sz w:val="18"/>
        </w:rPr>
        <w:t> </w:t>
      </w:r>
      <w:r>
        <w:rPr>
          <w:color w:val="0D0D0D"/>
          <w:sz w:val="18"/>
        </w:rPr>
        <w:t>en</w:t>
      </w:r>
      <w:r>
        <w:rPr>
          <w:color w:val="0D0D0D"/>
          <w:spacing w:val="-2"/>
          <w:sz w:val="18"/>
        </w:rPr>
        <w:t> </w:t>
      </w:r>
      <w:r>
        <w:rPr>
          <w:color w:val="0D0D0D"/>
          <w:sz w:val="18"/>
        </w:rPr>
        <w:t>la</w:t>
      </w:r>
      <w:r>
        <w:rPr>
          <w:color w:val="0D0D0D"/>
          <w:spacing w:val="-2"/>
          <w:sz w:val="18"/>
        </w:rPr>
        <w:t> </w:t>
      </w:r>
      <w:r>
        <w:rPr>
          <w:color w:val="0D0D0D"/>
          <w:sz w:val="18"/>
        </w:rPr>
        <w:t>adquisición de</w:t>
      </w:r>
      <w:r>
        <w:rPr>
          <w:color w:val="0D0D0D"/>
          <w:spacing w:val="-1"/>
          <w:sz w:val="18"/>
        </w:rPr>
        <w:t> </w:t>
      </w:r>
      <w:r>
        <w:rPr>
          <w:color w:val="0D0D0D"/>
          <w:sz w:val="18"/>
        </w:rPr>
        <w:t>catorce</w:t>
      </w:r>
      <w:r>
        <w:rPr>
          <w:color w:val="0D0D0D"/>
          <w:spacing w:val="-2"/>
          <w:sz w:val="18"/>
        </w:rPr>
        <w:t> </w:t>
      </w:r>
      <w:r>
        <w:rPr>
          <w:color w:val="0D0D0D"/>
          <w:sz w:val="18"/>
        </w:rPr>
        <w:t>vehículos</w:t>
      </w:r>
      <w:r>
        <w:rPr>
          <w:color w:val="0D0D0D"/>
          <w:spacing w:val="-1"/>
          <w:sz w:val="18"/>
        </w:rPr>
        <w:t> </w:t>
      </w:r>
      <w:r>
        <w:rPr>
          <w:color w:val="0D0D0D"/>
          <w:sz w:val="18"/>
        </w:rPr>
        <w:t>para</w:t>
      </w:r>
      <w:r>
        <w:rPr>
          <w:color w:val="0D0D0D"/>
          <w:spacing w:val="-2"/>
          <w:sz w:val="18"/>
        </w:rPr>
        <w:t> </w:t>
      </w:r>
      <w:r>
        <w:rPr>
          <w:color w:val="0D0D0D"/>
          <w:sz w:val="18"/>
        </w:rPr>
        <w:t>la</w:t>
      </w:r>
      <w:r>
        <w:rPr>
          <w:color w:val="0D0D0D"/>
          <w:spacing w:val="-2"/>
          <w:sz w:val="18"/>
        </w:rPr>
        <w:t> </w:t>
      </w:r>
      <w:r>
        <w:rPr>
          <w:color w:val="0D0D0D"/>
          <w:sz w:val="18"/>
        </w:rPr>
        <w:t>flota</w:t>
      </w:r>
      <w:r>
        <w:rPr>
          <w:color w:val="0D0D0D"/>
          <w:spacing w:val="-2"/>
          <w:sz w:val="18"/>
        </w:rPr>
        <w:t> </w:t>
      </w:r>
      <w:r>
        <w:rPr>
          <w:color w:val="0D0D0D"/>
          <w:sz w:val="18"/>
        </w:rPr>
        <w:t>de</w:t>
      </w:r>
      <w:r>
        <w:rPr>
          <w:color w:val="0D0D0D"/>
          <w:spacing w:val="-2"/>
          <w:sz w:val="18"/>
        </w:rPr>
        <w:t> </w:t>
      </w:r>
      <w:r>
        <w:rPr>
          <w:color w:val="0D0D0D"/>
          <w:sz w:val="18"/>
        </w:rPr>
        <w:t>servicio</w:t>
      </w:r>
      <w:r>
        <w:rPr>
          <w:color w:val="0D0D0D"/>
          <w:spacing w:val="-2"/>
          <w:sz w:val="18"/>
        </w:rPr>
        <w:t> </w:t>
      </w:r>
      <w:r>
        <w:rPr>
          <w:color w:val="0D0D0D"/>
          <w:sz w:val="18"/>
        </w:rPr>
        <w:t>público</w:t>
      </w:r>
      <w:r>
        <w:rPr>
          <w:color w:val="0D0D0D"/>
          <w:spacing w:val="-4"/>
          <w:sz w:val="18"/>
        </w:rPr>
        <w:t> </w:t>
      </w:r>
      <w:r>
        <w:rPr>
          <w:color w:val="0D0D0D"/>
          <w:sz w:val="18"/>
        </w:rPr>
        <w:t>municipal</w:t>
      </w:r>
      <w:r>
        <w:rPr>
          <w:color w:val="0D0D0D"/>
          <w:spacing w:val="-2"/>
          <w:sz w:val="18"/>
        </w:rPr>
        <w:t> </w:t>
      </w:r>
      <w:r>
        <w:rPr>
          <w:color w:val="0D0D0D"/>
          <w:sz w:val="18"/>
        </w:rPr>
        <w:t>de recogida de residuos sólidos urbanos, la m</w:t>
      </w:r>
      <w:r>
        <w:rPr>
          <w:sz w:val="18"/>
        </w:rPr>
        <w:t>onitorización de huella de carbono y emisiones acústicas generada por el servicio</w:t>
      </w:r>
      <w:r>
        <w:rPr>
          <w:spacing w:val="-4"/>
          <w:sz w:val="18"/>
        </w:rPr>
        <w:t> </w:t>
      </w:r>
      <w:r>
        <w:rPr>
          <w:sz w:val="18"/>
        </w:rPr>
        <w:t>de</w:t>
      </w:r>
      <w:r>
        <w:rPr>
          <w:spacing w:val="-4"/>
          <w:sz w:val="18"/>
        </w:rPr>
        <w:t> </w:t>
      </w:r>
      <w:r>
        <w:rPr>
          <w:sz w:val="18"/>
        </w:rPr>
        <w:t>recogida</w:t>
      </w:r>
      <w:r>
        <w:rPr>
          <w:spacing w:val="-4"/>
          <w:sz w:val="18"/>
        </w:rPr>
        <w:t> </w:t>
      </w:r>
      <w:r>
        <w:rPr>
          <w:sz w:val="18"/>
        </w:rPr>
        <w:t>de</w:t>
      </w:r>
      <w:r>
        <w:rPr>
          <w:spacing w:val="-4"/>
          <w:sz w:val="18"/>
        </w:rPr>
        <w:t> </w:t>
      </w:r>
      <w:r>
        <w:rPr>
          <w:sz w:val="18"/>
        </w:rPr>
        <w:t>residuos,</w:t>
      </w:r>
      <w:r>
        <w:rPr>
          <w:spacing w:val="-4"/>
          <w:sz w:val="18"/>
        </w:rPr>
        <w:t> </w:t>
      </w:r>
      <w:r>
        <w:rPr>
          <w:color w:val="0D0D0D"/>
          <w:sz w:val="18"/>
        </w:rPr>
        <w:t>la</w:t>
      </w:r>
      <w:r>
        <w:rPr>
          <w:color w:val="0D0D0D"/>
          <w:spacing w:val="-5"/>
          <w:sz w:val="18"/>
        </w:rPr>
        <w:t> </w:t>
      </w:r>
      <w:r>
        <w:rPr>
          <w:color w:val="0D0D0D"/>
          <w:sz w:val="18"/>
        </w:rPr>
        <w:t>mejora</w:t>
      </w:r>
      <w:r>
        <w:rPr>
          <w:color w:val="0D0D0D"/>
          <w:spacing w:val="-4"/>
          <w:sz w:val="18"/>
        </w:rPr>
        <w:t> </w:t>
      </w:r>
      <w:r>
        <w:rPr>
          <w:color w:val="0D0D0D"/>
          <w:sz w:val="18"/>
        </w:rPr>
        <w:t>del</w:t>
      </w:r>
      <w:r>
        <w:rPr>
          <w:color w:val="0D0D0D"/>
          <w:spacing w:val="-5"/>
          <w:sz w:val="18"/>
        </w:rPr>
        <w:t> </w:t>
      </w:r>
      <w:r>
        <w:rPr>
          <w:color w:val="0D0D0D"/>
          <w:sz w:val="18"/>
        </w:rPr>
        <w:t>sistema</w:t>
      </w:r>
      <w:r>
        <w:rPr>
          <w:color w:val="0D0D0D"/>
          <w:spacing w:val="-4"/>
          <w:sz w:val="18"/>
        </w:rPr>
        <w:t> </w:t>
      </w:r>
      <w:r>
        <w:rPr>
          <w:color w:val="0D0D0D"/>
          <w:sz w:val="18"/>
        </w:rPr>
        <w:t>de</w:t>
      </w:r>
      <w:r>
        <w:rPr>
          <w:color w:val="0D0D0D"/>
          <w:spacing w:val="-4"/>
          <w:sz w:val="18"/>
        </w:rPr>
        <w:t> </w:t>
      </w:r>
      <w:r>
        <w:rPr>
          <w:color w:val="0D0D0D"/>
          <w:sz w:val="18"/>
        </w:rPr>
        <w:t>información</w:t>
      </w:r>
      <w:r>
        <w:rPr>
          <w:color w:val="0D0D0D"/>
          <w:spacing w:val="-4"/>
          <w:sz w:val="18"/>
        </w:rPr>
        <w:t> </w:t>
      </w:r>
      <w:r>
        <w:rPr>
          <w:color w:val="0D0D0D"/>
          <w:sz w:val="18"/>
        </w:rPr>
        <w:t>y</w:t>
      </w:r>
      <w:r>
        <w:rPr>
          <w:color w:val="0D0D0D"/>
          <w:spacing w:val="-3"/>
          <w:sz w:val="18"/>
        </w:rPr>
        <w:t> </w:t>
      </w:r>
      <w:r>
        <w:rPr>
          <w:color w:val="0D0D0D"/>
          <w:sz w:val="18"/>
        </w:rPr>
        <w:t>la</w:t>
      </w:r>
      <w:r>
        <w:rPr>
          <w:color w:val="0D0D0D"/>
          <w:spacing w:val="-2"/>
          <w:sz w:val="18"/>
        </w:rPr>
        <w:t> </w:t>
      </w:r>
      <w:r>
        <w:rPr>
          <w:sz w:val="18"/>
        </w:rPr>
        <w:t>mejora</w:t>
      </w:r>
      <w:r>
        <w:rPr>
          <w:spacing w:val="-4"/>
          <w:sz w:val="18"/>
        </w:rPr>
        <w:t> </w:t>
      </w:r>
      <w:r>
        <w:rPr>
          <w:sz w:val="18"/>
        </w:rPr>
        <w:t>del</w:t>
      </w:r>
      <w:r>
        <w:rPr>
          <w:spacing w:val="-5"/>
          <w:sz w:val="18"/>
        </w:rPr>
        <w:t> </w:t>
      </w:r>
      <w:r>
        <w:rPr>
          <w:sz w:val="18"/>
        </w:rPr>
        <w:t>sistema</w:t>
      </w:r>
      <w:r>
        <w:rPr>
          <w:spacing w:val="-4"/>
          <w:sz w:val="18"/>
        </w:rPr>
        <w:t> </w:t>
      </w:r>
      <w:r>
        <w:rPr>
          <w:sz w:val="18"/>
        </w:rPr>
        <w:t>de</w:t>
      </w:r>
      <w:r>
        <w:rPr>
          <w:spacing w:val="-4"/>
          <w:sz w:val="18"/>
        </w:rPr>
        <w:t> </w:t>
      </w:r>
      <w:r>
        <w:rPr>
          <w:sz w:val="18"/>
        </w:rPr>
        <w:t>información</w:t>
      </w:r>
      <w:r>
        <w:rPr>
          <w:spacing w:val="-4"/>
          <w:sz w:val="18"/>
        </w:rPr>
        <w:t> </w:t>
      </w:r>
      <w:r>
        <w:rPr>
          <w:sz w:val="18"/>
        </w:rPr>
        <w:t>al</w:t>
      </w:r>
      <w:r>
        <w:rPr>
          <w:spacing w:val="-4"/>
          <w:sz w:val="18"/>
        </w:rPr>
        <w:t> </w:t>
      </w:r>
      <w:r>
        <w:rPr>
          <w:sz w:val="18"/>
        </w:rPr>
        <w:t>pasajero del transporte público autobús</w:t>
      </w:r>
      <w:r>
        <w:rPr>
          <w:color w:val="0D0D0D"/>
          <w:sz w:val="18"/>
        </w:rPr>
        <w:t>.</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86"/>
        <w:jc w:val="both"/>
      </w:pPr>
      <w:r>
        <w:rPr/>
        <w:t>General</w:t>
      </w:r>
      <w:r>
        <w:rPr>
          <w:spacing w:val="-4"/>
        </w:rPr>
        <w:t> </w:t>
      </w:r>
      <w:r>
        <w:rPr/>
        <w:t>de</w:t>
      </w:r>
      <w:r>
        <w:rPr>
          <w:spacing w:val="-4"/>
        </w:rPr>
        <w:t> </w:t>
      </w:r>
      <w:r>
        <w:rPr/>
        <w:t>Transportes</w:t>
      </w:r>
      <w:r>
        <w:rPr>
          <w:spacing w:val="-6"/>
        </w:rPr>
        <w:t> </w:t>
      </w:r>
      <w:r>
        <w:rPr/>
        <w:t>y</w:t>
      </w:r>
      <w:r>
        <w:rPr>
          <w:spacing w:val="-4"/>
        </w:rPr>
        <w:t> </w:t>
      </w:r>
      <w:r>
        <w:rPr/>
        <w:t>Movilidad.</w:t>
      </w:r>
      <w:r>
        <w:rPr>
          <w:spacing w:val="-3"/>
        </w:rPr>
        <w:t> </w:t>
      </w:r>
      <w:r>
        <w:rPr/>
        <w:t>La</w:t>
      </w:r>
      <w:r>
        <w:rPr>
          <w:spacing w:val="-4"/>
        </w:rPr>
        <w:t> </w:t>
      </w:r>
      <w:r>
        <w:rPr/>
        <w:t>entidad</w:t>
      </w:r>
      <w:r>
        <w:rPr>
          <w:spacing w:val="-4"/>
        </w:rPr>
        <w:t> </w:t>
      </w:r>
      <w:r>
        <w:rPr/>
        <w:t>no</w:t>
      </w:r>
      <w:r>
        <w:rPr>
          <w:spacing w:val="-4"/>
        </w:rPr>
        <w:t> </w:t>
      </w:r>
      <w:r>
        <w:rPr/>
        <w:t>llegó</w:t>
      </w:r>
      <w:r>
        <w:rPr>
          <w:spacing w:val="-4"/>
        </w:rPr>
        <w:t> </w:t>
      </w:r>
      <w:r>
        <w:rPr/>
        <w:t>a</w:t>
      </w:r>
      <w:r>
        <w:rPr>
          <w:spacing w:val="-4"/>
        </w:rPr>
        <w:t> </w:t>
      </w:r>
      <w:r>
        <w:rPr/>
        <w:t>percibir</w:t>
      </w:r>
      <w:r>
        <w:rPr>
          <w:spacing w:val="-3"/>
        </w:rPr>
        <w:t> </w:t>
      </w:r>
      <w:r>
        <w:rPr/>
        <w:t>anticipo</w:t>
      </w:r>
      <w:r>
        <w:rPr>
          <w:spacing w:val="-4"/>
        </w:rPr>
        <w:t> </w:t>
      </w:r>
      <w:r>
        <w:rPr/>
        <w:t>alguno</w:t>
      </w:r>
      <w:r>
        <w:rPr>
          <w:spacing w:val="-4"/>
        </w:rPr>
        <w:t> </w:t>
      </w:r>
      <w:r>
        <w:rPr/>
        <w:t>con</w:t>
      </w:r>
      <w:r>
        <w:rPr>
          <w:spacing w:val="-4"/>
        </w:rPr>
        <w:t> </w:t>
      </w:r>
      <w:r>
        <w:rPr/>
        <w:t>cargo</w:t>
      </w:r>
      <w:r>
        <w:rPr>
          <w:spacing w:val="-4"/>
        </w:rPr>
        <w:t> </w:t>
      </w:r>
      <w:r>
        <w:rPr/>
        <w:t>a</w:t>
      </w:r>
      <w:r>
        <w:rPr>
          <w:spacing w:val="-4"/>
        </w:rPr>
        <w:t> </w:t>
      </w:r>
      <w:r>
        <w:rPr/>
        <w:t>esta </w:t>
      </w:r>
      <w:r>
        <w:rPr>
          <w:spacing w:val="-2"/>
        </w:rPr>
        <w:t>subvención.</w:t>
      </w:r>
    </w:p>
    <w:p>
      <w:pPr>
        <w:pStyle w:val="BodyText"/>
        <w:spacing w:before="240"/>
        <w:ind w:left="992" w:right="987"/>
        <w:jc w:val="both"/>
      </w:pPr>
      <w:r>
        <w:rPr/>
        <w:t>La</w:t>
      </w:r>
      <w:r>
        <w:rPr>
          <w:spacing w:val="-2"/>
        </w:rPr>
        <w:t> </w:t>
      </w:r>
      <w:r>
        <w:rPr/>
        <w:t>no</w:t>
      </w:r>
      <w:r>
        <w:rPr>
          <w:spacing w:val="-2"/>
        </w:rPr>
        <w:t> </w:t>
      </w:r>
      <w:r>
        <w:rPr/>
        <w:t>percepción</w:t>
      </w:r>
      <w:r>
        <w:rPr>
          <w:spacing w:val="-2"/>
        </w:rPr>
        <w:t> </w:t>
      </w:r>
      <w:r>
        <w:rPr/>
        <w:t>de</w:t>
      </w:r>
      <w:r>
        <w:rPr>
          <w:spacing w:val="-4"/>
        </w:rPr>
        <w:t> </w:t>
      </w:r>
      <w:r>
        <w:rPr/>
        <w:t>la</w:t>
      </w:r>
      <w:r>
        <w:rPr>
          <w:spacing w:val="-2"/>
        </w:rPr>
        <w:t> </w:t>
      </w:r>
      <w:r>
        <w:rPr/>
        <w:t>subvención</w:t>
      </w:r>
      <w:r>
        <w:rPr>
          <w:spacing w:val="-2"/>
        </w:rPr>
        <w:t> </w:t>
      </w:r>
      <w:r>
        <w:rPr/>
        <w:t>ha</w:t>
      </w:r>
      <w:r>
        <w:rPr>
          <w:spacing w:val="-2"/>
        </w:rPr>
        <w:t> </w:t>
      </w:r>
      <w:r>
        <w:rPr/>
        <w:t>supuesto</w:t>
      </w:r>
      <w:r>
        <w:rPr>
          <w:spacing w:val="-4"/>
        </w:rPr>
        <w:t> </w:t>
      </w:r>
      <w:r>
        <w:rPr/>
        <w:t>que</w:t>
      </w:r>
      <w:r>
        <w:rPr>
          <w:spacing w:val="-2"/>
        </w:rPr>
        <w:t> </w:t>
      </w:r>
      <w:r>
        <w:rPr/>
        <w:t>la</w:t>
      </w:r>
      <w:r>
        <w:rPr>
          <w:spacing w:val="-2"/>
        </w:rPr>
        <w:t> </w:t>
      </w:r>
      <w:r>
        <w:rPr/>
        <w:t>entidad</w:t>
      </w:r>
      <w:r>
        <w:rPr>
          <w:spacing w:val="-4"/>
        </w:rPr>
        <w:t> </w:t>
      </w:r>
      <w:r>
        <w:rPr/>
        <w:t>no</w:t>
      </w:r>
      <w:r>
        <w:rPr>
          <w:spacing w:val="-2"/>
        </w:rPr>
        <w:t> </w:t>
      </w:r>
      <w:r>
        <w:rPr/>
        <w:t>continuara</w:t>
      </w:r>
      <w:r>
        <w:rPr>
          <w:spacing w:val="-1"/>
        </w:rPr>
        <w:t> </w:t>
      </w:r>
      <w:r>
        <w:rPr/>
        <w:t>con</w:t>
      </w:r>
      <w:r>
        <w:rPr>
          <w:spacing w:val="-4"/>
        </w:rPr>
        <w:t> </w:t>
      </w:r>
      <w:r>
        <w:rPr/>
        <w:t>la</w:t>
      </w:r>
      <w:r>
        <w:rPr>
          <w:spacing w:val="-2"/>
        </w:rPr>
        <w:t> </w:t>
      </w:r>
      <w:r>
        <w:rPr/>
        <w:t>tramitación</w:t>
      </w:r>
      <w:r>
        <w:rPr>
          <w:spacing w:val="-2"/>
        </w:rPr>
        <w:t> </w:t>
      </w:r>
      <w:r>
        <w:rPr/>
        <w:t>del expediente</w:t>
      </w:r>
      <w:r>
        <w:rPr>
          <w:spacing w:val="-2"/>
        </w:rPr>
        <w:t> </w:t>
      </w:r>
      <w:r>
        <w:rPr/>
        <w:t>de</w:t>
      </w:r>
      <w:r>
        <w:rPr>
          <w:spacing w:val="-2"/>
        </w:rPr>
        <w:t> </w:t>
      </w:r>
      <w:r>
        <w:rPr/>
        <w:t>contratación</w:t>
      </w:r>
      <w:r>
        <w:rPr>
          <w:spacing w:val="-2"/>
        </w:rPr>
        <w:t> </w:t>
      </w:r>
      <w:r>
        <w:rPr/>
        <w:t>para</w:t>
      </w:r>
      <w:r>
        <w:rPr>
          <w:spacing w:val="-2"/>
        </w:rPr>
        <w:t> </w:t>
      </w:r>
      <w:r>
        <w:rPr/>
        <w:t>la</w:t>
      </w:r>
      <w:r>
        <w:rPr>
          <w:spacing w:val="-2"/>
        </w:rPr>
        <w:t> </w:t>
      </w:r>
      <w:r>
        <w:rPr/>
        <w:t>adquisición</w:t>
      </w:r>
      <w:r>
        <w:rPr>
          <w:spacing w:val="-2"/>
        </w:rPr>
        <w:t> </w:t>
      </w:r>
      <w:r>
        <w:rPr/>
        <w:t>del</w:t>
      </w:r>
      <w:r>
        <w:rPr>
          <w:spacing w:val="-2"/>
        </w:rPr>
        <w:t> </w:t>
      </w:r>
      <w:r>
        <w:rPr/>
        <w:t>autobús</w:t>
      </w:r>
      <w:r>
        <w:rPr>
          <w:spacing w:val="-2"/>
        </w:rPr>
        <w:t> </w:t>
      </w:r>
      <w:r>
        <w:rPr/>
        <w:t>de</w:t>
      </w:r>
      <w:r>
        <w:rPr>
          <w:spacing w:val="-2"/>
        </w:rPr>
        <w:t> </w:t>
      </w:r>
      <w:r>
        <w:rPr/>
        <w:t>hidrógeno,</w:t>
      </w:r>
      <w:r>
        <w:rPr>
          <w:spacing w:val="-3"/>
        </w:rPr>
        <w:t> </w:t>
      </w:r>
      <w:r>
        <w:rPr/>
        <w:t>que</w:t>
      </w:r>
      <w:r>
        <w:rPr>
          <w:spacing w:val="-2"/>
        </w:rPr>
        <w:t> </w:t>
      </w:r>
      <w:r>
        <w:rPr/>
        <w:t>estaba</w:t>
      </w:r>
      <w:r>
        <w:rPr>
          <w:spacing w:val="-2"/>
        </w:rPr>
        <w:t> </w:t>
      </w:r>
      <w:r>
        <w:rPr/>
        <w:t>pendiente</w:t>
      </w:r>
      <w:r>
        <w:rPr>
          <w:spacing w:val="-4"/>
        </w:rPr>
        <w:t> </w:t>
      </w:r>
      <w:r>
        <w:rPr/>
        <w:t>de adjudicación en la fecha de propuesta de renuncia.</w:t>
      </w:r>
    </w:p>
    <w:p>
      <w:pPr>
        <w:pStyle w:val="BodyText"/>
        <w:spacing w:before="240"/>
        <w:ind w:left="992" w:right="987"/>
        <w:jc w:val="both"/>
      </w:pPr>
      <w:r>
        <w:rPr/>
        <w:t>El</w:t>
      </w:r>
      <w:r>
        <w:rPr>
          <w:spacing w:val="-7"/>
        </w:rPr>
        <w:t> </w:t>
      </w:r>
      <w:r>
        <w:rPr/>
        <w:t>número</w:t>
      </w:r>
      <w:r>
        <w:rPr>
          <w:spacing w:val="-8"/>
        </w:rPr>
        <w:t> </w:t>
      </w:r>
      <w:r>
        <w:rPr/>
        <w:t>total</w:t>
      </w:r>
      <w:r>
        <w:rPr>
          <w:spacing w:val="-7"/>
        </w:rPr>
        <w:t> </w:t>
      </w:r>
      <w:r>
        <w:rPr/>
        <w:t>de</w:t>
      </w:r>
      <w:r>
        <w:rPr>
          <w:spacing w:val="-9"/>
        </w:rPr>
        <w:t> </w:t>
      </w:r>
      <w:r>
        <w:rPr/>
        <w:t>autobuses</w:t>
      </w:r>
      <w:r>
        <w:rPr>
          <w:spacing w:val="-5"/>
        </w:rPr>
        <w:t> </w:t>
      </w:r>
      <w:r>
        <w:rPr/>
        <w:t>adquiridos</w:t>
      </w:r>
      <w:r>
        <w:rPr>
          <w:spacing w:val="-6"/>
        </w:rPr>
        <w:t> </w:t>
      </w:r>
      <w:r>
        <w:rPr/>
        <w:t>por</w:t>
      </w:r>
      <w:r>
        <w:rPr>
          <w:spacing w:val="-5"/>
        </w:rPr>
        <w:t> </w:t>
      </w:r>
      <w:r>
        <w:rPr/>
        <w:t>los</w:t>
      </w:r>
      <w:r>
        <w:rPr>
          <w:spacing w:val="-6"/>
        </w:rPr>
        <w:t> </w:t>
      </w:r>
      <w:r>
        <w:rPr/>
        <w:t>ayuntamientos</w:t>
      </w:r>
      <w:r>
        <w:rPr>
          <w:spacing w:val="-9"/>
        </w:rPr>
        <w:t> </w:t>
      </w:r>
      <w:r>
        <w:rPr/>
        <w:t>fiscalizados</w:t>
      </w:r>
      <w:r>
        <w:rPr>
          <w:spacing w:val="-4"/>
        </w:rPr>
        <w:t> </w:t>
      </w:r>
      <w:r>
        <w:rPr/>
        <w:t>ha</w:t>
      </w:r>
      <w:r>
        <w:rPr>
          <w:spacing w:val="-7"/>
        </w:rPr>
        <w:t> </w:t>
      </w:r>
      <w:r>
        <w:rPr/>
        <w:t>ascendido</w:t>
      </w:r>
      <w:r>
        <w:rPr>
          <w:spacing w:val="-7"/>
        </w:rPr>
        <w:t> </w:t>
      </w:r>
      <w:r>
        <w:rPr/>
        <w:t>a</w:t>
      </w:r>
      <w:r>
        <w:rPr>
          <w:spacing w:val="-8"/>
        </w:rPr>
        <w:t> </w:t>
      </w:r>
      <w:r>
        <w:rPr/>
        <w:t>364,</w:t>
      </w:r>
      <w:r>
        <w:rPr>
          <w:spacing w:val="-5"/>
        </w:rPr>
        <w:t> </w:t>
      </w:r>
      <w:r>
        <w:rPr/>
        <w:t>de los que 252 son eléctricos, 106 son híbridos (GNC/diésel) y seis de hidrógeno.</w:t>
      </w:r>
    </w:p>
    <w:p>
      <w:pPr>
        <w:pStyle w:val="BodyText"/>
        <w:spacing w:before="241"/>
        <w:ind w:left="992" w:right="994"/>
        <w:jc w:val="both"/>
      </w:pPr>
      <w:r>
        <w:rPr/>
        <w:t>En el cuadro siguiente, se expone el número, tipología, importe y financiación de los autobuses adquiridos por las entidades fiscalizadas, así como el importe ejecutado hasta final del periodo </w:t>
      </w:r>
      <w:r>
        <w:rPr>
          <w:spacing w:val="-2"/>
        </w:rPr>
        <w:t>fiscalizado.</w:t>
      </w:r>
    </w:p>
    <w:p>
      <w:pPr>
        <w:pStyle w:val="BodyText"/>
        <w:spacing w:before="106"/>
      </w:pPr>
    </w:p>
    <w:p>
      <w:pPr>
        <w:pStyle w:val="Heading4"/>
        <w:ind w:right="2"/>
      </w:pPr>
      <w:bookmarkStart w:name="_bookmark52" w:id="54"/>
      <w:bookmarkEnd w:id="54"/>
      <w:r>
        <w:rPr>
          <w:b w:val="0"/>
        </w:rPr>
      </w:r>
      <w:r>
        <w:rPr/>
        <w:t>CUADRO</w:t>
      </w:r>
      <w:r>
        <w:rPr>
          <w:spacing w:val="-7"/>
        </w:rPr>
        <w:t> </w:t>
      </w:r>
      <w:r>
        <w:rPr/>
        <w:t>7.</w:t>
      </w:r>
      <w:r>
        <w:rPr>
          <w:spacing w:val="-8"/>
        </w:rPr>
        <w:t> </w:t>
      </w:r>
      <w:r>
        <w:rPr/>
        <w:t>AUTOBUSES</w:t>
      </w:r>
      <w:r>
        <w:rPr>
          <w:spacing w:val="-7"/>
        </w:rPr>
        <w:t> </w:t>
      </w:r>
      <w:r>
        <w:rPr/>
        <w:t>ADQUIRIDOS</w:t>
      </w:r>
      <w:r>
        <w:rPr>
          <w:spacing w:val="-7"/>
        </w:rPr>
        <w:t> </w:t>
      </w:r>
      <w:r>
        <w:rPr/>
        <w:t>POR</w:t>
      </w:r>
      <w:r>
        <w:rPr>
          <w:spacing w:val="-9"/>
        </w:rPr>
        <w:t> </w:t>
      </w:r>
      <w:r>
        <w:rPr/>
        <w:t>LOS</w:t>
      </w:r>
      <w:r>
        <w:rPr>
          <w:spacing w:val="-9"/>
        </w:rPr>
        <w:t> </w:t>
      </w:r>
      <w:r>
        <w:rPr/>
        <w:t>AYUNTAMIENTOS</w:t>
      </w:r>
      <w:r>
        <w:rPr>
          <w:spacing w:val="-6"/>
        </w:rPr>
        <w:t> </w:t>
      </w:r>
      <w:r>
        <w:rPr>
          <w:spacing w:val="-2"/>
        </w:rPr>
        <w:t>FISCALIZADOS</w:t>
      </w:r>
    </w:p>
    <w:p>
      <w:pPr>
        <w:pStyle w:val="BodyText"/>
        <w:spacing w:before="12"/>
        <w:rPr>
          <w:b/>
          <w:sz w:val="20"/>
        </w:rPr>
      </w:pPr>
    </w:p>
    <w:tbl>
      <w:tblPr>
        <w:tblW w:w="0" w:type="auto"/>
        <w:jc w:val="left"/>
        <w:tblInd w:w="9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56"/>
        <w:gridCol w:w="699"/>
        <w:gridCol w:w="451"/>
        <w:gridCol w:w="614"/>
        <w:gridCol w:w="857"/>
        <w:gridCol w:w="1201"/>
        <w:gridCol w:w="1256"/>
        <w:gridCol w:w="1044"/>
        <w:gridCol w:w="1154"/>
        <w:gridCol w:w="1067"/>
      </w:tblGrid>
      <w:tr>
        <w:trPr>
          <w:trHeight w:val="399" w:hRule="atLeast"/>
        </w:trPr>
        <w:tc>
          <w:tcPr>
            <w:tcW w:w="3120" w:type="dxa"/>
            <w:gridSpan w:val="4"/>
            <w:shd w:val="clear" w:color="auto" w:fill="002D5D"/>
          </w:tcPr>
          <w:p>
            <w:pPr>
              <w:pStyle w:val="TableParagraph"/>
              <w:spacing w:before="100"/>
              <w:ind w:right="6"/>
              <w:jc w:val="right"/>
              <w:rPr>
                <w:b/>
                <w:sz w:val="17"/>
              </w:rPr>
            </w:pPr>
            <w:r>
              <w:rPr>
                <w:b/>
                <w:color w:val="FFFFFF"/>
                <w:sz w:val="17"/>
              </w:rPr>
              <w:t>Nº</w:t>
            </w:r>
            <w:r>
              <w:rPr>
                <w:b/>
                <w:color w:val="FFFFFF"/>
                <w:spacing w:val="-1"/>
                <w:sz w:val="17"/>
              </w:rPr>
              <w:t> </w:t>
            </w:r>
            <w:r>
              <w:rPr>
                <w:b/>
                <w:color w:val="FFFFFF"/>
                <w:spacing w:val="-2"/>
                <w:sz w:val="17"/>
              </w:rPr>
              <w:t>VEHÍCULOS</w:t>
            </w:r>
          </w:p>
        </w:tc>
        <w:tc>
          <w:tcPr>
            <w:tcW w:w="857" w:type="dxa"/>
            <w:shd w:val="clear" w:color="auto" w:fill="002D5D"/>
          </w:tcPr>
          <w:p>
            <w:pPr>
              <w:pStyle w:val="TableParagraph"/>
              <w:rPr>
                <w:rFonts w:ascii="Times New Roman"/>
                <w:sz w:val="18"/>
              </w:rPr>
            </w:pPr>
          </w:p>
        </w:tc>
        <w:tc>
          <w:tcPr>
            <w:tcW w:w="1201" w:type="dxa"/>
            <w:vMerge w:val="restart"/>
            <w:shd w:val="clear" w:color="auto" w:fill="002D5D"/>
          </w:tcPr>
          <w:p>
            <w:pPr>
              <w:pStyle w:val="TableParagraph"/>
              <w:spacing w:before="7"/>
              <w:rPr>
                <w:rFonts w:ascii="Arial"/>
                <w:b/>
                <w:sz w:val="17"/>
              </w:rPr>
            </w:pPr>
          </w:p>
          <w:p>
            <w:pPr>
              <w:pStyle w:val="TableParagraph"/>
              <w:ind w:left="161" w:right="109" w:firstLine="1"/>
              <w:jc w:val="center"/>
              <w:rPr>
                <w:b/>
                <w:sz w:val="17"/>
              </w:rPr>
            </w:pPr>
            <w:r>
              <w:rPr>
                <w:b/>
                <w:color w:val="FFFFFF"/>
                <w:spacing w:val="-2"/>
                <w:sz w:val="17"/>
              </w:rPr>
              <w:t>IMPORTE</w:t>
            </w:r>
            <w:r>
              <w:rPr>
                <w:b/>
                <w:color w:val="FFFFFF"/>
                <w:spacing w:val="40"/>
                <w:sz w:val="17"/>
              </w:rPr>
              <w:t> </w:t>
            </w:r>
            <w:r>
              <w:rPr>
                <w:b/>
                <w:color w:val="FFFFFF"/>
                <w:spacing w:val="-2"/>
                <w:sz w:val="17"/>
              </w:rPr>
              <w:t>ADQUISICIÓN</w:t>
            </w:r>
          </w:p>
          <w:p>
            <w:pPr>
              <w:pStyle w:val="TableParagraph"/>
              <w:spacing w:line="194" w:lineRule="exact"/>
              <w:ind w:left="48"/>
              <w:jc w:val="center"/>
              <w:rPr>
                <w:b/>
                <w:sz w:val="17"/>
              </w:rPr>
            </w:pPr>
            <w:r>
              <w:rPr>
                <w:b/>
                <w:color w:val="FFFFFF"/>
                <w:spacing w:val="-5"/>
                <w:sz w:val="17"/>
              </w:rPr>
              <w:t>(€)</w:t>
            </w:r>
          </w:p>
        </w:tc>
        <w:tc>
          <w:tcPr>
            <w:tcW w:w="2300" w:type="dxa"/>
            <w:gridSpan w:val="2"/>
            <w:shd w:val="clear" w:color="auto" w:fill="002D5D"/>
          </w:tcPr>
          <w:p>
            <w:pPr>
              <w:pStyle w:val="TableParagraph"/>
              <w:spacing w:line="196" w:lineRule="exact"/>
              <w:ind w:left="558" w:right="360" w:hanging="159"/>
              <w:rPr>
                <w:b/>
                <w:sz w:val="17"/>
              </w:rPr>
            </w:pPr>
            <w:r>
              <w:rPr>
                <w:b/>
                <w:color w:val="FFFFFF"/>
                <w:sz w:val="17"/>
              </w:rPr>
              <w:t>IMPORTE</w:t>
            </w:r>
            <w:r>
              <w:rPr>
                <w:b/>
                <w:color w:val="FFFFFF"/>
                <w:spacing w:val="-10"/>
                <w:sz w:val="17"/>
              </w:rPr>
              <w:t> </w:t>
            </w:r>
            <w:r>
              <w:rPr>
                <w:b/>
                <w:color w:val="FFFFFF"/>
                <w:sz w:val="17"/>
              </w:rPr>
              <w:t>EJECUTADO</w:t>
            </w:r>
            <w:r>
              <w:rPr>
                <w:b/>
                <w:color w:val="FFFFFF"/>
                <w:spacing w:val="40"/>
                <w:sz w:val="17"/>
              </w:rPr>
              <w:t> </w:t>
            </w:r>
            <w:r>
              <w:rPr>
                <w:b/>
                <w:color w:val="FFFFFF"/>
                <w:sz w:val="17"/>
              </w:rPr>
              <w:t>HASTA</w:t>
            </w:r>
            <w:r>
              <w:rPr>
                <w:b/>
                <w:color w:val="FFFFFF"/>
                <w:spacing w:val="-4"/>
                <w:sz w:val="17"/>
              </w:rPr>
              <w:t> </w:t>
            </w:r>
            <w:r>
              <w:rPr>
                <w:b/>
                <w:color w:val="FFFFFF"/>
                <w:sz w:val="17"/>
              </w:rPr>
              <w:t>31/12/2024</w:t>
            </w:r>
          </w:p>
        </w:tc>
        <w:tc>
          <w:tcPr>
            <w:tcW w:w="2221" w:type="dxa"/>
            <w:gridSpan w:val="2"/>
            <w:shd w:val="clear" w:color="auto" w:fill="002D5D"/>
          </w:tcPr>
          <w:p>
            <w:pPr>
              <w:pStyle w:val="TableParagraph"/>
              <w:spacing w:before="100"/>
              <w:ind w:left="609"/>
              <w:rPr>
                <w:b/>
                <w:sz w:val="17"/>
              </w:rPr>
            </w:pPr>
            <w:r>
              <w:rPr>
                <w:b/>
                <w:color w:val="FFFFFF"/>
                <w:spacing w:val="-2"/>
                <w:sz w:val="17"/>
              </w:rPr>
              <w:t>FINANCIACIÓN</w:t>
            </w:r>
          </w:p>
        </w:tc>
      </w:tr>
      <w:tr>
        <w:trPr>
          <w:trHeight w:val="212" w:hRule="atLeast"/>
        </w:trPr>
        <w:tc>
          <w:tcPr>
            <w:tcW w:w="1356" w:type="dxa"/>
            <w:shd w:val="clear" w:color="auto" w:fill="002D5D"/>
          </w:tcPr>
          <w:p>
            <w:pPr>
              <w:pStyle w:val="TableParagraph"/>
              <w:spacing w:line="192" w:lineRule="exact"/>
              <w:ind w:left="115"/>
              <w:rPr>
                <w:b/>
                <w:sz w:val="17"/>
              </w:rPr>
            </w:pPr>
            <w:r>
              <w:rPr>
                <w:b/>
                <w:color w:val="FFFFFF"/>
                <w:spacing w:val="-2"/>
                <w:sz w:val="17"/>
              </w:rPr>
              <w:t>AYUNTAMIENTO</w:t>
            </w:r>
          </w:p>
        </w:tc>
        <w:tc>
          <w:tcPr>
            <w:tcW w:w="699" w:type="dxa"/>
            <w:shd w:val="clear" w:color="auto" w:fill="002D5D"/>
          </w:tcPr>
          <w:p>
            <w:pPr>
              <w:pStyle w:val="TableParagraph"/>
              <w:rPr>
                <w:rFonts w:ascii="Times New Roman"/>
                <w:sz w:val="14"/>
              </w:rPr>
            </w:pPr>
          </w:p>
        </w:tc>
        <w:tc>
          <w:tcPr>
            <w:tcW w:w="1065" w:type="dxa"/>
            <w:gridSpan w:val="2"/>
            <w:shd w:val="clear" w:color="auto" w:fill="002D5D"/>
          </w:tcPr>
          <w:p>
            <w:pPr>
              <w:pStyle w:val="TableParagraph"/>
              <w:spacing w:line="165" w:lineRule="exact" w:before="27"/>
              <w:ind w:left="259"/>
              <w:rPr>
                <w:b/>
                <w:sz w:val="17"/>
              </w:rPr>
            </w:pPr>
            <w:r>
              <w:rPr>
                <w:b/>
                <w:color w:val="FFFFFF"/>
                <w:spacing w:val="-2"/>
                <w:sz w:val="17"/>
              </w:rPr>
              <w:t>Híbrido</w:t>
            </w:r>
          </w:p>
        </w:tc>
        <w:tc>
          <w:tcPr>
            <w:tcW w:w="857" w:type="dxa"/>
            <w:shd w:val="clear" w:color="auto" w:fill="002D5D"/>
          </w:tcPr>
          <w:p>
            <w:pPr>
              <w:pStyle w:val="TableParagraph"/>
              <w:rPr>
                <w:rFonts w:ascii="Times New Roman"/>
                <w:sz w:val="14"/>
              </w:rPr>
            </w:pPr>
          </w:p>
        </w:tc>
        <w:tc>
          <w:tcPr>
            <w:tcW w:w="1201" w:type="dxa"/>
            <w:vMerge/>
            <w:tcBorders>
              <w:top w:val="nil"/>
            </w:tcBorders>
            <w:shd w:val="clear" w:color="auto" w:fill="002D5D"/>
          </w:tcPr>
          <w:p>
            <w:pPr>
              <w:rPr>
                <w:sz w:val="2"/>
                <w:szCs w:val="2"/>
              </w:rPr>
            </w:pPr>
          </w:p>
        </w:tc>
        <w:tc>
          <w:tcPr>
            <w:tcW w:w="1256" w:type="dxa"/>
            <w:shd w:val="clear" w:color="auto" w:fill="002D5D"/>
          </w:tcPr>
          <w:p>
            <w:pPr>
              <w:pStyle w:val="TableParagraph"/>
              <w:rPr>
                <w:rFonts w:ascii="Times New Roman"/>
                <w:sz w:val="14"/>
              </w:rPr>
            </w:pPr>
          </w:p>
        </w:tc>
        <w:tc>
          <w:tcPr>
            <w:tcW w:w="1044" w:type="dxa"/>
            <w:vMerge w:val="restart"/>
            <w:shd w:val="clear" w:color="auto" w:fill="002D5D"/>
          </w:tcPr>
          <w:p>
            <w:pPr>
              <w:pStyle w:val="TableParagraph"/>
              <w:spacing w:before="5"/>
              <w:ind w:left="210" w:hanging="17"/>
              <w:rPr>
                <w:b/>
                <w:sz w:val="17"/>
              </w:rPr>
            </w:pPr>
            <w:r>
              <w:rPr>
                <w:b/>
                <w:color w:val="FFFFFF"/>
                <w:sz w:val="17"/>
              </w:rPr>
              <w:t>% </w:t>
            </w:r>
            <w:r>
              <w:rPr>
                <w:b/>
                <w:color w:val="FFFFFF"/>
                <w:spacing w:val="-2"/>
                <w:sz w:val="17"/>
              </w:rPr>
              <w:t>sobre</w:t>
            </w:r>
          </w:p>
          <w:p>
            <w:pPr>
              <w:pStyle w:val="TableParagraph"/>
              <w:spacing w:line="194" w:lineRule="exact"/>
              <w:ind w:left="78" w:firstLine="132"/>
              <w:rPr>
                <w:b/>
                <w:sz w:val="17"/>
              </w:rPr>
            </w:pPr>
            <w:r>
              <w:rPr>
                <w:b/>
                <w:color w:val="FFFFFF"/>
                <w:spacing w:val="-2"/>
                <w:sz w:val="17"/>
              </w:rPr>
              <w:t>importe</w:t>
            </w:r>
            <w:r>
              <w:rPr>
                <w:b/>
                <w:color w:val="FFFFFF"/>
                <w:spacing w:val="40"/>
                <w:sz w:val="17"/>
              </w:rPr>
              <w:t> </w:t>
            </w:r>
            <w:r>
              <w:rPr>
                <w:b/>
                <w:color w:val="FFFFFF"/>
                <w:spacing w:val="-2"/>
                <w:sz w:val="17"/>
              </w:rPr>
              <w:t>adquisición</w:t>
            </w:r>
          </w:p>
        </w:tc>
        <w:tc>
          <w:tcPr>
            <w:tcW w:w="1154" w:type="dxa"/>
            <w:shd w:val="clear" w:color="auto" w:fill="002D5D"/>
          </w:tcPr>
          <w:p>
            <w:pPr>
              <w:pStyle w:val="TableParagraph"/>
              <w:rPr>
                <w:rFonts w:ascii="Times New Roman"/>
                <w:sz w:val="14"/>
              </w:rPr>
            </w:pPr>
          </w:p>
        </w:tc>
        <w:tc>
          <w:tcPr>
            <w:tcW w:w="1067" w:type="dxa"/>
            <w:vMerge w:val="restart"/>
            <w:shd w:val="clear" w:color="auto" w:fill="002D5D"/>
          </w:tcPr>
          <w:p>
            <w:pPr>
              <w:pStyle w:val="TableParagraph"/>
              <w:spacing w:line="195" w:lineRule="exact" w:before="104"/>
              <w:ind w:left="2" w:right="32"/>
              <w:jc w:val="center"/>
              <w:rPr>
                <w:b/>
                <w:sz w:val="17"/>
              </w:rPr>
            </w:pPr>
            <w:r>
              <w:rPr>
                <w:b/>
                <w:color w:val="FFFFFF"/>
                <w:sz w:val="17"/>
              </w:rPr>
              <w:t>PRTR</w:t>
            </w:r>
            <w:r>
              <w:rPr>
                <w:b/>
                <w:color w:val="FFFFFF"/>
                <w:spacing w:val="-3"/>
                <w:sz w:val="17"/>
              </w:rPr>
              <w:t> </w:t>
            </w:r>
            <w:r>
              <w:rPr>
                <w:b/>
                <w:color w:val="FFFFFF"/>
                <w:sz w:val="17"/>
              </w:rPr>
              <w:t>y </w:t>
            </w:r>
            <w:r>
              <w:rPr>
                <w:b/>
                <w:color w:val="FFFFFF"/>
                <w:spacing w:val="-2"/>
                <w:sz w:val="17"/>
              </w:rPr>
              <w:t>otras</w:t>
            </w:r>
          </w:p>
          <w:p>
            <w:pPr>
              <w:pStyle w:val="TableParagraph"/>
              <w:spacing w:line="195" w:lineRule="exact"/>
              <w:ind w:right="32"/>
              <w:jc w:val="center"/>
              <w:rPr>
                <w:b/>
                <w:sz w:val="17"/>
              </w:rPr>
            </w:pPr>
            <w:r>
              <w:rPr>
                <w:b/>
                <w:color w:val="FFFFFF"/>
                <w:spacing w:val="-5"/>
                <w:sz w:val="17"/>
              </w:rPr>
              <w:t>(€)</w:t>
            </w:r>
          </w:p>
        </w:tc>
      </w:tr>
      <w:tr>
        <w:trPr>
          <w:trHeight w:val="389" w:hRule="atLeast"/>
        </w:trPr>
        <w:tc>
          <w:tcPr>
            <w:tcW w:w="1356" w:type="dxa"/>
            <w:shd w:val="clear" w:color="auto" w:fill="002D5D"/>
          </w:tcPr>
          <w:p>
            <w:pPr>
              <w:pStyle w:val="TableParagraph"/>
              <w:rPr>
                <w:rFonts w:ascii="Times New Roman"/>
                <w:sz w:val="18"/>
              </w:rPr>
            </w:pPr>
          </w:p>
        </w:tc>
        <w:tc>
          <w:tcPr>
            <w:tcW w:w="699" w:type="dxa"/>
            <w:shd w:val="clear" w:color="auto" w:fill="002D5D"/>
          </w:tcPr>
          <w:p>
            <w:pPr>
              <w:pStyle w:val="TableParagraph"/>
              <w:spacing w:line="185" w:lineRule="exact"/>
              <w:ind w:right="28"/>
              <w:jc w:val="center"/>
              <w:rPr>
                <w:b/>
                <w:sz w:val="17"/>
              </w:rPr>
            </w:pPr>
            <w:r>
              <w:rPr>
                <w:b/>
                <w:color w:val="FFFFFF"/>
                <w:spacing w:val="-2"/>
                <w:sz w:val="17"/>
              </w:rPr>
              <w:t>Eléctrico</w:t>
            </w:r>
          </w:p>
        </w:tc>
        <w:tc>
          <w:tcPr>
            <w:tcW w:w="451" w:type="dxa"/>
            <w:shd w:val="clear" w:color="auto" w:fill="002D5D"/>
          </w:tcPr>
          <w:p>
            <w:pPr>
              <w:pStyle w:val="TableParagraph"/>
              <w:spacing w:before="124"/>
              <w:ind w:left="10" w:right="9"/>
              <w:jc w:val="center"/>
              <w:rPr>
                <w:b/>
                <w:sz w:val="17"/>
              </w:rPr>
            </w:pPr>
            <w:r>
              <w:rPr>
                <w:b/>
                <w:color w:val="FFFFFF"/>
                <w:spacing w:val="-5"/>
                <w:sz w:val="17"/>
              </w:rPr>
              <w:t>GNC</w:t>
            </w:r>
          </w:p>
        </w:tc>
        <w:tc>
          <w:tcPr>
            <w:tcW w:w="614" w:type="dxa"/>
            <w:shd w:val="clear" w:color="auto" w:fill="002D5D"/>
          </w:tcPr>
          <w:p>
            <w:pPr>
              <w:pStyle w:val="TableParagraph"/>
              <w:spacing w:before="124"/>
              <w:ind w:left="44" w:right="109"/>
              <w:jc w:val="center"/>
              <w:rPr>
                <w:b/>
                <w:sz w:val="17"/>
              </w:rPr>
            </w:pPr>
            <w:r>
              <w:rPr>
                <w:b/>
                <w:color w:val="FFFFFF"/>
                <w:spacing w:val="-2"/>
                <w:sz w:val="17"/>
              </w:rPr>
              <w:t>Diésel</w:t>
            </w:r>
          </w:p>
        </w:tc>
        <w:tc>
          <w:tcPr>
            <w:tcW w:w="857" w:type="dxa"/>
            <w:shd w:val="clear" w:color="auto" w:fill="002D5D"/>
          </w:tcPr>
          <w:p>
            <w:pPr>
              <w:pStyle w:val="TableParagraph"/>
              <w:spacing w:line="185" w:lineRule="exact"/>
              <w:ind w:right="142"/>
              <w:jc w:val="center"/>
              <w:rPr>
                <w:b/>
                <w:sz w:val="17"/>
              </w:rPr>
            </w:pPr>
            <w:r>
              <w:rPr>
                <w:b/>
                <w:color w:val="FFFFFF"/>
                <w:spacing w:val="-2"/>
                <w:sz w:val="17"/>
              </w:rPr>
              <w:t>Hidrógeno</w:t>
            </w:r>
          </w:p>
        </w:tc>
        <w:tc>
          <w:tcPr>
            <w:tcW w:w="1201" w:type="dxa"/>
            <w:vMerge/>
            <w:tcBorders>
              <w:top w:val="nil"/>
            </w:tcBorders>
            <w:shd w:val="clear" w:color="auto" w:fill="002D5D"/>
          </w:tcPr>
          <w:p>
            <w:pPr>
              <w:rPr>
                <w:sz w:val="2"/>
                <w:szCs w:val="2"/>
              </w:rPr>
            </w:pPr>
          </w:p>
        </w:tc>
        <w:tc>
          <w:tcPr>
            <w:tcW w:w="1256" w:type="dxa"/>
            <w:shd w:val="clear" w:color="auto" w:fill="002D5D"/>
          </w:tcPr>
          <w:p>
            <w:pPr>
              <w:pStyle w:val="TableParagraph"/>
              <w:spacing w:line="185" w:lineRule="exact"/>
              <w:ind w:left="125"/>
              <w:jc w:val="center"/>
              <w:rPr>
                <w:b/>
                <w:sz w:val="17"/>
              </w:rPr>
            </w:pPr>
            <w:r>
              <w:rPr>
                <w:b/>
                <w:color w:val="FFFFFF"/>
                <w:spacing w:val="-5"/>
                <w:sz w:val="17"/>
              </w:rPr>
              <w:t>(€)</w:t>
            </w:r>
          </w:p>
        </w:tc>
        <w:tc>
          <w:tcPr>
            <w:tcW w:w="1044" w:type="dxa"/>
            <w:vMerge/>
            <w:tcBorders>
              <w:top w:val="nil"/>
            </w:tcBorders>
            <w:shd w:val="clear" w:color="auto" w:fill="002D5D"/>
          </w:tcPr>
          <w:p>
            <w:pPr>
              <w:rPr>
                <w:sz w:val="2"/>
                <w:szCs w:val="2"/>
              </w:rPr>
            </w:pPr>
          </w:p>
        </w:tc>
        <w:tc>
          <w:tcPr>
            <w:tcW w:w="1154" w:type="dxa"/>
            <w:shd w:val="clear" w:color="auto" w:fill="002D5D"/>
          </w:tcPr>
          <w:p>
            <w:pPr>
              <w:pStyle w:val="TableParagraph"/>
              <w:spacing w:line="185" w:lineRule="exact"/>
              <w:ind w:left="318"/>
              <w:rPr>
                <w:b/>
                <w:sz w:val="17"/>
              </w:rPr>
            </w:pPr>
            <w:r>
              <w:rPr>
                <w:b/>
                <w:color w:val="FFFFFF"/>
                <w:sz w:val="17"/>
              </w:rPr>
              <w:t>Ayto.</w:t>
            </w:r>
            <w:r>
              <w:rPr>
                <w:b/>
                <w:color w:val="FFFFFF"/>
                <w:spacing w:val="-4"/>
                <w:sz w:val="17"/>
              </w:rPr>
              <w:t> </w:t>
            </w:r>
            <w:r>
              <w:rPr>
                <w:b/>
                <w:color w:val="FFFFFF"/>
                <w:spacing w:val="-5"/>
                <w:sz w:val="17"/>
              </w:rPr>
              <w:t>(€)</w:t>
            </w:r>
          </w:p>
        </w:tc>
        <w:tc>
          <w:tcPr>
            <w:tcW w:w="1067" w:type="dxa"/>
            <w:vMerge/>
            <w:tcBorders>
              <w:top w:val="nil"/>
            </w:tcBorders>
            <w:shd w:val="clear" w:color="auto" w:fill="002D5D"/>
          </w:tcPr>
          <w:p>
            <w:pPr>
              <w:rPr>
                <w:sz w:val="2"/>
                <w:szCs w:val="2"/>
              </w:rPr>
            </w:pPr>
          </w:p>
        </w:tc>
      </w:tr>
      <w:tr>
        <w:trPr>
          <w:trHeight w:val="340" w:hRule="atLeast"/>
        </w:trPr>
        <w:tc>
          <w:tcPr>
            <w:tcW w:w="1356" w:type="dxa"/>
            <w:tcBorders>
              <w:bottom w:val="single" w:sz="4" w:space="0" w:color="001F5F"/>
            </w:tcBorders>
          </w:tcPr>
          <w:p>
            <w:pPr>
              <w:pStyle w:val="TableParagraph"/>
              <w:spacing w:before="73"/>
              <w:ind w:left="100"/>
              <w:rPr>
                <w:b/>
                <w:sz w:val="17"/>
              </w:rPr>
            </w:pPr>
            <w:r>
              <w:rPr>
                <w:b/>
                <w:spacing w:val="-2"/>
                <w:sz w:val="17"/>
              </w:rPr>
              <w:t>ALICANTE</w:t>
            </w:r>
          </w:p>
        </w:tc>
        <w:tc>
          <w:tcPr>
            <w:tcW w:w="699" w:type="dxa"/>
            <w:tcBorders>
              <w:bottom w:val="single" w:sz="4" w:space="0" w:color="001F5F"/>
            </w:tcBorders>
          </w:tcPr>
          <w:p>
            <w:pPr>
              <w:pStyle w:val="TableParagraph"/>
              <w:spacing w:before="73"/>
              <w:ind w:right="159"/>
              <w:jc w:val="center"/>
              <w:rPr>
                <w:sz w:val="17"/>
              </w:rPr>
            </w:pPr>
            <w:r>
              <w:rPr>
                <w:spacing w:val="-5"/>
                <w:sz w:val="17"/>
              </w:rPr>
              <w:t>23</w:t>
            </w:r>
          </w:p>
        </w:tc>
        <w:tc>
          <w:tcPr>
            <w:tcW w:w="451" w:type="dxa"/>
            <w:tcBorders>
              <w:bottom w:val="single" w:sz="4" w:space="0" w:color="001F5F"/>
            </w:tcBorders>
          </w:tcPr>
          <w:p>
            <w:pPr>
              <w:pStyle w:val="TableParagraph"/>
              <w:spacing w:before="73"/>
              <w:ind w:left="10"/>
              <w:jc w:val="center"/>
              <w:rPr>
                <w:sz w:val="17"/>
              </w:rPr>
            </w:pPr>
            <w:r>
              <w:rPr>
                <w:spacing w:val="-10"/>
                <w:sz w:val="17"/>
              </w:rPr>
              <w:t>0</w:t>
            </w:r>
          </w:p>
        </w:tc>
        <w:tc>
          <w:tcPr>
            <w:tcW w:w="614" w:type="dxa"/>
            <w:tcBorders>
              <w:bottom w:val="single" w:sz="4" w:space="0" w:color="001F5F"/>
            </w:tcBorders>
          </w:tcPr>
          <w:p>
            <w:pPr>
              <w:pStyle w:val="TableParagraph"/>
              <w:spacing w:before="73"/>
              <w:ind w:left="44"/>
              <w:jc w:val="center"/>
              <w:rPr>
                <w:sz w:val="17"/>
              </w:rPr>
            </w:pPr>
            <w:r>
              <w:rPr>
                <w:spacing w:val="-10"/>
                <w:sz w:val="17"/>
              </w:rPr>
              <w:t>0</w:t>
            </w:r>
          </w:p>
        </w:tc>
        <w:tc>
          <w:tcPr>
            <w:tcW w:w="857" w:type="dxa"/>
            <w:tcBorders>
              <w:bottom w:val="single" w:sz="4" w:space="0" w:color="001F5F"/>
            </w:tcBorders>
          </w:tcPr>
          <w:p>
            <w:pPr>
              <w:pStyle w:val="TableParagraph"/>
              <w:spacing w:before="73"/>
              <w:ind w:right="85"/>
              <w:jc w:val="center"/>
              <w:rPr>
                <w:sz w:val="17"/>
              </w:rPr>
            </w:pPr>
            <w:r>
              <w:rPr>
                <w:spacing w:val="-10"/>
                <w:sz w:val="17"/>
              </w:rPr>
              <w:t>0</w:t>
            </w:r>
          </w:p>
        </w:tc>
        <w:tc>
          <w:tcPr>
            <w:tcW w:w="1201" w:type="dxa"/>
            <w:tcBorders>
              <w:bottom w:val="single" w:sz="4" w:space="0" w:color="001F5F"/>
            </w:tcBorders>
          </w:tcPr>
          <w:p>
            <w:pPr>
              <w:pStyle w:val="TableParagraph"/>
              <w:spacing w:before="73"/>
              <w:ind w:right="79"/>
              <w:jc w:val="right"/>
              <w:rPr>
                <w:sz w:val="17"/>
              </w:rPr>
            </w:pPr>
            <w:r>
              <w:rPr>
                <w:spacing w:val="-2"/>
                <w:sz w:val="17"/>
              </w:rPr>
              <w:t>11.042.012,00</w:t>
            </w:r>
          </w:p>
        </w:tc>
        <w:tc>
          <w:tcPr>
            <w:tcW w:w="1256" w:type="dxa"/>
            <w:tcBorders>
              <w:bottom w:val="single" w:sz="4" w:space="0" w:color="001F5F"/>
            </w:tcBorders>
          </w:tcPr>
          <w:p>
            <w:pPr>
              <w:pStyle w:val="TableParagraph"/>
              <w:spacing w:before="73"/>
              <w:ind w:right="77"/>
              <w:jc w:val="right"/>
              <w:rPr>
                <w:sz w:val="17"/>
              </w:rPr>
            </w:pPr>
            <w:r>
              <w:rPr>
                <w:spacing w:val="-2"/>
                <w:sz w:val="17"/>
              </w:rPr>
              <w:t>4.981.444,16</w:t>
            </w:r>
          </w:p>
        </w:tc>
        <w:tc>
          <w:tcPr>
            <w:tcW w:w="1044" w:type="dxa"/>
            <w:tcBorders>
              <w:bottom w:val="single" w:sz="4" w:space="0" w:color="001F5F"/>
            </w:tcBorders>
          </w:tcPr>
          <w:p>
            <w:pPr>
              <w:pStyle w:val="TableParagraph"/>
              <w:spacing w:before="73"/>
              <w:ind w:left="83" w:right="76"/>
              <w:jc w:val="center"/>
              <w:rPr>
                <w:sz w:val="17"/>
              </w:rPr>
            </w:pPr>
            <w:r>
              <w:rPr>
                <w:spacing w:val="-2"/>
                <w:sz w:val="17"/>
              </w:rPr>
              <w:t>45,11</w:t>
            </w:r>
          </w:p>
        </w:tc>
        <w:tc>
          <w:tcPr>
            <w:tcW w:w="1154" w:type="dxa"/>
            <w:tcBorders>
              <w:bottom w:val="single" w:sz="4" w:space="0" w:color="001F5F"/>
            </w:tcBorders>
          </w:tcPr>
          <w:p>
            <w:pPr>
              <w:pStyle w:val="TableParagraph"/>
              <w:spacing w:before="66"/>
              <w:ind w:right="71"/>
              <w:jc w:val="right"/>
              <w:rPr>
                <w:sz w:val="17"/>
              </w:rPr>
            </w:pPr>
            <w:r>
              <w:rPr>
                <w:spacing w:val="-2"/>
                <w:sz w:val="17"/>
              </w:rPr>
              <w:t>8.512.012,00</w:t>
            </w:r>
          </w:p>
        </w:tc>
        <w:tc>
          <w:tcPr>
            <w:tcW w:w="1067" w:type="dxa"/>
            <w:tcBorders>
              <w:bottom w:val="single" w:sz="4" w:space="0" w:color="001F5F"/>
            </w:tcBorders>
          </w:tcPr>
          <w:p>
            <w:pPr>
              <w:pStyle w:val="TableParagraph"/>
              <w:spacing w:before="66"/>
              <w:ind w:right="99"/>
              <w:jc w:val="right"/>
              <w:rPr>
                <w:sz w:val="17"/>
              </w:rPr>
            </w:pPr>
            <w:r>
              <w:rPr>
                <w:spacing w:val="-2"/>
                <w:sz w:val="17"/>
              </w:rPr>
              <w:t>2.530.000,00</w:t>
            </w:r>
          </w:p>
        </w:tc>
      </w:tr>
      <w:tr>
        <w:trPr>
          <w:trHeight w:val="340" w:hRule="atLeast"/>
        </w:trPr>
        <w:tc>
          <w:tcPr>
            <w:tcW w:w="1356" w:type="dxa"/>
            <w:tcBorders>
              <w:top w:val="single" w:sz="4" w:space="0" w:color="001F5F"/>
              <w:bottom w:val="single" w:sz="4" w:space="0" w:color="001F5F"/>
            </w:tcBorders>
          </w:tcPr>
          <w:p>
            <w:pPr>
              <w:pStyle w:val="TableParagraph"/>
              <w:spacing w:before="71"/>
              <w:ind w:left="100"/>
              <w:rPr>
                <w:b/>
                <w:sz w:val="17"/>
              </w:rPr>
            </w:pPr>
            <w:r>
              <w:rPr>
                <w:b/>
                <w:spacing w:val="-2"/>
                <w:sz w:val="17"/>
              </w:rPr>
              <w:t>BILBAO</w:t>
            </w:r>
          </w:p>
        </w:tc>
        <w:tc>
          <w:tcPr>
            <w:tcW w:w="699" w:type="dxa"/>
            <w:tcBorders>
              <w:top w:val="single" w:sz="4" w:space="0" w:color="001F5F"/>
              <w:bottom w:val="single" w:sz="4" w:space="0" w:color="001F5F"/>
            </w:tcBorders>
          </w:tcPr>
          <w:p>
            <w:pPr>
              <w:pStyle w:val="TableParagraph"/>
              <w:spacing w:before="71"/>
              <w:ind w:right="159"/>
              <w:jc w:val="center"/>
              <w:rPr>
                <w:sz w:val="17"/>
              </w:rPr>
            </w:pPr>
            <w:r>
              <w:rPr>
                <w:spacing w:val="-5"/>
                <w:sz w:val="17"/>
              </w:rPr>
              <w:t>14</w:t>
            </w:r>
          </w:p>
        </w:tc>
        <w:tc>
          <w:tcPr>
            <w:tcW w:w="451" w:type="dxa"/>
            <w:tcBorders>
              <w:top w:val="single" w:sz="4" w:space="0" w:color="001F5F"/>
              <w:bottom w:val="single" w:sz="4" w:space="0" w:color="001F5F"/>
            </w:tcBorders>
          </w:tcPr>
          <w:p>
            <w:pPr>
              <w:pStyle w:val="TableParagraph"/>
              <w:spacing w:before="71"/>
              <w:ind w:left="10"/>
              <w:jc w:val="center"/>
              <w:rPr>
                <w:sz w:val="17"/>
              </w:rPr>
            </w:pPr>
            <w:r>
              <w:rPr>
                <w:spacing w:val="-10"/>
                <w:sz w:val="17"/>
              </w:rPr>
              <w:t>0</w:t>
            </w:r>
          </w:p>
        </w:tc>
        <w:tc>
          <w:tcPr>
            <w:tcW w:w="614" w:type="dxa"/>
            <w:tcBorders>
              <w:top w:val="single" w:sz="4" w:space="0" w:color="001F5F"/>
              <w:bottom w:val="single" w:sz="4" w:space="0" w:color="001F5F"/>
            </w:tcBorders>
          </w:tcPr>
          <w:p>
            <w:pPr>
              <w:pStyle w:val="TableParagraph"/>
              <w:spacing w:before="71"/>
              <w:ind w:left="44"/>
              <w:jc w:val="center"/>
              <w:rPr>
                <w:sz w:val="17"/>
              </w:rPr>
            </w:pPr>
            <w:r>
              <w:rPr>
                <w:spacing w:val="-10"/>
                <w:sz w:val="17"/>
              </w:rPr>
              <w:t>0</w:t>
            </w:r>
          </w:p>
        </w:tc>
        <w:tc>
          <w:tcPr>
            <w:tcW w:w="857" w:type="dxa"/>
            <w:tcBorders>
              <w:top w:val="single" w:sz="4" w:space="0" w:color="001F5F"/>
              <w:bottom w:val="single" w:sz="4" w:space="0" w:color="001F5F"/>
            </w:tcBorders>
          </w:tcPr>
          <w:p>
            <w:pPr>
              <w:pStyle w:val="TableParagraph"/>
              <w:spacing w:before="71"/>
              <w:ind w:right="85"/>
              <w:jc w:val="center"/>
              <w:rPr>
                <w:sz w:val="17"/>
              </w:rPr>
            </w:pPr>
            <w:r>
              <w:rPr>
                <w:spacing w:val="-10"/>
                <w:sz w:val="17"/>
              </w:rPr>
              <w:t>0</w:t>
            </w:r>
          </w:p>
        </w:tc>
        <w:tc>
          <w:tcPr>
            <w:tcW w:w="1201" w:type="dxa"/>
            <w:tcBorders>
              <w:top w:val="single" w:sz="4" w:space="0" w:color="001F5F"/>
              <w:bottom w:val="single" w:sz="4" w:space="0" w:color="001F5F"/>
            </w:tcBorders>
          </w:tcPr>
          <w:p>
            <w:pPr>
              <w:pStyle w:val="TableParagraph"/>
              <w:spacing w:before="71"/>
              <w:ind w:right="79"/>
              <w:jc w:val="right"/>
              <w:rPr>
                <w:sz w:val="17"/>
              </w:rPr>
            </w:pPr>
            <w:r>
              <w:rPr>
                <w:spacing w:val="-2"/>
                <w:sz w:val="17"/>
              </w:rPr>
              <w:t>6.580.883,58</w:t>
            </w:r>
          </w:p>
        </w:tc>
        <w:tc>
          <w:tcPr>
            <w:tcW w:w="1256" w:type="dxa"/>
            <w:tcBorders>
              <w:top w:val="single" w:sz="4" w:space="0" w:color="001F5F"/>
              <w:bottom w:val="single" w:sz="4" w:space="0" w:color="001F5F"/>
            </w:tcBorders>
          </w:tcPr>
          <w:p>
            <w:pPr>
              <w:pStyle w:val="TableParagraph"/>
              <w:spacing w:before="71"/>
              <w:ind w:right="77"/>
              <w:jc w:val="right"/>
              <w:rPr>
                <w:sz w:val="17"/>
              </w:rPr>
            </w:pPr>
            <w:r>
              <w:rPr>
                <w:spacing w:val="-2"/>
                <w:sz w:val="17"/>
              </w:rPr>
              <w:t>4.613.857,86</w:t>
            </w:r>
          </w:p>
        </w:tc>
        <w:tc>
          <w:tcPr>
            <w:tcW w:w="1044" w:type="dxa"/>
            <w:tcBorders>
              <w:top w:val="single" w:sz="4" w:space="0" w:color="001F5F"/>
              <w:bottom w:val="single" w:sz="4" w:space="0" w:color="001F5F"/>
            </w:tcBorders>
          </w:tcPr>
          <w:p>
            <w:pPr>
              <w:pStyle w:val="TableParagraph"/>
              <w:spacing w:before="71"/>
              <w:ind w:left="83" w:right="76"/>
              <w:jc w:val="center"/>
              <w:rPr>
                <w:sz w:val="17"/>
              </w:rPr>
            </w:pPr>
            <w:r>
              <w:rPr>
                <w:spacing w:val="-2"/>
                <w:sz w:val="17"/>
              </w:rPr>
              <w:t>70,11</w:t>
            </w:r>
          </w:p>
        </w:tc>
        <w:tc>
          <w:tcPr>
            <w:tcW w:w="1154" w:type="dxa"/>
            <w:tcBorders>
              <w:top w:val="single" w:sz="4" w:space="0" w:color="001F5F"/>
              <w:bottom w:val="single" w:sz="4" w:space="0" w:color="001F5F"/>
            </w:tcBorders>
          </w:tcPr>
          <w:p>
            <w:pPr>
              <w:pStyle w:val="TableParagraph"/>
              <w:spacing w:before="71"/>
              <w:ind w:right="71"/>
              <w:jc w:val="right"/>
              <w:rPr>
                <w:sz w:val="17"/>
              </w:rPr>
            </w:pPr>
            <w:r>
              <w:rPr>
                <w:spacing w:val="-2"/>
                <w:sz w:val="17"/>
              </w:rPr>
              <w:t>447.234,59</w:t>
            </w:r>
          </w:p>
        </w:tc>
        <w:tc>
          <w:tcPr>
            <w:tcW w:w="1067" w:type="dxa"/>
            <w:tcBorders>
              <w:top w:val="single" w:sz="4" w:space="0" w:color="001F5F"/>
              <w:bottom w:val="single" w:sz="4" w:space="0" w:color="001F5F"/>
            </w:tcBorders>
          </w:tcPr>
          <w:p>
            <w:pPr>
              <w:pStyle w:val="TableParagraph"/>
              <w:spacing w:before="71"/>
              <w:ind w:right="99"/>
              <w:jc w:val="right"/>
              <w:rPr>
                <w:sz w:val="17"/>
              </w:rPr>
            </w:pPr>
            <w:r>
              <w:rPr>
                <w:spacing w:val="-2"/>
                <w:sz w:val="17"/>
              </w:rPr>
              <w:t>6.133.648,99</w:t>
            </w:r>
          </w:p>
        </w:tc>
      </w:tr>
      <w:tr>
        <w:trPr>
          <w:trHeight w:val="340" w:hRule="atLeast"/>
        </w:trPr>
        <w:tc>
          <w:tcPr>
            <w:tcW w:w="1356" w:type="dxa"/>
            <w:tcBorders>
              <w:top w:val="single" w:sz="4" w:space="0" w:color="001F5F"/>
              <w:bottom w:val="single" w:sz="4" w:space="0" w:color="001F5F"/>
            </w:tcBorders>
          </w:tcPr>
          <w:p>
            <w:pPr>
              <w:pStyle w:val="TableParagraph"/>
              <w:spacing w:before="71"/>
              <w:ind w:left="100"/>
              <w:rPr>
                <w:b/>
                <w:sz w:val="17"/>
              </w:rPr>
            </w:pPr>
            <w:r>
              <w:rPr>
                <w:b/>
                <w:spacing w:val="-2"/>
                <w:sz w:val="17"/>
              </w:rPr>
              <w:t>CÓRDOBA</w:t>
            </w:r>
          </w:p>
        </w:tc>
        <w:tc>
          <w:tcPr>
            <w:tcW w:w="699" w:type="dxa"/>
            <w:tcBorders>
              <w:top w:val="single" w:sz="4" w:space="0" w:color="001F5F"/>
              <w:bottom w:val="single" w:sz="4" w:space="0" w:color="001F5F"/>
            </w:tcBorders>
          </w:tcPr>
          <w:p>
            <w:pPr>
              <w:pStyle w:val="TableParagraph"/>
              <w:spacing w:before="71"/>
              <w:ind w:right="77"/>
              <w:jc w:val="center"/>
              <w:rPr>
                <w:sz w:val="17"/>
              </w:rPr>
            </w:pPr>
            <w:r>
              <w:rPr>
                <w:spacing w:val="-10"/>
                <w:sz w:val="17"/>
              </w:rPr>
              <w:t>0</w:t>
            </w:r>
          </w:p>
        </w:tc>
        <w:tc>
          <w:tcPr>
            <w:tcW w:w="451" w:type="dxa"/>
            <w:tcBorders>
              <w:top w:val="single" w:sz="4" w:space="0" w:color="001F5F"/>
              <w:bottom w:val="single" w:sz="4" w:space="0" w:color="001F5F"/>
            </w:tcBorders>
          </w:tcPr>
          <w:p>
            <w:pPr>
              <w:pStyle w:val="TableParagraph"/>
              <w:spacing w:before="71"/>
              <w:ind w:left="10" w:right="80"/>
              <w:jc w:val="center"/>
              <w:rPr>
                <w:sz w:val="17"/>
              </w:rPr>
            </w:pPr>
            <w:r>
              <w:rPr>
                <w:spacing w:val="-5"/>
                <w:sz w:val="17"/>
              </w:rPr>
              <w:t>23</w:t>
            </w:r>
          </w:p>
        </w:tc>
        <w:tc>
          <w:tcPr>
            <w:tcW w:w="614" w:type="dxa"/>
            <w:tcBorders>
              <w:top w:val="single" w:sz="4" w:space="0" w:color="001F5F"/>
              <w:bottom w:val="single" w:sz="4" w:space="0" w:color="001F5F"/>
            </w:tcBorders>
          </w:tcPr>
          <w:p>
            <w:pPr>
              <w:pStyle w:val="TableParagraph"/>
              <w:spacing w:before="71"/>
              <w:ind w:left="44"/>
              <w:jc w:val="center"/>
              <w:rPr>
                <w:sz w:val="17"/>
              </w:rPr>
            </w:pPr>
            <w:r>
              <w:rPr>
                <w:spacing w:val="-10"/>
                <w:sz w:val="17"/>
              </w:rPr>
              <w:t>0</w:t>
            </w:r>
          </w:p>
        </w:tc>
        <w:tc>
          <w:tcPr>
            <w:tcW w:w="857" w:type="dxa"/>
            <w:tcBorders>
              <w:top w:val="single" w:sz="4" w:space="0" w:color="001F5F"/>
              <w:bottom w:val="single" w:sz="4" w:space="0" w:color="001F5F"/>
            </w:tcBorders>
          </w:tcPr>
          <w:p>
            <w:pPr>
              <w:pStyle w:val="TableParagraph"/>
              <w:spacing w:before="71"/>
              <w:ind w:right="85"/>
              <w:jc w:val="center"/>
              <w:rPr>
                <w:sz w:val="17"/>
              </w:rPr>
            </w:pPr>
            <w:r>
              <w:rPr>
                <w:spacing w:val="-10"/>
                <w:sz w:val="17"/>
              </w:rPr>
              <w:t>0</w:t>
            </w:r>
          </w:p>
        </w:tc>
        <w:tc>
          <w:tcPr>
            <w:tcW w:w="1201" w:type="dxa"/>
            <w:tcBorders>
              <w:top w:val="single" w:sz="4" w:space="0" w:color="001F5F"/>
              <w:bottom w:val="single" w:sz="4" w:space="0" w:color="001F5F"/>
            </w:tcBorders>
          </w:tcPr>
          <w:p>
            <w:pPr>
              <w:pStyle w:val="TableParagraph"/>
              <w:spacing w:before="71"/>
              <w:ind w:right="79"/>
              <w:jc w:val="right"/>
              <w:rPr>
                <w:sz w:val="17"/>
              </w:rPr>
            </w:pPr>
            <w:r>
              <w:rPr>
                <w:spacing w:val="-2"/>
                <w:sz w:val="17"/>
              </w:rPr>
              <w:t>7.755.000,00</w:t>
            </w:r>
          </w:p>
        </w:tc>
        <w:tc>
          <w:tcPr>
            <w:tcW w:w="1256" w:type="dxa"/>
            <w:tcBorders>
              <w:top w:val="single" w:sz="4" w:space="0" w:color="001F5F"/>
              <w:bottom w:val="single" w:sz="4" w:space="0" w:color="001F5F"/>
            </w:tcBorders>
          </w:tcPr>
          <w:p>
            <w:pPr>
              <w:pStyle w:val="TableParagraph"/>
              <w:spacing w:before="71"/>
              <w:ind w:right="77"/>
              <w:jc w:val="right"/>
              <w:rPr>
                <w:sz w:val="17"/>
              </w:rPr>
            </w:pPr>
            <w:r>
              <w:rPr>
                <w:spacing w:val="-2"/>
                <w:sz w:val="17"/>
              </w:rPr>
              <w:t>2.655.000,00</w:t>
            </w:r>
          </w:p>
        </w:tc>
        <w:tc>
          <w:tcPr>
            <w:tcW w:w="1044" w:type="dxa"/>
            <w:tcBorders>
              <w:top w:val="single" w:sz="4" w:space="0" w:color="001F5F"/>
              <w:bottom w:val="single" w:sz="4" w:space="0" w:color="001F5F"/>
            </w:tcBorders>
          </w:tcPr>
          <w:p>
            <w:pPr>
              <w:pStyle w:val="TableParagraph"/>
              <w:spacing w:before="71"/>
              <w:ind w:left="83" w:right="76"/>
              <w:jc w:val="center"/>
              <w:rPr>
                <w:sz w:val="17"/>
              </w:rPr>
            </w:pPr>
            <w:r>
              <w:rPr>
                <w:spacing w:val="-2"/>
                <w:sz w:val="17"/>
              </w:rPr>
              <w:t>34,24</w:t>
            </w:r>
          </w:p>
        </w:tc>
        <w:tc>
          <w:tcPr>
            <w:tcW w:w="1154" w:type="dxa"/>
            <w:tcBorders>
              <w:top w:val="single" w:sz="4" w:space="0" w:color="001F5F"/>
              <w:bottom w:val="single" w:sz="4" w:space="0" w:color="001F5F"/>
            </w:tcBorders>
          </w:tcPr>
          <w:p>
            <w:pPr>
              <w:pStyle w:val="TableParagraph"/>
              <w:spacing w:before="71"/>
              <w:ind w:right="71"/>
              <w:jc w:val="right"/>
              <w:rPr>
                <w:sz w:val="17"/>
              </w:rPr>
            </w:pPr>
            <w:r>
              <w:rPr>
                <w:spacing w:val="-2"/>
                <w:sz w:val="17"/>
              </w:rPr>
              <w:t>7.755.000,00</w:t>
            </w:r>
          </w:p>
        </w:tc>
        <w:tc>
          <w:tcPr>
            <w:tcW w:w="1067" w:type="dxa"/>
            <w:tcBorders>
              <w:top w:val="single" w:sz="4" w:space="0" w:color="001F5F"/>
              <w:bottom w:val="single" w:sz="4" w:space="0" w:color="001F5F"/>
            </w:tcBorders>
          </w:tcPr>
          <w:p>
            <w:pPr>
              <w:pStyle w:val="TableParagraph"/>
              <w:spacing w:before="71"/>
              <w:ind w:right="98"/>
              <w:jc w:val="right"/>
              <w:rPr>
                <w:sz w:val="17"/>
              </w:rPr>
            </w:pPr>
            <w:r>
              <w:rPr>
                <w:spacing w:val="-4"/>
                <w:sz w:val="17"/>
              </w:rPr>
              <w:t>0,00</w:t>
            </w:r>
          </w:p>
        </w:tc>
      </w:tr>
      <w:tr>
        <w:trPr>
          <w:trHeight w:val="388" w:hRule="atLeast"/>
        </w:trPr>
        <w:tc>
          <w:tcPr>
            <w:tcW w:w="1356" w:type="dxa"/>
            <w:tcBorders>
              <w:top w:val="single" w:sz="4" w:space="0" w:color="001F5F"/>
              <w:bottom w:val="single" w:sz="4" w:space="0" w:color="001F5F"/>
            </w:tcBorders>
          </w:tcPr>
          <w:p>
            <w:pPr>
              <w:pStyle w:val="TableParagraph"/>
              <w:spacing w:line="194" w:lineRule="exact"/>
              <w:ind w:left="100"/>
              <w:rPr>
                <w:b/>
                <w:sz w:val="17"/>
              </w:rPr>
            </w:pPr>
            <w:r>
              <w:rPr>
                <w:b/>
                <w:sz w:val="17"/>
              </w:rPr>
              <w:t>LAS</w:t>
            </w:r>
            <w:r>
              <w:rPr>
                <w:b/>
                <w:spacing w:val="-10"/>
                <w:sz w:val="17"/>
              </w:rPr>
              <w:t> </w:t>
            </w:r>
            <w:r>
              <w:rPr>
                <w:b/>
                <w:sz w:val="17"/>
              </w:rPr>
              <w:t>PALMAS</w:t>
            </w:r>
            <w:r>
              <w:rPr>
                <w:b/>
                <w:spacing w:val="-10"/>
                <w:sz w:val="17"/>
              </w:rPr>
              <w:t> </w:t>
            </w:r>
            <w:r>
              <w:rPr>
                <w:b/>
                <w:sz w:val="17"/>
              </w:rPr>
              <w:t>DE</w:t>
            </w:r>
            <w:r>
              <w:rPr>
                <w:b/>
                <w:spacing w:val="40"/>
                <w:sz w:val="17"/>
              </w:rPr>
              <w:t> </w:t>
            </w:r>
            <w:r>
              <w:rPr>
                <w:b/>
                <w:sz w:val="17"/>
              </w:rPr>
              <w:t>GRAN</w:t>
            </w:r>
            <w:r>
              <w:rPr>
                <w:b/>
                <w:spacing w:val="-2"/>
                <w:sz w:val="17"/>
              </w:rPr>
              <w:t> CANARIA</w:t>
            </w:r>
          </w:p>
        </w:tc>
        <w:tc>
          <w:tcPr>
            <w:tcW w:w="699" w:type="dxa"/>
            <w:tcBorders>
              <w:top w:val="single" w:sz="4" w:space="0" w:color="001F5F"/>
              <w:bottom w:val="single" w:sz="4" w:space="0" w:color="001F5F"/>
            </w:tcBorders>
          </w:tcPr>
          <w:p>
            <w:pPr>
              <w:pStyle w:val="TableParagraph"/>
              <w:spacing w:before="97"/>
              <w:ind w:right="158"/>
              <w:jc w:val="center"/>
              <w:rPr>
                <w:sz w:val="17"/>
              </w:rPr>
            </w:pPr>
            <w:r>
              <w:rPr>
                <w:spacing w:val="-5"/>
                <w:sz w:val="17"/>
              </w:rPr>
              <w:t>14</w:t>
            </w:r>
          </w:p>
        </w:tc>
        <w:tc>
          <w:tcPr>
            <w:tcW w:w="451" w:type="dxa"/>
            <w:tcBorders>
              <w:top w:val="single" w:sz="4" w:space="0" w:color="001F5F"/>
              <w:bottom w:val="single" w:sz="4" w:space="0" w:color="001F5F"/>
            </w:tcBorders>
          </w:tcPr>
          <w:p>
            <w:pPr>
              <w:pStyle w:val="TableParagraph"/>
              <w:spacing w:before="97"/>
              <w:ind w:left="10"/>
              <w:jc w:val="center"/>
              <w:rPr>
                <w:sz w:val="17"/>
              </w:rPr>
            </w:pPr>
            <w:r>
              <w:rPr>
                <w:spacing w:val="-10"/>
                <w:sz w:val="17"/>
              </w:rPr>
              <w:t>0</w:t>
            </w:r>
          </w:p>
        </w:tc>
        <w:tc>
          <w:tcPr>
            <w:tcW w:w="614" w:type="dxa"/>
            <w:tcBorders>
              <w:top w:val="single" w:sz="4" w:space="0" w:color="001F5F"/>
              <w:bottom w:val="single" w:sz="4" w:space="0" w:color="001F5F"/>
            </w:tcBorders>
          </w:tcPr>
          <w:p>
            <w:pPr>
              <w:pStyle w:val="TableParagraph"/>
              <w:spacing w:before="97"/>
              <w:ind w:left="44"/>
              <w:jc w:val="center"/>
              <w:rPr>
                <w:sz w:val="17"/>
              </w:rPr>
            </w:pPr>
            <w:r>
              <w:rPr>
                <w:spacing w:val="-10"/>
                <w:sz w:val="17"/>
              </w:rPr>
              <w:t>0</w:t>
            </w:r>
          </w:p>
        </w:tc>
        <w:tc>
          <w:tcPr>
            <w:tcW w:w="857" w:type="dxa"/>
            <w:tcBorders>
              <w:top w:val="single" w:sz="4" w:space="0" w:color="001F5F"/>
              <w:bottom w:val="single" w:sz="4" w:space="0" w:color="001F5F"/>
            </w:tcBorders>
          </w:tcPr>
          <w:p>
            <w:pPr>
              <w:pStyle w:val="TableParagraph"/>
              <w:spacing w:before="97"/>
              <w:ind w:right="85"/>
              <w:jc w:val="center"/>
              <w:rPr>
                <w:sz w:val="17"/>
              </w:rPr>
            </w:pPr>
            <w:r>
              <w:rPr>
                <w:spacing w:val="-10"/>
                <w:sz w:val="17"/>
              </w:rPr>
              <w:t>1</w:t>
            </w:r>
          </w:p>
        </w:tc>
        <w:tc>
          <w:tcPr>
            <w:tcW w:w="1201" w:type="dxa"/>
            <w:tcBorders>
              <w:top w:val="single" w:sz="4" w:space="0" w:color="001F5F"/>
              <w:bottom w:val="single" w:sz="4" w:space="0" w:color="001F5F"/>
            </w:tcBorders>
          </w:tcPr>
          <w:p>
            <w:pPr>
              <w:pStyle w:val="TableParagraph"/>
              <w:spacing w:before="97"/>
              <w:ind w:right="79"/>
              <w:jc w:val="right"/>
              <w:rPr>
                <w:sz w:val="17"/>
              </w:rPr>
            </w:pPr>
            <w:r>
              <w:rPr>
                <w:spacing w:val="-2"/>
                <w:sz w:val="17"/>
              </w:rPr>
              <w:t>8.399.000,00</w:t>
            </w:r>
          </w:p>
        </w:tc>
        <w:tc>
          <w:tcPr>
            <w:tcW w:w="1256" w:type="dxa"/>
            <w:tcBorders>
              <w:top w:val="single" w:sz="4" w:space="0" w:color="001F5F"/>
              <w:bottom w:val="single" w:sz="4" w:space="0" w:color="001F5F"/>
            </w:tcBorders>
          </w:tcPr>
          <w:p>
            <w:pPr>
              <w:pStyle w:val="TableParagraph"/>
              <w:spacing w:before="97"/>
              <w:ind w:right="77"/>
              <w:jc w:val="right"/>
              <w:rPr>
                <w:sz w:val="17"/>
              </w:rPr>
            </w:pPr>
            <w:r>
              <w:rPr>
                <w:spacing w:val="-2"/>
                <w:sz w:val="17"/>
              </w:rPr>
              <w:t>2.749.000,00</w:t>
            </w:r>
          </w:p>
        </w:tc>
        <w:tc>
          <w:tcPr>
            <w:tcW w:w="1044" w:type="dxa"/>
            <w:tcBorders>
              <w:top w:val="single" w:sz="4" w:space="0" w:color="001F5F"/>
              <w:bottom w:val="single" w:sz="4" w:space="0" w:color="001F5F"/>
            </w:tcBorders>
          </w:tcPr>
          <w:p>
            <w:pPr>
              <w:pStyle w:val="TableParagraph"/>
              <w:spacing w:before="97"/>
              <w:ind w:left="83" w:right="76"/>
              <w:jc w:val="center"/>
              <w:rPr>
                <w:sz w:val="17"/>
              </w:rPr>
            </w:pPr>
            <w:r>
              <w:rPr>
                <w:spacing w:val="-2"/>
                <w:sz w:val="17"/>
              </w:rPr>
              <w:t>32,73</w:t>
            </w:r>
          </w:p>
        </w:tc>
        <w:tc>
          <w:tcPr>
            <w:tcW w:w="1154" w:type="dxa"/>
            <w:tcBorders>
              <w:top w:val="single" w:sz="4" w:space="0" w:color="001F5F"/>
              <w:bottom w:val="single" w:sz="4" w:space="0" w:color="001F5F"/>
            </w:tcBorders>
          </w:tcPr>
          <w:p>
            <w:pPr>
              <w:pStyle w:val="TableParagraph"/>
              <w:spacing w:before="97"/>
              <w:ind w:right="71"/>
              <w:jc w:val="right"/>
              <w:rPr>
                <w:sz w:val="17"/>
              </w:rPr>
            </w:pPr>
            <w:r>
              <w:rPr>
                <w:spacing w:val="-2"/>
                <w:sz w:val="17"/>
              </w:rPr>
              <w:t>5.924.900,00</w:t>
            </w:r>
          </w:p>
        </w:tc>
        <w:tc>
          <w:tcPr>
            <w:tcW w:w="1067" w:type="dxa"/>
            <w:tcBorders>
              <w:top w:val="single" w:sz="4" w:space="0" w:color="001F5F"/>
              <w:bottom w:val="single" w:sz="4" w:space="0" w:color="001F5F"/>
            </w:tcBorders>
          </w:tcPr>
          <w:p>
            <w:pPr>
              <w:pStyle w:val="TableParagraph"/>
              <w:spacing w:before="97"/>
              <w:ind w:right="99"/>
              <w:jc w:val="right"/>
              <w:rPr>
                <w:sz w:val="17"/>
              </w:rPr>
            </w:pPr>
            <w:r>
              <w:rPr>
                <w:spacing w:val="-2"/>
                <w:sz w:val="17"/>
              </w:rPr>
              <w:t>2.474.100,00</w:t>
            </w:r>
          </w:p>
        </w:tc>
      </w:tr>
      <w:tr>
        <w:trPr>
          <w:trHeight w:val="340" w:hRule="atLeast"/>
        </w:trPr>
        <w:tc>
          <w:tcPr>
            <w:tcW w:w="1356" w:type="dxa"/>
            <w:tcBorders>
              <w:top w:val="single" w:sz="4" w:space="0" w:color="001F5F"/>
              <w:bottom w:val="single" w:sz="4" w:space="0" w:color="001F5F"/>
            </w:tcBorders>
          </w:tcPr>
          <w:p>
            <w:pPr>
              <w:pStyle w:val="TableParagraph"/>
              <w:spacing w:before="73"/>
              <w:ind w:left="100"/>
              <w:rPr>
                <w:b/>
                <w:position w:val="4"/>
                <w:sz w:val="11"/>
              </w:rPr>
            </w:pPr>
            <w:r>
              <w:rPr>
                <w:b/>
                <w:spacing w:val="-2"/>
                <w:sz w:val="17"/>
              </w:rPr>
              <w:t>MÁLAGA</w:t>
            </w:r>
            <w:hyperlink w:history="true" w:anchor="_bookmark53">
              <w:r>
                <w:rPr>
                  <w:b/>
                  <w:spacing w:val="-2"/>
                  <w:position w:val="4"/>
                  <w:sz w:val="11"/>
                </w:rPr>
                <w:t>30</w:t>
              </w:r>
            </w:hyperlink>
          </w:p>
        </w:tc>
        <w:tc>
          <w:tcPr>
            <w:tcW w:w="699" w:type="dxa"/>
            <w:tcBorders>
              <w:top w:val="single" w:sz="4" w:space="0" w:color="001F5F"/>
              <w:bottom w:val="single" w:sz="4" w:space="0" w:color="001F5F"/>
            </w:tcBorders>
          </w:tcPr>
          <w:p>
            <w:pPr>
              <w:pStyle w:val="TableParagraph"/>
              <w:spacing w:before="73"/>
              <w:ind w:right="158"/>
              <w:jc w:val="center"/>
              <w:rPr>
                <w:sz w:val="17"/>
              </w:rPr>
            </w:pPr>
            <w:r>
              <w:rPr>
                <w:spacing w:val="-5"/>
                <w:sz w:val="17"/>
              </w:rPr>
              <w:t>44</w:t>
            </w:r>
          </w:p>
        </w:tc>
        <w:tc>
          <w:tcPr>
            <w:tcW w:w="451" w:type="dxa"/>
            <w:tcBorders>
              <w:top w:val="single" w:sz="4" w:space="0" w:color="001F5F"/>
              <w:bottom w:val="single" w:sz="4" w:space="0" w:color="001F5F"/>
            </w:tcBorders>
          </w:tcPr>
          <w:p>
            <w:pPr>
              <w:pStyle w:val="TableParagraph"/>
              <w:spacing w:before="73"/>
              <w:ind w:left="10"/>
              <w:jc w:val="center"/>
              <w:rPr>
                <w:sz w:val="17"/>
              </w:rPr>
            </w:pPr>
            <w:r>
              <w:rPr>
                <w:spacing w:val="-10"/>
                <w:sz w:val="17"/>
              </w:rPr>
              <w:t>0</w:t>
            </w:r>
          </w:p>
        </w:tc>
        <w:tc>
          <w:tcPr>
            <w:tcW w:w="614" w:type="dxa"/>
            <w:tcBorders>
              <w:top w:val="single" w:sz="4" w:space="0" w:color="001F5F"/>
              <w:bottom w:val="single" w:sz="4" w:space="0" w:color="001F5F"/>
            </w:tcBorders>
          </w:tcPr>
          <w:p>
            <w:pPr>
              <w:pStyle w:val="TableParagraph"/>
              <w:spacing w:before="73"/>
              <w:ind w:left="44" w:right="79"/>
              <w:jc w:val="center"/>
              <w:rPr>
                <w:sz w:val="17"/>
              </w:rPr>
            </w:pPr>
            <w:r>
              <w:rPr>
                <w:spacing w:val="-5"/>
                <w:sz w:val="17"/>
              </w:rPr>
              <w:t>22</w:t>
            </w:r>
          </w:p>
        </w:tc>
        <w:tc>
          <w:tcPr>
            <w:tcW w:w="857" w:type="dxa"/>
            <w:tcBorders>
              <w:top w:val="single" w:sz="4" w:space="0" w:color="001F5F"/>
              <w:bottom w:val="single" w:sz="4" w:space="0" w:color="001F5F"/>
            </w:tcBorders>
          </w:tcPr>
          <w:p>
            <w:pPr>
              <w:pStyle w:val="TableParagraph"/>
              <w:spacing w:before="73"/>
              <w:ind w:right="85"/>
              <w:jc w:val="center"/>
              <w:rPr>
                <w:sz w:val="17"/>
              </w:rPr>
            </w:pPr>
            <w:r>
              <w:rPr>
                <w:spacing w:val="-10"/>
                <w:sz w:val="17"/>
              </w:rPr>
              <w:t>0</w:t>
            </w:r>
          </w:p>
        </w:tc>
        <w:tc>
          <w:tcPr>
            <w:tcW w:w="1201" w:type="dxa"/>
            <w:tcBorders>
              <w:top w:val="single" w:sz="4" w:space="0" w:color="001F5F"/>
              <w:bottom w:val="single" w:sz="4" w:space="0" w:color="001F5F"/>
            </w:tcBorders>
          </w:tcPr>
          <w:p>
            <w:pPr>
              <w:pStyle w:val="TableParagraph"/>
              <w:spacing w:before="73"/>
              <w:ind w:right="79"/>
              <w:jc w:val="right"/>
              <w:rPr>
                <w:sz w:val="17"/>
              </w:rPr>
            </w:pPr>
            <w:r>
              <w:rPr>
                <w:spacing w:val="-2"/>
                <w:sz w:val="17"/>
              </w:rPr>
              <w:t>34.680.870,00</w:t>
            </w:r>
          </w:p>
        </w:tc>
        <w:tc>
          <w:tcPr>
            <w:tcW w:w="1256" w:type="dxa"/>
            <w:tcBorders>
              <w:top w:val="single" w:sz="4" w:space="0" w:color="001F5F"/>
              <w:bottom w:val="single" w:sz="4" w:space="0" w:color="001F5F"/>
            </w:tcBorders>
          </w:tcPr>
          <w:p>
            <w:pPr>
              <w:pStyle w:val="TableParagraph"/>
              <w:spacing w:before="73"/>
              <w:ind w:right="77"/>
              <w:jc w:val="right"/>
              <w:rPr>
                <w:sz w:val="17"/>
              </w:rPr>
            </w:pPr>
            <w:r>
              <w:rPr>
                <w:spacing w:val="-2"/>
                <w:sz w:val="17"/>
              </w:rPr>
              <w:t>19.623.500,00</w:t>
            </w:r>
          </w:p>
        </w:tc>
        <w:tc>
          <w:tcPr>
            <w:tcW w:w="1044" w:type="dxa"/>
            <w:tcBorders>
              <w:top w:val="single" w:sz="4" w:space="0" w:color="001F5F"/>
              <w:bottom w:val="single" w:sz="4" w:space="0" w:color="001F5F"/>
            </w:tcBorders>
          </w:tcPr>
          <w:p>
            <w:pPr>
              <w:pStyle w:val="TableParagraph"/>
              <w:spacing w:before="73"/>
              <w:ind w:left="83" w:right="76"/>
              <w:jc w:val="center"/>
              <w:rPr>
                <w:sz w:val="17"/>
              </w:rPr>
            </w:pPr>
            <w:r>
              <w:rPr>
                <w:spacing w:val="-2"/>
                <w:sz w:val="17"/>
              </w:rPr>
              <w:t>56,58</w:t>
            </w:r>
          </w:p>
        </w:tc>
        <w:tc>
          <w:tcPr>
            <w:tcW w:w="1154" w:type="dxa"/>
            <w:tcBorders>
              <w:top w:val="single" w:sz="4" w:space="0" w:color="001F5F"/>
              <w:bottom w:val="single" w:sz="4" w:space="0" w:color="001F5F"/>
            </w:tcBorders>
          </w:tcPr>
          <w:p>
            <w:pPr>
              <w:pStyle w:val="TableParagraph"/>
              <w:spacing w:before="73"/>
              <w:ind w:right="71"/>
              <w:jc w:val="right"/>
              <w:rPr>
                <w:sz w:val="17"/>
              </w:rPr>
            </w:pPr>
            <w:r>
              <w:rPr>
                <w:spacing w:val="-2"/>
                <w:sz w:val="17"/>
              </w:rPr>
              <w:t>27.180.870,00</w:t>
            </w:r>
          </w:p>
        </w:tc>
        <w:tc>
          <w:tcPr>
            <w:tcW w:w="1067" w:type="dxa"/>
            <w:tcBorders>
              <w:top w:val="single" w:sz="4" w:space="0" w:color="001F5F"/>
              <w:bottom w:val="single" w:sz="4" w:space="0" w:color="001F5F"/>
            </w:tcBorders>
          </w:tcPr>
          <w:p>
            <w:pPr>
              <w:pStyle w:val="TableParagraph"/>
              <w:spacing w:before="73"/>
              <w:ind w:right="99"/>
              <w:jc w:val="right"/>
              <w:rPr>
                <w:sz w:val="17"/>
              </w:rPr>
            </w:pPr>
            <w:r>
              <w:rPr>
                <w:spacing w:val="-2"/>
                <w:sz w:val="17"/>
              </w:rPr>
              <w:t>7.500.000,00</w:t>
            </w:r>
          </w:p>
        </w:tc>
      </w:tr>
      <w:tr>
        <w:trPr>
          <w:trHeight w:val="340" w:hRule="atLeast"/>
        </w:trPr>
        <w:tc>
          <w:tcPr>
            <w:tcW w:w="1356" w:type="dxa"/>
            <w:tcBorders>
              <w:top w:val="single" w:sz="4" w:space="0" w:color="001F5F"/>
              <w:bottom w:val="single" w:sz="4" w:space="0" w:color="001F5F"/>
            </w:tcBorders>
          </w:tcPr>
          <w:p>
            <w:pPr>
              <w:pStyle w:val="TableParagraph"/>
              <w:spacing w:before="73"/>
              <w:ind w:left="100"/>
              <w:rPr>
                <w:b/>
                <w:sz w:val="17"/>
              </w:rPr>
            </w:pPr>
            <w:r>
              <w:rPr>
                <w:b/>
                <w:spacing w:val="-2"/>
                <w:sz w:val="17"/>
              </w:rPr>
              <w:t>MURCIA</w:t>
            </w:r>
          </w:p>
        </w:tc>
        <w:tc>
          <w:tcPr>
            <w:tcW w:w="699" w:type="dxa"/>
            <w:tcBorders>
              <w:top w:val="single" w:sz="4" w:space="0" w:color="001F5F"/>
              <w:bottom w:val="single" w:sz="4" w:space="0" w:color="001F5F"/>
            </w:tcBorders>
          </w:tcPr>
          <w:p>
            <w:pPr>
              <w:pStyle w:val="TableParagraph"/>
              <w:spacing w:before="73"/>
              <w:ind w:right="77"/>
              <w:jc w:val="center"/>
              <w:rPr>
                <w:sz w:val="17"/>
              </w:rPr>
            </w:pPr>
            <w:r>
              <w:rPr>
                <w:spacing w:val="-10"/>
                <w:sz w:val="17"/>
              </w:rPr>
              <w:t>0</w:t>
            </w:r>
          </w:p>
        </w:tc>
        <w:tc>
          <w:tcPr>
            <w:tcW w:w="451" w:type="dxa"/>
            <w:tcBorders>
              <w:top w:val="single" w:sz="4" w:space="0" w:color="001F5F"/>
              <w:bottom w:val="single" w:sz="4" w:space="0" w:color="001F5F"/>
            </w:tcBorders>
          </w:tcPr>
          <w:p>
            <w:pPr>
              <w:pStyle w:val="TableParagraph"/>
              <w:spacing w:before="73"/>
              <w:ind w:left="10"/>
              <w:jc w:val="center"/>
              <w:rPr>
                <w:sz w:val="17"/>
              </w:rPr>
            </w:pPr>
            <w:r>
              <w:rPr>
                <w:spacing w:val="-10"/>
                <w:sz w:val="17"/>
              </w:rPr>
              <w:t>0</w:t>
            </w:r>
          </w:p>
        </w:tc>
        <w:tc>
          <w:tcPr>
            <w:tcW w:w="614" w:type="dxa"/>
            <w:tcBorders>
              <w:top w:val="single" w:sz="4" w:space="0" w:color="001F5F"/>
              <w:bottom w:val="single" w:sz="4" w:space="0" w:color="001F5F"/>
            </w:tcBorders>
          </w:tcPr>
          <w:p>
            <w:pPr>
              <w:pStyle w:val="TableParagraph"/>
              <w:spacing w:before="73"/>
              <w:ind w:left="44"/>
              <w:jc w:val="center"/>
              <w:rPr>
                <w:sz w:val="17"/>
              </w:rPr>
            </w:pPr>
            <w:r>
              <w:rPr>
                <w:spacing w:val="-10"/>
                <w:sz w:val="17"/>
              </w:rPr>
              <w:t>0</w:t>
            </w:r>
          </w:p>
        </w:tc>
        <w:tc>
          <w:tcPr>
            <w:tcW w:w="857" w:type="dxa"/>
            <w:tcBorders>
              <w:top w:val="single" w:sz="4" w:space="0" w:color="001F5F"/>
              <w:bottom w:val="single" w:sz="4" w:space="0" w:color="001F5F"/>
            </w:tcBorders>
          </w:tcPr>
          <w:p>
            <w:pPr>
              <w:pStyle w:val="TableParagraph"/>
              <w:spacing w:before="73"/>
              <w:ind w:right="85"/>
              <w:jc w:val="center"/>
              <w:rPr>
                <w:sz w:val="17"/>
              </w:rPr>
            </w:pPr>
            <w:r>
              <w:rPr>
                <w:spacing w:val="-10"/>
                <w:sz w:val="17"/>
              </w:rPr>
              <w:t>0</w:t>
            </w:r>
          </w:p>
        </w:tc>
        <w:tc>
          <w:tcPr>
            <w:tcW w:w="1201" w:type="dxa"/>
            <w:tcBorders>
              <w:top w:val="single" w:sz="4" w:space="0" w:color="001F5F"/>
              <w:bottom w:val="single" w:sz="4" w:space="0" w:color="001F5F"/>
            </w:tcBorders>
          </w:tcPr>
          <w:p>
            <w:pPr>
              <w:pStyle w:val="TableParagraph"/>
              <w:spacing w:before="73"/>
              <w:ind w:right="78"/>
              <w:jc w:val="right"/>
              <w:rPr>
                <w:sz w:val="17"/>
              </w:rPr>
            </w:pPr>
            <w:r>
              <w:rPr>
                <w:spacing w:val="-4"/>
                <w:sz w:val="17"/>
              </w:rPr>
              <w:t>0,00</w:t>
            </w:r>
          </w:p>
        </w:tc>
        <w:tc>
          <w:tcPr>
            <w:tcW w:w="1256" w:type="dxa"/>
            <w:tcBorders>
              <w:top w:val="single" w:sz="4" w:space="0" w:color="001F5F"/>
              <w:bottom w:val="single" w:sz="4" w:space="0" w:color="001F5F"/>
            </w:tcBorders>
          </w:tcPr>
          <w:p>
            <w:pPr>
              <w:pStyle w:val="TableParagraph"/>
              <w:spacing w:before="73"/>
              <w:ind w:right="77"/>
              <w:jc w:val="right"/>
              <w:rPr>
                <w:sz w:val="17"/>
              </w:rPr>
            </w:pPr>
            <w:r>
              <w:rPr>
                <w:spacing w:val="-4"/>
                <w:sz w:val="17"/>
              </w:rPr>
              <w:t>0,00</w:t>
            </w:r>
          </w:p>
        </w:tc>
        <w:tc>
          <w:tcPr>
            <w:tcW w:w="1044" w:type="dxa"/>
            <w:tcBorders>
              <w:top w:val="single" w:sz="4" w:space="0" w:color="001F5F"/>
              <w:bottom w:val="single" w:sz="4" w:space="0" w:color="001F5F"/>
            </w:tcBorders>
          </w:tcPr>
          <w:p>
            <w:pPr>
              <w:pStyle w:val="TableParagraph"/>
              <w:spacing w:before="73"/>
              <w:ind w:left="83"/>
              <w:jc w:val="center"/>
              <w:rPr>
                <w:sz w:val="17"/>
              </w:rPr>
            </w:pPr>
            <w:r>
              <w:rPr>
                <w:spacing w:val="-4"/>
                <w:sz w:val="17"/>
              </w:rPr>
              <w:t>0,00</w:t>
            </w:r>
          </w:p>
        </w:tc>
        <w:tc>
          <w:tcPr>
            <w:tcW w:w="1154" w:type="dxa"/>
            <w:tcBorders>
              <w:top w:val="single" w:sz="4" w:space="0" w:color="001F5F"/>
              <w:bottom w:val="single" w:sz="4" w:space="0" w:color="001F5F"/>
            </w:tcBorders>
          </w:tcPr>
          <w:p>
            <w:pPr>
              <w:pStyle w:val="TableParagraph"/>
              <w:spacing w:before="73"/>
              <w:ind w:right="71"/>
              <w:jc w:val="right"/>
              <w:rPr>
                <w:sz w:val="17"/>
              </w:rPr>
            </w:pPr>
            <w:r>
              <w:rPr>
                <w:spacing w:val="-4"/>
                <w:sz w:val="17"/>
              </w:rPr>
              <w:t>0,00</w:t>
            </w:r>
          </w:p>
        </w:tc>
        <w:tc>
          <w:tcPr>
            <w:tcW w:w="1067" w:type="dxa"/>
            <w:tcBorders>
              <w:top w:val="single" w:sz="4" w:space="0" w:color="001F5F"/>
              <w:bottom w:val="single" w:sz="4" w:space="0" w:color="001F5F"/>
            </w:tcBorders>
          </w:tcPr>
          <w:p>
            <w:pPr>
              <w:pStyle w:val="TableParagraph"/>
              <w:spacing w:before="73"/>
              <w:ind w:right="98"/>
              <w:jc w:val="right"/>
              <w:rPr>
                <w:sz w:val="17"/>
              </w:rPr>
            </w:pPr>
            <w:r>
              <w:rPr>
                <w:spacing w:val="-4"/>
                <w:sz w:val="17"/>
              </w:rPr>
              <w:t>0,00</w:t>
            </w:r>
          </w:p>
        </w:tc>
      </w:tr>
      <w:tr>
        <w:trPr>
          <w:trHeight w:val="340" w:hRule="atLeast"/>
        </w:trPr>
        <w:tc>
          <w:tcPr>
            <w:tcW w:w="1356" w:type="dxa"/>
            <w:tcBorders>
              <w:top w:val="single" w:sz="4" w:space="0" w:color="001F5F"/>
              <w:bottom w:val="single" w:sz="4" w:space="0" w:color="001F5F"/>
            </w:tcBorders>
          </w:tcPr>
          <w:p>
            <w:pPr>
              <w:pStyle w:val="TableParagraph"/>
              <w:spacing w:before="71"/>
              <w:ind w:left="100"/>
              <w:rPr>
                <w:b/>
                <w:sz w:val="17"/>
              </w:rPr>
            </w:pPr>
            <w:r>
              <w:rPr>
                <w:b/>
                <w:spacing w:val="-2"/>
                <w:sz w:val="17"/>
              </w:rPr>
              <w:t>PALMA</w:t>
            </w:r>
          </w:p>
        </w:tc>
        <w:tc>
          <w:tcPr>
            <w:tcW w:w="699" w:type="dxa"/>
            <w:tcBorders>
              <w:top w:val="single" w:sz="4" w:space="0" w:color="001F5F"/>
              <w:bottom w:val="single" w:sz="4" w:space="0" w:color="001F5F"/>
            </w:tcBorders>
          </w:tcPr>
          <w:p>
            <w:pPr>
              <w:pStyle w:val="TableParagraph"/>
              <w:spacing w:before="71"/>
              <w:ind w:right="159"/>
              <w:jc w:val="center"/>
              <w:rPr>
                <w:sz w:val="17"/>
              </w:rPr>
            </w:pPr>
            <w:r>
              <w:rPr>
                <w:spacing w:val="-5"/>
                <w:sz w:val="17"/>
              </w:rPr>
              <w:t>12</w:t>
            </w:r>
          </w:p>
        </w:tc>
        <w:tc>
          <w:tcPr>
            <w:tcW w:w="451" w:type="dxa"/>
            <w:tcBorders>
              <w:top w:val="single" w:sz="4" w:space="0" w:color="001F5F"/>
              <w:bottom w:val="single" w:sz="4" w:space="0" w:color="001F5F"/>
            </w:tcBorders>
          </w:tcPr>
          <w:p>
            <w:pPr>
              <w:pStyle w:val="TableParagraph"/>
              <w:spacing w:before="71"/>
              <w:ind w:left="10" w:right="80"/>
              <w:jc w:val="center"/>
              <w:rPr>
                <w:sz w:val="17"/>
              </w:rPr>
            </w:pPr>
            <w:r>
              <w:rPr>
                <w:spacing w:val="-5"/>
                <w:sz w:val="17"/>
              </w:rPr>
              <w:t>44</w:t>
            </w:r>
          </w:p>
        </w:tc>
        <w:tc>
          <w:tcPr>
            <w:tcW w:w="614" w:type="dxa"/>
            <w:tcBorders>
              <w:top w:val="single" w:sz="4" w:space="0" w:color="001F5F"/>
              <w:bottom w:val="single" w:sz="4" w:space="0" w:color="001F5F"/>
            </w:tcBorders>
          </w:tcPr>
          <w:p>
            <w:pPr>
              <w:pStyle w:val="TableParagraph"/>
              <w:spacing w:before="71"/>
              <w:ind w:left="44"/>
              <w:jc w:val="center"/>
              <w:rPr>
                <w:sz w:val="17"/>
              </w:rPr>
            </w:pPr>
            <w:r>
              <w:rPr>
                <w:spacing w:val="-10"/>
                <w:sz w:val="17"/>
              </w:rPr>
              <w:t>0</w:t>
            </w:r>
          </w:p>
        </w:tc>
        <w:tc>
          <w:tcPr>
            <w:tcW w:w="857" w:type="dxa"/>
            <w:tcBorders>
              <w:top w:val="single" w:sz="4" w:space="0" w:color="001F5F"/>
              <w:bottom w:val="single" w:sz="4" w:space="0" w:color="001F5F"/>
            </w:tcBorders>
          </w:tcPr>
          <w:p>
            <w:pPr>
              <w:pStyle w:val="TableParagraph"/>
              <w:spacing w:before="71"/>
              <w:ind w:right="85"/>
              <w:jc w:val="center"/>
              <w:rPr>
                <w:sz w:val="17"/>
              </w:rPr>
            </w:pPr>
            <w:r>
              <w:rPr>
                <w:spacing w:val="-10"/>
                <w:sz w:val="17"/>
              </w:rPr>
              <w:t>5</w:t>
            </w:r>
          </w:p>
        </w:tc>
        <w:tc>
          <w:tcPr>
            <w:tcW w:w="1201" w:type="dxa"/>
            <w:tcBorders>
              <w:top w:val="single" w:sz="4" w:space="0" w:color="001F5F"/>
              <w:bottom w:val="single" w:sz="4" w:space="0" w:color="001F5F"/>
            </w:tcBorders>
          </w:tcPr>
          <w:p>
            <w:pPr>
              <w:pStyle w:val="TableParagraph"/>
              <w:spacing w:before="71"/>
              <w:ind w:right="79"/>
              <w:jc w:val="right"/>
              <w:rPr>
                <w:sz w:val="17"/>
              </w:rPr>
            </w:pPr>
            <w:r>
              <w:rPr>
                <w:spacing w:val="-2"/>
                <w:sz w:val="17"/>
              </w:rPr>
              <w:t>29.236.600,00</w:t>
            </w:r>
          </w:p>
        </w:tc>
        <w:tc>
          <w:tcPr>
            <w:tcW w:w="1256" w:type="dxa"/>
            <w:tcBorders>
              <w:top w:val="single" w:sz="4" w:space="0" w:color="001F5F"/>
              <w:bottom w:val="single" w:sz="4" w:space="0" w:color="001F5F"/>
            </w:tcBorders>
          </w:tcPr>
          <w:p>
            <w:pPr>
              <w:pStyle w:val="TableParagraph"/>
              <w:spacing w:before="71"/>
              <w:ind w:right="77"/>
              <w:jc w:val="right"/>
              <w:rPr>
                <w:sz w:val="17"/>
              </w:rPr>
            </w:pPr>
            <w:r>
              <w:rPr>
                <w:spacing w:val="-2"/>
                <w:sz w:val="17"/>
              </w:rPr>
              <w:t>19.106.600,00</w:t>
            </w:r>
          </w:p>
        </w:tc>
        <w:tc>
          <w:tcPr>
            <w:tcW w:w="1044" w:type="dxa"/>
            <w:tcBorders>
              <w:top w:val="single" w:sz="4" w:space="0" w:color="001F5F"/>
              <w:bottom w:val="single" w:sz="4" w:space="0" w:color="001F5F"/>
            </w:tcBorders>
          </w:tcPr>
          <w:p>
            <w:pPr>
              <w:pStyle w:val="TableParagraph"/>
              <w:spacing w:before="71"/>
              <w:ind w:left="83" w:right="76"/>
              <w:jc w:val="center"/>
              <w:rPr>
                <w:sz w:val="17"/>
              </w:rPr>
            </w:pPr>
            <w:r>
              <w:rPr>
                <w:spacing w:val="-2"/>
                <w:sz w:val="17"/>
              </w:rPr>
              <w:t>65,35</w:t>
            </w:r>
          </w:p>
        </w:tc>
        <w:tc>
          <w:tcPr>
            <w:tcW w:w="1154" w:type="dxa"/>
            <w:tcBorders>
              <w:top w:val="single" w:sz="4" w:space="0" w:color="001F5F"/>
              <w:bottom w:val="single" w:sz="4" w:space="0" w:color="001F5F"/>
            </w:tcBorders>
          </w:tcPr>
          <w:p>
            <w:pPr>
              <w:pStyle w:val="TableParagraph"/>
              <w:spacing w:before="71"/>
              <w:ind w:right="71"/>
              <w:jc w:val="right"/>
              <w:rPr>
                <w:sz w:val="17"/>
              </w:rPr>
            </w:pPr>
            <w:r>
              <w:rPr>
                <w:spacing w:val="-2"/>
                <w:sz w:val="17"/>
              </w:rPr>
              <w:t>22.363.240,00</w:t>
            </w:r>
          </w:p>
        </w:tc>
        <w:tc>
          <w:tcPr>
            <w:tcW w:w="1067" w:type="dxa"/>
            <w:tcBorders>
              <w:top w:val="single" w:sz="4" w:space="0" w:color="001F5F"/>
              <w:bottom w:val="single" w:sz="4" w:space="0" w:color="001F5F"/>
            </w:tcBorders>
          </w:tcPr>
          <w:p>
            <w:pPr>
              <w:pStyle w:val="TableParagraph"/>
              <w:spacing w:before="71"/>
              <w:ind w:right="99"/>
              <w:jc w:val="right"/>
              <w:rPr>
                <w:sz w:val="17"/>
              </w:rPr>
            </w:pPr>
            <w:r>
              <w:rPr>
                <w:spacing w:val="-2"/>
                <w:sz w:val="17"/>
              </w:rPr>
              <w:t>6.873.360,00</w:t>
            </w:r>
          </w:p>
        </w:tc>
      </w:tr>
      <w:tr>
        <w:trPr>
          <w:trHeight w:val="340" w:hRule="atLeast"/>
        </w:trPr>
        <w:tc>
          <w:tcPr>
            <w:tcW w:w="1356" w:type="dxa"/>
            <w:tcBorders>
              <w:top w:val="single" w:sz="4" w:space="0" w:color="001F5F"/>
              <w:bottom w:val="single" w:sz="4" w:space="0" w:color="001F5F"/>
            </w:tcBorders>
          </w:tcPr>
          <w:p>
            <w:pPr>
              <w:pStyle w:val="TableParagraph"/>
              <w:spacing w:before="71"/>
              <w:ind w:left="100"/>
              <w:rPr>
                <w:b/>
                <w:sz w:val="17"/>
              </w:rPr>
            </w:pPr>
            <w:r>
              <w:rPr>
                <w:b/>
                <w:spacing w:val="-2"/>
                <w:sz w:val="17"/>
              </w:rPr>
              <w:t>SEVILLA</w:t>
            </w:r>
          </w:p>
        </w:tc>
        <w:tc>
          <w:tcPr>
            <w:tcW w:w="699" w:type="dxa"/>
            <w:tcBorders>
              <w:top w:val="single" w:sz="4" w:space="0" w:color="001F5F"/>
              <w:bottom w:val="single" w:sz="4" w:space="0" w:color="001F5F"/>
            </w:tcBorders>
          </w:tcPr>
          <w:p>
            <w:pPr>
              <w:pStyle w:val="TableParagraph"/>
              <w:spacing w:before="71"/>
              <w:ind w:right="159"/>
              <w:jc w:val="center"/>
              <w:rPr>
                <w:sz w:val="17"/>
              </w:rPr>
            </w:pPr>
            <w:r>
              <w:rPr>
                <w:spacing w:val="-5"/>
                <w:sz w:val="17"/>
              </w:rPr>
              <w:t>37</w:t>
            </w:r>
          </w:p>
        </w:tc>
        <w:tc>
          <w:tcPr>
            <w:tcW w:w="451" w:type="dxa"/>
            <w:tcBorders>
              <w:top w:val="single" w:sz="4" w:space="0" w:color="001F5F"/>
              <w:bottom w:val="single" w:sz="4" w:space="0" w:color="001F5F"/>
            </w:tcBorders>
          </w:tcPr>
          <w:p>
            <w:pPr>
              <w:pStyle w:val="TableParagraph"/>
              <w:spacing w:before="71"/>
              <w:ind w:left="10" w:right="80"/>
              <w:jc w:val="center"/>
              <w:rPr>
                <w:sz w:val="17"/>
              </w:rPr>
            </w:pPr>
            <w:r>
              <w:rPr>
                <w:spacing w:val="-5"/>
                <w:sz w:val="17"/>
              </w:rPr>
              <w:t>17</w:t>
            </w:r>
          </w:p>
        </w:tc>
        <w:tc>
          <w:tcPr>
            <w:tcW w:w="614" w:type="dxa"/>
            <w:tcBorders>
              <w:top w:val="single" w:sz="4" w:space="0" w:color="001F5F"/>
              <w:bottom w:val="single" w:sz="4" w:space="0" w:color="001F5F"/>
            </w:tcBorders>
          </w:tcPr>
          <w:p>
            <w:pPr>
              <w:pStyle w:val="TableParagraph"/>
              <w:spacing w:before="71"/>
              <w:ind w:left="44"/>
              <w:jc w:val="center"/>
              <w:rPr>
                <w:sz w:val="17"/>
              </w:rPr>
            </w:pPr>
            <w:r>
              <w:rPr>
                <w:spacing w:val="-10"/>
                <w:sz w:val="17"/>
              </w:rPr>
              <w:t>0</w:t>
            </w:r>
          </w:p>
        </w:tc>
        <w:tc>
          <w:tcPr>
            <w:tcW w:w="857" w:type="dxa"/>
            <w:tcBorders>
              <w:top w:val="single" w:sz="4" w:space="0" w:color="001F5F"/>
              <w:bottom w:val="single" w:sz="4" w:space="0" w:color="001F5F"/>
            </w:tcBorders>
          </w:tcPr>
          <w:p>
            <w:pPr>
              <w:pStyle w:val="TableParagraph"/>
              <w:spacing w:before="71"/>
              <w:ind w:right="85"/>
              <w:jc w:val="center"/>
              <w:rPr>
                <w:sz w:val="17"/>
              </w:rPr>
            </w:pPr>
            <w:r>
              <w:rPr>
                <w:spacing w:val="-10"/>
                <w:sz w:val="17"/>
              </w:rPr>
              <w:t>0</w:t>
            </w:r>
          </w:p>
        </w:tc>
        <w:tc>
          <w:tcPr>
            <w:tcW w:w="1201" w:type="dxa"/>
            <w:tcBorders>
              <w:top w:val="single" w:sz="4" w:space="0" w:color="001F5F"/>
              <w:bottom w:val="single" w:sz="4" w:space="0" w:color="001F5F"/>
            </w:tcBorders>
          </w:tcPr>
          <w:p>
            <w:pPr>
              <w:pStyle w:val="TableParagraph"/>
              <w:spacing w:before="71"/>
              <w:ind w:right="79"/>
              <w:jc w:val="right"/>
              <w:rPr>
                <w:sz w:val="17"/>
              </w:rPr>
            </w:pPr>
            <w:r>
              <w:rPr>
                <w:spacing w:val="-2"/>
                <w:sz w:val="17"/>
              </w:rPr>
              <w:t>30.137.172,00</w:t>
            </w:r>
          </w:p>
        </w:tc>
        <w:tc>
          <w:tcPr>
            <w:tcW w:w="1256" w:type="dxa"/>
            <w:tcBorders>
              <w:top w:val="single" w:sz="4" w:space="0" w:color="001F5F"/>
              <w:bottom w:val="single" w:sz="4" w:space="0" w:color="001F5F"/>
            </w:tcBorders>
          </w:tcPr>
          <w:p>
            <w:pPr>
              <w:pStyle w:val="TableParagraph"/>
              <w:spacing w:before="71"/>
              <w:ind w:right="77"/>
              <w:jc w:val="right"/>
              <w:rPr>
                <w:sz w:val="17"/>
              </w:rPr>
            </w:pPr>
            <w:r>
              <w:rPr>
                <w:spacing w:val="-2"/>
                <w:sz w:val="17"/>
              </w:rPr>
              <w:t>21.275.572,00</w:t>
            </w:r>
          </w:p>
        </w:tc>
        <w:tc>
          <w:tcPr>
            <w:tcW w:w="1044" w:type="dxa"/>
            <w:tcBorders>
              <w:top w:val="single" w:sz="4" w:space="0" w:color="001F5F"/>
              <w:bottom w:val="single" w:sz="4" w:space="0" w:color="001F5F"/>
            </w:tcBorders>
          </w:tcPr>
          <w:p>
            <w:pPr>
              <w:pStyle w:val="TableParagraph"/>
              <w:spacing w:before="71"/>
              <w:ind w:left="83" w:right="76"/>
              <w:jc w:val="center"/>
              <w:rPr>
                <w:sz w:val="17"/>
              </w:rPr>
            </w:pPr>
            <w:r>
              <w:rPr>
                <w:spacing w:val="-2"/>
                <w:sz w:val="17"/>
              </w:rPr>
              <w:t>70,60</w:t>
            </w:r>
          </w:p>
        </w:tc>
        <w:tc>
          <w:tcPr>
            <w:tcW w:w="1154" w:type="dxa"/>
            <w:tcBorders>
              <w:top w:val="single" w:sz="4" w:space="0" w:color="001F5F"/>
              <w:bottom w:val="single" w:sz="4" w:space="0" w:color="001F5F"/>
            </w:tcBorders>
          </w:tcPr>
          <w:p>
            <w:pPr>
              <w:pStyle w:val="TableParagraph"/>
              <w:spacing w:before="71"/>
              <w:ind w:right="71"/>
              <w:jc w:val="right"/>
              <w:rPr>
                <w:sz w:val="17"/>
              </w:rPr>
            </w:pPr>
            <w:r>
              <w:rPr>
                <w:spacing w:val="-2"/>
                <w:sz w:val="17"/>
              </w:rPr>
              <w:t>24.157.172,00</w:t>
            </w:r>
          </w:p>
        </w:tc>
        <w:tc>
          <w:tcPr>
            <w:tcW w:w="1067" w:type="dxa"/>
            <w:tcBorders>
              <w:top w:val="single" w:sz="4" w:space="0" w:color="001F5F"/>
              <w:bottom w:val="single" w:sz="4" w:space="0" w:color="001F5F"/>
            </w:tcBorders>
          </w:tcPr>
          <w:p>
            <w:pPr>
              <w:pStyle w:val="TableParagraph"/>
              <w:spacing w:before="71"/>
              <w:ind w:right="99"/>
              <w:jc w:val="right"/>
              <w:rPr>
                <w:sz w:val="17"/>
              </w:rPr>
            </w:pPr>
            <w:r>
              <w:rPr>
                <w:spacing w:val="-2"/>
                <w:sz w:val="17"/>
              </w:rPr>
              <w:t>5.980.000,00</w:t>
            </w:r>
          </w:p>
        </w:tc>
      </w:tr>
      <w:tr>
        <w:trPr>
          <w:trHeight w:val="340" w:hRule="atLeast"/>
        </w:trPr>
        <w:tc>
          <w:tcPr>
            <w:tcW w:w="1356" w:type="dxa"/>
            <w:tcBorders>
              <w:top w:val="single" w:sz="4" w:space="0" w:color="001F5F"/>
            </w:tcBorders>
          </w:tcPr>
          <w:p>
            <w:pPr>
              <w:pStyle w:val="TableParagraph"/>
              <w:spacing w:before="71"/>
              <w:ind w:left="100"/>
              <w:rPr>
                <w:b/>
                <w:sz w:val="17"/>
              </w:rPr>
            </w:pPr>
            <w:r>
              <w:rPr>
                <w:b/>
                <w:spacing w:val="-2"/>
                <w:sz w:val="17"/>
              </w:rPr>
              <w:t>ZARAGOZA</w:t>
            </w:r>
          </w:p>
        </w:tc>
        <w:tc>
          <w:tcPr>
            <w:tcW w:w="699" w:type="dxa"/>
            <w:tcBorders>
              <w:top w:val="single" w:sz="4" w:space="0" w:color="001F5F"/>
            </w:tcBorders>
          </w:tcPr>
          <w:p>
            <w:pPr>
              <w:pStyle w:val="TableParagraph"/>
              <w:spacing w:before="71"/>
              <w:ind w:right="236"/>
              <w:jc w:val="center"/>
              <w:rPr>
                <w:sz w:val="17"/>
              </w:rPr>
            </w:pPr>
            <w:r>
              <w:rPr>
                <w:spacing w:val="-5"/>
                <w:sz w:val="17"/>
              </w:rPr>
              <w:t>108</w:t>
            </w:r>
          </w:p>
        </w:tc>
        <w:tc>
          <w:tcPr>
            <w:tcW w:w="451" w:type="dxa"/>
            <w:tcBorders>
              <w:top w:val="single" w:sz="4" w:space="0" w:color="001F5F"/>
            </w:tcBorders>
          </w:tcPr>
          <w:p>
            <w:pPr>
              <w:pStyle w:val="TableParagraph"/>
              <w:spacing w:before="71"/>
              <w:ind w:left="10"/>
              <w:jc w:val="center"/>
              <w:rPr>
                <w:sz w:val="17"/>
              </w:rPr>
            </w:pPr>
            <w:r>
              <w:rPr>
                <w:spacing w:val="-10"/>
                <w:sz w:val="17"/>
              </w:rPr>
              <w:t>0</w:t>
            </w:r>
          </w:p>
        </w:tc>
        <w:tc>
          <w:tcPr>
            <w:tcW w:w="614" w:type="dxa"/>
            <w:tcBorders>
              <w:top w:val="single" w:sz="4" w:space="0" w:color="001F5F"/>
            </w:tcBorders>
          </w:tcPr>
          <w:p>
            <w:pPr>
              <w:pStyle w:val="TableParagraph"/>
              <w:spacing w:before="71"/>
              <w:ind w:left="44"/>
              <w:jc w:val="center"/>
              <w:rPr>
                <w:sz w:val="17"/>
              </w:rPr>
            </w:pPr>
            <w:r>
              <w:rPr>
                <w:spacing w:val="-10"/>
                <w:sz w:val="17"/>
              </w:rPr>
              <w:t>0</w:t>
            </w:r>
          </w:p>
        </w:tc>
        <w:tc>
          <w:tcPr>
            <w:tcW w:w="857" w:type="dxa"/>
            <w:tcBorders>
              <w:top w:val="single" w:sz="4" w:space="0" w:color="001F5F"/>
            </w:tcBorders>
          </w:tcPr>
          <w:p>
            <w:pPr>
              <w:pStyle w:val="TableParagraph"/>
              <w:spacing w:before="71"/>
              <w:ind w:right="85"/>
              <w:jc w:val="center"/>
              <w:rPr>
                <w:sz w:val="17"/>
              </w:rPr>
            </w:pPr>
            <w:r>
              <w:rPr>
                <w:spacing w:val="-10"/>
                <w:sz w:val="17"/>
              </w:rPr>
              <w:t>0</w:t>
            </w:r>
          </w:p>
        </w:tc>
        <w:tc>
          <w:tcPr>
            <w:tcW w:w="1201" w:type="dxa"/>
            <w:tcBorders>
              <w:top w:val="single" w:sz="4" w:space="0" w:color="001F5F"/>
            </w:tcBorders>
          </w:tcPr>
          <w:p>
            <w:pPr>
              <w:pStyle w:val="TableParagraph"/>
              <w:spacing w:before="71"/>
              <w:ind w:right="79"/>
              <w:jc w:val="right"/>
              <w:rPr>
                <w:sz w:val="17"/>
              </w:rPr>
            </w:pPr>
            <w:r>
              <w:rPr>
                <w:spacing w:val="-2"/>
                <w:sz w:val="17"/>
              </w:rPr>
              <w:t>66.790.035,83</w:t>
            </w:r>
          </w:p>
        </w:tc>
        <w:tc>
          <w:tcPr>
            <w:tcW w:w="1256" w:type="dxa"/>
            <w:tcBorders>
              <w:top w:val="single" w:sz="4" w:space="0" w:color="001F5F"/>
            </w:tcBorders>
          </w:tcPr>
          <w:p>
            <w:pPr>
              <w:pStyle w:val="TableParagraph"/>
              <w:spacing w:before="71"/>
              <w:ind w:right="77"/>
              <w:jc w:val="right"/>
              <w:rPr>
                <w:sz w:val="17"/>
              </w:rPr>
            </w:pPr>
            <w:r>
              <w:rPr>
                <w:spacing w:val="-2"/>
                <w:sz w:val="17"/>
              </w:rPr>
              <w:t>40.687.766,00</w:t>
            </w:r>
          </w:p>
        </w:tc>
        <w:tc>
          <w:tcPr>
            <w:tcW w:w="1044" w:type="dxa"/>
            <w:tcBorders>
              <w:top w:val="single" w:sz="4" w:space="0" w:color="001F5F"/>
            </w:tcBorders>
          </w:tcPr>
          <w:p>
            <w:pPr>
              <w:pStyle w:val="TableParagraph"/>
              <w:spacing w:before="71"/>
              <w:ind w:left="83" w:right="76"/>
              <w:jc w:val="center"/>
              <w:rPr>
                <w:sz w:val="17"/>
              </w:rPr>
            </w:pPr>
            <w:r>
              <w:rPr>
                <w:spacing w:val="-2"/>
                <w:sz w:val="17"/>
              </w:rPr>
              <w:t>60,92</w:t>
            </w:r>
          </w:p>
        </w:tc>
        <w:tc>
          <w:tcPr>
            <w:tcW w:w="1154" w:type="dxa"/>
            <w:tcBorders>
              <w:top w:val="single" w:sz="4" w:space="0" w:color="001F5F"/>
            </w:tcBorders>
          </w:tcPr>
          <w:p>
            <w:pPr>
              <w:pStyle w:val="TableParagraph"/>
              <w:spacing w:before="71"/>
              <w:ind w:right="71"/>
              <w:jc w:val="right"/>
              <w:rPr>
                <w:sz w:val="17"/>
              </w:rPr>
            </w:pPr>
            <w:r>
              <w:rPr>
                <w:spacing w:val="-2"/>
                <w:sz w:val="17"/>
              </w:rPr>
              <w:t>43.270.035,83</w:t>
            </w:r>
          </w:p>
        </w:tc>
        <w:tc>
          <w:tcPr>
            <w:tcW w:w="1067" w:type="dxa"/>
            <w:tcBorders>
              <w:top w:val="single" w:sz="4" w:space="0" w:color="001F5F"/>
            </w:tcBorders>
          </w:tcPr>
          <w:p>
            <w:pPr>
              <w:pStyle w:val="TableParagraph"/>
              <w:spacing w:before="71"/>
              <w:ind w:right="99"/>
              <w:jc w:val="right"/>
              <w:rPr>
                <w:sz w:val="17"/>
              </w:rPr>
            </w:pPr>
            <w:r>
              <w:rPr>
                <w:spacing w:val="-2"/>
                <w:sz w:val="17"/>
              </w:rPr>
              <w:t>23.520.000,00</w:t>
            </w:r>
          </w:p>
        </w:tc>
      </w:tr>
      <w:tr>
        <w:trPr>
          <w:trHeight w:val="357" w:hRule="atLeast"/>
        </w:trPr>
        <w:tc>
          <w:tcPr>
            <w:tcW w:w="1356" w:type="dxa"/>
            <w:shd w:val="clear" w:color="auto" w:fill="002D5D"/>
          </w:tcPr>
          <w:p>
            <w:pPr>
              <w:pStyle w:val="TableParagraph"/>
              <w:spacing w:before="80"/>
              <w:ind w:left="100"/>
              <w:rPr>
                <w:b/>
                <w:sz w:val="17"/>
              </w:rPr>
            </w:pPr>
            <w:r>
              <w:rPr>
                <w:b/>
                <w:color w:val="FFFFFF"/>
                <w:spacing w:val="-2"/>
                <w:sz w:val="17"/>
              </w:rPr>
              <w:t>TOTAL</w:t>
            </w:r>
          </w:p>
        </w:tc>
        <w:tc>
          <w:tcPr>
            <w:tcW w:w="699" w:type="dxa"/>
            <w:shd w:val="clear" w:color="auto" w:fill="002D5D"/>
          </w:tcPr>
          <w:p>
            <w:pPr>
              <w:pStyle w:val="TableParagraph"/>
              <w:spacing w:before="80"/>
              <w:ind w:left="1" w:right="236"/>
              <w:jc w:val="center"/>
              <w:rPr>
                <w:b/>
                <w:sz w:val="17"/>
              </w:rPr>
            </w:pPr>
            <w:r>
              <w:rPr>
                <w:b/>
                <w:color w:val="FFFFFF"/>
                <w:spacing w:val="-5"/>
                <w:sz w:val="17"/>
              </w:rPr>
              <w:t>252</w:t>
            </w:r>
          </w:p>
        </w:tc>
        <w:tc>
          <w:tcPr>
            <w:tcW w:w="451" w:type="dxa"/>
            <w:shd w:val="clear" w:color="auto" w:fill="002D5D"/>
          </w:tcPr>
          <w:p>
            <w:pPr>
              <w:pStyle w:val="TableParagraph"/>
              <w:spacing w:before="80"/>
              <w:ind w:left="10" w:right="80"/>
              <w:jc w:val="center"/>
              <w:rPr>
                <w:b/>
                <w:sz w:val="17"/>
              </w:rPr>
            </w:pPr>
            <w:r>
              <w:rPr>
                <w:b/>
                <w:color w:val="FFFFFF"/>
                <w:spacing w:val="-5"/>
                <w:sz w:val="17"/>
              </w:rPr>
              <w:t>84</w:t>
            </w:r>
          </w:p>
        </w:tc>
        <w:tc>
          <w:tcPr>
            <w:tcW w:w="614" w:type="dxa"/>
            <w:shd w:val="clear" w:color="auto" w:fill="002D5D"/>
          </w:tcPr>
          <w:p>
            <w:pPr>
              <w:pStyle w:val="TableParagraph"/>
              <w:spacing w:before="80"/>
              <w:ind w:left="44" w:right="79"/>
              <w:jc w:val="center"/>
              <w:rPr>
                <w:b/>
                <w:sz w:val="17"/>
              </w:rPr>
            </w:pPr>
            <w:r>
              <w:rPr>
                <w:b/>
                <w:color w:val="FFFFFF"/>
                <w:spacing w:val="-5"/>
                <w:sz w:val="17"/>
              </w:rPr>
              <w:t>22</w:t>
            </w:r>
          </w:p>
        </w:tc>
        <w:tc>
          <w:tcPr>
            <w:tcW w:w="857" w:type="dxa"/>
            <w:shd w:val="clear" w:color="auto" w:fill="002D5D"/>
          </w:tcPr>
          <w:p>
            <w:pPr>
              <w:pStyle w:val="TableParagraph"/>
              <w:spacing w:before="80"/>
              <w:ind w:right="85"/>
              <w:jc w:val="center"/>
              <w:rPr>
                <w:b/>
                <w:sz w:val="17"/>
              </w:rPr>
            </w:pPr>
            <w:r>
              <w:rPr>
                <w:b/>
                <w:color w:val="FFFFFF"/>
                <w:spacing w:val="-10"/>
                <w:sz w:val="17"/>
              </w:rPr>
              <w:t>6</w:t>
            </w:r>
          </w:p>
        </w:tc>
        <w:tc>
          <w:tcPr>
            <w:tcW w:w="1201" w:type="dxa"/>
            <w:shd w:val="clear" w:color="auto" w:fill="002D5D"/>
          </w:tcPr>
          <w:p>
            <w:pPr>
              <w:pStyle w:val="TableParagraph"/>
              <w:spacing w:before="80"/>
              <w:ind w:right="79"/>
              <w:jc w:val="right"/>
              <w:rPr>
                <w:b/>
                <w:sz w:val="17"/>
              </w:rPr>
            </w:pPr>
            <w:r>
              <w:rPr>
                <w:b/>
                <w:color w:val="FFFFFF"/>
                <w:spacing w:val="-2"/>
                <w:sz w:val="17"/>
              </w:rPr>
              <w:t>194.621.573,41</w:t>
            </w:r>
          </w:p>
        </w:tc>
        <w:tc>
          <w:tcPr>
            <w:tcW w:w="1256" w:type="dxa"/>
            <w:shd w:val="clear" w:color="auto" w:fill="002D5D"/>
          </w:tcPr>
          <w:p>
            <w:pPr>
              <w:pStyle w:val="TableParagraph"/>
              <w:spacing w:before="80"/>
              <w:ind w:right="77"/>
              <w:jc w:val="right"/>
              <w:rPr>
                <w:b/>
                <w:sz w:val="17"/>
              </w:rPr>
            </w:pPr>
            <w:r>
              <w:rPr>
                <w:b/>
                <w:color w:val="FFFFFF"/>
                <w:spacing w:val="-2"/>
                <w:sz w:val="17"/>
              </w:rPr>
              <w:t>115.692.740,02</w:t>
            </w:r>
          </w:p>
        </w:tc>
        <w:tc>
          <w:tcPr>
            <w:tcW w:w="1044" w:type="dxa"/>
            <w:shd w:val="clear" w:color="auto" w:fill="002D5D"/>
          </w:tcPr>
          <w:p>
            <w:pPr>
              <w:pStyle w:val="TableParagraph"/>
              <w:rPr>
                <w:rFonts w:ascii="Times New Roman"/>
                <w:sz w:val="18"/>
              </w:rPr>
            </w:pPr>
          </w:p>
        </w:tc>
        <w:tc>
          <w:tcPr>
            <w:tcW w:w="1154" w:type="dxa"/>
            <w:shd w:val="clear" w:color="auto" w:fill="002D5D"/>
          </w:tcPr>
          <w:p>
            <w:pPr>
              <w:pStyle w:val="TableParagraph"/>
              <w:spacing w:before="80"/>
              <w:ind w:right="71"/>
              <w:jc w:val="right"/>
              <w:rPr>
                <w:b/>
                <w:sz w:val="17"/>
              </w:rPr>
            </w:pPr>
            <w:r>
              <w:rPr>
                <w:b/>
                <w:color w:val="FFFFFF"/>
                <w:spacing w:val="-2"/>
                <w:sz w:val="17"/>
              </w:rPr>
              <w:t>139.610.464,42</w:t>
            </w:r>
          </w:p>
        </w:tc>
        <w:tc>
          <w:tcPr>
            <w:tcW w:w="1067" w:type="dxa"/>
            <w:shd w:val="clear" w:color="auto" w:fill="002D5D"/>
          </w:tcPr>
          <w:p>
            <w:pPr>
              <w:pStyle w:val="TableParagraph"/>
              <w:spacing w:before="80"/>
              <w:ind w:right="102"/>
              <w:jc w:val="right"/>
              <w:rPr>
                <w:b/>
                <w:sz w:val="17"/>
              </w:rPr>
            </w:pPr>
            <w:r>
              <w:rPr>
                <w:b/>
                <w:color w:val="FFFFFF"/>
                <w:spacing w:val="-2"/>
                <w:sz w:val="17"/>
              </w:rPr>
              <w:t>55.011.108,99</w:t>
            </w:r>
          </w:p>
        </w:tc>
      </w:tr>
      <w:tr>
        <w:trPr>
          <w:trHeight w:val="273" w:hRule="atLeast"/>
        </w:trPr>
        <w:tc>
          <w:tcPr>
            <w:tcW w:w="6434" w:type="dxa"/>
            <w:gridSpan w:val="7"/>
          </w:tcPr>
          <w:p>
            <w:pPr>
              <w:pStyle w:val="TableParagraph"/>
              <w:spacing w:line="187" w:lineRule="exact" w:before="66"/>
              <w:ind w:left="100"/>
              <w:rPr>
                <w:sz w:val="18"/>
              </w:rPr>
            </w:pPr>
            <w:r>
              <w:rPr>
                <w:sz w:val="18"/>
              </w:rPr>
              <w:t>Fuente:</w:t>
            </w:r>
            <w:r>
              <w:rPr>
                <w:spacing w:val="-5"/>
                <w:sz w:val="18"/>
              </w:rPr>
              <w:t> </w:t>
            </w:r>
            <w:r>
              <w:rPr>
                <w:sz w:val="18"/>
              </w:rPr>
              <w:t>Elaboración</w:t>
            </w:r>
            <w:r>
              <w:rPr>
                <w:spacing w:val="-3"/>
                <w:sz w:val="18"/>
              </w:rPr>
              <w:t> </w:t>
            </w:r>
            <w:r>
              <w:rPr>
                <w:sz w:val="18"/>
              </w:rPr>
              <w:t>propia</w:t>
            </w:r>
            <w:r>
              <w:rPr>
                <w:spacing w:val="-2"/>
                <w:sz w:val="18"/>
              </w:rPr>
              <w:t> </w:t>
            </w:r>
            <w:r>
              <w:rPr>
                <w:sz w:val="18"/>
              </w:rPr>
              <w:t>a</w:t>
            </w:r>
            <w:r>
              <w:rPr>
                <w:spacing w:val="-2"/>
                <w:sz w:val="18"/>
              </w:rPr>
              <w:t> </w:t>
            </w:r>
            <w:r>
              <w:rPr>
                <w:sz w:val="18"/>
              </w:rPr>
              <w:t>partir</w:t>
            </w:r>
            <w:r>
              <w:rPr>
                <w:spacing w:val="-1"/>
                <w:sz w:val="18"/>
              </w:rPr>
              <w:t> </w:t>
            </w:r>
            <w:r>
              <w:rPr>
                <w:sz w:val="18"/>
              </w:rPr>
              <w:t>de</w:t>
            </w:r>
            <w:r>
              <w:rPr>
                <w:spacing w:val="-3"/>
                <w:sz w:val="18"/>
              </w:rPr>
              <w:t> </w:t>
            </w:r>
            <w:r>
              <w:rPr>
                <w:sz w:val="18"/>
              </w:rPr>
              <w:t>los</w:t>
            </w:r>
            <w:r>
              <w:rPr>
                <w:spacing w:val="-3"/>
                <w:sz w:val="18"/>
              </w:rPr>
              <w:t> </w:t>
            </w:r>
            <w:r>
              <w:rPr>
                <w:sz w:val="18"/>
              </w:rPr>
              <w:t>datos</w:t>
            </w:r>
            <w:r>
              <w:rPr>
                <w:spacing w:val="-2"/>
                <w:sz w:val="18"/>
              </w:rPr>
              <w:t> </w:t>
            </w:r>
            <w:r>
              <w:rPr>
                <w:sz w:val="18"/>
              </w:rPr>
              <w:t>facilitados</w:t>
            </w:r>
            <w:r>
              <w:rPr>
                <w:spacing w:val="-2"/>
                <w:sz w:val="18"/>
              </w:rPr>
              <w:t> </w:t>
            </w:r>
            <w:r>
              <w:rPr>
                <w:sz w:val="18"/>
              </w:rPr>
              <w:t>por</w:t>
            </w:r>
            <w:r>
              <w:rPr>
                <w:spacing w:val="-2"/>
                <w:sz w:val="18"/>
              </w:rPr>
              <w:t> </w:t>
            </w:r>
            <w:r>
              <w:rPr>
                <w:sz w:val="18"/>
              </w:rPr>
              <w:t>las</w:t>
            </w:r>
            <w:r>
              <w:rPr>
                <w:spacing w:val="-3"/>
                <w:sz w:val="18"/>
              </w:rPr>
              <w:t> </w:t>
            </w:r>
            <w:r>
              <w:rPr>
                <w:sz w:val="18"/>
              </w:rPr>
              <w:t>entidades</w:t>
            </w:r>
            <w:r>
              <w:rPr>
                <w:spacing w:val="-2"/>
                <w:sz w:val="18"/>
              </w:rPr>
              <w:t> fiscalizadas</w:t>
            </w:r>
          </w:p>
        </w:tc>
        <w:tc>
          <w:tcPr>
            <w:tcW w:w="1044" w:type="dxa"/>
          </w:tcPr>
          <w:p>
            <w:pPr>
              <w:pStyle w:val="TableParagraph"/>
              <w:rPr>
                <w:rFonts w:ascii="Times New Roman"/>
                <w:sz w:val="18"/>
              </w:rPr>
            </w:pPr>
          </w:p>
        </w:tc>
        <w:tc>
          <w:tcPr>
            <w:tcW w:w="1154" w:type="dxa"/>
          </w:tcPr>
          <w:p>
            <w:pPr>
              <w:pStyle w:val="TableParagraph"/>
              <w:rPr>
                <w:rFonts w:ascii="Times New Roman"/>
                <w:sz w:val="18"/>
              </w:rPr>
            </w:pPr>
          </w:p>
        </w:tc>
        <w:tc>
          <w:tcPr>
            <w:tcW w:w="1067" w:type="dxa"/>
          </w:tcPr>
          <w:p>
            <w:pPr>
              <w:pStyle w:val="TableParagraph"/>
              <w:rPr>
                <w:rFonts w:ascii="Times New Roman"/>
                <w:sz w:val="18"/>
              </w:rPr>
            </w:pPr>
          </w:p>
        </w:tc>
      </w:tr>
    </w:tbl>
    <w:p>
      <w:pPr>
        <w:pStyle w:val="BodyText"/>
        <w:spacing w:before="60"/>
        <w:rPr>
          <w:b/>
        </w:rPr>
      </w:pPr>
    </w:p>
    <w:p>
      <w:pPr>
        <w:pStyle w:val="BodyText"/>
        <w:ind w:left="992" w:right="986"/>
        <w:jc w:val="both"/>
      </w:pPr>
      <w:r>
        <w:rPr/>
        <w:t>El total de autobuses adquiridos asciende a 364, habiéndose recibido 26 en 2022. En el periodo fiscalizado han sido entregados un total de 214 autobuses por importe de 118.775.807,69 euros, IVA</w:t>
      </w:r>
      <w:r>
        <w:rPr>
          <w:spacing w:val="-12"/>
        </w:rPr>
        <w:t> </w:t>
      </w:r>
      <w:r>
        <w:rPr/>
        <w:t>no</w:t>
      </w:r>
      <w:r>
        <w:rPr>
          <w:spacing w:val="-12"/>
        </w:rPr>
        <w:t> </w:t>
      </w:r>
      <w:r>
        <w:rPr/>
        <w:t>incluido,</w:t>
      </w:r>
      <w:r>
        <w:rPr>
          <w:spacing w:val="-10"/>
        </w:rPr>
        <w:t> </w:t>
      </w:r>
      <w:r>
        <w:rPr/>
        <w:t>estando</w:t>
      </w:r>
      <w:r>
        <w:rPr>
          <w:spacing w:val="-14"/>
        </w:rPr>
        <w:t> </w:t>
      </w:r>
      <w:r>
        <w:rPr/>
        <w:t>124,</w:t>
      </w:r>
      <w:r>
        <w:rPr>
          <w:spacing w:val="-10"/>
        </w:rPr>
        <w:t> </w:t>
      </w:r>
      <w:r>
        <w:rPr/>
        <w:t>por</w:t>
      </w:r>
      <w:r>
        <w:rPr>
          <w:spacing w:val="-13"/>
        </w:rPr>
        <w:t> </w:t>
      </w:r>
      <w:r>
        <w:rPr/>
        <w:t>valor</w:t>
      </w:r>
      <w:r>
        <w:rPr>
          <w:spacing w:val="-10"/>
        </w:rPr>
        <w:t> </w:t>
      </w:r>
      <w:r>
        <w:rPr/>
        <w:t>de</w:t>
      </w:r>
      <w:r>
        <w:rPr>
          <w:spacing w:val="-12"/>
        </w:rPr>
        <w:t> </w:t>
      </w:r>
      <w:r>
        <w:rPr/>
        <w:t>65.715.765,72</w:t>
      </w:r>
      <w:r>
        <w:rPr>
          <w:spacing w:val="-11"/>
        </w:rPr>
        <w:t> </w:t>
      </w:r>
      <w:r>
        <w:rPr/>
        <w:t>euros,</w:t>
      </w:r>
      <w:r>
        <w:rPr>
          <w:spacing w:val="-10"/>
        </w:rPr>
        <w:t> </w:t>
      </w:r>
      <w:r>
        <w:rPr/>
        <w:t>pendientes</w:t>
      </w:r>
      <w:r>
        <w:rPr>
          <w:spacing w:val="-11"/>
        </w:rPr>
        <w:t> </w:t>
      </w:r>
      <w:r>
        <w:rPr/>
        <w:t>de</w:t>
      </w:r>
      <w:r>
        <w:rPr>
          <w:spacing w:val="-12"/>
        </w:rPr>
        <w:t> </w:t>
      </w:r>
      <w:r>
        <w:rPr/>
        <w:t>entrega</w:t>
      </w:r>
      <w:r>
        <w:rPr>
          <w:spacing w:val="-11"/>
        </w:rPr>
        <w:t> </w:t>
      </w:r>
      <w:r>
        <w:rPr/>
        <w:t>en</w:t>
      </w:r>
      <w:r>
        <w:rPr>
          <w:spacing w:val="-11"/>
        </w:rPr>
        <w:t> </w:t>
      </w:r>
      <w:r>
        <w:rPr/>
        <w:t>ejercicios </w:t>
      </w:r>
      <w:r>
        <w:rPr>
          <w:spacing w:val="-2"/>
        </w:rPr>
        <w:t>posteriores.</w:t>
      </w:r>
    </w:p>
    <w:p>
      <w:pPr>
        <w:spacing w:before="242"/>
        <w:ind w:left="992" w:right="985" w:firstLine="0"/>
        <w:jc w:val="both"/>
        <w:rPr>
          <w:sz w:val="22"/>
        </w:rPr>
      </w:pPr>
      <w:r>
        <w:rPr>
          <w:sz w:val="22"/>
        </w:rPr>
        <w:t>En la adquisición de los vehículos se han detectado algunas </w:t>
      </w:r>
      <w:r>
        <w:rPr>
          <w:sz w:val="22"/>
          <w:u w:val="single"/>
        </w:rPr>
        <w:t>incidencias</w:t>
      </w:r>
      <w:r>
        <w:rPr>
          <w:sz w:val="22"/>
          <w:u w:val="none"/>
        </w:rPr>
        <w:t>, tales como demoras en las</w:t>
      </w:r>
      <w:r>
        <w:rPr>
          <w:spacing w:val="-16"/>
          <w:sz w:val="22"/>
          <w:u w:val="none"/>
        </w:rPr>
        <w:t> </w:t>
      </w:r>
      <w:r>
        <w:rPr>
          <w:sz w:val="22"/>
          <w:u w:val="none"/>
        </w:rPr>
        <w:t>entregas</w:t>
      </w:r>
      <w:r>
        <w:rPr>
          <w:spacing w:val="-12"/>
          <w:sz w:val="22"/>
          <w:u w:val="none"/>
        </w:rPr>
        <w:t> </w:t>
      </w:r>
      <w:r>
        <w:rPr>
          <w:sz w:val="22"/>
          <w:u w:val="none"/>
        </w:rPr>
        <w:t>de</w:t>
      </w:r>
      <w:r>
        <w:rPr>
          <w:spacing w:val="-16"/>
          <w:sz w:val="22"/>
          <w:u w:val="none"/>
        </w:rPr>
        <w:t> </w:t>
      </w:r>
      <w:r>
        <w:rPr>
          <w:sz w:val="22"/>
          <w:u w:val="none"/>
        </w:rPr>
        <w:t>los</w:t>
      </w:r>
      <w:r>
        <w:rPr>
          <w:spacing w:val="-12"/>
          <w:sz w:val="22"/>
          <w:u w:val="none"/>
        </w:rPr>
        <w:t> </w:t>
      </w:r>
      <w:r>
        <w:rPr>
          <w:sz w:val="22"/>
          <w:u w:val="none"/>
        </w:rPr>
        <w:t>autobuses</w:t>
      </w:r>
      <w:r>
        <w:rPr>
          <w:spacing w:val="-15"/>
          <w:sz w:val="22"/>
          <w:u w:val="none"/>
        </w:rPr>
        <w:t> </w:t>
      </w:r>
      <w:r>
        <w:rPr>
          <w:rFonts w:ascii="Symbol" w:hAnsi="Symbol"/>
          <w:sz w:val="22"/>
          <w:u w:val="none"/>
        </w:rPr>
        <w:t></w:t>
      </w:r>
      <w:r>
        <w:rPr>
          <w:b/>
          <w:sz w:val="22"/>
          <w:u w:val="none"/>
        </w:rPr>
        <w:t>Ayuntamientos</w:t>
      </w:r>
      <w:r>
        <w:rPr>
          <w:b/>
          <w:spacing w:val="-16"/>
          <w:sz w:val="22"/>
          <w:u w:val="none"/>
        </w:rPr>
        <w:t> </w:t>
      </w:r>
      <w:r>
        <w:rPr>
          <w:b/>
          <w:sz w:val="22"/>
          <w:u w:val="none"/>
        </w:rPr>
        <w:t>de</w:t>
      </w:r>
      <w:r>
        <w:rPr>
          <w:b/>
          <w:spacing w:val="-13"/>
          <w:sz w:val="22"/>
          <w:u w:val="none"/>
        </w:rPr>
        <w:t> </w:t>
      </w:r>
      <w:r>
        <w:rPr>
          <w:b/>
          <w:sz w:val="22"/>
          <w:u w:val="none"/>
        </w:rPr>
        <w:t>Alicante</w:t>
      </w:r>
      <w:r>
        <w:rPr>
          <w:sz w:val="22"/>
          <w:u w:val="none"/>
        </w:rPr>
        <w:t>,</w:t>
      </w:r>
      <w:r>
        <w:rPr>
          <w:spacing w:val="-15"/>
          <w:sz w:val="22"/>
          <w:u w:val="none"/>
        </w:rPr>
        <w:t> </w:t>
      </w:r>
      <w:r>
        <w:rPr>
          <w:b/>
          <w:sz w:val="22"/>
          <w:u w:val="none"/>
        </w:rPr>
        <w:t>Las</w:t>
      </w:r>
      <w:r>
        <w:rPr>
          <w:b/>
          <w:spacing w:val="-14"/>
          <w:sz w:val="22"/>
          <w:u w:val="none"/>
        </w:rPr>
        <w:t> </w:t>
      </w:r>
      <w:r>
        <w:rPr>
          <w:b/>
          <w:sz w:val="22"/>
          <w:u w:val="none"/>
        </w:rPr>
        <w:t>Palmas</w:t>
      </w:r>
      <w:r>
        <w:rPr>
          <w:b/>
          <w:spacing w:val="-16"/>
          <w:sz w:val="22"/>
          <w:u w:val="none"/>
        </w:rPr>
        <w:t> </w:t>
      </w:r>
      <w:r>
        <w:rPr>
          <w:b/>
          <w:sz w:val="22"/>
          <w:u w:val="none"/>
        </w:rPr>
        <w:t>de</w:t>
      </w:r>
      <w:r>
        <w:rPr>
          <w:b/>
          <w:spacing w:val="-13"/>
          <w:sz w:val="22"/>
          <w:u w:val="none"/>
        </w:rPr>
        <w:t> </w:t>
      </w:r>
      <w:r>
        <w:rPr>
          <w:b/>
          <w:sz w:val="22"/>
          <w:u w:val="none"/>
        </w:rPr>
        <w:t>Gran</w:t>
      </w:r>
      <w:r>
        <w:rPr>
          <w:b/>
          <w:spacing w:val="-13"/>
          <w:sz w:val="22"/>
          <w:u w:val="none"/>
        </w:rPr>
        <w:t> </w:t>
      </w:r>
      <w:r>
        <w:rPr>
          <w:b/>
          <w:sz w:val="22"/>
          <w:u w:val="none"/>
        </w:rPr>
        <w:t>Canaria</w:t>
      </w:r>
      <w:r>
        <w:rPr>
          <w:sz w:val="22"/>
          <w:u w:val="none"/>
        </w:rPr>
        <w:t>,</w:t>
      </w:r>
      <w:r>
        <w:rPr>
          <w:spacing w:val="-15"/>
          <w:sz w:val="22"/>
          <w:u w:val="none"/>
        </w:rPr>
        <w:t> </w:t>
      </w:r>
      <w:r>
        <w:rPr>
          <w:b/>
          <w:sz w:val="22"/>
          <w:u w:val="none"/>
        </w:rPr>
        <w:t>Palma </w:t>
      </w:r>
      <w:r>
        <w:rPr>
          <w:sz w:val="22"/>
          <w:u w:val="none"/>
        </w:rPr>
        <w:t>y</w:t>
      </w:r>
      <w:r>
        <w:rPr>
          <w:spacing w:val="-16"/>
          <w:sz w:val="22"/>
          <w:u w:val="none"/>
        </w:rPr>
        <w:t> </w:t>
      </w:r>
      <w:r>
        <w:rPr>
          <w:b/>
          <w:sz w:val="22"/>
          <w:u w:val="none"/>
        </w:rPr>
        <w:t>Zaragoza</w:t>
      </w:r>
      <w:r>
        <w:rPr>
          <w:rFonts w:ascii="Symbol" w:hAnsi="Symbol"/>
          <w:b/>
          <w:sz w:val="22"/>
          <w:u w:val="none"/>
        </w:rPr>
        <w:t></w:t>
      </w:r>
      <w:r>
        <w:rPr>
          <w:sz w:val="22"/>
          <w:u w:val="none"/>
        </w:rPr>
        <w:t>,</w:t>
      </w:r>
      <w:r>
        <w:rPr>
          <w:spacing w:val="-14"/>
          <w:sz w:val="22"/>
          <w:u w:val="none"/>
        </w:rPr>
        <w:t> </w:t>
      </w:r>
      <w:r>
        <w:rPr>
          <w:sz w:val="22"/>
          <w:u w:val="none"/>
        </w:rPr>
        <w:t>problemas</w:t>
      </w:r>
      <w:r>
        <w:rPr>
          <w:spacing w:val="-16"/>
          <w:sz w:val="22"/>
          <w:u w:val="none"/>
        </w:rPr>
        <w:t> </w:t>
      </w:r>
      <w:r>
        <w:rPr>
          <w:sz w:val="22"/>
          <w:u w:val="none"/>
        </w:rPr>
        <w:t>de</w:t>
      </w:r>
      <w:r>
        <w:rPr>
          <w:spacing w:val="-13"/>
          <w:sz w:val="22"/>
          <w:u w:val="none"/>
        </w:rPr>
        <w:t> </w:t>
      </w:r>
      <w:r>
        <w:rPr>
          <w:sz w:val="22"/>
          <w:u w:val="none"/>
        </w:rPr>
        <w:t>sobrecalentamiento</w:t>
      </w:r>
      <w:r>
        <w:rPr>
          <w:spacing w:val="-13"/>
          <w:sz w:val="22"/>
          <w:u w:val="none"/>
        </w:rPr>
        <w:t> </w:t>
      </w:r>
      <w:r>
        <w:rPr>
          <w:sz w:val="22"/>
          <w:u w:val="none"/>
        </w:rPr>
        <w:t>del</w:t>
      </w:r>
      <w:r>
        <w:rPr>
          <w:spacing w:val="-14"/>
          <w:sz w:val="22"/>
          <w:u w:val="none"/>
        </w:rPr>
        <w:t> </w:t>
      </w:r>
      <w:r>
        <w:rPr>
          <w:sz w:val="22"/>
          <w:u w:val="none"/>
        </w:rPr>
        <w:t>sistema</w:t>
      </w:r>
      <w:r>
        <w:rPr>
          <w:spacing w:val="-13"/>
          <w:sz w:val="22"/>
          <w:u w:val="none"/>
        </w:rPr>
        <w:t> </w:t>
      </w:r>
      <w:r>
        <w:rPr>
          <w:sz w:val="22"/>
          <w:u w:val="none"/>
        </w:rPr>
        <w:t>híbrido</w:t>
      </w:r>
      <w:r>
        <w:rPr>
          <w:spacing w:val="-13"/>
          <w:sz w:val="22"/>
          <w:u w:val="none"/>
        </w:rPr>
        <w:t> </w:t>
      </w:r>
      <w:r>
        <w:rPr>
          <w:rFonts w:ascii="Symbol" w:hAnsi="Symbol"/>
          <w:sz w:val="22"/>
          <w:u w:val="none"/>
        </w:rPr>
        <w:t></w:t>
      </w:r>
      <w:r>
        <w:rPr>
          <w:b/>
          <w:sz w:val="22"/>
          <w:u w:val="none"/>
        </w:rPr>
        <w:t>Ayuntamiento</w:t>
      </w:r>
      <w:r>
        <w:rPr>
          <w:b/>
          <w:spacing w:val="-15"/>
          <w:sz w:val="22"/>
          <w:u w:val="none"/>
        </w:rPr>
        <w:t> </w:t>
      </w:r>
      <w:r>
        <w:rPr>
          <w:b/>
          <w:sz w:val="22"/>
          <w:u w:val="none"/>
        </w:rPr>
        <w:t>de</w:t>
      </w:r>
      <w:r>
        <w:rPr>
          <w:b/>
          <w:spacing w:val="-14"/>
          <w:sz w:val="22"/>
          <w:u w:val="none"/>
        </w:rPr>
        <w:t> </w:t>
      </w:r>
      <w:r>
        <w:rPr>
          <w:b/>
          <w:spacing w:val="-2"/>
          <w:sz w:val="22"/>
          <w:u w:val="none"/>
        </w:rPr>
        <w:t>Córdoba</w:t>
      </w:r>
      <w:r>
        <w:rPr>
          <w:rFonts w:ascii="Symbol" w:hAnsi="Symbol"/>
          <w:spacing w:val="-2"/>
          <w:sz w:val="22"/>
          <w:u w:val="none"/>
        </w:rPr>
        <w:t></w:t>
      </w:r>
      <w:r>
        <w:rPr>
          <w:spacing w:val="-2"/>
          <w:sz w:val="22"/>
          <w:u w:val="none"/>
        </w:rPr>
        <w:t>,</w:t>
      </w:r>
    </w:p>
    <w:p>
      <w:pPr>
        <w:pStyle w:val="BodyText"/>
        <w:spacing w:before="34"/>
        <w:rPr>
          <w:sz w:val="20"/>
        </w:rPr>
      </w:pPr>
      <w:r>
        <w:rPr>
          <w:sz w:val="20"/>
        </w:rPr>
        <mc:AlternateContent>
          <mc:Choice Requires="wps">
            <w:drawing>
              <wp:anchor distT="0" distB="0" distL="0" distR="0" allowOverlap="1" layoutInCell="1" locked="0" behindDoc="1" simplePos="0" relativeHeight="487604736">
                <wp:simplePos x="0" y="0"/>
                <wp:positionH relativeFrom="page">
                  <wp:posOffset>719632</wp:posOffset>
                </wp:positionH>
                <wp:positionV relativeFrom="paragraph">
                  <wp:posOffset>182934</wp:posOffset>
                </wp:positionV>
                <wp:extent cx="1829435" cy="9525"/>
                <wp:effectExtent l="0" t="0" r="0" b="0"/>
                <wp:wrapTopAndBottom/>
                <wp:docPr id="141" name="Graphic 141"/>
                <wp:cNvGraphicFramePr>
                  <a:graphicFrameLocks/>
                </wp:cNvGraphicFramePr>
                <a:graphic>
                  <a:graphicData uri="http://schemas.microsoft.com/office/word/2010/wordprocessingShape">
                    <wps:wsp>
                      <wps:cNvPr id="141" name="Graphic 141"/>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4.404326pt;width:144.020pt;height:.71997pt;mso-position-horizontal-relative:page;mso-position-vertical-relative:paragraph;z-index:-15711744;mso-wrap-distance-left:0;mso-wrap-distance-right:0" id="docshape123" filled="true" fillcolor="#000000" stroked="false">
                <v:fill type="solid"/>
                <w10:wrap type="topAndBottom"/>
              </v:rect>
            </w:pict>
          </mc:Fallback>
        </mc:AlternateContent>
      </w:r>
    </w:p>
    <w:p>
      <w:pPr>
        <w:spacing w:line="210" w:lineRule="exact" w:before="118"/>
        <w:ind w:left="992" w:right="0" w:firstLine="0"/>
        <w:jc w:val="both"/>
        <w:rPr>
          <w:sz w:val="18"/>
        </w:rPr>
      </w:pPr>
      <w:bookmarkStart w:name="_bookmark53" w:id="55"/>
      <w:bookmarkEnd w:id="55"/>
      <w:r>
        <w:rPr/>
      </w:r>
      <w:r>
        <w:rPr>
          <w:position w:val="6"/>
          <w:sz w:val="12"/>
        </w:rPr>
        <w:t>30</w:t>
      </w:r>
      <w:r>
        <w:rPr>
          <w:spacing w:val="19"/>
          <w:position w:val="6"/>
          <w:sz w:val="12"/>
        </w:rPr>
        <w:t> </w:t>
      </w:r>
      <w:r>
        <w:rPr>
          <w:sz w:val="18"/>
        </w:rPr>
        <w:t>El</w:t>
      </w:r>
      <w:r>
        <w:rPr>
          <w:spacing w:val="3"/>
          <w:sz w:val="18"/>
        </w:rPr>
        <w:t> </w:t>
      </w:r>
      <w:r>
        <w:rPr>
          <w:b/>
          <w:sz w:val="18"/>
        </w:rPr>
        <w:t>Ayuntamiento</w:t>
      </w:r>
      <w:r>
        <w:rPr>
          <w:b/>
          <w:spacing w:val="3"/>
          <w:sz w:val="18"/>
        </w:rPr>
        <w:t> </w:t>
      </w:r>
      <w:r>
        <w:rPr>
          <w:b/>
          <w:sz w:val="18"/>
        </w:rPr>
        <w:t>de</w:t>
      </w:r>
      <w:r>
        <w:rPr>
          <w:b/>
          <w:spacing w:val="3"/>
          <w:sz w:val="18"/>
        </w:rPr>
        <w:t> </w:t>
      </w:r>
      <w:r>
        <w:rPr>
          <w:b/>
          <w:sz w:val="18"/>
        </w:rPr>
        <w:t>Málaga</w:t>
      </w:r>
      <w:r>
        <w:rPr>
          <w:b/>
          <w:spacing w:val="4"/>
          <w:sz w:val="18"/>
        </w:rPr>
        <w:t> </w:t>
      </w:r>
      <w:r>
        <w:rPr>
          <w:sz w:val="18"/>
        </w:rPr>
        <w:t>ha</w:t>
      </w:r>
      <w:r>
        <w:rPr>
          <w:spacing w:val="3"/>
          <w:sz w:val="18"/>
        </w:rPr>
        <w:t> </w:t>
      </w:r>
      <w:r>
        <w:rPr>
          <w:sz w:val="18"/>
        </w:rPr>
        <w:t>alegado</w:t>
      </w:r>
      <w:r>
        <w:rPr>
          <w:spacing w:val="3"/>
          <w:sz w:val="18"/>
        </w:rPr>
        <w:t> </w:t>
      </w:r>
      <w:r>
        <w:rPr>
          <w:sz w:val="18"/>
        </w:rPr>
        <w:t>que</w:t>
      </w:r>
      <w:r>
        <w:rPr>
          <w:spacing w:val="3"/>
          <w:sz w:val="18"/>
        </w:rPr>
        <w:t> </w:t>
      </w:r>
      <w:r>
        <w:rPr>
          <w:sz w:val="18"/>
        </w:rPr>
        <w:t>el</w:t>
      </w:r>
      <w:r>
        <w:rPr>
          <w:spacing w:val="3"/>
          <w:sz w:val="18"/>
        </w:rPr>
        <w:t> </w:t>
      </w:r>
      <w:r>
        <w:rPr>
          <w:sz w:val="18"/>
        </w:rPr>
        <w:t>número</w:t>
      </w:r>
      <w:r>
        <w:rPr>
          <w:spacing w:val="3"/>
          <w:sz w:val="18"/>
        </w:rPr>
        <w:t> </w:t>
      </w:r>
      <w:r>
        <w:rPr>
          <w:sz w:val="18"/>
        </w:rPr>
        <w:t>de</w:t>
      </w:r>
      <w:r>
        <w:rPr>
          <w:spacing w:val="1"/>
          <w:sz w:val="18"/>
        </w:rPr>
        <w:t> </w:t>
      </w:r>
      <w:r>
        <w:rPr>
          <w:sz w:val="18"/>
        </w:rPr>
        <w:t>vehículos</w:t>
      </w:r>
      <w:r>
        <w:rPr>
          <w:spacing w:val="4"/>
          <w:sz w:val="18"/>
        </w:rPr>
        <w:t> </w:t>
      </w:r>
      <w:r>
        <w:rPr>
          <w:sz w:val="18"/>
        </w:rPr>
        <w:t>eléctricos</w:t>
      </w:r>
      <w:r>
        <w:rPr>
          <w:spacing w:val="4"/>
          <w:sz w:val="18"/>
        </w:rPr>
        <w:t> </w:t>
      </w:r>
      <w:r>
        <w:rPr>
          <w:sz w:val="18"/>
        </w:rPr>
        <w:t>adquiridos</w:t>
      </w:r>
      <w:r>
        <w:rPr>
          <w:spacing w:val="3"/>
          <w:sz w:val="18"/>
        </w:rPr>
        <w:t> </w:t>
      </w:r>
      <w:r>
        <w:rPr>
          <w:sz w:val="18"/>
        </w:rPr>
        <w:t>asciende</w:t>
      </w:r>
      <w:r>
        <w:rPr>
          <w:spacing w:val="3"/>
          <w:sz w:val="18"/>
        </w:rPr>
        <w:t> </w:t>
      </w:r>
      <w:r>
        <w:rPr>
          <w:sz w:val="18"/>
        </w:rPr>
        <w:t>a</w:t>
      </w:r>
      <w:r>
        <w:rPr>
          <w:spacing w:val="4"/>
          <w:sz w:val="18"/>
        </w:rPr>
        <w:t> </w:t>
      </w:r>
      <w:r>
        <w:rPr>
          <w:sz w:val="18"/>
        </w:rPr>
        <w:t>49</w:t>
      </w:r>
      <w:r>
        <w:rPr>
          <w:spacing w:val="3"/>
          <w:sz w:val="18"/>
        </w:rPr>
        <w:t> </w:t>
      </w:r>
      <w:r>
        <w:rPr>
          <w:sz w:val="18"/>
        </w:rPr>
        <w:t>en</w:t>
      </w:r>
      <w:r>
        <w:rPr>
          <w:spacing w:val="3"/>
          <w:sz w:val="18"/>
        </w:rPr>
        <w:t> </w:t>
      </w:r>
      <w:r>
        <w:rPr>
          <w:sz w:val="18"/>
        </w:rPr>
        <w:t>lugar</w:t>
      </w:r>
      <w:r>
        <w:rPr>
          <w:spacing w:val="3"/>
          <w:sz w:val="18"/>
        </w:rPr>
        <w:t> </w:t>
      </w:r>
      <w:r>
        <w:rPr>
          <w:spacing w:val="-5"/>
          <w:sz w:val="18"/>
        </w:rPr>
        <w:t>de</w:t>
      </w:r>
    </w:p>
    <w:p>
      <w:pPr>
        <w:spacing w:before="0"/>
        <w:ind w:left="992" w:right="993" w:firstLine="0"/>
        <w:jc w:val="both"/>
        <w:rPr>
          <w:sz w:val="18"/>
        </w:rPr>
      </w:pPr>
      <w:r>
        <w:rPr>
          <w:sz w:val="18"/>
        </w:rPr>
        <w:t>43.</w:t>
      </w:r>
      <w:r>
        <w:rPr>
          <w:spacing w:val="-4"/>
          <w:sz w:val="18"/>
        </w:rPr>
        <w:t> </w:t>
      </w:r>
      <w:r>
        <w:rPr>
          <w:sz w:val="18"/>
        </w:rPr>
        <w:t>La</w:t>
      </w:r>
      <w:r>
        <w:rPr>
          <w:spacing w:val="-4"/>
          <w:sz w:val="18"/>
        </w:rPr>
        <w:t> </w:t>
      </w:r>
      <w:r>
        <w:rPr>
          <w:sz w:val="18"/>
        </w:rPr>
        <w:t>omisión</w:t>
      </w:r>
      <w:r>
        <w:rPr>
          <w:spacing w:val="-4"/>
          <w:sz w:val="18"/>
        </w:rPr>
        <w:t> </w:t>
      </w:r>
      <w:r>
        <w:rPr>
          <w:sz w:val="18"/>
        </w:rPr>
        <w:t>de</w:t>
      </w:r>
      <w:r>
        <w:rPr>
          <w:spacing w:val="-4"/>
          <w:sz w:val="18"/>
        </w:rPr>
        <w:t> </w:t>
      </w:r>
      <w:r>
        <w:rPr>
          <w:sz w:val="18"/>
        </w:rPr>
        <w:t>seis</w:t>
      </w:r>
      <w:r>
        <w:rPr>
          <w:spacing w:val="-3"/>
          <w:sz w:val="18"/>
        </w:rPr>
        <w:t> </w:t>
      </w:r>
      <w:r>
        <w:rPr>
          <w:sz w:val="18"/>
        </w:rPr>
        <w:t>autobuses</w:t>
      </w:r>
      <w:r>
        <w:rPr>
          <w:spacing w:val="-3"/>
          <w:sz w:val="18"/>
        </w:rPr>
        <w:t> </w:t>
      </w:r>
      <w:r>
        <w:rPr>
          <w:sz w:val="18"/>
        </w:rPr>
        <w:t>se</w:t>
      </w:r>
      <w:r>
        <w:rPr>
          <w:spacing w:val="-4"/>
          <w:sz w:val="18"/>
        </w:rPr>
        <w:t> </w:t>
      </w:r>
      <w:r>
        <w:rPr>
          <w:sz w:val="18"/>
        </w:rPr>
        <w:t>debe</w:t>
      </w:r>
      <w:r>
        <w:rPr>
          <w:spacing w:val="-4"/>
          <w:sz w:val="18"/>
        </w:rPr>
        <w:t> </w:t>
      </w:r>
      <w:r>
        <w:rPr>
          <w:sz w:val="18"/>
        </w:rPr>
        <w:t>a</w:t>
      </w:r>
      <w:r>
        <w:rPr>
          <w:spacing w:val="-4"/>
          <w:sz w:val="18"/>
        </w:rPr>
        <w:t> </w:t>
      </w:r>
      <w:r>
        <w:rPr>
          <w:sz w:val="18"/>
        </w:rPr>
        <w:t>que</w:t>
      </w:r>
      <w:r>
        <w:rPr>
          <w:spacing w:val="-4"/>
          <w:sz w:val="18"/>
        </w:rPr>
        <w:t> </w:t>
      </w:r>
      <w:r>
        <w:rPr>
          <w:sz w:val="18"/>
        </w:rPr>
        <w:t>cinco</w:t>
      </w:r>
      <w:r>
        <w:rPr>
          <w:spacing w:val="-4"/>
          <w:sz w:val="18"/>
        </w:rPr>
        <w:t> </w:t>
      </w:r>
      <w:r>
        <w:rPr>
          <w:sz w:val="18"/>
        </w:rPr>
        <w:t>de</w:t>
      </w:r>
      <w:r>
        <w:rPr>
          <w:spacing w:val="-4"/>
          <w:sz w:val="18"/>
        </w:rPr>
        <w:t> </w:t>
      </w:r>
      <w:r>
        <w:rPr>
          <w:sz w:val="18"/>
        </w:rPr>
        <w:t>ellos</w:t>
      </w:r>
      <w:r>
        <w:rPr>
          <w:spacing w:val="-3"/>
          <w:sz w:val="18"/>
        </w:rPr>
        <w:t> </w:t>
      </w:r>
      <w:r>
        <w:rPr>
          <w:sz w:val="18"/>
        </w:rPr>
        <w:t>se</w:t>
      </w:r>
      <w:r>
        <w:rPr>
          <w:spacing w:val="-4"/>
          <w:sz w:val="18"/>
        </w:rPr>
        <w:t> </w:t>
      </w:r>
      <w:r>
        <w:rPr>
          <w:sz w:val="18"/>
        </w:rPr>
        <w:t>adquirieron</w:t>
      </w:r>
      <w:r>
        <w:rPr>
          <w:spacing w:val="-4"/>
          <w:sz w:val="18"/>
        </w:rPr>
        <w:t> </w:t>
      </w:r>
      <w:r>
        <w:rPr>
          <w:sz w:val="18"/>
        </w:rPr>
        <w:t>en</w:t>
      </w:r>
      <w:r>
        <w:rPr>
          <w:spacing w:val="-4"/>
          <w:sz w:val="18"/>
        </w:rPr>
        <w:t> </w:t>
      </w:r>
      <w:r>
        <w:rPr>
          <w:sz w:val="18"/>
        </w:rPr>
        <w:t>2025,</w:t>
      </w:r>
      <w:r>
        <w:rPr>
          <w:spacing w:val="-4"/>
          <w:sz w:val="18"/>
        </w:rPr>
        <w:t> </w:t>
      </w:r>
      <w:r>
        <w:rPr>
          <w:sz w:val="18"/>
        </w:rPr>
        <w:t>mediante</w:t>
      </w:r>
      <w:r>
        <w:rPr>
          <w:spacing w:val="-4"/>
          <w:sz w:val="18"/>
        </w:rPr>
        <w:t> </w:t>
      </w:r>
      <w:r>
        <w:rPr>
          <w:sz w:val="18"/>
        </w:rPr>
        <w:t>una</w:t>
      </w:r>
      <w:r>
        <w:rPr>
          <w:spacing w:val="-4"/>
          <w:sz w:val="18"/>
        </w:rPr>
        <w:t> </w:t>
      </w:r>
      <w:r>
        <w:rPr>
          <w:sz w:val="18"/>
        </w:rPr>
        <w:t>prórroga</w:t>
      </w:r>
      <w:r>
        <w:rPr>
          <w:spacing w:val="-4"/>
          <w:sz w:val="18"/>
        </w:rPr>
        <w:t> </w:t>
      </w:r>
      <w:r>
        <w:rPr>
          <w:sz w:val="18"/>
        </w:rPr>
        <w:t>de</w:t>
      </w:r>
      <w:r>
        <w:rPr>
          <w:spacing w:val="-4"/>
          <w:sz w:val="18"/>
        </w:rPr>
        <w:t> </w:t>
      </w:r>
      <w:r>
        <w:rPr>
          <w:sz w:val="18"/>
        </w:rPr>
        <w:t>uno</w:t>
      </w:r>
      <w:r>
        <w:rPr>
          <w:spacing w:val="-4"/>
          <w:sz w:val="18"/>
        </w:rPr>
        <w:t> </w:t>
      </w:r>
      <w:r>
        <w:rPr>
          <w:sz w:val="18"/>
        </w:rPr>
        <w:t>de los expedientes fiscalizados, por lo que su adquisición tuvo lugar con posterioridad al periodo fiscalizado. La adquisición del</w:t>
      </w:r>
      <w:r>
        <w:rPr>
          <w:spacing w:val="-11"/>
          <w:sz w:val="18"/>
        </w:rPr>
        <w:t> </w:t>
      </w:r>
      <w:r>
        <w:rPr>
          <w:sz w:val="18"/>
        </w:rPr>
        <w:t>autobús</w:t>
      </w:r>
      <w:r>
        <w:rPr>
          <w:spacing w:val="-11"/>
          <w:sz w:val="18"/>
        </w:rPr>
        <w:t> </w:t>
      </w:r>
      <w:r>
        <w:rPr>
          <w:sz w:val="18"/>
        </w:rPr>
        <w:t>restante</w:t>
      </w:r>
      <w:r>
        <w:rPr>
          <w:spacing w:val="-11"/>
          <w:sz w:val="18"/>
        </w:rPr>
        <w:t> </w:t>
      </w:r>
      <w:r>
        <w:rPr>
          <w:sz w:val="18"/>
        </w:rPr>
        <w:t>no</w:t>
      </w:r>
      <w:r>
        <w:rPr>
          <w:spacing w:val="-11"/>
          <w:sz w:val="18"/>
        </w:rPr>
        <w:t> </w:t>
      </w:r>
      <w:r>
        <w:rPr>
          <w:sz w:val="18"/>
        </w:rPr>
        <w:t>fue</w:t>
      </w:r>
      <w:r>
        <w:rPr>
          <w:spacing w:val="-11"/>
          <w:sz w:val="18"/>
        </w:rPr>
        <w:t> </w:t>
      </w:r>
      <w:r>
        <w:rPr>
          <w:sz w:val="18"/>
        </w:rPr>
        <w:t>comunicada</w:t>
      </w:r>
      <w:r>
        <w:rPr>
          <w:spacing w:val="-11"/>
          <w:sz w:val="18"/>
        </w:rPr>
        <w:t> </w:t>
      </w:r>
      <w:r>
        <w:rPr>
          <w:sz w:val="18"/>
        </w:rPr>
        <w:t>al</w:t>
      </w:r>
      <w:r>
        <w:rPr>
          <w:spacing w:val="-13"/>
          <w:sz w:val="18"/>
        </w:rPr>
        <w:t> </w:t>
      </w:r>
      <w:r>
        <w:rPr>
          <w:sz w:val="18"/>
        </w:rPr>
        <w:t>Tribunal</w:t>
      </w:r>
      <w:r>
        <w:rPr>
          <w:spacing w:val="-11"/>
          <w:sz w:val="18"/>
        </w:rPr>
        <w:t> </w:t>
      </w:r>
      <w:r>
        <w:rPr>
          <w:sz w:val="18"/>
        </w:rPr>
        <w:t>de</w:t>
      </w:r>
      <w:r>
        <w:rPr>
          <w:spacing w:val="-11"/>
          <w:sz w:val="18"/>
        </w:rPr>
        <w:t> </w:t>
      </w:r>
      <w:r>
        <w:rPr>
          <w:sz w:val="18"/>
        </w:rPr>
        <w:t>Cuentas</w:t>
      </w:r>
      <w:r>
        <w:rPr>
          <w:spacing w:val="-11"/>
          <w:sz w:val="18"/>
        </w:rPr>
        <w:t> </w:t>
      </w:r>
      <w:r>
        <w:rPr>
          <w:sz w:val="18"/>
        </w:rPr>
        <w:t>en</w:t>
      </w:r>
      <w:r>
        <w:rPr>
          <w:spacing w:val="-13"/>
          <w:sz w:val="18"/>
        </w:rPr>
        <w:t> </w:t>
      </w:r>
      <w:r>
        <w:rPr>
          <w:sz w:val="18"/>
        </w:rPr>
        <w:t>el</w:t>
      </w:r>
      <w:r>
        <w:rPr>
          <w:spacing w:val="-12"/>
          <w:sz w:val="18"/>
        </w:rPr>
        <w:t> </w:t>
      </w:r>
      <w:r>
        <w:rPr>
          <w:sz w:val="18"/>
        </w:rPr>
        <w:t>curso</w:t>
      </w:r>
      <w:r>
        <w:rPr>
          <w:spacing w:val="-11"/>
          <w:sz w:val="18"/>
        </w:rPr>
        <w:t> </w:t>
      </w:r>
      <w:r>
        <w:rPr>
          <w:sz w:val="18"/>
        </w:rPr>
        <w:t>de</w:t>
      </w:r>
      <w:r>
        <w:rPr>
          <w:spacing w:val="-13"/>
          <w:sz w:val="18"/>
        </w:rPr>
        <w:t> </w:t>
      </w:r>
      <w:r>
        <w:rPr>
          <w:sz w:val="18"/>
        </w:rPr>
        <w:t>la</w:t>
      </w:r>
      <w:r>
        <w:rPr>
          <w:spacing w:val="-11"/>
          <w:sz w:val="18"/>
        </w:rPr>
        <w:t> </w:t>
      </w:r>
      <w:r>
        <w:rPr>
          <w:sz w:val="18"/>
        </w:rPr>
        <w:t>fiscalización.</w:t>
      </w:r>
      <w:r>
        <w:rPr>
          <w:spacing w:val="-11"/>
          <w:sz w:val="18"/>
        </w:rPr>
        <w:t> </w:t>
      </w:r>
      <w:r>
        <w:rPr>
          <w:sz w:val="18"/>
        </w:rPr>
        <w:t>En</w:t>
      </w:r>
      <w:r>
        <w:rPr>
          <w:spacing w:val="-11"/>
          <w:sz w:val="18"/>
        </w:rPr>
        <w:t> </w:t>
      </w:r>
      <w:r>
        <w:rPr>
          <w:sz w:val="18"/>
        </w:rPr>
        <w:t>el</w:t>
      </w:r>
      <w:r>
        <w:rPr>
          <w:spacing w:val="-13"/>
          <w:sz w:val="18"/>
        </w:rPr>
        <w:t> </w:t>
      </w:r>
      <w:r>
        <w:rPr>
          <w:sz w:val="18"/>
        </w:rPr>
        <w:t>trámite</w:t>
      </w:r>
      <w:r>
        <w:rPr>
          <w:spacing w:val="-12"/>
          <w:sz w:val="18"/>
        </w:rPr>
        <w:t> </w:t>
      </w:r>
      <w:r>
        <w:rPr>
          <w:sz w:val="18"/>
        </w:rPr>
        <w:t>de</w:t>
      </w:r>
      <w:r>
        <w:rPr>
          <w:spacing w:val="-11"/>
          <w:sz w:val="18"/>
        </w:rPr>
        <w:t> </w:t>
      </w:r>
      <w:r>
        <w:rPr>
          <w:sz w:val="18"/>
        </w:rPr>
        <w:t>alegaciones se ha verificado que este último se trata de un vehículo “demo” que había sido utilizado para exposiciones y formación por la empresa suministradora y que fue adquirido por el Ayuntamiento por 270.000 euros, sin IVA, De acuerdo con lo expuesto, la cifra de vehículos adquiridos hasta el final del periodo fiscalizado asciende a 44.</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1"/>
      </w:pPr>
    </w:p>
    <w:p>
      <w:pPr>
        <w:spacing w:before="1"/>
        <w:ind w:left="992" w:right="989" w:firstLine="0"/>
        <w:jc w:val="both"/>
        <w:rPr>
          <w:sz w:val="22"/>
        </w:rPr>
      </w:pPr>
      <w:r>
        <w:rPr>
          <w:sz w:val="22"/>
        </w:rPr>
        <w:t>deficiencias en la planificación </w:t>
      </w:r>
      <w:r>
        <w:rPr>
          <w:rFonts w:ascii="Symbol" w:hAnsi="Symbol"/>
          <w:sz w:val="22"/>
        </w:rPr>
        <w:t></w:t>
      </w:r>
      <w:r>
        <w:rPr>
          <w:b/>
          <w:sz w:val="22"/>
        </w:rPr>
        <w:t>Ayuntamiento de Málaga</w:t>
      </w:r>
      <w:r>
        <w:rPr>
          <w:rFonts w:ascii="Symbol" w:hAnsi="Symbol"/>
          <w:sz w:val="22"/>
        </w:rPr>
        <w:t></w:t>
      </w:r>
      <w:r>
        <w:rPr>
          <w:rFonts w:ascii="Times New Roman" w:hAnsi="Times New Roman"/>
          <w:sz w:val="22"/>
        </w:rPr>
        <w:t> </w:t>
      </w:r>
      <w:r>
        <w:rPr>
          <w:sz w:val="22"/>
        </w:rPr>
        <w:t>e imposición de penalidades al contratista </w:t>
      </w:r>
      <w:r>
        <w:rPr>
          <w:rFonts w:ascii="Symbol" w:hAnsi="Symbol"/>
          <w:sz w:val="22"/>
        </w:rPr>
        <w:t></w:t>
      </w:r>
      <w:r>
        <w:rPr>
          <w:b/>
          <w:sz w:val="22"/>
        </w:rPr>
        <w:t>Ayuntamiento de Sevilla</w:t>
      </w:r>
      <w:r>
        <w:rPr>
          <w:rFonts w:ascii="Symbol" w:hAnsi="Symbol"/>
          <w:sz w:val="22"/>
        </w:rPr>
        <w:t></w:t>
      </w:r>
      <w:r>
        <w:rPr>
          <w:sz w:val="22"/>
        </w:rPr>
        <w:t>, que se exponen a continuación.</w:t>
      </w:r>
    </w:p>
    <w:p>
      <w:pPr>
        <w:pStyle w:val="BodyText"/>
        <w:spacing w:before="241"/>
        <w:ind w:left="992" w:right="986"/>
        <w:jc w:val="both"/>
      </w:pPr>
      <w:r>
        <w:rPr/>
        <w:t>El </w:t>
      </w:r>
      <w:r>
        <w:rPr>
          <w:b/>
        </w:rPr>
        <w:t>Ayuntamiento de Alicante </w:t>
      </w:r>
      <w:r>
        <w:rPr/>
        <w:t>tenía previsto contractualmente disponer en diciembre de 2023 de los</w:t>
      </w:r>
      <w:r>
        <w:rPr>
          <w:spacing w:val="-16"/>
        </w:rPr>
        <w:t> </w:t>
      </w:r>
      <w:r>
        <w:rPr/>
        <w:t>23</w:t>
      </w:r>
      <w:r>
        <w:rPr>
          <w:spacing w:val="-15"/>
        </w:rPr>
        <w:t> </w:t>
      </w:r>
      <w:r>
        <w:rPr/>
        <w:t>autobuses</w:t>
      </w:r>
      <w:r>
        <w:rPr>
          <w:spacing w:val="-15"/>
        </w:rPr>
        <w:t> </w:t>
      </w:r>
      <w:r>
        <w:rPr/>
        <w:t>eléctricos</w:t>
      </w:r>
      <w:r>
        <w:rPr>
          <w:spacing w:val="-13"/>
        </w:rPr>
        <w:t> </w:t>
      </w:r>
      <w:r>
        <w:rPr/>
        <w:t>que</w:t>
      </w:r>
      <w:r>
        <w:rPr>
          <w:spacing w:val="-14"/>
        </w:rPr>
        <w:t> </w:t>
      </w:r>
      <w:r>
        <w:rPr/>
        <w:t>había</w:t>
      </w:r>
      <w:r>
        <w:rPr>
          <w:spacing w:val="-16"/>
        </w:rPr>
        <w:t> </w:t>
      </w:r>
      <w:r>
        <w:rPr/>
        <w:t>adquirido</w:t>
      </w:r>
      <w:r>
        <w:rPr>
          <w:spacing w:val="-11"/>
        </w:rPr>
        <w:t> </w:t>
      </w:r>
      <w:r>
        <w:rPr/>
        <w:t>a</w:t>
      </w:r>
      <w:r>
        <w:rPr>
          <w:spacing w:val="-16"/>
        </w:rPr>
        <w:t> </w:t>
      </w:r>
      <w:r>
        <w:rPr/>
        <w:t>través</w:t>
      </w:r>
      <w:r>
        <w:rPr>
          <w:spacing w:val="-15"/>
        </w:rPr>
        <w:t> </w:t>
      </w:r>
      <w:r>
        <w:rPr/>
        <w:t>de</w:t>
      </w:r>
      <w:r>
        <w:rPr>
          <w:spacing w:val="-15"/>
        </w:rPr>
        <w:t> </w:t>
      </w:r>
      <w:r>
        <w:rPr/>
        <w:t>la</w:t>
      </w:r>
      <w:r>
        <w:rPr>
          <w:spacing w:val="-14"/>
        </w:rPr>
        <w:t> </w:t>
      </w:r>
      <w:r>
        <w:rPr/>
        <w:t>empresa</w:t>
      </w:r>
      <w:r>
        <w:rPr>
          <w:spacing w:val="-16"/>
        </w:rPr>
        <w:t> </w:t>
      </w:r>
      <w:r>
        <w:rPr/>
        <w:t>concesionaria.</w:t>
      </w:r>
      <w:r>
        <w:rPr>
          <w:spacing w:val="-11"/>
        </w:rPr>
        <w:t> </w:t>
      </w:r>
      <w:r>
        <w:rPr/>
        <w:t>Sin</w:t>
      </w:r>
      <w:r>
        <w:rPr>
          <w:spacing w:val="-14"/>
        </w:rPr>
        <w:t> </w:t>
      </w:r>
      <w:r>
        <w:rPr/>
        <w:t>embargo, retrasos en la entrega por parte de la empresa fabricante motivaron que la entidad tuviera que solicitar, en agosto de 2023, al MITMA una modificación del plazo de ejecución de la actuación subvencionada</w:t>
      </w:r>
      <w:r>
        <w:rPr>
          <w:spacing w:val="-16"/>
        </w:rPr>
        <w:t> </w:t>
      </w:r>
      <w:r>
        <w:rPr/>
        <w:t>por</w:t>
      </w:r>
      <w:r>
        <w:rPr>
          <w:spacing w:val="-15"/>
        </w:rPr>
        <w:t> </w:t>
      </w:r>
      <w:r>
        <w:rPr/>
        <w:t>un</w:t>
      </w:r>
      <w:r>
        <w:rPr>
          <w:spacing w:val="-15"/>
        </w:rPr>
        <w:t> </w:t>
      </w:r>
      <w:r>
        <w:rPr/>
        <w:t>año.</w:t>
      </w:r>
      <w:r>
        <w:rPr>
          <w:spacing w:val="-16"/>
        </w:rPr>
        <w:t> </w:t>
      </w:r>
      <w:r>
        <w:rPr/>
        <w:t>Finalmente,</w:t>
      </w:r>
      <w:r>
        <w:rPr>
          <w:spacing w:val="-15"/>
        </w:rPr>
        <w:t> </w:t>
      </w:r>
      <w:r>
        <w:rPr/>
        <w:t>los</w:t>
      </w:r>
      <w:r>
        <w:rPr>
          <w:spacing w:val="-15"/>
        </w:rPr>
        <w:t> </w:t>
      </w:r>
      <w:r>
        <w:rPr/>
        <w:t>autobuses</w:t>
      </w:r>
      <w:r>
        <w:rPr>
          <w:spacing w:val="-15"/>
        </w:rPr>
        <w:t> </w:t>
      </w:r>
      <w:r>
        <w:rPr/>
        <w:t>fueron</w:t>
      </w:r>
      <w:r>
        <w:rPr>
          <w:spacing w:val="-16"/>
        </w:rPr>
        <w:t> </w:t>
      </w:r>
      <w:r>
        <w:rPr/>
        <w:t>entregados</w:t>
      </w:r>
      <w:r>
        <w:rPr>
          <w:spacing w:val="-15"/>
        </w:rPr>
        <w:t> </w:t>
      </w:r>
      <w:r>
        <w:rPr/>
        <w:t>y</w:t>
      </w:r>
      <w:r>
        <w:rPr>
          <w:spacing w:val="-15"/>
        </w:rPr>
        <w:t> </w:t>
      </w:r>
      <w:r>
        <w:rPr/>
        <w:t>puestos</w:t>
      </w:r>
      <w:r>
        <w:rPr>
          <w:spacing w:val="-16"/>
        </w:rPr>
        <w:t> </w:t>
      </w:r>
      <w:r>
        <w:rPr/>
        <w:t>en</w:t>
      </w:r>
      <w:r>
        <w:rPr>
          <w:spacing w:val="-15"/>
        </w:rPr>
        <w:t> </w:t>
      </w:r>
      <w:r>
        <w:rPr/>
        <w:t>servicio</w:t>
      </w:r>
      <w:r>
        <w:rPr>
          <w:spacing w:val="-15"/>
        </w:rPr>
        <w:t> </w:t>
      </w:r>
      <w:r>
        <w:rPr/>
        <w:t>entre octubre de 2023 y mayo de 2024.</w:t>
      </w:r>
    </w:p>
    <w:p>
      <w:pPr>
        <w:pStyle w:val="BodyText"/>
        <w:spacing w:before="240"/>
        <w:ind w:left="992" w:right="986"/>
        <w:jc w:val="both"/>
      </w:pPr>
      <w:r>
        <w:rPr/>
        <w:t>Esta</w:t>
      </w:r>
      <w:r>
        <w:rPr>
          <w:spacing w:val="-16"/>
        </w:rPr>
        <w:t> </w:t>
      </w:r>
      <w:r>
        <w:rPr/>
        <w:t>misma</w:t>
      </w:r>
      <w:r>
        <w:rPr>
          <w:spacing w:val="-15"/>
        </w:rPr>
        <w:t> </w:t>
      </w:r>
      <w:r>
        <w:rPr/>
        <w:t>incidencia</w:t>
      </w:r>
      <w:r>
        <w:rPr>
          <w:spacing w:val="-15"/>
        </w:rPr>
        <w:t> </w:t>
      </w:r>
      <w:r>
        <w:rPr/>
        <w:t>ha</w:t>
      </w:r>
      <w:r>
        <w:rPr>
          <w:spacing w:val="-16"/>
        </w:rPr>
        <w:t> </w:t>
      </w:r>
      <w:r>
        <w:rPr/>
        <w:t>tenido</w:t>
      </w:r>
      <w:r>
        <w:rPr>
          <w:spacing w:val="-15"/>
        </w:rPr>
        <w:t> </w:t>
      </w:r>
      <w:r>
        <w:rPr/>
        <w:t>lugar</w:t>
      </w:r>
      <w:r>
        <w:rPr>
          <w:spacing w:val="-15"/>
        </w:rPr>
        <w:t> </w:t>
      </w:r>
      <w:r>
        <w:rPr/>
        <w:t>con</w:t>
      </w:r>
      <w:r>
        <w:rPr>
          <w:spacing w:val="-15"/>
        </w:rPr>
        <w:t> </w:t>
      </w:r>
      <w:r>
        <w:rPr/>
        <w:t>un</w:t>
      </w:r>
      <w:r>
        <w:rPr>
          <w:spacing w:val="-16"/>
        </w:rPr>
        <w:t> </w:t>
      </w:r>
      <w:r>
        <w:rPr/>
        <w:t>autobús</w:t>
      </w:r>
      <w:r>
        <w:rPr>
          <w:spacing w:val="-13"/>
        </w:rPr>
        <w:t> </w:t>
      </w:r>
      <w:r>
        <w:rPr/>
        <w:t>de</w:t>
      </w:r>
      <w:r>
        <w:rPr>
          <w:spacing w:val="-15"/>
        </w:rPr>
        <w:t> </w:t>
      </w:r>
      <w:r>
        <w:rPr/>
        <w:t>pila</w:t>
      </w:r>
      <w:r>
        <w:rPr>
          <w:spacing w:val="-14"/>
        </w:rPr>
        <w:t> </w:t>
      </w:r>
      <w:r>
        <w:rPr/>
        <w:t>de</w:t>
      </w:r>
      <w:r>
        <w:rPr>
          <w:spacing w:val="-16"/>
        </w:rPr>
        <w:t> </w:t>
      </w:r>
      <w:r>
        <w:rPr/>
        <w:t>combustible</w:t>
      </w:r>
      <w:r>
        <w:rPr>
          <w:spacing w:val="-13"/>
        </w:rPr>
        <w:t> </w:t>
      </w:r>
      <w:r>
        <w:rPr/>
        <w:t>de</w:t>
      </w:r>
      <w:r>
        <w:rPr>
          <w:spacing w:val="-16"/>
        </w:rPr>
        <w:t> </w:t>
      </w:r>
      <w:r>
        <w:rPr/>
        <w:t>hidrógeno</w:t>
      </w:r>
      <w:r>
        <w:rPr>
          <w:spacing w:val="-14"/>
        </w:rPr>
        <w:t> </w:t>
      </w:r>
      <w:r>
        <w:rPr/>
        <w:t>adquirido por el</w:t>
      </w:r>
      <w:r>
        <w:rPr>
          <w:spacing w:val="-4"/>
        </w:rPr>
        <w:t> </w:t>
      </w:r>
      <w:r>
        <w:rPr>
          <w:b/>
        </w:rPr>
        <w:t>Ayuntamiento</w:t>
      </w:r>
      <w:r>
        <w:rPr>
          <w:b/>
          <w:spacing w:val="-1"/>
        </w:rPr>
        <w:t> </w:t>
      </w:r>
      <w:r>
        <w:rPr>
          <w:b/>
        </w:rPr>
        <w:t>de</w:t>
      </w:r>
      <w:r>
        <w:rPr>
          <w:b/>
          <w:spacing w:val="-3"/>
        </w:rPr>
        <w:t> </w:t>
      </w:r>
      <w:r>
        <w:rPr>
          <w:b/>
        </w:rPr>
        <w:t>Las</w:t>
      </w:r>
      <w:r>
        <w:rPr>
          <w:b/>
          <w:spacing w:val="-1"/>
        </w:rPr>
        <w:t> </w:t>
      </w:r>
      <w:r>
        <w:rPr>
          <w:b/>
        </w:rPr>
        <w:t>Palmas</w:t>
      </w:r>
      <w:r>
        <w:rPr>
          <w:b/>
          <w:spacing w:val="-1"/>
        </w:rPr>
        <w:t> </w:t>
      </w:r>
      <w:r>
        <w:rPr>
          <w:b/>
        </w:rPr>
        <w:t>de</w:t>
      </w:r>
      <w:r>
        <w:rPr>
          <w:b/>
          <w:spacing w:val="-6"/>
        </w:rPr>
        <w:t> </w:t>
      </w:r>
      <w:r>
        <w:rPr>
          <w:b/>
        </w:rPr>
        <w:t>Gran</w:t>
      </w:r>
      <w:r>
        <w:rPr>
          <w:b/>
          <w:spacing w:val="-1"/>
        </w:rPr>
        <w:t> </w:t>
      </w:r>
      <w:r>
        <w:rPr>
          <w:b/>
        </w:rPr>
        <w:t>Canaria</w:t>
      </w:r>
      <w:r>
        <w:rPr/>
        <w:t>.</w:t>
      </w:r>
      <w:r>
        <w:rPr>
          <w:spacing w:val="-2"/>
        </w:rPr>
        <w:t> </w:t>
      </w:r>
      <w:r>
        <w:rPr/>
        <w:t>El</w:t>
      </w:r>
      <w:r>
        <w:rPr>
          <w:spacing w:val="-1"/>
        </w:rPr>
        <w:t> </w:t>
      </w:r>
      <w:r>
        <w:rPr/>
        <w:t>plazo</w:t>
      </w:r>
      <w:r>
        <w:rPr>
          <w:spacing w:val="-1"/>
        </w:rPr>
        <w:t> </w:t>
      </w:r>
      <w:r>
        <w:rPr/>
        <w:t>de</w:t>
      </w:r>
      <w:r>
        <w:rPr>
          <w:spacing w:val="-3"/>
        </w:rPr>
        <w:t> </w:t>
      </w:r>
      <w:r>
        <w:rPr/>
        <w:t>duración</w:t>
      </w:r>
      <w:r>
        <w:rPr>
          <w:spacing w:val="-1"/>
        </w:rPr>
        <w:t> </w:t>
      </w:r>
      <w:r>
        <w:rPr/>
        <w:t>del</w:t>
      </w:r>
      <w:r>
        <w:rPr>
          <w:spacing w:val="-1"/>
        </w:rPr>
        <w:t> </w:t>
      </w:r>
      <w:r>
        <w:rPr/>
        <w:t>contrato</w:t>
      </w:r>
      <w:r>
        <w:rPr>
          <w:spacing w:val="-1"/>
        </w:rPr>
        <w:t> </w:t>
      </w:r>
      <w:r>
        <w:rPr/>
        <w:t>concluía en noviembre de 2023 y la entidad tuvo que solicitar una ampliación del plazo de ejecución del proyecto</w:t>
      </w:r>
      <w:r>
        <w:rPr>
          <w:spacing w:val="-8"/>
        </w:rPr>
        <w:t> </w:t>
      </w:r>
      <w:r>
        <w:rPr/>
        <w:t>subvencionado</w:t>
      </w:r>
      <w:r>
        <w:rPr>
          <w:spacing w:val="-8"/>
        </w:rPr>
        <w:t> </w:t>
      </w:r>
      <w:r>
        <w:rPr/>
        <w:t>ante</w:t>
      </w:r>
      <w:r>
        <w:rPr>
          <w:spacing w:val="-6"/>
        </w:rPr>
        <w:t> </w:t>
      </w:r>
      <w:r>
        <w:rPr/>
        <w:t>el</w:t>
      </w:r>
      <w:r>
        <w:rPr>
          <w:spacing w:val="-9"/>
        </w:rPr>
        <w:t> </w:t>
      </w:r>
      <w:r>
        <w:rPr/>
        <w:t>MITMA</w:t>
      </w:r>
      <w:r>
        <w:rPr>
          <w:spacing w:val="-8"/>
        </w:rPr>
        <w:t> </w:t>
      </w:r>
      <w:r>
        <w:rPr/>
        <w:t>por</w:t>
      </w:r>
      <w:r>
        <w:rPr>
          <w:spacing w:val="-8"/>
        </w:rPr>
        <w:t> </w:t>
      </w:r>
      <w:r>
        <w:rPr/>
        <w:t>un</w:t>
      </w:r>
      <w:r>
        <w:rPr>
          <w:spacing w:val="-8"/>
        </w:rPr>
        <w:t> </w:t>
      </w:r>
      <w:r>
        <w:rPr/>
        <w:t>año,</w:t>
      </w:r>
      <w:r>
        <w:rPr>
          <w:spacing w:val="-5"/>
        </w:rPr>
        <w:t> </w:t>
      </w:r>
      <w:r>
        <w:rPr/>
        <w:t>invocando</w:t>
      </w:r>
      <w:r>
        <w:rPr>
          <w:spacing w:val="-8"/>
        </w:rPr>
        <w:t> </w:t>
      </w:r>
      <w:r>
        <w:rPr/>
        <w:t>problemas</w:t>
      </w:r>
      <w:r>
        <w:rPr>
          <w:spacing w:val="-10"/>
        </w:rPr>
        <w:t> </w:t>
      </w:r>
      <w:r>
        <w:rPr/>
        <w:t>de</w:t>
      </w:r>
      <w:r>
        <w:rPr>
          <w:spacing w:val="-7"/>
        </w:rPr>
        <w:t> </w:t>
      </w:r>
      <w:r>
        <w:rPr/>
        <w:t>escasez</w:t>
      </w:r>
      <w:r>
        <w:rPr>
          <w:spacing w:val="-8"/>
        </w:rPr>
        <w:t> </w:t>
      </w:r>
      <w:r>
        <w:rPr/>
        <w:t>y</w:t>
      </w:r>
      <w:r>
        <w:rPr>
          <w:spacing w:val="-8"/>
        </w:rPr>
        <w:t> </w:t>
      </w:r>
      <w:r>
        <w:rPr/>
        <w:t>retrasos</w:t>
      </w:r>
      <w:r>
        <w:rPr>
          <w:spacing w:val="-6"/>
        </w:rPr>
        <w:t> </w:t>
      </w:r>
      <w:r>
        <w:rPr/>
        <w:t>en las</w:t>
      </w:r>
      <w:r>
        <w:rPr>
          <w:spacing w:val="-2"/>
        </w:rPr>
        <w:t> </w:t>
      </w:r>
      <w:r>
        <w:rPr/>
        <w:t>entregas</w:t>
      </w:r>
      <w:r>
        <w:rPr>
          <w:spacing w:val="-1"/>
        </w:rPr>
        <w:t> </w:t>
      </w:r>
      <w:r>
        <w:rPr/>
        <w:t>de</w:t>
      </w:r>
      <w:r>
        <w:rPr>
          <w:spacing w:val="-4"/>
        </w:rPr>
        <w:t> </w:t>
      </w:r>
      <w:r>
        <w:rPr/>
        <w:t>materiales</w:t>
      </w:r>
      <w:r>
        <w:rPr>
          <w:spacing w:val="-2"/>
        </w:rPr>
        <w:t> </w:t>
      </w:r>
      <w:r>
        <w:rPr/>
        <w:t>por</w:t>
      </w:r>
      <w:r>
        <w:rPr>
          <w:spacing w:val="-3"/>
        </w:rPr>
        <w:t> </w:t>
      </w:r>
      <w:r>
        <w:rPr/>
        <w:t>parte</w:t>
      </w:r>
      <w:r>
        <w:rPr>
          <w:spacing w:val="-2"/>
        </w:rPr>
        <w:t> </w:t>
      </w:r>
      <w:r>
        <w:rPr/>
        <w:t>de</w:t>
      </w:r>
      <w:r>
        <w:rPr>
          <w:spacing w:val="-2"/>
        </w:rPr>
        <w:t> </w:t>
      </w:r>
      <w:r>
        <w:rPr/>
        <w:t>los</w:t>
      </w:r>
      <w:r>
        <w:rPr>
          <w:spacing w:val="-2"/>
        </w:rPr>
        <w:t> </w:t>
      </w:r>
      <w:r>
        <w:rPr/>
        <w:t>proveedores</w:t>
      </w:r>
      <w:r>
        <w:rPr>
          <w:spacing w:val="-1"/>
        </w:rPr>
        <w:t> </w:t>
      </w:r>
      <w:r>
        <w:rPr/>
        <w:t>de</w:t>
      </w:r>
      <w:r>
        <w:rPr>
          <w:spacing w:val="-4"/>
        </w:rPr>
        <w:t> </w:t>
      </w:r>
      <w:r>
        <w:rPr/>
        <w:t>componentes.</w:t>
      </w:r>
      <w:r>
        <w:rPr>
          <w:spacing w:val="-3"/>
        </w:rPr>
        <w:t> </w:t>
      </w:r>
      <w:r>
        <w:rPr/>
        <w:t>La</w:t>
      </w:r>
      <w:r>
        <w:rPr>
          <w:spacing w:val="-2"/>
        </w:rPr>
        <w:t> </w:t>
      </w:r>
      <w:r>
        <w:rPr/>
        <w:t>recepción</w:t>
      </w:r>
      <w:r>
        <w:rPr>
          <w:spacing w:val="-2"/>
        </w:rPr>
        <w:t> </w:t>
      </w:r>
      <w:r>
        <w:rPr/>
        <w:t>provisional del</w:t>
      </w:r>
      <w:r>
        <w:rPr>
          <w:spacing w:val="-6"/>
        </w:rPr>
        <w:t> </w:t>
      </w:r>
      <w:r>
        <w:rPr/>
        <w:t>autobús</w:t>
      </w:r>
      <w:r>
        <w:rPr>
          <w:spacing w:val="-8"/>
        </w:rPr>
        <w:t> </w:t>
      </w:r>
      <w:r>
        <w:rPr/>
        <w:t>se</w:t>
      </w:r>
      <w:r>
        <w:rPr>
          <w:spacing w:val="-8"/>
        </w:rPr>
        <w:t> </w:t>
      </w:r>
      <w:r>
        <w:rPr/>
        <w:t>efectuó</w:t>
      </w:r>
      <w:r>
        <w:rPr>
          <w:spacing w:val="-7"/>
        </w:rPr>
        <w:t> </w:t>
      </w:r>
      <w:r>
        <w:rPr/>
        <w:t>el</w:t>
      </w:r>
      <w:r>
        <w:rPr>
          <w:spacing w:val="-6"/>
        </w:rPr>
        <w:t> </w:t>
      </w:r>
      <w:r>
        <w:rPr/>
        <w:t>18</w:t>
      </w:r>
      <w:r>
        <w:rPr>
          <w:spacing w:val="-6"/>
        </w:rPr>
        <w:t> </w:t>
      </w:r>
      <w:r>
        <w:rPr/>
        <w:t>de</w:t>
      </w:r>
      <w:r>
        <w:rPr>
          <w:spacing w:val="-8"/>
        </w:rPr>
        <w:t> </w:t>
      </w:r>
      <w:r>
        <w:rPr/>
        <w:t>diciembre</w:t>
      </w:r>
      <w:r>
        <w:rPr>
          <w:spacing w:val="-5"/>
        </w:rPr>
        <w:t> </w:t>
      </w:r>
      <w:r>
        <w:rPr/>
        <w:t>de</w:t>
      </w:r>
      <w:r>
        <w:rPr>
          <w:spacing w:val="-8"/>
        </w:rPr>
        <w:t> </w:t>
      </w:r>
      <w:r>
        <w:rPr/>
        <w:t>2024,</w:t>
      </w:r>
      <w:r>
        <w:rPr>
          <w:spacing w:val="-4"/>
        </w:rPr>
        <w:t> </w:t>
      </w:r>
      <w:r>
        <w:rPr/>
        <w:t>en</w:t>
      </w:r>
      <w:r>
        <w:rPr>
          <w:spacing w:val="-8"/>
        </w:rPr>
        <w:t> </w:t>
      </w:r>
      <w:r>
        <w:rPr/>
        <w:t>la</w:t>
      </w:r>
      <w:r>
        <w:rPr>
          <w:spacing w:val="-5"/>
        </w:rPr>
        <w:t> </w:t>
      </w:r>
      <w:r>
        <w:rPr/>
        <w:t>que</w:t>
      </w:r>
      <w:r>
        <w:rPr>
          <w:spacing w:val="-8"/>
        </w:rPr>
        <w:t> </w:t>
      </w:r>
      <w:r>
        <w:rPr/>
        <w:t>se</w:t>
      </w:r>
      <w:r>
        <w:rPr>
          <w:spacing w:val="-8"/>
        </w:rPr>
        <w:t> </w:t>
      </w:r>
      <w:r>
        <w:rPr/>
        <w:t>puso</w:t>
      </w:r>
      <w:r>
        <w:rPr>
          <w:spacing w:val="-8"/>
        </w:rPr>
        <w:t> </w:t>
      </w:r>
      <w:r>
        <w:rPr/>
        <w:t>de</w:t>
      </w:r>
      <w:r>
        <w:rPr>
          <w:spacing w:val="-8"/>
        </w:rPr>
        <w:t> </w:t>
      </w:r>
      <w:r>
        <w:rPr/>
        <w:t>manifiesto</w:t>
      </w:r>
      <w:r>
        <w:rPr>
          <w:spacing w:val="-7"/>
        </w:rPr>
        <w:t> </w:t>
      </w:r>
      <w:r>
        <w:rPr/>
        <w:t>la</w:t>
      </w:r>
      <w:r>
        <w:rPr>
          <w:spacing w:val="-5"/>
        </w:rPr>
        <w:t> </w:t>
      </w:r>
      <w:r>
        <w:rPr/>
        <w:t>existencia</w:t>
      </w:r>
      <w:r>
        <w:rPr>
          <w:spacing w:val="-5"/>
        </w:rPr>
        <w:t> </w:t>
      </w:r>
      <w:r>
        <w:rPr/>
        <w:t>de una serie de anomalías que no impedían su recepción, que fueron subsanadas posteriormente, emitiéndose entonces una nueva acta de recepción sin deficiencias.</w:t>
      </w:r>
    </w:p>
    <w:p>
      <w:pPr>
        <w:pStyle w:val="BodyText"/>
        <w:spacing w:before="241"/>
        <w:ind w:left="992" w:right="988"/>
        <w:jc w:val="both"/>
      </w:pPr>
      <w:r>
        <w:rPr/>
        <w:t>También se produjeron retrasos en la entrega de los autobuses propulsados por GNC y de los eléctricos adquiridos por</w:t>
      </w:r>
      <w:r>
        <w:rPr>
          <w:spacing w:val="-1"/>
        </w:rPr>
        <w:t> </w:t>
      </w:r>
      <w:r>
        <w:rPr/>
        <w:t>la empresa</w:t>
      </w:r>
      <w:r>
        <w:rPr>
          <w:spacing w:val="-2"/>
        </w:rPr>
        <w:t> </w:t>
      </w:r>
      <w:r>
        <w:rPr/>
        <w:t>municipal de transporte</w:t>
      </w:r>
      <w:r>
        <w:rPr>
          <w:spacing w:val="-2"/>
        </w:rPr>
        <w:t> </w:t>
      </w:r>
      <w:r>
        <w:rPr/>
        <w:t>urbano del </w:t>
      </w:r>
      <w:r>
        <w:rPr>
          <w:b/>
        </w:rPr>
        <w:t>Ayuntamiento de Palma</w:t>
      </w:r>
      <w:r>
        <w:rPr/>
        <w:t>. Estaba previsto que 42 de los 44 autobuses propulsados por GNC se entregaran entre los meses de</w:t>
      </w:r>
      <w:r>
        <w:rPr>
          <w:spacing w:val="-8"/>
        </w:rPr>
        <w:t> </w:t>
      </w:r>
      <w:r>
        <w:rPr/>
        <w:t>octubre</w:t>
      </w:r>
      <w:r>
        <w:rPr>
          <w:spacing w:val="-10"/>
        </w:rPr>
        <w:t> </w:t>
      </w:r>
      <w:r>
        <w:rPr/>
        <w:t>de</w:t>
      </w:r>
      <w:r>
        <w:rPr>
          <w:spacing w:val="-11"/>
        </w:rPr>
        <w:t> </w:t>
      </w:r>
      <w:r>
        <w:rPr/>
        <w:t>2022</w:t>
      </w:r>
      <w:r>
        <w:rPr>
          <w:spacing w:val="-11"/>
        </w:rPr>
        <w:t> </w:t>
      </w:r>
      <w:r>
        <w:rPr/>
        <w:t>y</w:t>
      </w:r>
      <w:r>
        <w:rPr>
          <w:spacing w:val="-10"/>
        </w:rPr>
        <w:t> </w:t>
      </w:r>
      <w:r>
        <w:rPr/>
        <w:t>febrero</w:t>
      </w:r>
      <w:r>
        <w:rPr>
          <w:spacing w:val="-10"/>
        </w:rPr>
        <w:t> </w:t>
      </w:r>
      <w:r>
        <w:rPr/>
        <w:t>de</w:t>
      </w:r>
      <w:r>
        <w:rPr>
          <w:spacing w:val="-11"/>
        </w:rPr>
        <w:t> </w:t>
      </w:r>
      <w:r>
        <w:rPr/>
        <w:t>2023</w:t>
      </w:r>
      <w:r>
        <w:rPr>
          <w:spacing w:val="-11"/>
        </w:rPr>
        <w:t> </w:t>
      </w:r>
      <w:r>
        <w:rPr/>
        <w:t>y,</w:t>
      </w:r>
      <w:r>
        <w:rPr>
          <w:spacing w:val="-9"/>
        </w:rPr>
        <w:t> </w:t>
      </w:r>
      <w:r>
        <w:rPr/>
        <w:t>sin</w:t>
      </w:r>
      <w:r>
        <w:rPr>
          <w:spacing w:val="-10"/>
        </w:rPr>
        <w:t> </w:t>
      </w:r>
      <w:r>
        <w:rPr/>
        <w:t>embargo,</w:t>
      </w:r>
      <w:r>
        <w:rPr>
          <w:spacing w:val="-9"/>
        </w:rPr>
        <w:t> </w:t>
      </w:r>
      <w:r>
        <w:rPr/>
        <w:t>dieciocho</w:t>
      </w:r>
      <w:r>
        <w:rPr>
          <w:spacing w:val="-8"/>
        </w:rPr>
        <w:t> </w:t>
      </w:r>
      <w:r>
        <w:rPr/>
        <w:t>de</w:t>
      </w:r>
      <w:r>
        <w:rPr>
          <w:spacing w:val="-11"/>
        </w:rPr>
        <w:t> </w:t>
      </w:r>
      <w:r>
        <w:rPr/>
        <w:t>ellos</w:t>
      </w:r>
      <w:r>
        <w:rPr>
          <w:spacing w:val="-10"/>
        </w:rPr>
        <w:t> </w:t>
      </w:r>
      <w:r>
        <w:rPr/>
        <w:t>se</w:t>
      </w:r>
      <w:r>
        <w:rPr>
          <w:spacing w:val="-10"/>
        </w:rPr>
        <w:t> </w:t>
      </w:r>
      <w:r>
        <w:rPr/>
        <w:t>recibieron</w:t>
      </w:r>
      <w:r>
        <w:rPr>
          <w:spacing w:val="-10"/>
        </w:rPr>
        <w:t> </w:t>
      </w:r>
      <w:r>
        <w:rPr/>
        <w:t>superado</w:t>
      </w:r>
      <w:r>
        <w:rPr>
          <w:spacing w:val="-10"/>
        </w:rPr>
        <w:t> </w:t>
      </w:r>
      <w:r>
        <w:rPr/>
        <w:t>ese plazo, concluyendo las entregas en diciembre de 2023.</w:t>
      </w:r>
    </w:p>
    <w:p>
      <w:pPr>
        <w:pStyle w:val="BodyText"/>
        <w:spacing w:before="241"/>
        <w:ind w:left="992" w:right="986"/>
        <w:jc w:val="both"/>
      </w:pPr>
      <w:r>
        <w:rPr/>
        <w:t>Respecto de los autobuses eléctricos, el contrato preveía que los dos primeros debían ser entregados en un plazo máximo de once meses, plazo que se superó, recibiéndose cuatro meses más</w:t>
      </w:r>
      <w:r>
        <w:rPr>
          <w:spacing w:val="-16"/>
        </w:rPr>
        <w:t> </w:t>
      </w:r>
      <w:r>
        <w:rPr/>
        <w:t>tarde.</w:t>
      </w:r>
      <w:r>
        <w:rPr>
          <w:spacing w:val="-14"/>
        </w:rPr>
        <w:t> </w:t>
      </w:r>
      <w:r>
        <w:rPr/>
        <w:t>Los</w:t>
      </w:r>
      <w:r>
        <w:rPr>
          <w:spacing w:val="-12"/>
        </w:rPr>
        <w:t> </w:t>
      </w:r>
      <w:r>
        <w:rPr/>
        <w:t>dos</w:t>
      </w:r>
      <w:r>
        <w:rPr>
          <w:spacing w:val="-12"/>
        </w:rPr>
        <w:t> </w:t>
      </w:r>
      <w:r>
        <w:rPr/>
        <w:t>últimos</w:t>
      </w:r>
      <w:r>
        <w:rPr>
          <w:spacing w:val="-12"/>
        </w:rPr>
        <w:t> </w:t>
      </w:r>
      <w:r>
        <w:rPr/>
        <w:t>se</w:t>
      </w:r>
      <w:r>
        <w:rPr>
          <w:spacing w:val="-15"/>
        </w:rPr>
        <w:t> </w:t>
      </w:r>
      <w:r>
        <w:rPr/>
        <w:t>recibieron</w:t>
      </w:r>
      <w:r>
        <w:rPr>
          <w:spacing w:val="-15"/>
        </w:rPr>
        <w:t> </w:t>
      </w:r>
      <w:r>
        <w:rPr/>
        <w:t>en</w:t>
      </w:r>
      <w:r>
        <w:rPr>
          <w:spacing w:val="-13"/>
        </w:rPr>
        <w:t> </w:t>
      </w:r>
      <w:r>
        <w:rPr/>
        <w:t>noviembre</w:t>
      </w:r>
      <w:r>
        <w:rPr>
          <w:spacing w:val="-15"/>
        </w:rPr>
        <w:t> </w:t>
      </w:r>
      <w:r>
        <w:rPr/>
        <w:t>de</w:t>
      </w:r>
      <w:r>
        <w:rPr>
          <w:spacing w:val="-13"/>
        </w:rPr>
        <w:t> </w:t>
      </w:r>
      <w:r>
        <w:rPr/>
        <w:t>2024,</w:t>
      </w:r>
      <w:r>
        <w:rPr>
          <w:spacing w:val="-14"/>
        </w:rPr>
        <w:t> </w:t>
      </w:r>
      <w:r>
        <w:rPr/>
        <w:t>casi</w:t>
      </w:r>
      <w:r>
        <w:rPr>
          <w:spacing w:val="-14"/>
        </w:rPr>
        <w:t> </w:t>
      </w:r>
      <w:r>
        <w:rPr/>
        <w:t>un</w:t>
      </w:r>
      <w:r>
        <w:rPr>
          <w:spacing w:val="-15"/>
        </w:rPr>
        <w:t> </w:t>
      </w:r>
      <w:r>
        <w:rPr/>
        <w:t>año</w:t>
      </w:r>
      <w:r>
        <w:rPr>
          <w:spacing w:val="-13"/>
        </w:rPr>
        <w:t> </w:t>
      </w:r>
      <w:r>
        <w:rPr/>
        <w:t>más</w:t>
      </w:r>
      <w:r>
        <w:rPr>
          <w:spacing w:val="-16"/>
        </w:rPr>
        <w:t> </w:t>
      </w:r>
      <w:r>
        <w:rPr/>
        <w:t>tarde</w:t>
      </w:r>
      <w:r>
        <w:rPr>
          <w:spacing w:val="-14"/>
        </w:rPr>
        <w:t> </w:t>
      </w:r>
      <w:r>
        <w:rPr/>
        <w:t>de</w:t>
      </w:r>
      <w:r>
        <w:rPr>
          <w:spacing w:val="-13"/>
        </w:rPr>
        <w:t> </w:t>
      </w:r>
      <w:r>
        <w:rPr/>
        <w:t>lo</w:t>
      </w:r>
      <w:r>
        <w:rPr>
          <w:spacing w:val="-15"/>
        </w:rPr>
        <w:t> </w:t>
      </w:r>
      <w:r>
        <w:rPr/>
        <w:t>previsto contractualmente y del plazo previsto para su ejecución para la percepción de las ayudas procedentes</w:t>
      </w:r>
      <w:r>
        <w:rPr>
          <w:spacing w:val="-16"/>
        </w:rPr>
        <w:t> </w:t>
      </w:r>
      <w:r>
        <w:rPr/>
        <w:t>del</w:t>
      </w:r>
      <w:r>
        <w:rPr>
          <w:spacing w:val="-15"/>
        </w:rPr>
        <w:t> </w:t>
      </w:r>
      <w:r>
        <w:rPr/>
        <w:t>PRTR.</w:t>
      </w:r>
      <w:r>
        <w:rPr>
          <w:spacing w:val="-15"/>
        </w:rPr>
        <w:t> </w:t>
      </w:r>
      <w:r>
        <w:rPr/>
        <w:t>El</w:t>
      </w:r>
      <w:r>
        <w:rPr>
          <w:spacing w:val="-16"/>
        </w:rPr>
        <w:t> </w:t>
      </w:r>
      <w:r>
        <w:rPr>
          <w:b/>
        </w:rPr>
        <w:t>Ayuntamiento</w:t>
      </w:r>
      <w:r>
        <w:rPr>
          <w:b/>
          <w:spacing w:val="-15"/>
        </w:rPr>
        <w:t> </w:t>
      </w:r>
      <w:r>
        <w:rPr>
          <w:b/>
        </w:rPr>
        <w:t>de</w:t>
      </w:r>
      <w:r>
        <w:rPr>
          <w:b/>
          <w:spacing w:val="-15"/>
        </w:rPr>
        <w:t> </w:t>
      </w:r>
      <w:r>
        <w:rPr>
          <w:b/>
        </w:rPr>
        <w:t>Palma</w:t>
      </w:r>
      <w:r>
        <w:rPr>
          <w:b/>
          <w:spacing w:val="-15"/>
        </w:rPr>
        <w:t> </w:t>
      </w:r>
      <w:r>
        <w:rPr/>
        <w:t>solicitó</w:t>
      </w:r>
      <w:r>
        <w:rPr>
          <w:spacing w:val="-16"/>
        </w:rPr>
        <w:t> </w:t>
      </w:r>
      <w:r>
        <w:rPr/>
        <w:t>el</w:t>
      </w:r>
      <w:r>
        <w:rPr>
          <w:spacing w:val="-15"/>
        </w:rPr>
        <w:t> </w:t>
      </w:r>
      <w:r>
        <w:rPr/>
        <w:t>15</w:t>
      </w:r>
      <w:r>
        <w:rPr>
          <w:spacing w:val="-15"/>
        </w:rPr>
        <w:t> </w:t>
      </w:r>
      <w:r>
        <w:rPr/>
        <w:t>de</w:t>
      </w:r>
      <w:r>
        <w:rPr>
          <w:spacing w:val="-16"/>
        </w:rPr>
        <w:t> </w:t>
      </w:r>
      <w:r>
        <w:rPr/>
        <w:t>enero</w:t>
      </w:r>
      <w:r>
        <w:rPr>
          <w:spacing w:val="-15"/>
        </w:rPr>
        <w:t> </w:t>
      </w:r>
      <w:r>
        <w:rPr/>
        <w:t>de</w:t>
      </w:r>
      <w:r>
        <w:rPr>
          <w:spacing w:val="-15"/>
        </w:rPr>
        <w:t> </w:t>
      </w:r>
      <w:r>
        <w:rPr/>
        <w:t>2024</w:t>
      </w:r>
      <w:r>
        <w:rPr>
          <w:spacing w:val="-15"/>
        </w:rPr>
        <w:t> </w:t>
      </w:r>
      <w:r>
        <w:rPr/>
        <w:t>ante</w:t>
      </w:r>
      <w:r>
        <w:rPr>
          <w:spacing w:val="-16"/>
        </w:rPr>
        <w:t> </w:t>
      </w:r>
      <w:r>
        <w:rPr/>
        <w:t>el</w:t>
      </w:r>
      <w:r>
        <w:rPr>
          <w:spacing w:val="-15"/>
        </w:rPr>
        <w:t> </w:t>
      </w:r>
      <w:r>
        <w:rPr/>
        <w:t>Ministerio de Transportes y Movilidad Sostenible una modificación del plazo de ejecución para la compra de doce</w:t>
      </w:r>
      <w:r>
        <w:rPr>
          <w:spacing w:val="-5"/>
        </w:rPr>
        <w:t> </w:t>
      </w:r>
      <w:r>
        <w:rPr/>
        <w:t>autobuses</w:t>
      </w:r>
      <w:r>
        <w:rPr>
          <w:spacing w:val="-5"/>
        </w:rPr>
        <w:t> </w:t>
      </w:r>
      <w:r>
        <w:rPr/>
        <w:t>eléctricos,</w:t>
      </w:r>
      <w:r>
        <w:rPr>
          <w:spacing w:val="-4"/>
        </w:rPr>
        <w:t> </w:t>
      </w:r>
      <w:r>
        <w:rPr/>
        <w:t>petición</w:t>
      </w:r>
      <w:r>
        <w:rPr>
          <w:spacing w:val="-5"/>
        </w:rPr>
        <w:t> </w:t>
      </w:r>
      <w:r>
        <w:rPr/>
        <w:t>que</w:t>
      </w:r>
      <w:r>
        <w:rPr>
          <w:spacing w:val="-5"/>
        </w:rPr>
        <w:t> </w:t>
      </w:r>
      <w:r>
        <w:rPr/>
        <w:t>ha</w:t>
      </w:r>
      <w:r>
        <w:rPr>
          <w:spacing w:val="-5"/>
        </w:rPr>
        <w:t> </w:t>
      </w:r>
      <w:r>
        <w:rPr/>
        <w:t>sido</w:t>
      </w:r>
      <w:r>
        <w:rPr>
          <w:spacing w:val="-5"/>
        </w:rPr>
        <w:t> </w:t>
      </w:r>
      <w:r>
        <w:rPr/>
        <w:t>inadmitida</w:t>
      </w:r>
      <w:r>
        <w:rPr>
          <w:spacing w:val="-5"/>
        </w:rPr>
        <w:t> </w:t>
      </w:r>
      <w:r>
        <w:rPr/>
        <w:t>por</w:t>
      </w:r>
      <w:r>
        <w:rPr>
          <w:spacing w:val="-6"/>
        </w:rPr>
        <w:t> </w:t>
      </w:r>
      <w:r>
        <w:rPr/>
        <w:t>extemporánea,</w:t>
      </w:r>
      <w:r>
        <w:rPr>
          <w:spacing w:val="-4"/>
        </w:rPr>
        <w:t> </w:t>
      </w:r>
      <w:r>
        <w:rPr/>
        <w:t>al</w:t>
      </w:r>
      <w:r>
        <w:rPr>
          <w:spacing w:val="-6"/>
        </w:rPr>
        <w:t> </w:t>
      </w:r>
      <w:r>
        <w:rPr/>
        <w:t>haberse</w:t>
      </w:r>
      <w:r>
        <w:rPr>
          <w:spacing w:val="-5"/>
        </w:rPr>
        <w:t> </w:t>
      </w:r>
      <w:r>
        <w:rPr/>
        <w:t>solicitado por el Ayuntamiento después del 31 de diciembre de 2023, fecha límite para concluir la actuación objeto de la ayuda.</w:t>
      </w:r>
    </w:p>
    <w:p>
      <w:pPr>
        <w:pStyle w:val="BodyText"/>
        <w:spacing w:before="238"/>
        <w:ind w:left="992" w:right="986"/>
        <w:jc w:val="both"/>
      </w:pPr>
      <w:r>
        <w:rPr/>
        <w:t>La</w:t>
      </w:r>
      <w:r>
        <w:rPr>
          <w:spacing w:val="-16"/>
        </w:rPr>
        <w:t> </w:t>
      </w:r>
      <w:r>
        <w:rPr/>
        <w:t>empresa</w:t>
      </w:r>
      <w:r>
        <w:rPr>
          <w:spacing w:val="-15"/>
        </w:rPr>
        <w:t> </w:t>
      </w:r>
      <w:r>
        <w:rPr/>
        <w:t>municipal</w:t>
      </w:r>
      <w:r>
        <w:rPr>
          <w:spacing w:val="-15"/>
        </w:rPr>
        <w:t> </w:t>
      </w:r>
      <w:r>
        <w:rPr/>
        <w:t>de</w:t>
      </w:r>
      <w:r>
        <w:rPr>
          <w:spacing w:val="-16"/>
        </w:rPr>
        <w:t> </w:t>
      </w:r>
      <w:r>
        <w:rPr/>
        <w:t>transporte</w:t>
      </w:r>
      <w:r>
        <w:rPr>
          <w:spacing w:val="-15"/>
        </w:rPr>
        <w:t> </w:t>
      </w:r>
      <w:r>
        <w:rPr/>
        <w:t>urbano</w:t>
      </w:r>
      <w:r>
        <w:rPr>
          <w:spacing w:val="-15"/>
        </w:rPr>
        <w:t> </w:t>
      </w:r>
      <w:r>
        <w:rPr/>
        <w:t>del</w:t>
      </w:r>
      <w:r>
        <w:rPr>
          <w:spacing w:val="-15"/>
        </w:rPr>
        <w:t> </w:t>
      </w:r>
      <w:r>
        <w:rPr>
          <w:b/>
        </w:rPr>
        <w:t>Ayuntamiento</w:t>
      </w:r>
      <w:r>
        <w:rPr>
          <w:b/>
          <w:spacing w:val="-16"/>
        </w:rPr>
        <w:t> </w:t>
      </w:r>
      <w:r>
        <w:rPr>
          <w:b/>
        </w:rPr>
        <w:t>de</w:t>
      </w:r>
      <w:r>
        <w:rPr>
          <w:b/>
          <w:spacing w:val="-15"/>
        </w:rPr>
        <w:t> </w:t>
      </w:r>
      <w:r>
        <w:rPr>
          <w:b/>
        </w:rPr>
        <w:t>Palma</w:t>
      </w:r>
      <w:r>
        <w:rPr>
          <w:b/>
          <w:spacing w:val="-15"/>
        </w:rPr>
        <w:t> </w:t>
      </w:r>
      <w:r>
        <w:rPr/>
        <w:t>también</w:t>
      </w:r>
      <w:r>
        <w:rPr>
          <w:spacing w:val="-16"/>
        </w:rPr>
        <w:t> </w:t>
      </w:r>
      <w:r>
        <w:rPr/>
        <w:t>adquirió</w:t>
      </w:r>
      <w:r>
        <w:rPr>
          <w:spacing w:val="-15"/>
        </w:rPr>
        <w:t> </w:t>
      </w:r>
      <w:r>
        <w:rPr/>
        <w:t>en</w:t>
      </w:r>
      <w:r>
        <w:rPr>
          <w:spacing w:val="-15"/>
        </w:rPr>
        <w:t> </w:t>
      </w:r>
      <w:r>
        <w:rPr/>
        <w:t>marzo de 2022 cinco autobuses eléctricos de pila de hidrógeno. Según la memoria del expediente contractual tramitado al efecto, este tipo de vehículos tenían la ventaja de no estar limitados a infraestructuras</w:t>
      </w:r>
      <w:r>
        <w:rPr>
          <w:spacing w:val="-13"/>
        </w:rPr>
        <w:t> </w:t>
      </w:r>
      <w:r>
        <w:rPr/>
        <w:t>fijas</w:t>
      </w:r>
      <w:r>
        <w:rPr>
          <w:spacing w:val="-11"/>
        </w:rPr>
        <w:t> </w:t>
      </w:r>
      <w:r>
        <w:rPr/>
        <w:t>durante</w:t>
      </w:r>
      <w:r>
        <w:rPr>
          <w:spacing w:val="-13"/>
        </w:rPr>
        <w:t> </w:t>
      </w:r>
      <w:r>
        <w:rPr/>
        <w:t>toda</w:t>
      </w:r>
      <w:r>
        <w:rPr>
          <w:spacing w:val="-11"/>
        </w:rPr>
        <w:t> </w:t>
      </w:r>
      <w:r>
        <w:rPr/>
        <w:t>la</w:t>
      </w:r>
      <w:r>
        <w:rPr>
          <w:spacing w:val="-14"/>
        </w:rPr>
        <w:t> </w:t>
      </w:r>
      <w:r>
        <w:rPr/>
        <w:t>jornada</w:t>
      </w:r>
      <w:r>
        <w:rPr>
          <w:spacing w:val="-14"/>
        </w:rPr>
        <w:t> </w:t>
      </w:r>
      <w:r>
        <w:rPr/>
        <w:t>operativa</w:t>
      </w:r>
      <w:r>
        <w:rPr>
          <w:spacing w:val="-11"/>
        </w:rPr>
        <w:t> </w:t>
      </w:r>
      <w:r>
        <w:rPr/>
        <w:t>y</w:t>
      </w:r>
      <w:r>
        <w:rPr>
          <w:spacing w:val="-13"/>
        </w:rPr>
        <w:t> </w:t>
      </w:r>
      <w:r>
        <w:rPr/>
        <w:t>la</w:t>
      </w:r>
      <w:r>
        <w:rPr>
          <w:spacing w:val="-14"/>
        </w:rPr>
        <w:t> </w:t>
      </w:r>
      <w:r>
        <w:rPr/>
        <w:t>recarga</w:t>
      </w:r>
      <w:r>
        <w:rPr>
          <w:spacing w:val="-14"/>
        </w:rPr>
        <w:t> </w:t>
      </w:r>
      <w:r>
        <w:rPr/>
        <w:t>de</w:t>
      </w:r>
      <w:r>
        <w:rPr>
          <w:spacing w:val="-14"/>
        </w:rPr>
        <w:t> </w:t>
      </w:r>
      <w:r>
        <w:rPr/>
        <w:t>energía</w:t>
      </w:r>
      <w:r>
        <w:rPr>
          <w:spacing w:val="-11"/>
        </w:rPr>
        <w:t> </w:t>
      </w:r>
      <w:r>
        <w:rPr/>
        <w:t>se</w:t>
      </w:r>
      <w:r>
        <w:rPr>
          <w:spacing w:val="-9"/>
        </w:rPr>
        <w:t> </w:t>
      </w:r>
      <w:r>
        <w:rPr/>
        <w:t>podía</w:t>
      </w:r>
      <w:r>
        <w:rPr>
          <w:spacing w:val="-11"/>
        </w:rPr>
        <w:t> </w:t>
      </w:r>
      <w:r>
        <w:rPr/>
        <w:t>llevar</w:t>
      </w:r>
      <w:r>
        <w:rPr>
          <w:spacing w:val="-12"/>
        </w:rPr>
        <w:t> </w:t>
      </w:r>
      <w:r>
        <w:rPr/>
        <w:t>a</w:t>
      </w:r>
      <w:r>
        <w:rPr>
          <w:spacing w:val="-14"/>
        </w:rPr>
        <w:t> </w:t>
      </w:r>
      <w:r>
        <w:rPr/>
        <w:t>cabo al regresar a la cochera en un proceso que podía durar unos quince minutos. No obstante, dicha compra estaba condicionada a la disponibilidad de una estación de suministro y de su correspondiente</w:t>
      </w:r>
      <w:r>
        <w:rPr>
          <w:spacing w:val="-7"/>
        </w:rPr>
        <w:t> </w:t>
      </w:r>
      <w:r>
        <w:rPr/>
        <w:t>hidrógeno,</w:t>
      </w:r>
      <w:r>
        <w:rPr>
          <w:spacing w:val="-8"/>
        </w:rPr>
        <w:t> </w:t>
      </w:r>
      <w:r>
        <w:rPr/>
        <w:t>reservándose</w:t>
      </w:r>
      <w:r>
        <w:rPr>
          <w:spacing w:val="-7"/>
        </w:rPr>
        <w:t> </w:t>
      </w:r>
      <w:r>
        <w:rPr/>
        <w:t>la</w:t>
      </w:r>
      <w:r>
        <w:rPr>
          <w:spacing w:val="-10"/>
        </w:rPr>
        <w:t> </w:t>
      </w:r>
      <w:r>
        <w:rPr/>
        <w:t>empresa</w:t>
      </w:r>
      <w:r>
        <w:rPr>
          <w:spacing w:val="-10"/>
        </w:rPr>
        <w:t> </w:t>
      </w:r>
      <w:r>
        <w:rPr/>
        <w:t>municipal</w:t>
      </w:r>
      <w:r>
        <w:rPr>
          <w:spacing w:val="-7"/>
        </w:rPr>
        <w:t> </w:t>
      </w:r>
      <w:r>
        <w:rPr/>
        <w:t>el</w:t>
      </w:r>
      <w:r>
        <w:rPr>
          <w:spacing w:val="-8"/>
        </w:rPr>
        <w:t> </w:t>
      </w:r>
      <w:r>
        <w:rPr/>
        <w:t>derecho</w:t>
      </w:r>
      <w:r>
        <w:rPr>
          <w:spacing w:val="-7"/>
        </w:rPr>
        <w:t> </w:t>
      </w:r>
      <w:r>
        <w:rPr/>
        <w:t>de</w:t>
      </w:r>
      <w:r>
        <w:rPr>
          <w:spacing w:val="-8"/>
        </w:rPr>
        <w:t> </w:t>
      </w:r>
      <w:r>
        <w:rPr/>
        <w:t>desistir</w:t>
      </w:r>
      <w:r>
        <w:rPr>
          <w:spacing w:val="-6"/>
        </w:rPr>
        <w:t> </w:t>
      </w:r>
      <w:r>
        <w:rPr/>
        <w:t>de</w:t>
      </w:r>
      <w:r>
        <w:rPr>
          <w:spacing w:val="-7"/>
        </w:rPr>
        <w:t> </w:t>
      </w:r>
      <w:r>
        <w:rPr/>
        <w:t>la</w:t>
      </w:r>
      <w:r>
        <w:rPr>
          <w:spacing w:val="-10"/>
        </w:rPr>
        <w:t> </w:t>
      </w:r>
      <w:r>
        <w:rPr/>
        <w:t>compra por motivos de interés público, en caso de que ello no se cumpliera.</w:t>
      </w:r>
    </w:p>
    <w:p>
      <w:pPr>
        <w:pStyle w:val="BodyText"/>
        <w:spacing w:before="242"/>
        <w:ind w:left="992" w:right="988"/>
        <w:jc w:val="both"/>
      </w:pPr>
      <w:r>
        <w:rPr/>
        <w:t>Los cincos autobuses se recepcionaron y empezaron a funcionar entre marzo y octubre de 2023. No obstante, la planta privada generadora de hidrógeno con el que iban a operar no inició su producción hasta septiembre</w:t>
      </w:r>
      <w:r>
        <w:rPr>
          <w:spacing w:val="-1"/>
        </w:rPr>
        <w:t> </w:t>
      </w:r>
      <w:r>
        <w:rPr/>
        <w:t>de 2024, con</w:t>
      </w:r>
      <w:r>
        <w:rPr>
          <w:spacing w:val="-1"/>
        </w:rPr>
        <w:t> </w:t>
      </w:r>
      <w:r>
        <w:rPr/>
        <w:t>un</w:t>
      </w:r>
      <w:r>
        <w:rPr>
          <w:spacing w:val="-2"/>
        </w:rPr>
        <w:t> </w:t>
      </w:r>
      <w:r>
        <w:rPr/>
        <w:t>retraso aproximado de</w:t>
      </w:r>
      <w:r>
        <w:rPr>
          <w:spacing w:val="-1"/>
        </w:rPr>
        <w:t> </w:t>
      </w:r>
      <w:r>
        <w:rPr/>
        <w:t>dos</w:t>
      </w:r>
      <w:r>
        <w:rPr>
          <w:spacing w:val="-1"/>
        </w:rPr>
        <w:t> </w:t>
      </w:r>
      <w:r>
        <w:rPr/>
        <w:t>años y</w:t>
      </w:r>
      <w:r>
        <w:rPr>
          <w:spacing w:val="-1"/>
        </w:rPr>
        <w:t> </w:t>
      </w:r>
      <w:r>
        <w:rPr/>
        <w:t>medio</w:t>
      </w:r>
      <w:r>
        <w:rPr>
          <w:spacing w:val="-2"/>
        </w:rPr>
        <w:t> </w:t>
      </w:r>
      <w:r>
        <w:rPr/>
        <w:t>respecto</w:t>
      </w:r>
      <w:r>
        <w:rPr>
          <w:spacing w:val="-1"/>
        </w:rPr>
        <w:t> </w:t>
      </w:r>
      <w:r>
        <w:rPr/>
        <w:t>a la fecha prevista de puesta en marcha de la instalación (finales de 2022).</w:t>
      </w:r>
    </w:p>
    <w:p>
      <w:pPr>
        <w:pStyle w:val="BodyText"/>
        <w:spacing w:before="239"/>
        <w:ind w:left="992" w:right="987"/>
        <w:jc w:val="both"/>
      </w:pPr>
      <w:r>
        <w:rPr/>
        <w:t>Durante</w:t>
      </w:r>
      <w:r>
        <w:rPr>
          <w:spacing w:val="-2"/>
        </w:rPr>
        <w:t> </w:t>
      </w:r>
      <w:r>
        <w:rPr/>
        <w:t>este</w:t>
      </w:r>
      <w:r>
        <w:rPr>
          <w:spacing w:val="-2"/>
        </w:rPr>
        <w:t> </w:t>
      </w:r>
      <w:r>
        <w:rPr/>
        <w:t>periodo,</w:t>
      </w:r>
      <w:r>
        <w:rPr>
          <w:spacing w:val="-3"/>
        </w:rPr>
        <w:t> </w:t>
      </w:r>
      <w:r>
        <w:rPr/>
        <w:t>el</w:t>
      </w:r>
      <w:r>
        <w:rPr>
          <w:spacing w:val="-3"/>
        </w:rPr>
        <w:t> </w:t>
      </w:r>
      <w:r>
        <w:rPr/>
        <w:t>suministro</w:t>
      </w:r>
      <w:r>
        <w:rPr>
          <w:spacing w:val="-4"/>
        </w:rPr>
        <w:t> </w:t>
      </w:r>
      <w:r>
        <w:rPr/>
        <w:t>se</w:t>
      </w:r>
      <w:r>
        <w:rPr>
          <w:spacing w:val="-2"/>
        </w:rPr>
        <w:t> </w:t>
      </w:r>
      <w:r>
        <w:rPr/>
        <w:t>realizó</w:t>
      </w:r>
      <w:r>
        <w:rPr>
          <w:spacing w:val="-2"/>
        </w:rPr>
        <w:t> </w:t>
      </w:r>
      <w:r>
        <w:rPr/>
        <w:t>mediante hidrógeno</w:t>
      </w:r>
      <w:r>
        <w:rPr>
          <w:spacing w:val="-2"/>
        </w:rPr>
        <w:t> </w:t>
      </w:r>
      <w:r>
        <w:rPr/>
        <w:t>transportado</w:t>
      </w:r>
      <w:r>
        <w:rPr>
          <w:spacing w:val="-1"/>
        </w:rPr>
        <w:t> </w:t>
      </w:r>
      <w:r>
        <w:rPr/>
        <w:t>desde</w:t>
      </w:r>
      <w:r>
        <w:rPr>
          <w:spacing w:val="-2"/>
        </w:rPr>
        <w:t> </w:t>
      </w:r>
      <w:r>
        <w:rPr/>
        <w:t>la</w:t>
      </w:r>
      <w:r>
        <w:rPr>
          <w:spacing w:val="-2"/>
        </w:rPr>
        <w:t> </w:t>
      </w:r>
      <w:r>
        <w:rPr/>
        <w:t>península por vía marítima y posteriormente hasta las cocheras de la empresa municipal. Esta solución provisional</w:t>
      </w:r>
      <w:r>
        <w:rPr>
          <w:spacing w:val="-7"/>
        </w:rPr>
        <w:t> </w:t>
      </w:r>
      <w:r>
        <w:rPr/>
        <w:t>implicaba</w:t>
      </w:r>
      <w:r>
        <w:rPr>
          <w:spacing w:val="-6"/>
        </w:rPr>
        <w:t> </w:t>
      </w:r>
      <w:r>
        <w:rPr/>
        <w:t>unos</w:t>
      </w:r>
      <w:r>
        <w:rPr>
          <w:spacing w:val="-6"/>
        </w:rPr>
        <w:t> </w:t>
      </w:r>
      <w:r>
        <w:rPr/>
        <w:t>costes</w:t>
      </w:r>
      <w:r>
        <w:rPr>
          <w:spacing w:val="-9"/>
        </w:rPr>
        <w:t> </w:t>
      </w:r>
      <w:r>
        <w:rPr/>
        <w:t>económicos</w:t>
      </w:r>
      <w:r>
        <w:rPr>
          <w:spacing w:val="-9"/>
        </w:rPr>
        <w:t> </w:t>
      </w:r>
      <w:r>
        <w:rPr/>
        <w:t>y</w:t>
      </w:r>
      <w:r>
        <w:rPr>
          <w:spacing w:val="-11"/>
        </w:rPr>
        <w:t> </w:t>
      </w:r>
      <w:r>
        <w:rPr/>
        <w:t>de</w:t>
      </w:r>
      <w:r>
        <w:rPr>
          <w:spacing w:val="-7"/>
        </w:rPr>
        <w:t> </w:t>
      </w:r>
      <w:r>
        <w:rPr/>
        <w:t>gestión</w:t>
      </w:r>
      <w:r>
        <w:rPr>
          <w:spacing w:val="-9"/>
        </w:rPr>
        <w:t> </w:t>
      </w:r>
      <w:r>
        <w:rPr/>
        <w:t>logística</w:t>
      </w:r>
      <w:r>
        <w:rPr>
          <w:spacing w:val="-9"/>
        </w:rPr>
        <w:t> </w:t>
      </w:r>
      <w:r>
        <w:rPr/>
        <w:t>muy</w:t>
      </w:r>
      <w:r>
        <w:rPr>
          <w:spacing w:val="-11"/>
        </w:rPr>
        <w:t> </w:t>
      </w:r>
      <w:r>
        <w:rPr/>
        <w:t>elevados,</w:t>
      </w:r>
      <w:r>
        <w:rPr>
          <w:spacing w:val="-5"/>
        </w:rPr>
        <w:t> </w:t>
      </w:r>
      <w:r>
        <w:rPr/>
        <w:t>lo</w:t>
      </w:r>
      <w:r>
        <w:rPr>
          <w:spacing w:val="-9"/>
        </w:rPr>
        <w:t> </w:t>
      </w:r>
      <w:r>
        <w:rPr/>
        <w:t>que</w:t>
      </w:r>
      <w:r>
        <w:rPr>
          <w:spacing w:val="-9"/>
        </w:rPr>
        <w:t> </w:t>
      </w:r>
      <w:r>
        <w:rPr/>
        <w:t>motivó</w:t>
      </w:r>
      <w:r>
        <w:rPr>
          <w:spacing w:val="-5"/>
        </w:rPr>
        <w:t> </w:t>
      </w:r>
      <w:r>
        <w:rPr/>
        <w:t>la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6"/>
        <w:jc w:val="both"/>
      </w:pPr>
      <w:r>
        <w:rPr/>
        <w:t>paralización del repostaje con hidrógeno hasta la entrada en funcionamiento efectiva de la planta. Además, mediante este método, la carga de hidrógeno en los vehículos era insuficiente para que los</w:t>
      </w:r>
      <w:r>
        <w:rPr>
          <w:spacing w:val="-8"/>
        </w:rPr>
        <w:t> </w:t>
      </w:r>
      <w:r>
        <w:rPr/>
        <w:t>buses</w:t>
      </w:r>
      <w:r>
        <w:rPr>
          <w:spacing w:val="-8"/>
        </w:rPr>
        <w:t> </w:t>
      </w:r>
      <w:r>
        <w:rPr/>
        <w:t>pudieran</w:t>
      </w:r>
      <w:r>
        <w:rPr>
          <w:spacing w:val="-10"/>
        </w:rPr>
        <w:t> </w:t>
      </w:r>
      <w:r>
        <w:rPr/>
        <w:t>trabajar</w:t>
      </w:r>
      <w:r>
        <w:rPr>
          <w:spacing w:val="-7"/>
        </w:rPr>
        <w:t> </w:t>
      </w:r>
      <w:r>
        <w:rPr/>
        <w:t>una</w:t>
      </w:r>
      <w:r>
        <w:rPr>
          <w:spacing w:val="-10"/>
        </w:rPr>
        <w:t> </w:t>
      </w:r>
      <w:r>
        <w:rPr/>
        <w:t>jornada</w:t>
      </w:r>
      <w:r>
        <w:rPr>
          <w:spacing w:val="-11"/>
        </w:rPr>
        <w:t> </w:t>
      </w:r>
      <w:r>
        <w:rPr/>
        <w:t>completa,</w:t>
      </w:r>
      <w:r>
        <w:rPr>
          <w:spacing w:val="-8"/>
        </w:rPr>
        <w:t> </w:t>
      </w:r>
      <w:r>
        <w:rPr/>
        <w:t>al</w:t>
      </w:r>
      <w:r>
        <w:rPr>
          <w:spacing w:val="-9"/>
        </w:rPr>
        <w:t> </w:t>
      </w:r>
      <w:r>
        <w:rPr/>
        <w:t>ser</w:t>
      </w:r>
      <w:r>
        <w:rPr>
          <w:spacing w:val="-7"/>
        </w:rPr>
        <w:t> </w:t>
      </w:r>
      <w:r>
        <w:rPr/>
        <w:t>la</w:t>
      </w:r>
      <w:r>
        <w:rPr>
          <w:spacing w:val="-8"/>
        </w:rPr>
        <w:t> </w:t>
      </w:r>
      <w:r>
        <w:rPr/>
        <w:t>presión</w:t>
      </w:r>
      <w:r>
        <w:rPr>
          <w:spacing w:val="-11"/>
        </w:rPr>
        <w:t> </w:t>
      </w:r>
      <w:r>
        <w:rPr/>
        <w:t>recibida</w:t>
      </w:r>
      <w:r>
        <w:rPr>
          <w:spacing w:val="-6"/>
        </w:rPr>
        <w:t> </w:t>
      </w:r>
      <w:r>
        <w:rPr/>
        <w:t>muy</w:t>
      </w:r>
      <w:r>
        <w:rPr>
          <w:spacing w:val="-10"/>
        </w:rPr>
        <w:t> </w:t>
      </w:r>
      <w:r>
        <w:rPr/>
        <w:t>inferior</w:t>
      </w:r>
      <w:r>
        <w:rPr>
          <w:spacing w:val="-9"/>
        </w:rPr>
        <w:t> </w:t>
      </w:r>
      <w:r>
        <w:rPr/>
        <w:t>a</w:t>
      </w:r>
      <w:r>
        <w:rPr>
          <w:spacing w:val="-8"/>
        </w:rPr>
        <w:t> </w:t>
      </w:r>
      <w:r>
        <w:rPr/>
        <w:t>la</w:t>
      </w:r>
      <w:r>
        <w:rPr>
          <w:spacing w:val="-8"/>
        </w:rPr>
        <w:t> </w:t>
      </w:r>
      <w:r>
        <w:rPr/>
        <w:t>óptima. Una vez iniciada la producción en la planta, se procedió a la reactivación del proyecto</w:t>
      </w:r>
      <w:hyperlink w:history="true" w:anchor="_bookmark54">
        <w:r>
          <w:rPr>
            <w:vertAlign w:val="superscript"/>
          </w:rPr>
          <w:t>31</w:t>
        </w:r>
        <w:r>
          <w:rPr>
            <w:vertAlign w:val="baseline"/>
          </w:rPr>
          <w:t>.</w:t>
        </w:r>
      </w:hyperlink>
    </w:p>
    <w:p>
      <w:pPr>
        <w:pStyle w:val="BodyText"/>
        <w:spacing w:before="241"/>
        <w:ind w:left="992" w:right="990"/>
        <w:jc w:val="both"/>
      </w:pPr>
      <w:r>
        <w:rPr/>
        <w:t>A consecuencia de la inactividad de los vehículos fue necesario llevar a cabo diversas revisiones técnicas y reparación de averías. La demora de la puesta en funcionamiento de los autobuses ha generado incidencias tales como la</w:t>
      </w:r>
      <w:r>
        <w:rPr>
          <w:spacing w:val="-1"/>
        </w:rPr>
        <w:t> </w:t>
      </w:r>
      <w:r>
        <w:rPr/>
        <w:t>pérdida</w:t>
      </w:r>
      <w:r>
        <w:rPr>
          <w:spacing w:val="-1"/>
        </w:rPr>
        <w:t> </w:t>
      </w:r>
      <w:r>
        <w:rPr/>
        <w:t>de garantías y pérdida del</w:t>
      </w:r>
      <w:r>
        <w:rPr>
          <w:spacing w:val="-1"/>
        </w:rPr>
        <w:t> </w:t>
      </w:r>
      <w:r>
        <w:rPr/>
        <w:t>servicio para la ciudadanía, al no poder incorporar temporalmente al servicio los cinco autobuses.</w:t>
      </w:r>
    </w:p>
    <w:p>
      <w:pPr>
        <w:pStyle w:val="BodyText"/>
        <w:spacing w:before="241"/>
        <w:ind w:left="992" w:right="984"/>
        <w:jc w:val="both"/>
      </w:pPr>
      <w:r>
        <w:rPr/>
        <w:t>Igualmente se han producido ligeros retrasos en la entrega de los vehículos adquiridos por la empresa concesionaria del servicio de transporte público por autobús en </w:t>
      </w:r>
      <w:r>
        <w:rPr>
          <w:b/>
        </w:rPr>
        <w:t>Zaragoza </w:t>
      </w:r>
      <w:r>
        <w:rPr/>
        <w:t>y que se encontraban subvencionados con fondos del PRTR. Los primeros 68 vehículos adquiridos se recibieron</w:t>
      </w:r>
      <w:r>
        <w:rPr>
          <w:spacing w:val="-6"/>
        </w:rPr>
        <w:t> </w:t>
      </w:r>
      <w:r>
        <w:rPr/>
        <w:t>en</w:t>
      </w:r>
      <w:r>
        <w:rPr>
          <w:spacing w:val="-7"/>
        </w:rPr>
        <w:t> </w:t>
      </w:r>
      <w:r>
        <w:rPr/>
        <w:t>abril</w:t>
      </w:r>
      <w:r>
        <w:rPr>
          <w:spacing w:val="-7"/>
        </w:rPr>
        <w:t> </w:t>
      </w:r>
      <w:r>
        <w:rPr/>
        <w:t>de</w:t>
      </w:r>
      <w:r>
        <w:rPr>
          <w:spacing w:val="-7"/>
        </w:rPr>
        <w:t> </w:t>
      </w:r>
      <w:r>
        <w:rPr/>
        <w:t>2024</w:t>
      </w:r>
      <w:r>
        <w:rPr>
          <w:spacing w:val="-6"/>
        </w:rPr>
        <w:t> </w:t>
      </w:r>
      <w:r>
        <w:rPr/>
        <w:t>debido</w:t>
      </w:r>
      <w:r>
        <w:rPr>
          <w:spacing w:val="-7"/>
        </w:rPr>
        <w:t> </w:t>
      </w:r>
      <w:r>
        <w:rPr/>
        <w:t>a</w:t>
      </w:r>
      <w:r>
        <w:rPr>
          <w:spacing w:val="-6"/>
        </w:rPr>
        <w:t> </w:t>
      </w:r>
      <w:r>
        <w:rPr/>
        <w:t>retrasos</w:t>
      </w:r>
      <w:r>
        <w:rPr>
          <w:spacing w:val="-6"/>
        </w:rPr>
        <w:t> </w:t>
      </w:r>
      <w:r>
        <w:rPr/>
        <w:t>en</w:t>
      </w:r>
      <w:r>
        <w:rPr>
          <w:spacing w:val="-11"/>
        </w:rPr>
        <w:t> </w:t>
      </w:r>
      <w:r>
        <w:rPr/>
        <w:t>el</w:t>
      </w:r>
      <w:r>
        <w:rPr>
          <w:spacing w:val="-7"/>
        </w:rPr>
        <w:t> </w:t>
      </w:r>
      <w:r>
        <w:rPr/>
        <w:t>acopio</w:t>
      </w:r>
      <w:r>
        <w:rPr>
          <w:spacing w:val="-6"/>
        </w:rPr>
        <w:t> </w:t>
      </w:r>
      <w:r>
        <w:rPr/>
        <w:t>de</w:t>
      </w:r>
      <w:r>
        <w:rPr>
          <w:spacing w:val="-7"/>
        </w:rPr>
        <w:t> </w:t>
      </w:r>
      <w:r>
        <w:rPr/>
        <w:t>componentes,</w:t>
      </w:r>
      <w:r>
        <w:rPr>
          <w:spacing w:val="-5"/>
        </w:rPr>
        <w:t> </w:t>
      </w:r>
      <w:r>
        <w:rPr/>
        <w:t>cuando</w:t>
      </w:r>
      <w:r>
        <w:rPr>
          <w:spacing w:val="-6"/>
        </w:rPr>
        <w:t> </w:t>
      </w:r>
      <w:r>
        <w:rPr/>
        <w:t>estaba</w:t>
      </w:r>
      <w:r>
        <w:rPr>
          <w:spacing w:val="-6"/>
        </w:rPr>
        <w:t> </w:t>
      </w:r>
      <w:r>
        <w:rPr/>
        <w:t>previsto recibirlos</w:t>
      </w:r>
      <w:r>
        <w:rPr>
          <w:spacing w:val="-4"/>
        </w:rPr>
        <w:t> </w:t>
      </w:r>
      <w:r>
        <w:rPr/>
        <w:t>en</w:t>
      </w:r>
      <w:r>
        <w:rPr>
          <w:spacing w:val="-7"/>
        </w:rPr>
        <w:t> </w:t>
      </w:r>
      <w:r>
        <w:rPr/>
        <w:t>febrero</w:t>
      </w:r>
      <w:r>
        <w:rPr>
          <w:spacing w:val="-6"/>
        </w:rPr>
        <w:t> </w:t>
      </w:r>
      <w:r>
        <w:rPr/>
        <w:t>de</w:t>
      </w:r>
      <w:r>
        <w:rPr>
          <w:spacing w:val="-7"/>
        </w:rPr>
        <w:t> </w:t>
      </w:r>
      <w:r>
        <w:rPr/>
        <w:t>ese</w:t>
      </w:r>
      <w:r>
        <w:rPr>
          <w:spacing w:val="-4"/>
        </w:rPr>
        <w:t> </w:t>
      </w:r>
      <w:r>
        <w:rPr/>
        <w:t>año.</w:t>
      </w:r>
      <w:r>
        <w:rPr>
          <w:spacing w:val="-3"/>
        </w:rPr>
        <w:t> </w:t>
      </w:r>
      <w:r>
        <w:rPr/>
        <w:t>En</w:t>
      </w:r>
      <w:r>
        <w:rPr>
          <w:spacing w:val="-6"/>
        </w:rPr>
        <w:t> </w:t>
      </w:r>
      <w:r>
        <w:rPr/>
        <w:t>estos</w:t>
      </w:r>
      <w:r>
        <w:rPr>
          <w:spacing w:val="-6"/>
        </w:rPr>
        <w:t> </w:t>
      </w:r>
      <w:r>
        <w:rPr/>
        <w:t>vehículos</w:t>
      </w:r>
      <w:r>
        <w:rPr>
          <w:spacing w:val="-4"/>
        </w:rPr>
        <w:t> </w:t>
      </w:r>
      <w:r>
        <w:rPr/>
        <w:t>se</w:t>
      </w:r>
      <w:r>
        <w:rPr>
          <w:spacing w:val="-6"/>
        </w:rPr>
        <w:t> </w:t>
      </w:r>
      <w:r>
        <w:rPr/>
        <w:t>incorporaron</w:t>
      </w:r>
      <w:r>
        <w:rPr>
          <w:spacing w:val="-6"/>
        </w:rPr>
        <w:t> </w:t>
      </w:r>
      <w:r>
        <w:rPr/>
        <w:t>una</w:t>
      </w:r>
      <w:r>
        <w:rPr>
          <w:spacing w:val="-6"/>
        </w:rPr>
        <w:t> </w:t>
      </w:r>
      <w:r>
        <w:rPr/>
        <w:t>serie</w:t>
      </w:r>
      <w:r>
        <w:rPr>
          <w:spacing w:val="-4"/>
        </w:rPr>
        <w:t> </w:t>
      </w:r>
      <w:r>
        <w:rPr/>
        <w:t>de</w:t>
      </w:r>
      <w:r>
        <w:rPr>
          <w:spacing w:val="-5"/>
        </w:rPr>
        <w:t> </w:t>
      </w:r>
      <w:r>
        <w:rPr/>
        <w:t>mejoras</w:t>
      </w:r>
      <w:r>
        <w:rPr>
          <w:spacing w:val="-4"/>
        </w:rPr>
        <w:t> </w:t>
      </w:r>
      <w:r>
        <w:rPr/>
        <w:t>por</w:t>
      </w:r>
      <w:r>
        <w:rPr>
          <w:spacing w:val="-5"/>
        </w:rPr>
        <w:t> </w:t>
      </w:r>
      <w:r>
        <w:rPr/>
        <w:t>valor de</w:t>
      </w:r>
      <w:r>
        <w:rPr>
          <w:spacing w:val="-1"/>
        </w:rPr>
        <w:t> </w:t>
      </w:r>
      <w:r>
        <w:rPr/>
        <w:t>555.254,00</w:t>
      </w:r>
      <w:r>
        <w:rPr>
          <w:spacing w:val="-3"/>
        </w:rPr>
        <w:t> </w:t>
      </w:r>
      <w:r>
        <w:rPr/>
        <w:t>euros,</w:t>
      </w:r>
      <w:r>
        <w:rPr>
          <w:spacing w:val="-2"/>
        </w:rPr>
        <w:t> </w:t>
      </w:r>
      <w:r>
        <w:rPr/>
        <w:t>consistente</w:t>
      </w:r>
      <w:r>
        <w:rPr>
          <w:spacing w:val="-3"/>
        </w:rPr>
        <w:t> </w:t>
      </w:r>
      <w:r>
        <w:rPr/>
        <w:t>en</w:t>
      </w:r>
      <w:r>
        <w:rPr>
          <w:spacing w:val="-3"/>
        </w:rPr>
        <w:t> </w:t>
      </w:r>
      <w:r>
        <w:rPr/>
        <w:t>la</w:t>
      </w:r>
      <w:r>
        <w:rPr>
          <w:spacing w:val="-1"/>
        </w:rPr>
        <w:t> </w:t>
      </w:r>
      <w:r>
        <w:rPr/>
        <w:t>instalación</w:t>
      </w:r>
      <w:r>
        <w:rPr>
          <w:spacing w:val="-1"/>
        </w:rPr>
        <w:t> </w:t>
      </w:r>
      <w:r>
        <w:rPr/>
        <w:t>de</w:t>
      </w:r>
      <w:r>
        <w:rPr>
          <w:spacing w:val="-3"/>
        </w:rPr>
        <w:t> </w:t>
      </w:r>
      <w:r>
        <w:rPr/>
        <w:t>monitores</w:t>
      </w:r>
      <w:r>
        <w:rPr>
          <w:spacing w:val="-3"/>
        </w:rPr>
        <w:t> </w:t>
      </w:r>
      <w:r>
        <w:rPr/>
        <w:t>y</w:t>
      </w:r>
      <w:r>
        <w:rPr>
          <w:spacing w:val="-3"/>
        </w:rPr>
        <w:t> </w:t>
      </w:r>
      <w:r>
        <w:rPr/>
        <w:t>circuito</w:t>
      </w:r>
      <w:r>
        <w:rPr>
          <w:spacing w:val="-5"/>
        </w:rPr>
        <w:t> </w:t>
      </w:r>
      <w:r>
        <w:rPr/>
        <w:t>cerrado</w:t>
      </w:r>
      <w:r>
        <w:rPr>
          <w:spacing w:val="-3"/>
        </w:rPr>
        <w:t> </w:t>
      </w:r>
      <w:r>
        <w:rPr/>
        <w:t>de</w:t>
      </w:r>
      <w:r>
        <w:rPr>
          <w:spacing w:val="-1"/>
        </w:rPr>
        <w:t> </w:t>
      </w:r>
      <w:r>
        <w:rPr/>
        <w:t>televisión</w:t>
      </w:r>
      <w:r>
        <w:rPr>
          <w:spacing w:val="-3"/>
        </w:rPr>
        <w:t> </w:t>
      </w:r>
      <w:r>
        <w:rPr/>
        <w:t>y</w:t>
      </w:r>
      <w:r>
        <w:rPr>
          <w:spacing w:val="-3"/>
        </w:rPr>
        <w:t> </w:t>
      </w:r>
      <w:r>
        <w:rPr/>
        <w:t>la mejora de las butacas. Asimismo, se incluyó un sistema de carga pantográfica, que no se contemplaba</w:t>
      </w:r>
      <w:r>
        <w:rPr>
          <w:spacing w:val="-9"/>
        </w:rPr>
        <w:t> </w:t>
      </w:r>
      <w:r>
        <w:rPr/>
        <w:t>en</w:t>
      </w:r>
      <w:r>
        <w:rPr>
          <w:spacing w:val="-9"/>
        </w:rPr>
        <w:t> </w:t>
      </w:r>
      <w:r>
        <w:rPr/>
        <w:t>la</w:t>
      </w:r>
      <w:r>
        <w:rPr>
          <w:spacing w:val="-9"/>
        </w:rPr>
        <w:t> </w:t>
      </w:r>
      <w:r>
        <w:rPr/>
        <w:t>fabricación</w:t>
      </w:r>
      <w:r>
        <w:rPr>
          <w:spacing w:val="-7"/>
        </w:rPr>
        <w:t> </w:t>
      </w:r>
      <w:r>
        <w:rPr/>
        <w:t>inicial</w:t>
      </w:r>
      <w:r>
        <w:rPr>
          <w:spacing w:val="-7"/>
        </w:rPr>
        <w:t> </w:t>
      </w:r>
      <w:r>
        <w:rPr/>
        <w:t>de</w:t>
      </w:r>
      <w:r>
        <w:rPr>
          <w:spacing w:val="-7"/>
        </w:rPr>
        <w:t> </w:t>
      </w:r>
      <w:r>
        <w:rPr/>
        <w:t>los</w:t>
      </w:r>
      <w:r>
        <w:rPr>
          <w:spacing w:val="-9"/>
        </w:rPr>
        <w:t> </w:t>
      </w:r>
      <w:r>
        <w:rPr/>
        <w:t>vehículos,</w:t>
      </w:r>
      <w:r>
        <w:rPr>
          <w:spacing w:val="-5"/>
        </w:rPr>
        <w:t> </w:t>
      </w:r>
      <w:r>
        <w:rPr/>
        <w:t>y</w:t>
      </w:r>
      <w:r>
        <w:rPr>
          <w:spacing w:val="-8"/>
        </w:rPr>
        <w:t> </w:t>
      </w:r>
      <w:r>
        <w:rPr/>
        <w:t>que</w:t>
      </w:r>
      <w:r>
        <w:rPr>
          <w:spacing w:val="-9"/>
        </w:rPr>
        <w:t> </w:t>
      </w:r>
      <w:r>
        <w:rPr/>
        <w:t>ha</w:t>
      </w:r>
      <w:r>
        <w:rPr>
          <w:spacing w:val="-9"/>
        </w:rPr>
        <w:t> </w:t>
      </w:r>
      <w:r>
        <w:rPr/>
        <w:t>conllevado</w:t>
      </w:r>
      <w:r>
        <w:rPr>
          <w:spacing w:val="-6"/>
        </w:rPr>
        <w:t> </w:t>
      </w:r>
      <w:r>
        <w:rPr/>
        <w:t>un</w:t>
      </w:r>
      <w:r>
        <w:rPr>
          <w:spacing w:val="-9"/>
        </w:rPr>
        <w:t> </w:t>
      </w:r>
      <w:r>
        <w:rPr/>
        <w:t>incremento</w:t>
      </w:r>
      <w:r>
        <w:rPr>
          <w:spacing w:val="-9"/>
        </w:rPr>
        <w:t> </w:t>
      </w:r>
      <w:r>
        <w:rPr/>
        <w:t>del</w:t>
      </w:r>
      <w:r>
        <w:rPr>
          <w:spacing w:val="-9"/>
        </w:rPr>
        <w:t> </w:t>
      </w:r>
      <w:r>
        <w:rPr/>
        <w:t>precio de 933.300,00 euros costeado íntegramente por la entidad.</w:t>
      </w:r>
    </w:p>
    <w:p>
      <w:pPr>
        <w:pStyle w:val="BodyText"/>
        <w:spacing w:before="239"/>
        <w:ind w:left="992" w:right="985"/>
        <w:jc w:val="both"/>
      </w:pPr>
      <w:r>
        <w:rPr/>
        <w:t>Los</w:t>
      </w:r>
      <w:r>
        <w:rPr>
          <w:spacing w:val="-2"/>
        </w:rPr>
        <w:t> </w:t>
      </w:r>
      <w:r>
        <w:rPr/>
        <w:t>otros</w:t>
      </w:r>
      <w:r>
        <w:rPr>
          <w:spacing w:val="-2"/>
        </w:rPr>
        <w:t> </w:t>
      </w:r>
      <w:r>
        <w:rPr/>
        <w:t>40</w:t>
      </w:r>
      <w:r>
        <w:rPr>
          <w:spacing w:val="-4"/>
        </w:rPr>
        <w:t> </w:t>
      </w:r>
      <w:r>
        <w:rPr/>
        <w:t>autobuses</w:t>
      </w:r>
      <w:r>
        <w:rPr>
          <w:spacing w:val="-3"/>
        </w:rPr>
        <w:t> </w:t>
      </w:r>
      <w:r>
        <w:rPr/>
        <w:t>estaba</w:t>
      </w:r>
      <w:r>
        <w:rPr>
          <w:spacing w:val="-2"/>
        </w:rPr>
        <w:t> </w:t>
      </w:r>
      <w:r>
        <w:rPr/>
        <w:t>previsto</w:t>
      </w:r>
      <w:r>
        <w:rPr>
          <w:spacing w:val="-4"/>
        </w:rPr>
        <w:t> </w:t>
      </w:r>
      <w:r>
        <w:rPr/>
        <w:t>que</w:t>
      </w:r>
      <w:r>
        <w:rPr>
          <w:spacing w:val="-2"/>
        </w:rPr>
        <w:t> </w:t>
      </w:r>
      <w:r>
        <w:rPr/>
        <w:t>se</w:t>
      </w:r>
      <w:r>
        <w:rPr>
          <w:spacing w:val="-2"/>
        </w:rPr>
        <w:t> </w:t>
      </w:r>
      <w:r>
        <w:rPr/>
        <w:t>recibieran</w:t>
      </w:r>
      <w:r>
        <w:rPr>
          <w:spacing w:val="-2"/>
        </w:rPr>
        <w:t> </w:t>
      </w:r>
      <w:r>
        <w:rPr/>
        <w:t>entre</w:t>
      </w:r>
      <w:r>
        <w:rPr>
          <w:spacing w:val="-2"/>
        </w:rPr>
        <w:t> </w:t>
      </w:r>
      <w:r>
        <w:rPr/>
        <w:t>octubre</w:t>
      </w:r>
      <w:r>
        <w:rPr>
          <w:spacing w:val="-4"/>
        </w:rPr>
        <w:t> </w:t>
      </w:r>
      <w:r>
        <w:rPr/>
        <w:t>y</w:t>
      </w:r>
      <w:r>
        <w:rPr>
          <w:spacing w:val="-4"/>
        </w:rPr>
        <w:t> </w:t>
      </w:r>
      <w:r>
        <w:rPr/>
        <w:t>noviembre</w:t>
      </w:r>
      <w:r>
        <w:rPr>
          <w:spacing w:val="-4"/>
        </w:rPr>
        <w:t> </w:t>
      </w:r>
      <w:r>
        <w:rPr/>
        <w:t>de</w:t>
      </w:r>
      <w:r>
        <w:rPr>
          <w:spacing w:val="-4"/>
        </w:rPr>
        <w:t> </w:t>
      </w:r>
      <w:r>
        <w:rPr/>
        <w:t>2024. Ante la imposibilidad de cumplir los plazos previstos, el proveedor presentó un nuevo calendario de entregas en noviembre de 2024, en el que se preveía la entrega de dos vehículos piloto en enero de 2025 y el resto, en entregas progresivas mensuales hasta completarlas en junio de ese año, previsión que tampoco se ha cumplido pues a esa fecha aún no se habían recibido todos ellos.</w:t>
      </w:r>
    </w:p>
    <w:p>
      <w:pPr>
        <w:pStyle w:val="BodyText"/>
        <w:spacing w:before="240"/>
        <w:ind w:left="992" w:right="986"/>
        <w:jc w:val="both"/>
      </w:pPr>
      <w:r>
        <w:rPr/>
        <w:t>Tres</w:t>
      </w:r>
      <w:r>
        <w:rPr>
          <w:spacing w:val="-10"/>
        </w:rPr>
        <w:t> </w:t>
      </w:r>
      <w:r>
        <w:rPr/>
        <w:t>de</w:t>
      </w:r>
      <w:r>
        <w:rPr>
          <w:spacing w:val="-10"/>
        </w:rPr>
        <w:t> </w:t>
      </w:r>
      <w:r>
        <w:rPr/>
        <w:t>los</w:t>
      </w:r>
      <w:r>
        <w:rPr>
          <w:spacing w:val="-7"/>
        </w:rPr>
        <w:t> </w:t>
      </w:r>
      <w:r>
        <w:rPr/>
        <w:t>autobuses</w:t>
      </w:r>
      <w:r>
        <w:rPr>
          <w:spacing w:val="-9"/>
        </w:rPr>
        <w:t> </w:t>
      </w:r>
      <w:r>
        <w:rPr/>
        <w:t>propulsados</w:t>
      </w:r>
      <w:r>
        <w:rPr>
          <w:spacing w:val="-7"/>
        </w:rPr>
        <w:t> </w:t>
      </w:r>
      <w:r>
        <w:rPr/>
        <w:t>por</w:t>
      </w:r>
      <w:r>
        <w:rPr>
          <w:spacing w:val="-9"/>
        </w:rPr>
        <w:t> </w:t>
      </w:r>
      <w:r>
        <w:rPr/>
        <w:t>GNC-híbridos</w:t>
      </w:r>
      <w:r>
        <w:rPr>
          <w:spacing w:val="-7"/>
        </w:rPr>
        <w:t> </w:t>
      </w:r>
      <w:r>
        <w:rPr/>
        <w:t>adquiridos</w:t>
      </w:r>
      <w:r>
        <w:rPr>
          <w:spacing w:val="-9"/>
        </w:rPr>
        <w:t> </w:t>
      </w:r>
      <w:r>
        <w:rPr/>
        <w:t>por</w:t>
      </w:r>
      <w:r>
        <w:rPr>
          <w:spacing w:val="-9"/>
        </w:rPr>
        <w:t> </w:t>
      </w:r>
      <w:r>
        <w:rPr/>
        <w:t>el</w:t>
      </w:r>
      <w:r>
        <w:rPr>
          <w:spacing w:val="-10"/>
        </w:rPr>
        <w:t> </w:t>
      </w:r>
      <w:r>
        <w:rPr>
          <w:b/>
        </w:rPr>
        <w:t>Ayuntamiento</w:t>
      </w:r>
      <w:r>
        <w:rPr>
          <w:b/>
          <w:spacing w:val="-10"/>
        </w:rPr>
        <w:t> </w:t>
      </w:r>
      <w:r>
        <w:rPr>
          <w:b/>
        </w:rPr>
        <w:t>de</w:t>
      </w:r>
      <w:r>
        <w:rPr>
          <w:b/>
          <w:spacing w:val="-9"/>
        </w:rPr>
        <w:t> </w:t>
      </w:r>
      <w:r>
        <w:rPr>
          <w:b/>
        </w:rPr>
        <w:t>Córdoba </w:t>
      </w:r>
      <w:r>
        <w:rPr/>
        <w:t>fueron recibidos provisionalmente de conformidad en abril de 2023, si bien en el acta expedida al efecto se señaló por el responsable del contrato que, a pesar de cumplir los autobuses las características generales solicitadas en el pliego técnico, concurrían una serie de salvedades consideradas esenciales y algunas propuestas de mejora. Entre los problemas detectados estaba que los vehículos tenían algunos problemas de sobrecalentamiento del sistema híbrido, que ocasionaban en última instancia que el autobús no usase dicho sistema, prescindiendo, por tanto, de</w:t>
      </w:r>
      <w:r>
        <w:rPr>
          <w:spacing w:val="-7"/>
        </w:rPr>
        <w:t> </w:t>
      </w:r>
      <w:r>
        <w:rPr/>
        <w:t>una</w:t>
      </w:r>
      <w:r>
        <w:rPr>
          <w:spacing w:val="-6"/>
        </w:rPr>
        <w:t> </w:t>
      </w:r>
      <w:r>
        <w:rPr/>
        <w:t>de</w:t>
      </w:r>
      <w:r>
        <w:rPr>
          <w:spacing w:val="-9"/>
        </w:rPr>
        <w:t> </w:t>
      </w:r>
      <w:r>
        <w:rPr/>
        <w:t>las</w:t>
      </w:r>
      <w:r>
        <w:rPr>
          <w:spacing w:val="-9"/>
        </w:rPr>
        <w:t> </w:t>
      </w:r>
      <w:r>
        <w:rPr/>
        <w:t>características</w:t>
      </w:r>
      <w:r>
        <w:rPr>
          <w:spacing w:val="-9"/>
        </w:rPr>
        <w:t> </w:t>
      </w:r>
      <w:r>
        <w:rPr/>
        <w:t>técnicas</w:t>
      </w:r>
      <w:r>
        <w:rPr>
          <w:spacing w:val="-6"/>
        </w:rPr>
        <w:t> </w:t>
      </w:r>
      <w:r>
        <w:rPr/>
        <w:t>primordiales</w:t>
      </w:r>
      <w:r>
        <w:rPr>
          <w:spacing w:val="-6"/>
        </w:rPr>
        <w:t> </w:t>
      </w:r>
      <w:r>
        <w:rPr/>
        <w:t>de</w:t>
      </w:r>
      <w:r>
        <w:rPr>
          <w:spacing w:val="-9"/>
        </w:rPr>
        <w:t> </w:t>
      </w:r>
      <w:r>
        <w:rPr/>
        <w:t>la</w:t>
      </w:r>
      <w:r>
        <w:rPr>
          <w:spacing w:val="-6"/>
        </w:rPr>
        <w:t> </w:t>
      </w:r>
      <w:r>
        <w:rPr/>
        <w:t>configuración</w:t>
      </w:r>
      <w:r>
        <w:rPr>
          <w:spacing w:val="-7"/>
        </w:rPr>
        <w:t> </w:t>
      </w:r>
      <w:r>
        <w:rPr/>
        <w:t>del</w:t>
      </w:r>
      <w:r>
        <w:rPr>
          <w:spacing w:val="-12"/>
        </w:rPr>
        <w:t> </w:t>
      </w:r>
      <w:r>
        <w:rPr/>
        <w:t>vehículo</w:t>
      </w:r>
      <w:r>
        <w:rPr>
          <w:spacing w:val="-9"/>
        </w:rPr>
        <w:t> </w:t>
      </w:r>
      <w:r>
        <w:rPr/>
        <w:t>requeridas</w:t>
      </w:r>
      <w:r>
        <w:rPr>
          <w:spacing w:val="-8"/>
        </w:rPr>
        <w:t> </w:t>
      </w:r>
      <w:r>
        <w:rPr/>
        <w:t>en</w:t>
      </w:r>
      <w:r>
        <w:rPr>
          <w:spacing w:val="-7"/>
        </w:rPr>
        <w:t> </w:t>
      </w:r>
      <w:r>
        <w:rPr/>
        <w:t>la licitación. A la vista del desconocimiento por parte de la empresa gestora del servicio de la causa real de los fallos de funcionamiento y la carencia de soluciones, se requirió un compromiso formal y por escrito de la empresa suministradora de estudiar e implantar un sistema que garantizase el funcionamiento óptimo del sistema híbrido con temperaturas ambientales elevadas. Además, se constataron otros problemas en los autobuses, como la baja altura de marcha, la existencia de pulsadores y</w:t>
      </w:r>
      <w:r>
        <w:rPr>
          <w:spacing w:val="-2"/>
        </w:rPr>
        <w:t> </w:t>
      </w:r>
      <w:r>
        <w:rPr/>
        <w:t>no</w:t>
      </w:r>
      <w:r>
        <w:rPr>
          <w:spacing w:val="-4"/>
        </w:rPr>
        <w:t> </w:t>
      </w:r>
      <w:r>
        <w:rPr/>
        <w:t>teclas de dos</w:t>
      </w:r>
      <w:r>
        <w:rPr>
          <w:spacing w:val="-2"/>
        </w:rPr>
        <w:t> </w:t>
      </w:r>
      <w:r>
        <w:rPr/>
        <w:t>posiciones</w:t>
      </w:r>
      <w:r>
        <w:rPr>
          <w:spacing w:val="-2"/>
        </w:rPr>
        <w:t> </w:t>
      </w:r>
      <w:r>
        <w:rPr/>
        <w:t>(abrir/cerrar), sonido</w:t>
      </w:r>
      <w:r>
        <w:rPr>
          <w:spacing w:val="-2"/>
        </w:rPr>
        <w:t> </w:t>
      </w:r>
      <w:r>
        <w:rPr/>
        <w:t>de</w:t>
      </w:r>
      <w:r>
        <w:rPr>
          <w:spacing w:val="-2"/>
        </w:rPr>
        <w:t> </w:t>
      </w:r>
      <w:r>
        <w:rPr/>
        <w:t>la señal</w:t>
      </w:r>
      <w:r>
        <w:rPr>
          <w:spacing w:val="-3"/>
        </w:rPr>
        <w:t> </w:t>
      </w:r>
      <w:r>
        <w:rPr/>
        <w:t>acústica para invidentes excesivo, problemas de desplazamiento hacia atrás en las cuestas y fallos en las cámaras de marcha atrás o de la puerta trasera, etc.</w:t>
      </w:r>
    </w:p>
    <w:p>
      <w:pPr>
        <w:pStyle w:val="BodyText"/>
        <w:spacing w:before="242"/>
        <w:ind w:left="992" w:right="987"/>
        <w:jc w:val="both"/>
      </w:pPr>
      <w:r>
        <w:rPr/>
        <w:t>Solicitada información sobre la subsanación de estas deficiencias, la entidad ha aportado un informe, emitido con ocasión de la fiscalización, del Jefe de Área de Mantenimiento de</w:t>
      </w:r>
      <w:r>
        <w:rPr>
          <w:spacing w:val="-9"/>
        </w:rPr>
        <w:t> </w:t>
      </w:r>
      <w:r>
        <w:rPr/>
        <w:t>la empresa municipal, el</w:t>
      </w:r>
      <w:r>
        <w:rPr>
          <w:spacing w:val="-1"/>
        </w:rPr>
        <w:t> </w:t>
      </w:r>
      <w:r>
        <w:rPr/>
        <w:t>que se indica que la empresa suministradora</w:t>
      </w:r>
      <w:r>
        <w:rPr>
          <w:spacing w:val="-1"/>
        </w:rPr>
        <w:t> </w:t>
      </w:r>
      <w:r>
        <w:rPr/>
        <w:t>de los autobuses llevó a cabo una serie de</w:t>
      </w:r>
      <w:r>
        <w:rPr>
          <w:spacing w:val="-4"/>
        </w:rPr>
        <w:t> </w:t>
      </w:r>
      <w:r>
        <w:rPr/>
        <w:t>modificaciones</w:t>
      </w:r>
      <w:r>
        <w:rPr>
          <w:spacing w:val="-4"/>
        </w:rPr>
        <w:t> </w:t>
      </w:r>
      <w:r>
        <w:rPr/>
        <w:t>y</w:t>
      </w:r>
      <w:r>
        <w:rPr>
          <w:spacing w:val="-8"/>
        </w:rPr>
        <w:t> </w:t>
      </w:r>
      <w:r>
        <w:rPr/>
        <w:t>mejoras</w:t>
      </w:r>
      <w:r>
        <w:rPr>
          <w:spacing w:val="-6"/>
        </w:rPr>
        <w:t> </w:t>
      </w:r>
      <w:r>
        <w:rPr/>
        <w:t>técnicas</w:t>
      </w:r>
      <w:r>
        <w:rPr>
          <w:spacing w:val="-6"/>
        </w:rPr>
        <w:t> </w:t>
      </w:r>
      <w:r>
        <w:rPr/>
        <w:t>durante</w:t>
      </w:r>
      <w:r>
        <w:rPr>
          <w:spacing w:val="-6"/>
        </w:rPr>
        <w:t> </w:t>
      </w:r>
      <w:r>
        <w:rPr/>
        <w:t>los</w:t>
      </w:r>
      <w:r>
        <w:rPr>
          <w:spacing w:val="-6"/>
        </w:rPr>
        <w:t> </w:t>
      </w:r>
      <w:r>
        <w:rPr/>
        <w:t>meses</w:t>
      </w:r>
      <w:r>
        <w:rPr>
          <w:spacing w:val="-6"/>
        </w:rPr>
        <w:t> </w:t>
      </w:r>
      <w:r>
        <w:rPr/>
        <w:t>de</w:t>
      </w:r>
      <w:r>
        <w:rPr>
          <w:spacing w:val="-7"/>
        </w:rPr>
        <w:t> </w:t>
      </w:r>
      <w:r>
        <w:rPr/>
        <w:t>marzo</w:t>
      </w:r>
      <w:r>
        <w:rPr>
          <w:spacing w:val="-6"/>
        </w:rPr>
        <w:t> </w:t>
      </w:r>
      <w:r>
        <w:rPr/>
        <w:t>y</w:t>
      </w:r>
      <w:r>
        <w:rPr>
          <w:spacing w:val="-4"/>
        </w:rPr>
        <w:t> </w:t>
      </w:r>
      <w:r>
        <w:rPr/>
        <w:t>abril</w:t>
      </w:r>
      <w:r>
        <w:rPr>
          <w:spacing w:val="-7"/>
        </w:rPr>
        <w:t> </w:t>
      </w:r>
      <w:r>
        <w:rPr/>
        <w:t>de</w:t>
      </w:r>
      <w:r>
        <w:rPr>
          <w:spacing w:val="-4"/>
        </w:rPr>
        <w:t> </w:t>
      </w:r>
      <w:r>
        <w:rPr/>
        <w:t>2023</w:t>
      </w:r>
      <w:r>
        <w:rPr>
          <w:spacing w:val="-4"/>
        </w:rPr>
        <w:t> </w:t>
      </w:r>
      <w:r>
        <w:rPr/>
        <w:t>que</w:t>
      </w:r>
      <w:r>
        <w:rPr>
          <w:spacing w:val="-4"/>
        </w:rPr>
        <w:t> </w:t>
      </w:r>
      <w:r>
        <w:rPr/>
        <w:t>han</w:t>
      </w:r>
      <w:r>
        <w:rPr>
          <w:spacing w:val="-9"/>
        </w:rPr>
        <w:t> </w:t>
      </w:r>
      <w:r>
        <w:rPr/>
        <w:t>resuelto las deficiencias detectadas, no habiéndose vuelto a reproducir las incidencias críticas iniciales. No</w:t>
      </w:r>
    </w:p>
    <w:p>
      <w:pPr>
        <w:pStyle w:val="BodyText"/>
        <w:spacing w:before="62"/>
        <w:rPr>
          <w:sz w:val="20"/>
        </w:rPr>
      </w:pPr>
      <w:r>
        <w:rPr>
          <w:sz w:val="20"/>
        </w:rPr>
        <mc:AlternateContent>
          <mc:Choice Requires="wps">
            <w:drawing>
              <wp:anchor distT="0" distB="0" distL="0" distR="0" allowOverlap="1" layoutInCell="1" locked="0" behindDoc="1" simplePos="0" relativeHeight="487605248">
                <wp:simplePos x="0" y="0"/>
                <wp:positionH relativeFrom="page">
                  <wp:posOffset>719632</wp:posOffset>
                </wp:positionH>
                <wp:positionV relativeFrom="paragraph">
                  <wp:posOffset>201123</wp:posOffset>
                </wp:positionV>
                <wp:extent cx="1829435" cy="9525"/>
                <wp:effectExtent l="0" t="0" r="0" b="0"/>
                <wp:wrapTopAndBottom/>
                <wp:docPr id="142" name="Graphic 142"/>
                <wp:cNvGraphicFramePr>
                  <a:graphicFrameLocks/>
                </wp:cNvGraphicFramePr>
                <a:graphic>
                  <a:graphicData uri="http://schemas.microsoft.com/office/word/2010/wordprocessingShape">
                    <wps:wsp>
                      <wps:cNvPr id="142" name="Graphic 142"/>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5.836458pt;width:144.020pt;height:.72003pt;mso-position-horizontal-relative:page;mso-position-vertical-relative:paragraph;z-index:-15711232;mso-wrap-distance-left:0;mso-wrap-distance-right:0" id="docshape124" filled="true" fillcolor="#000000" stroked="false">
                <v:fill type="solid"/>
                <w10:wrap type="topAndBottom"/>
              </v:rect>
            </w:pict>
          </mc:Fallback>
        </mc:AlternateContent>
      </w:r>
    </w:p>
    <w:p>
      <w:pPr>
        <w:spacing w:before="118"/>
        <w:ind w:left="992" w:right="990" w:firstLine="0"/>
        <w:jc w:val="both"/>
        <w:rPr>
          <w:sz w:val="18"/>
        </w:rPr>
      </w:pPr>
      <w:bookmarkStart w:name="_bookmark54" w:id="56"/>
      <w:bookmarkEnd w:id="56"/>
      <w:r>
        <w:rPr/>
      </w:r>
      <w:r>
        <w:rPr>
          <w:position w:val="6"/>
          <w:sz w:val="12"/>
        </w:rPr>
        <w:t>31</w:t>
      </w:r>
      <w:r>
        <w:rPr>
          <w:spacing w:val="24"/>
          <w:position w:val="6"/>
          <w:sz w:val="12"/>
        </w:rPr>
        <w:t> </w:t>
      </w:r>
      <w:r>
        <w:rPr>
          <w:sz w:val="18"/>
        </w:rPr>
        <w:t>En abril de 2025 se han reanudado las pruebas de repostajes en las cocheras de la empresa municipal y en abril de ese mismo año se incorporó el primer vehículo a la operación diaria, dando inicio nuevamente a los servicios regulares con hidrógeno.</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89"/>
        <w:jc w:val="both"/>
      </w:pPr>
      <w:r>
        <w:rPr/>
        <w:t>obstante, no consta que se emitiera en 2023, tras la ejecución de esas modificaciones, ninguna resolución en la que el Ayuntamiento mostrara su conformidad con las modificaciones y mejoras técnicas introducidas y, por tanto, dando por solventadas las incidencias reseñadas.</w:t>
      </w:r>
    </w:p>
    <w:p>
      <w:pPr>
        <w:pStyle w:val="BodyText"/>
        <w:spacing w:before="242"/>
        <w:ind w:left="992" w:right="987"/>
        <w:jc w:val="both"/>
      </w:pPr>
      <w:r>
        <w:rPr/>
        <w:t>La</w:t>
      </w:r>
      <w:r>
        <w:rPr>
          <w:spacing w:val="-16"/>
        </w:rPr>
        <w:t> </w:t>
      </w:r>
      <w:r>
        <w:rPr/>
        <w:t>empresa</w:t>
      </w:r>
      <w:r>
        <w:rPr>
          <w:spacing w:val="-15"/>
        </w:rPr>
        <w:t> </w:t>
      </w:r>
      <w:r>
        <w:rPr/>
        <w:t>municipal</w:t>
      </w:r>
      <w:r>
        <w:rPr>
          <w:spacing w:val="-14"/>
        </w:rPr>
        <w:t> </w:t>
      </w:r>
      <w:r>
        <w:rPr/>
        <w:t>de</w:t>
      </w:r>
      <w:r>
        <w:rPr>
          <w:spacing w:val="-16"/>
        </w:rPr>
        <w:t> </w:t>
      </w:r>
      <w:r>
        <w:rPr/>
        <w:t>transportes</w:t>
      </w:r>
      <w:r>
        <w:rPr>
          <w:spacing w:val="-15"/>
        </w:rPr>
        <w:t> </w:t>
      </w:r>
      <w:r>
        <w:rPr/>
        <w:t>del</w:t>
      </w:r>
      <w:r>
        <w:rPr>
          <w:spacing w:val="-15"/>
        </w:rPr>
        <w:t> </w:t>
      </w:r>
      <w:r>
        <w:rPr>
          <w:b/>
        </w:rPr>
        <w:t>Ayuntamiento</w:t>
      </w:r>
      <w:r>
        <w:rPr>
          <w:b/>
          <w:spacing w:val="-14"/>
        </w:rPr>
        <w:t> </w:t>
      </w:r>
      <w:r>
        <w:rPr>
          <w:b/>
        </w:rPr>
        <w:t>de</w:t>
      </w:r>
      <w:r>
        <w:rPr>
          <w:b/>
          <w:spacing w:val="-16"/>
        </w:rPr>
        <w:t> </w:t>
      </w:r>
      <w:r>
        <w:rPr>
          <w:b/>
        </w:rPr>
        <w:t>Málaga</w:t>
      </w:r>
      <w:r>
        <w:rPr>
          <w:b/>
          <w:spacing w:val="-10"/>
        </w:rPr>
        <w:t> </w:t>
      </w:r>
      <w:r>
        <w:rPr/>
        <w:t>ha</w:t>
      </w:r>
      <w:r>
        <w:rPr>
          <w:spacing w:val="-16"/>
        </w:rPr>
        <w:t> </w:t>
      </w:r>
      <w:r>
        <w:rPr/>
        <w:t>acudido</w:t>
      </w:r>
      <w:r>
        <w:rPr>
          <w:spacing w:val="-13"/>
        </w:rPr>
        <w:t> </w:t>
      </w:r>
      <w:r>
        <w:rPr/>
        <w:t>en</w:t>
      </w:r>
      <w:r>
        <w:rPr>
          <w:spacing w:val="-14"/>
        </w:rPr>
        <w:t> </w:t>
      </w:r>
      <w:r>
        <w:rPr/>
        <w:t>cuatro</w:t>
      </w:r>
      <w:r>
        <w:rPr>
          <w:spacing w:val="-16"/>
        </w:rPr>
        <w:t> </w:t>
      </w:r>
      <w:r>
        <w:rPr/>
        <w:t>ocasiones al procedimiento regulado en la Disposición adicional 33ª de la Ley 9/2017, de 8 de noviembre, de Contratos del Sector Público (LCSP)</w:t>
      </w:r>
      <w:hyperlink w:history="true" w:anchor="_bookmark55">
        <w:r>
          <w:rPr>
            <w:vertAlign w:val="superscript"/>
          </w:rPr>
          <w:t>32</w:t>
        </w:r>
      </w:hyperlink>
      <w:r>
        <w:rPr>
          <w:vertAlign w:val="baseline"/>
        </w:rPr>
        <w:t> para la compra de autobuses, previsto para aquellos supuestos</w:t>
      </w:r>
      <w:r>
        <w:rPr>
          <w:spacing w:val="-10"/>
          <w:vertAlign w:val="baseline"/>
        </w:rPr>
        <w:t> </w:t>
      </w:r>
      <w:r>
        <w:rPr>
          <w:vertAlign w:val="baseline"/>
        </w:rPr>
        <w:t>en</w:t>
      </w:r>
      <w:r>
        <w:rPr>
          <w:spacing w:val="-8"/>
          <w:vertAlign w:val="baseline"/>
        </w:rPr>
        <w:t> </w:t>
      </w:r>
      <w:r>
        <w:rPr>
          <w:vertAlign w:val="baseline"/>
        </w:rPr>
        <w:t>los</w:t>
      </w:r>
      <w:r>
        <w:rPr>
          <w:spacing w:val="-10"/>
          <w:vertAlign w:val="baseline"/>
        </w:rPr>
        <w:t> </w:t>
      </w:r>
      <w:r>
        <w:rPr>
          <w:vertAlign w:val="baseline"/>
        </w:rPr>
        <w:t>que</w:t>
      </w:r>
      <w:r>
        <w:rPr>
          <w:spacing w:val="-8"/>
          <w:vertAlign w:val="baseline"/>
        </w:rPr>
        <w:t> </w:t>
      </w:r>
      <w:r>
        <w:rPr>
          <w:vertAlign w:val="baseline"/>
        </w:rPr>
        <w:t>el</w:t>
      </w:r>
      <w:r>
        <w:rPr>
          <w:spacing w:val="-11"/>
          <w:vertAlign w:val="baseline"/>
        </w:rPr>
        <w:t> </w:t>
      </w:r>
      <w:r>
        <w:rPr>
          <w:vertAlign w:val="baseline"/>
        </w:rPr>
        <w:t>número</w:t>
      </w:r>
      <w:r>
        <w:rPr>
          <w:spacing w:val="-10"/>
          <w:vertAlign w:val="baseline"/>
        </w:rPr>
        <w:t> </w:t>
      </w:r>
      <w:r>
        <w:rPr>
          <w:vertAlign w:val="baseline"/>
        </w:rPr>
        <w:t>total</w:t>
      </w:r>
      <w:r>
        <w:rPr>
          <w:spacing w:val="-9"/>
          <w:vertAlign w:val="baseline"/>
        </w:rPr>
        <w:t> </w:t>
      </w:r>
      <w:r>
        <w:rPr>
          <w:vertAlign w:val="baseline"/>
        </w:rPr>
        <w:t>de</w:t>
      </w:r>
      <w:r>
        <w:rPr>
          <w:spacing w:val="-8"/>
          <w:vertAlign w:val="baseline"/>
        </w:rPr>
        <w:t> </w:t>
      </w:r>
      <w:r>
        <w:rPr>
          <w:vertAlign w:val="baseline"/>
        </w:rPr>
        <w:t>entregas</w:t>
      </w:r>
      <w:r>
        <w:rPr>
          <w:spacing w:val="-10"/>
          <w:vertAlign w:val="baseline"/>
        </w:rPr>
        <w:t> </w:t>
      </w:r>
      <w:r>
        <w:rPr>
          <w:vertAlign w:val="baseline"/>
        </w:rPr>
        <w:t>incluidas</w:t>
      </w:r>
      <w:r>
        <w:rPr>
          <w:spacing w:val="-7"/>
          <w:vertAlign w:val="baseline"/>
        </w:rPr>
        <w:t> </w:t>
      </w:r>
      <w:r>
        <w:rPr>
          <w:vertAlign w:val="baseline"/>
        </w:rPr>
        <w:t>en</w:t>
      </w:r>
      <w:r>
        <w:rPr>
          <w:spacing w:val="-8"/>
          <w:vertAlign w:val="baseline"/>
        </w:rPr>
        <w:t> </w:t>
      </w:r>
      <w:r>
        <w:rPr>
          <w:vertAlign w:val="baseline"/>
        </w:rPr>
        <w:t>el</w:t>
      </w:r>
      <w:r>
        <w:rPr>
          <w:spacing w:val="-9"/>
          <w:vertAlign w:val="baseline"/>
        </w:rPr>
        <w:t> </w:t>
      </w:r>
      <w:r>
        <w:rPr>
          <w:vertAlign w:val="baseline"/>
        </w:rPr>
        <w:t>objeto</w:t>
      </w:r>
      <w:r>
        <w:rPr>
          <w:spacing w:val="-10"/>
          <w:vertAlign w:val="baseline"/>
        </w:rPr>
        <w:t> </w:t>
      </w:r>
      <w:r>
        <w:rPr>
          <w:vertAlign w:val="baseline"/>
        </w:rPr>
        <w:t>del</w:t>
      </w:r>
      <w:r>
        <w:rPr>
          <w:spacing w:val="-9"/>
          <w:vertAlign w:val="baseline"/>
        </w:rPr>
        <w:t> </w:t>
      </w:r>
      <w:r>
        <w:rPr>
          <w:vertAlign w:val="baseline"/>
        </w:rPr>
        <w:t>contrato</w:t>
      </w:r>
      <w:r>
        <w:rPr>
          <w:spacing w:val="-10"/>
          <w:vertAlign w:val="baseline"/>
        </w:rPr>
        <w:t> </w:t>
      </w:r>
      <w:r>
        <w:rPr>
          <w:vertAlign w:val="baseline"/>
        </w:rPr>
        <w:t>no</w:t>
      </w:r>
      <w:r>
        <w:rPr>
          <w:spacing w:val="-8"/>
          <w:vertAlign w:val="baseline"/>
        </w:rPr>
        <w:t> </w:t>
      </w:r>
      <w:r>
        <w:rPr>
          <w:vertAlign w:val="baseline"/>
        </w:rPr>
        <w:t>esté</w:t>
      </w:r>
      <w:r>
        <w:rPr>
          <w:spacing w:val="-10"/>
          <w:vertAlign w:val="baseline"/>
        </w:rPr>
        <w:t> </w:t>
      </w:r>
      <w:r>
        <w:rPr>
          <w:vertAlign w:val="baseline"/>
        </w:rPr>
        <w:t>definido con exactitud al tiempo de celebrar este, lo que evidencia ciertas deficiencias en la planificación y en los estudios previos sobre las necesidades de material móvil, su número y la disponibilidad de financiación para acometer estas compras. Solo en el plan estratégico de la empresa municipal 2022-2024</w:t>
      </w:r>
      <w:r>
        <w:rPr>
          <w:spacing w:val="-4"/>
          <w:vertAlign w:val="baseline"/>
        </w:rPr>
        <w:t> </w:t>
      </w:r>
      <w:r>
        <w:rPr>
          <w:vertAlign w:val="baseline"/>
        </w:rPr>
        <w:t>se</w:t>
      </w:r>
      <w:r>
        <w:rPr>
          <w:spacing w:val="-2"/>
          <w:vertAlign w:val="baseline"/>
        </w:rPr>
        <w:t> </w:t>
      </w:r>
      <w:r>
        <w:rPr>
          <w:vertAlign w:val="baseline"/>
        </w:rPr>
        <w:t>aludió</w:t>
      </w:r>
      <w:r>
        <w:rPr>
          <w:spacing w:val="-4"/>
          <w:vertAlign w:val="baseline"/>
        </w:rPr>
        <w:t> </w:t>
      </w:r>
      <w:r>
        <w:rPr>
          <w:vertAlign w:val="baseline"/>
        </w:rPr>
        <w:t>al</w:t>
      </w:r>
      <w:r>
        <w:rPr>
          <w:spacing w:val="-3"/>
          <w:vertAlign w:val="baseline"/>
        </w:rPr>
        <w:t> </w:t>
      </w:r>
      <w:r>
        <w:rPr>
          <w:vertAlign w:val="baseline"/>
        </w:rPr>
        <w:t>plan</w:t>
      </w:r>
      <w:r>
        <w:rPr>
          <w:spacing w:val="-2"/>
          <w:vertAlign w:val="baseline"/>
        </w:rPr>
        <w:t> </w:t>
      </w:r>
      <w:r>
        <w:rPr>
          <w:vertAlign w:val="baseline"/>
        </w:rPr>
        <w:t>de</w:t>
      </w:r>
      <w:r>
        <w:rPr>
          <w:spacing w:val="-4"/>
          <w:vertAlign w:val="baseline"/>
        </w:rPr>
        <w:t> </w:t>
      </w:r>
      <w:r>
        <w:rPr>
          <w:vertAlign w:val="baseline"/>
        </w:rPr>
        <w:t>reconversión</w:t>
      </w:r>
      <w:r>
        <w:rPr>
          <w:spacing w:val="-4"/>
          <w:vertAlign w:val="baseline"/>
        </w:rPr>
        <w:t> </w:t>
      </w:r>
      <w:r>
        <w:rPr>
          <w:vertAlign w:val="baseline"/>
        </w:rPr>
        <w:t>de</w:t>
      </w:r>
      <w:r>
        <w:rPr>
          <w:spacing w:val="-4"/>
          <w:vertAlign w:val="baseline"/>
        </w:rPr>
        <w:t> </w:t>
      </w:r>
      <w:r>
        <w:rPr>
          <w:vertAlign w:val="baseline"/>
        </w:rPr>
        <w:t>la</w:t>
      </w:r>
      <w:r>
        <w:rPr>
          <w:spacing w:val="-2"/>
          <w:vertAlign w:val="baseline"/>
        </w:rPr>
        <w:t> </w:t>
      </w:r>
      <w:r>
        <w:rPr>
          <w:vertAlign w:val="baseline"/>
        </w:rPr>
        <w:t>flota</w:t>
      </w:r>
      <w:r>
        <w:rPr>
          <w:spacing w:val="-4"/>
          <w:vertAlign w:val="baseline"/>
        </w:rPr>
        <w:t> </w:t>
      </w:r>
      <w:r>
        <w:rPr>
          <w:vertAlign w:val="baseline"/>
        </w:rPr>
        <w:t>con</w:t>
      </w:r>
      <w:r>
        <w:rPr>
          <w:spacing w:val="-2"/>
          <w:vertAlign w:val="baseline"/>
        </w:rPr>
        <w:t> </w:t>
      </w:r>
      <w:r>
        <w:rPr>
          <w:vertAlign w:val="baseline"/>
        </w:rPr>
        <w:t>autobuses</w:t>
      </w:r>
      <w:r>
        <w:rPr>
          <w:spacing w:val="-4"/>
          <w:vertAlign w:val="baseline"/>
        </w:rPr>
        <w:t> </w:t>
      </w:r>
      <w:r>
        <w:rPr>
          <w:vertAlign w:val="baseline"/>
        </w:rPr>
        <w:t>100</w:t>
      </w:r>
      <w:r>
        <w:rPr>
          <w:spacing w:val="-6"/>
          <w:vertAlign w:val="baseline"/>
        </w:rPr>
        <w:t> </w:t>
      </w:r>
      <w:r>
        <w:rPr>
          <w:vertAlign w:val="baseline"/>
        </w:rPr>
        <w:t>%</w:t>
      </w:r>
      <w:r>
        <w:rPr>
          <w:spacing w:val="-1"/>
          <w:vertAlign w:val="baseline"/>
        </w:rPr>
        <w:t> </w:t>
      </w:r>
      <w:r>
        <w:rPr>
          <w:vertAlign w:val="baseline"/>
        </w:rPr>
        <w:t>eléctricos, en</w:t>
      </w:r>
      <w:r>
        <w:rPr>
          <w:spacing w:val="-4"/>
          <w:vertAlign w:val="baseline"/>
        </w:rPr>
        <w:t> </w:t>
      </w:r>
      <w:r>
        <w:rPr>
          <w:vertAlign w:val="baseline"/>
        </w:rPr>
        <w:t>los</w:t>
      </w:r>
      <w:r>
        <w:rPr>
          <w:spacing w:val="-4"/>
          <w:vertAlign w:val="baseline"/>
        </w:rPr>
        <w:t> </w:t>
      </w:r>
      <w:r>
        <w:rPr>
          <w:vertAlign w:val="baseline"/>
        </w:rPr>
        <w:t>que se incluyeron las previsiones contenidas en el primero de los contratos que ya se encontraba en licitación (diez autobuses más dos posibles prórrogas), así como una posible licitación de quince </w:t>
      </w:r>
      <w:r>
        <w:rPr>
          <w:spacing w:val="-2"/>
          <w:vertAlign w:val="baseline"/>
        </w:rPr>
        <w:t>vehículos</w:t>
      </w:r>
      <w:hyperlink w:history="true" w:anchor="_bookmark56">
        <w:r>
          <w:rPr>
            <w:spacing w:val="-2"/>
            <w:vertAlign w:val="superscript"/>
          </w:rPr>
          <w:t>33</w:t>
        </w:r>
        <w:r>
          <w:rPr>
            <w:spacing w:val="-2"/>
            <w:vertAlign w:val="baseline"/>
          </w:rPr>
          <w:t>.</w:t>
        </w:r>
      </w:hyperlink>
    </w:p>
    <w:p>
      <w:pPr>
        <w:pStyle w:val="BodyText"/>
        <w:spacing w:before="160"/>
        <w:ind w:left="992" w:right="985"/>
        <w:jc w:val="both"/>
      </w:pPr>
      <w:r>
        <w:rPr/>
        <w:t>De hecho, el Ayuntamiento se presentó a las dos convocatorias del Programa de ayudas para la transformación digital y sostenible del transporte urbano, PRTR, solicitando en la primera convocatoria ayudas para la compra de diez autobuses eléctricos y en la segunda para veinte eléctricos y dos impulsados por hidrogeno. Posteriormente, la entidad solicitó la modificación de alcance</w:t>
      </w:r>
      <w:r>
        <w:rPr>
          <w:spacing w:val="-9"/>
        </w:rPr>
        <w:t> </w:t>
      </w:r>
      <w:r>
        <w:rPr/>
        <w:t>de</w:t>
      </w:r>
      <w:r>
        <w:rPr>
          <w:spacing w:val="-9"/>
        </w:rPr>
        <w:t> </w:t>
      </w:r>
      <w:r>
        <w:rPr/>
        <w:t>la</w:t>
      </w:r>
      <w:r>
        <w:rPr>
          <w:spacing w:val="-9"/>
        </w:rPr>
        <w:t> </w:t>
      </w:r>
      <w:r>
        <w:rPr/>
        <w:t>actuación</w:t>
      </w:r>
      <w:r>
        <w:rPr>
          <w:spacing w:val="-8"/>
        </w:rPr>
        <w:t> </w:t>
      </w:r>
      <w:r>
        <w:rPr/>
        <w:t>a</w:t>
      </w:r>
      <w:r>
        <w:rPr>
          <w:spacing w:val="-11"/>
        </w:rPr>
        <w:t> </w:t>
      </w:r>
      <w:r>
        <w:rPr/>
        <w:t>fin</w:t>
      </w:r>
      <w:r>
        <w:rPr>
          <w:spacing w:val="-9"/>
        </w:rPr>
        <w:t> </w:t>
      </w:r>
      <w:r>
        <w:rPr/>
        <w:t>de</w:t>
      </w:r>
      <w:r>
        <w:rPr>
          <w:spacing w:val="-12"/>
        </w:rPr>
        <w:t> </w:t>
      </w:r>
      <w:r>
        <w:rPr/>
        <w:t>incrementar</w:t>
      </w:r>
      <w:r>
        <w:rPr>
          <w:spacing w:val="-8"/>
        </w:rPr>
        <w:t> </w:t>
      </w:r>
      <w:r>
        <w:rPr/>
        <w:t>el</w:t>
      </w:r>
      <w:r>
        <w:rPr>
          <w:spacing w:val="-10"/>
        </w:rPr>
        <w:t> </w:t>
      </w:r>
      <w:r>
        <w:rPr/>
        <w:t>número</w:t>
      </w:r>
      <w:r>
        <w:rPr>
          <w:spacing w:val="-11"/>
        </w:rPr>
        <w:t> </w:t>
      </w:r>
      <w:r>
        <w:rPr/>
        <w:t>de</w:t>
      </w:r>
      <w:r>
        <w:rPr>
          <w:spacing w:val="-8"/>
        </w:rPr>
        <w:t> </w:t>
      </w:r>
      <w:r>
        <w:rPr/>
        <w:t>vehículos</w:t>
      </w:r>
      <w:r>
        <w:rPr>
          <w:spacing w:val="-10"/>
        </w:rPr>
        <w:t> </w:t>
      </w:r>
      <w:r>
        <w:rPr>
          <w:rFonts w:ascii="Symbol" w:hAnsi="Symbol"/>
        </w:rPr>
        <w:t></w:t>
      </w:r>
      <w:r>
        <w:rPr/>
        <w:t>reasignando</w:t>
      </w:r>
      <w:r>
        <w:rPr>
          <w:spacing w:val="-9"/>
        </w:rPr>
        <w:t> </w:t>
      </w:r>
      <w:r>
        <w:rPr/>
        <w:t>parte</w:t>
      </w:r>
      <w:r>
        <w:rPr>
          <w:spacing w:val="-9"/>
        </w:rPr>
        <w:t> </w:t>
      </w:r>
      <w:r>
        <w:rPr/>
        <w:t>del</w:t>
      </w:r>
      <w:r>
        <w:rPr>
          <w:spacing w:val="-10"/>
        </w:rPr>
        <w:t> </w:t>
      </w:r>
      <w:r>
        <w:rPr/>
        <w:t>importe de otra actuación</w:t>
      </w:r>
      <w:r>
        <w:rPr>
          <w:rFonts w:ascii="Symbol" w:hAnsi="Symbol"/>
        </w:rPr>
        <w:t></w:t>
      </w:r>
      <w:r>
        <w:rPr/>
        <w:t>, aprobándose tal medida para cinco vehículos eléctricos adicionales en la primera convocatoria, y sustituyendo dos vehículos propulsados por hidrógeno por tres eléctricos en la segunda convocatoria, de manera que la entidad ha recibido ayudas para un total de 38 autobuses eléctricos.</w:t>
      </w:r>
    </w:p>
    <w:p>
      <w:pPr>
        <w:pStyle w:val="BodyText"/>
        <w:spacing w:before="160"/>
        <w:ind w:left="992" w:right="987"/>
        <w:jc w:val="both"/>
      </w:pPr>
      <w:r>
        <w:rPr/>
        <w:t>Una mejor planificación sobre el número de autobuses a adquirir hubiera permitido que la entidad hubiera podido solicitar ayudas por un mayor número de vehículos, pues el número total de autobuses eléctricos adquiridos en el ámbito temporal de las dos convocatorias de ayudas ha ascendido a 44.</w:t>
      </w:r>
    </w:p>
    <w:p>
      <w:pPr>
        <w:pStyle w:val="BodyText"/>
        <w:spacing w:before="239"/>
        <w:ind w:left="992" w:right="984"/>
        <w:jc w:val="both"/>
      </w:pPr>
      <w:r>
        <w:rPr/>
        <w:t>Asimismo, los contratos suscritos preveían que pudieran prorrogarse. El 31 de julio de 2023 se acordó la primera prórroga de uno de los expedientes, para la adquisición de diez autobuses. En las actas de recepción provisional de los vehículos,</w:t>
      </w:r>
      <w:r>
        <w:rPr>
          <w:spacing w:val="15"/>
        </w:rPr>
        <w:t> </w:t>
      </w:r>
      <w:r>
        <w:rPr/>
        <w:t>de diciembre de 2023, se hizo constar que el</w:t>
      </w:r>
    </w:p>
    <w:p>
      <w:pPr>
        <w:pStyle w:val="BodyText"/>
        <w:spacing w:before="139"/>
        <w:rPr>
          <w:sz w:val="20"/>
        </w:rPr>
      </w:pPr>
      <w:r>
        <w:rPr>
          <w:sz w:val="20"/>
        </w:rPr>
        <mc:AlternateContent>
          <mc:Choice Requires="wps">
            <w:drawing>
              <wp:anchor distT="0" distB="0" distL="0" distR="0" allowOverlap="1" layoutInCell="1" locked="0" behindDoc="1" simplePos="0" relativeHeight="487605760">
                <wp:simplePos x="0" y="0"/>
                <wp:positionH relativeFrom="page">
                  <wp:posOffset>719632</wp:posOffset>
                </wp:positionH>
                <wp:positionV relativeFrom="paragraph">
                  <wp:posOffset>249583</wp:posOffset>
                </wp:positionV>
                <wp:extent cx="1829435" cy="9525"/>
                <wp:effectExtent l="0" t="0" r="0" b="0"/>
                <wp:wrapTopAndBottom/>
                <wp:docPr id="143" name="Graphic 143"/>
                <wp:cNvGraphicFramePr>
                  <a:graphicFrameLocks/>
                </wp:cNvGraphicFramePr>
                <a:graphic>
                  <a:graphicData uri="http://schemas.microsoft.com/office/word/2010/wordprocessingShape">
                    <wps:wsp>
                      <wps:cNvPr id="143" name="Graphic 143"/>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9.652256pt;width:144.020pt;height:.71997pt;mso-position-horizontal-relative:page;mso-position-vertical-relative:paragraph;z-index:-15710720;mso-wrap-distance-left:0;mso-wrap-distance-right:0" id="docshape125" filled="true" fillcolor="#000000" stroked="false">
                <v:fill type="solid"/>
                <w10:wrap type="topAndBottom"/>
              </v:rect>
            </w:pict>
          </mc:Fallback>
        </mc:AlternateContent>
      </w:r>
    </w:p>
    <w:p>
      <w:pPr>
        <w:spacing w:before="118"/>
        <w:ind w:left="992" w:right="996" w:firstLine="0"/>
        <w:jc w:val="both"/>
        <w:rPr>
          <w:sz w:val="18"/>
        </w:rPr>
      </w:pPr>
      <w:bookmarkStart w:name="_bookmark55" w:id="57"/>
      <w:bookmarkEnd w:id="57"/>
      <w:r>
        <w:rPr/>
      </w:r>
      <w:r>
        <w:rPr>
          <w:position w:val="6"/>
          <w:sz w:val="12"/>
        </w:rPr>
        <w:t>32</w:t>
      </w:r>
      <w:r>
        <w:rPr>
          <w:spacing w:val="15"/>
          <w:position w:val="6"/>
          <w:sz w:val="12"/>
        </w:rPr>
        <w:t> </w:t>
      </w:r>
      <w:r>
        <w:rPr>
          <w:sz w:val="18"/>
        </w:rPr>
        <w:t>Disposición</w:t>
      </w:r>
      <w:r>
        <w:rPr>
          <w:spacing w:val="-2"/>
          <w:sz w:val="18"/>
        </w:rPr>
        <w:t> </w:t>
      </w:r>
      <w:r>
        <w:rPr>
          <w:sz w:val="18"/>
        </w:rPr>
        <w:t>adicional</w:t>
      </w:r>
      <w:r>
        <w:rPr>
          <w:spacing w:val="-2"/>
          <w:sz w:val="18"/>
        </w:rPr>
        <w:t> </w:t>
      </w:r>
      <w:r>
        <w:rPr>
          <w:sz w:val="18"/>
        </w:rPr>
        <w:t>33ª</w:t>
      </w:r>
      <w:r>
        <w:rPr>
          <w:spacing w:val="-4"/>
          <w:sz w:val="18"/>
        </w:rPr>
        <w:t> </w:t>
      </w:r>
      <w:r>
        <w:rPr>
          <w:sz w:val="18"/>
        </w:rPr>
        <w:t>de</w:t>
      </w:r>
      <w:r>
        <w:rPr>
          <w:spacing w:val="-4"/>
          <w:sz w:val="18"/>
        </w:rPr>
        <w:t> </w:t>
      </w:r>
      <w:r>
        <w:rPr>
          <w:sz w:val="18"/>
        </w:rPr>
        <w:t>la</w:t>
      </w:r>
      <w:r>
        <w:rPr>
          <w:spacing w:val="-2"/>
          <w:sz w:val="18"/>
        </w:rPr>
        <w:t> </w:t>
      </w:r>
      <w:r>
        <w:rPr>
          <w:sz w:val="18"/>
        </w:rPr>
        <w:t>LCSP: En</w:t>
      </w:r>
      <w:r>
        <w:rPr>
          <w:spacing w:val="-2"/>
          <w:sz w:val="18"/>
        </w:rPr>
        <w:t> </w:t>
      </w:r>
      <w:r>
        <w:rPr>
          <w:sz w:val="18"/>
        </w:rPr>
        <w:t>los</w:t>
      </w:r>
      <w:r>
        <w:rPr>
          <w:spacing w:val="-3"/>
          <w:sz w:val="18"/>
        </w:rPr>
        <w:t> </w:t>
      </w:r>
      <w:r>
        <w:rPr>
          <w:sz w:val="18"/>
        </w:rPr>
        <w:t>contratos</w:t>
      </w:r>
      <w:r>
        <w:rPr>
          <w:spacing w:val="-1"/>
          <w:sz w:val="18"/>
        </w:rPr>
        <w:t> </w:t>
      </w:r>
      <w:r>
        <w:rPr>
          <w:sz w:val="18"/>
        </w:rPr>
        <w:t>de</w:t>
      </w:r>
      <w:r>
        <w:rPr>
          <w:spacing w:val="-4"/>
          <w:sz w:val="18"/>
        </w:rPr>
        <w:t> </w:t>
      </w:r>
      <w:r>
        <w:rPr>
          <w:sz w:val="18"/>
        </w:rPr>
        <w:t>suministros</w:t>
      </w:r>
      <w:r>
        <w:rPr>
          <w:spacing w:val="-3"/>
          <w:sz w:val="18"/>
        </w:rPr>
        <w:t> </w:t>
      </w:r>
      <w:r>
        <w:rPr>
          <w:sz w:val="18"/>
        </w:rPr>
        <w:t>y</w:t>
      </w:r>
      <w:r>
        <w:rPr>
          <w:spacing w:val="-1"/>
          <w:sz w:val="18"/>
        </w:rPr>
        <w:t> </w:t>
      </w:r>
      <w:r>
        <w:rPr>
          <w:sz w:val="18"/>
        </w:rPr>
        <w:t>de</w:t>
      </w:r>
      <w:r>
        <w:rPr>
          <w:spacing w:val="-4"/>
          <w:sz w:val="18"/>
        </w:rPr>
        <w:t> </w:t>
      </w:r>
      <w:r>
        <w:rPr>
          <w:sz w:val="18"/>
        </w:rPr>
        <w:t>servicios</w:t>
      </w:r>
      <w:r>
        <w:rPr>
          <w:spacing w:val="-1"/>
          <w:sz w:val="18"/>
        </w:rPr>
        <w:t> </w:t>
      </w:r>
      <w:r>
        <w:rPr>
          <w:sz w:val="18"/>
        </w:rPr>
        <w:t>que</w:t>
      </w:r>
      <w:r>
        <w:rPr>
          <w:spacing w:val="-2"/>
          <w:sz w:val="18"/>
        </w:rPr>
        <w:t> </w:t>
      </w:r>
      <w:r>
        <w:rPr>
          <w:sz w:val="18"/>
        </w:rPr>
        <w:t>tramiten</w:t>
      </w:r>
      <w:r>
        <w:rPr>
          <w:spacing w:val="-2"/>
          <w:sz w:val="18"/>
        </w:rPr>
        <w:t> </w:t>
      </w:r>
      <w:r>
        <w:rPr>
          <w:sz w:val="18"/>
        </w:rPr>
        <w:t>las</w:t>
      </w:r>
      <w:r>
        <w:rPr>
          <w:spacing w:val="-1"/>
          <w:sz w:val="18"/>
        </w:rPr>
        <w:t> </w:t>
      </w:r>
      <w:r>
        <w:rPr>
          <w:sz w:val="18"/>
        </w:rPr>
        <w:t>Administraciones </w:t>
      </w:r>
      <w:r>
        <w:rPr>
          <w:spacing w:val="-2"/>
          <w:sz w:val="18"/>
        </w:rPr>
        <w:t>Públicas</w:t>
      </w:r>
      <w:r>
        <w:rPr>
          <w:spacing w:val="-3"/>
          <w:sz w:val="18"/>
        </w:rPr>
        <w:t> </w:t>
      </w:r>
      <w:r>
        <w:rPr>
          <w:spacing w:val="-2"/>
          <w:sz w:val="18"/>
        </w:rPr>
        <w:t>y</w:t>
      </w:r>
      <w:r>
        <w:rPr>
          <w:spacing w:val="-3"/>
          <w:sz w:val="18"/>
        </w:rPr>
        <w:t> </w:t>
      </w:r>
      <w:r>
        <w:rPr>
          <w:spacing w:val="-2"/>
          <w:sz w:val="18"/>
        </w:rPr>
        <w:t>demás</w:t>
      </w:r>
      <w:r>
        <w:rPr>
          <w:spacing w:val="-3"/>
          <w:sz w:val="18"/>
        </w:rPr>
        <w:t> </w:t>
      </w:r>
      <w:r>
        <w:rPr>
          <w:spacing w:val="-2"/>
          <w:sz w:val="18"/>
        </w:rPr>
        <w:t>entidades</w:t>
      </w:r>
      <w:r>
        <w:rPr>
          <w:spacing w:val="-3"/>
          <w:sz w:val="18"/>
        </w:rPr>
        <w:t> </w:t>
      </w:r>
      <w:r>
        <w:rPr>
          <w:spacing w:val="-2"/>
          <w:sz w:val="18"/>
        </w:rPr>
        <w:t>del sector</w:t>
      </w:r>
      <w:r>
        <w:rPr>
          <w:spacing w:val="-6"/>
          <w:sz w:val="18"/>
        </w:rPr>
        <w:t> </w:t>
      </w:r>
      <w:r>
        <w:rPr>
          <w:spacing w:val="-2"/>
          <w:sz w:val="18"/>
        </w:rPr>
        <w:t>público con</w:t>
      </w:r>
      <w:r>
        <w:rPr>
          <w:spacing w:val="-4"/>
          <w:sz w:val="18"/>
        </w:rPr>
        <w:t> </w:t>
      </w:r>
      <w:r>
        <w:rPr>
          <w:spacing w:val="-2"/>
          <w:sz w:val="18"/>
        </w:rPr>
        <w:t>presupuesto limitativo, en los</w:t>
      </w:r>
      <w:r>
        <w:rPr>
          <w:spacing w:val="-3"/>
          <w:sz w:val="18"/>
        </w:rPr>
        <w:t> </w:t>
      </w:r>
      <w:r>
        <w:rPr>
          <w:spacing w:val="-2"/>
          <w:sz w:val="18"/>
        </w:rPr>
        <w:t>cuales</w:t>
      </w:r>
      <w:r>
        <w:rPr>
          <w:spacing w:val="-3"/>
          <w:sz w:val="18"/>
        </w:rPr>
        <w:t> </w:t>
      </w:r>
      <w:r>
        <w:rPr>
          <w:spacing w:val="-2"/>
          <w:sz w:val="18"/>
        </w:rPr>
        <w:t>el</w:t>
      </w:r>
      <w:r>
        <w:rPr>
          <w:spacing w:val="-4"/>
          <w:sz w:val="18"/>
        </w:rPr>
        <w:t> </w:t>
      </w:r>
      <w:r>
        <w:rPr>
          <w:spacing w:val="-2"/>
          <w:sz w:val="18"/>
        </w:rPr>
        <w:t>empresario</w:t>
      </w:r>
      <w:r>
        <w:rPr>
          <w:spacing w:val="-4"/>
          <w:sz w:val="18"/>
        </w:rPr>
        <w:t> </w:t>
      </w:r>
      <w:r>
        <w:rPr>
          <w:spacing w:val="-2"/>
          <w:sz w:val="18"/>
        </w:rPr>
        <w:t>se obligue</w:t>
      </w:r>
      <w:r>
        <w:rPr>
          <w:spacing w:val="-4"/>
          <w:sz w:val="18"/>
        </w:rPr>
        <w:t> </w:t>
      </w:r>
      <w:r>
        <w:rPr>
          <w:spacing w:val="-2"/>
          <w:sz w:val="18"/>
        </w:rPr>
        <w:t>a entregar </w:t>
      </w:r>
      <w:r>
        <w:rPr>
          <w:sz w:val="18"/>
        </w:rPr>
        <w:t>una</w:t>
      </w:r>
      <w:r>
        <w:rPr>
          <w:spacing w:val="-13"/>
          <w:sz w:val="18"/>
        </w:rPr>
        <w:t> </w:t>
      </w:r>
      <w:r>
        <w:rPr>
          <w:sz w:val="18"/>
        </w:rPr>
        <w:t>pluralidad</w:t>
      </w:r>
      <w:r>
        <w:rPr>
          <w:spacing w:val="-12"/>
          <w:sz w:val="18"/>
        </w:rPr>
        <w:t> </w:t>
      </w:r>
      <w:r>
        <w:rPr>
          <w:sz w:val="18"/>
        </w:rPr>
        <w:t>de</w:t>
      </w:r>
      <w:r>
        <w:rPr>
          <w:spacing w:val="-13"/>
          <w:sz w:val="18"/>
        </w:rPr>
        <w:t> </w:t>
      </w:r>
      <w:r>
        <w:rPr>
          <w:sz w:val="18"/>
        </w:rPr>
        <w:t>bienes</w:t>
      </w:r>
      <w:r>
        <w:rPr>
          <w:spacing w:val="-12"/>
          <w:sz w:val="18"/>
        </w:rPr>
        <w:t> </w:t>
      </w:r>
      <w:r>
        <w:rPr>
          <w:sz w:val="18"/>
        </w:rPr>
        <w:t>o</w:t>
      </w:r>
      <w:r>
        <w:rPr>
          <w:spacing w:val="-11"/>
          <w:sz w:val="18"/>
        </w:rPr>
        <w:t> </w:t>
      </w:r>
      <w:r>
        <w:rPr>
          <w:sz w:val="18"/>
        </w:rPr>
        <w:t>a</w:t>
      </w:r>
      <w:r>
        <w:rPr>
          <w:spacing w:val="-12"/>
          <w:sz w:val="18"/>
        </w:rPr>
        <w:t> </w:t>
      </w:r>
      <w:r>
        <w:rPr>
          <w:sz w:val="18"/>
        </w:rPr>
        <w:t>ejecutar</w:t>
      </w:r>
      <w:r>
        <w:rPr>
          <w:spacing w:val="-11"/>
          <w:sz w:val="18"/>
        </w:rPr>
        <w:t> </w:t>
      </w:r>
      <w:r>
        <w:rPr>
          <w:sz w:val="18"/>
        </w:rPr>
        <w:t>el</w:t>
      </w:r>
      <w:r>
        <w:rPr>
          <w:spacing w:val="-12"/>
          <w:sz w:val="18"/>
        </w:rPr>
        <w:t> </w:t>
      </w:r>
      <w:r>
        <w:rPr>
          <w:sz w:val="18"/>
        </w:rPr>
        <w:t>servicio</w:t>
      </w:r>
      <w:r>
        <w:rPr>
          <w:spacing w:val="-13"/>
          <w:sz w:val="18"/>
        </w:rPr>
        <w:t> </w:t>
      </w:r>
      <w:r>
        <w:rPr>
          <w:sz w:val="18"/>
        </w:rPr>
        <w:t>de</w:t>
      </w:r>
      <w:r>
        <w:rPr>
          <w:spacing w:val="-12"/>
          <w:sz w:val="18"/>
        </w:rPr>
        <w:t> </w:t>
      </w:r>
      <w:r>
        <w:rPr>
          <w:sz w:val="18"/>
        </w:rPr>
        <w:t>forma</w:t>
      </w:r>
      <w:r>
        <w:rPr>
          <w:spacing w:val="-13"/>
          <w:sz w:val="18"/>
        </w:rPr>
        <w:t> </w:t>
      </w:r>
      <w:r>
        <w:rPr>
          <w:sz w:val="18"/>
        </w:rPr>
        <w:t>sucesiva</w:t>
      </w:r>
      <w:r>
        <w:rPr>
          <w:spacing w:val="-12"/>
          <w:sz w:val="18"/>
        </w:rPr>
        <w:t> </w:t>
      </w:r>
      <w:r>
        <w:rPr>
          <w:sz w:val="18"/>
        </w:rPr>
        <w:t>y</w:t>
      </w:r>
      <w:r>
        <w:rPr>
          <w:spacing w:val="-12"/>
          <w:sz w:val="18"/>
        </w:rPr>
        <w:t> </w:t>
      </w:r>
      <w:r>
        <w:rPr>
          <w:sz w:val="18"/>
        </w:rPr>
        <w:t>por</w:t>
      </w:r>
      <w:r>
        <w:rPr>
          <w:spacing w:val="-13"/>
          <w:sz w:val="18"/>
        </w:rPr>
        <w:t> </w:t>
      </w:r>
      <w:r>
        <w:rPr>
          <w:sz w:val="18"/>
        </w:rPr>
        <w:t>precio</w:t>
      </w:r>
      <w:r>
        <w:rPr>
          <w:spacing w:val="-12"/>
          <w:sz w:val="18"/>
        </w:rPr>
        <w:t> </w:t>
      </w:r>
      <w:r>
        <w:rPr>
          <w:sz w:val="18"/>
        </w:rPr>
        <w:t>unitario,</w:t>
      </w:r>
      <w:r>
        <w:rPr>
          <w:spacing w:val="-13"/>
          <w:sz w:val="18"/>
        </w:rPr>
        <w:t> </w:t>
      </w:r>
      <w:r>
        <w:rPr>
          <w:sz w:val="18"/>
        </w:rPr>
        <w:t>sin</w:t>
      </w:r>
      <w:r>
        <w:rPr>
          <w:spacing w:val="-12"/>
          <w:sz w:val="18"/>
        </w:rPr>
        <w:t> </w:t>
      </w:r>
      <w:r>
        <w:rPr>
          <w:sz w:val="18"/>
        </w:rPr>
        <w:t>que</w:t>
      </w:r>
      <w:r>
        <w:rPr>
          <w:spacing w:val="-13"/>
          <w:sz w:val="18"/>
        </w:rPr>
        <w:t> </w:t>
      </w:r>
      <w:r>
        <w:rPr>
          <w:sz w:val="18"/>
        </w:rPr>
        <w:t>el</w:t>
      </w:r>
      <w:r>
        <w:rPr>
          <w:spacing w:val="-11"/>
          <w:sz w:val="18"/>
        </w:rPr>
        <w:t> </w:t>
      </w:r>
      <w:r>
        <w:rPr>
          <w:sz w:val="18"/>
        </w:rPr>
        <w:t>número</w:t>
      </w:r>
      <w:r>
        <w:rPr>
          <w:spacing w:val="-12"/>
          <w:sz w:val="18"/>
        </w:rPr>
        <w:t> </w:t>
      </w:r>
      <w:r>
        <w:rPr>
          <w:sz w:val="18"/>
        </w:rPr>
        <w:t>total</w:t>
      </w:r>
      <w:r>
        <w:rPr>
          <w:spacing w:val="-12"/>
          <w:sz w:val="18"/>
        </w:rPr>
        <w:t> </w:t>
      </w:r>
      <w:r>
        <w:rPr>
          <w:sz w:val="18"/>
        </w:rPr>
        <w:t>de</w:t>
      </w:r>
      <w:r>
        <w:rPr>
          <w:spacing w:val="-13"/>
          <w:sz w:val="18"/>
        </w:rPr>
        <w:t> </w:t>
      </w:r>
      <w:r>
        <w:rPr>
          <w:sz w:val="18"/>
        </w:rPr>
        <w:t>entregas o</w:t>
      </w:r>
      <w:r>
        <w:rPr>
          <w:spacing w:val="-13"/>
          <w:sz w:val="18"/>
        </w:rPr>
        <w:t> </w:t>
      </w:r>
      <w:r>
        <w:rPr>
          <w:sz w:val="18"/>
        </w:rPr>
        <w:t>prestaciones</w:t>
      </w:r>
      <w:r>
        <w:rPr>
          <w:spacing w:val="-12"/>
          <w:sz w:val="18"/>
        </w:rPr>
        <w:t> </w:t>
      </w:r>
      <w:r>
        <w:rPr>
          <w:sz w:val="18"/>
        </w:rPr>
        <w:t>incluidas</w:t>
      </w:r>
      <w:r>
        <w:rPr>
          <w:spacing w:val="-13"/>
          <w:sz w:val="18"/>
        </w:rPr>
        <w:t> </w:t>
      </w:r>
      <w:r>
        <w:rPr>
          <w:sz w:val="18"/>
        </w:rPr>
        <w:t>en</w:t>
      </w:r>
      <w:r>
        <w:rPr>
          <w:spacing w:val="-12"/>
          <w:sz w:val="18"/>
        </w:rPr>
        <w:t> </w:t>
      </w:r>
      <w:r>
        <w:rPr>
          <w:sz w:val="18"/>
        </w:rPr>
        <w:t>el</w:t>
      </w:r>
      <w:r>
        <w:rPr>
          <w:spacing w:val="-13"/>
          <w:sz w:val="18"/>
        </w:rPr>
        <w:t> </w:t>
      </w:r>
      <w:r>
        <w:rPr>
          <w:sz w:val="18"/>
        </w:rPr>
        <w:t>objeto</w:t>
      </w:r>
      <w:r>
        <w:rPr>
          <w:spacing w:val="-13"/>
          <w:sz w:val="18"/>
        </w:rPr>
        <w:t> </w:t>
      </w:r>
      <w:r>
        <w:rPr>
          <w:sz w:val="18"/>
        </w:rPr>
        <w:t>del</w:t>
      </w:r>
      <w:r>
        <w:rPr>
          <w:spacing w:val="-12"/>
          <w:sz w:val="18"/>
        </w:rPr>
        <w:t> </w:t>
      </w:r>
      <w:r>
        <w:rPr>
          <w:sz w:val="18"/>
        </w:rPr>
        <w:t>contrato</w:t>
      </w:r>
      <w:r>
        <w:rPr>
          <w:spacing w:val="-13"/>
          <w:sz w:val="18"/>
        </w:rPr>
        <w:t> </w:t>
      </w:r>
      <w:r>
        <w:rPr>
          <w:sz w:val="18"/>
        </w:rPr>
        <w:t>se</w:t>
      </w:r>
      <w:r>
        <w:rPr>
          <w:spacing w:val="-12"/>
          <w:sz w:val="18"/>
        </w:rPr>
        <w:t> </w:t>
      </w:r>
      <w:r>
        <w:rPr>
          <w:sz w:val="18"/>
        </w:rPr>
        <w:t>defina</w:t>
      </w:r>
      <w:r>
        <w:rPr>
          <w:spacing w:val="-13"/>
          <w:sz w:val="18"/>
        </w:rPr>
        <w:t> </w:t>
      </w:r>
      <w:r>
        <w:rPr>
          <w:sz w:val="18"/>
        </w:rPr>
        <w:t>con</w:t>
      </w:r>
      <w:r>
        <w:rPr>
          <w:spacing w:val="-12"/>
          <w:sz w:val="18"/>
        </w:rPr>
        <w:t> </w:t>
      </w:r>
      <w:r>
        <w:rPr>
          <w:sz w:val="18"/>
        </w:rPr>
        <w:t>exactitud</w:t>
      </w:r>
      <w:r>
        <w:rPr>
          <w:spacing w:val="-13"/>
          <w:sz w:val="18"/>
        </w:rPr>
        <w:t> </w:t>
      </w:r>
      <w:r>
        <w:rPr>
          <w:sz w:val="18"/>
        </w:rPr>
        <w:t>al</w:t>
      </w:r>
      <w:r>
        <w:rPr>
          <w:spacing w:val="-12"/>
          <w:sz w:val="18"/>
        </w:rPr>
        <w:t> </w:t>
      </w:r>
      <w:r>
        <w:rPr>
          <w:sz w:val="18"/>
        </w:rPr>
        <w:t>tiempo</w:t>
      </w:r>
      <w:r>
        <w:rPr>
          <w:spacing w:val="-13"/>
          <w:sz w:val="18"/>
        </w:rPr>
        <w:t> </w:t>
      </w:r>
      <w:r>
        <w:rPr>
          <w:sz w:val="18"/>
        </w:rPr>
        <w:t>de</w:t>
      </w:r>
      <w:r>
        <w:rPr>
          <w:spacing w:val="-12"/>
          <w:sz w:val="18"/>
        </w:rPr>
        <w:t> </w:t>
      </w:r>
      <w:r>
        <w:rPr>
          <w:sz w:val="18"/>
        </w:rPr>
        <w:t>celebrar</w:t>
      </w:r>
      <w:r>
        <w:rPr>
          <w:spacing w:val="-13"/>
          <w:sz w:val="18"/>
        </w:rPr>
        <w:t> </w:t>
      </w:r>
      <w:r>
        <w:rPr>
          <w:sz w:val="18"/>
        </w:rPr>
        <w:t>este,</w:t>
      </w:r>
      <w:r>
        <w:rPr>
          <w:spacing w:val="-12"/>
          <w:sz w:val="18"/>
        </w:rPr>
        <w:t> </w:t>
      </w:r>
      <w:r>
        <w:rPr>
          <w:sz w:val="18"/>
        </w:rPr>
        <w:t>por</w:t>
      </w:r>
      <w:r>
        <w:rPr>
          <w:spacing w:val="-13"/>
          <w:sz w:val="18"/>
        </w:rPr>
        <w:t> </w:t>
      </w:r>
      <w:r>
        <w:rPr>
          <w:sz w:val="18"/>
        </w:rPr>
        <w:t>estar</w:t>
      </w:r>
      <w:r>
        <w:rPr>
          <w:spacing w:val="-12"/>
          <w:sz w:val="18"/>
        </w:rPr>
        <w:t> </w:t>
      </w:r>
      <w:r>
        <w:rPr>
          <w:sz w:val="18"/>
        </w:rPr>
        <w:t>subordinadas las mismas a las necesidades de la Administración, deberá aprobarse un presupuesto máximo.</w:t>
      </w:r>
    </w:p>
    <w:p>
      <w:pPr>
        <w:spacing w:before="60"/>
        <w:ind w:left="992" w:right="998" w:firstLine="0"/>
        <w:jc w:val="both"/>
        <w:rPr>
          <w:sz w:val="18"/>
        </w:rPr>
      </w:pPr>
      <w:r>
        <w:rPr>
          <w:sz w:val="18"/>
        </w:rPr>
        <w:t>En el caso de que, dentro de la vigencia del contrato, las necesidades reales fuesen superiores a las estimadas inicialmente, deberá</w:t>
      </w:r>
      <w:r>
        <w:rPr>
          <w:spacing w:val="-2"/>
          <w:sz w:val="18"/>
        </w:rPr>
        <w:t> </w:t>
      </w:r>
      <w:r>
        <w:rPr>
          <w:sz w:val="18"/>
        </w:rPr>
        <w:t>tramitarse la correspondiente modificación. A tales</w:t>
      </w:r>
      <w:r>
        <w:rPr>
          <w:spacing w:val="-1"/>
          <w:sz w:val="18"/>
        </w:rPr>
        <w:t> </w:t>
      </w:r>
      <w:r>
        <w:rPr>
          <w:sz w:val="18"/>
        </w:rPr>
        <w:t>efectos, habrá de</w:t>
      </w:r>
      <w:r>
        <w:rPr>
          <w:spacing w:val="-2"/>
          <w:sz w:val="18"/>
        </w:rPr>
        <w:t> </w:t>
      </w:r>
      <w:r>
        <w:rPr>
          <w:sz w:val="18"/>
        </w:rPr>
        <w:t>preverse en la documentación que rija la licitación la posibilidad de que pueda modificarse el contrato como consecuencia de tal circunstancia, en los términos previstos en el artículo 204 de esta Ley. La citada modificación deberá tramitarse antes de que se agote el presupuesto</w:t>
      </w:r>
      <w:r>
        <w:rPr>
          <w:spacing w:val="-2"/>
          <w:sz w:val="18"/>
        </w:rPr>
        <w:t> </w:t>
      </w:r>
      <w:r>
        <w:rPr>
          <w:sz w:val="18"/>
        </w:rPr>
        <w:t>máximo inicialmente aprobado, reservándose a</w:t>
      </w:r>
      <w:r>
        <w:rPr>
          <w:spacing w:val="-2"/>
          <w:sz w:val="18"/>
        </w:rPr>
        <w:t> </w:t>
      </w:r>
      <w:r>
        <w:rPr>
          <w:sz w:val="18"/>
        </w:rPr>
        <w:t>tal fin el</w:t>
      </w:r>
      <w:r>
        <w:rPr>
          <w:spacing w:val="-2"/>
          <w:sz w:val="18"/>
        </w:rPr>
        <w:t> </w:t>
      </w:r>
      <w:r>
        <w:rPr>
          <w:sz w:val="18"/>
        </w:rPr>
        <w:t>crédito</w:t>
      </w:r>
      <w:r>
        <w:rPr>
          <w:spacing w:val="-2"/>
          <w:sz w:val="18"/>
        </w:rPr>
        <w:t> </w:t>
      </w:r>
      <w:r>
        <w:rPr>
          <w:sz w:val="18"/>
        </w:rPr>
        <w:t>necesario para cubrir el</w:t>
      </w:r>
      <w:r>
        <w:rPr>
          <w:spacing w:val="-2"/>
          <w:sz w:val="18"/>
        </w:rPr>
        <w:t> </w:t>
      </w:r>
      <w:r>
        <w:rPr>
          <w:sz w:val="18"/>
        </w:rPr>
        <w:t>importe</w:t>
      </w:r>
      <w:r>
        <w:rPr>
          <w:spacing w:val="-2"/>
          <w:sz w:val="18"/>
        </w:rPr>
        <w:t> </w:t>
      </w:r>
      <w:r>
        <w:rPr>
          <w:sz w:val="18"/>
        </w:rPr>
        <w:t>máximo de las nuevas necesidades.</w:t>
      </w:r>
    </w:p>
    <w:p>
      <w:pPr>
        <w:spacing w:line="242" w:lineRule="auto" w:before="55"/>
        <w:ind w:left="992" w:right="988" w:firstLine="0"/>
        <w:jc w:val="both"/>
        <w:rPr>
          <w:sz w:val="18"/>
        </w:rPr>
      </w:pPr>
      <w:bookmarkStart w:name="_bookmark56" w:id="58"/>
      <w:bookmarkEnd w:id="58"/>
      <w:r>
        <w:rPr/>
      </w:r>
      <w:r>
        <w:rPr>
          <w:rFonts w:ascii="Calibri" w:hAnsi="Calibri"/>
          <w:position w:val="8"/>
          <w:sz w:val="14"/>
        </w:rPr>
        <w:t>33</w:t>
      </w:r>
      <w:r>
        <w:rPr>
          <w:rFonts w:ascii="Calibri" w:hAnsi="Calibri"/>
          <w:spacing w:val="40"/>
          <w:position w:val="8"/>
          <w:sz w:val="14"/>
        </w:rPr>
        <w:t> </w:t>
      </w:r>
      <w:r>
        <w:rPr>
          <w:sz w:val="18"/>
        </w:rPr>
        <w:t>El Ayuntamiento señala, en el trámite de alegaciones, que se encuentra justificado el uso de este sistema por la incertidumbre inherente a la financiación de las operaciones, especialmente cuando dependen de fondos europeos o de la disponibilidad presupuestaria municipal, lo que viene a poner de manifiesto que este procedimiento se empleó con el fin de adaptar el alcance de los contratos a la disponibilidad de fondos </w:t>
      </w:r>
      <w:r>
        <w:rPr>
          <w:rFonts w:ascii="Symbol" w:hAnsi="Symbol"/>
          <w:sz w:val="18"/>
        </w:rPr>
        <w:t></w:t>
      </w:r>
      <w:r>
        <w:rPr>
          <w:sz w:val="18"/>
        </w:rPr>
        <w:t>algunos de ellos financiados con ayudas concedidas</w:t>
      </w:r>
      <w:r>
        <w:rPr>
          <w:spacing w:val="-3"/>
          <w:sz w:val="18"/>
        </w:rPr>
        <w:t> </w:t>
      </w:r>
      <w:r>
        <w:rPr>
          <w:sz w:val="18"/>
        </w:rPr>
        <w:t>por</w:t>
      </w:r>
      <w:r>
        <w:rPr>
          <w:spacing w:val="-7"/>
          <w:sz w:val="18"/>
        </w:rPr>
        <w:t> </w:t>
      </w:r>
      <w:r>
        <w:rPr>
          <w:sz w:val="18"/>
        </w:rPr>
        <w:t>el</w:t>
      </w:r>
      <w:r>
        <w:rPr>
          <w:spacing w:val="-6"/>
          <w:sz w:val="18"/>
        </w:rPr>
        <w:t> </w:t>
      </w:r>
      <w:r>
        <w:rPr>
          <w:sz w:val="18"/>
        </w:rPr>
        <w:t>MITMA</w:t>
      </w:r>
      <w:r>
        <w:rPr>
          <w:rFonts w:ascii="Symbol" w:hAnsi="Symbol"/>
          <w:sz w:val="18"/>
        </w:rPr>
        <w:t></w:t>
      </w:r>
      <w:r>
        <w:rPr>
          <w:sz w:val="18"/>
        </w:rPr>
        <w:t>,</w:t>
      </w:r>
      <w:r>
        <w:rPr>
          <w:spacing w:val="-7"/>
          <w:sz w:val="18"/>
        </w:rPr>
        <w:t> </w:t>
      </w:r>
      <w:r>
        <w:rPr>
          <w:sz w:val="18"/>
        </w:rPr>
        <w:t>desvirtuando</w:t>
      </w:r>
      <w:r>
        <w:rPr>
          <w:spacing w:val="-6"/>
          <w:sz w:val="18"/>
        </w:rPr>
        <w:t> </w:t>
      </w:r>
      <w:r>
        <w:rPr>
          <w:sz w:val="18"/>
        </w:rPr>
        <w:t>la</w:t>
      </w:r>
      <w:r>
        <w:rPr>
          <w:spacing w:val="-6"/>
          <w:sz w:val="18"/>
        </w:rPr>
        <w:t> </w:t>
      </w:r>
      <w:r>
        <w:rPr>
          <w:sz w:val="18"/>
        </w:rPr>
        <w:t>finalidad</w:t>
      </w:r>
      <w:r>
        <w:rPr>
          <w:spacing w:val="-6"/>
          <w:sz w:val="18"/>
        </w:rPr>
        <w:t> </w:t>
      </w:r>
      <w:r>
        <w:rPr>
          <w:sz w:val="18"/>
        </w:rPr>
        <w:t>de</w:t>
      </w:r>
      <w:r>
        <w:rPr>
          <w:spacing w:val="-6"/>
          <w:sz w:val="18"/>
        </w:rPr>
        <w:t> </w:t>
      </w:r>
      <w:r>
        <w:rPr>
          <w:sz w:val="18"/>
        </w:rPr>
        <w:t>esta</w:t>
      </w:r>
      <w:r>
        <w:rPr>
          <w:spacing w:val="-8"/>
          <w:sz w:val="18"/>
        </w:rPr>
        <w:t> </w:t>
      </w:r>
      <w:r>
        <w:rPr>
          <w:sz w:val="18"/>
        </w:rPr>
        <w:t>figura</w:t>
      </w:r>
      <w:r>
        <w:rPr>
          <w:spacing w:val="-6"/>
          <w:sz w:val="18"/>
        </w:rPr>
        <w:t> </w:t>
      </w:r>
      <w:r>
        <w:rPr>
          <w:sz w:val="18"/>
        </w:rPr>
        <w:t>contractual,</w:t>
      </w:r>
      <w:r>
        <w:rPr>
          <w:spacing w:val="-6"/>
          <w:sz w:val="18"/>
        </w:rPr>
        <w:t> </w:t>
      </w:r>
      <w:r>
        <w:rPr>
          <w:sz w:val="18"/>
        </w:rPr>
        <w:t>ideada</w:t>
      </w:r>
      <w:r>
        <w:rPr>
          <w:spacing w:val="-1"/>
          <w:sz w:val="18"/>
        </w:rPr>
        <w:t> </w:t>
      </w:r>
      <w:r>
        <w:rPr>
          <w:sz w:val="18"/>
        </w:rPr>
        <w:t>para</w:t>
      </w:r>
      <w:r>
        <w:rPr>
          <w:spacing w:val="-6"/>
          <w:sz w:val="18"/>
        </w:rPr>
        <w:t> </w:t>
      </w:r>
      <w:r>
        <w:rPr>
          <w:sz w:val="18"/>
        </w:rPr>
        <w:t>aquellos</w:t>
      </w:r>
      <w:r>
        <w:rPr>
          <w:spacing w:val="-6"/>
          <w:sz w:val="18"/>
        </w:rPr>
        <w:t> </w:t>
      </w:r>
      <w:r>
        <w:rPr>
          <w:sz w:val="18"/>
        </w:rPr>
        <w:t>contratos</w:t>
      </w:r>
      <w:r>
        <w:rPr>
          <w:spacing w:val="-6"/>
          <w:sz w:val="18"/>
        </w:rPr>
        <w:t> </w:t>
      </w:r>
      <w:r>
        <w:rPr>
          <w:sz w:val="18"/>
        </w:rPr>
        <w:t>en</w:t>
      </w:r>
      <w:r>
        <w:rPr>
          <w:spacing w:val="-6"/>
          <w:sz w:val="18"/>
        </w:rPr>
        <w:t> </w:t>
      </w:r>
      <w:r>
        <w:rPr>
          <w:sz w:val="18"/>
        </w:rPr>
        <w:t>los</w:t>
      </w:r>
      <w:r>
        <w:rPr>
          <w:spacing w:val="-6"/>
          <w:sz w:val="18"/>
        </w:rPr>
        <w:t> </w:t>
      </w:r>
      <w:r>
        <w:rPr>
          <w:sz w:val="18"/>
        </w:rPr>
        <w:t>que no</w:t>
      </w:r>
      <w:r>
        <w:rPr>
          <w:spacing w:val="-1"/>
          <w:sz w:val="18"/>
        </w:rPr>
        <w:t> </w:t>
      </w:r>
      <w:r>
        <w:rPr>
          <w:sz w:val="18"/>
        </w:rPr>
        <w:t>se</w:t>
      </w:r>
      <w:r>
        <w:rPr>
          <w:spacing w:val="-3"/>
          <w:sz w:val="18"/>
        </w:rPr>
        <w:t> </w:t>
      </w:r>
      <w:r>
        <w:rPr>
          <w:sz w:val="18"/>
        </w:rPr>
        <w:t>concreta</w:t>
      </w:r>
      <w:r>
        <w:rPr>
          <w:spacing w:val="-1"/>
          <w:sz w:val="18"/>
        </w:rPr>
        <w:t> </w:t>
      </w:r>
      <w:r>
        <w:rPr>
          <w:sz w:val="18"/>
        </w:rPr>
        <w:t>con</w:t>
      </w:r>
      <w:r>
        <w:rPr>
          <w:spacing w:val="-1"/>
          <w:sz w:val="18"/>
        </w:rPr>
        <w:t> </w:t>
      </w:r>
      <w:r>
        <w:rPr>
          <w:sz w:val="18"/>
        </w:rPr>
        <w:t>exactitud el</w:t>
      </w:r>
      <w:r>
        <w:rPr>
          <w:spacing w:val="-1"/>
          <w:sz w:val="18"/>
        </w:rPr>
        <w:t> </w:t>
      </w:r>
      <w:r>
        <w:rPr>
          <w:sz w:val="18"/>
        </w:rPr>
        <w:t>número</w:t>
      </w:r>
      <w:r>
        <w:rPr>
          <w:spacing w:val="-1"/>
          <w:sz w:val="18"/>
        </w:rPr>
        <w:t> </w:t>
      </w:r>
      <w:r>
        <w:rPr>
          <w:sz w:val="18"/>
        </w:rPr>
        <w:t>total</w:t>
      </w:r>
      <w:r>
        <w:rPr>
          <w:spacing w:val="-3"/>
          <w:sz w:val="18"/>
        </w:rPr>
        <w:t> </w:t>
      </w:r>
      <w:r>
        <w:rPr>
          <w:sz w:val="18"/>
        </w:rPr>
        <w:t>de</w:t>
      </w:r>
      <w:r>
        <w:rPr>
          <w:spacing w:val="-3"/>
          <w:sz w:val="18"/>
        </w:rPr>
        <w:t> </w:t>
      </w:r>
      <w:r>
        <w:rPr>
          <w:sz w:val="18"/>
        </w:rPr>
        <w:t>entregas</w:t>
      </w:r>
      <w:r>
        <w:rPr>
          <w:spacing w:val="-2"/>
          <w:sz w:val="18"/>
        </w:rPr>
        <w:t> </w:t>
      </w:r>
      <w:r>
        <w:rPr>
          <w:sz w:val="18"/>
        </w:rPr>
        <w:t>por</w:t>
      </w:r>
      <w:r>
        <w:rPr>
          <w:spacing w:val="-3"/>
          <w:sz w:val="18"/>
        </w:rPr>
        <w:t> </w:t>
      </w:r>
      <w:r>
        <w:rPr>
          <w:sz w:val="18"/>
        </w:rPr>
        <w:t>estar</w:t>
      </w:r>
      <w:r>
        <w:rPr>
          <w:spacing w:val="-3"/>
          <w:sz w:val="18"/>
        </w:rPr>
        <w:t> </w:t>
      </w:r>
      <w:r>
        <w:rPr>
          <w:sz w:val="18"/>
        </w:rPr>
        <w:t>subordinadas a</w:t>
      </w:r>
      <w:r>
        <w:rPr>
          <w:spacing w:val="-3"/>
          <w:sz w:val="18"/>
        </w:rPr>
        <w:t> </w:t>
      </w:r>
      <w:r>
        <w:rPr>
          <w:sz w:val="18"/>
        </w:rPr>
        <w:t>las necesidades</w:t>
      </w:r>
      <w:r>
        <w:rPr>
          <w:spacing w:val="-3"/>
          <w:sz w:val="18"/>
        </w:rPr>
        <w:t> </w:t>
      </w:r>
      <w:r>
        <w:rPr>
          <w:sz w:val="18"/>
        </w:rPr>
        <w:t>de</w:t>
      </w:r>
      <w:r>
        <w:rPr>
          <w:spacing w:val="-3"/>
          <w:sz w:val="18"/>
        </w:rPr>
        <w:t> </w:t>
      </w:r>
      <w:r>
        <w:rPr>
          <w:sz w:val="18"/>
        </w:rPr>
        <w:t>la</w:t>
      </w:r>
      <w:r>
        <w:rPr>
          <w:spacing w:val="-1"/>
          <w:sz w:val="18"/>
        </w:rPr>
        <w:t> </w:t>
      </w:r>
      <w:r>
        <w:rPr>
          <w:sz w:val="18"/>
        </w:rPr>
        <w:t>Administración, refiriéndose la Ley con el término “necesidades” a las unidades a suministrar y no a la incertidumbre sobre cómo se van a financiar.</w:t>
      </w:r>
    </w:p>
    <w:p>
      <w:pPr>
        <w:spacing w:after="0" w:line="242" w:lineRule="auto"/>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91"/>
        <w:jc w:val="both"/>
      </w:pPr>
      <w:r>
        <w:rPr/>
        <w:t>31 de</w:t>
      </w:r>
      <w:r>
        <w:rPr>
          <w:spacing w:val="-3"/>
        </w:rPr>
        <w:t> </w:t>
      </w:r>
      <w:r>
        <w:rPr/>
        <w:t>julio de</w:t>
      </w:r>
      <w:r>
        <w:rPr>
          <w:spacing w:val="-1"/>
        </w:rPr>
        <w:t> </w:t>
      </w:r>
      <w:r>
        <w:rPr/>
        <w:t>ese</w:t>
      </w:r>
      <w:r>
        <w:rPr>
          <w:spacing w:val="-1"/>
        </w:rPr>
        <w:t> </w:t>
      </w:r>
      <w:r>
        <w:rPr/>
        <w:t>año</w:t>
      </w:r>
      <w:r>
        <w:rPr>
          <w:spacing w:val="-1"/>
        </w:rPr>
        <w:t> </w:t>
      </w:r>
      <w:r>
        <w:rPr/>
        <w:t>se</w:t>
      </w:r>
      <w:r>
        <w:rPr>
          <w:spacing w:val="-1"/>
        </w:rPr>
        <w:t> </w:t>
      </w:r>
      <w:r>
        <w:rPr/>
        <w:t>había</w:t>
      </w:r>
      <w:r>
        <w:rPr>
          <w:spacing w:val="-1"/>
        </w:rPr>
        <w:t> </w:t>
      </w:r>
      <w:r>
        <w:rPr/>
        <w:t>hecho</w:t>
      </w:r>
      <w:r>
        <w:rPr>
          <w:spacing w:val="-1"/>
        </w:rPr>
        <w:t> </w:t>
      </w:r>
      <w:r>
        <w:rPr/>
        <w:t>entrega</w:t>
      </w:r>
      <w:r>
        <w:rPr>
          <w:spacing w:val="-1"/>
        </w:rPr>
        <w:t> </w:t>
      </w:r>
      <w:r>
        <w:rPr/>
        <w:t>de estos, lo</w:t>
      </w:r>
      <w:r>
        <w:rPr>
          <w:spacing w:val="-1"/>
        </w:rPr>
        <w:t> </w:t>
      </w:r>
      <w:r>
        <w:rPr/>
        <w:t>que</w:t>
      </w:r>
      <w:r>
        <w:rPr>
          <w:spacing w:val="-1"/>
        </w:rPr>
        <w:t> </w:t>
      </w:r>
      <w:r>
        <w:rPr/>
        <w:t>pone</w:t>
      </w:r>
      <w:r>
        <w:rPr>
          <w:spacing w:val="-1"/>
        </w:rPr>
        <w:t> </w:t>
      </w:r>
      <w:r>
        <w:rPr/>
        <w:t>de</w:t>
      </w:r>
      <w:r>
        <w:rPr>
          <w:spacing w:val="-3"/>
        </w:rPr>
        <w:t> </w:t>
      </w:r>
      <w:r>
        <w:rPr/>
        <w:t>manifiesto que</w:t>
      </w:r>
      <w:r>
        <w:rPr>
          <w:spacing w:val="-1"/>
        </w:rPr>
        <w:t> </w:t>
      </w:r>
      <w:r>
        <w:rPr/>
        <w:t>la prórroga se acordó el mismo día de entrega de los vehículos</w:t>
      </w:r>
      <w:hyperlink w:history="true" w:anchor="_bookmark58">
        <w:r>
          <w:rPr>
            <w:vertAlign w:val="superscript"/>
          </w:rPr>
          <w:t>34</w:t>
        </w:r>
        <w:r>
          <w:rPr>
            <w:vertAlign w:val="baseline"/>
          </w:rPr>
          <w:t>.</w:t>
        </w:r>
      </w:hyperlink>
    </w:p>
    <w:p>
      <w:pPr>
        <w:pStyle w:val="BodyText"/>
        <w:spacing w:before="240"/>
        <w:ind w:left="992" w:right="985"/>
        <w:jc w:val="both"/>
      </w:pPr>
      <w:r>
        <w:rPr/>
        <w:t>La empresa pública del </w:t>
      </w:r>
      <w:r>
        <w:rPr>
          <w:b/>
        </w:rPr>
        <w:t>Ayuntamiento de Sevilla</w:t>
      </w:r>
      <w:r>
        <w:rPr/>
        <w:t>, responsable de la gestión, explotación y administración</w:t>
      </w:r>
      <w:r>
        <w:rPr>
          <w:spacing w:val="-11"/>
        </w:rPr>
        <w:t> </w:t>
      </w:r>
      <w:r>
        <w:rPr/>
        <w:t>de</w:t>
      </w:r>
      <w:r>
        <w:rPr>
          <w:spacing w:val="-8"/>
        </w:rPr>
        <w:t> </w:t>
      </w:r>
      <w:r>
        <w:rPr/>
        <w:t>los</w:t>
      </w:r>
      <w:r>
        <w:rPr>
          <w:spacing w:val="-10"/>
        </w:rPr>
        <w:t> </w:t>
      </w:r>
      <w:r>
        <w:rPr/>
        <w:t>servicios</w:t>
      </w:r>
      <w:r>
        <w:rPr>
          <w:spacing w:val="-8"/>
        </w:rPr>
        <w:t> </w:t>
      </w:r>
      <w:r>
        <w:rPr/>
        <w:t>públicos</w:t>
      </w:r>
      <w:r>
        <w:rPr>
          <w:spacing w:val="-8"/>
        </w:rPr>
        <w:t> </w:t>
      </w:r>
      <w:r>
        <w:rPr/>
        <w:t>de</w:t>
      </w:r>
      <w:r>
        <w:rPr>
          <w:spacing w:val="-11"/>
        </w:rPr>
        <w:t> </w:t>
      </w:r>
      <w:r>
        <w:rPr/>
        <w:t>transportes</w:t>
      </w:r>
      <w:r>
        <w:rPr>
          <w:spacing w:val="-10"/>
        </w:rPr>
        <w:t> </w:t>
      </w:r>
      <w:r>
        <w:rPr/>
        <w:t>colectivos</w:t>
      </w:r>
      <w:r>
        <w:rPr>
          <w:spacing w:val="-10"/>
        </w:rPr>
        <w:t> </w:t>
      </w:r>
      <w:r>
        <w:rPr/>
        <w:t>urbanos,</w:t>
      </w:r>
      <w:r>
        <w:rPr>
          <w:spacing w:val="-9"/>
        </w:rPr>
        <w:t> </w:t>
      </w:r>
      <w:r>
        <w:rPr/>
        <w:t>ha</w:t>
      </w:r>
      <w:r>
        <w:rPr>
          <w:spacing w:val="-8"/>
        </w:rPr>
        <w:t> </w:t>
      </w:r>
      <w:r>
        <w:rPr/>
        <w:t>impuesto</w:t>
      </w:r>
      <w:r>
        <w:rPr>
          <w:spacing w:val="-10"/>
        </w:rPr>
        <w:t> </w:t>
      </w:r>
      <w:r>
        <w:rPr/>
        <w:t>en</w:t>
      </w:r>
      <w:r>
        <w:rPr>
          <w:spacing w:val="-11"/>
        </w:rPr>
        <w:t> </w:t>
      </w:r>
      <w:r>
        <w:rPr/>
        <w:t>mayo</w:t>
      </w:r>
      <w:r>
        <w:rPr>
          <w:spacing w:val="-11"/>
        </w:rPr>
        <w:t> </w:t>
      </w:r>
      <w:r>
        <w:rPr/>
        <w:t>de 2025 penalidades por un importe de 708.179,20 euros a la empresa suministradora de diecisiete autobuses con motor GNC-híbrido, por incumplimiento de los plazos de entrega previstos en el contrato, acordándose que dicha cuantía se minorara del precio unitario de los autobuses.</w:t>
      </w:r>
    </w:p>
    <w:p>
      <w:pPr>
        <w:spacing w:before="240"/>
        <w:ind w:left="992" w:right="0" w:firstLine="0"/>
        <w:jc w:val="both"/>
        <w:rPr>
          <w:i/>
          <w:sz w:val="22"/>
        </w:rPr>
      </w:pPr>
      <w:r>
        <w:rPr>
          <w:i/>
          <w:color w:val="365F91"/>
          <w:sz w:val="22"/>
        </w:rPr>
        <w:t>Adquisición</w:t>
      </w:r>
      <w:r>
        <w:rPr>
          <w:i/>
          <w:color w:val="365F91"/>
          <w:spacing w:val="-7"/>
          <w:sz w:val="22"/>
        </w:rPr>
        <w:t> </w:t>
      </w:r>
      <w:r>
        <w:rPr>
          <w:i/>
          <w:color w:val="365F91"/>
          <w:sz w:val="22"/>
        </w:rPr>
        <w:t>de</w:t>
      </w:r>
      <w:r>
        <w:rPr>
          <w:i/>
          <w:color w:val="365F91"/>
          <w:spacing w:val="-6"/>
          <w:sz w:val="22"/>
        </w:rPr>
        <w:t> </w:t>
      </w:r>
      <w:r>
        <w:rPr>
          <w:i/>
          <w:color w:val="365F91"/>
          <w:sz w:val="22"/>
        </w:rPr>
        <w:t>material</w:t>
      </w:r>
      <w:r>
        <w:rPr>
          <w:i/>
          <w:color w:val="365F91"/>
          <w:spacing w:val="-9"/>
          <w:sz w:val="22"/>
        </w:rPr>
        <w:t> </w:t>
      </w:r>
      <w:r>
        <w:rPr>
          <w:i/>
          <w:color w:val="365F91"/>
          <w:sz w:val="22"/>
        </w:rPr>
        <w:t>móvil</w:t>
      </w:r>
      <w:r>
        <w:rPr>
          <w:i/>
          <w:color w:val="365F91"/>
          <w:spacing w:val="-6"/>
          <w:sz w:val="22"/>
        </w:rPr>
        <w:t> </w:t>
      </w:r>
      <w:r>
        <w:rPr>
          <w:i/>
          <w:color w:val="365F91"/>
          <w:spacing w:val="-2"/>
          <w:sz w:val="22"/>
        </w:rPr>
        <w:t>tranviario</w:t>
      </w:r>
    </w:p>
    <w:p>
      <w:pPr>
        <w:pStyle w:val="BodyText"/>
        <w:spacing w:before="242"/>
        <w:ind w:left="992" w:right="987"/>
        <w:jc w:val="both"/>
      </w:pPr>
      <w:r>
        <w:rPr>
          <w:b/>
        </w:rPr>
        <w:t>Murcia, Sevilla </w:t>
      </w:r>
      <w:r>
        <w:rPr/>
        <w:t>y </w:t>
      </w:r>
      <w:r>
        <w:rPr>
          <w:b/>
        </w:rPr>
        <w:t>Zaragoza </w:t>
      </w:r>
      <w:r>
        <w:rPr/>
        <w:t>cuentan con tranvía, si bien en el periodo fiscalizado solo se adquirió material</w:t>
      </w:r>
      <w:r>
        <w:rPr>
          <w:spacing w:val="-9"/>
        </w:rPr>
        <w:t> </w:t>
      </w:r>
      <w:r>
        <w:rPr/>
        <w:t>móvil</w:t>
      </w:r>
      <w:r>
        <w:rPr>
          <w:spacing w:val="-9"/>
        </w:rPr>
        <w:t> </w:t>
      </w:r>
      <w:r>
        <w:rPr/>
        <w:t>en</w:t>
      </w:r>
      <w:r>
        <w:rPr>
          <w:spacing w:val="-8"/>
        </w:rPr>
        <w:t> </w:t>
      </w:r>
      <w:r>
        <w:rPr/>
        <w:t>los</w:t>
      </w:r>
      <w:r>
        <w:rPr>
          <w:spacing w:val="-8"/>
        </w:rPr>
        <w:t> </w:t>
      </w:r>
      <w:r>
        <w:rPr/>
        <w:t>dos</w:t>
      </w:r>
      <w:r>
        <w:rPr>
          <w:spacing w:val="-10"/>
        </w:rPr>
        <w:t> </w:t>
      </w:r>
      <w:r>
        <w:rPr/>
        <w:t>últimos</w:t>
      </w:r>
      <w:r>
        <w:rPr>
          <w:spacing w:val="-10"/>
        </w:rPr>
        <w:t> </w:t>
      </w:r>
      <w:r>
        <w:rPr/>
        <w:t>municipios,</w:t>
      </w:r>
      <w:r>
        <w:rPr>
          <w:spacing w:val="-6"/>
        </w:rPr>
        <w:t> </w:t>
      </w:r>
      <w:r>
        <w:rPr/>
        <w:t>cuyo</w:t>
      </w:r>
      <w:r>
        <w:rPr>
          <w:spacing w:val="-13"/>
        </w:rPr>
        <w:t> </w:t>
      </w:r>
      <w:r>
        <w:rPr/>
        <w:t>coste</w:t>
      </w:r>
      <w:r>
        <w:rPr>
          <w:spacing w:val="-9"/>
        </w:rPr>
        <w:t> </w:t>
      </w:r>
      <w:r>
        <w:rPr/>
        <w:t>fue</w:t>
      </w:r>
      <w:r>
        <w:rPr>
          <w:spacing w:val="-11"/>
        </w:rPr>
        <w:t> </w:t>
      </w:r>
      <w:r>
        <w:rPr/>
        <w:t>financiado</w:t>
      </w:r>
      <w:r>
        <w:rPr>
          <w:spacing w:val="-8"/>
        </w:rPr>
        <w:t> </w:t>
      </w:r>
      <w:r>
        <w:rPr/>
        <w:t>parcialmente</w:t>
      </w:r>
      <w:r>
        <w:rPr>
          <w:spacing w:val="-8"/>
        </w:rPr>
        <w:t> </w:t>
      </w:r>
      <w:r>
        <w:rPr/>
        <w:t>con</w:t>
      </w:r>
      <w:r>
        <w:rPr>
          <w:spacing w:val="-8"/>
        </w:rPr>
        <w:t> </w:t>
      </w:r>
      <w:r>
        <w:rPr/>
        <w:t>las</w:t>
      </w:r>
      <w:r>
        <w:rPr>
          <w:spacing w:val="-10"/>
        </w:rPr>
        <w:t> </w:t>
      </w:r>
      <w:r>
        <w:rPr/>
        <w:t>ayudas procedentes del PRTR.</w:t>
      </w:r>
    </w:p>
    <w:p>
      <w:pPr>
        <w:pStyle w:val="BodyText"/>
        <w:spacing w:before="240"/>
        <w:ind w:left="992" w:right="989"/>
        <w:jc w:val="both"/>
      </w:pPr>
      <w:r>
        <w:rPr/>
        <w:t>La empresa municipal del </w:t>
      </w:r>
      <w:r>
        <w:rPr>
          <w:b/>
        </w:rPr>
        <w:t>Ayuntamiento de Sevilla </w:t>
      </w:r>
      <w:r>
        <w:rPr/>
        <w:t>contrató el suministro de dos unidades de tranvía, que fue ampliado posteriormente en otras tres, al amparo de la previsión contenida en el contrato, que permitía su ampliación en un mínimo de una y un máximo de tres unidades.</w:t>
      </w:r>
    </w:p>
    <w:p>
      <w:pPr>
        <w:pStyle w:val="BodyText"/>
        <w:spacing w:before="239"/>
        <w:ind w:left="992" w:right="989"/>
        <w:jc w:val="both"/>
      </w:pPr>
      <w:r>
        <w:rPr/>
        <w:t>Este</w:t>
      </w:r>
      <w:r>
        <w:rPr>
          <w:spacing w:val="-1"/>
        </w:rPr>
        <w:t> </w:t>
      </w:r>
      <w:r>
        <w:rPr/>
        <w:t>contrato ha</w:t>
      </w:r>
      <w:r>
        <w:rPr>
          <w:spacing w:val="-1"/>
        </w:rPr>
        <w:t> </w:t>
      </w:r>
      <w:r>
        <w:rPr/>
        <w:t>sido</w:t>
      </w:r>
      <w:r>
        <w:rPr>
          <w:spacing w:val="-1"/>
        </w:rPr>
        <w:t> </w:t>
      </w:r>
      <w:r>
        <w:rPr/>
        <w:t>modificado en</w:t>
      </w:r>
      <w:r>
        <w:rPr>
          <w:spacing w:val="-1"/>
        </w:rPr>
        <w:t> </w:t>
      </w:r>
      <w:r>
        <w:rPr/>
        <w:t>dos</w:t>
      </w:r>
      <w:r>
        <w:rPr>
          <w:spacing w:val="-1"/>
        </w:rPr>
        <w:t> </w:t>
      </w:r>
      <w:r>
        <w:rPr/>
        <w:t>ocasiones, una</w:t>
      </w:r>
      <w:r>
        <w:rPr>
          <w:spacing w:val="-1"/>
        </w:rPr>
        <w:t> </w:t>
      </w:r>
      <w:r>
        <w:rPr/>
        <w:t>en</w:t>
      </w:r>
      <w:r>
        <w:rPr>
          <w:spacing w:val="-1"/>
        </w:rPr>
        <w:t> </w:t>
      </w:r>
      <w:r>
        <w:rPr/>
        <w:t>diciembre</w:t>
      </w:r>
      <w:r>
        <w:rPr>
          <w:spacing w:val="-1"/>
        </w:rPr>
        <w:t> </w:t>
      </w:r>
      <w:r>
        <w:rPr/>
        <w:t>de</w:t>
      </w:r>
      <w:r>
        <w:rPr>
          <w:spacing w:val="-1"/>
        </w:rPr>
        <w:t> </w:t>
      </w:r>
      <w:r>
        <w:rPr/>
        <w:t>2024 y</w:t>
      </w:r>
      <w:r>
        <w:rPr>
          <w:spacing w:val="-1"/>
        </w:rPr>
        <w:t> </w:t>
      </w:r>
      <w:r>
        <w:rPr/>
        <w:t>otra</w:t>
      </w:r>
      <w:r>
        <w:rPr>
          <w:spacing w:val="-1"/>
        </w:rPr>
        <w:t> </w:t>
      </w:r>
      <w:r>
        <w:rPr/>
        <w:t>en</w:t>
      </w:r>
      <w:r>
        <w:rPr>
          <w:spacing w:val="-1"/>
        </w:rPr>
        <w:t> </w:t>
      </w:r>
      <w:r>
        <w:rPr/>
        <w:t>febrero de 2025, con el fin de posponer la fecha de entrega de las tres últimas unidades tranviarias, por no disponer la sociedad municipal de los medios humanos necesarios para realizar con seguridad las pruebas en vía, lo que supuso que entre el plazo de entrega inicialmente previsto y la entrega provisional</w:t>
      </w:r>
      <w:r>
        <w:rPr>
          <w:spacing w:val="-3"/>
        </w:rPr>
        <w:t> </w:t>
      </w:r>
      <w:r>
        <w:rPr/>
        <w:t>efectiva</w:t>
      </w:r>
      <w:r>
        <w:rPr>
          <w:spacing w:val="-2"/>
        </w:rPr>
        <w:t> </w:t>
      </w:r>
      <w:r>
        <w:rPr/>
        <w:t>de</w:t>
      </w:r>
      <w:r>
        <w:rPr>
          <w:spacing w:val="-2"/>
        </w:rPr>
        <w:t> </w:t>
      </w:r>
      <w:r>
        <w:rPr/>
        <w:t>estas</w:t>
      </w:r>
      <w:r>
        <w:rPr>
          <w:spacing w:val="-2"/>
        </w:rPr>
        <w:t> </w:t>
      </w:r>
      <w:r>
        <w:rPr/>
        <w:t>unidades</w:t>
      </w:r>
      <w:r>
        <w:rPr>
          <w:spacing w:val="-4"/>
        </w:rPr>
        <w:t> </w:t>
      </w:r>
      <w:r>
        <w:rPr/>
        <w:t>tranviarias</w:t>
      </w:r>
      <w:r>
        <w:rPr>
          <w:spacing w:val="-1"/>
        </w:rPr>
        <w:t> </w:t>
      </w:r>
      <w:r>
        <w:rPr/>
        <w:t>hubiera</w:t>
      </w:r>
      <w:r>
        <w:rPr>
          <w:spacing w:val="-1"/>
        </w:rPr>
        <w:t> </w:t>
      </w:r>
      <w:r>
        <w:rPr/>
        <w:t>una</w:t>
      </w:r>
      <w:r>
        <w:rPr>
          <w:spacing w:val="-4"/>
        </w:rPr>
        <w:t> </w:t>
      </w:r>
      <w:r>
        <w:rPr/>
        <w:t>demora</w:t>
      </w:r>
      <w:r>
        <w:rPr>
          <w:spacing w:val="-3"/>
        </w:rPr>
        <w:t> </w:t>
      </w:r>
      <w:r>
        <w:rPr/>
        <w:t>de</w:t>
      </w:r>
      <w:r>
        <w:rPr>
          <w:spacing w:val="-4"/>
        </w:rPr>
        <w:t> </w:t>
      </w:r>
      <w:r>
        <w:rPr/>
        <w:t>entre</w:t>
      </w:r>
      <w:r>
        <w:rPr>
          <w:spacing w:val="-4"/>
        </w:rPr>
        <w:t> </w:t>
      </w:r>
      <w:r>
        <w:rPr/>
        <w:t>tres</w:t>
      </w:r>
      <w:r>
        <w:rPr>
          <w:spacing w:val="-2"/>
        </w:rPr>
        <w:t> </w:t>
      </w:r>
      <w:r>
        <w:rPr/>
        <w:t>y</w:t>
      </w:r>
      <w:r>
        <w:rPr>
          <w:spacing w:val="-3"/>
        </w:rPr>
        <w:t> </w:t>
      </w:r>
      <w:r>
        <w:rPr/>
        <w:t>cinco</w:t>
      </w:r>
      <w:r>
        <w:rPr>
          <w:spacing w:val="-4"/>
        </w:rPr>
        <w:t> </w:t>
      </w:r>
      <w:r>
        <w:rPr/>
        <w:t>meses.</w:t>
      </w:r>
    </w:p>
    <w:p>
      <w:pPr>
        <w:pStyle w:val="BodyText"/>
        <w:spacing w:before="241"/>
        <w:ind w:left="992" w:right="989"/>
        <w:jc w:val="both"/>
      </w:pPr>
      <w:r>
        <w:rPr/>
        <w:t>El proceso de compra, diseño y fabricación de las dos nuevas unidades tranviarias adquiridas por la sociedad de economía mixta encargada de la gestión del servicio público de transporte urbano ferroviario del </w:t>
      </w:r>
      <w:r>
        <w:rPr>
          <w:b/>
        </w:rPr>
        <w:t>Ayuntamiento de Zaragoza </w:t>
      </w:r>
      <w:r>
        <w:rPr/>
        <w:t>está finalizado, cumpliéndose la entrega en plazo.</w:t>
      </w:r>
    </w:p>
    <w:p>
      <w:pPr>
        <w:pStyle w:val="BodyText"/>
        <w:spacing w:before="106"/>
      </w:pPr>
    </w:p>
    <w:p>
      <w:pPr>
        <w:pStyle w:val="Heading4"/>
        <w:ind w:left="4998" w:hanging="3661"/>
        <w:jc w:val="left"/>
      </w:pPr>
      <w:bookmarkStart w:name="_bookmark57" w:id="59"/>
      <w:bookmarkEnd w:id="59"/>
      <w:r>
        <w:rPr>
          <w:b w:val="0"/>
        </w:rPr>
      </w:r>
      <w:r>
        <w:rPr/>
        <w:t>CUADRO</w:t>
      </w:r>
      <w:r>
        <w:rPr>
          <w:spacing w:val="-2"/>
        </w:rPr>
        <w:t> </w:t>
      </w:r>
      <w:r>
        <w:rPr/>
        <w:t>8.</w:t>
      </w:r>
      <w:r>
        <w:rPr>
          <w:spacing w:val="-5"/>
        </w:rPr>
        <w:t> </w:t>
      </w:r>
      <w:r>
        <w:rPr/>
        <w:t>MATERIAL</w:t>
      </w:r>
      <w:r>
        <w:rPr>
          <w:spacing w:val="-6"/>
        </w:rPr>
        <w:t> </w:t>
      </w:r>
      <w:r>
        <w:rPr/>
        <w:t>MÓVIL</w:t>
      </w:r>
      <w:r>
        <w:rPr>
          <w:spacing w:val="-8"/>
        </w:rPr>
        <w:t> </w:t>
      </w:r>
      <w:r>
        <w:rPr/>
        <w:t>TRANVIARIO</w:t>
      </w:r>
      <w:r>
        <w:rPr>
          <w:spacing w:val="-7"/>
        </w:rPr>
        <w:t> </w:t>
      </w:r>
      <w:r>
        <w:rPr/>
        <w:t>ADQUIRIDO</w:t>
      </w:r>
      <w:r>
        <w:rPr>
          <w:spacing w:val="-2"/>
        </w:rPr>
        <w:t> </w:t>
      </w:r>
      <w:r>
        <w:rPr/>
        <w:t>POR</w:t>
      </w:r>
      <w:r>
        <w:rPr>
          <w:spacing w:val="-4"/>
        </w:rPr>
        <w:t> </w:t>
      </w:r>
      <w:r>
        <w:rPr/>
        <w:t>LOS</w:t>
      </w:r>
      <w:r>
        <w:rPr>
          <w:spacing w:val="-6"/>
        </w:rPr>
        <w:t> </w:t>
      </w:r>
      <w:r>
        <w:rPr/>
        <w:t>AYUNTAMIENTOS </w:t>
      </w:r>
      <w:r>
        <w:rPr>
          <w:spacing w:val="-2"/>
        </w:rPr>
        <w:t>FISCALIZADOS</w:t>
      </w:r>
    </w:p>
    <w:p>
      <w:pPr>
        <w:pStyle w:val="BodyText"/>
        <w:spacing w:before="10" w:after="1"/>
        <w:rPr>
          <w:b/>
          <w:sz w:val="20"/>
        </w:rPr>
      </w:pPr>
    </w:p>
    <w:tbl>
      <w:tblPr>
        <w:tblW w:w="0" w:type="auto"/>
        <w:jc w:val="left"/>
        <w:tblInd w:w="1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46"/>
        <w:gridCol w:w="1319"/>
        <w:gridCol w:w="1301"/>
        <w:gridCol w:w="1223"/>
        <w:gridCol w:w="1186"/>
        <w:gridCol w:w="1206"/>
        <w:gridCol w:w="1111"/>
      </w:tblGrid>
      <w:tr>
        <w:trPr>
          <w:trHeight w:val="537" w:hRule="atLeast"/>
        </w:trPr>
        <w:tc>
          <w:tcPr>
            <w:tcW w:w="1446" w:type="dxa"/>
            <w:shd w:val="clear" w:color="auto" w:fill="002D5D"/>
          </w:tcPr>
          <w:p>
            <w:pPr>
              <w:pStyle w:val="TableParagraph"/>
              <w:rPr>
                <w:rFonts w:ascii="Times New Roman"/>
                <w:sz w:val="20"/>
              </w:rPr>
            </w:pPr>
          </w:p>
        </w:tc>
        <w:tc>
          <w:tcPr>
            <w:tcW w:w="1319" w:type="dxa"/>
            <w:vMerge w:val="restart"/>
            <w:shd w:val="clear" w:color="auto" w:fill="002D5D"/>
          </w:tcPr>
          <w:p>
            <w:pPr>
              <w:pStyle w:val="TableParagraph"/>
              <w:spacing w:before="186"/>
              <w:rPr>
                <w:rFonts w:ascii="Arial"/>
                <w:b/>
                <w:sz w:val="18"/>
              </w:rPr>
            </w:pPr>
          </w:p>
          <w:p>
            <w:pPr>
              <w:pStyle w:val="TableParagraph"/>
              <w:spacing w:line="200" w:lineRule="atLeast"/>
              <w:ind w:left="161" w:firstLine="19"/>
              <w:rPr>
                <w:b/>
                <w:sz w:val="18"/>
              </w:rPr>
            </w:pPr>
            <w:r>
              <w:rPr>
                <w:b/>
                <w:color w:val="FFFFFF"/>
                <w:sz w:val="18"/>
              </w:rPr>
              <w:t>Nº</w:t>
            </w:r>
            <w:r>
              <w:rPr>
                <w:b/>
                <w:color w:val="FFFFFF"/>
                <w:spacing w:val="-11"/>
                <w:sz w:val="18"/>
              </w:rPr>
              <w:t> </w:t>
            </w:r>
            <w:r>
              <w:rPr>
                <w:b/>
                <w:color w:val="FFFFFF"/>
                <w:sz w:val="18"/>
              </w:rPr>
              <w:t>UNIDADES </w:t>
            </w:r>
            <w:r>
              <w:rPr>
                <w:b/>
                <w:color w:val="FFFFFF"/>
                <w:spacing w:val="-2"/>
                <w:sz w:val="18"/>
              </w:rPr>
              <w:t>TRANVIARIAS</w:t>
            </w:r>
          </w:p>
        </w:tc>
        <w:tc>
          <w:tcPr>
            <w:tcW w:w="1301" w:type="dxa"/>
            <w:vMerge w:val="restart"/>
            <w:shd w:val="clear" w:color="auto" w:fill="002D5D"/>
          </w:tcPr>
          <w:p>
            <w:pPr>
              <w:pStyle w:val="TableParagraph"/>
              <w:spacing w:before="63"/>
              <w:rPr>
                <w:rFonts w:ascii="Arial"/>
                <w:b/>
                <w:sz w:val="18"/>
              </w:rPr>
            </w:pPr>
          </w:p>
          <w:p>
            <w:pPr>
              <w:pStyle w:val="TableParagraph"/>
              <w:ind w:left="149" w:right="167" w:firstLine="1"/>
              <w:jc w:val="center"/>
              <w:rPr>
                <w:b/>
                <w:sz w:val="18"/>
              </w:rPr>
            </w:pPr>
            <w:r>
              <w:rPr>
                <w:b/>
                <w:color w:val="FFFFFF"/>
                <w:spacing w:val="-2"/>
                <w:sz w:val="18"/>
              </w:rPr>
              <w:t>IMPORTE</w:t>
            </w:r>
            <w:r>
              <w:rPr>
                <w:b/>
                <w:color w:val="FFFFFF"/>
                <w:sz w:val="18"/>
              </w:rPr>
              <w:t> </w:t>
            </w:r>
            <w:r>
              <w:rPr>
                <w:b/>
                <w:color w:val="FFFFFF"/>
                <w:spacing w:val="-2"/>
                <w:sz w:val="18"/>
              </w:rPr>
              <w:t>ADQUISICIÓN</w:t>
            </w:r>
          </w:p>
          <w:p>
            <w:pPr>
              <w:pStyle w:val="TableParagraph"/>
              <w:spacing w:before="60"/>
              <w:ind w:left="102" w:right="119"/>
              <w:jc w:val="center"/>
              <w:rPr>
                <w:b/>
                <w:sz w:val="18"/>
              </w:rPr>
            </w:pPr>
            <w:r>
              <w:rPr>
                <w:b/>
                <w:color w:val="FFFFFF"/>
                <w:spacing w:val="-5"/>
                <w:sz w:val="18"/>
              </w:rPr>
              <w:t>(€)</w:t>
            </w:r>
          </w:p>
        </w:tc>
        <w:tc>
          <w:tcPr>
            <w:tcW w:w="2409" w:type="dxa"/>
            <w:gridSpan w:val="2"/>
            <w:shd w:val="clear" w:color="auto" w:fill="002D5D"/>
          </w:tcPr>
          <w:p>
            <w:pPr>
              <w:pStyle w:val="TableParagraph"/>
              <w:spacing w:before="59"/>
              <w:ind w:left="542" w:right="410" w:hanging="168"/>
              <w:rPr>
                <w:b/>
                <w:sz w:val="18"/>
              </w:rPr>
            </w:pPr>
            <w:r>
              <w:rPr>
                <w:b/>
                <w:color w:val="FFFFFF"/>
                <w:sz w:val="18"/>
              </w:rPr>
              <w:t>IMPORTE</w:t>
            </w:r>
            <w:r>
              <w:rPr>
                <w:b/>
                <w:color w:val="FFFFFF"/>
                <w:spacing w:val="-11"/>
                <w:sz w:val="18"/>
              </w:rPr>
              <w:t> </w:t>
            </w:r>
            <w:r>
              <w:rPr>
                <w:b/>
                <w:color w:val="FFFFFF"/>
                <w:sz w:val="18"/>
              </w:rPr>
              <w:t>EJECUTADO HASTA</w:t>
            </w:r>
            <w:r>
              <w:rPr>
                <w:b/>
                <w:color w:val="FFFFFF"/>
                <w:spacing w:val="-2"/>
                <w:sz w:val="18"/>
              </w:rPr>
              <w:t> </w:t>
            </w:r>
            <w:r>
              <w:rPr>
                <w:b/>
                <w:color w:val="FFFFFF"/>
                <w:sz w:val="18"/>
              </w:rPr>
              <w:t>31/12/2024</w:t>
            </w:r>
          </w:p>
        </w:tc>
        <w:tc>
          <w:tcPr>
            <w:tcW w:w="2317" w:type="dxa"/>
            <w:gridSpan w:val="2"/>
            <w:shd w:val="clear" w:color="auto" w:fill="002D5D"/>
          </w:tcPr>
          <w:p>
            <w:pPr>
              <w:pStyle w:val="TableParagraph"/>
              <w:spacing w:before="162"/>
              <w:ind w:left="654"/>
              <w:rPr>
                <w:b/>
                <w:sz w:val="18"/>
              </w:rPr>
            </w:pPr>
            <w:r>
              <w:rPr>
                <w:b/>
                <w:color w:val="FFFFFF"/>
                <w:spacing w:val="-2"/>
                <w:sz w:val="18"/>
              </w:rPr>
              <w:t>FINANCIACIÓN</w:t>
            </w:r>
          </w:p>
        </w:tc>
      </w:tr>
      <w:tr>
        <w:trPr>
          <w:trHeight w:val="280" w:hRule="atLeast"/>
        </w:trPr>
        <w:tc>
          <w:tcPr>
            <w:tcW w:w="1446" w:type="dxa"/>
            <w:shd w:val="clear" w:color="auto" w:fill="002D5D"/>
          </w:tcPr>
          <w:p>
            <w:pPr>
              <w:pStyle w:val="TableParagraph"/>
              <w:spacing w:line="206" w:lineRule="exact"/>
              <w:ind w:left="95"/>
              <w:rPr>
                <w:b/>
                <w:sz w:val="18"/>
              </w:rPr>
            </w:pPr>
            <w:r>
              <w:rPr>
                <w:b/>
                <w:color w:val="FFFFFF"/>
                <w:spacing w:val="-2"/>
                <w:sz w:val="18"/>
              </w:rPr>
              <w:t>AYUNTAMIENTO</w:t>
            </w:r>
          </w:p>
        </w:tc>
        <w:tc>
          <w:tcPr>
            <w:tcW w:w="1319" w:type="dxa"/>
            <w:vMerge/>
            <w:tcBorders>
              <w:top w:val="nil"/>
            </w:tcBorders>
            <w:shd w:val="clear" w:color="auto" w:fill="002D5D"/>
          </w:tcPr>
          <w:p>
            <w:pPr>
              <w:rPr>
                <w:sz w:val="2"/>
                <w:szCs w:val="2"/>
              </w:rPr>
            </w:pPr>
          </w:p>
        </w:tc>
        <w:tc>
          <w:tcPr>
            <w:tcW w:w="1301" w:type="dxa"/>
            <w:vMerge/>
            <w:tcBorders>
              <w:top w:val="nil"/>
            </w:tcBorders>
            <w:shd w:val="clear" w:color="auto" w:fill="002D5D"/>
          </w:tcPr>
          <w:p>
            <w:pPr>
              <w:rPr>
                <w:sz w:val="2"/>
                <w:szCs w:val="2"/>
              </w:rPr>
            </w:pPr>
          </w:p>
        </w:tc>
        <w:tc>
          <w:tcPr>
            <w:tcW w:w="1223" w:type="dxa"/>
            <w:shd w:val="clear" w:color="auto" w:fill="002D5D"/>
          </w:tcPr>
          <w:p>
            <w:pPr>
              <w:pStyle w:val="TableParagraph"/>
              <w:rPr>
                <w:rFonts w:ascii="Times New Roman"/>
                <w:sz w:val="20"/>
              </w:rPr>
            </w:pPr>
          </w:p>
        </w:tc>
        <w:tc>
          <w:tcPr>
            <w:tcW w:w="1186" w:type="dxa"/>
            <w:vMerge w:val="restart"/>
            <w:shd w:val="clear" w:color="auto" w:fill="002D5D"/>
          </w:tcPr>
          <w:p>
            <w:pPr>
              <w:pStyle w:val="TableParagraph"/>
              <w:spacing w:line="242" w:lineRule="auto" w:before="64"/>
              <w:ind w:left="111" w:right="250" w:hanging="1"/>
              <w:jc w:val="center"/>
              <w:rPr>
                <w:b/>
                <w:sz w:val="18"/>
              </w:rPr>
            </w:pPr>
            <w:r>
              <w:rPr>
                <w:b/>
                <w:color w:val="FFFFFF"/>
                <w:sz w:val="18"/>
              </w:rPr>
              <w:t>% sobre </w:t>
            </w:r>
            <w:r>
              <w:rPr>
                <w:b/>
                <w:color w:val="FFFFFF"/>
                <w:spacing w:val="-2"/>
                <w:sz w:val="18"/>
              </w:rPr>
              <w:t>importe</w:t>
            </w:r>
            <w:r>
              <w:rPr>
                <w:b/>
                <w:color w:val="FFFFFF"/>
                <w:sz w:val="18"/>
              </w:rPr>
              <w:t> </w:t>
            </w:r>
            <w:r>
              <w:rPr>
                <w:b/>
                <w:color w:val="FFFFFF"/>
                <w:spacing w:val="-2"/>
                <w:sz w:val="18"/>
              </w:rPr>
              <w:t>adquisición</w:t>
            </w:r>
          </w:p>
        </w:tc>
        <w:tc>
          <w:tcPr>
            <w:tcW w:w="1206" w:type="dxa"/>
            <w:shd w:val="clear" w:color="auto" w:fill="002D5D"/>
          </w:tcPr>
          <w:p>
            <w:pPr>
              <w:pStyle w:val="TableParagraph"/>
              <w:rPr>
                <w:rFonts w:ascii="Times New Roman"/>
                <w:sz w:val="20"/>
              </w:rPr>
            </w:pPr>
          </w:p>
        </w:tc>
        <w:tc>
          <w:tcPr>
            <w:tcW w:w="1111" w:type="dxa"/>
            <w:shd w:val="clear" w:color="auto" w:fill="002D5D"/>
          </w:tcPr>
          <w:p>
            <w:pPr>
              <w:pStyle w:val="TableParagraph"/>
              <w:rPr>
                <w:rFonts w:ascii="Times New Roman"/>
                <w:sz w:val="20"/>
              </w:rPr>
            </w:pPr>
          </w:p>
        </w:tc>
      </w:tr>
      <w:tr>
        <w:trPr>
          <w:trHeight w:val="470" w:hRule="atLeast"/>
        </w:trPr>
        <w:tc>
          <w:tcPr>
            <w:tcW w:w="1446" w:type="dxa"/>
            <w:shd w:val="clear" w:color="auto" w:fill="002D5D"/>
          </w:tcPr>
          <w:p>
            <w:pPr>
              <w:pStyle w:val="TableParagraph"/>
              <w:rPr>
                <w:rFonts w:ascii="Times New Roman"/>
                <w:sz w:val="20"/>
              </w:rPr>
            </w:pPr>
          </w:p>
        </w:tc>
        <w:tc>
          <w:tcPr>
            <w:tcW w:w="1319" w:type="dxa"/>
            <w:shd w:val="clear" w:color="auto" w:fill="002D5D"/>
          </w:tcPr>
          <w:p>
            <w:pPr>
              <w:pStyle w:val="TableParagraph"/>
              <w:rPr>
                <w:rFonts w:ascii="Times New Roman"/>
                <w:sz w:val="20"/>
              </w:rPr>
            </w:pPr>
          </w:p>
        </w:tc>
        <w:tc>
          <w:tcPr>
            <w:tcW w:w="1301" w:type="dxa"/>
            <w:vMerge/>
            <w:tcBorders>
              <w:top w:val="nil"/>
            </w:tcBorders>
            <w:shd w:val="clear" w:color="auto" w:fill="002D5D"/>
          </w:tcPr>
          <w:p>
            <w:pPr>
              <w:rPr>
                <w:sz w:val="2"/>
                <w:szCs w:val="2"/>
              </w:rPr>
            </w:pPr>
          </w:p>
        </w:tc>
        <w:tc>
          <w:tcPr>
            <w:tcW w:w="1223" w:type="dxa"/>
            <w:shd w:val="clear" w:color="auto" w:fill="002D5D"/>
          </w:tcPr>
          <w:p>
            <w:pPr>
              <w:pStyle w:val="TableParagraph"/>
              <w:spacing w:line="197" w:lineRule="exact"/>
              <w:ind w:left="20"/>
              <w:jc w:val="center"/>
              <w:rPr>
                <w:b/>
                <w:sz w:val="18"/>
              </w:rPr>
            </w:pPr>
            <w:r>
              <w:rPr>
                <w:b/>
                <w:color w:val="FFFFFF"/>
                <w:spacing w:val="-5"/>
                <w:sz w:val="18"/>
              </w:rPr>
              <w:t>(€)</w:t>
            </w:r>
          </w:p>
        </w:tc>
        <w:tc>
          <w:tcPr>
            <w:tcW w:w="1186" w:type="dxa"/>
            <w:vMerge/>
            <w:tcBorders>
              <w:top w:val="nil"/>
            </w:tcBorders>
            <w:shd w:val="clear" w:color="auto" w:fill="002D5D"/>
          </w:tcPr>
          <w:p>
            <w:pPr>
              <w:rPr>
                <w:sz w:val="2"/>
                <w:szCs w:val="2"/>
              </w:rPr>
            </w:pPr>
          </w:p>
        </w:tc>
        <w:tc>
          <w:tcPr>
            <w:tcW w:w="1206" w:type="dxa"/>
            <w:shd w:val="clear" w:color="auto" w:fill="002D5D"/>
          </w:tcPr>
          <w:p>
            <w:pPr>
              <w:pStyle w:val="TableParagraph"/>
              <w:spacing w:line="197" w:lineRule="exact"/>
              <w:ind w:left="328"/>
              <w:rPr>
                <w:b/>
                <w:sz w:val="18"/>
              </w:rPr>
            </w:pPr>
            <w:r>
              <w:rPr>
                <w:b/>
                <w:color w:val="FFFFFF"/>
                <w:sz w:val="18"/>
              </w:rPr>
              <w:t>Ayto.</w:t>
            </w:r>
            <w:r>
              <w:rPr>
                <w:b/>
                <w:color w:val="FFFFFF"/>
                <w:spacing w:val="-2"/>
                <w:sz w:val="18"/>
              </w:rPr>
              <w:t> </w:t>
            </w:r>
            <w:r>
              <w:rPr>
                <w:b/>
                <w:color w:val="FFFFFF"/>
                <w:spacing w:val="-5"/>
                <w:sz w:val="18"/>
              </w:rPr>
              <w:t>(€)</w:t>
            </w:r>
          </w:p>
        </w:tc>
        <w:tc>
          <w:tcPr>
            <w:tcW w:w="1111" w:type="dxa"/>
            <w:shd w:val="clear" w:color="auto" w:fill="002D5D"/>
          </w:tcPr>
          <w:p>
            <w:pPr>
              <w:pStyle w:val="TableParagraph"/>
              <w:spacing w:line="197" w:lineRule="exact"/>
              <w:ind w:left="228"/>
              <w:rPr>
                <w:b/>
                <w:sz w:val="18"/>
              </w:rPr>
            </w:pPr>
            <w:r>
              <w:rPr>
                <w:b/>
                <w:color w:val="FFFFFF"/>
                <w:sz w:val="18"/>
              </w:rPr>
              <w:t>PRTR</w:t>
            </w:r>
            <w:r>
              <w:rPr>
                <w:b/>
                <w:color w:val="FFFFFF"/>
                <w:spacing w:val="-5"/>
                <w:sz w:val="18"/>
              </w:rPr>
              <w:t> (€)</w:t>
            </w:r>
          </w:p>
        </w:tc>
      </w:tr>
      <w:tr>
        <w:trPr>
          <w:trHeight w:val="364" w:hRule="atLeast"/>
        </w:trPr>
        <w:tc>
          <w:tcPr>
            <w:tcW w:w="1446" w:type="dxa"/>
            <w:tcBorders>
              <w:top w:val="single" w:sz="4" w:space="0" w:color="002D5D"/>
              <w:bottom w:val="single" w:sz="4" w:space="0" w:color="002D5D"/>
            </w:tcBorders>
          </w:tcPr>
          <w:p>
            <w:pPr>
              <w:pStyle w:val="TableParagraph"/>
              <w:spacing w:before="76"/>
              <w:ind w:left="69"/>
              <w:rPr>
                <w:b/>
                <w:sz w:val="18"/>
              </w:rPr>
            </w:pPr>
            <w:r>
              <w:rPr>
                <w:b/>
                <w:spacing w:val="-2"/>
                <w:sz w:val="18"/>
              </w:rPr>
              <w:t>SEVILLA</w:t>
            </w:r>
          </w:p>
        </w:tc>
        <w:tc>
          <w:tcPr>
            <w:tcW w:w="1319" w:type="dxa"/>
            <w:tcBorders>
              <w:top w:val="single" w:sz="4" w:space="0" w:color="002D5D"/>
              <w:bottom w:val="single" w:sz="4" w:space="0" w:color="002D5D"/>
            </w:tcBorders>
          </w:tcPr>
          <w:p>
            <w:pPr>
              <w:pStyle w:val="TableParagraph"/>
              <w:spacing w:before="76"/>
              <w:ind w:left="14"/>
              <w:jc w:val="center"/>
              <w:rPr>
                <w:sz w:val="18"/>
              </w:rPr>
            </w:pPr>
            <w:r>
              <w:rPr>
                <w:spacing w:val="-10"/>
                <w:sz w:val="18"/>
              </w:rPr>
              <w:t>5</w:t>
            </w:r>
          </w:p>
        </w:tc>
        <w:tc>
          <w:tcPr>
            <w:tcW w:w="1301" w:type="dxa"/>
            <w:tcBorders>
              <w:top w:val="single" w:sz="4" w:space="0" w:color="002D5D"/>
              <w:bottom w:val="single" w:sz="4" w:space="0" w:color="002D5D"/>
            </w:tcBorders>
          </w:tcPr>
          <w:p>
            <w:pPr>
              <w:pStyle w:val="TableParagraph"/>
              <w:spacing w:before="76"/>
              <w:ind w:left="114" w:right="94"/>
              <w:jc w:val="center"/>
              <w:rPr>
                <w:sz w:val="18"/>
              </w:rPr>
            </w:pPr>
            <w:r>
              <w:rPr>
                <w:spacing w:val="-2"/>
                <w:sz w:val="18"/>
              </w:rPr>
              <w:t>21.083.000,00</w:t>
            </w:r>
          </w:p>
        </w:tc>
        <w:tc>
          <w:tcPr>
            <w:tcW w:w="1223" w:type="dxa"/>
            <w:tcBorders>
              <w:top w:val="single" w:sz="4" w:space="0" w:color="002D5D"/>
              <w:bottom w:val="single" w:sz="4" w:space="0" w:color="002D5D"/>
            </w:tcBorders>
          </w:tcPr>
          <w:p>
            <w:pPr>
              <w:pStyle w:val="TableParagraph"/>
              <w:spacing w:before="76"/>
              <w:ind w:left="132" w:right="82"/>
              <w:jc w:val="center"/>
              <w:rPr>
                <w:sz w:val="18"/>
              </w:rPr>
            </w:pPr>
            <w:r>
              <w:rPr>
                <w:spacing w:val="-2"/>
                <w:sz w:val="18"/>
              </w:rPr>
              <w:t>18.433.087,99</w:t>
            </w:r>
          </w:p>
        </w:tc>
        <w:tc>
          <w:tcPr>
            <w:tcW w:w="1186" w:type="dxa"/>
            <w:tcBorders>
              <w:top w:val="single" w:sz="4" w:space="0" w:color="002D5D"/>
              <w:bottom w:val="single" w:sz="4" w:space="0" w:color="002D5D"/>
            </w:tcBorders>
          </w:tcPr>
          <w:p>
            <w:pPr>
              <w:pStyle w:val="TableParagraph"/>
              <w:spacing w:before="76"/>
              <w:ind w:left="78" w:right="49"/>
              <w:jc w:val="center"/>
              <w:rPr>
                <w:sz w:val="18"/>
              </w:rPr>
            </w:pPr>
            <w:r>
              <w:rPr>
                <w:spacing w:val="-2"/>
                <w:sz w:val="18"/>
              </w:rPr>
              <w:t>87,43</w:t>
            </w:r>
          </w:p>
        </w:tc>
        <w:tc>
          <w:tcPr>
            <w:tcW w:w="1206" w:type="dxa"/>
            <w:tcBorders>
              <w:top w:val="single" w:sz="4" w:space="0" w:color="002D5D"/>
              <w:bottom w:val="single" w:sz="4" w:space="0" w:color="002D5D"/>
            </w:tcBorders>
          </w:tcPr>
          <w:p>
            <w:pPr>
              <w:pStyle w:val="TableParagraph"/>
              <w:spacing w:before="76"/>
              <w:ind w:right="95"/>
              <w:jc w:val="right"/>
              <w:rPr>
                <w:sz w:val="18"/>
              </w:rPr>
            </w:pPr>
            <w:r>
              <w:rPr>
                <w:spacing w:val="-2"/>
                <w:sz w:val="18"/>
              </w:rPr>
              <w:t>3.321.500,00</w:t>
            </w:r>
          </w:p>
        </w:tc>
        <w:tc>
          <w:tcPr>
            <w:tcW w:w="1111" w:type="dxa"/>
            <w:tcBorders>
              <w:top w:val="single" w:sz="4" w:space="0" w:color="002D5D"/>
              <w:bottom w:val="single" w:sz="4" w:space="0" w:color="002D5D"/>
            </w:tcBorders>
          </w:tcPr>
          <w:p>
            <w:pPr>
              <w:pStyle w:val="TableParagraph"/>
              <w:spacing w:before="76"/>
              <w:ind w:right="73"/>
              <w:jc w:val="right"/>
              <w:rPr>
                <w:sz w:val="18"/>
              </w:rPr>
            </w:pPr>
            <w:r>
              <w:rPr>
                <w:spacing w:val="-2"/>
                <w:sz w:val="18"/>
              </w:rPr>
              <w:t>17.761.500,00</w:t>
            </w:r>
          </w:p>
        </w:tc>
      </w:tr>
      <w:tr>
        <w:trPr>
          <w:trHeight w:val="364" w:hRule="atLeast"/>
        </w:trPr>
        <w:tc>
          <w:tcPr>
            <w:tcW w:w="1446" w:type="dxa"/>
            <w:tcBorders>
              <w:top w:val="single" w:sz="4" w:space="0" w:color="002D5D"/>
              <w:bottom w:val="single" w:sz="4" w:space="0" w:color="002D5D"/>
            </w:tcBorders>
          </w:tcPr>
          <w:p>
            <w:pPr>
              <w:pStyle w:val="TableParagraph"/>
              <w:spacing w:before="81"/>
              <w:ind w:left="69"/>
              <w:rPr>
                <w:b/>
                <w:sz w:val="18"/>
              </w:rPr>
            </w:pPr>
            <w:r>
              <w:rPr>
                <w:b/>
                <w:spacing w:val="-2"/>
                <w:sz w:val="18"/>
              </w:rPr>
              <w:t>ZARAGOZA</w:t>
            </w:r>
          </w:p>
        </w:tc>
        <w:tc>
          <w:tcPr>
            <w:tcW w:w="1319" w:type="dxa"/>
            <w:tcBorders>
              <w:top w:val="single" w:sz="4" w:space="0" w:color="002D5D"/>
              <w:bottom w:val="single" w:sz="4" w:space="0" w:color="002D5D"/>
            </w:tcBorders>
          </w:tcPr>
          <w:p>
            <w:pPr>
              <w:pStyle w:val="TableParagraph"/>
              <w:spacing w:before="81"/>
              <w:ind w:left="14"/>
              <w:jc w:val="center"/>
              <w:rPr>
                <w:sz w:val="18"/>
              </w:rPr>
            </w:pPr>
            <w:r>
              <w:rPr>
                <w:spacing w:val="-10"/>
                <w:sz w:val="18"/>
              </w:rPr>
              <w:t>2</w:t>
            </w:r>
          </w:p>
        </w:tc>
        <w:tc>
          <w:tcPr>
            <w:tcW w:w="1301" w:type="dxa"/>
            <w:tcBorders>
              <w:top w:val="single" w:sz="4" w:space="0" w:color="002D5D"/>
              <w:bottom w:val="single" w:sz="4" w:space="0" w:color="002D5D"/>
            </w:tcBorders>
          </w:tcPr>
          <w:p>
            <w:pPr>
              <w:pStyle w:val="TableParagraph"/>
              <w:spacing w:before="81"/>
              <w:ind w:left="102"/>
              <w:jc w:val="center"/>
              <w:rPr>
                <w:sz w:val="18"/>
              </w:rPr>
            </w:pPr>
            <w:r>
              <w:rPr>
                <w:spacing w:val="-2"/>
                <w:sz w:val="18"/>
              </w:rPr>
              <w:t>9.312.131,07</w:t>
            </w:r>
          </w:p>
        </w:tc>
        <w:tc>
          <w:tcPr>
            <w:tcW w:w="1223" w:type="dxa"/>
            <w:tcBorders>
              <w:top w:val="single" w:sz="4" w:space="0" w:color="002D5D"/>
              <w:bottom w:val="single" w:sz="4" w:space="0" w:color="002D5D"/>
            </w:tcBorders>
          </w:tcPr>
          <w:p>
            <w:pPr>
              <w:pStyle w:val="TableParagraph"/>
              <w:spacing w:before="81"/>
              <w:ind w:left="132"/>
              <w:jc w:val="center"/>
              <w:rPr>
                <w:sz w:val="18"/>
              </w:rPr>
            </w:pPr>
            <w:r>
              <w:rPr>
                <w:spacing w:val="-2"/>
                <w:sz w:val="18"/>
              </w:rPr>
              <w:t>9.312.131,07</w:t>
            </w:r>
          </w:p>
        </w:tc>
        <w:tc>
          <w:tcPr>
            <w:tcW w:w="1186" w:type="dxa"/>
            <w:tcBorders>
              <w:top w:val="single" w:sz="4" w:space="0" w:color="002D5D"/>
              <w:bottom w:val="single" w:sz="4" w:space="0" w:color="002D5D"/>
            </w:tcBorders>
          </w:tcPr>
          <w:p>
            <w:pPr>
              <w:pStyle w:val="TableParagraph"/>
              <w:spacing w:before="81"/>
              <w:ind w:left="29" w:right="78"/>
              <w:jc w:val="center"/>
              <w:rPr>
                <w:sz w:val="18"/>
              </w:rPr>
            </w:pPr>
            <w:r>
              <w:rPr>
                <w:spacing w:val="-2"/>
                <w:sz w:val="18"/>
              </w:rPr>
              <w:t>100,00</w:t>
            </w:r>
          </w:p>
        </w:tc>
        <w:tc>
          <w:tcPr>
            <w:tcW w:w="1206" w:type="dxa"/>
            <w:tcBorders>
              <w:top w:val="single" w:sz="4" w:space="0" w:color="002D5D"/>
              <w:bottom w:val="single" w:sz="4" w:space="0" w:color="002D5D"/>
            </w:tcBorders>
          </w:tcPr>
          <w:p>
            <w:pPr>
              <w:pStyle w:val="TableParagraph"/>
              <w:spacing w:before="81"/>
              <w:ind w:right="95"/>
              <w:jc w:val="right"/>
              <w:rPr>
                <w:sz w:val="18"/>
              </w:rPr>
            </w:pPr>
            <w:r>
              <w:rPr>
                <w:spacing w:val="-2"/>
                <w:sz w:val="18"/>
              </w:rPr>
              <w:t>931.213,11</w:t>
            </w:r>
          </w:p>
        </w:tc>
        <w:tc>
          <w:tcPr>
            <w:tcW w:w="1111" w:type="dxa"/>
            <w:tcBorders>
              <w:top w:val="single" w:sz="4" w:space="0" w:color="002D5D"/>
              <w:bottom w:val="single" w:sz="4" w:space="0" w:color="002D5D"/>
            </w:tcBorders>
          </w:tcPr>
          <w:p>
            <w:pPr>
              <w:pStyle w:val="TableParagraph"/>
              <w:spacing w:before="81"/>
              <w:ind w:right="73"/>
              <w:jc w:val="right"/>
              <w:rPr>
                <w:sz w:val="18"/>
              </w:rPr>
            </w:pPr>
            <w:r>
              <w:rPr>
                <w:spacing w:val="-2"/>
                <w:sz w:val="18"/>
              </w:rPr>
              <w:t>8.380.917,96</w:t>
            </w:r>
          </w:p>
        </w:tc>
      </w:tr>
      <w:tr>
        <w:trPr>
          <w:trHeight w:val="376" w:hRule="atLeast"/>
        </w:trPr>
        <w:tc>
          <w:tcPr>
            <w:tcW w:w="1446" w:type="dxa"/>
            <w:shd w:val="clear" w:color="auto" w:fill="002D5D"/>
          </w:tcPr>
          <w:p>
            <w:pPr>
              <w:pStyle w:val="TableParagraph"/>
              <w:spacing w:before="85"/>
              <w:ind w:left="69"/>
              <w:rPr>
                <w:b/>
                <w:sz w:val="18"/>
              </w:rPr>
            </w:pPr>
            <w:r>
              <w:rPr>
                <w:b/>
                <w:color w:val="FFFFFF"/>
                <w:spacing w:val="-2"/>
                <w:sz w:val="18"/>
              </w:rPr>
              <w:t>TOTAL</w:t>
            </w:r>
          </w:p>
        </w:tc>
        <w:tc>
          <w:tcPr>
            <w:tcW w:w="1319" w:type="dxa"/>
            <w:shd w:val="clear" w:color="auto" w:fill="002D5D"/>
          </w:tcPr>
          <w:p>
            <w:pPr>
              <w:pStyle w:val="TableParagraph"/>
              <w:spacing w:before="85"/>
              <w:ind w:left="14"/>
              <w:jc w:val="center"/>
              <w:rPr>
                <w:b/>
                <w:sz w:val="18"/>
              </w:rPr>
            </w:pPr>
            <w:r>
              <w:rPr>
                <w:b/>
                <w:color w:val="FFFFFF"/>
                <w:spacing w:val="-10"/>
                <w:sz w:val="18"/>
              </w:rPr>
              <w:t>7</w:t>
            </w:r>
          </w:p>
        </w:tc>
        <w:tc>
          <w:tcPr>
            <w:tcW w:w="1301" w:type="dxa"/>
            <w:shd w:val="clear" w:color="auto" w:fill="002D5D"/>
          </w:tcPr>
          <w:p>
            <w:pPr>
              <w:pStyle w:val="TableParagraph"/>
              <w:spacing w:before="85"/>
              <w:ind w:left="114" w:right="94"/>
              <w:jc w:val="center"/>
              <w:rPr>
                <w:b/>
                <w:sz w:val="18"/>
              </w:rPr>
            </w:pPr>
            <w:r>
              <w:rPr>
                <w:b/>
                <w:color w:val="FFFFFF"/>
                <w:spacing w:val="-2"/>
                <w:sz w:val="18"/>
              </w:rPr>
              <w:t>30.395.131,07</w:t>
            </w:r>
          </w:p>
        </w:tc>
        <w:tc>
          <w:tcPr>
            <w:tcW w:w="1223" w:type="dxa"/>
            <w:shd w:val="clear" w:color="auto" w:fill="002D5D"/>
          </w:tcPr>
          <w:p>
            <w:pPr>
              <w:pStyle w:val="TableParagraph"/>
              <w:spacing w:before="85"/>
              <w:ind w:left="132" w:right="82"/>
              <w:jc w:val="center"/>
              <w:rPr>
                <w:b/>
                <w:sz w:val="18"/>
              </w:rPr>
            </w:pPr>
            <w:r>
              <w:rPr>
                <w:b/>
                <w:color w:val="FFFFFF"/>
                <w:spacing w:val="-2"/>
                <w:sz w:val="18"/>
              </w:rPr>
              <w:t>27.745.219,06</w:t>
            </w:r>
          </w:p>
        </w:tc>
        <w:tc>
          <w:tcPr>
            <w:tcW w:w="1186" w:type="dxa"/>
            <w:shd w:val="clear" w:color="auto" w:fill="002D5D"/>
          </w:tcPr>
          <w:p>
            <w:pPr>
              <w:pStyle w:val="TableParagraph"/>
              <w:rPr>
                <w:rFonts w:ascii="Times New Roman"/>
                <w:sz w:val="20"/>
              </w:rPr>
            </w:pPr>
          </w:p>
        </w:tc>
        <w:tc>
          <w:tcPr>
            <w:tcW w:w="1206" w:type="dxa"/>
            <w:shd w:val="clear" w:color="auto" w:fill="002D5D"/>
          </w:tcPr>
          <w:p>
            <w:pPr>
              <w:pStyle w:val="TableParagraph"/>
              <w:spacing w:before="85"/>
              <w:ind w:right="95"/>
              <w:jc w:val="right"/>
              <w:rPr>
                <w:b/>
                <w:sz w:val="18"/>
              </w:rPr>
            </w:pPr>
            <w:r>
              <w:rPr>
                <w:b/>
                <w:color w:val="FFFFFF"/>
                <w:spacing w:val="-2"/>
                <w:sz w:val="18"/>
              </w:rPr>
              <w:t>4.252.713,11</w:t>
            </w:r>
          </w:p>
        </w:tc>
        <w:tc>
          <w:tcPr>
            <w:tcW w:w="1111" w:type="dxa"/>
            <w:shd w:val="clear" w:color="auto" w:fill="002D5D"/>
          </w:tcPr>
          <w:p>
            <w:pPr>
              <w:pStyle w:val="TableParagraph"/>
              <w:spacing w:before="85"/>
              <w:ind w:right="73"/>
              <w:jc w:val="right"/>
              <w:rPr>
                <w:b/>
                <w:sz w:val="18"/>
              </w:rPr>
            </w:pPr>
            <w:r>
              <w:rPr>
                <w:b/>
                <w:color w:val="FFFFFF"/>
                <w:spacing w:val="-2"/>
                <w:sz w:val="18"/>
              </w:rPr>
              <w:t>26.142.417,96</w:t>
            </w:r>
          </w:p>
        </w:tc>
      </w:tr>
      <w:tr>
        <w:trPr>
          <w:trHeight w:val="287" w:hRule="atLeast"/>
        </w:trPr>
        <w:tc>
          <w:tcPr>
            <w:tcW w:w="7681" w:type="dxa"/>
            <w:gridSpan w:val="6"/>
          </w:tcPr>
          <w:p>
            <w:pPr>
              <w:pStyle w:val="TableParagraph"/>
              <w:spacing w:line="187" w:lineRule="exact" w:before="81"/>
              <w:ind w:left="69"/>
              <w:rPr>
                <w:sz w:val="18"/>
              </w:rPr>
            </w:pPr>
            <w:r>
              <w:rPr>
                <w:sz w:val="18"/>
              </w:rPr>
              <w:t>Fuente:</w:t>
            </w:r>
            <w:r>
              <w:rPr>
                <w:spacing w:val="-2"/>
                <w:sz w:val="18"/>
              </w:rPr>
              <w:t> </w:t>
            </w:r>
            <w:r>
              <w:rPr>
                <w:sz w:val="18"/>
              </w:rPr>
              <w:t>Elaboración</w:t>
            </w:r>
            <w:r>
              <w:rPr>
                <w:spacing w:val="-3"/>
                <w:sz w:val="18"/>
              </w:rPr>
              <w:t> </w:t>
            </w:r>
            <w:r>
              <w:rPr>
                <w:sz w:val="18"/>
              </w:rPr>
              <w:t>propia</w:t>
            </w:r>
            <w:r>
              <w:rPr>
                <w:spacing w:val="-3"/>
                <w:sz w:val="18"/>
              </w:rPr>
              <w:t> </w:t>
            </w:r>
            <w:r>
              <w:rPr>
                <w:sz w:val="18"/>
              </w:rPr>
              <w:t>a</w:t>
            </w:r>
            <w:r>
              <w:rPr>
                <w:spacing w:val="-3"/>
                <w:sz w:val="18"/>
              </w:rPr>
              <w:t> </w:t>
            </w:r>
            <w:r>
              <w:rPr>
                <w:sz w:val="18"/>
              </w:rPr>
              <w:t>partir</w:t>
            </w:r>
            <w:r>
              <w:rPr>
                <w:spacing w:val="-1"/>
                <w:sz w:val="18"/>
              </w:rPr>
              <w:t> </w:t>
            </w:r>
            <w:r>
              <w:rPr>
                <w:sz w:val="18"/>
              </w:rPr>
              <w:t>de</w:t>
            </w:r>
            <w:r>
              <w:rPr>
                <w:spacing w:val="-2"/>
                <w:sz w:val="18"/>
              </w:rPr>
              <w:t> </w:t>
            </w:r>
            <w:r>
              <w:rPr>
                <w:sz w:val="18"/>
              </w:rPr>
              <w:t>los</w:t>
            </w:r>
            <w:r>
              <w:rPr>
                <w:spacing w:val="-3"/>
                <w:sz w:val="18"/>
              </w:rPr>
              <w:t> </w:t>
            </w:r>
            <w:r>
              <w:rPr>
                <w:sz w:val="18"/>
              </w:rPr>
              <w:t>datos</w:t>
            </w:r>
            <w:r>
              <w:rPr>
                <w:spacing w:val="-1"/>
                <w:sz w:val="18"/>
              </w:rPr>
              <w:t> </w:t>
            </w:r>
            <w:r>
              <w:rPr>
                <w:sz w:val="18"/>
              </w:rPr>
              <w:t>facilitados</w:t>
            </w:r>
            <w:r>
              <w:rPr>
                <w:spacing w:val="-1"/>
                <w:sz w:val="18"/>
              </w:rPr>
              <w:t> </w:t>
            </w:r>
            <w:r>
              <w:rPr>
                <w:sz w:val="18"/>
              </w:rPr>
              <w:t>por</w:t>
            </w:r>
            <w:r>
              <w:rPr>
                <w:spacing w:val="-1"/>
                <w:sz w:val="18"/>
              </w:rPr>
              <w:t> </w:t>
            </w:r>
            <w:r>
              <w:rPr>
                <w:sz w:val="18"/>
              </w:rPr>
              <w:t>las</w:t>
            </w:r>
            <w:r>
              <w:rPr>
                <w:spacing w:val="-3"/>
                <w:sz w:val="18"/>
              </w:rPr>
              <w:t> </w:t>
            </w:r>
            <w:r>
              <w:rPr>
                <w:sz w:val="18"/>
              </w:rPr>
              <w:t>entidades</w:t>
            </w:r>
            <w:r>
              <w:rPr>
                <w:spacing w:val="-2"/>
                <w:sz w:val="18"/>
              </w:rPr>
              <w:t> fiscalizadas</w:t>
            </w:r>
          </w:p>
        </w:tc>
        <w:tc>
          <w:tcPr>
            <w:tcW w:w="1111" w:type="dxa"/>
          </w:tcPr>
          <w:p>
            <w:pPr>
              <w:pStyle w:val="TableParagraph"/>
              <w:rPr>
                <w:rFonts w:ascii="Times New Roman"/>
                <w:sz w:val="20"/>
              </w:rPr>
            </w:pPr>
          </w:p>
        </w:tc>
      </w:tr>
    </w:tbl>
    <w:p>
      <w:pPr>
        <w:pStyle w:val="BodyText"/>
        <w:spacing w:before="73"/>
        <w:rPr>
          <w:b/>
        </w:rPr>
      </w:pPr>
    </w:p>
    <w:p>
      <w:pPr>
        <w:spacing w:before="0"/>
        <w:ind w:left="992" w:right="0" w:firstLine="0"/>
        <w:jc w:val="both"/>
        <w:rPr>
          <w:i/>
          <w:sz w:val="22"/>
        </w:rPr>
      </w:pPr>
      <w:r>
        <w:rPr>
          <w:i/>
          <w:color w:val="365F91"/>
          <w:sz w:val="22"/>
        </w:rPr>
        <w:t>Infraestructuras</w:t>
      </w:r>
      <w:r>
        <w:rPr>
          <w:i/>
          <w:color w:val="365F91"/>
          <w:spacing w:val="-7"/>
          <w:sz w:val="22"/>
        </w:rPr>
        <w:t> </w:t>
      </w:r>
      <w:r>
        <w:rPr>
          <w:i/>
          <w:color w:val="365F91"/>
          <w:sz w:val="22"/>
        </w:rPr>
        <w:t>para</w:t>
      </w:r>
      <w:r>
        <w:rPr>
          <w:i/>
          <w:color w:val="365F91"/>
          <w:spacing w:val="-6"/>
          <w:sz w:val="22"/>
        </w:rPr>
        <w:t> </w:t>
      </w:r>
      <w:r>
        <w:rPr>
          <w:i/>
          <w:color w:val="365F91"/>
          <w:sz w:val="22"/>
        </w:rPr>
        <w:t>la</w:t>
      </w:r>
      <w:r>
        <w:rPr>
          <w:i/>
          <w:color w:val="365F91"/>
          <w:spacing w:val="-5"/>
          <w:sz w:val="22"/>
        </w:rPr>
        <w:t> </w:t>
      </w:r>
      <w:r>
        <w:rPr>
          <w:i/>
          <w:color w:val="365F91"/>
          <w:sz w:val="22"/>
        </w:rPr>
        <w:t>recarga</w:t>
      </w:r>
      <w:r>
        <w:rPr>
          <w:i/>
          <w:color w:val="365F91"/>
          <w:spacing w:val="-2"/>
          <w:sz w:val="22"/>
        </w:rPr>
        <w:t> </w:t>
      </w:r>
      <w:r>
        <w:rPr>
          <w:i/>
          <w:color w:val="365F91"/>
          <w:sz w:val="22"/>
        </w:rPr>
        <w:t>de</w:t>
      </w:r>
      <w:r>
        <w:rPr>
          <w:i/>
          <w:color w:val="365F91"/>
          <w:spacing w:val="-6"/>
          <w:sz w:val="22"/>
        </w:rPr>
        <w:t> </w:t>
      </w:r>
      <w:r>
        <w:rPr>
          <w:i/>
          <w:color w:val="365F91"/>
          <w:spacing w:val="-2"/>
          <w:sz w:val="22"/>
        </w:rPr>
        <w:t>vehículos</w:t>
      </w:r>
    </w:p>
    <w:p>
      <w:pPr>
        <w:pStyle w:val="BodyText"/>
        <w:spacing w:before="239"/>
        <w:ind w:left="992" w:right="989"/>
        <w:jc w:val="both"/>
      </w:pPr>
      <w:r>
        <w:rPr/>
        <w:t>Los autobuses eléctricos son vehículos de transporte público con motores eléctricos para su propulsión,</w:t>
      </w:r>
      <w:r>
        <w:rPr>
          <w:spacing w:val="26"/>
        </w:rPr>
        <w:t> </w:t>
      </w:r>
      <w:r>
        <w:rPr/>
        <w:t>que</w:t>
      </w:r>
      <w:r>
        <w:rPr>
          <w:spacing w:val="23"/>
        </w:rPr>
        <w:t> </w:t>
      </w:r>
      <w:r>
        <w:rPr/>
        <w:t>requieren</w:t>
      </w:r>
      <w:r>
        <w:rPr>
          <w:spacing w:val="25"/>
        </w:rPr>
        <w:t> </w:t>
      </w:r>
      <w:r>
        <w:rPr/>
        <w:t>que</w:t>
      </w:r>
      <w:r>
        <w:rPr>
          <w:spacing w:val="25"/>
        </w:rPr>
        <w:t> </w:t>
      </w:r>
      <w:r>
        <w:rPr/>
        <w:t>sus</w:t>
      </w:r>
      <w:r>
        <w:rPr>
          <w:spacing w:val="22"/>
        </w:rPr>
        <w:t> </w:t>
      </w:r>
      <w:r>
        <w:rPr/>
        <w:t>baterías</w:t>
      </w:r>
      <w:r>
        <w:rPr>
          <w:spacing w:val="22"/>
        </w:rPr>
        <w:t> </w:t>
      </w:r>
      <w:r>
        <w:rPr/>
        <w:t>se</w:t>
      </w:r>
      <w:r>
        <w:rPr>
          <w:spacing w:val="22"/>
        </w:rPr>
        <w:t> </w:t>
      </w:r>
      <w:r>
        <w:rPr/>
        <w:t>recarguen.</w:t>
      </w:r>
      <w:r>
        <w:rPr>
          <w:spacing w:val="24"/>
        </w:rPr>
        <w:t> </w:t>
      </w:r>
      <w:r>
        <w:rPr/>
        <w:t>Existen</w:t>
      </w:r>
      <w:r>
        <w:rPr>
          <w:spacing w:val="22"/>
        </w:rPr>
        <w:t> </w:t>
      </w:r>
      <w:r>
        <w:rPr/>
        <w:t>tres</w:t>
      </w:r>
      <w:r>
        <w:rPr>
          <w:spacing w:val="25"/>
        </w:rPr>
        <w:t> </w:t>
      </w:r>
      <w:r>
        <w:rPr/>
        <w:t>sistemas</w:t>
      </w:r>
      <w:r>
        <w:rPr>
          <w:spacing w:val="23"/>
        </w:rPr>
        <w:t> </w:t>
      </w:r>
      <w:r>
        <w:rPr/>
        <w:t>tecnológicos</w:t>
      </w:r>
      <w:r>
        <w:rPr>
          <w:spacing w:val="25"/>
        </w:rPr>
        <w:t> </w:t>
      </w:r>
      <w:r>
        <w:rPr/>
        <w:t>de</w:t>
      </w:r>
    </w:p>
    <w:p>
      <w:pPr>
        <w:pStyle w:val="BodyText"/>
        <w:spacing w:before="5"/>
        <w:rPr>
          <w:sz w:val="15"/>
        </w:rPr>
      </w:pPr>
      <w:r>
        <w:rPr>
          <w:sz w:val="15"/>
        </w:rPr>
        <mc:AlternateContent>
          <mc:Choice Requires="wps">
            <w:drawing>
              <wp:anchor distT="0" distB="0" distL="0" distR="0" allowOverlap="1" layoutInCell="1" locked="0" behindDoc="1" simplePos="0" relativeHeight="487606272">
                <wp:simplePos x="0" y="0"/>
                <wp:positionH relativeFrom="page">
                  <wp:posOffset>719632</wp:posOffset>
                </wp:positionH>
                <wp:positionV relativeFrom="paragraph">
                  <wp:posOffset>128401</wp:posOffset>
                </wp:positionV>
                <wp:extent cx="1829435" cy="9525"/>
                <wp:effectExtent l="0" t="0" r="0" b="0"/>
                <wp:wrapTopAndBottom/>
                <wp:docPr id="144" name="Graphic 144"/>
                <wp:cNvGraphicFramePr>
                  <a:graphicFrameLocks/>
                </wp:cNvGraphicFramePr>
                <a:graphic>
                  <a:graphicData uri="http://schemas.microsoft.com/office/word/2010/wordprocessingShape">
                    <wps:wsp>
                      <wps:cNvPr id="144" name="Graphic 144"/>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0.110327pt;width:144.020pt;height:.71997pt;mso-position-horizontal-relative:page;mso-position-vertical-relative:paragraph;z-index:-15710208;mso-wrap-distance-left:0;mso-wrap-distance-right:0" id="docshape126" filled="true" fillcolor="#000000" stroked="false">
                <v:fill type="solid"/>
                <w10:wrap type="topAndBottom"/>
              </v:rect>
            </w:pict>
          </mc:Fallback>
        </mc:AlternateContent>
      </w:r>
    </w:p>
    <w:p>
      <w:pPr>
        <w:spacing w:line="259" w:lineRule="auto" w:before="118"/>
        <w:ind w:left="992" w:right="1001" w:firstLine="0"/>
        <w:jc w:val="both"/>
        <w:rPr>
          <w:sz w:val="18"/>
        </w:rPr>
      </w:pPr>
      <w:bookmarkStart w:name="_bookmark58" w:id="60"/>
      <w:bookmarkEnd w:id="60"/>
      <w:r>
        <w:rPr/>
      </w:r>
      <w:r>
        <w:rPr>
          <w:position w:val="6"/>
          <w:sz w:val="12"/>
        </w:rPr>
        <w:t>34</w:t>
      </w:r>
      <w:r>
        <w:rPr>
          <w:spacing w:val="22"/>
          <w:position w:val="6"/>
          <w:sz w:val="12"/>
        </w:rPr>
        <w:t> </w:t>
      </w:r>
      <w:r>
        <w:rPr>
          <w:sz w:val="18"/>
        </w:rPr>
        <w:t>El Ayuntamiento alega que, previamente a acordarse la prórroga, comunicó al contratista su intención de prorrogar el contrato,</w:t>
      </w:r>
      <w:r>
        <w:rPr>
          <w:spacing w:val="-2"/>
          <w:sz w:val="18"/>
        </w:rPr>
        <w:t> </w:t>
      </w:r>
      <w:r>
        <w:rPr>
          <w:sz w:val="18"/>
        </w:rPr>
        <w:t>lo</w:t>
      </w:r>
      <w:r>
        <w:rPr>
          <w:spacing w:val="-2"/>
          <w:sz w:val="18"/>
        </w:rPr>
        <w:t> </w:t>
      </w:r>
      <w:r>
        <w:rPr>
          <w:sz w:val="18"/>
        </w:rPr>
        <w:t>que no</w:t>
      </w:r>
      <w:r>
        <w:rPr>
          <w:spacing w:val="-2"/>
          <w:sz w:val="18"/>
        </w:rPr>
        <w:t> </w:t>
      </w:r>
      <w:r>
        <w:rPr>
          <w:sz w:val="18"/>
        </w:rPr>
        <w:t>desvirtúa</w:t>
      </w:r>
      <w:r>
        <w:rPr>
          <w:spacing w:val="-2"/>
          <w:sz w:val="18"/>
        </w:rPr>
        <w:t> </w:t>
      </w:r>
      <w:r>
        <w:rPr>
          <w:sz w:val="18"/>
        </w:rPr>
        <w:t>el hecho</w:t>
      </w:r>
      <w:r>
        <w:rPr>
          <w:spacing w:val="-2"/>
          <w:sz w:val="18"/>
        </w:rPr>
        <w:t> </w:t>
      </w:r>
      <w:r>
        <w:rPr>
          <w:sz w:val="18"/>
        </w:rPr>
        <w:t>de que</w:t>
      </w:r>
      <w:r>
        <w:rPr>
          <w:spacing w:val="-2"/>
          <w:sz w:val="18"/>
        </w:rPr>
        <w:t> </w:t>
      </w:r>
      <w:r>
        <w:rPr>
          <w:sz w:val="18"/>
        </w:rPr>
        <w:t>el</w:t>
      </w:r>
      <w:r>
        <w:rPr>
          <w:spacing w:val="-2"/>
          <w:sz w:val="18"/>
        </w:rPr>
        <w:t> </w:t>
      </w:r>
      <w:r>
        <w:rPr>
          <w:sz w:val="18"/>
        </w:rPr>
        <w:t>acuerdo formal</w:t>
      </w:r>
      <w:r>
        <w:rPr>
          <w:spacing w:val="-2"/>
          <w:sz w:val="18"/>
        </w:rPr>
        <w:t> </w:t>
      </w:r>
      <w:r>
        <w:rPr>
          <w:sz w:val="18"/>
        </w:rPr>
        <w:t>entre</w:t>
      </w:r>
      <w:r>
        <w:rPr>
          <w:spacing w:val="-2"/>
          <w:sz w:val="18"/>
        </w:rPr>
        <w:t> </w:t>
      </w:r>
      <w:r>
        <w:rPr>
          <w:sz w:val="18"/>
        </w:rPr>
        <w:t>las</w:t>
      </w:r>
      <w:r>
        <w:rPr>
          <w:spacing w:val="-1"/>
          <w:sz w:val="18"/>
        </w:rPr>
        <w:t> </w:t>
      </w:r>
      <w:r>
        <w:rPr>
          <w:sz w:val="18"/>
        </w:rPr>
        <w:t>partes</w:t>
      </w:r>
      <w:r>
        <w:rPr>
          <w:spacing w:val="-1"/>
          <w:sz w:val="18"/>
        </w:rPr>
        <w:t> </w:t>
      </w:r>
      <w:r>
        <w:rPr>
          <w:sz w:val="18"/>
        </w:rPr>
        <w:t>para</w:t>
      </w:r>
      <w:r>
        <w:rPr>
          <w:spacing w:val="-2"/>
          <w:sz w:val="18"/>
        </w:rPr>
        <w:t> </w:t>
      </w:r>
      <w:r>
        <w:rPr>
          <w:sz w:val="18"/>
        </w:rPr>
        <w:t>la</w:t>
      </w:r>
      <w:r>
        <w:rPr>
          <w:spacing w:val="-2"/>
          <w:sz w:val="18"/>
        </w:rPr>
        <w:t> </w:t>
      </w:r>
      <w:r>
        <w:rPr>
          <w:sz w:val="18"/>
        </w:rPr>
        <w:t>ampliación</w:t>
      </w:r>
      <w:r>
        <w:rPr>
          <w:spacing w:val="-2"/>
          <w:sz w:val="18"/>
        </w:rPr>
        <w:t> </w:t>
      </w:r>
      <w:r>
        <w:rPr>
          <w:sz w:val="18"/>
        </w:rPr>
        <w:t>del plazo</w:t>
      </w:r>
      <w:r>
        <w:rPr>
          <w:spacing w:val="-2"/>
          <w:sz w:val="18"/>
        </w:rPr>
        <w:t> </w:t>
      </w:r>
      <w:r>
        <w:rPr>
          <w:sz w:val="18"/>
        </w:rPr>
        <w:t>del</w:t>
      </w:r>
      <w:r>
        <w:rPr>
          <w:spacing w:val="-2"/>
          <w:sz w:val="18"/>
        </w:rPr>
        <w:t> </w:t>
      </w:r>
      <w:r>
        <w:rPr>
          <w:sz w:val="18"/>
        </w:rPr>
        <w:t>contrato se materializara el mismo día que se recibieron los autobuses.</w:t>
      </w:r>
    </w:p>
    <w:p>
      <w:pPr>
        <w:spacing w:after="0" w:line="259" w:lineRule="auto"/>
        <w:jc w:val="both"/>
        <w:rPr>
          <w:sz w:val="18"/>
        </w:rPr>
        <w:sectPr>
          <w:pgSz w:w="11910" w:h="16840"/>
          <w:pgMar w:header="1227" w:footer="839" w:top="1420" w:bottom="1060" w:left="141" w:right="141"/>
        </w:sectPr>
      </w:pPr>
    </w:p>
    <w:p>
      <w:pPr>
        <w:pStyle w:val="BodyText"/>
      </w:pPr>
    </w:p>
    <w:p>
      <w:pPr>
        <w:pStyle w:val="BodyText"/>
      </w:pPr>
    </w:p>
    <w:p>
      <w:pPr>
        <w:pStyle w:val="BodyText"/>
      </w:pPr>
    </w:p>
    <w:p>
      <w:pPr>
        <w:pStyle w:val="BodyText"/>
        <w:spacing w:before="112"/>
      </w:pPr>
    </w:p>
    <w:p>
      <w:pPr>
        <w:pStyle w:val="BodyText"/>
        <w:ind w:left="992" w:right="988"/>
        <w:jc w:val="both"/>
      </w:pPr>
      <w:r>
        <w:rPr/>
        <w:t>carga para este tipo de autobuses: el cargador tipo </w:t>
      </w:r>
      <w:r>
        <w:rPr>
          <w:i/>
        </w:rPr>
        <w:t>pug-in</w:t>
      </w:r>
      <w:r>
        <w:rPr/>
        <w:t>, mediante enchufe; el pantógrafo, que utiliza</w:t>
      </w:r>
      <w:r>
        <w:rPr>
          <w:spacing w:val="-4"/>
        </w:rPr>
        <w:t> </w:t>
      </w:r>
      <w:r>
        <w:rPr/>
        <w:t>un</w:t>
      </w:r>
      <w:r>
        <w:rPr>
          <w:spacing w:val="-4"/>
        </w:rPr>
        <w:t> </w:t>
      </w:r>
      <w:r>
        <w:rPr/>
        <w:t>brazo</w:t>
      </w:r>
      <w:r>
        <w:rPr>
          <w:spacing w:val="-6"/>
        </w:rPr>
        <w:t> </w:t>
      </w:r>
      <w:r>
        <w:rPr/>
        <w:t>mecánico</w:t>
      </w:r>
      <w:r>
        <w:rPr>
          <w:spacing w:val="-4"/>
        </w:rPr>
        <w:t> </w:t>
      </w:r>
      <w:r>
        <w:rPr/>
        <w:t>para</w:t>
      </w:r>
      <w:r>
        <w:rPr>
          <w:spacing w:val="-6"/>
        </w:rPr>
        <w:t> </w:t>
      </w:r>
      <w:r>
        <w:rPr/>
        <w:t>conectar</w:t>
      </w:r>
      <w:r>
        <w:rPr>
          <w:spacing w:val="-3"/>
        </w:rPr>
        <w:t> </w:t>
      </w:r>
      <w:r>
        <w:rPr/>
        <w:t>el</w:t>
      </w:r>
      <w:r>
        <w:rPr>
          <w:spacing w:val="-5"/>
        </w:rPr>
        <w:t> </w:t>
      </w:r>
      <w:r>
        <w:rPr/>
        <w:t>autobús</w:t>
      </w:r>
      <w:r>
        <w:rPr>
          <w:spacing w:val="-4"/>
        </w:rPr>
        <w:t> </w:t>
      </w:r>
      <w:r>
        <w:rPr/>
        <w:t>a</w:t>
      </w:r>
      <w:r>
        <w:rPr>
          <w:spacing w:val="-4"/>
        </w:rPr>
        <w:t> </w:t>
      </w:r>
      <w:r>
        <w:rPr/>
        <w:t>una</w:t>
      </w:r>
      <w:r>
        <w:rPr>
          <w:spacing w:val="-6"/>
        </w:rPr>
        <w:t> </w:t>
      </w:r>
      <w:r>
        <w:rPr/>
        <w:t>fuente</w:t>
      </w:r>
      <w:r>
        <w:rPr>
          <w:spacing w:val="-4"/>
        </w:rPr>
        <w:t> </w:t>
      </w:r>
      <w:r>
        <w:rPr/>
        <w:t>de</w:t>
      </w:r>
      <w:r>
        <w:rPr>
          <w:spacing w:val="-7"/>
        </w:rPr>
        <w:t> </w:t>
      </w:r>
      <w:r>
        <w:rPr/>
        <w:t>energía</w:t>
      </w:r>
      <w:r>
        <w:rPr>
          <w:spacing w:val="-4"/>
        </w:rPr>
        <w:t> </w:t>
      </w:r>
      <w:r>
        <w:rPr/>
        <w:t>en</w:t>
      </w:r>
      <w:r>
        <w:rPr>
          <w:spacing w:val="-7"/>
        </w:rPr>
        <w:t> </w:t>
      </w:r>
      <w:r>
        <w:rPr/>
        <w:t>la</w:t>
      </w:r>
      <w:r>
        <w:rPr>
          <w:spacing w:val="-4"/>
        </w:rPr>
        <w:t> </w:t>
      </w:r>
      <w:r>
        <w:rPr/>
        <w:t>infraestructura</w:t>
      </w:r>
      <w:r>
        <w:rPr>
          <w:spacing w:val="-4"/>
        </w:rPr>
        <w:t> </w:t>
      </w:r>
      <w:r>
        <w:rPr/>
        <w:t>de carga, ya sea en cocheras o paradas; y la carga por inducción, que es inalámbrica y utiliza dos bobinas, una en el autobús y otra en la parada, para transferir energía sin cables.</w:t>
      </w:r>
    </w:p>
    <w:p>
      <w:pPr>
        <w:spacing w:before="241"/>
        <w:ind w:left="992" w:right="986" w:firstLine="0"/>
        <w:jc w:val="both"/>
        <w:rPr>
          <w:sz w:val="22"/>
        </w:rPr>
      </w:pPr>
      <w:r>
        <w:rPr>
          <w:sz w:val="22"/>
        </w:rPr>
        <w:t>Los </w:t>
      </w:r>
      <w:r>
        <w:rPr>
          <w:b/>
          <w:sz w:val="22"/>
        </w:rPr>
        <w:t>Ayuntamientos de</w:t>
      </w:r>
      <w:r>
        <w:rPr>
          <w:b/>
          <w:spacing w:val="-2"/>
          <w:sz w:val="22"/>
        </w:rPr>
        <w:t> </w:t>
      </w:r>
      <w:r>
        <w:rPr>
          <w:b/>
          <w:sz w:val="22"/>
        </w:rPr>
        <w:t>Alicante</w:t>
      </w:r>
      <w:r>
        <w:rPr>
          <w:sz w:val="22"/>
        </w:rPr>
        <w:t>, </w:t>
      </w:r>
      <w:r>
        <w:rPr>
          <w:b/>
          <w:sz w:val="22"/>
        </w:rPr>
        <w:t>Bilbao</w:t>
      </w:r>
      <w:r>
        <w:rPr>
          <w:sz w:val="22"/>
        </w:rPr>
        <w:t>, </w:t>
      </w:r>
      <w:r>
        <w:rPr>
          <w:b/>
          <w:sz w:val="22"/>
        </w:rPr>
        <w:t>Las Palmas de Gran Canaria</w:t>
      </w:r>
      <w:r>
        <w:rPr>
          <w:sz w:val="22"/>
        </w:rPr>
        <w:t>, </w:t>
      </w:r>
      <w:r>
        <w:rPr>
          <w:b/>
          <w:sz w:val="22"/>
        </w:rPr>
        <w:t>Málaga</w:t>
      </w:r>
      <w:r>
        <w:rPr>
          <w:sz w:val="22"/>
        </w:rPr>
        <w:t>, </w:t>
      </w:r>
      <w:r>
        <w:rPr>
          <w:b/>
          <w:sz w:val="22"/>
        </w:rPr>
        <w:t>Palma</w:t>
      </w:r>
      <w:r>
        <w:rPr>
          <w:sz w:val="22"/>
        </w:rPr>
        <w:t>, </w:t>
      </w:r>
      <w:r>
        <w:rPr>
          <w:b/>
          <w:sz w:val="22"/>
        </w:rPr>
        <w:t>Sevilla </w:t>
      </w:r>
      <w:r>
        <w:rPr>
          <w:sz w:val="22"/>
        </w:rPr>
        <w:t>y </w:t>
      </w:r>
      <w:r>
        <w:rPr>
          <w:b/>
          <w:sz w:val="22"/>
        </w:rPr>
        <w:t>Zaragoza </w:t>
      </w:r>
      <w:r>
        <w:rPr>
          <w:sz w:val="22"/>
        </w:rPr>
        <w:t>acometieron actuaciones para la recarga de autobuses. Todos ellos, salvo el de </w:t>
      </w:r>
      <w:r>
        <w:rPr>
          <w:b/>
          <w:sz w:val="22"/>
        </w:rPr>
        <w:t>Las Palmas de Gran Canaria</w:t>
      </w:r>
      <w:r>
        <w:rPr>
          <w:sz w:val="22"/>
        </w:rPr>
        <w:t>, recibieron ayudas en</w:t>
      </w:r>
      <w:r>
        <w:rPr>
          <w:spacing w:val="-1"/>
          <w:sz w:val="22"/>
        </w:rPr>
        <w:t> </w:t>
      </w:r>
      <w:r>
        <w:rPr>
          <w:sz w:val="22"/>
        </w:rPr>
        <w:t>el marco del PRTR para ejecutar todas o algunas de estas actuaciones.</w:t>
      </w:r>
    </w:p>
    <w:p>
      <w:pPr>
        <w:pStyle w:val="BodyText"/>
        <w:spacing w:before="108"/>
      </w:pPr>
    </w:p>
    <w:p>
      <w:pPr>
        <w:pStyle w:val="Heading4"/>
      </w:pPr>
      <w:bookmarkStart w:name="_bookmark59" w:id="61"/>
      <w:bookmarkEnd w:id="61"/>
      <w:r>
        <w:rPr>
          <w:b w:val="0"/>
        </w:rPr>
      </w:r>
      <w:r>
        <w:rPr/>
        <w:t>CUADRO</w:t>
      </w:r>
      <w:r>
        <w:rPr>
          <w:spacing w:val="-7"/>
        </w:rPr>
        <w:t> </w:t>
      </w:r>
      <w:r>
        <w:rPr/>
        <w:t>9.</w:t>
      </w:r>
      <w:r>
        <w:rPr>
          <w:spacing w:val="-8"/>
        </w:rPr>
        <w:t> </w:t>
      </w:r>
      <w:r>
        <w:rPr/>
        <w:t>ACTUACIONES</w:t>
      </w:r>
      <w:r>
        <w:rPr>
          <w:spacing w:val="-6"/>
        </w:rPr>
        <w:t> </w:t>
      </w:r>
      <w:r>
        <w:rPr/>
        <w:t>DE</w:t>
      </w:r>
      <w:r>
        <w:rPr>
          <w:spacing w:val="-6"/>
        </w:rPr>
        <w:t> </w:t>
      </w:r>
      <w:r>
        <w:rPr/>
        <w:t>INFRAESTRUCTURA</w:t>
      </w:r>
      <w:r>
        <w:rPr>
          <w:spacing w:val="-4"/>
        </w:rPr>
        <w:t> </w:t>
      </w:r>
      <w:r>
        <w:rPr/>
        <w:t>DE</w:t>
      </w:r>
      <w:r>
        <w:rPr>
          <w:spacing w:val="-7"/>
        </w:rPr>
        <w:t> </w:t>
      </w:r>
      <w:r>
        <w:rPr/>
        <w:t>RECARGA</w:t>
      </w:r>
      <w:r>
        <w:rPr>
          <w:spacing w:val="-8"/>
        </w:rPr>
        <w:t> </w:t>
      </w:r>
      <w:r>
        <w:rPr/>
        <w:t>DE</w:t>
      </w:r>
      <w:r>
        <w:rPr>
          <w:spacing w:val="-6"/>
        </w:rPr>
        <w:t> </w:t>
      </w:r>
      <w:r>
        <w:rPr>
          <w:spacing w:val="-2"/>
        </w:rPr>
        <w:t>VEHÍCULOS</w:t>
      </w:r>
    </w:p>
    <w:p>
      <w:pPr>
        <w:pStyle w:val="BodyText"/>
        <w:spacing w:before="9"/>
        <w:rPr>
          <w:b/>
          <w:sz w:val="20"/>
        </w:rPr>
      </w:pPr>
    </w:p>
    <w:tbl>
      <w:tblPr>
        <w:tblW w:w="0" w:type="auto"/>
        <w:jc w:val="left"/>
        <w:tblInd w:w="5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25"/>
        <w:gridCol w:w="2138"/>
        <w:gridCol w:w="1155"/>
        <w:gridCol w:w="1126"/>
        <w:gridCol w:w="1147"/>
        <w:gridCol w:w="1201"/>
        <w:gridCol w:w="478"/>
        <w:gridCol w:w="419"/>
        <w:gridCol w:w="424"/>
        <w:gridCol w:w="414"/>
        <w:gridCol w:w="999"/>
      </w:tblGrid>
      <w:tr>
        <w:trPr>
          <w:trHeight w:val="432" w:hRule="atLeast"/>
        </w:trPr>
        <w:tc>
          <w:tcPr>
            <w:tcW w:w="1125" w:type="dxa"/>
            <w:vMerge w:val="restart"/>
            <w:shd w:val="clear" w:color="auto" w:fill="002D5D"/>
          </w:tcPr>
          <w:p>
            <w:pPr>
              <w:pStyle w:val="TableParagraph"/>
              <w:spacing w:before="173"/>
              <w:rPr>
                <w:rFonts w:ascii="Arial"/>
                <w:b/>
                <w:sz w:val="17"/>
              </w:rPr>
            </w:pPr>
          </w:p>
          <w:p>
            <w:pPr>
              <w:pStyle w:val="TableParagraph"/>
              <w:spacing w:line="181" w:lineRule="exact"/>
              <w:ind w:left="386"/>
              <w:rPr>
                <w:b/>
                <w:sz w:val="17"/>
              </w:rPr>
            </w:pPr>
            <w:r>
              <w:rPr>
                <w:b/>
                <w:color w:val="FFFFFF"/>
                <w:spacing w:val="-2"/>
                <w:sz w:val="17"/>
              </w:rPr>
              <w:t>AYTO.</w:t>
            </w:r>
          </w:p>
        </w:tc>
        <w:tc>
          <w:tcPr>
            <w:tcW w:w="2138" w:type="dxa"/>
            <w:vMerge w:val="restart"/>
            <w:shd w:val="clear" w:color="auto" w:fill="002D5D"/>
          </w:tcPr>
          <w:p>
            <w:pPr>
              <w:pStyle w:val="TableParagraph"/>
              <w:spacing w:before="77"/>
              <w:rPr>
                <w:rFonts w:ascii="Arial"/>
                <w:b/>
                <w:sz w:val="17"/>
              </w:rPr>
            </w:pPr>
          </w:p>
          <w:p>
            <w:pPr>
              <w:pStyle w:val="TableParagraph"/>
              <w:ind w:left="687" w:right="52" w:hanging="137"/>
              <w:rPr>
                <w:b/>
                <w:sz w:val="17"/>
              </w:rPr>
            </w:pPr>
            <w:r>
              <w:rPr>
                <w:b/>
                <w:color w:val="FFFFFF"/>
                <w:spacing w:val="-2"/>
                <w:sz w:val="17"/>
              </w:rPr>
              <w:t>DENOMINACIÓN</w:t>
            </w:r>
            <w:r>
              <w:rPr>
                <w:b/>
                <w:color w:val="FFFFFF"/>
                <w:spacing w:val="40"/>
                <w:sz w:val="17"/>
              </w:rPr>
              <w:t> </w:t>
            </w:r>
            <w:r>
              <w:rPr>
                <w:b/>
                <w:color w:val="FFFFFF"/>
                <w:spacing w:val="-2"/>
                <w:sz w:val="17"/>
              </w:rPr>
              <w:t>ACTUACIÓN</w:t>
            </w:r>
          </w:p>
        </w:tc>
        <w:tc>
          <w:tcPr>
            <w:tcW w:w="1155" w:type="dxa"/>
            <w:vMerge w:val="restart"/>
            <w:shd w:val="clear" w:color="auto" w:fill="002D5D"/>
          </w:tcPr>
          <w:p>
            <w:pPr>
              <w:pStyle w:val="TableParagraph"/>
              <w:spacing w:before="174"/>
              <w:ind w:left="122" w:right="146" w:firstLine="1"/>
              <w:jc w:val="center"/>
              <w:rPr>
                <w:b/>
                <w:sz w:val="17"/>
              </w:rPr>
            </w:pPr>
            <w:r>
              <w:rPr>
                <w:b/>
                <w:color w:val="FFFFFF"/>
                <w:spacing w:val="-6"/>
                <w:sz w:val="17"/>
              </w:rPr>
              <w:t>Nº</w:t>
            </w:r>
            <w:r>
              <w:rPr>
                <w:b/>
                <w:color w:val="FFFFFF"/>
                <w:spacing w:val="40"/>
                <w:sz w:val="17"/>
              </w:rPr>
              <w:t> </w:t>
            </w:r>
            <w:r>
              <w:rPr>
                <w:b/>
                <w:color w:val="FFFFFF"/>
                <w:spacing w:val="-2"/>
                <w:sz w:val="17"/>
              </w:rPr>
              <w:t>CONTRATOS</w:t>
            </w:r>
            <w:r>
              <w:rPr>
                <w:b/>
                <w:color w:val="FFFFFF"/>
                <w:spacing w:val="40"/>
                <w:sz w:val="17"/>
              </w:rPr>
              <w:t> </w:t>
            </w:r>
            <w:r>
              <w:rPr>
                <w:b/>
                <w:color w:val="FFFFFF"/>
                <w:spacing w:val="-2"/>
                <w:sz w:val="17"/>
              </w:rPr>
              <w:t>ASOCIADOS</w:t>
            </w:r>
          </w:p>
        </w:tc>
        <w:tc>
          <w:tcPr>
            <w:tcW w:w="1126" w:type="dxa"/>
            <w:vMerge w:val="restart"/>
            <w:shd w:val="clear" w:color="auto" w:fill="002D5D"/>
          </w:tcPr>
          <w:p>
            <w:pPr>
              <w:pStyle w:val="TableParagraph"/>
              <w:spacing w:before="173"/>
              <w:rPr>
                <w:rFonts w:ascii="Arial"/>
                <w:b/>
                <w:sz w:val="17"/>
              </w:rPr>
            </w:pPr>
          </w:p>
          <w:p>
            <w:pPr>
              <w:pStyle w:val="TableParagraph"/>
              <w:spacing w:line="181" w:lineRule="exact"/>
              <w:ind w:left="157"/>
              <w:rPr>
                <w:b/>
                <w:sz w:val="17"/>
              </w:rPr>
            </w:pPr>
            <w:r>
              <w:rPr>
                <w:b/>
                <w:color w:val="FFFFFF"/>
                <w:sz w:val="17"/>
              </w:rPr>
              <w:t>IMPORTE</w:t>
            </w:r>
            <w:r>
              <w:rPr>
                <w:b/>
                <w:color w:val="FFFFFF"/>
                <w:spacing w:val="-1"/>
                <w:sz w:val="17"/>
              </w:rPr>
              <w:t> </w:t>
            </w:r>
            <w:r>
              <w:rPr>
                <w:b/>
                <w:color w:val="FFFFFF"/>
                <w:spacing w:val="-5"/>
                <w:sz w:val="17"/>
              </w:rPr>
              <w:t>(€)</w:t>
            </w:r>
          </w:p>
        </w:tc>
        <w:tc>
          <w:tcPr>
            <w:tcW w:w="2348" w:type="dxa"/>
            <w:gridSpan w:val="2"/>
            <w:shd w:val="clear" w:color="auto" w:fill="002D5D"/>
          </w:tcPr>
          <w:p>
            <w:pPr>
              <w:pStyle w:val="TableParagraph"/>
              <w:spacing w:before="97"/>
              <w:ind w:left="613"/>
              <w:rPr>
                <w:b/>
                <w:sz w:val="17"/>
              </w:rPr>
            </w:pPr>
            <w:r>
              <w:rPr>
                <w:b/>
                <w:color w:val="FFFFFF"/>
                <w:spacing w:val="-2"/>
                <w:sz w:val="17"/>
              </w:rPr>
              <w:t>FINANCIACIÓN</w:t>
            </w:r>
          </w:p>
        </w:tc>
        <w:tc>
          <w:tcPr>
            <w:tcW w:w="1735" w:type="dxa"/>
            <w:gridSpan w:val="4"/>
            <w:shd w:val="clear" w:color="auto" w:fill="002D5D"/>
          </w:tcPr>
          <w:p>
            <w:pPr>
              <w:pStyle w:val="TableParagraph"/>
              <w:ind w:left="505" w:right="138" w:hanging="276"/>
              <w:rPr>
                <w:b/>
                <w:sz w:val="17"/>
              </w:rPr>
            </w:pPr>
            <w:r>
              <w:rPr>
                <w:b/>
                <w:color w:val="FFFFFF"/>
                <w:sz w:val="17"/>
              </w:rPr>
              <w:t>INCIDENCIAS</w:t>
            </w:r>
            <w:r>
              <w:rPr>
                <w:b/>
                <w:color w:val="FFFFFF"/>
                <w:spacing w:val="-10"/>
                <w:sz w:val="17"/>
              </w:rPr>
              <w:t> </w:t>
            </w:r>
            <w:r>
              <w:rPr>
                <w:b/>
                <w:color w:val="FFFFFF"/>
                <w:sz w:val="17"/>
              </w:rPr>
              <w:t>EN</w:t>
            </w:r>
            <w:r>
              <w:rPr>
                <w:b/>
                <w:color w:val="FFFFFF"/>
                <w:spacing w:val="-10"/>
                <w:sz w:val="17"/>
              </w:rPr>
              <w:t> </w:t>
            </w:r>
            <w:r>
              <w:rPr>
                <w:b/>
                <w:color w:val="FFFFFF"/>
                <w:sz w:val="17"/>
              </w:rPr>
              <w:t>LA</w:t>
            </w:r>
            <w:r>
              <w:rPr>
                <w:b/>
                <w:color w:val="FFFFFF"/>
                <w:spacing w:val="40"/>
                <w:sz w:val="17"/>
              </w:rPr>
              <w:t> </w:t>
            </w:r>
            <w:r>
              <w:rPr>
                <w:b/>
                <w:color w:val="FFFFFF"/>
                <w:spacing w:val="-2"/>
                <w:sz w:val="17"/>
              </w:rPr>
              <w:t>EJECUCIÓN</w:t>
            </w:r>
          </w:p>
        </w:tc>
        <w:tc>
          <w:tcPr>
            <w:tcW w:w="999" w:type="dxa"/>
            <w:vMerge w:val="restart"/>
            <w:shd w:val="clear" w:color="auto" w:fill="002D5D"/>
          </w:tcPr>
          <w:p>
            <w:pPr>
              <w:pStyle w:val="TableParagraph"/>
              <w:spacing w:before="76"/>
              <w:ind w:left="104" w:right="78"/>
              <w:jc w:val="center"/>
              <w:rPr>
                <w:b/>
                <w:sz w:val="17"/>
              </w:rPr>
            </w:pPr>
            <w:r>
              <w:rPr>
                <w:b/>
                <w:color w:val="FFFFFF"/>
                <w:spacing w:val="-2"/>
                <w:sz w:val="17"/>
              </w:rPr>
              <w:t>ESTADO</w:t>
            </w:r>
            <w:r>
              <w:rPr>
                <w:b/>
                <w:color w:val="FFFFFF"/>
                <w:spacing w:val="80"/>
                <w:sz w:val="17"/>
              </w:rPr>
              <w:t> </w:t>
            </w:r>
            <w:r>
              <w:rPr>
                <w:b/>
                <w:color w:val="FFFFFF"/>
                <w:spacing w:val="-6"/>
                <w:sz w:val="17"/>
              </w:rPr>
              <w:t>DE</w:t>
            </w:r>
            <w:r>
              <w:rPr>
                <w:b/>
                <w:color w:val="FFFFFF"/>
                <w:spacing w:val="40"/>
                <w:sz w:val="17"/>
              </w:rPr>
              <w:t> </w:t>
            </w:r>
            <w:r>
              <w:rPr>
                <w:b/>
                <w:color w:val="FFFFFF"/>
                <w:spacing w:val="-2"/>
                <w:sz w:val="17"/>
              </w:rPr>
              <w:t>EJECUCIÓN</w:t>
            </w:r>
            <w:r>
              <w:rPr>
                <w:b/>
                <w:color w:val="FFFFFF"/>
                <w:spacing w:val="40"/>
                <w:sz w:val="17"/>
              </w:rPr>
              <w:t> </w:t>
            </w:r>
            <w:r>
              <w:rPr>
                <w:b/>
                <w:color w:val="FFFFFF"/>
                <w:sz w:val="17"/>
              </w:rPr>
              <w:t>A</w:t>
            </w:r>
            <w:r>
              <w:rPr>
                <w:b/>
                <w:color w:val="FFFFFF"/>
                <w:spacing w:val="-4"/>
                <w:sz w:val="17"/>
              </w:rPr>
              <w:t> </w:t>
            </w:r>
            <w:r>
              <w:rPr>
                <w:b/>
                <w:color w:val="FFFFFF"/>
                <w:sz w:val="17"/>
              </w:rPr>
              <w:t>31-12-24</w:t>
            </w:r>
          </w:p>
        </w:tc>
      </w:tr>
      <w:tr>
        <w:trPr>
          <w:trHeight w:val="136" w:hRule="atLeast"/>
        </w:trPr>
        <w:tc>
          <w:tcPr>
            <w:tcW w:w="1125" w:type="dxa"/>
            <w:vMerge/>
            <w:tcBorders>
              <w:top w:val="nil"/>
            </w:tcBorders>
            <w:shd w:val="clear" w:color="auto" w:fill="002D5D"/>
          </w:tcPr>
          <w:p>
            <w:pPr>
              <w:rPr>
                <w:sz w:val="2"/>
                <w:szCs w:val="2"/>
              </w:rPr>
            </w:pPr>
          </w:p>
        </w:tc>
        <w:tc>
          <w:tcPr>
            <w:tcW w:w="2138" w:type="dxa"/>
            <w:vMerge/>
            <w:tcBorders>
              <w:top w:val="nil"/>
            </w:tcBorders>
            <w:shd w:val="clear" w:color="auto" w:fill="002D5D"/>
          </w:tcPr>
          <w:p>
            <w:pPr>
              <w:rPr>
                <w:sz w:val="2"/>
                <w:szCs w:val="2"/>
              </w:rPr>
            </w:pPr>
          </w:p>
        </w:tc>
        <w:tc>
          <w:tcPr>
            <w:tcW w:w="1155" w:type="dxa"/>
            <w:vMerge/>
            <w:tcBorders>
              <w:top w:val="nil"/>
            </w:tcBorders>
            <w:shd w:val="clear" w:color="auto" w:fill="002D5D"/>
          </w:tcPr>
          <w:p>
            <w:pPr>
              <w:rPr>
                <w:sz w:val="2"/>
                <w:szCs w:val="2"/>
              </w:rPr>
            </w:pPr>
          </w:p>
        </w:tc>
        <w:tc>
          <w:tcPr>
            <w:tcW w:w="1126" w:type="dxa"/>
            <w:vMerge/>
            <w:tcBorders>
              <w:top w:val="nil"/>
            </w:tcBorders>
            <w:shd w:val="clear" w:color="auto" w:fill="002D5D"/>
          </w:tcPr>
          <w:p>
            <w:pPr>
              <w:rPr>
                <w:sz w:val="2"/>
                <w:szCs w:val="2"/>
              </w:rPr>
            </w:pPr>
          </w:p>
        </w:tc>
        <w:tc>
          <w:tcPr>
            <w:tcW w:w="1147" w:type="dxa"/>
            <w:vMerge w:val="restart"/>
            <w:shd w:val="clear" w:color="auto" w:fill="002D5D"/>
          </w:tcPr>
          <w:p>
            <w:pPr>
              <w:pStyle w:val="TableParagraph"/>
              <w:spacing w:line="195" w:lineRule="exact" w:before="44"/>
              <w:ind w:left="4" w:right="43"/>
              <w:jc w:val="center"/>
              <w:rPr>
                <w:b/>
                <w:sz w:val="17"/>
              </w:rPr>
            </w:pPr>
            <w:r>
              <w:rPr>
                <w:b/>
                <w:color w:val="FFFFFF"/>
                <w:spacing w:val="-2"/>
                <w:sz w:val="17"/>
              </w:rPr>
              <w:t>Ayuntamiento</w:t>
            </w:r>
          </w:p>
          <w:p>
            <w:pPr>
              <w:pStyle w:val="TableParagraph"/>
              <w:spacing w:line="195" w:lineRule="exact"/>
              <w:ind w:right="43"/>
              <w:jc w:val="center"/>
              <w:rPr>
                <w:b/>
                <w:sz w:val="17"/>
              </w:rPr>
            </w:pPr>
            <w:r>
              <w:rPr>
                <w:b/>
                <w:color w:val="FFFFFF"/>
                <w:spacing w:val="-5"/>
                <w:sz w:val="17"/>
              </w:rPr>
              <w:t>(€)</w:t>
            </w:r>
          </w:p>
        </w:tc>
        <w:tc>
          <w:tcPr>
            <w:tcW w:w="1201" w:type="dxa"/>
            <w:vMerge w:val="restart"/>
            <w:shd w:val="clear" w:color="auto" w:fill="002D5D"/>
          </w:tcPr>
          <w:p>
            <w:pPr>
              <w:pStyle w:val="TableParagraph"/>
              <w:spacing w:line="195" w:lineRule="exact" w:before="44"/>
              <w:ind w:left="2" w:right="119"/>
              <w:jc w:val="center"/>
              <w:rPr>
                <w:b/>
                <w:sz w:val="17"/>
              </w:rPr>
            </w:pPr>
            <w:r>
              <w:rPr>
                <w:b/>
                <w:color w:val="FFFFFF"/>
                <w:sz w:val="17"/>
              </w:rPr>
              <w:t>PRTR</w:t>
            </w:r>
            <w:r>
              <w:rPr>
                <w:b/>
                <w:color w:val="FFFFFF"/>
                <w:spacing w:val="-3"/>
                <w:sz w:val="17"/>
              </w:rPr>
              <w:t> </w:t>
            </w:r>
            <w:r>
              <w:rPr>
                <w:b/>
                <w:color w:val="FFFFFF"/>
                <w:sz w:val="17"/>
              </w:rPr>
              <w:t>y </w:t>
            </w:r>
            <w:r>
              <w:rPr>
                <w:b/>
                <w:color w:val="FFFFFF"/>
                <w:spacing w:val="-2"/>
                <w:sz w:val="17"/>
              </w:rPr>
              <w:t>otras</w:t>
            </w:r>
          </w:p>
          <w:p>
            <w:pPr>
              <w:pStyle w:val="TableParagraph"/>
              <w:spacing w:line="195" w:lineRule="exact"/>
              <w:ind w:right="119"/>
              <w:jc w:val="center"/>
              <w:rPr>
                <w:b/>
                <w:sz w:val="17"/>
              </w:rPr>
            </w:pPr>
            <w:r>
              <w:rPr>
                <w:b/>
                <w:color w:val="FFFFFF"/>
                <w:spacing w:val="-5"/>
                <w:sz w:val="17"/>
              </w:rPr>
              <w:t>(€)</w:t>
            </w:r>
          </w:p>
        </w:tc>
        <w:tc>
          <w:tcPr>
            <w:tcW w:w="478" w:type="dxa"/>
            <w:shd w:val="clear" w:color="auto" w:fill="002D5D"/>
          </w:tcPr>
          <w:p>
            <w:pPr>
              <w:pStyle w:val="TableParagraph"/>
              <w:rPr>
                <w:rFonts w:ascii="Times New Roman"/>
                <w:sz w:val="8"/>
              </w:rPr>
            </w:pPr>
          </w:p>
        </w:tc>
        <w:tc>
          <w:tcPr>
            <w:tcW w:w="419" w:type="dxa"/>
            <w:shd w:val="clear" w:color="auto" w:fill="002D5D"/>
          </w:tcPr>
          <w:p>
            <w:pPr>
              <w:pStyle w:val="TableParagraph"/>
              <w:rPr>
                <w:rFonts w:ascii="Times New Roman"/>
                <w:sz w:val="8"/>
              </w:rPr>
            </w:pPr>
          </w:p>
        </w:tc>
        <w:tc>
          <w:tcPr>
            <w:tcW w:w="424" w:type="dxa"/>
            <w:shd w:val="clear" w:color="auto" w:fill="002D5D"/>
          </w:tcPr>
          <w:p>
            <w:pPr>
              <w:pStyle w:val="TableParagraph"/>
              <w:rPr>
                <w:rFonts w:ascii="Times New Roman"/>
                <w:sz w:val="8"/>
              </w:rPr>
            </w:pPr>
          </w:p>
        </w:tc>
        <w:tc>
          <w:tcPr>
            <w:tcW w:w="414" w:type="dxa"/>
            <w:shd w:val="clear" w:color="auto" w:fill="002D5D"/>
          </w:tcPr>
          <w:p>
            <w:pPr>
              <w:pStyle w:val="TableParagraph"/>
              <w:rPr>
                <w:rFonts w:ascii="Times New Roman"/>
                <w:sz w:val="8"/>
              </w:rPr>
            </w:pPr>
          </w:p>
        </w:tc>
        <w:tc>
          <w:tcPr>
            <w:tcW w:w="999" w:type="dxa"/>
            <w:vMerge/>
            <w:tcBorders>
              <w:top w:val="nil"/>
            </w:tcBorders>
            <w:shd w:val="clear" w:color="auto" w:fill="002D5D"/>
          </w:tcPr>
          <w:p>
            <w:pPr>
              <w:rPr>
                <w:sz w:val="2"/>
                <w:szCs w:val="2"/>
              </w:rPr>
            </w:pPr>
          </w:p>
        </w:tc>
      </w:tr>
      <w:tr>
        <w:trPr>
          <w:trHeight w:val="365" w:hRule="atLeast"/>
        </w:trPr>
        <w:tc>
          <w:tcPr>
            <w:tcW w:w="1125" w:type="dxa"/>
            <w:shd w:val="clear" w:color="auto" w:fill="002D5D"/>
          </w:tcPr>
          <w:p>
            <w:pPr>
              <w:pStyle w:val="TableParagraph"/>
              <w:rPr>
                <w:rFonts w:ascii="Times New Roman"/>
                <w:sz w:val="18"/>
              </w:rPr>
            </w:pPr>
          </w:p>
        </w:tc>
        <w:tc>
          <w:tcPr>
            <w:tcW w:w="2138" w:type="dxa"/>
            <w:vMerge/>
            <w:tcBorders>
              <w:top w:val="nil"/>
            </w:tcBorders>
            <w:shd w:val="clear" w:color="auto" w:fill="002D5D"/>
          </w:tcPr>
          <w:p>
            <w:pPr>
              <w:rPr>
                <w:sz w:val="2"/>
                <w:szCs w:val="2"/>
              </w:rPr>
            </w:pPr>
          </w:p>
        </w:tc>
        <w:tc>
          <w:tcPr>
            <w:tcW w:w="1155" w:type="dxa"/>
            <w:vMerge/>
            <w:tcBorders>
              <w:top w:val="nil"/>
            </w:tcBorders>
            <w:shd w:val="clear" w:color="auto" w:fill="002D5D"/>
          </w:tcPr>
          <w:p>
            <w:pPr>
              <w:rPr>
                <w:sz w:val="2"/>
                <w:szCs w:val="2"/>
              </w:rPr>
            </w:pPr>
          </w:p>
        </w:tc>
        <w:tc>
          <w:tcPr>
            <w:tcW w:w="1126" w:type="dxa"/>
            <w:shd w:val="clear" w:color="auto" w:fill="002D5D"/>
          </w:tcPr>
          <w:p>
            <w:pPr>
              <w:pStyle w:val="TableParagraph"/>
              <w:rPr>
                <w:rFonts w:ascii="Times New Roman"/>
                <w:sz w:val="18"/>
              </w:rPr>
            </w:pPr>
          </w:p>
        </w:tc>
        <w:tc>
          <w:tcPr>
            <w:tcW w:w="1147" w:type="dxa"/>
            <w:vMerge/>
            <w:tcBorders>
              <w:top w:val="nil"/>
            </w:tcBorders>
            <w:shd w:val="clear" w:color="auto" w:fill="002D5D"/>
          </w:tcPr>
          <w:p>
            <w:pPr>
              <w:rPr>
                <w:sz w:val="2"/>
                <w:szCs w:val="2"/>
              </w:rPr>
            </w:pPr>
          </w:p>
        </w:tc>
        <w:tc>
          <w:tcPr>
            <w:tcW w:w="1201" w:type="dxa"/>
            <w:vMerge/>
            <w:tcBorders>
              <w:top w:val="nil"/>
            </w:tcBorders>
            <w:shd w:val="clear" w:color="auto" w:fill="002D5D"/>
          </w:tcPr>
          <w:p>
            <w:pPr>
              <w:rPr>
                <w:sz w:val="2"/>
                <w:szCs w:val="2"/>
              </w:rPr>
            </w:pPr>
          </w:p>
        </w:tc>
        <w:tc>
          <w:tcPr>
            <w:tcW w:w="478" w:type="dxa"/>
            <w:shd w:val="clear" w:color="auto" w:fill="002D5D"/>
          </w:tcPr>
          <w:p>
            <w:pPr>
              <w:pStyle w:val="TableParagraph"/>
              <w:spacing w:before="5"/>
              <w:ind w:left="69" w:right="1"/>
              <w:jc w:val="center"/>
              <w:rPr>
                <w:b/>
                <w:sz w:val="17"/>
              </w:rPr>
            </w:pPr>
            <w:r>
              <w:rPr>
                <w:b/>
                <w:color w:val="FFFFFF"/>
                <w:spacing w:val="-10"/>
                <w:sz w:val="17"/>
              </w:rPr>
              <w:t>P</w:t>
            </w:r>
          </w:p>
        </w:tc>
        <w:tc>
          <w:tcPr>
            <w:tcW w:w="419" w:type="dxa"/>
            <w:shd w:val="clear" w:color="auto" w:fill="002D5D"/>
          </w:tcPr>
          <w:p>
            <w:pPr>
              <w:pStyle w:val="TableParagraph"/>
              <w:spacing w:before="5"/>
              <w:ind w:left="9" w:right="8"/>
              <w:jc w:val="center"/>
              <w:rPr>
                <w:b/>
                <w:sz w:val="17"/>
              </w:rPr>
            </w:pPr>
            <w:r>
              <w:rPr>
                <w:b/>
                <w:color w:val="FFFFFF"/>
                <w:spacing w:val="-10"/>
                <w:sz w:val="17"/>
              </w:rPr>
              <w:t>M</w:t>
            </w:r>
          </w:p>
        </w:tc>
        <w:tc>
          <w:tcPr>
            <w:tcW w:w="424" w:type="dxa"/>
            <w:shd w:val="clear" w:color="auto" w:fill="002D5D"/>
          </w:tcPr>
          <w:p>
            <w:pPr>
              <w:pStyle w:val="TableParagraph"/>
              <w:spacing w:before="5"/>
              <w:ind w:left="9" w:right="1"/>
              <w:jc w:val="center"/>
              <w:rPr>
                <w:b/>
                <w:sz w:val="17"/>
              </w:rPr>
            </w:pPr>
            <w:r>
              <w:rPr>
                <w:b/>
                <w:color w:val="FFFFFF"/>
                <w:spacing w:val="-10"/>
                <w:sz w:val="17"/>
              </w:rPr>
              <w:t>S</w:t>
            </w:r>
          </w:p>
        </w:tc>
        <w:tc>
          <w:tcPr>
            <w:tcW w:w="414" w:type="dxa"/>
            <w:shd w:val="clear" w:color="auto" w:fill="002D5D"/>
          </w:tcPr>
          <w:p>
            <w:pPr>
              <w:pStyle w:val="TableParagraph"/>
              <w:spacing w:before="5"/>
              <w:ind w:left="22" w:right="3"/>
              <w:jc w:val="center"/>
              <w:rPr>
                <w:b/>
                <w:sz w:val="17"/>
              </w:rPr>
            </w:pPr>
            <w:r>
              <w:rPr>
                <w:b/>
                <w:color w:val="FFFFFF"/>
                <w:spacing w:val="-10"/>
                <w:sz w:val="17"/>
              </w:rPr>
              <w:t>R</w:t>
            </w:r>
          </w:p>
        </w:tc>
        <w:tc>
          <w:tcPr>
            <w:tcW w:w="999" w:type="dxa"/>
            <w:vMerge/>
            <w:tcBorders>
              <w:top w:val="nil"/>
            </w:tcBorders>
            <w:shd w:val="clear" w:color="auto" w:fill="002D5D"/>
          </w:tcPr>
          <w:p>
            <w:pPr>
              <w:rPr>
                <w:sz w:val="2"/>
                <w:szCs w:val="2"/>
              </w:rPr>
            </w:pPr>
          </w:p>
        </w:tc>
      </w:tr>
      <w:tr>
        <w:trPr>
          <w:trHeight w:val="389" w:hRule="atLeast"/>
        </w:trPr>
        <w:tc>
          <w:tcPr>
            <w:tcW w:w="1125" w:type="dxa"/>
            <w:tcBorders>
              <w:bottom w:val="single" w:sz="8" w:space="0" w:color="001F5F"/>
            </w:tcBorders>
          </w:tcPr>
          <w:p>
            <w:pPr>
              <w:pStyle w:val="TableParagraph"/>
              <w:spacing w:before="95"/>
              <w:ind w:left="71"/>
              <w:rPr>
                <w:b/>
                <w:sz w:val="17"/>
              </w:rPr>
            </w:pPr>
            <w:r>
              <w:rPr>
                <w:b/>
                <w:spacing w:val="-2"/>
                <w:sz w:val="17"/>
              </w:rPr>
              <w:t>ALICANTE</w:t>
            </w:r>
          </w:p>
        </w:tc>
        <w:tc>
          <w:tcPr>
            <w:tcW w:w="2138" w:type="dxa"/>
            <w:tcBorders>
              <w:bottom w:val="single" w:sz="8" w:space="0" w:color="001F5F"/>
            </w:tcBorders>
          </w:tcPr>
          <w:p>
            <w:pPr>
              <w:pStyle w:val="TableParagraph"/>
              <w:spacing w:line="194" w:lineRule="exact"/>
              <w:ind w:left="145" w:right="572"/>
              <w:rPr>
                <w:sz w:val="17"/>
              </w:rPr>
            </w:pPr>
            <w:r>
              <w:rPr>
                <w:sz w:val="17"/>
              </w:rPr>
              <w:t>Infraestructura</w:t>
            </w:r>
            <w:r>
              <w:rPr>
                <w:spacing w:val="-10"/>
                <w:sz w:val="17"/>
              </w:rPr>
              <w:t> </w:t>
            </w:r>
            <w:r>
              <w:rPr>
                <w:sz w:val="17"/>
              </w:rPr>
              <w:t>recarga</w:t>
            </w:r>
            <w:r>
              <w:rPr>
                <w:spacing w:val="40"/>
                <w:sz w:val="17"/>
              </w:rPr>
              <w:t> </w:t>
            </w:r>
            <w:r>
              <w:rPr>
                <w:sz w:val="17"/>
              </w:rPr>
              <w:t>autobuses eléctricos</w:t>
            </w:r>
          </w:p>
        </w:tc>
        <w:tc>
          <w:tcPr>
            <w:tcW w:w="1155" w:type="dxa"/>
            <w:tcBorders>
              <w:bottom w:val="single" w:sz="8" w:space="0" w:color="001F5F"/>
            </w:tcBorders>
          </w:tcPr>
          <w:p>
            <w:pPr>
              <w:pStyle w:val="TableParagraph"/>
              <w:spacing w:before="95"/>
              <w:ind w:left="5" w:right="25"/>
              <w:jc w:val="center"/>
              <w:rPr>
                <w:sz w:val="17"/>
              </w:rPr>
            </w:pPr>
            <w:r>
              <w:rPr>
                <w:spacing w:val="-10"/>
                <w:sz w:val="17"/>
              </w:rPr>
              <w:t>1</w:t>
            </w:r>
          </w:p>
        </w:tc>
        <w:tc>
          <w:tcPr>
            <w:tcW w:w="1126" w:type="dxa"/>
            <w:tcBorders>
              <w:bottom w:val="single" w:sz="8" w:space="0" w:color="001F5F"/>
            </w:tcBorders>
          </w:tcPr>
          <w:p>
            <w:pPr>
              <w:pStyle w:val="TableParagraph"/>
              <w:spacing w:before="95"/>
              <w:ind w:left="144"/>
              <w:jc w:val="center"/>
              <w:rPr>
                <w:sz w:val="17"/>
              </w:rPr>
            </w:pPr>
            <w:r>
              <w:rPr>
                <w:spacing w:val="-2"/>
                <w:sz w:val="17"/>
              </w:rPr>
              <w:t>4.220.176,98</w:t>
            </w:r>
          </w:p>
        </w:tc>
        <w:tc>
          <w:tcPr>
            <w:tcW w:w="1147" w:type="dxa"/>
            <w:tcBorders>
              <w:bottom w:val="single" w:sz="8" w:space="0" w:color="001F5F"/>
            </w:tcBorders>
          </w:tcPr>
          <w:p>
            <w:pPr>
              <w:pStyle w:val="TableParagraph"/>
              <w:spacing w:before="95"/>
              <w:ind w:right="96"/>
              <w:jc w:val="right"/>
              <w:rPr>
                <w:sz w:val="17"/>
              </w:rPr>
            </w:pPr>
            <w:r>
              <w:rPr>
                <w:spacing w:val="-2"/>
                <w:sz w:val="17"/>
              </w:rPr>
              <w:t>2.659.798,98</w:t>
            </w:r>
          </w:p>
        </w:tc>
        <w:tc>
          <w:tcPr>
            <w:tcW w:w="1201" w:type="dxa"/>
            <w:tcBorders>
              <w:bottom w:val="single" w:sz="8" w:space="0" w:color="001F5F"/>
            </w:tcBorders>
          </w:tcPr>
          <w:p>
            <w:pPr>
              <w:pStyle w:val="TableParagraph"/>
              <w:spacing w:before="95"/>
              <w:ind w:right="162"/>
              <w:jc w:val="right"/>
              <w:rPr>
                <w:sz w:val="17"/>
              </w:rPr>
            </w:pPr>
            <w:r>
              <w:rPr>
                <w:spacing w:val="-2"/>
                <w:sz w:val="17"/>
              </w:rPr>
              <w:t>1.560.378,00</w:t>
            </w:r>
          </w:p>
        </w:tc>
        <w:tc>
          <w:tcPr>
            <w:tcW w:w="478" w:type="dxa"/>
            <w:tcBorders>
              <w:bottom w:val="single" w:sz="8" w:space="0" w:color="001F5F"/>
            </w:tcBorders>
          </w:tcPr>
          <w:p>
            <w:pPr>
              <w:pStyle w:val="TableParagraph"/>
              <w:spacing w:before="95"/>
              <w:ind w:left="69"/>
              <w:jc w:val="center"/>
              <w:rPr>
                <w:sz w:val="17"/>
              </w:rPr>
            </w:pPr>
            <w:r>
              <w:rPr>
                <w:color w:val="5E89B4"/>
                <w:spacing w:val="-5"/>
                <w:sz w:val="17"/>
              </w:rPr>
              <w:t>NO</w:t>
            </w:r>
          </w:p>
        </w:tc>
        <w:tc>
          <w:tcPr>
            <w:tcW w:w="419" w:type="dxa"/>
            <w:tcBorders>
              <w:bottom w:val="single" w:sz="8" w:space="0" w:color="001F5F"/>
            </w:tcBorders>
          </w:tcPr>
          <w:p>
            <w:pPr>
              <w:pStyle w:val="TableParagraph"/>
              <w:spacing w:before="95"/>
              <w:ind w:left="9" w:right="6"/>
              <w:jc w:val="center"/>
              <w:rPr>
                <w:sz w:val="17"/>
              </w:rPr>
            </w:pPr>
            <w:r>
              <w:rPr>
                <w:color w:val="5E89B4"/>
                <w:spacing w:val="-5"/>
                <w:sz w:val="17"/>
              </w:rPr>
              <w:t>NO</w:t>
            </w:r>
          </w:p>
        </w:tc>
        <w:tc>
          <w:tcPr>
            <w:tcW w:w="424" w:type="dxa"/>
            <w:tcBorders>
              <w:bottom w:val="single" w:sz="8" w:space="0" w:color="001F5F"/>
            </w:tcBorders>
          </w:tcPr>
          <w:p>
            <w:pPr>
              <w:pStyle w:val="TableParagraph"/>
              <w:spacing w:before="95"/>
              <w:ind w:left="9"/>
              <w:jc w:val="center"/>
              <w:rPr>
                <w:sz w:val="17"/>
              </w:rPr>
            </w:pPr>
            <w:r>
              <w:rPr>
                <w:color w:val="5E89B4"/>
                <w:spacing w:val="-5"/>
                <w:sz w:val="17"/>
              </w:rPr>
              <w:t>NO</w:t>
            </w:r>
          </w:p>
        </w:tc>
        <w:tc>
          <w:tcPr>
            <w:tcW w:w="414" w:type="dxa"/>
            <w:tcBorders>
              <w:bottom w:val="single" w:sz="8" w:space="0" w:color="001F5F"/>
            </w:tcBorders>
          </w:tcPr>
          <w:p>
            <w:pPr>
              <w:pStyle w:val="TableParagraph"/>
              <w:spacing w:before="95"/>
              <w:ind w:left="22"/>
              <w:jc w:val="center"/>
              <w:rPr>
                <w:sz w:val="17"/>
              </w:rPr>
            </w:pPr>
            <w:r>
              <w:rPr>
                <w:color w:val="5E89B4"/>
                <w:spacing w:val="-5"/>
                <w:sz w:val="17"/>
              </w:rPr>
              <w:t>NO</w:t>
            </w:r>
          </w:p>
        </w:tc>
        <w:tc>
          <w:tcPr>
            <w:tcW w:w="999" w:type="dxa"/>
            <w:tcBorders>
              <w:bottom w:val="single" w:sz="8" w:space="0" w:color="001F5F"/>
            </w:tcBorders>
          </w:tcPr>
          <w:p>
            <w:pPr>
              <w:pStyle w:val="TableParagraph"/>
              <w:spacing w:before="95"/>
              <w:ind w:left="23"/>
              <w:jc w:val="center"/>
              <w:rPr>
                <w:sz w:val="17"/>
              </w:rPr>
            </w:pPr>
            <w:r>
              <w:rPr>
                <w:spacing w:val="-2"/>
                <w:sz w:val="17"/>
              </w:rPr>
              <w:t>Finalizada</w:t>
            </w:r>
          </w:p>
        </w:tc>
      </w:tr>
      <w:tr>
        <w:trPr>
          <w:trHeight w:val="390" w:hRule="atLeast"/>
        </w:trPr>
        <w:tc>
          <w:tcPr>
            <w:tcW w:w="1125" w:type="dxa"/>
            <w:tcBorders>
              <w:top w:val="single" w:sz="8" w:space="0" w:color="001F5F"/>
              <w:bottom w:val="single" w:sz="8" w:space="0" w:color="001F5F"/>
            </w:tcBorders>
          </w:tcPr>
          <w:p>
            <w:pPr>
              <w:pStyle w:val="TableParagraph"/>
              <w:spacing w:before="97"/>
              <w:ind w:left="71"/>
              <w:rPr>
                <w:b/>
                <w:sz w:val="17"/>
              </w:rPr>
            </w:pPr>
            <w:r>
              <w:rPr>
                <w:b/>
                <w:spacing w:val="-2"/>
                <w:sz w:val="17"/>
              </w:rPr>
              <w:t>BILBAO</w:t>
            </w:r>
          </w:p>
        </w:tc>
        <w:tc>
          <w:tcPr>
            <w:tcW w:w="2138" w:type="dxa"/>
            <w:tcBorders>
              <w:top w:val="single" w:sz="8" w:space="0" w:color="001F5F"/>
              <w:bottom w:val="single" w:sz="8" w:space="0" w:color="001F5F"/>
            </w:tcBorders>
          </w:tcPr>
          <w:p>
            <w:pPr>
              <w:pStyle w:val="TableParagraph"/>
              <w:spacing w:line="194" w:lineRule="exact"/>
              <w:ind w:left="145" w:right="52"/>
              <w:rPr>
                <w:sz w:val="17"/>
              </w:rPr>
            </w:pPr>
            <w:r>
              <w:rPr>
                <w:sz w:val="17"/>
              </w:rPr>
              <w:t>Instalación</w:t>
            </w:r>
            <w:r>
              <w:rPr>
                <w:spacing w:val="-10"/>
                <w:sz w:val="17"/>
              </w:rPr>
              <w:t> </w:t>
            </w:r>
            <w:r>
              <w:rPr>
                <w:sz w:val="17"/>
              </w:rPr>
              <w:t>electrolineras</w:t>
            </w:r>
            <w:r>
              <w:rPr>
                <w:spacing w:val="-10"/>
                <w:sz w:val="17"/>
              </w:rPr>
              <w:t> </w:t>
            </w:r>
            <w:r>
              <w:rPr>
                <w:sz w:val="17"/>
              </w:rPr>
              <w:t>para</w:t>
            </w:r>
            <w:r>
              <w:rPr>
                <w:spacing w:val="40"/>
                <w:sz w:val="17"/>
              </w:rPr>
              <w:t> </w:t>
            </w:r>
            <w:r>
              <w:rPr>
                <w:sz w:val="17"/>
              </w:rPr>
              <w:t>carga</w:t>
            </w:r>
            <w:r>
              <w:rPr>
                <w:spacing w:val="-4"/>
                <w:sz w:val="17"/>
              </w:rPr>
              <w:t> </w:t>
            </w:r>
            <w:r>
              <w:rPr>
                <w:sz w:val="17"/>
              </w:rPr>
              <w:t>de</w:t>
            </w:r>
            <w:r>
              <w:rPr>
                <w:spacing w:val="-4"/>
                <w:sz w:val="17"/>
              </w:rPr>
              <w:t> </w:t>
            </w:r>
            <w:r>
              <w:rPr>
                <w:sz w:val="17"/>
              </w:rPr>
              <w:t>autobuses</w:t>
            </w:r>
            <w:r>
              <w:rPr>
                <w:spacing w:val="-2"/>
                <w:sz w:val="17"/>
              </w:rPr>
              <w:t> eléctricos</w:t>
            </w:r>
          </w:p>
        </w:tc>
        <w:tc>
          <w:tcPr>
            <w:tcW w:w="1155" w:type="dxa"/>
            <w:tcBorders>
              <w:top w:val="single" w:sz="8" w:space="0" w:color="001F5F"/>
              <w:bottom w:val="single" w:sz="8" w:space="0" w:color="001F5F"/>
            </w:tcBorders>
          </w:tcPr>
          <w:p>
            <w:pPr>
              <w:pStyle w:val="TableParagraph"/>
              <w:spacing w:before="97"/>
              <w:ind w:left="5" w:right="25"/>
              <w:jc w:val="center"/>
              <w:rPr>
                <w:sz w:val="17"/>
              </w:rPr>
            </w:pPr>
            <w:r>
              <w:rPr>
                <w:spacing w:val="-10"/>
                <w:sz w:val="17"/>
              </w:rPr>
              <w:t>1</w:t>
            </w:r>
          </w:p>
        </w:tc>
        <w:tc>
          <w:tcPr>
            <w:tcW w:w="1126" w:type="dxa"/>
            <w:tcBorders>
              <w:top w:val="single" w:sz="8" w:space="0" w:color="001F5F"/>
              <w:bottom w:val="single" w:sz="8" w:space="0" w:color="001F5F"/>
            </w:tcBorders>
          </w:tcPr>
          <w:p>
            <w:pPr>
              <w:pStyle w:val="TableParagraph"/>
              <w:spacing w:before="97"/>
              <w:ind w:left="259"/>
              <w:jc w:val="center"/>
              <w:rPr>
                <w:sz w:val="17"/>
              </w:rPr>
            </w:pPr>
            <w:r>
              <w:rPr>
                <w:spacing w:val="-2"/>
                <w:sz w:val="17"/>
              </w:rPr>
              <w:t>387.000,00</w:t>
            </w:r>
          </w:p>
        </w:tc>
        <w:tc>
          <w:tcPr>
            <w:tcW w:w="1147" w:type="dxa"/>
            <w:tcBorders>
              <w:top w:val="single" w:sz="8" w:space="0" w:color="001F5F"/>
              <w:bottom w:val="single" w:sz="8" w:space="0" w:color="001F5F"/>
            </w:tcBorders>
          </w:tcPr>
          <w:p>
            <w:pPr>
              <w:pStyle w:val="TableParagraph"/>
              <w:spacing w:before="97"/>
              <w:ind w:right="96"/>
              <w:jc w:val="right"/>
              <w:rPr>
                <w:sz w:val="17"/>
              </w:rPr>
            </w:pPr>
            <w:r>
              <w:rPr>
                <w:spacing w:val="-4"/>
                <w:sz w:val="17"/>
              </w:rPr>
              <w:t>0,00</w:t>
            </w:r>
          </w:p>
        </w:tc>
        <w:tc>
          <w:tcPr>
            <w:tcW w:w="1201" w:type="dxa"/>
            <w:tcBorders>
              <w:top w:val="single" w:sz="8" w:space="0" w:color="001F5F"/>
              <w:bottom w:val="single" w:sz="8" w:space="0" w:color="001F5F"/>
            </w:tcBorders>
          </w:tcPr>
          <w:p>
            <w:pPr>
              <w:pStyle w:val="TableParagraph"/>
              <w:spacing w:before="97"/>
              <w:ind w:right="162"/>
              <w:jc w:val="right"/>
              <w:rPr>
                <w:sz w:val="17"/>
              </w:rPr>
            </w:pPr>
            <w:r>
              <w:rPr>
                <w:spacing w:val="-2"/>
                <w:sz w:val="17"/>
              </w:rPr>
              <w:t>387.000,00</w:t>
            </w:r>
          </w:p>
        </w:tc>
        <w:tc>
          <w:tcPr>
            <w:tcW w:w="478" w:type="dxa"/>
            <w:tcBorders>
              <w:top w:val="single" w:sz="8" w:space="0" w:color="001F5F"/>
              <w:bottom w:val="single" w:sz="8" w:space="0" w:color="001F5F"/>
            </w:tcBorders>
          </w:tcPr>
          <w:p>
            <w:pPr>
              <w:pStyle w:val="TableParagraph"/>
              <w:spacing w:before="97"/>
              <w:ind w:left="69"/>
              <w:jc w:val="center"/>
              <w:rPr>
                <w:sz w:val="17"/>
              </w:rPr>
            </w:pPr>
            <w:r>
              <w:rPr>
                <w:color w:val="5E89B4"/>
                <w:spacing w:val="-5"/>
                <w:sz w:val="17"/>
              </w:rPr>
              <w:t>NO</w:t>
            </w:r>
          </w:p>
        </w:tc>
        <w:tc>
          <w:tcPr>
            <w:tcW w:w="419" w:type="dxa"/>
            <w:tcBorders>
              <w:top w:val="single" w:sz="8" w:space="0" w:color="001F5F"/>
              <w:bottom w:val="single" w:sz="8" w:space="0" w:color="001F5F"/>
            </w:tcBorders>
          </w:tcPr>
          <w:p>
            <w:pPr>
              <w:pStyle w:val="TableParagraph"/>
              <w:spacing w:before="97"/>
              <w:ind w:left="9" w:right="6"/>
              <w:jc w:val="center"/>
              <w:rPr>
                <w:sz w:val="17"/>
              </w:rPr>
            </w:pPr>
            <w:r>
              <w:rPr>
                <w:color w:val="5E89B4"/>
                <w:spacing w:val="-5"/>
                <w:sz w:val="17"/>
              </w:rPr>
              <w:t>NO</w:t>
            </w:r>
          </w:p>
        </w:tc>
        <w:tc>
          <w:tcPr>
            <w:tcW w:w="424" w:type="dxa"/>
            <w:tcBorders>
              <w:top w:val="single" w:sz="8" w:space="0" w:color="001F5F"/>
              <w:bottom w:val="single" w:sz="8" w:space="0" w:color="001F5F"/>
            </w:tcBorders>
          </w:tcPr>
          <w:p>
            <w:pPr>
              <w:pStyle w:val="TableParagraph"/>
              <w:spacing w:before="97"/>
              <w:ind w:left="9"/>
              <w:jc w:val="center"/>
              <w:rPr>
                <w:sz w:val="17"/>
              </w:rPr>
            </w:pPr>
            <w:r>
              <w:rPr>
                <w:color w:val="5E89B4"/>
                <w:spacing w:val="-5"/>
                <w:sz w:val="17"/>
              </w:rPr>
              <w:t>NO</w:t>
            </w:r>
          </w:p>
        </w:tc>
        <w:tc>
          <w:tcPr>
            <w:tcW w:w="414" w:type="dxa"/>
            <w:tcBorders>
              <w:top w:val="single" w:sz="8" w:space="0" w:color="001F5F"/>
              <w:bottom w:val="single" w:sz="8" w:space="0" w:color="001F5F"/>
            </w:tcBorders>
          </w:tcPr>
          <w:p>
            <w:pPr>
              <w:pStyle w:val="TableParagraph"/>
              <w:spacing w:before="97"/>
              <w:ind w:left="22"/>
              <w:jc w:val="center"/>
              <w:rPr>
                <w:sz w:val="17"/>
              </w:rPr>
            </w:pPr>
            <w:r>
              <w:rPr>
                <w:color w:val="5E89B4"/>
                <w:spacing w:val="-5"/>
                <w:sz w:val="17"/>
              </w:rPr>
              <w:t>NO</w:t>
            </w:r>
          </w:p>
        </w:tc>
        <w:tc>
          <w:tcPr>
            <w:tcW w:w="999" w:type="dxa"/>
            <w:tcBorders>
              <w:top w:val="single" w:sz="8" w:space="0" w:color="001F5F"/>
              <w:bottom w:val="single" w:sz="8" w:space="0" w:color="001F5F"/>
            </w:tcBorders>
          </w:tcPr>
          <w:p>
            <w:pPr>
              <w:pStyle w:val="TableParagraph"/>
              <w:spacing w:before="97"/>
              <w:ind w:left="23"/>
              <w:jc w:val="center"/>
              <w:rPr>
                <w:sz w:val="17"/>
              </w:rPr>
            </w:pPr>
            <w:r>
              <w:rPr>
                <w:spacing w:val="-2"/>
                <w:sz w:val="17"/>
              </w:rPr>
              <w:t>Finalizada</w:t>
            </w:r>
          </w:p>
        </w:tc>
      </w:tr>
      <w:tr>
        <w:trPr>
          <w:trHeight w:val="1170" w:hRule="atLeast"/>
        </w:trPr>
        <w:tc>
          <w:tcPr>
            <w:tcW w:w="1125" w:type="dxa"/>
            <w:tcBorders>
              <w:top w:val="single" w:sz="8" w:space="0" w:color="001F5F"/>
              <w:bottom w:val="single" w:sz="8" w:space="0" w:color="001F5F"/>
            </w:tcBorders>
          </w:tcPr>
          <w:p>
            <w:pPr>
              <w:pStyle w:val="TableParagraph"/>
              <w:spacing w:before="96"/>
              <w:rPr>
                <w:rFonts w:ascii="Arial"/>
                <w:b/>
                <w:sz w:val="17"/>
              </w:rPr>
            </w:pPr>
          </w:p>
          <w:p>
            <w:pPr>
              <w:pStyle w:val="TableParagraph"/>
              <w:ind w:left="71" w:right="138"/>
              <w:rPr>
                <w:b/>
                <w:sz w:val="17"/>
              </w:rPr>
            </w:pPr>
            <w:r>
              <w:rPr>
                <w:b/>
                <w:sz w:val="17"/>
              </w:rPr>
              <w:t>LAS</w:t>
            </w:r>
            <w:r>
              <w:rPr>
                <w:b/>
                <w:spacing w:val="-10"/>
                <w:sz w:val="17"/>
              </w:rPr>
              <w:t> </w:t>
            </w:r>
            <w:r>
              <w:rPr>
                <w:b/>
                <w:sz w:val="17"/>
              </w:rPr>
              <w:t>PALMAS</w:t>
            </w:r>
            <w:r>
              <w:rPr>
                <w:b/>
                <w:spacing w:val="40"/>
                <w:sz w:val="17"/>
              </w:rPr>
              <w:t> </w:t>
            </w:r>
            <w:r>
              <w:rPr>
                <w:b/>
                <w:sz w:val="17"/>
              </w:rPr>
              <w:t>DE</w:t>
            </w:r>
            <w:r>
              <w:rPr>
                <w:b/>
                <w:spacing w:val="-2"/>
                <w:sz w:val="17"/>
              </w:rPr>
              <w:t> </w:t>
            </w:r>
            <w:r>
              <w:rPr>
                <w:b/>
                <w:sz w:val="17"/>
              </w:rPr>
              <w:t>GRAN</w:t>
            </w:r>
            <w:r>
              <w:rPr>
                <w:b/>
                <w:spacing w:val="40"/>
                <w:sz w:val="17"/>
              </w:rPr>
              <w:t> </w:t>
            </w:r>
            <w:r>
              <w:rPr>
                <w:b/>
                <w:spacing w:val="-2"/>
                <w:sz w:val="17"/>
              </w:rPr>
              <w:t>CANARIA</w:t>
            </w:r>
          </w:p>
        </w:tc>
        <w:tc>
          <w:tcPr>
            <w:tcW w:w="2138" w:type="dxa"/>
            <w:tcBorders>
              <w:top w:val="single" w:sz="8" w:space="0" w:color="001F5F"/>
              <w:bottom w:val="single" w:sz="8" w:space="0" w:color="002D5D"/>
            </w:tcBorders>
          </w:tcPr>
          <w:p>
            <w:pPr>
              <w:pStyle w:val="TableParagraph"/>
              <w:ind w:left="145" w:right="52"/>
              <w:rPr>
                <w:sz w:val="17"/>
              </w:rPr>
            </w:pPr>
            <w:r>
              <w:rPr>
                <w:sz w:val="17"/>
              </w:rPr>
              <w:t>Obra,</w:t>
            </w:r>
            <w:r>
              <w:rPr>
                <w:spacing w:val="-10"/>
                <w:sz w:val="17"/>
              </w:rPr>
              <w:t> </w:t>
            </w:r>
            <w:r>
              <w:rPr>
                <w:sz w:val="17"/>
              </w:rPr>
              <w:t>suministro,</w:t>
            </w:r>
            <w:r>
              <w:rPr>
                <w:spacing w:val="-10"/>
                <w:sz w:val="17"/>
              </w:rPr>
              <w:t> </w:t>
            </w:r>
            <w:r>
              <w:rPr>
                <w:sz w:val="17"/>
              </w:rPr>
              <w:t>instalación,</w:t>
            </w:r>
            <w:r>
              <w:rPr>
                <w:spacing w:val="40"/>
                <w:sz w:val="17"/>
              </w:rPr>
              <w:t> </w:t>
            </w:r>
            <w:r>
              <w:rPr>
                <w:sz w:val="17"/>
              </w:rPr>
              <w:t>puesta en servicio y</w:t>
            </w:r>
            <w:r>
              <w:rPr>
                <w:spacing w:val="40"/>
                <w:sz w:val="17"/>
              </w:rPr>
              <w:t> </w:t>
            </w:r>
            <w:r>
              <w:rPr>
                <w:sz w:val="17"/>
              </w:rPr>
              <w:t>legalización de la</w:t>
            </w:r>
            <w:r>
              <w:rPr>
                <w:spacing w:val="40"/>
                <w:sz w:val="17"/>
              </w:rPr>
              <w:t> </w:t>
            </w:r>
            <w:r>
              <w:rPr>
                <w:sz w:val="17"/>
              </w:rPr>
              <w:t>infraestructura</w:t>
            </w:r>
            <w:r>
              <w:rPr>
                <w:spacing w:val="-2"/>
                <w:sz w:val="17"/>
              </w:rPr>
              <w:t> </w:t>
            </w:r>
            <w:r>
              <w:rPr>
                <w:sz w:val="17"/>
              </w:rPr>
              <w:t>eléctrica</w:t>
            </w:r>
          </w:p>
          <w:p>
            <w:pPr>
              <w:pStyle w:val="TableParagraph"/>
              <w:spacing w:line="194" w:lineRule="exact"/>
              <w:ind w:left="145" w:right="52"/>
              <w:rPr>
                <w:sz w:val="17"/>
              </w:rPr>
            </w:pPr>
            <w:r>
              <w:rPr>
                <w:sz w:val="17"/>
              </w:rPr>
              <w:t>necesaria</w:t>
            </w:r>
            <w:r>
              <w:rPr>
                <w:spacing w:val="-10"/>
                <w:sz w:val="17"/>
              </w:rPr>
              <w:t> </w:t>
            </w:r>
            <w:r>
              <w:rPr>
                <w:sz w:val="17"/>
              </w:rPr>
              <w:t>para</w:t>
            </w:r>
            <w:r>
              <w:rPr>
                <w:spacing w:val="-10"/>
                <w:sz w:val="17"/>
              </w:rPr>
              <w:t> </w:t>
            </w:r>
            <w:r>
              <w:rPr>
                <w:sz w:val="17"/>
              </w:rPr>
              <w:t>la</w:t>
            </w:r>
            <w:r>
              <w:rPr>
                <w:spacing w:val="-9"/>
                <w:sz w:val="17"/>
              </w:rPr>
              <w:t> </w:t>
            </w:r>
            <w:r>
              <w:rPr>
                <w:sz w:val="17"/>
              </w:rPr>
              <w:t>recarga</w:t>
            </w:r>
            <w:r>
              <w:rPr>
                <w:spacing w:val="-10"/>
                <w:sz w:val="17"/>
              </w:rPr>
              <w:t> </w:t>
            </w:r>
            <w:r>
              <w:rPr>
                <w:sz w:val="17"/>
              </w:rPr>
              <w:t>de</w:t>
            </w:r>
            <w:r>
              <w:rPr>
                <w:spacing w:val="40"/>
                <w:sz w:val="17"/>
              </w:rPr>
              <w:t> </w:t>
            </w:r>
            <w:r>
              <w:rPr>
                <w:sz w:val="17"/>
              </w:rPr>
              <w:t>vehículos eléctricos</w:t>
            </w:r>
          </w:p>
        </w:tc>
        <w:tc>
          <w:tcPr>
            <w:tcW w:w="1155" w:type="dxa"/>
            <w:tcBorders>
              <w:top w:val="single" w:sz="8" w:space="0" w:color="001F5F"/>
              <w:bottom w:val="single" w:sz="8" w:space="0" w:color="001F5F"/>
            </w:tcBorders>
          </w:tcPr>
          <w:p>
            <w:pPr>
              <w:pStyle w:val="TableParagraph"/>
              <w:rPr>
                <w:rFonts w:ascii="Arial"/>
                <w:b/>
                <w:sz w:val="17"/>
              </w:rPr>
            </w:pPr>
          </w:p>
          <w:p>
            <w:pPr>
              <w:pStyle w:val="TableParagraph"/>
              <w:spacing w:before="97"/>
              <w:rPr>
                <w:rFonts w:ascii="Arial"/>
                <w:b/>
                <w:sz w:val="17"/>
              </w:rPr>
            </w:pPr>
          </w:p>
          <w:p>
            <w:pPr>
              <w:pStyle w:val="TableParagraph"/>
              <w:ind w:left="5" w:right="25"/>
              <w:jc w:val="center"/>
              <w:rPr>
                <w:sz w:val="17"/>
              </w:rPr>
            </w:pPr>
            <w:r>
              <w:rPr>
                <w:spacing w:val="-10"/>
                <w:sz w:val="17"/>
              </w:rPr>
              <w:t>1</w:t>
            </w:r>
          </w:p>
        </w:tc>
        <w:tc>
          <w:tcPr>
            <w:tcW w:w="1126" w:type="dxa"/>
            <w:tcBorders>
              <w:top w:val="single" w:sz="8" w:space="0" w:color="001F5F"/>
              <w:bottom w:val="single" w:sz="8" w:space="0" w:color="001F5F"/>
            </w:tcBorders>
          </w:tcPr>
          <w:p>
            <w:pPr>
              <w:pStyle w:val="TableParagraph"/>
              <w:rPr>
                <w:rFonts w:ascii="Arial"/>
                <w:b/>
                <w:sz w:val="17"/>
              </w:rPr>
            </w:pPr>
          </w:p>
          <w:p>
            <w:pPr>
              <w:pStyle w:val="TableParagraph"/>
              <w:spacing w:before="97"/>
              <w:rPr>
                <w:rFonts w:ascii="Arial"/>
                <w:b/>
                <w:sz w:val="17"/>
              </w:rPr>
            </w:pPr>
          </w:p>
          <w:p>
            <w:pPr>
              <w:pStyle w:val="TableParagraph"/>
              <w:ind w:left="144"/>
              <w:jc w:val="center"/>
              <w:rPr>
                <w:sz w:val="17"/>
              </w:rPr>
            </w:pPr>
            <w:r>
              <w:rPr>
                <w:spacing w:val="-2"/>
                <w:sz w:val="17"/>
              </w:rPr>
              <w:t>1.597.888,46</w:t>
            </w:r>
          </w:p>
        </w:tc>
        <w:tc>
          <w:tcPr>
            <w:tcW w:w="1147" w:type="dxa"/>
            <w:tcBorders>
              <w:top w:val="single" w:sz="8" w:space="0" w:color="001F5F"/>
              <w:bottom w:val="single" w:sz="8" w:space="0" w:color="001F5F"/>
            </w:tcBorders>
          </w:tcPr>
          <w:p>
            <w:pPr>
              <w:pStyle w:val="TableParagraph"/>
              <w:rPr>
                <w:rFonts w:ascii="Arial"/>
                <w:b/>
                <w:sz w:val="17"/>
              </w:rPr>
            </w:pPr>
          </w:p>
          <w:p>
            <w:pPr>
              <w:pStyle w:val="TableParagraph"/>
              <w:spacing w:before="97"/>
              <w:rPr>
                <w:rFonts w:ascii="Arial"/>
                <w:b/>
                <w:sz w:val="17"/>
              </w:rPr>
            </w:pPr>
          </w:p>
          <w:p>
            <w:pPr>
              <w:pStyle w:val="TableParagraph"/>
              <w:ind w:right="96"/>
              <w:jc w:val="right"/>
              <w:rPr>
                <w:sz w:val="17"/>
              </w:rPr>
            </w:pPr>
            <w:r>
              <w:rPr>
                <w:spacing w:val="-2"/>
                <w:sz w:val="17"/>
              </w:rPr>
              <w:t>1.597.888,46</w:t>
            </w:r>
          </w:p>
        </w:tc>
        <w:tc>
          <w:tcPr>
            <w:tcW w:w="1201" w:type="dxa"/>
            <w:tcBorders>
              <w:top w:val="single" w:sz="8" w:space="0" w:color="001F5F"/>
              <w:bottom w:val="single" w:sz="8" w:space="0" w:color="001F5F"/>
            </w:tcBorders>
          </w:tcPr>
          <w:p>
            <w:pPr>
              <w:pStyle w:val="TableParagraph"/>
              <w:rPr>
                <w:rFonts w:ascii="Arial"/>
                <w:b/>
                <w:sz w:val="17"/>
              </w:rPr>
            </w:pPr>
          </w:p>
          <w:p>
            <w:pPr>
              <w:pStyle w:val="TableParagraph"/>
              <w:spacing w:before="97"/>
              <w:rPr>
                <w:rFonts w:ascii="Arial"/>
                <w:b/>
                <w:sz w:val="17"/>
              </w:rPr>
            </w:pPr>
          </w:p>
          <w:p>
            <w:pPr>
              <w:pStyle w:val="TableParagraph"/>
              <w:ind w:right="161"/>
              <w:jc w:val="right"/>
              <w:rPr>
                <w:sz w:val="17"/>
              </w:rPr>
            </w:pPr>
            <w:r>
              <w:rPr>
                <w:spacing w:val="-4"/>
                <w:sz w:val="17"/>
              </w:rPr>
              <w:t>0,00</w:t>
            </w:r>
          </w:p>
        </w:tc>
        <w:tc>
          <w:tcPr>
            <w:tcW w:w="478" w:type="dxa"/>
            <w:tcBorders>
              <w:top w:val="single" w:sz="8" w:space="0" w:color="001F5F"/>
              <w:bottom w:val="single" w:sz="8" w:space="0" w:color="001F5F"/>
            </w:tcBorders>
          </w:tcPr>
          <w:p>
            <w:pPr>
              <w:pStyle w:val="TableParagraph"/>
              <w:rPr>
                <w:rFonts w:ascii="Arial"/>
                <w:b/>
                <w:sz w:val="17"/>
              </w:rPr>
            </w:pPr>
          </w:p>
          <w:p>
            <w:pPr>
              <w:pStyle w:val="TableParagraph"/>
              <w:spacing w:before="97"/>
              <w:rPr>
                <w:rFonts w:ascii="Arial"/>
                <w:b/>
                <w:sz w:val="17"/>
              </w:rPr>
            </w:pPr>
          </w:p>
          <w:p>
            <w:pPr>
              <w:pStyle w:val="TableParagraph"/>
              <w:ind w:left="69"/>
              <w:jc w:val="center"/>
              <w:rPr>
                <w:sz w:val="17"/>
              </w:rPr>
            </w:pPr>
            <w:r>
              <w:rPr>
                <w:color w:val="5E89B4"/>
                <w:spacing w:val="-5"/>
                <w:sz w:val="17"/>
              </w:rPr>
              <w:t>NO</w:t>
            </w:r>
          </w:p>
        </w:tc>
        <w:tc>
          <w:tcPr>
            <w:tcW w:w="419" w:type="dxa"/>
            <w:tcBorders>
              <w:top w:val="single" w:sz="8" w:space="0" w:color="001F5F"/>
              <w:bottom w:val="single" w:sz="8" w:space="0" w:color="001F5F"/>
            </w:tcBorders>
          </w:tcPr>
          <w:p>
            <w:pPr>
              <w:pStyle w:val="TableParagraph"/>
              <w:rPr>
                <w:rFonts w:ascii="Arial"/>
                <w:b/>
                <w:sz w:val="17"/>
              </w:rPr>
            </w:pPr>
          </w:p>
          <w:p>
            <w:pPr>
              <w:pStyle w:val="TableParagraph"/>
              <w:spacing w:before="97"/>
              <w:rPr>
                <w:rFonts w:ascii="Arial"/>
                <w:b/>
                <w:sz w:val="17"/>
              </w:rPr>
            </w:pPr>
          </w:p>
          <w:p>
            <w:pPr>
              <w:pStyle w:val="TableParagraph"/>
              <w:ind w:left="9" w:right="6"/>
              <w:jc w:val="center"/>
              <w:rPr>
                <w:sz w:val="17"/>
              </w:rPr>
            </w:pPr>
            <w:r>
              <w:rPr>
                <w:color w:val="5E89B4"/>
                <w:spacing w:val="-5"/>
                <w:sz w:val="17"/>
              </w:rPr>
              <w:t>NO</w:t>
            </w:r>
          </w:p>
        </w:tc>
        <w:tc>
          <w:tcPr>
            <w:tcW w:w="424" w:type="dxa"/>
            <w:tcBorders>
              <w:top w:val="single" w:sz="8" w:space="0" w:color="001F5F"/>
              <w:bottom w:val="single" w:sz="8" w:space="0" w:color="001F5F"/>
            </w:tcBorders>
          </w:tcPr>
          <w:p>
            <w:pPr>
              <w:pStyle w:val="TableParagraph"/>
              <w:rPr>
                <w:rFonts w:ascii="Arial"/>
                <w:b/>
                <w:sz w:val="17"/>
              </w:rPr>
            </w:pPr>
          </w:p>
          <w:p>
            <w:pPr>
              <w:pStyle w:val="TableParagraph"/>
              <w:spacing w:before="97"/>
              <w:rPr>
                <w:rFonts w:ascii="Arial"/>
                <w:b/>
                <w:sz w:val="17"/>
              </w:rPr>
            </w:pPr>
          </w:p>
          <w:p>
            <w:pPr>
              <w:pStyle w:val="TableParagraph"/>
              <w:ind w:left="9"/>
              <w:jc w:val="center"/>
              <w:rPr>
                <w:sz w:val="17"/>
              </w:rPr>
            </w:pPr>
            <w:r>
              <w:rPr>
                <w:color w:val="5E89B4"/>
                <w:spacing w:val="-5"/>
                <w:sz w:val="17"/>
              </w:rPr>
              <w:t>NO</w:t>
            </w:r>
          </w:p>
        </w:tc>
        <w:tc>
          <w:tcPr>
            <w:tcW w:w="414" w:type="dxa"/>
            <w:tcBorders>
              <w:top w:val="single" w:sz="8" w:space="0" w:color="001F5F"/>
              <w:bottom w:val="single" w:sz="8" w:space="0" w:color="001F5F"/>
            </w:tcBorders>
          </w:tcPr>
          <w:p>
            <w:pPr>
              <w:pStyle w:val="TableParagraph"/>
              <w:rPr>
                <w:rFonts w:ascii="Arial"/>
                <w:b/>
                <w:sz w:val="17"/>
              </w:rPr>
            </w:pPr>
          </w:p>
          <w:p>
            <w:pPr>
              <w:pStyle w:val="TableParagraph"/>
              <w:spacing w:before="97"/>
              <w:rPr>
                <w:rFonts w:ascii="Arial"/>
                <w:b/>
                <w:sz w:val="17"/>
              </w:rPr>
            </w:pPr>
          </w:p>
          <w:p>
            <w:pPr>
              <w:pStyle w:val="TableParagraph"/>
              <w:ind w:left="22"/>
              <w:jc w:val="center"/>
              <w:rPr>
                <w:sz w:val="17"/>
              </w:rPr>
            </w:pPr>
            <w:r>
              <w:rPr>
                <w:color w:val="5E89B4"/>
                <w:spacing w:val="-5"/>
                <w:sz w:val="17"/>
              </w:rPr>
              <w:t>NO</w:t>
            </w:r>
          </w:p>
        </w:tc>
        <w:tc>
          <w:tcPr>
            <w:tcW w:w="999" w:type="dxa"/>
            <w:tcBorders>
              <w:top w:val="single" w:sz="8" w:space="0" w:color="001F5F"/>
              <w:bottom w:val="single" w:sz="8" w:space="0" w:color="001F5F"/>
            </w:tcBorders>
          </w:tcPr>
          <w:p>
            <w:pPr>
              <w:pStyle w:val="TableParagraph"/>
              <w:rPr>
                <w:rFonts w:ascii="Arial"/>
                <w:b/>
                <w:sz w:val="17"/>
              </w:rPr>
            </w:pPr>
          </w:p>
          <w:p>
            <w:pPr>
              <w:pStyle w:val="TableParagraph"/>
              <w:spacing w:before="97"/>
              <w:rPr>
                <w:rFonts w:ascii="Arial"/>
                <w:b/>
                <w:sz w:val="17"/>
              </w:rPr>
            </w:pPr>
          </w:p>
          <w:p>
            <w:pPr>
              <w:pStyle w:val="TableParagraph"/>
              <w:ind w:left="23" w:right="1"/>
              <w:jc w:val="center"/>
              <w:rPr>
                <w:sz w:val="17"/>
              </w:rPr>
            </w:pPr>
            <w:r>
              <w:rPr>
                <w:sz w:val="17"/>
              </w:rPr>
              <w:t>En</w:t>
            </w:r>
            <w:r>
              <w:rPr>
                <w:spacing w:val="-1"/>
                <w:sz w:val="17"/>
              </w:rPr>
              <w:t> </w:t>
            </w:r>
            <w:r>
              <w:rPr>
                <w:spacing w:val="-2"/>
                <w:sz w:val="17"/>
              </w:rPr>
              <w:t>ejecución</w:t>
            </w:r>
          </w:p>
        </w:tc>
      </w:tr>
      <w:tr>
        <w:trPr>
          <w:trHeight w:val="585" w:hRule="atLeast"/>
        </w:trPr>
        <w:tc>
          <w:tcPr>
            <w:tcW w:w="1125" w:type="dxa"/>
            <w:tcBorders>
              <w:top w:val="single" w:sz="8" w:space="0" w:color="001F5F"/>
              <w:bottom w:val="single" w:sz="8" w:space="0" w:color="001F5F"/>
            </w:tcBorders>
          </w:tcPr>
          <w:p>
            <w:pPr>
              <w:pStyle w:val="TableParagraph"/>
              <w:rPr>
                <w:rFonts w:ascii="Arial"/>
                <w:b/>
                <w:sz w:val="17"/>
              </w:rPr>
            </w:pPr>
          </w:p>
          <w:p>
            <w:pPr>
              <w:pStyle w:val="TableParagraph"/>
              <w:ind w:left="71"/>
              <w:rPr>
                <w:b/>
                <w:sz w:val="17"/>
              </w:rPr>
            </w:pPr>
            <w:r>
              <w:rPr>
                <w:b/>
                <w:spacing w:val="-2"/>
                <w:sz w:val="17"/>
              </w:rPr>
              <w:t>MÁLAGA</w:t>
            </w:r>
          </w:p>
        </w:tc>
        <w:tc>
          <w:tcPr>
            <w:tcW w:w="2138" w:type="dxa"/>
            <w:tcBorders>
              <w:top w:val="single" w:sz="8" w:space="0" w:color="002D5D"/>
              <w:bottom w:val="single" w:sz="8" w:space="0" w:color="001F5F"/>
            </w:tcBorders>
          </w:tcPr>
          <w:p>
            <w:pPr>
              <w:pStyle w:val="TableParagraph"/>
              <w:spacing w:line="194" w:lineRule="exact"/>
              <w:ind w:left="145"/>
              <w:rPr>
                <w:sz w:val="17"/>
              </w:rPr>
            </w:pPr>
            <w:r>
              <w:rPr>
                <w:sz w:val="17"/>
              </w:rPr>
              <w:t>Adquisición</w:t>
            </w:r>
            <w:r>
              <w:rPr>
                <w:spacing w:val="-2"/>
                <w:sz w:val="17"/>
              </w:rPr>
              <w:t> </w:t>
            </w:r>
            <w:r>
              <w:rPr>
                <w:sz w:val="17"/>
              </w:rPr>
              <w:t>de</w:t>
            </w:r>
            <w:r>
              <w:rPr>
                <w:spacing w:val="-3"/>
                <w:sz w:val="17"/>
              </w:rPr>
              <w:t> </w:t>
            </w:r>
            <w:r>
              <w:rPr>
                <w:sz w:val="17"/>
              </w:rPr>
              <w:t>30</w:t>
            </w:r>
            <w:r>
              <w:rPr>
                <w:spacing w:val="-2"/>
                <w:sz w:val="17"/>
              </w:rPr>
              <w:t> cargadores</w:t>
            </w:r>
          </w:p>
          <w:p>
            <w:pPr>
              <w:pStyle w:val="TableParagraph"/>
              <w:spacing w:line="194" w:lineRule="exact"/>
              <w:ind w:left="145" w:right="52"/>
              <w:rPr>
                <w:sz w:val="17"/>
              </w:rPr>
            </w:pPr>
            <w:r>
              <w:rPr>
                <w:sz w:val="17"/>
              </w:rPr>
              <w:t>para</w:t>
            </w:r>
            <w:r>
              <w:rPr>
                <w:spacing w:val="-10"/>
                <w:sz w:val="17"/>
              </w:rPr>
              <w:t> </w:t>
            </w:r>
            <w:r>
              <w:rPr>
                <w:sz w:val="17"/>
              </w:rPr>
              <w:t>la</w:t>
            </w:r>
            <w:r>
              <w:rPr>
                <w:spacing w:val="-10"/>
                <w:sz w:val="17"/>
              </w:rPr>
              <w:t> </w:t>
            </w:r>
            <w:r>
              <w:rPr>
                <w:sz w:val="17"/>
              </w:rPr>
              <w:t>recarga</w:t>
            </w:r>
            <w:r>
              <w:rPr>
                <w:spacing w:val="-10"/>
                <w:sz w:val="17"/>
              </w:rPr>
              <w:t> </w:t>
            </w:r>
            <w:r>
              <w:rPr>
                <w:sz w:val="17"/>
              </w:rPr>
              <w:t>de</w:t>
            </w:r>
            <w:r>
              <w:rPr>
                <w:spacing w:val="-9"/>
                <w:sz w:val="17"/>
              </w:rPr>
              <w:t> </w:t>
            </w:r>
            <w:r>
              <w:rPr>
                <w:sz w:val="17"/>
              </w:rPr>
              <w:t>autobús</w:t>
            </w:r>
            <w:r>
              <w:rPr>
                <w:spacing w:val="40"/>
                <w:sz w:val="17"/>
              </w:rPr>
              <w:t> </w:t>
            </w:r>
            <w:r>
              <w:rPr>
                <w:spacing w:val="-2"/>
                <w:sz w:val="17"/>
              </w:rPr>
              <w:t>eléctrico.</w:t>
            </w:r>
          </w:p>
        </w:tc>
        <w:tc>
          <w:tcPr>
            <w:tcW w:w="1155" w:type="dxa"/>
            <w:tcBorders>
              <w:top w:val="single" w:sz="8" w:space="0" w:color="001F5F"/>
              <w:bottom w:val="single" w:sz="8" w:space="0" w:color="001F5F"/>
            </w:tcBorders>
          </w:tcPr>
          <w:p>
            <w:pPr>
              <w:pStyle w:val="TableParagraph"/>
              <w:rPr>
                <w:rFonts w:ascii="Arial"/>
                <w:b/>
                <w:sz w:val="17"/>
              </w:rPr>
            </w:pPr>
          </w:p>
          <w:p>
            <w:pPr>
              <w:pStyle w:val="TableParagraph"/>
              <w:ind w:left="5" w:right="25"/>
              <w:jc w:val="center"/>
              <w:rPr>
                <w:sz w:val="17"/>
              </w:rPr>
            </w:pPr>
            <w:r>
              <w:rPr>
                <w:spacing w:val="-10"/>
                <w:sz w:val="17"/>
              </w:rPr>
              <w:t>6</w:t>
            </w:r>
          </w:p>
        </w:tc>
        <w:tc>
          <w:tcPr>
            <w:tcW w:w="1126" w:type="dxa"/>
            <w:tcBorders>
              <w:top w:val="single" w:sz="8" w:space="0" w:color="001F5F"/>
              <w:bottom w:val="single" w:sz="8" w:space="0" w:color="001F5F"/>
            </w:tcBorders>
          </w:tcPr>
          <w:p>
            <w:pPr>
              <w:pStyle w:val="TableParagraph"/>
              <w:rPr>
                <w:rFonts w:ascii="Arial"/>
                <w:b/>
                <w:sz w:val="17"/>
              </w:rPr>
            </w:pPr>
          </w:p>
          <w:p>
            <w:pPr>
              <w:pStyle w:val="TableParagraph"/>
              <w:ind w:left="144"/>
              <w:jc w:val="center"/>
              <w:rPr>
                <w:sz w:val="17"/>
              </w:rPr>
            </w:pPr>
            <w:r>
              <w:rPr>
                <w:spacing w:val="-2"/>
                <w:sz w:val="17"/>
              </w:rPr>
              <w:t>6.116.932,94</w:t>
            </w:r>
          </w:p>
        </w:tc>
        <w:tc>
          <w:tcPr>
            <w:tcW w:w="1147" w:type="dxa"/>
            <w:tcBorders>
              <w:top w:val="single" w:sz="8" w:space="0" w:color="001F5F"/>
              <w:bottom w:val="single" w:sz="8" w:space="0" w:color="001F5F"/>
            </w:tcBorders>
          </w:tcPr>
          <w:p>
            <w:pPr>
              <w:pStyle w:val="TableParagraph"/>
              <w:rPr>
                <w:rFonts w:ascii="Arial"/>
                <w:b/>
                <w:sz w:val="17"/>
              </w:rPr>
            </w:pPr>
          </w:p>
          <w:p>
            <w:pPr>
              <w:pStyle w:val="TableParagraph"/>
              <w:ind w:right="96"/>
              <w:jc w:val="right"/>
              <w:rPr>
                <w:sz w:val="17"/>
              </w:rPr>
            </w:pPr>
            <w:r>
              <w:rPr>
                <w:spacing w:val="-2"/>
                <w:sz w:val="17"/>
              </w:rPr>
              <w:t>1.050.415,81</w:t>
            </w:r>
          </w:p>
        </w:tc>
        <w:tc>
          <w:tcPr>
            <w:tcW w:w="1201" w:type="dxa"/>
            <w:tcBorders>
              <w:top w:val="single" w:sz="8" w:space="0" w:color="001F5F"/>
              <w:bottom w:val="single" w:sz="8" w:space="0" w:color="001F5F"/>
            </w:tcBorders>
          </w:tcPr>
          <w:p>
            <w:pPr>
              <w:pStyle w:val="TableParagraph"/>
              <w:rPr>
                <w:rFonts w:ascii="Arial"/>
                <w:b/>
                <w:sz w:val="17"/>
              </w:rPr>
            </w:pPr>
          </w:p>
          <w:p>
            <w:pPr>
              <w:pStyle w:val="TableParagraph"/>
              <w:ind w:right="162"/>
              <w:jc w:val="right"/>
              <w:rPr>
                <w:sz w:val="17"/>
              </w:rPr>
            </w:pPr>
            <w:r>
              <w:rPr>
                <w:spacing w:val="-2"/>
                <w:sz w:val="17"/>
              </w:rPr>
              <w:t>5.066.517,13</w:t>
            </w:r>
          </w:p>
        </w:tc>
        <w:tc>
          <w:tcPr>
            <w:tcW w:w="478" w:type="dxa"/>
            <w:tcBorders>
              <w:top w:val="single" w:sz="8" w:space="0" w:color="001F5F"/>
              <w:bottom w:val="single" w:sz="8" w:space="0" w:color="001F5F"/>
            </w:tcBorders>
          </w:tcPr>
          <w:p>
            <w:pPr>
              <w:pStyle w:val="TableParagraph"/>
              <w:rPr>
                <w:rFonts w:ascii="Arial"/>
                <w:b/>
                <w:sz w:val="17"/>
              </w:rPr>
            </w:pPr>
          </w:p>
          <w:p>
            <w:pPr>
              <w:pStyle w:val="TableParagraph"/>
              <w:ind w:left="69"/>
              <w:jc w:val="center"/>
              <w:rPr>
                <w:sz w:val="17"/>
              </w:rPr>
            </w:pPr>
            <w:r>
              <w:rPr>
                <w:color w:val="5E89B4"/>
                <w:spacing w:val="-5"/>
                <w:sz w:val="17"/>
              </w:rPr>
              <w:t>NO</w:t>
            </w:r>
          </w:p>
        </w:tc>
        <w:tc>
          <w:tcPr>
            <w:tcW w:w="419" w:type="dxa"/>
            <w:tcBorders>
              <w:top w:val="single" w:sz="8" w:space="0" w:color="001F5F"/>
              <w:bottom w:val="single" w:sz="8" w:space="0" w:color="001F5F"/>
            </w:tcBorders>
          </w:tcPr>
          <w:p>
            <w:pPr>
              <w:pStyle w:val="TableParagraph"/>
              <w:rPr>
                <w:rFonts w:ascii="Arial"/>
                <w:b/>
                <w:sz w:val="17"/>
              </w:rPr>
            </w:pPr>
          </w:p>
          <w:p>
            <w:pPr>
              <w:pStyle w:val="TableParagraph"/>
              <w:ind w:left="9" w:right="6"/>
              <w:jc w:val="center"/>
              <w:rPr>
                <w:sz w:val="17"/>
              </w:rPr>
            </w:pPr>
            <w:r>
              <w:rPr>
                <w:color w:val="891538"/>
                <w:spacing w:val="-5"/>
                <w:sz w:val="17"/>
              </w:rPr>
              <w:t>SI</w:t>
            </w:r>
          </w:p>
        </w:tc>
        <w:tc>
          <w:tcPr>
            <w:tcW w:w="424" w:type="dxa"/>
            <w:tcBorders>
              <w:top w:val="single" w:sz="8" w:space="0" w:color="001F5F"/>
              <w:bottom w:val="single" w:sz="8" w:space="0" w:color="001F5F"/>
            </w:tcBorders>
          </w:tcPr>
          <w:p>
            <w:pPr>
              <w:pStyle w:val="TableParagraph"/>
              <w:rPr>
                <w:rFonts w:ascii="Arial"/>
                <w:b/>
                <w:sz w:val="17"/>
              </w:rPr>
            </w:pPr>
          </w:p>
          <w:p>
            <w:pPr>
              <w:pStyle w:val="TableParagraph"/>
              <w:ind w:left="9"/>
              <w:jc w:val="center"/>
              <w:rPr>
                <w:sz w:val="17"/>
              </w:rPr>
            </w:pPr>
            <w:r>
              <w:rPr>
                <w:color w:val="5E89B4"/>
                <w:spacing w:val="-5"/>
                <w:sz w:val="17"/>
              </w:rPr>
              <w:t>NO</w:t>
            </w:r>
          </w:p>
        </w:tc>
        <w:tc>
          <w:tcPr>
            <w:tcW w:w="414" w:type="dxa"/>
            <w:tcBorders>
              <w:top w:val="single" w:sz="8" w:space="0" w:color="001F5F"/>
              <w:bottom w:val="single" w:sz="8" w:space="0" w:color="001F5F"/>
            </w:tcBorders>
          </w:tcPr>
          <w:p>
            <w:pPr>
              <w:pStyle w:val="TableParagraph"/>
              <w:rPr>
                <w:rFonts w:ascii="Arial"/>
                <w:b/>
                <w:sz w:val="17"/>
              </w:rPr>
            </w:pPr>
          </w:p>
          <w:p>
            <w:pPr>
              <w:pStyle w:val="TableParagraph"/>
              <w:ind w:left="22"/>
              <w:jc w:val="center"/>
              <w:rPr>
                <w:sz w:val="17"/>
              </w:rPr>
            </w:pPr>
            <w:r>
              <w:rPr>
                <w:color w:val="5E89B4"/>
                <w:spacing w:val="-5"/>
                <w:sz w:val="17"/>
              </w:rPr>
              <w:t>NO</w:t>
            </w:r>
          </w:p>
        </w:tc>
        <w:tc>
          <w:tcPr>
            <w:tcW w:w="999" w:type="dxa"/>
            <w:tcBorders>
              <w:top w:val="single" w:sz="8" w:space="0" w:color="001F5F"/>
              <w:bottom w:val="single" w:sz="8" w:space="0" w:color="001F5F"/>
            </w:tcBorders>
          </w:tcPr>
          <w:p>
            <w:pPr>
              <w:pStyle w:val="TableParagraph"/>
              <w:rPr>
                <w:rFonts w:ascii="Arial"/>
                <w:b/>
                <w:sz w:val="17"/>
              </w:rPr>
            </w:pPr>
          </w:p>
          <w:p>
            <w:pPr>
              <w:pStyle w:val="TableParagraph"/>
              <w:ind w:left="23" w:right="1"/>
              <w:jc w:val="center"/>
              <w:rPr>
                <w:sz w:val="17"/>
              </w:rPr>
            </w:pPr>
            <w:r>
              <w:rPr>
                <w:sz w:val="17"/>
              </w:rPr>
              <w:t>En</w:t>
            </w:r>
            <w:r>
              <w:rPr>
                <w:spacing w:val="-1"/>
                <w:sz w:val="17"/>
              </w:rPr>
              <w:t> </w:t>
            </w:r>
            <w:r>
              <w:rPr>
                <w:spacing w:val="-2"/>
                <w:sz w:val="17"/>
              </w:rPr>
              <w:t>ejecución</w:t>
            </w:r>
          </w:p>
        </w:tc>
      </w:tr>
      <w:tr>
        <w:trPr>
          <w:trHeight w:val="390" w:hRule="atLeast"/>
        </w:trPr>
        <w:tc>
          <w:tcPr>
            <w:tcW w:w="1125" w:type="dxa"/>
            <w:tcBorders>
              <w:top w:val="single" w:sz="8" w:space="0" w:color="001F5F"/>
              <w:bottom w:val="single" w:sz="8" w:space="0" w:color="001F5F"/>
            </w:tcBorders>
          </w:tcPr>
          <w:p>
            <w:pPr>
              <w:pStyle w:val="TableParagraph"/>
              <w:spacing w:before="97"/>
              <w:ind w:left="71"/>
              <w:rPr>
                <w:b/>
                <w:sz w:val="17"/>
              </w:rPr>
            </w:pPr>
            <w:r>
              <w:rPr>
                <w:b/>
                <w:spacing w:val="-2"/>
                <w:sz w:val="17"/>
              </w:rPr>
              <w:t>PALMA</w:t>
            </w:r>
          </w:p>
        </w:tc>
        <w:tc>
          <w:tcPr>
            <w:tcW w:w="2138" w:type="dxa"/>
            <w:tcBorders>
              <w:top w:val="single" w:sz="8" w:space="0" w:color="001F5F"/>
              <w:bottom w:val="single" w:sz="8" w:space="0" w:color="001F5F"/>
            </w:tcBorders>
          </w:tcPr>
          <w:p>
            <w:pPr>
              <w:pStyle w:val="TableParagraph"/>
              <w:spacing w:line="194" w:lineRule="exact"/>
              <w:ind w:left="145" w:right="52"/>
              <w:rPr>
                <w:sz w:val="17"/>
              </w:rPr>
            </w:pPr>
            <w:r>
              <w:rPr>
                <w:sz w:val="17"/>
              </w:rPr>
              <w:t>Infraestructura</w:t>
            </w:r>
            <w:r>
              <w:rPr>
                <w:spacing w:val="-10"/>
                <w:sz w:val="17"/>
              </w:rPr>
              <w:t> </w:t>
            </w:r>
            <w:r>
              <w:rPr>
                <w:sz w:val="17"/>
              </w:rPr>
              <w:t>para</w:t>
            </w:r>
            <w:r>
              <w:rPr>
                <w:spacing w:val="-10"/>
                <w:sz w:val="17"/>
              </w:rPr>
              <w:t> </w:t>
            </w:r>
            <w:r>
              <w:rPr>
                <w:sz w:val="17"/>
              </w:rPr>
              <w:t>la</w:t>
            </w:r>
            <w:r>
              <w:rPr>
                <w:spacing w:val="-10"/>
                <w:sz w:val="17"/>
              </w:rPr>
              <w:t> </w:t>
            </w:r>
            <w:r>
              <w:rPr>
                <w:sz w:val="17"/>
              </w:rPr>
              <w:t>recarga</w:t>
            </w:r>
            <w:r>
              <w:rPr>
                <w:spacing w:val="40"/>
                <w:sz w:val="17"/>
              </w:rPr>
              <w:t> </w:t>
            </w:r>
            <w:r>
              <w:rPr>
                <w:sz w:val="17"/>
              </w:rPr>
              <w:t>de 12 autobuses</w:t>
            </w:r>
          </w:p>
        </w:tc>
        <w:tc>
          <w:tcPr>
            <w:tcW w:w="1155" w:type="dxa"/>
            <w:tcBorders>
              <w:top w:val="single" w:sz="8" w:space="0" w:color="001F5F"/>
              <w:bottom w:val="single" w:sz="8" w:space="0" w:color="001F5F"/>
            </w:tcBorders>
          </w:tcPr>
          <w:p>
            <w:pPr>
              <w:pStyle w:val="TableParagraph"/>
              <w:spacing w:before="97"/>
              <w:ind w:left="5" w:right="25"/>
              <w:jc w:val="center"/>
              <w:rPr>
                <w:sz w:val="17"/>
              </w:rPr>
            </w:pPr>
            <w:r>
              <w:rPr>
                <w:spacing w:val="-10"/>
                <w:sz w:val="17"/>
              </w:rPr>
              <w:t>1</w:t>
            </w:r>
          </w:p>
        </w:tc>
        <w:tc>
          <w:tcPr>
            <w:tcW w:w="1126" w:type="dxa"/>
            <w:tcBorders>
              <w:top w:val="single" w:sz="8" w:space="0" w:color="001F5F"/>
              <w:bottom w:val="single" w:sz="8" w:space="0" w:color="001F5F"/>
            </w:tcBorders>
          </w:tcPr>
          <w:p>
            <w:pPr>
              <w:pStyle w:val="TableParagraph"/>
              <w:spacing w:before="97"/>
              <w:ind w:left="259"/>
              <w:jc w:val="center"/>
              <w:rPr>
                <w:sz w:val="17"/>
              </w:rPr>
            </w:pPr>
            <w:r>
              <w:rPr>
                <w:spacing w:val="-2"/>
                <w:sz w:val="17"/>
              </w:rPr>
              <w:t>504.000,00</w:t>
            </w:r>
          </w:p>
        </w:tc>
        <w:tc>
          <w:tcPr>
            <w:tcW w:w="1147" w:type="dxa"/>
            <w:tcBorders>
              <w:top w:val="single" w:sz="8" w:space="0" w:color="001F5F"/>
              <w:bottom w:val="single" w:sz="8" w:space="0" w:color="001F5F"/>
            </w:tcBorders>
          </w:tcPr>
          <w:p>
            <w:pPr>
              <w:pStyle w:val="TableParagraph"/>
              <w:spacing w:before="97"/>
              <w:ind w:right="96"/>
              <w:jc w:val="right"/>
              <w:rPr>
                <w:sz w:val="17"/>
              </w:rPr>
            </w:pPr>
            <w:r>
              <w:rPr>
                <w:spacing w:val="-2"/>
                <w:sz w:val="17"/>
              </w:rPr>
              <w:t>52.000,00</w:t>
            </w:r>
          </w:p>
        </w:tc>
        <w:tc>
          <w:tcPr>
            <w:tcW w:w="1201" w:type="dxa"/>
            <w:tcBorders>
              <w:top w:val="single" w:sz="8" w:space="0" w:color="001F5F"/>
              <w:bottom w:val="single" w:sz="8" w:space="0" w:color="001F5F"/>
            </w:tcBorders>
          </w:tcPr>
          <w:p>
            <w:pPr>
              <w:pStyle w:val="TableParagraph"/>
              <w:spacing w:before="97"/>
              <w:ind w:right="162"/>
              <w:jc w:val="right"/>
              <w:rPr>
                <w:sz w:val="17"/>
              </w:rPr>
            </w:pPr>
            <w:r>
              <w:rPr>
                <w:spacing w:val="-2"/>
                <w:sz w:val="17"/>
              </w:rPr>
              <w:t>452.000,00</w:t>
            </w:r>
          </w:p>
        </w:tc>
        <w:tc>
          <w:tcPr>
            <w:tcW w:w="478" w:type="dxa"/>
            <w:tcBorders>
              <w:top w:val="single" w:sz="8" w:space="0" w:color="001F5F"/>
              <w:bottom w:val="single" w:sz="8" w:space="0" w:color="001F5F"/>
            </w:tcBorders>
          </w:tcPr>
          <w:p>
            <w:pPr>
              <w:pStyle w:val="TableParagraph"/>
              <w:spacing w:before="97"/>
              <w:ind w:left="69"/>
              <w:jc w:val="center"/>
              <w:rPr>
                <w:sz w:val="17"/>
              </w:rPr>
            </w:pPr>
            <w:r>
              <w:rPr>
                <w:color w:val="5E89B4"/>
                <w:spacing w:val="-5"/>
                <w:sz w:val="17"/>
              </w:rPr>
              <w:t>NO</w:t>
            </w:r>
          </w:p>
        </w:tc>
        <w:tc>
          <w:tcPr>
            <w:tcW w:w="419" w:type="dxa"/>
            <w:tcBorders>
              <w:top w:val="single" w:sz="8" w:space="0" w:color="001F5F"/>
              <w:bottom w:val="single" w:sz="8" w:space="0" w:color="001F5F"/>
            </w:tcBorders>
          </w:tcPr>
          <w:p>
            <w:pPr>
              <w:pStyle w:val="TableParagraph"/>
              <w:spacing w:before="97"/>
              <w:ind w:left="9" w:right="6"/>
              <w:jc w:val="center"/>
              <w:rPr>
                <w:sz w:val="17"/>
              </w:rPr>
            </w:pPr>
            <w:r>
              <w:rPr>
                <w:color w:val="5E89B4"/>
                <w:spacing w:val="-5"/>
                <w:sz w:val="17"/>
              </w:rPr>
              <w:t>NO</w:t>
            </w:r>
          </w:p>
        </w:tc>
        <w:tc>
          <w:tcPr>
            <w:tcW w:w="424" w:type="dxa"/>
            <w:tcBorders>
              <w:top w:val="single" w:sz="8" w:space="0" w:color="001F5F"/>
              <w:bottom w:val="single" w:sz="8" w:space="0" w:color="001F5F"/>
            </w:tcBorders>
          </w:tcPr>
          <w:p>
            <w:pPr>
              <w:pStyle w:val="TableParagraph"/>
              <w:spacing w:before="97"/>
              <w:ind w:left="9"/>
              <w:jc w:val="center"/>
              <w:rPr>
                <w:sz w:val="17"/>
              </w:rPr>
            </w:pPr>
            <w:r>
              <w:rPr>
                <w:color w:val="5E89B4"/>
                <w:spacing w:val="-5"/>
                <w:sz w:val="17"/>
              </w:rPr>
              <w:t>NO</w:t>
            </w:r>
          </w:p>
        </w:tc>
        <w:tc>
          <w:tcPr>
            <w:tcW w:w="414" w:type="dxa"/>
            <w:tcBorders>
              <w:top w:val="single" w:sz="8" w:space="0" w:color="001F5F"/>
              <w:bottom w:val="single" w:sz="8" w:space="0" w:color="001F5F"/>
            </w:tcBorders>
          </w:tcPr>
          <w:p>
            <w:pPr>
              <w:pStyle w:val="TableParagraph"/>
              <w:spacing w:before="97"/>
              <w:ind w:left="22"/>
              <w:jc w:val="center"/>
              <w:rPr>
                <w:sz w:val="17"/>
              </w:rPr>
            </w:pPr>
            <w:r>
              <w:rPr>
                <w:color w:val="5E89B4"/>
                <w:spacing w:val="-5"/>
                <w:sz w:val="17"/>
              </w:rPr>
              <w:t>NO</w:t>
            </w:r>
          </w:p>
        </w:tc>
        <w:tc>
          <w:tcPr>
            <w:tcW w:w="999" w:type="dxa"/>
            <w:tcBorders>
              <w:top w:val="single" w:sz="8" w:space="0" w:color="001F5F"/>
              <w:bottom w:val="single" w:sz="8" w:space="0" w:color="001F5F"/>
            </w:tcBorders>
          </w:tcPr>
          <w:p>
            <w:pPr>
              <w:pStyle w:val="TableParagraph"/>
              <w:spacing w:before="97"/>
              <w:ind w:left="23"/>
              <w:jc w:val="center"/>
              <w:rPr>
                <w:sz w:val="17"/>
              </w:rPr>
            </w:pPr>
            <w:r>
              <w:rPr>
                <w:spacing w:val="-2"/>
                <w:sz w:val="17"/>
              </w:rPr>
              <w:t>Finalizada</w:t>
            </w:r>
          </w:p>
        </w:tc>
      </w:tr>
      <w:tr>
        <w:trPr>
          <w:trHeight w:val="584" w:hRule="atLeast"/>
        </w:trPr>
        <w:tc>
          <w:tcPr>
            <w:tcW w:w="1125" w:type="dxa"/>
            <w:tcBorders>
              <w:top w:val="single" w:sz="8" w:space="0" w:color="001F5F"/>
              <w:bottom w:val="single" w:sz="8" w:space="0" w:color="001F5F"/>
            </w:tcBorders>
          </w:tcPr>
          <w:p>
            <w:pPr>
              <w:pStyle w:val="TableParagraph"/>
              <w:rPr>
                <w:rFonts w:ascii="Arial"/>
                <w:b/>
                <w:sz w:val="17"/>
              </w:rPr>
            </w:pPr>
          </w:p>
          <w:p>
            <w:pPr>
              <w:pStyle w:val="TableParagraph"/>
              <w:ind w:left="71"/>
              <w:rPr>
                <w:b/>
                <w:sz w:val="17"/>
              </w:rPr>
            </w:pPr>
            <w:r>
              <w:rPr>
                <w:b/>
                <w:spacing w:val="-2"/>
                <w:sz w:val="17"/>
              </w:rPr>
              <w:t>SEVILLA</w:t>
            </w:r>
          </w:p>
        </w:tc>
        <w:tc>
          <w:tcPr>
            <w:tcW w:w="2138" w:type="dxa"/>
            <w:tcBorders>
              <w:top w:val="single" w:sz="8" w:space="0" w:color="001F5F"/>
              <w:bottom w:val="single" w:sz="8" w:space="0" w:color="001F5F"/>
            </w:tcBorders>
          </w:tcPr>
          <w:p>
            <w:pPr>
              <w:pStyle w:val="TableParagraph"/>
              <w:spacing w:line="194" w:lineRule="exact"/>
              <w:ind w:left="145"/>
              <w:rPr>
                <w:sz w:val="17"/>
              </w:rPr>
            </w:pPr>
            <w:r>
              <w:rPr>
                <w:sz w:val="17"/>
              </w:rPr>
              <w:t>Suministro</w:t>
            </w:r>
            <w:r>
              <w:rPr>
                <w:spacing w:val="-3"/>
                <w:sz w:val="17"/>
              </w:rPr>
              <w:t> </w:t>
            </w:r>
            <w:r>
              <w:rPr>
                <w:sz w:val="17"/>
              </w:rPr>
              <w:t>de</w:t>
            </w:r>
            <w:r>
              <w:rPr>
                <w:spacing w:val="-2"/>
                <w:sz w:val="17"/>
              </w:rPr>
              <w:t> </w:t>
            </w:r>
            <w:r>
              <w:rPr>
                <w:sz w:val="17"/>
              </w:rPr>
              <w:t>energía</w:t>
            </w:r>
            <w:r>
              <w:rPr>
                <w:spacing w:val="-2"/>
                <w:sz w:val="17"/>
              </w:rPr>
              <w:t> </w:t>
            </w:r>
            <w:r>
              <w:rPr>
                <w:sz w:val="17"/>
              </w:rPr>
              <w:t>y</w:t>
            </w:r>
            <w:r>
              <w:rPr>
                <w:spacing w:val="-3"/>
                <w:sz w:val="17"/>
              </w:rPr>
              <w:t> </w:t>
            </w:r>
            <w:r>
              <w:rPr>
                <w:sz w:val="17"/>
              </w:rPr>
              <w:t>de</w:t>
            </w:r>
            <w:r>
              <w:rPr>
                <w:spacing w:val="-2"/>
                <w:sz w:val="17"/>
              </w:rPr>
              <w:t> </w:t>
            </w:r>
            <w:r>
              <w:rPr>
                <w:spacing w:val="-5"/>
                <w:sz w:val="17"/>
              </w:rPr>
              <w:t>la</w:t>
            </w:r>
          </w:p>
          <w:p>
            <w:pPr>
              <w:pStyle w:val="TableParagraph"/>
              <w:spacing w:line="194" w:lineRule="exact"/>
              <w:ind w:left="145" w:right="52"/>
              <w:rPr>
                <w:sz w:val="17"/>
              </w:rPr>
            </w:pPr>
            <w:r>
              <w:rPr>
                <w:sz w:val="17"/>
              </w:rPr>
              <w:t>infraestructura</w:t>
            </w:r>
            <w:r>
              <w:rPr>
                <w:spacing w:val="-10"/>
                <w:sz w:val="17"/>
              </w:rPr>
              <w:t> </w:t>
            </w:r>
            <w:r>
              <w:rPr>
                <w:sz w:val="17"/>
              </w:rPr>
              <w:t>para</w:t>
            </w:r>
            <w:r>
              <w:rPr>
                <w:spacing w:val="-10"/>
                <w:sz w:val="17"/>
              </w:rPr>
              <w:t> </w:t>
            </w:r>
            <w:r>
              <w:rPr>
                <w:sz w:val="17"/>
              </w:rPr>
              <w:t>la</w:t>
            </w:r>
            <w:r>
              <w:rPr>
                <w:spacing w:val="-10"/>
                <w:sz w:val="17"/>
              </w:rPr>
              <w:t> </w:t>
            </w:r>
            <w:r>
              <w:rPr>
                <w:sz w:val="17"/>
              </w:rPr>
              <w:t>recarga</w:t>
            </w:r>
            <w:r>
              <w:rPr>
                <w:spacing w:val="40"/>
                <w:sz w:val="17"/>
              </w:rPr>
              <w:t> </w:t>
            </w:r>
            <w:r>
              <w:rPr>
                <w:sz w:val="17"/>
              </w:rPr>
              <w:t>de 23 autobuses</w:t>
            </w:r>
          </w:p>
        </w:tc>
        <w:tc>
          <w:tcPr>
            <w:tcW w:w="1155" w:type="dxa"/>
            <w:tcBorders>
              <w:top w:val="single" w:sz="8" w:space="0" w:color="001F5F"/>
              <w:bottom w:val="single" w:sz="8" w:space="0" w:color="001F5F"/>
            </w:tcBorders>
          </w:tcPr>
          <w:p>
            <w:pPr>
              <w:pStyle w:val="TableParagraph"/>
              <w:rPr>
                <w:rFonts w:ascii="Arial"/>
                <w:b/>
                <w:sz w:val="17"/>
              </w:rPr>
            </w:pPr>
          </w:p>
          <w:p>
            <w:pPr>
              <w:pStyle w:val="TableParagraph"/>
              <w:ind w:left="5" w:right="25"/>
              <w:jc w:val="center"/>
              <w:rPr>
                <w:sz w:val="17"/>
              </w:rPr>
            </w:pPr>
            <w:r>
              <w:rPr>
                <w:spacing w:val="-10"/>
                <w:sz w:val="17"/>
              </w:rPr>
              <w:t>1</w:t>
            </w:r>
          </w:p>
        </w:tc>
        <w:tc>
          <w:tcPr>
            <w:tcW w:w="1126" w:type="dxa"/>
            <w:tcBorders>
              <w:top w:val="single" w:sz="8" w:space="0" w:color="001F5F"/>
              <w:bottom w:val="single" w:sz="8" w:space="0" w:color="001F5F"/>
            </w:tcBorders>
          </w:tcPr>
          <w:p>
            <w:pPr>
              <w:pStyle w:val="TableParagraph"/>
              <w:rPr>
                <w:rFonts w:ascii="Arial"/>
                <w:b/>
                <w:sz w:val="17"/>
              </w:rPr>
            </w:pPr>
          </w:p>
          <w:p>
            <w:pPr>
              <w:pStyle w:val="TableParagraph"/>
              <w:ind w:left="144"/>
              <w:jc w:val="center"/>
              <w:rPr>
                <w:sz w:val="17"/>
              </w:rPr>
            </w:pPr>
            <w:r>
              <w:rPr>
                <w:spacing w:val="-2"/>
                <w:sz w:val="17"/>
              </w:rPr>
              <w:t>6.809.610,79</w:t>
            </w:r>
          </w:p>
        </w:tc>
        <w:tc>
          <w:tcPr>
            <w:tcW w:w="1147" w:type="dxa"/>
            <w:tcBorders>
              <w:top w:val="single" w:sz="8" w:space="0" w:color="001F5F"/>
              <w:bottom w:val="single" w:sz="8" w:space="0" w:color="001F5F"/>
            </w:tcBorders>
          </w:tcPr>
          <w:p>
            <w:pPr>
              <w:pStyle w:val="TableParagraph"/>
              <w:rPr>
                <w:rFonts w:ascii="Arial"/>
                <w:b/>
                <w:sz w:val="17"/>
              </w:rPr>
            </w:pPr>
          </w:p>
          <w:p>
            <w:pPr>
              <w:pStyle w:val="TableParagraph"/>
              <w:ind w:right="96"/>
              <w:jc w:val="right"/>
              <w:rPr>
                <w:sz w:val="17"/>
              </w:rPr>
            </w:pPr>
            <w:r>
              <w:rPr>
                <w:spacing w:val="-2"/>
                <w:sz w:val="17"/>
              </w:rPr>
              <w:t>6.809.610,79</w:t>
            </w:r>
          </w:p>
        </w:tc>
        <w:tc>
          <w:tcPr>
            <w:tcW w:w="1201" w:type="dxa"/>
            <w:tcBorders>
              <w:top w:val="single" w:sz="8" w:space="0" w:color="001F5F"/>
              <w:bottom w:val="single" w:sz="8" w:space="0" w:color="001F5F"/>
            </w:tcBorders>
          </w:tcPr>
          <w:p>
            <w:pPr>
              <w:pStyle w:val="TableParagraph"/>
              <w:rPr>
                <w:rFonts w:ascii="Arial"/>
                <w:b/>
                <w:sz w:val="17"/>
              </w:rPr>
            </w:pPr>
          </w:p>
          <w:p>
            <w:pPr>
              <w:pStyle w:val="TableParagraph"/>
              <w:ind w:right="161"/>
              <w:jc w:val="right"/>
              <w:rPr>
                <w:sz w:val="17"/>
              </w:rPr>
            </w:pPr>
            <w:r>
              <w:rPr>
                <w:spacing w:val="-4"/>
                <w:sz w:val="17"/>
              </w:rPr>
              <w:t>0,00</w:t>
            </w:r>
          </w:p>
        </w:tc>
        <w:tc>
          <w:tcPr>
            <w:tcW w:w="478" w:type="dxa"/>
            <w:tcBorders>
              <w:top w:val="single" w:sz="8" w:space="0" w:color="001F5F"/>
              <w:bottom w:val="single" w:sz="8" w:space="0" w:color="001F5F"/>
            </w:tcBorders>
          </w:tcPr>
          <w:p>
            <w:pPr>
              <w:pStyle w:val="TableParagraph"/>
              <w:rPr>
                <w:rFonts w:ascii="Arial"/>
                <w:b/>
                <w:sz w:val="17"/>
              </w:rPr>
            </w:pPr>
          </w:p>
          <w:p>
            <w:pPr>
              <w:pStyle w:val="TableParagraph"/>
              <w:ind w:left="69"/>
              <w:jc w:val="center"/>
              <w:rPr>
                <w:sz w:val="17"/>
              </w:rPr>
            </w:pPr>
            <w:r>
              <w:rPr>
                <w:color w:val="5E89B4"/>
                <w:spacing w:val="-5"/>
                <w:sz w:val="17"/>
              </w:rPr>
              <w:t>NO</w:t>
            </w:r>
          </w:p>
        </w:tc>
        <w:tc>
          <w:tcPr>
            <w:tcW w:w="419" w:type="dxa"/>
            <w:tcBorders>
              <w:top w:val="single" w:sz="8" w:space="0" w:color="001F5F"/>
              <w:bottom w:val="single" w:sz="8" w:space="0" w:color="001F5F"/>
            </w:tcBorders>
          </w:tcPr>
          <w:p>
            <w:pPr>
              <w:pStyle w:val="TableParagraph"/>
              <w:rPr>
                <w:rFonts w:ascii="Arial"/>
                <w:b/>
                <w:sz w:val="17"/>
              </w:rPr>
            </w:pPr>
          </w:p>
          <w:p>
            <w:pPr>
              <w:pStyle w:val="TableParagraph"/>
              <w:ind w:left="9" w:right="6"/>
              <w:jc w:val="center"/>
              <w:rPr>
                <w:sz w:val="17"/>
              </w:rPr>
            </w:pPr>
            <w:r>
              <w:rPr>
                <w:color w:val="5E89B4"/>
                <w:spacing w:val="-5"/>
                <w:sz w:val="17"/>
              </w:rPr>
              <w:t>NO</w:t>
            </w:r>
          </w:p>
        </w:tc>
        <w:tc>
          <w:tcPr>
            <w:tcW w:w="424" w:type="dxa"/>
            <w:tcBorders>
              <w:top w:val="single" w:sz="8" w:space="0" w:color="001F5F"/>
              <w:bottom w:val="single" w:sz="8" w:space="0" w:color="001F5F"/>
            </w:tcBorders>
          </w:tcPr>
          <w:p>
            <w:pPr>
              <w:pStyle w:val="TableParagraph"/>
              <w:rPr>
                <w:rFonts w:ascii="Arial"/>
                <w:b/>
                <w:sz w:val="17"/>
              </w:rPr>
            </w:pPr>
          </w:p>
          <w:p>
            <w:pPr>
              <w:pStyle w:val="TableParagraph"/>
              <w:ind w:left="9"/>
              <w:jc w:val="center"/>
              <w:rPr>
                <w:sz w:val="17"/>
              </w:rPr>
            </w:pPr>
            <w:r>
              <w:rPr>
                <w:color w:val="5E89B4"/>
                <w:spacing w:val="-5"/>
                <w:sz w:val="17"/>
              </w:rPr>
              <w:t>NO</w:t>
            </w:r>
          </w:p>
        </w:tc>
        <w:tc>
          <w:tcPr>
            <w:tcW w:w="414" w:type="dxa"/>
            <w:tcBorders>
              <w:top w:val="single" w:sz="8" w:space="0" w:color="001F5F"/>
              <w:bottom w:val="single" w:sz="8" w:space="0" w:color="001F5F"/>
            </w:tcBorders>
          </w:tcPr>
          <w:p>
            <w:pPr>
              <w:pStyle w:val="TableParagraph"/>
              <w:rPr>
                <w:rFonts w:ascii="Arial"/>
                <w:b/>
                <w:sz w:val="17"/>
              </w:rPr>
            </w:pPr>
          </w:p>
          <w:p>
            <w:pPr>
              <w:pStyle w:val="TableParagraph"/>
              <w:ind w:left="22"/>
              <w:jc w:val="center"/>
              <w:rPr>
                <w:sz w:val="17"/>
              </w:rPr>
            </w:pPr>
            <w:r>
              <w:rPr>
                <w:color w:val="5E89B4"/>
                <w:spacing w:val="-5"/>
                <w:sz w:val="17"/>
              </w:rPr>
              <w:t>NO</w:t>
            </w:r>
          </w:p>
        </w:tc>
        <w:tc>
          <w:tcPr>
            <w:tcW w:w="999" w:type="dxa"/>
            <w:tcBorders>
              <w:top w:val="single" w:sz="8" w:space="0" w:color="001F5F"/>
              <w:bottom w:val="single" w:sz="8" w:space="0" w:color="001F5F"/>
            </w:tcBorders>
          </w:tcPr>
          <w:p>
            <w:pPr>
              <w:pStyle w:val="TableParagraph"/>
              <w:rPr>
                <w:rFonts w:ascii="Arial"/>
                <w:b/>
                <w:sz w:val="17"/>
              </w:rPr>
            </w:pPr>
          </w:p>
          <w:p>
            <w:pPr>
              <w:pStyle w:val="TableParagraph"/>
              <w:ind w:left="23" w:right="1"/>
              <w:jc w:val="center"/>
              <w:rPr>
                <w:sz w:val="17"/>
              </w:rPr>
            </w:pPr>
            <w:r>
              <w:rPr>
                <w:sz w:val="17"/>
              </w:rPr>
              <w:t>En</w:t>
            </w:r>
            <w:r>
              <w:rPr>
                <w:spacing w:val="-1"/>
                <w:sz w:val="17"/>
              </w:rPr>
              <w:t> </w:t>
            </w:r>
            <w:r>
              <w:rPr>
                <w:spacing w:val="-2"/>
                <w:sz w:val="17"/>
              </w:rPr>
              <w:t>ejecución</w:t>
            </w:r>
          </w:p>
        </w:tc>
      </w:tr>
      <w:tr>
        <w:trPr>
          <w:trHeight w:val="390" w:hRule="atLeast"/>
        </w:trPr>
        <w:tc>
          <w:tcPr>
            <w:tcW w:w="1125" w:type="dxa"/>
            <w:tcBorders>
              <w:top w:val="single" w:sz="8" w:space="0" w:color="001F5F"/>
            </w:tcBorders>
          </w:tcPr>
          <w:p>
            <w:pPr>
              <w:pStyle w:val="TableParagraph"/>
              <w:spacing w:before="97"/>
              <w:ind w:left="71"/>
              <w:rPr>
                <w:b/>
                <w:sz w:val="17"/>
              </w:rPr>
            </w:pPr>
            <w:r>
              <w:rPr>
                <w:b/>
                <w:spacing w:val="-2"/>
                <w:sz w:val="17"/>
              </w:rPr>
              <w:t>ZARAGOZA</w:t>
            </w:r>
          </w:p>
        </w:tc>
        <w:tc>
          <w:tcPr>
            <w:tcW w:w="2138" w:type="dxa"/>
            <w:tcBorders>
              <w:top w:val="single" w:sz="8" w:space="0" w:color="001F5F"/>
            </w:tcBorders>
          </w:tcPr>
          <w:p>
            <w:pPr>
              <w:pStyle w:val="TableParagraph"/>
              <w:spacing w:line="194" w:lineRule="exact"/>
              <w:ind w:left="145" w:right="52"/>
              <w:rPr>
                <w:sz w:val="17"/>
              </w:rPr>
            </w:pPr>
            <w:r>
              <w:rPr>
                <w:sz w:val="17"/>
              </w:rPr>
              <w:t>Electrificación</w:t>
            </w:r>
            <w:r>
              <w:rPr>
                <w:spacing w:val="-10"/>
                <w:sz w:val="17"/>
              </w:rPr>
              <w:t> </w:t>
            </w:r>
            <w:r>
              <w:rPr>
                <w:sz w:val="17"/>
              </w:rPr>
              <w:t>de</w:t>
            </w:r>
            <w:r>
              <w:rPr>
                <w:spacing w:val="-10"/>
                <w:sz w:val="17"/>
              </w:rPr>
              <w:t> </w:t>
            </w:r>
            <w:r>
              <w:rPr>
                <w:sz w:val="17"/>
              </w:rPr>
              <w:t>cocheras</w:t>
            </w:r>
            <w:r>
              <w:rPr>
                <w:spacing w:val="-10"/>
                <w:sz w:val="17"/>
              </w:rPr>
              <w:t> </w:t>
            </w:r>
            <w:r>
              <w:rPr>
                <w:sz w:val="17"/>
              </w:rPr>
              <w:t>y</w:t>
            </w:r>
            <w:r>
              <w:rPr>
                <w:spacing w:val="40"/>
                <w:sz w:val="17"/>
              </w:rPr>
              <w:t> </w:t>
            </w:r>
            <w:r>
              <w:rPr>
                <w:sz w:val="17"/>
              </w:rPr>
              <w:t>puntos de recarga</w:t>
            </w:r>
          </w:p>
        </w:tc>
        <w:tc>
          <w:tcPr>
            <w:tcW w:w="1155" w:type="dxa"/>
            <w:tcBorders>
              <w:top w:val="single" w:sz="8" w:space="0" w:color="001F5F"/>
            </w:tcBorders>
          </w:tcPr>
          <w:p>
            <w:pPr>
              <w:pStyle w:val="TableParagraph"/>
              <w:spacing w:before="97"/>
              <w:ind w:left="5" w:right="25"/>
              <w:jc w:val="center"/>
              <w:rPr>
                <w:sz w:val="17"/>
              </w:rPr>
            </w:pPr>
            <w:r>
              <w:rPr>
                <w:spacing w:val="-10"/>
                <w:sz w:val="17"/>
              </w:rPr>
              <w:t>1</w:t>
            </w:r>
          </w:p>
        </w:tc>
        <w:tc>
          <w:tcPr>
            <w:tcW w:w="1126" w:type="dxa"/>
            <w:tcBorders>
              <w:top w:val="single" w:sz="8" w:space="0" w:color="001F5F"/>
            </w:tcBorders>
          </w:tcPr>
          <w:p>
            <w:pPr>
              <w:pStyle w:val="TableParagraph"/>
              <w:spacing w:before="97"/>
              <w:ind w:left="65"/>
              <w:jc w:val="center"/>
              <w:rPr>
                <w:sz w:val="17"/>
              </w:rPr>
            </w:pPr>
            <w:r>
              <w:rPr>
                <w:spacing w:val="-2"/>
                <w:sz w:val="17"/>
              </w:rPr>
              <w:t>15.271.464,01</w:t>
            </w:r>
          </w:p>
        </w:tc>
        <w:tc>
          <w:tcPr>
            <w:tcW w:w="1147" w:type="dxa"/>
            <w:tcBorders>
              <w:top w:val="single" w:sz="8" w:space="0" w:color="001F5F"/>
            </w:tcBorders>
          </w:tcPr>
          <w:p>
            <w:pPr>
              <w:pStyle w:val="TableParagraph"/>
              <w:spacing w:before="97"/>
              <w:ind w:right="96"/>
              <w:jc w:val="right"/>
              <w:rPr>
                <w:sz w:val="17"/>
              </w:rPr>
            </w:pPr>
            <w:r>
              <w:rPr>
                <w:spacing w:val="-2"/>
                <w:sz w:val="17"/>
              </w:rPr>
              <w:t>4.636.420,79</w:t>
            </w:r>
          </w:p>
        </w:tc>
        <w:tc>
          <w:tcPr>
            <w:tcW w:w="1201" w:type="dxa"/>
            <w:tcBorders>
              <w:top w:val="single" w:sz="8" w:space="0" w:color="001F5F"/>
            </w:tcBorders>
          </w:tcPr>
          <w:p>
            <w:pPr>
              <w:pStyle w:val="TableParagraph"/>
              <w:spacing w:before="97"/>
              <w:ind w:right="162"/>
              <w:jc w:val="right"/>
              <w:rPr>
                <w:sz w:val="17"/>
              </w:rPr>
            </w:pPr>
            <w:r>
              <w:rPr>
                <w:spacing w:val="-2"/>
                <w:sz w:val="17"/>
              </w:rPr>
              <w:t>10.635.043,22</w:t>
            </w:r>
          </w:p>
        </w:tc>
        <w:tc>
          <w:tcPr>
            <w:tcW w:w="478" w:type="dxa"/>
            <w:tcBorders>
              <w:top w:val="single" w:sz="8" w:space="0" w:color="001F5F"/>
            </w:tcBorders>
          </w:tcPr>
          <w:p>
            <w:pPr>
              <w:pStyle w:val="TableParagraph"/>
              <w:spacing w:before="97"/>
              <w:ind w:left="69"/>
              <w:jc w:val="center"/>
              <w:rPr>
                <w:sz w:val="17"/>
              </w:rPr>
            </w:pPr>
            <w:r>
              <w:rPr>
                <w:color w:val="5E89B4"/>
                <w:spacing w:val="-5"/>
                <w:sz w:val="17"/>
              </w:rPr>
              <w:t>NO</w:t>
            </w:r>
          </w:p>
        </w:tc>
        <w:tc>
          <w:tcPr>
            <w:tcW w:w="419" w:type="dxa"/>
            <w:tcBorders>
              <w:top w:val="single" w:sz="8" w:space="0" w:color="001F5F"/>
            </w:tcBorders>
          </w:tcPr>
          <w:p>
            <w:pPr>
              <w:pStyle w:val="TableParagraph"/>
              <w:spacing w:before="97"/>
              <w:ind w:left="9" w:right="6"/>
              <w:jc w:val="center"/>
              <w:rPr>
                <w:sz w:val="17"/>
              </w:rPr>
            </w:pPr>
            <w:r>
              <w:rPr>
                <w:color w:val="5E89B4"/>
                <w:spacing w:val="-5"/>
                <w:sz w:val="17"/>
              </w:rPr>
              <w:t>NO</w:t>
            </w:r>
          </w:p>
        </w:tc>
        <w:tc>
          <w:tcPr>
            <w:tcW w:w="424" w:type="dxa"/>
            <w:tcBorders>
              <w:top w:val="single" w:sz="8" w:space="0" w:color="001F5F"/>
            </w:tcBorders>
          </w:tcPr>
          <w:p>
            <w:pPr>
              <w:pStyle w:val="TableParagraph"/>
              <w:spacing w:before="97"/>
              <w:ind w:left="9"/>
              <w:jc w:val="center"/>
              <w:rPr>
                <w:sz w:val="17"/>
              </w:rPr>
            </w:pPr>
            <w:r>
              <w:rPr>
                <w:color w:val="5E89B4"/>
                <w:spacing w:val="-5"/>
                <w:sz w:val="17"/>
              </w:rPr>
              <w:t>NO</w:t>
            </w:r>
          </w:p>
        </w:tc>
        <w:tc>
          <w:tcPr>
            <w:tcW w:w="414" w:type="dxa"/>
            <w:tcBorders>
              <w:top w:val="single" w:sz="8" w:space="0" w:color="001F5F"/>
            </w:tcBorders>
          </w:tcPr>
          <w:p>
            <w:pPr>
              <w:pStyle w:val="TableParagraph"/>
              <w:spacing w:before="97"/>
              <w:ind w:left="22"/>
              <w:jc w:val="center"/>
              <w:rPr>
                <w:sz w:val="17"/>
              </w:rPr>
            </w:pPr>
            <w:r>
              <w:rPr>
                <w:color w:val="5E89B4"/>
                <w:spacing w:val="-5"/>
                <w:sz w:val="17"/>
              </w:rPr>
              <w:t>NO</w:t>
            </w:r>
          </w:p>
        </w:tc>
        <w:tc>
          <w:tcPr>
            <w:tcW w:w="999" w:type="dxa"/>
            <w:tcBorders>
              <w:top w:val="single" w:sz="8" w:space="0" w:color="001F5F"/>
            </w:tcBorders>
          </w:tcPr>
          <w:p>
            <w:pPr>
              <w:pStyle w:val="TableParagraph"/>
              <w:spacing w:before="97"/>
              <w:ind w:left="23" w:right="1"/>
              <w:jc w:val="center"/>
              <w:rPr>
                <w:sz w:val="17"/>
              </w:rPr>
            </w:pPr>
            <w:r>
              <w:rPr>
                <w:sz w:val="17"/>
              </w:rPr>
              <w:t>En</w:t>
            </w:r>
            <w:r>
              <w:rPr>
                <w:spacing w:val="-1"/>
                <w:sz w:val="17"/>
              </w:rPr>
              <w:t> </w:t>
            </w:r>
            <w:r>
              <w:rPr>
                <w:spacing w:val="-2"/>
                <w:sz w:val="17"/>
              </w:rPr>
              <w:t>ejecución</w:t>
            </w:r>
          </w:p>
        </w:tc>
      </w:tr>
      <w:tr>
        <w:trPr>
          <w:trHeight w:val="333" w:hRule="atLeast"/>
        </w:trPr>
        <w:tc>
          <w:tcPr>
            <w:tcW w:w="1125" w:type="dxa"/>
            <w:shd w:val="clear" w:color="auto" w:fill="002D5D"/>
          </w:tcPr>
          <w:p>
            <w:pPr>
              <w:pStyle w:val="TableParagraph"/>
              <w:spacing w:before="59"/>
              <w:ind w:left="71"/>
              <w:rPr>
                <w:b/>
                <w:sz w:val="17"/>
              </w:rPr>
            </w:pPr>
            <w:r>
              <w:rPr>
                <w:b/>
                <w:color w:val="FFFFFF"/>
                <w:spacing w:val="-2"/>
                <w:sz w:val="17"/>
              </w:rPr>
              <w:t>TOTAL</w:t>
            </w:r>
          </w:p>
        </w:tc>
        <w:tc>
          <w:tcPr>
            <w:tcW w:w="2138" w:type="dxa"/>
            <w:shd w:val="clear" w:color="auto" w:fill="002D5D"/>
          </w:tcPr>
          <w:p>
            <w:pPr>
              <w:pStyle w:val="TableParagraph"/>
              <w:rPr>
                <w:rFonts w:ascii="Times New Roman"/>
                <w:sz w:val="18"/>
              </w:rPr>
            </w:pPr>
          </w:p>
        </w:tc>
        <w:tc>
          <w:tcPr>
            <w:tcW w:w="1155" w:type="dxa"/>
            <w:shd w:val="clear" w:color="auto" w:fill="002D5D"/>
          </w:tcPr>
          <w:p>
            <w:pPr>
              <w:pStyle w:val="TableParagraph"/>
              <w:spacing w:before="59"/>
              <w:ind w:right="25"/>
              <w:jc w:val="center"/>
              <w:rPr>
                <w:b/>
                <w:sz w:val="17"/>
              </w:rPr>
            </w:pPr>
            <w:r>
              <w:rPr>
                <w:b/>
                <w:color w:val="FFFFFF"/>
                <w:spacing w:val="-5"/>
                <w:sz w:val="17"/>
              </w:rPr>
              <w:t>12</w:t>
            </w:r>
          </w:p>
        </w:tc>
        <w:tc>
          <w:tcPr>
            <w:tcW w:w="1126" w:type="dxa"/>
            <w:shd w:val="clear" w:color="auto" w:fill="002D5D"/>
          </w:tcPr>
          <w:p>
            <w:pPr>
              <w:pStyle w:val="TableParagraph"/>
              <w:spacing w:before="59"/>
              <w:ind w:left="65"/>
              <w:jc w:val="center"/>
              <w:rPr>
                <w:b/>
                <w:sz w:val="17"/>
              </w:rPr>
            </w:pPr>
            <w:r>
              <w:rPr>
                <w:b/>
                <w:color w:val="FFFFFF"/>
                <w:spacing w:val="-2"/>
                <w:sz w:val="17"/>
              </w:rPr>
              <w:t>34.907.073,18</w:t>
            </w:r>
          </w:p>
        </w:tc>
        <w:tc>
          <w:tcPr>
            <w:tcW w:w="1147" w:type="dxa"/>
            <w:shd w:val="clear" w:color="auto" w:fill="002D5D"/>
          </w:tcPr>
          <w:p>
            <w:pPr>
              <w:pStyle w:val="TableParagraph"/>
              <w:spacing w:before="59"/>
              <w:ind w:right="96"/>
              <w:jc w:val="right"/>
              <w:rPr>
                <w:b/>
                <w:sz w:val="17"/>
              </w:rPr>
            </w:pPr>
            <w:r>
              <w:rPr>
                <w:b/>
                <w:color w:val="FFFFFF"/>
                <w:spacing w:val="-2"/>
                <w:sz w:val="17"/>
              </w:rPr>
              <w:t>16.806.134,83</w:t>
            </w:r>
          </w:p>
        </w:tc>
        <w:tc>
          <w:tcPr>
            <w:tcW w:w="1201" w:type="dxa"/>
            <w:shd w:val="clear" w:color="auto" w:fill="002D5D"/>
          </w:tcPr>
          <w:p>
            <w:pPr>
              <w:pStyle w:val="TableParagraph"/>
              <w:spacing w:before="59"/>
              <w:ind w:right="162"/>
              <w:jc w:val="right"/>
              <w:rPr>
                <w:b/>
                <w:sz w:val="17"/>
              </w:rPr>
            </w:pPr>
            <w:r>
              <w:rPr>
                <w:b/>
                <w:color w:val="FFFFFF"/>
                <w:spacing w:val="-2"/>
                <w:sz w:val="17"/>
              </w:rPr>
              <w:t>18.100.938,35</w:t>
            </w:r>
          </w:p>
        </w:tc>
        <w:tc>
          <w:tcPr>
            <w:tcW w:w="478" w:type="dxa"/>
            <w:shd w:val="clear" w:color="auto" w:fill="002D5D"/>
          </w:tcPr>
          <w:p>
            <w:pPr>
              <w:pStyle w:val="TableParagraph"/>
              <w:rPr>
                <w:rFonts w:ascii="Times New Roman"/>
                <w:sz w:val="18"/>
              </w:rPr>
            </w:pPr>
          </w:p>
        </w:tc>
        <w:tc>
          <w:tcPr>
            <w:tcW w:w="419" w:type="dxa"/>
            <w:shd w:val="clear" w:color="auto" w:fill="002D5D"/>
          </w:tcPr>
          <w:p>
            <w:pPr>
              <w:pStyle w:val="TableParagraph"/>
              <w:rPr>
                <w:rFonts w:ascii="Times New Roman"/>
                <w:sz w:val="18"/>
              </w:rPr>
            </w:pPr>
          </w:p>
        </w:tc>
        <w:tc>
          <w:tcPr>
            <w:tcW w:w="424" w:type="dxa"/>
            <w:shd w:val="clear" w:color="auto" w:fill="002D5D"/>
          </w:tcPr>
          <w:p>
            <w:pPr>
              <w:pStyle w:val="TableParagraph"/>
              <w:rPr>
                <w:rFonts w:ascii="Times New Roman"/>
                <w:sz w:val="18"/>
              </w:rPr>
            </w:pPr>
          </w:p>
        </w:tc>
        <w:tc>
          <w:tcPr>
            <w:tcW w:w="414" w:type="dxa"/>
            <w:shd w:val="clear" w:color="auto" w:fill="002D5D"/>
          </w:tcPr>
          <w:p>
            <w:pPr>
              <w:pStyle w:val="TableParagraph"/>
              <w:rPr>
                <w:rFonts w:ascii="Times New Roman"/>
                <w:sz w:val="18"/>
              </w:rPr>
            </w:pPr>
          </w:p>
        </w:tc>
        <w:tc>
          <w:tcPr>
            <w:tcW w:w="999" w:type="dxa"/>
            <w:shd w:val="clear" w:color="auto" w:fill="002D5D"/>
          </w:tcPr>
          <w:p>
            <w:pPr>
              <w:pStyle w:val="TableParagraph"/>
              <w:rPr>
                <w:rFonts w:ascii="Times New Roman"/>
                <w:sz w:val="18"/>
              </w:rPr>
            </w:pPr>
          </w:p>
        </w:tc>
      </w:tr>
      <w:tr>
        <w:trPr>
          <w:trHeight w:val="301" w:hRule="atLeast"/>
        </w:trPr>
        <w:tc>
          <w:tcPr>
            <w:tcW w:w="5544" w:type="dxa"/>
            <w:gridSpan w:val="4"/>
          </w:tcPr>
          <w:p>
            <w:pPr>
              <w:pStyle w:val="TableParagraph"/>
              <w:spacing w:before="54"/>
              <w:ind w:left="71"/>
              <w:rPr>
                <w:sz w:val="17"/>
              </w:rPr>
            </w:pPr>
            <w:r>
              <w:rPr>
                <w:sz w:val="17"/>
              </w:rPr>
              <w:t>Fuente:</w:t>
            </w:r>
            <w:r>
              <w:rPr>
                <w:spacing w:val="-3"/>
                <w:sz w:val="17"/>
              </w:rPr>
              <w:t> </w:t>
            </w:r>
            <w:r>
              <w:rPr>
                <w:sz w:val="17"/>
              </w:rPr>
              <w:t>Elaboración</w:t>
            </w:r>
            <w:r>
              <w:rPr>
                <w:spacing w:val="-3"/>
                <w:sz w:val="17"/>
              </w:rPr>
              <w:t> </w:t>
            </w:r>
            <w:r>
              <w:rPr>
                <w:sz w:val="17"/>
              </w:rPr>
              <w:t>propia</w:t>
            </w:r>
            <w:r>
              <w:rPr>
                <w:spacing w:val="-3"/>
                <w:sz w:val="17"/>
              </w:rPr>
              <w:t> </w:t>
            </w:r>
            <w:r>
              <w:rPr>
                <w:sz w:val="17"/>
              </w:rPr>
              <w:t>a</w:t>
            </w:r>
            <w:r>
              <w:rPr>
                <w:spacing w:val="-3"/>
                <w:sz w:val="17"/>
              </w:rPr>
              <w:t> </w:t>
            </w:r>
            <w:r>
              <w:rPr>
                <w:sz w:val="17"/>
              </w:rPr>
              <w:t>partir</w:t>
            </w:r>
            <w:r>
              <w:rPr>
                <w:spacing w:val="-3"/>
                <w:sz w:val="17"/>
              </w:rPr>
              <w:t> </w:t>
            </w:r>
            <w:r>
              <w:rPr>
                <w:sz w:val="17"/>
              </w:rPr>
              <w:t>de</w:t>
            </w:r>
            <w:r>
              <w:rPr>
                <w:spacing w:val="-3"/>
                <w:sz w:val="17"/>
              </w:rPr>
              <w:t> </w:t>
            </w:r>
            <w:r>
              <w:rPr>
                <w:sz w:val="17"/>
              </w:rPr>
              <w:t>los</w:t>
            </w:r>
            <w:r>
              <w:rPr>
                <w:spacing w:val="-3"/>
                <w:sz w:val="17"/>
              </w:rPr>
              <w:t> </w:t>
            </w:r>
            <w:r>
              <w:rPr>
                <w:sz w:val="17"/>
              </w:rPr>
              <w:t>datos</w:t>
            </w:r>
            <w:r>
              <w:rPr>
                <w:spacing w:val="-1"/>
                <w:sz w:val="17"/>
              </w:rPr>
              <w:t> </w:t>
            </w:r>
            <w:r>
              <w:rPr>
                <w:sz w:val="17"/>
              </w:rPr>
              <w:t>facilitados</w:t>
            </w:r>
            <w:r>
              <w:rPr>
                <w:spacing w:val="-1"/>
                <w:sz w:val="17"/>
              </w:rPr>
              <w:t> </w:t>
            </w:r>
            <w:r>
              <w:rPr>
                <w:sz w:val="17"/>
              </w:rPr>
              <w:t>por</w:t>
            </w:r>
            <w:r>
              <w:rPr>
                <w:spacing w:val="-3"/>
                <w:sz w:val="17"/>
              </w:rPr>
              <w:t> </w:t>
            </w:r>
            <w:r>
              <w:rPr>
                <w:sz w:val="17"/>
              </w:rPr>
              <w:t>las</w:t>
            </w:r>
            <w:r>
              <w:rPr>
                <w:spacing w:val="-3"/>
                <w:sz w:val="17"/>
              </w:rPr>
              <w:t> </w:t>
            </w:r>
            <w:r>
              <w:rPr>
                <w:sz w:val="17"/>
              </w:rPr>
              <w:t>entidades</w:t>
            </w:r>
            <w:r>
              <w:rPr>
                <w:spacing w:val="-2"/>
                <w:sz w:val="17"/>
              </w:rPr>
              <w:t> fiscalizadas</w:t>
            </w:r>
          </w:p>
        </w:tc>
        <w:tc>
          <w:tcPr>
            <w:tcW w:w="1147" w:type="dxa"/>
          </w:tcPr>
          <w:p>
            <w:pPr>
              <w:pStyle w:val="TableParagraph"/>
              <w:rPr>
                <w:rFonts w:ascii="Times New Roman"/>
                <w:sz w:val="18"/>
              </w:rPr>
            </w:pPr>
          </w:p>
        </w:tc>
        <w:tc>
          <w:tcPr>
            <w:tcW w:w="1201" w:type="dxa"/>
          </w:tcPr>
          <w:p>
            <w:pPr>
              <w:pStyle w:val="TableParagraph"/>
              <w:rPr>
                <w:rFonts w:ascii="Times New Roman"/>
                <w:sz w:val="18"/>
              </w:rPr>
            </w:pPr>
          </w:p>
        </w:tc>
        <w:tc>
          <w:tcPr>
            <w:tcW w:w="478" w:type="dxa"/>
          </w:tcPr>
          <w:p>
            <w:pPr>
              <w:pStyle w:val="TableParagraph"/>
              <w:rPr>
                <w:rFonts w:ascii="Times New Roman"/>
                <w:sz w:val="18"/>
              </w:rPr>
            </w:pPr>
          </w:p>
        </w:tc>
        <w:tc>
          <w:tcPr>
            <w:tcW w:w="419" w:type="dxa"/>
          </w:tcPr>
          <w:p>
            <w:pPr>
              <w:pStyle w:val="TableParagraph"/>
              <w:rPr>
                <w:rFonts w:ascii="Times New Roman"/>
                <w:sz w:val="18"/>
              </w:rPr>
            </w:pPr>
          </w:p>
        </w:tc>
        <w:tc>
          <w:tcPr>
            <w:tcW w:w="424" w:type="dxa"/>
          </w:tcPr>
          <w:p>
            <w:pPr>
              <w:pStyle w:val="TableParagraph"/>
              <w:rPr>
                <w:rFonts w:ascii="Times New Roman"/>
                <w:sz w:val="18"/>
              </w:rPr>
            </w:pPr>
          </w:p>
        </w:tc>
        <w:tc>
          <w:tcPr>
            <w:tcW w:w="414" w:type="dxa"/>
          </w:tcPr>
          <w:p>
            <w:pPr>
              <w:pStyle w:val="TableParagraph"/>
              <w:rPr>
                <w:rFonts w:ascii="Times New Roman"/>
                <w:sz w:val="18"/>
              </w:rPr>
            </w:pPr>
          </w:p>
        </w:tc>
        <w:tc>
          <w:tcPr>
            <w:tcW w:w="999" w:type="dxa"/>
          </w:tcPr>
          <w:p>
            <w:pPr>
              <w:pStyle w:val="TableParagraph"/>
              <w:rPr>
                <w:rFonts w:ascii="Times New Roman"/>
                <w:sz w:val="18"/>
              </w:rPr>
            </w:pPr>
          </w:p>
        </w:tc>
      </w:tr>
      <w:tr>
        <w:trPr>
          <w:trHeight w:val="247" w:hRule="atLeast"/>
        </w:trPr>
        <w:tc>
          <w:tcPr>
            <w:tcW w:w="5544" w:type="dxa"/>
            <w:gridSpan w:val="4"/>
          </w:tcPr>
          <w:p>
            <w:pPr>
              <w:pStyle w:val="TableParagraph"/>
              <w:spacing w:line="175" w:lineRule="exact" w:before="52"/>
              <w:ind w:left="71"/>
              <w:rPr>
                <w:sz w:val="17"/>
              </w:rPr>
            </w:pPr>
            <w:r>
              <w:rPr>
                <w:sz w:val="17"/>
              </w:rPr>
              <w:t>P:</w:t>
            </w:r>
            <w:r>
              <w:rPr>
                <w:spacing w:val="-2"/>
                <w:sz w:val="17"/>
              </w:rPr>
              <w:t> </w:t>
            </w:r>
            <w:r>
              <w:rPr>
                <w:sz w:val="17"/>
              </w:rPr>
              <w:t>Prórroga,</w:t>
            </w:r>
            <w:r>
              <w:rPr>
                <w:spacing w:val="-3"/>
                <w:sz w:val="17"/>
              </w:rPr>
              <w:t> </w:t>
            </w:r>
            <w:r>
              <w:rPr>
                <w:sz w:val="17"/>
              </w:rPr>
              <w:t>M:</w:t>
            </w:r>
            <w:r>
              <w:rPr>
                <w:spacing w:val="-3"/>
                <w:sz w:val="17"/>
              </w:rPr>
              <w:t> </w:t>
            </w:r>
            <w:r>
              <w:rPr>
                <w:sz w:val="17"/>
              </w:rPr>
              <w:t>Modificaciones,</w:t>
            </w:r>
            <w:r>
              <w:rPr>
                <w:spacing w:val="-1"/>
                <w:sz w:val="17"/>
              </w:rPr>
              <w:t> </w:t>
            </w:r>
            <w:r>
              <w:rPr>
                <w:sz w:val="17"/>
              </w:rPr>
              <w:t>S:</w:t>
            </w:r>
            <w:r>
              <w:rPr>
                <w:spacing w:val="-3"/>
                <w:sz w:val="17"/>
              </w:rPr>
              <w:t> </w:t>
            </w:r>
            <w:r>
              <w:rPr>
                <w:sz w:val="17"/>
              </w:rPr>
              <w:t>Suspensión,</w:t>
            </w:r>
            <w:r>
              <w:rPr>
                <w:spacing w:val="-3"/>
                <w:sz w:val="17"/>
              </w:rPr>
              <w:t> </w:t>
            </w:r>
            <w:r>
              <w:rPr>
                <w:sz w:val="17"/>
              </w:rPr>
              <w:t>R:</w:t>
            </w:r>
            <w:r>
              <w:rPr>
                <w:spacing w:val="-2"/>
                <w:sz w:val="17"/>
              </w:rPr>
              <w:t> Resolución</w:t>
            </w:r>
          </w:p>
        </w:tc>
        <w:tc>
          <w:tcPr>
            <w:tcW w:w="1147" w:type="dxa"/>
          </w:tcPr>
          <w:p>
            <w:pPr>
              <w:pStyle w:val="TableParagraph"/>
              <w:rPr>
                <w:rFonts w:ascii="Times New Roman"/>
                <w:sz w:val="18"/>
              </w:rPr>
            </w:pPr>
          </w:p>
        </w:tc>
        <w:tc>
          <w:tcPr>
            <w:tcW w:w="1201" w:type="dxa"/>
          </w:tcPr>
          <w:p>
            <w:pPr>
              <w:pStyle w:val="TableParagraph"/>
              <w:rPr>
                <w:rFonts w:ascii="Times New Roman"/>
                <w:sz w:val="18"/>
              </w:rPr>
            </w:pPr>
          </w:p>
        </w:tc>
        <w:tc>
          <w:tcPr>
            <w:tcW w:w="478" w:type="dxa"/>
          </w:tcPr>
          <w:p>
            <w:pPr>
              <w:pStyle w:val="TableParagraph"/>
              <w:rPr>
                <w:rFonts w:ascii="Times New Roman"/>
                <w:sz w:val="18"/>
              </w:rPr>
            </w:pPr>
          </w:p>
        </w:tc>
        <w:tc>
          <w:tcPr>
            <w:tcW w:w="419" w:type="dxa"/>
          </w:tcPr>
          <w:p>
            <w:pPr>
              <w:pStyle w:val="TableParagraph"/>
              <w:rPr>
                <w:rFonts w:ascii="Times New Roman"/>
                <w:sz w:val="18"/>
              </w:rPr>
            </w:pPr>
          </w:p>
        </w:tc>
        <w:tc>
          <w:tcPr>
            <w:tcW w:w="424" w:type="dxa"/>
          </w:tcPr>
          <w:p>
            <w:pPr>
              <w:pStyle w:val="TableParagraph"/>
              <w:rPr>
                <w:rFonts w:ascii="Times New Roman"/>
                <w:sz w:val="18"/>
              </w:rPr>
            </w:pPr>
          </w:p>
        </w:tc>
        <w:tc>
          <w:tcPr>
            <w:tcW w:w="414" w:type="dxa"/>
          </w:tcPr>
          <w:p>
            <w:pPr>
              <w:pStyle w:val="TableParagraph"/>
              <w:rPr>
                <w:rFonts w:ascii="Times New Roman"/>
                <w:sz w:val="18"/>
              </w:rPr>
            </w:pPr>
          </w:p>
        </w:tc>
        <w:tc>
          <w:tcPr>
            <w:tcW w:w="999" w:type="dxa"/>
          </w:tcPr>
          <w:p>
            <w:pPr>
              <w:pStyle w:val="TableParagraph"/>
              <w:rPr>
                <w:rFonts w:ascii="Times New Roman"/>
                <w:sz w:val="18"/>
              </w:rPr>
            </w:pPr>
          </w:p>
        </w:tc>
      </w:tr>
    </w:tbl>
    <w:p>
      <w:pPr>
        <w:pStyle w:val="BodyText"/>
        <w:spacing w:before="180"/>
        <w:ind w:left="992" w:right="988"/>
        <w:jc w:val="both"/>
      </w:pPr>
      <w:r>
        <w:rPr/>
        <w:t>El </w:t>
      </w:r>
      <w:r>
        <w:rPr>
          <w:b/>
        </w:rPr>
        <w:t>Ayuntamiento de Alicante </w:t>
      </w:r>
      <w:r>
        <w:rPr/>
        <w:t>llevó a cabo, a través de la empresa concesionaria del servicio de transporte público, la instalación de 44 sistemas de recarga en las cocheras municipales, siendo diciembre de 2023 la fecha final prevista en el contrato para su ejecución. Esta actuación estaba subvencionada con fondos del PRTR, siendo diciembre de 2024 la fecha inicialmente comunicada al MITMA para concluir la obra. Sin embargo, problemas de alineaciones en determinados tramos de</w:t>
      </w:r>
      <w:r>
        <w:rPr>
          <w:spacing w:val="-9"/>
        </w:rPr>
        <w:t> </w:t>
      </w:r>
      <w:r>
        <w:rPr/>
        <w:t>las</w:t>
      </w:r>
      <w:r>
        <w:rPr>
          <w:spacing w:val="-9"/>
        </w:rPr>
        <w:t> </w:t>
      </w:r>
      <w:r>
        <w:rPr/>
        <w:t>obras</w:t>
      </w:r>
      <w:r>
        <w:rPr>
          <w:spacing w:val="-8"/>
        </w:rPr>
        <w:t> </w:t>
      </w:r>
      <w:r>
        <w:rPr/>
        <w:t>de</w:t>
      </w:r>
      <w:r>
        <w:rPr>
          <w:spacing w:val="-12"/>
        </w:rPr>
        <w:t> </w:t>
      </w:r>
      <w:r>
        <w:rPr/>
        <w:t>instalación</w:t>
      </w:r>
      <w:r>
        <w:rPr>
          <w:spacing w:val="-9"/>
        </w:rPr>
        <w:t> </w:t>
      </w:r>
      <w:r>
        <w:rPr/>
        <w:t>motivaron</w:t>
      </w:r>
      <w:r>
        <w:rPr>
          <w:spacing w:val="-11"/>
        </w:rPr>
        <w:t> </w:t>
      </w:r>
      <w:r>
        <w:rPr/>
        <w:t>que</w:t>
      </w:r>
      <w:r>
        <w:rPr>
          <w:spacing w:val="-9"/>
        </w:rPr>
        <w:t> </w:t>
      </w:r>
      <w:r>
        <w:rPr/>
        <w:t>la</w:t>
      </w:r>
      <w:r>
        <w:rPr>
          <w:spacing w:val="-9"/>
        </w:rPr>
        <w:t> </w:t>
      </w:r>
      <w:r>
        <w:rPr/>
        <w:t>entidad</w:t>
      </w:r>
      <w:r>
        <w:rPr>
          <w:spacing w:val="-9"/>
        </w:rPr>
        <w:t> </w:t>
      </w:r>
      <w:r>
        <w:rPr/>
        <w:t>tuviera</w:t>
      </w:r>
      <w:r>
        <w:rPr>
          <w:spacing w:val="-11"/>
        </w:rPr>
        <w:t> </w:t>
      </w:r>
      <w:r>
        <w:rPr/>
        <w:t>que</w:t>
      </w:r>
      <w:r>
        <w:rPr>
          <w:spacing w:val="-11"/>
        </w:rPr>
        <w:t> </w:t>
      </w:r>
      <w:r>
        <w:rPr/>
        <w:t>solicitar</w:t>
      </w:r>
      <w:r>
        <w:rPr>
          <w:spacing w:val="-8"/>
        </w:rPr>
        <w:t> </w:t>
      </w:r>
      <w:r>
        <w:rPr/>
        <w:t>al</w:t>
      </w:r>
      <w:r>
        <w:rPr>
          <w:spacing w:val="-15"/>
        </w:rPr>
        <w:t> </w:t>
      </w:r>
      <w:r>
        <w:rPr/>
        <w:t>MITMA</w:t>
      </w:r>
      <w:r>
        <w:rPr>
          <w:spacing w:val="-9"/>
        </w:rPr>
        <w:t> </w:t>
      </w:r>
      <w:r>
        <w:rPr/>
        <w:t>una</w:t>
      </w:r>
      <w:r>
        <w:rPr>
          <w:spacing w:val="-11"/>
        </w:rPr>
        <w:t> </w:t>
      </w:r>
      <w:r>
        <w:rPr/>
        <w:t>modificación de</w:t>
      </w:r>
      <w:r>
        <w:rPr>
          <w:spacing w:val="-7"/>
        </w:rPr>
        <w:t> </w:t>
      </w:r>
      <w:r>
        <w:rPr/>
        <w:t>la</w:t>
      </w:r>
      <w:r>
        <w:rPr>
          <w:spacing w:val="-6"/>
        </w:rPr>
        <w:t> </w:t>
      </w:r>
      <w:r>
        <w:rPr/>
        <w:t>fecha</w:t>
      </w:r>
      <w:r>
        <w:rPr>
          <w:spacing w:val="-9"/>
        </w:rPr>
        <w:t> </w:t>
      </w:r>
      <w:r>
        <w:rPr/>
        <w:t>para</w:t>
      </w:r>
      <w:r>
        <w:rPr>
          <w:spacing w:val="-9"/>
        </w:rPr>
        <w:t> </w:t>
      </w:r>
      <w:r>
        <w:rPr/>
        <w:t>la</w:t>
      </w:r>
      <w:r>
        <w:rPr>
          <w:spacing w:val="-6"/>
        </w:rPr>
        <w:t> </w:t>
      </w:r>
      <w:r>
        <w:rPr/>
        <w:t>conclusión</w:t>
      </w:r>
      <w:r>
        <w:rPr>
          <w:spacing w:val="-7"/>
        </w:rPr>
        <w:t> </w:t>
      </w:r>
      <w:r>
        <w:rPr/>
        <w:t>de</w:t>
      </w:r>
      <w:r>
        <w:rPr>
          <w:spacing w:val="-7"/>
        </w:rPr>
        <w:t> </w:t>
      </w:r>
      <w:r>
        <w:rPr/>
        <w:t>esta</w:t>
      </w:r>
      <w:r>
        <w:rPr>
          <w:spacing w:val="-8"/>
        </w:rPr>
        <w:t> </w:t>
      </w:r>
      <w:r>
        <w:rPr/>
        <w:t>actuación,</w:t>
      </w:r>
      <w:r>
        <w:rPr>
          <w:spacing w:val="-7"/>
        </w:rPr>
        <w:t> </w:t>
      </w:r>
      <w:r>
        <w:rPr/>
        <w:t>ampliándose</w:t>
      </w:r>
      <w:r>
        <w:rPr>
          <w:spacing w:val="-6"/>
        </w:rPr>
        <w:t> </w:t>
      </w:r>
      <w:r>
        <w:rPr/>
        <w:t>por</w:t>
      </w:r>
      <w:r>
        <w:rPr>
          <w:spacing w:val="-8"/>
        </w:rPr>
        <w:t> </w:t>
      </w:r>
      <w:r>
        <w:rPr/>
        <w:t>un</w:t>
      </w:r>
      <w:r>
        <w:rPr>
          <w:spacing w:val="-7"/>
        </w:rPr>
        <w:t> </w:t>
      </w:r>
      <w:r>
        <w:rPr/>
        <w:t>año</w:t>
      </w:r>
      <w:r>
        <w:rPr>
          <w:spacing w:val="-9"/>
        </w:rPr>
        <w:t> </w:t>
      </w:r>
      <w:r>
        <w:rPr/>
        <w:t>hasta</w:t>
      </w:r>
      <w:r>
        <w:rPr>
          <w:spacing w:val="-6"/>
        </w:rPr>
        <w:t> </w:t>
      </w:r>
      <w:r>
        <w:rPr/>
        <w:t>diciembre</w:t>
      </w:r>
      <w:r>
        <w:rPr>
          <w:spacing w:val="-6"/>
        </w:rPr>
        <w:t> </w:t>
      </w:r>
      <w:r>
        <w:rPr/>
        <w:t>de</w:t>
      </w:r>
      <w:r>
        <w:rPr>
          <w:spacing w:val="-9"/>
        </w:rPr>
        <w:t> </w:t>
      </w:r>
      <w:r>
        <w:rPr/>
        <w:t>2025. Las actuaciones, por importe de 4.220.176,98 euros, concluyeron a finales de 2024.</w:t>
      </w:r>
    </w:p>
    <w:p>
      <w:pPr>
        <w:pStyle w:val="BodyText"/>
        <w:spacing w:before="240"/>
        <w:ind w:left="992" w:right="987"/>
        <w:jc w:val="both"/>
      </w:pPr>
      <w:r>
        <w:rPr/>
        <w:t>La empresa concesionaria del servicio de transporte público contratada por el </w:t>
      </w:r>
      <w:r>
        <w:rPr>
          <w:b/>
        </w:rPr>
        <w:t>Ayuntamiento de Bilbao </w:t>
      </w:r>
      <w:r>
        <w:rPr/>
        <w:t>ha acometido la</w:t>
      </w:r>
      <w:r>
        <w:rPr>
          <w:spacing w:val="-2"/>
        </w:rPr>
        <w:t> </w:t>
      </w:r>
      <w:r>
        <w:rPr/>
        <w:t>adecuación de la infraestructura eléctrica en las</w:t>
      </w:r>
      <w:r>
        <w:rPr>
          <w:spacing w:val="-2"/>
        </w:rPr>
        <w:t> </w:t>
      </w:r>
      <w:r>
        <w:rPr/>
        <w:t>cocheras</w:t>
      </w:r>
      <w:r>
        <w:rPr>
          <w:spacing w:val="-1"/>
        </w:rPr>
        <w:t> </w:t>
      </w:r>
      <w:r>
        <w:rPr/>
        <w:t>municipales y la instalación de ocho cargadores, por un importe total de 387.000,00 euros, IVA no incluido. Esta actuación se encuentra concluida.</w:t>
      </w:r>
    </w:p>
    <w:p>
      <w:pPr>
        <w:pStyle w:val="BodyText"/>
        <w:spacing w:before="159"/>
        <w:ind w:left="992" w:right="989"/>
        <w:jc w:val="both"/>
      </w:pPr>
      <w:r>
        <w:rPr/>
        <w:t>Hubo demoras en la ejecución del contrato de obra, suministro, instalación, puesta en servicios y legalización de la infraestructura eléctrica para la recarga de vehículos eléctricos celebrado por la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7"/>
        <w:jc w:val="both"/>
      </w:pPr>
      <w:r>
        <w:rPr/>
        <w:t>empresa</w:t>
      </w:r>
      <w:r>
        <w:rPr>
          <w:spacing w:val="-16"/>
        </w:rPr>
        <w:t> </w:t>
      </w:r>
      <w:r>
        <w:rPr/>
        <w:t>concesionaria</w:t>
      </w:r>
      <w:r>
        <w:rPr>
          <w:spacing w:val="-15"/>
        </w:rPr>
        <w:t> </w:t>
      </w:r>
      <w:r>
        <w:rPr/>
        <w:t>del</w:t>
      </w:r>
      <w:r>
        <w:rPr>
          <w:spacing w:val="-15"/>
        </w:rPr>
        <w:t> </w:t>
      </w:r>
      <w:r>
        <w:rPr/>
        <w:t>servicio</w:t>
      </w:r>
      <w:r>
        <w:rPr>
          <w:spacing w:val="-14"/>
        </w:rPr>
        <w:t> </w:t>
      </w:r>
      <w:r>
        <w:rPr/>
        <w:t>público</w:t>
      </w:r>
      <w:r>
        <w:rPr>
          <w:spacing w:val="-14"/>
        </w:rPr>
        <w:t> </w:t>
      </w:r>
      <w:r>
        <w:rPr/>
        <w:t>de</w:t>
      </w:r>
      <w:r>
        <w:rPr>
          <w:spacing w:val="-16"/>
        </w:rPr>
        <w:t> </w:t>
      </w:r>
      <w:r>
        <w:rPr/>
        <w:t>transporte</w:t>
      </w:r>
      <w:r>
        <w:rPr>
          <w:spacing w:val="-15"/>
        </w:rPr>
        <w:t> </w:t>
      </w:r>
      <w:r>
        <w:rPr/>
        <w:t>público</w:t>
      </w:r>
      <w:r>
        <w:rPr>
          <w:spacing w:val="-14"/>
        </w:rPr>
        <w:t> </w:t>
      </w:r>
      <w:r>
        <w:rPr/>
        <w:t>del</w:t>
      </w:r>
      <w:r>
        <w:rPr>
          <w:spacing w:val="-14"/>
        </w:rPr>
        <w:t> </w:t>
      </w:r>
      <w:r>
        <w:rPr>
          <w:b/>
        </w:rPr>
        <w:t>Ayuntamiento</w:t>
      </w:r>
      <w:r>
        <w:rPr>
          <w:b/>
          <w:spacing w:val="-14"/>
        </w:rPr>
        <w:t> </w:t>
      </w:r>
      <w:r>
        <w:rPr>
          <w:b/>
        </w:rPr>
        <w:t>de</w:t>
      </w:r>
      <w:r>
        <w:rPr>
          <w:b/>
          <w:spacing w:val="-16"/>
        </w:rPr>
        <w:t> </w:t>
      </w:r>
      <w:r>
        <w:rPr>
          <w:b/>
        </w:rPr>
        <w:t>Las</w:t>
      </w:r>
      <w:r>
        <w:rPr>
          <w:b/>
          <w:spacing w:val="-14"/>
        </w:rPr>
        <w:t> </w:t>
      </w:r>
      <w:r>
        <w:rPr>
          <w:b/>
        </w:rPr>
        <w:t>Palmas de</w:t>
      </w:r>
      <w:r>
        <w:rPr>
          <w:b/>
          <w:spacing w:val="-2"/>
        </w:rPr>
        <w:t> </w:t>
      </w:r>
      <w:r>
        <w:rPr>
          <w:b/>
        </w:rPr>
        <w:t>Gran</w:t>
      </w:r>
      <w:r>
        <w:rPr>
          <w:b/>
          <w:spacing w:val="-2"/>
        </w:rPr>
        <w:t> </w:t>
      </w:r>
      <w:r>
        <w:rPr>
          <w:b/>
        </w:rPr>
        <w:t>Canaria</w:t>
      </w:r>
      <w:r>
        <w:rPr/>
        <w:t>.</w:t>
      </w:r>
      <w:r>
        <w:rPr>
          <w:spacing w:val="-3"/>
        </w:rPr>
        <w:t> </w:t>
      </w:r>
      <w:r>
        <w:rPr/>
        <w:t>El</w:t>
      </w:r>
      <w:r>
        <w:rPr>
          <w:spacing w:val="-2"/>
        </w:rPr>
        <w:t> </w:t>
      </w:r>
      <w:r>
        <w:rPr/>
        <w:t>contrato,</w:t>
      </w:r>
      <w:r>
        <w:rPr>
          <w:spacing w:val="-3"/>
        </w:rPr>
        <w:t> </w:t>
      </w:r>
      <w:r>
        <w:rPr/>
        <w:t>por</w:t>
      </w:r>
      <w:r>
        <w:rPr>
          <w:spacing w:val="-3"/>
        </w:rPr>
        <w:t> </w:t>
      </w:r>
      <w:r>
        <w:rPr/>
        <w:t>importe</w:t>
      </w:r>
      <w:r>
        <w:rPr>
          <w:spacing w:val="-2"/>
        </w:rPr>
        <w:t> </w:t>
      </w:r>
      <w:r>
        <w:rPr/>
        <w:t>de</w:t>
      </w:r>
      <w:r>
        <w:rPr>
          <w:spacing w:val="-3"/>
        </w:rPr>
        <w:t> </w:t>
      </w:r>
      <w:r>
        <w:rPr/>
        <w:t>1.597.888,46</w:t>
      </w:r>
      <w:r>
        <w:rPr>
          <w:spacing w:val="-3"/>
        </w:rPr>
        <w:t> </w:t>
      </w:r>
      <w:r>
        <w:rPr/>
        <w:t>euros,</w:t>
      </w:r>
      <w:r>
        <w:rPr>
          <w:spacing w:val="-2"/>
        </w:rPr>
        <w:t> </w:t>
      </w:r>
      <w:r>
        <w:rPr/>
        <w:t>se</w:t>
      </w:r>
      <w:r>
        <w:rPr>
          <w:spacing w:val="-4"/>
        </w:rPr>
        <w:t> </w:t>
      </w:r>
      <w:r>
        <w:rPr/>
        <w:t>formalizó</w:t>
      </w:r>
      <w:r>
        <w:rPr>
          <w:spacing w:val="-2"/>
        </w:rPr>
        <w:t> </w:t>
      </w:r>
      <w:r>
        <w:rPr/>
        <w:t>en</w:t>
      </w:r>
      <w:r>
        <w:rPr>
          <w:spacing w:val="-2"/>
        </w:rPr>
        <w:t> </w:t>
      </w:r>
      <w:r>
        <w:rPr/>
        <w:t>octubre</w:t>
      </w:r>
      <w:r>
        <w:rPr>
          <w:spacing w:val="-2"/>
        </w:rPr>
        <w:t> </w:t>
      </w:r>
      <w:r>
        <w:rPr/>
        <w:t>de</w:t>
      </w:r>
      <w:r>
        <w:rPr>
          <w:spacing w:val="-4"/>
        </w:rPr>
        <w:t> </w:t>
      </w:r>
      <w:r>
        <w:rPr/>
        <w:t>2023 con</w:t>
      </w:r>
      <w:r>
        <w:rPr>
          <w:spacing w:val="-3"/>
        </w:rPr>
        <w:t> </w:t>
      </w:r>
      <w:r>
        <w:rPr/>
        <w:t>un</w:t>
      </w:r>
      <w:r>
        <w:rPr>
          <w:spacing w:val="-3"/>
        </w:rPr>
        <w:t> </w:t>
      </w:r>
      <w:r>
        <w:rPr/>
        <w:t>plazo</w:t>
      </w:r>
      <w:r>
        <w:rPr>
          <w:spacing w:val="-3"/>
        </w:rPr>
        <w:t> </w:t>
      </w:r>
      <w:r>
        <w:rPr/>
        <w:t>de</w:t>
      </w:r>
      <w:r>
        <w:rPr>
          <w:spacing w:val="-3"/>
        </w:rPr>
        <w:t> </w:t>
      </w:r>
      <w:r>
        <w:rPr/>
        <w:t>ejecución</w:t>
      </w:r>
      <w:r>
        <w:rPr>
          <w:spacing w:val="-3"/>
        </w:rPr>
        <w:t> </w:t>
      </w:r>
      <w:r>
        <w:rPr/>
        <w:t>de</w:t>
      </w:r>
      <w:r>
        <w:rPr>
          <w:spacing w:val="-3"/>
        </w:rPr>
        <w:t> </w:t>
      </w:r>
      <w:r>
        <w:rPr/>
        <w:t>seis</w:t>
      </w:r>
      <w:r>
        <w:rPr>
          <w:spacing w:val="-3"/>
        </w:rPr>
        <w:t> </w:t>
      </w:r>
      <w:r>
        <w:rPr/>
        <w:t>meses.</w:t>
      </w:r>
      <w:r>
        <w:rPr>
          <w:spacing w:val="-2"/>
        </w:rPr>
        <w:t> </w:t>
      </w:r>
      <w:r>
        <w:rPr/>
        <w:t>No</w:t>
      </w:r>
      <w:r>
        <w:rPr>
          <w:spacing w:val="-3"/>
        </w:rPr>
        <w:t> </w:t>
      </w:r>
      <w:r>
        <w:rPr/>
        <w:t>fue</w:t>
      </w:r>
      <w:r>
        <w:rPr>
          <w:spacing w:val="-6"/>
        </w:rPr>
        <w:t> </w:t>
      </w:r>
      <w:r>
        <w:rPr/>
        <w:t>hasta</w:t>
      </w:r>
      <w:r>
        <w:rPr>
          <w:spacing w:val="-3"/>
        </w:rPr>
        <w:t> </w:t>
      </w:r>
      <w:r>
        <w:rPr/>
        <w:t>marzo</w:t>
      </w:r>
      <w:r>
        <w:rPr>
          <w:spacing w:val="-3"/>
        </w:rPr>
        <w:t> </w:t>
      </w:r>
      <w:r>
        <w:rPr/>
        <w:t>de</w:t>
      </w:r>
      <w:r>
        <w:rPr>
          <w:spacing w:val="-3"/>
        </w:rPr>
        <w:t> </w:t>
      </w:r>
      <w:r>
        <w:rPr/>
        <w:t>2025</w:t>
      </w:r>
      <w:r>
        <w:rPr>
          <w:spacing w:val="-6"/>
        </w:rPr>
        <w:t> </w:t>
      </w:r>
      <w:r>
        <w:rPr/>
        <w:t>cuando</w:t>
      </w:r>
      <w:r>
        <w:rPr>
          <w:spacing w:val="-3"/>
        </w:rPr>
        <w:t> </w:t>
      </w:r>
      <w:r>
        <w:rPr/>
        <w:t>la</w:t>
      </w:r>
      <w:r>
        <w:rPr>
          <w:spacing w:val="-3"/>
        </w:rPr>
        <w:t> </w:t>
      </w:r>
      <w:r>
        <w:rPr/>
        <w:t>entidad</w:t>
      </w:r>
      <w:r>
        <w:rPr>
          <w:spacing w:val="-3"/>
        </w:rPr>
        <w:t> </w:t>
      </w:r>
      <w:r>
        <w:rPr/>
        <w:t>obtuvo</w:t>
      </w:r>
      <w:r>
        <w:rPr>
          <w:spacing w:val="-3"/>
        </w:rPr>
        <w:t> </w:t>
      </w:r>
      <w:r>
        <w:rPr/>
        <w:t>la autorización para la puesta en servicio de la instalación eléctrica. En agosto de 2025 la entidad ha informado que el objeto del contrato estaba ejecutado y estaba en trámite de firma el acta de recepción, por lo que se habría producido una demora de dieciséis meses.</w:t>
      </w:r>
    </w:p>
    <w:p>
      <w:pPr>
        <w:pStyle w:val="BodyText"/>
        <w:spacing w:before="241"/>
        <w:ind w:left="992" w:right="988"/>
        <w:jc w:val="both"/>
      </w:pPr>
      <w:r>
        <w:rPr/>
        <w:t>El </w:t>
      </w:r>
      <w:r>
        <w:rPr>
          <w:b/>
        </w:rPr>
        <w:t>Ayuntamiento de Málaga </w:t>
      </w:r>
      <w:r>
        <w:rPr/>
        <w:t>ha tramitado cinco expedientes contractuales para la instalación de cargadores para autobuses eléctricos mediante pantógrafo invertido y manguera de conexión con inclusión de la dotación de una línea subterránea de media tensión, el centro de seccionamiento y medida, los</w:t>
      </w:r>
      <w:r>
        <w:rPr>
          <w:spacing w:val="-2"/>
        </w:rPr>
        <w:t> </w:t>
      </w:r>
      <w:r>
        <w:rPr/>
        <w:t>centros</w:t>
      </w:r>
      <w:r>
        <w:rPr>
          <w:spacing w:val="-2"/>
        </w:rPr>
        <w:t> </w:t>
      </w:r>
      <w:r>
        <w:rPr/>
        <w:t>de</w:t>
      </w:r>
      <w:r>
        <w:rPr>
          <w:spacing w:val="-4"/>
        </w:rPr>
        <w:t> </w:t>
      </w:r>
      <w:r>
        <w:rPr/>
        <w:t>transformación</w:t>
      </w:r>
      <w:r>
        <w:rPr>
          <w:spacing w:val="-2"/>
        </w:rPr>
        <w:t> </w:t>
      </w:r>
      <w:r>
        <w:rPr/>
        <w:t>privados,</w:t>
      </w:r>
      <w:r>
        <w:rPr>
          <w:spacing w:val="-3"/>
        </w:rPr>
        <w:t> </w:t>
      </w:r>
      <w:r>
        <w:rPr/>
        <w:t>así</w:t>
      </w:r>
      <w:r>
        <w:rPr>
          <w:spacing w:val="-1"/>
        </w:rPr>
        <w:t> </w:t>
      </w:r>
      <w:r>
        <w:rPr/>
        <w:t>como</w:t>
      </w:r>
      <w:r>
        <w:rPr>
          <w:spacing w:val="-2"/>
        </w:rPr>
        <w:t> </w:t>
      </w:r>
      <w:r>
        <w:rPr/>
        <w:t>la</w:t>
      </w:r>
      <w:r>
        <w:rPr>
          <w:spacing w:val="-2"/>
        </w:rPr>
        <w:t> </w:t>
      </w:r>
      <w:r>
        <w:rPr/>
        <w:t>infraestructura</w:t>
      </w:r>
      <w:r>
        <w:rPr>
          <w:spacing w:val="-2"/>
        </w:rPr>
        <w:t> </w:t>
      </w:r>
      <w:r>
        <w:rPr/>
        <w:t>para</w:t>
      </w:r>
      <w:r>
        <w:rPr>
          <w:spacing w:val="-2"/>
        </w:rPr>
        <w:t> </w:t>
      </w:r>
      <w:r>
        <w:rPr/>
        <w:t>la</w:t>
      </w:r>
      <w:r>
        <w:rPr>
          <w:spacing w:val="-2"/>
        </w:rPr>
        <w:t> </w:t>
      </w:r>
      <w:r>
        <w:rPr/>
        <w:t>carga</w:t>
      </w:r>
      <w:r>
        <w:rPr>
          <w:spacing w:val="-2"/>
        </w:rPr>
        <w:t> </w:t>
      </w:r>
      <w:r>
        <w:rPr/>
        <w:t>eléctrica. Estos contratos han concluido, salvo el</w:t>
      </w:r>
      <w:r>
        <w:rPr>
          <w:spacing w:val="-1"/>
        </w:rPr>
        <w:t> </w:t>
      </w:r>
      <w:r>
        <w:rPr/>
        <w:t>de suministro e instalación de los</w:t>
      </w:r>
      <w:r>
        <w:rPr>
          <w:spacing w:val="-2"/>
        </w:rPr>
        <w:t> </w:t>
      </w:r>
      <w:r>
        <w:rPr/>
        <w:t>pantógrafos, que ha sido modificado por el incremento del número de cargadores a suministrar, aumentando el importe del contrato en 1.643.807,57</w:t>
      </w:r>
      <w:r>
        <w:rPr>
          <w:spacing w:val="-2"/>
        </w:rPr>
        <w:t> </w:t>
      </w:r>
      <w:r>
        <w:rPr/>
        <w:t>euros, IVA</w:t>
      </w:r>
      <w:r>
        <w:rPr>
          <w:spacing w:val="-2"/>
        </w:rPr>
        <w:t> </w:t>
      </w:r>
      <w:r>
        <w:rPr/>
        <w:t>excluido, debido a la</w:t>
      </w:r>
      <w:r>
        <w:rPr>
          <w:spacing w:val="-2"/>
        </w:rPr>
        <w:t> </w:t>
      </w:r>
      <w:r>
        <w:rPr/>
        <w:t>adquisición de</w:t>
      </w:r>
      <w:r>
        <w:rPr>
          <w:spacing w:val="-2"/>
        </w:rPr>
        <w:t> </w:t>
      </w:r>
      <w:r>
        <w:rPr/>
        <w:t>más autobuses</w:t>
      </w:r>
      <w:r>
        <w:rPr>
          <w:spacing w:val="-2"/>
        </w:rPr>
        <w:t> </w:t>
      </w:r>
      <w:r>
        <w:rPr/>
        <w:t>eléctricos de los previstos inicialmente.</w:t>
      </w:r>
    </w:p>
    <w:p>
      <w:pPr>
        <w:pStyle w:val="BodyText"/>
        <w:spacing w:before="240"/>
        <w:ind w:left="992" w:right="987"/>
        <w:jc w:val="both"/>
      </w:pPr>
      <w:r>
        <w:rPr/>
        <w:t>El</w:t>
      </w:r>
      <w:r>
        <w:rPr>
          <w:spacing w:val="-6"/>
        </w:rPr>
        <w:t> </w:t>
      </w:r>
      <w:r>
        <w:rPr>
          <w:b/>
        </w:rPr>
        <w:t>Ayuntamiento</w:t>
      </w:r>
      <w:r>
        <w:rPr>
          <w:b/>
          <w:spacing w:val="-7"/>
        </w:rPr>
        <w:t> </w:t>
      </w:r>
      <w:r>
        <w:rPr>
          <w:b/>
        </w:rPr>
        <w:t>de</w:t>
      </w:r>
      <w:r>
        <w:rPr>
          <w:b/>
          <w:spacing w:val="-8"/>
        </w:rPr>
        <w:t> </w:t>
      </w:r>
      <w:r>
        <w:rPr>
          <w:b/>
        </w:rPr>
        <w:t>Palma</w:t>
      </w:r>
      <w:r>
        <w:rPr>
          <w:b/>
          <w:spacing w:val="-6"/>
        </w:rPr>
        <w:t> </w:t>
      </w:r>
      <w:r>
        <w:rPr/>
        <w:t>incluyó</w:t>
      </w:r>
      <w:r>
        <w:rPr>
          <w:spacing w:val="-5"/>
        </w:rPr>
        <w:t> </w:t>
      </w:r>
      <w:r>
        <w:rPr/>
        <w:t>en</w:t>
      </w:r>
      <w:r>
        <w:rPr>
          <w:spacing w:val="-8"/>
        </w:rPr>
        <w:t> </w:t>
      </w:r>
      <w:r>
        <w:rPr/>
        <w:t>la</w:t>
      </w:r>
      <w:r>
        <w:rPr>
          <w:spacing w:val="-7"/>
        </w:rPr>
        <w:t> </w:t>
      </w:r>
      <w:r>
        <w:rPr/>
        <w:t>contratación</w:t>
      </w:r>
      <w:r>
        <w:rPr>
          <w:spacing w:val="-5"/>
        </w:rPr>
        <w:t> </w:t>
      </w:r>
      <w:r>
        <w:rPr/>
        <w:t>del</w:t>
      </w:r>
      <w:r>
        <w:rPr>
          <w:spacing w:val="-8"/>
        </w:rPr>
        <w:t> </w:t>
      </w:r>
      <w:r>
        <w:rPr/>
        <w:t>suministro</w:t>
      </w:r>
      <w:r>
        <w:rPr>
          <w:spacing w:val="-7"/>
        </w:rPr>
        <w:t> </w:t>
      </w:r>
      <w:r>
        <w:rPr/>
        <w:t>de</w:t>
      </w:r>
      <w:r>
        <w:rPr>
          <w:spacing w:val="-8"/>
        </w:rPr>
        <w:t> </w:t>
      </w:r>
      <w:r>
        <w:rPr/>
        <w:t>doce</w:t>
      </w:r>
      <w:r>
        <w:rPr>
          <w:spacing w:val="-5"/>
        </w:rPr>
        <w:t> </w:t>
      </w:r>
      <w:r>
        <w:rPr/>
        <w:t>autobuses</w:t>
      </w:r>
      <w:r>
        <w:rPr>
          <w:spacing w:val="-7"/>
        </w:rPr>
        <w:t> </w:t>
      </w:r>
      <w:r>
        <w:rPr/>
        <w:t>eléctricos, la</w:t>
      </w:r>
      <w:r>
        <w:rPr>
          <w:spacing w:val="-2"/>
        </w:rPr>
        <w:t> </w:t>
      </w:r>
      <w:r>
        <w:rPr/>
        <w:t>dotación</w:t>
      </w:r>
      <w:r>
        <w:rPr>
          <w:spacing w:val="-2"/>
        </w:rPr>
        <w:t> </w:t>
      </w:r>
      <w:r>
        <w:rPr/>
        <w:t>de</w:t>
      </w:r>
      <w:r>
        <w:rPr>
          <w:spacing w:val="-4"/>
        </w:rPr>
        <w:t> </w:t>
      </w:r>
      <w:r>
        <w:rPr/>
        <w:t>infraestructura</w:t>
      </w:r>
      <w:r>
        <w:rPr>
          <w:spacing w:val="-4"/>
        </w:rPr>
        <w:t> </w:t>
      </w:r>
      <w:r>
        <w:rPr/>
        <w:t>de</w:t>
      </w:r>
      <w:r>
        <w:rPr>
          <w:spacing w:val="-4"/>
        </w:rPr>
        <w:t> </w:t>
      </w:r>
      <w:r>
        <w:rPr/>
        <w:t>recarga</w:t>
      </w:r>
      <w:r>
        <w:rPr>
          <w:spacing w:val="-4"/>
        </w:rPr>
        <w:t> </w:t>
      </w:r>
      <w:r>
        <w:rPr/>
        <w:t>para</w:t>
      </w:r>
      <w:r>
        <w:rPr>
          <w:spacing w:val="-4"/>
        </w:rPr>
        <w:t> </w:t>
      </w:r>
      <w:r>
        <w:rPr/>
        <w:t>ese</w:t>
      </w:r>
      <w:r>
        <w:rPr>
          <w:spacing w:val="-2"/>
        </w:rPr>
        <w:t> </w:t>
      </w:r>
      <w:r>
        <w:rPr/>
        <w:t>número</w:t>
      </w:r>
      <w:r>
        <w:rPr>
          <w:spacing w:val="-2"/>
        </w:rPr>
        <w:t> </w:t>
      </w:r>
      <w:r>
        <w:rPr/>
        <w:t>de</w:t>
      </w:r>
      <w:r>
        <w:rPr>
          <w:spacing w:val="-4"/>
        </w:rPr>
        <w:t> </w:t>
      </w:r>
      <w:r>
        <w:rPr/>
        <w:t>vehículos cuyo</w:t>
      </w:r>
      <w:r>
        <w:rPr>
          <w:spacing w:val="-2"/>
        </w:rPr>
        <w:t> </w:t>
      </w:r>
      <w:r>
        <w:rPr/>
        <w:t>coste</w:t>
      </w:r>
      <w:r>
        <w:rPr>
          <w:spacing w:val="-2"/>
        </w:rPr>
        <w:t> </w:t>
      </w:r>
      <w:r>
        <w:rPr/>
        <w:t>ha</w:t>
      </w:r>
      <w:r>
        <w:rPr>
          <w:spacing w:val="-4"/>
        </w:rPr>
        <w:t> </w:t>
      </w:r>
      <w:r>
        <w:rPr/>
        <w:t>ascendido</w:t>
      </w:r>
      <w:r>
        <w:rPr>
          <w:spacing w:val="-4"/>
        </w:rPr>
        <w:t> </w:t>
      </w:r>
      <w:r>
        <w:rPr/>
        <w:t>a 504.000,00 euros, IVA excluido. La empresa emitió la factura por los elementos de recarga en noviembre de 2023 y el Ayuntamiento certificó en diciembre de 2023 que se habían entregado los doce cargadores. Sin embargo, el pago no se efectuó hasta diciembre de 2024. Además, el Ayuntamiento</w:t>
      </w:r>
      <w:r>
        <w:rPr>
          <w:spacing w:val="-15"/>
        </w:rPr>
        <w:t> </w:t>
      </w:r>
      <w:r>
        <w:rPr/>
        <w:t>solicitó</w:t>
      </w:r>
      <w:r>
        <w:rPr>
          <w:spacing w:val="-13"/>
        </w:rPr>
        <w:t> </w:t>
      </w:r>
      <w:r>
        <w:rPr/>
        <w:t>en</w:t>
      </w:r>
      <w:r>
        <w:rPr>
          <w:spacing w:val="-15"/>
        </w:rPr>
        <w:t> </w:t>
      </w:r>
      <w:r>
        <w:rPr/>
        <w:t>enero</w:t>
      </w:r>
      <w:r>
        <w:rPr>
          <w:spacing w:val="-12"/>
        </w:rPr>
        <w:t> </w:t>
      </w:r>
      <w:r>
        <w:rPr/>
        <w:t>de</w:t>
      </w:r>
      <w:r>
        <w:rPr>
          <w:spacing w:val="-13"/>
        </w:rPr>
        <w:t> </w:t>
      </w:r>
      <w:r>
        <w:rPr/>
        <w:t>2024</w:t>
      </w:r>
      <w:r>
        <w:rPr>
          <w:spacing w:val="-13"/>
        </w:rPr>
        <w:t> </w:t>
      </w:r>
      <w:r>
        <w:rPr/>
        <w:t>una</w:t>
      </w:r>
      <w:r>
        <w:rPr>
          <w:spacing w:val="-15"/>
        </w:rPr>
        <w:t> </w:t>
      </w:r>
      <w:r>
        <w:rPr/>
        <w:t>ampliación</w:t>
      </w:r>
      <w:r>
        <w:rPr>
          <w:spacing w:val="-13"/>
        </w:rPr>
        <w:t> </w:t>
      </w:r>
      <w:r>
        <w:rPr/>
        <w:t>de</w:t>
      </w:r>
      <w:r>
        <w:rPr>
          <w:spacing w:val="-13"/>
        </w:rPr>
        <w:t> </w:t>
      </w:r>
      <w:r>
        <w:rPr/>
        <w:t>plazo</w:t>
      </w:r>
      <w:r>
        <w:rPr>
          <w:spacing w:val="-13"/>
        </w:rPr>
        <w:t> </w:t>
      </w:r>
      <w:r>
        <w:rPr/>
        <w:t>para</w:t>
      </w:r>
      <w:r>
        <w:rPr>
          <w:spacing w:val="-13"/>
        </w:rPr>
        <w:t> </w:t>
      </w:r>
      <w:r>
        <w:rPr/>
        <w:t>la</w:t>
      </w:r>
      <w:r>
        <w:rPr>
          <w:spacing w:val="-13"/>
        </w:rPr>
        <w:t> </w:t>
      </w:r>
      <w:r>
        <w:rPr/>
        <w:t>ejecución</w:t>
      </w:r>
      <w:r>
        <w:rPr>
          <w:spacing w:val="-13"/>
        </w:rPr>
        <w:t> </w:t>
      </w:r>
      <w:r>
        <w:rPr/>
        <w:t>de</w:t>
      </w:r>
      <w:r>
        <w:rPr>
          <w:spacing w:val="-13"/>
        </w:rPr>
        <w:t> </w:t>
      </w:r>
      <w:r>
        <w:rPr/>
        <w:t>esta</w:t>
      </w:r>
      <w:r>
        <w:rPr>
          <w:spacing w:val="-15"/>
        </w:rPr>
        <w:t> </w:t>
      </w:r>
      <w:r>
        <w:rPr/>
        <w:t>actuación ante</w:t>
      </w:r>
      <w:r>
        <w:rPr>
          <w:spacing w:val="-5"/>
        </w:rPr>
        <w:t> </w:t>
      </w:r>
      <w:r>
        <w:rPr/>
        <w:t>el</w:t>
      </w:r>
      <w:r>
        <w:rPr>
          <w:spacing w:val="-6"/>
        </w:rPr>
        <w:t> </w:t>
      </w:r>
      <w:r>
        <w:rPr/>
        <w:t>MITMA</w:t>
      </w:r>
      <w:r>
        <w:rPr>
          <w:spacing w:val="-8"/>
        </w:rPr>
        <w:t> </w:t>
      </w:r>
      <w:r>
        <w:rPr>
          <w:rFonts w:ascii="Symbol" w:hAnsi="Symbol"/>
        </w:rPr>
        <w:t></w:t>
      </w:r>
      <w:r>
        <w:rPr/>
        <w:t>que</w:t>
      </w:r>
      <w:r>
        <w:rPr>
          <w:spacing w:val="-5"/>
        </w:rPr>
        <w:t> </w:t>
      </w:r>
      <w:r>
        <w:rPr/>
        <w:t>no</w:t>
      </w:r>
      <w:r>
        <w:rPr>
          <w:spacing w:val="-8"/>
        </w:rPr>
        <w:t> </w:t>
      </w:r>
      <w:r>
        <w:rPr/>
        <w:t>fue</w:t>
      </w:r>
      <w:r>
        <w:rPr>
          <w:spacing w:val="-6"/>
        </w:rPr>
        <w:t> </w:t>
      </w:r>
      <w:r>
        <w:rPr/>
        <w:t>admitida</w:t>
      </w:r>
      <w:r>
        <w:rPr>
          <w:spacing w:val="-6"/>
        </w:rPr>
        <w:t> </w:t>
      </w:r>
      <w:r>
        <w:rPr/>
        <w:t>por</w:t>
      </w:r>
      <w:r>
        <w:rPr>
          <w:spacing w:val="-4"/>
        </w:rPr>
        <w:t> </w:t>
      </w:r>
      <w:r>
        <w:rPr/>
        <w:t>extemporánea</w:t>
      </w:r>
      <w:r>
        <w:rPr>
          <w:rFonts w:ascii="Symbol" w:hAnsi="Symbol"/>
        </w:rPr>
        <w:t></w:t>
      </w:r>
      <w:r>
        <w:rPr/>
        <w:t>,</w:t>
      </w:r>
      <w:r>
        <w:rPr>
          <w:spacing w:val="-4"/>
        </w:rPr>
        <w:t> </w:t>
      </w:r>
      <w:r>
        <w:rPr/>
        <w:t>solicitud</w:t>
      </w:r>
      <w:r>
        <w:rPr>
          <w:spacing w:val="-6"/>
        </w:rPr>
        <w:t> </w:t>
      </w:r>
      <w:r>
        <w:rPr/>
        <w:t>que</w:t>
      </w:r>
      <w:r>
        <w:rPr>
          <w:spacing w:val="-5"/>
        </w:rPr>
        <w:t> </w:t>
      </w:r>
      <w:r>
        <w:rPr/>
        <w:t>no</w:t>
      </w:r>
      <w:r>
        <w:rPr>
          <w:spacing w:val="-8"/>
        </w:rPr>
        <w:t> </w:t>
      </w:r>
      <w:r>
        <w:rPr/>
        <w:t>resulta</w:t>
      </w:r>
      <w:r>
        <w:rPr>
          <w:spacing w:val="-5"/>
        </w:rPr>
        <w:t> </w:t>
      </w:r>
      <w:r>
        <w:rPr/>
        <w:t>congruente</w:t>
      </w:r>
      <w:r>
        <w:rPr>
          <w:spacing w:val="-5"/>
        </w:rPr>
        <w:t> </w:t>
      </w:r>
      <w:r>
        <w:rPr/>
        <w:t>con</w:t>
      </w:r>
      <w:r>
        <w:rPr>
          <w:spacing w:val="-6"/>
        </w:rPr>
        <w:t> </w:t>
      </w:r>
      <w:r>
        <w:rPr/>
        <w:t>el hecho de que la entidad ya hubiera certificado su conclusión en diciembre del año anterior.</w:t>
      </w:r>
    </w:p>
    <w:p>
      <w:pPr>
        <w:pStyle w:val="BodyText"/>
        <w:spacing w:before="240"/>
        <w:ind w:left="992" w:right="987"/>
        <w:jc w:val="both"/>
      </w:pPr>
      <w:r>
        <w:rPr/>
        <w:t>El </w:t>
      </w:r>
      <w:r>
        <w:rPr>
          <w:b/>
        </w:rPr>
        <w:t>Ayuntamiento de Sevilla </w:t>
      </w:r>
      <w:r>
        <w:rPr/>
        <w:t>ha contratado en enero de 2024, por un plazo de ejecución de cinco años, el suministro de energía eléctrica y de la infraestructura necesaria para la recarga de 23 autobuses eléctricos, por importe de 6.809.610,79 euros, sin IVA.</w:t>
      </w:r>
    </w:p>
    <w:p>
      <w:pPr>
        <w:pStyle w:val="BodyText"/>
        <w:spacing w:before="240"/>
        <w:ind w:left="992" w:right="987"/>
        <w:jc w:val="both"/>
      </w:pPr>
      <w:r>
        <w:rPr/>
        <w:t>La empresa concesionaria del servicio de transporte público contratada por el </w:t>
      </w:r>
      <w:r>
        <w:rPr>
          <w:b/>
        </w:rPr>
        <w:t>Ayuntamiento de Zaragoza </w:t>
      </w:r>
      <w:r>
        <w:rPr/>
        <w:t>llevó a cabo la electrificación del centro de operaciones, que comprendía la renovación de</w:t>
      </w:r>
      <w:r>
        <w:rPr>
          <w:spacing w:val="-4"/>
        </w:rPr>
        <w:t> </w:t>
      </w:r>
      <w:r>
        <w:rPr/>
        <w:t>las</w:t>
      </w:r>
      <w:r>
        <w:rPr>
          <w:spacing w:val="-4"/>
        </w:rPr>
        <w:t> </w:t>
      </w:r>
      <w:r>
        <w:rPr/>
        <w:t>instalaciones</w:t>
      </w:r>
      <w:r>
        <w:rPr>
          <w:spacing w:val="-4"/>
        </w:rPr>
        <w:t> </w:t>
      </w:r>
      <w:r>
        <w:rPr/>
        <w:t>en</w:t>
      </w:r>
      <w:r>
        <w:rPr>
          <w:spacing w:val="-7"/>
        </w:rPr>
        <w:t> </w:t>
      </w:r>
      <w:r>
        <w:rPr/>
        <w:t>las</w:t>
      </w:r>
      <w:r>
        <w:rPr>
          <w:spacing w:val="-4"/>
        </w:rPr>
        <w:t> </w:t>
      </w:r>
      <w:r>
        <w:rPr/>
        <w:t>cocheras</w:t>
      </w:r>
      <w:r>
        <w:rPr>
          <w:spacing w:val="-4"/>
        </w:rPr>
        <w:t> </w:t>
      </w:r>
      <w:r>
        <w:rPr/>
        <w:t>de</w:t>
      </w:r>
      <w:r>
        <w:rPr>
          <w:spacing w:val="-7"/>
        </w:rPr>
        <w:t> </w:t>
      </w:r>
      <w:r>
        <w:rPr/>
        <w:t>la</w:t>
      </w:r>
      <w:r>
        <w:rPr>
          <w:spacing w:val="-4"/>
        </w:rPr>
        <w:t> </w:t>
      </w:r>
      <w:r>
        <w:rPr/>
        <w:t>red</w:t>
      </w:r>
      <w:r>
        <w:rPr>
          <w:spacing w:val="-7"/>
        </w:rPr>
        <w:t> </w:t>
      </w:r>
      <w:r>
        <w:rPr/>
        <w:t>de</w:t>
      </w:r>
      <w:r>
        <w:rPr>
          <w:spacing w:val="-7"/>
        </w:rPr>
        <w:t> </w:t>
      </w:r>
      <w:r>
        <w:rPr/>
        <w:t>transporte</w:t>
      </w:r>
      <w:r>
        <w:rPr>
          <w:spacing w:val="-4"/>
        </w:rPr>
        <w:t> </w:t>
      </w:r>
      <w:r>
        <w:rPr/>
        <w:t>público</w:t>
      </w:r>
      <w:r>
        <w:rPr>
          <w:spacing w:val="-4"/>
        </w:rPr>
        <w:t> </w:t>
      </w:r>
      <w:r>
        <w:rPr/>
        <w:t>urbano</w:t>
      </w:r>
      <w:r>
        <w:rPr>
          <w:spacing w:val="-7"/>
        </w:rPr>
        <w:t> </w:t>
      </w:r>
      <w:r>
        <w:rPr/>
        <w:t>por</w:t>
      </w:r>
      <w:r>
        <w:rPr>
          <w:spacing w:val="-3"/>
        </w:rPr>
        <w:t> </w:t>
      </w:r>
      <w:r>
        <w:rPr/>
        <w:t>autobús,</w:t>
      </w:r>
      <w:r>
        <w:rPr>
          <w:spacing w:val="-3"/>
        </w:rPr>
        <w:t> </w:t>
      </w:r>
      <w:r>
        <w:rPr/>
        <w:t>una</w:t>
      </w:r>
      <w:r>
        <w:rPr>
          <w:spacing w:val="-6"/>
        </w:rPr>
        <w:t> </w:t>
      </w:r>
      <w:r>
        <w:rPr/>
        <w:t>nueva conexión a la red eléctrica que permitiera atender incrementos energéticos, además de otras inversiones tales como cámaras de videovigilancia y la instalación de puntos de recarga mediante pantógrafos para los vehículos a adquirir. La actuación se realizó en dos fases.</w:t>
      </w:r>
    </w:p>
    <w:p>
      <w:pPr>
        <w:pStyle w:val="BodyText"/>
        <w:spacing w:before="241"/>
        <w:ind w:left="992" w:right="987"/>
        <w:jc w:val="both"/>
      </w:pPr>
      <w:r>
        <w:rPr/>
        <w:t>El Ayuntamiento presentó el proyecto ante el MITMA en la primera convocatoria, que incluía la instalación de 75 puntos de recarga, con un coste de 10.387.721,14 euros. Posteriormente se aprobaron diversos ajustes de la actuación que han afectado a su precio, como el aumento en los costes</w:t>
      </w:r>
      <w:r>
        <w:rPr>
          <w:spacing w:val="-8"/>
        </w:rPr>
        <w:t> </w:t>
      </w:r>
      <w:r>
        <w:rPr/>
        <w:t>finales</w:t>
      </w:r>
      <w:r>
        <w:rPr>
          <w:spacing w:val="-6"/>
        </w:rPr>
        <w:t> </w:t>
      </w:r>
      <w:r>
        <w:rPr/>
        <w:t>del</w:t>
      </w:r>
      <w:r>
        <w:rPr>
          <w:spacing w:val="-7"/>
        </w:rPr>
        <w:t> </w:t>
      </w:r>
      <w:r>
        <w:rPr/>
        <w:t>puesto</w:t>
      </w:r>
      <w:r>
        <w:rPr>
          <w:spacing w:val="-11"/>
        </w:rPr>
        <w:t> </w:t>
      </w:r>
      <w:r>
        <w:rPr/>
        <w:t>de</w:t>
      </w:r>
      <w:r>
        <w:rPr>
          <w:spacing w:val="-7"/>
        </w:rPr>
        <w:t> </w:t>
      </w:r>
      <w:r>
        <w:rPr/>
        <w:t>control</w:t>
      </w:r>
      <w:r>
        <w:rPr>
          <w:spacing w:val="-7"/>
        </w:rPr>
        <w:t> </w:t>
      </w:r>
      <w:r>
        <w:rPr/>
        <w:t>centralizado,</w:t>
      </w:r>
      <w:r>
        <w:rPr>
          <w:spacing w:val="-8"/>
        </w:rPr>
        <w:t> </w:t>
      </w:r>
      <w:r>
        <w:rPr/>
        <w:t>la</w:t>
      </w:r>
      <w:r>
        <w:rPr>
          <w:spacing w:val="-6"/>
        </w:rPr>
        <w:t> </w:t>
      </w:r>
      <w:r>
        <w:rPr/>
        <w:t>incorporación</w:t>
      </w:r>
      <w:r>
        <w:rPr>
          <w:spacing w:val="-7"/>
        </w:rPr>
        <w:t> </w:t>
      </w:r>
      <w:r>
        <w:rPr/>
        <w:t>de</w:t>
      </w:r>
      <w:r>
        <w:rPr>
          <w:spacing w:val="-7"/>
        </w:rPr>
        <w:t> </w:t>
      </w:r>
      <w:r>
        <w:rPr/>
        <w:t>un</w:t>
      </w:r>
      <w:r>
        <w:rPr>
          <w:spacing w:val="-9"/>
        </w:rPr>
        <w:t> </w:t>
      </w:r>
      <w:r>
        <w:rPr/>
        <w:t>cuarto</w:t>
      </w:r>
      <w:r>
        <w:rPr>
          <w:spacing w:val="-9"/>
        </w:rPr>
        <w:t> </w:t>
      </w:r>
      <w:r>
        <w:rPr/>
        <w:t>cable</w:t>
      </w:r>
      <w:r>
        <w:rPr>
          <w:spacing w:val="-6"/>
        </w:rPr>
        <w:t> </w:t>
      </w:r>
      <w:r>
        <w:rPr/>
        <w:t>a</w:t>
      </w:r>
      <w:r>
        <w:rPr>
          <w:spacing w:val="-6"/>
        </w:rPr>
        <w:t> </w:t>
      </w:r>
      <w:r>
        <w:rPr/>
        <w:t>las</w:t>
      </w:r>
      <w:r>
        <w:rPr>
          <w:spacing w:val="-9"/>
        </w:rPr>
        <w:t> </w:t>
      </w:r>
      <w:r>
        <w:rPr/>
        <w:t>cocheras o gastos en infraestructuras, lo que ha originado un gasto final total de 10.405.829,32 euros.</w:t>
      </w:r>
    </w:p>
    <w:p>
      <w:pPr>
        <w:pStyle w:val="BodyText"/>
        <w:spacing w:before="241"/>
        <w:ind w:left="992" w:right="990"/>
        <w:jc w:val="both"/>
      </w:pPr>
      <w:r>
        <w:rPr/>
        <w:t>Se preveía como fecha de finalización del proyecto el 31 de diciembre de 2023, pero debido a retrasos</w:t>
      </w:r>
      <w:r>
        <w:rPr>
          <w:spacing w:val="-8"/>
        </w:rPr>
        <w:t> </w:t>
      </w:r>
      <w:r>
        <w:rPr/>
        <w:t>en</w:t>
      </w:r>
      <w:r>
        <w:rPr>
          <w:spacing w:val="-9"/>
        </w:rPr>
        <w:t> </w:t>
      </w:r>
      <w:r>
        <w:rPr/>
        <w:t>la</w:t>
      </w:r>
      <w:r>
        <w:rPr>
          <w:spacing w:val="-9"/>
        </w:rPr>
        <w:t> </w:t>
      </w:r>
      <w:r>
        <w:rPr/>
        <w:t>certificación</w:t>
      </w:r>
      <w:r>
        <w:rPr>
          <w:spacing w:val="-6"/>
        </w:rPr>
        <w:t> </w:t>
      </w:r>
      <w:r>
        <w:rPr/>
        <w:t>y</w:t>
      </w:r>
      <w:r>
        <w:rPr>
          <w:spacing w:val="-8"/>
        </w:rPr>
        <w:t> </w:t>
      </w:r>
      <w:r>
        <w:rPr/>
        <w:t>puesta</w:t>
      </w:r>
      <w:r>
        <w:rPr>
          <w:spacing w:val="-9"/>
        </w:rPr>
        <w:t> </w:t>
      </w:r>
      <w:r>
        <w:rPr/>
        <w:t>en</w:t>
      </w:r>
      <w:r>
        <w:rPr>
          <w:spacing w:val="-12"/>
        </w:rPr>
        <w:t> </w:t>
      </w:r>
      <w:r>
        <w:rPr/>
        <w:t>funcionamiento</w:t>
      </w:r>
      <w:r>
        <w:rPr>
          <w:spacing w:val="-9"/>
        </w:rPr>
        <w:t> </w:t>
      </w:r>
      <w:r>
        <w:rPr/>
        <w:t>del</w:t>
      </w:r>
      <w:r>
        <w:rPr>
          <w:spacing w:val="-7"/>
        </w:rPr>
        <w:t> </w:t>
      </w:r>
      <w:r>
        <w:rPr/>
        <w:t>puesto</w:t>
      </w:r>
      <w:r>
        <w:rPr>
          <w:spacing w:val="-9"/>
        </w:rPr>
        <w:t> </w:t>
      </w:r>
      <w:r>
        <w:rPr/>
        <w:t>de</w:t>
      </w:r>
      <w:r>
        <w:rPr>
          <w:spacing w:val="-9"/>
        </w:rPr>
        <w:t> </w:t>
      </w:r>
      <w:r>
        <w:rPr/>
        <w:t>control</w:t>
      </w:r>
      <w:r>
        <w:rPr>
          <w:spacing w:val="-7"/>
        </w:rPr>
        <w:t> </w:t>
      </w:r>
      <w:r>
        <w:rPr/>
        <w:t>centralizado,</w:t>
      </w:r>
      <w:r>
        <w:rPr>
          <w:spacing w:val="-8"/>
        </w:rPr>
        <w:t> </w:t>
      </w:r>
      <w:r>
        <w:rPr/>
        <w:t>el</w:t>
      </w:r>
      <w:r>
        <w:rPr>
          <w:spacing w:val="-10"/>
        </w:rPr>
        <w:t> </w:t>
      </w:r>
      <w:r>
        <w:rPr/>
        <w:t>MITMA aprobó una ampliación del plazo hasta el 31 de diciembre de 2024.</w:t>
      </w:r>
    </w:p>
    <w:p>
      <w:pPr>
        <w:pStyle w:val="BodyText"/>
        <w:spacing w:before="239"/>
        <w:ind w:left="992" w:right="986"/>
        <w:jc w:val="both"/>
      </w:pPr>
      <w:r>
        <w:rPr/>
        <w:t>En la segunda convocatoria, la entidad incluyó, entre otros, la instalación de 40 puntos de recarga para</w:t>
      </w:r>
      <w:r>
        <w:rPr>
          <w:spacing w:val="-8"/>
        </w:rPr>
        <w:t> </w:t>
      </w:r>
      <w:r>
        <w:rPr/>
        <w:t>los</w:t>
      </w:r>
      <w:r>
        <w:rPr>
          <w:spacing w:val="-8"/>
        </w:rPr>
        <w:t> </w:t>
      </w:r>
      <w:r>
        <w:rPr/>
        <w:t>autobuses</w:t>
      </w:r>
      <w:r>
        <w:rPr>
          <w:spacing w:val="-7"/>
        </w:rPr>
        <w:t> </w:t>
      </w:r>
      <w:r>
        <w:rPr/>
        <w:t>de</w:t>
      </w:r>
      <w:r>
        <w:rPr>
          <w:spacing w:val="-11"/>
        </w:rPr>
        <w:t> </w:t>
      </w:r>
      <w:r>
        <w:rPr/>
        <w:t>línea.</w:t>
      </w:r>
      <w:r>
        <w:rPr>
          <w:spacing w:val="-6"/>
        </w:rPr>
        <w:t> </w:t>
      </w:r>
      <w:r>
        <w:rPr/>
        <w:t>Se</w:t>
      </w:r>
      <w:r>
        <w:rPr>
          <w:spacing w:val="-8"/>
        </w:rPr>
        <w:t> </w:t>
      </w:r>
      <w:r>
        <w:rPr/>
        <w:t>preveía</w:t>
      </w:r>
      <w:r>
        <w:rPr>
          <w:spacing w:val="-10"/>
        </w:rPr>
        <w:t> </w:t>
      </w:r>
      <w:r>
        <w:rPr/>
        <w:t>como</w:t>
      </w:r>
      <w:r>
        <w:rPr>
          <w:spacing w:val="-8"/>
        </w:rPr>
        <w:t> </w:t>
      </w:r>
      <w:r>
        <w:rPr/>
        <w:t>fecha</w:t>
      </w:r>
      <w:r>
        <w:rPr>
          <w:spacing w:val="-8"/>
        </w:rPr>
        <w:t> </w:t>
      </w:r>
      <w:r>
        <w:rPr/>
        <w:t>de</w:t>
      </w:r>
      <w:r>
        <w:rPr>
          <w:spacing w:val="-8"/>
        </w:rPr>
        <w:t> </w:t>
      </w:r>
      <w:r>
        <w:rPr/>
        <w:t>fin</w:t>
      </w:r>
      <w:r>
        <w:rPr>
          <w:spacing w:val="-8"/>
        </w:rPr>
        <w:t> </w:t>
      </w:r>
      <w:r>
        <w:rPr/>
        <w:t>de</w:t>
      </w:r>
      <w:r>
        <w:rPr>
          <w:spacing w:val="-11"/>
        </w:rPr>
        <w:t> </w:t>
      </w:r>
      <w:r>
        <w:rPr/>
        <w:t>ejecución</w:t>
      </w:r>
      <w:r>
        <w:rPr>
          <w:spacing w:val="-8"/>
        </w:rPr>
        <w:t> </w:t>
      </w:r>
      <w:r>
        <w:rPr/>
        <w:t>el</w:t>
      </w:r>
      <w:r>
        <w:rPr>
          <w:spacing w:val="-11"/>
        </w:rPr>
        <w:t> </w:t>
      </w:r>
      <w:r>
        <w:rPr/>
        <w:t>31</w:t>
      </w:r>
      <w:r>
        <w:rPr>
          <w:spacing w:val="-8"/>
        </w:rPr>
        <w:t> </w:t>
      </w:r>
      <w:r>
        <w:rPr/>
        <w:t>de</w:t>
      </w:r>
      <w:r>
        <w:rPr>
          <w:spacing w:val="-8"/>
        </w:rPr>
        <w:t> </w:t>
      </w:r>
      <w:r>
        <w:rPr/>
        <w:t>diciembre</w:t>
      </w:r>
      <w:r>
        <w:rPr>
          <w:spacing w:val="-10"/>
        </w:rPr>
        <w:t> </w:t>
      </w:r>
      <w:r>
        <w:rPr/>
        <w:t>de</w:t>
      </w:r>
      <w:r>
        <w:rPr>
          <w:spacing w:val="-8"/>
        </w:rPr>
        <w:t> </w:t>
      </w:r>
      <w:r>
        <w:rPr/>
        <w:t>2024, pero debido al retraso en la fase de diseño del proyecto de electrificación, y consecuentemente, al retraso</w:t>
      </w:r>
      <w:r>
        <w:rPr>
          <w:spacing w:val="-9"/>
        </w:rPr>
        <w:t> </w:t>
      </w:r>
      <w:r>
        <w:rPr/>
        <w:t>en</w:t>
      </w:r>
      <w:r>
        <w:rPr>
          <w:spacing w:val="-12"/>
        </w:rPr>
        <w:t> </w:t>
      </w:r>
      <w:r>
        <w:rPr/>
        <w:t>la</w:t>
      </w:r>
      <w:r>
        <w:rPr>
          <w:spacing w:val="-9"/>
        </w:rPr>
        <w:t> </w:t>
      </w:r>
      <w:r>
        <w:rPr/>
        <w:t>licitación,</w:t>
      </w:r>
      <w:r>
        <w:rPr>
          <w:spacing w:val="-6"/>
        </w:rPr>
        <w:t> </w:t>
      </w:r>
      <w:r>
        <w:rPr/>
        <w:t>el</w:t>
      </w:r>
      <w:r>
        <w:rPr>
          <w:spacing w:val="-15"/>
        </w:rPr>
        <w:t> </w:t>
      </w:r>
      <w:r>
        <w:rPr/>
        <w:t>Ayuntamiento</w:t>
      </w:r>
      <w:r>
        <w:rPr>
          <w:spacing w:val="-10"/>
        </w:rPr>
        <w:t> </w:t>
      </w:r>
      <w:r>
        <w:rPr/>
        <w:t>solicitó</w:t>
      </w:r>
      <w:r>
        <w:rPr>
          <w:spacing w:val="-8"/>
        </w:rPr>
        <w:t> </w:t>
      </w:r>
      <w:r>
        <w:rPr/>
        <w:t>al</w:t>
      </w:r>
      <w:r>
        <w:rPr>
          <w:spacing w:val="-12"/>
        </w:rPr>
        <w:t> </w:t>
      </w:r>
      <w:r>
        <w:rPr/>
        <w:t>MITMA</w:t>
      </w:r>
      <w:r>
        <w:rPr>
          <w:spacing w:val="-9"/>
        </w:rPr>
        <w:t> </w:t>
      </w:r>
      <w:r>
        <w:rPr/>
        <w:t>la</w:t>
      </w:r>
      <w:r>
        <w:rPr>
          <w:spacing w:val="-9"/>
        </w:rPr>
        <w:t> </w:t>
      </w:r>
      <w:r>
        <w:rPr/>
        <w:t>ampliación</w:t>
      </w:r>
      <w:r>
        <w:rPr>
          <w:spacing w:val="-9"/>
        </w:rPr>
        <w:t> </w:t>
      </w:r>
      <w:r>
        <w:rPr/>
        <w:t>del</w:t>
      </w:r>
      <w:r>
        <w:rPr>
          <w:spacing w:val="-12"/>
        </w:rPr>
        <w:t> </w:t>
      </w:r>
      <w:r>
        <w:rPr/>
        <w:t>plazo</w:t>
      </w:r>
      <w:r>
        <w:rPr>
          <w:spacing w:val="-9"/>
        </w:rPr>
        <w:t> </w:t>
      </w:r>
      <w:r>
        <w:rPr/>
        <w:t>de</w:t>
      </w:r>
      <w:r>
        <w:rPr>
          <w:spacing w:val="-9"/>
        </w:rPr>
        <w:t> </w:t>
      </w:r>
      <w:r>
        <w:rPr/>
        <w:t>ejecución</w:t>
      </w:r>
      <w:r>
        <w:rPr>
          <w:spacing w:val="-9"/>
        </w:rPr>
        <w:t> </w:t>
      </w:r>
      <w:r>
        <w:rPr/>
        <w:t>hasta el 31 de diciembre</w:t>
      </w:r>
      <w:r>
        <w:rPr>
          <w:spacing w:val="-1"/>
        </w:rPr>
        <w:t> </w:t>
      </w:r>
      <w:r>
        <w:rPr/>
        <w:t>de 2025. El coste final de esta</w:t>
      </w:r>
      <w:r>
        <w:rPr>
          <w:spacing w:val="-1"/>
        </w:rPr>
        <w:t> </w:t>
      </w:r>
      <w:r>
        <w:rPr/>
        <w:t>actuación ha</w:t>
      </w:r>
      <w:r>
        <w:rPr>
          <w:spacing w:val="-1"/>
        </w:rPr>
        <w:t> </w:t>
      </w:r>
      <w:r>
        <w:rPr/>
        <w:t>ascendido</w:t>
      </w:r>
      <w:r>
        <w:rPr>
          <w:spacing w:val="-1"/>
        </w:rPr>
        <w:t> </w:t>
      </w:r>
      <w:r>
        <w:rPr/>
        <w:t>a 4.865.634,69 euros. 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93"/>
        <w:jc w:val="both"/>
      </w:pPr>
      <w:r>
        <w:rPr/>
        <w:t>fecha de corte de los trabajos de fiscalización se encuentra en ejecución, habiéndose certificado hasta entonces 1.700.563,09 euros, el 34,95 %.</w:t>
      </w:r>
    </w:p>
    <w:p>
      <w:pPr>
        <w:pStyle w:val="BodyText"/>
        <w:spacing w:before="107"/>
      </w:pPr>
    </w:p>
    <w:p>
      <w:pPr>
        <w:pStyle w:val="ListParagraph"/>
        <w:numPr>
          <w:ilvl w:val="3"/>
          <w:numId w:val="3"/>
        </w:numPr>
        <w:tabs>
          <w:tab w:pos="1779" w:val="left" w:leader="none"/>
        </w:tabs>
        <w:spacing w:line="240" w:lineRule="auto" w:before="0" w:after="0"/>
        <w:ind w:left="1779" w:right="0" w:hanging="787"/>
        <w:jc w:val="left"/>
        <w:rPr>
          <w:sz w:val="22"/>
        </w:rPr>
      </w:pPr>
      <w:r>
        <w:rPr>
          <w:sz w:val="22"/>
        </w:rPr>
        <w:t>OBRAS</w:t>
      </w:r>
      <w:r>
        <w:rPr>
          <w:spacing w:val="-7"/>
          <w:sz w:val="22"/>
        </w:rPr>
        <w:t> </w:t>
      </w:r>
      <w:r>
        <w:rPr>
          <w:sz w:val="22"/>
        </w:rPr>
        <w:t>Y</w:t>
      </w:r>
      <w:r>
        <w:rPr>
          <w:spacing w:val="-4"/>
          <w:sz w:val="22"/>
        </w:rPr>
        <w:t> </w:t>
      </w:r>
      <w:r>
        <w:rPr>
          <w:sz w:val="22"/>
        </w:rPr>
        <w:t>ESTRUCTURAS</w:t>
      </w:r>
      <w:r>
        <w:rPr>
          <w:spacing w:val="-4"/>
          <w:sz w:val="22"/>
        </w:rPr>
        <w:t> </w:t>
      </w:r>
      <w:r>
        <w:rPr>
          <w:sz w:val="22"/>
        </w:rPr>
        <w:t>EN</w:t>
      </w:r>
      <w:r>
        <w:rPr>
          <w:spacing w:val="-4"/>
          <w:sz w:val="22"/>
        </w:rPr>
        <w:t> </w:t>
      </w:r>
      <w:r>
        <w:rPr>
          <w:sz w:val="22"/>
        </w:rPr>
        <w:t>VÍA</w:t>
      </w:r>
      <w:r>
        <w:rPr>
          <w:spacing w:val="-4"/>
          <w:sz w:val="22"/>
        </w:rPr>
        <w:t> </w:t>
      </w:r>
      <w:r>
        <w:rPr>
          <w:spacing w:val="-2"/>
          <w:sz w:val="22"/>
        </w:rPr>
        <w:t>PÚBLICA</w:t>
      </w:r>
    </w:p>
    <w:p>
      <w:pPr>
        <w:pStyle w:val="BodyText"/>
        <w:spacing w:before="242"/>
        <w:ind w:left="992" w:right="988"/>
        <w:jc w:val="both"/>
      </w:pPr>
      <w:r>
        <w:rPr/>
        <w:t>Las obras dirigidas a lograr una movilidad sostenible en el transporte público colectivo se centran, fundamentalmente, en el impulso de infraestructuras tales como intercambiadores o nodos intermodales</w:t>
      </w:r>
      <w:r>
        <w:rPr>
          <w:spacing w:val="-14"/>
        </w:rPr>
        <w:t> </w:t>
      </w:r>
      <w:r>
        <w:rPr/>
        <w:t>que</w:t>
      </w:r>
      <w:r>
        <w:rPr>
          <w:spacing w:val="-16"/>
        </w:rPr>
        <w:t> </w:t>
      </w:r>
      <w:r>
        <w:rPr/>
        <w:t>facilitan</w:t>
      </w:r>
      <w:r>
        <w:rPr>
          <w:spacing w:val="-13"/>
        </w:rPr>
        <w:t> </w:t>
      </w:r>
      <w:r>
        <w:rPr/>
        <w:t>la</w:t>
      </w:r>
      <w:r>
        <w:rPr>
          <w:spacing w:val="-14"/>
        </w:rPr>
        <w:t> </w:t>
      </w:r>
      <w:r>
        <w:rPr/>
        <w:t>combinación</w:t>
      </w:r>
      <w:r>
        <w:rPr>
          <w:spacing w:val="-14"/>
        </w:rPr>
        <w:t> </w:t>
      </w:r>
      <w:r>
        <w:rPr/>
        <w:t>de</w:t>
      </w:r>
      <w:r>
        <w:rPr>
          <w:spacing w:val="-14"/>
        </w:rPr>
        <w:t> </w:t>
      </w:r>
      <w:r>
        <w:rPr/>
        <w:t>distintos</w:t>
      </w:r>
      <w:r>
        <w:rPr>
          <w:spacing w:val="-15"/>
        </w:rPr>
        <w:t> </w:t>
      </w:r>
      <w:r>
        <w:rPr/>
        <w:t>modos</w:t>
      </w:r>
      <w:r>
        <w:rPr>
          <w:spacing w:val="-13"/>
        </w:rPr>
        <w:t> </w:t>
      </w:r>
      <w:r>
        <w:rPr/>
        <w:t>de</w:t>
      </w:r>
      <w:r>
        <w:rPr>
          <w:spacing w:val="-16"/>
        </w:rPr>
        <w:t> </w:t>
      </w:r>
      <w:r>
        <w:rPr/>
        <w:t>transporte;</w:t>
      </w:r>
      <w:r>
        <w:rPr>
          <w:spacing w:val="-9"/>
        </w:rPr>
        <w:t> </w:t>
      </w:r>
      <w:r>
        <w:rPr/>
        <w:t>carriles</w:t>
      </w:r>
      <w:r>
        <w:rPr>
          <w:spacing w:val="-13"/>
        </w:rPr>
        <w:t> </w:t>
      </w:r>
      <w:r>
        <w:rPr/>
        <w:t>bus</w:t>
      </w:r>
      <w:r>
        <w:rPr>
          <w:spacing w:val="-13"/>
        </w:rPr>
        <w:t> </w:t>
      </w:r>
      <w:r>
        <w:rPr/>
        <w:t>para</w:t>
      </w:r>
      <w:r>
        <w:rPr>
          <w:spacing w:val="-16"/>
        </w:rPr>
        <w:t> </w:t>
      </w:r>
      <w:r>
        <w:rPr/>
        <w:t>agilizar la</w:t>
      </w:r>
      <w:r>
        <w:rPr>
          <w:spacing w:val="-10"/>
        </w:rPr>
        <w:t> </w:t>
      </w:r>
      <w:r>
        <w:rPr/>
        <w:t>circulación</w:t>
      </w:r>
      <w:r>
        <w:rPr>
          <w:spacing w:val="-10"/>
        </w:rPr>
        <w:t> </w:t>
      </w:r>
      <w:r>
        <w:rPr/>
        <w:t>y</w:t>
      </w:r>
      <w:r>
        <w:rPr>
          <w:spacing w:val="-12"/>
        </w:rPr>
        <w:t> </w:t>
      </w:r>
      <w:r>
        <w:rPr/>
        <w:t>mejorar</w:t>
      </w:r>
      <w:r>
        <w:rPr>
          <w:spacing w:val="-11"/>
        </w:rPr>
        <w:t> </w:t>
      </w:r>
      <w:r>
        <w:rPr/>
        <w:t>la</w:t>
      </w:r>
      <w:r>
        <w:rPr>
          <w:spacing w:val="-10"/>
        </w:rPr>
        <w:t> </w:t>
      </w:r>
      <w:r>
        <w:rPr/>
        <w:t>eficiencia</w:t>
      </w:r>
      <w:r>
        <w:rPr>
          <w:spacing w:val="-10"/>
        </w:rPr>
        <w:t> </w:t>
      </w:r>
      <w:r>
        <w:rPr/>
        <w:t>del</w:t>
      </w:r>
      <w:r>
        <w:rPr>
          <w:spacing w:val="-11"/>
        </w:rPr>
        <w:t> </w:t>
      </w:r>
      <w:r>
        <w:rPr/>
        <w:t>transporte</w:t>
      </w:r>
      <w:r>
        <w:rPr>
          <w:spacing w:val="-12"/>
        </w:rPr>
        <w:t> </w:t>
      </w:r>
      <w:r>
        <w:rPr/>
        <w:t>público;</w:t>
      </w:r>
      <w:r>
        <w:rPr>
          <w:spacing w:val="-9"/>
        </w:rPr>
        <w:t> </w:t>
      </w:r>
      <w:r>
        <w:rPr/>
        <w:t>marquesinas</w:t>
      </w:r>
      <w:r>
        <w:rPr>
          <w:spacing w:val="-9"/>
        </w:rPr>
        <w:t> </w:t>
      </w:r>
      <w:r>
        <w:rPr/>
        <w:t>con</w:t>
      </w:r>
      <w:r>
        <w:rPr>
          <w:spacing w:val="-10"/>
        </w:rPr>
        <w:t> </w:t>
      </w:r>
      <w:r>
        <w:rPr/>
        <w:t>soluciones</w:t>
      </w:r>
      <w:r>
        <w:rPr>
          <w:spacing w:val="-10"/>
        </w:rPr>
        <w:t> </w:t>
      </w:r>
      <w:r>
        <w:rPr/>
        <w:t>energéticas respetuosas con el medioambiente y con soluciones que permitan una mayor accesibilidad, o aparcamientos</w:t>
      </w:r>
      <w:r>
        <w:rPr>
          <w:spacing w:val="-10"/>
        </w:rPr>
        <w:t> </w:t>
      </w:r>
      <w:r>
        <w:rPr/>
        <w:t>disuasorios</w:t>
      </w:r>
      <w:r>
        <w:rPr>
          <w:spacing w:val="-7"/>
        </w:rPr>
        <w:t> </w:t>
      </w:r>
      <w:r>
        <w:rPr/>
        <w:t>para</w:t>
      </w:r>
      <w:r>
        <w:rPr>
          <w:spacing w:val="-7"/>
        </w:rPr>
        <w:t> </w:t>
      </w:r>
      <w:r>
        <w:rPr/>
        <w:t>que</w:t>
      </w:r>
      <w:r>
        <w:rPr>
          <w:spacing w:val="-10"/>
        </w:rPr>
        <w:t> </w:t>
      </w:r>
      <w:r>
        <w:rPr/>
        <w:t>los</w:t>
      </w:r>
      <w:r>
        <w:rPr>
          <w:spacing w:val="-10"/>
        </w:rPr>
        <w:t> </w:t>
      </w:r>
      <w:r>
        <w:rPr/>
        <w:t>usuarios</w:t>
      </w:r>
      <w:r>
        <w:rPr>
          <w:spacing w:val="-10"/>
        </w:rPr>
        <w:t> </w:t>
      </w:r>
      <w:r>
        <w:rPr/>
        <w:t>puedan</w:t>
      </w:r>
      <w:r>
        <w:rPr>
          <w:spacing w:val="-8"/>
        </w:rPr>
        <w:t> </w:t>
      </w:r>
      <w:r>
        <w:rPr/>
        <w:t>aparcar</w:t>
      </w:r>
      <w:r>
        <w:rPr>
          <w:spacing w:val="-9"/>
        </w:rPr>
        <w:t> </w:t>
      </w:r>
      <w:r>
        <w:rPr/>
        <w:t>los</w:t>
      </w:r>
      <w:r>
        <w:rPr>
          <w:spacing w:val="-10"/>
        </w:rPr>
        <w:t> </w:t>
      </w:r>
      <w:r>
        <w:rPr/>
        <w:t>vehículos</w:t>
      </w:r>
      <w:r>
        <w:rPr>
          <w:spacing w:val="-7"/>
        </w:rPr>
        <w:t> </w:t>
      </w:r>
      <w:r>
        <w:rPr/>
        <w:t>privados</w:t>
      </w:r>
      <w:r>
        <w:rPr>
          <w:spacing w:val="-9"/>
        </w:rPr>
        <w:t> </w:t>
      </w:r>
      <w:r>
        <w:rPr/>
        <w:t>y</w:t>
      </w:r>
      <w:r>
        <w:rPr>
          <w:spacing w:val="-9"/>
        </w:rPr>
        <w:t> </w:t>
      </w:r>
      <w:r>
        <w:rPr/>
        <w:t>utilizar</w:t>
      </w:r>
      <w:r>
        <w:rPr>
          <w:spacing w:val="-7"/>
        </w:rPr>
        <w:t> </w:t>
      </w:r>
      <w:r>
        <w:rPr/>
        <w:t>el transporte público para el resto del trayecto.</w:t>
      </w:r>
    </w:p>
    <w:p>
      <w:pPr>
        <w:spacing w:before="118"/>
        <w:ind w:left="992" w:right="988" w:firstLine="0"/>
        <w:jc w:val="both"/>
        <w:rPr>
          <w:sz w:val="22"/>
        </w:rPr>
      </w:pPr>
      <w:r>
        <w:rPr>
          <w:sz w:val="22"/>
        </w:rPr>
        <w:t>Los</w:t>
      </w:r>
      <w:r>
        <w:rPr>
          <w:spacing w:val="-9"/>
          <w:sz w:val="22"/>
        </w:rPr>
        <w:t> </w:t>
      </w:r>
      <w:r>
        <w:rPr>
          <w:b/>
          <w:sz w:val="22"/>
        </w:rPr>
        <w:t>Ayuntamientos</w:t>
      </w:r>
      <w:r>
        <w:rPr>
          <w:b/>
          <w:spacing w:val="-9"/>
          <w:sz w:val="22"/>
        </w:rPr>
        <w:t> </w:t>
      </w:r>
      <w:r>
        <w:rPr>
          <w:b/>
          <w:sz w:val="22"/>
        </w:rPr>
        <w:t>de</w:t>
      </w:r>
      <w:r>
        <w:rPr>
          <w:b/>
          <w:spacing w:val="-10"/>
          <w:sz w:val="22"/>
        </w:rPr>
        <w:t> </w:t>
      </w:r>
      <w:r>
        <w:rPr>
          <w:b/>
          <w:sz w:val="22"/>
        </w:rPr>
        <w:t>Bilbao,</w:t>
      </w:r>
      <w:r>
        <w:rPr>
          <w:b/>
          <w:spacing w:val="-7"/>
          <w:sz w:val="22"/>
        </w:rPr>
        <w:t> </w:t>
      </w:r>
      <w:r>
        <w:rPr>
          <w:b/>
          <w:sz w:val="22"/>
        </w:rPr>
        <w:t>Córdoba,</w:t>
      </w:r>
      <w:r>
        <w:rPr>
          <w:b/>
          <w:spacing w:val="-7"/>
          <w:sz w:val="22"/>
        </w:rPr>
        <w:t> </w:t>
      </w:r>
      <w:r>
        <w:rPr>
          <w:b/>
          <w:sz w:val="22"/>
        </w:rPr>
        <w:t>Las</w:t>
      </w:r>
      <w:r>
        <w:rPr>
          <w:b/>
          <w:spacing w:val="-9"/>
          <w:sz w:val="22"/>
        </w:rPr>
        <w:t> </w:t>
      </w:r>
      <w:r>
        <w:rPr>
          <w:b/>
          <w:sz w:val="22"/>
        </w:rPr>
        <w:t>Palmas</w:t>
      </w:r>
      <w:r>
        <w:rPr>
          <w:b/>
          <w:spacing w:val="-9"/>
          <w:sz w:val="22"/>
        </w:rPr>
        <w:t> </w:t>
      </w:r>
      <w:r>
        <w:rPr>
          <w:b/>
          <w:sz w:val="22"/>
        </w:rPr>
        <w:t>de</w:t>
      </w:r>
      <w:r>
        <w:rPr>
          <w:b/>
          <w:spacing w:val="-12"/>
          <w:sz w:val="22"/>
        </w:rPr>
        <w:t> </w:t>
      </w:r>
      <w:r>
        <w:rPr>
          <w:b/>
          <w:sz w:val="22"/>
        </w:rPr>
        <w:t>Gran</w:t>
      </w:r>
      <w:r>
        <w:rPr>
          <w:b/>
          <w:spacing w:val="-9"/>
          <w:sz w:val="22"/>
        </w:rPr>
        <w:t> </w:t>
      </w:r>
      <w:r>
        <w:rPr>
          <w:b/>
          <w:sz w:val="22"/>
        </w:rPr>
        <w:t>Canaria,</w:t>
      </w:r>
      <w:r>
        <w:rPr>
          <w:b/>
          <w:spacing w:val="-8"/>
          <w:sz w:val="22"/>
        </w:rPr>
        <w:t> </w:t>
      </w:r>
      <w:r>
        <w:rPr>
          <w:b/>
          <w:sz w:val="22"/>
        </w:rPr>
        <w:t>Málaga,</w:t>
      </w:r>
      <w:r>
        <w:rPr>
          <w:b/>
          <w:spacing w:val="-7"/>
          <w:sz w:val="22"/>
        </w:rPr>
        <w:t> </w:t>
      </w:r>
      <w:r>
        <w:rPr>
          <w:b/>
          <w:sz w:val="22"/>
        </w:rPr>
        <w:t>Murcia,</w:t>
      </w:r>
      <w:r>
        <w:rPr>
          <w:b/>
          <w:spacing w:val="-7"/>
          <w:sz w:val="22"/>
        </w:rPr>
        <w:t> </w:t>
      </w:r>
      <w:r>
        <w:rPr>
          <w:b/>
          <w:sz w:val="22"/>
        </w:rPr>
        <w:t>Palma, Sevilla </w:t>
      </w:r>
      <w:r>
        <w:rPr>
          <w:sz w:val="22"/>
        </w:rPr>
        <w:t>y </w:t>
      </w:r>
      <w:r>
        <w:rPr>
          <w:b/>
          <w:sz w:val="22"/>
        </w:rPr>
        <w:t>Zaragoza </w:t>
      </w:r>
      <w:r>
        <w:rPr>
          <w:sz w:val="22"/>
        </w:rPr>
        <w:t>acometieron en los ejercicios fiscalizados obras vinculadas con el transporte público colectivo.</w:t>
      </w:r>
    </w:p>
    <w:p>
      <w:pPr>
        <w:pStyle w:val="BodyText"/>
        <w:spacing w:before="122"/>
        <w:ind w:left="992" w:right="987"/>
        <w:jc w:val="both"/>
      </w:pPr>
      <w:r>
        <w:rPr/>
        <w:t>El </w:t>
      </w:r>
      <w:r>
        <w:rPr>
          <w:b/>
        </w:rPr>
        <w:t>Ayuntamiento de Alicante </w:t>
      </w:r>
      <w:r>
        <w:rPr/>
        <w:t>incluyó en el proyecto “Alicante se mueve”, subvencionado en el marco del PRTR, las obras para la implantación de un carril bus en ambos sentidos en una de las avenidas de la ciudad, que no han llegado a ejecutarse. La entidad formalizó el contrato de obras en</w:t>
      </w:r>
      <w:r>
        <w:rPr>
          <w:spacing w:val="-4"/>
        </w:rPr>
        <w:t> </w:t>
      </w:r>
      <w:r>
        <w:rPr/>
        <w:t>septiembre</w:t>
      </w:r>
      <w:r>
        <w:rPr>
          <w:spacing w:val="-6"/>
        </w:rPr>
        <w:t> </w:t>
      </w:r>
      <w:r>
        <w:rPr/>
        <w:t>de</w:t>
      </w:r>
      <w:r>
        <w:rPr>
          <w:spacing w:val="-7"/>
        </w:rPr>
        <w:t> </w:t>
      </w:r>
      <w:r>
        <w:rPr/>
        <w:t>2022,</w:t>
      </w:r>
      <w:r>
        <w:rPr>
          <w:spacing w:val="-7"/>
        </w:rPr>
        <w:t> </w:t>
      </w:r>
      <w:r>
        <w:rPr/>
        <w:t>por</w:t>
      </w:r>
      <w:r>
        <w:rPr>
          <w:spacing w:val="-3"/>
        </w:rPr>
        <w:t> </w:t>
      </w:r>
      <w:r>
        <w:rPr/>
        <w:t>importe</w:t>
      </w:r>
      <w:r>
        <w:rPr>
          <w:spacing w:val="-4"/>
        </w:rPr>
        <w:t> </w:t>
      </w:r>
      <w:r>
        <w:rPr/>
        <w:t>de</w:t>
      </w:r>
      <w:r>
        <w:rPr>
          <w:spacing w:val="-7"/>
        </w:rPr>
        <w:t> </w:t>
      </w:r>
      <w:r>
        <w:rPr/>
        <w:t>399.899,52</w:t>
      </w:r>
      <w:r>
        <w:rPr>
          <w:spacing w:val="-4"/>
        </w:rPr>
        <w:t> </w:t>
      </w:r>
      <w:r>
        <w:rPr/>
        <w:t>euros,</w:t>
      </w:r>
      <w:r>
        <w:rPr>
          <w:spacing w:val="-5"/>
        </w:rPr>
        <w:t> </w:t>
      </w:r>
      <w:r>
        <w:rPr/>
        <w:t>IVA</w:t>
      </w:r>
      <w:r>
        <w:rPr>
          <w:spacing w:val="-7"/>
        </w:rPr>
        <w:t> </w:t>
      </w:r>
      <w:r>
        <w:rPr/>
        <w:t>excluido,</w:t>
      </w:r>
      <w:r>
        <w:rPr>
          <w:spacing w:val="-3"/>
        </w:rPr>
        <w:t> </w:t>
      </w:r>
      <w:r>
        <w:rPr/>
        <w:t>previéndose</w:t>
      </w:r>
      <w:r>
        <w:rPr>
          <w:spacing w:val="-4"/>
        </w:rPr>
        <w:t> </w:t>
      </w:r>
      <w:r>
        <w:rPr/>
        <w:t>su</w:t>
      </w:r>
      <w:r>
        <w:rPr>
          <w:spacing w:val="-6"/>
        </w:rPr>
        <w:t> </w:t>
      </w:r>
      <w:r>
        <w:rPr/>
        <w:t>finalización en mayo de 2023. Sin embargo, en enero de 2023, al día siguiente de emitirse el acta de comprobación</w:t>
      </w:r>
      <w:r>
        <w:rPr>
          <w:spacing w:val="-2"/>
        </w:rPr>
        <w:t> </w:t>
      </w:r>
      <w:r>
        <w:rPr/>
        <w:t>de</w:t>
      </w:r>
      <w:r>
        <w:rPr>
          <w:spacing w:val="-2"/>
        </w:rPr>
        <w:t> </w:t>
      </w:r>
      <w:r>
        <w:rPr/>
        <w:t>replanteo, se acordó</w:t>
      </w:r>
      <w:r>
        <w:rPr>
          <w:spacing w:val="-2"/>
        </w:rPr>
        <w:t> </w:t>
      </w:r>
      <w:r>
        <w:rPr/>
        <w:t>la</w:t>
      </w:r>
      <w:r>
        <w:rPr>
          <w:spacing w:val="-1"/>
        </w:rPr>
        <w:t> </w:t>
      </w:r>
      <w:r>
        <w:rPr/>
        <w:t>suspensión</w:t>
      </w:r>
      <w:r>
        <w:rPr>
          <w:spacing w:val="-2"/>
        </w:rPr>
        <w:t> </w:t>
      </w:r>
      <w:r>
        <w:rPr/>
        <w:t>temporal</w:t>
      </w:r>
      <w:r>
        <w:rPr>
          <w:spacing w:val="-3"/>
        </w:rPr>
        <w:t> </w:t>
      </w:r>
      <w:r>
        <w:rPr/>
        <w:t>de</w:t>
      </w:r>
      <w:r>
        <w:rPr>
          <w:spacing w:val="-2"/>
        </w:rPr>
        <w:t> </w:t>
      </w:r>
      <w:r>
        <w:rPr/>
        <w:t>las</w:t>
      </w:r>
      <w:r>
        <w:rPr>
          <w:spacing w:val="-2"/>
        </w:rPr>
        <w:t> </w:t>
      </w:r>
      <w:r>
        <w:rPr/>
        <w:t>obras</w:t>
      </w:r>
      <w:r>
        <w:rPr>
          <w:spacing w:val="-1"/>
        </w:rPr>
        <w:t> </w:t>
      </w:r>
      <w:r>
        <w:rPr/>
        <w:t>hasta la</w:t>
      </w:r>
      <w:r>
        <w:rPr>
          <w:spacing w:val="-2"/>
        </w:rPr>
        <w:t> </w:t>
      </w:r>
      <w:r>
        <w:rPr/>
        <w:t>aprobación</w:t>
      </w:r>
      <w:r>
        <w:rPr>
          <w:spacing w:val="-2"/>
        </w:rPr>
        <w:t> </w:t>
      </w:r>
      <w:r>
        <w:rPr/>
        <w:t>de un</w:t>
      </w:r>
      <w:r>
        <w:rPr>
          <w:spacing w:val="-9"/>
        </w:rPr>
        <w:t> </w:t>
      </w:r>
      <w:r>
        <w:rPr/>
        <w:t>proyecto</w:t>
      </w:r>
      <w:r>
        <w:rPr>
          <w:spacing w:val="-11"/>
        </w:rPr>
        <w:t> </w:t>
      </w:r>
      <w:r>
        <w:rPr/>
        <w:t>modificado,</w:t>
      </w:r>
      <w:r>
        <w:rPr>
          <w:spacing w:val="-12"/>
        </w:rPr>
        <w:t> </w:t>
      </w:r>
      <w:r>
        <w:rPr/>
        <w:t>que</w:t>
      </w:r>
      <w:r>
        <w:rPr>
          <w:spacing w:val="-9"/>
        </w:rPr>
        <w:t> </w:t>
      </w:r>
      <w:r>
        <w:rPr/>
        <w:t>tenía</w:t>
      </w:r>
      <w:r>
        <w:rPr>
          <w:spacing w:val="-9"/>
        </w:rPr>
        <w:t> </w:t>
      </w:r>
      <w:r>
        <w:rPr/>
        <w:t>por</w:t>
      </w:r>
      <w:r>
        <w:rPr>
          <w:spacing w:val="-10"/>
        </w:rPr>
        <w:t> </w:t>
      </w:r>
      <w:r>
        <w:rPr/>
        <w:t>objeto</w:t>
      </w:r>
      <w:r>
        <w:rPr>
          <w:spacing w:val="-8"/>
        </w:rPr>
        <w:t> </w:t>
      </w:r>
      <w:r>
        <w:rPr/>
        <w:t>adecuar</w:t>
      </w:r>
      <w:r>
        <w:rPr>
          <w:spacing w:val="-8"/>
        </w:rPr>
        <w:t> </w:t>
      </w:r>
      <w:r>
        <w:rPr/>
        <w:t>el</w:t>
      </w:r>
      <w:r>
        <w:rPr>
          <w:spacing w:val="-9"/>
        </w:rPr>
        <w:t> </w:t>
      </w:r>
      <w:r>
        <w:rPr/>
        <w:t>diseño</w:t>
      </w:r>
      <w:r>
        <w:rPr>
          <w:spacing w:val="-9"/>
        </w:rPr>
        <w:t> </w:t>
      </w:r>
      <w:r>
        <w:rPr/>
        <w:t>de</w:t>
      </w:r>
      <w:r>
        <w:rPr>
          <w:spacing w:val="-12"/>
        </w:rPr>
        <w:t> </w:t>
      </w:r>
      <w:r>
        <w:rPr/>
        <w:t>las</w:t>
      </w:r>
      <w:r>
        <w:rPr>
          <w:spacing w:val="-9"/>
        </w:rPr>
        <w:t> </w:t>
      </w:r>
      <w:r>
        <w:rPr/>
        <w:t>obras</w:t>
      </w:r>
      <w:r>
        <w:rPr>
          <w:spacing w:val="-8"/>
        </w:rPr>
        <w:t> </w:t>
      </w:r>
      <w:r>
        <w:rPr/>
        <w:t>al</w:t>
      </w:r>
      <w:r>
        <w:rPr>
          <w:spacing w:val="-10"/>
        </w:rPr>
        <w:t> </w:t>
      </w:r>
      <w:r>
        <w:rPr/>
        <w:t>plan</w:t>
      </w:r>
      <w:r>
        <w:rPr>
          <w:spacing w:val="-9"/>
        </w:rPr>
        <w:t> </w:t>
      </w:r>
      <w:r>
        <w:rPr/>
        <w:t>de</w:t>
      </w:r>
      <w:r>
        <w:rPr>
          <w:spacing w:val="-9"/>
        </w:rPr>
        <w:t> </w:t>
      </w:r>
      <w:r>
        <w:rPr/>
        <w:t>accesibilidad de itinerarios peatonales de la ciudad, lo que evidencia una deficiente planificación de las obras.</w:t>
      </w:r>
    </w:p>
    <w:p>
      <w:pPr>
        <w:pStyle w:val="BodyText"/>
        <w:spacing w:before="120"/>
        <w:ind w:left="992" w:right="988"/>
        <w:jc w:val="both"/>
      </w:pPr>
      <w:r>
        <w:rPr/>
        <w:t>No es hasta finales de junio de 2023 cuando la Junta de Gobierno Local autorizó la redacción del proyecto</w:t>
      </w:r>
      <w:r>
        <w:rPr>
          <w:spacing w:val="-10"/>
        </w:rPr>
        <w:t> </w:t>
      </w:r>
      <w:r>
        <w:rPr/>
        <w:t>modificado.</w:t>
      </w:r>
      <w:r>
        <w:rPr>
          <w:spacing w:val="-6"/>
        </w:rPr>
        <w:t> </w:t>
      </w:r>
      <w:r>
        <w:rPr/>
        <w:t>Nueve</w:t>
      </w:r>
      <w:r>
        <w:rPr>
          <w:spacing w:val="-8"/>
        </w:rPr>
        <w:t> </w:t>
      </w:r>
      <w:r>
        <w:rPr/>
        <w:t>meses</w:t>
      </w:r>
      <w:r>
        <w:rPr>
          <w:spacing w:val="-10"/>
        </w:rPr>
        <w:t> </w:t>
      </w:r>
      <w:r>
        <w:rPr/>
        <w:t>más</w:t>
      </w:r>
      <w:r>
        <w:rPr>
          <w:spacing w:val="-10"/>
        </w:rPr>
        <w:t> </w:t>
      </w:r>
      <w:r>
        <w:rPr/>
        <w:t>tarde,</w:t>
      </w:r>
      <w:r>
        <w:rPr>
          <w:spacing w:val="-5"/>
        </w:rPr>
        <w:t> </w:t>
      </w:r>
      <w:r>
        <w:rPr/>
        <w:t>en</w:t>
      </w:r>
      <w:r>
        <w:rPr>
          <w:spacing w:val="-11"/>
        </w:rPr>
        <w:t> </w:t>
      </w:r>
      <w:r>
        <w:rPr/>
        <w:t>abril</w:t>
      </w:r>
      <w:r>
        <w:rPr>
          <w:spacing w:val="-9"/>
        </w:rPr>
        <w:t> </w:t>
      </w:r>
      <w:r>
        <w:rPr/>
        <w:t>de</w:t>
      </w:r>
      <w:r>
        <w:rPr>
          <w:spacing w:val="-8"/>
        </w:rPr>
        <w:t> </w:t>
      </w:r>
      <w:r>
        <w:rPr/>
        <w:t>2024,</w:t>
      </w:r>
      <w:r>
        <w:rPr>
          <w:spacing w:val="-6"/>
        </w:rPr>
        <w:t> </w:t>
      </w:r>
      <w:r>
        <w:rPr/>
        <w:t>cuando</w:t>
      </w:r>
      <w:r>
        <w:rPr>
          <w:spacing w:val="-8"/>
        </w:rPr>
        <w:t> </w:t>
      </w:r>
      <w:r>
        <w:rPr/>
        <w:t>las</w:t>
      </w:r>
      <w:r>
        <w:rPr>
          <w:spacing w:val="-7"/>
        </w:rPr>
        <w:t> </w:t>
      </w:r>
      <w:r>
        <w:rPr/>
        <w:t>obras</w:t>
      </w:r>
      <w:r>
        <w:rPr>
          <w:spacing w:val="-8"/>
        </w:rPr>
        <w:t> </w:t>
      </w:r>
      <w:r>
        <w:rPr/>
        <w:t>aún</w:t>
      </w:r>
      <w:r>
        <w:rPr>
          <w:spacing w:val="-8"/>
        </w:rPr>
        <w:t> </w:t>
      </w:r>
      <w:r>
        <w:rPr/>
        <w:t>no</w:t>
      </w:r>
      <w:r>
        <w:rPr>
          <w:spacing w:val="-8"/>
        </w:rPr>
        <w:t> </w:t>
      </w:r>
      <w:r>
        <w:rPr/>
        <w:t>se</w:t>
      </w:r>
      <w:r>
        <w:rPr>
          <w:spacing w:val="-8"/>
        </w:rPr>
        <w:t> </w:t>
      </w:r>
      <w:r>
        <w:rPr/>
        <w:t>habían iniciado, la Generalitat Valenciana comunicó al </w:t>
      </w:r>
      <w:r>
        <w:rPr>
          <w:b/>
        </w:rPr>
        <w:t>Ayuntamiento de Alicante </w:t>
      </w:r>
      <w:r>
        <w:rPr/>
        <w:t>el inicio inminente de las obras de ejecución para la construcción de la nueva estación Intermodal de la Red de tranvía (TRAM) de Alicante, de acuerdo con lo previsto en el Protocolo General de actuación entre el Administrador de Infraestructuras Ferroviarias (ADIF), ADIF-Alta Velocidad, la Generalitat Valenciana y el Ayuntamiento de Alicante, firmado el 21 de febrero de 2024.</w:t>
      </w:r>
    </w:p>
    <w:p>
      <w:pPr>
        <w:pStyle w:val="BodyText"/>
        <w:spacing w:before="120"/>
        <w:ind w:left="992" w:right="986"/>
        <w:jc w:val="both"/>
      </w:pPr>
      <w:r>
        <w:rPr/>
        <w:t>En la medida en que estas obras iban a afectar al tráfico y al funcionamiento de los servicios de transporte de la ciudad, así como al entorno de la avenida, se hacía imposible la ejecución simultanea de ambas actuaciones, lo que motivó que el Ayuntamiento solicitara, en abril de 2024, al MITMA la modificación de las condiciones establecidas en la resolución de concesión de la subvención, consistente en la no ejecución de la actuación, que fue resuelta favorablemente en septiembre de 2024.</w:t>
      </w:r>
    </w:p>
    <w:p>
      <w:pPr>
        <w:pStyle w:val="BodyText"/>
        <w:spacing w:before="120"/>
        <w:ind w:left="992" w:right="994"/>
        <w:jc w:val="both"/>
      </w:pPr>
      <w:r>
        <w:rPr/>
        <w:t>En diciembre de 2024, la Junta de Gobierno Local acordó la resolución de mutuo de acuerdo del contrato, con una indemnización a favor del contratista de 12.000 euros, IVA no incluido, por lo gastos generados con motivo de las gestiones previas realizadas al inicio de las obras.</w:t>
      </w:r>
    </w:p>
    <w:p>
      <w:pPr>
        <w:pStyle w:val="BodyText"/>
        <w:spacing w:before="119"/>
        <w:ind w:left="992" w:right="996"/>
        <w:jc w:val="both"/>
      </w:pPr>
      <w:r>
        <w:rPr/>
        <w:t>En el siguiente cuadro se relacionan las obras ejecutadas en los ejercicios fiscalizados por las entidades fiscalizadas: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Heading4"/>
        <w:ind w:left="60"/>
      </w:pPr>
      <w:bookmarkStart w:name="_bookmark60" w:id="62"/>
      <w:bookmarkEnd w:id="62"/>
      <w:r>
        <w:rPr>
          <w:b w:val="0"/>
        </w:rPr>
      </w:r>
      <w:r>
        <w:rPr/>
        <w:t>CUADRO</w:t>
      </w:r>
      <w:r>
        <w:rPr>
          <w:spacing w:val="-8"/>
        </w:rPr>
        <w:t> </w:t>
      </w:r>
      <w:r>
        <w:rPr/>
        <w:t>10.</w:t>
      </w:r>
      <w:r>
        <w:rPr>
          <w:spacing w:val="-8"/>
        </w:rPr>
        <w:t> </w:t>
      </w:r>
      <w:r>
        <w:rPr/>
        <w:t>OBRAS</w:t>
      </w:r>
      <w:r>
        <w:rPr>
          <w:spacing w:val="-7"/>
        </w:rPr>
        <w:t> </w:t>
      </w:r>
      <w:r>
        <w:rPr/>
        <w:t>EJECUTADAS</w:t>
      </w:r>
      <w:r>
        <w:rPr>
          <w:spacing w:val="-5"/>
        </w:rPr>
        <w:t> </w:t>
      </w:r>
      <w:r>
        <w:rPr/>
        <w:t>POR</w:t>
      </w:r>
      <w:r>
        <w:rPr>
          <w:spacing w:val="-6"/>
        </w:rPr>
        <w:t> </w:t>
      </w:r>
      <w:r>
        <w:rPr/>
        <w:t>LAS</w:t>
      </w:r>
      <w:r>
        <w:rPr>
          <w:spacing w:val="-5"/>
        </w:rPr>
        <w:t> </w:t>
      </w:r>
      <w:r>
        <w:rPr/>
        <w:t>ENTIDADES</w:t>
      </w:r>
      <w:r>
        <w:rPr>
          <w:spacing w:val="-5"/>
        </w:rPr>
        <w:t> </w:t>
      </w:r>
      <w:r>
        <w:rPr>
          <w:spacing w:val="-2"/>
        </w:rPr>
        <w:t>FISCALIZADAS</w:t>
      </w:r>
    </w:p>
    <w:p>
      <w:pPr>
        <w:pStyle w:val="BodyText"/>
        <w:spacing w:before="109"/>
        <w:rPr>
          <w:b/>
          <w:sz w:val="20"/>
        </w:rPr>
      </w:pPr>
    </w:p>
    <w:p>
      <w:pPr>
        <w:pStyle w:val="BodyText"/>
        <w:spacing w:after="0"/>
        <w:rPr>
          <w:b/>
          <w:sz w:val="20"/>
        </w:rPr>
        <w:sectPr>
          <w:pgSz w:w="11910" w:h="16840"/>
          <w:pgMar w:header="1227" w:footer="839" w:top="1420" w:bottom="1020" w:left="141" w:right="141"/>
        </w:sectPr>
      </w:pPr>
    </w:p>
    <w:p>
      <w:pPr>
        <w:spacing w:before="101"/>
        <w:ind w:left="0" w:right="0" w:firstLine="0"/>
        <w:jc w:val="right"/>
        <w:rPr>
          <w:rFonts w:ascii="Arial Narrow" w:hAnsi="Arial Narrow"/>
          <w:b/>
          <w:sz w:val="16"/>
        </w:rPr>
      </w:pPr>
      <w:r>
        <w:rPr>
          <w:rFonts w:ascii="Arial Narrow" w:hAnsi="Arial Narrow"/>
          <w:b/>
          <w:sz w:val="16"/>
        </w:rPr>
        <mc:AlternateContent>
          <mc:Choice Requires="wps">
            <w:drawing>
              <wp:anchor distT="0" distB="0" distL="0" distR="0" allowOverlap="1" layoutInCell="1" locked="0" behindDoc="0" simplePos="0" relativeHeight="15748608">
                <wp:simplePos x="0" y="0"/>
                <wp:positionH relativeFrom="page">
                  <wp:posOffset>513587</wp:posOffset>
                </wp:positionH>
                <wp:positionV relativeFrom="paragraph">
                  <wp:posOffset>-61768</wp:posOffset>
                </wp:positionV>
                <wp:extent cx="6536690" cy="3453130"/>
                <wp:effectExtent l="0" t="0" r="0" b="0"/>
                <wp:wrapNone/>
                <wp:docPr id="145" name="Textbox 145"/>
                <wp:cNvGraphicFramePr>
                  <a:graphicFrameLocks/>
                </wp:cNvGraphicFramePr>
                <a:graphic>
                  <a:graphicData uri="http://schemas.microsoft.com/office/word/2010/wordprocessingShape">
                    <wps:wsp>
                      <wps:cNvPr id="145" name="Textbox 145"/>
                      <wps:cNvSpPr txBox="1"/>
                      <wps:spPr>
                        <a:xfrm>
                          <a:off x="0" y="0"/>
                          <a:ext cx="6536690" cy="345313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70"/>
                              <w:gridCol w:w="3025"/>
                              <w:gridCol w:w="1098"/>
                              <w:gridCol w:w="1083"/>
                              <w:gridCol w:w="992"/>
                              <w:gridCol w:w="472"/>
                              <w:gridCol w:w="420"/>
                              <w:gridCol w:w="425"/>
                              <w:gridCol w:w="402"/>
                              <w:gridCol w:w="978"/>
                            </w:tblGrid>
                            <w:tr>
                              <w:trPr>
                                <w:trHeight w:val="473" w:hRule="atLeast"/>
                              </w:trPr>
                              <w:tc>
                                <w:tcPr>
                                  <w:tcW w:w="1270" w:type="dxa"/>
                                  <w:shd w:val="clear" w:color="auto" w:fill="002D5D"/>
                                </w:tcPr>
                                <w:p>
                                  <w:pPr>
                                    <w:pStyle w:val="TableParagraph"/>
                                    <w:spacing w:before="105"/>
                                    <w:rPr>
                                      <w:sz w:val="16"/>
                                    </w:rPr>
                                  </w:pPr>
                                </w:p>
                                <w:p>
                                  <w:pPr>
                                    <w:pStyle w:val="TableParagraph"/>
                                    <w:spacing w:line="164" w:lineRule="exact"/>
                                    <w:ind w:left="103"/>
                                    <w:rPr>
                                      <w:b/>
                                      <w:sz w:val="16"/>
                                    </w:rPr>
                                  </w:pPr>
                                  <w:r>
                                    <w:rPr>
                                      <w:b/>
                                      <w:color w:val="FFFFFF"/>
                                      <w:spacing w:val="-2"/>
                                      <w:sz w:val="16"/>
                                    </w:rPr>
                                    <w:t>AYUNTAMIENTO</w:t>
                                  </w:r>
                                </w:p>
                              </w:tc>
                              <w:tc>
                                <w:tcPr>
                                  <w:tcW w:w="3025" w:type="dxa"/>
                                  <w:shd w:val="clear" w:color="auto" w:fill="002D5D"/>
                                </w:tcPr>
                                <w:p>
                                  <w:pPr>
                                    <w:pStyle w:val="TableParagraph"/>
                                    <w:spacing w:before="107"/>
                                    <w:ind w:right="466"/>
                                    <w:jc w:val="right"/>
                                    <w:rPr>
                                      <w:b/>
                                      <w:sz w:val="16"/>
                                    </w:rPr>
                                  </w:pPr>
                                  <w:r>
                                    <w:rPr>
                                      <w:b/>
                                      <w:color w:val="FFFFFF"/>
                                      <w:spacing w:val="-5"/>
                                      <w:sz w:val="16"/>
                                    </w:rPr>
                                    <w:t>Nº</w:t>
                                  </w:r>
                                </w:p>
                              </w:tc>
                              <w:tc>
                                <w:tcPr>
                                  <w:tcW w:w="1098" w:type="dxa"/>
                                  <w:shd w:val="clear" w:color="auto" w:fill="002D5D"/>
                                </w:tcPr>
                                <w:p>
                                  <w:pPr>
                                    <w:pStyle w:val="TableParagraph"/>
                                    <w:spacing w:before="105"/>
                                    <w:rPr>
                                      <w:sz w:val="16"/>
                                    </w:rPr>
                                  </w:pPr>
                                </w:p>
                                <w:p>
                                  <w:pPr>
                                    <w:pStyle w:val="TableParagraph"/>
                                    <w:spacing w:line="164" w:lineRule="exact"/>
                                    <w:ind w:left="124"/>
                                    <w:rPr>
                                      <w:b/>
                                      <w:sz w:val="16"/>
                                    </w:rPr>
                                  </w:pPr>
                                  <w:r>
                                    <w:rPr>
                                      <w:b/>
                                      <w:color w:val="FFFFFF"/>
                                      <w:sz w:val="16"/>
                                    </w:rPr>
                                    <w:t>IMPORTE</w:t>
                                  </w:r>
                                  <w:r>
                                    <w:rPr>
                                      <w:b/>
                                      <w:color w:val="FFFFFF"/>
                                      <w:spacing w:val="-4"/>
                                      <w:sz w:val="16"/>
                                    </w:rPr>
                                    <w:t> </w:t>
                                  </w:r>
                                  <w:r>
                                    <w:rPr>
                                      <w:b/>
                                      <w:color w:val="FFFFFF"/>
                                      <w:spacing w:val="-5"/>
                                      <w:sz w:val="16"/>
                                    </w:rPr>
                                    <w:t>(€)</w:t>
                                  </w:r>
                                </w:p>
                              </w:tc>
                              <w:tc>
                                <w:tcPr>
                                  <w:tcW w:w="4772" w:type="dxa"/>
                                  <w:gridSpan w:val="7"/>
                                  <w:shd w:val="clear" w:color="auto" w:fill="002D5D"/>
                                </w:tcPr>
                                <w:p>
                                  <w:pPr>
                                    <w:pStyle w:val="TableParagraph"/>
                                    <w:tabs>
                                      <w:tab w:pos="1831" w:val="left" w:leader="none"/>
                                      <w:tab w:pos="3408" w:val="left" w:leader="none"/>
                                    </w:tabs>
                                    <w:spacing w:line="236" w:lineRule="exact"/>
                                    <w:ind w:right="87"/>
                                    <w:jc w:val="right"/>
                                    <w:rPr>
                                      <w:b/>
                                      <w:sz w:val="16"/>
                                    </w:rPr>
                                  </w:pPr>
                                  <w:r>
                                    <w:rPr>
                                      <w:b/>
                                      <w:color w:val="FFFFFF"/>
                                      <w:spacing w:val="-2"/>
                                      <w:position w:val="2"/>
                                      <w:sz w:val="16"/>
                                    </w:rPr>
                                    <w:t>FINANCIACIÓN</w:t>
                                  </w:r>
                                  <w:r>
                                    <w:rPr>
                                      <w:b/>
                                      <w:color w:val="FFFFFF"/>
                                      <w:position w:val="2"/>
                                      <w:sz w:val="16"/>
                                    </w:rPr>
                                    <w:tab/>
                                  </w:r>
                                  <w:r>
                                    <w:rPr>
                                      <w:b/>
                                      <w:color w:val="FFFFFF"/>
                                      <w:position w:val="11"/>
                                      <w:sz w:val="16"/>
                                    </w:rPr>
                                    <w:t>INCIDENCIAS</w:t>
                                  </w:r>
                                  <w:r>
                                    <w:rPr>
                                      <w:b/>
                                      <w:color w:val="FFFFFF"/>
                                      <w:spacing w:val="-6"/>
                                      <w:position w:val="11"/>
                                      <w:sz w:val="16"/>
                                    </w:rPr>
                                    <w:t> </w:t>
                                  </w:r>
                                  <w:r>
                                    <w:rPr>
                                      <w:b/>
                                      <w:color w:val="FFFFFF"/>
                                      <w:position w:val="11"/>
                                      <w:sz w:val="16"/>
                                    </w:rPr>
                                    <w:t>EN</w:t>
                                  </w:r>
                                  <w:r>
                                    <w:rPr>
                                      <w:b/>
                                      <w:color w:val="FFFFFF"/>
                                      <w:spacing w:val="-5"/>
                                      <w:position w:val="11"/>
                                      <w:sz w:val="16"/>
                                    </w:rPr>
                                    <w:t> LA</w:t>
                                  </w:r>
                                  <w:r>
                                    <w:rPr>
                                      <w:b/>
                                      <w:color w:val="FFFFFF"/>
                                      <w:position w:val="11"/>
                                      <w:sz w:val="16"/>
                                    </w:rPr>
                                    <w:tab/>
                                  </w:r>
                                  <w:r>
                                    <w:rPr>
                                      <w:b/>
                                      <w:color w:val="FFFFFF"/>
                                      <w:sz w:val="16"/>
                                    </w:rPr>
                                    <w:t>ESTADO</w:t>
                                  </w:r>
                                  <w:r>
                                    <w:rPr>
                                      <w:b/>
                                      <w:color w:val="FFFFFF"/>
                                      <w:spacing w:val="-7"/>
                                      <w:sz w:val="16"/>
                                    </w:rPr>
                                    <w:t> </w:t>
                                  </w:r>
                                  <w:r>
                                    <w:rPr>
                                      <w:b/>
                                      <w:color w:val="FFFFFF"/>
                                      <w:spacing w:val="-5"/>
                                      <w:sz w:val="16"/>
                                    </w:rPr>
                                    <w:t>DE</w:t>
                                  </w:r>
                                </w:p>
                                <w:p>
                                  <w:pPr>
                                    <w:pStyle w:val="TableParagraph"/>
                                    <w:tabs>
                                      <w:tab w:pos="1317" w:val="left" w:leader="none"/>
                                    </w:tabs>
                                    <w:spacing w:line="151" w:lineRule="auto"/>
                                    <w:ind w:right="87"/>
                                    <w:jc w:val="right"/>
                                    <w:rPr>
                                      <w:b/>
                                      <w:position w:val="-10"/>
                                      <w:sz w:val="16"/>
                                    </w:rPr>
                                  </w:pPr>
                                  <w:r>
                                    <w:rPr>
                                      <w:b/>
                                      <w:color w:val="FFFFFF"/>
                                      <w:spacing w:val="-2"/>
                                      <w:sz w:val="16"/>
                                    </w:rPr>
                                    <w:t>EJECUCIÓN</w:t>
                                  </w:r>
                                  <w:r>
                                    <w:rPr>
                                      <w:b/>
                                      <w:color w:val="FFFFFF"/>
                                      <w:sz w:val="16"/>
                                    </w:rPr>
                                    <w:tab/>
                                  </w:r>
                                  <w:r>
                                    <w:rPr>
                                      <w:b/>
                                      <w:color w:val="FFFFFF"/>
                                      <w:spacing w:val="-2"/>
                                      <w:position w:val="-10"/>
                                      <w:sz w:val="16"/>
                                    </w:rPr>
                                    <w:t>EJECUCIÓN</w:t>
                                  </w:r>
                                </w:p>
                              </w:tc>
                            </w:tr>
                            <w:tr>
                              <w:trPr>
                                <w:trHeight w:val="292" w:hRule="atLeast"/>
                              </w:trPr>
                              <w:tc>
                                <w:tcPr>
                                  <w:tcW w:w="10165" w:type="dxa"/>
                                  <w:gridSpan w:val="10"/>
                                  <w:shd w:val="clear" w:color="auto" w:fill="002D5D"/>
                                </w:tcPr>
                                <w:p>
                                  <w:pPr>
                                    <w:pStyle w:val="TableParagraph"/>
                                    <w:tabs>
                                      <w:tab w:pos="3358" w:val="left" w:leader="none"/>
                                      <w:tab w:pos="5619" w:val="left" w:leader="none"/>
                                      <w:tab w:pos="6627" w:val="left" w:leader="none"/>
                                      <w:tab w:pos="7691" w:val="left" w:leader="none"/>
                                      <w:tab w:pos="8094" w:val="left" w:leader="none"/>
                                      <w:tab w:pos="8533" w:val="left" w:leader="none"/>
                                      <w:tab w:pos="8956" w:val="left" w:leader="none"/>
                                      <w:tab w:pos="9364" w:val="left" w:leader="none"/>
                                    </w:tabs>
                                    <w:spacing w:line="143" w:lineRule="exact"/>
                                    <w:ind w:left="1872"/>
                                    <w:rPr>
                                      <w:b/>
                                      <w:sz w:val="16"/>
                                    </w:rPr>
                                  </w:pPr>
                                  <w:r>
                                    <w:rPr>
                                      <w:b/>
                                      <w:color w:val="FFFFFF"/>
                                      <w:spacing w:val="-2"/>
                                      <w:position w:val="10"/>
                                      <w:sz w:val="16"/>
                                    </w:rPr>
                                    <w:t>ACTUACIÓN</w:t>
                                  </w:r>
                                  <w:r>
                                    <w:rPr>
                                      <w:b/>
                                      <w:color w:val="FFFFFF"/>
                                      <w:position w:val="10"/>
                                      <w:sz w:val="16"/>
                                    </w:rPr>
                                    <w:tab/>
                                  </w:r>
                                  <w:r>
                                    <w:rPr>
                                      <w:b/>
                                      <w:color w:val="FFFFFF"/>
                                      <w:spacing w:val="-2"/>
                                      <w:sz w:val="16"/>
                                    </w:rPr>
                                    <w:t>ASOCIADOS</w:t>
                                  </w:r>
                                  <w:r>
                                    <w:rPr>
                                      <w:b/>
                                      <w:color w:val="FFFFFF"/>
                                      <w:sz w:val="16"/>
                                    </w:rPr>
                                    <w:tab/>
                                    <w:t>Ayto.</w:t>
                                  </w:r>
                                  <w:r>
                                    <w:rPr>
                                      <w:b/>
                                      <w:color w:val="FFFFFF"/>
                                      <w:spacing w:val="-6"/>
                                      <w:sz w:val="16"/>
                                    </w:rPr>
                                    <w:t> </w:t>
                                  </w:r>
                                  <w:r>
                                    <w:rPr>
                                      <w:b/>
                                      <w:color w:val="FFFFFF"/>
                                      <w:spacing w:val="-5"/>
                                      <w:sz w:val="16"/>
                                    </w:rPr>
                                    <w:t>(€)</w:t>
                                  </w:r>
                                  <w:r>
                                    <w:rPr>
                                      <w:b/>
                                      <w:color w:val="FFFFFF"/>
                                      <w:sz w:val="16"/>
                                    </w:rPr>
                                    <w:tab/>
                                  </w:r>
                                  <w:r>
                                    <w:rPr>
                                      <w:b/>
                                      <w:color w:val="FFFFFF"/>
                                      <w:position w:val="9"/>
                                      <w:sz w:val="17"/>
                                    </w:rPr>
                                    <w:t>PRTR </w:t>
                                  </w:r>
                                  <w:r>
                                    <w:rPr>
                                      <w:b/>
                                      <w:color w:val="FFFFFF"/>
                                      <w:spacing w:val="-10"/>
                                      <w:position w:val="9"/>
                                      <w:sz w:val="17"/>
                                    </w:rPr>
                                    <w:t>y</w:t>
                                  </w:r>
                                  <w:r>
                                    <w:rPr>
                                      <w:b/>
                                      <w:color w:val="FFFFFF"/>
                                      <w:position w:val="9"/>
                                      <w:sz w:val="17"/>
                                    </w:rPr>
                                    <w:tab/>
                                  </w:r>
                                  <w:r>
                                    <w:rPr>
                                      <w:b/>
                                      <w:color w:val="FFFFFF"/>
                                      <w:spacing w:val="-10"/>
                                      <w:sz w:val="16"/>
                                    </w:rPr>
                                    <w:t>P</w:t>
                                  </w:r>
                                  <w:r>
                                    <w:rPr>
                                      <w:b/>
                                      <w:color w:val="FFFFFF"/>
                                      <w:sz w:val="16"/>
                                    </w:rPr>
                                    <w:tab/>
                                  </w:r>
                                  <w:r>
                                    <w:rPr>
                                      <w:b/>
                                      <w:color w:val="FFFFFF"/>
                                      <w:spacing w:val="-10"/>
                                      <w:sz w:val="16"/>
                                    </w:rPr>
                                    <w:t>M</w:t>
                                  </w:r>
                                  <w:r>
                                    <w:rPr>
                                      <w:b/>
                                      <w:color w:val="FFFFFF"/>
                                      <w:sz w:val="16"/>
                                    </w:rPr>
                                    <w:tab/>
                                  </w:r>
                                  <w:r>
                                    <w:rPr>
                                      <w:b/>
                                      <w:color w:val="FFFFFF"/>
                                      <w:spacing w:val="-10"/>
                                      <w:sz w:val="16"/>
                                    </w:rPr>
                                    <w:t>S</w:t>
                                  </w:r>
                                  <w:r>
                                    <w:rPr>
                                      <w:b/>
                                      <w:color w:val="FFFFFF"/>
                                      <w:sz w:val="16"/>
                                    </w:rPr>
                                    <w:tab/>
                                  </w:r>
                                  <w:r>
                                    <w:rPr>
                                      <w:b/>
                                      <w:color w:val="FFFFFF"/>
                                      <w:spacing w:val="-10"/>
                                      <w:sz w:val="16"/>
                                    </w:rPr>
                                    <w:t>R</w:t>
                                  </w:r>
                                  <w:r>
                                    <w:rPr>
                                      <w:b/>
                                      <w:color w:val="FFFFFF"/>
                                      <w:sz w:val="16"/>
                                    </w:rPr>
                                    <w:tab/>
                                    <w:t>A</w:t>
                                  </w:r>
                                  <w:r>
                                    <w:rPr>
                                      <w:b/>
                                      <w:color w:val="FFFFFF"/>
                                      <w:spacing w:val="-6"/>
                                      <w:sz w:val="16"/>
                                    </w:rPr>
                                    <w:t> </w:t>
                                  </w:r>
                                  <w:r>
                                    <w:rPr>
                                      <w:b/>
                                      <w:color w:val="FFFFFF"/>
                                      <w:sz w:val="16"/>
                                    </w:rPr>
                                    <w:t>31-12-</w:t>
                                  </w:r>
                                  <w:r>
                                    <w:rPr>
                                      <w:b/>
                                      <w:color w:val="FFFFFF"/>
                                      <w:spacing w:val="-5"/>
                                      <w:sz w:val="16"/>
                                    </w:rPr>
                                    <w:t>24</w:t>
                                  </w:r>
                                </w:p>
                                <w:p>
                                  <w:pPr>
                                    <w:pStyle w:val="TableParagraph"/>
                                    <w:spacing w:line="129" w:lineRule="exact"/>
                                    <w:ind w:left="6601"/>
                                    <w:rPr>
                                      <w:b/>
                                      <w:sz w:val="17"/>
                                    </w:rPr>
                                  </w:pPr>
                                  <w:r>
                                    <w:rPr>
                                      <w:b/>
                                      <w:color w:val="FFFFFF"/>
                                      <w:sz w:val="17"/>
                                    </w:rPr>
                                    <w:t>otras</w:t>
                                  </w:r>
                                  <w:r>
                                    <w:rPr>
                                      <w:b/>
                                      <w:color w:val="FFFFFF"/>
                                      <w:spacing w:val="-5"/>
                                      <w:sz w:val="17"/>
                                    </w:rPr>
                                    <w:t> (€)</w:t>
                                  </w:r>
                                </w:p>
                              </w:tc>
                            </w:tr>
                            <w:tr>
                              <w:trPr>
                                <w:trHeight w:val="228" w:hRule="atLeast"/>
                              </w:trPr>
                              <w:tc>
                                <w:tcPr>
                                  <w:tcW w:w="10165" w:type="dxa"/>
                                  <w:gridSpan w:val="10"/>
                                </w:tcPr>
                                <w:p>
                                  <w:pPr>
                                    <w:pStyle w:val="TableParagraph"/>
                                    <w:spacing w:line="182" w:lineRule="exact"/>
                                    <w:ind w:left="1339"/>
                                    <w:rPr>
                                      <w:sz w:val="16"/>
                                    </w:rPr>
                                  </w:pPr>
                                  <w:r>
                                    <w:rPr>
                                      <w:sz w:val="16"/>
                                    </w:rPr>
                                    <w:t>Obras</w:t>
                                  </w:r>
                                  <w:r>
                                    <w:rPr>
                                      <w:spacing w:val="-3"/>
                                      <w:sz w:val="16"/>
                                    </w:rPr>
                                    <w:t> </w:t>
                                  </w:r>
                                  <w:r>
                                    <w:rPr>
                                      <w:sz w:val="16"/>
                                    </w:rPr>
                                    <w:t>para</w:t>
                                  </w:r>
                                  <w:r>
                                    <w:rPr>
                                      <w:spacing w:val="-2"/>
                                      <w:sz w:val="16"/>
                                    </w:rPr>
                                    <w:t> </w:t>
                                  </w:r>
                                  <w:r>
                                    <w:rPr>
                                      <w:sz w:val="16"/>
                                    </w:rPr>
                                    <w:t>la</w:t>
                                  </w:r>
                                  <w:r>
                                    <w:rPr>
                                      <w:spacing w:val="-3"/>
                                      <w:sz w:val="16"/>
                                    </w:rPr>
                                    <w:t> </w:t>
                                  </w:r>
                                  <w:r>
                                    <w:rPr>
                                      <w:sz w:val="16"/>
                                    </w:rPr>
                                    <w:t>mejora</w:t>
                                  </w:r>
                                  <w:r>
                                    <w:rPr>
                                      <w:spacing w:val="-4"/>
                                      <w:sz w:val="16"/>
                                    </w:rPr>
                                    <w:t> </w:t>
                                  </w:r>
                                  <w:r>
                                    <w:rPr>
                                      <w:sz w:val="16"/>
                                    </w:rPr>
                                    <w:t>de</w:t>
                                  </w:r>
                                  <w:r>
                                    <w:rPr>
                                      <w:spacing w:val="-2"/>
                                      <w:sz w:val="16"/>
                                    </w:rPr>
                                    <w:t> </w:t>
                                  </w:r>
                                  <w:r>
                                    <w:rPr>
                                      <w:spacing w:val="-5"/>
                                      <w:sz w:val="16"/>
                                    </w:rPr>
                                    <w:t>la</w:t>
                                  </w:r>
                                </w:p>
                              </w:tc>
                            </w:tr>
                            <w:tr>
                              <w:trPr>
                                <w:trHeight w:val="505" w:hRule="atLeast"/>
                              </w:trPr>
                              <w:tc>
                                <w:tcPr>
                                  <w:tcW w:w="1270" w:type="dxa"/>
                                  <w:tcBorders>
                                    <w:bottom w:val="single" w:sz="12" w:space="0" w:color="001F5F"/>
                                  </w:tcBorders>
                                </w:tcPr>
                                <w:p>
                                  <w:pPr>
                                    <w:pStyle w:val="TableParagraph"/>
                                    <w:spacing w:before="46"/>
                                    <w:ind w:left="69"/>
                                    <w:rPr>
                                      <w:b/>
                                      <w:sz w:val="16"/>
                                    </w:rPr>
                                  </w:pPr>
                                  <w:r>
                                    <w:rPr>
                                      <w:b/>
                                      <w:spacing w:val="-2"/>
                                      <w:sz w:val="16"/>
                                    </w:rPr>
                                    <w:t>BILBAO</w:t>
                                  </w:r>
                                </w:p>
                              </w:tc>
                              <w:tc>
                                <w:tcPr>
                                  <w:tcW w:w="3025" w:type="dxa"/>
                                  <w:tcBorders>
                                    <w:bottom w:val="single" w:sz="12" w:space="0" w:color="001F5F"/>
                                  </w:tcBorders>
                                </w:tcPr>
                                <w:p>
                                  <w:pPr>
                                    <w:pStyle w:val="TableParagraph"/>
                                    <w:tabs>
                                      <w:tab w:pos="2569" w:val="right" w:leader="none"/>
                                    </w:tabs>
                                    <w:spacing w:line="168" w:lineRule="auto"/>
                                    <w:ind w:left="69"/>
                                    <w:rPr>
                                      <w:position w:val="-8"/>
                                      <w:sz w:val="16"/>
                                    </w:rPr>
                                  </w:pPr>
                                  <w:r>
                                    <w:rPr>
                                      <w:sz w:val="16"/>
                                    </w:rPr>
                                    <w:t>accesibilidad</w:t>
                                  </w:r>
                                  <w:r>
                                    <w:rPr>
                                      <w:spacing w:val="-5"/>
                                      <w:sz w:val="16"/>
                                    </w:rPr>
                                    <w:t> </w:t>
                                  </w:r>
                                  <w:r>
                                    <w:rPr>
                                      <w:sz w:val="16"/>
                                    </w:rPr>
                                    <w:t>de</w:t>
                                  </w:r>
                                  <w:r>
                                    <w:rPr>
                                      <w:spacing w:val="-4"/>
                                      <w:sz w:val="16"/>
                                    </w:rPr>
                                    <w:t> </w:t>
                                  </w:r>
                                  <w:r>
                                    <w:rPr>
                                      <w:sz w:val="16"/>
                                    </w:rPr>
                                    <w:t>los</w:t>
                                  </w:r>
                                  <w:r>
                                    <w:rPr>
                                      <w:spacing w:val="-4"/>
                                      <w:sz w:val="16"/>
                                    </w:rPr>
                                    <w:t> </w:t>
                                  </w:r>
                                  <w:r>
                                    <w:rPr>
                                      <w:spacing w:val="-2"/>
                                      <w:sz w:val="16"/>
                                    </w:rPr>
                                    <w:t>espacios</w:t>
                                  </w:r>
                                  <w:r>
                                    <w:rPr>
                                      <w:sz w:val="16"/>
                                    </w:rPr>
                                    <w:tab/>
                                  </w:r>
                                  <w:r>
                                    <w:rPr>
                                      <w:spacing w:val="-12"/>
                                      <w:position w:val="-8"/>
                                      <w:sz w:val="16"/>
                                    </w:rPr>
                                    <w:t>2</w:t>
                                  </w:r>
                                </w:p>
                                <w:p>
                                  <w:pPr>
                                    <w:pStyle w:val="TableParagraph"/>
                                    <w:spacing w:line="163" w:lineRule="exact" w:before="103"/>
                                    <w:ind w:left="69"/>
                                    <w:rPr>
                                      <w:sz w:val="16"/>
                                    </w:rPr>
                                  </w:pPr>
                                  <w:r>
                                    <w:rPr>
                                      <w:spacing w:val="-2"/>
                                      <w:sz w:val="16"/>
                                    </w:rPr>
                                    <w:t>Bilbobus</w:t>
                                  </w:r>
                                </w:p>
                              </w:tc>
                              <w:tc>
                                <w:tcPr>
                                  <w:tcW w:w="1098" w:type="dxa"/>
                                  <w:tcBorders>
                                    <w:bottom w:val="single" w:sz="12" w:space="0" w:color="001F5F"/>
                                  </w:tcBorders>
                                </w:tcPr>
                                <w:p>
                                  <w:pPr>
                                    <w:pStyle w:val="TableParagraph"/>
                                    <w:spacing w:before="46"/>
                                    <w:ind w:right="72"/>
                                    <w:jc w:val="right"/>
                                    <w:rPr>
                                      <w:sz w:val="16"/>
                                    </w:rPr>
                                  </w:pPr>
                                  <w:r>
                                    <w:rPr>
                                      <w:spacing w:val="-2"/>
                                      <w:sz w:val="16"/>
                                    </w:rPr>
                                    <w:t>493.443,59</w:t>
                                  </w:r>
                                </w:p>
                              </w:tc>
                              <w:tc>
                                <w:tcPr>
                                  <w:tcW w:w="1083" w:type="dxa"/>
                                  <w:tcBorders>
                                    <w:bottom w:val="single" w:sz="12" w:space="0" w:color="001F5F"/>
                                  </w:tcBorders>
                                </w:tcPr>
                                <w:p>
                                  <w:pPr>
                                    <w:pStyle w:val="TableParagraph"/>
                                    <w:spacing w:before="46"/>
                                    <w:ind w:right="164"/>
                                    <w:jc w:val="right"/>
                                    <w:rPr>
                                      <w:sz w:val="16"/>
                                    </w:rPr>
                                  </w:pPr>
                                  <w:r>
                                    <w:rPr>
                                      <w:spacing w:val="-2"/>
                                      <w:sz w:val="16"/>
                                    </w:rPr>
                                    <w:t>493.443,59</w:t>
                                  </w:r>
                                </w:p>
                              </w:tc>
                              <w:tc>
                                <w:tcPr>
                                  <w:tcW w:w="992" w:type="dxa"/>
                                  <w:tcBorders>
                                    <w:bottom w:val="single" w:sz="12" w:space="0" w:color="001F5F"/>
                                  </w:tcBorders>
                                </w:tcPr>
                                <w:p>
                                  <w:pPr>
                                    <w:pStyle w:val="TableParagraph"/>
                                    <w:spacing w:before="46"/>
                                    <w:ind w:right="161"/>
                                    <w:jc w:val="right"/>
                                    <w:rPr>
                                      <w:sz w:val="16"/>
                                    </w:rPr>
                                  </w:pPr>
                                  <w:r>
                                    <w:rPr>
                                      <w:spacing w:val="-4"/>
                                      <w:sz w:val="16"/>
                                    </w:rPr>
                                    <w:t>0,00</w:t>
                                  </w:r>
                                </w:p>
                              </w:tc>
                              <w:tc>
                                <w:tcPr>
                                  <w:tcW w:w="472" w:type="dxa"/>
                                  <w:tcBorders>
                                    <w:bottom w:val="single" w:sz="12" w:space="0" w:color="001F5F"/>
                                  </w:tcBorders>
                                </w:tcPr>
                                <w:p>
                                  <w:pPr>
                                    <w:pStyle w:val="TableParagraph"/>
                                    <w:spacing w:before="46"/>
                                    <w:ind w:left="64" w:right="1"/>
                                    <w:jc w:val="center"/>
                                    <w:rPr>
                                      <w:sz w:val="16"/>
                                    </w:rPr>
                                  </w:pPr>
                                  <w:r>
                                    <w:rPr>
                                      <w:color w:val="5E89B4"/>
                                      <w:spacing w:val="-5"/>
                                      <w:sz w:val="16"/>
                                    </w:rPr>
                                    <w:t>NO</w:t>
                                  </w:r>
                                </w:p>
                              </w:tc>
                              <w:tc>
                                <w:tcPr>
                                  <w:tcW w:w="420" w:type="dxa"/>
                                  <w:tcBorders>
                                    <w:bottom w:val="single" w:sz="12" w:space="0" w:color="001F5F"/>
                                  </w:tcBorders>
                                </w:tcPr>
                                <w:p>
                                  <w:pPr>
                                    <w:pStyle w:val="TableParagraph"/>
                                    <w:spacing w:before="46"/>
                                    <w:ind w:left="2"/>
                                    <w:jc w:val="center"/>
                                    <w:rPr>
                                      <w:sz w:val="16"/>
                                    </w:rPr>
                                  </w:pPr>
                                  <w:r>
                                    <w:rPr>
                                      <w:color w:val="5E89B4"/>
                                      <w:spacing w:val="-5"/>
                                      <w:sz w:val="16"/>
                                    </w:rPr>
                                    <w:t>NO</w:t>
                                  </w:r>
                                </w:p>
                              </w:tc>
                              <w:tc>
                                <w:tcPr>
                                  <w:tcW w:w="425" w:type="dxa"/>
                                  <w:tcBorders>
                                    <w:bottom w:val="single" w:sz="12" w:space="0" w:color="001F5F"/>
                                  </w:tcBorders>
                                </w:tcPr>
                                <w:p>
                                  <w:pPr>
                                    <w:pStyle w:val="TableParagraph"/>
                                    <w:spacing w:before="46"/>
                                    <w:ind w:left="11"/>
                                    <w:jc w:val="center"/>
                                    <w:rPr>
                                      <w:sz w:val="16"/>
                                    </w:rPr>
                                  </w:pPr>
                                  <w:r>
                                    <w:rPr>
                                      <w:color w:val="5E89B4"/>
                                      <w:spacing w:val="-5"/>
                                      <w:sz w:val="16"/>
                                    </w:rPr>
                                    <w:t>NO</w:t>
                                  </w:r>
                                </w:p>
                              </w:tc>
                              <w:tc>
                                <w:tcPr>
                                  <w:tcW w:w="402" w:type="dxa"/>
                                  <w:tcBorders>
                                    <w:bottom w:val="single" w:sz="12" w:space="0" w:color="001F5F"/>
                                  </w:tcBorders>
                                </w:tcPr>
                                <w:p>
                                  <w:pPr>
                                    <w:pStyle w:val="TableParagraph"/>
                                    <w:spacing w:before="46"/>
                                    <w:ind w:left="34"/>
                                    <w:jc w:val="center"/>
                                    <w:rPr>
                                      <w:sz w:val="16"/>
                                    </w:rPr>
                                  </w:pPr>
                                  <w:r>
                                    <w:rPr>
                                      <w:color w:val="5E89B4"/>
                                      <w:spacing w:val="-5"/>
                                      <w:sz w:val="16"/>
                                    </w:rPr>
                                    <w:t>NO</w:t>
                                  </w:r>
                                </w:p>
                              </w:tc>
                              <w:tc>
                                <w:tcPr>
                                  <w:tcW w:w="978" w:type="dxa"/>
                                  <w:tcBorders>
                                    <w:bottom w:val="single" w:sz="12" w:space="0" w:color="001F5F"/>
                                  </w:tcBorders>
                                </w:tcPr>
                                <w:p>
                                  <w:pPr>
                                    <w:pStyle w:val="TableParagraph"/>
                                    <w:spacing w:before="46"/>
                                    <w:ind w:left="59" w:right="26"/>
                                    <w:jc w:val="center"/>
                                    <w:rPr>
                                      <w:sz w:val="16"/>
                                    </w:rPr>
                                  </w:pPr>
                                  <w:r>
                                    <w:rPr>
                                      <w:spacing w:val="-2"/>
                                      <w:sz w:val="16"/>
                                    </w:rPr>
                                    <w:t>Finalizada</w:t>
                                  </w:r>
                                </w:p>
                              </w:tc>
                            </w:tr>
                            <w:tr>
                              <w:trPr>
                                <w:trHeight w:val="368" w:hRule="atLeast"/>
                              </w:trPr>
                              <w:tc>
                                <w:tcPr>
                                  <w:tcW w:w="1270" w:type="dxa"/>
                                  <w:tcBorders>
                                    <w:top w:val="single" w:sz="12" w:space="0" w:color="001F5F"/>
                                  </w:tcBorders>
                                </w:tcPr>
                                <w:p>
                                  <w:pPr>
                                    <w:pStyle w:val="TableParagraph"/>
                                    <w:rPr>
                                      <w:rFonts w:ascii="Times New Roman"/>
                                      <w:sz w:val="16"/>
                                    </w:rPr>
                                  </w:pPr>
                                </w:p>
                              </w:tc>
                              <w:tc>
                                <w:tcPr>
                                  <w:tcW w:w="3025" w:type="dxa"/>
                                  <w:tcBorders>
                                    <w:top w:val="single" w:sz="12" w:space="0" w:color="001F5F"/>
                                    <w:bottom w:val="single" w:sz="4" w:space="0" w:color="001F5F"/>
                                  </w:tcBorders>
                                </w:tcPr>
                                <w:p>
                                  <w:pPr>
                                    <w:pStyle w:val="TableParagraph"/>
                                    <w:tabs>
                                      <w:tab w:pos="2500" w:val="right" w:leader="none"/>
                                    </w:tabs>
                                    <w:ind w:right="453"/>
                                    <w:jc w:val="right"/>
                                    <w:rPr>
                                      <w:position w:val="-8"/>
                                      <w:sz w:val="16"/>
                                    </w:rPr>
                                  </w:pPr>
                                  <w:r>
                                    <w:rPr>
                                      <w:sz w:val="16"/>
                                    </w:rPr>
                                    <w:t>Instalación</w:t>
                                  </w:r>
                                  <w:r>
                                    <w:rPr>
                                      <w:spacing w:val="-9"/>
                                      <w:sz w:val="16"/>
                                    </w:rPr>
                                    <w:t> </w:t>
                                  </w:r>
                                  <w:r>
                                    <w:rPr>
                                      <w:spacing w:val="-2"/>
                                      <w:sz w:val="16"/>
                                    </w:rPr>
                                    <w:t>pavimento</w:t>
                                  </w:r>
                                  <w:r>
                                    <w:rPr>
                                      <w:sz w:val="16"/>
                                    </w:rPr>
                                    <w:tab/>
                                  </w:r>
                                  <w:r>
                                    <w:rPr>
                                      <w:spacing w:val="-10"/>
                                      <w:position w:val="-8"/>
                                      <w:sz w:val="16"/>
                                    </w:rPr>
                                    <w:t>3</w:t>
                                  </w:r>
                                </w:p>
                              </w:tc>
                              <w:tc>
                                <w:tcPr>
                                  <w:tcW w:w="1098" w:type="dxa"/>
                                  <w:tcBorders>
                                    <w:top w:val="single" w:sz="12" w:space="0" w:color="001F5F"/>
                                    <w:bottom w:val="single" w:sz="4" w:space="0" w:color="002D5D"/>
                                  </w:tcBorders>
                                </w:tcPr>
                                <w:p>
                                  <w:pPr>
                                    <w:pStyle w:val="TableParagraph"/>
                                    <w:spacing w:before="92"/>
                                    <w:ind w:right="72"/>
                                    <w:jc w:val="right"/>
                                    <w:rPr>
                                      <w:sz w:val="16"/>
                                    </w:rPr>
                                  </w:pPr>
                                  <w:r>
                                    <w:rPr>
                                      <w:spacing w:val="-2"/>
                                      <w:sz w:val="16"/>
                                    </w:rPr>
                                    <w:t>2.553,62</w:t>
                                  </w:r>
                                </w:p>
                              </w:tc>
                              <w:tc>
                                <w:tcPr>
                                  <w:tcW w:w="1083" w:type="dxa"/>
                                  <w:tcBorders>
                                    <w:top w:val="single" w:sz="12" w:space="0" w:color="001F5F"/>
                                    <w:bottom w:val="single" w:sz="4" w:space="0" w:color="002D5D"/>
                                  </w:tcBorders>
                                </w:tcPr>
                                <w:p>
                                  <w:pPr>
                                    <w:pStyle w:val="TableParagraph"/>
                                    <w:spacing w:before="92"/>
                                    <w:ind w:right="164"/>
                                    <w:jc w:val="right"/>
                                    <w:rPr>
                                      <w:sz w:val="16"/>
                                    </w:rPr>
                                  </w:pPr>
                                  <w:r>
                                    <w:rPr>
                                      <w:spacing w:val="-2"/>
                                      <w:sz w:val="16"/>
                                    </w:rPr>
                                    <w:t>2.553,62</w:t>
                                  </w:r>
                                </w:p>
                              </w:tc>
                              <w:tc>
                                <w:tcPr>
                                  <w:tcW w:w="992" w:type="dxa"/>
                                  <w:tcBorders>
                                    <w:top w:val="single" w:sz="12" w:space="0" w:color="001F5F"/>
                                    <w:bottom w:val="single" w:sz="4" w:space="0" w:color="000000"/>
                                  </w:tcBorders>
                                </w:tcPr>
                                <w:p>
                                  <w:pPr>
                                    <w:pStyle w:val="TableParagraph"/>
                                    <w:spacing w:before="92"/>
                                    <w:ind w:right="161"/>
                                    <w:jc w:val="right"/>
                                    <w:rPr>
                                      <w:sz w:val="16"/>
                                    </w:rPr>
                                  </w:pPr>
                                  <w:r>
                                    <w:rPr>
                                      <w:spacing w:val="-4"/>
                                      <w:sz w:val="16"/>
                                    </w:rPr>
                                    <w:t>0,00</w:t>
                                  </w:r>
                                </w:p>
                              </w:tc>
                              <w:tc>
                                <w:tcPr>
                                  <w:tcW w:w="472" w:type="dxa"/>
                                  <w:tcBorders>
                                    <w:top w:val="single" w:sz="12" w:space="0" w:color="001F5F"/>
                                    <w:bottom w:val="single" w:sz="4" w:space="0" w:color="002D5D"/>
                                  </w:tcBorders>
                                </w:tcPr>
                                <w:p>
                                  <w:pPr>
                                    <w:pStyle w:val="TableParagraph"/>
                                    <w:spacing w:before="92"/>
                                    <w:ind w:left="64"/>
                                    <w:jc w:val="center"/>
                                    <w:rPr>
                                      <w:sz w:val="16"/>
                                    </w:rPr>
                                  </w:pPr>
                                  <w:r>
                                    <w:rPr>
                                      <w:color w:val="5E89B4"/>
                                      <w:spacing w:val="-5"/>
                                      <w:sz w:val="16"/>
                                    </w:rPr>
                                    <w:t>NO</w:t>
                                  </w:r>
                                </w:p>
                              </w:tc>
                              <w:tc>
                                <w:tcPr>
                                  <w:tcW w:w="420" w:type="dxa"/>
                                  <w:tcBorders>
                                    <w:top w:val="single" w:sz="12" w:space="0" w:color="001F5F"/>
                                    <w:bottom w:val="single" w:sz="4" w:space="0" w:color="002D5D"/>
                                  </w:tcBorders>
                                </w:tcPr>
                                <w:p>
                                  <w:pPr>
                                    <w:pStyle w:val="TableParagraph"/>
                                    <w:spacing w:before="92"/>
                                    <w:ind w:left="2"/>
                                    <w:jc w:val="center"/>
                                    <w:rPr>
                                      <w:sz w:val="16"/>
                                    </w:rPr>
                                  </w:pPr>
                                  <w:r>
                                    <w:rPr>
                                      <w:color w:val="5E89B4"/>
                                      <w:spacing w:val="-5"/>
                                      <w:sz w:val="16"/>
                                    </w:rPr>
                                    <w:t>NO</w:t>
                                  </w:r>
                                </w:p>
                              </w:tc>
                              <w:tc>
                                <w:tcPr>
                                  <w:tcW w:w="425" w:type="dxa"/>
                                  <w:tcBorders>
                                    <w:top w:val="single" w:sz="12" w:space="0" w:color="001F5F"/>
                                    <w:bottom w:val="single" w:sz="4" w:space="0" w:color="002D5D"/>
                                  </w:tcBorders>
                                </w:tcPr>
                                <w:p>
                                  <w:pPr>
                                    <w:pStyle w:val="TableParagraph"/>
                                    <w:spacing w:before="92"/>
                                    <w:ind w:left="11"/>
                                    <w:jc w:val="center"/>
                                    <w:rPr>
                                      <w:sz w:val="16"/>
                                    </w:rPr>
                                  </w:pPr>
                                  <w:r>
                                    <w:rPr>
                                      <w:color w:val="5E89B4"/>
                                      <w:spacing w:val="-5"/>
                                      <w:sz w:val="16"/>
                                    </w:rPr>
                                    <w:t>NO</w:t>
                                  </w:r>
                                </w:p>
                              </w:tc>
                              <w:tc>
                                <w:tcPr>
                                  <w:tcW w:w="402" w:type="dxa"/>
                                  <w:tcBorders>
                                    <w:top w:val="single" w:sz="12" w:space="0" w:color="001F5F"/>
                                    <w:bottom w:val="single" w:sz="4" w:space="0" w:color="002D5D"/>
                                  </w:tcBorders>
                                </w:tcPr>
                                <w:p>
                                  <w:pPr>
                                    <w:pStyle w:val="TableParagraph"/>
                                    <w:spacing w:before="92"/>
                                    <w:ind w:left="34"/>
                                    <w:jc w:val="center"/>
                                    <w:rPr>
                                      <w:sz w:val="16"/>
                                    </w:rPr>
                                  </w:pPr>
                                  <w:r>
                                    <w:rPr>
                                      <w:color w:val="5E89B4"/>
                                      <w:spacing w:val="-5"/>
                                      <w:sz w:val="16"/>
                                    </w:rPr>
                                    <w:t>NO</w:t>
                                  </w:r>
                                </w:p>
                              </w:tc>
                              <w:tc>
                                <w:tcPr>
                                  <w:tcW w:w="978" w:type="dxa"/>
                                  <w:tcBorders>
                                    <w:top w:val="single" w:sz="12" w:space="0" w:color="001F5F"/>
                                    <w:bottom w:val="single" w:sz="4" w:space="0" w:color="002D5D"/>
                                  </w:tcBorders>
                                </w:tcPr>
                                <w:p>
                                  <w:pPr>
                                    <w:pStyle w:val="TableParagraph"/>
                                    <w:spacing w:before="92"/>
                                    <w:ind w:left="59" w:right="26"/>
                                    <w:jc w:val="center"/>
                                    <w:rPr>
                                      <w:sz w:val="16"/>
                                    </w:rPr>
                                  </w:pPr>
                                  <w:r>
                                    <w:rPr>
                                      <w:spacing w:val="-2"/>
                                      <w:sz w:val="16"/>
                                    </w:rPr>
                                    <w:t>Finalizada</w:t>
                                  </w:r>
                                </w:p>
                              </w:tc>
                            </w:tr>
                            <w:tr>
                              <w:trPr>
                                <w:trHeight w:val="551" w:hRule="atLeast"/>
                              </w:trPr>
                              <w:tc>
                                <w:tcPr>
                                  <w:tcW w:w="1270" w:type="dxa"/>
                                  <w:tcBorders>
                                    <w:bottom w:val="single" w:sz="12" w:space="0" w:color="001F5F"/>
                                  </w:tcBorders>
                                </w:tcPr>
                                <w:p>
                                  <w:pPr>
                                    <w:pStyle w:val="TableParagraph"/>
                                    <w:spacing w:line="177" w:lineRule="exact"/>
                                    <w:ind w:left="69"/>
                                    <w:rPr>
                                      <w:b/>
                                      <w:sz w:val="16"/>
                                    </w:rPr>
                                  </w:pPr>
                                  <w:r>
                                    <w:rPr>
                                      <w:b/>
                                      <w:spacing w:val="-2"/>
                                      <w:sz w:val="16"/>
                                    </w:rPr>
                                    <w:t>CÓRDOBA</w:t>
                                  </w:r>
                                </w:p>
                              </w:tc>
                              <w:tc>
                                <w:tcPr>
                                  <w:tcW w:w="3025" w:type="dxa"/>
                                  <w:tcBorders>
                                    <w:top w:val="single" w:sz="4" w:space="0" w:color="001F5F"/>
                                    <w:bottom w:val="single" w:sz="12" w:space="0" w:color="001F5F"/>
                                  </w:tcBorders>
                                </w:tcPr>
                                <w:p>
                                  <w:pPr>
                                    <w:pStyle w:val="TableParagraph"/>
                                    <w:spacing w:line="182" w:lineRule="exact"/>
                                    <w:ind w:left="69"/>
                                    <w:rPr>
                                      <w:sz w:val="16"/>
                                    </w:rPr>
                                  </w:pPr>
                                  <w:r>
                                    <w:rPr>
                                      <w:sz w:val="16"/>
                                    </w:rPr>
                                    <w:t>Suministro</w:t>
                                  </w:r>
                                  <w:r>
                                    <w:rPr>
                                      <w:spacing w:val="-5"/>
                                      <w:sz w:val="16"/>
                                    </w:rPr>
                                    <w:t> </w:t>
                                  </w:r>
                                  <w:r>
                                    <w:rPr>
                                      <w:sz w:val="16"/>
                                    </w:rPr>
                                    <w:t>e</w:t>
                                  </w:r>
                                  <w:r>
                                    <w:rPr>
                                      <w:spacing w:val="-5"/>
                                      <w:sz w:val="16"/>
                                    </w:rPr>
                                    <w:t> </w:t>
                                  </w:r>
                                  <w:r>
                                    <w:rPr>
                                      <w:sz w:val="16"/>
                                    </w:rPr>
                                    <w:t>instalación</w:t>
                                  </w:r>
                                  <w:r>
                                    <w:rPr>
                                      <w:spacing w:val="-4"/>
                                      <w:sz w:val="16"/>
                                    </w:rPr>
                                    <w:t> </w:t>
                                  </w:r>
                                  <w:r>
                                    <w:rPr>
                                      <w:spacing w:val="-5"/>
                                      <w:sz w:val="16"/>
                                    </w:rPr>
                                    <w:t>de</w:t>
                                  </w:r>
                                </w:p>
                                <w:p>
                                  <w:pPr>
                                    <w:pStyle w:val="TableParagraph"/>
                                    <w:tabs>
                                      <w:tab w:pos="2569" w:val="right" w:leader="none"/>
                                    </w:tabs>
                                    <w:spacing w:line="183" w:lineRule="exact" w:before="2"/>
                                    <w:ind w:left="69"/>
                                    <w:rPr>
                                      <w:sz w:val="16"/>
                                    </w:rPr>
                                  </w:pPr>
                                  <w:r>
                                    <w:rPr>
                                      <w:sz w:val="16"/>
                                    </w:rPr>
                                    <w:t>marquesinas</w:t>
                                  </w:r>
                                  <w:r>
                                    <w:rPr>
                                      <w:spacing w:val="-6"/>
                                      <w:sz w:val="16"/>
                                    </w:rPr>
                                    <w:t> </w:t>
                                  </w:r>
                                  <w:r>
                                    <w:rPr>
                                      <w:sz w:val="16"/>
                                    </w:rPr>
                                    <w:t>en</w:t>
                                  </w:r>
                                  <w:r>
                                    <w:rPr>
                                      <w:spacing w:val="-5"/>
                                      <w:sz w:val="16"/>
                                    </w:rPr>
                                    <w:t> </w:t>
                                  </w:r>
                                  <w:r>
                                    <w:rPr>
                                      <w:spacing w:val="-2"/>
                                      <w:sz w:val="16"/>
                                    </w:rPr>
                                    <w:t>barriadas</w:t>
                                  </w:r>
                                  <w:r>
                                    <w:rPr>
                                      <w:sz w:val="16"/>
                                    </w:rPr>
                                    <w:tab/>
                                  </w:r>
                                  <w:r>
                                    <w:rPr>
                                      <w:spacing w:val="-12"/>
                                      <w:sz w:val="16"/>
                                    </w:rPr>
                                    <w:t>1</w:t>
                                  </w:r>
                                </w:p>
                                <w:p>
                                  <w:pPr>
                                    <w:pStyle w:val="TableParagraph"/>
                                    <w:spacing w:line="165" w:lineRule="exact"/>
                                    <w:ind w:left="69"/>
                                    <w:rPr>
                                      <w:sz w:val="16"/>
                                    </w:rPr>
                                  </w:pPr>
                                  <w:r>
                                    <w:rPr>
                                      <w:spacing w:val="-2"/>
                                      <w:sz w:val="16"/>
                                    </w:rPr>
                                    <w:t>periféricas</w:t>
                                  </w:r>
                                </w:p>
                              </w:tc>
                              <w:tc>
                                <w:tcPr>
                                  <w:tcW w:w="1098" w:type="dxa"/>
                                  <w:tcBorders>
                                    <w:top w:val="single" w:sz="4" w:space="0" w:color="002D5D"/>
                                    <w:bottom w:val="single" w:sz="12" w:space="0" w:color="001F5F"/>
                                  </w:tcBorders>
                                </w:tcPr>
                                <w:p>
                                  <w:pPr>
                                    <w:pStyle w:val="TableParagraph"/>
                                    <w:rPr>
                                      <w:sz w:val="16"/>
                                    </w:rPr>
                                  </w:pPr>
                                </w:p>
                                <w:p>
                                  <w:pPr>
                                    <w:pStyle w:val="TableParagraph"/>
                                    <w:ind w:right="72"/>
                                    <w:jc w:val="right"/>
                                    <w:rPr>
                                      <w:sz w:val="16"/>
                                    </w:rPr>
                                  </w:pPr>
                                  <w:r>
                                    <w:rPr>
                                      <w:spacing w:val="-2"/>
                                      <w:sz w:val="16"/>
                                    </w:rPr>
                                    <w:t>14.750,00</w:t>
                                  </w:r>
                                </w:p>
                              </w:tc>
                              <w:tc>
                                <w:tcPr>
                                  <w:tcW w:w="1083" w:type="dxa"/>
                                  <w:tcBorders>
                                    <w:top w:val="single" w:sz="4" w:space="0" w:color="002D5D"/>
                                    <w:bottom w:val="single" w:sz="12" w:space="0" w:color="001F5F"/>
                                  </w:tcBorders>
                                </w:tcPr>
                                <w:p>
                                  <w:pPr>
                                    <w:pStyle w:val="TableParagraph"/>
                                    <w:rPr>
                                      <w:sz w:val="16"/>
                                    </w:rPr>
                                  </w:pPr>
                                </w:p>
                                <w:p>
                                  <w:pPr>
                                    <w:pStyle w:val="TableParagraph"/>
                                    <w:ind w:right="164"/>
                                    <w:jc w:val="right"/>
                                    <w:rPr>
                                      <w:sz w:val="16"/>
                                    </w:rPr>
                                  </w:pPr>
                                  <w:r>
                                    <w:rPr>
                                      <w:spacing w:val="-4"/>
                                      <w:sz w:val="16"/>
                                    </w:rPr>
                                    <w:t>0,00</w:t>
                                  </w:r>
                                </w:p>
                              </w:tc>
                              <w:tc>
                                <w:tcPr>
                                  <w:tcW w:w="992" w:type="dxa"/>
                                  <w:tcBorders>
                                    <w:top w:val="single" w:sz="4" w:space="0" w:color="000000"/>
                                    <w:bottom w:val="single" w:sz="12" w:space="0" w:color="001F5F"/>
                                  </w:tcBorders>
                                </w:tcPr>
                                <w:p>
                                  <w:pPr>
                                    <w:pStyle w:val="TableParagraph"/>
                                    <w:rPr>
                                      <w:sz w:val="16"/>
                                    </w:rPr>
                                  </w:pPr>
                                </w:p>
                                <w:p>
                                  <w:pPr>
                                    <w:pStyle w:val="TableParagraph"/>
                                    <w:ind w:right="162"/>
                                    <w:jc w:val="right"/>
                                    <w:rPr>
                                      <w:sz w:val="16"/>
                                    </w:rPr>
                                  </w:pPr>
                                  <w:r>
                                    <w:rPr>
                                      <w:spacing w:val="-2"/>
                                      <w:sz w:val="16"/>
                                    </w:rPr>
                                    <w:t>14.750,00</w:t>
                                  </w:r>
                                </w:p>
                              </w:tc>
                              <w:tc>
                                <w:tcPr>
                                  <w:tcW w:w="472" w:type="dxa"/>
                                  <w:tcBorders>
                                    <w:top w:val="single" w:sz="4" w:space="0" w:color="002D5D"/>
                                    <w:bottom w:val="single" w:sz="12" w:space="0" w:color="001F5F"/>
                                  </w:tcBorders>
                                </w:tcPr>
                                <w:p>
                                  <w:pPr>
                                    <w:pStyle w:val="TableParagraph"/>
                                    <w:rPr>
                                      <w:sz w:val="16"/>
                                    </w:rPr>
                                  </w:pPr>
                                </w:p>
                                <w:p>
                                  <w:pPr>
                                    <w:pStyle w:val="TableParagraph"/>
                                    <w:ind w:left="64"/>
                                    <w:jc w:val="center"/>
                                    <w:rPr>
                                      <w:sz w:val="16"/>
                                    </w:rPr>
                                  </w:pPr>
                                  <w:r>
                                    <w:rPr>
                                      <w:color w:val="5E89B4"/>
                                      <w:spacing w:val="-5"/>
                                      <w:sz w:val="16"/>
                                    </w:rPr>
                                    <w:t>NO</w:t>
                                  </w:r>
                                </w:p>
                              </w:tc>
                              <w:tc>
                                <w:tcPr>
                                  <w:tcW w:w="420" w:type="dxa"/>
                                  <w:tcBorders>
                                    <w:top w:val="single" w:sz="4" w:space="0" w:color="002D5D"/>
                                    <w:bottom w:val="single" w:sz="12" w:space="0" w:color="001F5F"/>
                                  </w:tcBorders>
                                </w:tcPr>
                                <w:p>
                                  <w:pPr>
                                    <w:pStyle w:val="TableParagraph"/>
                                    <w:rPr>
                                      <w:sz w:val="16"/>
                                    </w:rPr>
                                  </w:pPr>
                                </w:p>
                                <w:p>
                                  <w:pPr>
                                    <w:pStyle w:val="TableParagraph"/>
                                    <w:ind w:left="2"/>
                                    <w:jc w:val="center"/>
                                    <w:rPr>
                                      <w:sz w:val="16"/>
                                    </w:rPr>
                                  </w:pPr>
                                  <w:r>
                                    <w:rPr>
                                      <w:color w:val="5E89B4"/>
                                      <w:spacing w:val="-5"/>
                                      <w:sz w:val="16"/>
                                    </w:rPr>
                                    <w:t>NO</w:t>
                                  </w:r>
                                </w:p>
                              </w:tc>
                              <w:tc>
                                <w:tcPr>
                                  <w:tcW w:w="425" w:type="dxa"/>
                                  <w:tcBorders>
                                    <w:top w:val="single" w:sz="4" w:space="0" w:color="002D5D"/>
                                    <w:bottom w:val="single" w:sz="12" w:space="0" w:color="001F5F"/>
                                  </w:tcBorders>
                                </w:tcPr>
                                <w:p>
                                  <w:pPr>
                                    <w:pStyle w:val="TableParagraph"/>
                                    <w:rPr>
                                      <w:sz w:val="16"/>
                                    </w:rPr>
                                  </w:pPr>
                                </w:p>
                                <w:p>
                                  <w:pPr>
                                    <w:pStyle w:val="TableParagraph"/>
                                    <w:ind w:left="11"/>
                                    <w:jc w:val="center"/>
                                    <w:rPr>
                                      <w:sz w:val="16"/>
                                    </w:rPr>
                                  </w:pPr>
                                  <w:r>
                                    <w:rPr>
                                      <w:color w:val="5E89B4"/>
                                      <w:spacing w:val="-5"/>
                                      <w:sz w:val="16"/>
                                    </w:rPr>
                                    <w:t>NO</w:t>
                                  </w:r>
                                </w:p>
                              </w:tc>
                              <w:tc>
                                <w:tcPr>
                                  <w:tcW w:w="402" w:type="dxa"/>
                                  <w:tcBorders>
                                    <w:top w:val="single" w:sz="4" w:space="0" w:color="002D5D"/>
                                    <w:bottom w:val="single" w:sz="12" w:space="0" w:color="001F5F"/>
                                  </w:tcBorders>
                                </w:tcPr>
                                <w:p>
                                  <w:pPr>
                                    <w:pStyle w:val="TableParagraph"/>
                                    <w:rPr>
                                      <w:sz w:val="16"/>
                                    </w:rPr>
                                  </w:pPr>
                                </w:p>
                                <w:p>
                                  <w:pPr>
                                    <w:pStyle w:val="TableParagraph"/>
                                    <w:ind w:left="34"/>
                                    <w:jc w:val="center"/>
                                    <w:rPr>
                                      <w:sz w:val="16"/>
                                    </w:rPr>
                                  </w:pPr>
                                  <w:r>
                                    <w:rPr>
                                      <w:color w:val="5E89B4"/>
                                      <w:spacing w:val="-5"/>
                                      <w:sz w:val="16"/>
                                    </w:rPr>
                                    <w:t>NO</w:t>
                                  </w:r>
                                </w:p>
                              </w:tc>
                              <w:tc>
                                <w:tcPr>
                                  <w:tcW w:w="978" w:type="dxa"/>
                                  <w:tcBorders>
                                    <w:top w:val="single" w:sz="4" w:space="0" w:color="002D5D"/>
                                    <w:bottom w:val="single" w:sz="12" w:space="0" w:color="001F5F"/>
                                  </w:tcBorders>
                                </w:tcPr>
                                <w:p>
                                  <w:pPr>
                                    <w:pStyle w:val="TableParagraph"/>
                                    <w:rPr>
                                      <w:sz w:val="16"/>
                                    </w:rPr>
                                  </w:pPr>
                                </w:p>
                                <w:p>
                                  <w:pPr>
                                    <w:pStyle w:val="TableParagraph"/>
                                    <w:ind w:left="59" w:right="26"/>
                                    <w:jc w:val="center"/>
                                    <w:rPr>
                                      <w:sz w:val="16"/>
                                    </w:rPr>
                                  </w:pPr>
                                  <w:r>
                                    <w:rPr>
                                      <w:spacing w:val="-2"/>
                                      <w:sz w:val="16"/>
                                    </w:rPr>
                                    <w:t>Finalizada</w:t>
                                  </w:r>
                                </w:p>
                              </w:tc>
                            </w:tr>
                            <w:tr>
                              <w:trPr>
                                <w:trHeight w:val="551" w:hRule="atLeast"/>
                              </w:trPr>
                              <w:tc>
                                <w:tcPr>
                                  <w:tcW w:w="1270" w:type="dxa"/>
                                  <w:tcBorders>
                                    <w:top w:val="single" w:sz="12" w:space="0" w:color="001F5F"/>
                                  </w:tcBorders>
                                </w:tcPr>
                                <w:p>
                                  <w:pPr>
                                    <w:pStyle w:val="TableParagraph"/>
                                    <w:rPr>
                                      <w:rFonts w:ascii="Times New Roman"/>
                                      <w:sz w:val="16"/>
                                    </w:rPr>
                                  </w:pPr>
                                </w:p>
                              </w:tc>
                              <w:tc>
                                <w:tcPr>
                                  <w:tcW w:w="3025" w:type="dxa"/>
                                  <w:tcBorders>
                                    <w:top w:val="single" w:sz="12" w:space="0" w:color="001F5F"/>
                                    <w:bottom w:val="single" w:sz="4" w:space="0" w:color="001F5F"/>
                                  </w:tcBorders>
                                </w:tcPr>
                                <w:p>
                                  <w:pPr>
                                    <w:pStyle w:val="TableParagraph"/>
                                    <w:spacing w:line="182" w:lineRule="exact"/>
                                    <w:ind w:left="69"/>
                                    <w:rPr>
                                      <w:sz w:val="16"/>
                                    </w:rPr>
                                  </w:pPr>
                                  <w:r>
                                    <w:rPr>
                                      <w:spacing w:val="-2"/>
                                      <w:sz w:val="16"/>
                                    </w:rPr>
                                    <w:t>Diseño,</w:t>
                                  </w:r>
                                  <w:r>
                                    <w:rPr>
                                      <w:spacing w:val="22"/>
                                      <w:sz w:val="16"/>
                                    </w:rPr>
                                    <w:t> </w:t>
                                  </w:r>
                                  <w:r>
                                    <w:rPr>
                                      <w:spacing w:val="-2"/>
                                      <w:sz w:val="16"/>
                                    </w:rPr>
                                    <w:t>suministro-fabricación,</w:t>
                                  </w:r>
                                </w:p>
                                <w:p>
                                  <w:pPr>
                                    <w:pStyle w:val="TableParagraph"/>
                                    <w:tabs>
                                      <w:tab w:pos="2569" w:val="right" w:leader="none"/>
                                    </w:tabs>
                                    <w:spacing w:line="183" w:lineRule="exact" w:before="1"/>
                                    <w:ind w:left="69"/>
                                    <w:rPr>
                                      <w:sz w:val="16"/>
                                    </w:rPr>
                                  </w:pPr>
                                  <w:r>
                                    <w:rPr>
                                      <w:sz w:val="16"/>
                                    </w:rPr>
                                    <w:t>instalación</w:t>
                                  </w:r>
                                  <w:r>
                                    <w:rPr>
                                      <w:spacing w:val="-6"/>
                                      <w:sz w:val="16"/>
                                    </w:rPr>
                                    <w:t> </w:t>
                                  </w:r>
                                  <w:r>
                                    <w:rPr>
                                      <w:sz w:val="16"/>
                                    </w:rPr>
                                    <w:t>y</w:t>
                                  </w:r>
                                  <w:r>
                                    <w:rPr>
                                      <w:spacing w:val="-5"/>
                                      <w:sz w:val="16"/>
                                    </w:rPr>
                                    <w:t> </w:t>
                                  </w:r>
                                  <w:r>
                                    <w:rPr>
                                      <w:sz w:val="16"/>
                                    </w:rPr>
                                    <w:t>mantenimiento</w:t>
                                  </w:r>
                                  <w:r>
                                    <w:rPr>
                                      <w:spacing w:val="-7"/>
                                      <w:sz w:val="16"/>
                                    </w:rPr>
                                    <w:t> </w:t>
                                  </w:r>
                                  <w:r>
                                    <w:rPr>
                                      <w:spacing w:val="-5"/>
                                      <w:sz w:val="16"/>
                                    </w:rPr>
                                    <w:t>de</w:t>
                                  </w:r>
                                  <w:r>
                                    <w:rPr>
                                      <w:sz w:val="16"/>
                                    </w:rPr>
                                    <w:tab/>
                                  </w:r>
                                  <w:r>
                                    <w:rPr>
                                      <w:spacing w:val="-12"/>
                                      <w:sz w:val="16"/>
                                    </w:rPr>
                                    <w:t>1</w:t>
                                  </w:r>
                                </w:p>
                                <w:p>
                                  <w:pPr>
                                    <w:pStyle w:val="TableParagraph"/>
                                    <w:spacing w:line="165" w:lineRule="exact"/>
                                    <w:ind w:left="69"/>
                                    <w:rPr>
                                      <w:sz w:val="16"/>
                                    </w:rPr>
                                  </w:pPr>
                                  <w:r>
                                    <w:rPr>
                                      <w:sz w:val="16"/>
                                    </w:rPr>
                                    <w:t>marquesinas</w:t>
                                  </w:r>
                                  <w:r>
                                    <w:rPr>
                                      <w:spacing w:val="-9"/>
                                      <w:sz w:val="16"/>
                                    </w:rPr>
                                    <w:t> </w:t>
                                  </w:r>
                                  <w:r>
                                    <w:rPr>
                                      <w:spacing w:val="-2"/>
                                      <w:sz w:val="16"/>
                                    </w:rPr>
                                    <w:t>MetroGuagua</w:t>
                                  </w:r>
                                </w:p>
                              </w:tc>
                              <w:tc>
                                <w:tcPr>
                                  <w:tcW w:w="1098" w:type="dxa"/>
                                  <w:tcBorders>
                                    <w:top w:val="single" w:sz="12" w:space="0" w:color="001F5F"/>
                                    <w:bottom w:val="single" w:sz="4" w:space="0" w:color="002D5D"/>
                                  </w:tcBorders>
                                </w:tcPr>
                                <w:p>
                                  <w:pPr>
                                    <w:pStyle w:val="TableParagraph"/>
                                    <w:spacing w:before="183"/>
                                    <w:ind w:right="73"/>
                                    <w:jc w:val="right"/>
                                    <w:rPr>
                                      <w:sz w:val="16"/>
                                    </w:rPr>
                                  </w:pPr>
                                  <w:r>
                                    <w:rPr>
                                      <w:spacing w:val="-2"/>
                                      <w:sz w:val="16"/>
                                    </w:rPr>
                                    <w:t>6.192.493,61</w:t>
                                  </w:r>
                                </w:p>
                              </w:tc>
                              <w:tc>
                                <w:tcPr>
                                  <w:tcW w:w="1083" w:type="dxa"/>
                                  <w:tcBorders>
                                    <w:top w:val="single" w:sz="12" w:space="0" w:color="001F5F"/>
                                    <w:bottom w:val="single" w:sz="4" w:space="0" w:color="002D5D"/>
                                  </w:tcBorders>
                                </w:tcPr>
                                <w:p>
                                  <w:pPr>
                                    <w:pStyle w:val="TableParagraph"/>
                                    <w:spacing w:before="183"/>
                                    <w:ind w:right="164"/>
                                    <w:jc w:val="right"/>
                                    <w:rPr>
                                      <w:sz w:val="16"/>
                                    </w:rPr>
                                  </w:pPr>
                                  <w:r>
                                    <w:rPr>
                                      <w:spacing w:val="-2"/>
                                      <w:sz w:val="16"/>
                                    </w:rPr>
                                    <w:t>6.192.493,61</w:t>
                                  </w:r>
                                </w:p>
                              </w:tc>
                              <w:tc>
                                <w:tcPr>
                                  <w:tcW w:w="992" w:type="dxa"/>
                                  <w:tcBorders>
                                    <w:top w:val="single" w:sz="12" w:space="0" w:color="001F5F"/>
                                    <w:bottom w:val="single" w:sz="4" w:space="0" w:color="002D5D"/>
                                  </w:tcBorders>
                                </w:tcPr>
                                <w:p>
                                  <w:pPr>
                                    <w:pStyle w:val="TableParagraph"/>
                                    <w:spacing w:before="183"/>
                                    <w:ind w:right="161"/>
                                    <w:jc w:val="right"/>
                                    <w:rPr>
                                      <w:sz w:val="16"/>
                                    </w:rPr>
                                  </w:pPr>
                                  <w:r>
                                    <w:rPr>
                                      <w:spacing w:val="-4"/>
                                      <w:sz w:val="16"/>
                                    </w:rPr>
                                    <w:t>0,00</w:t>
                                  </w:r>
                                </w:p>
                              </w:tc>
                              <w:tc>
                                <w:tcPr>
                                  <w:tcW w:w="472" w:type="dxa"/>
                                  <w:tcBorders>
                                    <w:top w:val="single" w:sz="12" w:space="0" w:color="001F5F"/>
                                    <w:bottom w:val="single" w:sz="4" w:space="0" w:color="002D5D"/>
                                  </w:tcBorders>
                                </w:tcPr>
                                <w:p>
                                  <w:pPr>
                                    <w:pStyle w:val="TableParagraph"/>
                                    <w:spacing w:before="183"/>
                                    <w:ind w:left="64"/>
                                    <w:jc w:val="center"/>
                                    <w:rPr>
                                      <w:sz w:val="16"/>
                                    </w:rPr>
                                  </w:pPr>
                                  <w:r>
                                    <w:rPr>
                                      <w:color w:val="5E89B4"/>
                                      <w:spacing w:val="-5"/>
                                      <w:sz w:val="16"/>
                                    </w:rPr>
                                    <w:t>NO</w:t>
                                  </w:r>
                                </w:p>
                              </w:tc>
                              <w:tc>
                                <w:tcPr>
                                  <w:tcW w:w="420" w:type="dxa"/>
                                  <w:tcBorders>
                                    <w:top w:val="single" w:sz="12" w:space="0" w:color="001F5F"/>
                                    <w:bottom w:val="single" w:sz="4" w:space="0" w:color="002D5D"/>
                                  </w:tcBorders>
                                </w:tcPr>
                                <w:p>
                                  <w:pPr>
                                    <w:pStyle w:val="TableParagraph"/>
                                    <w:spacing w:before="183"/>
                                    <w:ind w:left="2"/>
                                    <w:jc w:val="center"/>
                                    <w:rPr>
                                      <w:sz w:val="16"/>
                                    </w:rPr>
                                  </w:pPr>
                                  <w:r>
                                    <w:rPr>
                                      <w:color w:val="5E89B4"/>
                                      <w:spacing w:val="-5"/>
                                      <w:sz w:val="16"/>
                                    </w:rPr>
                                    <w:t>NO</w:t>
                                  </w:r>
                                </w:p>
                              </w:tc>
                              <w:tc>
                                <w:tcPr>
                                  <w:tcW w:w="425" w:type="dxa"/>
                                  <w:tcBorders>
                                    <w:top w:val="single" w:sz="12" w:space="0" w:color="001F5F"/>
                                    <w:bottom w:val="single" w:sz="4" w:space="0" w:color="002D5D"/>
                                  </w:tcBorders>
                                </w:tcPr>
                                <w:p>
                                  <w:pPr>
                                    <w:pStyle w:val="TableParagraph"/>
                                    <w:spacing w:before="183"/>
                                    <w:ind w:left="11"/>
                                    <w:jc w:val="center"/>
                                    <w:rPr>
                                      <w:sz w:val="16"/>
                                    </w:rPr>
                                  </w:pPr>
                                  <w:r>
                                    <w:rPr>
                                      <w:color w:val="5E89B4"/>
                                      <w:spacing w:val="-5"/>
                                      <w:sz w:val="16"/>
                                    </w:rPr>
                                    <w:t>NO</w:t>
                                  </w:r>
                                </w:p>
                              </w:tc>
                              <w:tc>
                                <w:tcPr>
                                  <w:tcW w:w="402" w:type="dxa"/>
                                  <w:tcBorders>
                                    <w:top w:val="single" w:sz="12" w:space="0" w:color="001F5F"/>
                                    <w:bottom w:val="single" w:sz="4" w:space="0" w:color="002D5D"/>
                                  </w:tcBorders>
                                </w:tcPr>
                                <w:p>
                                  <w:pPr>
                                    <w:pStyle w:val="TableParagraph"/>
                                    <w:spacing w:before="183"/>
                                    <w:ind w:left="34"/>
                                    <w:jc w:val="center"/>
                                    <w:rPr>
                                      <w:sz w:val="16"/>
                                    </w:rPr>
                                  </w:pPr>
                                  <w:r>
                                    <w:rPr>
                                      <w:color w:val="5E89B4"/>
                                      <w:spacing w:val="-5"/>
                                      <w:sz w:val="16"/>
                                    </w:rPr>
                                    <w:t>NO</w:t>
                                  </w:r>
                                </w:p>
                              </w:tc>
                              <w:tc>
                                <w:tcPr>
                                  <w:tcW w:w="978" w:type="dxa"/>
                                  <w:tcBorders>
                                    <w:top w:val="single" w:sz="12" w:space="0" w:color="001F5F"/>
                                    <w:bottom w:val="single" w:sz="4" w:space="0" w:color="001F5F"/>
                                  </w:tcBorders>
                                </w:tcPr>
                                <w:p>
                                  <w:pPr>
                                    <w:pStyle w:val="TableParagraph"/>
                                    <w:spacing w:before="183"/>
                                    <w:ind w:left="59" w:right="26"/>
                                    <w:jc w:val="center"/>
                                    <w:rPr>
                                      <w:sz w:val="16"/>
                                    </w:rPr>
                                  </w:pPr>
                                  <w:r>
                                    <w:rPr>
                                      <w:sz w:val="16"/>
                                    </w:rPr>
                                    <w:t>En</w:t>
                                  </w:r>
                                  <w:r>
                                    <w:rPr>
                                      <w:spacing w:val="-2"/>
                                      <w:sz w:val="16"/>
                                    </w:rPr>
                                    <w:t> ejecución</w:t>
                                  </w:r>
                                </w:p>
                              </w:tc>
                            </w:tr>
                            <w:tr>
                              <w:trPr>
                                <w:trHeight w:val="733" w:hRule="atLeast"/>
                              </w:trPr>
                              <w:tc>
                                <w:tcPr>
                                  <w:tcW w:w="1270" w:type="dxa"/>
                                </w:tcPr>
                                <w:p>
                                  <w:pPr>
                                    <w:pStyle w:val="TableParagraph"/>
                                    <w:rPr>
                                      <w:sz w:val="16"/>
                                    </w:rPr>
                                  </w:pPr>
                                </w:p>
                                <w:p>
                                  <w:pPr>
                                    <w:pStyle w:val="TableParagraph"/>
                                    <w:spacing w:before="57"/>
                                    <w:rPr>
                                      <w:sz w:val="16"/>
                                    </w:rPr>
                                  </w:pPr>
                                </w:p>
                                <w:p>
                                  <w:pPr>
                                    <w:pStyle w:val="TableParagraph"/>
                                    <w:spacing w:line="180" w:lineRule="atLeast"/>
                                    <w:ind w:left="69"/>
                                    <w:rPr>
                                      <w:b/>
                                      <w:sz w:val="16"/>
                                    </w:rPr>
                                  </w:pPr>
                                  <w:r>
                                    <w:rPr>
                                      <w:b/>
                                      <w:sz w:val="16"/>
                                    </w:rPr>
                                    <w:t>LAS</w:t>
                                  </w:r>
                                  <w:r>
                                    <w:rPr>
                                      <w:b/>
                                      <w:spacing w:val="-10"/>
                                      <w:sz w:val="16"/>
                                    </w:rPr>
                                    <w:t> </w:t>
                                  </w:r>
                                  <w:r>
                                    <w:rPr>
                                      <w:b/>
                                      <w:sz w:val="16"/>
                                    </w:rPr>
                                    <w:t>PALMAS</w:t>
                                  </w:r>
                                  <w:r>
                                    <w:rPr>
                                      <w:b/>
                                      <w:spacing w:val="-9"/>
                                      <w:sz w:val="16"/>
                                    </w:rPr>
                                    <w:t> </w:t>
                                  </w:r>
                                  <w:r>
                                    <w:rPr>
                                      <w:b/>
                                      <w:sz w:val="16"/>
                                    </w:rPr>
                                    <w:t>DE</w:t>
                                  </w:r>
                                  <w:r>
                                    <w:rPr>
                                      <w:b/>
                                      <w:spacing w:val="40"/>
                                      <w:sz w:val="16"/>
                                    </w:rPr>
                                    <w:t> </w:t>
                                  </w:r>
                                  <w:r>
                                    <w:rPr>
                                      <w:b/>
                                      <w:sz w:val="16"/>
                                    </w:rPr>
                                    <w:t>GRAN</w:t>
                                  </w:r>
                                  <w:r>
                                    <w:rPr>
                                      <w:b/>
                                      <w:spacing w:val="-2"/>
                                      <w:sz w:val="16"/>
                                    </w:rPr>
                                    <w:t> CANARIA</w:t>
                                  </w:r>
                                </w:p>
                              </w:tc>
                              <w:tc>
                                <w:tcPr>
                                  <w:tcW w:w="3025" w:type="dxa"/>
                                  <w:tcBorders>
                                    <w:top w:val="single" w:sz="4" w:space="0" w:color="001F5F"/>
                                    <w:bottom w:val="single" w:sz="4" w:space="0" w:color="001F5F"/>
                                  </w:tcBorders>
                                </w:tcPr>
                                <w:p>
                                  <w:pPr>
                                    <w:pStyle w:val="TableParagraph"/>
                                    <w:spacing w:line="182" w:lineRule="exact"/>
                                    <w:ind w:left="69"/>
                                    <w:rPr>
                                      <w:sz w:val="16"/>
                                    </w:rPr>
                                  </w:pPr>
                                  <w:r>
                                    <w:rPr>
                                      <w:sz w:val="16"/>
                                    </w:rPr>
                                    <w:t>Obras</w:t>
                                  </w:r>
                                  <w:r>
                                    <w:rPr>
                                      <w:spacing w:val="-5"/>
                                      <w:sz w:val="16"/>
                                    </w:rPr>
                                    <w:t> </w:t>
                                  </w:r>
                                  <w:r>
                                    <w:rPr>
                                      <w:sz w:val="16"/>
                                    </w:rPr>
                                    <w:t>para</w:t>
                                  </w:r>
                                  <w:r>
                                    <w:rPr>
                                      <w:spacing w:val="-4"/>
                                      <w:sz w:val="16"/>
                                    </w:rPr>
                                    <w:t> </w:t>
                                  </w:r>
                                  <w:r>
                                    <w:rPr>
                                      <w:sz w:val="16"/>
                                    </w:rPr>
                                    <w:t>la</w:t>
                                  </w:r>
                                  <w:r>
                                    <w:rPr>
                                      <w:spacing w:val="-5"/>
                                      <w:sz w:val="16"/>
                                    </w:rPr>
                                    <w:t> </w:t>
                                  </w:r>
                                  <w:r>
                                    <w:rPr>
                                      <w:sz w:val="16"/>
                                    </w:rPr>
                                    <w:t>ejecución</w:t>
                                  </w:r>
                                  <w:r>
                                    <w:rPr>
                                      <w:spacing w:val="-4"/>
                                      <w:sz w:val="16"/>
                                    </w:rPr>
                                    <w:t> </w:t>
                                  </w:r>
                                  <w:r>
                                    <w:rPr>
                                      <w:spacing w:val="-5"/>
                                      <w:sz w:val="16"/>
                                    </w:rPr>
                                    <w:t>del</w:t>
                                  </w:r>
                                </w:p>
                                <w:p>
                                  <w:pPr>
                                    <w:pStyle w:val="TableParagraph"/>
                                    <w:tabs>
                                      <w:tab w:pos="2569" w:val="right" w:leader="none"/>
                                    </w:tabs>
                                    <w:ind w:left="69"/>
                                    <w:rPr>
                                      <w:position w:val="-8"/>
                                      <w:sz w:val="16"/>
                                    </w:rPr>
                                  </w:pPr>
                                  <w:r>
                                    <w:rPr>
                                      <w:sz w:val="16"/>
                                    </w:rPr>
                                    <w:t>MetroGuagua.</w:t>
                                  </w:r>
                                  <w:r>
                                    <w:rPr>
                                      <w:spacing w:val="-8"/>
                                      <w:sz w:val="16"/>
                                    </w:rPr>
                                    <w:t> </w:t>
                                  </w:r>
                                  <w:r>
                                    <w:rPr>
                                      <w:sz w:val="16"/>
                                    </w:rPr>
                                    <w:t>Paso</w:t>
                                  </w:r>
                                  <w:r>
                                    <w:rPr>
                                      <w:spacing w:val="-5"/>
                                      <w:sz w:val="16"/>
                                    </w:rPr>
                                    <w:t> </w:t>
                                  </w:r>
                                  <w:r>
                                    <w:rPr>
                                      <w:sz w:val="16"/>
                                    </w:rPr>
                                    <w:t>Inferior</w:t>
                                  </w:r>
                                  <w:r>
                                    <w:rPr>
                                      <w:spacing w:val="-9"/>
                                      <w:sz w:val="16"/>
                                    </w:rPr>
                                    <w:t> </w:t>
                                  </w:r>
                                  <w:r>
                                    <w:rPr>
                                      <w:spacing w:val="-5"/>
                                      <w:sz w:val="16"/>
                                    </w:rPr>
                                    <w:t>en</w:t>
                                  </w:r>
                                  <w:r>
                                    <w:rPr>
                                      <w:sz w:val="16"/>
                                    </w:rPr>
                                    <w:tab/>
                                  </w:r>
                                  <w:r>
                                    <w:rPr>
                                      <w:spacing w:val="-12"/>
                                      <w:position w:val="-8"/>
                                      <w:sz w:val="16"/>
                                    </w:rPr>
                                    <w:t>1</w:t>
                                  </w:r>
                                </w:p>
                                <w:p>
                                  <w:pPr>
                                    <w:pStyle w:val="TableParagraph"/>
                                    <w:spacing w:line="166" w:lineRule="exact" w:before="93"/>
                                    <w:ind w:left="69"/>
                                    <w:rPr>
                                      <w:sz w:val="16"/>
                                    </w:rPr>
                                  </w:pPr>
                                  <w:r>
                                    <w:rPr>
                                      <w:sz w:val="16"/>
                                    </w:rPr>
                                    <w:t>Tramo</w:t>
                                  </w:r>
                                  <w:r>
                                    <w:rPr>
                                      <w:spacing w:val="-3"/>
                                      <w:sz w:val="16"/>
                                    </w:rPr>
                                    <w:t> </w:t>
                                  </w:r>
                                  <w:r>
                                    <w:rPr>
                                      <w:spacing w:val="-10"/>
                                      <w:sz w:val="16"/>
                                    </w:rPr>
                                    <w:t>7</w:t>
                                  </w:r>
                                </w:p>
                              </w:tc>
                              <w:tc>
                                <w:tcPr>
                                  <w:tcW w:w="1098" w:type="dxa"/>
                                  <w:tcBorders>
                                    <w:top w:val="single" w:sz="4" w:space="0" w:color="002D5D"/>
                                    <w:bottom w:val="single" w:sz="4" w:space="0" w:color="002D5D"/>
                                  </w:tcBorders>
                                </w:tcPr>
                                <w:p>
                                  <w:pPr>
                                    <w:pStyle w:val="TableParagraph"/>
                                    <w:spacing w:before="91"/>
                                    <w:rPr>
                                      <w:sz w:val="16"/>
                                    </w:rPr>
                                  </w:pPr>
                                </w:p>
                                <w:p>
                                  <w:pPr>
                                    <w:pStyle w:val="TableParagraph"/>
                                    <w:ind w:left="182"/>
                                    <w:rPr>
                                      <w:sz w:val="16"/>
                                    </w:rPr>
                                  </w:pPr>
                                  <w:r>
                                    <w:rPr>
                                      <w:spacing w:val="-2"/>
                                      <w:sz w:val="16"/>
                                    </w:rPr>
                                    <w:t>16.550.257,72</w:t>
                                  </w:r>
                                </w:p>
                              </w:tc>
                              <w:tc>
                                <w:tcPr>
                                  <w:tcW w:w="1083" w:type="dxa"/>
                                  <w:tcBorders>
                                    <w:top w:val="single" w:sz="4" w:space="0" w:color="002D5D"/>
                                    <w:bottom w:val="single" w:sz="4" w:space="0" w:color="002D5D"/>
                                  </w:tcBorders>
                                </w:tcPr>
                                <w:p>
                                  <w:pPr>
                                    <w:pStyle w:val="TableParagraph"/>
                                    <w:spacing w:before="91"/>
                                    <w:rPr>
                                      <w:sz w:val="16"/>
                                    </w:rPr>
                                  </w:pPr>
                                </w:p>
                                <w:p>
                                  <w:pPr>
                                    <w:pStyle w:val="TableParagraph"/>
                                    <w:ind w:right="164"/>
                                    <w:jc w:val="right"/>
                                    <w:rPr>
                                      <w:sz w:val="16"/>
                                    </w:rPr>
                                  </w:pPr>
                                  <w:r>
                                    <w:rPr>
                                      <w:spacing w:val="-2"/>
                                      <w:sz w:val="16"/>
                                    </w:rPr>
                                    <w:t>16.550.257,72</w:t>
                                  </w:r>
                                </w:p>
                              </w:tc>
                              <w:tc>
                                <w:tcPr>
                                  <w:tcW w:w="992" w:type="dxa"/>
                                  <w:tcBorders>
                                    <w:top w:val="single" w:sz="4" w:space="0" w:color="002D5D"/>
                                    <w:bottom w:val="single" w:sz="4" w:space="0" w:color="002D5D"/>
                                  </w:tcBorders>
                                </w:tcPr>
                                <w:p>
                                  <w:pPr>
                                    <w:pStyle w:val="TableParagraph"/>
                                    <w:spacing w:before="91"/>
                                    <w:rPr>
                                      <w:sz w:val="16"/>
                                    </w:rPr>
                                  </w:pPr>
                                </w:p>
                                <w:p>
                                  <w:pPr>
                                    <w:pStyle w:val="TableParagraph"/>
                                    <w:ind w:right="161"/>
                                    <w:jc w:val="right"/>
                                    <w:rPr>
                                      <w:sz w:val="16"/>
                                    </w:rPr>
                                  </w:pPr>
                                  <w:r>
                                    <w:rPr>
                                      <w:spacing w:val="-4"/>
                                      <w:sz w:val="16"/>
                                    </w:rPr>
                                    <w:t>0,00</w:t>
                                  </w:r>
                                </w:p>
                              </w:tc>
                              <w:tc>
                                <w:tcPr>
                                  <w:tcW w:w="472" w:type="dxa"/>
                                  <w:tcBorders>
                                    <w:top w:val="single" w:sz="4" w:space="0" w:color="002D5D"/>
                                    <w:bottom w:val="single" w:sz="4" w:space="0" w:color="002D5D"/>
                                  </w:tcBorders>
                                </w:tcPr>
                                <w:p>
                                  <w:pPr>
                                    <w:pStyle w:val="TableParagraph"/>
                                    <w:spacing w:before="91"/>
                                    <w:rPr>
                                      <w:sz w:val="16"/>
                                    </w:rPr>
                                  </w:pPr>
                                </w:p>
                                <w:p>
                                  <w:pPr>
                                    <w:pStyle w:val="TableParagraph"/>
                                    <w:ind w:left="64"/>
                                    <w:jc w:val="center"/>
                                    <w:rPr>
                                      <w:sz w:val="16"/>
                                    </w:rPr>
                                  </w:pPr>
                                  <w:r>
                                    <w:rPr>
                                      <w:color w:val="5E89B4"/>
                                      <w:spacing w:val="-5"/>
                                      <w:sz w:val="16"/>
                                    </w:rPr>
                                    <w:t>NO</w:t>
                                  </w:r>
                                </w:p>
                              </w:tc>
                              <w:tc>
                                <w:tcPr>
                                  <w:tcW w:w="420" w:type="dxa"/>
                                  <w:tcBorders>
                                    <w:top w:val="single" w:sz="4" w:space="0" w:color="002D5D"/>
                                    <w:bottom w:val="single" w:sz="4" w:space="0" w:color="002D5D"/>
                                  </w:tcBorders>
                                </w:tcPr>
                                <w:p>
                                  <w:pPr>
                                    <w:pStyle w:val="TableParagraph"/>
                                    <w:spacing w:before="91"/>
                                    <w:rPr>
                                      <w:sz w:val="16"/>
                                    </w:rPr>
                                  </w:pPr>
                                </w:p>
                                <w:p>
                                  <w:pPr>
                                    <w:pStyle w:val="TableParagraph"/>
                                    <w:ind w:left="2"/>
                                    <w:jc w:val="center"/>
                                    <w:rPr>
                                      <w:sz w:val="16"/>
                                    </w:rPr>
                                  </w:pPr>
                                  <w:r>
                                    <w:rPr>
                                      <w:color w:val="5E89B4"/>
                                      <w:spacing w:val="-5"/>
                                      <w:sz w:val="16"/>
                                    </w:rPr>
                                    <w:t>NO</w:t>
                                  </w:r>
                                </w:p>
                              </w:tc>
                              <w:tc>
                                <w:tcPr>
                                  <w:tcW w:w="425" w:type="dxa"/>
                                  <w:tcBorders>
                                    <w:top w:val="single" w:sz="4" w:space="0" w:color="002D5D"/>
                                    <w:bottom w:val="single" w:sz="4" w:space="0" w:color="002D5D"/>
                                  </w:tcBorders>
                                </w:tcPr>
                                <w:p>
                                  <w:pPr>
                                    <w:pStyle w:val="TableParagraph"/>
                                    <w:spacing w:before="91"/>
                                    <w:rPr>
                                      <w:sz w:val="16"/>
                                    </w:rPr>
                                  </w:pPr>
                                </w:p>
                                <w:p>
                                  <w:pPr>
                                    <w:pStyle w:val="TableParagraph"/>
                                    <w:ind w:left="11"/>
                                    <w:jc w:val="center"/>
                                    <w:rPr>
                                      <w:sz w:val="16"/>
                                    </w:rPr>
                                  </w:pPr>
                                  <w:r>
                                    <w:rPr>
                                      <w:color w:val="5E89B4"/>
                                      <w:spacing w:val="-5"/>
                                      <w:sz w:val="16"/>
                                    </w:rPr>
                                    <w:t>NO</w:t>
                                  </w:r>
                                </w:p>
                              </w:tc>
                              <w:tc>
                                <w:tcPr>
                                  <w:tcW w:w="402" w:type="dxa"/>
                                  <w:tcBorders>
                                    <w:top w:val="single" w:sz="4" w:space="0" w:color="002D5D"/>
                                    <w:bottom w:val="single" w:sz="4" w:space="0" w:color="002D5D"/>
                                  </w:tcBorders>
                                </w:tcPr>
                                <w:p>
                                  <w:pPr>
                                    <w:pStyle w:val="TableParagraph"/>
                                    <w:spacing w:before="91"/>
                                    <w:rPr>
                                      <w:sz w:val="16"/>
                                    </w:rPr>
                                  </w:pPr>
                                </w:p>
                                <w:p>
                                  <w:pPr>
                                    <w:pStyle w:val="TableParagraph"/>
                                    <w:ind w:left="34" w:right="1"/>
                                    <w:jc w:val="center"/>
                                    <w:rPr>
                                      <w:sz w:val="16"/>
                                    </w:rPr>
                                  </w:pPr>
                                  <w:r>
                                    <w:rPr>
                                      <w:color w:val="891538"/>
                                      <w:spacing w:val="-5"/>
                                      <w:sz w:val="16"/>
                                    </w:rPr>
                                    <w:t>S</w:t>
                                  </w:r>
                                  <w:r>
                                    <w:rPr>
                                      <w:spacing w:val="-5"/>
                                      <w:sz w:val="16"/>
                                    </w:rPr>
                                    <w:t>I</w:t>
                                  </w:r>
                                </w:p>
                              </w:tc>
                              <w:tc>
                                <w:tcPr>
                                  <w:tcW w:w="978" w:type="dxa"/>
                                  <w:tcBorders>
                                    <w:top w:val="single" w:sz="4" w:space="0" w:color="001F5F"/>
                                    <w:bottom w:val="single" w:sz="4" w:space="0" w:color="001F5F"/>
                                  </w:tcBorders>
                                </w:tcPr>
                                <w:p>
                                  <w:pPr>
                                    <w:pStyle w:val="TableParagraph"/>
                                    <w:spacing w:before="91"/>
                                    <w:rPr>
                                      <w:sz w:val="16"/>
                                    </w:rPr>
                                  </w:pPr>
                                </w:p>
                                <w:p>
                                  <w:pPr>
                                    <w:pStyle w:val="TableParagraph"/>
                                    <w:ind w:left="33" w:right="59"/>
                                    <w:jc w:val="center"/>
                                    <w:rPr>
                                      <w:sz w:val="16"/>
                                    </w:rPr>
                                  </w:pPr>
                                  <w:r>
                                    <w:rPr>
                                      <w:sz w:val="16"/>
                                    </w:rPr>
                                    <w:t>En</w:t>
                                  </w:r>
                                  <w:r>
                                    <w:rPr>
                                      <w:spacing w:val="-2"/>
                                      <w:sz w:val="16"/>
                                    </w:rPr>
                                    <w:t> ejecución</w:t>
                                  </w:r>
                                </w:p>
                              </w:tc>
                            </w:tr>
                            <w:tr>
                              <w:trPr>
                                <w:trHeight w:val="676" w:hRule="atLeast"/>
                              </w:trPr>
                              <w:tc>
                                <w:tcPr>
                                  <w:tcW w:w="1270" w:type="dxa"/>
                                </w:tcPr>
                                <w:p>
                                  <w:pPr>
                                    <w:pStyle w:val="TableParagraph"/>
                                    <w:rPr>
                                      <w:rFonts w:ascii="Times New Roman"/>
                                      <w:sz w:val="16"/>
                                    </w:rPr>
                                  </w:pPr>
                                </w:p>
                              </w:tc>
                              <w:tc>
                                <w:tcPr>
                                  <w:tcW w:w="3025" w:type="dxa"/>
                                  <w:tcBorders>
                                    <w:top w:val="single" w:sz="4" w:space="0" w:color="001F5F"/>
                                    <w:bottom w:val="single" w:sz="4" w:space="0" w:color="001F5F"/>
                                  </w:tcBorders>
                                </w:tcPr>
                                <w:p>
                                  <w:pPr>
                                    <w:pStyle w:val="TableParagraph"/>
                                    <w:spacing w:line="124" w:lineRule="exact"/>
                                    <w:ind w:left="69"/>
                                    <w:rPr>
                                      <w:sz w:val="16"/>
                                    </w:rPr>
                                  </w:pPr>
                                  <w:r>
                                    <w:rPr>
                                      <w:sz w:val="16"/>
                                    </w:rPr>
                                    <w:t>Proyecto</w:t>
                                  </w:r>
                                  <w:r>
                                    <w:rPr>
                                      <w:spacing w:val="-7"/>
                                      <w:sz w:val="16"/>
                                    </w:rPr>
                                    <w:t> </w:t>
                                  </w:r>
                                  <w:r>
                                    <w:rPr>
                                      <w:sz w:val="16"/>
                                    </w:rPr>
                                    <w:t>de</w:t>
                                  </w:r>
                                  <w:r>
                                    <w:rPr>
                                      <w:spacing w:val="-4"/>
                                      <w:sz w:val="16"/>
                                    </w:rPr>
                                    <w:t> </w:t>
                                  </w:r>
                                  <w:r>
                                    <w:rPr>
                                      <w:sz w:val="16"/>
                                    </w:rPr>
                                    <w:t>Implantación</w:t>
                                  </w:r>
                                  <w:r>
                                    <w:rPr>
                                      <w:spacing w:val="-4"/>
                                      <w:sz w:val="16"/>
                                    </w:rPr>
                                    <w:t> </w:t>
                                  </w:r>
                                  <w:r>
                                    <w:rPr>
                                      <w:spacing w:val="-5"/>
                                      <w:sz w:val="16"/>
                                    </w:rPr>
                                    <w:t>de</w:t>
                                  </w:r>
                                </w:p>
                                <w:p>
                                  <w:pPr>
                                    <w:pStyle w:val="TableParagraph"/>
                                    <w:tabs>
                                      <w:tab w:pos="2569" w:val="right" w:leader="none"/>
                                    </w:tabs>
                                    <w:ind w:left="69"/>
                                    <w:rPr>
                                      <w:position w:val="-8"/>
                                      <w:sz w:val="16"/>
                                    </w:rPr>
                                  </w:pPr>
                                  <w:r>
                                    <w:rPr>
                                      <w:sz w:val="16"/>
                                    </w:rPr>
                                    <w:t>Carriles</w:t>
                                  </w:r>
                                  <w:r>
                                    <w:rPr>
                                      <w:spacing w:val="-10"/>
                                      <w:sz w:val="16"/>
                                    </w:rPr>
                                    <w:t> </w:t>
                                  </w:r>
                                  <w:r>
                                    <w:rPr>
                                      <w:sz w:val="16"/>
                                    </w:rPr>
                                    <w:t>MetroGuagua</w:t>
                                  </w:r>
                                  <w:r>
                                    <w:rPr>
                                      <w:spacing w:val="-9"/>
                                      <w:sz w:val="16"/>
                                    </w:rPr>
                                    <w:t> </w:t>
                                  </w:r>
                                  <w:r>
                                    <w:rPr>
                                      <w:spacing w:val="-4"/>
                                      <w:sz w:val="16"/>
                                    </w:rPr>
                                    <w:t>Tramo</w:t>
                                  </w:r>
                                  <w:r>
                                    <w:rPr>
                                      <w:sz w:val="16"/>
                                    </w:rPr>
                                    <w:tab/>
                                  </w:r>
                                  <w:r>
                                    <w:rPr>
                                      <w:spacing w:val="-12"/>
                                      <w:position w:val="-8"/>
                                      <w:sz w:val="16"/>
                                    </w:rPr>
                                    <w:t>1</w:t>
                                  </w:r>
                                </w:p>
                                <w:p>
                                  <w:pPr>
                                    <w:pStyle w:val="TableParagraph"/>
                                    <w:spacing w:line="166" w:lineRule="exact" w:before="93"/>
                                    <w:ind w:left="69"/>
                                    <w:rPr>
                                      <w:sz w:val="16"/>
                                    </w:rPr>
                                  </w:pPr>
                                  <w:r>
                                    <w:rPr>
                                      <w:spacing w:val="-2"/>
                                      <w:sz w:val="16"/>
                                    </w:rPr>
                                    <w:t>Rejón</w:t>
                                  </w:r>
                                </w:p>
                              </w:tc>
                              <w:tc>
                                <w:tcPr>
                                  <w:tcW w:w="1098" w:type="dxa"/>
                                  <w:tcBorders>
                                    <w:top w:val="single" w:sz="4" w:space="0" w:color="002D5D"/>
                                    <w:bottom w:val="single" w:sz="4" w:space="0" w:color="002D5D"/>
                                  </w:tcBorders>
                                </w:tcPr>
                                <w:p>
                                  <w:pPr>
                                    <w:pStyle w:val="TableParagraph"/>
                                    <w:spacing w:before="33"/>
                                    <w:rPr>
                                      <w:sz w:val="16"/>
                                    </w:rPr>
                                  </w:pPr>
                                </w:p>
                                <w:p>
                                  <w:pPr>
                                    <w:pStyle w:val="TableParagraph"/>
                                    <w:ind w:right="73"/>
                                    <w:jc w:val="right"/>
                                    <w:rPr>
                                      <w:sz w:val="16"/>
                                    </w:rPr>
                                  </w:pPr>
                                  <w:r>
                                    <w:rPr>
                                      <w:spacing w:val="-2"/>
                                      <w:sz w:val="16"/>
                                    </w:rPr>
                                    <w:t>3.146.765,15</w:t>
                                  </w:r>
                                </w:p>
                              </w:tc>
                              <w:tc>
                                <w:tcPr>
                                  <w:tcW w:w="1083" w:type="dxa"/>
                                  <w:tcBorders>
                                    <w:top w:val="single" w:sz="4" w:space="0" w:color="002D5D"/>
                                    <w:bottom w:val="single" w:sz="4" w:space="0" w:color="002D5D"/>
                                  </w:tcBorders>
                                </w:tcPr>
                                <w:p>
                                  <w:pPr>
                                    <w:pStyle w:val="TableParagraph"/>
                                    <w:spacing w:before="33"/>
                                    <w:rPr>
                                      <w:sz w:val="16"/>
                                    </w:rPr>
                                  </w:pPr>
                                </w:p>
                                <w:p>
                                  <w:pPr>
                                    <w:pStyle w:val="TableParagraph"/>
                                    <w:ind w:right="164"/>
                                    <w:jc w:val="right"/>
                                    <w:rPr>
                                      <w:sz w:val="16"/>
                                    </w:rPr>
                                  </w:pPr>
                                  <w:r>
                                    <w:rPr>
                                      <w:spacing w:val="-2"/>
                                      <w:sz w:val="16"/>
                                    </w:rPr>
                                    <w:t>3.146.765,15</w:t>
                                  </w:r>
                                </w:p>
                              </w:tc>
                              <w:tc>
                                <w:tcPr>
                                  <w:tcW w:w="992" w:type="dxa"/>
                                  <w:tcBorders>
                                    <w:top w:val="single" w:sz="4" w:space="0" w:color="002D5D"/>
                                    <w:bottom w:val="single" w:sz="4" w:space="0" w:color="002D5D"/>
                                  </w:tcBorders>
                                </w:tcPr>
                                <w:p>
                                  <w:pPr>
                                    <w:pStyle w:val="TableParagraph"/>
                                    <w:spacing w:before="33"/>
                                    <w:rPr>
                                      <w:sz w:val="16"/>
                                    </w:rPr>
                                  </w:pPr>
                                </w:p>
                                <w:p>
                                  <w:pPr>
                                    <w:pStyle w:val="TableParagraph"/>
                                    <w:ind w:right="161"/>
                                    <w:jc w:val="right"/>
                                    <w:rPr>
                                      <w:sz w:val="16"/>
                                    </w:rPr>
                                  </w:pPr>
                                  <w:r>
                                    <w:rPr>
                                      <w:spacing w:val="-4"/>
                                      <w:sz w:val="16"/>
                                    </w:rPr>
                                    <w:t>0,00</w:t>
                                  </w:r>
                                </w:p>
                              </w:tc>
                              <w:tc>
                                <w:tcPr>
                                  <w:tcW w:w="472" w:type="dxa"/>
                                  <w:tcBorders>
                                    <w:top w:val="single" w:sz="4" w:space="0" w:color="002D5D"/>
                                    <w:bottom w:val="single" w:sz="4" w:space="0" w:color="002D5D"/>
                                  </w:tcBorders>
                                </w:tcPr>
                                <w:p>
                                  <w:pPr>
                                    <w:pStyle w:val="TableParagraph"/>
                                    <w:spacing w:before="33"/>
                                    <w:rPr>
                                      <w:sz w:val="16"/>
                                    </w:rPr>
                                  </w:pPr>
                                </w:p>
                                <w:p>
                                  <w:pPr>
                                    <w:pStyle w:val="TableParagraph"/>
                                    <w:ind w:left="64" w:right="1"/>
                                    <w:jc w:val="center"/>
                                    <w:rPr>
                                      <w:sz w:val="16"/>
                                    </w:rPr>
                                  </w:pPr>
                                  <w:r>
                                    <w:rPr>
                                      <w:color w:val="891538"/>
                                      <w:spacing w:val="-5"/>
                                      <w:sz w:val="16"/>
                                    </w:rPr>
                                    <w:t>SI</w:t>
                                  </w:r>
                                </w:p>
                              </w:tc>
                              <w:tc>
                                <w:tcPr>
                                  <w:tcW w:w="420" w:type="dxa"/>
                                  <w:tcBorders>
                                    <w:top w:val="single" w:sz="4" w:space="0" w:color="002D5D"/>
                                    <w:bottom w:val="single" w:sz="4" w:space="0" w:color="002D5D"/>
                                  </w:tcBorders>
                                </w:tcPr>
                                <w:p>
                                  <w:pPr>
                                    <w:pStyle w:val="TableParagraph"/>
                                    <w:spacing w:before="33"/>
                                    <w:rPr>
                                      <w:sz w:val="16"/>
                                    </w:rPr>
                                  </w:pPr>
                                </w:p>
                                <w:p>
                                  <w:pPr>
                                    <w:pStyle w:val="TableParagraph"/>
                                    <w:ind w:left="2" w:right="1"/>
                                    <w:jc w:val="center"/>
                                    <w:rPr>
                                      <w:sz w:val="16"/>
                                    </w:rPr>
                                  </w:pPr>
                                  <w:r>
                                    <w:rPr>
                                      <w:color w:val="891538"/>
                                      <w:spacing w:val="-5"/>
                                      <w:sz w:val="16"/>
                                    </w:rPr>
                                    <w:t>SI</w:t>
                                  </w:r>
                                </w:p>
                              </w:tc>
                              <w:tc>
                                <w:tcPr>
                                  <w:tcW w:w="425" w:type="dxa"/>
                                  <w:tcBorders>
                                    <w:top w:val="single" w:sz="4" w:space="0" w:color="002D5D"/>
                                    <w:bottom w:val="single" w:sz="4" w:space="0" w:color="002D5D"/>
                                  </w:tcBorders>
                                </w:tcPr>
                                <w:p>
                                  <w:pPr>
                                    <w:pStyle w:val="TableParagraph"/>
                                    <w:spacing w:before="33"/>
                                    <w:rPr>
                                      <w:sz w:val="16"/>
                                    </w:rPr>
                                  </w:pPr>
                                </w:p>
                                <w:p>
                                  <w:pPr>
                                    <w:pStyle w:val="TableParagraph"/>
                                    <w:ind w:left="11"/>
                                    <w:jc w:val="center"/>
                                    <w:rPr>
                                      <w:sz w:val="16"/>
                                    </w:rPr>
                                  </w:pPr>
                                  <w:r>
                                    <w:rPr>
                                      <w:color w:val="5E89B4"/>
                                      <w:spacing w:val="-5"/>
                                      <w:sz w:val="16"/>
                                    </w:rPr>
                                    <w:t>NO</w:t>
                                  </w:r>
                                </w:p>
                              </w:tc>
                              <w:tc>
                                <w:tcPr>
                                  <w:tcW w:w="402" w:type="dxa"/>
                                  <w:tcBorders>
                                    <w:top w:val="single" w:sz="4" w:space="0" w:color="002D5D"/>
                                    <w:bottom w:val="single" w:sz="4" w:space="0" w:color="002D5D"/>
                                  </w:tcBorders>
                                </w:tcPr>
                                <w:p>
                                  <w:pPr>
                                    <w:pStyle w:val="TableParagraph"/>
                                    <w:spacing w:before="33"/>
                                    <w:rPr>
                                      <w:sz w:val="16"/>
                                    </w:rPr>
                                  </w:pPr>
                                </w:p>
                                <w:p>
                                  <w:pPr>
                                    <w:pStyle w:val="TableParagraph"/>
                                    <w:ind w:left="34"/>
                                    <w:jc w:val="center"/>
                                    <w:rPr>
                                      <w:sz w:val="16"/>
                                    </w:rPr>
                                  </w:pPr>
                                  <w:r>
                                    <w:rPr>
                                      <w:color w:val="5E89B4"/>
                                      <w:spacing w:val="-5"/>
                                      <w:sz w:val="16"/>
                                    </w:rPr>
                                    <w:t>NO</w:t>
                                  </w:r>
                                </w:p>
                              </w:tc>
                              <w:tc>
                                <w:tcPr>
                                  <w:tcW w:w="978" w:type="dxa"/>
                                  <w:tcBorders>
                                    <w:top w:val="single" w:sz="4" w:space="0" w:color="001F5F"/>
                                    <w:bottom w:val="single" w:sz="4" w:space="0" w:color="002D5D"/>
                                  </w:tcBorders>
                                </w:tcPr>
                                <w:p>
                                  <w:pPr>
                                    <w:pStyle w:val="TableParagraph"/>
                                    <w:spacing w:before="33"/>
                                    <w:rPr>
                                      <w:sz w:val="16"/>
                                    </w:rPr>
                                  </w:pPr>
                                </w:p>
                                <w:p>
                                  <w:pPr>
                                    <w:pStyle w:val="TableParagraph"/>
                                    <w:ind w:left="59" w:right="26"/>
                                    <w:jc w:val="center"/>
                                    <w:rPr>
                                      <w:sz w:val="16"/>
                                    </w:rPr>
                                  </w:pPr>
                                  <w:r>
                                    <w:rPr>
                                      <w:spacing w:val="-2"/>
                                      <w:sz w:val="16"/>
                                    </w:rPr>
                                    <w:t>Finalizada</w:t>
                                  </w:r>
                                </w:p>
                              </w:tc>
                            </w:tr>
                            <w:tr>
                              <w:trPr>
                                <w:trHeight w:val="366" w:hRule="atLeast"/>
                              </w:trPr>
                              <w:tc>
                                <w:tcPr>
                                  <w:tcW w:w="1270" w:type="dxa"/>
                                  <w:tcBorders>
                                    <w:bottom w:val="single" w:sz="12" w:space="0" w:color="001F5F"/>
                                  </w:tcBorders>
                                </w:tcPr>
                                <w:p>
                                  <w:pPr>
                                    <w:pStyle w:val="TableParagraph"/>
                                    <w:rPr>
                                      <w:rFonts w:ascii="Times New Roman"/>
                                      <w:sz w:val="16"/>
                                    </w:rPr>
                                  </w:pPr>
                                </w:p>
                              </w:tc>
                              <w:tc>
                                <w:tcPr>
                                  <w:tcW w:w="3025" w:type="dxa"/>
                                  <w:tcBorders>
                                    <w:top w:val="single" w:sz="4" w:space="0" w:color="001F5F"/>
                                    <w:bottom w:val="single" w:sz="12" w:space="0" w:color="001F5F"/>
                                  </w:tcBorders>
                                </w:tcPr>
                                <w:p>
                                  <w:pPr>
                                    <w:pStyle w:val="TableParagraph"/>
                                    <w:tabs>
                                      <w:tab w:pos="2500" w:val="right" w:leader="none"/>
                                    </w:tabs>
                                    <w:ind w:right="453"/>
                                    <w:jc w:val="right"/>
                                    <w:rPr>
                                      <w:position w:val="-8"/>
                                      <w:sz w:val="16"/>
                                    </w:rPr>
                                  </w:pPr>
                                  <w:r>
                                    <w:rPr>
                                      <w:sz w:val="16"/>
                                    </w:rPr>
                                    <w:t>Estación</w:t>
                                  </w:r>
                                  <w:r>
                                    <w:rPr>
                                      <w:spacing w:val="-7"/>
                                      <w:sz w:val="16"/>
                                    </w:rPr>
                                    <w:t> </w:t>
                                  </w:r>
                                  <w:r>
                                    <w:rPr>
                                      <w:sz w:val="16"/>
                                    </w:rPr>
                                    <w:t>de</w:t>
                                  </w:r>
                                  <w:r>
                                    <w:rPr>
                                      <w:spacing w:val="-5"/>
                                      <w:sz w:val="16"/>
                                    </w:rPr>
                                    <w:t> </w:t>
                                  </w:r>
                                  <w:r>
                                    <w:rPr>
                                      <w:sz w:val="16"/>
                                    </w:rPr>
                                    <w:t>guaguas</w:t>
                                  </w:r>
                                  <w:r>
                                    <w:rPr>
                                      <w:spacing w:val="-5"/>
                                      <w:sz w:val="16"/>
                                    </w:rPr>
                                    <w:t> </w:t>
                                  </w:r>
                                  <w:r>
                                    <w:rPr>
                                      <w:sz w:val="16"/>
                                    </w:rPr>
                                    <w:t>en</w:t>
                                  </w:r>
                                  <w:r>
                                    <w:rPr>
                                      <w:spacing w:val="-4"/>
                                      <w:sz w:val="16"/>
                                    </w:rPr>
                                    <w:t> Hoya</w:t>
                                  </w:r>
                                  <w:r>
                                    <w:rPr>
                                      <w:sz w:val="16"/>
                                    </w:rPr>
                                    <w:tab/>
                                  </w:r>
                                  <w:r>
                                    <w:rPr>
                                      <w:spacing w:val="-10"/>
                                      <w:position w:val="-8"/>
                                      <w:sz w:val="16"/>
                                    </w:rPr>
                                    <w:t>1</w:t>
                                  </w:r>
                                </w:p>
                              </w:tc>
                              <w:tc>
                                <w:tcPr>
                                  <w:tcW w:w="1098" w:type="dxa"/>
                                  <w:tcBorders>
                                    <w:top w:val="single" w:sz="4" w:space="0" w:color="002D5D"/>
                                    <w:bottom w:val="single" w:sz="12" w:space="0" w:color="001F5F"/>
                                  </w:tcBorders>
                                </w:tcPr>
                                <w:p>
                                  <w:pPr>
                                    <w:pStyle w:val="TableParagraph"/>
                                    <w:spacing w:before="90"/>
                                    <w:ind w:right="73"/>
                                    <w:jc w:val="right"/>
                                    <w:rPr>
                                      <w:sz w:val="16"/>
                                    </w:rPr>
                                  </w:pPr>
                                  <w:r>
                                    <w:rPr>
                                      <w:spacing w:val="-2"/>
                                      <w:sz w:val="16"/>
                                    </w:rPr>
                                    <w:t>8.655.000,00</w:t>
                                  </w:r>
                                </w:p>
                              </w:tc>
                              <w:tc>
                                <w:tcPr>
                                  <w:tcW w:w="1083" w:type="dxa"/>
                                  <w:tcBorders>
                                    <w:top w:val="single" w:sz="4" w:space="0" w:color="002D5D"/>
                                    <w:bottom w:val="single" w:sz="12" w:space="0" w:color="001F5F"/>
                                  </w:tcBorders>
                                </w:tcPr>
                                <w:p>
                                  <w:pPr>
                                    <w:pStyle w:val="TableParagraph"/>
                                    <w:spacing w:before="90"/>
                                    <w:ind w:right="164"/>
                                    <w:jc w:val="right"/>
                                    <w:rPr>
                                      <w:sz w:val="16"/>
                                    </w:rPr>
                                  </w:pPr>
                                  <w:r>
                                    <w:rPr>
                                      <w:spacing w:val="-2"/>
                                      <w:sz w:val="16"/>
                                    </w:rPr>
                                    <w:t>8.655.000,00</w:t>
                                  </w:r>
                                </w:p>
                              </w:tc>
                              <w:tc>
                                <w:tcPr>
                                  <w:tcW w:w="992" w:type="dxa"/>
                                  <w:tcBorders>
                                    <w:top w:val="single" w:sz="4" w:space="0" w:color="002D5D"/>
                                    <w:bottom w:val="single" w:sz="12" w:space="0" w:color="001F5F"/>
                                  </w:tcBorders>
                                </w:tcPr>
                                <w:p>
                                  <w:pPr>
                                    <w:pStyle w:val="TableParagraph"/>
                                    <w:spacing w:before="90"/>
                                    <w:ind w:right="161"/>
                                    <w:jc w:val="right"/>
                                    <w:rPr>
                                      <w:sz w:val="16"/>
                                    </w:rPr>
                                  </w:pPr>
                                  <w:r>
                                    <w:rPr>
                                      <w:spacing w:val="-4"/>
                                      <w:sz w:val="16"/>
                                    </w:rPr>
                                    <w:t>0,00</w:t>
                                  </w:r>
                                </w:p>
                              </w:tc>
                              <w:tc>
                                <w:tcPr>
                                  <w:tcW w:w="472" w:type="dxa"/>
                                  <w:tcBorders>
                                    <w:top w:val="single" w:sz="4" w:space="0" w:color="002D5D"/>
                                    <w:bottom w:val="single" w:sz="12" w:space="0" w:color="001F5F"/>
                                  </w:tcBorders>
                                </w:tcPr>
                                <w:p>
                                  <w:pPr>
                                    <w:pStyle w:val="TableParagraph"/>
                                    <w:spacing w:before="90"/>
                                    <w:ind w:left="64"/>
                                    <w:jc w:val="center"/>
                                    <w:rPr>
                                      <w:sz w:val="16"/>
                                    </w:rPr>
                                  </w:pPr>
                                  <w:r>
                                    <w:rPr>
                                      <w:color w:val="5E89B4"/>
                                      <w:spacing w:val="-5"/>
                                      <w:sz w:val="16"/>
                                    </w:rPr>
                                    <w:t>NO</w:t>
                                  </w:r>
                                </w:p>
                              </w:tc>
                              <w:tc>
                                <w:tcPr>
                                  <w:tcW w:w="420" w:type="dxa"/>
                                  <w:tcBorders>
                                    <w:top w:val="single" w:sz="4" w:space="0" w:color="002D5D"/>
                                    <w:bottom w:val="single" w:sz="12" w:space="0" w:color="001F5F"/>
                                  </w:tcBorders>
                                </w:tcPr>
                                <w:p>
                                  <w:pPr>
                                    <w:pStyle w:val="TableParagraph"/>
                                    <w:spacing w:before="90"/>
                                    <w:ind w:left="2"/>
                                    <w:jc w:val="center"/>
                                    <w:rPr>
                                      <w:sz w:val="16"/>
                                    </w:rPr>
                                  </w:pPr>
                                  <w:r>
                                    <w:rPr>
                                      <w:color w:val="5E89B4"/>
                                      <w:spacing w:val="-5"/>
                                      <w:sz w:val="16"/>
                                    </w:rPr>
                                    <w:t>NO</w:t>
                                  </w:r>
                                </w:p>
                              </w:tc>
                              <w:tc>
                                <w:tcPr>
                                  <w:tcW w:w="425" w:type="dxa"/>
                                  <w:tcBorders>
                                    <w:top w:val="single" w:sz="4" w:space="0" w:color="002D5D"/>
                                    <w:bottom w:val="single" w:sz="12" w:space="0" w:color="001F5F"/>
                                  </w:tcBorders>
                                </w:tcPr>
                                <w:p>
                                  <w:pPr>
                                    <w:pStyle w:val="TableParagraph"/>
                                    <w:spacing w:before="90"/>
                                    <w:ind w:left="11"/>
                                    <w:jc w:val="center"/>
                                    <w:rPr>
                                      <w:sz w:val="16"/>
                                    </w:rPr>
                                  </w:pPr>
                                  <w:r>
                                    <w:rPr>
                                      <w:color w:val="5E89B4"/>
                                      <w:spacing w:val="-5"/>
                                      <w:sz w:val="16"/>
                                    </w:rPr>
                                    <w:t>NO</w:t>
                                  </w:r>
                                </w:p>
                              </w:tc>
                              <w:tc>
                                <w:tcPr>
                                  <w:tcW w:w="402" w:type="dxa"/>
                                  <w:tcBorders>
                                    <w:top w:val="single" w:sz="4" w:space="0" w:color="002D5D"/>
                                    <w:bottom w:val="single" w:sz="12" w:space="0" w:color="001F5F"/>
                                  </w:tcBorders>
                                </w:tcPr>
                                <w:p>
                                  <w:pPr>
                                    <w:pStyle w:val="TableParagraph"/>
                                    <w:spacing w:before="90"/>
                                    <w:ind w:left="34" w:right="1"/>
                                    <w:jc w:val="center"/>
                                    <w:rPr>
                                      <w:sz w:val="16"/>
                                    </w:rPr>
                                  </w:pPr>
                                  <w:r>
                                    <w:rPr>
                                      <w:color w:val="891538"/>
                                      <w:spacing w:val="-5"/>
                                      <w:sz w:val="16"/>
                                    </w:rPr>
                                    <w:t>SI</w:t>
                                  </w:r>
                                </w:p>
                              </w:tc>
                              <w:tc>
                                <w:tcPr>
                                  <w:tcW w:w="978" w:type="dxa"/>
                                  <w:tcBorders>
                                    <w:top w:val="single" w:sz="4" w:space="0" w:color="002D5D"/>
                                    <w:bottom w:val="single" w:sz="12" w:space="0" w:color="001F5F"/>
                                  </w:tcBorders>
                                </w:tcPr>
                                <w:p>
                                  <w:pPr>
                                    <w:pStyle w:val="TableParagraph"/>
                                    <w:spacing w:before="90"/>
                                    <w:ind w:left="33" w:right="59"/>
                                    <w:jc w:val="center"/>
                                    <w:rPr>
                                      <w:sz w:val="16"/>
                                    </w:rPr>
                                  </w:pPr>
                                  <w:r>
                                    <w:rPr>
                                      <w:sz w:val="16"/>
                                    </w:rPr>
                                    <w:t>En</w:t>
                                  </w:r>
                                  <w:r>
                                    <w:rPr>
                                      <w:spacing w:val="-2"/>
                                      <w:sz w:val="16"/>
                                    </w:rPr>
                                    <w:t> ejecución</w:t>
                                  </w:r>
                                </w:p>
                              </w:tc>
                            </w:tr>
                            <w:tr>
                              <w:trPr>
                                <w:trHeight w:val="508" w:hRule="atLeast"/>
                              </w:trPr>
                              <w:tc>
                                <w:tcPr>
                                  <w:tcW w:w="1270" w:type="dxa"/>
                                  <w:tcBorders>
                                    <w:top w:val="single" w:sz="12" w:space="0" w:color="001F5F"/>
                                  </w:tcBorders>
                                </w:tcPr>
                                <w:p>
                                  <w:pPr>
                                    <w:pStyle w:val="TableParagraph"/>
                                    <w:rPr>
                                      <w:rFonts w:ascii="Times New Roman"/>
                                      <w:sz w:val="16"/>
                                    </w:rPr>
                                  </w:pPr>
                                </w:p>
                              </w:tc>
                              <w:tc>
                                <w:tcPr>
                                  <w:tcW w:w="3025" w:type="dxa"/>
                                  <w:tcBorders>
                                    <w:top w:val="single" w:sz="12" w:space="0" w:color="001F5F"/>
                                  </w:tcBorders>
                                </w:tcPr>
                                <w:p>
                                  <w:pPr>
                                    <w:pStyle w:val="TableParagraph"/>
                                    <w:spacing w:line="183" w:lineRule="exact"/>
                                    <w:ind w:left="69"/>
                                    <w:rPr>
                                      <w:sz w:val="16"/>
                                    </w:rPr>
                                  </w:pPr>
                                  <w:r>
                                    <w:rPr>
                                      <w:sz w:val="16"/>
                                    </w:rPr>
                                    <w:t>Construcción</w:t>
                                  </w:r>
                                  <w:r>
                                    <w:rPr>
                                      <w:spacing w:val="-5"/>
                                      <w:sz w:val="16"/>
                                    </w:rPr>
                                    <w:t> </w:t>
                                  </w:r>
                                  <w:r>
                                    <w:rPr>
                                      <w:sz w:val="16"/>
                                    </w:rPr>
                                    <w:t>y</w:t>
                                  </w:r>
                                  <w:r>
                                    <w:rPr>
                                      <w:spacing w:val="-6"/>
                                      <w:sz w:val="16"/>
                                    </w:rPr>
                                    <w:t> </w:t>
                                  </w:r>
                                  <w:r>
                                    <w:rPr>
                                      <w:sz w:val="16"/>
                                    </w:rPr>
                                    <w:t>puesta</w:t>
                                  </w:r>
                                  <w:r>
                                    <w:rPr>
                                      <w:spacing w:val="-4"/>
                                      <w:sz w:val="16"/>
                                    </w:rPr>
                                    <w:t> </w:t>
                                  </w:r>
                                  <w:r>
                                    <w:rPr>
                                      <w:spacing w:val="-5"/>
                                      <w:sz w:val="16"/>
                                    </w:rPr>
                                    <w:t>en</w:t>
                                  </w:r>
                                </w:p>
                                <w:p>
                                  <w:pPr>
                                    <w:pStyle w:val="TableParagraph"/>
                                    <w:tabs>
                                      <w:tab w:pos="2569" w:val="right" w:leader="none"/>
                                    </w:tabs>
                                    <w:ind w:left="69"/>
                                    <w:rPr>
                                      <w:position w:val="-8"/>
                                      <w:sz w:val="16"/>
                                    </w:rPr>
                                  </w:pPr>
                                  <w:r>
                                    <w:rPr>
                                      <w:sz w:val="16"/>
                                    </w:rPr>
                                    <w:t>servicio</w:t>
                                  </w:r>
                                  <w:r>
                                    <w:rPr>
                                      <w:spacing w:val="-4"/>
                                      <w:sz w:val="16"/>
                                    </w:rPr>
                                    <w:t> </w:t>
                                  </w:r>
                                  <w:r>
                                    <w:rPr>
                                      <w:sz w:val="16"/>
                                    </w:rPr>
                                    <w:t>de</w:t>
                                  </w:r>
                                  <w:r>
                                    <w:rPr>
                                      <w:spacing w:val="-4"/>
                                      <w:sz w:val="16"/>
                                    </w:rPr>
                                    <w:t> </w:t>
                                  </w:r>
                                  <w:r>
                                    <w:rPr>
                                      <w:sz w:val="16"/>
                                    </w:rPr>
                                    <w:t>carril</w:t>
                                  </w:r>
                                  <w:r>
                                    <w:rPr>
                                      <w:spacing w:val="-6"/>
                                      <w:sz w:val="16"/>
                                    </w:rPr>
                                    <w:t> </w:t>
                                  </w:r>
                                  <w:r>
                                    <w:rPr>
                                      <w:sz w:val="16"/>
                                    </w:rPr>
                                    <w:t>bus</w:t>
                                  </w:r>
                                  <w:r>
                                    <w:rPr>
                                      <w:spacing w:val="-3"/>
                                      <w:sz w:val="16"/>
                                    </w:rPr>
                                    <w:t> </w:t>
                                  </w:r>
                                  <w:r>
                                    <w:rPr>
                                      <w:spacing w:val="-2"/>
                                      <w:sz w:val="16"/>
                                    </w:rPr>
                                    <w:t>exclusivo</w:t>
                                  </w:r>
                                  <w:r>
                                    <w:rPr>
                                      <w:sz w:val="16"/>
                                    </w:rPr>
                                    <w:tab/>
                                  </w:r>
                                  <w:r>
                                    <w:rPr>
                                      <w:spacing w:val="-12"/>
                                      <w:position w:val="-8"/>
                                      <w:sz w:val="16"/>
                                    </w:rPr>
                                    <w:t>1</w:t>
                                  </w:r>
                                </w:p>
                              </w:tc>
                              <w:tc>
                                <w:tcPr>
                                  <w:tcW w:w="1098" w:type="dxa"/>
                                  <w:tcBorders>
                                    <w:top w:val="single" w:sz="12" w:space="0" w:color="001F5F"/>
                                  </w:tcBorders>
                                </w:tcPr>
                                <w:p>
                                  <w:pPr>
                                    <w:pStyle w:val="TableParagraph"/>
                                    <w:spacing w:before="90"/>
                                    <w:rPr>
                                      <w:sz w:val="16"/>
                                    </w:rPr>
                                  </w:pPr>
                                </w:p>
                                <w:p>
                                  <w:pPr>
                                    <w:pStyle w:val="TableParagraph"/>
                                    <w:ind w:right="72"/>
                                    <w:jc w:val="right"/>
                                    <w:rPr>
                                      <w:sz w:val="16"/>
                                    </w:rPr>
                                  </w:pPr>
                                  <w:r>
                                    <w:rPr>
                                      <w:spacing w:val="-2"/>
                                      <w:sz w:val="16"/>
                                    </w:rPr>
                                    <w:t>713.939,83</w:t>
                                  </w:r>
                                </w:p>
                              </w:tc>
                              <w:tc>
                                <w:tcPr>
                                  <w:tcW w:w="1083" w:type="dxa"/>
                                  <w:tcBorders>
                                    <w:top w:val="single" w:sz="12" w:space="0" w:color="001F5F"/>
                                  </w:tcBorders>
                                </w:tcPr>
                                <w:p>
                                  <w:pPr>
                                    <w:pStyle w:val="TableParagraph"/>
                                    <w:spacing w:before="90"/>
                                    <w:rPr>
                                      <w:sz w:val="16"/>
                                    </w:rPr>
                                  </w:pPr>
                                </w:p>
                                <w:p>
                                  <w:pPr>
                                    <w:pStyle w:val="TableParagraph"/>
                                    <w:ind w:right="164"/>
                                    <w:jc w:val="right"/>
                                    <w:rPr>
                                      <w:sz w:val="16"/>
                                    </w:rPr>
                                  </w:pPr>
                                  <w:r>
                                    <w:rPr>
                                      <w:spacing w:val="-2"/>
                                      <w:sz w:val="16"/>
                                    </w:rPr>
                                    <w:t>92.812,76</w:t>
                                  </w:r>
                                </w:p>
                              </w:tc>
                              <w:tc>
                                <w:tcPr>
                                  <w:tcW w:w="992" w:type="dxa"/>
                                  <w:tcBorders>
                                    <w:top w:val="single" w:sz="12" w:space="0" w:color="001F5F"/>
                                  </w:tcBorders>
                                </w:tcPr>
                                <w:p>
                                  <w:pPr>
                                    <w:pStyle w:val="TableParagraph"/>
                                    <w:spacing w:before="90"/>
                                    <w:rPr>
                                      <w:sz w:val="16"/>
                                    </w:rPr>
                                  </w:pPr>
                                </w:p>
                                <w:p>
                                  <w:pPr>
                                    <w:pStyle w:val="TableParagraph"/>
                                    <w:ind w:right="162"/>
                                    <w:jc w:val="right"/>
                                    <w:rPr>
                                      <w:sz w:val="16"/>
                                    </w:rPr>
                                  </w:pPr>
                                  <w:r>
                                    <w:rPr>
                                      <w:spacing w:val="-2"/>
                                      <w:sz w:val="16"/>
                                    </w:rPr>
                                    <w:t>621.127,07</w:t>
                                  </w:r>
                                </w:p>
                              </w:tc>
                              <w:tc>
                                <w:tcPr>
                                  <w:tcW w:w="472" w:type="dxa"/>
                                  <w:tcBorders>
                                    <w:top w:val="single" w:sz="12" w:space="0" w:color="001F5F"/>
                                  </w:tcBorders>
                                </w:tcPr>
                                <w:p>
                                  <w:pPr>
                                    <w:pStyle w:val="TableParagraph"/>
                                    <w:spacing w:before="90"/>
                                    <w:rPr>
                                      <w:sz w:val="16"/>
                                    </w:rPr>
                                  </w:pPr>
                                </w:p>
                                <w:p>
                                  <w:pPr>
                                    <w:pStyle w:val="TableParagraph"/>
                                    <w:ind w:left="64"/>
                                    <w:jc w:val="center"/>
                                    <w:rPr>
                                      <w:sz w:val="16"/>
                                    </w:rPr>
                                  </w:pPr>
                                  <w:r>
                                    <w:rPr>
                                      <w:color w:val="5E89B4"/>
                                      <w:spacing w:val="-5"/>
                                      <w:sz w:val="16"/>
                                    </w:rPr>
                                    <w:t>NO</w:t>
                                  </w:r>
                                </w:p>
                              </w:tc>
                              <w:tc>
                                <w:tcPr>
                                  <w:tcW w:w="420" w:type="dxa"/>
                                  <w:tcBorders>
                                    <w:top w:val="single" w:sz="12" w:space="0" w:color="001F5F"/>
                                  </w:tcBorders>
                                </w:tcPr>
                                <w:p>
                                  <w:pPr>
                                    <w:pStyle w:val="TableParagraph"/>
                                    <w:spacing w:before="90"/>
                                    <w:rPr>
                                      <w:sz w:val="16"/>
                                    </w:rPr>
                                  </w:pPr>
                                </w:p>
                                <w:p>
                                  <w:pPr>
                                    <w:pStyle w:val="TableParagraph"/>
                                    <w:ind w:left="2" w:right="1"/>
                                    <w:jc w:val="center"/>
                                    <w:rPr>
                                      <w:sz w:val="16"/>
                                    </w:rPr>
                                  </w:pPr>
                                  <w:r>
                                    <w:rPr>
                                      <w:color w:val="891538"/>
                                      <w:spacing w:val="-5"/>
                                      <w:sz w:val="16"/>
                                    </w:rPr>
                                    <w:t>SI</w:t>
                                  </w:r>
                                </w:p>
                              </w:tc>
                              <w:tc>
                                <w:tcPr>
                                  <w:tcW w:w="425" w:type="dxa"/>
                                  <w:tcBorders>
                                    <w:top w:val="single" w:sz="12" w:space="0" w:color="001F5F"/>
                                  </w:tcBorders>
                                </w:tcPr>
                                <w:p>
                                  <w:pPr>
                                    <w:pStyle w:val="TableParagraph"/>
                                    <w:spacing w:before="90"/>
                                    <w:rPr>
                                      <w:sz w:val="16"/>
                                    </w:rPr>
                                  </w:pPr>
                                </w:p>
                                <w:p>
                                  <w:pPr>
                                    <w:pStyle w:val="TableParagraph"/>
                                    <w:ind w:left="11"/>
                                    <w:jc w:val="center"/>
                                    <w:rPr>
                                      <w:sz w:val="16"/>
                                    </w:rPr>
                                  </w:pPr>
                                  <w:r>
                                    <w:rPr>
                                      <w:color w:val="5E89B4"/>
                                      <w:spacing w:val="-5"/>
                                      <w:sz w:val="16"/>
                                    </w:rPr>
                                    <w:t>NO</w:t>
                                  </w:r>
                                </w:p>
                              </w:tc>
                              <w:tc>
                                <w:tcPr>
                                  <w:tcW w:w="402" w:type="dxa"/>
                                  <w:tcBorders>
                                    <w:top w:val="single" w:sz="12" w:space="0" w:color="001F5F"/>
                                  </w:tcBorders>
                                </w:tcPr>
                                <w:p>
                                  <w:pPr>
                                    <w:pStyle w:val="TableParagraph"/>
                                    <w:spacing w:before="90"/>
                                    <w:rPr>
                                      <w:sz w:val="16"/>
                                    </w:rPr>
                                  </w:pPr>
                                </w:p>
                                <w:p>
                                  <w:pPr>
                                    <w:pStyle w:val="TableParagraph"/>
                                    <w:ind w:left="34"/>
                                    <w:jc w:val="center"/>
                                    <w:rPr>
                                      <w:sz w:val="16"/>
                                    </w:rPr>
                                  </w:pPr>
                                  <w:r>
                                    <w:rPr>
                                      <w:color w:val="5E89B4"/>
                                      <w:spacing w:val="-5"/>
                                      <w:sz w:val="16"/>
                                    </w:rPr>
                                    <w:t>NO</w:t>
                                  </w:r>
                                </w:p>
                              </w:tc>
                              <w:tc>
                                <w:tcPr>
                                  <w:tcW w:w="978" w:type="dxa"/>
                                  <w:tcBorders>
                                    <w:top w:val="single" w:sz="12" w:space="0" w:color="001F5F"/>
                                  </w:tcBorders>
                                </w:tcPr>
                                <w:p>
                                  <w:pPr>
                                    <w:pStyle w:val="TableParagraph"/>
                                    <w:spacing w:before="90"/>
                                    <w:rPr>
                                      <w:sz w:val="16"/>
                                    </w:rPr>
                                  </w:pPr>
                                </w:p>
                                <w:p>
                                  <w:pPr>
                                    <w:pStyle w:val="TableParagraph"/>
                                    <w:ind w:left="59" w:right="26"/>
                                    <w:jc w:val="center"/>
                                    <w:rPr>
                                      <w:sz w:val="16"/>
                                    </w:rPr>
                                  </w:pPr>
                                  <w:r>
                                    <w:rPr>
                                      <w:sz w:val="16"/>
                                    </w:rPr>
                                    <w:t>En</w:t>
                                  </w:r>
                                  <w:r>
                                    <w:rPr>
                                      <w:spacing w:val="-2"/>
                                      <w:sz w:val="16"/>
                                    </w:rPr>
                                    <w:t> ejecución</w:t>
                                  </w:r>
                                </w:p>
                              </w:tc>
                            </w:tr>
                          </w:tbl>
                          <w:p>
                            <w:pPr>
                              <w:pStyle w:val="BodyText"/>
                            </w:pPr>
                          </w:p>
                        </w:txbxContent>
                      </wps:txbx>
                      <wps:bodyPr wrap="square" lIns="0" tIns="0" rIns="0" bIns="0" rtlCol="0">
                        <a:noAutofit/>
                      </wps:bodyPr>
                    </wps:wsp>
                  </a:graphicData>
                </a:graphic>
              </wp:anchor>
            </w:drawing>
          </mc:Choice>
          <mc:Fallback>
            <w:pict>
              <v:shape style="position:absolute;margin-left:40.439999pt;margin-top:-4.863652pt;width:514.7pt;height:271.9pt;mso-position-horizontal-relative:page;mso-position-vertical-relative:paragraph;z-index:15748608" type="#_x0000_t202" id="docshape127"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70"/>
                        <w:gridCol w:w="3025"/>
                        <w:gridCol w:w="1098"/>
                        <w:gridCol w:w="1083"/>
                        <w:gridCol w:w="992"/>
                        <w:gridCol w:w="472"/>
                        <w:gridCol w:w="420"/>
                        <w:gridCol w:w="425"/>
                        <w:gridCol w:w="402"/>
                        <w:gridCol w:w="978"/>
                      </w:tblGrid>
                      <w:tr>
                        <w:trPr>
                          <w:trHeight w:val="473" w:hRule="atLeast"/>
                        </w:trPr>
                        <w:tc>
                          <w:tcPr>
                            <w:tcW w:w="1270" w:type="dxa"/>
                            <w:shd w:val="clear" w:color="auto" w:fill="002D5D"/>
                          </w:tcPr>
                          <w:p>
                            <w:pPr>
                              <w:pStyle w:val="TableParagraph"/>
                              <w:spacing w:before="105"/>
                              <w:rPr>
                                <w:sz w:val="16"/>
                              </w:rPr>
                            </w:pPr>
                          </w:p>
                          <w:p>
                            <w:pPr>
                              <w:pStyle w:val="TableParagraph"/>
                              <w:spacing w:line="164" w:lineRule="exact"/>
                              <w:ind w:left="103"/>
                              <w:rPr>
                                <w:b/>
                                <w:sz w:val="16"/>
                              </w:rPr>
                            </w:pPr>
                            <w:r>
                              <w:rPr>
                                <w:b/>
                                <w:color w:val="FFFFFF"/>
                                <w:spacing w:val="-2"/>
                                <w:sz w:val="16"/>
                              </w:rPr>
                              <w:t>AYUNTAMIENTO</w:t>
                            </w:r>
                          </w:p>
                        </w:tc>
                        <w:tc>
                          <w:tcPr>
                            <w:tcW w:w="3025" w:type="dxa"/>
                            <w:shd w:val="clear" w:color="auto" w:fill="002D5D"/>
                          </w:tcPr>
                          <w:p>
                            <w:pPr>
                              <w:pStyle w:val="TableParagraph"/>
                              <w:spacing w:before="107"/>
                              <w:ind w:right="466"/>
                              <w:jc w:val="right"/>
                              <w:rPr>
                                <w:b/>
                                <w:sz w:val="16"/>
                              </w:rPr>
                            </w:pPr>
                            <w:r>
                              <w:rPr>
                                <w:b/>
                                <w:color w:val="FFFFFF"/>
                                <w:spacing w:val="-5"/>
                                <w:sz w:val="16"/>
                              </w:rPr>
                              <w:t>Nº</w:t>
                            </w:r>
                          </w:p>
                        </w:tc>
                        <w:tc>
                          <w:tcPr>
                            <w:tcW w:w="1098" w:type="dxa"/>
                            <w:shd w:val="clear" w:color="auto" w:fill="002D5D"/>
                          </w:tcPr>
                          <w:p>
                            <w:pPr>
                              <w:pStyle w:val="TableParagraph"/>
                              <w:spacing w:before="105"/>
                              <w:rPr>
                                <w:sz w:val="16"/>
                              </w:rPr>
                            </w:pPr>
                          </w:p>
                          <w:p>
                            <w:pPr>
                              <w:pStyle w:val="TableParagraph"/>
                              <w:spacing w:line="164" w:lineRule="exact"/>
                              <w:ind w:left="124"/>
                              <w:rPr>
                                <w:b/>
                                <w:sz w:val="16"/>
                              </w:rPr>
                            </w:pPr>
                            <w:r>
                              <w:rPr>
                                <w:b/>
                                <w:color w:val="FFFFFF"/>
                                <w:sz w:val="16"/>
                              </w:rPr>
                              <w:t>IMPORTE</w:t>
                            </w:r>
                            <w:r>
                              <w:rPr>
                                <w:b/>
                                <w:color w:val="FFFFFF"/>
                                <w:spacing w:val="-4"/>
                                <w:sz w:val="16"/>
                              </w:rPr>
                              <w:t> </w:t>
                            </w:r>
                            <w:r>
                              <w:rPr>
                                <w:b/>
                                <w:color w:val="FFFFFF"/>
                                <w:spacing w:val="-5"/>
                                <w:sz w:val="16"/>
                              </w:rPr>
                              <w:t>(€)</w:t>
                            </w:r>
                          </w:p>
                        </w:tc>
                        <w:tc>
                          <w:tcPr>
                            <w:tcW w:w="4772" w:type="dxa"/>
                            <w:gridSpan w:val="7"/>
                            <w:shd w:val="clear" w:color="auto" w:fill="002D5D"/>
                          </w:tcPr>
                          <w:p>
                            <w:pPr>
                              <w:pStyle w:val="TableParagraph"/>
                              <w:tabs>
                                <w:tab w:pos="1831" w:val="left" w:leader="none"/>
                                <w:tab w:pos="3408" w:val="left" w:leader="none"/>
                              </w:tabs>
                              <w:spacing w:line="236" w:lineRule="exact"/>
                              <w:ind w:right="87"/>
                              <w:jc w:val="right"/>
                              <w:rPr>
                                <w:b/>
                                <w:sz w:val="16"/>
                              </w:rPr>
                            </w:pPr>
                            <w:r>
                              <w:rPr>
                                <w:b/>
                                <w:color w:val="FFFFFF"/>
                                <w:spacing w:val="-2"/>
                                <w:position w:val="2"/>
                                <w:sz w:val="16"/>
                              </w:rPr>
                              <w:t>FINANCIACIÓN</w:t>
                            </w:r>
                            <w:r>
                              <w:rPr>
                                <w:b/>
                                <w:color w:val="FFFFFF"/>
                                <w:position w:val="2"/>
                                <w:sz w:val="16"/>
                              </w:rPr>
                              <w:tab/>
                            </w:r>
                            <w:r>
                              <w:rPr>
                                <w:b/>
                                <w:color w:val="FFFFFF"/>
                                <w:position w:val="11"/>
                                <w:sz w:val="16"/>
                              </w:rPr>
                              <w:t>INCIDENCIAS</w:t>
                            </w:r>
                            <w:r>
                              <w:rPr>
                                <w:b/>
                                <w:color w:val="FFFFFF"/>
                                <w:spacing w:val="-6"/>
                                <w:position w:val="11"/>
                                <w:sz w:val="16"/>
                              </w:rPr>
                              <w:t> </w:t>
                            </w:r>
                            <w:r>
                              <w:rPr>
                                <w:b/>
                                <w:color w:val="FFFFFF"/>
                                <w:position w:val="11"/>
                                <w:sz w:val="16"/>
                              </w:rPr>
                              <w:t>EN</w:t>
                            </w:r>
                            <w:r>
                              <w:rPr>
                                <w:b/>
                                <w:color w:val="FFFFFF"/>
                                <w:spacing w:val="-5"/>
                                <w:position w:val="11"/>
                                <w:sz w:val="16"/>
                              </w:rPr>
                              <w:t> LA</w:t>
                            </w:r>
                            <w:r>
                              <w:rPr>
                                <w:b/>
                                <w:color w:val="FFFFFF"/>
                                <w:position w:val="11"/>
                                <w:sz w:val="16"/>
                              </w:rPr>
                              <w:tab/>
                            </w:r>
                            <w:r>
                              <w:rPr>
                                <w:b/>
                                <w:color w:val="FFFFFF"/>
                                <w:sz w:val="16"/>
                              </w:rPr>
                              <w:t>ESTADO</w:t>
                            </w:r>
                            <w:r>
                              <w:rPr>
                                <w:b/>
                                <w:color w:val="FFFFFF"/>
                                <w:spacing w:val="-7"/>
                                <w:sz w:val="16"/>
                              </w:rPr>
                              <w:t> </w:t>
                            </w:r>
                            <w:r>
                              <w:rPr>
                                <w:b/>
                                <w:color w:val="FFFFFF"/>
                                <w:spacing w:val="-5"/>
                                <w:sz w:val="16"/>
                              </w:rPr>
                              <w:t>DE</w:t>
                            </w:r>
                          </w:p>
                          <w:p>
                            <w:pPr>
                              <w:pStyle w:val="TableParagraph"/>
                              <w:tabs>
                                <w:tab w:pos="1317" w:val="left" w:leader="none"/>
                              </w:tabs>
                              <w:spacing w:line="151" w:lineRule="auto"/>
                              <w:ind w:right="87"/>
                              <w:jc w:val="right"/>
                              <w:rPr>
                                <w:b/>
                                <w:position w:val="-10"/>
                                <w:sz w:val="16"/>
                              </w:rPr>
                            </w:pPr>
                            <w:r>
                              <w:rPr>
                                <w:b/>
                                <w:color w:val="FFFFFF"/>
                                <w:spacing w:val="-2"/>
                                <w:sz w:val="16"/>
                              </w:rPr>
                              <w:t>EJECUCIÓN</w:t>
                            </w:r>
                            <w:r>
                              <w:rPr>
                                <w:b/>
                                <w:color w:val="FFFFFF"/>
                                <w:sz w:val="16"/>
                              </w:rPr>
                              <w:tab/>
                            </w:r>
                            <w:r>
                              <w:rPr>
                                <w:b/>
                                <w:color w:val="FFFFFF"/>
                                <w:spacing w:val="-2"/>
                                <w:position w:val="-10"/>
                                <w:sz w:val="16"/>
                              </w:rPr>
                              <w:t>EJECUCIÓN</w:t>
                            </w:r>
                          </w:p>
                        </w:tc>
                      </w:tr>
                      <w:tr>
                        <w:trPr>
                          <w:trHeight w:val="292" w:hRule="atLeast"/>
                        </w:trPr>
                        <w:tc>
                          <w:tcPr>
                            <w:tcW w:w="10165" w:type="dxa"/>
                            <w:gridSpan w:val="10"/>
                            <w:shd w:val="clear" w:color="auto" w:fill="002D5D"/>
                          </w:tcPr>
                          <w:p>
                            <w:pPr>
                              <w:pStyle w:val="TableParagraph"/>
                              <w:tabs>
                                <w:tab w:pos="3358" w:val="left" w:leader="none"/>
                                <w:tab w:pos="5619" w:val="left" w:leader="none"/>
                                <w:tab w:pos="6627" w:val="left" w:leader="none"/>
                                <w:tab w:pos="7691" w:val="left" w:leader="none"/>
                                <w:tab w:pos="8094" w:val="left" w:leader="none"/>
                                <w:tab w:pos="8533" w:val="left" w:leader="none"/>
                                <w:tab w:pos="8956" w:val="left" w:leader="none"/>
                                <w:tab w:pos="9364" w:val="left" w:leader="none"/>
                              </w:tabs>
                              <w:spacing w:line="143" w:lineRule="exact"/>
                              <w:ind w:left="1872"/>
                              <w:rPr>
                                <w:b/>
                                <w:sz w:val="16"/>
                              </w:rPr>
                            </w:pPr>
                            <w:r>
                              <w:rPr>
                                <w:b/>
                                <w:color w:val="FFFFFF"/>
                                <w:spacing w:val="-2"/>
                                <w:position w:val="10"/>
                                <w:sz w:val="16"/>
                              </w:rPr>
                              <w:t>ACTUACIÓN</w:t>
                            </w:r>
                            <w:r>
                              <w:rPr>
                                <w:b/>
                                <w:color w:val="FFFFFF"/>
                                <w:position w:val="10"/>
                                <w:sz w:val="16"/>
                              </w:rPr>
                              <w:tab/>
                            </w:r>
                            <w:r>
                              <w:rPr>
                                <w:b/>
                                <w:color w:val="FFFFFF"/>
                                <w:spacing w:val="-2"/>
                                <w:sz w:val="16"/>
                              </w:rPr>
                              <w:t>ASOCIADOS</w:t>
                            </w:r>
                            <w:r>
                              <w:rPr>
                                <w:b/>
                                <w:color w:val="FFFFFF"/>
                                <w:sz w:val="16"/>
                              </w:rPr>
                              <w:tab/>
                              <w:t>Ayto.</w:t>
                            </w:r>
                            <w:r>
                              <w:rPr>
                                <w:b/>
                                <w:color w:val="FFFFFF"/>
                                <w:spacing w:val="-6"/>
                                <w:sz w:val="16"/>
                              </w:rPr>
                              <w:t> </w:t>
                            </w:r>
                            <w:r>
                              <w:rPr>
                                <w:b/>
                                <w:color w:val="FFFFFF"/>
                                <w:spacing w:val="-5"/>
                                <w:sz w:val="16"/>
                              </w:rPr>
                              <w:t>(€)</w:t>
                            </w:r>
                            <w:r>
                              <w:rPr>
                                <w:b/>
                                <w:color w:val="FFFFFF"/>
                                <w:sz w:val="16"/>
                              </w:rPr>
                              <w:tab/>
                            </w:r>
                            <w:r>
                              <w:rPr>
                                <w:b/>
                                <w:color w:val="FFFFFF"/>
                                <w:position w:val="9"/>
                                <w:sz w:val="17"/>
                              </w:rPr>
                              <w:t>PRTR </w:t>
                            </w:r>
                            <w:r>
                              <w:rPr>
                                <w:b/>
                                <w:color w:val="FFFFFF"/>
                                <w:spacing w:val="-10"/>
                                <w:position w:val="9"/>
                                <w:sz w:val="17"/>
                              </w:rPr>
                              <w:t>y</w:t>
                            </w:r>
                            <w:r>
                              <w:rPr>
                                <w:b/>
                                <w:color w:val="FFFFFF"/>
                                <w:position w:val="9"/>
                                <w:sz w:val="17"/>
                              </w:rPr>
                              <w:tab/>
                            </w:r>
                            <w:r>
                              <w:rPr>
                                <w:b/>
                                <w:color w:val="FFFFFF"/>
                                <w:spacing w:val="-10"/>
                                <w:sz w:val="16"/>
                              </w:rPr>
                              <w:t>P</w:t>
                            </w:r>
                            <w:r>
                              <w:rPr>
                                <w:b/>
                                <w:color w:val="FFFFFF"/>
                                <w:sz w:val="16"/>
                              </w:rPr>
                              <w:tab/>
                            </w:r>
                            <w:r>
                              <w:rPr>
                                <w:b/>
                                <w:color w:val="FFFFFF"/>
                                <w:spacing w:val="-10"/>
                                <w:sz w:val="16"/>
                              </w:rPr>
                              <w:t>M</w:t>
                            </w:r>
                            <w:r>
                              <w:rPr>
                                <w:b/>
                                <w:color w:val="FFFFFF"/>
                                <w:sz w:val="16"/>
                              </w:rPr>
                              <w:tab/>
                            </w:r>
                            <w:r>
                              <w:rPr>
                                <w:b/>
                                <w:color w:val="FFFFFF"/>
                                <w:spacing w:val="-10"/>
                                <w:sz w:val="16"/>
                              </w:rPr>
                              <w:t>S</w:t>
                            </w:r>
                            <w:r>
                              <w:rPr>
                                <w:b/>
                                <w:color w:val="FFFFFF"/>
                                <w:sz w:val="16"/>
                              </w:rPr>
                              <w:tab/>
                            </w:r>
                            <w:r>
                              <w:rPr>
                                <w:b/>
                                <w:color w:val="FFFFFF"/>
                                <w:spacing w:val="-10"/>
                                <w:sz w:val="16"/>
                              </w:rPr>
                              <w:t>R</w:t>
                            </w:r>
                            <w:r>
                              <w:rPr>
                                <w:b/>
                                <w:color w:val="FFFFFF"/>
                                <w:sz w:val="16"/>
                              </w:rPr>
                              <w:tab/>
                              <w:t>A</w:t>
                            </w:r>
                            <w:r>
                              <w:rPr>
                                <w:b/>
                                <w:color w:val="FFFFFF"/>
                                <w:spacing w:val="-6"/>
                                <w:sz w:val="16"/>
                              </w:rPr>
                              <w:t> </w:t>
                            </w:r>
                            <w:r>
                              <w:rPr>
                                <w:b/>
                                <w:color w:val="FFFFFF"/>
                                <w:sz w:val="16"/>
                              </w:rPr>
                              <w:t>31-12-</w:t>
                            </w:r>
                            <w:r>
                              <w:rPr>
                                <w:b/>
                                <w:color w:val="FFFFFF"/>
                                <w:spacing w:val="-5"/>
                                <w:sz w:val="16"/>
                              </w:rPr>
                              <w:t>24</w:t>
                            </w:r>
                          </w:p>
                          <w:p>
                            <w:pPr>
                              <w:pStyle w:val="TableParagraph"/>
                              <w:spacing w:line="129" w:lineRule="exact"/>
                              <w:ind w:left="6601"/>
                              <w:rPr>
                                <w:b/>
                                <w:sz w:val="17"/>
                              </w:rPr>
                            </w:pPr>
                            <w:r>
                              <w:rPr>
                                <w:b/>
                                <w:color w:val="FFFFFF"/>
                                <w:sz w:val="17"/>
                              </w:rPr>
                              <w:t>otras</w:t>
                            </w:r>
                            <w:r>
                              <w:rPr>
                                <w:b/>
                                <w:color w:val="FFFFFF"/>
                                <w:spacing w:val="-5"/>
                                <w:sz w:val="17"/>
                              </w:rPr>
                              <w:t> (€)</w:t>
                            </w:r>
                          </w:p>
                        </w:tc>
                      </w:tr>
                      <w:tr>
                        <w:trPr>
                          <w:trHeight w:val="228" w:hRule="atLeast"/>
                        </w:trPr>
                        <w:tc>
                          <w:tcPr>
                            <w:tcW w:w="10165" w:type="dxa"/>
                            <w:gridSpan w:val="10"/>
                          </w:tcPr>
                          <w:p>
                            <w:pPr>
                              <w:pStyle w:val="TableParagraph"/>
                              <w:spacing w:line="182" w:lineRule="exact"/>
                              <w:ind w:left="1339"/>
                              <w:rPr>
                                <w:sz w:val="16"/>
                              </w:rPr>
                            </w:pPr>
                            <w:r>
                              <w:rPr>
                                <w:sz w:val="16"/>
                              </w:rPr>
                              <w:t>Obras</w:t>
                            </w:r>
                            <w:r>
                              <w:rPr>
                                <w:spacing w:val="-3"/>
                                <w:sz w:val="16"/>
                              </w:rPr>
                              <w:t> </w:t>
                            </w:r>
                            <w:r>
                              <w:rPr>
                                <w:sz w:val="16"/>
                              </w:rPr>
                              <w:t>para</w:t>
                            </w:r>
                            <w:r>
                              <w:rPr>
                                <w:spacing w:val="-2"/>
                                <w:sz w:val="16"/>
                              </w:rPr>
                              <w:t> </w:t>
                            </w:r>
                            <w:r>
                              <w:rPr>
                                <w:sz w:val="16"/>
                              </w:rPr>
                              <w:t>la</w:t>
                            </w:r>
                            <w:r>
                              <w:rPr>
                                <w:spacing w:val="-3"/>
                                <w:sz w:val="16"/>
                              </w:rPr>
                              <w:t> </w:t>
                            </w:r>
                            <w:r>
                              <w:rPr>
                                <w:sz w:val="16"/>
                              </w:rPr>
                              <w:t>mejora</w:t>
                            </w:r>
                            <w:r>
                              <w:rPr>
                                <w:spacing w:val="-4"/>
                                <w:sz w:val="16"/>
                              </w:rPr>
                              <w:t> </w:t>
                            </w:r>
                            <w:r>
                              <w:rPr>
                                <w:sz w:val="16"/>
                              </w:rPr>
                              <w:t>de</w:t>
                            </w:r>
                            <w:r>
                              <w:rPr>
                                <w:spacing w:val="-2"/>
                                <w:sz w:val="16"/>
                              </w:rPr>
                              <w:t> </w:t>
                            </w:r>
                            <w:r>
                              <w:rPr>
                                <w:spacing w:val="-5"/>
                                <w:sz w:val="16"/>
                              </w:rPr>
                              <w:t>la</w:t>
                            </w:r>
                          </w:p>
                        </w:tc>
                      </w:tr>
                      <w:tr>
                        <w:trPr>
                          <w:trHeight w:val="505" w:hRule="atLeast"/>
                        </w:trPr>
                        <w:tc>
                          <w:tcPr>
                            <w:tcW w:w="1270" w:type="dxa"/>
                            <w:tcBorders>
                              <w:bottom w:val="single" w:sz="12" w:space="0" w:color="001F5F"/>
                            </w:tcBorders>
                          </w:tcPr>
                          <w:p>
                            <w:pPr>
                              <w:pStyle w:val="TableParagraph"/>
                              <w:spacing w:before="46"/>
                              <w:ind w:left="69"/>
                              <w:rPr>
                                <w:b/>
                                <w:sz w:val="16"/>
                              </w:rPr>
                            </w:pPr>
                            <w:r>
                              <w:rPr>
                                <w:b/>
                                <w:spacing w:val="-2"/>
                                <w:sz w:val="16"/>
                              </w:rPr>
                              <w:t>BILBAO</w:t>
                            </w:r>
                          </w:p>
                        </w:tc>
                        <w:tc>
                          <w:tcPr>
                            <w:tcW w:w="3025" w:type="dxa"/>
                            <w:tcBorders>
                              <w:bottom w:val="single" w:sz="12" w:space="0" w:color="001F5F"/>
                            </w:tcBorders>
                          </w:tcPr>
                          <w:p>
                            <w:pPr>
                              <w:pStyle w:val="TableParagraph"/>
                              <w:tabs>
                                <w:tab w:pos="2569" w:val="right" w:leader="none"/>
                              </w:tabs>
                              <w:spacing w:line="168" w:lineRule="auto"/>
                              <w:ind w:left="69"/>
                              <w:rPr>
                                <w:position w:val="-8"/>
                                <w:sz w:val="16"/>
                              </w:rPr>
                            </w:pPr>
                            <w:r>
                              <w:rPr>
                                <w:sz w:val="16"/>
                              </w:rPr>
                              <w:t>accesibilidad</w:t>
                            </w:r>
                            <w:r>
                              <w:rPr>
                                <w:spacing w:val="-5"/>
                                <w:sz w:val="16"/>
                              </w:rPr>
                              <w:t> </w:t>
                            </w:r>
                            <w:r>
                              <w:rPr>
                                <w:sz w:val="16"/>
                              </w:rPr>
                              <w:t>de</w:t>
                            </w:r>
                            <w:r>
                              <w:rPr>
                                <w:spacing w:val="-4"/>
                                <w:sz w:val="16"/>
                              </w:rPr>
                              <w:t> </w:t>
                            </w:r>
                            <w:r>
                              <w:rPr>
                                <w:sz w:val="16"/>
                              </w:rPr>
                              <w:t>los</w:t>
                            </w:r>
                            <w:r>
                              <w:rPr>
                                <w:spacing w:val="-4"/>
                                <w:sz w:val="16"/>
                              </w:rPr>
                              <w:t> </w:t>
                            </w:r>
                            <w:r>
                              <w:rPr>
                                <w:spacing w:val="-2"/>
                                <w:sz w:val="16"/>
                              </w:rPr>
                              <w:t>espacios</w:t>
                            </w:r>
                            <w:r>
                              <w:rPr>
                                <w:sz w:val="16"/>
                              </w:rPr>
                              <w:tab/>
                            </w:r>
                            <w:r>
                              <w:rPr>
                                <w:spacing w:val="-12"/>
                                <w:position w:val="-8"/>
                                <w:sz w:val="16"/>
                              </w:rPr>
                              <w:t>2</w:t>
                            </w:r>
                          </w:p>
                          <w:p>
                            <w:pPr>
                              <w:pStyle w:val="TableParagraph"/>
                              <w:spacing w:line="163" w:lineRule="exact" w:before="103"/>
                              <w:ind w:left="69"/>
                              <w:rPr>
                                <w:sz w:val="16"/>
                              </w:rPr>
                            </w:pPr>
                            <w:r>
                              <w:rPr>
                                <w:spacing w:val="-2"/>
                                <w:sz w:val="16"/>
                              </w:rPr>
                              <w:t>Bilbobus</w:t>
                            </w:r>
                          </w:p>
                        </w:tc>
                        <w:tc>
                          <w:tcPr>
                            <w:tcW w:w="1098" w:type="dxa"/>
                            <w:tcBorders>
                              <w:bottom w:val="single" w:sz="12" w:space="0" w:color="001F5F"/>
                            </w:tcBorders>
                          </w:tcPr>
                          <w:p>
                            <w:pPr>
                              <w:pStyle w:val="TableParagraph"/>
                              <w:spacing w:before="46"/>
                              <w:ind w:right="72"/>
                              <w:jc w:val="right"/>
                              <w:rPr>
                                <w:sz w:val="16"/>
                              </w:rPr>
                            </w:pPr>
                            <w:r>
                              <w:rPr>
                                <w:spacing w:val="-2"/>
                                <w:sz w:val="16"/>
                              </w:rPr>
                              <w:t>493.443,59</w:t>
                            </w:r>
                          </w:p>
                        </w:tc>
                        <w:tc>
                          <w:tcPr>
                            <w:tcW w:w="1083" w:type="dxa"/>
                            <w:tcBorders>
                              <w:bottom w:val="single" w:sz="12" w:space="0" w:color="001F5F"/>
                            </w:tcBorders>
                          </w:tcPr>
                          <w:p>
                            <w:pPr>
                              <w:pStyle w:val="TableParagraph"/>
                              <w:spacing w:before="46"/>
                              <w:ind w:right="164"/>
                              <w:jc w:val="right"/>
                              <w:rPr>
                                <w:sz w:val="16"/>
                              </w:rPr>
                            </w:pPr>
                            <w:r>
                              <w:rPr>
                                <w:spacing w:val="-2"/>
                                <w:sz w:val="16"/>
                              </w:rPr>
                              <w:t>493.443,59</w:t>
                            </w:r>
                          </w:p>
                        </w:tc>
                        <w:tc>
                          <w:tcPr>
                            <w:tcW w:w="992" w:type="dxa"/>
                            <w:tcBorders>
                              <w:bottom w:val="single" w:sz="12" w:space="0" w:color="001F5F"/>
                            </w:tcBorders>
                          </w:tcPr>
                          <w:p>
                            <w:pPr>
                              <w:pStyle w:val="TableParagraph"/>
                              <w:spacing w:before="46"/>
                              <w:ind w:right="161"/>
                              <w:jc w:val="right"/>
                              <w:rPr>
                                <w:sz w:val="16"/>
                              </w:rPr>
                            </w:pPr>
                            <w:r>
                              <w:rPr>
                                <w:spacing w:val="-4"/>
                                <w:sz w:val="16"/>
                              </w:rPr>
                              <w:t>0,00</w:t>
                            </w:r>
                          </w:p>
                        </w:tc>
                        <w:tc>
                          <w:tcPr>
                            <w:tcW w:w="472" w:type="dxa"/>
                            <w:tcBorders>
                              <w:bottom w:val="single" w:sz="12" w:space="0" w:color="001F5F"/>
                            </w:tcBorders>
                          </w:tcPr>
                          <w:p>
                            <w:pPr>
                              <w:pStyle w:val="TableParagraph"/>
                              <w:spacing w:before="46"/>
                              <w:ind w:left="64" w:right="1"/>
                              <w:jc w:val="center"/>
                              <w:rPr>
                                <w:sz w:val="16"/>
                              </w:rPr>
                            </w:pPr>
                            <w:r>
                              <w:rPr>
                                <w:color w:val="5E89B4"/>
                                <w:spacing w:val="-5"/>
                                <w:sz w:val="16"/>
                              </w:rPr>
                              <w:t>NO</w:t>
                            </w:r>
                          </w:p>
                        </w:tc>
                        <w:tc>
                          <w:tcPr>
                            <w:tcW w:w="420" w:type="dxa"/>
                            <w:tcBorders>
                              <w:bottom w:val="single" w:sz="12" w:space="0" w:color="001F5F"/>
                            </w:tcBorders>
                          </w:tcPr>
                          <w:p>
                            <w:pPr>
                              <w:pStyle w:val="TableParagraph"/>
                              <w:spacing w:before="46"/>
                              <w:ind w:left="2"/>
                              <w:jc w:val="center"/>
                              <w:rPr>
                                <w:sz w:val="16"/>
                              </w:rPr>
                            </w:pPr>
                            <w:r>
                              <w:rPr>
                                <w:color w:val="5E89B4"/>
                                <w:spacing w:val="-5"/>
                                <w:sz w:val="16"/>
                              </w:rPr>
                              <w:t>NO</w:t>
                            </w:r>
                          </w:p>
                        </w:tc>
                        <w:tc>
                          <w:tcPr>
                            <w:tcW w:w="425" w:type="dxa"/>
                            <w:tcBorders>
                              <w:bottom w:val="single" w:sz="12" w:space="0" w:color="001F5F"/>
                            </w:tcBorders>
                          </w:tcPr>
                          <w:p>
                            <w:pPr>
                              <w:pStyle w:val="TableParagraph"/>
                              <w:spacing w:before="46"/>
                              <w:ind w:left="11"/>
                              <w:jc w:val="center"/>
                              <w:rPr>
                                <w:sz w:val="16"/>
                              </w:rPr>
                            </w:pPr>
                            <w:r>
                              <w:rPr>
                                <w:color w:val="5E89B4"/>
                                <w:spacing w:val="-5"/>
                                <w:sz w:val="16"/>
                              </w:rPr>
                              <w:t>NO</w:t>
                            </w:r>
                          </w:p>
                        </w:tc>
                        <w:tc>
                          <w:tcPr>
                            <w:tcW w:w="402" w:type="dxa"/>
                            <w:tcBorders>
                              <w:bottom w:val="single" w:sz="12" w:space="0" w:color="001F5F"/>
                            </w:tcBorders>
                          </w:tcPr>
                          <w:p>
                            <w:pPr>
                              <w:pStyle w:val="TableParagraph"/>
                              <w:spacing w:before="46"/>
                              <w:ind w:left="34"/>
                              <w:jc w:val="center"/>
                              <w:rPr>
                                <w:sz w:val="16"/>
                              </w:rPr>
                            </w:pPr>
                            <w:r>
                              <w:rPr>
                                <w:color w:val="5E89B4"/>
                                <w:spacing w:val="-5"/>
                                <w:sz w:val="16"/>
                              </w:rPr>
                              <w:t>NO</w:t>
                            </w:r>
                          </w:p>
                        </w:tc>
                        <w:tc>
                          <w:tcPr>
                            <w:tcW w:w="978" w:type="dxa"/>
                            <w:tcBorders>
                              <w:bottom w:val="single" w:sz="12" w:space="0" w:color="001F5F"/>
                            </w:tcBorders>
                          </w:tcPr>
                          <w:p>
                            <w:pPr>
                              <w:pStyle w:val="TableParagraph"/>
                              <w:spacing w:before="46"/>
                              <w:ind w:left="59" w:right="26"/>
                              <w:jc w:val="center"/>
                              <w:rPr>
                                <w:sz w:val="16"/>
                              </w:rPr>
                            </w:pPr>
                            <w:r>
                              <w:rPr>
                                <w:spacing w:val="-2"/>
                                <w:sz w:val="16"/>
                              </w:rPr>
                              <w:t>Finalizada</w:t>
                            </w:r>
                          </w:p>
                        </w:tc>
                      </w:tr>
                      <w:tr>
                        <w:trPr>
                          <w:trHeight w:val="368" w:hRule="atLeast"/>
                        </w:trPr>
                        <w:tc>
                          <w:tcPr>
                            <w:tcW w:w="1270" w:type="dxa"/>
                            <w:tcBorders>
                              <w:top w:val="single" w:sz="12" w:space="0" w:color="001F5F"/>
                            </w:tcBorders>
                          </w:tcPr>
                          <w:p>
                            <w:pPr>
                              <w:pStyle w:val="TableParagraph"/>
                              <w:rPr>
                                <w:rFonts w:ascii="Times New Roman"/>
                                <w:sz w:val="16"/>
                              </w:rPr>
                            </w:pPr>
                          </w:p>
                        </w:tc>
                        <w:tc>
                          <w:tcPr>
                            <w:tcW w:w="3025" w:type="dxa"/>
                            <w:tcBorders>
                              <w:top w:val="single" w:sz="12" w:space="0" w:color="001F5F"/>
                              <w:bottom w:val="single" w:sz="4" w:space="0" w:color="001F5F"/>
                            </w:tcBorders>
                          </w:tcPr>
                          <w:p>
                            <w:pPr>
                              <w:pStyle w:val="TableParagraph"/>
                              <w:tabs>
                                <w:tab w:pos="2500" w:val="right" w:leader="none"/>
                              </w:tabs>
                              <w:ind w:right="453"/>
                              <w:jc w:val="right"/>
                              <w:rPr>
                                <w:position w:val="-8"/>
                                <w:sz w:val="16"/>
                              </w:rPr>
                            </w:pPr>
                            <w:r>
                              <w:rPr>
                                <w:sz w:val="16"/>
                              </w:rPr>
                              <w:t>Instalación</w:t>
                            </w:r>
                            <w:r>
                              <w:rPr>
                                <w:spacing w:val="-9"/>
                                <w:sz w:val="16"/>
                              </w:rPr>
                              <w:t> </w:t>
                            </w:r>
                            <w:r>
                              <w:rPr>
                                <w:spacing w:val="-2"/>
                                <w:sz w:val="16"/>
                              </w:rPr>
                              <w:t>pavimento</w:t>
                            </w:r>
                            <w:r>
                              <w:rPr>
                                <w:sz w:val="16"/>
                              </w:rPr>
                              <w:tab/>
                            </w:r>
                            <w:r>
                              <w:rPr>
                                <w:spacing w:val="-10"/>
                                <w:position w:val="-8"/>
                                <w:sz w:val="16"/>
                              </w:rPr>
                              <w:t>3</w:t>
                            </w:r>
                          </w:p>
                        </w:tc>
                        <w:tc>
                          <w:tcPr>
                            <w:tcW w:w="1098" w:type="dxa"/>
                            <w:tcBorders>
                              <w:top w:val="single" w:sz="12" w:space="0" w:color="001F5F"/>
                              <w:bottom w:val="single" w:sz="4" w:space="0" w:color="002D5D"/>
                            </w:tcBorders>
                          </w:tcPr>
                          <w:p>
                            <w:pPr>
                              <w:pStyle w:val="TableParagraph"/>
                              <w:spacing w:before="92"/>
                              <w:ind w:right="72"/>
                              <w:jc w:val="right"/>
                              <w:rPr>
                                <w:sz w:val="16"/>
                              </w:rPr>
                            </w:pPr>
                            <w:r>
                              <w:rPr>
                                <w:spacing w:val="-2"/>
                                <w:sz w:val="16"/>
                              </w:rPr>
                              <w:t>2.553,62</w:t>
                            </w:r>
                          </w:p>
                        </w:tc>
                        <w:tc>
                          <w:tcPr>
                            <w:tcW w:w="1083" w:type="dxa"/>
                            <w:tcBorders>
                              <w:top w:val="single" w:sz="12" w:space="0" w:color="001F5F"/>
                              <w:bottom w:val="single" w:sz="4" w:space="0" w:color="002D5D"/>
                            </w:tcBorders>
                          </w:tcPr>
                          <w:p>
                            <w:pPr>
                              <w:pStyle w:val="TableParagraph"/>
                              <w:spacing w:before="92"/>
                              <w:ind w:right="164"/>
                              <w:jc w:val="right"/>
                              <w:rPr>
                                <w:sz w:val="16"/>
                              </w:rPr>
                            </w:pPr>
                            <w:r>
                              <w:rPr>
                                <w:spacing w:val="-2"/>
                                <w:sz w:val="16"/>
                              </w:rPr>
                              <w:t>2.553,62</w:t>
                            </w:r>
                          </w:p>
                        </w:tc>
                        <w:tc>
                          <w:tcPr>
                            <w:tcW w:w="992" w:type="dxa"/>
                            <w:tcBorders>
                              <w:top w:val="single" w:sz="12" w:space="0" w:color="001F5F"/>
                              <w:bottom w:val="single" w:sz="4" w:space="0" w:color="000000"/>
                            </w:tcBorders>
                          </w:tcPr>
                          <w:p>
                            <w:pPr>
                              <w:pStyle w:val="TableParagraph"/>
                              <w:spacing w:before="92"/>
                              <w:ind w:right="161"/>
                              <w:jc w:val="right"/>
                              <w:rPr>
                                <w:sz w:val="16"/>
                              </w:rPr>
                            </w:pPr>
                            <w:r>
                              <w:rPr>
                                <w:spacing w:val="-4"/>
                                <w:sz w:val="16"/>
                              </w:rPr>
                              <w:t>0,00</w:t>
                            </w:r>
                          </w:p>
                        </w:tc>
                        <w:tc>
                          <w:tcPr>
                            <w:tcW w:w="472" w:type="dxa"/>
                            <w:tcBorders>
                              <w:top w:val="single" w:sz="12" w:space="0" w:color="001F5F"/>
                              <w:bottom w:val="single" w:sz="4" w:space="0" w:color="002D5D"/>
                            </w:tcBorders>
                          </w:tcPr>
                          <w:p>
                            <w:pPr>
                              <w:pStyle w:val="TableParagraph"/>
                              <w:spacing w:before="92"/>
                              <w:ind w:left="64"/>
                              <w:jc w:val="center"/>
                              <w:rPr>
                                <w:sz w:val="16"/>
                              </w:rPr>
                            </w:pPr>
                            <w:r>
                              <w:rPr>
                                <w:color w:val="5E89B4"/>
                                <w:spacing w:val="-5"/>
                                <w:sz w:val="16"/>
                              </w:rPr>
                              <w:t>NO</w:t>
                            </w:r>
                          </w:p>
                        </w:tc>
                        <w:tc>
                          <w:tcPr>
                            <w:tcW w:w="420" w:type="dxa"/>
                            <w:tcBorders>
                              <w:top w:val="single" w:sz="12" w:space="0" w:color="001F5F"/>
                              <w:bottom w:val="single" w:sz="4" w:space="0" w:color="002D5D"/>
                            </w:tcBorders>
                          </w:tcPr>
                          <w:p>
                            <w:pPr>
                              <w:pStyle w:val="TableParagraph"/>
                              <w:spacing w:before="92"/>
                              <w:ind w:left="2"/>
                              <w:jc w:val="center"/>
                              <w:rPr>
                                <w:sz w:val="16"/>
                              </w:rPr>
                            </w:pPr>
                            <w:r>
                              <w:rPr>
                                <w:color w:val="5E89B4"/>
                                <w:spacing w:val="-5"/>
                                <w:sz w:val="16"/>
                              </w:rPr>
                              <w:t>NO</w:t>
                            </w:r>
                          </w:p>
                        </w:tc>
                        <w:tc>
                          <w:tcPr>
                            <w:tcW w:w="425" w:type="dxa"/>
                            <w:tcBorders>
                              <w:top w:val="single" w:sz="12" w:space="0" w:color="001F5F"/>
                              <w:bottom w:val="single" w:sz="4" w:space="0" w:color="002D5D"/>
                            </w:tcBorders>
                          </w:tcPr>
                          <w:p>
                            <w:pPr>
                              <w:pStyle w:val="TableParagraph"/>
                              <w:spacing w:before="92"/>
                              <w:ind w:left="11"/>
                              <w:jc w:val="center"/>
                              <w:rPr>
                                <w:sz w:val="16"/>
                              </w:rPr>
                            </w:pPr>
                            <w:r>
                              <w:rPr>
                                <w:color w:val="5E89B4"/>
                                <w:spacing w:val="-5"/>
                                <w:sz w:val="16"/>
                              </w:rPr>
                              <w:t>NO</w:t>
                            </w:r>
                          </w:p>
                        </w:tc>
                        <w:tc>
                          <w:tcPr>
                            <w:tcW w:w="402" w:type="dxa"/>
                            <w:tcBorders>
                              <w:top w:val="single" w:sz="12" w:space="0" w:color="001F5F"/>
                              <w:bottom w:val="single" w:sz="4" w:space="0" w:color="002D5D"/>
                            </w:tcBorders>
                          </w:tcPr>
                          <w:p>
                            <w:pPr>
                              <w:pStyle w:val="TableParagraph"/>
                              <w:spacing w:before="92"/>
                              <w:ind w:left="34"/>
                              <w:jc w:val="center"/>
                              <w:rPr>
                                <w:sz w:val="16"/>
                              </w:rPr>
                            </w:pPr>
                            <w:r>
                              <w:rPr>
                                <w:color w:val="5E89B4"/>
                                <w:spacing w:val="-5"/>
                                <w:sz w:val="16"/>
                              </w:rPr>
                              <w:t>NO</w:t>
                            </w:r>
                          </w:p>
                        </w:tc>
                        <w:tc>
                          <w:tcPr>
                            <w:tcW w:w="978" w:type="dxa"/>
                            <w:tcBorders>
                              <w:top w:val="single" w:sz="12" w:space="0" w:color="001F5F"/>
                              <w:bottom w:val="single" w:sz="4" w:space="0" w:color="002D5D"/>
                            </w:tcBorders>
                          </w:tcPr>
                          <w:p>
                            <w:pPr>
                              <w:pStyle w:val="TableParagraph"/>
                              <w:spacing w:before="92"/>
                              <w:ind w:left="59" w:right="26"/>
                              <w:jc w:val="center"/>
                              <w:rPr>
                                <w:sz w:val="16"/>
                              </w:rPr>
                            </w:pPr>
                            <w:r>
                              <w:rPr>
                                <w:spacing w:val="-2"/>
                                <w:sz w:val="16"/>
                              </w:rPr>
                              <w:t>Finalizada</w:t>
                            </w:r>
                          </w:p>
                        </w:tc>
                      </w:tr>
                      <w:tr>
                        <w:trPr>
                          <w:trHeight w:val="551" w:hRule="atLeast"/>
                        </w:trPr>
                        <w:tc>
                          <w:tcPr>
                            <w:tcW w:w="1270" w:type="dxa"/>
                            <w:tcBorders>
                              <w:bottom w:val="single" w:sz="12" w:space="0" w:color="001F5F"/>
                            </w:tcBorders>
                          </w:tcPr>
                          <w:p>
                            <w:pPr>
                              <w:pStyle w:val="TableParagraph"/>
                              <w:spacing w:line="177" w:lineRule="exact"/>
                              <w:ind w:left="69"/>
                              <w:rPr>
                                <w:b/>
                                <w:sz w:val="16"/>
                              </w:rPr>
                            </w:pPr>
                            <w:r>
                              <w:rPr>
                                <w:b/>
                                <w:spacing w:val="-2"/>
                                <w:sz w:val="16"/>
                              </w:rPr>
                              <w:t>CÓRDOBA</w:t>
                            </w:r>
                          </w:p>
                        </w:tc>
                        <w:tc>
                          <w:tcPr>
                            <w:tcW w:w="3025" w:type="dxa"/>
                            <w:tcBorders>
                              <w:top w:val="single" w:sz="4" w:space="0" w:color="001F5F"/>
                              <w:bottom w:val="single" w:sz="12" w:space="0" w:color="001F5F"/>
                            </w:tcBorders>
                          </w:tcPr>
                          <w:p>
                            <w:pPr>
                              <w:pStyle w:val="TableParagraph"/>
                              <w:spacing w:line="182" w:lineRule="exact"/>
                              <w:ind w:left="69"/>
                              <w:rPr>
                                <w:sz w:val="16"/>
                              </w:rPr>
                            </w:pPr>
                            <w:r>
                              <w:rPr>
                                <w:sz w:val="16"/>
                              </w:rPr>
                              <w:t>Suministro</w:t>
                            </w:r>
                            <w:r>
                              <w:rPr>
                                <w:spacing w:val="-5"/>
                                <w:sz w:val="16"/>
                              </w:rPr>
                              <w:t> </w:t>
                            </w:r>
                            <w:r>
                              <w:rPr>
                                <w:sz w:val="16"/>
                              </w:rPr>
                              <w:t>e</w:t>
                            </w:r>
                            <w:r>
                              <w:rPr>
                                <w:spacing w:val="-5"/>
                                <w:sz w:val="16"/>
                              </w:rPr>
                              <w:t> </w:t>
                            </w:r>
                            <w:r>
                              <w:rPr>
                                <w:sz w:val="16"/>
                              </w:rPr>
                              <w:t>instalación</w:t>
                            </w:r>
                            <w:r>
                              <w:rPr>
                                <w:spacing w:val="-4"/>
                                <w:sz w:val="16"/>
                              </w:rPr>
                              <w:t> </w:t>
                            </w:r>
                            <w:r>
                              <w:rPr>
                                <w:spacing w:val="-5"/>
                                <w:sz w:val="16"/>
                              </w:rPr>
                              <w:t>de</w:t>
                            </w:r>
                          </w:p>
                          <w:p>
                            <w:pPr>
                              <w:pStyle w:val="TableParagraph"/>
                              <w:tabs>
                                <w:tab w:pos="2569" w:val="right" w:leader="none"/>
                              </w:tabs>
                              <w:spacing w:line="183" w:lineRule="exact" w:before="2"/>
                              <w:ind w:left="69"/>
                              <w:rPr>
                                <w:sz w:val="16"/>
                              </w:rPr>
                            </w:pPr>
                            <w:r>
                              <w:rPr>
                                <w:sz w:val="16"/>
                              </w:rPr>
                              <w:t>marquesinas</w:t>
                            </w:r>
                            <w:r>
                              <w:rPr>
                                <w:spacing w:val="-6"/>
                                <w:sz w:val="16"/>
                              </w:rPr>
                              <w:t> </w:t>
                            </w:r>
                            <w:r>
                              <w:rPr>
                                <w:sz w:val="16"/>
                              </w:rPr>
                              <w:t>en</w:t>
                            </w:r>
                            <w:r>
                              <w:rPr>
                                <w:spacing w:val="-5"/>
                                <w:sz w:val="16"/>
                              </w:rPr>
                              <w:t> </w:t>
                            </w:r>
                            <w:r>
                              <w:rPr>
                                <w:spacing w:val="-2"/>
                                <w:sz w:val="16"/>
                              </w:rPr>
                              <w:t>barriadas</w:t>
                            </w:r>
                            <w:r>
                              <w:rPr>
                                <w:sz w:val="16"/>
                              </w:rPr>
                              <w:tab/>
                            </w:r>
                            <w:r>
                              <w:rPr>
                                <w:spacing w:val="-12"/>
                                <w:sz w:val="16"/>
                              </w:rPr>
                              <w:t>1</w:t>
                            </w:r>
                          </w:p>
                          <w:p>
                            <w:pPr>
                              <w:pStyle w:val="TableParagraph"/>
                              <w:spacing w:line="165" w:lineRule="exact"/>
                              <w:ind w:left="69"/>
                              <w:rPr>
                                <w:sz w:val="16"/>
                              </w:rPr>
                            </w:pPr>
                            <w:r>
                              <w:rPr>
                                <w:spacing w:val="-2"/>
                                <w:sz w:val="16"/>
                              </w:rPr>
                              <w:t>periféricas</w:t>
                            </w:r>
                          </w:p>
                        </w:tc>
                        <w:tc>
                          <w:tcPr>
                            <w:tcW w:w="1098" w:type="dxa"/>
                            <w:tcBorders>
                              <w:top w:val="single" w:sz="4" w:space="0" w:color="002D5D"/>
                              <w:bottom w:val="single" w:sz="12" w:space="0" w:color="001F5F"/>
                            </w:tcBorders>
                          </w:tcPr>
                          <w:p>
                            <w:pPr>
                              <w:pStyle w:val="TableParagraph"/>
                              <w:rPr>
                                <w:sz w:val="16"/>
                              </w:rPr>
                            </w:pPr>
                          </w:p>
                          <w:p>
                            <w:pPr>
                              <w:pStyle w:val="TableParagraph"/>
                              <w:ind w:right="72"/>
                              <w:jc w:val="right"/>
                              <w:rPr>
                                <w:sz w:val="16"/>
                              </w:rPr>
                            </w:pPr>
                            <w:r>
                              <w:rPr>
                                <w:spacing w:val="-2"/>
                                <w:sz w:val="16"/>
                              </w:rPr>
                              <w:t>14.750,00</w:t>
                            </w:r>
                          </w:p>
                        </w:tc>
                        <w:tc>
                          <w:tcPr>
                            <w:tcW w:w="1083" w:type="dxa"/>
                            <w:tcBorders>
                              <w:top w:val="single" w:sz="4" w:space="0" w:color="002D5D"/>
                              <w:bottom w:val="single" w:sz="12" w:space="0" w:color="001F5F"/>
                            </w:tcBorders>
                          </w:tcPr>
                          <w:p>
                            <w:pPr>
                              <w:pStyle w:val="TableParagraph"/>
                              <w:rPr>
                                <w:sz w:val="16"/>
                              </w:rPr>
                            </w:pPr>
                          </w:p>
                          <w:p>
                            <w:pPr>
                              <w:pStyle w:val="TableParagraph"/>
                              <w:ind w:right="164"/>
                              <w:jc w:val="right"/>
                              <w:rPr>
                                <w:sz w:val="16"/>
                              </w:rPr>
                            </w:pPr>
                            <w:r>
                              <w:rPr>
                                <w:spacing w:val="-4"/>
                                <w:sz w:val="16"/>
                              </w:rPr>
                              <w:t>0,00</w:t>
                            </w:r>
                          </w:p>
                        </w:tc>
                        <w:tc>
                          <w:tcPr>
                            <w:tcW w:w="992" w:type="dxa"/>
                            <w:tcBorders>
                              <w:top w:val="single" w:sz="4" w:space="0" w:color="000000"/>
                              <w:bottom w:val="single" w:sz="12" w:space="0" w:color="001F5F"/>
                            </w:tcBorders>
                          </w:tcPr>
                          <w:p>
                            <w:pPr>
                              <w:pStyle w:val="TableParagraph"/>
                              <w:rPr>
                                <w:sz w:val="16"/>
                              </w:rPr>
                            </w:pPr>
                          </w:p>
                          <w:p>
                            <w:pPr>
                              <w:pStyle w:val="TableParagraph"/>
                              <w:ind w:right="162"/>
                              <w:jc w:val="right"/>
                              <w:rPr>
                                <w:sz w:val="16"/>
                              </w:rPr>
                            </w:pPr>
                            <w:r>
                              <w:rPr>
                                <w:spacing w:val="-2"/>
                                <w:sz w:val="16"/>
                              </w:rPr>
                              <w:t>14.750,00</w:t>
                            </w:r>
                          </w:p>
                        </w:tc>
                        <w:tc>
                          <w:tcPr>
                            <w:tcW w:w="472" w:type="dxa"/>
                            <w:tcBorders>
                              <w:top w:val="single" w:sz="4" w:space="0" w:color="002D5D"/>
                              <w:bottom w:val="single" w:sz="12" w:space="0" w:color="001F5F"/>
                            </w:tcBorders>
                          </w:tcPr>
                          <w:p>
                            <w:pPr>
                              <w:pStyle w:val="TableParagraph"/>
                              <w:rPr>
                                <w:sz w:val="16"/>
                              </w:rPr>
                            </w:pPr>
                          </w:p>
                          <w:p>
                            <w:pPr>
                              <w:pStyle w:val="TableParagraph"/>
                              <w:ind w:left="64"/>
                              <w:jc w:val="center"/>
                              <w:rPr>
                                <w:sz w:val="16"/>
                              </w:rPr>
                            </w:pPr>
                            <w:r>
                              <w:rPr>
                                <w:color w:val="5E89B4"/>
                                <w:spacing w:val="-5"/>
                                <w:sz w:val="16"/>
                              </w:rPr>
                              <w:t>NO</w:t>
                            </w:r>
                          </w:p>
                        </w:tc>
                        <w:tc>
                          <w:tcPr>
                            <w:tcW w:w="420" w:type="dxa"/>
                            <w:tcBorders>
                              <w:top w:val="single" w:sz="4" w:space="0" w:color="002D5D"/>
                              <w:bottom w:val="single" w:sz="12" w:space="0" w:color="001F5F"/>
                            </w:tcBorders>
                          </w:tcPr>
                          <w:p>
                            <w:pPr>
                              <w:pStyle w:val="TableParagraph"/>
                              <w:rPr>
                                <w:sz w:val="16"/>
                              </w:rPr>
                            </w:pPr>
                          </w:p>
                          <w:p>
                            <w:pPr>
                              <w:pStyle w:val="TableParagraph"/>
                              <w:ind w:left="2"/>
                              <w:jc w:val="center"/>
                              <w:rPr>
                                <w:sz w:val="16"/>
                              </w:rPr>
                            </w:pPr>
                            <w:r>
                              <w:rPr>
                                <w:color w:val="5E89B4"/>
                                <w:spacing w:val="-5"/>
                                <w:sz w:val="16"/>
                              </w:rPr>
                              <w:t>NO</w:t>
                            </w:r>
                          </w:p>
                        </w:tc>
                        <w:tc>
                          <w:tcPr>
                            <w:tcW w:w="425" w:type="dxa"/>
                            <w:tcBorders>
                              <w:top w:val="single" w:sz="4" w:space="0" w:color="002D5D"/>
                              <w:bottom w:val="single" w:sz="12" w:space="0" w:color="001F5F"/>
                            </w:tcBorders>
                          </w:tcPr>
                          <w:p>
                            <w:pPr>
                              <w:pStyle w:val="TableParagraph"/>
                              <w:rPr>
                                <w:sz w:val="16"/>
                              </w:rPr>
                            </w:pPr>
                          </w:p>
                          <w:p>
                            <w:pPr>
                              <w:pStyle w:val="TableParagraph"/>
                              <w:ind w:left="11"/>
                              <w:jc w:val="center"/>
                              <w:rPr>
                                <w:sz w:val="16"/>
                              </w:rPr>
                            </w:pPr>
                            <w:r>
                              <w:rPr>
                                <w:color w:val="5E89B4"/>
                                <w:spacing w:val="-5"/>
                                <w:sz w:val="16"/>
                              </w:rPr>
                              <w:t>NO</w:t>
                            </w:r>
                          </w:p>
                        </w:tc>
                        <w:tc>
                          <w:tcPr>
                            <w:tcW w:w="402" w:type="dxa"/>
                            <w:tcBorders>
                              <w:top w:val="single" w:sz="4" w:space="0" w:color="002D5D"/>
                              <w:bottom w:val="single" w:sz="12" w:space="0" w:color="001F5F"/>
                            </w:tcBorders>
                          </w:tcPr>
                          <w:p>
                            <w:pPr>
                              <w:pStyle w:val="TableParagraph"/>
                              <w:rPr>
                                <w:sz w:val="16"/>
                              </w:rPr>
                            </w:pPr>
                          </w:p>
                          <w:p>
                            <w:pPr>
                              <w:pStyle w:val="TableParagraph"/>
                              <w:ind w:left="34"/>
                              <w:jc w:val="center"/>
                              <w:rPr>
                                <w:sz w:val="16"/>
                              </w:rPr>
                            </w:pPr>
                            <w:r>
                              <w:rPr>
                                <w:color w:val="5E89B4"/>
                                <w:spacing w:val="-5"/>
                                <w:sz w:val="16"/>
                              </w:rPr>
                              <w:t>NO</w:t>
                            </w:r>
                          </w:p>
                        </w:tc>
                        <w:tc>
                          <w:tcPr>
                            <w:tcW w:w="978" w:type="dxa"/>
                            <w:tcBorders>
                              <w:top w:val="single" w:sz="4" w:space="0" w:color="002D5D"/>
                              <w:bottom w:val="single" w:sz="12" w:space="0" w:color="001F5F"/>
                            </w:tcBorders>
                          </w:tcPr>
                          <w:p>
                            <w:pPr>
                              <w:pStyle w:val="TableParagraph"/>
                              <w:rPr>
                                <w:sz w:val="16"/>
                              </w:rPr>
                            </w:pPr>
                          </w:p>
                          <w:p>
                            <w:pPr>
                              <w:pStyle w:val="TableParagraph"/>
                              <w:ind w:left="59" w:right="26"/>
                              <w:jc w:val="center"/>
                              <w:rPr>
                                <w:sz w:val="16"/>
                              </w:rPr>
                            </w:pPr>
                            <w:r>
                              <w:rPr>
                                <w:spacing w:val="-2"/>
                                <w:sz w:val="16"/>
                              </w:rPr>
                              <w:t>Finalizada</w:t>
                            </w:r>
                          </w:p>
                        </w:tc>
                      </w:tr>
                      <w:tr>
                        <w:trPr>
                          <w:trHeight w:val="551" w:hRule="atLeast"/>
                        </w:trPr>
                        <w:tc>
                          <w:tcPr>
                            <w:tcW w:w="1270" w:type="dxa"/>
                            <w:tcBorders>
                              <w:top w:val="single" w:sz="12" w:space="0" w:color="001F5F"/>
                            </w:tcBorders>
                          </w:tcPr>
                          <w:p>
                            <w:pPr>
                              <w:pStyle w:val="TableParagraph"/>
                              <w:rPr>
                                <w:rFonts w:ascii="Times New Roman"/>
                                <w:sz w:val="16"/>
                              </w:rPr>
                            </w:pPr>
                          </w:p>
                        </w:tc>
                        <w:tc>
                          <w:tcPr>
                            <w:tcW w:w="3025" w:type="dxa"/>
                            <w:tcBorders>
                              <w:top w:val="single" w:sz="12" w:space="0" w:color="001F5F"/>
                              <w:bottom w:val="single" w:sz="4" w:space="0" w:color="001F5F"/>
                            </w:tcBorders>
                          </w:tcPr>
                          <w:p>
                            <w:pPr>
                              <w:pStyle w:val="TableParagraph"/>
                              <w:spacing w:line="182" w:lineRule="exact"/>
                              <w:ind w:left="69"/>
                              <w:rPr>
                                <w:sz w:val="16"/>
                              </w:rPr>
                            </w:pPr>
                            <w:r>
                              <w:rPr>
                                <w:spacing w:val="-2"/>
                                <w:sz w:val="16"/>
                              </w:rPr>
                              <w:t>Diseño,</w:t>
                            </w:r>
                            <w:r>
                              <w:rPr>
                                <w:spacing w:val="22"/>
                                <w:sz w:val="16"/>
                              </w:rPr>
                              <w:t> </w:t>
                            </w:r>
                            <w:r>
                              <w:rPr>
                                <w:spacing w:val="-2"/>
                                <w:sz w:val="16"/>
                              </w:rPr>
                              <w:t>suministro-fabricación,</w:t>
                            </w:r>
                          </w:p>
                          <w:p>
                            <w:pPr>
                              <w:pStyle w:val="TableParagraph"/>
                              <w:tabs>
                                <w:tab w:pos="2569" w:val="right" w:leader="none"/>
                              </w:tabs>
                              <w:spacing w:line="183" w:lineRule="exact" w:before="1"/>
                              <w:ind w:left="69"/>
                              <w:rPr>
                                <w:sz w:val="16"/>
                              </w:rPr>
                            </w:pPr>
                            <w:r>
                              <w:rPr>
                                <w:sz w:val="16"/>
                              </w:rPr>
                              <w:t>instalación</w:t>
                            </w:r>
                            <w:r>
                              <w:rPr>
                                <w:spacing w:val="-6"/>
                                <w:sz w:val="16"/>
                              </w:rPr>
                              <w:t> </w:t>
                            </w:r>
                            <w:r>
                              <w:rPr>
                                <w:sz w:val="16"/>
                              </w:rPr>
                              <w:t>y</w:t>
                            </w:r>
                            <w:r>
                              <w:rPr>
                                <w:spacing w:val="-5"/>
                                <w:sz w:val="16"/>
                              </w:rPr>
                              <w:t> </w:t>
                            </w:r>
                            <w:r>
                              <w:rPr>
                                <w:sz w:val="16"/>
                              </w:rPr>
                              <w:t>mantenimiento</w:t>
                            </w:r>
                            <w:r>
                              <w:rPr>
                                <w:spacing w:val="-7"/>
                                <w:sz w:val="16"/>
                              </w:rPr>
                              <w:t> </w:t>
                            </w:r>
                            <w:r>
                              <w:rPr>
                                <w:spacing w:val="-5"/>
                                <w:sz w:val="16"/>
                              </w:rPr>
                              <w:t>de</w:t>
                            </w:r>
                            <w:r>
                              <w:rPr>
                                <w:sz w:val="16"/>
                              </w:rPr>
                              <w:tab/>
                            </w:r>
                            <w:r>
                              <w:rPr>
                                <w:spacing w:val="-12"/>
                                <w:sz w:val="16"/>
                              </w:rPr>
                              <w:t>1</w:t>
                            </w:r>
                          </w:p>
                          <w:p>
                            <w:pPr>
                              <w:pStyle w:val="TableParagraph"/>
                              <w:spacing w:line="165" w:lineRule="exact"/>
                              <w:ind w:left="69"/>
                              <w:rPr>
                                <w:sz w:val="16"/>
                              </w:rPr>
                            </w:pPr>
                            <w:r>
                              <w:rPr>
                                <w:sz w:val="16"/>
                              </w:rPr>
                              <w:t>marquesinas</w:t>
                            </w:r>
                            <w:r>
                              <w:rPr>
                                <w:spacing w:val="-9"/>
                                <w:sz w:val="16"/>
                              </w:rPr>
                              <w:t> </w:t>
                            </w:r>
                            <w:r>
                              <w:rPr>
                                <w:spacing w:val="-2"/>
                                <w:sz w:val="16"/>
                              </w:rPr>
                              <w:t>MetroGuagua</w:t>
                            </w:r>
                          </w:p>
                        </w:tc>
                        <w:tc>
                          <w:tcPr>
                            <w:tcW w:w="1098" w:type="dxa"/>
                            <w:tcBorders>
                              <w:top w:val="single" w:sz="12" w:space="0" w:color="001F5F"/>
                              <w:bottom w:val="single" w:sz="4" w:space="0" w:color="002D5D"/>
                            </w:tcBorders>
                          </w:tcPr>
                          <w:p>
                            <w:pPr>
                              <w:pStyle w:val="TableParagraph"/>
                              <w:spacing w:before="183"/>
                              <w:ind w:right="73"/>
                              <w:jc w:val="right"/>
                              <w:rPr>
                                <w:sz w:val="16"/>
                              </w:rPr>
                            </w:pPr>
                            <w:r>
                              <w:rPr>
                                <w:spacing w:val="-2"/>
                                <w:sz w:val="16"/>
                              </w:rPr>
                              <w:t>6.192.493,61</w:t>
                            </w:r>
                          </w:p>
                        </w:tc>
                        <w:tc>
                          <w:tcPr>
                            <w:tcW w:w="1083" w:type="dxa"/>
                            <w:tcBorders>
                              <w:top w:val="single" w:sz="12" w:space="0" w:color="001F5F"/>
                              <w:bottom w:val="single" w:sz="4" w:space="0" w:color="002D5D"/>
                            </w:tcBorders>
                          </w:tcPr>
                          <w:p>
                            <w:pPr>
                              <w:pStyle w:val="TableParagraph"/>
                              <w:spacing w:before="183"/>
                              <w:ind w:right="164"/>
                              <w:jc w:val="right"/>
                              <w:rPr>
                                <w:sz w:val="16"/>
                              </w:rPr>
                            </w:pPr>
                            <w:r>
                              <w:rPr>
                                <w:spacing w:val="-2"/>
                                <w:sz w:val="16"/>
                              </w:rPr>
                              <w:t>6.192.493,61</w:t>
                            </w:r>
                          </w:p>
                        </w:tc>
                        <w:tc>
                          <w:tcPr>
                            <w:tcW w:w="992" w:type="dxa"/>
                            <w:tcBorders>
                              <w:top w:val="single" w:sz="12" w:space="0" w:color="001F5F"/>
                              <w:bottom w:val="single" w:sz="4" w:space="0" w:color="002D5D"/>
                            </w:tcBorders>
                          </w:tcPr>
                          <w:p>
                            <w:pPr>
                              <w:pStyle w:val="TableParagraph"/>
                              <w:spacing w:before="183"/>
                              <w:ind w:right="161"/>
                              <w:jc w:val="right"/>
                              <w:rPr>
                                <w:sz w:val="16"/>
                              </w:rPr>
                            </w:pPr>
                            <w:r>
                              <w:rPr>
                                <w:spacing w:val="-4"/>
                                <w:sz w:val="16"/>
                              </w:rPr>
                              <w:t>0,00</w:t>
                            </w:r>
                          </w:p>
                        </w:tc>
                        <w:tc>
                          <w:tcPr>
                            <w:tcW w:w="472" w:type="dxa"/>
                            <w:tcBorders>
                              <w:top w:val="single" w:sz="12" w:space="0" w:color="001F5F"/>
                              <w:bottom w:val="single" w:sz="4" w:space="0" w:color="002D5D"/>
                            </w:tcBorders>
                          </w:tcPr>
                          <w:p>
                            <w:pPr>
                              <w:pStyle w:val="TableParagraph"/>
                              <w:spacing w:before="183"/>
                              <w:ind w:left="64"/>
                              <w:jc w:val="center"/>
                              <w:rPr>
                                <w:sz w:val="16"/>
                              </w:rPr>
                            </w:pPr>
                            <w:r>
                              <w:rPr>
                                <w:color w:val="5E89B4"/>
                                <w:spacing w:val="-5"/>
                                <w:sz w:val="16"/>
                              </w:rPr>
                              <w:t>NO</w:t>
                            </w:r>
                          </w:p>
                        </w:tc>
                        <w:tc>
                          <w:tcPr>
                            <w:tcW w:w="420" w:type="dxa"/>
                            <w:tcBorders>
                              <w:top w:val="single" w:sz="12" w:space="0" w:color="001F5F"/>
                              <w:bottom w:val="single" w:sz="4" w:space="0" w:color="002D5D"/>
                            </w:tcBorders>
                          </w:tcPr>
                          <w:p>
                            <w:pPr>
                              <w:pStyle w:val="TableParagraph"/>
                              <w:spacing w:before="183"/>
                              <w:ind w:left="2"/>
                              <w:jc w:val="center"/>
                              <w:rPr>
                                <w:sz w:val="16"/>
                              </w:rPr>
                            </w:pPr>
                            <w:r>
                              <w:rPr>
                                <w:color w:val="5E89B4"/>
                                <w:spacing w:val="-5"/>
                                <w:sz w:val="16"/>
                              </w:rPr>
                              <w:t>NO</w:t>
                            </w:r>
                          </w:p>
                        </w:tc>
                        <w:tc>
                          <w:tcPr>
                            <w:tcW w:w="425" w:type="dxa"/>
                            <w:tcBorders>
                              <w:top w:val="single" w:sz="12" w:space="0" w:color="001F5F"/>
                              <w:bottom w:val="single" w:sz="4" w:space="0" w:color="002D5D"/>
                            </w:tcBorders>
                          </w:tcPr>
                          <w:p>
                            <w:pPr>
                              <w:pStyle w:val="TableParagraph"/>
                              <w:spacing w:before="183"/>
                              <w:ind w:left="11"/>
                              <w:jc w:val="center"/>
                              <w:rPr>
                                <w:sz w:val="16"/>
                              </w:rPr>
                            </w:pPr>
                            <w:r>
                              <w:rPr>
                                <w:color w:val="5E89B4"/>
                                <w:spacing w:val="-5"/>
                                <w:sz w:val="16"/>
                              </w:rPr>
                              <w:t>NO</w:t>
                            </w:r>
                          </w:p>
                        </w:tc>
                        <w:tc>
                          <w:tcPr>
                            <w:tcW w:w="402" w:type="dxa"/>
                            <w:tcBorders>
                              <w:top w:val="single" w:sz="12" w:space="0" w:color="001F5F"/>
                              <w:bottom w:val="single" w:sz="4" w:space="0" w:color="002D5D"/>
                            </w:tcBorders>
                          </w:tcPr>
                          <w:p>
                            <w:pPr>
                              <w:pStyle w:val="TableParagraph"/>
                              <w:spacing w:before="183"/>
                              <w:ind w:left="34"/>
                              <w:jc w:val="center"/>
                              <w:rPr>
                                <w:sz w:val="16"/>
                              </w:rPr>
                            </w:pPr>
                            <w:r>
                              <w:rPr>
                                <w:color w:val="5E89B4"/>
                                <w:spacing w:val="-5"/>
                                <w:sz w:val="16"/>
                              </w:rPr>
                              <w:t>NO</w:t>
                            </w:r>
                          </w:p>
                        </w:tc>
                        <w:tc>
                          <w:tcPr>
                            <w:tcW w:w="978" w:type="dxa"/>
                            <w:tcBorders>
                              <w:top w:val="single" w:sz="12" w:space="0" w:color="001F5F"/>
                              <w:bottom w:val="single" w:sz="4" w:space="0" w:color="001F5F"/>
                            </w:tcBorders>
                          </w:tcPr>
                          <w:p>
                            <w:pPr>
                              <w:pStyle w:val="TableParagraph"/>
                              <w:spacing w:before="183"/>
                              <w:ind w:left="59" w:right="26"/>
                              <w:jc w:val="center"/>
                              <w:rPr>
                                <w:sz w:val="16"/>
                              </w:rPr>
                            </w:pPr>
                            <w:r>
                              <w:rPr>
                                <w:sz w:val="16"/>
                              </w:rPr>
                              <w:t>En</w:t>
                            </w:r>
                            <w:r>
                              <w:rPr>
                                <w:spacing w:val="-2"/>
                                <w:sz w:val="16"/>
                              </w:rPr>
                              <w:t> ejecución</w:t>
                            </w:r>
                          </w:p>
                        </w:tc>
                      </w:tr>
                      <w:tr>
                        <w:trPr>
                          <w:trHeight w:val="733" w:hRule="atLeast"/>
                        </w:trPr>
                        <w:tc>
                          <w:tcPr>
                            <w:tcW w:w="1270" w:type="dxa"/>
                          </w:tcPr>
                          <w:p>
                            <w:pPr>
                              <w:pStyle w:val="TableParagraph"/>
                              <w:rPr>
                                <w:sz w:val="16"/>
                              </w:rPr>
                            </w:pPr>
                          </w:p>
                          <w:p>
                            <w:pPr>
                              <w:pStyle w:val="TableParagraph"/>
                              <w:spacing w:before="57"/>
                              <w:rPr>
                                <w:sz w:val="16"/>
                              </w:rPr>
                            </w:pPr>
                          </w:p>
                          <w:p>
                            <w:pPr>
                              <w:pStyle w:val="TableParagraph"/>
                              <w:spacing w:line="180" w:lineRule="atLeast"/>
                              <w:ind w:left="69"/>
                              <w:rPr>
                                <w:b/>
                                <w:sz w:val="16"/>
                              </w:rPr>
                            </w:pPr>
                            <w:r>
                              <w:rPr>
                                <w:b/>
                                <w:sz w:val="16"/>
                              </w:rPr>
                              <w:t>LAS</w:t>
                            </w:r>
                            <w:r>
                              <w:rPr>
                                <w:b/>
                                <w:spacing w:val="-10"/>
                                <w:sz w:val="16"/>
                              </w:rPr>
                              <w:t> </w:t>
                            </w:r>
                            <w:r>
                              <w:rPr>
                                <w:b/>
                                <w:sz w:val="16"/>
                              </w:rPr>
                              <w:t>PALMAS</w:t>
                            </w:r>
                            <w:r>
                              <w:rPr>
                                <w:b/>
                                <w:spacing w:val="-9"/>
                                <w:sz w:val="16"/>
                              </w:rPr>
                              <w:t> </w:t>
                            </w:r>
                            <w:r>
                              <w:rPr>
                                <w:b/>
                                <w:sz w:val="16"/>
                              </w:rPr>
                              <w:t>DE</w:t>
                            </w:r>
                            <w:r>
                              <w:rPr>
                                <w:b/>
                                <w:spacing w:val="40"/>
                                <w:sz w:val="16"/>
                              </w:rPr>
                              <w:t> </w:t>
                            </w:r>
                            <w:r>
                              <w:rPr>
                                <w:b/>
                                <w:sz w:val="16"/>
                              </w:rPr>
                              <w:t>GRAN</w:t>
                            </w:r>
                            <w:r>
                              <w:rPr>
                                <w:b/>
                                <w:spacing w:val="-2"/>
                                <w:sz w:val="16"/>
                              </w:rPr>
                              <w:t> CANARIA</w:t>
                            </w:r>
                          </w:p>
                        </w:tc>
                        <w:tc>
                          <w:tcPr>
                            <w:tcW w:w="3025" w:type="dxa"/>
                            <w:tcBorders>
                              <w:top w:val="single" w:sz="4" w:space="0" w:color="001F5F"/>
                              <w:bottom w:val="single" w:sz="4" w:space="0" w:color="001F5F"/>
                            </w:tcBorders>
                          </w:tcPr>
                          <w:p>
                            <w:pPr>
                              <w:pStyle w:val="TableParagraph"/>
                              <w:spacing w:line="182" w:lineRule="exact"/>
                              <w:ind w:left="69"/>
                              <w:rPr>
                                <w:sz w:val="16"/>
                              </w:rPr>
                            </w:pPr>
                            <w:r>
                              <w:rPr>
                                <w:sz w:val="16"/>
                              </w:rPr>
                              <w:t>Obras</w:t>
                            </w:r>
                            <w:r>
                              <w:rPr>
                                <w:spacing w:val="-5"/>
                                <w:sz w:val="16"/>
                              </w:rPr>
                              <w:t> </w:t>
                            </w:r>
                            <w:r>
                              <w:rPr>
                                <w:sz w:val="16"/>
                              </w:rPr>
                              <w:t>para</w:t>
                            </w:r>
                            <w:r>
                              <w:rPr>
                                <w:spacing w:val="-4"/>
                                <w:sz w:val="16"/>
                              </w:rPr>
                              <w:t> </w:t>
                            </w:r>
                            <w:r>
                              <w:rPr>
                                <w:sz w:val="16"/>
                              </w:rPr>
                              <w:t>la</w:t>
                            </w:r>
                            <w:r>
                              <w:rPr>
                                <w:spacing w:val="-5"/>
                                <w:sz w:val="16"/>
                              </w:rPr>
                              <w:t> </w:t>
                            </w:r>
                            <w:r>
                              <w:rPr>
                                <w:sz w:val="16"/>
                              </w:rPr>
                              <w:t>ejecución</w:t>
                            </w:r>
                            <w:r>
                              <w:rPr>
                                <w:spacing w:val="-4"/>
                                <w:sz w:val="16"/>
                              </w:rPr>
                              <w:t> </w:t>
                            </w:r>
                            <w:r>
                              <w:rPr>
                                <w:spacing w:val="-5"/>
                                <w:sz w:val="16"/>
                              </w:rPr>
                              <w:t>del</w:t>
                            </w:r>
                          </w:p>
                          <w:p>
                            <w:pPr>
                              <w:pStyle w:val="TableParagraph"/>
                              <w:tabs>
                                <w:tab w:pos="2569" w:val="right" w:leader="none"/>
                              </w:tabs>
                              <w:ind w:left="69"/>
                              <w:rPr>
                                <w:position w:val="-8"/>
                                <w:sz w:val="16"/>
                              </w:rPr>
                            </w:pPr>
                            <w:r>
                              <w:rPr>
                                <w:sz w:val="16"/>
                              </w:rPr>
                              <w:t>MetroGuagua.</w:t>
                            </w:r>
                            <w:r>
                              <w:rPr>
                                <w:spacing w:val="-8"/>
                                <w:sz w:val="16"/>
                              </w:rPr>
                              <w:t> </w:t>
                            </w:r>
                            <w:r>
                              <w:rPr>
                                <w:sz w:val="16"/>
                              </w:rPr>
                              <w:t>Paso</w:t>
                            </w:r>
                            <w:r>
                              <w:rPr>
                                <w:spacing w:val="-5"/>
                                <w:sz w:val="16"/>
                              </w:rPr>
                              <w:t> </w:t>
                            </w:r>
                            <w:r>
                              <w:rPr>
                                <w:sz w:val="16"/>
                              </w:rPr>
                              <w:t>Inferior</w:t>
                            </w:r>
                            <w:r>
                              <w:rPr>
                                <w:spacing w:val="-9"/>
                                <w:sz w:val="16"/>
                              </w:rPr>
                              <w:t> </w:t>
                            </w:r>
                            <w:r>
                              <w:rPr>
                                <w:spacing w:val="-5"/>
                                <w:sz w:val="16"/>
                              </w:rPr>
                              <w:t>en</w:t>
                            </w:r>
                            <w:r>
                              <w:rPr>
                                <w:sz w:val="16"/>
                              </w:rPr>
                              <w:tab/>
                            </w:r>
                            <w:r>
                              <w:rPr>
                                <w:spacing w:val="-12"/>
                                <w:position w:val="-8"/>
                                <w:sz w:val="16"/>
                              </w:rPr>
                              <w:t>1</w:t>
                            </w:r>
                          </w:p>
                          <w:p>
                            <w:pPr>
                              <w:pStyle w:val="TableParagraph"/>
                              <w:spacing w:line="166" w:lineRule="exact" w:before="93"/>
                              <w:ind w:left="69"/>
                              <w:rPr>
                                <w:sz w:val="16"/>
                              </w:rPr>
                            </w:pPr>
                            <w:r>
                              <w:rPr>
                                <w:sz w:val="16"/>
                              </w:rPr>
                              <w:t>Tramo</w:t>
                            </w:r>
                            <w:r>
                              <w:rPr>
                                <w:spacing w:val="-3"/>
                                <w:sz w:val="16"/>
                              </w:rPr>
                              <w:t> </w:t>
                            </w:r>
                            <w:r>
                              <w:rPr>
                                <w:spacing w:val="-10"/>
                                <w:sz w:val="16"/>
                              </w:rPr>
                              <w:t>7</w:t>
                            </w:r>
                          </w:p>
                        </w:tc>
                        <w:tc>
                          <w:tcPr>
                            <w:tcW w:w="1098" w:type="dxa"/>
                            <w:tcBorders>
                              <w:top w:val="single" w:sz="4" w:space="0" w:color="002D5D"/>
                              <w:bottom w:val="single" w:sz="4" w:space="0" w:color="002D5D"/>
                            </w:tcBorders>
                          </w:tcPr>
                          <w:p>
                            <w:pPr>
                              <w:pStyle w:val="TableParagraph"/>
                              <w:spacing w:before="91"/>
                              <w:rPr>
                                <w:sz w:val="16"/>
                              </w:rPr>
                            </w:pPr>
                          </w:p>
                          <w:p>
                            <w:pPr>
                              <w:pStyle w:val="TableParagraph"/>
                              <w:ind w:left="182"/>
                              <w:rPr>
                                <w:sz w:val="16"/>
                              </w:rPr>
                            </w:pPr>
                            <w:r>
                              <w:rPr>
                                <w:spacing w:val="-2"/>
                                <w:sz w:val="16"/>
                              </w:rPr>
                              <w:t>16.550.257,72</w:t>
                            </w:r>
                          </w:p>
                        </w:tc>
                        <w:tc>
                          <w:tcPr>
                            <w:tcW w:w="1083" w:type="dxa"/>
                            <w:tcBorders>
                              <w:top w:val="single" w:sz="4" w:space="0" w:color="002D5D"/>
                              <w:bottom w:val="single" w:sz="4" w:space="0" w:color="002D5D"/>
                            </w:tcBorders>
                          </w:tcPr>
                          <w:p>
                            <w:pPr>
                              <w:pStyle w:val="TableParagraph"/>
                              <w:spacing w:before="91"/>
                              <w:rPr>
                                <w:sz w:val="16"/>
                              </w:rPr>
                            </w:pPr>
                          </w:p>
                          <w:p>
                            <w:pPr>
                              <w:pStyle w:val="TableParagraph"/>
                              <w:ind w:right="164"/>
                              <w:jc w:val="right"/>
                              <w:rPr>
                                <w:sz w:val="16"/>
                              </w:rPr>
                            </w:pPr>
                            <w:r>
                              <w:rPr>
                                <w:spacing w:val="-2"/>
                                <w:sz w:val="16"/>
                              </w:rPr>
                              <w:t>16.550.257,72</w:t>
                            </w:r>
                          </w:p>
                        </w:tc>
                        <w:tc>
                          <w:tcPr>
                            <w:tcW w:w="992" w:type="dxa"/>
                            <w:tcBorders>
                              <w:top w:val="single" w:sz="4" w:space="0" w:color="002D5D"/>
                              <w:bottom w:val="single" w:sz="4" w:space="0" w:color="002D5D"/>
                            </w:tcBorders>
                          </w:tcPr>
                          <w:p>
                            <w:pPr>
                              <w:pStyle w:val="TableParagraph"/>
                              <w:spacing w:before="91"/>
                              <w:rPr>
                                <w:sz w:val="16"/>
                              </w:rPr>
                            </w:pPr>
                          </w:p>
                          <w:p>
                            <w:pPr>
                              <w:pStyle w:val="TableParagraph"/>
                              <w:ind w:right="161"/>
                              <w:jc w:val="right"/>
                              <w:rPr>
                                <w:sz w:val="16"/>
                              </w:rPr>
                            </w:pPr>
                            <w:r>
                              <w:rPr>
                                <w:spacing w:val="-4"/>
                                <w:sz w:val="16"/>
                              </w:rPr>
                              <w:t>0,00</w:t>
                            </w:r>
                          </w:p>
                        </w:tc>
                        <w:tc>
                          <w:tcPr>
                            <w:tcW w:w="472" w:type="dxa"/>
                            <w:tcBorders>
                              <w:top w:val="single" w:sz="4" w:space="0" w:color="002D5D"/>
                              <w:bottom w:val="single" w:sz="4" w:space="0" w:color="002D5D"/>
                            </w:tcBorders>
                          </w:tcPr>
                          <w:p>
                            <w:pPr>
                              <w:pStyle w:val="TableParagraph"/>
                              <w:spacing w:before="91"/>
                              <w:rPr>
                                <w:sz w:val="16"/>
                              </w:rPr>
                            </w:pPr>
                          </w:p>
                          <w:p>
                            <w:pPr>
                              <w:pStyle w:val="TableParagraph"/>
                              <w:ind w:left="64"/>
                              <w:jc w:val="center"/>
                              <w:rPr>
                                <w:sz w:val="16"/>
                              </w:rPr>
                            </w:pPr>
                            <w:r>
                              <w:rPr>
                                <w:color w:val="5E89B4"/>
                                <w:spacing w:val="-5"/>
                                <w:sz w:val="16"/>
                              </w:rPr>
                              <w:t>NO</w:t>
                            </w:r>
                          </w:p>
                        </w:tc>
                        <w:tc>
                          <w:tcPr>
                            <w:tcW w:w="420" w:type="dxa"/>
                            <w:tcBorders>
                              <w:top w:val="single" w:sz="4" w:space="0" w:color="002D5D"/>
                              <w:bottom w:val="single" w:sz="4" w:space="0" w:color="002D5D"/>
                            </w:tcBorders>
                          </w:tcPr>
                          <w:p>
                            <w:pPr>
                              <w:pStyle w:val="TableParagraph"/>
                              <w:spacing w:before="91"/>
                              <w:rPr>
                                <w:sz w:val="16"/>
                              </w:rPr>
                            </w:pPr>
                          </w:p>
                          <w:p>
                            <w:pPr>
                              <w:pStyle w:val="TableParagraph"/>
                              <w:ind w:left="2"/>
                              <w:jc w:val="center"/>
                              <w:rPr>
                                <w:sz w:val="16"/>
                              </w:rPr>
                            </w:pPr>
                            <w:r>
                              <w:rPr>
                                <w:color w:val="5E89B4"/>
                                <w:spacing w:val="-5"/>
                                <w:sz w:val="16"/>
                              </w:rPr>
                              <w:t>NO</w:t>
                            </w:r>
                          </w:p>
                        </w:tc>
                        <w:tc>
                          <w:tcPr>
                            <w:tcW w:w="425" w:type="dxa"/>
                            <w:tcBorders>
                              <w:top w:val="single" w:sz="4" w:space="0" w:color="002D5D"/>
                              <w:bottom w:val="single" w:sz="4" w:space="0" w:color="002D5D"/>
                            </w:tcBorders>
                          </w:tcPr>
                          <w:p>
                            <w:pPr>
                              <w:pStyle w:val="TableParagraph"/>
                              <w:spacing w:before="91"/>
                              <w:rPr>
                                <w:sz w:val="16"/>
                              </w:rPr>
                            </w:pPr>
                          </w:p>
                          <w:p>
                            <w:pPr>
                              <w:pStyle w:val="TableParagraph"/>
                              <w:ind w:left="11"/>
                              <w:jc w:val="center"/>
                              <w:rPr>
                                <w:sz w:val="16"/>
                              </w:rPr>
                            </w:pPr>
                            <w:r>
                              <w:rPr>
                                <w:color w:val="5E89B4"/>
                                <w:spacing w:val="-5"/>
                                <w:sz w:val="16"/>
                              </w:rPr>
                              <w:t>NO</w:t>
                            </w:r>
                          </w:p>
                        </w:tc>
                        <w:tc>
                          <w:tcPr>
                            <w:tcW w:w="402" w:type="dxa"/>
                            <w:tcBorders>
                              <w:top w:val="single" w:sz="4" w:space="0" w:color="002D5D"/>
                              <w:bottom w:val="single" w:sz="4" w:space="0" w:color="002D5D"/>
                            </w:tcBorders>
                          </w:tcPr>
                          <w:p>
                            <w:pPr>
                              <w:pStyle w:val="TableParagraph"/>
                              <w:spacing w:before="91"/>
                              <w:rPr>
                                <w:sz w:val="16"/>
                              </w:rPr>
                            </w:pPr>
                          </w:p>
                          <w:p>
                            <w:pPr>
                              <w:pStyle w:val="TableParagraph"/>
                              <w:ind w:left="34" w:right="1"/>
                              <w:jc w:val="center"/>
                              <w:rPr>
                                <w:sz w:val="16"/>
                              </w:rPr>
                            </w:pPr>
                            <w:r>
                              <w:rPr>
                                <w:color w:val="891538"/>
                                <w:spacing w:val="-5"/>
                                <w:sz w:val="16"/>
                              </w:rPr>
                              <w:t>S</w:t>
                            </w:r>
                            <w:r>
                              <w:rPr>
                                <w:spacing w:val="-5"/>
                                <w:sz w:val="16"/>
                              </w:rPr>
                              <w:t>I</w:t>
                            </w:r>
                          </w:p>
                        </w:tc>
                        <w:tc>
                          <w:tcPr>
                            <w:tcW w:w="978" w:type="dxa"/>
                            <w:tcBorders>
                              <w:top w:val="single" w:sz="4" w:space="0" w:color="001F5F"/>
                              <w:bottom w:val="single" w:sz="4" w:space="0" w:color="001F5F"/>
                            </w:tcBorders>
                          </w:tcPr>
                          <w:p>
                            <w:pPr>
                              <w:pStyle w:val="TableParagraph"/>
                              <w:spacing w:before="91"/>
                              <w:rPr>
                                <w:sz w:val="16"/>
                              </w:rPr>
                            </w:pPr>
                          </w:p>
                          <w:p>
                            <w:pPr>
                              <w:pStyle w:val="TableParagraph"/>
                              <w:ind w:left="33" w:right="59"/>
                              <w:jc w:val="center"/>
                              <w:rPr>
                                <w:sz w:val="16"/>
                              </w:rPr>
                            </w:pPr>
                            <w:r>
                              <w:rPr>
                                <w:sz w:val="16"/>
                              </w:rPr>
                              <w:t>En</w:t>
                            </w:r>
                            <w:r>
                              <w:rPr>
                                <w:spacing w:val="-2"/>
                                <w:sz w:val="16"/>
                              </w:rPr>
                              <w:t> ejecución</w:t>
                            </w:r>
                          </w:p>
                        </w:tc>
                      </w:tr>
                      <w:tr>
                        <w:trPr>
                          <w:trHeight w:val="676" w:hRule="atLeast"/>
                        </w:trPr>
                        <w:tc>
                          <w:tcPr>
                            <w:tcW w:w="1270" w:type="dxa"/>
                          </w:tcPr>
                          <w:p>
                            <w:pPr>
                              <w:pStyle w:val="TableParagraph"/>
                              <w:rPr>
                                <w:rFonts w:ascii="Times New Roman"/>
                                <w:sz w:val="16"/>
                              </w:rPr>
                            </w:pPr>
                          </w:p>
                        </w:tc>
                        <w:tc>
                          <w:tcPr>
                            <w:tcW w:w="3025" w:type="dxa"/>
                            <w:tcBorders>
                              <w:top w:val="single" w:sz="4" w:space="0" w:color="001F5F"/>
                              <w:bottom w:val="single" w:sz="4" w:space="0" w:color="001F5F"/>
                            </w:tcBorders>
                          </w:tcPr>
                          <w:p>
                            <w:pPr>
                              <w:pStyle w:val="TableParagraph"/>
                              <w:spacing w:line="124" w:lineRule="exact"/>
                              <w:ind w:left="69"/>
                              <w:rPr>
                                <w:sz w:val="16"/>
                              </w:rPr>
                            </w:pPr>
                            <w:r>
                              <w:rPr>
                                <w:sz w:val="16"/>
                              </w:rPr>
                              <w:t>Proyecto</w:t>
                            </w:r>
                            <w:r>
                              <w:rPr>
                                <w:spacing w:val="-7"/>
                                <w:sz w:val="16"/>
                              </w:rPr>
                              <w:t> </w:t>
                            </w:r>
                            <w:r>
                              <w:rPr>
                                <w:sz w:val="16"/>
                              </w:rPr>
                              <w:t>de</w:t>
                            </w:r>
                            <w:r>
                              <w:rPr>
                                <w:spacing w:val="-4"/>
                                <w:sz w:val="16"/>
                              </w:rPr>
                              <w:t> </w:t>
                            </w:r>
                            <w:r>
                              <w:rPr>
                                <w:sz w:val="16"/>
                              </w:rPr>
                              <w:t>Implantación</w:t>
                            </w:r>
                            <w:r>
                              <w:rPr>
                                <w:spacing w:val="-4"/>
                                <w:sz w:val="16"/>
                              </w:rPr>
                              <w:t> </w:t>
                            </w:r>
                            <w:r>
                              <w:rPr>
                                <w:spacing w:val="-5"/>
                                <w:sz w:val="16"/>
                              </w:rPr>
                              <w:t>de</w:t>
                            </w:r>
                          </w:p>
                          <w:p>
                            <w:pPr>
                              <w:pStyle w:val="TableParagraph"/>
                              <w:tabs>
                                <w:tab w:pos="2569" w:val="right" w:leader="none"/>
                              </w:tabs>
                              <w:ind w:left="69"/>
                              <w:rPr>
                                <w:position w:val="-8"/>
                                <w:sz w:val="16"/>
                              </w:rPr>
                            </w:pPr>
                            <w:r>
                              <w:rPr>
                                <w:sz w:val="16"/>
                              </w:rPr>
                              <w:t>Carriles</w:t>
                            </w:r>
                            <w:r>
                              <w:rPr>
                                <w:spacing w:val="-10"/>
                                <w:sz w:val="16"/>
                              </w:rPr>
                              <w:t> </w:t>
                            </w:r>
                            <w:r>
                              <w:rPr>
                                <w:sz w:val="16"/>
                              </w:rPr>
                              <w:t>MetroGuagua</w:t>
                            </w:r>
                            <w:r>
                              <w:rPr>
                                <w:spacing w:val="-9"/>
                                <w:sz w:val="16"/>
                              </w:rPr>
                              <w:t> </w:t>
                            </w:r>
                            <w:r>
                              <w:rPr>
                                <w:spacing w:val="-4"/>
                                <w:sz w:val="16"/>
                              </w:rPr>
                              <w:t>Tramo</w:t>
                            </w:r>
                            <w:r>
                              <w:rPr>
                                <w:sz w:val="16"/>
                              </w:rPr>
                              <w:tab/>
                            </w:r>
                            <w:r>
                              <w:rPr>
                                <w:spacing w:val="-12"/>
                                <w:position w:val="-8"/>
                                <w:sz w:val="16"/>
                              </w:rPr>
                              <w:t>1</w:t>
                            </w:r>
                          </w:p>
                          <w:p>
                            <w:pPr>
                              <w:pStyle w:val="TableParagraph"/>
                              <w:spacing w:line="166" w:lineRule="exact" w:before="93"/>
                              <w:ind w:left="69"/>
                              <w:rPr>
                                <w:sz w:val="16"/>
                              </w:rPr>
                            </w:pPr>
                            <w:r>
                              <w:rPr>
                                <w:spacing w:val="-2"/>
                                <w:sz w:val="16"/>
                              </w:rPr>
                              <w:t>Rejón</w:t>
                            </w:r>
                          </w:p>
                        </w:tc>
                        <w:tc>
                          <w:tcPr>
                            <w:tcW w:w="1098" w:type="dxa"/>
                            <w:tcBorders>
                              <w:top w:val="single" w:sz="4" w:space="0" w:color="002D5D"/>
                              <w:bottom w:val="single" w:sz="4" w:space="0" w:color="002D5D"/>
                            </w:tcBorders>
                          </w:tcPr>
                          <w:p>
                            <w:pPr>
                              <w:pStyle w:val="TableParagraph"/>
                              <w:spacing w:before="33"/>
                              <w:rPr>
                                <w:sz w:val="16"/>
                              </w:rPr>
                            </w:pPr>
                          </w:p>
                          <w:p>
                            <w:pPr>
                              <w:pStyle w:val="TableParagraph"/>
                              <w:ind w:right="73"/>
                              <w:jc w:val="right"/>
                              <w:rPr>
                                <w:sz w:val="16"/>
                              </w:rPr>
                            </w:pPr>
                            <w:r>
                              <w:rPr>
                                <w:spacing w:val="-2"/>
                                <w:sz w:val="16"/>
                              </w:rPr>
                              <w:t>3.146.765,15</w:t>
                            </w:r>
                          </w:p>
                        </w:tc>
                        <w:tc>
                          <w:tcPr>
                            <w:tcW w:w="1083" w:type="dxa"/>
                            <w:tcBorders>
                              <w:top w:val="single" w:sz="4" w:space="0" w:color="002D5D"/>
                              <w:bottom w:val="single" w:sz="4" w:space="0" w:color="002D5D"/>
                            </w:tcBorders>
                          </w:tcPr>
                          <w:p>
                            <w:pPr>
                              <w:pStyle w:val="TableParagraph"/>
                              <w:spacing w:before="33"/>
                              <w:rPr>
                                <w:sz w:val="16"/>
                              </w:rPr>
                            </w:pPr>
                          </w:p>
                          <w:p>
                            <w:pPr>
                              <w:pStyle w:val="TableParagraph"/>
                              <w:ind w:right="164"/>
                              <w:jc w:val="right"/>
                              <w:rPr>
                                <w:sz w:val="16"/>
                              </w:rPr>
                            </w:pPr>
                            <w:r>
                              <w:rPr>
                                <w:spacing w:val="-2"/>
                                <w:sz w:val="16"/>
                              </w:rPr>
                              <w:t>3.146.765,15</w:t>
                            </w:r>
                          </w:p>
                        </w:tc>
                        <w:tc>
                          <w:tcPr>
                            <w:tcW w:w="992" w:type="dxa"/>
                            <w:tcBorders>
                              <w:top w:val="single" w:sz="4" w:space="0" w:color="002D5D"/>
                              <w:bottom w:val="single" w:sz="4" w:space="0" w:color="002D5D"/>
                            </w:tcBorders>
                          </w:tcPr>
                          <w:p>
                            <w:pPr>
                              <w:pStyle w:val="TableParagraph"/>
                              <w:spacing w:before="33"/>
                              <w:rPr>
                                <w:sz w:val="16"/>
                              </w:rPr>
                            </w:pPr>
                          </w:p>
                          <w:p>
                            <w:pPr>
                              <w:pStyle w:val="TableParagraph"/>
                              <w:ind w:right="161"/>
                              <w:jc w:val="right"/>
                              <w:rPr>
                                <w:sz w:val="16"/>
                              </w:rPr>
                            </w:pPr>
                            <w:r>
                              <w:rPr>
                                <w:spacing w:val="-4"/>
                                <w:sz w:val="16"/>
                              </w:rPr>
                              <w:t>0,00</w:t>
                            </w:r>
                          </w:p>
                        </w:tc>
                        <w:tc>
                          <w:tcPr>
                            <w:tcW w:w="472" w:type="dxa"/>
                            <w:tcBorders>
                              <w:top w:val="single" w:sz="4" w:space="0" w:color="002D5D"/>
                              <w:bottom w:val="single" w:sz="4" w:space="0" w:color="002D5D"/>
                            </w:tcBorders>
                          </w:tcPr>
                          <w:p>
                            <w:pPr>
                              <w:pStyle w:val="TableParagraph"/>
                              <w:spacing w:before="33"/>
                              <w:rPr>
                                <w:sz w:val="16"/>
                              </w:rPr>
                            </w:pPr>
                          </w:p>
                          <w:p>
                            <w:pPr>
                              <w:pStyle w:val="TableParagraph"/>
                              <w:ind w:left="64" w:right="1"/>
                              <w:jc w:val="center"/>
                              <w:rPr>
                                <w:sz w:val="16"/>
                              </w:rPr>
                            </w:pPr>
                            <w:r>
                              <w:rPr>
                                <w:color w:val="891538"/>
                                <w:spacing w:val="-5"/>
                                <w:sz w:val="16"/>
                              </w:rPr>
                              <w:t>SI</w:t>
                            </w:r>
                          </w:p>
                        </w:tc>
                        <w:tc>
                          <w:tcPr>
                            <w:tcW w:w="420" w:type="dxa"/>
                            <w:tcBorders>
                              <w:top w:val="single" w:sz="4" w:space="0" w:color="002D5D"/>
                              <w:bottom w:val="single" w:sz="4" w:space="0" w:color="002D5D"/>
                            </w:tcBorders>
                          </w:tcPr>
                          <w:p>
                            <w:pPr>
                              <w:pStyle w:val="TableParagraph"/>
                              <w:spacing w:before="33"/>
                              <w:rPr>
                                <w:sz w:val="16"/>
                              </w:rPr>
                            </w:pPr>
                          </w:p>
                          <w:p>
                            <w:pPr>
                              <w:pStyle w:val="TableParagraph"/>
                              <w:ind w:left="2" w:right="1"/>
                              <w:jc w:val="center"/>
                              <w:rPr>
                                <w:sz w:val="16"/>
                              </w:rPr>
                            </w:pPr>
                            <w:r>
                              <w:rPr>
                                <w:color w:val="891538"/>
                                <w:spacing w:val="-5"/>
                                <w:sz w:val="16"/>
                              </w:rPr>
                              <w:t>SI</w:t>
                            </w:r>
                          </w:p>
                        </w:tc>
                        <w:tc>
                          <w:tcPr>
                            <w:tcW w:w="425" w:type="dxa"/>
                            <w:tcBorders>
                              <w:top w:val="single" w:sz="4" w:space="0" w:color="002D5D"/>
                              <w:bottom w:val="single" w:sz="4" w:space="0" w:color="002D5D"/>
                            </w:tcBorders>
                          </w:tcPr>
                          <w:p>
                            <w:pPr>
                              <w:pStyle w:val="TableParagraph"/>
                              <w:spacing w:before="33"/>
                              <w:rPr>
                                <w:sz w:val="16"/>
                              </w:rPr>
                            </w:pPr>
                          </w:p>
                          <w:p>
                            <w:pPr>
                              <w:pStyle w:val="TableParagraph"/>
                              <w:ind w:left="11"/>
                              <w:jc w:val="center"/>
                              <w:rPr>
                                <w:sz w:val="16"/>
                              </w:rPr>
                            </w:pPr>
                            <w:r>
                              <w:rPr>
                                <w:color w:val="5E89B4"/>
                                <w:spacing w:val="-5"/>
                                <w:sz w:val="16"/>
                              </w:rPr>
                              <w:t>NO</w:t>
                            </w:r>
                          </w:p>
                        </w:tc>
                        <w:tc>
                          <w:tcPr>
                            <w:tcW w:w="402" w:type="dxa"/>
                            <w:tcBorders>
                              <w:top w:val="single" w:sz="4" w:space="0" w:color="002D5D"/>
                              <w:bottom w:val="single" w:sz="4" w:space="0" w:color="002D5D"/>
                            </w:tcBorders>
                          </w:tcPr>
                          <w:p>
                            <w:pPr>
                              <w:pStyle w:val="TableParagraph"/>
                              <w:spacing w:before="33"/>
                              <w:rPr>
                                <w:sz w:val="16"/>
                              </w:rPr>
                            </w:pPr>
                          </w:p>
                          <w:p>
                            <w:pPr>
                              <w:pStyle w:val="TableParagraph"/>
                              <w:ind w:left="34"/>
                              <w:jc w:val="center"/>
                              <w:rPr>
                                <w:sz w:val="16"/>
                              </w:rPr>
                            </w:pPr>
                            <w:r>
                              <w:rPr>
                                <w:color w:val="5E89B4"/>
                                <w:spacing w:val="-5"/>
                                <w:sz w:val="16"/>
                              </w:rPr>
                              <w:t>NO</w:t>
                            </w:r>
                          </w:p>
                        </w:tc>
                        <w:tc>
                          <w:tcPr>
                            <w:tcW w:w="978" w:type="dxa"/>
                            <w:tcBorders>
                              <w:top w:val="single" w:sz="4" w:space="0" w:color="001F5F"/>
                              <w:bottom w:val="single" w:sz="4" w:space="0" w:color="002D5D"/>
                            </w:tcBorders>
                          </w:tcPr>
                          <w:p>
                            <w:pPr>
                              <w:pStyle w:val="TableParagraph"/>
                              <w:spacing w:before="33"/>
                              <w:rPr>
                                <w:sz w:val="16"/>
                              </w:rPr>
                            </w:pPr>
                          </w:p>
                          <w:p>
                            <w:pPr>
                              <w:pStyle w:val="TableParagraph"/>
                              <w:ind w:left="59" w:right="26"/>
                              <w:jc w:val="center"/>
                              <w:rPr>
                                <w:sz w:val="16"/>
                              </w:rPr>
                            </w:pPr>
                            <w:r>
                              <w:rPr>
                                <w:spacing w:val="-2"/>
                                <w:sz w:val="16"/>
                              </w:rPr>
                              <w:t>Finalizada</w:t>
                            </w:r>
                          </w:p>
                        </w:tc>
                      </w:tr>
                      <w:tr>
                        <w:trPr>
                          <w:trHeight w:val="366" w:hRule="atLeast"/>
                        </w:trPr>
                        <w:tc>
                          <w:tcPr>
                            <w:tcW w:w="1270" w:type="dxa"/>
                            <w:tcBorders>
                              <w:bottom w:val="single" w:sz="12" w:space="0" w:color="001F5F"/>
                            </w:tcBorders>
                          </w:tcPr>
                          <w:p>
                            <w:pPr>
                              <w:pStyle w:val="TableParagraph"/>
                              <w:rPr>
                                <w:rFonts w:ascii="Times New Roman"/>
                                <w:sz w:val="16"/>
                              </w:rPr>
                            </w:pPr>
                          </w:p>
                        </w:tc>
                        <w:tc>
                          <w:tcPr>
                            <w:tcW w:w="3025" w:type="dxa"/>
                            <w:tcBorders>
                              <w:top w:val="single" w:sz="4" w:space="0" w:color="001F5F"/>
                              <w:bottom w:val="single" w:sz="12" w:space="0" w:color="001F5F"/>
                            </w:tcBorders>
                          </w:tcPr>
                          <w:p>
                            <w:pPr>
                              <w:pStyle w:val="TableParagraph"/>
                              <w:tabs>
                                <w:tab w:pos="2500" w:val="right" w:leader="none"/>
                              </w:tabs>
                              <w:ind w:right="453"/>
                              <w:jc w:val="right"/>
                              <w:rPr>
                                <w:position w:val="-8"/>
                                <w:sz w:val="16"/>
                              </w:rPr>
                            </w:pPr>
                            <w:r>
                              <w:rPr>
                                <w:sz w:val="16"/>
                              </w:rPr>
                              <w:t>Estación</w:t>
                            </w:r>
                            <w:r>
                              <w:rPr>
                                <w:spacing w:val="-7"/>
                                <w:sz w:val="16"/>
                              </w:rPr>
                              <w:t> </w:t>
                            </w:r>
                            <w:r>
                              <w:rPr>
                                <w:sz w:val="16"/>
                              </w:rPr>
                              <w:t>de</w:t>
                            </w:r>
                            <w:r>
                              <w:rPr>
                                <w:spacing w:val="-5"/>
                                <w:sz w:val="16"/>
                              </w:rPr>
                              <w:t> </w:t>
                            </w:r>
                            <w:r>
                              <w:rPr>
                                <w:sz w:val="16"/>
                              </w:rPr>
                              <w:t>guaguas</w:t>
                            </w:r>
                            <w:r>
                              <w:rPr>
                                <w:spacing w:val="-5"/>
                                <w:sz w:val="16"/>
                              </w:rPr>
                              <w:t> </w:t>
                            </w:r>
                            <w:r>
                              <w:rPr>
                                <w:sz w:val="16"/>
                              </w:rPr>
                              <w:t>en</w:t>
                            </w:r>
                            <w:r>
                              <w:rPr>
                                <w:spacing w:val="-4"/>
                                <w:sz w:val="16"/>
                              </w:rPr>
                              <w:t> Hoya</w:t>
                            </w:r>
                            <w:r>
                              <w:rPr>
                                <w:sz w:val="16"/>
                              </w:rPr>
                              <w:tab/>
                            </w:r>
                            <w:r>
                              <w:rPr>
                                <w:spacing w:val="-10"/>
                                <w:position w:val="-8"/>
                                <w:sz w:val="16"/>
                              </w:rPr>
                              <w:t>1</w:t>
                            </w:r>
                          </w:p>
                        </w:tc>
                        <w:tc>
                          <w:tcPr>
                            <w:tcW w:w="1098" w:type="dxa"/>
                            <w:tcBorders>
                              <w:top w:val="single" w:sz="4" w:space="0" w:color="002D5D"/>
                              <w:bottom w:val="single" w:sz="12" w:space="0" w:color="001F5F"/>
                            </w:tcBorders>
                          </w:tcPr>
                          <w:p>
                            <w:pPr>
                              <w:pStyle w:val="TableParagraph"/>
                              <w:spacing w:before="90"/>
                              <w:ind w:right="73"/>
                              <w:jc w:val="right"/>
                              <w:rPr>
                                <w:sz w:val="16"/>
                              </w:rPr>
                            </w:pPr>
                            <w:r>
                              <w:rPr>
                                <w:spacing w:val="-2"/>
                                <w:sz w:val="16"/>
                              </w:rPr>
                              <w:t>8.655.000,00</w:t>
                            </w:r>
                          </w:p>
                        </w:tc>
                        <w:tc>
                          <w:tcPr>
                            <w:tcW w:w="1083" w:type="dxa"/>
                            <w:tcBorders>
                              <w:top w:val="single" w:sz="4" w:space="0" w:color="002D5D"/>
                              <w:bottom w:val="single" w:sz="12" w:space="0" w:color="001F5F"/>
                            </w:tcBorders>
                          </w:tcPr>
                          <w:p>
                            <w:pPr>
                              <w:pStyle w:val="TableParagraph"/>
                              <w:spacing w:before="90"/>
                              <w:ind w:right="164"/>
                              <w:jc w:val="right"/>
                              <w:rPr>
                                <w:sz w:val="16"/>
                              </w:rPr>
                            </w:pPr>
                            <w:r>
                              <w:rPr>
                                <w:spacing w:val="-2"/>
                                <w:sz w:val="16"/>
                              </w:rPr>
                              <w:t>8.655.000,00</w:t>
                            </w:r>
                          </w:p>
                        </w:tc>
                        <w:tc>
                          <w:tcPr>
                            <w:tcW w:w="992" w:type="dxa"/>
                            <w:tcBorders>
                              <w:top w:val="single" w:sz="4" w:space="0" w:color="002D5D"/>
                              <w:bottom w:val="single" w:sz="12" w:space="0" w:color="001F5F"/>
                            </w:tcBorders>
                          </w:tcPr>
                          <w:p>
                            <w:pPr>
                              <w:pStyle w:val="TableParagraph"/>
                              <w:spacing w:before="90"/>
                              <w:ind w:right="161"/>
                              <w:jc w:val="right"/>
                              <w:rPr>
                                <w:sz w:val="16"/>
                              </w:rPr>
                            </w:pPr>
                            <w:r>
                              <w:rPr>
                                <w:spacing w:val="-4"/>
                                <w:sz w:val="16"/>
                              </w:rPr>
                              <w:t>0,00</w:t>
                            </w:r>
                          </w:p>
                        </w:tc>
                        <w:tc>
                          <w:tcPr>
                            <w:tcW w:w="472" w:type="dxa"/>
                            <w:tcBorders>
                              <w:top w:val="single" w:sz="4" w:space="0" w:color="002D5D"/>
                              <w:bottom w:val="single" w:sz="12" w:space="0" w:color="001F5F"/>
                            </w:tcBorders>
                          </w:tcPr>
                          <w:p>
                            <w:pPr>
                              <w:pStyle w:val="TableParagraph"/>
                              <w:spacing w:before="90"/>
                              <w:ind w:left="64"/>
                              <w:jc w:val="center"/>
                              <w:rPr>
                                <w:sz w:val="16"/>
                              </w:rPr>
                            </w:pPr>
                            <w:r>
                              <w:rPr>
                                <w:color w:val="5E89B4"/>
                                <w:spacing w:val="-5"/>
                                <w:sz w:val="16"/>
                              </w:rPr>
                              <w:t>NO</w:t>
                            </w:r>
                          </w:p>
                        </w:tc>
                        <w:tc>
                          <w:tcPr>
                            <w:tcW w:w="420" w:type="dxa"/>
                            <w:tcBorders>
                              <w:top w:val="single" w:sz="4" w:space="0" w:color="002D5D"/>
                              <w:bottom w:val="single" w:sz="12" w:space="0" w:color="001F5F"/>
                            </w:tcBorders>
                          </w:tcPr>
                          <w:p>
                            <w:pPr>
                              <w:pStyle w:val="TableParagraph"/>
                              <w:spacing w:before="90"/>
                              <w:ind w:left="2"/>
                              <w:jc w:val="center"/>
                              <w:rPr>
                                <w:sz w:val="16"/>
                              </w:rPr>
                            </w:pPr>
                            <w:r>
                              <w:rPr>
                                <w:color w:val="5E89B4"/>
                                <w:spacing w:val="-5"/>
                                <w:sz w:val="16"/>
                              </w:rPr>
                              <w:t>NO</w:t>
                            </w:r>
                          </w:p>
                        </w:tc>
                        <w:tc>
                          <w:tcPr>
                            <w:tcW w:w="425" w:type="dxa"/>
                            <w:tcBorders>
                              <w:top w:val="single" w:sz="4" w:space="0" w:color="002D5D"/>
                              <w:bottom w:val="single" w:sz="12" w:space="0" w:color="001F5F"/>
                            </w:tcBorders>
                          </w:tcPr>
                          <w:p>
                            <w:pPr>
                              <w:pStyle w:val="TableParagraph"/>
                              <w:spacing w:before="90"/>
                              <w:ind w:left="11"/>
                              <w:jc w:val="center"/>
                              <w:rPr>
                                <w:sz w:val="16"/>
                              </w:rPr>
                            </w:pPr>
                            <w:r>
                              <w:rPr>
                                <w:color w:val="5E89B4"/>
                                <w:spacing w:val="-5"/>
                                <w:sz w:val="16"/>
                              </w:rPr>
                              <w:t>NO</w:t>
                            </w:r>
                          </w:p>
                        </w:tc>
                        <w:tc>
                          <w:tcPr>
                            <w:tcW w:w="402" w:type="dxa"/>
                            <w:tcBorders>
                              <w:top w:val="single" w:sz="4" w:space="0" w:color="002D5D"/>
                              <w:bottom w:val="single" w:sz="12" w:space="0" w:color="001F5F"/>
                            </w:tcBorders>
                          </w:tcPr>
                          <w:p>
                            <w:pPr>
                              <w:pStyle w:val="TableParagraph"/>
                              <w:spacing w:before="90"/>
                              <w:ind w:left="34" w:right="1"/>
                              <w:jc w:val="center"/>
                              <w:rPr>
                                <w:sz w:val="16"/>
                              </w:rPr>
                            </w:pPr>
                            <w:r>
                              <w:rPr>
                                <w:color w:val="891538"/>
                                <w:spacing w:val="-5"/>
                                <w:sz w:val="16"/>
                              </w:rPr>
                              <w:t>SI</w:t>
                            </w:r>
                          </w:p>
                        </w:tc>
                        <w:tc>
                          <w:tcPr>
                            <w:tcW w:w="978" w:type="dxa"/>
                            <w:tcBorders>
                              <w:top w:val="single" w:sz="4" w:space="0" w:color="002D5D"/>
                              <w:bottom w:val="single" w:sz="12" w:space="0" w:color="001F5F"/>
                            </w:tcBorders>
                          </w:tcPr>
                          <w:p>
                            <w:pPr>
                              <w:pStyle w:val="TableParagraph"/>
                              <w:spacing w:before="90"/>
                              <w:ind w:left="33" w:right="59"/>
                              <w:jc w:val="center"/>
                              <w:rPr>
                                <w:sz w:val="16"/>
                              </w:rPr>
                            </w:pPr>
                            <w:r>
                              <w:rPr>
                                <w:sz w:val="16"/>
                              </w:rPr>
                              <w:t>En</w:t>
                            </w:r>
                            <w:r>
                              <w:rPr>
                                <w:spacing w:val="-2"/>
                                <w:sz w:val="16"/>
                              </w:rPr>
                              <w:t> ejecución</w:t>
                            </w:r>
                          </w:p>
                        </w:tc>
                      </w:tr>
                      <w:tr>
                        <w:trPr>
                          <w:trHeight w:val="508" w:hRule="atLeast"/>
                        </w:trPr>
                        <w:tc>
                          <w:tcPr>
                            <w:tcW w:w="1270" w:type="dxa"/>
                            <w:tcBorders>
                              <w:top w:val="single" w:sz="12" w:space="0" w:color="001F5F"/>
                            </w:tcBorders>
                          </w:tcPr>
                          <w:p>
                            <w:pPr>
                              <w:pStyle w:val="TableParagraph"/>
                              <w:rPr>
                                <w:rFonts w:ascii="Times New Roman"/>
                                <w:sz w:val="16"/>
                              </w:rPr>
                            </w:pPr>
                          </w:p>
                        </w:tc>
                        <w:tc>
                          <w:tcPr>
                            <w:tcW w:w="3025" w:type="dxa"/>
                            <w:tcBorders>
                              <w:top w:val="single" w:sz="12" w:space="0" w:color="001F5F"/>
                            </w:tcBorders>
                          </w:tcPr>
                          <w:p>
                            <w:pPr>
                              <w:pStyle w:val="TableParagraph"/>
                              <w:spacing w:line="183" w:lineRule="exact"/>
                              <w:ind w:left="69"/>
                              <w:rPr>
                                <w:sz w:val="16"/>
                              </w:rPr>
                            </w:pPr>
                            <w:r>
                              <w:rPr>
                                <w:sz w:val="16"/>
                              </w:rPr>
                              <w:t>Construcción</w:t>
                            </w:r>
                            <w:r>
                              <w:rPr>
                                <w:spacing w:val="-5"/>
                                <w:sz w:val="16"/>
                              </w:rPr>
                              <w:t> </w:t>
                            </w:r>
                            <w:r>
                              <w:rPr>
                                <w:sz w:val="16"/>
                              </w:rPr>
                              <w:t>y</w:t>
                            </w:r>
                            <w:r>
                              <w:rPr>
                                <w:spacing w:val="-6"/>
                                <w:sz w:val="16"/>
                              </w:rPr>
                              <w:t> </w:t>
                            </w:r>
                            <w:r>
                              <w:rPr>
                                <w:sz w:val="16"/>
                              </w:rPr>
                              <w:t>puesta</w:t>
                            </w:r>
                            <w:r>
                              <w:rPr>
                                <w:spacing w:val="-4"/>
                                <w:sz w:val="16"/>
                              </w:rPr>
                              <w:t> </w:t>
                            </w:r>
                            <w:r>
                              <w:rPr>
                                <w:spacing w:val="-5"/>
                                <w:sz w:val="16"/>
                              </w:rPr>
                              <w:t>en</w:t>
                            </w:r>
                          </w:p>
                          <w:p>
                            <w:pPr>
                              <w:pStyle w:val="TableParagraph"/>
                              <w:tabs>
                                <w:tab w:pos="2569" w:val="right" w:leader="none"/>
                              </w:tabs>
                              <w:ind w:left="69"/>
                              <w:rPr>
                                <w:position w:val="-8"/>
                                <w:sz w:val="16"/>
                              </w:rPr>
                            </w:pPr>
                            <w:r>
                              <w:rPr>
                                <w:sz w:val="16"/>
                              </w:rPr>
                              <w:t>servicio</w:t>
                            </w:r>
                            <w:r>
                              <w:rPr>
                                <w:spacing w:val="-4"/>
                                <w:sz w:val="16"/>
                              </w:rPr>
                              <w:t> </w:t>
                            </w:r>
                            <w:r>
                              <w:rPr>
                                <w:sz w:val="16"/>
                              </w:rPr>
                              <w:t>de</w:t>
                            </w:r>
                            <w:r>
                              <w:rPr>
                                <w:spacing w:val="-4"/>
                                <w:sz w:val="16"/>
                              </w:rPr>
                              <w:t> </w:t>
                            </w:r>
                            <w:r>
                              <w:rPr>
                                <w:sz w:val="16"/>
                              </w:rPr>
                              <w:t>carril</w:t>
                            </w:r>
                            <w:r>
                              <w:rPr>
                                <w:spacing w:val="-6"/>
                                <w:sz w:val="16"/>
                              </w:rPr>
                              <w:t> </w:t>
                            </w:r>
                            <w:r>
                              <w:rPr>
                                <w:sz w:val="16"/>
                              </w:rPr>
                              <w:t>bus</w:t>
                            </w:r>
                            <w:r>
                              <w:rPr>
                                <w:spacing w:val="-3"/>
                                <w:sz w:val="16"/>
                              </w:rPr>
                              <w:t> </w:t>
                            </w:r>
                            <w:r>
                              <w:rPr>
                                <w:spacing w:val="-2"/>
                                <w:sz w:val="16"/>
                              </w:rPr>
                              <w:t>exclusivo</w:t>
                            </w:r>
                            <w:r>
                              <w:rPr>
                                <w:sz w:val="16"/>
                              </w:rPr>
                              <w:tab/>
                            </w:r>
                            <w:r>
                              <w:rPr>
                                <w:spacing w:val="-12"/>
                                <w:position w:val="-8"/>
                                <w:sz w:val="16"/>
                              </w:rPr>
                              <w:t>1</w:t>
                            </w:r>
                          </w:p>
                        </w:tc>
                        <w:tc>
                          <w:tcPr>
                            <w:tcW w:w="1098" w:type="dxa"/>
                            <w:tcBorders>
                              <w:top w:val="single" w:sz="12" w:space="0" w:color="001F5F"/>
                            </w:tcBorders>
                          </w:tcPr>
                          <w:p>
                            <w:pPr>
                              <w:pStyle w:val="TableParagraph"/>
                              <w:spacing w:before="90"/>
                              <w:rPr>
                                <w:sz w:val="16"/>
                              </w:rPr>
                            </w:pPr>
                          </w:p>
                          <w:p>
                            <w:pPr>
                              <w:pStyle w:val="TableParagraph"/>
                              <w:ind w:right="72"/>
                              <w:jc w:val="right"/>
                              <w:rPr>
                                <w:sz w:val="16"/>
                              </w:rPr>
                            </w:pPr>
                            <w:r>
                              <w:rPr>
                                <w:spacing w:val="-2"/>
                                <w:sz w:val="16"/>
                              </w:rPr>
                              <w:t>713.939,83</w:t>
                            </w:r>
                          </w:p>
                        </w:tc>
                        <w:tc>
                          <w:tcPr>
                            <w:tcW w:w="1083" w:type="dxa"/>
                            <w:tcBorders>
                              <w:top w:val="single" w:sz="12" w:space="0" w:color="001F5F"/>
                            </w:tcBorders>
                          </w:tcPr>
                          <w:p>
                            <w:pPr>
                              <w:pStyle w:val="TableParagraph"/>
                              <w:spacing w:before="90"/>
                              <w:rPr>
                                <w:sz w:val="16"/>
                              </w:rPr>
                            </w:pPr>
                          </w:p>
                          <w:p>
                            <w:pPr>
                              <w:pStyle w:val="TableParagraph"/>
                              <w:ind w:right="164"/>
                              <w:jc w:val="right"/>
                              <w:rPr>
                                <w:sz w:val="16"/>
                              </w:rPr>
                            </w:pPr>
                            <w:r>
                              <w:rPr>
                                <w:spacing w:val="-2"/>
                                <w:sz w:val="16"/>
                              </w:rPr>
                              <w:t>92.812,76</w:t>
                            </w:r>
                          </w:p>
                        </w:tc>
                        <w:tc>
                          <w:tcPr>
                            <w:tcW w:w="992" w:type="dxa"/>
                            <w:tcBorders>
                              <w:top w:val="single" w:sz="12" w:space="0" w:color="001F5F"/>
                            </w:tcBorders>
                          </w:tcPr>
                          <w:p>
                            <w:pPr>
                              <w:pStyle w:val="TableParagraph"/>
                              <w:spacing w:before="90"/>
                              <w:rPr>
                                <w:sz w:val="16"/>
                              </w:rPr>
                            </w:pPr>
                          </w:p>
                          <w:p>
                            <w:pPr>
                              <w:pStyle w:val="TableParagraph"/>
                              <w:ind w:right="162"/>
                              <w:jc w:val="right"/>
                              <w:rPr>
                                <w:sz w:val="16"/>
                              </w:rPr>
                            </w:pPr>
                            <w:r>
                              <w:rPr>
                                <w:spacing w:val="-2"/>
                                <w:sz w:val="16"/>
                              </w:rPr>
                              <w:t>621.127,07</w:t>
                            </w:r>
                          </w:p>
                        </w:tc>
                        <w:tc>
                          <w:tcPr>
                            <w:tcW w:w="472" w:type="dxa"/>
                            <w:tcBorders>
                              <w:top w:val="single" w:sz="12" w:space="0" w:color="001F5F"/>
                            </w:tcBorders>
                          </w:tcPr>
                          <w:p>
                            <w:pPr>
                              <w:pStyle w:val="TableParagraph"/>
                              <w:spacing w:before="90"/>
                              <w:rPr>
                                <w:sz w:val="16"/>
                              </w:rPr>
                            </w:pPr>
                          </w:p>
                          <w:p>
                            <w:pPr>
                              <w:pStyle w:val="TableParagraph"/>
                              <w:ind w:left="64"/>
                              <w:jc w:val="center"/>
                              <w:rPr>
                                <w:sz w:val="16"/>
                              </w:rPr>
                            </w:pPr>
                            <w:r>
                              <w:rPr>
                                <w:color w:val="5E89B4"/>
                                <w:spacing w:val="-5"/>
                                <w:sz w:val="16"/>
                              </w:rPr>
                              <w:t>NO</w:t>
                            </w:r>
                          </w:p>
                        </w:tc>
                        <w:tc>
                          <w:tcPr>
                            <w:tcW w:w="420" w:type="dxa"/>
                            <w:tcBorders>
                              <w:top w:val="single" w:sz="12" w:space="0" w:color="001F5F"/>
                            </w:tcBorders>
                          </w:tcPr>
                          <w:p>
                            <w:pPr>
                              <w:pStyle w:val="TableParagraph"/>
                              <w:spacing w:before="90"/>
                              <w:rPr>
                                <w:sz w:val="16"/>
                              </w:rPr>
                            </w:pPr>
                          </w:p>
                          <w:p>
                            <w:pPr>
                              <w:pStyle w:val="TableParagraph"/>
                              <w:ind w:left="2" w:right="1"/>
                              <w:jc w:val="center"/>
                              <w:rPr>
                                <w:sz w:val="16"/>
                              </w:rPr>
                            </w:pPr>
                            <w:r>
                              <w:rPr>
                                <w:color w:val="891538"/>
                                <w:spacing w:val="-5"/>
                                <w:sz w:val="16"/>
                              </w:rPr>
                              <w:t>SI</w:t>
                            </w:r>
                          </w:p>
                        </w:tc>
                        <w:tc>
                          <w:tcPr>
                            <w:tcW w:w="425" w:type="dxa"/>
                            <w:tcBorders>
                              <w:top w:val="single" w:sz="12" w:space="0" w:color="001F5F"/>
                            </w:tcBorders>
                          </w:tcPr>
                          <w:p>
                            <w:pPr>
                              <w:pStyle w:val="TableParagraph"/>
                              <w:spacing w:before="90"/>
                              <w:rPr>
                                <w:sz w:val="16"/>
                              </w:rPr>
                            </w:pPr>
                          </w:p>
                          <w:p>
                            <w:pPr>
                              <w:pStyle w:val="TableParagraph"/>
                              <w:ind w:left="11"/>
                              <w:jc w:val="center"/>
                              <w:rPr>
                                <w:sz w:val="16"/>
                              </w:rPr>
                            </w:pPr>
                            <w:r>
                              <w:rPr>
                                <w:color w:val="5E89B4"/>
                                <w:spacing w:val="-5"/>
                                <w:sz w:val="16"/>
                              </w:rPr>
                              <w:t>NO</w:t>
                            </w:r>
                          </w:p>
                        </w:tc>
                        <w:tc>
                          <w:tcPr>
                            <w:tcW w:w="402" w:type="dxa"/>
                            <w:tcBorders>
                              <w:top w:val="single" w:sz="12" w:space="0" w:color="001F5F"/>
                            </w:tcBorders>
                          </w:tcPr>
                          <w:p>
                            <w:pPr>
                              <w:pStyle w:val="TableParagraph"/>
                              <w:spacing w:before="90"/>
                              <w:rPr>
                                <w:sz w:val="16"/>
                              </w:rPr>
                            </w:pPr>
                          </w:p>
                          <w:p>
                            <w:pPr>
                              <w:pStyle w:val="TableParagraph"/>
                              <w:ind w:left="34"/>
                              <w:jc w:val="center"/>
                              <w:rPr>
                                <w:sz w:val="16"/>
                              </w:rPr>
                            </w:pPr>
                            <w:r>
                              <w:rPr>
                                <w:color w:val="5E89B4"/>
                                <w:spacing w:val="-5"/>
                                <w:sz w:val="16"/>
                              </w:rPr>
                              <w:t>NO</w:t>
                            </w:r>
                          </w:p>
                        </w:tc>
                        <w:tc>
                          <w:tcPr>
                            <w:tcW w:w="978" w:type="dxa"/>
                            <w:tcBorders>
                              <w:top w:val="single" w:sz="12" w:space="0" w:color="001F5F"/>
                            </w:tcBorders>
                          </w:tcPr>
                          <w:p>
                            <w:pPr>
                              <w:pStyle w:val="TableParagraph"/>
                              <w:spacing w:before="90"/>
                              <w:rPr>
                                <w:sz w:val="16"/>
                              </w:rPr>
                            </w:pPr>
                          </w:p>
                          <w:p>
                            <w:pPr>
                              <w:pStyle w:val="TableParagraph"/>
                              <w:ind w:left="59" w:right="26"/>
                              <w:jc w:val="center"/>
                              <w:rPr>
                                <w:sz w:val="16"/>
                              </w:rPr>
                            </w:pPr>
                            <w:r>
                              <w:rPr>
                                <w:sz w:val="16"/>
                              </w:rPr>
                              <w:t>En</w:t>
                            </w:r>
                            <w:r>
                              <w:rPr>
                                <w:spacing w:val="-2"/>
                                <w:sz w:val="16"/>
                              </w:rPr>
                              <w:t> ejecución</w:t>
                            </w:r>
                          </w:p>
                        </w:tc>
                      </w:tr>
                    </w:tbl>
                    <w:p>
                      <w:pPr>
                        <w:pStyle w:val="BodyText"/>
                      </w:pPr>
                    </w:p>
                  </w:txbxContent>
                </v:textbox>
                <w10:wrap type="none"/>
              </v:shape>
            </w:pict>
          </mc:Fallback>
        </mc:AlternateContent>
      </w:r>
      <w:r>
        <w:rPr>
          <w:rFonts w:ascii="Arial Narrow" w:hAnsi="Arial Narrow"/>
          <w:b/>
          <w:color w:val="FFFFFF"/>
          <w:spacing w:val="-2"/>
          <w:sz w:val="16"/>
        </w:rPr>
        <w:t>DENOMINACIÓN</w:t>
      </w:r>
    </w:p>
    <w:p>
      <w:pPr>
        <w:pStyle w:val="BodyText"/>
        <w:spacing w:before="8"/>
        <w:rPr>
          <w:rFonts w:ascii="Arial Narrow"/>
          <w:b/>
          <w:sz w:val="16"/>
        </w:rPr>
      </w:pPr>
      <w:r>
        <w:rPr/>
        <w:br w:type="column"/>
      </w:r>
      <w:r>
        <w:rPr>
          <w:rFonts w:ascii="Arial Narrow"/>
          <w:b/>
          <w:sz w:val="16"/>
        </w:rPr>
      </w:r>
    </w:p>
    <w:p>
      <w:pPr>
        <w:spacing w:before="0"/>
        <w:ind w:left="514" w:right="0" w:firstLine="0"/>
        <w:jc w:val="left"/>
        <w:rPr>
          <w:rFonts w:ascii="Arial Narrow"/>
          <w:b/>
          <w:sz w:val="16"/>
        </w:rPr>
      </w:pPr>
      <w:r>
        <w:rPr>
          <w:rFonts w:ascii="Arial Narrow"/>
          <w:b/>
          <w:color w:val="FFFFFF"/>
          <w:spacing w:val="-2"/>
          <w:sz w:val="16"/>
        </w:rPr>
        <w:t>CONTRATOS</w:t>
      </w:r>
    </w:p>
    <w:p>
      <w:pPr>
        <w:spacing w:after="0"/>
        <w:jc w:val="left"/>
        <w:rPr>
          <w:rFonts w:ascii="Arial Narrow"/>
          <w:b/>
          <w:sz w:val="16"/>
        </w:rPr>
        <w:sectPr>
          <w:type w:val="continuous"/>
          <w:pgSz w:w="11910" w:h="16840"/>
          <w:pgMar w:header="1227" w:footer="839" w:top="1680" w:bottom="280" w:left="141" w:right="141"/>
          <w:cols w:num="2" w:equalWidth="0">
            <w:col w:w="3514" w:space="40"/>
            <w:col w:w="8074"/>
          </w:cols>
        </w:sectPr>
      </w:pPr>
    </w:p>
    <w:p>
      <w:pPr>
        <w:pStyle w:val="BodyText"/>
        <w:rPr>
          <w:rFonts w:ascii="Arial Narrow"/>
          <w:b/>
          <w:sz w:val="16"/>
        </w:rPr>
      </w:pPr>
    </w:p>
    <w:p>
      <w:pPr>
        <w:pStyle w:val="BodyText"/>
        <w:rPr>
          <w:rFonts w:ascii="Arial Narrow"/>
          <w:b/>
          <w:sz w:val="16"/>
        </w:rPr>
      </w:pPr>
    </w:p>
    <w:p>
      <w:pPr>
        <w:pStyle w:val="BodyText"/>
        <w:spacing w:before="108"/>
        <w:rPr>
          <w:rFonts w:ascii="Arial Narrow"/>
          <w:b/>
          <w:sz w:val="16"/>
        </w:rPr>
      </w:pPr>
    </w:p>
    <w:p>
      <w:pPr>
        <w:spacing w:before="0"/>
        <w:ind w:left="2067" w:right="0" w:firstLine="0"/>
        <w:jc w:val="left"/>
        <w:rPr>
          <w:rFonts w:ascii="Arial Narrow"/>
          <w:sz w:val="16"/>
        </w:rPr>
      </w:pPr>
      <w:r>
        <w:rPr>
          <w:rFonts w:ascii="Arial Narrow"/>
          <w:sz w:val="16"/>
        </w:rPr>
        <w:t>destinados</w:t>
      </w:r>
      <w:r>
        <w:rPr>
          <w:rFonts w:ascii="Arial Narrow"/>
          <w:spacing w:val="-8"/>
          <w:sz w:val="16"/>
        </w:rPr>
        <w:t> </w:t>
      </w:r>
      <w:r>
        <w:rPr>
          <w:rFonts w:ascii="Arial Narrow"/>
          <w:sz w:val="16"/>
        </w:rPr>
        <w:t>a</w:t>
      </w:r>
      <w:r>
        <w:rPr>
          <w:rFonts w:ascii="Arial Narrow"/>
          <w:spacing w:val="-5"/>
          <w:sz w:val="16"/>
        </w:rPr>
        <w:t> </w:t>
      </w:r>
      <w:r>
        <w:rPr>
          <w:rFonts w:ascii="Arial Narrow"/>
          <w:sz w:val="16"/>
        </w:rPr>
        <w:t>paradas</w:t>
      </w:r>
      <w:r>
        <w:rPr>
          <w:rFonts w:ascii="Arial Narrow"/>
          <w:spacing w:val="-6"/>
          <w:sz w:val="16"/>
        </w:rPr>
        <w:t> </w:t>
      </w:r>
      <w:r>
        <w:rPr>
          <w:rFonts w:ascii="Arial Narrow"/>
          <w:spacing w:val="-5"/>
          <w:sz w:val="16"/>
        </w:rPr>
        <w:t>de</w:t>
      </w:r>
    </w:p>
    <w:p>
      <w:pPr>
        <w:pStyle w:val="BodyText"/>
        <w:rPr>
          <w:rFonts w:ascii="Arial Narrow"/>
          <w:sz w:val="16"/>
        </w:rPr>
      </w:pPr>
    </w:p>
    <w:p>
      <w:pPr>
        <w:pStyle w:val="BodyText"/>
        <w:spacing w:before="30"/>
        <w:rPr>
          <w:rFonts w:ascii="Arial Narrow"/>
          <w:sz w:val="16"/>
        </w:rPr>
      </w:pPr>
    </w:p>
    <w:p>
      <w:pPr>
        <w:spacing w:before="0"/>
        <w:ind w:left="2067" w:right="0" w:firstLine="0"/>
        <w:jc w:val="left"/>
        <w:rPr>
          <w:rFonts w:ascii="Arial Narrow" w:hAnsi="Arial Narrow"/>
          <w:sz w:val="16"/>
        </w:rPr>
      </w:pPr>
      <w:r>
        <w:rPr>
          <w:rFonts w:ascii="Arial Narrow" w:hAnsi="Arial Narrow"/>
          <w:sz w:val="16"/>
        </w:rPr>
        <w:t>podotáctil</w:t>
      </w:r>
      <w:r>
        <w:rPr>
          <w:rFonts w:ascii="Arial Narrow" w:hAnsi="Arial Narrow"/>
          <w:spacing w:val="-6"/>
          <w:sz w:val="16"/>
        </w:rPr>
        <w:t> </w:t>
      </w:r>
      <w:r>
        <w:rPr>
          <w:rFonts w:ascii="Arial Narrow" w:hAnsi="Arial Narrow"/>
          <w:sz w:val="16"/>
        </w:rPr>
        <w:t>en</w:t>
      </w:r>
      <w:r>
        <w:rPr>
          <w:rFonts w:ascii="Arial Narrow" w:hAnsi="Arial Narrow"/>
          <w:spacing w:val="-5"/>
          <w:sz w:val="16"/>
        </w:rPr>
        <w:t> </w:t>
      </w:r>
      <w:r>
        <w:rPr>
          <w:rFonts w:ascii="Arial Narrow" w:hAnsi="Arial Narrow"/>
          <w:sz w:val="16"/>
        </w:rPr>
        <w:t>paradas</w:t>
      </w:r>
      <w:r>
        <w:rPr>
          <w:rFonts w:ascii="Arial Narrow" w:hAnsi="Arial Narrow"/>
          <w:spacing w:val="-6"/>
          <w:sz w:val="16"/>
        </w:rPr>
        <w:t> </w:t>
      </w:r>
      <w:r>
        <w:rPr>
          <w:rFonts w:ascii="Arial Narrow" w:hAnsi="Arial Narrow"/>
          <w:sz w:val="16"/>
        </w:rPr>
        <w:t>de</w:t>
      </w:r>
      <w:r>
        <w:rPr>
          <w:rFonts w:ascii="Arial Narrow" w:hAnsi="Arial Narrow"/>
          <w:spacing w:val="-5"/>
          <w:sz w:val="16"/>
        </w:rPr>
        <w:t> bus</w:t>
      </w: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spacing w:before="52"/>
        <w:rPr>
          <w:rFonts w:ascii="Arial Narrow"/>
          <w:sz w:val="16"/>
        </w:rPr>
      </w:pPr>
    </w:p>
    <w:p>
      <w:pPr>
        <w:spacing w:before="0"/>
        <w:ind w:left="2067" w:right="0" w:firstLine="0"/>
        <w:jc w:val="left"/>
        <w:rPr>
          <w:rFonts w:ascii="Arial Narrow"/>
          <w:sz w:val="16"/>
        </w:rPr>
      </w:pPr>
      <w:r>
        <w:rPr>
          <w:rFonts w:ascii="Arial Narrow"/>
          <w:sz w:val="16"/>
        </w:rPr>
        <w:t>el</w:t>
      </w:r>
      <w:r>
        <w:rPr>
          <w:rFonts w:ascii="Arial Narrow"/>
          <w:spacing w:val="-5"/>
          <w:sz w:val="16"/>
        </w:rPr>
        <w:t> </w:t>
      </w:r>
      <w:r>
        <w:rPr>
          <w:rFonts w:ascii="Arial Narrow"/>
          <w:sz w:val="16"/>
        </w:rPr>
        <w:t>Parque</w:t>
      </w:r>
      <w:r>
        <w:rPr>
          <w:rFonts w:ascii="Arial Narrow"/>
          <w:spacing w:val="-4"/>
          <w:sz w:val="16"/>
        </w:rPr>
        <w:t> </w:t>
      </w:r>
      <w:r>
        <w:rPr>
          <w:rFonts w:ascii="Arial Narrow"/>
          <w:sz w:val="16"/>
        </w:rPr>
        <w:t>Santa</w:t>
      </w:r>
      <w:r>
        <w:rPr>
          <w:rFonts w:ascii="Arial Narrow"/>
          <w:spacing w:val="-4"/>
          <w:sz w:val="16"/>
        </w:rPr>
        <w:t> </w:t>
      </w:r>
      <w:r>
        <w:rPr>
          <w:rFonts w:ascii="Arial Narrow"/>
          <w:spacing w:val="-2"/>
          <w:sz w:val="16"/>
        </w:rPr>
        <w:t>Catalina.</w:t>
      </w:r>
    </w:p>
    <w:p>
      <w:pPr>
        <w:pStyle w:val="BodyText"/>
        <w:rPr>
          <w:rFonts w:ascii="Arial Narrow"/>
          <w:sz w:val="16"/>
        </w:rPr>
      </w:pPr>
    </w:p>
    <w:p>
      <w:pPr>
        <w:pStyle w:val="BodyText"/>
        <w:rPr>
          <w:rFonts w:ascii="Arial Narrow"/>
          <w:sz w:val="16"/>
        </w:rPr>
      </w:pPr>
    </w:p>
    <w:p>
      <w:pPr>
        <w:pStyle w:val="BodyText"/>
        <w:spacing w:before="10"/>
        <w:rPr>
          <w:rFonts w:ascii="Arial Narrow"/>
          <w:sz w:val="16"/>
        </w:rPr>
      </w:pPr>
    </w:p>
    <w:p>
      <w:pPr>
        <w:spacing w:before="0"/>
        <w:ind w:left="2067" w:right="0" w:firstLine="0"/>
        <w:jc w:val="left"/>
        <w:rPr>
          <w:rFonts w:ascii="Arial Narrow" w:hAnsi="Arial Narrow"/>
          <w:sz w:val="16"/>
        </w:rPr>
      </w:pPr>
      <w:r>
        <w:rPr>
          <w:rFonts w:ascii="Arial Narrow" w:hAnsi="Arial Narrow"/>
          <w:sz w:val="16"/>
        </w:rPr>
        <w:t>7-8:</w:t>
      </w:r>
      <w:r>
        <w:rPr>
          <w:rFonts w:ascii="Arial Narrow" w:hAnsi="Arial Narrow"/>
          <w:spacing w:val="-7"/>
          <w:sz w:val="16"/>
        </w:rPr>
        <w:t> </w:t>
      </w:r>
      <w:r>
        <w:rPr>
          <w:rFonts w:ascii="Arial Narrow" w:hAnsi="Arial Narrow"/>
          <w:sz w:val="16"/>
        </w:rPr>
        <w:t>Eduardo</w:t>
      </w:r>
      <w:r>
        <w:rPr>
          <w:rFonts w:ascii="Arial Narrow" w:hAnsi="Arial Narrow"/>
          <w:spacing w:val="-3"/>
          <w:sz w:val="16"/>
        </w:rPr>
        <w:t> </w:t>
      </w:r>
      <w:r>
        <w:rPr>
          <w:rFonts w:ascii="Arial Narrow" w:hAnsi="Arial Narrow"/>
          <w:sz w:val="16"/>
        </w:rPr>
        <w:t>Benot</w:t>
      </w:r>
      <w:r>
        <w:rPr>
          <w:rFonts w:ascii="Arial Narrow" w:hAnsi="Arial Narrow"/>
          <w:spacing w:val="-4"/>
          <w:sz w:val="16"/>
        </w:rPr>
        <w:t> </w:t>
      </w:r>
      <w:r>
        <w:rPr>
          <w:rFonts w:ascii="Arial Narrow" w:hAnsi="Arial Narrow"/>
          <w:sz w:val="16"/>
        </w:rPr>
        <w:t>–</w:t>
      </w:r>
      <w:r>
        <w:rPr>
          <w:rFonts w:ascii="Arial Narrow" w:hAnsi="Arial Narrow"/>
          <w:spacing w:val="-4"/>
          <w:sz w:val="16"/>
        </w:rPr>
        <w:t> Juan</w:t>
      </w:r>
    </w:p>
    <w:p>
      <w:pPr>
        <w:pStyle w:val="BodyText"/>
        <w:rPr>
          <w:rFonts w:ascii="Arial Narrow"/>
          <w:sz w:val="16"/>
        </w:rPr>
      </w:pPr>
    </w:p>
    <w:p>
      <w:pPr>
        <w:pStyle w:val="BodyText"/>
        <w:spacing w:before="11"/>
        <w:rPr>
          <w:rFonts w:ascii="Arial Narrow"/>
          <w:sz w:val="16"/>
        </w:rPr>
      </w:pPr>
    </w:p>
    <w:p>
      <w:pPr>
        <w:spacing w:before="0"/>
        <w:ind w:left="2067" w:right="0" w:firstLine="0"/>
        <w:jc w:val="left"/>
        <w:rPr>
          <w:rFonts w:ascii="Arial Narrow"/>
          <w:sz w:val="16"/>
        </w:rPr>
      </w:pPr>
      <w:r>
        <w:rPr>
          <w:rFonts w:ascii="Arial Narrow"/>
          <w:sz w:val="16"/>
        </w:rPr>
        <w:t>de</w:t>
      </w:r>
      <w:r>
        <w:rPr>
          <w:rFonts w:ascii="Arial Narrow"/>
          <w:spacing w:val="-2"/>
          <w:sz w:val="16"/>
        </w:rPr>
        <w:t> </w:t>
      </w:r>
      <w:r>
        <w:rPr>
          <w:rFonts w:ascii="Arial Narrow"/>
          <w:sz w:val="16"/>
        </w:rPr>
        <w:t>La</w:t>
      </w:r>
      <w:r>
        <w:rPr>
          <w:rFonts w:ascii="Arial Narrow"/>
          <w:spacing w:val="-2"/>
          <w:sz w:val="16"/>
        </w:rPr>
        <w:t> Plata</w:t>
      </w:r>
    </w:p>
    <w:p>
      <w:pPr>
        <w:pStyle w:val="BodyText"/>
        <w:spacing w:before="67"/>
        <w:rPr>
          <w:rFonts w:ascii="Arial Narrow"/>
          <w:sz w:val="20"/>
        </w:rPr>
      </w:pPr>
    </w:p>
    <w:p>
      <w:pPr>
        <w:pStyle w:val="BodyText"/>
        <w:spacing w:after="0"/>
        <w:rPr>
          <w:rFonts w:ascii="Arial Narrow"/>
          <w:sz w:val="20"/>
        </w:rPr>
        <w:sectPr>
          <w:type w:val="continuous"/>
          <w:pgSz w:w="11910" w:h="16840"/>
          <w:pgMar w:header="1227" w:footer="839" w:top="1680" w:bottom="280" w:left="141" w:right="141"/>
        </w:sectPr>
      </w:pPr>
    </w:p>
    <w:p>
      <w:pPr>
        <w:pStyle w:val="BodyText"/>
        <w:rPr>
          <w:rFonts w:ascii="Arial Narrow"/>
          <w:sz w:val="16"/>
        </w:rPr>
      </w:pPr>
    </w:p>
    <w:p>
      <w:pPr>
        <w:pStyle w:val="BodyText"/>
        <w:rPr>
          <w:rFonts w:ascii="Arial Narrow"/>
          <w:sz w:val="16"/>
        </w:rPr>
      </w:pPr>
    </w:p>
    <w:p>
      <w:pPr>
        <w:pStyle w:val="BodyText"/>
        <w:spacing w:before="167"/>
        <w:rPr>
          <w:rFonts w:ascii="Arial Narrow"/>
          <w:sz w:val="16"/>
        </w:rPr>
      </w:pPr>
    </w:p>
    <w:p>
      <w:pPr>
        <w:spacing w:before="0"/>
        <w:ind w:left="797" w:right="0" w:firstLine="0"/>
        <w:jc w:val="left"/>
        <w:rPr>
          <w:rFonts w:ascii="Arial Narrow" w:hAnsi="Arial Narrow"/>
          <w:b/>
          <w:sz w:val="16"/>
        </w:rPr>
      </w:pPr>
      <w:r>
        <w:rPr>
          <w:rFonts w:ascii="Arial Narrow" w:hAnsi="Arial Narrow"/>
          <w:b/>
          <w:spacing w:val="-2"/>
          <w:sz w:val="16"/>
        </w:rPr>
        <w:t>MÁLAGA</w:t>
      </w:r>
    </w:p>
    <w:p>
      <w:pPr>
        <w:spacing w:before="101"/>
        <w:ind w:left="652" w:right="0" w:firstLine="0"/>
        <w:jc w:val="left"/>
        <w:rPr>
          <w:rFonts w:ascii="Arial Narrow" w:hAnsi="Arial Narrow"/>
          <w:sz w:val="16"/>
        </w:rPr>
      </w:pPr>
      <w:r>
        <w:rPr/>
        <w:br w:type="column"/>
      </w:r>
      <w:r>
        <w:rPr>
          <w:rFonts w:ascii="Arial Narrow" w:hAnsi="Arial Narrow"/>
          <w:sz w:val="16"/>
        </w:rPr>
        <w:t>para</w:t>
      </w:r>
      <w:r>
        <w:rPr>
          <w:rFonts w:ascii="Arial Narrow" w:hAnsi="Arial Narrow"/>
          <w:spacing w:val="-10"/>
          <w:sz w:val="16"/>
        </w:rPr>
        <w:t> </w:t>
      </w:r>
      <w:r>
        <w:rPr>
          <w:rFonts w:ascii="Arial Narrow" w:hAnsi="Arial Narrow"/>
          <w:sz w:val="16"/>
        </w:rPr>
        <w:t>conexión</w:t>
      </w:r>
      <w:r>
        <w:rPr>
          <w:rFonts w:ascii="Arial Narrow" w:hAnsi="Arial Narrow"/>
          <w:spacing w:val="-9"/>
          <w:sz w:val="16"/>
        </w:rPr>
        <w:t> </w:t>
      </w:r>
      <w:r>
        <w:rPr>
          <w:rFonts w:ascii="Arial Narrow" w:hAnsi="Arial Narrow"/>
          <w:sz w:val="16"/>
        </w:rPr>
        <w:t>campus</w:t>
      </w:r>
      <w:r>
        <w:rPr>
          <w:rFonts w:ascii="Arial Narrow" w:hAnsi="Arial Narrow"/>
          <w:spacing w:val="40"/>
          <w:sz w:val="16"/>
        </w:rPr>
        <w:t> </w:t>
      </w:r>
      <w:r>
        <w:rPr>
          <w:rFonts w:ascii="Arial Narrow" w:hAnsi="Arial Narrow"/>
          <w:spacing w:val="-2"/>
          <w:sz w:val="16"/>
        </w:rPr>
        <w:t>universitario</w:t>
      </w:r>
    </w:p>
    <w:p>
      <w:pPr>
        <w:spacing w:before="10"/>
        <w:ind w:left="652" w:right="0" w:firstLine="0"/>
        <w:jc w:val="left"/>
        <w:rPr>
          <w:rFonts w:ascii="Arial Narrow" w:hAnsi="Arial Narrow"/>
          <w:sz w:val="16"/>
        </w:rPr>
      </w:pPr>
      <w:r>
        <w:rPr>
          <w:rFonts w:ascii="Arial Narrow" w:hAnsi="Arial Narrow"/>
          <w:sz w:val="16"/>
        </w:rPr>
        <mc:AlternateContent>
          <mc:Choice Requires="wps">
            <w:drawing>
              <wp:anchor distT="0" distB="0" distL="0" distR="0" allowOverlap="1" layoutInCell="1" locked="0" behindDoc="0" simplePos="0" relativeHeight="15747584">
                <wp:simplePos x="0" y="0"/>
                <wp:positionH relativeFrom="page">
                  <wp:posOffset>1358138</wp:posOffset>
                </wp:positionH>
                <wp:positionV relativeFrom="paragraph">
                  <wp:posOffset>637</wp:posOffset>
                </wp:positionV>
                <wp:extent cx="5654040" cy="6350"/>
                <wp:effectExtent l="0" t="0" r="0" b="0"/>
                <wp:wrapNone/>
                <wp:docPr id="146" name="Group 146"/>
                <wp:cNvGraphicFramePr>
                  <a:graphicFrameLocks/>
                </wp:cNvGraphicFramePr>
                <a:graphic>
                  <a:graphicData uri="http://schemas.microsoft.com/office/word/2010/wordprocessingGroup">
                    <wpg:wgp>
                      <wpg:cNvPr id="146" name="Group 146"/>
                      <wpg:cNvGrpSpPr/>
                      <wpg:grpSpPr>
                        <a:xfrm>
                          <a:off x="0" y="0"/>
                          <a:ext cx="5654040" cy="6350"/>
                          <a:chExt cx="5654040" cy="6350"/>
                        </a:xfrm>
                      </wpg:grpSpPr>
                      <wps:wsp>
                        <wps:cNvPr id="147" name="Graphic 147"/>
                        <wps:cNvSpPr/>
                        <wps:spPr>
                          <a:xfrm>
                            <a:off x="0" y="0"/>
                            <a:ext cx="3245485" cy="6350"/>
                          </a:xfrm>
                          <a:custGeom>
                            <a:avLst/>
                            <a:gdLst/>
                            <a:ahLst/>
                            <a:cxnLst/>
                            <a:rect l="l" t="t" r="r" b="b"/>
                            <a:pathLst>
                              <a:path w="3245485" h="6350">
                                <a:moveTo>
                                  <a:pt x="1265224" y="0"/>
                                </a:moveTo>
                                <a:lnTo>
                                  <a:pt x="0" y="0"/>
                                </a:lnTo>
                                <a:lnTo>
                                  <a:pt x="0" y="6096"/>
                                </a:lnTo>
                                <a:lnTo>
                                  <a:pt x="1265224" y="6096"/>
                                </a:lnTo>
                                <a:lnTo>
                                  <a:pt x="1265224" y="0"/>
                                </a:lnTo>
                                <a:close/>
                              </a:path>
                              <a:path w="3245485" h="6350">
                                <a:moveTo>
                                  <a:pt x="1271384" y="0"/>
                                </a:moveTo>
                                <a:lnTo>
                                  <a:pt x="1265301" y="0"/>
                                </a:lnTo>
                                <a:lnTo>
                                  <a:pt x="1265301" y="6096"/>
                                </a:lnTo>
                                <a:lnTo>
                                  <a:pt x="1271384" y="6096"/>
                                </a:lnTo>
                                <a:lnTo>
                                  <a:pt x="1271384" y="0"/>
                                </a:lnTo>
                                <a:close/>
                              </a:path>
                              <a:path w="3245485" h="6350">
                                <a:moveTo>
                                  <a:pt x="2621902" y="0"/>
                                </a:moveTo>
                                <a:lnTo>
                                  <a:pt x="2621902" y="0"/>
                                </a:lnTo>
                                <a:lnTo>
                                  <a:pt x="1271397" y="0"/>
                                </a:lnTo>
                                <a:lnTo>
                                  <a:pt x="1271397" y="6096"/>
                                </a:lnTo>
                                <a:lnTo>
                                  <a:pt x="2621902" y="6096"/>
                                </a:lnTo>
                                <a:lnTo>
                                  <a:pt x="2621902" y="0"/>
                                </a:lnTo>
                                <a:close/>
                              </a:path>
                              <a:path w="3245485" h="6350">
                                <a:moveTo>
                                  <a:pt x="3245218" y="0"/>
                                </a:moveTo>
                                <a:lnTo>
                                  <a:pt x="2621915" y="0"/>
                                </a:lnTo>
                                <a:lnTo>
                                  <a:pt x="2621915" y="6096"/>
                                </a:lnTo>
                                <a:lnTo>
                                  <a:pt x="3245218" y="6096"/>
                                </a:lnTo>
                                <a:lnTo>
                                  <a:pt x="3245218" y="0"/>
                                </a:lnTo>
                                <a:close/>
                              </a:path>
                            </a:pathLst>
                          </a:custGeom>
                          <a:solidFill>
                            <a:srgbClr val="002D5D"/>
                          </a:solidFill>
                        </wps:spPr>
                        <wps:bodyPr wrap="square" lIns="0" tIns="0" rIns="0" bIns="0" rtlCol="0">
                          <a:prstTxWarp prst="textNoShape">
                            <a:avLst/>
                          </a:prstTxWarp>
                          <a:noAutofit/>
                        </wps:bodyPr>
                      </wps:wsp>
                      <wps:wsp>
                        <wps:cNvPr id="148" name="Graphic 148"/>
                        <wps:cNvSpPr/>
                        <wps:spPr>
                          <a:xfrm>
                            <a:off x="3245231" y="0"/>
                            <a:ext cx="732155" cy="6350"/>
                          </a:xfrm>
                          <a:custGeom>
                            <a:avLst/>
                            <a:gdLst/>
                            <a:ahLst/>
                            <a:cxnLst/>
                            <a:rect l="l" t="t" r="r" b="b"/>
                            <a:pathLst>
                              <a:path w="732155" h="6350">
                                <a:moveTo>
                                  <a:pt x="629716" y="12"/>
                                </a:moveTo>
                                <a:lnTo>
                                  <a:pt x="0" y="12"/>
                                </a:lnTo>
                                <a:lnTo>
                                  <a:pt x="0" y="3048"/>
                                </a:lnTo>
                                <a:lnTo>
                                  <a:pt x="629716" y="3048"/>
                                </a:lnTo>
                                <a:lnTo>
                                  <a:pt x="629716" y="12"/>
                                </a:lnTo>
                                <a:close/>
                              </a:path>
                              <a:path w="732155" h="6350">
                                <a:moveTo>
                                  <a:pt x="731901" y="0"/>
                                </a:moveTo>
                                <a:lnTo>
                                  <a:pt x="629793" y="0"/>
                                </a:lnTo>
                                <a:lnTo>
                                  <a:pt x="629793" y="6096"/>
                                </a:lnTo>
                                <a:lnTo>
                                  <a:pt x="731901" y="6096"/>
                                </a:lnTo>
                                <a:lnTo>
                                  <a:pt x="731901" y="0"/>
                                </a:lnTo>
                                <a:close/>
                              </a:path>
                            </a:pathLst>
                          </a:custGeom>
                          <a:solidFill>
                            <a:srgbClr val="001F5F"/>
                          </a:solidFill>
                        </wps:spPr>
                        <wps:bodyPr wrap="square" lIns="0" tIns="0" rIns="0" bIns="0" rtlCol="0">
                          <a:prstTxWarp prst="textNoShape">
                            <a:avLst/>
                          </a:prstTxWarp>
                          <a:noAutofit/>
                        </wps:bodyPr>
                      </wps:wsp>
                      <wps:wsp>
                        <wps:cNvPr id="149" name="Graphic 149"/>
                        <wps:cNvSpPr/>
                        <wps:spPr>
                          <a:xfrm>
                            <a:off x="3977132" y="0"/>
                            <a:ext cx="1068705" cy="6350"/>
                          </a:xfrm>
                          <a:custGeom>
                            <a:avLst/>
                            <a:gdLst/>
                            <a:ahLst/>
                            <a:cxnLst/>
                            <a:rect l="l" t="t" r="r" b="b"/>
                            <a:pathLst>
                              <a:path w="1068705" h="6350">
                                <a:moveTo>
                                  <a:pt x="6083" y="0"/>
                                </a:moveTo>
                                <a:lnTo>
                                  <a:pt x="0" y="0"/>
                                </a:lnTo>
                                <a:lnTo>
                                  <a:pt x="0" y="6096"/>
                                </a:lnTo>
                                <a:lnTo>
                                  <a:pt x="6083" y="6096"/>
                                </a:lnTo>
                                <a:lnTo>
                                  <a:pt x="6083" y="0"/>
                                </a:lnTo>
                                <a:close/>
                              </a:path>
                              <a:path w="1068705" h="6350">
                                <a:moveTo>
                                  <a:pt x="804659" y="0"/>
                                </a:moveTo>
                                <a:lnTo>
                                  <a:pt x="804659" y="0"/>
                                </a:lnTo>
                                <a:lnTo>
                                  <a:pt x="6096" y="0"/>
                                </a:lnTo>
                                <a:lnTo>
                                  <a:pt x="6096" y="6096"/>
                                </a:lnTo>
                                <a:lnTo>
                                  <a:pt x="804659" y="6096"/>
                                </a:lnTo>
                                <a:lnTo>
                                  <a:pt x="804659" y="0"/>
                                </a:lnTo>
                                <a:close/>
                              </a:path>
                              <a:path w="1068705" h="6350">
                                <a:moveTo>
                                  <a:pt x="1068628" y="0"/>
                                </a:moveTo>
                                <a:lnTo>
                                  <a:pt x="804672" y="0"/>
                                </a:lnTo>
                                <a:lnTo>
                                  <a:pt x="804672" y="6096"/>
                                </a:lnTo>
                                <a:lnTo>
                                  <a:pt x="1068628" y="6096"/>
                                </a:lnTo>
                                <a:lnTo>
                                  <a:pt x="1068628" y="0"/>
                                </a:lnTo>
                                <a:close/>
                              </a:path>
                            </a:pathLst>
                          </a:custGeom>
                          <a:solidFill>
                            <a:srgbClr val="002D5D"/>
                          </a:solidFill>
                        </wps:spPr>
                        <wps:bodyPr wrap="square" lIns="0" tIns="0" rIns="0" bIns="0" rtlCol="0">
                          <a:prstTxWarp prst="textNoShape">
                            <a:avLst/>
                          </a:prstTxWarp>
                          <a:noAutofit/>
                        </wps:bodyPr>
                      </wps:wsp>
                      <wps:wsp>
                        <wps:cNvPr id="150" name="Graphic 150"/>
                        <wps:cNvSpPr/>
                        <wps:spPr>
                          <a:xfrm>
                            <a:off x="5045710" y="0"/>
                            <a:ext cx="608330" cy="6350"/>
                          </a:xfrm>
                          <a:custGeom>
                            <a:avLst/>
                            <a:gdLst/>
                            <a:ahLst/>
                            <a:cxnLst/>
                            <a:rect l="l" t="t" r="r" b="b"/>
                            <a:pathLst>
                              <a:path w="608330" h="6350">
                                <a:moveTo>
                                  <a:pt x="608076" y="0"/>
                                </a:moveTo>
                                <a:lnTo>
                                  <a:pt x="6096" y="0"/>
                                </a:lnTo>
                                <a:lnTo>
                                  <a:pt x="0" y="0"/>
                                </a:lnTo>
                                <a:lnTo>
                                  <a:pt x="0" y="6096"/>
                                </a:lnTo>
                                <a:lnTo>
                                  <a:pt x="6096" y="6096"/>
                                </a:lnTo>
                                <a:lnTo>
                                  <a:pt x="608076" y="6096"/>
                                </a:lnTo>
                                <a:lnTo>
                                  <a:pt x="608076" y="0"/>
                                </a:lnTo>
                                <a:close/>
                              </a:path>
                            </a:pathLst>
                          </a:custGeom>
                          <a:solidFill>
                            <a:srgbClr val="001F5F"/>
                          </a:solidFill>
                        </wps:spPr>
                        <wps:bodyPr wrap="square" lIns="0" tIns="0" rIns="0" bIns="0" rtlCol="0">
                          <a:prstTxWarp prst="textNoShape">
                            <a:avLst/>
                          </a:prstTxWarp>
                          <a:noAutofit/>
                        </wps:bodyPr>
                      </wps:wsp>
                    </wpg:wgp>
                  </a:graphicData>
                </a:graphic>
              </wp:anchor>
            </w:drawing>
          </mc:Choice>
          <mc:Fallback>
            <w:pict>
              <v:group style="position:absolute;margin-left:106.940002pt;margin-top:.050166pt;width:445.2pt;height:.5pt;mso-position-horizontal-relative:page;mso-position-vertical-relative:paragraph;z-index:15747584" id="docshapegroup128" coordorigin="2139,1" coordsize="8904,10">
                <v:shape style="position:absolute;left:2138;top:1;width:5111;height:10" id="docshape129" coordorigin="2139,1" coordsize="5111,10" path="m4131,1l2139,1,2139,11,4131,11,4131,1xm4141,1l4131,1,4131,11,4141,11,4141,1xm6268,1l6258,1,6258,1,5127,1,5118,1,4141,1,4141,11,5118,11,5127,11,6258,11,6258,11,6268,11,6268,1xm7249,1l6268,1,6268,11,7249,11,7249,1xe" filled="true" fillcolor="#002d5d" stroked="false">
                  <v:path arrowok="t"/>
                  <v:fill type="solid"/>
                </v:shape>
                <v:shape style="position:absolute;left:7249;top:1;width:1153;height:10" id="docshape130" coordorigin="7249,1" coordsize="1153,10" path="m8241,1l7249,1,7249,6,8241,6,8241,1xm8402,1l8241,1,8241,11,8402,11,8402,1xe" filled="true" fillcolor="#001f5f" stroked="false">
                  <v:path arrowok="t"/>
                  <v:fill type="solid"/>
                </v:shape>
                <v:shape style="position:absolute;left:8402;top:1;width:1683;height:10" id="docshape131" coordorigin="8402,1" coordsize="1683,10" path="m8412,1l8402,1,8402,11,8412,11,8412,1xm9669,1l9660,1,9244,1,9235,1,8820,1,8810,1,8412,1,8412,11,8810,11,8820,11,9235,11,9244,11,9660,11,9669,11,9669,1xm10085,1l9669,1,9669,11,10085,11,10085,1xe" filled="true" fillcolor="#002d5d" stroked="false">
                  <v:path arrowok="t"/>
                  <v:fill type="solid"/>
                </v:shape>
                <v:shape style="position:absolute;left:10084;top:1;width:958;height:10" id="docshape132" coordorigin="10085,1" coordsize="958,10" path="m11042,1l10094,1,10085,1,10085,11,10094,11,11042,11,11042,1xe" filled="true" fillcolor="#001f5f" stroked="false">
                  <v:path arrowok="t"/>
                  <v:fill type="solid"/>
                </v:shape>
                <w10:wrap type="none"/>
              </v:group>
            </w:pict>
          </mc:Fallback>
        </mc:AlternateContent>
      </w:r>
      <w:r>
        <w:rPr>
          <w:rFonts w:ascii="Arial Narrow" w:hAnsi="Arial Narrow"/>
          <w:sz w:val="16"/>
        </w:rPr>
        <mc:AlternateContent>
          <mc:Choice Requires="wps">
            <w:drawing>
              <wp:anchor distT="0" distB="0" distL="0" distR="0" allowOverlap="1" layoutInCell="1" locked="0" behindDoc="0" simplePos="0" relativeHeight="15748096">
                <wp:simplePos x="0" y="0"/>
                <wp:positionH relativeFrom="page">
                  <wp:posOffset>1358138</wp:posOffset>
                </wp:positionH>
                <wp:positionV relativeFrom="paragraph">
                  <wp:posOffset>474855</wp:posOffset>
                </wp:positionV>
                <wp:extent cx="5654040" cy="6350"/>
                <wp:effectExtent l="0" t="0" r="0" b="0"/>
                <wp:wrapNone/>
                <wp:docPr id="151" name="Group 151"/>
                <wp:cNvGraphicFramePr>
                  <a:graphicFrameLocks/>
                </wp:cNvGraphicFramePr>
                <a:graphic>
                  <a:graphicData uri="http://schemas.microsoft.com/office/word/2010/wordprocessingGroup">
                    <wpg:wgp>
                      <wpg:cNvPr id="151" name="Group 151"/>
                      <wpg:cNvGrpSpPr/>
                      <wpg:grpSpPr>
                        <a:xfrm>
                          <a:off x="0" y="0"/>
                          <a:ext cx="5654040" cy="6350"/>
                          <a:chExt cx="5654040" cy="6350"/>
                        </a:xfrm>
                      </wpg:grpSpPr>
                      <wps:wsp>
                        <wps:cNvPr id="152" name="Graphic 152"/>
                        <wps:cNvSpPr/>
                        <wps:spPr>
                          <a:xfrm>
                            <a:off x="0" y="0"/>
                            <a:ext cx="3875404" cy="6350"/>
                          </a:xfrm>
                          <a:custGeom>
                            <a:avLst/>
                            <a:gdLst/>
                            <a:ahLst/>
                            <a:cxnLst/>
                            <a:rect l="l" t="t" r="r" b="b"/>
                            <a:pathLst>
                              <a:path w="3875404" h="6350">
                                <a:moveTo>
                                  <a:pt x="1265224" y="0"/>
                                </a:moveTo>
                                <a:lnTo>
                                  <a:pt x="0" y="0"/>
                                </a:lnTo>
                                <a:lnTo>
                                  <a:pt x="0" y="6096"/>
                                </a:lnTo>
                                <a:lnTo>
                                  <a:pt x="1265224" y="6096"/>
                                </a:lnTo>
                                <a:lnTo>
                                  <a:pt x="1265224" y="0"/>
                                </a:lnTo>
                                <a:close/>
                              </a:path>
                              <a:path w="3875404" h="6350">
                                <a:moveTo>
                                  <a:pt x="1271384" y="0"/>
                                </a:moveTo>
                                <a:lnTo>
                                  <a:pt x="1265301" y="0"/>
                                </a:lnTo>
                                <a:lnTo>
                                  <a:pt x="1265301" y="6096"/>
                                </a:lnTo>
                                <a:lnTo>
                                  <a:pt x="1271384" y="6096"/>
                                </a:lnTo>
                                <a:lnTo>
                                  <a:pt x="1271384" y="0"/>
                                </a:lnTo>
                                <a:close/>
                              </a:path>
                              <a:path w="3875404" h="6350">
                                <a:moveTo>
                                  <a:pt x="2621902" y="0"/>
                                </a:moveTo>
                                <a:lnTo>
                                  <a:pt x="2621902" y="0"/>
                                </a:lnTo>
                                <a:lnTo>
                                  <a:pt x="1271397" y="0"/>
                                </a:lnTo>
                                <a:lnTo>
                                  <a:pt x="1271397" y="6096"/>
                                </a:lnTo>
                                <a:lnTo>
                                  <a:pt x="2621902" y="6096"/>
                                </a:lnTo>
                                <a:lnTo>
                                  <a:pt x="2621902" y="0"/>
                                </a:lnTo>
                                <a:close/>
                              </a:path>
                              <a:path w="3875404" h="6350">
                                <a:moveTo>
                                  <a:pt x="3245218" y="0"/>
                                </a:moveTo>
                                <a:lnTo>
                                  <a:pt x="2621915" y="0"/>
                                </a:lnTo>
                                <a:lnTo>
                                  <a:pt x="2621915" y="6096"/>
                                </a:lnTo>
                                <a:lnTo>
                                  <a:pt x="3245218" y="6096"/>
                                </a:lnTo>
                                <a:lnTo>
                                  <a:pt x="3245218" y="0"/>
                                </a:lnTo>
                                <a:close/>
                              </a:path>
                              <a:path w="3875404" h="6350">
                                <a:moveTo>
                                  <a:pt x="3251314" y="0"/>
                                </a:moveTo>
                                <a:lnTo>
                                  <a:pt x="3245231" y="0"/>
                                </a:lnTo>
                                <a:lnTo>
                                  <a:pt x="3245231" y="6096"/>
                                </a:lnTo>
                                <a:lnTo>
                                  <a:pt x="3251314" y="6096"/>
                                </a:lnTo>
                                <a:lnTo>
                                  <a:pt x="3251314" y="0"/>
                                </a:lnTo>
                                <a:close/>
                              </a:path>
                              <a:path w="3875404" h="6350">
                                <a:moveTo>
                                  <a:pt x="3874947" y="0"/>
                                </a:moveTo>
                                <a:lnTo>
                                  <a:pt x="3251327" y="0"/>
                                </a:lnTo>
                                <a:lnTo>
                                  <a:pt x="3251327" y="6096"/>
                                </a:lnTo>
                                <a:lnTo>
                                  <a:pt x="3874947" y="6096"/>
                                </a:lnTo>
                                <a:lnTo>
                                  <a:pt x="3874947" y="0"/>
                                </a:lnTo>
                                <a:close/>
                              </a:path>
                            </a:pathLst>
                          </a:custGeom>
                          <a:solidFill>
                            <a:srgbClr val="002D5D"/>
                          </a:solidFill>
                        </wps:spPr>
                        <wps:bodyPr wrap="square" lIns="0" tIns="0" rIns="0" bIns="0" rtlCol="0">
                          <a:prstTxWarp prst="textNoShape">
                            <a:avLst/>
                          </a:prstTxWarp>
                          <a:noAutofit/>
                        </wps:bodyPr>
                      </wps:wsp>
                      <wps:wsp>
                        <wps:cNvPr id="153" name="Graphic 153"/>
                        <wps:cNvSpPr/>
                        <wps:spPr>
                          <a:xfrm>
                            <a:off x="3875024" y="0"/>
                            <a:ext cx="102235" cy="6350"/>
                          </a:xfrm>
                          <a:custGeom>
                            <a:avLst/>
                            <a:gdLst/>
                            <a:ahLst/>
                            <a:cxnLst/>
                            <a:rect l="l" t="t" r="r" b="b"/>
                            <a:pathLst>
                              <a:path w="102235" h="6350">
                                <a:moveTo>
                                  <a:pt x="102108" y="0"/>
                                </a:moveTo>
                                <a:lnTo>
                                  <a:pt x="6096" y="0"/>
                                </a:lnTo>
                                <a:lnTo>
                                  <a:pt x="0" y="0"/>
                                </a:lnTo>
                                <a:lnTo>
                                  <a:pt x="0" y="6096"/>
                                </a:lnTo>
                                <a:lnTo>
                                  <a:pt x="6096" y="6096"/>
                                </a:lnTo>
                                <a:lnTo>
                                  <a:pt x="102108" y="6096"/>
                                </a:lnTo>
                                <a:lnTo>
                                  <a:pt x="102108" y="0"/>
                                </a:lnTo>
                                <a:close/>
                              </a:path>
                            </a:pathLst>
                          </a:custGeom>
                          <a:solidFill>
                            <a:srgbClr val="001F5F"/>
                          </a:solidFill>
                        </wps:spPr>
                        <wps:bodyPr wrap="square" lIns="0" tIns="0" rIns="0" bIns="0" rtlCol="0">
                          <a:prstTxWarp prst="textNoShape">
                            <a:avLst/>
                          </a:prstTxWarp>
                          <a:noAutofit/>
                        </wps:bodyPr>
                      </wps:wsp>
                      <wps:wsp>
                        <wps:cNvPr id="154" name="Graphic 154"/>
                        <wps:cNvSpPr/>
                        <wps:spPr>
                          <a:xfrm>
                            <a:off x="3977132" y="0"/>
                            <a:ext cx="1068705" cy="6350"/>
                          </a:xfrm>
                          <a:custGeom>
                            <a:avLst/>
                            <a:gdLst/>
                            <a:ahLst/>
                            <a:cxnLst/>
                            <a:rect l="l" t="t" r="r" b="b"/>
                            <a:pathLst>
                              <a:path w="1068705" h="6350">
                                <a:moveTo>
                                  <a:pt x="6083" y="0"/>
                                </a:moveTo>
                                <a:lnTo>
                                  <a:pt x="0" y="0"/>
                                </a:lnTo>
                                <a:lnTo>
                                  <a:pt x="0" y="6096"/>
                                </a:lnTo>
                                <a:lnTo>
                                  <a:pt x="6083" y="6096"/>
                                </a:lnTo>
                                <a:lnTo>
                                  <a:pt x="6083" y="0"/>
                                </a:lnTo>
                                <a:close/>
                              </a:path>
                              <a:path w="1068705" h="6350">
                                <a:moveTo>
                                  <a:pt x="804659" y="0"/>
                                </a:moveTo>
                                <a:lnTo>
                                  <a:pt x="804659" y="0"/>
                                </a:lnTo>
                                <a:lnTo>
                                  <a:pt x="6096" y="0"/>
                                </a:lnTo>
                                <a:lnTo>
                                  <a:pt x="6096" y="6096"/>
                                </a:lnTo>
                                <a:lnTo>
                                  <a:pt x="804659" y="6096"/>
                                </a:lnTo>
                                <a:lnTo>
                                  <a:pt x="804659" y="0"/>
                                </a:lnTo>
                                <a:close/>
                              </a:path>
                              <a:path w="1068705" h="6350">
                                <a:moveTo>
                                  <a:pt x="1068628" y="0"/>
                                </a:moveTo>
                                <a:lnTo>
                                  <a:pt x="804672" y="0"/>
                                </a:lnTo>
                                <a:lnTo>
                                  <a:pt x="804672" y="6096"/>
                                </a:lnTo>
                                <a:lnTo>
                                  <a:pt x="1068628" y="6096"/>
                                </a:lnTo>
                                <a:lnTo>
                                  <a:pt x="1068628" y="0"/>
                                </a:lnTo>
                                <a:close/>
                              </a:path>
                            </a:pathLst>
                          </a:custGeom>
                          <a:solidFill>
                            <a:srgbClr val="002D5D"/>
                          </a:solidFill>
                        </wps:spPr>
                        <wps:bodyPr wrap="square" lIns="0" tIns="0" rIns="0" bIns="0" rtlCol="0">
                          <a:prstTxWarp prst="textNoShape">
                            <a:avLst/>
                          </a:prstTxWarp>
                          <a:noAutofit/>
                        </wps:bodyPr>
                      </wps:wsp>
                      <wps:wsp>
                        <wps:cNvPr id="155" name="Graphic 155"/>
                        <wps:cNvSpPr/>
                        <wps:spPr>
                          <a:xfrm>
                            <a:off x="5045710" y="0"/>
                            <a:ext cx="608330" cy="6350"/>
                          </a:xfrm>
                          <a:custGeom>
                            <a:avLst/>
                            <a:gdLst/>
                            <a:ahLst/>
                            <a:cxnLst/>
                            <a:rect l="l" t="t" r="r" b="b"/>
                            <a:pathLst>
                              <a:path w="608330" h="6350">
                                <a:moveTo>
                                  <a:pt x="608076" y="0"/>
                                </a:moveTo>
                                <a:lnTo>
                                  <a:pt x="6096" y="0"/>
                                </a:lnTo>
                                <a:lnTo>
                                  <a:pt x="0" y="0"/>
                                </a:lnTo>
                                <a:lnTo>
                                  <a:pt x="0" y="6096"/>
                                </a:lnTo>
                                <a:lnTo>
                                  <a:pt x="6096" y="6096"/>
                                </a:lnTo>
                                <a:lnTo>
                                  <a:pt x="608076" y="6096"/>
                                </a:lnTo>
                                <a:lnTo>
                                  <a:pt x="608076" y="0"/>
                                </a:lnTo>
                                <a:close/>
                              </a:path>
                            </a:pathLst>
                          </a:custGeom>
                          <a:solidFill>
                            <a:srgbClr val="001F5F"/>
                          </a:solidFill>
                        </wps:spPr>
                        <wps:bodyPr wrap="square" lIns="0" tIns="0" rIns="0" bIns="0" rtlCol="0">
                          <a:prstTxWarp prst="textNoShape">
                            <a:avLst/>
                          </a:prstTxWarp>
                          <a:noAutofit/>
                        </wps:bodyPr>
                      </wps:wsp>
                    </wpg:wgp>
                  </a:graphicData>
                </a:graphic>
              </wp:anchor>
            </w:drawing>
          </mc:Choice>
          <mc:Fallback>
            <w:pict>
              <v:group style="position:absolute;margin-left:106.940002pt;margin-top:37.390167pt;width:445.2pt;height:.5pt;mso-position-horizontal-relative:page;mso-position-vertical-relative:paragraph;z-index:15748096" id="docshapegroup133" coordorigin="2139,748" coordsize="8904,10">
                <v:shape style="position:absolute;left:2138;top:747;width:6103;height:10" id="docshape134" coordorigin="2139,748" coordsize="6103,10" path="m4131,748l2139,748,2139,757,4131,757,4131,748xm4141,748l4131,748,4131,757,4141,757,4141,748xm6268,748l6258,748,6258,748,5127,748,5118,748,4141,748,4141,757,5118,757,5127,757,6258,757,6258,757,6268,757,6268,748xm7249,748l6268,748,6268,757,7249,757,7249,748xm7259,748l7249,748,7249,757,7259,757,7259,748xm8241,748l7259,748,7259,757,8241,757,8241,748xe" filled="true" fillcolor="#002d5d" stroked="false">
                  <v:path arrowok="t"/>
                  <v:fill type="solid"/>
                </v:shape>
                <v:shape style="position:absolute;left:8241;top:747;width:161;height:10" id="docshape135" coordorigin="8241,748" coordsize="161,10" path="m8402,748l8251,748,8241,748,8241,757,8251,757,8402,757,8402,748xe" filled="true" fillcolor="#001f5f" stroked="false">
                  <v:path arrowok="t"/>
                  <v:fill type="solid"/>
                </v:shape>
                <v:shape style="position:absolute;left:8402;top:747;width:1683;height:10" id="docshape136" coordorigin="8402,748" coordsize="1683,10" path="m8412,748l8402,748,8402,757,8412,757,8412,748xm9669,748l9660,748,9244,748,9235,748,8820,748,8810,748,8412,748,8412,757,8810,757,8820,757,9235,757,9244,757,9660,757,9669,757,9669,748xm10085,748l9669,748,9669,757,10085,757,10085,748xe" filled="true" fillcolor="#002d5d" stroked="false">
                  <v:path arrowok="t"/>
                  <v:fill type="solid"/>
                </v:shape>
                <v:shape style="position:absolute;left:10084;top:747;width:958;height:10" id="docshape137" coordorigin="10085,748" coordsize="958,10" path="m11042,748l10094,748,10085,748,10085,757,10094,757,11042,757,11042,748xe" filled="true" fillcolor="#001f5f" stroked="false">
                  <v:path arrowok="t"/>
                  <v:fill type="solid"/>
                </v:shape>
                <w10:wrap type="none"/>
              </v:group>
            </w:pict>
          </mc:Fallback>
        </mc:AlternateContent>
      </w:r>
      <w:r>
        <w:rPr>
          <w:rFonts w:ascii="Arial Narrow" w:hAnsi="Arial Narrow"/>
          <w:sz w:val="16"/>
        </w:rPr>
        <w:t>Priorización en el viario y</w:t>
      </w:r>
      <w:r>
        <w:rPr>
          <w:rFonts w:ascii="Arial Narrow" w:hAnsi="Arial Narrow"/>
          <w:spacing w:val="40"/>
          <w:sz w:val="16"/>
        </w:rPr>
        <w:t> </w:t>
      </w:r>
      <w:r>
        <w:rPr>
          <w:rFonts w:ascii="Arial Narrow" w:hAnsi="Arial Narrow"/>
          <w:sz w:val="16"/>
        </w:rPr>
        <w:t>construcción de paradas</w:t>
      </w:r>
      <w:r>
        <w:rPr>
          <w:rFonts w:ascii="Arial Narrow" w:hAnsi="Arial Narrow"/>
          <w:spacing w:val="40"/>
          <w:sz w:val="16"/>
        </w:rPr>
        <w:t> </w:t>
      </w:r>
      <w:r>
        <w:rPr>
          <w:rFonts w:ascii="Arial Narrow" w:hAnsi="Arial Narrow"/>
          <w:sz w:val="16"/>
        </w:rPr>
        <w:t>accesibles</w:t>
      </w:r>
      <w:r>
        <w:rPr>
          <w:rFonts w:ascii="Arial Narrow" w:hAnsi="Arial Narrow"/>
          <w:spacing w:val="-9"/>
          <w:sz w:val="16"/>
        </w:rPr>
        <w:t> </w:t>
      </w:r>
      <w:r>
        <w:rPr>
          <w:rFonts w:ascii="Arial Narrow" w:hAnsi="Arial Narrow"/>
          <w:sz w:val="16"/>
        </w:rPr>
        <w:t>en</w:t>
      </w:r>
      <w:r>
        <w:rPr>
          <w:rFonts w:ascii="Arial Narrow" w:hAnsi="Arial Narrow"/>
          <w:spacing w:val="-9"/>
          <w:sz w:val="16"/>
        </w:rPr>
        <w:t> </w:t>
      </w:r>
      <w:r>
        <w:rPr>
          <w:rFonts w:ascii="Arial Narrow" w:hAnsi="Arial Narrow"/>
          <w:sz w:val="16"/>
        </w:rPr>
        <w:t>la</w:t>
      </w:r>
      <w:r>
        <w:rPr>
          <w:rFonts w:ascii="Arial Narrow" w:hAnsi="Arial Narrow"/>
          <w:spacing w:val="-9"/>
          <w:sz w:val="16"/>
        </w:rPr>
        <w:t> </w:t>
      </w:r>
      <w:r>
        <w:rPr>
          <w:rFonts w:ascii="Arial Narrow" w:hAnsi="Arial Narrow"/>
          <w:sz w:val="16"/>
        </w:rPr>
        <w:t>Zona</w:t>
      </w:r>
      <w:r>
        <w:rPr>
          <w:rFonts w:ascii="Arial Narrow" w:hAnsi="Arial Narrow"/>
          <w:spacing w:val="-9"/>
          <w:sz w:val="16"/>
        </w:rPr>
        <w:t> </w:t>
      </w:r>
      <w:r>
        <w:rPr>
          <w:rFonts w:ascii="Arial Narrow" w:hAnsi="Arial Narrow"/>
          <w:sz w:val="16"/>
        </w:rPr>
        <w:t>Este</w:t>
      </w:r>
      <w:r>
        <w:rPr>
          <w:rFonts w:ascii="Cambria Math" w:hAnsi="Cambria Math"/>
          <w:sz w:val="16"/>
        </w:rPr>
        <w:t>-</w:t>
      </w:r>
      <w:r>
        <w:rPr>
          <w:rFonts w:ascii="Arial Narrow" w:hAnsi="Arial Narrow"/>
          <w:sz w:val="16"/>
        </w:rPr>
        <w:t>Norte y Teatinos.</w:t>
      </w:r>
    </w:p>
    <w:p>
      <w:pPr>
        <w:spacing w:before="10"/>
        <w:ind w:left="652" w:right="114" w:firstLine="0"/>
        <w:jc w:val="left"/>
        <w:rPr>
          <w:rFonts w:ascii="Arial Narrow" w:hAnsi="Arial Narrow"/>
          <w:sz w:val="16"/>
        </w:rPr>
      </w:pPr>
      <w:r>
        <w:rPr>
          <w:rFonts w:ascii="Arial Narrow" w:hAnsi="Arial Narrow"/>
          <w:sz w:val="16"/>
        </w:rPr>
        <w:t>Mejora</w:t>
      </w:r>
      <w:r>
        <w:rPr>
          <w:rFonts w:ascii="Arial Narrow" w:hAnsi="Arial Narrow"/>
          <w:spacing w:val="-10"/>
          <w:sz w:val="16"/>
        </w:rPr>
        <w:t> </w:t>
      </w:r>
      <w:r>
        <w:rPr>
          <w:rFonts w:ascii="Arial Narrow" w:hAnsi="Arial Narrow"/>
          <w:sz w:val="16"/>
        </w:rPr>
        <w:t>de</w:t>
      </w:r>
      <w:r>
        <w:rPr>
          <w:rFonts w:ascii="Arial Narrow" w:hAnsi="Arial Narrow"/>
          <w:spacing w:val="-9"/>
          <w:sz w:val="16"/>
        </w:rPr>
        <w:t> </w:t>
      </w:r>
      <w:r>
        <w:rPr>
          <w:rFonts w:ascii="Arial Narrow" w:hAnsi="Arial Narrow"/>
          <w:sz w:val="16"/>
        </w:rPr>
        <w:t>la</w:t>
      </w:r>
      <w:r>
        <w:rPr>
          <w:rFonts w:ascii="Arial Narrow" w:hAnsi="Arial Narrow"/>
          <w:spacing w:val="-9"/>
          <w:sz w:val="16"/>
        </w:rPr>
        <w:t> </w:t>
      </w:r>
      <w:r>
        <w:rPr>
          <w:rFonts w:ascii="Arial Narrow" w:hAnsi="Arial Narrow"/>
          <w:sz w:val="16"/>
        </w:rPr>
        <w:t>accesibilidad</w:t>
      </w:r>
      <w:r>
        <w:rPr>
          <w:rFonts w:ascii="Arial Narrow" w:hAnsi="Arial Narrow"/>
          <w:spacing w:val="40"/>
          <w:sz w:val="16"/>
        </w:rPr>
        <w:t> </w:t>
      </w:r>
      <w:r>
        <w:rPr>
          <w:rFonts w:ascii="Arial Narrow" w:hAnsi="Arial Narrow"/>
          <w:sz w:val="16"/>
        </w:rPr>
        <w:t>física de las paradas.</w:t>
      </w:r>
    </w:p>
    <w:p>
      <w:pPr>
        <w:pStyle w:val="BodyText"/>
        <w:rPr>
          <w:rFonts w:ascii="Arial Narrow"/>
          <w:sz w:val="16"/>
        </w:rPr>
      </w:pPr>
      <w:r>
        <w:rPr/>
        <w:br w:type="column"/>
      </w:r>
      <w:r>
        <w:rPr>
          <w:rFonts w:ascii="Arial Narrow"/>
          <w:sz w:val="16"/>
        </w:rPr>
      </w:r>
    </w:p>
    <w:p>
      <w:pPr>
        <w:pStyle w:val="BodyText"/>
        <w:rPr>
          <w:rFonts w:ascii="Arial Narrow"/>
          <w:sz w:val="16"/>
        </w:rPr>
      </w:pPr>
    </w:p>
    <w:p>
      <w:pPr>
        <w:pStyle w:val="BodyText"/>
        <w:rPr>
          <w:rFonts w:ascii="Arial Narrow"/>
          <w:sz w:val="16"/>
        </w:rPr>
      </w:pPr>
    </w:p>
    <w:p>
      <w:pPr>
        <w:pStyle w:val="BodyText"/>
        <w:spacing w:before="19"/>
        <w:rPr>
          <w:rFonts w:ascii="Arial Narrow"/>
          <w:sz w:val="16"/>
        </w:rPr>
      </w:pPr>
    </w:p>
    <w:p>
      <w:pPr>
        <w:tabs>
          <w:tab w:pos="1654" w:val="left" w:leader="none"/>
          <w:tab w:pos="2719" w:val="left" w:leader="none"/>
          <w:tab w:pos="3638" w:val="left" w:leader="none"/>
          <w:tab w:pos="4630" w:val="left" w:leader="none"/>
          <w:tab w:pos="5081" w:val="left" w:leader="none"/>
          <w:tab w:pos="5473" w:val="left" w:leader="none"/>
          <w:tab w:pos="5897" w:val="left" w:leader="none"/>
          <w:tab w:pos="6387" w:val="left" w:leader="none"/>
        </w:tabs>
        <w:spacing w:before="0"/>
        <w:ind w:left="686" w:right="0" w:firstLine="0"/>
        <w:jc w:val="left"/>
        <w:rPr>
          <w:rFonts w:ascii="Arial Narrow"/>
          <w:sz w:val="16"/>
        </w:rPr>
      </w:pPr>
      <w:r>
        <w:rPr>
          <w:rFonts w:ascii="Arial Narrow"/>
          <w:spacing w:val="-5"/>
          <w:sz w:val="16"/>
        </w:rPr>
        <w:t>14</w:t>
      </w:r>
      <w:r>
        <w:rPr>
          <w:rFonts w:ascii="Arial Narrow"/>
          <w:sz w:val="16"/>
        </w:rPr>
        <w:tab/>
      </w:r>
      <w:r>
        <w:rPr>
          <w:rFonts w:ascii="Arial Narrow"/>
          <w:spacing w:val="-2"/>
          <w:sz w:val="16"/>
        </w:rPr>
        <w:t>584.224,83</w:t>
      </w:r>
      <w:r>
        <w:rPr>
          <w:rFonts w:ascii="Arial Narrow"/>
          <w:sz w:val="16"/>
        </w:rPr>
        <w:tab/>
      </w:r>
      <w:r>
        <w:rPr>
          <w:rFonts w:ascii="Arial Narrow"/>
          <w:spacing w:val="-2"/>
          <w:sz w:val="16"/>
        </w:rPr>
        <w:t>58.422,48</w:t>
      </w:r>
      <w:r>
        <w:rPr>
          <w:rFonts w:ascii="Arial Narrow"/>
          <w:sz w:val="16"/>
        </w:rPr>
        <w:tab/>
      </w:r>
      <w:r>
        <w:rPr>
          <w:rFonts w:ascii="Arial Narrow"/>
          <w:spacing w:val="-2"/>
          <w:sz w:val="16"/>
        </w:rPr>
        <w:t>525.802,35</w:t>
      </w:r>
      <w:r>
        <w:rPr>
          <w:rFonts w:ascii="Arial Narrow"/>
          <w:sz w:val="16"/>
        </w:rPr>
        <w:tab/>
      </w:r>
      <w:r>
        <w:rPr>
          <w:rFonts w:ascii="Arial Narrow"/>
          <w:color w:val="5E89B4"/>
          <w:spacing w:val="-5"/>
          <w:sz w:val="16"/>
        </w:rPr>
        <w:t>NO</w:t>
      </w:r>
      <w:r>
        <w:rPr>
          <w:rFonts w:ascii="Arial Narrow"/>
          <w:color w:val="5E89B4"/>
          <w:sz w:val="16"/>
        </w:rPr>
        <w:tab/>
      </w:r>
      <w:r>
        <w:rPr>
          <w:rFonts w:ascii="Arial Narrow"/>
          <w:color w:val="891538"/>
          <w:spacing w:val="-5"/>
          <w:sz w:val="16"/>
        </w:rPr>
        <w:t>SI</w:t>
      </w:r>
      <w:r>
        <w:rPr>
          <w:rFonts w:ascii="Arial Narrow"/>
          <w:color w:val="891538"/>
          <w:sz w:val="16"/>
        </w:rPr>
        <w:tab/>
      </w:r>
      <w:r>
        <w:rPr>
          <w:rFonts w:ascii="Arial Narrow"/>
          <w:color w:val="5E89B4"/>
          <w:spacing w:val="-5"/>
          <w:sz w:val="16"/>
        </w:rPr>
        <w:t>NO</w:t>
      </w:r>
      <w:r>
        <w:rPr>
          <w:rFonts w:ascii="Arial Narrow"/>
          <w:color w:val="5E89B4"/>
          <w:sz w:val="16"/>
        </w:rPr>
        <w:tab/>
      </w:r>
      <w:r>
        <w:rPr>
          <w:rFonts w:ascii="Arial Narrow"/>
          <w:color w:val="5E89B4"/>
          <w:spacing w:val="-5"/>
          <w:sz w:val="16"/>
        </w:rPr>
        <w:t>NO</w:t>
      </w:r>
      <w:r>
        <w:rPr>
          <w:rFonts w:ascii="Arial Narrow"/>
          <w:color w:val="5E89B4"/>
          <w:sz w:val="16"/>
        </w:rPr>
        <w:tab/>
      </w:r>
      <w:r>
        <w:rPr>
          <w:rFonts w:ascii="Arial Narrow"/>
          <w:spacing w:val="-2"/>
          <w:sz w:val="16"/>
        </w:rPr>
        <w:t>Finalizada</w:t>
      </w:r>
    </w:p>
    <w:p>
      <w:pPr>
        <w:pStyle w:val="BodyText"/>
        <w:rPr>
          <w:rFonts w:ascii="Arial Narrow"/>
          <w:sz w:val="16"/>
        </w:rPr>
      </w:pPr>
    </w:p>
    <w:p>
      <w:pPr>
        <w:pStyle w:val="BodyText"/>
        <w:spacing w:before="13"/>
        <w:rPr>
          <w:rFonts w:ascii="Arial Narrow"/>
          <w:sz w:val="16"/>
        </w:rPr>
      </w:pPr>
    </w:p>
    <w:p>
      <w:pPr>
        <w:tabs>
          <w:tab w:pos="1654" w:val="left" w:leader="none"/>
          <w:tab w:pos="2719" w:val="left" w:leader="none"/>
          <w:tab w:pos="3638" w:val="left" w:leader="none"/>
          <w:tab w:pos="4630" w:val="left" w:leader="none"/>
          <w:tab w:pos="5045" w:val="left" w:leader="none"/>
          <w:tab w:pos="5473" w:val="left" w:leader="none"/>
          <w:tab w:pos="5897" w:val="left" w:leader="none"/>
          <w:tab w:pos="6311" w:val="left" w:leader="none"/>
        </w:tabs>
        <w:spacing w:before="1"/>
        <w:ind w:left="761" w:right="0" w:firstLine="0"/>
        <w:jc w:val="left"/>
        <w:rPr>
          <w:rFonts w:ascii="Arial Narrow" w:hAnsi="Arial Narrow"/>
          <w:sz w:val="16"/>
        </w:rPr>
      </w:pPr>
      <w:r>
        <w:rPr>
          <w:rFonts w:ascii="Arial Narrow" w:hAnsi="Arial Narrow"/>
          <w:spacing w:val="-10"/>
          <w:sz w:val="16"/>
        </w:rPr>
        <w:t>6</w:t>
      </w:r>
      <w:r>
        <w:rPr>
          <w:rFonts w:ascii="Arial Narrow" w:hAnsi="Arial Narrow"/>
          <w:sz w:val="16"/>
        </w:rPr>
        <w:tab/>
      </w:r>
      <w:r>
        <w:rPr>
          <w:rFonts w:ascii="Arial Narrow" w:hAnsi="Arial Narrow"/>
          <w:spacing w:val="-2"/>
          <w:sz w:val="16"/>
        </w:rPr>
        <w:t>303.418,74</w:t>
      </w:r>
      <w:r>
        <w:rPr>
          <w:rFonts w:ascii="Arial Narrow" w:hAnsi="Arial Narrow"/>
          <w:sz w:val="16"/>
        </w:rPr>
        <w:tab/>
      </w:r>
      <w:r>
        <w:rPr>
          <w:rFonts w:ascii="Arial Narrow" w:hAnsi="Arial Narrow"/>
          <w:spacing w:val="-2"/>
          <w:sz w:val="16"/>
        </w:rPr>
        <w:t>30.341,87</w:t>
      </w:r>
      <w:r>
        <w:rPr>
          <w:rFonts w:ascii="Arial Narrow" w:hAnsi="Arial Narrow"/>
          <w:sz w:val="16"/>
        </w:rPr>
        <w:tab/>
      </w:r>
      <w:r>
        <w:rPr>
          <w:rFonts w:ascii="Arial Narrow" w:hAnsi="Arial Narrow"/>
          <w:spacing w:val="-2"/>
          <w:sz w:val="16"/>
        </w:rPr>
        <w:t>273.076,87</w:t>
      </w:r>
      <w:r>
        <w:rPr>
          <w:rFonts w:ascii="Arial Narrow" w:hAnsi="Arial Narrow"/>
          <w:sz w:val="16"/>
        </w:rPr>
        <w:tab/>
      </w:r>
      <w:r>
        <w:rPr>
          <w:rFonts w:ascii="Arial Narrow" w:hAnsi="Arial Narrow"/>
          <w:color w:val="5E89B4"/>
          <w:spacing w:val="-5"/>
          <w:sz w:val="16"/>
        </w:rPr>
        <w:t>NO</w:t>
      </w:r>
      <w:r>
        <w:rPr>
          <w:rFonts w:ascii="Arial Narrow" w:hAnsi="Arial Narrow"/>
          <w:color w:val="5E89B4"/>
          <w:sz w:val="16"/>
        </w:rPr>
        <w:tab/>
      </w:r>
      <w:r>
        <w:rPr>
          <w:rFonts w:ascii="Arial Narrow" w:hAnsi="Arial Narrow"/>
          <w:color w:val="5E89B4"/>
          <w:spacing w:val="-5"/>
          <w:sz w:val="16"/>
        </w:rPr>
        <w:t>NO</w:t>
      </w:r>
      <w:r>
        <w:rPr>
          <w:rFonts w:ascii="Arial Narrow" w:hAnsi="Arial Narrow"/>
          <w:color w:val="5E89B4"/>
          <w:sz w:val="16"/>
        </w:rPr>
        <w:tab/>
      </w:r>
      <w:r>
        <w:rPr>
          <w:rFonts w:ascii="Arial Narrow" w:hAnsi="Arial Narrow"/>
          <w:color w:val="5E89B4"/>
          <w:spacing w:val="-5"/>
          <w:sz w:val="16"/>
        </w:rPr>
        <w:t>NO</w:t>
      </w:r>
      <w:r>
        <w:rPr>
          <w:rFonts w:ascii="Arial Narrow" w:hAnsi="Arial Narrow"/>
          <w:color w:val="5E89B4"/>
          <w:sz w:val="16"/>
        </w:rPr>
        <w:tab/>
      </w:r>
      <w:r>
        <w:rPr>
          <w:rFonts w:ascii="Arial Narrow" w:hAnsi="Arial Narrow"/>
          <w:color w:val="5E89B4"/>
          <w:spacing w:val="-5"/>
          <w:sz w:val="16"/>
        </w:rPr>
        <w:t>NO</w:t>
      </w:r>
      <w:r>
        <w:rPr>
          <w:rFonts w:ascii="Arial Narrow" w:hAnsi="Arial Narrow"/>
          <w:color w:val="5E89B4"/>
          <w:sz w:val="16"/>
        </w:rPr>
        <w:tab/>
      </w:r>
      <w:r>
        <w:rPr>
          <w:rFonts w:ascii="Arial Narrow" w:hAnsi="Arial Narrow"/>
          <w:sz w:val="16"/>
        </w:rPr>
        <w:t>En</w:t>
      </w:r>
      <w:r>
        <w:rPr>
          <w:rFonts w:ascii="Arial Narrow" w:hAnsi="Arial Narrow"/>
          <w:spacing w:val="-4"/>
          <w:sz w:val="16"/>
        </w:rPr>
        <w:t> </w:t>
      </w:r>
      <w:r>
        <w:rPr>
          <w:rFonts w:ascii="Arial Narrow" w:hAnsi="Arial Narrow"/>
          <w:spacing w:val="-2"/>
          <w:sz w:val="16"/>
        </w:rPr>
        <w:t>ejecución</w:t>
      </w:r>
    </w:p>
    <w:p>
      <w:pPr>
        <w:spacing w:after="0"/>
        <w:jc w:val="left"/>
        <w:rPr>
          <w:rFonts w:ascii="Arial Narrow" w:hAnsi="Arial Narrow"/>
          <w:sz w:val="16"/>
        </w:rPr>
        <w:sectPr>
          <w:type w:val="continuous"/>
          <w:pgSz w:w="11910" w:h="16840"/>
          <w:pgMar w:header="1227" w:footer="839" w:top="1680" w:bottom="280" w:left="141" w:right="141"/>
          <w:cols w:num="3" w:equalWidth="0">
            <w:col w:w="1375" w:space="40"/>
            <w:col w:w="2279" w:space="39"/>
            <w:col w:w="7895"/>
          </w:cols>
        </w:sectPr>
      </w:pP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spacing w:before="149"/>
        <w:rPr>
          <w:rFonts w:ascii="Arial Narrow"/>
          <w:sz w:val="16"/>
        </w:rPr>
      </w:pPr>
    </w:p>
    <w:p>
      <w:pPr>
        <w:spacing w:before="0"/>
        <w:ind w:left="2067" w:right="0" w:firstLine="0"/>
        <w:jc w:val="left"/>
        <w:rPr>
          <w:rFonts w:ascii="Arial Narrow" w:hAnsi="Arial Narrow"/>
          <w:sz w:val="16"/>
        </w:rPr>
      </w:pPr>
      <w:r>
        <w:rPr>
          <w:rFonts w:ascii="Arial Narrow" w:hAnsi="Arial Narrow"/>
          <w:sz w:val="16"/>
        </w:rPr>
        <mc:AlternateContent>
          <mc:Choice Requires="wps">
            <w:drawing>
              <wp:anchor distT="0" distB="0" distL="0" distR="0" allowOverlap="1" layoutInCell="1" locked="0" behindDoc="0" simplePos="0" relativeHeight="15749120">
                <wp:simplePos x="0" y="0"/>
                <wp:positionH relativeFrom="page">
                  <wp:posOffset>513587</wp:posOffset>
                </wp:positionH>
                <wp:positionV relativeFrom="paragraph">
                  <wp:posOffset>-1023298</wp:posOffset>
                </wp:positionV>
                <wp:extent cx="6536690" cy="3024505"/>
                <wp:effectExtent l="0" t="0" r="0" b="0"/>
                <wp:wrapNone/>
                <wp:docPr id="156" name="Textbox 156"/>
                <wp:cNvGraphicFramePr>
                  <a:graphicFrameLocks/>
                </wp:cNvGraphicFramePr>
                <a:graphic>
                  <a:graphicData uri="http://schemas.microsoft.com/office/word/2010/wordprocessingShape">
                    <wps:wsp>
                      <wps:cNvPr id="156" name="Textbox 156"/>
                      <wps:cNvSpPr txBox="1"/>
                      <wps:spPr>
                        <a:xfrm>
                          <a:off x="0" y="0"/>
                          <a:ext cx="6536690" cy="302450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123"/>
                              <w:gridCol w:w="1270"/>
                              <w:gridCol w:w="992"/>
                              <w:gridCol w:w="1084"/>
                              <w:gridCol w:w="473"/>
                              <w:gridCol w:w="421"/>
                              <w:gridCol w:w="426"/>
                              <w:gridCol w:w="419"/>
                              <w:gridCol w:w="964"/>
                            </w:tblGrid>
                            <w:tr>
                              <w:trPr>
                                <w:trHeight w:val="282" w:hRule="atLeast"/>
                              </w:trPr>
                              <w:tc>
                                <w:tcPr>
                                  <w:tcW w:w="4123" w:type="dxa"/>
                                  <w:tcBorders>
                                    <w:top w:val="single" w:sz="4" w:space="0" w:color="002D5D"/>
                                    <w:bottom w:val="single" w:sz="12" w:space="0" w:color="001F5F"/>
                                  </w:tcBorders>
                                </w:tcPr>
                                <w:p>
                                  <w:pPr>
                                    <w:pStyle w:val="TableParagraph"/>
                                    <w:tabs>
                                      <w:tab w:pos="2500" w:val="right" w:leader="none"/>
                                    </w:tabs>
                                    <w:spacing w:before="49"/>
                                    <w:ind w:right="281"/>
                                    <w:jc w:val="right"/>
                                    <w:rPr>
                                      <w:sz w:val="16"/>
                                    </w:rPr>
                                  </w:pPr>
                                  <w:r>
                                    <w:rPr>
                                      <w:sz w:val="16"/>
                                    </w:rPr>
                                    <w:t>Placas</w:t>
                                  </w:r>
                                  <w:r>
                                    <w:rPr>
                                      <w:spacing w:val="-10"/>
                                      <w:sz w:val="16"/>
                                    </w:rPr>
                                    <w:t> </w:t>
                                  </w:r>
                                  <w:r>
                                    <w:rPr>
                                      <w:sz w:val="16"/>
                                    </w:rPr>
                                    <w:t>fotovoltaicas</w:t>
                                  </w:r>
                                  <w:r>
                                    <w:rPr>
                                      <w:spacing w:val="-8"/>
                                      <w:sz w:val="16"/>
                                    </w:rPr>
                                    <w:t> </w:t>
                                  </w:r>
                                  <w:r>
                                    <w:rPr>
                                      <w:spacing w:val="-5"/>
                                      <w:sz w:val="16"/>
                                    </w:rPr>
                                    <w:t>EA</w:t>
                                  </w:r>
                                  <w:r>
                                    <w:rPr>
                                      <w:sz w:val="16"/>
                                    </w:rPr>
                                    <w:tab/>
                                  </w:r>
                                  <w:r>
                                    <w:rPr>
                                      <w:spacing w:val="-10"/>
                                      <w:sz w:val="16"/>
                                    </w:rPr>
                                    <w:t>1</w:t>
                                  </w:r>
                                </w:p>
                              </w:tc>
                              <w:tc>
                                <w:tcPr>
                                  <w:tcW w:w="1270" w:type="dxa"/>
                                  <w:tcBorders>
                                    <w:top w:val="single" w:sz="4" w:space="0" w:color="002D5D"/>
                                    <w:bottom w:val="single" w:sz="12" w:space="0" w:color="001F5F"/>
                                  </w:tcBorders>
                                </w:tcPr>
                                <w:p>
                                  <w:pPr>
                                    <w:pStyle w:val="TableParagraph"/>
                                    <w:spacing w:before="49"/>
                                    <w:ind w:right="72"/>
                                    <w:jc w:val="right"/>
                                    <w:rPr>
                                      <w:sz w:val="16"/>
                                    </w:rPr>
                                  </w:pPr>
                                  <w:r>
                                    <w:rPr>
                                      <w:spacing w:val="-2"/>
                                      <w:sz w:val="16"/>
                                    </w:rPr>
                                    <w:t>29.747,25</w:t>
                                  </w:r>
                                </w:p>
                              </w:tc>
                              <w:tc>
                                <w:tcPr>
                                  <w:tcW w:w="992" w:type="dxa"/>
                                  <w:tcBorders>
                                    <w:top w:val="single" w:sz="4" w:space="0" w:color="002D5D"/>
                                    <w:bottom w:val="single" w:sz="12" w:space="0" w:color="001F5F"/>
                                  </w:tcBorders>
                                </w:tcPr>
                                <w:p>
                                  <w:pPr>
                                    <w:pStyle w:val="TableParagraph"/>
                                    <w:spacing w:before="49"/>
                                    <w:ind w:right="73"/>
                                    <w:jc w:val="right"/>
                                    <w:rPr>
                                      <w:sz w:val="16"/>
                                    </w:rPr>
                                  </w:pPr>
                                  <w:r>
                                    <w:rPr>
                                      <w:spacing w:val="-2"/>
                                      <w:sz w:val="16"/>
                                    </w:rPr>
                                    <w:t>3.422,25</w:t>
                                  </w:r>
                                </w:p>
                              </w:tc>
                              <w:tc>
                                <w:tcPr>
                                  <w:tcW w:w="1084" w:type="dxa"/>
                                  <w:tcBorders>
                                    <w:top w:val="single" w:sz="4" w:space="0" w:color="002D5D"/>
                                    <w:bottom w:val="single" w:sz="12" w:space="0" w:color="001F5F"/>
                                  </w:tcBorders>
                                </w:tcPr>
                                <w:p>
                                  <w:pPr>
                                    <w:pStyle w:val="TableParagraph"/>
                                    <w:spacing w:before="49"/>
                                    <w:ind w:right="163"/>
                                    <w:jc w:val="right"/>
                                    <w:rPr>
                                      <w:sz w:val="16"/>
                                    </w:rPr>
                                  </w:pPr>
                                  <w:r>
                                    <w:rPr>
                                      <w:spacing w:val="-2"/>
                                      <w:sz w:val="16"/>
                                    </w:rPr>
                                    <w:t>26.325,00</w:t>
                                  </w:r>
                                </w:p>
                              </w:tc>
                              <w:tc>
                                <w:tcPr>
                                  <w:tcW w:w="473" w:type="dxa"/>
                                  <w:tcBorders>
                                    <w:top w:val="single" w:sz="4" w:space="0" w:color="002D5D"/>
                                    <w:bottom w:val="single" w:sz="12" w:space="0" w:color="001F5F"/>
                                  </w:tcBorders>
                                </w:tcPr>
                                <w:p>
                                  <w:pPr>
                                    <w:pStyle w:val="TableParagraph"/>
                                    <w:spacing w:before="49"/>
                                    <w:ind w:left="61"/>
                                    <w:jc w:val="center"/>
                                    <w:rPr>
                                      <w:sz w:val="16"/>
                                    </w:rPr>
                                  </w:pPr>
                                  <w:r>
                                    <w:rPr>
                                      <w:color w:val="5E89B4"/>
                                      <w:spacing w:val="-5"/>
                                      <w:sz w:val="16"/>
                                    </w:rPr>
                                    <w:t>NO</w:t>
                                  </w:r>
                                </w:p>
                              </w:tc>
                              <w:tc>
                                <w:tcPr>
                                  <w:tcW w:w="421" w:type="dxa"/>
                                  <w:tcBorders>
                                    <w:top w:val="single" w:sz="4" w:space="0" w:color="002D5D"/>
                                    <w:bottom w:val="single" w:sz="12" w:space="0" w:color="001F5F"/>
                                  </w:tcBorders>
                                </w:tcPr>
                                <w:p>
                                  <w:pPr>
                                    <w:pStyle w:val="TableParagraph"/>
                                    <w:spacing w:before="49"/>
                                    <w:ind w:left="1" w:right="1"/>
                                    <w:jc w:val="center"/>
                                    <w:rPr>
                                      <w:sz w:val="16"/>
                                    </w:rPr>
                                  </w:pPr>
                                  <w:r>
                                    <w:rPr>
                                      <w:color w:val="5E89B4"/>
                                      <w:spacing w:val="-5"/>
                                      <w:sz w:val="16"/>
                                    </w:rPr>
                                    <w:t>NO</w:t>
                                  </w:r>
                                </w:p>
                              </w:tc>
                              <w:tc>
                                <w:tcPr>
                                  <w:tcW w:w="426" w:type="dxa"/>
                                  <w:tcBorders>
                                    <w:top w:val="single" w:sz="4" w:space="0" w:color="002D5D"/>
                                    <w:bottom w:val="single" w:sz="12" w:space="0" w:color="001F5F"/>
                                  </w:tcBorders>
                                </w:tcPr>
                                <w:p>
                                  <w:pPr>
                                    <w:pStyle w:val="TableParagraph"/>
                                    <w:spacing w:before="49"/>
                                    <w:ind w:left="4"/>
                                    <w:jc w:val="center"/>
                                    <w:rPr>
                                      <w:sz w:val="16"/>
                                    </w:rPr>
                                  </w:pPr>
                                  <w:r>
                                    <w:rPr>
                                      <w:color w:val="5E89B4"/>
                                      <w:spacing w:val="-5"/>
                                      <w:sz w:val="16"/>
                                    </w:rPr>
                                    <w:t>NO</w:t>
                                  </w:r>
                                </w:p>
                              </w:tc>
                              <w:tc>
                                <w:tcPr>
                                  <w:tcW w:w="419" w:type="dxa"/>
                                  <w:tcBorders>
                                    <w:top w:val="single" w:sz="4" w:space="0" w:color="002D5D"/>
                                    <w:bottom w:val="single" w:sz="12" w:space="0" w:color="001F5F"/>
                                  </w:tcBorders>
                                </w:tcPr>
                                <w:p>
                                  <w:pPr>
                                    <w:pStyle w:val="TableParagraph"/>
                                    <w:spacing w:before="49"/>
                                    <w:ind w:left="9"/>
                                    <w:jc w:val="center"/>
                                    <w:rPr>
                                      <w:sz w:val="16"/>
                                    </w:rPr>
                                  </w:pPr>
                                  <w:r>
                                    <w:rPr>
                                      <w:color w:val="5E89B4"/>
                                      <w:spacing w:val="-5"/>
                                      <w:sz w:val="16"/>
                                    </w:rPr>
                                    <w:t>NO</w:t>
                                  </w:r>
                                </w:p>
                              </w:tc>
                              <w:tc>
                                <w:tcPr>
                                  <w:tcW w:w="964" w:type="dxa"/>
                                  <w:tcBorders>
                                    <w:top w:val="single" w:sz="4" w:space="0" w:color="001F5F"/>
                                    <w:bottom w:val="single" w:sz="12" w:space="0" w:color="001F5F"/>
                                  </w:tcBorders>
                                </w:tcPr>
                                <w:p>
                                  <w:pPr>
                                    <w:pStyle w:val="TableParagraph"/>
                                    <w:spacing w:before="49"/>
                                    <w:ind w:left="5"/>
                                    <w:jc w:val="center"/>
                                    <w:rPr>
                                      <w:sz w:val="16"/>
                                    </w:rPr>
                                  </w:pPr>
                                  <w:r>
                                    <w:rPr>
                                      <w:sz w:val="16"/>
                                    </w:rPr>
                                    <w:t>En</w:t>
                                  </w:r>
                                  <w:r>
                                    <w:rPr>
                                      <w:spacing w:val="-2"/>
                                      <w:sz w:val="16"/>
                                    </w:rPr>
                                    <w:t> ejecución</w:t>
                                  </w:r>
                                </w:p>
                              </w:tc>
                            </w:tr>
                            <w:tr>
                              <w:trPr>
                                <w:trHeight w:val="918" w:hRule="atLeast"/>
                              </w:trPr>
                              <w:tc>
                                <w:tcPr>
                                  <w:tcW w:w="4123" w:type="dxa"/>
                                  <w:tcBorders>
                                    <w:top w:val="single" w:sz="12" w:space="0" w:color="001F5F"/>
                                    <w:bottom w:val="single" w:sz="4" w:space="0" w:color="002D5D"/>
                                  </w:tcBorders>
                                </w:tcPr>
                                <w:p>
                                  <w:pPr>
                                    <w:pStyle w:val="TableParagraph"/>
                                    <w:ind w:left="1339" w:right="934"/>
                                    <w:rPr>
                                      <w:sz w:val="16"/>
                                    </w:rPr>
                                  </w:pPr>
                                  <w:r>
                                    <w:rPr>
                                      <w:sz w:val="16"/>
                                    </w:rPr>
                                    <w:t>Implantación de nodos de</w:t>
                                  </w:r>
                                  <w:r>
                                    <w:rPr>
                                      <w:spacing w:val="40"/>
                                      <w:sz w:val="16"/>
                                    </w:rPr>
                                    <w:t> </w:t>
                                  </w:r>
                                  <w:r>
                                    <w:rPr>
                                      <w:sz w:val="16"/>
                                    </w:rPr>
                                    <w:t>transporte</w:t>
                                  </w:r>
                                  <w:r>
                                    <w:rPr>
                                      <w:spacing w:val="-10"/>
                                      <w:sz w:val="16"/>
                                    </w:rPr>
                                    <w:t> </w:t>
                                  </w:r>
                                  <w:r>
                                    <w:rPr>
                                      <w:sz w:val="16"/>
                                    </w:rPr>
                                    <w:t>para</w:t>
                                  </w:r>
                                  <w:r>
                                    <w:rPr>
                                      <w:spacing w:val="-9"/>
                                      <w:sz w:val="16"/>
                                    </w:rPr>
                                    <w:t> </w:t>
                                  </w:r>
                                  <w:r>
                                    <w:rPr>
                                      <w:sz w:val="16"/>
                                    </w:rPr>
                                    <w:t>la</w:t>
                                  </w:r>
                                  <w:r>
                                    <w:rPr>
                                      <w:spacing w:val="-9"/>
                                      <w:sz w:val="16"/>
                                    </w:rPr>
                                    <w:t> </w:t>
                                  </w:r>
                                  <w:r>
                                    <w:rPr>
                                      <w:sz w:val="16"/>
                                    </w:rPr>
                                    <w:t>movilidad</w:t>
                                  </w:r>
                                </w:p>
                                <w:p>
                                  <w:pPr>
                                    <w:pStyle w:val="TableParagraph"/>
                                    <w:tabs>
                                      <w:tab w:pos="3839" w:val="right" w:leader="none"/>
                                    </w:tabs>
                                    <w:spacing w:line="183" w:lineRule="exact"/>
                                    <w:ind w:left="1339"/>
                                    <w:rPr>
                                      <w:sz w:val="16"/>
                                    </w:rPr>
                                  </w:pPr>
                                  <w:r>
                                    <w:rPr>
                                      <w:sz w:val="16"/>
                                    </w:rPr>
                                    <w:t>colectiva</w:t>
                                  </w:r>
                                  <w:r>
                                    <w:rPr>
                                      <w:spacing w:val="-5"/>
                                      <w:sz w:val="16"/>
                                    </w:rPr>
                                    <w:t> </w:t>
                                  </w:r>
                                  <w:r>
                                    <w:rPr>
                                      <w:sz w:val="16"/>
                                    </w:rPr>
                                    <w:t>con</w:t>
                                  </w:r>
                                  <w:r>
                                    <w:rPr>
                                      <w:spacing w:val="-2"/>
                                      <w:sz w:val="16"/>
                                    </w:rPr>
                                    <w:t> combustibles</w:t>
                                  </w:r>
                                  <w:r>
                                    <w:rPr>
                                      <w:sz w:val="16"/>
                                    </w:rPr>
                                    <w:tab/>
                                  </w:r>
                                  <w:r>
                                    <w:rPr>
                                      <w:spacing w:val="-12"/>
                                      <w:sz w:val="16"/>
                                    </w:rPr>
                                    <w:t>2</w:t>
                                  </w:r>
                                </w:p>
                                <w:p>
                                  <w:pPr>
                                    <w:pStyle w:val="TableParagraph"/>
                                    <w:spacing w:line="184" w:lineRule="exact"/>
                                    <w:ind w:left="1339" w:right="934"/>
                                    <w:rPr>
                                      <w:sz w:val="16"/>
                                    </w:rPr>
                                  </w:pPr>
                                  <w:r>
                                    <w:rPr>
                                      <w:sz w:val="16"/>
                                    </w:rPr>
                                    <w:t>alternativos,</w:t>
                                  </w:r>
                                  <w:r>
                                    <w:rPr>
                                      <w:spacing w:val="-10"/>
                                      <w:sz w:val="16"/>
                                    </w:rPr>
                                    <w:t> </w:t>
                                  </w:r>
                                  <w:r>
                                    <w:rPr>
                                      <w:sz w:val="16"/>
                                    </w:rPr>
                                    <w:t>movilidad</w:t>
                                  </w:r>
                                  <w:r>
                                    <w:rPr>
                                      <w:spacing w:val="-9"/>
                                      <w:sz w:val="16"/>
                                    </w:rPr>
                                    <w:t> </w:t>
                                  </w:r>
                                  <w:r>
                                    <w:rPr>
                                      <w:sz w:val="16"/>
                                    </w:rPr>
                                    <w:t>eléctrica</w:t>
                                  </w:r>
                                  <w:r>
                                    <w:rPr>
                                      <w:spacing w:val="40"/>
                                      <w:sz w:val="16"/>
                                    </w:rPr>
                                    <w:t> </w:t>
                                  </w:r>
                                  <w:r>
                                    <w:rPr>
                                      <w:sz w:val="16"/>
                                    </w:rPr>
                                    <w:t>y</w:t>
                                  </w:r>
                                  <w:r>
                                    <w:rPr>
                                      <w:spacing w:val="-4"/>
                                      <w:sz w:val="16"/>
                                    </w:rPr>
                                    <w:t> </w:t>
                                  </w:r>
                                  <w:r>
                                    <w:rPr>
                                      <w:sz w:val="16"/>
                                    </w:rPr>
                                    <w:t>física.</w:t>
                                  </w:r>
                                </w:p>
                              </w:tc>
                              <w:tc>
                                <w:tcPr>
                                  <w:tcW w:w="1270" w:type="dxa"/>
                                  <w:tcBorders>
                                    <w:top w:val="single" w:sz="12" w:space="0" w:color="001F5F"/>
                                    <w:bottom w:val="single" w:sz="4" w:space="0" w:color="002D5D"/>
                                  </w:tcBorders>
                                </w:tcPr>
                                <w:p>
                                  <w:pPr>
                                    <w:pStyle w:val="TableParagraph"/>
                                    <w:rPr>
                                      <w:sz w:val="16"/>
                                    </w:rPr>
                                  </w:pPr>
                                </w:p>
                                <w:p>
                                  <w:pPr>
                                    <w:pStyle w:val="TableParagraph"/>
                                    <w:rPr>
                                      <w:sz w:val="16"/>
                                    </w:rPr>
                                  </w:pPr>
                                </w:p>
                                <w:p>
                                  <w:pPr>
                                    <w:pStyle w:val="TableParagraph"/>
                                    <w:ind w:right="73"/>
                                    <w:jc w:val="right"/>
                                    <w:rPr>
                                      <w:sz w:val="16"/>
                                    </w:rPr>
                                  </w:pPr>
                                  <w:r>
                                    <w:rPr>
                                      <w:spacing w:val="-2"/>
                                      <w:sz w:val="16"/>
                                    </w:rPr>
                                    <w:t>3.392.836,29</w:t>
                                  </w:r>
                                </w:p>
                              </w:tc>
                              <w:tc>
                                <w:tcPr>
                                  <w:tcW w:w="992" w:type="dxa"/>
                                  <w:tcBorders>
                                    <w:top w:val="single" w:sz="12" w:space="0" w:color="001F5F"/>
                                    <w:bottom w:val="single" w:sz="4" w:space="0" w:color="002D5D"/>
                                  </w:tcBorders>
                                </w:tcPr>
                                <w:p>
                                  <w:pPr>
                                    <w:pStyle w:val="TableParagraph"/>
                                    <w:rPr>
                                      <w:sz w:val="16"/>
                                    </w:rPr>
                                  </w:pPr>
                                </w:p>
                                <w:p>
                                  <w:pPr>
                                    <w:pStyle w:val="TableParagraph"/>
                                    <w:rPr>
                                      <w:sz w:val="16"/>
                                    </w:rPr>
                                  </w:pPr>
                                </w:p>
                                <w:p>
                                  <w:pPr>
                                    <w:pStyle w:val="TableParagraph"/>
                                    <w:ind w:right="73"/>
                                    <w:jc w:val="right"/>
                                    <w:rPr>
                                      <w:sz w:val="16"/>
                                    </w:rPr>
                                  </w:pPr>
                                  <w:r>
                                    <w:rPr>
                                      <w:spacing w:val="-2"/>
                                      <w:sz w:val="16"/>
                                    </w:rPr>
                                    <w:t>678.567,26</w:t>
                                  </w:r>
                                </w:p>
                              </w:tc>
                              <w:tc>
                                <w:tcPr>
                                  <w:tcW w:w="1084" w:type="dxa"/>
                                  <w:tcBorders>
                                    <w:top w:val="single" w:sz="12" w:space="0" w:color="001F5F"/>
                                    <w:bottom w:val="single" w:sz="4" w:space="0" w:color="002D5D"/>
                                  </w:tcBorders>
                                </w:tcPr>
                                <w:p>
                                  <w:pPr>
                                    <w:pStyle w:val="TableParagraph"/>
                                    <w:rPr>
                                      <w:sz w:val="16"/>
                                    </w:rPr>
                                  </w:pPr>
                                </w:p>
                                <w:p>
                                  <w:pPr>
                                    <w:pStyle w:val="TableParagraph"/>
                                    <w:rPr>
                                      <w:sz w:val="16"/>
                                    </w:rPr>
                                  </w:pPr>
                                </w:p>
                                <w:p>
                                  <w:pPr>
                                    <w:pStyle w:val="TableParagraph"/>
                                    <w:ind w:right="163"/>
                                    <w:jc w:val="right"/>
                                    <w:rPr>
                                      <w:sz w:val="16"/>
                                    </w:rPr>
                                  </w:pPr>
                                  <w:r>
                                    <w:rPr>
                                      <w:spacing w:val="-2"/>
                                      <w:sz w:val="16"/>
                                    </w:rPr>
                                    <w:t>2.714.269,03</w:t>
                                  </w:r>
                                </w:p>
                              </w:tc>
                              <w:tc>
                                <w:tcPr>
                                  <w:tcW w:w="473"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left="61" w:right="1"/>
                                    <w:jc w:val="center"/>
                                    <w:rPr>
                                      <w:sz w:val="16"/>
                                    </w:rPr>
                                  </w:pPr>
                                  <w:r>
                                    <w:rPr>
                                      <w:color w:val="891538"/>
                                      <w:spacing w:val="-5"/>
                                      <w:sz w:val="16"/>
                                    </w:rPr>
                                    <w:t>SI</w:t>
                                  </w:r>
                                </w:p>
                              </w:tc>
                              <w:tc>
                                <w:tcPr>
                                  <w:tcW w:w="421"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right="1"/>
                                    <w:jc w:val="center"/>
                                    <w:rPr>
                                      <w:sz w:val="16"/>
                                    </w:rPr>
                                  </w:pPr>
                                  <w:r>
                                    <w:rPr>
                                      <w:color w:val="891538"/>
                                      <w:spacing w:val="-5"/>
                                      <w:sz w:val="16"/>
                                    </w:rPr>
                                    <w:t>SI</w:t>
                                  </w:r>
                                </w:p>
                              </w:tc>
                              <w:tc>
                                <w:tcPr>
                                  <w:tcW w:w="426"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left="4"/>
                                    <w:jc w:val="center"/>
                                    <w:rPr>
                                      <w:sz w:val="16"/>
                                    </w:rPr>
                                  </w:pPr>
                                  <w:r>
                                    <w:rPr>
                                      <w:color w:val="5E89B4"/>
                                      <w:spacing w:val="-5"/>
                                      <w:sz w:val="16"/>
                                    </w:rPr>
                                    <w:t>NO</w:t>
                                  </w:r>
                                </w:p>
                              </w:tc>
                              <w:tc>
                                <w:tcPr>
                                  <w:tcW w:w="419"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left="9"/>
                                    <w:jc w:val="center"/>
                                    <w:rPr>
                                      <w:sz w:val="16"/>
                                    </w:rPr>
                                  </w:pPr>
                                  <w:r>
                                    <w:rPr>
                                      <w:color w:val="5E89B4"/>
                                      <w:spacing w:val="-5"/>
                                      <w:sz w:val="16"/>
                                    </w:rPr>
                                    <w:t>NO</w:t>
                                  </w:r>
                                </w:p>
                              </w:tc>
                              <w:tc>
                                <w:tcPr>
                                  <w:tcW w:w="964"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left="5"/>
                                    <w:jc w:val="center"/>
                                    <w:rPr>
                                      <w:sz w:val="16"/>
                                    </w:rPr>
                                  </w:pPr>
                                  <w:r>
                                    <w:rPr>
                                      <w:spacing w:val="-2"/>
                                      <w:sz w:val="16"/>
                                    </w:rPr>
                                    <w:t>Finalizada</w:t>
                                  </w:r>
                                </w:p>
                              </w:tc>
                            </w:tr>
                            <w:tr>
                              <w:trPr>
                                <w:trHeight w:val="733" w:hRule="atLeast"/>
                              </w:trPr>
                              <w:tc>
                                <w:tcPr>
                                  <w:tcW w:w="4123" w:type="dxa"/>
                                  <w:tcBorders>
                                    <w:top w:val="single" w:sz="4" w:space="0" w:color="002D5D"/>
                                    <w:bottom w:val="single" w:sz="4" w:space="0" w:color="002D5D"/>
                                  </w:tcBorders>
                                </w:tcPr>
                                <w:p>
                                  <w:pPr>
                                    <w:pStyle w:val="TableParagraph"/>
                                    <w:tabs>
                                      <w:tab w:pos="1339" w:val="left" w:leader="none"/>
                                    </w:tabs>
                                    <w:spacing w:line="182" w:lineRule="exact"/>
                                    <w:ind w:left="69"/>
                                    <w:rPr>
                                      <w:sz w:val="16"/>
                                    </w:rPr>
                                  </w:pPr>
                                  <w:r>
                                    <w:rPr>
                                      <w:b/>
                                      <w:spacing w:val="-2"/>
                                      <w:sz w:val="16"/>
                                    </w:rPr>
                                    <w:t>MURCIA</w:t>
                                  </w:r>
                                  <w:r>
                                    <w:rPr>
                                      <w:b/>
                                      <w:sz w:val="16"/>
                                    </w:rPr>
                                    <w:tab/>
                                  </w:r>
                                  <w:r>
                                    <w:rPr>
                                      <w:sz w:val="16"/>
                                    </w:rPr>
                                    <w:t>Ampliación</w:t>
                                  </w:r>
                                  <w:r>
                                    <w:rPr>
                                      <w:spacing w:val="-3"/>
                                      <w:sz w:val="16"/>
                                    </w:rPr>
                                    <w:t> </w:t>
                                  </w:r>
                                  <w:r>
                                    <w:rPr>
                                      <w:sz w:val="16"/>
                                    </w:rPr>
                                    <w:t>de</w:t>
                                  </w:r>
                                  <w:r>
                                    <w:rPr>
                                      <w:spacing w:val="-3"/>
                                      <w:sz w:val="16"/>
                                    </w:rPr>
                                    <w:t> </w:t>
                                  </w:r>
                                  <w:r>
                                    <w:rPr>
                                      <w:sz w:val="16"/>
                                    </w:rPr>
                                    <w:t>la</w:t>
                                  </w:r>
                                  <w:r>
                                    <w:rPr>
                                      <w:spacing w:val="-3"/>
                                      <w:sz w:val="16"/>
                                    </w:rPr>
                                    <w:t> </w:t>
                                  </w:r>
                                  <w:r>
                                    <w:rPr>
                                      <w:sz w:val="16"/>
                                    </w:rPr>
                                    <w:t>red</w:t>
                                  </w:r>
                                  <w:r>
                                    <w:rPr>
                                      <w:spacing w:val="-3"/>
                                      <w:sz w:val="16"/>
                                    </w:rPr>
                                    <w:t> </w:t>
                                  </w:r>
                                  <w:r>
                                    <w:rPr>
                                      <w:spacing w:val="-5"/>
                                      <w:sz w:val="16"/>
                                    </w:rPr>
                                    <w:t>de</w:t>
                                  </w:r>
                                </w:p>
                                <w:p>
                                  <w:pPr>
                                    <w:pStyle w:val="TableParagraph"/>
                                    <w:tabs>
                                      <w:tab w:pos="3839" w:val="right" w:leader="none"/>
                                    </w:tabs>
                                    <w:spacing w:before="1"/>
                                    <w:ind w:left="1339"/>
                                    <w:rPr>
                                      <w:position w:val="-8"/>
                                      <w:sz w:val="16"/>
                                    </w:rPr>
                                  </w:pPr>
                                  <w:r>
                                    <w:rPr>
                                      <w:sz w:val="16"/>
                                    </w:rPr>
                                    <w:t>plataformas</w:t>
                                  </w:r>
                                  <w:r>
                                    <w:rPr>
                                      <w:spacing w:val="-8"/>
                                      <w:sz w:val="16"/>
                                    </w:rPr>
                                    <w:t> </w:t>
                                  </w:r>
                                  <w:r>
                                    <w:rPr>
                                      <w:sz w:val="16"/>
                                    </w:rPr>
                                    <w:t>a</w:t>
                                  </w:r>
                                  <w:r>
                                    <w:rPr>
                                      <w:spacing w:val="-4"/>
                                      <w:sz w:val="16"/>
                                    </w:rPr>
                                    <w:t> </w:t>
                                  </w:r>
                                  <w:r>
                                    <w:rPr>
                                      <w:sz w:val="16"/>
                                    </w:rPr>
                                    <w:t>carriles</w:t>
                                  </w:r>
                                  <w:r>
                                    <w:rPr>
                                      <w:spacing w:val="-6"/>
                                      <w:sz w:val="16"/>
                                    </w:rPr>
                                    <w:t> </w:t>
                                  </w:r>
                                  <w:r>
                                    <w:rPr>
                                      <w:sz w:val="16"/>
                                    </w:rPr>
                                    <w:t>bici</w:t>
                                  </w:r>
                                  <w:r>
                                    <w:rPr>
                                      <w:spacing w:val="-7"/>
                                      <w:sz w:val="16"/>
                                    </w:rPr>
                                    <w:t> </w:t>
                                  </w:r>
                                  <w:r>
                                    <w:rPr>
                                      <w:spacing w:val="-10"/>
                                      <w:sz w:val="16"/>
                                    </w:rPr>
                                    <w:t>y</w:t>
                                  </w:r>
                                  <w:r>
                                    <w:rPr>
                                      <w:sz w:val="16"/>
                                    </w:rPr>
                                    <w:tab/>
                                  </w:r>
                                  <w:r>
                                    <w:rPr>
                                      <w:spacing w:val="-12"/>
                                      <w:position w:val="-8"/>
                                      <w:sz w:val="16"/>
                                    </w:rPr>
                                    <w:t>7</w:t>
                                  </w:r>
                                </w:p>
                                <w:p>
                                  <w:pPr>
                                    <w:pStyle w:val="TableParagraph"/>
                                    <w:spacing w:line="163" w:lineRule="exact" w:before="94"/>
                                    <w:ind w:left="1339"/>
                                    <w:rPr>
                                      <w:sz w:val="16"/>
                                    </w:rPr>
                                  </w:pPr>
                                  <w:r>
                                    <w:rPr>
                                      <w:sz w:val="16"/>
                                    </w:rPr>
                                    <w:t>líneas</w:t>
                                  </w:r>
                                  <w:r>
                                    <w:rPr>
                                      <w:spacing w:val="-3"/>
                                      <w:sz w:val="16"/>
                                    </w:rPr>
                                    <w:t> </w:t>
                                  </w:r>
                                  <w:r>
                                    <w:rPr>
                                      <w:sz w:val="16"/>
                                    </w:rPr>
                                    <w:t>de</w:t>
                                  </w:r>
                                  <w:r>
                                    <w:rPr>
                                      <w:spacing w:val="-3"/>
                                      <w:sz w:val="16"/>
                                    </w:rPr>
                                    <w:t> </w:t>
                                  </w:r>
                                  <w:r>
                                    <w:rPr>
                                      <w:spacing w:val="-5"/>
                                      <w:sz w:val="16"/>
                                    </w:rPr>
                                    <w:t>BTR</w:t>
                                  </w:r>
                                </w:p>
                              </w:tc>
                              <w:tc>
                                <w:tcPr>
                                  <w:tcW w:w="1270" w:type="dxa"/>
                                  <w:tcBorders>
                                    <w:top w:val="single" w:sz="4" w:space="0" w:color="002D5D"/>
                                    <w:bottom w:val="single" w:sz="4" w:space="0" w:color="002D5D"/>
                                  </w:tcBorders>
                                </w:tcPr>
                                <w:p>
                                  <w:pPr>
                                    <w:pStyle w:val="TableParagraph"/>
                                    <w:spacing w:before="91"/>
                                    <w:rPr>
                                      <w:sz w:val="16"/>
                                    </w:rPr>
                                  </w:pPr>
                                </w:p>
                                <w:p>
                                  <w:pPr>
                                    <w:pStyle w:val="TableParagraph"/>
                                    <w:ind w:right="73"/>
                                    <w:jc w:val="right"/>
                                    <w:rPr>
                                      <w:sz w:val="16"/>
                                    </w:rPr>
                                  </w:pPr>
                                  <w:r>
                                    <w:rPr>
                                      <w:spacing w:val="-2"/>
                                      <w:sz w:val="16"/>
                                    </w:rPr>
                                    <w:t>25.587.555,29</w:t>
                                  </w:r>
                                </w:p>
                              </w:tc>
                              <w:tc>
                                <w:tcPr>
                                  <w:tcW w:w="992" w:type="dxa"/>
                                  <w:tcBorders>
                                    <w:top w:val="single" w:sz="4" w:space="0" w:color="002D5D"/>
                                    <w:bottom w:val="single" w:sz="4" w:space="0" w:color="002D5D"/>
                                  </w:tcBorders>
                                </w:tcPr>
                                <w:p>
                                  <w:pPr>
                                    <w:pStyle w:val="TableParagraph"/>
                                    <w:spacing w:before="91"/>
                                    <w:rPr>
                                      <w:sz w:val="16"/>
                                    </w:rPr>
                                  </w:pPr>
                                </w:p>
                                <w:p>
                                  <w:pPr>
                                    <w:pStyle w:val="TableParagraph"/>
                                    <w:ind w:right="73"/>
                                    <w:jc w:val="right"/>
                                    <w:rPr>
                                      <w:sz w:val="16"/>
                                    </w:rPr>
                                  </w:pPr>
                                  <w:r>
                                    <w:rPr>
                                      <w:spacing w:val="-2"/>
                                      <w:sz w:val="16"/>
                                    </w:rPr>
                                    <w:t>5.404.156,72</w:t>
                                  </w:r>
                                </w:p>
                              </w:tc>
                              <w:tc>
                                <w:tcPr>
                                  <w:tcW w:w="1084" w:type="dxa"/>
                                  <w:tcBorders>
                                    <w:top w:val="single" w:sz="4" w:space="0" w:color="002D5D"/>
                                    <w:bottom w:val="single" w:sz="4" w:space="0" w:color="002D5D"/>
                                  </w:tcBorders>
                                </w:tcPr>
                                <w:p>
                                  <w:pPr>
                                    <w:pStyle w:val="TableParagraph"/>
                                    <w:spacing w:before="91"/>
                                    <w:rPr>
                                      <w:sz w:val="16"/>
                                    </w:rPr>
                                  </w:pPr>
                                </w:p>
                                <w:p>
                                  <w:pPr>
                                    <w:pStyle w:val="TableParagraph"/>
                                    <w:ind w:right="164"/>
                                    <w:jc w:val="right"/>
                                    <w:rPr>
                                      <w:sz w:val="16"/>
                                    </w:rPr>
                                  </w:pPr>
                                  <w:r>
                                    <w:rPr>
                                      <w:spacing w:val="-2"/>
                                      <w:sz w:val="16"/>
                                    </w:rPr>
                                    <w:t>20.183.398,57</w:t>
                                  </w:r>
                                </w:p>
                              </w:tc>
                              <w:tc>
                                <w:tcPr>
                                  <w:tcW w:w="473" w:type="dxa"/>
                                  <w:tcBorders>
                                    <w:top w:val="single" w:sz="4" w:space="0" w:color="001F5F"/>
                                    <w:bottom w:val="single" w:sz="4" w:space="0" w:color="001F5F"/>
                                  </w:tcBorders>
                                </w:tcPr>
                                <w:p>
                                  <w:pPr>
                                    <w:pStyle w:val="TableParagraph"/>
                                    <w:spacing w:before="91"/>
                                    <w:rPr>
                                      <w:sz w:val="16"/>
                                    </w:rPr>
                                  </w:pPr>
                                </w:p>
                                <w:p>
                                  <w:pPr>
                                    <w:pStyle w:val="TableParagraph"/>
                                    <w:ind w:left="61" w:right="1"/>
                                    <w:jc w:val="center"/>
                                    <w:rPr>
                                      <w:sz w:val="16"/>
                                    </w:rPr>
                                  </w:pPr>
                                  <w:r>
                                    <w:rPr>
                                      <w:color w:val="891538"/>
                                      <w:spacing w:val="-5"/>
                                      <w:sz w:val="16"/>
                                    </w:rPr>
                                    <w:t>SI</w:t>
                                  </w:r>
                                </w:p>
                              </w:tc>
                              <w:tc>
                                <w:tcPr>
                                  <w:tcW w:w="421" w:type="dxa"/>
                                  <w:tcBorders>
                                    <w:top w:val="single" w:sz="4" w:space="0" w:color="001F5F"/>
                                    <w:bottom w:val="single" w:sz="4" w:space="0" w:color="001F5F"/>
                                  </w:tcBorders>
                                </w:tcPr>
                                <w:p>
                                  <w:pPr>
                                    <w:pStyle w:val="TableParagraph"/>
                                    <w:spacing w:before="91"/>
                                    <w:rPr>
                                      <w:sz w:val="16"/>
                                    </w:rPr>
                                  </w:pPr>
                                </w:p>
                                <w:p>
                                  <w:pPr>
                                    <w:pStyle w:val="TableParagraph"/>
                                    <w:ind w:right="1"/>
                                    <w:jc w:val="center"/>
                                    <w:rPr>
                                      <w:sz w:val="16"/>
                                    </w:rPr>
                                  </w:pPr>
                                  <w:r>
                                    <w:rPr>
                                      <w:color w:val="891538"/>
                                      <w:spacing w:val="-5"/>
                                      <w:sz w:val="16"/>
                                    </w:rPr>
                                    <w:t>SI</w:t>
                                  </w:r>
                                </w:p>
                              </w:tc>
                              <w:tc>
                                <w:tcPr>
                                  <w:tcW w:w="426" w:type="dxa"/>
                                  <w:tcBorders>
                                    <w:top w:val="single" w:sz="4" w:space="0" w:color="001F5F"/>
                                    <w:bottom w:val="single" w:sz="4" w:space="0" w:color="001F5F"/>
                                  </w:tcBorders>
                                </w:tcPr>
                                <w:p>
                                  <w:pPr>
                                    <w:pStyle w:val="TableParagraph"/>
                                    <w:spacing w:before="91"/>
                                    <w:rPr>
                                      <w:sz w:val="16"/>
                                    </w:rPr>
                                  </w:pPr>
                                </w:p>
                                <w:p>
                                  <w:pPr>
                                    <w:pStyle w:val="TableParagraph"/>
                                    <w:ind w:left="4"/>
                                    <w:jc w:val="center"/>
                                    <w:rPr>
                                      <w:sz w:val="16"/>
                                    </w:rPr>
                                  </w:pPr>
                                  <w:r>
                                    <w:rPr>
                                      <w:color w:val="5E89B4"/>
                                      <w:spacing w:val="-5"/>
                                      <w:sz w:val="16"/>
                                    </w:rPr>
                                    <w:t>NO</w:t>
                                  </w:r>
                                </w:p>
                              </w:tc>
                              <w:tc>
                                <w:tcPr>
                                  <w:tcW w:w="419" w:type="dxa"/>
                                  <w:tcBorders>
                                    <w:top w:val="single" w:sz="4" w:space="0" w:color="001F5F"/>
                                    <w:bottom w:val="single" w:sz="4" w:space="0" w:color="001F5F"/>
                                  </w:tcBorders>
                                </w:tcPr>
                                <w:p>
                                  <w:pPr>
                                    <w:pStyle w:val="TableParagraph"/>
                                    <w:spacing w:before="91"/>
                                    <w:rPr>
                                      <w:sz w:val="16"/>
                                    </w:rPr>
                                  </w:pPr>
                                </w:p>
                                <w:p>
                                  <w:pPr>
                                    <w:pStyle w:val="TableParagraph"/>
                                    <w:ind w:left="9"/>
                                    <w:jc w:val="center"/>
                                    <w:rPr>
                                      <w:sz w:val="16"/>
                                    </w:rPr>
                                  </w:pPr>
                                  <w:r>
                                    <w:rPr>
                                      <w:color w:val="5E89B4"/>
                                      <w:spacing w:val="-5"/>
                                      <w:sz w:val="16"/>
                                    </w:rPr>
                                    <w:t>NO</w:t>
                                  </w:r>
                                </w:p>
                              </w:tc>
                              <w:tc>
                                <w:tcPr>
                                  <w:tcW w:w="964" w:type="dxa"/>
                                  <w:tcBorders>
                                    <w:top w:val="single" w:sz="4" w:space="0" w:color="001F5F"/>
                                    <w:bottom w:val="single" w:sz="4" w:space="0" w:color="001F5F"/>
                                  </w:tcBorders>
                                </w:tcPr>
                                <w:p>
                                  <w:pPr>
                                    <w:pStyle w:val="TableParagraph"/>
                                    <w:spacing w:before="91"/>
                                    <w:rPr>
                                      <w:sz w:val="16"/>
                                    </w:rPr>
                                  </w:pPr>
                                </w:p>
                                <w:p>
                                  <w:pPr>
                                    <w:pStyle w:val="TableParagraph"/>
                                    <w:ind w:left="5"/>
                                    <w:jc w:val="center"/>
                                    <w:rPr>
                                      <w:sz w:val="16"/>
                                    </w:rPr>
                                  </w:pPr>
                                  <w:r>
                                    <w:rPr>
                                      <w:spacing w:val="-2"/>
                                      <w:sz w:val="16"/>
                                    </w:rPr>
                                    <w:t>Finalizada</w:t>
                                  </w:r>
                                </w:p>
                              </w:tc>
                            </w:tr>
                            <w:tr>
                              <w:trPr>
                                <w:trHeight w:val="366" w:hRule="atLeast"/>
                              </w:trPr>
                              <w:tc>
                                <w:tcPr>
                                  <w:tcW w:w="4123" w:type="dxa"/>
                                  <w:tcBorders>
                                    <w:top w:val="single" w:sz="4" w:space="0" w:color="002D5D"/>
                                    <w:bottom w:val="single" w:sz="12" w:space="0" w:color="001F5F"/>
                                  </w:tcBorders>
                                </w:tcPr>
                                <w:p>
                                  <w:pPr>
                                    <w:pStyle w:val="TableParagraph"/>
                                    <w:tabs>
                                      <w:tab w:pos="2500" w:val="right" w:leader="none"/>
                                    </w:tabs>
                                    <w:ind w:right="281"/>
                                    <w:jc w:val="right"/>
                                    <w:rPr>
                                      <w:position w:val="-8"/>
                                      <w:sz w:val="16"/>
                                    </w:rPr>
                                  </w:pPr>
                                  <w:r>
                                    <w:rPr>
                                      <w:sz w:val="16"/>
                                    </w:rPr>
                                    <w:t>Redacción</w:t>
                                  </w:r>
                                  <w:r>
                                    <w:rPr>
                                      <w:spacing w:val="-7"/>
                                      <w:sz w:val="16"/>
                                    </w:rPr>
                                    <w:t> </w:t>
                                  </w:r>
                                  <w:r>
                                    <w:rPr>
                                      <w:sz w:val="16"/>
                                    </w:rPr>
                                    <w:t>de</w:t>
                                  </w:r>
                                  <w:r>
                                    <w:rPr>
                                      <w:spacing w:val="-4"/>
                                      <w:sz w:val="16"/>
                                    </w:rPr>
                                    <w:t> </w:t>
                                  </w:r>
                                  <w:r>
                                    <w:rPr>
                                      <w:spacing w:val="-2"/>
                                      <w:sz w:val="16"/>
                                    </w:rPr>
                                    <w:t>proyecto</w:t>
                                  </w:r>
                                  <w:r>
                                    <w:rPr>
                                      <w:sz w:val="16"/>
                                    </w:rPr>
                                    <w:tab/>
                                  </w:r>
                                  <w:r>
                                    <w:rPr>
                                      <w:spacing w:val="-10"/>
                                      <w:position w:val="-8"/>
                                      <w:sz w:val="16"/>
                                    </w:rPr>
                                    <w:t>1</w:t>
                                  </w:r>
                                </w:p>
                              </w:tc>
                              <w:tc>
                                <w:tcPr>
                                  <w:tcW w:w="1270" w:type="dxa"/>
                                  <w:tcBorders>
                                    <w:top w:val="single" w:sz="4" w:space="0" w:color="002D5D"/>
                                    <w:bottom w:val="single" w:sz="12" w:space="0" w:color="001F5F"/>
                                  </w:tcBorders>
                                </w:tcPr>
                                <w:p>
                                  <w:pPr>
                                    <w:pStyle w:val="TableParagraph"/>
                                    <w:spacing w:before="92"/>
                                    <w:ind w:right="72"/>
                                    <w:jc w:val="right"/>
                                    <w:rPr>
                                      <w:sz w:val="16"/>
                                    </w:rPr>
                                  </w:pPr>
                                  <w:r>
                                    <w:rPr>
                                      <w:spacing w:val="-2"/>
                                      <w:sz w:val="16"/>
                                    </w:rPr>
                                    <w:t>595.125,70</w:t>
                                  </w:r>
                                </w:p>
                              </w:tc>
                              <w:tc>
                                <w:tcPr>
                                  <w:tcW w:w="992" w:type="dxa"/>
                                  <w:tcBorders>
                                    <w:top w:val="single" w:sz="4" w:space="0" w:color="002D5D"/>
                                    <w:bottom w:val="single" w:sz="12" w:space="0" w:color="001F5F"/>
                                  </w:tcBorders>
                                </w:tcPr>
                                <w:p>
                                  <w:pPr>
                                    <w:pStyle w:val="TableParagraph"/>
                                    <w:spacing w:before="92"/>
                                    <w:ind w:right="73"/>
                                    <w:jc w:val="right"/>
                                    <w:rPr>
                                      <w:sz w:val="16"/>
                                    </w:rPr>
                                  </w:pPr>
                                  <w:r>
                                    <w:rPr>
                                      <w:spacing w:val="-2"/>
                                      <w:sz w:val="16"/>
                                    </w:rPr>
                                    <w:t>595.125,70</w:t>
                                  </w:r>
                                </w:p>
                              </w:tc>
                              <w:tc>
                                <w:tcPr>
                                  <w:tcW w:w="1084" w:type="dxa"/>
                                  <w:tcBorders>
                                    <w:top w:val="single" w:sz="4" w:space="0" w:color="002D5D"/>
                                    <w:bottom w:val="single" w:sz="12" w:space="0" w:color="001F5F"/>
                                  </w:tcBorders>
                                </w:tcPr>
                                <w:p>
                                  <w:pPr>
                                    <w:pStyle w:val="TableParagraph"/>
                                    <w:spacing w:before="92"/>
                                    <w:ind w:right="162"/>
                                    <w:jc w:val="right"/>
                                    <w:rPr>
                                      <w:sz w:val="16"/>
                                    </w:rPr>
                                  </w:pPr>
                                  <w:r>
                                    <w:rPr>
                                      <w:spacing w:val="-4"/>
                                      <w:sz w:val="16"/>
                                    </w:rPr>
                                    <w:t>0,00</w:t>
                                  </w:r>
                                </w:p>
                              </w:tc>
                              <w:tc>
                                <w:tcPr>
                                  <w:tcW w:w="473" w:type="dxa"/>
                                  <w:tcBorders>
                                    <w:top w:val="single" w:sz="4" w:space="0" w:color="001F5F"/>
                                    <w:bottom w:val="single" w:sz="12" w:space="0" w:color="001F5F"/>
                                  </w:tcBorders>
                                </w:tcPr>
                                <w:p>
                                  <w:pPr>
                                    <w:pStyle w:val="TableParagraph"/>
                                    <w:spacing w:before="92"/>
                                    <w:ind w:left="61"/>
                                    <w:jc w:val="center"/>
                                    <w:rPr>
                                      <w:sz w:val="16"/>
                                    </w:rPr>
                                  </w:pPr>
                                  <w:r>
                                    <w:rPr>
                                      <w:color w:val="5E89B4"/>
                                      <w:spacing w:val="-5"/>
                                      <w:sz w:val="16"/>
                                    </w:rPr>
                                    <w:t>NO</w:t>
                                  </w:r>
                                </w:p>
                              </w:tc>
                              <w:tc>
                                <w:tcPr>
                                  <w:tcW w:w="421" w:type="dxa"/>
                                  <w:tcBorders>
                                    <w:top w:val="single" w:sz="4" w:space="0" w:color="001F5F"/>
                                    <w:bottom w:val="single" w:sz="12" w:space="0" w:color="001F5F"/>
                                  </w:tcBorders>
                                </w:tcPr>
                                <w:p>
                                  <w:pPr>
                                    <w:pStyle w:val="TableParagraph"/>
                                    <w:spacing w:before="92"/>
                                    <w:ind w:left="1" w:right="1"/>
                                    <w:jc w:val="center"/>
                                    <w:rPr>
                                      <w:sz w:val="16"/>
                                    </w:rPr>
                                  </w:pPr>
                                  <w:r>
                                    <w:rPr>
                                      <w:color w:val="5E89B4"/>
                                      <w:spacing w:val="-5"/>
                                      <w:sz w:val="16"/>
                                    </w:rPr>
                                    <w:t>NO</w:t>
                                  </w:r>
                                </w:p>
                              </w:tc>
                              <w:tc>
                                <w:tcPr>
                                  <w:tcW w:w="426" w:type="dxa"/>
                                  <w:tcBorders>
                                    <w:top w:val="single" w:sz="4" w:space="0" w:color="001F5F"/>
                                    <w:bottom w:val="single" w:sz="12" w:space="0" w:color="001F5F"/>
                                  </w:tcBorders>
                                </w:tcPr>
                                <w:p>
                                  <w:pPr>
                                    <w:pStyle w:val="TableParagraph"/>
                                    <w:spacing w:before="92"/>
                                    <w:ind w:left="4"/>
                                    <w:jc w:val="center"/>
                                    <w:rPr>
                                      <w:sz w:val="16"/>
                                    </w:rPr>
                                  </w:pPr>
                                  <w:r>
                                    <w:rPr>
                                      <w:color w:val="5E89B4"/>
                                      <w:spacing w:val="-5"/>
                                      <w:sz w:val="16"/>
                                    </w:rPr>
                                    <w:t>NO</w:t>
                                  </w:r>
                                </w:p>
                              </w:tc>
                              <w:tc>
                                <w:tcPr>
                                  <w:tcW w:w="419" w:type="dxa"/>
                                  <w:tcBorders>
                                    <w:top w:val="single" w:sz="4" w:space="0" w:color="001F5F"/>
                                    <w:bottom w:val="single" w:sz="12" w:space="0" w:color="001F5F"/>
                                  </w:tcBorders>
                                </w:tcPr>
                                <w:p>
                                  <w:pPr>
                                    <w:pStyle w:val="TableParagraph"/>
                                    <w:spacing w:before="92"/>
                                    <w:ind w:left="9"/>
                                    <w:jc w:val="center"/>
                                    <w:rPr>
                                      <w:sz w:val="16"/>
                                    </w:rPr>
                                  </w:pPr>
                                  <w:r>
                                    <w:rPr>
                                      <w:color w:val="5E89B4"/>
                                      <w:spacing w:val="-5"/>
                                      <w:sz w:val="16"/>
                                    </w:rPr>
                                    <w:t>NO</w:t>
                                  </w:r>
                                </w:p>
                              </w:tc>
                              <w:tc>
                                <w:tcPr>
                                  <w:tcW w:w="964" w:type="dxa"/>
                                  <w:tcBorders>
                                    <w:top w:val="single" w:sz="4" w:space="0" w:color="001F5F"/>
                                    <w:bottom w:val="single" w:sz="12" w:space="0" w:color="001F5F"/>
                                  </w:tcBorders>
                                </w:tcPr>
                                <w:p>
                                  <w:pPr>
                                    <w:pStyle w:val="TableParagraph"/>
                                    <w:spacing w:before="92"/>
                                    <w:ind w:left="5"/>
                                    <w:jc w:val="center"/>
                                    <w:rPr>
                                      <w:sz w:val="16"/>
                                    </w:rPr>
                                  </w:pPr>
                                  <w:r>
                                    <w:rPr>
                                      <w:sz w:val="16"/>
                                    </w:rPr>
                                    <w:t>En</w:t>
                                  </w:r>
                                  <w:r>
                                    <w:rPr>
                                      <w:spacing w:val="-2"/>
                                      <w:sz w:val="16"/>
                                    </w:rPr>
                                    <w:t> ejecución</w:t>
                                  </w:r>
                                </w:p>
                              </w:tc>
                            </w:tr>
                            <w:tr>
                              <w:trPr>
                                <w:trHeight w:val="284" w:hRule="atLeast"/>
                              </w:trPr>
                              <w:tc>
                                <w:tcPr>
                                  <w:tcW w:w="4123" w:type="dxa"/>
                                  <w:tcBorders>
                                    <w:top w:val="single" w:sz="12" w:space="0" w:color="001F5F"/>
                                    <w:bottom w:val="single" w:sz="12" w:space="0" w:color="001F5F"/>
                                  </w:tcBorders>
                                </w:tcPr>
                                <w:p>
                                  <w:pPr>
                                    <w:pStyle w:val="TableParagraph"/>
                                    <w:tabs>
                                      <w:tab w:pos="1269" w:val="left" w:leader="none"/>
                                      <w:tab w:pos="3770" w:val="right" w:leader="none"/>
                                    </w:tabs>
                                    <w:spacing w:before="51"/>
                                    <w:ind w:right="281"/>
                                    <w:jc w:val="right"/>
                                    <w:rPr>
                                      <w:sz w:val="16"/>
                                    </w:rPr>
                                  </w:pPr>
                                  <w:r>
                                    <w:rPr>
                                      <w:b/>
                                      <w:spacing w:val="-2"/>
                                      <w:sz w:val="16"/>
                                    </w:rPr>
                                    <w:t>PALMA</w:t>
                                  </w:r>
                                  <w:r>
                                    <w:rPr>
                                      <w:b/>
                                      <w:sz w:val="16"/>
                                    </w:rPr>
                                    <w:tab/>
                                  </w:r>
                                  <w:r>
                                    <w:rPr>
                                      <w:sz w:val="16"/>
                                    </w:rPr>
                                    <w:t>Mejora</w:t>
                                  </w:r>
                                  <w:r>
                                    <w:rPr>
                                      <w:spacing w:val="-7"/>
                                      <w:sz w:val="16"/>
                                    </w:rPr>
                                    <w:t> </w:t>
                                  </w:r>
                                  <w:r>
                                    <w:rPr>
                                      <w:sz w:val="16"/>
                                    </w:rPr>
                                    <w:t>accesibilidad</w:t>
                                  </w:r>
                                  <w:r>
                                    <w:rPr>
                                      <w:spacing w:val="-7"/>
                                      <w:sz w:val="16"/>
                                    </w:rPr>
                                    <w:t> </w:t>
                                  </w:r>
                                  <w:r>
                                    <w:rPr>
                                      <w:spacing w:val="-2"/>
                                      <w:sz w:val="16"/>
                                    </w:rPr>
                                    <w:t>paradas</w:t>
                                  </w:r>
                                  <w:r>
                                    <w:rPr>
                                      <w:sz w:val="16"/>
                                    </w:rPr>
                                    <w:tab/>
                                  </w:r>
                                  <w:r>
                                    <w:rPr>
                                      <w:spacing w:val="-10"/>
                                      <w:sz w:val="16"/>
                                    </w:rPr>
                                    <w:t>4</w:t>
                                  </w:r>
                                </w:p>
                              </w:tc>
                              <w:tc>
                                <w:tcPr>
                                  <w:tcW w:w="1270" w:type="dxa"/>
                                  <w:tcBorders>
                                    <w:top w:val="single" w:sz="12" w:space="0" w:color="001F5F"/>
                                    <w:bottom w:val="single" w:sz="12" w:space="0" w:color="001F5F"/>
                                  </w:tcBorders>
                                </w:tcPr>
                                <w:p>
                                  <w:pPr>
                                    <w:pStyle w:val="TableParagraph"/>
                                    <w:spacing w:before="51"/>
                                    <w:ind w:right="73"/>
                                    <w:jc w:val="right"/>
                                    <w:rPr>
                                      <w:sz w:val="16"/>
                                    </w:rPr>
                                  </w:pPr>
                                  <w:r>
                                    <w:rPr>
                                      <w:spacing w:val="-2"/>
                                      <w:sz w:val="16"/>
                                    </w:rPr>
                                    <w:t>5.427.480,63</w:t>
                                  </w:r>
                                </w:p>
                              </w:tc>
                              <w:tc>
                                <w:tcPr>
                                  <w:tcW w:w="992" w:type="dxa"/>
                                  <w:tcBorders>
                                    <w:top w:val="single" w:sz="12" w:space="0" w:color="001F5F"/>
                                    <w:bottom w:val="single" w:sz="12" w:space="0" w:color="001F5F"/>
                                  </w:tcBorders>
                                </w:tcPr>
                                <w:p>
                                  <w:pPr>
                                    <w:pStyle w:val="TableParagraph"/>
                                    <w:spacing w:before="51"/>
                                    <w:ind w:right="73"/>
                                    <w:jc w:val="right"/>
                                    <w:rPr>
                                      <w:sz w:val="16"/>
                                    </w:rPr>
                                  </w:pPr>
                                  <w:r>
                                    <w:rPr>
                                      <w:spacing w:val="-2"/>
                                      <w:sz w:val="16"/>
                                    </w:rPr>
                                    <w:t>2.670.729,80</w:t>
                                  </w:r>
                                </w:p>
                              </w:tc>
                              <w:tc>
                                <w:tcPr>
                                  <w:tcW w:w="1084" w:type="dxa"/>
                                  <w:tcBorders>
                                    <w:top w:val="single" w:sz="12" w:space="0" w:color="001F5F"/>
                                    <w:bottom w:val="single" w:sz="12" w:space="0" w:color="001F5F"/>
                                  </w:tcBorders>
                                </w:tcPr>
                                <w:p>
                                  <w:pPr>
                                    <w:pStyle w:val="TableParagraph"/>
                                    <w:spacing w:before="51"/>
                                    <w:ind w:right="163"/>
                                    <w:jc w:val="right"/>
                                    <w:rPr>
                                      <w:sz w:val="16"/>
                                    </w:rPr>
                                  </w:pPr>
                                  <w:r>
                                    <w:rPr>
                                      <w:spacing w:val="-2"/>
                                      <w:sz w:val="16"/>
                                    </w:rPr>
                                    <w:t>2.756.750,83</w:t>
                                  </w:r>
                                </w:p>
                              </w:tc>
                              <w:tc>
                                <w:tcPr>
                                  <w:tcW w:w="473" w:type="dxa"/>
                                  <w:tcBorders>
                                    <w:top w:val="single" w:sz="12" w:space="0" w:color="001F5F"/>
                                    <w:bottom w:val="single" w:sz="12" w:space="0" w:color="001F5F"/>
                                  </w:tcBorders>
                                </w:tcPr>
                                <w:p>
                                  <w:pPr>
                                    <w:pStyle w:val="TableParagraph"/>
                                    <w:spacing w:before="51"/>
                                    <w:ind w:left="61"/>
                                    <w:jc w:val="center"/>
                                    <w:rPr>
                                      <w:sz w:val="16"/>
                                    </w:rPr>
                                  </w:pPr>
                                  <w:r>
                                    <w:rPr>
                                      <w:color w:val="5E89B4"/>
                                      <w:spacing w:val="-5"/>
                                      <w:sz w:val="16"/>
                                    </w:rPr>
                                    <w:t>NO</w:t>
                                  </w:r>
                                </w:p>
                              </w:tc>
                              <w:tc>
                                <w:tcPr>
                                  <w:tcW w:w="421" w:type="dxa"/>
                                  <w:tcBorders>
                                    <w:top w:val="single" w:sz="12" w:space="0" w:color="001F5F"/>
                                    <w:bottom w:val="single" w:sz="12" w:space="0" w:color="001F5F"/>
                                  </w:tcBorders>
                                </w:tcPr>
                                <w:p>
                                  <w:pPr>
                                    <w:pStyle w:val="TableParagraph"/>
                                    <w:spacing w:before="51"/>
                                    <w:ind w:right="1"/>
                                    <w:jc w:val="center"/>
                                    <w:rPr>
                                      <w:sz w:val="16"/>
                                    </w:rPr>
                                  </w:pPr>
                                  <w:r>
                                    <w:rPr>
                                      <w:color w:val="891538"/>
                                      <w:spacing w:val="-5"/>
                                      <w:sz w:val="16"/>
                                    </w:rPr>
                                    <w:t>SI</w:t>
                                  </w:r>
                                </w:p>
                              </w:tc>
                              <w:tc>
                                <w:tcPr>
                                  <w:tcW w:w="426" w:type="dxa"/>
                                  <w:tcBorders>
                                    <w:top w:val="single" w:sz="12" w:space="0" w:color="001F5F"/>
                                    <w:bottom w:val="single" w:sz="12" w:space="0" w:color="001F5F"/>
                                  </w:tcBorders>
                                </w:tcPr>
                                <w:p>
                                  <w:pPr>
                                    <w:pStyle w:val="TableParagraph"/>
                                    <w:spacing w:before="51"/>
                                    <w:ind w:left="4"/>
                                    <w:jc w:val="center"/>
                                    <w:rPr>
                                      <w:sz w:val="16"/>
                                    </w:rPr>
                                  </w:pPr>
                                  <w:r>
                                    <w:rPr>
                                      <w:color w:val="5E89B4"/>
                                      <w:spacing w:val="-5"/>
                                      <w:sz w:val="16"/>
                                    </w:rPr>
                                    <w:t>NO</w:t>
                                  </w:r>
                                </w:p>
                              </w:tc>
                              <w:tc>
                                <w:tcPr>
                                  <w:tcW w:w="419" w:type="dxa"/>
                                  <w:tcBorders>
                                    <w:top w:val="single" w:sz="12" w:space="0" w:color="001F5F"/>
                                    <w:bottom w:val="single" w:sz="12" w:space="0" w:color="001F5F"/>
                                  </w:tcBorders>
                                </w:tcPr>
                                <w:p>
                                  <w:pPr>
                                    <w:pStyle w:val="TableParagraph"/>
                                    <w:spacing w:before="51"/>
                                    <w:ind w:left="9"/>
                                    <w:jc w:val="center"/>
                                    <w:rPr>
                                      <w:sz w:val="16"/>
                                    </w:rPr>
                                  </w:pPr>
                                  <w:r>
                                    <w:rPr>
                                      <w:color w:val="5E89B4"/>
                                      <w:spacing w:val="-5"/>
                                      <w:sz w:val="16"/>
                                    </w:rPr>
                                    <w:t>NO</w:t>
                                  </w:r>
                                </w:p>
                              </w:tc>
                              <w:tc>
                                <w:tcPr>
                                  <w:tcW w:w="964" w:type="dxa"/>
                                  <w:tcBorders>
                                    <w:top w:val="single" w:sz="12" w:space="0" w:color="001F5F"/>
                                    <w:bottom w:val="single" w:sz="12" w:space="0" w:color="001F5F"/>
                                  </w:tcBorders>
                                </w:tcPr>
                                <w:p>
                                  <w:pPr>
                                    <w:pStyle w:val="TableParagraph"/>
                                    <w:spacing w:before="51"/>
                                    <w:ind w:left="5"/>
                                    <w:jc w:val="center"/>
                                    <w:rPr>
                                      <w:sz w:val="16"/>
                                    </w:rPr>
                                  </w:pPr>
                                  <w:r>
                                    <w:rPr>
                                      <w:sz w:val="16"/>
                                    </w:rPr>
                                    <w:t>En</w:t>
                                  </w:r>
                                  <w:r>
                                    <w:rPr>
                                      <w:spacing w:val="-2"/>
                                      <w:sz w:val="16"/>
                                    </w:rPr>
                                    <w:t> ejecución</w:t>
                                  </w:r>
                                </w:p>
                              </w:tc>
                            </w:tr>
                            <w:tr>
                              <w:trPr>
                                <w:trHeight w:val="368" w:hRule="atLeast"/>
                              </w:trPr>
                              <w:tc>
                                <w:tcPr>
                                  <w:tcW w:w="4123" w:type="dxa"/>
                                  <w:tcBorders>
                                    <w:top w:val="single" w:sz="12" w:space="0" w:color="001F5F"/>
                                    <w:bottom w:val="single" w:sz="4" w:space="0" w:color="001F5F"/>
                                  </w:tcBorders>
                                </w:tcPr>
                                <w:p>
                                  <w:pPr>
                                    <w:pStyle w:val="TableParagraph"/>
                                    <w:tabs>
                                      <w:tab w:pos="2500" w:val="right" w:leader="none"/>
                                    </w:tabs>
                                    <w:ind w:right="281"/>
                                    <w:jc w:val="right"/>
                                    <w:rPr>
                                      <w:position w:val="-8"/>
                                      <w:sz w:val="16"/>
                                    </w:rPr>
                                  </w:pPr>
                                  <w:r>
                                    <w:rPr>
                                      <w:sz w:val="16"/>
                                    </w:rPr>
                                    <w:t>Equipamiento</w:t>
                                  </w:r>
                                  <w:r>
                                    <w:rPr>
                                      <w:spacing w:val="-11"/>
                                      <w:sz w:val="16"/>
                                    </w:rPr>
                                    <w:t> </w:t>
                                  </w:r>
                                  <w:r>
                                    <w:rPr>
                                      <w:sz w:val="16"/>
                                    </w:rPr>
                                    <w:t>paradas</w:t>
                                  </w:r>
                                  <w:r>
                                    <w:rPr>
                                      <w:spacing w:val="-9"/>
                                      <w:sz w:val="16"/>
                                    </w:rPr>
                                    <w:t> </w:t>
                                  </w:r>
                                  <w:r>
                                    <w:rPr>
                                      <w:spacing w:val="-4"/>
                                      <w:sz w:val="16"/>
                                    </w:rPr>
                                    <w:t>metro</w:t>
                                  </w:r>
                                  <w:r>
                                    <w:rPr>
                                      <w:sz w:val="16"/>
                                    </w:rPr>
                                    <w:tab/>
                                  </w:r>
                                  <w:r>
                                    <w:rPr>
                                      <w:spacing w:val="-10"/>
                                      <w:position w:val="-8"/>
                                      <w:sz w:val="16"/>
                                    </w:rPr>
                                    <w:t>1</w:t>
                                  </w:r>
                                </w:p>
                              </w:tc>
                              <w:tc>
                                <w:tcPr>
                                  <w:tcW w:w="1270" w:type="dxa"/>
                                  <w:tcBorders>
                                    <w:top w:val="single" w:sz="12" w:space="0" w:color="001F5F"/>
                                    <w:bottom w:val="single" w:sz="4" w:space="0" w:color="001F5F"/>
                                  </w:tcBorders>
                                </w:tcPr>
                                <w:p>
                                  <w:pPr>
                                    <w:pStyle w:val="TableParagraph"/>
                                    <w:spacing w:before="92"/>
                                    <w:ind w:right="72"/>
                                    <w:jc w:val="right"/>
                                    <w:rPr>
                                      <w:sz w:val="16"/>
                                    </w:rPr>
                                  </w:pPr>
                                  <w:r>
                                    <w:rPr>
                                      <w:spacing w:val="-2"/>
                                      <w:sz w:val="16"/>
                                    </w:rPr>
                                    <w:t>689.751,47</w:t>
                                  </w:r>
                                </w:p>
                              </w:tc>
                              <w:tc>
                                <w:tcPr>
                                  <w:tcW w:w="992" w:type="dxa"/>
                                  <w:tcBorders>
                                    <w:top w:val="single" w:sz="12" w:space="0" w:color="001F5F"/>
                                    <w:bottom w:val="single" w:sz="4" w:space="0" w:color="001F5F"/>
                                  </w:tcBorders>
                                </w:tcPr>
                                <w:p>
                                  <w:pPr>
                                    <w:pStyle w:val="TableParagraph"/>
                                    <w:spacing w:before="92"/>
                                    <w:ind w:right="73"/>
                                    <w:jc w:val="right"/>
                                    <w:rPr>
                                      <w:sz w:val="16"/>
                                    </w:rPr>
                                  </w:pPr>
                                  <w:r>
                                    <w:rPr>
                                      <w:spacing w:val="-2"/>
                                      <w:sz w:val="16"/>
                                    </w:rPr>
                                    <w:t>137.950,29</w:t>
                                  </w:r>
                                </w:p>
                              </w:tc>
                              <w:tc>
                                <w:tcPr>
                                  <w:tcW w:w="1084" w:type="dxa"/>
                                  <w:tcBorders>
                                    <w:top w:val="single" w:sz="12" w:space="0" w:color="001F5F"/>
                                    <w:bottom w:val="single" w:sz="4" w:space="0" w:color="001F5F"/>
                                  </w:tcBorders>
                                </w:tcPr>
                                <w:p>
                                  <w:pPr>
                                    <w:pStyle w:val="TableParagraph"/>
                                    <w:spacing w:before="92"/>
                                    <w:ind w:right="163"/>
                                    <w:jc w:val="right"/>
                                    <w:rPr>
                                      <w:sz w:val="16"/>
                                    </w:rPr>
                                  </w:pPr>
                                  <w:r>
                                    <w:rPr>
                                      <w:spacing w:val="-2"/>
                                      <w:sz w:val="16"/>
                                    </w:rPr>
                                    <w:t>551.801,18</w:t>
                                  </w:r>
                                </w:p>
                              </w:tc>
                              <w:tc>
                                <w:tcPr>
                                  <w:tcW w:w="473" w:type="dxa"/>
                                  <w:tcBorders>
                                    <w:top w:val="single" w:sz="12" w:space="0" w:color="001F5F"/>
                                    <w:bottom w:val="single" w:sz="4" w:space="0" w:color="001F5F"/>
                                  </w:tcBorders>
                                </w:tcPr>
                                <w:p>
                                  <w:pPr>
                                    <w:pStyle w:val="TableParagraph"/>
                                    <w:spacing w:before="92"/>
                                    <w:ind w:left="61"/>
                                    <w:jc w:val="center"/>
                                    <w:rPr>
                                      <w:sz w:val="16"/>
                                    </w:rPr>
                                  </w:pPr>
                                  <w:r>
                                    <w:rPr>
                                      <w:color w:val="5E89B4"/>
                                      <w:spacing w:val="-5"/>
                                      <w:sz w:val="16"/>
                                    </w:rPr>
                                    <w:t>NO</w:t>
                                  </w:r>
                                </w:p>
                              </w:tc>
                              <w:tc>
                                <w:tcPr>
                                  <w:tcW w:w="421" w:type="dxa"/>
                                  <w:tcBorders>
                                    <w:top w:val="single" w:sz="12" w:space="0" w:color="001F5F"/>
                                    <w:bottom w:val="single" w:sz="4" w:space="0" w:color="001F5F"/>
                                  </w:tcBorders>
                                </w:tcPr>
                                <w:p>
                                  <w:pPr>
                                    <w:pStyle w:val="TableParagraph"/>
                                    <w:spacing w:before="92"/>
                                    <w:ind w:left="1" w:right="1"/>
                                    <w:jc w:val="center"/>
                                    <w:rPr>
                                      <w:sz w:val="16"/>
                                    </w:rPr>
                                  </w:pPr>
                                  <w:r>
                                    <w:rPr>
                                      <w:color w:val="5E89B4"/>
                                      <w:spacing w:val="-5"/>
                                      <w:sz w:val="16"/>
                                    </w:rPr>
                                    <w:t>NO</w:t>
                                  </w:r>
                                </w:p>
                              </w:tc>
                              <w:tc>
                                <w:tcPr>
                                  <w:tcW w:w="426" w:type="dxa"/>
                                  <w:tcBorders>
                                    <w:top w:val="single" w:sz="12" w:space="0" w:color="001F5F"/>
                                    <w:bottom w:val="single" w:sz="4" w:space="0" w:color="001F5F"/>
                                  </w:tcBorders>
                                </w:tcPr>
                                <w:p>
                                  <w:pPr>
                                    <w:pStyle w:val="TableParagraph"/>
                                    <w:spacing w:before="92"/>
                                    <w:ind w:left="4"/>
                                    <w:jc w:val="center"/>
                                    <w:rPr>
                                      <w:sz w:val="16"/>
                                    </w:rPr>
                                  </w:pPr>
                                  <w:r>
                                    <w:rPr>
                                      <w:color w:val="5E89B4"/>
                                      <w:spacing w:val="-5"/>
                                      <w:sz w:val="16"/>
                                    </w:rPr>
                                    <w:t>NO</w:t>
                                  </w:r>
                                </w:p>
                              </w:tc>
                              <w:tc>
                                <w:tcPr>
                                  <w:tcW w:w="419" w:type="dxa"/>
                                  <w:tcBorders>
                                    <w:top w:val="single" w:sz="12" w:space="0" w:color="001F5F"/>
                                    <w:bottom w:val="single" w:sz="4" w:space="0" w:color="001F5F"/>
                                  </w:tcBorders>
                                </w:tcPr>
                                <w:p>
                                  <w:pPr>
                                    <w:pStyle w:val="TableParagraph"/>
                                    <w:spacing w:before="92"/>
                                    <w:ind w:left="9"/>
                                    <w:jc w:val="center"/>
                                    <w:rPr>
                                      <w:sz w:val="16"/>
                                    </w:rPr>
                                  </w:pPr>
                                  <w:r>
                                    <w:rPr>
                                      <w:color w:val="5E89B4"/>
                                      <w:spacing w:val="-5"/>
                                      <w:sz w:val="16"/>
                                    </w:rPr>
                                    <w:t>NO</w:t>
                                  </w:r>
                                </w:p>
                              </w:tc>
                              <w:tc>
                                <w:tcPr>
                                  <w:tcW w:w="964" w:type="dxa"/>
                                  <w:tcBorders>
                                    <w:top w:val="single" w:sz="12" w:space="0" w:color="001F5F"/>
                                    <w:bottom w:val="single" w:sz="4" w:space="0" w:color="001F5F"/>
                                  </w:tcBorders>
                                </w:tcPr>
                                <w:p>
                                  <w:pPr>
                                    <w:pStyle w:val="TableParagraph"/>
                                    <w:spacing w:before="92"/>
                                    <w:ind w:left="5"/>
                                    <w:jc w:val="center"/>
                                    <w:rPr>
                                      <w:sz w:val="16"/>
                                    </w:rPr>
                                  </w:pPr>
                                  <w:r>
                                    <w:rPr>
                                      <w:spacing w:val="-2"/>
                                      <w:sz w:val="16"/>
                                    </w:rPr>
                                    <w:t>Finalizada</w:t>
                                  </w:r>
                                </w:p>
                              </w:tc>
                            </w:tr>
                            <w:tr>
                              <w:trPr>
                                <w:trHeight w:val="366" w:hRule="atLeast"/>
                              </w:trPr>
                              <w:tc>
                                <w:tcPr>
                                  <w:tcW w:w="4123" w:type="dxa"/>
                                  <w:tcBorders>
                                    <w:top w:val="single" w:sz="4" w:space="0" w:color="001F5F"/>
                                    <w:bottom w:val="single" w:sz="4" w:space="0" w:color="001F5F"/>
                                  </w:tcBorders>
                                </w:tcPr>
                                <w:p>
                                  <w:pPr>
                                    <w:pStyle w:val="TableParagraph"/>
                                    <w:tabs>
                                      <w:tab w:pos="1269" w:val="left" w:leader="none"/>
                                      <w:tab w:pos="3770" w:val="right" w:leader="none"/>
                                    </w:tabs>
                                    <w:ind w:right="281"/>
                                    <w:jc w:val="right"/>
                                    <w:rPr>
                                      <w:position w:val="-8"/>
                                      <w:sz w:val="16"/>
                                    </w:rPr>
                                  </w:pPr>
                                  <w:r>
                                    <w:rPr>
                                      <w:b/>
                                      <w:spacing w:val="-2"/>
                                      <w:position w:val="-8"/>
                                      <w:sz w:val="16"/>
                                    </w:rPr>
                                    <w:t>SEVILLA</w:t>
                                  </w:r>
                                  <w:r>
                                    <w:rPr>
                                      <w:b/>
                                      <w:position w:val="-8"/>
                                      <w:sz w:val="16"/>
                                    </w:rPr>
                                    <w:tab/>
                                  </w:r>
                                  <w:r>
                                    <w:rPr>
                                      <w:sz w:val="16"/>
                                    </w:rPr>
                                    <w:t>Construcción</w:t>
                                  </w:r>
                                  <w:r>
                                    <w:rPr>
                                      <w:spacing w:val="-6"/>
                                      <w:sz w:val="16"/>
                                    </w:rPr>
                                    <w:t> </w:t>
                                  </w:r>
                                  <w:r>
                                    <w:rPr>
                                      <w:sz w:val="16"/>
                                    </w:rPr>
                                    <w:t>de</w:t>
                                  </w:r>
                                  <w:r>
                                    <w:rPr>
                                      <w:spacing w:val="-5"/>
                                      <w:sz w:val="16"/>
                                    </w:rPr>
                                    <w:t> </w:t>
                                  </w:r>
                                  <w:r>
                                    <w:rPr>
                                      <w:sz w:val="16"/>
                                    </w:rPr>
                                    <w:t>carril</w:t>
                                  </w:r>
                                  <w:r>
                                    <w:rPr>
                                      <w:spacing w:val="-7"/>
                                      <w:sz w:val="16"/>
                                    </w:rPr>
                                    <w:t> </w:t>
                                  </w:r>
                                  <w:r>
                                    <w:rPr>
                                      <w:spacing w:val="-5"/>
                                      <w:sz w:val="16"/>
                                    </w:rPr>
                                    <w:t>bus</w:t>
                                  </w:r>
                                  <w:r>
                                    <w:rPr>
                                      <w:sz w:val="16"/>
                                    </w:rPr>
                                    <w:tab/>
                                  </w:r>
                                  <w:r>
                                    <w:rPr>
                                      <w:spacing w:val="-10"/>
                                      <w:position w:val="-8"/>
                                      <w:sz w:val="16"/>
                                    </w:rPr>
                                    <w:t>5</w:t>
                                  </w:r>
                                </w:p>
                              </w:tc>
                              <w:tc>
                                <w:tcPr>
                                  <w:tcW w:w="1270" w:type="dxa"/>
                                  <w:tcBorders>
                                    <w:top w:val="single" w:sz="4" w:space="0" w:color="001F5F"/>
                                    <w:bottom w:val="single" w:sz="4" w:space="0" w:color="001F5F"/>
                                  </w:tcBorders>
                                </w:tcPr>
                                <w:p>
                                  <w:pPr>
                                    <w:pStyle w:val="TableParagraph"/>
                                    <w:spacing w:before="90"/>
                                    <w:ind w:right="73"/>
                                    <w:jc w:val="right"/>
                                    <w:rPr>
                                      <w:sz w:val="16"/>
                                    </w:rPr>
                                  </w:pPr>
                                  <w:r>
                                    <w:rPr>
                                      <w:spacing w:val="-2"/>
                                      <w:sz w:val="16"/>
                                    </w:rPr>
                                    <w:t>17.856.816,53</w:t>
                                  </w:r>
                                </w:p>
                              </w:tc>
                              <w:tc>
                                <w:tcPr>
                                  <w:tcW w:w="992" w:type="dxa"/>
                                  <w:tcBorders>
                                    <w:top w:val="single" w:sz="4" w:space="0" w:color="001F5F"/>
                                    <w:bottom w:val="single" w:sz="4" w:space="0" w:color="001F5F"/>
                                  </w:tcBorders>
                                </w:tcPr>
                                <w:p>
                                  <w:pPr>
                                    <w:pStyle w:val="TableParagraph"/>
                                    <w:spacing w:before="90"/>
                                    <w:ind w:right="73"/>
                                    <w:jc w:val="right"/>
                                    <w:rPr>
                                      <w:sz w:val="16"/>
                                    </w:rPr>
                                  </w:pPr>
                                  <w:r>
                                    <w:rPr>
                                      <w:spacing w:val="-2"/>
                                      <w:sz w:val="16"/>
                                    </w:rPr>
                                    <w:t>1.785.681,65</w:t>
                                  </w:r>
                                </w:p>
                              </w:tc>
                              <w:tc>
                                <w:tcPr>
                                  <w:tcW w:w="1084" w:type="dxa"/>
                                  <w:tcBorders>
                                    <w:top w:val="single" w:sz="4" w:space="0" w:color="001F5F"/>
                                    <w:bottom w:val="single" w:sz="4" w:space="0" w:color="001F5F"/>
                                  </w:tcBorders>
                                </w:tcPr>
                                <w:p>
                                  <w:pPr>
                                    <w:pStyle w:val="TableParagraph"/>
                                    <w:spacing w:before="90"/>
                                    <w:ind w:right="164"/>
                                    <w:jc w:val="right"/>
                                    <w:rPr>
                                      <w:sz w:val="16"/>
                                    </w:rPr>
                                  </w:pPr>
                                  <w:r>
                                    <w:rPr>
                                      <w:spacing w:val="-2"/>
                                      <w:sz w:val="16"/>
                                    </w:rPr>
                                    <w:t>16.071.134,88</w:t>
                                  </w:r>
                                </w:p>
                              </w:tc>
                              <w:tc>
                                <w:tcPr>
                                  <w:tcW w:w="473" w:type="dxa"/>
                                  <w:tcBorders>
                                    <w:top w:val="single" w:sz="4" w:space="0" w:color="001F5F"/>
                                    <w:bottom w:val="single" w:sz="4" w:space="0" w:color="001F5F"/>
                                  </w:tcBorders>
                                </w:tcPr>
                                <w:p>
                                  <w:pPr>
                                    <w:pStyle w:val="TableParagraph"/>
                                    <w:spacing w:before="90"/>
                                    <w:ind w:left="61"/>
                                    <w:jc w:val="center"/>
                                    <w:rPr>
                                      <w:sz w:val="16"/>
                                    </w:rPr>
                                  </w:pPr>
                                  <w:r>
                                    <w:rPr>
                                      <w:color w:val="5E89B4"/>
                                      <w:spacing w:val="-5"/>
                                      <w:sz w:val="16"/>
                                    </w:rPr>
                                    <w:t>NO</w:t>
                                  </w:r>
                                </w:p>
                              </w:tc>
                              <w:tc>
                                <w:tcPr>
                                  <w:tcW w:w="421" w:type="dxa"/>
                                  <w:tcBorders>
                                    <w:top w:val="single" w:sz="4" w:space="0" w:color="001F5F"/>
                                    <w:bottom w:val="single" w:sz="4" w:space="0" w:color="001F5F"/>
                                  </w:tcBorders>
                                </w:tcPr>
                                <w:p>
                                  <w:pPr>
                                    <w:pStyle w:val="TableParagraph"/>
                                    <w:spacing w:before="90"/>
                                    <w:ind w:right="1"/>
                                    <w:jc w:val="center"/>
                                    <w:rPr>
                                      <w:sz w:val="16"/>
                                    </w:rPr>
                                  </w:pPr>
                                  <w:r>
                                    <w:rPr>
                                      <w:color w:val="891538"/>
                                      <w:spacing w:val="-5"/>
                                      <w:sz w:val="16"/>
                                    </w:rPr>
                                    <w:t>SI</w:t>
                                  </w:r>
                                </w:p>
                              </w:tc>
                              <w:tc>
                                <w:tcPr>
                                  <w:tcW w:w="426" w:type="dxa"/>
                                  <w:tcBorders>
                                    <w:top w:val="single" w:sz="4" w:space="0" w:color="001F5F"/>
                                    <w:bottom w:val="single" w:sz="4" w:space="0" w:color="001F5F"/>
                                  </w:tcBorders>
                                </w:tcPr>
                                <w:p>
                                  <w:pPr>
                                    <w:pStyle w:val="TableParagraph"/>
                                    <w:spacing w:before="90"/>
                                    <w:ind w:left="4"/>
                                    <w:jc w:val="center"/>
                                    <w:rPr>
                                      <w:sz w:val="16"/>
                                    </w:rPr>
                                  </w:pPr>
                                  <w:r>
                                    <w:rPr>
                                      <w:color w:val="5E89B4"/>
                                      <w:spacing w:val="-5"/>
                                      <w:sz w:val="16"/>
                                    </w:rPr>
                                    <w:t>NO</w:t>
                                  </w:r>
                                </w:p>
                              </w:tc>
                              <w:tc>
                                <w:tcPr>
                                  <w:tcW w:w="419" w:type="dxa"/>
                                  <w:tcBorders>
                                    <w:top w:val="single" w:sz="4" w:space="0" w:color="001F5F"/>
                                    <w:bottom w:val="single" w:sz="4" w:space="0" w:color="001F5F"/>
                                  </w:tcBorders>
                                </w:tcPr>
                                <w:p>
                                  <w:pPr>
                                    <w:pStyle w:val="TableParagraph"/>
                                    <w:spacing w:before="90"/>
                                    <w:ind w:left="9"/>
                                    <w:jc w:val="center"/>
                                    <w:rPr>
                                      <w:sz w:val="16"/>
                                    </w:rPr>
                                  </w:pPr>
                                  <w:r>
                                    <w:rPr>
                                      <w:color w:val="5E89B4"/>
                                      <w:spacing w:val="-5"/>
                                      <w:sz w:val="16"/>
                                    </w:rPr>
                                    <w:t>NO</w:t>
                                  </w:r>
                                </w:p>
                              </w:tc>
                              <w:tc>
                                <w:tcPr>
                                  <w:tcW w:w="964" w:type="dxa"/>
                                  <w:tcBorders>
                                    <w:top w:val="single" w:sz="4" w:space="0" w:color="001F5F"/>
                                    <w:bottom w:val="single" w:sz="4" w:space="0" w:color="001F5F"/>
                                  </w:tcBorders>
                                </w:tcPr>
                                <w:p>
                                  <w:pPr>
                                    <w:pStyle w:val="TableParagraph"/>
                                    <w:spacing w:before="90"/>
                                    <w:ind w:left="5"/>
                                    <w:jc w:val="center"/>
                                    <w:rPr>
                                      <w:sz w:val="16"/>
                                    </w:rPr>
                                  </w:pPr>
                                  <w:r>
                                    <w:rPr>
                                      <w:sz w:val="16"/>
                                    </w:rPr>
                                    <w:t>En</w:t>
                                  </w:r>
                                  <w:r>
                                    <w:rPr>
                                      <w:spacing w:val="-2"/>
                                      <w:sz w:val="16"/>
                                    </w:rPr>
                                    <w:t> ejecución</w:t>
                                  </w:r>
                                </w:p>
                              </w:tc>
                            </w:tr>
                            <w:tr>
                              <w:trPr>
                                <w:trHeight w:val="366" w:hRule="atLeast"/>
                              </w:trPr>
                              <w:tc>
                                <w:tcPr>
                                  <w:tcW w:w="4123" w:type="dxa"/>
                                  <w:tcBorders>
                                    <w:top w:val="single" w:sz="4" w:space="0" w:color="001F5F"/>
                                    <w:bottom w:val="single" w:sz="12" w:space="0" w:color="001F5F"/>
                                  </w:tcBorders>
                                </w:tcPr>
                                <w:p>
                                  <w:pPr>
                                    <w:pStyle w:val="TableParagraph"/>
                                    <w:tabs>
                                      <w:tab w:pos="2500" w:val="right" w:leader="none"/>
                                    </w:tabs>
                                    <w:ind w:right="281"/>
                                    <w:jc w:val="right"/>
                                    <w:rPr>
                                      <w:position w:val="-8"/>
                                      <w:sz w:val="16"/>
                                    </w:rPr>
                                  </w:pPr>
                                  <w:r>
                                    <w:rPr>
                                      <w:sz w:val="16"/>
                                    </w:rPr>
                                    <w:t>Proyecto</w:t>
                                  </w:r>
                                  <w:r>
                                    <w:rPr>
                                      <w:spacing w:val="-10"/>
                                      <w:sz w:val="16"/>
                                    </w:rPr>
                                    <w:t> </w:t>
                                  </w:r>
                                  <w:r>
                                    <w:rPr>
                                      <w:sz w:val="16"/>
                                    </w:rPr>
                                    <w:t>construcción</w:t>
                                  </w:r>
                                  <w:r>
                                    <w:rPr>
                                      <w:spacing w:val="-5"/>
                                      <w:sz w:val="16"/>
                                    </w:rPr>
                                    <w:t> </w:t>
                                  </w:r>
                                  <w:r>
                                    <w:rPr>
                                      <w:spacing w:val="-4"/>
                                      <w:sz w:val="16"/>
                                    </w:rPr>
                                    <w:t>Metro</w:t>
                                  </w:r>
                                  <w:r>
                                    <w:rPr>
                                      <w:sz w:val="16"/>
                                    </w:rPr>
                                    <w:tab/>
                                  </w:r>
                                  <w:r>
                                    <w:rPr>
                                      <w:spacing w:val="-10"/>
                                      <w:position w:val="-8"/>
                                      <w:sz w:val="16"/>
                                    </w:rPr>
                                    <w:t>3</w:t>
                                  </w:r>
                                </w:p>
                              </w:tc>
                              <w:tc>
                                <w:tcPr>
                                  <w:tcW w:w="1270" w:type="dxa"/>
                                  <w:tcBorders>
                                    <w:top w:val="single" w:sz="4" w:space="0" w:color="001F5F"/>
                                    <w:bottom w:val="single" w:sz="12" w:space="0" w:color="001F5F"/>
                                  </w:tcBorders>
                                </w:tcPr>
                                <w:p>
                                  <w:pPr>
                                    <w:pStyle w:val="TableParagraph"/>
                                    <w:spacing w:before="90"/>
                                    <w:ind w:right="73"/>
                                    <w:jc w:val="right"/>
                                    <w:rPr>
                                      <w:sz w:val="16"/>
                                    </w:rPr>
                                  </w:pPr>
                                  <w:r>
                                    <w:rPr>
                                      <w:spacing w:val="-2"/>
                                      <w:sz w:val="16"/>
                                    </w:rPr>
                                    <w:t>18.064.547,25</w:t>
                                  </w:r>
                                </w:p>
                              </w:tc>
                              <w:tc>
                                <w:tcPr>
                                  <w:tcW w:w="992" w:type="dxa"/>
                                  <w:tcBorders>
                                    <w:top w:val="single" w:sz="4" w:space="0" w:color="001F5F"/>
                                    <w:bottom w:val="single" w:sz="12" w:space="0" w:color="001F5F"/>
                                  </w:tcBorders>
                                </w:tcPr>
                                <w:p>
                                  <w:pPr>
                                    <w:pStyle w:val="TableParagraph"/>
                                    <w:spacing w:before="90"/>
                                    <w:ind w:right="73"/>
                                    <w:jc w:val="right"/>
                                    <w:rPr>
                                      <w:sz w:val="16"/>
                                    </w:rPr>
                                  </w:pPr>
                                  <w:r>
                                    <w:rPr>
                                      <w:spacing w:val="-2"/>
                                      <w:sz w:val="16"/>
                                    </w:rPr>
                                    <w:t>3.577.387,19</w:t>
                                  </w:r>
                                </w:p>
                              </w:tc>
                              <w:tc>
                                <w:tcPr>
                                  <w:tcW w:w="1084" w:type="dxa"/>
                                  <w:tcBorders>
                                    <w:top w:val="single" w:sz="4" w:space="0" w:color="001F5F"/>
                                    <w:bottom w:val="single" w:sz="12" w:space="0" w:color="001F5F"/>
                                  </w:tcBorders>
                                </w:tcPr>
                                <w:p>
                                  <w:pPr>
                                    <w:pStyle w:val="TableParagraph"/>
                                    <w:spacing w:before="90"/>
                                    <w:ind w:right="164"/>
                                    <w:jc w:val="right"/>
                                    <w:rPr>
                                      <w:sz w:val="16"/>
                                    </w:rPr>
                                  </w:pPr>
                                  <w:r>
                                    <w:rPr>
                                      <w:spacing w:val="-2"/>
                                      <w:sz w:val="16"/>
                                    </w:rPr>
                                    <w:t>14.487.160,06</w:t>
                                  </w:r>
                                </w:p>
                              </w:tc>
                              <w:tc>
                                <w:tcPr>
                                  <w:tcW w:w="473" w:type="dxa"/>
                                  <w:tcBorders>
                                    <w:top w:val="single" w:sz="4" w:space="0" w:color="001F5F"/>
                                    <w:bottom w:val="single" w:sz="12" w:space="0" w:color="001F5F"/>
                                  </w:tcBorders>
                                </w:tcPr>
                                <w:p>
                                  <w:pPr>
                                    <w:pStyle w:val="TableParagraph"/>
                                    <w:spacing w:before="90"/>
                                    <w:ind w:left="61" w:right="1"/>
                                    <w:jc w:val="center"/>
                                    <w:rPr>
                                      <w:sz w:val="16"/>
                                    </w:rPr>
                                  </w:pPr>
                                  <w:r>
                                    <w:rPr>
                                      <w:color w:val="891538"/>
                                      <w:spacing w:val="-5"/>
                                      <w:sz w:val="16"/>
                                    </w:rPr>
                                    <w:t>SI</w:t>
                                  </w:r>
                                </w:p>
                              </w:tc>
                              <w:tc>
                                <w:tcPr>
                                  <w:tcW w:w="421" w:type="dxa"/>
                                  <w:tcBorders>
                                    <w:top w:val="single" w:sz="4" w:space="0" w:color="001F5F"/>
                                    <w:bottom w:val="single" w:sz="12" w:space="0" w:color="001F5F"/>
                                  </w:tcBorders>
                                </w:tcPr>
                                <w:p>
                                  <w:pPr>
                                    <w:pStyle w:val="TableParagraph"/>
                                    <w:spacing w:before="90"/>
                                    <w:ind w:right="1"/>
                                    <w:jc w:val="center"/>
                                    <w:rPr>
                                      <w:sz w:val="16"/>
                                    </w:rPr>
                                  </w:pPr>
                                  <w:r>
                                    <w:rPr>
                                      <w:color w:val="891538"/>
                                      <w:spacing w:val="-5"/>
                                      <w:sz w:val="16"/>
                                    </w:rPr>
                                    <w:t>SI</w:t>
                                  </w:r>
                                </w:p>
                              </w:tc>
                              <w:tc>
                                <w:tcPr>
                                  <w:tcW w:w="426" w:type="dxa"/>
                                  <w:tcBorders>
                                    <w:top w:val="single" w:sz="4" w:space="0" w:color="001F5F"/>
                                    <w:bottom w:val="single" w:sz="12" w:space="0" w:color="001F5F"/>
                                  </w:tcBorders>
                                </w:tcPr>
                                <w:p>
                                  <w:pPr>
                                    <w:pStyle w:val="TableParagraph"/>
                                    <w:spacing w:before="90"/>
                                    <w:ind w:left="4"/>
                                    <w:jc w:val="center"/>
                                    <w:rPr>
                                      <w:sz w:val="16"/>
                                    </w:rPr>
                                  </w:pPr>
                                  <w:r>
                                    <w:rPr>
                                      <w:color w:val="5E89B4"/>
                                      <w:spacing w:val="-5"/>
                                      <w:sz w:val="16"/>
                                    </w:rPr>
                                    <w:t>NO</w:t>
                                  </w:r>
                                </w:p>
                              </w:tc>
                              <w:tc>
                                <w:tcPr>
                                  <w:tcW w:w="419" w:type="dxa"/>
                                  <w:tcBorders>
                                    <w:top w:val="single" w:sz="4" w:space="0" w:color="001F5F"/>
                                    <w:bottom w:val="single" w:sz="12" w:space="0" w:color="001F5F"/>
                                  </w:tcBorders>
                                </w:tcPr>
                                <w:p>
                                  <w:pPr>
                                    <w:pStyle w:val="TableParagraph"/>
                                    <w:spacing w:before="90"/>
                                    <w:ind w:left="9"/>
                                    <w:jc w:val="center"/>
                                    <w:rPr>
                                      <w:sz w:val="16"/>
                                    </w:rPr>
                                  </w:pPr>
                                  <w:r>
                                    <w:rPr>
                                      <w:color w:val="5E89B4"/>
                                      <w:spacing w:val="-5"/>
                                      <w:sz w:val="16"/>
                                    </w:rPr>
                                    <w:t>NO</w:t>
                                  </w:r>
                                </w:p>
                              </w:tc>
                              <w:tc>
                                <w:tcPr>
                                  <w:tcW w:w="964" w:type="dxa"/>
                                  <w:tcBorders>
                                    <w:top w:val="single" w:sz="4" w:space="0" w:color="001F5F"/>
                                    <w:bottom w:val="single" w:sz="12" w:space="0" w:color="001F5F"/>
                                  </w:tcBorders>
                                </w:tcPr>
                                <w:p>
                                  <w:pPr>
                                    <w:pStyle w:val="TableParagraph"/>
                                    <w:spacing w:before="90"/>
                                    <w:ind w:left="5"/>
                                    <w:jc w:val="center"/>
                                    <w:rPr>
                                      <w:sz w:val="16"/>
                                    </w:rPr>
                                  </w:pPr>
                                  <w:r>
                                    <w:rPr>
                                      <w:sz w:val="16"/>
                                    </w:rPr>
                                    <w:t>En</w:t>
                                  </w:r>
                                  <w:r>
                                    <w:rPr>
                                      <w:spacing w:val="-2"/>
                                      <w:sz w:val="16"/>
                                    </w:rPr>
                                    <w:t> ejecución</w:t>
                                  </w:r>
                                </w:p>
                              </w:tc>
                            </w:tr>
                            <w:tr>
                              <w:trPr>
                                <w:trHeight w:val="551" w:hRule="atLeast"/>
                              </w:trPr>
                              <w:tc>
                                <w:tcPr>
                                  <w:tcW w:w="4123" w:type="dxa"/>
                                  <w:tcBorders>
                                    <w:top w:val="single" w:sz="12" w:space="0" w:color="001F5F"/>
                                  </w:tcBorders>
                                </w:tcPr>
                                <w:p>
                                  <w:pPr>
                                    <w:pStyle w:val="TableParagraph"/>
                                    <w:spacing w:line="182" w:lineRule="exact"/>
                                    <w:ind w:right="229"/>
                                    <w:jc w:val="center"/>
                                    <w:rPr>
                                      <w:sz w:val="16"/>
                                    </w:rPr>
                                  </w:pPr>
                                  <w:r>
                                    <w:rPr>
                                      <w:spacing w:val="-2"/>
                                      <w:sz w:val="16"/>
                                    </w:rPr>
                                    <w:t>Acondicionamiento</w:t>
                                  </w:r>
                                  <w:r>
                                    <w:rPr>
                                      <w:spacing w:val="19"/>
                                      <w:sz w:val="16"/>
                                    </w:rPr>
                                    <w:t> </w:t>
                                  </w:r>
                                  <w:r>
                                    <w:rPr>
                                      <w:spacing w:val="-10"/>
                                      <w:sz w:val="16"/>
                                    </w:rPr>
                                    <w:t>y</w:t>
                                  </w:r>
                                </w:p>
                                <w:p>
                                  <w:pPr>
                                    <w:pStyle w:val="TableParagraph"/>
                                    <w:tabs>
                                      <w:tab w:pos="1269" w:val="left" w:leader="none"/>
                                      <w:tab w:pos="3770" w:val="right" w:leader="none"/>
                                    </w:tabs>
                                    <w:spacing w:line="183" w:lineRule="exact" w:before="1"/>
                                    <w:ind w:right="211"/>
                                    <w:jc w:val="center"/>
                                    <w:rPr>
                                      <w:sz w:val="16"/>
                                    </w:rPr>
                                  </w:pPr>
                                  <w:r>
                                    <w:rPr>
                                      <w:b/>
                                      <w:spacing w:val="-2"/>
                                      <w:sz w:val="16"/>
                                    </w:rPr>
                                    <w:t>ZARAGOZA</w:t>
                                  </w:r>
                                  <w:r>
                                    <w:rPr>
                                      <w:b/>
                                      <w:sz w:val="16"/>
                                    </w:rPr>
                                    <w:tab/>
                                  </w:r>
                                  <w:r>
                                    <w:rPr>
                                      <w:sz w:val="16"/>
                                    </w:rPr>
                                    <w:t>colocación</w:t>
                                  </w:r>
                                  <w:r>
                                    <w:rPr>
                                      <w:spacing w:val="-7"/>
                                      <w:sz w:val="16"/>
                                    </w:rPr>
                                    <w:t> </w:t>
                                  </w:r>
                                  <w:r>
                                    <w:rPr>
                                      <w:sz w:val="16"/>
                                    </w:rPr>
                                    <w:t>de</w:t>
                                  </w:r>
                                  <w:r>
                                    <w:rPr>
                                      <w:spacing w:val="-7"/>
                                      <w:sz w:val="16"/>
                                    </w:rPr>
                                    <w:t> </w:t>
                                  </w:r>
                                  <w:r>
                                    <w:rPr>
                                      <w:sz w:val="16"/>
                                    </w:rPr>
                                    <w:t>plataformas</w:t>
                                  </w:r>
                                  <w:r>
                                    <w:rPr>
                                      <w:spacing w:val="-6"/>
                                      <w:sz w:val="16"/>
                                    </w:rPr>
                                    <w:t> </w:t>
                                  </w:r>
                                  <w:r>
                                    <w:rPr>
                                      <w:spacing w:val="-5"/>
                                      <w:sz w:val="16"/>
                                    </w:rPr>
                                    <w:t>en</w:t>
                                  </w:r>
                                  <w:r>
                                    <w:rPr>
                                      <w:sz w:val="16"/>
                                    </w:rPr>
                                    <w:tab/>
                                  </w:r>
                                  <w:r>
                                    <w:rPr>
                                      <w:spacing w:val="-10"/>
                                      <w:sz w:val="16"/>
                                    </w:rPr>
                                    <w:t>1</w:t>
                                  </w:r>
                                </w:p>
                                <w:p>
                                  <w:pPr>
                                    <w:pStyle w:val="TableParagraph"/>
                                    <w:spacing w:line="165" w:lineRule="exact"/>
                                    <w:ind w:right="965"/>
                                    <w:jc w:val="center"/>
                                    <w:rPr>
                                      <w:sz w:val="16"/>
                                    </w:rPr>
                                  </w:pPr>
                                  <w:r>
                                    <w:rPr>
                                      <w:spacing w:val="-2"/>
                                      <w:sz w:val="16"/>
                                    </w:rPr>
                                    <w:t>paradas</w:t>
                                  </w:r>
                                </w:p>
                              </w:tc>
                              <w:tc>
                                <w:tcPr>
                                  <w:tcW w:w="1270" w:type="dxa"/>
                                  <w:tcBorders>
                                    <w:top w:val="single" w:sz="12" w:space="0" w:color="001F5F"/>
                                  </w:tcBorders>
                                </w:tcPr>
                                <w:p>
                                  <w:pPr>
                                    <w:pStyle w:val="TableParagraph"/>
                                    <w:spacing w:before="183"/>
                                    <w:ind w:right="72"/>
                                    <w:jc w:val="right"/>
                                    <w:rPr>
                                      <w:sz w:val="16"/>
                                    </w:rPr>
                                  </w:pPr>
                                  <w:r>
                                    <w:rPr>
                                      <w:spacing w:val="-2"/>
                                      <w:sz w:val="16"/>
                                    </w:rPr>
                                    <w:t>307.722,69</w:t>
                                  </w:r>
                                </w:p>
                              </w:tc>
                              <w:tc>
                                <w:tcPr>
                                  <w:tcW w:w="992" w:type="dxa"/>
                                  <w:tcBorders>
                                    <w:top w:val="single" w:sz="12" w:space="0" w:color="001F5F"/>
                                  </w:tcBorders>
                                </w:tcPr>
                                <w:p>
                                  <w:pPr>
                                    <w:pStyle w:val="TableParagraph"/>
                                    <w:spacing w:before="183"/>
                                    <w:ind w:right="73"/>
                                    <w:jc w:val="right"/>
                                    <w:rPr>
                                      <w:sz w:val="16"/>
                                    </w:rPr>
                                  </w:pPr>
                                  <w:r>
                                    <w:rPr>
                                      <w:spacing w:val="-2"/>
                                      <w:sz w:val="16"/>
                                    </w:rPr>
                                    <w:t>307.722,69</w:t>
                                  </w:r>
                                </w:p>
                              </w:tc>
                              <w:tc>
                                <w:tcPr>
                                  <w:tcW w:w="1084" w:type="dxa"/>
                                  <w:tcBorders>
                                    <w:top w:val="single" w:sz="12" w:space="0" w:color="001F5F"/>
                                  </w:tcBorders>
                                </w:tcPr>
                                <w:p>
                                  <w:pPr>
                                    <w:pStyle w:val="TableParagraph"/>
                                    <w:spacing w:before="183"/>
                                    <w:ind w:right="162"/>
                                    <w:jc w:val="right"/>
                                    <w:rPr>
                                      <w:sz w:val="16"/>
                                    </w:rPr>
                                  </w:pPr>
                                  <w:r>
                                    <w:rPr>
                                      <w:spacing w:val="-4"/>
                                      <w:sz w:val="16"/>
                                    </w:rPr>
                                    <w:t>0,00</w:t>
                                  </w:r>
                                </w:p>
                              </w:tc>
                              <w:tc>
                                <w:tcPr>
                                  <w:tcW w:w="473" w:type="dxa"/>
                                  <w:tcBorders>
                                    <w:top w:val="single" w:sz="12" w:space="0" w:color="001F5F"/>
                                  </w:tcBorders>
                                </w:tcPr>
                                <w:p>
                                  <w:pPr>
                                    <w:pStyle w:val="TableParagraph"/>
                                    <w:spacing w:before="183"/>
                                    <w:ind w:left="61"/>
                                    <w:jc w:val="center"/>
                                    <w:rPr>
                                      <w:sz w:val="16"/>
                                    </w:rPr>
                                  </w:pPr>
                                  <w:r>
                                    <w:rPr>
                                      <w:color w:val="5E89B4"/>
                                      <w:spacing w:val="-5"/>
                                      <w:sz w:val="16"/>
                                    </w:rPr>
                                    <w:t>NO</w:t>
                                  </w:r>
                                </w:p>
                              </w:tc>
                              <w:tc>
                                <w:tcPr>
                                  <w:tcW w:w="421" w:type="dxa"/>
                                  <w:tcBorders>
                                    <w:top w:val="single" w:sz="12" w:space="0" w:color="001F5F"/>
                                  </w:tcBorders>
                                </w:tcPr>
                                <w:p>
                                  <w:pPr>
                                    <w:pStyle w:val="TableParagraph"/>
                                    <w:spacing w:before="183"/>
                                    <w:ind w:left="1" w:right="1"/>
                                    <w:jc w:val="center"/>
                                    <w:rPr>
                                      <w:sz w:val="16"/>
                                    </w:rPr>
                                  </w:pPr>
                                  <w:r>
                                    <w:rPr>
                                      <w:color w:val="5E89B4"/>
                                      <w:spacing w:val="-5"/>
                                      <w:sz w:val="16"/>
                                    </w:rPr>
                                    <w:t>NO</w:t>
                                  </w:r>
                                </w:p>
                              </w:tc>
                              <w:tc>
                                <w:tcPr>
                                  <w:tcW w:w="426" w:type="dxa"/>
                                  <w:tcBorders>
                                    <w:top w:val="single" w:sz="12" w:space="0" w:color="001F5F"/>
                                  </w:tcBorders>
                                </w:tcPr>
                                <w:p>
                                  <w:pPr>
                                    <w:pStyle w:val="TableParagraph"/>
                                    <w:spacing w:before="183"/>
                                    <w:ind w:left="4"/>
                                    <w:jc w:val="center"/>
                                    <w:rPr>
                                      <w:sz w:val="16"/>
                                    </w:rPr>
                                  </w:pPr>
                                  <w:r>
                                    <w:rPr>
                                      <w:color w:val="5E89B4"/>
                                      <w:spacing w:val="-5"/>
                                      <w:sz w:val="16"/>
                                    </w:rPr>
                                    <w:t>NO</w:t>
                                  </w:r>
                                </w:p>
                              </w:tc>
                              <w:tc>
                                <w:tcPr>
                                  <w:tcW w:w="419" w:type="dxa"/>
                                  <w:tcBorders>
                                    <w:top w:val="single" w:sz="12" w:space="0" w:color="001F5F"/>
                                  </w:tcBorders>
                                </w:tcPr>
                                <w:p>
                                  <w:pPr>
                                    <w:pStyle w:val="TableParagraph"/>
                                    <w:spacing w:before="183"/>
                                    <w:ind w:left="9"/>
                                    <w:jc w:val="center"/>
                                    <w:rPr>
                                      <w:sz w:val="16"/>
                                    </w:rPr>
                                  </w:pPr>
                                  <w:r>
                                    <w:rPr>
                                      <w:color w:val="5E89B4"/>
                                      <w:spacing w:val="-5"/>
                                      <w:sz w:val="16"/>
                                    </w:rPr>
                                    <w:t>NO</w:t>
                                  </w:r>
                                </w:p>
                              </w:tc>
                              <w:tc>
                                <w:tcPr>
                                  <w:tcW w:w="964" w:type="dxa"/>
                                  <w:tcBorders>
                                    <w:top w:val="single" w:sz="12" w:space="0" w:color="001F5F"/>
                                  </w:tcBorders>
                                </w:tcPr>
                                <w:p>
                                  <w:pPr>
                                    <w:pStyle w:val="TableParagraph"/>
                                    <w:spacing w:before="183"/>
                                    <w:ind w:left="5"/>
                                    <w:jc w:val="center"/>
                                    <w:rPr>
                                      <w:sz w:val="16"/>
                                    </w:rPr>
                                  </w:pPr>
                                  <w:r>
                                    <w:rPr>
                                      <w:spacing w:val="-2"/>
                                      <w:sz w:val="16"/>
                                    </w:rPr>
                                    <w:t>Finalizada</w:t>
                                  </w:r>
                                </w:p>
                              </w:tc>
                            </w:tr>
                            <w:tr>
                              <w:trPr>
                                <w:trHeight w:val="359" w:hRule="atLeast"/>
                              </w:trPr>
                              <w:tc>
                                <w:tcPr>
                                  <w:tcW w:w="4123" w:type="dxa"/>
                                  <w:shd w:val="clear" w:color="auto" w:fill="002D5D"/>
                                </w:tcPr>
                                <w:p>
                                  <w:pPr>
                                    <w:pStyle w:val="TableParagraph"/>
                                    <w:tabs>
                                      <w:tab w:pos="3771" w:val="right" w:leader="none"/>
                                    </w:tabs>
                                    <w:spacing w:before="87"/>
                                    <w:ind w:right="281"/>
                                    <w:jc w:val="right"/>
                                    <w:rPr>
                                      <w:b/>
                                      <w:sz w:val="16"/>
                                    </w:rPr>
                                  </w:pPr>
                                  <w:r>
                                    <w:rPr>
                                      <w:b/>
                                      <w:color w:val="FFFFFF"/>
                                      <w:spacing w:val="-2"/>
                                      <w:sz w:val="16"/>
                                    </w:rPr>
                                    <w:t>TOTAL</w:t>
                                  </w:r>
                                  <w:r>
                                    <w:rPr>
                                      <w:b/>
                                      <w:color w:val="FFFFFF"/>
                                      <w:sz w:val="16"/>
                                    </w:rPr>
                                    <w:tab/>
                                  </w:r>
                                  <w:r>
                                    <w:rPr>
                                      <w:b/>
                                      <w:color w:val="FFFFFF"/>
                                      <w:spacing w:val="-5"/>
                                      <w:sz w:val="16"/>
                                    </w:rPr>
                                    <w:t>56</w:t>
                                  </w:r>
                                </w:p>
                              </w:tc>
                              <w:tc>
                                <w:tcPr>
                                  <w:tcW w:w="1270" w:type="dxa"/>
                                  <w:shd w:val="clear" w:color="auto" w:fill="002D5D"/>
                                </w:tcPr>
                                <w:p>
                                  <w:pPr>
                                    <w:pStyle w:val="TableParagraph"/>
                                    <w:spacing w:before="87"/>
                                    <w:ind w:right="73"/>
                                    <w:jc w:val="right"/>
                                    <w:rPr>
                                      <w:b/>
                                      <w:sz w:val="16"/>
                                    </w:rPr>
                                  </w:pPr>
                                  <w:r>
                                    <w:rPr>
                                      <w:b/>
                                      <w:color w:val="FFFFFF"/>
                                      <w:spacing w:val="-2"/>
                                      <w:sz w:val="16"/>
                                    </w:rPr>
                                    <w:t>108.608.430,19</w:t>
                                  </w:r>
                                </w:p>
                              </w:tc>
                              <w:tc>
                                <w:tcPr>
                                  <w:tcW w:w="992" w:type="dxa"/>
                                  <w:shd w:val="clear" w:color="auto" w:fill="002D5D"/>
                                </w:tcPr>
                                <w:p>
                                  <w:pPr>
                                    <w:pStyle w:val="TableParagraph"/>
                                    <w:spacing w:before="87"/>
                                    <w:ind w:right="73"/>
                                    <w:jc w:val="right"/>
                                    <w:rPr>
                                      <w:b/>
                                      <w:sz w:val="16"/>
                                    </w:rPr>
                                  </w:pPr>
                                  <w:r>
                                    <w:rPr>
                                      <w:b/>
                                      <w:color w:val="FFFFFF"/>
                                      <w:spacing w:val="-2"/>
                                      <w:sz w:val="16"/>
                                    </w:rPr>
                                    <w:t>50.382.834,35</w:t>
                                  </w:r>
                                </w:p>
                              </w:tc>
                              <w:tc>
                                <w:tcPr>
                                  <w:tcW w:w="1084" w:type="dxa"/>
                                  <w:shd w:val="clear" w:color="auto" w:fill="002D5D"/>
                                </w:tcPr>
                                <w:p>
                                  <w:pPr>
                                    <w:pStyle w:val="TableParagraph"/>
                                    <w:spacing w:before="87"/>
                                    <w:ind w:right="164"/>
                                    <w:jc w:val="right"/>
                                    <w:rPr>
                                      <w:b/>
                                      <w:sz w:val="16"/>
                                    </w:rPr>
                                  </w:pPr>
                                  <w:r>
                                    <w:rPr>
                                      <w:b/>
                                      <w:color w:val="FFFFFF"/>
                                      <w:spacing w:val="-2"/>
                                      <w:sz w:val="16"/>
                                    </w:rPr>
                                    <w:t>58.225.595,84</w:t>
                                  </w:r>
                                </w:p>
                              </w:tc>
                              <w:tc>
                                <w:tcPr>
                                  <w:tcW w:w="473" w:type="dxa"/>
                                  <w:shd w:val="clear" w:color="auto" w:fill="002D5D"/>
                                </w:tcPr>
                                <w:p>
                                  <w:pPr>
                                    <w:pStyle w:val="TableParagraph"/>
                                    <w:rPr>
                                      <w:rFonts w:ascii="Times New Roman"/>
                                      <w:sz w:val="16"/>
                                    </w:rPr>
                                  </w:pPr>
                                </w:p>
                              </w:tc>
                              <w:tc>
                                <w:tcPr>
                                  <w:tcW w:w="421" w:type="dxa"/>
                                  <w:shd w:val="clear" w:color="auto" w:fill="002D5D"/>
                                </w:tcPr>
                                <w:p>
                                  <w:pPr>
                                    <w:pStyle w:val="TableParagraph"/>
                                    <w:rPr>
                                      <w:rFonts w:ascii="Times New Roman"/>
                                      <w:sz w:val="16"/>
                                    </w:rPr>
                                  </w:pPr>
                                </w:p>
                              </w:tc>
                              <w:tc>
                                <w:tcPr>
                                  <w:tcW w:w="426" w:type="dxa"/>
                                  <w:shd w:val="clear" w:color="auto" w:fill="002D5D"/>
                                </w:tcPr>
                                <w:p>
                                  <w:pPr>
                                    <w:pStyle w:val="TableParagraph"/>
                                    <w:rPr>
                                      <w:rFonts w:ascii="Times New Roman"/>
                                      <w:sz w:val="16"/>
                                    </w:rPr>
                                  </w:pPr>
                                </w:p>
                              </w:tc>
                              <w:tc>
                                <w:tcPr>
                                  <w:tcW w:w="419" w:type="dxa"/>
                                  <w:shd w:val="clear" w:color="auto" w:fill="002D5D"/>
                                </w:tcPr>
                                <w:p>
                                  <w:pPr>
                                    <w:pStyle w:val="TableParagraph"/>
                                    <w:rPr>
                                      <w:rFonts w:ascii="Times New Roman"/>
                                      <w:sz w:val="16"/>
                                    </w:rPr>
                                  </w:pPr>
                                </w:p>
                              </w:tc>
                              <w:tc>
                                <w:tcPr>
                                  <w:tcW w:w="964" w:type="dxa"/>
                                  <w:shd w:val="clear" w:color="auto" w:fill="002D5D"/>
                                </w:tcPr>
                                <w:p>
                                  <w:pPr>
                                    <w:pStyle w:val="TableParagraph"/>
                                    <w:rPr>
                                      <w:rFonts w:ascii="Times New Roman"/>
                                      <w:sz w:val="16"/>
                                    </w:rPr>
                                  </w:pPr>
                                </w:p>
                              </w:tc>
                            </w:tr>
                          </w:tbl>
                          <w:p>
                            <w:pPr>
                              <w:pStyle w:val="BodyText"/>
                            </w:pPr>
                          </w:p>
                        </w:txbxContent>
                      </wps:txbx>
                      <wps:bodyPr wrap="square" lIns="0" tIns="0" rIns="0" bIns="0" rtlCol="0">
                        <a:noAutofit/>
                      </wps:bodyPr>
                    </wps:wsp>
                  </a:graphicData>
                </a:graphic>
              </wp:anchor>
            </w:drawing>
          </mc:Choice>
          <mc:Fallback>
            <w:pict>
              <v:shape style="position:absolute;margin-left:40.439999pt;margin-top:-80.574661pt;width:514.7pt;height:238.15pt;mso-position-horizontal-relative:page;mso-position-vertical-relative:paragraph;z-index:15749120" type="#_x0000_t202" id="docshape138"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123"/>
                        <w:gridCol w:w="1270"/>
                        <w:gridCol w:w="992"/>
                        <w:gridCol w:w="1084"/>
                        <w:gridCol w:w="473"/>
                        <w:gridCol w:w="421"/>
                        <w:gridCol w:w="426"/>
                        <w:gridCol w:w="419"/>
                        <w:gridCol w:w="964"/>
                      </w:tblGrid>
                      <w:tr>
                        <w:trPr>
                          <w:trHeight w:val="282" w:hRule="atLeast"/>
                        </w:trPr>
                        <w:tc>
                          <w:tcPr>
                            <w:tcW w:w="4123" w:type="dxa"/>
                            <w:tcBorders>
                              <w:top w:val="single" w:sz="4" w:space="0" w:color="002D5D"/>
                              <w:bottom w:val="single" w:sz="12" w:space="0" w:color="001F5F"/>
                            </w:tcBorders>
                          </w:tcPr>
                          <w:p>
                            <w:pPr>
                              <w:pStyle w:val="TableParagraph"/>
                              <w:tabs>
                                <w:tab w:pos="2500" w:val="right" w:leader="none"/>
                              </w:tabs>
                              <w:spacing w:before="49"/>
                              <w:ind w:right="281"/>
                              <w:jc w:val="right"/>
                              <w:rPr>
                                <w:sz w:val="16"/>
                              </w:rPr>
                            </w:pPr>
                            <w:r>
                              <w:rPr>
                                <w:sz w:val="16"/>
                              </w:rPr>
                              <w:t>Placas</w:t>
                            </w:r>
                            <w:r>
                              <w:rPr>
                                <w:spacing w:val="-10"/>
                                <w:sz w:val="16"/>
                              </w:rPr>
                              <w:t> </w:t>
                            </w:r>
                            <w:r>
                              <w:rPr>
                                <w:sz w:val="16"/>
                              </w:rPr>
                              <w:t>fotovoltaicas</w:t>
                            </w:r>
                            <w:r>
                              <w:rPr>
                                <w:spacing w:val="-8"/>
                                <w:sz w:val="16"/>
                              </w:rPr>
                              <w:t> </w:t>
                            </w:r>
                            <w:r>
                              <w:rPr>
                                <w:spacing w:val="-5"/>
                                <w:sz w:val="16"/>
                              </w:rPr>
                              <w:t>EA</w:t>
                            </w:r>
                            <w:r>
                              <w:rPr>
                                <w:sz w:val="16"/>
                              </w:rPr>
                              <w:tab/>
                            </w:r>
                            <w:r>
                              <w:rPr>
                                <w:spacing w:val="-10"/>
                                <w:sz w:val="16"/>
                              </w:rPr>
                              <w:t>1</w:t>
                            </w:r>
                          </w:p>
                        </w:tc>
                        <w:tc>
                          <w:tcPr>
                            <w:tcW w:w="1270" w:type="dxa"/>
                            <w:tcBorders>
                              <w:top w:val="single" w:sz="4" w:space="0" w:color="002D5D"/>
                              <w:bottom w:val="single" w:sz="12" w:space="0" w:color="001F5F"/>
                            </w:tcBorders>
                          </w:tcPr>
                          <w:p>
                            <w:pPr>
                              <w:pStyle w:val="TableParagraph"/>
                              <w:spacing w:before="49"/>
                              <w:ind w:right="72"/>
                              <w:jc w:val="right"/>
                              <w:rPr>
                                <w:sz w:val="16"/>
                              </w:rPr>
                            </w:pPr>
                            <w:r>
                              <w:rPr>
                                <w:spacing w:val="-2"/>
                                <w:sz w:val="16"/>
                              </w:rPr>
                              <w:t>29.747,25</w:t>
                            </w:r>
                          </w:p>
                        </w:tc>
                        <w:tc>
                          <w:tcPr>
                            <w:tcW w:w="992" w:type="dxa"/>
                            <w:tcBorders>
                              <w:top w:val="single" w:sz="4" w:space="0" w:color="002D5D"/>
                              <w:bottom w:val="single" w:sz="12" w:space="0" w:color="001F5F"/>
                            </w:tcBorders>
                          </w:tcPr>
                          <w:p>
                            <w:pPr>
                              <w:pStyle w:val="TableParagraph"/>
                              <w:spacing w:before="49"/>
                              <w:ind w:right="73"/>
                              <w:jc w:val="right"/>
                              <w:rPr>
                                <w:sz w:val="16"/>
                              </w:rPr>
                            </w:pPr>
                            <w:r>
                              <w:rPr>
                                <w:spacing w:val="-2"/>
                                <w:sz w:val="16"/>
                              </w:rPr>
                              <w:t>3.422,25</w:t>
                            </w:r>
                          </w:p>
                        </w:tc>
                        <w:tc>
                          <w:tcPr>
                            <w:tcW w:w="1084" w:type="dxa"/>
                            <w:tcBorders>
                              <w:top w:val="single" w:sz="4" w:space="0" w:color="002D5D"/>
                              <w:bottom w:val="single" w:sz="12" w:space="0" w:color="001F5F"/>
                            </w:tcBorders>
                          </w:tcPr>
                          <w:p>
                            <w:pPr>
                              <w:pStyle w:val="TableParagraph"/>
                              <w:spacing w:before="49"/>
                              <w:ind w:right="163"/>
                              <w:jc w:val="right"/>
                              <w:rPr>
                                <w:sz w:val="16"/>
                              </w:rPr>
                            </w:pPr>
                            <w:r>
                              <w:rPr>
                                <w:spacing w:val="-2"/>
                                <w:sz w:val="16"/>
                              </w:rPr>
                              <w:t>26.325,00</w:t>
                            </w:r>
                          </w:p>
                        </w:tc>
                        <w:tc>
                          <w:tcPr>
                            <w:tcW w:w="473" w:type="dxa"/>
                            <w:tcBorders>
                              <w:top w:val="single" w:sz="4" w:space="0" w:color="002D5D"/>
                              <w:bottom w:val="single" w:sz="12" w:space="0" w:color="001F5F"/>
                            </w:tcBorders>
                          </w:tcPr>
                          <w:p>
                            <w:pPr>
                              <w:pStyle w:val="TableParagraph"/>
                              <w:spacing w:before="49"/>
                              <w:ind w:left="61"/>
                              <w:jc w:val="center"/>
                              <w:rPr>
                                <w:sz w:val="16"/>
                              </w:rPr>
                            </w:pPr>
                            <w:r>
                              <w:rPr>
                                <w:color w:val="5E89B4"/>
                                <w:spacing w:val="-5"/>
                                <w:sz w:val="16"/>
                              </w:rPr>
                              <w:t>NO</w:t>
                            </w:r>
                          </w:p>
                        </w:tc>
                        <w:tc>
                          <w:tcPr>
                            <w:tcW w:w="421" w:type="dxa"/>
                            <w:tcBorders>
                              <w:top w:val="single" w:sz="4" w:space="0" w:color="002D5D"/>
                              <w:bottom w:val="single" w:sz="12" w:space="0" w:color="001F5F"/>
                            </w:tcBorders>
                          </w:tcPr>
                          <w:p>
                            <w:pPr>
                              <w:pStyle w:val="TableParagraph"/>
                              <w:spacing w:before="49"/>
                              <w:ind w:left="1" w:right="1"/>
                              <w:jc w:val="center"/>
                              <w:rPr>
                                <w:sz w:val="16"/>
                              </w:rPr>
                            </w:pPr>
                            <w:r>
                              <w:rPr>
                                <w:color w:val="5E89B4"/>
                                <w:spacing w:val="-5"/>
                                <w:sz w:val="16"/>
                              </w:rPr>
                              <w:t>NO</w:t>
                            </w:r>
                          </w:p>
                        </w:tc>
                        <w:tc>
                          <w:tcPr>
                            <w:tcW w:w="426" w:type="dxa"/>
                            <w:tcBorders>
                              <w:top w:val="single" w:sz="4" w:space="0" w:color="002D5D"/>
                              <w:bottom w:val="single" w:sz="12" w:space="0" w:color="001F5F"/>
                            </w:tcBorders>
                          </w:tcPr>
                          <w:p>
                            <w:pPr>
                              <w:pStyle w:val="TableParagraph"/>
                              <w:spacing w:before="49"/>
                              <w:ind w:left="4"/>
                              <w:jc w:val="center"/>
                              <w:rPr>
                                <w:sz w:val="16"/>
                              </w:rPr>
                            </w:pPr>
                            <w:r>
                              <w:rPr>
                                <w:color w:val="5E89B4"/>
                                <w:spacing w:val="-5"/>
                                <w:sz w:val="16"/>
                              </w:rPr>
                              <w:t>NO</w:t>
                            </w:r>
                          </w:p>
                        </w:tc>
                        <w:tc>
                          <w:tcPr>
                            <w:tcW w:w="419" w:type="dxa"/>
                            <w:tcBorders>
                              <w:top w:val="single" w:sz="4" w:space="0" w:color="002D5D"/>
                              <w:bottom w:val="single" w:sz="12" w:space="0" w:color="001F5F"/>
                            </w:tcBorders>
                          </w:tcPr>
                          <w:p>
                            <w:pPr>
                              <w:pStyle w:val="TableParagraph"/>
                              <w:spacing w:before="49"/>
                              <w:ind w:left="9"/>
                              <w:jc w:val="center"/>
                              <w:rPr>
                                <w:sz w:val="16"/>
                              </w:rPr>
                            </w:pPr>
                            <w:r>
                              <w:rPr>
                                <w:color w:val="5E89B4"/>
                                <w:spacing w:val="-5"/>
                                <w:sz w:val="16"/>
                              </w:rPr>
                              <w:t>NO</w:t>
                            </w:r>
                          </w:p>
                        </w:tc>
                        <w:tc>
                          <w:tcPr>
                            <w:tcW w:w="964" w:type="dxa"/>
                            <w:tcBorders>
                              <w:top w:val="single" w:sz="4" w:space="0" w:color="001F5F"/>
                              <w:bottom w:val="single" w:sz="12" w:space="0" w:color="001F5F"/>
                            </w:tcBorders>
                          </w:tcPr>
                          <w:p>
                            <w:pPr>
                              <w:pStyle w:val="TableParagraph"/>
                              <w:spacing w:before="49"/>
                              <w:ind w:left="5"/>
                              <w:jc w:val="center"/>
                              <w:rPr>
                                <w:sz w:val="16"/>
                              </w:rPr>
                            </w:pPr>
                            <w:r>
                              <w:rPr>
                                <w:sz w:val="16"/>
                              </w:rPr>
                              <w:t>En</w:t>
                            </w:r>
                            <w:r>
                              <w:rPr>
                                <w:spacing w:val="-2"/>
                                <w:sz w:val="16"/>
                              </w:rPr>
                              <w:t> ejecución</w:t>
                            </w:r>
                          </w:p>
                        </w:tc>
                      </w:tr>
                      <w:tr>
                        <w:trPr>
                          <w:trHeight w:val="918" w:hRule="atLeast"/>
                        </w:trPr>
                        <w:tc>
                          <w:tcPr>
                            <w:tcW w:w="4123" w:type="dxa"/>
                            <w:tcBorders>
                              <w:top w:val="single" w:sz="12" w:space="0" w:color="001F5F"/>
                              <w:bottom w:val="single" w:sz="4" w:space="0" w:color="002D5D"/>
                            </w:tcBorders>
                          </w:tcPr>
                          <w:p>
                            <w:pPr>
                              <w:pStyle w:val="TableParagraph"/>
                              <w:ind w:left="1339" w:right="934"/>
                              <w:rPr>
                                <w:sz w:val="16"/>
                              </w:rPr>
                            </w:pPr>
                            <w:r>
                              <w:rPr>
                                <w:sz w:val="16"/>
                              </w:rPr>
                              <w:t>Implantación de nodos de</w:t>
                            </w:r>
                            <w:r>
                              <w:rPr>
                                <w:spacing w:val="40"/>
                                <w:sz w:val="16"/>
                              </w:rPr>
                              <w:t> </w:t>
                            </w:r>
                            <w:r>
                              <w:rPr>
                                <w:sz w:val="16"/>
                              </w:rPr>
                              <w:t>transporte</w:t>
                            </w:r>
                            <w:r>
                              <w:rPr>
                                <w:spacing w:val="-10"/>
                                <w:sz w:val="16"/>
                              </w:rPr>
                              <w:t> </w:t>
                            </w:r>
                            <w:r>
                              <w:rPr>
                                <w:sz w:val="16"/>
                              </w:rPr>
                              <w:t>para</w:t>
                            </w:r>
                            <w:r>
                              <w:rPr>
                                <w:spacing w:val="-9"/>
                                <w:sz w:val="16"/>
                              </w:rPr>
                              <w:t> </w:t>
                            </w:r>
                            <w:r>
                              <w:rPr>
                                <w:sz w:val="16"/>
                              </w:rPr>
                              <w:t>la</w:t>
                            </w:r>
                            <w:r>
                              <w:rPr>
                                <w:spacing w:val="-9"/>
                                <w:sz w:val="16"/>
                              </w:rPr>
                              <w:t> </w:t>
                            </w:r>
                            <w:r>
                              <w:rPr>
                                <w:sz w:val="16"/>
                              </w:rPr>
                              <w:t>movilidad</w:t>
                            </w:r>
                          </w:p>
                          <w:p>
                            <w:pPr>
                              <w:pStyle w:val="TableParagraph"/>
                              <w:tabs>
                                <w:tab w:pos="3839" w:val="right" w:leader="none"/>
                              </w:tabs>
                              <w:spacing w:line="183" w:lineRule="exact"/>
                              <w:ind w:left="1339"/>
                              <w:rPr>
                                <w:sz w:val="16"/>
                              </w:rPr>
                            </w:pPr>
                            <w:r>
                              <w:rPr>
                                <w:sz w:val="16"/>
                              </w:rPr>
                              <w:t>colectiva</w:t>
                            </w:r>
                            <w:r>
                              <w:rPr>
                                <w:spacing w:val="-5"/>
                                <w:sz w:val="16"/>
                              </w:rPr>
                              <w:t> </w:t>
                            </w:r>
                            <w:r>
                              <w:rPr>
                                <w:sz w:val="16"/>
                              </w:rPr>
                              <w:t>con</w:t>
                            </w:r>
                            <w:r>
                              <w:rPr>
                                <w:spacing w:val="-2"/>
                                <w:sz w:val="16"/>
                              </w:rPr>
                              <w:t> combustibles</w:t>
                            </w:r>
                            <w:r>
                              <w:rPr>
                                <w:sz w:val="16"/>
                              </w:rPr>
                              <w:tab/>
                            </w:r>
                            <w:r>
                              <w:rPr>
                                <w:spacing w:val="-12"/>
                                <w:sz w:val="16"/>
                              </w:rPr>
                              <w:t>2</w:t>
                            </w:r>
                          </w:p>
                          <w:p>
                            <w:pPr>
                              <w:pStyle w:val="TableParagraph"/>
                              <w:spacing w:line="184" w:lineRule="exact"/>
                              <w:ind w:left="1339" w:right="934"/>
                              <w:rPr>
                                <w:sz w:val="16"/>
                              </w:rPr>
                            </w:pPr>
                            <w:r>
                              <w:rPr>
                                <w:sz w:val="16"/>
                              </w:rPr>
                              <w:t>alternativos,</w:t>
                            </w:r>
                            <w:r>
                              <w:rPr>
                                <w:spacing w:val="-10"/>
                                <w:sz w:val="16"/>
                              </w:rPr>
                              <w:t> </w:t>
                            </w:r>
                            <w:r>
                              <w:rPr>
                                <w:sz w:val="16"/>
                              </w:rPr>
                              <w:t>movilidad</w:t>
                            </w:r>
                            <w:r>
                              <w:rPr>
                                <w:spacing w:val="-9"/>
                                <w:sz w:val="16"/>
                              </w:rPr>
                              <w:t> </w:t>
                            </w:r>
                            <w:r>
                              <w:rPr>
                                <w:sz w:val="16"/>
                              </w:rPr>
                              <w:t>eléctrica</w:t>
                            </w:r>
                            <w:r>
                              <w:rPr>
                                <w:spacing w:val="40"/>
                                <w:sz w:val="16"/>
                              </w:rPr>
                              <w:t> </w:t>
                            </w:r>
                            <w:r>
                              <w:rPr>
                                <w:sz w:val="16"/>
                              </w:rPr>
                              <w:t>y</w:t>
                            </w:r>
                            <w:r>
                              <w:rPr>
                                <w:spacing w:val="-4"/>
                                <w:sz w:val="16"/>
                              </w:rPr>
                              <w:t> </w:t>
                            </w:r>
                            <w:r>
                              <w:rPr>
                                <w:sz w:val="16"/>
                              </w:rPr>
                              <w:t>física.</w:t>
                            </w:r>
                          </w:p>
                        </w:tc>
                        <w:tc>
                          <w:tcPr>
                            <w:tcW w:w="1270" w:type="dxa"/>
                            <w:tcBorders>
                              <w:top w:val="single" w:sz="12" w:space="0" w:color="001F5F"/>
                              <w:bottom w:val="single" w:sz="4" w:space="0" w:color="002D5D"/>
                            </w:tcBorders>
                          </w:tcPr>
                          <w:p>
                            <w:pPr>
                              <w:pStyle w:val="TableParagraph"/>
                              <w:rPr>
                                <w:sz w:val="16"/>
                              </w:rPr>
                            </w:pPr>
                          </w:p>
                          <w:p>
                            <w:pPr>
                              <w:pStyle w:val="TableParagraph"/>
                              <w:rPr>
                                <w:sz w:val="16"/>
                              </w:rPr>
                            </w:pPr>
                          </w:p>
                          <w:p>
                            <w:pPr>
                              <w:pStyle w:val="TableParagraph"/>
                              <w:ind w:right="73"/>
                              <w:jc w:val="right"/>
                              <w:rPr>
                                <w:sz w:val="16"/>
                              </w:rPr>
                            </w:pPr>
                            <w:r>
                              <w:rPr>
                                <w:spacing w:val="-2"/>
                                <w:sz w:val="16"/>
                              </w:rPr>
                              <w:t>3.392.836,29</w:t>
                            </w:r>
                          </w:p>
                        </w:tc>
                        <w:tc>
                          <w:tcPr>
                            <w:tcW w:w="992" w:type="dxa"/>
                            <w:tcBorders>
                              <w:top w:val="single" w:sz="12" w:space="0" w:color="001F5F"/>
                              <w:bottom w:val="single" w:sz="4" w:space="0" w:color="002D5D"/>
                            </w:tcBorders>
                          </w:tcPr>
                          <w:p>
                            <w:pPr>
                              <w:pStyle w:val="TableParagraph"/>
                              <w:rPr>
                                <w:sz w:val="16"/>
                              </w:rPr>
                            </w:pPr>
                          </w:p>
                          <w:p>
                            <w:pPr>
                              <w:pStyle w:val="TableParagraph"/>
                              <w:rPr>
                                <w:sz w:val="16"/>
                              </w:rPr>
                            </w:pPr>
                          </w:p>
                          <w:p>
                            <w:pPr>
                              <w:pStyle w:val="TableParagraph"/>
                              <w:ind w:right="73"/>
                              <w:jc w:val="right"/>
                              <w:rPr>
                                <w:sz w:val="16"/>
                              </w:rPr>
                            </w:pPr>
                            <w:r>
                              <w:rPr>
                                <w:spacing w:val="-2"/>
                                <w:sz w:val="16"/>
                              </w:rPr>
                              <w:t>678.567,26</w:t>
                            </w:r>
                          </w:p>
                        </w:tc>
                        <w:tc>
                          <w:tcPr>
                            <w:tcW w:w="1084" w:type="dxa"/>
                            <w:tcBorders>
                              <w:top w:val="single" w:sz="12" w:space="0" w:color="001F5F"/>
                              <w:bottom w:val="single" w:sz="4" w:space="0" w:color="002D5D"/>
                            </w:tcBorders>
                          </w:tcPr>
                          <w:p>
                            <w:pPr>
                              <w:pStyle w:val="TableParagraph"/>
                              <w:rPr>
                                <w:sz w:val="16"/>
                              </w:rPr>
                            </w:pPr>
                          </w:p>
                          <w:p>
                            <w:pPr>
                              <w:pStyle w:val="TableParagraph"/>
                              <w:rPr>
                                <w:sz w:val="16"/>
                              </w:rPr>
                            </w:pPr>
                          </w:p>
                          <w:p>
                            <w:pPr>
                              <w:pStyle w:val="TableParagraph"/>
                              <w:ind w:right="163"/>
                              <w:jc w:val="right"/>
                              <w:rPr>
                                <w:sz w:val="16"/>
                              </w:rPr>
                            </w:pPr>
                            <w:r>
                              <w:rPr>
                                <w:spacing w:val="-2"/>
                                <w:sz w:val="16"/>
                              </w:rPr>
                              <w:t>2.714.269,03</w:t>
                            </w:r>
                          </w:p>
                        </w:tc>
                        <w:tc>
                          <w:tcPr>
                            <w:tcW w:w="473"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left="61" w:right="1"/>
                              <w:jc w:val="center"/>
                              <w:rPr>
                                <w:sz w:val="16"/>
                              </w:rPr>
                            </w:pPr>
                            <w:r>
                              <w:rPr>
                                <w:color w:val="891538"/>
                                <w:spacing w:val="-5"/>
                                <w:sz w:val="16"/>
                              </w:rPr>
                              <w:t>SI</w:t>
                            </w:r>
                          </w:p>
                        </w:tc>
                        <w:tc>
                          <w:tcPr>
                            <w:tcW w:w="421"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right="1"/>
                              <w:jc w:val="center"/>
                              <w:rPr>
                                <w:sz w:val="16"/>
                              </w:rPr>
                            </w:pPr>
                            <w:r>
                              <w:rPr>
                                <w:color w:val="891538"/>
                                <w:spacing w:val="-5"/>
                                <w:sz w:val="16"/>
                              </w:rPr>
                              <w:t>SI</w:t>
                            </w:r>
                          </w:p>
                        </w:tc>
                        <w:tc>
                          <w:tcPr>
                            <w:tcW w:w="426"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left="4"/>
                              <w:jc w:val="center"/>
                              <w:rPr>
                                <w:sz w:val="16"/>
                              </w:rPr>
                            </w:pPr>
                            <w:r>
                              <w:rPr>
                                <w:color w:val="5E89B4"/>
                                <w:spacing w:val="-5"/>
                                <w:sz w:val="16"/>
                              </w:rPr>
                              <w:t>NO</w:t>
                            </w:r>
                          </w:p>
                        </w:tc>
                        <w:tc>
                          <w:tcPr>
                            <w:tcW w:w="419"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left="9"/>
                              <w:jc w:val="center"/>
                              <w:rPr>
                                <w:sz w:val="16"/>
                              </w:rPr>
                            </w:pPr>
                            <w:r>
                              <w:rPr>
                                <w:color w:val="5E89B4"/>
                                <w:spacing w:val="-5"/>
                                <w:sz w:val="16"/>
                              </w:rPr>
                              <w:t>NO</w:t>
                            </w:r>
                          </w:p>
                        </w:tc>
                        <w:tc>
                          <w:tcPr>
                            <w:tcW w:w="964" w:type="dxa"/>
                            <w:tcBorders>
                              <w:top w:val="single" w:sz="12" w:space="0" w:color="001F5F"/>
                              <w:bottom w:val="single" w:sz="4" w:space="0" w:color="001F5F"/>
                            </w:tcBorders>
                          </w:tcPr>
                          <w:p>
                            <w:pPr>
                              <w:pStyle w:val="TableParagraph"/>
                              <w:rPr>
                                <w:sz w:val="16"/>
                              </w:rPr>
                            </w:pPr>
                          </w:p>
                          <w:p>
                            <w:pPr>
                              <w:pStyle w:val="TableParagraph"/>
                              <w:rPr>
                                <w:sz w:val="16"/>
                              </w:rPr>
                            </w:pPr>
                          </w:p>
                          <w:p>
                            <w:pPr>
                              <w:pStyle w:val="TableParagraph"/>
                              <w:ind w:left="5"/>
                              <w:jc w:val="center"/>
                              <w:rPr>
                                <w:sz w:val="16"/>
                              </w:rPr>
                            </w:pPr>
                            <w:r>
                              <w:rPr>
                                <w:spacing w:val="-2"/>
                                <w:sz w:val="16"/>
                              </w:rPr>
                              <w:t>Finalizada</w:t>
                            </w:r>
                          </w:p>
                        </w:tc>
                      </w:tr>
                      <w:tr>
                        <w:trPr>
                          <w:trHeight w:val="733" w:hRule="atLeast"/>
                        </w:trPr>
                        <w:tc>
                          <w:tcPr>
                            <w:tcW w:w="4123" w:type="dxa"/>
                            <w:tcBorders>
                              <w:top w:val="single" w:sz="4" w:space="0" w:color="002D5D"/>
                              <w:bottom w:val="single" w:sz="4" w:space="0" w:color="002D5D"/>
                            </w:tcBorders>
                          </w:tcPr>
                          <w:p>
                            <w:pPr>
                              <w:pStyle w:val="TableParagraph"/>
                              <w:tabs>
                                <w:tab w:pos="1339" w:val="left" w:leader="none"/>
                              </w:tabs>
                              <w:spacing w:line="182" w:lineRule="exact"/>
                              <w:ind w:left="69"/>
                              <w:rPr>
                                <w:sz w:val="16"/>
                              </w:rPr>
                            </w:pPr>
                            <w:r>
                              <w:rPr>
                                <w:b/>
                                <w:spacing w:val="-2"/>
                                <w:sz w:val="16"/>
                              </w:rPr>
                              <w:t>MURCIA</w:t>
                            </w:r>
                            <w:r>
                              <w:rPr>
                                <w:b/>
                                <w:sz w:val="16"/>
                              </w:rPr>
                              <w:tab/>
                            </w:r>
                            <w:r>
                              <w:rPr>
                                <w:sz w:val="16"/>
                              </w:rPr>
                              <w:t>Ampliación</w:t>
                            </w:r>
                            <w:r>
                              <w:rPr>
                                <w:spacing w:val="-3"/>
                                <w:sz w:val="16"/>
                              </w:rPr>
                              <w:t> </w:t>
                            </w:r>
                            <w:r>
                              <w:rPr>
                                <w:sz w:val="16"/>
                              </w:rPr>
                              <w:t>de</w:t>
                            </w:r>
                            <w:r>
                              <w:rPr>
                                <w:spacing w:val="-3"/>
                                <w:sz w:val="16"/>
                              </w:rPr>
                              <w:t> </w:t>
                            </w:r>
                            <w:r>
                              <w:rPr>
                                <w:sz w:val="16"/>
                              </w:rPr>
                              <w:t>la</w:t>
                            </w:r>
                            <w:r>
                              <w:rPr>
                                <w:spacing w:val="-3"/>
                                <w:sz w:val="16"/>
                              </w:rPr>
                              <w:t> </w:t>
                            </w:r>
                            <w:r>
                              <w:rPr>
                                <w:sz w:val="16"/>
                              </w:rPr>
                              <w:t>red</w:t>
                            </w:r>
                            <w:r>
                              <w:rPr>
                                <w:spacing w:val="-3"/>
                                <w:sz w:val="16"/>
                              </w:rPr>
                              <w:t> </w:t>
                            </w:r>
                            <w:r>
                              <w:rPr>
                                <w:spacing w:val="-5"/>
                                <w:sz w:val="16"/>
                              </w:rPr>
                              <w:t>de</w:t>
                            </w:r>
                          </w:p>
                          <w:p>
                            <w:pPr>
                              <w:pStyle w:val="TableParagraph"/>
                              <w:tabs>
                                <w:tab w:pos="3839" w:val="right" w:leader="none"/>
                              </w:tabs>
                              <w:spacing w:before="1"/>
                              <w:ind w:left="1339"/>
                              <w:rPr>
                                <w:position w:val="-8"/>
                                <w:sz w:val="16"/>
                              </w:rPr>
                            </w:pPr>
                            <w:r>
                              <w:rPr>
                                <w:sz w:val="16"/>
                              </w:rPr>
                              <w:t>plataformas</w:t>
                            </w:r>
                            <w:r>
                              <w:rPr>
                                <w:spacing w:val="-8"/>
                                <w:sz w:val="16"/>
                              </w:rPr>
                              <w:t> </w:t>
                            </w:r>
                            <w:r>
                              <w:rPr>
                                <w:sz w:val="16"/>
                              </w:rPr>
                              <w:t>a</w:t>
                            </w:r>
                            <w:r>
                              <w:rPr>
                                <w:spacing w:val="-4"/>
                                <w:sz w:val="16"/>
                              </w:rPr>
                              <w:t> </w:t>
                            </w:r>
                            <w:r>
                              <w:rPr>
                                <w:sz w:val="16"/>
                              </w:rPr>
                              <w:t>carriles</w:t>
                            </w:r>
                            <w:r>
                              <w:rPr>
                                <w:spacing w:val="-6"/>
                                <w:sz w:val="16"/>
                              </w:rPr>
                              <w:t> </w:t>
                            </w:r>
                            <w:r>
                              <w:rPr>
                                <w:sz w:val="16"/>
                              </w:rPr>
                              <w:t>bici</w:t>
                            </w:r>
                            <w:r>
                              <w:rPr>
                                <w:spacing w:val="-7"/>
                                <w:sz w:val="16"/>
                              </w:rPr>
                              <w:t> </w:t>
                            </w:r>
                            <w:r>
                              <w:rPr>
                                <w:spacing w:val="-10"/>
                                <w:sz w:val="16"/>
                              </w:rPr>
                              <w:t>y</w:t>
                            </w:r>
                            <w:r>
                              <w:rPr>
                                <w:sz w:val="16"/>
                              </w:rPr>
                              <w:tab/>
                            </w:r>
                            <w:r>
                              <w:rPr>
                                <w:spacing w:val="-12"/>
                                <w:position w:val="-8"/>
                                <w:sz w:val="16"/>
                              </w:rPr>
                              <w:t>7</w:t>
                            </w:r>
                          </w:p>
                          <w:p>
                            <w:pPr>
                              <w:pStyle w:val="TableParagraph"/>
                              <w:spacing w:line="163" w:lineRule="exact" w:before="94"/>
                              <w:ind w:left="1339"/>
                              <w:rPr>
                                <w:sz w:val="16"/>
                              </w:rPr>
                            </w:pPr>
                            <w:r>
                              <w:rPr>
                                <w:sz w:val="16"/>
                              </w:rPr>
                              <w:t>líneas</w:t>
                            </w:r>
                            <w:r>
                              <w:rPr>
                                <w:spacing w:val="-3"/>
                                <w:sz w:val="16"/>
                              </w:rPr>
                              <w:t> </w:t>
                            </w:r>
                            <w:r>
                              <w:rPr>
                                <w:sz w:val="16"/>
                              </w:rPr>
                              <w:t>de</w:t>
                            </w:r>
                            <w:r>
                              <w:rPr>
                                <w:spacing w:val="-3"/>
                                <w:sz w:val="16"/>
                              </w:rPr>
                              <w:t> </w:t>
                            </w:r>
                            <w:r>
                              <w:rPr>
                                <w:spacing w:val="-5"/>
                                <w:sz w:val="16"/>
                              </w:rPr>
                              <w:t>BTR</w:t>
                            </w:r>
                          </w:p>
                        </w:tc>
                        <w:tc>
                          <w:tcPr>
                            <w:tcW w:w="1270" w:type="dxa"/>
                            <w:tcBorders>
                              <w:top w:val="single" w:sz="4" w:space="0" w:color="002D5D"/>
                              <w:bottom w:val="single" w:sz="4" w:space="0" w:color="002D5D"/>
                            </w:tcBorders>
                          </w:tcPr>
                          <w:p>
                            <w:pPr>
                              <w:pStyle w:val="TableParagraph"/>
                              <w:spacing w:before="91"/>
                              <w:rPr>
                                <w:sz w:val="16"/>
                              </w:rPr>
                            </w:pPr>
                          </w:p>
                          <w:p>
                            <w:pPr>
                              <w:pStyle w:val="TableParagraph"/>
                              <w:ind w:right="73"/>
                              <w:jc w:val="right"/>
                              <w:rPr>
                                <w:sz w:val="16"/>
                              </w:rPr>
                            </w:pPr>
                            <w:r>
                              <w:rPr>
                                <w:spacing w:val="-2"/>
                                <w:sz w:val="16"/>
                              </w:rPr>
                              <w:t>25.587.555,29</w:t>
                            </w:r>
                          </w:p>
                        </w:tc>
                        <w:tc>
                          <w:tcPr>
                            <w:tcW w:w="992" w:type="dxa"/>
                            <w:tcBorders>
                              <w:top w:val="single" w:sz="4" w:space="0" w:color="002D5D"/>
                              <w:bottom w:val="single" w:sz="4" w:space="0" w:color="002D5D"/>
                            </w:tcBorders>
                          </w:tcPr>
                          <w:p>
                            <w:pPr>
                              <w:pStyle w:val="TableParagraph"/>
                              <w:spacing w:before="91"/>
                              <w:rPr>
                                <w:sz w:val="16"/>
                              </w:rPr>
                            </w:pPr>
                          </w:p>
                          <w:p>
                            <w:pPr>
                              <w:pStyle w:val="TableParagraph"/>
                              <w:ind w:right="73"/>
                              <w:jc w:val="right"/>
                              <w:rPr>
                                <w:sz w:val="16"/>
                              </w:rPr>
                            </w:pPr>
                            <w:r>
                              <w:rPr>
                                <w:spacing w:val="-2"/>
                                <w:sz w:val="16"/>
                              </w:rPr>
                              <w:t>5.404.156,72</w:t>
                            </w:r>
                          </w:p>
                        </w:tc>
                        <w:tc>
                          <w:tcPr>
                            <w:tcW w:w="1084" w:type="dxa"/>
                            <w:tcBorders>
                              <w:top w:val="single" w:sz="4" w:space="0" w:color="002D5D"/>
                              <w:bottom w:val="single" w:sz="4" w:space="0" w:color="002D5D"/>
                            </w:tcBorders>
                          </w:tcPr>
                          <w:p>
                            <w:pPr>
                              <w:pStyle w:val="TableParagraph"/>
                              <w:spacing w:before="91"/>
                              <w:rPr>
                                <w:sz w:val="16"/>
                              </w:rPr>
                            </w:pPr>
                          </w:p>
                          <w:p>
                            <w:pPr>
                              <w:pStyle w:val="TableParagraph"/>
                              <w:ind w:right="164"/>
                              <w:jc w:val="right"/>
                              <w:rPr>
                                <w:sz w:val="16"/>
                              </w:rPr>
                            </w:pPr>
                            <w:r>
                              <w:rPr>
                                <w:spacing w:val="-2"/>
                                <w:sz w:val="16"/>
                              </w:rPr>
                              <w:t>20.183.398,57</w:t>
                            </w:r>
                          </w:p>
                        </w:tc>
                        <w:tc>
                          <w:tcPr>
                            <w:tcW w:w="473" w:type="dxa"/>
                            <w:tcBorders>
                              <w:top w:val="single" w:sz="4" w:space="0" w:color="001F5F"/>
                              <w:bottom w:val="single" w:sz="4" w:space="0" w:color="001F5F"/>
                            </w:tcBorders>
                          </w:tcPr>
                          <w:p>
                            <w:pPr>
                              <w:pStyle w:val="TableParagraph"/>
                              <w:spacing w:before="91"/>
                              <w:rPr>
                                <w:sz w:val="16"/>
                              </w:rPr>
                            </w:pPr>
                          </w:p>
                          <w:p>
                            <w:pPr>
                              <w:pStyle w:val="TableParagraph"/>
                              <w:ind w:left="61" w:right="1"/>
                              <w:jc w:val="center"/>
                              <w:rPr>
                                <w:sz w:val="16"/>
                              </w:rPr>
                            </w:pPr>
                            <w:r>
                              <w:rPr>
                                <w:color w:val="891538"/>
                                <w:spacing w:val="-5"/>
                                <w:sz w:val="16"/>
                              </w:rPr>
                              <w:t>SI</w:t>
                            </w:r>
                          </w:p>
                        </w:tc>
                        <w:tc>
                          <w:tcPr>
                            <w:tcW w:w="421" w:type="dxa"/>
                            <w:tcBorders>
                              <w:top w:val="single" w:sz="4" w:space="0" w:color="001F5F"/>
                              <w:bottom w:val="single" w:sz="4" w:space="0" w:color="001F5F"/>
                            </w:tcBorders>
                          </w:tcPr>
                          <w:p>
                            <w:pPr>
                              <w:pStyle w:val="TableParagraph"/>
                              <w:spacing w:before="91"/>
                              <w:rPr>
                                <w:sz w:val="16"/>
                              </w:rPr>
                            </w:pPr>
                          </w:p>
                          <w:p>
                            <w:pPr>
                              <w:pStyle w:val="TableParagraph"/>
                              <w:ind w:right="1"/>
                              <w:jc w:val="center"/>
                              <w:rPr>
                                <w:sz w:val="16"/>
                              </w:rPr>
                            </w:pPr>
                            <w:r>
                              <w:rPr>
                                <w:color w:val="891538"/>
                                <w:spacing w:val="-5"/>
                                <w:sz w:val="16"/>
                              </w:rPr>
                              <w:t>SI</w:t>
                            </w:r>
                          </w:p>
                        </w:tc>
                        <w:tc>
                          <w:tcPr>
                            <w:tcW w:w="426" w:type="dxa"/>
                            <w:tcBorders>
                              <w:top w:val="single" w:sz="4" w:space="0" w:color="001F5F"/>
                              <w:bottom w:val="single" w:sz="4" w:space="0" w:color="001F5F"/>
                            </w:tcBorders>
                          </w:tcPr>
                          <w:p>
                            <w:pPr>
                              <w:pStyle w:val="TableParagraph"/>
                              <w:spacing w:before="91"/>
                              <w:rPr>
                                <w:sz w:val="16"/>
                              </w:rPr>
                            </w:pPr>
                          </w:p>
                          <w:p>
                            <w:pPr>
                              <w:pStyle w:val="TableParagraph"/>
                              <w:ind w:left="4"/>
                              <w:jc w:val="center"/>
                              <w:rPr>
                                <w:sz w:val="16"/>
                              </w:rPr>
                            </w:pPr>
                            <w:r>
                              <w:rPr>
                                <w:color w:val="5E89B4"/>
                                <w:spacing w:val="-5"/>
                                <w:sz w:val="16"/>
                              </w:rPr>
                              <w:t>NO</w:t>
                            </w:r>
                          </w:p>
                        </w:tc>
                        <w:tc>
                          <w:tcPr>
                            <w:tcW w:w="419" w:type="dxa"/>
                            <w:tcBorders>
                              <w:top w:val="single" w:sz="4" w:space="0" w:color="001F5F"/>
                              <w:bottom w:val="single" w:sz="4" w:space="0" w:color="001F5F"/>
                            </w:tcBorders>
                          </w:tcPr>
                          <w:p>
                            <w:pPr>
                              <w:pStyle w:val="TableParagraph"/>
                              <w:spacing w:before="91"/>
                              <w:rPr>
                                <w:sz w:val="16"/>
                              </w:rPr>
                            </w:pPr>
                          </w:p>
                          <w:p>
                            <w:pPr>
                              <w:pStyle w:val="TableParagraph"/>
                              <w:ind w:left="9"/>
                              <w:jc w:val="center"/>
                              <w:rPr>
                                <w:sz w:val="16"/>
                              </w:rPr>
                            </w:pPr>
                            <w:r>
                              <w:rPr>
                                <w:color w:val="5E89B4"/>
                                <w:spacing w:val="-5"/>
                                <w:sz w:val="16"/>
                              </w:rPr>
                              <w:t>NO</w:t>
                            </w:r>
                          </w:p>
                        </w:tc>
                        <w:tc>
                          <w:tcPr>
                            <w:tcW w:w="964" w:type="dxa"/>
                            <w:tcBorders>
                              <w:top w:val="single" w:sz="4" w:space="0" w:color="001F5F"/>
                              <w:bottom w:val="single" w:sz="4" w:space="0" w:color="001F5F"/>
                            </w:tcBorders>
                          </w:tcPr>
                          <w:p>
                            <w:pPr>
                              <w:pStyle w:val="TableParagraph"/>
                              <w:spacing w:before="91"/>
                              <w:rPr>
                                <w:sz w:val="16"/>
                              </w:rPr>
                            </w:pPr>
                          </w:p>
                          <w:p>
                            <w:pPr>
                              <w:pStyle w:val="TableParagraph"/>
                              <w:ind w:left="5"/>
                              <w:jc w:val="center"/>
                              <w:rPr>
                                <w:sz w:val="16"/>
                              </w:rPr>
                            </w:pPr>
                            <w:r>
                              <w:rPr>
                                <w:spacing w:val="-2"/>
                                <w:sz w:val="16"/>
                              </w:rPr>
                              <w:t>Finalizada</w:t>
                            </w:r>
                          </w:p>
                        </w:tc>
                      </w:tr>
                      <w:tr>
                        <w:trPr>
                          <w:trHeight w:val="366" w:hRule="atLeast"/>
                        </w:trPr>
                        <w:tc>
                          <w:tcPr>
                            <w:tcW w:w="4123" w:type="dxa"/>
                            <w:tcBorders>
                              <w:top w:val="single" w:sz="4" w:space="0" w:color="002D5D"/>
                              <w:bottom w:val="single" w:sz="12" w:space="0" w:color="001F5F"/>
                            </w:tcBorders>
                          </w:tcPr>
                          <w:p>
                            <w:pPr>
                              <w:pStyle w:val="TableParagraph"/>
                              <w:tabs>
                                <w:tab w:pos="2500" w:val="right" w:leader="none"/>
                              </w:tabs>
                              <w:ind w:right="281"/>
                              <w:jc w:val="right"/>
                              <w:rPr>
                                <w:position w:val="-8"/>
                                <w:sz w:val="16"/>
                              </w:rPr>
                            </w:pPr>
                            <w:r>
                              <w:rPr>
                                <w:sz w:val="16"/>
                              </w:rPr>
                              <w:t>Redacción</w:t>
                            </w:r>
                            <w:r>
                              <w:rPr>
                                <w:spacing w:val="-7"/>
                                <w:sz w:val="16"/>
                              </w:rPr>
                              <w:t> </w:t>
                            </w:r>
                            <w:r>
                              <w:rPr>
                                <w:sz w:val="16"/>
                              </w:rPr>
                              <w:t>de</w:t>
                            </w:r>
                            <w:r>
                              <w:rPr>
                                <w:spacing w:val="-4"/>
                                <w:sz w:val="16"/>
                              </w:rPr>
                              <w:t> </w:t>
                            </w:r>
                            <w:r>
                              <w:rPr>
                                <w:spacing w:val="-2"/>
                                <w:sz w:val="16"/>
                              </w:rPr>
                              <w:t>proyecto</w:t>
                            </w:r>
                            <w:r>
                              <w:rPr>
                                <w:sz w:val="16"/>
                              </w:rPr>
                              <w:tab/>
                            </w:r>
                            <w:r>
                              <w:rPr>
                                <w:spacing w:val="-10"/>
                                <w:position w:val="-8"/>
                                <w:sz w:val="16"/>
                              </w:rPr>
                              <w:t>1</w:t>
                            </w:r>
                          </w:p>
                        </w:tc>
                        <w:tc>
                          <w:tcPr>
                            <w:tcW w:w="1270" w:type="dxa"/>
                            <w:tcBorders>
                              <w:top w:val="single" w:sz="4" w:space="0" w:color="002D5D"/>
                              <w:bottom w:val="single" w:sz="12" w:space="0" w:color="001F5F"/>
                            </w:tcBorders>
                          </w:tcPr>
                          <w:p>
                            <w:pPr>
                              <w:pStyle w:val="TableParagraph"/>
                              <w:spacing w:before="92"/>
                              <w:ind w:right="72"/>
                              <w:jc w:val="right"/>
                              <w:rPr>
                                <w:sz w:val="16"/>
                              </w:rPr>
                            </w:pPr>
                            <w:r>
                              <w:rPr>
                                <w:spacing w:val="-2"/>
                                <w:sz w:val="16"/>
                              </w:rPr>
                              <w:t>595.125,70</w:t>
                            </w:r>
                          </w:p>
                        </w:tc>
                        <w:tc>
                          <w:tcPr>
                            <w:tcW w:w="992" w:type="dxa"/>
                            <w:tcBorders>
                              <w:top w:val="single" w:sz="4" w:space="0" w:color="002D5D"/>
                              <w:bottom w:val="single" w:sz="12" w:space="0" w:color="001F5F"/>
                            </w:tcBorders>
                          </w:tcPr>
                          <w:p>
                            <w:pPr>
                              <w:pStyle w:val="TableParagraph"/>
                              <w:spacing w:before="92"/>
                              <w:ind w:right="73"/>
                              <w:jc w:val="right"/>
                              <w:rPr>
                                <w:sz w:val="16"/>
                              </w:rPr>
                            </w:pPr>
                            <w:r>
                              <w:rPr>
                                <w:spacing w:val="-2"/>
                                <w:sz w:val="16"/>
                              </w:rPr>
                              <w:t>595.125,70</w:t>
                            </w:r>
                          </w:p>
                        </w:tc>
                        <w:tc>
                          <w:tcPr>
                            <w:tcW w:w="1084" w:type="dxa"/>
                            <w:tcBorders>
                              <w:top w:val="single" w:sz="4" w:space="0" w:color="002D5D"/>
                              <w:bottom w:val="single" w:sz="12" w:space="0" w:color="001F5F"/>
                            </w:tcBorders>
                          </w:tcPr>
                          <w:p>
                            <w:pPr>
                              <w:pStyle w:val="TableParagraph"/>
                              <w:spacing w:before="92"/>
                              <w:ind w:right="162"/>
                              <w:jc w:val="right"/>
                              <w:rPr>
                                <w:sz w:val="16"/>
                              </w:rPr>
                            </w:pPr>
                            <w:r>
                              <w:rPr>
                                <w:spacing w:val="-4"/>
                                <w:sz w:val="16"/>
                              </w:rPr>
                              <w:t>0,00</w:t>
                            </w:r>
                          </w:p>
                        </w:tc>
                        <w:tc>
                          <w:tcPr>
                            <w:tcW w:w="473" w:type="dxa"/>
                            <w:tcBorders>
                              <w:top w:val="single" w:sz="4" w:space="0" w:color="001F5F"/>
                              <w:bottom w:val="single" w:sz="12" w:space="0" w:color="001F5F"/>
                            </w:tcBorders>
                          </w:tcPr>
                          <w:p>
                            <w:pPr>
                              <w:pStyle w:val="TableParagraph"/>
                              <w:spacing w:before="92"/>
                              <w:ind w:left="61"/>
                              <w:jc w:val="center"/>
                              <w:rPr>
                                <w:sz w:val="16"/>
                              </w:rPr>
                            </w:pPr>
                            <w:r>
                              <w:rPr>
                                <w:color w:val="5E89B4"/>
                                <w:spacing w:val="-5"/>
                                <w:sz w:val="16"/>
                              </w:rPr>
                              <w:t>NO</w:t>
                            </w:r>
                          </w:p>
                        </w:tc>
                        <w:tc>
                          <w:tcPr>
                            <w:tcW w:w="421" w:type="dxa"/>
                            <w:tcBorders>
                              <w:top w:val="single" w:sz="4" w:space="0" w:color="001F5F"/>
                              <w:bottom w:val="single" w:sz="12" w:space="0" w:color="001F5F"/>
                            </w:tcBorders>
                          </w:tcPr>
                          <w:p>
                            <w:pPr>
                              <w:pStyle w:val="TableParagraph"/>
                              <w:spacing w:before="92"/>
                              <w:ind w:left="1" w:right="1"/>
                              <w:jc w:val="center"/>
                              <w:rPr>
                                <w:sz w:val="16"/>
                              </w:rPr>
                            </w:pPr>
                            <w:r>
                              <w:rPr>
                                <w:color w:val="5E89B4"/>
                                <w:spacing w:val="-5"/>
                                <w:sz w:val="16"/>
                              </w:rPr>
                              <w:t>NO</w:t>
                            </w:r>
                          </w:p>
                        </w:tc>
                        <w:tc>
                          <w:tcPr>
                            <w:tcW w:w="426" w:type="dxa"/>
                            <w:tcBorders>
                              <w:top w:val="single" w:sz="4" w:space="0" w:color="001F5F"/>
                              <w:bottom w:val="single" w:sz="12" w:space="0" w:color="001F5F"/>
                            </w:tcBorders>
                          </w:tcPr>
                          <w:p>
                            <w:pPr>
                              <w:pStyle w:val="TableParagraph"/>
                              <w:spacing w:before="92"/>
                              <w:ind w:left="4"/>
                              <w:jc w:val="center"/>
                              <w:rPr>
                                <w:sz w:val="16"/>
                              </w:rPr>
                            </w:pPr>
                            <w:r>
                              <w:rPr>
                                <w:color w:val="5E89B4"/>
                                <w:spacing w:val="-5"/>
                                <w:sz w:val="16"/>
                              </w:rPr>
                              <w:t>NO</w:t>
                            </w:r>
                          </w:p>
                        </w:tc>
                        <w:tc>
                          <w:tcPr>
                            <w:tcW w:w="419" w:type="dxa"/>
                            <w:tcBorders>
                              <w:top w:val="single" w:sz="4" w:space="0" w:color="001F5F"/>
                              <w:bottom w:val="single" w:sz="12" w:space="0" w:color="001F5F"/>
                            </w:tcBorders>
                          </w:tcPr>
                          <w:p>
                            <w:pPr>
                              <w:pStyle w:val="TableParagraph"/>
                              <w:spacing w:before="92"/>
                              <w:ind w:left="9"/>
                              <w:jc w:val="center"/>
                              <w:rPr>
                                <w:sz w:val="16"/>
                              </w:rPr>
                            </w:pPr>
                            <w:r>
                              <w:rPr>
                                <w:color w:val="5E89B4"/>
                                <w:spacing w:val="-5"/>
                                <w:sz w:val="16"/>
                              </w:rPr>
                              <w:t>NO</w:t>
                            </w:r>
                          </w:p>
                        </w:tc>
                        <w:tc>
                          <w:tcPr>
                            <w:tcW w:w="964" w:type="dxa"/>
                            <w:tcBorders>
                              <w:top w:val="single" w:sz="4" w:space="0" w:color="001F5F"/>
                              <w:bottom w:val="single" w:sz="12" w:space="0" w:color="001F5F"/>
                            </w:tcBorders>
                          </w:tcPr>
                          <w:p>
                            <w:pPr>
                              <w:pStyle w:val="TableParagraph"/>
                              <w:spacing w:before="92"/>
                              <w:ind w:left="5"/>
                              <w:jc w:val="center"/>
                              <w:rPr>
                                <w:sz w:val="16"/>
                              </w:rPr>
                            </w:pPr>
                            <w:r>
                              <w:rPr>
                                <w:sz w:val="16"/>
                              </w:rPr>
                              <w:t>En</w:t>
                            </w:r>
                            <w:r>
                              <w:rPr>
                                <w:spacing w:val="-2"/>
                                <w:sz w:val="16"/>
                              </w:rPr>
                              <w:t> ejecución</w:t>
                            </w:r>
                          </w:p>
                        </w:tc>
                      </w:tr>
                      <w:tr>
                        <w:trPr>
                          <w:trHeight w:val="284" w:hRule="atLeast"/>
                        </w:trPr>
                        <w:tc>
                          <w:tcPr>
                            <w:tcW w:w="4123" w:type="dxa"/>
                            <w:tcBorders>
                              <w:top w:val="single" w:sz="12" w:space="0" w:color="001F5F"/>
                              <w:bottom w:val="single" w:sz="12" w:space="0" w:color="001F5F"/>
                            </w:tcBorders>
                          </w:tcPr>
                          <w:p>
                            <w:pPr>
                              <w:pStyle w:val="TableParagraph"/>
                              <w:tabs>
                                <w:tab w:pos="1269" w:val="left" w:leader="none"/>
                                <w:tab w:pos="3770" w:val="right" w:leader="none"/>
                              </w:tabs>
                              <w:spacing w:before="51"/>
                              <w:ind w:right="281"/>
                              <w:jc w:val="right"/>
                              <w:rPr>
                                <w:sz w:val="16"/>
                              </w:rPr>
                            </w:pPr>
                            <w:r>
                              <w:rPr>
                                <w:b/>
                                <w:spacing w:val="-2"/>
                                <w:sz w:val="16"/>
                              </w:rPr>
                              <w:t>PALMA</w:t>
                            </w:r>
                            <w:r>
                              <w:rPr>
                                <w:b/>
                                <w:sz w:val="16"/>
                              </w:rPr>
                              <w:tab/>
                            </w:r>
                            <w:r>
                              <w:rPr>
                                <w:sz w:val="16"/>
                              </w:rPr>
                              <w:t>Mejora</w:t>
                            </w:r>
                            <w:r>
                              <w:rPr>
                                <w:spacing w:val="-7"/>
                                <w:sz w:val="16"/>
                              </w:rPr>
                              <w:t> </w:t>
                            </w:r>
                            <w:r>
                              <w:rPr>
                                <w:sz w:val="16"/>
                              </w:rPr>
                              <w:t>accesibilidad</w:t>
                            </w:r>
                            <w:r>
                              <w:rPr>
                                <w:spacing w:val="-7"/>
                                <w:sz w:val="16"/>
                              </w:rPr>
                              <w:t> </w:t>
                            </w:r>
                            <w:r>
                              <w:rPr>
                                <w:spacing w:val="-2"/>
                                <w:sz w:val="16"/>
                              </w:rPr>
                              <w:t>paradas</w:t>
                            </w:r>
                            <w:r>
                              <w:rPr>
                                <w:sz w:val="16"/>
                              </w:rPr>
                              <w:tab/>
                            </w:r>
                            <w:r>
                              <w:rPr>
                                <w:spacing w:val="-10"/>
                                <w:sz w:val="16"/>
                              </w:rPr>
                              <w:t>4</w:t>
                            </w:r>
                          </w:p>
                        </w:tc>
                        <w:tc>
                          <w:tcPr>
                            <w:tcW w:w="1270" w:type="dxa"/>
                            <w:tcBorders>
                              <w:top w:val="single" w:sz="12" w:space="0" w:color="001F5F"/>
                              <w:bottom w:val="single" w:sz="12" w:space="0" w:color="001F5F"/>
                            </w:tcBorders>
                          </w:tcPr>
                          <w:p>
                            <w:pPr>
                              <w:pStyle w:val="TableParagraph"/>
                              <w:spacing w:before="51"/>
                              <w:ind w:right="73"/>
                              <w:jc w:val="right"/>
                              <w:rPr>
                                <w:sz w:val="16"/>
                              </w:rPr>
                            </w:pPr>
                            <w:r>
                              <w:rPr>
                                <w:spacing w:val="-2"/>
                                <w:sz w:val="16"/>
                              </w:rPr>
                              <w:t>5.427.480,63</w:t>
                            </w:r>
                          </w:p>
                        </w:tc>
                        <w:tc>
                          <w:tcPr>
                            <w:tcW w:w="992" w:type="dxa"/>
                            <w:tcBorders>
                              <w:top w:val="single" w:sz="12" w:space="0" w:color="001F5F"/>
                              <w:bottom w:val="single" w:sz="12" w:space="0" w:color="001F5F"/>
                            </w:tcBorders>
                          </w:tcPr>
                          <w:p>
                            <w:pPr>
                              <w:pStyle w:val="TableParagraph"/>
                              <w:spacing w:before="51"/>
                              <w:ind w:right="73"/>
                              <w:jc w:val="right"/>
                              <w:rPr>
                                <w:sz w:val="16"/>
                              </w:rPr>
                            </w:pPr>
                            <w:r>
                              <w:rPr>
                                <w:spacing w:val="-2"/>
                                <w:sz w:val="16"/>
                              </w:rPr>
                              <w:t>2.670.729,80</w:t>
                            </w:r>
                          </w:p>
                        </w:tc>
                        <w:tc>
                          <w:tcPr>
                            <w:tcW w:w="1084" w:type="dxa"/>
                            <w:tcBorders>
                              <w:top w:val="single" w:sz="12" w:space="0" w:color="001F5F"/>
                              <w:bottom w:val="single" w:sz="12" w:space="0" w:color="001F5F"/>
                            </w:tcBorders>
                          </w:tcPr>
                          <w:p>
                            <w:pPr>
                              <w:pStyle w:val="TableParagraph"/>
                              <w:spacing w:before="51"/>
                              <w:ind w:right="163"/>
                              <w:jc w:val="right"/>
                              <w:rPr>
                                <w:sz w:val="16"/>
                              </w:rPr>
                            </w:pPr>
                            <w:r>
                              <w:rPr>
                                <w:spacing w:val="-2"/>
                                <w:sz w:val="16"/>
                              </w:rPr>
                              <w:t>2.756.750,83</w:t>
                            </w:r>
                          </w:p>
                        </w:tc>
                        <w:tc>
                          <w:tcPr>
                            <w:tcW w:w="473" w:type="dxa"/>
                            <w:tcBorders>
                              <w:top w:val="single" w:sz="12" w:space="0" w:color="001F5F"/>
                              <w:bottom w:val="single" w:sz="12" w:space="0" w:color="001F5F"/>
                            </w:tcBorders>
                          </w:tcPr>
                          <w:p>
                            <w:pPr>
                              <w:pStyle w:val="TableParagraph"/>
                              <w:spacing w:before="51"/>
                              <w:ind w:left="61"/>
                              <w:jc w:val="center"/>
                              <w:rPr>
                                <w:sz w:val="16"/>
                              </w:rPr>
                            </w:pPr>
                            <w:r>
                              <w:rPr>
                                <w:color w:val="5E89B4"/>
                                <w:spacing w:val="-5"/>
                                <w:sz w:val="16"/>
                              </w:rPr>
                              <w:t>NO</w:t>
                            </w:r>
                          </w:p>
                        </w:tc>
                        <w:tc>
                          <w:tcPr>
                            <w:tcW w:w="421" w:type="dxa"/>
                            <w:tcBorders>
                              <w:top w:val="single" w:sz="12" w:space="0" w:color="001F5F"/>
                              <w:bottom w:val="single" w:sz="12" w:space="0" w:color="001F5F"/>
                            </w:tcBorders>
                          </w:tcPr>
                          <w:p>
                            <w:pPr>
                              <w:pStyle w:val="TableParagraph"/>
                              <w:spacing w:before="51"/>
                              <w:ind w:right="1"/>
                              <w:jc w:val="center"/>
                              <w:rPr>
                                <w:sz w:val="16"/>
                              </w:rPr>
                            </w:pPr>
                            <w:r>
                              <w:rPr>
                                <w:color w:val="891538"/>
                                <w:spacing w:val="-5"/>
                                <w:sz w:val="16"/>
                              </w:rPr>
                              <w:t>SI</w:t>
                            </w:r>
                          </w:p>
                        </w:tc>
                        <w:tc>
                          <w:tcPr>
                            <w:tcW w:w="426" w:type="dxa"/>
                            <w:tcBorders>
                              <w:top w:val="single" w:sz="12" w:space="0" w:color="001F5F"/>
                              <w:bottom w:val="single" w:sz="12" w:space="0" w:color="001F5F"/>
                            </w:tcBorders>
                          </w:tcPr>
                          <w:p>
                            <w:pPr>
                              <w:pStyle w:val="TableParagraph"/>
                              <w:spacing w:before="51"/>
                              <w:ind w:left="4"/>
                              <w:jc w:val="center"/>
                              <w:rPr>
                                <w:sz w:val="16"/>
                              </w:rPr>
                            </w:pPr>
                            <w:r>
                              <w:rPr>
                                <w:color w:val="5E89B4"/>
                                <w:spacing w:val="-5"/>
                                <w:sz w:val="16"/>
                              </w:rPr>
                              <w:t>NO</w:t>
                            </w:r>
                          </w:p>
                        </w:tc>
                        <w:tc>
                          <w:tcPr>
                            <w:tcW w:w="419" w:type="dxa"/>
                            <w:tcBorders>
                              <w:top w:val="single" w:sz="12" w:space="0" w:color="001F5F"/>
                              <w:bottom w:val="single" w:sz="12" w:space="0" w:color="001F5F"/>
                            </w:tcBorders>
                          </w:tcPr>
                          <w:p>
                            <w:pPr>
                              <w:pStyle w:val="TableParagraph"/>
                              <w:spacing w:before="51"/>
                              <w:ind w:left="9"/>
                              <w:jc w:val="center"/>
                              <w:rPr>
                                <w:sz w:val="16"/>
                              </w:rPr>
                            </w:pPr>
                            <w:r>
                              <w:rPr>
                                <w:color w:val="5E89B4"/>
                                <w:spacing w:val="-5"/>
                                <w:sz w:val="16"/>
                              </w:rPr>
                              <w:t>NO</w:t>
                            </w:r>
                          </w:p>
                        </w:tc>
                        <w:tc>
                          <w:tcPr>
                            <w:tcW w:w="964" w:type="dxa"/>
                            <w:tcBorders>
                              <w:top w:val="single" w:sz="12" w:space="0" w:color="001F5F"/>
                              <w:bottom w:val="single" w:sz="12" w:space="0" w:color="001F5F"/>
                            </w:tcBorders>
                          </w:tcPr>
                          <w:p>
                            <w:pPr>
                              <w:pStyle w:val="TableParagraph"/>
                              <w:spacing w:before="51"/>
                              <w:ind w:left="5"/>
                              <w:jc w:val="center"/>
                              <w:rPr>
                                <w:sz w:val="16"/>
                              </w:rPr>
                            </w:pPr>
                            <w:r>
                              <w:rPr>
                                <w:sz w:val="16"/>
                              </w:rPr>
                              <w:t>En</w:t>
                            </w:r>
                            <w:r>
                              <w:rPr>
                                <w:spacing w:val="-2"/>
                                <w:sz w:val="16"/>
                              </w:rPr>
                              <w:t> ejecución</w:t>
                            </w:r>
                          </w:p>
                        </w:tc>
                      </w:tr>
                      <w:tr>
                        <w:trPr>
                          <w:trHeight w:val="368" w:hRule="atLeast"/>
                        </w:trPr>
                        <w:tc>
                          <w:tcPr>
                            <w:tcW w:w="4123" w:type="dxa"/>
                            <w:tcBorders>
                              <w:top w:val="single" w:sz="12" w:space="0" w:color="001F5F"/>
                              <w:bottom w:val="single" w:sz="4" w:space="0" w:color="001F5F"/>
                            </w:tcBorders>
                          </w:tcPr>
                          <w:p>
                            <w:pPr>
                              <w:pStyle w:val="TableParagraph"/>
                              <w:tabs>
                                <w:tab w:pos="2500" w:val="right" w:leader="none"/>
                              </w:tabs>
                              <w:ind w:right="281"/>
                              <w:jc w:val="right"/>
                              <w:rPr>
                                <w:position w:val="-8"/>
                                <w:sz w:val="16"/>
                              </w:rPr>
                            </w:pPr>
                            <w:r>
                              <w:rPr>
                                <w:sz w:val="16"/>
                              </w:rPr>
                              <w:t>Equipamiento</w:t>
                            </w:r>
                            <w:r>
                              <w:rPr>
                                <w:spacing w:val="-11"/>
                                <w:sz w:val="16"/>
                              </w:rPr>
                              <w:t> </w:t>
                            </w:r>
                            <w:r>
                              <w:rPr>
                                <w:sz w:val="16"/>
                              </w:rPr>
                              <w:t>paradas</w:t>
                            </w:r>
                            <w:r>
                              <w:rPr>
                                <w:spacing w:val="-9"/>
                                <w:sz w:val="16"/>
                              </w:rPr>
                              <w:t> </w:t>
                            </w:r>
                            <w:r>
                              <w:rPr>
                                <w:spacing w:val="-4"/>
                                <w:sz w:val="16"/>
                              </w:rPr>
                              <w:t>metro</w:t>
                            </w:r>
                            <w:r>
                              <w:rPr>
                                <w:sz w:val="16"/>
                              </w:rPr>
                              <w:tab/>
                            </w:r>
                            <w:r>
                              <w:rPr>
                                <w:spacing w:val="-10"/>
                                <w:position w:val="-8"/>
                                <w:sz w:val="16"/>
                              </w:rPr>
                              <w:t>1</w:t>
                            </w:r>
                          </w:p>
                        </w:tc>
                        <w:tc>
                          <w:tcPr>
                            <w:tcW w:w="1270" w:type="dxa"/>
                            <w:tcBorders>
                              <w:top w:val="single" w:sz="12" w:space="0" w:color="001F5F"/>
                              <w:bottom w:val="single" w:sz="4" w:space="0" w:color="001F5F"/>
                            </w:tcBorders>
                          </w:tcPr>
                          <w:p>
                            <w:pPr>
                              <w:pStyle w:val="TableParagraph"/>
                              <w:spacing w:before="92"/>
                              <w:ind w:right="72"/>
                              <w:jc w:val="right"/>
                              <w:rPr>
                                <w:sz w:val="16"/>
                              </w:rPr>
                            </w:pPr>
                            <w:r>
                              <w:rPr>
                                <w:spacing w:val="-2"/>
                                <w:sz w:val="16"/>
                              </w:rPr>
                              <w:t>689.751,47</w:t>
                            </w:r>
                          </w:p>
                        </w:tc>
                        <w:tc>
                          <w:tcPr>
                            <w:tcW w:w="992" w:type="dxa"/>
                            <w:tcBorders>
                              <w:top w:val="single" w:sz="12" w:space="0" w:color="001F5F"/>
                              <w:bottom w:val="single" w:sz="4" w:space="0" w:color="001F5F"/>
                            </w:tcBorders>
                          </w:tcPr>
                          <w:p>
                            <w:pPr>
                              <w:pStyle w:val="TableParagraph"/>
                              <w:spacing w:before="92"/>
                              <w:ind w:right="73"/>
                              <w:jc w:val="right"/>
                              <w:rPr>
                                <w:sz w:val="16"/>
                              </w:rPr>
                            </w:pPr>
                            <w:r>
                              <w:rPr>
                                <w:spacing w:val="-2"/>
                                <w:sz w:val="16"/>
                              </w:rPr>
                              <w:t>137.950,29</w:t>
                            </w:r>
                          </w:p>
                        </w:tc>
                        <w:tc>
                          <w:tcPr>
                            <w:tcW w:w="1084" w:type="dxa"/>
                            <w:tcBorders>
                              <w:top w:val="single" w:sz="12" w:space="0" w:color="001F5F"/>
                              <w:bottom w:val="single" w:sz="4" w:space="0" w:color="001F5F"/>
                            </w:tcBorders>
                          </w:tcPr>
                          <w:p>
                            <w:pPr>
                              <w:pStyle w:val="TableParagraph"/>
                              <w:spacing w:before="92"/>
                              <w:ind w:right="163"/>
                              <w:jc w:val="right"/>
                              <w:rPr>
                                <w:sz w:val="16"/>
                              </w:rPr>
                            </w:pPr>
                            <w:r>
                              <w:rPr>
                                <w:spacing w:val="-2"/>
                                <w:sz w:val="16"/>
                              </w:rPr>
                              <w:t>551.801,18</w:t>
                            </w:r>
                          </w:p>
                        </w:tc>
                        <w:tc>
                          <w:tcPr>
                            <w:tcW w:w="473" w:type="dxa"/>
                            <w:tcBorders>
                              <w:top w:val="single" w:sz="12" w:space="0" w:color="001F5F"/>
                              <w:bottom w:val="single" w:sz="4" w:space="0" w:color="001F5F"/>
                            </w:tcBorders>
                          </w:tcPr>
                          <w:p>
                            <w:pPr>
                              <w:pStyle w:val="TableParagraph"/>
                              <w:spacing w:before="92"/>
                              <w:ind w:left="61"/>
                              <w:jc w:val="center"/>
                              <w:rPr>
                                <w:sz w:val="16"/>
                              </w:rPr>
                            </w:pPr>
                            <w:r>
                              <w:rPr>
                                <w:color w:val="5E89B4"/>
                                <w:spacing w:val="-5"/>
                                <w:sz w:val="16"/>
                              </w:rPr>
                              <w:t>NO</w:t>
                            </w:r>
                          </w:p>
                        </w:tc>
                        <w:tc>
                          <w:tcPr>
                            <w:tcW w:w="421" w:type="dxa"/>
                            <w:tcBorders>
                              <w:top w:val="single" w:sz="12" w:space="0" w:color="001F5F"/>
                              <w:bottom w:val="single" w:sz="4" w:space="0" w:color="001F5F"/>
                            </w:tcBorders>
                          </w:tcPr>
                          <w:p>
                            <w:pPr>
                              <w:pStyle w:val="TableParagraph"/>
                              <w:spacing w:before="92"/>
                              <w:ind w:left="1" w:right="1"/>
                              <w:jc w:val="center"/>
                              <w:rPr>
                                <w:sz w:val="16"/>
                              </w:rPr>
                            </w:pPr>
                            <w:r>
                              <w:rPr>
                                <w:color w:val="5E89B4"/>
                                <w:spacing w:val="-5"/>
                                <w:sz w:val="16"/>
                              </w:rPr>
                              <w:t>NO</w:t>
                            </w:r>
                          </w:p>
                        </w:tc>
                        <w:tc>
                          <w:tcPr>
                            <w:tcW w:w="426" w:type="dxa"/>
                            <w:tcBorders>
                              <w:top w:val="single" w:sz="12" w:space="0" w:color="001F5F"/>
                              <w:bottom w:val="single" w:sz="4" w:space="0" w:color="001F5F"/>
                            </w:tcBorders>
                          </w:tcPr>
                          <w:p>
                            <w:pPr>
                              <w:pStyle w:val="TableParagraph"/>
                              <w:spacing w:before="92"/>
                              <w:ind w:left="4"/>
                              <w:jc w:val="center"/>
                              <w:rPr>
                                <w:sz w:val="16"/>
                              </w:rPr>
                            </w:pPr>
                            <w:r>
                              <w:rPr>
                                <w:color w:val="5E89B4"/>
                                <w:spacing w:val="-5"/>
                                <w:sz w:val="16"/>
                              </w:rPr>
                              <w:t>NO</w:t>
                            </w:r>
                          </w:p>
                        </w:tc>
                        <w:tc>
                          <w:tcPr>
                            <w:tcW w:w="419" w:type="dxa"/>
                            <w:tcBorders>
                              <w:top w:val="single" w:sz="12" w:space="0" w:color="001F5F"/>
                              <w:bottom w:val="single" w:sz="4" w:space="0" w:color="001F5F"/>
                            </w:tcBorders>
                          </w:tcPr>
                          <w:p>
                            <w:pPr>
                              <w:pStyle w:val="TableParagraph"/>
                              <w:spacing w:before="92"/>
                              <w:ind w:left="9"/>
                              <w:jc w:val="center"/>
                              <w:rPr>
                                <w:sz w:val="16"/>
                              </w:rPr>
                            </w:pPr>
                            <w:r>
                              <w:rPr>
                                <w:color w:val="5E89B4"/>
                                <w:spacing w:val="-5"/>
                                <w:sz w:val="16"/>
                              </w:rPr>
                              <w:t>NO</w:t>
                            </w:r>
                          </w:p>
                        </w:tc>
                        <w:tc>
                          <w:tcPr>
                            <w:tcW w:w="964" w:type="dxa"/>
                            <w:tcBorders>
                              <w:top w:val="single" w:sz="12" w:space="0" w:color="001F5F"/>
                              <w:bottom w:val="single" w:sz="4" w:space="0" w:color="001F5F"/>
                            </w:tcBorders>
                          </w:tcPr>
                          <w:p>
                            <w:pPr>
                              <w:pStyle w:val="TableParagraph"/>
                              <w:spacing w:before="92"/>
                              <w:ind w:left="5"/>
                              <w:jc w:val="center"/>
                              <w:rPr>
                                <w:sz w:val="16"/>
                              </w:rPr>
                            </w:pPr>
                            <w:r>
                              <w:rPr>
                                <w:spacing w:val="-2"/>
                                <w:sz w:val="16"/>
                              </w:rPr>
                              <w:t>Finalizada</w:t>
                            </w:r>
                          </w:p>
                        </w:tc>
                      </w:tr>
                      <w:tr>
                        <w:trPr>
                          <w:trHeight w:val="366" w:hRule="atLeast"/>
                        </w:trPr>
                        <w:tc>
                          <w:tcPr>
                            <w:tcW w:w="4123" w:type="dxa"/>
                            <w:tcBorders>
                              <w:top w:val="single" w:sz="4" w:space="0" w:color="001F5F"/>
                              <w:bottom w:val="single" w:sz="4" w:space="0" w:color="001F5F"/>
                            </w:tcBorders>
                          </w:tcPr>
                          <w:p>
                            <w:pPr>
                              <w:pStyle w:val="TableParagraph"/>
                              <w:tabs>
                                <w:tab w:pos="1269" w:val="left" w:leader="none"/>
                                <w:tab w:pos="3770" w:val="right" w:leader="none"/>
                              </w:tabs>
                              <w:ind w:right="281"/>
                              <w:jc w:val="right"/>
                              <w:rPr>
                                <w:position w:val="-8"/>
                                <w:sz w:val="16"/>
                              </w:rPr>
                            </w:pPr>
                            <w:r>
                              <w:rPr>
                                <w:b/>
                                <w:spacing w:val="-2"/>
                                <w:position w:val="-8"/>
                                <w:sz w:val="16"/>
                              </w:rPr>
                              <w:t>SEVILLA</w:t>
                            </w:r>
                            <w:r>
                              <w:rPr>
                                <w:b/>
                                <w:position w:val="-8"/>
                                <w:sz w:val="16"/>
                              </w:rPr>
                              <w:tab/>
                            </w:r>
                            <w:r>
                              <w:rPr>
                                <w:sz w:val="16"/>
                              </w:rPr>
                              <w:t>Construcción</w:t>
                            </w:r>
                            <w:r>
                              <w:rPr>
                                <w:spacing w:val="-6"/>
                                <w:sz w:val="16"/>
                              </w:rPr>
                              <w:t> </w:t>
                            </w:r>
                            <w:r>
                              <w:rPr>
                                <w:sz w:val="16"/>
                              </w:rPr>
                              <w:t>de</w:t>
                            </w:r>
                            <w:r>
                              <w:rPr>
                                <w:spacing w:val="-5"/>
                                <w:sz w:val="16"/>
                              </w:rPr>
                              <w:t> </w:t>
                            </w:r>
                            <w:r>
                              <w:rPr>
                                <w:sz w:val="16"/>
                              </w:rPr>
                              <w:t>carril</w:t>
                            </w:r>
                            <w:r>
                              <w:rPr>
                                <w:spacing w:val="-7"/>
                                <w:sz w:val="16"/>
                              </w:rPr>
                              <w:t> </w:t>
                            </w:r>
                            <w:r>
                              <w:rPr>
                                <w:spacing w:val="-5"/>
                                <w:sz w:val="16"/>
                              </w:rPr>
                              <w:t>bus</w:t>
                            </w:r>
                            <w:r>
                              <w:rPr>
                                <w:sz w:val="16"/>
                              </w:rPr>
                              <w:tab/>
                            </w:r>
                            <w:r>
                              <w:rPr>
                                <w:spacing w:val="-10"/>
                                <w:position w:val="-8"/>
                                <w:sz w:val="16"/>
                              </w:rPr>
                              <w:t>5</w:t>
                            </w:r>
                          </w:p>
                        </w:tc>
                        <w:tc>
                          <w:tcPr>
                            <w:tcW w:w="1270" w:type="dxa"/>
                            <w:tcBorders>
                              <w:top w:val="single" w:sz="4" w:space="0" w:color="001F5F"/>
                              <w:bottom w:val="single" w:sz="4" w:space="0" w:color="001F5F"/>
                            </w:tcBorders>
                          </w:tcPr>
                          <w:p>
                            <w:pPr>
                              <w:pStyle w:val="TableParagraph"/>
                              <w:spacing w:before="90"/>
                              <w:ind w:right="73"/>
                              <w:jc w:val="right"/>
                              <w:rPr>
                                <w:sz w:val="16"/>
                              </w:rPr>
                            </w:pPr>
                            <w:r>
                              <w:rPr>
                                <w:spacing w:val="-2"/>
                                <w:sz w:val="16"/>
                              </w:rPr>
                              <w:t>17.856.816,53</w:t>
                            </w:r>
                          </w:p>
                        </w:tc>
                        <w:tc>
                          <w:tcPr>
                            <w:tcW w:w="992" w:type="dxa"/>
                            <w:tcBorders>
                              <w:top w:val="single" w:sz="4" w:space="0" w:color="001F5F"/>
                              <w:bottom w:val="single" w:sz="4" w:space="0" w:color="001F5F"/>
                            </w:tcBorders>
                          </w:tcPr>
                          <w:p>
                            <w:pPr>
                              <w:pStyle w:val="TableParagraph"/>
                              <w:spacing w:before="90"/>
                              <w:ind w:right="73"/>
                              <w:jc w:val="right"/>
                              <w:rPr>
                                <w:sz w:val="16"/>
                              </w:rPr>
                            </w:pPr>
                            <w:r>
                              <w:rPr>
                                <w:spacing w:val="-2"/>
                                <w:sz w:val="16"/>
                              </w:rPr>
                              <w:t>1.785.681,65</w:t>
                            </w:r>
                          </w:p>
                        </w:tc>
                        <w:tc>
                          <w:tcPr>
                            <w:tcW w:w="1084" w:type="dxa"/>
                            <w:tcBorders>
                              <w:top w:val="single" w:sz="4" w:space="0" w:color="001F5F"/>
                              <w:bottom w:val="single" w:sz="4" w:space="0" w:color="001F5F"/>
                            </w:tcBorders>
                          </w:tcPr>
                          <w:p>
                            <w:pPr>
                              <w:pStyle w:val="TableParagraph"/>
                              <w:spacing w:before="90"/>
                              <w:ind w:right="164"/>
                              <w:jc w:val="right"/>
                              <w:rPr>
                                <w:sz w:val="16"/>
                              </w:rPr>
                            </w:pPr>
                            <w:r>
                              <w:rPr>
                                <w:spacing w:val="-2"/>
                                <w:sz w:val="16"/>
                              </w:rPr>
                              <w:t>16.071.134,88</w:t>
                            </w:r>
                          </w:p>
                        </w:tc>
                        <w:tc>
                          <w:tcPr>
                            <w:tcW w:w="473" w:type="dxa"/>
                            <w:tcBorders>
                              <w:top w:val="single" w:sz="4" w:space="0" w:color="001F5F"/>
                              <w:bottom w:val="single" w:sz="4" w:space="0" w:color="001F5F"/>
                            </w:tcBorders>
                          </w:tcPr>
                          <w:p>
                            <w:pPr>
                              <w:pStyle w:val="TableParagraph"/>
                              <w:spacing w:before="90"/>
                              <w:ind w:left="61"/>
                              <w:jc w:val="center"/>
                              <w:rPr>
                                <w:sz w:val="16"/>
                              </w:rPr>
                            </w:pPr>
                            <w:r>
                              <w:rPr>
                                <w:color w:val="5E89B4"/>
                                <w:spacing w:val="-5"/>
                                <w:sz w:val="16"/>
                              </w:rPr>
                              <w:t>NO</w:t>
                            </w:r>
                          </w:p>
                        </w:tc>
                        <w:tc>
                          <w:tcPr>
                            <w:tcW w:w="421" w:type="dxa"/>
                            <w:tcBorders>
                              <w:top w:val="single" w:sz="4" w:space="0" w:color="001F5F"/>
                              <w:bottom w:val="single" w:sz="4" w:space="0" w:color="001F5F"/>
                            </w:tcBorders>
                          </w:tcPr>
                          <w:p>
                            <w:pPr>
                              <w:pStyle w:val="TableParagraph"/>
                              <w:spacing w:before="90"/>
                              <w:ind w:right="1"/>
                              <w:jc w:val="center"/>
                              <w:rPr>
                                <w:sz w:val="16"/>
                              </w:rPr>
                            </w:pPr>
                            <w:r>
                              <w:rPr>
                                <w:color w:val="891538"/>
                                <w:spacing w:val="-5"/>
                                <w:sz w:val="16"/>
                              </w:rPr>
                              <w:t>SI</w:t>
                            </w:r>
                          </w:p>
                        </w:tc>
                        <w:tc>
                          <w:tcPr>
                            <w:tcW w:w="426" w:type="dxa"/>
                            <w:tcBorders>
                              <w:top w:val="single" w:sz="4" w:space="0" w:color="001F5F"/>
                              <w:bottom w:val="single" w:sz="4" w:space="0" w:color="001F5F"/>
                            </w:tcBorders>
                          </w:tcPr>
                          <w:p>
                            <w:pPr>
                              <w:pStyle w:val="TableParagraph"/>
                              <w:spacing w:before="90"/>
                              <w:ind w:left="4"/>
                              <w:jc w:val="center"/>
                              <w:rPr>
                                <w:sz w:val="16"/>
                              </w:rPr>
                            </w:pPr>
                            <w:r>
                              <w:rPr>
                                <w:color w:val="5E89B4"/>
                                <w:spacing w:val="-5"/>
                                <w:sz w:val="16"/>
                              </w:rPr>
                              <w:t>NO</w:t>
                            </w:r>
                          </w:p>
                        </w:tc>
                        <w:tc>
                          <w:tcPr>
                            <w:tcW w:w="419" w:type="dxa"/>
                            <w:tcBorders>
                              <w:top w:val="single" w:sz="4" w:space="0" w:color="001F5F"/>
                              <w:bottom w:val="single" w:sz="4" w:space="0" w:color="001F5F"/>
                            </w:tcBorders>
                          </w:tcPr>
                          <w:p>
                            <w:pPr>
                              <w:pStyle w:val="TableParagraph"/>
                              <w:spacing w:before="90"/>
                              <w:ind w:left="9"/>
                              <w:jc w:val="center"/>
                              <w:rPr>
                                <w:sz w:val="16"/>
                              </w:rPr>
                            </w:pPr>
                            <w:r>
                              <w:rPr>
                                <w:color w:val="5E89B4"/>
                                <w:spacing w:val="-5"/>
                                <w:sz w:val="16"/>
                              </w:rPr>
                              <w:t>NO</w:t>
                            </w:r>
                          </w:p>
                        </w:tc>
                        <w:tc>
                          <w:tcPr>
                            <w:tcW w:w="964" w:type="dxa"/>
                            <w:tcBorders>
                              <w:top w:val="single" w:sz="4" w:space="0" w:color="001F5F"/>
                              <w:bottom w:val="single" w:sz="4" w:space="0" w:color="001F5F"/>
                            </w:tcBorders>
                          </w:tcPr>
                          <w:p>
                            <w:pPr>
                              <w:pStyle w:val="TableParagraph"/>
                              <w:spacing w:before="90"/>
                              <w:ind w:left="5"/>
                              <w:jc w:val="center"/>
                              <w:rPr>
                                <w:sz w:val="16"/>
                              </w:rPr>
                            </w:pPr>
                            <w:r>
                              <w:rPr>
                                <w:sz w:val="16"/>
                              </w:rPr>
                              <w:t>En</w:t>
                            </w:r>
                            <w:r>
                              <w:rPr>
                                <w:spacing w:val="-2"/>
                                <w:sz w:val="16"/>
                              </w:rPr>
                              <w:t> ejecución</w:t>
                            </w:r>
                          </w:p>
                        </w:tc>
                      </w:tr>
                      <w:tr>
                        <w:trPr>
                          <w:trHeight w:val="366" w:hRule="atLeast"/>
                        </w:trPr>
                        <w:tc>
                          <w:tcPr>
                            <w:tcW w:w="4123" w:type="dxa"/>
                            <w:tcBorders>
                              <w:top w:val="single" w:sz="4" w:space="0" w:color="001F5F"/>
                              <w:bottom w:val="single" w:sz="12" w:space="0" w:color="001F5F"/>
                            </w:tcBorders>
                          </w:tcPr>
                          <w:p>
                            <w:pPr>
                              <w:pStyle w:val="TableParagraph"/>
                              <w:tabs>
                                <w:tab w:pos="2500" w:val="right" w:leader="none"/>
                              </w:tabs>
                              <w:ind w:right="281"/>
                              <w:jc w:val="right"/>
                              <w:rPr>
                                <w:position w:val="-8"/>
                                <w:sz w:val="16"/>
                              </w:rPr>
                            </w:pPr>
                            <w:r>
                              <w:rPr>
                                <w:sz w:val="16"/>
                              </w:rPr>
                              <w:t>Proyecto</w:t>
                            </w:r>
                            <w:r>
                              <w:rPr>
                                <w:spacing w:val="-10"/>
                                <w:sz w:val="16"/>
                              </w:rPr>
                              <w:t> </w:t>
                            </w:r>
                            <w:r>
                              <w:rPr>
                                <w:sz w:val="16"/>
                              </w:rPr>
                              <w:t>construcción</w:t>
                            </w:r>
                            <w:r>
                              <w:rPr>
                                <w:spacing w:val="-5"/>
                                <w:sz w:val="16"/>
                              </w:rPr>
                              <w:t> </w:t>
                            </w:r>
                            <w:r>
                              <w:rPr>
                                <w:spacing w:val="-4"/>
                                <w:sz w:val="16"/>
                              </w:rPr>
                              <w:t>Metro</w:t>
                            </w:r>
                            <w:r>
                              <w:rPr>
                                <w:sz w:val="16"/>
                              </w:rPr>
                              <w:tab/>
                            </w:r>
                            <w:r>
                              <w:rPr>
                                <w:spacing w:val="-10"/>
                                <w:position w:val="-8"/>
                                <w:sz w:val="16"/>
                              </w:rPr>
                              <w:t>3</w:t>
                            </w:r>
                          </w:p>
                        </w:tc>
                        <w:tc>
                          <w:tcPr>
                            <w:tcW w:w="1270" w:type="dxa"/>
                            <w:tcBorders>
                              <w:top w:val="single" w:sz="4" w:space="0" w:color="001F5F"/>
                              <w:bottom w:val="single" w:sz="12" w:space="0" w:color="001F5F"/>
                            </w:tcBorders>
                          </w:tcPr>
                          <w:p>
                            <w:pPr>
                              <w:pStyle w:val="TableParagraph"/>
                              <w:spacing w:before="90"/>
                              <w:ind w:right="73"/>
                              <w:jc w:val="right"/>
                              <w:rPr>
                                <w:sz w:val="16"/>
                              </w:rPr>
                            </w:pPr>
                            <w:r>
                              <w:rPr>
                                <w:spacing w:val="-2"/>
                                <w:sz w:val="16"/>
                              </w:rPr>
                              <w:t>18.064.547,25</w:t>
                            </w:r>
                          </w:p>
                        </w:tc>
                        <w:tc>
                          <w:tcPr>
                            <w:tcW w:w="992" w:type="dxa"/>
                            <w:tcBorders>
                              <w:top w:val="single" w:sz="4" w:space="0" w:color="001F5F"/>
                              <w:bottom w:val="single" w:sz="12" w:space="0" w:color="001F5F"/>
                            </w:tcBorders>
                          </w:tcPr>
                          <w:p>
                            <w:pPr>
                              <w:pStyle w:val="TableParagraph"/>
                              <w:spacing w:before="90"/>
                              <w:ind w:right="73"/>
                              <w:jc w:val="right"/>
                              <w:rPr>
                                <w:sz w:val="16"/>
                              </w:rPr>
                            </w:pPr>
                            <w:r>
                              <w:rPr>
                                <w:spacing w:val="-2"/>
                                <w:sz w:val="16"/>
                              </w:rPr>
                              <w:t>3.577.387,19</w:t>
                            </w:r>
                          </w:p>
                        </w:tc>
                        <w:tc>
                          <w:tcPr>
                            <w:tcW w:w="1084" w:type="dxa"/>
                            <w:tcBorders>
                              <w:top w:val="single" w:sz="4" w:space="0" w:color="001F5F"/>
                              <w:bottom w:val="single" w:sz="12" w:space="0" w:color="001F5F"/>
                            </w:tcBorders>
                          </w:tcPr>
                          <w:p>
                            <w:pPr>
                              <w:pStyle w:val="TableParagraph"/>
                              <w:spacing w:before="90"/>
                              <w:ind w:right="164"/>
                              <w:jc w:val="right"/>
                              <w:rPr>
                                <w:sz w:val="16"/>
                              </w:rPr>
                            </w:pPr>
                            <w:r>
                              <w:rPr>
                                <w:spacing w:val="-2"/>
                                <w:sz w:val="16"/>
                              </w:rPr>
                              <w:t>14.487.160,06</w:t>
                            </w:r>
                          </w:p>
                        </w:tc>
                        <w:tc>
                          <w:tcPr>
                            <w:tcW w:w="473" w:type="dxa"/>
                            <w:tcBorders>
                              <w:top w:val="single" w:sz="4" w:space="0" w:color="001F5F"/>
                              <w:bottom w:val="single" w:sz="12" w:space="0" w:color="001F5F"/>
                            </w:tcBorders>
                          </w:tcPr>
                          <w:p>
                            <w:pPr>
                              <w:pStyle w:val="TableParagraph"/>
                              <w:spacing w:before="90"/>
                              <w:ind w:left="61" w:right="1"/>
                              <w:jc w:val="center"/>
                              <w:rPr>
                                <w:sz w:val="16"/>
                              </w:rPr>
                            </w:pPr>
                            <w:r>
                              <w:rPr>
                                <w:color w:val="891538"/>
                                <w:spacing w:val="-5"/>
                                <w:sz w:val="16"/>
                              </w:rPr>
                              <w:t>SI</w:t>
                            </w:r>
                          </w:p>
                        </w:tc>
                        <w:tc>
                          <w:tcPr>
                            <w:tcW w:w="421" w:type="dxa"/>
                            <w:tcBorders>
                              <w:top w:val="single" w:sz="4" w:space="0" w:color="001F5F"/>
                              <w:bottom w:val="single" w:sz="12" w:space="0" w:color="001F5F"/>
                            </w:tcBorders>
                          </w:tcPr>
                          <w:p>
                            <w:pPr>
                              <w:pStyle w:val="TableParagraph"/>
                              <w:spacing w:before="90"/>
                              <w:ind w:right="1"/>
                              <w:jc w:val="center"/>
                              <w:rPr>
                                <w:sz w:val="16"/>
                              </w:rPr>
                            </w:pPr>
                            <w:r>
                              <w:rPr>
                                <w:color w:val="891538"/>
                                <w:spacing w:val="-5"/>
                                <w:sz w:val="16"/>
                              </w:rPr>
                              <w:t>SI</w:t>
                            </w:r>
                          </w:p>
                        </w:tc>
                        <w:tc>
                          <w:tcPr>
                            <w:tcW w:w="426" w:type="dxa"/>
                            <w:tcBorders>
                              <w:top w:val="single" w:sz="4" w:space="0" w:color="001F5F"/>
                              <w:bottom w:val="single" w:sz="12" w:space="0" w:color="001F5F"/>
                            </w:tcBorders>
                          </w:tcPr>
                          <w:p>
                            <w:pPr>
                              <w:pStyle w:val="TableParagraph"/>
                              <w:spacing w:before="90"/>
                              <w:ind w:left="4"/>
                              <w:jc w:val="center"/>
                              <w:rPr>
                                <w:sz w:val="16"/>
                              </w:rPr>
                            </w:pPr>
                            <w:r>
                              <w:rPr>
                                <w:color w:val="5E89B4"/>
                                <w:spacing w:val="-5"/>
                                <w:sz w:val="16"/>
                              </w:rPr>
                              <w:t>NO</w:t>
                            </w:r>
                          </w:p>
                        </w:tc>
                        <w:tc>
                          <w:tcPr>
                            <w:tcW w:w="419" w:type="dxa"/>
                            <w:tcBorders>
                              <w:top w:val="single" w:sz="4" w:space="0" w:color="001F5F"/>
                              <w:bottom w:val="single" w:sz="12" w:space="0" w:color="001F5F"/>
                            </w:tcBorders>
                          </w:tcPr>
                          <w:p>
                            <w:pPr>
                              <w:pStyle w:val="TableParagraph"/>
                              <w:spacing w:before="90"/>
                              <w:ind w:left="9"/>
                              <w:jc w:val="center"/>
                              <w:rPr>
                                <w:sz w:val="16"/>
                              </w:rPr>
                            </w:pPr>
                            <w:r>
                              <w:rPr>
                                <w:color w:val="5E89B4"/>
                                <w:spacing w:val="-5"/>
                                <w:sz w:val="16"/>
                              </w:rPr>
                              <w:t>NO</w:t>
                            </w:r>
                          </w:p>
                        </w:tc>
                        <w:tc>
                          <w:tcPr>
                            <w:tcW w:w="964" w:type="dxa"/>
                            <w:tcBorders>
                              <w:top w:val="single" w:sz="4" w:space="0" w:color="001F5F"/>
                              <w:bottom w:val="single" w:sz="12" w:space="0" w:color="001F5F"/>
                            </w:tcBorders>
                          </w:tcPr>
                          <w:p>
                            <w:pPr>
                              <w:pStyle w:val="TableParagraph"/>
                              <w:spacing w:before="90"/>
                              <w:ind w:left="5"/>
                              <w:jc w:val="center"/>
                              <w:rPr>
                                <w:sz w:val="16"/>
                              </w:rPr>
                            </w:pPr>
                            <w:r>
                              <w:rPr>
                                <w:sz w:val="16"/>
                              </w:rPr>
                              <w:t>En</w:t>
                            </w:r>
                            <w:r>
                              <w:rPr>
                                <w:spacing w:val="-2"/>
                                <w:sz w:val="16"/>
                              </w:rPr>
                              <w:t> ejecución</w:t>
                            </w:r>
                          </w:p>
                        </w:tc>
                      </w:tr>
                      <w:tr>
                        <w:trPr>
                          <w:trHeight w:val="551" w:hRule="atLeast"/>
                        </w:trPr>
                        <w:tc>
                          <w:tcPr>
                            <w:tcW w:w="4123" w:type="dxa"/>
                            <w:tcBorders>
                              <w:top w:val="single" w:sz="12" w:space="0" w:color="001F5F"/>
                            </w:tcBorders>
                          </w:tcPr>
                          <w:p>
                            <w:pPr>
                              <w:pStyle w:val="TableParagraph"/>
                              <w:spacing w:line="182" w:lineRule="exact"/>
                              <w:ind w:right="229"/>
                              <w:jc w:val="center"/>
                              <w:rPr>
                                <w:sz w:val="16"/>
                              </w:rPr>
                            </w:pPr>
                            <w:r>
                              <w:rPr>
                                <w:spacing w:val="-2"/>
                                <w:sz w:val="16"/>
                              </w:rPr>
                              <w:t>Acondicionamiento</w:t>
                            </w:r>
                            <w:r>
                              <w:rPr>
                                <w:spacing w:val="19"/>
                                <w:sz w:val="16"/>
                              </w:rPr>
                              <w:t> </w:t>
                            </w:r>
                            <w:r>
                              <w:rPr>
                                <w:spacing w:val="-10"/>
                                <w:sz w:val="16"/>
                              </w:rPr>
                              <w:t>y</w:t>
                            </w:r>
                          </w:p>
                          <w:p>
                            <w:pPr>
                              <w:pStyle w:val="TableParagraph"/>
                              <w:tabs>
                                <w:tab w:pos="1269" w:val="left" w:leader="none"/>
                                <w:tab w:pos="3770" w:val="right" w:leader="none"/>
                              </w:tabs>
                              <w:spacing w:line="183" w:lineRule="exact" w:before="1"/>
                              <w:ind w:right="211"/>
                              <w:jc w:val="center"/>
                              <w:rPr>
                                <w:sz w:val="16"/>
                              </w:rPr>
                            </w:pPr>
                            <w:r>
                              <w:rPr>
                                <w:b/>
                                <w:spacing w:val="-2"/>
                                <w:sz w:val="16"/>
                              </w:rPr>
                              <w:t>ZARAGOZA</w:t>
                            </w:r>
                            <w:r>
                              <w:rPr>
                                <w:b/>
                                <w:sz w:val="16"/>
                              </w:rPr>
                              <w:tab/>
                            </w:r>
                            <w:r>
                              <w:rPr>
                                <w:sz w:val="16"/>
                              </w:rPr>
                              <w:t>colocación</w:t>
                            </w:r>
                            <w:r>
                              <w:rPr>
                                <w:spacing w:val="-7"/>
                                <w:sz w:val="16"/>
                              </w:rPr>
                              <w:t> </w:t>
                            </w:r>
                            <w:r>
                              <w:rPr>
                                <w:sz w:val="16"/>
                              </w:rPr>
                              <w:t>de</w:t>
                            </w:r>
                            <w:r>
                              <w:rPr>
                                <w:spacing w:val="-7"/>
                                <w:sz w:val="16"/>
                              </w:rPr>
                              <w:t> </w:t>
                            </w:r>
                            <w:r>
                              <w:rPr>
                                <w:sz w:val="16"/>
                              </w:rPr>
                              <w:t>plataformas</w:t>
                            </w:r>
                            <w:r>
                              <w:rPr>
                                <w:spacing w:val="-6"/>
                                <w:sz w:val="16"/>
                              </w:rPr>
                              <w:t> </w:t>
                            </w:r>
                            <w:r>
                              <w:rPr>
                                <w:spacing w:val="-5"/>
                                <w:sz w:val="16"/>
                              </w:rPr>
                              <w:t>en</w:t>
                            </w:r>
                            <w:r>
                              <w:rPr>
                                <w:sz w:val="16"/>
                              </w:rPr>
                              <w:tab/>
                            </w:r>
                            <w:r>
                              <w:rPr>
                                <w:spacing w:val="-10"/>
                                <w:sz w:val="16"/>
                              </w:rPr>
                              <w:t>1</w:t>
                            </w:r>
                          </w:p>
                          <w:p>
                            <w:pPr>
                              <w:pStyle w:val="TableParagraph"/>
                              <w:spacing w:line="165" w:lineRule="exact"/>
                              <w:ind w:right="965"/>
                              <w:jc w:val="center"/>
                              <w:rPr>
                                <w:sz w:val="16"/>
                              </w:rPr>
                            </w:pPr>
                            <w:r>
                              <w:rPr>
                                <w:spacing w:val="-2"/>
                                <w:sz w:val="16"/>
                              </w:rPr>
                              <w:t>paradas</w:t>
                            </w:r>
                          </w:p>
                        </w:tc>
                        <w:tc>
                          <w:tcPr>
                            <w:tcW w:w="1270" w:type="dxa"/>
                            <w:tcBorders>
                              <w:top w:val="single" w:sz="12" w:space="0" w:color="001F5F"/>
                            </w:tcBorders>
                          </w:tcPr>
                          <w:p>
                            <w:pPr>
                              <w:pStyle w:val="TableParagraph"/>
                              <w:spacing w:before="183"/>
                              <w:ind w:right="72"/>
                              <w:jc w:val="right"/>
                              <w:rPr>
                                <w:sz w:val="16"/>
                              </w:rPr>
                            </w:pPr>
                            <w:r>
                              <w:rPr>
                                <w:spacing w:val="-2"/>
                                <w:sz w:val="16"/>
                              </w:rPr>
                              <w:t>307.722,69</w:t>
                            </w:r>
                          </w:p>
                        </w:tc>
                        <w:tc>
                          <w:tcPr>
                            <w:tcW w:w="992" w:type="dxa"/>
                            <w:tcBorders>
                              <w:top w:val="single" w:sz="12" w:space="0" w:color="001F5F"/>
                            </w:tcBorders>
                          </w:tcPr>
                          <w:p>
                            <w:pPr>
                              <w:pStyle w:val="TableParagraph"/>
                              <w:spacing w:before="183"/>
                              <w:ind w:right="73"/>
                              <w:jc w:val="right"/>
                              <w:rPr>
                                <w:sz w:val="16"/>
                              </w:rPr>
                            </w:pPr>
                            <w:r>
                              <w:rPr>
                                <w:spacing w:val="-2"/>
                                <w:sz w:val="16"/>
                              </w:rPr>
                              <w:t>307.722,69</w:t>
                            </w:r>
                          </w:p>
                        </w:tc>
                        <w:tc>
                          <w:tcPr>
                            <w:tcW w:w="1084" w:type="dxa"/>
                            <w:tcBorders>
                              <w:top w:val="single" w:sz="12" w:space="0" w:color="001F5F"/>
                            </w:tcBorders>
                          </w:tcPr>
                          <w:p>
                            <w:pPr>
                              <w:pStyle w:val="TableParagraph"/>
                              <w:spacing w:before="183"/>
                              <w:ind w:right="162"/>
                              <w:jc w:val="right"/>
                              <w:rPr>
                                <w:sz w:val="16"/>
                              </w:rPr>
                            </w:pPr>
                            <w:r>
                              <w:rPr>
                                <w:spacing w:val="-4"/>
                                <w:sz w:val="16"/>
                              </w:rPr>
                              <w:t>0,00</w:t>
                            </w:r>
                          </w:p>
                        </w:tc>
                        <w:tc>
                          <w:tcPr>
                            <w:tcW w:w="473" w:type="dxa"/>
                            <w:tcBorders>
                              <w:top w:val="single" w:sz="12" w:space="0" w:color="001F5F"/>
                            </w:tcBorders>
                          </w:tcPr>
                          <w:p>
                            <w:pPr>
                              <w:pStyle w:val="TableParagraph"/>
                              <w:spacing w:before="183"/>
                              <w:ind w:left="61"/>
                              <w:jc w:val="center"/>
                              <w:rPr>
                                <w:sz w:val="16"/>
                              </w:rPr>
                            </w:pPr>
                            <w:r>
                              <w:rPr>
                                <w:color w:val="5E89B4"/>
                                <w:spacing w:val="-5"/>
                                <w:sz w:val="16"/>
                              </w:rPr>
                              <w:t>NO</w:t>
                            </w:r>
                          </w:p>
                        </w:tc>
                        <w:tc>
                          <w:tcPr>
                            <w:tcW w:w="421" w:type="dxa"/>
                            <w:tcBorders>
                              <w:top w:val="single" w:sz="12" w:space="0" w:color="001F5F"/>
                            </w:tcBorders>
                          </w:tcPr>
                          <w:p>
                            <w:pPr>
                              <w:pStyle w:val="TableParagraph"/>
                              <w:spacing w:before="183"/>
                              <w:ind w:left="1" w:right="1"/>
                              <w:jc w:val="center"/>
                              <w:rPr>
                                <w:sz w:val="16"/>
                              </w:rPr>
                            </w:pPr>
                            <w:r>
                              <w:rPr>
                                <w:color w:val="5E89B4"/>
                                <w:spacing w:val="-5"/>
                                <w:sz w:val="16"/>
                              </w:rPr>
                              <w:t>NO</w:t>
                            </w:r>
                          </w:p>
                        </w:tc>
                        <w:tc>
                          <w:tcPr>
                            <w:tcW w:w="426" w:type="dxa"/>
                            <w:tcBorders>
                              <w:top w:val="single" w:sz="12" w:space="0" w:color="001F5F"/>
                            </w:tcBorders>
                          </w:tcPr>
                          <w:p>
                            <w:pPr>
                              <w:pStyle w:val="TableParagraph"/>
                              <w:spacing w:before="183"/>
                              <w:ind w:left="4"/>
                              <w:jc w:val="center"/>
                              <w:rPr>
                                <w:sz w:val="16"/>
                              </w:rPr>
                            </w:pPr>
                            <w:r>
                              <w:rPr>
                                <w:color w:val="5E89B4"/>
                                <w:spacing w:val="-5"/>
                                <w:sz w:val="16"/>
                              </w:rPr>
                              <w:t>NO</w:t>
                            </w:r>
                          </w:p>
                        </w:tc>
                        <w:tc>
                          <w:tcPr>
                            <w:tcW w:w="419" w:type="dxa"/>
                            <w:tcBorders>
                              <w:top w:val="single" w:sz="12" w:space="0" w:color="001F5F"/>
                            </w:tcBorders>
                          </w:tcPr>
                          <w:p>
                            <w:pPr>
                              <w:pStyle w:val="TableParagraph"/>
                              <w:spacing w:before="183"/>
                              <w:ind w:left="9"/>
                              <w:jc w:val="center"/>
                              <w:rPr>
                                <w:sz w:val="16"/>
                              </w:rPr>
                            </w:pPr>
                            <w:r>
                              <w:rPr>
                                <w:color w:val="5E89B4"/>
                                <w:spacing w:val="-5"/>
                                <w:sz w:val="16"/>
                              </w:rPr>
                              <w:t>NO</w:t>
                            </w:r>
                          </w:p>
                        </w:tc>
                        <w:tc>
                          <w:tcPr>
                            <w:tcW w:w="964" w:type="dxa"/>
                            <w:tcBorders>
                              <w:top w:val="single" w:sz="12" w:space="0" w:color="001F5F"/>
                            </w:tcBorders>
                          </w:tcPr>
                          <w:p>
                            <w:pPr>
                              <w:pStyle w:val="TableParagraph"/>
                              <w:spacing w:before="183"/>
                              <w:ind w:left="5"/>
                              <w:jc w:val="center"/>
                              <w:rPr>
                                <w:sz w:val="16"/>
                              </w:rPr>
                            </w:pPr>
                            <w:r>
                              <w:rPr>
                                <w:spacing w:val="-2"/>
                                <w:sz w:val="16"/>
                              </w:rPr>
                              <w:t>Finalizada</w:t>
                            </w:r>
                          </w:p>
                        </w:tc>
                      </w:tr>
                      <w:tr>
                        <w:trPr>
                          <w:trHeight w:val="359" w:hRule="atLeast"/>
                        </w:trPr>
                        <w:tc>
                          <w:tcPr>
                            <w:tcW w:w="4123" w:type="dxa"/>
                            <w:shd w:val="clear" w:color="auto" w:fill="002D5D"/>
                          </w:tcPr>
                          <w:p>
                            <w:pPr>
                              <w:pStyle w:val="TableParagraph"/>
                              <w:tabs>
                                <w:tab w:pos="3771" w:val="right" w:leader="none"/>
                              </w:tabs>
                              <w:spacing w:before="87"/>
                              <w:ind w:right="281"/>
                              <w:jc w:val="right"/>
                              <w:rPr>
                                <w:b/>
                                <w:sz w:val="16"/>
                              </w:rPr>
                            </w:pPr>
                            <w:r>
                              <w:rPr>
                                <w:b/>
                                <w:color w:val="FFFFFF"/>
                                <w:spacing w:val="-2"/>
                                <w:sz w:val="16"/>
                              </w:rPr>
                              <w:t>TOTAL</w:t>
                            </w:r>
                            <w:r>
                              <w:rPr>
                                <w:b/>
                                <w:color w:val="FFFFFF"/>
                                <w:sz w:val="16"/>
                              </w:rPr>
                              <w:tab/>
                            </w:r>
                            <w:r>
                              <w:rPr>
                                <w:b/>
                                <w:color w:val="FFFFFF"/>
                                <w:spacing w:val="-5"/>
                                <w:sz w:val="16"/>
                              </w:rPr>
                              <w:t>56</w:t>
                            </w:r>
                          </w:p>
                        </w:tc>
                        <w:tc>
                          <w:tcPr>
                            <w:tcW w:w="1270" w:type="dxa"/>
                            <w:shd w:val="clear" w:color="auto" w:fill="002D5D"/>
                          </w:tcPr>
                          <w:p>
                            <w:pPr>
                              <w:pStyle w:val="TableParagraph"/>
                              <w:spacing w:before="87"/>
                              <w:ind w:right="73"/>
                              <w:jc w:val="right"/>
                              <w:rPr>
                                <w:b/>
                                <w:sz w:val="16"/>
                              </w:rPr>
                            </w:pPr>
                            <w:r>
                              <w:rPr>
                                <w:b/>
                                <w:color w:val="FFFFFF"/>
                                <w:spacing w:val="-2"/>
                                <w:sz w:val="16"/>
                              </w:rPr>
                              <w:t>108.608.430,19</w:t>
                            </w:r>
                          </w:p>
                        </w:tc>
                        <w:tc>
                          <w:tcPr>
                            <w:tcW w:w="992" w:type="dxa"/>
                            <w:shd w:val="clear" w:color="auto" w:fill="002D5D"/>
                          </w:tcPr>
                          <w:p>
                            <w:pPr>
                              <w:pStyle w:val="TableParagraph"/>
                              <w:spacing w:before="87"/>
                              <w:ind w:right="73"/>
                              <w:jc w:val="right"/>
                              <w:rPr>
                                <w:b/>
                                <w:sz w:val="16"/>
                              </w:rPr>
                            </w:pPr>
                            <w:r>
                              <w:rPr>
                                <w:b/>
                                <w:color w:val="FFFFFF"/>
                                <w:spacing w:val="-2"/>
                                <w:sz w:val="16"/>
                              </w:rPr>
                              <w:t>50.382.834,35</w:t>
                            </w:r>
                          </w:p>
                        </w:tc>
                        <w:tc>
                          <w:tcPr>
                            <w:tcW w:w="1084" w:type="dxa"/>
                            <w:shd w:val="clear" w:color="auto" w:fill="002D5D"/>
                          </w:tcPr>
                          <w:p>
                            <w:pPr>
                              <w:pStyle w:val="TableParagraph"/>
                              <w:spacing w:before="87"/>
                              <w:ind w:right="164"/>
                              <w:jc w:val="right"/>
                              <w:rPr>
                                <w:b/>
                                <w:sz w:val="16"/>
                              </w:rPr>
                            </w:pPr>
                            <w:r>
                              <w:rPr>
                                <w:b/>
                                <w:color w:val="FFFFFF"/>
                                <w:spacing w:val="-2"/>
                                <w:sz w:val="16"/>
                              </w:rPr>
                              <w:t>58.225.595,84</w:t>
                            </w:r>
                          </w:p>
                        </w:tc>
                        <w:tc>
                          <w:tcPr>
                            <w:tcW w:w="473" w:type="dxa"/>
                            <w:shd w:val="clear" w:color="auto" w:fill="002D5D"/>
                          </w:tcPr>
                          <w:p>
                            <w:pPr>
                              <w:pStyle w:val="TableParagraph"/>
                              <w:rPr>
                                <w:rFonts w:ascii="Times New Roman"/>
                                <w:sz w:val="16"/>
                              </w:rPr>
                            </w:pPr>
                          </w:p>
                        </w:tc>
                        <w:tc>
                          <w:tcPr>
                            <w:tcW w:w="421" w:type="dxa"/>
                            <w:shd w:val="clear" w:color="auto" w:fill="002D5D"/>
                          </w:tcPr>
                          <w:p>
                            <w:pPr>
                              <w:pStyle w:val="TableParagraph"/>
                              <w:rPr>
                                <w:rFonts w:ascii="Times New Roman"/>
                                <w:sz w:val="16"/>
                              </w:rPr>
                            </w:pPr>
                          </w:p>
                        </w:tc>
                        <w:tc>
                          <w:tcPr>
                            <w:tcW w:w="426" w:type="dxa"/>
                            <w:shd w:val="clear" w:color="auto" w:fill="002D5D"/>
                          </w:tcPr>
                          <w:p>
                            <w:pPr>
                              <w:pStyle w:val="TableParagraph"/>
                              <w:rPr>
                                <w:rFonts w:ascii="Times New Roman"/>
                                <w:sz w:val="16"/>
                              </w:rPr>
                            </w:pPr>
                          </w:p>
                        </w:tc>
                        <w:tc>
                          <w:tcPr>
                            <w:tcW w:w="419" w:type="dxa"/>
                            <w:shd w:val="clear" w:color="auto" w:fill="002D5D"/>
                          </w:tcPr>
                          <w:p>
                            <w:pPr>
                              <w:pStyle w:val="TableParagraph"/>
                              <w:rPr>
                                <w:rFonts w:ascii="Times New Roman"/>
                                <w:sz w:val="16"/>
                              </w:rPr>
                            </w:pPr>
                          </w:p>
                        </w:tc>
                        <w:tc>
                          <w:tcPr>
                            <w:tcW w:w="964" w:type="dxa"/>
                            <w:shd w:val="clear" w:color="auto" w:fill="002D5D"/>
                          </w:tcPr>
                          <w:p>
                            <w:pPr>
                              <w:pStyle w:val="TableParagraph"/>
                              <w:rPr>
                                <w:rFonts w:ascii="Times New Roman"/>
                                <w:sz w:val="16"/>
                              </w:rPr>
                            </w:pPr>
                          </w:p>
                        </w:tc>
                      </w:tr>
                    </w:tbl>
                    <w:p>
                      <w:pPr>
                        <w:pStyle w:val="BodyText"/>
                      </w:pPr>
                    </w:p>
                  </w:txbxContent>
                </v:textbox>
                <w10:wrap type="none"/>
              </v:shape>
            </w:pict>
          </mc:Fallback>
        </mc:AlternateContent>
      </w:r>
      <w:r>
        <w:rPr>
          <w:rFonts w:ascii="Arial Narrow" w:hAnsi="Arial Narrow"/>
          <w:sz w:val="16"/>
        </w:rPr>
        <w:t>bus,</w:t>
      </w:r>
      <w:r>
        <w:rPr>
          <w:rFonts w:ascii="Arial Narrow" w:hAnsi="Arial Narrow"/>
          <w:spacing w:val="-6"/>
          <w:sz w:val="16"/>
        </w:rPr>
        <w:t> </w:t>
      </w:r>
      <w:r>
        <w:rPr>
          <w:rFonts w:ascii="Arial Narrow" w:hAnsi="Arial Narrow"/>
          <w:sz w:val="16"/>
        </w:rPr>
        <w:t>así</w:t>
      </w:r>
      <w:r>
        <w:rPr>
          <w:rFonts w:ascii="Arial Narrow" w:hAnsi="Arial Narrow"/>
          <w:spacing w:val="-6"/>
          <w:sz w:val="16"/>
        </w:rPr>
        <w:t> </w:t>
      </w:r>
      <w:r>
        <w:rPr>
          <w:rFonts w:ascii="Arial Narrow" w:hAnsi="Arial Narrow"/>
          <w:sz w:val="16"/>
        </w:rPr>
        <w:t>como</w:t>
      </w:r>
      <w:r>
        <w:rPr>
          <w:rFonts w:ascii="Arial Narrow" w:hAnsi="Arial Narrow"/>
          <w:spacing w:val="-4"/>
          <w:sz w:val="16"/>
        </w:rPr>
        <w:t> </w:t>
      </w:r>
      <w:r>
        <w:rPr>
          <w:rFonts w:ascii="Arial Narrow" w:hAnsi="Arial Narrow"/>
          <w:sz w:val="16"/>
        </w:rPr>
        <w:t>implantación</w:t>
      </w:r>
      <w:r>
        <w:rPr>
          <w:rFonts w:ascii="Arial Narrow" w:hAnsi="Arial Narrow"/>
          <w:spacing w:val="-5"/>
          <w:sz w:val="16"/>
        </w:rPr>
        <w:t> de</w:t>
      </w:r>
    </w:p>
    <w:p>
      <w:pPr>
        <w:pStyle w:val="BodyText"/>
        <w:rPr>
          <w:rFonts w:ascii="Arial Narrow"/>
          <w:sz w:val="16"/>
        </w:rPr>
      </w:pPr>
    </w:p>
    <w:p>
      <w:pPr>
        <w:pStyle w:val="BodyText"/>
        <w:spacing w:before="11"/>
        <w:rPr>
          <w:rFonts w:ascii="Arial Narrow"/>
          <w:sz w:val="16"/>
        </w:rPr>
      </w:pPr>
    </w:p>
    <w:p>
      <w:pPr>
        <w:spacing w:before="0"/>
        <w:ind w:left="2067" w:right="0" w:firstLine="0"/>
        <w:jc w:val="left"/>
        <w:rPr>
          <w:rFonts w:ascii="Arial Narrow" w:hAnsi="Arial Narrow"/>
          <w:sz w:val="16"/>
        </w:rPr>
      </w:pPr>
      <w:r>
        <w:rPr>
          <w:rFonts w:ascii="Arial Narrow" w:hAnsi="Arial Narrow"/>
          <w:sz w:val="16"/>
        </w:rPr>
        <w:t>implantación</w:t>
      </w:r>
      <w:r>
        <w:rPr>
          <w:rFonts w:ascii="Arial Narrow" w:hAnsi="Arial Narrow"/>
          <w:spacing w:val="-8"/>
          <w:sz w:val="16"/>
        </w:rPr>
        <w:t> </w:t>
      </w:r>
      <w:r>
        <w:rPr>
          <w:rFonts w:ascii="Arial Narrow" w:hAnsi="Arial Narrow"/>
          <w:spacing w:val="-5"/>
          <w:sz w:val="16"/>
        </w:rPr>
        <w:t>BTR</w:t>
      </w:r>
    </w:p>
    <w:p>
      <w:pPr>
        <w:pStyle w:val="BodyText"/>
        <w:rPr>
          <w:rFonts w:ascii="Arial Narrow"/>
          <w:sz w:val="16"/>
        </w:rPr>
      </w:pPr>
    </w:p>
    <w:p>
      <w:pPr>
        <w:pStyle w:val="BodyText"/>
        <w:spacing w:before="160"/>
        <w:rPr>
          <w:rFonts w:ascii="Arial Narrow"/>
          <w:sz w:val="16"/>
        </w:rPr>
      </w:pPr>
    </w:p>
    <w:p>
      <w:pPr>
        <w:spacing w:line="491" w:lineRule="auto" w:before="0"/>
        <w:ind w:left="2067" w:right="8670" w:firstLine="0"/>
        <w:jc w:val="left"/>
        <w:rPr>
          <w:rFonts w:ascii="Arial Narrow"/>
          <w:sz w:val="16"/>
        </w:rPr>
      </w:pPr>
      <w:r>
        <w:rPr>
          <w:rFonts w:ascii="Arial Narrow"/>
          <w:spacing w:val="-2"/>
          <w:sz w:val="16"/>
        </w:rPr>
        <w:t>ligero</w:t>
      </w:r>
      <w:r>
        <w:rPr>
          <w:rFonts w:ascii="Arial Narrow"/>
          <w:spacing w:val="40"/>
          <w:sz w:val="16"/>
        </w:rPr>
        <w:t> </w:t>
      </w:r>
      <w:r>
        <w:rPr>
          <w:rFonts w:ascii="Arial Narrow"/>
          <w:spacing w:val="-2"/>
          <w:sz w:val="16"/>
        </w:rPr>
        <w:t>segregado</w:t>
      </w:r>
      <w:r>
        <w:rPr>
          <w:rFonts w:ascii="Arial Narrow"/>
          <w:spacing w:val="40"/>
          <w:sz w:val="16"/>
        </w:rPr>
        <w:t> </w:t>
      </w:r>
      <w:r>
        <w:rPr>
          <w:rFonts w:ascii="Arial Narrow"/>
          <w:spacing w:val="-2"/>
          <w:sz w:val="16"/>
        </w:rPr>
        <w:t>ligero</w:t>
      </w:r>
    </w:p>
    <w:p>
      <w:pPr>
        <w:pStyle w:val="BodyText"/>
        <w:rPr>
          <w:rFonts w:ascii="Arial Narrow"/>
          <w:sz w:val="16"/>
        </w:rPr>
      </w:pPr>
    </w:p>
    <w:p>
      <w:pPr>
        <w:pStyle w:val="BodyText"/>
        <w:rPr>
          <w:rFonts w:ascii="Arial Narrow"/>
          <w:sz w:val="16"/>
        </w:rPr>
      </w:pPr>
    </w:p>
    <w:p>
      <w:pPr>
        <w:pStyle w:val="BodyText"/>
        <w:rPr>
          <w:rFonts w:ascii="Arial Narrow"/>
          <w:sz w:val="16"/>
        </w:rPr>
      </w:pPr>
    </w:p>
    <w:p>
      <w:pPr>
        <w:pStyle w:val="BodyText"/>
        <w:spacing w:before="26"/>
        <w:rPr>
          <w:rFonts w:ascii="Arial Narrow"/>
          <w:sz w:val="16"/>
        </w:rPr>
      </w:pPr>
    </w:p>
    <w:p>
      <w:pPr>
        <w:spacing w:line="264" w:lineRule="auto" w:before="0"/>
        <w:ind w:left="797" w:right="4975" w:firstLine="0"/>
        <w:jc w:val="left"/>
        <w:rPr>
          <w:rFonts w:ascii="Arial Narrow" w:hAnsi="Arial Narrow"/>
          <w:sz w:val="18"/>
        </w:rPr>
      </w:pPr>
      <w:r>
        <w:rPr>
          <w:rFonts w:ascii="Arial Narrow" w:hAnsi="Arial Narrow"/>
          <w:sz w:val="18"/>
        </w:rPr>
        <w:t>Fuente:</w:t>
      </w:r>
      <w:r>
        <w:rPr>
          <w:rFonts w:ascii="Arial Narrow" w:hAnsi="Arial Narrow"/>
          <w:spacing w:val="-4"/>
          <w:sz w:val="18"/>
        </w:rPr>
        <w:t> </w:t>
      </w:r>
      <w:r>
        <w:rPr>
          <w:rFonts w:ascii="Arial Narrow" w:hAnsi="Arial Narrow"/>
          <w:sz w:val="18"/>
        </w:rPr>
        <w:t>Elaboración</w:t>
      </w:r>
      <w:r>
        <w:rPr>
          <w:rFonts w:ascii="Arial Narrow" w:hAnsi="Arial Narrow"/>
          <w:spacing w:val="-4"/>
          <w:sz w:val="18"/>
        </w:rPr>
        <w:t> </w:t>
      </w:r>
      <w:r>
        <w:rPr>
          <w:rFonts w:ascii="Arial Narrow" w:hAnsi="Arial Narrow"/>
          <w:sz w:val="18"/>
        </w:rPr>
        <w:t>propia</w:t>
      </w:r>
      <w:r>
        <w:rPr>
          <w:rFonts w:ascii="Arial Narrow" w:hAnsi="Arial Narrow"/>
          <w:spacing w:val="-4"/>
          <w:sz w:val="18"/>
        </w:rPr>
        <w:t> </w:t>
      </w:r>
      <w:r>
        <w:rPr>
          <w:rFonts w:ascii="Arial Narrow" w:hAnsi="Arial Narrow"/>
          <w:sz w:val="18"/>
        </w:rPr>
        <w:t>a</w:t>
      </w:r>
      <w:r>
        <w:rPr>
          <w:rFonts w:ascii="Arial Narrow" w:hAnsi="Arial Narrow"/>
          <w:spacing w:val="-4"/>
          <w:sz w:val="18"/>
        </w:rPr>
        <w:t> </w:t>
      </w:r>
      <w:r>
        <w:rPr>
          <w:rFonts w:ascii="Arial Narrow" w:hAnsi="Arial Narrow"/>
          <w:sz w:val="18"/>
        </w:rPr>
        <w:t>partir</w:t>
      </w:r>
      <w:r>
        <w:rPr>
          <w:rFonts w:ascii="Arial Narrow" w:hAnsi="Arial Narrow"/>
          <w:spacing w:val="-2"/>
          <w:sz w:val="18"/>
        </w:rPr>
        <w:t> </w:t>
      </w:r>
      <w:r>
        <w:rPr>
          <w:rFonts w:ascii="Arial Narrow" w:hAnsi="Arial Narrow"/>
          <w:sz w:val="18"/>
        </w:rPr>
        <w:t>de</w:t>
      </w:r>
      <w:r>
        <w:rPr>
          <w:rFonts w:ascii="Arial Narrow" w:hAnsi="Arial Narrow"/>
          <w:spacing w:val="-4"/>
          <w:sz w:val="18"/>
        </w:rPr>
        <w:t> </w:t>
      </w:r>
      <w:r>
        <w:rPr>
          <w:rFonts w:ascii="Arial Narrow" w:hAnsi="Arial Narrow"/>
          <w:sz w:val="18"/>
        </w:rPr>
        <w:t>los</w:t>
      </w:r>
      <w:r>
        <w:rPr>
          <w:rFonts w:ascii="Arial Narrow" w:hAnsi="Arial Narrow"/>
          <w:spacing w:val="-4"/>
          <w:sz w:val="18"/>
        </w:rPr>
        <w:t> </w:t>
      </w:r>
      <w:r>
        <w:rPr>
          <w:rFonts w:ascii="Arial Narrow" w:hAnsi="Arial Narrow"/>
          <w:sz w:val="18"/>
        </w:rPr>
        <w:t>datos</w:t>
      </w:r>
      <w:r>
        <w:rPr>
          <w:rFonts w:ascii="Arial Narrow" w:hAnsi="Arial Narrow"/>
          <w:spacing w:val="-2"/>
          <w:sz w:val="18"/>
        </w:rPr>
        <w:t> </w:t>
      </w:r>
      <w:r>
        <w:rPr>
          <w:rFonts w:ascii="Arial Narrow" w:hAnsi="Arial Narrow"/>
          <w:sz w:val="18"/>
        </w:rPr>
        <w:t>facilitados</w:t>
      </w:r>
      <w:r>
        <w:rPr>
          <w:rFonts w:ascii="Arial Narrow" w:hAnsi="Arial Narrow"/>
          <w:spacing w:val="-3"/>
          <w:sz w:val="18"/>
        </w:rPr>
        <w:t> </w:t>
      </w:r>
      <w:r>
        <w:rPr>
          <w:rFonts w:ascii="Arial Narrow" w:hAnsi="Arial Narrow"/>
          <w:sz w:val="18"/>
        </w:rPr>
        <w:t>por</w:t>
      </w:r>
      <w:r>
        <w:rPr>
          <w:rFonts w:ascii="Arial Narrow" w:hAnsi="Arial Narrow"/>
          <w:spacing w:val="-2"/>
          <w:sz w:val="18"/>
        </w:rPr>
        <w:t> </w:t>
      </w:r>
      <w:r>
        <w:rPr>
          <w:rFonts w:ascii="Arial Narrow" w:hAnsi="Arial Narrow"/>
          <w:sz w:val="18"/>
        </w:rPr>
        <w:t>las</w:t>
      </w:r>
      <w:r>
        <w:rPr>
          <w:rFonts w:ascii="Arial Narrow" w:hAnsi="Arial Narrow"/>
          <w:spacing w:val="-4"/>
          <w:sz w:val="18"/>
        </w:rPr>
        <w:t> </w:t>
      </w:r>
      <w:r>
        <w:rPr>
          <w:rFonts w:ascii="Arial Narrow" w:hAnsi="Arial Narrow"/>
          <w:sz w:val="18"/>
        </w:rPr>
        <w:t>entidades</w:t>
      </w:r>
      <w:r>
        <w:rPr>
          <w:rFonts w:ascii="Arial Narrow" w:hAnsi="Arial Narrow"/>
          <w:spacing w:val="-4"/>
          <w:sz w:val="18"/>
        </w:rPr>
        <w:t> </w:t>
      </w:r>
      <w:r>
        <w:rPr>
          <w:rFonts w:ascii="Arial Narrow" w:hAnsi="Arial Narrow"/>
          <w:sz w:val="18"/>
        </w:rPr>
        <w:t>fiscalizadas P: Prórroga, M: Modificaciones, S: Suspensión, R: Resolución</w:t>
      </w:r>
    </w:p>
    <w:p>
      <w:pPr>
        <w:spacing w:after="0" w:line="264" w:lineRule="auto"/>
        <w:jc w:val="left"/>
        <w:rPr>
          <w:rFonts w:ascii="Arial Narrow" w:hAnsi="Arial Narrow"/>
          <w:sz w:val="18"/>
        </w:rPr>
        <w:sectPr>
          <w:type w:val="continuous"/>
          <w:pgSz w:w="11910" w:h="16840"/>
          <w:pgMar w:header="1227" w:footer="839" w:top="1680" w:bottom="280" w:left="141" w:right="141"/>
        </w:sectPr>
      </w:pPr>
    </w:p>
    <w:p>
      <w:pPr>
        <w:pStyle w:val="BodyText"/>
        <w:rPr>
          <w:rFonts w:ascii="Arial Narrow"/>
        </w:rPr>
      </w:pPr>
    </w:p>
    <w:p>
      <w:pPr>
        <w:pStyle w:val="BodyText"/>
        <w:rPr>
          <w:rFonts w:ascii="Arial Narrow"/>
        </w:rPr>
      </w:pPr>
    </w:p>
    <w:p>
      <w:pPr>
        <w:pStyle w:val="BodyText"/>
        <w:rPr>
          <w:rFonts w:ascii="Arial Narrow"/>
        </w:rPr>
      </w:pPr>
    </w:p>
    <w:p>
      <w:pPr>
        <w:pStyle w:val="BodyText"/>
        <w:spacing w:before="114"/>
        <w:rPr>
          <w:rFonts w:ascii="Arial Narrow"/>
        </w:rPr>
      </w:pPr>
    </w:p>
    <w:p>
      <w:pPr>
        <w:pStyle w:val="BodyText"/>
        <w:ind w:left="992" w:right="988"/>
        <w:jc w:val="both"/>
      </w:pPr>
      <w:r>
        <w:rPr/>
        <w:t>El </w:t>
      </w:r>
      <w:r>
        <w:rPr>
          <w:b/>
        </w:rPr>
        <w:t>Ayuntamiento de Bilbao </w:t>
      </w:r>
      <w:r>
        <w:rPr/>
        <w:t>ha realizado obras para la mejora de las paradas de autobús con objeto, entre otros, de mejorar su accesibilidad. Para llevar a cabo esta actuación, la entidad ha suscrito dos contratos, uno en marzo de 2023 por importe de 329.391,79 euros, IVA no incluido, y otro en mayo de 2024 por importe de 164.051,80 euros, sin IVA. El primero de los contratos tenía un plazo de ejecución de cinco meses y el segundo de tres. Ambos concluyeron con una demora de un mes.</w:t>
      </w:r>
    </w:p>
    <w:p>
      <w:pPr>
        <w:pStyle w:val="BodyText"/>
        <w:spacing w:before="122"/>
        <w:ind w:left="992" w:right="985"/>
        <w:jc w:val="both"/>
      </w:pPr>
      <w:r>
        <w:rPr/>
        <w:t>El </w:t>
      </w:r>
      <w:r>
        <w:rPr>
          <w:b/>
        </w:rPr>
        <w:t>Ayuntamiento de Córdoba </w:t>
      </w:r>
      <w:r>
        <w:rPr/>
        <w:t>ejecutó algunas obras menores relacionadas con el transporte público colectivo, por importe conjunto de 17.303,62 euros, sin IVA. Una de ellas consistió en la instalación de pavimento podotáctil en tres paradas de autobús, con el fin de facilitar el acceso a personas</w:t>
      </w:r>
      <w:r>
        <w:rPr>
          <w:spacing w:val="-2"/>
        </w:rPr>
        <w:t> </w:t>
      </w:r>
      <w:r>
        <w:rPr/>
        <w:t>con</w:t>
      </w:r>
      <w:r>
        <w:rPr>
          <w:spacing w:val="-2"/>
        </w:rPr>
        <w:t> </w:t>
      </w:r>
      <w:r>
        <w:rPr/>
        <w:t>discapacidad al</w:t>
      </w:r>
      <w:r>
        <w:rPr>
          <w:spacing w:val="-3"/>
        </w:rPr>
        <w:t> </w:t>
      </w:r>
      <w:r>
        <w:rPr/>
        <w:t>transporte</w:t>
      </w:r>
      <w:r>
        <w:rPr>
          <w:spacing w:val="-2"/>
        </w:rPr>
        <w:t> </w:t>
      </w:r>
      <w:r>
        <w:rPr/>
        <w:t>público.</w:t>
      </w:r>
      <w:r>
        <w:rPr>
          <w:spacing w:val="-3"/>
        </w:rPr>
        <w:t> </w:t>
      </w:r>
      <w:r>
        <w:rPr/>
        <w:t>Se trata una</w:t>
      </w:r>
      <w:r>
        <w:rPr>
          <w:spacing w:val="-2"/>
        </w:rPr>
        <w:t> </w:t>
      </w:r>
      <w:r>
        <w:rPr/>
        <w:t>superficie con relieve diseñada</w:t>
      </w:r>
      <w:r>
        <w:rPr>
          <w:spacing w:val="-2"/>
        </w:rPr>
        <w:t> </w:t>
      </w:r>
      <w:r>
        <w:rPr/>
        <w:t>para guiar y advertir a personas con discapacidad visual, permitiéndoles identificar zonas de peligro y orientarse de manera segura hacia la parada. La otra actuación, gestionada por la empresa municipal</w:t>
      </w:r>
      <w:r>
        <w:rPr>
          <w:spacing w:val="-8"/>
        </w:rPr>
        <w:t> </w:t>
      </w:r>
      <w:r>
        <w:rPr/>
        <w:t>de</w:t>
      </w:r>
      <w:r>
        <w:rPr>
          <w:spacing w:val="-9"/>
        </w:rPr>
        <w:t> </w:t>
      </w:r>
      <w:r>
        <w:rPr/>
        <w:t>transporte</w:t>
      </w:r>
      <w:r>
        <w:rPr>
          <w:spacing w:val="-9"/>
        </w:rPr>
        <w:t> </w:t>
      </w:r>
      <w:r>
        <w:rPr/>
        <w:t>público,</w:t>
      </w:r>
      <w:r>
        <w:rPr>
          <w:spacing w:val="-6"/>
        </w:rPr>
        <w:t> </w:t>
      </w:r>
      <w:r>
        <w:rPr/>
        <w:t>consistió</w:t>
      </w:r>
      <w:r>
        <w:rPr>
          <w:spacing w:val="-7"/>
        </w:rPr>
        <w:t> </w:t>
      </w:r>
      <w:r>
        <w:rPr/>
        <w:t>en</w:t>
      </w:r>
      <w:r>
        <w:rPr>
          <w:spacing w:val="-9"/>
        </w:rPr>
        <w:t> </w:t>
      </w:r>
      <w:r>
        <w:rPr/>
        <w:t>la</w:t>
      </w:r>
      <w:r>
        <w:rPr>
          <w:spacing w:val="-9"/>
        </w:rPr>
        <w:t> </w:t>
      </w:r>
      <w:r>
        <w:rPr/>
        <w:t>instalación</w:t>
      </w:r>
      <w:r>
        <w:rPr>
          <w:spacing w:val="-8"/>
        </w:rPr>
        <w:t> </w:t>
      </w:r>
      <w:r>
        <w:rPr/>
        <w:t>de</w:t>
      </w:r>
      <w:r>
        <w:rPr>
          <w:spacing w:val="-11"/>
        </w:rPr>
        <w:t> </w:t>
      </w:r>
      <w:r>
        <w:rPr/>
        <w:t>marquesinas</w:t>
      </w:r>
      <w:r>
        <w:rPr>
          <w:spacing w:val="-11"/>
        </w:rPr>
        <w:t> </w:t>
      </w:r>
      <w:r>
        <w:rPr/>
        <w:t>en</w:t>
      </w:r>
      <w:r>
        <w:rPr>
          <w:spacing w:val="-8"/>
        </w:rPr>
        <w:t> </w:t>
      </w:r>
      <w:r>
        <w:rPr/>
        <w:t>barriadas</w:t>
      </w:r>
      <w:r>
        <w:rPr>
          <w:spacing w:val="-9"/>
        </w:rPr>
        <w:t> </w:t>
      </w:r>
      <w:r>
        <w:rPr/>
        <w:t>periféricas.</w:t>
      </w:r>
    </w:p>
    <w:p>
      <w:pPr>
        <w:pStyle w:val="BodyText"/>
        <w:spacing w:before="240"/>
        <w:ind w:left="992" w:right="986"/>
        <w:jc w:val="both"/>
      </w:pPr>
      <w:r>
        <w:rPr/>
        <w:t>Todas las obras ejecutadas por el </w:t>
      </w:r>
      <w:r>
        <w:rPr>
          <w:b/>
        </w:rPr>
        <w:t>Ayuntamiento de Las Palmas de Gran Canaria </w:t>
      </w:r>
      <w:r>
        <w:rPr/>
        <w:t>y la sociedad municipal de transportes pertenecen al proyecto denominado MetroGuagua, por importe conjunto de 34.544.516,48 euros, sin IGIC (Impuesto General Indirecto Canario). El PMUS de la entidad establecía el</w:t>
      </w:r>
      <w:r>
        <w:rPr>
          <w:spacing w:val="-1"/>
        </w:rPr>
        <w:t> </w:t>
      </w:r>
      <w:r>
        <w:rPr/>
        <w:t>sistema</w:t>
      </w:r>
      <w:r>
        <w:rPr>
          <w:spacing w:val="-1"/>
        </w:rPr>
        <w:t> </w:t>
      </w:r>
      <w:r>
        <w:rPr/>
        <w:t>de</w:t>
      </w:r>
      <w:r>
        <w:rPr>
          <w:spacing w:val="-2"/>
        </w:rPr>
        <w:t> </w:t>
      </w:r>
      <w:r>
        <w:rPr/>
        <w:t>transporte de</w:t>
      </w:r>
      <w:r>
        <w:rPr>
          <w:spacing w:val="-2"/>
        </w:rPr>
        <w:t> </w:t>
      </w:r>
      <w:r>
        <w:rPr/>
        <w:t>alta capacidad mediante guaguas como pieza estructurante en la configuración del sistema de movilidad para el futuro a corto y medio plazo de la ciudad. En ejecución de esta previsión, la sociedad municipal y el Ayuntamiento idearon el proyecto MetroGuagua</w:t>
      </w:r>
      <w:hyperlink w:history="true" w:anchor="_bookmark61">
        <w:r>
          <w:rPr>
            <w:vertAlign w:val="superscript"/>
          </w:rPr>
          <w:t>35</w:t>
        </w:r>
        <w:r>
          <w:rPr>
            <w:vertAlign w:val="baseline"/>
          </w:rPr>
          <w:t>,</w:t>
        </w:r>
      </w:hyperlink>
      <w:r>
        <w:rPr>
          <w:vertAlign w:val="baseline"/>
        </w:rPr>
        <w:t> con guaguas articuladas, carriles exclusivos y una frecuencia de paso de cuatro minutos.</w:t>
      </w:r>
      <w:r>
        <w:rPr>
          <w:spacing w:val="-15"/>
          <w:vertAlign w:val="baseline"/>
        </w:rPr>
        <w:t> </w:t>
      </w:r>
      <w:r>
        <w:rPr>
          <w:vertAlign w:val="baseline"/>
        </w:rPr>
        <w:t>El</w:t>
      </w:r>
      <w:r>
        <w:rPr>
          <w:spacing w:val="-13"/>
          <w:vertAlign w:val="baseline"/>
        </w:rPr>
        <w:t> </w:t>
      </w:r>
      <w:r>
        <w:rPr>
          <w:vertAlign w:val="baseline"/>
        </w:rPr>
        <w:t>20</w:t>
      </w:r>
      <w:r>
        <w:rPr>
          <w:spacing w:val="-15"/>
          <w:vertAlign w:val="baseline"/>
        </w:rPr>
        <w:t> </w:t>
      </w:r>
      <w:r>
        <w:rPr>
          <w:vertAlign w:val="baseline"/>
        </w:rPr>
        <w:t>de</w:t>
      </w:r>
      <w:r>
        <w:rPr>
          <w:spacing w:val="-13"/>
          <w:vertAlign w:val="baseline"/>
        </w:rPr>
        <w:t> </w:t>
      </w:r>
      <w:r>
        <w:rPr>
          <w:vertAlign w:val="baseline"/>
        </w:rPr>
        <w:t>enero</w:t>
      </w:r>
      <w:r>
        <w:rPr>
          <w:spacing w:val="-15"/>
          <w:vertAlign w:val="baseline"/>
        </w:rPr>
        <w:t> </w:t>
      </w:r>
      <w:r>
        <w:rPr>
          <w:vertAlign w:val="baseline"/>
        </w:rPr>
        <w:t>de</w:t>
      </w:r>
      <w:r>
        <w:rPr>
          <w:spacing w:val="-13"/>
          <w:vertAlign w:val="baseline"/>
        </w:rPr>
        <w:t> </w:t>
      </w:r>
      <w:r>
        <w:rPr>
          <w:vertAlign w:val="baseline"/>
        </w:rPr>
        <w:t>2017</w:t>
      </w:r>
      <w:r>
        <w:rPr>
          <w:spacing w:val="-13"/>
          <w:vertAlign w:val="baseline"/>
        </w:rPr>
        <w:t> </w:t>
      </w:r>
      <w:r>
        <w:rPr>
          <w:vertAlign w:val="baseline"/>
        </w:rPr>
        <w:t>se</w:t>
      </w:r>
      <w:r>
        <w:rPr>
          <w:spacing w:val="-16"/>
          <w:vertAlign w:val="baseline"/>
        </w:rPr>
        <w:t> </w:t>
      </w:r>
      <w:r>
        <w:rPr>
          <w:vertAlign w:val="baseline"/>
        </w:rPr>
        <w:t>firmó</w:t>
      </w:r>
      <w:r>
        <w:rPr>
          <w:spacing w:val="-15"/>
          <w:vertAlign w:val="baseline"/>
        </w:rPr>
        <w:t> </w:t>
      </w:r>
      <w:r>
        <w:rPr>
          <w:vertAlign w:val="baseline"/>
        </w:rPr>
        <w:t>el</w:t>
      </w:r>
      <w:r>
        <w:rPr>
          <w:spacing w:val="-14"/>
          <w:vertAlign w:val="baseline"/>
        </w:rPr>
        <w:t> </w:t>
      </w:r>
      <w:r>
        <w:rPr>
          <w:vertAlign w:val="baseline"/>
        </w:rPr>
        <w:t>Protocolo</w:t>
      </w:r>
      <w:r>
        <w:rPr>
          <w:spacing w:val="-13"/>
          <w:vertAlign w:val="baseline"/>
        </w:rPr>
        <w:t> </w:t>
      </w:r>
      <w:r>
        <w:rPr>
          <w:vertAlign w:val="baseline"/>
        </w:rPr>
        <w:t>General</w:t>
      </w:r>
      <w:r>
        <w:rPr>
          <w:spacing w:val="-16"/>
          <w:vertAlign w:val="baseline"/>
        </w:rPr>
        <w:t> </w:t>
      </w:r>
      <w:r>
        <w:rPr>
          <w:vertAlign w:val="baseline"/>
        </w:rPr>
        <w:t>de</w:t>
      </w:r>
      <w:r>
        <w:rPr>
          <w:spacing w:val="-13"/>
          <w:vertAlign w:val="baseline"/>
        </w:rPr>
        <w:t> </w:t>
      </w:r>
      <w:r>
        <w:rPr>
          <w:vertAlign w:val="baseline"/>
        </w:rPr>
        <w:t>intenciones</w:t>
      </w:r>
      <w:r>
        <w:rPr>
          <w:spacing w:val="-13"/>
          <w:vertAlign w:val="baseline"/>
        </w:rPr>
        <w:t> </w:t>
      </w:r>
      <w:r>
        <w:rPr>
          <w:vertAlign w:val="baseline"/>
        </w:rPr>
        <w:t>entre</w:t>
      </w:r>
      <w:r>
        <w:rPr>
          <w:spacing w:val="-13"/>
          <w:vertAlign w:val="baseline"/>
        </w:rPr>
        <w:t> </w:t>
      </w:r>
      <w:r>
        <w:rPr>
          <w:vertAlign w:val="baseline"/>
        </w:rPr>
        <w:t>el</w:t>
      </w:r>
      <w:r>
        <w:rPr>
          <w:spacing w:val="-16"/>
          <w:vertAlign w:val="baseline"/>
        </w:rPr>
        <w:t> </w:t>
      </w:r>
      <w:r>
        <w:rPr>
          <w:vertAlign w:val="baseline"/>
        </w:rPr>
        <w:t>Ayuntamiento, el Cabildo de Gran Canaria y el Gobierno de Canarias para la financiación y ejecución de este </w:t>
      </w:r>
      <w:r>
        <w:rPr>
          <w:spacing w:val="-2"/>
          <w:vertAlign w:val="baseline"/>
        </w:rPr>
        <w:t>proyecto.</w:t>
      </w:r>
    </w:p>
    <w:p>
      <w:pPr>
        <w:pStyle w:val="BodyText"/>
        <w:spacing w:before="241"/>
        <w:ind w:left="992" w:right="988"/>
        <w:jc w:val="both"/>
      </w:pPr>
      <w:r>
        <w:rPr/>
        <w:t>El proyecto está compuesto por ocho tramos de obra civil más las actuaciones referidas a estaciones y terminales, la adquisición de material móvil, las inversiones en tecnología de la información y comunicaciones que se requieren para el correcto funcionamiento del sistema de transporte,</w:t>
      </w:r>
      <w:r>
        <w:rPr>
          <w:spacing w:val="-5"/>
        </w:rPr>
        <w:t> </w:t>
      </w:r>
      <w:r>
        <w:rPr/>
        <w:t>además</w:t>
      </w:r>
      <w:r>
        <w:rPr>
          <w:spacing w:val="-10"/>
        </w:rPr>
        <w:t> </w:t>
      </w:r>
      <w:r>
        <w:rPr/>
        <w:t>de</w:t>
      </w:r>
      <w:r>
        <w:rPr>
          <w:spacing w:val="-7"/>
        </w:rPr>
        <w:t> </w:t>
      </w:r>
      <w:r>
        <w:rPr/>
        <w:t>inversiones</w:t>
      </w:r>
      <w:r>
        <w:rPr>
          <w:spacing w:val="-7"/>
        </w:rPr>
        <w:t> </w:t>
      </w:r>
      <w:r>
        <w:rPr/>
        <w:t>para</w:t>
      </w:r>
      <w:r>
        <w:rPr>
          <w:spacing w:val="-7"/>
        </w:rPr>
        <w:t> </w:t>
      </w:r>
      <w:r>
        <w:rPr/>
        <w:t>publicitar</w:t>
      </w:r>
      <w:r>
        <w:rPr>
          <w:spacing w:val="-11"/>
        </w:rPr>
        <w:t> </w:t>
      </w:r>
      <w:r>
        <w:rPr/>
        <w:t>el</w:t>
      </w:r>
      <w:r>
        <w:rPr>
          <w:spacing w:val="-8"/>
        </w:rPr>
        <w:t> </w:t>
      </w:r>
      <w:r>
        <w:rPr/>
        <w:t>proyecto.</w:t>
      </w:r>
      <w:r>
        <w:rPr>
          <w:spacing w:val="-6"/>
        </w:rPr>
        <w:t> </w:t>
      </w:r>
      <w:r>
        <w:rPr/>
        <w:t>Este</w:t>
      </w:r>
      <w:r>
        <w:rPr>
          <w:spacing w:val="-7"/>
        </w:rPr>
        <w:t> </w:t>
      </w:r>
      <w:r>
        <w:rPr/>
        <w:t>proyecto</w:t>
      </w:r>
      <w:r>
        <w:rPr>
          <w:spacing w:val="-6"/>
        </w:rPr>
        <w:t> </w:t>
      </w:r>
      <w:r>
        <w:rPr/>
        <w:t>estaba</w:t>
      </w:r>
      <w:r>
        <w:rPr>
          <w:spacing w:val="-10"/>
        </w:rPr>
        <w:t> </w:t>
      </w:r>
      <w:r>
        <w:rPr/>
        <w:t>previsto</w:t>
      </w:r>
      <w:r>
        <w:rPr>
          <w:spacing w:val="-7"/>
        </w:rPr>
        <w:t> </w:t>
      </w:r>
      <w:r>
        <w:rPr/>
        <w:t>que</w:t>
      </w:r>
      <w:r>
        <w:rPr>
          <w:spacing w:val="-10"/>
        </w:rPr>
        <w:t> </w:t>
      </w:r>
      <w:r>
        <w:rPr/>
        <w:t>se ejecutara entre 2017 y 2021, con un presupuesto inicial de 102.320.000,00 euros </w:t>
      </w:r>
      <w:r>
        <w:rPr>
          <w:rFonts w:ascii="Symbol" w:hAnsi="Symbol"/>
        </w:rPr>
        <w:t></w:t>
      </w:r>
      <w:r>
        <w:rPr/>
        <w:t>obras por 78.260.000,00 euros, así como material móvil y tecnología de la información y comunicaciones, campañas</w:t>
      </w:r>
      <w:r>
        <w:rPr>
          <w:spacing w:val="-6"/>
        </w:rPr>
        <w:t> </w:t>
      </w:r>
      <w:r>
        <w:rPr/>
        <w:t>de</w:t>
      </w:r>
      <w:r>
        <w:rPr>
          <w:spacing w:val="-7"/>
        </w:rPr>
        <w:t> </w:t>
      </w:r>
      <w:r>
        <w:rPr/>
        <w:t>publicidad,</w:t>
      </w:r>
      <w:r>
        <w:rPr>
          <w:spacing w:val="-3"/>
        </w:rPr>
        <w:t> </w:t>
      </w:r>
      <w:r>
        <w:rPr/>
        <w:t>redacción</w:t>
      </w:r>
      <w:r>
        <w:rPr>
          <w:spacing w:val="-4"/>
        </w:rPr>
        <w:t> </w:t>
      </w:r>
      <w:r>
        <w:rPr/>
        <w:t>de</w:t>
      </w:r>
      <w:r>
        <w:rPr>
          <w:spacing w:val="-7"/>
        </w:rPr>
        <w:t> </w:t>
      </w:r>
      <w:r>
        <w:rPr/>
        <w:t>proyectos</w:t>
      </w:r>
      <w:r>
        <w:rPr>
          <w:spacing w:val="-9"/>
        </w:rPr>
        <w:t> </w:t>
      </w:r>
      <w:r>
        <w:rPr/>
        <w:t>y</w:t>
      </w:r>
      <w:r>
        <w:rPr>
          <w:spacing w:val="-4"/>
        </w:rPr>
        <w:t> </w:t>
      </w:r>
      <w:r>
        <w:rPr/>
        <w:t>direcciones</w:t>
      </w:r>
      <w:r>
        <w:rPr>
          <w:spacing w:val="-6"/>
        </w:rPr>
        <w:t> </w:t>
      </w:r>
      <w:r>
        <w:rPr/>
        <w:t>de</w:t>
      </w:r>
      <w:r>
        <w:rPr>
          <w:spacing w:val="-7"/>
        </w:rPr>
        <w:t> </w:t>
      </w:r>
      <w:r>
        <w:rPr/>
        <w:t>obras</w:t>
      </w:r>
      <w:r>
        <w:rPr>
          <w:spacing w:val="-6"/>
        </w:rPr>
        <w:t> </w:t>
      </w:r>
      <w:r>
        <w:rPr/>
        <w:t>por</w:t>
      </w:r>
      <w:r>
        <w:rPr>
          <w:spacing w:val="-3"/>
        </w:rPr>
        <w:t> </w:t>
      </w:r>
      <w:r>
        <w:rPr/>
        <w:t>24.060.000,00</w:t>
      </w:r>
      <w:r>
        <w:rPr>
          <w:spacing w:val="-7"/>
        </w:rPr>
        <w:t> </w:t>
      </w:r>
      <w:r>
        <w:rPr/>
        <w:t>euros</w:t>
      </w:r>
      <w:r>
        <w:rPr>
          <w:rFonts w:ascii="Symbol" w:hAnsi="Symbol"/>
        </w:rPr>
        <w:t></w:t>
      </w:r>
      <w:r>
        <w:rPr/>
        <w:t>.</w:t>
      </w:r>
    </w:p>
    <w:p>
      <w:pPr>
        <w:pStyle w:val="BodyText"/>
        <w:spacing w:before="238"/>
        <w:ind w:left="992" w:right="988"/>
        <w:jc w:val="both"/>
      </w:pPr>
      <w:r>
        <w:rPr/>
        <w:t>Para su financiación la sociedad municipal concertó un préstamo con el Banco Europeo de Inversiones (BEI)</w:t>
      </w:r>
      <w:hyperlink w:history="true" w:anchor="_bookmark62">
        <w:r>
          <w:rPr>
            <w:vertAlign w:val="superscript"/>
          </w:rPr>
          <w:t>36</w:t>
        </w:r>
      </w:hyperlink>
      <w:r>
        <w:rPr>
          <w:vertAlign w:val="baseline"/>
        </w:rPr>
        <w:t> por importe de 50.000.000,00 euros, comprometiéndose el Ayuntamiento durante</w:t>
      </w:r>
      <w:r>
        <w:rPr>
          <w:spacing w:val="-1"/>
          <w:vertAlign w:val="baseline"/>
        </w:rPr>
        <w:t> </w:t>
      </w:r>
      <w:r>
        <w:rPr>
          <w:vertAlign w:val="baseline"/>
        </w:rPr>
        <w:t>la vigencia del</w:t>
      </w:r>
      <w:r>
        <w:rPr>
          <w:spacing w:val="-1"/>
          <w:vertAlign w:val="baseline"/>
        </w:rPr>
        <w:t> </w:t>
      </w:r>
      <w:r>
        <w:rPr>
          <w:vertAlign w:val="baseline"/>
        </w:rPr>
        <w:t>contrato de</w:t>
      </w:r>
      <w:r>
        <w:rPr>
          <w:spacing w:val="-1"/>
          <w:vertAlign w:val="baseline"/>
        </w:rPr>
        <w:t> </w:t>
      </w:r>
      <w:r>
        <w:rPr>
          <w:vertAlign w:val="baseline"/>
        </w:rPr>
        <w:t>préstamo a</w:t>
      </w:r>
      <w:r>
        <w:rPr>
          <w:spacing w:val="-3"/>
          <w:vertAlign w:val="baseline"/>
        </w:rPr>
        <w:t> </w:t>
      </w:r>
      <w:r>
        <w:rPr>
          <w:vertAlign w:val="baseline"/>
        </w:rPr>
        <w:t>mantener el control de</w:t>
      </w:r>
      <w:r>
        <w:rPr>
          <w:spacing w:val="-1"/>
          <w:vertAlign w:val="baseline"/>
        </w:rPr>
        <w:t> </w:t>
      </w:r>
      <w:r>
        <w:rPr>
          <w:vertAlign w:val="baseline"/>
        </w:rPr>
        <w:t>la sociedad municipal y</w:t>
      </w:r>
      <w:r>
        <w:rPr>
          <w:spacing w:val="-1"/>
          <w:vertAlign w:val="baseline"/>
        </w:rPr>
        <w:t> </w:t>
      </w:r>
      <w:r>
        <w:rPr>
          <w:vertAlign w:val="baseline"/>
        </w:rPr>
        <w:t>a no dejar de ser titular del 100 % de su capital social, así como a aportar a esa sociedad las subvenciones y aportaciones dinerarias necesarias para garantizar que esta contara con recursos</w:t>
      </w:r>
    </w:p>
    <w:p>
      <w:pPr>
        <w:pStyle w:val="BodyText"/>
        <w:spacing w:before="5"/>
        <w:rPr>
          <w:sz w:val="18"/>
        </w:rPr>
      </w:pPr>
      <w:r>
        <w:rPr>
          <w:sz w:val="18"/>
        </w:rPr>
        <mc:AlternateContent>
          <mc:Choice Requires="wps">
            <w:drawing>
              <wp:anchor distT="0" distB="0" distL="0" distR="0" allowOverlap="1" layoutInCell="1" locked="0" behindDoc="1" simplePos="0" relativeHeight="487608832">
                <wp:simplePos x="0" y="0"/>
                <wp:positionH relativeFrom="page">
                  <wp:posOffset>719632</wp:posOffset>
                </wp:positionH>
                <wp:positionV relativeFrom="paragraph">
                  <wp:posOffset>149923</wp:posOffset>
                </wp:positionV>
                <wp:extent cx="1829435" cy="9525"/>
                <wp:effectExtent l="0" t="0" r="0" b="0"/>
                <wp:wrapTopAndBottom/>
                <wp:docPr id="157" name="Graphic 157"/>
                <wp:cNvGraphicFramePr>
                  <a:graphicFrameLocks/>
                </wp:cNvGraphicFramePr>
                <a:graphic>
                  <a:graphicData uri="http://schemas.microsoft.com/office/word/2010/wordprocessingShape">
                    <wps:wsp>
                      <wps:cNvPr id="157" name="Graphic 157"/>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1.80499pt;width:144.020pt;height:.72003pt;mso-position-horizontal-relative:page;mso-position-vertical-relative:paragraph;z-index:-15707648;mso-wrap-distance-left:0;mso-wrap-distance-right:0" id="docshape139" filled="true" fillcolor="#000000" stroked="false">
                <v:fill type="solid"/>
                <w10:wrap type="topAndBottom"/>
              </v:rect>
            </w:pict>
          </mc:Fallback>
        </mc:AlternateContent>
      </w:r>
    </w:p>
    <w:p>
      <w:pPr>
        <w:spacing w:before="115"/>
        <w:ind w:left="992" w:right="990" w:firstLine="0"/>
        <w:jc w:val="both"/>
        <w:rPr>
          <w:sz w:val="18"/>
        </w:rPr>
      </w:pPr>
      <w:bookmarkStart w:name="_bookmark61" w:id="63"/>
      <w:bookmarkEnd w:id="63"/>
      <w:r>
        <w:rPr/>
      </w:r>
      <w:r>
        <w:rPr>
          <w:position w:val="6"/>
          <w:sz w:val="12"/>
        </w:rPr>
        <w:t>35</w:t>
      </w:r>
      <w:r>
        <w:rPr>
          <w:spacing w:val="40"/>
          <w:position w:val="6"/>
          <w:sz w:val="12"/>
        </w:rPr>
        <w:t> </w:t>
      </w:r>
      <w:r>
        <w:rPr>
          <w:sz w:val="18"/>
        </w:rPr>
        <w:t>Las características fundamentales del proyecto son: Carril segregado y exclusivo; prioridad semafórica en las intersecciones; estaciones y paradas confortables, seguras y protegidas de las inclemencias del tiempo; acceso a nivel entre</w:t>
      </w:r>
      <w:r>
        <w:rPr>
          <w:spacing w:val="-4"/>
          <w:sz w:val="18"/>
        </w:rPr>
        <w:t> </w:t>
      </w:r>
      <w:r>
        <w:rPr>
          <w:sz w:val="18"/>
        </w:rPr>
        <w:t>el</w:t>
      </w:r>
      <w:r>
        <w:rPr>
          <w:spacing w:val="-4"/>
          <w:sz w:val="18"/>
        </w:rPr>
        <w:t> </w:t>
      </w:r>
      <w:r>
        <w:rPr>
          <w:sz w:val="18"/>
        </w:rPr>
        <w:t>andén</w:t>
      </w:r>
      <w:r>
        <w:rPr>
          <w:spacing w:val="-4"/>
          <w:sz w:val="18"/>
        </w:rPr>
        <w:t> </w:t>
      </w:r>
      <w:r>
        <w:rPr>
          <w:sz w:val="18"/>
        </w:rPr>
        <w:t>y</w:t>
      </w:r>
      <w:r>
        <w:rPr>
          <w:spacing w:val="-1"/>
          <w:sz w:val="18"/>
        </w:rPr>
        <w:t> </w:t>
      </w:r>
      <w:r>
        <w:rPr>
          <w:sz w:val="18"/>
        </w:rPr>
        <w:t>la</w:t>
      </w:r>
      <w:r>
        <w:rPr>
          <w:spacing w:val="-2"/>
          <w:sz w:val="18"/>
        </w:rPr>
        <w:t> </w:t>
      </w:r>
      <w:r>
        <w:rPr>
          <w:sz w:val="18"/>
        </w:rPr>
        <w:t>plataforma</w:t>
      </w:r>
      <w:r>
        <w:rPr>
          <w:spacing w:val="-4"/>
          <w:sz w:val="18"/>
        </w:rPr>
        <w:t> </w:t>
      </w:r>
      <w:r>
        <w:rPr>
          <w:sz w:val="18"/>
        </w:rPr>
        <w:t>del</w:t>
      </w:r>
      <w:r>
        <w:rPr>
          <w:spacing w:val="-4"/>
          <w:sz w:val="18"/>
        </w:rPr>
        <w:t> </w:t>
      </w:r>
      <w:r>
        <w:rPr>
          <w:sz w:val="18"/>
        </w:rPr>
        <w:t>vehículo;</w:t>
      </w:r>
      <w:r>
        <w:rPr>
          <w:spacing w:val="-4"/>
          <w:sz w:val="18"/>
        </w:rPr>
        <w:t> </w:t>
      </w:r>
      <w:r>
        <w:rPr>
          <w:sz w:val="18"/>
        </w:rPr>
        <w:t>vehículos</w:t>
      </w:r>
      <w:r>
        <w:rPr>
          <w:spacing w:val="-1"/>
          <w:sz w:val="18"/>
        </w:rPr>
        <w:t> </w:t>
      </w:r>
      <w:r>
        <w:rPr>
          <w:sz w:val="18"/>
        </w:rPr>
        <w:t>de</w:t>
      </w:r>
      <w:r>
        <w:rPr>
          <w:spacing w:val="-4"/>
          <w:sz w:val="18"/>
        </w:rPr>
        <w:t> </w:t>
      </w:r>
      <w:r>
        <w:rPr>
          <w:sz w:val="18"/>
        </w:rPr>
        <w:t>bajas</w:t>
      </w:r>
      <w:r>
        <w:rPr>
          <w:spacing w:val="-1"/>
          <w:sz w:val="18"/>
        </w:rPr>
        <w:t> </w:t>
      </w:r>
      <w:r>
        <w:rPr>
          <w:sz w:val="18"/>
        </w:rPr>
        <w:t>emisiones</w:t>
      </w:r>
      <w:r>
        <w:rPr>
          <w:spacing w:val="-4"/>
          <w:sz w:val="18"/>
        </w:rPr>
        <w:t> </w:t>
      </w:r>
      <w:r>
        <w:rPr>
          <w:sz w:val="18"/>
        </w:rPr>
        <w:t>contaminantes;</w:t>
      </w:r>
      <w:r>
        <w:rPr>
          <w:spacing w:val="-7"/>
          <w:sz w:val="18"/>
        </w:rPr>
        <w:t> </w:t>
      </w:r>
      <w:r>
        <w:rPr>
          <w:sz w:val="18"/>
        </w:rPr>
        <w:t>sistema</w:t>
      </w:r>
      <w:r>
        <w:rPr>
          <w:spacing w:val="-2"/>
          <w:sz w:val="18"/>
        </w:rPr>
        <w:t> </w:t>
      </w:r>
      <w:r>
        <w:rPr>
          <w:sz w:val="18"/>
        </w:rPr>
        <w:t>de</w:t>
      </w:r>
      <w:r>
        <w:rPr>
          <w:spacing w:val="-2"/>
          <w:sz w:val="18"/>
        </w:rPr>
        <w:t> </w:t>
      </w:r>
      <w:r>
        <w:rPr>
          <w:sz w:val="18"/>
        </w:rPr>
        <w:t>control</w:t>
      </w:r>
      <w:r>
        <w:rPr>
          <w:spacing w:val="-4"/>
          <w:sz w:val="18"/>
        </w:rPr>
        <w:t> </w:t>
      </w:r>
      <w:r>
        <w:rPr>
          <w:sz w:val="18"/>
        </w:rPr>
        <w:t>centralizado (SAE) y sistema de transporte inteligente e información en tiempo real.</w:t>
      </w:r>
    </w:p>
    <w:p>
      <w:pPr>
        <w:spacing w:line="240" w:lineRule="auto" w:before="82"/>
        <w:ind w:left="992" w:right="988" w:firstLine="0"/>
        <w:jc w:val="both"/>
        <w:rPr>
          <w:sz w:val="18"/>
        </w:rPr>
      </w:pPr>
      <w:bookmarkStart w:name="_bookmark62" w:id="64"/>
      <w:bookmarkEnd w:id="64"/>
      <w:r>
        <w:rPr/>
      </w:r>
      <w:r>
        <w:rPr>
          <w:rFonts w:ascii="Calibri" w:hAnsi="Calibri"/>
          <w:sz w:val="18"/>
          <w:vertAlign w:val="superscript"/>
        </w:rPr>
        <w:t>36</w:t>
      </w:r>
      <w:r>
        <w:rPr>
          <w:rFonts w:ascii="Calibri" w:hAnsi="Calibri"/>
          <w:sz w:val="18"/>
          <w:vertAlign w:val="baseline"/>
        </w:rPr>
        <w:t> </w:t>
      </w:r>
      <w:r>
        <w:rPr>
          <w:sz w:val="18"/>
          <w:vertAlign w:val="baseline"/>
        </w:rPr>
        <w:t>El</w:t>
      </w:r>
      <w:r>
        <w:rPr>
          <w:spacing w:val="-2"/>
          <w:sz w:val="18"/>
          <w:vertAlign w:val="baseline"/>
        </w:rPr>
        <w:t> </w:t>
      </w:r>
      <w:r>
        <w:rPr>
          <w:sz w:val="18"/>
          <w:vertAlign w:val="baseline"/>
        </w:rPr>
        <w:t>8</w:t>
      </w:r>
      <w:r>
        <w:rPr>
          <w:spacing w:val="-2"/>
          <w:sz w:val="18"/>
          <w:vertAlign w:val="baseline"/>
        </w:rPr>
        <w:t> </w:t>
      </w:r>
      <w:r>
        <w:rPr>
          <w:sz w:val="18"/>
          <w:vertAlign w:val="baseline"/>
        </w:rPr>
        <w:t>de</w:t>
      </w:r>
      <w:r>
        <w:rPr>
          <w:spacing w:val="-2"/>
          <w:sz w:val="18"/>
          <w:vertAlign w:val="baseline"/>
        </w:rPr>
        <w:t> </w:t>
      </w:r>
      <w:r>
        <w:rPr>
          <w:sz w:val="18"/>
          <w:vertAlign w:val="baseline"/>
        </w:rPr>
        <w:t>febrero</w:t>
      </w:r>
      <w:r>
        <w:rPr>
          <w:spacing w:val="-2"/>
          <w:sz w:val="18"/>
          <w:vertAlign w:val="baseline"/>
        </w:rPr>
        <w:t> </w:t>
      </w:r>
      <w:r>
        <w:rPr>
          <w:sz w:val="18"/>
          <w:vertAlign w:val="baseline"/>
        </w:rPr>
        <w:t>de</w:t>
      </w:r>
      <w:r>
        <w:rPr>
          <w:spacing w:val="-2"/>
          <w:sz w:val="18"/>
          <w:vertAlign w:val="baseline"/>
        </w:rPr>
        <w:t> </w:t>
      </w:r>
      <w:r>
        <w:rPr>
          <w:sz w:val="18"/>
          <w:vertAlign w:val="baseline"/>
        </w:rPr>
        <w:t>2017</w:t>
      </w:r>
      <w:r>
        <w:rPr>
          <w:spacing w:val="-2"/>
          <w:sz w:val="18"/>
          <w:vertAlign w:val="baseline"/>
        </w:rPr>
        <w:t> </w:t>
      </w:r>
      <w:r>
        <w:rPr>
          <w:sz w:val="18"/>
          <w:vertAlign w:val="baseline"/>
        </w:rPr>
        <w:t>se</w:t>
      </w:r>
      <w:r>
        <w:rPr>
          <w:spacing w:val="-4"/>
          <w:sz w:val="18"/>
          <w:vertAlign w:val="baseline"/>
        </w:rPr>
        <w:t> </w:t>
      </w:r>
      <w:r>
        <w:rPr>
          <w:sz w:val="18"/>
          <w:vertAlign w:val="baseline"/>
        </w:rPr>
        <w:t>aprobó</w:t>
      </w:r>
      <w:r>
        <w:rPr>
          <w:spacing w:val="-2"/>
          <w:sz w:val="18"/>
          <w:vertAlign w:val="baseline"/>
        </w:rPr>
        <w:t> </w:t>
      </w:r>
      <w:r>
        <w:rPr>
          <w:sz w:val="18"/>
          <w:vertAlign w:val="baseline"/>
        </w:rPr>
        <w:t>la</w:t>
      </w:r>
      <w:r>
        <w:rPr>
          <w:spacing w:val="-2"/>
          <w:sz w:val="18"/>
          <w:vertAlign w:val="baseline"/>
        </w:rPr>
        <w:t> </w:t>
      </w:r>
      <w:r>
        <w:rPr>
          <w:sz w:val="18"/>
          <w:vertAlign w:val="baseline"/>
        </w:rPr>
        <w:t>firma</w:t>
      </w:r>
      <w:r>
        <w:rPr>
          <w:spacing w:val="-2"/>
          <w:sz w:val="18"/>
          <w:vertAlign w:val="baseline"/>
        </w:rPr>
        <w:t> </w:t>
      </w:r>
      <w:r>
        <w:rPr>
          <w:sz w:val="18"/>
          <w:vertAlign w:val="baseline"/>
        </w:rPr>
        <w:t>de</w:t>
      </w:r>
      <w:r>
        <w:rPr>
          <w:spacing w:val="-2"/>
          <w:sz w:val="18"/>
          <w:vertAlign w:val="baseline"/>
        </w:rPr>
        <w:t> </w:t>
      </w:r>
      <w:r>
        <w:rPr>
          <w:sz w:val="18"/>
          <w:vertAlign w:val="baseline"/>
        </w:rPr>
        <w:t>un</w:t>
      </w:r>
      <w:r>
        <w:rPr>
          <w:spacing w:val="-2"/>
          <w:sz w:val="18"/>
          <w:vertAlign w:val="baseline"/>
        </w:rPr>
        <w:t> </w:t>
      </w:r>
      <w:r>
        <w:rPr>
          <w:sz w:val="18"/>
          <w:vertAlign w:val="baseline"/>
        </w:rPr>
        <w:t>crédito</w:t>
      </w:r>
      <w:r>
        <w:rPr>
          <w:spacing w:val="-2"/>
          <w:sz w:val="18"/>
          <w:vertAlign w:val="baseline"/>
        </w:rPr>
        <w:t> </w:t>
      </w:r>
      <w:r>
        <w:rPr>
          <w:sz w:val="18"/>
          <w:vertAlign w:val="baseline"/>
        </w:rPr>
        <w:t>con</w:t>
      </w:r>
      <w:r>
        <w:rPr>
          <w:spacing w:val="-4"/>
          <w:sz w:val="18"/>
          <w:vertAlign w:val="baseline"/>
        </w:rPr>
        <w:t> </w:t>
      </w:r>
      <w:r>
        <w:rPr>
          <w:sz w:val="18"/>
          <w:vertAlign w:val="baseline"/>
        </w:rPr>
        <w:t>el</w:t>
      </w:r>
      <w:r>
        <w:rPr>
          <w:spacing w:val="-2"/>
          <w:sz w:val="18"/>
          <w:vertAlign w:val="baseline"/>
        </w:rPr>
        <w:t> </w:t>
      </w:r>
      <w:r>
        <w:rPr>
          <w:sz w:val="18"/>
          <w:vertAlign w:val="baseline"/>
        </w:rPr>
        <w:t>BEI</w:t>
      </w:r>
      <w:r>
        <w:rPr>
          <w:spacing w:val="-2"/>
          <w:sz w:val="18"/>
          <w:vertAlign w:val="baseline"/>
        </w:rPr>
        <w:t> </w:t>
      </w:r>
      <w:r>
        <w:rPr>
          <w:sz w:val="18"/>
          <w:vertAlign w:val="baseline"/>
        </w:rPr>
        <w:t>para</w:t>
      </w:r>
      <w:r>
        <w:rPr>
          <w:spacing w:val="-2"/>
          <w:sz w:val="18"/>
          <w:vertAlign w:val="baseline"/>
        </w:rPr>
        <w:t> </w:t>
      </w:r>
      <w:r>
        <w:rPr>
          <w:sz w:val="18"/>
          <w:vertAlign w:val="baseline"/>
        </w:rPr>
        <w:t>la</w:t>
      </w:r>
      <w:r>
        <w:rPr>
          <w:spacing w:val="-4"/>
          <w:sz w:val="18"/>
          <w:vertAlign w:val="baseline"/>
        </w:rPr>
        <w:t> </w:t>
      </w:r>
      <w:r>
        <w:rPr>
          <w:sz w:val="18"/>
          <w:vertAlign w:val="baseline"/>
        </w:rPr>
        <w:t>construcción</w:t>
      </w:r>
      <w:r>
        <w:rPr>
          <w:spacing w:val="-2"/>
          <w:sz w:val="18"/>
          <w:vertAlign w:val="baseline"/>
        </w:rPr>
        <w:t> </w:t>
      </w:r>
      <w:r>
        <w:rPr>
          <w:sz w:val="18"/>
          <w:vertAlign w:val="baseline"/>
        </w:rPr>
        <w:t>del</w:t>
      </w:r>
      <w:r>
        <w:rPr>
          <w:spacing w:val="-2"/>
          <w:sz w:val="18"/>
          <w:vertAlign w:val="baseline"/>
        </w:rPr>
        <w:t> </w:t>
      </w:r>
      <w:r>
        <w:rPr>
          <w:sz w:val="18"/>
          <w:vertAlign w:val="baseline"/>
        </w:rPr>
        <w:t>proyecto</w:t>
      </w:r>
      <w:r>
        <w:rPr>
          <w:spacing w:val="-4"/>
          <w:sz w:val="18"/>
          <w:vertAlign w:val="baseline"/>
        </w:rPr>
        <w:t> </w:t>
      </w:r>
      <w:r>
        <w:rPr>
          <w:sz w:val="18"/>
          <w:vertAlign w:val="baseline"/>
        </w:rPr>
        <w:t>MetroGuagua.</w:t>
      </w:r>
      <w:r>
        <w:rPr>
          <w:spacing w:val="-2"/>
          <w:sz w:val="18"/>
          <w:vertAlign w:val="baseline"/>
        </w:rPr>
        <w:t> </w:t>
      </w:r>
      <w:r>
        <w:rPr>
          <w:sz w:val="18"/>
          <w:vertAlign w:val="baseline"/>
        </w:rPr>
        <w:t>Se autorizó la concertación de la operación de crédito por un período de 20 años. El contrato de financiación se elevó a público el 15 de mayo de 2017, en el que se indica, entre otros extremos, que el coste del proyecto se estima en 102.320.000,00 euros. A través del crédito del BEI se financiarán 50.000.000 euros y el resto con cargo a aportaciones de otras Administraciones públicas, supliendo el accionista único (el Ayuntamiento) las aportaciones de las Administraciones si no llegaran al importe total de financiación del proyecto. El BEI accede a la financiación del importe siempre y</w:t>
      </w:r>
      <w:r>
        <w:rPr>
          <w:spacing w:val="-1"/>
          <w:sz w:val="18"/>
          <w:vertAlign w:val="baseline"/>
        </w:rPr>
        <w:t> </w:t>
      </w:r>
      <w:r>
        <w:rPr>
          <w:sz w:val="18"/>
          <w:vertAlign w:val="baseline"/>
        </w:rPr>
        <w:t>cuando las cantidades financiadas no superen el</w:t>
      </w:r>
      <w:r>
        <w:rPr>
          <w:spacing w:val="-1"/>
          <w:sz w:val="18"/>
          <w:vertAlign w:val="baseline"/>
        </w:rPr>
        <w:t> </w:t>
      </w:r>
      <w:r>
        <w:rPr>
          <w:sz w:val="18"/>
          <w:vertAlign w:val="baseline"/>
        </w:rPr>
        <w:t>50 % del coste total del proyecto y que los fondos obtenidos por la Unión Europea no superen el 90 % del coste del proyecto. Se podrán realizar un total de ocho disposiciones del préstamo y cada disposición debe suponer un mínimo de cinco millones de euros (De la información facilitada por la entidad se han realizado cuatro disposiciones entre 2017 y 2022 por el importe total).</w:t>
      </w:r>
    </w:p>
    <w:p>
      <w:pPr>
        <w:spacing w:after="0" w:line="240" w:lineRule="auto"/>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7"/>
        <w:jc w:val="both"/>
      </w:pPr>
      <w:r>
        <w:rPr/>
        <w:t>suficientes</w:t>
      </w:r>
      <w:r>
        <w:rPr>
          <w:spacing w:val="-16"/>
        </w:rPr>
        <w:t> </w:t>
      </w:r>
      <w:r>
        <w:rPr/>
        <w:t>para</w:t>
      </w:r>
      <w:r>
        <w:rPr>
          <w:spacing w:val="-15"/>
        </w:rPr>
        <w:t> </w:t>
      </w:r>
      <w:r>
        <w:rPr/>
        <w:t>hacer</w:t>
      </w:r>
      <w:r>
        <w:rPr>
          <w:spacing w:val="-15"/>
        </w:rPr>
        <w:t> </w:t>
      </w:r>
      <w:r>
        <w:rPr/>
        <w:t>frente</w:t>
      </w:r>
      <w:r>
        <w:rPr>
          <w:spacing w:val="-14"/>
        </w:rPr>
        <w:t> </w:t>
      </w:r>
      <w:r>
        <w:rPr/>
        <w:t>a</w:t>
      </w:r>
      <w:r>
        <w:rPr>
          <w:spacing w:val="-16"/>
        </w:rPr>
        <w:t> </w:t>
      </w:r>
      <w:r>
        <w:rPr/>
        <w:t>las</w:t>
      </w:r>
      <w:r>
        <w:rPr>
          <w:spacing w:val="-12"/>
        </w:rPr>
        <w:t> </w:t>
      </w:r>
      <w:r>
        <w:rPr/>
        <w:t>obligaciones</w:t>
      </w:r>
      <w:r>
        <w:rPr>
          <w:spacing w:val="-13"/>
        </w:rPr>
        <w:t> </w:t>
      </w:r>
      <w:r>
        <w:rPr/>
        <w:t>de</w:t>
      </w:r>
      <w:r>
        <w:rPr>
          <w:spacing w:val="-16"/>
        </w:rPr>
        <w:t> </w:t>
      </w:r>
      <w:r>
        <w:rPr/>
        <w:t>pago.</w:t>
      </w:r>
      <w:r>
        <w:rPr>
          <w:spacing w:val="-12"/>
        </w:rPr>
        <w:t> </w:t>
      </w:r>
      <w:r>
        <w:rPr/>
        <w:t>Asimismo,</w:t>
      </w:r>
      <w:r>
        <w:rPr>
          <w:spacing w:val="-14"/>
        </w:rPr>
        <w:t> </w:t>
      </w:r>
      <w:r>
        <w:rPr/>
        <w:t>se</w:t>
      </w:r>
      <w:r>
        <w:rPr>
          <w:spacing w:val="-15"/>
        </w:rPr>
        <w:t> </w:t>
      </w:r>
      <w:r>
        <w:rPr/>
        <w:t>les</w:t>
      </w:r>
      <w:r>
        <w:rPr>
          <w:spacing w:val="-13"/>
        </w:rPr>
        <w:t> </w:t>
      </w:r>
      <w:r>
        <w:rPr/>
        <w:t>han</w:t>
      </w:r>
      <w:r>
        <w:rPr>
          <w:spacing w:val="-14"/>
        </w:rPr>
        <w:t> </w:t>
      </w:r>
      <w:r>
        <w:rPr/>
        <w:t>concedido</w:t>
      </w:r>
      <w:r>
        <w:rPr>
          <w:spacing w:val="-14"/>
        </w:rPr>
        <w:t> </w:t>
      </w:r>
      <w:r>
        <w:rPr/>
        <w:t>entre</w:t>
      </w:r>
      <w:r>
        <w:rPr>
          <w:spacing w:val="-16"/>
        </w:rPr>
        <w:t> </w:t>
      </w:r>
      <w:r>
        <w:rPr/>
        <w:t>2017 y 2023 subvenciones por un total 40.013.847,00 euros, procedentes de la Autoridad Única de Transporte de Gran Canaria por 5.313.847,00 euros a la sociedad municipal, y del Gobierno de Canarias por 8.700.000,00 euros y de la Administración General del Estado por 26.000.000,00 euros, al Ayuntamiento.</w:t>
      </w:r>
    </w:p>
    <w:p>
      <w:pPr>
        <w:pStyle w:val="BodyText"/>
        <w:spacing w:before="240"/>
        <w:ind w:left="992" w:right="987"/>
        <w:jc w:val="both"/>
      </w:pPr>
      <w:r>
        <w:rPr/>
        <w:t>Sin embargo, incidencias en la ejecución de las obras </w:t>
      </w:r>
      <w:r>
        <w:rPr>
          <w:rFonts w:ascii="Symbol" w:hAnsi="Symbol"/>
        </w:rPr>
        <w:t></w:t>
      </w:r>
      <w:r>
        <w:rPr/>
        <w:t>modificaciones contractuales, demoras en la licitación y en la ejecución de las obras y resoluciones de contratos</w:t>
      </w:r>
      <w:r>
        <w:rPr>
          <w:rFonts w:ascii="Symbol" w:hAnsi="Symbol"/>
        </w:rPr>
        <w:t></w:t>
      </w:r>
      <w:r>
        <w:rPr/>
        <w:t>, han provocado que estas no hayan aun concluido </w:t>
      </w:r>
      <w:r>
        <w:rPr>
          <w:rFonts w:ascii="Symbol" w:hAnsi="Symbol"/>
        </w:rPr>
        <w:t></w:t>
      </w:r>
      <w:r>
        <w:rPr/>
        <w:t>la última fecha prevista de finalización es el segundo trimestre de 2028, salvo que concurran nuevas circunstancias que impidan su cumplimiento</w:t>
      </w:r>
      <w:r>
        <w:rPr>
          <w:rFonts w:ascii="Symbol" w:hAnsi="Symbol"/>
        </w:rPr>
        <w:t></w:t>
      </w:r>
      <w:r>
        <w:rPr/>
        <w:t>. De los ocho tramos previstos en el proyecto, han finalizado las obras</w:t>
      </w:r>
      <w:r>
        <w:rPr>
          <w:spacing w:val="-2"/>
        </w:rPr>
        <w:t> </w:t>
      </w:r>
      <w:r>
        <w:rPr/>
        <w:t>de cuatro, otros dos se encuentran en ejecución, y dos están en fase de proyecto.</w:t>
      </w:r>
    </w:p>
    <w:p>
      <w:pPr>
        <w:pStyle w:val="BodyText"/>
        <w:spacing w:before="240"/>
        <w:ind w:left="992" w:right="991"/>
        <w:jc w:val="both"/>
      </w:pPr>
      <w:r>
        <w:rPr/>
        <w:t>Igualmente se ha incrementado el presupuesto pasando a ser, a 31 de diciembre de 2024, de 158.542.126,00 euros, lo que ha supuesto un incremento del 54,95 %</w:t>
      </w:r>
      <w:hyperlink w:history="true" w:anchor="_bookmark63">
        <w:r>
          <w:rPr>
            <w:vertAlign w:val="superscript"/>
          </w:rPr>
          <w:t>37</w:t>
        </w:r>
        <w:r>
          <w:rPr>
            <w:vertAlign w:val="baseline"/>
          </w:rPr>
          <w:t>.</w:t>
        </w:r>
      </w:hyperlink>
    </w:p>
    <w:p>
      <w:pPr>
        <w:pStyle w:val="BodyText"/>
        <w:spacing w:before="241"/>
        <w:ind w:left="992" w:right="989"/>
        <w:jc w:val="both"/>
      </w:pPr>
      <w:r>
        <w:rPr/>
        <w:t>De</w:t>
      </w:r>
      <w:r>
        <w:rPr>
          <w:spacing w:val="-13"/>
        </w:rPr>
        <w:t> </w:t>
      </w:r>
      <w:r>
        <w:rPr/>
        <w:t>las</w:t>
      </w:r>
      <w:r>
        <w:rPr>
          <w:spacing w:val="-14"/>
        </w:rPr>
        <w:t> </w:t>
      </w:r>
      <w:r>
        <w:rPr/>
        <w:t>subvenciones</w:t>
      </w:r>
      <w:r>
        <w:rPr>
          <w:spacing w:val="-15"/>
        </w:rPr>
        <w:t> </w:t>
      </w:r>
      <w:r>
        <w:rPr/>
        <w:t>recibidas,</w:t>
      </w:r>
      <w:r>
        <w:rPr>
          <w:spacing w:val="-11"/>
        </w:rPr>
        <w:t> </w:t>
      </w:r>
      <w:r>
        <w:rPr/>
        <w:t>solo</w:t>
      </w:r>
      <w:r>
        <w:rPr>
          <w:spacing w:val="-15"/>
        </w:rPr>
        <w:t> </w:t>
      </w:r>
      <w:r>
        <w:rPr/>
        <w:t>consta</w:t>
      </w:r>
      <w:r>
        <w:rPr>
          <w:spacing w:val="-15"/>
        </w:rPr>
        <w:t> </w:t>
      </w:r>
      <w:r>
        <w:rPr/>
        <w:t>que</w:t>
      </w:r>
      <w:r>
        <w:rPr>
          <w:spacing w:val="-14"/>
        </w:rPr>
        <w:t> </w:t>
      </w:r>
      <w:r>
        <w:rPr/>
        <w:t>han</w:t>
      </w:r>
      <w:r>
        <w:rPr>
          <w:spacing w:val="-15"/>
        </w:rPr>
        <w:t> </w:t>
      </w:r>
      <w:r>
        <w:rPr/>
        <w:t>justificado</w:t>
      </w:r>
      <w:r>
        <w:rPr>
          <w:spacing w:val="-15"/>
        </w:rPr>
        <w:t> </w:t>
      </w:r>
      <w:r>
        <w:rPr/>
        <w:t>14.709.870,51</w:t>
      </w:r>
      <w:r>
        <w:rPr>
          <w:spacing w:val="-13"/>
        </w:rPr>
        <w:t> </w:t>
      </w:r>
      <w:r>
        <w:rPr/>
        <w:t>euros</w:t>
      </w:r>
      <w:hyperlink w:history="true" w:anchor="_bookmark64">
        <w:r>
          <w:rPr>
            <w:vertAlign w:val="superscript"/>
          </w:rPr>
          <w:t>38</w:t>
        </w:r>
      </w:hyperlink>
      <w:r>
        <w:rPr>
          <w:rFonts w:ascii="Symbol" w:hAnsi="Symbol"/>
          <w:vertAlign w:val="baseline"/>
        </w:rPr>
        <w:t></w:t>
      </w:r>
      <w:r>
        <w:rPr>
          <w:vertAlign w:val="baseline"/>
        </w:rPr>
        <w:t>1.898.291,75 euros</w:t>
      </w:r>
      <w:r>
        <w:rPr>
          <w:spacing w:val="-5"/>
          <w:vertAlign w:val="baseline"/>
        </w:rPr>
        <w:t> </w:t>
      </w:r>
      <w:r>
        <w:rPr>
          <w:vertAlign w:val="baseline"/>
        </w:rPr>
        <w:t>ante</w:t>
      </w:r>
      <w:r>
        <w:rPr>
          <w:spacing w:val="-7"/>
          <w:vertAlign w:val="baseline"/>
        </w:rPr>
        <w:t> </w:t>
      </w:r>
      <w:r>
        <w:rPr>
          <w:vertAlign w:val="baseline"/>
        </w:rPr>
        <w:t>la</w:t>
      </w:r>
      <w:r>
        <w:rPr>
          <w:spacing w:val="-5"/>
          <w:vertAlign w:val="baseline"/>
        </w:rPr>
        <w:t> </w:t>
      </w:r>
      <w:r>
        <w:rPr>
          <w:vertAlign w:val="baseline"/>
        </w:rPr>
        <w:t>Administración</w:t>
      </w:r>
      <w:r>
        <w:rPr>
          <w:spacing w:val="-5"/>
          <w:vertAlign w:val="baseline"/>
        </w:rPr>
        <w:t> </w:t>
      </w:r>
      <w:r>
        <w:rPr>
          <w:vertAlign w:val="baseline"/>
        </w:rPr>
        <w:t>General</w:t>
      </w:r>
      <w:r>
        <w:rPr>
          <w:spacing w:val="-6"/>
          <w:vertAlign w:val="baseline"/>
        </w:rPr>
        <w:t> </w:t>
      </w:r>
      <w:r>
        <w:rPr>
          <w:vertAlign w:val="baseline"/>
        </w:rPr>
        <w:t>del</w:t>
      </w:r>
      <w:r>
        <w:rPr>
          <w:spacing w:val="-6"/>
          <w:vertAlign w:val="baseline"/>
        </w:rPr>
        <w:t> </w:t>
      </w:r>
      <w:r>
        <w:rPr>
          <w:vertAlign w:val="baseline"/>
        </w:rPr>
        <w:t>Estado,</w:t>
      </w:r>
      <w:r>
        <w:rPr>
          <w:spacing w:val="-6"/>
          <w:vertAlign w:val="baseline"/>
        </w:rPr>
        <w:t> </w:t>
      </w:r>
      <w:r>
        <w:rPr>
          <w:vertAlign w:val="baseline"/>
        </w:rPr>
        <w:t>7.497.731,76</w:t>
      </w:r>
      <w:r>
        <w:rPr>
          <w:spacing w:val="-7"/>
          <w:vertAlign w:val="baseline"/>
        </w:rPr>
        <w:t> </w:t>
      </w:r>
      <w:r>
        <w:rPr>
          <w:vertAlign w:val="baseline"/>
        </w:rPr>
        <w:t>euros</w:t>
      </w:r>
      <w:r>
        <w:rPr>
          <w:spacing w:val="-5"/>
          <w:vertAlign w:val="baseline"/>
        </w:rPr>
        <w:t> </w:t>
      </w:r>
      <w:r>
        <w:rPr>
          <w:vertAlign w:val="baseline"/>
        </w:rPr>
        <w:t>ante</w:t>
      </w:r>
      <w:r>
        <w:rPr>
          <w:spacing w:val="-7"/>
          <w:vertAlign w:val="baseline"/>
        </w:rPr>
        <w:t> </w:t>
      </w:r>
      <w:r>
        <w:rPr>
          <w:vertAlign w:val="baseline"/>
        </w:rPr>
        <w:t>el</w:t>
      </w:r>
      <w:r>
        <w:rPr>
          <w:spacing w:val="-8"/>
          <w:vertAlign w:val="baseline"/>
        </w:rPr>
        <w:t> </w:t>
      </w:r>
      <w:r>
        <w:rPr>
          <w:vertAlign w:val="baseline"/>
        </w:rPr>
        <w:t>Gobierno</w:t>
      </w:r>
      <w:r>
        <w:rPr>
          <w:spacing w:val="-7"/>
          <w:vertAlign w:val="baseline"/>
        </w:rPr>
        <w:t> </w:t>
      </w:r>
      <w:r>
        <w:rPr>
          <w:vertAlign w:val="baseline"/>
        </w:rPr>
        <w:t>de</w:t>
      </w:r>
      <w:r>
        <w:rPr>
          <w:spacing w:val="-5"/>
          <w:vertAlign w:val="baseline"/>
        </w:rPr>
        <w:t> </w:t>
      </w:r>
      <w:r>
        <w:rPr>
          <w:vertAlign w:val="baseline"/>
        </w:rPr>
        <w:t>Canarias y</w:t>
      </w:r>
      <w:r>
        <w:rPr>
          <w:spacing w:val="-4"/>
          <w:vertAlign w:val="baseline"/>
        </w:rPr>
        <w:t> </w:t>
      </w:r>
      <w:r>
        <w:rPr>
          <w:vertAlign w:val="baseline"/>
        </w:rPr>
        <w:t>5.313.847,00</w:t>
      </w:r>
      <w:r>
        <w:rPr>
          <w:spacing w:val="-6"/>
          <w:vertAlign w:val="baseline"/>
        </w:rPr>
        <w:t> </w:t>
      </w:r>
      <w:r>
        <w:rPr>
          <w:vertAlign w:val="baseline"/>
        </w:rPr>
        <w:t>euros</w:t>
      </w:r>
      <w:r>
        <w:rPr>
          <w:spacing w:val="-6"/>
          <w:vertAlign w:val="baseline"/>
        </w:rPr>
        <w:t> </w:t>
      </w:r>
      <w:r>
        <w:rPr>
          <w:vertAlign w:val="baseline"/>
        </w:rPr>
        <w:t>ante</w:t>
      </w:r>
      <w:r>
        <w:rPr>
          <w:spacing w:val="-4"/>
          <w:vertAlign w:val="baseline"/>
        </w:rPr>
        <w:t> </w:t>
      </w:r>
      <w:r>
        <w:rPr>
          <w:vertAlign w:val="baseline"/>
        </w:rPr>
        <w:t>la</w:t>
      </w:r>
      <w:r>
        <w:rPr>
          <w:spacing w:val="-4"/>
          <w:vertAlign w:val="baseline"/>
        </w:rPr>
        <w:t> </w:t>
      </w:r>
      <w:r>
        <w:rPr>
          <w:vertAlign w:val="baseline"/>
        </w:rPr>
        <w:t>Autoridad</w:t>
      </w:r>
      <w:r>
        <w:rPr>
          <w:spacing w:val="-7"/>
          <w:vertAlign w:val="baseline"/>
        </w:rPr>
        <w:t> </w:t>
      </w:r>
      <w:r>
        <w:rPr>
          <w:vertAlign w:val="baseline"/>
        </w:rPr>
        <w:t>Única</w:t>
      </w:r>
      <w:r>
        <w:rPr>
          <w:spacing w:val="-4"/>
          <w:vertAlign w:val="baseline"/>
        </w:rPr>
        <w:t> </w:t>
      </w:r>
      <w:r>
        <w:rPr>
          <w:vertAlign w:val="baseline"/>
        </w:rPr>
        <w:t>del</w:t>
      </w:r>
      <w:r>
        <w:rPr>
          <w:spacing w:val="-9"/>
          <w:vertAlign w:val="baseline"/>
        </w:rPr>
        <w:t> </w:t>
      </w:r>
      <w:r>
        <w:rPr>
          <w:vertAlign w:val="baseline"/>
        </w:rPr>
        <w:t>Transporte</w:t>
      </w:r>
      <w:r>
        <w:rPr>
          <w:spacing w:val="-6"/>
          <w:vertAlign w:val="baseline"/>
        </w:rPr>
        <w:t> </w:t>
      </w:r>
      <w:r>
        <w:rPr>
          <w:vertAlign w:val="baseline"/>
        </w:rPr>
        <w:t>de</w:t>
      </w:r>
      <w:r>
        <w:rPr>
          <w:spacing w:val="-7"/>
          <w:vertAlign w:val="baseline"/>
        </w:rPr>
        <w:t> </w:t>
      </w:r>
      <w:r>
        <w:rPr>
          <w:vertAlign w:val="baseline"/>
        </w:rPr>
        <w:t>Gran</w:t>
      </w:r>
      <w:r>
        <w:rPr>
          <w:spacing w:val="-4"/>
          <w:vertAlign w:val="baseline"/>
        </w:rPr>
        <w:t> </w:t>
      </w:r>
      <w:r>
        <w:rPr>
          <w:vertAlign w:val="baseline"/>
        </w:rPr>
        <w:t>Canaria</w:t>
      </w:r>
      <w:r>
        <w:rPr>
          <w:rFonts w:ascii="Symbol" w:hAnsi="Symbol"/>
          <w:vertAlign w:val="baseline"/>
        </w:rPr>
        <w:t></w:t>
      </w:r>
      <w:r>
        <w:rPr>
          <w:rFonts w:ascii="Times New Roman" w:hAnsi="Times New Roman"/>
          <w:vertAlign w:val="baseline"/>
        </w:rPr>
        <w:t> </w:t>
      </w:r>
      <w:r>
        <w:rPr>
          <w:vertAlign w:val="baseline"/>
        </w:rPr>
        <w:t>y</w:t>
      </w:r>
      <w:r>
        <w:rPr>
          <w:spacing w:val="-6"/>
          <w:vertAlign w:val="baseline"/>
        </w:rPr>
        <w:t> </w:t>
      </w:r>
      <w:r>
        <w:rPr>
          <w:vertAlign w:val="baseline"/>
        </w:rPr>
        <w:t>está</w:t>
      </w:r>
      <w:r>
        <w:rPr>
          <w:spacing w:val="-6"/>
          <w:vertAlign w:val="baseline"/>
        </w:rPr>
        <w:t> </w:t>
      </w:r>
      <w:r>
        <w:rPr>
          <w:vertAlign w:val="baseline"/>
        </w:rPr>
        <w:t>pendiente</w:t>
      </w:r>
      <w:r>
        <w:rPr>
          <w:spacing w:val="-6"/>
          <w:vertAlign w:val="baseline"/>
        </w:rPr>
        <w:t> </w:t>
      </w:r>
      <w:r>
        <w:rPr>
          <w:vertAlign w:val="baseline"/>
        </w:rPr>
        <w:t>de justificar 12.000.000,00 euros </w:t>
      </w:r>
      <w:r>
        <w:rPr>
          <w:rFonts w:ascii="Symbol" w:hAnsi="Symbol"/>
          <w:vertAlign w:val="baseline"/>
        </w:rPr>
        <w:t></w:t>
      </w:r>
      <w:r>
        <w:rPr>
          <w:vertAlign w:val="baseline"/>
        </w:rPr>
        <w:t>11.000.000,00 euros ante la Administración General del Estado y 1.000.000,00 euros ante el Gobierno de Canarias </w:t>
      </w:r>
      <w:r>
        <w:rPr>
          <w:rFonts w:ascii="Symbol" w:hAnsi="Symbol"/>
          <w:vertAlign w:val="baseline"/>
        </w:rPr>
        <w:t></w:t>
      </w:r>
      <w:r>
        <w:rPr>
          <w:vertAlign w:val="baseline"/>
        </w:rPr>
        <w:t>.</w:t>
      </w:r>
    </w:p>
    <w:p>
      <w:pPr>
        <w:pStyle w:val="BodyText"/>
        <w:spacing w:before="241"/>
        <w:ind w:left="992" w:right="989"/>
        <w:jc w:val="both"/>
      </w:pPr>
      <w:r>
        <w:rPr/>
        <w:t>El Ayuntamiento ha tenido que reintegrar 13.303.976,49 euros de las subvenciones percibidas por incumplimientos</w:t>
      </w:r>
      <w:r>
        <w:rPr>
          <w:spacing w:val="-6"/>
        </w:rPr>
        <w:t> </w:t>
      </w:r>
      <w:r>
        <w:rPr/>
        <w:t>de</w:t>
      </w:r>
      <w:r>
        <w:rPr>
          <w:spacing w:val="-9"/>
        </w:rPr>
        <w:t> </w:t>
      </w:r>
      <w:r>
        <w:rPr/>
        <w:t>plazos</w:t>
      </w:r>
      <w:r>
        <w:rPr>
          <w:spacing w:val="-6"/>
        </w:rPr>
        <w:t> </w:t>
      </w:r>
      <w:r>
        <w:rPr/>
        <w:t>y</w:t>
      </w:r>
      <w:r>
        <w:rPr>
          <w:spacing w:val="-8"/>
        </w:rPr>
        <w:t> </w:t>
      </w:r>
      <w:r>
        <w:rPr/>
        <w:t>falta</w:t>
      </w:r>
      <w:r>
        <w:rPr>
          <w:spacing w:val="-9"/>
        </w:rPr>
        <w:t> </w:t>
      </w:r>
      <w:r>
        <w:rPr/>
        <w:t>de</w:t>
      </w:r>
      <w:r>
        <w:rPr>
          <w:spacing w:val="-9"/>
        </w:rPr>
        <w:t> </w:t>
      </w:r>
      <w:r>
        <w:rPr/>
        <w:t>justificación</w:t>
      </w:r>
      <w:r>
        <w:rPr>
          <w:spacing w:val="-7"/>
        </w:rPr>
        <w:t> </w:t>
      </w:r>
      <w:r>
        <w:rPr>
          <w:rFonts w:ascii="Symbol" w:hAnsi="Symbol"/>
        </w:rPr>
        <w:t></w:t>
      </w:r>
      <w:r>
        <w:rPr/>
        <w:t>13.101.708,25</w:t>
      </w:r>
      <w:r>
        <w:rPr>
          <w:spacing w:val="-8"/>
        </w:rPr>
        <w:t> </w:t>
      </w:r>
      <w:r>
        <w:rPr/>
        <w:t>euros</w:t>
      </w:r>
      <w:r>
        <w:rPr>
          <w:spacing w:val="-6"/>
        </w:rPr>
        <w:t> </w:t>
      </w:r>
      <w:r>
        <w:rPr/>
        <w:t>a</w:t>
      </w:r>
      <w:r>
        <w:rPr>
          <w:spacing w:val="-9"/>
        </w:rPr>
        <w:t> </w:t>
      </w:r>
      <w:r>
        <w:rPr/>
        <w:t>la</w:t>
      </w:r>
      <w:r>
        <w:rPr>
          <w:spacing w:val="-6"/>
        </w:rPr>
        <w:t> </w:t>
      </w:r>
      <w:r>
        <w:rPr/>
        <w:t>Administración</w:t>
      </w:r>
      <w:r>
        <w:rPr>
          <w:spacing w:val="-9"/>
        </w:rPr>
        <w:t> </w:t>
      </w:r>
      <w:r>
        <w:rPr/>
        <w:t>General del Estado y 202.268,24 euros al Gobierno de Canarias</w:t>
      </w:r>
      <w:r>
        <w:rPr>
          <w:rFonts w:ascii="Symbol" w:hAnsi="Symbol"/>
        </w:rPr>
        <w:t></w:t>
      </w:r>
      <w:r>
        <w:rPr/>
        <w:t>, y abonar intereses de demora por 3.035.760,15</w:t>
      </w:r>
      <w:r>
        <w:rPr>
          <w:spacing w:val="-8"/>
        </w:rPr>
        <w:t> </w:t>
      </w:r>
      <w:r>
        <w:rPr/>
        <w:t>euros</w:t>
      </w:r>
      <w:r>
        <w:rPr>
          <w:spacing w:val="-9"/>
        </w:rPr>
        <w:t> </w:t>
      </w:r>
      <w:r>
        <w:rPr>
          <w:rFonts w:ascii="Symbol" w:hAnsi="Symbol"/>
        </w:rPr>
        <w:t></w:t>
      </w:r>
      <w:r>
        <w:rPr/>
        <w:t>3.027.479,43</w:t>
      </w:r>
      <w:r>
        <w:rPr>
          <w:spacing w:val="-8"/>
        </w:rPr>
        <w:t> </w:t>
      </w:r>
      <w:r>
        <w:rPr/>
        <w:t>euros</w:t>
      </w:r>
      <w:hyperlink w:history="true" w:anchor="_bookmark65">
        <w:r>
          <w:rPr>
            <w:vertAlign w:val="superscript"/>
          </w:rPr>
          <w:t>39</w:t>
        </w:r>
      </w:hyperlink>
      <w:r>
        <w:rPr>
          <w:spacing w:val="-8"/>
          <w:vertAlign w:val="baseline"/>
        </w:rPr>
        <w:t> </w:t>
      </w:r>
      <w:r>
        <w:rPr>
          <w:vertAlign w:val="baseline"/>
        </w:rPr>
        <w:t>a</w:t>
      </w:r>
      <w:r>
        <w:rPr>
          <w:spacing w:val="-7"/>
          <w:vertAlign w:val="baseline"/>
        </w:rPr>
        <w:t> </w:t>
      </w:r>
      <w:r>
        <w:rPr>
          <w:vertAlign w:val="baseline"/>
        </w:rPr>
        <w:t>la</w:t>
      </w:r>
      <w:r>
        <w:rPr>
          <w:spacing w:val="-7"/>
          <w:vertAlign w:val="baseline"/>
        </w:rPr>
        <w:t> </w:t>
      </w:r>
      <w:r>
        <w:rPr>
          <w:vertAlign w:val="baseline"/>
        </w:rPr>
        <w:t>Administración</w:t>
      </w:r>
      <w:r>
        <w:rPr>
          <w:spacing w:val="-9"/>
          <w:vertAlign w:val="baseline"/>
        </w:rPr>
        <w:t> </w:t>
      </w:r>
      <w:r>
        <w:rPr>
          <w:vertAlign w:val="baseline"/>
        </w:rPr>
        <w:t>General</w:t>
      </w:r>
      <w:r>
        <w:rPr>
          <w:spacing w:val="-8"/>
          <w:vertAlign w:val="baseline"/>
        </w:rPr>
        <w:t> </w:t>
      </w:r>
      <w:r>
        <w:rPr>
          <w:vertAlign w:val="baseline"/>
        </w:rPr>
        <w:t>del</w:t>
      </w:r>
      <w:r>
        <w:rPr>
          <w:spacing w:val="-10"/>
          <w:vertAlign w:val="baseline"/>
        </w:rPr>
        <w:t> </w:t>
      </w:r>
      <w:r>
        <w:rPr>
          <w:vertAlign w:val="baseline"/>
        </w:rPr>
        <w:t>Estado</w:t>
      </w:r>
      <w:r>
        <w:rPr>
          <w:spacing w:val="-7"/>
          <w:vertAlign w:val="baseline"/>
        </w:rPr>
        <w:t> </w:t>
      </w:r>
      <w:r>
        <w:rPr>
          <w:vertAlign w:val="baseline"/>
        </w:rPr>
        <w:t>y</w:t>
      </w:r>
      <w:r>
        <w:rPr>
          <w:spacing w:val="-7"/>
          <w:vertAlign w:val="baseline"/>
        </w:rPr>
        <w:t> </w:t>
      </w:r>
      <w:r>
        <w:rPr>
          <w:vertAlign w:val="baseline"/>
        </w:rPr>
        <w:t>8.280,72</w:t>
      </w:r>
      <w:r>
        <w:rPr>
          <w:spacing w:val="-7"/>
          <w:vertAlign w:val="baseline"/>
        </w:rPr>
        <w:t> </w:t>
      </w:r>
      <w:r>
        <w:rPr>
          <w:vertAlign w:val="baseline"/>
        </w:rPr>
        <w:t>euros al Gobierno de Canarias</w:t>
      </w:r>
      <w:r>
        <w:rPr>
          <w:rFonts w:ascii="Symbol" w:hAnsi="Symbol"/>
          <w:vertAlign w:val="baseline"/>
        </w:rPr>
        <w:t></w:t>
      </w:r>
      <w:r>
        <w:rPr>
          <w:vertAlign w:val="baseline"/>
        </w:rPr>
        <w:t>.</w:t>
      </w:r>
    </w:p>
    <w:p>
      <w:pPr>
        <w:pStyle w:val="BodyText"/>
        <w:spacing w:before="239"/>
        <w:ind w:left="992" w:right="985"/>
        <w:jc w:val="both"/>
      </w:pPr>
      <w:r>
        <w:rPr/>
        <w:t>Además, se encuentran en tramitación diversos procedimientos en el orden jurisdiccional contencioso-administrativo en los que se reclaman el pago de facturas, intereses de demora o revisiones de precios derivados de este proyecto. Igualmente se tramitan en el Orden penal unas diligencias previas, en cuatro piezas</w:t>
      </w:r>
      <w:r>
        <w:rPr>
          <w:spacing w:val="-2"/>
        </w:rPr>
        <w:t> </w:t>
      </w:r>
      <w:r>
        <w:rPr/>
        <w:t>separadas, en las que se investigan</w:t>
      </w:r>
      <w:r>
        <w:rPr>
          <w:spacing w:val="-2"/>
        </w:rPr>
        <w:t> </w:t>
      </w:r>
      <w:r>
        <w:rPr/>
        <w:t>hechos relacionados con el</w:t>
      </w:r>
      <w:r>
        <w:rPr>
          <w:spacing w:val="-1"/>
        </w:rPr>
        <w:t> </w:t>
      </w:r>
      <w:r>
        <w:rPr/>
        <w:t>proyecto de implantación del tramo</w:t>
      </w:r>
      <w:r>
        <w:rPr>
          <w:spacing w:val="-1"/>
        </w:rPr>
        <w:t> </w:t>
      </w:r>
      <w:r>
        <w:rPr/>
        <w:t>8,</w:t>
      </w:r>
      <w:r>
        <w:rPr>
          <w:spacing w:val="-1"/>
        </w:rPr>
        <w:t> </w:t>
      </w:r>
      <w:r>
        <w:rPr/>
        <w:t>y del</w:t>
      </w:r>
      <w:r>
        <w:rPr>
          <w:spacing w:val="-2"/>
        </w:rPr>
        <w:t> </w:t>
      </w:r>
      <w:r>
        <w:rPr/>
        <w:t>que</w:t>
      </w:r>
      <w:r>
        <w:rPr>
          <w:spacing w:val="-2"/>
        </w:rPr>
        <w:t> </w:t>
      </w:r>
      <w:r>
        <w:rPr/>
        <w:t>el</w:t>
      </w:r>
      <w:r>
        <w:rPr>
          <w:spacing w:val="-1"/>
        </w:rPr>
        <w:t> </w:t>
      </w:r>
      <w:r>
        <w:rPr/>
        <w:t>Ayuntamiento manifiesta desconocer, a</w:t>
      </w:r>
      <w:r>
        <w:rPr>
          <w:spacing w:val="-2"/>
        </w:rPr>
        <w:t> </w:t>
      </w:r>
      <w:r>
        <w:rPr/>
        <w:t>fecha de 10 septiembre de 2025, el estado de la investigación, por habérsele denegado la personación como perjudicado.</w:t>
      </w:r>
    </w:p>
    <w:p>
      <w:pPr>
        <w:pStyle w:val="BodyText"/>
        <w:spacing w:before="240"/>
        <w:ind w:left="992" w:right="988"/>
        <w:jc w:val="both"/>
      </w:pPr>
      <w:r>
        <w:rPr/>
        <w:t>Durante el periodo fiscalizado estaban ejecutándose cuatro expedientes contractuales de obras, habiéndose producido incidencias en tres.</w:t>
      </w:r>
    </w:p>
    <w:p>
      <w:pPr>
        <w:pStyle w:val="BodyText"/>
        <w:spacing w:before="241"/>
        <w:ind w:left="992" w:right="986"/>
        <w:jc w:val="both"/>
      </w:pPr>
      <w:r>
        <w:rPr/>
        <w:t>Uno de ellos se corresponde con las obras de la estación Hoya de la Plata adjudicado por el </w:t>
      </w:r>
      <w:r>
        <w:rPr>
          <w:b/>
        </w:rPr>
        <w:t>Ayuntamiento</w:t>
      </w:r>
      <w:r>
        <w:rPr>
          <w:b/>
          <w:spacing w:val="-2"/>
        </w:rPr>
        <w:t> </w:t>
      </w:r>
      <w:r>
        <w:rPr>
          <w:b/>
        </w:rPr>
        <w:t>de Las</w:t>
      </w:r>
      <w:r>
        <w:rPr>
          <w:b/>
          <w:spacing w:val="-2"/>
        </w:rPr>
        <w:t> </w:t>
      </w:r>
      <w:r>
        <w:rPr>
          <w:b/>
        </w:rPr>
        <w:t>Palmas</w:t>
      </w:r>
      <w:r>
        <w:rPr>
          <w:b/>
          <w:spacing w:val="-2"/>
        </w:rPr>
        <w:t> </w:t>
      </w:r>
      <w:r>
        <w:rPr>
          <w:b/>
        </w:rPr>
        <w:t>de</w:t>
      </w:r>
      <w:r>
        <w:rPr>
          <w:b/>
          <w:spacing w:val="-2"/>
        </w:rPr>
        <w:t> </w:t>
      </w:r>
      <w:r>
        <w:rPr>
          <w:b/>
        </w:rPr>
        <w:t>Gran Canaria</w:t>
      </w:r>
      <w:r>
        <w:rPr/>
        <w:t>. El contrato de</w:t>
      </w:r>
      <w:r>
        <w:rPr>
          <w:spacing w:val="-2"/>
        </w:rPr>
        <w:t> </w:t>
      </w:r>
      <w:r>
        <w:rPr/>
        <w:t>obras</w:t>
      </w:r>
      <w:r>
        <w:rPr>
          <w:spacing w:val="-2"/>
        </w:rPr>
        <w:t> </w:t>
      </w:r>
      <w:r>
        <w:rPr/>
        <w:t>se</w:t>
      </w:r>
      <w:r>
        <w:rPr>
          <w:spacing w:val="-2"/>
        </w:rPr>
        <w:t> </w:t>
      </w:r>
      <w:r>
        <w:rPr/>
        <w:t>formalizó en</w:t>
      </w:r>
      <w:r>
        <w:rPr>
          <w:spacing w:val="-2"/>
        </w:rPr>
        <w:t> </w:t>
      </w:r>
      <w:r>
        <w:rPr/>
        <w:t>septiembre de</w:t>
      </w:r>
      <w:r>
        <w:rPr>
          <w:spacing w:val="-11"/>
        </w:rPr>
        <w:t> </w:t>
      </w:r>
      <w:r>
        <w:rPr/>
        <w:t>2021,</w:t>
      </w:r>
      <w:r>
        <w:rPr>
          <w:spacing w:val="-9"/>
        </w:rPr>
        <w:t> </w:t>
      </w:r>
      <w:r>
        <w:rPr/>
        <w:t>con</w:t>
      </w:r>
      <w:r>
        <w:rPr>
          <w:spacing w:val="-13"/>
        </w:rPr>
        <w:t> </w:t>
      </w:r>
      <w:r>
        <w:rPr/>
        <w:t>un</w:t>
      </w:r>
      <w:r>
        <w:rPr>
          <w:spacing w:val="-11"/>
        </w:rPr>
        <w:t> </w:t>
      </w:r>
      <w:r>
        <w:rPr/>
        <w:t>importe</w:t>
      </w:r>
      <w:r>
        <w:rPr>
          <w:spacing w:val="-12"/>
        </w:rPr>
        <w:t> </w:t>
      </w:r>
      <w:r>
        <w:rPr/>
        <w:t>de</w:t>
      </w:r>
      <w:r>
        <w:rPr>
          <w:spacing w:val="-11"/>
        </w:rPr>
        <w:t> </w:t>
      </w:r>
      <w:r>
        <w:rPr/>
        <w:t>8.655.000,00</w:t>
      </w:r>
      <w:r>
        <w:rPr>
          <w:spacing w:val="-10"/>
        </w:rPr>
        <w:t> </w:t>
      </w:r>
      <w:r>
        <w:rPr/>
        <w:t>euros,</w:t>
      </w:r>
      <w:r>
        <w:rPr>
          <w:spacing w:val="-9"/>
        </w:rPr>
        <w:t> </w:t>
      </w:r>
      <w:r>
        <w:rPr/>
        <w:t>excluido</w:t>
      </w:r>
      <w:r>
        <w:rPr>
          <w:spacing w:val="-11"/>
        </w:rPr>
        <w:t> </w:t>
      </w:r>
      <w:r>
        <w:rPr/>
        <w:t>IGIC,</w:t>
      </w:r>
      <w:r>
        <w:rPr>
          <w:spacing w:val="-11"/>
        </w:rPr>
        <w:t> </w:t>
      </w:r>
      <w:r>
        <w:rPr/>
        <w:t>y</w:t>
      </w:r>
      <w:r>
        <w:rPr>
          <w:spacing w:val="-10"/>
        </w:rPr>
        <w:t> </w:t>
      </w:r>
      <w:r>
        <w:rPr/>
        <w:t>un</w:t>
      </w:r>
      <w:r>
        <w:rPr>
          <w:spacing w:val="-11"/>
        </w:rPr>
        <w:t> </w:t>
      </w:r>
      <w:r>
        <w:rPr/>
        <w:t>plazo</w:t>
      </w:r>
      <w:r>
        <w:rPr>
          <w:spacing w:val="-13"/>
        </w:rPr>
        <w:t> </w:t>
      </w:r>
      <w:r>
        <w:rPr/>
        <w:t>de</w:t>
      </w:r>
      <w:r>
        <w:rPr>
          <w:spacing w:val="-11"/>
        </w:rPr>
        <w:t> </w:t>
      </w:r>
      <w:r>
        <w:rPr/>
        <w:t>ejecución</w:t>
      </w:r>
      <w:r>
        <w:rPr>
          <w:spacing w:val="-11"/>
        </w:rPr>
        <w:t> </w:t>
      </w:r>
      <w:r>
        <w:rPr/>
        <w:t>de</w:t>
      </w:r>
      <w:r>
        <w:rPr>
          <w:spacing w:val="-12"/>
        </w:rPr>
        <w:t> </w:t>
      </w:r>
      <w:r>
        <w:rPr/>
        <w:t>diecisiete meses.</w:t>
      </w:r>
      <w:r>
        <w:rPr>
          <w:spacing w:val="-1"/>
        </w:rPr>
        <w:t> </w:t>
      </w:r>
      <w:r>
        <w:rPr/>
        <w:t>El</w:t>
      </w:r>
      <w:r>
        <w:rPr>
          <w:spacing w:val="-4"/>
        </w:rPr>
        <w:t> </w:t>
      </w:r>
      <w:r>
        <w:rPr/>
        <w:t>acta</w:t>
      </w:r>
      <w:r>
        <w:rPr>
          <w:spacing w:val="-3"/>
        </w:rPr>
        <w:t> </w:t>
      </w:r>
      <w:r>
        <w:rPr/>
        <w:t>de</w:t>
      </w:r>
      <w:r>
        <w:rPr>
          <w:spacing w:val="-6"/>
        </w:rPr>
        <w:t> </w:t>
      </w:r>
      <w:r>
        <w:rPr/>
        <w:t>comprobación</w:t>
      </w:r>
      <w:r>
        <w:rPr>
          <w:spacing w:val="-3"/>
        </w:rPr>
        <w:t> </w:t>
      </w:r>
      <w:r>
        <w:rPr/>
        <w:t>de</w:t>
      </w:r>
      <w:r>
        <w:rPr>
          <w:spacing w:val="-6"/>
        </w:rPr>
        <w:t> </w:t>
      </w:r>
      <w:r>
        <w:rPr/>
        <w:t>replanteo</w:t>
      </w:r>
      <w:r>
        <w:rPr>
          <w:spacing w:val="-6"/>
        </w:rPr>
        <w:t> </w:t>
      </w:r>
      <w:r>
        <w:rPr/>
        <w:t>se</w:t>
      </w:r>
      <w:r>
        <w:rPr>
          <w:spacing w:val="-5"/>
        </w:rPr>
        <w:t> </w:t>
      </w:r>
      <w:r>
        <w:rPr/>
        <w:t>expidió</w:t>
      </w:r>
      <w:r>
        <w:rPr>
          <w:spacing w:val="-3"/>
        </w:rPr>
        <w:t> </w:t>
      </w:r>
      <w:r>
        <w:rPr/>
        <w:t>el</w:t>
      </w:r>
      <w:r>
        <w:rPr>
          <w:spacing w:val="-4"/>
        </w:rPr>
        <w:t> </w:t>
      </w:r>
      <w:r>
        <w:rPr/>
        <w:t>día</w:t>
      </w:r>
      <w:r>
        <w:rPr>
          <w:spacing w:val="-2"/>
        </w:rPr>
        <w:t> </w:t>
      </w:r>
      <w:r>
        <w:rPr/>
        <w:t>21</w:t>
      </w:r>
      <w:r>
        <w:rPr>
          <w:spacing w:val="-6"/>
        </w:rPr>
        <w:t> </w:t>
      </w:r>
      <w:r>
        <w:rPr/>
        <w:t>de</w:t>
      </w:r>
      <w:r>
        <w:rPr>
          <w:spacing w:val="-6"/>
        </w:rPr>
        <w:t> </w:t>
      </w:r>
      <w:r>
        <w:rPr/>
        <w:t>ese</w:t>
      </w:r>
      <w:r>
        <w:rPr>
          <w:spacing w:val="-6"/>
        </w:rPr>
        <w:t> </w:t>
      </w:r>
      <w:r>
        <w:rPr/>
        <w:t>mes,</w:t>
      </w:r>
      <w:r>
        <w:rPr>
          <w:spacing w:val="-4"/>
        </w:rPr>
        <w:t> </w:t>
      </w:r>
      <w:r>
        <w:rPr/>
        <w:t>por</w:t>
      </w:r>
      <w:r>
        <w:rPr>
          <w:spacing w:val="-4"/>
        </w:rPr>
        <w:t> </w:t>
      </w:r>
      <w:r>
        <w:rPr/>
        <w:t>lo</w:t>
      </w:r>
      <w:r>
        <w:rPr>
          <w:spacing w:val="-3"/>
        </w:rPr>
        <w:t> </w:t>
      </w:r>
      <w:r>
        <w:rPr/>
        <w:t>que</w:t>
      </w:r>
      <w:r>
        <w:rPr>
          <w:spacing w:val="-5"/>
        </w:rPr>
        <w:t> </w:t>
      </w:r>
      <w:r>
        <w:rPr/>
        <w:t>las</w:t>
      </w:r>
      <w:r>
        <w:rPr>
          <w:spacing w:val="-3"/>
        </w:rPr>
        <w:t> </w:t>
      </w:r>
      <w:r>
        <w:rPr/>
        <w:t>obras debían</w:t>
      </w:r>
      <w:r>
        <w:rPr>
          <w:spacing w:val="-2"/>
        </w:rPr>
        <w:t> </w:t>
      </w:r>
      <w:r>
        <w:rPr/>
        <w:t>concluir el 21 de</w:t>
      </w:r>
      <w:r>
        <w:rPr>
          <w:spacing w:val="-2"/>
        </w:rPr>
        <w:t> </w:t>
      </w:r>
      <w:r>
        <w:rPr/>
        <w:t>febrero</w:t>
      </w:r>
      <w:r>
        <w:rPr>
          <w:spacing w:val="1"/>
        </w:rPr>
        <w:t> </w:t>
      </w:r>
      <w:r>
        <w:rPr/>
        <w:t>de</w:t>
      </w:r>
      <w:r>
        <w:rPr>
          <w:spacing w:val="1"/>
        </w:rPr>
        <w:t> </w:t>
      </w:r>
      <w:r>
        <w:rPr/>
        <w:t>2023.</w:t>
      </w:r>
      <w:r>
        <w:rPr>
          <w:spacing w:val="1"/>
        </w:rPr>
        <w:t> </w:t>
      </w:r>
      <w:r>
        <w:rPr/>
        <w:t>Sin</w:t>
      </w:r>
      <w:r>
        <w:rPr>
          <w:spacing w:val="1"/>
        </w:rPr>
        <w:t> </w:t>
      </w:r>
      <w:r>
        <w:rPr/>
        <w:t>embargo,</w:t>
      </w:r>
      <w:r>
        <w:rPr>
          <w:spacing w:val="2"/>
        </w:rPr>
        <w:t> </w:t>
      </w:r>
      <w:r>
        <w:rPr/>
        <w:t>el</w:t>
      </w:r>
      <w:r>
        <w:rPr>
          <w:spacing w:val="-4"/>
        </w:rPr>
        <w:t> </w:t>
      </w:r>
      <w:r>
        <w:rPr/>
        <w:t>contrato</w:t>
      </w:r>
      <w:r>
        <w:rPr>
          <w:spacing w:val="5"/>
        </w:rPr>
        <w:t> </w:t>
      </w:r>
      <w:r>
        <w:rPr/>
        <w:t>fue</w:t>
      </w:r>
      <w:r>
        <w:rPr>
          <w:spacing w:val="-1"/>
        </w:rPr>
        <w:t> </w:t>
      </w:r>
      <w:r>
        <w:rPr/>
        <w:t>resuelto el 7</w:t>
      </w:r>
      <w:r>
        <w:rPr>
          <w:spacing w:val="1"/>
        </w:rPr>
        <w:t> </w:t>
      </w:r>
      <w:r>
        <w:rPr/>
        <w:t>septiembre</w:t>
      </w:r>
      <w:r>
        <w:rPr>
          <w:spacing w:val="1"/>
        </w:rPr>
        <w:t> </w:t>
      </w:r>
      <w:r>
        <w:rPr>
          <w:spacing w:val="-5"/>
        </w:rPr>
        <w:t>de</w:t>
      </w:r>
    </w:p>
    <w:p>
      <w:pPr>
        <w:pStyle w:val="BodyText"/>
        <w:rPr>
          <w:sz w:val="20"/>
        </w:rPr>
      </w:pPr>
    </w:p>
    <w:p>
      <w:pPr>
        <w:pStyle w:val="BodyText"/>
        <w:rPr>
          <w:sz w:val="20"/>
        </w:rPr>
      </w:pPr>
    </w:p>
    <w:p>
      <w:pPr>
        <w:pStyle w:val="BodyText"/>
        <w:spacing w:before="126"/>
        <w:rPr>
          <w:sz w:val="20"/>
        </w:rPr>
      </w:pPr>
      <w:r>
        <w:rPr>
          <w:sz w:val="20"/>
        </w:rPr>
        <mc:AlternateContent>
          <mc:Choice Requires="wps">
            <w:drawing>
              <wp:anchor distT="0" distB="0" distL="0" distR="0" allowOverlap="1" layoutInCell="1" locked="0" behindDoc="1" simplePos="0" relativeHeight="487609344">
                <wp:simplePos x="0" y="0"/>
                <wp:positionH relativeFrom="page">
                  <wp:posOffset>719632</wp:posOffset>
                </wp:positionH>
                <wp:positionV relativeFrom="paragraph">
                  <wp:posOffset>241557</wp:posOffset>
                </wp:positionV>
                <wp:extent cx="1829435" cy="9525"/>
                <wp:effectExtent l="0" t="0" r="0" b="0"/>
                <wp:wrapTopAndBottom/>
                <wp:docPr id="158" name="Graphic 158"/>
                <wp:cNvGraphicFramePr>
                  <a:graphicFrameLocks/>
                </wp:cNvGraphicFramePr>
                <a:graphic>
                  <a:graphicData uri="http://schemas.microsoft.com/office/word/2010/wordprocessingShape">
                    <wps:wsp>
                      <wps:cNvPr id="158" name="Graphic 158"/>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9.020245pt;width:144.020pt;height:.71997pt;mso-position-horizontal-relative:page;mso-position-vertical-relative:paragraph;z-index:-15707136;mso-wrap-distance-left:0;mso-wrap-distance-right:0" id="docshape140" filled="true" fillcolor="#000000" stroked="false">
                <v:fill type="solid"/>
                <w10:wrap type="topAndBottom"/>
              </v:rect>
            </w:pict>
          </mc:Fallback>
        </mc:AlternateContent>
      </w:r>
    </w:p>
    <w:p>
      <w:pPr>
        <w:spacing w:line="244" w:lineRule="auto" w:before="140"/>
        <w:ind w:left="992" w:right="907" w:firstLine="0"/>
        <w:jc w:val="left"/>
        <w:rPr>
          <w:sz w:val="18"/>
        </w:rPr>
      </w:pPr>
      <w:bookmarkStart w:name="_bookmark63" w:id="65"/>
      <w:bookmarkEnd w:id="65"/>
      <w:r>
        <w:rPr/>
      </w:r>
      <w:r>
        <w:rPr>
          <w:rFonts w:ascii="Calibri"/>
          <w:sz w:val="18"/>
          <w:vertAlign w:val="superscript"/>
        </w:rPr>
        <w:t>37</w:t>
      </w:r>
      <w:r>
        <w:rPr>
          <w:rFonts w:ascii="Calibri"/>
          <w:sz w:val="18"/>
          <w:vertAlign w:val="baseline"/>
        </w:rPr>
        <w:t> </w:t>
      </w:r>
      <w:r>
        <w:rPr>
          <w:sz w:val="18"/>
          <w:vertAlign w:val="baseline"/>
        </w:rPr>
        <w:t>Datos obtenidos del informe sobre el grado de avance del proyecto, de 21 febrero de 2025 presentado por el Director General de Guaguas Municipales ante el BEI.</w:t>
      </w:r>
    </w:p>
    <w:p>
      <w:pPr>
        <w:spacing w:before="16"/>
        <w:ind w:left="992" w:right="0" w:firstLine="0"/>
        <w:jc w:val="left"/>
        <w:rPr>
          <w:sz w:val="18"/>
        </w:rPr>
      </w:pPr>
      <w:bookmarkStart w:name="_bookmark64" w:id="66"/>
      <w:bookmarkEnd w:id="66"/>
      <w:r>
        <w:rPr/>
      </w:r>
      <w:r>
        <w:rPr>
          <w:rFonts w:ascii="Calibri" w:hAnsi="Calibri"/>
          <w:sz w:val="18"/>
          <w:vertAlign w:val="superscript"/>
        </w:rPr>
        <w:t>38</w:t>
      </w:r>
      <w:r>
        <w:rPr>
          <w:rFonts w:ascii="Calibri" w:hAnsi="Calibri"/>
          <w:spacing w:val="2"/>
          <w:sz w:val="18"/>
          <w:vertAlign w:val="baseline"/>
        </w:rPr>
        <w:t> </w:t>
      </w:r>
      <w:r>
        <w:rPr>
          <w:sz w:val="18"/>
          <w:vertAlign w:val="baseline"/>
        </w:rPr>
        <w:t>A</w:t>
      </w:r>
      <w:r>
        <w:rPr>
          <w:spacing w:val="-2"/>
          <w:sz w:val="18"/>
          <w:vertAlign w:val="baseline"/>
        </w:rPr>
        <w:t> </w:t>
      </w:r>
      <w:r>
        <w:rPr>
          <w:sz w:val="18"/>
          <w:vertAlign w:val="baseline"/>
        </w:rPr>
        <w:t>fecha</w:t>
      </w:r>
      <w:r>
        <w:rPr>
          <w:spacing w:val="-1"/>
          <w:sz w:val="18"/>
          <w:vertAlign w:val="baseline"/>
        </w:rPr>
        <w:t> </w:t>
      </w:r>
      <w:r>
        <w:rPr>
          <w:sz w:val="18"/>
          <w:vertAlign w:val="baseline"/>
        </w:rPr>
        <w:t>de</w:t>
      </w:r>
      <w:r>
        <w:rPr>
          <w:spacing w:val="-2"/>
          <w:sz w:val="18"/>
          <w:vertAlign w:val="baseline"/>
        </w:rPr>
        <w:t> </w:t>
      </w:r>
      <w:r>
        <w:rPr>
          <w:sz w:val="18"/>
          <w:vertAlign w:val="baseline"/>
        </w:rPr>
        <w:t>corte</w:t>
      </w:r>
      <w:r>
        <w:rPr>
          <w:spacing w:val="-1"/>
          <w:sz w:val="18"/>
          <w:vertAlign w:val="baseline"/>
        </w:rPr>
        <w:t> </w:t>
      </w:r>
      <w:r>
        <w:rPr>
          <w:sz w:val="18"/>
          <w:vertAlign w:val="baseline"/>
        </w:rPr>
        <w:t>algunas</w:t>
      </w:r>
      <w:r>
        <w:rPr>
          <w:spacing w:val="-4"/>
          <w:sz w:val="18"/>
          <w:vertAlign w:val="baseline"/>
        </w:rPr>
        <w:t> </w:t>
      </w:r>
      <w:r>
        <w:rPr>
          <w:sz w:val="18"/>
          <w:vertAlign w:val="baseline"/>
        </w:rPr>
        <w:t>de</w:t>
      </w:r>
      <w:r>
        <w:rPr>
          <w:spacing w:val="-4"/>
          <w:sz w:val="18"/>
          <w:vertAlign w:val="baseline"/>
        </w:rPr>
        <w:t> </w:t>
      </w:r>
      <w:r>
        <w:rPr>
          <w:sz w:val="18"/>
          <w:vertAlign w:val="baseline"/>
        </w:rPr>
        <w:t>las subvenciones</w:t>
      </w:r>
      <w:r>
        <w:rPr>
          <w:spacing w:val="-1"/>
          <w:sz w:val="18"/>
          <w:vertAlign w:val="baseline"/>
        </w:rPr>
        <w:t> </w:t>
      </w:r>
      <w:r>
        <w:rPr>
          <w:sz w:val="18"/>
          <w:vertAlign w:val="baseline"/>
        </w:rPr>
        <w:t>recibidas</w:t>
      </w:r>
      <w:r>
        <w:rPr>
          <w:spacing w:val="-2"/>
          <w:sz w:val="18"/>
          <w:vertAlign w:val="baseline"/>
        </w:rPr>
        <w:t> </w:t>
      </w:r>
      <w:r>
        <w:rPr>
          <w:sz w:val="18"/>
          <w:vertAlign w:val="baseline"/>
        </w:rPr>
        <w:t>estaban</w:t>
      </w:r>
      <w:r>
        <w:rPr>
          <w:spacing w:val="-4"/>
          <w:sz w:val="18"/>
          <w:vertAlign w:val="baseline"/>
        </w:rPr>
        <w:t> </w:t>
      </w:r>
      <w:r>
        <w:rPr>
          <w:sz w:val="18"/>
          <w:vertAlign w:val="baseline"/>
        </w:rPr>
        <w:t>aún</w:t>
      </w:r>
      <w:r>
        <w:rPr>
          <w:spacing w:val="-4"/>
          <w:sz w:val="18"/>
          <w:vertAlign w:val="baseline"/>
        </w:rPr>
        <w:t> </w:t>
      </w:r>
      <w:r>
        <w:rPr>
          <w:sz w:val="18"/>
          <w:vertAlign w:val="baseline"/>
        </w:rPr>
        <w:t>en</w:t>
      </w:r>
      <w:r>
        <w:rPr>
          <w:spacing w:val="-1"/>
          <w:sz w:val="18"/>
          <w:vertAlign w:val="baseline"/>
        </w:rPr>
        <w:t> </w:t>
      </w:r>
      <w:r>
        <w:rPr>
          <w:sz w:val="18"/>
          <w:vertAlign w:val="baseline"/>
        </w:rPr>
        <w:t>plazo</w:t>
      </w:r>
      <w:r>
        <w:rPr>
          <w:spacing w:val="-2"/>
          <w:sz w:val="18"/>
          <w:vertAlign w:val="baseline"/>
        </w:rPr>
        <w:t> </w:t>
      </w:r>
      <w:r>
        <w:rPr>
          <w:sz w:val="18"/>
          <w:vertAlign w:val="baseline"/>
        </w:rPr>
        <w:t>para</w:t>
      </w:r>
      <w:r>
        <w:rPr>
          <w:spacing w:val="-1"/>
          <w:sz w:val="18"/>
          <w:vertAlign w:val="baseline"/>
        </w:rPr>
        <w:t> </w:t>
      </w:r>
      <w:r>
        <w:rPr>
          <w:sz w:val="18"/>
          <w:vertAlign w:val="baseline"/>
        </w:rPr>
        <w:t>su</w:t>
      </w:r>
      <w:r>
        <w:rPr>
          <w:spacing w:val="-2"/>
          <w:sz w:val="18"/>
          <w:vertAlign w:val="baseline"/>
        </w:rPr>
        <w:t> justificación.</w:t>
      </w:r>
    </w:p>
    <w:p>
      <w:pPr>
        <w:spacing w:before="19"/>
        <w:ind w:left="992" w:right="0" w:firstLine="0"/>
        <w:jc w:val="left"/>
        <w:rPr>
          <w:sz w:val="18"/>
        </w:rPr>
      </w:pPr>
      <w:bookmarkStart w:name="_bookmark65" w:id="67"/>
      <w:bookmarkEnd w:id="67"/>
      <w:r>
        <w:rPr/>
      </w:r>
      <w:r>
        <w:rPr>
          <w:position w:val="6"/>
          <w:sz w:val="12"/>
        </w:rPr>
        <w:t>39</w:t>
      </w:r>
      <w:r>
        <w:rPr>
          <w:spacing w:val="13"/>
          <w:position w:val="6"/>
          <w:sz w:val="12"/>
        </w:rPr>
        <w:t> </w:t>
      </w:r>
      <w:r>
        <w:rPr>
          <w:sz w:val="18"/>
        </w:rPr>
        <w:t>La</w:t>
      </w:r>
      <w:r>
        <w:rPr>
          <w:spacing w:val="-2"/>
          <w:sz w:val="18"/>
        </w:rPr>
        <w:t> </w:t>
      </w:r>
      <w:r>
        <w:rPr>
          <w:sz w:val="18"/>
        </w:rPr>
        <w:t>entidad</w:t>
      </w:r>
      <w:r>
        <w:rPr>
          <w:spacing w:val="-2"/>
          <w:sz w:val="18"/>
        </w:rPr>
        <w:t> </w:t>
      </w:r>
      <w:r>
        <w:rPr>
          <w:sz w:val="18"/>
        </w:rPr>
        <w:t>solo</w:t>
      </w:r>
      <w:r>
        <w:rPr>
          <w:spacing w:val="-4"/>
          <w:sz w:val="18"/>
        </w:rPr>
        <w:t> </w:t>
      </w:r>
      <w:r>
        <w:rPr>
          <w:sz w:val="18"/>
        </w:rPr>
        <w:t>ha</w:t>
      </w:r>
      <w:r>
        <w:rPr>
          <w:spacing w:val="-4"/>
          <w:sz w:val="18"/>
        </w:rPr>
        <w:t> </w:t>
      </w:r>
      <w:r>
        <w:rPr>
          <w:sz w:val="18"/>
        </w:rPr>
        <w:t>aportado</w:t>
      </w:r>
      <w:r>
        <w:rPr>
          <w:spacing w:val="-4"/>
          <w:sz w:val="18"/>
        </w:rPr>
        <w:t> </w:t>
      </w:r>
      <w:r>
        <w:rPr>
          <w:sz w:val="18"/>
        </w:rPr>
        <w:t>el</w:t>
      </w:r>
      <w:r>
        <w:rPr>
          <w:spacing w:val="-1"/>
          <w:sz w:val="18"/>
        </w:rPr>
        <w:t> </w:t>
      </w:r>
      <w:r>
        <w:rPr>
          <w:sz w:val="18"/>
        </w:rPr>
        <w:t>justificante</w:t>
      </w:r>
      <w:r>
        <w:rPr>
          <w:spacing w:val="-4"/>
          <w:sz w:val="18"/>
        </w:rPr>
        <w:t> </w:t>
      </w:r>
      <w:r>
        <w:rPr>
          <w:sz w:val="18"/>
        </w:rPr>
        <w:t>de</w:t>
      </w:r>
      <w:r>
        <w:rPr>
          <w:spacing w:val="-2"/>
          <w:sz w:val="18"/>
        </w:rPr>
        <w:t> </w:t>
      </w:r>
      <w:r>
        <w:rPr>
          <w:sz w:val="18"/>
        </w:rPr>
        <w:t>pago</w:t>
      </w:r>
      <w:r>
        <w:rPr>
          <w:spacing w:val="-4"/>
          <w:sz w:val="18"/>
        </w:rPr>
        <w:t> </w:t>
      </w:r>
      <w:r>
        <w:rPr>
          <w:sz w:val="18"/>
        </w:rPr>
        <w:t>por</w:t>
      </w:r>
      <w:r>
        <w:rPr>
          <w:spacing w:val="-2"/>
          <w:sz w:val="18"/>
        </w:rPr>
        <w:t> </w:t>
      </w:r>
      <w:r>
        <w:rPr>
          <w:sz w:val="18"/>
        </w:rPr>
        <w:t>importe</w:t>
      </w:r>
      <w:r>
        <w:rPr>
          <w:spacing w:val="-2"/>
          <w:sz w:val="18"/>
        </w:rPr>
        <w:t> </w:t>
      </w:r>
      <w:r>
        <w:rPr>
          <w:sz w:val="18"/>
        </w:rPr>
        <w:t>de</w:t>
      </w:r>
      <w:r>
        <w:rPr>
          <w:spacing w:val="-4"/>
          <w:sz w:val="18"/>
        </w:rPr>
        <w:t> </w:t>
      </w:r>
      <w:r>
        <w:rPr>
          <w:sz w:val="18"/>
        </w:rPr>
        <w:t>720.406,25</w:t>
      </w:r>
      <w:r>
        <w:rPr>
          <w:spacing w:val="-1"/>
          <w:sz w:val="18"/>
        </w:rPr>
        <w:t> </w:t>
      </w:r>
      <w:r>
        <w:rPr>
          <w:spacing w:val="-2"/>
          <w:sz w:val="18"/>
        </w:rPr>
        <w:t>euros.</w:t>
      </w:r>
    </w:p>
    <w:p>
      <w:pPr>
        <w:spacing w:after="0"/>
        <w:jc w:val="left"/>
        <w:rPr>
          <w:sz w:val="18"/>
        </w:rPr>
        <w:sectPr>
          <w:pgSz w:w="11910" w:h="16840"/>
          <w:pgMar w:header="1227" w:footer="839" w:top="1420" w:bottom="1060" w:left="141" w:right="141"/>
        </w:sectPr>
      </w:pPr>
    </w:p>
    <w:p>
      <w:pPr>
        <w:pStyle w:val="BodyText"/>
      </w:pPr>
    </w:p>
    <w:p>
      <w:pPr>
        <w:pStyle w:val="BodyText"/>
      </w:pPr>
    </w:p>
    <w:p>
      <w:pPr>
        <w:pStyle w:val="BodyText"/>
      </w:pPr>
    </w:p>
    <w:p>
      <w:pPr>
        <w:pStyle w:val="BodyText"/>
        <w:spacing w:before="112"/>
      </w:pPr>
    </w:p>
    <w:p>
      <w:pPr>
        <w:pStyle w:val="BodyText"/>
        <w:ind w:left="992" w:right="986"/>
        <w:jc w:val="both"/>
      </w:pPr>
      <w:r>
        <w:rPr/>
        <w:t>2023, por incumplimiento de los plazos por parte del contratista</w:t>
      </w:r>
      <w:hyperlink w:history="true" w:anchor="_bookmark66">
        <w:r>
          <w:rPr>
            <w:vertAlign w:val="superscript"/>
          </w:rPr>
          <w:t>40</w:t>
        </w:r>
        <w:r>
          <w:rPr>
            <w:vertAlign w:val="baseline"/>
          </w:rPr>
          <w:t>.</w:t>
        </w:r>
      </w:hyperlink>
      <w:r>
        <w:rPr>
          <w:vertAlign w:val="baseline"/>
        </w:rPr>
        <w:t> Según consta en el acuerdo de resolución del contrato, la empresa presentó tres programas de trabajo para la ejecución de las obras, sin que las razones invocadas por la adjudicataria para justificar el incumplimiento de los plazos previstos en los mismos </w:t>
      </w:r>
      <w:r>
        <w:rPr>
          <w:rFonts w:ascii="Symbol" w:hAnsi="Symbol"/>
          <w:vertAlign w:val="baseline"/>
        </w:rPr>
        <w:t></w:t>
      </w:r>
      <w:r>
        <w:rPr>
          <w:vertAlign w:val="baseline"/>
        </w:rPr>
        <w:t>e incluso la paralización de las obras</w:t>
      </w:r>
      <w:r>
        <w:rPr>
          <w:rFonts w:ascii="Symbol" w:hAnsi="Symbol"/>
          <w:vertAlign w:val="baseline"/>
        </w:rPr>
        <w:t></w:t>
      </w:r>
      <w:r>
        <w:rPr>
          <w:rFonts w:ascii="Times New Roman" w:hAnsi="Times New Roman"/>
          <w:vertAlign w:val="baseline"/>
        </w:rPr>
        <w:t> </w:t>
      </w:r>
      <w:r>
        <w:rPr>
          <w:vertAlign w:val="baseline"/>
        </w:rPr>
        <w:t>fueran aceptadas por el Ayuntamiento. Transcurridos quince meses sobre</w:t>
      </w:r>
      <w:r>
        <w:rPr>
          <w:spacing w:val="-2"/>
          <w:vertAlign w:val="baseline"/>
        </w:rPr>
        <w:t> </w:t>
      </w:r>
      <w:r>
        <w:rPr>
          <w:vertAlign w:val="baseline"/>
        </w:rPr>
        <w:t>los diecisiete que señalaba el</w:t>
      </w:r>
      <w:r>
        <w:rPr>
          <w:spacing w:val="-1"/>
          <w:vertAlign w:val="baseline"/>
        </w:rPr>
        <w:t> </w:t>
      </w:r>
      <w:r>
        <w:rPr>
          <w:vertAlign w:val="baseline"/>
        </w:rPr>
        <w:t>contrato,</w:t>
      </w:r>
      <w:r>
        <w:rPr>
          <w:spacing w:val="-1"/>
          <w:vertAlign w:val="baseline"/>
        </w:rPr>
        <w:t> </w:t>
      </w:r>
      <w:r>
        <w:rPr>
          <w:vertAlign w:val="baseline"/>
        </w:rPr>
        <w:t>se había certificado menos del 5 % del presupuesto aprobado. En el acuerdo de resolución del contrato se acordó la incautación de la garantía definitiva, sin que conste que se haya cuantificado la indemnización de los daños y perjuicios ocasionados por el contratista, en el caso en que estos hubieran excedido del importe de la garantía incautada, conforme el artículo 213.3 de la LCSP, ni, por tanto, su abono. Durante el periodo fiscalizado no se han realizado actuaciones posteriores relativas</w:t>
      </w:r>
      <w:r>
        <w:rPr>
          <w:spacing w:val="-2"/>
          <w:vertAlign w:val="baseline"/>
        </w:rPr>
        <w:t> </w:t>
      </w:r>
      <w:r>
        <w:rPr>
          <w:vertAlign w:val="baseline"/>
        </w:rPr>
        <w:t>a</w:t>
      </w:r>
      <w:r>
        <w:rPr>
          <w:spacing w:val="-2"/>
          <w:vertAlign w:val="baseline"/>
        </w:rPr>
        <w:t> </w:t>
      </w:r>
      <w:r>
        <w:rPr>
          <w:vertAlign w:val="baseline"/>
        </w:rPr>
        <w:t>estas</w:t>
      </w:r>
      <w:r>
        <w:rPr>
          <w:spacing w:val="-1"/>
          <w:vertAlign w:val="baseline"/>
        </w:rPr>
        <w:t> </w:t>
      </w:r>
      <w:r>
        <w:rPr>
          <w:vertAlign w:val="baseline"/>
        </w:rPr>
        <w:t>obras, a</w:t>
      </w:r>
      <w:r>
        <w:rPr>
          <w:spacing w:val="-2"/>
          <w:vertAlign w:val="baseline"/>
        </w:rPr>
        <w:t> </w:t>
      </w:r>
      <w:r>
        <w:rPr>
          <w:vertAlign w:val="baseline"/>
        </w:rPr>
        <w:t>pesar</w:t>
      </w:r>
      <w:r>
        <w:rPr>
          <w:spacing w:val="-1"/>
          <w:vertAlign w:val="baseline"/>
        </w:rPr>
        <w:t> </w:t>
      </w:r>
      <w:r>
        <w:rPr>
          <w:vertAlign w:val="baseline"/>
        </w:rPr>
        <w:t>de</w:t>
      </w:r>
      <w:r>
        <w:rPr>
          <w:spacing w:val="-2"/>
          <w:vertAlign w:val="baseline"/>
        </w:rPr>
        <w:t> </w:t>
      </w:r>
      <w:r>
        <w:rPr>
          <w:vertAlign w:val="baseline"/>
        </w:rPr>
        <w:t>que</w:t>
      </w:r>
      <w:r>
        <w:rPr>
          <w:spacing w:val="-2"/>
          <w:vertAlign w:val="baseline"/>
        </w:rPr>
        <w:t> </w:t>
      </w:r>
      <w:r>
        <w:rPr>
          <w:vertAlign w:val="baseline"/>
        </w:rPr>
        <w:t>la LCSP</w:t>
      </w:r>
      <w:r>
        <w:rPr>
          <w:spacing w:val="-2"/>
          <w:vertAlign w:val="baseline"/>
        </w:rPr>
        <w:t> </w:t>
      </w:r>
      <w:r>
        <w:rPr>
          <w:vertAlign w:val="baseline"/>
        </w:rPr>
        <w:t>habilita a que, al</w:t>
      </w:r>
      <w:r>
        <w:rPr>
          <w:spacing w:val="-2"/>
          <w:vertAlign w:val="baseline"/>
        </w:rPr>
        <w:t> </w:t>
      </w:r>
      <w:r>
        <w:rPr>
          <w:vertAlign w:val="baseline"/>
        </w:rPr>
        <w:t>tiempo</w:t>
      </w:r>
      <w:r>
        <w:rPr>
          <w:spacing w:val="-2"/>
          <w:vertAlign w:val="baseline"/>
        </w:rPr>
        <w:t> </w:t>
      </w:r>
      <w:r>
        <w:rPr>
          <w:vertAlign w:val="baseline"/>
        </w:rPr>
        <w:t>de incoarse</w:t>
      </w:r>
      <w:r>
        <w:rPr>
          <w:spacing w:val="-1"/>
          <w:vertAlign w:val="baseline"/>
        </w:rPr>
        <w:t> </w:t>
      </w:r>
      <w:r>
        <w:rPr>
          <w:vertAlign w:val="baseline"/>
        </w:rPr>
        <w:t>el</w:t>
      </w:r>
      <w:r>
        <w:rPr>
          <w:spacing w:val="-3"/>
          <w:vertAlign w:val="baseline"/>
        </w:rPr>
        <w:t> </w:t>
      </w:r>
      <w:r>
        <w:rPr>
          <w:vertAlign w:val="baseline"/>
        </w:rPr>
        <w:t>expediente administrativo de</w:t>
      </w:r>
      <w:r>
        <w:rPr>
          <w:spacing w:val="-2"/>
          <w:vertAlign w:val="baseline"/>
        </w:rPr>
        <w:t> </w:t>
      </w:r>
      <w:r>
        <w:rPr>
          <w:vertAlign w:val="baseline"/>
        </w:rPr>
        <w:t>resolución del contrato, pueda iniciarse el procedimiento para la adjudicación del nuevo contrato, quedando condiciona la adjudicación de este a la terminación del expediente de </w:t>
      </w:r>
      <w:r>
        <w:rPr>
          <w:spacing w:val="-2"/>
          <w:vertAlign w:val="baseline"/>
        </w:rPr>
        <w:t>resolución.</w:t>
      </w:r>
    </w:p>
    <w:p>
      <w:pPr>
        <w:pStyle w:val="BodyText"/>
        <w:spacing w:before="242"/>
        <w:ind w:left="992" w:right="987"/>
        <w:jc w:val="both"/>
      </w:pPr>
      <w:r>
        <w:rPr/>
        <w:t>Lo descrito ha supuesto que las obras se encuentren aún sin concluir, además de que el Ayuntamiento haya tenido que reintegrar la subvención concedida en diciembre de 2018 por el Ministerio de Fomento por importe de 10.000.000,00 euros junto con los intereses de demora por 2.307.073,18 euros, al no haber podido justificar la ejecución de las obras en la fecha límite concedida, 30</w:t>
      </w:r>
      <w:r>
        <w:rPr>
          <w:spacing w:val="-2"/>
        </w:rPr>
        <w:t> </w:t>
      </w:r>
      <w:r>
        <w:rPr/>
        <w:t>de</w:t>
      </w:r>
      <w:r>
        <w:rPr>
          <w:spacing w:val="-2"/>
        </w:rPr>
        <w:t> </w:t>
      </w:r>
      <w:r>
        <w:rPr/>
        <w:t>noviembre de</w:t>
      </w:r>
      <w:r>
        <w:rPr>
          <w:spacing w:val="-2"/>
        </w:rPr>
        <w:t> </w:t>
      </w:r>
      <w:r>
        <w:rPr/>
        <w:t>2022. La</w:t>
      </w:r>
      <w:r>
        <w:rPr>
          <w:spacing w:val="-2"/>
        </w:rPr>
        <w:t> </w:t>
      </w:r>
      <w:r>
        <w:rPr/>
        <w:t>entidad</w:t>
      </w:r>
      <w:r>
        <w:rPr>
          <w:spacing w:val="-4"/>
        </w:rPr>
        <w:t> </w:t>
      </w:r>
      <w:r>
        <w:rPr/>
        <w:t>ha aportado el</w:t>
      </w:r>
      <w:r>
        <w:rPr>
          <w:spacing w:val="-3"/>
        </w:rPr>
        <w:t> </w:t>
      </w:r>
      <w:r>
        <w:rPr/>
        <w:t>justificante bancario del</w:t>
      </w:r>
      <w:r>
        <w:rPr>
          <w:spacing w:val="-2"/>
        </w:rPr>
        <w:t> </w:t>
      </w:r>
      <w:r>
        <w:rPr/>
        <w:t>ingreso</w:t>
      </w:r>
      <w:r>
        <w:rPr>
          <w:spacing w:val="-2"/>
        </w:rPr>
        <w:t> </w:t>
      </w:r>
      <w:r>
        <w:rPr/>
        <w:t>al Tesoro Público de 10.000.000,00 euros, de fecha 25 de abril de 2024, no así de los intereses de </w:t>
      </w:r>
      <w:r>
        <w:rPr>
          <w:spacing w:val="-2"/>
        </w:rPr>
        <w:t>demora.</w:t>
      </w:r>
    </w:p>
    <w:p>
      <w:pPr>
        <w:pStyle w:val="BodyText"/>
        <w:spacing w:before="240"/>
        <w:ind w:left="992" w:right="986"/>
        <w:jc w:val="both"/>
      </w:pPr>
      <w:r>
        <w:rPr/>
        <w:t>Otro de los expedientes contractuales tramitados por la empresa municipal de transportes del </w:t>
      </w:r>
      <w:r>
        <w:rPr>
          <w:b/>
        </w:rPr>
        <w:t>Ayuntamiento de Las Palmas de Gran Canaria </w:t>
      </w:r>
      <w:r>
        <w:rPr/>
        <w:t>se corresponde con las obras del paso inferior que discurre en el entorno del Parque Santa Catalina, ubicadas en el tramo 7. El contrato se formalizó el 1 de febrero de 2022, por un importe de 16.550.257,72 euros y un plazo de ejecución de 292 días desde la firma del acta de comprobación de replanteo, por lo que las obras debían concluir el 31 de enero de 2023. Sin embargo, diversas incidencias acaecidas a lo largo de su ejecución han motivado que el contrato se haya resuelto y haya que licitarse un nuevo expediente contractual por las obras pendientes de ejecutar.</w:t>
      </w:r>
    </w:p>
    <w:p>
      <w:pPr>
        <w:pStyle w:val="BodyText"/>
        <w:spacing w:before="240"/>
        <w:ind w:left="992" w:right="989"/>
        <w:jc w:val="both"/>
      </w:pPr>
      <w:r>
        <w:rPr/>
        <w:t>Así,</w:t>
      </w:r>
      <w:r>
        <w:rPr>
          <w:spacing w:val="-14"/>
        </w:rPr>
        <w:t> </w:t>
      </w:r>
      <w:r>
        <w:rPr/>
        <w:t>en</w:t>
      </w:r>
      <w:r>
        <w:rPr>
          <w:spacing w:val="-15"/>
        </w:rPr>
        <w:t> </w:t>
      </w:r>
      <w:r>
        <w:rPr/>
        <w:t>enero</w:t>
      </w:r>
      <w:r>
        <w:rPr>
          <w:spacing w:val="-16"/>
        </w:rPr>
        <w:t> </w:t>
      </w:r>
      <w:r>
        <w:rPr/>
        <w:t>de</w:t>
      </w:r>
      <w:r>
        <w:rPr>
          <w:spacing w:val="-13"/>
        </w:rPr>
        <w:t> </w:t>
      </w:r>
      <w:r>
        <w:rPr/>
        <w:t>2023</w:t>
      </w:r>
      <w:r>
        <w:rPr>
          <w:spacing w:val="-14"/>
        </w:rPr>
        <w:t> </w:t>
      </w:r>
      <w:r>
        <w:rPr/>
        <w:t>se</w:t>
      </w:r>
      <w:r>
        <w:rPr>
          <w:spacing w:val="-16"/>
        </w:rPr>
        <w:t> </w:t>
      </w:r>
      <w:r>
        <w:rPr/>
        <w:t>suspendieron</w:t>
      </w:r>
      <w:r>
        <w:rPr>
          <w:spacing w:val="-13"/>
        </w:rPr>
        <w:t> </w:t>
      </w:r>
      <w:r>
        <w:rPr/>
        <w:t>temporalmente</w:t>
      </w:r>
      <w:r>
        <w:rPr>
          <w:spacing w:val="-14"/>
        </w:rPr>
        <w:t> </w:t>
      </w:r>
      <w:r>
        <w:rPr/>
        <w:t>las</w:t>
      </w:r>
      <w:r>
        <w:rPr>
          <w:spacing w:val="-13"/>
        </w:rPr>
        <w:t> </w:t>
      </w:r>
      <w:r>
        <w:rPr/>
        <w:t>obras</w:t>
      </w:r>
      <w:r>
        <w:rPr>
          <w:spacing w:val="-13"/>
        </w:rPr>
        <w:t> </w:t>
      </w:r>
      <w:r>
        <w:rPr/>
        <w:t>y</w:t>
      </w:r>
      <w:r>
        <w:rPr>
          <w:spacing w:val="-14"/>
        </w:rPr>
        <w:t> </w:t>
      </w:r>
      <w:r>
        <w:rPr/>
        <w:t>se</w:t>
      </w:r>
      <w:r>
        <w:rPr>
          <w:spacing w:val="-14"/>
        </w:rPr>
        <w:t> </w:t>
      </w:r>
      <w:r>
        <w:rPr/>
        <w:t>aprobó</w:t>
      </w:r>
      <w:r>
        <w:rPr>
          <w:spacing w:val="-13"/>
        </w:rPr>
        <w:t> </w:t>
      </w:r>
      <w:r>
        <w:rPr/>
        <w:t>la</w:t>
      </w:r>
      <w:r>
        <w:rPr>
          <w:spacing w:val="-14"/>
        </w:rPr>
        <w:t> </w:t>
      </w:r>
      <w:r>
        <w:rPr/>
        <w:t>ampliación</w:t>
      </w:r>
      <w:r>
        <w:rPr>
          <w:spacing w:val="-14"/>
        </w:rPr>
        <w:t> </w:t>
      </w:r>
      <w:r>
        <w:rPr/>
        <w:t>del</w:t>
      </w:r>
      <w:r>
        <w:rPr>
          <w:spacing w:val="-14"/>
        </w:rPr>
        <w:t> </w:t>
      </w:r>
      <w:r>
        <w:rPr/>
        <w:t>plazo de</w:t>
      </w:r>
      <w:r>
        <w:rPr>
          <w:spacing w:val="-1"/>
        </w:rPr>
        <w:t> </w:t>
      </w:r>
      <w:r>
        <w:rPr/>
        <w:t>ejecución</w:t>
      </w:r>
      <w:r>
        <w:rPr>
          <w:spacing w:val="-1"/>
        </w:rPr>
        <w:t> </w:t>
      </w:r>
      <w:r>
        <w:rPr/>
        <w:t>del</w:t>
      </w:r>
      <w:r>
        <w:rPr>
          <w:spacing w:val="-1"/>
        </w:rPr>
        <w:t> </w:t>
      </w:r>
      <w:r>
        <w:rPr/>
        <w:t>contrato</w:t>
      </w:r>
      <w:r>
        <w:rPr>
          <w:spacing w:val="-3"/>
        </w:rPr>
        <w:t> </w:t>
      </w:r>
      <w:r>
        <w:rPr/>
        <w:t>por un</w:t>
      </w:r>
      <w:r>
        <w:rPr>
          <w:spacing w:val="-1"/>
        </w:rPr>
        <w:t> </w:t>
      </w:r>
      <w:r>
        <w:rPr/>
        <w:t>plazo</w:t>
      </w:r>
      <w:r>
        <w:rPr>
          <w:spacing w:val="-1"/>
        </w:rPr>
        <w:t> </w:t>
      </w:r>
      <w:r>
        <w:rPr/>
        <w:t>de</w:t>
      </w:r>
      <w:r>
        <w:rPr>
          <w:spacing w:val="-3"/>
        </w:rPr>
        <w:t> </w:t>
      </w:r>
      <w:r>
        <w:rPr/>
        <w:t>143</w:t>
      </w:r>
      <w:r>
        <w:rPr>
          <w:spacing w:val="-1"/>
        </w:rPr>
        <w:t> </w:t>
      </w:r>
      <w:r>
        <w:rPr/>
        <w:t>días, por</w:t>
      </w:r>
      <w:r>
        <w:rPr>
          <w:spacing w:val="-2"/>
        </w:rPr>
        <w:t> </w:t>
      </w:r>
      <w:r>
        <w:rPr/>
        <w:t>lo</w:t>
      </w:r>
      <w:r>
        <w:rPr>
          <w:spacing w:val="-1"/>
        </w:rPr>
        <w:t> </w:t>
      </w:r>
      <w:r>
        <w:rPr/>
        <w:t>que</w:t>
      </w:r>
      <w:r>
        <w:rPr>
          <w:spacing w:val="-1"/>
        </w:rPr>
        <w:t> </w:t>
      </w:r>
      <w:r>
        <w:rPr/>
        <w:t>la</w:t>
      </w:r>
      <w:r>
        <w:rPr>
          <w:spacing w:val="-1"/>
        </w:rPr>
        <w:t> </w:t>
      </w:r>
      <w:r>
        <w:rPr/>
        <w:t>nueva</w:t>
      </w:r>
      <w:r>
        <w:rPr>
          <w:spacing w:val="-3"/>
        </w:rPr>
        <w:t> </w:t>
      </w:r>
      <w:r>
        <w:rPr/>
        <w:t>fecha</w:t>
      </w:r>
      <w:r>
        <w:rPr>
          <w:spacing w:val="-1"/>
        </w:rPr>
        <w:t> </w:t>
      </w:r>
      <w:r>
        <w:rPr/>
        <w:t>de</w:t>
      </w:r>
      <w:r>
        <w:rPr>
          <w:spacing w:val="-1"/>
        </w:rPr>
        <w:t> </w:t>
      </w:r>
      <w:r>
        <w:rPr/>
        <w:t>finalización</w:t>
      </w:r>
      <w:r>
        <w:rPr>
          <w:spacing w:val="-1"/>
        </w:rPr>
        <w:t> </w:t>
      </w:r>
      <w:r>
        <w:rPr/>
        <w:t>de</w:t>
      </w:r>
      <w:r>
        <w:rPr>
          <w:spacing w:val="-1"/>
        </w:rPr>
        <w:t> </w:t>
      </w:r>
      <w:r>
        <w:rPr/>
        <w:t>las obras fue el 23 de junio de 2023.</w:t>
      </w:r>
    </w:p>
    <w:p>
      <w:pPr>
        <w:pStyle w:val="BodyText"/>
        <w:spacing w:before="239"/>
        <w:ind w:left="992" w:right="986"/>
        <w:jc w:val="both"/>
      </w:pPr>
      <w:r>
        <w:rPr/>
        <w:t>En junio de 2023 se evidenciaron problemas de inestabilidades, deslizamientos y derrumbes de importante envergadura de la capa superficial, así como la necesidad de realizar nuevos trazados de las conducciones y canalizaciones, lo que motivó que hubiera que modificarse el contrato, con un aumento del importe del contrato de 4.947.906,11 euros, que representa el 29,90 %, y una ampliación del plazo de ejecución de seis meses, de forma que las obras debían concluir en diciembre de 2023.</w:t>
      </w:r>
    </w:p>
    <w:p>
      <w:pPr>
        <w:pStyle w:val="BodyText"/>
        <w:spacing w:before="242"/>
        <w:ind w:left="992" w:right="993"/>
        <w:jc w:val="both"/>
      </w:pPr>
      <w:r>
        <w:rPr/>
        <w:t>Sin embargo, el 28 noviembre de 2023 la UTE adjudicataria de las obras declaró que el proyecto modificado</w:t>
      </w:r>
      <w:r>
        <w:rPr>
          <w:spacing w:val="22"/>
        </w:rPr>
        <w:t> </w:t>
      </w:r>
      <w:r>
        <w:rPr/>
        <w:t>aún</w:t>
      </w:r>
      <w:r>
        <w:rPr>
          <w:spacing w:val="22"/>
        </w:rPr>
        <w:t> </w:t>
      </w:r>
      <w:r>
        <w:rPr/>
        <w:t>no</w:t>
      </w:r>
      <w:r>
        <w:rPr>
          <w:spacing w:val="19"/>
        </w:rPr>
        <w:t> </w:t>
      </w:r>
      <w:r>
        <w:rPr/>
        <w:t>había</w:t>
      </w:r>
      <w:r>
        <w:rPr>
          <w:spacing w:val="22"/>
        </w:rPr>
        <w:t> </w:t>
      </w:r>
      <w:r>
        <w:rPr/>
        <w:t>sido</w:t>
      </w:r>
      <w:r>
        <w:rPr>
          <w:spacing w:val="22"/>
        </w:rPr>
        <w:t> </w:t>
      </w:r>
      <w:r>
        <w:rPr/>
        <w:t>concluido,</w:t>
      </w:r>
      <w:r>
        <w:rPr>
          <w:spacing w:val="23"/>
        </w:rPr>
        <w:t> </w:t>
      </w:r>
      <w:r>
        <w:rPr/>
        <w:t>por</w:t>
      </w:r>
      <w:r>
        <w:rPr>
          <w:spacing w:val="23"/>
        </w:rPr>
        <w:t> </w:t>
      </w:r>
      <w:r>
        <w:rPr/>
        <w:t>lo</w:t>
      </w:r>
      <w:r>
        <w:rPr>
          <w:spacing w:val="20"/>
        </w:rPr>
        <w:t> </w:t>
      </w:r>
      <w:r>
        <w:rPr/>
        <w:t>que</w:t>
      </w:r>
      <w:r>
        <w:rPr>
          <w:spacing w:val="22"/>
        </w:rPr>
        <w:t> </w:t>
      </w:r>
      <w:r>
        <w:rPr/>
        <w:t>no</w:t>
      </w:r>
      <w:r>
        <w:rPr>
          <w:spacing w:val="22"/>
        </w:rPr>
        <w:t> </w:t>
      </w:r>
      <w:r>
        <w:rPr/>
        <w:t>era</w:t>
      </w:r>
      <w:r>
        <w:rPr>
          <w:spacing w:val="20"/>
        </w:rPr>
        <w:t> </w:t>
      </w:r>
      <w:r>
        <w:rPr/>
        <w:t>posible</w:t>
      </w:r>
      <w:r>
        <w:rPr>
          <w:spacing w:val="22"/>
        </w:rPr>
        <w:t> </w:t>
      </w:r>
      <w:r>
        <w:rPr/>
        <w:t>continuar</w:t>
      </w:r>
      <w:r>
        <w:rPr>
          <w:spacing w:val="23"/>
        </w:rPr>
        <w:t> </w:t>
      </w:r>
      <w:r>
        <w:rPr/>
        <w:t>la</w:t>
      </w:r>
      <w:r>
        <w:rPr>
          <w:spacing w:val="22"/>
        </w:rPr>
        <w:t> </w:t>
      </w:r>
      <w:r>
        <w:rPr/>
        <w:t>ejecución</w:t>
      </w:r>
      <w:r>
        <w:rPr>
          <w:spacing w:val="22"/>
        </w:rPr>
        <w:t> </w:t>
      </w:r>
      <w:r>
        <w:rPr/>
        <w:t>de</w:t>
      </w:r>
      <w:r>
        <w:rPr>
          <w:spacing w:val="22"/>
        </w:rPr>
        <w:t> </w:t>
      </w:r>
      <w:r>
        <w:rPr/>
        <w:t>las</w:t>
      </w:r>
    </w:p>
    <w:p>
      <w:pPr>
        <w:pStyle w:val="BodyText"/>
        <w:rPr>
          <w:sz w:val="20"/>
        </w:rPr>
      </w:pPr>
    </w:p>
    <w:p>
      <w:pPr>
        <w:pStyle w:val="BodyText"/>
        <w:rPr>
          <w:sz w:val="20"/>
        </w:rPr>
      </w:pPr>
    </w:p>
    <w:p>
      <w:pPr>
        <w:pStyle w:val="BodyText"/>
        <w:spacing w:before="40"/>
        <w:rPr>
          <w:sz w:val="20"/>
        </w:rPr>
      </w:pPr>
      <w:r>
        <w:rPr>
          <w:sz w:val="20"/>
        </w:rPr>
        <mc:AlternateContent>
          <mc:Choice Requires="wps">
            <w:drawing>
              <wp:anchor distT="0" distB="0" distL="0" distR="0" allowOverlap="1" layoutInCell="1" locked="0" behindDoc="1" simplePos="0" relativeHeight="487609856">
                <wp:simplePos x="0" y="0"/>
                <wp:positionH relativeFrom="page">
                  <wp:posOffset>719632</wp:posOffset>
                </wp:positionH>
                <wp:positionV relativeFrom="paragraph">
                  <wp:posOffset>186969</wp:posOffset>
                </wp:positionV>
                <wp:extent cx="1829435" cy="9525"/>
                <wp:effectExtent l="0" t="0" r="0" b="0"/>
                <wp:wrapTopAndBottom/>
                <wp:docPr id="159" name="Graphic 159"/>
                <wp:cNvGraphicFramePr>
                  <a:graphicFrameLocks/>
                </wp:cNvGraphicFramePr>
                <a:graphic>
                  <a:graphicData uri="http://schemas.microsoft.com/office/word/2010/wordprocessingShape">
                    <wps:wsp>
                      <wps:cNvPr id="159" name="Graphic 159"/>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4.72204pt;width:144.020pt;height:.72003pt;mso-position-horizontal-relative:page;mso-position-vertical-relative:paragraph;z-index:-15706624;mso-wrap-distance-left:0;mso-wrap-distance-right:0" id="docshape141" filled="true" fillcolor="#000000" stroked="false">
                <v:fill type="solid"/>
                <w10:wrap type="topAndBottom"/>
              </v:rect>
            </w:pict>
          </mc:Fallback>
        </mc:AlternateContent>
      </w:r>
    </w:p>
    <w:p>
      <w:pPr>
        <w:spacing w:line="240" w:lineRule="auto" w:before="203"/>
        <w:ind w:left="992" w:right="988" w:firstLine="0"/>
        <w:jc w:val="both"/>
        <w:rPr>
          <w:sz w:val="18"/>
        </w:rPr>
      </w:pPr>
      <w:bookmarkStart w:name="_bookmark66" w:id="68"/>
      <w:bookmarkEnd w:id="68"/>
      <w:r>
        <w:rPr/>
      </w:r>
      <w:r>
        <w:rPr>
          <w:rFonts w:ascii="Calibri" w:hAnsi="Calibri"/>
          <w:sz w:val="18"/>
          <w:vertAlign w:val="superscript"/>
        </w:rPr>
        <w:t>40</w:t>
      </w:r>
      <w:r>
        <w:rPr>
          <w:rFonts w:ascii="Calibri" w:hAnsi="Calibri"/>
          <w:sz w:val="18"/>
          <w:vertAlign w:val="baseline"/>
        </w:rPr>
        <w:t> </w:t>
      </w:r>
      <w:r>
        <w:rPr>
          <w:sz w:val="18"/>
          <w:vertAlign w:val="baseline"/>
        </w:rPr>
        <w:t>Previamente</w:t>
      </w:r>
      <w:r>
        <w:rPr>
          <w:spacing w:val="-1"/>
          <w:sz w:val="18"/>
          <w:vertAlign w:val="baseline"/>
        </w:rPr>
        <w:t> </w:t>
      </w:r>
      <w:r>
        <w:rPr>
          <w:sz w:val="18"/>
          <w:vertAlign w:val="baseline"/>
        </w:rPr>
        <w:t>el</w:t>
      </w:r>
      <w:r>
        <w:rPr>
          <w:spacing w:val="-1"/>
          <w:sz w:val="18"/>
          <w:vertAlign w:val="baseline"/>
        </w:rPr>
        <w:t> </w:t>
      </w:r>
      <w:r>
        <w:rPr>
          <w:sz w:val="18"/>
          <w:vertAlign w:val="baseline"/>
        </w:rPr>
        <w:t>contratista</w:t>
      </w:r>
      <w:r>
        <w:rPr>
          <w:spacing w:val="-1"/>
          <w:sz w:val="18"/>
          <w:vertAlign w:val="baseline"/>
        </w:rPr>
        <w:t> </w:t>
      </w:r>
      <w:r>
        <w:rPr>
          <w:sz w:val="18"/>
          <w:vertAlign w:val="baseline"/>
        </w:rPr>
        <w:t>había</w:t>
      </w:r>
      <w:r>
        <w:rPr>
          <w:spacing w:val="-1"/>
          <w:sz w:val="18"/>
          <w:vertAlign w:val="baseline"/>
        </w:rPr>
        <w:t> </w:t>
      </w:r>
      <w:r>
        <w:rPr>
          <w:sz w:val="18"/>
          <w:vertAlign w:val="baseline"/>
        </w:rPr>
        <w:t>presentado un escrito</w:t>
      </w:r>
      <w:r>
        <w:rPr>
          <w:spacing w:val="-1"/>
          <w:sz w:val="18"/>
          <w:vertAlign w:val="baseline"/>
        </w:rPr>
        <w:t> </w:t>
      </w:r>
      <w:r>
        <w:rPr>
          <w:sz w:val="18"/>
          <w:vertAlign w:val="baseline"/>
        </w:rPr>
        <w:t>ante</w:t>
      </w:r>
      <w:r>
        <w:rPr>
          <w:spacing w:val="-3"/>
          <w:sz w:val="18"/>
          <w:vertAlign w:val="baseline"/>
        </w:rPr>
        <w:t> </w:t>
      </w:r>
      <w:r>
        <w:rPr>
          <w:sz w:val="18"/>
          <w:vertAlign w:val="baseline"/>
        </w:rPr>
        <w:t>el</w:t>
      </w:r>
      <w:r>
        <w:rPr>
          <w:spacing w:val="-1"/>
          <w:sz w:val="18"/>
          <w:vertAlign w:val="baseline"/>
        </w:rPr>
        <w:t> </w:t>
      </w:r>
      <w:r>
        <w:rPr>
          <w:sz w:val="18"/>
          <w:vertAlign w:val="baseline"/>
        </w:rPr>
        <w:t>Ayuntamiento</w:t>
      </w:r>
      <w:r>
        <w:rPr>
          <w:spacing w:val="-1"/>
          <w:sz w:val="18"/>
          <w:vertAlign w:val="baseline"/>
        </w:rPr>
        <w:t> </w:t>
      </w:r>
      <w:r>
        <w:rPr>
          <w:sz w:val="18"/>
          <w:vertAlign w:val="baseline"/>
        </w:rPr>
        <w:t>reclamando la</w:t>
      </w:r>
      <w:r>
        <w:rPr>
          <w:spacing w:val="-1"/>
          <w:sz w:val="18"/>
          <w:vertAlign w:val="baseline"/>
        </w:rPr>
        <w:t> </w:t>
      </w:r>
      <w:r>
        <w:rPr>
          <w:sz w:val="18"/>
          <w:vertAlign w:val="baseline"/>
        </w:rPr>
        <w:t>resolución</w:t>
      </w:r>
      <w:r>
        <w:rPr>
          <w:spacing w:val="-3"/>
          <w:sz w:val="18"/>
          <w:vertAlign w:val="baseline"/>
        </w:rPr>
        <w:t> </w:t>
      </w:r>
      <w:r>
        <w:rPr>
          <w:sz w:val="18"/>
          <w:vertAlign w:val="baseline"/>
        </w:rPr>
        <w:t>del</w:t>
      </w:r>
      <w:r>
        <w:rPr>
          <w:spacing w:val="-3"/>
          <w:sz w:val="18"/>
          <w:vertAlign w:val="baseline"/>
        </w:rPr>
        <w:t> </w:t>
      </w:r>
      <w:r>
        <w:rPr>
          <w:sz w:val="18"/>
          <w:vertAlign w:val="baseline"/>
        </w:rPr>
        <w:t>contrato</w:t>
      </w:r>
      <w:r>
        <w:rPr>
          <w:spacing w:val="-3"/>
          <w:sz w:val="18"/>
          <w:vertAlign w:val="baseline"/>
        </w:rPr>
        <w:t> </w:t>
      </w:r>
      <w:r>
        <w:rPr>
          <w:sz w:val="18"/>
          <w:vertAlign w:val="baseline"/>
        </w:rPr>
        <w:t>por el impago de determinadas certificaciones, junto con los intereses de demora y abono de los daños y perjuicios, y devolución</w:t>
      </w:r>
      <w:r>
        <w:rPr>
          <w:spacing w:val="-13"/>
          <w:sz w:val="18"/>
          <w:vertAlign w:val="baseline"/>
        </w:rPr>
        <w:t> </w:t>
      </w:r>
      <w:r>
        <w:rPr>
          <w:sz w:val="18"/>
          <w:vertAlign w:val="baseline"/>
        </w:rPr>
        <w:t>de</w:t>
      </w:r>
      <w:r>
        <w:rPr>
          <w:spacing w:val="-12"/>
          <w:sz w:val="18"/>
          <w:vertAlign w:val="baseline"/>
        </w:rPr>
        <w:t> </w:t>
      </w:r>
      <w:r>
        <w:rPr>
          <w:sz w:val="18"/>
          <w:vertAlign w:val="baseline"/>
        </w:rPr>
        <w:t>las</w:t>
      </w:r>
      <w:r>
        <w:rPr>
          <w:spacing w:val="-11"/>
          <w:sz w:val="18"/>
          <w:vertAlign w:val="baseline"/>
        </w:rPr>
        <w:t> </w:t>
      </w:r>
      <w:r>
        <w:rPr>
          <w:sz w:val="18"/>
          <w:vertAlign w:val="baseline"/>
        </w:rPr>
        <w:t>garantías</w:t>
      </w:r>
      <w:r>
        <w:rPr>
          <w:spacing w:val="-13"/>
          <w:sz w:val="18"/>
          <w:vertAlign w:val="baseline"/>
        </w:rPr>
        <w:t> </w:t>
      </w:r>
      <w:r>
        <w:rPr>
          <w:sz w:val="18"/>
          <w:vertAlign w:val="baseline"/>
        </w:rPr>
        <w:t>prestadas.</w:t>
      </w:r>
      <w:r>
        <w:rPr>
          <w:spacing w:val="-10"/>
          <w:sz w:val="18"/>
          <w:vertAlign w:val="baseline"/>
        </w:rPr>
        <w:t> </w:t>
      </w:r>
      <w:r>
        <w:rPr>
          <w:sz w:val="18"/>
          <w:vertAlign w:val="baseline"/>
        </w:rPr>
        <w:t>En</w:t>
      </w:r>
      <w:r>
        <w:rPr>
          <w:spacing w:val="-11"/>
          <w:sz w:val="18"/>
          <w:vertAlign w:val="baseline"/>
        </w:rPr>
        <w:t> </w:t>
      </w:r>
      <w:r>
        <w:rPr>
          <w:sz w:val="18"/>
          <w:vertAlign w:val="baseline"/>
        </w:rPr>
        <w:t>enero</w:t>
      </w:r>
      <w:r>
        <w:rPr>
          <w:spacing w:val="-11"/>
          <w:sz w:val="18"/>
          <w:vertAlign w:val="baseline"/>
        </w:rPr>
        <w:t> </w:t>
      </w:r>
      <w:r>
        <w:rPr>
          <w:sz w:val="18"/>
          <w:vertAlign w:val="baseline"/>
        </w:rPr>
        <w:t>de</w:t>
      </w:r>
      <w:r>
        <w:rPr>
          <w:spacing w:val="-13"/>
          <w:sz w:val="18"/>
          <w:vertAlign w:val="baseline"/>
        </w:rPr>
        <w:t> </w:t>
      </w:r>
      <w:r>
        <w:rPr>
          <w:sz w:val="18"/>
          <w:vertAlign w:val="baseline"/>
        </w:rPr>
        <w:t>2024</w:t>
      </w:r>
      <w:r>
        <w:rPr>
          <w:spacing w:val="-10"/>
          <w:sz w:val="18"/>
          <w:vertAlign w:val="baseline"/>
        </w:rPr>
        <w:t> </w:t>
      </w:r>
      <w:r>
        <w:rPr>
          <w:sz w:val="18"/>
          <w:vertAlign w:val="baseline"/>
        </w:rPr>
        <w:t>la</w:t>
      </w:r>
      <w:r>
        <w:rPr>
          <w:spacing w:val="-11"/>
          <w:sz w:val="18"/>
          <w:vertAlign w:val="baseline"/>
        </w:rPr>
        <w:t> </w:t>
      </w:r>
      <w:r>
        <w:rPr>
          <w:sz w:val="18"/>
          <w:vertAlign w:val="baseline"/>
        </w:rPr>
        <w:t>empresa</w:t>
      </w:r>
      <w:r>
        <w:rPr>
          <w:spacing w:val="-11"/>
          <w:sz w:val="18"/>
          <w:vertAlign w:val="baseline"/>
        </w:rPr>
        <w:t> </w:t>
      </w:r>
      <w:r>
        <w:rPr>
          <w:sz w:val="18"/>
          <w:vertAlign w:val="baseline"/>
        </w:rPr>
        <w:t>ha</w:t>
      </w:r>
      <w:r>
        <w:rPr>
          <w:spacing w:val="-13"/>
          <w:sz w:val="18"/>
          <w:vertAlign w:val="baseline"/>
        </w:rPr>
        <w:t> </w:t>
      </w:r>
      <w:r>
        <w:rPr>
          <w:sz w:val="18"/>
          <w:vertAlign w:val="baseline"/>
        </w:rPr>
        <w:t>interpuesto</w:t>
      </w:r>
      <w:r>
        <w:rPr>
          <w:spacing w:val="-12"/>
          <w:sz w:val="18"/>
          <w:vertAlign w:val="baseline"/>
        </w:rPr>
        <w:t> </w:t>
      </w:r>
      <w:r>
        <w:rPr>
          <w:sz w:val="18"/>
          <w:vertAlign w:val="baseline"/>
        </w:rPr>
        <w:t>un</w:t>
      </w:r>
      <w:r>
        <w:rPr>
          <w:spacing w:val="-11"/>
          <w:sz w:val="18"/>
          <w:vertAlign w:val="baseline"/>
        </w:rPr>
        <w:t> </w:t>
      </w:r>
      <w:r>
        <w:rPr>
          <w:sz w:val="18"/>
          <w:vertAlign w:val="baseline"/>
        </w:rPr>
        <w:t>recurso</w:t>
      </w:r>
      <w:r>
        <w:rPr>
          <w:spacing w:val="-11"/>
          <w:sz w:val="18"/>
          <w:vertAlign w:val="baseline"/>
        </w:rPr>
        <w:t> </w:t>
      </w:r>
      <w:r>
        <w:rPr>
          <w:sz w:val="18"/>
          <w:vertAlign w:val="baseline"/>
        </w:rPr>
        <w:t>contencioso-administrativo contra el acuerdo de resolución del contrato dictada por el Ayuntamiento.</w:t>
      </w:r>
    </w:p>
    <w:p>
      <w:pPr>
        <w:spacing w:after="0" w:line="240" w:lineRule="auto"/>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95"/>
        <w:jc w:val="both"/>
      </w:pPr>
      <w:r>
        <w:rPr/>
        <w:t>obras, y solicitó la suspensión temporal de las obras, lo que no fue autorizado por el órgano de </w:t>
      </w:r>
      <w:r>
        <w:rPr>
          <w:spacing w:val="-2"/>
        </w:rPr>
        <w:t>contratación.</w:t>
      </w:r>
    </w:p>
    <w:p>
      <w:pPr>
        <w:pStyle w:val="BodyText"/>
        <w:spacing w:before="240"/>
        <w:ind w:left="992" w:right="995"/>
        <w:jc w:val="both"/>
      </w:pPr>
      <w:r>
        <w:rPr/>
        <w:t>Discrepancias con el importe de la modificación así como otras razones invocadas por la UTE, motivaron que, en diciembre de 2023, esta solicitara la resolución del contrato así como el abono de las obras ejecutadas y una indemnización por el 3 % del importe de la prestación dejada de realizar, lo que fue desestimado por el órgano de contratación.</w:t>
      </w:r>
    </w:p>
    <w:p>
      <w:pPr>
        <w:pStyle w:val="BodyText"/>
        <w:spacing w:before="241"/>
        <w:ind w:left="992" w:right="987"/>
        <w:jc w:val="both"/>
      </w:pPr>
      <w:r>
        <w:rPr/>
        <w:t>En marzo de 2024 continuaba sin aprobarse el modificado, por lo que el órgano de contratación acordó</w:t>
      </w:r>
      <w:r>
        <w:rPr>
          <w:spacing w:val="-11"/>
        </w:rPr>
        <w:t> </w:t>
      </w:r>
      <w:r>
        <w:rPr/>
        <w:t>la</w:t>
      </w:r>
      <w:r>
        <w:rPr>
          <w:spacing w:val="-11"/>
        </w:rPr>
        <w:t> </w:t>
      </w:r>
      <w:r>
        <w:rPr/>
        <w:t>suspensión</w:t>
      </w:r>
      <w:r>
        <w:rPr>
          <w:spacing w:val="-12"/>
        </w:rPr>
        <w:t> </w:t>
      </w:r>
      <w:r>
        <w:rPr/>
        <w:t>temporal</w:t>
      </w:r>
      <w:r>
        <w:rPr>
          <w:spacing w:val="-12"/>
        </w:rPr>
        <w:t> </w:t>
      </w:r>
      <w:r>
        <w:rPr/>
        <w:t>total</w:t>
      </w:r>
      <w:r>
        <w:rPr>
          <w:spacing w:val="-12"/>
        </w:rPr>
        <w:t> </w:t>
      </w:r>
      <w:r>
        <w:rPr/>
        <w:t>de</w:t>
      </w:r>
      <w:r>
        <w:rPr>
          <w:spacing w:val="-12"/>
        </w:rPr>
        <w:t> </w:t>
      </w:r>
      <w:r>
        <w:rPr/>
        <w:t>las</w:t>
      </w:r>
      <w:r>
        <w:rPr>
          <w:spacing w:val="-9"/>
        </w:rPr>
        <w:t> </w:t>
      </w:r>
      <w:r>
        <w:rPr/>
        <w:t>obras.</w:t>
      </w:r>
      <w:r>
        <w:rPr>
          <w:spacing w:val="-7"/>
        </w:rPr>
        <w:t> </w:t>
      </w:r>
      <w:r>
        <w:rPr/>
        <w:t>Constatado</w:t>
      </w:r>
      <w:r>
        <w:rPr>
          <w:spacing w:val="-14"/>
        </w:rPr>
        <w:t> </w:t>
      </w:r>
      <w:r>
        <w:rPr/>
        <w:t>finalmente</w:t>
      </w:r>
      <w:r>
        <w:rPr>
          <w:spacing w:val="-11"/>
        </w:rPr>
        <w:t> </w:t>
      </w:r>
      <w:r>
        <w:rPr/>
        <w:t>que</w:t>
      </w:r>
      <w:r>
        <w:rPr>
          <w:spacing w:val="-9"/>
        </w:rPr>
        <w:t> </w:t>
      </w:r>
      <w:r>
        <w:rPr/>
        <w:t>el</w:t>
      </w:r>
      <w:r>
        <w:rPr>
          <w:spacing w:val="-12"/>
        </w:rPr>
        <w:t> </w:t>
      </w:r>
      <w:r>
        <w:rPr/>
        <w:t>proyecto</w:t>
      </w:r>
      <w:r>
        <w:rPr>
          <w:spacing w:val="-14"/>
        </w:rPr>
        <w:t> </w:t>
      </w:r>
      <w:r>
        <w:rPr/>
        <w:t>modificado superaba el importe máximo permitido por el artículo 111.2 del Real Decreto Ley 3/2020, de 4 de febrero, de medidas urgentes por el que se incorporan al ordenamiento jurídico español diversas directivas</w:t>
      </w:r>
      <w:r>
        <w:rPr>
          <w:spacing w:val="-4"/>
        </w:rPr>
        <w:t> </w:t>
      </w:r>
      <w:r>
        <w:rPr/>
        <w:t>de</w:t>
      </w:r>
      <w:r>
        <w:rPr>
          <w:spacing w:val="-7"/>
        </w:rPr>
        <w:t> </w:t>
      </w:r>
      <w:r>
        <w:rPr/>
        <w:t>la</w:t>
      </w:r>
      <w:r>
        <w:rPr>
          <w:spacing w:val="-4"/>
        </w:rPr>
        <w:t> </w:t>
      </w:r>
      <w:r>
        <w:rPr/>
        <w:t>Unión</w:t>
      </w:r>
      <w:r>
        <w:rPr>
          <w:spacing w:val="-4"/>
        </w:rPr>
        <w:t> </w:t>
      </w:r>
      <w:r>
        <w:rPr/>
        <w:t>europea</w:t>
      </w:r>
      <w:r>
        <w:rPr>
          <w:spacing w:val="-4"/>
        </w:rPr>
        <w:t> </w:t>
      </w:r>
      <w:r>
        <w:rPr/>
        <w:t>en</w:t>
      </w:r>
      <w:r>
        <w:rPr>
          <w:spacing w:val="-7"/>
        </w:rPr>
        <w:t> </w:t>
      </w:r>
      <w:r>
        <w:rPr/>
        <w:t>el</w:t>
      </w:r>
      <w:r>
        <w:rPr>
          <w:spacing w:val="-5"/>
        </w:rPr>
        <w:t> </w:t>
      </w:r>
      <w:r>
        <w:rPr/>
        <w:t>ámbito</w:t>
      </w:r>
      <w:r>
        <w:rPr>
          <w:spacing w:val="-4"/>
        </w:rPr>
        <w:t> </w:t>
      </w:r>
      <w:r>
        <w:rPr/>
        <w:t>de</w:t>
      </w:r>
      <w:r>
        <w:rPr>
          <w:spacing w:val="-7"/>
        </w:rPr>
        <w:t> </w:t>
      </w:r>
      <w:r>
        <w:rPr/>
        <w:t>la</w:t>
      </w:r>
      <w:r>
        <w:rPr>
          <w:spacing w:val="-6"/>
        </w:rPr>
        <w:t> </w:t>
      </w:r>
      <w:r>
        <w:rPr/>
        <w:t>contratación</w:t>
      </w:r>
      <w:r>
        <w:rPr>
          <w:spacing w:val="-4"/>
        </w:rPr>
        <w:t> </w:t>
      </w:r>
      <w:r>
        <w:rPr/>
        <w:t>pública</w:t>
      </w:r>
      <w:r>
        <w:rPr>
          <w:spacing w:val="-4"/>
        </w:rPr>
        <w:t> </w:t>
      </w:r>
      <w:r>
        <w:rPr/>
        <w:t>en</w:t>
      </w:r>
      <w:r>
        <w:rPr>
          <w:spacing w:val="-7"/>
        </w:rPr>
        <w:t> </w:t>
      </w:r>
      <w:r>
        <w:rPr/>
        <w:t>determinados</w:t>
      </w:r>
      <w:r>
        <w:rPr>
          <w:spacing w:val="-4"/>
        </w:rPr>
        <w:t> </w:t>
      </w:r>
      <w:r>
        <w:rPr/>
        <w:t>sectores,</w:t>
      </w:r>
      <w:r>
        <w:rPr>
          <w:spacing w:val="-5"/>
        </w:rPr>
        <w:t> </w:t>
      </w:r>
      <w:r>
        <w:rPr/>
        <w:t>el órgano</w:t>
      </w:r>
      <w:r>
        <w:rPr>
          <w:spacing w:val="-14"/>
        </w:rPr>
        <w:t> </w:t>
      </w:r>
      <w:r>
        <w:rPr/>
        <w:t>de</w:t>
      </w:r>
      <w:r>
        <w:rPr>
          <w:spacing w:val="-14"/>
        </w:rPr>
        <w:t> </w:t>
      </w:r>
      <w:r>
        <w:rPr/>
        <w:t>contratación</w:t>
      </w:r>
      <w:r>
        <w:rPr>
          <w:spacing w:val="-13"/>
        </w:rPr>
        <w:t> </w:t>
      </w:r>
      <w:r>
        <w:rPr/>
        <w:t>acordó,</w:t>
      </w:r>
      <w:r>
        <w:rPr>
          <w:spacing w:val="-15"/>
        </w:rPr>
        <w:t> </w:t>
      </w:r>
      <w:r>
        <w:rPr/>
        <w:t>el</w:t>
      </w:r>
      <w:r>
        <w:rPr>
          <w:spacing w:val="-15"/>
        </w:rPr>
        <w:t> </w:t>
      </w:r>
      <w:r>
        <w:rPr/>
        <w:t>11</w:t>
      </w:r>
      <w:r>
        <w:rPr>
          <w:spacing w:val="-14"/>
        </w:rPr>
        <w:t> </w:t>
      </w:r>
      <w:r>
        <w:rPr/>
        <w:t>de</w:t>
      </w:r>
      <w:r>
        <w:rPr>
          <w:spacing w:val="-16"/>
        </w:rPr>
        <w:t> </w:t>
      </w:r>
      <w:r>
        <w:rPr/>
        <w:t>julio</w:t>
      </w:r>
      <w:r>
        <w:rPr>
          <w:spacing w:val="-13"/>
        </w:rPr>
        <w:t> </w:t>
      </w:r>
      <w:r>
        <w:rPr/>
        <w:t>de</w:t>
      </w:r>
      <w:r>
        <w:rPr>
          <w:spacing w:val="-14"/>
        </w:rPr>
        <w:t> </w:t>
      </w:r>
      <w:r>
        <w:rPr/>
        <w:t>2024,</w:t>
      </w:r>
      <w:r>
        <w:rPr>
          <w:spacing w:val="-12"/>
        </w:rPr>
        <w:t> </w:t>
      </w:r>
      <w:r>
        <w:rPr/>
        <w:t>resolver</w:t>
      </w:r>
      <w:r>
        <w:rPr>
          <w:spacing w:val="-13"/>
        </w:rPr>
        <w:t> </w:t>
      </w:r>
      <w:r>
        <w:rPr/>
        <w:t>el</w:t>
      </w:r>
      <w:r>
        <w:rPr>
          <w:spacing w:val="-15"/>
        </w:rPr>
        <w:t> </w:t>
      </w:r>
      <w:r>
        <w:rPr/>
        <w:t>contrato</w:t>
      </w:r>
      <w:r>
        <w:rPr>
          <w:spacing w:val="-14"/>
        </w:rPr>
        <w:t> </w:t>
      </w:r>
      <w:r>
        <w:rPr/>
        <w:t>de</w:t>
      </w:r>
      <w:r>
        <w:rPr>
          <w:spacing w:val="-14"/>
        </w:rPr>
        <w:t> </w:t>
      </w:r>
      <w:r>
        <w:rPr/>
        <w:t>obras</w:t>
      </w:r>
      <w:r>
        <w:rPr>
          <w:spacing w:val="-12"/>
        </w:rPr>
        <w:t> </w:t>
      </w:r>
      <w:r>
        <w:rPr/>
        <w:t>por</w:t>
      </w:r>
      <w:r>
        <w:rPr>
          <w:spacing w:val="-13"/>
        </w:rPr>
        <w:t> </w:t>
      </w:r>
      <w:r>
        <w:rPr/>
        <w:t>imposibilidad de ejecutar la prestación en los términos inicialmente pactados y no ser posible llevar a cabo una modificación</w:t>
      </w:r>
      <w:r>
        <w:rPr>
          <w:spacing w:val="-16"/>
        </w:rPr>
        <w:t> </w:t>
      </w:r>
      <w:r>
        <w:rPr/>
        <w:t>del</w:t>
      </w:r>
      <w:r>
        <w:rPr>
          <w:spacing w:val="-15"/>
        </w:rPr>
        <w:t> </w:t>
      </w:r>
      <w:r>
        <w:rPr/>
        <w:t>contrato</w:t>
      </w:r>
      <w:r>
        <w:rPr>
          <w:spacing w:val="-15"/>
        </w:rPr>
        <w:t> </w:t>
      </w:r>
      <w:r>
        <w:rPr/>
        <w:t>al</w:t>
      </w:r>
      <w:r>
        <w:rPr>
          <w:spacing w:val="-16"/>
        </w:rPr>
        <w:t> </w:t>
      </w:r>
      <w:r>
        <w:rPr/>
        <w:t>no</w:t>
      </w:r>
      <w:r>
        <w:rPr>
          <w:spacing w:val="-15"/>
        </w:rPr>
        <w:t> </w:t>
      </w:r>
      <w:r>
        <w:rPr/>
        <w:t>concurrir</w:t>
      </w:r>
      <w:r>
        <w:rPr>
          <w:spacing w:val="-15"/>
        </w:rPr>
        <w:t> </w:t>
      </w:r>
      <w:r>
        <w:rPr/>
        <w:t>las</w:t>
      </w:r>
      <w:r>
        <w:rPr>
          <w:spacing w:val="-15"/>
        </w:rPr>
        <w:t> </w:t>
      </w:r>
      <w:r>
        <w:rPr/>
        <w:t>circunstancias</w:t>
      </w:r>
      <w:r>
        <w:rPr>
          <w:spacing w:val="-16"/>
        </w:rPr>
        <w:t> </w:t>
      </w:r>
      <w:r>
        <w:rPr/>
        <w:t>establecidas</w:t>
      </w:r>
      <w:r>
        <w:rPr>
          <w:spacing w:val="-15"/>
        </w:rPr>
        <w:t> </w:t>
      </w:r>
      <w:r>
        <w:rPr/>
        <w:t>legalmente,</w:t>
      </w:r>
      <w:r>
        <w:rPr>
          <w:spacing w:val="-15"/>
        </w:rPr>
        <w:t> </w:t>
      </w:r>
      <w:r>
        <w:rPr/>
        <w:t>lo</w:t>
      </w:r>
      <w:r>
        <w:rPr>
          <w:spacing w:val="-16"/>
        </w:rPr>
        <w:t> </w:t>
      </w:r>
      <w:r>
        <w:rPr/>
        <w:t>que</w:t>
      </w:r>
      <w:r>
        <w:rPr>
          <w:spacing w:val="-15"/>
        </w:rPr>
        <w:t> </w:t>
      </w:r>
      <w:r>
        <w:rPr/>
        <w:t>evidencia deficiencias en el proyecto inicialmente redactado.</w:t>
      </w:r>
    </w:p>
    <w:p>
      <w:pPr>
        <w:pStyle w:val="BodyText"/>
        <w:spacing w:before="239"/>
        <w:ind w:left="992" w:right="985"/>
        <w:jc w:val="both"/>
      </w:pPr>
      <w:r>
        <w:rPr/>
        <w:t>El</w:t>
      </w:r>
      <w:r>
        <w:rPr>
          <w:spacing w:val="-9"/>
        </w:rPr>
        <w:t> </w:t>
      </w:r>
      <w:r>
        <w:rPr/>
        <w:t>14</w:t>
      </w:r>
      <w:r>
        <w:rPr>
          <w:spacing w:val="-8"/>
        </w:rPr>
        <w:t> </w:t>
      </w:r>
      <w:r>
        <w:rPr/>
        <w:t>de</w:t>
      </w:r>
      <w:r>
        <w:rPr>
          <w:spacing w:val="-8"/>
        </w:rPr>
        <w:t> </w:t>
      </w:r>
      <w:r>
        <w:rPr/>
        <w:t>abril</w:t>
      </w:r>
      <w:r>
        <w:rPr>
          <w:spacing w:val="-9"/>
        </w:rPr>
        <w:t> </w:t>
      </w:r>
      <w:r>
        <w:rPr/>
        <w:t>de</w:t>
      </w:r>
      <w:r>
        <w:rPr>
          <w:spacing w:val="-11"/>
        </w:rPr>
        <w:t> </w:t>
      </w:r>
      <w:r>
        <w:rPr/>
        <w:t>2025</w:t>
      </w:r>
      <w:r>
        <w:rPr>
          <w:spacing w:val="-8"/>
        </w:rPr>
        <w:t> </w:t>
      </w:r>
      <w:r>
        <w:rPr/>
        <w:t>se</w:t>
      </w:r>
      <w:r>
        <w:rPr>
          <w:spacing w:val="-13"/>
        </w:rPr>
        <w:t> </w:t>
      </w:r>
      <w:r>
        <w:rPr/>
        <w:t>aprobó</w:t>
      </w:r>
      <w:r>
        <w:rPr>
          <w:spacing w:val="-7"/>
        </w:rPr>
        <w:t> </w:t>
      </w:r>
      <w:r>
        <w:rPr/>
        <w:t>la</w:t>
      </w:r>
      <w:r>
        <w:rPr>
          <w:spacing w:val="-8"/>
        </w:rPr>
        <w:t> </w:t>
      </w:r>
      <w:r>
        <w:rPr/>
        <w:t>certificación</w:t>
      </w:r>
      <w:r>
        <w:rPr>
          <w:spacing w:val="-11"/>
        </w:rPr>
        <w:t> </w:t>
      </w:r>
      <w:r>
        <w:rPr/>
        <w:t>final</w:t>
      </w:r>
      <w:r>
        <w:rPr>
          <w:spacing w:val="-9"/>
        </w:rPr>
        <w:t> </w:t>
      </w:r>
      <w:r>
        <w:rPr/>
        <w:t>de</w:t>
      </w:r>
      <w:r>
        <w:rPr>
          <w:spacing w:val="-8"/>
        </w:rPr>
        <w:t> </w:t>
      </w:r>
      <w:r>
        <w:rPr/>
        <w:t>la</w:t>
      </w:r>
      <w:r>
        <w:rPr>
          <w:spacing w:val="-8"/>
        </w:rPr>
        <w:t> </w:t>
      </w:r>
      <w:r>
        <w:rPr/>
        <w:t>obra</w:t>
      </w:r>
      <w:r>
        <w:rPr>
          <w:spacing w:val="-8"/>
        </w:rPr>
        <w:t> </w:t>
      </w:r>
      <w:r>
        <w:rPr/>
        <w:t>por</w:t>
      </w:r>
      <w:r>
        <w:rPr>
          <w:spacing w:val="-9"/>
        </w:rPr>
        <w:t> </w:t>
      </w:r>
      <w:r>
        <w:rPr/>
        <w:t>un</w:t>
      </w:r>
      <w:r>
        <w:rPr>
          <w:spacing w:val="-8"/>
        </w:rPr>
        <w:t> </w:t>
      </w:r>
      <w:r>
        <w:rPr/>
        <w:t>importe</w:t>
      </w:r>
      <w:r>
        <w:rPr>
          <w:spacing w:val="-8"/>
        </w:rPr>
        <w:t> </w:t>
      </w:r>
      <w:r>
        <w:rPr/>
        <w:t>de</w:t>
      </w:r>
      <w:r>
        <w:rPr>
          <w:spacing w:val="-7"/>
        </w:rPr>
        <w:t> </w:t>
      </w:r>
      <w:r>
        <w:rPr/>
        <w:t>-603.345,48</w:t>
      </w:r>
      <w:r>
        <w:rPr>
          <w:spacing w:val="-7"/>
        </w:rPr>
        <w:t> </w:t>
      </w:r>
      <w:r>
        <w:rPr/>
        <w:t>euros como consecuencia principalmente de las deficiencias de ejecución detectadas por la dirección facultativa de las obras. Asimismo, se acordó un importe de 365.639,51 euros en concepto de indemnización por la resolución del contrato, de</w:t>
      </w:r>
      <w:r>
        <w:rPr>
          <w:spacing w:val="-2"/>
        </w:rPr>
        <w:t> </w:t>
      </w:r>
      <w:r>
        <w:rPr/>
        <w:t>acuerdo con lo establecido en el artículo 213.4 de la LCSP</w:t>
      </w:r>
      <w:hyperlink w:history="true" w:anchor="_bookmark67">
        <w:r>
          <w:rPr>
            <w:vertAlign w:val="superscript"/>
          </w:rPr>
          <w:t>41</w:t>
        </w:r>
        <w:r>
          <w:rPr>
            <w:vertAlign w:val="baseline"/>
          </w:rPr>
          <w:t>.</w:t>
        </w:r>
      </w:hyperlink>
      <w:r>
        <w:rPr>
          <w:vertAlign w:val="baseline"/>
        </w:rPr>
        <w:t> A fecha de corte de los trabajos de fiscalización la entidad está analizando las alegaciones presentadas por la empresa contratista en relación con el mencionado acuerdo del órgano de contratación. Según ha informado el </w:t>
      </w:r>
      <w:r>
        <w:rPr>
          <w:b/>
          <w:vertAlign w:val="baseline"/>
        </w:rPr>
        <w:t>Ayuntamiento de Las Palmas de Gran Canaria</w:t>
      </w:r>
      <w:r>
        <w:rPr>
          <w:vertAlign w:val="baseline"/>
        </w:rPr>
        <w:t>, el</w:t>
      </w:r>
      <w:r>
        <w:rPr>
          <w:spacing w:val="-16"/>
          <w:vertAlign w:val="baseline"/>
        </w:rPr>
        <w:t> </w:t>
      </w:r>
      <w:r>
        <w:rPr>
          <w:vertAlign w:val="baseline"/>
        </w:rPr>
        <w:t>nuevo</w:t>
      </w:r>
      <w:r>
        <w:rPr>
          <w:spacing w:val="-13"/>
          <w:vertAlign w:val="baseline"/>
        </w:rPr>
        <w:t> </w:t>
      </w:r>
      <w:r>
        <w:rPr>
          <w:vertAlign w:val="baseline"/>
        </w:rPr>
        <w:t>proceso</w:t>
      </w:r>
      <w:r>
        <w:rPr>
          <w:spacing w:val="-16"/>
          <w:vertAlign w:val="baseline"/>
        </w:rPr>
        <w:t> </w:t>
      </w:r>
      <w:r>
        <w:rPr>
          <w:vertAlign w:val="baseline"/>
        </w:rPr>
        <w:t>de</w:t>
      </w:r>
      <w:r>
        <w:rPr>
          <w:spacing w:val="-13"/>
          <w:vertAlign w:val="baseline"/>
        </w:rPr>
        <w:t> </w:t>
      </w:r>
      <w:r>
        <w:rPr>
          <w:vertAlign w:val="baseline"/>
        </w:rPr>
        <w:t>licitación</w:t>
      </w:r>
      <w:r>
        <w:rPr>
          <w:spacing w:val="-14"/>
          <w:vertAlign w:val="baseline"/>
        </w:rPr>
        <w:t> </w:t>
      </w:r>
      <w:r>
        <w:rPr>
          <w:vertAlign w:val="baseline"/>
        </w:rPr>
        <w:t>será</w:t>
      </w:r>
      <w:r>
        <w:rPr>
          <w:spacing w:val="-16"/>
          <w:vertAlign w:val="baseline"/>
        </w:rPr>
        <w:t> </w:t>
      </w:r>
      <w:r>
        <w:rPr>
          <w:vertAlign w:val="baseline"/>
        </w:rPr>
        <w:t>abordado</w:t>
      </w:r>
      <w:r>
        <w:rPr>
          <w:spacing w:val="-15"/>
          <w:vertAlign w:val="baseline"/>
        </w:rPr>
        <w:t> </w:t>
      </w:r>
      <w:r>
        <w:rPr>
          <w:vertAlign w:val="baseline"/>
        </w:rPr>
        <w:t>por</w:t>
      </w:r>
      <w:r>
        <w:rPr>
          <w:spacing w:val="-12"/>
          <w:vertAlign w:val="baseline"/>
        </w:rPr>
        <w:t> </w:t>
      </w:r>
      <w:r>
        <w:rPr>
          <w:vertAlign w:val="baseline"/>
        </w:rPr>
        <w:t>la</w:t>
      </w:r>
      <w:r>
        <w:rPr>
          <w:spacing w:val="-16"/>
          <w:vertAlign w:val="baseline"/>
        </w:rPr>
        <w:t> </w:t>
      </w:r>
      <w:r>
        <w:rPr>
          <w:vertAlign w:val="baseline"/>
        </w:rPr>
        <w:t>propia</w:t>
      </w:r>
      <w:r>
        <w:rPr>
          <w:spacing w:val="-13"/>
          <w:vertAlign w:val="baseline"/>
        </w:rPr>
        <w:t> </w:t>
      </w:r>
      <w:r>
        <w:rPr>
          <w:vertAlign w:val="baseline"/>
        </w:rPr>
        <w:t>entidad,</w:t>
      </w:r>
      <w:r>
        <w:rPr>
          <w:spacing w:val="-15"/>
          <w:vertAlign w:val="baseline"/>
        </w:rPr>
        <w:t> </w:t>
      </w:r>
      <w:r>
        <w:rPr>
          <w:vertAlign w:val="baseline"/>
        </w:rPr>
        <w:t>siendo</w:t>
      </w:r>
      <w:r>
        <w:rPr>
          <w:spacing w:val="-14"/>
          <w:vertAlign w:val="baseline"/>
        </w:rPr>
        <w:t> </w:t>
      </w:r>
      <w:r>
        <w:rPr>
          <w:vertAlign w:val="baseline"/>
        </w:rPr>
        <w:t>previsible</w:t>
      </w:r>
      <w:r>
        <w:rPr>
          <w:spacing w:val="-14"/>
          <w:vertAlign w:val="baseline"/>
        </w:rPr>
        <w:t> </w:t>
      </w:r>
      <w:r>
        <w:rPr>
          <w:vertAlign w:val="baseline"/>
        </w:rPr>
        <w:t>que</w:t>
      </w:r>
      <w:r>
        <w:rPr>
          <w:spacing w:val="-14"/>
          <w:vertAlign w:val="baseline"/>
        </w:rPr>
        <w:t> </w:t>
      </w:r>
      <w:r>
        <w:rPr>
          <w:vertAlign w:val="baseline"/>
        </w:rPr>
        <w:t>su</w:t>
      </w:r>
      <w:r>
        <w:rPr>
          <w:spacing w:val="-14"/>
          <w:vertAlign w:val="baseline"/>
        </w:rPr>
        <w:t> </w:t>
      </w:r>
      <w:r>
        <w:rPr>
          <w:vertAlign w:val="baseline"/>
        </w:rPr>
        <w:t>licitación se inicie en el año 2026.</w:t>
      </w:r>
    </w:p>
    <w:p>
      <w:pPr>
        <w:pStyle w:val="BodyText"/>
        <w:spacing w:before="242"/>
        <w:ind w:left="992" w:right="986"/>
        <w:jc w:val="both"/>
      </w:pPr>
      <w:r>
        <w:rPr/>
        <w:t>La tercera de las obras en la que se han producido incidencias es la ejecutada en el tramo 8. El contrato se adjudicó a la única empresa que concurrió a la licitación, por importe de 3.146.765,15 euros, sin IGIC. El contrato se formalizó en diciembre de 2022, estableciéndose un plazo de ejecución de siete meses, a computar desde el día siguiente a la firma del acta de comprobación del replanteo. Pese a</w:t>
      </w:r>
      <w:r>
        <w:rPr>
          <w:spacing w:val="-2"/>
        </w:rPr>
        <w:t> </w:t>
      </w:r>
      <w:r>
        <w:rPr/>
        <w:t>que, para</w:t>
      </w:r>
      <w:r>
        <w:rPr>
          <w:spacing w:val="-2"/>
        </w:rPr>
        <w:t> </w:t>
      </w:r>
      <w:r>
        <w:rPr/>
        <w:t>la tramitación del</w:t>
      </w:r>
      <w:r>
        <w:rPr>
          <w:spacing w:val="-2"/>
        </w:rPr>
        <w:t> </w:t>
      </w:r>
      <w:r>
        <w:rPr/>
        <w:t>expediente contractual el</w:t>
      </w:r>
      <w:r>
        <w:rPr>
          <w:spacing w:val="-1"/>
        </w:rPr>
        <w:t> </w:t>
      </w:r>
      <w:r>
        <w:rPr/>
        <w:t>Ayuntamiento acudió</w:t>
      </w:r>
      <w:r>
        <w:rPr>
          <w:spacing w:val="-2"/>
        </w:rPr>
        <w:t> </w:t>
      </w:r>
      <w:r>
        <w:rPr/>
        <w:t>a la tramitación urgente, este ha sido objeto de siete prórrogas y un modificado sin variación económica respecto del proyecto de obras adjudicado (servicios afectados de los que no se tenía reflejada su posición real en los planos, necesidad de instalar los dos tramos de canalización de recogida de aguas pluviales entre otros), que han supuesto una ampliación total del plazo de ejecución de dieciséis meses, concluyendo las obras en noviembre de 2024.</w:t>
      </w:r>
    </w:p>
    <w:p>
      <w:pPr>
        <w:pStyle w:val="BodyText"/>
        <w:spacing w:before="240"/>
        <w:ind w:left="992" w:right="985"/>
        <w:jc w:val="both"/>
      </w:pPr>
      <w:r>
        <w:rPr/>
        <w:t>El </w:t>
      </w:r>
      <w:r>
        <w:rPr>
          <w:b/>
        </w:rPr>
        <w:t>Ayuntamiento de Málaga </w:t>
      </w:r>
      <w:r>
        <w:rPr/>
        <w:t>ha ejecutado cuatro actuaciones de obras dirigidas a fomentar el transporte público colectivo y lograr una mayor accesibilidad, por importe total de 1.631.330,65 euros, sin IVA, todas ellas financiadas con subvenciones del Programa de ayudas para la transformación digital y sostenible del transporte urbano, PRTR.</w:t>
      </w:r>
    </w:p>
    <w:p>
      <w:pPr>
        <w:pStyle w:val="BodyText"/>
        <w:spacing w:before="241"/>
        <w:ind w:left="992" w:right="988"/>
        <w:jc w:val="both"/>
      </w:pPr>
      <w:r>
        <w:rPr/>
        <w:t>Una</w:t>
      </w:r>
      <w:r>
        <w:rPr>
          <w:spacing w:val="-4"/>
        </w:rPr>
        <w:t> </w:t>
      </w:r>
      <w:r>
        <w:rPr/>
        <w:t>de</w:t>
      </w:r>
      <w:r>
        <w:rPr>
          <w:spacing w:val="-7"/>
        </w:rPr>
        <w:t> </w:t>
      </w:r>
      <w:r>
        <w:rPr/>
        <w:t>ellas</w:t>
      </w:r>
      <w:r>
        <w:rPr>
          <w:spacing w:val="-4"/>
        </w:rPr>
        <w:t> </w:t>
      </w:r>
      <w:r>
        <w:rPr/>
        <w:t>es</w:t>
      </w:r>
      <w:r>
        <w:rPr>
          <w:spacing w:val="-6"/>
        </w:rPr>
        <w:t> </w:t>
      </w:r>
      <w:r>
        <w:rPr/>
        <w:t>la</w:t>
      </w:r>
      <w:r>
        <w:rPr>
          <w:spacing w:val="-6"/>
        </w:rPr>
        <w:t> </w:t>
      </w:r>
      <w:r>
        <w:rPr/>
        <w:t>mejora</w:t>
      </w:r>
      <w:r>
        <w:rPr>
          <w:spacing w:val="-4"/>
        </w:rPr>
        <w:t> </w:t>
      </w:r>
      <w:r>
        <w:rPr/>
        <w:t>de</w:t>
      </w:r>
      <w:r>
        <w:rPr>
          <w:spacing w:val="-7"/>
        </w:rPr>
        <w:t> </w:t>
      </w:r>
      <w:r>
        <w:rPr/>
        <w:t>la</w:t>
      </w:r>
      <w:r>
        <w:rPr>
          <w:spacing w:val="-4"/>
        </w:rPr>
        <w:t> </w:t>
      </w:r>
      <w:r>
        <w:rPr/>
        <w:t>accesibilidad</w:t>
      </w:r>
      <w:r>
        <w:rPr>
          <w:spacing w:val="-4"/>
        </w:rPr>
        <w:t> </w:t>
      </w:r>
      <w:r>
        <w:rPr/>
        <w:t>física</w:t>
      </w:r>
      <w:r>
        <w:rPr>
          <w:spacing w:val="-4"/>
        </w:rPr>
        <w:t> </w:t>
      </w:r>
      <w:r>
        <w:rPr/>
        <w:t>de</w:t>
      </w:r>
      <w:r>
        <w:rPr>
          <w:spacing w:val="-7"/>
        </w:rPr>
        <w:t> </w:t>
      </w:r>
      <w:r>
        <w:rPr/>
        <w:t>las</w:t>
      </w:r>
      <w:r>
        <w:rPr>
          <w:spacing w:val="-4"/>
        </w:rPr>
        <w:t> </w:t>
      </w:r>
      <w:r>
        <w:rPr/>
        <w:t>paradas</w:t>
      </w:r>
      <w:r>
        <w:rPr>
          <w:spacing w:val="-6"/>
        </w:rPr>
        <w:t> </w:t>
      </w:r>
      <w:r>
        <w:rPr/>
        <w:t>de</w:t>
      </w:r>
      <w:r>
        <w:rPr>
          <w:spacing w:val="-7"/>
        </w:rPr>
        <w:t> </w:t>
      </w:r>
      <w:r>
        <w:rPr/>
        <w:t>autobús</w:t>
      </w:r>
      <w:r>
        <w:rPr>
          <w:spacing w:val="-4"/>
        </w:rPr>
        <w:t> </w:t>
      </w:r>
      <w:r>
        <w:rPr/>
        <w:t>y</w:t>
      </w:r>
      <w:r>
        <w:rPr>
          <w:spacing w:val="-6"/>
        </w:rPr>
        <w:t> </w:t>
      </w:r>
      <w:r>
        <w:rPr/>
        <w:t>su</w:t>
      </w:r>
      <w:r>
        <w:rPr>
          <w:spacing w:val="-6"/>
        </w:rPr>
        <w:t> </w:t>
      </w:r>
      <w:r>
        <w:rPr/>
        <w:t>adaptación</w:t>
      </w:r>
      <w:r>
        <w:rPr>
          <w:spacing w:val="-4"/>
        </w:rPr>
        <w:t> </w:t>
      </w:r>
      <w:r>
        <w:rPr/>
        <w:t>a</w:t>
      </w:r>
      <w:r>
        <w:rPr>
          <w:spacing w:val="-6"/>
        </w:rPr>
        <w:t> </w:t>
      </w:r>
      <w:r>
        <w:rPr/>
        <w:t>los requerimientos</w:t>
      </w:r>
      <w:r>
        <w:rPr>
          <w:spacing w:val="22"/>
        </w:rPr>
        <w:t> </w:t>
      </w:r>
      <w:r>
        <w:rPr/>
        <w:t>contenidos</w:t>
      </w:r>
      <w:r>
        <w:rPr>
          <w:spacing w:val="22"/>
        </w:rPr>
        <w:t> </w:t>
      </w:r>
      <w:r>
        <w:rPr/>
        <w:t>en</w:t>
      </w:r>
      <w:r>
        <w:rPr>
          <w:spacing w:val="22"/>
        </w:rPr>
        <w:t> </w:t>
      </w:r>
      <w:r>
        <w:rPr/>
        <w:t>el</w:t>
      </w:r>
      <w:r>
        <w:rPr>
          <w:spacing w:val="21"/>
        </w:rPr>
        <w:t> </w:t>
      </w:r>
      <w:r>
        <w:rPr/>
        <w:t>Real</w:t>
      </w:r>
      <w:r>
        <w:rPr>
          <w:spacing w:val="21"/>
        </w:rPr>
        <w:t> </w:t>
      </w:r>
      <w:r>
        <w:rPr/>
        <w:t>Decreto</w:t>
      </w:r>
      <w:r>
        <w:rPr>
          <w:spacing w:val="26"/>
        </w:rPr>
        <w:t> </w:t>
      </w:r>
      <w:r>
        <w:rPr/>
        <w:t>1544/2007,</w:t>
      </w:r>
      <w:r>
        <w:rPr>
          <w:spacing w:val="21"/>
        </w:rPr>
        <w:t> </w:t>
      </w:r>
      <w:r>
        <w:rPr/>
        <w:t>de</w:t>
      </w:r>
      <w:r>
        <w:rPr>
          <w:spacing w:val="22"/>
        </w:rPr>
        <w:t> </w:t>
      </w:r>
      <w:r>
        <w:rPr/>
        <w:t>23</w:t>
      </w:r>
      <w:r>
        <w:rPr>
          <w:spacing w:val="22"/>
        </w:rPr>
        <w:t> </w:t>
      </w:r>
      <w:r>
        <w:rPr/>
        <w:t>de</w:t>
      </w:r>
      <w:r>
        <w:rPr>
          <w:spacing w:val="19"/>
        </w:rPr>
        <w:t> </w:t>
      </w:r>
      <w:r>
        <w:rPr/>
        <w:t>noviembre</w:t>
      </w:r>
      <w:r>
        <w:rPr>
          <w:spacing w:val="-9"/>
        </w:rPr>
        <w:t> </w:t>
      </w:r>
      <w:hyperlink w:history="true" w:anchor="_bookmark68">
        <w:r>
          <w:rPr>
            <w:vertAlign w:val="superscript"/>
          </w:rPr>
          <w:t>42</w:t>
        </w:r>
      </w:hyperlink>
      <w:r>
        <w:rPr>
          <w:vertAlign w:val="baseline"/>
        </w:rPr>
        <w:t>,</w:t>
      </w:r>
      <w:r>
        <w:rPr>
          <w:spacing w:val="24"/>
          <w:vertAlign w:val="baseline"/>
        </w:rPr>
        <w:t> </w:t>
      </w:r>
      <w:r>
        <w:rPr>
          <w:vertAlign w:val="baseline"/>
        </w:rPr>
        <w:t>para</w:t>
      </w:r>
      <w:r>
        <w:rPr>
          <w:spacing w:val="22"/>
          <w:vertAlign w:val="baseline"/>
        </w:rPr>
        <w:t> </w:t>
      </w:r>
      <w:r>
        <w:rPr>
          <w:vertAlign w:val="baseline"/>
        </w:rPr>
        <w:t>lo</w:t>
      </w:r>
      <w:r>
        <w:rPr>
          <w:spacing w:val="22"/>
          <w:vertAlign w:val="baseline"/>
        </w:rPr>
        <w:t> </w:t>
      </w:r>
      <w:r>
        <w:rPr>
          <w:vertAlign w:val="baseline"/>
        </w:rPr>
        <w:t>que</w:t>
      </w:r>
      <w:r>
        <w:rPr>
          <w:spacing w:val="22"/>
          <w:vertAlign w:val="baseline"/>
        </w:rPr>
        <w:t> </w:t>
      </w:r>
      <w:r>
        <w:rPr>
          <w:vertAlign w:val="baseline"/>
        </w:rPr>
        <w:t>la</w:t>
      </w:r>
    </w:p>
    <w:p>
      <w:pPr>
        <w:pStyle w:val="BodyText"/>
        <w:spacing w:before="46"/>
        <w:rPr>
          <w:sz w:val="20"/>
        </w:rPr>
      </w:pPr>
      <w:r>
        <w:rPr>
          <w:sz w:val="20"/>
        </w:rPr>
        <mc:AlternateContent>
          <mc:Choice Requires="wps">
            <w:drawing>
              <wp:anchor distT="0" distB="0" distL="0" distR="0" allowOverlap="1" layoutInCell="1" locked="0" behindDoc="1" simplePos="0" relativeHeight="487610368">
                <wp:simplePos x="0" y="0"/>
                <wp:positionH relativeFrom="page">
                  <wp:posOffset>719632</wp:posOffset>
                </wp:positionH>
                <wp:positionV relativeFrom="paragraph">
                  <wp:posOffset>190845</wp:posOffset>
                </wp:positionV>
                <wp:extent cx="1829435" cy="9525"/>
                <wp:effectExtent l="0" t="0" r="0" b="0"/>
                <wp:wrapTopAndBottom/>
                <wp:docPr id="160" name="Graphic 160"/>
                <wp:cNvGraphicFramePr>
                  <a:graphicFrameLocks/>
                </wp:cNvGraphicFramePr>
                <a:graphic>
                  <a:graphicData uri="http://schemas.microsoft.com/office/word/2010/wordprocessingShape">
                    <wps:wsp>
                      <wps:cNvPr id="160" name="Graphic 160"/>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5.027236pt;width:144.020pt;height:.72003pt;mso-position-horizontal-relative:page;mso-position-vertical-relative:paragraph;z-index:-15706112;mso-wrap-distance-left:0;mso-wrap-distance-right:0" id="docshape142" filled="true" fillcolor="#000000" stroked="false">
                <v:fill type="solid"/>
                <w10:wrap type="topAndBottom"/>
              </v:rect>
            </w:pict>
          </mc:Fallback>
        </mc:AlternateContent>
      </w:r>
    </w:p>
    <w:p>
      <w:pPr>
        <w:spacing w:before="118"/>
        <w:ind w:left="992" w:right="996" w:firstLine="0"/>
        <w:jc w:val="both"/>
        <w:rPr>
          <w:sz w:val="18"/>
        </w:rPr>
      </w:pPr>
      <w:bookmarkStart w:name="_bookmark67" w:id="69"/>
      <w:bookmarkEnd w:id="69"/>
      <w:r>
        <w:rPr/>
      </w:r>
      <w:r>
        <w:rPr>
          <w:position w:val="6"/>
          <w:sz w:val="12"/>
        </w:rPr>
        <w:t>41</w:t>
      </w:r>
      <w:r>
        <w:rPr>
          <w:spacing w:val="27"/>
          <w:position w:val="6"/>
          <w:sz w:val="12"/>
        </w:rPr>
        <w:t> </w:t>
      </w:r>
      <w:r>
        <w:rPr>
          <w:sz w:val="18"/>
        </w:rPr>
        <w:t>La UTE reclamó en abril de 2024 una indemnización por los daños ocasionados por la alteración de las previsiones contractuales y en especial por la ampliación del plazo contractual por un importe de 3.512.568,06 euros.</w:t>
      </w:r>
    </w:p>
    <w:p>
      <w:pPr>
        <w:spacing w:before="57"/>
        <w:ind w:left="992" w:right="1001" w:firstLine="0"/>
        <w:jc w:val="both"/>
        <w:rPr>
          <w:sz w:val="18"/>
        </w:rPr>
      </w:pPr>
      <w:bookmarkStart w:name="_bookmark68" w:id="70"/>
      <w:bookmarkEnd w:id="70"/>
      <w:r>
        <w:rPr/>
      </w:r>
      <w:r>
        <w:rPr>
          <w:position w:val="6"/>
          <w:sz w:val="12"/>
        </w:rPr>
        <w:t>42</w:t>
      </w:r>
      <w:r>
        <w:rPr>
          <w:spacing w:val="40"/>
          <w:position w:val="6"/>
          <w:sz w:val="12"/>
        </w:rPr>
        <w:t> </w:t>
      </w:r>
      <w:r>
        <w:rPr>
          <w:sz w:val="18"/>
        </w:rPr>
        <w:t>Recrecido de bordillo, implantación de pavimento podotáctil, colocación de franjas de color vivo en los cristales translúcidos de las marquesinas y renovación de asientos con apoyo isquiático, electrificación de la parada para una mejora de la iluminación así como la implantación de una nueva señalética en las paradas.</w:t>
      </w:r>
    </w:p>
    <w:p>
      <w:pPr>
        <w:spacing w:after="0"/>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91"/>
        <w:jc w:val="both"/>
      </w:pPr>
      <w:r>
        <w:rPr/>
        <w:t>entidad ha celebrado seis contratos, que comprenden la redacción de los proyectos, la asistencia técnica</w:t>
      </w:r>
      <w:r>
        <w:rPr>
          <w:spacing w:val="-6"/>
        </w:rPr>
        <w:t> </w:t>
      </w:r>
      <w:r>
        <w:rPr/>
        <w:t>para</w:t>
      </w:r>
      <w:r>
        <w:rPr>
          <w:spacing w:val="-6"/>
        </w:rPr>
        <w:t> </w:t>
      </w:r>
      <w:r>
        <w:rPr/>
        <w:t>la</w:t>
      </w:r>
      <w:r>
        <w:rPr>
          <w:spacing w:val="-6"/>
        </w:rPr>
        <w:t> </w:t>
      </w:r>
      <w:r>
        <w:rPr/>
        <w:t>redacción</w:t>
      </w:r>
      <w:r>
        <w:rPr>
          <w:spacing w:val="-7"/>
        </w:rPr>
        <w:t> </w:t>
      </w:r>
      <w:r>
        <w:rPr/>
        <w:t>de</w:t>
      </w:r>
      <w:r>
        <w:rPr>
          <w:spacing w:val="-7"/>
        </w:rPr>
        <w:t> </w:t>
      </w:r>
      <w:r>
        <w:rPr/>
        <w:t>los</w:t>
      </w:r>
      <w:r>
        <w:rPr>
          <w:spacing w:val="-6"/>
        </w:rPr>
        <w:t> </w:t>
      </w:r>
      <w:r>
        <w:rPr/>
        <w:t>pliegos</w:t>
      </w:r>
      <w:r>
        <w:rPr>
          <w:spacing w:val="-6"/>
        </w:rPr>
        <w:t> </w:t>
      </w:r>
      <w:r>
        <w:rPr/>
        <w:t>técnicos</w:t>
      </w:r>
      <w:r>
        <w:rPr>
          <w:spacing w:val="-6"/>
        </w:rPr>
        <w:t> </w:t>
      </w:r>
      <w:r>
        <w:rPr/>
        <w:t>y</w:t>
      </w:r>
      <w:r>
        <w:rPr>
          <w:spacing w:val="-8"/>
        </w:rPr>
        <w:t> </w:t>
      </w:r>
      <w:r>
        <w:rPr/>
        <w:t>el</w:t>
      </w:r>
      <w:r>
        <w:rPr>
          <w:spacing w:val="-7"/>
        </w:rPr>
        <w:t> </w:t>
      </w:r>
      <w:r>
        <w:rPr/>
        <w:t>suministro,</w:t>
      </w:r>
      <w:r>
        <w:rPr>
          <w:spacing w:val="-5"/>
        </w:rPr>
        <w:t> </w:t>
      </w:r>
      <w:r>
        <w:rPr/>
        <w:t>instalación</w:t>
      </w:r>
      <w:r>
        <w:rPr>
          <w:spacing w:val="-9"/>
        </w:rPr>
        <w:t> </w:t>
      </w:r>
      <w:r>
        <w:rPr/>
        <w:t>y</w:t>
      </w:r>
      <w:r>
        <w:rPr>
          <w:spacing w:val="-6"/>
        </w:rPr>
        <w:t> </w:t>
      </w:r>
      <w:r>
        <w:rPr/>
        <w:t>obras</w:t>
      </w:r>
      <w:r>
        <w:rPr>
          <w:spacing w:val="-6"/>
        </w:rPr>
        <w:t> </w:t>
      </w:r>
      <w:r>
        <w:rPr/>
        <w:t>de</w:t>
      </w:r>
      <w:r>
        <w:rPr>
          <w:spacing w:val="-7"/>
        </w:rPr>
        <w:t> </w:t>
      </w:r>
      <w:r>
        <w:rPr/>
        <w:t>las</w:t>
      </w:r>
      <w:r>
        <w:rPr>
          <w:spacing w:val="-6"/>
        </w:rPr>
        <w:t> </w:t>
      </w:r>
      <w:r>
        <w:rPr/>
        <w:t>paradas, por importe conjunto de 303.418,74 euros, IVA excluido.</w:t>
      </w:r>
    </w:p>
    <w:p>
      <w:pPr>
        <w:pStyle w:val="BodyText"/>
        <w:spacing w:before="242"/>
        <w:ind w:left="992" w:right="986"/>
        <w:jc w:val="both"/>
      </w:pPr>
      <w:r>
        <w:rPr/>
        <w:t>Otra</w:t>
      </w:r>
      <w:r>
        <w:rPr>
          <w:spacing w:val="-4"/>
        </w:rPr>
        <w:t> </w:t>
      </w:r>
      <w:r>
        <w:rPr/>
        <w:t>ha</w:t>
      </w:r>
      <w:r>
        <w:rPr>
          <w:spacing w:val="-7"/>
        </w:rPr>
        <w:t> </w:t>
      </w:r>
      <w:r>
        <w:rPr/>
        <w:t>consistido</w:t>
      </w:r>
      <w:r>
        <w:rPr>
          <w:spacing w:val="-4"/>
        </w:rPr>
        <w:t> </w:t>
      </w:r>
      <w:r>
        <w:rPr/>
        <w:t>en</w:t>
      </w:r>
      <w:r>
        <w:rPr>
          <w:spacing w:val="-7"/>
        </w:rPr>
        <w:t> </w:t>
      </w:r>
      <w:r>
        <w:rPr/>
        <w:t>la</w:t>
      </w:r>
      <w:r>
        <w:rPr>
          <w:spacing w:val="-6"/>
        </w:rPr>
        <w:t> </w:t>
      </w:r>
      <w:r>
        <w:rPr/>
        <w:t>construcción</w:t>
      </w:r>
      <w:r>
        <w:rPr>
          <w:spacing w:val="-4"/>
        </w:rPr>
        <w:t> </w:t>
      </w:r>
      <w:r>
        <w:rPr/>
        <w:t>y</w:t>
      </w:r>
      <w:r>
        <w:rPr>
          <w:spacing w:val="-6"/>
        </w:rPr>
        <w:t> </w:t>
      </w:r>
      <w:r>
        <w:rPr/>
        <w:t>puesta</w:t>
      </w:r>
      <w:r>
        <w:rPr>
          <w:spacing w:val="-4"/>
        </w:rPr>
        <w:t> </w:t>
      </w:r>
      <w:r>
        <w:rPr/>
        <w:t>en</w:t>
      </w:r>
      <w:r>
        <w:rPr>
          <w:spacing w:val="-7"/>
        </w:rPr>
        <w:t> </w:t>
      </w:r>
      <w:r>
        <w:rPr/>
        <w:t>servicio</w:t>
      </w:r>
      <w:r>
        <w:rPr>
          <w:spacing w:val="-6"/>
        </w:rPr>
        <w:t> </w:t>
      </w:r>
      <w:r>
        <w:rPr/>
        <w:t>de</w:t>
      </w:r>
      <w:r>
        <w:rPr>
          <w:spacing w:val="-4"/>
        </w:rPr>
        <w:t> </w:t>
      </w:r>
      <w:r>
        <w:rPr/>
        <w:t>un</w:t>
      </w:r>
      <w:r>
        <w:rPr>
          <w:spacing w:val="-7"/>
        </w:rPr>
        <w:t> </w:t>
      </w:r>
      <w:r>
        <w:rPr/>
        <w:t>carril</w:t>
      </w:r>
      <w:r>
        <w:rPr>
          <w:spacing w:val="-5"/>
        </w:rPr>
        <w:t> </w:t>
      </w:r>
      <w:r>
        <w:rPr/>
        <w:t>bus</w:t>
      </w:r>
      <w:r>
        <w:rPr>
          <w:spacing w:val="-7"/>
        </w:rPr>
        <w:t> </w:t>
      </w:r>
      <w:r>
        <w:rPr/>
        <w:t>exclusivo</w:t>
      </w:r>
      <w:r>
        <w:rPr>
          <w:spacing w:val="-4"/>
        </w:rPr>
        <w:t> </w:t>
      </w:r>
      <w:r>
        <w:rPr/>
        <w:t>para</w:t>
      </w:r>
      <w:r>
        <w:rPr>
          <w:spacing w:val="-4"/>
        </w:rPr>
        <w:t> </w:t>
      </w:r>
      <w:r>
        <w:rPr/>
        <w:t>mejorar</w:t>
      </w:r>
      <w:r>
        <w:rPr>
          <w:spacing w:val="-4"/>
        </w:rPr>
        <w:t> </w:t>
      </w:r>
      <w:r>
        <w:rPr/>
        <w:t>el transporte público en el campus universitario, a fin de desincentivar el uso del vehículo privado. Estas obras comprenden la construcción de un vial exclusivo en una zona carente de infraestructuras</w:t>
      </w:r>
      <w:r>
        <w:rPr>
          <w:spacing w:val="-11"/>
        </w:rPr>
        <w:t> </w:t>
      </w:r>
      <w:r>
        <w:rPr/>
        <w:t>básicas</w:t>
      </w:r>
      <w:r>
        <w:rPr>
          <w:spacing w:val="-14"/>
        </w:rPr>
        <w:t> </w:t>
      </w:r>
      <w:r>
        <w:rPr/>
        <w:t>cedidas</w:t>
      </w:r>
      <w:r>
        <w:rPr>
          <w:spacing w:val="-8"/>
        </w:rPr>
        <w:t> </w:t>
      </w:r>
      <w:r>
        <w:rPr/>
        <w:t>por</w:t>
      </w:r>
      <w:r>
        <w:rPr>
          <w:spacing w:val="-10"/>
        </w:rPr>
        <w:t> </w:t>
      </w:r>
      <w:r>
        <w:rPr/>
        <w:t>la</w:t>
      </w:r>
      <w:r>
        <w:rPr>
          <w:spacing w:val="-11"/>
        </w:rPr>
        <w:t> </w:t>
      </w:r>
      <w:r>
        <w:rPr/>
        <w:t>Universidad</w:t>
      </w:r>
      <w:r>
        <w:rPr>
          <w:spacing w:val="-9"/>
        </w:rPr>
        <w:t> </w:t>
      </w:r>
      <w:r>
        <w:rPr/>
        <w:t>de</w:t>
      </w:r>
      <w:r>
        <w:rPr>
          <w:spacing w:val="-12"/>
        </w:rPr>
        <w:t> </w:t>
      </w:r>
      <w:r>
        <w:rPr/>
        <w:t>Málaga</w:t>
      </w:r>
      <w:r>
        <w:rPr>
          <w:spacing w:val="-11"/>
        </w:rPr>
        <w:t> </w:t>
      </w:r>
      <w:r>
        <w:rPr/>
        <w:t>y</w:t>
      </w:r>
      <w:r>
        <w:rPr>
          <w:spacing w:val="-11"/>
        </w:rPr>
        <w:t> </w:t>
      </w:r>
      <w:r>
        <w:rPr/>
        <w:t>la</w:t>
      </w:r>
      <w:r>
        <w:rPr>
          <w:spacing w:val="-11"/>
        </w:rPr>
        <w:t> </w:t>
      </w:r>
      <w:r>
        <w:rPr/>
        <w:t>instalación</w:t>
      </w:r>
      <w:r>
        <w:rPr>
          <w:spacing w:val="-9"/>
        </w:rPr>
        <w:t> </w:t>
      </w:r>
      <w:r>
        <w:rPr/>
        <w:t>semafórica</w:t>
      </w:r>
      <w:r>
        <w:rPr>
          <w:spacing w:val="-9"/>
        </w:rPr>
        <w:t> </w:t>
      </w:r>
      <w:r>
        <w:rPr/>
        <w:t>adecuada para</w:t>
      </w:r>
      <w:r>
        <w:rPr>
          <w:spacing w:val="-9"/>
        </w:rPr>
        <w:t> </w:t>
      </w:r>
      <w:r>
        <w:rPr/>
        <w:t>establecer</w:t>
      </w:r>
      <w:r>
        <w:rPr>
          <w:spacing w:val="-8"/>
        </w:rPr>
        <w:t> </w:t>
      </w:r>
      <w:r>
        <w:rPr/>
        <w:t>un</w:t>
      </w:r>
      <w:r>
        <w:rPr>
          <w:spacing w:val="-9"/>
        </w:rPr>
        <w:t> </w:t>
      </w:r>
      <w:r>
        <w:rPr/>
        <w:t>carril</w:t>
      </w:r>
      <w:r>
        <w:rPr>
          <w:spacing w:val="-10"/>
        </w:rPr>
        <w:t> </w:t>
      </w:r>
      <w:r>
        <w:rPr/>
        <w:t>exclusivo</w:t>
      </w:r>
      <w:r>
        <w:rPr>
          <w:spacing w:val="-9"/>
        </w:rPr>
        <w:t> </w:t>
      </w:r>
      <w:r>
        <w:rPr/>
        <w:t>bus</w:t>
      </w:r>
      <w:r>
        <w:rPr>
          <w:spacing w:val="-8"/>
        </w:rPr>
        <w:t> </w:t>
      </w:r>
      <w:r>
        <w:rPr/>
        <w:t>que</w:t>
      </w:r>
      <w:r>
        <w:rPr>
          <w:spacing w:val="-9"/>
        </w:rPr>
        <w:t> </w:t>
      </w:r>
      <w:r>
        <w:rPr/>
        <w:t>permita</w:t>
      </w:r>
      <w:r>
        <w:rPr>
          <w:spacing w:val="-9"/>
        </w:rPr>
        <w:t> </w:t>
      </w:r>
      <w:r>
        <w:rPr/>
        <w:t>dar</w:t>
      </w:r>
      <w:r>
        <w:rPr>
          <w:spacing w:val="-8"/>
        </w:rPr>
        <w:t> </w:t>
      </w:r>
      <w:r>
        <w:rPr/>
        <w:t>continuidad</w:t>
      </w:r>
      <w:r>
        <w:rPr>
          <w:spacing w:val="-9"/>
        </w:rPr>
        <w:t> </w:t>
      </w:r>
      <w:r>
        <w:rPr/>
        <w:t>al</w:t>
      </w:r>
      <w:r>
        <w:rPr>
          <w:spacing w:val="-10"/>
        </w:rPr>
        <w:t> </w:t>
      </w:r>
      <w:r>
        <w:rPr/>
        <w:t>transporte</w:t>
      </w:r>
      <w:r>
        <w:rPr>
          <w:spacing w:val="-9"/>
        </w:rPr>
        <w:t> </w:t>
      </w:r>
      <w:r>
        <w:rPr/>
        <w:t>público</w:t>
      </w:r>
      <w:r>
        <w:rPr>
          <w:spacing w:val="-9"/>
        </w:rPr>
        <w:t> </w:t>
      </w:r>
      <w:r>
        <w:rPr/>
        <w:t>en</w:t>
      </w:r>
      <w:r>
        <w:rPr>
          <w:spacing w:val="-9"/>
        </w:rPr>
        <w:t> </w:t>
      </w:r>
      <w:r>
        <w:rPr/>
        <w:t>autobús mediante el paso de líneas directas o con trasbordos. Para ejecutar esta actuación la entidad ha tramitado, en el</w:t>
      </w:r>
      <w:r>
        <w:rPr>
          <w:spacing w:val="-1"/>
        </w:rPr>
        <w:t> </w:t>
      </w:r>
      <w:r>
        <w:rPr/>
        <w:t>periodo fiscalizado, un expediente contractual de</w:t>
      </w:r>
      <w:r>
        <w:rPr>
          <w:spacing w:val="-2"/>
        </w:rPr>
        <w:t> </w:t>
      </w:r>
      <w:r>
        <w:rPr/>
        <w:t>obras por importe de</w:t>
      </w:r>
      <w:r>
        <w:rPr>
          <w:spacing w:val="-1"/>
        </w:rPr>
        <w:t> </w:t>
      </w:r>
      <w:r>
        <w:rPr/>
        <w:t>713.939,83 euros, IVA excluido.</w:t>
      </w:r>
    </w:p>
    <w:p>
      <w:pPr>
        <w:pStyle w:val="BodyText"/>
        <w:spacing w:before="240"/>
        <w:ind w:left="992" w:right="987"/>
        <w:jc w:val="both"/>
      </w:pPr>
      <w:r>
        <w:rPr/>
        <w:t>Las</w:t>
      </w:r>
      <w:r>
        <w:rPr>
          <w:spacing w:val="-6"/>
        </w:rPr>
        <w:t> </w:t>
      </w:r>
      <w:r>
        <w:rPr/>
        <w:t>obras</w:t>
      </w:r>
      <w:r>
        <w:rPr>
          <w:spacing w:val="-6"/>
        </w:rPr>
        <w:t> </w:t>
      </w:r>
      <w:r>
        <w:rPr/>
        <w:t>se</w:t>
      </w:r>
      <w:r>
        <w:rPr>
          <w:spacing w:val="-6"/>
        </w:rPr>
        <w:t> </w:t>
      </w:r>
      <w:r>
        <w:rPr/>
        <w:t>iban</w:t>
      </w:r>
      <w:r>
        <w:rPr>
          <w:spacing w:val="-6"/>
        </w:rPr>
        <w:t> </w:t>
      </w:r>
      <w:r>
        <w:rPr/>
        <w:t>a</w:t>
      </w:r>
      <w:r>
        <w:rPr>
          <w:spacing w:val="-6"/>
        </w:rPr>
        <w:t> </w:t>
      </w:r>
      <w:r>
        <w:rPr/>
        <w:t>desarrollar</w:t>
      </w:r>
      <w:r>
        <w:rPr>
          <w:spacing w:val="-4"/>
        </w:rPr>
        <w:t> </w:t>
      </w:r>
      <w:r>
        <w:rPr/>
        <w:t>parcialmente</w:t>
      </w:r>
      <w:r>
        <w:rPr>
          <w:spacing w:val="-6"/>
        </w:rPr>
        <w:t> </w:t>
      </w:r>
      <w:r>
        <w:rPr/>
        <w:t>en</w:t>
      </w:r>
      <w:r>
        <w:rPr>
          <w:spacing w:val="-7"/>
        </w:rPr>
        <w:t> </w:t>
      </w:r>
      <w:r>
        <w:rPr/>
        <w:t>el</w:t>
      </w:r>
      <w:r>
        <w:rPr>
          <w:spacing w:val="-10"/>
        </w:rPr>
        <w:t> </w:t>
      </w:r>
      <w:r>
        <w:rPr/>
        <w:t>dominio</w:t>
      </w:r>
      <w:r>
        <w:rPr>
          <w:spacing w:val="-6"/>
        </w:rPr>
        <w:t> </w:t>
      </w:r>
      <w:r>
        <w:rPr/>
        <w:t>público</w:t>
      </w:r>
      <w:r>
        <w:rPr>
          <w:spacing w:val="-6"/>
        </w:rPr>
        <w:t> </w:t>
      </w:r>
      <w:r>
        <w:rPr/>
        <w:t>ferroviario</w:t>
      </w:r>
      <w:r>
        <w:rPr>
          <w:spacing w:val="-6"/>
        </w:rPr>
        <w:t> </w:t>
      </w:r>
      <w:r>
        <w:rPr/>
        <w:t>y</w:t>
      </w:r>
      <w:r>
        <w:rPr>
          <w:spacing w:val="-6"/>
        </w:rPr>
        <w:t> </w:t>
      </w:r>
      <w:r>
        <w:rPr/>
        <w:t>su</w:t>
      </w:r>
      <w:r>
        <w:rPr>
          <w:spacing w:val="-6"/>
        </w:rPr>
        <w:t> </w:t>
      </w:r>
      <w:r>
        <w:rPr/>
        <w:t>zona</w:t>
      </w:r>
      <w:r>
        <w:rPr>
          <w:spacing w:val="-6"/>
        </w:rPr>
        <w:t> </w:t>
      </w:r>
      <w:r>
        <w:rPr/>
        <w:t>de</w:t>
      </w:r>
      <w:r>
        <w:rPr>
          <w:spacing w:val="-7"/>
        </w:rPr>
        <w:t> </w:t>
      </w:r>
      <w:r>
        <w:rPr/>
        <w:t>afección y era necesario solicitar la correspondiente autorización a la Consejería de Fomento, Articulación del Territorio y Vivienda a través de la Agencia de la Obra Pública de la Junta de Andalucía. En enero</w:t>
      </w:r>
      <w:r>
        <w:rPr>
          <w:spacing w:val="-1"/>
        </w:rPr>
        <w:t> </w:t>
      </w:r>
      <w:r>
        <w:rPr/>
        <w:t>de</w:t>
      </w:r>
      <w:r>
        <w:rPr>
          <w:spacing w:val="-4"/>
        </w:rPr>
        <w:t> </w:t>
      </w:r>
      <w:r>
        <w:rPr/>
        <w:t>2023</w:t>
      </w:r>
      <w:r>
        <w:rPr>
          <w:spacing w:val="-2"/>
        </w:rPr>
        <w:t> </w:t>
      </w:r>
      <w:r>
        <w:rPr/>
        <w:t>la</w:t>
      </w:r>
      <w:r>
        <w:rPr>
          <w:spacing w:val="-2"/>
        </w:rPr>
        <w:t> </w:t>
      </w:r>
      <w:r>
        <w:rPr/>
        <w:t>Agencia</w:t>
      </w:r>
      <w:r>
        <w:rPr>
          <w:spacing w:val="-2"/>
        </w:rPr>
        <w:t> </w:t>
      </w:r>
      <w:r>
        <w:rPr/>
        <w:t>emitió</w:t>
      </w:r>
      <w:r>
        <w:rPr>
          <w:spacing w:val="-4"/>
        </w:rPr>
        <w:t> </w:t>
      </w:r>
      <w:r>
        <w:rPr/>
        <w:t>resolución</w:t>
      </w:r>
      <w:r>
        <w:rPr>
          <w:spacing w:val="-4"/>
        </w:rPr>
        <w:t> </w:t>
      </w:r>
      <w:r>
        <w:rPr/>
        <w:t>favorable</w:t>
      </w:r>
      <w:r>
        <w:rPr>
          <w:spacing w:val="-2"/>
        </w:rPr>
        <w:t> </w:t>
      </w:r>
      <w:r>
        <w:rPr/>
        <w:t>y</w:t>
      </w:r>
      <w:r>
        <w:rPr>
          <w:spacing w:val="-1"/>
        </w:rPr>
        <w:t> </w:t>
      </w:r>
      <w:r>
        <w:rPr/>
        <w:t>en</w:t>
      </w:r>
      <w:r>
        <w:rPr>
          <w:spacing w:val="-2"/>
        </w:rPr>
        <w:t> </w:t>
      </w:r>
      <w:r>
        <w:rPr/>
        <w:t>abril</w:t>
      </w:r>
      <w:r>
        <w:rPr>
          <w:spacing w:val="-2"/>
        </w:rPr>
        <w:t> </w:t>
      </w:r>
      <w:r>
        <w:rPr/>
        <w:t>de</w:t>
      </w:r>
      <w:r>
        <w:rPr>
          <w:spacing w:val="-2"/>
        </w:rPr>
        <w:t> </w:t>
      </w:r>
      <w:r>
        <w:rPr/>
        <w:t>2024,</w:t>
      </w:r>
      <w:r>
        <w:rPr>
          <w:spacing w:val="-3"/>
        </w:rPr>
        <w:t> </w:t>
      </w:r>
      <w:r>
        <w:rPr/>
        <w:t>ya</w:t>
      </w:r>
      <w:r>
        <w:rPr>
          <w:spacing w:val="-2"/>
        </w:rPr>
        <w:t> </w:t>
      </w:r>
      <w:r>
        <w:rPr/>
        <w:t>formalizado</w:t>
      </w:r>
      <w:r>
        <w:rPr>
          <w:spacing w:val="-2"/>
        </w:rPr>
        <w:t> </w:t>
      </w:r>
      <w:r>
        <w:rPr/>
        <w:t>el</w:t>
      </w:r>
      <w:r>
        <w:rPr>
          <w:spacing w:val="-4"/>
        </w:rPr>
        <w:t> </w:t>
      </w:r>
      <w:r>
        <w:rPr/>
        <w:t>contrato en febrero de ese año, se firmó el acta de conformidad del replanteo y viabilidad, autorizándose el comienzo de los trabajos a partir del día siguiente a la fecha de firma. No obstante, se formularon una serie de condiciones que debían incorporarse a la obra, que implicaban cambios en el análisis/simulación que debían estudiarse con carácter previo a la ejecución de la señalización. A la vista de lo anterior, se solicitó al órgano de contratación la autorización para la redacción de un proyecto modificado con repercusión económica que recogiera la nueva regulación semafórica de la intersección proyectada. No es hasta mayo de 2025 cuando se ha aprobado el modificado, por importe de 248.126.21 euros, sin IVA.</w:t>
      </w:r>
    </w:p>
    <w:p>
      <w:pPr>
        <w:pStyle w:val="BodyText"/>
        <w:spacing w:before="241"/>
        <w:ind w:left="992" w:right="986"/>
        <w:jc w:val="both"/>
      </w:pPr>
      <w:r>
        <w:rPr/>
        <w:t>Otras de las obras que el </w:t>
      </w:r>
      <w:r>
        <w:rPr>
          <w:b/>
        </w:rPr>
        <w:t>Ayuntamiento de Málaga </w:t>
      </w:r>
      <w:r>
        <w:rPr/>
        <w:t>ha ejecutado en los ejercicios fiscalizados, a través</w:t>
      </w:r>
      <w:r>
        <w:rPr>
          <w:spacing w:val="-8"/>
        </w:rPr>
        <w:t> </w:t>
      </w:r>
      <w:r>
        <w:rPr/>
        <w:t>de</w:t>
      </w:r>
      <w:r>
        <w:rPr>
          <w:spacing w:val="-9"/>
        </w:rPr>
        <w:t> </w:t>
      </w:r>
      <w:r>
        <w:rPr/>
        <w:t>la</w:t>
      </w:r>
      <w:r>
        <w:rPr>
          <w:spacing w:val="-6"/>
        </w:rPr>
        <w:t> </w:t>
      </w:r>
      <w:r>
        <w:rPr/>
        <w:t>empresa</w:t>
      </w:r>
      <w:r>
        <w:rPr>
          <w:spacing w:val="-11"/>
        </w:rPr>
        <w:t> </w:t>
      </w:r>
      <w:r>
        <w:rPr/>
        <w:t>municipal</w:t>
      </w:r>
      <w:r>
        <w:rPr>
          <w:spacing w:val="-7"/>
        </w:rPr>
        <w:t> </w:t>
      </w:r>
      <w:r>
        <w:rPr/>
        <w:t>de</w:t>
      </w:r>
      <w:r>
        <w:rPr>
          <w:spacing w:val="-7"/>
        </w:rPr>
        <w:t> </w:t>
      </w:r>
      <w:r>
        <w:rPr/>
        <w:t>transportes,</w:t>
      </w:r>
      <w:r>
        <w:rPr>
          <w:spacing w:val="-6"/>
        </w:rPr>
        <w:t> </w:t>
      </w:r>
      <w:r>
        <w:rPr/>
        <w:t>son</w:t>
      </w:r>
      <w:r>
        <w:rPr>
          <w:spacing w:val="-6"/>
        </w:rPr>
        <w:t> </w:t>
      </w:r>
      <w:r>
        <w:rPr/>
        <w:t>las</w:t>
      </w:r>
      <w:r>
        <w:rPr>
          <w:spacing w:val="-6"/>
        </w:rPr>
        <w:t> </w:t>
      </w:r>
      <w:r>
        <w:rPr/>
        <w:t>de</w:t>
      </w:r>
      <w:r>
        <w:rPr>
          <w:spacing w:val="-9"/>
        </w:rPr>
        <w:t> </w:t>
      </w:r>
      <w:r>
        <w:rPr/>
        <w:t>priorización</w:t>
      </w:r>
      <w:r>
        <w:rPr>
          <w:spacing w:val="-5"/>
        </w:rPr>
        <w:t> </w:t>
      </w:r>
      <w:r>
        <w:rPr/>
        <w:t>en</w:t>
      </w:r>
      <w:r>
        <w:rPr>
          <w:spacing w:val="-9"/>
        </w:rPr>
        <w:t> </w:t>
      </w:r>
      <w:r>
        <w:rPr/>
        <w:t>el</w:t>
      </w:r>
      <w:r>
        <w:rPr>
          <w:spacing w:val="-7"/>
        </w:rPr>
        <w:t> </w:t>
      </w:r>
      <w:r>
        <w:rPr/>
        <w:t>viario</w:t>
      </w:r>
      <w:r>
        <w:rPr>
          <w:spacing w:val="-7"/>
        </w:rPr>
        <w:t> </w:t>
      </w:r>
      <w:r>
        <w:rPr/>
        <w:t>y</w:t>
      </w:r>
      <w:r>
        <w:rPr>
          <w:spacing w:val="-8"/>
        </w:rPr>
        <w:t> </w:t>
      </w:r>
      <w:r>
        <w:rPr/>
        <w:t>construcción</w:t>
      </w:r>
      <w:r>
        <w:rPr>
          <w:spacing w:val="-6"/>
        </w:rPr>
        <w:t> </w:t>
      </w:r>
      <w:r>
        <w:rPr/>
        <w:t>de paradas accesibles en una zona de la ciudad. El establecimiento de una zona de bajas emisiones llevó al Ayuntamiento a incrementar el servicio de transporte público al centro de la ciudad como medida disuasoria del uso de vehículo privado. Esta actuación ha llevado asociados catorce contratos</w:t>
      </w:r>
      <w:r>
        <w:rPr>
          <w:spacing w:val="-7"/>
        </w:rPr>
        <w:t> </w:t>
      </w:r>
      <w:r>
        <w:rPr/>
        <w:t>que</w:t>
      </w:r>
      <w:r>
        <w:rPr>
          <w:spacing w:val="-5"/>
        </w:rPr>
        <w:t> </w:t>
      </w:r>
      <w:r>
        <w:rPr/>
        <w:t>comprenden</w:t>
      </w:r>
      <w:r>
        <w:rPr>
          <w:spacing w:val="-5"/>
        </w:rPr>
        <w:t> </w:t>
      </w:r>
      <w:r>
        <w:rPr/>
        <w:t>la</w:t>
      </w:r>
      <w:r>
        <w:rPr>
          <w:spacing w:val="-4"/>
        </w:rPr>
        <w:t> </w:t>
      </w:r>
      <w:r>
        <w:rPr/>
        <w:t>redacción</w:t>
      </w:r>
      <w:r>
        <w:rPr>
          <w:spacing w:val="-5"/>
        </w:rPr>
        <w:t> </w:t>
      </w:r>
      <w:r>
        <w:rPr/>
        <w:t>de</w:t>
      </w:r>
      <w:r>
        <w:rPr>
          <w:spacing w:val="-8"/>
        </w:rPr>
        <w:t> </w:t>
      </w:r>
      <w:r>
        <w:rPr/>
        <w:t>los</w:t>
      </w:r>
      <w:r>
        <w:rPr>
          <w:spacing w:val="-5"/>
        </w:rPr>
        <w:t> </w:t>
      </w:r>
      <w:r>
        <w:rPr/>
        <w:t>proyectos,</w:t>
      </w:r>
      <w:r>
        <w:rPr>
          <w:spacing w:val="-4"/>
        </w:rPr>
        <w:t> </w:t>
      </w:r>
      <w:r>
        <w:rPr/>
        <w:t>la</w:t>
      </w:r>
      <w:r>
        <w:rPr>
          <w:spacing w:val="-4"/>
        </w:rPr>
        <w:t> </w:t>
      </w:r>
      <w:r>
        <w:rPr/>
        <w:t>asistencia</w:t>
      </w:r>
      <w:r>
        <w:rPr>
          <w:spacing w:val="-7"/>
        </w:rPr>
        <w:t> </w:t>
      </w:r>
      <w:r>
        <w:rPr/>
        <w:t>técnica</w:t>
      </w:r>
      <w:r>
        <w:rPr>
          <w:spacing w:val="-5"/>
        </w:rPr>
        <w:t> </w:t>
      </w:r>
      <w:r>
        <w:rPr/>
        <w:t>para</w:t>
      </w:r>
      <w:r>
        <w:rPr>
          <w:spacing w:val="-7"/>
        </w:rPr>
        <w:t> </w:t>
      </w:r>
      <w:r>
        <w:rPr/>
        <w:t>la</w:t>
      </w:r>
      <w:r>
        <w:rPr>
          <w:spacing w:val="-5"/>
        </w:rPr>
        <w:t> </w:t>
      </w:r>
      <w:r>
        <w:rPr/>
        <w:t>redacción</w:t>
      </w:r>
      <w:r>
        <w:rPr>
          <w:spacing w:val="-5"/>
        </w:rPr>
        <w:t> </w:t>
      </w:r>
      <w:r>
        <w:rPr/>
        <w:t>de los pliegos y</w:t>
      </w:r>
      <w:r>
        <w:rPr>
          <w:spacing w:val="-1"/>
        </w:rPr>
        <w:t> </w:t>
      </w:r>
      <w:r>
        <w:rPr/>
        <w:t>las</w:t>
      </w:r>
      <w:r>
        <w:rPr>
          <w:spacing w:val="-2"/>
        </w:rPr>
        <w:t> </w:t>
      </w:r>
      <w:r>
        <w:rPr/>
        <w:t>direcciones</w:t>
      </w:r>
      <w:r>
        <w:rPr>
          <w:spacing w:val="-1"/>
        </w:rPr>
        <w:t> </w:t>
      </w:r>
      <w:r>
        <w:rPr/>
        <w:t>técnicas</w:t>
      </w:r>
      <w:r>
        <w:rPr>
          <w:spacing w:val="-2"/>
        </w:rPr>
        <w:t> </w:t>
      </w:r>
      <w:r>
        <w:rPr/>
        <w:t>y</w:t>
      </w:r>
      <w:r>
        <w:rPr>
          <w:spacing w:val="-2"/>
        </w:rPr>
        <w:t> </w:t>
      </w:r>
      <w:r>
        <w:rPr/>
        <w:t>ejecución</w:t>
      </w:r>
      <w:r>
        <w:rPr>
          <w:spacing w:val="-2"/>
        </w:rPr>
        <w:t> </w:t>
      </w:r>
      <w:r>
        <w:rPr/>
        <w:t>de las obras, por</w:t>
      </w:r>
      <w:r>
        <w:rPr>
          <w:spacing w:val="-1"/>
        </w:rPr>
        <w:t> </w:t>
      </w:r>
      <w:r>
        <w:rPr/>
        <w:t>importe</w:t>
      </w:r>
      <w:r>
        <w:rPr>
          <w:spacing w:val="-2"/>
        </w:rPr>
        <w:t> </w:t>
      </w:r>
      <w:r>
        <w:rPr/>
        <w:t>conjunto</w:t>
      </w:r>
      <w:r>
        <w:rPr>
          <w:spacing w:val="-2"/>
        </w:rPr>
        <w:t> </w:t>
      </w:r>
      <w:r>
        <w:rPr/>
        <w:t>de</w:t>
      </w:r>
      <w:r>
        <w:rPr>
          <w:spacing w:val="-2"/>
        </w:rPr>
        <w:t> </w:t>
      </w:r>
      <w:r>
        <w:rPr/>
        <w:t>584.224,83 euros, IVA excluido.</w:t>
      </w:r>
    </w:p>
    <w:p>
      <w:pPr>
        <w:pStyle w:val="BodyText"/>
        <w:spacing w:before="238"/>
        <w:ind w:left="992" w:right="985"/>
        <w:jc w:val="both"/>
      </w:pPr>
      <w:r>
        <w:rPr/>
        <w:t>En uno de los expedientes, el de obras de priorización del viario </w:t>
      </w:r>
      <w:r>
        <w:rPr>
          <w:rFonts w:ascii="Symbol" w:hAnsi="Symbol"/>
        </w:rPr>
        <w:t></w:t>
      </w:r>
      <w:r>
        <w:rPr/>
        <w:t>con un plazo de ejecución de cuatro meses</w:t>
      </w:r>
      <w:r>
        <w:rPr>
          <w:rFonts w:ascii="Symbol" w:hAnsi="Symbol"/>
        </w:rPr>
        <w:t></w:t>
      </w:r>
      <w:r>
        <w:rPr/>
        <w:t>, se demoraron cerca de seis meses en su ejecución. Asimismo, tuvo que ser modificado por importe de 79.741,23 euros, IVA excluido, por la no realización de dos paradas, debido</w:t>
      </w:r>
      <w:r>
        <w:rPr>
          <w:spacing w:val="-3"/>
        </w:rPr>
        <w:t> </w:t>
      </w:r>
      <w:r>
        <w:rPr/>
        <w:t>a</w:t>
      </w:r>
      <w:r>
        <w:rPr>
          <w:spacing w:val="-3"/>
        </w:rPr>
        <w:t> </w:t>
      </w:r>
      <w:r>
        <w:rPr/>
        <w:t>la</w:t>
      </w:r>
      <w:r>
        <w:rPr>
          <w:spacing w:val="-3"/>
        </w:rPr>
        <w:t> </w:t>
      </w:r>
      <w:r>
        <w:rPr/>
        <w:t>modificación</w:t>
      </w:r>
      <w:r>
        <w:rPr>
          <w:spacing w:val="-3"/>
        </w:rPr>
        <w:t> </w:t>
      </w:r>
      <w:r>
        <w:rPr/>
        <w:t>del</w:t>
      </w:r>
      <w:r>
        <w:rPr>
          <w:spacing w:val="-4"/>
        </w:rPr>
        <w:t> </w:t>
      </w:r>
      <w:r>
        <w:rPr/>
        <w:t>trazado</w:t>
      </w:r>
      <w:r>
        <w:rPr>
          <w:spacing w:val="-3"/>
        </w:rPr>
        <w:t> </w:t>
      </w:r>
      <w:r>
        <w:rPr/>
        <w:t>de</w:t>
      </w:r>
      <w:r>
        <w:rPr>
          <w:spacing w:val="-3"/>
        </w:rPr>
        <w:t> </w:t>
      </w:r>
      <w:r>
        <w:rPr/>
        <w:t>las</w:t>
      </w:r>
      <w:r>
        <w:rPr>
          <w:spacing w:val="-3"/>
        </w:rPr>
        <w:t> </w:t>
      </w:r>
      <w:r>
        <w:rPr/>
        <w:t>líneas,</w:t>
      </w:r>
      <w:r>
        <w:rPr>
          <w:spacing w:val="-4"/>
        </w:rPr>
        <w:t> </w:t>
      </w:r>
      <w:r>
        <w:rPr/>
        <w:t>la</w:t>
      </w:r>
      <w:r>
        <w:rPr>
          <w:spacing w:val="-3"/>
        </w:rPr>
        <w:t> </w:t>
      </w:r>
      <w:r>
        <w:rPr/>
        <w:t>realización</w:t>
      </w:r>
      <w:r>
        <w:rPr>
          <w:spacing w:val="-3"/>
        </w:rPr>
        <w:t> </w:t>
      </w:r>
      <w:r>
        <w:rPr/>
        <w:t>de</w:t>
      </w:r>
      <w:r>
        <w:rPr>
          <w:spacing w:val="-3"/>
        </w:rPr>
        <w:t> </w:t>
      </w:r>
      <w:r>
        <w:rPr/>
        <w:t>otras</w:t>
      </w:r>
      <w:r>
        <w:rPr>
          <w:spacing w:val="-3"/>
        </w:rPr>
        <w:t> </w:t>
      </w:r>
      <w:r>
        <w:rPr/>
        <w:t>dos</w:t>
      </w:r>
      <w:r>
        <w:rPr>
          <w:spacing w:val="-3"/>
        </w:rPr>
        <w:t> </w:t>
      </w:r>
      <w:r>
        <w:rPr/>
        <w:t>paradas</w:t>
      </w:r>
      <w:r>
        <w:rPr>
          <w:spacing w:val="-3"/>
        </w:rPr>
        <w:t> </w:t>
      </w:r>
      <w:r>
        <w:rPr/>
        <w:t>por</w:t>
      </w:r>
      <w:r>
        <w:rPr>
          <w:spacing w:val="-2"/>
        </w:rPr>
        <w:t> </w:t>
      </w:r>
      <w:r>
        <w:rPr/>
        <w:t>el</w:t>
      </w:r>
      <w:r>
        <w:rPr>
          <w:spacing w:val="-4"/>
        </w:rPr>
        <w:t> </w:t>
      </w:r>
      <w:r>
        <w:rPr/>
        <w:t>mismo motivo y por la afección de servicios no previstos que requería proceder a su desvío</w:t>
      </w:r>
      <w:hyperlink w:history="true" w:anchor="_bookmark69">
        <w:r>
          <w:rPr>
            <w:vertAlign w:val="superscript"/>
          </w:rPr>
          <w:t>43</w:t>
        </w:r>
      </w:hyperlink>
      <w:r>
        <w:rPr>
          <w:vertAlign w:val="baseline"/>
        </w:rPr>
        <w:t>. Otro de los contratos integrado en esta actuación, el de obras de la calle Jerez Perchet, por importe de 22.958,91</w:t>
      </w:r>
      <w:r>
        <w:rPr>
          <w:spacing w:val="-5"/>
          <w:vertAlign w:val="baseline"/>
        </w:rPr>
        <w:t> </w:t>
      </w:r>
      <w:r>
        <w:rPr>
          <w:vertAlign w:val="baseline"/>
        </w:rPr>
        <w:t>euros,</w:t>
      </w:r>
      <w:r>
        <w:rPr>
          <w:spacing w:val="-6"/>
          <w:vertAlign w:val="baseline"/>
        </w:rPr>
        <w:t> </w:t>
      </w:r>
      <w:r>
        <w:rPr>
          <w:vertAlign w:val="baseline"/>
        </w:rPr>
        <w:t>IVA</w:t>
      </w:r>
      <w:r>
        <w:rPr>
          <w:spacing w:val="-3"/>
          <w:vertAlign w:val="baseline"/>
        </w:rPr>
        <w:t> </w:t>
      </w:r>
      <w:r>
        <w:rPr>
          <w:vertAlign w:val="baseline"/>
        </w:rPr>
        <w:t>excluido, fue</w:t>
      </w:r>
      <w:r>
        <w:rPr>
          <w:spacing w:val="-5"/>
          <w:vertAlign w:val="baseline"/>
        </w:rPr>
        <w:t> </w:t>
      </w:r>
      <w:r>
        <w:rPr>
          <w:vertAlign w:val="baseline"/>
        </w:rPr>
        <w:t>igualmente</w:t>
      </w:r>
      <w:r>
        <w:rPr>
          <w:spacing w:val="-5"/>
          <w:vertAlign w:val="baseline"/>
        </w:rPr>
        <w:t> </w:t>
      </w:r>
      <w:r>
        <w:rPr>
          <w:vertAlign w:val="baseline"/>
        </w:rPr>
        <w:t>modificado</w:t>
      </w:r>
      <w:r>
        <w:rPr>
          <w:spacing w:val="-3"/>
          <w:vertAlign w:val="baseline"/>
        </w:rPr>
        <w:t> </w:t>
      </w:r>
      <w:r>
        <w:rPr>
          <w:vertAlign w:val="baseline"/>
        </w:rPr>
        <w:t>por</w:t>
      </w:r>
      <w:r>
        <w:rPr>
          <w:spacing w:val="-3"/>
          <w:vertAlign w:val="baseline"/>
        </w:rPr>
        <w:t> </w:t>
      </w:r>
      <w:r>
        <w:rPr>
          <w:vertAlign w:val="baseline"/>
        </w:rPr>
        <w:t>afecciones</w:t>
      </w:r>
      <w:r>
        <w:rPr>
          <w:spacing w:val="-7"/>
          <w:vertAlign w:val="baseline"/>
        </w:rPr>
        <w:t> </w:t>
      </w:r>
      <w:r>
        <w:rPr>
          <w:vertAlign w:val="baseline"/>
        </w:rPr>
        <w:t>de</w:t>
      </w:r>
      <w:r>
        <w:rPr>
          <w:spacing w:val="-3"/>
          <w:vertAlign w:val="baseline"/>
        </w:rPr>
        <w:t> </w:t>
      </w:r>
      <w:r>
        <w:rPr>
          <w:vertAlign w:val="baseline"/>
        </w:rPr>
        <w:t>servicios</w:t>
      </w:r>
      <w:r>
        <w:rPr>
          <w:spacing w:val="-3"/>
          <w:vertAlign w:val="baseline"/>
        </w:rPr>
        <w:t> </w:t>
      </w:r>
      <w:r>
        <w:rPr>
          <w:vertAlign w:val="baseline"/>
        </w:rPr>
        <w:t>no</w:t>
      </w:r>
      <w:r>
        <w:rPr>
          <w:spacing w:val="-5"/>
          <w:vertAlign w:val="baseline"/>
        </w:rPr>
        <w:t> </w:t>
      </w:r>
      <w:r>
        <w:rPr>
          <w:vertAlign w:val="baseline"/>
        </w:rPr>
        <w:t>previstas, ascendiendo finalmente el importe de las obras a 26.902,16 euros, IVA excluido.</w:t>
      </w:r>
    </w:p>
    <w:p>
      <w:pPr>
        <w:pStyle w:val="BodyText"/>
        <w:rPr>
          <w:sz w:val="20"/>
        </w:rPr>
      </w:pPr>
    </w:p>
    <w:p>
      <w:pPr>
        <w:pStyle w:val="BodyText"/>
        <w:spacing w:before="165"/>
        <w:rPr>
          <w:sz w:val="20"/>
        </w:rPr>
      </w:pPr>
      <w:r>
        <w:rPr>
          <w:sz w:val="20"/>
        </w:rPr>
        <mc:AlternateContent>
          <mc:Choice Requires="wps">
            <w:drawing>
              <wp:anchor distT="0" distB="0" distL="0" distR="0" allowOverlap="1" layoutInCell="1" locked="0" behindDoc="1" simplePos="0" relativeHeight="487610880">
                <wp:simplePos x="0" y="0"/>
                <wp:positionH relativeFrom="page">
                  <wp:posOffset>719632</wp:posOffset>
                </wp:positionH>
                <wp:positionV relativeFrom="paragraph">
                  <wp:posOffset>266482</wp:posOffset>
                </wp:positionV>
                <wp:extent cx="1829435" cy="9525"/>
                <wp:effectExtent l="0" t="0" r="0" b="0"/>
                <wp:wrapTopAndBottom/>
                <wp:docPr id="161" name="Graphic 161"/>
                <wp:cNvGraphicFramePr>
                  <a:graphicFrameLocks/>
                </wp:cNvGraphicFramePr>
                <a:graphic>
                  <a:graphicData uri="http://schemas.microsoft.com/office/word/2010/wordprocessingShape">
                    <wps:wsp>
                      <wps:cNvPr id="161" name="Graphic 161"/>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20.982901pt;width:144.020pt;height:.71997pt;mso-position-horizontal-relative:page;mso-position-vertical-relative:paragraph;z-index:-15705600;mso-wrap-distance-left:0;mso-wrap-distance-right:0" id="docshape143" filled="true" fillcolor="#000000" stroked="false">
                <v:fill type="solid"/>
                <w10:wrap type="topAndBottom"/>
              </v:rect>
            </w:pict>
          </mc:Fallback>
        </mc:AlternateContent>
      </w:r>
    </w:p>
    <w:p>
      <w:pPr>
        <w:spacing w:before="118"/>
        <w:ind w:left="992" w:right="998" w:firstLine="0"/>
        <w:jc w:val="both"/>
        <w:rPr>
          <w:sz w:val="18"/>
        </w:rPr>
      </w:pPr>
      <w:bookmarkStart w:name="_bookmark69" w:id="71"/>
      <w:bookmarkEnd w:id="71"/>
      <w:r>
        <w:rPr/>
      </w:r>
      <w:r>
        <w:rPr>
          <w:position w:val="6"/>
          <w:sz w:val="12"/>
        </w:rPr>
        <w:t>43</w:t>
      </w:r>
      <w:r>
        <w:rPr>
          <w:spacing w:val="40"/>
          <w:position w:val="6"/>
          <w:sz w:val="12"/>
        </w:rPr>
        <w:t> </w:t>
      </w:r>
      <w:r>
        <w:rPr>
          <w:sz w:val="18"/>
        </w:rPr>
        <w:t>La entidad alega que la demora no fue consecuencia de una deficiente planificación sino del carácter urbano y transversal de las obras, de la aparición de servicios no previstos y de la necesidad de coordinar las actuaciones con diversas</w:t>
      </w:r>
      <w:r>
        <w:rPr>
          <w:spacing w:val="-3"/>
          <w:sz w:val="18"/>
        </w:rPr>
        <w:t> </w:t>
      </w:r>
      <w:r>
        <w:rPr>
          <w:sz w:val="18"/>
        </w:rPr>
        <w:t>áreas</w:t>
      </w:r>
      <w:r>
        <w:rPr>
          <w:spacing w:val="-6"/>
          <w:sz w:val="18"/>
        </w:rPr>
        <w:t> </w:t>
      </w:r>
      <w:r>
        <w:rPr>
          <w:sz w:val="18"/>
        </w:rPr>
        <w:t>municipales.</w:t>
      </w:r>
      <w:r>
        <w:rPr>
          <w:spacing w:val="-4"/>
          <w:sz w:val="18"/>
        </w:rPr>
        <w:t> </w:t>
      </w:r>
      <w:r>
        <w:rPr>
          <w:sz w:val="18"/>
        </w:rPr>
        <w:t>Sin</w:t>
      </w:r>
      <w:r>
        <w:rPr>
          <w:spacing w:val="-4"/>
          <w:sz w:val="18"/>
        </w:rPr>
        <w:t> </w:t>
      </w:r>
      <w:r>
        <w:rPr>
          <w:sz w:val="18"/>
        </w:rPr>
        <w:t>embargo,</w:t>
      </w:r>
      <w:r>
        <w:rPr>
          <w:spacing w:val="-7"/>
          <w:sz w:val="18"/>
        </w:rPr>
        <w:t> </w:t>
      </w:r>
      <w:r>
        <w:rPr>
          <w:sz w:val="18"/>
        </w:rPr>
        <w:t>no</w:t>
      </w:r>
      <w:r>
        <w:rPr>
          <w:spacing w:val="-4"/>
          <w:sz w:val="18"/>
        </w:rPr>
        <w:t> </w:t>
      </w:r>
      <w:r>
        <w:rPr>
          <w:sz w:val="18"/>
        </w:rPr>
        <w:t>consta</w:t>
      </w:r>
      <w:r>
        <w:rPr>
          <w:spacing w:val="-4"/>
          <w:sz w:val="18"/>
        </w:rPr>
        <w:t> </w:t>
      </w:r>
      <w:r>
        <w:rPr>
          <w:sz w:val="18"/>
        </w:rPr>
        <w:t>a</w:t>
      </w:r>
      <w:r>
        <w:rPr>
          <w:spacing w:val="-6"/>
          <w:sz w:val="18"/>
        </w:rPr>
        <w:t> </w:t>
      </w:r>
      <w:r>
        <w:rPr>
          <w:sz w:val="18"/>
        </w:rPr>
        <w:t>este</w:t>
      </w:r>
      <w:r>
        <w:rPr>
          <w:spacing w:val="-6"/>
          <w:sz w:val="18"/>
        </w:rPr>
        <w:t> </w:t>
      </w:r>
      <w:r>
        <w:rPr>
          <w:sz w:val="18"/>
        </w:rPr>
        <w:t>Tribunal</w:t>
      </w:r>
      <w:r>
        <w:rPr>
          <w:spacing w:val="-4"/>
          <w:sz w:val="18"/>
        </w:rPr>
        <w:t> </w:t>
      </w:r>
      <w:r>
        <w:rPr>
          <w:sz w:val="18"/>
        </w:rPr>
        <w:t>que</w:t>
      </w:r>
      <w:r>
        <w:rPr>
          <w:spacing w:val="-4"/>
          <w:sz w:val="18"/>
        </w:rPr>
        <w:t> </w:t>
      </w:r>
      <w:r>
        <w:rPr>
          <w:sz w:val="18"/>
        </w:rPr>
        <w:t>se</w:t>
      </w:r>
      <w:r>
        <w:rPr>
          <w:spacing w:val="-6"/>
          <w:sz w:val="18"/>
        </w:rPr>
        <w:t> </w:t>
      </w:r>
      <w:r>
        <w:rPr>
          <w:sz w:val="18"/>
        </w:rPr>
        <w:t>acordara</w:t>
      </w:r>
      <w:r>
        <w:rPr>
          <w:spacing w:val="-6"/>
          <w:sz w:val="18"/>
        </w:rPr>
        <w:t> </w:t>
      </w:r>
      <w:r>
        <w:rPr>
          <w:sz w:val="18"/>
        </w:rPr>
        <w:t>una</w:t>
      </w:r>
      <w:r>
        <w:rPr>
          <w:spacing w:val="-6"/>
          <w:sz w:val="18"/>
        </w:rPr>
        <w:t> </w:t>
      </w:r>
      <w:r>
        <w:rPr>
          <w:sz w:val="18"/>
        </w:rPr>
        <w:t>prórroga</w:t>
      </w:r>
      <w:r>
        <w:rPr>
          <w:spacing w:val="-4"/>
          <w:sz w:val="18"/>
        </w:rPr>
        <w:t> </w:t>
      </w:r>
      <w:r>
        <w:rPr>
          <w:sz w:val="18"/>
        </w:rPr>
        <w:t>del</w:t>
      </w:r>
      <w:r>
        <w:rPr>
          <w:spacing w:val="-6"/>
          <w:sz w:val="18"/>
        </w:rPr>
        <w:t> </w:t>
      </w:r>
      <w:r>
        <w:rPr>
          <w:sz w:val="18"/>
        </w:rPr>
        <w:t>contrato,</w:t>
      </w:r>
      <w:r>
        <w:rPr>
          <w:spacing w:val="-4"/>
          <w:sz w:val="18"/>
        </w:rPr>
        <w:t> </w:t>
      </w:r>
      <w:r>
        <w:rPr>
          <w:sz w:val="18"/>
        </w:rPr>
        <w:t>en</w:t>
      </w:r>
      <w:r>
        <w:rPr>
          <w:spacing w:val="-4"/>
          <w:sz w:val="18"/>
        </w:rPr>
        <w:t> </w:t>
      </w:r>
      <w:r>
        <w:rPr>
          <w:sz w:val="18"/>
        </w:rPr>
        <w:t>el</w:t>
      </w:r>
      <w:r>
        <w:rPr>
          <w:spacing w:val="-6"/>
          <w:sz w:val="18"/>
        </w:rPr>
        <w:t> </w:t>
      </w:r>
      <w:r>
        <w:rPr>
          <w:sz w:val="18"/>
        </w:rPr>
        <w:t>que justificaran</w:t>
      </w:r>
      <w:r>
        <w:rPr>
          <w:spacing w:val="-2"/>
          <w:sz w:val="18"/>
        </w:rPr>
        <w:t> </w:t>
      </w:r>
      <w:r>
        <w:rPr>
          <w:sz w:val="18"/>
        </w:rPr>
        <w:t>los motivos que requerían una</w:t>
      </w:r>
      <w:r>
        <w:rPr>
          <w:spacing w:val="-2"/>
          <w:sz w:val="18"/>
        </w:rPr>
        <w:t> </w:t>
      </w:r>
      <w:r>
        <w:rPr>
          <w:sz w:val="18"/>
        </w:rPr>
        <w:t>ampliación del plazo de ejecución de las obras.</w:t>
      </w:r>
      <w:r>
        <w:rPr>
          <w:spacing w:val="-2"/>
          <w:sz w:val="18"/>
        </w:rPr>
        <w:t> </w:t>
      </w:r>
      <w:r>
        <w:rPr>
          <w:sz w:val="18"/>
        </w:rPr>
        <w:t>Tampoco</w:t>
      </w:r>
      <w:r>
        <w:rPr>
          <w:spacing w:val="-2"/>
          <w:sz w:val="18"/>
        </w:rPr>
        <w:t> </w:t>
      </w:r>
      <w:r>
        <w:rPr>
          <w:sz w:val="18"/>
        </w:rPr>
        <w:t>en el</w:t>
      </w:r>
      <w:r>
        <w:rPr>
          <w:spacing w:val="-2"/>
          <w:sz w:val="18"/>
        </w:rPr>
        <w:t> </w:t>
      </w:r>
      <w:r>
        <w:rPr>
          <w:sz w:val="18"/>
        </w:rPr>
        <w:t>documento de formalización de la modificación contractual se estipuló que, como consecuencia de las modificaciones que se iban a llevar a cabo, era preciso ampliar la duración del contrato, por lo que en el expediente contractual no se dejó constancia de la ejecución de las obras en un plazo superior al inicialmente estipulado ni de las razones que lo motivaron.</w:t>
      </w:r>
    </w:p>
    <w:p>
      <w:pPr>
        <w:spacing w:after="0"/>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95"/>
        <w:jc w:val="both"/>
      </w:pPr>
      <w:r>
        <w:rPr/>
        <w:t>La cuarta</w:t>
      </w:r>
      <w:r>
        <w:rPr>
          <w:spacing w:val="-1"/>
        </w:rPr>
        <w:t> </w:t>
      </w:r>
      <w:r>
        <w:rPr/>
        <w:t>actuación consiste en la instalación de</w:t>
      </w:r>
      <w:r>
        <w:rPr>
          <w:spacing w:val="-1"/>
        </w:rPr>
        <w:t> </w:t>
      </w:r>
      <w:r>
        <w:rPr/>
        <w:t>placas fotovoltaicas en la estación de</w:t>
      </w:r>
      <w:r>
        <w:rPr>
          <w:spacing w:val="-1"/>
        </w:rPr>
        <w:t> </w:t>
      </w:r>
      <w:r>
        <w:rPr/>
        <w:t>autobuses, para lo que ha celebrado un contrato menor por importe de 29.747,25 euros, IVA excluido.</w:t>
      </w:r>
    </w:p>
    <w:p>
      <w:pPr>
        <w:pStyle w:val="BodyText"/>
        <w:spacing w:before="240"/>
        <w:ind w:left="992" w:right="989"/>
        <w:jc w:val="both"/>
      </w:pPr>
      <w:r>
        <w:rPr/>
        <w:t>El </w:t>
      </w:r>
      <w:r>
        <w:rPr>
          <w:b/>
        </w:rPr>
        <w:t>Ayuntamiento de Murcia </w:t>
      </w:r>
      <w:r>
        <w:rPr/>
        <w:t>ha llevado a cabo tres actuaciones de obras, por importe total de 29.575.517,28</w:t>
      </w:r>
      <w:r>
        <w:rPr>
          <w:spacing w:val="-10"/>
        </w:rPr>
        <w:t> </w:t>
      </w:r>
      <w:r>
        <w:rPr/>
        <w:t>euros,</w:t>
      </w:r>
      <w:r>
        <w:rPr>
          <w:spacing w:val="-8"/>
        </w:rPr>
        <w:t> </w:t>
      </w:r>
      <w:r>
        <w:rPr/>
        <w:t>sin</w:t>
      </w:r>
      <w:r>
        <w:rPr>
          <w:spacing w:val="-12"/>
        </w:rPr>
        <w:t> </w:t>
      </w:r>
      <w:r>
        <w:rPr/>
        <w:t>IVA:</w:t>
      </w:r>
      <w:r>
        <w:rPr>
          <w:spacing w:val="-11"/>
        </w:rPr>
        <w:t> </w:t>
      </w:r>
      <w:r>
        <w:rPr/>
        <w:t>la</w:t>
      </w:r>
      <w:r>
        <w:rPr>
          <w:spacing w:val="-8"/>
        </w:rPr>
        <w:t> </w:t>
      </w:r>
      <w:r>
        <w:rPr/>
        <w:t>implantación</w:t>
      </w:r>
      <w:r>
        <w:rPr>
          <w:spacing w:val="-10"/>
        </w:rPr>
        <w:t> </w:t>
      </w:r>
      <w:r>
        <w:rPr/>
        <w:t>de</w:t>
      </w:r>
      <w:r>
        <w:rPr>
          <w:spacing w:val="-15"/>
        </w:rPr>
        <w:t> </w:t>
      </w:r>
      <w:r>
        <w:rPr/>
        <w:t>nodos</w:t>
      </w:r>
      <w:r>
        <w:rPr>
          <w:spacing w:val="-9"/>
        </w:rPr>
        <w:t> </w:t>
      </w:r>
      <w:r>
        <w:rPr/>
        <w:t>de</w:t>
      </w:r>
      <w:r>
        <w:rPr>
          <w:spacing w:val="-12"/>
        </w:rPr>
        <w:t> </w:t>
      </w:r>
      <w:r>
        <w:rPr/>
        <w:t>transporte</w:t>
      </w:r>
      <w:r>
        <w:rPr>
          <w:spacing w:val="-10"/>
        </w:rPr>
        <w:t> </w:t>
      </w:r>
      <w:r>
        <w:rPr/>
        <w:t>intermodales;</w:t>
      </w:r>
      <w:r>
        <w:rPr>
          <w:spacing w:val="-11"/>
        </w:rPr>
        <w:t> </w:t>
      </w:r>
      <w:r>
        <w:rPr/>
        <w:t>la</w:t>
      </w:r>
      <w:r>
        <w:rPr>
          <w:spacing w:val="-10"/>
        </w:rPr>
        <w:t> </w:t>
      </w:r>
      <w:r>
        <w:rPr/>
        <w:t>redacción</w:t>
      </w:r>
      <w:r>
        <w:rPr>
          <w:spacing w:val="-10"/>
        </w:rPr>
        <w:t> </w:t>
      </w:r>
      <w:r>
        <w:rPr/>
        <w:t>del proyecto para la implantación de tres nuevas líneas de transporte público colectivo de la tipología de BTR;</w:t>
      </w:r>
      <w:hyperlink w:history="true" w:anchor="_bookmark70">
        <w:r>
          <w:rPr>
            <w:vertAlign w:val="superscript"/>
          </w:rPr>
          <w:t>44</w:t>
        </w:r>
      </w:hyperlink>
      <w:r>
        <w:rPr>
          <w:vertAlign w:val="baseline"/>
        </w:rPr>
        <w:t> y las obras de ampliación de la red de plataformas reservadas destinadas a carriles bici y bus y de líneas de BTR.</w:t>
      </w:r>
    </w:p>
    <w:p>
      <w:pPr>
        <w:pStyle w:val="BodyText"/>
        <w:spacing w:before="240"/>
        <w:ind w:left="992" w:right="987"/>
        <w:jc w:val="both"/>
      </w:pPr>
      <w:r>
        <w:rPr/>
        <w:t>Las</w:t>
      </w:r>
      <w:r>
        <w:rPr>
          <w:spacing w:val="-9"/>
        </w:rPr>
        <w:t> </w:t>
      </w:r>
      <w:r>
        <w:rPr/>
        <w:t>primeras</w:t>
      </w:r>
      <w:r>
        <w:rPr>
          <w:spacing w:val="-11"/>
        </w:rPr>
        <w:t> </w:t>
      </w:r>
      <w:r>
        <w:rPr/>
        <w:t>consistieron</w:t>
      </w:r>
      <w:r>
        <w:rPr>
          <w:spacing w:val="-9"/>
        </w:rPr>
        <w:t> </w:t>
      </w:r>
      <w:r>
        <w:rPr/>
        <w:t>en</w:t>
      </w:r>
      <w:r>
        <w:rPr>
          <w:spacing w:val="-9"/>
        </w:rPr>
        <w:t> </w:t>
      </w:r>
      <w:r>
        <w:rPr/>
        <w:t>la</w:t>
      </w:r>
      <w:r>
        <w:rPr>
          <w:spacing w:val="-9"/>
        </w:rPr>
        <w:t> </w:t>
      </w:r>
      <w:r>
        <w:rPr/>
        <w:t>implantación</w:t>
      </w:r>
      <w:r>
        <w:rPr>
          <w:spacing w:val="-9"/>
        </w:rPr>
        <w:t> </w:t>
      </w:r>
      <w:r>
        <w:rPr/>
        <w:t>de</w:t>
      </w:r>
      <w:r>
        <w:rPr>
          <w:spacing w:val="-8"/>
        </w:rPr>
        <w:t> </w:t>
      </w:r>
      <w:r>
        <w:rPr/>
        <w:t>nodos</w:t>
      </w:r>
      <w:r>
        <w:rPr>
          <w:spacing w:val="-9"/>
        </w:rPr>
        <w:t> </w:t>
      </w:r>
      <w:r>
        <w:rPr/>
        <w:t>de</w:t>
      </w:r>
      <w:r>
        <w:rPr>
          <w:spacing w:val="-11"/>
        </w:rPr>
        <w:t> </w:t>
      </w:r>
      <w:r>
        <w:rPr/>
        <w:t>transporte</w:t>
      </w:r>
      <w:r>
        <w:rPr>
          <w:spacing w:val="-11"/>
        </w:rPr>
        <w:t> </w:t>
      </w:r>
      <w:r>
        <w:rPr/>
        <w:t>intermodales</w:t>
      </w:r>
      <w:r>
        <w:rPr>
          <w:spacing w:val="-9"/>
        </w:rPr>
        <w:t> </w:t>
      </w:r>
      <w:r>
        <w:rPr/>
        <w:t>en</w:t>
      </w:r>
      <w:r>
        <w:rPr>
          <w:spacing w:val="-9"/>
        </w:rPr>
        <w:t> </w:t>
      </w:r>
      <w:r>
        <w:rPr/>
        <w:t>dos</w:t>
      </w:r>
      <w:r>
        <w:rPr>
          <w:spacing w:val="-9"/>
        </w:rPr>
        <w:t> </w:t>
      </w:r>
      <w:r>
        <w:rPr/>
        <w:t>puntos</w:t>
      </w:r>
      <w:r>
        <w:rPr>
          <w:spacing w:val="-8"/>
        </w:rPr>
        <w:t> </w:t>
      </w:r>
      <w:r>
        <w:rPr/>
        <w:t>de la ciudad, con plataformas segregadas para el transporte público colectivo, la bicicleta y los vehículos de movilidad personal, así como estaciones de carga para vehículos eléctricos. A pesar de</w:t>
      </w:r>
      <w:r>
        <w:rPr>
          <w:spacing w:val="-16"/>
        </w:rPr>
        <w:t> </w:t>
      </w:r>
      <w:r>
        <w:rPr/>
        <w:t>acudir</w:t>
      </w:r>
      <w:r>
        <w:rPr>
          <w:spacing w:val="-15"/>
        </w:rPr>
        <w:t> </w:t>
      </w:r>
      <w:r>
        <w:rPr/>
        <w:t>a</w:t>
      </w:r>
      <w:r>
        <w:rPr>
          <w:spacing w:val="-15"/>
        </w:rPr>
        <w:t> </w:t>
      </w:r>
      <w:r>
        <w:rPr/>
        <w:t>la</w:t>
      </w:r>
      <w:r>
        <w:rPr>
          <w:spacing w:val="-16"/>
        </w:rPr>
        <w:t> </w:t>
      </w:r>
      <w:r>
        <w:rPr/>
        <w:t>tramitación</w:t>
      </w:r>
      <w:r>
        <w:rPr>
          <w:spacing w:val="-15"/>
        </w:rPr>
        <w:t> </w:t>
      </w:r>
      <w:r>
        <w:rPr/>
        <w:t>de</w:t>
      </w:r>
      <w:r>
        <w:rPr>
          <w:spacing w:val="-15"/>
        </w:rPr>
        <w:t> </w:t>
      </w:r>
      <w:r>
        <w:rPr/>
        <w:t>urgencia</w:t>
      </w:r>
      <w:hyperlink w:history="true" w:anchor="_bookmark71">
        <w:r>
          <w:rPr>
            <w:vertAlign w:val="superscript"/>
          </w:rPr>
          <w:t>45</w:t>
        </w:r>
      </w:hyperlink>
      <w:r>
        <w:rPr>
          <w:spacing w:val="-15"/>
          <w:vertAlign w:val="baseline"/>
        </w:rPr>
        <w:t> </w:t>
      </w:r>
      <w:r>
        <w:rPr>
          <w:vertAlign w:val="baseline"/>
        </w:rPr>
        <w:t>del</w:t>
      </w:r>
      <w:r>
        <w:rPr>
          <w:spacing w:val="-15"/>
          <w:vertAlign w:val="baseline"/>
        </w:rPr>
        <w:t> </w:t>
      </w:r>
      <w:r>
        <w:rPr>
          <w:vertAlign w:val="baseline"/>
        </w:rPr>
        <w:t>expediente</w:t>
      </w:r>
      <w:r>
        <w:rPr>
          <w:spacing w:val="-15"/>
          <w:vertAlign w:val="baseline"/>
        </w:rPr>
        <w:t> </w:t>
      </w:r>
      <w:r>
        <w:rPr>
          <w:vertAlign w:val="baseline"/>
        </w:rPr>
        <w:t>contractual,</w:t>
      </w:r>
      <w:r>
        <w:rPr>
          <w:spacing w:val="-11"/>
          <w:vertAlign w:val="baseline"/>
        </w:rPr>
        <w:t> </w:t>
      </w:r>
      <w:r>
        <w:rPr>
          <w:vertAlign w:val="baseline"/>
        </w:rPr>
        <w:t>la</w:t>
      </w:r>
      <w:r>
        <w:rPr>
          <w:spacing w:val="-16"/>
          <w:vertAlign w:val="baseline"/>
        </w:rPr>
        <w:t> </w:t>
      </w:r>
      <w:r>
        <w:rPr>
          <w:vertAlign w:val="baseline"/>
        </w:rPr>
        <w:t>entidad</w:t>
      </w:r>
      <w:r>
        <w:rPr>
          <w:spacing w:val="-15"/>
          <w:vertAlign w:val="baseline"/>
        </w:rPr>
        <w:t> </w:t>
      </w:r>
      <w:r>
        <w:rPr>
          <w:vertAlign w:val="baseline"/>
        </w:rPr>
        <w:t>tuvo</w:t>
      </w:r>
      <w:r>
        <w:rPr>
          <w:spacing w:val="-15"/>
          <w:vertAlign w:val="baseline"/>
        </w:rPr>
        <w:t> </w:t>
      </w:r>
      <w:r>
        <w:rPr>
          <w:vertAlign w:val="baseline"/>
        </w:rPr>
        <w:t>que</w:t>
      </w:r>
      <w:r>
        <w:rPr>
          <w:spacing w:val="-14"/>
          <w:vertAlign w:val="baseline"/>
        </w:rPr>
        <w:t> </w:t>
      </w:r>
      <w:r>
        <w:rPr>
          <w:vertAlign w:val="baseline"/>
        </w:rPr>
        <w:t>aprobar</w:t>
      </w:r>
      <w:r>
        <w:rPr>
          <w:spacing w:val="-14"/>
          <w:vertAlign w:val="baseline"/>
        </w:rPr>
        <w:t> </w:t>
      </w:r>
      <w:r>
        <w:rPr>
          <w:vertAlign w:val="baseline"/>
        </w:rPr>
        <w:t>cinco ampliaciones</w:t>
      </w:r>
      <w:r>
        <w:rPr>
          <w:spacing w:val="-2"/>
          <w:vertAlign w:val="baseline"/>
        </w:rPr>
        <w:t> </w:t>
      </w:r>
      <w:r>
        <w:rPr>
          <w:vertAlign w:val="baseline"/>
        </w:rPr>
        <w:t>de</w:t>
      </w:r>
      <w:r>
        <w:rPr>
          <w:spacing w:val="-2"/>
          <w:vertAlign w:val="baseline"/>
        </w:rPr>
        <w:t> </w:t>
      </w:r>
      <w:r>
        <w:rPr>
          <w:vertAlign w:val="baseline"/>
        </w:rPr>
        <w:t>plazo</w:t>
      </w:r>
      <w:r>
        <w:rPr>
          <w:spacing w:val="-1"/>
          <w:vertAlign w:val="baseline"/>
        </w:rPr>
        <w:t> </w:t>
      </w:r>
      <w:r>
        <w:rPr>
          <w:vertAlign w:val="baseline"/>
        </w:rPr>
        <w:t>del</w:t>
      </w:r>
      <w:r>
        <w:rPr>
          <w:spacing w:val="-3"/>
          <w:vertAlign w:val="baseline"/>
        </w:rPr>
        <w:t> </w:t>
      </w:r>
      <w:r>
        <w:rPr>
          <w:vertAlign w:val="baseline"/>
        </w:rPr>
        <w:t>proyecto</w:t>
      </w:r>
      <w:r>
        <w:rPr>
          <w:spacing w:val="-2"/>
          <w:vertAlign w:val="baseline"/>
        </w:rPr>
        <w:t> </w:t>
      </w:r>
      <w:r>
        <w:rPr>
          <w:vertAlign w:val="baseline"/>
        </w:rPr>
        <w:t>inicial, que</w:t>
      </w:r>
      <w:r>
        <w:rPr>
          <w:spacing w:val="-4"/>
          <w:vertAlign w:val="baseline"/>
        </w:rPr>
        <w:t> </w:t>
      </w:r>
      <w:r>
        <w:rPr>
          <w:vertAlign w:val="baseline"/>
        </w:rPr>
        <w:t>comprendieron</w:t>
      </w:r>
      <w:r>
        <w:rPr>
          <w:spacing w:val="-4"/>
          <w:vertAlign w:val="baseline"/>
        </w:rPr>
        <w:t> </w:t>
      </w:r>
      <w:r>
        <w:rPr>
          <w:vertAlign w:val="baseline"/>
        </w:rPr>
        <w:t>un</w:t>
      </w:r>
      <w:r>
        <w:rPr>
          <w:spacing w:val="-2"/>
          <w:vertAlign w:val="baseline"/>
        </w:rPr>
        <w:t> </w:t>
      </w:r>
      <w:r>
        <w:rPr>
          <w:vertAlign w:val="baseline"/>
        </w:rPr>
        <w:t>plazo</w:t>
      </w:r>
      <w:r>
        <w:rPr>
          <w:spacing w:val="-4"/>
          <w:vertAlign w:val="baseline"/>
        </w:rPr>
        <w:t> </w:t>
      </w:r>
      <w:r>
        <w:rPr>
          <w:vertAlign w:val="baseline"/>
        </w:rPr>
        <w:t>adicional</w:t>
      </w:r>
      <w:r>
        <w:rPr>
          <w:spacing w:val="-3"/>
          <w:vertAlign w:val="baseline"/>
        </w:rPr>
        <w:t> </w:t>
      </w:r>
      <w:r>
        <w:rPr>
          <w:vertAlign w:val="baseline"/>
        </w:rPr>
        <w:t>conjunto</w:t>
      </w:r>
      <w:r>
        <w:rPr>
          <w:spacing w:val="-4"/>
          <w:vertAlign w:val="baseline"/>
        </w:rPr>
        <w:t> </w:t>
      </w:r>
      <w:r>
        <w:rPr>
          <w:vertAlign w:val="baseline"/>
        </w:rPr>
        <w:t>de</w:t>
      </w:r>
      <w:r>
        <w:rPr>
          <w:spacing w:val="-4"/>
          <w:vertAlign w:val="baseline"/>
        </w:rPr>
        <w:t> </w:t>
      </w:r>
      <w:r>
        <w:rPr>
          <w:vertAlign w:val="baseline"/>
        </w:rPr>
        <w:t>trece meses,</w:t>
      </w:r>
      <w:r>
        <w:rPr>
          <w:spacing w:val="-16"/>
          <w:vertAlign w:val="baseline"/>
        </w:rPr>
        <w:t> </w:t>
      </w:r>
      <w:r>
        <w:rPr>
          <w:vertAlign w:val="baseline"/>
        </w:rPr>
        <w:t>a</w:t>
      </w:r>
      <w:r>
        <w:rPr>
          <w:spacing w:val="-15"/>
          <w:vertAlign w:val="baseline"/>
        </w:rPr>
        <w:t> </w:t>
      </w:r>
      <w:r>
        <w:rPr>
          <w:vertAlign w:val="baseline"/>
        </w:rPr>
        <w:t>petición</w:t>
      </w:r>
      <w:r>
        <w:rPr>
          <w:spacing w:val="-15"/>
          <w:vertAlign w:val="baseline"/>
        </w:rPr>
        <w:t> </w:t>
      </w:r>
      <w:r>
        <w:rPr>
          <w:vertAlign w:val="baseline"/>
        </w:rPr>
        <w:t>de</w:t>
      </w:r>
      <w:r>
        <w:rPr>
          <w:spacing w:val="-16"/>
          <w:vertAlign w:val="baseline"/>
        </w:rPr>
        <w:t> </w:t>
      </w:r>
      <w:r>
        <w:rPr>
          <w:vertAlign w:val="baseline"/>
        </w:rPr>
        <w:t>las</w:t>
      </w:r>
      <w:r>
        <w:rPr>
          <w:spacing w:val="-15"/>
          <w:vertAlign w:val="baseline"/>
        </w:rPr>
        <w:t> </w:t>
      </w:r>
      <w:r>
        <w:rPr>
          <w:vertAlign w:val="baseline"/>
        </w:rPr>
        <w:t>empresas</w:t>
      </w:r>
      <w:r>
        <w:rPr>
          <w:spacing w:val="-15"/>
          <w:vertAlign w:val="baseline"/>
        </w:rPr>
        <w:t> </w:t>
      </w:r>
      <w:r>
        <w:rPr>
          <w:vertAlign w:val="baseline"/>
        </w:rPr>
        <w:t>adjudicatarias</w:t>
      </w:r>
      <w:r>
        <w:rPr>
          <w:spacing w:val="-15"/>
          <w:vertAlign w:val="baseline"/>
        </w:rPr>
        <w:t> </w:t>
      </w:r>
      <w:r>
        <w:rPr>
          <w:vertAlign w:val="baseline"/>
        </w:rPr>
        <w:t>por</w:t>
      </w:r>
      <w:r>
        <w:rPr>
          <w:spacing w:val="-16"/>
          <w:vertAlign w:val="baseline"/>
        </w:rPr>
        <w:t> </w:t>
      </w:r>
      <w:r>
        <w:rPr>
          <w:vertAlign w:val="baseline"/>
        </w:rPr>
        <w:t>circunstancias</w:t>
      </w:r>
      <w:r>
        <w:rPr>
          <w:spacing w:val="-15"/>
          <w:vertAlign w:val="baseline"/>
        </w:rPr>
        <w:t> </w:t>
      </w:r>
      <w:r>
        <w:rPr>
          <w:vertAlign w:val="baseline"/>
        </w:rPr>
        <w:t>no</w:t>
      </w:r>
      <w:r>
        <w:rPr>
          <w:spacing w:val="-15"/>
          <w:vertAlign w:val="baseline"/>
        </w:rPr>
        <w:t> </w:t>
      </w:r>
      <w:r>
        <w:rPr>
          <w:vertAlign w:val="baseline"/>
        </w:rPr>
        <w:t>contempladas</w:t>
      </w:r>
      <w:r>
        <w:rPr>
          <w:spacing w:val="-16"/>
          <w:vertAlign w:val="baseline"/>
        </w:rPr>
        <w:t> </w:t>
      </w:r>
      <w:r>
        <w:rPr>
          <w:vertAlign w:val="baseline"/>
        </w:rPr>
        <w:t>en</w:t>
      </w:r>
      <w:r>
        <w:rPr>
          <w:spacing w:val="-15"/>
          <w:vertAlign w:val="baseline"/>
        </w:rPr>
        <w:t> </w:t>
      </w:r>
      <w:r>
        <w:rPr>
          <w:vertAlign w:val="baseline"/>
        </w:rPr>
        <w:t>el</w:t>
      </w:r>
      <w:r>
        <w:rPr>
          <w:spacing w:val="-15"/>
          <w:vertAlign w:val="baseline"/>
        </w:rPr>
        <w:t> </w:t>
      </w:r>
      <w:r>
        <w:rPr>
          <w:vertAlign w:val="baseline"/>
        </w:rPr>
        <w:t>proyecto original (paralización de los trabajos por supervisión arqueológica de las obras, retrasos en la entrega de materiales como consecuencia de la guerra de Ucrania, adversas condiciones climatológicas, entre otras). Asimismo, los dos lotes que conformaron el expediente contractual fueron modificados ante la necesidad de añadir obras y modificaciones no sustanciales</w:t>
      </w:r>
      <w:hyperlink w:history="true" w:anchor="_bookmark72">
        <w:r>
          <w:rPr>
            <w:vertAlign w:val="superscript"/>
          </w:rPr>
          <w:t>46</w:t>
        </w:r>
      </w:hyperlink>
      <w:r>
        <w:rPr>
          <w:vertAlign w:val="baseline"/>
        </w:rPr>
        <w:t>. Dichas modificaciones supusieron un incremento del 16,22 % y del 16,89 % del primer y segundo lote, </w:t>
      </w:r>
      <w:r>
        <w:rPr>
          <w:spacing w:val="-2"/>
          <w:vertAlign w:val="baseline"/>
        </w:rPr>
        <w:t>respectivamente.</w:t>
      </w:r>
    </w:p>
    <w:p>
      <w:pPr>
        <w:pStyle w:val="BodyText"/>
        <w:spacing w:before="241"/>
        <w:ind w:left="992" w:right="989"/>
        <w:jc w:val="both"/>
      </w:pPr>
      <w:r>
        <w:rPr/>
        <w:t>Las obras de ampliación de la red de plataformas reservadas destinadas a carriles bici y bus y de líneas de BTR, han comprendido la construcción de 40,365 km de carril bus </w:t>
      </w:r>
      <w:r>
        <w:rPr>
          <w:rFonts w:ascii="Symbol" w:hAnsi="Symbol"/>
        </w:rPr>
        <w:t></w:t>
      </w:r>
      <w:r>
        <w:rPr/>
        <w:t>con anterioridad a estas</w:t>
      </w:r>
      <w:r>
        <w:rPr>
          <w:spacing w:val="-6"/>
        </w:rPr>
        <w:t> </w:t>
      </w:r>
      <w:r>
        <w:rPr/>
        <w:t>obras</w:t>
      </w:r>
      <w:r>
        <w:rPr>
          <w:spacing w:val="-6"/>
        </w:rPr>
        <w:t> </w:t>
      </w:r>
      <w:r>
        <w:rPr/>
        <w:t>solo</w:t>
      </w:r>
      <w:r>
        <w:rPr>
          <w:spacing w:val="-6"/>
        </w:rPr>
        <w:t> </w:t>
      </w:r>
      <w:r>
        <w:rPr/>
        <w:t>había</w:t>
      </w:r>
      <w:r>
        <w:rPr>
          <w:spacing w:val="-6"/>
        </w:rPr>
        <w:t> </w:t>
      </w:r>
      <w:r>
        <w:rPr/>
        <w:t>2,668</w:t>
      </w:r>
      <w:r>
        <w:rPr>
          <w:spacing w:val="-6"/>
        </w:rPr>
        <w:t> </w:t>
      </w:r>
      <w:r>
        <w:rPr/>
        <w:t>Km</w:t>
      </w:r>
      <w:r>
        <w:rPr>
          <w:rFonts w:ascii="Symbol" w:hAnsi="Symbol"/>
        </w:rPr>
        <w:t></w:t>
      </w:r>
      <w:r>
        <w:rPr/>
        <w:t>,</w:t>
      </w:r>
      <w:r>
        <w:rPr>
          <w:spacing w:val="-5"/>
        </w:rPr>
        <w:t> </w:t>
      </w:r>
      <w:r>
        <w:rPr/>
        <w:t>una</w:t>
      </w:r>
      <w:r>
        <w:rPr>
          <w:spacing w:val="-9"/>
        </w:rPr>
        <w:t> </w:t>
      </w:r>
      <w:r>
        <w:rPr/>
        <w:t>plataforma</w:t>
      </w:r>
      <w:r>
        <w:rPr>
          <w:spacing w:val="-9"/>
        </w:rPr>
        <w:t> </w:t>
      </w:r>
      <w:r>
        <w:rPr/>
        <w:t>segregada</w:t>
      </w:r>
      <w:r>
        <w:rPr>
          <w:spacing w:val="-6"/>
        </w:rPr>
        <w:t> </w:t>
      </w:r>
      <w:r>
        <w:rPr/>
        <w:t>para</w:t>
      </w:r>
      <w:r>
        <w:rPr>
          <w:spacing w:val="-6"/>
        </w:rPr>
        <w:t> </w:t>
      </w:r>
      <w:r>
        <w:rPr/>
        <w:t>autobús</w:t>
      </w:r>
      <w:r>
        <w:rPr>
          <w:spacing w:val="-9"/>
        </w:rPr>
        <w:t> </w:t>
      </w:r>
      <w:r>
        <w:rPr/>
        <w:t>eléctrico</w:t>
      </w:r>
      <w:r>
        <w:rPr>
          <w:spacing w:val="-4"/>
        </w:rPr>
        <w:t> </w:t>
      </w:r>
      <w:r>
        <w:rPr/>
        <w:t>con</w:t>
      </w:r>
      <w:r>
        <w:rPr>
          <w:spacing w:val="-9"/>
        </w:rPr>
        <w:t> </w:t>
      </w:r>
      <w:r>
        <w:rPr/>
        <w:t>puntos</w:t>
      </w:r>
      <w:r>
        <w:rPr>
          <w:spacing w:val="-9"/>
        </w:rPr>
        <w:t> </w:t>
      </w:r>
      <w:r>
        <w:rPr/>
        <w:t>de recarga rápida, así como la construcción de tres líneas BTR. No obstante, a 31 de diciembre de 2024 la</w:t>
      </w:r>
      <w:r>
        <w:rPr>
          <w:spacing w:val="-1"/>
        </w:rPr>
        <w:t> </w:t>
      </w:r>
      <w:r>
        <w:rPr/>
        <w:t>entidad</w:t>
      </w:r>
      <w:r>
        <w:rPr>
          <w:spacing w:val="-1"/>
        </w:rPr>
        <w:t> </w:t>
      </w:r>
      <w:r>
        <w:rPr/>
        <w:t>no</w:t>
      </w:r>
      <w:r>
        <w:rPr>
          <w:spacing w:val="-1"/>
        </w:rPr>
        <w:t> </w:t>
      </w:r>
      <w:r>
        <w:rPr/>
        <w:t>contaba aún</w:t>
      </w:r>
      <w:r>
        <w:rPr>
          <w:spacing w:val="-1"/>
        </w:rPr>
        <w:t> </w:t>
      </w:r>
      <w:r>
        <w:rPr/>
        <w:t>con</w:t>
      </w:r>
      <w:r>
        <w:rPr>
          <w:spacing w:val="-1"/>
        </w:rPr>
        <w:t> </w:t>
      </w:r>
      <w:r>
        <w:rPr/>
        <w:t>autobuses</w:t>
      </w:r>
      <w:r>
        <w:rPr>
          <w:spacing w:val="-1"/>
        </w:rPr>
        <w:t> </w:t>
      </w:r>
      <w:r>
        <w:rPr/>
        <w:t>eléctricos</w:t>
      </w:r>
      <w:r>
        <w:rPr>
          <w:spacing w:val="-1"/>
        </w:rPr>
        <w:t> </w:t>
      </w:r>
      <w:r>
        <w:rPr/>
        <w:t>ni</w:t>
      </w:r>
      <w:r>
        <w:rPr>
          <w:spacing w:val="-2"/>
        </w:rPr>
        <w:t> </w:t>
      </w:r>
      <w:r>
        <w:rPr/>
        <w:t>tampoco</w:t>
      </w:r>
      <w:r>
        <w:rPr>
          <w:spacing w:val="-1"/>
        </w:rPr>
        <w:t> </w:t>
      </w:r>
      <w:r>
        <w:rPr/>
        <w:t>con</w:t>
      </w:r>
      <w:r>
        <w:rPr>
          <w:spacing w:val="-3"/>
        </w:rPr>
        <w:t> </w:t>
      </w:r>
      <w:r>
        <w:rPr/>
        <w:t>BTR, por lo que</w:t>
      </w:r>
      <w:r>
        <w:rPr>
          <w:spacing w:val="-3"/>
        </w:rPr>
        <w:t> </w:t>
      </w:r>
      <w:r>
        <w:rPr/>
        <w:t>tanto</w:t>
      </w:r>
      <w:r>
        <w:rPr>
          <w:spacing w:val="-1"/>
        </w:rPr>
        <w:t> </w:t>
      </w:r>
      <w:r>
        <w:rPr/>
        <w:t>las líneas BTR como la plataforma segregada para autobús eléctrico no han podido ser empleadas hasta esa fecha para el fin para el que se construyeron. Como se ha indicado en el Subapartado</w:t>
      </w:r>
    </w:p>
    <w:p>
      <w:pPr>
        <w:pStyle w:val="BodyText"/>
        <w:spacing w:before="2"/>
        <w:ind w:left="992" w:right="995"/>
        <w:jc w:val="both"/>
      </w:pPr>
      <w:r>
        <w:rPr/>
        <w:t>II.1</w:t>
      </w:r>
      <w:r>
        <w:rPr>
          <w:spacing w:val="-2"/>
        </w:rPr>
        <w:t> </w:t>
      </w:r>
      <w:r>
        <w:rPr/>
        <w:t>de</w:t>
      </w:r>
      <w:r>
        <w:rPr>
          <w:spacing w:val="-2"/>
        </w:rPr>
        <w:t> </w:t>
      </w:r>
      <w:r>
        <w:rPr/>
        <w:t>este</w:t>
      </w:r>
      <w:r>
        <w:rPr>
          <w:spacing w:val="-4"/>
        </w:rPr>
        <w:t> </w:t>
      </w:r>
      <w:r>
        <w:rPr/>
        <w:t>Informe, el</w:t>
      </w:r>
      <w:r>
        <w:rPr>
          <w:spacing w:val="-3"/>
        </w:rPr>
        <w:t> </w:t>
      </w:r>
      <w:r>
        <w:rPr/>
        <w:t>nuevo</w:t>
      </w:r>
      <w:r>
        <w:rPr>
          <w:spacing w:val="-2"/>
        </w:rPr>
        <w:t> </w:t>
      </w:r>
      <w:r>
        <w:rPr/>
        <w:t>contrato</w:t>
      </w:r>
      <w:r>
        <w:rPr>
          <w:spacing w:val="-1"/>
        </w:rPr>
        <w:t> </w:t>
      </w:r>
      <w:r>
        <w:rPr/>
        <w:t>para</w:t>
      </w:r>
      <w:r>
        <w:rPr>
          <w:spacing w:val="-2"/>
        </w:rPr>
        <w:t> </w:t>
      </w:r>
      <w:r>
        <w:rPr/>
        <w:t>la</w:t>
      </w:r>
      <w:r>
        <w:rPr>
          <w:spacing w:val="-2"/>
        </w:rPr>
        <w:t> </w:t>
      </w:r>
      <w:r>
        <w:rPr/>
        <w:t>gestión</w:t>
      </w:r>
      <w:r>
        <w:rPr>
          <w:spacing w:val="-2"/>
        </w:rPr>
        <w:t> </w:t>
      </w:r>
      <w:r>
        <w:rPr/>
        <w:t>del</w:t>
      </w:r>
      <w:r>
        <w:rPr>
          <w:spacing w:val="-2"/>
        </w:rPr>
        <w:t> </w:t>
      </w:r>
      <w:r>
        <w:rPr/>
        <w:t>servicio</w:t>
      </w:r>
      <w:r>
        <w:rPr>
          <w:spacing w:val="-2"/>
        </w:rPr>
        <w:t> </w:t>
      </w:r>
      <w:r>
        <w:rPr/>
        <w:t>de</w:t>
      </w:r>
      <w:r>
        <w:rPr>
          <w:spacing w:val="-4"/>
        </w:rPr>
        <w:t> </w:t>
      </w:r>
      <w:r>
        <w:rPr/>
        <w:t>transporte</w:t>
      </w:r>
      <w:r>
        <w:rPr>
          <w:spacing w:val="-2"/>
        </w:rPr>
        <w:t> </w:t>
      </w:r>
      <w:r>
        <w:rPr/>
        <w:t>urbano,</w:t>
      </w:r>
      <w:r>
        <w:rPr>
          <w:spacing w:val="-3"/>
        </w:rPr>
        <w:t> </w:t>
      </w:r>
      <w:r>
        <w:rPr/>
        <w:t>que</w:t>
      </w:r>
      <w:r>
        <w:rPr>
          <w:spacing w:val="-2"/>
        </w:rPr>
        <w:t> </w:t>
      </w:r>
      <w:r>
        <w:rPr/>
        <w:t>está</w:t>
      </w:r>
      <w:r>
        <w:rPr>
          <w:spacing w:val="-4"/>
        </w:rPr>
        <w:t> </w:t>
      </w:r>
      <w:r>
        <w:rPr/>
        <w:t>a fecha de 30 de septiembre de 2025 aún sin licitar, incluye la provisión de flota eléctrica e híbrida </w:t>
      </w:r>
      <w:r>
        <w:rPr>
          <w:spacing w:val="-2"/>
        </w:rPr>
        <w:t>enchufable.</w:t>
      </w:r>
    </w:p>
    <w:p>
      <w:pPr>
        <w:pStyle w:val="BodyText"/>
        <w:spacing w:before="239"/>
        <w:ind w:left="992" w:right="985"/>
        <w:jc w:val="both"/>
      </w:pPr>
      <w:r>
        <w:rPr/>
        <w:t>El expediente contractual de obras tramitado al efecto, por urgencia, se dividió en siete lotes. Los contratos se adjudicaron en octubre de 2022 por un plazo de ocho meses y han sido objeto de cuatro ampliaciones de plazo, invocando las mismas razones que en el expediente anteriormente analizado, lo que ha motivado que las obras se extendieran hasta marzo de 2024. Estos lotes también fueron modificados en una ocasión para añadir obras no sustanciales a las inicialmente </w:t>
      </w:r>
      <w:r>
        <w:rPr>
          <w:spacing w:val="-2"/>
        </w:rPr>
        <w:t>contratadas.</w:t>
      </w:r>
    </w:p>
    <w:p>
      <w:pPr>
        <w:pStyle w:val="BodyText"/>
        <w:spacing w:before="239"/>
        <w:ind w:left="992" w:right="990"/>
        <w:jc w:val="both"/>
      </w:pPr>
      <w:r>
        <w:rPr/>
        <w:t>La empresa municipal de transporte del </w:t>
      </w:r>
      <w:r>
        <w:rPr>
          <w:b/>
        </w:rPr>
        <w:t>Ayuntamiento de Palma </w:t>
      </w:r>
      <w:r>
        <w:rPr/>
        <w:t>ha realizado una actuación dirigida a mejorar la accesibilidad de las paradas, por importe conjunto de 5.427.480,63 euros, sin IVA, que ha englobado la redacción del proyecto, la asistencia técnica para la dirección facultativa y</w:t>
      </w:r>
      <w:r>
        <w:rPr>
          <w:spacing w:val="-16"/>
        </w:rPr>
        <w:t> </w:t>
      </w:r>
      <w:r>
        <w:rPr/>
        <w:t>coordinación</w:t>
      </w:r>
      <w:r>
        <w:rPr>
          <w:spacing w:val="-17"/>
        </w:rPr>
        <w:t> </w:t>
      </w:r>
      <w:r>
        <w:rPr/>
        <w:t>en</w:t>
      </w:r>
      <w:r>
        <w:rPr>
          <w:spacing w:val="-17"/>
        </w:rPr>
        <w:t> </w:t>
      </w:r>
      <w:r>
        <w:rPr/>
        <w:t>materia</w:t>
      </w:r>
      <w:r>
        <w:rPr>
          <w:spacing w:val="-15"/>
        </w:rPr>
        <w:t> </w:t>
      </w:r>
      <w:r>
        <w:rPr/>
        <w:t>de</w:t>
      </w:r>
      <w:r>
        <w:rPr>
          <w:spacing w:val="-15"/>
        </w:rPr>
        <w:t> </w:t>
      </w:r>
      <w:r>
        <w:rPr/>
        <w:t>seguridad</w:t>
      </w:r>
      <w:r>
        <w:rPr>
          <w:spacing w:val="-16"/>
        </w:rPr>
        <w:t> </w:t>
      </w:r>
      <w:r>
        <w:rPr/>
        <w:t>y</w:t>
      </w:r>
      <w:r>
        <w:rPr>
          <w:spacing w:val="-16"/>
        </w:rPr>
        <w:t> </w:t>
      </w:r>
      <w:r>
        <w:rPr/>
        <w:t>salud,</w:t>
      </w:r>
      <w:r>
        <w:rPr>
          <w:spacing w:val="-15"/>
        </w:rPr>
        <w:t> </w:t>
      </w:r>
      <w:r>
        <w:rPr/>
        <w:t>la</w:t>
      </w:r>
      <w:r>
        <w:rPr>
          <w:spacing w:val="-17"/>
        </w:rPr>
        <w:t> </w:t>
      </w:r>
      <w:r>
        <w:rPr/>
        <w:t>adquisición</w:t>
      </w:r>
      <w:r>
        <w:rPr>
          <w:spacing w:val="-15"/>
        </w:rPr>
        <w:t> </w:t>
      </w:r>
      <w:r>
        <w:rPr/>
        <w:t>de</w:t>
      </w:r>
      <w:r>
        <w:rPr>
          <w:spacing w:val="-15"/>
        </w:rPr>
        <w:t> </w:t>
      </w:r>
      <w:r>
        <w:rPr/>
        <w:t>nuevas</w:t>
      </w:r>
      <w:r>
        <w:rPr>
          <w:spacing w:val="-16"/>
        </w:rPr>
        <w:t> </w:t>
      </w:r>
      <w:r>
        <w:rPr/>
        <w:t>marquesinas</w:t>
      </w:r>
      <w:r>
        <w:rPr>
          <w:spacing w:val="-16"/>
        </w:rPr>
        <w:t> </w:t>
      </w:r>
      <w:r>
        <w:rPr/>
        <w:t>y</w:t>
      </w:r>
      <w:r>
        <w:rPr>
          <w:spacing w:val="-16"/>
        </w:rPr>
        <w:t> </w:t>
      </w:r>
      <w:r>
        <w:rPr/>
        <w:t>la</w:t>
      </w:r>
      <w:r>
        <w:rPr>
          <w:spacing w:val="-15"/>
        </w:rPr>
        <w:t> </w:t>
      </w:r>
      <w:r>
        <w:rPr/>
        <w:t>ejecución</w:t>
      </w:r>
    </w:p>
    <w:p>
      <w:pPr>
        <w:pStyle w:val="BodyText"/>
        <w:rPr>
          <w:sz w:val="20"/>
        </w:rPr>
      </w:pPr>
    </w:p>
    <w:p>
      <w:pPr>
        <w:pStyle w:val="BodyText"/>
        <w:rPr>
          <w:sz w:val="20"/>
        </w:rPr>
      </w:pPr>
    </w:p>
    <w:p>
      <w:pPr>
        <w:pStyle w:val="BodyText"/>
        <w:spacing w:before="17"/>
        <w:rPr>
          <w:sz w:val="20"/>
        </w:rPr>
      </w:pPr>
      <w:r>
        <w:rPr>
          <w:sz w:val="20"/>
        </w:rPr>
        <mc:AlternateContent>
          <mc:Choice Requires="wps">
            <w:drawing>
              <wp:anchor distT="0" distB="0" distL="0" distR="0" allowOverlap="1" layoutInCell="1" locked="0" behindDoc="1" simplePos="0" relativeHeight="487611392">
                <wp:simplePos x="0" y="0"/>
                <wp:positionH relativeFrom="page">
                  <wp:posOffset>719632</wp:posOffset>
                </wp:positionH>
                <wp:positionV relativeFrom="paragraph">
                  <wp:posOffset>172260</wp:posOffset>
                </wp:positionV>
                <wp:extent cx="1829435" cy="9525"/>
                <wp:effectExtent l="0" t="0" r="0" b="0"/>
                <wp:wrapTopAndBottom/>
                <wp:docPr id="162" name="Graphic 162"/>
                <wp:cNvGraphicFramePr>
                  <a:graphicFrameLocks/>
                </wp:cNvGraphicFramePr>
                <a:graphic>
                  <a:graphicData uri="http://schemas.microsoft.com/office/word/2010/wordprocessingShape">
                    <wps:wsp>
                      <wps:cNvPr id="162" name="Graphic 162"/>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3.563818pt;width:144.020pt;height:.72003pt;mso-position-horizontal-relative:page;mso-position-vertical-relative:paragraph;z-index:-15705088;mso-wrap-distance-left:0;mso-wrap-distance-right:0" id="docshape144" filled="true" fillcolor="#000000" stroked="false">
                <v:fill type="solid"/>
                <w10:wrap type="topAndBottom"/>
              </v:rect>
            </w:pict>
          </mc:Fallback>
        </mc:AlternateContent>
      </w:r>
    </w:p>
    <w:p>
      <w:pPr>
        <w:spacing w:before="115"/>
        <w:ind w:left="992" w:right="0" w:firstLine="0"/>
        <w:jc w:val="both"/>
        <w:rPr>
          <w:sz w:val="18"/>
        </w:rPr>
      </w:pPr>
      <w:bookmarkStart w:name="_bookmark70" w:id="72"/>
      <w:bookmarkEnd w:id="72"/>
      <w:r>
        <w:rPr/>
      </w:r>
      <w:r>
        <w:rPr>
          <w:position w:val="6"/>
          <w:sz w:val="12"/>
        </w:rPr>
        <w:t>44</w:t>
      </w:r>
      <w:r>
        <w:rPr>
          <w:spacing w:val="11"/>
          <w:position w:val="6"/>
          <w:sz w:val="12"/>
        </w:rPr>
        <w:t> </w:t>
      </w:r>
      <w:r>
        <w:rPr>
          <w:sz w:val="18"/>
        </w:rPr>
        <w:t>Autobuses</w:t>
      </w:r>
      <w:r>
        <w:rPr>
          <w:spacing w:val="-2"/>
          <w:sz w:val="18"/>
        </w:rPr>
        <w:t> </w:t>
      </w:r>
      <w:r>
        <w:rPr>
          <w:sz w:val="18"/>
        </w:rPr>
        <w:t>eléctricos</w:t>
      </w:r>
      <w:r>
        <w:rPr>
          <w:spacing w:val="-3"/>
          <w:sz w:val="18"/>
        </w:rPr>
        <w:t> </w:t>
      </w:r>
      <w:r>
        <w:rPr>
          <w:sz w:val="18"/>
        </w:rPr>
        <w:t>articulados</w:t>
      </w:r>
      <w:r>
        <w:rPr>
          <w:spacing w:val="-1"/>
          <w:sz w:val="18"/>
        </w:rPr>
        <w:t> </w:t>
      </w:r>
      <w:r>
        <w:rPr>
          <w:sz w:val="18"/>
        </w:rPr>
        <w:t>de</w:t>
      </w:r>
      <w:r>
        <w:rPr>
          <w:spacing w:val="-3"/>
          <w:sz w:val="18"/>
        </w:rPr>
        <w:t> </w:t>
      </w:r>
      <w:r>
        <w:rPr>
          <w:sz w:val="18"/>
        </w:rPr>
        <w:t>gran</w:t>
      </w:r>
      <w:r>
        <w:rPr>
          <w:spacing w:val="-4"/>
          <w:sz w:val="18"/>
        </w:rPr>
        <w:t> </w:t>
      </w:r>
      <w:r>
        <w:rPr>
          <w:sz w:val="18"/>
        </w:rPr>
        <w:t>capacidad,</w:t>
      </w:r>
      <w:r>
        <w:rPr>
          <w:spacing w:val="-1"/>
          <w:sz w:val="18"/>
        </w:rPr>
        <w:t> </w:t>
      </w:r>
      <w:r>
        <w:rPr>
          <w:sz w:val="18"/>
        </w:rPr>
        <w:t>de</w:t>
      </w:r>
      <w:r>
        <w:rPr>
          <w:spacing w:val="-3"/>
          <w:sz w:val="18"/>
        </w:rPr>
        <w:t> </w:t>
      </w:r>
      <w:r>
        <w:rPr>
          <w:sz w:val="18"/>
        </w:rPr>
        <w:t>tránsito</w:t>
      </w:r>
      <w:r>
        <w:rPr>
          <w:spacing w:val="-3"/>
          <w:sz w:val="18"/>
        </w:rPr>
        <w:t> </w:t>
      </w:r>
      <w:r>
        <w:rPr>
          <w:sz w:val="18"/>
        </w:rPr>
        <w:t>rápido</w:t>
      </w:r>
      <w:r>
        <w:rPr>
          <w:spacing w:val="-1"/>
          <w:sz w:val="18"/>
        </w:rPr>
        <w:t> </w:t>
      </w:r>
      <w:r>
        <w:rPr>
          <w:sz w:val="18"/>
        </w:rPr>
        <w:t>por</w:t>
      </w:r>
      <w:r>
        <w:rPr>
          <w:spacing w:val="-3"/>
          <w:sz w:val="18"/>
        </w:rPr>
        <w:t> </w:t>
      </w:r>
      <w:r>
        <w:rPr>
          <w:sz w:val="18"/>
        </w:rPr>
        <w:t>un</w:t>
      </w:r>
      <w:r>
        <w:rPr>
          <w:spacing w:val="-5"/>
          <w:sz w:val="18"/>
        </w:rPr>
        <w:t> </w:t>
      </w:r>
      <w:r>
        <w:rPr>
          <w:sz w:val="18"/>
        </w:rPr>
        <w:t>carril</w:t>
      </w:r>
      <w:r>
        <w:rPr>
          <w:spacing w:val="-5"/>
          <w:sz w:val="18"/>
        </w:rPr>
        <w:t> </w:t>
      </w:r>
      <w:r>
        <w:rPr>
          <w:spacing w:val="-2"/>
          <w:sz w:val="18"/>
        </w:rPr>
        <w:t>exclusivo.</w:t>
      </w:r>
    </w:p>
    <w:p>
      <w:pPr>
        <w:spacing w:before="75"/>
        <w:ind w:left="992" w:right="1001" w:firstLine="0"/>
        <w:jc w:val="both"/>
        <w:rPr>
          <w:sz w:val="18"/>
        </w:rPr>
      </w:pPr>
      <w:bookmarkStart w:name="_bookmark71" w:id="73"/>
      <w:bookmarkEnd w:id="73"/>
      <w:r>
        <w:rPr/>
      </w:r>
      <w:r>
        <w:rPr>
          <w:position w:val="6"/>
          <w:sz w:val="12"/>
        </w:rPr>
        <w:t>45</w:t>
      </w:r>
      <w:r>
        <w:rPr>
          <w:spacing w:val="27"/>
          <w:position w:val="6"/>
          <w:sz w:val="12"/>
        </w:rPr>
        <w:t> </w:t>
      </w:r>
      <w:r>
        <w:rPr>
          <w:sz w:val="18"/>
        </w:rPr>
        <w:t>Artículo 119 de la LCSP. Podrán ser objeto de tramitación urgente los expedientes correspondientes a los contratos cuya</w:t>
      </w:r>
      <w:r>
        <w:rPr>
          <w:spacing w:val="-2"/>
          <w:sz w:val="18"/>
        </w:rPr>
        <w:t> </w:t>
      </w:r>
      <w:r>
        <w:rPr>
          <w:sz w:val="18"/>
        </w:rPr>
        <w:t>celebración</w:t>
      </w:r>
      <w:r>
        <w:rPr>
          <w:spacing w:val="-2"/>
          <w:sz w:val="18"/>
        </w:rPr>
        <w:t> </w:t>
      </w:r>
      <w:r>
        <w:rPr>
          <w:sz w:val="18"/>
        </w:rPr>
        <w:t>responda</w:t>
      </w:r>
      <w:r>
        <w:rPr>
          <w:spacing w:val="-2"/>
          <w:sz w:val="18"/>
        </w:rPr>
        <w:t> </w:t>
      </w:r>
      <w:r>
        <w:rPr>
          <w:sz w:val="18"/>
        </w:rPr>
        <w:t>a</w:t>
      </w:r>
      <w:r>
        <w:rPr>
          <w:spacing w:val="-2"/>
          <w:sz w:val="18"/>
        </w:rPr>
        <w:t> </w:t>
      </w:r>
      <w:r>
        <w:rPr>
          <w:sz w:val="18"/>
        </w:rPr>
        <w:t>una</w:t>
      </w:r>
      <w:r>
        <w:rPr>
          <w:spacing w:val="-2"/>
          <w:sz w:val="18"/>
        </w:rPr>
        <w:t> </w:t>
      </w:r>
      <w:r>
        <w:rPr>
          <w:sz w:val="18"/>
        </w:rPr>
        <w:t>necesidad</w:t>
      </w:r>
      <w:r>
        <w:rPr>
          <w:spacing w:val="-4"/>
          <w:sz w:val="18"/>
        </w:rPr>
        <w:t> </w:t>
      </w:r>
      <w:r>
        <w:rPr>
          <w:sz w:val="18"/>
        </w:rPr>
        <w:t>inaplazable</w:t>
      </w:r>
      <w:r>
        <w:rPr>
          <w:spacing w:val="-2"/>
          <w:sz w:val="18"/>
        </w:rPr>
        <w:t> </w:t>
      </w:r>
      <w:r>
        <w:rPr>
          <w:sz w:val="18"/>
        </w:rPr>
        <w:t>o</w:t>
      </w:r>
      <w:r>
        <w:rPr>
          <w:spacing w:val="-2"/>
          <w:sz w:val="18"/>
        </w:rPr>
        <w:t> </w:t>
      </w:r>
      <w:r>
        <w:rPr>
          <w:sz w:val="18"/>
        </w:rPr>
        <w:t>cuya</w:t>
      </w:r>
      <w:r>
        <w:rPr>
          <w:spacing w:val="-2"/>
          <w:sz w:val="18"/>
        </w:rPr>
        <w:t> </w:t>
      </w:r>
      <w:r>
        <w:rPr>
          <w:sz w:val="18"/>
        </w:rPr>
        <w:t>adjudicación</w:t>
      </w:r>
      <w:r>
        <w:rPr>
          <w:spacing w:val="-2"/>
          <w:sz w:val="18"/>
        </w:rPr>
        <w:t> </w:t>
      </w:r>
      <w:r>
        <w:rPr>
          <w:sz w:val="18"/>
        </w:rPr>
        <w:t>sea</w:t>
      </w:r>
      <w:r>
        <w:rPr>
          <w:spacing w:val="-2"/>
          <w:sz w:val="18"/>
        </w:rPr>
        <w:t> </w:t>
      </w:r>
      <w:r>
        <w:rPr>
          <w:sz w:val="18"/>
        </w:rPr>
        <w:t>preciso</w:t>
      </w:r>
      <w:r>
        <w:rPr>
          <w:spacing w:val="-2"/>
          <w:sz w:val="18"/>
        </w:rPr>
        <w:t> </w:t>
      </w:r>
      <w:r>
        <w:rPr>
          <w:sz w:val="18"/>
        </w:rPr>
        <w:t>acelerar</w:t>
      </w:r>
      <w:r>
        <w:rPr>
          <w:spacing w:val="-2"/>
          <w:sz w:val="18"/>
        </w:rPr>
        <w:t> </w:t>
      </w:r>
      <w:r>
        <w:rPr>
          <w:sz w:val="18"/>
        </w:rPr>
        <w:t>por</w:t>
      </w:r>
      <w:r>
        <w:rPr>
          <w:spacing w:val="-2"/>
          <w:sz w:val="18"/>
        </w:rPr>
        <w:t> </w:t>
      </w:r>
      <w:r>
        <w:rPr>
          <w:sz w:val="18"/>
        </w:rPr>
        <w:t>razones</w:t>
      </w:r>
      <w:r>
        <w:rPr>
          <w:spacing w:val="-1"/>
          <w:sz w:val="18"/>
        </w:rPr>
        <w:t> </w:t>
      </w:r>
      <w:r>
        <w:rPr>
          <w:sz w:val="18"/>
        </w:rPr>
        <w:t>de</w:t>
      </w:r>
      <w:r>
        <w:rPr>
          <w:spacing w:val="-2"/>
          <w:sz w:val="18"/>
        </w:rPr>
        <w:t> </w:t>
      </w:r>
      <w:r>
        <w:rPr>
          <w:sz w:val="18"/>
        </w:rPr>
        <w:t>interés </w:t>
      </w:r>
      <w:r>
        <w:rPr>
          <w:spacing w:val="-2"/>
          <w:sz w:val="18"/>
        </w:rPr>
        <w:t>público.</w:t>
      </w:r>
    </w:p>
    <w:p>
      <w:pPr>
        <w:spacing w:before="54"/>
        <w:ind w:left="992" w:right="0" w:firstLine="0"/>
        <w:jc w:val="both"/>
        <w:rPr>
          <w:sz w:val="18"/>
        </w:rPr>
      </w:pPr>
      <w:bookmarkStart w:name="_bookmark72" w:id="74"/>
      <w:bookmarkEnd w:id="74"/>
      <w:r>
        <w:rPr/>
      </w:r>
      <w:r>
        <w:rPr>
          <w:position w:val="6"/>
          <w:sz w:val="12"/>
        </w:rPr>
        <w:t>46</w:t>
      </w:r>
      <w:r>
        <w:rPr>
          <w:spacing w:val="16"/>
          <w:position w:val="6"/>
          <w:sz w:val="12"/>
        </w:rPr>
        <w:t> </w:t>
      </w:r>
      <w:r>
        <w:rPr>
          <w:sz w:val="18"/>
        </w:rPr>
        <w:t>Artículo</w:t>
      </w:r>
      <w:r>
        <w:rPr>
          <w:spacing w:val="-1"/>
          <w:sz w:val="18"/>
        </w:rPr>
        <w:t> </w:t>
      </w:r>
      <w:r>
        <w:rPr>
          <w:sz w:val="18"/>
        </w:rPr>
        <w:t>203</w:t>
      </w:r>
      <w:r>
        <w:rPr>
          <w:spacing w:val="-1"/>
          <w:sz w:val="18"/>
        </w:rPr>
        <w:t> </w:t>
      </w:r>
      <w:r>
        <w:rPr>
          <w:sz w:val="18"/>
        </w:rPr>
        <w:t>de</w:t>
      </w:r>
      <w:r>
        <w:rPr>
          <w:spacing w:val="-1"/>
          <w:sz w:val="18"/>
        </w:rPr>
        <w:t> </w:t>
      </w:r>
      <w:r>
        <w:rPr>
          <w:sz w:val="18"/>
        </w:rPr>
        <w:t>la</w:t>
      </w:r>
      <w:r>
        <w:rPr>
          <w:spacing w:val="-2"/>
          <w:sz w:val="18"/>
        </w:rPr>
        <w:t> LCSP.</w:t>
      </w:r>
    </w:p>
    <w:p>
      <w:pPr>
        <w:spacing w:after="0"/>
        <w:jc w:val="both"/>
        <w:rPr>
          <w:sz w:val="18"/>
        </w:rPr>
        <w:sectPr>
          <w:pgSz w:w="11910" w:h="16840"/>
          <w:pgMar w:header="1227" w:footer="839" w:top="1420" w:bottom="1060" w:left="141" w:right="141"/>
        </w:sectPr>
      </w:pPr>
    </w:p>
    <w:p>
      <w:pPr>
        <w:pStyle w:val="BodyText"/>
      </w:pPr>
    </w:p>
    <w:p>
      <w:pPr>
        <w:pStyle w:val="BodyText"/>
      </w:pPr>
    </w:p>
    <w:p>
      <w:pPr>
        <w:pStyle w:val="BodyText"/>
      </w:pPr>
    </w:p>
    <w:p>
      <w:pPr>
        <w:pStyle w:val="BodyText"/>
        <w:spacing w:before="112"/>
      </w:pPr>
    </w:p>
    <w:p>
      <w:pPr>
        <w:pStyle w:val="BodyText"/>
        <w:ind w:left="992" w:right="992"/>
        <w:jc w:val="both"/>
      </w:pPr>
      <w:r>
        <w:rPr/>
        <w:t>de</w:t>
      </w:r>
      <w:r>
        <w:rPr>
          <w:spacing w:val="-4"/>
        </w:rPr>
        <w:t> </w:t>
      </w:r>
      <w:r>
        <w:rPr/>
        <w:t>las</w:t>
      </w:r>
      <w:r>
        <w:rPr>
          <w:spacing w:val="-4"/>
        </w:rPr>
        <w:t> </w:t>
      </w:r>
      <w:r>
        <w:rPr/>
        <w:t>obras</w:t>
      </w:r>
      <w:r>
        <w:rPr>
          <w:spacing w:val="-6"/>
        </w:rPr>
        <w:t> </w:t>
      </w:r>
      <w:r>
        <w:rPr/>
        <w:t>para</w:t>
      </w:r>
      <w:r>
        <w:rPr>
          <w:spacing w:val="-6"/>
        </w:rPr>
        <w:t> </w:t>
      </w:r>
      <w:r>
        <w:rPr/>
        <w:t>su</w:t>
      </w:r>
      <w:r>
        <w:rPr>
          <w:spacing w:val="-6"/>
        </w:rPr>
        <w:t> </w:t>
      </w:r>
      <w:r>
        <w:rPr/>
        <w:t>instalación,</w:t>
      </w:r>
      <w:r>
        <w:rPr>
          <w:spacing w:val="-4"/>
        </w:rPr>
        <w:t> </w:t>
      </w:r>
      <w:r>
        <w:rPr/>
        <w:t>así</w:t>
      </w:r>
      <w:r>
        <w:rPr>
          <w:spacing w:val="-5"/>
        </w:rPr>
        <w:t> </w:t>
      </w:r>
      <w:r>
        <w:rPr/>
        <w:t>como</w:t>
      </w:r>
      <w:r>
        <w:rPr>
          <w:spacing w:val="-6"/>
        </w:rPr>
        <w:t> </w:t>
      </w:r>
      <w:r>
        <w:rPr/>
        <w:t>la</w:t>
      </w:r>
      <w:r>
        <w:rPr>
          <w:spacing w:val="-6"/>
        </w:rPr>
        <w:t> </w:t>
      </w:r>
      <w:r>
        <w:rPr/>
        <w:t>mejora</w:t>
      </w:r>
      <w:r>
        <w:rPr>
          <w:spacing w:val="-4"/>
        </w:rPr>
        <w:t> </w:t>
      </w:r>
      <w:r>
        <w:rPr/>
        <w:t>de</w:t>
      </w:r>
      <w:r>
        <w:rPr>
          <w:spacing w:val="-7"/>
        </w:rPr>
        <w:t> </w:t>
      </w:r>
      <w:r>
        <w:rPr/>
        <w:t>accesibilidad</w:t>
      </w:r>
      <w:r>
        <w:rPr>
          <w:spacing w:val="-4"/>
        </w:rPr>
        <w:t> </w:t>
      </w:r>
      <w:r>
        <w:rPr/>
        <w:t>de</w:t>
      </w:r>
      <w:r>
        <w:rPr>
          <w:spacing w:val="-4"/>
        </w:rPr>
        <w:t> </w:t>
      </w:r>
      <w:r>
        <w:rPr/>
        <w:t>las</w:t>
      </w:r>
      <w:r>
        <w:rPr>
          <w:spacing w:val="-4"/>
        </w:rPr>
        <w:t> </w:t>
      </w:r>
      <w:r>
        <w:rPr/>
        <w:t>ya</w:t>
      </w:r>
      <w:r>
        <w:rPr>
          <w:spacing w:val="-6"/>
        </w:rPr>
        <w:t> </w:t>
      </w:r>
      <w:r>
        <w:rPr/>
        <w:t>existentes.</w:t>
      </w:r>
      <w:r>
        <w:rPr>
          <w:spacing w:val="-4"/>
        </w:rPr>
        <w:t> </w:t>
      </w:r>
      <w:r>
        <w:rPr/>
        <w:t>Para</w:t>
      </w:r>
      <w:r>
        <w:rPr>
          <w:spacing w:val="-4"/>
        </w:rPr>
        <w:t> </w:t>
      </w:r>
      <w:r>
        <w:rPr/>
        <w:t>ello la entidad ha celebrado cuatro contratos.</w:t>
      </w:r>
    </w:p>
    <w:p>
      <w:pPr>
        <w:pStyle w:val="BodyText"/>
        <w:spacing w:before="240"/>
        <w:ind w:left="992" w:right="991"/>
        <w:jc w:val="both"/>
      </w:pPr>
      <w:r>
        <w:rPr/>
        <w:t>El</w:t>
      </w:r>
      <w:r>
        <w:rPr>
          <w:spacing w:val="-12"/>
        </w:rPr>
        <w:t> </w:t>
      </w:r>
      <w:r>
        <w:rPr/>
        <w:t>contrato</w:t>
      </w:r>
      <w:r>
        <w:rPr>
          <w:spacing w:val="-13"/>
        </w:rPr>
        <w:t> </w:t>
      </w:r>
      <w:r>
        <w:rPr/>
        <w:t>para</w:t>
      </w:r>
      <w:r>
        <w:rPr>
          <w:spacing w:val="-14"/>
        </w:rPr>
        <w:t> </w:t>
      </w:r>
      <w:r>
        <w:rPr/>
        <w:t>la</w:t>
      </w:r>
      <w:r>
        <w:rPr>
          <w:spacing w:val="-14"/>
        </w:rPr>
        <w:t> </w:t>
      </w:r>
      <w:r>
        <w:rPr/>
        <w:t>redacción</w:t>
      </w:r>
      <w:r>
        <w:rPr>
          <w:spacing w:val="-12"/>
        </w:rPr>
        <w:t> </w:t>
      </w:r>
      <w:r>
        <w:rPr/>
        <w:t>del</w:t>
      </w:r>
      <w:r>
        <w:rPr>
          <w:spacing w:val="-12"/>
        </w:rPr>
        <w:t> </w:t>
      </w:r>
      <w:r>
        <w:rPr/>
        <w:t>proyecto</w:t>
      </w:r>
      <w:r>
        <w:rPr>
          <w:spacing w:val="-14"/>
        </w:rPr>
        <w:t> </w:t>
      </w:r>
      <w:r>
        <w:rPr/>
        <w:t>se</w:t>
      </w:r>
      <w:r>
        <w:rPr>
          <w:spacing w:val="-14"/>
        </w:rPr>
        <w:t> </w:t>
      </w:r>
      <w:r>
        <w:rPr/>
        <w:t>formalizó</w:t>
      </w:r>
      <w:r>
        <w:rPr>
          <w:spacing w:val="-11"/>
        </w:rPr>
        <w:t> </w:t>
      </w:r>
      <w:r>
        <w:rPr/>
        <w:t>en</w:t>
      </w:r>
      <w:r>
        <w:rPr>
          <w:spacing w:val="-14"/>
        </w:rPr>
        <w:t> </w:t>
      </w:r>
      <w:r>
        <w:rPr/>
        <w:t>febrero</w:t>
      </w:r>
      <w:r>
        <w:rPr>
          <w:spacing w:val="-14"/>
        </w:rPr>
        <w:t> </w:t>
      </w:r>
      <w:r>
        <w:rPr/>
        <w:t>de</w:t>
      </w:r>
      <w:r>
        <w:rPr>
          <w:spacing w:val="-14"/>
        </w:rPr>
        <w:t> </w:t>
      </w:r>
      <w:r>
        <w:rPr/>
        <w:t>2022,</w:t>
      </w:r>
      <w:r>
        <w:rPr>
          <w:spacing w:val="-15"/>
        </w:rPr>
        <w:t> </w:t>
      </w:r>
      <w:r>
        <w:rPr/>
        <w:t>por</w:t>
      </w:r>
      <w:r>
        <w:rPr>
          <w:spacing w:val="-10"/>
        </w:rPr>
        <w:t> </w:t>
      </w:r>
      <w:r>
        <w:rPr/>
        <w:t>importe</w:t>
      </w:r>
      <w:r>
        <w:rPr>
          <w:spacing w:val="-14"/>
        </w:rPr>
        <w:t> </w:t>
      </w:r>
      <w:r>
        <w:rPr/>
        <w:t>de</w:t>
      </w:r>
      <w:r>
        <w:rPr>
          <w:spacing w:val="-14"/>
        </w:rPr>
        <w:t> </w:t>
      </w:r>
      <w:r>
        <w:rPr/>
        <w:t>36.363,60 euros,</w:t>
      </w:r>
      <w:r>
        <w:rPr>
          <w:spacing w:val="-12"/>
        </w:rPr>
        <w:t> </w:t>
      </w:r>
      <w:r>
        <w:rPr/>
        <w:t>IVA</w:t>
      </w:r>
      <w:r>
        <w:rPr>
          <w:spacing w:val="-11"/>
        </w:rPr>
        <w:t> </w:t>
      </w:r>
      <w:r>
        <w:rPr/>
        <w:t>no</w:t>
      </w:r>
      <w:r>
        <w:rPr>
          <w:spacing w:val="-11"/>
        </w:rPr>
        <w:t> </w:t>
      </w:r>
      <w:r>
        <w:rPr/>
        <w:t>incluido,</w:t>
      </w:r>
      <w:r>
        <w:rPr>
          <w:spacing w:val="-9"/>
        </w:rPr>
        <w:t> </w:t>
      </w:r>
      <w:r>
        <w:rPr/>
        <w:t>y</w:t>
      </w:r>
      <w:r>
        <w:rPr>
          <w:spacing w:val="-12"/>
        </w:rPr>
        <w:t> </w:t>
      </w:r>
      <w:r>
        <w:rPr/>
        <w:t>por</w:t>
      </w:r>
      <w:r>
        <w:rPr>
          <w:spacing w:val="-9"/>
        </w:rPr>
        <w:t> </w:t>
      </w:r>
      <w:r>
        <w:rPr/>
        <w:t>un</w:t>
      </w:r>
      <w:r>
        <w:rPr>
          <w:spacing w:val="-11"/>
        </w:rPr>
        <w:t> </w:t>
      </w:r>
      <w:r>
        <w:rPr/>
        <w:t>plazo</w:t>
      </w:r>
      <w:r>
        <w:rPr>
          <w:spacing w:val="-11"/>
        </w:rPr>
        <w:t> </w:t>
      </w:r>
      <w:r>
        <w:rPr/>
        <w:t>de</w:t>
      </w:r>
      <w:r>
        <w:rPr>
          <w:spacing w:val="-11"/>
        </w:rPr>
        <w:t> </w:t>
      </w:r>
      <w:r>
        <w:rPr/>
        <w:t>ejecución</w:t>
      </w:r>
      <w:r>
        <w:rPr>
          <w:spacing w:val="-10"/>
        </w:rPr>
        <w:t> </w:t>
      </w:r>
      <w:r>
        <w:rPr/>
        <w:t>de</w:t>
      </w:r>
      <w:r>
        <w:rPr>
          <w:spacing w:val="-11"/>
        </w:rPr>
        <w:t> </w:t>
      </w:r>
      <w:r>
        <w:rPr/>
        <w:t>dos</w:t>
      </w:r>
      <w:r>
        <w:rPr>
          <w:spacing w:val="-10"/>
        </w:rPr>
        <w:t> </w:t>
      </w:r>
      <w:r>
        <w:rPr/>
        <w:t>meses.</w:t>
      </w:r>
      <w:r>
        <w:rPr>
          <w:spacing w:val="-12"/>
        </w:rPr>
        <w:t> </w:t>
      </w:r>
      <w:r>
        <w:rPr/>
        <w:t>El</w:t>
      </w:r>
      <w:r>
        <w:rPr>
          <w:spacing w:val="-11"/>
        </w:rPr>
        <w:t> </w:t>
      </w:r>
      <w:r>
        <w:rPr/>
        <w:t>proyecto</w:t>
      </w:r>
      <w:r>
        <w:rPr>
          <w:spacing w:val="-10"/>
        </w:rPr>
        <w:t> </w:t>
      </w:r>
      <w:r>
        <w:rPr/>
        <w:t>fue</w:t>
      </w:r>
      <w:r>
        <w:rPr>
          <w:spacing w:val="-13"/>
        </w:rPr>
        <w:t> </w:t>
      </w:r>
      <w:r>
        <w:rPr/>
        <w:t>entregado</w:t>
      </w:r>
      <w:r>
        <w:rPr>
          <w:spacing w:val="-10"/>
        </w:rPr>
        <w:t> </w:t>
      </w:r>
      <w:r>
        <w:rPr/>
        <w:t>en</w:t>
      </w:r>
      <w:r>
        <w:rPr>
          <w:spacing w:val="-11"/>
        </w:rPr>
        <w:t> </w:t>
      </w:r>
      <w:r>
        <w:rPr/>
        <w:t>abril de</w:t>
      </w:r>
      <w:r>
        <w:rPr>
          <w:spacing w:val="-4"/>
        </w:rPr>
        <w:t> </w:t>
      </w:r>
      <w:r>
        <w:rPr/>
        <w:t>ese</w:t>
      </w:r>
      <w:r>
        <w:rPr>
          <w:spacing w:val="-4"/>
        </w:rPr>
        <w:t> </w:t>
      </w:r>
      <w:r>
        <w:rPr/>
        <w:t>año,</w:t>
      </w:r>
      <w:r>
        <w:rPr>
          <w:spacing w:val="-5"/>
        </w:rPr>
        <w:t> </w:t>
      </w:r>
      <w:r>
        <w:rPr/>
        <w:t>tras</w:t>
      </w:r>
      <w:r>
        <w:rPr>
          <w:spacing w:val="-4"/>
        </w:rPr>
        <w:t> </w:t>
      </w:r>
      <w:r>
        <w:rPr/>
        <w:t>haberse</w:t>
      </w:r>
      <w:r>
        <w:rPr>
          <w:spacing w:val="-6"/>
        </w:rPr>
        <w:t> </w:t>
      </w:r>
      <w:r>
        <w:rPr/>
        <w:t>concedido</w:t>
      </w:r>
      <w:r>
        <w:rPr>
          <w:spacing w:val="-4"/>
        </w:rPr>
        <w:t> </w:t>
      </w:r>
      <w:r>
        <w:rPr/>
        <w:t>una</w:t>
      </w:r>
      <w:r>
        <w:rPr>
          <w:spacing w:val="-6"/>
        </w:rPr>
        <w:t> </w:t>
      </w:r>
      <w:r>
        <w:rPr/>
        <w:t>prórroga</w:t>
      </w:r>
      <w:r>
        <w:rPr>
          <w:spacing w:val="-9"/>
        </w:rPr>
        <w:t> </w:t>
      </w:r>
      <w:r>
        <w:rPr/>
        <w:t>de</w:t>
      </w:r>
      <w:r>
        <w:rPr>
          <w:spacing w:val="-4"/>
        </w:rPr>
        <w:t> </w:t>
      </w:r>
      <w:r>
        <w:rPr/>
        <w:t>quince</w:t>
      </w:r>
      <w:r>
        <w:rPr>
          <w:spacing w:val="-4"/>
        </w:rPr>
        <w:t> </w:t>
      </w:r>
      <w:r>
        <w:rPr/>
        <w:t>días</w:t>
      </w:r>
      <w:r>
        <w:rPr>
          <w:spacing w:val="-4"/>
        </w:rPr>
        <w:t> </w:t>
      </w:r>
      <w:r>
        <w:rPr/>
        <w:t>como</w:t>
      </w:r>
      <w:r>
        <w:rPr>
          <w:spacing w:val="-6"/>
        </w:rPr>
        <w:t> </w:t>
      </w:r>
      <w:r>
        <w:rPr/>
        <w:t>consecuencia</w:t>
      </w:r>
      <w:r>
        <w:rPr>
          <w:spacing w:val="-4"/>
        </w:rPr>
        <w:t> </w:t>
      </w:r>
      <w:r>
        <w:rPr/>
        <w:t>de</w:t>
      </w:r>
      <w:r>
        <w:rPr>
          <w:spacing w:val="-4"/>
        </w:rPr>
        <w:t> </w:t>
      </w:r>
      <w:r>
        <w:rPr/>
        <w:t>cambios</w:t>
      </w:r>
      <w:r>
        <w:rPr>
          <w:spacing w:val="-6"/>
        </w:rPr>
        <w:t> </w:t>
      </w:r>
      <w:r>
        <w:rPr/>
        <w:t>y decisiones</w:t>
      </w:r>
      <w:r>
        <w:rPr>
          <w:spacing w:val="-12"/>
        </w:rPr>
        <w:t> </w:t>
      </w:r>
      <w:r>
        <w:rPr/>
        <w:t>motivadas</w:t>
      </w:r>
      <w:r>
        <w:rPr>
          <w:spacing w:val="-11"/>
        </w:rPr>
        <w:t> </w:t>
      </w:r>
      <w:r>
        <w:rPr/>
        <w:t>por</w:t>
      </w:r>
      <w:r>
        <w:rPr>
          <w:spacing w:val="-10"/>
        </w:rPr>
        <w:t> </w:t>
      </w:r>
      <w:r>
        <w:rPr/>
        <w:t>el</w:t>
      </w:r>
      <w:r>
        <w:rPr>
          <w:spacing w:val="-12"/>
        </w:rPr>
        <w:t> </w:t>
      </w:r>
      <w:r>
        <w:rPr/>
        <w:t>propio</w:t>
      </w:r>
      <w:r>
        <w:rPr>
          <w:spacing w:val="-11"/>
        </w:rPr>
        <w:t> </w:t>
      </w:r>
      <w:r>
        <w:rPr/>
        <w:t>Ayuntamiento</w:t>
      </w:r>
      <w:r>
        <w:rPr>
          <w:spacing w:val="-16"/>
        </w:rPr>
        <w:t> </w:t>
      </w:r>
      <w:r>
        <w:rPr/>
        <w:t>y</w:t>
      </w:r>
      <w:r>
        <w:rPr>
          <w:spacing w:val="-11"/>
        </w:rPr>
        <w:t> </w:t>
      </w:r>
      <w:r>
        <w:rPr/>
        <w:t>la</w:t>
      </w:r>
      <w:r>
        <w:rPr>
          <w:spacing w:val="-11"/>
        </w:rPr>
        <w:t> </w:t>
      </w:r>
      <w:r>
        <w:rPr/>
        <w:t>empresa</w:t>
      </w:r>
      <w:r>
        <w:rPr>
          <w:spacing w:val="-14"/>
        </w:rPr>
        <w:t> </w:t>
      </w:r>
      <w:r>
        <w:rPr/>
        <w:t>municipal,</w:t>
      </w:r>
      <w:r>
        <w:rPr>
          <w:spacing w:val="-10"/>
        </w:rPr>
        <w:t> </w:t>
      </w:r>
      <w:r>
        <w:rPr/>
        <w:t>a</w:t>
      </w:r>
      <w:r>
        <w:rPr>
          <w:spacing w:val="-14"/>
        </w:rPr>
        <w:t> </w:t>
      </w:r>
      <w:r>
        <w:rPr/>
        <w:t>pesar</w:t>
      </w:r>
      <w:r>
        <w:rPr>
          <w:spacing w:val="-13"/>
        </w:rPr>
        <w:t> </w:t>
      </w:r>
      <w:r>
        <w:rPr/>
        <w:t>de</w:t>
      </w:r>
      <w:r>
        <w:rPr>
          <w:spacing w:val="-12"/>
        </w:rPr>
        <w:t> </w:t>
      </w:r>
      <w:r>
        <w:rPr/>
        <w:t>que</w:t>
      </w:r>
      <w:r>
        <w:rPr>
          <w:spacing w:val="-14"/>
        </w:rPr>
        <w:t> </w:t>
      </w:r>
      <w:r>
        <w:rPr/>
        <w:t>el</w:t>
      </w:r>
      <w:r>
        <w:rPr>
          <w:spacing w:val="-12"/>
        </w:rPr>
        <w:t> </w:t>
      </w:r>
      <w:r>
        <w:rPr/>
        <w:t>contrato establecía la no posibilidad de prórroga.</w:t>
      </w:r>
    </w:p>
    <w:p>
      <w:pPr>
        <w:pStyle w:val="BodyText"/>
        <w:spacing w:before="240"/>
        <w:ind w:left="992" w:right="986"/>
        <w:jc w:val="both"/>
      </w:pPr>
      <w:r>
        <w:rPr/>
        <w:t>Con</w:t>
      </w:r>
      <w:r>
        <w:rPr>
          <w:spacing w:val="-7"/>
        </w:rPr>
        <w:t> </w:t>
      </w:r>
      <w:r>
        <w:rPr/>
        <w:t>posterioridad</w:t>
      </w:r>
      <w:r>
        <w:rPr>
          <w:spacing w:val="-9"/>
        </w:rPr>
        <w:t> </w:t>
      </w:r>
      <w:r>
        <w:rPr/>
        <w:t>a</w:t>
      </w:r>
      <w:r>
        <w:rPr>
          <w:spacing w:val="-6"/>
        </w:rPr>
        <w:t> </w:t>
      </w:r>
      <w:r>
        <w:rPr/>
        <w:t>la</w:t>
      </w:r>
      <w:r>
        <w:rPr>
          <w:spacing w:val="-9"/>
        </w:rPr>
        <w:t> </w:t>
      </w:r>
      <w:r>
        <w:rPr/>
        <w:t>entrega</w:t>
      </w:r>
      <w:r>
        <w:rPr>
          <w:spacing w:val="-9"/>
        </w:rPr>
        <w:t> </w:t>
      </w:r>
      <w:r>
        <w:rPr/>
        <w:t>del</w:t>
      </w:r>
      <w:r>
        <w:rPr>
          <w:spacing w:val="-7"/>
        </w:rPr>
        <w:t> </w:t>
      </w:r>
      <w:r>
        <w:rPr/>
        <w:t>proyecto,</w:t>
      </w:r>
      <w:r>
        <w:rPr>
          <w:spacing w:val="-8"/>
        </w:rPr>
        <w:t> </w:t>
      </w:r>
      <w:r>
        <w:rPr/>
        <w:t>se</w:t>
      </w:r>
      <w:r>
        <w:rPr>
          <w:spacing w:val="-11"/>
        </w:rPr>
        <w:t> </w:t>
      </w:r>
      <w:r>
        <w:rPr/>
        <w:t>formalizaron</w:t>
      </w:r>
      <w:r>
        <w:rPr>
          <w:spacing w:val="-6"/>
        </w:rPr>
        <w:t> </w:t>
      </w:r>
      <w:r>
        <w:rPr/>
        <w:t>dos</w:t>
      </w:r>
      <w:r>
        <w:rPr>
          <w:spacing w:val="-6"/>
        </w:rPr>
        <w:t> </w:t>
      </w:r>
      <w:r>
        <w:rPr/>
        <w:t>adendas</w:t>
      </w:r>
      <w:r>
        <w:rPr>
          <w:spacing w:val="-8"/>
        </w:rPr>
        <w:t> </w:t>
      </w:r>
      <w:r>
        <w:rPr/>
        <w:t>al</w:t>
      </w:r>
      <w:r>
        <w:rPr>
          <w:spacing w:val="-7"/>
        </w:rPr>
        <w:t> </w:t>
      </w:r>
      <w:r>
        <w:rPr/>
        <w:t>contrato</w:t>
      </w:r>
      <w:r>
        <w:rPr>
          <w:spacing w:val="-8"/>
        </w:rPr>
        <w:t> </w:t>
      </w:r>
      <w:r>
        <w:rPr/>
        <w:t>inicial</w:t>
      </w:r>
      <w:r>
        <w:rPr>
          <w:spacing w:val="-4"/>
        </w:rPr>
        <w:t> </w:t>
      </w:r>
      <w:r>
        <w:rPr>
          <w:rFonts w:ascii="Symbol" w:hAnsi="Symbol"/>
        </w:rPr>
        <w:t></w:t>
      </w:r>
      <w:r>
        <w:rPr/>
        <w:t>una</w:t>
      </w:r>
      <w:r>
        <w:rPr>
          <w:spacing w:val="-9"/>
        </w:rPr>
        <w:t> </w:t>
      </w:r>
      <w:r>
        <w:rPr/>
        <w:t>en octubre</w:t>
      </w:r>
      <w:r>
        <w:rPr>
          <w:spacing w:val="-1"/>
        </w:rPr>
        <w:t> </w:t>
      </w:r>
      <w:r>
        <w:rPr/>
        <w:t>de</w:t>
      </w:r>
      <w:r>
        <w:rPr>
          <w:spacing w:val="-1"/>
        </w:rPr>
        <w:t> </w:t>
      </w:r>
      <w:r>
        <w:rPr/>
        <w:t>2022</w:t>
      </w:r>
      <w:r>
        <w:rPr>
          <w:spacing w:val="-1"/>
        </w:rPr>
        <w:t> </w:t>
      </w:r>
      <w:r>
        <w:rPr/>
        <w:t>y</w:t>
      </w:r>
      <w:r>
        <w:rPr>
          <w:spacing w:val="-1"/>
        </w:rPr>
        <w:t> </w:t>
      </w:r>
      <w:r>
        <w:rPr/>
        <w:t>otra</w:t>
      </w:r>
      <w:r>
        <w:rPr>
          <w:spacing w:val="-1"/>
        </w:rPr>
        <w:t> </w:t>
      </w:r>
      <w:r>
        <w:rPr/>
        <w:t>en enero de</w:t>
      </w:r>
      <w:r>
        <w:rPr>
          <w:spacing w:val="-1"/>
        </w:rPr>
        <w:t> </w:t>
      </w:r>
      <w:r>
        <w:rPr/>
        <w:t>2023</w:t>
      </w:r>
      <w:r>
        <w:rPr>
          <w:rFonts w:ascii="Symbol" w:hAnsi="Symbol"/>
        </w:rPr>
        <w:t></w:t>
      </w:r>
      <w:r>
        <w:rPr/>
        <w:t>, por importe</w:t>
      </w:r>
      <w:r>
        <w:rPr>
          <w:spacing w:val="-1"/>
        </w:rPr>
        <w:t> </w:t>
      </w:r>
      <w:r>
        <w:rPr/>
        <w:t>conjunto</w:t>
      </w:r>
      <w:r>
        <w:rPr>
          <w:spacing w:val="-1"/>
        </w:rPr>
        <w:t> </w:t>
      </w:r>
      <w:r>
        <w:rPr/>
        <w:t>de</w:t>
      </w:r>
      <w:r>
        <w:rPr>
          <w:spacing w:val="-1"/>
        </w:rPr>
        <w:t> </w:t>
      </w:r>
      <w:r>
        <w:rPr/>
        <w:t>7.271,25</w:t>
      </w:r>
      <w:r>
        <w:rPr>
          <w:spacing w:val="-1"/>
        </w:rPr>
        <w:t> </w:t>
      </w:r>
      <w:r>
        <w:rPr/>
        <w:t>euros, sin</w:t>
      </w:r>
      <w:r>
        <w:rPr>
          <w:spacing w:val="-1"/>
        </w:rPr>
        <w:t> </w:t>
      </w:r>
      <w:r>
        <w:rPr/>
        <w:t>IVA, lo</w:t>
      </w:r>
      <w:r>
        <w:rPr>
          <w:spacing w:val="-1"/>
        </w:rPr>
        <w:t> </w:t>
      </w:r>
      <w:r>
        <w:rPr/>
        <w:t>que representa el 19,99 % del importe inicial. Según el informe justificativo, las obras de ejecución del mencionado</w:t>
      </w:r>
      <w:r>
        <w:rPr>
          <w:spacing w:val="-9"/>
        </w:rPr>
        <w:t> </w:t>
      </w:r>
      <w:r>
        <w:rPr/>
        <w:t>proyecto</w:t>
      </w:r>
      <w:r>
        <w:rPr>
          <w:spacing w:val="-11"/>
        </w:rPr>
        <w:t> </w:t>
      </w:r>
      <w:r>
        <w:rPr/>
        <w:t>se</w:t>
      </w:r>
      <w:r>
        <w:rPr>
          <w:spacing w:val="-11"/>
        </w:rPr>
        <w:t> </w:t>
      </w:r>
      <w:r>
        <w:rPr/>
        <w:t>habían</w:t>
      </w:r>
      <w:r>
        <w:rPr>
          <w:spacing w:val="-8"/>
        </w:rPr>
        <w:t> </w:t>
      </w:r>
      <w:r>
        <w:rPr/>
        <w:t>licitado</w:t>
      </w:r>
      <w:r>
        <w:rPr>
          <w:spacing w:val="-9"/>
        </w:rPr>
        <w:t> </w:t>
      </w:r>
      <w:r>
        <w:rPr/>
        <w:t>y</w:t>
      </w:r>
      <w:r>
        <w:rPr>
          <w:spacing w:val="-11"/>
        </w:rPr>
        <w:t> </w:t>
      </w:r>
      <w:r>
        <w:rPr/>
        <w:t>habían</w:t>
      </w:r>
      <w:r>
        <w:rPr>
          <w:spacing w:val="-12"/>
        </w:rPr>
        <w:t> </w:t>
      </w:r>
      <w:r>
        <w:rPr/>
        <w:t>quedado</w:t>
      </w:r>
      <w:r>
        <w:rPr>
          <w:spacing w:val="-9"/>
        </w:rPr>
        <w:t> </w:t>
      </w:r>
      <w:r>
        <w:rPr/>
        <w:t>desiertas,</w:t>
      </w:r>
      <w:r>
        <w:rPr>
          <w:spacing w:val="-10"/>
        </w:rPr>
        <w:t> </w:t>
      </w:r>
      <w:r>
        <w:rPr/>
        <w:t>por</w:t>
      </w:r>
      <w:r>
        <w:rPr>
          <w:spacing w:val="-8"/>
        </w:rPr>
        <w:t> </w:t>
      </w:r>
      <w:r>
        <w:rPr/>
        <w:t>lo</w:t>
      </w:r>
      <w:r>
        <w:rPr>
          <w:spacing w:val="-9"/>
        </w:rPr>
        <w:t> </w:t>
      </w:r>
      <w:r>
        <w:rPr/>
        <w:t>que</w:t>
      </w:r>
      <w:r>
        <w:rPr>
          <w:spacing w:val="-9"/>
        </w:rPr>
        <w:t> </w:t>
      </w:r>
      <w:r>
        <w:rPr/>
        <w:t>se</w:t>
      </w:r>
      <w:r>
        <w:rPr>
          <w:spacing w:val="-11"/>
        </w:rPr>
        <w:t> </w:t>
      </w:r>
      <w:r>
        <w:rPr/>
        <w:t>habían</w:t>
      </w:r>
      <w:r>
        <w:rPr>
          <w:spacing w:val="-11"/>
        </w:rPr>
        <w:t> </w:t>
      </w:r>
      <w:r>
        <w:rPr/>
        <w:t>realizado consultas a organismos y empresas proveedoras para conocer la causa de la falta de licitadores. En esas consultas se puso de manifiesto que no se habían tenido en consideración diversos condicionantes técnicos relacionados con el hecho de que las obras no eran lineales, sino que estaban fraccionadas en pequeñas unidades de actuación (una para cada parada), hecho que reducía los rendimientos de la obra, respecto a una que se encontrara ubicada en un único emplazamiento, lo que evidencia deficiencias en la redacción del proyecto.</w:t>
      </w:r>
    </w:p>
    <w:p>
      <w:pPr>
        <w:pStyle w:val="BodyText"/>
        <w:spacing w:before="241"/>
        <w:ind w:left="992" w:right="989"/>
        <w:jc w:val="both"/>
      </w:pPr>
      <w:r>
        <w:rPr/>
        <w:t>Las obras</w:t>
      </w:r>
      <w:r>
        <w:rPr>
          <w:spacing w:val="-1"/>
        </w:rPr>
        <w:t> </w:t>
      </w:r>
      <w:r>
        <w:rPr/>
        <w:t>de</w:t>
      </w:r>
      <w:r>
        <w:rPr>
          <w:spacing w:val="-3"/>
        </w:rPr>
        <w:t> </w:t>
      </w:r>
      <w:r>
        <w:rPr/>
        <w:t>mejora de</w:t>
      </w:r>
      <w:r>
        <w:rPr>
          <w:spacing w:val="-6"/>
        </w:rPr>
        <w:t> </w:t>
      </w:r>
      <w:r>
        <w:rPr/>
        <w:t>accesibilidad</w:t>
      </w:r>
      <w:r>
        <w:rPr>
          <w:spacing w:val="-1"/>
        </w:rPr>
        <w:t> </w:t>
      </w:r>
      <w:r>
        <w:rPr/>
        <w:t>de</w:t>
      </w:r>
      <w:r>
        <w:rPr>
          <w:spacing w:val="-1"/>
        </w:rPr>
        <w:t> </w:t>
      </w:r>
      <w:r>
        <w:rPr/>
        <w:t>diversas paradas</w:t>
      </w:r>
      <w:r>
        <w:rPr>
          <w:spacing w:val="-1"/>
        </w:rPr>
        <w:t> </w:t>
      </w:r>
      <w:r>
        <w:rPr/>
        <w:t>han</w:t>
      </w:r>
      <w:r>
        <w:rPr>
          <w:spacing w:val="-3"/>
        </w:rPr>
        <w:t> </w:t>
      </w:r>
      <w:r>
        <w:rPr/>
        <w:t>tenido</w:t>
      </w:r>
      <w:r>
        <w:rPr>
          <w:spacing w:val="-1"/>
        </w:rPr>
        <w:t> </w:t>
      </w:r>
      <w:r>
        <w:rPr/>
        <w:t>por</w:t>
      </w:r>
      <w:r>
        <w:rPr>
          <w:spacing w:val="-2"/>
        </w:rPr>
        <w:t> </w:t>
      </w:r>
      <w:r>
        <w:rPr/>
        <w:t>objeto</w:t>
      </w:r>
      <w:r>
        <w:rPr>
          <w:spacing w:val="-2"/>
        </w:rPr>
        <w:t> </w:t>
      </w:r>
      <w:r>
        <w:rPr/>
        <w:t>recrecer la</w:t>
      </w:r>
      <w:r>
        <w:rPr>
          <w:spacing w:val="-1"/>
        </w:rPr>
        <w:t> </w:t>
      </w:r>
      <w:r>
        <w:rPr/>
        <w:t>acerca del entorno de la parada con el fin de que los autobuses no tengan que desviarse del carril de circulación para cargar y descargar viajeros, mejorando con ello su accesibilidad. Las obras se dividieron</w:t>
      </w:r>
      <w:r>
        <w:rPr>
          <w:spacing w:val="-5"/>
        </w:rPr>
        <w:t> </w:t>
      </w:r>
      <w:r>
        <w:rPr/>
        <w:t>en</w:t>
      </w:r>
      <w:r>
        <w:rPr>
          <w:spacing w:val="-6"/>
        </w:rPr>
        <w:t> </w:t>
      </w:r>
      <w:r>
        <w:rPr/>
        <w:t>siete</w:t>
      </w:r>
      <w:r>
        <w:rPr>
          <w:spacing w:val="-5"/>
        </w:rPr>
        <w:t> </w:t>
      </w:r>
      <w:r>
        <w:rPr/>
        <w:t>lotes</w:t>
      </w:r>
      <w:r>
        <w:rPr>
          <w:spacing w:val="-10"/>
        </w:rPr>
        <w:t> </w:t>
      </w:r>
      <w:r>
        <w:rPr/>
        <w:t>que</w:t>
      </w:r>
      <w:r>
        <w:rPr>
          <w:spacing w:val="-5"/>
        </w:rPr>
        <w:t> </w:t>
      </w:r>
      <w:r>
        <w:rPr/>
        <w:t>fueron</w:t>
      </w:r>
      <w:r>
        <w:rPr>
          <w:spacing w:val="-8"/>
        </w:rPr>
        <w:t> </w:t>
      </w:r>
      <w:r>
        <w:rPr/>
        <w:t>adjudicadas</w:t>
      </w:r>
      <w:r>
        <w:rPr>
          <w:spacing w:val="-10"/>
        </w:rPr>
        <w:t> </w:t>
      </w:r>
      <w:r>
        <w:rPr/>
        <w:t>a</w:t>
      </w:r>
      <w:r>
        <w:rPr>
          <w:spacing w:val="-5"/>
        </w:rPr>
        <w:t> </w:t>
      </w:r>
      <w:r>
        <w:rPr/>
        <w:t>la</w:t>
      </w:r>
      <w:r>
        <w:rPr>
          <w:spacing w:val="-5"/>
        </w:rPr>
        <w:t> </w:t>
      </w:r>
      <w:r>
        <w:rPr/>
        <w:t>misma</w:t>
      </w:r>
      <w:r>
        <w:rPr>
          <w:spacing w:val="-8"/>
        </w:rPr>
        <w:t> </w:t>
      </w:r>
      <w:r>
        <w:rPr/>
        <w:t>empresa.</w:t>
      </w:r>
      <w:r>
        <w:rPr>
          <w:spacing w:val="-4"/>
        </w:rPr>
        <w:t> </w:t>
      </w:r>
      <w:r>
        <w:rPr/>
        <w:t>Los</w:t>
      </w:r>
      <w:r>
        <w:rPr>
          <w:spacing w:val="-7"/>
        </w:rPr>
        <w:t> </w:t>
      </w:r>
      <w:r>
        <w:rPr/>
        <w:t>contratos</w:t>
      </w:r>
      <w:r>
        <w:rPr>
          <w:spacing w:val="-7"/>
        </w:rPr>
        <w:t> </w:t>
      </w:r>
      <w:r>
        <w:rPr/>
        <w:t>se</w:t>
      </w:r>
      <w:r>
        <w:rPr>
          <w:spacing w:val="-8"/>
        </w:rPr>
        <w:t> </w:t>
      </w:r>
      <w:r>
        <w:rPr/>
        <w:t>formalizaron en agosto de 2023, por importe de 4.317.201,33 euros, IVA no incluido, por un plazo de dieciocho meses.</w:t>
      </w:r>
      <w:r>
        <w:rPr>
          <w:spacing w:val="-5"/>
        </w:rPr>
        <w:t> </w:t>
      </w:r>
      <w:r>
        <w:rPr/>
        <w:t>Los</w:t>
      </w:r>
      <w:r>
        <w:rPr>
          <w:spacing w:val="-6"/>
        </w:rPr>
        <w:t> </w:t>
      </w:r>
      <w:r>
        <w:rPr/>
        <w:t>lotes</w:t>
      </w:r>
      <w:r>
        <w:rPr>
          <w:spacing w:val="-6"/>
        </w:rPr>
        <w:t> </w:t>
      </w:r>
      <w:r>
        <w:rPr/>
        <w:t>5</w:t>
      </w:r>
      <w:r>
        <w:rPr>
          <w:spacing w:val="-9"/>
        </w:rPr>
        <w:t> </w:t>
      </w:r>
      <w:r>
        <w:rPr/>
        <w:t>y</w:t>
      </w:r>
      <w:r>
        <w:rPr>
          <w:spacing w:val="-6"/>
        </w:rPr>
        <w:t> </w:t>
      </w:r>
      <w:r>
        <w:rPr/>
        <w:t>7</w:t>
      </w:r>
      <w:r>
        <w:rPr>
          <w:spacing w:val="-6"/>
        </w:rPr>
        <w:t> </w:t>
      </w:r>
      <w:r>
        <w:rPr/>
        <w:t>no</w:t>
      </w:r>
      <w:r>
        <w:rPr>
          <w:spacing w:val="-6"/>
        </w:rPr>
        <w:t> </w:t>
      </w:r>
      <w:r>
        <w:rPr/>
        <w:t>se</w:t>
      </w:r>
      <w:r>
        <w:rPr>
          <w:spacing w:val="-6"/>
        </w:rPr>
        <w:t> </w:t>
      </w:r>
      <w:r>
        <w:rPr/>
        <w:t>han</w:t>
      </w:r>
      <w:r>
        <w:rPr>
          <w:spacing w:val="-6"/>
        </w:rPr>
        <w:t> </w:t>
      </w:r>
      <w:r>
        <w:rPr/>
        <w:t>ejecutado</w:t>
      </w:r>
      <w:r>
        <w:rPr>
          <w:spacing w:val="-6"/>
        </w:rPr>
        <w:t> </w:t>
      </w:r>
      <w:r>
        <w:rPr/>
        <w:t>ni,</w:t>
      </w:r>
      <w:r>
        <w:rPr>
          <w:spacing w:val="-7"/>
        </w:rPr>
        <w:t> </w:t>
      </w:r>
      <w:r>
        <w:rPr/>
        <w:t>por</w:t>
      </w:r>
      <w:r>
        <w:rPr>
          <w:spacing w:val="-5"/>
        </w:rPr>
        <w:t> </w:t>
      </w:r>
      <w:r>
        <w:rPr/>
        <w:t>tanto,</w:t>
      </w:r>
      <w:r>
        <w:rPr>
          <w:spacing w:val="-5"/>
        </w:rPr>
        <w:t> </w:t>
      </w:r>
      <w:r>
        <w:rPr/>
        <w:t>abonado,</w:t>
      </w:r>
      <w:r>
        <w:rPr>
          <w:spacing w:val="-5"/>
        </w:rPr>
        <w:t> </w:t>
      </w:r>
      <w:r>
        <w:rPr/>
        <w:t>sin</w:t>
      </w:r>
      <w:r>
        <w:rPr>
          <w:spacing w:val="-6"/>
        </w:rPr>
        <w:t> </w:t>
      </w:r>
      <w:r>
        <w:rPr/>
        <w:t>que</w:t>
      </w:r>
      <w:r>
        <w:rPr>
          <w:spacing w:val="-9"/>
        </w:rPr>
        <w:t> </w:t>
      </w:r>
      <w:r>
        <w:rPr/>
        <w:t>consten</w:t>
      </w:r>
      <w:r>
        <w:rPr>
          <w:spacing w:val="-7"/>
        </w:rPr>
        <w:t> </w:t>
      </w:r>
      <w:r>
        <w:rPr/>
        <w:t>las</w:t>
      </w:r>
      <w:r>
        <w:rPr>
          <w:spacing w:val="-9"/>
        </w:rPr>
        <w:t> </w:t>
      </w:r>
      <w:r>
        <w:rPr/>
        <w:t>razones</w:t>
      </w:r>
      <w:r>
        <w:rPr>
          <w:spacing w:val="-6"/>
        </w:rPr>
        <w:t> </w:t>
      </w:r>
      <w:r>
        <w:rPr/>
        <w:t>que han motivado su no ejecución.</w:t>
      </w:r>
    </w:p>
    <w:p>
      <w:pPr>
        <w:pStyle w:val="BodyText"/>
        <w:spacing w:before="241"/>
        <w:ind w:left="992" w:right="986"/>
        <w:jc w:val="both"/>
      </w:pPr>
      <w:r>
        <w:rPr/>
        <w:t>El contrato de suministro de marquesinas y mejora de la accesibilidad las ya existentes, con el fin de</w:t>
      </w:r>
      <w:r>
        <w:rPr>
          <w:spacing w:val="-8"/>
        </w:rPr>
        <w:t> </w:t>
      </w:r>
      <w:r>
        <w:rPr/>
        <w:t>adaptarlas</w:t>
      </w:r>
      <w:r>
        <w:rPr>
          <w:spacing w:val="-7"/>
        </w:rPr>
        <w:t> </w:t>
      </w:r>
      <w:r>
        <w:rPr/>
        <w:t>a</w:t>
      </w:r>
      <w:r>
        <w:rPr>
          <w:spacing w:val="-8"/>
        </w:rPr>
        <w:t> </w:t>
      </w:r>
      <w:r>
        <w:rPr/>
        <w:t>las</w:t>
      </w:r>
      <w:r>
        <w:rPr>
          <w:spacing w:val="-8"/>
        </w:rPr>
        <w:t> </w:t>
      </w:r>
      <w:r>
        <w:rPr/>
        <w:t>condiciones</w:t>
      </w:r>
      <w:r>
        <w:rPr>
          <w:spacing w:val="-8"/>
        </w:rPr>
        <w:t> </w:t>
      </w:r>
      <w:r>
        <w:rPr/>
        <w:t>establecidas</w:t>
      </w:r>
      <w:r>
        <w:rPr>
          <w:spacing w:val="-7"/>
        </w:rPr>
        <w:t> </w:t>
      </w:r>
      <w:r>
        <w:rPr/>
        <w:t>en</w:t>
      </w:r>
      <w:r>
        <w:rPr>
          <w:spacing w:val="-8"/>
        </w:rPr>
        <w:t> </w:t>
      </w:r>
      <w:r>
        <w:rPr/>
        <w:t>el</w:t>
      </w:r>
      <w:r>
        <w:rPr>
          <w:spacing w:val="-9"/>
        </w:rPr>
        <w:t> </w:t>
      </w:r>
      <w:r>
        <w:rPr/>
        <w:t>Real</w:t>
      </w:r>
      <w:r>
        <w:rPr>
          <w:spacing w:val="-9"/>
        </w:rPr>
        <w:t> </w:t>
      </w:r>
      <w:r>
        <w:rPr/>
        <w:t>Decreto</w:t>
      </w:r>
      <w:r>
        <w:rPr>
          <w:spacing w:val="-8"/>
        </w:rPr>
        <w:t> </w:t>
      </w:r>
      <w:r>
        <w:rPr/>
        <w:t>1544/2007,</w:t>
      </w:r>
      <w:r>
        <w:rPr>
          <w:spacing w:val="-7"/>
        </w:rPr>
        <w:t> </w:t>
      </w:r>
      <w:r>
        <w:rPr/>
        <w:t>se</w:t>
      </w:r>
      <w:r>
        <w:rPr>
          <w:spacing w:val="-8"/>
        </w:rPr>
        <w:t> </w:t>
      </w:r>
      <w:r>
        <w:rPr/>
        <w:t>formalizó</w:t>
      </w:r>
      <w:r>
        <w:rPr>
          <w:spacing w:val="-8"/>
        </w:rPr>
        <w:t> </w:t>
      </w:r>
      <w:r>
        <w:rPr/>
        <w:t>en</w:t>
      </w:r>
      <w:r>
        <w:rPr>
          <w:spacing w:val="-11"/>
        </w:rPr>
        <w:t> </w:t>
      </w:r>
      <w:r>
        <w:rPr/>
        <w:t>febrero de</w:t>
      </w:r>
      <w:r>
        <w:rPr>
          <w:spacing w:val="-4"/>
        </w:rPr>
        <w:t> </w:t>
      </w:r>
      <w:r>
        <w:rPr/>
        <w:t>2023,</w:t>
      </w:r>
      <w:r>
        <w:rPr>
          <w:spacing w:val="-3"/>
        </w:rPr>
        <w:t> </w:t>
      </w:r>
      <w:r>
        <w:rPr/>
        <w:t>por</w:t>
      </w:r>
      <w:r>
        <w:rPr>
          <w:spacing w:val="-3"/>
        </w:rPr>
        <w:t> </w:t>
      </w:r>
      <w:r>
        <w:rPr/>
        <w:t>un</w:t>
      </w:r>
      <w:r>
        <w:rPr>
          <w:spacing w:val="-7"/>
        </w:rPr>
        <w:t> </w:t>
      </w:r>
      <w:r>
        <w:rPr/>
        <w:t>plazo</w:t>
      </w:r>
      <w:r>
        <w:rPr>
          <w:spacing w:val="-4"/>
        </w:rPr>
        <w:t> </w:t>
      </w:r>
      <w:r>
        <w:rPr/>
        <w:t>de</w:t>
      </w:r>
      <w:r>
        <w:rPr>
          <w:spacing w:val="-7"/>
        </w:rPr>
        <w:t> </w:t>
      </w:r>
      <w:r>
        <w:rPr/>
        <w:t>doce</w:t>
      </w:r>
      <w:r>
        <w:rPr>
          <w:spacing w:val="-6"/>
        </w:rPr>
        <w:t> </w:t>
      </w:r>
      <w:r>
        <w:rPr/>
        <w:t>meses,</w:t>
      </w:r>
      <w:r>
        <w:rPr>
          <w:spacing w:val="-3"/>
        </w:rPr>
        <w:t> </w:t>
      </w:r>
      <w:r>
        <w:rPr/>
        <w:t>sin</w:t>
      </w:r>
      <w:r>
        <w:rPr>
          <w:spacing w:val="-4"/>
        </w:rPr>
        <w:t> </w:t>
      </w:r>
      <w:r>
        <w:rPr/>
        <w:t>posibilidad</w:t>
      </w:r>
      <w:r>
        <w:rPr>
          <w:spacing w:val="-4"/>
        </w:rPr>
        <w:t> </w:t>
      </w:r>
      <w:r>
        <w:rPr/>
        <w:t>prórroga,</w:t>
      </w:r>
      <w:r>
        <w:rPr>
          <w:spacing w:val="-5"/>
        </w:rPr>
        <w:t> </w:t>
      </w:r>
      <w:r>
        <w:rPr/>
        <w:t>por</w:t>
      </w:r>
      <w:r>
        <w:rPr>
          <w:spacing w:val="-5"/>
        </w:rPr>
        <w:t> </w:t>
      </w:r>
      <w:r>
        <w:rPr/>
        <w:t>lo</w:t>
      </w:r>
      <w:r>
        <w:rPr>
          <w:spacing w:val="-4"/>
        </w:rPr>
        <w:t> </w:t>
      </w:r>
      <w:r>
        <w:rPr/>
        <w:t>que</w:t>
      </w:r>
      <w:r>
        <w:rPr>
          <w:spacing w:val="-6"/>
        </w:rPr>
        <w:t> </w:t>
      </w:r>
      <w:r>
        <w:rPr/>
        <w:t>debía</w:t>
      </w:r>
      <w:r>
        <w:rPr>
          <w:spacing w:val="-3"/>
        </w:rPr>
        <w:t> </w:t>
      </w:r>
      <w:r>
        <w:rPr/>
        <w:t>concluir</w:t>
      </w:r>
      <w:r>
        <w:rPr>
          <w:spacing w:val="-5"/>
        </w:rPr>
        <w:t> </w:t>
      </w:r>
      <w:r>
        <w:rPr/>
        <w:t>en</w:t>
      </w:r>
      <w:r>
        <w:rPr>
          <w:spacing w:val="-7"/>
        </w:rPr>
        <w:t> </w:t>
      </w:r>
      <w:r>
        <w:rPr/>
        <w:t>febrero de 2024. Sin embargo, la actuación no estaba finalizada a 31 de diciembre de 2024, por lo que se ha ejecutado temporalmente sin cobertura contractual. Solicitada información sobre las causas de la</w:t>
      </w:r>
      <w:r>
        <w:rPr>
          <w:spacing w:val="-8"/>
        </w:rPr>
        <w:t> </w:t>
      </w:r>
      <w:r>
        <w:rPr/>
        <w:t>demora</w:t>
      </w:r>
      <w:r>
        <w:rPr>
          <w:spacing w:val="-7"/>
        </w:rPr>
        <w:t> </w:t>
      </w:r>
      <w:r>
        <w:rPr/>
        <w:t>en</w:t>
      </w:r>
      <w:r>
        <w:rPr>
          <w:spacing w:val="-8"/>
        </w:rPr>
        <w:t> </w:t>
      </w:r>
      <w:r>
        <w:rPr/>
        <w:t>la</w:t>
      </w:r>
      <w:r>
        <w:rPr>
          <w:spacing w:val="-8"/>
        </w:rPr>
        <w:t> </w:t>
      </w:r>
      <w:r>
        <w:rPr/>
        <w:t>ejecución,</w:t>
      </w:r>
      <w:r>
        <w:rPr>
          <w:spacing w:val="-6"/>
        </w:rPr>
        <w:t> </w:t>
      </w:r>
      <w:r>
        <w:rPr/>
        <w:t>la</w:t>
      </w:r>
      <w:r>
        <w:rPr>
          <w:spacing w:val="-8"/>
        </w:rPr>
        <w:t> </w:t>
      </w:r>
      <w:r>
        <w:rPr/>
        <w:t>entidad</w:t>
      </w:r>
      <w:r>
        <w:rPr>
          <w:spacing w:val="-8"/>
        </w:rPr>
        <w:t> </w:t>
      </w:r>
      <w:r>
        <w:rPr/>
        <w:t>solo</w:t>
      </w:r>
      <w:r>
        <w:rPr>
          <w:spacing w:val="-8"/>
        </w:rPr>
        <w:t> </w:t>
      </w:r>
      <w:r>
        <w:rPr/>
        <w:t>ha</w:t>
      </w:r>
      <w:r>
        <w:rPr>
          <w:spacing w:val="-8"/>
        </w:rPr>
        <w:t> </w:t>
      </w:r>
      <w:r>
        <w:rPr/>
        <w:t>informado,</w:t>
      </w:r>
      <w:r>
        <w:rPr>
          <w:spacing w:val="-7"/>
        </w:rPr>
        <w:t> </w:t>
      </w:r>
      <w:r>
        <w:rPr/>
        <w:t>en</w:t>
      </w:r>
      <w:r>
        <w:rPr>
          <w:spacing w:val="-11"/>
        </w:rPr>
        <w:t> </w:t>
      </w:r>
      <w:r>
        <w:rPr/>
        <w:t>septiembre</w:t>
      </w:r>
      <w:r>
        <w:rPr>
          <w:spacing w:val="-8"/>
        </w:rPr>
        <w:t> </w:t>
      </w:r>
      <w:r>
        <w:rPr/>
        <w:t>de</w:t>
      </w:r>
      <w:r>
        <w:rPr>
          <w:spacing w:val="-11"/>
        </w:rPr>
        <w:t> </w:t>
      </w:r>
      <w:r>
        <w:rPr/>
        <w:t>2025,</w:t>
      </w:r>
      <w:r>
        <w:rPr>
          <w:spacing w:val="-6"/>
        </w:rPr>
        <w:t> </w:t>
      </w:r>
      <w:r>
        <w:rPr/>
        <w:t>que</w:t>
      </w:r>
      <w:r>
        <w:rPr>
          <w:spacing w:val="-8"/>
        </w:rPr>
        <w:t> </w:t>
      </w:r>
      <w:r>
        <w:rPr/>
        <w:t>esta</w:t>
      </w:r>
      <w:r>
        <w:rPr>
          <w:spacing w:val="-10"/>
        </w:rPr>
        <w:t> </w:t>
      </w:r>
      <w:r>
        <w:rPr/>
        <w:t>actuación está</w:t>
      </w:r>
      <w:r>
        <w:rPr>
          <w:spacing w:val="-6"/>
        </w:rPr>
        <w:t> </w:t>
      </w:r>
      <w:r>
        <w:rPr/>
        <w:t>concluida,</w:t>
      </w:r>
      <w:r>
        <w:rPr>
          <w:spacing w:val="-5"/>
        </w:rPr>
        <w:t> </w:t>
      </w:r>
      <w:r>
        <w:rPr/>
        <w:t>pendiente</w:t>
      </w:r>
      <w:r>
        <w:rPr>
          <w:spacing w:val="-6"/>
        </w:rPr>
        <w:t> </w:t>
      </w:r>
      <w:r>
        <w:rPr/>
        <w:t>de</w:t>
      </w:r>
      <w:r>
        <w:rPr>
          <w:spacing w:val="-7"/>
        </w:rPr>
        <w:t> </w:t>
      </w:r>
      <w:r>
        <w:rPr/>
        <w:t>subsanar</w:t>
      </w:r>
      <w:r>
        <w:rPr>
          <w:spacing w:val="-6"/>
        </w:rPr>
        <w:t> </w:t>
      </w:r>
      <w:r>
        <w:rPr/>
        <w:t>deficiencias</w:t>
      </w:r>
      <w:r>
        <w:rPr>
          <w:spacing w:val="-6"/>
        </w:rPr>
        <w:t> </w:t>
      </w:r>
      <w:r>
        <w:rPr/>
        <w:t>en</w:t>
      </w:r>
      <w:r>
        <w:rPr>
          <w:spacing w:val="-7"/>
        </w:rPr>
        <w:t> </w:t>
      </w:r>
      <w:r>
        <w:rPr/>
        <w:t>las</w:t>
      </w:r>
      <w:r>
        <w:rPr>
          <w:spacing w:val="-6"/>
        </w:rPr>
        <w:t> </w:t>
      </w:r>
      <w:r>
        <w:rPr/>
        <w:t>marquesinas,</w:t>
      </w:r>
      <w:r>
        <w:rPr>
          <w:spacing w:val="-5"/>
        </w:rPr>
        <w:t> </w:t>
      </w:r>
      <w:r>
        <w:rPr/>
        <w:t>sin</w:t>
      </w:r>
      <w:r>
        <w:rPr>
          <w:spacing w:val="-6"/>
        </w:rPr>
        <w:t> </w:t>
      </w:r>
      <w:r>
        <w:rPr/>
        <w:t>concretar</w:t>
      </w:r>
      <w:r>
        <w:rPr>
          <w:spacing w:val="-5"/>
        </w:rPr>
        <w:t> </w:t>
      </w:r>
      <w:r>
        <w:rPr/>
        <w:t>el</w:t>
      </w:r>
      <w:r>
        <w:rPr>
          <w:spacing w:val="-7"/>
        </w:rPr>
        <w:t> </w:t>
      </w:r>
      <w:r>
        <w:rPr/>
        <w:t>alcance</w:t>
      </w:r>
      <w:r>
        <w:rPr>
          <w:spacing w:val="-6"/>
        </w:rPr>
        <w:t> </w:t>
      </w:r>
      <w:r>
        <w:rPr/>
        <w:t>de tales</w:t>
      </w:r>
      <w:r>
        <w:rPr>
          <w:spacing w:val="-6"/>
        </w:rPr>
        <w:t> </w:t>
      </w:r>
      <w:r>
        <w:rPr/>
        <w:t>deficiencias.</w:t>
      </w:r>
      <w:r>
        <w:rPr>
          <w:spacing w:val="-8"/>
        </w:rPr>
        <w:t> </w:t>
      </w:r>
      <w:r>
        <w:rPr/>
        <w:t>No</w:t>
      </w:r>
      <w:r>
        <w:rPr>
          <w:spacing w:val="-6"/>
        </w:rPr>
        <w:t> </w:t>
      </w:r>
      <w:r>
        <w:rPr/>
        <w:t>ha</w:t>
      </w:r>
      <w:r>
        <w:rPr>
          <w:spacing w:val="-8"/>
        </w:rPr>
        <w:t> </w:t>
      </w:r>
      <w:r>
        <w:rPr/>
        <w:t>aportado</w:t>
      </w:r>
      <w:r>
        <w:rPr>
          <w:spacing w:val="-6"/>
        </w:rPr>
        <w:t> </w:t>
      </w:r>
      <w:r>
        <w:rPr/>
        <w:t>el</w:t>
      </w:r>
      <w:r>
        <w:rPr>
          <w:spacing w:val="-7"/>
        </w:rPr>
        <w:t> </w:t>
      </w:r>
      <w:r>
        <w:rPr/>
        <w:t>acta</w:t>
      </w:r>
      <w:r>
        <w:rPr>
          <w:spacing w:val="-6"/>
        </w:rPr>
        <w:t> </w:t>
      </w:r>
      <w:r>
        <w:rPr/>
        <w:t>de</w:t>
      </w:r>
      <w:r>
        <w:rPr>
          <w:spacing w:val="-9"/>
        </w:rPr>
        <w:t> </w:t>
      </w:r>
      <w:r>
        <w:rPr/>
        <w:t>recepción</w:t>
      </w:r>
      <w:r>
        <w:rPr>
          <w:spacing w:val="-7"/>
        </w:rPr>
        <w:t> </w:t>
      </w:r>
      <w:r>
        <w:rPr/>
        <w:t>ni</w:t>
      </w:r>
      <w:r>
        <w:rPr>
          <w:spacing w:val="-7"/>
        </w:rPr>
        <w:t> </w:t>
      </w:r>
      <w:r>
        <w:rPr/>
        <w:t>ha</w:t>
      </w:r>
      <w:r>
        <w:rPr>
          <w:spacing w:val="-7"/>
        </w:rPr>
        <w:t> </w:t>
      </w:r>
      <w:r>
        <w:rPr/>
        <w:t>indicado</w:t>
      </w:r>
      <w:r>
        <w:rPr>
          <w:spacing w:val="-6"/>
        </w:rPr>
        <w:t> </w:t>
      </w:r>
      <w:r>
        <w:rPr/>
        <w:t>en</w:t>
      </w:r>
      <w:r>
        <w:rPr>
          <w:spacing w:val="-7"/>
        </w:rPr>
        <w:t> </w:t>
      </w:r>
      <w:r>
        <w:rPr/>
        <w:t>qué</w:t>
      </w:r>
      <w:r>
        <w:rPr>
          <w:spacing w:val="-6"/>
        </w:rPr>
        <w:t> </w:t>
      </w:r>
      <w:r>
        <w:rPr/>
        <w:t>fecha</w:t>
      </w:r>
      <w:r>
        <w:rPr>
          <w:spacing w:val="-6"/>
        </w:rPr>
        <w:t> </w:t>
      </w:r>
      <w:r>
        <w:rPr/>
        <w:t>ha</w:t>
      </w:r>
      <w:r>
        <w:rPr>
          <w:spacing w:val="-9"/>
        </w:rPr>
        <w:t> </w:t>
      </w:r>
      <w:r>
        <w:rPr/>
        <w:t>concluido.</w:t>
      </w:r>
      <w:r>
        <w:rPr>
          <w:spacing w:val="-5"/>
        </w:rPr>
        <w:t> </w:t>
      </w:r>
      <w:r>
        <w:rPr/>
        <w:t>El importe ejecutado asciende a 1.622.458,41 euros, sin IVA.</w:t>
      </w:r>
    </w:p>
    <w:p>
      <w:pPr>
        <w:pStyle w:val="BodyText"/>
        <w:spacing w:before="241"/>
        <w:ind w:left="992" w:right="987"/>
        <w:jc w:val="both"/>
      </w:pPr>
      <w:r>
        <w:rPr/>
        <w:t>El </w:t>
      </w:r>
      <w:r>
        <w:rPr>
          <w:b/>
        </w:rPr>
        <w:t>Ayuntamiento de Sevilla </w:t>
      </w:r>
      <w:r>
        <w:rPr/>
        <w:t>ha llevado a cabo en 2023 y 2024 tres actuaciones de obras, por importe conjunto de 36.611.115,25 euros, IVA excluido, una para la construcción de un carril bus segregado</w:t>
      </w:r>
      <w:r>
        <w:rPr>
          <w:spacing w:val="-9"/>
        </w:rPr>
        <w:t> </w:t>
      </w:r>
      <w:r>
        <w:rPr/>
        <w:t>y</w:t>
      </w:r>
      <w:r>
        <w:rPr>
          <w:spacing w:val="-8"/>
        </w:rPr>
        <w:t> </w:t>
      </w:r>
      <w:r>
        <w:rPr/>
        <w:t>las</w:t>
      </w:r>
      <w:r>
        <w:rPr>
          <w:spacing w:val="-9"/>
        </w:rPr>
        <w:t> </w:t>
      </w:r>
      <w:r>
        <w:rPr/>
        <w:t>otras</w:t>
      </w:r>
      <w:r>
        <w:rPr>
          <w:spacing w:val="-7"/>
        </w:rPr>
        <w:t> </w:t>
      </w:r>
      <w:r>
        <w:rPr/>
        <w:t>dos</w:t>
      </w:r>
      <w:r>
        <w:rPr>
          <w:spacing w:val="-8"/>
        </w:rPr>
        <w:t> </w:t>
      </w:r>
      <w:r>
        <w:rPr/>
        <w:t>vinculadas</w:t>
      </w:r>
      <w:r>
        <w:rPr>
          <w:spacing w:val="-9"/>
        </w:rPr>
        <w:t> </w:t>
      </w:r>
      <w:r>
        <w:rPr/>
        <w:t>con</w:t>
      </w:r>
      <w:r>
        <w:rPr>
          <w:spacing w:val="-9"/>
        </w:rPr>
        <w:t> </w:t>
      </w:r>
      <w:r>
        <w:rPr/>
        <w:t>el</w:t>
      </w:r>
      <w:r>
        <w:rPr>
          <w:spacing w:val="-10"/>
        </w:rPr>
        <w:t> </w:t>
      </w:r>
      <w:r>
        <w:rPr/>
        <w:t>Metrocentro,</w:t>
      </w:r>
      <w:r>
        <w:rPr>
          <w:spacing w:val="-7"/>
        </w:rPr>
        <w:t> </w:t>
      </w:r>
      <w:r>
        <w:rPr/>
        <w:t>que</w:t>
      </w:r>
      <w:r>
        <w:rPr>
          <w:spacing w:val="-9"/>
        </w:rPr>
        <w:t> </w:t>
      </w:r>
      <w:r>
        <w:rPr/>
        <w:t>es</w:t>
      </w:r>
      <w:r>
        <w:rPr>
          <w:spacing w:val="-11"/>
        </w:rPr>
        <w:t> </w:t>
      </w:r>
      <w:r>
        <w:rPr/>
        <w:t>un</w:t>
      </w:r>
      <w:r>
        <w:rPr>
          <w:spacing w:val="-9"/>
        </w:rPr>
        <w:t> </w:t>
      </w:r>
      <w:r>
        <w:rPr/>
        <w:t>sistema</w:t>
      </w:r>
      <w:r>
        <w:rPr>
          <w:spacing w:val="-9"/>
        </w:rPr>
        <w:t> </w:t>
      </w:r>
      <w:r>
        <w:rPr/>
        <w:t>tranviario</w:t>
      </w:r>
      <w:r>
        <w:rPr>
          <w:spacing w:val="-9"/>
        </w:rPr>
        <w:t> </w:t>
      </w:r>
      <w:r>
        <w:rPr/>
        <w:t>de</w:t>
      </w:r>
      <w:r>
        <w:rPr>
          <w:spacing w:val="-12"/>
        </w:rPr>
        <w:t> </w:t>
      </w:r>
      <w:r>
        <w:rPr/>
        <w:t>transporte público</w:t>
      </w:r>
      <w:r>
        <w:rPr>
          <w:spacing w:val="-16"/>
        </w:rPr>
        <w:t> </w:t>
      </w:r>
      <w:r>
        <w:rPr/>
        <w:t>que</w:t>
      </w:r>
      <w:r>
        <w:rPr>
          <w:spacing w:val="-15"/>
        </w:rPr>
        <w:t> </w:t>
      </w:r>
      <w:r>
        <w:rPr/>
        <w:t>recorre</w:t>
      </w:r>
      <w:r>
        <w:rPr>
          <w:spacing w:val="-15"/>
        </w:rPr>
        <w:t> </w:t>
      </w:r>
      <w:r>
        <w:rPr/>
        <w:t>el</w:t>
      </w:r>
      <w:r>
        <w:rPr>
          <w:spacing w:val="-16"/>
        </w:rPr>
        <w:t> </w:t>
      </w:r>
      <w:r>
        <w:rPr/>
        <w:t>centro</w:t>
      </w:r>
      <w:r>
        <w:rPr>
          <w:spacing w:val="-15"/>
        </w:rPr>
        <w:t> </w:t>
      </w:r>
      <w:r>
        <w:rPr/>
        <w:t>de</w:t>
      </w:r>
      <w:r>
        <w:rPr>
          <w:spacing w:val="-15"/>
        </w:rPr>
        <w:t> </w:t>
      </w:r>
      <w:r>
        <w:rPr/>
        <w:t>la</w:t>
      </w:r>
      <w:r>
        <w:rPr>
          <w:spacing w:val="-15"/>
        </w:rPr>
        <w:t> </w:t>
      </w:r>
      <w:r>
        <w:rPr/>
        <w:t>ciudad,</w:t>
      </w:r>
      <w:r>
        <w:rPr>
          <w:spacing w:val="-16"/>
        </w:rPr>
        <w:t> </w:t>
      </w:r>
      <w:r>
        <w:rPr/>
        <w:t>cuya</w:t>
      </w:r>
      <w:r>
        <w:rPr>
          <w:spacing w:val="-15"/>
        </w:rPr>
        <w:t> </w:t>
      </w:r>
      <w:r>
        <w:rPr/>
        <w:t>construcción</w:t>
      </w:r>
      <w:r>
        <w:rPr>
          <w:spacing w:val="-15"/>
        </w:rPr>
        <w:t> </w:t>
      </w:r>
      <w:r>
        <w:rPr/>
        <w:t>se</w:t>
      </w:r>
      <w:r>
        <w:rPr>
          <w:spacing w:val="-16"/>
        </w:rPr>
        <w:t> </w:t>
      </w:r>
      <w:r>
        <w:rPr/>
        <w:t>inició</w:t>
      </w:r>
      <w:r>
        <w:rPr>
          <w:spacing w:val="-15"/>
        </w:rPr>
        <w:t> </w:t>
      </w:r>
      <w:r>
        <w:rPr/>
        <w:t>en</w:t>
      </w:r>
      <w:r>
        <w:rPr>
          <w:spacing w:val="-15"/>
        </w:rPr>
        <w:t> </w:t>
      </w:r>
      <w:r>
        <w:rPr/>
        <w:t>2006</w:t>
      </w:r>
      <w:r>
        <w:rPr>
          <w:spacing w:val="-15"/>
        </w:rPr>
        <w:t> </w:t>
      </w:r>
      <w:r>
        <w:rPr/>
        <w:t>y</w:t>
      </w:r>
      <w:r>
        <w:rPr>
          <w:spacing w:val="-16"/>
        </w:rPr>
        <w:t> </w:t>
      </w:r>
      <w:r>
        <w:rPr/>
        <w:t>que</w:t>
      </w:r>
      <w:r>
        <w:rPr>
          <w:spacing w:val="-15"/>
        </w:rPr>
        <w:t> </w:t>
      </w:r>
      <w:r>
        <w:rPr/>
        <w:t>el</w:t>
      </w:r>
      <w:r>
        <w:rPr>
          <w:spacing w:val="-15"/>
        </w:rPr>
        <w:t> </w:t>
      </w:r>
      <w:r>
        <w:rPr/>
        <w:t>Ayuntamiento está ejecutando por fases. Para su ejecución se han tramitado nueve expedientes contractuales.</w:t>
      </w:r>
    </w:p>
    <w:p>
      <w:pPr>
        <w:pStyle w:val="BodyText"/>
        <w:spacing w:before="240"/>
        <w:ind w:left="992" w:right="986"/>
        <w:jc w:val="both"/>
      </w:pPr>
      <w:r>
        <w:rPr/>
        <w:t>Para la construcción del carril bus segregado, se celebraron cinco contratos. Uno de ellos, el contrato de obras de construcción del carril bus, se formalizó en enero de 2024, por importe de 17.176.016,55 euros, sin IVA, y un plazo de ejecución de dieciséis meses, por lo que estas obras habrían de concluir en mayo de 2025. Con posterioridad a esa fecha, en agosto de 2025, se ha acordado por el Teniente de Alcalde Delegado la modificación urgente y necesaria por no poder esperar a su aprobación por la Junta de Gobierno Local, por importe de 1.297.577,08 euros, sin IVA, ante la necesidad de resolución de afecciones a servicios o instalaciones y exigencias de las compañías explotadoras de las instalaciones. La empresa municipal responsable de gestionar el</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97"/>
        <w:jc w:val="both"/>
      </w:pPr>
      <w:r>
        <w:rPr/>
        <w:t>servicio</w:t>
      </w:r>
      <w:r>
        <w:rPr>
          <w:spacing w:val="-2"/>
        </w:rPr>
        <w:t> </w:t>
      </w:r>
      <w:r>
        <w:rPr/>
        <w:t>de</w:t>
      </w:r>
      <w:r>
        <w:rPr>
          <w:spacing w:val="-2"/>
        </w:rPr>
        <w:t> </w:t>
      </w:r>
      <w:r>
        <w:rPr/>
        <w:t>autobuses</w:t>
      </w:r>
      <w:r>
        <w:rPr>
          <w:spacing w:val="-4"/>
        </w:rPr>
        <w:t> </w:t>
      </w:r>
      <w:r>
        <w:rPr/>
        <w:t>y</w:t>
      </w:r>
      <w:r>
        <w:rPr>
          <w:spacing w:val="-4"/>
        </w:rPr>
        <w:t> </w:t>
      </w:r>
      <w:r>
        <w:rPr/>
        <w:t>tranvías</w:t>
      </w:r>
      <w:r>
        <w:rPr>
          <w:spacing w:val="-4"/>
        </w:rPr>
        <w:t> </w:t>
      </w:r>
      <w:r>
        <w:rPr/>
        <w:t>urbanos</w:t>
      </w:r>
      <w:r>
        <w:rPr>
          <w:spacing w:val="-1"/>
        </w:rPr>
        <w:t> </w:t>
      </w:r>
      <w:r>
        <w:rPr/>
        <w:t>se</w:t>
      </w:r>
      <w:r>
        <w:rPr>
          <w:spacing w:val="-4"/>
        </w:rPr>
        <w:t> </w:t>
      </w:r>
      <w:r>
        <w:rPr/>
        <w:t>encargó</w:t>
      </w:r>
      <w:r>
        <w:rPr>
          <w:spacing w:val="-2"/>
        </w:rPr>
        <w:t> </w:t>
      </w:r>
      <w:r>
        <w:rPr/>
        <w:t>de</w:t>
      </w:r>
      <w:r>
        <w:rPr>
          <w:spacing w:val="-4"/>
        </w:rPr>
        <w:t> </w:t>
      </w:r>
      <w:r>
        <w:rPr/>
        <w:t>la</w:t>
      </w:r>
      <w:r>
        <w:rPr>
          <w:spacing w:val="-2"/>
        </w:rPr>
        <w:t> </w:t>
      </w:r>
      <w:r>
        <w:rPr/>
        <w:t>redacción</w:t>
      </w:r>
      <w:r>
        <w:rPr>
          <w:spacing w:val="-2"/>
        </w:rPr>
        <w:t> </w:t>
      </w:r>
      <w:r>
        <w:rPr/>
        <w:t>del</w:t>
      </w:r>
      <w:r>
        <w:rPr>
          <w:spacing w:val="-2"/>
        </w:rPr>
        <w:t> </w:t>
      </w:r>
      <w:r>
        <w:rPr/>
        <w:t>estudio</w:t>
      </w:r>
      <w:r>
        <w:rPr>
          <w:spacing w:val="-2"/>
        </w:rPr>
        <w:t> </w:t>
      </w:r>
      <w:r>
        <w:rPr/>
        <w:t>previo</w:t>
      </w:r>
      <w:r>
        <w:rPr>
          <w:spacing w:val="-2"/>
        </w:rPr>
        <w:t> </w:t>
      </w:r>
      <w:r>
        <w:rPr/>
        <w:t>y</w:t>
      </w:r>
      <w:r>
        <w:rPr>
          <w:spacing w:val="-3"/>
        </w:rPr>
        <w:t> </w:t>
      </w:r>
      <w:r>
        <w:rPr/>
        <w:t>viabilidad de la implantación del carril bus, así como de la redacción del proyecto de obras. Ambas contrataciones están financiadas parcialmente con ayudas procedentes del PRTR.</w:t>
      </w:r>
    </w:p>
    <w:p>
      <w:pPr>
        <w:pStyle w:val="BodyText"/>
        <w:spacing w:before="242"/>
        <w:ind w:left="992" w:right="990"/>
        <w:jc w:val="both"/>
      </w:pPr>
      <w:r>
        <w:rPr/>
        <w:t>Respecto</w:t>
      </w:r>
      <w:r>
        <w:rPr>
          <w:spacing w:val="-11"/>
        </w:rPr>
        <w:t> </w:t>
      </w:r>
      <w:r>
        <w:rPr/>
        <w:t>del</w:t>
      </w:r>
      <w:r>
        <w:rPr>
          <w:spacing w:val="-12"/>
        </w:rPr>
        <w:t> </w:t>
      </w:r>
      <w:r>
        <w:rPr/>
        <w:t>Metrocentro,</w:t>
      </w:r>
      <w:r>
        <w:rPr>
          <w:spacing w:val="-10"/>
        </w:rPr>
        <w:t> </w:t>
      </w:r>
      <w:r>
        <w:rPr/>
        <w:t>se</w:t>
      </w:r>
      <w:r>
        <w:rPr>
          <w:spacing w:val="-11"/>
        </w:rPr>
        <w:t> </w:t>
      </w:r>
      <w:r>
        <w:rPr/>
        <w:t>han</w:t>
      </w:r>
      <w:r>
        <w:rPr>
          <w:spacing w:val="-11"/>
        </w:rPr>
        <w:t> </w:t>
      </w:r>
      <w:r>
        <w:rPr/>
        <w:t>celebrado</w:t>
      </w:r>
      <w:r>
        <w:rPr>
          <w:spacing w:val="-14"/>
        </w:rPr>
        <w:t> </w:t>
      </w:r>
      <w:r>
        <w:rPr/>
        <w:t>tres</w:t>
      </w:r>
      <w:r>
        <w:rPr>
          <w:spacing w:val="-14"/>
        </w:rPr>
        <w:t> </w:t>
      </w:r>
      <w:r>
        <w:rPr/>
        <w:t>contratos,</w:t>
      </w:r>
      <w:r>
        <w:rPr>
          <w:spacing w:val="-10"/>
        </w:rPr>
        <w:t> </w:t>
      </w:r>
      <w:r>
        <w:rPr/>
        <w:t>por</w:t>
      </w:r>
      <w:r>
        <w:rPr>
          <w:spacing w:val="-10"/>
        </w:rPr>
        <w:t> </w:t>
      </w:r>
      <w:r>
        <w:rPr/>
        <w:t>importe</w:t>
      </w:r>
      <w:r>
        <w:rPr>
          <w:spacing w:val="-11"/>
        </w:rPr>
        <w:t> </w:t>
      </w:r>
      <w:r>
        <w:rPr/>
        <w:t>de</w:t>
      </w:r>
      <w:r>
        <w:rPr>
          <w:spacing w:val="-12"/>
        </w:rPr>
        <w:t> </w:t>
      </w:r>
      <w:r>
        <w:rPr/>
        <w:t>18.064.547,25</w:t>
      </w:r>
      <w:r>
        <w:rPr>
          <w:spacing w:val="-12"/>
        </w:rPr>
        <w:t> </w:t>
      </w:r>
      <w:r>
        <w:rPr/>
        <w:t>euros,</w:t>
      </w:r>
      <w:r>
        <w:rPr>
          <w:spacing w:val="-10"/>
        </w:rPr>
        <w:t> </w:t>
      </w:r>
      <w:r>
        <w:rPr/>
        <w:t>sin IVA. Uno, el de las obras de uno de los tramos, cuyo contrato se formalizó en enero de 2022 por importe de 12.354.537,04 euros, sin IVA. Las obras comenzaron al mes siguiente y en agosto y diciembre de 2023 se aprobaron dos modificaciones, por importe conjunto de 2.413.392,60 euros, lo</w:t>
      </w:r>
      <w:r>
        <w:rPr>
          <w:spacing w:val="-1"/>
        </w:rPr>
        <w:t> </w:t>
      </w:r>
      <w:r>
        <w:rPr/>
        <w:t>que</w:t>
      </w:r>
      <w:r>
        <w:rPr>
          <w:spacing w:val="-1"/>
        </w:rPr>
        <w:t> </w:t>
      </w:r>
      <w:r>
        <w:rPr/>
        <w:t>ha</w:t>
      </w:r>
      <w:r>
        <w:rPr>
          <w:spacing w:val="-1"/>
        </w:rPr>
        <w:t> </w:t>
      </w:r>
      <w:r>
        <w:rPr/>
        <w:t>supuesto</w:t>
      </w:r>
      <w:r>
        <w:rPr>
          <w:spacing w:val="-1"/>
        </w:rPr>
        <w:t> </w:t>
      </w:r>
      <w:r>
        <w:rPr/>
        <w:t>un</w:t>
      </w:r>
      <w:r>
        <w:rPr>
          <w:spacing w:val="-3"/>
        </w:rPr>
        <w:t> </w:t>
      </w:r>
      <w:r>
        <w:rPr/>
        <w:t>incremento</w:t>
      </w:r>
      <w:r>
        <w:rPr>
          <w:spacing w:val="-1"/>
        </w:rPr>
        <w:t> </w:t>
      </w:r>
      <w:r>
        <w:rPr/>
        <w:t>del</w:t>
      </w:r>
      <w:r>
        <w:rPr>
          <w:spacing w:val="-1"/>
        </w:rPr>
        <w:t> </w:t>
      </w:r>
      <w:r>
        <w:rPr/>
        <w:t>precio</w:t>
      </w:r>
      <w:r>
        <w:rPr>
          <w:spacing w:val="-1"/>
        </w:rPr>
        <w:t> </w:t>
      </w:r>
      <w:r>
        <w:rPr/>
        <w:t>inicial</w:t>
      </w:r>
      <w:r>
        <w:rPr>
          <w:spacing w:val="-2"/>
        </w:rPr>
        <w:t> </w:t>
      </w:r>
      <w:r>
        <w:rPr/>
        <w:t>del</w:t>
      </w:r>
      <w:r>
        <w:rPr>
          <w:spacing w:val="-1"/>
        </w:rPr>
        <w:t> </w:t>
      </w:r>
      <w:r>
        <w:rPr/>
        <w:t>19,53</w:t>
      </w:r>
      <w:r>
        <w:rPr>
          <w:spacing w:val="-1"/>
        </w:rPr>
        <w:t> </w:t>
      </w:r>
      <w:r>
        <w:rPr/>
        <w:t>%.</w:t>
      </w:r>
      <w:r>
        <w:rPr>
          <w:spacing w:val="-1"/>
        </w:rPr>
        <w:t> </w:t>
      </w:r>
      <w:r>
        <w:rPr/>
        <w:t>Las</w:t>
      </w:r>
      <w:r>
        <w:rPr>
          <w:spacing w:val="-3"/>
        </w:rPr>
        <w:t> </w:t>
      </w:r>
      <w:r>
        <w:rPr/>
        <w:t>razones invocadas</w:t>
      </w:r>
      <w:r>
        <w:rPr>
          <w:spacing w:val="-1"/>
        </w:rPr>
        <w:t> </w:t>
      </w:r>
      <w:r>
        <w:rPr/>
        <w:t>para</w:t>
      </w:r>
      <w:r>
        <w:rPr>
          <w:spacing w:val="-1"/>
        </w:rPr>
        <w:t> </w:t>
      </w:r>
      <w:r>
        <w:rPr/>
        <w:t>estas modificaciones fueron motivos geotécnicos, afecciones a servicios, actualizaciones técnicas e inclusión de trabajos no contemplados en el proyecto.</w:t>
      </w:r>
    </w:p>
    <w:p>
      <w:pPr>
        <w:pStyle w:val="BodyText"/>
        <w:spacing w:before="238"/>
        <w:ind w:left="992" w:right="988"/>
        <w:jc w:val="both"/>
      </w:pPr>
      <w:r>
        <w:rPr/>
        <w:t>Asimismo, la entidad ha contratado las obras de las instalaciones de ese tramo (electrificación, señalización y semaforización, instalaciones de comunicación y equipamiento de paradas), por importe de 2.475.924,57 euros, IVA excluido, que también fueron modificadas en dos ocasiones, por cuestiones técnicas, por importe conjunto de 465.559,64 euros, sin IVA, lo que representa un incremento del precio inicial del 18,80 %. Las actuaciones de este tramo están concluidas.</w:t>
      </w:r>
    </w:p>
    <w:p>
      <w:pPr>
        <w:pStyle w:val="BodyText"/>
        <w:spacing w:before="240"/>
        <w:ind w:left="992" w:right="988"/>
        <w:jc w:val="both"/>
      </w:pPr>
      <w:r>
        <w:rPr/>
        <w:t>Además, la entidad ha contratado la asistencia técnica para la redacción del proyecto de construcción</w:t>
      </w:r>
      <w:r>
        <w:rPr>
          <w:spacing w:val="-7"/>
        </w:rPr>
        <w:t> </w:t>
      </w:r>
      <w:r>
        <w:rPr/>
        <w:t>del</w:t>
      </w:r>
      <w:r>
        <w:rPr>
          <w:spacing w:val="-9"/>
        </w:rPr>
        <w:t> </w:t>
      </w:r>
      <w:r>
        <w:rPr/>
        <w:t>metro</w:t>
      </w:r>
      <w:r>
        <w:rPr>
          <w:spacing w:val="-9"/>
        </w:rPr>
        <w:t> </w:t>
      </w:r>
      <w:r>
        <w:rPr/>
        <w:t>ligero,</w:t>
      </w:r>
      <w:r>
        <w:rPr>
          <w:spacing w:val="-8"/>
        </w:rPr>
        <w:t> </w:t>
      </w:r>
      <w:r>
        <w:rPr/>
        <w:t>ampliando</w:t>
      </w:r>
      <w:r>
        <w:rPr>
          <w:spacing w:val="-7"/>
        </w:rPr>
        <w:t> </w:t>
      </w:r>
      <w:r>
        <w:rPr/>
        <w:t>la</w:t>
      </w:r>
      <w:r>
        <w:rPr>
          <w:spacing w:val="-6"/>
        </w:rPr>
        <w:t> </w:t>
      </w:r>
      <w:r>
        <w:rPr/>
        <w:t>estructura</w:t>
      </w:r>
      <w:r>
        <w:rPr>
          <w:spacing w:val="-8"/>
        </w:rPr>
        <w:t> </w:t>
      </w:r>
      <w:r>
        <w:rPr/>
        <w:t>existente</w:t>
      </w:r>
      <w:r>
        <w:rPr>
          <w:spacing w:val="-9"/>
        </w:rPr>
        <w:t> </w:t>
      </w:r>
      <w:r>
        <w:rPr/>
        <w:t>hasta</w:t>
      </w:r>
      <w:r>
        <w:rPr>
          <w:spacing w:val="-9"/>
        </w:rPr>
        <w:t> </w:t>
      </w:r>
      <w:r>
        <w:rPr/>
        <w:t>la</w:t>
      </w:r>
      <w:r>
        <w:rPr>
          <w:spacing w:val="-9"/>
        </w:rPr>
        <w:t> </w:t>
      </w:r>
      <w:r>
        <w:rPr/>
        <w:t>estación</w:t>
      </w:r>
      <w:r>
        <w:rPr>
          <w:spacing w:val="-7"/>
        </w:rPr>
        <w:t> </w:t>
      </w:r>
      <w:r>
        <w:rPr/>
        <w:t>de</w:t>
      </w:r>
      <w:r>
        <w:rPr>
          <w:spacing w:val="-12"/>
        </w:rPr>
        <w:t> </w:t>
      </w:r>
      <w:r>
        <w:rPr/>
        <w:t>ferrocarriles</w:t>
      </w:r>
      <w:r>
        <w:rPr>
          <w:spacing w:val="-6"/>
        </w:rPr>
        <w:t> </w:t>
      </w:r>
      <w:r>
        <w:rPr/>
        <w:t>de la ciudad, así como para el diseño del intercambiador intermodal planeado en dicho entorno que conectará distintos</w:t>
      </w:r>
      <w:r>
        <w:rPr>
          <w:spacing w:val="-1"/>
        </w:rPr>
        <w:t> </w:t>
      </w:r>
      <w:r>
        <w:rPr/>
        <w:t>medios de</w:t>
      </w:r>
      <w:r>
        <w:rPr>
          <w:spacing w:val="-2"/>
        </w:rPr>
        <w:t> </w:t>
      </w:r>
      <w:r>
        <w:rPr/>
        <w:t>transporte, como autobuses, trenes y metro ligero. La entidad había ya</w:t>
      </w:r>
      <w:r>
        <w:rPr>
          <w:spacing w:val="-6"/>
        </w:rPr>
        <w:t> </w:t>
      </w:r>
      <w:r>
        <w:rPr/>
        <w:t>licitado</w:t>
      </w:r>
      <w:r>
        <w:rPr>
          <w:spacing w:val="-6"/>
        </w:rPr>
        <w:t> </w:t>
      </w:r>
      <w:r>
        <w:rPr/>
        <w:t>esta</w:t>
      </w:r>
      <w:r>
        <w:rPr>
          <w:spacing w:val="-8"/>
        </w:rPr>
        <w:t> </w:t>
      </w:r>
      <w:r>
        <w:rPr/>
        <w:t>contratación</w:t>
      </w:r>
      <w:r>
        <w:rPr>
          <w:spacing w:val="-7"/>
        </w:rPr>
        <w:t> </w:t>
      </w:r>
      <w:r>
        <w:rPr/>
        <w:t>en</w:t>
      </w:r>
      <w:r>
        <w:rPr>
          <w:spacing w:val="-7"/>
        </w:rPr>
        <w:t> </w:t>
      </w:r>
      <w:r>
        <w:rPr/>
        <w:t>julio</w:t>
      </w:r>
      <w:r>
        <w:rPr>
          <w:spacing w:val="-6"/>
        </w:rPr>
        <w:t> </w:t>
      </w:r>
      <w:r>
        <w:rPr/>
        <w:t>de</w:t>
      </w:r>
      <w:r>
        <w:rPr>
          <w:spacing w:val="-7"/>
        </w:rPr>
        <w:t> </w:t>
      </w:r>
      <w:r>
        <w:rPr/>
        <w:t>2022</w:t>
      </w:r>
      <w:r>
        <w:rPr>
          <w:spacing w:val="-9"/>
        </w:rPr>
        <w:t> </w:t>
      </w:r>
      <w:r>
        <w:rPr/>
        <w:t>pero</w:t>
      </w:r>
      <w:r>
        <w:rPr>
          <w:spacing w:val="-11"/>
        </w:rPr>
        <w:t> </w:t>
      </w:r>
      <w:r>
        <w:rPr/>
        <w:t>al</w:t>
      </w:r>
      <w:r>
        <w:rPr>
          <w:spacing w:val="-7"/>
        </w:rPr>
        <w:t> </w:t>
      </w:r>
      <w:r>
        <w:rPr/>
        <w:t>mes</w:t>
      </w:r>
      <w:r>
        <w:rPr>
          <w:spacing w:val="-6"/>
        </w:rPr>
        <w:t> </w:t>
      </w:r>
      <w:r>
        <w:rPr/>
        <w:t>siguiente</w:t>
      </w:r>
      <w:r>
        <w:rPr>
          <w:spacing w:val="-9"/>
        </w:rPr>
        <w:t> </w:t>
      </w:r>
      <w:r>
        <w:rPr/>
        <w:t>el</w:t>
      </w:r>
      <w:r>
        <w:rPr>
          <w:spacing w:val="-7"/>
        </w:rPr>
        <w:t> </w:t>
      </w:r>
      <w:r>
        <w:rPr/>
        <w:t>Ayuntamiento</w:t>
      </w:r>
      <w:r>
        <w:rPr>
          <w:spacing w:val="-6"/>
        </w:rPr>
        <w:t> </w:t>
      </w:r>
      <w:r>
        <w:rPr/>
        <w:t>desistió</w:t>
      </w:r>
      <w:r>
        <w:rPr>
          <w:spacing w:val="-6"/>
        </w:rPr>
        <w:t> </w:t>
      </w:r>
      <w:r>
        <w:rPr/>
        <w:t>de</w:t>
      </w:r>
      <w:r>
        <w:rPr>
          <w:spacing w:val="-7"/>
        </w:rPr>
        <w:t> </w:t>
      </w:r>
      <w:r>
        <w:rPr/>
        <w:t>este procedimiento al advertir errores en los pliegos reguladores de la contratación </w:t>
      </w:r>
      <w:r>
        <w:rPr>
          <w:rFonts w:ascii="Symbol" w:hAnsi="Symbol"/>
        </w:rPr>
        <w:t></w:t>
      </w:r>
      <w:r>
        <w:rPr/>
        <w:t>errores en los criterios de adjudicación, falta de concordancia entre los anexos de los pliegos de cláusulas administrativas particulares y del pliego de prescripciones técnicas, etc.</w:t>
      </w:r>
      <w:r>
        <w:rPr>
          <w:rFonts w:ascii="Symbol" w:hAnsi="Symbol"/>
        </w:rPr>
        <w:t></w:t>
      </w:r>
      <w:r>
        <w:rPr>
          <w:rFonts w:ascii="Times New Roman" w:hAnsi="Times New Roman"/>
        </w:rPr>
        <w:t> </w:t>
      </w:r>
      <w:r>
        <w:rPr/>
        <w:t>que podrían calificarse como no subsanables, lo que evidencia una deficiente preparación del expediente contractual. El contrato</w:t>
      </w:r>
      <w:r>
        <w:rPr>
          <w:spacing w:val="-5"/>
        </w:rPr>
        <w:t> </w:t>
      </w:r>
      <w:r>
        <w:rPr/>
        <w:t>se</w:t>
      </w:r>
      <w:r>
        <w:rPr>
          <w:spacing w:val="-5"/>
        </w:rPr>
        <w:t> </w:t>
      </w:r>
      <w:r>
        <w:rPr/>
        <w:t>formalizó</w:t>
      </w:r>
      <w:r>
        <w:rPr>
          <w:spacing w:val="-5"/>
        </w:rPr>
        <w:t> </w:t>
      </w:r>
      <w:r>
        <w:rPr/>
        <w:t>en</w:t>
      </w:r>
      <w:r>
        <w:rPr>
          <w:spacing w:val="-6"/>
        </w:rPr>
        <w:t> </w:t>
      </w:r>
      <w:r>
        <w:rPr/>
        <w:t>junio</w:t>
      </w:r>
      <w:r>
        <w:rPr>
          <w:spacing w:val="-3"/>
        </w:rPr>
        <w:t> </w:t>
      </w:r>
      <w:r>
        <w:rPr/>
        <w:t>de</w:t>
      </w:r>
      <w:r>
        <w:rPr>
          <w:spacing w:val="-6"/>
        </w:rPr>
        <w:t> </w:t>
      </w:r>
      <w:r>
        <w:rPr/>
        <w:t>2023</w:t>
      </w:r>
      <w:r>
        <w:rPr>
          <w:spacing w:val="-6"/>
        </w:rPr>
        <w:t> </w:t>
      </w:r>
      <w:r>
        <w:rPr/>
        <w:t>y</w:t>
      </w:r>
      <w:r>
        <w:rPr>
          <w:spacing w:val="-5"/>
        </w:rPr>
        <w:t> </w:t>
      </w:r>
      <w:r>
        <w:rPr/>
        <w:t>el</w:t>
      </w:r>
      <w:r>
        <w:rPr>
          <w:spacing w:val="-4"/>
        </w:rPr>
        <w:t> </w:t>
      </w:r>
      <w:r>
        <w:rPr/>
        <w:t>plazo</w:t>
      </w:r>
      <w:r>
        <w:rPr>
          <w:spacing w:val="-6"/>
        </w:rPr>
        <w:t> </w:t>
      </w:r>
      <w:r>
        <w:rPr/>
        <w:t>previsto</w:t>
      </w:r>
      <w:r>
        <w:rPr>
          <w:spacing w:val="-5"/>
        </w:rPr>
        <w:t> </w:t>
      </w:r>
      <w:r>
        <w:rPr/>
        <w:t>para</w:t>
      </w:r>
      <w:r>
        <w:rPr>
          <w:spacing w:val="-5"/>
        </w:rPr>
        <w:t> </w:t>
      </w:r>
      <w:r>
        <w:rPr/>
        <w:t>la</w:t>
      </w:r>
      <w:r>
        <w:rPr>
          <w:spacing w:val="-5"/>
        </w:rPr>
        <w:t> </w:t>
      </w:r>
      <w:r>
        <w:rPr/>
        <w:t>redacción</w:t>
      </w:r>
      <w:r>
        <w:rPr>
          <w:spacing w:val="-6"/>
        </w:rPr>
        <w:t> </w:t>
      </w:r>
      <w:r>
        <w:rPr/>
        <w:t>del</w:t>
      </w:r>
      <w:r>
        <w:rPr>
          <w:spacing w:val="-4"/>
        </w:rPr>
        <w:t> </w:t>
      </w:r>
      <w:r>
        <w:rPr/>
        <w:t>proyecto</w:t>
      </w:r>
      <w:r>
        <w:rPr>
          <w:spacing w:val="-5"/>
        </w:rPr>
        <w:t> </w:t>
      </w:r>
      <w:r>
        <w:rPr/>
        <w:t>era</w:t>
      </w:r>
      <w:r>
        <w:rPr>
          <w:spacing w:val="-5"/>
        </w:rPr>
        <w:t> </w:t>
      </w:r>
      <w:r>
        <w:rPr/>
        <w:t>de</w:t>
      </w:r>
      <w:r>
        <w:rPr>
          <w:spacing w:val="-6"/>
        </w:rPr>
        <w:t> </w:t>
      </w:r>
      <w:r>
        <w:rPr/>
        <w:t>seis meses.</w:t>
      </w:r>
      <w:r>
        <w:rPr>
          <w:spacing w:val="-2"/>
        </w:rPr>
        <w:t> </w:t>
      </w:r>
      <w:r>
        <w:rPr/>
        <w:t>El</w:t>
      </w:r>
      <w:r>
        <w:rPr>
          <w:spacing w:val="-4"/>
        </w:rPr>
        <w:t> </w:t>
      </w:r>
      <w:r>
        <w:rPr/>
        <w:t>proyecto</w:t>
      </w:r>
      <w:r>
        <w:rPr>
          <w:spacing w:val="-5"/>
        </w:rPr>
        <w:t> </w:t>
      </w:r>
      <w:r>
        <w:rPr/>
        <w:t>se</w:t>
      </w:r>
      <w:r>
        <w:rPr>
          <w:spacing w:val="-3"/>
        </w:rPr>
        <w:t> </w:t>
      </w:r>
      <w:r>
        <w:rPr/>
        <w:t>aprobó</w:t>
      </w:r>
      <w:r>
        <w:rPr>
          <w:spacing w:val="-3"/>
        </w:rPr>
        <w:t> </w:t>
      </w:r>
      <w:r>
        <w:rPr/>
        <w:t>por</w:t>
      </w:r>
      <w:r>
        <w:rPr>
          <w:spacing w:val="-4"/>
        </w:rPr>
        <w:t> </w:t>
      </w:r>
      <w:r>
        <w:rPr/>
        <w:t>la</w:t>
      </w:r>
      <w:r>
        <w:rPr>
          <w:spacing w:val="-3"/>
        </w:rPr>
        <w:t> </w:t>
      </w:r>
      <w:r>
        <w:rPr/>
        <w:t>Junta</w:t>
      </w:r>
      <w:r>
        <w:rPr>
          <w:spacing w:val="-4"/>
        </w:rPr>
        <w:t> </w:t>
      </w:r>
      <w:r>
        <w:rPr/>
        <w:t>de</w:t>
      </w:r>
      <w:r>
        <w:rPr>
          <w:spacing w:val="-6"/>
        </w:rPr>
        <w:t> </w:t>
      </w:r>
      <w:r>
        <w:rPr/>
        <w:t>Gobierno</w:t>
      </w:r>
      <w:r>
        <w:rPr>
          <w:spacing w:val="-3"/>
        </w:rPr>
        <w:t> </w:t>
      </w:r>
      <w:r>
        <w:rPr/>
        <w:t>en</w:t>
      </w:r>
      <w:r>
        <w:rPr>
          <w:spacing w:val="-4"/>
        </w:rPr>
        <w:t> </w:t>
      </w:r>
      <w:r>
        <w:rPr/>
        <w:t>noviembre</w:t>
      </w:r>
      <w:r>
        <w:rPr>
          <w:spacing w:val="-3"/>
        </w:rPr>
        <w:t> </w:t>
      </w:r>
      <w:r>
        <w:rPr/>
        <w:t>de</w:t>
      </w:r>
      <w:r>
        <w:rPr>
          <w:spacing w:val="-8"/>
        </w:rPr>
        <w:t> </w:t>
      </w:r>
      <w:r>
        <w:rPr/>
        <w:t>2024,</w:t>
      </w:r>
      <w:r>
        <w:rPr>
          <w:spacing w:val="-3"/>
        </w:rPr>
        <w:t> </w:t>
      </w:r>
      <w:r>
        <w:rPr/>
        <w:t>con</w:t>
      </w:r>
      <w:r>
        <w:rPr>
          <w:spacing w:val="-6"/>
        </w:rPr>
        <w:t> </w:t>
      </w:r>
      <w:r>
        <w:rPr/>
        <w:t>once</w:t>
      </w:r>
      <w:r>
        <w:rPr>
          <w:spacing w:val="-5"/>
        </w:rPr>
        <w:t> </w:t>
      </w:r>
      <w:r>
        <w:rPr/>
        <w:t>meses</w:t>
      </w:r>
      <w:r>
        <w:rPr>
          <w:spacing w:val="-5"/>
        </w:rPr>
        <w:t> </w:t>
      </w:r>
      <w:r>
        <w:rPr/>
        <w:t>de </w:t>
      </w:r>
      <w:r>
        <w:rPr>
          <w:spacing w:val="-2"/>
        </w:rPr>
        <w:t>demora.</w:t>
      </w:r>
    </w:p>
    <w:p>
      <w:pPr>
        <w:pStyle w:val="BodyText"/>
        <w:spacing w:before="242"/>
        <w:ind w:left="992" w:right="986"/>
        <w:jc w:val="both"/>
      </w:pPr>
      <w:r>
        <w:rPr/>
        <w:t>En</w:t>
      </w:r>
      <w:r>
        <w:rPr>
          <w:spacing w:val="-5"/>
        </w:rPr>
        <w:t> </w:t>
      </w:r>
      <w:r>
        <w:rPr/>
        <w:t>el</w:t>
      </w:r>
      <w:r>
        <w:rPr>
          <w:spacing w:val="-6"/>
        </w:rPr>
        <w:t> </w:t>
      </w:r>
      <w:r>
        <w:rPr/>
        <w:t>periodo</w:t>
      </w:r>
      <w:r>
        <w:rPr>
          <w:spacing w:val="-8"/>
        </w:rPr>
        <w:t> </w:t>
      </w:r>
      <w:r>
        <w:rPr/>
        <w:t>fiscalizado</w:t>
      </w:r>
      <w:r>
        <w:rPr>
          <w:spacing w:val="-7"/>
        </w:rPr>
        <w:t> </w:t>
      </w:r>
      <w:r>
        <w:rPr/>
        <w:t>también</w:t>
      </w:r>
      <w:r>
        <w:rPr>
          <w:spacing w:val="-8"/>
        </w:rPr>
        <w:t> </w:t>
      </w:r>
      <w:r>
        <w:rPr/>
        <w:t>se</w:t>
      </w:r>
      <w:r>
        <w:rPr>
          <w:spacing w:val="-8"/>
        </w:rPr>
        <w:t> </w:t>
      </w:r>
      <w:r>
        <w:rPr/>
        <w:t>han</w:t>
      </w:r>
      <w:r>
        <w:rPr>
          <w:spacing w:val="-8"/>
        </w:rPr>
        <w:t> </w:t>
      </w:r>
      <w:r>
        <w:rPr/>
        <w:t>instalado</w:t>
      </w:r>
      <w:r>
        <w:rPr>
          <w:spacing w:val="-7"/>
        </w:rPr>
        <w:t> </w:t>
      </w:r>
      <w:r>
        <w:rPr>
          <w:color w:val="1F1F1F"/>
        </w:rPr>
        <w:t>equipos</w:t>
      </w:r>
      <w:r>
        <w:rPr>
          <w:color w:val="1F1F1F"/>
          <w:spacing w:val="-7"/>
        </w:rPr>
        <w:t> </w:t>
      </w:r>
      <w:r>
        <w:rPr>
          <w:color w:val="1F1F1F"/>
        </w:rPr>
        <w:t>de</w:t>
      </w:r>
      <w:r>
        <w:rPr>
          <w:color w:val="1F1F1F"/>
          <w:spacing w:val="-8"/>
        </w:rPr>
        <w:t> </w:t>
      </w:r>
      <w:r>
        <w:rPr>
          <w:color w:val="1F1F1F"/>
        </w:rPr>
        <w:t>parada</w:t>
      </w:r>
      <w:r>
        <w:rPr>
          <w:color w:val="1F1F1F"/>
          <w:spacing w:val="-8"/>
        </w:rPr>
        <w:t> </w:t>
      </w:r>
      <w:r>
        <w:rPr>
          <w:color w:val="1F1F1F"/>
        </w:rPr>
        <w:t>del</w:t>
      </w:r>
      <w:r>
        <w:rPr>
          <w:color w:val="1F1F1F"/>
          <w:spacing w:val="-8"/>
        </w:rPr>
        <w:t> </w:t>
      </w:r>
      <w:r>
        <w:rPr>
          <w:color w:val="1F1F1F"/>
        </w:rPr>
        <w:t>metro</w:t>
      </w:r>
      <w:r>
        <w:rPr>
          <w:color w:val="1F1F1F"/>
          <w:spacing w:val="-8"/>
        </w:rPr>
        <w:t> </w:t>
      </w:r>
      <w:r>
        <w:rPr>
          <w:color w:val="1F1F1F"/>
        </w:rPr>
        <w:t>ligero</w:t>
      </w:r>
      <w:r>
        <w:rPr>
          <w:color w:val="1F1F1F"/>
          <w:spacing w:val="-7"/>
        </w:rPr>
        <w:t> </w:t>
      </w:r>
      <w:r>
        <w:rPr>
          <w:color w:val="1F1F1F"/>
        </w:rPr>
        <w:t>en</w:t>
      </w:r>
      <w:r>
        <w:rPr>
          <w:color w:val="1F1F1F"/>
          <w:spacing w:val="-8"/>
        </w:rPr>
        <w:t> </w:t>
      </w:r>
      <w:r>
        <w:rPr>
          <w:color w:val="1F1F1F"/>
        </w:rPr>
        <w:t>uno</w:t>
      </w:r>
      <w:r>
        <w:rPr>
          <w:color w:val="1F1F1F"/>
          <w:spacing w:val="-8"/>
        </w:rPr>
        <w:t> </w:t>
      </w:r>
      <w:r>
        <w:rPr>
          <w:color w:val="1F1F1F"/>
        </w:rPr>
        <w:t>de</w:t>
      </w:r>
      <w:r>
        <w:rPr>
          <w:color w:val="1F1F1F"/>
          <w:spacing w:val="-8"/>
        </w:rPr>
        <w:t> </w:t>
      </w:r>
      <w:r>
        <w:rPr>
          <w:color w:val="1F1F1F"/>
        </w:rPr>
        <w:t>los tramos: marquesinas y</w:t>
      </w:r>
      <w:r>
        <w:rPr>
          <w:color w:val="1F1F1F"/>
          <w:spacing w:val="-2"/>
        </w:rPr>
        <w:t> </w:t>
      </w:r>
      <w:r>
        <w:rPr>
          <w:color w:val="1F1F1F"/>
        </w:rPr>
        <w:t>bancos de las paradas, integración con</w:t>
      </w:r>
      <w:r>
        <w:rPr>
          <w:color w:val="1F1F1F"/>
          <w:spacing w:val="-2"/>
        </w:rPr>
        <w:t> </w:t>
      </w:r>
      <w:r>
        <w:rPr>
          <w:color w:val="1F1F1F"/>
        </w:rPr>
        <w:t>el</w:t>
      </w:r>
      <w:r>
        <w:rPr>
          <w:color w:val="1F1F1F"/>
          <w:spacing w:val="-1"/>
        </w:rPr>
        <w:t> </w:t>
      </w:r>
      <w:r>
        <w:rPr>
          <w:color w:val="1F1F1F"/>
        </w:rPr>
        <w:t>sistema</w:t>
      </w:r>
      <w:r>
        <w:rPr>
          <w:color w:val="1F1F1F"/>
          <w:spacing w:val="-2"/>
        </w:rPr>
        <w:t> </w:t>
      </w:r>
      <w:r>
        <w:rPr>
          <w:color w:val="1F1F1F"/>
        </w:rPr>
        <w:t>de billetaje de</w:t>
      </w:r>
      <w:r>
        <w:rPr>
          <w:color w:val="1F1F1F"/>
          <w:spacing w:val="-2"/>
        </w:rPr>
        <w:t> </w:t>
      </w:r>
      <w:r>
        <w:rPr>
          <w:color w:val="1F1F1F"/>
        </w:rPr>
        <w:t>máquinas automáticas de venta de billetes y recarga de tarjetas inteligentes de transporte urbano, así como postes teleindicadores, a modo de paneles digitales informativos en tiempo real. Para la ejecución de estas obras, por importe de 689.751,47 euros, sin IVA, la entidad tramitó un expediente contractual que fue adjudicado en tres lotes. Se han producido demoras en la instalación de los equipos, que oscilan entre siete y doce meses, debido a que las obras que se estaban realizando en las paradas donde se iban a integrar no habían concluido en fecha, obligando al acopio de los equipos hasta la disponibilidad de las paradas.</w:t>
      </w:r>
    </w:p>
    <w:p>
      <w:pPr>
        <w:pStyle w:val="BodyText"/>
        <w:spacing w:before="241"/>
        <w:ind w:left="992" w:right="986"/>
        <w:jc w:val="both"/>
      </w:pPr>
      <w:r>
        <w:rPr>
          <w:color w:val="1F1F1F"/>
        </w:rPr>
        <w:t>La empresa concesionaria del servicio público colectivo por autobús, contratada por el </w:t>
      </w:r>
      <w:r>
        <w:rPr>
          <w:b/>
          <w:color w:val="1F1F1F"/>
        </w:rPr>
        <w:t>Ayuntamiento de Zaragoza</w:t>
      </w:r>
      <w:r>
        <w:rPr>
          <w:color w:val="1F1F1F"/>
        </w:rPr>
        <w:t>, ha acometido las obras de colocación de plataformas en paradas </w:t>
      </w:r>
      <w:r>
        <w:rPr/>
        <w:t>y acondicionamiento de la zona adyacente, </w:t>
      </w:r>
      <w:r>
        <w:rPr>
          <w:color w:val="1F1F1F"/>
        </w:rPr>
        <w:t>atendiendo a lo previsto en el pliego de prescripciones técnicas</w:t>
      </w:r>
      <w:r>
        <w:rPr>
          <w:color w:val="1F1F1F"/>
          <w:spacing w:val="-2"/>
        </w:rPr>
        <w:t> </w:t>
      </w:r>
      <w:r>
        <w:rPr>
          <w:color w:val="1F1F1F"/>
        </w:rPr>
        <w:t>del</w:t>
      </w:r>
      <w:r>
        <w:rPr>
          <w:color w:val="1F1F1F"/>
          <w:spacing w:val="-2"/>
        </w:rPr>
        <w:t> </w:t>
      </w:r>
      <w:r>
        <w:rPr>
          <w:color w:val="1F1F1F"/>
        </w:rPr>
        <w:t>contrato. El</w:t>
      </w:r>
      <w:r>
        <w:rPr>
          <w:color w:val="1F1F1F"/>
          <w:spacing w:val="-2"/>
        </w:rPr>
        <w:t> </w:t>
      </w:r>
      <w:r>
        <w:rPr>
          <w:color w:val="1F1F1F"/>
        </w:rPr>
        <w:t>importe</w:t>
      </w:r>
      <w:r>
        <w:rPr>
          <w:color w:val="1F1F1F"/>
          <w:spacing w:val="-2"/>
        </w:rPr>
        <w:t> </w:t>
      </w:r>
      <w:r>
        <w:rPr>
          <w:color w:val="1F1F1F"/>
        </w:rPr>
        <w:t>total</w:t>
      </w:r>
      <w:r>
        <w:rPr>
          <w:color w:val="1F1F1F"/>
          <w:spacing w:val="-3"/>
        </w:rPr>
        <w:t> </w:t>
      </w:r>
      <w:r>
        <w:rPr>
          <w:color w:val="1F1F1F"/>
        </w:rPr>
        <w:t>certificado</w:t>
      </w:r>
      <w:r>
        <w:rPr>
          <w:color w:val="1F1F1F"/>
          <w:spacing w:val="-2"/>
        </w:rPr>
        <w:t> </w:t>
      </w:r>
      <w:r>
        <w:rPr>
          <w:color w:val="1F1F1F"/>
        </w:rPr>
        <w:t>por</w:t>
      </w:r>
      <w:r>
        <w:rPr>
          <w:color w:val="1F1F1F"/>
          <w:spacing w:val="-1"/>
        </w:rPr>
        <w:t> </w:t>
      </w:r>
      <w:r>
        <w:rPr>
          <w:color w:val="1F1F1F"/>
        </w:rPr>
        <w:t>estas</w:t>
      </w:r>
      <w:r>
        <w:rPr>
          <w:color w:val="1F1F1F"/>
          <w:spacing w:val="-4"/>
        </w:rPr>
        <w:t> </w:t>
      </w:r>
      <w:r>
        <w:rPr>
          <w:color w:val="1F1F1F"/>
        </w:rPr>
        <w:t>obras</w:t>
      </w:r>
      <w:r>
        <w:rPr>
          <w:color w:val="1F1F1F"/>
          <w:spacing w:val="-2"/>
        </w:rPr>
        <w:t> </w:t>
      </w:r>
      <w:r>
        <w:rPr>
          <w:color w:val="1F1F1F"/>
        </w:rPr>
        <w:t>ascendió</w:t>
      </w:r>
      <w:r>
        <w:rPr>
          <w:color w:val="1F1F1F"/>
          <w:spacing w:val="-4"/>
        </w:rPr>
        <w:t> </w:t>
      </w:r>
      <w:r>
        <w:rPr>
          <w:color w:val="1F1F1F"/>
        </w:rPr>
        <w:t>a</w:t>
      </w:r>
      <w:r>
        <w:rPr>
          <w:color w:val="1F1F1F"/>
          <w:spacing w:val="-2"/>
        </w:rPr>
        <w:t> </w:t>
      </w:r>
      <w:r>
        <w:rPr>
          <w:color w:val="1F1F1F"/>
        </w:rPr>
        <w:t>307.722,69 euros, IVA excluido,</w:t>
      </w:r>
      <w:r>
        <w:rPr>
          <w:color w:val="1F1F1F"/>
          <w:spacing w:val="-1"/>
        </w:rPr>
        <w:t> </w:t>
      </w:r>
      <w:r>
        <w:rPr>
          <w:color w:val="1F1F1F"/>
        </w:rPr>
        <w:t>habiéndose</w:t>
      </w:r>
      <w:r>
        <w:rPr>
          <w:color w:val="1F1F1F"/>
          <w:spacing w:val="-3"/>
        </w:rPr>
        <w:t> </w:t>
      </w:r>
      <w:r>
        <w:rPr>
          <w:color w:val="1F1F1F"/>
        </w:rPr>
        <w:t>abonado</w:t>
      </w:r>
      <w:r>
        <w:rPr>
          <w:color w:val="1F1F1F"/>
          <w:spacing w:val="-3"/>
        </w:rPr>
        <w:t> </w:t>
      </w:r>
      <w:r>
        <w:rPr>
          <w:color w:val="1F1F1F"/>
        </w:rPr>
        <w:t>la</w:t>
      </w:r>
      <w:r>
        <w:rPr>
          <w:color w:val="1F1F1F"/>
          <w:spacing w:val="-3"/>
        </w:rPr>
        <w:t> </w:t>
      </w:r>
      <w:r>
        <w:rPr>
          <w:color w:val="1F1F1F"/>
        </w:rPr>
        <w:t>parte</w:t>
      </w:r>
      <w:r>
        <w:rPr>
          <w:color w:val="1F1F1F"/>
          <w:spacing w:val="-3"/>
        </w:rPr>
        <w:t> </w:t>
      </w:r>
      <w:r>
        <w:rPr>
          <w:color w:val="1F1F1F"/>
        </w:rPr>
        <w:t>correspondiente</w:t>
      </w:r>
      <w:r>
        <w:rPr>
          <w:color w:val="1F1F1F"/>
          <w:spacing w:val="-3"/>
        </w:rPr>
        <w:t> </w:t>
      </w:r>
      <w:r>
        <w:rPr>
          <w:color w:val="1F1F1F"/>
        </w:rPr>
        <w:t>a</w:t>
      </w:r>
      <w:r>
        <w:rPr>
          <w:color w:val="1F1F1F"/>
          <w:spacing w:val="-2"/>
        </w:rPr>
        <w:t> </w:t>
      </w:r>
      <w:r>
        <w:rPr>
          <w:color w:val="1F1F1F"/>
        </w:rPr>
        <w:t>2023</w:t>
      </w:r>
      <w:r>
        <w:rPr>
          <w:color w:val="1F1F1F"/>
          <w:spacing w:val="-4"/>
        </w:rPr>
        <w:t> </w:t>
      </w:r>
      <w:r>
        <w:rPr>
          <w:color w:val="1F1F1F"/>
        </w:rPr>
        <w:t>y</w:t>
      </w:r>
      <w:r>
        <w:rPr>
          <w:color w:val="1F1F1F"/>
          <w:spacing w:val="-5"/>
        </w:rPr>
        <w:t> </w:t>
      </w:r>
      <w:r>
        <w:rPr>
          <w:color w:val="1F1F1F"/>
        </w:rPr>
        <w:t>en</w:t>
      </w:r>
      <w:r>
        <w:rPr>
          <w:color w:val="1F1F1F"/>
          <w:spacing w:val="-5"/>
        </w:rPr>
        <w:t> </w:t>
      </w:r>
      <w:r>
        <w:rPr>
          <w:color w:val="1F1F1F"/>
        </w:rPr>
        <w:t>tramitación</w:t>
      </w:r>
      <w:r>
        <w:rPr>
          <w:color w:val="1F1F1F"/>
          <w:spacing w:val="-3"/>
        </w:rPr>
        <w:t> </w:t>
      </w:r>
      <w:r>
        <w:rPr>
          <w:color w:val="1F1F1F"/>
        </w:rPr>
        <w:t>la</w:t>
      </w:r>
      <w:r>
        <w:rPr>
          <w:color w:val="1F1F1F"/>
          <w:spacing w:val="-3"/>
        </w:rPr>
        <w:t> </w:t>
      </w:r>
      <w:r>
        <w:rPr>
          <w:color w:val="1F1F1F"/>
        </w:rPr>
        <w:t>correspondiente a 2024.</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ListParagraph"/>
        <w:numPr>
          <w:ilvl w:val="3"/>
          <w:numId w:val="3"/>
        </w:numPr>
        <w:tabs>
          <w:tab w:pos="1779" w:val="left" w:leader="none"/>
        </w:tabs>
        <w:spacing w:line="240" w:lineRule="auto" w:before="0" w:after="0"/>
        <w:ind w:left="1779" w:right="0" w:hanging="787"/>
        <w:jc w:val="left"/>
        <w:rPr>
          <w:sz w:val="22"/>
        </w:rPr>
      </w:pPr>
      <w:r>
        <w:rPr>
          <w:sz w:val="22"/>
        </w:rPr>
        <w:t>DIGITALIZACIÓN</w:t>
      </w:r>
      <w:r>
        <w:rPr>
          <w:spacing w:val="-10"/>
          <w:sz w:val="22"/>
        </w:rPr>
        <w:t> </w:t>
      </w:r>
      <w:r>
        <w:rPr>
          <w:sz w:val="22"/>
        </w:rPr>
        <w:t>DEL</w:t>
      </w:r>
      <w:r>
        <w:rPr>
          <w:spacing w:val="-8"/>
          <w:sz w:val="22"/>
        </w:rPr>
        <w:t> </w:t>
      </w:r>
      <w:r>
        <w:rPr>
          <w:sz w:val="22"/>
        </w:rPr>
        <w:t>TRANSPORTE</w:t>
      </w:r>
      <w:r>
        <w:rPr>
          <w:spacing w:val="-8"/>
          <w:sz w:val="22"/>
        </w:rPr>
        <w:t> </w:t>
      </w:r>
      <w:r>
        <w:rPr>
          <w:sz w:val="22"/>
        </w:rPr>
        <w:t>PÚBLICO</w:t>
      </w:r>
      <w:r>
        <w:rPr>
          <w:spacing w:val="-8"/>
          <w:sz w:val="22"/>
        </w:rPr>
        <w:t> </w:t>
      </w:r>
      <w:r>
        <w:rPr>
          <w:spacing w:val="-2"/>
          <w:sz w:val="22"/>
        </w:rPr>
        <w:t>COLECTIVO</w:t>
      </w:r>
    </w:p>
    <w:p>
      <w:pPr>
        <w:pStyle w:val="BodyText"/>
        <w:spacing w:before="241"/>
        <w:ind w:left="992" w:right="987"/>
        <w:jc w:val="both"/>
      </w:pPr>
      <w:r>
        <w:rPr/>
        <w:t>La incorporación de diversas soluciones tecnológicas en el transporte colectivo urbano contribuye a mejorar su eficiencia, además de favorecer a que sea más sostenible y accesible. Tecnologías como</w:t>
      </w:r>
      <w:r>
        <w:rPr>
          <w:spacing w:val="-6"/>
        </w:rPr>
        <w:t> </w:t>
      </w:r>
      <w:r>
        <w:rPr/>
        <w:t>el</w:t>
      </w:r>
      <w:r>
        <w:rPr>
          <w:spacing w:val="-7"/>
        </w:rPr>
        <w:t> </w:t>
      </w:r>
      <w:r>
        <w:rPr>
          <w:i/>
        </w:rPr>
        <w:t>ticketing</w:t>
      </w:r>
      <w:r>
        <w:rPr>
          <w:i/>
          <w:spacing w:val="-6"/>
        </w:rPr>
        <w:t> </w:t>
      </w:r>
      <w:r>
        <w:rPr/>
        <w:t>electrónico,</w:t>
      </w:r>
      <w:r>
        <w:rPr>
          <w:spacing w:val="-3"/>
        </w:rPr>
        <w:t> </w:t>
      </w:r>
      <w:r>
        <w:rPr/>
        <w:t>que</w:t>
      </w:r>
      <w:r>
        <w:rPr>
          <w:spacing w:val="-6"/>
        </w:rPr>
        <w:t> </w:t>
      </w:r>
      <w:r>
        <w:rPr/>
        <w:t>permite</w:t>
      </w:r>
      <w:r>
        <w:rPr>
          <w:spacing w:val="-6"/>
        </w:rPr>
        <w:t> </w:t>
      </w:r>
      <w:r>
        <w:rPr/>
        <w:t>la</w:t>
      </w:r>
      <w:r>
        <w:rPr>
          <w:spacing w:val="-6"/>
        </w:rPr>
        <w:t> </w:t>
      </w:r>
      <w:r>
        <w:rPr/>
        <w:t>compra</w:t>
      </w:r>
      <w:r>
        <w:rPr>
          <w:spacing w:val="-4"/>
        </w:rPr>
        <w:t> </w:t>
      </w:r>
      <w:r>
        <w:rPr/>
        <w:t>y</w:t>
      </w:r>
      <w:r>
        <w:rPr>
          <w:spacing w:val="-6"/>
        </w:rPr>
        <w:t> </w:t>
      </w:r>
      <w:r>
        <w:rPr/>
        <w:t>validación</w:t>
      </w:r>
      <w:r>
        <w:rPr>
          <w:spacing w:val="-4"/>
        </w:rPr>
        <w:t> </w:t>
      </w:r>
      <w:r>
        <w:rPr/>
        <w:t>de</w:t>
      </w:r>
      <w:r>
        <w:rPr>
          <w:spacing w:val="-4"/>
        </w:rPr>
        <w:t> </w:t>
      </w:r>
      <w:r>
        <w:rPr/>
        <w:t>billetes</w:t>
      </w:r>
      <w:r>
        <w:rPr>
          <w:spacing w:val="-4"/>
        </w:rPr>
        <w:t> </w:t>
      </w:r>
      <w:r>
        <w:rPr/>
        <w:t>a</w:t>
      </w:r>
      <w:r>
        <w:rPr>
          <w:spacing w:val="-6"/>
        </w:rPr>
        <w:t> </w:t>
      </w:r>
      <w:r>
        <w:rPr/>
        <w:t>través</w:t>
      </w:r>
      <w:r>
        <w:rPr>
          <w:spacing w:val="-6"/>
        </w:rPr>
        <w:t> </w:t>
      </w:r>
      <w:r>
        <w:rPr/>
        <w:t>de</w:t>
      </w:r>
      <w:r>
        <w:rPr>
          <w:spacing w:val="-7"/>
        </w:rPr>
        <w:t> </w:t>
      </w:r>
      <w:r>
        <w:rPr/>
        <w:t>dispositivos móviles</w:t>
      </w:r>
      <w:r>
        <w:rPr>
          <w:spacing w:val="-16"/>
        </w:rPr>
        <w:t> </w:t>
      </w:r>
      <w:r>
        <w:rPr/>
        <w:t>eliminando</w:t>
      </w:r>
      <w:r>
        <w:rPr>
          <w:spacing w:val="-15"/>
        </w:rPr>
        <w:t> </w:t>
      </w:r>
      <w:r>
        <w:rPr/>
        <w:t>la</w:t>
      </w:r>
      <w:r>
        <w:rPr>
          <w:spacing w:val="-15"/>
        </w:rPr>
        <w:t> </w:t>
      </w:r>
      <w:r>
        <w:rPr/>
        <w:t>necesidad</w:t>
      </w:r>
      <w:r>
        <w:rPr>
          <w:spacing w:val="-16"/>
        </w:rPr>
        <w:t> </w:t>
      </w:r>
      <w:r>
        <w:rPr/>
        <w:t>de</w:t>
      </w:r>
      <w:r>
        <w:rPr>
          <w:spacing w:val="-15"/>
        </w:rPr>
        <w:t> </w:t>
      </w:r>
      <w:r>
        <w:rPr/>
        <w:t>billetes</w:t>
      </w:r>
      <w:r>
        <w:rPr>
          <w:spacing w:val="-15"/>
        </w:rPr>
        <w:t> </w:t>
      </w:r>
      <w:r>
        <w:rPr/>
        <w:t>físicos,</w:t>
      </w:r>
      <w:r>
        <w:rPr>
          <w:spacing w:val="-15"/>
        </w:rPr>
        <w:t> </w:t>
      </w:r>
      <w:r>
        <w:rPr/>
        <w:t>el</w:t>
      </w:r>
      <w:r>
        <w:rPr>
          <w:spacing w:val="-16"/>
        </w:rPr>
        <w:t> </w:t>
      </w:r>
      <w:r>
        <w:rPr/>
        <w:t>SAE</w:t>
      </w:r>
      <w:r>
        <w:rPr>
          <w:spacing w:val="-15"/>
        </w:rPr>
        <w:t> </w:t>
      </w:r>
      <w:r>
        <w:rPr/>
        <w:t>para</w:t>
      </w:r>
      <w:r>
        <w:rPr>
          <w:spacing w:val="-15"/>
        </w:rPr>
        <w:t> </w:t>
      </w:r>
      <w:r>
        <w:rPr/>
        <w:t>la</w:t>
      </w:r>
      <w:r>
        <w:rPr>
          <w:spacing w:val="-16"/>
        </w:rPr>
        <w:t> </w:t>
      </w:r>
      <w:r>
        <w:rPr/>
        <w:t>gestión</w:t>
      </w:r>
      <w:r>
        <w:rPr>
          <w:spacing w:val="-15"/>
        </w:rPr>
        <w:t> </w:t>
      </w:r>
      <w:r>
        <w:rPr/>
        <w:t>de</w:t>
      </w:r>
      <w:r>
        <w:rPr>
          <w:spacing w:val="-15"/>
        </w:rPr>
        <w:t> </w:t>
      </w:r>
      <w:r>
        <w:rPr/>
        <w:t>las</w:t>
      </w:r>
      <w:r>
        <w:rPr>
          <w:spacing w:val="-15"/>
        </w:rPr>
        <w:t> </w:t>
      </w:r>
      <w:r>
        <w:rPr/>
        <w:t>flotas</w:t>
      </w:r>
      <w:r>
        <w:rPr>
          <w:spacing w:val="-16"/>
        </w:rPr>
        <w:t> </w:t>
      </w:r>
      <w:r>
        <w:rPr/>
        <w:t>de</w:t>
      </w:r>
      <w:r>
        <w:rPr>
          <w:spacing w:val="-15"/>
        </w:rPr>
        <w:t> </w:t>
      </w:r>
      <w:r>
        <w:rPr/>
        <w:t>autobuses, o las ayudas a la conducción eficiente dirigidas a analizar parámetros como la velocidad o el consumo de combustible, son algunos ejemplos de herramientas digitales que contribuyen a la descarbonización del sector, además de mejorar la calidad del servicio y la experiencia de los </w:t>
      </w:r>
      <w:r>
        <w:rPr>
          <w:spacing w:val="-2"/>
        </w:rPr>
        <w:t>usuarios.</w:t>
      </w:r>
    </w:p>
    <w:p>
      <w:pPr>
        <w:pStyle w:val="BodyText"/>
        <w:spacing w:before="240"/>
        <w:ind w:left="992" w:right="987"/>
        <w:jc w:val="both"/>
      </w:pPr>
      <w:r>
        <w:rPr/>
        <w:t>Todos los ayuntamientos han llevado a cabo en los ejercicios fiscalizados actuaciones dirigidas a impulsar la digitalización del transporte público colectivo. Los </w:t>
      </w:r>
      <w:r>
        <w:rPr>
          <w:b/>
        </w:rPr>
        <w:t>Ayuntamientos de Alicante, Las Palmas de Gran Canaria, Málaga, Murcia, Palma </w:t>
      </w:r>
      <w:r>
        <w:rPr/>
        <w:t>y </w:t>
      </w:r>
      <w:r>
        <w:rPr>
          <w:b/>
        </w:rPr>
        <w:t>Zaragoza </w:t>
      </w:r>
      <w:r>
        <w:rPr/>
        <w:t>las han realizado contando con subvenciones del PRTR. Los cinco primeros ha sido beneficiarios del Programa de ayudas para la transformación</w:t>
      </w:r>
      <w:r>
        <w:rPr>
          <w:spacing w:val="-8"/>
        </w:rPr>
        <w:t> </w:t>
      </w:r>
      <w:r>
        <w:rPr/>
        <w:t>digital</w:t>
      </w:r>
      <w:r>
        <w:rPr>
          <w:spacing w:val="-11"/>
        </w:rPr>
        <w:t> </w:t>
      </w:r>
      <w:r>
        <w:rPr/>
        <w:t>y</w:t>
      </w:r>
      <w:r>
        <w:rPr>
          <w:spacing w:val="-7"/>
        </w:rPr>
        <w:t> </w:t>
      </w:r>
      <w:r>
        <w:rPr/>
        <w:t>sostenible</w:t>
      </w:r>
      <w:r>
        <w:rPr>
          <w:spacing w:val="-7"/>
        </w:rPr>
        <w:t> </w:t>
      </w:r>
      <w:r>
        <w:rPr/>
        <w:t>del</w:t>
      </w:r>
      <w:r>
        <w:rPr>
          <w:spacing w:val="-8"/>
        </w:rPr>
        <w:t> </w:t>
      </w:r>
      <w:r>
        <w:rPr/>
        <w:t>transporte</w:t>
      </w:r>
      <w:r>
        <w:rPr>
          <w:spacing w:val="-10"/>
        </w:rPr>
        <w:t> </w:t>
      </w:r>
      <w:r>
        <w:rPr/>
        <w:t>urbano,</w:t>
      </w:r>
      <w:r>
        <w:rPr>
          <w:spacing w:val="-8"/>
        </w:rPr>
        <w:t> </w:t>
      </w:r>
      <w:r>
        <w:rPr/>
        <w:t>PRTR,</w:t>
      </w:r>
      <w:r>
        <w:rPr>
          <w:spacing w:val="-6"/>
        </w:rPr>
        <w:t> </w:t>
      </w:r>
      <w:r>
        <w:rPr/>
        <w:t>bien</w:t>
      </w:r>
      <w:r>
        <w:rPr>
          <w:spacing w:val="-10"/>
        </w:rPr>
        <w:t> </w:t>
      </w:r>
      <w:r>
        <w:rPr/>
        <w:t>de</w:t>
      </w:r>
      <w:r>
        <w:rPr>
          <w:spacing w:val="-10"/>
        </w:rPr>
        <w:t> </w:t>
      </w:r>
      <w:r>
        <w:rPr/>
        <w:t>manera</w:t>
      </w:r>
      <w:r>
        <w:rPr>
          <w:spacing w:val="-7"/>
        </w:rPr>
        <w:t> </w:t>
      </w:r>
      <w:r>
        <w:rPr/>
        <w:t>individualizada</w:t>
      </w:r>
      <w:r>
        <w:rPr>
          <w:spacing w:val="-7"/>
        </w:rPr>
        <w:t> </w:t>
      </w:r>
      <w:r>
        <w:rPr/>
        <w:t>y/o integrados en una agrupación de municipios</w:t>
      </w:r>
      <w:hyperlink w:history="true" w:anchor="_bookmark73">
        <w:r>
          <w:rPr>
            <w:vertAlign w:val="superscript"/>
          </w:rPr>
          <w:t>47</w:t>
        </w:r>
        <w:r>
          <w:rPr>
            <w:vertAlign w:val="baseline"/>
          </w:rPr>
          <w:t>.</w:t>
        </w:r>
      </w:hyperlink>
      <w:r>
        <w:rPr>
          <w:vertAlign w:val="baseline"/>
        </w:rPr>
        <w:t> El </w:t>
      </w:r>
      <w:r>
        <w:rPr>
          <w:b/>
          <w:vertAlign w:val="baseline"/>
        </w:rPr>
        <w:t>Ayuntamiento de Córdoba </w:t>
      </w:r>
      <w:r>
        <w:rPr>
          <w:vertAlign w:val="baseline"/>
        </w:rPr>
        <w:t>ha recibido fondos del Consorcio de Transporte Metropolitano del Área de Córdoba adscrito a la Junta de Andalucía para la realización de alguna de las actuaciones desarrolladas. Los Ayuntamientos de </w:t>
      </w:r>
      <w:r>
        <w:rPr>
          <w:b/>
          <w:vertAlign w:val="baseline"/>
        </w:rPr>
        <w:t>Bilbao </w:t>
      </w:r>
      <w:r>
        <w:rPr>
          <w:vertAlign w:val="baseline"/>
        </w:rPr>
        <w:t>y </w:t>
      </w:r>
      <w:r>
        <w:rPr>
          <w:b/>
          <w:vertAlign w:val="baseline"/>
        </w:rPr>
        <w:t>Sevilla </w:t>
      </w:r>
      <w:r>
        <w:rPr>
          <w:vertAlign w:val="baseline"/>
        </w:rPr>
        <w:t>las han realizado exclusivamente con fondos propios.</w:t>
      </w:r>
    </w:p>
    <w:p>
      <w:pPr>
        <w:pStyle w:val="BodyText"/>
        <w:spacing w:before="241"/>
        <w:ind w:left="992" w:right="994"/>
        <w:jc w:val="both"/>
      </w:pPr>
      <w:r>
        <w:rPr/>
        <w:t>En</w:t>
      </w:r>
      <w:r>
        <w:rPr>
          <w:spacing w:val="-5"/>
        </w:rPr>
        <w:t> </w:t>
      </w:r>
      <w:r>
        <w:rPr/>
        <w:t>el</w:t>
      </w:r>
      <w:r>
        <w:rPr>
          <w:spacing w:val="-6"/>
        </w:rPr>
        <w:t> </w:t>
      </w:r>
      <w:r>
        <w:rPr/>
        <w:t>cuadro</w:t>
      </w:r>
      <w:r>
        <w:rPr>
          <w:spacing w:val="-5"/>
        </w:rPr>
        <w:t> </w:t>
      </w:r>
      <w:r>
        <w:rPr/>
        <w:t>siguiente</w:t>
      </w:r>
      <w:r>
        <w:rPr>
          <w:spacing w:val="-7"/>
        </w:rPr>
        <w:t> </w:t>
      </w:r>
      <w:r>
        <w:rPr/>
        <w:t>se</w:t>
      </w:r>
      <w:r>
        <w:rPr>
          <w:spacing w:val="-5"/>
        </w:rPr>
        <w:t> </w:t>
      </w:r>
      <w:r>
        <w:rPr/>
        <w:t>exponen</w:t>
      </w:r>
      <w:r>
        <w:rPr>
          <w:spacing w:val="-5"/>
        </w:rPr>
        <w:t> </w:t>
      </w:r>
      <w:r>
        <w:rPr/>
        <w:t>las</w:t>
      </w:r>
      <w:r>
        <w:rPr>
          <w:spacing w:val="-5"/>
        </w:rPr>
        <w:t> </w:t>
      </w:r>
      <w:r>
        <w:rPr/>
        <w:t>actuaciones</w:t>
      </w:r>
      <w:r>
        <w:rPr>
          <w:spacing w:val="-5"/>
        </w:rPr>
        <w:t> </w:t>
      </w:r>
      <w:r>
        <w:rPr/>
        <w:t>de</w:t>
      </w:r>
      <w:r>
        <w:rPr>
          <w:spacing w:val="-5"/>
        </w:rPr>
        <w:t> </w:t>
      </w:r>
      <w:r>
        <w:rPr/>
        <w:t>digitalización</w:t>
      </w:r>
      <w:r>
        <w:rPr>
          <w:spacing w:val="-5"/>
        </w:rPr>
        <w:t> </w:t>
      </w:r>
      <w:r>
        <w:rPr/>
        <w:t>del</w:t>
      </w:r>
      <w:r>
        <w:rPr>
          <w:spacing w:val="-6"/>
        </w:rPr>
        <w:t> </w:t>
      </w:r>
      <w:r>
        <w:rPr/>
        <w:t>transporte</w:t>
      </w:r>
      <w:r>
        <w:rPr>
          <w:spacing w:val="-7"/>
        </w:rPr>
        <w:t> </w:t>
      </w:r>
      <w:r>
        <w:rPr/>
        <w:t>público</w:t>
      </w:r>
      <w:r>
        <w:rPr>
          <w:spacing w:val="-5"/>
        </w:rPr>
        <w:t> </w:t>
      </w:r>
      <w:r>
        <w:rPr/>
        <w:t>colectivo llevadas a cabo por las entidades fiscalizadas</w:t>
      </w:r>
      <w:hyperlink w:history="true" w:anchor="_bookmark74">
        <w:r>
          <w:rPr>
            <w:vertAlign w:val="superscript"/>
          </w:rPr>
          <w:t>48</w:t>
        </w:r>
        <w:r>
          <w:rPr>
            <w:vertAlign w:val="baseline"/>
          </w:rPr>
          <w:t>.</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1"/>
        <w:rPr>
          <w:sz w:val="20"/>
        </w:rPr>
      </w:pPr>
      <w:r>
        <w:rPr>
          <w:sz w:val="20"/>
        </w:rPr>
        <mc:AlternateContent>
          <mc:Choice Requires="wps">
            <w:drawing>
              <wp:anchor distT="0" distB="0" distL="0" distR="0" allowOverlap="1" layoutInCell="1" locked="0" behindDoc="1" simplePos="0" relativeHeight="487611904">
                <wp:simplePos x="0" y="0"/>
                <wp:positionH relativeFrom="page">
                  <wp:posOffset>719632</wp:posOffset>
                </wp:positionH>
                <wp:positionV relativeFrom="paragraph">
                  <wp:posOffset>225541</wp:posOffset>
                </wp:positionV>
                <wp:extent cx="1829435" cy="9525"/>
                <wp:effectExtent l="0" t="0" r="0" b="0"/>
                <wp:wrapTopAndBottom/>
                <wp:docPr id="163" name="Graphic 163"/>
                <wp:cNvGraphicFramePr>
                  <a:graphicFrameLocks/>
                </wp:cNvGraphicFramePr>
                <a:graphic>
                  <a:graphicData uri="http://schemas.microsoft.com/office/word/2010/wordprocessingShape">
                    <wps:wsp>
                      <wps:cNvPr id="163" name="Graphic 163"/>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7.75919pt;width:144.020pt;height:.72003pt;mso-position-horizontal-relative:page;mso-position-vertical-relative:paragraph;z-index:-15704576;mso-wrap-distance-left:0;mso-wrap-distance-right:0" id="docshape145" filled="true" fillcolor="#000000" stroked="false">
                <v:fill type="solid"/>
                <w10:wrap type="topAndBottom"/>
              </v:rect>
            </w:pict>
          </mc:Fallback>
        </mc:AlternateContent>
      </w:r>
    </w:p>
    <w:p>
      <w:pPr>
        <w:spacing w:before="118"/>
        <w:ind w:left="992" w:right="990" w:firstLine="0"/>
        <w:jc w:val="both"/>
        <w:rPr>
          <w:sz w:val="18"/>
        </w:rPr>
      </w:pPr>
      <w:bookmarkStart w:name="_bookmark73" w:id="75"/>
      <w:bookmarkEnd w:id="75"/>
      <w:r>
        <w:rPr/>
      </w:r>
      <w:r>
        <w:rPr>
          <w:position w:val="6"/>
          <w:sz w:val="12"/>
        </w:rPr>
        <w:t>47</w:t>
      </w:r>
      <w:r>
        <w:rPr>
          <w:spacing w:val="34"/>
          <w:position w:val="6"/>
          <w:sz w:val="12"/>
        </w:rPr>
        <w:t> </w:t>
      </w:r>
      <w:r>
        <w:rPr>
          <w:sz w:val="18"/>
        </w:rPr>
        <w:t>Los </w:t>
      </w:r>
      <w:r>
        <w:rPr>
          <w:b/>
          <w:sz w:val="18"/>
        </w:rPr>
        <w:t>Ayuntamientos de Málaga, Las Palmas de Gran Canaria </w:t>
      </w:r>
      <w:r>
        <w:rPr>
          <w:sz w:val="18"/>
        </w:rPr>
        <w:t>y </w:t>
      </w:r>
      <w:r>
        <w:rPr>
          <w:b/>
          <w:sz w:val="18"/>
        </w:rPr>
        <w:t>Palma, </w:t>
      </w:r>
      <w:r>
        <w:rPr>
          <w:sz w:val="18"/>
        </w:rPr>
        <w:t>junto con el de Donostia/San Sebastián, concurrieron a la convocatoria de subvenciones como agrupación de municipios.</w:t>
      </w:r>
    </w:p>
    <w:p>
      <w:pPr>
        <w:spacing w:before="55"/>
        <w:ind w:left="992" w:right="988" w:firstLine="0"/>
        <w:jc w:val="both"/>
        <w:rPr>
          <w:sz w:val="18"/>
        </w:rPr>
      </w:pPr>
      <w:bookmarkStart w:name="_bookmark74" w:id="76"/>
      <w:bookmarkEnd w:id="76"/>
      <w:r>
        <w:rPr/>
      </w:r>
      <w:r>
        <w:rPr>
          <w:position w:val="6"/>
          <w:sz w:val="12"/>
        </w:rPr>
        <w:t>48</w:t>
      </w:r>
      <w:r>
        <w:rPr>
          <w:spacing w:val="-9"/>
          <w:position w:val="6"/>
          <w:sz w:val="12"/>
        </w:rPr>
        <w:t> </w:t>
      </w:r>
      <w:r>
        <w:rPr>
          <w:sz w:val="18"/>
        </w:rPr>
        <w:t>Se</w:t>
      </w:r>
      <w:r>
        <w:rPr>
          <w:spacing w:val="-12"/>
          <w:sz w:val="18"/>
        </w:rPr>
        <w:t> </w:t>
      </w:r>
      <w:r>
        <w:rPr>
          <w:sz w:val="18"/>
        </w:rPr>
        <w:t>han</w:t>
      </w:r>
      <w:r>
        <w:rPr>
          <w:spacing w:val="-13"/>
          <w:sz w:val="18"/>
        </w:rPr>
        <w:t> </w:t>
      </w:r>
      <w:r>
        <w:rPr>
          <w:sz w:val="18"/>
        </w:rPr>
        <w:t>examinado</w:t>
      </w:r>
      <w:r>
        <w:rPr>
          <w:spacing w:val="-12"/>
          <w:sz w:val="18"/>
        </w:rPr>
        <w:t> </w:t>
      </w:r>
      <w:r>
        <w:rPr>
          <w:sz w:val="18"/>
        </w:rPr>
        <w:t>solo</w:t>
      </w:r>
      <w:r>
        <w:rPr>
          <w:spacing w:val="-13"/>
          <w:sz w:val="18"/>
        </w:rPr>
        <w:t> </w:t>
      </w:r>
      <w:r>
        <w:rPr>
          <w:sz w:val="18"/>
        </w:rPr>
        <w:t>aquellas</w:t>
      </w:r>
      <w:r>
        <w:rPr>
          <w:spacing w:val="-12"/>
          <w:sz w:val="18"/>
        </w:rPr>
        <w:t> </w:t>
      </w:r>
      <w:r>
        <w:rPr>
          <w:sz w:val="18"/>
        </w:rPr>
        <w:t>actuaciones</w:t>
      </w:r>
      <w:r>
        <w:rPr>
          <w:spacing w:val="-13"/>
          <w:sz w:val="18"/>
        </w:rPr>
        <w:t> </w:t>
      </w:r>
      <w:r>
        <w:rPr>
          <w:sz w:val="18"/>
        </w:rPr>
        <w:t>de</w:t>
      </w:r>
      <w:r>
        <w:rPr>
          <w:spacing w:val="-12"/>
          <w:sz w:val="18"/>
        </w:rPr>
        <w:t> </w:t>
      </w:r>
      <w:r>
        <w:rPr>
          <w:sz w:val="18"/>
        </w:rPr>
        <w:t>digitalización</w:t>
      </w:r>
      <w:r>
        <w:rPr>
          <w:spacing w:val="-13"/>
          <w:sz w:val="18"/>
        </w:rPr>
        <w:t> </w:t>
      </w:r>
      <w:r>
        <w:rPr>
          <w:sz w:val="18"/>
        </w:rPr>
        <w:t>dirigidas</w:t>
      </w:r>
      <w:r>
        <w:rPr>
          <w:spacing w:val="-12"/>
          <w:sz w:val="18"/>
        </w:rPr>
        <w:t> </w:t>
      </w:r>
      <w:r>
        <w:rPr>
          <w:sz w:val="18"/>
        </w:rPr>
        <w:t>exclusivamente</w:t>
      </w:r>
      <w:r>
        <w:rPr>
          <w:spacing w:val="-13"/>
          <w:sz w:val="18"/>
        </w:rPr>
        <w:t> </w:t>
      </w:r>
      <w:r>
        <w:rPr>
          <w:sz w:val="18"/>
        </w:rPr>
        <w:t>a</w:t>
      </w:r>
      <w:r>
        <w:rPr>
          <w:spacing w:val="-12"/>
          <w:sz w:val="18"/>
        </w:rPr>
        <w:t> </w:t>
      </w:r>
      <w:r>
        <w:rPr>
          <w:sz w:val="18"/>
        </w:rPr>
        <w:t>lograr</w:t>
      </w:r>
      <w:r>
        <w:rPr>
          <w:spacing w:val="-13"/>
          <w:sz w:val="18"/>
        </w:rPr>
        <w:t> </w:t>
      </w:r>
      <w:r>
        <w:rPr>
          <w:sz w:val="18"/>
        </w:rPr>
        <w:t>una</w:t>
      </w:r>
      <w:r>
        <w:rPr>
          <w:spacing w:val="-12"/>
          <w:sz w:val="18"/>
        </w:rPr>
        <w:t> </w:t>
      </w:r>
      <w:r>
        <w:rPr>
          <w:sz w:val="18"/>
        </w:rPr>
        <w:t>movilidad</w:t>
      </w:r>
      <w:r>
        <w:rPr>
          <w:spacing w:val="-13"/>
          <w:sz w:val="18"/>
        </w:rPr>
        <w:t> </w:t>
      </w:r>
      <w:r>
        <w:rPr>
          <w:sz w:val="18"/>
        </w:rPr>
        <w:t>sostenible en</w:t>
      </w:r>
      <w:r>
        <w:rPr>
          <w:spacing w:val="-4"/>
          <w:sz w:val="18"/>
        </w:rPr>
        <w:t> </w:t>
      </w:r>
      <w:r>
        <w:rPr>
          <w:sz w:val="18"/>
        </w:rPr>
        <w:t>el</w:t>
      </w:r>
      <w:r>
        <w:rPr>
          <w:spacing w:val="-4"/>
          <w:sz w:val="18"/>
        </w:rPr>
        <w:t> </w:t>
      </w:r>
      <w:r>
        <w:rPr>
          <w:sz w:val="18"/>
        </w:rPr>
        <w:t>transporte</w:t>
      </w:r>
      <w:r>
        <w:rPr>
          <w:spacing w:val="-6"/>
          <w:sz w:val="18"/>
        </w:rPr>
        <w:t> </w:t>
      </w:r>
      <w:r>
        <w:rPr>
          <w:sz w:val="18"/>
        </w:rPr>
        <w:t>público</w:t>
      </w:r>
      <w:r>
        <w:rPr>
          <w:spacing w:val="-6"/>
          <w:sz w:val="18"/>
        </w:rPr>
        <w:t> </w:t>
      </w:r>
      <w:r>
        <w:rPr>
          <w:sz w:val="18"/>
        </w:rPr>
        <w:t>colectivo</w:t>
      </w:r>
      <w:r>
        <w:rPr>
          <w:spacing w:val="-6"/>
          <w:sz w:val="18"/>
        </w:rPr>
        <w:t> </w:t>
      </w:r>
      <w:r>
        <w:rPr>
          <w:sz w:val="18"/>
        </w:rPr>
        <w:t>urbano,</w:t>
      </w:r>
      <w:r>
        <w:rPr>
          <w:spacing w:val="-7"/>
          <w:sz w:val="18"/>
        </w:rPr>
        <w:t> </w:t>
      </w:r>
      <w:r>
        <w:rPr>
          <w:sz w:val="18"/>
        </w:rPr>
        <w:t>excluyéndose</w:t>
      </w:r>
      <w:r>
        <w:rPr>
          <w:spacing w:val="-6"/>
          <w:sz w:val="18"/>
        </w:rPr>
        <w:t> </w:t>
      </w:r>
      <w:r>
        <w:rPr>
          <w:sz w:val="18"/>
        </w:rPr>
        <w:t>otras</w:t>
      </w:r>
      <w:r>
        <w:rPr>
          <w:spacing w:val="-3"/>
          <w:sz w:val="18"/>
        </w:rPr>
        <w:t> </w:t>
      </w:r>
      <w:r>
        <w:rPr>
          <w:sz w:val="18"/>
        </w:rPr>
        <w:t>que,</w:t>
      </w:r>
      <w:r>
        <w:rPr>
          <w:spacing w:val="-4"/>
          <w:sz w:val="18"/>
        </w:rPr>
        <w:t> </w:t>
      </w:r>
      <w:r>
        <w:rPr>
          <w:sz w:val="18"/>
        </w:rPr>
        <w:t>aunque</w:t>
      </w:r>
      <w:r>
        <w:rPr>
          <w:spacing w:val="-4"/>
          <w:sz w:val="18"/>
        </w:rPr>
        <w:t> </w:t>
      </w:r>
      <w:r>
        <w:rPr>
          <w:sz w:val="18"/>
        </w:rPr>
        <w:t>también</w:t>
      </w:r>
      <w:r>
        <w:rPr>
          <w:spacing w:val="-6"/>
          <w:sz w:val="18"/>
        </w:rPr>
        <w:t> </w:t>
      </w:r>
      <w:r>
        <w:rPr>
          <w:sz w:val="18"/>
        </w:rPr>
        <w:t>comprenden</w:t>
      </w:r>
      <w:r>
        <w:rPr>
          <w:spacing w:val="-6"/>
          <w:sz w:val="18"/>
        </w:rPr>
        <w:t> </w:t>
      </w:r>
      <w:r>
        <w:rPr>
          <w:sz w:val="18"/>
        </w:rPr>
        <w:t>la</w:t>
      </w:r>
      <w:r>
        <w:rPr>
          <w:spacing w:val="-6"/>
          <w:sz w:val="18"/>
        </w:rPr>
        <w:t> </w:t>
      </w:r>
      <w:r>
        <w:rPr>
          <w:sz w:val="18"/>
        </w:rPr>
        <w:t>digitalización</w:t>
      </w:r>
      <w:r>
        <w:rPr>
          <w:spacing w:val="-6"/>
          <w:sz w:val="18"/>
        </w:rPr>
        <w:t> </w:t>
      </w:r>
      <w:r>
        <w:rPr>
          <w:sz w:val="18"/>
        </w:rPr>
        <w:t>no</w:t>
      </w:r>
      <w:r>
        <w:rPr>
          <w:spacing w:val="-6"/>
          <w:sz w:val="18"/>
        </w:rPr>
        <w:t> </w:t>
      </w:r>
      <w:r>
        <w:rPr>
          <w:sz w:val="18"/>
        </w:rPr>
        <w:t>están relacionadas directamente con el objeto de la fiscalización, como la de digitalización de las relaciones laborales o las enfocadas a la tecnificación de la infraestructura de gestión del tráfico para todo tipo de transportes.</w:t>
      </w:r>
    </w:p>
    <w:p>
      <w:pPr>
        <w:spacing w:after="0"/>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Heading4"/>
        <w:ind w:left="4338" w:right="1279" w:hanging="2747"/>
        <w:jc w:val="left"/>
      </w:pPr>
      <w:bookmarkStart w:name="_bookmark75" w:id="77"/>
      <w:bookmarkEnd w:id="77"/>
      <w:r>
        <w:rPr>
          <w:b w:val="0"/>
        </w:rPr>
      </w:r>
      <w:r>
        <w:rPr/>
        <w:t>CUADRO</w:t>
      </w:r>
      <w:r>
        <w:rPr>
          <w:spacing w:val="-2"/>
        </w:rPr>
        <w:t> </w:t>
      </w:r>
      <w:r>
        <w:rPr/>
        <w:t>11.</w:t>
      </w:r>
      <w:r>
        <w:rPr>
          <w:spacing w:val="-5"/>
        </w:rPr>
        <w:t> </w:t>
      </w:r>
      <w:r>
        <w:rPr/>
        <w:t>ACTUACIONES</w:t>
      </w:r>
      <w:r>
        <w:rPr>
          <w:spacing w:val="-4"/>
        </w:rPr>
        <w:t> </w:t>
      </w:r>
      <w:r>
        <w:rPr/>
        <w:t>DE</w:t>
      </w:r>
      <w:r>
        <w:rPr>
          <w:spacing w:val="-4"/>
        </w:rPr>
        <w:t> </w:t>
      </w:r>
      <w:r>
        <w:rPr/>
        <w:t>DIGITALIZACIÓN</w:t>
      </w:r>
      <w:r>
        <w:rPr>
          <w:spacing w:val="-7"/>
        </w:rPr>
        <w:t> </w:t>
      </w:r>
      <w:r>
        <w:rPr/>
        <w:t>LLEVADAS</w:t>
      </w:r>
      <w:r>
        <w:rPr>
          <w:spacing w:val="-6"/>
        </w:rPr>
        <w:t> </w:t>
      </w:r>
      <w:r>
        <w:rPr/>
        <w:t>A</w:t>
      </w:r>
      <w:r>
        <w:rPr>
          <w:spacing w:val="-2"/>
        </w:rPr>
        <w:t> </w:t>
      </w:r>
      <w:r>
        <w:rPr/>
        <w:t>CABO</w:t>
      </w:r>
      <w:r>
        <w:rPr>
          <w:spacing w:val="-2"/>
        </w:rPr>
        <w:t> </w:t>
      </w:r>
      <w:r>
        <w:rPr/>
        <w:t>POR</w:t>
      </w:r>
      <w:r>
        <w:rPr>
          <w:spacing w:val="-4"/>
        </w:rPr>
        <w:t> </w:t>
      </w:r>
      <w:r>
        <w:rPr/>
        <w:t>LAS ENTIDADES FISCALIZADAS</w:t>
      </w:r>
    </w:p>
    <w:p>
      <w:pPr>
        <w:pStyle w:val="BodyText"/>
        <w:spacing w:before="8"/>
        <w:rPr>
          <w:b/>
          <w:sz w:val="18"/>
        </w:rPr>
      </w:pPr>
      <w:r>
        <w:rPr>
          <w:b/>
          <w:sz w:val="18"/>
        </w:rPr>
        <mc:AlternateContent>
          <mc:Choice Requires="wps">
            <w:drawing>
              <wp:anchor distT="0" distB="0" distL="0" distR="0" allowOverlap="1" layoutInCell="1" locked="0" behindDoc="1" simplePos="0" relativeHeight="487612416">
                <wp:simplePos x="0" y="0"/>
                <wp:positionH relativeFrom="page">
                  <wp:posOffset>632459</wp:posOffset>
                </wp:positionH>
                <wp:positionV relativeFrom="paragraph">
                  <wp:posOffset>151824</wp:posOffset>
                </wp:positionV>
                <wp:extent cx="6297295" cy="474345"/>
                <wp:effectExtent l="0" t="0" r="0" b="0"/>
                <wp:wrapTopAndBottom/>
                <wp:docPr id="164" name="Group 164"/>
                <wp:cNvGraphicFramePr>
                  <a:graphicFrameLocks/>
                </wp:cNvGraphicFramePr>
                <a:graphic>
                  <a:graphicData uri="http://schemas.microsoft.com/office/word/2010/wordprocessingGroup">
                    <wpg:wgp>
                      <wpg:cNvPr id="164" name="Group 164"/>
                      <wpg:cNvGrpSpPr/>
                      <wpg:grpSpPr>
                        <a:xfrm>
                          <a:off x="0" y="0"/>
                          <a:ext cx="6297295" cy="474345"/>
                          <a:chExt cx="6297295" cy="474345"/>
                        </a:xfrm>
                      </wpg:grpSpPr>
                      <wps:wsp>
                        <wps:cNvPr id="165" name="Graphic 165"/>
                        <wps:cNvSpPr/>
                        <wps:spPr>
                          <a:xfrm>
                            <a:off x="0" y="1038"/>
                            <a:ext cx="6297295" cy="472440"/>
                          </a:xfrm>
                          <a:custGeom>
                            <a:avLst/>
                            <a:gdLst/>
                            <a:ahLst/>
                            <a:cxnLst/>
                            <a:rect l="l" t="t" r="r" b="b"/>
                            <a:pathLst>
                              <a:path w="6297295" h="472440">
                                <a:moveTo>
                                  <a:pt x="631228" y="0"/>
                                </a:moveTo>
                                <a:lnTo>
                                  <a:pt x="0" y="0"/>
                                </a:lnTo>
                                <a:lnTo>
                                  <a:pt x="0" y="472440"/>
                                </a:lnTo>
                                <a:lnTo>
                                  <a:pt x="631228" y="472440"/>
                                </a:lnTo>
                                <a:lnTo>
                                  <a:pt x="631228" y="0"/>
                                </a:lnTo>
                                <a:close/>
                              </a:path>
                              <a:path w="6297295" h="472440">
                                <a:moveTo>
                                  <a:pt x="2251506" y="0"/>
                                </a:moveTo>
                                <a:lnTo>
                                  <a:pt x="631240" y="0"/>
                                </a:lnTo>
                                <a:lnTo>
                                  <a:pt x="631240" y="472440"/>
                                </a:lnTo>
                                <a:lnTo>
                                  <a:pt x="2251506" y="472440"/>
                                </a:lnTo>
                                <a:lnTo>
                                  <a:pt x="2251506" y="0"/>
                                </a:lnTo>
                                <a:close/>
                              </a:path>
                              <a:path w="6297295" h="472440">
                                <a:moveTo>
                                  <a:pt x="4591482" y="239268"/>
                                </a:moveTo>
                                <a:lnTo>
                                  <a:pt x="3961765" y="239268"/>
                                </a:lnTo>
                                <a:lnTo>
                                  <a:pt x="3289731" y="239268"/>
                                </a:lnTo>
                                <a:lnTo>
                                  <a:pt x="3289731" y="233172"/>
                                </a:lnTo>
                                <a:lnTo>
                                  <a:pt x="4591431" y="233172"/>
                                </a:lnTo>
                                <a:lnTo>
                                  <a:pt x="4591431" y="0"/>
                                </a:lnTo>
                                <a:lnTo>
                                  <a:pt x="3289731" y="0"/>
                                </a:lnTo>
                                <a:lnTo>
                                  <a:pt x="2606675" y="0"/>
                                </a:lnTo>
                                <a:lnTo>
                                  <a:pt x="2251583" y="0"/>
                                </a:lnTo>
                                <a:lnTo>
                                  <a:pt x="2251583" y="472440"/>
                                </a:lnTo>
                                <a:lnTo>
                                  <a:pt x="4591482" y="472440"/>
                                </a:lnTo>
                                <a:lnTo>
                                  <a:pt x="4591482" y="239268"/>
                                </a:lnTo>
                                <a:close/>
                              </a:path>
                              <a:path w="6297295" h="472440">
                                <a:moveTo>
                                  <a:pt x="6297168" y="0"/>
                                </a:moveTo>
                                <a:lnTo>
                                  <a:pt x="5686095" y="0"/>
                                </a:lnTo>
                                <a:lnTo>
                                  <a:pt x="5686044" y="233172"/>
                                </a:lnTo>
                                <a:lnTo>
                                  <a:pt x="5686044" y="239268"/>
                                </a:lnTo>
                                <a:lnTo>
                                  <a:pt x="5438902" y="239268"/>
                                </a:lnTo>
                                <a:lnTo>
                                  <a:pt x="5190490" y="239268"/>
                                </a:lnTo>
                                <a:lnTo>
                                  <a:pt x="4943602" y="239268"/>
                                </a:lnTo>
                                <a:lnTo>
                                  <a:pt x="4695190" y="239268"/>
                                </a:lnTo>
                                <a:lnTo>
                                  <a:pt x="4695190" y="233172"/>
                                </a:lnTo>
                                <a:lnTo>
                                  <a:pt x="5686044" y="233172"/>
                                </a:lnTo>
                                <a:lnTo>
                                  <a:pt x="5686044" y="0"/>
                                </a:lnTo>
                                <a:lnTo>
                                  <a:pt x="4695190" y="0"/>
                                </a:lnTo>
                                <a:lnTo>
                                  <a:pt x="4650994" y="0"/>
                                </a:lnTo>
                                <a:lnTo>
                                  <a:pt x="4635754" y="0"/>
                                </a:lnTo>
                                <a:lnTo>
                                  <a:pt x="4591558" y="0"/>
                                </a:lnTo>
                                <a:lnTo>
                                  <a:pt x="4591558" y="233172"/>
                                </a:lnTo>
                                <a:lnTo>
                                  <a:pt x="4591558" y="239268"/>
                                </a:lnTo>
                                <a:lnTo>
                                  <a:pt x="4591558" y="472440"/>
                                </a:lnTo>
                                <a:lnTo>
                                  <a:pt x="4695190" y="472440"/>
                                </a:lnTo>
                                <a:lnTo>
                                  <a:pt x="6297168" y="472440"/>
                                </a:lnTo>
                                <a:lnTo>
                                  <a:pt x="6297168" y="0"/>
                                </a:lnTo>
                                <a:close/>
                              </a:path>
                            </a:pathLst>
                          </a:custGeom>
                          <a:solidFill>
                            <a:srgbClr val="002D5D"/>
                          </a:solidFill>
                        </wps:spPr>
                        <wps:bodyPr wrap="square" lIns="0" tIns="0" rIns="0" bIns="0" rtlCol="0">
                          <a:prstTxWarp prst="textNoShape">
                            <a:avLst/>
                          </a:prstTxWarp>
                          <a:noAutofit/>
                        </wps:bodyPr>
                      </wps:wsp>
                      <wps:wsp>
                        <wps:cNvPr id="166" name="Textbox 166"/>
                        <wps:cNvSpPr txBox="1"/>
                        <wps:spPr>
                          <a:xfrm>
                            <a:off x="186232" y="178307"/>
                            <a:ext cx="269240" cy="117475"/>
                          </a:xfrm>
                          <a:prstGeom prst="rect">
                            <a:avLst/>
                          </a:prstGeom>
                        </wps:spPr>
                        <wps:txbx>
                          <w:txbxContent>
                            <w:p>
                              <w:pPr>
                                <w:spacing w:before="0"/>
                                <w:ind w:left="0" w:right="0" w:firstLine="0"/>
                                <w:jc w:val="left"/>
                                <w:rPr>
                                  <w:rFonts w:ascii="Arial Narrow"/>
                                  <w:b/>
                                  <w:sz w:val="16"/>
                                </w:rPr>
                              </w:pPr>
                              <w:r>
                                <w:rPr>
                                  <w:rFonts w:ascii="Arial Narrow"/>
                                  <w:b/>
                                  <w:color w:val="FFFFFF"/>
                                  <w:spacing w:val="-2"/>
                                  <w:sz w:val="16"/>
                                </w:rPr>
                                <w:t>AYTO.</w:t>
                              </w:r>
                            </w:p>
                          </w:txbxContent>
                        </wps:txbx>
                        <wps:bodyPr wrap="square" lIns="0" tIns="0" rIns="0" bIns="0" rtlCol="0">
                          <a:noAutofit/>
                        </wps:bodyPr>
                      </wps:wsp>
                      <wps:wsp>
                        <wps:cNvPr id="167" name="Textbox 167"/>
                        <wps:cNvSpPr txBox="1"/>
                        <wps:spPr>
                          <a:xfrm>
                            <a:off x="782066" y="178307"/>
                            <a:ext cx="119761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2"/>
                                  <w:sz w:val="16"/>
                                </w:rPr>
                                <w:t>DENOMINACIÓN</w:t>
                              </w:r>
                              <w:r>
                                <w:rPr>
                                  <w:rFonts w:ascii="Arial Narrow" w:hAnsi="Arial Narrow"/>
                                  <w:b/>
                                  <w:color w:val="FFFFFF"/>
                                  <w:spacing w:val="14"/>
                                  <w:sz w:val="16"/>
                                </w:rPr>
                                <w:t> </w:t>
                              </w:r>
                              <w:r>
                                <w:rPr>
                                  <w:rFonts w:ascii="Arial Narrow" w:hAnsi="Arial Narrow"/>
                                  <w:b/>
                                  <w:color w:val="FFFFFF"/>
                                  <w:spacing w:val="-2"/>
                                  <w:sz w:val="16"/>
                                </w:rPr>
                                <w:t>ACTUACIÓN</w:t>
                              </w:r>
                            </w:p>
                          </w:txbxContent>
                        </wps:txbx>
                        <wps:bodyPr wrap="square" lIns="0" tIns="0" rIns="0" bIns="0" rtlCol="0">
                          <a:noAutofit/>
                        </wps:bodyPr>
                      </wps:wsp>
                      <wps:wsp>
                        <wps:cNvPr id="168" name="Textbox 168"/>
                        <wps:cNvSpPr txBox="1"/>
                        <wps:spPr>
                          <a:xfrm>
                            <a:off x="2304923" y="178307"/>
                            <a:ext cx="910590" cy="117475"/>
                          </a:xfrm>
                          <a:prstGeom prst="rect">
                            <a:avLst/>
                          </a:prstGeom>
                        </wps:spPr>
                        <wps:txbx>
                          <w:txbxContent>
                            <w:p>
                              <w:pPr>
                                <w:tabs>
                                  <w:tab w:pos="616" w:val="left" w:leader="none"/>
                                </w:tabs>
                                <w:spacing w:before="0"/>
                                <w:ind w:left="0" w:right="0" w:firstLine="0"/>
                                <w:jc w:val="left"/>
                                <w:rPr>
                                  <w:rFonts w:ascii="Arial Narrow" w:hAnsi="Arial Narrow"/>
                                  <w:b/>
                                  <w:sz w:val="16"/>
                                </w:rPr>
                              </w:pPr>
                              <w:r>
                                <w:rPr>
                                  <w:rFonts w:ascii="Arial Narrow" w:hAnsi="Arial Narrow"/>
                                  <w:b/>
                                  <w:color w:val="FFFFFF"/>
                                  <w:sz w:val="16"/>
                                </w:rPr>
                                <w:t>Nº</w:t>
                              </w:r>
                              <w:r>
                                <w:rPr>
                                  <w:rFonts w:ascii="Arial Narrow" w:hAnsi="Arial Narrow"/>
                                  <w:b/>
                                  <w:color w:val="FFFFFF"/>
                                  <w:spacing w:val="-1"/>
                                  <w:sz w:val="16"/>
                                </w:rPr>
                                <w:t> </w:t>
                              </w:r>
                              <w:r>
                                <w:rPr>
                                  <w:rFonts w:ascii="Arial Narrow" w:hAnsi="Arial Narrow"/>
                                  <w:b/>
                                  <w:color w:val="FFFFFF"/>
                                  <w:spacing w:val="-5"/>
                                  <w:sz w:val="16"/>
                                </w:rPr>
                                <w:t>C</w:t>
                              </w:r>
                              <w:r>
                                <w:rPr>
                                  <w:rFonts w:ascii="Arial Narrow" w:hAnsi="Arial Narrow"/>
                                  <w:b/>
                                  <w:color w:val="FFFFFF"/>
                                  <w:spacing w:val="-5"/>
                                  <w:position w:val="4"/>
                                  <w:sz w:val="10"/>
                                </w:rPr>
                                <w:t>OS</w:t>
                              </w:r>
                              <w:r>
                                <w:rPr>
                                  <w:rFonts w:ascii="Arial Narrow" w:hAnsi="Arial Narrow"/>
                                  <w:b/>
                                  <w:color w:val="FFFFFF"/>
                                  <w:position w:val="4"/>
                                  <w:sz w:val="10"/>
                                </w:rPr>
                                <w:tab/>
                              </w:r>
                              <w:r>
                                <w:rPr>
                                  <w:rFonts w:ascii="Arial Narrow" w:hAnsi="Arial Narrow"/>
                                  <w:b/>
                                  <w:color w:val="FFFFFF"/>
                                  <w:sz w:val="16"/>
                                </w:rPr>
                                <w:t>IMPORTE</w:t>
                              </w:r>
                              <w:r>
                                <w:rPr>
                                  <w:rFonts w:ascii="Arial Narrow" w:hAnsi="Arial Narrow"/>
                                  <w:b/>
                                  <w:color w:val="FFFFFF"/>
                                  <w:spacing w:val="-5"/>
                                  <w:sz w:val="16"/>
                                </w:rPr>
                                <w:t> (€)</w:t>
                              </w:r>
                            </w:p>
                          </w:txbxContent>
                        </wps:txbx>
                        <wps:bodyPr wrap="square" lIns="0" tIns="0" rIns="0" bIns="0" rtlCol="0">
                          <a:noAutofit/>
                        </wps:bodyPr>
                      </wps:wsp>
                      <wps:wsp>
                        <wps:cNvPr id="169" name="Textbox 169"/>
                        <wps:cNvSpPr txBox="1"/>
                        <wps:spPr>
                          <a:xfrm>
                            <a:off x="3347592" y="57911"/>
                            <a:ext cx="1202055" cy="299085"/>
                          </a:xfrm>
                          <a:prstGeom prst="rect">
                            <a:avLst/>
                          </a:prstGeom>
                        </wps:spPr>
                        <wps:txbx>
                          <w:txbxContent>
                            <w:p>
                              <w:pPr>
                                <w:spacing w:before="0"/>
                                <w:ind w:left="0" w:right="22" w:firstLine="0"/>
                                <w:jc w:val="center"/>
                                <w:rPr>
                                  <w:rFonts w:ascii="Arial Narrow" w:hAnsi="Arial Narrow"/>
                                  <w:b/>
                                  <w:sz w:val="16"/>
                                </w:rPr>
                              </w:pPr>
                              <w:r>
                                <w:rPr>
                                  <w:rFonts w:ascii="Arial Narrow" w:hAnsi="Arial Narrow"/>
                                  <w:b/>
                                  <w:color w:val="FFFFFF"/>
                                  <w:spacing w:val="-2"/>
                                  <w:sz w:val="16"/>
                                </w:rPr>
                                <w:t>FINANCIACIÓN</w:t>
                              </w:r>
                            </w:p>
                            <w:p>
                              <w:pPr>
                                <w:spacing w:before="102"/>
                                <w:ind w:left="0" w:right="18" w:firstLine="0"/>
                                <w:jc w:val="center"/>
                                <w:rPr>
                                  <w:rFonts w:ascii="Arial Narrow"/>
                                  <w:b/>
                                  <w:sz w:val="16"/>
                                </w:rPr>
                              </w:pPr>
                              <w:r>
                                <w:rPr>
                                  <w:rFonts w:ascii="Arial Narrow"/>
                                  <w:b/>
                                  <w:color w:val="FFFFFF"/>
                                  <w:sz w:val="16"/>
                                </w:rPr>
                                <w:t>Ayuntamiento</w:t>
                              </w:r>
                              <w:r>
                                <w:rPr>
                                  <w:rFonts w:ascii="Arial Narrow"/>
                                  <w:b/>
                                  <w:color w:val="FFFFFF"/>
                                  <w:spacing w:val="44"/>
                                  <w:sz w:val="16"/>
                                </w:rPr>
                                <w:t>  </w:t>
                              </w:r>
                              <w:r>
                                <w:rPr>
                                  <w:rFonts w:ascii="Arial Narrow"/>
                                  <w:b/>
                                  <w:color w:val="FFFFFF"/>
                                  <w:sz w:val="16"/>
                                </w:rPr>
                                <w:t>PRTR</w:t>
                              </w:r>
                              <w:r>
                                <w:rPr>
                                  <w:rFonts w:ascii="Arial Narrow"/>
                                  <w:b/>
                                  <w:color w:val="FFFFFF"/>
                                  <w:spacing w:val="-4"/>
                                  <w:sz w:val="16"/>
                                </w:rPr>
                                <w:t> </w:t>
                              </w:r>
                              <w:r>
                                <w:rPr>
                                  <w:rFonts w:ascii="Arial Narrow"/>
                                  <w:b/>
                                  <w:color w:val="FFFFFF"/>
                                  <w:sz w:val="16"/>
                                </w:rPr>
                                <w:t>y</w:t>
                              </w:r>
                              <w:r>
                                <w:rPr>
                                  <w:rFonts w:ascii="Arial Narrow"/>
                                  <w:b/>
                                  <w:color w:val="FFFFFF"/>
                                  <w:spacing w:val="-2"/>
                                  <w:sz w:val="16"/>
                                </w:rPr>
                                <w:t> </w:t>
                              </w:r>
                              <w:r>
                                <w:rPr>
                                  <w:rFonts w:ascii="Arial Narrow"/>
                                  <w:b/>
                                  <w:color w:val="FFFFFF"/>
                                  <w:spacing w:val="-4"/>
                                  <w:sz w:val="16"/>
                                </w:rPr>
                                <w:t>otras</w:t>
                              </w:r>
                            </w:p>
                          </w:txbxContent>
                        </wps:txbx>
                        <wps:bodyPr wrap="square" lIns="0" tIns="0" rIns="0" bIns="0" rtlCol="0">
                          <a:noAutofit/>
                        </wps:bodyPr>
                      </wps:wsp>
                      <wps:wsp>
                        <wps:cNvPr id="170" name="Textbox 170"/>
                        <wps:cNvSpPr txBox="1"/>
                        <wps:spPr>
                          <a:xfrm>
                            <a:off x="4782058" y="0"/>
                            <a:ext cx="827405" cy="234950"/>
                          </a:xfrm>
                          <a:prstGeom prst="rect">
                            <a:avLst/>
                          </a:prstGeom>
                        </wps:spPr>
                        <wps:txbx>
                          <w:txbxContent>
                            <w:p>
                              <w:pPr>
                                <w:spacing w:before="0"/>
                                <w:ind w:left="259" w:right="0" w:hanging="260"/>
                                <w:jc w:val="left"/>
                                <w:rPr>
                                  <w:rFonts w:ascii="Arial Narrow" w:hAnsi="Arial Narrow"/>
                                  <w:b/>
                                  <w:sz w:val="16"/>
                                </w:rPr>
                              </w:pPr>
                              <w:r>
                                <w:rPr>
                                  <w:rFonts w:ascii="Arial Narrow" w:hAnsi="Arial Narrow"/>
                                  <w:b/>
                                  <w:color w:val="FFFFFF"/>
                                  <w:sz w:val="16"/>
                                </w:rPr>
                                <w:t>INCIDENCIAS</w:t>
                              </w:r>
                              <w:r>
                                <w:rPr>
                                  <w:rFonts w:ascii="Arial Narrow" w:hAnsi="Arial Narrow"/>
                                  <w:b/>
                                  <w:color w:val="FFFFFF"/>
                                  <w:spacing w:val="-10"/>
                                  <w:sz w:val="16"/>
                                </w:rPr>
                                <w:t> </w:t>
                              </w:r>
                              <w:r>
                                <w:rPr>
                                  <w:rFonts w:ascii="Arial Narrow" w:hAnsi="Arial Narrow"/>
                                  <w:b/>
                                  <w:color w:val="FFFFFF"/>
                                  <w:sz w:val="16"/>
                                </w:rPr>
                                <w:t>EN</w:t>
                              </w:r>
                              <w:r>
                                <w:rPr>
                                  <w:rFonts w:ascii="Arial Narrow" w:hAnsi="Arial Narrow"/>
                                  <w:b/>
                                  <w:color w:val="FFFFFF"/>
                                  <w:spacing w:val="-9"/>
                                  <w:sz w:val="16"/>
                                </w:rPr>
                                <w:t> </w:t>
                              </w:r>
                              <w:r>
                                <w:rPr>
                                  <w:rFonts w:ascii="Arial Narrow" w:hAnsi="Arial Narrow"/>
                                  <w:b/>
                                  <w:color w:val="FFFFFF"/>
                                  <w:sz w:val="16"/>
                                </w:rPr>
                                <w:t>LA</w:t>
                              </w:r>
                              <w:r>
                                <w:rPr>
                                  <w:rFonts w:ascii="Arial Narrow" w:hAnsi="Arial Narrow"/>
                                  <w:b/>
                                  <w:color w:val="FFFFFF"/>
                                  <w:spacing w:val="40"/>
                                  <w:sz w:val="16"/>
                                </w:rPr>
                                <w:t> </w:t>
                              </w:r>
                              <w:r>
                                <w:rPr>
                                  <w:rFonts w:ascii="Arial Narrow" w:hAnsi="Arial Narrow"/>
                                  <w:b/>
                                  <w:color w:val="FFFFFF"/>
                                  <w:spacing w:val="-2"/>
                                  <w:sz w:val="16"/>
                                </w:rPr>
                                <w:t>EJECUCIÓN</w:t>
                              </w:r>
                            </w:p>
                          </w:txbxContent>
                        </wps:txbx>
                        <wps:bodyPr wrap="square" lIns="0" tIns="0" rIns="0" bIns="0" rtlCol="0">
                          <a:noAutofit/>
                        </wps:bodyPr>
                      </wps:wsp>
                      <wps:wsp>
                        <wps:cNvPr id="171" name="Textbox 171"/>
                        <wps:cNvSpPr txBox="1"/>
                        <wps:spPr>
                          <a:xfrm>
                            <a:off x="5759196" y="60960"/>
                            <a:ext cx="476884" cy="117475"/>
                          </a:xfrm>
                          <a:prstGeom prst="rect">
                            <a:avLst/>
                          </a:prstGeom>
                        </wps:spPr>
                        <wps:txbx>
                          <w:txbxContent>
                            <w:p>
                              <w:pPr>
                                <w:spacing w:before="0"/>
                                <w:ind w:left="0" w:right="0" w:firstLine="0"/>
                                <w:jc w:val="left"/>
                                <w:rPr>
                                  <w:rFonts w:ascii="Arial Narrow"/>
                                  <w:b/>
                                  <w:sz w:val="16"/>
                                </w:rPr>
                              </w:pPr>
                              <w:r>
                                <w:rPr>
                                  <w:rFonts w:ascii="Arial Narrow"/>
                                  <w:b/>
                                  <w:color w:val="FFFFFF"/>
                                  <w:spacing w:val="-2"/>
                                  <w:sz w:val="16"/>
                                </w:rPr>
                                <w:t>ESTADODE</w:t>
                              </w:r>
                            </w:p>
                          </w:txbxContent>
                        </wps:txbx>
                        <wps:bodyPr wrap="square" lIns="0" tIns="0" rIns="0" bIns="0" rtlCol="0">
                          <a:noAutofit/>
                        </wps:bodyPr>
                      </wps:wsp>
                      <wps:wsp>
                        <wps:cNvPr id="172" name="Textbox 172"/>
                        <wps:cNvSpPr txBox="1"/>
                        <wps:spPr>
                          <a:xfrm>
                            <a:off x="5748528" y="178307"/>
                            <a:ext cx="499745"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2"/>
                                  <w:sz w:val="16"/>
                                </w:rPr>
                                <w:t>EJECUCIÓN</w:t>
                              </w:r>
                            </w:p>
                          </w:txbxContent>
                        </wps:txbx>
                        <wps:bodyPr wrap="square" lIns="0" tIns="0" rIns="0" bIns="0" rtlCol="0">
                          <a:noAutofit/>
                        </wps:bodyPr>
                      </wps:wsp>
                      <wps:wsp>
                        <wps:cNvPr id="173" name="Textbox 173"/>
                        <wps:cNvSpPr txBox="1"/>
                        <wps:spPr>
                          <a:xfrm>
                            <a:off x="3574669" y="356615"/>
                            <a:ext cx="11557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wps:txbx>
                        <wps:bodyPr wrap="square" lIns="0" tIns="0" rIns="0" bIns="0" rtlCol="0">
                          <a:noAutofit/>
                        </wps:bodyPr>
                      </wps:wsp>
                      <wps:wsp>
                        <wps:cNvPr id="174" name="Textbox 174"/>
                        <wps:cNvSpPr txBox="1"/>
                        <wps:spPr>
                          <a:xfrm>
                            <a:off x="4225416" y="356615"/>
                            <a:ext cx="11557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wps:txbx>
                        <wps:bodyPr wrap="square" lIns="0" tIns="0" rIns="0" bIns="0" rtlCol="0">
                          <a:noAutofit/>
                        </wps:bodyPr>
                      </wps:wsp>
                      <wps:wsp>
                        <wps:cNvPr id="175" name="Textbox 175"/>
                        <wps:cNvSpPr txBox="1"/>
                        <wps:spPr>
                          <a:xfrm>
                            <a:off x="4791202" y="294131"/>
                            <a:ext cx="1421130" cy="121920"/>
                          </a:xfrm>
                          <a:prstGeom prst="rect">
                            <a:avLst/>
                          </a:prstGeom>
                        </wps:spPr>
                        <wps:txbx>
                          <w:txbxContent>
                            <w:p>
                              <w:pPr>
                                <w:tabs>
                                  <w:tab w:pos="379" w:val="left" w:leader="none"/>
                                  <w:tab w:pos="779" w:val="left" w:leader="none"/>
                                  <w:tab w:pos="1168" w:val="left" w:leader="none"/>
                                  <w:tab w:pos="1562" w:val="left" w:leader="none"/>
                                </w:tabs>
                                <w:spacing w:line="191" w:lineRule="exact" w:before="0"/>
                                <w:ind w:left="0" w:right="0" w:firstLine="0"/>
                                <w:jc w:val="left"/>
                                <w:rPr>
                                  <w:rFonts w:ascii="Arial Narrow"/>
                                  <w:b/>
                                  <w:position w:val="1"/>
                                  <w:sz w:val="16"/>
                                </w:rPr>
                              </w:pPr>
                              <w:r>
                                <w:rPr>
                                  <w:rFonts w:ascii="Arial Narrow"/>
                                  <w:b/>
                                  <w:color w:val="FFFFFF"/>
                                  <w:spacing w:val="-10"/>
                                  <w:sz w:val="16"/>
                                </w:rPr>
                                <w:t>P</w:t>
                              </w:r>
                              <w:r>
                                <w:rPr>
                                  <w:rFonts w:ascii="Arial Narrow"/>
                                  <w:b/>
                                  <w:color w:val="FFFFFF"/>
                                  <w:sz w:val="16"/>
                                </w:rPr>
                                <w:tab/>
                              </w:r>
                              <w:r>
                                <w:rPr>
                                  <w:rFonts w:ascii="Arial Narrow"/>
                                  <w:b/>
                                  <w:color w:val="FFFFFF"/>
                                  <w:spacing w:val="-10"/>
                                  <w:sz w:val="16"/>
                                </w:rPr>
                                <w:t>M</w:t>
                              </w:r>
                              <w:r>
                                <w:rPr>
                                  <w:rFonts w:ascii="Arial Narrow"/>
                                  <w:b/>
                                  <w:color w:val="FFFFFF"/>
                                  <w:sz w:val="16"/>
                                </w:rPr>
                                <w:tab/>
                              </w:r>
                              <w:r>
                                <w:rPr>
                                  <w:rFonts w:ascii="Arial Narrow"/>
                                  <w:b/>
                                  <w:color w:val="FFFFFF"/>
                                  <w:spacing w:val="-10"/>
                                  <w:sz w:val="16"/>
                                </w:rPr>
                                <w:t>S</w:t>
                              </w:r>
                              <w:r>
                                <w:rPr>
                                  <w:rFonts w:ascii="Arial Narrow"/>
                                  <w:b/>
                                  <w:color w:val="FFFFFF"/>
                                  <w:sz w:val="16"/>
                                </w:rPr>
                                <w:tab/>
                              </w:r>
                              <w:r>
                                <w:rPr>
                                  <w:rFonts w:ascii="Arial Narrow"/>
                                  <w:b/>
                                  <w:color w:val="FFFFFF"/>
                                  <w:spacing w:val="-10"/>
                                  <w:sz w:val="16"/>
                                </w:rPr>
                                <w:t>R</w:t>
                              </w:r>
                              <w:r>
                                <w:rPr>
                                  <w:rFonts w:ascii="Arial Narrow"/>
                                  <w:b/>
                                  <w:color w:val="FFFFFF"/>
                                  <w:sz w:val="16"/>
                                </w:rPr>
                                <w:tab/>
                              </w:r>
                              <w:r>
                                <w:rPr>
                                  <w:rFonts w:ascii="Arial Narrow"/>
                                  <w:b/>
                                  <w:color w:val="FFFFFF"/>
                                  <w:position w:val="1"/>
                                  <w:sz w:val="16"/>
                                </w:rPr>
                                <w:t>A</w:t>
                              </w:r>
                              <w:r>
                                <w:rPr>
                                  <w:rFonts w:ascii="Arial Narrow"/>
                                  <w:b/>
                                  <w:color w:val="FFFFFF"/>
                                  <w:spacing w:val="-4"/>
                                  <w:position w:val="1"/>
                                  <w:sz w:val="16"/>
                                </w:rPr>
                                <w:t> </w:t>
                              </w:r>
                              <w:r>
                                <w:rPr>
                                  <w:rFonts w:ascii="Arial Narrow"/>
                                  <w:b/>
                                  <w:color w:val="FFFFFF"/>
                                  <w:position w:val="1"/>
                                  <w:sz w:val="16"/>
                                </w:rPr>
                                <w:t>31-12-</w:t>
                              </w:r>
                              <w:r>
                                <w:rPr>
                                  <w:rFonts w:ascii="Arial Narrow"/>
                                  <w:b/>
                                  <w:color w:val="FFFFFF"/>
                                  <w:spacing w:val="-5"/>
                                  <w:position w:val="1"/>
                                  <w:sz w:val="16"/>
                                </w:rPr>
                                <w:t>24</w:t>
                              </w:r>
                            </w:p>
                          </w:txbxContent>
                        </wps:txbx>
                        <wps:bodyPr wrap="square" lIns="0" tIns="0" rIns="0" bIns="0" rtlCol="0">
                          <a:noAutofit/>
                        </wps:bodyPr>
                      </wps:wsp>
                    </wpg:wgp>
                  </a:graphicData>
                </a:graphic>
              </wp:anchor>
            </w:drawing>
          </mc:Choice>
          <mc:Fallback>
            <w:pict>
              <v:group style="position:absolute;margin-left:49.799999pt;margin-top:11.954648pt;width:495.85pt;height:37.35pt;mso-position-horizontal-relative:page;mso-position-vertical-relative:paragraph;z-index:-15704064;mso-wrap-distance-left:0;mso-wrap-distance-right:0" id="docshapegroup146" coordorigin="996,239" coordsize="9917,747">
                <v:shape style="position:absolute;left:996;top:240;width:9917;height:744" id="docshape147" coordorigin="996,241" coordsize="9917,744" path="m1990,241l996,241,996,985,1990,985,1990,241xm4542,241l1990,241,1990,985,4542,985,4542,241xm8227,618l7235,618,6177,618,6177,608,8227,608,8227,241,6177,241,6177,241,5101,241,4542,241,4542,985,5101,985,6177,985,6177,985,7235,985,8227,985,8227,618xm10913,241l9950,241,9950,241,9950,608,9950,618,9561,618,9170,618,8781,618,8390,618,8390,608,9950,608,9950,241,8390,241,8320,241,8296,241,8227,241,8227,608,8227,618,8227,985,8390,985,8781,985,9170,985,9561,985,9950,985,9950,985,10913,985,10913,241xe" filled="true" fillcolor="#002d5d" stroked="false">
                  <v:path arrowok="t"/>
                  <v:fill type="solid"/>
                </v:shape>
                <v:shape style="position:absolute;left:1289;top:519;width:424;height:185" type="#_x0000_t202" id="docshape148" filled="false" stroked="false">
                  <v:textbox inset="0,0,0,0">
                    <w:txbxContent>
                      <w:p>
                        <w:pPr>
                          <w:spacing w:before="0"/>
                          <w:ind w:left="0" w:right="0" w:firstLine="0"/>
                          <w:jc w:val="left"/>
                          <w:rPr>
                            <w:rFonts w:ascii="Arial Narrow"/>
                            <w:b/>
                            <w:sz w:val="16"/>
                          </w:rPr>
                        </w:pPr>
                        <w:r>
                          <w:rPr>
                            <w:rFonts w:ascii="Arial Narrow"/>
                            <w:b/>
                            <w:color w:val="FFFFFF"/>
                            <w:spacing w:val="-2"/>
                            <w:sz w:val="16"/>
                          </w:rPr>
                          <w:t>AYTO.</w:t>
                        </w:r>
                      </w:p>
                    </w:txbxContent>
                  </v:textbox>
                  <w10:wrap type="none"/>
                </v:shape>
                <v:shape style="position:absolute;left:2227;top:519;width:1886;height:185" type="#_x0000_t202" id="docshape149"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2"/>
                            <w:sz w:val="16"/>
                          </w:rPr>
                          <w:t>DENOMINACIÓN</w:t>
                        </w:r>
                        <w:r>
                          <w:rPr>
                            <w:rFonts w:ascii="Arial Narrow" w:hAnsi="Arial Narrow"/>
                            <w:b/>
                            <w:color w:val="FFFFFF"/>
                            <w:spacing w:val="14"/>
                            <w:sz w:val="16"/>
                          </w:rPr>
                          <w:t> </w:t>
                        </w:r>
                        <w:r>
                          <w:rPr>
                            <w:rFonts w:ascii="Arial Narrow" w:hAnsi="Arial Narrow"/>
                            <w:b/>
                            <w:color w:val="FFFFFF"/>
                            <w:spacing w:val="-2"/>
                            <w:sz w:val="16"/>
                          </w:rPr>
                          <w:t>ACTUACIÓN</w:t>
                        </w:r>
                      </w:p>
                    </w:txbxContent>
                  </v:textbox>
                  <w10:wrap type="none"/>
                </v:shape>
                <v:shape style="position:absolute;left:4625;top:519;width:1434;height:185" type="#_x0000_t202" id="docshape150" filled="false" stroked="false">
                  <v:textbox inset="0,0,0,0">
                    <w:txbxContent>
                      <w:p>
                        <w:pPr>
                          <w:tabs>
                            <w:tab w:pos="616" w:val="left" w:leader="none"/>
                          </w:tabs>
                          <w:spacing w:before="0"/>
                          <w:ind w:left="0" w:right="0" w:firstLine="0"/>
                          <w:jc w:val="left"/>
                          <w:rPr>
                            <w:rFonts w:ascii="Arial Narrow" w:hAnsi="Arial Narrow"/>
                            <w:b/>
                            <w:sz w:val="16"/>
                          </w:rPr>
                        </w:pPr>
                        <w:r>
                          <w:rPr>
                            <w:rFonts w:ascii="Arial Narrow" w:hAnsi="Arial Narrow"/>
                            <w:b/>
                            <w:color w:val="FFFFFF"/>
                            <w:sz w:val="16"/>
                          </w:rPr>
                          <w:t>Nº</w:t>
                        </w:r>
                        <w:r>
                          <w:rPr>
                            <w:rFonts w:ascii="Arial Narrow" w:hAnsi="Arial Narrow"/>
                            <w:b/>
                            <w:color w:val="FFFFFF"/>
                            <w:spacing w:val="-1"/>
                            <w:sz w:val="16"/>
                          </w:rPr>
                          <w:t> </w:t>
                        </w:r>
                        <w:r>
                          <w:rPr>
                            <w:rFonts w:ascii="Arial Narrow" w:hAnsi="Arial Narrow"/>
                            <w:b/>
                            <w:color w:val="FFFFFF"/>
                            <w:spacing w:val="-5"/>
                            <w:sz w:val="16"/>
                          </w:rPr>
                          <w:t>C</w:t>
                        </w:r>
                        <w:r>
                          <w:rPr>
                            <w:rFonts w:ascii="Arial Narrow" w:hAnsi="Arial Narrow"/>
                            <w:b/>
                            <w:color w:val="FFFFFF"/>
                            <w:spacing w:val="-5"/>
                            <w:position w:val="4"/>
                            <w:sz w:val="10"/>
                          </w:rPr>
                          <w:t>OS</w:t>
                        </w:r>
                        <w:r>
                          <w:rPr>
                            <w:rFonts w:ascii="Arial Narrow" w:hAnsi="Arial Narrow"/>
                            <w:b/>
                            <w:color w:val="FFFFFF"/>
                            <w:position w:val="4"/>
                            <w:sz w:val="10"/>
                          </w:rPr>
                          <w:tab/>
                        </w:r>
                        <w:r>
                          <w:rPr>
                            <w:rFonts w:ascii="Arial Narrow" w:hAnsi="Arial Narrow"/>
                            <w:b/>
                            <w:color w:val="FFFFFF"/>
                            <w:sz w:val="16"/>
                          </w:rPr>
                          <w:t>IMPORTE</w:t>
                        </w:r>
                        <w:r>
                          <w:rPr>
                            <w:rFonts w:ascii="Arial Narrow" w:hAnsi="Arial Narrow"/>
                            <w:b/>
                            <w:color w:val="FFFFFF"/>
                            <w:spacing w:val="-5"/>
                            <w:sz w:val="16"/>
                          </w:rPr>
                          <w:t> (€)</w:t>
                        </w:r>
                      </w:p>
                    </w:txbxContent>
                  </v:textbox>
                  <w10:wrap type="none"/>
                </v:shape>
                <v:shape style="position:absolute;left:6267;top:330;width:1893;height:471" type="#_x0000_t202" id="docshape151" filled="false" stroked="false">
                  <v:textbox inset="0,0,0,0">
                    <w:txbxContent>
                      <w:p>
                        <w:pPr>
                          <w:spacing w:before="0"/>
                          <w:ind w:left="0" w:right="22" w:firstLine="0"/>
                          <w:jc w:val="center"/>
                          <w:rPr>
                            <w:rFonts w:ascii="Arial Narrow" w:hAnsi="Arial Narrow"/>
                            <w:b/>
                            <w:sz w:val="16"/>
                          </w:rPr>
                        </w:pPr>
                        <w:r>
                          <w:rPr>
                            <w:rFonts w:ascii="Arial Narrow" w:hAnsi="Arial Narrow"/>
                            <w:b/>
                            <w:color w:val="FFFFFF"/>
                            <w:spacing w:val="-2"/>
                            <w:sz w:val="16"/>
                          </w:rPr>
                          <w:t>FINANCIACIÓN</w:t>
                        </w:r>
                      </w:p>
                      <w:p>
                        <w:pPr>
                          <w:spacing w:before="102"/>
                          <w:ind w:left="0" w:right="18" w:firstLine="0"/>
                          <w:jc w:val="center"/>
                          <w:rPr>
                            <w:rFonts w:ascii="Arial Narrow"/>
                            <w:b/>
                            <w:sz w:val="16"/>
                          </w:rPr>
                        </w:pPr>
                        <w:r>
                          <w:rPr>
                            <w:rFonts w:ascii="Arial Narrow"/>
                            <w:b/>
                            <w:color w:val="FFFFFF"/>
                            <w:sz w:val="16"/>
                          </w:rPr>
                          <w:t>Ayuntamiento</w:t>
                        </w:r>
                        <w:r>
                          <w:rPr>
                            <w:rFonts w:ascii="Arial Narrow"/>
                            <w:b/>
                            <w:color w:val="FFFFFF"/>
                            <w:spacing w:val="44"/>
                            <w:sz w:val="16"/>
                          </w:rPr>
                          <w:t>  </w:t>
                        </w:r>
                        <w:r>
                          <w:rPr>
                            <w:rFonts w:ascii="Arial Narrow"/>
                            <w:b/>
                            <w:color w:val="FFFFFF"/>
                            <w:sz w:val="16"/>
                          </w:rPr>
                          <w:t>PRTR</w:t>
                        </w:r>
                        <w:r>
                          <w:rPr>
                            <w:rFonts w:ascii="Arial Narrow"/>
                            <w:b/>
                            <w:color w:val="FFFFFF"/>
                            <w:spacing w:val="-4"/>
                            <w:sz w:val="16"/>
                          </w:rPr>
                          <w:t> </w:t>
                        </w:r>
                        <w:r>
                          <w:rPr>
                            <w:rFonts w:ascii="Arial Narrow"/>
                            <w:b/>
                            <w:color w:val="FFFFFF"/>
                            <w:sz w:val="16"/>
                          </w:rPr>
                          <w:t>y</w:t>
                        </w:r>
                        <w:r>
                          <w:rPr>
                            <w:rFonts w:ascii="Arial Narrow"/>
                            <w:b/>
                            <w:color w:val="FFFFFF"/>
                            <w:spacing w:val="-2"/>
                            <w:sz w:val="16"/>
                          </w:rPr>
                          <w:t> </w:t>
                        </w:r>
                        <w:r>
                          <w:rPr>
                            <w:rFonts w:ascii="Arial Narrow"/>
                            <w:b/>
                            <w:color w:val="FFFFFF"/>
                            <w:spacing w:val="-4"/>
                            <w:sz w:val="16"/>
                          </w:rPr>
                          <w:t>otras</w:t>
                        </w:r>
                      </w:p>
                    </w:txbxContent>
                  </v:textbox>
                  <w10:wrap type="none"/>
                </v:shape>
                <v:shape style="position:absolute;left:8526;top:239;width:1303;height:370" type="#_x0000_t202" id="docshape152" filled="false" stroked="false">
                  <v:textbox inset="0,0,0,0">
                    <w:txbxContent>
                      <w:p>
                        <w:pPr>
                          <w:spacing w:before="0"/>
                          <w:ind w:left="259" w:right="0" w:hanging="260"/>
                          <w:jc w:val="left"/>
                          <w:rPr>
                            <w:rFonts w:ascii="Arial Narrow" w:hAnsi="Arial Narrow"/>
                            <w:b/>
                            <w:sz w:val="16"/>
                          </w:rPr>
                        </w:pPr>
                        <w:r>
                          <w:rPr>
                            <w:rFonts w:ascii="Arial Narrow" w:hAnsi="Arial Narrow"/>
                            <w:b/>
                            <w:color w:val="FFFFFF"/>
                            <w:sz w:val="16"/>
                          </w:rPr>
                          <w:t>INCIDENCIAS</w:t>
                        </w:r>
                        <w:r>
                          <w:rPr>
                            <w:rFonts w:ascii="Arial Narrow" w:hAnsi="Arial Narrow"/>
                            <w:b/>
                            <w:color w:val="FFFFFF"/>
                            <w:spacing w:val="-10"/>
                            <w:sz w:val="16"/>
                          </w:rPr>
                          <w:t> </w:t>
                        </w:r>
                        <w:r>
                          <w:rPr>
                            <w:rFonts w:ascii="Arial Narrow" w:hAnsi="Arial Narrow"/>
                            <w:b/>
                            <w:color w:val="FFFFFF"/>
                            <w:sz w:val="16"/>
                          </w:rPr>
                          <w:t>EN</w:t>
                        </w:r>
                        <w:r>
                          <w:rPr>
                            <w:rFonts w:ascii="Arial Narrow" w:hAnsi="Arial Narrow"/>
                            <w:b/>
                            <w:color w:val="FFFFFF"/>
                            <w:spacing w:val="-9"/>
                            <w:sz w:val="16"/>
                          </w:rPr>
                          <w:t> </w:t>
                        </w:r>
                        <w:r>
                          <w:rPr>
                            <w:rFonts w:ascii="Arial Narrow" w:hAnsi="Arial Narrow"/>
                            <w:b/>
                            <w:color w:val="FFFFFF"/>
                            <w:sz w:val="16"/>
                          </w:rPr>
                          <w:t>LA</w:t>
                        </w:r>
                        <w:r>
                          <w:rPr>
                            <w:rFonts w:ascii="Arial Narrow" w:hAnsi="Arial Narrow"/>
                            <w:b/>
                            <w:color w:val="FFFFFF"/>
                            <w:spacing w:val="40"/>
                            <w:sz w:val="16"/>
                          </w:rPr>
                          <w:t> </w:t>
                        </w:r>
                        <w:r>
                          <w:rPr>
                            <w:rFonts w:ascii="Arial Narrow" w:hAnsi="Arial Narrow"/>
                            <w:b/>
                            <w:color w:val="FFFFFF"/>
                            <w:spacing w:val="-2"/>
                            <w:sz w:val="16"/>
                          </w:rPr>
                          <w:t>EJECUCIÓN</w:t>
                        </w:r>
                      </w:p>
                    </w:txbxContent>
                  </v:textbox>
                  <w10:wrap type="none"/>
                </v:shape>
                <v:shape style="position:absolute;left:10065;top:335;width:751;height:185" type="#_x0000_t202" id="docshape153" filled="false" stroked="false">
                  <v:textbox inset="0,0,0,0">
                    <w:txbxContent>
                      <w:p>
                        <w:pPr>
                          <w:spacing w:before="0"/>
                          <w:ind w:left="0" w:right="0" w:firstLine="0"/>
                          <w:jc w:val="left"/>
                          <w:rPr>
                            <w:rFonts w:ascii="Arial Narrow"/>
                            <w:b/>
                            <w:sz w:val="16"/>
                          </w:rPr>
                        </w:pPr>
                        <w:r>
                          <w:rPr>
                            <w:rFonts w:ascii="Arial Narrow"/>
                            <w:b/>
                            <w:color w:val="FFFFFF"/>
                            <w:spacing w:val="-2"/>
                            <w:sz w:val="16"/>
                          </w:rPr>
                          <w:t>ESTADODE</w:t>
                        </w:r>
                      </w:p>
                    </w:txbxContent>
                  </v:textbox>
                  <w10:wrap type="none"/>
                </v:shape>
                <v:shape style="position:absolute;left:10048;top:519;width:787;height:185" type="#_x0000_t202" id="docshape154"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2"/>
                            <w:sz w:val="16"/>
                          </w:rPr>
                          <w:t>EJECUCIÓN</w:t>
                        </w:r>
                      </w:p>
                    </w:txbxContent>
                  </v:textbox>
                  <w10:wrap type="none"/>
                </v:shape>
                <v:shape style="position:absolute;left:6625;top:800;width:182;height:185" type="#_x0000_t202" id="docshape155"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v:textbox>
                  <w10:wrap type="none"/>
                </v:shape>
                <v:shape style="position:absolute;left:7650;top:800;width:182;height:185" type="#_x0000_t202" id="docshape156"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v:textbox>
                  <w10:wrap type="none"/>
                </v:shape>
                <v:shape style="position:absolute;left:8541;top:702;width:2238;height:192" type="#_x0000_t202" id="docshape157" filled="false" stroked="false">
                  <v:textbox inset="0,0,0,0">
                    <w:txbxContent>
                      <w:p>
                        <w:pPr>
                          <w:tabs>
                            <w:tab w:pos="379" w:val="left" w:leader="none"/>
                            <w:tab w:pos="779" w:val="left" w:leader="none"/>
                            <w:tab w:pos="1168" w:val="left" w:leader="none"/>
                            <w:tab w:pos="1562" w:val="left" w:leader="none"/>
                          </w:tabs>
                          <w:spacing w:line="191" w:lineRule="exact" w:before="0"/>
                          <w:ind w:left="0" w:right="0" w:firstLine="0"/>
                          <w:jc w:val="left"/>
                          <w:rPr>
                            <w:rFonts w:ascii="Arial Narrow"/>
                            <w:b/>
                            <w:position w:val="1"/>
                            <w:sz w:val="16"/>
                          </w:rPr>
                        </w:pPr>
                        <w:r>
                          <w:rPr>
                            <w:rFonts w:ascii="Arial Narrow"/>
                            <w:b/>
                            <w:color w:val="FFFFFF"/>
                            <w:spacing w:val="-10"/>
                            <w:sz w:val="16"/>
                          </w:rPr>
                          <w:t>P</w:t>
                        </w:r>
                        <w:r>
                          <w:rPr>
                            <w:rFonts w:ascii="Arial Narrow"/>
                            <w:b/>
                            <w:color w:val="FFFFFF"/>
                            <w:sz w:val="16"/>
                          </w:rPr>
                          <w:tab/>
                        </w:r>
                        <w:r>
                          <w:rPr>
                            <w:rFonts w:ascii="Arial Narrow"/>
                            <w:b/>
                            <w:color w:val="FFFFFF"/>
                            <w:spacing w:val="-10"/>
                            <w:sz w:val="16"/>
                          </w:rPr>
                          <w:t>M</w:t>
                        </w:r>
                        <w:r>
                          <w:rPr>
                            <w:rFonts w:ascii="Arial Narrow"/>
                            <w:b/>
                            <w:color w:val="FFFFFF"/>
                            <w:sz w:val="16"/>
                          </w:rPr>
                          <w:tab/>
                        </w:r>
                        <w:r>
                          <w:rPr>
                            <w:rFonts w:ascii="Arial Narrow"/>
                            <w:b/>
                            <w:color w:val="FFFFFF"/>
                            <w:spacing w:val="-10"/>
                            <w:sz w:val="16"/>
                          </w:rPr>
                          <w:t>S</w:t>
                        </w:r>
                        <w:r>
                          <w:rPr>
                            <w:rFonts w:ascii="Arial Narrow"/>
                            <w:b/>
                            <w:color w:val="FFFFFF"/>
                            <w:sz w:val="16"/>
                          </w:rPr>
                          <w:tab/>
                        </w:r>
                        <w:r>
                          <w:rPr>
                            <w:rFonts w:ascii="Arial Narrow"/>
                            <w:b/>
                            <w:color w:val="FFFFFF"/>
                            <w:spacing w:val="-10"/>
                            <w:sz w:val="16"/>
                          </w:rPr>
                          <w:t>R</w:t>
                        </w:r>
                        <w:r>
                          <w:rPr>
                            <w:rFonts w:ascii="Arial Narrow"/>
                            <w:b/>
                            <w:color w:val="FFFFFF"/>
                            <w:sz w:val="16"/>
                          </w:rPr>
                          <w:tab/>
                        </w:r>
                        <w:r>
                          <w:rPr>
                            <w:rFonts w:ascii="Arial Narrow"/>
                            <w:b/>
                            <w:color w:val="FFFFFF"/>
                            <w:position w:val="1"/>
                            <w:sz w:val="16"/>
                          </w:rPr>
                          <w:t>A</w:t>
                        </w:r>
                        <w:r>
                          <w:rPr>
                            <w:rFonts w:ascii="Arial Narrow"/>
                            <w:b/>
                            <w:color w:val="FFFFFF"/>
                            <w:spacing w:val="-4"/>
                            <w:position w:val="1"/>
                            <w:sz w:val="16"/>
                          </w:rPr>
                          <w:t> </w:t>
                        </w:r>
                        <w:r>
                          <w:rPr>
                            <w:rFonts w:ascii="Arial Narrow"/>
                            <w:b/>
                            <w:color w:val="FFFFFF"/>
                            <w:position w:val="1"/>
                            <w:sz w:val="16"/>
                          </w:rPr>
                          <w:t>31-12-</w:t>
                        </w:r>
                        <w:r>
                          <w:rPr>
                            <w:rFonts w:ascii="Arial Narrow"/>
                            <w:b/>
                            <w:color w:val="FFFFFF"/>
                            <w:spacing w:val="-5"/>
                            <w:position w:val="1"/>
                            <w:sz w:val="16"/>
                          </w:rPr>
                          <w:t>24</w:t>
                        </w:r>
                      </w:p>
                    </w:txbxContent>
                  </v:textbox>
                  <w10:wrap type="none"/>
                </v:shape>
                <w10:wrap type="topAndBottom"/>
              </v:group>
            </w:pict>
          </mc:Fallback>
        </mc:AlternateContent>
      </w:r>
    </w:p>
    <w:p>
      <w:pPr>
        <w:spacing w:before="183"/>
        <w:ind w:left="1918" w:right="0" w:firstLine="0"/>
        <w:jc w:val="left"/>
        <w:rPr>
          <w:rFonts w:ascii="Arial Narrow" w:hAnsi="Arial Narrow"/>
          <w:sz w:val="16"/>
        </w:rPr>
      </w:pPr>
      <w:r>
        <w:rPr>
          <w:rFonts w:ascii="Arial Narrow" w:hAnsi="Arial Narrow"/>
          <w:sz w:val="16"/>
        </w:rPr>
        <w:t>Público</w:t>
      </w:r>
      <w:r>
        <w:rPr>
          <w:rFonts w:ascii="Arial Narrow" w:hAnsi="Arial Narrow"/>
          <w:spacing w:val="-6"/>
          <w:sz w:val="16"/>
        </w:rPr>
        <w:t> </w:t>
      </w:r>
      <w:r>
        <w:rPr>
          <w:rFonts w:ascii="Arial Narrow" w:hAnsi="Arial Narrow"/>
          <w:sz w:val="16"/>
        </w:rPr>
        <w:t>de</w:t>
      </w:r>
      <w:r>
        <w:rPr>
          <w:rFonts w:ascii="Arial Narrow" w:hAnsi="Arial Narrow"/>
          <w:spacing w:val="-4"/>
          <w:sz w:val="16"/>
        </w:rPr>
        <w:t> </w:t>
      </w:r>
      <w:r>
        <w:rPr>
          <w:rFonts w:ascii="Arial Narrow" w:hAnsi="Arial Narrow"/>
          <w:spacing w:val="-2"/>
          <w:sz w:val="16"/>
        </w:rPr>
        <w:t>Alicante</w:t>
      </w:r>
    </w:p>
    <w:p>
      <w:pPr>
        <w:pStyle w:val="BodyText"/>
        <w:rPr>
          <w:rFonts w:ascii="Arial Narrow"/>
          <w:sz w:val="16"/>
        </w:rPr>
      </w:pPr>
    </w:p>
    <w:p>
      <w:pPr>
        <w:pStyle w:val="BodyText"/>
        <w:spacing w:before="44"/>
        <w:rPr>
          <w:rFonts w:ascii="Arial Narrow"/>
          <w:sz w:val="16"/>
        </w:rPr>
      </w:pPr>
    </w:p>
    <w:p>
      <w:pPr>
        <w:spacing w:before="0"/>
        <w:ind w:left="1918" w:right="0" w:firstLine="0"/>
        <w:jc w:val="left"/>
        <w:rPr>
          <w:rFonts w:ascii="Arial Narrow" w:hAnsi="Arial Narrow"/>
          <w:sz w:val="16"/>
        </w:rPr>
      </w:pPr>
      <w:r>
        <w:rPr>
          <w:rFonts w:ascii="Arial Narrow" w:hAnsi="Arial Narrow"/>
          <w:sz w:val="16"/>
        </w:rPr>
        <mc:AlternateContent>
          <mc:Choice Requires="wps">
            <w:drawing>
              <wp:anchor distT="0" distB="0" distL="0" distR="0" allowOverlap="1" layoutInCell="1" locked="0" behindDoc="0" simplePos="0" relativeHeight="15753728">
                <wp:simplePos x="0" y="0"/>
                <wp:positionH relativeFrom="page">
                  <wp:posOffset>594359</wp:posOffset>
                </wp:positionH>
                <wp:positionV relativeFrom="paragraph">
                  <wp:posOffset>-495232</wp:posOffset>
                </wp:positionV>
                <wp:extent cx="6373495" cy="6395085"/>
                <wp:effectExtent l="0" t="0" r="0" b="0"/>
                <wp:wrapNone/>
                <wp:docPr id="176" name="Textbox 176"/>
                <wp:cNvGraphicFramePr>
                  <a:graphicFrameLocks/>
                </wp:cNvGraphicFramePr>
                <a:graphic>
                  <a:graphicData uri="http://schemas.microsoft.com/office/word/2010/wordprocessingShape">
                    <wps:wsp>
                      <wps:cNvPr id="176" name="Textbox 176"/>
                      <wps:cNvSpPr txBox="1"/>
                      <wps:spPr>
                        <a:xfrm>
                          <a:off x="0" y="0"/>
                          <a:ext cx="6373495" cy="639508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94"/>
                              <w:gridCol w:w="3198"/>
                              <w:gridCol w:w="1066"/>
                              <w:gridCol w:w="1023"/>
                              <w:gridCol w:w="1043"/>
                              <w:gridCol w:w="459"/>
                              <w:gridCol w:w="390"/>
                              <w:gridCol w:w="390"/>
                              <w:gridCol w:w="395"/>
                              <w:gridCol w:w="957"/>
                            </w:tblGrid>
                            <w:tr>
                              <w:trPr>
                                <w:trHeight w:val="368" w:hRule="atLeast"/>
                              </w:trPr>
                              <w:tc>
                                <w:tcPr>
                                  <w:tcW w:w="994" w:type="dxa"/>
                                  <w:tcBorders>
                                    <w:bottom w:val="single" w:sz="8" w:space="0" w:color="001F5F"/>
                                  </w:tcBorders>
                                </w:tcPr>
                                <w:p>
                                  <w:pPr>
                                    <w:pStyle w:val="TableParagraph"/>
                                    <w:spacing w:before="94"/>
                                    <w:ind w:left="70"/>
                                    <w:rPr>
                                      <w:b/>
                                      <w:sz w:val="16"/>
                                    </w:rPr>
                                  </w:pPr>
                                  <w:r>
                                    <w:rPr>
                                      <w:b/>
                                      <w:spacing w:val="-2"/>
                                      <w:sz w:val="16"/>
                                    </w:rPr>
                                    <w:t>ALICANTE</w:t>
                                  </w:r>
                                </w:p>
                              </w:tc>
                              <w:tc>
                                <w:tcPr>
                                  <w:tcW w:w="3198" w:type="dxa"/>
                                  <w:tcBorders>
                                    <w:bottom w:val="single" w:sz="8" w:space="0" w:color="001F5F"/>
                                  </w:tcBorders>
                                </w:tcPr>
                                <w:p>
                                  <w:pPr>
                                    <w:pStyle w:val="TableParagraph"/>
                                    <w:tabs>
                                      <w:tab w:pos="2973" w:val="right" w:leader="none"/>
                                    </w:tabs>
                                    <w:ind w:right="83"/>
                                    <w:jc w:val="center"/>
                                    <w:rPr>
                                      <w:position w:val="-8"/>
                                      <w:sz w:val="16"/>
                                    </w:rPr>
                                  </w:pPr>
                                  <w:r>
                                    <w:rPr>
                                      <w:sz w:val="16"/>
                                    </w:rPr>
                                    <w:t>Proyecto</w:t>
                                  </w:r>
                                  <w:r>
                                    <w:rPr>
                                      <w:spacing w:val="-10"/>
                                      <w:sz w:val="16"/>
                                    </w:rPr>
                                    <w:t> </w:t>
                                  </w:r>
                                  <w:r>
                                    <w:rPr>
                                      <w:sz w:val="16"/>
                                    </w:rPr>
                                    <w:t>Digitalización</w:t>
                                  </w:r>
                                  <w:r>
                                    <w:rPr>
                                      <w:spacing w:val="-8"/>
                                      <w:sz w:val="16"/>
                                    </w:rPr>
                                    <w:t> </w:t>
                                  </w:r>
                                  <w:r>
                                    <w:rPr>
                                      <w:spacing w:val="-2"/>
                                      <w:sz w:val="16"/>
                                    </w:rPr>
                                    <w:t>Transporte</w:t>
                                  </w:r>
                                  <w:r>
                                    <w:rPr>
                                      <w:rFonts w:ascii="Times New Roman" w:hAnsi="Times New Roman"/>
                                      <w:sz w:val="16"/>
                                    </w:rPr>
                                    <w:tab/>
                                  </w:r>
                                  <w:r>
                                    <w:rPr>
                                      <w:spacing w:val="-10"/>
                                      <w:position w:val="-8"/>
                                      <w:sz w:val="16"/>
                                    </w:rPr>
                                    <w:t>1</w:t>
                                  </w:r>
                                </w:p>
                              </w:tc>
                              <w:tc>
                                <w:tcPr>
                                  <w:tcW w:w="1066" w:type="dxa"/>
                                  <w:tcBorders>
                                    <w:bottom w:val="single" w:sz="8" w:space="0" w:color="001F5F"/>
                                  </w:tcBorders>
                                </w:tcPr>
                                <w:p>
                                  <w:pPr>
                                    <w:pStyle w:val="TableParagraph"/>
                                    <w:spacing w:before="94"/>
                                    <w:ind w:right="142"/>
                                    <w:jc w:val="right"/>
                                    <w:rPr>
                                      <w:sz w:val="16"/>
                                    </w:rPr>
                                  </w:pPr>
                                  <w:r>
                                    <w:rPr>
                                      <w:spacing w:val="-2"/>
                                      <w:sz w:val="16"/>
                                    </w:rPr>
                                    <w:t>3.257.077,51</w:t>
                                  </w:r>
                                </w:p>
                              </w:tc>
                              <w:tc>
                                <w:tcPr>
                                  <w:tcW w:w="1023" w:type="dxa"/>
                                  <w:tcBorders>
                                    <w:bottom w:val="single" w:sz="8" w:space="0" w:color="001F5F"/>
                                  </w:tcBorders>
                                </w:tcPr>
                                <w:p>
                                  <w:pPr>
                                    <w:pStyle w:val="TableParagraph"/>
                                    <w:spacing w:before="94"/>
                                    <w:ind w:right="108"/>
                                    <w:jc w:val="right"/>
                                    <w:rPr>
                                      <w:sz w:val="16"/>
                                    </w:rPr>
                                  </w:pPr>
                                  <w:r>
                                    <w:rPr>
                                      <w:spacing w:val="-2"/>
                                      <w:sz w:val="16"/>
                                    </w:rPr>
                                    <w:t>1.498.959,28</w:t>
                                  </w:r>
                                </w:p>
                              </w:tc>
                              <w:tc>
                                <w:tcPr>
                                  <w:tcW w:w="1043" w:type="dxa"/>
                                  <w:tcBorders>
                                    <w:bottom w:val="single" w:sz="8" w:space="0" w:color="001F5F"/>
                                  </w:tcBorders>
                                </w:tcPr>
                                <w:p>
                                  <w:pPr>
                                    <w:pStyle w:val="TableParagraph"/>
                                    <w:spacing w:before="94"/>
                                    <w:ind w:right="160"/>
                                    <w:jc w:val="right"/>
                                    <w:rPr>
                                      <w:sz w:val="16"/>
                                    </w:rPr>
                                  </w:pPr>
                                  <w:r>
                                    <w:rPr>
                                      <w:spacing w:val="-2"/>
                                      <w:sz w:val="16"/>
                                    </w:rPr>
                                    <w:t>1.758.118,23</w:t>
                                  </w:r>
                                </w:p>
                              </w:tc>
                              <w:tc>
                                <w:tcPr>
                                  <w:tcW w:w="459" w:type="dxa"/>
                                  <w:tcBorders>
                                    <w:bottom w:val="single" w:sz="8" w:space="0" w:color="001F5F"/>
                                  </w:tcBorders>
                                </w:tcPr>
                                <w:p>
                                  <w:pPr>
                                    <w:pStyle w:val="TableParagraph"/>
                                    <w:spacing w:before="94"/>
                                    <w:ind w:left="72" w:right="1"/>
                                    <w:jc w:val="center"/>
                                    <w:rPr>
                                      <w:sz w:val="16"/>
                                    </w:rPr>
                                  </w:pPr>
                                  <w:r>
                                    <w:rPr>
                                      <w:color w:val="891538"/>
                                      <w:spacing w:val="-5"/>
                                      <w:sz w:val="16"/>
                                    </w:rPr>
                                    <w:t>SI</w:t>
                                  </w:r>
                                </w:p>
                              </w:tc>
                              <w:tc>
                                <w:tcPr>
                                  <w:tcW w:w="390" w:type="dxa"/>
                                  <w:tcBorders>
                                    <w:bottom w:val="single" w:sz="8" w:space="0" w:color="001F5F"/>
                                  </w:tcBorders>
                                </w:tcPr>
                                <w:p>
                                  <w:pPr>
                                    <w:pStyle w:val="TableParagraph"/>
                                    <w:ind w:left="13" w:right="8"/>
                                    <w:jc w:val="center"/>
                                    <w:rPr>
                                      <w:sz w:val="16"/>
                                    </w:rPr>
                                  </w:pPr>
                                  <w:r>
                                    <w:rPr>
                                      <w:color w:val="5E89B4"/>
                                      <w:spacing w:val="-5"/>
                                      <w:sz w:val="16"/>
                                    </w:rPr>
                                    <w:t>NO</w:t>
                                  </w:r>
                                </w:p>
                              </w:tc>
                              <w:tc>
                                <w:tcPr>
                                  <w:tcW w:w="390" w:type="dxa"/>
                                  <w:tcBorders>
                                    <w:bottom w:val="single" w:sz="8" w:space="0" w:color="001F5F"/>
                                  </w:tcBorders>
                                </w:tcPr>
                                <w:p>
                                  <w:pPr>
                                    <w:pStyle w:val="TableParagraph"/>
                                    <w:ind w:left="13" w:right="10"/>
                                    <w:jc w:val="center"/>
                                    <w:rPr>
                                      <w:sz w:val="16"/>
                                    </w:rPr>
                                  </w:pPr>
                                  <w:r>
                                    <w:rPr>
                                      <w:color w:val="5E89B4"/>
                                      <w:spacing w:val="-5"/>
                                      <w:sz w:val="16"/>
                                    </w:rPr>
                                    <w:t>NO</w:t>
                                  </w:r>
                                </w:p>
                              </w:tc>
                              <w:tc>
                                <w:tcPr>
                                  <w:tcW w:w="395" w:type="dxa"/>
                                  <w:tcBorders>
                                    <w:bottom w:val="single" w:sz="8" w:space="0" w:color="001F5F"/>
                                  </w:tcBorders>
                                </w:tcPr>
                                <w:p>
                                  <w:pPr>
                                    <w:pStyle w:val="TableParagraph"/>
                                    <w:jc w:val="center"/>
                                    <w:rPr>
                                      <w:sz w:val="16"/>
                                    </w:rPr>
                                  </w:pPr>
                                  <w:r>
                                    <w:rPr>
                                      <w:color w:val="5E89B4"/>
                                      <w:spacing w:val="-5"/>
                                      <w:sz w:val="16"/>
                                    </w:rPr>
                                    <w:t>NO</w:t>
                                  </w:r>
                                </w:p>
                              </w:tc>
                              <w:tc>
                                <w:tcPr>
                                  <w:tcW w:w="957" w:type="dxa"/>
                                  <w:tcBorders>
                                    <w:bottom w:val="single" w:sz="8" w:space="0" w:color="001F5F"/>
                                  </w:tcBorders>
                                </w:tcPr>
                                <w:p>
                                  <w:pPr>
                                    <w:pStyle w:val="TableParagraph"/>
                                    <w:spacing w:before="82"/>
                                    <w:ind w:left="1" w:right="1"/>
                                    <w:jc w:val="center"/>
                                    <w:rPr>
                                      <w:sz w:val="16"/>
                                    </w:rPr>
                                  </w:pPr>
                                  <w:r>
                                    <w:rPr>
                                      <w:spacing w:val="-2"/>
                                      <w:sz w:val="16"/>
                                    </w:rPr>
                                    <w:t>Finalizada</w:t>
                                  </w:r>
                                </w:p>
                              </w:tc>
                            </w:tr>
                            <w:tr>
                              <w:trPr>
                                <w:trHeight w:val="198" w:hRule="atLeast"/>
                              </w:trPr>
                              <w:tc>
                                <w:tcPr>
                                  <w:tcW w:w="994" w:type="dxa"/>
                                  <w:tcBorders>
                                    <w:top w:val="single" w:sz="8" w:space="0" w:color="001F5F"/>
                                  </w:tcBorders>
                                </w:tcPr>
                                <w:p>
                                  <w:pPr>
                                    <w:pStyle w:val="TableParagraph"/>
                                    <w:rPr>
                                      <w:rFonts w:ascii="Times New Roman"/>
                                      <w:sz w:val="12"/>
                                    </w:rPr>
                                  </w:pPr>
                                </w:p>
                              </w:tc>
                              <w:tc>
                                <w:tcPr>
                                  <w:tcW w:w="3198" w:type="dxa"/>
                                  <w:tcBorders>
                                    <w:top w:val="single" w:sz="8" w:space="0" w:color="001F5F"/>
                                    <w:bottom w:val="single" w:sz="4" w:space="0" w:color="001F5F"/>
                                  </w:tcBorders>
                                </w:tcPr>
                                <w:p>
                                  <w:pPr>
                                    <w:pStyle w:val="TableParagraph"/>
                                    <w:tabs>
                                      <w:tab w:pos="2973" w:val="right" w:leader="none"/>
                                    </w:tabs>
                                    <w:spacing w:line="171" w:lineRule="exact" w:before="8"/>
                                    <w:ind w:right="83"/>
                                    <w:jc w:val="center"/>
                                    <w:rPr>
                                      <w:sz w:val="16"/>
                                    </w:rPr>
                                  </w:pPr>
                                  <w:r>
                                    <w:rPr>
                                      <w:sz w:val="16"/>
                                    </w:rPr>
                                    <w:t>Renovación</w:t>
                                  </w:r>
                                  <w:r>
                                    <w:rPr>
                                      <w:spacing w:val="-9"/>
                                      <w:sz w:val="16"/>
                                    </w:rPr>
                                    <w:t> </w:t>
                                  </w:r>
                                  <w:r>
                                    <w:rPr>
                                      <w:sz w:val="16"/>
                                    </w:rPr>
                                    <w:t>App</w:t>
                                  </w:r>
                                  <w:r>
                                    <w:rPr>
                                      <w:spacing w:val="-5"/>
                                      <w:sz w:val="16"/>
                                    </w:rPr>
                                    <w:t> </w:t>
                                  </w:r>
                                  <w:r>
                                    <w:rPr>
                                      <w:spacing w:val="-2"/>
                                      <w:sz w:val="16"/>
                                    </w:rPr>
                                    <w:t>Bilbobus</w:t>
                                  </w:r>
                                  <w:r>
                                    <w:rPr>
                                      <w:rFonts w:ascii="Times New Roman" w:hAnsi="Times New Roman"/>
                                      <w:sz w:val="16"/>
                                    </w:rPr>
                                    <w:tab/>
                                  </w:r>
                                  <w:r>
                                    <w:rPr>
                                      <w:spacing w:val="-10"/>
                                      <w:sz w:val="16"/>
                                    </w:rPr>
                                    <w:t>1</w:t>
                                  </w:r>
                                </w:p>
                              </w:tc>
                              <w:tc>
                                <w:tcPr>
                                  <w:tcW w:w="1066" w:type="dxa"/>
                                  <w:tcBorders>
                                    <w:top w:val="single" w:sz="8" w:space="0" w:color="001F5F"/>
                                    <w:bottom w:val="single" w:sz="4" w:space="0" w:color="001F5F"/>
                                  </w:tcBorders>
                                </w:tcPr>
                                <w:p>
                                  <w:pPr>
                                    <w:pStyle w:val="TableParagraph"/>
                                    <w:spacing w:line="171" w:lineRule="exact" w:before="8"/>
                                    <w:ind w:right="141"/>
                                    <w:jc w:val="right"/>
                                    <w:rPr>
                                      <w:sz w:val="16"/>
                                    </w:rPr>
                                  </w:pPr>
                                  <w:r>
                                    <w:rPr>
                                      <w:spacing w:val="-2"/>
                                      <w:sz w:val="16"/>
                                    </w:rPr>
                                    <w:t>29.895,00</w:t>
                                  </w:r>
                                </w:p>
                              </w:tc>
                              <w:tc>
                                <w:tcPr>
                                  <w:tcW w:w="1023" w:type="dxa"/>
                                  <w:tcBorders>
                                    <w:top w:val="single" w:sz="8" w:space="0" w:color="001F5F"/>
                                    <w:bottom w:val="single" w:sz="4" w:space="0" w:color="001F5F"/>
                                  </w:tcBorders>
                                </w:tcPr>
                                <w:p>
                                  <w:pPr>
                                    <w:pStyle w:val="TableParagraph"/>
                                    <w:spacing w:line="171" w:lineRule="exact" w:before="8"/>
                                    <w:ind w:right="108"/>
                                    <w:jc w:val="right"/>
                                    <w:rPr>
                                      <w:sz w:val="16"/>
                                    </w:rPr>
                                  </w:pPr>
                                  <w:r>
                                    <w:rPr>
                                      <w:spacing w:val="-2"/>
                                      <w:sz w:val="16"/>
                                    </w:rPr>
                                    <w:t>29.895,00</w:t>
                                  </w:r>
                                </w:p>
                              </w:tc>
                              <w:tc>
                                <w:tcPr>
                                  <w:tcW w:w="1043" w:type="dxa"/>
                                  <w:tcBorders>
                                    <w:top w:val="single" w:sz="8" w:space="0" w:color="001F5F"/>
                                    <w:bottom w:val="single" w:sz="4" w:space="0" w:color="001F5F"/>
                                  </w:tcBorders>
                                </w:tcPr>
                                <w:p>
                                  <w:pPr>
                                    <w:pStyle w:val="TableParagraph"/>
                                    <w:spacing w:line="171" w:lineRule="exact" w:before="8"/>
                                    <w:ind w:right="159"/>
                                    <w:jc w:val="right"/>
                                    <w:rPr>
                                      <w:sz w:val="16"/>
                                    </w:rPr>
                                  </w:pPr>
                                  <w:r>
                                    <w:rPr>
                                      <w:spacing w:val="-4"/>
                                      <w:sz w:val="16"/>
                                    </w:rPr>
                                    <w:t>0,00</w:t>
                                  </w:r>
                                </w:p>
                              </w:tc>
                              <w:tc>
                                <w:tcPr>
                                  <w:tcW w:w="459" w:type="dxa"/>
                                  <w:tcBorders>
                                    <w:top w:val="single" w:sz="8" w:space="0" w:color="001F5F"/>
                                    <w:bottom w:val="single" w:sz="4" w:space="0" w:color="001F5F"/>
                                  </w:tcBorders>
                                </w:tcPr>
                                <w:p>
                                  <w:pPr>
                                    <w:pStyle w:val="TableParagraph"/>
                                    <w:spacing w:line="171" w:lineRule="exact" w:before="8"/>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line="171" w:lineRule="exact" w:before="8"/>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line="171" w:lineRule="exact" w:before="8"/>
                                    <w:ind w:left="1" w:right="1"/>
                                    <w:jc w:val="center"/>
                                    <w:rPr>
                                      <w:sz w:val="16"/>
                                    </w:rPr>
                                  </w:pPr>
                                  <w:r>
                                    <w:rPr>
                                      <w:spacing w:val="-2"/>
                                      <w:sz w:val="16"/>
                                    </w:rPr>
                                    <w:t>Finalizada</w:t>
                                  </w:r>
                                </w:p>
                              </w:tc>
                            </w:tr>
                            <w:tr>
                              <w:trPr>
                                <w:trHeight w:val="366" w:hRule="atLeast"/>
                              </w:trPr>
                              <w:tc>
                                <w:tcPr>
                                  <w:tcW w:w="994" w:type="dxa"/>
                                  <w:tcBorders>
                                    <w:bottom w:val="single" w:sz="8" w:space="0" w:color="001F5F"/>
                                  </w:tcBorders>
                                </w:tcPr>
                                <w:p>
                                  <w:pPr>
                                    <w:pStyle w:val="TableParagraph"/>
                                    <w:spacing w:line="170" w:lineRule="exact"/>
                                    <w:ind w:left="70"/>
                                    <w:rPr>
                                      <w:b/>
                                      <w:sz w:val="16"/>
                                    </w:rPr>
                                  </w:pPr>
                                  <w:r>
                                    <w:rPr>
                                      <w:b/>
                                      <w:spacing w:val="-2"/>
                                      <w:sz w:val="16"/>
                                    </w:rPr>
                                    <w:t>BILBAO</w:t>
                                  </w:r>
                                </w:p>
                              </w:tc>
                              <w:tc>
                                <w:tcPr>
                                  <w:tcW w:w="3198" w:type="dxa"/>
                                  <w:tcBorders>
                                    <w:top w:val="single" w:sz="4" w:space="0" w:color="001F5F"/>
                                    <w:bottom w:val="single" w:sz="8" w:space="0" w:color="001F5F"/>
                                  </w:tcBorders>
                                </w:tcPr>
                                <w:p>
                                  <w:pPr>
                                    <w:pStyle w:val="TableParagraph"/>
                                    <w:tabs>
                                      <w:tab w:pos="2973" w:val="right" w:leader="none"/>
                                    </w:tabs>
                                    <w:ind w:right="83"/>
                                    <w:jc w:val="center"/>
                                    <w:rPr>
                                      <w:position w:val="-8"/>
                                      <w:sz w:val="16"/>
                                    </w:rPr>
                                  </w:pPr>
                                  <w:r>
                                    <w:rPr>
                                      <w:sz w:val="16"/>
                                    </w:rPr>
                                    <w:t>Equipamiento</w:t>
                                  </w:r>
                                  <w:r>
                                    <w:rPr>
                                      <w:spacing w:val="-8"/>
                                      <w:sz w:val="16"/>
                                    </w:rPr>
                                    <w:t> </w:t>
                                  </w:r>
                                  <w:r>
                                    <w:rPr>
                                      <w:sz w:val="16"/>
                                    </w:rPr>
                                    <w:t>de</w:t>
                                  </w:r>
                                  <w:r>
                                    <w:rPr>
                                      <w:spacing w:val="-7"/>
                                      <w:sz w:val="16"/>
                                    </w:rPr>
                                    <w:t> </w:t>
                                  </w:r>
                                  <w:r>
                                    <w:rPr>
                                      <w:sz w:val="16"/>
                                    </w:rPr>
                                    <w:t>paradas</w:t>
                                  </w:r>
                                  <w:r>
                                    <w:rPr>
                                      <w:spacing w:val="-9"/>
                                      <w:sz w:val="16"/>
                                    </w:rPr>
                                    <w:t> </w:t>
                                  </w:r>
                                  <w:r>
                                    <w:rPr>
                                      <w:sz w:val="16"/>
                                    </w:rPr>
                                    <w:t>(adquisición</w:t>
                                  </w:r>
                                  <w:r>
                                    <w:rPr>
                                      <w:spacing w:val="-7"/>
                                      <w:sz w:val="16"/>
                                    </w:rPr>
                                    <w:t> </w:t>
                                  </w:r>
                                  <w:r>
                                    <w:rPr>
                                      <w:spacing w:val="-10"/>
                                      <w:sz w:val="16"/>
                                    </w:rPr>
                                    <w:t>y</w:t>
                                  </w:r>
                                  <w:r>
                                    <w:rPr>
                                      <w:rFonts w:ascii="Times New Roman" w:hAnsi="Times New Roman"/>
                                      <w:sz w:val="16"/>
                                    </w:rPr>
                                    <w:tab/>
                                  </w:r>
                                  <w:r>
                                    <w:rPr>
                                      <w:spacing w:val="-10"/>
                                      <w:position w:val="-8"/>
                                      <w:sz w:val="16"/>
                                    </w:rPr>
                                    <w:t>1</w:t>
                                  </w:r>
                                </w:p>
                              </w:tc>
                              <w:tc>
                                <w:tcPr>
                                  <w:tcW w:w="1066" w:type="dxa"/>
                                  <w:tcBorders>
                                    <w:top w:val="single" w:sz="4" w:space="0" w:color="001F5F"/>
                                    <w:bottom w:val="single" w:sz="8" w:space="0" w:color="001F5F"/>
                                  </w:tcBorders>
                                </w:tcPr>
                                <w:p>
                                  <w:pPr>
                                    <w:pStyle w:val="TableParagraph"/>
                                    <w:spacing w:before="92"/>
                                    <w:ind w:right="141"/>
                                    <w:jc w:val="right"/>
                                    <w:rPr>
                                      <w:sz w:val="16"/>
                                    </w:rPr>
                                  </w:pPr>
                                  <w:r>
                                    <w:rPr>
                                      <w:spacing w:val="-2"/>
                                      <w:sz w:val="16"/>
                                    </w:rPr>
                                    <w:t>73.766,17</w:t>
                                  </w:r>
                                </w:p>
                              </w:tc>
                              <w:tc>
                                <w:tcPr>
                                  <w:tcW w:w="1023" w:type="dxa"/>
                                  <w:tcBorders>
                                    <w:top w:val="single" w:sz="4" w:space="0" w:color="001F5F"/>
                                    <w:bottom w:val="single" w:sz="8" w:space="0" w:color="001F5F"/>
                                  </w:tcBorders>
                                </w:tcPr>
                                <w:p>
                                  <w:pPr>
                                    <w:pStyle w:val="TableParagraph"/>
                                    <w:spacing w:before="92"/>
                                    <w:ind w:right="108"/>
                                    <w:jc w:val="right"/>
                                    <w:rPr>
                                      <w:sz w:val="16"/>
                                    </w:rPr>
                                  </w:pPr>
                                  <w:r>
                                    <w:rPr>
                                      <w:spacing w:val="-2"/>
                                      <w:sz w:val="16"/>
                                    </w:rPr>
                                    <w:t>73.766,17</w:t>
                                  </w:r>
                                </w:p>
                              </w:tc>
                              <w:tc>
                                <w:tcPr>
                                  <w:tcW w:w="1043" w:type="dxa"/>
                                  <w:tcBorders>
                                    <w:top w:val="single" w:sz="4" w:space="0" w:color="001F5F"/>
                                    <w:bottom w:val="single" w:sz="8" w:space="0" w:color="001F5F"/>
                                  </w:tcBorders>
                                </w:tcPr>
                                <w:p>
                                  <w:pPr>
                                    <w:pStyle w:val="TableParagraph"/>
                                    <w:spacing w:before="92"/>
                                    <w:ind w:right="159"/>
                                    <w:jc w:val="right"/>
                                    <w:rPr>
                                      <w:sz w:val="16"/>
                                    </w:rPr>
                                  </w:pPr>
                                  <w:r>
                                    <w:rPr>
                                      <w:spacing w:val="-4"/>
                                      <w:sz w:val="16"/>
                                    </w:rPr>
                                    <w:t>0,00</w:t>
                                  </w:r>
                                </w:p>
                              </w:tc>
                              <w:tc>
                                <w:tcPr>
                                  <w:tcW w:w="459" w:type="dxa"/>
                                  <w:tcBorders>
                                    <w:top w:val="single" w:sz="4" w:space="0" w:color="001F5F"/>
                                    <w:bottom w:val="single" w:sz="8" w:space="0" w:color="001F5F"/>
                                  </w:tcBorders>
                                </w:tcPr>
                                <w:p>
                                  <w:pPr>
                                    <w:pStyle w:val="TableParagraph"/>
                                    <w:spacing w:before="92"/>
                                    <w:ind w:left="72"/>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92"/>
                                    <w:ind w:left="13" w:righ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92"/>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92"/>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92"/>
                                    <w:ind w:right="1"/>
                                    <w:jc w:val="center"/>
                                    <w:rPr>
                                      <w:sz w:val="16"/>
                                    </w:rPr>
                                  </w:pPr>
                                  <w:r>
                                    <w:rPr>
                                      <w:sz w:val="16"/>
                                    </w:rPr>
                                    <w:t>En</w:t>
                                  </w:r>
                                  <w:r>
                                    <w:rPr>
                                      <w:spacing w:val="-2"/>
                                      <w:sz w:val="16"/>
                                    </w:rPr>
                                    <w:t> ejecución</w:t>
                                  </w:r>
                                </w:p>
                              </w:tc>
                            </w:tr>
                            <w:tr>
                              <w:trPr>
                                <w:trHeight w:val="198" w:hRule="atLeast"/>
                              </w:trPr>
                              <w:tc>
                                <w:tcPr>
                                  <w:tcW w:w="994" w:type="dxa"/>
                                  <w:tcBorders>
                                    <w:top w:val="single" w:sz="8" w:space="0" w:color="001F5F"/>
                                  </w:tcBorders>
                                </w:tcPr>
                                <w:p>
                                  <w:pPr>
                                    <w:pStyle w:val="TableParagraph"/>
                                    <w:rPr>
                                      <w:rFonts w:ascii="Times New Roman"/>
                                      <w:sz w:val="12"/>
                                    </w:rPr>
                                  </w:pPr>
                                </w:p>
                              </w:tc>
                              <w:tc>
                                <w:tcPr>
                                  <w:tcW w:w="3198" w:type="dxa"/>
                                  <w:tcBorders>
                                    <w:top w:val="single" w:sz="8" w:space="0" w:color="001F5F"/>
                                    <w:bottom w:val="single" w:sz="4" w:space="0" w:color="001F5F"/>
                                  </w:tcBorders>
                                </w:tcPr>
                                <w:p>
                                  <w:pPr>
                                    <w:pStyle w:val="TableParagraph"/>
                                    <w:tabs>
                                      <w:tab w:pos="2973" w:val="right" w:leader="none"/>
                                    </w:tabs>
                                    <w:spacing w:line="171" w:lineRule="exact" w:before="8"/>
                                    <w:ind w:right="83"/>
                                    <w:jc w:val="center"/>
                                    <w:rPr>
                                      <w:sz w:val="16"/>
                                    </w:rPr>
                                  </w:pPr>
                                  <w:r>
                                    <w:rPr>
                                      <w:sz w:val="16"/>
                                    </w:rPr>
                                    <w:t>Renovación</w:t>
                                  </w:r>
                                  <w:r>
                                    <w:rPr>
                                      <w:spacing w:val="-5"/>
                                      <w:sz w:val="16"/>
                                    </w:rPr>
                                    <w:t> </w:t>
                                  </w:r>
                                  <w:r>
                                    <w:rPr>
                                      <w:sz w:val="16"/>
                                    </w:rPr>
                                    <w:t>del</w:t>
                                  </w:r>
                                  <w:r>
                                    <w:rPr>
                                      <w:spacing w:val="-4"/>
                                      <w:sz w:val="16"/>
                                    </w:rPr>
                                    <w:t> </w:t>
                                  </w:r>
                                  <w:r>
                                    <w:rPr>
                                      <w:sz w:val="16"/>
                                    </w:rPr>
                                    <w:t>SAE</w:t>
                                  </w:r>
                                  <w:r>
                                    <w:rPr>
                                      <w:spacing w:val="-4"/>
                                      <w:sz w:val="16"/>
                                    </w:rPr>
                                    <w:t> </w:t>
                                  </w:r>
                                  <w:r>
                                    <w:rPr>
                                      <w:sz w:val="16"/>
                                    </w:rPr>
                                    <w:t>y</w:t>
                                  </w:r>
                                  <w:r>
                                    <w:rPr>
                                      <w:spacing w:val="-4"/>
                                      <w:sz w:val="16"/>
                                    </w:rPr>
                                    <w:t> </w:t>
                                  </w:r>
                                  <w:r>
                                    <w:rPr>
                                      <w:spacing w:val="-2"/>
                                      <w:sz w:val="16"/>
                                    </w:rPr>
                                    <w:t>Ticketing</w:t>
                                  </w:r>
                                  <w:r>
                                    <w:rPr>
                                      <w:rFonts w:ascii="Times New Roman" w:hAnsi="Times New Roman"/>
                                      <w:sz w:val="16"/>
                                    </w:rPr>
                                    <w:tab/>
                                  </w:r>
                                  <w:r>
                                    <w:rPr>
                                      <w:spacing w:val="-10"/>
                                      <w:sz w:val="16"/>
                                    </w:rPr>
                                    <w:t>3</w:t>
                                  </w:r>
                                </w:p>
                              </w:tc>
                              <w:tc>
                                <w:tcPr>
                                  <w:tcW w:w="1066" w:type="dxa"/>
                                  <w:tcBorders>
                                    <w:top w:val="single" w:sz="8" w:space="0" w:color="001F5F"/>
                                    <w:bottom w:val="single" w:sz="4" w:space="0" w:color="001F5F"/>
                                  </w:tcBorders>
                                </w:tcPr>
                                <w:p>
                                  <w:pPr>
                                    <w:pStyle w:val="TableParagraph"/>
                                    <w:spacing w:line="171" w:lineRule="exact" w:before="8"/>
                                    <w:ind w:right="142"/>
                                    <w:jc w:val="right"/>
                                    <w:rPr>
                                      <w:sz w:val="16"/>
                                    </w:rPr>
                                  </w:pPr>
                                  <w:r>
                                    <w:rPr>
                                      <w:spacing w:val="-2"/>
                                      <w:sz w:val="16"/>
                                    </w:rPr>
                                    <w:t>4.895.388,20</w:t>
                                  </w:r>
                                </w:p>
                              </w:tc>
                              <w:tc>
                                <w:tcPr>
                                  <w:tcW w:w="1023" w:type="dxa"/>
                                  <w:tcBorders>
                                    <w:top w:val="single" w:sz="8" w:space="0" w:color="001F5F"/>
                                    <w:bottom w:val="single" w:sz="4" w:space="0" w:color="001F5F"/>
                                  </w:tcBorders>
                                </w:tcPr>
                                <w:p>
                                  <w:pPr>
                                    <w:pStyle w:val="TableParagraph"/>
                                    <w:spacing w:line="171" w:lineRule="exact" w:before="8"/>
                                    <w:ind w:right="108"/>
                                    <w:jc w:val="right"/>
                                    <w:rPr>
                                      <w:sz w:val="16"/>
                                    </w:rPr>
                                  </w:pPr>
                                  <w:r>
                                    <w:rPr>
                                      <w:spacing w:val="-2"/>
                                      <w:sz w:val="16"/>
                                    </w:rPr>
                                    <w:t>4.794.502,65</w:t>
                                  </w:r>
                                </w:p>
                              </w:tc>
                              <w:tc>
                                <w:tcPr>
                                  <w:tcW w:w="1043" w:type="dxa"/>
                                  <w:tcBorders>
                                    <w:top w:val="single" w:sz="8" w:space="0" w:color="001F5F"/>
                                    <w:bottom w:val="single" w:sz="4" w:space="0" w:color="001F5F"/>
                                  </w:tcBorders>
                                </w:tcPr>
                                <w:p>
                                  <w:pPr>
                                    <w:pStyle w:val="TableParagraph"/>
                                    <w:spacing w:line="171" w:lineRule="exact" w:before="8"/>
                                    <w:ind w:right="160"/>
                                    <w:jc w:val="right"/>
                                    <w:rPr>
                                      <w:sz w:val="16"/>
                                    </w:rPr>
                                  </w:pPr>
                                  <w:r>
                                    <w:rPr>
                                      <w:spacing w:val="-2"/>
                                      <w:sz w:val="16"/>
                                    </w:rPr>
                                    <w:t>100.885,55</w:t>
                                  </w:r>
                                </w:p>
                              </w:tc>
                              <w:tc>
                                <w:tcPr>
                                  <w:tcW w:w="459" w:type="dxa"/>
                                  <w:tcBorders>
                                    <w:top w:val="single" w:sz="8" w:space="0" w:color="001F5F"/>
                                    <w:bottom w:val="single" w:sz="4" w:space="0" w:color="001F5F"/>
                                  </w:tcBorders>
                                </w:tcPr>
                                <w:p>
                                  <w:pPr>
                                    <w:pStyle w:val="TableParagraph"/>
                                    <w:spacing w:line="171" w:lineRule="exact" w:before="8"/>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line="171" w:lineRule="exact" w:before="8"/>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line="171" w:lineRule="exact" w:before="8"/>
                                    <w:ind w:right="1"/>
                                    <w:jc w:val="center"/>
                                    <w:rPr>
                                      <w:sz w:val="16"/>
                                    </w:rPr>
                                  </w:pPr>
                                  <w:r>
                                    <w:rPr>
                                      <w:sz w:val="16"/>
                                    </w:rPr>
                                    <w:t>En</w:t>
                                  </w:r>
                                  <w:r>
                                    <w:rPr>
                                      <w:spacing w:val="-2"/>
                                      <w:sz w:val="16"/>
                                    </w:rPr>
                                    <w:t> ejecución</w:t>
                                  </w:r>
                                </w:p>
                              </w:tc>
                            </w:tr>
                            <w:tr>
                              <w:trPr>
                                <w:trHeight w:val="208" w:hRule="atLeast"/>
                              </w:trPr>
                              <w:tc>
                                <w:tcPr>
                                  <w:tcW w:w="994" w:type="dxa"/>
                                </w:tcPr>
                                <w:p>
                                  <w:pPr>
                                    <w:pStyle w:val="TableParagraph"/>
                                    <w:spacing w:line="87" w:lineRule="exact" w:before="102"/>
                                    <w:ind w:left="70"/>
                                    <w:rPr>
                                      <w:b/>
                                      <w:sz w:val="16"/>
                                    </w:rPr>
                                  </w:pPr>
                                  <w:r>
                                    <w:rPr>
                                      <w:b/>
                                      <w:spacing w:val="-2"/>
                                      <w:sz w:val="16"/>
                                    </w:rPr>
                                    <w:t>CÓRDOBA</w:t>
                                  </w:r>
                                </w:p>
                              </w:tc>
                              <w:tc>
                                <w:tcPr>
                                  <w:tcW w:w="3198" w:type="dxa"/>
                                  <w:tcBorders>
                                    <w:top w:val="single" w:sz="4" w:space="0" w:color="001F5F"/>
                                    <w:bottom w:val="single" w:sz="4" w:space="0" w:color="001F5F"/>
                                  </w:tcBorders>
                                </w:tcPr>
                                <w:p>
                                  <w:pPr>
                                    <w:pStyle w:val="TableParagraph"/>
                                    <w:tabs>
                                      <w:tab w:pos="2973" w:val="right" w:leader="none"/>
                                    </w:tabs>
                                    <w:spacing w:line="173" w:lineRule="exact" w:before="15"/>
                                    <w:ind w:right="83"/>
                                    <w:jc w:val="center"/>
                                    <w:rPr>
                                      <w:sz w:val="16"/>
                                    </w:rPr>
                                  </w:pPr>
                                  <w:r>
                                    <w:rPr>
                                      <w:sz w:val="16"/>
                                    </w:rPr>
                                    <w:t>Nueva</w:t>
                                  </w:r>
                                  <w:r>
                                    <w:rPr>
                                      <w:spacing w:val="-4"/>
                                      <w:sz w:val="16"/>
                                    </w:rPr>
                                    <w:t> </w:t>
                                  </w:r>
                                  <w:r>
                                    <w:rPr>
                                      <w:sz w:val="16"/>
                                    </w:rPr>
                                    <w:t>página</w:t>
                                  </w:r>
                                  <w:r>
                                    <w:rPr>
                                      <w:spacing w:val="-4"/>
                                      <w:sz w:val="16"/>
                                    </w:rPr>
                                    <w:t> </w:t>
                                  </w:r>
                                  <w:r>
                                    <w:rPr>
                                      <w:sz w:val="16"/>
                                    </w:rPr>
                                    <w:t>Web</w:t>
                                  </w:r>
                                  <w:r>
                                    <w:rPr>
                                      <w:spacing w:val="-4"/>
                                      <w:sz w:val="16"/>
                                    </w:rPr>
                                    <w:t> </w:t>
                                  </w:r>
                                  <w:r>
                                    <w:rPr>
                                      <w:sz w:val="16"/>
                                    </w:rPr>
                                    <w:t>y</w:t>
                                  </w:r>
                                  <w:r>
                                    <w:rPr>
                                      <w:spacing w:val="-6"/>
                                      <w:sz w:val="16"/>
                                    </w:rPr>
                                    <w:t> </w:t>
                                  </w:r>
                                  <w:r>
                                    <w:rPr>
                                      <w:sz w:val="16"/>
                                    </w:rPr>
                                    <w:t>aplicación</w:t>
                                  </w:r>
                                  <w:r>
                                    <w:rPr>
                                      <w:spacing w:val="-3"/>
                                      <w:sz w:val="16"/>
                                    </w:rPr>
                                    <w:t> </w:t>
                                  </w:r>
                                  <w:r>
                                    <w:rPr>
                                      <w:spacing w:val="-4"/>
                                      <w:sz w:val="16"/>
                                    </w:rPr>
                                    <w:t>móvil</w:t>
                                  </w:r>
                                  <w:r>
                                    <w:rPr>
                                      <w:rFonts w:ascii="Times New Roman" w:hAnsi="Times New Roman"/>
                                      <w:sz w:val="16"/>
                                    </w:rPr>
                                    <w:tab/>
                                  </w:r>
                                  <w:r>
                                    <w:rPr>
                                      <w:spacing w:val="-10"/>
                                      <w:sz w:val="16"/>
                                    </w:rPr>
                                    <w:t>1</w:t>
                                  </w:r>
                                </w:p>
                              </w:tc>
                              <w:tc>
                                <w:tcPr>
                                  <w:tcW w:w="1066" w:type="dxa"/>
                                  <w:tcBorders>
                                    <w:top w:val="single" w:sz="4" w:space="0" w:color="001F5F"/>
                                    <w:bottom w:val="single" w:sz="4" w:space="0" w:color="001F5F"/>
                                  </w:tcBorders>
                                </w:tcPr>
                                <w:p>
                                  <w:pPr>
                                    <w:pStyle w:val="TableParagraph"/>
                                    <w:spacing w:line="173" w:lineRule="exact" w:before="15"/>
                                    <w:ind w:right="141"/>
                                    <w:jc w:val="right"/>
                                    <w:rPr>
                                      <w:sz w:val="16"/>
                                    </w:rPr>
                                  </w:pPr>
                                  <w:r>
                                    <w:rPr>
                                      <w:spacing w:val="-2"/>
                                      <w:sz w:val="16"/>
                                    </w:rPr>
                                    <w:t>49.650,00</w:t>
                                  </w:r>
                                </w:p>
                              </w:tc>
                              <w:tc>
                                <w:tcPr>
                                  <w:tcW w:w="1023" w:type="dxa"/>
                                  <w:tcBorders>
                                    <w:top w:val="single" w:sz="4" w:space="0" w:color="001F5F"/>
                                    <w:bottom w:val="single" w:sz="4" w:space="0" w:color="001F5F"/>
                                  </w:tcBorders>
                                </w:tcPr>
                                <w:p>
                                  <w:pPr>
                                    <w:pStyle w:val="TableParagraph"/>
                                    <w:spacing w:line="173" w:lineRule="exact" w:before="15"/>
                                    <w:ind w:right="108"/>
                                    <w:jc w:val="right"/>
                                    <w:rPr>
                                      <w:sz w:val="16"/>
                                    </w:rPr>
                                  </w:pPr>
                                  <w:r>
                                    <w:rPr>
                                      <w:spacing w:val="-2"/>
                                      <w:sz w:val="16"/>
                                    </w:rPr>
                                    <w:t>49.650,00</w:t>
                                  </w:r>
                                </w:p>
                              </w:tc>
                              <w:tc>
                                <w:tcPr>
                                  <w:tcW w:w="1043" w:type="dxa"/>
                                  <w:tcBorders>
                                    <w:top w:val="single" w:sz="4" w:space="0" w:color="001F5F"/>
                                    <w:bottom w:val="single" w:sz="4" w:space="0" w:color="001F5F"/>
                                  </w:tcBorders>
                                </w:tcPr>
                                <w:p>
                                  <w:pPr>
                                    <w:pStyle w:val="TableParagraph"/>
                                    <w:spacing w:line="173" w:lineRule="exact" w:before="15"/>
                                    <w:ind w:right="159"/>
                                    <w:jc w:val="right"/>
                                    <w:rPr>
                                      <w:sz w:val="16"/>
                                    </w:rPr>
                                  </w:pPr>
                                  <w:r>
                                    <w:rPr>
                                      <w:spacing w:val="-4"/>
                                      <w:sz w:val="16"/>
                                    </w:rPr>
                                    <w:t>0,00</w:t>
                                  </w:r>
                                </w:p>
                              </w:tc>
                              <w:tc>
                                <w:tcPr>
                                  <w:tcW w:w="459" w:type="dxa"/>
                                  <w:tcBorders>
                                    <w:top w:val="single" w:sz="4" w:space="0" w:color="001F5F"/>
                                    <w:bottom w:val="single" w:sz="4" w:space="0" w:color="001F5F"/>
                                  </w:tcBorders>
                                </w:tcPr>
                                <w:p>
                                  <w:pPr>
                                    <w:pStyle w:val="TableParagraph"/>
                                    <w:spacing w:line="173" w:lineRule="exact" w:before="15"/>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3" w:lineRule="exact" w:before="15"/>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3" w:lineRule="exact" w:before="15"/>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3" w:lineRule="exact" w:before="15"/>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3" w:lineRule="exact" w:before="15"/>
                                    <w:ind w:right="1"/>
                                    <w:jc w:val="center"/>
                                    <w:rPr>
                                      <w:sz w:val="16"/>
                                    </w:rPr>
                                  </w:pPr>
                                  <w:r>
                                    <w:rPr>
                                      <w:sz w:val="16"/>
                                    </w:rPr>
                                    <w:t>En</w:t>
                                  </w:r>
                                  <w:r>
                                    <w:rPr>
                                      <w:spacing w:val="-2"/>
                                      <w:sz w:val="16"/>
                                    </w:rPr>
                                    <w:t> ejecución</w:t>
                                  </w:r>
                                </w:p>
                              </w:tc>
                            </w:tr>
                            <w:tr>
                              <w:trPr>
                                <w:trHeight w:val="376" w:hRule="atLeast"/>
                              </w:trPr>
                              <w:tc>
                                <w:tcPr>
                                  <w:tcW w:w="994" w:type="dxa"/>
                                  <w:tcBorders>
                                    <w:bottom w:val="single" w:sz="8" w:space="0" w:color="001F5F"/>
                                  </w:tcBorders>
                                </w:tcPr>
                                <w:p>
                                  <w:pPr>
                                    <w:pStyle w:val="TableParagraph"/>
                                    <w:rPr>
                                      <w:rFonts w:ascii="Times New Roman"/>
                                      <w:sz w:val="16"/>
                                    </w:rPr>
                                  </w:pPr>
                                </w:p>
                              </w:tc>
                              <w:tc>
                                <w:tcPr>
                                  <w:tcW w:w="3198" w:type="dxa"/>
                                  <w:tcBorders>
                                    <w:top w:val="single" w:sz="4" w:space="0" w:color="001F5F"/>
                                    <w:bottom w:val="single" w:sz="8" w:space="0" w:color="001F5F"/>
                                  </w:tcBorders>
                                </w:tcPr>
                                <w:p>
                                  <w:pPr>
                                    <w:pStyle w:val="TableParagraph"/>
                                    <w:tabs>
                                      <w:tab w:pos="2973" w:val="right" w:leader="none"/>
                                    </w:tabs>
                                    <w:spacing w:before="8"/>
                                    <w:ind w:right="83"/>
                                    <w:jc w:val="center"/>
                                    <w:rPr>
                                      <w:position w:val="-8"/>
                                      <w:sz w:val="16"/>
                                    </w:rPr>
                                  </w:pPr>
                                  <w:r>
                                    <w:rPr>
                                      <w:sz w:val="16"/>
                                    </w:rPr>
                                    <w:t>Servicio</w:t>
                                  </w:r>
                                  <w:r>
                                    <w:rPr>
                                      <w:spacing w:val="-5"/>
                                      <w:sz w:val="16"/>
                                    </w:rPr>
                                    <w:t> </w:t>
                                  </w:r>
                                  <w:r>
                                    <w:rPr>
                                      <w:sz w:val="16"/>
                                    </w:rPr>
                                    <w:t>de</w:t>
                                  </w:r>
                                  <w:r>
                                    <w:rPr>
                                      <w:spacing w:val="-4"/>
                                      <w:sz w:val="16"/>
                                    </w:rPr>
                                    <w:t> </w:t>
                                  </w:r>
                                  <w:r>
                                    <w:rPr>
                                      <w:sz w:val="16"/>
                                    </w:rPr>
                                    <w:t>venta</w:t>
                                  </w:r>
                                  <w:r>
                                    <w:rPr>
                                      <w:spacing w:val="-4"/>
                                      <w:sz w:val="16"/>
                                    </w:rPr>
                                    <w:t> </w:t>
                                  </w:r>
                                  <w:r>
                                    <w:rPr>
                                      <w:sz w:val="16"/>
                                    </w:rPr>
                                    <w:t>y</w:t>
                                  </w:r>
                                  <w:r>
                                    <w:rPr>
                                      <w:spacing w:val="-5"/>
                                      <w:sz w:val="16"/>
                                    </w:rPr>
                                    <w:t> </w:t>
                                  </w:r>
                                  <w:r>
                                    <w:rPr>
                                      <w:sz w:val="16"/>
                                    </w:rPr>
                                    <w:t>validación</w:t>
                                  </w:r>
                                  <w:r>
                                    <w:rPr>
                                      <w:spacing w:val="-4"/>
                                      <w:sz w:val="16"/>
                                    </w:rPr>
                                    <w:t> </w:t>
                                  </w:r>
                                  <w:r>
                                    <w:rPr>
                                      <w:sz w:val="16"/>
                                    </w:rPr>
                                    <w:t>de</w:t>
                                  </w:r>
                                  <w:r>
                                    <w:rPr>
                                      <w:spacing w:val="-4"/>
                                      <w:sz w:val="16"/>
                                    </w:rPr>
                                    <w:t> </w:t>
                                  </w:r>
                                  <w:r>
                                    <w:rPr>
                                      <w:spacing w:val="-2"/>
                                      <w:sz w:val="16"/>
                                    </w:rPr>
                                    <w:t>billete</w:t>
                                  </w:r>
                                  <w:r>
                                    <w:rPr>
                                      <w:rFonts w:ascii="Times New Roman" w:hAnsi="Times New Roman"/>
                                      <w:sz w:val="16"/>
                                    </w:rPr>
                                    <w:tab/>
                                  </w:r>
                                  <w:r>
                                    <w:rPr>
                                      <w:spacing w:val="-10"/>
                                      <w:position w:val="-8"/>
                                      <w:sz w:val="16"/>
                                    </w:rPr>
                                    <w:t>1</w:t>
                                  </w:r>
                                </w:p>
                              </w:tc>
                              <w:tc>
                                <w:tcPr>
                                  <w:tcW w:w="1066" w:type="dxa"/>
                                  <w:tcBorders>
                                    <w:top w:val="single" w:sz="4" w:space="0" w:color="001F5F"/>
                                    <w:bottom w:val="single" w:sz="8" w:space="0" w:color="001F5F"/>
                                  </w:tcBorders>
                                </w:tcPr>
                                <w:p>
                                  <w:pPr>
                                    <w:pStyle w:val="TableParagraph"/>
                                    <w:spacing w:before="102"/>
                                    <w:ind w:right="141"/>
                                    <w:jc w:val="right"/>
                                    <w:rPr>
                                      <w:sz w:val="16"/>
                                    </w:rPr>
                                  </w:pPr>
                                  <w:r>
                                    <w:rPr>
                                      <w:spacing w:val="-2"/>
                                      <w:sz w:val="16"/>
                                    </w:rPr>
                                    <w:t>247,93</w:t>
                                  </w:r>
                                </w:p>
                              </w:tc>
                              <w:tc>
                                <w:tcPr>
                                  <w:tcW w:w="1023" w:type="dxa"/>
                                  <w:tcBorders>
                                    <w:top w:val="single" w:sz="4" w:space="0" w:color="001F5F"/>
                                    <w:bottom w:val="single" w:sz="8" w:space="0" w:color="001F5F"/>
                                  </w:tcBorders>
                                </w:tcPr>
                                <w:p>
                                  <w:pPr>
                                    <w:pStyle w:val="TableParagraph"/>
                                    <w:spacing w:before="102"/>
                                    <w:ind w:right="108"/>
                                    <w:jc w:val="right"/>
                                    <w:rPr>
                                      <w:sz w:val="16"/>
                                    </w:rPr>
                                  </w:pPr>
                                  <w:r>
                                    <w:rPr>
                                      <w:spacing w:val="-2"/>
                                      <w:sz w:val="16"/>
                                    </w:rPr>
                                    <w:t>247,93</w:t>
                                  </w:r>
                                </w:p>
                              </w:tc>
                              <w:tc>
                                <w:tcPr>
                                  <w:tcW w:w="1043" w:type="dxa"/>
                                  <w:tcBorders>
                                    <w:top w:val="single" w:sz="4" w:space="0" w:color="001F5F"/>
                                    <w:bottom w:val="single" w:sz="8" w:space="0" w:color="001F5F"/>
                                  </w:tcBorders>
                                </w:tcPr>
                                <w:p>
                                  <w:pPr>
                                    <w:pStyle w:val="TableParagraph"/>
                                    <w:spacing w:before="102"/>
                                    <w:ind w:right="159"/>
                                    <w:jc w:val="right"/>
                                    <w:rPr>
                                      <w:sz w:val="16"/>
                                    </w:rPr>
                                  </w:pPr>
                                  <w:r>
                                    <w:rPr>
                                      <w:spacing w:val="-4"/>
                                      <w:sz w:val="16"/>
                                    </w:rPr>
                                    <w:t>0,00</w:t>
                                  </w:r>
                                </w:p>
                              </w:tc>
                              <w:tc>
                                <w:tcPr>
                                  <w:tcW w:w="459" w:type="dxa"/>
                                  <w:tcBorders>
                                    <w:top w:val="single" w:sz="4" w:space="0" w:color="001F5F"/>
                                    <w:bottom w:val="single" w:sz="8"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102"/>
                                    <w:ind w:right="1"/>
                                    <w:jc w:val="center"/>
                                    <w:rPr>
                                      <w:sz w:val="16"/>
                                    </w:rPr>
                                  </w:pPr>
                                  <w:r>
                                    <w:rPr>
                                      <w:sz w:val="16"/>
                                    </w:rPr>
                                    <w:t>En</w:t>
                                  </w:r>
                                  <w:r>
                                    <w:rPr>
                                      <w:spacing w:val="-2"/>
                                      <w:sz w:val="16"/>
                                    </w:rPr>
                                    <w:t> ejecución</w:t>
                                  </w:r>
                                </w:p>
                              </w:tc>
                            </w:tr>
                            <w:tr>
                              <w:trPr>
                                <w:trHeight w:val="198" w:hRule="atLeast"/>
                              </w:trPr>
                              <w:tc>
                                <w:tcPr>
                                  <w:tcW w:w="994" w:type="dxa"/>
                                  <w:tcBorders>
                                    <w:top w:val="single" w:sz="8" w:space="0" w:color="001F5F"/>
                                  </w:tcBorders>
                                </w:tcPr>
                                <w:p>
                                  <w:pPr>
                                    <w:pStyle w:val="TableParagraph"/>
                                    <w:rPr>
                                      <w:rFonts w:ascii="Times New Roman"/>
                                      <w:sz w:val="12"/>
                                    </w:rPr>
                                  </w:pPr>
                                </w:p>
                              </w:tc>
                              <w:tc>
                                <w:tcPr>
                                  <w:tcW w:w="3198" w:type="dxa"/>
                                  <w:tcBorders>
                                    <w:top w:val="single" w:sz="8" w:space="0" w:color="001F5F"/>
                                    <w:bottom w:val="single" w:sz="4" w:space="0" w:color="002D5D"/>
                                  </w:tcBorders>
                                </w:tcPr>
                                <w:p>
                                  <w:pPr>
                                    <w:pStyle w:val="TableParagraph"/>
                                    <w:tabs>
                                      <w:tab w:pos="2973" w:val="right" w:leader="none"/>
                                    </w:tabs>
                                    <w:spacing w:line="171" w:lineRule="exact" w:before="8"/>
                                    <w:ind w:right="83"/>
                                    <w:jc w:val="center"/>
                                    <w:rPr>
                                      <w:sz w:val="16"/>
                                    </w:rPr>
                                  </w:pPr>
                                  <w:r>
                                    <w:rPr>
                                      <w:sz w:val="16"/>
                                    </w:rPr>
                                    <w:t>Digitalización</w:t>
                                  </w:r>
                                  <w:r>
                                    <w:rPr>
                                      <w:spacing w:val="-6"/>
                                      <w:sz w:val="16"/>
                                    </w:rPr>
                                    <w:t> </w:t>
                                  </w:r>
                                  <w:r>
                                    <w:rPr>
                                      <w:sz w:val="16"/>
                                    </w:rPr>
                                    <w:t>de</w:t>
                                  </w:r>
                                  <w:r>
                                    <w:rPr>
                                      <w:spacing w:val="-4"/>
                                      <w:sz w:val="16"/>
                                    </w:rPr>
                                    <w:t> </w:t>
                                  </w:r>
                                  <w:r>
                                    <w:rPr>
                                      <w:sz w:val="16"/>
                                    </w:rPr>
                                    <w:t>los</w:t>
                                  </w:r>
                                  <w:r>
                                    <w:rPr>
                                      <w:spacing w:val="-5"/>
                                      <w:sz w:val="16"/>
                                    </w:rPr>
                                    <w:t> </w:t>
                                  </w:r>
                                  <w:r>
                                    <w:rPr>
                                      <w:sz w:val="16"/>
                                    </w:rPr>
                                    <w:t>medios</w:t>
                                  </w:r>
                                  <w:r>
                                    <w:rPr>
                                      <w:spacing w:val="-5"/>
                                      <w:sz w:val="16"/>
                                    </w:rPr>
                                    <w:t> </w:t>
                                  </w:r>
                                  <w:r>
                                    <w:rPr>
                                      <w:sz w:val="16"/>
                                    </w:rPr>
                                    <w:t>de</w:t>
                                  </w:r>
                                  <w:r>
                                    <w:rPr>
                                      <w:spacing w:val="-5"/>
                                      <w:sz w:val="16"/>
                                    </w:rPr>
                                    <w:t> </w:t>
                                  </w:r>
                                  <w:r>
                                    <w:rPr>
                                      <w:spacing w:val="-4"/>
                                      <w:sz w:val="16"/>
                                    </w:rPr>
                                    <w:t>pago</w:t>
                                  </w:r>
                                  <w:r>
                                    <w:rPr>
                                      <w:rFonts w:ascii="Times New Roman" w:hAnsi="Times New Roman"/>
                                      <w:sz w:val="16"/>
                                    </w:rPr>
                                    <w:tab/>
                                  </w:r>
                                  <w:r>
                                    <w:rPr>
                                      <w:spacing w:val="-10"/>
                                      <w:sz w:val="16"/>
                                    </w:rPr>
                                    <w:t>3</w:t>
                                  </w:r>
                                </w:p>
                              </w:tc>
                              <w:tc>
                                <w:tcPr>
                                  <w:tcW w:w="1066" w:type="dxa"/>
                                  <w:tcBorders>
                                    <w:top w:val="single" w:sz="8" w:space="0" w:color="001F5F"/>
                                    <w:bottom w:val="single" w:sz="4" w:space="0" w:color="001F5F"/>
                                  </w:tcBorders>
                                </w:tcPr>
                                <w:p>
                                  <w:pPr>
                                    <w:pStyle w:val="TableParagraph"/>
                                    <w:spacing w:line="171" w:lineRule="exact" w:before="8"/>
                                    <w:ind w:right="142"/>
                                    <w:jc w:val="right"/>
                                    <w:rPr>
                                      <w:sz w:val="16"/>
                                    </w:rPr>
                                  </w:pPr>
                                  <w:r>
                                    <w:rPr>
                                      <w:spacing w:val="-2"/>
                                      <w:sz w:val="16"/>
                                    </w:rPr>
                                    <w:t>1.571.990,00</w:t>
                                  </w:r>
                                </w:p>
                              </w:tc>
                              <w:tc>
                                <w:tcPr>
                                  <w:tcW w:w="1023" w:type="dxa"/>
                                  <w:tcBorders>
                                    <w:top w:val="single" w:sz="8" w:space="0" w:color="001F5F"/>
                                    <w:bottom w:val="single" w:sz="4" w:space="0" w:color="001F5F"/>
                                  </w:tcBorders>
                                </w:tcPr>
                                <w:p>
                                  <w:pPr>
                                    <w:pStyle w:val="TableParagraph"/>
                                    <w:spacing w:line="171" w:lineRule="exact" w:before="8"/>
                                    <w:ind w:right="108"/>
                                    <w:jc w:val="right"/>
                                    <w:rPr>
                                      <w:sz w:val="16"/>
                                    </w:rPr>
                                  </w:pPr>
                                  <w:r>
                                    <w:rPr>
                                      <w:spacing w:val="-2"/>
                                      <w:sz w:val="16"/>
                                    </w:rPr>
                                    <w:t>229.670,02</w:t>
                                  </w:r>
                                </w:p>
                              </w:tc>
                              <w:tc>
                                <w:tcPr>
                                  <w:tcW w:w="1043" w:type="dxa"/>
                                  <w:tcBorders>
                                    <w:top w:val="single" w:sz="8" w:space="0" w:color="001F5F"/>
                                    <w:bottom w:val="single" w:sz="4" w:space="0" w:color="001F5F"/>
                                  </w:tcBorders>
                                </w:tcPr>
                                <w:p>
                                  <w:pPr>
                                    <w:pStyle w:val="TableParagraph"/>
                                    <w:spacing w:line="171" w:lineRule="exact" w:before="8"/>
                                    <w:ind w:right="160"/>
                                    <w:jc w:val="right"/>
                                    <w:rPr>
                                      <w:sz w:val="16"/>
                                    </w:rPr>
                                  </w:pPr>
                                  <w:r>
                                    <w:rPr>
                                      <w:spacing w:val="-2"/>
                                      <w:sz w:val="16"/>
                                    </w:rPr>
                                    <w:t>1.342.319,98</w:t>
                                  </w:r>
                                </w:p>
                              </w:tc>
                              <w:tc>
                                <w:tcPr>
                                  <w:tcW w:w="459" w:type="dxa"/>
                                  <w:tcBorders>
                                    <w:top w:val="single" w:sz="8" w:space="0" w:color="001F5F"/>
                                    <w:bottom w:val="single" w:sz="4" w:space="0" w:color="001F5F"/>
                                  </w:tcBorders>
                                </w:tcPr>
                                <w:p>
                                  <w:pPr>
                                    <w:pStyle w:val="TableParagraph"/>
                                    <w:spacing w:line="171" w:lineRule="exact" w:before="8"/>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line="171" w:lineRule="exact" w:before="8"/>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line="171" w:lineRule="exact" w:before="8"/>
                                    <w:ind w:right="1"/>
                                    <w:jc w:val="center"/>
                                    <w:rPr>
                                      <w:sz w:val="16"/>
                                    </w:rPr>
                                  </w:pPr>
                                  <w:r>
                                    <w:rPr>
                                      <w:sz w:val="16"/>
                                    </w:rPr>
                                    <w:t>En</w:t>
                                  </w:r>
                                  <w:r>
                                    <w:rPr>
                                      <w:spacing w:val="-2"/>
                                      <w:sz w:val="16"/>
                                    </w:rPr>
                                    <w:t> ejecución</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Digitalización</w:t>
                                  </w:r>
                                  <w:r>
                                    <w:rPr>
                                      <w:spacing w:val="-9"/>
                                      <w:sz w:val="16"/>
                                    </w:rPr>
                                    <w:t> </w:t>
                                  </w:r>
                                  <w:r>
                                    <w:rPr>
                                      <w:sz w:val="16"/>
                                    </w:rPr>
                                    <w:t>sistemas</w:t>
                                  </w:r>
                                  <w:r>
                                    <w:rPr>
                                      <w:spacing w:val="-9"/>
                                      <w:sz w:val="16"/>
                                    </w:rPr>
                                    <w:t> </w:t>
                                  </w:r>
                                  <w:r>
                                    <w:rPr>
                                      <w:spacing w:val="-5"/>
                                      <w:sz w:val="16"/>
                                    </w:rPr>
                                    <w:t>de</w:t>
                                  </w:r>
                                  <w:r>
                                    <w:rPr>
                                      <w:rFonts w:ascii="Times New Roman" w:hAnsi="Times New Roman"/>
                                      <w:sz w:val="16"/>
                                    </w:rPr>
                                    <w:tab/>
                                  </w:r>
                                  <w:r>
                                    <w:rPr>
                                      <w:spacing w:val="-10"/>
                                      <w:position w:val="-8"/>
                                      <w:sz w:val="16"/>
                                    </w:rPr>
                                    <w:t>7</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1.332.137,54</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189.433,28</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1.142.704,26</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right="1"/>
                                    <w:jc w:val="center"/>
                                    <w:rPr>
                                      <w:sz w:val="16"/>
                                    </w:rPr>
                                  </w:pPr>
                                  <w:r>
                                    <w:rPr>
                                      <w:sz w:val="16"/>
                                    </w:rPr>
                                    <w:t>En</w:t>
                                  </w:r>
                                  <w:r>
                                    <w:rPr>
                                      <w:spacing w:val="-2"/>
                                      <w:sz w:val="16"/>
                                    </w:rPr>
                                    <w:t> ejecución</w:t>
                                  </w:r>
                                </w:p>
                              </w:tc>
                            </w:tr>
                            <w:tr>
                              <w:trPr>
                                <w:trHeight w:val="208" w:hRule="atLeast"/>
                              </w:trPr>
                              <w:tc>
                                <w:tcPr>
                                  <w:tcW w:w="994" w:type="dxa"/>
                                </w:tcPr>
                                <w:p>
                                  <w:pPr>
                                    <w:pStyle w:val="TableParagraph"/>
                                    <w:rPr>
                                      <w:rFonts w:ascii="Times New Roman"/>
                                      <w:sz w:val="14"/>
                                    </w:rPr>
                                  </w:pPr>
                                </w:p>
                              </w:tc>
                              <w:tc>
                                <w:tcPr>
                                  <w:tcW w:w="3198" w:type="dxa"/>
                                  <w:tcBorders>
                                    <w:top w:val="single" w:sz="4" w:space="0" w:color="002D5D"/>
                                    <w:bottom w:val="single" w:sz="4" w:space="0" w:color="002D5D"/>
                                  </w:tcBorders>
                                </w:tcPr>
                                <w:p>
                                  <w:pPr>
                                    <w:pStyle w:val="TableParagraph"/>
                                    <w:tabs>
                                      <w:tab w:pos="2973" w:val="right" w:leader="none"/>
                                    </w:tabs>
                                    <w:spacing w:line="171" w:lineRule="exact" w:before="18"/>
                                    <w:ind w:right="83"/>
                                    <w:jc w:val="center"/>
                                    <w:rPr>
                                      <w:sz w:val="16"/>
                                    </w:rPr>
                                  </w:pPr>
                                  <w:r>
                                    <w:rPr>
                                      <w:sz w:val="16"/>
                                    </w:rPr>
                                    <w:t>Marquesinas</w:t>
                                  </w:r>
                                  <w:r>
                                    <w:rPr>
                                      <w:spacing w:val="-11"/>
                                      <w:sz w:val="16"/>
                                    </w:rPr>
                                    <w:t> </w:t>
                                  </w:r>
                                  <w:r>
                                    <w:rPr>
                                      <w:spacing w:val="-2"/>
                                      <w:sz w:val="16"/>
                                    </w:rPr>
                                    <w:t>inteligentes</w:t>
                                  </w:r>
                                  <w:r>
                                    <w:rPr>
                                      <w:rFonts w:ascii="Times New Roman"/>
                                      <w:sz w:val="16"/>
                                    </w:rPr>
                                    <w:tab/>
                                  </w:r>
                                  <w:r>
                                    <w:rPr>
                                      <w:spacing w:val="-10"/>
                                      <w:sz w:val="16"/>
                                    </w:rPr>
                                    <w:t>1</w:t>
                                  </w:r>
                                </w:p>
                              </w:tc>
                              <w:tc>
                                <w:tcPr>
                                  <w:tcW w:w="1066" w:type="dxa"/>
                                  <w:tcBorders>
                                    <w:top w:val="single" w:sz="4" w:space="0" w:color="001F5F"/>
                                    <w:bottom w:val="single" w:sz="4" w:space="0" w:color="001F5F"/>
                                  </w:tcBorders>
                                </w:tcPr>
                                <w:p>
                                  <w:pPr>
                                    <w:pStyle w:val="TableParagraph"/>
                                    <w:spacing w:line="171" w:lineRule="exact" w:before="18"/>
                                    <w:ind w:right="142"/>
                                    <w:jc w:val="right"/>
                                    <w:rPr>
                                      <w:sz w:val="16"/>
                                    </w:rPr>
                                  </w:pPr>
                                  <w:r>
                                    <w:rPr>
                                      <w:spacing w:val="-2"/>
                                      <w:sz w:val="16"/>
                                    </w:rPr>
                                    <w:t>1.171.385,00</w:t>
                                  </w:r>
                                </w:p>
                              </w:tc>
                              <w:tc>
                                <w:tcPr>
                                  <w:tcW w:w="1023" w:type="dxa"/>
                                  <w:tcBorders>
                                    <w:top w:val="single" w:sz="4" w:space="0" w:color="001F5F"/>
                                    <w:bottom w:val="single" w:sz="4" w:space="0" w:color="001F5F"/>
                                  </w:tcBorders>
                                </w:tcPr>
                                <w:p>
                                  <w:pPr>
                                    <w:pStyle w:val="TableParagraph"/>
                                    <w:spacing w:line="171" w:lineRule="exact" w:before="18"/>
                                    <w:ind w:right="108"/>
                                    <w:jc w:val="right"/>
                                    <w:rPr>
                                      <w:sz w:val="16"/>
                                    </w:rPr>
                                  </w:pPr>
                                  <w:r>
                                    <w:rPr>
                                      <w:spacing w:val="-2"/>
                                      <w:sz w:val="16"/>
                                    </w:rPr>
                                    <w:t>117.138,50</w:t>
                                  </w:r>
                                </w:p>
                              </w:tc>
                              <w:tc>
                                <w:tcPr>
                                  <w:tcW w:w="1043" w:type="dxa"/>
                                  <w:tcBorders>
                                    <w:top w:val="single" w:sz="4" w:space="0" w:color="001F5F"/>
                                    <w:bottom w:val="single" w:sz="4" w:space="0" w:color="001F5F"/>
                                  </w:tcBorders>
                                </w:tcPr>
                                <w:p>
                                  <w:pPr>
                                    <w:pStyle w:val="TableParagraph"/>
                                    <w:spacing w:line="171" w:lineRule="exact" w:before="18"/>
                                    <w:ind w:right="160"/>
                                    <w:jc w:val="right"/>
                                    <w:rPr>
                                      <w:sz w:val="16"/>
                                    </w:rPr>
                                  </w:pPr>
                                  <w:r>
                                    <w:rPr>
                                      <w:spacing w:val="-2"/>
                                      <w:sz w:val="16"/>
                                    </w:rPr>
                                    <w:t>1.054.246,50</w:t>
                                  </w:r>
                                </w:p>
                              </w:tc>
                              <w:tc>
                                <w:tcPr>
                                  <w:tcW w:w="459" w:type="dxa"/>
                                  <w:tcBorders>
                                    <w:top w:val="single" w:sz="4" w:space="0" w:color="001F5F"/>
                                    <w:bottom w:val="single" w:sz="4" w:space="0" w:color="001F5F"/>
                                  </w:tcBorders>
                                </w:tcPr>
                                <w:p>
                                  <w:pPr>
                                    <w:pStyle w:val="TableParagraph"/>
                                    <w:spacing w:line="171" w:lineRule="exact" w:before="18"/>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1" w:lineRule="exact" w:before="18"/>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1" w:lineRule="exact" w:before="18"/>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1" w:lineRule="exact" w:before="18"/>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1" w:lineRule="exact" w:before="18"/>
                                    <w:ind w:left="1" w:right="1"/>
                                    <w:jc w:val="center"/>
                                    <w:rPr>
                                      <w:sz w:val="16"/>
                                    </w:rPr>
                                  </w:pPr>
                                  <w:r>
                                    <w:rPr>
                                      <w:spacing w:val="-2"/>
                                      <w:sz w:val="16"/>
                                    </w:rPr>
                                    <w:t>Finalizada</w:t>
                                  </w:r>
                                </w:p>
                              </w:tc>
                            </w:tr>
                            <w:tr>
                              <w:trPr>
                                <w:trHeight w:val="378"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10"/>
                                    <w:ind w:right="83"/>
                                    <w:jc w:val="center"/>
                                    <w:rPr>
                                      <w:position w:val="-8"/>
                                      <w:sz w:val="16"/>
                                    </w:rPr>
                                  </w:pPr>
                                  <w:r>
                                    <w:rPr>
                                      <w:sz w:val="16"/>
                                    </w:rPr>
                                    <w:t>Digitalización</w:t>
                                  </w:r>
                                  <w:r>
                                    <w:rPr>
                                      <w:spacing w:val="-5"/>
                                      <w:sz w:val="16"/>
                                    </w:rPr>
                                    <w:t> </w:t>
                                  </w:r>
                                  <w:r>
                                    <w:rPr>
                                      <w:sz w:val="16"/>
                                    </w:rPr>
                                    <w:t>de</w:t>
                                  </w:r>
                                  <w:r>
                                    <w:rPr>
                                      <w:spacing w:val="-5"/>
                                      <w:sz w:val="16"/>
                                    </w:rPr>
                                    <w:t> </w:t>
                                  </w:r>
                                  <w:r>
                                    <w:rPr>
                                      <w:sz w:val="16"/>
                                    </w:rPr>
                                    <w:t>las</w:t>
                                  </w:r>
                                  <w:r>
                                    <w:rPr>
                                      <w:spacing w:val="-6"/>
                                      <w:sz w:val="16"/>
                                    </w:rPr>
                                    <w:t> </w:t>
                                  </w:r>
                                  <w:r>
                                    <w:rPr>
                                      <w:sz w:val="16"/>
                                    </w:rPr>
                                    <w:t>actividades</w:t>
                                  </w:r>
                                  <w:r>
                                    <w:rPr>
                                      <w:spacing w:val="-6"/>
                                      <w:sz w:val="16"/>
                                    </w:rPr>
                                    <w:t> </w:t>
                                  </w:r>
                                  <w:r>
                                    <w:rPr>
                                      <w:sz w:val="16"/>
                                    </w:rPr>
                                    <w:t>del</w:t>
                                  </w:r>
                                  <w:r>
                                    <w:rPr>
                                      <w:spacing w:val="-5"/>
                                      <w:sz w:val="16"/>
                                    </w:rPr>
                                    <w:t> </w:t>
                                  </w:r>
                                  <w:r>
                                    <w:rPr>
                                      <w:spacing w:val="-2"/>
                                      <w:sz w:val="16"/>
                                    </w:rPr>
                                    <w:t>taller</w:t>
                                  </w:r>
                                  <w:r>
                                    <w:rPr>
                                      <w:rFonts w:ascii="Times New Roman" w:hAnsi="Times New Roman"/>
                                      <w:sz w:val="16"/>
                                    </w:rPr>
                                    <w:tab/>
                                  </w:r>
                                  <w:r>
                                    <w:rPr>
                                      <w:spacing w:val="-10"/>
                                      <w:position w:val="-8"/>
                                      <w:sz w:val="16"/>
                                    </w:rPr>
                                    <w:t>4</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154.286,44</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15.428,82</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138.857,62</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Software</w:t>
                                  </w:r>
                                  <w:r>
                                    <w:rPr>
                                      <w:spacing w:val="-5"/>
                                      <w:sz w:val="16"/>
                                    </w:rPr>
                                    <w:t> </w:t>
                                  </w:r>
                                  <w:r>
                                    <w:rPr>
                                      <w:sz w:val="16"/>
                                    </w:rPr>
                                    <w:t>visionado</w:t>
                                  </w:r>
                                  <w:r>
                                    <w:rPr>
                                      <w:spacing w:val="-5"/>
                                      <w:sz w:val="16"/>
                                    </w:rPr>
                                    <w:t> </w:t>
                                  </w:r>
                                  <w:r>
                                    <w:rPr>
                                      <w:sz w:val="16"/>
                                    </w:rPr>
                                    <w:t>y</w:t>
                                  </w:r>
                                  <w:r>
                                    <w:rPr>
                                      <w:spacing w:val="-6"/>
                                      <w:sz w:val="16"/>
                                    </w:rPr>
                                    <w:t> </w:t>
                                  </w:r>
                                  <w:r>
                                    <w:rPr>
                                      <w:spacing w:val="-2"/>
                                      <w:sz w:val="16"/>
                                    </w:rPr>
                                    <w:t>tratamiento</w:t>
                                  </w:r>
                                  <w:r>
                                    <w:rPr>
                                      <w:rFonts w:ascii="Times New Roman"/>
                                      <w:sz w:val="16"/>
                                    </w:rPr>
                                    <w:tab/>
                                  </w:r>
                                  <w:r>
                                    <w:rPr>
                                      <w:spacing w:val="-10"/>
                                      <w:position w:val="-8"/>
                                      <w:sz w:val="16"/>
                                    </w:rPr>
                                    <w:t>2</w:t>
                                  </w:r>
                                </w:p>
                              </w:tc>
                              <w:tc>
                                <w:tcPr>
                                  <w:tcW w:w="1066" w:type="dxa"/>
                                  <w:tcBorders>
                                    <w:top w:val="single" w:sz="4" w:space="0" w:color="001F5F"/>
                                    <w:bottom w:val="single" w:sz="4" w:space="0" w:color="001F5F"/>
                                  </w:tcBorders>
                                </w:tcPr>
                                <w:p>
                                  <w:pPr>
                                    <w:pStyle w:val="TableParagraph"/>
                                    <w:spacing w:before="99"/>
                                    <w:ind w:right="142"/>
                                    <w:jc w:val="right"/>
                                    <w:rPr>
                                      <w:sz w:val="16"/>
                                    </w:rPr>
                                  </w:pPr>
                                  <w:r>
                                    <w:rPr>
                                      <w:spacing w:val="-2"/>
                                      <w:sz w:val="16"/>
                                    </w:rPr>
                                    <w:t>424.348,87</w:t>
                                  </w:r>
                                </w:p>
                              </w:tc>
                              <w:tc>
                                <w:tcPr>
                                  <w:tcW w:w="1023" w:type="dxa"/>
                                  <w:tcBorders>
                                    <w:top w:val="single" w:sz="4" w:space="0" w:color="001F5F"/>
                                    <w:bottom w:val="single" w:sz="4" w:space="0" w:color="001F5F"/>
                                  </w:tcBorders>
                                </w:tcPr>
                                <w:p>
                                  <w:pPr>
                                    <w:pStyle w:val="TableParagraph"/>
                                    <w:spacing w:before="99"/>
                                    <w:ind w:right="108"/>
                                    <w:jc w:val="right"/>
                                    <w:rPr>
                                      <w:sz w:val="16"/>
                                    </w:rPr>
                                  </w:pPr>
                                  <w:r>
                                    <w:rPr>
                                      <w:spacing w:val="-2"/>
                                      <w:sz w:val="16"/>
                                    </w:rPr>
                                    <w:t>106.649,98</w:t>
                                  </w:r>
                                </w:p>
                              </w:tc>
                              <w:tc>
                                <w:tcPr>
                                  <w:tcW w:w="1043" w:type="dxa"/>
                                  <w:tcBorders>
                                    <w:top w:val="single" w:sz="4" w:space="0" w:color="001F5F"/>
                                    <w:bottom w:val="single" w:sz="4" w:space="0" w:color="001F5F"/>
                                  </w:tcBorders>
                                </w:tcPr>
                                <w:p>
                                  <w:pPr>
                                    <w:pStyle w:val="TableParagraph"/>
                                    <w:spacing w:before="99"/>
                                    <w:ind w:right="160"/>
                                    <w:jc w:val="right"/>
                                    <w:rPr>
                                      <w:sz w:val="16"/>
                                    </w:rPr>
                                  </w:pPr>
                                  <w:r>
                                    <w:rPr>
                                      <w:spacing w:val="-2"/>
                                      <w:sz w:val="16"/>
                                    </w:rPr>
                                    <w:t>317.698,89</w:t>
                                  </w:r>
                                </w:p>
                              </w:tc>
                              <w:tc>
                                <w:tcPr>
                                  <w:tcW w:w="459" w:type="dxa"/>
                                  <w:tcBorders>
                                    <w:top w:val="single" w:sz="4" w:space="0" w:color="001F5F"/>
                                    <w:bottom w:val="single" w:sz="4"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9"/>
                                    <w:jc w:val="center"/>
                                    <w:rPr>
                                      <w:sz w:val="16"/>
                                    </w:rPr>
                                  </w:pPr>
                                  <w:r>
                                    <w:rPr>
                                      <w:color w:val="891538"/>
                                      <w:spacing w:val="-5"/>
                                      <w:sz w:val="16"/>
                                    </w:rPr>
                                    <w:t>SI</w:t>
                                  </w:r>
                                </w:p>
                              </w:tc>
                              <w:tc>
                                <w:tcPr>
                                  <w:tcW w:w="390" w:type="dxa"/>
                                  <w:tcBorders>
                                    <w:top w:val="single" w:sz="4" w:space="0" w:color="001F5F"/>
                                    <w:bottom w:val="single" w:sz="4"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99"/>
                                    <w:ind w:right="1"/>
                                    <w:jc w:val="center"/>
                                    <w:rPr>
                                      <w:sz w:val="16"/>
                                    </w:rPr>
                                  </w:pPr>
                                  <w:r>
                                    <w:rPr>
                                      <w:sz w:val="16"/>
                                    </w:rPr>
                                    <w:t>En</w:t>
                                  </w:r>
                                  <w:r>
                                    <w:rPr>
                                      <w:spacing w:val="-2"/>
                                      <w:sz w:val="16"/>
                                    </w:rPr>
                                    <w:t> ejecución</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Sistema</w:t>
                                  </w:r>
                                  <w:r>
                                    <w:rPr>
                                      <w:spacing w:val="-4"/>
                                      <w:sz w:val="16"/>
                                    </w:rPr>
                                    <w:t> </w:t>
                                  </w:r>
                                  <w:r>
                                    <w:rPr>
                                      <w:sz w:val="16"/>
                                    </w:rPr>
                                    <w:t>control</w:t>
                                  </w:r>
                                  <w:r>
                                    <w:rPr>
                                      <w:spacing w:val="-7"/>
                                      <w:sz w:val="16"/>
                                    </w:rPr>
                                    <w:t> </w:t>
                                  </w:r>
                                  <w:r>
                                    <w:rPr>
                                      <w:sz w:val="16"/>
                                    </w:rPr>
                                    <w:t>aforos</w:t>
                                  </w:r>
                                  <w:r>
                                    <w:rPr>
                                      <w:spacing w:val="-6"/>
                                      <w:sz w:val="16"/>
                                    </w:rPr>
                                    <w:t> </w:t>
                                  </w:r>
                                  <w:r>
                                    <w:rPr>
                                      <w:sz w:val="16"/>
                                    </w:rPr>
                                    <w:t>y</w:t>
                                  </w:r>
                                  <w:r>
                                    <w:rPr>
                                      <w:spacing w:val="-5"/>
                                      <w:sz w:val="16"/>
                                    </w:rPr>
                                    <w:t> </w:t>
                                  </w:r>
                                  <w:r>
                                    <w:rPr>
                                      <w:sz w:val="16"/>
                                    </w:rPr>
                                    <w:t>cálculo</w:t>
                                  </w:r>
                                  <w:r>
                                    <w:rPr>
                                      <w:spacing w:val="-3"/>
                                      <w:sz w:val="16"/>
                                    </w:rPr>
                                    <w:t> </w:t>
                                  </w:r>
                                  <w:r>
                                    <w:rPr>
                                      <w:spacing w:val="-2"/>
                                      <w:sz w:val="16"/>
                                    </w:rPr>
                                    <w:t>matrices</w:t>
                                  </w:r>
                                  <w:r>
                                    <w:rPr>
                                      <w:rFonts w:ascii="Times New Roman" w:hAns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152.953,00</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15.295,30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137.657,70</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378" w:hRule="atLeast"/>
                              </w:trPr>
                              <w:tc>
                                <w:tcPr>
                                  <w:tcW w:w="994" w:type="dxa"/>
                                </w:tcPr>
                                <w:p>
                                  <w:pPr>
                                    <w:pStyle w:val="TableParagraph"/>
                                    <w:spacing w:line="175" w:lineRule="exact"/>
                                    <w:ind w:left="1" w:right="1"/>
                                    <w:jc w:val="center"/>
                                    <w:rPr>
                                      <w:b/>
                                      <w:sz w:val="16"/>
                                    </w:rPr>
                                  </w:pPr>
                                  <w:r>
                                    <w:rPr>
                                      <w:b/>
                                      <w:sz w:val="16"/>
                                    </w:rPr>
                                    <w:t>LAS</w:t>
                                  </w:r>
                                  <w:r>
                                    <w:rPr>
                                      <w:b/>
                                      <w:spacing w:val="-4"/>
                                      <w:sz w:val="16"/>
                                    </w:rPr>
                                    <w:t> </w:t>
                                  </w:r>
                                  <w:r>
                                    <w:rPr>
                                      <w:b/>
                                      <w:spacing w:val="-2"/>
                                      <w:sz w:val="16"/>
                                    </w:rPr>
                                    <w:t>PALMAS</w:t>
                                  </w:r>
                                </w:p>
                                <w:p>
                                  <w:pPr>
                                    <w:pStyle w:val="TableParagraph"/>
                                    <w:spacing w:line="183" w:lineRule="exact" w:before="1"/>
                                    <w:ind w:right="1"/>
                                    <w:jc w:val="center"/>
                                    <w:rPr>
                                      <w:b/>
                                      <w:sz w:val="16"/>
                                    </w:rPr>
                                  </w:pPr>
                                  <w:r>
                                    <w:rPr>
                                      <w:b/>
                                      <w:sz w:val="16"/>
                                    </w:rPr>
                                    <w:t>DE </w:t>
                                  </w:r>
                                  <w:r>
                                    <w:rPr>
                                      <w:b/>
                                      <w:spacing w:val="-4"/>
                                      <w:sz w:val="16"/>
                                    </w:rPr>
                                    <w:t>GRAN</w:t>
                                  </w:r>
                                </w:p>
                              </w:tc>
                              <w:tc>
                                <w:tcPr>
                                  <w:tcW w:w="3198" w:type="dxa"/>
                                  <w:tcBorders>
                                    <w:top w:val="single" w:sz="4" w:space="0" w:color="002D5D"/>
                                    <w:bottom w:val="single" w:sz="4" w:space="0" w:color="002D5D"/>
                                  </w:tcBorders>
                                </w:tcPr>
                                <w:p>
                                  <w:pPr>
                                    <w:pStyle w:val="TableParagraph"/>
                                    <w:tabs>
                                      <w:tab w:pos="2973" w:val="right" w:leader="none"/>
                                    </w:tabs>
                                    <w:spacing w:before="10"/>
                                    <w:ind w:right="83"/>
                                    <w:jc w:val="center"/>
                                    <w:rPr>
                                      <w:position w:val="-8"/>
                                      <w:sz w:val="16"/>
                                    </w:rPr>
                                  </w:pPr>
                                  <w:r>
                                    <w:rPr>
                                      <w:sz w:val="16"/>
                                    </w:rPr>
                                    <w:t>Sistema</w:t>
                                  </w:r>
                                  <w:r>
                                    <w:rPr>
                                      <w:spacing w:val="-7"/>
                                      <w:sz w:val="16"/>
                                    </w:rPr>
                                    <w:t> </w:t>
                                  </w:r>
                                  <w:r>
                                    <w:rPr>
                                      <w:sz w:val="16"/>
                                    </w:rPr>
                                    <w:t>sensorización</w:t>
                                  </w:r>
                                  <w:r>
                                    <w:rPr>
                                      <w:spacing w:val="-6"/>
                                      <w:sz w:val="16"/>
                                    </w:rPr>
                                    <w:t> </w:t>
                                  </w:r>
                                  <w:r>
                                    <w:rPr>
                                      <w:sz w:val="16"/>
                                    </w:rPr>
                                    <w:t>y</w:t>
                                  </w:r>
                                  <w:r>
                                    <w:rPr>
                                      <w:spacing w:val="-7"/>
                                      <w:sz w:val="16"/>
                                    </w:rPr>
                                    <w:t> </w:t>
                                  </w:r>
                                  <w:r>
                                    <w:rPr>
                                      <w:spacing w:val="-2"/>
                                      <w:sz w:val="16"/>
                                    </w:rPr>
                                    <w:t>monitorización</w:t>
                                  </w:r>
                                  <w:r>
                                    <w:rPr>
                                      <w:rFonts w:ascii="Times New Roman" w:hAns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300.625,00</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144.889,00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155.736,00</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right="1"/>
                                    <w:jc w:val="center"/>
                                    <w:rPr>
                                      <w:sz w:val="16"/>
                                    </w:rPr>
                                  </w:pPr>
                                  <w:r>
                                    <w:rPr>
                                      <w:sz w:val="16"/>
                                    </w:rPr>
                                    <w:t>En</w:t>
                                  </w:r>
                                  <w:r>
                                    <w:rPr>
                                      <w:spacing w:val="-2"/>
                                      <w:sz w:val="16"/>
                                    </w:rPr>
                                    <w:t> ejecución</w:t>
                                  </w:r>
                                </w:p>
                              </w:tc>
                            </w:tr>
                            <w:tr>
                              <w:trPr>
                                <w:trHeight w:val="376" w:hRule="atLeast"/>
                              </w:trPr>
                              <w:tc>
                                <w:tcPr>
                                  <w:tcW w:w="994" w:type="dxa"/>
                                </w:tcPr>
                                <w:p>
                                  <w:pPr>
                                    <w:pStyle w:val="TableParagraph"/>
                                    <w:spacing w:line="153" w:lineRule="exact"/>
                                    <w:ind w:left="192"/>
                                    <w:rPr>
                                      <w:b/>
                                      <w:sz w:val="16"/>
                                    </w:rPr>
                                  </w:pPr>
                                  <w:r>
                                    <w:rPr>
                                      <w:b/>
                                      <w:spacing w:val="-2"/>
                                      <w:sz w:val="16"/>
                                    </w:rPr>
                                    <w:t>CANARIA</w:t>
                                  </w: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Sistemas</w:t>
                                  </w:r>
                                  <w:r>
                                    <w:rPr>
                                      <w:spacing w:val="-10"/>
                                      <w:sz w:val="16"/>
                                    </w:rPr>
                                    <w:t> </w:t>
                                  </w:r>
                                  <w:r>
                                    <w:rPr>
                                      <w:sz w:val="16"/>
                                    </w:rPr>
                                    <w:t>de</w:t>
                                  </w:r>
                                  <w:r>
                                    <w:rPr>
                                      <w:spacing w:val="-7"/>
                                      <w:sz w:val="16"/>
                                    </w:rPr>
                                    <w:t> </w:t>
                                  </w:r>
                                  <w:r>
                                    <w:rPr>
                                      <w:sz w:val="16"/>
                                    </w:rPr>
                                    <w:t>predicción</w:t>
                                  </w:r>
                                  <w:r>
                                    <w:rPr>
                                      <w:spacing w:val="-5"/>
                                      <w:sz w:val="16"/>
                                    </w:rPr>
                                    <w:t> </w:t>
                                  </w:r>
                                  <w:r>
                                    <w:rPr>
                                      <w:sz w:val="16"/>
                                    </w:rPr>
                                    <w:t>demanda</w:t>
                                  </w:r>
                                  <w:r>
                                    <w:rPr>
                                      <w:spacing w:val="-5"/>
                                      <w:sz w:val="16"/>
                                    </w:rPr>
                                    <w:t> </w:t>
                                  </w:r>
                                  <w:r>
                                    <w:rPr>
                                      <w:spacing w:val="-10"/>
                                      <w:sz w:val="16"/>
                                    </w:rPr>
                                    <w:t>y</w:t>
                                  </w:r>
                                  <w:r>
                                    <w:rPr>
                                      <w:rFonts w:ascii="Times New Roman" w:hAns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99"/>
                                    <w:ind w:right="141"/>
                                    <w:jc w:val="right"/>
                                    <w:rPr>
                                      <w:sz w:val="16"/>
                                    </w:rPr>
                                  </w:pPr>
                                  <w:r>
                                    <w:rPr>
                                      <w:spacing w:val="-2"/>
                                      <w:sz w:val="16"/>
                                    </w:rPr>
                                    <w:t>49.840,00</w:t>
                                  </w:r>
                                </w:p>
                              </w:tc>
                              <w:tc>
                                <w:tcPr>
                                  <w:tcW w:w="1023" w:type="dxa"/>
                                  <w:tcBorders>
                                    <w:top w:val="single" w:sz="4" w:space="0" w:color="001F5F"/>
                                    <w:bottom w:val="single" w:sz="4" w:space="0" w:color="001F5F"/>
                                  </w:tcBorders>
                                </w:tcPr>
                                <w:p>
                                  <w:pPr>
                                    <w:pStyle w:val="TableParagraph"/>
                                    <w:spacing w:before="99"/>
                                    <w:ind w:right="108"/>
                                    <w:jc w:val="right"/>
                                    <w:rPr>
                                      <w:sz w:val="16"/>
                                    </w:rPr>
                                  </w:pPr>
                                  <w:r>
                                    <w:rPr>
                                      <w:spacing w:val="-2"/>
                                      <w:sz w:val="16"/>
                                    </w:rPr>
                                    <w:t>4.984,00</w:t>
                                  </w:r>
                                </w:p>
                              </w:tc>
                              <w:tc>
                                <w:tcPr>
                                  <w:tcW w:w="1043" w:type="dxa"/>
                                  <w:tcBorders>
                                    <w:top w:val="single" w:sz="4" w:space="0" w:color="001F5F"/>
                                    <w:bottom w:val="single" w:sz="4" w:space="0" w:color="001F5F"/>
                                  </w:tcBorders>
                                </w:tcPr>
                                <w:p>
                                  <w:pPr>
                                    <w:pStyle w:val="TableParagraph"/>
                                    <w:spacing w:before="99"/>
                                    <w:ind w:right="160"/>
                                    <w:jc w:val="right"/>
                                    <w:rPr>
                                      <w:sz w:val="16"/>
                                    </w:rPr>
                                  </w:pPr>
                                  <w:r>
                                    <w:rPr>
                                      <w:spacing w:val="-2"/>
                                      <w:sz w:val="16"/>
                                    </w:rPr>
                                    <w:t>44.856,00</w:t>
                                  </w:r>
                                </w:p>
                              </w:tc>
                              <w:tc>
                                <w:tcPr>
                                  <w:tcW w:w="459" w:type="dxa"/>
                                  <w:tcBorders>
                                    <w:top w:val="single" w:sz="4" w:space="0" w:color="001F5F"/>
                                    <w:bottom w:val="single" w:sz="4"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99"/>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Sistemas</w:t>
                                  </w:r>
                                  <w:r>
                                    <w:rPr>
                                      <w:spacing w:val="-10"/>
                                      <w:sz w:val="16"/>
                                    </w:rPr>
                                    <w:t> </w:t>
                                  </w:r>
                                  <w:r>
                                    <w:rPr>
                                      <w:sz w:val="16"/>
                                    </w:rPr>
                                    <w:t>expertos</w:t>
                                  </w:r>
                                  <w:r>
                                    <w:rPr>
                                      <w:spacing w:val="-7"/>
                                      <w:sz w:val="16"/>
                                    </w:rPr>
                                    <w:t> </w:t>
                                  </w:r>
                                  <w:r>
                                    <w:rPr>
                                      <w:sz w:val="16"/>
                                    </w:rPr>
                                    <w:t>de</w:t>
                                  </w:r>
                                  <w:r>
                                    <w:rPr>
                                      <w:spacing w:val="-7"/>
                                      <w:sz w:val="16"/>
                                    </w:rPr>
                                    <w:t> </w:t>
                                  </w:r>
                                  <w:r>
                                    <w:rPr>
                                      <w:sz w:val="16"/>
                                    </w:rPr>
                                    <w:t>planificación</w:t>
                                  </w:r>
                                  <w:r>
                                    <w:rPr>
                                      <w:spacing w:val="-5"/>
                                      <w:sz w:val="16"/>
                                    </w:rPr>
                                    <w:t> </w:t>
                                  </w:r>
                                  <w:r>
                                    <w:rPr>
                                      <w:spacing w:val="-4"/>
                                      <w:sz w:val="16"/>
                                    </w:rPr>
                                    <w:t>para</w:t>
                                  </w:r>
                                  <w:r>
                                    <w:rPr>
                                      <w:rFonts w:ascii="Times New Roman" w:hAns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364.992,00</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36.499,20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328.492,80</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208" w:hRule="atLeast"/>
                              </w:trPr>
                              <w:tc>
                                <w:tcPr>
                                  <w:tcW w:w="994" w:type="dxa"/>
                                </w:tcPr>
                                <w:p>
                                  <w:pPr>
                                    <w:pStyle w:val="TableParagraph"/>
                                    <w:rPr>
                                      <w:rFonts w:ascii="Times New Roman"/>
                                      <w:sz w:val="14"/>
                                    </w:rPr>
                                  </w:pPr>
                                </w:p>
                              </w:tc>
                              <w:tc>
                                <w:tcPr>
                                  <w:tcW w:w="3198" w:type="dxa"/>
                                  <w:tcBorders>
                                    <w:top w:val="single" w:sz="4" w:space="0" w:color="002D5D"/>
                                    <w:bottom w:val="single" w:sz="4" w:space="0" w:color="002D5D"/>
                                  </w:tcBorders>
                                </w:tcPr>
                                <w:p>
                                  <w:pPr>
                                    <w:pStyle w:val="TableParagraph"/>
                                    <w:tabs>
                                      <w:tab w:pos="2973" w:val="right" w:leader="none"/>
                                    </w:tabs>
                                    <w:spacing w:line="171" w:lineRule="exact" w:before="18"/>
                                    <w:ind w:right="83"/>
                                    <w:jc w:val="center"/>
                                    <w:rPr>
                                      <w:sz w:val="16"/>
                                    </w:rPr>
                                  </w:pPr>
                                  <w:r>
                                    <w:rPr>
                                      <w:sz w:val="16"/>
                                    </w:rPr>
                                    <w:t>Actualización</w:t>
                                  </w:r>
                                  <w:r>
                                    <w:rPr>
                                      <w:spacing w:val="-5"/>
                                      <w:sz w:val="16"/>
                                    </w:rPr>
                                    <w:t> </w:t>
                                  </w:r>
                                  <w:r>
                                    <w:rPr>
                                      <w:sz w:val="16"/>
                                    </w:rPr>
                                    <w:t>de</w:t>
                                  </w:r>
                                  <w:r>
                                    <w:rPr>
                                      <w:spacing w:val="-5"/>
                                      <w:sz w:val="16"/>
                                    </w:rPr>
                                    <w:t> </w:t>
                                  </w:r>
                                  <w:r>
                                    <w:rPr>
                                      <w:sz w:val="16"/>
                                    </w:rPr>
                                    <w:t>la</w:t>
                                  </w:r>
                                  <w:r>
                                    <w:rPr>
                                      <w:spacing w:val="-5"/>
                                      <w:sz w:val="16"/>
                                    </w:rPr>
                                    <w:t> </w:t>
                                  </w:r>
                                  <w:r>
                                    <w:rPr>
                                      <w:sz w:val="16"/>
                                    </w:rPr>
                                    <w:t>página</w:t>
                                  </w:r>
                                  <w:r>
                                    <w:rPr>
                                      <w:spacing w:val="-4"/>
                                      <w:sz w:val="16"/>
                                    </w:rPr>
                                    <w:t> </w:t>
                                  </w:r>
                                  <w:r>
                                    <w:rPr>
                                      <w:spacing w:val="-5"/>
                                      <w:sz w:val="16"/>
                                    </w:rPr>
                                    <w:t>web</w:t>
                                  </w:r>
                                  <w:r>
                                    <w:rPr>
                                      <w:rFonts w:ascii="Times New Roman" w:hAnsi="Times New Roman"/>
                                      <w:sz w:val="16"/>
                                    </w:rPr>
                                    <w:tab/>
                                  </w:r>
                                  <w:r>
                                    <w:rPr>
                                      <w:spacing w:val="-10"/>
                                      <w:sz w:val="16"/>
                                    </w:rPr>
                                    <w:t>1</w:t>
                                  </w:r>
                                </w:p>
                              </w:tc>
                              <w:tc>
                                <w:tcPr>
                                  <w:tcW w:w="1066" w:type="dxa"/>
                                  <w:tcBorders>
                                    <w:top w:val="single" w:sz="4" w:space="0" w:color="001F5F"/>
                                    <w:bottom w:val="single" w:sz="4" w:space="0" w:color="001F5F"/>
                                  </w:tcBorders>
                                </w:tcPr>
                                <w:p>
                                  <w:pPr>
                                    <w:pStyle w:val="TableParagraph"/>
                                    <w:spacing w:line="171" w:lineRule="exact" w:before="18"/>
                                    <w:ind w:right="141"/>
                                    <w:jc w:val="right"/>
                                    <w:rPr>
                                      <w:sz w:val="16"/>
                                    </w:rPr>
                                  </w:pPr>
                                  <w:r>
                                    <w:rPr>
                                      <w:spacing w:val="-2"/>
                                      <w:sz w:val="16"/>
                                    </w:rPr>
                                    <w:t>14.015,00</w:t>
                                  </w:r>
                                </w:p>
                              </w:tc>
                              <w:tc>
                                <w:tcPr>
                                  <w:tcW w:w="1023" w:type="dxa"/>
                                  <w:tcBorders>
                                    <w:top w:val="single" w:sz="4" w:space="0" w:color="001F5F"/>
                                    <w:bottom w:val="single" w:sz="4" w:space="0" w:color="001F5F"/>
                                  </w:tcBorders>
                                </w:tcPr>
                                <w:p>
                                  <w:pPr>
                                    <w:pStyle w:val="TableParagraph"/>
                                    <w:spacing w:line="171" w:lineRule="exact" w:before="18"/>
                                    <w:ind w:right="108"/>
                                    <w:jc w:val="right"/>
                                    <w:rPr>
                                      <w:sz w:val="16"/>
                                    </w:rPr>
                                  </w:pPr>
                                  <w:r>
                                    <w:rPr>
                                      <w:spacing w:val="-2"/>
                                      <w:sz w:val="16"/>
                                    </w:rPr>
                                    <w:t>14.015,00</w:t>
                                  </w:r>
                                </w:p>
                              </w:tc>
                              <w:tc>
                                <w:tcPr>
                                  <w:tcW w:w="1043" w:type="dxa"/>
                                  <w:tcBorders>
                                    <w:top w:val="single" w:sz="4" w:space="0" w:color="001F5F"/>
                                    <w:bottom w:val="single" w:sz="4" w:space="0" w:color="001F5F"/>
                                  </w:tcBorders>
                                </w:tcPr>
                                <w:p>
                                  <w:pPr>
                                    <w:pStyle w:val="TableParagraph"/>
                                    <w:spacing w:line="171" w:lineRule="exact" w:before="18"/>
                                    <w:ind w:right="159"/>
                                    <w:jc w:val="right"/>
                                    <w:rPr>
                                      <w:sz w:val="16"/>
                                    </w:rPr>
                                  </w:pPr>
                                  <w:r>
                                    <w:rPr>
                                      <w:spacing w:val="-4"/>
                                      <w:sz w:val="16"/>
                                    </w:rPr>
                                    <w:t>0,00</w:t>
                                  </w:r>
                                </w:p>
                              </w:tc>
                              <w:tc>
                                <w:tcPr>
                                  <w:tcW w:w="459" w:type="dxa"/>
                                  <w:tcBorders>
                                    <w:top w:val="single" w:sz="4" w:space="0" w:color="001F5F"/>
                                    <w:bottom w:val="single" w:sz="4" w:space="0" w:color="001F5F"/>
                                  </w:tcBorders>
                                </w:tcPr>
                                <w:p>
                                  <w:pPr>
                                    <w:pStyle w:val="TableParagraph"/>
                                    <w:spacing w:line="171" w:lineRule="exact" w:before="18"/>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1" w:lineRule="exact" w:before="18"/>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1" w:lineRule="exact" w:before="18"/>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1" w:lineRule="exact" w:before="18"/>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1" w:lineRule="exact" w:before="18"/>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Mantenimiento</w:t>
                                  </w:r>
                                  <w:r>
                                    <w:rPr>
                                      <w:spacing w:val="-6"/>
                                      <w:sz w:val="16"/>
                                    </w:rPr>
                                    <w:t> </w:t>
                                  </w:r>
                                  <w:r>
                                    <w:rPr>
                                      <w:sz w:val="16"/>
                                    </w:rPr>
                                    <w:t>de</w:t>
                                  </w:r>
                                  <w:r>
                                    <w:rPr>
                                      <w:spacing w:val="-4"/>
                                      <w:sz w:val="16"/>
                                    </w:rPr>
                                    <w:t> </w:t>
                                  </w:r>
                                  <w:r>
                                    <w:rPr>
                                      <w:sz w:val="16"/>
                                    </w:rPr>
                                    <w:t>los</w:t>
                                  </w:r>
                                  <w:r>
                                    <w:rPr>
                                      <w:spacing w:val="-5"/>
                                      <w:sz w:val="16"/>
                                    </w:rPr>
                                    <w:t> </w:t>
                                  </w:r>
                                  <w:r>
                                    <w:rPr>
                                      <w:spacing w:val="-2"/>
                                      <w:sz w:val="16"/>
                                    </w:rPr>
                                    <w:t>software</w:t>
                                  </w:r>
                                  <w:r>
                                    <w:rPr>
                                      <w:rFonts w:asci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1"/>
                                    <w:jc w:val="right"/>
                                    <w:rPr>
                                      <w:sz w:val="16"/>
                                    </w:rPr>
                                  </w:pPr>
                                  <w:r>
                                    <w:rPr>
                                      <w:spacing w:val="-2"/>
                                      <w:sz w:val="16"/>
                                    </w:rPr>
                                    <w:t>71.381,16</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71.381,16</w:t>
                                  </w:r>
                                </w:p>
                              </w:tc>
                              <w:tc>
                                <w:tcPr>
                                  <w:tcW w:w="1043" w:type="dxa"/>
                                  <w:tcBorders>
                                    <w:top w:val="single" w:sz="4" w:space="0" w:color="001F5F"/>
                                    <w:bottom w:val="single" w:sz="4" w:space="0" w:color="001F5F"/>
                                  </w:tcBorders>
                                </w:tcPr>
                                <w:p>
                                  <w:pPr>
                                    <w:pStyle w:val="TableParagraph"/>
                                    <w:spacing w:before="102"/>
                                    <w:ind w:right="159"/>
                                    <w:jc w:val="right"/>
                                    <w:rPr>
                                      <w:sz w:val="16"/>
                                    </w:rPr>
                                  </w:pPr>
                                  <w:r>
                                    <w:rPr>
                                      <w:spacing w:val="-4"/>
                                      <w:sz w:val="16"/>
                                    </w:rPr>
                                    <w:t>0,00</w:t>
                                  </w:r>
                                </w:p>
                              </w:tc>
                              <w:tc>
                                <w:tcPr>
                                  <w:tcW w:w="459" w:type="dxa"/>
                                  <w:tcBorders>
                                    <w:top w:val="single" w:sz="4" w:space="0" w:color="001F5F"/>
                                    <w:bottom w:val="single" w:sz="4" w:space="0" w:color="001F5F"/>
                                  </w:tcBorders>
                                </w:tcPr>
                                <w:p>
                                  <w:pPr>
                                    <w:pStyle w:val="TableParagraph"/>
                                    <w:spacing w:before="102"/>
                                    <w:ind w:left="72" w:right="1"/>
                                    <w:jc w:val="center"/>
                                    <w:rPr>
                                      <w:sz w:val="16"/>
                                    </w:rPr>
                                  </w:pPr>
                                  <w:r>
                                    <w:rPr>
                                      <w:color w:val="891538"/>
                                      <w:spacing w:val="-5"/>
                                      <w:sz w:val="16"/>
                                    </w:rPr>
                                    <w:t>SI</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right="1"/>
                                    <w:jc w:val="center"/>
                                    <w:rPr>
                                      <w:sz w:val="16"/>
                                    </w:rPr>
                                  </w:pPr>
                                  <w:r>
                                    <w:rPr>
                                      <w:sz w:val="16"/>
                                    </w:rPr>
                                    <w:t>En</w:t>
                                  </w:r>
                                  <w:r>
                                    <w:rPr>
                                      <w:spacing w:val="-2"/>
                                      <w:sz w:val="16"/>
                                    </w:rPr>
                                    <w:t> ejecución</w:t>
                                  </w:r>
                                </w:p>
                              </w:tc>
                            </w:tr>
                            <w:tr>
                              <w:trPr>
                                <w:trHeight w:val="745" w:hRule="atLeast"/>
                              </w:trPr>
                              <w:tc>
                                <w:tcPr>
                                  <w:tcW w:w="994" w:type="dxa"/>
                                  <w:tcBorders>
                                    <w:bottom w:val="single" w:sz="8" w:space="0" w:color="001F5F"/>
                                  </w:tcBorders>
                                </w:tcPr>
                                <w:p>
                                  <w:pPr>
                                    <w:pStyle w:val="TableParagraph"/>
                                    <w:rPr>
                                      <w:rFonts w:ascii="Times New Roman"/>
                                      <w:sz w:val="16"/>
                                    </w:rPr>
                                  </w:pPr>
                                </w:p>
                              </w:tc>
                              <w:tc>
                                <w:tcPr>
                                  <w:tcW w:w="3198" w:type="dxa"/>
                                  <w:tcBorders>
                                    <w:top w:val="single" w:sz="4" w:space="0" w:color="002D5D"/>
                                    <w:bottom w:val="single" w:sz="8" w:space="0" w:color="001F5F"/>
                                  </w:tcBorders>
                                </w:tcPr>
                                <w:p>
                                  <w:pPr>
                                    <w:pStyle w:val="TableParagraph"/>
                                    <w:spacing w:line="183" w:lineRule="exact" w:before="10"/>
                                    <w:ind w:left="69"/>
                                    <w:rPr>
                                      <w:sz w:val="16"/>
                                    </w:rPr>
                                  </w:pPr>
                                  <w:r>
                                    <w:rPr>
                                      <w:sz w:val="16"/>
                                    </w:rPr>
                                    <w:t>Sistema</w:t>
                                  </w:r>
                                  <w:r>
                                    <w:rPr>
                                      <w:spacing w:val="-6"/>
                                      <w:sz w:val="16"/>
                                    </w:rPr>
                                    <w:t> </w:t>
                                  </w:r>
                                  <w:r>
                                    <w:rPr>
                                      <w:sz w:val="16"/>
                                    </w:rPr>
                                    <w:t>de</w:t>
                                  </w:r>
                                  <w:r>
                                    <w:rPr>
                                      <w:spacing w:val="-3"/>
                                      <w:sz w:val="16"/>
                                    </w:rPr>
                                    <w:t> </w:t>
                                  </w:r>
                                  <w:r>
                                    <w:rPr>
                                      <w:sz w:val="16"/>
                                    </w:rPr>
                                    <w:t>control</w:t>
                                  </w:r>
                                  <w:r>
                                    <w:rPr>
                                      <w:spacing w:val="-7"/>
                                      <w:sz w:val="16"/>
                                    </w:rPr>
                                    <w:t> </w:t>
                                  </w:r>
                                  <w:r>
                                    <w:rPr>
                                      <w:sz w:val="16"/>
                                    </w:rPr>
                                    <w:t>de</w:t>
                                  </w:r>
                                  <w:r>
                                    <w:rPr>
                                      <w:spacing w:val="-3"/>
                                      <w:sz w:val="16"/>
                                    </w:rPr>
                                    <w:t> </w:t>
                                  </w:r>
                                  <w:r>
                                    <w:rPr>
                                      <w:sz w:val="16"/>
                                    </w:rPr>
                                    <w:t>la</w:t>
                                  </w:r>
                                  <w:r>
                                    <w:rPr>
                                      <w:spacing w:val="-6"/>
                                      <w:sz w:val="16"/>
                                    </w:rPr>
                                    <w:t> </w:t>
                                  </w:r>
                                  <w:r>
                                    <w:rPr>
                                      <w:sz w:val="16"/>
                                    </w:rPr>
                                    <w:t>producción</w:t>
                                  </w:r>
                                  <w:r>
                                    <w:rPr>
                                      <w:spacing w:val="-3"/>
                                      <w:sz w:val="16"/>
                                    </w:rPr>
                                    <w:t> </w:t>
                                  </w:r>
                                  <w:r>
                                    <w:rPr>
                                      <w:spacing w:val="-5"/>
                                      <w:sz w:val="16"/>
                                    </w:rPr>
                                    <w:t>en</w:t>
                                  </w:r>
                                </w:p>
                                <w:p>
                                  <w:pPr>
                                    <w:pStyle w:val="TableParagraph"/>
                                    <w:tabs>
                                      <w:tab w:pos="3042" w:val="right" w:leader="none"/>
                                    </w:tabs>
                                    <w:ind w:left="69"/>
                                    <w:rPr>
                                      <w:position w:val="-8"/>
                                      <w:sz w:val="16"/>
                                    </w:rPr>
                                  </w:pPr>
                                  <w:r>
                                    <w:rPr>
                                      <w:sz w:val="16"/>
                                    </w:rPr>
                                    <w:t>los</w:t>
                                  </w:r>
                                  <w:r>
                                    <w:rPr>
                                      <w:spacing w:val="-5"/>
                                      <w:sz w:val="16"/>
                                    </w:rPr>
                                    <w:t> </w:t>
                                  </w:r>
                                  <w:r>
                                    <w:rPr>
                                      <w:sz w:val="16"/>
                                    </w:rPr>
                                    <w:t>servicios</w:t>
                                  </w:r>
                                  <w:r>
                                    <w:rPr>
                                      <w:spacing w:val="-5"/>
                                      <w:sz w:val="16"/>
                                    </w:rPr>
                                    <w:t> </w:t>
                                  </w:r>
                                  <w:r>
                                    <w:rPr>
                                      <w:sz w:val="16"/>
                                    </w:rPr>
                                    <w:t>asociados</w:t>
                                  </w:r>
                                  <w:r>
                                    <w:rPr>
                                      <w:spacing w:val="-5"/>
                                      <w:sz w:val="16"/>
                                    </w:rPr>
                                    <w:t> </w:t>
                                  </w:r>
                                  <w:r>
                                    <w:rPr>
                                      <w:sz w:val="16"/>
                                    </w:rPr>
                                    <w:t>al</w:t>
                                  </w:r>
                                  <w:r>
                                    <w:rPr>
                                      <w:spacing w:val="-4"/>
                                      <w:sz w:val="16"/>
                                    </w:rPr>
                                    <w:t> </w:t>
                                  </w:r>
                                  <w:r>
                                    <w:rPr>
                                      <w:spacing w:val="-2"/>
                                      <w:sz w:val="16"/>
                                    </w:rPr>
                                    <w:t>software</w:t>
                                  </w:r>
                                  <w:r>
                                    <w:rPr>
                                      <w:rFonts w:ascii="Times New Roman"/>
                                      <w:sz w:val="16"/>
                                    </w:rPr>
                                    <w:tab/>
                                  </w:r>
                                  <w:r>
                                    <w:rPr>
                                      <w:spacing w:val="-10"/>
                                      <w:position w:val="-8"/>
                                      <w:sz w:val="16"/>
                                    </w:rPr>
                                    <w:t>1</w:t>
                                  </w:r>
                                </w:p>
                                <w:p>
                                  <w:pPr>
                                    <w:pStyle w:val="TableParagraph"/>
                                    <w:spacing w:line="166" w:lineRule="exact" w:before="93"/>
                                    <w:ind w:left="69"/>
                                    <w:rPr>
                                      <w:sz w:val="16"/>
                                    </w:rPr>
                                  </w:pPr>
                                  <w:r>
                                    <w:rPr>
                                      <w:spacing w:val="-2"/>
                                      <w:sz w:val="16"/>
                                    </w:rPr>
                                    <w:t>explotación</w:t>
                                  </w:r>
                                </w:p>
                              </w:tc>
                              <w:tc>
                                <w:tcPr>
                                  <w:tcW w:w="1066" w:type="dxa"/>
                                  <w:tcBorders>
                                    <w:top w:val="single" w:sz="4" w:space="0" w:color="001F5F"/>
                                    <w:bottom w:val="single" w:sz="8" w:space="0" w:color="001F5F"/>
                                  </w:tcBorders>
                                </w:tcPr>
                                <w:p>
                                  <w:pPr>
                                    <w:pStyle w:val="TableParagraph"/>
                                    <w:spacing w:before="100"/>
                                    <w:rPr>
                                      <w:sz w:val="16"/>
                                    </w:rPr>
                                  </w:pPr>
                                </w:p>
                                <w:p>
                                  <w:pPr>
                                    <w:pStyle w:val="TableParagraph"/>
                                    <w:ind w:right="142"/>
                                    <w:jc w:val="right"/>
                                    <w:rPr>
                                      <w:sz w:val="16"/>
                                    </w:rPr>
                                  </w:pPr>
                                  <w:r>
                                    <w:rPr>
                                      <w:spacing w:val="-2"/>
                                      <w:sz w:val="16"/>
                                    </w:rPr>
                                    <w:t>153.328,92</w:t>
                                  </w:r>
                                </w:p>
                              </w:tc>
                              <w:tc>
                                <w:tcPr>
                                  <w:tcW w:w="1023" w:type="dxa"/>
                                  <w:tcBorders>
                                    <w:top w:val="single" w:sz="4" w:space="0" w:color="001F5F"/>
                                    <w:bottom w:val="single" w:sz="8" w:space="0" w:color="001F5F"/>
                                  </w:tcBorders>
                                </w:tcPr>
                                <w:p>
                                  <w:pPr>
                                    <w:pStyle w:val="TableParagraph"/>
                                    <w:spacing w:before="100"/>
                                    <w:rPr>
                                      <w:sz w:val="16"/>
                                    </w:rPr>
                                  </w:pPr>
                                </w:p>
                                <w:p>
                                  <w:pPr>
                                    <w:pStyle w:val="TableParagraph"/>
                                    <w:ind w:right="108"/>
                                    <w:jc w:val="right"/>
                                    <w:rPr>
                                      <w:sz w:val="16"/>
                                    </w:rPr>
                                  </w:pPr>
                                  <w:r>
                                    <w:rPr>
                                      <w:spacing w:val="-2"/>
                                      <w:sz w:val="16"/>
                                    </w:rPr>
                                    <w:t>153.328,92</w:t>
                                  </w:r>
                                </w:p>
                              </w:tc>
                              <w:tc>
                                <w:tcPr>
                                  <w:tcW w:w="1043" w:type="dxa"/>
                                  <w:tcBorders>
                                    <w:top w:val="single" w:sz="4" w:space="0" w:color="001F5F"/>
                                    <w:bottom w:val="single" w:sz="8" w:space="0" w:color="001F5F"/>
                                  </w:tcBorders>
                                </w:tcPr>
                                <w:p>
                                  <w:pPr>
                                    <w:pStyle w:val="TableParagraph"/>
                                    <w:spacing w:before="100"/>
                                    <w:rPr>
                                      <w:sz w:val="16"/>
                                    </w:rPr>
                                  </w:pPr>
                                </w:p>
                                <w:p>
                                  <w:pPr>
                                    <w:pStyle w:val="TableParagraph"/>
                                    <w:ind w:right="159"/>
                                    <w:jc w:val="right"/>
                                    <w:rPr>
                                      <w:sz w:val="16"/>
                                    </w:rPr>
                                  </w:pPr>
                                  <w:r>
                                    <w:rPr>
                                      <w:spacing w:val="-4"/>
                                      <w:sz w:val="16"/>
                                    </w:rPr>
                                    <w:t>0,00</w:t>
                                  </w:r>
                                </w:p>
                              </w:tc>
                              <w:tc>
                                <w:tcPr>
                                  <w:tcW w:w="459" w:type="dxa"/>
                                  <w:tcBorders>
                                    <w:top w:val="single" w:sz="4" w:space="0" w:color="001F5F"/>
                                    <w:bottom w:val="single" w:sz="8" w:space="0" w:color="001F5F"/>
                                  </w:tcBorders>
                                </w:tcPr>
                                <w:p>
                                  <w:pPr>
                                    <w:pStyle w:val="TableParagraph"/>
                                    <w:spacing w:before="100"/>
                                    <w:rPr>
                                      <w:sz w:val="16"/>
                                    </w:rPr>
                                  </w:pPr>
                                </w:p>
                                <w:p>
                                  <w:pPr>
                                    <w:pStyle w:val="TableParagraph"/>
                                    <w:ind w:left="72" w:right="1"/>
                                    <w:jc w:val="center"/>
                                    <w:rPr>
                                      <w:sz w:val="16"/>
                                    </w:rPr>
                                  </w:pPr>
                                  <w:r>
                                    <w:rPr>
                                      <w:color w:val="891538"/>
                                      <w:spacing w:val="-5"/>
                                      <w:sz w:val="16"/>
                                    </w:rPr>
                                    <w:t>SI</w:t>
                                  </w:r>
                                </w:p>
                              </w:tc>
                              <w:tc>
                                <w:tcPr>
                                  <w:tcW w:w="390" w:type="dxa"/>
                                  <w:tcBorders>
                                    <w:top w:val="single" w:sz="4" w:space="0" w:color="001F5F"/>
                                    <w:bottom w:val="single" w:sz="8" w:space="0" w:color="001F5F"/>
                                  </w:tcBorders>
                                </w:tcPr>
                                <w:p>
                                  <w:pPr>
                                    <w:pStyle w:val="TableParagraph"/>
                                    <w:spacing w:before="100"/>
                                    <w:rPr>
                                      <w:sz w:val="16"/>
                                    </w:rPr>
                                  </w:pPr>
                                </w:p>
                                <w:p>
                                  <w:pPr>
                                    <w:pStyle w:val="TableParagraph"/>
                                    <w:ind w:left="13" w:righ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0"/>
                                    <w:rPr>
                                      <w:sz w:val="16"/>
                                    </w:rPr>
                                  </w:pPr>
                                </w:p>
                                <w:p>
                                  <w:pPr>
                                    <w:pStyle w:val="TableParagraph"/>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100"/>
                                    <w:rPr>
                                      <w:sz w:val="16"/>
                                    </w:rPr>
                                  </w:pPr>
                                </w:p>
                                <w:p>
                                  <w:pPr>
                                    <w:pStyle w:val="TableParagraph"/>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100"/>
                                    <w:rPr>
                                      <w:sz w:val="16"/>
                                    </w:rPr>
                                  </w:pPr>
                                </w:p>
                                <w:p>
                                  <w:pPr>
                                    <w:pStyle w:val="TableParagraph"/>
                                    <w:ind w:right="1"/>
                                    <w:jc w:val="center"/>
                                    <w:rPr>
                                      <w:sz w:val="16"/>
                                    </w:rPr>
                                  </w:pPr>
                                  <w:r>
                                    <w:rPr>
                                      <w:sz w:val="16"/>
                                    </w:rPr>
                                    <w:t>En</w:t>
                                  </w:r>
                                  <w:r>
                                    <w:rPr>
                                      <w:spacing w:val="-2"/>
                                      <w:sz w:val="16"/>
                                    </w:rPr>
                                    <w:t> ejecución</w:t>
                                  </w:r>
                                </w:p>
                              </w:tc>
                            </w:tr>
                            <w:tr>
                              <w:trPr>
                                <w:trHeight w:val="198" w:hRule="atLeast"/>
                              </w:trPr>
                              <w:tc>
                                <w:tcPr>
                                  <w:tcW w:w="994" w:type="dxa"/>
                                  <w:tcBorders>
                                    <w:top w:val="single" w:sz="8" w:space="0" w:color="001F5F"/>
                                  </w:tcBorders>
                                </w:tcPr>
                                <w:p>
                                  <w:pPr>
                                    <w:pStyle w:val="TableParagraph"/>
                                    <w:rPr>
                                      <w:rFonts w:ascii="Times New Roman"/>
                                      <w:sz w:val="12"/>
                                    </w:rPr>
                                  </w:pPr>
                                </w:p>
                              </w:tc>
                              <w:tc>
                                <w:tcPr>
                                  <w:tcW w:w="3198" w:type="dxa"/>
                                  <w:tcBorders>
                                    <w:top w:val="single" w:sz="8" w:space="0" w:color="001F5F"/>
                                    <w:bottom w:val="single" w:sz="4" w:space="0" w:color="000000"/>
                                  </w:tcBorders>
                                </w:tcPr>
                                <w:p>
                                  <w:pPr>
                                    <w:pStyle w:val="TableParagraph"/>
                                    <w:tabs>
                                      <w:tab w:pos="2973" w:val="right" w:leader="none"/>
                                    </w:tabs>
                                    <w:spacing w:line="173" w:lineRule="exact" w:before="5"/>
                                    <w:ind w:right="83"/>
                                    <w:jc w:val="center"/>
                                    <w:rPr>
                                      <w:sz w:val="16"/>
                                    </w:rPr>
                                  </w:pPr>
                                  <w:r>
                                    <w:rPr>
                                      <w:sz w:val="16"/>
                                    </w:rPr>
                                    <w:t>Digitalización</w:t>
                                  </w:r>
                                  <w:r>
                                    <w:rPr>
                                      <w:spacing w:val="-6"/>
                                      <w:sz w:val="16"/>
                                    </w:rPr>
                                    <w:t> </w:t>
                                  </w:r>
                                  <w:r>
                                    <w:rPr>
                                      <w:sz w:val="16"/>
                                    </w:rPr>
                                    <w:t>de</w:t>
                                  </w:r>
                                  <w:r>
                                    <w:rPr>
                                      <w:spacing w:val="-4"/>
                                      <w:sz w:val="16"/>
                                    </w:rPr>
                                    <w:t> </w:t>
                                  </w:r>
                                  <w:r>
                                    <w:rPr>
                                      <w:sz w:val="16"/>
                                    </w:rPr>
                                    <w:t>los</w:t>
                                  </w:r>
                                  <w:r>
                                    <w:rPr>
                                      <w:spacing w:val="-5"/>
                                      <w:sz w:val="16"/>
                                    </w:rPr>
                                    <w:t> </w:t>
                                  </w:r>
                                  <w:r>
                                    <w:rPr>
                                      <w:sz w:val="16"/>
                                    </w:rPr>
                                    <w:t>medios</w:t>
                                  </w:r>
                                  <w:r>
                                    <w:rPr>
                                      <w:spacing w:val="-5"/>
                                      <w:sz w:val="16"/>
                                    </w:rPr>
                                    <w:t> </w:t>
                                  </w:r>
                                  <w:r>
                                    <w:rPr>
                                      <w:sz w:val="16"/>
                                    </w:rPr>
                                    <w:t>de</w:t>
                                  </w:r>
                                  <w:r>
                                    <w:rPr>
                                      <w:spacing w:val="-5"/>
                                      <w:sz w:val="16"/>
                                    </w:rPr>
                                    <w:t> </w:t>
                                  </w:r>
                                  <w:r>
                                    <w:rPr>
                                      <w:spacing w:val="-4"/>
                                      <w:sz w:val="16"/>
                                    </w:rPr>
                                    <w:t>pago</w:t>
                                  </w:r>
                                  <w:r>
                                    <w:rPr>
                                      <w:rFonts w:ascii="Times New Roman" w:hAnsi="Times New Roman"/>
                                      <w:sz w:val="16"/>
                                    </w:rPr>
                                    <w:tab/>
                                  </w:r>
                                  <w:r>
                                    <w:rPr>
                                      <w:spacing w:val="-10"/>
                                      <w:sz w:val="16"/>
                                    </w:rPr>
                                    <w:t>3</w:t>
                                  </w:r>
                                </w:p>
                              </w:tc>
                              <w:tc>
                                <w:tcPr>
                                  <w:tcW w:w="1066" w:type="dxa"/>
                                  <w:tcBorders>
                                    <w:top w:val="single" w:sz="8" w:space="0" w:color="001F5F"/>
                                    <w:bottom w:val="single" w:sz="4" w:space="0" w:color="001F5F"/>
                                  </w:tcBorders>
                                </w:tcPr>
                                <w:p>
                                  <w:pPr>
                                    <w:pStyle w:val="TableParagraph"/>
                                    <w:spacing w:line="173" w:lineRule="exact" w:before="5"/>
                                    <w:ind w:right="142"/>
                                    <w:jc w:val="right"/>
                                    <w:rPr>
                                      <w:sz w:val="16"/>
                                    </w:rPr>
                                  </w:pPr>
                                  <w:r>
                                    <w:rPr>
                                      <w:spacing w:val="-2"/>
                                      <w:sz w:val="16"/>
                                    </w:rPr>
                                    <w:t>698.057,48</w:t>
                                  </w:r>
                                </w:p>
                              </w:tc>
                              <w:tc>
                                <w:tcPr>
                                  <w:tcW w:w="1023" w:type="dxa"/>
                                  <w:tcBorders>
                                    <w:top w:val="single" w:sz="8" w:space="0" w:color="001F5F"/>
                                    <w:bottom w:val="single" w:sz="4" w:space="0" w:color="001F5F"/>
                                  </w:tcBorders>
                                </w:tcPr>
                                <w:p>
                                  <w:pPr>
                                    <w:pStyle w:val="TableParagraph"/>
                                    <w:spacing w:line="173" w:lineRule="exact" w:before="5"/>
                                    <w:ind w:right="108"/>
                                    <w:jc w:val="right"/>
                                    <w:rPr>
                                      <w:sz w:val="16"/>
                                    </w:rPr>
                                  </w:pPr>
                                  <w:r>
                                    <w:rPr>
                                      <w:spacing w:val="-2"/>
                                      <w:sz w:val="16"/>
                                    </w:rPr>
                                    <w:t>193.119,91</w:t>
                                  </w:r>
                                </w:p>
                              </w:tc>
                              <w:tc>
                                <w:tcPr>
                                  <w:tcW w:w="1043" w:type="dxa"/>
                                  <w:tcBorders>
                                    <w:top w:val="single" w:sz="8" w:space="0" w:color="001F5F"/>
                                    <w:bottom w:val="single" w:sz="4" w:space="0" w:color="001F5F"/>
                                  </w:tcBorders>
                                </w:tcPr>
                                <w:p>
                                  <w:pPr>
                                    <w:pStyle w:val="TableParagraph"/>
                                    <w:spacing w:line="173" w:lineRule="exact" w:before="5"/>
                                    <w:ind w:right="160"/>
                                    <w:jc w:val="right"/>
                                    <w:rPr>
                                      <w:sz w:val="16"/>
                                    </w:rPr>
                                  </w:pPr>
                                  <w:r>
                                    <w:rPr>
                                      <w:spacing w:val="-2"/>
                                      <w:sz w:val="16"/>
                                    </w:rPr>
                                    <w:t>504.937,57</w:t>
                                  </w:r>
                                </w:p>
                              </w:tc>
                              <w:tc>
                                <w:tcPr>
                                  <w:tcW w:w="459" w:type="dxa"/>
                                  <w:tcBorders>
                                    <w:top w:val="single" w:sz="8" w:space="0" w:color="001F5F"/>
                                    <w:bottom w:val="single" w:sz="4" w:space="0" w:color="001F5F"/>
                                  </w:tcBorders>
                                </w:tcPr>
                                <w:p>
                                  <w:pPr>
                                    <w:pStyle w:val="TableParagraph"/>
                                    <w:spacing w:line="173" w:lineRule="exact" w:before="5"/>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3" w:lineRule="exact" w:before="5"/>
                                    <w:ind w:left="13" w:right="9"/>
                                    <w:jc w:val="center"/>
                                    <w:rPr>
                                      <w:sz w:val="16"/>
                                    </w:rPr>
                                  </w:pPr>
                                  <w:r>
                                    <w:rPr>
                                      <w:color w:val="891538"/>
                                      <w:spacing w:val="-5"/>
                                      <w:sz w:val="16"/>
                                    </w:rPr>
                                    <w:t>Sí</w:t>
                                  </w:r>
                                </w:p>
                              </w:tc>
                              <w:tc>
                                <w:tcPr>
                                  <w:tcW w:w="390" w:type="dxa"/>
                                  <w:tcBorders>
                                    <w:top w:val="single" w:sz="8" w:space="0" w:color="001F5F"/>
                                    <w:bottom w:val="single" w:sz="4" w:space="0" w:color="001F5F"/>
                                  </w:tcBorders>
                                </w:tcPr>
                                <w:p>
                                  <w:pPr>
                                    <w:pStyle w:val="TableParagraph"/>
                                    <w:spacing w:line="173" w:lineRule="exact" w:before="5"/>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line="173" w:lineRule="exact" w:before="5"/>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line="173" w:lineRule="exact" w:before="5"/>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0000"/>
                                    <w:bottom w:val="single" w:sz="4" w:space="0" w:color="000000"/>
                                  </w:tcBorders>
                                </w:tcPr>
                                <w:p>
                                  <w:pPr>
                                    <w:pStyle w:val="TableParagraph"/>
                                    <w:tabs>
                                      <w:tab w:pos="2973" w:val="right" w:leader="none"/>
                                    </w:tabs>
                                    <w:spacing w:before="8"/>
                                    <w:ind w:right="83"/>
                                    <w:jc w:val="center"/>
                                    <w:rPr>
                                      <w:position w:val="-8"/>
                                      <w:sz w:val="16"/>
                                    </w:rPr>
                                  </w:pPr>
                                  <w:r>
                                    <w:rPr>
                                      <w:sz w:val="16"/>
                                    </w:rPr>
                                    <w:t>Digitalización</w:t>
                                  </w:r>
                                  <w:r>
                                    <w:rPr>
                                      <w:spacing w:val="-7"/>
                                      <w:sz w:val="16"/>
                                    </w:rPr>
                                    <w:t> </w:t>
                                  </w:r>
                                  <w:r>
                                    <w:rPr>
                                      <w:sz w:val="16"/>
                                    </w:rPr>
                                    <w:t>sistemas</w:t>
                                  </w:r>
                                  <w:r>
                                    <w:rPr>
                                      <w:spacing w:val="-7"/>
                                      <w:sz w:val="16"/>
                                    </w:rPr>
                                    <w:t> </w:t>
                                  </w:r>
                                  <w:r>
                                    <w:rPr>
                                      <w:sz w:val="16"/>
                                    </w:rPr>
                                    <w:t>de</w:t>
                                  </w:r>
                                  <w:r>
                                    <w:rPr>
                                      <w:spacing w:val="-6"/>
                                      <w:sz w:val="16"/>
                                    </w:rPr>
                                    <w:t> </w:t>
                                  </w:r>
                                  <w:r>
                                    <w:rPr>
                                      <w:spacing w:val="-2"/>
                                      <w:sz w:val="16"/>
                                    </w:rPr>
                                    <w:t>comunicación/</w:t>
                                  </w:r>
                                  <w:r>
                                    <w:rPr>
                                      <w:rFonts w:ascii="Times New Roman" w:hAnsi="Times New Roman"/>
                                      <w:sz w:val="16"/>
                                    </w:rPr>
                                    <w:tab/>
                                  </w:r>
                                  <w:r>
                                    <w:rPr>
                                      <w:spacing w:val="-10"/>
                                      <w:position w:val="-8"/>
                                      <w:sz w:val="16"/>
                                    </w:rPr>
                                    <w:t>6</w:t>
                                  </w:r>
                                </w:p>
                              </w:tc>
                              <w:tc>
                                <w:tcPr>
                                  <w:tcW w:w="1066" w:type="dxa"/>
                                  <w:tcBorders>
                                    <w:top w:val="single" w:sz="4" w:space="0" w:color="001F5F"/>
                                    <w:bottom w:val="single" w:sz="4" w:space="0" w:color="001F5F"/>
                                  </w:tcBorders>
                                </w:tcPr>
                                <w:p>
                                  <w:pPr>
                                    <w:pStyle w:val="TableParagraph"/>
                                    <w:spacing w:before="99"/>
                                    <w:ind w:right="142"/>
                                    <w:jc w:val="right"/>
                                    <w:rPr>
                                      <w:sz w:val="16"/>
                                    </w:rPr>
                                  </w:pPr>
                                  <w:r>
                                    <w:rPr>
                                      <w:spacing w:val="-2"/>
                                      <w:sz w:val="16"/>
                                    </w:rPr>
                                    <w:t>184.375,99</w:t>
                                  </w:r>
                                </w:p>
                              </w:tc>
                              <w:tc>
                                <w:tcPr>
                                  <w:tcW w:w="1023" w:type="dxa"/>
                                  <w:tcBorders>
                                    <w:top w:val="single" w:sz="4" w:space="0" w:color="001F5F"/>
                                    <w:bottom w:val="single" w:sz="4" w:space="0" w:color="001F5F"/>
                                  </w:tcBorders>
                                </w:tcPr>
                                <w:p>
                                  <w:pPr>
                                    <w:pStyle w:val="TableParagraph"/>
                                    <w:spacing w:before="99"/>
                                    <w:ind w:right="108"/>
                                    <w:jc w:val="right"/>
                                    <w:rPr>
                                      <w:sz w:val="16"/>
                                    </w:rPr>
                                  </w:pPr>
                                  <w:r>
                                    <w:rPr>
                                      <w:spacing w:val="-2"/>
                                      <w:sz w:val="16"/>
                                    </w:rPr>
                                    <w:t>18.437,60</w:t>
                                  </w:r>
                                </w:p>
                              </w:tc>
                              <w:tc>
                                <w:tcPr>
                                  <w:tcW w:w="1043" w:type="dxa"/>
                                  <w:tcBorders>
                                    <w:top w:val="single" w:sz="4" w:space="0" w:color="001F5F"/>
                                    <w:bottom w:val="single" w:sz="4" w:space="0" w:color="001F5F"/>
                                  </w:tcBorders>
                                </w:tcPr>
                                <w:p>
                                  <w:pPr>
                                    <w:pStyle w:val="TableParagraph"/>
                                    <w:spacing w:before="99"/>
                                    <w:ind w:right="160"/>
                                    <w:jc w:val="right"/>
                                    <w:rPr>
                                      <w:sz w:val="16"/>
                                    </w:rPr>
                                  </w:pPr>
                                  <w:r>
                                    <w:rPr>
                                      <w:spacing w:val="-2"/>
                                      <w:sz w:val="16"/>
                                    </w:rPr>
                                    <w:t>165.938,39</w:t>
                                  </w:r>
                                </w:p>
                              </w:tc>
                              <w:tc>
                                <w:tcPr>
                                  <w:tcW w:w="459" w:type="dxa"/>
                                  <w:tcBorders>
                                    <w:top w:val="single" w:sz="4" w:space="0" w:color="001F5F"/>
                                    <w:bottom w:val="single" w:sz="4"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99"/>
                                    <w:ind w:left="1" w:right="1"/>
                                    <w:jc w:val="center"/>
                                    <w:rPr>
                                      <w:sz w:val="16"/>
                                    </w:rPr>
                                  </w:pPr>
                                  <w:r>
                                    <w:rPr>
                                      <w:spacing w:val="-2"/>
                                      <w:sz w:val="16"/>
                                    </w:rPr>
                                    <w:t>Finalizada</w:t>
                                  </w:r>
                                </w:p>
                              </w:tc>
                            </w:tr>
                            <w:tr>
                              <w:trPr>
                                <w:trHeight w:val="208" w:hRule="atLeast"/>
                              </w:trPr>
                              <w:tc>
                                <w:tcPr>
                                  <w:tcW w:w="994" w:type="dxa"/>
                                </w:tcPr>
                                <w:p>
                                  <w:pPr>
                                    <w:pStyle w:val="TableParagraph"/>
                                    <w:rPr>
                                      <w:rFonts w:ascii="Times New Roman"/>
                                      <w:sz w:val="14"/>
                                    </w:rPr>
                                  </w:pPr>
                                </w:p>
                              </w:tc>
                              <w:tc>
                                <w:tcPr>
                                  <w:tcW w:w="3198" w:type="dxa"/>
                                  <w:tcBorders>
                                    <w:top w:val="single" w:sz="4" w:space="0" w:color="000000"/>
                                    <w:bottom w:val="single" w:sz="4" w:space="0" w:color="000000"/>
                                  </w:tcBorders>
                                </w:tcPr>
                                <w:p>
                                  <w:pPr>
                                    <w:pStyle w:val="TableParagraph"/>
                                    <w:tabs>
                                      <w:tab w:pos="2974" w:val="right" w:leader="none"/>
                                    </w:tabs>
                                    <w:spacing w:line="173" w:lineRule="exact" w:before="15"/>
                                    <w:ind w:right="82"/>
                                    <w:jc w:val="center"/>
                                    <w:rPr>
                                      <w:sz w:val="16"/>
                                    </w:rPr>
                                  </w:pPr>
                                  <w:r>
                                    <w:rPr>
                                      <w:sz w:val="16"/>
                                    </w:rPr>
                                    <w:t>Marquesinas</w:t>
                                  </w:r>
                                  <w:r>
                                    <w:rPr>
                                      <w:spacing w:val="-11"/>
                                      <w:sz w:val="16"/>
                                    </w:rPr>
                                    <w:t> </w:t>
                                  </w:r>
                                  <w:r>
                                    <w:rPr>
                                      <w:spacing w:val="-2"/>
                                      <w:sz w:val="16"/>
                                    </w:rPr>
                                    <w:t>inteligentes</w:t>
                                  </w:r>
                                  <w:r>
                                    <w:rPr>
                                      <w:rFonts w:ascii="Times New Roman"/>
                                      <w:sz w:val="16"/>
                                    </w:rPr>
                                    <w:tab/>
                                  </w:r>
                                  <w:r>
                                    <w:rPr>
                                      <w:spacing w:val="-5"/>
                                      <w:sz w:val="16"/>
                                    </w:rPr>
                                    <w:t>11</w:t>
                                  </w:r>
                                </w:p>
                              </w:tc>
                              <w:tc>
                                <w:tcPr>
                                  <w:tcW w:w="1066" w:type="dxa"/>
                                  <w:tcBorders>
                                    <w:top w:val="single" w:sz="4" w:space="0" w:color="001F5F"/>
                                    <w:bottom w:val="single" w:sz="4" w:space="0" w:color="001F5F"/>
                                  </w:tcBorders>
                                </w:tcPr>
                                <w:p>
                                  <w:pPr>
                                    <w:pStyle w:val="TableParagraph"/>
                                    <w:spacing w:line="173" w:lineRule="exact" w:before="15"/>
                                    <w:ind w:right="142"/>
                                    <w:jc w:val="right"/>
                                    <w:rPr>
                                      <w:sz w:val="16"/>
                                    </w:rPr>
                                  </w:pPr>
                                  <w:r>
                                    <w:rPr>
                                      <w:spacing w:val="-2"/>
                                      <w:sz w:val="16"/>
                                    </w:rPr>
                                    <w:t>3.552.012,62</w:t>
                                  </w:r>
                                </w:p>
                              </w:tc>
                              <w:tc>
                                <w:tcPr>
                                  <w:tcW w:w="1023" w:type="dxa"/>
                                  <w:tcBorders>
                                    <w:top w:val="single" w:sz="4" w:space="0" w:color="001F5F"/>
                                    <w:bottom w:val="single" w:sz="4" w:space="0" w:color="001F5F"/>
                                  </w:tcBorders>
                                </w:tcPr>
                                <w:p>
                                  <w:pPr>
                                    <w:pStyle w:val="TableParagraph"/>
                                    <w:spacing w:line="173" w:lineRule="exact" w:before="15"/>
                                    <w:ind w:right="108"/>
                                    <w:jc w:val="right"/>
                                    <w:rPr>
                                      <w:sz w:val="16"/>
                                    </w:rPr>
                                  </w:pPr>
                                  <w:r>
                                    <w:rPr>
                                      <w:spacing w:val="-2"/>
                                      <w:sz w:val="16"/>
                                    </w:rPr>
                                    <w:t>363.173,17</w:t>
                                  </w:r>
                                </w:p>
                              </w:tc>
                              <w:tc>
                                <w:tcPr>
                                  <w:tcW w:w="1043" w:type="dxa"/>
                                  <w:tcBorders>
                                    <w:top w:val="single" w:sz="4" w:space="0" w:color="001F5F"/>
                                    <w:bottom w:val="single" w:sz="4" w:space="0" w:color="001F5F"/>
                                  </w:tcBorders>
                                </w:tcPr>
                                <w:p>
                                  <w:pPr>
                                    <w:pStyle w:val="TableParagraph"/>
                                    <w:spacing w:line="173" w:lineRule="exact" w:before="15"/>
                                    <w:ind w:right="160"/>
                                    <w:jc w:val="right"/>
                                    <w:rPr>
                                      <w:sz w:val="16"/>
                                    </w:rPr>
                                  </w:pPr>
                                  <w:r>
                                    <w:rPr>
                                      <w:spacing w:val="-2"/>
                                      <w:sz w:val="16"/>
                                    </w:rPr>
                                    <w:t>3.188.839,46</w:t>
                                  </w:r>
                                </w:p>
                              </w:tc>
                              <w:tc>
                                <w:tcPr>
                                  <w:tcW w:w="459" w:type="dxa"/>
                                  <w:tcBorders>
                                    <w:top w:val="single" w:sz="4" w:space="0" w:color="001F5F"/>
                                    <w:bottom w:val="single" w:sz="4" w:space="0" w:color="001F5F"/>
                                  </w:tcBorders>
                                </w:tcPr>
                                <w:p>
                                  <w:pPr>
                                    <w:pStyle w:val="TableParagraph"/>
                                    <w:spacing w:line="173" w:lineRule="exact" w:before="15"/>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3" w:lineRule="exact" w:before="15"/>
                                    <w:ind w:left="13" w:right="9"/>
                                    <w:jc w:val="center"/>
                                    <w:rPr>
                                      <w:sz w:val="16"/>
                                    </w:rPr>
                                  </w:pPr>
                                  <w:r>
                                    <w:rPr>
                                      <w:color w:val="891538"/>
                                      <w:spacing w:val="-5"/>
                                      <w:sz w:val="16"/>
                                    </w:rPr>
                                    <w:t>SI</w:t>
                                  </w:r>
                                </w:p>
                              </w:tc>
                              <w:tc>
                                <w:tcPr>
                                  <w:tcW w:w="390" w:type="dxa"/>
                                  <w:tcBorders>
                                    <w:top w:val="single" w:sz="4" w:space="0" w:color="001F5F"/>
                                    <w:bottom w:val="single" w:sz="4" w:space="0" w:color="001F5F"/>
                                  </w:tcBorders>
                                </w:tcPr>
                                <w:p>
                                  <w:pPr>
                                    <w:pStyle w:val="TableParagraph"/>
                                    <w:spacing w:line="173" w:lineRule="exact" w:before="15"/>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3" w:lineRule="exact" w:before="15"/>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3" w:lineRule="exact" w:before="15"/>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0000"/>
                                    <w:bottom w:val="single" w:sz="4" w:space="0" w:color="000000"/>
                                  </w:tcBorders>
                                </w:tcPr>
                                <w:p>
                                  <w:pPr>
                                    <w:pStyle w:val="TableParagraph"/>
                                    <w:tabs>
                                      <w:tab w:pos="2973" w:val="right" w:leader="none"/>
                                    </w:tabs>
                                    <w:spacing w:before="8"/>
                                    <w:ind w:right="83"/>
                                    <w:jc w:val="center"/>
                                    <w:rPr>
                                      <w:position w:val="-8"/>
                                      <w:sz w:val="16"/>
                                    </w:rPr>
                                  </w:pPr>
                                  <w:r>
                                    <w:rPr>
                                      <w:sz w:val="16"/>
                                    </w:rPr>
                                    <w:t>Digitalización</w:t>
                                  </w:r>
                                  <w:r>
                                    <w:rPr>
                                      <w:spacing w:val="-5"/>
                                      <w:sz w:val="16"/>
                                    </w:rPr>
                                    <w:t> </w:t>
                                  </w:r>
                                  <w:r>
                                    <w:rPr>
                                      <w:sz w:val="16"/>
                                    </w:rPr>
                                    <w:t>de</w:t>
                                  </w:r>
                                  <w:r>
                                    <w:rPr>
                                      <w:spacing w:val="-5"/>
                                      <w:sz w:val="16"/>
                                    </w:rPr>
                                    <w:t> </w:t>
                                  </w:r>
                                  <w:r>
                                    <w:rPr>
                                      <w:sz w:val="16"/>
                                    </w:rPr>
                                    <w:t>actividades</w:t>
                                  </w:r>
                                  <w:r>
                                    <w:rPr>
                                      <w:spacing w:val="-9"/>
                                      <w:sz w:val="16"/>
                                    </w:rPr>
                                    <w:t> </w:t>
                                  </w:r>
                                  <w:r>
                                    <w:rPr>
                                      <w:sz w:val="16"/>
                                    </w:rPr>
                                    <w:t>del</w:t>
                                  </w:r>
                                  <w:r>
                                    <w:rPr>
                                      <w:spacing w:val="-6"/>
                                      <w:sz w:val="16"/>
                                    </w:rPr>
                                    <w:t> </w:t>
                                  </w:r>
                                  <w:r>
                                    <w:rPr>
                                      <w:sz w:val="16"/>
                                    </w:rPr>
                                    <w:t>taller</w:t>
                                  </w:r>
                                  <w:r>
                                    <w:rPr>
                                      <w:spacing w:val="-6"/>
                                      <w:sz w:val="16"/>
                                    </w:rPr>
                                    <w:t> </w:t>
                                  </w:r>
                                  <w:r>
                                    <w:rPr>
                                      <w:spacing w:val="-10"/>
                                      <w:sz w:val="16"/>
                                    </w:rPr>
                                    <w:t>y</w:t>
                                  </w:r>
                                  <w:r>
                                    <w:rPr>
                                      <w:rFonts w:ascii="Times New Roman" w:hAnsi="Times New Roman"/>
                                      <w:sz w:val="16"/>
                                    </w:rPr>
                                    <w:tab/>
                                  </w:r>
                                  <w:r>
                                    <w:rPr>
                                      <w:spacing w:val="-10"/>
                                      <w:position w:val="-8"/>
                                      <w:sz w:val="16"/>
                                    </w:rPr>
                                    <w:t>3</w:t>
                                  </w:r>
                                </w:p>
                              </w:tc>
                              <w:tc>
                                <w:tcPr>
                                  <w:tcW w:w="1066" w:type="dxa"/>
                                  <w:tcBorders>
                                    <w:top w:val="single" w:sz="4" w:space="0" w:color="001F5F"/>
                                    <w:bottom w:val="single" w:sz="4" w:space="0" w:color="001F5F"/>
                                  </w:tcBorders>
                                </w:tcPr>
                                <w:p>
                                  <w:pPr>
                                    <w:pStyle w:val="TableParagraph"/>
                                    <w:spacing w:before="99"/>
                                    <w:ind w:right="141"/>
                                    <w:jc w:val="right"/>
                                    <w:rPr>
                                      <w:sz w:val="16"/>
                                    </w:rPr>
                                  </w:pPr>
                                  <w:r>
                                    <w:rPr>
                                      <w:spacing w:val="-2"/>
                                      <w:sz w:val="16"/>
                                    </w:rPr>
                                    <w:t>26.510,78</w:t>
                                  </w:r>
                                </w:p>
                              </w:tc>
                              <w:tc>
                                <w:tcPr>
                                  <w:tcW w:w="1023" w:type="dxa"/>
                                  <w:tcBorders>
                                    <w:top w:val="single" w:sz="4" w:space="0" w:color="001F5F"/>
                                    <w:bottom w:val="single" w:sz="4" w:space="0" w:color="001F5F"/>
                                  </w:tcBorders>
                                </w:tcPr>
                                <w:p>
                                  <w:pPr>
                                    <w:pStyle w:val="TableParagraph"/>
                                    <w:spacing w:before="99"/>
                                    <w:ind w:right="108"/>
                                    <w:jc w:val="right"/>
                                    <w:rPr>
                                      <w:sz w:val="16"/>
                                    </w:rPr>
                                  </w:pPr>
                                  <w:r>
                                    <w:rPr>
                                      <w:spacing w:val="-2"/>
                                      <w:sz w:val="16"/>
                                    </w:rPr>
                                    <w:t>2.651,08</w:t>
                                  </w:r>
                                </w:p>
                              </w:tc>
                              <w:tc>
                                <w:tcPr>
                                  <w:tcW w:w="1043" w:type="dxa"/>
                                  <w:tcBorders>
                                    <w:top w:val="single" w:sz="4" w:space="0" w:color="001F5F"/>
                                    <w:bottom w:val="single" w:sz="4" w:space="0" w:color="001F5F"/>
                                  </w:tcBorders>
                                </w:tcPr>
                                <w:p>
                                  <w:pPr>
                                    <w:pStyle w:val="TableParagraph"/>
                                    <w:spacing w:before="99"/>
                                    <w:ind w:right="160"/>
                                    <w:jc w:val="right"/>
                                    <w:rPr>
                                      <w:sz w:val="16"/>
                                    </w:rPr>
                                  </w:pPr>
                                  <w:r>
                                    <w:rPr>
                                      <w:spacing w:val="-2"/>
                                      <w:sz w:val="16"/>
                                    </w:rPr>
                                    <w:t>23.859,70</w:t>
                                  </w:r>
                                </w:p>
                              </w:tc>
                              <w:tc>
                                <w:tcPr>
                                  <w:tcW w:w="459" w:type="dxa"/>
                                  <w:tcBorders>
                                    <w:top w:val="single" w:sz="4" w:space="0" w:color="001F5F"/>
                                    <w:bottom w:val="single" w:sz="4"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99"/>
                                    <w:ind w:left="1" w:right="1"/>
                                    <w:jc w:val="center"/>
                                    <w:rPr>
                                      <w:sz w:val="16"/>
                                    </w:rPr>
                                  </w:pPr>
                                  <w:r>
                                    <w:rPr>
                                      <w:spacing w:val="-2"/>
                                      <w:sz w:val="16"/>
                                    </w:rPr>
                                    <w:t>Finalizada</w:t>
                                  </w:r>
                                </w:p>
                              </w:tc>
                            </w:tr>
                            <w:tr>
                              <w:trPr>
                                <w:trHeight w:val="376" w:hRule="atLeast"/>
                              </w:trPr>
                              <w:tc>
                                <w:tcPr>
                                  <w:tcW w:w="994" w:type="dxa"/>
                                </w:tcPr>
                                <w:p>
                                  <w:pPr>
                                    <w:pStyle w:val="TableParagraph"/>
                                    <w:spacing w:line="175" w:lineRule="exact"/>
                                    <w:ind w:left="70"/>
                                    <w:rPr>
                                      <w:b/>
                                      <w:sz w:val="16"/>
                                    </w:rPr>
                                  </w:pPr>
                                  <w:r>
                                    <w:rPr>
                                      <w:b/>
                                      <w:spacing w:val="-2"/>
                                      <w:sz w:val="16"/>
                                    </w:rPr>
                                    <w:t>MÁLAGA</w:t>
                                  </w:r>
                                </w:p>
                              </w:tc>
                              <w:tc>
                                <w:tcPr>
                                  <w:tcW w:w="3198" w:type="dxa"/>
                                  <w:tcBorders>
                                    <w:top w:val="single" w:sz="4" w:space="0" w:color="000000"/>
                                    <w:bottom w:val="single" w:sz="4" w:space="0" w:color="000000"/>
                                  </w:tcBorders>
                                </w:tcPr>
                                <w:p>
                                  <w:pPr>
                                    <w:pStyle w:val="TableParagraph"/>
                                    <w:tabs>
                                      <w:tab w:pos="2973" w:val="right" w:leader="none"/>
                                    </w:tabs>
                                    <w:spacing w:before="8"/>
                                    <w:ind w:right="83"/>
                                    <w:jc w:val="center"/>
                                    <w:rPr>
                                      <w:position w:val="-8"/>
                                      <w:sz w:val="16"/>
                                    </w:rPr>
                                  </w:pPr>
                                  <w:r>
                                    <w:rPr>
                                      <w:spacing w:val="-2"/>
                                      <w:sz w:val="16"/>
                                    </w:rPr>
                                    <w:t>Sistema</w:t>
                                  </w:r>
                                  <w:r>
                                    <w:rPr>
                                      <w:spacing w:val="13"/>
                                      <w:sz w:val="16"/>
                                    </w:rPr>
                                    <w:t> </w:t>
                                  </w:r>
                                  <w:r>
                                    <w:rPr>
                                      <w:spacing w:val="-2"/>
                                      <w:sz w:val="16"/>
                                    </w:rPr>
                                    <w:t>antiemparejamiento</w:t>
                                  </w:r>
                                  <w:r>
                                    <w:rPr>
                                      <w:spacing w:val="16"/>
                                      <w:sz w:val="16"/>
                                    </w:rPr>
                                    <w:t> </w:t>
                                  </w:r>
                                  <w:r>
                                    <w:rPr>
                                      <w:spacing w:val="-5"/>
                                      <w:sz w:val="16"/>
                                    </w:rPr>
                                    <w:t>de</w:t>
                                  </w:r>
                                  <w:r>
                                    <w:rPr>
                                      <w:rFonts w:asci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1"/>
                                    <w:jc w:val="right"/>
                                    <w:rPr>
                                      <w:sz w:val="16"/>
                                    </w:rPr>
                                  </w:pPr>
                                  <w:r>
                                    <w:rPr>
                                      <w:spacing w:val="-2"/>
                                      <w:sz w:val="16"/>
                                    </w:rPr>
                                    <w:t>40.000,00</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4.000,00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36.000,00</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378" w:hRule="atLeast"/>
                              </w:trPr>
                              <w:tc>
                                <w:tcPr>
                                  <w:tcW w:w="994" w:type="dxa"/>
                                </w:tcPr>
                                <w:p>
                                  <w:pPr>
                                    <w:pStyle w:val="TableParagraph"/>
                                    <w:rPr>
                                      <w:rFonts w:ascii="Times New Roman"/>
                                      <w:sz w:val="16"/>
                                    </w:rPr>
                                  </w:pPr>
                                </w:p>
                              </w:tc>
                              <w:tc>
                                <w:tcPr>
                                  <w:tcW w:w="3198" w:type="dxa"/>
                                  <w:tcBorders>
                                    <w:top w:val="single" w:sz="4" w:space="0" w:color="000000"/>
                                    <w:bottom w:val="single" w:sz="4" w:space="0" w:color="000000"/>
                                  </w:tcBorders>
                                </w:tcPr>
                                <w:p>
                                  <w:pPr>
                                    <w:pStyle w:val="TableParagraph"/>
                                    <w:tabs>
                                      <w:tab w:pos="2973" w:val="right" w:leader="none"/>
                                    </w:tabs>
                                    <w:spacing w:before="10"/>
                                    <w:ind w:right="83"/>
                                    <w:jc w:val="center"/>
                                    <w:rPr>
                                      <w:position w:val="-8"/>
                                      <w:sz w:val="16"/>
                                    </w:rPr>
                                  </w:pPr>
                                  <w:r>
                                    <w:rPr>
                                      <w:sz w:val="16"/>
                                    </w:rPr>
                                    <w:t>Sistemas</w:t>
                                  </w:r>
                                  <w:r>
                                    <w:rPr>
                                      <w:spacing w:val="-8"/>
                                      <w:sz w:val="16"/>
                                    </w:rPr>
                                    <w:t> </w:t>
                                  </w:r>
                                  <w:r>
                                    <w:rPr>
                                      <w:sz w:val="16"/>
                                    </w:rPr>
                                    <w:t>sensorización</w:t>
                                  </w:r>
                                  <w:r>
                                    <w:rPr>
                                      <w:spacing w:val="-7"/>
                                      <w:sz w:val="16"/>
                                    </w:rPr>
                                    <w:t> </w:t>
                                  </w:r>
                                  <w:r>
                                    <w:rPr>
                                      <w:sz w:val="16"/>
                                    </w:rPr>
                                    <w:t>y</w:t>
                                  </w:r>
                                  <w:r>
                                    <w:rPr>
                                      <w:spacing w:val="-7"/>
                                      <w:sz w:val="16"/>
                                    </w:rPr>
                                    <w:t> </w:t>
                                  </w:r>
                                  <w:r>
                                    <w:rPr>
                                      <w:spacing w:val="-2"/>
                                      <w:sz w:val="16"/>
                                    </w:rPr>
                                    <w:t>monitorización</w:t>
                                  </w:r>
                                  <w:r>
                                    <w:rPr>
                                      <w:rFonts w:ascii="Times New Roman" w:hAnsi="Times New Roman"/>
                                      <w:sz w:val="16"/>
                                    </w:rPr>
                                    <w:tab/>
                                  </w:r>
                                  <w:r>
                                    <w:rPr>
                                      <w:spacing w:val="-10"/>
                                      <w:position w:val="-8"/>
                                      <w:sz w:val="16"/>
                                    </w:rPr>
                                    <w:t>5</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409.667,98</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40.966,80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368.701,18</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209" w:hRule="atLeast"/>
                              </w:trPr>
                              <w:tc>
                                <w:tcPr>
                                  <w:tcW w:w="994" w:type="dxa"/>
                                </w:tcPr>
                                <w:p>
                                  <w:pPr>
                                    <w:pStyle w:val="TableParagraph"/>
                                    <w:rPr>
                                      <w:rFonts w:ascii="Times New Roman"/>
                                      <w:sz w:val="14"/>
                                    </w:rPr>
                                  </w:pPr>
                                </w:p>
                              </w:tc>
                              <w:tc>
                                <w:tcPr>
                                  <w:tcW w:w="3198" w:type="dxa"/>
                                  <w:tcBorders>
                                    <w:top w:val="single" w:sz="4" w:space="0" w:color="000000"/>
                                    <w:bottom w:val="single" w:sz="4" w:space="0" w:color="001F5F"/>
                                  </w:tcBorders>
                                </w:tcPr>
                                <w:p>
                                  <w:pPr>
                                    <w:pStyle w:val="TableParagraph"/>
                                    <w:tabs>
                                      <w:tab w:pos="2974" w:val="right" w:leader="none"/>
                                    </w:tabs>
                                    <w:spacing w:line="173" w:lineRule="exact" w:before="16"/>
                                    <w:ind w:right="82"/>
                                    <w:jc w:val="center"/>
                                    <w:rPr>
                                      <w:sz w:val="16"/>
                                    </w:rPr>
                                  </w:pPr>
                                  <w:r>
                                    <w:rPr>
                                      <w:sz w:val="16"/>
                                    </w:rPr>
                                    <w:t>Sistema</w:t>
                                  </w:r>
                                  <w:r>
                                    <w:rPr>
                                      <w:spacing w:val="-6"/>
                                      <w:sz w:val="16"/>
                                    </w:rPr>
                                    <w:t> </w:t>
                                  </w:r>
                                  <w:r>
                                    <w:rPr>
                                      <w:sz w:val="16"/>
                                    </w:rPr>
                                    <w:t>digital</w:t>
                                  </w:r>
                                  <w:r>
                                    <w:rPr>
                                      <w:spacing w:val="-5"/>
                                      <w:sz w:val="16"/>
                                    </w:rPr>
                                    <w:t> </w:t>
                                  </w:r>
                                  <w:r>
                                    <w:rPr>
                                      <w:sz w:val="16"/>
                                    </w:rPr>
                                    <w:t>de</w:t>
                                  </w:r>
                                  <w:r>
                                    <w:rPr>
                                      <w:spacing w:val="-4"/>
                                      <w:sz w:val="16"/>
                                    </w:rPr>
                                    <w:t> </w:t>
                                  </w:r>
                                  <w:r>
                                    <w:rPr>
                                      <w:sz w:val="16"/>
                                    </w:rPr>
                                    <w:t>información</w:t>
                                  </w:r>
                                  <w:r>
                                    <w:rPr>
                                      <w:spacing w:val="-4"/>
                                      <w:sz w:val="16"/>
                                    </w:rPr>
                                    <w:t> </w:t>
                                  </w:r>
                                  <w:r>
                                    <w:rPr>
                                      <w:sz w:val="16"/>
                                    </w:rPr>
                                    <w:t>a</w:t>
                                  </w:r>
                                  <w:r>
                                    <w:rPr>
                                      <w:spacing w:val="-3"/>
                                      <w:sz w:val="16"/>
                                    </w:rPr>
                                    <w:t> </w:t>
                                  </w:r>
                                  <w:r>
                                    <w:rPr>
                                      <w:spacing w:val="-2"/>
                                      <w:sz w:val="16"/>
                                    </w:rPr>
                                    <w:t>usuarios</w:t>
                                  </w:r>
                                  <w:r>
                                    <w:rPr>
                                      <w:rFonts w:ascii="Times New Roman" w:hAnsi="Times New Roman"/>
                                      <w:sz w:val="16"/>
                                    </w:rPr>
                                    <w:tab/>
                                  </w:r>
                                  <w:r>
                                    <w:rPr>
                                      <w:spacing w:val="-5"/>
                                      <w:sz w:val="16"/>
                                    </w:rPr>
                                    <w:t>11</w:t>
                                  </w:r>
                                </w:p>
                              </w:tc>
                              <w:tc>
                                <w:tcPr>
                                  <w:tcW w:w="1066" w:type="dxa"/>
                                  <w:tcBorders>
                                    <w:top w:val="single" w:sz="4" w:space="0" w:color="001F5F"/>
                                    <w:bottom w:val="single" w:sz="4" w:space="0" w:color="001F5F"/>
                                  </w:tcBorders>
                                </w:tcPr>
                                <w:p>
                                  <w:pPr>
                                    <w:pStyle w:val="TableParagraph"/>
                                    <w:spacing w:line="173" w:lineRule="exact" w:before="16"/>
                                    <w:ind w:right="141"/>
                                    <w:jc w:val="right"/>
                                    <w:rPr>
                                      <w:sz w:val="16"/>
                                    </w:rPr>
                                  </w:pPr>
                                  <w:r>
                                    <w:rPr>
                                      <w:spacing w:val="-2"/>
                                      <w:sz w:val="16"/>
                                    </w:rPr>
                                    <w:t>1.778.388,59</w:t>
                                  </w:r>
                                </w:p>
                              </w:tc>
                              <w:tc>
                                <w:tcPr>
                                  <w:tcW w:w="1023" w:type="dxa"/>
                                  <w:tcBorders>
                                    <w:top w:val="single" w:sz="4" w:space="0" w:color="001F5F"/>
                                    <w:bottom w:val="single" w:sz="4" w:space="0" w:color="001F5F"/>
                                  </w:tcBorders>
                                </w:tcPr>
                                <w:p>
                                  <w:pPr>
                                    <w:pStyle w:val="TableParagraph"/>
                                    <w:spacing w:line="173" w:lineRule="exact" w:before="16"/>
                                    <w:ind w:right="108"/>
                                    <w:jc w:val="right"/>
                                    <w:rPr>
                                      <w:sz w:val="16"/>
                                    </w:rPr>
                                  </w:pPr>
                                  <w:r>
                                    <w:rPr>
                                      <w:spacing w:val="-2"/>
                                      <w:sz w:val="16"/>
                                    </w:rPr>
                                    <w:t>177.838,86</w:t>
                                  </w:r>
                                </w:p>
                              </w:tc>
                              <w:tc>
                                <w:tcPr>
                                  <w:tcW w:w="1043" w:type="dxa"/>
                                  <w:tcBorders>
                                    <w:top w:val="single" w:sz="4" w:space="0" w:color="001F5F"/>
                                    <w:bottom w:val="single" w:sz="4" w:space="0" w:color="001F5F"/>
                                  </w:tcBorders>
                                </w:tcPr>
                                <w:p>
                                  <w:pPr>
                                    <w:pStyle w:val="TableParagraph"/>
                                    <w:spacing w:line="173" w:lineRule="exact" w:before="16"/>
                                    <w:ind w:right="160"/>
                                    <w:jc w:val="right"/>
                                    <w:rPr>
                                      <w:sz w:val="16"/>
                                    </w:rPr>
                                  </w:pPr>
                                  <w:r>
                                    <w:rPr>
                                      <w:spacing w:val="-2"/>
                                      <w:sz w:val="16"/>
                                    </w:rPr>
                                    <w:t>1.600.549,73</w:t>
                                  </w:r>
                                </w:p>
                              </w:tc>
                              <w:tc>
                                <w:tcPr>
                                  <w:tcW w:w="459" w:type="dxa"/>
                                  <w:tcBorders>
                                    <w:top w:val="single" w:sz="4" w:space="0" w:color="001F5F"/>
                                    <w:bottom w:val="single" w:sz="4" w:space="0" w:color="001F5F"/>
                                  </w:tcBorders>
                                </w:tcPr>
                                <w:p>
                                  <w:pPr>
                                    <w:pStyle w:val="TableParagraph"/>
                                    <w:spacing w:line="173" w:lineRule="exact" w:before="16"/>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3" w:lineRule="exact" w:before="16"/>
                                    <w:ind w:left="13" w:right="9"/>
                                    <w:jc w:val="center"/>
                                    <w:rPr>
                                      <w:sz w:val="16"/>
                                    </w:rPr>
                                  </w:pPr>
                                  <w:r>
                                    <w:rPr>
                                      <w:color w:val="891538"/>
                                      <w:spacing w:val="-5"/>
                                      <w:sz w:val="16"/>
                                    </w:rPr>
                                    <w:t>SI</w:t>
                                  </w:r>
                                </w:p>
                              </w:tc>
                              <w:tc>
                                <w:tcPr>
                                  <w:tcW w:w="390" w:type="dxa"/>
                                  <w:tcBorders>
                                    <w:top w:val="single" w:sz="4" w:space="0" w:color="001F5F"/>
                                    <w:bottom w:val="single" w:sz="4" w:space="0" w:color="001F5F"/>
                                  </w:tcBorders>
                                </w:tcPr>
                                <w:p>
                                  <w:pPr>
                                    <w:pStyle w:val="TableParagraph"/>
                                    <w:spacing w:line="173" w:lineRule="exact" w:before="16"/>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3" w:lineRule="exact" w:before="16"/>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3" w:lineRule="exact" w:before="16"/>
                                    <w:ind w:left="1" w:right="1"/>
                                    <w:jc w:val="center"/>
                                    <w:rPr>
                                      <w:sz w:val="16"/>
                                    </w:rPr>
                                  </w:pPr>
                                  <w:r>
                                    <w:rPr>
                                      <w:spacing w:val="-2"/>
                                      <w:sz w:val="16"/>
                                    </w:rPr>
                                    <w:t>Finalizada</w:t>
                                  </w:r>
                                </w:p>
                              </w:tc>
                            </w:tr>
                            <w:tr>
                              <w:trPr>
                                <w:trHeight w:val="376" w:hRule="atLeast"/>
                              </w:trPr>
                              <w:tc>
                                <w:tcPr>
                                  <w:tcW w:w="994" w:type="dxa"/>
                                  <w:tcBorders>
                                    <w:bottom w:val="single" w:sz="8" w:space="0" w:color="001F5F"/>
                                  </w:tcBorders>
                                </w:tcPr>
                                <w:p>
                                  <w:pPr>
                                    <w:pStyle w:val="TableParagraph"/>
                                    <w:rPr>
                                      <w:rFonts w:ascii="Times New Roman"/>
                                      <w:sz w:val="16"/>
                                    </w:rPr>
                                  </w:pPr>
                                </w:p>
                              </w:tc>
                              <w:tc>
                                <w:tcPr>
                                  <w:tcW w:w="3198" w:type="dxa"/>
                                  <w:tcBorders>
                                    <w:top w:val="single" w:sz="4" w:space="0" w:color="001F5F"/>
                                    <w:bottom w:val="single" w:sz="8" w:space="0" w:color="001F5F"/>
                                  </w:tcBorders>
                                </w:tcPr>
                                <w:p>
                                  <w:pPr>
                                    <w:pStyle w:val="TableParagraph"/>
                                    <w:tabs>
                                      <w:tab w:pos="2973" w:val="right" w:leader="none"/>
                                    </w:tabs>
                                    <w:spacing w:before="8"/>
                                    <w:ind w:right="83"/>
                                    <w:jc w:val="center"/>
                                    <w:rPr>
                                      <w:position w:val="-8"/>
                                      <w:sz w:val="16"/>
                                    </w:rPr>
                                  </w:pPr>
                                  <w:r>
                                    <w:rPr>
                                      <w:sz w:val="16"/>
                                    </w:rPr>
                                    <w:t>Sistema</w:t>
                                  </w:r>
                                  <w:r>
                                    <w:rPr>
                                      <w:spacing w:val="-6"/>
                                      <w:sz w:val="16"/>
                                    </w:rPr>
                                    <w:t> </w:t>
                                  </w:r>
                                  <w:r>
                                    <w:rPr>
                                      <w:sz w:val="16"/>
                                    </w:rPr>
                                    <w:t>de</w:t>
                                  </w:r>
                                  <w:r>
                                    <w:rPr>
                                      <w:spacing w:val="-4"/>
                                      <w:sz w:val="16"/>
                                    </w:rPr>
                                    <w:t> </w:t>
                                  </w:r>
                                  <w:r>
                                    <w:rPr>
                                      <w:sz w:val="16"/>
                                    </w:rPr>
                                    <w:t>información</w:t>
                                  </w:r>
                                  <w:r>
                                    <w:rPr>
                                      <w:spacing w:val="-4"/>
                                      <w:sz w:val="16"/>
                                    </w:rPr>
                                    <w:t> </w:t>
                                  </w:r>
                                  <w:r>
                                    <w:rPr>
                                      <w:sz w:val="16"/>
                                    </w:rPr>
                                    <w:t>en</w:t>
                                  </w:r>
                                  <w:r>
                                    <w:rPr>
                                      <w:spacing w:val="-4"/>
                                      <w:sz w:val="16"/>
                                    </w:rPr>
                                    <w:t> </w:t>
                                  </w:r>
                                  <w:r>
                                    <w:rPr>
                                      <w:sz w:val="16"/>
                                    </w:rPr>
                                    <w:t>app</w:t>
                                  </w:r>
                                  <w:r>
                                    <w:rPr>
                                      <w:spacing w:val="-5"/>
                                      <w:sz w:val="16"/>
                                    </w:rPr>
                                    <w:t> </w:t>
                                  </w:r>
                                  <w:r>
                                    <w:rPr>
                                      <w:spacing w:val="-4"/>
                                      <w:sz w:val="16"/>
                                    </w:rPr>
                                    <w:t>para</w:t>
                                  </w:r>
                                  <w:r>
                                    <w:rPr>
                                      <w:rFonts w:ascii="Times New Roman" w:hAnsi="Times New Roman"/>
                                      <w:sz w:val="16"/>
                                    </w:rPr>
                                    <w:tab/>
                                  </w:r>
                                  <w:r>
                                    <w:rPr>
                                      <w:spacing w:val="-10"/>
                                      <w:position w:val="-8"/>
                                      <w:sz w:val="16"/>
                                    </w:rPr>
                                    <w:t>4</w:t>
                                  </w:r>
                                </w:p>
                              </w:tc>
                              <w:tc>
                                <w:tcPr>
                                  <w:tcW w:w="1066" w:type="dxa"/>
                                  <w:tcBorders>
                                    <w:top w:val="single" w:sz="4" w:space="0" w:color="001F5F"/>
                                    <w:bottom w:val="single" w:sz="8" w:space="0" w:color="001F5F"/>
                                  </w:tcBorders>
                                </w:tcPr>
                                <w:p>
                                  <w:pPr>
                                    <w:pStyle w:val="TableParagraph"/>
                                    <w:spacing w:before="99"/>
                                    <w:ind w:right="141"/>
                                    <w:jc w:val="right"/>
                                    <w:rPr>
                                      <w:sz w:val="16"/>
                                    </w:rPr>
                                  </w:pPr>
                                  <w:r>
                                    <w:rPr>
                                      <w:spacing w:val="-2"/>
                                      <w:sz w:val="16"/>
                                    </w:rPr>
                                    <w:t>57.655,00</w:t>
                                  </w:r>
                                </w:p>
                              </w:tc>
                              <w:tc>
                                <w:tcPr>
                                  <w:tcW w:w="1023" w:type="dxa"/>
                                  <w:tcBorders>
                                    <w:top w:val="single" w:sz="4" w:space="0" w:color="001F5F"/>
                                    <w:bottom w:val="single" w:sz="8" w:space="0" w:color="001F5F"/>
                                  </w:tcBorders>
                                </w:tcPr>
                                <w:p>
                                  <w:pPr>
                                    <w:pStyle w:val="TableParagraph"/>
                                    <w:spacing w:before="99"/>
                                    <w:ind w:right="108"/>
                                    <w:jc w:val="right"/>
                                    <w:rPr>
                                      <w:sz w:val="16"/>
                                    </w:rPr>
                                  </w:pPr>
                                  <w:r>
                                    <w:rPr>
                                      <w:spacing w:val="-2"/>
                                      <w:sz w:val="16"/>
                                    </w:rPr>
                                    <w:t>5.765,50</w:t>
                                  </w:r>
                                </w:p>
                              </w:tc>
                              <w:tc>
                                <w:tcPr>
                                  <w:tcW w:w="1043" w:type="dxa"/>
                                  <w:tcBorders>
                                    <w:top w:val="single" w:sz="4" w:space="0" w:color="001F5F"/>
                                    <w:bottom w:val="single" w:sz="8" w:space="0" w:color="001F5F"/>
                                  </w:tcBorders>
                                </w:tcPr>
                                <w:p>
                                  <w:pPr>
                                    <w:pStyle w:val="TableParagraph"/>
                                    <w:spacing w:before="99"/>
                                    <w:ind w:right="160"/>
                                    <w:jc w:val="right"/>
                                    <w:rPr>
                                      <w:sz w:val="16"/>
                                    </w:rPr>
                                  </w:pPr>
                                  <w:r>
                                    <w:rPr>
                                      <w:spacing w:val="-2"/>
                                      <w:sz w:val="16"/>
                                    </w:rPr>
                                    <w:t>51.889,50</w:t>
                                  </w:r>
                                </w:p>
                              </w:tc>
                              <w:tc>
                                <w:tcPr>
                                  <w:tcW w:w="459" w:type="dxa"/>
                                  <w:tcBorders>
                                    <w:top w:val="single" w:sz="4" w:space="0" w:color="001F5F"/>
                                    <w:bottom w:val="single" w:sz="8"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99"/>
                                    <w:ind w:left="13" w:right="9"/>
                                    <w:jc w:val="center"/>
                                    <w:rPr>
                                      <w:sz w:val="16"/>
                                    </w:rPr>
                                  </w:pPr>
                                  <w:r>
                                    <w:rPr>
                                      <w:color w:val="891538"/>
                                      <w:spacing w:val="-5"/>
                                      <w:sz w:val="16"/>
                                    </w:rPr>
                                    <w:t>SI</w:t>
                                  </w:r>
                                </w:p>
                              </w:tc>
                              <w:tc>
                                <w:tcPr>
                                  <w:tcW w:w="390" w:type="dxa"/>
                                  <w:tcBorders>
                                    <w:top w:val="single" w:sz="4" w:space="0" w:color="001F5F"/>
                                    <w:bottom w:val="single" w:sz="8"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99"/>
                                    <w:ind w:left="1" w:right="1"/>
                                    <w:jc w:val="center"/>
                                    <w:rPr>
                                      <w:sz w:val="16"/>
                                    </w:rPr>
                                  </w:pPr>
                                  <w:r>
                                    <w:rPr>
                                      <w:spacing w:val="-2"/>
                                      <w:sz w:val="16"/>
                                    </w:rPr>
                                    <w:t>Finalizada</w:t>
                                  </w:r>
                                </w:p>
                              </w:tc>
                            </w:tr>
                            <w:tr>
                              <w:trPr>
                                <w:trHeight w:val="366" w:hRule="atLeast"/>
                              </w:trPr>
                              <w:tc>
                                <w:tcPr>
                                  <w:tcW w:w="994" w:type="dxa"/>
                                  <w:tcBorders>
                                    <w:top w:val="single" w:sz="8" w:space="0" w:color="001F5F"/>
                                  </w:tcBorders>
                                </w:tcPr>
                                <w:p>
                                  <w:pPr>
                                    <w:pStyle w:val="TableParagraph"/>
                                    <w:rPr>
                                      <w:rFonts w:ascii="Times New Roman"/>
                                      <w:sz w:val="16"/>
                                    </w:rPr>
                                  </w:pPr>
                                </w:p>
                              </w:tc>
                              <w:tc>
                                <w:tcPr>
                                  <w:tcW w:w="3198" w:type="dxa"/>
                                  <w:tcBorders>
                                    <w:top w:val="single" w:sz="8" w:space="0" w:color="001F5F"/>
                                    <w:bottom w:val="single" w:sz="4" w:space="0" w:color="002D5D"/>
                                  </w:tcBorders>
                                </w:tcPr>
                                <w:p>
                                  <w:pPr>
                                    <w:pStyle w:val="TableParagraph"/>
                                    <w:tabs>
                                      <w:tab w:pos="2973" w:val="right" w:leader="none"/>
                                    </w:tabs>
                                    <w:spacing w:line="235" w:lineRule="auto"/>
                                    <w:ind w:right="83"/>
                                    <w:jc w:val="center"/>
                                    <w:rPr>
                                      <w:position w:val="-8"/>
                                      <w:sz w:val="16"/>
                                    </w:rPr>
                                  </w:pPr>
                                  <w:r>
                                    <w:rPr>
                                      <w:sz w:val="16"/>
                                    </w:rPr>
                                    <w:t>Asistencia</w:t>
                                  </w:r>
                                  <w:r>
                                    <w:rPr>
                                      <w:spacing w:val="-7"/>
                                      <w:sz w:val="16"/>
                                    </w:rPr>
                                    <w:t> </w:t>
                                  </w:r>
                                  <w:r>
                                    <w:rPr>
                                      <w:sz w:val="16"/>
                                    </w:rPr>
                                    <w:t>técnica</w:t>
                                  </w:r>
                                  <w:r>
                                    <w:rPr>
                                      <w:spacing w:val="-9"/>
                                      <w:sz w:val="16"/>
                                    </w:rPr>
                                    <w:t> </w:t>
                                  </w:r>
                                  <w:r>
                                    <w:rPr>
                                      <w:sz w:val="16"/>
                                    </w:rPr>
                                    <w:t>Proyecto</w:t>
                                  </w:r>
                                  <w:r>
                                    <w:rPr>
                                      <w:spacing w:val="-6"/>
                                      <w:sz w:val="16"/>
                                    </w:rPr>
                                    <w:t> </w:t>
                                  </w:r>
                                  <w:r>
                                    <w:rPr>
                                      <w:spacing w:val="-2"/>
                                      <w:sz w:val="16"/>
                                    </w:rPr>
                                    <w:t>servicio</w:t>
                                  </w:r>
                                  <w:r>
                                    <w:rPr>
                                      <w:rFonts w:ascii="Times New Roman" w:hAnsi="Times New Roman"/>
                                      <w:sz w:val="16"/>
                                    </w:rPr>
                                    <w:tab/>
                                  </w:r>
                                  <w:r>
                                    <w:rPr>
                                      <w:spacing w:val="-10"/>
                                      <w:position w:val="-8"/>
                                      <w:sz w:val="16"/>
                                    </w:rPr>
                                    <w:t>1</w:t>
                                  </w:r>
                                </w:p>
                              </w:tc>
                              <w:tc>
                                <w:tcPr>
                                  <w:tcW w:w="1066" w:type="dxa"/>
                                  <w:tcBorders>
                                    <w:top w:val="single" w:sz="8" w:space="0" w:color="001F5F"/>
                                    <w:bottom w:val="single" w:sz="4" w:space="0" w:color="001F5F"/>
                                  </w:tcBorders>
                                </w:tcPr>
                                <w:p>
                                  <w:pPr>
                                    <w:pStyle w:val="TableParagraph"/>
                                    <w:spacing w:before="89"/>
                                    <w:ind w:right="141"/>
                                    <w:jc w:val="right"/>
                                    <w:rPr>
                                      <w:sz w:val="16"/>
                                    </w:rPr>
                                  </w:pPr>
                                  <w:r>
                                    <w:rPr>
                                      <w:spacing w:val="-2"/>
                                      <w:sz w:val="16"/>
                                    </w:rPr>
                                    <w:t>33.250,00</w:t>
                                  </w:r>
                                </w:p>
                              </w:tc>
                              <w:tc>
                                <w:tcPr>
                                  <w:tcW w:w="1023" w:type="dxa"/>
                                  <w:tcBorders>
                                    <w:top w:val="single" w:sz="8" w:space="0" w:color="001F5F"/>
                                    <w:bottom w:val="single" w:sz="4" w:space="0" w:color="001F5F"/>
                                  </w:tcBorders>
                                </w:tcPr>
                                <w:p>
                                  <w:pPr>
                                    <w:pStyle w:val="TableParagraph"/>
                                    <w:spacing w:before="89"/>
                                    <w:ind w:right="108"/>
                                    <w:jc w:val="right"/>
                                    <w:rPr>
                                      <w:sz w:val="16"/>
                                    </w:rPr>
                                  </w:pPr>
                                  <w:r>
                                    <w:rPr>
                                      <w:spacing w:val="-2"/>
                                      <w:sz w:val="16"/>
                                    </w:rPr>
                                    <w:t>33.250,00</w:t>
                                  </w:r>
                                </w:p>
                              </w:tc>
                              <w:tc>
                                <w:tcPr>
                                  <w:tcW w:w="1043" w:type="dxa"/>
                                  <w:tcBorders>
                                    <w:top w:val="single" w:sz="8" w:space="0" w:color="001F5F"/>
                                    <w:bottom w:val="single" w:sz="4" w:space="0" w:color="001F5F"/>
                                  </w:tcBorders>
                                </w:tcPr>
                                <w:p>
                                  <w:pPr>
                                    <w:pStyle w:val="TableParagraph"/>
                                    <w:spacing w:before="89"/>
                                    <w:ind w:right="159"/>
                                    <w:jc w:val="right"/>
                                    <w:rPr>
                                      <w:sz w:val="16"/>
                                    </w:rPr>
                                  </w:pPr>
                                  <w:r>
                                    <w:rPr>
                                      <w:spacing w:val="-4"/>
                                      <w:sz w:val="16"/>
                                    </w:rPr>
                                    <w:t>0,00</w:t>
                                  </w:r>
                                </w:p>
                              </w:tc>
                              <w:tc>
                                <w:tcPr>
                                  <w:tcW w:w="459" w:type="dxa"/>
                                  <w:tcBorders>
                                    <w:top w:val="single" w:sz="8" w:space="0" w:color="001F5F"/>
                                    <w:bottom w:val="single" w:sz="4" w:space="0" w:color="001F5F"/>
                                  </w:tcBorders>
                                </w:tcPr>
                                <w:p>
                                  <w:pPr>
                                    <w:pStyle w:val="TableParagraph"/>
                                    <w:spacing w:before="89"/>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before="89"/>
                                    <w:ind w:left="13" w:righ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before="89"/>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before="89"/>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before="89"/>
                                    <w:ind w:left="1" w:right="1"/>
                                    <w:jc w:val="center"/>
                                    <w:rPr>
                                      <w:sz w:val="16"/>
                                    </w:rPr>
                                  </w:pPr>
                                  <w:r>
                                    <w:rPr>
                                      <w:spacing w:val="-2"/>
                                      <w:sz w:val="16"/>
                                    </w:rPr>
                                    <w:t>Finalizada</w:t>
                                  </w:r>
                                </w:p>
                              </w:tc>
                            </w:tr>
                            <w:tr>
                              <w:trPr>
                                <w:trHeight w:val="388" w:hRule="atLeast"/>
                              </w:trPr>
                              <w:tc>
                                <w:tcPr>
                                  <w:tcW w:w="994" w:type="dxa"/>
                                </w:tcPr>
                                <w:p>
                                  <w:pPr>
                                    <w:pStyle w:val="TableParagraph"/>
                                    <w:spacing w:before="111"/>
                                    <w:ind w:left="70"/>
                                    <w:rPr>
                                      <w:b/>
                                      <w:sz w:val="16"/>
                                    </w:rPr>
                                  </w:pPr>
                                  <w:r>
                                    <w:rPr>
                                      <w:b/>
                                      <w:spacing w:val="-2"/>
                                      <w:sz w:val="16"/>
                                    </w:rPr>
                                    <w:t>MURCIA</w:t>
                                  </w:r>
                                </w:p>
                              </w:tc>
                              <w:tc>
                                <w:tcPr>
                                  <w:tcW w:w="3198" w:type="dxa"/>
                                  <w:tcBorders>
                                    <w:top w:val="single" w:sz="4" w:space="0" w:color="002D5D"/>
                                    <w:bottom w:val="single" w:sz="4" w:space="0" w:color="002D5D"/>
                                  </w:tcBorders>
                                </w:tcPr>
                                <w:p>
                                  <w:pPr>
                                    <w:pStyle w:val="TableParagraph"/>
                                    <w:tabs>
                                      <w:tab w:pos="2973" w:val="right" w:leader="none"/>
                                    </w:tabs>
                                    <w:spacing w:before="20"/>
                                    <w:ind w:right="83"/>
                                    <w:jc w:val="center"/>
                                    <w:rPr>
                                      <w:position w:val="-8"/>
                                      <w:sz w:val="16"/>
                                    </w:rPr>
                                  </w:pPr>
                                  <w:r>
                                    <w:rPr>
                                      <w:sz w:val="16"/>
                                    </w:rPr>
                                    <w:t>Sistema</w:t>
                                  </w:r>
                                  <w:r>
                                    <w:rPr>
                                      <w:spacing w:val="-4"/>
                                      <w:sz w:val="16"/>
                                    </w:rPr>
                                    <w:t> </w:t>
                                  </w:r>
                                  <w:r>
                                    <w:rPr>
                                      <w:sz w:val="16"/>
                                    </w:rPr>
                                    <w:t>central</w:t>
                                  </w:r>
                                  <w:r>
                                    <w:rPr>
                                      <w:spacing w:val="-7"/>
                                      <w:sz w:val="16"/>
                                    </w:rPr>
                                    <w:t> </w:t>
                                  </w:r>
                                  <w:r>
                                    <w:rPr>
                                      <w:sz w:val="16"/>
                                    </w:rPr>
                                    <w:t>de</w:t>
                                  </w:r>
                                  <w:r>
                                    <w:rPr>
                                      <w:spacing w:val="-5"/>
                                      <w:sz w:val="16"/>
                                    </w:rPr>
                                    <w:t> </w:t>
                                  </w:r>
                                  <w:r>
                                    <w:rPr>
                                      <w:sz w:val="16"/>
                                    </w:rPr>
                                    <w:t>gestión</w:t>
                                  </w:r>
                                  <w:r>
                                    <w:rPr>
                                      <w:spacing w:val="-3"/>
                                      <w:sz w:val="16"/>
                                    </w:rPr>
                                    <w:t> </w:t>
                                  </w:r>
                                  <w:r>
                                    <w:rPr>
                                      <w:sz w:val="16"/>
                                    </w:rPr>
                                    <w:t>ITS</w:t>
                                  </w:r>
                                  <w:r>
                                    <w:rPr>
                                      <w:spacing w:val="-3"/>
                                      <w:sz w:val="16"/>
                                    </w:rPr>
                                    <w:t> </w:t>
                                  </w:r>
                                  <w:r>
                                    <w:rPr>
                                      <w:spacing w:val="-10"/>
                                      <w:sz w:val="16"/>
                                    </w:rPr>
                                    <w:t>y</w:t>
                                  </w:r>
                                  <w:r>
                                    <w:rPr>
                                      <w:rFonts w:ascii="Times New Roman" w:hAnsi="Times New Roman"/>
                                      <w:sz w:val="16"/>
                                    </w:rPr>
                                    <w:tab/>
                                  </w:r>
                                  <w:r>
                                    <w:rPr>
                                      <w:spacing w:val="-10"/>
                                      <w:position w:val="-8"/>
                                      <w:sz w:val="16"/>
                                    </w:rPr>
                                    <w:t>2</w:t>
                                  </w:r>
                                </w:p>
                              </w:tc>
                              <w:tc>
                                <w:tcPr>
                                  <w:tcW w:w="1066" w:type="dxa"/>
                                  <w:tcBorders>
                                    <w:top w:val="single" w:sz="4" w:space="0" w:color="001F5F"/>
                                    <w:bottom w:val="single" w:sz="4" w:space="0" w:color="001F5F"/>
                                  </w:tcBorders>
                                </w:tcPr>
                                <w:p>
                                  <w:pPr>
                                    <w:pStyle w:val="TableParagraph"/>
                                    <w:spacing w:before="111"/>
                                    <w:ind w:right="142"/>
                                    <w:jc w:val="right"/>
                                    <w:rPr>
                                      <w:sz w:val="16"/>
                                    </w:rPr>
                                  </w:pPr>
                                  <w:r>
                                    <w:rPr>
                                      <w:spacing w:val="-2"/>
                                      <w:sz w:val="16"/>
                                    </w:rPr>
                                    <w:t>5.066.952,09</w:t>
                                  </w:r>
                                </w:p>
                              </w:tc>
                              <w:tc>
                                <w:tcPr>
                                  <w:tcW w:w="1023" w:type="dxa"/>
                                  <w:tcBorders>
                                    <w:top w:val="single" w:sz="4" w:space="0" w:color="001F5F"/>
                                    <w:bottom w:val="single" w:sz="4" w:space="0" w:color="001F5F"/>
                                  </w:tcBorders>
                                </w:tcPr>
                                <w:p>
                                  <w:pPr>
                                    <w:pStyle w:val="TableParagraph"/>
                                    <w:spacing w:before="111"/>
                                    <w:ind w:right="108"/>
                                    <w:jc w:val="right"/>
                                    <w:rPr>
                                      <w:sz w:val="16"/>
                                    </w:rPr>
                                  </w:pPr>
                                  <w:r>
                                    <w:rPr>
                                      <w:spacing w:val="-2"/>
                                      <w:sz w:val="16"/>
                                    </w:rPr>
                                    <w:t>506.695,21</w:t>
                                  </w:r>
                                </w:p>
                              </w:tc>
                              <w:tc>
                                <w:tcPr>
                                  <w:tcW w:w="1043" w:type="dxa"/>
                                  <w:tcBorders>
                                    <w:top w:val="single" w:sz="4" w:space="0" w:color="001F5F"/>
                                    <w:bottom w:val="single" w:sz="4" w:space="0" w:color="001F5F"/>
                                  </w:tcBorders>
                                </w:tcPr>
                                <w:p>
                                  <w:pPr>
                                    <w:pStyle w:val="TableParagraph"/>
                                    <w:spacing w:before="111"/>
                                    <w:ind w:right="160"/>
                                    <w:jc w:val="right"/>
                                    <w:rPr>
                                      <w:sz w:val="16"/>
                                    </w:rPr>
                                  </w:pPr>
                                  <w:r>
                                    <w:rPr>
                                      <w:spacing w:val="-2"/>
                                      <w:sz w:val="16"/>
                                    </w:rPr>
                                    <w:t>4.560.256,88</w:t>
                                  </w:r>
                                </w:p>
                              </w:tc>
                              <w:tc>
                                <w:tcPr>
                                  <w:tcW w:w="459" w:type="dxa"/>
                                  <w:tcBorders>
                                    <w:top w:val="single" w:sz="4" w:space="0" w:color="001F5F"/>
                                    <w:bottom w:val="single" w:sz="4" w:space="0" w:color="001F5F"/>
                                  </w:tcBorders>
                                </w:tcPr>
                                <w:p>
                                  <w:pPr>
                                    <w:pStyle w:val="TableParagraph"/>
                                    <w:spacing w:before="111"/>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11"/>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11"/>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11"/>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11"/>
                                    <w:ind w:right="1"/>
                                    <w:jc w:val="center"/>
                                    <w:rPr>
                                      <w:sz w:val="16"/>
                                    </w:rPr>
                                  </w:pPr>
                                  <w:r>
                                    <w:rPr>
                                      <w:sz w:val="16"/>
                                    </w:rPr>
                                    <w:t>En</w:t>
                                  </w:r>
                                  <w:r>
                                    <w:rPr>
                                      <w:spacing w:val="-2"/>
                                      <w:sz w:val="16"/>
                                    </w:rPr>
                                    <w:t> ejecución</w:t>
                                  </w:r>
                                </w:p>
                              </w:tc>
                            </w:tr>
                            <w:tr>
                              <w:trPr>
                                <w:trHeight w:val="385" w:hRule="atLeast"/>
                              </w:trPr>
                              <w:tc>
                                <w:tcPr>
                                  <w:tcW w:w="994" w:type="dxa"/>
                                  <w:tcBorders>
                                    <w:bottom w:val="single" w:sz="8" w:space="0" w:color="001F5F"/>
                                  </w:tcBorders>
                                </w:tcPr>
                                <w:p>
                                  <w:pPr>
                                    <w:pStyle w:val="TableParagraph"/>
                                    <w:rPr>
                                      <w:rFonts w:ascii="Times New Roman"/>
                                      <w:sz w:val="16"/>
                                    </w:rPr>
                                  </w:pPr>
                                </w:p>
                              </w:tc>
                              <w:tc>
                                <w:tcPr>
                                  <w:tcW w:w="3198" w:type="dxa"/>
                                  <w:tcBorders>
                                    <w:top w:val="single" w:sz="4" w:space="0" w:color="002D5D"/>
                                    <w:bottom w:val="single" w:sz="8" w:space="0" w:color="001F5F"/>
                                  </w:tcBorders>
                                </w:tcPr>
                                <w:p>
                                  <w:pPr>
                                    <w:pStyle w:val="TableParagraph"/>
                                    <w:tabs>
                                      <w:tab w:pos="2973" w:val="right" w:leader="none"/>
                                    </w:tabs>
                                    <w:spacing w:before="18"/>
                                    <w:ind w:right="83"/>
                                    <w:jc w:val="center"/>
                                    <w:rPr>
                                      <w:position w:val="-8"/>
                                      <w:sz w:val="16"/>
                                    </w:rPr>
                                  </w:pPr>
                                  <w:r>
                                    <w:rPr>
                                      <w:sz w:val="16"/>
                                    </w:rPr>
                                    <w:t>Suministro</w:t>
                                  </w:r>
                                  <w:r>
                                    <w:rPr>
                                      <w:spacing w:val="-5"/>
                                      <w:sz w:val="16"/>
                                    </w:rPr>
                                    <w:t> </w:t>
                                  </w:r>
                                  <w:r>
                                    <w:rPr>
                                      <w:sz w:val="16"/>
                                    </w:rPr>
                                    <w:t>e</w:t>
                                  </w:r>
                                  <w:r>
                                    <w:rPr>
                                      <w:spacing w:val="-4"/>
                                      <w:sz w:val="16"/>
                                    </w:rPr>
                                    <w:t> </w:t>
                                  </w:r>
                                  <w:r>
                                    <w:rPr>
                                      <w:sz w:val="16"/>
                                    </w:rPr>
                                    <w:t>implantación</w:t>
                                  </w:r>
                                  <w:r>
                                    <w:rPr>
                                      <w:spacing w:val="-4"/>
                                      <w:sz w:val="16"/>
                                    </w:rPr>
                                    <w:t> </w:t>
                                  </w:r>
                                  <w:r>
                                    <w:rPr>
                                      <w:sz w:val="16"/>
                                    </w:rPr>
                                    <w:t>de</w:t>
                                  </w:r>
                                  <w:r>
                                    <w:rPr>
                                      <w:spacing w:val="-4"/>
                                      <w:sz w:val="16"/>
                                    </w:rPr>
                                    <w:t> </w:t>
                                  </w:r>
                                  <w:r>
                                    <w:rPr>
                                      <w:sz w:val="16"/>
                                    </w:rPr>
                                    <w:t>los</w:t>
                                  </w:r>
                                  <w:r>
                                    <w:rPr>
                                      <w:spacing w:val="-5"/>
                                      <w:sz w:val="16"/>
                                    </w:rPr>
                                    <w:t> </w:t>
                                  </w:r>
                                  <w:r>
                                    <w:rPr>
                                      <w:spacing w:val="-2"/>
                                      <w:sz w:val="16"/>
                                    </w:rPr>
                                    <w:t>nuevos</w:t>
                                  </w:r>
                                  <w:r>
                                    <w:rPr>
                                      <w:rFonts w:ascii="Times New Roman" w:hAnsi="Times New Roman"/>
                                      <w:sz w:val="16"/>
                                    </w:rPr>
                                    <w:tab/>
                                  </w:r>
                                  <w:r>
                                    <w:rPr>
                                      <w:spacing w:val="-10"/>
                                      <w:position w:val="-8"/>
                                      <w:sz w:val="16"/>
                                    </w:rPr>
                                    <w:t>1</w:t>
                                  </w:r>
                                </w:p>
                              </w:tc>
                              <w:tc>
                                <w:tcPr>
                                  <w:tcW w:w="1066" w:type="dxa"/>
                                  <w:tcBorders>
                                    <w:top w:val="single" w:sz="4" w:space="0" w:color="001F5F"/>
                                    <w:bottom w:val="single" w:sz="8" w:space="0" w:color="001F5F"/>
                                  </w:tcBorders>
                                </w:tcPr>
                                <w:p>
                                  <w:pPr>
                                    <w:pStyle w:val="TableParagraph"/>
                                    <w:spacing w:before="109"/>
                                    <w:ind w:right="142"/>
                                    <w:jc w:val="right"/>
                                    <w:rPr>
                                      <w:sz w:val="16"/>
                                    </w:rPr>
                                  </w:pPr>
                                  <w:r>
                                    <w:rPr>
                                      <w:spacing w:val="-2"/>
                                      <w:sz w:val="16"/>
                                    </w:rPr>
                                    <w:t>167.443,00</w:t>
                                  </w:r>
                                </w:p>
                              </w:tc>
                              <w:tc>
                                <w:tcPr>
                                  <w:tcW w:w="1023" w:type="dxa"/>
                                  <w:tcBorders>
                                    <w:top w:val="single" w:sz="4" w:space="0" w:color="001F5F"/>
                                    <w:bottom w:val="single" w:sz="8" w:space="0" w:color="001F5F"/>
                                  </w:tcBorders>
                                </w:tcPr>
                                <w:p>
                                  <w:pPr>
                                    <w:pStyle w:val="TableParagraph"/>
                                    <w:spacing w:before="109"/>
                                    <w:ind w:right="108"/>
                                    <w:jc w:val="right"/>
                                    <w:rPr>
                                      <w:sz w:val="16"/>
                                    </w:rPr>
                                  </w:pPr>
                                  <w:r>
                                    <w:rPr>
                                      <w:spacing w:val="-2"/>
                                      <w:sz w:val="16"/>
                                    </w:rPr>
                                    <w:t>16.774,30</w:t>
                                  </w:r>
                                </w:p>
                              </w:tc>
                              <w:tc>
                                <w:tcPr>
                                  <w:tcW w:w="1043" w:type="dxa"/>
                                  <w:tcBorders>
                                    <w:top w:val="single" w:sz="4" w:space="0" w:color="001F5F"/>
                                    <w:bottom w:val="single" w:sz="8" w:space="0" w:color="001F5F"/>
                                  </w:tcBorders>
                                </w:tcPr>
                                <w:p>
                                  <w:pPr>
                                    <w:pStyle w:val="TableParagraph"/>
                                    <w:spacing w:before="109"/>
                                    <w:ind w:right="160"/>
                                    <w:jc w:val="right"/>
                                    <w:rPr>
                                      <w:sz w:val="16"/>
                                    </w:rPr>
                                  </w:pPr>
                                  <w:r>
                                    <w:rPr>
                                      <w:spacing w:val="-2"/>
                                      <w:sz w:val="16"/>
                                    </w:rPr>
                                    <w:t>150.698,70</w:t>
                                  </w:r>
                                </w:p>
                              </w:tc>
                              <w:tc>
                                <w:tcPr>
                                  <w:tcW w:w="459" w:type="dxa"/>
                                  <w:tcBorders>
                                    <w:top w:val="single" w:sz="4" w:space="0" w:color="001F5F"/>
                                    <w:bottom w:val="single" w:sz="8" w:space="0" w:color="001F5F"/>
                                  </w:tcBorders>
                                </w:tcPr>
                                <w:p>
                                  <w:pPr>
                                    <w:pStyle w:val="TableParagraph"/>
                                    <w:spacing w:before="109"/>
                                    <w:ind w:left="72"/>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9"/>
                                    <w:ind w:left="13" w:righ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9"/>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109"/>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109"/>
                                    <w:ind w:right="1"/>
                                    <w:jc w:val="center"/>
                                    <w:rPr>
                                      <w:sz w:val="16"/>
                                    </w:rPr>
                                  </w:pPr>
                                  <w:r>
                                    <w:rPr>
                                      <w:sz w:val="16"/>
                                    </w:rPr>
                                    <w:t>En</w:t>
                                  </w:r>
                                  <w:r>
                                    <w:rPr>
                                      <w:spacing w:val="-2"/>
                                      <w:sz w:val="16"/>
                                    </w:rPr>
                                    <w:t> ejecución</w:t>
                                  </w:r>
                                </w:p>
                              </w:tc>
                            </w:tr>
                          </w:tbl>
                          <w:p>
                            <w:pPr>
                              <w:pStyle w:val="BodyText"/>
                            </w:pPr>
                          </w:p>
                        </w:txbxContent>
                      </wps:txbx>
                      <wps:bodyPr wrap="square" lIns="0" tIns="0" rIns="0" bIns="0" rtlCol="0">
                        <a:noAutofit/>
                      </wps:bodyPr>
                    </wps:wsp>
                  </a:graphicData>
                </a:graphic>
              </wp:anchor>
            </w:drawing>
          </mc:Choice>
          <mc:Fallback>
            <w:pict>
              <v:shape style="position:absolute;margin-left:46.799999pt;margin-top:-38.994648pt;width:501.85pt;height:503.55pt;mso-position-horizontal-relative:page;mso-position-vertical-relative:paragraph;z-index:15753728" type="#_x0000_t202" id="docshape158"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94"/>
                        <w:gridCol w:w="3198"/>
                        <w:gridCol w:w="1066"/>
                        <w:gridCol w:w="1023"/>
                        <w:gridCol w:w="1043"/>
                        <w:gridCol w:w="459"/>
                        <w:gridCol w:w="390"/>
                        <w:gridCol w:w="390"/>
                        <w:gridCol w:w="395"/>
                        <w:gridCol w:w="957"/>
                      </w:tblGrid>
                      <w:tr>
                        <w:trPr>
                          <w:trHeight w:val="368" w:hRule="atLeast"/>
                        </w:trPr>
                        <w:tc>
                          <w:tcPr>
                            <w:tcW w:w="994" w:type="dxa"/>
                            <w:tcBorders>
                              <w:bottom w:val="single" w:sz="8" w:space="0" w:color="001F5F"/>
                            </w:tcBorders>
                          </w:tcPr>
                          <w:p>
                            <w:pPr>
                              <w:pStyle w:val="TableParagraph"/>
                              <w:spacing w:before="94"/>
                              <w:ind w:left="70"/>
                              <w:rPr>
                                <w:b/>
                                <w:sz w:val="16"/>
                              </w:rPr>
                            </w:pPr>
                            <w:r>
                              <w:rPr>
                                <w:b/>
                                <w:spacing w:val="-2"/>
                                <w:sz w:val="16"/>
                              </w:rPr>
                              <w:t>ALICANTE</w:t>
                            </w:r>
                          </w:p>
                        </w:tc>
                        <w:tc>
                          <w:tcPr>
                            <w:tcW w:w="3198" w:type="dxa"/>
                            <w:tcBorders>
                              <w:bottom w:val="single" w:sz="8" w:space="0" w:color="001F5F"/>
                            </w:tcBorders>
                          </w:tcPr>
                          <w:p>
                            <w:pPr>
                              <w:pStyle w:val="TableParagraph"/>
                              <w:tabs>
                                <w:tab w:pos="2973" w:val="right" w:leader="none"/>
                              </w:tabs>
                              <w:ind w:right="83"/>
                              <w:jc w:val="center"/>
                              <w:rPr>
                                <w:position w:val="-8"/>
                                <w:sz w:val="16"/>
                              </w:rPr>
                            </w:pPr>
                            <w:r>
                              <w:rPr>
                                <w:sz w:val="16"/>
                              </w:rPr>
                              <w:t>Proyecto</w:t>
                            </w:r>
                            <w:r>
                              <w:rPr>
                                <w:spacing w:val="-10"/>
                                <w:sz w:val="16"/>
                              </w:rPr>
                              <w:t> </w:t>
                            </w:r>
                            <w:r>
                              <w:rPr>
                                <w:sz w:val="16"/>
                              </w:rPr>
                              <w:t>Digitalización</w:t>
                            </w:r>
                            <w:r>
                              <w:rPr>
                                <w:spacing w:val="-8"/>
                                <w:sz w:val="16"/>
                              </w:rPr>
                              <w:t> </w:t>
                            </w:r>
                            <w:r>
                              <w:rPr>
                                <w:spacing w:val="-2"/>
                                <w:sz w:val="16"/>
                              </w:rPr>
                              <w:t>Transporte</w:t>
                            </w:r>
                            <w:r>
                              <w:rPr>
                                <w:rFonts w:ascii="Times New Roman" w:hAnsi="Times New Roman"/>
                                <w:sz w:val="16"/>
                              </w:rPr>
                              <w:tab/>
                            </w:r>
                            <w:r>
                              <w:rPr>
                                <w:spacing w:val="-10"/>
                                <w:position w:val="-8"/>
                                <w:sz w:val="16"/>
                              </w:rPr>
                              <w:t>1</w:t>
                            </w:r>
                          </w:p>
                        </w:tc>
                        <w:tc>
                          <w:tcPr>
                            <w:tcW w:w="1066" w:type="dxa"/>
                            <w:tcBorders>
                              <w:bottom w:val="single" w:sz="8" w:space="0" w:color="001F5F"/>
                            </w:tcBorders>
                          </w:tcPr>
                          <w:p>
                            <w:pPr>
                              <w:pStyle w:val="TableParagraph"/>
                              <w:spacing w:before="94"/>
                              <w:ind w:right="142"/>
                              <w:jc w:val="right"/>
                              <w:rPr>
                                <w:sz w:val="16"/>
                              </w:rPr>
                            </w:pPr>
                            <w:r>
                              <w:rPr>
                                <w:spacing w:val="-2"/>
                                <w:sz w:val="16"/>
                              </w:rPr>
                              <w:t>3.257.077,51</w:t>
                            </w:r>
                          </w:p>
                        </w:tc>
                        <w:tc>
                          <w:tcPr>
                            <w:tcW w:w="1023" w:type="dxa"/>
                            <w:tcBorders>
                              <w:bottom w:val="single" w:sz="8" w:space="0" w:color="001F5F"/>
                            </w:tcBorders>
                          </w:tcPr>
                          <w:p>
                            <w:pPr>
                              <w:pStyle w:val="TableParagraph"/>
                              <w:spacing w:before="94"/>
                              <w:ind w:right="108"/>
                              <w:jc w:val="right"/>
                              <w:rPr>
                                <w:sz w:val="16"/>
                              </w:rPr>
                            </w:pPr>
                            <w:r>
                              <w:rPr>
                                <w:spacing w:val="-2"/>
                                <w:sz w:val="16"/>
                              </w:rPr>
                              <w:t>1.498.959,28</w:t>
                            </w:r>
                          </w:p>
                        </w:tc>
                        <w:tc>
                          <w:tcPr>
                            <w:tcW w:w="1043" w:type="dxa"/>
                            <w:tcBorders>
                              <w:bottom w:val="single" w:sz="8" w:space="0" w:color="001F5F"/>
                            </w:tcBorders>
                          </w:tcPr>
                          <w:p>
                            <w:pPr>
                              <w:pStyle w:val="TableParagraph"/>
                              <w:spacing w:before="94"/>
                              <w:ind w:right="160"/>
                              <w:jc w:val="right"/>
                              <w:rPr>
                                <w:sz w:val="16"/>
                              </w:rPr>
                            </w:pPr>
                            <w:r>
                              <w:rPr>
                                <w:spacing w:val="-2"/>
                                <w:sz w:val="16"/>
                              </w:rPr>
                              <w:t>1.758.118,23</w:t>
                            </w:r>
                          </w:p>
                        </w:tc>
                        <w:tc>
                          <w:tcPr>
                            <w:tcW w:w="459" w:type="dxa"/>
                            <w:tcBorders>
                              <w:bottom w:val="single" w:sz="8" w:space="0" w:color="001F5F"/>
                            </w:tcBorders>
                          </w:tcPr>
                          <w:p>
                            <w:pPr>
                              <w:pStyle w:val="TableParagraph"/>
                              <w:spacing w:before="94"/>
                              <w:ind w:left="72" w:right="1"/>
                              <w:jc w:val="center"/>
                              <w:rPr>
                                <w:sz w:val="16"/>
                              </w:rPr>
                            </w:pPr>
                            <w:r>
                              <w:rPr>
                                <w:color w:val="891538"/>
                                <w:spacing w:val="-5"/>
                                <w:sz w:val="16"/>
                              </w:rPr>
                              <w:t>SI</w:t>
                            </w:r>
                          </w:p>
                        </w:tc>
                        <w:tc>
                          <w:tcPr>
                            <w:tcW w:w="390" w:type="dxa"/>
                            <w:tcBorders>
                              <w:bottom w:val="single" w:sz="8" w:space="0" w:color="001F5F"/>
                            </w:tcBorders>
                          </w:tcPr>
                          <w:p>
                            <w:pPr>
                              <w:pStyle w:val="TableParagraph"/>
                              <w:ind w:left="13" w:right="8"/>
                              <w:jc w:val="center"/>
                              <w:rPr>
                                <w:sz w:val="16"/>
                              </w:rPr>
                            </w:pPr>
                            <w:r>
                              <w:rPr>
                                <w:color w:val="5E89B4"/>
                                <w:spacing w:val="-5"/>
                                <w:sz w:val="16"/>
                              </w:rPr>
                              <w:t>NO</w:t>
                            </w:r>
                          </w:p>
                        </w:tc>
                        <w:tc>
                          <w:tcPr>
                            <w:tcW w:w="390" w:type="dxa"/>
                            <w:tcBorders>
                              <w:bottom w:val="single" w:sz="8" w:space="0" w:color="001F5F"/>
                            </w:tcBorders>
                          </w:tcPr>
                          <w:p>
                            <w:pPr>
                              <w:pStyle w:val="TableParagraph"/>
                              <w:ind w:left="13" w:right="10"/>
                              <w:jc w:val="center"/>
                              <w:rPr>
                                <w:sz w:val="16"/>
                              </w:rPr>
                            </w:pPr>
                            <w:r>
                              <w:rPr>
                                <w:color w:val="5E89B4"/>
                                <w:spacing w:val="-5"/>
                                <w:sz w:val="16"/>
                              </w:rPr>
                              <w:t>NO</w:t>
                            </w:r>
                          </w:p>
                        </w:tc>
                        <w:tc>
                          <w:tcPr>
                            <w:tcW w:w="395" w:type="dxa"/>
                            <w:tcBorders>
                              <w:bottom w:val="single" w:sz="8" w:space="0" w:color="001F5F"/>
                            </w:tcBorders>
                          </w:tcPr>
                          <w:p>
                            <w:pPr>
                              <w:pStyle w:val="TableParagraph"/>
                              <w:jc w:val="center"/>
                              <w:rPr>
                                <w:sz w:val="16"/>
                              </w:rPr>
                            </w:pPr>
                            <w:r>
                              <w:rPr>
                                <w:color w:val="5E89B4"/>
                                <w:spacing w:val="-5"/>
                                <w:sz w:val="16"/>
                              </w:rPr>
                              <w:t>NO</w:t>
                            </w:r>
                          </w:p>
                        </w:tc>
                        <w:tc>
                          <w:tcPr>
                            <w:tcW w:w="957" w:type="dxa"/>
                            <w:tcBorders>
                              <w:bottom w:val="single" w:sz="8" w:space="0" w:color="001F5F"/>
                            </w:tcBorders>
                          </w:tcPr>
                          <w:p>
                            <w:pPr>
                              <w:pStyle w:val="TableParagraph"/>
                              <w:spacing w:before="82"/>
                              <w:ind w:left="1" w:right="1"/>
                              <w:jc w:val="center"/>
                              <w:rPr>
                                <w:sz w:val="16"/>
                              </w:rPr>
                            </w:pPr>
                            <w:r>
                              <w:rPr>
                                <w:spacing w:val="-2"/>
                                <w:sz w:val="16"/>
                              </w:rPr>
                              <w:t>Finalizada</w:t>
                            </w:r>
                          </w:p>
                        </w:tc>
                      </w:tr>
                      <w:tr>
                        <w:trPr>
                          <w:trHeight w:val="198" w:hRule="atLeast"/>
                        </w:trPr>
                        <w:tc>
                          <w:tcPr>
                            <w:tcW w:w="994" w:type="dxa"/>
                            <w:tcBorders>
                              <w:top w:val="single" w:sz="8" w:space="0" w:color="001F5F"/>
                            </w:tcBorders>
                          </w:tcPr>
                          <w:p>
                            <w:pPr>
                              <w:pStyle w:val="TableParagraph"/>
                              <w:rPr>
                                <w:rFonts w:ascii="Times New Roman"/>
                                <w:sz w:val="12"/>
                              </w:rPr>
                            </w:pPr>
                          </w:p>
                        </w:tc>
                        <w:tc>
                          <w:tcPr>
                            <w:tcW w:w="3198" w:type="dxa"/>
                            <w:tcBorders>
                              <w:top w:val="single" w:sz="8" w:space="0" w:color="001F5F"/>
                              <w:bottom w:val="single" w:sz="4" w:space="0" w:color="001F5F"/>
                            </w:tcBorders>
                          </w:tcPr>
                          <w:p>
                            <w:pPr>
                              <w:pStyle w:val="TableParagraph"/>
                              <w:tabs>
                                <w:tab w:pos="2973" w:val="right" w:leader="none"/>
                              </w:tabs>
                              <w:spacing w:line="171" w:lineRule="exact" w:before="8"/>
                              <w:ind w:right="83"/>
                              <w:jc w:val="center"/>
                              <w:rPr>
                                <w:sz w:val="16"/>
                              </w:rPr>
                            </w:pPr>
                            <w:r>
                              <w:rPr>
                                <w:sz w:val="16"/>
                              </w:rPr>
                              <w:t>Renovación</w:t>
                            </w:r>
                            <w:r>
                              <w:rPr>
                                <w:spacing w:val="-9"/>
                                <w:sz w:val="16"/>
                              </w:rPr>
                              <w:t> </w:t>
                            </w:r>
                            <w:r>
                              <w:rPr>
                                <w:sz w:val="16"/>
                              </w:rPr>
                              <w:t>App</w:t>
                            </w:r>
                            <w:r>
                              <w:rPr>
                                <w:spacing w:val="-5"/>
                                <w:sz w:val="16"/>
                              </w:rPr>
                              <w:t> </w:t>
                            </w:r>
                            <w:r>
                              <w:rPr>
                                <w:spacing w:val="-2"/>
                                <w:sz w:val="16"/>
                              </w:rPr>
                              <w:t>Bilbobus</w:t>
                            </w:r>
                            <w:r>
                              <w:rPr>
                                <w:rFonts w:ascii="Times New Roman" w:hAnsi="Times New Roman"/>
                                <w:sz w:val="16"/>
                              </w:rPr>
                              <w:tab/>
                            </w:r>
                            <w:r>
                              <w:rPr>
                                <w:spacing w:val="-10"/>
                                <w:sz w:val="16"/>
                              </w:rPr>
                              <w:t>1</w:t>
                            </w:r>
                          </w:p>
                        </w:tc>
                        <w:tc>
                          <w:tcPr>
                            <w:tcW w:w="1066" w:type="dxa"/>
                            <w:tcBorders>
                              <w:top w:val="single" w:sz="8" w:space="0" w:color="001F5F"/>
                              <w:bottom w:val="single" w:sz="4" w:space="0" w:color="001F5F"/>
                            </w:tcBorders>
                          </w:tcPr>
                          <w:p>
                            <w:pPr>
                              <w:pStyle w:val="TableParagraph"/>
                              <w:spacing w:line="171" w:lineRule="exact" w:before="8"/>
                              <w:ind w:right="141"/>
                              <w:jc w:val="right"/>
                              <w:rPr>
                                <w:sz w:val="16"/>
                              </w:rPr>
                            </w:pPr>
                            <w:r>
                              <w:rPr>
                                <w:spacing w:val="-2"/>
                                <w:sz w:val="16"/>
                              </w:rPr>
                              <w:t>29.895,00</w:t>
                            </w:r>
                          </w:p>
                        </w:tc>
                        <w:tc>
                          <w:tcPr>
                            <w:tcW w:w="1023" w:type="dxa"/>
                            <w:tcBorders>
                              <w:top w:val="single" w:sz="8" w:space="0" w:color="001F5F"/>
                              <w:bottom w:val="single" w:sz="4" w:space="0" w:color="001F5F"/>
                            </w:tcBorders>
                          </w:tcPr>
                          <w:p>
                            <w:pPr>
                              <w:pStyle w:val="TableParagraph"/>
                              <w:spacing w:line="171" w:lineRule="exact" w:before="8"/>
                              <w:ind w:right="108"/>
                              <w:jc w:val="right"/>
                              <w:rPr>
                                <w:sz w:val="16"/>
                              </w:rPr>
                            </w:pPr>
                            <w:r>
                              <w:rPr>
                                <w:spacing w:val="-2"/>
                                <w:sz w:val="16"/>
                              </w:rPr>
                              <w:t>29.895,00</w:t>
                            </w:r>
                          </w:p>
                        </w:tc>
                        <w:tc>
                          <w:tcPr>
                            <w:tcW w:w="1043" w:type="dxa"/>
                            <w:tcBorders>
                              <w:top w:val="single" w:sz="8" w:space="0" w:color="001F5F"/>
                              <w:bottom w:val="single" w:sz="4" w:space="0" w:color="001F5F"/>
                            </w:tcBorders>
                          </w:tcPr>
                          <w:p>
                            <w:pPr>
                              <w:pStyle w:val="TableParagraph"/>
                              <w:spacing w:line="171" w:lineRule="exact" w:before="8"/>
                              <w:ind w:right="159"/>
                              <w:jc w:val="right"/>
                              <w:rPr>
                                <w:sz w:val="16"/>
                              </w:rPr>
                            </w:pPr>
                            <w:r>
                              <w:rPr>
                                <w:spacing w:val="-4"/>
                                <w:sz w:val="16"/>
                              </w:rPr>
                              <w:t>0,00</w:t>
                            </w:r>
                          </w:p>
                        </w:tc>
                        <w:tc>
                          <w:tcPr>
                            <w:tcW w:w="459" w:type="dxa"/>
                            <w:tcBorders>
                              <w:top w:val="single" w:sz="8" w:space="0" w:color="001F5F"/>
                              <w:bottom w:val="single" w:sz="4" w:space="0" w:color="001F5F"/>
                            </w:tcBorders>
                          </w:tcPr>
                          <w:p>
                            <w:pPr>
                              <w:pStyle w:val="TableParagraph"/>
                              <w:spacing w:line="171" w:lineRule="exact" w:before="8"/>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line="171" w:lineRule="exact" w:before="8"/>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line="171" w:lineRule="exact" w:before="8"/>
                              <w:ind w:left="1" w:right="1"/>
                              <w:jc w:val="center"/>
                              <w:rPr>
                                <w:sz w:val="16"/>
                              </w:rPr>
                            </w:pPr>
                            <w:r>
                              <w:rPr>
                                <w:spacing w:val="-2"/>
                                <w:sz w:val="16"/>
                              </w:rPr>
                              <w:t>Finalizada</w:t>
                            </w:r>
                          </w:p>
                        </w:tc>
                      </w:tr>
                      <w:tr>
                        <w:trPr>
                          <w:trHeight w:val="366" w:hRule="atLeast"/>
                        </w:trPr>
                        <w:tc>
                          <w:tcPr>
                            <w:tcW w:w="994" w:type="dxa"/>
                            <w:tcBorders>
                              <w:bottom w:val="single" w:sz="8" w:space="0" w:color="001F5F"/>
                            </w:tcBorders>
                          </w:tcPr>
                          <w:p>
                            <w:pPr>
                              <w:pStyle w:val="TableParagraph"/>
                              <w:spacing w:line="170" w:lineRule="exact"/>
                              <w:ind w:left="70"/>
                              <w:rPr>
                                <w:b/>
                                <w:sz w:val="16"/>
                              </w:rPr>
                            </w:pPr>
                            <w:r>
                              <w:rPr>
                                <w:b/>
                                <w:spacing w:val="-2"/>
                                <w:sz w:val="16"/>
                              </w:rPr>
                              <w:t>BILBAO</w:t>
                            </w:r>
                          </w:p>
                        </w:tc>
                        <w:tc>
                          <w:tcPr>
                            <w:tcW w:w="3198" w:type="dxa"/>
                            <w:tcBorders>
                              <w:top w:val="single" w:sz="4" w:space="0" w:color="001F5F"/>
                              <w:bottom w:val="single" w:sz="8" w:space="0" w:color="001F5F"/>
                            </w:tcBorders>
                          </w:tcPr>
                          <w:p>
                            <w:pPr>
                              <w:pStyle w:val="TableParagraph"/>
                              <w:tabs>
                                <w:tab w:pos="2973" w:val="right" w:leader="none"/>
                              </w:tabs>
                              <w:ind w:right="83"/>
                              <w:jc w:val="center"/>
                              <w:rPr>
                                <w:position w:val="-8"/>
                                <w:sz w:val="16"/>
                              </w:rPr>
                            </w:pPr>
                            <w:r>
                              <w:rPr>
                                <w:sz w:val="16"/>
                              </w:rPr>
                              <w:t>Equipamiento</w:t>
                            </w:r>
                            <w:r>
                              <w:rPr>
                                <w:spacing w:val="-8"/>
                                <w:sz w:val="16"/>
                              </w:rPr>
                              <w:t> </w:t>
                            </w:r>
                            <w:r>
                              <w:rPr>
                                <w:sz w:val="16"/>
                              </w:rPr>
                              <w:t>de</w:t>
                            </w:r>
                            <w:r>
                              <w:rPr>
                                <w:spacing w:val="-7"/>
                                <w:sz w:val="16"/>
                              </w:rPr>
                              <w:t> </w:t>
                            </w:r>
                            <w:r>
                              <w:rPr>
                                <w:sz w:val="16"/>
                              </w:rPr>
                              <w:t>paradas</w:t>
                            </w:r>
                            <w:r>
                              <w:rPr>
                                <w:spacing w:val="-9"/>
                                <w:sz w:val="16"/>
                              </w:rPr>
                              <w:t> </w:t>
                            </w:r>
                            <w:r>
                              <w:rPr>
                                <w:sz w:val="16"/>
                              </w:rPr>
                              <w:t>(adquisición</w:t>
                            </w:r>
                            <w:r>
                              <w:rPr>
                                <w:spacing w:val="-7"/>
                                <w:sz w:val="16"/>
                              </w:rPr>
                              <w:t> </w:t>
                            </w:r>
                            <w:r>
                              <w:rPr>
                                <w:spacing w:val="-10"/>
                                <w:sz w:val="16"/>
                              </w:rPr>
                              <w:t>y</w:t>
                            </w:r>
                            <w:r>
                              <w:rPr>
                                <w:rFonts w:ascii="Times New Roman" w:hAnsi="Times New Roman"/>
                                <w:sz w:val="16"/>
                              </w:rPr>
                              <w:tab/>
                            </w:r>
                            <w:r>
                              <w:rPr>
                                <w:spacing w:val="-10"/>
                                <w:position w:val="-8"/>
                                <w:sz w:val="16"/>
                              </w:rPr>
                              <w:t>1</w:t>
                            </w:r>
                          </w:p>
                        </w:tc>
                        <w:tc>
                          <w:tcPr>
                            <w:tcW w:w="1066" w:type="dxa"/>
                            <w:tcBorders>
                              <w:top w:val="single" w:sz="4" w:space="0" w:color="001F5F"/>
                              <w:bottom w:val="single" w:sz="8" w:space="0" w:color="001F5F"/>
                            </w:tcBorders>
                          </w:tcPr>
                          <w:p>
                            <w:pPr>
                              <w:pStyle w:val="TableParagraph"/>
                              <w:spacing w:before="92"/>
                              <w:ind w:right="141"/>
                              <w:jc w:val="right"/>
                              <w:rPr>
                                <w:sz w:val="16"/>
                              </w:rPr>
                            </w:pPr>
                            <w:r>
                              <w:rPr>
                                <w:spacing w:val="-2"/>
                                <w:sz w:val="16"/>
                              </w:rPr>
                              <w:t>73.766,17</w:t>
                            </w:r>
                          </w:p>
                        </w:tc>
                        <w:tc>
                          <w:tcPr>
                            <w:tcW w:w="1023" w:type="dxa"/>
                            <w:tcBorders>
                              <w:top w:val="single" w:sz="4" w:space="0" w:color="001F5F"/>
                              <w:bottom w:val="single" w:sz="8" w:space="0" w:color="001F5F"/>
                            </w:tcBorders>
                          </w:tcPr>
                          <w:p>
                            <w:pPr>
                              <w:pStyle w:val="TableParagraph"/>
                              <w:spacing w:before="92"/>
                              <w:ind w:right="108"/>
                              <w:jc w:val="right"/>
                              <w:rPr>
                                <w:sz w:val="16"/>
                              </w:rPr>
                            </w:pPr>
                            <w:r>
                              <w:rPr>
                                <w:spacing w:val="-2"/>
                                <w:sz w:val="16"/>
                              </w:rPr>
                              <w:t>73.766,17</w:t>
                            </w:r>
                          </w:p>
                        </w:tc>
                        <w:tc>
                          <w:tcPr>
                            <w:tcW w:w="1043" w:type="dxa"/>
                            <w:tcBorders>
                              <w:top w:val="single" w:sz="4" w:space="0" w:color="001F5F"/>
                              <w:bottom w:val="single" w:sz="8" w:space="0" w:color="001F5F"/>
                            </w:tcBorders>
                          </w:tcPr>
                          <w:p>
                            <w:pPr>
                              <w:pStyle w:val="TableParagraph"/>
                              <w:spacing w:before="92"/>
                              <w:ind w:right="159"/>
                              <w:jc w:val="right"/>
                              <w:rPr>
                                <w:sz w:val="16"/>
                              </w:rPr>
                            </w:pPr>
                            <w:r>
                              <w:rPr>
                                <w:spacing w:val="-4"/>
                                <w:sz w:val="16"/>
                              </w:rPr>
                              <w:t>0,00</w:t>
                            </w:r>
                          </w:p>
                        </w:tc>
                        <w:tc>
                          <w:tcPr>
                            <w:tcW w:w="459" w:type="dxa"/>
                            <w:tcBorders>
                              <w:top w:val="single" w:sz="4" w:space="0" w:color="001F5F"/>
                              <w:bottom w:val="single" w:sz="8" w:space="0" w:color="001F5F"/>
                            </w:tcBorders>
                          </w:tcPr>
                          <w:p>
                            <w:pPr>
                              <w:pStyle w:val="TableParagraph"/>
                              <w:spacing w:before="92"/>
                              <w:ind w:left="72"/>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92"/>
                              <w:ind w:left="13" w:righ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92"/>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92"/>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92"/>
                              <w:ind w:right="1"/>
                              <w:jc w:val="center"/>
                              <w:rPr>
                                <w:sz w:val="16"/>
                              </w:rPr>
                            </w:pPr>
                            <w:r>
                              <w:rPr>
                                <w:sz w:val="16"/>
                              </w:rPr>
                              <w:t>En</w:t>
                            </w:r>
                            <w:r>
                              <w:rPr>
                                <w:spacing w:val="-2"/>
                                <w:sz w:val="16"/>
                              </w:rPr>
                              <w:t> ejecución</w:t>
                            </w:r>
                          </w:p>
                        </w:tc>
                      </w:tr>
                      <w:tr>
                        <w:trPr>
                          <w:trHeight w:val="198" w:hRule="atLeast"/>
                        </w:trPr>
                        <w:tc>
                          <w:tcPr>
                            <w:tcW w:w="994" w:type="dxa"/>
                            <w:tcBorders>
                              <w:top w:val="single" w:sz="8" w:space="0" w:color="001F5F"/>
                            </w:tcBorders>
                          </w:tcPr>
                          <w:p>
                            <w:pPr>
                              <w:pStyle w:val="TableParagraph"/>
                              <w:rPr>
                                <w:rFonts w:ascii="Times New Roman"/>
                                <w:sz w:val="12"/>
                              </w:rPr>
                            </w:pPr>
                          </w:p>
                        </w:tc>
                        <w:tc>
                          <w:tcPr>
                            <w:tcW w:w="3198" w:type="dxa"/>
                            <w:tcBorders>
                              <w:top w:val="single" w:sz="8" w:space="0" w:color="001F5F"/>
                              <w:bottom w:val="single" w:sz="4" w:space="0" w:color="001F5F"/>
                            </w:tcBorders>
                          </w:tcPr>
                          <w:p>
                            <w:pPr>
                              <w:pStyle w:val="TableParagraph"/>
                              <w:tabs>
                                <w:tab w:pos="2973" w:val="right" w:leader="none"/>
                              </w:tabs>
                              <w:spacing w:line="171" w:lineRule="exact" w:before="8"/>
                              <w:ind w:right="83"/>
                              <w:jc w:val="center"/>
                              <w:rPr>
                                <w:sz w:val="16"/>
                              </w:rPr>
                            </w:pPr>
                            <w:r>
                              <w:rPr>
                                <w:sz w:val="16"/>
                              </w:rPr>
                              <w:t>Renovación</w:t>
                            </w:r>
                            <w:r>
                              <w:rPr>
                                <w:spacing w:val="-5"/>
                                <w:sz w:val="16"/>
                              </w:rPr>
                              <w:t> </w:t>
                            </w:r>
                            <w:r>
                              <w:rPr>
                                <w:sz w:val="16"/>
                              </w:rPr>
                              <w:t>del</w:t>
                            </w:r>
                            <w:r>
                              <w:rPr>
                                <w:spacing w:val="-4"/>
                                <w:sz w:val="16"/>
                              </w:rPr>
                              <w:t> </w:t>
                            </w:r>
                            <w:r>
                              <w:rPr>
                                <w:sz w:val="16"/>
                              </w:rPr>
                              <w:t>SAE</w:t>
                            </w:r>
                            <w:r>
                              <w:rPr>
                                <w:spacing w:val="-4"/>
                                <w:sz w:val="16"/>
                              </w:rPr>
                              <w:t> </w:t>
                            </w:r>
                            <w:r>
                              <w:rPr>
                                <w:sz w:val="16"/>
                              </w:rPr>
                              <w:t>y</w:t>
                            </w:r>
                            <w:r>
                              <w:rPr>
                                <w:spacing w:val="-4"/>
                                <w:sz w:val="16"/>
                              </w:rPr>
                              <w:t> </w:t>
                            </w:r>
                            <w:r>
                              <w:rPr>
                                <w:spacing w:val="-2"/>
                                <w:sz w:val="16"/>
                              </w:rPr>
                              <w:t>Ticketing</w:t>
                            </w:r>
                            <w:r>
                              <w:rPr>
                                <w:rFonts w:ascii="Times New Roman" w:hAnsi="Times New Roman"/>
                                <w:sz w:val="16"/>
                              </w:rPr>
                              <w:tab/>
                            </w:r>
                            <w:r>
                              <w:rPr>
                                <w:spacing w:val="-10"/>
                                <w:sz w:val="16"/>
                              </w:rPr>
                              <w:t>3</w:t>
                            </w:r>
                          </w:p>
                        </w:tc>
                        <w:tc>
                          <w:tcPr>
                            <w:tcW w:w="1066" w:type="dxa"/>
                            <w:tcBorders>
                              <w:top w:val="single" w:sz="8" w:space="0" w:color="001F5F"/>
                              <w:bottom w:val="single" w:sz="4" w:space="0" w:color="001F5F"/>
                            </w:tcBorders>
                          </w:tcPr>
                          <w:p>
                            <w:pPr>
                              <w:pStyle w:val="TableParagraph"/>
                              <w:spacing w:line="171" w:lineRule="exact" w:before="8"/>
                              <w:ind w:right="142"/>
                              <w:jc w:val="right"/>
                              <w:rPr>
                                <w:sz w:val="16"/>
                              </w:rPr>
                            </w:pPr>
                            <w:r>
                              <w:rPr>
                                <w:spacing w:val="-2"/>
                                <w:sz w:val="16"/>
                              </w:rPr>
                              <w:t>4.895.388,20</w:t>
                            </w:r>
                          </w:p>
                        </w:tc>
                        <w:tc>
                          <w:tcPr>
                            <w:tcW w:w="1023" w:type="dxa"/>
                            <w:tcBorders>
                              <w:top w:val="single" w:sz="8" w:space="0" w:color="001F5F"/>
                              <w:bottom w:val="single" w:sz="4" w:space="0" w:color="001F5F"/>
                            </w:tcBorders>
                          </w:tcPr>
                          <w:p>
                            <w:pPr>
                              <w:pStyle w:val="TableParagraph"/>
                              <w:spacing w:line="171" w:lineRule="exact" w:before="8"/>
                              <w:ind w:right="108"/>
                              <w:jc w:val="right"/>
                              <w:rPr>
                                <w:sz w:val="16"/>
                              </w:rPr>
                            </w:pPr>
                            <w:r>
                              <w:rPr>
                                <w:spacing w:val="-2"/>
                                <w:sz w:val="16"/>
                              </w:rPr>
                              <w:t>4.794.502,65</w:t>
                            </w:r>
                          </w:p>
                        </w:tc>
                        <w:tc>
                          <w:tcPr>
                            <w:tcW w:w="1043" w:type="dxa"/>
                            <w:tcBorders>
                              <w:top w:val="single" w:sz="8" w:space="0" w:color="001F5F"/>
                              <w:bottom w:val="single" w:sz="4" w:space="0" w:color="001F5F"/>
                            </w:tcBorders>
                          </w:tcPr>
                          <w:p>
                            <w:pPr>
                              <w:pStyle w:val="TableParagraph"/>
                              <w:spacing w:line="171" w:lineRule="exact" w:before="8"/>
                              <w:ind w:right="160"/>
                              <w:jc w:val="right"/>
                              <w:rPr>
                                <w:sz w:val="16"/>
                              </w:rPr>
                            </w:pPr>
                            <w:r>
                              <w:rPr>
                                <w:spacing w:val="-2"/>
                                <w:sz w:val="16"/>
                              </w:rPr>
                              <w:t>100.885,55</w:t>
                            </w:r>
                          </w:p>
                        </w:tc>
                        <w:tc>
                          <w:tcPr>
                            <w:tcW w:w="459" w:type="dxa"/>
                            <w:tcBorders>
                              <w:top w:val="single" w:sz="8" w:space="0" w:color="001F5F"/>
                              <w:bottom w:val="single" w:sz="4" w:space="0" w:color="001F5F"/>
                            </w:tcBorders>
                          </w:tcPr>
                          <w:p>
                            <w:pPr>
                              <w:pStyle w:val="TableParagraph"/>
                              <w:spacing w:line="171" w:lineRule="exact" w:before="8"/>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line="171" w:lineRule="exact" w:before="8"/>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line="171" w:lineRule="exact" w:before="8"/>
                              <w:ind w:right="1"/>
                              <w:jc w:val="center"/>
                              <w:rPr>
                                <w:sz w:val="16"/>
                              </w:rPr>
                            </w:pPr>
                            <w:r>
                              <w:rPr>
                                <w:sz w:val="16"/>
                              </w:rPr>
                              <w:t>En</w:t>
                            </w:r>
                            <w:r>
                              <w:rPr>
                                <w:spacing w:val="-2"/>
                                <w:sz w:val="16"/>
                              </w:rPr>
                              <w:t> ejecución</w:t>
                            </w:r>
                          </w:p>
                        </w:tc>
                      </w:tr>
                      <w:tr>
                        <w:trPr>
                          <w:trHeight w:val="208" w:hRule="atLeast"/>
                        </w:trPr>
                        <w:tc>
                          <w:tcPr>
                            <w:tcW w:w="994" w:type="dxa"/>
                          </w:tcPr>
                          <w:p>
                            <w:pPr>
                              <w:pStyle w:val="TableParagraph"/>
                              <w:spacing w:line="87" w:lineRule="exact" w:before="102"/>
                              <w:ind w:left="70"/>
                              <w:rPr>
                                <w:b/>
                                <w:sz w:val="16"/>
                              </w:rPr>
                            </w:pPr>
                            <w:r>
                              <w:rPr>
                                <w:b/>
                                <w:spacing w:val="-2"/>
                                <w:sz w:val="16"/>
                              </w:rPr>
                              <w:t>CÓRDOBA</w:t>
                            </w:r>
                          </w:p>
                        </w:tc>
                        <w:tc>
                          <w:tcPr>
                            <w:tcW w:w="3198" w:type="dxa"/>
                            <w:tcBorders>
                              <w:top w:val="single" w:sz="4" w:space="0" w:color="001F5F"/>
                              <w:bottom w:val="single" w:sz="4" w:space="0" w:color="001F5F"/>
                            </w:tcBorders>
                          </w:tcPr>
                          <w:p>
                            <w:pPr>
                              <w:pStyle w:val="TableParagraph"/>
                              <w:tabs>
                                <w:tab w:pos="2973" w:val="right" w:leader="none"/>
                              </w:tabs>
                              <w:spacing w:line="173" w:lineRule="exact" w:before="15"/>
                              <w:ind w:right="83"/>
                              <w:jc w:val="center"/>
                              <w:rPr>
                                <w:sz w:val="16"/>
                              </w:rPr>
                            </w:pPr>
                            <w:r>
                              <w:rPr>
                                <w:sz w:val="16"/>
                              </w:rPr>
                              <w:t>Nueva</w:t>
                            </w:r>
                            <w:r>
                              <w:rPr>
                                <w:spacing w:val="-4"/>
                                <w:sz w:val="16"/>
                              </w:rPr>
                              <w:t> </w:t>
                            </w:r>
                            <w:r>
                              <w:rPr>
                                <w:sz w:val="16"/>
                              </w:rPr>
                              <w:t>página</w:t>
                            </w:r>
                            <w:r>
                              <w:rPr>
                                <w:spacing w:val="-4"/>
                                <w:sz w:val="16"/>
                              </w:rPr>
                              <w:t> </w:t>
                            </w:r>
                            <w:r>
                              <w:rPr>
                                <w:sz w:val="16"/>
                              </w:rPr>
                              <w:t>Web</w:t>
                            </w:r>
                            <w:r>
                              <w:rPr>
                                <w:spacing w:val="-4"/>
                                <w:sz w:val="16"/>
                              </w:rPr>
                              <w:t> </w:t>
                            </w:r>
                            <w:r>
                              <w:rPr>
                                <w:sz w:val="16"/>
                              </w:rPr>
                              <w:t>y</w:t>
                            </w:r>
                            <w:r>
                              <w:rPr>
                                <w:spacing w:val="-6"/>
                                <w:sz w:val="16"/>
                              </w:rPr>
                              <w:t> </w:t>
                            </w:r>
                            <w:r>
                              <w:rPr>
                                <w:sz w:val="16"/>
                              </w:rPr>
                              <w:t>aplicación</w:t>
                            </w:r>
                            <w:r>
                              <w:rPr>
                                <w:spacing w:val="-3"/>
                                <w:sz w:val="16"/>
                              </w:rPr>
                              <w:t> </w:t>
                            </w:r>
                            <w:r>
                              <w:rPr>
                                <w:spacing w:val="-4"/>
                                <w:sz w:val="16"/>
                              </w:rPr>
                              <w:t>móvil</w:t>
                            </w:r>
                            <w:r>
                              <w:rPr>
                                <w:rFonts w:ascii="Times New Roman" w:hAnsi="Times New Roman"/>
                                <w:sz w:val="16"/>
                              </w:rPr>
                              <w:tab/>
                            </w:r>
                            <w:r>
                              <w:rPr>
                                <w:spacing w:val="-10"/>
                                <w:sz w:val="16"/>
                              </w:rPr>
                              <w:t>1</w:t>
                            </w:r>
                          </w:p>
                        </w:tc>
                        <w:tc>
                          <w:tcPr>
                            <w:tcW w:w="1066" w:type="dxa"/>
                            <w:tcBorders>
                              <w:top w:val="single" w:sz="4" w:space="0" w:color="001F5F"/>
                              <w:bottom w:val="single" w:sz="4" w:space="0" w:color="001F5F"/>
                            </w:tcBorders>
                          </w:tcPr>
                          <w:p>
                            <w:pPr>
                              <w:pStyle w:val="TableParagraph"/>
                              <w:spacing w:line="173" w:lineRule="exact" w:before="15"/>
                              <w:ind w:right="141"/>
                              <w:jc w:val="right"/>
                              <w:rPr>
                                <w:sz w:val="16"/>
                              </w:rPr>
                            </w:pPr>
                            <w:r>
                              <w:rPr>
                                <w:spacing w:val="-2"/>
                                <w:sz w:val="16"/>
                              </w:rPr>
                              <w:t>49.650,00</w:t>
                            </w:r>
                          </w:p>
                        </w:tc>
                        <w:tc>
                          <w:tcPr>
                            <w:tcW w:w="1023" w:type="dxa"/>
                            <w:tcBorders>
                              <w:top w:val="single" w:sz="4" w:space="0" w:color="001F5F"/>
                              <w:bottom w:val="single" w:sz="4" w:space="0" w:color="001F5F"/>
                            </w:tcBorders>
                          </w:tcPr>
                          <w:p>
                            <w:pPr>
                              <w:pStyle w:val="TableParagraph"/>
                              <w:spacing w:line="173" w:lineRule="exact" w:before="15"/>
                              <w:ind w:right="108"/>
                              <w:jc w:val="right"/>
                              <w:rPr>
                                <w:sz w:val="16"/>
                              </w:rPr>
                            </w:pPr>
                            <w:r>
                              <w:rPr>
                                <w:spacing w:val="-2"/>
                                <w:sz w:val="16"/>
                              </w:rPr>
                              <w:t>49.650,00</w:t>
                            </w:r>
                          </w:p>
                        </w:tc>
                        <w:tc>
                          <w:tcPr>
                            <w:tcW w:w="1043" w:type="dxa"/>
                            <w:tcBorders>
                              <w:top w:val="single" w:sz="4" w:space="0" w:color="001F5F"/>
                              <w:bottom w:val="single" w:sz="4" w:space="0" w:color="001F5F"/>
                            </w:tcBorders>
                          </w:tcPr>
                          <w:p>
                            <w:pPr>
                              <w:pStyle w:val="TableParagraph"/>
                              <w:spacing w:line="173" w:lineRule="exact" w:before="15"/>
                              <w:ind w:right="159"/>
                              <w:jc w:val="right"/>
                              <w:rPr>
                                <w:sz w:val="16"/>
                              </w:rPr>
                            </w:pPr>
                            <w:r>
                              <w:rPr>
                                <w:spacing w:val="-4"/>
                                <w:sz w:val="16"/>
                              </w:rPr>
                              <w:t>0,00</w:t>
                            </w:r>
                          </w:p>
                        </w:tc>
                        <w:tc>
                          <w:tcPr>
                            <w:tcW w:w="459" w:type="dxa"/>
                            <w:tcBorders>
                              <w:top w:val="single" w:sz="4" w:space="0" w:color="001F5F"/>
                              <w:bottom w:val="single" w:sz="4" w:space="0" w:color="001F5F"/>
                            </w:tcBorders>
                          </w:tcPr>
                          <w:p>
                            <w:pPr>
                              <w:pStyle w:val="TableParagraph"/>
                              <w:spacing w:line="173" w:lineRule="exact" w:before="15"/>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3" w:lineRule="exact" w:before="15"/>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3" w:lineRule="exact" w:before="15"/>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3" w:lineRule="exact" w:before="15"/>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3" w:lineRule="exact" w:before="15"/>
                              <w:ind w:right="1"/>
                              <w:jc w:val="center"/>
                              <w:rPr>
                                <w:sz w:val="16"/>
                              </w:rPr>
                            </w:pPr>
                            <w:r>
                              <w:rPr>
                                <w:sz w:val="16"/>
                              </w:rPr>
                              <w:t>En</w:t>
                            </w:r>
                            <w:r>
                              <w:rPr>
                                <w:spacing w:val="-2"/>
                                <w:sz w:val="16"/>
                              </w:rPr>
                              <w:t> ejecución</w:t>
                            </w:r>
                          </w:p>
                        </w:tc>
                      </w:tr>
                      <w:tr>
                        <w:trPr>
                          <w:trHeight w:val="376" w:hRule="atLeast"/>
                        </w:trPr>
                        <w:tc>
                          <w:tcPr>
                            <w:tcW w:w="994" w:type="dxa"/>
                            <w:tcBorders>
                              <w:bottom w:val="single" w:sz="8" w:space="0" w:color="001F5F"/>
                            </w:tcBorders>
                          </w:tcPr>
                          <w:p>
                            <w:pPr>
                              <w:pStyle w:val="TableParagraph"/>
                              <w:rPr>
                                <w:rFonts w:ascii="Times New Roman"/>
                                <w:sz w:val="16"/>
                              </w:rPr>
                            </w:pPr>
                          </w:p>
                        </w:tc>
                        <w:tc>
                          <w:tcPr>
                            <w:tcW w:w="3198" w:type="dxa"/>
                            <w:tcBorders>
                              <w:top w:val="single" w:sz="4" w:space="0" w:color="001F5F"/>
                              <w:bottom w:val="single" w:sz="8" w:space="0" w:color="001F5F"/>
                            </w:tcBorders>
                          </w:tcPr>
                          <w:p>
                            <w:pPr>
                              <w:pStyle w:val="TableParagraph"/>
                              <w:tabs>
                                <w:tab w:pos="2973" w:val="right" w:leader="none"/>
                              </w:tabs>
                              <w:spacing w:before="8"/>
                              <w:ind w:right="83"/>
                              <w:jc w:val="center"/>
                              <w:rPr>
                                <w:position w:val="-8"/>
                                <w:sz w:val="16"/>
                              </w:rPr>
                            </w:pPr>
                            <w:r>
                              <w:rPr>
                                <w:sz w:val="16"/>
                              </w:rPr>
                              <w:t>Servicio</w:t>
                            </w:r>
                            <w:r>
                              <w:rPr>
                                <w:spacing w:val="-5"/>
                                <w:sz w:val="16"/>
                              </w:rPr>
                              <w:t> </w:t>
                            </w:r>
                            <w:r>
                              <w:rPr>
                                <w:sz w:val="16"/>
                              </w:rPr>
                              <w:t>de</w:t>
                            </w:r>
                            <w:r>
                              <w:rPr>
                                <w:spacing w:val="-4"/>
                                <w:sz w:val="16"/>
                              </w:rPr>
                              <w:t> </w:t>
                            </w:r>
                            <w:r>
                              <w:rPr>
                                <w:sz w:val="16"/>
                              </w:rPr>
                              <w:t>venta</w:t>
                            </w:r>
                            <w:r>
                              <w:rPr>
                                <w:spacing w:val="-4"/>
                                <w:sz w:val="16"/>
                              </w:rPr>
                              <w:t> </w:t>
                            </w:r>
                            <w:r>
                              <w:rPr>
                                <w:sz w:val="16"/>
                              </w:rPr>
                              <w:t>y</w:t>
                            </w:r>
                            <w:r>
                              <w:rPr>
                                <w:spacing w:val="-5"/>
                                <w:sz w:val="16"/>
                              </w:rPr>
                              <w:t> </w:t>
                            </w:r>
                            <w:r>
                              <w:rPr>
                                <w:sz w:val="16"/>
                              </w:rPr>
                              <w:t>validación</w:t>
                            </w:r>
                            <w:r>
                              <w:rPr>
                                <w:spacing w:val="-4"/>
                                <w:sz w:val="16"/>
                              </w:rPr>
                              <w:t> </w:t>
                            </w:r>
                            <w:r>
                              <w:rPr>
                                <w:sz w:val="16"/>
                              </w:rPr>
                              <w:t>de</w:t>
                            </w:r>
                            <w:r>
                              <w:rPr>
                                <w:spacing w:val="-4"/>
                                <w:sz w:val="16"/>
                              </w:rPr>
                              <w:t> </w:t>
                            </w:r>
                            <w:r>
                              <w:rPr>
                                <w:spacing w:val="-2"/>
                                <w:sz w:val="16"/>
                              </w:rPr>
                              <w:t>billete</w:t>
                            </w:r>
                            <w:r>
                              <w:rPr>
                                <w:rFonts w:ascii="Times New Roman" w:hAnsi="Times New Roman"/>
                                <w:sz w:val="16"/>
                              </w:rPr>
                              <w:tab/>
                            </w:r>
                            <w:r>
                              <w:rPr>
                                <w:spacing w:val="-10"/>
                                <w:position w:val="-8"/>
                                <w:sz w:val="16"/>
                              </w:rPr>
                              <w:t>1</w:t>
                            </w:r>
                          </w:p>
                        </w:tc>
                        <w:tc>
                          <w:tcPr>
                            <w:tcW w:w="1066" w:type="dxa"/>
                            <w:tcBorders>
                              <w:top w:val="single" w:sz="4" w:space="0" w:color="001F5F"/>
                              <w:bottom w:val="single" w:sz="8" w:space="0" w:color="001F5F"/>
                            </w:tcBorders>
                          </w:tcPr>
                          <w:p>
                            <w:pPr>
                              <w:pStyle w:val="TableParagraph"/>
                              <w:spacing w:before="102"/>
                              <w:ind w:right="141"/>
                              <w:jc w:val="right"/>
                              <w:rPr>
                                <w:sz w:val="16"/>
                              </w:rPr>
                            </w:pPr>
                            <w:r>
                              <w:rPr>
                                <w:spacing w:val="-2"/>
                                <w:sz w:val="16"/>
                              </w:rPr>
                              <w:t>247,93</w:t>
                            </w:r>
                          </w:p>
                        </w:tc>
                        <w:tc>
                          <w:tcPr>
                            <w:tcW w:w="1023" w:type="dxa"/>
                            <w:tcBorders>
                              <w:top w:val="single" w:sz="4" w:space="0" w:color="001F5F"/>
                              <w:bottom w:val="single" w:sz="8" w:space="0" w:color="001F5F"/>
                            </w:tcBorders>
                          </w:tcPr>
                          <w:p>
                            <w:pPr>
                              <w:pStyle w:val="TableParagraph"/>
                              <w:spacing w:before="102"/>
                              <w:ind w:right="108"/>
                              <w:jc w:val="right"/>
                              <w:rPr>
                                <w:sz w:val="16"/>
                              </w:rPr>
                            </w:pPr>
                            <w:r>
                              <w:rPr>
                                <w:spacing w:val="-2"/>
                                <w:sz w:val="16"/>
                              </w:rPr>
                              <w:t>247,93</w:t>
                            </w:r>
                          </w:p>
                        </w:tc>
                        <w:tc>
                          <w:tcPr>
                            <w:tcW w:w="1043" w:type="dxa"/>
                            <w:tcBorders>
                              <w:top w:val="single" w:sz="4" w:space="0" w:color="001F5F"/>
                              <w:bottom w:val="single" w:sz="8" w:space="0" w:color="001F5F"/>
                            </w:tcBorders>
                          </w:tcPr>
                          <w:p>
                            <w:pPr>
                              <w:pStyle w:val="TableParagraph"/>
                              <w:spacing w:before="102"/>
                              <w:ind w:right="159"/>
                              <w:jc w:val="right"/>
                              <w:rPr>
                                <w:sz w:val="16"/>
                              </w:rPr>
                            </w:pPr>
                            <w:r>
                              <w:rPr>
                                <w:spacing w:val="-4"/>
                                <w:sz w:val="16"/>
                              </w:rPr>
                              <w:t>0,00</w:t>
                            </w:r>
                          </w:p>
                        </w:tc>
                        <w:tc>
                          <w:tcPr>
                            <w:tcW w:w="459" w:type="dxa"/>
                            <w:tcBorders>
                              <w:top w:val="single" w:sz="4" w:space="0" w:color="001F5F"/>
                              <w:bottom w:val="single" w:sz="8"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102"/>
                              <w:ind w:right="1"/>
                              <w:jc w:val="center"/>
                              <w:rPr>
                                <w:sz w:val="16"/>
                              </w:rPr>
                            </w:pPr>
                            <w:r>
                              <w:rPr>
                                <w:sz w:val="16"/>
                              </w:rPr>
                              <w:t>En</w:t>
                            </w:r>
                            <w:r>
                              <w:rPr>
                                <w:spacing w:val="-2"/>
                                <w:sz w:val="16"/>
                              </w:rPr>
                              <w:t> ejecución</w:t>
                            </w:r>
                          </w:p>
                        </w:tc>
                      </w:tr>
                      <w:tr>
                        <w:trPr>
                          <w:trHeight w:val="198" w:hRule="atLeast"/>
                        </w:trPr>
                        <w:tc>
                          <w:tcPr>
                            <w:tcW w:w="994" w:type="dxa"/>
                            <w:tcBorders>
                              <w:top w:val="single" w:sz="8" w:space="0" w:color="001F5F"/>
                            </w:tcBorders>
                          </w:tcPr>
                          <w:p>
                            <w:pPr>
                              <w:pStyle w:val="TableParagraph"/>
                              <w:rPr>
                                <w:rFonts w:ascii="Times New Roman"/>
                                <w:sz w:val="12"/>
                              </w:rPr>
                            </w:pPr>
                          </w:p>
                        </w:tc>
                        <w:tc>
                          <w:tcPr>
                            <w:tcW w:w="3198" w:type="dxa"/>
                            <w:tcBorders>
                              <w:top w:val="single" w:sz="8" w:space="0" w:color="001F5F"/>
                              <w:bottom w:val="single" w:sz="4" w:space="0" w:color="002D5D"/>
                            </w:tcBorders>
                          </w:tcPr>
                          <w:p>
                            <w:pPr>
                              <w:pStyle w:val="TableParagraph"/>
                              <w:tabs>
                                <w:tab w:pos="2973" w:val="right" w:leader="none"/>
                              </w:tabs>
                              <w:spacing w:line="171" w:lineRule="exact" w:before="8"/>
                              <w:ind w:right="83"/>
                              <w:jc w:val="center"/>
                              <w:rPr>
                                <w:sz w:val="16"/>
                              </w:rPr>
                            </w:pPr>
                            <w:r>
                              <w:rPr>
                                <w:sz w:val="16"/>
                              </w:rPr>
                              <w:t>Digitalización</w:t>
                            </w:r>
                            <w:r>
                              <w:rPr>
                                <w:spacing w:val="-6"/>
                                <w:sz w:val="16"/>
                              </w:rPr>
                              <w:t> </w:t>
                            </w:r>
                            <w:r>
                              <w:rPr>
                                <w:sz w:val="16"/>
                              </w:rPr>
                              <w:t>de</w:t>
                            </w:r>
                            <w:r>
                              <w:rPr>
                                <w:spacing w:val="-4"/>
                                <w:sz w:val="16"/>
                              </w:rPr>
                              <w:t> </w:t>
                            </w:r>
                            <w:r>
                              <w:rPr>
                                <w:sz w:val="16"/>
                              </w:rPr>
                              <w:t>los</w:t>
                            </w:r>
                            <w:r>
                              <w:rPr>
                                <w:spacing w:val="-5"/>
                                <w:sz w:val="16"/>
                              </w:rPr>
                              <w:t> </w:t>
                            </w:r>
                            <w:r>
                              <w:rPr>
                                <w:sz w:val="16"/>
                              </w:rPr>
                              <w:t>medios</w:t>
                            </w:r>
                            <w:r>
                              <w:rPr>
                                <w:spacing w:val="-5"/>
                                <w:sz w:val="16"/>
                              </w:rPr>
                              <w:t> </w:t>
                            </w:r>
                            <w:r>
                              <w:rPr>
                                <w:sz w:val="16"/>
                              </w:rPr>
                              <w:t>de</w:t>
                            </w:r>
                            <w:r>
                              <w:rPr>
                                <w:spacing w:val="-5"/>
                                <w:sz w:val="16"/>
                              </w:rPr>
                              <w:t> </w:t>
                            </w:r>
                            <w:r>
                              <w:rPr>
                                <w:spacing w:val="-4"/>
                                <w:sz w:val="16"/>
                              </w:rPr>
                              <w:t>pago</w:t>
                            </w:r>
                            <w:r>
                              <w:rPr>
                                <w:rFonts w:ascii="Times New Roman" w:hAnsi="Times New Roman"/>
                                <w:sz w:val="16"/>
                              </w:rPr>
                              <w:tab/>
                            </w:r>
                            <w:r>
                              <w:rPr>
                                <w:spacing w:val="-10"/>
                                <w:sz w:val="16"/>
                              </w:rPr>
                              <w:t>3</w:t>
                            </w:r>
                          </w:p>
                        </w:tc>
                        <w:tc>
                          <w:tcPr>
                            <w:tcW w:w="1066" w:type="dxa"/>
                            <w:tcBorders>
                              <w:top w:val="single" w:sz="8" w:space="0" w:color="001F5F"/>
                              <w:bottom w:val="single" w:sz="4" w:space="0" w:color="001F5F"/>
                            </w:tcBorders>
                          </w:tcPr>
                          <w:p>
                            <w:pPr>
                              <w:pStyle w:val="TableParagraph"/>
                              <w:spacing w:line="171" w:lineRule="exact" w:before="8"/>
                              <w:ind w:right="142"/>
                              <w:jc w:val="right"/>
                              <w:rPr>
                                <w:sz w:val="16"/>
                              </w:rPr>
                            </w:pPr>
                            <w:r>
                              <w:rPr>
                                <w:spacing w:val="-2"/>
                                <w:sz w:val="16"/>
                              </w:rPr>
                              <w:t>1.571.990,00</w:t>
                            </w:r>
                          </w:p>
                        </w:tc>
                        <w:tc>
                          <w:tcPr>
                            <w:tcW w:w="1023" w:type="dxa"/>
                            <w:tcBorders>
                              <w:top w:val="single" w:sz="8" w:space="0" w:color="001F5F"/>
                              <w:bottom w:val="single" w:sz="4" w:space="0" w:color="001F5F"/>
                            </w:tcBorders>
                          </w:tcPr>
                          <w:p>
                            <w:pPr>
                              <w:pStyle w:val="TableParagraph"/>
                              <w:spacing w:line="171" w:lineRule="exact" w:before="8"/>
                              <w:ind w:right="108"/>
                              <w:jc w:val="right"/>
                              <w:rPr>
                                <w:sz w:val="16"/>
                              </w:rPr>
                            </w:pPr>
                            <w:r>
                              <w:rPr>
                                <w:spacing w:val="-2"/>
                                <w:sz w:val="16"/>
                              </w:rPr>
                              <w:t>229.670,02</w:t>
                            </w:r>
                          </w:p>
                        </w:tc>
                        <w:tc>
                          <w:tcPr>
                            <w:tcW w:w="1043" w:type="dxa"/>
                            <w:tcBorders>
                              <w:top w:val="single" w:sz="8" w:space="0" w:color="001F5F"/>
                              <w:bottom w:val="single" w:sz="4" w:space="0" w:color="001F5F"/>
                            </w:tcBorders>
                          </w:tcPr>
                          <w:p>
                            <w:pPr>
                              <w:pStyle w:val="TableParagraph"/>
                              <w:spacing w:line="171" w:lineRule="exact" w:before="8"/>
                              <w:ind w:right="160"/>
                              <w:jc w:val="right"/>
                              <w:rPr>
                                <w:sz w:val="16"/>
                              </w:rPr>
                            </w:pPr>
                            <w:r>
                              <w:rPr>
                                <w:spacing w:val="-2"/>
                                <w:sz w:val="16"/>
                              </w:rPr>
                              <w:t>1.342.319,98</w:t>
                            </w:r>
                          </w:p>
                        </w:tc>
                        <w:tc>
                          <w:tcPr>
                            <w:tcW w:w="459" w:type="dxa"/>
                            <w:tcBorders>
                              <w:top w:val="single" w:sz="8" w:space="0" w:color="001F5F"/>
                              <w:bottom w:val="single" w:sz="4" w:space="0" w:color="001F5F"/>
                            </w:tcBorders>
                          </w:tcPr>
                          <w:p>
                            <w:pPr>
                              <w:pStyle w:val="TableParagraph"/>
                              <w:spacing w:line="171" w:lineRule="exact" w:before="8"/>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1" w:lineRule="exact" w:before="8"/>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line="171" w:lineRule="exact" w:before="8"/>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line="171" w:lineRule="exact" w:before="8"/>
                              <w:ind w:right="1"/>
                              <w:jc w:val="center"/>
                              <w:rPr>
                                <w:sz w:val="16"/>
                              </w:rPr>
                            </w:pPr>
                            <w:r>
                              <w:rPr>
                                <w:sz w:val="16"/>
                              </w:rPr>
                              <w:t>En</w:t>
                            </w:r>
                            <w:r>
                              <w:rPr>
                                <w:spacing w:val="-2"/>
                                <w:sz w:val="16"/>
                              </w:rPr>
                              <w:t> ejecución</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Digitalización</w:t>
                            </w:r>
                            <w:r>
                              <w:rPr>
                                <w:spacing w:val="-9"/>
                                <w:sz w:val="16"/>
                              </w:rPr>
                              <w:t> </w:t>
                            </w:r>
                            <w:r>
                              <w:rPr>
                                <w:sz w:val="16"/>
                              </w:rPr>
                              <w:t>sistemas</w:t>
                            </w:r>
                            <w:r>
                              <w:rPr>
                                <w:spacing w:val="-9"/>
                                <w:sz w:val="16"/>
                              </w:rPr>
                              <w:t> </w:t>
                            </w:r>
                            <w:r>
                              <w:rPr>
                                <w:spacing w:val="-5"/>
                                <w:sz w:val="16"/>
                              </w:rPr>
                              <w:t>de</w:t>
                            </w:r>
                            <w:r>
                              <w:rPr>
                                <w:rFonts w:ascii="Times New Roman" w:hAnsi="Times New Roman"/>
                                <w:sz w:val="16"/>
                              </w:rPr>
                              <w:tab/>
                            </w:r>
                            <w:r>
                              <w:rPr>
                                <w:spacing w:val="-10"/>
                                <w:position w:val="-8"/>
                                <w:sz w:val="16"/>
                              </w:rPr>
                              <w:t>7</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1.332.137,54</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189.433,28</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1.142.704,26</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right="1"/>
                              <w:jc w:val="center"/>
                              <w:rPr>
                                <w:sz w:val="16"/>
                              </w:rPr>
                            </w:pPr>
                            <w:r>
                              <w:rPr>
                                <w:sz w:val="16"/>
                              </w:rPr>
                              <w:t>En</w:t>
                            </w:r>
                            <w:r>
                              <w:rPr>
                                <w:spacing w:val="-2"/>
                                <w:sz w:val="16"/>
                              </w:rPr>
                              <w:t> ejecución</w:t>
                            </w:r>
                          </w:p>
                        </w:tc>
                      </w:tr>
                      <w:tr>
                        <w:trPr>
                          <w:trHeight w:val="208" w:hRule="atLeast"/>
                        </w:trPr>
                        <w:tc>
                          <w:tcPr>
                            <w:tcW w:w="994" w:type="dxa"/>
                          </w:tcPr>
                          <w:p>
                            <w:pPr>
                              <w:pStyle w:val="TableParagraph"/>
                              <w:rPr>
                                <w:rFonts w:ascii="Times New Roman"/>
                                <w:sz w:val="14"/>
                              </w:rPr>
                            </w:pPr>
                          </w:p>
                        </w:tc>
                        <w:tc>
                          <w:tcPr>
                            <w:tcW w:w="3198" w:type="dxa"/>
                            <w:tcBorders>
                              <w:top w:val="single" w:sz="4" w:space="0" w:color="002D5D"/>
                              <w:bottom w:val="single" w:sz="4" w:space="0" w:color="002D5D"/>
                            </w:tcBorders>
                          </w:tcPr>
                          <w:p>
                            <w:pPr>
                              <w:pStyle w:val="TableParagraph"/>
                              <w:tabs>
                                <w:tab w:pos="2973" w:val="right" w:leader="none"/>
                              </w:tabs>
                              <w:spacing w:line="171" w:lineRule="exact" w:before="18"/>
                              <w:ind w:right="83"/>
                              <w:jc w:val="center"/>
                              <w:rPr>
                                <w:sz w:val="16"/>
                              </w:rPr>
                            </w:pPr>
                            <w:r>
                              <w:rPr>
                                <w:sz w:val="16"/>
                              </w:rPr>
                              <w:t>Marquesinas</w:t>
                            </w:r>
                            <w:r>
                              <w:rPr>
                                <w:spacing w:val="-11"/>
                                <w:sz w:val="16"/>
                              </w:rPr>
                              <w:t> </w:t>
                            </w:r>
                            <w:r>
                              <w:rPr>
                                <w:spacing w:val="-2"/>
                                <w:sz w:val="16"/>
                              </w:rPr>
                              <w:t>inteligentes</w:t>
                            </w:r>
                            <w:r>
                              <w:rPr>
                                <w:rFonts w:ascii="Times New Roman"/>
                                <w:sz w:val="16"/>
                              </w:rPr>
                              <w:tab/>
                            </w:r>
                            <w:r>
                              <w:rPr>
                                <w:spacing w:val="-10"/>
                                <w:sz w:val="16"/>
                              </w:rPr>
                              <w:t>1</w:t>
                            </w:r>
                          </w:p>
                        </w:tc>
                        <w:tc>
                          <w:tcPr>
                            <w:tcW w:w="1066" w:type="dxa"/>
                            <w:tcBorders>
                              <w:top w:val="single" w:sz="4" w:space="0" w:color="001F5F"/>
                              <w:bottom w:val="single" w:sz="4" w:space="0" w:color="001F5F"/>
                            </w:tcBorders>
                          </w:tcPr>
                          <w:p>
                            <w:pPr>
                              <w:pStyle w:val="TableParagraph"/>
                              <w:spacing w:line="171" w:lineRule="exact" w:before="18"/>
                              <w:ind w:right="142"/>
                              <w:jc w:val="right"/>
                              <w:rPr>
                                <w:sz w:val="16"/>
                              </w:rPr>
                            </w:pPr>
                            <w:r>
                              <w:rPr>
                                <w:spacing w:val="-2"/>
                                <w:sz w:val="16"/>
                              </w:rPr>
                              <w:t>1.171.385,00</w:t>
                            </w:r>
                          </w:p>
                        </w:tc>
                        <w:tc>
                          <w:tcPr>
                            <w:tcW w:w="1023" w:type="dxa"/>
                            <w:tcBorders>
                              <w:top w:val="single" w:sz="4" w:space="0" w:color="001F5F"/>
                              <w:bottom w:val="single" w:sz="4" w:space="0" w:color="001F5F"/>
                            </w:tcBorders>
                          </w:tcPr>
                          <w:p>
                            <w:pPr>
                              <w:pStyle w:val="TableParagraph"/>
                              <w:spacing w:line="171" w:lineRule="exact" w:before="18"/>
                              <w:ind w:right="108"/>
                              <w:jc w:val="right"/>
                              <w:rPr>
                                <w:sz w:val="16"/>
                              </w:rPr>
                            </w:pPr>
                            <w:r>
                              <w:rPr>
                                <w:spacing w:val="-2"/>
                                <w:sz w:val="16"/>
                              </w:rPr>
                              <w:t>117.138,50</w:t>
                            </w:r>
                          </w:p>
                        </w:tc>
                        <w:tc>
                          <w:tcPr>
                            <w:tcW w:w="1043" w:type="dxa"/>
                            <w:tcBorders>
                              <w:top w:val="single" w:sz="4" w:space="0" w:color="001F5F"/>
                              <w:bottom w:val="single" w:sz="4" w:space="0" w:color="001F5F"/>
                            </w:tcBorders>
                          </w:tcPr>
                          <w:p>
                            <w:pPr>
                              <w:pStyle w:val="TableParagraph"/>
                              <w:spacing w:line="171" w:lineRule="exact" w:before="18"/>
                              <w:ind w:right="160"/>
                              <w:jc w:val="right"/>
                              <w:rPr>
                                <w:sz w:val="16"/>
                              </w:rPr>
                            </w:pPr>
                            <w:r>
                              <w:rPr>
                                <w:spacing w:val="-2"/>
                                <w:sz w:val="16"/>
                              </w:rPr>
                              <w:t>1.054.246,50</w:t>
                            </w:r>
                          </w:p>
                        </w:tc>
                        <w:tc>
                          <w:tcPr>
                            <w:tcW w:w="459" w:type="dxa"/>
                            <w:tcBorders>
                              <w:top w:val="single" w:sz="4" w:space="0" w:color="001F5F"/>
                              <w:bottom w:val="single" w:sz="4" w:space="0" w:color="001F5F"/>
                            </w:tcBorders>
                          </w:tcPr>
                          <w:p>
                            <w:pPr>
                              <w:pStyle w:val="TableParagraph"/>
                              <w:spacing w:line="171" w:lineRule="exact" w:before="18"/>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1" w:lineRule="exact" w:before="18"/>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1" w:lineRule="exact" w:before="18"/>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1" w:lineRule="exact" w:before="18"/>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1" w:lineRule="exact" w:before="18"/>
                              <w:ind w:left="1" w:right="1"/>
                              <w:jc w:val="center"/>
                              <w:rPr>
                                <w:sz w:val="16"/>
                              </w:rPr>
                            </w:pPr>
                            <w:r>
                              <w:rPr>
                                <w:spacing w:val="-2"/>
                                <w:sz w:val="16"/>
                              </w:rPr>
                              <w:t>Finalizada</w:t>
                            </w:r>
                          </w:p>
                        </w:tc>
                      </w:tr>
                      <w:tr>
                        <w:trPr>
                          <w:trHeight w:val="378"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10"/>
                              <w:ind w:right="83"/>
                              <w:jc w:val="center"/>
                              <w:rPr>
                                <w:position w:val="-8"/>
                                <w:sz w:val="16"/>
                              </w:rPr>
                            </w:pPr>
                            <w:r>
                              <w:rPr>
                                <w:sz w:val="16"/>
                              </w:rPr>
                              <w:t>Digitalización</w:t>
                            </w:r>
                            <w:r>
                              <w:rPr>
                                <w:spacing w:val="-5"/>
                                <w:sz w:val="16"/>
                              </w:rPr>
                              <w:t> </w:t>
                            </w:r>
                            <w:r>
                              <w:rPr>
                                <w:sz w:val="16"/>
                              </w:rPr>
                              <w:t>de</w:t>
                            </w:r>
                            <w:r>
                              <w:rPr>
                                <w:spacing w:val="-5"/>
                                <w:sz w:val="16"/>
                              </w:rPr>
                              <w:t> </w:t>
                            </w:r>
                            <w:r>
                              <w:rPr>
                                <w:sz w:val="16"/>
                              </w:rPr>
                              <w:t>las</w:t>
                            </w:r>
                            <w:r>
                              <w:rPr>
                                <w:spacing w:val="-6"/>
                                <w:sz w:val="16"/>
                              </w:rPr>
                              <w:t> </w:t>
                            </w:r>
                            <w:r>
                              <w:rPr>
                                <w:sz w:val="16"/>
                              </w:rPr>
                              <w:t>actividades</w:t>
                            </w:r>
                            <w:r>
                              <w:rPr>
                                <w:spacing w:val="-6"/>
                                <w:sz w:val="16"/>
                              </w:rPr>
                              <w:t> </w:t>
                            </w:r>
                            <w:r>
                              <w:rPr>
                                <w:sz w:val="16"/>
                              </w:rPr>
                              <w:t>del</w:t>
                            </w:r>
                            <w:r>
                              <w:rPr>
                                <w:spacing w:val="-5"/>
                                <w:sz w:val="16"/>
                              </w:rPr>
                              <w:t> </w:t>
                            </w:r>
                            <w:r>
                              <w:rPr>
                                <w:spacing w:val="-2"/>
                                <w:sz w:val="16"/>
                              </w:rPr>
                              <w:t>taller</w:t>
                            </w:r>
                            <w:r>
                              <w:rPr>
                                <w:rFonts w:ascii="Times New Roman" w:hAnsi="Times New Roman"/>
                                <w:sz w:val="16"/>
                              </w:rPr>
                              <w:tab/>
                            </w:r>
                            <w:r>
                              <w:rPr>
                                <w:spacing w:val="-10"/>
                                <w:position w:val="-8"/>
                                <w:sz w:val="16"/>
                              </w:rPr>
                              <w:t>4</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154.286,44</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15.428,82</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138.857,62</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Software</w:t>
                            </w:r>
                            <w:r>
                              <w:rPr>
                                <w:spacing w:val="-5"/>
                                <w:sz w:val="16"/>
                              </w:rPr>
                              <w:t> </w:t>
                            </w:r>
                            <w:r>
                              <w:rPr>
                                <w:sz w:val="16"/>
                              </w:rPr>
                              <w:t>visionado</w:t>
                            </w:r>
                            <w:r>
                              <w:rPr>
                                <w:spacing w:val="-5"/>
                                <w:sz w:val="16"/>
                              </w:rPr>
                              <w:t> </w:t>
                            </w:r>
                            <w:r>
                              <w:rPr>
                                <w:sz w:val="16"/>
                              </w:rPr>
                              <w:t>y</w:t>
                            </w:r>
                            <w:r>
                              <w:rPr>
                                <w:spacing w:val="-6"/>
                                <w:sz w:val="16"/>
                              </w:rPr>
                              <w:t> </w:t>
                            </w:r>
                            <w:r>
                              <w:rPr>
                                <w:spacing w:val="-2"/>
                                <w:sz w:val="16"/>
                              </w:rPr>
                              <w:t>tratamiento</w:t>
                            </w:r>
                            <w:r>
                              <w:rPr>
                                <w:rFonts w:ascii="Times New Roman"/>
                                <w:sz w:val="16"/>
                              </w:rPr>
                              <w:tab/>
                            </w:r>
                            <w:r>
                              <w:rPr>
                                <w:spacing w:val="-10"/>
                                <w:position w:val="-8"/>
                                <w:sz w:val="16"/>
                              </w:rPr>
                              <w:t>2</w:t>
                            </w:r>
                          </w:p>
                        </w:tc>
                        <w:tc>
                          <w:tcPr>
                            <w:tcW w:w="1066" w:type="dxa"/>
                            <w:tcBorders>
                              <w:top w:val="single" w:sz="4" w:space="0" w:color="001F5F"/>
                              <w:bottom w:val="single" w:sz="4" w:space="0" w:color="001F5F"/>
                            </w:tcBorders>
                          </w:tcPr>
                          <w:p>
                            <w:pPr>
                              <w:pStyle w:val="TableParagraph"/>
                              <w:spacing w:before="99"/>
                              <w:ind w:right="142"/>
                              <w:jc w:val="right"/>
                              <w:rPr>
                                <w:sz w:val="16"/>
                              </w:rPr>
                            </w:pPr>
                            <w:r>
                              <w:rPr>
                                <w:spacing w:val="-2"/>
                                <w:sz w:val="16"/>
                              </w:rPr>
                              <w:t>424.348,87</w:t>
                            </w:r>
                          </w:p>
                        </w:tc>
                        <w:tc>
                          <w:tcPr>
                            <w:tcW w:w="1023" w:type="dxa"/>
                            <w:tcBorders>
                              <w:top w:val="single" w:sz="4" w:space="0" w:color="001F5F"/>
                              <w:bottom w:val="single" w:sz="4" w:space="0" w:color="001F5F"/>
                            </w:tcBorders>
                          </w:tcPr>
                          <w:p>
                            <w:pPr>
                              <w:pStyle w:val="TableParagraph"/>
                              <w:spacing w:before="99"/>
                              <w:ind w:right="108"/>
                              <w:jc w:val="right"/>
                              <w:rPr>
                                <w:sz w:val="16"/>
                              </w:rPr>
                            </w:pPr>
                            <w:r>
                              <w:rPr>
                                <w:spacing w:val="-2"/>
                                <w:sz w:val="16"/>
                              </w:rPr>
                              <w:t>106.649,98</w:t>
                            </w:r>
                          </w:p>
                        </w:tc>
                        <w:tc>
                          <w:tcPr>
                            <w:tcW w:w="1043" w:type="dxa"/>
                            <w:tcBorders>
                              <w:top w:val="single" w:sz="4" w:space="0" w:color="001F5F"/>
                              <w:bottom w:val="single" w:sz="4" w:space="0" w:color="001F5F"/>
                            </w:tcBorders>
                          </w:tcPr>
                          <w:p>
                            <w:pPr>
                              <w:pStyle w:val="TableParagraph"/>
                              <w:spacing w:before="99"/>
                              <w:ind w:right="160"/>
                              <w:jc w:val="right"/>
                              <w:rPr>
                                <w:sz w:val="16"/>
                              </w:rPr>
                            </w:pPr>
                            <w:r>
                              <w:rPr>
                                <w:spacing w:val="-2"/>
                                <w:sz w:val="16"/>
                              </w:rPr>
                              <w:t>317.698,89</w:t>
                            </w:r>
                          </w:p>
                        </w:tc>
                        <w:tc>
                          <w:tcPr>
                            <w:tcW w:w="459" w:type="dxa"/>
                            <w:tcBorders>
                              <w:top w:val="single" w:sz="4" w:space="0" w:color="001F5F"/>
                              <w:bottom w:val="single" w:sz="4"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9"/>
                              <w:jc w:val="center"/>
                              <w:rPr>
                                <w:sz w:val="16"/>
                              </w:rPr>
                            </w:pPr>
                            <w:r>
                              <w:rPr>
                                <w:color w:val="891538"/>
                                <w:spacing w:val="-5"/>
                                <w:sz w:val="16"/>
                              </w:rPr>
                              <w:t>SI</w:t>
                            </w:r>
                          </w:p>
                        </w:tc>
                        <w:tc>
                          <w:tcPr>
                            <w:tcW w:w="390" w:type="dxa"/>
                            <w:tcBorders>
                              <w:top w:val="single" w:sz="4" w:space="0" w:color="001F5F"/>
                              <w:bottom w:val="single" w:sz="4"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99"/>
                              <w:ind w:right="1"/>
                              <w:jc w:val="center"/>
                              <w:rPr>
                                <w:sz w:val="16"/>
                              </w:rPr>
                            </w:pPr>
                            <w:r>
                              <w:rPr>
                                <w:sz w:val="16"/>
                              </w:rPr>
                              <w:t>En</w:t>
                            </w:r>
                            <w:r>
                              <w:rPr>
                                <w:spacing w:val="-2"/>
                                <w:sz w:val="16"/>
                              </w:rPr>
                              <w:t> ejecución</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Sistema</w:t>
                            </w:r>
                            <w:r>
                              <w:rPr>
                                <w:spacing w:val="-4"/>
                                <w:sz w:val="16"/>
                              </w:rPr>
                              <w:t> </w:t>
                            </w:r>
                            <w:r>
                              <w:rPr>
                                <w:sz w:val="16"/>
                              </w:rPr>
                              <w:t>control</w:t>
                            </w:r>
                            <w:r>
                              <w:rPr>
                                <w:spacing w:val="-7"/>
                                <w:sz w:val="16"/>
                              </w:rPr>
                              <w:t> </w:t>
                            </w:r>
                            <w:r>
                              <w:rPr>
                                <w:sz w:val="16"/>
                              </w:rPr>
                              <w:t>aforos</w:t>
                            </w:r>
                            <w:r>
                              <w:rPr>
                                <w:spacing w:val="-6"/>
                                <w:sz w:val="16"/>
                              </w:rPr>
                              <w:t> </w:t>
                            </w:r>
                            <w:r>
                              <w:rPr>
                                <w:sz w:val="16"/>
                              </w:rPr>
                              <w:t>y</w:t>
                            </w:r>
                            <w:r>
                              <w:rPr>
                                <w:spacing w:val="-5"/>
                                <w:sz w:val="16"/>
                              </w:rPr>
                              <w:t> </w:t>
                            </w:r>
                            <w:r>
                              <w:rPr>
                                <w:sz w:val="16"/>
                              </w:rPr>
                              <w:t>cálculo</w:t>
                            </w:r>
                            <w:r>
                              <w:rPr>
                                <w:spacing w:val="-3"/>
                                <w:sz w:val="16"/>
                              </w:rPr>
                              <w:t> </w:t>
                            </w:r>
                            <w:r>
                              <w:rPr>
                                <w:spacing w:val="-2"/>
                                <w:sz w:val="16"/>
                              </w:rPr>
                              <w:t>matrices</w:t>
                            </w:r>
                            <w:r>
                              <w:rPr>
                                <w:rFonts w:ascii="Times New Roman" w:hAns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152.953,00</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15.295,30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137.657,70</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378" w:hRule="atLeast"/>
                        </w:trPr>
                        <w:tc>
                          <w:tcPr>
                            <w:tcW w:w="994" w:type="dxa"/>
                          </w:tcPr>
                          <w:p>
                            <w:pPr>
                              <w:pStyle w:val="TableParagraph"/>
                              <w:spacing w:line="175" w:lineRule="exact"/>
                              <w:ind w:left="1" w:right="1"/>
                              <w:jc w:val="center"/>
                              <w:rPr>
                                <w:b/>
                                <w:sz w:val="16"/>
                              </w:rPr>
                            </w:pPr>
                            <w:r>
                              <w:rPr>
                                <w:b/>
                                <w:sz w:val="16"/>
                              </w:rPr>
                              <w:t>LAS</w:t>
                            </w:r>
                            <w:r>
                              <w:rPr>
                                <w:b/>
                                <w:spacing w:val="-4"/>
                                <w:sz w:val="16"/>
                              </w:rPr>
                              <w:t> </w:t>
                            </w:r>
                            <w:r>
                              <w:rPr>
                                <w:b/>
                                <w:spacing w:val="-2"/>
                                <w:sz w:val="16"/>
                              </w:rPr>
                              <w:t>PALMAS</w:t>
                            </w:r>
                          </w:p>
                          <w:p>
                            <w:pPr>
                              <w:pStyle w:val="TableParagraph"/>
                              <w:spacing w:line="183" w:lineRule="exact" w:before="1"/>
                              <w:ind w:right="1"/>
                              <w:jc w:val="center"/>
                              <w:rPr>
                                <w:b/>
                                <w:sz w:val="16"/>
                              </w:rPr>
                            </w:pPr>
                            <w:r>
                              <w:rPr>
                                <w:b/>
                                <w:sz w:val="16"/>
                              </w:rPr>
                              <w:t>DE </w:t>
                            </w:r>
                            <w:r>
                              <w:rPr>
                                <w:b/>
                                <w:spacing w:val="-4"/>
                                <w:sz w:val="16"/>
                              </w:rPr>
                              <w:t>GRAN</w:t>
                            </w:r>
                          </w:p>
                        </w:tc>
                        <w:tc>
                          <w:tcPr>
                            <w:tcW w:w="3198" w:type="dxa"/>
                            <w:tcBorders>
                              <w:top w:val="single" w:sz="4" w:space="0" w:color="002D5D"/>
                              <w:bottom w:val="single" w:sz="4" w:space="0" w:color="002D5D"/>
                            </w:tcBorders>
                          </w:tcPr>
                          <w:p>
                            <w:pPr>
                              <w:pStyle w:val="TableParagraph"/>
                              <w:tabs>
                                <w:tab w:pos="2973" w:val="right" w:leader="none"/>
                              </w:tabs>
                              <w:spacing w:before="10"/>
                              <w:ind w:right="83"/>
                              <w:jc w:val="center"/>
                              <w:rPr>
                                <w:position w:val="-8"/>
                                <w:sz w:val="16"/>
                              </w:rPr>
                            </w:pPr>
                            <w:r>
                              <w:rPr>
                                <w:sz w:val="16"/>
                              </w:rPr>
                              <w:t>Sistema</w:t>
                            </w:r>
                            <w:r>
                              <w:rPr>
                                <w:spacing w:val="-7"/>
                                <w:sz w:val="16"/>
                              </w:rPr>
                              <w:t> </w:t>
                            </w:r>
                            <w:r>
                              <w:rPr>
                                <w:sz w:val="16"/>
                              </w:rPr>
                              <w:t>sensorización</w:t>
                            </w:r>
                            <w:r>
                              <w:rPr>
                                <w:spacing w:val="-6"/>
                                <w:sz w:val="16"/>
                              </w:rPr>
                              <w:t> </w:t>
                            </w:r>
                            <w:r>
                              <w:rPr>
                                <w:sz w:val="16"/>
                              </w:rPr>
                              <w:t>y</w:t>
                            </w:r>
                            <w:r>
                              <w:rPr>
                                <w:spacing w:val="-7"/>
                                <w:sz w:val="16"/>
                              </w:rPr>
                              <w:t> </w:t>
                            </w:r>
                            <w:r>
                              <w:rPr>
                                <w:spacing w:val="-2"/>
                                <w:sz w:val="16"/>
                              </w:rPr>
                              <w:t>monitorización</w:t>
                            </w:r>
                            <w:r>
                              <w:rPr>
                                <w:rFonts w:ascii="Times New Roman" w:hAns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300.625,00</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144.889,00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155.736,00</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right="1"/>
                              <w:jc w:val="center"/>
                              <w:rPr>
                                <w:sz w:val="16"/>
                              </w:rPr>
                            </w:pPr>
                            <w:r>
                              <w:rPr>
                                <w:sz w:val="16"/>
                              </w:rPr>
                              <w:t>En</w:t>
                            </w:r>
                            <w:r>
                              <w:rPr>
                                <w:spacing w:val="-2"/>
                                <w:sz w:val="16"/>
                              </w:rPr>
                              <w:t> ejecución</w:t>
                            </w:r>
                          </w:p>
                        </w:tc>
                      </w:tr>
                      <w:tr>
                        <w:trPr>
                          <w:trHeight w:val="376" w:hRule="atLeast"/>
                        </w:trPr>
                        <w:tc>
                          <w:tcPr>
                            <w:tcW w:w="994" w:type="dxa"/>
                          </w:tcPr>
                          <w:p>
                            <w:pPr>
                              <w:pStyle w:val="TableParagraph"/>
                              <w:spacing w:line="153" w:lineRule="exact"/>
                              <w:ind w:left="192"/>
                              <w:rPr>
                                <w:b/>
                                <w:sz w:val="16"/>
                              </w:rPr>
                            </w:pPr>
                            <w:r>
                              <w:rPr>
                                <w:b/>
                                <w:spacing w:val="-2"/>
                                <w:sz w:val="16"/>
                              </w:rPr>
                              <w:t>CANARIA</w:t>
                            </w: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Sistemas</w:t>
                            </w:r>
                            <w:r>
                              <w:rPr>
                                <w:spacing w:val="-10"/>
                                <w:sz w:val="16"/>
                              </w:rPr>
                              <w:t> </w:t>
                            </w:r>
                            <w:r>
                              <w:rPr>
                                <w:sz w:val="16"/>
                              </w:rPr>
                              <w:t>de</w:t>
                            </w:r>
                            <w:r>
                              <w:rPr>
                                <w:spacing w:val="-7"/>
                                <w:sz w:val="16"/>
                              </w:rPr>
                              <w:t> </w:t>
                            </w:r>
                            <w:r>
                              <w:rPr>
                                <w:sz w:val="16"/>
                              </w:rPr>
                              <w:t>predicción</w:t>
                            </w:r>
                            <w:r>
                              <w:rPr>
                                <w:spacing w:val="-5"/>
                                <w:sz w:val="16"/>
                              </w:rPr>
                              <w:t> </w:t>
                            </w:r>
                            <w:r>
                              <w:rPr>
                                <w:sz w:val="16"/>
                              </w:rPr>
                              <w:t>demanda</w:t>
                            </w:r>
                            <w:r>
                              <w:rPr>
                                <w:spacing w:val="-5"/>
                                <w:sz w:val="16"/>
                              </w:rPr>
                              <w:t> </w:t>
                            </w:r>
                            <w:r>
                              <w:rPr>
                                <w:spacing w:val="-10"/>
                                <w:sz w:val="16"/>
                              </w:rPr>
                              <w:t>y</w:t>
                            </w:r>
                            <w:r>
                              <w:rPr>
                                <w:rFonts w:ascii="Times New Roman" w:hAns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99"/>
                              <w:ind w:right="141"/>
                              <w:jc w:val="right"/>
                              <w:rPr>
                                <w:sz w:val="16"/>
                              </w:rPr>
                            </w:pPr>
                            <w:r>
                              <w:rPr>
                                <w:spacing w:val="-2"/>
                                <w:sz w:val="16"/>
                              </w:rPr>
                              <w:t>49.840,00</w:t>
                            </w:r>
                          </w:p>
                        </w:tc>
                        <w:tc>
                          <w:tcPr>
                            <w:tcW w:w="1023" w:type="dxa"/>
                            <w:tcBorders>
                              <w:top w:val="single" w:sz="4" w:space="0" w:color="001F5F"/>
                              <w:bottom w:val="single" w:sz="4" w:space="0" w:color="001F5F"/>
                            </w:tcBorders>
                          </w:tcPr>
                          <w:p>
                            <w:pPr>
                              <w:pStyle w:val="TableParagraph"/>
                              <w:spacing w:before="99"/>
                              <w:ind w:right="108"/>
                              <w:jc w:val="right"/>
                              <w:rPr>
                                <w:sz w:val="16"/>
                              </w:rPr>
                            </w:pPr>
                            <w:r>
                              <w:rPr>
                                <w:spacing w:val="-2"/>
                                <w:sz w:val="16"/>
                              </w:rPr>
                              <w:t>4.984,00</w:t>
                            </w:r>
                          </w:p>
                        </w:tc>
                        <w:tc>
                          <w:tcPr>
                            <w:tcW w:w="1043" w:type="dxa"/>
                            <w:tcBorders>
                              <w:top w:val="single" w:sz="4" w:space="0" w:color="001F5F"/>
                              <w:bottom w:val="single" w:sz="4" w:space="0" w:color="001F5F"/>
                            </w:tcBorders>
                          </w:tcPr>
                          <w:p>
                            <w:pPr>
                              <w:pStyle w:val="TableParagraph"/>
                              <w:spacing w:before="99"/>
                              <w:ind w:right="160"/>
                              <w:jc w:val="right"/>
                              <w:rPr>
                                <w:sz w:val="16"/>
                              </w:rPr>
                            </w:pPr>
                            <w:r>
                              <w:rPr>
                                <w:spacing w:val="-2"/>
                                <w:sz w:val="16"/>
                              </w:rPr>
                              <w:t>44.856,00</w:t>
                            </w:r>
                          </w:p>
                        </w:tc>
                        <w:tc>
                          <w:tcPr>
                            <w:tcW w:w="459" w:type="dxa"/>
                            <w:tcBorders>
                              <w:top w:val="single" w:sz="4" w:space="0" w:color="001F5F"/>
                              <w:bottom w:val="single" w:sz="4"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99"/>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Sistemas</w:t>
                            </w:r>
                            <w:r>
                              <w:rPr>
                                <w:spacing w:val="-10"/>
                                <w:sz w:val="16"/>
                              </w:rPr>
                              <w:t> </w:t>
                            </w:r>
                            <w:r>
                              <w:rPr>
                                <w:sz w:val="16"/>
                              </w:rPr>
                              <w:t>expertos</w:t>
                            </w:r>
                            <w:r>
                              <w:rPr>
                                <w:spacing w:val="-7"/>
                                <w:sz w:val="16"/>
                              </w:rPr>
                              <w:t> </w:t>
                            </w:r>
                            <w:r>
                              <w:rPr>
                                <w:sz w:val="16"/>
                              </w:rPr>
                              <w:t>de</w:t>
                            </w:r>
                            <w:r>
                              <w:rPr>
                                <w:spacing w:val="-7"/>
                                <w:sz w:val="16"/>
                              </w:rPr>
                              <w:t> </w:t>
                            </w:r>
                            <w:r>
                              <w:rPr>
                                <w:sz w:val="16"/>
                              </w:rPr>
                              <w:t>planificación</w:t>
                            </w:r>
                            <w:r>
                              <w:rPr>
                                <w:spacing w:val="-5"/>
                                <w:sz w:val="16"/>
                              </w:rPr>
                              <w:t> </w:t>
                            </w:r>
                            <w:r>
                              <w:rPr>
                                <w:spacing w:val="-4"/>
                                <w:sz w:val="16"/>
                              </w:rPr>
                              <w:t>para</w:t>
                            </w:r>
                            <w:r>
                              <w:rPr>
                                <w:rFonts w:ascii="Times New Roman" w:hAns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364.992,00</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36.499,20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328.492,80</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208" w:hRule="atLeast"/>
                        </w:trPr>
                        <w:tc>
                          <w:tcPr>
                            <w:tcW w:w="994" w:type="dxa"/>
                          </w:tcPr>
                          <w:p>
                            <w:pPr>
                              <w:pStyle w:val="TableParagraph"/>
                              <w:rPr>
                                <w:rFonts w:ascii="Times New Roman"/>
                                <w:sz w:val="14"/>
                              </w:rPr>
                            </w:pPr>
                          </w:p>
                        </w:tc>
                        <w:tc>
                          <w:tcPr>
                            <w:tcW w:w="3198" w:type="dxa"/>
                            <w:tcBorders>
                              <w:top w:val="single" w:sz="4" w:space="0" w:color="002D5D"/>
                              <w:bottom w:val="single" w:sz="4" w:space="0" w:color="002D5D"/>
                            </w:tcBorders>
                          </w:tcPr>
                          <w:p>
                            <w:pPr>
                              <w:pStyle w:val="TableParagraph"/>
                              <w:tabs>
                                <w:tab w:pos="2973" w:val="right" w:leader="none"/>
                              </w:tabs>
                              <w:spacing w:line="171" w:lineRule="exact" w:before="18"/>
                              <w:ind w:right="83"/>
                              <w:jc w:val="center"/>
                              <w:rPr>
                                <w:sz w:val="16"/>
                              </w:rPr>
                            </w:pPr>
                            <w:r>
                              <w:rPr>
                                <w:sz w:val="16"/>
                              </w:rPr>
                              <w:t>Actualización</w:t>
                            </w:r>
                            <w:r>
                              <w:rPr>
                                <w:spacing w:val="-5"/>
                                <w:sz w:val="16"/>
                              </w:rPr>
                              <w:t> </w:t>
                            </w:r>
                            <w:r>
                              <w:rPr>
                                <w:sz w:val="16"/>
                              </w:rPr>
                              <w:t>de</w:t>
                            </w:r>
                            <w:r>
                              <w:rPr>
                                <w:spacing w:val="-5"/>
                                <w:sz w:val="16"/>
                              </w:rPr>
                              <w:t> </w:t>
                            </w:r>
                            <w:r>
                              <w:rPr>
                                <w:sz w:val="16"/>
                              </w:rPr>
                              <w:t>la</w:t>
                            </w:r>
                            <w:r>
                              <w:rPr>
                                <w:spacing w:val="-5"/>
                                <w:sz w:val="16"/>
                              </w:rPr>
                              <w:t> </w:t>
                            </w:r>
                            <w:r>
                              <w:rPr>
                                <w:sz w:val="16"/>
                              </w:rPr>
                              <w:t>página</w:t>
                            </w:r>
                            <w:r>
                              <w:rPr>
                                <w:spacing w:val="-4"/>
                                <w:sz w:val="16"/>
                              </w:rPr>
                              <w:t> </w:t>
                            </w:r>
                            <w:r>
                              <w:rPr>
                                <w:spacing w:val="-5"/>
                                <w:sz w:val="16"/>
                              </w:rPr>
                              <w:t>web</w:t>
                            </w:r>
                            <w:r>
                              <w:rPr>
                                <w:rFonts w:ascii="Times New Roman" w:hAnsi="Times New Roman"/>
                                <w:sz w:val="16"/>
                              </w:rPr>
                              <w:tab/>
                            </w:r>
                            <w:r>
                              <w:rPr>
                                <w:spacing w:val="-10"/>
                                <w:sz w:val="16"/>
                              </w:rPr>
                              <w:t>1</w:t>
                            </w:r>
                          </w:p>
                        </w:tc>
                        <w:tc>
                          <w:tcPr>
                            <w:tcW w:w="1066" w:type="dxa"/>
                            <w:tcBorders>
                              <w:top w:val="single" w:sz="4" w:space="0" w:color="001F5F"/>
                              <w:bottom w:val="single" w:sz="4" w:space="0" w:color="001F5F"/>
                            </w:tcBorders>
                          </w:tcPr>
                          <w:p>
                            <w:pPr>
                              <w:pStyle w:val="TableParagraph"/>
                              <w:spacing w:line="171" w:lineRule="exact" w:before="18"/>
                              <w:ind w:right="141"/>
                              <w:jc w:val="right"/>
                              <w:rPr>
                                <w:sz w:val="16"/>
                              </w:rPr>
                            </w:pPr>
                            <w:r>
                              <w:rPr>
                                <w:spacing w:val="-2"/>
                                <w:sz w:val="16"/>
                              </w:rPr>
                              <w:t>14.015,00</w:t>
                            </w:r>
                          </w:p>
                        </w:tc>
                        <w:tc>
                          <w:tcPr>
                            <w:tcW w:w="1023" w:type="dxa"/>
                            <w:tcBorders>
                              <w:top w:val="single" w:sz="4" w:space="0" w:color="001F5F"/>
                              <w:bottom w:val="single" w:sz="4" w:space="0" w:color="001F5F"/>
                            </w:tcBorders>
                          </w:tcPr>
                          <w:p>
                            <w:pPr>
                              <w:pStyle w:val="TableParagraph"/>
                              <w:spacing w:line="171" w:lineRule="exact" w:before="18"/>
                              <w:ind w:right="108"/>
                              <w:jc w:val="right"/>
                              <w:rPr>
                                <w:sz w:val="16"/>
                              </w:rPr>
                            </w:pPr>
                            <w:r>
                              <w:rPr>
                                <w:spacing w:val="-2"/>
                                <w:sz w:val="16"/>
                              </w:rPr>
                              <w:t>14.015,00</w:t>
                            </w:r>
                          </w:p>
                        </w:tc>
                        <w:tc>
                          <w:tcPr>
                            <w:tcW w:w="1043" w:type="dxa"/>
                            <w:tcBorders>
                              <w:top w:val="single" w:sz="4" w:space="0" w:color="001F5F"/>
                              <w:bottom w:val="single" w:sz="4" w:space="0" w:color="001F5F"/>
                            </w:tcBorders>
                          </w:tcPr>
                          <w:p>
                            <w:pPr>
                              <w:pStyle w:val="TableParagraph"/>
                              <w:spacing w:line="171" w:lineRule="exact" w:before="18"/>
                              <w:ind w:right="159"/>
                              <w:jc w:val="right"/>
                              <w:rPr>
                                <w:sz w:val="16"/>
                              </w:rPr>
                            </w:pPr>
                            <w:r>
                              <w:rPr>
                                <w:spacing w:val="-4"/>
                                <w:sz w:val="16"/>
                              </w:rPr>
                              <w:t>0,00</w:t>
                            </w:r>
                          </w:p>
                        </w:tc>
                        <w:tc>
                          <w:tcPr>
                            <w:tcW w:w="459" w:type="dxa"/>
                            <w:tcBorders>
                              <w:top w:val="single" w:sz="4" w:space="0" w:color="001F5F"/>
                              <w:bottom w:val="single" w:sz="4" w:space="0" w:color="001F5F"/>
                            </w:tcBorders>
                          </w:tcPr>
                          <w:p>
                            <w:pPr>
                              <w:pStyle w:val="TableParagraph"/>
                              <w:spacing w:line="171" w:lineRule="exact" w:before="18"/>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1" w:lineRule="exact" w:before="18"/>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1" w:lineRule="exact" w:before="18"/>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1" w:lineRule="exact" w:before="18"/>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1" w:lineRule="exact" w:before="18"/>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2D5D"/>
                              <w:bottom w:val="single" w:sz="4" w:space="0" w:color="002D5D"/>
                            </w:tcBorders>
                          </w:tcPr>
                          <w:p>
                            <w:pPr>
                              <w:pStyle w:val="TableParagraph"/>
                              <w:tabs>
                                <w:tab w:pos="2973" w:val="right" w:leader="none"/>
                              </w:tabs>
                              <w:spacing w:before="8"/>
                              <w:ind w:right="83"/>
                              <w:jc w:val="center"/>
                              <w:rPr>
                                <w:position w:val="-8"/>
                                <w:sz w:val="16"/>
                              </w:rPr>
                            </w:pPr>
                            <w:r>
                              <w:rPr>
                                <w:sz w:val="16"/>
                              </w:rPr>
                              <w:t>Mantenimiento</w:t>
                            </w:r>
                            <w:r>
                              <w:rPr>
                                <w:spacing w:val="-6"/>
                                <w:sz w:val="16"/>
                              </w:rPr>
                              <w:t> </w:t>
                            </w:r>
                            <w:r>
                              <w:rPr>
                                <w:sz w:val="16"/>
                              </w:rPr>
                              <w:t>de</w:t>
                            </w:r>
                            <w:r>
                              <w:rPr>
                                <w:spacing w:val="-4"/>
                                <w:sz w:val="16"/>
                              </w:rPr>
                              <w:t> </w:t>
                            </w:r>
                            <w:r>
                              <w:rPr>
                                <w:sz w:val="16"/>
                              </w:rPr>
                              <w:t>los</w:t>
                            </w:r>
                            <w:r>
                              <w:rPr>
                                <w:spacing w:val="-5"/>
                                <w:sz w:val="16"/>
                              </w:rPr>
                              <w:t> </w:t>
                            </w:r>
                            <w:r>
                              <w:rPr>
                                <w:spacing w:val="-2"/>
                                <w:sz w:val="16"/>
                              </w:rPr>
                              <w:t>software</w:t>
                            </w:r>
                            <w:r>
                              <w:rPr>
                                <w:rFonts w:asci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1"/>
                              <w:jc w:val="right"/>
                              <w:rPr>
                                <w:sz w:val="16"/>
                              </w:rPr>
                            </w:pPr>
                            <w:r>
                              <w:rPr>
                                <w:spacing w:val="-2"/>
                                <w:sz w:val="16"/>
                              </w:rPr>
                              <w:t>71.381,16</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71.381,16</w:t>
                            </w:r>
                          </w:p>
                        </w:tc>
                        <w:tc>
                          <w:tcPr>
                            <w:tcW w:w="1043" w:type="dxa"/>
                            <w:tcBorders>
                              <w:top w:val="single" w:sz="4" w:space="0" w:color="001F5F"/>
                              <w:bottom w:val="single" w:sz="4" w:space="0" w:color="001F5F"/>
                            </w:tcBorders>
                          </w:tcPr>
                          <w:p>
                            <w:pPr>
                              <w:pStyle w:val="TableParagraph"/>
                              <w:spacing w:before="102"/>
                              <w:ind w:right="159"/>
                              <w:jc w:val="right"/>
                              <w:rPr>
                                <w:sz w:val="16"/>
                              </w:rPr>
                            </w:pPr>
                            <w:r>
                              <w:rPr>
                                <w:spacing w:val="-4"/>
                                <w:sz w:val="16"/>
                              </w:rPr>
                              <w:t>0,00</w:t>
                            </w:r>
                          </w:p>
                        </w:tc>
                        <w:tc>
                          <w:tcPr>
                            <w:tcW w:w="459" w:type="dxa"/>
                            <w:tcBorders>
                              <w:top w:val="single" w:sz="4" w:space="0" w:color="001F5F"/>
                              <w:bottom w:val="single" w:sz="4" w:space="0" w:color="001F5F"/>
                            </w:tcBorders>
                          </w:tcPr>
                          <w:p>
                            <w:pPr>
                              <w:pStyle w:val="TableParagraph"/>
                              <w:spacing w:before="102"/>
                              <w:ind w:left="72" w:right="1"/>
                              <w:jc w:val="center"/>
                              <w:rPr>
                                <w:sz w:val="16"/>
                              </w:rPr>
                            </w:pPr>
                            <w:r>
                              <w:rPr>
                                <w:color w:val="891538"/>
                                <w:spacing w:val="-5"/>
                                <w:sz w:val="16"/>
                              </w:rPr>
                              <w:t>SI</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right="1"/>
                              <w:jc w:val="center"/>
                              <w:rPr>
                                <w:sz w:val="16"/>
                              </w:rPr>
                            </w:pPr>
                            <w:r>
                              <w:rPr>
                                <w:sz w:val="16"/>
                              </w:rPr>
                              <w:t>En</w:t>
                            </w:r>
                            <w:r>
                              <w:rPr>
                                <w:spacing w:val="-2"/>
                                <w:sz w:val="16"/>
                              </w:rPr>
                              <w:t> ejecución</w:t>
                            </w:r>
                          </w:p>
                        </w:tc>
                      </w:tr>
                      <w:tr>
                        <w:trPr>
                          <w:trHeight w:val="745" w:hRule="atLeast"/>
                        </w:trPr>
                        <w:tc>
                          <w:tcPr>
                            <w:tcW w:w="994" w:type="dxa"/>
                            <w:tcBorders>
                              <w:bottom w:val="single" w:sz="8" w:space="0" w:color="001F5F"/>
                            </w:tcBorders>
                          </w:tcPr>
                          <w:p>
                            <w:pPr>
                              <w:pStyle w:val="TableParagraph"/>
                              <w:rPr>
                                <w:rFonts w:ascii="Times New Roman"/>
                                <w:sz w:val="16"/>
                              </w:rPr>
                            </w:pPr>
                          </w:p>
                        </w:tc>
                        <w:tc>
                          <w:tcPr>
                            <w:tcW w:w="3198" w:type="dxa"/>
                            <w:tcBorders>
                              <w:top w:val="single" w:sz="4" w:space="0" w:color="002D5D"/>
                              <w:bottom w:val="single" w:sz="8" w:space="0" w:color="001F5F"/>
                            </w:tcBorders>
                          </w:tcPr>
                          <w:p>
                            <w:pPr>
                              <w:pStyle w:val="TableParagraph"/>
                              <w:spacing w:line="183" w:lineRule="exact" w:before="10"/>
                              <w:ind w:left="69"/>
                              <w:rPr>
                                <w:sz w:val="16"/>
                              </w:rPr>
                            </w:pPr>
                            <w:r>
                              <w:rPr>
                                <w:sz w:val="16"/>
                              </w:rPr>
                              <w:t>Sistema</w:t>
                            </w:r>
                            <w:r>
                              <w:rPr>
                                <w:spacing w:val="-6"/>
                                <w:sz w:val="16"/>
                              </w:rPr>
                              <w:t> </w:t>
                            </w:r>
                            <w:r>
                              <w:rPr>
                                <w:sz w:val="16"/>
                              </w:rPr>
                              <w:t>de</w:t>
                            </w:r>
                            <w:r>
                              <w:rPr>
                                <w:spacing w:val="-3"/>
                                <w:sz w:val="16"/>
                              </w:rPr>
                              <w:t> </w:t>
                            </w:r>
                            <w:r>
                              <w:rPr>
                                <w:sz w:val="16"/>
                              </w:rPr>
                              <w:t>control</w:t>
                            </w:r>
                            <w:r>
                              <w:rPr>
                                <w:spacing w:val="-7"/>
                                <w:sz w:val="16"/>
                              </w:rPr>
                              <w:t> </w:t>
                            </w:r>
                            <w:r>
                              <w:rPr>
                                <w:sz w:val="16"/>
                              </w:rPr>
                              <w:t>de</w:t>
                            </w:r>
                            <w:r>
                              <w:rPr>
                                <w:spacing w:val="-3"/>
                                <w:sz w:val="16"/>
                              </w:rPr>
                              <w:t> </w:t>
                            </w:r>
                            <w:r>
                              <w:rPr>
                                <w:sz w:val="16"/>
                              </w:rPr>
                              <w:t>la</w:t>
                            </w:r>
                            <w:r>
                              <w:rPr>
                                <w:spacing w:val="-6"/>
                                <w:sz w:val="16"/>
                              </w:rPr>
                              <w:t> </w:t>
                            </w:r>
                            <w:r>
                              <w:rPr>
                                <w:sz w:val="16"/>
                              </w:rPr>
                              <w:t>producción</w:t>
                            </w:r>
                            <w:r>
                              <w:rPr>
                                <w:spacing w:val="-3"/>
                                <w:sz w:val="16"/>
                              </w:rPr>
                              <w:t> </w:t>
                            </w:r>
                            <w:r>
                              <w:rPr>
                                <w:spacing w:val="-5"/>
                                <w:sz w:val="16"/>
                              </w:rPr>
                              <w:t>en</w:t>
                            </w:r>
                          </w:p>
                          <w:p>
                            <w:pPr>
                              <w:pStyle w:val="TableParagraph"/>
                              <w:tabs>
                                <w:tab w:pos="3042" w:val="right" w:leader="none"/>
                              </w:tabs>
                              <w:ind w:left="69"/>
                              <w:rPr>
                                <w:position w:val="-8"/>
                                <w:sz w:val="16"/>
                              </w:rPr>
                            </w:pPr>
                            <w:r>
                              <w:rPr>
                                <w:sz w:val="16"/>
                              </w:rPr>
                              <w:t>los</w:t>
                            </w:r>
                            <w:r>
                              <w:rPr>
                                <w:spacing w:val="-5"/>
                                <w:sz w:val="16"/>
                              </w:rPr>
                              <w:t> </w:t>
                            </w:r>
                            <w:r>
                              <w:rPr>
                                <w:sz w:val="16"/>
                              </w:rPr>
                              <w:t>servicios</w:t>
                            </w:r>
                            <w:r>
                              <w:rPr>
                                <w:spacing w:val="-5"/>
                                <w:sz w:val="16"/>
                              </w:rPr>
                              <w:t> </w:t>
                            </w:r>
                            <w:r>
                              <w:rPr>
                                <w:sz w:val="16"/>
                              </w:rPr>
                              <w:t>asociados</w:t>
                            </w:r>
                            <w:r>
                              <w:rPr>
                                <w:spacing w:val="-5"/>
                                <w:sz w:val="16"/>
                              </w:rPr>
                              <w:t> </w:t>
                            </w:r>
                            <w:r>
                              <w:rPr>
                                <w:sz w:val="16"/>
                              </w:rPr>
                              <w:t>al</w:t>
                            </w:r>
                            <w:r>
                              <w:rPr>
                                <w:spacing w:val="-4"/>
                                <w:sz w:val="16"/>
                              </w:rPr>
                              <w:t> </w:t>
                            </w:r>
                            <w:r>
                              <w:rPr>
                                <w:spacing w:val="-2"/>
                                <w:sz w:val="16"/>
                              </w:rPr>
                              <w:t>software</w:t>
                            </w:r>
                            <w:r>
                              <w:rPr>
                                <w:rFonts w:ascii="Times New Roman"/>
                                <w:sz w:val="16"/>
                              </w:rPr>
                              <w:tab/>
                            </w:r>
                            <w:r>
                              <w:rPr>
                                <w:spacing w:val="-10"/>
                                <w:position w:val="-8"/>
                                <w:sz w:val="16"/>
                              </w:rPr>
                              <w:t>1</w:t>
                            </w:r>
                          </w:p>
                          <w:p>
                            <w:pPr>
                              <w:pStyle w:val="TableParagraph"/>
                              <w:spacing w:line="166" w:lineRule="exact" w:before="93"/>
                              <w:ind w:left="69"/>
                              <w:rPr>
                                <w:sz w:val="16"/>
                              </w:rPr>
                            </w:pPr>
                            <w:r>
                              <w:rPr>
                                <w:spacing w:val="-2"/>
                                <w:sz w:val="16"/>
                              </w:rPr>
                              <w:t>explotación</w:t>
                            </w:r>
                          </w:p>
                        </w:tc>
                        <w:tc>
                          <w:tcPr>
                            <w:tcW w:w="1066" w:type="dxa"/>
                            <w:tcBorders>
                              <w:top w:val="single" w:sz="4" w:space="0" w:color="001F5F"/>
                              <w:bottom w:val="single" w:sz="8" w:space="0" w:color="001F5F"/>
                            </w:tcBorders>
                          </w:tcPr>
                          <w:p>
                            <w:pPr>
                              <w:pStyle w:val="TableParagraph"/>
                              <w:spacing w:before="100"/>
                              <w:rPr>
                                <w:sz w:val="16"/>
                              </w:rPr>
                            </w:pPr>
                          </w:p>
                          <w:p>
                            <w:pPr>
                              <w:pStyle w:val="TableParagraph"/>
                              <w:ind w:right="142"/>
                              <w:jc w:val="right"/>
                              <w:rPr>
                                <w:sz w:val="16"/>
                              </w:rPr>
                            </w:pPr>
                            <w:r>
                              <w:rPr>
                                <w:spacing w:val="-2"/>
                                <w:sz w:val="16"/>
                              </w:rPr>
                              <w:t>153.328,92</w:t>
                            </w:r>
                          </w:p>
                        </w:tc>
                        <w:tc>
                          <w:tcPr>
                            <w:tcW w:w="1023" w:type="dxa"/>
                            <w:tcBorders>
                              <w:top w:val="single" w:sz="4" w:space="0" w:color="001F5F"/>
                              <w:bottom w:val="single" w:sz="8" w:space="0" w:color="001F5F"/>
                            </w:tcBorders>
                          </w:tcPr>
                          <w:p>
                            <w:pPr>
                              <w:pStyle w:val="TableParagraph"/>
                              <w:spacing w:before="100"/>
                              <w:rPr>
                                <w:sz w:val="16"/>
                              </w:rPr>
                            </w:pPr>
                          </w:p>
                          <w:p>
                            <w:pPr>
                              <w:pStyle w:val="TableParagraph"/>
                              <w:ind w:right="108"/>
                              <w:jc w:val="right"/>
                              <w:rPr>
                                <w:sz w:val="16"/>
                              </w:rPr>
                            </w:pPr>
                            <w:r>
                              <w:rPr>
                                <w:spacing w:val="-2"/>
                                <w:sz w:val="16"/>
                              </w:rPr>
                              <w:t>153.328,92</w:t>
                            </w:r>
                          </w:p>
                        </w:tc>
                        <w:tc>
                          <w:tcPr>
                            <w:tcW w:w="1043" w:type="dxa"/>
                            <w:tcBorders>
                              <w:top w:val="single" w:sz="4" w:space="0" w:color="001F5F"/>
                              <w:bottom w:val="single" w:sz="8" w:space="0" w:color="001F5F"/>
                            </w:tcBorders>
                          </w:tcPr>
                          <w:p>
                            <w:pPr>
                              <w:pStyle w:val="TableParagraph"/>
                              <w:spacing w:before="100"/>
                              <w:rPr>
                                <w:sz w:val="16"/>
                              </w:rPr>
                            </w:pPr>
                          </w:p>
                          <w:p>
                            <w:pPr>
                              <w:pStyle w:val="TableParagraph"/>
                              <w:ind w:right="159"/>
                              <w:jc w:val="right"/>
                              <w:rPr>
                                <w:sz w:val="16"/>
                              </w:rPr>
                            </w:pPr>
                            <w:r>
                              <w:rPr>
                                <w:spacing w:val="-4"/>
                                <w:sz w:val="16"/>
                              </w:rPr>
                              <w:t>0,00</w:t>
                            </w:r>
                          </w:p>
                        </w:tc>
                        <w:tc>
                          <w:tcPr>
                            <w:tcW w:w="459" w:type="dxa"/>
                            <w:tcBorders>
                              <w:top w:val="single" w:sz="4" w:space="0" w:color="001F5F"/>
                              <w:bottom w:val="single" w:sz="8" w:space="0" w:color="001F5F"/>
                            </w:tcBorders>
                          </w:tcPr>
                          <w:p>
                            <w:pPr>
                              <w:pStyle w:val="TableParagraph"/>
                              <w:spacing w:before="100"/>
                              <w:rPr>
                                <w:sz w:val="16"/>
                              </w:rPr>
                            </w:pPr>
                          </w:p>
                          <w:p>
                            <w:pPr>
                              <w:pStyle w:val="TableParagraph"/>
                              <w:ind w:left="72" w:right="1"/>
                              <w:jc w:val="center"/>
                              <w:rPr>
                                <w:sz w:val="16"/>
                              </w:rPr>
                            </w:pPr>
                            <w:r>
                              <w:rPr>
                                <w:color w:val="891538"/>
                                <w:spacing w:val="-5"/>
                                <w:sz w:val="16"/>
                              </w:rPr>
                              <w:t>SI</w:t>
                            </w:r>
                          </w:p>
                        </w:tc>
                        <w:tc>
                          <w:tcPr>
                            <w:tcW w:w="390" w:type="dxa"/>
                            <w:tcBorders>
                              <w:top w:val="single" w:sz="4" w:space="0" w:color="001F5F"/>
                              <w:bottom w:val="single" w:sz="8" w:space="0" w:color="001F5F"/>
                            </w:tcBorders>
                          </w:tcPr>
                          <w:p>
                            <w:pPr>
                              <w:pStyle w:val="TableParagraph"/>
                              <w:spacing w:before="100"/>
                              <w:rPr>
                                <w:sz w:val="16"/>
                              </w:rPr>
                            </w:pPr>
                          </w:p>
                          <w:p>
                            <w:pPr>
                              <w:pStyle w:val="TableParagraph"/>
                              <w:ind w:left="13" w:righ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0"/>
                              <w:rPr>
                                <w:sz w:val="16"/>
                              </w:rPr>
                            </w:pPr>
                          </w:p>
                          <w:p>
                            <w:pPr>
                              <w:pStyle w:val="TableParagraph"/>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100"/>
                              <w:rPr>
                                <w:sz w:val="16"/>
                              </w:rPr>
                            </w:pPr>
                          </w:p>
                          <w:p>
                            <w:pPr>
                              <w:pStyle w:val="TableParagraph"/>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100"/>
                              <w:rPr>
                                <w:sz w:val="16"/>
                              </w:rPr>
                            </w:pPr>
                          </w:p>
                          <w:p>
                            <w:pPr>
                              <w:pStyle w:val="TableParagraph"/>
                              <w:ind w:right="1"/>
                              <w:jc w:val="center"/>
                              <w:rPr>
                                <w:sz w:val="16"/>
                              </w:rPr>
                            </w:pPr>
                            <w:r>
                              <w:rPr>
                                <w:sz w:val="16"/>
                              </w:rPr>
                              <w:t>En</w:t>
                            </w:r>
                            <w:r>
                              <w:rPr>
                                <w:spacing w:val="-2"/>
                                <w:sz w:val="16"/>
                              </w:rPr>
                              <w:t> ejecución</w:t>
                            </w:r>
                          </w:p>
                        </w:tc>
                      </w:tr>
                      <w:tr>
                        <w:trPr>
                          <w:trHeight w:val="198" w:hRule="atLeast"/>
                        </w:trPr>
                        <w:tc>
                          <w:tcPr>
                            <w:tcW w:w="994" w:type="dxa"/>
                            <w:tcBorders>
                              <w:top w:val="single" w:sz="8" w:space="0" w:color="001F5F"/>
                            </w:tcBorders>
                          </w:tcPr>
                          <w:p>
                            <w:pPr>
                              <w:pStyle w:val="TableParagraph"/>
                              <w:rPr>
                                <w:rFonts w:ascii="Times New Roman"/>
                                <w:sz w:val="12"/>
                              </w:rPr>
                            </w:pPr>
                          </w:p>
                        </w:tc>
                        <w:tc>
                          <w:tcPr>
                            <w:tcW w:w="3198" w:type="dxa"/>
                            <w:tcBorders>
                              <w:top w:val="single" w:sz="8" w:space="0" w:color="001F5F"/>
                              <w:bottom w:val="single" w:sz="4" w:space="0" w:color="000000"/>
                            </w:tcBorders>
                          </w:tcPr>
                          <w:p>
                            <w:pPr>
                              <w:pStyle w:val="TableParagraph"/>
                              <w:tabs>
                                <w:tab w:pos="2973" w:val="right" w:leader="none"/>
                              </w:tabs>
                              <w:spacing w:line="173" w:lineRule="exact" w:before="5"/>
                              <w:ind w:right="83"/>
                              <w:jc w:val="center"/>
                              <w:rPr>
                                <w:sz w:val="16"/>
                              </w:rPr>
                            </w:pPr>
                            <w:r>
                              <w:rPr>
                                <w:sz w:val="16"/>
                              </w:rPr>
                              <w:t>Digitalización</w:t>
                            </w:r>
                            <w:r>
                              <w:rPr>
                                <w:spacing w:val="-6"/>
                                <w:sz w:val="16"/>
                              </w:rPr>
                              <w:t> </w:t>
                            </w:r>
                            <w:r>
                              <w:rPr>
                                <w:sz w:val="16"/>
                              </w:rPr>
                              <w:t>de</w:t>
                            </w:r>
                            <w:r>
                              <w:rPr>
                                <w:spacing w:val="-4"/>
                                <w:sz w:val="16"/>
                              </w:rPr>
                              <w:t> </w:t>
                            </w:r>
                            <w:r>
                              <w:rPr>
                                <w:sz w:val="16"/>
                              </w:rPr>
                              <w:t>los</w:t>
                            </w:r>
                            <w:r>
                              <w:rPr>
                                <w:spacing w:val="-5"/>
                                <w:sz w:val="16"/>
                              </w:rPr>
                              <w:t> </w:t>
                            </w:r>
                            <w:r>
                              <w:rPr>
                                <w:sz w:val="16"/>
                              </w:rPr>
                              <w:t>medios</w:t>
                            </w:r>
                            <w:r>
                              <w:rPr>
                                <w:spacing w:val="-5"/>
                                <w:sz w:val="16"/>
                              </w:rPr>
                              <w:t> </w:t>
                            </w:r>
                            <w:r>
                              <w:rPr>
                                <w:sz w:val="16"/>
                              </w:rPr>
                              <w:t>de</w:t>
                            </w:r>
                            <w:r>
                              <w:rPr>
                                <w:spacing w:val="-5"/>
                                <w:sz w:val="16"/>
                              </w:rPr>
                              <w:t> </w:t>
                            </w:r>
                            <w:r>
                              <w:rPr>
                                <w:spacing w:val="-4"/>
                                <w:sz w:val="16"/>
                              </w:rPr>
                              <w:t>pago</w:t>
                            </w:r>
                            <w:r>
                              <w:rPr>
                                <w:rFonts w:ascii="Times New Roman" w:hAnsi="Times New Roman"/>
                                <w:sz w:val="16"/>
                              </w:rPr>
                              <w:tab/>
                            </w:r>
                            <w:r>
                              <w:rPr>
                                <w:spacing w:val="-10"/>
                                <w:sz w:val="16"/>
                              </w:rPr>
                              <w:t>3</w:t>
                            </w:r>
                          </w:p>
                        </w:tc>
                        <w:tc>
                          <w:tcPr>
                            <w:tcW w:w="1066" w:type="dxa"/>
                            <w:tcBorders>
                              <w:top w:val="single" w:sz="8" w:space="0" w:color="001F5F"/>
                              <w:bottom w:val="single" w:sz="4" w:space="0" w:color="001F5F"/>
                            </w:tcBorders>
                          </w:tcPr>
                          <w:p>
                            <w:pPr>
                              <w:pStyle w:val="TableParagraph"/>
                              <w:spacing w:line="173" w:lineRule="exact" w:before="5"/>
                              <w:ind w:right="142"/>
                              <w:jc w:val="right"/>
                              <w:rPr>
                                <w:sz w:val="16"/>
                              </w:rPr>
                            </w:pPr>
                            <w:r>
                              <w:rPr>
                                <w:spacing w:val="-2"/>
                                <w:sz w:val="16"/>
                              </w:rPr>
                              <w:t>698.057,48</w:t>
                            </w:r>
                          </w:p>
                        </w:tc>
                        <w:tc>
                          <w:tcPr>
                            <w:tcW w:w="1023" w:type="dxa"/>
                            <w:tcBorders>
                              <w:top w:val="single" w:sz="8" w:space="0" w:color="001F5F"/>
                              <w:bottom w:val="single" w:sz="4" w:space="0" w:color="001F5F"/>
                            </w:tcBorders>
                          </w:tcPr>
                          <w:p>
                            <w:pPr>
                              <w:pStyle w:val="TableParagraph"/>
                              <w:spacing w:line="173" w:lineRule="exact" w:before="5"/>
                              <w:ind w:right="108"/>
                              <w:jc w:val="right"/>
                              <w:rPr>
                                <w:sz w:val="16"/>
                              </w:rPr>
                            </w:pPr>
                            <w:r>
                              <w:rPr>
                                <w:spacing w:val="-2"/>
                                <w:sz w:val="16"/>
                              </w:rPr>
                              <w:t>193.119,91</w:t>
                            </w:r>
                          </w:p>
                        </w:tc>
                        <w:tc>
                          <w:tcPr>
                            <w:tcW w:w="1043" w:type="dxa"/>
                            <w:tcBorders>
                              <w:top w:val="single" w:sz="8" w:space="0" w:color="001F5F"/>
                              <w:bottom w:val="single" w:sz="4" w:space="0" w:color="001F5F"/>
                            </w:tcBorders>
                          </w:tcPr>
                          <w:p>
                            <w:pPr>
                              <w:pStyle w:val="TableParagraph"/>
                              <w:spacing w:line="173" w:lineRule="exact" w:before="5"/>
                              <w:ind w:right="160"/>
                              <w:jc w:val="right"/>
                              <w:rPr>
                                <w:sz w:val="16"/>
                              </w:rPr>
                            </w:pPr>
                            <w:r>
                              <w:rPr>
                                <w:spacing w:val="-2"/>
                                <w:sz w:val="16"/>
                              </w:rPr>
                              <w:t>504.937,57</w:t>
                            </w:r>
                          </w:p>
                        </w:tc>
                        <w:tc>
                          <w:tcPr>
                            <w:tcW w:w="459" w:type="dxa"/>
                            <w:tcBorders>
                              <w:top w:val="single" w:sz="8" w:space="0" w:color="001F5F"/>
                              <w:bottom w:val="single" w:sz="4" w:space="0" w:color="001F5F"/>
                            </w:tcBorders>
                          </w:tcPr>
                          <w:p>
                            <w:pPr>
                              <w:pStyle w:val="TableParagraph"/>
                              <w:spacing w:line="173" w:lineRule="exact" w:before="5"/>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3" w:lineRule="exact" w:before="5"/>
                              <w:ind w:left="13" w:right="9"/>
                              <w:jc w:val="center"/>
                              <w:rPr>
                                <w:sz w:val="16"/>
                              </w:rPr>
                            </w:pPr>
                            <w:r>
                              <w:rPr>
                                <w:color w:val="891538"/>
                                <w:spacing w:val="-5"/>
                                <w:sz w:val="16"/>
                              </w:rPr>
                              <w:t>Sí</w:t>
                            </w:r>
                          </w:p>
                        </w:tc>
                        <w:tc>
                          <w:tcPr>
                            <w:tcW w:w="390" w:type="dxa"/>
                            <w:tcBorders>
                              <w:top w:val="single" w:sz="8" w:space="0" w:color="001F5F"/>
                              <w:bottom w:val="single" w:sz="4" w:space="0" w:color="001F5F"/>
                            </w:tcBorders>
                          </w:tcPr>
                          <w:p>
                            <w:pPr>
                              <w:pStyle w:val="TableParagraph"/>
                              <w:spacing w:line="173" w:lineRule="exact" w:before="5"/>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line="173" w:lineRule="exact" w:before="5"/>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line="173" w:lineRule="exact" w:before="5"/>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0000"/>
                              <w:bottom w:val="single" w:sz="4" w:space="0" w:color="000000"/>
                            </w:tcBorders>
                          </w:tcPr>
                          <w:p>
                            <w:pPr>
                              <w:pStyle w:val="TableParagraph"/>
                              <w:tabs>
                                <w:tab w:pos="2973" w:val="right" w:leader="none"/>
                              </w:tabs>
                              <w:spacing w:before="8"/>
                              <w:ind w:right="83"/>
                              <w:jc w:val="center"/>
                              <w:rPr>
                                <w:position w:val="-8"/>
                                <w:sz w:val="16"/>
                              </w:rPr>
                            </w:pPr>
                            <w:r>
                              <w:rPr>
                                <w:sz w:val="16"/>
                              </w:rPr>
                              <w:t>Digitalización</w:t>
                            </w:r>
                            <w:r>
                              <w:rPr>
                                <w:spacing w:val="-7"/>
                                <w:sz w:val="16"/>
                              </w:rPr>
                              <w:t> </w:t>
                            </w:r>
                            <w:r>
                              <w:rPr>
                                <w:sz w:val="16"/>
                              </w:rPr>
                              <w:t>sistemas</w:t>
                            </w:r>
                            <w:r>
                              <w:rPr>
                                <w:spacing w:val="-7"/>
                                <w:sz w:val="16"/>
                              </w:rPr>
                              <w:t> </w:t>
                            </w:r>
                            <w:r>
                              <w:rPr>
                                <w:sz w:val="16"/>
                              </w:rPr>
                              <w:t>de</w:t>
                            </w:r>
                            <w:r>
                              <w:rPr>
                                <w:spacing w:val="-6"/>
                                <w:sz w:val="16"/>
                              </w:rPr>
                              <w:t> </w:t>
                            </w:r>
                            <w:r>
                              <w:rPr>
                                <w:spacing w:val="-2"/>
                                <w:sz w:val="16"/>
                              </w:rPr>
                              <w:t>comunicación/</w:t>
                            </w:r>
                            <w:r>
                              <w:rPr>
                                <w:rFonts w:ascii="Times New Roman" w:hAnsi="Times New Roman"/>
                                <w:sz w:val="16"/>
                              </w:rPr>
                              <w:tab/>
                            </w:r>
                            <w:r>
                              <w:rPr>
                                <w:spacing w:val="-10"/>
                                <w:position w:val="-8"/>
                                <w:sz w:val="16"/>
                              </w:rPr>
                              <w:t>6</w:t>
                            </w:r>
                          </w:p>
                        </w:tc>
                        <w:tc>
                          <w:tcPr>
                            <w:tcW w:w="1066" w:type="dxa"/>
                            <w:tcBorders>
                              <w:top w:val="single" w:sz="4" w:space="0" w:color="001F5F"/>
                              <w:bottom w:val="single" w:sz="4" w:space="0" w:color="001F5F"/>
                            </w:tcBorders>
                          </w:tcPr>
                          <w:p>
                            <w:pPr>
                              <w:pStyle w:val="TableParagraph"/>
                              <w:spacing w:before="99"/>
                              <w:ind w:right="142"/>
                              <w:jc w:val="right"/>
                              <w:rPr>
                                <w:sz w:val="16"/>
                              </w:rPr>
                            </w:pPr>
                            <w:r>
                              <w:rPr>
                                <w:spacing w:val="-2"/>
                                <w:sz w:val="16"/>
                              </w:rPr>
                              <w:t>184.375,99</w:t>
                            </w:r>
                          </w:p>
                        </w:tc>
                        <w:tc>
                          <w:tcPr>
                            <w:tcW w:w="1023" w:type="dxa"/>
                            <w:tcBorders>
                              <w:top w:val="single" w:sz="4" w:space="0" w:color="001F5F"/>
                              <w:bottom w:val="single" w:sz="4" w:space="0" w:color="001F5F"/>
                            </w:tcBorders>
                          </w:tcPr>
                          <w:p>
                            <w:pPr>
                              <w:pStyle w:val="TableParagraph"/>
                              <w:spacing w:before="99"/>
                              <w:ind w:right="108"/>
                              <w:jc w:val="right"/>
                              <w:rPr>
                                <w:sz w:val="16"/>
                              </w:rPr>
                            </w:pPr>
                            <w:r>
                              <w:rPr>
                                <w:spacing w:val="-2"/>
                                <w:sz w:val="16"/>
                              </w:rPr>
                              <w:t>18.437,60</w:t>
                            </w:r>
                          </w:p>
                        </w:tc>
                        <w:tc>
                          <w:tcPr>
                            <w:tcW w:w="1043" w:type="dxa"/>
                            <w:tcBorders>
                              <w:top w:val="single" w:sz="4" w:space="0" w:color="001F5F"/>
                              <w:bottom w:val="single" w:sz="4" w:space="0" w:color="001F5F"/>
                            </w:tcBorders>
                          </w:tcPr>
                          <w:p>
                            <w:pPr>
                              <w:pStyle w:val="TableParagraph"/>
                              <w:spacing w:before="99"/>
                              <w:ind w:right="160"/>
                              <w:jc w:val="right"/>
                              <w:rPr>
                                <w:sz w:val="16"/>
                              </w:rPr>
                            </w:pPr>
                            <w:r>
                              <w:rPr>
                                <w:spacing w:val="-2"/>
                                <w:sz w:val="16"/>
                              </w:rPr>
                              <w:t>165.938,39</w:t>
                            </w:r>
                          </w:p>
                        </w:tc>
                        <w:tc>
                          <w:tcPr>
                            <w:tcW w:w="459" w:type="dxa"/>
                            <w:tcBorders>
                              <w:top w:val="single" w:sz="4" w:space="0" w:color="001F5F"/>
                              <w:bottom w:val="single" w:sz="4"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99"/>
                              <w:ind w:left="1" w:right="1"/>
                              <w:jc w:val="center"/>
                              <w:rPr>
                                <w:sz w:val="16"/>
                              </w:rPr>
                            </w:pPr>
                            <w:r>
                              <w:rPr>
                                <w:spacing w:val="-2"/>
                                <w:sz w:val="16"/>
                              </w:rPr>
                              <w:t>Finalizada</w:t>
                            </w:r>
                          </w:p>
                        </w:tc>
                      </w:tr>
                      <w:tr>
                        <w:trPr>
                          <w:trHeight w:val="208" w:hRule="atLeast"/>
                        </w:trPr>
                        <w:tc>
                          <w:tcPr>
                            <w:tcW w:w="994" w:type="dxa"/>
                          </w:tcPr>
                          <w:p>
                            <w:pPr>
                              <w:pStyle w:val="TableParagraph"/>
                              <w:rPr>
                                <w:rFonts w:ascii="Times New Roman"/>
                                <w:sz w:val="14"/>
                              </w:rPr>
                            </w:pPr>
                          </w:p>
                        </w:tc>
                        <w:tc>
                          <w:tcPr>
                            <w:tcW w:w="3198" w:type="dxa"/>
                            <w:tcBorders>
                              <w:top w:val="single" w:sz="4" w:space="0" w:color="000000"/>
                              <w:bottom w:val="single" w:sz="4" w:space="0" w:color="000000"/>
                            </w:tcBorders>
                          </w:tcPr>
                          <w:p>
                            <w:pPr>
                              <w:pStyle w:val="TableParagraph"/>
                              <w:tabs>
                                <w:tab w:pos="2974" w:val="right" w:leader="none"/>
                              </w:tabs>
                              <w:spacing w:line="173" w:lineRule="exact" w:before="15"/>
                              <w:ind w:right="82"/>
                              <w:jc w:val="center"/>
                              <w:rPr>
                                <w:sz w:val="16"/>
                              </w:rPr>
                            </w:pPr>
                            <w:r>
                              <w:rPr>
                                <w:sz w:val="16"/>
                              </w:rPr>
                              <w:t>Marquesinas</w:t>
                            </w:r>
                            <w:r>
                              <w:rPr>
                                <w:spacing w:val="-11"/>
                                <w:sz w:val="16"/>
                              </w:rPr>
                              <w:t> </w:t>
                            </w:r>
                            <w:r>
                              <w:rPr>
                                <w:spacing w:val="-2"/>
                                <w:sz w:val="16"/>
                              </w:rPr>
                              <w:t>inteligentes</w:t>
                            </w:r>
                            <w:r>
                              <w:rPr>
                                <w:rFonts w:ascii="Times New Roman"/>
                                <w:sz w:val="16"/>
                              </w:rPr>
                              <w:tab/>
                            </w:r>
                            <w:r>
                              <w:rPr>
                                <w:spacing w:val="-5"/>
                                <w:sz w:val="16"/>
                              </w:rPr>
                              <w:t>11</w:t>
                            </w:r>
                          </w:p>
                        </w:tc>
                        <w:tc>
                          <w:tcPr>
                            <w:tcW w:w="1066" w:type="dxa"/>
                            <w:tcBorders>
                              <w:top w:val="single" w:sz="4" w:space="0" w:color="001F5F"/>
                              <w:bottom w:val="single" w:sz="4" w:space="0" w:color="001F5F"/>
                            </w:tcBorders>
                          </w:tcPr>
                          <w:p>
                            <w:pPr>
                              <w:pStyle w:val="TableParagraph"/>
                              <w:spacing w:line="173" w:lineRule="exact" w:before="15"/>
                              <w:ind w:right="142"/>
                              <w:jc w:val="right"/>
                              <w:rPr>
                                <w:sz w:val="16"/>
                              </w:rPr>
                            </w:pPr>
                            <w:r>
                              <w:rPr>
                                <w:spacing w:val="-2"/>
                                <w:sz w:val="16"/>
                              </w:rPr>
                              <w:t>3.552.012,62</w:t>
                            </w:r>
                          </w:p>
                        </w:tc>
                        <w:tc>
                          <w:tcPr>
                            <w:tcW w:w="1023" w:type="dxa"/>
                            <w:tcBorders>
                              <w:top w:val="single" w:sz="4" w:space="0" w:color="001F5F"/>
                              <w:bottom w:val="single" w:sz="4" w:space="0" w:color="001F5F"/>
                            </w:tcBorders>
                          </w:tcPr>
                          <w:p>
                            <w:pPr>
                              <w:pStyle w:val="TableParagraph"/>
                              <w:spacing w:line="173" w:lineRule="exact" w:before="15"/>
                              <w:ind w:right="108"/>
                              <w:jc w:val="right"/>
                              <w:rPr>
                                <w:sz w:val="16"/>
                              </w:rPr>
                            </w:pPr>
                            <w:r>
                              <w:rPr>
                                <w:spacing w:val="-2"/>
                                <w:sz w:val="16"/>
                              </w:rPr>
                              <w:t>363.173,17</w:t>
                            </w:r>
                          </w:p>
                        </w:tc>
                        <w:tc>
                          <w:tcPr>
                            <w:tcW w:w="1043" w:type="dxa"/>
                            <w:tcBorders>
                              <w:top w:val="single" w:sz="4" w:space="0" w:color="001F5F"/>
                              <w:bottom w:val="single" w:sz="4" w:space="0" w:color="001F5F"/>
                            </w:tcBorders>
                          </w:tcPr>
                          <w:p>
                            <w:pPr>
                              <w:pStyle w:val="TableParagraph"/>
                              <w:spacing w:line="173" w:lineRule="exact" w:before="15"/>
                              <w:ind w:right="160"/>
                              <w:jc w:val="right"/>
                              <w:rPr>
                                <w:sz w:val="16"/>
                              </w:rPr>
                            </w:pPr>
                            <w:r>
                              <w:rPr>
                                <w:spacing w:val="-2"/>
                                <w:sz w:val="16"/>
                              </w:rPr>
                              <w:t>3.188.839,46</w:t>
                            </w:r>
                          </w:p>
                        </w:tc>
                        <w:tc>
                          <w:tcPr>
                            <w:tcW w:w="459" w:type="dxa"/>
                            <w:tcBorders>
                              <w:top w:val="single" w:sz="4" w:space="0" w:color="001F5F"/>
                              <w:bottom w:val="single" w:sz="4" w:space="0" w:color="001F5F"/>
                            </w:tcBorders>
                          </w:tcPr>
                          <w:p>
                            <w:pPr>
                              <w:pStyle w:val="TableParagraph"/>
                              <w:spacing w:line="173" w:lineRule="exact" w:before="15"/>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3" w:lineRule="exact" w:before="15"/>
                              <w:ind w:left="13" w:right="9"/>
                              <w:jc w:val="center"/>
                              <w:rPr>
                                <w:sz w:val="16"/>
                              </w:rPr>
                            </w:pPr>
                            <w:r>
                              <w:rPr>
                                <w:color w:val="891538"/>
                                <w:spacing w:val="-5"/>
                                <w:sz w:val="16"/>
                              </w:rPr>
                              <w:t>SI</w:t>
                            </w:r>
                          </w:p>
                        </w:tc>
                        <w:tc>
                          <w:tcPr>
                            <w:tcW w:w="390" w:type="dxa"/>
                            <w:tcBorders>
                              <w:top w:val="single" w:sz="4" w:space="0" w:color="001F5F"/>
                              <w:bottom w:val="single" w:sz="4" w:space="0" w:color="001F5F"/>
                            </w:tcBorders>
                          </w:tcPr>
                          <w:p>
                            <w:pPr>
                              <w:pStyle w:val="TableParagraph"/>
                              <w:spacing w:line="173" w:lineRule="exact" w:before="15"/>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3" w:lineRule="exact" w:before="15"/>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3" w:lineRule="exact" w:before="15"/>
                              <w:ind w:left="1" w:right="1"/>
                              <w:jc w:val="center"/>
                              <w:rPr>
                                <w:sz w:val="16"/>
                              </w:rPr>
                            </w:pPr>
                            <w:r>
                              <w:rPr>
                                <w:spacing w:val="-2"/>
                                <w:sz w:val="16"/>
                              </w:rPr>
                              <w:t>Finalizada</w:t>
                            </w:r>
                          </w:p>
                        </w:tc>
                      </w:tr>
                      <w:tr>
                        <w:trPr>
                          <w:trHeight w:val="376" w:hRule="atLeast"/>
                        </w:trPr>
                        <w:tc>
                          <w:tcPr>
                            <w:tcW w:w="994" w:type="dxa"/>
                          </w:tcPr>
                          <w:p>
                            <w:pPr>
                              <w:pStyle w:val="TableParagraph"/>
                              <w:rPr>
                                <w:rFonts w:ascii="Times New Roman"/>
                                <w:sz w:val="16"/>
                              </w:rPr>
                            </w:pPr>
                          </w:p>
                        </w:tc>
                        <w:tc>
                          <w:tcPr>
                            <w:tcW w:w="3198" w:type="dxa"/>
                            <w:tcBorders>
                              <w:top w:val="single" w:sz="4" w:space="0" w:color="000000"/>
                              <w:bottom w:val="single" w:sz="4" w:space="0" w:color="000000"/>
                            </w:tcBorders>
                          </w:tcPr>
                          <w:p>
                            <w:pPr>
                              <w:pStyle w:val="TableParagraph"/>
                              <w:tabs>
                                <w:tab w:pos="2973" w:val="right" w:leader="none"/>
                              </w:tabs>
                              <w:spacing w:before="8"/>
                              <w:ind w:right="83"/>
                              <w:jc w:val="center"/>
                              <w:rPr>
                                <w:position w:val="-8"/>
                                <w:sz w:val="16"/>
                              </w:rPr>
                            </w:pPr>
                            <w:r>
                              <w:rPr>
                                <w:sz w:val="16"/>
                              </w:rPr>
                              <w:t>Digitalización</w:t>
                            </w:r>
                            <w:r>
                              <w:rPr>
                                <w:spacing w:val="-5"/>
                                <w:sz w:val="16"/>
                              </w:rPr>
                              <w:t> </w:t>
                            </w:r>
                            <w:r>
                              <w:rPr>
                                <w:sz w:val="16"/>
                              </w:rPr>
                              <w:t>de</w:t>
                            </w:r>
                            <w:r>
                              <w:rPr>
                                <w:spacing w:val="-5"/>
                                <w:sz w:val="16"/>
                              </w:rPr>
                              <w:t> </w:t>
                            </w:r>
                            <w:r>
                              <w:rPr>
                                <w:sz w:val="16"/>
                              </w:rPr>
                              <w:t>actividades</w:t>
                            </w:r>
                            <w:r>
                              <w:rPr>
                                <w:spacing w:val="-9"/>
                                <w:sz w:val="16"/>
                              </w:rPr>
                              <w:t> </w:t>
                            </w:r>
                            <w:r>
                              <w:rPr>
                                <w:sz w:val="16"/>
                              </w:rPr>
                              <w:t>del</w:t>
                            </w:r>
                            <w:r>
                              <w:rPr>
                                <w:spacing w:val="-6"/>
                                <w:sz w:val="16"/>
                              </w:rPr>
                              <w:t> </w:t>
                            </w:r>
                            <w:r>
                              <w:rPr>
                                <w:sz w:val="16"/>
                              </w:rPr>
                              <w:t>taller</w:t>
                            </w:r>
                            <w:r>
                              <w:rPr>
                                <w:spacing w:val="-6"/>
                                <w:sz w:val="16"/>
                              </w:rPr>
                              <w:t> </w:t>
                            </w:r>
                            <w:r>
                              <w:rPr>
                                <w:spacing w:val="-10"/>
                                <w:sz w:val="16"/>
                              </w:rPr>
                              <w:t>y</w:t>
                            </w:r>
                            <w:r>
                              <w:rPr>
                                <w:rFonts w:ascii="Times New Roman" w:hAnsi="Times New Roman"/>
                                <w:sz w:val="16"/>
                              </w:rPr>
                              <w:tab/>
                            </w:r>
                            <w:r>
                              <w:rPr>
                                <w:spacing w:val="-10"/>
                                <w:position w:val="-8"/>
                                <w:sz w:val="16"/>
                              </w:rPr>
                              <w:t>3</w:t>
                            </w:r>
                          </w:p>
                        </w:tc>
                        <w:tc>
                          <w:tcPr>
                            <w:tcW w:w="1066" w:type="dxa"/>
                            <w:tcBorders>
                              <w:top w:val="single" w:sz="4" w:space="0" w:color="001F5F"/>
                              <w:bottom w:val="single" w:sz="4" w:space="0" w:color="001F5F"/>
                            </w:tcBorders>
                          </w:tcPr>
                          <w:p>
                            <w:pPr>
                              <w:pStyle w:val="TableParagraph"/>
                              <w:spacing w:before="99"/>
                              <w:ind w:right="141"/>
                              <w:jc w:val="right"/>
                              <w:rPr>
                                <w:sz w:val="16"/>
                              </w:rPr>
                            </w:pPr>
                            <w:r>
                              <w:rPr>
                                <w:spacing w:val="-2"/>
                                <w:sz w:val="16"/>
                              </w:rPr>
                              <w:t>26.510,78</w:t>
                            </w:r>
                          </w:p>
                        </w:tc>
                        <w:tc>
                          <w:tcPr>
                            <w:tcW w:w="1023" w:type="dxa"/>
                            <w:tcBorders>
                              <w:top w:val="single" w:sz="4" w:space="0" w:color="001F5F"/>
                              <w:bottom w:val="single" w:sz="4" w:space="0" w:color="001F5F"/>
                            </w:tcBorders>
                          </w:tcPr>
                          <w:p>
                            <w:pPr>
                              <w:pStyle w:val="TableParagraph"/>
                              <w:spacing w:before="99"/>
                              <w:ind w:right="108"/>
                              <w:jc w:val="right"/>
                              <w:rPr>
                                <w:sz w:val="16"/>
                              </w:rPr>
                            </w:pPr>
                            <w:r>
                              <w:rPr>
                                <w:spacing w:val="-2"/>
                                <w:sz w:val="16"/>
                              </w:rPr>
                              <w:t>2.651,08</w:t>
                            </w:r>
                          </w:p>
                        </w:tc>
                        <w:tc>
                          <w:tcPr>
                            <w:tcW w:w="1043" w:type="dxa"/>
                            <w:tcBorders>
                              <w:top w:val="single" w:sz="4" w:space="0" w:color="001F5F"/>
                              <w:bottom w:val="single" w:sz="4" w:space="0" w:color="001F5F"/>
                            </w:tcBorders>
                          </w:tcPr>
                          <w:p>
                            <w:pPr>
                              <w:pStyle w:val="TableParagraph"/>
                              <w:spacing w:before="99"/>
                              <w:ind w:right="160"/>
                              <w:jc w:val="right"/>
                              <w:rPr>
                                <w:sz w:val="16"/>
                              </w:rPr>
                            </w:pPr>
                            <w:r>
                              <w:rPr>
                                <w:spacing w:val="-2"/>
                                <w:sz w:val="16"/>
                              </w:rPr>
                              <w:t>23.859,70</w:t>
                            </w:r>
                          </w:p>
                        </w:tc>
                        <w:tc>
                          <w:tcPr>
                            <w:tcW w:w="459" w:type="dxa"/>
                            <w:tcBorders>
                              <w:top w:val="single" w:sz="4" w:space="0" w:color="001F5F"/>
                              <w:bottom w:val="single" w:sz="4"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99"/>
                              <w:ind w:left="1" w:right="1"/>
                              <w:jc w:val="center"/>
                              <w:rPr>
                                <w:sz w:val="16"/>
                              </w:rPr>
                            </w:pPr>
                            <w:r>
                              <w:rPr>
                                <w:spacing w:val="-2"/>
                                <w:sz w:val="16"/>
                              </w:rPr>
                              <w:t>Finalizada</w:t>
                            </w:r>
                          </w:p>
                        </w:tc>
                      </w:tr>
                      <w:tr>
                        <w:trPr>
                          <w:trHeight w:val="376" w:hRule="atLeast"/>
                        </w:trPr>
                        <w:tc>
                          <w:tcPr>
                            <w:tcW w:w="994" w:type="dxa"/>
                          </w:tcPr>
                          <w:p>
                            <w:pPr>
                              <w:pStyle w:val="TableParagraph"/>
                              <w:spacing w:line="175" w:lineRule="exact"/>
                              <w:ind w:left="70"/>
                              <w:rPr>
                                <w:b/>
                                <w:sz w:val="16"/>
                              </w:rPr>
                            </w:pPr>
                            <w:r>
                              <w:rPr>
                                <w:b/>
                                <w:spacing w:val="-2"/>
                                <w:sz w:val="16"/>
                              </w:rPr>
                              <w:t>MÁLAGA</w:t>
                            </w:r>
                          </w:p>
                        </w:tc>
                        <w:tc>
                          <w:tcPr>
                            <w:tcW w:w="3198" w:type="dxa"/>
                            <w:tcBorders>
                              <w:top w:val="single" w:sz="4" w:space="0" w:color="000000"/>
                              <w:bottom w:val="single" w:sz="4" w:space="0" w:color="000000"/>
                            </w:tcBorders>
                          </w:tcPr>
                          <w:p>
                            <w:pPr>
                              <w:pStyle w:val="TableParagraph"/>
                              <w:tabs>
                                <w:tab w:pos="2973" w:val="right" w:leader="none"/>
                              </w:tabs>
                              <w:spacing w:before="8"/>
                              <w:ind w:right="83"/>
                              <w:jc w:val="center"/>
                              <w:rPr>
                                <w:position w:val="-8"/>
                                <w:sz w:val="16"/>
                              </w:rPr>
                            </w:pPr>
                            <w:r>
                              <w:rPr>
                                <w:spacing w:val="-2"/>
                                <w:sz w:val="16"/>
                              </w:rPr>
                              <w:t>Sistema</w:t>
                            </w:r>
                            <w:r>
                              <w:rPr>
                                <w:spacing w:val="13"/>
                                <w:sz w:val="16"/>
                              </w:rPr>
                              <w:t> </w:t>
                            </w:r>
                            <w:r>
                              <w:rPr>
                                <w:spacing w:val="-2"/>
                                <w:sz w:val="16"/>
                              </w:rPr>
                              <w:t>antiemparejamiento</w:t>
                            </w:r>
                            <w:r>
                              <w:rPr>
                                <w:spacing w:val="16"/>
                                <w:sz w:val="16"/>
                              </w:rPr>
                              <w:t> </w:t>
                            </w:r>
                            <w:r>
                              <w:rPr>
                                <w:spacing w:val="-5"/>
                                <w:sz w:val="16"/>
                              </w:rPr>
                              <w:t>de</w:t>
                            </w:r>
                            <w:r>
                              <w:rPr>
                                <w:rFonts w:ascii="Times New Roman"/>
                                <w:sz w:val="16"/>
                              </w:rPr>
                              <w:tab/>
                            </w:r>
                            <w:r>
                              <w:rPr>
                                <w:spacing w:val="-10"/>
                                <w:position w:val="-8"/>
                                <w:sz w:val="16"/>
                              </w:rPr>
                              <w:t>1</w:t>
                            </w:r>
                          </w:p>
                        </w:tc>
                        <w:tc>
                          <w:tcPr>
                            <w:tcW w:w="1066" w:type="dxa"/>
                            <w:tcBorders>
                              <w:top w:val="single" w:sz="4" w:space="0" w:color="001F5F"/>
                              <w:bottom w:val="single" w:sz="4" w:space="0" w:color="001F5F"/>
                            </w:tcBorders>
                          </w:tcPr>
                          <w:p>
                            <w:pPr>
                              <w:pStyle w:val="TableParagraph"/>
                              <w:spacing w:before="102"/>
                              <w:ind w:right="141"/>
                              <w:jc w:val="right"/>
                              <w:rPr>
                                <w:sz w:val="16"/>
                              </w:rPr>
                            </w:pPr>
                            <w:r>
                              <w:rPr>
                                <w:spacing w:val="-2"/>
                                <w:sz w:val="16"/>
                              </w:rPr>
                              <w:t>40.000,00</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4.000,00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36.000,00</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378" w:hRule="atLeast"/>
                        </w:trPr>
                        <w:tc>
                          <w:tcPr>
                            <w:tcW w:w="994" w:type="dxa"/>
                          </w:tcPr>
                          <w:p>
                            <w:pPr>
                              <w:pStyle w:val="TableParagraph"/>
                              <w:rPr>
                                <w:rFonts w:ascii="Times New Roman"/>
                                <w:sz w:val="16"/>
                              </w:rPr>
                            </w:pPr>
                          </w:p>
                        </w:tc>
                        <w:tc>
                          <w:tcPr>
                            <w:tcW w:w="3198" w:type="dxa"/>
                            <w:tcBorders>
                              <w:top w:val="single" w:sz="4" w:space="0" w:color="000000"/>
                              <w:bottom w:val="single" w:sz="4" w:space="0" w:color="000000"/>
                            </w:tcBorders>
                          </w:tcPr>
                          <w:p>
                            <w:pPr>
                              <w:pStyle w:val="TableParagraph"/>
                              <w:tabs>
                                <w:tab w:pos="2973" w:val="right" w:leader="none"/>
                              </w:tabs>
                              <w:spacing w:before="10"/>
                              <w:ind w:right="83"/>
                              <w:jc w:val="center"/>
                              <w:rPr>
                                <w:position w:val="-8"/>
                                <w:sz w:val="16"/>
                              </w:rPr>
                            </w:pPr>
                            <w:r>
                              <w:rPr>
                                <w:sz w:val="16"/>
                              </w:rPr>
                              <w:t>Sistemas</w:t>
                            </w:r>
                            <w:r>
                              <w:rPr>
                                <w:spacing w:val="-8"/>
                                <w:sz w:val="16"/>
                              </w:rPr>
                              <w:t> </w:t>
                            </w:r>
                            <w:r>
                              <w:rPr>
                                <w:sz w:val="16"/>
                              </w:rPr>
                              <w:t>sensorización</w:t>
                            </w:r>
                            <w:r>
                              <w:rPr>
                                <w:spacing w:val="-7"/>
                                <w:sz w:val="16"/>
                              </w:rPr>
                              <w:t> </w:t>
                            </w:r>
                            <w:r>
                              <w:rPr>
                                <w:sz w:val="16"/>
                              </w:rPr>
                              <w:t>y</w:t>
                            </w:r>
                            <w:r>
                              <w:rPr>
                                <w:spacing w:val="-7"/>
                                <w:sz w:val="16"/>
                              </w:rPr>
                              <w:t> </w:t>
                            </w:r>
                            <w:r>
                              <w:rPr>
                                <w:spacing w:val="-2"/>
                                <w:sz w:val="16"/>
                              </w:rPr>
                              <w:t>monitorización</w:t>
                            </w:r>
                            <w:r>
                              <w:rPr>
                                <w:rFonts w:ascii="Times New Roman" w:hAnsi="Times New Roman"/>
                                <w:sz w:val="16"/>
                              </w:rPr>
                              <w:tab/>
                            </w:r>
                            <w:r>
                              <w:rPr>
                                <w:spacing w:val="-10"/>
                                <w:position w:val="-8"/>
                                <w:sz w:val="16"/>
                              </w:rPr>
                              <w:t>5</w:t>
                            </w:r>
                          </w:p>
                        </w:tc>
                        <w:tc>
                          <w:tcPr>
                            <w:tcW w:w="1066" w:type="dxa"/>
                            <w:tcBorders>
                              <w:top w:val="single" w:sz="4" w:space="0" w:color="001F5F"/>
                              <w:bottom w:val="single" w:sz="4" w:space="0" w:color="001F5F"/>
                            </w:tcBorders>
                          </w:tcPr>
                          <w:p>
                            <w:pPr>
                              <w:pStyle w:val="TableParagraph"/>
                              <w:spacing w:before="102"/>
                              <w:ind w:right="142"/>
                              <w:jc w:val="right"/>
                              <w:rPr>
                                <w:sz w:val="16"/>
                              </w:rPr>
                            </w:pPr>
                            <w:r>
                              <w:rPr>
                                <w:spacing w:val="-2"/>
                                <w:sz w:val="16"/>
                              </w:rPr>
                              <w:t>409.667,98</w:t>
                            </w:r>
                          </w:p>
                        </w:tc>
                        <w:tc>
                          <w:tcPr>
                            <w:tcW w:w="1023" w:type="dxa"/>
                            <w:tcBorders>
                              <w:top w:val="single" w:sz="4" w:space="0" w:color="001F5F"/>
                              <w:bottom w:val="single" w:sz="4" w:space="0" w:color="001F5F"/>
                            </w:tcBorders>
                          </w:tcPr>
                          <w:p>
                            <w:pPr>
                              <w:pStyle w:val="TableParagraph"/>
                              <w:spacing w:before="102"/>
                              <w:ind w:right="108"/>
                              <w:jc w:val="right"/>
                              <w:rPr>
                                <w:sz w:val="16"/>
                              </w:rPr>
                            </w:pPr>
                            <w:r>
                              <w:rPr>
                                <w:spacing w:val="-2"/>
                                <w:sz w:val="16"/>
                              </w:rPr>
                              <w:t>40.966,80</w:t>
                            </w:r>
                          </w:p>
                        </w:tc>
                        <w:tc>
                          <w:tcPr>
                            <w:tcW w:w="1043" w:type="dxa"/>
                            <w:tcBorders>
                              <w:top w:val="single" w:sz="4" w:space="0" w:color="001F5F"/>
                              <w:bottom w:val="single" w:sz="4" w:space="0" w:color="001F5F"/>
                            </w:tcBorders>
                          </w:tcPr>
                          <w:p>
                            <w:pPr>
                              <w:pStyle w:val="TableParagraph"/>
                              <w:spacing w:before="102"/>
                              <w:ind w:right="160"/>
                              <w:jc w:val="right"/>
                              <w:rPr>
                                <w:sz w:val="16"/>
                              </w:rPr>
                            </w:pPr>
                            <w:r>
                              <w:rPr>
                                <w:spacing w:val="-2"/>
                                <w:sz w:val="16"/>
                              </w:rPr>
                              <w:t>368.701,18</w:t>
                            </w:r>
                          </w:p>
                        </w:tc>
                        <w:tc>
                          <w:tcPr>
                            <w:tcW w:w="459" w:type="dxa"/>
                            <w:tcBorders>
                              <w:top w:val="single" w:sz="4" w:space="0" w:color="001F5F"/>
                              <w:bottom w:val="single" w:sz="4" w:space="0" w:color="001F5F"/>
                            </w:tcBorders>
                          </w:tcPr>
                          <w:p>
                            <w:pPr>
                              <w:pStyle w:val="TableParagraph"/>
                              <w:spacing w:before="102"/>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02"/>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02"/>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02"/>
                              <w:ind w:left="1" w:right="1"/>
                              <w:jc w:val="center"/>
                              <w:rPr>
                                <w:sz w:val="16"/>
                              </w:rPr>
                            </w:pPr>
                            <w:r>
                              <w:rPr>
                                <w:spacing w:val="-2"/>
                                <w:sz w:val="16"/>
                              </w:rPr>
                              <w:t>Finalizada</w:t>
                            </w:r>
                          </w:p>
                        </w:tc>
                      </w:tr>
                      <w:tr>
                        <w:trPr>
                          <w:trHeight w:val="209" w:hRule="atLeast"/>
                        </w:trPr>
                        <w:tc>
                          <w:tcPr>
                            <w:tcW w:w="994" w:type="dxa"/>
                          </w:tcPr>
                          <w:p>
                            <w:pPr>
                              <w:pStyle w:val="TableParagraph"/>
                              <w:rPr>
                                <w:rFonts w:ascii="Times New Roman"/>
                                <w:sz w:val="14"/>
                              </w:rPr>
                            </w:pPr>
                          </w:p>
                        </w:tc>
                        <w:tc>
                          <w:tcPr>
                            <w:tcW w:w="3198" w:type="dxa"/>
                            <w:tcBorders>
                              <w:top w:val="single" w:sz="4" w:space="0" w:color="000000"/>
                              <w:bottom w:val="single" w:sz="4" w:space="0" w:color="001F5F"/>
                            </w:tcBorders>
                          </w:tcPr>
                          <w:p>
                            <w:pPr>
                              <w:pStyle w:val="TableParagraph"/>
                              <w:tabs>
                                <w:tab w:pos="2974" w:val="right" w:leader="none"/>
                              </w:tabs>
                              <w:spacing w:line="173" w:lineRule="exact" w:before="16"/>
                              <w:ind w:right="82"/>
                              <w:jc w:val="center"/>
                              <w:rPr>
                                <w:sz w:val="16"/>
                              </w:rPr>
                            </w:pPr>
                            <w:r>
                              <w:rPr>
                                <w:sz w:val="16"/>
                              </w:rPr>
                              <w:t>Sistema</w:t>
                            </w:r>
                            <w:r>
                              <w:rPr>
                                <w:spacing w:val="-6"/>
                                <w:sz w:val="16"/>
                              </w:rPr>
                              <w:t> </w:t>
                            </w:r>
                            <w:r>
                              <w:rPr>
                                <w:sz w:val="16"/>
                              </w:rPr>
                              <w:t>digital</w:t>
                            </w:r>
                            <w:r>
                              <w:rPr>
                                <w:spacing w:val="-5"/>
                                <w:sz w:val="16"/>
                              </w:rPr>
                              <w:t> </w:t>
                            </w:r>
                            <w:r>
                              <w:rPr>
                                <w:sz w:val="16"/>
                              </w:rPr>
                              <w:t>de</w:t>
                            </w:r>
                            <w:r>
                              <w:rPr>
                                <w:spacing w:val="-4"/>
                                <w:sz w:val="16"/>
                              </w:rPr>
                              <w:t> </w:t>
                            </w:r>
                            <w:r>
                              <w:rPr>
                                <w:sz w:val="16"/>
                              </w:rPr>
                              <w:t>información</w:t>
                            </w:r>
                            <w:r>
                              <w:rPr>
                                <w:spacing w:val="-4"/>
                                <w:sz w:val="16"/>
                              </w:rPr>
                              <w:t> </w:t>
                            </w:r>
                            <w:r>
                              <w:rPr>
                                <w:sz w:val="16"/>
                              </w:rPr>
                              <w:t>a</w:t>
                            </w:r>
                            <w:r>
                              <w:rPr>
                                <w:spacing w:val="-3"/>
                                <w:sz w:val="16"/>
                              </w:rPr>
                              <w:t> </w:t>
                            </w:r>
                            <w:r>
                              <w:rPr>
                                <w:spacing w:val="-2"/>
                                <w:sz w:val="16"/>
                              </w:rPr>
                              <w:t>usuarios</w:t>
                            </w:r>
                            <w:r>
                              <w:rPr>
                                <w:rFonts w:ascii="Times New Roman" w:hAnsi="Times New Roman"/>
                                <w:sz w:val="16"/>
                              </w:rPr>
                              <w:tab/>
                            </w:r>
                            <w:r>
                              <w:rPr>
                                <w:spacing w:val="-5"/>
                                <w:sz w:val="16"/>
                              </w:rPr>
                              <w:t>11</w:t>
                            </w:r>
                          </w:p>
                        </w:tc>
                        <w:tc>
                          <w:tcPr>
                            <w:tcW w:w="1066" w:type="dxa"/>
                            <w:tcBorders>
                              <w:top w:val="single" w:sz="4" w:space="0" w:color="001F5F"/>
                              <w:bottom w:val="single" w:sz="4" w:space="0" w:color="001F5F"/>
                            </w:tcBorders>
                          </w:tcPr>
                          <w:p>
                            <w:pPr>
                              <w:pStyle w:val="TableParagraph"/>
                              <w:spacing w:line="173" w:lineRule="exact" w:before="16"/>
                              <w:ind w:right="141"/>
                              <w:jc w:val="right"/>
                              <w:rPr>
                                <w:sz w:val="16"/>
                              </w:rPr>
                            </w:pPr>
                            <w:r>
                              <w:rPr>
                                <w:spacing w:val="-2"/>
                                <w:sz w:val="16"/>
                              </w:rPr>
                              <w:t>1.778.388,59</w:t>
                            </w:r>
                          </w:p>
                        </w:tc>
                        <w:tc>
                          <w:tcPr>
                            <w:tcW w:w="1023" w:type="dxa"/>
                            <w:tcBorders>
                              <w:top w:val="single" w:sz="4" w:space="0" w:color="001F5F"/>
                              <w:bottom w:val="single" w:sz="4" w:space="0" w:color="001F5F"/>
                            </w:tcBorders>
                          </w:tcPr>
                          <w:p>
                            <w:pPr>
                              <w:pStyle w:val="TableParagraph"/>
                              <w:spacing w:line="173" w:lineRule="exact" w:before="16"/>
                              <w:ind w:right="108"/>
                              <w:jc w:val="right"/>
                              <w:rPr>
                                <w:sz w:val="16"/>
                              </w:rPr>
                            </w:pPr>
                            <w:r>
                              <w:rPr>
                                <w:spacing w:val="-2"/>
                                <w:sz w:val="16"/>
                              </w:rPr>
                              <w:t>177.838,86</w:t>
                            </w:r>
                          </w:p>
                        </w:tc>
                        <w:tc>
                          <w:tcPr>
                            <w:tcW w:w="1043" w:type="dxa"/>
                            <w:tcBorders>
                              <w:top w:val="single" w:sz="4" w:space="0" w:color="001F5F"/>
                              <w:bottom w:val="single" w:sz="4" w:space="0" w:color="001F5F"/>
                            </w:tcBorders>
                          </w:tcPr>
                          <w:p>
                            <w:pPr>
                              <w:pStyle w:val="TableParagraph"/>
                              <w:spacing w:line="173" w:lineRule="exact" w:before="16"/>
                              <w:ind w:right="160"/>
                              <w:jc w:val="right"/>
                              <w:rPr>
                                <w:sz w:val="16"/>
                              </w:rPr>
                            </w:pPr>
                            <w:r>
                              <w:rPr>
                                <w:spacing w:val="-2"/>
                                <w:sz w:val="16"/>
                              </w:rPr>
                              <w:t>1.600.549,73</w:t>
                            </w:r>
                          </w:p>
                        </w:tc>
                        <w:tc>
                          <w:tcPr>
                            <w:tcW w:w="459" w:type="dxa"/>
                            <w:tcBorders>
                              <w:top w:val="single" w:sz="4" w:space="0" w:color="001F5F"/>
                              <w:bottom w:val="single" w:sz="4" w:space="0" w:color="001F5F"/>
                            </w:tcBorders>
                          </w:tcPr>
                          <w:p>
                            <w:pPr>
                              <w:pStyle w:val="TableParagraph"/>
                              <w:spacing w:line="173" w:lineRule="exact" w:before="16"/>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3" w:lineRule="exact" w:before="16"/>
                              <w:ind w:left="13" w:right="9"/>
                              <w:jc w:val="center"/>
                              <w:rPr>
                                <w:sz w:val="16"/>
                              </w:rPr>
                            </w:pPr>
                            <w:r>
                              <w:rPr>
                                <w:color w:val="891538"/>
                                <w:spacing w:val="-5"/>
                                <w:sz w:val="16"/>
                              </w:rPr>
                              <w:t>SI</w:t>
                            </w:r>
                          </w:p>
                        </w:tc>
                        <w:tc>
                          <w:tcPr>
                            <w:tcW w:w="390" w:type="dxa"/>
                            <w:tcBorders>
                              <w:top w:val="single" w:sz="4" w:space="0" w:color="001F5F"/>
                              <w:bottom w:val="single" w:sz="4" w:space="0" w:color="001F5F"/>
                            </w:tcBorders>
                          </w:tcPr>
                          <w:p>
                            <w:pPr>
                              <w:pStyle w:val="TableParagraph"/>
                              <w:spacing w:line="173" w:lineRule="exact" w:before="16"/>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line="173" w:lineRule="exact" w:before="16"/>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line="173" w:lineRule="exact" w:before="16"/>
                              <w:ind w:left="1" w:right="1"/>
                              <w:jc w:val="center"/>
                              <w:rPr>
                                <w:sz w:val="16"/>
                              </w:rPr>
                            </w:pPr>
                            <w:r>
                              <w:rPr>
                                <w:spacing w:val="-2"/>
                                <w:sz w:val="16"/>
                              </w:rPr>
                              <w:t>Finalizada</w:t>
                            </w:r>
                          </w:p>
                        </w:tc>
                      </w:tr>
                      <w:tr>
                        <w:trPr>
                          <w:trHeight w:val="376" w:hRule="atLeast"/>
                        </w:trPr>
                        <w:tc>
                          <w:tcPr>
                            <w:tcW w:w="994" w:type="dxa"/>
                            <w:tcBorders>
                              <w:bottom w:val="single" w:sz="8" w:space="0" w:color="001F5F"/>
                            </w:tcBorders>
                          </w:tcPr>
                          <w:p>
                            <w:pPr>
                              <w:pStyle w:val="TableParagraph"/>
                              <w:rPr>
                                <w:rFonts w:ascii="Times New Roman"/>
                                <w:sz w:val="16"/>
                              </w:rPr>
                            </w:pPr>
                          </w:p>
                        </w:tc>
                        <w:tc>
                          <w:tcPr>
                            <w:tcW w:w="3198" w:type="dxa"/>
                            <w:tcBorders>
                              <w:top w:val="single" w:sz="4" w:space="0" w:color="001F5F"/>
                              <w:bottom w:val="single" w:sz="8" w:space="0" w:color="001F5F"/>
                            </w:tcBorders>
                          </w:tcPr>
                          <w:p>
                            <w:pPr>
                              <w:pStyle w:val="TableParagraph"/>
                              <w:tabs>
                                <w:tab w:pos="2973" w:val="right" w:leader="none"/>
                              </w:tabs>
                              <w:spacing w:before="8"/>
                              <w:ind w:right="83"/>
                              <w:jc w:val="center"/>
                              <w:rPr>
                                <w:position w:val="-8"/>
                                <w:sz w:val="16"/>
                              </w:rPr>
                            </w:pPr>
                            <w:r>
                              <w:rPr>
                                <w:sz w:val="16"/>
                              </w:rPr>
                              <w:t>Sistema</w:t>
                            </w:r>
                            <w:r>
                              <w:rPr>
                                <w:spacing w:val="-6"/>
                                <w:sz w:val="16"/>
                              </w:rPr>
                              <w:t> </w:t>
                            </w:r>
                            <w:r>
                              <w:rPr>
                                <w:sz w:val="16"/>
                              </w:rPr>
                              <w:t>de</w:t>
                            </w:r>
                            <w:r>
                              <w:rPr>
                                <w:spacing w:val="-4"/>
                                <w:sz w:val="16"/>
                              </w:rPr>
                              <w:t> </w:t>
                            </w:r>
                            <w:r>
                              <w:rPr>
                                <w:sz w:val="16"/>
                              </w:rPr>
                              <w:t>información</w:t>
                            </w:r>
                            <w:r>
                              <w:rPr>
                                <w:spacing w:val="-4"/>
                                <w:sz w:val="16"/>
                              </w:rPr>
                              <w:t> </w:t>
                            </w:r>
                            <w:r>
                              <w:rPr>
                                <w:sz w:val="16"/>
                              </w:rPr>
                              <w:t>en</w:t>
                            </w:r>
                            <w:r>
                              <w:rPr>
                                <w:spacing w:val="-4"/>
                                <w:sz w:val="16"/>
                              </w:rPr>
                              <w:t> </w:t>
                            </w:r>
                            <w:r>
                              <w:rPr>
                                <w:sz w:val="16"/>
                              </w:rPr>
                              <w:t>app</w:t>
                            </w:r>
                            <w:r>
                              <w:rPr>
                                <w:spacing w:val="-5"/>
                                <w:sz w:val="16"/>
                              </w:rPr>
                              <w:t> </w:t>
                            </w:r>
                            <w:r>
                              <w:rPr>
                                <w:spacing w:val="-4"/>
                                <w:sz w:val="16"/>
                              </w:rPr>
                              <w:t>para</w:t>
                            </w:r>
                            <w:r>
                              <w:rPr>
                                <w:rFonts w:ascii="Times New Roman" w:hAnsi="Times New Roman"/>
                                <w:sz w:val="16"/>
                              </w:rPr>
                              <w:tab/>
                            </w:r>
                            <w:r>
                              <w:rPr>
                                <w:spacing w:val="-10"/>
                                <w:position w:val="-8"/>
                                <w:sz w:val="16"/>
                              </w:rPr>
                              <w:t>4</w:t>
                            </w:r>
                          </w:p>
                        </w:tc>
                        <w:tc>
                          <w:tcPr>
                            <w:tcW w:w="1066" w:type="dxa"/>
                            <w:tcBorders>
                              <w:top w:val="single" w:sz="4" w:space="0" w:color="001F5F"/>
                              <w:bottom w:val="single" w:sz="8" w:space="0" w:color="001F5F"/>
                            </w:tcBorders>
                          </w:tcPr>
                          <w:p>
                            <w:pPr>
                              <w:pStyle w:val="TableParagraph"/>
                              <w:spacing w:before="99"/>
                              <w:ind w:right="141"/>
                              <w:jc w:val="right"/>
                              <w:rPr>
                                <w:sz w:val="16"/>
                              </w:rPr>
                            </w:pPr>
                            <w:r>
                              <w:rPr>
                                <w:spacing w:val="-2"/>
                                <w:sz w:val="16"/>
                              </w:rPr>
                              <w:t>57.655,00</w:t>
                            </w:r>
                          </w:p>
                        </w:tc>
                        <w:tc>
                          <w:tcPr>
                            <w:tcW w:w="1023" w:type="dxa"/>
                            <w:tcBorders>
                              <w:top w:val="single" w:sz="4" w:space="0" w:color="001F5F"/>
                              <w:bottom w:val="single" w:sz="8" w:space="0" w:color="001F5F"/>
                            </w:tcBorders>
                          </w:tcPr>
                          <w:p>
                            <w:pPr>
                              <w:pStyle w:val="TableParagraph"/>
                              <w:spacing w:before="99"/>
                              <w:ind w:right="108"/>
                              <w:jc w:val="right"/>
                              <w:rPr>
                                <w:sz w:val="16"/>
                              </w:rPr>
                            </w:pPr>
                            <w:r>
                              <w:rPr>
                                <w:spacing w:val="-2"/>
                                <w:sz w:val="16"/>
                              </w:rPr>
                              <w:t>5.765,50</w:t>
                            </w:r>
                          </w:p>
                        </w:tc>
                        <w:tc>
                          <w:tcPr>
                            <w:tcW w:w="1043" w:type="dxa"/>
                            <w:tcBorders>
                              <w:top w:val="single" w:sz="4" w:space="0" w:color="001F5F"/>
                              <w:bottom w:val="single" w:sz="8" w:space="0" w:color="001F5F"/>
                            </w:tcBorders>
                          </w:tcPr>
                          <w:p>
                            <w:pPr>
                              <w:pStyle w:val="TableParagraph"/>
                              <w:spacing w:before="99"/>
                              <w:ind w:right="160"/>
                              <w:jc w:val="right"/>
                              <w:rPr>
                                <w:sz w:val="16"/>
                              </w:rPr>
                            </w:pPr>
                            <w:r>
                              <w:rPr>
                                <w:spacing w:val="-2"/>
                                <w:sz w:val="16"/>
                              </w:rPr>
                              <w:t>51.889,50</w:t>
                            </w:r>
                          </w:p>
                        </w:tc>
                        <w:tc>
                          <w:tcPr>
                            <w:tcW w:w="459" w:type="dxa"/>
                            <w:tcBorders>
                              <w:top w:val="single" w:sz="4" w:space="0" w:color="001F5F"/>
                              <w:bottom w:val="single" w:sz="8" w:space="0" w:color="001F5F"/>
                            </w:tcBorders>
                          </w:tcPr>
                          <w:p>
                            <w:pPr>
                              <w:pStyle w:val="TableParagraph"/>
                              <w:spacing w:before="99"/>
                              <w:ind w:left="72"/>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99"/>
                              <w:ind w:left="13" w:right="9"/>
                              <w:jc w:val="center"/>
                              <w:rPr>
                                <w:sz w:val="16"/>
                              </w:rPr>
                            </w:pPr>
                            <w:r>
                              <w:rPr>
                                <w:color w:val="891538"/>
                                <w:spacing w:val="-5"/>
                                <w:sz w:val="16"/>
                              </w:rPr>
                              <w:t>SI</w:t>
                            </w:r>
                          </w:p>
                        </w:tc>
                        <w:tc>
                          <w:tcPr>
                            <w:tcW w:w="390" w:type="dxa"/>
                            <w:tcBorders>
                              <w:top w:val="single" w:sz="4" w:space="0" w:color="001F5F"/>
                              <w:bottom w:val="single" w:sz="8" w:space="0" w:color="001F5F"/>
                            </w:tcBorders>
                          </w:tcPr>
                          <w:p>
                            <w:pPr>
                              <w:pStyle w:val="TableParagraph"/>
                              <w:spacing w:before="99"/>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99"/>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99"/>
                              <w:ind w:left="1" w:right="1"/>
                              <w:jc w:val="center"/>
                              <w:rPr>
                                <w:sz w:val="16"/>
                              </w:rPr>
                            </w:pPr>
                            <w:r>
                              <w:rPr>
                                <w:spacing w:val="-2"/>
                                <w:sz w:val="16"/>
                              </w:rPr>
                              <w:t>Finalizada</w:t>
                            </w:r>
                          </w:p>
                        </w:tc>
                      </w:tr>
                      <w:tr>
                        <w:trPr>
                          <w:trHeight w:val="366" w:hRule="atLeast"/>
                        </w:trPr>
                        <w:tc>
                          <w:tcPr>
                            <w:tcW w:w="994" w:type="dxa"/>
                            <w:tcBorders>
                              <w:top w:val="single" w:sz="8" w:space="0" w:color="001F5F"/>
                            </w:tcBorders>
                          </w:tcPr>
                          <w:p>
                            <w:pPr>
                              <w:pStyle w:val="TableParagraph"/>
                              <w:rPr>
                                <w:rFonts w:ascii="Times New Roman"/>
                                <w:sz w:val="16"/>
                              </w:rPr>
                            </w:pPr>
                          </w:p>
                        </w:tc>
                        <w:tc>
                          <w:tcPr>
                            <w:tcW w:w="3198" w:type="dxa"/>
                            <w:tcBorders>
                              <w:top w:val="single" w:sz="8" w:space="0" w:color="001F5F"/>
                              <w:bottom w:val="single" w:sz="4" w:space="0" w:color="002D5D"/>
                            </w:tcBorders>
                          </w:tcPr>
                          <w:p>
                            <w:pPr>
                              <w:pStyle w:val="TableParagraph"/>
                              <w:tabs>
                                <w:tab w:pos="2973" w:val="right" w:leader="none"/>
                              </w:tabs>
                              <w:spacing w:line="235" w:lineRule="auto"/>
                              <w:ind w:right="83"/>
                              <w:jc w:val="center"/>
                              <w:rPr>
                                <w:position w:val="-8"/>
                                <w:sz w:val="16"/>
                              </w:rPr>
                            </w:pPr>
                            <w:r>
                              <w:rPr>
                                <w:sz w:val="16"/>
                              </w:rPr>
                              <w:t>Asistencia</w:t>
                            </w:r>
                            <w:r>
                              <w:rPr>
                                <w:spacing w:val="-7"/>
                                <w:sz w:val="16"/>
                              </w:rPr>
                              <w:t> </w:t>
                            </w:r>
                            <w:r>
                              <w:rPr>
                                <w:sz w:val="16"/>
                              </w:rPr>
                              <w:t>técnica</w:t>
                            </w:r>
                            <w:r>
                              <w:rPr>
                                <w:spacing w:val="-9"/>
                                <w:sz w:val="16"/>
                              </w:rPr>
                              <w:t> </w:t>
                            </w:r>
                            <w:r>
                              <w:rPr>
                                <w:sz w:val="16"/>
                              </w:rPr>
                              <w:t>Proyecto</w:t>
                            </w:r>
                            <w:r>
                              <w:rPr>
                                <w:spacing w:val="-6"/>
                                <w:sz w:val="16"/>
                              </w:rPr>
                              <w:t> </w:t>
                            </w:r>
                            <w:r>
                              <w:rPr>
                                <w:spacing w:val="-2"/>
                                <w:sz w:val="16"/>
                              </w:rPr>
                              <w:t>servicio</w:t>
                            </w:r>
                            <w:r>
                              <w:rPr>
                                <w:rFonts w:ascii="Times New Roman" w:hAnsi="Times New Roman"/>
                                <w:sz w:val="16"/>
                              </w:rPr>
                              <w:tab/>
                            </w:r>
                            <w:r>
                              <w:rPr>
                                <w:spacing w:val="-10"/>
                                <w:position w:val="-8"/>
                                <w:sz w:val="16"/>
                              </w:rPr>
                              <w:t>1</w:t>
                            </w:r>
                          </w:p>
                        </w:tc>
                        <w:tc>
                          <w:tcPr>
                            <w:tcW w:w="1066" w:type="dxa"/>
                            <w:tcBorders>
                              <w:top w:val="single" w:sz="8" w:space="0" w:color="001F5F"/>
                              <w:bottom w:val="single" w:sz="4" w:space="0" w:color="001F5F"/>
                            </w:tcBorders>
                          </w:tcPr>
                          <w:p>
                            <w:pPr>
                              <w:pStyle w:val="TableParagraph"/>
                              <w:spacing w:before="89"/>
                              <w:ind w:right="141"/>
                              <w:jc w:val="right"/>
                              <w:rPr>
                                <w:sz w:val="16"/>
                              </w:rPr>
                            </w:pPr>
                            <w:r>
                              <w:rPr>
                                <w:spacing w:val="-2"/>
                                <w:sz w:val="16"/>
                              </w:rPr>
                              <w:t>33.250,00</w:t>
                            </w:r>
                          </w:p>
                        </w:tc>
                        <w:tc>
                          <w:tcPr>
                            <w:tcW w:w="1023" w:type="dxa"/>
                            <w:tcBorders>
                              <w:top w:val="single" w:sz="8" w:space="0" w:color="001F5F"/>
                              <w:bottom w:val="single" w:sz="4" w:space="0" w:color="001F5F"/>
                            </w:tcBorders>
                          </w:tcPr>
                          <w:p>
                            <w:pPr>
                              <w:pStyle w:val="TableParagraph"/>
                              <w:spacing w:before="89"/>
                              <w:ind w:right="108"/>
                              <w:jc w:val="right"/>
                              <w:rPr>
                                <w:sz w:val="16"/>
                              </w:rPr>
                            </w:pPr>
                            <w:r>
                              <w:rPr>
                                <w:spacing w:val="-2"/>
                                <w:sz w:val="16"/>
                              </w:rPr>
                              <w:t>33.250,00</w:t>
                            </w:r>
                          </w:p>
                        </w:tc>
                        <w:tc>
                          <w:tcPr>
                            <w:tcW w:w="1043" w:type="dxa"/>
                            <w:tcBorders>
                              <w:top w:val="single" w:sz="8" w:space="0" w:color="001F5F"/>
                              <w:bottom w:val="single" w:sz="4" w:space="0" w:color="001F5F"/>
                            </w:tcBorders>
                          </w:tcPr>
                          <w:p>
                            <w:pPr>
                              <w:pStyle w:val="TableParagraph"/>
                              <w:spacing w:before="89"/>
                              <w:ind w:right="159"/>
                              <w:jc w:val="right"/>
                              <w:rPr>
                                <w:sz w:val="16"/>
                              </w:rPr>
                            </w:pPr>
                            <w:r>
                              <w:rPr>
                                <w:spacing w:val="-4"/>
                                <w:sz w:val="16"/>
                              </w:rPr>
                              <w:t>0,00</w:t>
                            </w:r>
                          </w:p>
                        </w:tc>
                        <w:tc>
                          <w:tcPr>
                            <w:tcW w:w="459" w:type="dxa"/>
                            <w:tcBorders>
                              <w:top w:val="single" w:sz="8" w:space="0" w:color="001F5F"/>
                              <w:bottom w:val="single" w:sz="4" w:space="0" w:color="001F5F"/>
                            </w:tcBorders>
                          </w:tcPr>
                          <w:p>
                            <w:pPr>
                              <w:pStyle w:val="TableParagraph"/>
                              <w:spacing w:before="89"/>
                              <w:ind w:left="72"/>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before="89"/>
                              <w:ind w:left="13" w:righ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before="89"/>
                              <w:ind w:left="13" w:right="10"/>
                              <w:jc w:val="center"/>
                              <w:rPr>
                                <w:sz w:val="16"/>
                              </w:rPr>
                            </w:pPr>
                            <w:r>
                              <w:rPr>
                                <w:color w:val="5E89B4"/>
                                <w:spacing w:val="-5"/>
                                <w:sz w:val="16"/>
                              </w:rPr>
                              <w:t>NO</w:t>
                            </w:r>
                          </w:p>
                        </w:tc>
                        <w:tc>
                          <w:tcPr>
                            <w:tcW w:w="395" w:type="dxa"/>
                            <w:tcBorders>
                              <w:top w:val="single" w:sz="8" w:space="0" w:color="001F5F"/>
                              <w:bottom w:val="single" w:sz="4" w:space="0" w:color="001F5F"/>
                            </w:tcBorders>
                          </w:tcPr>
                          <w:p>
                            <w:pPr>
                              <w:pStyle w:val="TableParagraph"/>
                              <w:spacing w:before="89"/>
                              <w:jc w:val="center"/>
                              <w:rPr>
                                <w:sz w:val="16"/>
                              </w:rPr>
                            </w:pPr>
                            <w:r>
                              <w:rPr>
                                <w:color w:val="5E89B4"/>
                                <w:spacing w:val="-5"/>
                                <w:sz w:val="16"/>
                              </w:rPr>
                              <w:t>NO</w:t>
                            </w:r>
                          </w:p>
                        </w:tc>
                        <w:tc>
                          <w:tcPr>
                            <w:tcW w:w="957" w:type="dxa"/>
                            <w:tcBorders>
                              <w:top w:val="single" w:sz="8" w:space="0" w:color="001F5F"/>
                              <w:bottom w:val="single" w:sz="4" w:space="0" w:color="001F5F"/>
                            </w:tcBorders>
                          </w:tcPr>
                          <w:p>
                            <w:pPr>
                              <w:pStyle w:val="TableParagraph"/>
                              <w:spacing w:before="89"/>
                              <w:ind w:left="1" w:right="1"/>
                              <w:jc w:val="center"/>
                              <w:rPr>
                                <w:sz w:val="16"/>
                              </w:rPr>
                            </w:pPr>
                            <w:r>
                              <w:rPr>
                                <w:spacing w:val="-2"/>
                                <w:sz w:val="16"/>
                              </w:rPr>
                              <w:t>Finalizada</w:t>
                            </w:r>
                          </w:p>
                        </w:tc>
                      </w:tr>
                      <w:tr>
                        <w:trPr>
                          <w:trHeight w:val="388" w:hRule="atLeast"/>
                        </w:trPr>
                        <w:tc>
                          <w:tcPr>
                            <w:tcW w:w="994" w:type="dxa"/>
                          </w:tcPr>
                          <w:p>
                            <w:pPr>
                              <w:pStyle w:val="TableParagraph"/>
                              <w:spacing w:before="111"/>
                              <w:ind w:left="70"/>
                              <w:rPr>
                                <w:b/>
                                <w:sz w:val="16"/>
                              </w:rPr>
                            </w:pPr>
                            <w:r>
                              <w:rPr>
                                <w:b/>
                                <w:spacing w:val="-2"/>
                                <w:sz w:val="16"/>
                              </w:rPr>
                              <w:t>MURCIA</w:t>
                            </w:r>
                          </w:p>
                        </w:tc>
                        <w:tc>
                          <w:tcPr>
                            <w:tcW w:w="3198" w:type="dxa"/>
                            <w:tcBorders>
                              <w:top w:val="single" w:sz="4" w:space="0" w:color="002D5D"/>
                              <w:bottom w:val="single" w:sz="4" w:space="0" w:color="002D5D"/>
                            </w:tcBorders>
                          </w:tcPr>
                          <w:p>
                            <w:pPr>
                              <w:pStyle w:val="TableParagraph"/>
                              <w:tabs>
                                <w:tab w:pos="2973" w:val="right" w:leader="none"/>
                              </w:tabs>
                              <w:spacing w:before="20"/>
                              <w:ind w:right="83"/>
                              <w:jc w:val="center"/>
                              <w:rPr>
                                <w:position w:val="-8"/>
                                <w:sz w:val="16"/>
                              </w:rPr>
                            </w:pPr>
                            <w:r>
                              <w:rPr>
                                <w:sz w:val="16"/>
                              </w:rPr>
                              <w:t>Sistema</w:t>
                            </w:r>
                            <w:r>
                              <w:rPr>
                                <w:spacing w:val="-4"/>
                                <w:sz w:val="16"/>
                              </w:rPr>
                              <w:t> </w:t>
                            </w:r>
                            <w:r>
                              <w:rPr>
                                <w:sz w:val="16"/>
                              </w:rPr>
                              <w:t>central</w:t>
                            </w:r>
                            <w:r>
                              <w:rPr>
                                <w:spacing w:val="-7"/>
                                <w:sz w:val="16"/>
                              </w:rPr>
                              <w:t> </w:t>
                            </w:r>
                            <w:r>
                              <w:rPr>
                                <w:sz w:val="16"/>
                              </w:rPr>
                              <w:t>de</w:t>
                            </w:r>
                            <w:r>
                              <w:rPr>
                                <w:spacing w:val="-5"/>
                                <w:sz w:val="16"/>
                              </w:rPr>
                              <w:t> </w:t>
                            </w:r>
                            <w:r>
                              <w:rPr>
                                <w:sz w:val="16"/>
                              </w:rPr>
                              <w:t>gestión</w:t>
                            </w:r>
                            <w:r>
                              <w:rPr>
                                <w:spacing w:val="-3"/>
                                <w:sz w:val="16"/>
                              </w:rPr>
                              <w:t> </w:t>
                            </w:r>
                            <w:r>
                              <w:rPr>
                                <w:sz w:val="16"/>
                              </w:rPr>
                              <w:t>ITS</w:t>
                            </w:r>
                            <w:r>
                              <w:rPr>
                                <w:spacing w:val="-3"/>
                                <w:sz w:val="16"/>
                              </w:rPr>
                              <w:t> </w:t>
                            </w:r>
                            <w:r>
                              <w:rPr>
                                <w:spacing w:val="-10"/>
                                <w:sz w:val="16"/>
                              </w:rPr>
                              <w:t>y</w:t>
                            </w:r>
                            <w:r>
                              <w:rPr>
                                <w:rFonts w:ascii="Times New Roman" w:hAnsi="Times New Roman"/>
                                <w:sz w:val="16"/>
                              </w:rPr>
                              <w:tab/>
                            </w:r>
                            <w:r>
                              <w:rPr>
                                <w:spacing w:val="-10"/>
                                <w:position w:val="-8"/>
                                <w:sz w:val="16"/>
                              </w:rPr>
                              <w:t>2</w:t>
                            </w:r>
                          </w:p>
                        </w:tc>
                        <w:tc>
                          <w:tcPr>
                            <w:tcW w:w="1066" w:type="dxa"/>
                            <w:tcBorders>
                              <w:top w:val="single" w:sz="4" w:space="0" w:color="001F5F"/>
                              <w:bottom w:val="single" w:sz="4" w:space="0" w:color="001F5F"/>
                            </w:tcBorders>
                          </w:tcPr>
                          <w:p>
                            <w:pPr>
                              <w:pStyle w:val="TableParagraph"/>
                              <w:spacing w:before="111"/>
                              <w:ind w:right="142"/>
                              <w:jc w:val="right"/>
                              <w:rPr>
                                <w:sz w:val="16"/>
                              </w:rPr>
                            </w:pPr>
                            <w:r>
                              <w:rPr>
                                <w:spacing w:val="-2"/>
                                <w:sz w:val="16"/>
                              </w:rPr>
                              <w:t>5.066.952,09</w:t>
                            </w:r>
                          </w:p>
                        </w:tc>
                        <w:tc>
                          <w:tcPr>
                            <w:tcW w:w="1023" w:type="dxa"/>
                            <w:tcBorders>
                              <w:top w:val="single" w:sz="4" w:space="0" w:color="001F5F"/>
                              <w:bottom w:val="single" w:sz="4" w:space="0" w:color="001F5F"/>
                            </w:tcBorders>
                          </w:tcPr>
                          <w:p>
                            <w:pPr>
                              <w:pStyle w:val="TableParagraph"/>
                              <w:spacing w:before="111"/>
                              <w:ind w:right="108"/>
                              <w:jc w:val="right"/>
                              <w:rPr>
                                <w:sz w:val="16"/>
                              </w:rPr>
                            </w:pPr>
                            <w:r>
                              <w:rPr>
                                <w:spacing w:val="-2"/>
                                <w:sz w:val="16"/>
                              </w:rPr>
                              <w:t>506.695,21</w:t>
                            </w:r>
                          </w:p>
                        </w:tc>
                        <w:tc>
                          <w:tcPr>
                            <w:tcW w:w="1043" w:type="dxa"/>
                            <w:tcBorders>
                              <w:top w:val="single" w:sz="4" w:space="0" w:color="001F5F"/>
                              <w:bottom w:val="single" w:sz="4" w:space="0" w:color="001F5F"/>
                            </w:tcBorders>
                          </w:tcPr>
                          <w:p>
                            <w:pPr>
                              <w:pStyle w:val="TableParagraph"/>
                              <w:spacing w:before="111"/>
                              <w:ind w:right="160"/>
                              <w:jc w:val="right"/>
                              <w:rPr>
                                <w:sz w:val="16"/>
                              </w:rPr>
                            </w:pPr>
                            <w:r>
                              <w:rPr>
                                <w:spacing w:val="-2"/>
                                <w:sz w:val="16"/>
                              </w:rPr>
                              <w:t>4.560.256,88</w:t>
                            </w:r>
                          </w:p>
                        </w:tc>
                        <w:tc>
                          <w:tcPr>
                            <w:tcW w:w="459" w:type="dxa"/>
                            <w:tcBorders>
                              <w:top w:val="single" w:sz="4" w:space="0" w:color="001F5F"/>
                              <w:bottom w:val="single" w:sz="4" w:space="0" w:color="001F5F"/>
                            </w:tcBorders>
                          </w:tcPr>
                          <w:p>
                            <w:pPr>
                              <w:pStyle w:val="TableParagraph"/>
                              <w:spacing w:before="111"/>
                              <w:ind w:left="72"/>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11"/>
                              <w:ind w:left="13" w:righ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11"/>
                              <w:ind w:left="13" w:right="10"/>
                              <w:jc w:val="center"/>
                              <w:rPr>
                                <w:sz w:val="16"/>
                              </w:rPr>
                            </w:pPr>
                            <w:r>
                              <w:rPr>
                                <w:color w:val="5E89B4"/>
                                <w:spacing w:val="-5"/>
                                <w:sz w:val="16"/>
                              </w:rPr>
                              <w:t>NO</w:t>
                            </w:r>
                          </w:p>
                        </w:tc>
                        <w:tc>
                          <w:tcPr>
                            <w:tcW w:w="395" w:type="dxa"/>
                            <w:tcBorders>
                              <w:top w:val="single" w:sz="4" w:space="0" w:color="001F5F"/>
                              <w:bottom w:val="single" w:sz="4" w:space="0" w:color="001F5F"/>
                            </w:tcBorders>
                          </w:tcPr>
                          <w:p>
                            <w:pPr>
                              <w:pStyle w:val="TableParagraph"/>
                              <w:spacing w:before="111"/>
                              <w:jc w:val="center"/>
                              <w:rPr>
                                <w:sz w:val="16"/>
                              </w:rPr>
                            </w:pPr>
                            <w:r>
                              <w:rPr>
                                <w:color w:val="5E89B4"/>
                                <w:spacing w:val="-5"/>
                                <w:sz w:val="16"/>
                              </w:rPr>
                              <w:t>NO</w:t>
                            </w:r>
                          </w:p>
                        </w:tc>
                        <w:tc>
                          <w:tcPr>
                            <w:tcW w:w="957" w:type="dxa"/>
                            <w:tcBorders>
                              <w:top w:val="single" w:sz="4" w:space="0" w:color="001F5F"/>
                              <w:bottom w:val="single" w:sz="4" w:space="0" w:color="001F5F"/>
                            </w:tcBorders>
                          </w:tcPr>
                          <w:p>
                            <w:pPr>
                              <w:pStyle w:val="TableParagraph"/>
                              <w:spacing w:before="111"/>
                              <w:ind w:right="1"/>
                              <w:jc w:val="center"/>
                              <w:rPr>
                                <w:sz w:val="16"/>
                              </w:rPr>
                            </w:pPr>
                            <w:r>
                              <w:rPr>
                                <w:sz w:val="16"/>
                              </w:rPr>
                              <w:t>En</w:t>
                            </w:r>
                            <w:r>
                              <w:rPr>
                                <w:spacing w:val="-2"/>
                                <w:sz w:val="16"/>
                              </w:rPr>
                              <w:t> ejecución</w:t>
                            </w:r>
                          </w:p>
                        </w:tc>
                      </w:tr>
                      <w:tr>
                        <w:trPr>
                          <w:trHeight w:val="385" w:hRule="atLeast"/>
                        </w:trPr>
                        <w:tc>
                          <w:tcPr>
                            <w:tcW w:w="994" w:type="dxa"/>
                            <w:tcBorders>
                              <w:bottom w:val="single" w:sz="8" w:space="0" w:color="001F5F"/>
                            </w:tcBorders>
                          </w:tcPr>
                          <w:p>
                            <w:pPr>
                              <w:pStyle w:val="TableParagraph"/>
                              <w:rPr>
                                <w:rFonts w:ascii="Times New Roman"/>
                                <w:sz w:val="16"/>
                              </w:rPr>
                            </w:pPr>
                          </w:p>
                        </w:tc>
                        <w:tc>
                          <w:tcPr>
                            <w:tcW w:w="3198" w:type="dxa"/>
                            <w:tcBorders>
                              <w:top w:val="single" w:sz="4" w:space="0" w:color="002D5D"/>
                              <w:bottom w:val="single" w:sz="8" w:space="0" w:color="001F5F"/>
                            </w:tcBorders>
                          </w:tcPr>
                          <w:p>
                            <w:pPr>
                              <w:pStyle w:val="TableParagraph"/>
                              <w:tabs>
                                <w:tab w:pos="2973" w:val="right" w:leader="none"/>
                              </w:tabs>
                              <w:spacing w:before="18"/>
                              <w:ind w:right="83"/>
                              <w:jc w:val="center"/>
                              <w:rPr>
                                <w:position w:val="-8"/>
                                <w:sz w:val="16"/>
                              </w:rPr>
                            </w:pPr>
                            <w:r>
                              <w:rPr>
                                <w:sz w:val="16"/>
                              </w:rPr>
                              <w:t>Suministro</w:t>
                            </w:r>
                            <w:r>
                              <w:rPr>
                                <w:spacing w:val="-5"/>
                                <w:sz w:val="16"/>
                              </w:rPr>
                              <w:t> </w:t>
                            </w:r>
                            <w:r>
                              <w:rPr>
                                <w:sz w:val="16"/>
                              </w:rPr>
                              <w:t>e</w:t>
                            </w:r>
                            <w:r>
                              <w:rPr>
                                <w:spacing w:val="-4"/>
                                <w:sz w:val="16"/>
                              </w:rPr>
                              <w:t> </w:t>
                            </w:r>
                            <w:r>
                              <w:rPr>
                                <w:sz w:val="16"/>
                              </w:rPr>
                              <w:t>implantación</w:t>
                            </w:r>
                            <w:r>
                              <w:rPr>
                                <w:spacing w:val="-4"/>
                                <w:sz w:val="16"/>
                              </w:rPr>
                              <w:t> </w:t>
                            </w:r>
                            <w:r>
                              <w:rPr>
                                <w:sz w:val="16"/>
                              </w:rPr>
                              <w:t>de</w:t>
                            </w:r>
                            <w:r>
                              <w:rPr>
                                <w:spacing w:val="-4"/>
                                <w:sz w:val="16"/>
                              </w:rPr>
                              <w:t> </w:t>
                            </w:r>
                            <w:r>
                              <w:rPr>
                                <w:sz w:val="16"/>
                              </w:rPr>
                              <w:t>los</w:t>
                            </w:r>
                            <w:r>
                              <w:rPr>
                                <w:spacing w:val="-5"/>
                                <w:sz w:val="16"/>
                              </w:rPr>
                              <w:t> </w:t>
                            </w:r>
                            <w:r>
                              <w:rPr>
                                <w:spacing w:val="-2"/>
                                <w:sz w:val="16"/>
                              </w:rPr>
                              <w:t>nuevos</w:t>
                            </w:r>
                            <w:r>
                              <w:rPr>
                                <w:rFonts w:ascii="Times New Roman" w:hAnsi="Times New Roman"/>
                                <w:sz w:val="16"/>
                              </w:rPr>
                              <w:tab/>
                            </w:r>
                            <w:r>
                              <w:rPr>
                                <w:spacing w:val="-10"/>
                                <w:position w:val="-8"/>
                                <w:sz w:val="16"/>
                              </w:rPr>
                              <w:t>1</w:t>
                            </w:r>
                          </w:p>
                        </w:tc>
                        <w:tc>
                          <w:tcPr>
                            <w:tcW w:w="1066" w:type="dxa"/>
                            <w:tcBorders>
                              <w:top w:val="single" w:sz="4" w:space="0" w:color="001F5F"/>
                              <w:bottom w:val="single" w:sz="8" w:space="0" w:color="001F5F"/>
                            </w:tcBorders>
                          </w:tcPr>
                          <w:p>
                            <w:pPr>
                              <w:pStyle w:val="TableParagraph"/>
                              <w:spacing w:before="109"/>
                              <w:ind w:right="142"/>
                              <w:jc w:val="right"/>
                              <w:rPr>
                                <w:sz w:val="16"/>
                              </w:rPr>
                            </w:pPr>
                            <w:r>
                              <w:rPr>
                                <w:spacing w:val="-2"/>
                                <w:sz w:val="16"/>
                              </w:rPr>
                              <w:t>167.443,00</w:t>
                            </w:r>
                          </w:p>
                        </w:tc>
                        <w:tc>
                          <w:tcPr>
                            <w:tcW w:w="1023" w:type="dxa"/>
                            <w:tcBorders>
                              <w:top w:val="single" w:sz="4" w:space="0" w:color="001F5F"/>
                              <w:bottom w:val="single" w:sz="8" w:space="0" w:color="001F5F"/>
                            </w:tcBorders>
                          </w:tcPr>
                          <w:p>
                            <w:pPr>
                              <w:pStyle w:val="TableParagraph"/>
                              <w:spacing w:before="109"/>
                              <w:ind w:right="108"/>
                              <w:jc w:val="right"/>
                              <w:rPr>
                                <w:sz w:val="16"/>
                              </w:rPr>
                            </w:pPr>
                            <w:r>
                              <w:rPr>
                                <w:spacing w:val="-2"/>
                                <w:sz w:val="16"/>
                              </w:rPr>
                              <w:t>16.774,30</w:t>
                            </w:r>
                          </w:p>
                        </w:tc>
                        <w:tc>
                          <w:tcPr>
                            <w:tcW w:w="1043" w:type="dxa"/>
                            <w:tcBorders>
                              <w:top w:val="single" w:sz="4" w:space="0" w:color="001F5F"/>
                              <w:bottom w:val="single" w:sz="8" w:space="0" w:color="001F5F"/>
                            </w:tcBorders>
                          </w:tcPr>
                          <w:p>
                            <w:pPr>
                              <w:pStyle w:val="TableParagraph"/>
                              <w:spacing w:before="109"/>
                              <w:ind w:right="160"/>
                              <w:jc w:val="right"/>
                              <w:rPr>
                                <w:sz w:val="16"/>
                              </w:rPr>
                            </w:pPr>
                            <w:r>
                              <w:rPr>
                                <w:spacing w:val="-2"/>
                                <w:sz w:val="16"/>
                              </w:rPr>
                              <w:t>150.698,70</w:t>
                            </w:r>
                          </w:p>
                        </w:tc>
                        <w:tc>
                          <w:tcPr>
                            <w:tcW w:w="459" w:type="dxa"/>
                            <w:tcBorders>
                              <w:top w:val="single" w:sz="4" w:space="0" w:color="001F5F"/>
                              <w:bottom w:val="single" w:sz="8" w:space="0" w:color="001F5F"/>
                            </w:tcBorders>
                          </w:tcPr>
                          <w:p>
                            <w:pPr>
                              <w:pStyle w:val="TableParagraph"/>
                              <w:spacing w:before="109"/>
                              <w:ind w:left="72"/>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9"/>
                              <w:ind w:left="13" w:righ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before="109"/>
                              <w:ind w:left="13" w:right="10"/>
                              <w:jc w:val="center"/>
                              <w:rPr>
                                <w:sz w:val="16"/>
                              </w:rPr>
                            </w:pPr>
                            <w:r>
                              <w:rPr>
                                <w:color w:val="5E89B4"/>
                                <w:spacing w:val="-5"/>
                                <w:sz w:val="16"/>
                              </w:rPr>
                              <w:t>NO</w:t>
                            </w:r>
                          </w:p>
                        </w:tc>
                        <w:tc>
                          <w:tcPr>
                            <w:tcW w:w="395" w:type="dxa"/>
                            <w:tcBorders>
                              <w:top w:val="single" w:sz="4" w:space="0" w:color="001F5F"/>
                              <w:bottom w:val="single" w:sz="8" w:space="0" w:color="001F5F"/>
                            </w:tcBorders>
                          </w:tcPr>
                          <w:p>
                            <w:pPr>
                              <w:pStyle w:val="TableParagraph"/>
                              <w:spacing w:before="109"/>
                              <w:jc w:val="center"/>
                              <w:rPr>
                                <w:sz w:val="16"/>
                              </w:rPr>
                            </w:pPr>
                            <w:r>
                              <w:rPr>
                                <w:color w:val="5E89B4"/>
                                <w:spacing w:val="-5"/>
                                <w:sz w:val="16"/>
                              </w:rPr>
                              <w:t>NO</w:t>
                            </w:r>
                          </w:p>
                        </w:tc>
                        <w:tc>
                          <w:tcPr>
                            <w:tcW w:w="957" w:type="dxa"/>
                            <w:tcBorders>
                              <w:top w:val="single" w:sz="4" w:space="0" w:color="001F5F"/>
                              <w:bottom w:val="single" w:sz="8" w:space="0" w:color="001F5F"/>
                            </w:tcBorders>
                          </w:tcPr>
                          <w:p>
                            <w:pPr>
                              <w:pStyle w:val="TableParagraph"/>
                              <w:spacing w:before="109"/>
                              <w:ind w:right="1"/>
                              <w:jc w:val="center"/>
                              <w:rPr>
                                <w:sz w:val="16"/>
                              </w:rPr>
                            </w:pPr>
                            <w:r>
                              <w:rPr>
                                <w:sz w:val="16"/>
                              </w:rPr>
                              <w:t>En</w:t>
                            </w:r>
                            <w:r>
                              <w:rPr>
                                <w:spacing w:val="-2"/>
                                <w:sz w:val="16"/>
                              </w:rPr>
                              <w:t> ejecución</w:t>
                            </w:r>
                          </w:p>
                        </w:tc>
                      </w:tr>
                    </w:tbl>
                    <w:p>
                      <w:pPr>
                        <w:pStyle w:val="BodyText"/>
                      </w:pPr>
                    </w:p>
                  </w:txbxContent>
                </v:textbox>
                <w10:wrap type="none"/>
              </v:shape>
            </w:pict>
          </mc:Fallback>
        </mc:AlternateContent>
      </w:r>
      <w:r>
        <w:rPr>
          <w:rFonts w:ascii="Arial Narrow" w:hAnsi="Arial Narrow"/>
          <w:spacing w:val="-2"/>
          <w:sz w:val="16"/>
        </w:rPr>
        <w:t>renovación)</w:t>
      </w:r>
    </w:p>
    <w:p>
      <w:pPr>
        <w:pStyle w:val="BodyText"/>
        <w:rPr>
          <w:rFonts w:ascii="Arial Narrow"/>
          <w:sz w:val="16"/>
        </w:rPr>
      </w:pPr>
    </w:p>
    <w:p>
      <w:pPr>
        <w:pStyle w:val="BodyText"/>
        <w:rPr>
          <w:rFonts w:ascii="Arial Narrow"/>
          <w:sz w:val="16"/>
        </w:rPr>
      </w:pPr>
    </w:p>
    <w:p>
      <w:pPr>
        <w:pStyle w:val="BodyText"/>
        <w:spacing w:before="90"/>
        <w:rPr>
          <w:rFonts w:ascii="Arial Narrow"/>
          <w:sz w:val="16"/>
        </w:rPr>
      </w:pPr>
    </w:p>
    <w:p>
      <w:pPr>
        <w:spacing w:before="0"/>
        <w:ind w:left="1918" w:right="0" w:firstLine="0"/>
        <w:jc w:val="left"/>
        <w:rPr>
          <w:rFonts w:ascii="Arial Narrow" w:hAnsi="Arial Narrow"/>
          <w:sz w:val="16"/>
        </w:rPr>
      </w:pPr>
      <w:r>
        <w:rPr>
          <w:rFonts w:ascii="Arial Narrow" w:hAnsi="Arial Narrow"/>
          <w:spacing w:val="-2"/>
          <w:sz w:val="16"/>
        </w:rPr>
        <w:t>electrónico</w:t>
      </w:r>
    </w:p>
    <w:p>
      <w:pPr>
        <w:pStyle w:val="BodyText"/>
        <w:rPr>
          <w:rFonts w:ascii="Arial Narrow"/>
          <w:sz w:val="16"/>
        </w:rPr>
      </w:pPr>
    </w:p>
    <w:p>
      <w:pPr>
        <w:pStyle w:val="BodyText"/>
        <w:spacing w:before="54"/>
        <w:rPr>
          <w:rFonts w:ascii="Arial Narrow"/>
          <w:sz w:val="16"/>
        </w:rPr>
      </w:pPr>
    </w:p>
    <w:p>
      <w:pPr>
        <w:spacing w:before="0"/>
        <w:ind w:left="1918" w:right="0" w:firstLine="0"/>
        <w:jc w:val="left"/>
        <w:rPr>
          <w:rFonts w:ascii="Arial Narrow" w:hAnsi="Arial Narrow"/>
          <w:sz w:val="16"/>
        </w:rPr>
      </w:pPr>
      <w:r>
        <w:rPr>
          <w:rFonts w:ascii="Arial Narrow" w:hAnsi="Arial Narrow"/>
          <w:spacing w:val="-2"/>
          <w:sz w:val="16"/>
        </w:rPr>
        <w:t>comunicación/información</w:t>
      </w:r>
    </w:p>
    <w:p>
      <w:pPr>
        <w:pStyle w:val="BodyText"/>
        <w:rPr>
          <w:rFonts w:ascii="Arial Narrow"/>
          <w:sz w:val="16"/>
        </w:rPr>
      </w:pPr>
    </w:p>
    <w:p>
      <w:pPr>
        <w:pStyle w:val="BodyText"/>
        <w:spacing w:before="54"/>
        <w:rPr>
          <w:rFonts w:ascii="Arial Narrow"/>
          <w:sz w:val="16"/>
        </w:rPr>
      </w:pPr>
    </w:p>
    <w:p>
      <w:pPr>
        <w:spacing w:line="506" w:lineRule="auto" w:before="0"/>
        <w:ind w:left="1918" w:right="8496" w:firstLine="0"/>
        <w:jc w:val="left"/>
        <w:rPr>
          <w:rFonts w:ascii="Arial Narrow" w:hAnsi="Arial Narrow"/>
          <w:sz w:val="16"/>
        </w:rPr>
      </w:pPr>
      <w:r>
        <w:rPr>
          <w:rFonts w:ascii="Arial Narrow" w:hAnsi="Arial Narrow"/>
          <w:sz w:val="16"/>
        </w:rPr>
        <w:t>y</w:t>
      </w:r>
      <w:r>
        <w:rPr>
          <w:rFonts w:ascii="Arial Narrow" w:hAnsi="Arial Narrow"/>
          <w:spacing w:val="-8"/>
          <w:sz w:val="16"/>
        </w:rPr>
        <w:t> </w:t>
      </w:r>
      <w:r>
        <w:rPr>
          <w:rFonts w:ascii="Arial Narrow" w:hAnsi="Arial Narrow"/>
          <w:sz w:val="16"/>
        </w:rPr>
        <w:t>auxiliares</w:t>
      </w:r>
      <w:r>
        <w:rPr>
          <w:rFonts w:ascii="Arial Narrow" w:hAnsi="Arial Narrow"/>
          <w:spacing w:val="40"/>
          <w:sz w:val="16"/>
        </w:rPr>
        <w:t> </w:t>
      </w:r>
      <w:r>
        <w:rPr>
          <w:rFonts w:ascii="Arial Narrow" w:hAnsi="Arial Narrow"/>
          <w:sz w:val="16"/>
        </w:rPr>
        <w:t>inteligente</w:t>
      </w:r>
      <w:r>
        <w:rPr>
          <w:rFonts w:ascii="Arial Narrow" w:hAnsi="Arial Narrow"/>
          <w:spacing w:val="-10"/>
          <w:sz w:val="16"/>
        </w:rPr>
        <w:t> </w:t>
      </w:r>
      <w:r>
        <w:rPr>
          <w:rFonts w:ascii="Arial Narrow" w:hAnsi="Arial Narrow"/>
          <w:sz w:val="16"/>
        </w:rPr>
        <w:t>imágenes</w:t>
      </w:r>
      <w:r>
        <w:rPr>
          <w:rFonts w:ascii="Arial Narrow" w:hAnsi="Arial Narrow"/>
          <w:spacing w:val="40"/>
          <w:sz w:val="16"/>
        </w:rPr>
        <w:t> </w:t>
      </w:r>
      <w:r>
        <w:rPr>
          <w:rFonts w:ascii="Arial Narrow" w:hAnsi="Arial Narrow"/>
          <w:sz w:val="16"/>
        </w:rPr>
        <w:t>origen</w:t>
      </w:r>
      <w:r>
        <w:rPr>
          <w:rFonts w:ascii="Arial Narrow" w:hAnsi="Arial Narrow"/>
          <w:spacing w:val="-4"/>
          <w:sz w:val="16"/>
        </w:rPr>
        <w:t> </w:t>
      </w:r>
      <w:r>
        <w:rPr>
          <w:rFonts w:ascii="Arial Narrow" w:hAnsi="Arial Narrow"/>
          <w:sz w:val="16"/>
        </w:rPr>
        <w:t>destino</w:t>
      </w:r>
      <w:r>
        <w:rPr>
          <w:rFonts w:ascii="Arial Narrow" w:hAnsi="Arial Narrow"/>
          <w:spacing w:val="40"/>
          <w:sz w:val="16"/>
        </w:rPr>
        <w:t> </w:t>
      </w:r>
      <w:r>
        <w:rPr>
          <w:rFonts w:ascii="Arial Narrow" w:hAnsi="Arial Narrow"/>
          <w:spacing w:val="-2"/>
          <w:sz w:val="16"/>
        </w:rPr>
        <w:t>autobuses</w:t>
      </w:r>
    </w:p>
    <w:p>
      <w:pPr>
        <w:spacing w:line="508" w:lineRule="auto" w:before="0"/>
        <w:ind w:left="1918" w:right="7665" w:firstLine="0"/>
        <w:jc w:val="left"/>
        <w:rPr>
          <w:rFonts w:ascii="Arial Narrow" w:hAnsi="Arial Narrow"/>
          <w:sz w:val="16"/>
        </w:rPr>
      </w:pPr>
      <w:r>
        <w:rPr>
          <w:rFonts w:ascii="Arial Narrow" w:hAnsi="Arial Narrow"/>
          <w:sz w:val="16"/>
        </w:rPr>
        <w:t>sensorización</w:t>
      </w:r>
      <w:r>
        <w:rPr>
          <w:rFonts w:ascii="Arial Narrow" w:hAnsi="Arial Narrow"/>
          <w:spacing w:val="-10"/>
          <w:sz w:val="16"/>
        </w:rPr>
        <w:t> </w:t>
      </w:r>
      <w:r>
        <w:rPr>
          <w:rFonts w:ascii="Arial Narrow" w:hAnsi="Arial Narrow"/>
          <w:sz w:val="16"/>
        </w:rPr>
        <w:t>de</w:t>
      </w:r>
      <w:r>
        <w:rPr>
          <w:rFonts w:ascii="Arial Narrow" w:hAnsi="Arial Narrow"/>
          <w:spacing w:val="-9"/>
          <w:sz w:val="16"/>
        </w:rPr>
        <w:t> </w:t>
      </w:r>
      <w:r>
        <w:rPr>
          <w:rFonts w:ascii="Arial Narrow" w:hAnsi="Arial Narrow"/>
          <w:sz w:val="16"/>
        </w:rPr>
        <w:t>paradas</w:t>
      </w:r>
      <w:r>
        <w:rPr>
          <w:rFonts w:ascii="Arial Narrow" w:hAnsi="Arial Narrow"/>
          <w:spacing w:val="40"/>
          <w:sz w:val="16"/>
        </w:rPr>
        <w:t> </w:t>
      </w:r>
      <w:r>
        <w:rPr>
          <w:rFonts w:ascii="Arial Narrow" w:hAnsi="Arial Narrow"/>
          <w:sz w:val="16"/>
        </w:rPr>
        <w:t>optimización de recursos</w:t>
      </w:r>
    </w:p>
    <w:p>
      <w:pPr>
        <w:pStyle w:val="BodyText"/>
        <w:spacing w:before="30"/>
        <w:rPr>
          <w:rFonts w:ascii="Arial Narrow"/>
          <w:sz w:val="16"/>
        </w:rPr>
      </w:pPr>
    </w:p>
    <w:p>
      <w:pPr>
        <w:spacing w:before="0"/>
        <w:ind w:left="1918" w:right="0" w:firstLine="0"/>
        <w:jc w:val="left"/>
        <w:rPr>
          <w:rFonts w:ascii="Arial Narrow"/>
          <w:sz w:val="16"/>
        </w:rPr>
      </w:pPr>
      <w:r>
        <w:rPr>
          <w:rFonts w:ascii="Arial Narrow"/>
          <w:sz w:val="16"/>
        </w:rPr>
        <w:t>Goaldriver</w:t>
      </w:r>
      <w:r>
        <w:rPr>
          <w:rFonts w:ascii="Arial Narrow"/>
          <w:spacing w:val="-7"/>
          <w:sz w:val="16"/>
        </w:rPr>
        <w:t> </w:t>
      </w:r>
      <w:r>
        <w:rPr>
          <w:rFonts w:ascii="Arial Narrow"/>
          <w:sz w:val="16"/>
        </w:rPr>
        <w:t>y</w:t>
      </w:r>
      <w:r>
        <w:rPr>
          <w:rFonts w:ascii="Arial Narrow"/>
          <w:spacing w:val="-5"/>
          <w:sz w:val="16"/>
        </w:rPr>
        <w:t> </w:t>
      </w:r>
      <w:r>
        <w:rPr>
          <w:rFonts w:ascii="Arial Narrow"/>
          <w:spacing w:val="-2"/>
          <w:sz w:val="16"/>
        </w:rPr>
        <w:t>Goalbus</w:t>
      </w:r>
    </w:p>
    <w:p>
      <w:pPr>
        <w:pStyle w:val="BodyText"/>
        <w:rPr>
          <w:rFonts w:ascii="Arial Narrow"/>
          <w:sz w:val="16"/>
        </w:rPr>
      </w:pPr>
    </w:p>
    <w:p>
      <w:pPr>
        <w:pStyle w:val="BodyText"/>
        <w:spacing w:before="20"/>
        <w:rPr>
          <w:rFonts w:ascii="Arial Narrow"/>
          <w:sz w:val="16"/>
        </w:rPr>
      </w:pPr>
    </w:p>
    <w:p>
      <w:pPr>
        <w:spacing w:before="1"/>
        <w:ind w:left="1918" w:right="0" w:firstLine="0"/>
        <w:jc w:val="left"/>
        <w:rPr>
          <w:rFonts w:ascii="Arial Narrow" w:hAnsi="Arial Narrow"/>
          <w:sz w:val="16"/>
        </w:rPr>
      </w:pPr>
      <w:r>
        <w:rPr>
          <w:rFonts w:ascii="Arial Narrow" w:hAnsi="Arial Narrow"/>
          <w:sz w:val="16"/>
        </w:rPr>
        <w:t>embarcado</w:t>
      </w:r>
      <w:r>
        <w:rPr>
          <w:rFonts w:ascii="Arial Narrow" w:hAnsi="Arial Narrow"/>
          <w:spacing w:val="-6"/>
          <w:sz w:val="16"/>
        </w:rPr>
        <w:t> </w:t>
      </w:r>
      <w:r>
        <w:rPr>
          <w:rFonts w:ascii="Arial Narrow" w:hAnsi="Arial Narrow"/>
          <w:sz w:val="16"/>
        </w:rPr>
        <w:t>de</w:t>
      </w:r>
      <w:r>
        <w:rPr>
          <w:rFonts w:ascii="Arial Narrow" w:hAnsi="Arial Narrow"/>
          <w:spacing w:val="-5"/>
          <w:sz w:val="16"/>
        </w:rPr>
        <w:t> </w:t>
      </w:r>
      <w:r>
        <w:rPr>
          <w:rFonts w:ascii="Arial Narrow" w:hAnsi="Arial Narrow"/>
          <w:sz w:val="16"/>
        </w:rPr>
        <w:t>gestión</w:t>
      </w:r>
      <w:r>
        <w:rPr>
          <w:rFonts w:ascii="Arial Narrow" w:hAnsi="Arial Narrow"/>
          <w:spacing w:val="-3"/>
          <w:sz w:val="16"/>
        </w:rPr>
        <w:t> </w:t>
      </w:r>
      <w:r>
        <w:rPr>
          <w:rFonts w:ascii="Arial Narrow" w:hAnsi="Arial Narrow"/>
          <w:sz w:val="16"/>
        </w:rPr>
        <w:t>y</w:t>
      </w:r>
      <w:r>
        <w:rPr>
          <w:rFonts w:ascii="Arial Narrow" w:hAnsi="Arial Narrow"/>
          <w:spacing w:val="-5"/>
          <w:sz w:val="16"/>
        </w:rPr>
        <w:t> </w:t>
      </w:r>
      <w:r>
        <w:rPr>
          <w:rFonts w:ascii="Arial Narrow" w:hAnsi="Arial Narrow"/>
          <w:sz w:val="16"/>
        </w:rPr>
        <w:t>control</w:t>
      </w:r>
      <w:r>
        <w:rPr>
          <w:rFonts w:ascii="Arial Narrow" w:hAnsi="Arial Narrow"/>
          <w:spacing w:val="-4"/>
          <w:sz w:val="16"/>
        </w:rPr>
        <w:t> </w:t>
      </w:r>
      <w:r>
        <w:rPr>
          <w:rFonts w:ascii="Arial Narrow" w:hAnsi="Arial Narrow"/>
          <w:spacing w:val="-5"/>
          <w:sz w:val="16"/>
        </w:rPr>
        <w:t>de</w:t>
      </w:r>
    </w:p>
    <w:p>
      <w:pPr>
        <w:pStyle w:val="BodyText"/>
        <w:rPr>
          <w:rFonts w:ascii="Arial Narrow"/>
          <w:sz w:val="16"/>
        </w:rPr>
      </w:pPr>
    </w:p>
    <w:p>
      <w:pPr>
        <w:pStyle w:val="BodyText"/>
        <w:rPr>
          <w:rFonts w:ascii="Arial Narrow"/>
          <w:sz w:val="16"/>
        </w:rPr>
      </w:pPr>
    </w:p>
    <w:p>
      <w:pPr>
        <w:pStyle w:val="BodyText"/>
        <w:spacing w:before="52"/>
        <w:rPr>
          <w:rFonts w:ascii="Arial Narrow"/>
          <w:sz w:val="16"/>
        </w:rPr>
      </w:pPr>
    </w:p>
    <w:p>
      <w:pPr>
        <w:spacing w:before="0"/>
        <w:ind w:left="1918" w:right="0" w:firstLine="0"/>
        <w:jc w:val="left"/>
        <w:rPr>
          <w:rFonts w:ascii="Arial Narrow" w:hAnsi="Arial Narrow"/>
          <w:sz w:val="16"/>
        </w:rPr>
      </w:pPr>
      <w:r>
        <w:rPr>
          <w:rFonts w:ascii="Arial Narrow" w:hAnsi="Arial Narrow"/>
          <w:spacing w:val="-2"/>
          <w:sz w:val="16"/>
        </w:rPr>
        <w:t>información</w:t>
      </w:r>
    </w:p>
    <w:p>
      <w:pPr>
        <w:pStyle w:val="BodyText"/>
        <w:rPr>
          <w:rFonts w:ascii="Arial Narrow"/>
          <w:sz w:val="16"/>
        </w:rPr>
      </w:pPr>
    </w:p>
    <w:p>
      <w:pPr>
        <w:pStyle w:val="BodyText"/>
        <w:spacing w:before="57"/>
        <w:rPr>
          <w:rFonts w:ascii="Arial Narrow"/>
          <w:sz w:val="16"/>
        </w:rPr>
      </w:pPr>
    </w:p>
    <w:p>
      <w:pPr>
        <w:spacing w:line="504" w:lineRule="auto" w:before="0"/>
        <w:ind w:left="1918" w:right="7665" w:firstLine="0"/>
        <w:jc w:val="left"/>
        <w:rPr>
          <w:rFonts w:ascii="Arial Narrow" w:hAnsi="Arial Narrow"/>
          <w:sz w:val="16"/>
        </w:rPr>
      </w:pPr>
      <w:r>
        <w:rPr>
          <w:rFonts w:ascii="Arial Narrow" w:hAnsi="Arial Narrow"/>
          <w:sz w:val="16"/>
        </w:rPr>
        <w:t>auxiliares para flota sostenible</w:t>
      </w:r>
      <w:r>
        <w:rPr>
          <w:rFonts w:ascii="Arial Narrow" w:hAnsi="Arial Narrow"/>
          <w:spacing w:val="40"/>
          <w:sz w:val="16"/>
        </w:rPr>
        <w:t> </w:t>
      </w:r>
      <w:r>
        <w:rPr>
          <w:rFonts w:ascii="Arial Narrow" w:hAnsi="Arial Narrow"/>
          <w:sz w:val="16"/>
        </w:rPr>
        <w:t>autobuses</w:t>
      </w:r>
      <w:r>
        <w:rPr>
          <w:rFonts w:ascii="Arial Narrow" w:hAnsi="Arial Narrow"/>
          <w:spacing w:val="-10"/>
          <w:sz w:val="16"/>
        </w:rPr>
        <w:t> </w:t>
      </w:r>
      <w:r>
        <w:rPr>
          <w:rFonts w:ascii="Arial Narrow" w:hAnsi="Arial Narrow"/>
          <w:sz w:val="16"/>
        </w:rPr>
        <w:t>y</w:t>
      </w:r>
      <w:r>
        <w:rPr>
          <w:rFonts w:ascii="Arial Narrow" w:hAnsi="Arial Narrow"/>
          <w:spacing w:val="-9"/>
          <w:sz w:val="16"/>
        </w:rPr>
        <w:t> </w:t>
      </w:r>
      <w:r>
        <w:rPr>
          <w:rFonts w:ascii="Arial Narrow" w:hAnsi="Arial Narrow"/>
          <w:sz w:val="16"/>
        </w:rPr>
        <w:t>conducción</w:t>
      </w:r>
      <w:r>
        <w:rPr>
          <w:rFonts w:ascii="Arial Narrow" w:hAnsi="Arial Narrow"/>
          <w:spacing w:val="-9"/>
          <w:sz w:val="16"/>
        </w:rPr>
        <w:t> </w:t>
      </w:r>
      <w:r>
        <w:rPr>
          <w:rFonts w:ascii="Arial Narrow" w:hAnsi="Arial Narrow"/>
          <w:sz w:val="16"/>
        </w:rPr>
        <w:t>eficiente</w:t>
      </w:r>
      <w:r>
        <w:rPr>
          <w:rFonts w:ascii="Arial Narrow" w:hAnsi="Arial Narrow"/>
          <w:spacing w:val="40"/>
          <w:sz w:val="16"/>
        </w:rPr>
        <w:t> </w:t>
      </w:r>
      <w:r>
        <w:rPr>
          <w:rFonts w:ascii="Arial Narrow" w:hAnsi="Arial Narrow"/>
          <w:spacing w:val="-2"/>
          <w:sz w:val="16"/>
        </w:rPr>
        <w:t>autobuses</w:t>
      </w:r>
    </w:p>
    <w:p>
      <w:pPr>
        <w:pStyle w:val="BodyText"/>
        <w:spacing w:before="38"/>
        <w:rPr>
          <w:rFonts w:ascii="Arial Narrow"/>
          <w:sz w:val="16"/>
        </w:rPr>
      </w:pPr>
    </w:p>
    <w:p>
      <w:pPr>
        <w:spacing w:line="516" w:lineRule="auto" w:before="0"/>
        <w:ind w:left="1918" w:right="7665" w:firstLine="0"/>
        <w:jc w:val="left"/>
        <w:rPr>
          <w:rFonts w:ascii="Arial Narrow" w:hAnsi="Arial Narrow"/>
          <w:sz w:val="16"/>
        </w:rPr>
      </w:pPr>
      <w:r>
        <w:rPr>
          <w:rFonts w:ascii="Arial Narrow" w:hAnsi="Arial Narrow"/>
          <w:sz w:val="16"/>
        </w:rPr>
        <w:t>usuarios necesidades específicas</w:t>
      </w:r>
      <w:r>
        <w:rPr>
          <w:rFonts w:ascii="Arial Narrow" w:hAnsi="Arial Narrow"/>
          <w:spacing w:val="40"/>
          <w:sz w:val="16"/>
        </w:rPr>
        <w:t> </w:t>
      </w:r>
      <w:r>
        <w:rPr>
          <w:rFonts w:ascii="Arial Narrow" w:hAnsi="Arial Narrow"/>
          <w:sz w:val="16"/>
        </w:rPr>
        <w:t>transporte público autobús</w:t>
      </w:r>
      <w:r>
        <w:rPr>
          <w:rFonts w:ascii="Arial Narrow" w:hAnsi="Arial Narrow"/>
          <w:spacing w:val="40"/>
          <w:sz w:val="16"/>
        </w:rPr>
        <w:t> </w:t>
      </w:r>
      <w:r>
        <w:rPr>
          <w:rFonts w:ascii="Arial Narrow" w:hAnsi="Arial Narrow"/>
          <w:sz w:val="16"/>
        </w:rPr>
        <w:t>sistemas</w:t>
      </w:r>
      <w:r>
        <w:rPr>
          <w:rFonts w:ascii="Arial Narrow" w:hAnsi="Arial Narrow"/>
          <w:spacing w:val="-10"/>
          <w:sz w:val="16"/>
        </w:rPr>
        <w:t> </w:t>
      </w:r>
      <w:r>
        <w:rPr>
          <w:rFonts w:ascii="Arial Narrow" w:hAnsi="Arial Narrow"/>
          <w:sz w:val="16"/>
        </w:rPr>
        <w:t>inteligentes</w:t>
      </w:r>
      <w:r>
        <w:rPr>
          <w:rFonts w:ascii="Arial Narrow" w:hAnsi="Arial Narrow"/>
          <w:spacing w:val="-9"/>
          <w:sz w:val="16"/>
        </w:rPr>
        <w:t> </w:t>
      </w:r>
      <w:r>
        <w:rPr>
          <w:rFonts w:ascii="Arial Narrow" w:hAnsi="Arial Narrow"/>
          <w:sz w:val="16"/>
        </w:rPr>
        <w:t>de</w:t>
      </w:r>
      <w:r>
        <w:rPr>
          <w:rFonts w:ascii="Arial Narrow" w:hAnsi="Arial Narrow"/>
          <w:spacing w:val="-9"/>
          <w:sz w:val="16"/>
        </w:rPr>
        <w:t> </w:t>
      </w:r>
      <w:r>
        <w:rPr>
          <w:rFonts w:ascii="Arial Narrow" w:hAnsi="Arial Narrow"/>
          <w:sz w:val="16"/>
        </w:rPr>
        <w:t>transporte</w:t>
      </w:r>
      <w:r>
        <w:rPr>
          <w:rFonts w:ascii="Arial Narrow" w:hAnsi="Arial Narrow"/>
          <w:spacing w:val="40"/>
          <w:sz w:val="16"/>
        </w:rPr>
        <w:t> </w:t>
      </w:r>
      <w:r>
        <w:rPr>
          <w:rFonts w:ascii="Arial Narrow" w:hAnsi="Arial Narrow"/>
          <w:sz w:val="16"/>
        </w:rPr>
        <w:t>medios de pago</w:t>
      </w:r>
    </w:p>
    <w:p>
      <w:pPr>
        <w:spacing w:after="0" w:line="516" w:lineRule="auto"/>
        <w:jc w:val="left"/>
        <w:rPr>
          <w:rFonts w:ascii="Arial Narrow" w:hAnsi="Arial Narrow"/>
          <w:sz w:val="16"/>
        </w:rPr>
        <w:sectPr>
          <w:pgSz w:w="11910" w:h="16840"/>
          <w:pgMar w:header="1227" w:footer="839" w:top="1420" w:bottom="1020" w:left="141" w:right="141"/>
        </w:sectPr>
      </w:pPr>
    </w:p>
    <w:p>
      <w:pPr>
        <w:pStyle w:val="BodyText"/>
        <w:rPr>
          <w:rFonts w:ascii="Arial Narrow"/>
          <w:sz w:val="20"/>
        </w:rPr>
      </w:pPr>
    </w:p>
    <w:p>
      <w:pPr>
        <w:pStyle w:val="BodyText"/>
        <w:rPr>
          <w:rFonts w:ascii="Arial Narrow"/>
          <w:sz w:val="20"/>
        </w:rPr>
      </w:pPr>
    </w:p>
    <w:p>
      <w:pPr>
        <w:pStyle w:val="BodyText"/>
        <w:rPr>
          <w:rFonts w:ascii="Arial Narrow"/>
          <w:sz w:val="20"/>
        </w:rPr>
      </w:pPr>
    </w:p>
    <w:p>
      <w:pPr>
        <w:pStyle w:val="BodyText"/>
        <w:spacing w:before="206"/>
        <w:rPr>
          <w:rFonts w:ascii="Arial Narrow"/>
          <w:sz w:val="20"/>
        </w:rPr>
      </w:pPr>
    </w:p>
    <w:tbl>
      <w:tblPr>
        <w:tblW w:w="0" w:type="auto"/>
        <w:jc w:val="left"/>
        <w:tblInd w:w="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94"/>
        <w:gridCol w:w="2553"/>
        <w:gridCol w:w="594"/>
        <w:gridCol w:w="1051"/>
        <w:gridCol w:w="1052"/>
        <w:gridCol w:w="1080"/>
        <w:gridCol w:w="458"/>
        <w:gridCol w:w="389"/>
        <w:gridCol w:w="389"/>
        <w:gridCol w:w="390"/>
        <w:gridCol w:w="959"/>
      </w:tblGrid>
      <w:tr>
        <w:trPr>
          <w:trHeight w:val="371" w:hRule="atLeast"/>
        </w:trPr>
        <w:tc>
          <w:tcPr>
            <w:tcW w:w="994" w:type="dxa"/>
            <w:vMerge w:val="restart"/>
            <w:shd w:val="clear" w:color="auto" w:fill="002D5D"/>
          </w:tcPr>
          <w:p>
            <w:pPr>
              <w:pStyle w:val="TableParagraph"/>
              <w:spacing w:before="96"/>
              <w:rPr>
                <w:sz w:val="16"/>
              </w:rPr>
            </w:pPr>
          </w:p>
          <w:p>
            <w:pPr>
              <w:pStyle w:val="TableParagraph"/>
              <w:spacing w:line="167" w:lineRule="exact"/>
              <w:ind w:left="293"/>
              <w:rPr>
                <w:b/>
                <w:sz w:val="16"/>
              </w:rPr>
            </w:pPr>
            <w:r>
              <w:rPr>
                <w:b/>
                <w:color w:val="FFFFFF"/>
                <w:spacing w:val="-2"/>
                <w:sz w:val="16"/>
              </w:rPr>
              <w:t>AYTO.</w:t>
            </w:r>
          </w:p>
        </w:tc>
        <w:tc>
          <w:tcPr>
            <w:tcW w:w="2553" w:type="dxa"/>
            <w:vMerge w:val="restart"/>
            <w:shd w:val="clear" w:color="auto" w:fill="002D5D"/>
          </w:tcPr>
          <w:p>
            <w:pPr>
              <w:pStyle w:val="TableParagraph"/>
              <w:spacing w:before="96"/>
              <w:rPr>
                <w:sz w:val="16"/>
              </w:rPr>
            </w:pPr>
          </w:p>
          <w:p>
            <w:pPr>
              <w:pStyle w:val="TableParagraph"/>
              <w:spacing w:line="167" w:lineRule="exact"/>
              <w:ind w:left="237"/>
              <w:rPr>
                <w:b/>
                <w:sz w:val="16"/>
              </w:rPr>
            </w:pPr>
            <w:r>
              <w:rPr>
                <w:b/>
                <w:color w:val="FFFFFF"/>
                <w:spacing w:val="-2"/>
                <w:sz w:val="16"/>
              </w:rPr>
              <w:t>DENOMINACIÓN</w:t>
            </w:r>
            <w:r>
              <w:rPr>
                <w:b/>
                <w:color w:val="FFFFFF"/>
                <w:spacing w:val="14"/>
                <w:sz w:val="16"/>
              </w:rPr>
              <w:t> </w:t>
            </w:r>
            <w:r>
              <w:rPr>
                <w:b/>
                <w:color w:val="FFFFFF"/>
                <w:spacing w:val="-2"/>
                <w:sz w:val="16"/>
              </w:rPr>
              <w:t>ACTUACIÓN</w:t>
            </w:r>
          </w:p>
        </w:tc>
        <w:tc>
          <w:tcPr>
            <w:tcW w:w="594" w:type="dxa"/>
            <w:vMerge w:val="restart"/>
            <w:shd w:val="clear" w:color="auto" w:fill="002D5D"/>
          </w:tcPr>
          <w:p>
            <w:pPr>
              <w:pStyle w:val="TableParagraph"/>
              <w:spacing w:before="96"/>
              <w:rPr>
                <w:sz w:val="16"/>
              </w:rPr>
            </w:pPr>
          </w:p>
          <w:p>
            <w:pPr>
              <w:pStyle w:val="TableParagraph"/>
              <w:spacing w:line="167" w:lineRule="exact"/>
              <w:ind w:left="82"/>
              <w:rPr>
                <w:b/>
                <w:position w:val="4"/>
                <w:sz w:val="10"/>
              </w:rPr>
            </w:pPr>
            <w:r>
              <w:rPr>
                <w:b/>
                <w:color w:val="FFFFFF"/>
                <w:sz w:val="16"/>
              </w:rPr>
              <w:t>Nº</w:t>
            </w:r>
            <w:r>
              <w:rPr>
                <w:b/>
                <w:color w:val="FFFFFF"/>
                <w:spacing w:val="-1"/>
                <w:sz w:val="16"/>
              </w:rPr>
              <w:t> </w:t>
            </w:r>
            <w:r>
              <w:rPr>
                <w:b/>
                <w:color w:val="FFFFFF"/>
                <w:spacing w:val="-5"/>
                <w:sz w:val="16"/>
              </w:rPr>
              <w:t>C</w:t>
            </w:r>
            <w:r>
              <w:rPr>
                <w:b/>
                <w:color w:val="FFFFFF"/>
                <w:spacing w:val="-5"/>
                <w:position w:val="4"/>
                <w:sz w:val="10"/>
              </w:rPr>
              <w:t>OS</w:t>
            </w:r>
          </w:p>
        </w:tc>
        <w:tc>
          <w:tcPr>
            <w:tcW w:w="1051" w:type="dxa"/>
            <w:vMerge w:val="restart"/>
            <w:shd w:val="clear" w:color="auto" w:fill="002D5D"/>
          </w:tcPr>
          <w:p>
            <w:pPr>
              <w:pStyle w:val="TableParagraph"/>
              <w:spacing w:before="96"/>
              <w:rPr>
                <w:sz w:val="16"/>
              </w:rPr>
            </w:pPr>
          </w:p>
          <w:p>
            <w:pPr>
              <w:pStyle w:val="TableParagraph"/>
              <w:spacing w:line="167" w:lineRule="exact"/>
              <w:ind w:left="105"/>
              <w:rPr>
                <w:b/>
                <w:sz w:val="16"/>
              </w:rPr>
            </w:pPr>
            <w:r>
              <w:rPr>
                <w:b/>
                <w:color w:val="FFFFFF"/>
                <w:sz w:val="16"/>
              </w:rPr>
              <w:t>IMPORTE</w:t>
            </w:r>
            <w:r>
              <w:rPr>
                <w:b/>
                <w:color w:val="FFFFFF"/>
                <w:spacing w:val="-5"/>
                <w:sz w:val="16"/>
              </w:rPr>
              <w:t> (€)</w:t>
            </w:r>
          </w:p>
        </w:tc>
        <w:tc>
          <w:tcPr>
            <w:tcW w:w="2132" w:type="dxa"/>
            <w:gridSpan w:val="2"/>
            <w:shd w:val="clear" w:color="auto" w:fill="002D5D"/>
          </w:tcPr>
          <w:p>
            <w:pPr>
              <w:pStyle w:val="TableParagraph"/>
              <w:spacing w:before="92"/>
              <w:ind w:left="535"/>
              <w:rPr>
                <w:b/>
                <w:sz w:val="16"/>
              </w:rPr>
            </w:pPr>
            <w:r>
              <w:rPr>
                <w:b/>
                <w:color w:val="FFFFFF"/>
                <w:spacing w:val="-2"/>
                <w:sz w:val="16"/>
              </w:rPr>
              <w:t>FINANCIACIÓN</w:t>
            </w:r>
          </w:p>
        </w:tc>
        <w:tc>
          <w:tcPr>
            <w:tcW w:w="1626" w:type="dxa"/>
            <w:gridSpan w:val="4"/>
            <w:shd w:val="clear" w:color="auto" w:fill="002D5D"/>
          </w:tcPr>
          <w:p>
            <w:pPr>
              <w:pStyle w:val="TableParagraph"/>
              <w:spacing w:line="184" w:lineRule="exact"/>
              <w:ind w:left="465" w:right="135" w:hanging="260"/>
              <w:rPr>
                <w:b/>
                <w:sz w:val="16"/>
              </w:rPr>
            </w:pPr>
            <w:r>
              <w:rPr>
                <w:b/>
                <w:color w:val="FFFFFF"/>
                <w:sz w:val="16"/>
              </w:rPr>
              <w:t>INCIDENCIAS</w:t>
            </w:r>
            <w:r>
              <w:rPr>
                <w:b/>
                <w:color w:val="FFFFFF"/>
                <w:spacing w:val="-10"/>
                <w:sz w:val="16"/>
              </w:rPr>
              <w:t> </w:t>
            </w:r>
            <w:r>
              <w:rPr>
                <w:b/>
                <w:color w:val="FFFFFF"/>
                <w:sz w:val="16"/>
              </w:rPr>
              <w:t>EN</w:t>
            </w:r>
            <w:r>
              <w:rPr>
                <w:b/>
                <w:color w:val="FFFFFF"/>
                <w:spacing w:val="-9"/>
                <w:sz w:val="16"/>
              </w:rPr>
              <w:t> </w:t>
            </w:r>
            <w:r>
              <w:rPr>
                <w:b/>
                <w:color w:val="FFFFFF"/>
                <w:sz w:val="16"/>
              </w:rPr>
              <w:t>LA</w:t>
            </w:r>
            <w:r>
              <w:rPr>
                <w:b/>
                <w:color w:val="FFFFFF"/>
                <w:spacing w:val="40"/>
                <w:sz w:val="16"/>
              </w:rPr>
              <w:t> </w:t>
            </w:r>
            <w:r>
              <w:rPr>
                <w:b/>
                <w:color w:val="FFFFFF"/>
                <w:spacing w:val="-2"/>
                <w:sz w:val="16"/>
              </w:rPr>
              <w:t>EJECUCIÓN</w:t>
            </w:r>
          </w:p>
        </w:tc>
        <w:tc>
          <w:tcPr>
            <w:tcW w:w="959" w:type="dxa"/>
            <w:vMerge w:val="restart"/>
            <w:shd w:val="clear" w:color="auto" w:fill="002D5D"/>
          </w:tcPr>
          <w:p>
            <w:pPr>
              <w:pStyle w:val="TableParagraph"/>
              <w:spacing w:before="97"/>
              <w:ind w:left="102" w:right="87" w:firstLine="16"/>
              <w:jc w:val="both"/>
              <w:rPr>
                <w:b/>
                <w:sz w:val="16"/>
              </w:rPr>
            </w:pPr>
            <w:r>
              <w:rPr>
                <w:b/>
                <w:color w:val="FFFFFF"/>
                <w:spacing w:val="-2"/>
                <w:sz w:val="16"/>
              </w:rPr>
              <w:t>ESTADODE</w:t>
            </w:r>
            <w:r>
              <w:rPr>
                <w:b/>
                <w:color w:val="FFFFFF"/>
                <w:spacing w:val="40"/>
                <w:sz w:val="16"/>
              </w:rPr>
              <w:t> </w:t>
            </w:r>
            <w:r>
              <w:rPr>
                <w:b/>
                <w:color w:val="FFFFFF"/>
                <w:spacing w:val="-2"/>
                <w:sz w:val="16"/>
              </w:rPr>
              <w:t>EJECUCIÓN</w:t>
            </w:r>
            <w:r>
              <w:rPr>
                <w:b/>
                <w:color w:val="FFFFFF"/>
                <w:spacing w:val="40"/>
                <w:sz w:val="16"/>
              </w:rPr>
              <w:t> </w:t>
            </w:r>
            <w:r>
              <w:rPr>
                <w:b/>
                <w:color w:val="FFFFFF"/>
                <w:sz w:val="16"/>
              </w:rPr>
              <w:t>A</w:t>
            </w:r>
            <w:r>
              <w:rPr>
                <w:b/>
                <w:color w:val="FFFFFF"/>
                <w:spacing w:val="-4"/>
                <w:sz w:val="16"/>
              </w:rPr>
              <w:t> </w:t>
            </w:r>
            <w:r>
              <w:rPr>
                <w:b/>
                <w:color w:val="FFFFFF"/>
                <w:sz w:val="16"/>
              </w:rPr>
              <w:t>31-12-24</w:t>
            </w:r>
          </w:p>
        </w:tc>
      </w:tr>
      <w:tr>
        <w:trPr>
          <w:trHeight w:val="94" w:hRule="atLeast"/>
        </w:trPr>
        <w:tc>
          <w:tcPr>
            <w:tcW w:w="994" w:type="dxa"/>
            <w:vMerge/>
            <w:tcBorders>
              <w:top w:val="nil"/>
            </w:tcBorders>
            <w:shd w:val="clear" w:color="auto" w:fill="002D5D"/>
          </w:tcPr>
          <w:p>
            <w:pPr>
              <w:rPr>
                <w:sz w:val="2"/>
                <w:szCs w:val="2"/>
              </w:rPr>
            </w:pPr>
          </w:p>
        </w:tc>
        <w:tc>
          <w:tcPr>
            <w:tcW w:w="2553" w:type="dxa"/>
            <w:vMerge/>
            <w:tcBorders>
              <w:top w:val="nil"/>
            </w:tcBorders>
            <w:shd w:val="clear" w:color="auto" w:fill="002D5D"/>
          </w:tcPr>
          <w:p>
            <w:pPr>
              <w:rPr>
                <w:sz w:val="2"/>
                <w:szCs w:val="2"/>
              </w:rPr>
            </w:pPr>
          </w:p>
        </w:tc>
        <w:tc>
          <w:tcPr>
            <w:tcW w:w="594" w:type="dxa"/>
            <w:vMerge/>
            <w:tcBorders>
              <w:top w:val="nil"/>
            </w:tcBorders>
            <w:shd w:val="clear" w:color="auto" w:fill="002D5D"/>
          </w:tcPr>
          <w:p>
            <w:pPr>
              <w:rPr>
                <w:sz w:val="2"/>
                <w:szCs w:val="2"/>
              </w:rPr>
            </w:pPr>
          </w:p>
        </w:tc>
        <w:tc>
          <w:tcPr>
            <w:tcW w:w="1051" w:type="dxa"/>
            <w:vMerge/>
            <w:tcBorders>
              <w:top w:val="nil"/>
            </w:tcBorders>
            <w:shd w:val="clear" w:color="auto" w:fill="002D5D"/>
          </w:tcPr>
          <w:p>
            <w:pPr>
              <w:rPr>
                <w:sz w:val="2"/>
                <w:szCs w:val="2"/>
              </w:rPr>
            </w:pPr>
          </w:p>
        </w:tc>
        <w:tc>
          <w:tcPr>
            <w:tcW w:w="1052" w:type="dxa"/>
            <w:vMerge w:val="restart"/>
            <w:shd w:val="clear" w:color="auto" w:fill="002D5D"/>
          </w:tcPr>
          <w:p>
            <w:pPr>
              <w:pStyle w:val="TableParagraph"/>
              <w:spacing w:before="4"/>
              <w:ind w:left="28" w:right="44"/>
              <w:jc w:val="center"/>
              <w:rPr>
                <w:b/>
                <w:sz w:val="16"/>
              </w:rPr>
            </w:pPr>
            <w:r>
              <w:rPr>
                <w:b/>
                <w:color w:val="FFFFFF"/>
                <w:spacing w:val="-2"/>
                <w:sz w:val="16"/>
              </w:rPr>
              <w:t>Ayuntamiento</w:t>
            </w:r>
          </w:p>
          <w:p>
            <w:pPr>
              <w:pStyle w:val="TableParagraph"/>
              <w:spacing w:line="164" w:lineRule="exact" w:before="1"/>
              <w:ind w:left="28" w:right="41"/>
              <w:jc w:val="center"/>
              <w:rPr>
                <w:b/>
                <w:sz w:val="16"/>
              </w:rPr>
            </w:pPr>
            <w:r>
              <w:rPr>
                <w:b/>
                <w:color w:val="FFFFFF"/>
                <w:spacing w:val="-5"/>
                <w:sz w:val="16"/>
              </w:rPr>
              <w:t>(€)</w:t>
            </w:r>
          </w:p>
        </w:tc>
        <w:tc>
          <w:tcPr>
            <w:tcW w:w="1080" w:type="dxa"/>
            <w:vMerge w:val="restart"/>
            <w:shd w:val="clear" w:color="auto" w:fill="002D5D"/>
          </w:tcPr>
          <w:p>
            <w:pPr>
              <w:pStyle w:val="TableParagraph"/>
              <w:spacing w:before="4"/>
              <w:ind w:right="101"/>
              <w:jc w:val="center"/>
              <w:rPr>
                <w:b/>
                <w:sz w:val="16"/>
              </w:rPr>
            </w:pPr>
            <w:r>
              <w:rPr>
                <w:b/>
                <w:color w:val="FFFFFF"/>
                <w:sz w:val="16"/>
              </w:rPr>
              <w:t>PRTR</w:t>
            </w:r>
            <w:r>
              <w:rPr>
                <w:b/>
                <w:color w:val="FFFFFF"/>
                <w:spacing w:val="-6"/>
                <w:sz w:val="16"/>
              </w:rPr>
              <w:t> </w:t>
            </w:r>
            <w:r>
              <w:rPr>
                <w:b/>
                <w:color w:val="FFFFFF"/>
                <w:sz w:val="16"/>
              </w:rPr>
              <w:t>y</w:t>
            </w:r>
            <w:r>
              <w:rPr>
                <w:b/>
                <w:color w:val="FFFFFF"/>
                <w:spacing w:val="-1"/>
                <w:sz w:val="16"/>
              </w:rPr>
              <w:t> </w:t>
            </w:r>
            <w:r>
              <w:rPr>
                <w:b/>
                <w:color w:val="FFFFFF"/>
                <w:spacing w:val="-2"/>
                <w:sz w:val="16"/>
              </w:rPr>
              <w:t>otras</w:t>
            </w:r>
          </w:p>
          <w:p>
            <w:pPr>
              <w:pStyle w:val="TableParagraph"/>
              <w:spacing w:line="164" w:lineRule="exact" w:before="1"/>
              <w:ind w:left="5" w:right="101"/>
              <w:jc w:val="center"/>
              <w:rPr>
                <w:b/>
                <w:sz w:val="16"/>
              </w:rPr>
            </w:pPr>
            <w:r>
              <w:rPr>
                <w:b/>
                <w:color w:val="FFFFFF"/>
                <w:spacing w:val="-5"/>
                <w:sz w:val="16"/>
              </w:rPr>
              <w:t>(€)</w:t>
            </w:r>
          </w:p>
        </w:tc>
        <w:tc>
          <w:tcPr>
            <w:tcW w:w="458" w:type="dxa"/>
            <w:shd w:val="clear" w:color="auto" w:fill="002D5D"/>
          </w:tcPr>
          <w:p>
            <w:pPr>
              <w:pStyle w:val="TableParagraph"/>
              <w:rPr>
                <w:rFonts w:ascii="Times New Roman"/>
                <w:sz w:val="4"/>
              </w:rPr>
            </w:pPr>
          </w:p>
        </w:tc>
        <w:tc>
          <w:tcPr>
            <w:tcW w:w="389" w:type="dxa"/>
            <w:shd w:val="clear" w:color="auto" w:fill="002D5D"/>
          </w:tcPr>
          <w:p>
            <w:pPr>
              <w:pStyle w:val="TableParagraph"/>
              <w:rPr>
                <w:rFonts w:ascii="Times New Roman"/>
                <w:sz w:val="4"/>
              </w:rPr>
            </w:pPr>
          </w:p>
        </w:tc>
        <w:tc>
          <w:tcPr>
            <w:tcW w:w="389" w:type="dxa"/>
            <w:shd w:val="clear" w:color="auto" w:fill="002D5D"/>
          </w:tcPr>
          <w:p>
            <w:pPr>
              <w:pStyle w:val="TableParagraph"/>
              <w:rPr>
                <w:rFonts w:ascii="Times New Roman"/>
                <w:sz w:val="4"/>
              </w:rPr>
            </w:pPr>
          </w:p>
        </w:tc>
        <w:tc>
          <w:tcPr>
            <w:tcW w:w="390" w:type="dxa"/>
            <w:shd w:val="clear" w:color="auto" w:fill="002D5D"/>
          </w:tcPr>
          <w:p>
            <w:pPr>
              <w:pStyle w:val="TableParagraph"/>
              <w:rPr>
                <w:rFonts w:ascii="Times New Roman"/>
                <w:sz w:val="4"/>
              </w:rPr>
            </w:pPr>
          </w:p>
        </w:tc>
        <w:tc>
          <w:tcPr>
            <w:tcW w:w="959" w:type="dxa"/>
            <w:vMerge/>
            <w:tcBorders>
              <w:top w:val="nil"/>
            </w:tcBorders>
            <w:shd w:val="clear" w:color="auto" w:fill="002D5D"/>
          </w:tcPr>
          <w:p>
            <w:pPr>
              <w:rPr>
                <w:sz w:val="2"/>
                <w:szCs w:val="2"/>
              </w:rPr>
            </w:pPr>
          </w:p>
        </w:tc>
      </w:tr>
      <w:tr>
        <w:trPr>
          <w:trHeight w:val="278" w:hRule="atLeast"/>
        </w:trPr>
        <w:tc>
          <w:tcPr>
            <w:tcW w:w="994" w:type="dxa"/>
            <w:shd w:val="clear" w:color="auto" w:fill="002D5D"/>
          </w:tcPr>
          <w:p>
            <w:pPr>
              <w:pStyle w:val="TableParagraph"/>
              <w:rPr>
                <w:rFonts w:ascii="Times New Roman"/>
                <w:sz w:val="18"/>
              </w:rPr>
            </w:pPr>
          </w:p>
        </w:tc>
        <w:tc>
          <w:tcPr>
            <w:tcW w:w="2553" w:type="dxa"/>
            <w:shd w:val="clear" w:color="auto" w:fill="002D5D"/>
          </w:tcPr>
          <w:p>
            <w:pPr>
              <w:pStyle w:val="TableParagraph"/>
              <w:rPr>
                <w:rFonts w:ascii="Times New Roman"/>
                <w:sz w:val="18"/>
              </w:rPr>
            </w:pPr>
          </w:p>
        </w:tc>
        <w:tc>
          <w:tcPr>
            <w:tcW w:w="594" w:type="dxa"/>
            <w:shd w:val="clear" w:color="auto" w:fill="002D5D"/>
          </w:tcPr>
          <w:p>
            <w:pPr>
              <w:pStyle w:val="TableParagraph"/>
              <w:rPr>
                <w:rFonts w:ascii="Times New Roman"/>
                <w:sz w:val="18"/>
              </w:rPr>
            </w:pPr>
          </w:p>
        </w:tc>
        <w:tc>
          <w:tcPr>
            <w:tcW w:w="1051" w:type="dxa"/>
            <w:shd w:val="clear" w:color="auto" w:fill="002D5D"/>
          </w:tcPr>
          <w:p>
            <w:pPr>
              <w:pStyle w:val="TableParagraph"/>
              <w:rPr>
                <w:rFonts w:ascii="Times New Roman"/>
                <w:sz w:val="18"/>
              </w:rPr>
            </w:pPr>
          </w:p>
        </w:tc>
        <w:tc>
          <w:tcPr>
            <w:tcW w:w="1052" w:type="dxa"/>
            <w:vMerge/>
            <w:tcBorders>
              <w:top w:val="nil"/>
            </w:tcBorders>
            <w:shd w:val="clear" w:color="auto" w:fill="002D5D"/>
          </w:tcPr>
          <w:p>
            <w:pPr>
              <w:rPr>
                <w:sz w:val="2"/>
                <w:szCs w:val="2"/>
              </w:rPr>
            </w:pPr>
          </w:p>
        </w:tc>
        <w:tc>
          <w:tcPr>
            <w:tcW w:w="1080" w:type="dxa"/>
            <w:vMerge/>
            <w:tcBorders>
              <w:top w:val="nil"/>
            </w:tcBorders>
            <w:shd w:val="clear" w:color="auto" w:fill="002D5D"/>
          </w:tcPr>
          <w:p>
            <w:pPr>
              <w:rPr>
                <w:sz w:val="2"/>
                <w:szCs w:val="2"/>
              </w:rPr>
            </w:pPr>
          </w:p>
        </w:tc>
        <w:tc>
          <w:tcPr>
            <w:tcW w:w="458" w:type="dxa"/>
            <w:shd w:val="clear" w:color="auto" w:fill="002D5D"/>
          </w:tcPr>
          <w:p>
            <w:pPr>
              <w:pStyle w:val="TableParagraph"/>
              <w:spacing w:before="3"/>
              <w:ind w:left="73" w:right="1"/>
              <w:jc w:val="center"/>
              <w:rPr>
                <w:b/>
                <w:sz w:val="16"/>
              </w:rPr>
            </w:pPr>
            <w:r>
              <w:rPr>
                <w:b/>
                <w:color w:val="FFFFFF"/>
                <w:spacing w:val="-10"/>
                <w:sz w:val="16"/>
              </w:rPr>
              <w:t>P</w:t>
            </w:r>
          </w:p>
        </w:tc>
        <w:tc>
          <w:tcPr>
            <w:tcW w:w="389" w:type="dxa"/>
            <w:shd w:val="clear" w:color="auto" w:fill="002D5D"/>
          </w:tcPr>
          <w:p>
            <w:pPr>
              <w:pStyle w:val="TableParagraph"/>
              <w:spacing w:before="3"/>
              <w:ind w:left="8" w:right="3"/>
              <w:jc w:val="center"/>
              <w:rPr>
                <w:b/>
                <w:sz w:val="16"/>
              </w:rPr>
            </w:pPr>
            <w:r>
              <w:rPr>
                <w:b/>
                <w:color w:val="FFFFFF"/>
                <w:spacing w:val="-10"/>
                <w:sz w:val="16"/>
              </w:rPr>
              <w:t>M</w:t>
            </w:r>
          </w:p>
        </w:tc>
        <w:tc>
          <w:tcPr>
            <w:tcW w:w="389" w:type="dxa"/>
            <w:shd w:val="clear" w:color="auto" w:fill="002D5D"/>
          </w:tcPr>
          <w:p>
            <w:pPr>
              <w:pStyle w:val="TableParagraph"/>
              <w:spacing w:before="3"/>
              <w:ind w:left="8" w:right="1"/>
              <w:jc w:val="center"/>
              <w:rPr>
                <w:b/>
                <w:sz w:val="16"/>
              </w:rPr>
            </w:pPr>
            <w:r>
              <w:rPr>
                <w:b/>
                <w:color w:val="FFFFFF"/>
                <w:spacing w:val="-10"/>
                <w:sz w:val="16"/>
              </w:rPr>
              <w:t>S</w:t>
            </w:r>
          </w:p>
        </w:tc>
        <w:tc>
          <w:tcPr>
            <w:tcW w:w="390" w:type="dxa"/>
            <w:shd w:val="clear" w:color="auto" w:fill="002D5D"/>
          </w:tcPr>
          <w:p>
            <w:pPr>
              <w:pStyle w:val="TableParagraph"/>
              <w:spacing w:before="3"/>
              <w:ind w:left="13"/>
              <w:jc w:val="center"/>
              <w:rPr>
                <w:b/>
                <w:sz w:val="16"/>
              </w:rPr>
            </w:pPr>
            <w:r>
              <w:rPr>
                <w:b/>
                <w:color w:val="FFFFFF"/>
                <w:spacing w:val="-10"/>
                <w:sz w:val="16"/>
              </w:rPr>
              <w:t>R</w:t>
            </w:r>
          </w:p>
        </w:tc>
        <w:tc>
          <w:tcPr>
            <w:tcW w:w="959" w:type="dxa"/>
            <w:vMerge/>
            <w:tcBorders>
              <w:top w:val="nil"/>
            </w:tcBorders>
            <w:shd w:val="clear" w:color="auto" w:fill="002D5D"/>
          </w:tcPr>
          <w:p>
            <w:pPr>
              <w:rPr>
                <w:sz w:val="2"/>
                <w:szCs w:val="2"/>
              </w:rPr>
            </w:pPr>
          </w:p>
        </w:tc>
      </w:tr>
      <w:tr>
        <w:trPr>
          <w:trHeight w:val="198" w:hRule="atLeast"/>
        </w:trPr>
        <w:tc>
          <w:tcPr>
            <w:tcW w:w="994" w:type="dxa"/>
          </w:tcPr>
          <w:p>
            <w:pPr>
              <w:pStyle w:val="TableParagraph"/>
              <w:rPr>
                <w:rFonts w:ascii="Times New Roman"/>
                <w:sz w:val="12"/>
              </w:rPr>
            </w:pPr>
          </w:p>
        </w:tc>
        <w:tc>
          <w:tcPr>
            <w:tcW w:w="2553" w:type="dxa"/>
            <w:tcBorders>
              <w:bottom w:val="single" w:sz="4" w:space="0" w:color="001F5F"/>
            </w:tcBorders>
          </w:tcPr>
          <w:p>
            <w:pPr>
              <w:pStyle w:val="TableParagraph"/>
              <w:spacing w:line="173" w:lineRule="exact" w:before="6"/>
              <w:ind w:left="69"/>
              <w:rPr>
                <w:sz w:val="16"/>
              </w:rPr>
            </w:pPr>
            <w:r>
              <w:rPr>
                <w:sz w:val="16"/>
              </w:rPr>
              <w:t>Digitalización</w:t>
            </w:r>
            <w:r>
              <w:rPr>
                <w:spacing w:val="-6"/>
                <w:sz w:val="16"/>
              </w:rPr>
              <w:t> </w:t>
            </w:r>
            <w:r>
              <w:rPr>
                <w:sz w:val="16"/>
              </w:rPr>
              <w:t>de</w:t>
            </w:r>
            <w:r>
              <w:rPr>
                <w:spacing w:val="-4"/>
                <w:sz w:val="16"/>
              </w:rPr>
              <w:t> </w:t>
            </w:r>
            <w:r>
              <w:rPr>
                <w:sz w:val="16"/>
              </w:rPr>
              <w:t>los</w:t>
            </w:r>
            <w:r>
              <w:rPr>
                <w:spacing w:val="-5"/>
                <w:sz w:val="16"/>
              </w:rPr>
              <w:t> </w:t>
            </w:r>
            <w:r>
              <w:rPr>
                <w:sz w:val="16"/>
              </w:rPr>
              <w:t>medios</w:t>
            </w:r>
            <w:r>
              <w:rPr>
                <w:spacing w:val="-5"/>
                <w:sz w:val="16"/>
              </w:rPr>
              <w:t> </w:t>
            </w:r>
            <w:r>
              <w:rPr>
                <w:sz w:val="16"/>
              </w:rPr>
              <w:t>de</w:t>
            </w:r>
            <w:r>
              <w:rPr>
                <w:spacing w:val="-5"/>
                <w:sz w:val="16"/>
              </w:rPr>
              <w:t> </w:t>
            </w:r>
            <w:r>
              <w:rPr>
                <w:spacing w:val="-4"/>
                <w:sz w:val="16"/>
              </w:rPr>
              <w:t>pago</w:t>
            </w:r>
          </w:p>
        </w:tc>
        <w:tc>
          <w:tcPr>
            <w:tcW w:w="594" w:type="dxa"/>
            <w:tcBorders>
              <w:bottom w:val="single" w:sz="4" w:space="0" w:color="001F5F"/>
            </w:tcBorders>
          </w:tcPr>
          <w:p>
            <w:pPr>
              <w:pStyle w:val="TableParagraph"/>
              <w:spacing w:line="173" w:lineRule="exact" w:before="6"/>
              <w:ind w:right="102"/>
              <w:jc w:val="right"/>
              <w:rPr>
                <w:sz w:val="16"/>
              </w:rPr>
            </w:pPr>
            <w:r>
              <w:rPr>
                <w:spacing w:val="-10"/>
                <w:sz w:val="16"/>
              </w:rPr>
              <w:t>7</w:t>
            </w:r>
          </w:p>
        </w:tc>
        <w:tc>
          <w:tcPr>
            <w:tcW w:w="1051" w:type="dxa"/>
            <w:tcBorders>
              <w:bottom w:val="single" w:sz="4" w:space="0" w:color="001F5F"/>
            </w:tcBorders>
          </w:tcPr>
          <w:p>
            <w:pPr>
              <w:pStyle w:val="TableParagraph"/>
              <w:spacing w:line="173" w:lineRule="exact" w:before="6"/>
              <w:ind w:right="76"/>
              <w:jc w:val="right"/>
              <w:rPr>
                <w:sz w:val="16"/>
              </w:rPr>
            </w:pPr>
            <w:r>
              <w:rPr>
                <w:spacing w:val="-2"/>
                <w:sz w:val="16"/>
              </w:rPr>
              <w:t>1.023.644,19</w:t>
            </w:r>
          </w:p>
        </w:tc>
        <w:tc>
          <w:tcPr>
            <w:tcW w:w="1052" w:type="dxa"/>
            <w:tcBorders>
              <w:bottom w:val="single" w:sz="4" w:space="0" w:color="001F5F"/>
            </w:tcBorders>
          </w:tcPr>
          <w:p>
            <w:pPr>
              <w:pStyle w:val="TableParagraph"/>
              <w:spacing w:line="173" w:lineRule="exact" w:before="6"/>
              <w:ind w:right="71"/>
              <w:jc w:val="right"/>
              <w:rPr>
                <w:sz w:val="16"/>
              </w:rPr>
            </w:pPr>
            <w:r>
              <w:rPr>
                <w:spacing w:val="-2"/>
                <w:sz w:val="16"/>
              </w:rPr>
              <w:t>126.064,68</w:t>
            </w:r>
          </w:p>
        </w:tc>
        <w:tc>
          <w:tcPr>
            <w:tcW w:w="1080" w:type="dxa"/>
            <w:tcBorders>
              <w:bottom w:val="single" w:sz="4" w:space="0" w:color="001F5F"/>
            </w:tcBorders>
          </w:tcPr>
          <w:p>
            <w:pPr>
              <w:pStyle w:val="TableParagraph"/>
              <w:spacing w:line="173" w:lineRule="exact" w:before="6"/>
              <w:ind w:right="160"/>
              <w:jc w:val="right"/>
              <w:rPr>
                <w:sz w:val="16"/>
              </w:rPr>
            </w:pPr>
            <w:r>
              <w:rPr>
                <w:spacing w:val="-2"/>
                <w:sz w:val="16"/>
              </w:rPr>
              <w:t>897.579,51</w:t>
            </w:r>
          </w:p>
        </w:tc>
        <w:tc>
          <w:tcPr>
            <w:tcW w:w="458" w:type="dxa"/>
            <w:tcBorders>
              <w:bottom w:val="single" w:sz="4" w:space="0" w:color="001F5F"/>
            </w:tcBorders>
          </w:tcPr>
          <w:p>
            <w:pPr>
              <w:pStyle w:val="TableParagraph"/>
              <w:spacing w:line="173" w:lineRule="exact" w:before="6"/>
              <w:ind w:left="73"/>
              <w:jc w:val="center"/>
              <w:rPr>
                <w:sz w:val="16"/>
              </w:rPr>
            </w:pPr>
            <w:r>
              <w:rPr>
                <w:color w:val="5E89B4"/>
                <w:spacing w:val="-5"/>
                <w:sz w:val="16"/>
              </w:rPr>
              <w:t>NO</w:t>
            </w:r>
          </w:p>
        </w:tc>
        <w:tc>
          <w:tcPr>
            <w:tcW w:w="389" w:type="dxa"/>
            <w:tcBorders>
              <w:bottom w:val="single" w:sz="4" w:space="0" w:color="001F5F"/>
            </w:tcBorders>
          </w:tcPr>
          <w:p>
            <w:pPr>
              <w:pStyle w:val="TableParagraph"/>
              <w:spacing w:line="173" w:lineRule="exact" w:before="6"/>
              <w:ind w:left="8"/>
              <w:jc w:val="center"/>
              <w:rPr>
                <w:sz w:val="16"/>
              </w:rPr>
            </w:pPr>
            <w:r>
              <w:rPr>
                <w:color w:val="5E89B4"/>
                <w:spacing w:val="-5"/>
                <w:sz w:val="16"/>
              </w:rPr>
              <w:t>NO</w:t>
            </w:r>
          </w:p>
        </w:tc>
        <w:tc>
          <w:tcPr>
            <w:tcW w:w="389" w:type="dxa"/>
            <w:tcBorders>
              <w:bottom w:val="single" w:sz="4" w:space="0" w:color="001F5F"/>
            </w:tcBorders>
          </w:tcPr>
          <w:p>
            <w:pPr>
              <w:pStyle w:val="TableParagraph"/>
              <w:spacing w:line="173" w:lineRule="exact" w:before="6"/>
              <w:ind w:left="8"/>
              <w:jc w:val="center"/>
              <w:rPr>
                <w:sz w:val="16"/>
              </w:rPr>
            </w:pPr>
            <w:r>
              <w:rPr>
                <w:color w:val="5E89B4"/>
                <w:spacing w:val="-5"/>
                <w:sz w:val="16"/>
              </w:rPr>
              <w:t>NO</w:t>
            </w:r>
          </w:p>
        </w:tc>
        <w:tc>
          <w:tcPr>
            <w:tcW w:w="390" w:type="dxa"/>
            <w:tcBorders>
              <w:bottom w:val="single" w:sz="4" w:space="0" w:color="001F5F"/>
            </w:tcBorders>
          </w:tcPr>
          <w:p>
            <w:pPr>
              <w:pStyle w:val="TableParagraph"/>
              <w:spacing w:line="173" w:lineRule="exact" w:before="6"/>
              <w:ind w:left="13" w:right="2"/>
              <w:jc w:val="center"/>
              <w:rPr>
                <w:sz w:val="16"/>
              </w:rPr>
            </w:pPr>
            <w:r>
              <w:rPr>
                <w:color w:val="5E89B4"/>
                <w:spacing w:val="-5"/>
                <w:sz w:val="16"/>
              </w:rPr>
              <w:t>NO</w:t>
            </w:r>
          </w:p>
        </w:tc>
        <w:tc>
          <w:tcPr>
            <w:tcW w:w="959" w:type="dxa"/>
            <w:tcBorders>
              <w:bottom w:val="single" w:sz="4" w:space="0" w:color="001F5F"/>
            </w:tcBorders>
          </w:tcPr>
          <w:p>
            <w:pPr>
              <w:pStyle w:val="TableParagraph"/>
              <w:spacing w:line="173" w:lineRule="exact" w:before="6"/>
              <w:ind w:left="13" w:right="1"/>
              <w:jc w:val="center"/>
              <w:rPr>
                <w:sz w:val="16"/>
              </w:rPr>
            </w:pPr>
            <w:r>
              <w:rPr>
                <w:sz w:val="16"/>
              </w:rPr>
              <w:t>En</w:t>
            </w:r>
            <w:r>
              <w:rPr>
                <w:spacing w:val="-2"/>
                <w:sz w:val="16"/>
              </w:rPr>
              <w:t> ejecución</w:t>
            </w:r>
          </w:p>
        </w:tc>
      </w:tr>
      <w:tr>
        <w:trPr>
          <w:trHeight w:val="366" w:hRule="atLeast"/>
        </w:trPr>
        <w:tc>
          <w:tcPr>
            <w:tcW w:w="994" w:type="dxa"/>
          </w:tcPr>
          <w:p>
            <w:pPr>
              <w:pStyle w:val="TableParagraph"/>
              <w:rPr>
                <w:rFonts w:ascii="Times New Roman"/>
                <w:sz w:val="18"/>
              </w:rPr>
            </w:pPr>
          </w:p>
        </w:tc>
        <w:tc>
          <w:tcPr>
            <w:tcW w:w="2553" w:type="dxa"/>
            <w:tcBorders>
              <w:top w:val="single" w:sz="4" w:space="0" w:color="001F5F"/>
              <w:bottom w:val="single" w:sz="4" w:space="0" w:color="001F5F"/>
            </w:tcBorders>
          </w:tcPr>
          <w:p>
            <w:pPr>
              <w:pStyle w:val="TableParagraph"/>
              <w:spacing w:line="184" w:lineRule="exact"/>
              <w:ind w:left="69"/>
              <w:rPr>
                <w:sz w:val="16"/>
              </w:rPr>
            </w:pPr>
            <w:r>
              <w:rPr>
                <w:sz w:val="16"/>
              </w:rPr>
              <w:t>Digitalización</w:t>
            </w:r>
            <w:r>
              <w:rPr>
                <w:spacing w:val="-10"/>
                <w:sz w:val="16"/>
              </w:rPr>
              <w:t> </w:t>
            </w:r>
            <w:r>
              <w:rPr>
                <w:sz w:val="16"/>
              </w:rPr>
              <w:t>sistemas</w:t>
            </w:r>
            <w:r>
              <w:rPr>
                <w:spacing w:val="-9"/>
                <w:sz w:val="16"/>
              </w:rPr>
              <w:t> </w:t>
            </w:r>
            <w:r>
              <w:rPr>
                <w:sz w:val="16"/>
              </w:rPr>
              <w:t>comunicación</w:t>
            </w:r>
            <w:r>
              <w:rPr>
                <w:spacing w:val="-9"/>
                <w:sz w:val="16"/>
              </w:rPr>
              <w:t> </w:t>
            </w:r>
            <w:r>
              <w:rPr>
                <w:sz w:val="16"/>
              </w:rPr>
              <w:t>e</w:t>
            </w:r>
            <w:r>
              <w:rPr>
                <w:spacing w:val="40"/>
                <w:sz w:val="16"/>
              </w:rPr>
              <w:t> </w:t>
            </w:r>
            <w:r>
              <w:rPr>
                <w:spacing w:val="-2"/>
                <w:sz w:val="16"/>
              </w:rPr>
              <w:t>información</w:t>
            </w:r>
          </w:p>
        </w:tc>
        <w:tc>
          <w:tcPr>
            <w:tcW w:w="594" w:type="dxa"/>
            <w:tcBorders>
              <w:top w:val="single" w:sz="4" w:space="0" w:color="001F5F"/>
              <w:bottom w:val="single" w:sz="4" w:space="0" w:color="001F5F"/>
            </w:tcBorders>
          </w:tcPr>
          <w:p>
            <w:pPr>
              <w:pStyle w:val="TableParagraph"/>
              <w:spacing w:before="90"/>
              <w:ind w:right="102"/>
              <w:jc w:val="right"/>
              <w:rPr>
                <w:sz w:val="16"/>
              </w:rPr>
            </w:pPr>
            <w:r>
              <w:rPr>
                <w:spacing w:val="-10"/>
                <w:sz w:val="16"/>
              </w:rPr>
              <w:t>4</w:t>
            </w:r>
          </w:p>
        </w:tc>
        <w:tc>
          <w:tcPr>
            <w:tcW w:w="1051" w:type="dxa"/>
            <w:tcBorders>
              <w:top w:val="single" w:sz="4" w:space="0" w:color="001F5F"/>
              <w:bottom w:val="single" w:sz="4" w:space="0" w:color="001F5F"/>
            </w:tcBorders>
          </w:tcPr>
          <w:p>
            <w:pPr>
              <w:pStyle w:val="TableParagraph"/>
              <w:spacing w:before="90"/>
              <w:ind w:right="76"/>
              <w:jc w:val="right"/>
              <w:rPr>
                <w:sz w:val="16"/>
              </w:rPr>
            </w:pPr>
            <w:r>
              <w:rPr>
                <w:spacing w:val="-2"/>
                <w:sz w:val="16"/>
              </w:rPr>
              <w:t>771.664,47</w:t>
            </w:r>
          </w:p>
        </w:tc>
        <w:tc>
          <w:tcPr>
            <w:tcW w:w="1052" w:type="dxa"/>
            <w:tcBorders>
              <w:top w:val="single" w:sz="4" w:space="0" w:color="001F5F"/>
              <w:bottom w:val="single" w:sz="4" w:space="0" w:color="001F5F"/>
            </w:tcBorders>
          </w:tcPr>
          <w:p>
            <w:pPr>
              <w:pStyle w:val="TableParagraph"/>
              <w:spacing w:before="90"/>
              <w:ind w:right="71"/>
              <w:jc w:val="right"/>
              <w:rPr>
                <w:sz w:val="16"/>
              </w:rPr>
            </w:pPr>
            <w:r>
              <w:rPr>
                <w:spacing w:val="-2"/>
                <w:sz w:val="16"/>
              </w:rPr>
              <w:t>80.643,73</w:t>
            </w:r>
          </w:p>
        </w:tc>
        <w:tc>
          <w:tcPr>
            <w:tcW w:w="1080" w:type="dxa"/>
            <w:tcBorders>
              <w:top w:val="single" w:sz="4" w:space="0" w:color="001F5F"/>
              <w:bottom w:val="single" w:sz="4" w:space="0" w:color="001F5F"/>
            </w:tcBorders>
          </w:tcPr>
          <w:p>
            <w:pPr>
              <w:pStyle w:val="TableParagraph"/>
              <w:spacing w:before="90"/>
              <w:ind w:right="160"/>
              <w:jc w:val="right"/>
              <w:rPr>
                <w:sz w:val="16"/>
              </w:rPr>
            </w:pPr>
            <w:r>
              <w:rPr>
                <w:spacing w:val="-2"/>
                <w:sz w:val="16"/>
              </w:rPr>
              <w:t>691.020,94</w:t>
            </w:r>
          </w:p>
        </w:tc>
        <w:tc>
          <w:tcPr>
            <w:tcW w:w="458" w:type="dxa"/>
            <w:tcBorders>
              <w:top w:val="single" w:sz="4" w:space="0" w:color="001F5F"/>
              <w:bottom w:val="single" w:sz="4" w:space="0" w:color="001F5F"/>
            </w:tcBorders>
          </w:tcPr>
          <w:p>
            <w:pPr>
              <w:pStyle w:val="TableParagraph"/>
              <w:spacing w:before="90"/>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0"/>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before="90"/>
              <w:ind w:left="13" w:right="1"/>
              <w:jc w:val="center"/>
              <w:rPr>
                <w:sz w:val="16"/>
              </w:rPr>
            </w:pPr>
            <w:r>
              <w:rPr>
                <w:sz w:val="16"/>
              </w:rPr>
              <w:t>En</w:t>
            </w:r>
            <w:r>
              <w:rPr>
                <w:spacing w:val="-2"/>
                <w:sz w:val="16"/>
              </w:rPr>
              <w:t> ejecución</w:t>
            </w:r>
          </w:p>
        </w:tc>
      </w:tr>
      <w:tr>
        <w:trPr>
          <w:trHeight w:val="197" w:hRule="atLeast"/>
        </w:trPr>
        <w:tc>
          <w:tcPr>
            <w:tcW w:w="994" w:type="dxa"/>
          </w:tcPr>
          <w:p>
            <w:pPr>
              <w:pStyle w:val="TableParagraph"/>
              <w:rPr>
                <w:rFonts w:ascii="Times New Roman"/>
                <w:sz w:val="12"/>
              </w:rPr>
            </w:pPr>
          </w:p>
        </w:tc>
        <w:tc>
          <w:tcPr>
            <w:tcW w:w="2553" w:type="dxa"/>
            <w:tcBorders>
              <w:top w:val="single" w:sz="4" w:space="0" w:color="001F5F"/>
              <w:bottom w:val="single" w:sz="4" w:space="0" w:color="001F5F"/>
            </w:tcBorders>
          </w:tcPr>
          <w:p>
            <w:pPr>
              <w:pStyle w:val="TableParagraph"/>
              <w:spacing w:line="173" w:lineRule="exact" w:before="4"/>
              <w:ind w:left="69"/>
              <w:rPr>
                <w:sz w:val="16"/>
              </w:rPr>
            </w:pPr>
            <w:r>
              <w:rPr>
                <w:sz w:val="16"/>
              </w:rPr>
              <w:t>Marquesinas</w:t>
            </w:r>
            <w:r>
              <w:rPr>
                <w:spacing w:val="-11"/>
                <w:sz w:val="16"/>
              </w:rPr>
              <w:t> </w:t>
            </w:r>
            <w:r>
              <w:rPr>
                <w:spacing w:val="-2"/>
                <w:sz w:val="16"/>
              </w:rPr>
              <w:t>inteligentes</w:t>
            </w:r>
          </w:p>
        </w:tc>
        <w:tc>
          <w:tcPr>
            <w:tcW w:w="594" w:type="dxa"/>
            <w:tcBorders>
              <w:top w:val="single" w:sz="4" w:space="0" w:color="001F5F"/>
              <w:bottom w:val="single" w:sz="4" w:space="0" w:color="001F5F"/>
            </w:tcBorders>
          </w:tcPr>
          <w:p>
            <w:pPr>
              <w:pStyle w:val="TableParagraph"/>
              <w:spacing w:line="173" w:lineRule="exact" w:before="4"/>
              <w:ind w:right="102"/>
              <w:jc w:val="right"/>
              <w:rPr>
                <w:sz w:val="16"/>
              </w:rPr>
            </w:pPr>
            <w:r>
              <w:rPr>
                <w:spacing w:val="-10"/>
                <w:sz w:val="16"/>
              </w:rPr>
              <w:t>2</w:t>
            </w:r>
          </w:p>
        </w:tc>
        <w:tc>
          <w:tcPr>
            <w:tcW w:w="1051" w:type="dxa"/>
            <w:tcBorders>
              <w:top w:val="single" w:sz="4" w:space="0" w:color="001F5F"/>
              <w:bottom w:val="single" w:sz="4" w:space="0" w:color="001F5F"/>
            </w:tcBorders>
          </w:tcPr>
          <w:p>
            <w:pPr>
              <w:pStyle w:val="TableParagraph"/>
              <w:spacing w:line="173" w:lineRule="exact" w:before="4"/>
              <w:ind w:right="76"/>
              <w:jc w:val="right"/>
              <w:rPr>
                <w:sz w:val="16"/>
              </w:rPr>
            </w:pPr>
            <w:r>
              <w:rPr>
                <w:spacing w:val="-2"/>
                <w:sz w:val="16"/>
              </w:rPr>
              <w:t>730.765,00</w:t>
            </w:r>
          </w:p>
        </w:tc>
        <w:tc>
          <w:tcPr>
            <w:tcW w:w="1052" w:type="dxa"/>
            <w:tcBorders>
              <w:top w:val="single" w:sz="4" w:space="0" w:color="001F5F"/>
              <w:bottom w:val="single" w:sz="4" w:space="0" w:color="001F5F"/>
            </w:tcBorders>
          </w:tcPr>
          <w:p>
            <w:pPr>
              <w:pStyle w:val="TableParagraph"/>
              <w:spacing w:line="173" w:lineRule="exact" w:before="4"/>
              <w:ind w:right="71"/>
              <w:jc w:val="right"/>
              <w:rPr>
                <w:sz w:val="16"/>
              </w:rPr>
            </w:pPr>
            <w:r>
              <w:rPr>
                <w:spacing w:val="-2"/>
                <w:sz w:val="16"/>
              </w:rPr>
              <w:t>82.233,47</w:t>
            </w:r>
          </w:p>
        </w:tc>
        <w:tc>
          <w:tcPr>
            <w:tcW w:w="1080" w:type="dxa"/>
            <w:tcBorders>
              <w:top w:val="single" w:sz="4" w:space="0" w:color="001F5F"/>
              <w:bottom w:val="single" w:sz="4" w:space="0" w:color="001F5F"/>
            </w:tcBorders>
          </w:tcPr>
          <w:p>
            <w:pPr>
              <w:pStyle w:val="TableParagraph"/>
              <w:spacing w:line="173" w:lineRule="exact" w:before="4"/>
              <w:ind w:right="160"/>
              <w:jc w:val="right"/>
              <w:rPr>
                <w:sz w:val="16"/>
              </w:rPr>
            </w:pPr>
            <w:r>
              <w:rPr>
                <w:spacing w:val="-2"/>
                <w:sz w:val="16"/>
              </w:rPr>
              <w:t>648.531,53</w:t>
            </w:r>
          </w:p>
        </w:tc>
        <w:tc>
          <w:tcPr>
            <w:tcW w:w="458" w:type="dxa"/>
            <w:tcBorders>
              <w:top w:val="single" w:sz="4" w:space="0" w:color="001F5F"/>
              <w:bottom w:val="single" w:sz="4" w:space="0" w:color="001F5F"/>
            </w:tcBorders>
          </w:tcPr>
          <w:p>
            <w:pPr>
              <w:pStyle w:val="TableParagraph"/>
              <w:spacing w:line="173" w:lineRule="exact" w:before="4"/>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line="173" w:lineRule="exact" w:before="4"/>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line="173" w:lineRule="exact" w:before="4"/>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3" w:lineRule="exact" w:before="4"/>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line="173" w:lineRule="exact" w:before="4"/>
              <w:ind w:left="13" w:right="1"/>
              <w:jc w:val="center"/>
              <w:rPr>
                <w:sz w:val="16"/>
              </w:rPr>
            </w:pPr>
            <w:r>
              <w:rPr>
                <w:sz w:val="16"/>
              </w:rPr>
              <w:t>En</w:t>
            </w:r>
            <w:r>
              <w:rPr>
                <w:spacing w:val="-2"/>
                <w:sz w:val="16"/>
              </w:rPr>
              <w:t> ejecución</w:t>
            </w:r>
          </w:p>
        </w:tc>
      </w:tr>
      <w:tr>
        <w:trPr>
          <w:trHeight w:val="366" w:hRule="atLeast"/>
        </w:trPr>
        <w:tc>
          <w:tcPr>
            <w:tcW w:w="994" w:type="dxa"/>
          </w:tcPr>
          <w:p>
            <w:pPr>
              <w:pStyle w:val="TableParagraph"/>
              <w:rPr>
                <w:rFonts w:ascii="Times New Roman"/>
                <w:sz w:val="18"/>
              </w:rPr>
            </w:pPr>
          </w:p>
        </w:tc>
        <w:tc>
          <w:tcPr>
            <w:tcW w:w="2553" w:type="dxa"/>
            <w:tcBorders>
              <w:top w:val="single" w:sz="4" w:space="0" w:color="001F5F"/>
              <w:bottom w:val="single" w:sz="4" w:space="0" w:color="001F5F"/>
            </w:tcBorders>
          </w:tcPr>
          <w:p>
            <w:pPr>
              <w:pStyle w:val="TableParagraph"/>
              <w:spacing w:line="182" w:lineRule="exact"/>
              <w:ind w:left="69" w:right="91"/>
              <w:rPr>
                <w:sz w:val="16"/>
              </w:rPr>
            </w:pPr>
            <w:r>
              <w:rPr>
                <w:sz w:val="16"/>
              </w:rPr>
              <w:t>Digitalización</w:t>
            </w:r>
            <w:r>
              <w:rPr>
                <w:spacing w:val="-7"/>
                <w:sz w:val="16"/>
              </w:rPr>
              <w:t> </w:t>
            </w:r>
            <w:r>
              <w:rPr>
                <w:sz w:val="16"/>
              </w:rPr>
              <w:t>de</w:t>
            </w:r>
            <w:r>
              <w:rPr>
                <w:spacing w:val="-7"/>
                <w:sz w:val="16"/>
              </w:rPr>
              <w:t> </w:t>
            </w:r>
            <w:r>
              <w:rPr>
                <w:sz w:val="16"/>
              </w:rPr>
              <w:t>las</w:t>
            </w:r>
            <w:r>
              <w:rPr>
                <w:spacing w:val="-8"/>
                <w:sz w:val="16"/>
              </w:rPr>
              <w:t> </w:t>
            </w:r>
            <w:r>
              <w:rPr>
                <w:sz w:val="16"/>
              </w:rPr>
              <w:t>actividades</w:t>
            </w:r>
            <w:r>
              <w:rPr>
                <w:spacing w:val="-8"/>
                <w:sz w:val="16"/>
              </w:rPr>
              <w:t> </w:t>
            </w:r>
            <w:r>
              <w:rPr>
                <w:sz w:val="16"/>
              </w:rPr>
              <w:t>del</w:t>
            </w:r>
            <w:r>
              <w:rPr>
                <w:spacing w:val="-8"/>
                <w:sz w:val="16"/>
              </w:rPr>
              <w:t> </w:t>
            </w:r>
            <w:r>
              <w:rPr>
                <w:sz w:val="16"/>
              </w:rPr>
              <w:t>taller</w:t>
            </w:r>
            <w:r>
              <w:rPr>
                <w:spacing w:val="40"/>
                <w:sz w:val="16"/>
              </w:rPr>
              <w:t> </w:t>
            </w:r>
            <w:r>
              <w:rPr>
                <w:sz w:val="16"/>
              </w:rPr>
              <w:t>y</w:t>
            </w:r>
            <w:r>
              <w:rPr>
                <w:spacing w:val="-8"/>
                <w:sz w:val="16"/>
              </w:rPr>
              <w:t> </w:t>
            </w:r>
            <w:r>
              <w:rPr>
                <w:sz w:val="16"/>
              </w:rPr>
              <w:t>auxiliares</w:t>
            </w:r>
          </w:p>
        </w:tc>
        <w:tc>
          <w:tcPr>
            <w:tcW w:w="594" w:type="dxa"/>
            <w:tcBorders>
              <w:top w:val="single" w:sz="4" w:space="0" w:color="001F5F"/>
              <w:bottom w:val="single" w:sz="4" w:space="0" w:color="001F5F"/>
            </w:tcBorders>
          </w:tcPr>
          <w:p>
            <w:pPr>
              <w:pStyle w:val="TableParagraph"/>
              <w:spacing w:before="90"/>
              <w:ind w:right="102"/>
              <w:jc w:val="right"/>
              <w:rPr>
                <w:sz w:val="16"/>
              </w:rPr>
            </w:pPr>
            <w:r>
              <w:rPr>
                <w:spacing w:val="-10"/>
                <w:sz w:val="16"/>
              </w:rPr>
              <w:t>2</w:t>
            </w:r>
          </w:p>
        </w:tc>
        <w:tc>
          <w:tcPr>
            <w:tcW w:w="1051" w:type="dxa"/>
            <w:tcBorders>
              <w:top w:val="single" w:sz="4" w:space="0" w:color="001F5F"/>
              <w:bottom w:val="single" w:sz="4" w:space="0" w:color="001F5F"/>
            </w:tcBorders>
          </w:tcPr>
          <w:p>
            <w:pPr>
              <w:pStyle w:val="TableParagraph"/>
              <w:spacing w:before="90"/>
              <w:ind w:right="75"/>
              <w:jc w:val="right"/>
              <w:rPr>
                <w:sz w:val="16"/>
              </w:rPr>
            </w:pPr>
            <w:r>
              <w:rPr>
                <w:spacing w:val="-2"/>
                <w:sz w:val="16"/>
              </w:rPr>
              <w:t>85.142,01</w:t>
            </w:r>
          </w:p>
        </w:tc>
        <w:tc>
          <w:tcPr>
            <w:tcW w:w="1052" w:type="dxa"/>
            <w:tcBorders>
              <w:top w:val="single" w:sz="4" w:space="0" w:color="001F5F"/>
              <w:bottom w:val="single" w:sz="4" w:space="0" w:color="001F5F"/>
            </w:tcBorders>
          </w:tcPr>
          <w:p>
            <w:pPr>
              <w:pStyle w:val="TableParagraph"/>
              <w:spacing w:before="90"/>
              <w:ind w:right="71"/>
              <w:jc w:val="right"/>
              <w:rPr>
                <w:sz w:val="16"/>
              </w:rPr>
            </w:pPr>
            <w:r>
              <w:rPr>
                <w:spacing w:val="-2"/>
                <w:sz w:val="16"/>
              </w:rPr>
              <w:t>8.514,20</w:t>
            </w:r>
          </w:p>
        </w:tc>
        <w:tc>
          <w:tcPr>
            <w:tcW w:w="1080" w:type="dxa"/>
            <w:tcBorders>
              <w:top w:val="single" w:sz="4" w:space="0" w:color="001F5F"/>
              <w:bottom w:val="single" w:sz="4" w:space="0" w:color="001F5F"/>
            </w:tcBorders>
          </w:tcPr>
          <w:p>
            <w:pPr>
              <w:pStyle w:val="TableParagraph"/>
              <w:spacing w:before="90"/>
              <w:ind w:right="160"/>
              <w:jc w:val="right"/>
              <w:rPr>
                <w:sz w:val="16"/>
              </w:rPr>
            </w:pPr>
            <w:r>
              <w:rPr>
                <w:spacing w:val="-2"/>
                <w:sz w:val="16"/>
              </w:rPr>
              <w:t>76.627,81</w:t>
            </w:r>
          </w:p>
        </w:tc>
        <w:tc>
          <w:tcPr>
            <w:tcW w:w="458" w:type="dxa"/>
            <w:tcBorders>
              <w:top w:val="single" w:sz="4" w:space="0" w:color="001F5F"/>
              <w:bottom w:val="single" w:sz="4" w:space="0" w:color="001F5F"/>
            </w:tcBorders>
          </w:tcPr>
          <w:p>
            <w:pPr>
              <w:pStyle w:val="TableParagraph"/>
              <w:spacing w:before="90"/>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0"/>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before="90"/>
              <w:ind w:left="13" w:right="1"/>
              <w:jc w:val="center"/>
              <w:rPr>
                <w:sz w:val="16"/>
              </w:rPr>
            </w:pPr>
            <w:r>
              <w:rPr>
                <w:sz w:val="16"/>
              </w:rPr>
              <w:t>En</w:t>
            </w:r>
            <w:r>
              <w:rPr>
                <w:spacing w:val="-2"/>
                <w:sz w:val="16"/>
              </w:rPr>
              <w:t> ejecución</w:t>
            </w:r>
          </w:p>
        </w:tc>
      </w:tr>
      <w:tr>
        <w:trPr>
          <w:trHeight w:val="366" w:hRule="atLeast"/>
        </w:trPr>
        <w:tc>
          <w:tcPr>
            <w:tcW w:w="994" w:type="dxa"/>
          </w:tcPr>
          <w:p>
            <w:pPr>
              <w:pStyle w:val="TableParagraph"/>
              <w:rPr>
                <w:rFonts w:ascii="Times New Roman"/>
                <w:sz w:val="18"/>
              </w:rPr>
            </w:pPr>
          </w:p>
        </w:tc>
        <w:tc>
          <w:tcPr>
            <w:tcW w:w="2553" w:type="dxa"/>
            <w:tcBorders>
              <w:top w:val="single" w:sz="4" w:space="0" w:color="001F5F"/>
              <w:bottom w:val="single" w:sz="4" w:space="0" w:color="001F5F"/>
            </w:tcBorders>
          </w:tcPr>
          <w:p>
            <w:pPr>
              <w:pStyle w:val="TableParagraph"/>
              <w:spacing w:line="184" w:lineRule="exact"/>
              <w:ind w:left="69"/>
              <w:rPr>
                <w:sz w:val="16"/>
              </w:rPr>
            </w:pPr>
            <w:r>
              <w:rPr>
                <w:sz w:val="16"/>
              </w:rPr>
              <w:t>Sistema</w:t>
            </w:r>
            <w:r>
              <w:rPr>
                <w:spacing w:val="-10"/>
                <w:sz w:val="16"/>
              </w:rPr>
              <w:t> </w:t>
            </w:r>
            <w:r>
              <w:rPr>
                <w:sz w:val="16"/>
              </w:rPr>
              <w:t>de</w:t>
            </w:r>
            <w:r>
              <w:rPr>
                <w:spacing w:val="-9"/>
                <w:sz w:val="16"/>
              </w:rPr>
              <w:t> </w:t>
            </w:r>
            <w:r>
              <w:rPr>
                <w:sz w:val="16"/>
              </w:rPr>
              <w:t>antiemparejamiento</w:t>
            </w:r>
            <w:r>
              <w:rPr>
                <w:spacing w:val="-9"/>
                <w:sz w:val="16"/>
              </w:rPr>
              <w:t> </w:t>
            </w:r>
            <w:r>
              <w:rPr>
                <w:sz w:val="16"/>
              </w:rPr>
              <w:t>de</w:t>
            </w:r>
            <w:r>
              <w:rPr>
                <w:spacing w:val="40"/>
                <w:sz w:val="16"/>
              </w:rPr>
              <w:t> </w:t>
            </w:r>
            <w:r>
              <w:rPr>
                <w:sz w:val="16"/>
              </w:rPr>
              <w:t>autobuses y conducción eficiente</w:t>
            </w:r>
          </w:p>
        </w:tc>
        <w:tc>
          <w:tcPr>
            <w:tcW w:w="594" w:type="dxa"/>
            <w:tcBorders>
              <w:top w:val="single" w:sz="4" w:space="0" w:color="001F5F"/>
              <w:bottom w:val="single" w:sz="4" w:space="0" w:color="001F5F"/>
            </w:tcBorders>
          </w:tcPr>
          <w:p>
            <w:pPr>
              <w:pStyle w:val="TableParagraph"/>
              <w:spacing w:before="90"/>
              <w:ind w:right="102"/>
              <w:jc w:val="right"/>
              <w:rPr>
                <w:sz w:val="16"/>
              </w:rPr>
            </w:pPr>
            <w:r>
              <w:rPr>
                <w:spacing w:val="-10"/>
                <w:sz w:val="16"/>
              </w:rPr>
              <w:t>1</w:t>
            </w:r>
          </w:p>
        </w:tc>
        <w:tc>
          <w:tcPr>
            <w:tcW w:w="1051" w:type="dxa"/>
            <w:tcBorders>
              <w:top w:val="single" w:sz="4" w:space="0" w:color="001F5F"/>
              <w:bottom w:val="single" w:sz="4" w:space="0" w:color="001F5F"/>
            </w:tcBorders>
          </w:tcPr>
          <w:p>
            <w:pPr>
              <w:pStyle w:val="TableParagraph"/>
              <w:spacing w:before="90"/>
              <w:ind w:right="76"/>
              <w:jc w:val="right"/>
              <w:rPr>
                <w:sz w:val="16"/>
              </w:rPr>
            </w:pPr>
            <w:r>
              <w:rPr>
                <w:spacing w:val="-2"/>
                <w:sz w:val="16"/>
              </w:rPr>
              <w:t>197.452,93</w:t>
            </w:r>
          </w:p>
        </w:tc>
        <w:tc>
          <w:tcPr>
            <w:tcW w:w="1052" w:type="dxa"/>
            <w:tcBorders>
              <w:top w:val="single" w:sz="4" w:space="0" w:color="001F5F"/>
              <w:bottom w:val="single" w:sz="4" w:space="0" w:color="001F5F"/>
            </w:tcBorders>
          </w:tcPr>
          <w:p>
            <w:pPr>
              <w:pStyle w:val="TableParagraph"/>
              <w:spacing w:before="90"/>
              <w:ind w:right="71"/>
              <w:jc w:val="right"/>
              <w:rPr>
                <w:sz w:val="16"/>
              </w:rPr>
            </w:pPr>
            <w:r>
              <w:rPr>
                <w:spacing w:val="-2"/>
                <w:sz w:val="16"/>
              </w:rPr>
              <w:t>21.161,38</w:t>
            </w:r>
          </w:p>
        </w:tc>
        <w:tc>
          <w:tcPr>
            <w:tcW w:w="1080" w:type="dxa"/>
            <w:tcBorders>
              <w:top w:val="single" w:sz="4" w:space="0" w:color="001F5F"/>
              <w:bottom w:val="single" w:sz="4" w:space="0" w:color="001F5F"/>
            </w:tcBorders>
          </w:tcPr>
          <w:p>
            <w:pPr>
              <w:pStyle w:val="TableParagraph"/>
              <w:spacing w:before="90"/>
              <w:ind w:right="160"/>
              <w:jc w:val="right"/>
              <w:rPr>
                <w:sz w:val="16"/>
              </w:rPr>
            </w:pPr>
            <w:r>
              <w:rPr>
                <w:spacing w:val="-2"/>
                <w:sz w:val="16"/>
              </w:rPr>
              <w:t>176.291,55</w:t>
            </w:r>
          </w:p>
        </w:tc>
        <w:tc>
          <w:tcPr>
            <w:tcW w:w="458" w:type="dxa"/>
            <w:tcBorders>
              <w:top w:val="single" w:sz="4" w:space="0" w:color="001F5F"/>
              <w:bottom w:val="single" w:sz="4" w:space="0" w:color="001F5F"/>
            </w:tcBorders>
          </w:tcPr>
          <w:p>
            <w:pPr>
              <w:pStyle w:val="TableParagraph"/>
              <w:spacing w:before="90"/>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0"/>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before="90"/>
              <w:ind w:left="13" w:right="1"/>
              <w:jc w:val="center"/>
              <w:rPr>
                <w:sz w:val="16"/>
              </w:rPr>
            </w:pPr>
            <w:r>
              <w:rPr>
                <w:sz w:val="16"/>
              </w:rPr>
              <w:t>En</w:t>
            </w:r>
            <w:r>
              <w:rPr>
                <w:spacing w:val="-2"/>
                <w:sz w:val="16"/>
              </w:rPr>
              <w:t> ejecución</w:t>
            </w:r>
          </w:p>
        </w:tc>
      </w:tr>
      <w:tr>
        <w:trPr>
          <w:trHeight w:val="365" w:hRule="atLeast"/>
        </w:trPr>
        <w:tc>
          <w:tcPr>
            <w:tcW w:w="994" w:type="dxa"/>
          </w:tcPr>
          <w:p>
            <w:pPr>
              <w:pStyle w:val="TableParagraph"/>
              <w:rPr>
                <w:rFonts w:ascii="Times New Roman"/>
                <w:sz w:val="18"/>
              </w:rPr>
            </w:pPr>
          </w:p>
        </w:tc>
        <w:tc>
          <w:tcPr>
            <w:tcW w:w="2553" w:type="dxa"/>
            <w:tcBorders>
              <w:top w:val="single" w:sz="4" w:space="0" w:color="001F5F"/>
              <w:bottom w:val="single" w:sz="4" w:space="0" w:color="001F5F"/>
            </w:tcBorders>
          </w:tcPr>
          <w:p>
            <w:pPr>
              <w:pStyle w:val="TableParagraph"/>
              <w:spacing w:line="181" w:lineRule="exact"/>
              <w:ind w:left="69"/>
              <w:rPr>
                <w:sz w:val="16"/>
              </w:rPr>
            </w:pPr>
            <w:r>
              <w:rPr>
                <w:sz w:val="16"/>
              </w:rPr>
              <w:t>Sistema</w:t>
            </w:r>
            <w:r>
              <w:rPr>
                <w:spacing w:val="-5"/>
                <w:sz w:val="16"/>
              </w:rPr>
              <w:t> </w:t>
            </w:r>
            <w:r>
              <w:rPr>
                <w:sz w:val="16"/>
              </w:rPr>
              <w:t>de</w:t>
            </w:r>
            <w:r>
              <w:rPr>
                <w:spacing w:val="-2"/>
                <w:sz w:val="16"/>
              </w:rPr>
              <w:t> </w:t>
            </w:r>
            <w:r>
              <w:rPr>
                <w:sz w:val="16"/>
              </w:rPr>
              <w:t>control</w:t>
            </w:r>
            <w:r>
              <w:rPr>
                <w:spacing w:val="-7"/>
                <w:sz w:val="16"/>
              </w:rPr>
              <w:t> </w:t>
            </w:r>
            <w:r>
              <w:rPr>
                <w:sz w:val="16"/>
              </w:rPr>
              <w:t>de</w:t>
            </w:r>
            <w:r>
              <w:rPr>
                <w:spacing w:val="-4"/>
                <w:sz w:val="16"/>
              </w:rPr>
              <w:t> </w:t>
            </w:r>
            <w:r>
              <w:rPr>
                <w:sz w:val="16"/>
              </w:rPr>
              <w:t>aforos</w:t>
            </w:r>
            <w:r>
              <w:rPr>
                <w:spacing w:val="-5"/>
                <w:sz w:val="16"/>
              </w:rPr>
              <w:t> </w:t>
            </w:r>
            <w:r>
              <w:rPr>
                <w:sz w:val="16"/>
              </w:rPr>
              <w:t>y</w:t>
            </w:r>
            <w:r>
              <w:rPr>
                <w:spacing w:val="-4"/>
                <w:sz w:val="16"/>
              </w:rPr>
              <w:t> </w:t>
            </w:r>
            <w:r>
              <w:rPr>
                <w:sz w:val="16"/>
              </w:rPr>
              <w:t>cálculo</w:t>
            </w:r>
            <w:r>
              <w:rPr>
                <w:spacing w:val="-2"/>
                <w:sz w:val="16"/>
              </w:rPr>
              <w:t> </w:t>
            </w:r>
            <w:r>
              <w:rPr>
                <w:spacing w:val="-5"/>
                <w:sz w:val="16"/>
              </w:rPr>
              <w:t>de</w:t>
            </w:r>
          </w:p>
          <w:p>
            <w:pPr>
              <w:pStyle w:val="TableParagraph"/>
              <w:spacing w:line="163" w:lineRule="exact" w:before="1"/>
              <w:ind w:left="69"/>
              <w:rPr>
                <w:sz w:val="16"/>
              </w:rPr>
            </w:pPr>
            <w:r>
              <w:rPr>
                <w:spacing w:val="-2"/>
                <w:sz w:val="16"/>
              </w:rPr>
              <w:t>matrices</w:t>
            </w:r>
            <w:r>
              <w:rPr>
                <w:spacing w:val="17"/>
                <w:sz w:val="16"/>
              </w:rPr>
              <w:t> </w:t>
            </w:r>
            <w:r>
              <w:rPr>
                <w:spacing w:val="-2"/>
                <w:sz w:val="16"/>
              </w:rPr>
              <w:t>origen-destino</w:t>
            </w:r>
          </w:p>
        </w:tc>
        <w:tc>
          <w:tcPr>
            <w:tcW w:w="594" w:type="dxa"/>
            <w:tcBorders>
              <w:top w:val="single" w:sz="4" w:space="0" w:color="001F5F"/>
              <w:bottom w:val="single" w:sz="4" w:space="0" w:color="001F5F"/>
            </w:tcBorders>
          </w:tcPr>
          <w:p>
            <w:pPr>
              <w:pStyle w:val="TableParagraph"/>
              <w:spacing w:before="91"/>
              <w:ind w:right="102"/>
              <w:jc w:val="right"/>
              <w:rPr>
                <w:sz w:val="16"/>
              </w:rPr>
            </w:pPr>
            <w:r>
              <w:rPr>
                <w:spacing w:val="-10"/>
                <w:sz w:val="16"/>
              </w:rPr>
              <w:t>1</w:t>
            </w:r>
          </w:p>
        </w:tc>
        <w:tc>
          <w:tcPr>
            <w:tcW w:w="1051" w:type="dxa"/>
            <w:tcBorders>
              <w:top w:val="single" w:sz="4" w:space="0" w:color="001F5F"/>
              <w:bottom w:val="single" w:sz="4" w:space="0" w:color="001F5F"/>
            </w:tcBorders>
          </w:tcPr>
          <w:p>
            <w:pPr>
              <w:pStyle w:val="TableParagraph"/>
              <w:spacing w:before="91"/>
              <w:ind w:right="76"/>
              <w:jc w:val="right"/>
              <w:rPr>
                <w:sz w:val="16"/>
              </w:rPr>
            </w:pPr>
            <w:r>
              <w:rPr>
                <w:spacing w:val="-2"/>
                <w:sz w:val="16"/>
              </w:rPr>
              <w:t>126.758,43</w:t>
            </w:r>
          </w:p>
        </w:tc>
        <w:tc>
          <w:tcPr>
            <w:tcW w:w="1052" w:type="dxa"/>
            <w:tcBorders>
              <w:top w:val="single" w:sz="4" w:space="0" w:color="001F5F"/>
              <w:bottom w:val="single" w:sz="4" w:space="0" w:color="001F5F"/>
            </w:tcBorders>
          </w:tcPr>
          <w:p>
            <w:pPr>
              <w:pStyle w:val="TableParagraph"/>
              <w:spacing w:before="91"/>
              <w:ind w:right="71"/>
              <w:jc w:val="right"/>
              <w:rPr>
                <w:sz w:val="16"/>
              </w:rPr>
            </w:pPr>
            <w:r>
              <w:rPr>
                <w:spacing w:val="-2"/>
                <w:sz w:val="16"/>
              </w:rPr>
              <w:t>37.072,67</w:t>
            </w:r>
          </w:p>
        </w:tc>
        <w:tc>
          <w:tcPr>
            <w:tcW w:w="1080" w:type="dxa"/>
            <w:tcBorders>
              <w:top w:val="single" w:sz="4" w:space="0" w:color="001F5F"/>
              <w:bottom w:val="single" w:sz="4" w:space="0" w:color="001F5F"/>
            </w:tcBorders>
          </w:tcPr>
          <w:p>
            <w:pPr>
              <w:pStyle w:val="TableParagraph"/>
              <w:spacing w:before="91"/>
              <w:ind w:right="160"/>
              <w:jc w:val="right"/>
              <w:rPr>
                <w:sz w:val="16"/>
              </w:rPr>
            </w:pPr>
            <w:r>
              <w:rPr>
                <w:spacing w:val="-2"/>
                <w:sz w:val="16"/>
              </w:rPr>
              <w:t>89.685,76</w:t>
            </w:r>
          </w:p>
        </w:tc>
        <w:tc>
          <w:tcPr>
            <w:tcW w:w="458" w:type="dxa"/>
            <w:tcBorders>
              <w:top w:val="single" w:sz="4" w:space="0" w:color="001F5F"/>
              <w:bottom w:val="single" w:sz="4" w:space="0" w:color="001F5F"/>
            </w:tcBorders>
          </w:tcPr>
          <w:p>
            <w:pPr>
              <w:pStyle w:val="TableParagraph"/>
              <w:spacing w:before="91"/>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1"/>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1"/>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1"/>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before="91"/>
              <w:ind w:left="13" w:right="1"/>
              <w:jc w:val="center"/>
              <w:rPr>
                <w:sz w:val="16"/>
              </w:rPr>
            </w:pPr>
            <w:r>
              <w:rPr>
                <w:sz w:val="16"/>
              </w:rPr>
              <w:t>En</w:t>
            </w:r>
            <w:r>
              <w:rPr>
                <w:spacing w:val="-2"/>
                <w:sz w:val="16"/>
              </w:rPr>
              <w:t> ejecución</w:t>
            </w:r>
          </w:p>
        </w:tc>
      </w:tr>
      <w:tr>
        <w:trPr>
          <w:trHeight w:val="367" w:hRule="atLeast"/>
        </w:trPr>
        <w:tc>
          <w:tcPr>
            <w:tcW w:w="994" w:type="dxa"/>
          </w:tcPr>
          <w:p>
            <w:pPr>
              <w:pStyle w:val="TableParagraph"/>
              <w:rPr>
                <w:sz w:val="16"/>
              </w:rPr>
            </w:pPr>
          </w:p>
          <w:p>
            <w:pPr>
              <w:pStyle w:val="TableParagraph"/>
              <w:spacing w:line="163" w:lineRule="exact"/>
              <w:ind w:left="70"/>
              <w:rPr>
                <w:b/>
                <w:sz w:val="16"/>
              </w:rPr>
            </w:pPr>
            <w:r>
              <w:rPr>
                <w:b/>
                <w:spacing w:val="-2"/>
                <w:sz w:val="16"/>
              </w:rPr>
              <w:t>PALMA</w:t>
            </w:r>
          </w:p>
        </w:tc>
        <w:tc>
          <w:tcPr>
            <w:tcW w:w="2553" w:type="dxa"/>
            <w:tcBorders>
              <w:top w:val="single" w:sz="4" w:space="0" w:color="001F5F"/>
              <w:bottom w:val="single" w:sz="4" w:space="0" w:color="001F5F"/>
            </w:tcBorders>
          </w:tcPr>
          <w:p>
            <w:pPr>
              <w:pStyle w:val="TableParagraph"/>
              <w:spacing w:line="184" w:lineRule="exact"/>
              <w:ind w:left="69" w:right="91"/>
              <w:rPr>
                <w:sz w:val="16"/>
              </w:rPr>
            </w:pPr>
            <w:r>
              <w:rPr>
                <w:sz w:val="16"/>
              </w:rPr>
              <w:t>Sistema</w:t>
            </w:r>
            <w:r>
              <w:rPr>
                <w:spacing w:val="-10"/>
                <w:sz w:val="16"/>
              </w:rPr>
              <w:t> </w:t>
            </w:r>
            <w:r>
              <w:rPr>
                <w:sz w:val="16"/>
              </w:rPr>
              <w:t>de</w:t>
            </w:r>
            <w:r>
              <w:rPr>
                <w:spacing w:val="-9"/>
                <w:sz w:val="16"/>
              </w:rPr>
              <w:t> </w:t>
            </w:r>
            <w:r>
              <w:rPr>
                <w:sz w:val="16"/>
              </w:rPr>
              <w:t>sensorización</w:t>
            </w:r>
            <w:r>
              <w:rPr>
                <w:spacing w:val="-9"/>
                <w:sz w:val="16"/>
              </w:rPr>
              <w:t> </w:t>
            </w:r>
            <w:r>
              <w:rPr>
                <w:sz w:val="16"/>
              </w:rPr>
              <w:t>y</w:t>
            </w:r>
            <w:r>
              <w:rPr>
                <w:spacing w:val="40"/>
                <w:sz w:val="16"/>
              </w:rPr>
              <w:t> </w:t>
            </w:r>
            <w:r>
              <w:rPr>
                <w:sz w:val="16"/>
              </w:rPr>
              <w:t>monitorización</w:t>
            </w:r>
            <w:r>
              <w:rPr>
                <w:spacing w:val="-8"/>
                <w:sz w:val="16"/>
              </w:rPr>
              <w:t> </w:t>
            </w:r>
            <w:r>
              <w:rPr>
                <w:sz w:val="16"/>
              </w:rPr>
              <w:t>autobuses</w:t>
            </w:r>
          </w:p>
        </w:tc>
        <w:tc>
          <w:tcPr>
            <w:tcW w:w="594" w:type="dxa"/>
            <w:tcBorders>
              <w:top w:val="single" w:sz="4" w:space="0" w:color="001F5F"/>
              <w:bottom w:val="single" w:sz="4" w:space="0" w:color="001F5F"/>
            </w:tcBorders>
          </w:tcPr>
          <w:p>
            <w:pPr>
              <w:pStyle w:val="TableParagraph"/>
              <w:spacing w:before="93"/>
              <w:ind w:right="102"/>
              <w:jc w:val="right"/>
              <w:rPr>
                <w:sz w:val="16"/>
              </w:rPr>
            </w:pPr>
            <w:r>
              <w:rPr>
                <w:spacing w:val="-10"/>
                <w:sz w:val="16"/>
              </w:rPr>
              <w:t>1</w:t>
            </w:r>
          </w:p>
        </w:tc>
        <w:tc>
          <w:tcPr>
            <w:tcW w:w="1051" w:type="dxa"/>
            <w:tcBorders>
              <w:top w:val="single" w:sz="4" w:space="0" w:color="001F5F"/>
              <w:bottom w:val="single" w:sz="4" w:space="0" w:color="001F5F"/>
            </w:tcBorders>
          </w:tcPr>
          <w:p>
            <w:pPr>
              <w:pStyle w:val="TableParagraph"/>
              <w:spacing w:before="93"/>
              <w:ind w:right="76"/>
              <w:jc w:val="right"/>
              <w:rPr>
                <w:sz w:val="16"/>
              </w:rPr>
            </w:pPr>
            <w:r>
              <w:rPr>
                <w:spacing w:val="-2"/>
                <w:sz w:val="16"/>
              </w:rPr>
              <w:t>237.595,00</w:t>
            </w:r>
          </w:p>
        </w:tc>
        <w:tc>
          <w:tcPr>
            <w:tcW w:w="1052" w:type="dxa"/>
            <w:tcBorders>
              <w:top w:val="single" w:sz="4" w:space="0" w:color="001F5F"/>
              <w:bottom w:val="single" w:sz="4" w:space="0" w:color="001F5F"/>
            </w:tcBorders>
          </w:tcPr>
          <w:p>
            <w:pPr>
              <w:pStyle w:val="TableParagraph"/>
              <w:spacing w:before="93"/>
              <w:ind w:right="71"/>
              <w:jc w:val="right"/>
              <w:rPr>
                <w:sz w:val="16"/>
              </w:rPr>
            </w:pPr>
            <w:r>
              <w:rPr>
                <w:spacing w:val="-2"/>
                <w:sz w:val="16"/>
              </w:rPr>
              <w:t>23.759,50</w:t>
            </w:r>
          </w:p>
        </w:tc>
        <w:tc>
          <w:tcPr>
            <w:tcW w:w="1080" w:type="dxa"/>
            <w:tcBorders>
              <w:top w:val="single" w:sz="4" w:space="0" w:color="001F5F"/>
              <w:bottom w:val="single" w:sz="4" w:space="0" w:color="001F5F"/>
            </w:tcBorders>
          </w:tcPr>
          <w:p>
            <w:pPr>
              <w:pStyle w:val="TableParagraph"/>
              <w:spacing w:before="93"/>
              <w:ind w:right="160"/>
              <w:jc w:val="right"/>
              <w:rPr>
                <w:sz w:val="16"/>
              </w:rPr>
            </w:pPr>
            <w:r>
              <w:rPr>
                <w:spacing w:val="-2"/>
                <w:sz w:val="16"/>
              </w:rPr>
              <w:t>213.835,50</w:t>
            </w:r>
          </w:p>
        </w:tc>
        <w:tc>
          <w:tcPr>
            <w:tcW w:w="458" w:type="dxa"/>
            <w:tcBorders>
              <w:top w:val="single" w:sz="4" w:space="0" w:color="001F5F"/>
              <w:bottom w:val="single" w:sz="4" w:space="0" w:color="001F5F"/>
            </w:tcBorders>
          </w:tcPr>
          <w:p>
            <w:pPr>
              <w:pStyle w:val="TableParagraph"/>
              <w:spacing w:before="93"/>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3"/>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3"/>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3"/>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before="93"/>
              <w:ind w:left="13" w:right="1"/>
              <w:jc w:val="center"/>
              <w:rPr>
                <w:sz w:val="16"/>
              </w:rPr>
            </w:pPr>
            <w:r>
              <w:rPr>
                <w:sz w:val="16"/>
              </w:rPr>
              <w:t>En</w:t>
            </w:r>
            <w:r>
              <w:rPr>
                <w:spacing w:val="-2"/>
                <w:sz w:val="16"/>
              </w:rPr>
              <w:t> ejecución</w:t>
            </w:r>
          </w:p>
        </w:tc>
      </w:tr>
      <w:tr>
        <w:trPr>
          <w:trHeight w:val="368" w:hRule="atLeast"/>
        </w:trPr>
        <w:tc>
          <w:tcPr>
            <w:tcW w:w="994" w:type="dxa"/>
          </w:tcPr>
          <w:p>
            <w:pPr>
              <w:pStyle w:val="TableParagraph"/>
              <w:rPr>
                <w:rFonts w:ascii="Times New Roman"/>
                <w:sz w:val="18"/>
              </w:rPr>
            </w:pPr>
          </w:p>
        </w:tc>
        <w:tc>
          <w:tcPr>
            <w:tcW w:w="2553" w:type="dxa"/>
            <w:tcBorders>
              <w:top w:val="single" w:sz="4" w:space="0" w:color="001F5F"/>
              <w:bottom w:val="single" w:sz="4" w:space="0" w:color="001F5F"/>
            </w:tcBorders>
          </w:tcPr>
          <w:p>
            <w:pPr>
              <w:pStyle w:val="TableParagraph"/>
              <w:spacing w:line="182" w:lineRule="exact"/>
              <w:ind w:left="69"/>
              <w:rPr>
                <w:sz w:val="16"/>
              </w:rPr>
            </w:pPr>
            <w:r>
              <w:rPr>
                <w:sz w:val="16"/>
              </w:rPr>
              <w:t>Sistemas</w:t>
            </w:r>
            <w:r>
              <w:rPr>
                <w:spacing w:val="-10"/>
                <w:sz w:val="16"/>
              </w:rPr>
              <w:t> </w:t>
            </w:r>
            <w:r>
              <w:rPr>
                <w:sz w:val="16"/>
              </w:rPr>
              <w:t>de</w:t>
            </w:r>
            <w:r>
              <w:rPr>
                <w:spacing w:val="-9"/>
                <w:sz w:val="16"/>
              </w:rPr>
              <w:t> </w:t>
            </w:r>
            <w:r>
              <w:rPr>
                <w:sz w:val="16"/>
              </w:rPr>
              <w:t>predicción</w:t>
            </w:r>
            <w:r>
              <w:rPr>
                <w:spacing w:val="-9"/>
                <w:sz w:val="16"/>
              </w:rPr>
              <w:t> </w:t>
            </w:r>
            <w:r>
              <w:rPr>
                <w:sz w:val="16"/>
              </w:rPr>
              <w:t>demanda</w:t>
            </w:r>
            <w:r>
              <w:rPr>
                <w:spacing w:val="-9"/>
                <w:sz w:val="16"/>
              </w:rPr>
              <w:t> </w:t>
            </w:r>
            <w:r>
              <w:rPr>
                <w:sz w:val="16"/>
              </w:rPr>
              <w:t>y</w:t>
            </w:r>
            <w:r>
              <w:rPr>
                <w:spacing w:val="40"/>
                <w:sz w:val="16"/>
              </w:rPr>
              <w:t> </w:t>
            </w:r>
            <w:r>
              <w:rPr>
                <w:sz w:val="16"/>
              </w:rPr>
              <w:t>sensorización de paradas</w:t>
            </w:r>
          </w:p>
        </w:tc>
        <w:tc>
          <w:tcPr>
            <w:tcW w:w="594" w:type="dxa"/>
            <w:tcBorders>
              <w:top w:val="single" w:sz="4" w:space="0" w:color="001F5F"/>
              <w:bottom w:val="single" w:sz="4" w:space="0" w:color="001F5F"/>
            </w:tcBorders>
          </w:tcPr>
          <w:p>
            <w:pPr>
              <w:pStyle w:val="TableParagraph"/>
              <w:spacing w:before="91"/>
              <w:ind w:right="102"/>
              <w:jc w:val="right"/>
              <w:rPr>
                <w:sz w:val="16"/>
              </w:rPr>
            </w:pPr>
            <w:r>
              <w:rPr>
                <w:spacing w:val="-10"/>
                <w:sz w:val="16"/>
              </w:rPr>
              <w:t>1</w:t>
            </w:r>
          </w:p>
        </w:tc>
        <w:tc>
          <w:tcPr>
            <w:tcW w:w="1051" w:type="dxa"/>
            <w:tcBorders>
              <w:top w:val="single" w:sz="4" w:space="0" w:color="001F5F"/>
              <w:bottom w:val="single" w:sz="4" w:space="0" w:color="001F5F"/>
            </w:tcBorders>
          </w:tcPr>
          <w:p>
            <w:pPr>
              <w:pStyle w:val="TableParagraph"/>
              <w:spacing w:before="91"/>
              <w:ind w:right="76"/>
              <w:jc w:val="right"/>
              <w:rPr>
                <w:sz w:val="16"/>
              </w:rPr>
            </w:pPr>
            <w:r>
              <w:rPr>
                <w:spacing w:val="-2"/>
                <w:sz w:val="16"/>
              </w:rPr>
              <w:t>122.759,75</w:t>
            </w:r>
          </w:p>
        </w:tc>
        <w:tc>
          <w:tcPr>
            <w:tcW w:w="1052" w:type="dxa"/>
            <w:tcBorders>
              <w:top w:val="single" w:sz="4" w:space="0" w:color="001F5F"/>
              <w:bottom w:val="single" w:sz="4" w:space="0" w:color="001F5F"/>
            </w:tcBorders>
          </w:tcPr>
          <w:p>
            <w:pPr>
              <w:pStyle w:val="TableParagraph"/>
              <w:spacing w:before="91"/>
              <w:ind w:right="71"/>
              <w:jc w:val="right"/>
              <w:rPr>
                <w:sz w:val="16"/>
              </w:rPr>
            </w:pPr>
            <w:r>
              <w:rPr>
                <w:spacing w:val="-2"/>
                <w:sz w:val="16"/>
              </w:rPr>
              <w:t>12.275,97</w:t>
            </w:r>
          </w:p>
        </w:tc>
        <w:tc>
          <w:tcPr>
            <w:tcW w:w="1080" w:type="dxa"/>
            <w:tcBorders>
              <w:top w:val="single" w:sz="4" w:space="0" w:color="001F5F"/>
              <w:bottom w:val="single" w:sz="4" w:space="0" w:color="001F5F"/>
            </w:tcBorders>
          </w:tcPr>
          <w:p>
            <w:pPr>
              <w:pStyle w:val="TableParagraph"/>
              <w:spacing w:before="91"/>
              <w:ind w:right="160"/>
              <w:jc w:val="right"/>
              <w:rPr>
                <w:sz w:val="16"/>
              </w:rPr>
            </w:pPr>
            <w:r>
              <w:rPr>
                <w:spacing w:val="-2"/>
                <w:sz w:val="16"/>
              </w:rPr>
              <w:t>110.483,78</w:t>
            </w:r>
          </w:p>
        </w:tc>
        <w:tc>
          <w:tcPr>
            <w:tcW w:w="458" w:type="dxa"/>
            <w:tcBorders>
              <w:top w:val="single" w:sz="4" w:space="0" w:color="001F5F"/>
              <w:bottom w:val="single" w:sz="4" w:space="0" w:color="001F5F"/>
            </w:tcBorders>
          </w:tcPr>
          <w:p>
            <w:pPr>
              <w:pStyle w:val="TableParagraph"/>
              <w:spacing w:before="91"/>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1"/>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1"/>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1"/>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before="91"/>
              <w:ind w:left="13" w:right="1"/>
              <w:jc w:val="center"/>
              <w:rPr>
                <w:sz w:val="16"/>
              </w:rPr>
            </w:pPr>
            <w:r>
              <w:rPr>
                <w:sz w:val="16"/>
              </w:rPr>
              <w:t>En</w:t>
            </w:r>
            <w:r>
              <w:rPr>
                <w:spacing w:val="-2"/>
                <w:sz w:val="16"/>
              </w:rPr>
              <w:t> ejecución</w:t>
            </w:r>
          </w:p>
        </w:tc>
      </w:tr>
      <w:tr>
        <w:trPr>
          <w:trHeight w:val="366" w:hRule="atLeast"/>
        </w:trPr>
        <w:tc>
          <w:tcPr>
            <w:tcW w:w="994" w:type="dxa"/>
          </w:tcPr>
          <w:p>
            <w:pPr>
              <w:pStyle w:val="TableParagraph"/>
              <w:rPr>
                <w:rFonts w:ascii="Times New Roman"/>
                <w:sz w:val="18"/>
              </w:rPr>
            </w:pPr>
          </w:p>
        </w:tc>
        <w:tc>
          <w:tcPr>
            <w:tcW w:w="2553" w:type="dxa"/>
            <w:tcBorders>
              <w:top w:val="single" w:sz="4" w:space="0" w:color="001F5F"/>
              <w:bottom w:val="single" w:sz="4" w:space="0" w:color="001F5F"/>
            </w:tcBorders>
          </w:tcPr>
          <w:p>
            <w:pPr>
              <w:pStyle w:val="TableParagraph"/>
              <w:spacing w:line="182" w:lineRule="exact"/>
              <w:ind w:left="69"/>
              <w:rPr>
                <w:sz w:val="16"/>
              </w:rPr>
            </w:pPr>
            <w:r>
              <w:rPr>
                <w:sz w:val="16"/>
              </w:rPr>
              <w:t>Sistemas</w:t>
            </w:r>
            <w:r>
              <w:rPr>
                <w:spacing w:val="-10"/>
                <w:sz w:val="16"/>
              </w:rPr>
              <w:t> </w:t>
            </w:r>
            <w:r>
              <w:rPr>
                <w:sz w:val="16"/>
              </w:rPr>
              <w:t>expertos</w:t>
            </w:r>
            <w:r>
              <w:rPr>
                <w:spacing w:val="-9"/>
                <w:sz w:val="16"/>
              </w:rPr>
              <w:t> </w:t>
            </w:r>
            <w:r>
              <w:rPr>
                <w:sz w:val="16"/>
              </w:rPr>
              <w:t>de</w:t>
            </w:r>
            <w:r>
              <w:rPr>
                <w:spacing w:val="-9"/>
                <w:sz w:val="16"/>
              </w:rPr>
              <w:t> </w:t>
            </w:r>
            <w:r>
              <w:rPr>
                <w:sz w:val="16"/>
              </w:rPr>
              <w:t>planificación</w:t>
            </w:r>
            <w:r>
              <w:rPr>
                <w:spacing w:val="-8"/>
                <w:sz w:val="16"/>
              </w:rPr>
              <w:t> </w:t>
            </w:r>
            <w:r>
              <w:rPr>
                <w:sz w:val="16"/>
              </w:rPr>
              <w:t>para</w:t>
            </w:r>
            <w:r>
              <w:rPr>
                <w:spacing w:val="40"/>
                <w:sz w:val="16"/>
              </w:rPr>
              <w:t> </w:t>
            </w:r>
            <w:r>
              <w:rPr>
                <w:sz w:val="16"/>
              </w:rPr>
              <w:t>optimización de recursos</w:t>
            </w:r>
          </w:p>
        </w:tc>
        <w:tc>
          <w:tcPr>
            <w:tcW w:w="594" w:type="dxa"/>
            <w:tcBorders>
              <w:top w:val="single" w:sz="4" w:space="0" w:color="001F5F"/>
              <w:bottom w:val="single" w:sz="4" w:space="0" w:color="001F5F"/>
            </w:tcBorders>
          </w:tcPr>
          <w:p>
            <w:pPr>
              <w:pStyle w:val="TableParagraph"/>
              <w:spacing w:before="90"/>
              <w:ind w:right="102"/>
              <w:jc w:val="right"/>
              <w:rPr>
                <w:sz w:val="16"/>
              </w:rPr>
            </w:pPr>
            <w:r>
              <w:rPr>
                <w:spacing w:val="-10"/>
                <w:sz w:val="16"/>
              </w:rPr>
              <w:t>3</w:t>
            </w:r>
          </w:p>
        </w:tc>
        <w:tc>
          <w:tcPr>
            <w:tcW w:w="1051" w:type="dxa"/>
            <w:tcBorders>
              <w:top w:val="single" w:sz="4" w:space="0" w:color="001F5F"/>
              <w:bottom w:val="single" w:sz="4" w:space="0" w:color="001F5F"/>
            </w:tcBorders>
          </w:tcPr>
          <w:p>
            <w:pPr>
              <w:pStyle w:val="TableParagraph"/>
              <w:spacing w:before="90"/>
              <w:ind w:right="76"/>
              <w:jc w:val="right"/>
              <w:rPr>
                <w:sz w:val="16"/>
              </w:rPr>
            </w:pPr>
            <w:r>
              <w:rPr>
                <w:spacing w:val="-2"/>
                <w:sz w:val="16"/>
              </w:rPr>
              <w:t>2.791.204,00</w:t>
            </w:r>
          </w:p>
        </w:tc>
        <w:tc>
          <w:tcPr>
            <w:tcW w:w="1052" w:type="dxa"/>
            <w:tcBorders>
              <w:top w:val="single" w:sz="4" w:space="0" w:color="001F5F"/>
              <w:bottom w:val="single" w:sz="4" w:space="0" w:color="001F5F"/>
            </w:tcBorders>
          </w:tcPr>
          <w:p>
            <w:pPr>
              <w:pStyle w:val="TableParagraph"/>
              <w:spacing w:before="90"/>
              <w:ind w:right="71"/>
              <w:jc w:val="right"/>
              <w:rPr>
                <w:sz w:val="16"/>
              </w:rPr>
            </w:pPr>
            <w:r>
              <w:rPr>
                <w:spacing w:val="-2"/>
                <w:sz w:val="16"/>
              </w:rPr>
              <w:t>1.145.370,40</w:t>
            </w:r>
          </w:p>
        </w:tc>
        <w:tc>
          <w:tcPr>
            <w:tcW w:w="1080" w:type="dxa"/>
            <w:tcBorders>
              <w:top w:val="single" w:sz="4" w:space="0" w:color="001F5F"/>
              <w:bottom w:val="single" w:sz="4" w:space="0" w:color="001F5F"/>
            </w:tcBorders>
          </w:tcPr>
          <w:p>
            <w:pPr>
              <w:pStyle w:val="TableParagraph"/>
              <w:spacing w:before="90"/>
              <w:ind w:right="160"/>
              <w:jc w:val="right"/>
              <w:rPr>
                <w:sz w:val="16"/>
              </w:rPr>
            </w:pPr>
            <w:r>
              <w:rPr>
                <w:spacing w:val="-2"/>
                <w:sz w:val="16"/>
              </w:rPr>
              <w:t>1.645.833,60</w:t>
            </w:r>
          </w:p>
        </w:tc>
        <w:tc>
          <w:tcPr>
            <w:tcW w:w="458" w:type="dxa"/>
            <w:tcBorders>
              <w:top w:val="single" w:sz="4" w:space="0" w:color="001F5F"/>
              <w:bottom w:val="single" w:sz="4" w:space="0" w:color="001F5F"/>
            </w:tcBorders>
          </w:tcPr>
          <w:p>
            <w:pPr>
              <w:pStyle w:val="TableParagraph"/>
              <w:spacing w:before="90"/>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0"/>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before="90"/>
              <w:ind w:left="13" w:right="1"/>
              <w:jc w:val="center"/>
              <w:rPr>
                <w:sz w:val="16"/>
              </w:rPr>
            </w:pPr>
            <w:r>
              <w:rPr>
                <w:sz w:val="16"/>
              </w:rPr>
              <w:t>En</w:t>
            </w:r>
            <w:r>
              <w:rPr>
                <w:spacing w:val="-2"/>
                <w:sz w:val="16"/>
              </w:rPr>
              <w:t> ejecución</w:t>
            </w:r>
          </w:p>
        </w:tc>
      </w:tr>
      <w:tr>
        <w:trPr>
          <w:trHeight w:val="366" w:hRule="atLeast"/>
        </w:trPr>
        <w:tc>
          <w:tcPr>
            <w:tcW w:w="994" w:type="dxa"/>
          </w:tcPr>
          <w:p>
            <w:pPr>
              <w:pStyle w:val="TableParagraph"/>
              <w:rPr>
                <w:rFonts w:ascii="Times New Roman"/>
                <w:sz w:val="18"/>
              </w:rPr>
            </w:pPr>
          </w:p>
        </w:tc>
        <w:tc>
          <w:tcPr>
            <w:tcW w:w="2553" w:type="dxa"/>
            <w:tcBorders>
              <w:top w:val="single" w:sz="4" w:space="0" w:color="001F5F"/>
              <w:bottom w:val="single" w:sz="4" w:space="0" w:color="001F5F"/>
            </w:tcBorders>
          </w:tcPr>
          <w:p>
            <w:pPr>
              <w:pStyle w:val="TableParagraph"/>
              <w:spacing w:line="182" w:lineRule="exact"/>
              <w:ind w:left="69"/>
              <w:rPr>
                <w:sz w:val="16"/>
              </w:rPr>
            </w:pPr>
            <w:r>
              <w:rPr>
                <w:sz w:val="16"/>
              </w:rPr>
              <w:t>Suministro</w:t>
            </w:r>
            <w:r>
              <w:rPr>
                <w:spacing w:val="-7"/>
                <w:sz w:val="16"/>
              </w:rPr>
              <w:t> </w:t>
            </w:r>
            <w:r>
              <w:rPr>
                <w:sz w:val="16"/>
              </w:rPr>
              <w:t>de</w:t>
            </w:r>
            <w:r>
              <w:rPr>
                <w:spacing w:val="-7"/>
                <w:sz w:val="16"/>
              </w:rPr>
              <w:t> </w:t>
            </w:r>
            <w:r>
              <w:rPr>
                <w:sz w:val="16"/>
              </w:rPr>
              <w:t>pantallas</w:t>
            </w:r>
            <w:r>
              <w:rPr>
                <w:spacing w:val="-9"/>
                <w:sz w:val="16"/>
              </w:rPr>
              <w:t> </w:t>
            </w:r>
            <w:r>
              <w:rPr>
                <w:sz w:val="16"/>
              </w:rPr>
              <w:t>de</w:t>
            </w:r>
            <w:r>
              <w:rPr>
                <w:spacing w:val="-7"/>
                <w:sz w:val="16"/>
              </w:rPr>
              <w:t> </w:t>
            </w:r>
            <w:r>
              <w:rPr>
                <w:sz w:val="16"/>
              </w:rPr>
              <w:t>información</w:t>
            </w:r>
            <w:r>
              <w:rPr>
                <w:spacing w:val="-7"/>
                <w:sz w:val="16"/>
              </w:rPr>
              <w:t> </w:t>
            </w:r>
            <w:r>
              <w:rPr>
                <w:sz w:val="16"/>
              </w:rPr>
              <w:t>al</w:t>
            </w:r>
            <w:r>
              <w:rPr>
                <w:spacing w:val="40"/>
                <w:sz w:val="16"/>
              </w:rPr>
              <w:t> </w:t>
            </w:r>
            <w:r>
              <w:rPr>
                <w:spacing w:val="-2"/>
                <w:sz w:val="16"/>
              </w:rPr>
              <w:t>viajero</w:t>
            </w:r>
          </w:p>
        </w:tc>
        <w:tc>
          <w:tcPr>
            <w:tcW w:w="594" w:type="dxa"/>
            <w:tcBorders>
              <w:top w:val="single" w:sz="4" w:space="0" w:color="001F5F"/>
              <w:bottom w:val="single" w:sz="4" w:space="0" w:color="001F5F"/>
            </w:tcBorders>
          </w:tcPr>
          <w:p>
            <w:pPr>
              <w:pStyle w:val="TableParagraph"/>
              <w:spacing w:before="90"/>
              <w:ind w:right="102"/>
              <w:jc w:val="right"/>
              <w:rPr>
                <w:sz w:val="16"/>
              </w:rPr>
            </w:pPr>
            <w:r>
              <w:rPr>
                <w:spacing w:val="-10"/>
                <w:sz w:val="16"/>
              </w:rPr>
              <w:t>1</w:t>
            </w:r>
          </w:p>
        </w:tc>
        <w:tc>
          <w:tcPr>
            <w:tcW w:w="1051" w:type="dxa"/>
            <w:tcBorders>
              <w:top w:val="single" w:sz="4" w:space="0" w:color="001F5F"/>
              <w:bottom w:val="single" w:sz="4" w:space="0" w:color="001F5F"/>
            </w:tcBorders>
          </w:tcPr>
          <w:p>
            <w:pPr>
              <w:pStyle w:val="TableParagraph"/>
              <w:spacing w:before="90"/>
              <w:ind w:right="76"/>
              <w:jc w:val="right"/>
              <w:rPr>
                <w:sz w:val="16"/>
              </w:rPr>
            </w:pPr>
            <w:r>
              <w:rPr>
                <w:spacing w:val="-2"/>
                <w:sz w:val="16"/>
              </w:rPr>
              <w:t>1.242.000,00</w:t>
            </w:r>
          </w:p>
        </w:tc>
        <w:tc>
          <w:tcPr>
            <w:tcW w:w="1052" w:type="dxa"/>
            <w:tcBorders>
              <w:top w:val="single" w:sz="4" w:space="0" w:color="001F5F"/>
              <w:bottom w:val="single" w:sz="4" w:space="0" w:color="001F5F"/>
            </w:tcBorders>
          </w:tcPr>
          <w:p>
            <w:pPr>
              <w:pStyle w:val="TableParagraph"/>
              <w:spacing w:before="90"/>
              <w:ind w:right="71"/>
              <w:jc w:val="right"/>
              <w:rPr>
                <w:sz w:val="16"/>
              </w:rPr>
            </w:pPr>
            <w:r>
              <w:rPr>
                <w:spacing w:val="-2"/>
                <w:sz w:val="16"/>
              </w:rPr>
              <w:t>260.709,46</w:t>
            </w:r>
          </w:p>
        </w:tc>
        <w:tc>
          <w:tcPr>
            <w:tcW w:w="1080" w:type="dxa"/>
            <w:tcBorders>
              <w:top w:val="single" w:sz="4" w:space="0" w:color="001F5F"/>
              <w:bottom w:val="single" w:sz="4" w:space="0" w:color="001F5F"/>
            </w:tcBorders>
          </w:tcPr>
          <w:p>
            <w:pPr>
              <w:pStyle w:val="TableParagraph"/>
              <w:spacing w:before="90"/>
              <w:ind w:right="160"/>
              <w:jc w:val="right"/>
              <w:rPr>
                <w:sz w:val="16"/>
              </w:rPr>
            </w:pPr>
            <w:r>
              <w:rPr>
                <w:spacing w:val="-2"/>
                <w:sz w:val="16"/>
              </w:rPr>
              <w:t>981.290,54</w:t>
            </w:r>
          </w:p>
        </w:tc>
        <w:tc>
          <w:tcPr>
            <w:tcW w:w="458" w:type="dxa"/>
            <w:tcBorders>
              <w:top w:val="single" w:sz="4" w:space="0" w:color="001F5F"/>
              <w:bottom w:val="single" w:sz="4" w:space="0" w:color="001F5F"/>
            </w:tcBorders>
          </w:tcPr>
          <w:p>
            <w:pPr>
              <w:pStyle w:val="TableParagraph"/>
              <w:spacing w:before="90"/>
              <w:ind w:left="73" w:right="1"/>
              <w:jc w:val="center"/>
              <w:rPr>
                <w:sz w:val="16"/>
              </w:rPr>
            </w:pPr>
            <w:r>
              <w:rPr>
                <w:color w:val="891538"/>
                <w:spacing w:val="-5"/>
                <w:sz w:val="16"/>
              </w:rPr>
              <w:t>SI</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90"/>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90"/>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before="90"/>
              <w:ind w:left="13"/>
              <w:jc w:val="center"/>
              <w:rPr>
                <w:sz w:val="16"/>
              </w:rPr>
            </w:pPr>
            <w:r>
              <w:rPr>
                <w:spacing w:val="-2"/>
                <w:sz w:val="16"/>
              </w:rPr>
              <w:t>Finalizada</w:t>
            </w:r>
          </w:p>
        </w:tc>
      </w:tr>
      <w:tr>
        <w:trPr>
          <w:trHeight w:val="551" w:hRule="atLeast"/>
        </w:trPr>
        <w:tc>
          <w:tcPr>
            <w:tcW w:w="994" w:type="dxa"/>
          </w:tcPr>
          <w:p>
            <w:pPr>
              <w:pStyle w:val="TableParagraph"/>
              <w:rPr>
                <w:rFonts w:ascii="Times New Roman"/>
                <w:sz w:val="18"/>
              </w:rPr>
            </w:pPr>
          </w:p>
        </w:tc>
        <w:tc>
          <w:tcPr>
            <w:tcW w:w="2553" w:type="dxa"/>
            <w:tcBorders>
              <w:top w:val="single" w:sz="4" w:space="0" w:color="001F5F"/>
              <w:bottom w:val="single" w:sz="4" w:space="0" w:color="001F5F"/>
            </w:tcBorders>
          </w:tcPr>
          <w:p>
            <w:pPr>
              <w:pStyle w:val="TableParagraph"/>
              <w:spacing w:line="182" w:lineRule="exact"/>
              <w:ind w:left="69"/>
              <w:rPr>
                <w:sz w:val="16"/>
              </w:rPr>
            </w:pPr>
            <w:r>
              <w:rPr>
                <w:spacing w:val="-2"/>
                <w:sz w:val="16"/>
              </w:rPr>
              <w:t>Implementación</w:t>
            </w:r>
            <w:r>
              <w:rPr>
                <w:spacing w:val="18"/>
                <w:sz w:val="16"/>
              </w:rPr>
              <w:t> </w:t>
            </w:r>
            <w:r>
              <w:rPr>
                <w:spacing w:val="-2"/>
                <w:sz w:val="16"/>
              </w:rPr>
              <w:t>herramientas</w:t>
            </w:r>
          </w:p>
          <w:p>
            <w:pPr>
              <w:pStyle w:val="TableParagraph"/>
              <w:spacing w:line="182" w:lineRule="exact"/>
              <w:ind w:left="69"/>
              <w:rPr>
                <w:sz w:val="16"/>
              </w:rPr>
            </w:pPr>
            <w:r>
              <w:rPr>
                <w:sz w:val="16"/>
              </w:rPr>
              <w:t>visualización</w:t>
            </w:r>
            <w:r>
              <w:rPr>
                <w:spacing w:val="-10"/>
                <w:sz w:val="16"/>
              </w:rPr>
              <w:t> </w:t>
            </w:r>
            <w:r>
              <w:rPr>
                <w:sz w:val="16"/>
              </w:rPr>
              <w:t>y</w:t>
            </w:r>
            <w:r>
              <w:rPr>
                <w:spacing w:val="-9"/>
                <w:sz w:val="16"/>
              </w:rPr>
              <w:t> </w:t>
            </w:r>
            <w:r>
              <w:rPr>
                <w:sz w:val="16"/>
              </w:rPr>
              <w:t>tratamiento</w:t>
            </w:r>
            <w:r>
              <w:rPr>
                <w:spacing w:val="-9"/>
                <w:sz w:val="16"/>
              </w:rPr>
              <w:t> </w:t>
            </w:r>
            <w:r>
              <w:rPr>
                <w:sz w:val="16"/>
              </w:rPr>
              <w:t>datos</w:t>
            </w:r>
            <w:r>
              <w:rPr>
                <w:spacing w:val="40"/>
                <w:sz w:val="16"/>
              </w:rPr>
              <w:t> </w:t>
            </w:r>
            <w:r>
              <w:rPr>
                <w:sz w:val="16"/>
              </w:rPr>
              <w:t>geoespaciales</w:t>
            </w:r>
            <w:r>
              <w:rPr>
                <w:spacing w:val="-8"/>
                <w:sz w:val="16"/>
              </w:rPr>
              <w:t> </w:t>
            </w:r>
            <w:r>
              <w:rPr>
                <w:sz w:val="16"/>
              </w:rPr>
              <w:t>(GIS)</w:t>
            </w:r>
          </w:p>
        </w:tc>
        <w:tc>
          <w:tcPr>
            <w:tcW w:w="594" w:type="dxa"/>
            <w:tcBorders>
              <w:top w:val="single" w:sz="4" w:space="0" w:color="001F5F"/>
              <w:bottom w:val="single" w:sz="4" w:space="0" w:color="001F5F"/>
            </w:tcBorders>
          </w:tcPr>
          <w:p>
            <w:pPr>
              <w:pStyle w:val="TableParagraph"/>
              <w:spacing w:before="183"/>
              <w:ind w:right="102"/>
              <w:jc w:val="right"/>
              <w:rPr>
                <w:sz w:val="16"/>
              </w:rPr>
            </w:pPr>
            <w:r>
              <w:rPr>
                <w:spacing w:val="-10"/>
                <w:sz w:val="16"/>
              </w:rPr>
              <w:t>1</w:t>
            </w:r>
          </w:p>
        </w:tc>
        <w:tc>
          <w:tcPr>
            <w:tcW w:w="1051" w:type="dxa"/>
            <w:tcBorders>
              <w:top w:val="single" w:sz="4" w:space="0" w:color="001F5F"/>
              <w:bottom w:val="single" w:sz="4" w:space="0" w:color="001F5F"/>
            </w:tcBorders>
          </w:tcPr>
          <w:p>
            <w:pPr>
              <w:pStyle w:val="TableParagraph"/>
              <w:spacing w:before="183"/>
              <w:ind w:right="76"/>
              <w:jc w:val="right"/>
              <w:rPr>
                <w:sz w:val="16"/>
              </w:rPr>
            </w:pPr>
            <w:r>
              <w:rPr>
                <w:spacing w:val="-2"/>
                <w:sz w:val="16"/>
              </w:rPr>
              <w:t>126.505,84</w:t>
            </w:r>
          </w:p>
        </w:tc>
        <w:tc>
          <w:tcPr>
            <w:tcW w:w="1052" w:type="dxa"/>
            <w:tcBorders>
              <w:top w:val="single" w:sz="4" w:space="0" w:color="001F5F"/>
              <w:bottom w:val="single" w:sz="4" w:space="0" w:color="001F5F"/>
            </w:tcBorders>
          </w:tcPr>
          <w:p>
            <w:pPr>
              <w:pStyle w:val="TableParagraph"/>
              <w:spacing w:before="183"/>
              <w:ind w:right="71"/>
              <w:jc w:val="right"/>
              <w:rPr>
                <w:sz w:val="16"/>
              </w:rPr>
            </w:pPr>
            <w:r>
              <w:rPr>
                <w:spacing w:val="-2"/>
                <w:sz w:val="16"/>
              </w:rPr>
              <w:t>80.963,77</w:t>
            </w:r>
          </w:p>
        </w:tc>
        <w:tc>
          <w:tcPr>
            <w:tcW w:w="1080" w:type="dxa"/>
            <w:tcBorders>
              <w:top w:val="single" w:sz="4" w:space="0" w:color="001F5F"/>
              <w:bottom w:val="single" w:sz="4" w:space="0" w:color="001F5F"/>
            </w:tcBorders>
          </w:tcPr>
          <w:p>
            <w:pPr>
              <w:pStyle w:val="TableParagraph"/>
              <w:spacing w:before="183"/>
              <w:ind w:right="160"/>
              <w:jc w:val="right"/>
              <w:rPr>
                <w:sz w:val="16"/>
              </w:rPr>
            </w:pPr>
            <w:r>
              <w:rPr>
                <w:spacing w:val="-2"/>
                <w:sz w:val="16"/>
              </w:rPr>
              <w:t>45.542,07</w:t>
            </w:r>
          </w:p>
        </w:tc>
        <w:tc>
          <w:tcPr>
            <w:tcW w:w="458" w:type="dxa"/>
            <w:tcBorders>
              <w:top w:val="single" w:sz="4" w:space="0" w:color="001F5F"/>
              <w:bottom w:val="single" w:sz="4" w:space="0" w:color="001F5F"/>
            </w:tcBorders>
          </w:tcPr>
          <w:p>
            <w:pPr>
              <w:pStyle w:val="TableParagraph"/>
              <w:spacing w:before="183"/>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183"/>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before="183"/>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before="183"/>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before="183"/>
              <w:ind w:left="13"/>
              <w:jc w:val="center"/>
              <w:rPr>
                <w:sz w:val="16"/>
              </w:rPr>
            </w:pPr>
            <w:r>
              <w:rPr>
                <w:spacing w:val="-2"/>
                <w:sz w:val="16"/>
              </w:rPr>
              <w:t>Finalizada</w:t>
            </w:r>
          </w:p>
        </w:tc>
      </w:tr>
      <w:tr>
        <w:trPr>
          <w:trHeight w:val="196" w:hRule="atLeast"/>
        </w:trPr>
        <w:tc>
          <w:tcPr>
            <w:tcW w:w="994" w:type="dxa"/>
          </w:tcPr>
          <w:p>
            <w:pPr>
              <w:pStyle w:val="TableParagraph"/>
              <w:rPr>
                <w:rFonts w:ascii="Times New Roman"/>
                <w:sz w:val="12"/>
              </w:rPr>
            </w:pPr>
          </w:p>
        </w:tc>
        <w:tc>
          <w:tcPr>
            <w:tcW w:w="2553" w:type="dxa"/>
            <w:tcBorders>
              <w:top w:val="single" w:sz="4" w:space="0" w:color="001F5F"/>
              <w:bottom w:val="single" w:sz="4" w:space="0" w:color="001F5F"/>
            </w:tcBorders>
          </w:tcPr>
          <w:p>
            <w:pPr>
              <w:pStyle w:val="TableParagraph"/>
              <w:spacing w:line="171" w:lineRule="exact" w:before="6"/>
              <w:ind w:left="69"/>
              <w:rPr>
                <w:sz w:val="16"/>
              </w:rPr>
            </w:pPr>
            <w:r>
              <w:rPr>
                <w:sz w:val="16"/>
              </w:rPr>
              <w:t>Software</w:t>
            </w:r>
            <w:r>
              <w:rPr>
                <w:spacing w:val="-8"/>
                <w:sz w:val="16"/>
              </w:rPr>
              <w:t> </w:t>
            </w:r>
            <w:r>
              <w:rPr>
                <w:sz w:val="16"/>
              </w:rPr>
              <w:t>para</w:t>
            </w:r>
            <w:r>
              <w:rPr>
                <w:spacing w:val="-6"/>
                <w:sz w:val="16"/>
              </w:rPr>
              <w:t> </w:t>
            </w:r>
            <w:r>
              <w:rPr>
                <w:sz w:val="16"/>
              </w:rPr>
              <w:t>pantallas</w:t>
            </w:r>
            <w:r>
              <w:rPr>
                <w:spacing w:val="-7"/>
                <w:sz w:val="16"/>
              </w:rPr>
              <w:t> </w:t>
            </w:r>
            <w:r>
              <w:rPr>
                <w:spacing w:val="-2"/>
                <w:sz w:val="16"/>
              </w:rPr>
              <w:t>multimedia</w:t>
            </w:r>
          </w:p>
        </w:tc>
        <w:tc>
          <w:tcPr>
            <w:tcW w:w="594" w:type="dxa"/>
            <w:tcBorders>
              <w:top w:val="single" w:sz="4" w:space="0" w:color="001F5F"/>
              <w:bottom w:val="single" w:sz="4" w:space="0" w:color="001F5F"/>
            </w:tcBorders>
          </w:tcPr>
          <w:p>
            <w:pPr>
              <w:pStyle w:val="TableParagraph"/>
              <w:spacing w:line="171" w:lineRule="exact" w:before="6"/>
              <w:ind w:right="102"/>
              <w:jc w:val="right"/>
              <w:rPr>
                <w:sz w:val="16"/>
              </w:rPr>
            </w:pPr>
            <w:r>
              <w:rPr>
                <w:spacing w:val="-10"/>
                <w:sz w:val="16"/>
              </w:rPr>
              <w:t>1</w:t>
            </w:r>
          </w:p>
        </w:tc>
        <w:tc>
          <w:tcPr>
            <w:tcW w:w="1051" w:type="dxa"/>
            <w:tcBorders>
              <w:top w:val="single" w:sz="4" w:space="0" w:color="001F5F"/>
              <w:bottom w:val="single" w:sz="4" w:space="0" w:color="001F5F"/>
            </w:tcBorders>
          </w:tcPr>
          <w:p>
            <w:pPr>
              <w:pStyle w:val="TableParagraph"/>
              <w:spacing w:line="171" w:lineRule="exact" w:before="6"/>
              <w:ind w:right="76"/>
              <w:jc w:val="right"/>
              <w:rPr>
                <w:sz w:val="16"/>
              </w:rPr>
            </w:pPr>
            <w:r>
              <w:rPr>
                <w:spacing w:val="-2"/>
                <w:sz w:val="16"/>
              </w:rPr>
              <w:t>192.551,76</w:t>
            </w:r>
          </w:p>
        </w:tc>
        <w:tc>
          <w:tcPr>
            <w:tcW w:w="1052" w:type="dxa"/>
            <w:tcBorders>
              <w:top w:val="single" w:sz="4" w:space="0" w:color="001F5F"/>
              <w:bottom w:val="single" w:sz="4" w:space="0" w:color="001F5F"/>
            </w:tcBorders>
          </w:tcPr>
          <w:p>
            <w:pPr>
              <w:pStyle w:val="TableParagraph"/>
              <w:spacing w:line="171" w:lineRule="exact" w:before="6"/>
              <w:ind w:right="71"/>
              <w:jc w:val="right"/>
              <w:rPr>
                <w:sz w:val="16"/>
              </w:rPr>
            </w:pPr>
            <w:r>
              <w:rPr>
                <w:spacing w:val="-2"/>
                <w:sz w:val="16"/>
              </w:rPr>
              <w:t>192.551,76</w:t>
            </w:r>
          </w:p>
        </w:tc>
        <w:tc>
          <w:tcPr>
            <w:tcW w:w="1080" w:type="dxa"/>
            <w:tcBorders>
              <w:top w:val="single" w:sz="4" w:space="0" w:color="001F5F"/>
              <w:bottom w:val="single" w:sz="4" w:space="0" w:color="001F5F"/>
            </w:tcBorders>
          </w:tcPr>
          <w:p>
            <w:pPr>
              <w:pStyle w:val="TableParagraph"/>
              <w:spacing w:line="171" w:lineRule="exact" w:before="6"/>
              <w:ind w:right="159"/>
              <w:jc w:val="right"/>
              <w:rPr>
                <w:sz w:val="16"/>
              </w:rPr>
            </w:pPr>
            <w:r>
              <w:rPr>
                <w:spacing w:val="-4"/>
                <w:sz w:val="16"/>
              </w:rPr>
              <w:t>0,00</w:t>
            </w:r>
          </w:p>
        </w:tc>
        <w:tc>
          <w:tcPr>
            <w:tcW w:w="458" w:type="dxa"/>
            <w:tcBorders>
              <w:top w:val="single" w:sz="4" w:space="0" w:color="001F5F"/>
              <w:bottom w:val="single" w:sz="4" w:space="0" w:color="001F5F"/>
            </w:tcBorders>
          </w:tcPr>
          <w:p>
            <w:pPr>
              <w:pStyle w:val="TableParagraph"/>
              <w:spacing w:line="171" w:lineRule="exact" w:before="6"/>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line="171" w:lineRule="exact" w:before="6"/>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spacing w:line="171" w:lineRule="exact" w:before="6"/>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spacing w:line="171" w:lineRule="exact" w:before="6"/>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spacing w:line="171" w:lineRule="exact" w:before="6"/>
              <w:ind w:left="13" w:right="1"/>
              <w:jc w:val="center"/>
              <w:rPr>
                <w:sz w:val="16"/>
              </w:rPr>
            </w:pPr>
            <w:r>
              <w:rPr>
                <w:sz w:val="16"/>
              </w:rPr>
              <w:t>En</w:t>
            </w:r>
            <w:r>
              <w:rPr>
                <w:spacing w:val="-2"/>
                <w:sz w:val="16"/>
              </w:rPr>
              <w:t> ejecución</w:t>
            </w:r>
          </w:p>
        </w:tc>
      </w:tr>
      <w:tr>
        <w:trPr>
          <w:trHeight w:val="198" w:hRule="atLeast"/>
        </w:trPr>
        <w:tc>
          <w:tcPr>
            <w:tcW w:w="994" w:type="dxa"/>
            <w:tcBorders>
              <w:bottom w:val="single" w:sz="8" w:space="0" w:color="001F5F"/>
            </w:tcBorders>
          </w:tcPr>
          <w:p>
            <w:pPr>
              <w:pStyle w:val="TableParagraph"/>
              <w:rPr>
                <w:rFonts w:ascii="Times New Roman"/>
                <w:sz w:val="12"/>
              </w:rPr>
            </w:pPr>
          </w:p>
        </w:tc>
        <w:tc>
          <w:tcPr>
            <w:tcW w:w="2553" w:type="dxa"/>
            <w:tcBorders>
              <w:top w:val="single" w:sz="4" w:space="0" w:color="001F5F"/>
              <w:bottom w:val="single" w:sz="8" w:space="0" w:color="001F5F"/>
            </w:tcBorders>
          </w:tcPr>
          <w:p>
            <w:pPr>
              <w:pStyle w:val="TableParagraph"/>
              <w:spacing w:line="173" w:lineRule="exact" w:before="6"/>
              <w:ind w:left="69"/>
              <w:rPr>
                <w:sz w:val="16"/>
              </w:rPr>
            </w:pPr>
            <w:r>
              <w:rPr>
                <w:sz w:val="16"/>
              </w:rPr>
              <w:t>Pantallas</w:t>
            </w:r>
            <w:r>
              <w:rPr>
                <w:spacing w:val="-7"/>
                <w:sz w:val="16"/>
              </w:rPr>
              <w:t> </w:t>
            </w:r>
            <w:r>
              <w:rPr>
                <w:sz w:val="16"/>
              </w:rPr>
              <w:t>de</w:t>
            </w:r>
            <w:r>
              <w:rPr>
                <w:spacing w:val="-4"/>
                <w:sz w:val="16"/>
              </w:rPr>
              <w:t> </w:t>
            </w:r>
            <w:r>
              <w:rPr>
                <w:sz w:val="16"/>
              </w:rPr>
              <w:t>indicadores</w:t>
            </w:r>
            <w:r>
              <w:rPr>
                <w:spacing w:val="-7"/>
                <w:sz w:val="16"/>
              </w:rPr>
              <w:t> </w:t>
            </w:r>
            <w:r>
              <w:rPr>
                <w:sz w:val="16"/>
              </w:rPr>
              <w:t>de</w:t>
            </w:r>
            <w:r>
              <w:rPr>
                <w:spacing w:val="-4"/>
                <w:sz w:val="16"/>
              </w:rPr>
              <w:t> </w:t>
            </w:r>
            <w:r>
              <w:rPr>
                <w:spacing w:val="-2"/>
                <w:sz w:val="16"/>
              </w:rPr>
              <w:t>línea</w:t>
            </w:r>
          </w:p>
        </w:tc>
        <w:tc>
          <w:tcPr>
            <w:tcW w:w="594" w:type="dxa"/>
            <w:tcBorders>
              <w:top w:val="single" w:sz="4" w:space="0" w:color="001F5F"/>
              <w:bottom w:val="single" w:sz="8" w:space="0" w:color="001F5F"/>
            </w:tcBorders>
          </w:tcPr>
          <w:p>
            <w:pPr>
              <w:pStyle w:val="TableParagraph"/>
              <w:spacing w:line="173" w:lineRule="exact" w:before="6"/>
              <w:ind w:right="102"/>
              <w:jc w:val="right"/>
              <w:rPr>
                <w:sz w:val="16"/>
              </w:rPr>
            </w:pPr>
            <w:r>
              <w:rPr>
                <w:spacing w:val="-10"/>
                <w:sz w:val="16"/>
              </w:rPr>
              <w:t>1</w:t>
            </w:r>
          </w:p>
        </w:tc>
        <w:tc>
          <w:tcPr>
            <w:tcW w:w="1051" w:type="dxa"/>
            <w:tcBorders>
              <w:top w:val="single" w:sz="4" w:space="0" w:color="001F5F"/>
              <w:bottom w:val="single" w:sz="8" w:space="0" w:color="001F5F"/>
            </w:tcBorders>
          </w:tcPr>
          <w:p>
            <w:pPr>
              <w:pStyle w:val="TableParagraph"/>
              <w:spacing w:line="173" w:lineRule="exact" w:before="6"/>
              <w:ind w:right="76"/>
              <w:jc w:val="right"/>
              <w:rPr>
                <w:sz w:val="16"/>
              </w:rPr>
            </w:pPr>
            <w:r>
              <w:rPr>
                <w:spacing w:val="-2"/>
                <w:sz w:val="16"/>
              </w:rPr>
              <w:t>269.388,00</w:t>
            </w:r>
          </w:p>
        </w:tc>
        <w:tc>
          <w:tcPr>
            <w:tcW w:w="1052" w:type="dxa"/>
            <w:tcBorders>
              <w:top w:val="single" w:sz="4" w:space="0" w:color="001F5F"/>
              <w:bottom w:val="single" w:sz="8" w:space="0" w:color="001F5F"/>
            </w:tcBorders>
          </w:tcPr>
          <w:p>
            <w:pPr>
              <w:pStyle w:val="TableParagraph"/>
              <w:spacing w:line="173" w:lineRule="exact" w:before="6"/>
              <w:ind w:right="71"/>
              <w:jc w:val="right"/>
              <w:rPr>
                <w:sz w:val="16"/>
              </w:rPr>
            </w:pPr>
            <w:r>
              <w:rPr>
                <w:spacing w:val="-2"/>
                <w:sz w:val="16"/>
              </w:rPr>
              <w:t>26.938,80</w:t>
            </w:r>
          </w:p>
        </w:tc>
        <w:tc>
          <w:tcPr>
            <w:tcW w:w="1080" w:type="dxa"/>
            <w:tcBorders>
              <w:top w:val="single" w:sz="4" w:space="0" w:color="001F5F"/>
              <w:bottom w:val="single" w:sz="8" w:space="0" w:color="001F5F"/>
            </w:tcBorders>
          </w:tcPr>
          <w:p>
            <w:pPr>
              <w:pStyle w:val="TableParagraph"/>
              <w:spacing w:line="173" w:lineRule="exact" w:before="6"/>
              <w:ind w:right="160"/>
              <w:jc w:val="right"/>
              <w:rPr>
                <w:sz w:val="16"/>
              </w:rPr>
            </w:pPr>
            <w:r>
              <w:rPr>
                <w:spacing w:val="-2"/>
                <w:sz w:val="16"/>
              </w:rPr>
              <w:t>242.449,20</w:t>
            </w:r>
          </w:p>
        </w:tc>
        <w:tc>
          <w:tcPr>
            <w:tcW w:w="458" w:type="dxa"/>
            <w:tcBorders>
              <w:top w:val="single" w:sz="4" w:space="0" w:color="001F5F"/>
              <w:bottom w:val="single" w:sz="8" w:space="0" w:color="001F5F"/>
            </w:tcBorders>
          </w:tcPr>
          <w:p>
            <w:pPr>
              <w:pStyle w:val="TableParagraph"/>
              <w:spacing w:line="173" w:lineRule="exact" w:before="6"/>
              <w:ind w:left="73"/>
              <w:jc w:val="center"/>
              <w:rPr>
                <w:sz w:val="16"/>
              </w:rPr>
            </w:pPr>
            <w:r>
              <w:rPr>
                <w:color w:val="5E89B4"/>
                <w:spacing w:val="-5"/>
                <w:sz w:val="16"/>
              </w:rPr>
              <w:t>NO</w:t>
            </w:r>
          </w:p>
        </w:tc>
        <w:tc>
          <w:tcPr>
            <w:tcW w:w="389" w:type="dxa"/>
            <w:tcBorders>
              <w:top w:val="single" w:sz="4" w:space="0" w:color="001F5F"/>
              <w:bottom w:val="single" w:sz="8" w:space="0" w:color="001F5F"/>
            </w:tcBorders>
          </w:tcPr>
          <w:p>
            <w:pPr>
              <w:pStyle w:val="TableParagraph"/>
              <w:spacing w:line="173" w:lineRule="exact" w:before="6"/>
              <w:ind w:left="8"/>
              <w:jc w:val="center"/>
              <w:rPr>
                <w:sz w:val="16"/>
              </w:rPr>
            </w:pPr>
            <w:r>
              <w:rPr>
                <w:color w:val="5E89B4"/>
                <w:spacing w:val="-5"/>
                <w:sz w:val="16"/>
              </w:rPr>
              <w:t>NO</w:t>
            </w:r>
          </w:p>
        </w:tc>
        <w:tc>
          <w:tcPr>
            <w:tcW w:w="389" w:type="dxa"/>
            <w:tcBorders>
              <w:top w:val="single" w:sz="4" w:space="0" w:color="001F5F"/>
              <w:bottom w:val="single" w:sz="8" w:space="0" w:color="001F5F"/>
            </w:tcBorders>
          </w:tcPr>
          <w:p>
            <w:pPr>
              <w:pStyle w:val="TableParagraph"/>
              <w:spacing w:line="173" w:lineRule="exact" w:before="6"/>
              <w:ind w:lef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line="173" w:lineRule="exact" w:before="6"/>
              <w:ind w:left="13" w:right="2"/>
              <w:jc w:val="center"/>
              <w:rPr>
                <w:sz w:val="16"/>
              </w:rPr>
            </w:pPr>
            <w:r>
              <w:rPr>
                <w:color w:val="5E89B4"/>
                <w:spacing w:val="-5"/>
                <w:sz w:val="16"/>
              </w:rPr>
              <w:t>NO</w:t>
            </w:r>
          </w:p>
        </w:tc>
        <w:tc>
          <w:tcPr>
            <w:tcW w:w="959" w:type="dxa"/>
            <w:tcBorders>
              <w:top w:val="single" w:sz="4" w:space="0" w:color="001F5F"/>
              <w:bottom w:val="single" w:sz="8" w:space="0" w:color="001F5F"/>
            </w:tcBorders>
          </w:tcPr>
          <w:p>
            <w:pPr>
              <w:pStyle w:val="TableParagraph"/>
              <w:spacing w:line="173" w:lineRule="exact" w:before="6"/>
              <w:ind w:left="13"/>
              <w:jc w:val="center"/>
              <w:rPr>
                <w:sz w:val="16"/>
              </w:rPr>
            </w:pPr>
            <w:r>
              <w:rPr>
                <w:spacing w:val="-2"/>
                <w:sz w:val="16"/>
              </w:rPr>
              <w:t>Finalizada</w:t>
            </w:r>
          </w:p>
        </w:tc>
      </w:tr>
      <w:tr>
        <w:trPr>
          <w:trHeight w:val="379" w:hRule="atLeast"/>
        </w:trPr>
        <w:tc>
          <w:tcPr>
            <w:tcW w:w="994" w:type="dxa"/>
            <w:tcBorders>
              <w:top w:val="single" w:sz="8" w:space="0" w:color="001F5F"/>
            </w:tcBorders>
          </w:tcPr>
          <w:p>
            <w:pPr>
              <w:pStyle w:val="TableParagraph"/>
              <w:spacing w:before="16"/>
              <w:rPr>
                <w:sz w:val="16"/>
              </w:rPr>
            </w:pPr>
          </w:p>
          <w:p>
            <w:pPr>
              <w:pStyle w:val="TableParagraph"/>
              <w:spacing w:line="159" w:lineRule="exact"/>
              <w:ind w:left="70"/>
              <w:rPr>
                <w:b/>
                <w:sz w:val="16"/>
              </w:rPr>
            </w:pPr>
            <w:r>
              <w:rPr>
                <w:b/>
                <w:spacing w:val="-2"/>
                <w:sz w:val="16"/>
              </w:rPr>
              <w:t>SEVILLA</w:t>
            </w:r>
          </w:p>
        </w:tc>
        <w:tc>
          <w:tcPr>
            <w:tcW w:w="2553" w:type="dxa"/>
            <w:tcBorders>
              <w:top w:val="single" w:sz="8" w:space="0" w:color="001F5F"/>
              <w:bottom w:val="single" w:sz="4" w:space="0" w:color="001F5F"/>
            </w:tcBorders>
          </w:tcPr>
          <w:p>
            <w:pPr>
              <w:pStyle w:val="TableParagraph"/>
              <w:spacing w:line="184" w:lineRule="exact"/>
              <w:ind w:left="69"/>
              <w:rPr>
                <w:sz w:val="16"/>
              </w:rPr>
            </w:pPr>
            <w:r>
              <w:rPr>
                <w:sz w:val="16"/>
              </w:rPr>
              <w:t>Pago</w:t>
            </w:r>
            <w:r>
              <w:rPr>
                <w:spacing w:val="-9"/>
                <w:sz w:val="16"/>
              </w:rPr>
              <w:t> </w:t>
            </w:r>
            <w:r>
              <w:rPr>
                <w:sz w:val="16"/>
              </w:rPr>
              <w:t>directo</w:t>
            </w:r>
            <w:r>
              <w:rPr>
                <w:spacing w:val="-7"/>
                <w:sz w:val="16"/>
              </w:rPr>
              <w:t> </w:t>
            </w:r>
            <w:r>
              <w:rPr>
                <w:sz w:val="16"/>
              </w:rPr>
              <w:t>con</w:t>
            </w:r>
            <w:r>
              <w:rPr>
                <w:spacing w:val="-7"/>
                <w:sz w:val="16"/>
              </w:rPr>
              <w:t> </w:t>
            </w:r>
            <w:r>
              <w:rPr>
                <w:sz w:val="16"/>
              </w:rPr>
              <w:t>tarjeta</w:t>
            </w:r>
            <w:r>
              <w:rPr>
                <w:spacing w:val="-9"/>
                <w:sz w:val="16"/>
              </w:rPr>
              <w:t> </w:t>
            </w:r>
            <w:r>
              <w:rPr>
                <w:sz w:val="16"/>
              </w:rPr>
              <w:t>bancaria</w:t>
            </w:r>
            <w:r>
              <w:rPr>
                <w:spacing w:val="-7"/>
                <w:sz w:val="16"/>
              </w:rPr>
              <w:t> </w:t>
            </w:r>
            <w:r>
              <w:rPr>
                <w:sz w:val="16"/>
              </w:rPr>
              <w:t>sin</w:t>
            </w:r>
            <w:r>
              <w:rPr>
                <w:spacing w:val="40"/>
                <w:sz w:val="16"/>
              </w:rPr>
              <w:t> </w:t>
            </w:r>
            <w:r>
              <w:rPr>
                <w:spacing w:val="-2"/>
                <w:sz w:val="16"/>
              </w:rPr>
              <w:t>contacto</w:t>
            </w:r>
          </w:p>
        </w:tc>
        <w:tc>
          <w:tcPr>
            <w:tcW w:w="594" w:type="dxa"/>
            <w:tcBorders>
              <w:top w:val="single" w:sz="8" w:space="0" w:color="001F5F"/>
              <w:bottom w:val="single" w:sz="4" w:space="0" w:color="001F5F"/>
            </w:tcBorders>
          </w:tcPr>
          <w:p>
            <w:pPr>
              <w:pStyle w:val="TableParagraph"/>
              <w:spacing w:before="92"/>
              <w:ind w:right="102"/>
              <w:jc w:val="right"/>
              <w:rPr>
                <w:sz w:val="16"/>
              </w:rPr>
            </w:pPr>
            <w:r>
              <w:rPr>
                <w:spacing w:val="-10"/>
                <w:sz w:val="16"/>
              </w:rPr>
              <w:t>3</w:t>
            </w:r>
          </w:p>
        </w:tc>
        <w:tc>
          <w:tcPr>
            <w:tcW w:w="1051" w:type="dxa"/>
            <w:tcBorders>
              <w:top w:val="single" w:sz="8" w:space="0" w:color="001F5F"/>
              <w:bottom w:val="single" w:sz="4" w:space="0" w:color="001F5F"/>
            </w:tcBorders>
          </w:tcPr>
          <w:p>
            <w:pPr>
              <w:pStyle w:val="TableParagraph"/>
              <w:spacing w:before="92"/>
              <w:ind w:right="76"/>
              <w:jc w:val="right"/>
              <w:rPr>
                <w:sz w:val="16"/>
              </w:rPr>
            </w:pPr>
            <w:r>
              <w:rPr>
                <w:spacing w:val="-2"/>
                <w:sz w:val="16"/>
              </w:rPr>
              <w:t>1.436.336,29</w:t>
            </w:r>
          </w:p>
        </w:tc>
        <w:tc>
          <w:tcPr>
            <w:tcW w:w="1052" w:type="dxa"/>
            <w:tcBorders>
              <w:top w:val="single" w:sz="8" w:space="0" w:color="001F5F"/>
              <w:bottom w:val="single" w:sz="4" w:space="0" w:color="001F5F"/>
            </w:tcBorders>
          </w:tcPr>
          <w:p>
            <w:pPr>
              <w:pStyle w:val="TableParagraph"/>
              <w:spacing w:before="92"/>
              <w:ind w:right="71"/>
              <w:jc w:val="right"/>
              <w:rPr>
                <w:sz w:val="16"/>
              </w:rPr>
            </w:pPr>
            <w:r>
              <w:rPr>
                <w:spacing w:val="-2"/>
                <w:sz w:val="16"/>
              </w:rPr>
              <w:t>1.436.336,29</w:t>
            </w:r>
          </w:p>
        </w:tc>
        <w:tc>
          <w:tcPr>
            <w:tcW w:w="1080" w:type="dxa"/>
            <w:tcBorders>
              <w:top w:val="single" w:sz="8" w:space="0" w:color="001F5F"/>
              <w:bottom w:val="single" w:sz="4" w:space="0" w:color="001F5F"/>
            </w:tcBorders>
          </w:tcPr>
          <w:p>
            <w:pPr>
              <w:pStyle w:val="TableParagraph"/>
              <w:spacing w:before="92"/>
              <w:ind w:right="159"/>
              <w:jc w:val="right"/>
              <w:rPr>
                <w:sz w:val="16"/>
              </w:rPr>
            </w:pPr>
            <w:r>
              <w:rPr>
                <w:spacing w:val="-4"/>
                <w:sz w:val="16"/>
              </w:rPr>
              <w:t>0,00</w:t>
            </w:r>
          </w:p>
        </w:tc>
        <w:tc>
          <w:tcPr>
            <w:tcW w:w="458" w:type="dxa"/>
            <w:tcBorders>
              <w:top w:val="single" w:sz="8" w:space="0" w:color="001F5F"/>
              <w:bottom w:val="single" w:sz="4" w:space="0" w:color="001F5F"/>
            </w:tcBorders>
          </w:tcPr>
          <w:p>
            <w:pPr>
              <w:pStyle w:val="TableParagraph"/>
              <w:spacing w:before="92"/>
              <w:ind w:left="73" w:right="1"/>
              <w:jc w:val="center"/>
              <w:rPr>
                <w:sz w:val="16"/>
              </w:rPr>
            </w:pPr>
            <w:r>
              <w:rPr>
                <w:color w:val="891538"/>
                <w:spacing w:val="-5"/>
                <w:sz w:val="16"/>
              </w:rPr>
              <w:t>SI</w:t>
            </w:r>
          </w:p>
        </w:tc>
        <w:tc>
          <w:tcPr>
            <w:tcW w:w="389" w:type="dxa"/>
            <w:tcBorders>
              <w:top w:val="single" w:sz="8" w:space="0" w:color="001F5F"/>
              <w:bottom w:val="single" w:sz="4" w:space="0" w:color="001F5F"/>
            </w:tcBorders>
          </w:tcPr>
          <w:p>
            <w:pPr>
              <w:pStyle w:val="TableParagraph"/>
              <w:spacing w:before="92"/>
              <w:ind w:left="8" w:right="1"/>
              <w:jc w:val="center"/>
              <w:rPr>
                <w:sz w:val="16"/>
              </w:rPr>
            </w:pPr>
            <w:r>
              <w:rPr>
                <w:color w:val="891538"/>
                <w:spacing w:val="-5"/>
                <w:sz w:val="16"/>
              </w:rPr>
              <w:t>SI</w:t>
            </w:r>
          </w:p>
        </w:tc>
        <w:tc>
          <w:tcPr>
            <w:tcW w:w="389" w:type="dxa"/>
            <w:tcBorders>
              <w:top w:val="single" w:sz="8" w:space="0" w:color="001F5F"/>
              <w:bottom w:val="single" w:sz="4" w:space="0" w:color="001F5F"/>
            </w:tcBorders>
          </w:tcPr>
          <w:p>
            <w:pPr>
              <w:pStyle w:val="TableParagraph"/>
              <w:spacing w:before="92"/>
              <w:ind w:lef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before="92"/>
              <w:ind w:left="13" w:right="2"/>
              <w:jc w:val="center"/>
              <w:rPr>
                <w:sz w:val="16"/>
              </w:rPr>
            </w:pPr>
            <w:r>
              <w:rPr>
                <w:color w:val="5E89B4"/>
                <w:spacing w:val="-5"/>
                <w:sz w:val="16"/>
              </w:rPr>
              <w:t>NO</w:t>
            </w:r>
          </w:p>
        </w:tc>
        <w:tc>
          <w:tcPr>
            <w:tcW w:w="959" w:type="dxa"/>
            <w:tcBorders>
              <w:top w:val="single" w:sz="8" w:space="0" w:color="001F5F"/>
              <w:bottom w:val="single" w:sz="4" w:space="0" w:color="001F5F"/>
            </w:tcBorders>
          </w:tcPr>
          <w:p>
            <w:pPr>
              <w:pStyle w:val="TableParagraph"/>
              <w:spacing w:before="92"/>
              <w:ind w:left="13" w:right="1"/>
              <w:jc w:val="center"/>
              <w:rPr>
                <w:sz w:val="16"/>
              </w:rPr>
            </w:pPr>
            <w:r>
              <w:rPr>
                <w:sz w:val="16"/>
              </w:rPr>
              <w:t>En</w:t>
            </w:r>
            <w:r>
              <w:rPr>
                <w:spacing w:val="-2"/>
                <w:sz w:val="16"/>
              </w:rPr>
              <w:t> ejecución</w:t>
            </w:r>
          </w:p>
        </w:tc>
      </w:tr>
      <w:tr>
        <w:trPr>
          <w:trHeight w:val="194" w:hRule="atLeast"/>
        </w:trPr>
        <w:tc>
          <w:tcPr>
            <w:tcW w:w="994" w:type="dxa"/>
            <w:tcBorders>
              <w:bottom w:val="single" w:sz="8" w:space="0" w:color="001F5F"/>
            </w:tcBorders>
          </w:tcPr>
          <w:p>
            <w:pPr>
              <w:pStyle w:val="TableParagraph"/>
              <w:rPr>
                <w:rFonts w:ascii="Times New Roman"/>
                <w:sz w:val="12"/>
              </w:rPr>
            </w:pPr>
          </w:p>
        </w:tc>
        <w:tc>
          <w:tcPr>
            <w:tcW w:w="2553" w:type="dxa"/>
            <w:tcBorders>
              <w:top w:val="single" w:sz="4" w:space="0" w:color="001F5F"/>
              <w:bottom w:val="single" w:sz="8" w:space="0" w:color="001F5F"/>
            </w:tcBorders>
          </w:tcPr>
          <w:p>
            <w:pPr>
              <w:pStyle w:val="TableParagraph"/>
              <w:spacing w:line="170" w:lineRule="exact" w:before="16"/>
              <w:ind w:left="69"/>
              <w:rPr>
                <w:sz w:val="16"/>
              </w:rPr>
            </w:pPr>
            <w:r>
              <w:rPr>
                <w:sz w:val="16"/>
              </w:rPr>
              <w:t>Acceso</w:t>
            </w:r>
            <w:r>
              <w:rPr>
                <w:spacing w:val="-6"/>
                <w:sz w:val="16"/>
              </w:rPr>
              <w:t> </w:t>
            </w:r>
            <w:r>
              <w:rPr>
                <w:sz w:val="16"/>
              </w:rPr>
              <w:t>a</w:t>
            </w:r>
            <w:r>
              <w:rPr>
                <w:spacing w:val="-3"/>
                <w:sz w:val="16"/>
              </w:rPr>
              <w:t> </w:t>
            </w:r>
            <w:r>
              <w:rPr>
                <w:sz w:val="16"/>
              </w:rPr>
              <w:t>internet</w:t>
            </w:r>
            <w:r>
              <w:rPr>
                <w:spacing w:val="-4"/>
                <w:sz w:val="16"/>
              </w:rPr>
              <w:t> </w:t>
            </w:r>
            <w:r>
              <w:rPr>
                <w:sz w:val="16"/>
              </w:rPr>
              <w:t>wifi</w:t>
            </w:r>
            <w:r>
              <w:rPr>
                <w:spacing w:val="-4"/>
                <w:sz w:val="16"/>
              </w:rPr>
              <w:t> </w:t>
            </w:r>
            <w:r>
              <w:rPr>
                <w:sz w:val="16"/>
              </w:rPr>
              <w:t>en</w:t>
            </w:r>
            <w:r>
              <w:rPr>
                <w:spacing w:val="-3"/>
                <w:sz w:val="16"/>
              </w:rPr>
              <w:t> </w:t>
            </w:r>
            <w:r>
              <w:rPr>
                <w:sz w:val="16"/>
              </w:rPr>
              <w:t>la</w:t>
            </w:r>
            <w:r>
              <w:rPr>
                <w:spacing w:val="-3"/>
                <w:sz w:val="16"/>
              </w:rPr>
              <w:t> </w:t>
            </w:r>
            <w:r>
              <w:rPr>
                <w:spacing w:val="-4"/>
                <w:sz w:val="16"/>
              </w:rPr>
              <w:t>flota</w:t>
            </w:r>
          </w:p>
        </w:tc>
        <w:tc>
          <w:tcPr>
            <w:tcW w:w="594" w:type="dxa"/>
            <w:tcBorders>
              <w:top w:val="single" w:sz="4" w:space="0" w:color="001F5F"/>
              <w:bottom w:val="single" w:sz="8" w:space="0" w:color="001F5F"/>
            </w:tcBorders>
          </w:tcPr>
          <w:p>
            <w:pPr>
              <w:pStyle w:val="TableParagraph"/>
              <w:spacing w:line="170" w:lineRule="exact" w:before="16"/>
              <w:ind w:right="102"/>
              <w:jc w:val="right"/>
              <w:rPr>
                <w:sz w:val="16"/>
              </w:rPr>
            </w:pPr>
            <w:r>
              <w:rPr>
                <w:spacing w:val="-10"/>
                <w:sz w:val="16"/>
              </w:rPr>
              <w:t>1</w:t>
            </w:r>
          </w:p>
        </w:tc>
        <w:tc>
          <w:tcPr>
            <w:tcW w:w="1051" w:type="dxa"/>
            <w:tcBorders>
              <w:top w:val="single" w:sz="4" w:space="0" w:color="001F5F"/>
              <w:bottom w:val="single" w:sz="8" w:space="0" w:color="001F5F"/>
            </w:tcBorders>
          </w:tcPr>
          <w:p>
            <w:pPr>
              <w:pStyle w:val="TableParagraph"/>
              <w:spacing w:line="170" w:lineRule="exact" w:before="16"/>
              <w:ind w:right="75"/>
              <w:jc w:val="right"/>
              <w:rPr>
                <w:sz w:val="16"/>
              </w:rPr>
            </w:pPr>
            <w:r>
              <w:rPr>
                <w:spacing w:val="-2"/>
                <w:sz w:val="16"/>
              </w:rPr>
              <w:t>50.354,69</w:t>
            </w:r>
          </w:p>
        </w:tc>
        <w:tc>
          <w:tcPr>
            <w:tcW w:w="1052" w:type="dxa"/>
            <w:tcBorders>
              <w:top w:val="single" w:sz="4" w:space="0" w:color="001F5F"/>
              <w:bottom w:val="single" w:sz="8" w:space="0" w:color="001F5F"/>
            </w:tcBorders>
          </w:tcPr>
          <w:p>
            <w:pPr>
              <w:pStyle w:val="TableParagraph"/>
              <w:spacing w:line="170" w:lineRule="exact" w:before="16"/>
              <w:ind w:right="71"/>
              <w:jc w:val="right"/>
              <w:rPr>
                <w:sz w:val="16"/>
              </w:rPr>
            </w:pPr>
            <w:r>
              <w:rPr>
                <w:spacing w:val="-2"/>
                <w:sz w:val="16"/>
              </w:rPr>
              <w:t>50.354,69</w:t>
            </w:r>
          </w:p>
        </w:tc>
        <w:tc>
          <w:tcPr>
            <w:tcW w:w="1080" w:type="dxa"/>
            <w:tcBorders>
              <w:top w:val="single" w:sz="4" w:space="0" w:color="001F5F"/>
              <w:bottom w:val="single" w:sz="8" w:space="0" w:color="001F5F"/>
            </w:tcBorders>
          </w:tcPr>
          <w:p>
            <w:pPr>
              <w:pStyle w:val="TableParagraph"/>
              <w:spacing w:line="170" w:lineRule="exact" w:before="16"/>
              <w:ind w:right="159"/>
              <w:jc w:val="right"/>
              <w:rPr>
                <w:sz w:val="16"/>
              </w:rPr>
            </w:pPr>
            <w:r>
              <w:rPr>
                <w:spacing w:val="-4"/>
                <w:sz w:val="16"/>
              </w:rPr>
              <w:t>0,00</w:t>
            </w:r>
          </w:p>
        </w:tc>
        <w:tc>
          <w:tcPr>
            <w:tcW w:w="458" w:type="dxa"/>
            <w:tcBorders>
              <w:top w:val="single" w:sz="4" w:space="0" w:color="001F5F"/>
              <w:bottom w:val="single" w:sz="8" w:space="0" w:color="001F5F"/>
            </w:tcBorders>
          </w:tcPr>
          <w:p>
            <w:pPr>
              <w:pStyle w:val="TableParagraph"/>
              <w:spacing w:line="170" w:lineRule="exact" w:before="16"/>
              <w:ind w:left="73"/>
              <w:jc w:val="center"/>
              <w:rPr>
                <w:sz w:val="16"/>
              </w:rPr>
            </w:pPr>
            <w:r>
              <w:rPr>
                <w:color w:val="5E89B4"/>
                <w:spacing w:val="-5"/>
                <w:sz w:val="16"/>
              </w:rPr>
              <w:t>NO</w:t>
            </w:r>
          </w:p>
        </w:tc>
        <w:tc>
          <w:tcPr>
            <w:tcW w:w="389" w:type="dxa"/>
            <w:tcBorders>
              <w:top w:val="single" w:sz="4" w:space="0" w:color="001F5F"/>
              <w:bottom w:val="single" w:sz="8" w:space="0" w:color="001F5F"/>
            </w:tcBorders>
          </w:tcPr>
          <w:p>
            <w:pPr>
              <w:pStyle w:val="TableParagraph"/>
              <w:spacing w:line="170" w:lineRule="exact" w:before="16"/>
              <w:ind w:left="8"/>
              <w:jc w:val="center"/>
              <w:rPr>
                <w:sz w:val="16"/>
              </w:rPr>
            </w:pPr>
            <w:r>
              <w:rPr>
                <w:color w:val="5E89B4"/>
                <w:spacing w:val="-5"/>
                <w:sz w:val="16"/>
              </w:rPr>
              <w:t>NO</w:t>
            </w:r>
          </w:p>
        </w:tc>
        <w:tc>
          <w:tcPr>
            <w:tcW w:w="389" w:type="dxa"/>
            <w:tcBorders>
              <w:top w:val="single" w:sz="4" w:space="0" w:color="001F5F"/>
              <w:bottom w:val="single" w:sz="8" w:space="0" w:color="001F5F"/>
            </w:tcBorders>
          </w:tcPr>
          <w:p>
            <w:pPr>
              <w:pStyle w:val="TableParagraph"/>
              <w:spacing w:line="170" w:lineRule="exact" w:before="16"/>
              <w:ind w:left="8"/>
              <w:jc w:val="center"/>
              <w:rPr>
                <w:sz w:val="16"/>
              </w:rPr>
            </w:pPr>
            <w:r>
              <w:rPr>
                <w:color w:val="5E89B4"/>
                <w:spacing w:val="-5"/>
                <w:sz w:val="16"/>
              </w:rPr>
              <w:t>NO</w:t>
            </w:r>
          </w:p>
        </w:tc>
        <w:tc>
          <w:tcPr>
            <w:tcW w:w="390" w:type="dxa"/>
            <w:tcBorders>
              <w:top w:val="single" w:sz="4" w:space="0" w:color="001F5F"/>
              <w:bottom w:val="single" w:sz="8" w:space="0" w:color="001F5F"/>
            </w:tcBorders>
          </w:tcPr>
          <w:p>
            <w:pPr>
              <w:pStyle w:val="TableParagraph"/>
              <w:spacing w:line="170" w:lineRule="exact" w:before="16"/>
              <w:ind w:left="13" w:right="2"/>
              <w:jc w:val="center"/>
              <w:rPr>
                <w:sz w:val="16"/>
              </w:rPr>
            </w:pPr>
            <w:r>
              <w:rPr>
                <w:color w:val="5E89B4"/>
                <w:spacing w:val="-5"/>
                <w:sz w:val="16"/>
              </w:rPr>
              <w:t>NO</w:t>
            </w:r>
          </w:p>
        </w:tc>
        <w:tc>
          <w:tcPr>
            <w:tcW w:w="959" w:type="dxa"/>
            <w:tcBorders>
              <w:top w:val="single" w:sz="4" w:space="0" w:color="001F5F"/>
              <w:bottom w:val="single" w:sz="8" w:space="0" w:color="001F5F"/>
            </w:tcBorders>
          </w:tcPr>
          <w:p>
            <w:pPr>
              <w:pStyle w:val="TableParagraph"/>
              <w:spacing w:line="170" w:lineRule="exact" w:before="16"/>
              <w:ind w:left="13" w:right="1"/>
              <w:jc w:val="center"/>
              <w:rPr>
                <w:sz w:val="16"/>
              </w:rPr>
            </w:pPr>
            <w:r>
              <w:rPr>
                <w:sz w:val="16"/>
              </w:rPr>
              <w:t>En</w:t>
            </w:r>
            <w:r>
              <w:rPr>
                <w:spacing w:val="-2"/>
                <w:sz w:val="16"/>
              </w:rPr>
              <w:t> ejecución</w:t>
            </w:r>
          </w:p>
        </w:tc>
      </w:tr>
      <w:tr>
        <w:trPr>
          <w:trHeight w:val="198" w:hRule="atLeast"/>
        </w:trPr>
        <w:tc>
          <w:tcPr>
            <w:tcW w:w="994" w:type="dxa"/>
            <w:tcBorders>
              <w:top w:val="single" w:sz="8" w:space="0" w:color="001F5F"/>
            </w:tcBorders>
          </w:tcPr>
          <w:p>
            <w:pPr>
              <w:pStyle w:val="TableParagraph"/>
              <w:rPr>
                <w:rFonts w:ascii="Times New Roman"/>
                <w:sz w:val="12"/>
              </w:rPr>
            </w:pPr>
          </w:p>
        </w:tc>
        <w:tc>
          <w:tcPr>
            <w:tcW w:w="2553" w:type="dxa"/>
            <w:tcBorders>
              <w:top w:val="single" w:sz="8" w:space="0" w:color="001F5F"/>
              <w:bottom w:val="single" w:sz="4" w:space="0" w:color="001F5F"/>
            </w:tcBorders>
          </w:tcPr>
          <w:p>
            <w:pPr>
              <w:pStyle w:val="TableParagraph"/>
              <w:spacing w:line="173" w:lineRule="exact" w:before="5"/>
              <w:ind w:left="69"/>
              <w:rPr>
                <w:sz w:val="16"/>
              </w:rPr>
            </w:pPr>
            <w:r>
              <w:rPr>
                <w:sz w:val="16"/>
              </w:rPr>
              <w:t>Implantación</w:t>
            </w:r>
            <w:r>
              <w:rPr>
                <w:spacing w:val="-9"/>
                <w:sz w:val="16"/>
              </w:rPr>
              <w:t> </w:t>
            </w:r>
            <w:r>
              <w:rPr>
                <w:sz w:val="16"/>
              </w:rPr>
              <w:t>tecnología</w:t>
            </w:r>
            <w:r>
              <w:rPr>
                <w:spacing w:val="-9"/>
                <w:sz w:val="16"/>
              </w:rPr>
              <w:t> </w:t>
            </w:r>
            <w:r>
              <w:rPr>
                <w:spacing w:val="-2"/>
                <w:sz w:val="16"/>
              </w:rPr>
              <w:t>NaviLens</w:t>
            </w:r>
          </w:p>
        </w:tc>
        <w:tc>
          <w:tcPr>
            <w:tcW w:w="594" w:type="dxa"/>
            <w:tcBorders>
              <w:top w:val="single" w:sz="8" w:space="0" w:color="001F5F"/>
              <w:bottom w:val="single" w:sz="4" w:space="0" w:color="001F5F"/>
            </w:tcBorders>
          </w:tcPr>
          <w:p>
            <w:pPr>
              <w:pStyle w:val="TableParagraph"/>
              <w:spacing w:line="173" w:lineRule="exact" w:before="5"/>
              <w:ind w:right="102"/>
              <w:jc w:val="right"/>
              <w:rPr>
                <w:sz w:val="16"/>
              </w:rPr>
            </w:pPr>
            <w:r>
              <w:rPr>
                <w:spacing w:val="-10"/>
                <w:sz w:val="16"/>
              </w:rPr>
              <w:t>1</w:t>
            </w:r>
          </w:p>
        </w:tc>
        <w:tc>
          <w:tcPr>
            <w:tcW w:w="1051" w:type="dxa"/>
            <w:tcBorders>
              <w:top w:val="single" w:sz="8" w:space="0" w:color="001F5F"/>
              <w:bottom w:val="single" w:sz="4" w:space="0" w:color="001F5F"/>
            </w:tcBorders>
          </w:tcPr>
          <w:p>
            <w:pPr>
              <w:pStyle w:val="TableParagraph"/>
              <w:spacing w:line="173" w:lineRule="exact" w:before="5"/>
              <w:ind w:right="76"/>
              <w:jc w:val="right"/>
              <w:rPr>
                <w:sz w:val="16"/>
              </w:rPr>
            </w:pPr>
            <w:r>
              <w:rPr>
                <w:spacing w:val="-2"/>
                <w:sz w:val="16"/>
              </w:rPr>
              <w:t>125.165,28</w:t>
            </w:r>
          </w:p>
        </w:tc>
        <w:tc>
          <w:tcPr>
            <w:tcW w:w="1052" w:type="dxa"/>
            <w:tcBorders>
              <w:top w:val="single" w:sz="8" w:space="0" w:color="001F5F"/>
              <w:bottom w:val="single" w:sz="4" w:space="0" w:color="001F5F"/>
            </w:tcBorders>
          </w:tcPr>
          <w:p>
            <w:pPr>
              <w:pStyle w:val="TableParagraph"/>
              <w:spacing w:line="173" w:lineRule="exact" w:before="5"/>
              <w:ind w:right="71"/>
              <w:jc w:val="right"/>
              <w:rPr>
                <w:sz w:val="16"/>
              </w:rPr>
            </w:pPr>
            <w:r>
              <w:rPr>
                <w:spacing w:val="-2"/>
                <w:sz w:val="16"/>
              </w:rPr>
              <w:t>125.165,28</w:t>
            </w:r>
          </w:p>
        </w:tc>
        <w:tc>
          <w:tcPr>
            <w:tcW w:w="1080" w:type="dxa"/>
            <w:tcBorders>
              <w:top w:val="single" w:sz="8" w:space="0" w:color="001F5F"/>
              <w:bottom w:val="single" w:sz="4" w:space="0" w:color="001F5F"/>
            </w:tcBorders>
          </w:tcPr>
          <w:p>
            <w:pPr>
              <w:pStyle w:val="TableParagraph"/>
              <w:spacing w:line="173" w:lineRule="exact" w:before="5"/>
              <w:ind w:right="159"/>
              <w:jc w:val="right"/>
              <w:rPr>
                <w:sz w:val="16"/>
              </w:rPr>
            </w:pPr>
            <w:r>
              <w:rPr>
                <w:spacing w:val="-4"/>
                <w:sz w:val="16"/>
              </w:rPr>
              <w:t>0,00</w:t>
            </w:r>
          </w:p>
        </w:tc>
        <w:tc>
          <w:tcPr>
            <w:tcW w:w="458" w:type="dxa"/>
            <w:tcBorders>
              <w:top w:val="single" w:sz="8" w:space="0" w:color="001F5F"/>
              <w:bottom w:val="single" w:sz="4" w:space="0" w:color="001F5F"/>
            </w:tcBorders>
          </w:tcPr>
          <w:p>
            <w:pPr>
              <w:pStyle w:val="TableParagraph"/>
              <w:spacing w:line="173" w:lineRule="exact" w:before="5"/>
              <w:ind w:left="73"/>
              <w:jc w:val="center"/>
              <w:rPr>
                <w:sz w:val="16"/>
              </w:rPr>
            </w:pPr>
            <w:r>
              <w:rPr>
                <w:color w:val="5E89B4"/>
                <w:spacing w:val="-5"/>
                <w:sz w:val="16"/>
              </w:rPr>
              <w:t>NO</w:t>
            </w:r>
          </w:p>
        </w:tc>
        <w:tc>
          <w:tcPr>
            <w:tcW w:w="389" w:type="dxa"/>
            <w:tcBorders>
              <w:top w:val="single" w:sz="8" w:space="0" w:color="001F5F"/>
              <w:bottom w:val="single" w:sz="4" w:space="0" w:color="001F5F"/>
            </w:tcBorders>
          </w:tcPr>
          <w:p>
            <w:pPr>
              <w:pStyle w:val="TableParagraph"/>
              <w:spacing w:line="173" w:lineRule="exact" w:before="5"/>
              <w:ind w:left="8"/>
              <w:jc w:val="center"/>
              <w:rPr>
                <w:sz w:val="16"/>
              </w:rPr>
            </w:pPr>
            <w:r>
              <w:rPr>
                <w:color w:val="5E89B4"/>
                <w:spacing w:val="-5"/>
                <w:sz w:val="16"/>
              </w:rPr>
              <w:t>NO</w:t>
            </w:r>
          </w:p>
        </w:tc>
        <w:tc>
          <w:tcPr>
            <w:tcW w:w="389" w:type="dxa"/>
            <w:tcBorders>
              <w:top w:val="single" w:sz="8" w:space="0" w:color="001F5F"/>
              <w:bottom w:val="single" w:sz="4" w:space="0" w:color="001F5F"/>
            </w:tcBorders>
          </w:tcPr>
          <w:p>
            <w:pPr>
              <w:pStyle w:val="TableParagraph"/>
              <w:spacing w:line="173" w:lineRule="exact" w:before="5"/>
              <w:ind w:left="8"/>
              <w:jc w:val="center"/>
              <w:rPr>
                <w:sz w:val="16"/>
              </w:rPr>
            </w:pPr>
            <w:r>
              <w:rPr>
                <w:color w:val="5E89B4"/>
                <w:spacing w:val="-5"/>
                <w:sz w:val="16"/>
              </w:rPr>
              <w:t>NO</w:t>
            </w:r>
          </w:p>
        </w:tc>
        <w:tc>
          <w:tcPr>
            <w:tcW w:w="390" w:type="dxa"/>
            <w:tcBorders>
              <w:top w:val="single" w:sz="8" w:space="0" w:color="001F5F"/>
              <w:bottom w:val="single" w:sz="4" w:space="0" w:color="001F5F"/>
            </w:tcBorders>
          </w:tcPr>
          <w:p>
            <w:pPr>
              <w:pStyle w:val="TableParagraph"/>
              <w:spacing w:line="173" w:lineRule="exact" w:before="5"/>
              <w:ind w:left="13" w:right="2"/>
              <w:jc w:val="center"/>
              <w:rPr>
                <w:sz w:val="16"/>
              </w:rPr>
            </w:pPr>
            <w:r>
              <w:rPr>
                <w:color w:val="5E89B4"/>
                <w:spacing w:val="-5"/>
                <w:sz w:val="16"/>
              </w:rPr>
              <w:t>NO</w:t>
            </w:r>
          </w:p>
        </w:tc>
        <w:tc>
          <w:tcPr>
            <w:tcW w:w="959" w:type="dxa"/>
            <w:tcBorders>
              <w:top w:val="single" w:sz="8" w:space="0" w:color="001F5F"/>
              <w:bottom w:val="single" w:sz="4" w:space="0" w:color="001F5F"/>
            </w:tcBorders>
          </w:tcPr>
          <w:p>
            <w:pPr>
              <w:pStyle w:val="TableParagraph"/>
              <w:spacing w:line="173" w:lineRule="exact" w:before="5"/>
              <w:ind w:left="13" w:right="1"/>
              <w:jc w:val="center"/>
              <w:rPr>
                <w:sz w:val="16"/>
              </w:rPr>
            </w:pPr>
            <w:r>
              <w:rPr>
                <w:sz w:val="16"/>
              </w:rPr>
              <w:t>En</w:t>
            </w:r>
            <w:r>
              <w:rPr>
                <w:spacing w:val="-2"/>
                <w:sz w:val="16"/>
              </w:rPr>
              <w:t> ejecución</w:t>
            </w:r>
          </w:p>
        </w:tc>
      </w:tr>
      <w:tr>
        <w:trPr>
          <w:trHeight w:val="551" w:hRule="atLeast"/>
        </w:trPr>
        <w:tc>
          <w:tcPr>
            <w:tcW w:w="994" w:type="dxa"/>
          </w:tcPr>
          <w:p>
            <w:pPr>
              <w:pStyle w:val="TableParagraph"/>
              <w:spacing w:before="84"/>
              <w:rPr>
                <w:sz w:val="16"/>
              </w:rPr>
            </w:pPr>
          </w:p>
          <w:p>
            <w:pPr>
              <w:pStyle w:val="TableParagraph"/>
              <w:ind w:left="70"/>
              <w:rPr>
                <w:b/>
                <w:sz w:val="16"/>
              </w:rPr>
            </w:pPr>
            <w:r>
              <w:rPr>
                <w:b/>
                <w:spacing w:val="-2"/>
                <w:sz w:val="16"/>
              </w:rPr>
              <w:t>ZARAGOZA</w:t>
            </w:r>
          </w:p>
        </w:tc>
        <w:tc>
          <w:tcPr>
            <w:tcW w:w="2553" w:type="dxa"/>
            <w:tcBorders>
              <w:top w:val="single" w:sz="4" w:space="0" w:color="001F5F"/>
              <w:bottom w:val="single" w:sz="4" w:space="0" w:color="001F5F"/>
            </w:tcBorders>
          </w:tcPr>
          <w:p>
            <w:pPr>
              <w:pStyle w:val="TableParagraph"/>
              <w:spacing w:line="182" w:lineRule="exact"/>
              <w:ind w:left="69"/>
              <w:rPr>
                <w:sz w:val="16"/>
              </w:rPr>
            </w:pPr>
            <w:r>
              <w:rPr>
                <w:sz w:val="16"/>
              </w:rPr>
              <w:t>Tecnología</w:t>
            </w:r>
            <w:r>
              <w:rPr>
                <w:spacing w:val="-5"/>
                <w:sz w:val="16"/>
              </w:rPr>
              <w:t> </w:t>
            </w:r>
            <w:r>
              <w:rPr>
                <w:sz w:val="16"/>
              </w:rPr>
              <w:t>de</w:t>
            </w:r>
            <w:r>
              <w:rPr>
                <w:spacing w:val="-4"/>
                <w:sz w:val="16"/>
              </w:rPr>
              <w:t> </w:t>
            </w:r>
            <w:r>
              <w:rPr>
                <w:sz w:val="16"/>
              </w:rPr>
              <w:t>pagos</w:t>
            </w:r>
            <w:r>
              <w:rPr>
                <w:spacing w:val="-5"/>
                <w:sz w:val="16"/>
              </w:rPr>
              <w:t> </w:t>
            </w:r>
            <w:r>
              <w:rPr>
                <w:sz w:val="16"/>
              </w:rPr>
              <w:t>QR</w:t>
            </w:r>
            <w:r>
              <w:rPr>
                <w:spacing w:val="-3"/>
                <w:sz w:val="16"/>
              </w:rPr>
              <w:t> </w:t>
            </w:r>
            <w:r>
              <w:rPr>
                <w:sz w:val="16"/>
              </w:rPr>
              <w:t>y</w:t>
            </w:r>
            <w:r>
              <w:rPr>
                <w:spacing w:val="-4"/>
                <w:sz w:val="16"/>
              </w:rPr>
              <w:t> </w:t>
            </w:r>
            <w:r>
              <w:rPr>
                <w:sz w:val="16"/>
              </w:rPr>
              <w:t>mejora</w:t>
            </w:r>
            <w:r>
              <w:rPr>
                <w:spacing w:val="-4"/>
                <w:sz w:val="16"/>
              </w:rPr>
              <w:t> </w:t>
            </w:r>
            <w:r>
              <w:rPr>
                <w:spacing w:val="-5"/>
                <w:sz w:val="16"/>
              </w:rPr>
              <w:t>de</w:t>
            </w:r>
          </w:p>
          <w:p>
            <w:pPr>
              <w:pStyle w:val="TableParagraph"/>
              <w:spacing w:line="182" w:lineRule="exact"/>
              <w:ind w:left="69"/>
              <w:rPr>
                <w:sz w:val="16"/>
              </w:rPr>
            </w:pPr>
            <w:r>
              <w:rPr>
                <w:sz w:val="16"/>
              </w:rPr>
              <w:t>seguridad</w:t>
            </w:r>
            <w:r>
              <w:rPr>
                <w:spacing w:val="-6"/>
                <w:sz w:val="16"/>
              </w:rPr>
              <w:t> </w:t>
            </w:r>
            <w:r>
              <w:rPr>
                <w:sz w:val="16"/>
              </w:rPr>
              <w:t>en</w:t>
            </w:r>
            <w:r>
              <w:rPr>
                <w:spacing w:val="-6"/>
                <w:sz w:val="16"/>
              </w:rPr>
              <w:t> </w:t>
            </w:r>
            <w:r>
              <w:rPr>
                <w:sz w:val="16"/>
              </w:rPr>
              <w:t>la</w:t>
            </w:r>
            <w:r>
              <w:rPr>
                <w:spacing w:val="-6"/>
                <w:sz w:val="16"/>
              </w:rPr>
              <w:t> </w:t>
            </w:r>
            <w:r>
              <w:rPr>
                <w:sz w:val="16"/>
              </w:rPr>
              <w:t>validación</w:t>
            </w:r>
            <w:r>
              <w:rPr>
                <w:spacing w:val="-6"/>
                <w:sz w:val="16"/>
              </w:rPr>
              <w:t> </w:t>
            </w:r>
            <w:r>
              <w:rPr>
                <w:sz w:val="16"/>
              </w:rPr>
              <w:t>del</w:t>
            </w:r>
            <w:r>
              <w:rPr>
                <w:spacing w:val="-7"/>
                <w:sz w:val="16"/>
              </w:rPr>
              <w:t> </w:t>
            </w:r>
            <w:r>
              <w:rPr>
                <w:sz w:val="16"/>
              </w:rPr>
              <w:t>STI</w:t>
            </w:r>
            <w:r>
              <w:rPr>
                <w:spacing w:val="-8"/>
                <w:sz w:val="16"/>
              </w:rPr>
              <w:t> </w:t>
            </w:r>
            <w:r>
              <w:rPr>
                <w:sz w:val="16"/>
              </w:rPr>
              <w:t>en</w:t>
            </w:r>
            <w:r>
              <w:rPr>
                <w:spacing w:val="40"/>
                <w:sz w:val="16"/>
              </w:rPr>
              <w:t> </w:t>
            </w:r>
            <w:r>
              <w:rPr>
                <w:sz w:val="16"/>
              </w:rPr>
              <w:t>autobús y tranvía</w:t>
            </w:r>
          </w:p>
        </w:tc>
        <w:tc>
          <w:tcPr>
            <w:tcW w:w="594" w:type="dxa"/>
            <w:tcBorders>
              <w:top w:val="single" w:sz="4" w:space="0" w:color="001F5F"/>
              <w:bottom w:val="single" w:sz="4" w:space="0" w:color="001F5F"/>
            </w:tcBorders>
          </w:tcPr>
          <w:p>
            <w:pPr>
              <w:pStyle w:val="TableParagraph"/>
              <w:rPr>
                <w:sz w:val="16"/>
              </w:rPr>
            </w:pPr>
          </w:p>
          <w:p>
            <w:pPr>
              <w:pStyle w:val="TableParagraph"/>
              <w:ind w:right="102"/>
              <w:jc w:val="right"/>
              <w:rPr>
                <w:sz w:val="16"/>
              </w:rPr>
            </w:pPr>
            <w:r>
              <w:rPr>
                <w:spacing w:val="-10"/>
                <w:sz w:val="16"/>
              </w:rPr>
              <w:t>1</w:t>
            </w:r>
          </w:p>
        </w:tc>
        <w:tc>
          <w:tcPr>
            <w:tcW w:w="1051" w:type="dxa"/>
            <w:tcBorders>
              <w:top w:val="single" w:sz="4" w:space="0" w:color="001F5F"/>
              <w:bottom w:val="single" w:sz="4" w:space="0" w:color="001F5F"/>
            </w:tcBorders>
          </w:tcPr>
          <w:p>
            <w:pPr>
              <w:pStyle w:val="TableParagraph"/>
              <w:rPr>
                <w:sz w:val="16"/>
              </w:rPr>
            </w:pPr>
          </w:p>
          <w:p>
            <w:pPr>
              <w:pStyle w:val="TableParagraph"/>
              <w:ind w:right="76"/>
              <w:jc w:val="right"/>
              <w:rPr>
                <w:sz w:val="16"/>
              </w:rPr>
            </w:pPr>
            <w:r>
              <w:rPr>
                <w:spacing w:val="-2"/>
                <w:sz w:val="16"/>
              </w:rPr>
              <w:t>878.337,35</w:t>
            </w:r>
          </w:p>
        </w:tc>
        <w:tc>
          <w:tcPr>
            <w:tcW w:w="1052" w:type="dxa"/>
            <w:tcBorders>
              <w:top w:val="single" w:sz="4" w:space="0" w:color="001F5F"/>
              <w:bottom w:val="single" w:sz="4" w:space="0" w:color="001F5F"/>
            </w:tcBorders>
          </w:tcPr>
          <w:p>
            <w:pPr>
              <w:pStyle w:val="TableParagraph"/>
              <w:rPr>
                <w:sz w:val="16"/>
              </w:rPr>
            </w:pPr>
          </w:p>
          <w:p>
            <w:pPr>
              <w:pStyle w:val="TableParagraph"/>
              <w:ind w:right="71"/>
              <w:jc w:val="right"/>
              <w:rPr>
                <w:sz w:val="16"/>
              </w:rPr>
            </w:pPr>
            <w:r>
              <w:rPr>
                <w:spacing w:val="-4"/>
                <w:sz w:val="16"/>
              </w:rPr>
              <w:t>0,00</w:t>
            </w:r>
          </w:p>
        </w:tc>
        <w:tc>
          <w:tcPr>
            <w:tcW w:w="1080" w:type="dxa"/>
            <w:tcBorders>
              <w:top w:val="single" w:sz="4" w:space="0" w:color="001F5F"/>
              <w:bottom w:val="single" w:sz="4" w:space="0" w:color="001F5F"/>
            </w:tcBorders>
          </w:tcPr>
          <w:p>
            <w:pPr>
              <w:pStyle w:val="TableParagraph"/>
              <w:rPr>
                <w:sz w:val="16"/>
              </w:rPr>
            </w:pPr>
          </w:p>
          <w:p>
            <w:pPr>
              <w:pStyle w:val="TableParagraph"/>
              <w:ind w:right="160"/>
              <w:jc w:val="right"/>
              <w:rPr>
                <w:sz w:val="16"/>
              </w:rPr>
            </w:pPr>
            <w:r>
              <w:rPr>
                <w:spacing w:val="-2"/>
                <w:sz w:val="16"/>
              </w:rPr>
              <w:t>878.337,35</w:t>
            </w:r>
          </w:p>
        </w:tc>
        <w:tc>
          <w:tcPr>
            <w:tcW w:w="458" w:type="dxa"/>
            <w:tcBorders>
              <w:top w:val="single" w:sz="4" w:space="0" w:color="001F5F"/>
              <w:bottom w:val="single" w:sz="4" w:space="0" w:color="001F5F"/>
            </w:tcBorders>
          </w:tcPr>
          <w:p>
            <w:pPr>
              <w:pStyle w:val="TableParagraph"/>
              <w:rPr>
                <w:sz w:val="16"/>
              </w:rPr>
            </w:pPr>
          </w:p>
          <w:p>
            <w:pPr>
              <w:pStyle w:val="TableParagraph"/>
              <w:ind w:left="73"/>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rPr>
                <w:sz w:val="16"/>
              </w:rPr>
            </w:pPr>
          </w:p>
          <w:p>
            <w:pPr>
              <w:pStyle w:val="TableParagraph"/>
              <w:ind w:left="8"/>
              <w:jc w:val="center"/>
              <w:rPr>
                <w:sz w:val="16"/>
              </w:rPr>
            </w:pPr>
            <w:r>
              <w:rPr>
                <w:color w:val="5E89B4"/>
                <w:spacing w:val="-5"/>
                <w:sz w:val="16"/>
              </w:rPr>
              <w:t>NO</w:t>
            </w:r>
          </w:p>
        </w:tc>
        <w:tc>
          <w:tcPr>
            <w:tcW w:w="389" w:type="dxa"/>
            <w:tcBorders>
              <w:top w:val="single" w:sz="4" w:space="0" w:color="001F5F"/>
              <w:bottom w:val="single" w:sz="4" w:space="0" w:color="001F5F"/>
            </w:tcBorders>
          </w:tcPr>
          <w:p>
            <w:pPr>
              <w:pStyle w:val="TableParagraph"/>
              <w:rPr>
                <w:sz w:val="16"/>
              </w:rPr>
            </w:pPr>
          </w:p>
          <w:p>
            <w:pPr>
              <w:pStyle w:val="TableParagraph"/>
              <w:ind w:left="8"/>
              <w:jc w:val="center"/>
              <w:rPr>
                <w:sz w:val="16"/>
              </w:rPr>
            </w:pPr>
            <w:r>
              <w:rPr>
                <w:color w:val="5E89B4"/>
                <w:spacing w:val="-5"/>
                <w:sz w:val="16"/>
              </w:rPr>
              <w:t>NO</w:t>
            </w:r>
          </w:p>
        </w:tc>
        <w:tc>
          <w:tcPr>
            <w:tcW w:w="390" w:type="dxa"/>
            <w:tcBorders>
              <w:top w:val="single" w:sz="4" w:space="0" w:color="001F5F"/>
              <w:bottom w:val="single" w:sz="4" w:space="0" w:color="001F5F"/>
            </w:tcBorders>
          </w:tcPr>
          <w:p>
            <w:pPr>
              <w:pStyle w:val="TableParagraph"/>
              <w:rPr>
                <w:sz w:val="16"/>
              </w:rPr>
            </w:pPr>
          </w:p>
          <w:p>
            <w:pPr>
              <w:pStyle w:val="TableParagraph"/>
              <w:ind w:left="13" w:right="2"/>
              <w:jc w:val="center"/>
              <w:rPr>
                <w:sz w:val="16"/>
              </w:rPr>
            </w:pPr>
            <w:r>
              <w:rPr>
                <w:color w:val="5E89B4"/>
                <w:spacing w:val="-5"/>
                <w:sz w:val="16"/>
              </w:rPr>
              <w:t>NO</w:t>
            </w:r>
          </w:p>
        </w:tc>
        <w:tc>
          <w:tcPr>
            <w:tcW w:w="959" w:type="dxa"/>
            <w:tcBorders>
              <w:top w:val="single" w:sz="4" w:space="0" w:color="001F5F"/>
              <w:bottom w:val="single" w:sz="4" w:space="0" w:color="001F5F"/>
            </w:tcBorders>
          </w:tcPr>
          <w:p>
            <w:pPr>
              <w:pStyle w:val="TableParagraph"/>
              <w:rPr>
                <w:sz w:val="16"/>
              </w:rPr>
            </w:pPr>
          </w:p>
          <w:p>
            <w:pPr>
              <w:pStyle w:val="TableParagraph"/>
              <w:ind w:left="13" w:right="1"/>
              <w:jc w:val="center"/>
              <w:rPr>
                <w:sz w:val="16"/>
              </w:rPr>
            </w:pPr>
            <w:r>
              <w:rPr>
                <w:sz w:val="16"/>
              </w:rPr>
              <w:t>En</w:t>
            </w:r>
            <w:r>
              <w:rPr>
                <w:spacing w:val="-2"/>
                <w:sz w:val="16"/>
              </w:rPr>
              <w:t> ejecución</w:t>
            </w:r>
          </w:p>
        </w:tc>
      </w:tr>
      <w:tr>
        <w:trPr>
          <w:trHeight w:val="367" w:hRule="atLeast"/>
        </w:trPr>
        <w:tc>
          <w:tcPr>
            <w:tcW w:w="994" w:type="dxa"/>
          </w:tcPr>
          <w:p>
            <w:pPr>
              <w:pStyle w:val="TableParagraph"/>
              <w:rPr>
                <w:rFonts w:ascii="Times New Roman"/>
                <w:sz w:val="18"/>
              </w:rPr>
            </w:pPr>
          </w:p>
        </w:tc>
        <w:tc>
          <w:tcPr>
            <w:tcW w:w="2553" w:type="dxa"/>
            <w:tcBorders>
              <w:top w:val="single" w:sz="4" w:space="0" w:color="001F5F"/>
            </w:tcBorders>
          </w:tcPr>
          <w:p>
            <w:pPr>
              <w:pStyle w:val="TableParagraph"/>
              <w:spacing w:line="182" w:lineRule="exact"/>
              <w:ind w:left="69"/>
              <w:rPr>
                <w:sz w:val="16"/>
              </w:rPr>
            </w:pPr>
            <w:r>
              <w:rPr>
                <w:sz w:val="16"/>
              </w:rPr>
              <w:t>Colocación</w:t>
            </w:r>
            <w:r>
              <w:rPr>
                <w:spacing w:val="-10"/>
                <w:sz w:val="16"/>
              </w:rPr>
              <w:t> </w:t>
            </w:r>
            <w:r>
              <w:rPr>
                <w:sz w:val="16"/>
              </w:rPr>
              <w:t>información</w:t>
            </w:r>
            <w:r>
              <w:rPr>
                <w:spacing w:val="-9"/>
                <w:sz w:val="16"/>
              </w:rPr>
              <w:t> </w:t>
            </w:r>
            <w:r>
              <w:rPr>
                <w:sz w:val="16"/>
              </w:rPr>
              <w:t>dinámica</w:t>
            </w:r>
            <w:r>
              <w:rPr>
                <w:spacing w:val="-9"/>
                <w:sz w:val="16"/>
              </w:rPr>
              <w:t> </w:t>
            </w:r>
            <w:r>
              <w:rPr>
                <w:sz w:val="16"/>
              </w:rPr>
              <w:t>en</w:t>
            </w:r>
            <w:r>
              <w:rPr>
                <w:spacing w:val="40"/>
                <w:sz w:val="16"/>
              </w:rPr>
              <w:t> </w:t>
            </w:r>
            <w:r>
              <w:rPr>
                <w:spacing w:val="-2"/>
                <w:sz w:val="16"/>
              </w:rPr>
              <w:t>paradas</w:t>
            </w:r>
          </w:p>
        </w:tc>
        <w:tc>
          <w:tcPr>
            <w:tcW w:w="594" w:type="dxa"/>
            <w:tcBorders>
              <w:top w:val="single" w:sz="4" w:space="0" w:color="001F5F"/>
            </w:tcBorders>
          </w:tcPr>
          <w:p>
            <w:pPr>
              <w:pStyle w:val="TableParagraph"/>
              <w:spacing w:before="90"/>
              <w:ind w:right="102"/>
              <w:jc w:val="right"/>
              <w:rPr>
                <w:sz w:val="16"/>
              </w:rPr>
            </w:pPr>
            <w:r>
              <w:rPr>
                <w:spacing w:val="-10"/>
                <w:sz w:val="16"/>
              </w:rPr>
              <w:t>1</w:t>
            </w:r>
          </w:p>
        </w:tc>
        <w:tc>
          <w:tcPr>
            <w:tcW w:w="1051" w:type="dxa"/>
            <w:tcBorders>
              <w:top w:val="single" w:sz="4" w:space="0" w:color="001F5F"/>
            </w:tcBorders>
          </w:tcPr>
          <w:p>
            <w:pPr>
              <w:pStyle w:val="TableParagraph"/>
              <w:spacing w:before="90"/>
              <w:ind w:right="76"/>
              <w:jc w:val="right"/>
              <w:rPr>
                <w:sz w:val="16"/>
              </w:rPr>
            </w:pPr>
            <w:r>
              <w:rPr>
                <w:spacing w:val="-2"/>
                <w:sz w:val="16"/>
              </w:rPr>
              <w:t>261.575,97</w:t>
            </w:r>
          </w:p>
        </w:tc>
        <w:tc>
          <w:tcPr>
            <w:tcW w:w="1052" w:type="dxa"/>
            <w:tcBorders>
              <w:top w:val="single" w:sz="4" w:space="0" w:color="001F5F"/>
            </w:tcBorders>
          </w:tcPr>
          <w:p>
            <w:pPr>
              <w:pStyle w:val="TableParagraph"/>
              <w:spacing w:before="90"/>
              <w:ind w:right="71"/>
              <w:jc w:val="right"/>
              <w:rPr>
                <w:sz w:val="16"/>
              </w:rPr>
            </w:pPr>
            <w:r>
              <w:rPr>
                <w:spacing w:val="-2"/>
                <w:sz w:val="16"/>
              </w:rPr>
              <w:t>261.575,97</w:t>
            </w:r>
          </w:p>
        </w:tc>
        <w:tc>
          <w:tcPr>
            <w:tcW w:w="1080" w:type="dxa"/>
            <w:tcBorders>
              <w:top w:val="single" w:sz="4" w:space="0" w:color="001F5F"/>
            </w:tcBorders>
          </w:tcPr>
          <w:p>
            <w:pPr>
              <w:pStyle w:val="TableParagraph"/>
              <w:spacing w:before="90"/>
              <w:ind w:right="159"/>
              <w:jc w:val="right"/>
              <w:rPr>
                <w:sz w:val="16"/>
              </w:rPr>
            </w:pPr>
            <w:r>
              <w:rPr>
                <w:spacing w:val="-4"/>
                <w:sz w:val="16"/>
              </w:rPr>
              <w:t>0,00</w:t>
            </w:r>
          </w:p>
        </w:tc>
        <w:tc>
          <w:tcPr>
            <w:tcW w:w="458" w:type="dxa"/>
            <w:tcBorders>
              <w:top w:val="single" w:sz="4" w:space="0" w:color="001F5F"/>
            </w:tcBorders>
          </w:tcPr>
          <w:p>
            <w:pPr>
              <w:pStyle w:val="TableParagraph"/>
              <w:spacing w:before="90"/>
              <w:ind w:left="73"/>
              <w:jc w:val="center"/>
              <w:rPr>
                <w:sz w:val="16"/>
              </w:rPr>
            </w:pPr>
            <w:r>
              <w:rPr>
                <w:color w:val="5E89B4"/>
                <w:spacing w:val="-5"/>
                <w:sz w:val="16"/>
              </w:rPr>
              <w:t>NO</w:t>
            </w:r>
          </w:p>
        </w:tc>
        <w:tc>
          <w:tcPr>
            <w:tcW w:w="389" w:type="dxa"/>
            <w:tcBorders>
              <w:top w:val="single" w:sz="4" w:space="0" w:color="001F5F"/>
            </w:tcBorders>
          </w:tcPr>
          <w:p>
            <w:pPr>
              <w:pStyle w:val="TableParagraph"/>
              <w:spacing w:before="90"/>
              <w:ind w:left="8"/>
              <w:jc w:val="center"/>
              <w:rPr>
                <w:sz w:val="16"/>
              </w:rPr>
            </w:pPr>
            <w:r>
              <w:rPr>
                <w:color w:val="5E89B4"/>
                <w:spacing w:val="-5"/>
                <w:sz w:val="16"/>
              </w:rPr>
              <w:t>NO</w:t>
            </w:r>
          </w:p>
        </w:tc>
        <w:tc>
          <w:tcPr>
            <w:tcW w:w="389" w:type="dxa"/>
            <w:tcBorders>
              <w:top w:val="single" w:sz="4" w:space="0" w:color="001F5F"/>
            </w:tcBorders>
          </w:tcPr>
          <w:p>
            <w:pPr>
              <w:pStyle w:val="TableParagraph"/>
              <w:spacing w:before="90"/>
              <w:ind w:left="8"/>
              <w:jc w:val="center"/>
              <w:rPr>
                <w:sz w:val="16"/>
              </w:rPr>
            </w:pPr>
            <w:r>
              <w:rPr>
                <w:color w:val="5E89B4"/>
                <w:spacing w:val="-5"/>
                <w:sz w:val="16"/>
              </w:rPr>
              <w:t>NO</w:t>
            </w:r>
          </w:p>
        </w:tc>
        <w:tc>
          <w:tcPr>
            <w:tcW w:w="390" w:type="dxa"/>
            <w:tcBorders>
              <w:top w:val="single" w:sz="4" w:space="0" w:color="001F5F"/>
            </w:tcBorders>
          </w:tcPr>
          <w:p>
            <w:pPr>
              <w:pStyle w:val="TableParagraph"/>
              <w:spacing w:before="90"/>
              <w:ind w:left="13" w:right="2"/>
              <w:jc w:val="center"/>
              <w:rPr>
                <w:sz w:val="16"/>
              </w:rPr>
            </w:pPr>
            <w:r>
              <w:rPr>
                <w:color w:val="5E89B4"/>
                <w:spacing w:val="-5"/>
                <w:sz w:val="16"/>
              </w:rPr>
              <w:t>NO</w:t>
            </w:r>
          </w:p>
        </w:tc>
        <w:tc>
          <w:tcPr>
            <w:tcW w:w="959" w:type="dxa"/>
            <w:tcBorders>
              <w:top w:val="single" w:sz="4" w:space="0" w:color="001F5F"/>
            </w:tcBorders>
          </w:tcPr>
          <w:p>
            <w:pPr>
              <w:pStyle w:val="TableParagraph"/>
              <w:spacing w:before="90"/>
              <w:ind w:left="13"/>
              <w:jc w:val="center"/>
              <w:rPr>
                <w:sz w:val="16"/>
              </w:rPr>
            </w:pPr>
            <w:r>
              <w:rPr>
                <w:spacing w:val="-2"/>
                <w:sz w:val="16"/>
              </w:rPr>
              <w:t>Finalizada</w:t>
            </w:r>
          </w:p>
        </w:tc>
      </w:tr>
      <w:tr>
        <w:trPr>
          <w:trHeight w:val="283" w:hRule="atLeast"/>
        </w:trPr>
        <w:tc>
          <w:tcPr>
            <w:tcW w:w="994" w:type="dxa"/>
            <w:shd w:val="clear" w:color="auto" w:fill="002D5D"/>
          </w:tcPr>
          <w:p>
            <w:pPr>
              <w:pStyle w:val="TableParagraph"/>
              <w:spacing w:before="49"/>
              <w:ind w:left="70"/>
              <w:rPr>
                <w:b/>
                <w:sz w:val="16"/>
              </w:rPr>
            </w:pPr>
            <w:r>
              <w:rPr>
                <w:b/>
                <w:color w:val="FFFFFF"/>
                <w:spacing w:val="-2"/>
                <w:sz w:val="16"/>
              </w:rPr>
              <w:t>TOTAL</w:t>
            </w:r>
          </w:p>
        </w:tc>
        <w:tc>
          <w:tcPr>
            <w:tcW w:w="2553" w:type="dxa"/>
            <w:shd w:val="clear" w:color="auto" w:fill="002D5D"/>
          </w:tcPr>
          <w:p>
            <w:pPr>
              <w:pStyle w:val="TableParagraph"/>
              <w:rPr>
                <w:rFonts w:ascii="Times New Roman"/>
                <w:sz w:val="18"/>
              </w:rPr>
            </w:pPr>
          </w:p>
        </w:tc>
        <w:tc>
          <w:tcPr>
            <w:tcW w:w="594" w:type="dxa"/>
            <w:shd w:val="clear" w:color="auto" w:fill="002D5D"/>
          </w:tcPr>
          <w:p>
            <w:pPr>
              <w:pStyle w:val="TableParagraph"/>
              <w:spacing w:before="49"/>
              <w:ind w:right="102"/>
              <w:jc w:val="right"/>
              <w:rPr>
                <w:b/>
                <w:sz w:val="16"/>
              </w:rPr>
            </w:pPr>
            <w:r>
              <w:rPr>
                <w:b/>
                <w:color w:val="FFFFFF"/>
                <w:spacing w:val="-5"/>
                <w:sz w:val="16"/>
              </w:rPr>
              <w:t>113</w:t>
            </w:r>
          </w:p>
        </w:tc>
        <w:tc>
          <w:tcPr>
            <w:tcW w:w="1051" w:type="dxa"/>
            <w:shd w:val="clear" w:color="auto" w:fill="002D5D"/>
          </w:tcPr>
          <w:p>
            <w:pPr>
              <w:pStyle w:val="TableParagraph"/>
              <w:spacing w:before="49"/>
              <w:ind w:right="76"/>
              <w:jc w:val="right"/>
              <w:rPr>
                <w:b/>
                <w:sz w:val="16"/>
              </w:rPr>
            </w:pPr>
            <w:r>
              <w:rPr>
                <w:b/>
                <w:color w:val="FFFFFF"/>
                <w:spacing w:val="-2"/>
                <w:sz w:val="16"/>
              </w:rPr>
              <w:t>36.750.822,23</w:t>
            </w:r>
          </w:p>
        </w:tc>
        <w:tc>
          <w:tcPr>
            <w:tcW w:w="1052" w:type="dxa"/>
            <w:shd w:val="clear" w:color="auto" w:fill="002D5D"/>
          </w:tcPr>
          <w:p>
            <w:pPr>
              <w:pStyle w:val="TableParagraph"/>
              <w:spacing w:before="49"/>
              <w:ind w:right="71"/>
              <w:jc w:val="right"/>
              <w:rPr>
                <w:b/>
                <w:sz w:val="16"/>
              </w:rPr>
            </w:pPr>
            <w:r>
              <w:rPr>
                <w:b/>
                <w:color w:val="FFFFFF"/>
                <w:spacing w:val="-2"/>
                <w:sz w:val="16"/>
              </w:rPr>
              <w:t>12.880.098,66</w:t>
            </w:r>
          </w:p>
        </w:tc>
        <w:tc>
          <w:tcPr>
            <w:tcW w:w="1080" w:type="dxa"/>
            <w:shd w:val="clear" w:color="auto" w:fill="002D5D"/>
          </w:tcPr>
          <w:p>
            <w:pPr>
              <w:pStyle w:val="TableParagraph"/>
              <w:spacing w:before="49"/>
              <w:ind w:right="160"/>
              <w:jc w:val="right"/>
              <w:rPr>
                <w:b/>
                <w:sz w:val="16"/>
              </w:rPr>
            </w:pPr>
            <w:r>
              <w:rPr>
                <w:b/>
                <w:color w:val="FFFFFF"/>
                <w:spacing w:val="-2"/>
                <w:sz w:val="16"/>
              </w:rPr>
              <w:t>23.870.753,78</w:t>
            </w:r>
          </w:p>
        </w:tc>
        <w:tc>
          <w:tcPr>
            <w:tcW w:w="458" w:type="dxa"/>
            <w:shd w:val="clear" w:color="auto" w:fill="002D5D"/>
          </w:tcPr>
          <w:p>
            <w:pPr>
              <w:pStyle w:val="TableParagraph"/>
              <w:rPr>
                <w:rFonts w:ascii="Times New Roman"/>
                <w:sz w:val="18"/>
              </w:rPr>
            </w:pPr>
          </w:p>
        </w:tc>
        <w:tc>
          <w:tcPr>
            <w:tcW w:w="389" w:type="dxa"/>
            <w:shd w:val="clear" w:color="auto" w:fill="002D5D"/>
          </w:tcPr>
          <w:p>
            <w:pPr>
              <w:pStyle w:val="TableParagraph"/>
              <w:rPr>
                <w:rFonts w:ascii="Times New Roman"/>
                <w:sz w:val="18"/>
              </w:rPr>
            </w:pPr>
          </w:p>
        </w:tc>
        <w:tc>
          <w:tcPr>
            <w:tcW w:w="389" w:type="dxa"/>
            <w:shd w:val="clear" w:color="auto" w:fill="002D5D"/>
          </w:tcPr>
          <w:p>
            <w:pPr>
              <w:pStyle w:val="TableParagraph"/>
              <w:rPr>
                <w:rFonts w:ascii="Times New Roman"/>
                <w:sz w:val="18"/>
              </w:rPr>
            </w:pPr>
          </w:p>
        </w:tc>
        <w:tc>
          <w:tcPr>
            <w:tcW w:w="390" w:type="dxa"/>
            <w:shd w:val="clear" w:color="auto" w:fill="002D5D"/>
          </w:tcPr>
          <w:p>
            <w:pPr>
              <w:pStyle w:val="TableParagraph"/>
              <w:rPr>
                <w:rFonts w:ascii="Times New Roman"/>
                <w:sz w:val="18"/>
              </w:rPr>
            </w:pPr>
          </w:p>
        </w:tc>
        <w:tc>
          <w:tcPr>
            <w:tcW w:w="959" w:type="dxa"/>
            <w:shd w:val="clear" w:color="auto" w:fill="002D5D"/>
          </w:tcPr>
          <w:p>
            <w:pPr>
              <w:pStyle w:val="TableParagraph"/>
              <w:rPr>
                <w:rFonts w:ascii="Times New Roman"/>
                <w:sz w:val="18"/>
              </w:rPr>
            </w:pPr>
          </w:p>
        </w:tc>
      </w:tr>
      <w:tr>
        <w:trPr>
          <w:trHeight w:val="197" w:hRule="atLeast"/>
        </w:trPr>
        <w:tc>
          <w:tcPr>
            <w:tcW w:w="6244" w:type="dxa"/>
            <w:gridSpan w:val="5"/>
          </w:tcPr>
          <w:p>
            <w:pPr>
              <w:pStyle w:val="TableParagraph"/>
              <w:spacing w:line="176" w:lineRule="exact" w:before="1"/>
              <w:ind w:left="70"/>
              <w:rPr>
                <w:sz w:val="17"/>
              </w:rPr>
            </w:pPr>
            <w:r>
              <w:rPr>
                <w:sz w:val="17"/>
              </w:rPr>
              <w:t>Fuente:</w:t>
            </w:r>
            <w:r>
              <w:rPr>
                <w:spacing w:val="-3"/>
                <w:sz w:val="17"/>
              </w:rPr>
              <w:t> </w:t>
            </w:r>
            <w:r>
              <w:rPr>
                <w:sz w:val="17"/>
              </w:rPr>
              <w:t>Elaboración</w:t>
            </w:r>
            <w:r>
              <w:rPr>
                <w:spacing w:val="-3"/>
                <w:sz w:val="17"/>
              </w:rPr>
              <w:t> </w:t>
            </w:r>
            <w:r>
              <w:rPr>
                <w:sz w:val="17"/>
              </w:rPr>
              <w:t>propia</w:t>
            </w:r>
            <w:r>
              <w:rPr>
                <w:spacing w:val="-3"/>
                <w:sz w:val="17"/>
              </w:rPr>
              <w:t> </w:t>
            </w:r>
            <w:r>
              <w:rPr>
                <w:sz w:val="17"/>
              </w:rPr>
              <w:t>a</w:t>
            </w:r>
            <w:r>
              <w:rPr>
                <w:spacing w:val="-3"/>
                <w:sz w:val="17"/>
              </w:rPr>
              <w:t> </w:t>
            </w:r>
            <w:r>
              <w:rPr>
                <w:sz w:val="17"/>
              </w:rPr>
              <w:t>partir</w:t>
            </w:r>
            <w:r>
              <w:rPr>
                <w:spacing w:val="-3"/>
                <w:sz w:val="17"/>
              </w:rPr>
              <w:t> </w:t>
            </w:r>
            <w:r>
              <w:rPr>
                <w:sz w:val="17"/>
              </w:rPr>
              <w:t>de</w:t>
            </w:r>
            <w:r>
              <w:rPr>
                <w:spacing w:val="-3"/>
                <w:sz w:val="17"/>
              </w:rPr>
              <w:t> </w:t>
            </w:r>
            <w:r>
              <w:rPr>
                <w:sz w:val="17"/>
              </w:rPr>
              <w:t>los</w:t>
            </w:r>
            <w:r>
              <w:rPr>
                <w:spacing w:val="-3"/>
                <w:sz w:val="17"/>
              </w:rPr>
              <w:t> </w:t>
            </w:r>
            <w:r>
              <w:rPr>
                <w:sz w:val="17"/>
              </w:rPr>
              <w:t>datos</w:t>
            </w:r>
            <w:r>
              <w:rPr>
                <w:spacing w:val="-1"/>
                <w:sz w:val="17"/>
              </w:rPr>
              <w:t> </w:t>
            </w:r>
            <w:r>
              <w:rPr>
                <w:sz w:val="17"/>
              </w:rPr>
              <w:t>facilitados</w:t>
            </w:r>
            <w:r>
              <w:rPr>
                <w:spacing w:val="-1"/>
                <w:sz w:val="17"/>
              </w:rPr>
              <w:t> </w:t>
            </w:r>
            <w:r>
              <w:rPr>
                <w:sz w:val="17"/>
              </w:rPr>
              <w:t>por</w:t>
            </w:r>
            <w:r>
              <w:rPr>
                <w:spacing w:val="-3"/>
                <w:sz w:val="17"/>
              </w:rPr>
              <w:t> </w:t>
            </w:r>
            <w:r>
              <w:rPr>
                <w:sz w:val="17"/>
              </w:rPr>
              <w:t>las</w:t>
            </w:r>
            <w:r>
              <w:rPr>
                <w:spacing w:val="-3"/>
                <w:sz w:val="17"/>
              </w:rPr>
              <w:t> </w:t>
            </w:r>
            <w:r>
              <w:rPr>
                <w:sz w:val="17"/>
              </w:rPr>
              <w:t>entidades</w:t>
            </w:r>
            <w:r>
              <w:rPr>
                <w:spacing w:val="-2"/>
                <w:sz w:val="17"/>
              </w:rPr>
              <w:t> fiscalizadas</w:t>
            </w:r>
          </w:p>
        </w:tc>
        <w:tc>
          <w:tcPr>
            <w:tcW w:w="1080" w:type="dxa"/>
          </w:tcPr>
          <w:p>
            <w:pPr>
              <w:pStyle w:val="TableParagraph"/>
              <w:rPr>
                <w:rFonts w:ascii="Times New Roman"/>
                <w:sz w:val="12"/>
              </w:rPr>
            </w:pPr>
          </w:p>
        </w:tc>
        <w:tc>
          <w:tcPr>
            <w:tcW w:w="458" w:type="dxa"/>
          </w:tcPr>
          <w:p>
            <w:pPr>
              <w:pStyle w:val="TableParagraph"/>
              <w:rPr>
                <w:rFonts w:ascii="Times New Roman"/>
                <w:sz w:val="12"/>
              </w:rPr>
            </w:pPr>
          </w:p>
        </w:tc>
        <w:tc>
          <w:tcPr>
            <w:tcW w:w="389" w:type="dxa"/>
          </w:tcPr>
          <w:p>
            <w:pPr>
              <w:pStyle w:val="TableParagraph"/>
              <w:rPr>
                <w:rFonts w:ascii="Times New Roman"/>
                <w:sz w:val="12"/>
              </w:rPr>
            </w:pPr>
          </w:p>
        </w:tc>
        <w:tc>
          <w:tcPr>
            <w:tcW w:w="389" w:type="dxa"/>
          </w:tcPr>
          <w:p>
            <w:pPr>
              <w:pStyle w:val="TableParagraph"/>
              <w:rPr>
                <w:rFonts w:ascii="Times New Roman"/>
                <w:sz w:val="12"/>
              </w:rPr>
            </w:pPr>
          </w:p>
        </w:tc>
        <w:tc>
          <w:tcPr>
            <w:tcW w:w="390" w:type="dxa"/>
          </w:tcPr>
          <w:p>
            <w:pPr>
              <w:pStyle w:val="TableParagraph"/>
              <w:rPr>
                <w:rFonts w:ascii="Times New Roman"/>
                <w:sz w:val="12"/>
              </w:rPr>
            </w:pPr>
          </w:p>
        </w:tc>
        <w:tc>
          <w:tcPr>
            <w:tcW w:w="959" w:type="dxa"/>
          </w:tcPr>
          <w:p>
            <w:pPr>
              <w:pStyle w:val="TableParagraph"/>
              <w:rPr>
                <w:rFonts w:ascii="Times New Roman"/>
                <w:sz w:val="12"/>
              </w:rPr>
            </w:pPr>
          </w:p>
        </w:tc>
      </w:tr>
      <w:tr>
        <w:trPr>
          <w:trHeight w:val="196" w:hRule="atLeast"/>
        </w:trPr>
        <w:tc>
          <w:tcPr>
            <w:tcW w:w="6244" w:type="dxa"/>
            <w:gridSpan w:val="5"/>
          </w:tcPr>
          <w:p>
            <w:pPr>
              <w:pStyle w:val="TableParagraph"/>
              <w:spacing w:line="175" w:lineRule="exact"/>
              <w:ind w:left="70"/>
              <w:rPr>
                <w:sz w:val="17"/>
              </w:rPr>
            </w:pPr>
            <w:r>
              <w:rPr>
                <w:sz w:val="17"/>
              </w:rPr>
              <w:t>P:</w:t>
            </w:r>
            <w:r>
              <w:rPr>
                <w:spacing w:val="-2"/>
                <w:sz w:val="17"/>
              </w:rPr>
              <w:t> </w:t>
            </w:r>
            <w:r>
              <w:rPr>
                <w:sz w:val="17"/>
              </w:rPr>
              <w:t>Prórroga,</w:t>
            </w:r>
            <w:r>
              <w:rPr>
                <w:spacing w:val="-3"/>
                <w:sz w:val="17"/>
              </w:rPr>
              <w:t> </w:t>
            </w:r>
            <w:r>
              <w:rPr>
                <w:sz w:val="17"/>
              </w:rPr>
              <w:t>M:</w:t>
            </w:r>
            <w:r>
              <w:rPr>
                <w:spacing w:val="-3"/>
                <w:sz w:val="17"/>
              </w:rPr>
              <w:t> </w:t>
            </w:r>
            <w:r>
              <w:rPr>
                <w:sz w:val="17"/>
              </w:rPr>
              <w:t>Modificaciones,</w:t>
            </w:r>
            <w:r>
              <w:rPr>
                <w:spacing w:val="-1"/>
                <w:sz w:val="17"/>
              </w:rPr>
              <w:t> </w:t>
            </w:r>
            <w:r>
              <w:rPr>
                <w:sz w:val="17"/>
              </w:rPr>
              <w:t>S:</w:t>
            </w:r>
            <w:r>
              <w:rPr>
                <w:spacing w:val="-3"/>
                <w:sz w:val="17"/>
              </w:rPr>
              <w:t> </w:t>
            </w:r>
            <w:r>
              <w:rPr>
                <w:sz w:val="17"/>
              </w:rPr>
              <w:t>Suspensión,</w:t>
            </w:r>
            <w:r>
              <w:rPr>
                <w:spacing w:val="-3"/>
                <w:sz w:val="17"/>
              </w:rPr>
              <w:t> </w:t>
            </w:r>
            <w:r>
              <w:rPr>
                <w:sz w:val="17"/>
              </w:rPr>
              <w:t>R:</w:t>
            </w:r>
            <w:r>
              <w:rPr>
                <w:spacing w:val="-2"/>
                <w:sz w:val="17"/>
              </w:rPr>
              <w:t> Resolución</w:t>
            </w:r>
          </w:p>
        </w:tc>
        <w:tc>
          <w:tcPr>
            <w:tcW w:w="1080" w:type="dxa"/>
          </w:tcPr>
          <w:p>
            <w:pPr>
              <w:pStyle w:val="TableParagraph"/>
              <w:rPr>
                <w:rFonts w:ascii="Times New Roman"/>
                <w:sz w:val="12"/>
              </w:rPr>
            </w:pPr>
          </w:p>
        </w:tc>
        <w:tc>
          <w:tcPr>
            <w:tcW w:w="458" w:type="dxa"/>
          </w:tcPr>
          <w:p>
            <w:pPr>
              <w:pStyle w:val="TableParagraph"/>
              <w:rPr>
                <w:rFonts w:ascii="Times New Roman"/>
                <w:sz w:val="12"/>
              </w:rPr>
            </w:pPr>
          </w:p>
        </w:tc>
        <w:tc>
          <w:tcPr>
            <w:tcW w:w="389" w:type="dxa"/>
          </w:tcPr>
          <w:p>
            <w:pPr>
              <w:pStyle w:val="TableParagraph"/>
              <w:rPr>
                <w:rFonts w:ascii="Times New Roman"/>
                <w:sz w:val="12"/>
              </w:rPr>
            </w:pPr>
          </w:p>
        </w:tc>
        <w:tc>
          <w:tcPr>
            <w:tcW w:w="389" w:type="dxa"/>
          </w:tcPr>
          <w:p>
            <w:pPr>
              <w:pStyle w:val="TableParagraph"/>
              <w:rPr>
                <w:rFonts w:ascii="Times New Roman"/>
                <w:sz w:val="12"/>
              </w:rPr>
            </w:pPr>
          </w:p>
        </w:tc>
        <w:tc>
          <w:tcPr>
            <w:tcW w:w="390" w:type="dxa"/>
          </w:tcPr>
          <w:p>
            <w:pPr>
              <w:pStyle w:val="TableParagraph"/>
              <w:rPr>
                <w:rFonts w:ascii="Times New Roman"/>
                <w:sz w:val="12"/>
              </w:rPr>
            </w:pPr>
          </w:p>
        </w:tc>
        <w:tc>
          <w:tcPr>
            <w:tcW w:w="959" w:type="dxa"/>
          </w:tcPr>
          <w:p>
            <w:pPr>
              <w:pStyle w:val="TableParagraph"/>
              <w:rPr>
                <w:rFonts w:ascii="Times New Roman"/>
                <w:sz w:val="12"/>
              </w:rPr>
            </w:pPr>
          </w:p>
        </w:tc>
      </w:tr>
    </w:tbl>
    <w:p>
      <w:pPr>
        <w:pStyle w:val="BodyText"/>
        <w:spacing w:before="123"/>
        <w:rPr>
          <w:rFonts w:ascii="Arial Narrow"/>
        </w:rPr>
      </w:pPr>
    </w:p>
    <w:p>
      <w:pPr>
        <w:spacing w:before="0"/>
        <w:ind w:left="992" w:right="0" w:firstLine="0"/>
        <w:jc w:val="both"/>
        <w:rPr>
          <w:i/>
          <w:sz w:val="22"/>
        </w:rPr>
      </w:pPr>
      <w:r>
        <w:rPr>
          <w:i/>
          <w:color w:val="365F91"/>
          <w:sz w:val="22"/>
        </w:rPr>
        <w:t>Actuaciones</w:t>
      </w:r>
      <w:r>
        <w:rPr>
          <w:i/>
          <w:color w:val="365F91"/>
          <w:spacing w:val="-10"/>
          <w:sz w:val="22"/>
        </w:rPr>
        <w:t> </w:t>
      </w:r>
      <w:r>
        <w:rPr>
          <w:i/>
          <w:color w:val="365F91"/>
          <w:sz w:val="22"/>
        </w:rPr>
        <w:t>realizadas</w:t>
      </w:r>
      <w:r>
        <w:rPr>
          <w:i/>
          <w:color w:val="365F91"/>
          <w:spacing w:val="-5"/>
          <w:sz w:val="22"/>
        </w:rPr>
        <w:t> </w:t>
      </w:r>
      <w:r>
        <w:rPr>
          <w:i/>
          <w:color w:val="365F91"/>
          <w:sz w:val="22"/>
        </w:rPr>
        <w:t>por</w:t>
      </w:r>
      <w:r>
        <w:rPr>
          <w:i/>
          <w:color w:val="365F91"/>
          <w:spacing w:val="-5"/>
          <w:sz w:val="22"/>
        </w:rPr>
        <w:t> </w:t>
      </w:r>
      <w:r>
        <w:rPr>
          <w:i/>
          <w:color w:val="365F91"/>
          <w:sz w:val="22"/>
        </w:rPr>
        <w:t>los</w:t>
      </w:r>
      <w:r>
        <w:rPr>
          <w:i/>
          <w:color w:val="365F91"/>
          <w:spacing w:val="-5"/>
          <w:sz w:val="22"/>
        </w:rPr>
        <w:t> </w:t>
      </w:r>
      <w:r>
        <w:rPr>
          <w:i/>
          <w:color w:val="365F91"/>
          <w:sz w:val="22"/>
        </w:rPr>
        <w:t>ayuntamientos</w:t>
      </w:r>
      <w:r>
        <w:rPr>
          <w:i/>
          <w:color w:val="365F91"/>
          <w:spacing w:val="-6"/>
          <w:sz w:val="22"/>
        </w:rPr>
        <w:t> </w:t>
      </w:r>
      <w:r>
        <w:rPr>
          <w:i/>
          <w:color w:val="365F91"/>
          <w:sz w:val="22"/>
        </w:rPr>
        <w:t>de</w:t>
      </w:r>
      <w:r>
        <w:rPr>
          <w:i/>
          <w:color w:val="365F91"/>
          <w:spacing w:val="-8"/>
          <w:sz w:val="22"/>
        </w:rPr>
        <w:t> </w:t>
      </w:r>
      <w:r>
        <w:rPr>
          <w:i/>
          <w:color w:val="365F91"/>
          <w:sz w:val="22"/>
        </w:rPr>
        <w:t>manera</w:t>
      </w:r>
      <w:r>
        <w:rPr>
          <w:i/>
          <w:color w:val="365F91"/>
          <w:spacing w:val="-7"/>
          <w:sz w:val="22"/>
        </w:rPr>
        <w:t> </w:t>
      </w:r>
      <w:r>
        <w:rPr>
          <w:i/>
          <w:color w:val="365F91"/>
          <w:spacing w:val="-2"/>
          <w:sz w:val="22"/>
        </w:rPr>
        <w:t>individualizada</w:t>
      </w:r>
    </w:p>
    <w:p>
      <w:pPr>
        <w:pStyle w:val="BodyText"/>
        <w:spacing w:before="239"/>
        <w:ind w:left="992" w:right="985"/>
        <w:jc w:val="both"/>
      </w:pPr>
      <w:r>
        <w:rPr/>
        <w:t>El</w:t>
      </w:r>
      <w:r>
        <w:rPr>
          <w:spacing w:val="-12"/>
        </w:rPr>
        <w:t> </w:t>
      </w:r>
      <w:r>
        <w:rPr>
          <w:b/>
        </w:rPr>
        <w:t>Ayuntamiento</w:t>
      </w:r>
      <w:r>
        <w:rPr>
          <w:b/>
          <w:spacing w:val="-14"/>
        </w:rPr>
        <w:t> </w:t>
      </w:r>
      <w:r>
        <w:rPr>
          <w:b/>
        </w:rPr>
        <w:t>de</w:t>
      </w:r>
      <w:r>
        <w:rPr>
          <w:b/>
          <w:spacing w:val="-16"/>
        </w:rPr>
        <w:t> </w:t>
      </w:r>
      <w:r>
        <w:rPr>
          <w:b/>
        </w:rPr>
        <w:t>Alicante</w:t>
      </w:r>
      <w:r>
        <w:rPr>
          <w:b/>
          <w:spacing w:val="-8"/>
        </w:rPr>
        <w:t> </w:t>
      </w:r>
      <w:r>
        <w:rPr/>
        <w:t>ha</w:t>
      </w:r>
      <w:r>
        <w:rPr>
          <w:spacing w:val="-14"/>
        </w:rPr>
        <w:t> </w:t>
      </w:r>
      <w:r>
        <w:rPr/>
        <w:t>llevado</w:t>
      </w:r>
      <w:r>
        <w:rPr>
          <w:spacing w:val="-14"/>
        </w:rPr>
        <w:t> </w:t>
      </w:r>
      <w:r>
        <w:rPr/>
        <w:t>a</w:t>
      </w:r>
      <w:r>
        <w:rPr>
          <w:spacing w:val="-14"/>
        </w:rPr>
        <w:t> </w:t>
      </w:r>
      <w:r>
        <w:rPr/>
        <w:t>cabo</w:t>
      </w:r>
      <w:r>
        <w:rPr>
          <w:spacing w:val="-16"/>
        </w:rPr>
        <w:t> </w:t>
      </w:r>
      <w:r>
        <w:rPr/>
        <w:t>una</w:t>
      </w:r>
      <w:r>
        <w:rPr>
          <w:spacing w:val="-10"/>
        </w:rPr>
        <w:t> </w:t>
      </w:r>
      <w:r>
        <w:rPr/>
        <w:t>actuación</w:t>
      </w:r>
      <w:r>
        <w:rPr>
          <w:spacing w:val="-12"/>
        </w:rPr>
        <w:t> </w:t>
      </w:r>
      <w:r>
        <w:rPr/>
        <w:t>en</w:t>
      </w:r>
      <w:r>
        <w:rPr>
          <w:spacing w:val="-14"/>
        </w:rPr>
        <w:t> </w:t>
      </w:r>
      <w:r>
        <w:rPr/>
        <w:t>el</w:t>
      </w:r>
      <w:r>
        <w:rPr>
          <w:spacing w:val="-15"/>
        </w:rPr>
        <w:t> </w:t>
      </w:r>
      <w:r>
        <w:rPr/>
        <w:t>periodo</w:t>
      </w:r>
      <w:r>
        <w:rPr>
          <w:spacing w:val="-12"/>
        </w:rPr>
        <w:t> </w:t>
      </w:r>
      <w:r>
        <w:rPr/>
        <w:t>fiscalizado,</w:t>
      </w:r>
      <w:r>
        <w:rPr>
          <w:spacing w:val="-10"/>
        </w:rPr>
        <w:t> </w:t>
      </w:r>
      <w:r>
        <w:rPr/>
        <w:t>el</w:t>
      </w:r>
      <w:r>
        <w:rPr>
          <w:spacing w:val="-14"/>
        </w:rPr>
        <w:t> </w:t>
      </w:r>
      <w:r>
        <w:rPr/>
        <w:t>proyecto de digitalización de transporte público con pago y SAE</w:t>
      </w:r>
      <w:hyperlink w:history="true" w:anchor="_bookmark76">
        <w:r>
          <w:rPr>
            <w:vertAlign w:val="superscript"/>
          </w:rPr>
          <w:t>49</w:t>
        </w:r>
        <w:r>
          <w:rPr>
            <w:vertAlign w:val="baseline"/>
          </w:rPr>
          <w:t>,</w:t>
        </w:r>
      </w:hyperlink>
      <w:r>
        <w:rPr>
          <w:vertAlign w:val="baseline"/>
        </w:rPr>
        <w:t> en el marco del proyecto "Alicante se mueve", presentado ante el MITMA. Este proyecto persigue potenciar el acceso al transporte con soluciones que permitan utilizar los dispositivos móviles en todos los procesos aplicados en los medios</w:t>
      </w:r>
      <w:r>
        <w:rPr>
          <w:spacing w:val="-6"/>
          <w:vertAlign w:val="baseline"/>
        </w:rPr>
        <w:t> </w:t>
      </w:r>
      <w:r>
        <w:rPr>
          <w:vertAlign w:val="baseline"/>
        </w:rPr>
        <w:t>de</w:t>
      </w:r>
      <w:r>
        <w:rPr>
          <w:spacing w:val="-9"/>
          <w:vertAlign w:val="baseline"/>
        </w:rPr>
        <w:t> </w:t>
      </w:r>
      <w:r>
        <w:rPr>
          <w:vertAlign w:val="baseline"/>
        </w:rPr>
        <w:t>pago,</w:t>
      </w:r>
      <w:r>
        <w:rPr>
          <w:spacing w:val="-5"/>
          <w:vertAlign w:val="baseline"/>
        </w:rPr>
        <w:t> </w:t>
      </w:r>
      <w:r>
        <w:rPr>
          <w:vertAlign w:val="baseline"/>
        </w:rPr>
        <w:t>así</w:t>
      </w:r>
      <w:r>
        <w:rPr>
          <w:spacing w:val="-7"/>
          <w:vertAlign w:val="baseline"/>
        </w:rPr>
        <w:t> </w:t>
      </w:r>
      <w:r>
        <w:rPr>
          <w:vertAlign w:val="baseline"/>
        </w:rPr>
        <w:t>como</w:t>
      </w:r>
      <w:r>
        <w:rPr>
          <w:spacing w:val="-6"/>
          <w:vertAlign w:val="baseline"/>
        </w:rPr>
        <w:t> </w:t>
      </w:r>
      <w:r>
        <w:rPr>
          <w:vertAlign w:val="baseline"/>
        </w:rPr>
        <w:t>la</w:t>
      </w:r>
      <w:r>
        <w:rPr>
          <w:spacing w:val="-9"/>
          <w:vertAlign w:val="baseline"/>
        </w:rPr>
        <w:t> </w:t>
      </w:r>
      <w:r>
        <w:rPr>
          <w:vertAlign w:val="baseline"/>
        </w:rPr>
        <w:t>mejora</w:t>
      </w:r>
      <w:r>
        <w:rPr>
          <w:spacing w:val="-9"/>
          <w:vertAlign w:val="baseline"/>
        </w:rPr>
        <w:t> </w:t>
      </w:r>
      <w:r>
        <w:rPr>
          <w:vertAlign w:val="baseline"/>
        </w:rPr>
        <w:t>en</w:t>
      </w:r>
      <w:r>
        <w:rPr>
          <w:spacing w:val="-7"/>
          <w:vertAlign w:val="baseline"/>
        </w:rPr>
        <w:t> </w:t>
      </w:r>
      <w:r>
        <w:rPr>
          <w:vertAlign w:val="baseline"/>
        </w:rPr>
        <w:t>el</w:t>
      </w:r>
      <w:r>
        <w:rPr>
          <w:spacing w:val="-10"/>
          <w:vertAlign w:val="baseline"/>
        </w:rPr>
        <w:t> </w:t>
      </w:r>
      <w:r>
        <w:rPr>
          <w:vertAlign w:val="baseline"/>
        </w:rPr>
        <w:t>software</w:t>
      </w:r>
      <w:r>
        <w:rPr>
          <w:spacing w:val="-6"/>
          <w:vertAlign w:val="baseline"/>
        </w:rPr>
        <w:t> </w:t>
      </w:r>
      <w:r>
        <w:rPr>
          <w:vertAlign w:val="baseline"/>
        </w:rPr>
        <w:t>que</w:t>
      </w:r>
      <w:r>
        <w:rPr>
          <w:spacing w:val="-9"/>
          <w:vertAlign w:val="baseline"/>
        </w:rPr>
        <w:t> </w:t>
      </w:r>
      <w:r>
        <w:rPr>
          <w:vertAlign w:val="baseline"/>
        </w:rPr>
        <w:t>sirve</w:t>
      </w:r>
      <w:r>
        <w:rPr>
          <w:spacing w:val="-9"/>
          <w:vertAlign w:val="baseline"/>
        </w:rPr>
        <w:t> </w:t>
      </w:r>
      <w:r>
        <w:rPr>
          <w:vertAlign w:val="baseline"/>
        </w:rPr>
        <w:t>para</w:t>
      </w:r>
      <w:r>
        <w:rPr>
          <w:spacing w:val="-9"/>
          <w:vertAlign w:val="baseline"/>
        </w:rPr>
        <w:t> </w:t>
      </w:r>
      <w:r>
        <w:rPr>
          <w:vertAlign w:val="baseline"/>
        </w:rPr>
        <w:t>la</w:t>
      </w:r>
      <w:r>
        <w:rPr>
          <w:spacing w:val="-6"/>
          <w:vertAlign w:val="baseline"/>
        </w:rPr>
        <w:t> </w:t>
      </w:r>
      <w:r>
        <w:rPr>
          <w:vertAlign w:val="baseline"/>
        </w:rPr>
        <w:t>gestión</w:t>
      </w:r>
      <w:r>
        <w:rPr>
          <w:spacing w:val="-6"/>
          <w:vertAlign w:val="baseline"/>
        </w:rPr>
        <w:t> </w:t>
      </w:r>
      <w:r>
        <w:rPr>
          <w:vertAlign w:val="baseline"/>
        </w:rPr>
        <w:t>y</w:t>
      </w:r>
      <w:r>
        <w:rPr>
          <w:spacing w:val="-8"/>
          <w:vertAlign w:val="baseline"/>
        </w:rPr>
        <w:t> </w:t>
      </w:r>
      <w:r>
        <w:rPr>
          <w:vertAlign w:val="baseline"/>
        </w:rPr>
        <w:t>vigilancia</w:t>
      </w:r>
      <w:r>
        <w:rPr>
          <w:spacing w:val="-6"/>
          <w:vertAlign w:val="baseline"/>
        </w:rPr>
        <w:t> </w:t>
      </w:r>
      <w:r>
        <w:rPr>
          <w:vertAlign w:val="baseline"/>
        </w:rPr>
        <w:t>del</w:t>
      </w:r>
      <w:r>
        <w:rPr>
          <w:spacing w:val="-2"/>
          <w:vertAlign w:val="baseline"/>
        </w:rPr>
        <w:t> </w:t>
      </w:r>
      <w:r>
        <w:rPr>
          <w:vertAlign w:val="baseline"/>
        </w:rPr>
        <w:t>servicio de autobuses urbanos. En diciembre de 2022 el Ayuntamiento celebró un contrato que incluía diversas actuaciones, entre ellas las mencionadas, ascendiendo el importe de estas dos a 2.883.369,18</w:t>
      </w:r>
      <w:r>
        <w:rPr>
          <w:spacing w:val="-15"/>
          <w:vertAlign w:val="baseline"/>
        </w:rPr>
        <w:t> </w:t>
      </w:r>
      <w:r>
        <w:rPr>
          <w:vertAlign w:val="baseline"/>
        </w:rPr>
        <w:t>euros.</w:t>
      </w:r>
      <w:r>
        <w:rPr>
          <w:spacing w:val="-12"/>
          <w:vertAlign w:val="baseline"/>
        </w:rPr>
        <w:t> </w:t>
      </w:r>
      <w:r>
        <w:rPr>
          <w:vertAlign w:val="baseline"/>
        </w:rPr>
        <w:t>Estas</w:t>
      </w:r>
      <w:r>
        <w:rPr>
          <w:spacing w:val="-13"/>
          <w:vertAlign w:val="baseline"/>
        </w:rPr>
        <w:t> </w:t>
      </w:r>
      <w:r>
        <w:rPr>
          <w:vertAlign w:val="baseline"/>
        </w:rPr>
        <w:t>prestaciones</w:t>
      </w:r>
      <w:r>
        <w:rPr>
          <w:spacing w:val="-13"/>
          <w:vertAlign w:val="baseline"/>
        </w:rPr>
        <w:t> </w:t>
      </w:r>
      <w:r>
        <w:rPr>
          <w:vertAlign w:val="baseline"/>
        </w:rPr>
        <w:t>debían</w:t>
      </w:r>
      <w:r>
        <w:rPr>
          <w:spacing w:val="-14"/>
          <w:vertAlign w:val="baseline"/>
        </w:rPr>
        <w:t> </w:t>
      </w:r>
      <w:r>
        <w:rPr>
          <w:vertAlign w:val="baseline"/>
        </w:rPr>
        <w:t>estar</w:t>
      </w:r>
      <w:r>
        <w:rPr>
          <w:spacing w:val="-13"/>
          <w:vertAlign w:val="baseline"/>
        </w:rPr>
        <w:t> </w:t>
      </w:r>
      <w:r>
        <w:rPr>
          <w:vertAlign w:val="baseline"/>
        </w:rPr>
        <w:t>ejecutadas</w:t>
      </w:r>
      <w:r>
        <w:rPr>
          <w:spacing w:val="-13"/>
          <w:vertAlign w:val="baseline"/>
        </w:rPr>
        <w:t> </w:t>
      </w:r>
      <w:r>
        <w:rPr>
          <w:vertAlign w:val="baseline"/>
        </w:rPr>
        <w:t>antes</w:t>
      </w:r>
      <w:r>
        <w:rPr>
          <w:spacing w:val="-13"/>
          <w:vertAlign w:val="baseline"/>
        </w:rPr>
        <w:t> </w:t>
      </w:r>
      <w:r>
        <w:rPr>
          <w:vertAlign w:val="baseline"/>
        </w:rPr>
        <w:t>del</w:t>
      </w:r>
      <w:r>
        <w:rPr>
          <w:spacing w:val="-16"/>
          <w:vertAlign w:val="baseline"/>
        </w:rPr>
        <w:t> </w:t>
      </w:r>
      <w:r>
        <w:rPr>
          <w:vertAlign w:val="baseline"/>
        </w:rPr>
        <w:t>31</w:t>
      </w:r>
      <w:r>
        <w:rPr>
          <w:spacing w:val="-13"/>
          <w:vertAlign w:val="baseline"/>
        </w:rPr>
        <w:t> </w:t>
      </w:r>
      <w:r>
        <w:rPr>
          <w:vertAlign w:val="baseline"/>
        </w:rPr>
        <w:t>de</w:t>
      </w:r>
      <w:r>
        <w:rPr>
          <w:spacing w:val="-14"/>
          <w:vertAlign w:val="baseline"/>
        </w:rPr>
        <w:t> </w:t>
      </w:r>
      <w:r>
        <w:rPr>
          <w:vertAlign w:val="baseline"/>
        </w:rPr>
        <w:t>diciembre</w:t>
      </w:r>
      <w:r>
        <w:rPr>
          <w:spacing w:val="-14"/>
          <w:vertAlign w:val="baseline"/>
        </w:rPr>
        <w:t> </w:t>
      </w:r>
      <w:r>
        <w:rPr>
          <w:vertAlign w:val="baseline"/>
        </w:rPr>
        <w:t>de</w:t>
      </w:r>
      <w:r>
        <w:rPr>
          <w:spacing w:val="-16"/>
          <w:vertAlign w:val="baseline"/>
        </w:rPr>
        <w:t> </w:t>
      </w:r>
      <w:r>
        <w:rPr>
          <w:vertAlign w:val="baseline"/>
        </w:rPr>
        <w:t>2023, si</w:t>
      </w:r>
      <w:r>
        <w:rPr>
          <w:spacing w:val="-6"/>
          <w:vertAlign w:val="baseline"/>
        </w:rPr>
        <w:t> </w:t>
      </w:r>
      <w:r>
        <w:rPr>
          <w:vertAlign w:val="baseline"/>
        </w:rPr>
        <w:t>bien</w:t>
      </w:r>
      <w:r>
        <w:rPr>
          <w:spacing w:val="-6"/>
          <w:vertAlign w:val="baseline"/>
        </w:rPr>
        <w:t> </w:t>
      </w:r>
      <w:r>
        <w:rPr>
          <w:vertAlign w:val="baseline"/>
        </w:rPr>
        <w:t>la</w:t>
      </w:r>
      <w:r>
        <w:rPr>
          <w:spacing w:val="-5"/>
          <w:vertAlign w:val="baseline"/>
        </w:rPr>
        <w:t> </w:t>
      </w:r>
      <w:r>
        <w:rPr>
          <w:vertAlign w:val="baseline"/>
        </w:rPr>
        <w:t>entidad</w:t>
      </w:r>
      <w:r>
        <w:rPr>
          <w:spacing w:val="-5"/>
          <w:vertAlign w:val="baseline"/>
        </w:rPr>
        <w:t> </w:t>
      </w:r>
      <w:r>
        <w:rPr>
          <w:vertAlign w:val="baseline"/>
        </w:rPr>
        <w:t>solicitó</w:t>
      </w:r>
      <w:r>
        <w:rPr>
          <w:spacing w:val="-10"/>
          <w:vertAlign w:val="baseline"/>
        </w:rPr>
        <w:t> </w:t>
      </w:r>
      <w:r>
        <w:rPr>
          <w:vertAlign w:val="baseline"/>
        </w:rPr>
        <w:t>al</w:t>
      </w:r>
      <w:r>
        <w:rPr>
          <w:spacing w:val="-6"/>
          <w:vertAlign w:val="baseline"/>
        </w:rPr>
        <w:t> </w:t>
      </w:r>
      <w:r>
        <w:rPr>
          <w:vertAlign w:val="baseline"/>
        </w:rPr>
        <w:t>MITMA</w:t>
      </w:r>
      <w:r>
        <w:rPr>
          <w:spacing w:val="-6"/>
          <w:vertAlign w:val="baseline"/>
        </w:rPr>
        <w:t> </w:t>
      </w:r>
      <w:r>
        <w:rPr>
          <w:vertAlign w:val="baseline"/>
        </w:rPr>
        <w:t>una</w:t>
      </w:r>
      <w:r>
        <w:rPr>
          <w:spacing w:val="-8"/>
          <w:vertAlign w:val="baseline"/>
        </w:rPr>
        <w:t> </w:t>
      </w:r>
      <w:r>
        <w:rPr>
          <w:vertAlign w:val="baseline"/>
        </w:rPr>
        <w:t>ampliación</w:t>
      </w:r>
      <w:r>
        <w:rPr>
          <w:spacing w:val="-5"/>
          <w:vertAlign w:val="baseline"/>
        </w:rPr>
        <w:t> </w:t>
      </w:r>
      <w:r>
        <w:rPr>
          <w:vertAlign w:val="baseline"/>
        </w:rPr>
        <w:t>del</w:t>
      </w:r>
      <w:r>
        <w:rPr>
          <w:spacing w:val="-6"/>
          <w:vertAlign w:val="baseline"/>
        </w:rPr>
        <w:t> </w:t>
      </w:r>
      <w:r>
        <w:rPr>
          <w:vertAlign w:val="baseline"/>
        </w:rPr>
        <w:t>plazo</w:t>
      </w:r>
      <w:r>
        <w:rPr>
          <w:spacing w:val="-6"/>
          <w:vertAlign w:val="baseline"/>
        </w:rPr>
        <w:t> </w:t>
      </w:r>
      <w:r>
        <w:rPr>
          <w:vertAlign w:val="baseline"/>
        </w:rPr>
        <w:t>de</w:t>
      </w:r>
      <w:r>
        <w:rPr>
          <w:spacing w:val="-8"/>
          <w:vertAlign w:val="baseline"/>
        </w:rPr>
        <w:t> </w:t>
      </w:r>
      <w:r>
        <w:rPr>
          <w:vertAlign w:val="baseline"/>
        </w:rPr>
        <w:t>ejecución</w:t>
      </w:r>
      <w:r>
        <w:rPr>
          <w:spacing w:val="-11"/>
          <w:vertAlign w:val="baseline"/>
        </w:rPr>
        <w:t> </w:t>
      </w:r>
      <w:r>
        <w:rPr>
          <w:vertAlign w:val="baseline"/>
        </w:rPr>
        <w:t>de</w:t>
      </w:r>
      <w:r>
        <w:rPr>
          <w:spacing w:val="-6"/>
          <w:vertAlign w:val="baseline"/>
        </w:rPr>
        <w:t> </w:t>
      </w:r>
      <w:r>
        <w:rPr>
          <w:vertAlign w:val="baseline"/>
        </w:rPr>
        <w:t>un</w:t>
      </w:r>
      <w:r>
        <w:rPr>
          <w:spacing w:val="-6"/>
          <w:vertAlign w:val="baseline"/>
        </w:rPr>
        <w:t> </w:t>
      </w:r>
      <w:r>
        <w:rPr>
          <w:vertAlign w:val="baseline"/>
        </w:rPr>
        <w:t>año.</w:t>
      </w:r>
      <w:r>
        <w:rPr>
          <w:spacing w:val="-4"/>
          <w:vertAlign w:val="baseline"/>
        </w:rPr>
        <w:t> </w:t>
      </w:r>
      <w:r>
        <w:rPr>
          <w:vertAlign w:val="baseline"/>
        </w:rPr>
        <w:t>La</w:t>
      </w:r>
      <w:r>
        <w:rPr>
          <w:spacing w:val="-8"/>
          <w:vertAlign w:val="baseline"/>
        </w:rPr>
        <w:t> </w:t>
      </w:r>
      <w:r>
        <w:rPr>
          <w:vertAlign w:val="baseline"/>
        </w:rPr>
        <w:t>solicitud</w:t>
      </w:r>
      <w:r>
        <w:rPr>
          <w:spacing w:val="-6"/>
          <w:vertAlign w:val="baseline"/>
        </w:rPr>
        <w:t> </w:t>
      </w:r>
      <w:r>
        <w:rPr>
          <w:vertAlign w:val="baseline"/>
        </w:rPr>
        <w:t>se fundamentó</w:t>
      </w:r>
      <w:r>
        <w:rPr>
          <w:spacing w:val="-11"/>
          <w:vertAlign w:val="baseline"/>
        </w:rPr>
        <w:t> </w:t>
      </w:r>
      <w:r>
        <w:rPr>
          <w:vertAlign w:val="baseline"/>
        </w:rPr>
        <w:t>en</w:t>
      </w:r>
      <w:r>
        <w:rPr>
          <w:spacing w:val="-14"/>
          <w:vertAlign w:val="baseline"/>
        </w:rPr>
        <w:t> </w:t>
      </w:r>
      <w:r>
        <w:rPr>
          <w:vertAlign w:val="baseline"/>
        </w:rPr>
        <w:t>que</w:t>
      </w:r>
      <w:r>
        <w:rPr>
          <w:spacing w:val="-11"/>
          <w:vertAlign w:val="baseline"/>
        </w:rPr>
        <w:t> </w:t>
      </w:r>
      <w:r>
        <w:rPr>
          <w:vertAlign w:val="baseline"/>
        </w:rPr>
        <w:t>el</w:t>
      </w:r>
      <w:r>
        <w:rPr>
          <w:spacing w:val="-14"/>
          <w:vertAlign w:val="baseline"/>
        </w:rPr>
        <w:t> </w:t>
      </w:r>
      <w:r>
        <w:rPr>
          <w:vertAlign w:val="baseline"/>
        </w:rPr>
        <w:t>operador</w:t>
      </w:r>
      <w:r>
        <w:rPr>
          <w:spacing w:val="-13"/>
          <w:vertAlign w:val="baseline"/>
        </w:rPr>
        <w:t> </w:t>
      </w:r>
      <w:r>
        <w:rPr>
          <w:vertAlign w:val="baseline"/>
        </w:rPr>
        <w:t>del</w:t>
      </w:r>
      <w:r>
        <w:rPr>
          <w:spacing w:val="-12"/>
          <w:vertAlign w:val="baseline"/>
        </w:rPr>
        <w:t> </w:t>
      </w:r>
      <w:r>
        <w:rPr>
          <w:vertAlign w:val="baseline"/>
        </w:rPr>
        <w:t>tranvía</w:t>
      </w:r>
      <w:r>
        <w:rPr>
          <w:spacing w:val="-14"/>
          <w:vertAlign w:val="baseline"/>
        </w:rPr>
        <w:t> </w:t>
      </w:r>
      <w:r>
        <w:rPr>
          <w:vertAlign w:val="baseline"/>
        </w:rPr>
        <w:t>de</w:t>
      </w:r>
      <w:r>
        <w:rPr>
          <w:spacing w:val="-14"/>
          <w:vertAlign w:val="baseline"/>
        </w:rPr>
        <w:t> </w:t>
      </w:r>
      <w:r>
        <w:rPr>
          <w:vertAlign w:val="baseline"/>
        </w:rPr>
        <w:t>la</w:t>
      </w:r>
      <w:r>
        <w:rPr>
          <w:spacing w:val="-11"/>
          <w:vertAlign w:val="baseline"/>
        </w:rPr>
        <w:t> </w:t>
      </w:r>
      <w:r>
        <w:rPr>
          <w:vertAlign w:val="baseline"/>
        </w:rPr>
        <w:t>Generalitat</w:t>
      </w:r>
      <w:r>
        <w:rPr>
          <w:spacing w:val="-10"/>
          <w:vertAlign w:val="baseline"/>
        </w:rPr>
        <w:t> </w:t>
      </w:r>
      <w:r>
        <w:rPr>
          <w:vertAlign w:val="baseline"/>
        </w:rPr>
        <w:t>Valenciana</w:t>
      </w:r>
      <w:r>
        <w:rPr>
          <w:spacing w:val="-12"/>
          <w:vertAlign w:val="baseline"/>
        </w:rPr>
        <w:t> </w:t>
      </w:r>
      <w:r>
        <w:rPr>
          <w:vertAlign w:val="baseline"/>
        </w:rPr>
        <w:t>tenía</w:t>
      </w:r>
      <w:r>
        <w:rPr>
          <w:spacing w:val="-11"/>
          <w:vertAlign w:val="baseline"/>
        </w:rPr>
        <w:t> </w:t>
      </w:r>
      <w:r>
        <w:rPr>
          <w:vertAlign w:val="baseline"/>
        </w:rPr>
        <w:t>previsto</w:t>
      </w:r>
      <w:r>
        <w:rPr>
          <w:spacing w:val="-13"/>
          <w:vertAlign w:val="baseline"/>
        </w:rPr>
        <w:t> </w:t>
      </w:r>
      <w:r>
        <w:rPr>
          <w:vertAlign w:val="baseline"/>
        </w:rPr>
        <w:t>acometer</w:t>
      </w:r>
      <w:r>
        <w:rPr>
          <w:spacing w:val="-12"/>
          <w:vertAlign w:val="baseline"/>
        </w:rPr>
        <w:t> </w:t>
      </w:r>
      <w:r>
        <w:rPr>
          <w:vertAlign w:val="baseline"/>
        </w:rPr>
        <w:t>una actualización estratégica</w:t>
      </w:r>
      <w:r>
        <w:rPr>
          <w:spacing w:val="-2"/>
          <w:vertAlign w:val="baseline"/>
        </w:rPr>
        <w:t> </w:t>
      </w:r>
      <w:r>
        <w:rPr>
          <w:vertAlign w:val="baseline"/>
        </w:rPr>
        <w:t>y</w:t>
      </w:r>
      <w:r>
        <w:rPr>
          <w:spacing w:val="-1"/>
          <w:vertAlign w:val="baseline"/>
        </w:rPr>
        <w:t> </w:t>
      </w:r>
      <w:r>
        <w:rPr>
          <w:vertAlign w:val="baseline"/>
        </w:rPr>
        <w:t>tecnológica que impedía desplegar</w:t>
      </w:r>
      <w:r>
        <w:rPr>
          <w:spacing w:val="-1"/>
          <w:vertAlign w:val="baseline"/>
        </w:rPr>
        <w:t> </w:t>
      </w:r>
      <w:r>
        <w:rPr>
          <w:vertAlign w:val="baseline"/>
        </w:rPr>
        <w:t>simultáneamente</w:t>
      </w:r>
      <w:r>
        <w:rPr>
          <w:spacing w:val="-2"/>
          <w:vertAlign w:val="baseline"/>
        </w:rPr>
        <w:t> </w:t>
      </w:r>
      <w:r>
        <w:rPr>
          <w:vertAlign w:val="baseline"/>
        </w:rPr>
        <w:t>parte del</w:t>
      </w:r>
      <w:r>
        <w:rPr>
          <w:spacing w:val="-1"/>
          <w:vertAlign w:val="baseline"/>
        </w:rPr>
        <w:t> </w:t>
      </w:r>
      <w:r>
        <w:rPr>
          <w:vertAlign w:val="baseline"/>
        </w:rPr>
        <w:t>proyecto de digitalización. Aunque dicha ampliación fue autorizada por el Ministerio a finales de 2023, el interventor municipal advirtió que no se habían cumplido lo estipulado en el contrato, al haberse tramitado la ampliación contractual con el contratista de forma extemporánea, una vez vencido el</w:t>
      </w:r>
    </w:p>
    <w:p>
      <w:pPr>
        <w:pStyle w:val="BodyText"/>
        <w:spacing w:before="102"/>
        <w:rPr>
          <w:sz w:val="20"/>
        </w:rPr>
      </w:pPr>
      <w:r>
        <w:rPr>
          <w:sz w:val="20"/>
        </w:rPr>
        <mc:AlternateContent>
          <mc:Choice Requires="wps">
            <w:drawing>
              <wp:anchor distT="0" distB="0" distL="0" distR="0" allowOverlap="1" layoutInCell="1" locked="0" behindDoc="1" simplePos="0" relativeHeight="487613440">
                <wp:simplePos x="0" y="0"/>
                <wp:positionH relativeFrom="page">
                  <wp:posOffset>719632</wp:posOffset>
                </wp:positionH>
                <wp:positionV relativeFrom="paragraph">
                  <wp:posOffset>226314</wp:posOffset>
                </wp:positionV>
                <wp:extent cx="1829435" cy="9525"/>
                <wp:effectExtent l="0" t="0" r="0" b="0"/>
                <wp:wrapTopAndBottom/>
                <wp:docPr id="177" name="Graphic 177"/>
                <wp:cNvGraphicFramePr>
                  <a:graphicFrameLocks/>
                </wp:cNvGraphicFramePr>
                <a:graphic>
                  <a:graphicData uri="http://schemas.microsoft.com/office/word/2010/wordprocessingShape">
                    <wps:wsp>
                      <wps:cNvPr id="177" name="Graphic 177"/>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7.820013pt;width:144.020pt;height:.72003pt;mso-position-horizontal-relative:page;mso-position-vertical-relative:paragraph;z-index:-15703040;mso-wrap-distance-left:0;mso-wrap-distance-right:0" id="docshape159" filled="true" fillcolor="#000000" stroked="false">
                <v:fill type="solid"/>
                <w10:wrap type="topAndBottom"/>
              </v:rect>
            </w:pict>
          </mc:Fallback>
        </mc:AlternateContent>
      </w:r>
    </w:p>
    <w:p>
      <w:pPr>
        <w:spacing w:before="118"/>
        <w:ind w:left="992" w:right="1001" w:firstLine="0"/>
        <w:jc w:val="both"/>
        <w:rPr>
          <w:sz w:val="18"/>
        </w:rPr>
      </w:pPr>
      <w:bookmarkStart w:name="_bookmark76" w:id="78"/>
      <w:bookmarkEnd w:id="78"/>
      <w:r>
        <w:rPr/>
      </w:r>
      <w:r>
        <w:rPr>
          <w:position w:val="6"/>
          <w:sz w:val="12"/>
        </w:rPr>
        <w:t>49</w:t>
      </w:r>
      <w:r>
        <w:rPr>
          <w:spacing w:val="36"/>
          <w:position w:val="6"/>
          <w:sz w:val="12"/>
        </w:rPr>
        <w:t> </w:t>
      </w:r>
      <w:r>
        <w:rPr>
          <w:sz w:val="18"/>
        </w:rPr>
        <w:t>El SAE dispone de la información relativa, entre otros, a los recorridos, tiempos de espera en parada y tiempo de duración</w:t>
      </w:r>
      <w:r>
        <w:rPr>
          <w:spacing w:val="-6"/>
          <w:sz w:val="18"/>
        </w:rPr>
        <w:t> </w:t>
      </w:r>
      <w:r>
        <w:rPr>
          <w:sz w:val="18"/>
        </w:rPr>
        <w:t>estima</w:t>
      </w:r>
      <w:r>
        <w:rPr>
          <w:spacing w:val="-6"/>
          <w:sz w:val="18"/>
        </w:rPr>
        <w:t> </w:t>
      </w:r>
      <w:r>
        <w:rPr>
          <w:sz w:val="18"/>
        </w:rPr>
        <w:t>la</w:t>
      </w:r>
      <w:r>
        <w:rPr>
          <w:spacing w:val="-6"/>
          <w:sz w:val="18"/>
        </w:rPr>
        <w:t> </w:t>
      </w:r>
      <w:r>
        <w:rPr>
          <w:sz w:val="18"/>
        </w:rPr>
        <w:t>siguiente</w:t>
      </w:r>
      <w:r>
        <w:rPr>
          <w:spacing w:val="-4"/>
          <w:sz w:val="18"/>
        </w:rPr>
        <w:t> </w:t>
      </w:r>
      <w:r>
        <w:rPr>
          <w:sz w:val="18"/>
        </w:rPr>
        <w:t>parada,</w:t>
      </w:r>
      <w:r>
        <w:rPr>
          <w:spacing w:val="-7"/>
          <w:sz w:val="18"/>
        </w:rPr>
        <w:t> </w:t>
      </w:r>
      <w:r>
        <w:rPr>
          <w:sz w:val="18"/>
        </w:rPr>
        <w:t>así</w:t>
      </w:r>
      <w:r>
        <w:rPr>
          <w:spacing w:val="-7"/>
          <w:sz w:val="18"/>
        </w:rPr>
        <w:t> </w:t>
      </w:r>
      <w:r>
        <w:rPr>
          <w:sz w:val="18"/>
        </w:rPr>
        <w:t>como</w:t>
      </w:r>
      <w:r>
        <w:rPr>
          <w:spacing w:val="-4"/>
          <w:sz w:val="18"/>
        </w:rPr>
        <w:t> </w:t>
      </w:r>
      <w:r>
        <w:rPr>
          <w:sz w:val="18"/>
        </w:rPr>
        <w:t>de</w:t>
      </w:r>
      <w:r>
        <w:rPr>
          <w:spacing w:val="-4"/>
          <w:sz w:val="18"/>
        </w:rPr>
        <w:t> </w:t>
      </w:r>
      <w:r>
        <w:rPr>
          <w:sz w:val="18"/>
        </w:rPr>
        <w:t>la</w:t>
      </w:r>
      <w:r>
        <w:rPr>
          <w:spacing w:val="-6"/>
          <w:sz w:val="18"/>
        </w:rPr>
        <w:t> </w:t>
      </w:r>
      <w:r>
        <w:rPr>
          <w:sz w:val="18"/>
        </w:rPr>
        <w:t>información</w:t>
      </w:r>
      <w:r>
        <w:rPr>
          <w:spacing w:val="-6"/>
          <w:sz w:val="18"/>
        </w:rPr>
        <w:t> </w:t>
      </w:r>
      <w:r>
        <w:rPr>
          <w:sz w:val="18"/>
        </w:rPr>
        <w:t>de</w:t>
      </w:r>
      <w:r>
        <w:rPr>
          <w:spacing w:val="-6"/>
          <w:sz w:val="18"/>
        </w:rPr>
        <w:t> </w:t>
      </w:r>
      <w:r>
        <w:rPr>
          <w:sz w:val="18"/>
        </w:rPr>
        <w:t>cada</w:t>
      </w:r>
      <w:r>
        <w:rPr>
          <w:spacing w:val="-6"/>
          <w:sz w:val="18"/>
        </w:rPr>
        <w:t> </w:t>
      </w:r>
      <w:r>
        <w:rPr>
          <w:sz w:val="18"/>
        </w:rPr>
        <w:t>autobús</w:t>
      </w:r>
      <w:r>
        <w:rPr>
          <w:spacing w:val="-3"/>
          <w:sz w:val="18"/>
        </w:rPr>
        <w:t> </w:t>
      </w:r>
      <w:r>
        <w:rPr>
          <w:sz w:val="18"/>
        </w:rPr>
        <w:t>que</w:t>
      </w:r>
      <w:r>
        <w:rPr>
          <w:spacing w:val="-6"/>
          <w:sz w:val="18"/>
        </w:rPr>
        <w:t> </w:t>
      </w:r>
      <w:r>
        <w:rPr>
          <w:sz w:val="18"/>
        </w:rPr>
        <w:t>se</w:t>
      </w:r>
      <w:r>
        <w:rPr>
          <w:spacing w:val="-6"/>
          <w:sz w:val="18"/>
        </w:rPr>
        <w:t> </w:t>
      </w:r>
      <w:r>
        <w:rPr>
          <w:sz w:val="18"/>
        </w:rPr>
        <w:t>encuentre</w:t>
      </w:r>
      <w:r>
        <w:rPr>
          <w:spacing w:val="-4"/>
          <w:sz w:val="18"/>
        </w:rPr>
        <w:t> </w:t>
      </w:r>
      <w:r>
        <w:rPr>
          <w:sz w:val="18"/>
        </w:rPr>
        <w:t>prestando</w:t>
      </w:r>
      <w:r>
        <w:rPr>
          <w:spacing w:val="-4"/>
          <w:sz w:val="18"/>
        </w:rPr>
        <w:t> </w:t>
      </w:r>
      <w:r>
        <w:rPr>
          <w:sz w:val="18"/>
        </w:rPr>
        <w:t>servicio</w:t>
      </w:r>
      <w:r>
        <w:rPr>
          <w:spacing w:val="-6"/>
          <w:sz w:val="18"/>
        </w:rPr>
        <w:t> </w:t>
      </w:r>
      <w:r>
        <w:rPr>
          <w:sz w:val="18"/>
        </w:rPr>
        <w:t>en el momento de la toma de datos.</w:t>
      </w:r>
    </w:p>
    <w:p>
      <w:pPr>
        <w:spacing w:after="0"/>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8"/>
        <w:jc w:val="both"/>
      </w:pPr>
      <w:r>
        <w:rPr/>
        <w:t>término previsto contractualmente. El sistema fue recepcionado por la entidad el 20 de diciembre de 2024, dentro del plazo de ampliación aprobado por el Ministerio.</w:t>
      </w:r>
    </w:p>
    <w:p>
      <w:pPr>
        <w:pStyle w:val="BodyText"/>
        <w:spacing w:before="240"/>
        <w:ind w:left="992" w:right="986"/>
        <w:jc w:val="both"/>
      </w:pPr>
      <w:r>
        <w:rPr/>
        <w:t>El</w:t>
      </w:r>
      <w:r>
        <w:rPr>
          <w:spacing w:val="-5"/>
        </w:rPr>
        <w:t> </w:t>
      </w:r>
      <w:r>
        <w:rPr>
          <w:b/>
        </w:rPr>
        <w:t>Ayuntamiento</w:t>
      </w:r>
      <w:r>
        <w:rPr>
          <w:b/>
          <w:spacing w:val="-4"/>
        </w:rPr>
        <w:t> </w:t>
      </w:r>
      <w:r>
        <w:rPr>
          <w:b/>
        </w:rPr>
        <w:t>de</w:t>
      </w:r>
      <w:r>
        <w:rPr>
          <w:b/>
          <w:spacing w:val="-7"/>
        </w:rPr>
        <w:t> </w:t>
      </w:r>
      <w:r>
        <w:rPr>
          <w:b/>
        </w:rPr>
        <w:t>Bilbao</w:t>
      </w:r>
      <w:r>
        <w:rPr>
          <w:b/>
          <w:spacing w:val="-3"/>
        </w:rPr>
        <w:t> </w:t>
      </w:r>
      <w:r>
        <w:rPr/>
        <w:t>ha</w:t>
      </w:r>
      <w:r>
        <w:rPr>
          <w:spacing w:val="-4"/>
        </w:rPr>
        <w:t> </w:t>
      </w:r>
      <w:r>
        <w:rPr/>
        <w:t>llevado</w:t>
      </w:r>
      <w:r>
        <w:rPr>
          <w:spacing w:val="-4"/>
        </w:rPr>
        <w:t> </w:t>
      </w:r>
      <w:r>
        <w:rPr/>
        <w:t>cabo</w:t>
      </w:r>
      <w:r>
        <w:rPr>
          <w:spacing w:val="-6"/>
        </w:rPr>
        <w:t> </w:t>
      </w:r>
      <w:r>
        <w:rPr/>
        <w:t>dos</w:t>
      </w:r>
      <w:r>
        <w:rPr>
          <w:spacing w:val="-6"/>
        </w:rPr>
        <w:t> </w:t>
      </w:r>
      <w:r>
        <w:rPr/>
        <w:t>actuaciones</w:t>
      </w:r>
      <w:r>
        <w:rPr>
          <w:spacing w:val="-6"/>
        </w:rPr>
        <w:t> </w:t>
      </w:r>
      <w:r>
        <w:rPr/>
        <w:t>de</w:t>
      </w:r>
      <w:r>
        <w:rPr>
          <w:spacing w:val="-4"/>
        </w:rPr>
        <w:t> </w:t>
      </w:r>
      <w:r>
        <w:rPr/>
        <w:t>digitalización,</w:t>
      </w:r>
      <w:r>
        <w:rPr>
          <w:spacing w:val="-3"/>
        </w:rPr>
        <w:t> </w:t>
      </w:r>
      <w:r>
        <w:rPr/>
        <w:t>por</w:t>
      </w:r>
      <w:r>
        <w:rPr>
          <w:spacing w:val="-5"/>
        </w:rPr>
        <w:t> </w:t>
      </w:r>
      <w:r>
        <w:rPr/>
        <w:t>importe</w:t>
      </w:r>
      <w:r>
        <w:rPr>
          <w:spacing w:val="-6"/>
        </w:rPr>
        <w:t> </w:t>
      </w:r>
      <w:r>
        <w:rPr/>
        <w:t>total</w:t>
      </w:r>
      <w:r>
        <w:rPr>
          <w:spacing w:val="-5"/>
        </w:rPr>
        <w:t> </w:t>
      </w:r>
      <w:r>
        <w:rPr/>
        <w:t>de 103.661,17</w:t>
      </w:r>
      <w:r>
        <w:rPr>
          <w:spacing w:val="-4"/>
        </w:rPr>
        <w:t> </w:t>
      </w:r>
      <w:r>
        <w:rPr/>
        <w:t>euros.</w:t>
      </w:r>
      <w:r>
        <w:rPr>
          <w:spacing w:val="-3"/>
        </w:rPr>
        <w:t> </w:t>
      </w:r>
      <w:r>
        <w:rPr/>
        <w:t>Una,</w:t>
      </w:r>
      <w:r>
        <w:rPr>
          <w:spacing w:val="-2"/>
        </w:rPr>
        <w:t> </w:t>
      </w:r>
      <w:r>
        <w:rPr/>
        <w:t>la</w:t>
      </w:r>
      <w:r>
        <w:rPr>
          <w:spacing w:val="-2"/>
        </w:rPr>
        <w:t> </w:t>
      </w:r>
      <w:r>
        <w:rPr/>
        <w:t>renovación</w:t>
      </w:r>
      <w:r>
        <w:rPr>
          <w:spacing w:val="-2"/>
        </w:rPr>
        <w:t> </w:t>
      </w:r>
      <w:r>
        <w:rPr/>
        <w:t>del</w:t>
      </w:r>
      <w:r>
        <w:rPr>
          <w:spacing w:val="-5"/>
        </w:rPr>
        <w:t> </w:t>
      </w:r>
      <w:r>
        <w:rPr/>
        <w:t>equipamiento</w:t>
      </w:r>
      <w:r>
        <w:rPr>
          <w:spacing w:val="-4"/>
        </w:rPr>
        <w:t> </w:t>
      </w:r>
      <w:r>
        <w:rPr/>
        <w:t>de</w:t>
      </w:r>
      <w:r>
        <w:rPr>
          <w:spacing w:val="-4"/>
        </w:rPr>
        <w:t> </w:t>
      </w:r>
      <w:r>
        <w:rPr/>
        <w:t>las</w:t>
      </w:r>
      <w:r>
        <w:rPr>
          <w:spacing w:val="-4"/>
        </w:rPr>
        <w:t> </w:t>
      </w:r>
      <w:r>
        <w:rPr/>
        <w:t>paradas</w:t>
      </w:r>
      <w:r>
        <w:rPr>
          <w:spacing w:val="-4"/>
        </w:rPr>
        <w:t> </w:t>
      </w:r>
      <w:r>
        <w:rPr/>
        <w:t>de</w:t>
      </w:r>
      <w:r>
        <w:rPr>
          <w:spacing w:val="-2"/>
        </w:rPr>
        <w:t> </w:t>
      </w:r>
      <w:r>
        <w:rPr/>
        <w:t>autobuses,</w:t>
      </w:r>
      <w:r>
        <w:rPr>
          <w:spacing w:val="-5"/>
        </w:rPr>
        <w:t> </w:t>
      </w:r>
      <w:r>
        <w:rPr/>
        <w:t>sustituyendo las marquesinas por otras con puntos wifi e instalando nuevos paneles de información con los tiempos de espera y recorrido de los autobuses. Esta actuación se ha ejecutado en el marco del contrato de concesión, en el que se prevé que anualmente el concesionario ha de poner a disposición</w:t>
      </w:r>
      <w:r>
        <w:rPr>
          <w:spacing w:val="-7"/>
        </w:rPr>
        <w:t> </w:t>
      </w:r>
      <w:r>
        <w:rPr/>
        <w:t>del</w:t>
      </w:r>
      <w:r>
        <w:rPr>
          <w:spacing w:val="-7"/>
        </w:rPr>
        <w:t> </w:t>
      </w:r>
      <w:r>
        <w:rPr/>
        <w:t>Ayuntamiento</w:t>
      </w:r>
      <w:r>
        <w:rPr>
          <w:spacing w:val="-6"/>
        </w:rPr>
        <w:t> </w:t>
      </w:r>
      <w:r>
        <w:rPr/>
        <w:t>la</w:t>
      </w:r>
      <w:r>
        <w:rPr>
          <w:spacing w:val="-9"/>
        </w:rPr>
        <w:t> </w:t>
      </w:r>
      <w:r>
        <w:rPr/>
        <w:t>cantidad</w:t>
      </w:r>
      <w:r>
        <w:rPr>
          <w:spacing w:val="-9"/>
        </w:rPr>
        <w:t> </w:t>
      </w:r>
      <w:r>
        <w:rPr/>
        <w:t>de</w:t>
      </w:r>
      <w:r>
        <w:rPr>
          <w:spacing w:val="-7"/>
        </w:rPr>
        <w:t> </w:t>
      </w:r>
      <w:r>
        <w:rPr/>
        <w:t>53.600,00</w:t>
      </w:r>
      <w:r>
        <w:rPr>
          <w:spacing w:val="-6"/>
        </w:rPr>
        <w:t> </w:t>
      </w:r>
      <w:r>
        <w:rPr/>
        <w:t>euros,</w:t>
      </w:r>
      <w:r>
        <w:rPr>
          <w:spacing w:val="-8"/>
        </w:rPr>
        <w:t> </w:t>
      </w:r>
      <w:r>
        <w:rPr/>
        <w:t>sin</w:t>
      </w:r>
      <w:r>
        <w:rPr>
          <w:spacing w:val="-9"/>
        </w:rPr>
        <w:t> </w:t>
      </w:r>
      <w:r>
        <w:rPr/>
        <w:t>IVA,</w:t>
      </w:r>
      <w:r>
        <w:rPr>
          <w:spacing w:val="-7"/>
        </w:rPr>
        <w:t> </w:t>
      </w:r>
      <w:r>
        <w:rPr/>
        <w:t>para</w:t>
      </w:r>
      <w:r>
        <w:rPr>
          <w:spacing w:val="-9"/>
        </w:rPr>
        <w:t> </w:t>
      </w:r>
      <w:r>
        <w:rPr/>
        <w:t>la</w:t>
      </w:r>
      <w:r>
        <w:rPr>
          <w:spacing w:val="-6"/>
        </w:rPr>
        <w:t> </w:t>
      </w:r>
      <w:r>
        <w:rPr/>
        <w:t>instalación,</w:t>
      </w:r>
      <w:r>
        <w:rPr>
          <w:spacing w:val="-7"/>
        </w:rPr>
        <w:t> </w:t>
      </w:r>
      <w:r>
        <w:rPr/>
        <w:t>a</w:t>
      </w:r>
      <w:r>
        <w:rPr>
          <w:spacing w:val="-9"/>
        </w:rPr>
        <w:t> </w:t>
      </w:r>
      <w:r>
        <w:rPr/>
        <w:t>petición de</w:t>
      </w:r>
      <w:r>
        <w:rPr>
          <w:spacing w:val="-1"/>
        </w:rPr>
        <w:t> </w:t>
      </w:r>
      <w:r>
        <w:rPr/>
        <w:t>la</w:t>
      </w:r>
      <w:r>
        <w:rPr>
          <w:spacing w:val="-1"/>
        </w:rPr>
        <w:t> </w:t>
      </w:r>
      <w:r>
        <w:rPr/>
        <w:t>entidad</w:t>
      </w:r>
      <w:r>
        <w:rPr>
          <w:spacing w:val="-1"/>
        </w:rPr>
        <w:t> </w:t>
      </w:r>
      <w:r>
        <w:rPr/>
        <w:t>local,</w:t>
      </w:r>
      <w:r>
        <w:rPr>
          <w:spacing w:val="-2"/>
        </w:rPr>
        <w:t> </w:t>
      </w:r>
      <w:r>
        <w:rPr/>
        <w:t>de</w:t>
      </w:r>
      <w:r>
        <w:rPr>
          <w:spacing w:val="-3"/>
        </w:rPr>
        <w:t> </w:t>
      </w:r>
      <w:r>
        <w:rPr/>
        <w:t>una</w:t>
      </w:r>
      <w:r>
        <w:rPr>
          <w:spacing w:val="-1"/>
        </w:rPr>
        <w:t> </w:t>
      </w:r>
      <w:r>
        <w:rPr/>
        <w:t>serie</w:t>
      </w:r>
      <w:r>
        <w:rPr>
          <w:spacing w:val="-1"/>
        </w:rPr>
        <w:t> </w:t>
      </w:r>
      <w:r>
        <w:rPr/>
        <w:t>de</w:t>
      </w:r>
      <w:r>
        <w:rPr>
          <w:spacing w:val="-2"/>
        </w:rPr>
        <w:t> </w:t>
      </w:r>
      <w:r>
        <w:rPr/>
        <w:t>elementos</w:t>
      </w:r>
      <w:r>
        <w:rPr>
          <w:spacing w:val="-3"/>
        </w:rPr>
        <w:t> </w:t>
      </w:r>
      <w:r>
        <w:rPr/>
        <w:t>que</w:t>
      </w:r>
      <w:r>
        <w:rPr>
          <w:spacing w:val="-1"/>
        </w:rPr>
        <w:t> </w:t>
      </w:r>
      <w:r>
        <w:rPr/>
        <w:t>se</w:t>
      </w:r>
      <w:r>
        <w:rPr>
          <w:spacing w:val="-2"/>
        </w:rPr>
        <w:t> </w:t>
      </w:r>
      <w:r>
        <w:rPr/>
        <w:t>relacionan</w:t>
      </w:r>
      <w:r>
        <w:rPr>
          <w:spacing w:val="-1"/>
        </w:rPr>
        <w:t> </w:t>
      </w:r>
      <w:r>
        <w:rPr/>
        <w:t>en</w:t>
      </w:r>
      <w:r>
        <w:rPr>
          <w:spacing w:val="-1"/>
        </w:rPr>
        <w:t> </w:t>
      </w:r>
      <w:r>
        <w:rPr/>
        <w:t>el</w:t>
      </w:r>
      <w:r>
        <w:rPr>
          <w:spacing w:val="-4"/>
        </w:rPr>
        <w:t> </w:t>
      </w:r>
      <w:r>
        <w:rPr/>
        <w:t>contrato.</w:t>
      </w:r>
      <w:r>
        <w:rPr>
          <w:spacing w:val="-2"/>
        </w:rPr>
        <w:t> </w:t>
      </w:r>
      <w:r>
        <w:rPr/>
        <w:t>En</w:t>
      </w:r>
      <w:r>
        <w:rPr>
          <w:spacing w:val="-1"/>
        </w:rPr>
        <w:t> </w:t>
      </w:r>
      <w:r>
        <w:rPr/>
        <w:t>caso</w:t>
      </w:r>
      <w:r>
        <w:rPr>
          <w:spacing w:val="-3"/>
        </w:rPr>
        <w:t> </w:t>
      </w:r>
      <w:r>
        <w:rPr/>
        <w:t>de</w:t>
      </w:r>
      <w:r>
        <w:rPr>
          <w:spacing w:val="-1"/>
        </w:rPr>
        <w:t> </w:t>
      </w:r>
      <w:r>
        <w:rPr/>
        <w:t>que</w:t>
      </w:r>
      <w:r>
        <w:rPr>
          <w:spacing w:val="-3"/>
        </w:rPr>
        <w:t> </w:t>
      </w:r>
      <w:r>
        <w:rPr/>
        <w:t>no se</w:t>
      </w:r>
      <w:r>
        <w:rPr>
          <w:spacing w:val="-2"/>
        </w:rPr>
        <w:t> </w:t>
      </w:r>
      <w:r>
        <w:rPr/>
        <w:t>consumiera</w:t>
      </w:r>
      <w:r>
        <w:rPr>
          <w:spacing w:val="-3"/>
        </w:rPr>
        <w:t> </w:t>
      </w:r>
      <w:r>
        <w:rPr/>
        <w:t>íntegramente</w:t>
      </w:r>
      <w:r>
        <w:rPr>
          <w:spacing w:val="-2"/>
        </w:rPr>
        <w:t> </w:t>
      </w:r>
      <w:r>
        <w:rPr/>
        <w:t>esa</w:t>
      </w:r>
      <w:r>
        <w:rPr>
          <w:spacing w:val="-2"/>
        </w:rPr>
        <w:t> </w:t>
      </w:r>
      <w:r>
        <w:rPr/>
        <w:t>cantidad,</w:t>
      </w:r>
      <w:r>
        <w:rPr>
          <w:spacing w:val="-1"/>
        </w:rPr>
        <w:t> </w:t>
      </w:r>
      <w:r>
        <w:rPr/>
        <w:t>la</w:t>
      </w:r>
      <w:r>
        <w:rPr>
          <w:spacing w:val="-2"/>
        </w:rPr>
        <w:t> </w:t>
      </w:r>
      <w:r>
        <w:rPr/>
        <w:t>restante</w:t>
      </w:r>
      <w:r>
        <w:rPr>
          <w:spacing w:val="-2"/>
        </w:rPr>
        <w:t> </w:t>
      </w:r>
      <w:r>
        <w:rPr/>
        <w:t>se</w:t>
      </w:r>
      <w:r>
        <w:rPr>
          <w:spacing w:val="-1"/>
        </w:rPr>
        <w:t> </w:t>
      </w:r>
      <w:r>
        <w:rPr/>
        <w:t>acumularía</w:t>
      </w:r>
      <w:r>
        <w:rPr>
          <w:spacing w:val="-2"/>
        </w:rPr>
        <w:t> </w:t>
      </w:r>
      <w:r>
        <w:rPr/>
        <w:t>para</w:t>
      </w:r>
      <w:r>
        <w:rPr>
          <w:spacing w:val="-3"/>
        </w:rPr>
        <w:t> </w:t>
      </w:r>
      <w:r>
        <w:rPr/>
        <w:t>los</w:t>
      </w:r>
      <w:r>
        <w:rPr>
          <w:spacing w:val="-2"/>
        </w:rPr>
        <w:t> </w:t>
      </w:r>
      <w:r>
        <w:rPr/>
        <w:t>ejercicios</w:t>
      </w:r>
      <w:r>
        <w:rPr>
          <w:spacing w:val="-2"/>
        </w:rPr>
        <w:t> </w:t>
      </w:r>
      <w:r>
        <w:rPr/>
        <w:t>siguientes. Para</w:t>
      </w:r>
      <w:r>
        <w:rPr>
          <w:spacing w:val="-9"/>
        </w:rPr>
        <w:t> </w:t>
      </w:r>
      <w:r>
        <w:rPr/>
        <w:t>compensar</w:t>
      </w:r>
      <w:r>
        <w:rPr>
          <w:spacing w:val="-11"/>
        </w:rPr>
        <w:t> </w:t>
      </w:r>
      <w:r>
        <w:rPr/>
        <w:t>la</w:t>
      </w:r>
      <w:r>
        <w:rPr>
          <w:spacing w:val="-10"/>
        </w:rPr>
        <w:t> </w:t>
      </w:r>
      <w:r>
        <w:rPr/>
        <w:t>inversión</w:t>
      </w:r>
      <w:r>
        <w:rPr>
          <w:spacing w:val="-10"/>
        </w:rPr>
        <w:t> </w:t>
      </w:r>
      <w:r>
        <w:rPr/>
        <w:t>económica,</w:t>
      </w:r>
      <w:r>
        <w:rPr>
          <w:spacing w:val="-11"/>
        </w:rPr>
        <w:t> </w:t>
      </w:r>
      <w:r>
        <w:rPr/>
        <w:t>el</w:t>
      </w:r>
      <w:r>
        <w:rPr>
          <w:spacing w:val="-10"/>
        </w:rPr>
        <w:t> </w:t>
      </w:r>
      <w:r>
        <w:rPr/>
        <w:t>concesionario</w:t>
      </w:r>
      <w:r>
        <w:rPr>
          <w:spacing w:val="-10"/>
        </w:rPr>
        <w:t> </w:t>
      </w:r>
      <w:r>
        <w:rPr/>
        <w:t>está</w:t>
      </w:r>
      <w:r>
        <w:rPr>
          <w:spacing w:val="-10"/>
        </w:rPr>
        <w:t> </w:t>
      </w:r>
      <w:r>
        <w:rPr/>
        <w:t>autorizado</w:t>
      </w:r>
      <w:r>
        <w:rPr>
          <w:spacing w:val="-15"/>
        </w:rPr>
        <w:t> </w:t>
      </w:r>
      <w:r>
        <w:rPr/>
        <w:t>a</w:t>
      </w:r>
      <w:r>
        <w:rPr>
          <w:spacing w:val="-10"/>
        </w:rPr>
        <w:t> </w:t>
      </w:r>
      <w:r>
        <w:rPr/>
        <w:t>utilizar</w:t>
      </w:r>
      <w:r>
        <w:rPr>
          <w:spacing w:val="-9"/>
        </w:rPr>
        <w:t> </w:t>
      </w:r>
      <w:r>
        <w:rPr/>
        <w:t>las</w:t>
      </w:r>
      <w:r>
        <w:rPr>
          <w:spacing w:val="-12"/>
        </w:rPr>
        <w:t> </w:t>
      </w:r>
      <w:r>
        <w:rPr/>
        <w:t>marquesinas como plataforma de publicidad. El coste de la actuación ejecutada en los</w:t>
      </w:r>
      <w:r>
        <w:rPr>
          <w:spacing w:val="-2"/>
        </w:rPr>
        <w:t> </w:t>
      </w:r>
      <w:r>
        <w:rPr/>
        <w:t>ejercicios fiscalizados ha ascendido a 73.766,17 euros, sin IVA.</w:t>
      </w:r>
    </w:p>
    <w:p>
      <w:pPr>
        <w:pStyle w:val="BodyText"/>
        <w:spacing w:before="242"/>
        <w:ind w:left="992" w:right="987"/>
        <w:jc w:val="both"/>
      </w:pPr>
      <w:r>
        <w:rPr/>
        <w:t>La segunda actuación ha sido la renovación de la aplicación informática del servicio del transporte público</w:t>
      </w:r>
      <w:r>
        <w:rPr>
          <w:spacing w:val="-2"/>
        </w:rPr>
        <w:t> </w:t>
      </w:r>
      <w:r>
        <w:rPr/>
        <w:t>de</w:t>
      </w:r>
      <w:r>
        <w:rPr>
          <w:spacing w:val="-2"/>
        </w:rPr>
        <w:t> </w:t>
      </w:r>
      <w:r>
        <w:rPr/>
        <w:t>autobuses,</w:t>
      </w:r>
      <w:r>
        <w:rPr>
          <w:spacing w:val="-3"/>
        </w:rPr>
        <w:t> </w:t>
      </w:r>
      <w:r>
        <w:rPr/>
        <w:t>por</w:t>
      </w:r>
      <w:r>
        <w:rPr>
          <w:spacing w:val="-1"/>
        </w:rPr>
        <w:t> </w:t>
      </w:r>
      <w:r>
        <w:rPr/>
        <w:t>importe</w:t>
      </w:r>
      <w:r>
        <w:rPr>
          <w:spacing w:val="-4"/>
        </w:rPr>
        <w:t> </w:t>
      </w:r>
      <w:r>
        <w:rPr/>
        <w:t>de 29.895,00</w:t>
      </w:r>
      <w:r>
        <w:rPr>
          <w:spacing w:val="-2"/>
        </w:rPr>
        <w:t> </w:t>
      </w:r>
      <w:r>
        <w:rPr/>
        <w:t>euros,</w:t>
      </w:r>
      <w:r>
        <w:rPr>
          <w:spacing w:val="-3"/>
        </w:rPr>
        <w:t> </w:t>
      </w:r>
      <w:r>
        <w:rPr/>
        <w:t>IVA</w:t>
      </w:r>
      <w:r>
        <w:rPr>
          <w:spacing w:val="-2"/>
        </w:rPr>
        <w:t> </w:t>
      </w:r>
      <w:r>
        <w:rPr/>
        <w:t>no</w:t>
      </w:r>
      <w:r>
        <w:rPr>
          <w:spacing w:val="-4"/>
        </w:rPr>
        <w:t> </w:t>
      </w:r>
      <w:r>
        <w:rPr/>
        <w:t>incluido. Esta</w:t>
      </w:r>
      <w:r>
        <w:rPr>
          <w:spacing w:val="-2"/>
        </w:rPr>
        <w:t> </w:t>
      </w:r>
      <w:r>
        <w:rPr/>
        <w:t>se</w:t>
      </w:r>
      <w:r>
        <w:rPr>
          <w:spacing w:val="-4"/>
        </w:rPr>
        <w:t> </w:t>
      </w:r>
      <w:r>
        <w:rPr/>
        <w:t>ha</w:t>
      </w:r>
      <w:r>
        <w:rPr>
          <w:spacing w:val="-2"/>
        </w:rPr>
        <w:t> </w:t>
      </w:r>
      <w:r>
        <w:rPr/>
        <w:t>acometido</w:t>
      </w:r>
      <w:r>
        <w:rPr>
          <w:spacing w:val="-2"/>
        </w:rPr>
        <w:t> </w:t>
      </w:r>
      <w:r>
        <w:rPr/>
        <w:t>en</w:t>
      </w:r>
      <w:r>
        <w:rPr>
          <w:spacing w:val="-2"/>
        </w:rPr>
        <w:t> </w:t>
      </w:r>
      <w:r>
        <w:rPr/>
        <w:t>el marco de un contrato de mantenimiento de las distintas aplicaciones móviles y servicios de información vinculados con plataforma móvil del Área de Movilidad y Sostenibilidad de la entidad que</w:t>
      </w:r>
      <w:r>
        <w:rPr>
          <w:spacing w:val="-11"/>
        </w:rPr>
        <w:t> </w:t>
      </w:r>
      <w:r>
        <w:rPr/>
        <w:t>se</w:t>
      </w:r>
      <w:r>
        <w:rPr>
          <w:spacing w:val="-14"/>
        </w:rPr>
        <w:t> </w:t>
      </w:r>
      <w:r>
        <w:rPr/>
        <w:t>había</w:t>
      </w:r>
      <w:r>
        <w:rPr>
          <w:spacing w:val="-13"/>
        </w:rPr>
        <w:t> </w:t>
      </w:r>
      <w:r>
        <w:rPr/>
        <w:t>quedado</w:t>
      </w:r>
      <w:r>
        <w:rPr>
          <w:spacing w:val="-14"/>
        </w:rPr>
        <w:t> </w:t>
      </w:r>
      <w:r>
        <w:rPr/>
        <w:t>obsoleta</w:t>
      </w:r>
      <w:r>
        <w:rPr>
          <w:spacing w:val="-10"/>
        </w:rPr>
        <w:t> </w:t>
      </w:r>
      <w:r>
        <w:rPr/>
        <w:t>y</w:t>
      </w:r>
      <w:r>
        <w:rPr>
          <w:spacing w:val="-13"/>
        </w:rPr>
        <w:t> </w:t>
      </w:r>
      <w:r>
        <w:rPr/>
        <w:t>no</w:t>
      </w:r>
      <w:r>
        <w:rPr>
          <w:spacing w:val="-14"/>
        </w:rPr>
        <w:t> </w:t>
      </w:r>
      <w:r>
        <w:rPr/>
        <w:t>se</w:t>
      </w:r>
      <w:r>
        <w:rPr>
          <w:spacing w:val="-11"/>
        </w:rPr>
        <w:t> </w:t>
      </w:r>
      <w:r>
        <w:rPr/>
        <w:t>ajustaba</w:t>
      </w:r>
      <w:r>
        <w:rPr>
          <w:spacing w:val="-11"/>
        </w:rPr>
        <w:t> </w:t>
      </w:r>
      <w:r>
        <w:rPr/>
        <w:t>a</w:t>
      </w:r>
      <w:r>
        <w:rPr>
          <w:spacing w:val="-16"/>
        </w:rPr>
        <w:t> </w:t>
      </w:r>
      <w:r>
        <w:rPr/>
        <w:t>los</w:t>
      </w:r>
      <w:r>
        <w:rPr>
          <w:spacing w:val="-9"/>
        </w:rPr>
        <w:t> </w:t>
      </w:r>
      <w:r>
        <w:rPr/>
        <w:t>requerimientos</w:t>
      </w:r>
      <w:r>
        <w:rPr>
          <w:spacing w:val="-14"/>
        </w:rPr>
        <w:t> </w:t>
      </w:r>
      <w:r>
        <w:rPr/>
        <w:t>contenidos</w:t>
      </w:r>
      <w:r>
        <w:rPr>
          <w:spacing w:val="-11"/>
        </w:rPr>
        <w:t> </w:t>
      </w:r>
      <w:r>
        <w:rPr/>
        <w:t>en</w:t>
      </w:r>
      <w:r>
        <w:rPr>
          <w:spacing w:val="-12"/>
        </w:rPr>
        <w:t> </w:t>
      </w:r>
      <w:r>
        <w:rPr/>
        <w:t>el</w:t>
      </w:r>
      <w:r>
        <w:rPr>
          <w:spacing w:val="-11"/>
        </w:rPr>
        <w:t> </w:t>
      </w:r>
      <w:r>
        <w:rPr/>
        <w:t>Real</w:t>
      </w:r>
      <w:r>
        <w:rPr>
          <w:spacing w:val="-14"/>
        </w:rPr>
        <w:t> </w:t>
      </w:r>
      <w:r>
        <w:rPr/>
        <w:t>Decreto 1112/2018, de 7 de septiembre, sobre accesibilidad de los sitios web y aplicaciones para dispositivos móviles del sector público, por lo que había sido renovada en 2023. En 2024, se han incorporado nuevas actualizaciones a la vista de las sugerencias formuladas por los usuarios.</w:t>
      </w:r>
    </w:p>
    <w:p>
      <w:pPr>
        <w:pStyle w:val="BodyText"/>
        <w:spacing w:before="240"/>
        <w:ind w:left="992" w:right="991"/>
        <w:jc w:val="both"/>
      </w:pPr>
      <w:r>
        <w:rPr/>
        <w:t>El </w:t>
      </w:r>
      <w:r>
        <w:rPr>
          <w:b/>
        </w:rPr>
        <w:t>Ayuntamiento de Córdoba </w:t>
      </w:r>
      <w:r>
        <w:rPr/>
        <w:t>ha ejecutado tres actuaciones en el ámbito de la digitalización del transporte público colectivo, por importe conjunto de 4.945.286,13 euros, sin IVA.</w:t>
      </w:r>
    </w:p>
    <w:p>
      <w:pPr>
        <w:pStyle w:val="BodyText"/>
        <w:spacing w:before="241"/>
        <w:ind w:left="992" w:right="989"/>
        <w:jc w:val="both"/>
      </w:pPr>
      <w:r>
        <w:rPr/>
        <w:t>Una de ellas ha consistido en la renovación del SAE y </w:t>
      </w:r>
      <w:r>
        <w:rPr>
          <w:i/>
        </w:rPr>
        <w:t>ticketing </w:t>
      </w:r>
      <w:r>
        <w:rPr/>
        <w:t>de la empresa municipal de transporte urbano. Este sistema había sido implantado en 2013 y había sido objeto de diversas mejoras e integraciones, pero tenía limitaciones tecnológicas y funcionales derivadas de su antigüedad.</w:t>
      </w:r>
      <w:r>
        <w:rPr>
          <w:spacing w:val="-4"/>
        </w:rPr>
        <w:t> </w:t>
      </w:r>
      <w:r>
        <w:rPr/>
        <w:t>Dado</w:t>
      </w:r>
      <w:r>
        <w:rPr>
          <w:spacing w:val="-5"/>
        </w:rPr>
        <w:t> </w:t>
      </w:r>
      <w:r>
        <w:rPr/>
        <w:t>que</w:t>
      </w:r>
      <w:r>
        <w:rPr>
          <w:spacing w:val="-5"/>
        </w:rPr>
        <w:t> </w:t>
      </w:r>
      <w:r>
        <w:rPr/>
        <w:t>el</w:t>
      </w:r>
      <w:r>
        <w:rPr>
          <w:spacing w:val="-8"/>
        </w:rPr>
        <w:t> </w:t>
      </w:r>
      <w:r>
        <w:rPr/>
        <w:t>fin</w:t>
      </w:r>
      <w:r>
        <w:rPr>
          <w:spacing w:val="-5"/>
        </w:rPr>
        <w:t> </w:t>
      </w:r>
      <w:r>
        <w:rPr/>
        <w:t>de</w:t>
      </w:r>
      <w:r>
        <w:rPr>
          <w:spacing w:val="-6"/>
        </w:rPr>
        <w:t> </w:t>
      </w:r>
      <w:r>
        <w:rPr/>
        <w:t>su</w:t>
      </w:r>
      <w:r>
        <w:rPr>
          <w:spacing w:val="-5"/>
        </w:rPr>
        <w:t> </w:t>
      </w:r>
      <w:r>
        <w:rPr/>
        <w:t>vida</w:t>
      </w:r>
      <w:r>
        <w:rPr>
          <w:spacing w:val="-6"/>
        </w:rPr>
        <w:t> </w:t>
      </w:r>
      <w:r>
        <w:rPr/>
        <w:t>útil</w:t>
      </w:r>
      <w:r>
        <w:rPr>
          <w:spacing w:val="-6"/>
        </w:rPr>
        <w:t> </w:t>
      </w:r>
      <w:r>
        <w:rPr/>
        <w:t>iba</w:t>
      </w:r>
      <w:r>
        <w:rPr>
          <w:spacing w:val="-6"/>
        </w:rPr>
        <w:t> </w:t>
      </w:r>
      <w:r>
        <w:rPr/>
        <w:t>a</w:t>
      </w:r>
      <w:r>
        <w:rPr>
          <w:spacing w:val="-5"/>
        </w:rPr>
        <w:t> </w:t>
      </w:r>
      <w:r>
        <w:rPr/>
        <w:t>tener</w:t>
      </w:r>
      <w:r>
        <w:rPr>
          <w:spacing w:val="-4"/>
        </w:rPr>
        <w:t> </w:t>
      </w:r>
      <w:r>
        <w:rPr/>
        <w:t>lugar</w:t>
      </w:r>
      <w:r>
        <w:rPr>
          <w:spacing w:val="-5"/>
        </w:rPr>
        <w:t> </w:t>
      </w:r>
      <w:r>
        <w:rPr/>
        <w:t>en</w:t>
      </w:r>
      <w:r>
        <w:rPr>
          <w:spacing w:val="-7"/>
        </w:rPr>
        <w:t> </w:t>
      </w:r>
      <w:r>
        <w:rPr/>
        <w:t>mayo</w:t>
      </w:r>
      <w:r>
        <w:rPr>
          <w:spacing w:val="-6"/>
        </w:rPr>
        <w:t> </w:t>
      </w:r>
      <w:r>
        <w:rPr/>
        <w:t>de</w:t>
      </w:r>
      <w:r>
        <w:rPr>
          <w:spacing w:val="-6"/>
        </w:rPr>
        <w:t> </w:t>
      </w:r>
      <w:r>
        <w:rPr/>
        <w:t>2025,</w:t>
      </w:r>
      <w:r>
        <w:rPr>
          <w:spacing w:val="-3"/>
        </w:rPr>
        <w:t> </w:t>
      </w:r>
      <w:r>
        <w:rPr/>
        <w:t>la</w:t>
      </w:r>
      <w:r>
        <w:rPr>
          <w:spacing w:val="-5"/>
        </w:rPr>
        <w:t> </w:t>
      </w:r>
      <w:r>
        <w:rPr/>
        <w:t>empresa</w:t>
      </w:r>
      <w:r>
        <w:rPr>
          <w:spacing w:val="-8"/>
        </w:rPr>
        <w:t> </w:t>
      </w:r>
      <w:r>
        <w:rPr/>
        <w:t>municipal contrató un servicio integral de consultoría tecnológica especializada en sistemas de transporte público. Los objetivos del proyecto eran modernizar la infraestructura tecnológica del SAE y </w:t>
      </w:r>
      <w:r>
        <w:rPr>
          <w:i/>
        </w:rPr>
        <w:t>ticketing</w:t>
      </w:r>
      <w:r>
        <w:rPr/>
        <w:t>, integrar nuevos medios de pago digitales como aplicaciones móviles y tarjetas bancarias y mejorar su gestión.</w:t>
      </w:r>
    </w:p>
    <w:p>
      <w:pPr>
        <w:pStyle w:val="BodyText"/>
        <w:spacing w:before="239"/>
        <w:ind w:left="992" w:right="987"/>
        <w:jc w:val="both"/>
      </w:pPr>
      <w:r>
        <w:rPr/>
        <w:t>Para ello, la entidad ha tramitado tres expedientes contractuales, por importe conjunto de 4.895.388,20 euros, IVA no incluido. El primero, ya concluido, tuvo por objeto la consultoría y asistencia técnica para la definición de la solución tecnológica, valoración y elaboración de los pliegos técnicos, por importe de 33.750,00 euros, sin IVA. El segundo, de</w:t>
      </w:r>
      <w:r>
        <w:rPr>
          <w:spacing w:val="-2"/>
        </w:rPr>
        <w:t> </w:t>
      </w:r>
      <w:r>
        <w:rPr/>
        <w:t>suministro, instalación e implantación</w:t>
      </w:r>
      <w:r>
        <w:rPr>
          <w:spacing w:val="-2"/>
        </w:rPr>
        <w:t> </w:t>
      </w:r>
      <w:r>
        <w:rPr/>
        <w:t>del</w:t>
      </w:r>
      <w:r>
        <w:rPr>
          <w:spacing w:val="-2"/>
        </w:rPr>
        <w:t> </w:t>
      </w:r>
      <w:r>
        <w:rPr/>
        <w:t>SAE</w:t>
      </w:r>
      <w:r>
        <w:rPr>
          <w:spacing w:val="-1"/>
        </w:rPr>
        <w:t> </w:t>
      </w:r>
      <w:r>
        <w:rPr/>
        <w:t>e</w:t>
      </w:r>
      <w:r>
        <w:rPr>
          <w:spacing w:val="-2"/>
        </w:rPr>
        <w:t> </w:t>
      </w:r>
      <w:r>
        <w:rPr/>
        <w:t>información</w:t>
      </w:r>
      <w:r>
        <w:rPr>
          <w:spacing w:val="-2"/>
        </w:rPr>
        <w:t> </w:t>
      </w:r>
      <w:r>
        <w:rPr/>
        <w:t>al</w:t>
      </w:r>
      <w:r>
        <w:rPr>
          <w:spacing w:val="-3"/>
        </w:rPr>
        <w:t> </w:t>
      </w:r>
      <w:r>
        <w:rPr/>
        <w:t>viajero</w:t>
      </w:r>
      <w:r>
        <w:rPr>
          <w:spacing w:val="-4"/>
        </w:rPr>
        <w:t> </w:t>
      </w:r>
      <w:r>
        <w:rPr/>
        <w:t>y</w:t>
      </w:r>
      <w:r>
        <w:rPr>
          <w:spacing w:val="-1"/>
        </w:rPr>
        <w:t> </w:t>
      </w:r>
      <w:r>
        <w:rPr/>
        <w:t>de</w:t>
      </w:r>
      <w:r>
        <w:rPr>
          <w:spacing w:val="-2"/>
        </w:rPr>
        <w:t> </w:t>
      </w:r>
      <w:r>
        <w:rPr/>
        <w:t>un</w:t>
      </w:r>
      <w:r>
        <w:rPr>
          <w:spacing w:val="-2"/>
        </w:rPr>
        <w:t> </w:t>
      </w:r>
      <w:r>
        <w:rPr/>
        <w:t>sistema</w:t>
      </w:r>
      <w:r>
        <w:rPr>
          <w:spacing w:val="-4"/>
        </w:rPr>
        <w:t> </w:t>
      </w:r>
      <w:r>
        <w:rPr/>
        <w:t>de</w:t>
      </w:r>
      <w:r>
        <w:rPr>
          <w:spacing w:val="-2"/>
        </w:rPr>
        <w:t> </w:t>
      </w:r>
      <w:r>
        <w:rPr>
          <w:i/>
        </w:rPr>
        <w:t>ticketing</w:t>
      </w:r>
      <w:r>
        <w:rPr>
          <w:i/>
          <w:spacing w:val="-3"/>
        </w:rPr>
        <w:t> </w:t>
      </w:r>
      <w:r>
        <w:rPr/>
        <w:t>y</w:t>
      </w:r>
      <w:r>
        <w:rPr>
          <w:spacing w:val="-4"/>
        </w:rPr>
        <w:t> </w:t>
      </w:r>
      <w:r>
        <w:rPr/>
        <w:t>monética, así</w:t>
      </w:r>
      <w:r>
        <w:rPr>
          <w:spacing w:val="-3"/>
        </w:rPr>
        <w:t> </w:t>
      </w:r>
      <w:r>
        <w:rPr/>
        <w:t>como</w:t>
      </w:r>
      <w:r>
        <w:rPr>
          <w:spacing w:val="-4"/>
        </w:rPr>
        <w:t> </w:t>
      </w:r>
      <w:r>
        <w:rPr/>
        <w:t>de los</w:t>
      </w:r>
      <w:r>
        <w:rPr>
          <w:spacing w:val="-6"/>
        </w:rPr>
        <w:t> </w:t>
      </w:r>
      <w:r>
        <w:rPr/>
        <w:t>servicios</w:t>
      </w:r>
      <w:r>
        <w:rPr>
          <w:spacing w:val="-6"/>
        </w:rPr>
        <w:t> </w:t>
      </w:r>
      <w:r>
        <w:rPr/>
        <w:t>de</w:t>
      </w:r>
      <w:r>
        <w:rPr>
          <w:spacing w:val="-8"/>
        </w:rPr>
        <w:t> </w:t>
      </w:r>
      <w:r>
        <w:rPr/>
        <w:t>mantenimiento</w:t>
      </w:r>
      <w:r>
        <w:rPr>
          <w:spacing w:val="-6"/>
        </w:rPr>
        <w:t> </w:t>
      </w:r>
      <w:r>
        <w:rPr/>
        <w:t>de</w:t>
      </w:r>
      <w:r>
        <w:rPr>
          <w:spacing w:val="-8"/>
        </w:rPr>
        <w:t> </w:t>
      </w:r>
      <w:r>
        <w:rPr/>
        <w:t>tales</w:t>
      </w:r>
      <w:r>
        <w:rPr>
          <w:spacing w:val="-6"/>
        </w:rPr>
        <w:t> </w:t>
      </w:r>
      <w:r>
        <w:rPr/>
        <w:t>elementos,</w:t>
      </w:r>
      <w:r>
        <w:rPr>
          <w:spacing w:val="-5"/>
        </w:rPr>
        <w:t> </w:t>
      </w:r>
      <w:r>
        <w:rPr/>
        <w:t>se</w:t>
      </w:r>
      <w:r>
        <w:rPr>
          <w:spacing w:val="-6"/>
        </w:rPr>
        <w:t> </w:t>
      </w:r>
      <w:r>
        <w:rPr/>
        <w:t>ha</w:t>
      </w:r>
      <w:r>
        <w:rPr>
          <w:spacing w:val="-8"/>
        </w:rPr>
        <w:t> </w:t>
      </w:r>
      <w:r>
        <w:rPr/>
        <w:t>adjudicado</w:t>
      </w:r>
      <w:r>
        <w:rPr>
          <w:spacing w:val="-6"/>
        </w:rPr>
        <w:t> </w:t>
      </w:r>
      <w:r>
        <w:rPr/>
        <w:t>en</w:t>
      </w:r>
      <w:r>
        <w:rPr>
          <w:spacing w:val="-8"/>
        </w:rPr>
        <w:t> </w:t>
      </w:r>
      <w:r>
        <w:rPr/>
        <w:t>septiembre</w:t>
      </w:r>
      <w:r>
        <w:rPr>
          <w:spacing w:val="-8"/>
        </w:rPr>
        <w:t> </w:t>
      </w:r>
      <w:r>
        <w:rPr/>
        <w:t>de</w:t>
      </w:r>
      <w:r>
        <w:rPr>
          <w:spacing w:val="-7"/>
        </w:rPr>
        <w:t> </w:t>
      </w:r>
      <w:r>
        <w:rPr/>
        <w:t>2024</w:t>
      </w:r>
      <w:r>
        <w:rPr>
          <w:spacing w:val="-6"/>
        </w:rPr>
        <w:t> </w:t>
      </w:r>
      <w:r>
        <w:rPr/>
        <w:t>por</w:t>
      </w:r>
      <w:r>
        <w:rPr>
          <w:spacing w:val="-5"/>
        </w:rPr>
        <w:t> </w:t>
      </w:r>
      <w:r>
        <w:rPr/>
        <w:t>un periodo</w:t>
      </w:r>
      <w:r>
        <w:rPr>
          <w:spacing w:val="-3"/>
        </w:rPr>
        <w:t> </w:t>
      </w:r>
      <w:r>
        <w:rPr/>
        <w:t>de</w:t>
      </w:r>
      <w:r>
        <w:rPr>
          <w:spacing w:val="-3"/>
        </w:rPr>
        <w:t> </w:t>
      </w:r>
      <w:r>
        <w:rPr/>
        <w:t>diez</w:t>
      </w:r>
      <w:r>
        <w:rPr>
          <w:spacing w:val="-3"/>
        </w:rPr>
        <w:t> </w:t>
      </w:r>
      <w:r>
        <w:rPr/>
        <w:t>años</w:t>
      </w:r>
      <w:r>
        <w:rPr>
          <w:spacing w:val="-3"/>
        </w:rPr>
        <w:t> </w:t>
      </w:r>
      <w:r>
        <w:rPr/>
        <w:t>y</w:t>
      </w:r>
      <w:r>
        <w:rPr>
          <w:spacing w:val="-2"/>
        </w:rPr>
        <w:t> </w:t>
      </w:r>
      <w:r>
        <w:rPr/>
        <w:t>un</w:t>
      </w:r>
      <w:r>
        <w:rPr>
          <w:spacing w:val="-3"/>
        </w:rPr>
        <w:t> </w:t>
      </w:r>
      <w:r>
        <w:rPr/>
        <w:t>precio</w:t>
      </w:r>
      <w:r>
        <w:rPr>
          <w:spacing w:val="-3"/>
        </w:rPr>
        <w:t> </w:t>
      </w:r>
      <w:r>
        <w:rPr/>
        <w:t>de</w:t>
      </w:r>
      <w:r>
        <w:rPr>
          <w:spacing w:val="-3"/>
        </w:rPr>
        <w:t> </w:t>
      </w:r>
      <w:r>
        <w:rPr/>
        <w:t>4.692.538,20</w:t>
      </w:r>
      <w:r>
        <w:rPr>
          <w:spacing w:val="-5"/>
        </w:rPr>
        <w:t> </w:t>
      </w:r>
      <w:r>
        <w:rPr/>
        <w:t>euros,</w:t>
      </w:r>
      <w:r>
        <w:rPr>
          <w:spacing w:val="-4"/>
        </w:rPr>
        <w:t> </w:t>
      </w:r>
      <w:r>
        <w:rPr/>
        <w:t>IVA</w:t>
      </w:r>
      <w:r>
        <w:rPr>
          <w:spacing w:val="-3"/>
        </w:rPr>
        <w:t> </w:t>
      </w:r>
      <w:r>
        <w:rPr/>
        <w:t>no</w:t>
      </w:r>
      <w:r>
        <w:rPr>
          <w:spacing w:val="-3"/>
        </w:rPr>
        <w:t> </w:t>
      </w:r>
      <w:r>
        <w:rPr/>
        <w:t>incluido.</w:t>
      </w:r>
      <w:r>
        <w:rPr>
          <w:spacing w:val="-4"/>
        </w:rPr>
        <w:t> </w:t>
      </w:r>
      <w:r>
        <w:rPr/>
        <w:t>El</w:t>
      </w:r>
      <w:r>
        <w:rPr>
          <w:spacing w:val="-4"/>
        </w:rPr>
        <w:t> </w:t>
      </w:r>
      <w:r>
        <w:rPr/>
        <w:t>tercer</w:t>
      </w:r>
      <w:r>
        <w:rPr>
          <w:spacing w:val="-2"/>
        </w:rPr>
        <w:t> </w:t>
      </w:r>
      <w:r>
        <w:rPr/>
        <w:t>contrato</w:t>
      </w:r>
      <w:r>
        <w:rPr>
          <w:spacing w:val="-1"/>
        </w:rPr>
        <w:t> </w:t>
      </w:r>
      <w:r>
        <w:rPr/>
        <w:t>es</w:t>
      </w:r>
      <w:r>
        <w:rPr>
          <w:spacing w:val="-3"/>
        </w:rPr>
        <w:t> </w:t>
      </w:r>
      <w:r>
        <w:rPr/>
        <w:t>el</w:t>
      </w:r>
      <w:r>
        <w:rPr>
          <w:spacing w:val="-4"/>
        </w:rPr>
        <w:t> </w:t>
      </w:r>
      <w:r>
        <w:rPr/>
        <w:t>de asistencia técnica para la implantación de la solución tecnológica del proceso de renovación, suscrito</w:t>
      </w:r>
      <w:r>
        <w:rPr>
          <w:spacing w:val="-16"/>
        </w:rPr>
        <w:t> </w:t>
      </w:r>
      <w:r>
        <w:rPr/>
        <w:t>en</w:t>
      </w:r>
      <w:r>
        <w:rPr>
          <w:spacing w:val="-15"/>
        </w:rPr>
        <w:t> </w:t>
      </w:r>
      <w:r>
        <w:rPr/>
        <w:t>noviembre</w:t>
      </w:r>
      <w:r>
        <w:rPr>
          <w:spacing w:val="-15"/>
        </w:rPr>
        <w:t> </w:t>
      </w:r>
      <w:r>
        <w:rPr/>
        <w:t>de</w:t>
      </w:r>
      <w:r>
        <w:rPr>
          <w:spacing w:val="-16"/>
        </w:rPr>
        <w:t> </w:t>
      </w:r>
      <w:r>
        <w:rPr/>
        <w:t>2024</w:t>
      </w:r>
      <w:r>
        <w:rPr>
          <w:spacing w:val="-15"/>
        </w:rPr>
        <w:t> </w:t>
      </w:r>
      <w:r>
        <w:rPr/>
        <w:t>por</w:t>
      </w:r>
      <w:r>
        <w:rPr>
          <w:spacing w:val="-15"/>
        </w:rPr>
        <w:t> </w:t>
      </w:r>
      <w:r>
        <w:rPr/>
        <w:t>importe</w:t>
      </w:r>
      <w:r>
        <w:rPr>
          <w:spacing w:val="-15"/>
        </w:rPr>
        <w:t> </w:t>
      </w:r>
      <w:r>
        <w:rPr/>
        <w:t>de</w:t>
      </w:r>
      <w:r>
        <w:rPr>
          <w:spacing w:val="-16"/>
        </w:rPr>
        <w:t> </w:t>
      </w:r>
      <w:r>
        <w:rPr/>
        <w:t>169.100</w:t>
      </w:r>
      <w:r>
        <w:rPr>
          <w:spacing w:val="-15"/>
        </w:rPr>
        <w:t> </w:t>
      </w:r>
      <w:r>
        <w:rPr/>
        <w:t>euros,</w:t>
      </w:r>
      <w:r>
        <w:rPr>
          <w:spacing w:val="-15"/>
        </w:rPr>
        <w:t> </w:t>
      </w:r>
      <w:r>
        <w:rPr/>
        <w:t>IVA</w:t>
      </w:r>
      <w:r>
        <w:rPr>
          <w:spacing w:val="-16"/>
        </w:rPr>
        <w:t> </w:t>
      </w:r>
      <w:r>
        <w:rPr/>
        <w:t>no</w:t>
      </w:r>
      <w:r>
        <w:rPr>
          <w:spacing w:val="-15"/>
        </w:rPr>
        <w:t> </w:t>
      </w:r>
      <w:r>
        <w:rPr/>
        <w:t>incluido,</w:t>
      </w:r>
      <w:r>
        <w:rPr>
          <w:spacing w:val="-15"/>
        </w:rPr>
        <w:t> </w:t>
      </w:r>
      <w:r>
        <w:rPr/>
        <w:t>y</w:t>
      </w:r>
      <w:r>
        <w:rPr>
          <w:spacing w:val="-15"/>
        </w:rPr>
        <w:t> </w:t>
      </w:r>
      <w:r>
        <w:rPr/>
        <w:t>un</w:t>
      </w:r>
      <w:r>
        <w:rPr>
          <w:spacing w:val="-16"/>
        </w:rPr>
        <w:t> </w:t>
      </w:r>
      <w:r>
        <w:rPr/>
        <w:t>plazo</w:t>
      </w:r>
      <w:r>
        <w:rPr>
          <w:spacing w:val="-15"/>
        </w:rPr>
        <w:t> </w:t>
      </w:r>
      <w:r>
        <w:rPr/>
        <w:t>de</w:t>
      </w:r>
      <w:r>
        <w:rPr>
          <w:spacing w:val="-15"/>
        </w:rPr>
        <w:t> </w:t>
      </w:r>
      <w:r>
        <w:rPr/>
        <w:t>duración de quince meses. Para el primero y el último de los contratos la entidad ha contado para su financiación con fondos del Consorcio de Transporte Metropolitano del Área de Córdoba.</w:t>
      </w:r>
    </w:p>
    <w:p>
      <w:pPr>
        <w:pStyle w:val="BodyText"/>
        <w:spacing w:before="239"/>
        <w:ind w:left="992" w:right="988"/>
        <w:jc w:val="both"/>
      </w:pPr>
      <w:r>
        <w:rPr/>
        <w:t>Otra de las actuaciones llevadas a cabo por la empresa municipal de transporte urbano del </w:t>
      </w:r>
      <w:r>
        <w:rPr>
          <w:b/>
        </w:rPr>
        <w:t>Ayuntamiento de Córdoba </w:t>
      </w:r>
      <w:r>
        <w:rPr/>
        <w:t>es el diseño, implementación, migración de contenidos, alojamiento, formación, soporte y mantenimiento de la nueva página Web corporativa, a fin de adaptarla a lo dispuesto</w:t>
      </w:r>
      <w:r>
        <w:rPr>
          <w:spacing w:val="-16"/>
        </w:rPr>
        <w:t> </w:t>
      </w:r>
      <w:r>
        <w:rPr/>
        <w:t>en</w:t>
      </w:r>
      <w:r>
        <w:rPr>
          <w:spacing w:val="-17"/>
        </w:rPr>
        <w:t> </w:t>
      </w:r>
      <w:r>
        <w:rPr/>
        <w:t>el</w:t>
      </w:r>
      <w:r>
        <w:rPr>
          <w:spacing w:val="-15"/>
        </w:rPr>
        <w:t> </w:t>
      </w:r>
      <w:r>
        <w:rPr/>
        <w:t>Real</w:t>
      </w:r>
      <w:r>
        <w:rPr>
          <w:spacing w:val="-17"/>
        </w:rPr>
        <w:t> </w:t>
      </w:r>
      <w:r>
        <w:rPr/>
        <w:t>Decreto</w:t>
      </w:r>
      <w:r>
        <w:rPr>
          <w:spacing w:val="-16"/>
        </w:rPr>
        <w:t> </w:t>
      </w:r>
      <w:r>
        <w:rPr/>
        <w:t>1112/2018</w:t>
      </w:r>
      <w:r>
        <w:rPr>
          <w:spacing w:val="-16"/>
        </w:rPr>
        <w:t> </w:t>
      </w:r>
      <w:r>
        <w:rPr/>
        <w:t>y</w:t>
      </w:r>
      <w:r>
        <w:rPr>
          <w:spacing w:val="-18"/>
        </w:rPr>
        <w:t> </w:t>
      </w:r>
      <w:r>
        <w:rPr/>
        <w:t>mejorar</w:t>
      </w:r>
      <w:r>
        <w:rPr>
          <w:spacing w:val="-16"/>
        </w:rPr>
        <w:t> </w:t>
      </w:r>
      <w:r>
        <w:rPr/>
        <w:t>su</w:t>
      </w:r>
      <w:r>
        <w:rPr>
          <w:spacing w:val="-17"/>
        </w:rPr>
        <w:t> </w:t>
      </w:r>
      <w:r>
        <w:rPr/>
        <w:t>usabilidad</w:t>
      </w:r>
      <w:r>
        <w:rPr>
          <w:spacing w:val="-15"/>
        </w:rPr>
        <w:t> </w:t>
      </w:r>
      <w:r>
        <w:rPr>
          <w:rFonts w:ascii="Symbol" w:hAnsi="Symbol"/>
        </w:rPr>
        <w:t></w:t>
      </w:r>
      <w:r>
        <w:rPr/>
        <w:t>inclusión</w:t>
      </w:r>
      <w:r>
        <w:rPr>
          <w:spacing w:val="-17"/>
        </w:rPr>
        <w:t> </w:t>
      </w:r>
      <w:r>
        <w:rPr/>
        <w:t>de</w:t>
      </w:r>
      <w:r>
        <w:rPr>
          <w:spacing w:val="-16"/>
        </w:rPr>
        <w:t> </w:t>
      </w:r>
      <w:r>
        <w:rPr/>
        <w:t>componentes</w:t>
      </w:r>
      <w:r>
        <w:rPr>
          <w:spacing w:val="-16"/>
        </w:rPr>
        <w:t> </w:t>
      </w:r>
      <w:r>
        <w:rPr/>
        <w:t>visuales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7"/>
        <w:jc w:val="both"/>
      </w:pPr>
      <w:r>
        <w:rPr/>
        <w:t>que</w:t>
      </w:r>
      <w:r>
        <w:rPr>
          <w:spacing w:val="-9"/>
        </w:rPr>
        <w:t> </w:t>
      </w:r>
      <w:r>
        <w:rPr/>
        <w:t>permiten</w:t>
      </w:r>
      <w:r>
        <w:rPr>
          <w:spacing w:val="-9"/>
        </w:rPr>
        <w:t> </w:t>
      </w:r>
      <w:r>
        <w:rPr/>
        <w:t>una</w:t>
      </w:r>
      <w:r>
        <w:rPr>
          <w:spacing w:val="-11"/>
        </w:rPr>
        <w:t> </w:t>
      </w:r>
      <w:r>
        <w:rPr/>
        <w:t>navegación</w:t>
      </w:r>
      <w:r>
        <w:rPr>
          <w:spacing w:val="-9"/>
        </w:rPr>
        <w:t> </w:t>
      </w:r>
      <w:r>
        <w:rPr/>
        <w:t>más</w:t>
      </w:r>
      <w:r>
        <w:rPr>
          <w:spacing w:val="-9"/>
        </w:rPr>
        <w:t> </w:t>
      </w:r>
      <w:r>
        <w:rPr/>
        <w:t>intuitiva</w:t>
      </w:r>
      <w:r>
        <w:rPr>
          <w:spacing w:val="-9"/>
        </w:rPr>
        <w:t> </w:t>
      </w:r>
      <w:r>
        <w:rPr/>
        <w:t>e</w:t>
      </w:r>
      <w:r>
        <w:rPr>
          <w:spacing w:val="-11"/>
        </w:rPr>
        <w:t> </w:t>
      </w:r>
      <w:r>
        <w:rPr/>
        <w:t>inmediata</w:t>
      </w:r>
      <w:r>
        <w:rPr>
          <w:spacing w:val="-8"/>
        </w:rPr>
        <w:t> </w:t>
      </w:r>
      <w:r>
        <w:rPr/>
        <w:t>a</w:t>
      </w:r>
      <w:r>
        <w:rPr>
          <w:spacing w:val="-9"/>
        </w:rPr>
        <w:t> </w:t>
      </w:r>
      <w:r>
        <w:rPr/>
        <w:t>los</w:t>
      </w:r>
      <w:r>
        <w:rPr>
          <w:spacing w:val="-9"/>
        </w:rPr>
        <w:t> </w:t>
      </w:r>
      <w:r>
        <w:rPr/>
        <w:t>ciudadanos,</w:t>
      </w:r>
      <w:r>
        <w:rPr>
          <w:spacing w:val="-10"/>
        </w:rPr>
        <w:t> </w:t>
      </w:r>
      <w:r>
        <w:rPr/>
        <w:t>gestión</w:t>
      </w:r>
      <w:r>
        <w:rPr>
          <w:spacing w:val="-9"/>
        </w:rPr>
        <w:t> </w:t>
      </w:r>
      <w:r>
        <w:rPr/>
        <w:t>on-line</w:t>
      </w:r>
      <w:r>
        <w:rPr>
          <w:spacing w:val="-9"/>
        </w:rPr>
        <w:t> </w:t>
      </w:r>
      <w:r>
        <w:rPr/>
        <w:t>de</w:t>
      </w:r>
      <w:r>
        <w:rPr>
          <w:spacing w:val="-12"/>
        </w:rPr>
        <w:t> </w:t>
      </w:r>
      <w:r>
        <w:rPr/>
        <w:t>tarjetas de transporte y registro de usuarios</w:t>
      </w:r>
      <w:r>
        <w:rPr>
          <w:rFonts w:ascii="Symbol" w:hAnsi="Symbol"/>
        </w:rPr>
        <w:t></w:t>
      </w:r>
      <w:r>
        <w:rPr>
          <w:rFonts w:ascii="Times New Roman" w:hAnsi="Times New Roman"/>
        </w:rPr>
        <w:t> </w:t>
      </w:r>
      <w:r>
        <w:rPr/>
        <w:t>entre otros. En los ejercicios fiscalizados se ha ejecutado un importe de 42.885,50 euros, IVA no incluido.</w:t>
      </w:r>
    </w:p>
    <w:p>
      <w:pPr>
        <w:pStyle w:val="BodyText"/>
        <w:spacing w:before="240"/>
        <w:ind w:left="992" w:right="986"/>
        <w:jc w:val="both"/>
      </w:pPr>
      <w:r>
        <w:rPr/>
        <w:t>La tercera actuación ha consistido en la renovación del servicio de venta y validación del billete electrónico</w:t>
      </w:r>
      <w:r>
        <w:rPr>
          <w:spacing w:val="-16"/>
        </w:rPr>
        <w:t> </w:t>
      </w:r>
      <w:r>
        <w:rPr/>
        <w:t>mediante</w:t>
      </w:r>
      <w:r>
        <w:rPr>
          <w:spacing w:val="-13"/>
        </w:rPr>
        <w:t> </w:t>
      </w:r>
      <w:r>
        <w:rPr/>
        <w:t>código</w:t>
      </w:r>
      <w:r>
        <w:rPr>
          <w:spacing w:val="-14"/>
        </w:rPr>
        <w:t> </w:t>
      </w:r>
      <w:r>
        <w:rPr/>
        <w:t>pasivo</w:t>
      </w:r>
      <w:r>
        <w:rPr>
          <w:spacing w:val="-14"/>
        </w:rPr>
        <w:t> </w:t>
      </w:r>
      <w:r>
        <w:rPr/>
        <w:t>QR,</w:t>
      </w:r>
      <w:r>
        <w:rPr>
          <w:spacing w:val="-12"/>
        </w:rPr>
        <w:t> </w:t>
      </w:r>
      <w:r>
        <w:rPr/>
        <w:t>que</w:t>
      </w:r>
      <w:r>
        <w:rPr>
          <w:spacing w:val="-16"/>
        </w:rPr>
        <w:t> </w:t>
      </w:r>
      <w:r>
        <w:rPr/>
        <w:t>ya</w:t>
      </w:r>
      <w:r>
        <w:rPr>
          <w:spacing w:val="-13"/>
        </w:rPr>
        <w:t> </w:t>
      </w:r>
      <w:r>
        <w:rPr/>
        <w:t>disponía</w:t>
      </w:r>
      <w:r>
        <w:rPr>
          <w:spacing w:val="-13"/>
        </w:rPr>
        <w:t> </w:t>
      </w:r>
      <w:r>
        <w:rPr/>
        <w:t>desde</w:t>
      </w:r>
      <w:r>
        <w:rPr>
          <w:spacing w:val="-14"/>
        </w:rPr>
        <w:t> </w:t>
      </w:r>
      <w:r>
        <w:rPr/>
        <w:t>2021.</w:t>
      </w:r>
      <w:r>
        <w:rPr>
          <w:spacing w:val="-12"/>
        </w:rPr>
        <w:t> </w:t>
      </w:r>
      <w:r>
        <w:rPr/>
        <w:t>El</w:t>
      </w:r>
      <w:r>
        <w:rPr>
          <w:spacing w:val="-14"/>
        </w:rPr>
        <w:t> </w:t>
      </w:r>
      <w:r>
        <w:rPr/>
        <w:t>nuevo</w:t>
      </w:r>
      <w:r>
        <w:rPr>
          <w:spacing w:val="-14"/>
        </w:rPr>
        <w:t> </w:t>
      </w:r>
      <w:r>
        <w:rPr/>
        <w:t>contrato</w:t>
      </w:r>
      <w:r>
        <w:rPr>
          <w:spacing w:val="-15"/>
        </w:rPr>
        <w:t> </w:t>
      </w:r>
      <w:r>
        <w:rPr/>
        <w:t>se</w:t>
      </w:r>
      <w:r>
        <w:rPr>
          <w:spacing w:val="-14"/>
        </w:rPr>
        <w:t> </w:t>
      </w:r>
      <w:r>
        <w:rPr/>
        <w:t>formalizó con la misma empresa en marzo de 2204 por un periodo de un año, prorrogable por otros dos. La retribución anual para el contratista es de 1,65 % del precio de venta por uso de cada billete electrónico,</w:t>
      </w:r>
      <w:r>
        <w:rPr>
          <w:spacing w:val="-12"/>
        </w:rPr>
        <w:t> </w:t>
      </w:r>
      <w:r>
        <w:rPr/>
        <w:t>que</w:t>
      </w:r>
      <w:r>
        <w:rPr>
          <w:spacing w:val="-14"/>
        </w:rPr>
        <w:t> </w:t>
      </w:r>
      <w:r>
        <w:rPr/>
        <w:t>se</w:t>
      </w:r>
      <w:r>
        <w:rPr>
          <w:spacing w:val="-14"/>
        </w:rPr>
        <w:t> </w:t>
      </w:r>
      <w:r>
        <w:rPr/>
        <w:t>estimó</w:t>
      </w:r>
      <w:r>
        <w:rPr>
          <w:spacing w:val="-11"/>
        </w:rPr>
        <w:t> </w:t>
      </w:r>
      <w:r>
        <w:rPr/>
        <w:t>en</w:t>
      </w:r>
      <w:r>
        <w:rPr>
          <w:spacing w:val="-13"/>
        </w:rPr>
        <w:t> </w:t>
      </w:r>
      <w:r>
        <w:rPr/>
        <w:t>247,93</w:t>
      </w:r>
      <w:r>
        <w:rPr>
          <w:spacing w:val="-13"/>
        </w:rPr>
        <w:t> </w:t>
      </w:r>
      <w:r>
        <w:rPr/>
        <w:t>euros,</w:t>
      </w:r>
      <w:r>
        <w:rPr>
          <w:spacing w:val="-15"/>
        </w:rPr>
        <w:t> </w:t>
      </w:r>
      <w:r>
        <w:rPr/>
        <w:t>IVA</w:t>
      </w:r>
      <w:r>
        <w:rPr>
          <w:spacing w:val="-12"/>
        </w:rPr>
        <w:t> </w:t>
      </w:r>
      <w:r>
        <w:rPr/>
        <w:t>excluido.</w:t>
      </w:r>
      <w:r>
        <w:rPr>
          <w:spacing w:val="-10"/>
        </w:rPr>
        <w:t> </w:t>
      </w:r>
      <w:r>
        <w:rPr/>
        <w:t>Las</w:t>
      </w:r>
      <w:r>
        <w:rPr>
          <w:spacing w:val="-13"/>
        </w:rPr>
        <w:t> </w:t>
      </w:r>
      <w:r>
        <w:rPr/>
        <w:t>comisiones</w:t>
      </w:r>
      <w:r>
        <w:rPr>
          <w:spacing w:val="-13"/>
        </w:rPr>
        <w:t> </w:t>
      </w:r>
      <w:r>
        <w:rPr/>
        <w:t>percibidas</w:t>
      </w:r>
      <w:r>
        <w:rPr>
          <w:spacing w:val="-11"/>
        </w:rPr>
        <w:t> </w:t>
      </w:r>
      <w:r>
        <w:rPr/>
        <w:t>por</w:t>
      </w:r>
      <w:r>
        <w:rPr>
          <w:spacing w:val="-12"/>
        </w:rPr>
        <w:t> </w:t>
      </w:r>
      <w:r>
        <w:rPr/>
        <w:t>la</w:t>
      </w:r>
      <w:r>
        <w:rPr>
          <w:spacing w:val="-14"/>
        </w:rPr>
        <w:t> </w:t>
      </w:r>
      <w:r>
        <w:rPr/>
        <w:t>empresa en 2023 y 2024 fueron 177,44 euros.</w:t>
      </w:r>
    </w:p>
    <w:p>
      <w:pPr>
        <w:pStyle w:val="BodyText"/>
        <w:spacing w:before="242"/>
        <w:ind w:left="992" w:right="987"/>
        <w:jc w:val="both"/>
      </w:pPr>
      <w:r>
        <w:rPr/>
        <w:t>El </w:t>
      </w:r>
      <w:r>
        <w:rPr>
          <w:b/>
        </w:rPr>
        <w:t>Ayuntamiento de Málaga </w:t>
      </w:r>
      <w:r>
        <w:rPr/>
        <w:t>ha ejecutado, a través de la empresa municipal de transportes, dos actuaciones en el ámbito de la digitalización del transporte público colectivo con fondos europeos.</w:t>
      </w:r>
    </w:p>
    <w:p>
      <w:pPr>
        <w:pStyle w:val="BodyText"/>
        <w:spacing w:before="240"/>
        <w:ind w:left="992" w:right="988"/>
        <w:jc w:val="both"/>
      </w:pPr>
      <w:r>
        <w:rPr/>
        <w:t>Una de esas actuaciones ha sido la de desarrollo y puesta en servicio de sistema digital de información</w:t>
      </w:r>
      <w:r>
        <w:rPr>
          <w:spacing w:val="-9"/>
        </w:rPr>
        <w:t> </w:t>
      </w:r>
      <w:r>
        <w:rPr/>
        <w:t>a</w:t>
      </w:r>
      <w:r>
        <w:rPr>
          <w:spacing w:val="-9"/>
        </w:rPr>
        <w:t> </w:t>
      </w:r>
      <w:r>
        <w:rPr/>
        <w:t>usuarios</w:t>
      </w:r>
      <w:r>
        <w:rPr>
          <w:spacing w:val="-8"/>
        </w:rPr>
        <w:t> </w:t>
      </w:r>
      <w:r>
        <w:rPr/>
        <w:t>del</w:t>
      </w:r>
      <w:r>
        <w:rPr>
          <w:spacing w:val="-7"/>
        </w:rPr>
        <w:t> </w:t>
      </w:r>
      <w:r>
        <w:rPr/>
        <w:t>transporte</w:t>
      </w:r>
      <w:r>
        <w:rPr>
          <w:spacing w:val="-6"/>
        </w:rPr>
        <w:t> </w:t>
      </w:r>
      <w:r>
        <w:rPr/>
        <w:t>público.</w:t>
      </w:r>
      <w:r>
        <w:rPr>
          <w:spacing w:val="-7"/>
        </w:rPr>
        <w:t> </w:t>
      </w:r>
      <w:r>
        <w:rPr/>
        <w:t>Con</w:t>
      </w:r>
      <w:r>
        <w:rPr>
          <w:spacing w:val="-6"/>
        </w:rPr>
        <w:t> </w:t>
      </w:r>
      <w:r>
        <w:rPr/>
        <w:t>ella</w:t>
      </w:r>
      <w:r>
        <w:rPr>
          <w:spacing w:val="-6"/>
        </w:rPr>
        <w:t> </w:t>
      </w:r>
      <w:r>
        <w:rPr/>
        <w:t>se</w:t>
      </w:r>
      <w:r>
        <w:rPr>
          <w:spacing w:val="-9"/>
        </w:rPr>
        <w:t> </w:t>
      </w:r>
      <w:r>
        <w:rPr/>
        <w:t>pretendía</w:t>
      </w:r>
      <w:r>
        <w:rPr>
          <w:spacing w:val="-8"/>
        </w:rPr>
        <w:t> </w:t>
      </w:r>
      <w:r>
        <w:rPr/>
        <w:t>instalar</w:t>
      </w:r>
      <w:r>
        <w:rPr>
          <w:spacing w:val="-6"/>
        </w:rPr>
        <w:t> </w:t>
      </w:r>
      <w:r>
        <w:rPr/>
        <w:t>paneles</w:t>
      </w:r>
      <w:r>
        <w:rPr>
          <w:spacing w:val="-9"/>
        </w:rPr>
        <w:t> </w:t>
      </w:r>
      <w:r>
        <w:rPr/>
        <w:t>digitales</w:t>
      </w:r>
      <w:r>
        <w:rPr>
          <w:spacing w:val="-6"/>
        </w:rPr>
        <w:t> </w:t>
      </w:r>
      <w:r>
        <w:rPr/>
        <w:t>en</w:t>
      </w:r>
      <w:r>
        <w:rPr>
          <w:spacing w:val="-8"/>
        </w:rPr>
        <w:t> </w:t>
      </w:r>
      <w:r>
        <w:rPr/>
        <w:t>las paradas</w:t>
      </w:r>
      <w:r>
        <w:rPr>
          <w:spacing w:val="-2"/>
        </w:rPr>
        <w:t> </w:t>
      </w:r>
      <w:r>
        <w:rPr/>
        <w:t>de</w:t>
      </w:r>
      <w:r>
        <w:rPr>
          <w:spacing w:val="-4"/>
        </w:rPr>
        <w:t> </w:t>
      </w:r>
      <w:r>
        <w:rPr/>
        <w:t>autobús</w:t>
      </w:r>
      <w:r>
        <w:rPr>
          <w:spacing w:val="-4"/>
        </w:rPr>
        <w:t> </w:t>
      </w:r>
      <w:r>
        <w:rPr/>
        <w:t>y</w:t>
      </w:r>
      <w:r>
        <w:rPr>
          <w:spacing w:val="-4"/>
        </w:rPr>
        <w:t> </w:t>
      </w:r>
      <w:r>
        <w:rPr/>
        <w:t>en</w:t>
      </w:r>
      <w:r>
        <w:rPr>
          <w:spacing w:val="-3"/>
        </w:rPr>
        <w:t> </w:t>
      </w:r>
      <w:r>
        <w:rPr/>
        <w:t>los</w:t>
      </w:r>
      <w:r>
        <w:rPr>
          <w:spacing w:val="-2"/>
        </w:rPr>
        <w:t> </w:t>
      </w:r>
      <w:r>
        <w:rPr/>
        <w:t>andenes</w:t>
      </w:r>
      <w:r>
        <w:rPr>
          <w:spacing w:val="-1"/>
        </w:rPr>
        <w:t> </w:t>
      </w:r>
      <w:r>
        <w:rPr/>
        <w:t>de</w:t>
      </w:r>
      <w:r>
        <w:rPr>
          <w:spacing w:val="-4"/>
        </w:rPr>
        <w:t> </w:t>
      </w:r>
      <w:r>
        <w:rPr/>
        <w:t>la</w:t>
      </w:r>
      <w:r>
        <w:rPr>
          <w:spacing w:val="-4"/>
        </w:rPr>
        <w:t> </w:t>
      </w:r>
      <w:r>
        <w:rPr/>
        <w:t>estación</w:t>
      </w:r>
      <w:r>
        <w:rPr>
          <w:spacing w:val="-2"/>
        </w:rPr>
        <w:t> </w:t>
      </w:r>
      <w:r>
        <w:rPr/>
        <w:t>de</w:t>
      </w:r>
      <w:r>
        <w:rPr>
          <w:spacing w:val="-4"/>
        </w:rPr>
        <w:t> </w:t>
      </w:r>
      <w:r>
        <w:rPr/>
        <w:t>autobuses,</w:t>
      </w:r>
      <w:r>
        <w:rPr>
          <w:spacing w:val="-3"/>
        </w:rPr>
        <w:t> </w:t>
      </w:r>
      <w:r>
        <w:rPr/>
        <w:t>además</w:t>
      </w:r>
      <w:r>
        <w:rPr>
          <w:spacing w:val="-1"/>
        </w:rPr>
        <w:t> </w:t>
      </w:r>
      <w:r>
        <w:rPr/>
        <w:t>de</w:t>
      </w:r>
      <w:r>
        <w:rPr>
          <w:spacing w:val="-4"/>
        </w:rPr>
        <w:t> </w:t>
      </w:r>
      <w:r>
        <w:rPr/>
        <w:t>un</w:t>
      </w:r>
      <w:r>
        <w:rPr>
          <w:spacing w:val="-3"/>
        </w:rPr>
        <w:t> </w:t>
      </w:r>
      <w:r>
        <w:rPr>
          <w:i/>
        </w:rPr>
        <w:t>videowal</w:t>
      </w:r>
      <w:hyperlink w:history="true" w:anchor="_bookmark77">
        <w:r>
          <w:rPr>
            <w:i/>
          </w:rPr>
          <w:t>l</w:t>
        </w:r>
        <w:r>
          <w:rPr>
            <w:i/>
            <w:vertAlign w:val="superscript"/>
          </w:rPr>
          <w:t>50</w:t>
        </w:r>
      </w:hyperlink>
      <w:r>
        <w:rPr>
          <w:i/>
          <w:spacing w:val="-2"/>
          <w:vertAlign w:val="baseline"/>
        </w:rPr>
        <w:t> </w:t>
      </w:r>
      <w:r>
        <w:rPr>
          <w:vertAlign w:val="baseline"/>
        </w:rPr>
        <w:t>en</w:t>
      </w:r>
      <w:r>
        <w:rPr>
          <w:spacing w:val="-4"/>
          <w:vertAlign w:val="baseline"/>
        </w:rPr>
        <w:t> </w:t>
      </w:r>
      <w:r>
        <w:rPr>
          <w:vertAlign w:val="baseline"/>
        </w:rPr>
        <w:t>la zona</w:t>
      </w:r>
      <w:r>
        <w:rPr>
          <w:spacing w:val="-6"/>
          <w:vertAlign w:val="baseline"/>
        </w:rPr>
        <w:t> </w:t>
      </w:r>
      <w:r>
        <w:rPr>
          <w:vertAlign w:val="baseline"/>
        </w:rPr>
        <w:t>de</w:t>
      </w:r>
      <w:r>
        <w:rPr>
          <w:spacing w:val="-7"/>
          <w:vertAlign w:val="baseline"/>
        </w:rPr>
        <w:t> </w:t>
      </w:r>
      <w:r>
        <w:rPr>
          <w:vertAlign w:val="baseline"/>
        </w:rPr>
        <w:t>recepción</w:t>
      </w:r>
      <w:r>
        <w:rPr>
          <w:spacing w:val="-7"/>
          <w:vertAlign w:val="baseline"/>
        </w:rPr>
        <w:t> </w:t>
      </w:r>
      <w:r>
        <w:rPr>
          <w:vertAlign w:val="baseline"/>
        </w:rPr>
        <w:t>de</w:t>
      </w:r>
      <w:r>
        <w:rPr>
          <w:spacing w:val="-7"/>
          <w:vertAlign w:val="baseline"/>
        </w:rPr>
        <w:t> </w:t>
      </w:r>
      <w:r>
        <w:rPr>
          <w:vertAlign w:val="baseline"/>
        </w:rPr>
        <w:t>la</w:t>
      </w:r>
      <w:r>
        <w:rPr>
          <w:spacing w:val="-9"/>
          <w:vertAlign w:val="baseline"/>
        </w:rPr>
        <w:t> </w:t>
      </w:r>
      <w:r>
        <w:rPr>
          <w:vertAlign w:val="baseline"/>
        </w:rPr>
        <w:t>estación.</w:t>
      </w:r>
      <w:r>
        <w:rPr>
          <w:spacing w:val="-5"/>
          <w:vertAlign w:val="baseline"/>
        </w:rPr>
        <w:t> </w:t>
      </w:r>
      <w:r>
        <w:rPr>
          <w:vertAlign w:val="baseline"/>
        </w:rPr>
        <w:t>Para</w:t>
      </w:r>
      <w:r>
        <w:rPr>
          <w:spacing w:val="-6"/>
          <w:vertAlign w:val="baseline"/>
        </w:rPr>
        <w:t> </w:t>
      </w:r>
      <w:r>
        <w:rPr>
          <w:vertAlign w:val="baseline"/>
        </w:rPr>
        <w:t>la</w:t>
      </w:r>
      <w:r>
        <w:rPr>
          <w:spacing w:val="-6"/>
          <w:vertAlign w:val="baseline"/>
        </w:rPr>
        <w:t> </w:t>
      </w:r>
      <w:r>
        <w:rPr>
          <w:vertAlign w:val="baseline"/>
        </w:rPr>
        <w:t>ejecución</w:t>
      </w:r>
      <w:r>
        <w:rPr>
          <w:spacing w:val="-7"/>
          <w:vertAlign w:val="baseline"/>
        </w:rPr>
        <w:t> </w:t>
      </w:r>
      <w:r>
        <w:rPr>
          <w:vertAlign w:val="baseline"/>
        </w:rPr>
        <w:t>de</w:t>
      </w:r>
      <w:r>
        <w:rPr>
          <w:spacing w:val="-7"/>
          <w:vertAlign w:val="baseline"/>
        </w:rPr>
        <w:t> </w:t>
      </w:r>
      <w:r>
        <w:rPr>
          <w:vertAlign w:val="baseline"/>
        </w:rPr>
        <w:t>esta</w:t>
      </w:r>
      <w:r>
        <w:rPr>
          <w:spacing w:val="-6"/>
          <w:vertAlign w:val="baseline"/>
        </w:rPr>
        <w:t> </w:t>
      </w:r>
      <w:r>
        <w:rPr>
          <w:vertAlign w:val="baseline"/>
        </w:rPr>
        <w:t>actuación</w:t>
      </w:r>
      <w:r>
        <w:rPr>
          <w:spacing w:val="-7"/>
          <w:vertAlign w:val="baseline"/>
        </w:rPr>
        <w:t> </w:t>
      </w:r>
      <w:r>
        <w:rPr>
          <w:vertAlign w:val="baseline"/>
        </w:rPr>
        <w:t>la</w:t>
      </w:r>
      <w:r>
        <w:rPr>
          <w:spacing w:val="-6"/>
          <w:vertAlign w:val="baseline"/>
        </w:rPr>
        <w:t> </w:t>
      </w:r>
      <w:r>
        <w:rPr>
          <w:vertAlign w:val="baseline"/>
        </w:rPr>
        <w:t>entidad</w:t>
      </w:r>
      <w:r>
        <w:rPr>
          <w:spacing w:val="-7"/>
          <w:vertAlign w:val="baseline"/>
        </w:rPr>
        <w:t> </w:t>
      </w:r>
      <w:r>
        <w:rPr>
          <w:vertAlign w:val="baseline"/>
        </w:rPr>
        <w:t>ha</w:t>
      </w:r>
      <w:r>
        <w:rPr>
          <w:spacing w:val="-4"/>
          <w:vertAlign w:val="baseline"/>
        </w:rPr>
        <w:t> </w:t>
      </w:r>
      <w:r>
        <w:rPr>
          <w:vertAlign w:val="baseline"/>
        </w:rPr>
        <w:t>celebrado</w:t>
      </w:r>
      <w:r>
        <w:rPr>
          <w:spacing w:val="-6"/>
          <w:vertAlign w:val="baseline"/>
        </w:rPr>
        <w:t> </w:t>
      </w:r>
      <w:r>
        <w:rPr>
          <w:vertAlign w:val="baseline"/>
        </w:rPr>
        <w:t>once </w:t>
      </w:r>
      <w:r>
        <w:rPr>
          <w:spacing w:val="-2"/>
          <w:vertAlign w:val="baseline"/>
        </w:rPr>
        <w:t>contratos.</w:t>
      </w:r>
    </w:p>
    <w:p>
      <w:pPr>
        <w:pStyle w:val="BodyText"/>
        <w:spacing w:before="240"/>
        <w:ind w:left="992" w:right="986"/>
        <w:jc w:val="both"/>
      </w:pPr>
      <w:r>
        <w:rPr/>
        <w:t>Uno</w:t>
      </w:r>
      <w:r>
        <w:rPr>
          <w:spacing w:val="-9"/>
        </w:rPr>
        <w:t> </w:t>
      </w:r>
      <w:r>
        <w:rPr/>
        <w:t>de</w:t>
      </w:r>
      <w:r>
        <w:rPr>
          <w:spacing w:val="-12"/>
        </w:rPr>
        <w:t> </w:t>
      </w:r>
      <w:r>
        <w:rPr/>
        <w:t>ellos,</w:t>
      </w:r>
      <w:r>
        <w:rPr>
          <w:spacing w:val="-10"/>
        </w:rPr>
        <w:t> </w:t>
      </w:r>
      <w:r>
        <w:rPr/>
        <w:t>el</w:t>
      </w:r>
      <w:r>
        <w:rPr>
          <w:spacing w:val="-10"/>
        </w:rPr>
        <w:t> </w:t>
      </w:r>
      <w:r>
        <w:rPr/>
        <w:t>de</w:t>
      </w:r>
      <w:r>
        <w:rPr>
          <w:spacing w:val="-12"/>
        </w:rPr>
        <w:t> </w:t>
      </w:r>
      <w:r>
        <w:rPr/>
        <w:t>suministro</w:t>
      </w:r>
      <w:r>
        <w:rPr>
          <w:spacing w:val="-11"/>
        </w:rPr>
        <w:t> </w:t>
      </w:r>
      <w:r>
        <w:rPr/>
        <w:t>e</w:t>
      </w:r>
      <w:r>
        <w:rPr>
          <w:spacing w:val="-11"/>
        </w:rPr>
        <w:t> </w:t>
      </w:r>
      <w:r>
        <w:rPr/>
        <w:t>instalación</w:t>
      </w:r>
      <w:r>
        <w:rPr>
          <w:spacing w:val="-9"/>
        </w:rPr>
        <w:t> </w:t>
      </w:r>
      <w:r>
        <w:rPr/>
        <w:t>de</w:t>
      </w:r>
      <w:r>
        <w:rPr>
          <w:spacing w:val="-12"/>
        </w:rPr>
        <w:t> </w:t>
      </w:r>
      <w:r>
        <w:rPr/>
        <w:t>pantallas</w:t>
      </w:r>
      <w:r>
        <w:rPr>
          <w:spacing w:val="-9"/>
        </w:rPr>
        <w:t> </w:t>
      </w:r>
      <w:r>
        <w:rPr/>
        <w:t>y</w:t>
      </w:r>
      <w:r>
        <w:rPr>
          <w:spacing w:val="-11"/>
        </w:rPr>
        <w:t> </w:t>
      </w:r>
      <w:r>
        <w:rPr/>
        <w:t>equipos</w:t>
      </w:r>
      <w:r>
        <w:rPr>
          <w:spacing w:val="-11"/>
        </w:rPr>
        <w:t> </w:t>
      </w:r>
      <w:r>
        <w:rPr/>
        <w:t>de</w:t>
      </w:r>
      <w:r>
        <w:rPr>
          <w:spacing w:val="-12"/>
        </w:rPr>
        <w:t> </w:t>
      </w:r>
      <w:r>
        <w:rPr/>
        <w:t>comunicación</w:t>
      </w:r>
      <w:r>
        <w:rPr>
          <w:spacing w:val="-9"/>
        </w:rPr>
        <w:t> </w:t>
      </w:r>
      <w:r>
        <w:rPr/>
        <w:t>en</w:t>
      </w:r>
      <w:r>
        <w:rPr>
          <w:spacing w:val="-12"/>
        </w:rPr>
        <w:t> </w:t>
      </w:r>
      <w:r>
        <w:rPr/>
        <w:t>marquesinas de</w:t>
      </w:r>
      <w:r>
        <w:rPr>
          <w:spacing w:val="-2"/>
        </w:rPr>
        <w:t> </w:t>
      </w:r>
      <w:r>
        <w:rPr/>
        <w:t>las</w:t>
      </w:r>
      <w:r>
        <w:rPr>
          <w:spacing w:val="-2"/>
        </w:rPr>
        <w:t> </w:t>
      </w:r>
      <w:r>
        <w:rPr/>
        <w:t>paradas</w:t>
      </w:r>
      <w:r>
        <w:rPr>
          <w:spacing w:val="-1"/>
        </w:rPr>
        <w:t> </w:t>
      </w:r>
      <w:r>
        <w:rPr/>
        <w:t>de</w:t>
      </w:r>
      <w:r>
        <w:rPr>
          <w:spacing w:val="-4"/>
        </w:rPr>
        <w:t> </w:t>
      </w:r>
      <w:r>
        <w:rPr/>
        <w:t>autobuses,</w:t>
      </w:r>
      <w:r>
        <w:rPr>
          <w:spacing w:val="-3"/>
        </w:rPr>
        <w:t> </w:t>
      </w:r>
      <w:r>
        <w:rPr/>
        <w:t>se</w:t>
      </w:r>
      <w:r>
        <w:rPr>
          <w:spacing w:val="-2"/>
        </w:rPr>
        <w:t> </w:t>
      </w:r>
      <w:r>
        <w:rPr/>
        <w:t>dividió</w:t>
      </w:r>
      <w:r>
        <w:rPr>
          <w:spacing w:val="-2"/>
        </w:rPr>
        <w:t> </w:t>
      </w:r>
      <w:r>
        <w:rPr/>
        <w:t>en</w:t>
      </w:r>
      <w:r>
        <w:rPr>
          <w:spacing w:val="-2"/>
        </w:rPr>
        <w:t> </w:t>
      </w:r>
      <w:r>
        <w:rPr/>
        <w:t>dos</w:t>
      </w:r>
      <w:r>
        <w:rPr>
          <w:spacing w:val="-1"/>
        </w:rPr>
        <w:t> </w:t>
      </w:r>
      <w:r>
        <w:rPr/>
        <w:t>lotes</w:t>
      </w:r>
      <w:r>
        <w:rPr>
          <w:spacing w:val="-1"/>
        </w:rPr>
        <w:t> </w:t>
      </w:r>
      <w:r>
        <w:rPr/>
        <w:t>y</w:t>
      </w:r>
      <w:r>
        <w:rPr>
          <w:spacing w:val="-3"/>
        </w:rPr>
        <w:t> </w:t>
      </w:r>
      <w:r>
        <w:rPr/>
        <w:t>fue</w:t>
      </w:r>
      <w:r>
        <w:rPr>
          <w:spacing w:val="-2"/>
        </w:rPr>
        <w:t> </w:t>
      </w:r>
      <w:r>
        <w:rPr/>
        <w:t>adjudicado</w:t>
      </w:r>
      <w:r>
        <w:rPr>
          <w:spacing w:val="-2"/>
        </w:rPr>
        <w:t> </w:t>
      </w:r>
      <w:r>
        <w:rPr/>
        <w:t>en</w:t>
      </w:r>
      <w:r>
        <w:rPr>
          <w:spacing w:val="-5"/>
        </w:rPr>
        <w:t> </w:t>
      </w:r>
      <w:r>
        <w:rPr/>
        <w:t>noviembre</w:t>
      </w:r>
      <w:r>
        <w:rPr>
          <w:spacing w:val="-4"/>
        </w:rPr>
        <w:t> </w:t>
      </w:r>
      <w:r>
        <w:rPr/>
        <w:t>de</w:t>
      </w:r>
      <w:r>
        <w:rPr>
          <w:spacing w:val="-2"/>
        </w:rPr>
        <w:t> </w:t>
      </w:r>
      <w:r>
        <w:rPr/>
        <w:t>2022</w:t>
      </w:r>
      <w:r>
        <w:rPr>
          <w:spacing w:val="-4"/>
        </w:rPr>
        <w:t> </w:t>
      </w:r>
      <w:r>
        <w:rPr/>
        <w:t>a</w:t>
      </w:r>
      <w:r>
        <w:rPr>
          <w:spacing w:val="-2"/>
        </w:rPr>
        <w:t> </w:t>
      </w:r>
      <w:r>
        <w:rPr/>
        <w:t>una misma</w:t>
      </w:r>
      <w:r>
        <w:rPr>
          <w:spacing w:val="-4"/>
        </w:rPr>
        <w:t> </w:t>
      </w:r>
      <w:r>
        <w:rPr/>
        <w:t>empresa,</w:t>
      </w:r>
      <w:r>
        <w:rPr>
          <w:spacing w:val="-3"/>
        </w:rPr>
        <w:t> </w:t>
      </w:r>
      <w:r>
        <w:rPr/>
        <w:t>por</w:t>
      </w:r>
      <w:r>
        <w:rPr>
          <w:spacing w:val="-3"/>
        </w:rPr>
        <w:t> </w:t>
      </w:r>
      <w:r>
        <w:rPr/>
        <w:t>importe</w:t>
      </w:r>
      <w:r>
        <w:rPr>
          <w:spacing w:val="-3"/>
        </w:rPr>
        <w:t> </w:t>
      </w:r>
      <w:r>
        <w:rPr/>
        <w:t>conjunto</w:t>
      </w:r>
      <w:r>
        <w:rPr>
          <w:spacing w:val="-4"/>
        </w:rPr>
        <w:t> </w:t>
      </w:r>
      <w:r>
        <w:rPr/>
        <w:t>de</w:t>
      </w:r>
      <w:r>
        <w:rPr>
          <w:spacing w:val="-4"/>
        </w:rPr>
        <w:t> </w:t>
      </w:r>
      <w:r>
        <w:rPr/>
        <w:t>2.973.868,54</w:t>
      </w:r>
      <w:r>
        <w:rPr>
          <w:spacing w:val="-4"/>
        </w:rPr>
        <w:t> </w:t>
      </w:r>
      <w:r>
        <w:rPr/>
        <w:t>euros,</w:t>
      </w:r>
      <w:r>
        <w:rPr>
          <w:spacing w:val="-5"/>
        </w:rPr>
        <w:t> </w:t>
      </w:r>
      <w:r>
        <w:rPr/>
        <w:t>IVA</w:t>
      </w:r>
      <w:r>
        <w:rPr>
          <w:spacing w:val="-4"/>
        </w:rPr>
        <w:t> </w:t>
      </w:r>
      <w:r>
        <w:rPr/>
        <w:t>excluido.</w:t>
      </w:r>
      <w:r>
        <w:rPr>
          <w:spacing w:val="-3"/>
        </w:rPr>
        <w:t> </w:t>
      </w:r>
      <w:r>
        <w:rPr/>
        <w:t>El</w:t>
      </w:r>
      <w:r>
        <w:rPr>
          <w:spacing w:val="-5"/>
        </w:rPr>
        <w:t> </w:t>
      </w:r>
      <w:r>
        <w:rPr/>
        <w:t>primero</w:t>
      </w:r>
      <w:r>
        <w:rPr>
          <w:spacing w:val="-4"/>
        </w:rPr>
        <w:t> </w:t>
      </w:r>
      <w:r>
        <w:rPr/>
        <w:t>de</w:t>
      </w:r>
      <w:r>
        <w:rPr>
          <w:spacing w:val="-4"/>
        </w:rPr>
        <w:t> </w:t>
      </w:r>
      <w:r>
        <w:rPr/>
        <w:t>los</w:t>
      </w:r>
      <w:r>
        <w:rPr>
          <w:spacing w:val="-4"/>
        </w:rPr>
        <w:t> </w:t>
      </w:r>
      <w:r>
        <w:rPr/>
        <w:t>lotes, tuvo</w:t>
      </w:r>
      <w:r>
        <w:rPr>
          <w:spacing w:val="-2"/>
        </w:rPr>
        <w:t> </w:t>
      </w:r>
      <w:r>
        <w:rPr/>
        <w:t>un</w:t>
      </w:r>
      <w:r>
        <w:rPr>
          <w:spacing w:val="-2"/>
        </w:rPr>
        <w:t> </w:t>
      </w:r>
      <w:r>
        <w:rPr/>
        <w:t>importe</w:t>
      </w:r>
      <w:r>
        <w:rPr>
          <w:spacing w:val="-2"/>
        </w:rPr>
        <w:t> </w:t>
      </w:r>
      <w:r>
        <w:rPr/>
        <w:t>de</w:t>
      </w:r>
      <w:r>
        <w:rPr>
          <w:spacing w:val="-2"/>
        </w:rPr>
        <w:t> </w:t>
      </w:r>
      <w:r>
        <w:rPr/>
        <w:t>834.246,20</w:t>
      </w:r>
      <w:r>
        <w:rPr>
          <w:spacing w:val="-2"/>
        </w:rPr>
        <w:t> </w:t>
      </w:r>
      <w:r>
        <w:rPr/>
        <w:t>euros</w:t>
      </w:r>
      <w:r>
        <w:rPr>
          <w:spacing w:val="-4"/>
        </w:rPr>
        <w:t> </w:t>
      </w:r>
      <w:r>
        <w:rPr/>
        <w:t>y</w:t>
      </w:r>
      <w:r>
        <w:rPr>
          <w:spacing w:val="-1"/>
        </w:rPr>
        <w:t> </w:t>
      </w:r>
      <w:r>
        <w:rPr/>
        <w:t>un</w:t>
      </w:r>
      <w:r>
        <w:rPr>
          <w:spacing w:val="-2"/>
        </w:rPr>
        <w:t> </w:t>
      </w:r>
      <w:r>
        <w:rPr/>
        <w:t>plazo</w:t>
      </w:r>
      <w:r>
        <w:rPr>
          <w:spacing w:val="-2"/>
        </w:rPr>
        <w:t> </w:t>
      </w:r>
      <w:r>
        <w:rPr/>
        <w:t>de</w:t>
      </w:r>
      <w:r>
        <w:rPr>
          <w:spacing w:val="-2"/>
        </w:rPr>
        <w:t> </w:t>
      </w:r>
      <w:r>
        <w:rPr/>
        <w:t>ejecución</w:t>
      </w:r>
      <w:r>
        <w:rPr>
          <w:spacing w:val="-2"/>
        </w:rPr>
        <w:t> </w:t>
      </w:r>
      <w:r>
        <w:rPr/>
        <w:t>de doce</w:t>
      </w:r>
      <w:r>
        <w:rPr>
          <w:spacing w:val="-1"/>
        </w:rPr>
        <w:t> </w:t>
      </w:r>
      <w:r>
        <w:rPr/>
        <w:t>meses. El</w:t>
      </w:r>
      <w:r>
        <w:rPr>
          <w:spacing w:val="-2"/>
        </w:rPr>
        <w:t> </w:t>
      </w:r>
      <w:r>
        <w:rPr/>
        <w:t>segundo</w:t>
      </w:r>
      <w:r>
        <w:rPr>
          <w:spacing w:val="-2"/>
        </w:rPr>
        <w:t> </w:t>
      </w:r>
      <w:r>
        <w:rPr/>
        <w:t>lote</w:t>
      </w:r>
      <w:r>
        <w:rPr>
          <w:spacing w:val="-3"/>
        </w:rPr>
        <w:t> </w:t>
      </w:r>
      <w:r>
        <w:rPr/>
        <w:t>tuvo un importe de 2.139.622,24 euros y un plazo de ejecución de dieciocho meses</w:t>
      </w:r>
      <w:hyperlink w:history="true" w:anchor="_bookmark78">
        <w:r>
          <w:rPr>
            <w:vertAlign w:val="superscript"/>
          </w:rPr>
          <w:t>51</w:t>
        </w:r>
        <w:r>
          <w:rPr>
            <w:vertAlign w:val="baseline"/>
          </w:rPr>
          <w:t>.</w:t>
        </w:r>
      </w:hyperlink>
    </w:p>
    <w:p>
      <w:pPr>
        <w:pStyle w:val="BodyText"/>
        <w:spacing w:before="240"/>
        <w:ind w:left="992" w:right="986"/>
        <w:jc w:val="both"/>
      </w:pPr>
      <w:r>
        <w:rPr/>
        <w:t>El</w:t>
      </w:r>
      <w:r>
        <w:rPr>
          <w:spacing w:val="-5"/>
        </w:rPr>
        <w:t> </w:t>
      </w:r>
      <w:r>
        <w:rPr/>
        <w:t>objeto</w:t>
      </w:r>
      <w:r>
        <w:rPr>
          <w:spacing w:val="-6"/>
        </w:rPr>
        <w:t> </w:t>
      </w:r>
      <w:r>
        <w:rPr/>
        <w:t>de</w:t>
      </w:r>
      <w:r>
        <w:rPr>
          <w:spacing w:val="-4"/>
        </w:rPr>
        <w:t> </w:t>
      </w:r>
      <w:r>
        <w:rPr/>
        <w:t>ambos</w:t>
      </w:r>
      <w:r>
        <w:rPr>
          <w:spacing w:val="-4"/>
        </w:rPr>
        <w:t> </w:t>
      </w:r>
      <w:r>
        <w:rPr/>
        <w:t>lotes</w:t>
      </w:r>
      <w:r>
        <w:rPr>
          <w:spacing w:val="-6"/>
        </w:rPr>
        <w:t> </w:t>
      </w:r>
      <w:r>
        <w:rPr/>
        <w:t>consistió</w:t>
      </w:r>
      <w:r>
        <w:rPr>
          <w:spacing w:val="-4"/>
        </w:rPr>
        <w:t> </w:t>
      </w:r>
      <w:r>
        <w:rPr/>
        <w:t>en</w:t>
      </w:r>
      <w:r>
        <w:rPr>
          <w:spacing w:val="-7"/>
        </w:rPr>
        <w:t> </w:t>
      </w:r>
      <w:r>
        <w:rPr/>
        <w:t>la</w:t>
      </w:r>
      <w:r>
        <w:rPr>
          <w:spacing w:val="-2"/>
        </w:rPr>
        <w:t> </w:t>
      </w:r>
      <w:r>
        <w:rPr/>
        <w:t>renovación</w:t>
      </w:r>
      <w:r>
        <w:rPr>
          <w:spacing w:val="-4"/>
        </w:rPr>
        <w:t> </w:t>
      </w:r>
      <w:r>
        <w:rPr/>
        <w:t>y</w:t>
      </w:r>
      <w:r>
        <w:rPr>
          <w:spacing w:val="-4"/>
        </w:rPr>
        <w:t> </w:t>
      </w:r>
      <w:r>
        <w:rPr/>
        <w:t>ampliación</w:t>
      </w:r>
      <w:r>
        <w:rPr>
          <w:spacing w:val="-4"/>
        </w:rPr>
        <w:t> </w:t>
      </w:r>
      <w:r>
        <w:rPr/>
        <w:t>de</w:t>
      </w:r>
      <w:r>
        <w:rPr>
          <w:spacing w:val="-4"/>
        </w:rPr>
        <w:t> </w:t>
      </w:r>
      <w:r>
        <w:rPr/>
        <w:t>los</w:t>
      </w:r>
      <w:r>
        <w:rPr>
          <w:spacing w:val="-4"/>
        </w:rPr>
        <w:t> </w:t>
      </w:r>
      <w:r>
        <w:rPr/>
        <w:t>sistemas</w:t>
      </w:r>
      <w:r>
        <w:rPr>
          <w:spacing w:val="-4"/>
        </w:rPr>
        <w:t> </w:t>
      </w:r>
      <w:r>
        <w:rPr/>
        <w:t>de</w:t>
      </w:r>
      <w:r>
        <w:rPr>
          <w:spacing w:val="-4"/>
        </w:rPr>
        <w:t> </w:t>
      </w:r>
      <w:r>
        <w:rPr/>
        <w:t>información</w:t>
      </w:r>
      <w:r>
        <w:rPr>
          <w:spacing w:val="-4"/>
        </w:rPr>
        <w:t> </w:t>
      </w:r>
      <w:r>
        <w:rPr/>
        <w:t>en 340</w:t>
      </w:r>
      <w:r>
        <w:rPr>
          <w:spacing w:val="-2"/>
        </w:rPr>
        <w:t> </w:t>
      </w:r>
      <w:r>
        <w:rPr/>
        <w:t>paradas, de</w:t>
      </w:r>
      <w:r>
        <w:rPr>
          <w:spacing w:val="-4"/>
        </w:rPr>
        <w:t> </w:t>
      </w:r>
      <w:r>
        <w:rPr/>
        <w:t>las</w:t>
      </w:r>
      <w:r>
        <w:rPr>
          <w:spacing w:val="-2"/>
        </w:rPr>
        <w:t> </w:t>
      </w:r>
      <w:r>
        <w:rPr/>
        <w:t>cuales</w:t>
      </w:r>
      <w:r>
        <w:rPr>
          <w:spacing w:val="-1"/>
        </w:rPr>
        <w:t> </w:t>
      </w:r>
      <w:r>
        <w:rPr/>
        <w:t>186</w:t>
      </w:r>
      <w:r>
        <w:rPr>
          <w:spacing w:val="-2"/>
        </w:rPr>
        <w:t> </w:t>
      </w:r>
      <w:r>
        <w:rPr/>
        <w:t>eran</w:t>
      </w:r>
      <w:r>
        <w:rPr>
          <w:spacing w:val="-2"/>
        </w:rPr>
        <w:t> </w:t>
      </w:r>
      <w:r>
        <w:rPr/>
        <w:t>sustituciones</w:t>
      </w:r>
      <w:r>
        <w:rPr>
          <w:spacing w:val="-1"/>
        </w:rPr>
        <w:t> </w:t>
      </w:r>
      <w:r>
        <w:rPr/>
        <w:t>de</w:t>
      </w:r>
      <w:r>
        <w:rPr>
          <w:spacing w:val="-2"/>
        </w:rPr>
        <w:t> </w:t>
      </w:r>
      <w:r>
        <w:rPr/>
        <w:t>pantallas</w:t>
      </w:r>
      <w:r>
        <w:rPr>
          <w:spacing w:val="-2"/>
        </w:rPr>
        <w:t> </w:t>
      </w:r>
      <w:r>
        <w:rPr/>
        <w:t>existentes, dieciséis</w:t>
      </w:r>
      <w:r>
        <w:rPr>
          <w:spacing w:val="-1"/>
        </w:rPr>
        <w:t> </w:t>
      </w:r>
      <w:r>
        <w:rPr/>
        <w:t>correspondían a</w:t>
      </w:r>
      <w:r>
        <w:rPr>
          <w:spacing w:val="-10"/>
        </w:rPr>
        <w:t> </w:t>
      </w:r>
      <w:r>
        <w:rPr/>
        <w:t>paradas</w:t>
      </w:r>
      <w:r>
        <w:rPr>
          <w:spacing w:val="-12"/>
        </w:rPr>
        <w:t> </w:t>
      </w:r>
      <w:r>
        <w:rPr/>
        <w:t>temporales</w:t>
      </w:r>
      <w:r>
        <w:rPr>
          <w:spacing w:val="-10"/>
        </w:rPr>
        <w:t> </w:t>
      </w:r>
      <w:r>
        <w:rPr/>
        <w:t>en</w:t>
      </w:r>
      <w:r>
        <w:rPr>
          <w:spacing w:val="-13"/>
        </w:rPr>
        <w:t> </w:t>
      </w:r>
      <w:r>
        <w:rPr/>
        <w:t>las</w:t>
      </w:r>
      <w:r>
        <w:rPr>
          <w:spacing w:val="-10"/>
        </w:rPr>
        <w:t> </w:t>
      </w:r>
      <w:r>
        <w:rPr/>
        <w:t>que</w:t>
      </w:r>
      <w:r>
        <w:rPr>
          <w:spacing w:val="-10"/>
        </w:rPr>
        <w:t> </w:t>
      </w:r>
      <w:r>
        <w:rPr/>
        <w:t>se</w:t>
      </w:r>
      <w:r>
        <w:rPr>
          <w:spacing w:val="-10"/>
        </w:rPr>
        <w:t> </w:t>
      </w:r>
      <w:r>
        <w:rPr/>
        <w:t>pretendía</w:t>
      </w:r>
      <w:r>
        <w:rPr>
          <w:spacing w:val="-12"/>
        </w:rPr>
        <w:t> </w:t>
      </w:r>
      <w:r>
        <w:rPr/>
        <w:t>dejar</w:t>
      </w:r>
      <w:r>
        <w:rPr>
          <w:spacing w:val="-9"/>
        </w:rPr>
        <w:t> </w:t>
      </w:r>
      <w:r>
        <w:rPr/>
        <w:t>fijo</w:t>
      </w:r>
      <w:r>
        <w:rPr>
          <w:spacing w:val="-10"/>
        </w:rPr>
        <w:t> </w:t>
      </w:r>
      <w:r>
        <w:rPr/>
        <w:t>un</w:t>
      </w:r>
      <w:r>
        <w:rPr>
          <w:spacing w:val="-11"/>
        </w:rPr>
        <w:t> </w:t>
      </w:r>
      <w:r>
        <w:rPr/>
        <w:t>poste</w:t>
      </w:r>
      <w:r>
        <w:rPr>
          <w:spacing w:val="-10"/>
        </w:rPr>
        <w:t> </w:t>
      </w:r>
      <w:r>
        <w:rPr/>
        <w:t>con</w:t>
      </w:r>
      <w:r>
        <w:rPr>
          <w:spacing w:val="-11"/>
        </w:rPr>
        <w:t> </w:t>
      </w:r>
      <w:r>
        <w:rPr/>
        <w:t>una</w:t>
      </w:r>
      <w:r>
        <w:rPr>
          <w:spacing w:val="-13"/>
        </w:rPr>
        <w:t> </w:t>
      </w:r>
      <w:r>
        <w:rPr/>
        <w:t>pantalla</w:t>
      </w:r>
      <w:r>
        <w:rPr>
          <w:spacing w:val="-10"/>
        </w:rPr>
        <w:t> </w:t>
      </w:r>
      <w:r>
        <w:rPr/>
        <w:t>y</w:t>
      </w:r>
      <w:r>
        <w:rPr>
          <w:spacing w:val="-8"/>
        </w:rPr>
        <w:t> </w:t>
      </w:r>
      <w:r>
        <w:rPr/>
        <w:t>46</w:t>
      </w:r>
      <w:r>
        <w:rPr>
          <w:spacing w:val="-11"/>
        </w:rPr>
        <w:t> </w:t>
      </w:r>
      <w:r>
        <w:rPr/>
        <w:t>eran</w:t>
      </w:r>
      <w:r>
        <w:rPr>
          <w:spacing w:val="-10"/>
        </w:rPr>
        <w:t> </w:t>
      </w:r>
      <w:r>
        <w:rPr/>
        <w:t>paradas sin instalación eléctrica y 92 correspondían a nuevas instalaciones.</w:t>
      </w:r>
    </w:p>
    <w:p>
      <w:pPr>
        <w:pStyle w:val="BodyText"/>
        <w:spacing w:before="239"/>
        <w:ind w:left="992" w:right="987"/>
        <w:jc w:val="both"/>
      </w:pPr>
      <w:r>
        <w:rPr/>
        <w:t>El contrato ha sido modificado en dos ocasiones en 2024. La primera de ellas fue como consecuencia</w:t>
      </w:r>
      <w:r>
        <w:rPr>
          <w:spacing w:val="80"/>
          <w:w w:val="150"/>
        </w:rPr>
        <w:t> </w:t>
      </w:r>
      <w:r>
        <w:rPr/>
        <w:t>de</w:t>
      </w:r>
      <w:r>
        <w:rPr>
          <w:spacing w:val="80"/>
          <w:w w:val="150"/>
        </w:rPr>
        <w:t> </w:t>
      </w:r>
      <w:r>
        <w:rPr/>
        <w:t>una</w:t>
      </w:r>
      <w:r>
        <w:rPr>
          <w:spacing w:val="80"/>
          <w:w w:val="150"/>
        </w:rPr>
        <w:t> </w:t>
      </w:r>
      <w:r>
        <w:rPr/>
        <w:t>serie</w:t>
      </w:r>
      <w:r>
        <w:rPr>
          <w:spacing w:val="80"/>
          <w:w w:val="150"/>
        </w:rPr>
        <w:t> </w:t>
      </w:r>
      <w:r>
        <w:rPr/>
        <w:t>de</w:t>
      </w:r>
      <w:r>
        <w:rPr>
          <w:spacing w:val="80"/>
          <w:w w:val="150"/>
        </w:rPr>
        <w:t> </w:t>
      </w:r>
      <w:r>
        <w:rPr/>
        <w:t>necesidades</w:t>
      </w:r>
      <w:r>
        <w:rPr>
          <w:spacing w:val="80"/>
          <w:w w:val="150"/>
        </w:rPr>
        <w:t> </w:t>
      </w:r>
      <w:r>
        <w:rPr/>
        <w:t>surgidas</w:t>
      </w:r>
      <w:r>
        <w:rPr>
          <w:spacing w:val="80"/>
          <w:w w:val="150"/>
        </w:rPr>
        <w:t> </w:t>
      </w:r>
      <w:r>
        <w:rPr/>
        <w:t>durante</w:t>
      </w:r>
      <w:r>
        <w:rPr>
          <w:spacing w:val="80"/>
          <w:w w:val="150"/>
        </w:rPr>
        <w:t> </w:t>
      </w:r>
      <w:r>
        <w:rPr/>
        <w:t>la</w:t>
      </w:r>
      <w:r>
        <w:rPr>
          <w:spacing w:val="80"/>
          <w:w w:val="150"/>
        </w:rPr>
        <w:t> </w:t>
      </w:r>
      <w:r>
        <w:rPr/>
        <w:t>ejecución</w:t>
      </w:r>
      <w:r>
        <w:rPr>
          <w:spacing w:val="80"/>
          <w:w w:val="150"/>
        </w:rPr>
        <w:t> </w:t>
      </w:r>
      <w:r>
        <w:rPr/>
        <w:t>del</w:t>
      </w:r>
      <w:r>
        <w:rPr>
          <w:spacing w:val="80"/>
          <w:w w:val="150"/>
        </w:rPr>
        <w:t> </w:t>
      </w:r>
      <w:r>
        <w:rPr/>
        <w:t>contrato</w:t>
      </w:r>
    </w:p>
    <w:p>
      <w:pPr>
        <w:pStyle w:val="BodyText"/>
        <w:ind w:left="992" w:right="986"/>
        <w:jc w:val="both"/>
      </w:pPr>
      <w:r>
        <w:rPr>
          <w:rFonts w:ascii="Symbol" w:hAnsi="Symbol"/>
        </w:rPr>
        <w:t></w:t>
      </w:r>
      <w:r>
        <w:rPr/>
        <w:t>adaptaciones a la normativa, adaptaciones por cambios de líneas, etc.</w:t>
      </w:r>
      <w:r>
        <w:rPr>
          <w:rFonts w:ascii="Symbol" w:hAnsi="Symbol"/>
        </w:rPr>
        <w:t></w:t>
      </w:r>
      <w:r>
        <w:rPr>
          <w:rFonts w:ascii="Times New Roman" w:hAnsi="Times New Roman"/>
        </w:rPr>
        <w:t> </w:t>
      </w:r>
      <w:r>
        <w:rPr/>
        <w:t>y de la ampliación de algunas unidades de obra. Esta</w:t>
      </w:r>
      <w:r>
        <w:rPr>
          <w:spacing w:val="-2"/>
        </w:rPr>
        <w:t> </w:t>
      </w:r>
      <w:r>
        <w:rPr/>
        <w:t>modificación supuso un incremento del precio de licitación del lote 1</w:t>
      </w:r>
      <w:r>
        <w:rPr>
          <w:spacing w:val="-3"/>
        </w:rPr>
        <w:t> </w:t>
      </w:r>
      <w:r>
        <w:rPr/>
        <w:t>de</w:t>
      </w:r>
      <w:r>
        <w:rPr>
          <w:spacing w:val="-3"/>
        </w:rPr>
        <w:t> </w:t>
      </w:r>
      <w:r>
        <w:rPr/>
        <w:t>334.020,52</w:t>
      </w:r>
      <w:r>
        <w:rPr>
          <w:spacing w:val="-3"/>
        </w:rPr>
        <w:t> </w:t>
      </w:r>
      <w:r>
        <w:rPr/>
        <w:t>euros</w:t>
      </w:r>
      <w:r>
        <w:rPr>
          <w:spacing w:val="-5"/>
        </w:rPr>
        <w:t> </w:t>
      </w:r>
      <w:r>
        <w:rPr/>
        <w:t>y</w:t>
      </w:r>
      <w:r>
        <w:rPr>
          <w:spacing w:val="-5"/>
        </w:rPr>
        <w:t> </w:t>
      </w:r>
      <w:r>
        <w:rPr/>
        <w:t>del</w:t>
      </w:r>
      <w:r>
        <w:rPr>
          <w:spacing w:val="-4"/>
        </w:rPr>
        <w:t> </w:t>
      </w:r>
      <w:r>
        <w:rPr/>
        <w:t>lote</w:t>
      </w:r>
      <w:r>
        <w:rPr>
          <w:spacing w:val="-2"/>
        </w:rPr>
        <w:t> </w:t>
      </w:r>
      <w:r>
        <w:rPr/>
        <w:t>2</w:t>
      </w:r>
      <w:r>
        <w:rPr>
          <w:spacing w:val="-3"/>
        </w:rPr>
        <w:t> </w:t>
      </w:r>
      <w:r>
        <w:rPr/>
        <w:t>en</w:t>
      </w:r>
      <w:r>
        <w:rPr>
          <w:spacing w:val="-3"/>
        </w:rPr>
        <w:t> </w:t>
      </w:r>
      <w:r>
        <w:rPr/>
        <w:t>116.226,35</w:t>
      </w:r>
      <w:r>
        <w:rPr>
          <w:spacing w:val="-6"/>
        </w:rPr>
        <w:t> </w:t>
      </w:r>
      <w:r>
        <w:rPr/>
        <w:t>euros,</w:t>
      </w:r>
      <w:r>
        <w:rPr>
          <w:spacing w:val="-4"/>
        </w:rPr>
        <w:t> </w:t>
      </w:r>
      <w:r>
        <w:rPr/>
        <w:t>ambos</w:t>
      </w:r>
      <w:r>
        <w:rPr>
          <w:spacing w:val="-5"/>
        </w:rPr>
        <w:t> </w:t>
      </w:r>
      <w:r>
        <w:rPr/>
        <w:t>sin</w:t>
      </w:r>
      <w:r>
        <w:rPr>
          <w:spacing w:val="-5"/>
        </w:rPr>
        <w:t> </w:t>
      </w:r>
      <w:r>
        <w:rPr/>
        <w:t>IVA.</w:t>
      </w:r>
      <w:r>
        <w:rPr>
          <w:spacing w:val="-2"/>
        </w:rPr>
        <w:t> </w:t>
      </w:r>
      <w:r>
        <w:rPr/>
        <w:t>La</w:t>
      </w:r>
      <w:r>
        <w:rPr>
          <w:spacing w:val="-6"/>
        </w:rPr>
        <w:t> </w:t>
      </w:r>
      <w:r>
        <w:rPr/>
        <w:t>segunda</w:t>
      </w:r>
      <w:r>
        <w:rPr>
          <w:spacing w:val="-3"/>
        </w:rPr>
        <w:t> </w:t>
      </w:r>
      <w:r>
        <w:rPr/>
        <w:t>consistió</w:t>
      </w:r>
      <w:r>
        <w:rPr>
          <w:spacing w:val="-3"/>
        </w:rPr>
        <w:t> </w:t>
      </w:r>
      <w:r>
        <w:rPr/>
        <w:t>en</w:t>
      </w:r>
      <w:r>
        <w:rPr>
          <w:spacing w:val="-3"/>
        </w:rPr>
        <w:t> </w:t>
      </w:r>
      <w:r>
        <w:rPr/>
        <w:t>el incremento</w:t>
      </w:r>
      <w:r>
        <w:rPr>
          <w:spacing w:val="-16"/>
        </w:rPr>
        <w:t> </w:t>
      </w:r>
      <w:r>
        <w:rPr/>
        <w:t>del</w:t>
      </w:r>
      <w:r>
        <w:rPr>
          <w:spacing w:val="-15"/>
        </w:rPr>
        <w:t> </w:t>
      </w:r>
      <w:r>
        <w:rPr/>
        <w:t>número</w:t>
      </w:r>
      <w:r>
        <w:rPr>
          <w:spacing w:val="-15"/>
        </w:rPr>
        <w:t> </w:t>
      </w:r>
      <w:r>
        <w:rPr/>
        <w:t>de</w:t>
      </w:r>
      <w:r>
        <w:rPr>
          <w:spacing w:val="-16"/>
        </w:rPr>
        <w:t> </w:t>
      </w:r>
      <w:r>
        <w:rPr/>
        <w:t>pantallas</w:t>
      </w:r>
      <w:r>
        <w:rPr>
          <w:spacing w:val="-12"/>
        </w:rPr>
        <w:t> </w:t>
      </w:r>
      <w:r>
        <w:rPr/>
        <w:t>en</w:t>
      </w:r>
      <w:r>
        <w:rPr>
          <w:spacing w:val="-16"/>
        </w:rPr>
        <w:t> </w:t>
      </w:r>
      <w:r>
        <w:rPr/>
        <w:t>marquesinas</w:t>
      </w:r>
      <w:r>
        <w:rPr>
          <w:spacing w:val="-12"/>
        </w:rPr>
        <w:t> </w:t>
      </w:r>
      <w:r>
        <w:rPr/>
        <w:t>y</w:t>
      </w:r>
      <w:r>
        <w:rPr>
          <w:spacing w:val="-14"/>
        </w:rPr>
        <w:t> </w:t>
      </w:r>
      <w:r>
        <w:rPr/>
        <w:t>en</w:t>
      </w:r>
      <w:r>
        <w:rPr>
          <w:spacing w:val="-16"/>
        </w:rPr>
        <w:t> </w:t>
      </w:r>
      <w:r>
        <w:rPr/>
        <w:t>la</w:t>
      </w:r>
      <w:r>
        <w:rPr>
          <w:spacing w:val="-15"/>
        </w:rPr>
        <w:t> </w:t>
      </w:r>
      <w:r>
        <w:rPr/>
        <w:t>instalación</w:t>
      </w:r>
      <w:r>
        <w:rPr>
          <w:spacing w:val="-14"/>
        </w:rPr>
        <w:t> </w:t>
      </w:r>
      <w:r>
        <w:rPr/>
        <w:t>de</w:t>
      </w:r>
      <w:r>
        <w:rPr>
          <w:spacing w:val="-15"/>
        </w:rPr>
        <w:t> </w:t>
      </w:r>
      <w:r>
        <w:rPr/>
        <w:t>tres</w:t>
      </w:r>
      <w:r>
        <w:rPr>
          <w:spacing w:val="-16"/>
        </w:rPr>
        <w:t> </w:t>
      </w:r>
      <w:r>
        <w:rPr/>
        <w:t>postes</w:t>
      </w:r>
      <w:r>
        <w:rPr>
          <w:spacing w:val="-15"/>
        </w:rPr>
        <w:t> </w:t>
      </w:r>
      <w:r>
        <w:rPr/>
        <w:t>que</w:t>
      </w:r>
      <w:r>
        <w:rPr>
          <w:spacing w:val="-15"/>
        </w:rPr>
        <w:t> </w:t>
      </w:r>
      <w:r>
        <w:rPr/>
        <w:t>no</w:t>
      </w:r>
      <w:r>
        <w:rPr>
          <w:spacing w:val="-16"/>
        </w:rPr>
        <w:t> </w:t>
      </w:r>
      <w:r>
        <w:rPr/>
        <w:t>habían podido</w:t>
      </w:r>
      <w:r>
        <w:rPr>
          <w:spacing w:val="-7"/>
        </w:rPr>
        <w:t> </w:t>
      </w:r>
      <w:r>
        <w:rPr/>
        <w:t>instalarse</w:t>
      </w:r>
      <w:r>
        <w:rPr>
          <w:spacing w:val="-8"/>
        </w:rPr>
        <w:t> </w:t>
      </w:r>
      <w:r>
        <w:rPr/>
        <w:t>con</w:t>
      </w:r>
      <w:r>
        <w:rPr>
          <w:spacing w:val="-9"/>
        </w:rPr>
        <w:t> </w:t>
      </w:r>
      <w:r>
        <w:rPr/>
        <w:t>anterioridad</w:t>
      </w:r>
      <w:r>
        <w:rPr>
          <w:spacing w:val="-6"/>
        </w:rPr>
        <w:t> </w:t>
      </w:r>
      <w:r>
        <w:rPr/>
        <w:t>por</w:t>
      </w:r>
      <w:r>
        <w:rPr>
          <w:spacing w:val="-10"/>
        </w:rPr>
        <w:t> </w:t>
      </w:r>
      <w:r>
        <w:rPr/>
        <w:t>razones</w:t>
      </w:r>
      <w:r>
        <w:rPr>
          <w:spacing w:val="-8"/>
        </w:rPr>
        <w:t> </w:t>
      </w:r>
      <w:r>
        <w:rPr/>
        <w:t>técnicas,</w:t>
      </w:r>
      <w:r>
        <w:rPr>
          <w:spacing w:val="-4"/>
        </w:rPr>
        <w:t> </w:t>
      </w:r>
      <w:r>
        <w:rPr/>
        <w:t>lo</w:t>
      </w:r>
      <w:r>
        <w:rPr>
          <w:spacing w:val="-9"/>
        </w:rPr>
        <w:t> </w:t>
      </w:r>
      <w:r>
        <w:rPr/>
        <w:t>que</w:t>
      </w:r>
      <w:r>
        <w:rPr>
          <w:spacing w:val="-6"/>
        </w:rPr>
        <w:t> </w:t>
      </w:r>
      <w:r>
        <w:rPr/>
        <w:t>supuso</w:t>
      </w:r>
      <w:r>
        <w:rPr>
          <w:spacing w:val="-6"/>
        </w:rPr>
        <w:t> </w:t>
      </w:r>
      <w:r>
        <w:rPr/>
        <w:t>un</w:t>
      </w:r>
      <w:r>
        <w:rPr>
          <w:spacing w:val="-9"/>
        </w:rPr>
        <w:t> </w:t>
      </w:r>
      <w:r>
        <w:rPr/>
        <w:t>incremento</w:t>
      </w:r>
      <w:r>
        <w:rPr>
          <w:spacing w:val="-9"/>
        </w:rPr>
        <w:t> </w:t>
      </w:r>
      <w:r>
        <w:rPr/>
        <w:t>del</w:t>
      </w:r>
      <w:r>
        <w:rPr>
          <w:spacing w:val="-7"/>
        </w:rPr>
        <w:t> </w:t>
      </w:r>
      <w:r>
        <w:rPr/>
        <w:t>precio</w:t>
      </w:r>
      <w:r>
        <w:rPr>
          <w:spacing w:val="-6"/>
        </w:rPr>
        <w:t> </w:t>
      </w:r>
      <w:r>
        <w:rPr/>
        <w:t>del lote 1 de 361.250,21 euros, IVA excluido. Ello ha originado un incremento en conjunto del precio inicial</w:t>
      </w:r>
      <w:r>
        <w:rPr>
          <w:spacing w:val="-4"/>
        </w:rPr>
        <w:t> </w:t>
      </w:r>
      <w:r>
        <w:rPr/>
        <w:t>de</w:t>
      </w:r>
      <w:r>
        <w:rPr>
          <w:spacing w:val="-3"/>
        </w:rPr>
        <w:t> </w:t>
      </w:r>
      <w:r>
        <w:rPr/>
        <w:t>los</w:t>
      </w:r>
      <w:r>
        <w:rPr>
          <w:spacing w:val="-3"/>
        </w:rPr>
        <w:t> </w:t>
      </w:r>
      <w:r>
        <w:rPr/>
        <w:t>dos</w:t>
      </w:r>
      <w:r>
        <w:rPr>
          <w:spacing w:val="-3"/>
        </w:rPr>
        <w:t> </w:t>
      </w:r>
      <w:r>
        <w:rPr/>
        <w:t>lotes</w:t>
      </w:r>
      <w:r>
        <w:rPr>
          <w:spacing w:val="-2"/>
        </w:rPr>
        <w:t> </w:t>
      </w:r>
      <w:r>
        <w:rPr/>
        <w:t>de</w:t>
      </w:r>
      <w:r>
        <w:rPr>
          <w:spacing w:val="-3"/>
        </w:rPr>
        <w:t> </w:t>
      </w:r>
      <w:r>
        <w:rPr/>
        <w:t>811.497,08</w:t>
      </w:r>
      <w:r>
        <w:rPr>
          <w:spacing w:val="-3"/>
        </w:rPr>
        <w:t> </w:t>
      </w:r>
      <w:r>
        <w:rPr/>
        <w:t>euros,</w:t>
      </w:r>
      <w:r>
        <w:rPr>
          <w:spacing w:val="-2"/>
        </w:rPr>
        <w:t> </w:t>
      </w:r>
      <w:r>
        <w:rPr/>
        <w:t>sin</w:t>
      </w:r>
      <w:r>
        <w:rPr>
          <w:spacing w:val="-3"/>
        </w:rPr>
        <w:t> </w:t>
      </w:r>
      <w:r>
        <w:rPr/>
        <w:t>IVA,</w:t>
      </w:r>
      <w:r>
        <w:rPr>
          <w:spacing w:val="-2"/>
        </w:rPr>
        <w:t> </w:t>
      </w:r>
      <w:r>
        <w:rPr/>
        <w:t>lo</w:t>
      </w:r>
      <w:r>
        <w:rPr>
          <w:spacing w:val="-3"/>
        </w:rPr>
        <w:t> </w:t>
      </w:r>
      <w:r>
        <w:rPr/>
        <w:t>que</w:t>
      </w:r>
      <w:r>
        <w:rPr>
          <w:spacing w:val="-3"/>
        </w:rPr>
        <w:t> </w:t>
      </w:r>
      <w:r>
        <w:rPr/>
        <w:t>representa</w:t>
      </w:r>
      <w:r>
        <w:rPr>
          <w:spacing w:val="-3"/>
        </w:rPr>
        <w:t> </w:t>
      </w:r>
      <w:r>
        <w:rPr/>
        <w:t>el</w:t>
      </w:r>
      <w:r>
        <w:rPr>
          <w:spacing w:val="-4"/>
        </w:rPr>
        <w:t> </w:t>
      </w:r>
      <w:r>
        <w:rPr/>
        <w:t>27,29</w:t>
      </w:r>
      <w:r>
        <w:rPr>
          <w:spacing w:val="-3"/>
        </w:rPr>
        <w:t> </w:t>
      </w:r>
      <w:r>
        <w:rPr/>
        <w:t>%</w:t>
      </w:r>
      <w:r>
        <w:rPr>
          <w:spacing w:val="-2"/>
        </w:rPr>
        <w:t> </w:t>
      </w:r>
      <w:r>
        <w:rPr/>
        <w:t>del</w:t>
      </w:r>
      <w:r>
        <w:rPr>
          <w:spacing w:val="-4"/>
        </w:rPr>
        <w:t> </w:t>
      </w:r>
      <w:r>
        <w:rPr/>
        <w:t>precio</w:t>
      </w:r>
      <w:r>
        <w:rPr>
          <w:spacing w:val="-3"/>
        </w:rPr>
        <w:t> </w:t>
      </w:r>
      <w:r>
        <w:rPr/>
        <w:t>inicial.</w:t>
      </w:r>
    </w:p>
    <w:p>
      <w:pPr>
        <w:pStyle w:val="BodyText"/>
        <w:spacing w:before="241"/>
        <w:ind w:left="992" w:right="987"/>
        <w:jc w:val="both"/>
      </w:pPr>
      <w:r>
        <w:rPr/>
        <w:t>El</w:t>
      </w:r>
      <w:r>
        <w:rPr>
          <w:spacing w:val="-4"/>
        </w:rPr>
        <w:t> </w:t>
      </w:r>
      <w:r>
        <w:rPr/>
        <w:t>informe</w:t>
      </w:r>
      <w:r>
        <w:rPr>
          <w:spacing w:val="-5"/>
        </w:rPr>
        <w:t> </w:t>
      </w:r>
      <w:r>
        <w:rPr/>
        <w:t>jurídico</w:t>
      </w:r>
      <w:r>
        <w:rPr>
          <w:spacing w:val="-3"/>
        </w:rPr>
        <w:t> </w:t>
      </w:r>
      <w:r>
        <w:rPr/>
        <w:t>y</w:t>
      </w:r>
      <w:r>
        <w:rPr>
          <w:spacing w:val="-3"/>
        </w:rPr>
        <w:t> </w:t>
      </w:r>
      <w:r>
        <w:rPr/>
        <w:t>el</w:t>
      </w:r>
      <w:r>
        <w:rPr>
          <w:spacing w:val="-4"/>
        </w:rPr>
        <w:t> </w:t>
      </w:r>
      <w:r>
        <w:rPr/>
        <w:t>acuerdo</w:t>
      </w:r>
      <w:r>
        <w:rPr>
          <w:spacing w:val="-3"/>
        </w:rPr>
        <w:t> </w:t>
      </w:r>
      <w:r>
        <w:rPr/>
        <w:t>de</w:t>
      </w:r>
      <w:r>
        <w:rPr>
          <w:spacing w:val="-3"/>
        </w:rPr>
        <w:t> </w:t>
      </w:r>
      <w:r>
        <w:rPr/>
        <w:t>aprobación</w:t>
      </w:r>
      <w:r>
        <w:rPr>
          <w:spacing w:val="-3"/>
        </w:rPr>
        <w:t> </w:t>
      </w:r>
      <w:r>
        <w:rPr/>
        <w:t>de</w:t>
      </w:r>
      <w:r>
        <w:rPr>
          <w:spacing w:val="-3"/>
        </w:rPr>
        <w:t> </w:t>
      </w:r>
      <w:r>
        <w:rPr/>
        <w:t>la</w:t>
      </w:r>
      <w:r>
        <w:rPr>
          <w:spacing w:val="-3"/>
        </w:rPr>
        <w:t> </w:t>
      </w:r>
      <w:r>
        <w:rPr/>
        <w:t>primera</w:t>
      </w:r>
      <w:r>
        <w:rPr>
          <w:spacing w:val="-5"/>
        </w:rPr>
        <w:t> </w:t>
      </w:r>
      <w:r>
        <w:rPr/>
        <w:t>modificación</w:t>
      </w:r>
      <w:r>
        <w:rPr>
          <w:spacing w:val="-3"/>
        </w:rPr>
        <w:t> </w:t>
      </w:r>
      <w:r>
        <w:rPr/>
        <w:t>no</w:t>
      </w:r>
      <w:r>
        <w:rPr>
          <w:spacing w:val="-3"/>
        </w:rPr>
        <w:t> </w:t>
      </w:r>
      <w:r>
        <w:rPr/>
        <w:t>se</w:t>
      </w:r>
      <w:r>
        <w:rPr>
          <w:spacing w:val="-3"/>
        </w:rPr>
        <w:t> </w:t>
      </w:r>
      <w:r>
        <w:rPr/>
        <w:t>pronunciaron</w:t>
      </w:r>
      <w:r>
        <w:rPr>
          <w:spacing w:val="-5"/>
        </w:rPr>
        <w:t> </w:t>
      </w:r>
      <w:r>
        <w:rPr/>
        <w:t>sobre si se trataban de modificaciones previstas en el pliego o al margen de este, señalando el primero de ellos que podrían tener encaje en ambas. Para la segunda modificación el informe jurídico sí calificó expresamente la modificación de aquellas no previstas en el pliego. En cualquier caso, las modificaciones</w:t>
      </w:r>
      <w:r>
        <w:rPr>
          <w:spacing w:val="24"/>
        </w:rPr>
        <w:t> </w:t>
      </w:r>
      <w:r>
        <w:rPr/>
        <w:t>tuvieron</w:t>
      </w:r>
      <w:r>
        <w:rPr>
          <w:spacing w:val="24"/>
        </w:rPr>
        <w:t> </w:t>
      </w:r>
      <w:r>
        <w:rPr/>
        <w:t>como</w:t>
      </w:r>
      <w:r>
        <w:rPr>
          <w:spacing w:val="24"/>
        </w:rPr>
        <w:t> </w:t>
      </w:r>
      <w:r>
        <w:rPr/>
        <w:t>finalidad,</w:t>
      </w:r>
      <w:r>
        <w:rPr>
          <w:spacing w:val="27"/>
        </w:rPr>
        <w:t> </w:t>
      </w:r>
      <w:r>
        <w:rPr/>
        <w:t>entre</w:t>
      </w:r>
      <w:r>
        <w:rPr>
          <w:spacing w:val="26"/>
        </w:rPr>
        <w:t> </w:t>
      </w:r>
      <w:r>
        <w:rPr/>
        <w:t>otras,</w:t>
      </w:r>
      <w:r>
        <w:rPr>
          <w:spacing w:val="27"/>
        </w:rPr>
        <w:t> </w:t>
      </w:r>
      <w:r>
        <w:rPr/>
        <w:t>la</w:t>
      </w:r>
      <w:r>
        <w:rPr>
          <w:spacing w:val="26"/>
        </w:rPr>
        <w:t> </w:t>
      </w:r>
      <w:r>
        <w:rPr/>
        <w:t>ampliación</w:t>
      </w:r>
      <w:r>
        <w:rPr>
          <w:spacing w:val="26"/>
        </w:rPr>
        <w:t> </w:t>
      </w:r>
      <w:r>
        <w:rPr/>
        <w:t>de</w:t>
      </w:r>
      <w:r>
        <w:rPr>
          <w:spacing w:val="26"/>
        </w:rPr>
        <w:t> </w:t>
      </w:r>
      <w:r>
        <w:rPr/>
        <w:t>determinadas</w:t>
      </w:r>
      <w:r>
        <w:rPr>
          <w:spacing w:val="26"/>
        </w:rPr>
        <w:t> </w:t>
      </w:r>
      <w:r>
        <w:rPr/>
        <w:t>unidades</w:t>
      </w:r>
      <w:r>
        <w:rPr>
          <w:spacing w:val="24"/>
        </w:rPr>
        <w:t> </w:t>
      </w:r>
      <w:r>
        <w:rPr/>
        <w:t>de</w:t>
      </w:r>
    </w:p>
    <w:p>
      <w:pPr>
        <w:pStyle w:val="BodyText"/>
        <w:spacing w:before="4"/>
        <w:rPr>
          <w:sz w:val="13"/>
        </w:rPr>
      </w:pPr>
      <w:r>
        <w:rPr>
          <w:sz w:val="13"/>
        </w:rPr>
        <mc:AlternateContent>
          <mc:Choice Requires="wps">
            <w:drawing>
              <wp:anchor distT="0" distB="0" distL="0" distR="0" allowOverlap="1" layoutInCell="1" locked="0" behindDoc="1" simplePos="0" relativeHeight="487613952">
                <wp:simplePos x="0" y="0"/>
                <wp:positionH relativeFrom="page">
                  <wp:posOffset>719632</wp:posOffset>
                </wp:positionH>
                <wp:positionV relativeFrom="paragraph">
                  <wp:posOffset>113181</wp:posOffset>
                </wp:positionV>
                <wp:extent cx="1829435" cy="9525"/>
                <wp:effectExtent l="0" t="0" r="0" b="0"/>
                <wp:wrapTopAndBottom/>
                <wp:docPr id="178" name="Graphic 178"/>
                <wp:cNvGraphicFramePr>
                  <a:graphicFrameLocks/>
                </wp:cNvGraphicFramePr>
                <a:graphic>
                  <a:graphicData uri="http://schemas.microsoft.com/office/word/2010/wordprocessingShape">
                    <wps:wsp>
                      <wps:cNvPr id="178" name="Graphic 178"/>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8.911924pt;width:144.020pt;height:.71997pt;mso-position-horizontal-relative:page;mso-position-vertical-relative:paragraph;z-index:-15702528;mso-wrap-distance-left:0;mso-wrap-distance-right:0" id="docshape160" filled="true" fillcolor="#000000" stroked="false">
                <v:fill type="solid"/>
                <w10:wrap type="topAndBottom"/>
              </v:rect>
            </w:pict>
          </mc:Fallback>
        </mc:AlternateContent>
      </w:r>
    </w:p>
    <w:p>
      <w:pPr>
        <w:spacing w:before="118"/>
        <w:ind w:left="992" w:right="0" w:firstLine="0"/>
        <w:jc w:val="both"/>
        <w:rPr>
          <w:sz w:val="18"/>
        </w:rPr>
      </w:pPr>
      <w:bookmarkStart w:name="_bookmark77" w:id="79"/>
      <w:bookmarkEnd w:id="79"/>
      <w:r>
        <w:rPr/>
      </w:r>
      <w:r>
        <w:rPr>
          <w:position w:val="6"/>
          <w:sz w:val="12"/>
        </w:rPr>
        <w:t>50</w:t>
      </w:r>
      <w:r>
        <w:rPr>
          <w:spacing w:val="11"/>
          <w:position w:val="6"/>
          <w:sz w:val="12"/>
        </w:rPr>
        <w:t> </w:t>
      </w:r>
      <w:r>
        <w:rPr>
          <w:sz w:val="18"/>
        </w:rPr>
        <w:t>Conjunto</w:t>
      </w:r>
      <w:r>
        <w:rPr>
          <w:spacing w:val="-3"/>
          <w:sz w:val="18"/>
        </w:rPr>
        <w:t> </w:t>
      </w:r>
      <w:r>
        <w:rPr>
          <w:sz w:val="18"/>
        </w:rPr>
        <w:t>de</w:t>
      </w:r>
      <w:r>
        <w:rPr>
          <w:spacing w:val="-3"/>
          <w:sz w:val="18"/>
        </w:rPr>
        <w:t> </w:t>
      </w:r>
      <w:r>
        <w:rPr>
          <w:sz w:val="18"/>
        </w:rPr>
        <w:t>pantallas</w:t>
      </w:r>
      <w:r>
        <w:rPr>
          <w:spacing w:val="-2"/>
          <w:sz w:val="18"/>
        </w:rPr>
        <w:t> </w:t>
      </w:r>
      <w:r>
        <w:rPr>
          <w:sz w:val="18"/>
        </w:rPr>
        <w:t>independientes</w:t>
      </w:r>
      <w:r>
        <w:rPr>
          <w:spacing w:val="-5"/>
          <w:sz w:val="18"/>
        </w:rPr>
        <w:t> </w:t>
      </w:r>
      <w:r>
        <w:rPr>
          <w:sz w:val="18"/>
        </w:rPr>
        <w:t>que</w:t>
      </w:r>
      <w:r>
        <w:rPr>
          <w:spacing w:val="-5"/>
          <w:sz w:val="18"/>
        </w:rPr>
        <w:t> </w:t>
      </w:r>
      <w:r>
        <w:rPr>
          <w:sz w:val="18"/>
        </w:rPr>
        <w:t>trabajan</w:t>
      </w:r>
      <w:r>
        <w:rPr>
          <w:spacing w:val="-4"/>
          <w:sz w:val="18"/>
        </w:rPr>
        <w:t> </w:t>
      </w:r>
      <w:r>
        <w:rPr>
          <w:sz w:val="18"/>
        </w:rPr>
        <w:t>de</w:t>
      </w:r>
      <w:r>
        <w:rPr>
          <w:spacing w:val="-5"/>
          <w:sz w:val="18"/>
        </w:rPr>
        <w:t> </w:t>
      </w:r>
      <w:r>
        <w:rPr>
          <w:sz w:val="18"/>
        </w:rPr>
        <w:t>manera</w:t>
      </w:r>
      <w:r>
        <w:rPr>
          <w:spacing w:val="-3"/>
          <w:sz w:val="18"/>
        </w:rPr>
        <w:t> </w:t>
      </w:r>
      <w:r>
        <w:rPr>
          <w:sz w:val="18"/>
        </w:rPr>
        <w:t>sincronizada</w:t>
      </w:r>
      <w:r>
        <w:rPr>
          <w:spacing w:val="-3"/>
          <w:sz w:val="18"/>
        </w:rPr>
        <w:t> </w:t>
      </w:r>
      <w:r>
        <w:rPr>
          <w:sz w:val="18"/>
        </w:rPr>
        <w:t>para</w:t>
      </w:r>
      <w:r>
        <w:rPr>
          <w:spacing w:val="-3"/>
          <w:sz w:val="18"/>
        </w:rPr>
        <w:t> </w:t>
      </w:r>
      <w:r>
        <w:rPr>
          <w:sz w:val="18"/>
        </w:rPr>
        <w:t>mostrar</w:t>
      </w:r>
      <w:r>
        <w:rPr>
          <w:spacing w:val="-5"/>
          <w:sz w:val="18"/>
        </w:rPr>
        <w:t> </w:t>
      </w:r>
      <w:r>
        <w:rPr>
          <w:sz w:val="18"/>
        </w:rPr>
        <w:t>un</w:t>
      </w:r>
      <w:r>
        <w:rPr>
          <w:spacing w:val="-3"/>
          <w:sz w:val="18"/>
        </w:rPr>
        <w:t> </w:t>
      </w:r>
      <w:r>
        <w:rPr>
          <w:sz w:val="18"/>
        </w:rPr>
        <w:t>contenido</w:t>
      </w:r>
      <w:r>
        <w:rPr>
          <w:spacing w:val="-5"/>
          <w:sz w:val="18"/>
        </w:rPr>
        <w:t> </w:t>
      </w:r>
      <w:r>
        <w:rPr>
          <w:spacing w:val="-2"/>
          <w:sz w:val="18"/>
        </w:rPr>
        <w:t>unificado.</w:t>
      </w:r>
    </w:p>
    <w:p>
      <w:pPr>
        <w:spacing w:before="12"/>
        <w:ind w:left="992" w:right="989" w:firstLine="0"/>
        <w:jc w:val="both"/>
        <w:rPr>
          <w:sz w:val="18"/>
        </w:rPr>
      </w:pPr>
      <w:bookmarkStart w:name="_bookmark78" w:id="80"/>
      <w:bookmarkEnd w:id="80"/>
      <w:r>
        <w:rPr/>
      </w:r>
      <w:r>
        <w:rPr>
          <w:position w:val="6"/>
          <w:sz w:val="12"/>
        </w:rPr>
        <w:t>51</w:t>
      </w:r>
      <w:r>
        <w:rPr>
          <w:spacing w:val="40"/>
          <w:position w:val="6"/>
          <w:sz w:val="12"/>
        </w:rPr>
        <w:t> </w:t>
      </w:r>
      <w:r>
        <w:rPr>
          <w:sz w:val="18"/>
        </w:rPr>
        <w:t>El lote segundo de este expediente contractual se realiza en ejecución de la actuación “Paradas y marquesinas inteligentes” del proyecto INNOBUS TUR. Este proyecto se lleva a cabo por la entidad en agrupación con los Ayuntamientos Donostia/ San Sebastián, Las Palmas de Gran Canaria y Palma Para una mayor comprensión de esta actuación se ha abordado el análisis conjunto de los dos lotes que conforman el expediente contractual, agrupando importes y financiación.</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84"/>
        <w:jc w:val="both"/>
      </w:pPr>
      <w:r>
        <w:rPr/>
        <w:t>obras</w:t>
      </w:r>
      <w:r>
        <w:rPr>
          <w:spacing w:val="-11"/>
        </w:rPr>
        <w:t> </w:t>
      </w:r>
      <w:r>
        <w:rPr/>
        <w:t>y</w:t>
      </w:r>
      <w:r>
        <w:rPr>
          <w:spacing w:val="-13"/>
        </w:rPr>
        <w:t> </w:t>
      </w:r>
      <w:r>
        <w:rPr/>
        <w:t>dotar</w:t>
      </w:r>
      <w:r>
        <w:rPr>
          <w:spacing w:val="-13"/>
        </w:rPr>
        <w:t> </w:t>
      </w:r>
      <w:r>
        <w:rPr/>
        <w:t>de</w:t>
      </w:r>
      <w:r>
        <w:rPr>
          <w:spacing w:val="-12"/>
        </w:rPr>
        <w:t> </w:t>
      </w:r>
      <w:r>
        <w:rPr/>
        <w:t>pantallas</w:t>
      </w:r>
      <w:r>
        <w:rPr>
          <w:spacing w:val="-11"/>
        </w:rPr>
        <w:t> </w:t>
      </w:r>
      <w:r>
        <w:rPr/>
        <w:t>a</w:t>
      </w:r>
      <w:r>
        <w:rPr>
          <w:spacing w:val="-11"/>
        </w:rPr>
        <w:t> </w:t>
      </w:r>
      <w:r>
        <w:rPr/>
        <w:t>doble</w:t>
      </w:r>
      <w:r>
        <w:rPr>
          <w:spacing w:val="-14"/>
        </w:rPr>
        <w:t> </w:t>
      </w:r>
      <w:r>
        <w:rPr/>
        <w:t>cara</w:t>
      </w:r>
      <w:r>
        <w:rPr>
          <w:spacing w:val="-13"/>
        </w:rPr>
        <w:t> </w:t>
      </w:r>
      <w:r>
        <w:rPr/>
        <w:t>los</w:t>
      </w:r>
      <w:r>
        <w:rPr>
          <w:spacing w:val="-11"/>
        </w:rPr>
        <w:t> </w:t>
      </w:r>
      <w:r>
        <w:rPr/>
        <w:t>postes</w:t>
      </w:r>
      <w:r>
        <w:rPr>
          <w:spacing w:val="-16"/>
        </w:rPr>
        <w:t> </w:t>
      </w:r>
      <w:r>
        <w:rPr/>
        <w:t>provisionales</w:t>
      </w:r>
      <w:r>
        <w:rPr>
          <w:spacing w:val="-10"/>
        </w:rPr>
        <w:t> </w:t>
      </w:r>
      <w:r>
        <w:rPr/>
        <w:t>para</w:t>
      </w:r>
      <w:r>
        <w:rPr>
          <w:spacing w:val="-14"/>
        </w:rPr>
        <w:t> </w:t>
      </w:r>
      <w:r>
        <w:rPr/>
        <w:t>mejorar</w:t>
      </w:r>
      <w:r>
        <w:rPr>
          <w:spacing w:val="-10"/>
        </w:rPr>
        <w:t> </w:t>
      </w:r>
      <w:r>
        <w:rPr/>
        <w:t>su</w:t>
      </w:r>
      <w:r>
        <w:rPr>
          <w:spacing w:val="-14"/>
        </w:rPr>
        <w:t> </w:t>
      </w:r>
      <w:r>
        <w:rPr/>
        <w:t>visibilidad,</w:t>
      </w:r>
      <w:r>
        <w:rPr>
          <w:spacing w:val="-10"/>
        </w:rPr>
        <w:t> </w:t>
      </w:r>
      <w:r>
        <w:rPr/>
        <w:t>respecto de las que no se justificó suficientemente que se derivaran de circunstancias sobrevenidas ni que no pudieran haberse</w:t>
      </w:r>
      <w:r>
        <w:rPr>
          <w:spacing w:val="-2"/>
        </w:rPr>
        <w:t> </w:t>
      </w:r>
      <w:r>
        <w:rPr/>
        <w:t>incluido en el</w:t>
      </w:r>
      <w:r>
        <w:rPr>
          <w:spacing w:val="-1"/>
        </w:rPr>
        <w:t> </w:t>
      </w:r>
      <w:r>
        <w:rPr/>
        <w:t>contrato inicial. Además, al</w:t>
      </w:r>
      <w:r>
        <w:rPr>
          <w:spacing w:val="-1"/>
        </w:rPr>
        <w:t> </w:t>
      </w:r>
      <w:r>
        <w:rPr/>
        <w:t>ampliar el</w:t>
      </w:r>
      <w:r>
        <w:rPr>
          <w:spacing w:val="-1"/>
        </w:rPr>
        <w:t> </w:t>
      </w:r>
      <w:r>
        <w:rPr/>
        <w:t>número</w:t>
      </w:r>
      <w:r>
        <w:rPr>
          <w:spacing w:val="-2"/>
        </w:rPr>
        <w:t> </w:t>
      </w:r>
      <w:r>
        <w:rPr/>
        <w:t>de pantallas y</w:t>
      </w:r>
      <w:r>
        <w:rPr>
          <w:spacing w:val="-2"/>
        </w:rPr>
        <w:t> </w:t>
      </w:r>
      <w:r>
        <w:rPr/>
        <w:t>no ser posible que el contratista pudiera fabricarlas e instalarlas antes de que concluyera 2024, se decidió modificar el tipo de pantallas a instalar por otras que tenía disponibles el contratista</w:t>
      </w:r>
      <w:hyperlink w:history="true" w:anchor="_bookmark79">
        <w:r>
          <w:rPr>
            <w:vertAlign w:val="superscript"/>
          </w:rPr>
          <w:t>52</w:t>
        </w:r>
        <w:r>
          <w:rPr>
            <w:vertAlign w:val="baseline"/>
          </w:rPr>
          <w:t>.</w:t>
        </w:r>
      </w:hyperlink>
    </w:p>
    <w:p>
      <w:pPr>
        <w:pStyle w:val="BodyText"/>
        <w:spacing w:before="240"/>
        <w:ind w:left="992" w:right="984"/>
        <w:jc w:val="both"/>
      </w:pPr>
      <w:r>
        <w:rPr/>
        <w:t>La</w:t>
      </w:r>
      <w:r>
        <w:rPr>
          <w:spacing w:val="-4"/>
        </w:rPr>
        <w:t> </w:t>
      </w:r>
      <w:r>
        <w:rPr/>
        <w:t>actuación</w:t>
      </w:r>
      <w:r>
        <w:rPr>
          <w:spacing w:val="-4"/>
        </w:rPr>
        <w:t> </w:t>
      </w:r>
      <w:r>
        <w:rPr/>
        <w:t>no</w:t>
      </w:r>
      <w:r>
        <w:rPr>
          <w:spacing w:val="-7"/>
        </w:rPr>
        <w:t> </w:t>
      </w:r>
      <w:r>
        <w:rPr/>
        <w:t>había</w:t>
      </w:r>
      <w:r>
        <w:rPr>
          <w:spacing w:val="-5"/>
        </w:rPr>
        <w:t> </w:t>
      </w:r>
      <w:r>
        <w:rPr/>
        <w:t>concluido</w:t>
      </w:r>
      <w:r>
        <w:rPr>
          <w:spacing w:val="-4"/>
        </w:rPr>
        <w:t> </w:t>
      </w:r>
      <w:r>
        <w:rPr/>
        <w:t>en</w:t>
      </w:r>
      <w:r>
        <w:rPr>
          <w:spacing w:val="-4"/>
        </w:rPr>
        <w:t> </w:t>
      </w:r>
      <w:r>
        <w:rPr/>
        <w:t>el</w:t>
      </w:r>
      <w:r>
        <w:rPr>
          <w:spacing w:val="-5"/>
        </w:rPr>
        <w:t> </w:t>
      </w:r>
      <w:r>
        <w:rPr/>
        <w:t>plazo</w:t>
      </w:r>
      <w:r>
        <w:rPr>
          <w:spacing w:val="-7"/>
        </w:rPr>
        <w:t> </w:t>
      </w:r>
      <w:r>
        <w:rPr/>
        <w:t>estipulado</w:t>
      </w:r>
      <w:r>
        <w:rPr>
          <w:spacing w:val="-4"/>
        </w:rPr>
        <w:t> </w:t>
      </w:r>
      <w:r>
        <w:rPr/>
        <w:t>ante</w:t>
      </w:r>
      <w:r>
        <w:rPr>
          <w:spacing w:val="-6"/>
        </w:rPr>
        <w:t> </w:t>
      </w:r>
      <w:r>
        <w:rPr/>
        <w:t>el</w:t>
      </w:r>
      <w:r>
        <w:rPr>
          <w:spacing w:val="-7"/>
        </w:rPr>
        <w:t> </w:t>
      </w:r>
      <w:r>
        <w:rPr/>
        <w:t>MITMA,</w:t>
      </w:r>
      <w:r>
        <w:rPr>
          <w:spacing w:val="-5"/>
        </w:rPr>
        <w:t> </w:t>
      </w:r>
      <w:r>
        <w:rPr/>
        <w:t>por</w:t>
      </w:r>
      <w:r>
        <w:rPr>
          <w:spacing w:val="-3"/>
        </w:rPr>
        <w:t> </w:t>
      </w:r>
      <w:r>
        <w:rPr/>
        <w:t>lo</w:t>
      </w:r>
      <w:r>
        <w:rPr>
          <w:spacing w:val="-6"/>
        </w:rPr>
        <w:t> </w:t>
      </w:r>
      <w:r>
        <w:rPr/>
        <w:t>que</w:t>
      </w:r>
      <w:r>
        <w:rPr>
          <w:spacing w:val="-4"/>
        </w:rPr>
        <w:t> </w:t>
      </w:r>
      <w:r>
        <w:rPr/>
        <w:t>la</w:t>
      </w:r>
      <w:r>
        <w:rPr>
          <w:spacing w:val="-6"/>
        </w:rPr>
        <w:t> </w:t>
      </w:r>
      <w:r>
        <w:rPr/>
        <w:t>entidad</w:t>
      </w:r>
      <w:r>
        <w:rPr>
          <w:spacing w:val="-6"/>
        </w:rPr>
        <w:t> </w:t>
      </w:r>
      <w:r>
        <w:rPr/>
        <w:t>solicitó ampliación de plazo hasta diciembre de 2024, aduciendo que el inicio de la ejecución del contrato se vio imposibilitado por</w:t>
      </w:r>
      <w:r>
        <w:rPr>
          <w:spacing w:val="-1"/>
        </w:rPr>
        <w:t> </w:t>
      </w:r>
      <w:r>
        <w:rPr/>
        <w:t>problemas ajenos e imprevisibles a las partes (el</w:t>
      </w:r>
      <w:r>
        <w:rPr>
          <w:spacing w:val="-1"/>
        </w:rPr>
        <w:t> </w:t>
      </w:r>
      <w:r>
        <w:rPr/>
        <w:t>contrato se formalizó en diciembre de 2022 pero su ejecución no se inició hasta pasados casi seis meses), ampliación que fue concedida. El contrato se recepcionó el 30 de diciembre de 2024.</w:t>
      </w:r>
    </w:p>
    <w:p>
      <w:pPr>
        <w:pStyle w:val="BodyText"/>
        <w:spacing w:line="242" w:lineRule="auto" w:before="240"/>
        <w:ind w:left="992" w:right="987"/>
        <w:jc w:val="both"/>
      </w:pPr>
      <w:r>
        <w:rPr/>
        <w:t>La segunda actuación acometida por el </w:t>
      </w:r>
      <w:r>
        <w:rPr>
          <w:b/>
        </w:rPr>
        <w:t>Ayuntamiento de Málaga </w:t>
      </w:r>
      <w:r>
        <w:rPr/>
        <w:t>fue la implantación en la aplicación de la empresa municipal de un sistema de información para usuarios con necesidades específicas, consistente en la implantación en las paradas de un código que permitiera al usuario con</w:t>
      </w:r>
      <w:r>
        <w:rPr>
          <w:spacing w:val="-4"/>
        </w:rPr>
        <w:t> </w:t>
      </w:r>
      <w:r>
        <w:rPr/>
        <w:t>discapacidad</w:t>
      </w:r>
      <w:r>
        <w:rPr>
          <w:spacing w:val="-7"/>
        </w:rPr>
        <w:t> </w:t>
      </w:r>
      <w:r>
        <w:rPr/>
        <w:t>acceder,</w:t>
      </w:r>
      <w:r>
        <w:rPr>
          <w:spacing w:val="-7"/>
        </w:rPr>
        <w:t> </w:t>
      </w:r>
      <w:r>
        <w:rPr/>
        <w:t>mediante</w:t>
      </w:r>
      <w:r>
        <w:rPr>
          <w:spacing w:val="-6"/>
        </w:rPr>
        <w:t> </w:t>
      </w:r>
      <w:r>
        <w:rPr/>
        <w:t>su</w:t>
      </w:r>
      <w:r>
        <w:rPr>
          <w:spacing w:val="-6"/>
        </w:rPr>
        <w:t> </w:t>
      </w:r>
      <w:r>
        <w:rPr/>
        <w:t>dispositivo</w:t>
      </w:r>
      <w:r>
        <w:rPr>
          <w:spacing w:val="-6"/>
        </w:rPr>
        <w:t> </w:t>
      </w:r>
      <w:r>
        <w:rPr/>
        <w:t>móvil,</w:t>
      </w:r>
      <w:r>
        <w:rPr>
          <w:spacing w:val="-5"/>
        </w:rPr>
        <w:t> </w:t>
      </w:r>
      <w:r>
        <w:rPr/>
        <w:t>a</w:t>
      </w:r>
      <w:r>
        <w:rPr>
          <w:spacing w:val="-6"/>
        </w:rPr>
        <w:t> </w:t>
      </w:r>
      <w:r>
        <w:rPr/>
        <w:t>la</w:t>
      </w:r>
      <w:r>
        <w:rPr>
          <w:spacing w:val="-4"/>
        </w:rPr>
        <w:t> </w:t>
      </w:r>
      <w:r>
        <w:rPr/>
        <w:t>información</w:t>
      </w:r>
      <w:r>
        <w:rPr>
          <w:spacing w:val="-3"/>
        </w:rPr>
        <w:t> </w:t>
      </w:r>
      <w:r>
        <w:rPr/>
        <w:t>de</w:t>
      </w:r>
      <w:r>
        <w:rPr>
          <w:spacing w:val="-6"/>
        </w:rPr>
        <w:t> </w:t>
      </w:r>
      <w:r>
        <w:rPr/>
        <w:t>la</w:t>
      </w:r>
      <w:r>
        <w:rPr>
          <w:spacing w:val="-6"/>
        </w:rPr>
        <w:t> </w:t>
      </w:r>
      <w:r>
        <w:rPr/>
        <w:t>parada</w:t>
      </w:r>
      <w:r>
        <w:rPr>
          <w:spacing w:val="-9"/>
        </w:rPr>
        <w:t> </w:t>
      </w:r>
      <w:r>
        <w:rPr/>
        <w:t>mediante</w:t>
      </w:r>
      <w:r>
        <w:rPr>
          <w:spacing w:val="-9"/>
        </w:rPr>
        <w:t> </w:t>
      </w:r>
      <w:r>
        <w:rPr/>
        <w:t>la explicación por voz. Esta actuación también comprendía el rediseño de la información en las paradas: nueva señalética en las marquesinas que incluía pictogramas relacionadas con cada parada para facilitar la identificación de estas y reorganización de la información mostrada en las paradas mejorando la accesibilidad de colectivos especiales, como las personas autistas, en el marco de lo dispuesto en la Ley de accesibilidad</w:t>
      </w:r>
      <w:hyperlink w:history="true" w:anchor="_bookmark80">
        <w:r>
          <w:rPr>
            <w:vertAlign w:val="superscript"/>
          </w:rPr>
          <w:t>53</w:t>
        </w:r>
      </w:hyperlink>
      <w:r>
        <w:rPr>
          <w:vertAlign w:val="baseline"/>
        </w:rPr>
        <w:t>. Para la ejecución de esta actuación la entidad ha tramitado en los ejercicios fiscalizados</w:t>
      </w:r>
      <w:hyperlink w:history="true" w:anchor="_bookmark81">
        <w:r>
          <w:rPr>
            <w:vertAlign w:val="superscript"/>
          </w:rPr>
          <w:t>54</w:t>
        </w:r>
      </w:hyperlink>
      <w:r>
        <w:rPr>
          <w:vertAlign w:val="baseline"/>
        </w:rPr>
        <w:t> cuatro contratos, tres de ellos menores, por importe conjunto de 57.655,00 euros, IVA excluido, que están concluidos. El cuarto, de diseño de la señalización a través de pictogramas, por importe de 45.450,00 euros, sin IVA, fue modificado, incrementando su importe en 2.750,00 euros. La modificación se fundamentó en la necesidad de incluir en</w:t>
      </w:r>
      <w:r>
        <w:rPr>
          <w:spacing w:val="-1"/>
          <w:vertAlign w:val="baseline"/>
        </w:rPr>
        <w:t> </w:t>
      </w:r>
      <w:r>
        <w:rPr>
          <w:vertAlign w:val="baseline"/>
        </w:rPr>
        <w:t>el</w:t>
      </w:r>
      <w:r>
        <w:rPr>
          <w:spacing w:val="-2"/>
          <w:vertAlign w:val="baseline"/>
        </w:rPr>
        <w:t> </w:t>
      </w:r>
      <w:r>
        <w:rPr>
          <w:vertAlign w:val="baseline"/>
        </w:rPr>
        <w:t>diseño de cada</w:t>
      </w:r>
      <w:r>
        <w:rPr>
          <w:spacing w:val="-1"/>
          <w:vertAlign w:val="baseline"/>
        </w:rPr>
        <w:t> </w:t>
      </w:r>
      <w:r>
        <w:rPr>
          <w:vertAlign w:val="baseline"/>
        </w:rPr>
        <w:t>una</w:t>
      </w:r>
      <w:r>
        <w:rPr>
          <w:spacing w:val="-1"/>
          <w:vertAlign w:val="baseline"/>
        </w:rPr>
        <w:t> </w:t>
      </w:r>
      <w:r>
        <w:rPr>
          <w:vertAlign w:val="baseline"/>
        </w:rPr>
        <w:t>de</w:t>
      </w:r>
      <w:r>
        <w:rPr>
          <w:spacing w:val="-1"/>
          <w:vertAlign w:val="baseline"/>
        </w:rPr>
        <w:t> </w:t>
      </w:r>
      <w:r>
        <w:rPr>
          <w:vertAlign w:val="baseline"/>
        </w:rPr>
        <w:t>las</w:t>
      </w:r>
      <w:r>
        <w:rPr>
          <w:spacing w:val="-1"/>
          <w:vertAlign w:val="baseline"/>
        </w:rPr>
        <w:t> </w:t>
      </w:r>
      <w:r>
        <w:rPr>
          <w:vertAlign w:val="baseline"/>
        </w:rPr>
        <w:t>paradas, además</w:t>
      </w:r>
      <w:r>
        <w:rPr>
          <w:spacing w:val="-1"/>
          <w:vertAlign w:val="baseline"/>
        </w:rPr>
        <w:t> </w:t>
      </w:r>
      <w:r>
        <w:rPr>
          <w:vertAlign w:val="baseline"/>
        </w:rPr>
        <w:t>del</w:t>
      </w:r>
      <w:r>
        <w:rPr>
          <w:spacing w:val="-1"/>
          <w:vertAlign w:val="baseline"/>
        </w:rPr>
        <w:t> </w:t>
      </w:r>
      <w:r>
        <w:rPr>
          <w:vertAlign w:val="baseline"/>
        </w:rPr>
        <w:t>pictograma</w:t>
      </w:r>
      <w:r>
        <w:rPr>
          <w:spacing w:val="-3"/>
          <w:vertAlign w:val="baseline"/>
        </w:rPr>
        <w:t> </w:t>
      </w:r>
      <w:r>
        <w:rPr>
          <w:vertAlign w:val="baseline"/>
        </w:rPr>
        <w:t>el</w:t>
      </w:r>
      <w:r>
        <w:rPr>
          <w:spacing w:val="-2"/>
          <w:vertAlign w:val="baseline"/>
        </w:rPr>
        <w:t> </w:t>
      </w:r>
      <w:r>
        <w:rPr>
          <w:vertAlign w:val="baseline"/>
        </w:rPr>
        <w:t>nombre</w:t>
      </w:r>
      <w:r>
        <w:rPr>
          <w:spacing w:val="-3"/>
          <w:vertAlign w:val="baseline"/>
        </w:rPr>
        <w:t> </w:t>
      </w:r>
      <w:r>
        <w:rPr>
          <w:vertAlign w:val="baseline"/>
        </w:rPr>
        <w:t>de</w:t>
      </w:r>
      <w:r>
        <w:rPr>
          <w:spacing w:val="-1"/>
          <w:vertAlign w:val="baseline"/>
        </w:rPr>
        <w:t> </w:t>
      </w:r>
      <w:r>
        <w:rPr>
          <w:vertAlign w:val="baseline"/>
        </w:rPr>
        <w:t>la</w:t>
      </w:r>
      <w:r>
        <w:rPr>
          <w:spacing w:val="-1"/>
          <w:vertAlign w:val="baseline"/>
        </w:rPr>
        <w:t> </w:t>
      </w:r>
      <w:r>
        <w:rPr>
          <w:vertAlign w:val="baseline"/>
        </w:rPr>
        <w:t>parada, lo que evidencia que inicialmente el diseño de las paradas no fue suficientemente definido</w:t>
      </w:r>
      <w:hyperlink w:history="true" w:anchor="_bookmark82">
        <w:r>
          <w:rPr>
            <w:vertAlign w:val="superscript"/>
          </w:rPr>
          <w:t>55</w:t>
        </w:r>
        <w:r>
          <w:rPr>
            <w:vertAlign w:val="baseline"/>
          </w:rPr>
          <w:t>.</w:t>
        </w:r>
      </w:hyperlink>
    </w:p>
    <w:p>
      <w:pPr>
        <w:pStyle w:val="BodyText"/>
        <w:spacing w:before="219"/>
        <w:ind w:left="992" w:right="984"/>
        <w:jc w:val="both"/>
      </w:pPr>
      <w:r>
        <w:rPr/>
        <w:t>Como se ha indicado en el Subapartado II.1 de este Informe, el </w:t>
      </w:r>
      <w:r>
        <w:rPr>
          <w:b/>
        </w:rPr>
        <w:t>Ayuntamiento de Murcia </w:t>
      </w:r>
      <w:r>
        <w:rPr/>
        <w:t>aprobó en</w:t>
      </w:r>
      <w:r>
        <w:rPr>
          <w:spacing w:val="-6"/>
        </w:rPr>
        <w:t> </w:t>
      </w:r>
      <w:r>
        <w:rPr/>
        <w:t>enero</w:t>
      </w:r>
      <w:r>
        <w:rPr>
          <w:spacing w:val="-7"/>
        </w:rPr>
        <w:t> </w:t>
      </w:r>
      <w:r>
        <w:rPr/>
        <w:t>de</w:t>
      </w:r>
      <w:r>
        <w:rPr>
          <w:spacing w:val="-8"/>
        </w:rPr>
        <w:t> </w:t>
      </w:r>
      <w:r>
        <w:rPr/>
        <w:t>2022</w:t>
      </w:r>
      <w:r>
        <w:rPr>
          <w:spacing w:val="-8"/>
        </w:rPr>
        <w:t> </w:t>
      </w:r>
      <w:r>
        <w:rPr/>
        <w:t>el</w:t>
      </w:r>
      <w:r>
        <w:rPr>
          <w:spacing w:val="-9"/>
        </w:rPr>
        <w:t> </w:t>
      </w:r>
      <w:r>
        <w:rPr/>
        <w:t>proyecto</w:t>
      </w:r>
      <w:r>
        <w:rPr>
          <w:spacing w:val="-7"/>
        </w:rPr>
        <w:t> </w:t>
      </w:r>
      <w:r>
        <w:rPr/>
        <w:t>de</w:t>
      </w:r>
      <w:r>
        <w:rPr>
          <w:spacing w:val="-7"/>
        </w:rPr>
        <w:t> </w:t>
      </w:r>
      <w:r>
        <w:rPr/>
        <w:t>servicio</w:t>
      </w:r>
      <w:r>
        <w:rPr>
          <w:spacing w:val="-8"/>
        </w:rPr>
        <w:t> </w:t>
      </w:r>
      <w:r>
        <w:rPr/>
        <w:t>de</w:t>
      </w:r>
      <w:r>
        <w:rPr>
          <w:spacing w:val="-8"/>
        </w:rPr>
        <w:t> </w:t>
      </w:r>
      <w:r>
        <w:rPr/>
        <w:t>la</w:t>
      </w:r>
      <w:r>
        <w:rPr>
          <w:spacing w:val="-6"/>
        </w:rPr>
        <w:t> </w:t>
      </w:r>
      <w:r>
        <w:rPr/>
        <w:t>nueva</w:t>
      </w:r>
      <w:r>
        <w:rPr>
          <w:spacing w:val="-8"/>
        </w:rPr>
        <w:t> </w:t>
      </w:r>
      <w:r>
        <w:rPr/>
        <w:t>red</w:t>
      </w:r>
      <w:r>
        <w:rPr>
          <w:spacing w:val="-8"/>
        </w:rPr>
        <w:t> </w:t>
      </w:r>
      <w:r>
        <w:rPr/>
        <w:t>de</w:t>
      </w:r>
      <w:r>
        <w:rPr>
          <w:spacing w:val="-8"/>
        </w:rPr>
        <w:t> </w:t>
      </w:r>
      <w:r>
        <w:rPr/>
        <w:t>transporte</w:t>
      </w:r>
      <w:r>
        <w:rPr>
          <w:spacing w:val="-8"/>
        </w:rPr>
        <w:t> </w:t>
      </w:r>
      <w:r>
        <w:rPr/>
        <w:t>público</w:t>
      </w:r>
      <w:r>
        <w:rPr>
          <w:spacing w:val="-6"/>
        </w:rPr>
        <w:t> </w:t>
      </w:r>
      <w:r>
        <w:rPr/>
        <w:t>colectivo</w:t>
      </w:r>
      <w:r>
        <w:rPr>
          <w:spacing w:val="-6"/>
        </w:rPr>
        <w:t> </w:t>
      </w:r>
      <w:r>
        <w:rPr/>
        <w:t>en</w:t>
      </w:r>
      <w:r>
        <w:rPr>
          <w:spacing w:val="-8"/>
        </w:rPr>
        <w:t> </w:t>
      </w:r>
      <w:r>
        <w:rPr/>
        <w:t>autobús urbano para unificar este servicio en un único operador, cuya contratación se encuentra aún sin </w:t>
      </w:r>
      <w:r>
        <w:rPr>
          <w:spacing w:val="-2"/>
        </w:rPr>
        <w:t>iniciar.</w:t>
      </w:r>
    </w:p>
    <w:p>
      <w:pPr>
        <w:pStyle w:val="BodyText"/>
        <w:spacing w:before="241"/>
        <w:ind w:left="992" w:right="987"/>
        <w:jc w:val="both"/>
      </w:pPr>
      <w:r>
        <w:rPr/>
        <w:t>Con anterioridad a ese proceso de contratación, la entidad ha llevado a cabo tres actuaciones dirigidas</w:t>
      </w:r>
      <w:r>
        <w:rPr>
          <w:spacing w:val="77"/>
        </w:rPr>
        <w:t> </w:t>
      </w:r>
      <w:r>
        <w:rPr/>
        <w:t>a</w:t>
      </w:r>
      <w:r>
        <w:rPr>
          <w:spacing w:val="76"/>
        </w:rPr>
        <w:t> </w:t>
      </w:r>
      <w:r>
        <w:rPr/>
        <w:t>la</w:t>
      </w:r>
      <w:r>
        <w:rPr>
          <w:spacing w:val="75"/>
        </w:rPr>
        <w:t> </w:t>
      </w:r>
      <w:r>
        <w:rPr/>
        <w:t>actualización</w:t>
      </w:r>
      <w:r>
        <w:rPr>
          <w:spacing w:val="76"/>
        </w:rPr>
        <w:t> </w:t>
      </w:r>
      <w:r>
        <w:rPr/>
        <w:t>tecnológica</w:t>
      </w:r>
      <w:r>
        <w:rPr>
          <w:spacing w:val="74"/>
        </w:rPr>
        <w:t> </w:t>
      </w:r>
      <w:r>
        <w:rPr/>
        <w:t>del</w:t>
      </w:r>
      <w:r>
        <w:rPr>
          <w:spacing w:val="75"/>
        </w:rPr>
        <w:t> </w:t>
      </w:r>
      <w:r>
        <w:rPr/>
        <w:t>servicio</w:t>
      </w:r>
      <w:r>
        <w:rPr>
          <w:spacing w:val="76"/>
        </w:rPr>
        <w:t> </w:t>
      </w:r>
      <w:r>
        <w:rPr/>
        <w:t>de</w:t>
      </w:r>
      <w:r>
        <w:rPr>
          <w:spacing w:val="73"/>
        </w:rPr>
        <w:t> </w:t>
      </w:r>
      <w:r>
        <w:rPr/>
        <w:t>transporte,</w:t>
      </w:r>
      <w:r>
        <w:rPr>
          <w:spacing w:val="77"/>
        </w:rPr>
        <w:t> </w:t>
      </w:r>
      <w:r>
        <w:rPr/>
        <w:t>por</w:t>
      </w:r>
      <w:r>
        <w:rPr>
          <w:spacing w:val="77"/>
        </w:rPr>
        <w:t> </w:t>
      </w:r>
      <w:r>
        <w:rPr/>
        <w:t>importe</w:t>
      </w:r>
      <w:r>
        <w:rPr>
          <w:spacing w:val="74"/>
        </w:rPr>
        <w:t> </w:t>
      </w:r>
      <w:r>
        <w:rPr/>
        <w:t>conjunto</w:t>
      </w:r>
      <w:r>
        <w:rPr>
          <w:spacing w:val="74"/>
        </w:rPr>
        <w:t> </w:t>
      </w:r>
      <w:r>
        <w:rPr/>
        <w:t>de</w:t>
      </w:r>
    </w:p>
    <w:p>
      <w:pPr>
        <w:pStyle w:val="BodyText"/>
        <w:spacing w:before="4"/>
        <w:rPr>
          <w:sz w:val="11"/>
        </w:rPr>
      </w:pPr>
      <w:r>
        <w:rPr>
          <w:sz w:val="11"/>
        </w:rPr>
        <mc:AlternateContent>
          <mc:Choice Requires="wps">
            <w:drawing>
              <wp:anchor distT="0" distB="0" distL="0" distR="0" allowOverlap="1" layoutInCell="1" locked="0" behindDoc="1" simplePos="0" relativeHeight="487614464">
                <wp:simplePos x="0" y="0"/>
                <wp:positionH relativeFrom="page">
                  <wp:posOffset>719632</wp:posOffset>
                </wp:positionH>
                <wp:positionV relativeFrom="paragraph">
                  <wp:posOffset>98174</wp:posOffset>
                </wp:positionV>
                <wp:extent cx="1829435" cy="9525"/>
                <wp:effectExtent l="0" t="0" r="0" b="0"/>
                <wp:wrapTopAndBottom/>
                <wp:docPr id="179" name="Graphic 179"/>
                <wp:cNvGraphicFramePr>
                  <a:graphicFrameLocks/>
                </wp:cNvGraphicFramePr>
                <a:graphic>
                  <a:graphicData uri="http://schemas.microsoft.com/office/word/2010/wordprocessingShape">
                    <wps:wsp>
                      <wps:cNvPr id="179" name="Graphic 179"/>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7.730289pt;width:144.020pt;height:.71997pt;mso-position-horizontal-relative:page;mso-position-vertical-relative:paragraph;z-index:-15702016;mso-wrap-distance-left:0;mso-wrap-distance-right:0" id="docshape161" filled="true" fillcolor="#000000" stroked="false">
                <v:fill type="solid"/>
                <w10:wrap type="topAndBottom"/>
              </v:rect>
            </w:pict>
          </mc:Fallback>
        </mc:AlternateContent>
      </w:r>
    </w:p>
    <w:p>
      <w:pPr>
        <w:spacing w:before="118"/>
        <w:ind w:left="992" w:right="986" w:firstLine="0"/>
        <w:jc w:val="both"/>
        <w:rPr>
          <w:sz w:val="18"/>
        </w:rPr>
      </w:pPr>
      <w:bookmarkStart w:name="_bookmark79" w:id="81"/>
      <w:bookmarkEnd w:id="81"/>
      <w:r>
        <w:rPr/>
      </w:r>
      <w:r>
        <w:rPr>
          <w:position w:val="6"/>
          <w:sz w:val="12"/>
        </w:rPr>
        <w:t>52</w:t>
      </w:r>
      <w:r>
        <w:rPr>
          <w:sz w:val="18"/>
        </w:rPr>
        <w:t>El </w:t>
      </w:r>
      <w:r>
        <w:rPr>
          <w:b/>
          <w:sz w:val="18"/>
        </w:rPr>
        <w:t>Ayuntamiento de Málaga</w:t>
      </w:r>
      <w:r>
        <w:rPr>
          <w:sz w:val="18"/>
        </w:rPr>
        <w:t>, en el trámite de alegaciones, explica que las modificaciones contractuales respondieron a</w:t>
      </w:r>
      <w:r>
        <w:rPr>
          <w:spacing w:val="-4"/>
          <w:sz w:val="18"/>
        </w:rPr>
        <w:t> </w:t>
      </w:r>
      <w:r>
        <w:rPr>
          <w:sz w:val="18"/>
        </w:rPr>
        <w:t>necesidades</w:t>
      </w:r>
      <w:r>
        <w:rPr>
          <w:spacing w:val="-4"/>
          <w:sz w:val="18"/>
        </w:rPr>
        <w:t> </w:t>
      </w:r>
      <w:r>
        <w:rPr>
          <w:sz w:val="18"/>
        </w:rPr>
        <w:t>reales</w:t>
      </w:r>
      <w:r>
        <w:rPr>
          <w:spacing w:val="-4"/>
          <w:sz w:val="18"/>
        </w:rPr>
        <w:t> </w:t>
      </w:r>
      <w:r>
        <w:rPr>
          <w:sz w:val="18"/>
        </w:rPr>
        <w:t>identificadas</w:t>
      </w:r>
      <w:r>
        <w:rPr>
          <w:spacing w:val="-4"/>
          <w:sz w:val="18"/>
        </w:rPr>
        <w:t> </w:t>
      </w:r>
      <w:r>
        <w:rPr>
          <w:sz w:val="18"/>
        </w:rPr>
        <w:t>durante</w:t>
      </w:r>
      <w:r>
        <w:rPr>
          <w:spacing w:val="-4"/>
          <w:sz w:val="18"/>
        </w:rPr>
        <w:t> </w:t>
      </w:r>
      <w:r>
        <w:rPr>
          <w:sz w:val="18"/>
        </w:rPr>
        <w:t>la</w:t>
      </w:r>
      <w:r>
        <w:rPr>
          <w:spacing w:val="-4"/>
          <w:sz w:val="18"/>
        </w:rPr>
        <w:t> </w:t>
      </w:r>
      <w:r>
        <w:rPr>
          <w:sz w:val="18"/>
        </w:rPr>
        <w:t>ejecución</w:t>
      </w:r>
      <w:r>
        <w:rPr>
          <w:spacing w:val="-4"/>
          <w:sz w:val="18"/>
        </w:rPr>
        <w:t> </w:t>
      </w:r>
      <w:r>
        <w:rPr>
          <w:sz w:val="18"/>
        </w:rPr>
        <w:t>del</w:t>
      </w:r>
      <w:r>
        <w:rPr>
          <w:spacing w:val="-4"/>
          <w:sz w:val="18"/>
        </w:rPr>
        <w:t> </w:t>
      </w:r>
      <w:r>
        <w:rPr>
          <w:sz w:val="18"/>
        </w:rPr>
        <w:t>proyecto,</w:t>
      </w:r>
      <w:r>
        <w:rPr>
          <w:spacing w:val="-4"/>
          <w:sz w:val="18"/>
        </w:rPr>
        <w:t> </w:t>
      </w:r>
      <w:r>
        <w:rPr>
          <w:sz w:val="18"/>
        </w:rPr>
        <w:t>imposibles</w:t>
      </w:r>
      <w:r>
        <w:rPr>
          <w:spacing w:val="-4"/>
          <w:sz w:val="18"/>
        </w:rPr>
        <w:t> </w:t>
      </w:r>
      <w:r>
        <w:rPr>
          <w:sz w:val="18"/>
        </w:rPr>
        <w:t>de</w:t>
      </w:r>
      <w:r>
        <w:rPr>
          <w:spacing w:val="-4"/>
          <w:sz w:val="18"/>
        </w:rPr>
        <w:t> </w:t>
      </w:r>
      <w:r>
        <w:rPr>
          <w:sz w:val="18"/>
        </w:rPr>
        <w:t>determinar</w:t>
      </w:r>
      <w:r>
        <w:rPr>
          <w:spacing w:val="-4"/>
          <w:sz w:val="18"/>
        </w:rPr>
        <w:t> </w:t>
      </w:r>
      <w:r>
        <w:rPr>
          <w:sz w:val="18"/>
        </w:rPr>
        <w:t>con</w:t>
      </w:r>
      <w:r>
        <w:rPr>
          <w:spacing w:val="-4"/>
          <w:sz w:val="18"/>
        </w:rPr>
        <w:t> </w:t>
      </w:r>
      <w:r>
        <w:rPr>
          <w:sz w:val="18"/>
        </w:rPr>
        <w:t>la</w:t>
      </w:r>
      <w:r>
        <w:rPr>
          <w:spacing w:val="-4"/>
          <w:sz w:val="18"/>
        </w:rPr>
        <w:t> </w:t>
      </w:r>
      <w:r>
        <w:rPr>
          <w:sz w:val="18"/>
        </w:rPr>
        <w:t>precisión</w:t>
      </w:r>
      <w:r>
        <w:rPr>
          <w:spacing w:val="-4"/>
          <w:sz w:val="18"/>
        </w:rPr>
        <w:t> </w:t>
      </w:r>
      <w:r>
        <w:rPr>
          <w:sz w:val="18"/>
        </w:rPr>
        <w:t>suficiente en la fase de licitación, y que fueron objeto de informes técnicos detallados. Estos informes no se han aportado a fin de poder verificar su fundamentación.</w:t>
      </w:r>
    </w:p>
    <w:p>
      <w:pPr>
        <w:spacing w:before="60"/>
        <w:ind w:left="992" w:right="1001" w:firstLine="0"/>
        <w:jc w:val="both"/>
        <w:rPr>
          <w:sz w:val="18"/>
        </w:rPr>
      </w:pPr>
      <w:r>
        <w:rPr>
          <w:sz w:val="18"/>
        </w:rPr>
        <w:t>Confirma que la sustitución de unas pantallas por otras que disponía el contratista se debió a que el modelo de pantalla electrónica previsto en el contrato enfrentaba problemas de fabricación y suministro en plazo, por causas ajenas a esta, por lo que a fin de</w:t>
      </w:r>
      <w:r>
        <w:rPr>
          <w:spacing w:val="-1"/>
          <w:sz w:val="18"/>
        </w:rPr>
        <w:t> </w:t>
      </w:r>
      <w:r>
        <w:rPr>
          <w:sz w:val="18"/>
        </w:rPr>
        <w:t>cumplir</w:t>
      </w:r>
      <w:r>
        <w:rPr>
          <w:spacing w:val="-1"/>
          <w:sz w:val="18"/>
        </w:rPr>
        <w:t> </w:t>
      </w:r>
      <w:r>
        <w:rPr>
          <w:sz w:val="18"/>
        </w:rPr>
        <w:t>los plazos comprometidos ante el</w:t>
      </w:r>
      <w:r>
        <w:rPr>
          <w:spacing w:val="-1"/>
          <w:sz w:val="18"/>
        </w:rPr>
        <w:t> </w:t>
      </w:r>
      <w:r>
        <w:rPr>
          <w:sz w:val="18"/>
        </w:rPr>
        <w:t>MITMA, se decidió</w:t>
      </w:r>
      <w:r>
        <w:rPr>
          <w:spacing w:val="-1"/>
          <w:sz w:val="18"/>
        </w:rPr>
        <w:t> </w:t>
      </w:r>
      <w:r>
        <w:rPr>
          <w:sz w:val="18"/>
        </w:rPr>
        <w:t>aceptar la instalación de otro</w:t>
      </w:r>
      <w:r>
        <w:rPr>
          <w:spacing w:val="-1"/>
          <w:sz w:val="18"/>
        </w:rPr>
        <w:t> </w:t>
      </w:r>
      <w:r>
        <w:rPr>
          <w:sz w:val="18"/>
        </w:rPr>
        <w:t>modelo</w:t>
      </w:r>
      <w:r>
        <w:rPr>
          <w:spacing w:val="-1"/>
          <w:sz w:val="18"/>
        </w:rPr>
        <w:t> </w:t>
      </w:r>
      <w:r>
        <w:rPr>
          <w:sz w:val="18"/>
        </w:rPr>
        <w:t>de pantalla</w:t>
      </w:r>
      <w:r>
        <w:rPr>
          <w:spacing w:val="-7"/>
          <w:sz w:val="18"/>
        </w:rPr>
        <w:t> </w:t>
      </w:r>
      <w:r>
        <w:rPr>
          <w:sz w:val="18"/>
        </w:rPr>
        <w:t>que</w:t>
      </w:r>
      <w:r>
        <w:rPr>
          <w:spacing w:val="-7"/>
          <w:sz w:val="18"/>
        </w:rPr>
        <w:t> </w:t>
      </w:r>
      <w:r>
        <w:rPr>
          <w:sz w:val="18"/>
        </w:rPr>
        <w:t>contaba</w:t>
      </w:r>
      <w:r>
        <w:rPr>
          <w:spacing w:val="-7"/>
          <w:sz w:val="18"/>
        </w:rPr>
        <w:t> </w:t>
      </w:r>
      <w:r>
        <w:rPr>
          <w:sz w:val="18"/>
        </w:rPr>
        <w:t>con</w:t>
      </w:r>
      <w:r>
        <w:rPr>
          <w:spacing w:val="-7"/>
          <w:sz w:val="18"/>
        </w:rPr>
        <w:t> </w:t>
      </w:r>
      <w:r>
        <w:rPr>
          <w:sz w:val="18"/>
        </w:rPr>
        <w:t>especificaciones</w:t>
      </w:r>
      <w:r>
        <w:rPr>
          <w:spacing w:val="-7"/>
          <w:sz w:val="18"/>
        </w:rPr>
        <w:t> </w:t>
      </w:r>
      <w:r>
        <w:rPr>
          <w:sz w:val="18"/>
        </w:rPr>
        <w:t>técnicas</w:t>
      </w:r>
      <w:r>
        <w:rPr>
          <w:spacing w:val="-7"/>
          <w:sz w:val="18"/>
        </w:rPr>
        <w:t> </w:t>
      </w:r>
      <w:r>
        <w:rPr>
          <w:sz w:val="18"/>
        </w:rPr>
        <w:t>equivalentes</w:t>
      </w:r>
      <w:r>
        <w:rPr>
          <w:spacing w:val="-7"/>
          <w:sz w:val="18"/>
        </w:rPr>
        <w:t> </w:t>
      </w:r>
      <w:r>
        <w:rPr>
          <w:sz w:val="18"/>
        </w:rPr>
        <w:t>a</w:t>
      </w:r>
      <w:r>
        <w:rPr>
          <w:spacing w:val="-7"/>
          <w:sz w:val="18"/>
        </w:rPr>
        <w:t> </w:t>
      </w:r>
      <w:r>
        <w:rPr>
          <w:sz w:val="18"/>
        </w:rPr>
        <w:t>las</w:t>
      </w:r>
      <w:r>
        <w:rPr>
          <w:spacing w:val="-7"/>
          <w:sz w:val="18"/>
        </w:rPr>
        <w:t> </w:t>
      </w:r>
      <w:r>
        <w:rPr>
          <w:sz w:val="18"/>
        </w:rPr>
        <w:t>originalmente</w:t>
      </w:r>
      <w:r>
        <w:rPr>
          <w:spacing w:val="-9"/>
          <w:sz w:val="18"/>
        </w:rPr>
        <w:t> </w:t>
      </w:r>
      <w:r>
        <w:rPr>
          <w:sz w:val="18"/>
        </w:rPr>
        <w:t>licitadas,</w:t>
      </w:r>
      <w:r>
        <w:rPr>
          <w:spacing w:val="-8"/>
          <w:sz w:val="18"/>
        </w:rPr>
        <w:t> </w:t>
      </w:r>
      <w:r>
        <w:rPr>
          <w:sz w:val="18"/>
        </w:rPr>
        <w:t>lo</w:t>
      </w:r>
      <w:r>
        <w:rPr>
          <w:spacing w:val="-7"/>
          <w:sz w:val="18"/>
        </w:rPr>
        <w:t> </w:t>
      </w:r>
      <w:r>
        <w:rPr>
          <w:sz w:val="18"/>
        </w:rPr>
        <w:t>que</w:t>
      </w:r>
      <w:r>
        <w:rPr>
          <w:spacing w:val="-7"/>
          <w:sz w:val="18"/>
        </w:rPr>
        <w:t> </w:t>
      </w:r>
      <w:r>
        <w:rPr>
          <w:sz w:val="18"/>
        </w:rPr>
        <w:t>quedó</w:t>
      </w:r>
      <w:r>
        <w:rPr>
          <w:spacing w:val="-7"/>
          <w:sz w:val="18"/>
        </w:rPr>
        <w:t> </w:t>
      </w:r>
      <w:r>
        <w:rPr>
          <w:sz w:val="18"/>
        </w:rPr>
        <w:t>acreditado</w:t>
      </w:r>
      <w:r>
        <w:rPr>
          <w:spacing w:val="-7"/>
          <w:sz w:val="18"/>
        </w:rPr>
        <w:t> </w:t>
      </w:r>
      <w:r>
        <w:rPr>
          <w:sz w:val="18"/>
        </w:rPr>
        <w:t>en el expediente mediante el correspondiente informe técnico, documento que tampoco ha sido aportado en alegaciones.</w:t>
      </w:r>
    </w:p>
    <w:p>
      <w:pPr>
        <w:spacing w:before="56"/>
        <w:ind w:left="992" w:right="999" w:firstLine="0"/>
        <w:jc w:val="both"/>
        <w:rPr>
          <w:sz w:val="18"/>
        </w:rPr>
      </w:pPr>
      <w:bookmarkStart w:name="_bookmark80" w:id="82"/>
      <w:bookmarkEnd w:id="82"/>
      <w:r>
        <w:rPr/>
      </w:r>
      <w:r>
        <w:rPr>
          <w:position w:val="6"/>
          <w:sz w:val="12"/>
        </w:rPr>
        <w:t>53</w:t>
      </w:r>
      <w:r>
        <w:rPr>
          <w:spacing w:val="17"/>
          <w:position w:val="6"/>
          <w:sz w:val="12"/>
        </w:rPr>
        <w:t> </w:t>
      </w:r>
      <w:r>
        <w:rPr>
          <w:sz w:val="18"/>
        </w:rPr>
        <w:t>Ley</w:t>
      </w:r>
      <w:r>
        <w:rPr>
          <w:spacing w:val="-1"/>
          <w:sz w:val="18"/>
        </w:rPr>
        <w:t> </w:t>
      </w:r>
      <w:r>
        <w:rPr>
          <w:sz w:val="18"/>
        </w:rPr>
        <w:t>6/2022,</w:t>
      </w:r>
      <w:r>
        <w:rPr>
          <w:spacing w:val="-2"/>
          <w:sz w:val="18"/>
        </w:rPr>
        <w:t> </w:t>
      </w:r>
      <w:r>
        <w:rPr>
          <w:sz w:val="18"/>
        </w:rPr>
        <w:t>de</w:t>
      </w:r>
      <w:r>
        <w:rPr>
          <w:spacing w:val="-2"/>
          <w:sz w:val="18"/>
        </w:rPr>
        <w:t> </w:t>
      </w:r>
      <w:r>
        <w:rPr>
          <w:sz w:val="18"/>
        </w:rPr>
        <w:t>31</w:t>
      </w:r>
      <w:r>
        <w:rPr>
          <w:spacing w:val="-2"/>
          <w:sz w:val="18"/>
        </w:rPr>
        <w:t> </w:t>
      </w:r>
      <w:r>
        <w:rPr>
          <w:sz w:val="18"/>
        </w:rPr>
        <w:t>de</w:t>
      </w:r>
      <w:r>
        <w:rPr>
          <w:spacing w:val="-2"/>
          <w:sz w:val="18"/>
        </w:rPr>
        <w:t> </w:t>
      </w:r>
      <w:r>
        <w:rPr>
          <w:sz w:val="18"/>
        </w:rPr>
        <w:t>marzo,</w:t>
      </w:r>
      <w:r>
        <w:rPr>
          <w:spacing w:val="-2"/>
          <w:sz w:val="18"/>
        </w:rPr>
        <w:t> </w:t>
      </w:r>
      <w:r>
        <w:rPr>
          <w:sz w:val="18"/>
        </w:rPr>
        <w:t>de</w:t>
      </w:r>
      <w:r>
        <w:rPr>
          <w:spacing w:val="-2"/>
          <w:sz w:val="18"/>
        </w:rPr>
        <w:t> </w:t>
      </w:r>
      <w:r>
        <w:rPr>
          <w:sz w:val="18"/>
        </w:rPr>
        <w:t>modificación</w:t>
      </w:r>
      <w:r>
        <w:rPr>
          <w:spacing w:val="-2"/>
          <w:sz w:val="18"/>
        </w:rPr>
        <w:t> </w:t>
      </w:r>
      <w:r>
        <w:rPr>
          <w:sz w:val="18"/>
        </w:rPr>
        <w:t>del</w:t>
      </w:r>
      <w:r>
        <w:rPr>
          <w:spacing w:val="-2"/>
          <w:sz w:val="18"/>
        </w:rPr>
        <w:t> </w:t>
      </w:r>
      <w:r>
        <w:rPr>
          <w:sz w:val="18"/>
        </w:rPr>
        <w:t>Texto Refundido</w:t>
      </w:r>
      <w:r>
        <w:rPr>
          <w:spacing w:val="-2"/>
          <w:sz w:val="18"/>
        </w:rPr>
        <w:t> </w:t>
      </w:r>
      <w:r>
        <w:rPr>
          <w:sz w:val="18"/>
        </w:rPr>
        <w:t>de</w:t>
      </w:r>
      <w:r>
        <w:rPr>
          <w:spacing w:val="-2"/>
          <w:sz w:val="18"/>
        </w:rPr>
        <w:t> </w:t>
      </w:r>
      <w:r>
        <w:rPr>
          <w:sz w:val="18"/>
        </w:rPr>
        <w:t>la</w:t>
      </w:r>
      <w:r>
        <w:rPr>
          <w:spacing w:val="-2"/>
          <w:sz w:val="18"/>
        </w:rPr>
        <w:t> </w:t>
      </w:r>
      <w:r>
        <w:rPr>
          <w:sz w:val="18"/>
        </w:rPr>
        <w:t>Ley General de</w:t>
      </w:r>
      <w:r>
        <w:rPr>
          <w:spacing w:val="-2"/>
          <w:sz w:val="18"/>
        </w:rPr>
        <w:t> </w:t>
      </w:r>
      <w:r>
        <w:rPr>
          <w:sz w:val="18"/>
        </w:rPr>
        <w:t>derechos</w:t>
      </w:r>
      <w:r>
        <w:rPr>
          <w:spacing w:val="-1"/>
          <w:sz w:val="18"/>
        </w:rPr>
        <w:t> </w:t>
      </w:r>
      <w:r>
        <w:rPr>
          <w:sz w:val="18"/>
        </w:rPr>
        <w:t>de</w:t>
      </w:r>
      <w:r>
        <w:rPr>
          <w:spacing w:val="-2"/>
          <w:sz w:val="18"/>
        </w:rPr>
        <w:t> </w:t>
      </w:r>
      <w:r>
        <w:rPr>
          <w:sz w:val="18"/>
        </w:rPr>
        <w:t>las</w:t>
      </w:r>
      <w:r>
        <w:rPr>
          <w:spacing w:val="-1"/>
          <w:sz w:val="18"/>
        </w:rPr>
        <w:t> </w:t>
      </w:r>
      <w:r>
        <w:rPr>
          <w:sz w:val="18"/>
        </w:rPr>
        <w:t>personas</w:t>
      </w:r>
      <w:r>
        <w:rPr>
          <w:spacing w:val="-1"/>
          <w:sz w:val="18"/>
        </w:rPr>
        <w:t> </w:t>
      </w:r>
      <w:r>
        <w:rPr>
          <w:sz w:val="18"/>
        </w:rPr>
        <w:t>con discapacidad y de su inclusión social, aprobado por el Real Decreto Legislativo 1/2013, de 29 de noviembre, para establecer y regular la accesibilidad cognitiva y sus condiciones de exigencia y aplicación.</w:t>
      </w:r>
    </w:p>
    <w:p>
      <w:pPr>
        <w:spacing w:before="57"/>
        <w:ind w:left="992" w:right="0" w:firstLine="0"/>
        <w:jc w:val="both"/>
        <w:rPr>
          <w:sz w:val="18"/>
        </w:rPr>
      </w:pPr>
      <w:bookmarkStart w:name="_bookmark81" w:id="83"/>
      <w:bookmarkEnd w:id="83"/>
      <w:r>
        <w:rPr/>
      </w:r>
      <w:r>
        <w:rPr>
          <w:position w:val="6"/>
          <w:sz w:val="12"/>
        </w:rPr>
        <w:t>54</w:t>
      </w:r>
      <w:r>
        <w:rPr>
          <w:spacing w:val="12"/>
          <w:position w:val="6"/>
          <w:sz w:val="12"/>
        </w:rPr>
        <w:t> </w:t>
      </w:r>
      <w:r>
        <w:rPr>
          <w:sz w:val="18"/>
        </w:rPr>
        <w:t>En</w:t>
      </w:r>
      <w:r>
        <w:rPr>
          <w:spacing w:val="-2"/>
          <w:sz w:val="18"/>
        </w:rPr>
        <w:t> </w:t>
      </w:r>
      <w:r>
        <w:rPr>
          <w:sz w:val="18"/>
        </w:rPr>
        <w:t>2025</w:t>
      </w:r>
      <w:r>
        <w:rPr>
          <w:spacing w:val="-2"/>
          <w:sz w:val="18"/>
        </w:rPr>
        <w:t> </w:t>
      </w:r>
      <w:r>
        <w:rPr>
          <w:sz w:val="18"/>
        </w:rPr>
        <w:t>la</w:t>
      </w:r>
      <w:r>
        <w:rPr>
          <w:spacing w:val="-3"/>
          <w:sz w:val="18"/>
        </w:rPr>
        <w:t> </w:t>
      </w:r>
      <w:r>
        <w:rPr>
          <w:sz w:val="18"/>
        </w:rPr>
        <w:t>entidad</w:t>
      </w:r>
      <w:r>
        <w:rPr>
          <w:spacing w:val="-2"/>
          <w:sz w:val="18"/>
        </w:rPr>
        <w:t> </w:t>
      </w:r>
      <w:r>
        <w:rPr>
          <w:sz w:val="18"/>
        </w:rPr>
        <w:t>ha</w:t>
      </w:r>
      <w:r>
        <w:rPr>
          <w:spacing w:val="-4"/>
          <w:sz w:val="18"/>
        </w:rPr>
        <w:t> </w:t>
      </w:r>
      <w:r>
        <w:rPr>
          <w:sz w:val="18"/>
        </w:rPr>
        <w:t>tramitado</w:t>
      </w:r>
      <w:r>
        <w:rPr>
          <w:spacing w:val="2"/>
          <w:sz w:val="18"/>
        </w:rPr>
        <w:t> </w:t>
      </w:r>
      <w:r>
        <w:rPr>
          <w:sz w:val="18"/>
        </w:rPr>
        <w:t>el</w:t>
      </w:r>
      <w:r>
        <w:rPr>
          <w:spacing w:val="-5"/>
          <w:sz w:val="18"/>
        </w:rPr>
        <w:t> </w:t>
      </w:r>
      <w:r>
        <w:rPr>
          <w:sz w:val="18"/>
        </w:rPr>
        <w:t>suministro</w:t>
      </w:r>
      <w:r>
        <w:rPr>
          <w:spacing w:val="-2"/>
          <w:sz w:val="18"/>
        </w:rPr>
        <w:t> </w:t>
      </w:r>
      <w:r>
        <w:rPr>
          <w:sz w:val="18"/>
        </w:rPr>
        <w:t>de</w:t>
      </w:r>
      <w:r>
        <w:rPr>
          <w:spacing w:val="-4"/>
          <w:sz w:val="18"/>
        </w:rPr>
        <w:t> </w:t>
      </w:r>
      <w:r>
        <w:rPr>
          <w:sz w:val="18"/>
        </w:rPr>
        <w:t>vinilos</w:t>
      </w:r>
      <w:r>
        <w:rPr>
          <w:spacing w:val="-3"/>
          <w:sz w:val="18"/>
        </w:rPr>
        <w:t> </w:t>
      </w:r>
      <w:r>
        <w:rPr>
          <w:sz w:val="18"/>
        </w:rPr>
        <w:t>para</w:t>
      </w:r>
      <w:r>
        <w:rPr>
          <w:spacing w:val="-2"/>
          <w:sz w:val="18"/>
        </w:rPr>
        <w:t> </w:t>
      </w:r>
      <w:r>
        <w:rPr>
          <w:sz w:val="18"/>
        </w:rPr>
        <w:t>marquesinas</w:t>
      </w:r>
      <w:r>
        <w:rPr>
          <w:spacing w:val="-4"/>
          <w:sz w:val="18"/>
        </w:rPr>
        <w:t> </w:t>
      </w:r>
      <w:r>
        <w:rPr>
          <w:sz w:val="18"/>
        </w:rPr>
        <w:t>y</w:t>
      </w:r>
      <w:r>
        <w:rPr>
          <w:spacing w:val="-1"/>
          <w:sz w:val="18"/>
        </w:rPr>
        <w:t> </w:t>
      </w:r>
      <w:r>
        <w:rPr>
          <w:sz w:val="18"/>
        </w:rPr>
        <w:t>postes</w:t>
      </w:r>
      <w:r>
        <w:rPr>
          <w:spacing w:val="-1"/>
          <w:sz w:val="18"/>
        </w:rPr>
        <w:t> </w:t>
      </w:r>
      <w:r>
        <w:rPr>
          <w:sz w:val="18"/>
        </w:rPr>
        <w:t>de</w:t>
      </w:r>
      <w:r>
        <w:rPr>
          <w:spacing w:val="-2"/>
          <w:sz w:val="18"/>
        </w:rPr>
        <w:t> paradas.</w:t>
      </w:r>
    </w:p>
    <w:p>
      <w:pPr>
        <w:spacing w:before="72"/>
        <w:ind w:left="992" w:right="988" w:firstLine="0"/>
        <w:jc w:val="both"/>
        <w:rPr>
          <w:sz w:val="18"/>
        </w:rPr>
      </w:pPr>
      <w:bookmarkStart w:name="_bookmark82" w:id="84"/>
      <w:bookmarkEnd w:id="84"/>
      <w:r>
        <w:rPr/>
      </w:r>
      <w:r>
        <w:rPr>
          <w:position w:val="6"/>
          <w:sz w:val="12"/>
        </w:rPr>
        <w:t>55</w:t>
      </w:r>
      <w:r>
        <w:rPr>
          <w:sz w:val="18"/>
        </w:rPr>
        <w:t>El </w:t>
      </w:r>
      <w:r>
        <w:rPr>
          <w:b/>
          <w:sz w:val="18"/>
        </w:rPr>
        <w:t>Ayuntamiento de Málaga</w:t>
      </w:r>
      <w:r>
        <w:rPr>
          <w:sz w:val="18"/>
        </w:rPr>
        <w:t>, en el trámite de alegaciones, señala que la modificación no responde a una redefinición del objeto contractual ni a una falta de precisión inicial, sino a una modificación técnica menor, necesaria para asegurar la</w:t>
      </w:r>
      <w:r>
        <w:rPr>
          <w:spacing w:val="-4"/>
          <w:sz w:val="18"/>
        </w:rPr>
        <w:t> </w:t>
      </w:r>
      <w:r>
        <w:rPr>
          <w:sz w:val="18"/>
        </w:rPr>
        <w:t>integración</w:t>
      </w:r>
      <w:r>
        <w:rPr>
          <w:spacing w:val="-6"/>
          <w:sz w:val="18"/>
        </w:rPr>
        <w:t> </w:t>
      </w:r>
      <w:r>
        <w:rPr>
          <w:sz w:val="18"/>
        </w:rPr>
        <w:t>del</w:t>
      </w:r>
      <w:r>
        <w:rPr>
          <w:spacing w:val="-6"/>
          <w:sz w:val="18"/>
        </w:rPr>
        <w:t> </w:t>
      </w:r>
      <w:r>
        <w:rPr>
          <w:sz w:val="18"/>
        </w:rPr>
        <w:t>nombre</w:t>
      </w:r>
      <w:r>
        <w:rPr>
          <w:spacing w:val="-4"/>
          <w:sz w:val="18"/>
        </w:rPr>
        <w:t> </w:t>
      </w:r>
      <w:r>
        <w:rPr>
          <w:sz w:val="18"/>
        </w:rPr>
        <w:t>de</w:t>
      </w:r>
      <w:r>
        <w:rPr>
          <w:spacing w:val="-4"/>
          <w:sz w:val="18"/>
        </w:rPr>
        <w:t> </w:t>
      </w:r>
      <w:r>
        <w:rPr>
          <w:sz w:val="18"/>
        </w:rPr>
        <w:t>las</w:t>
      </w:r>
      <w:r>
        <w:rPr>
          <w:spacing w:val="-3"/>
          <w:sz w:val="18"/>
        </w:rPr>
        <w:t> </w:t>
      </w:r>
      <w:r>
        <w:rPr>
          <w:sz w:val="18"/>
        </w:rPr>
        <w:t>paradas</w:t>
      </w:r>
      <w:r>
        <w:rPr>
          <w:spacing w:val="-6"/>
          <w:sz w:val="18"/>
        </w:rPr>
        <w:t> </w:t>
      </w:r>
      <w:r>
        <w:rPr>
          <w:sz w:val="18"/>
        </w:rPr>
        <w:t>en</w:t>
      </w:r>
      <w:r>
        <w:rPr>
          <w:spacing w:val="-2"/>
          <w:sz w:val="18"/>
        </w:rPr>
        <w:t> </w:t>
      </w:r>
      <w:r>
        <w:rPr>
          <w:sz w:val="18"/>
        </w:rPr>
        <w:t>los</w:t>
      </w:r>
      <w:r>
        <w:rPr>
          <w:spacing w:val="-6"/>
          <w:sz w:val="18"/>
        </w:rPr>
        <w:t> </w:t>
      </w:r>
      <w:r>
        <w:rPr>
          <w:sz w:val="18"/>
        </w:rPr>
        <w:t>diseños</w:t>
      </w:r>
      <w:r>
        <w:rPr>
          <w:spacing w:val="-6"/>
          <w:sz w:val="18"/>
        </w:rPr>
        <w:t> </w:t>
      </w:r>
      <w:r>
        <w:rPr>
          <w:sz w:val="18"/>
        </w:rPr>
        <w:t>de</w:t>
      </w:r>
      <w:r>
        <w:rPr>
          <w:spacing w:val="-6"/>
          <w:sz w:val="18"/>
        </w:rPr>
        <w:t> </w:t>
      </w:r>
      <w:r>
        <w:rPr>
          <w:sz w:val="18"/>
        </w:rPr>
        <w:t>forma</w:t>
      </w:r>
      <w:r>
        <w:rPr>
          <w:spacing w:val="-6"/>
          <w:sz w:val="18"/>
        </w:rPr>
        <w:t> </w:t>
      </w:r>
      <w:r>
        <w:rPr>
          <w:sz w:val="18"/>
        </w:rPr>
        <w:t>visualmente</w:t>
      </w:r>
      <w:r>
        <w:rPr>
          <w:spacing w:val="-6"/>
          <w:sz w:val="18"/>
        </w:rPr>
        <w:t> </w:t>
      </w:r>
      <w:r>
        <w:rPr>
          <w:sz w:val="18"/>
        </w:rPr>
        <w:t>accesible</w:t>
      </w:r>
      <w:r>
        <w:rPr>
          <w:spacing w:val="-6"/>
          <w:sz w:val="18"/>
        </w:rPr>
        <w:t> </w:t>
      </w:r>
      <w:r>
        <w:rPr>
          <w:sz w:val="18"/>
        </w:rPr>
        <w:t>y</w:t>
      </w:r>
      <w:r>
        <w:rPr>
          <w:spacing w:val="-6"/>
          <w:sz w:val="18"/>
        </w:rPr>
        <w:t> </w:t>
      </w:r>
      <w:r>
        <w:rPr>
          <w:sz w:val="18"/>
        </w:rPr>
        <w:t>coherente.</w:t>
      </w:r>
      <w:r>
        <w:rPr>
          <w:spacing w:val="-4"/>
          <w:sz w:val="18"/>
        </w:rPr>
        <w:t> </w:t>
      </w:r>
      <w:r>
        <w:rPr>
          <w:sz w:val="18"/>
        </w:rPr>
        <w:t>Sin</w:t>
      </w:r>
      <w:r>
        <w:rPr>
          <w:spacing w:val="-6"/>
          <w:sz w:val="18"/>
        </w:rPr>
        <w:t> </w:t>
      </w:r>
      <w:r>
        <w:rPr>
          <w:sz w:val="18"/>
        </w:rPr>
        <w:t>perjuicio</w:t>
      </w:r>
      <w:r>
        <w:rPr>
          <w:spacing w:val="-6"/>
          <w:sz w:val="18"/>
        </w:rPr>
        <w:t> </w:t>
      </w:r>
      <w:r>
        <w:rPr>
          <w:sz w:val="18"/>
        </w:rPr>
        <w:t>de</w:t>
      </w:r>
      <w:r>
        <w:rPr>
          <w:spacing w:val="-6"/>
          <w:sz w:val="18"/>
        </w:rPr>
        <w:t> </w:t>
      </w:r>
      <w:r>
        <w:rPr>
          <w:sz w:val="18"/>
        </w:rPr>
        <w:t>que la modificación pueda favorecer la accesibilidad visual del sistema, la entidad no ha acreditado que la modificación se debiera a causas sobrevenidas que no se pudieran haber previsto con una correcta planificación.</w:t>
      </w:r>
    </w:p>
    <w:p>
      <w:pPr>
        <w:spacing w:after="0"/>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6"/>
        <w:jc w:val="both"/>
      </w:pPr>
      <w:r>
        <w:rPr/>
        <w:t>5.267.645,09 euros, con el fin de, además de incorporar nuevas tecnologías, hacer el transporte más accesible para la ciudadanía y permitir un ahorro en los tiempos de desplazamiento. Una de esas actuaciones ha sido una asistencia técnica, por importe de 33.250,00 euros, sin IVA, para la actualización del Proyecto de servicio de la nueva red de transporte público colectivo.</w:t>
      </w:r>
    </w:p>
    <w:p>
      <w:pPr>
        <w:pStyle w:val="BodyText"/>
        <w:spacing w:before="241"/>
        <w:ind w:left="992" w:right="989"/>
        <w:jc w:val="both"/>
      </w:pPr>
      <w:r>
        <w:rPr/>
        <w:t>Otra ha consistido en el suministro, instalación, integración y puesta en marcha de los elementos que conforman</w:t>
      </w:r>
      <w:r>
        <w:rPr>
          <w:spacing w:val="-2"/>
        </w:rPr>
        <w:t> </w:t>
      </w:r>
      <w:r>
        <w:rPr/>
        <w:t>los sistemas inteligentes</w:t>
      </w:r>
      <w:r>
        <w:rPr>
          <w:spacing w:val="-1"/>
        </w:rPr>
        <w:t> </w:t>
      </w:r>
      <w:r>
        <w:rPr/>
        <w:t>de transporte para la prestación</w:t>
      </w:r>
      <w:r>
        <w:rPr>
          <w:spacing w:val="-2"/>
        </w:rPr>
        <w:t> </w:t>
      </w:r>
      <w:r>
        <w:rPr/>
        <w:t>del servicio de transporte público urbano</w:t>
      </w:r>
      <w:r>
        <w:rPr>
          <w:spacing w:val="-2"/>
        </w:rPr>
        <w:t> </w:t>
      </w:r>
      <w:r>
        <w:rPr/>
        <w:t>mediante</w:t>
      </w:r>
      <w:r>
        <w:rPr>
          <w:spacing w:val="-2"/>
        </w:rPr>
        <w:t> </w:t>
      </w:r>
      <w:r>
        <w:rPr/>
        <w:t>autobús, así</w:t>
      </w:r>
      <w:r>
        <w:rPr>
          <w:spacing w:val="-1"/>
        </w:rPr>
        <w:t> </w:t>
      </w:r>
      <w:r>
        <w:rPr/>
        <w:t>como</w:t>
      </w:r>
      <w:r>
        <w:rPr>
          <w:spacing w:val="-2"/>
        </w:rPr>
        <w:t> </w:t>
      </w:r>
      <w:r>
        <w:rPr/>
        <w:t>los equipos necesarios</w:t>
      </w:r>
      <w:r>
        <w:rPr>
          <w:spacing w:val="-2"/>
        </w:rPr>
        <w:t> </w:t>
      </w:r>
      <w:r>
        <w:rPr/>
        <w:t>para</w:t>
      </w:r>
      <w:r>
        <w:rPr>
          <w:spacing w:val="-2"/>
        </w:rPr>
        <w:t> </w:t>
      </w:r>
      <w:r>
        <w:rPr/>
        <w:t>la instalación del</w:t>
      </w:r>
      <w:r>
        <w:rPr>
          <w:spacing w:val="-2"/>
        </w:rPr>
        <w:t> </w:t>
      </w:r>
      <w:r>
        <w:rPr/>
        <w:t>Sistema Central Operativo del Ayuntamiento</w:t>
      </w:r>
      <w:hyperlink w:history="true" w:anchor="_bookmark83">
        <w:r>
          <w:rPr>
            <w:vertAlign w:val="superscript"/>
          </w:rPr>
          <w:t>56</w:t>
        </w:r>
      </w:hyperlink>
      <w:r>
        <w:rPr>
          <w:vertAlign w:val="baseline"/>
        </w:rPr>
        <w:t>.</w:t>
      </w:r>
    </w:p>
    <w:p>
      <w:pPr>
        <w:pStyle w:val="BodyText"/>
        <w:spacing w:before="241"/>
        <w:ind w:left="992" w:right="987"/>
        <w:jc w:val="both"/>
      </w:pPr>
      <w:r>
        <w:rPr/>
        <w:t>Los contratos de</w:t>
      </w:r>
      <w:r>
        <w:rPr>
          <w:spacing w:val="-3"/>
        </w:rPr>
        <w:t> </w:t>
      </w:r>
      <w:r>
        <w:rPr/>
        <w:t>los</w:t>
      </w:r>
      <w:r>
        <w:rPr>
          <w:spacing w:val="-1"/>
        </w:rPr>
        <w:t> </w:t>
      </w:r>
      <w:r>
        <w:rPr/>
        <w:t>dos</w:t>
      </w:r>
      <w:r>
        <w:rPr>
          <w:spacing w:val="-3"/>
        </w:rPr>
        <w:t> </w:t>
      </w:r>
      <w:r>
        <w:rPr/>
        <w:t>lotes que</w:t>
      </w:r>
      <w:r>
        <w:rPr>
          <w:spacing w:val="-1"/>
        </w:rPr>
        <w:t> </w:t>
      </w:r>
      <w:r>
        <w:rPr/>
        <w:t>conformaban</w:t>
      </w:r>
      <w:r>
        <w:rPr>
          <w:spacing w:val="-1"/>
        </w:rPr>
        <w:t> </w:t>
      </w:r>
      <w:r>
        <w:rPr/>
        <w:t>el</w:t>
      </w:r>
      <w:r>
        <w:rPr>
          <w:spacing w:val="-1"/>
        </w:rPr>
        <w:t> </w:t>
      </w:r>
      <w:r>
        <w:rPr/>
        <w:t>expediente</w:t>
      </w:r>
      <w:r>
        <w:rPr>
          <w:spacing w:val="-1"/>
        </w:rPr>
        <w:t> </w:t>
      </w:r>
      <w:r>
        <w:rPr/>
        <w:t>contractual,</w:t>
      </w:r>
      <w:r>
        <w:rPr>
          <w:spacing w:val="-4"/>
        </w:rPr>
        <w:t> </w:t>
      </w:r>
      <w:r>
        <w:rPr/>
        <w:t>por importe</w:t>
      </w:r>
      <w:r>
        <w:rPr>
          <w:spacing w:val="-1"/>
        </w:rPr>
        <w:t> </w:t>
      </w:r>
      <w:r>
        <w:rPr/>
        <w:t>conjunto</w:t>
      </w:r>
      <w:r>
        <w:rPr>
          <w:spacing w:val="-1"/>
        </w:rPr>
        <w:t> </w:t>
      </w:r>
      <w:r>
        <w:rPr/>
        <w:t>de 5.066.952,09 euros, IVA no incluido, tenían un plazo de ejecución de dieciocho meses, por lo que su</w:t>
      </w:r>
      <w:r>
        <w:rPr>
          <w:spacing w:val="-3"/>
        </w:rPr>
        <w:t> </w:t>
      </w:r>
      <w:r>
        <w:rPr/>
        <w:t>ejecución</w:t>
      </w:r>
      <w:r>
        <w:rPr>
          <w:spacing w:val="-3"/>
        </w:rPr>
        <w:t> </w:t>
      </w:r>
      <w:r>
        <w:rPr/>
        <w:t>debía</w:t>
      </w:r>
      <w:r>
        <w:rPr>
          <w:spacing w:val="-4"/>
        </w:rPr>
        <w:t> </w:t>
      </w:r>
      <w:r>
        <w:rPr/>
        <w:t>concluir</w:t>
      </w:r>
      <w:r>
        <w:rPr>
          <w:spacing w:val="-2"/>
        </w:rPr>
        <w:t> </w:t>
      </w:r>
      <w:r>
        <w:rPr/>
        <w:t>en</w:t>
      </w:r>
      <w:r>
        <w:rPr>
          <w:spacing w:val="-3"/>
        </w:rPr>
        <w:t> </w:t>
      </w:r>
      <w:r>
        <w:rPr/>
        <w:t>noviembre</w:t>
      </w:r>
      <w:r>
        <w:rPr>
          <w:spacing w:val="-4"/>
        </w:rPr>
        <w:t> </w:t>
      </w:r>
      <w:r>
        <w:rPr/>
        <w:t>de</w:t>
      </w:r>
      <w:r>
        <w:rPr>
          <w:spacing w:val="-3"/>
        </w:rPr>
        <w:t> </w:t>
      </w:r>
      <w:r>
        <w:rPr/>
        <w:t>2024.</w:t>
      </w:r>
      <w:r>
        <w:rPr>
          <w:spacing w:val="-2"/>
        </w:rPr>
        <w:t> </w:t>
      </w:r>
      <w:r>
        <w:rPr/>
        <w:t>Sin</w:t>
      </w:r>
      <w:r>
        <w:rPr>
          <w:spacing w:val="-3"/>
        </w:rPr>
        <w:t> </w:t>
      </w:r>
      <w:r>
        <w:rPr/>
        <w:t>embargo,</w:t>
      </w:r>
      <w:r>
        <w:rPr>
          <w:spacing w:val="-1"/>
        </w:rPr>
        <w:t> </w:t>
      </w:r>
      <w:r>
        <w:rPr/>
        <w:t>las</w:t>
      </w:r>
      <w:r>
        <w:rPr>
          <w:spacing w:val="-4"/>
        </w:rPr>
        <w:t> </w:t>
      </w:r>
      <w:r>
        <w:rPr/>
        <w:t>actuaciones</w:t>
      </w:r>
      <w:r>
        <w:rPr>
          <w:spacing w:val="-3"/>
        </w:rPr>
        <w:t> </w:t>
      </w:r>
      <w:r>
        <w:rPr/>
        <w:t>no</w:t>
      </w:r>
      <w:r>
        <w:rPr>
          <w:spacing w:val="-3"/>
        </w:rPr>
        <w:t> </w:t>
      </w:r>
      <w:r>
        <w:rPr/>
        <w:t>han</w:t>
      </w:r>
      <w:r>
        <w:rPr>
          <w:spacing w:val="-1"/>
        </w:rPr>
        <w:t> </w:t>
      </w:r>
      <w:r>
        <w:rPr/>
        <w:t>finalizado en</w:t>
      </w:r>
      <w:r>
        <w:rPr>
          <w:spacing w:val="-2"/>
        </w:rPr>
        <w:t> </w:t>
      </w:r>
      <w:r>
        <w:rPr/>
        <w:t>el</w:t>
      </w:r>
      <w:r>
        <w:rPr>
          <w:spacing w:val="-3"/>
        </w:rPr>
        <w:t> </w:t>
      </w:r>
      <w:r>
        <w:rPr/>
        <w:t>plazo</w:t>
      </w:r>
      <w:r>
        <w:rPr>
          <w:spacing w:val="-2"/>
        </w:rPr>
        <w:t> </w:t>
      </w:r>
      <w:r>
        <w:rPr/>
        <w:t>estipulado,</w:t>
      </w:r>
      <w:r>
        <w:rPr>
          <w:spacing w:val="-1"/>
        </w:rPr>
        <w:t> </w:t>
      </w:r>
      <w:r>
        <w:rPr/>
        <w:t>estando</w:t>
      </w:r>
      <w:r>
        <w:rPr>
          <w:spacing w:val="-1"/>
        </w:rPr>
        <w:t> </w:t>
      </w:r>
      <w:r>
        <w:rPr/>
        <w:t>a</w:t>
      </w:r>
      <w:r>
        <w:rPr>
          <w:spacing w:val="-4"/>
        </w:rPr>
        <w:t> </w:t>
      </w:r>
      <w:r>
        <w:rPr/>
        <w:t>fecha</w:t>
      </w:r>
      <w:r>
        <w:rPr>
          <w:spacing w:val="-2"/>
        </w:rPr>
        <w:t> </w:t>
      </w:r>
      <w:r>
        <w:rPr/>
        <w:t>de</w:t>
      </w:r>
      <w:r>
        <w:rPr>
          <w:spacing w:val="-4"/>
        </w:rPr>
        <w:t> </w:t>
      </w:r>
      <w:r>
        <w:rPr/>
        <w:t>corte</w:t>
      </w:r>
      <w:r>
        <w:rPr>
          <w:spacing w:val="-4"/>
        </w:rPr>
        <w:t> </w:t>
      </w:r>
      <w:r>
        <w:rPr/>
        <w:t>de</w:t>
      </w:r>
      <w:r>
        <w:rPr>
          <w:spacing w:val="-2"/>
        </w:rPr>
        <w:t> </w:t>
      </w:r>
      <w:r>
        <w:rPr/>
        <w:t>la</w:t>
      </w:r>
      <w:r>
        <w:rPr>
          <w:spacing w:val="-2"/>
        </w:rPr>
        <w:t> </w:t>
      </w:r>
      <w:r>
        <w:rPr/>
        <w:t>fiscalización en</w:t>
      </w:r>
      <w:r>
        <w:rPr>
          <w:spacing w:val="-4"/>
        </w:rPr>
        <w:t> </w:t>
      </w:r>
      <w:r>
        <w:rPr/>
        <w:t>ejecución. La</w:t>
      </w:r>
      <w:r>
        <w:rPr>
          <w:spacing w:val="-4"/>
        </w:rPr>
        <w:t> </w:t>
      </w:r>
      <w:r>
        <w:rPr/>
        <w:t>entidad</w:t>
      </w:r>
      <w:r>
        <w:rPr>
          <w:spacing w:val="-2"/>
        </w:rPr>
        <w:t> </w:t>
      </w:r>
      <w:r>
        <w:rPr/>
        <w:t>solicitó ampliación de plazo al MITMA hasta diciembre de 2025, aduciendo retrasos en el suministro y fabricación de materias primas y elementos tecnológicos y demoras en la licitación del nuevo contrato del servicio público de la nueva red de transporte público colectivo en autobús. Dicha ampliación ha sido autorizada. Además, estas actuaciones sobre sistemas inteligentes asociados al</w:t>
      </w:r>
      <w:r>
        <w:rPr>
          <w:spacing w:val="-15"/>
        </w:rPr>
        <w:t> </w:t>
      </w:r>
      <w:r>
        <w:rPr/>
        <w:t>transporte</w:t>
      </w:r>
      <w:r>
        <w:rPr>
          <w:spacing w:val="-14"/>
        </w:rPr>
        <w:t> </w:t>
      </w:r>
      <w:r>
        <w:rPr/>
        <w:t>se</w:t>
      </w:r>
      <w:r>
        <w:rPr>
          <w:spacing w:val="-13"/>
        </w:rPr>
        <w:t> </w:t>
      </w:r>
      <w:r>
        <w:rPr/>
        <w:t>facilitarán</w:t>
      </w:r>
      <w:r>
        <w:rPr>
          <w:spacing w:val="-12"/>
        </w:rPr>
        <w:t> </w:t>
      </w:r>
      <w:r>
        <w:rPr/>
        <w:t>por</w:t>
      </w:r>
      <w:r>
        <w:rPr>
          <w:spacing w:val="-12"/>
        </w:rPr>
        <w:t> </w:t>
      </w:r>
      <w:r>
        <w:rPr/>
        <w:t>el</w:t>
      </w:r>
      <w:r>
        <w:rPr>
          <w:spacing w:val="-14"/>
        </w:rPr>
        <w:t> </w:t>
      </w:r>
      <w:r>
        <w:rPr/>
        <w:t>Ayuntamiento</w:t>
      </w:r>
      <w:r>
        <w:rPr>
          <w:spacing w:val="-12"/>
        </w:rPr>
        <w:t> </w:t>
      </w:r>
      <w:r>
        <w:rPr/>
        <w:t>al</w:t>
      </w:r>
      <w:r>
        <w:rPr>
          <w:spacing w:val="-16"/>
        </w:rPr>
        <w:t> </w:t>
      </w:r>
      <w:r>
        <w:rPr/>
        <w:t>nuevo</w:t>
      </w:r>
      <w:r>
        <w:rPr>
          <w:spacing w:val="-13"/>
        </w:rPr>
        <w:t> </w:t>
      </w:r>
      <w:r>
        <w:rPr/>
        <w:t>operador,</w:t>
      </w:r>
      <w:r>
        <w:rPr>
          <w:spacing w:val="-11"/>
        </w:rPr>
        <w:t> </w:t>
      </w:r>
      <w:r>
        <w:rPr/>
        <w:t>por</w:t>
      </w:r>
      <w:r>
        <w:rPr>
          <w:spacing w:val="-12"/>
        </w:rPr>
        <w:t> </w:t>
      </w:r>
      <w:r>
        <w:rPr/>
        <w:t>lo</w:t>
      </w:r>
      <w:r>
        <w:rPr>
          <w:spacing w:val="-13"/>
        </w:rPr>
        <w:t> </w:t>
      </w:r>
      <w:r>
        <w:rPr/>
        <w:t>que</w:t>
      </w:r>
      <w:r>
        <w:rPr>
          <w:spacing w:val="-13"/>
        </w:rPr>
        <w:t> </w:t>
      </w:r>
      <w:r>
        <w:rPr/>
        <w:t>hasta</w:t>
      </w:r>
      <w:r>
        <w:rPr>
          <w:spacing w:val="-13"/>
        </w:rPr>
        <w:t> </w:t>
      </w:r>
      <w:r>
        <w:rPr/>
        <w:t>que</w:t>
      </w:r>
      <w:r>
        <w:rPr>
          <w:spacing w:val="-15"/>
        </w:rPr>
        <w:t> </w:t>
      </w:r>
      <w:r>
        <w:rPr/>
        <w:t>no</w:t>
      </w:r>
      <w:r>
        <w:rPr>
          <w:spacing w:val="-13"/>
        </w:rPr>
        <w:t> </w:t>
      </w:r>
      <w:r>
        <w:rPr/>
        <w:t>se</w:t>
      </w:r>
      <w:r>
        <w:rPr>
          <w:spacing w:val="-15"/>
        </w:rPr>
        <w:t> </w:t>
      </w:r>
      <w:r>
        <w:rPr/>
        <w:t>tramite el</w:t>
      </w:r>
      <w:r>
        <w:rPr>
          <w:spacing w:val="-1"/>
        </w:rPr>
        <w:t> </w:t>
      </w:r>
      <w:r>
        <w:rPr/>
        <w:t>nuevo contrato de</w:t>
      </w:r>
      <w:r>
        <w:rPr>
          <w:spacing w:val="-2"/>
        </w:rPr>
        <w:t> </w:t>
      </w:r>
      <w:r>
        <w:rPr/>
        <w:t>prestación del servicio y</w:t>
      </w:r>
      <w:r>
        <w:rPr>
          <w:spacing w:val="-2"/>
        </w:rPr>
        <w:t> </w:t>
      </w:r>
      <w:r>
        <w:rPr/>
        <w:t>se</w:t>
      </w:r>
      <w:r>
        <w:rPr>
          <w:spacing w:val="-4"/>
        </w:rPr>
        <w:t> </w:t>
      </w:r>
      <w:r>
        <w:rPr/>
        <w:t>ponga en</w:t>
      </w:r>
      <w:r>
        <w:rPr>
          <w:spacing w:val="-2"/>
        </w:rPr>
        <w:t> </w:t>
      </w:r>
      <w:r>
        <w:rPr/>
        <w:t>marcha por el</w:t>
      </w:r>
      <w:r>
        <w:rPr>
          <w:spacing w:val="-3"/>
        </w:rPr>
        <w:t> </w:t>
      </w:r>
      <w:r>
        <w:rPr/>
        <w:t>que resulte</w:t>
      </w:r>
      <w:r>
        <w:rPr>
          <w:spacing w:val="-2"/>
        </w:rPr>
        <w:t> </w:t>
      </w:r>
      <w:r>
        <w:rPr/>
        <w:t>adjudicatario, estos sistemas no estarán operativos.</w:t>
      </w:r>
    </w:p>
    <w:p>
      <w:pPr>
        <w:pStyle w:val="BodyText"/>
        <w:spacing w:before="239"/>
        <w:ind w:left="992" w:right="987"/>
        <w:jc w:val="both"/>
      </w:pPr>
      <w:r>
        <w:rPr/>
        <w:t>Otra de las actuaciones ha consistido en el diseño, desarrollo, suministro e implantación de los nuevos medios de pago tarjeta inteligente en el transporte público municipal, por importe de 167.443,00 euros, IVA excluido. El contrato se formalizó en enero de 2024 y contaba con ocho meses de duración. Al igual que en el caso anterior, las actuaciones no han concluido en el plazo estipulado, habiendo autorizado el MITMA una ampliación de plazo hasta diciembre de 2025.</w:t>
      </w:r>
    </w:p>
    <w:p>
      <w:pPr>
        <w:pStyle w:val="BodyText"/>
        <w:spacing w:before="241"/>
        <w:ind w:left="992" w:right="987"/>
        <w:jc w:val="both"/>
      </w:pPr>
      <w:r>
        <w:rPr/>
        <w:t>El</w:t>
      </w:r>
      <w:r>
        <w:rPr>
          <w:spacing w:val="-2"/>
        </w:rPr>
        <w:t> </w:t>
      </w:r>
      <w:r>
        <w:rPr>
          <w:b/>
        </w:rPr>
        <w:t>Ayuntamiento</w:t>
      </w:r>
      <w:r>
        <w:rPr>
          <w:b/>
          <w:spacing w:val="-2"/>
        </w:rPr>
        <w:t> </w:t>
      </w:r>
      <w:r>
        <w:rPr>
          <w:b/>
        </w:rPr>
        <w:t>de</w:t>
      </w:r>
      <w:r>
        <w:rPr>
          <w:b/>
          <w:spacing w:val="-2"/>
        </w:rPr>
        <w:t> </w:t>
      </w:r>
      <w:r>
        <w:rPr>
          <w:b/>
        </w:rPr>
        <w:t>Palma </w:t>
      </w:r>
      <w:r>
        <w:rPr/>
        <w:t>ha</w:t>
      </w:r>
      <w:r>
        <w:rPr>
          <w:spacing w:val="-2"/>
        </w:rPr>
        <w:t> </w:t>
      </w:r>
      <w:r>
        <w:rPr/>
        <w:t>ejecutado, a</w:t>
      </w:r>
      <w:r>
        <w:rPr>
          <w:spacing w:val="-2"/>
        </w:rPr>
        <w:t> </w:t>
      </w:r>
      <w:r>
        <w:rPr/>
        <w:t>través</w:t>
      </w:r>
      <w:r>
        <w:rPr>
          <w:spacing w:val="-1"/>
        </w:rPr>
        <w:t> </w:t>
      </w:r>
      <w:r>
        <w:rPr/>
        <w:t>de</w:t>
      </w:r>
      <w:r>
        <w:rPr>
          <w:spacing w:val="-2"/>
        </w:rPr>
        <w:t> </w:t>
      </w:r>
      <w:r>
        <w:rPr/>
        <w:t>la empresa</w:t>
      </w:r>
      <w:r>
        <w:rPr>
          <w:spacing w:val="-4"/>
        </w:rPr>
        <w:t> </w:t>
      </w:r>
      <w:r>
        <w:rPr/>
        <w:t>municipal</w:t>
      </w:r>
      <w:r>
        <w:rPr>
          <w:spacing w:val="-1"/>
        </w:rPr>
        <w:t> </w:t>
      </w:r>
      <w:r>
        <w:rPr/>
        <w:t>de</w:t>
      </w:r>
      <w:r>
        <w:rPr>
          <w:spacing w:val="-2"/>
        </w:rPr>
        <w:t> </w:t>
      </w:r>
      <w:r>
        <w:rPr/>
        <w:t>transportes, cuatro actuaciones</w:t>
      </w:r>
      <w:r>
        <w:rPr>
          <w:spacing w:val="-16"/>
        </w:rPr>
        <w:t> </w:t>
      </w:r>
      <w:r>
        <w:rPr/>
        <w:t>para</w:t>
      </w:r>
      <w:r>
        <w:rPr>
          <w:spacing w:val="-15"/>
        </w:rPr>
        <w:t> </w:t>
      </w:r>
      <w:r>
        <w:rPr/>
        <w:t>la</w:t>
      </w:r>
      <w:r>
        <w:rPr>
          <w:spacing w:val="-15"/>
        </w:rPr>
        <w:t> </w:t>
      </w:r>
      <w:r>
        <w:rPr/>
        <w:t>digitalización</w:t>
      </w:r>
      <w:r>
        <w:rPr>
          <w:spacing w:val="-16"/>
        </w:rPr>
        <w:t> </w:t>
      </w:r>
      <w:r>
        <w:rPr/>
        <w:t>del</w:t>
      </w:r>
      <w:r>
        <w:rPr>
          <w:spacing w:val="-15"/>
        </w:rPr>
        <w:t> </w:t>
      </w:r>
      <w:r>
        <w:rPr/>
        <w:t>transporte</w:t>
      </w:r>
      <w:r>
        <w:rPr>
          <w:spacing w:val="-15"/>
        </w:rPr>
        <w:t> </w:t>
      </w:r>
      <w:r>
        <w:rPr/>
        <w:t>público</w:t>
      </w:r>
      <w:r>
        <w:rPr>
          <w:spacing w:val="-15"/>
        </w:rPr>
        <w:t> </w:t>
      </w:r>
      <w:r>
        <w:rPr/>
        <w:t>colectivo</w:t>
      </w:r>
      <w:r>
        <w:rPr>
          <w:spacing w:val="-16"/>
        </w:rPr>
        <w:t> </w:t>
      </w:r>
      <w:r>
        <w:rPr/>
        <w:t>por</w:t>
      </w:r>
      <w:r>
        <w:rPr>
          <w:spacing w:val="-15"/>
        </w:rPr>
        <w:t> </w:t>
      </w:r>
      <w:r>
        <w:rPr/>
        <w:t>importe</w:t>
      </w:r>
      <w:r>
        <w:rPr>
          <w:spacing w:val="-15"/>
        </w:rPr>
        <w:t> </w:t>
      </w:r>
      <w:r>
        <w:rPr/>
        <w:t>de</w:t>
      </w:r>
      <w:r>
        <w:rPr>
          <w:spacing w:val="-16"/>
        </w:rPr>
        <w:t> </w:t>
      </w:r>
      <w:r>
        <w:rPr/>
        <w:t>1.830.445,60</w:t>
      </w:r>
      <w:r>
        <w:rPr>
          <w:spacing w:val="-15"/>
        </w:rPr>
        <w:t> </w:t>
      </w:r>
      <w:r>
        <w:rPr/>
        <w:t>euros, IVA</w:t>
      </w:r>
      <w:r>
        <w:rPr>
          <w:spacing w:val="-2"/>
        </w:rPr>
        <w:t> </w:t>
      </w:r>
      <w:r>
        <w:rPr/>
        <w:t>excluido,</w:t>
      </w:r>
      <w:r>
        <w:rPr>
          <w:spacing w:val="-2"/>
        </w:rPr>
        <w:t> </w:t>
      </w:r>
      <w:r>
        <w:rPr/>
        <w:t>tres</w:t>
      </w:r>
      <w:r>
        <w:rPr>
          <w:spacing w:val="-1"/>
        </w:rPr>
        <w:t> </w:t>
      </w:r>
      <w:r>
        <w:rPr/>
        <w:t>de</w:t>
      </w:r>
      <w:r>
        <w:rPr>
          <w:spacing w:val="-4"/>
        </w:rPr>
        <w:t> </w:t>
      </w:r>
      <w:r>
        <w:rPr/>
        <w:t>ellas</w:t>
      </w:r>
      <w:r>
        <w:rPr>
          <w:spacing w:val="-2"/>
        </w:rPr>
        <w:t> </w:t>
      </w:r>
      <w:r>
        <w:rPr/>
        <w:t>financiadas</w:t>
      </w:r>
      <w:r>
        <w:rPr>
          <w:spacing w:val="-4"/>
        </w:rPr>
        <w:t> </w:t>
      </w:r>
      <w:r>
        <w:rPr/>
        <w:t>con</w:t>
      </w:r>
      <w:r>
        <w:rPr>
          <w:spacing w:val="-4"/>
        </w:rPr>
        <w:t> </w:t>
      </w:r>
      <w:r>
        <w:rPr/>
        <w:t>fondos</w:t>
      </w:r>
      <w:r>
        <w:rPr>
          <w:spacing w:val="-4"/>
        </w:rPr>
        <w:t> </w:t>
      </w:r>
      <w:r>
        <w:rPr/>
        <w:t>europeos. La</w:t>
      </w:r>
      <w:r>
        <w:rPr>
          <w:spacing w:val="-4"/>
        </w:rPr>
        <w:t> </w:t>
      </w:r>
      <w:r>
        <w:rPr/>
        <w:t>cuarta</w:t>
      </w:r>
      <w:r>
        <w:rPr>
          <w:spacing w:val="-3"/>
        </w:rPr>
        <w:t> </w:t>
      </w:r>
      <w:r>
        <w:rPr/>
        <w:t>actuación, consistente</w:t>
      </w:r>
      <w:r>
        <w:rPr>
          <w:spacing w:val="-4"/>
        </w:rPr>
        <w:t> </w:t>
      </w:r>
      <w:r>
        <w:rPr/>
        <w:t>en</w:t>
      </w:r>
      <w:r>
        <w:rPr>
          <w:spacing w:val="-2"/>
        </w:rPr>
        <w:t> </w:t>
      </w:r>
      <w:r>
        <w:rPr/>
        <w:t>el suministro, instalación y mantenimiento del software para pantallas multimedia, formaba parte del proyecto subvencionado, pero finalmente se ha financiado exclusivamente con fondos propios de la entidad local.</w:t>
      </w:r>
    </w:p>
    <w:p>
      <w:pPr>
        <w:pStyle w:val="BodyText"/>
        <w:spacing w:before="241"/>
        <w:ind w:left="992" w:right="987"/>
        <w:jc w:val="both"/>
      </w:pPr>
      <w:r>
        <w:rPr/>
        <w:t>Con estas actuaciones la entidad pretendía ampliar los puntos de información al viajero mediante pantallas tanto en el interior de los autobuses como en algunas paradas de la red de la empresa municipal y la implementación de herramientas de análisis, visualización y tratamiento de datos geoespaciales y georreferenciados (posiciones de vehículos, velocidad, accidentes, estado infraestructura, etc.).</w:t>
      </w:r>
    </w:p>
    <w:p>
      <w:pPr>
        <w:pStyle w:val="BodyText"/>
        <w:spacing w:before="240"/>
        <w:ind w:left="992" w:right="988"/>
        <w:jc w:val="both"/>
      </w:pPr>
      <w:r>
        <w:rPr/>
        <w:t>Para la primera de ellas, la de ampliar la información al viajero, la entidad tramitó tres expedientes contractuales, dos para el suministro de pantallas de información y otro para el suministro, instalación</w:t>
      </w:r>
      <w:r>
        <w:rPr>
          <w:spacing w:val="-4"/>
        </w:rPr>
        <w:t> </w:t>
      </w:r>
      <w:r>
        <w:rPr/>
        <w:t>y</w:t>
      </w:r>
      <w:r>
        <w:rPr>
          <w:spacing w:val="-6"/>
        </w:rPr>
        <w:t> </w:t>
      </w:r>
      <w:r>
        <w:rPr/>
        <w:t>mantenimiento</w:t>
      </w:r>
      <w:r>
        <w:rPr>
          <w:spacing w:val="-4"/>
        </w:rPr>
        <w:t> </w:t>
      </w:r>
      <w:r>
        <w:rPr/>
        <w:t>del</w:t>
      </w:r>
      <w:r>
        <w:rPr>
          <w:spacing w:val="-7"/>
        </w:rPr>
        <w:t> </w:t>
      </w:r>
      <w:r>
        <w:rPr/>
        <w:t>software</w:t>
      </w:r>
      <w:r>
        <w:rPr>
          <w:spacing w:val="-6"/>
        </w:rPr>
        <w:t> </w:t>
      </w:r>
      <w:r>
        <w:rPr/>
        <w:t>para</w:t>
      </w:r>
      <w:r>
        <w:rPr>
          <w:spacing w:val="-6"/>
        </w:rPr>
        <w:t> </w:t>
      </w:r>
      <w:r>
        <w:rPr/>
        <w:t>pantallas.</w:t>
      </w:r>
      <w:r>
        <w:rPr>
          <w:spacing w:val="-3"/>
        </w:rPr>
        <w:t> </w:t>
      </w:r>
      <w:r>
        <w:rPr/>
        <w:t>Uno</w:t>
      </w:r>
      <w:r>
        <w:rPr>
          <w:spacing w:val="-7"/>
        </w:rPr>
        <w:t> </w:t>
      </w:r>
      <w:r>
        <w:rPr/>
        <w:t>de</w:t>
      </w:r>
      <w:r>
        <w:rPr>
          <w:spacing w:val="-4"/>
        </w:rPr>
        <w:t> </w:t>
      </w:r>
      <w:r>
        <w:rPr/>
        <w:t>esos</w:t>
      </w:r>
      <w:r>
        <w:rPr>
          <w:spacing w:val="-4"/>
        </w:rPr>
        <w:t> </w:t>
      </w:r>
      <w:r>
        <w:rPr/>
        <w:t>expedientes,</w:t>
      </w:r>
      <w:r>
        <w:rPr>
          <w:spacing w:val="-5"/>
        </w:rPr>
        <w:t> </w:t>
      </w:r>
      <w:r>
        <w:rPr/>
        <w:t>el</w:t>
      </w:r>
      <w:r>
        <w:rPr>
          <w:spacing w:val="-5"/>
        </w:rPr>
        <w:t> </w:t>
      </w:r>
      <w:r>
        <w:rPr/>
        <w:t>de</w:t>
      </w:r>
      <w:r>
        <w:rPr>
          <w:spacing w:val="-7"/>
        </w:rPr>
        <w:t> </w:t>
      </w:r>
      <w:r>
        <w:rPr/>
        <w:t>suministro de</w:t>
      </w:r>
      <w:r>
        <w:rPr>
          <w:spacing w:val="6"/>
        </w:rPr>
        <w:t> </w:t>
      </w:r>
      <w:r>
        <w:rPr/>
        <w:t>pantallas</w:t>
      </w:r>
      <w:r>
        <w:rPr>
          <w:spacing w:val="6"/>
        </w:rPr>
        <w:t> </w:t>
      </w:r>
      <w:r>
        <w:rPr/>
        <w:t>de</w:t>
      </w:r>
      <w:r>
        <w:rPr>
          <w:spacing w:val="8"/>
        </w:rPr>
        <w:t> </w:t>
      </w:r>
      <w:r>
        <w:rPr/>
        <w:t>información</w:t>
      </w:r>
      <w:r>
        <w:rPr>
          <w:spacing w:val="8"/>
        </w:rPr>
        <w:t> </w:t>
      </w:r>
      <w:r>
        <w:rPr/>
        <w:t>al</w:t>
      </w:r>
      <w:r>
        <w:rPr>
          <w:spacing w:val="7"/>
        </w:rPr>
        <w:t> </w:t>
      </w:r>
      <w:r>
        <w:rPr/>
        <w:t>viajero</w:t>
      </w:r>
      <w:r>
        <w:rPr>
          <w:spacing w:val="8"/>
        </w:rPr>
        <w:t> </w:t>
      </w:r>
      <w:r>
        <w:rPr/>
        <w:t>en</w:t>
      </w:r>
      <w:r>
        <w:rPr>
          <w:spacing w:val="6"/>
        </w:rPr>
        <w:t> </w:t>
      </w:r>
      <w:r>
        <w:rPr/>
        <w:t>el</w:t>
      </w:r>
      <w:r>
        <w:rPr>
          <w:spacing w:val="5"/>
        </w:rPr>
        <w:t> </w:t>
      </w:r>
      <w:r>
        <w:rPr/>
        <w:t>interior</w:t>
      </w:r>
      <w:r>
        <w:rPr>
          <w:spacing w:val="9"/>
        </w:rPr>
        <w:t> </w:t>
      </w:r>
      <w:r>
        <w:rPr/>
        <w:t>de</w:t>
      </w:r>
      <w:r>
        <w:rPr>
          <w:spacing w:val="5"/>
        </w:rPr>
        <w:t> </w:t>
      </w:r>
      <w:r>
        <w:rPr/>
        <w:t>los</w:t>
      </w:r>
      <w:r>
        <w:rPr>
          <w:spacing w:val="8"/>
        </w:rPr>
        <w:t> </w:t>
      </w:r>
      <w:r>
        <w:rPr/>
        <w:t>autobuses</w:t>
      </w:r>
      <w:r>
        <w:rPr>
          <w:spacing w:val="6"/>
        </w:rPr>
        <w:t> </w:t>
      </w:r>
      <w:r>
        <w:rPr/>
        <w:t>y</w:t>
      </w:r>
      <w:r>
        <w:rPr>
          <w:spacing w:val="7"/>
        </w:rPr>
        <w:t> </w:t>
      </w:r>
      <w:r>
        <w:rPr/>
        <w:t>en</w:t>
      </w:r>
      <w:r>
        <w:rPr>
          <w:spacing w:val="5"/>
        </w:rPr>
        <w:t> </w:t>
      </w:r>
      <w:r>
        <w:rPr/>
        <w:t>algunas</w:t>
      </w:r>
      <w:r>
        <w:rPr>
          <w:spacing w:val="9"/>
        </w:rPr>
        <w:t> </w:t>
      </w:r>
      <w:r>
        <w:rPr/>
        <w:t>de</w:t>
      </w:r>
      <w:r>
        <w:rPr>
          <w:spacing w:val="5"/>
        </w:rPr>
        <w:t> </w:t>
      </w:r>
      <w:r>
        <w:rPr/>
        <w:t>las</w:t>
      </w:r>
      <w:r>
        <w:rPr>
          <w:spacing w:val="7"/>
        </w:rPr>
        <w:t> </w:t>
      </w:r>
      <w:r>
        <w:rPr>
          <w:spacing w:val="-2"/>
        </w:rPr>
        <w:t>paradas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1"/>
        <w:rPr>
          <w:sz w:val="20"/>
        </w:rPr>
      </w:pPr>
      <w:r>
        <w:rPr>
          <w:sz w:val="20"/>
        </w:rPr>
        <mc:AlternateContent>
          <mc:Choice Requires="wps">
            <w:drawing>
              <wp:anchor distT="0" distB="0" distL="0" distR="0" allowOverlap="1" layoutInCell="1" locked="0" behindDoc="1" simplePos="0" relativeHeight="487614976">
                <wp:simplePos x="0" y="0"/>
                <wp:positionH relativeFrom="page">
                  <wp:posOffset>719632</wp:posOffset>
                </wp:positionH>
                <wp:positionV relativeFrom="paragraph">
                  <wp:posOffset>200102</wp:posOffset>
                </wp:positionV>
                <wp:extent cx="1829435" cy="9525"/>
                <wp:effectExtent l="0" t="0" r="0" b="0"/>
                <wp:wrapTopAndBottom/>
                <wp:docPr id="180" name="Graphic 180"/>
                <wp:cNvGraphicFramePr>
                  <a:graphicFrameLocks/>
                </wp:cNvGraphicFramePr>
                <a:graphic>
                  <a:graphicData uri="http://schemas.microsoft.com/office/word/2010/wordprocessingShape">
                    <wps:wsp>
                      <wps:cNvPr id="180" name="Graphic 180"/>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5.756067pt;width:144.020pt;height:.72003pt;mso-position-horizontal-relative:page;mso-position-vertical-relative:paragraph;z-index:-15701504;mso-wrap-distance-left:0;mso-wrap-distance-right:0" id="docshape162" filled="true" fillcolor="#000000" stroked="false">
                <v:fill type="solid"/>
                <w10:wrap type="topAndBottom"/>
              </v:rect>
            </w:pict>
          </mc:Fallback>
        </mc:AlternateContent>
      </w:r>
    </w:p>
    <w:p>
      <w:pPr>
        <w:spacing w:before="118"/>
        <w:ind w:left="992" w:right="907" w:firstLine="0"/>
        <w:jc w:val="left"/>
        <w:rPr>
          <w:sz w:val="18"/>
        </w:rPr>
      </w:pPr>
      <w:bookmarkStart w:name="_bookmark83" w:id="85"/>
      <w:bookmarkEnd w:id="85"/>
      <w:r>
        <w:rPr/>
      </w:r>
      <w:r>
        <w:rPr>
          <w:position w:val="6"/>
          <w:sz w:val="12"/>
        </w:rPr>
        <w:t>56</w:t>
      </w:r>
      <w:r>
        <w:rPr>
          <w:spacing w:val="8"/>
          <w:position w:val="6"/>
          <w:sz w:val="12"/>
        </w:rPr>
        <w:t> </w:t>
      </w:r>
      <w:r>
        <w:rPr>
          <w:sz w:val="18"/>
        </w:rPr>
        <w:t>Entre</w:t>
      </w:r>
      <w:r>
        <w:rPr>
          <w:spacing w:val="-11"/>
          <w:sz w:val="18"/>
        </w:rPr>
        <w:t> </w:t>
      </w:r>
      <w:r>
        <w:rPr>
          <w:sz w:val="18"/>
        </w:rPr>
        <w:t>otros,</w:t>
      </w:r>
      <w:r>
        <w:rPr>
          <w:spacing w:val="-11"/>
          <w:sz w:val="18"/>
        </w:rPr>
        <w:t> </w:t>
      </w:r>
      <w:r>
        <w:rPr>
          <w:sz w:val="18"/>
        </w:rPr>
        <w:t>suministro</w:t>
      </w:r>
      <w:r>
        <w:rPr>
          <w:spacing w:val="-11"/>
          <w:sz w:val="18"/>
        </w:rPr>
        <w:t> </w:t>
      </w:r>
      <w:r>
        <w:rPr>
          <w:sz w:val="18"/>
        </w:rPr>
        <w:t>de</w:t>
      </w:r>
      <w:r>
        <w:rPr>
          <w:spacing w:val="-11"/>
          <w:sz w:val="18"/>
        </w:rPr>
        <w:t> </w:t>
      </w:r>
      <w:r>
        <w:rPr>
          <w:sz w:val="18"/>
        </w:rPr>
        <w:t>los</w:t>
      </w:r>
      <w:r>
        <w:rPr>
          <w:spacing w:val="-13"/>
          <w:sz w:val="18"/>
        </w:rPr>
        <w:t> </w:t>
      </w:r>
      <w:r>
        <w:rPr>
          <w:sz w:val="18"/>
        </w:rPr>
        <w:t>equipos</w:t>
      </w:r>
      <w:r>
        <w:rPr>
          <w:spacing w:val="-10"/>
          <w:sz w:val="18"/>
        </w:rPr>
        <w:t> </w:t>
      </w:r>
      <w:r>
        <w:rPr>
          <w:sz w:val="18"/>
        </w:rPr>
        <w:t>embarcados</w:t>
      </w:r>
      <w:r>
        <w:rPr>
          <w:spacing w:val="-11"/>
          <w:sz w:val="18"/>
        </w:rPr>
        <w:t> </w:t>
      </w:r>
      <w:r>
        <w:rPr>
          <w:sz w:val="18"/>
        </w:rPr>
        <w:t>en</w:t>
      </w:r>
      <w:r>
        <w:rPr>
          <w:spacing w:val="-11"/>
          <w:sz w:val="18"/>
        </w:rPr>
        <w:t> </w:t>
      </w:r>
      <w:r>
        <w:rPr>
          <w:sz w:val="18"/>
        </w:rPr>
        <w:t>los</w:t>
      </w:r>
      <w:r>
        <w:rPr>
          <w:spacing w:val="-8"/>
          <w:sz w:val="18"/>
        </w:rPr>
        <w:t> </w:t>
      </w:r>
      <w:r>
        <w:rPr>
          <w:sz w:val="18"/>
        </w:rPr>
        <w:t>autobuses</w:t>
      </w:r>
      <w:r>
        <w:rPr>
          <w:spacing w:val="-11"/>
          <w:sz w:val="18"/>
        </w:rPr>
        <w:t> </w:t>
      </w:r>
      <w:r>
        <w:rPr>
          <w:sz w:val="18"/>
        </w:rPr>
        <w:t>para</w:t>
      </w:r>
      <w:r>
        <w:rPr>
          <w:spacing w:val="-11"/>
          <w:sz w:val="18"/>
        </w:rPr>
        <w:t> </w:t>
      </w:r>
      <w:r>
        <w:rPr>
          <w:sz w:val="18"/>
        </w:rPr>
        <w:t>validación</w:t>
      </w:r>
      <w:r>
        <w:rPr>
          <w:spacing w:val="-11"/>
          <w:sz w:val="18"/>
        </w:rPr>
        <w:t> </w:t>
      </w:r>
      <w:r>
        <w:rPr>
          <w:sz w:val="18"/>
        </w:rPr>
        <w:t>y</w:t>
      </w:r>
      <w:r>
        <w:rPr>
          <w:spacing w:val="-11"/>
          <w:sz w:val="18"/>
        </w:rPr>
        <w:t> </w:t>
      </w:r>
      <w:r>
        <w:rPr>
          <w:sz w:val="18"/>
        </w:rPr>
        <w:t>venta,</w:t>
      </w:r>
      <w:r>
        <w:rPr>
          <w:spacing w:val="-9"/>
          <w:sz w:val="18"/>
        </w:rPr>
        <w:t> </w:t>
      </w:r>
      <w:r>
        <w:rPr>
          <w:sz w:val="18"/>
        </w:rPr>
        <w:t>equipos</w:t>
      </w:r>
      <w:r>
        <w:rPr>
          <w:spacing w:val="-11"/>
          <w:sz w:val="18"/>
        </w:rPr>
        <w:t> </w:t>
      </w:r>
      <w:r>
        <w:rPr>
          <w:sz w:val="18"/>
        </w:rPr>
        <w:t>del</w:t>
      </w:r>
      <w:r>
        <w:rPr>
          <w:spacing w:val="-9"/>
          <w:sz w:val="18"/>
        </w:rPr>
        <w:t> </w:t>
      </w:r>
      <w:r>
        <w:rPr>
          <w:sz w:val="18"/>
        </w:rPr>
        <w:t>SAE</w:t>
      </w:r>
      <w:r>
        <w:rPr>
          <w:spacing w:val="-12"/>
          <w:sz w:val="18"/>
        </w:rPr>
        <w:t> </w:t>
      </w:r>
      <w:r>
        <w:rPr>
          <w:sz w:val="18"/>
        </w:rPr>
        <w:t>y</w:t>
      </w:r>
      <w:r>
        <w:rPr>
          <w:spacing w:val="-11"/>
          <w:sz w:val="18"/>
        </w:rPr>
        <w:t> </w:t>
      </w:r>
      <w:r>
        <w:rPr>
          <w:sz w:val="18"/>
        </w:rPr>
        <w:t>equipos del sistema de información al viajero.</w:t>
      </w:r>
    </w:p>
    <w:p>
      <w:pPr>
        <w:spacing w:after="0"/>
        <w:jc w:val="left"/>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6"/>
        <w:jc w:val="both"/>
      </w:pPr>
      <w:r>
        <w:rPr/>
        <w:t>de</w:t>
      </w:r>
      <w:r>
        <w:rPr>
          <w:spacing w:val="-3"/>
        </w:rPr>
        <w:t> </w:t>
      </w:r>
      <w:r>
        <w:rPr/>
        <w:t>la</w:t>
      </w:r>
      <w:r>
        <w:rPr>
          <w:spacing w:val="-3"/>
        </w:rPr>
        <w:t> </w:t>
      </w:r>
      <w:r>
        <w:rPr/>
        <w:t>red</w:t>
      </w:r>
      <w:r>
        <w:rPr>
          <w:spacing w:val="-3"/>
        </w:rPr>
        <w:t> </w:t>
      </w:r>
      <w:r>
        <w:rPr/>
        <w:t>de</w:t>
      </w:r>
      <w:r>
        <w:rPr>
          <w:spacing w:val="-6"/>
        </w:rPr>
        <w:t> </w:t>
      </w:r>
      <w:r>
        <w:rPr/>
        <w:t>la</w:t>
      </w:r>
      <w:r>
        <w:rPr>
          <w:spacing w:val="-3"/>
        </w:rPr>
        <w:t> </w:t>
      </w:r>
      <w:r>
        <w:rPr/>
        <w:t>empresa</w:t>
      </w:r>
      <w:r>
        <w:rPr>
          <w:spacing w:val="-6"/>
        </w:rPr>
        <w:t> </w:t>
      </w:r>
      <w:r>
        <w:rPr/>
        <w:t>municipal,</w:t>
      </w:r>
      <w:r>
        <w:rPr>
          <w:spacing w:val="-2"/>
        </w:rPr>
        <w:t> </w:t>
      </w:r>
      <w:r>
        <w:rPr/>
        <w:t>se</w:t>
      </w:r>
      <w:r>
        <w:rPr>
          <w:spacing w:val="-3"/>
        </w:rPr>
        <w:t> </w:t>
      </w:r>
      <w:r>
        <w:rPr/>
        <w:t>dividió</w:t>
      </w:r>
      <w:r>
        <w:rPr>
          <w:spacing w:val="-3"/>
        </w:rPr>
        <w:t> </w:t>
      </w:r>
      <w:r>
        <w:rPr/>
        <w:t>en</w:t>
      </w:r>
      <w:r>
        <w:rPr>
          <w:spacing w:val="-3"/>
        </w:rPr>
        <w:t> </w:t>
      </w:r>
      <w:r>
        <w:rPr/>
        <w:t>dos</w:t>
      </w:r>
      <w:r>
        <w:rPr>
          <w:spacing w:val="-3"/>
        </w:rPr>
        <w:t> </w:t>
      </w:r>
      <w:r>
        <w:rPr/>
        <w:t>lotes,</w:t>
      </w:r>
      <w:r>
        <w:rPr>
          <w:spacing w:val="-4"/>
        </w:rPr>
        <w:t> </w:t>
      </w:r>
      <w:r>
        <w:rPr/>
        <w:t>adjudicados</w:t>
      </w:r>
      <w:r>
        <w:rPr>
          <w:spacing w:val="-5"/>
        </w:rPr>
        <w:t> </w:t>
      </w:r>
      <w:r>
        <w:rPr/>
        <w:t>en</w:t>
      </w:r>
      <w:r>
        <w:rPr>
          <w:spacing w:val="-6"/>
        </w:rPr>
        <w:t> </w:t>
      </w:r>
      <w:r>
        <w:rPr/>
        <w:t>septiembre</w:t>
      </w:r>
      <w:r>
        <w:rPr>
          <w:spacing w:val="-3"/>
        </w:rPr>
        <w:t> </w:t>
      </w:r>
      <w:r>
        <w:rPr/>
        <w:t>de</w:t>
      </w:r>
      <w:r>
        <w:rPr>
          <w:spacing w:val="-3"/>
        </w:rPr>
        <w:t> </w:t>
      </w:r>
      <w:r>
        <w:rPr/>
        <w:t>2022</w:t>
      </w:r>
      <w:hyperlink w:history="true" w:anchor="_bookmark84">
        <w:r>
          <w:rPr>
            <w:vertAlign w:val="superscript"/>
          </w:rPr>
          <w:t>57</w:t>
        </w:r>
      </w:hyperlink>
      <w:r>
        <w:rPr>
          <w:vertAlign w:val="baseline"/>
        </w:rPr>
        <w:t>.</w:t>
      </w:r>
      <w:r>
        <w:rPr>
          <w:spacing w:val="-2"/>
          <w:vertAlign w:val="baseline"/>
        </w:rPr>
        <w:t> </w:t>
      </w:r>
      <w:r>
        <w:rPr>
          <w:vertAlign w:val="baseline"/>
        </w:rPr>
        <w:t>El primero de los lotes debía concluir en marzo de 2023, pero se recibió con una demora de nueve </w:t>
      </w:r>
      <w:r>
        <w:rPr>
          <w:spacing w:val="-2"/>
          <w:vertAlign w:val="baseline"/>
        </w:rPr>
        <w:t>meses.</w:t>
      </w:r>
    </w:p>
    <w:p>
      <w:pPr>
        <w:pStyle w:val="BodyText"/>
        <w:spacing w:before="242"/>
        <w:ind w:left="992" w:right="987"/>
        <w:jc w:val="both"/>
      </w:pPr>
      <w:r>
        <w:rPr/>
        <w:t>La empresa municipal de transporte público colectivo del </w:t>
      </w:r>
      <w:r>
        <w:rPr>
          <w:b/>
        </w:rPr>
        <w:t>Ayuntamiento de Sevilla </w:t>
      </w:r>
      <w:r>
        <w:rPr/>
        <w:t>ha acometido durante</w:t>
      </w:r>
      <w:r>
        <w:rPr>
          <w:spacing w:val="-2"/>
        </w:rPr>
        <w:t> </w:t>
      </w:r>
      <w:r>
        <w:rPr/>
        <w:t>los</w:t>
      </w:r>
      <w:r>
        <w:rPr>
          <w:spacing w:val="-1"/>
        </w:rPr>
        <w:t> </w:t>
      </w:r>
      <w:r>
        <w:rPr/>
        <w:t>ejercicios</w:t>
      </w:r>
      <w:r>
        <w:rPr>
          <w:spacing w:val="-4"/>
        </w:rPr>
        <w:t> </w:t>
      </w:r>
      <w:r>
        <w:rPr/>
        <w:t>fiscalizados</w:t>
      </w:r>
      <w:r>
        <w:rPr>
          <w:spacing w:val="-2"/>
        </w:rPr>
        <w:t> </w:t>
      </w:r>
      <w:r>
        <w:rPr/>
        <w:t>dos</w:t>
      </w:r>
      <w:r>
        <w:rPr>
          <w:spacing w:val="-2"/>
        </w:rPr>
        <w:t> </w:t>
      </w:r>
      <w:r>
        <w:rPr/>
        <w:t>actuaciones</w:t>
      </w:r>
      <w:r>
        <w:rPr>
          <w:spacing w:val="-2"/>
        </w:rPr>
        <w:t> </w:t>
      </w:r>
      <w:r>
        <w:rPr/>
        <w:t>en</w:t>
      </w:r>
      <w:r>
        <w:rPr>
          <w:spacing w:val="-2"/>
        </w:rPr>
        <w:t> </w:t>
      </w:r>
      <w:r>
        <w:rPr/>
        <w:t>materia</w:t>
      </w:r>
      <w:r>
        <w:rPr>
          <w:spacing w:val="-2"/>
        </w:rPr>
        <w:t> </w:t>
      </w:r>
      <w:r>
        <w:rPr/>
        <w:t>de</w:t>
      </w:r>
      <w:r>
        <w:rPr>
          <w:spacing w:val="-2"/>
        </w:rPr>
        <w:t> </w:t>
      </w:r>
      <w:r>
        <w:rPr/>
        <w:t>digitalización, el</w:t>
      </w:r>
      <w:r>
        <w:rPr>
          <w:spacing w:val="-3"/>
        </w:rPr>
        <w:t> </w:t>
      </w:r>
      <w:r>
        <w:rPr/>
        <w:t>pago</w:t>
      </w:r>
      <w:r>
        <w:rPr>
          <w:spacing w:val="-2"/>
        </w:rPr>
        <w:t> </w:t>
      </w:r>
      <w:r>
        <w:rPr/>
        <w:t>directo</w:t>
      </w:r>
      <w:r>
        <w:rPr>
          <w:spacing w:val="-1"/>
        </w:rPr>
        <w:t> </w:t>
      </w:r>
      <w:r>
        <w:rPr/>
        <w:t>con tarjeta bancaria sin contacto y el acceso a internet en la flota.</w:t>
      </w:r>
    </w:p>
    <w:p>
      <w:pPr>
        <w:pStyle w:val="BodyText"/>
        <w:spacing w:before="239"/>
        <w:ind w:left="992" w:right="986"/>
        <w:jc w:val="both"/>
      </w:pPr>
      <w:r>
        <w:rPr/>
        <w:t>La</w:t>
      </w:r>
      <w:r>
        <w:rPr>
          <w:spacing w:val="-12"/>
        </w:rPr>
        <w:t> </w:t>
      </w:r>
      <w:r>
        <w:rPr/>
        <w:t>primera</w:t>
      </w:r>
      <w:r>
        <w:rPr>
          <w:spacing w:val="-11"/>
        </w:rPr>
        <w:t> </w:t>
      </w:r>
      <w:r>
        <w:rPr/>
        <w:t>ha</w:t>
      </w:r>
      <w:r>
        <w:rPr>
          <w:spacing w:val="-11"/>
        </w:rPr>
        <w:t> </w:t>
      </w:r>
      <w:r>
        <w:rPr/>
        <w:t>estado</w:t>
      </w:r>
      <w:r>
        <w:rPr>
          <w:spacing w:val="-11"/>
        </w:rPr>
        <w:t> </w:t>
      </w:r>
      <w:r>
        <w:rPr/>
        <w:t>dirigida</w:t>
      </w:r>
      <w:r>
        <w:rPr>
          <w:spacing w:val="-12"/>
        </w:rPr>
        <w:t> </w:t>
      </w:r>
      <w:r>
        <w:rPr/>
        <w:t>a</w:t>
      </w:r>
      <w:r>
        <w:rPr>
          <w:spacing w:val="-11"/>
        </w:rPr>
        <w:t> </w:t>
      </w:r>
      <w:r>
        <w:rPr/>
        <w:t>implantar</w:t>
      </w:r>
      <w:r>
        <w:rPr>
          <w:spacing w:val="-10"/>
        </w:rPr>
        <w:t> </w:t>
      </w:r>
      <w:r>
        <w:rPr/>
        <w:t>el</w:t>
      </w:r>
      <w:r>
        <w:rPr>
          <w:spacing w:val="-12"/>
        </w:rPr>
        <w:t> </w:t>
      </w:r>
      <w:r>
        <w:rPr/>
        <w:t>pago</w:t>
      </w:r>
      <w:r>
        <w:rPr>
          <w:spacing w:val="-15"/>
        </w:rPr>
        <w:t> </w:t>
      </w:r>
      <w:r>
        <w:rPr>
          <w:color w:val="1F1F1F"/>
        </w:rPr>
        <w:t>directo</w:t>
      </w:r>
      <w:r>
        <w:rPr>
          <w:color w:val="1F1F1F"/>
          <w:spacing w:val="-11"/>
        </w:rPr>
        <w:t> </w:t>
      </w:r>
      <w:r>
        <w:rPr>
          <w:color w:val="1F1F1F"/>
        </w:rPr>
        <w:t>con</w:t>
      </w:r>
      <w:r>
        <w:rPr>
          <w:color w:val="1F1F1F"/>
          <w:spacing w:val="-14"/>
        </w:rPr>
        <w:t> </w:t>
      </w:r>
      <w:r>
        <w:rPr>
          <w:color w:val="1F1F1F"/>
        </w:rPr>
        <w:t>tarjeta</w:t>
      </w:r>
      <w:r>
        <w:rPr>
          <w:color w:val="1F1F1F"/>
          <w:spacing w:val="-11"/>
        </w:rPr>
        <w:t> </w:t>
      </w:r>
      <w:r>
        <w:rPr>
          <w:color w:val="1F1F1F"/>
        </w:rPr>
        <w:t>bancaria</w:t>
      </w:r>
      <w:r>
        <w:rPr>
          <w:color w:val="1F1F1F"/>
          <w:spacing w:val="-9"/>
        </w:rPr>
        <w:t> </w:t>
      </w:r>
      <w:r>
        <w:rPr/>
        <w:t>sin</w:t>
      </w:r>
      <w:r>
        <w:rPr>
          <w:spacing w:val="-11"/>
        </w:rPr>
        <w:t> </w:t>
      </w:r>
      <w:r>
        <w:rPr/>
        <w:t>contacto,</w:t>
      </w:r>
      <w:r>
        <w:rPr>
          <w:spacing w:val="-9"/>
        </w:rPr>
        <w:t> </w:t>
      </w:r>
      <w:r>
        <w:rPr/>
        <w:t>orientada a</w:t>
      </w:r>
      <w:r>
        <w:rPr>
          <w:spacing w:val="-1"/>
        </w:rPr>
        <w:t> </w:t>
      </w:r>
      <w:r>
        <w:rPr/>
        <w:t>la</w:t>
      </w:r>
      <w:r>
        <w:rPr>
          <w:spacing w:val="-1"/>
        </w:rPr>
        <w:t> </w:t>
      </w:r>
      <w:r>
        <w:rPr/>
        <w:t>modernización</w:t>
      </w:r>
      <w:r>
        <w:rPr>
          <w:spacing w:val="-1"/>
        </w:rPr>
        <w:t> </w:t>
      </w:r>
      <w:r>
        <w:rPr/>
        <w:t>del</w:t>
      </w:r>
      <w:r>
        <w:rPr>
          <w:spacing w:val="-1"/>
        </w:rPr>
        <w:t> </w:t>
      </w:r>
      <w:r>
        <w:rPr/>
        <w:t>sistema</w:t>
      </w:r>
      <w:r>
        <w:rPr>
          <w:spacing w:val="-3"/>
        </w:rPr>
        <w:t> </w:t>
      </w:r>
      <w:r>
        <w:rPr/>
        <w:t>de</w:t>
      </w:r>
      <w:r>
        <w:rPr>
          <w:spacing w:val="-1"/>
        </w:rPr>
        <w:t> </w:t>
      </w:r>
      <w:r>
        <w:rPr/>
        <w:t>billetaje</w:t>
      </w:r>
      <w:r>
        <w:rPr>
          <w:spacing w:val="-1"/>
        </w:rPr>
        <w:t> </w:t>
      </w:r>
      <w:r>
        <w:rPr/>
        <w:t>y a</w:t>
      </w:r>
      <w:r>
        <w:rPr>
          <w:spacing w:val="-3"/>
        </w:rPr>
        <w:t> </w:t>
      </w:r>
      <w:r>
        <w:rPr/>
        <w:t>la</w:t>
      </w:r>
      <w:r>
        <w:rPr>
          <w:spacing w:val="-1"/>
        </w:rPr>
        <w:t> </w:t>
      </w:r>
      <w:r>
        <w:rPr/>
        <w:t>transición</w:t>
      </w:r>
      <w:r>
        <w:rPr>
          <w:spacing w:val="-1"/>
        </w:rPr>
        <w:t> </w:t>
      </w:r>
      <w:r>
        <w:rPr/>
        <w:t>hacia el</w:t>
      </w:r>
      <w:r>
        <w:rPr>
          <w:spacing w:val="-1"/>
        </w:rPr>
        <w:t> </w:t>
      </w:r>
      <w:r>
        <w:rPr>
          <w:color w:val="1F1F1F"/>
        </w:rPr>
        <w:t>sistema</w:t>
      </w:r>
      <w:r>
        <w:rPr>
          <w:color w:val="1F1F1F"/>
          <w:spacing w:val="-1"/>
        </w:rPr>
        <w:t> </w:t>
      </w:r>
      <w:r>
        <w:rPr>
          <w:color w:val="1F1F1F"/>
        </w:rPr>
        <w:t>de </w:t>
      </w:r>
      <w:r>
        <w:rPr>
          <w:i/>
          <w:color w:val="1F1F1F"/>
        </w:rPr>
        <w:t>ticketing </w:t>
      </w:r>
      <w:r>
        <w:rPr>
          <w:color w:val="1F1F1F"/>
        </w:rPr>
        <w:t>basado</w:t>
      </w:r>
      <w:r>
        <w:rPr>
          <w:color w:val="1F1F1F"/>
          <w:spacing w:val="-1"/>
        </w:rPr>
        <w:t> </w:t>
      </w:r>
      <w:r>
        <w:rPr>
          <w:color w:val="1F1F1F"/>
        </w:rPr>
        <w:t>en cuenta</w:t>
      </w:r>
      <w:hyperlink w:history="true" w:anchor="_bookmark85">
        <w:r>
          <w:rPr>
            <w:color w:val="1F1F1F"/>
            <w:vertAlign w:val="superscript"/>
          </w:rPr>
          <w:t>58</w:t>
        </w:r>
        <w:r>
          <w:rPr>
            <w:color w:val="1F1F1F"/>
            <w:vertAlign w:val="baseline"/>
          </w:rPr>
          <w:t>.</w:t>
        </w:r>
      </w:hyperlink>
      <w:r>
        <w:rPr>
          <w:color w:val="1F1F1F"/>
          <w:vertAlign w:val="baseline"/>
        </w:rPr>
        <w:t> Esta actuación se articula en tres contratos complementarios: </w:t>
      </w:r>
      <w:r>
        <w:rPr>
          <w:vertAlign w:val="baseline"/>
        </w:rPr>
        <w:t>el de </w:t>
      </w:r>
      <w:r>
        <w:rPr>
          <w:color w:val="1F1F1F"/>
          <w:vertAlign w:val="baseline"/>
        </w:rPr>
        <w:t>implantación y mantenimiento de la plataforma software que constituye la base tecnológica del sistema; el de servicios de adquirencia</w:t>
      </w:r>
      <w:hyperlink w:history="true" w:anchor="_bookmark86">
        <w:r>
          <w:rPr>
            <w:color w:val="1F1F1F"/>
            <w:vertAlign w:val="superscript"/>
          </w:rPr>
          <w:t>59</w:t>
        </w:r>
      </w:hyperlink>
      <w:r>
        <w:rPr>
          <w:color w:val="1F1F1F"/>
          <w:vertAlign w:val="baseline"/>
        </w:rPr>
        <w:t> y de la plataforma de servicios de pago</w:t>
      </w:r>
      <w:hyperlink w:history="true" w:anchor="_bookmark87">
        <w:r>
          <w:rPr>
            <w:color w:val="1F1F1F"/>
            <w:vertAlign w:val="superscript"/>
          </w:rPr>
          <w:t>60</w:t>
        </w:r>
        <w:r>
          <w:rPr>
            <w:color w:val="1F1F1F"/>
            <w:vertAlign w:val="baseline"/>
          </w:rPr>
          <w:t>,</w:t>
        </w:r>
      </w:hyperlink>
      <w:r>
        <w:rPr>
          <w:color w:val="1F1F1F"/>
          <w:vertAlign w:val="baseline"/>
        </w:rPr>
        <w:t> necesarios para el procesamiento financiero de las transacciones, así como la integración del sistema de pago con tarjeta</w:t>
      </w:r>
      <w:r>
        <w:rPr>
          <w:color w:val="1F1F1F"/>
          <w:spacing w:val="-6"/>
          <w:vertAlign w:val="baseline"/>
        </w:rPr>
        <w:t> </w:t>
      </w:r>
      <w:r>
        <w:rPr>
          <w:color w:val="1F1F1F"/>
          <w:vertAlign w:val="baseline"/>
        </w:rPr>
        <w:t>bancaria</w:t>
      </w:r>
      <w:r>
        <w:rPr>
          <w:color w:val="1F1F1F"/>
          <w:spacing w:val="-6"/>
          <w:vertAlign w:val="baseline"/>
        </w:rPr>
        <w:t> </w:t>
      </w:r>
      <w:r>
        <w:rPr>
          <w:color w:val="1F1F1F"/>
          <w:vertAlign w:val="baseline"/>
        </w:rPr>
        <w:t>con</w:t>
      </w:r>
      <w:r>
        <w:rPr>
          <w:color w:val="1F1F1F"/>
          <w:spacing w:val="-7"/>
          <w:vertAlign w:val="baseline"/>
        </w:rPr>
        <w:t> </w:t>
      </w:r>
      <w:r>
        <w:rPr>
          <w:color w:val="1F1F1F"/>
          <w:vertAlign w:val="baseline"/>
        </w:rPr>
        <w:t>el</w:t>
      </w:r>
      <w:r>
        <w:rPr>
          <w:color w:val="1F1F1F"/>
          <w:spacing w:val="-5"/>
          <w:vertAlign w:val="baseline"/>
        </w:rPr>
        <w:t> </w:t>
      </w:r>
      <w:r>
        <w:rPr>
          <w:color w:val="1F1F1F"/>
          <w:vertAlign w:val="baseline"/>
        </w:rPr>
        <w:t>sistema</w:t>
      </w:r>
      <w:r>
        <w:rPr>
          <w:color w:val="1F1F1F"/>
          <w:spacing w:val="-6"/>
          <w:vertAlign w:val="baseline"/>
        </w:rPr>
        <w:t> </w:t>
      </w:r>
      <w:r>
        <w:rPr>
          <w:color w:val="1F1F1F"/>
          <w:vertAlign w:val="baseline"/>
        </w:rPr>
        <w:t>de</w:t>
      </w:r>
      <w:r>
        <w:rPr>
          <w:color w:val="1F1F1F"/>
          <w:spacing w:val="-7"/>
          <w:vertAlign w:val="baseline"/>
        </w:rPr>
        <w:t> </w:t>
      </w:r>
      <w:r>
        <w:rPr>
          <w:color w:val="1F1F1F"/>
          <w:vertAlign w:val="baseline"/>
        </w:rPr>
        <w:t>billetaje</w:t>
      </w:r>
      <w:r>
        <w:rPr>
          <w:color w:val="1F1F1F"/>
          <w:spacing w:val="-4"/>
          <w:vertAlign w:val="baseline"/>
        </w:rPr>
        <w:t> </w:t>
      </w:r>
      <w:r>
        <w:rPr>
          <w:color w:val="1F1F1F"/>
          <w:vertAlign w:val="baseline"/>
        </w:rPr>
        <w:t>que</w:t>
      </w:r>
      <w:r>
        <w:rPr>
          <w:color w:val="1F1F1F"/>
          <w:spacing w:val="-6"/>
          <w:vertAlign w:val="baseline"/>
        </w:rPr>
        <w:t> </w:t>
      </w:r>
      <w:r>
        <w:rPr>
          <w:color w:val="1F1F1F"/>
          <w:vertAlign w:val="baseline"/>
        </w:rPr>
        <w:t>disponía</w:t>
      </w:r>
      <w:r>
        <w:rPr>
          <w:color w:val="1F1F1F"/>
          <w:spacing w:val="-3"/>
          <w:vertAlign w:val="baseline"/>
        </w:rPr>
        <w:t> </w:t>
      </w:r>
      <w:r>
        <w:rPr>
          <w:color w:val="1F1F1F"/>
          <w:vertAlign w:val="baseline"/>
        </w:rPr>
        <w:t>la</w:t>
      </w:r>
      <w:r>
        <w:rPr>
          <w:color w:val="1F1F1F"/>
          <w:spacing w:val="-6"/>
          <w:vertAlign w:val="baseline"/>
        </w:rPr>
        <w:t> </w:t>
      </w:r>
      <w:r>
        <w:rPr>
          <w:color w:val="1F1F1F"/>
          <w:vertAlign w:val="baseline"/>
        </w:rPr>
        <w:t>empresa</w:t>
      </w:r>
      <w:r>
        <w:rPr>
          <w:color w:val="1F1F1F"/>
          <w:spacing w:val="-7"/>
          <w:vertAlign w:val="baseline"/>
        </w:rPr>
        <w:t> </w:t>
      </w:r>
      <w:r>
        <w:rPr>
          <w:color w:val="1F1F1F"/>
          <w:vertAlign w:val="baseline"/>
        </w:rPr>
        <w:t>municipal</w:t>
      </w:r>
      <w:r>
        <w:rPr>
          <w:color w:val="1F1F1F"/>
          <w:spacing w:val="-5"/>
          <w:vertAlign w:val="baseline"/>
        </w:rPr>
        <w:t> </w:t>
      </w:r>
      <w:r>
        <w:rPr>
          <w:color w:val="1F1F1F"/>
          <w:vertAlign w:val="baseline"/>
        </w:rPr>
        <w:t>hasta</w:t>
      </w:r>
      <w:r>
        <w:rPr>
          <w:color w:val="1F1F1F"/>
          <w:spacing w:val="-4"/>
          <w:vertAlign w:val="baseline"/>
        </w:rPr>
        <w:t> </w:t>
      </w:r>
      <w:r>
        <w:rPr>
          <w:color w:val="1F1F1F"/>
          <w:vertAlign w:val="baseline"/>
        </w:rPr>
        <w:t>entonces,</w:t>
      </w:r>
      <w:r>
        <w:rPr>
          <w:color w:val="1F1F1F"/>
          <w:spacing w:val="-3"/>
          <w:vertAlign w:val="baseline"/>
        </w:rPr>
        <w:t> </w:t>
      </w:r>
      <w:r>
        <w:rPr>
          <w:color w:val="1F1F1F"/>
          <w:vertAlign w:val="baseline"/>
        </w:rPr>
        <w:t>para garantizar la interoperabilidad y continuidad técnica.</w:t>
      </w:r>
    </w:p>
    <w:p>
      <w:pPr>
        <w:pStyle w:val="BodyText"/>
        <w:spacing w:before="240"/>
        <w:ind w:left="992" w:right="986"/>
        <w:jc w:val="both"/>
      </w:pPr>
      <w:r>
        <w:rPr>
          <w:color w:val="1F1F1F"/>
        </w:rPr>
        <w:t>El primero de esos contratos se formalizó en abril de 2023, por importe de 872.480,00 euros, IVA excluido, y un plazo de ejecución de 48 meses, por lo que debe concluir en abril de 2027. La plataforma objeto de la contratación empezó a funcionar en junio de 2024, si bien solo ha sido recepcionada parcialmente por encontrarse pendientes algunos trabajos finales por parte de la empresa adjudicataria.</w:t>
      </w:r>
    </w:p>
    <w:p>
      <w:pPr>
        <w:pStyle w:val="BodyText"/>
        <w:spacing w:before="240"/>
        <w:ind w:left="992" w:right="987"/>
        <w:jc w:val="both"/>
      </w:pPr>
      <w:r>
        <w:rPr>
          <w:color w:val="1F1F1F"/>
        </w:rPr>
        <w:t>El segundo de los contratos se formalizó en julio de 2023, por importe de 279.693,29 euros, IVA excluido, y</w:t>
      </w:r>
      <w:r>
        <w:rPr>
          <w:color w:val="1F1F1F"/>
          <w:spacing w:val="-1"/>
        </w:rPr>
        <w:t> </w:t>
      </w:r>
      <w:r>
        <w:rPr>
          <w:color w:val="1F1F1F"/>
        </w:rPr>
        <w:t>un</w:t>
      </w:r>
      <w:r>
        <w:rPr>
          <w:color w:val="1F1F1F"/>
          <w:spacing w:val="-4"/>
        </w:rPr>
        <w:t> </w:t>
      </w:r>
      <w:r>
        <w:rPr>
          <w:color w:val="1F1F1F"/>
        </w:rPr>
        <w:t>plazo</w:t>
      </w:r>
      <w:r>
        <w:rPr>
          <w:color w:val="1F1F1F"/>
          <w:spacing w:val="-2"/>
        </w:rPr>
        <w:t> </w:t>
      </w:r>
      <w:r>
        <w:rPr>
          <w:color w:val="1F1F1F"/>
        </w:rPr>
        <w:t>de</w:t>
      </w:r>
      <w:r>
        <w:rPr>
          <w:color w:val="1F1F1F"/>
          <w:spacing w:val="-4"/>
        </w:rPr>
        <w:t> </w:t>
      </w:r>
      <w:r>
        <w:rPr>
          <w:color w:val="1F1F1F"/>
        </w:rPr>
        <w:t>cuatro</w:t>
      </w:r>
      <w:r>
        <w:rPr>
          <w:color w:val="1F1F1F"/>
          <w:spacing w:val="-4"/>
        </w:rPr>
        <w:t> </w:t>
      </w:r>
      <w:r>
        <w:rPr>
          <w:color w:val="1F1F1F"/>
        </w:rPr>
        <w:t>años,</w:t>
      </w:r>
      <w:r>
        <w:rPr>
          <w:color w:val="1F1F1F"/>
          <w:spacing w:val="-3"/>
        </w:rPr>
        <w:t> </w:t>
      </w:r>
      <w:r>
        <w:rPr>
          <w:color w:val="1F1F1F"/>
        </w:rPr>
        <w:t>que</w:t>
      </w:r>
      <w:r>
        <w:rPr>
          <w:color w:val="1F1F1F"/>
          <w:spacing w:val="-4"/>
        </w:rPr>
        <w:t> </w:t>
      </w:r>
      <w:r>
        <w:rPr>
          <w:color w:val="1F1F1F"/>
        </w:rPr>
        <w:t>fue</w:t>
      </w:r>
      <w:r>
        <w:rPr>
          <w:color w:val="1F1F1F"/>
          <w:spacing w:val="-4"/>
        </w:rPr>
        <w:t> </w:t>
      </w:r>
      <w:r>
        <w:rPr>
          <w:color w:val="1F1F1F"/>
        </w:rPr>
        <w:t>modificado</w:t>
      </w:r>
      <w:r>
        <w:rPr>
          <w:color w:val="1F1F1F"/>
          <w:spacing w:val="-2"/>
        </w:rPr>
        <w:t> </w:t>
      </w:r>
      <w:r>
        <w:rPr>
          <w:color w:val="1F1F1F"/>
        </w:rPr>
        <w:t>en</w:t>
      </w:r>
      <w:r>
        <w:rPr>
          <w:color w:val="1F1F1F"/>
          <w:spacing w:val="-2"/>
        </w:rPr>
        <w:t> </w:t>
      </w:r>
      <w:r>
        <w:rPr>
          <w:color w:val="1F1F1F"/>
        </w:rPr>
        <w:t>diciembre</w:t>
      </w:r>
      <w:r>
        <w:rPr>
          <w:color w:val="1F1F1F"/>
          <w:spacing w:val="-4"/>
        </w:rPr>
        <w:t> </w:t>
      </w:r>
      <w:r>
        <w:rPr>
          <w:color w:val="1F1F1F"/>
        </w:rPr>
        <w:t>de</w:t>
      </w:r>
      <w:r>
        <w:rPr>
          <w:color w:val="1F1F1F"/>
          <w:spacing w:val="-2"/>
        </w:rPr>
        <w:t> </w:t>
      </w:r>
      <w:r>
        <w:rPr>
          <w:color w:val="1F1F1F"/>
        </w:rPr>
        <w:t>ese</w:t>
      </w:r>
      <w:r>
        <w:rPr>
          <w:color w:val="1F1F1F"/>
          <w:spacing w:val="-2"/>
        </w:rPr>
        <w:t> </w:t>
      </w:r>
      <w:r>
        <w:rPr>
          <w:color w:val="1F1F1F"/>
        </w:rPr>
        <w:t>año,</w:t>
      </w:r>
      <w:r>
        <w:rPr>
          <w:color w:val="1F1F1F"/>
          <w:spacing w:val="-3"/>
        </w:rPr>
        <w:t> </w:t>
      </w:r>
      <w:r>
        <w:rPr>
          <w:color w:val="1F1F1F"/>
        </w:rPr>
        <w:t>por</w:t>
      </w:r>
      <w:r>
        <w:rPr>
          <w:color w:val="1F1F1F"/>
          <w:spacing w:val="-3"/>
        </w:rPr>
        <w:t> </w:t>
      </w:r>
      <w:r>
        <w:rPr>
          <w:color w:val="1F1F1F"/>
        </w:rPr>
        <w:t>la necesidad de ampliar los trabajos contratados, incrementándose el importe en 6.164,00 euros, IVA excluido. El servicio se ha puesto en marcha en junio de 2024.</w:t>
      </w:r>
    </w:p>
    <w:p>
      <w:pPr>
        <w:pStyle w:val="BodyText"/>
        <w:spacing w:before="242"/>
        <w:ind w:left="992" w:right="987"/>
        <w:jc w:val="both"/>
      </w:pPr>
      <w:r>
        <w:rPr>
          <w:color w:val="1F1F1F"/>
        </w:rPr>
        <w:t>El tercer contrato, por importe de 277.999,00 euros, IVA excluido, se suscribió en octubre de 2023 con</w:t>
      </w:r>
      <w:r>
        <w:rPr>
          <w:color w:val="1F1F1F"/>
          <w:spacing w:val="-4"/>
        </w:rPr>
        <w:t> </w:t>
      </w:r>
      <w:r>
        <w:rPr>
          <w:color w:val="1F1F1F"/>
        </w:rPr>
        <w:t>un</w:t>
      </w:r>
      <w:r>
        <w:rPr>
          <w:color w:val="1F1F1F"/>
          <w:spacing w:val="-4"/>
        </w:rPr>
        <w:t> </w:t>
      </w:r>
      <w:r>
        <w:rPr>
          <w:color w:val="1F1F1F"/>
        </w:rPr>
        <w:t>plazo</w:t>
      </w:r>
      <w:r>
        <w:rPr>
          <w:color w:val="1F1F1F"/>
          <w:spacing w:val="-4"/>
        </w:rPr>
        <w:t> </w:t>
      </w:r>
      <w:r>
        <w:rPr>
          <w:color w:val="1F1F1F"/>
        </w:rPr>
        <w:t>de</w:t>
      </w:r>
      <w:r>
        <w:rPr>
          <w:color w:val="1F1F1F"/>
          <w:spacing w:val="-7"/>
        </w:rPr>
        <w:t> </w:t>
      </w:r>
      <w:r>
        <w:rPr>
          <w:color w:val="1F1F1F"/>
        </w:rPr>
        <w:t>ejecución</w:t>
      </w:r>
      <w:r>
        <w:rPr>
          <w:color w:val="1F1F1F"/>
          <w:spacing w:val="-4"/>
        </w:rPr>
        <w:t> </w:t>
      </w:r>
      <w:r>
        <w:rPr>
          <w:color w:val="1F1F1F"/>
        </w:rPr>
        <w:t>de</w:t>
      </w:r>
      <w:r>
        <w:rPr>
          <w:color w:val="1F1F1F"/>
          <w:spacing w:val="-7"/>
        </w:rPr>
        <w:t> </w:t>
      </w:r>
      <w:r>
        <w:rPr>
          <w:color w:val="1F1F1F"/>
        </w:rPr>
        <w:t>tres</w:t>
      </w:r>
      <w:r>
        <w:rPr>
          <w:color w:val="1F1F1F"/>
          <w:spacing w:val="-6"/>
        </w:rPr>
        <w:t> </w:t>
      </w:r>
      <w:r>
        <w:rPr>
          <w:color w:val="1F1F1F"/>
        </w:rPr>
        <w:t>meses.</w:t>
      </w:r>
      <w:r>
        <w:rPr>
          <w:color w:val="1F1F1F"/>
          <w:spacing w:val="-5"/>
        </w:rPr>
        <w:t> </w:t>
      </w:r>
      <w:r>
        <w:rPr>
          <w:color w:val="1F1F1F"/>
        </w:rPr>
        <w:t>En</w:t>
      </w:r>
      <w:r>
        <w:rPr>
          <w:color w:val="1F1F1F"/>
          <w:spacing w:val="-6"/>
        </w:rPr>
        <w:t> </w:t>
      </w:r>
      <w:r>
        <w:rPr>
          <w:color w:val="1F1F1F"/>
        </w:rPr>
        <w:t>junio</w:t>
      </w:r>
      <w:r>
        <w:rPr>
          <w:color w:val="1F1F1F"/>
          <w:spacing w:val="-4"/>
        </w:rPr>
        <w:t> </w:t>
      </w:r>
      <w:r>
        <w:rPr>
          <w:color w:val="1F1F1F"/>
        </w:rPr>
        <w:t>de</w:t>
      </w:r>
      <w:r>
        <w:rPr>
          <w:color w:val="1F1F1F"/>
          <w:spacing w:val="-4"/>
        </w:rPr>
        <w:t> </w:t>
      </w:r>
      <w:r>
        <w:rPr>
          <w:color w:val="1F1F1F"/>
        </w:rPr>
        <w:t>2025</w:t>
      </w:r>
      <w:r>
        <w:rPr>
          <w:color w:val="1F1F1F"/>
          <w:spacing w:val="-7"/>
        </w:rPr>
        <w:t> </w:t>
      </w:r>
      <w:r>
        <w:rPr>
          <w:color w:val="1F1F1F"/>
        </w:rPr>
        <w:t>la</w:t>
      </w:r>
      <w:r>
        <w:rPr>
          <w:color w:val="1F1F1F"/>
          <w:spacing w:val="-4"/>
        </w:rPr>
        <w:t> </w:t>
      </w:r>
      <w:r>
        <w:rPr>
          <w:color w:val="1F1F1F"/>
        </w:rPr>
        <w:t>empresa</w:t>
      </w:r>
      <w:r>
        <w:rPr>
          <w:color w:val="1F1F1F"/>
          <w:spacing w:val="-4"/>
        </w:rPr>
        <w:t> </w:t>
      </w:r>
      <w:r>
        <w:rPr>
          <w:color w:val="1F1F1F"/>
        </w:rPr>
        <w:t>adjudicataria</w:t>
      </w:r>
      <w:r>
        <w:rPr>
          <w:color w:val="1F1F1F"/>
          <w:spacing w:val="-6"/>
        </w:rPr>
        <w:t> </w:t>
      </w:r>
      <w:r>
        <w:rPr>
          <w:color w:val="1F1F1F"/>
        </w:rPr>
        <w:t>se</w:t>
      </w:r>
      <w:r>
        <w:rPr>
          <w:color w:val="1F1F1F"/>
          <w:spacing w:val="-1"/>
        </w:rPr>
        <w:t> </w:t>
      </w:r>
      <w:r>
        <w:rPr>
          <w:color w:val="1F1F1F"/>
        </w:rPr>
        <w:t>encontraba todavía llevando a cabo los trabajos y desarrollos pertinentes de dicha integración, por lo que aún no se ha efectuado la recepción del sistema.</w:t>
      </w:r>
    </w:p>
    <w:p>
      <w:pPr>
        <w:pStyle w:val="BodyText"/>
        <w:spacing w:before="238"/>
        <w:ind w:left="992" w:right="988"/>
        <w:jc w:val="both"/>
      </w:pPr>
      <w:r>
        <w:rPr>
          <w:color w:val="1F1F1F"/>
        </w:rPr>
        <w:t>La</w:t>
      </w:r>
      <w:r>
        <w:rPr>
          <w:color w:val="1F1F1F"/>
          <w:spacing w:val="-9"/>
        </w:rPr>
        <w:t> </w:t>
      </w:r>
      <w:r>
        <w:rPr>
          <w:color w:val="1F1F1F"/>
        </w:rPr>
        <w:t>segunda</w:t>
      </w:r>
      <w:r>
        <w:rPr>
          <w:color w:val="1F1F1F"/>
          <w:spacing w:val="-9"/>
        </w:rPr>
        <w:t> </w:t>
      </w:r>
      <w:r>
        <w:rPr>
          <w:color w:val="1F1F1F"/>
        </w:rPr>
        <w:t>actuación</w:t>
      </w:r>
      <w:r>
        <w:rPr>
          <w:color w:val="1F1F1F"/>
          <w:spacing w:val="-9"/>
        </w:rPr>
        <w:t> </w:t>
      </w:r>
      <w:r>
        <w:rPr>
          <w:color w:val="1F1F1F"/>
        </w:rPr>
        <w:t>ha</w:t>
      </w:r>
      <w:r>
        <w:rPr>
          <w:color w:val="1F1F1F"/>
          <w:spacing w:val="-12"/>
        </w:rPr>
        <w:t> </w:t>
      </w:r>
      <w:r>
        <w:rPr>
          <w:color w:val="1F1F1F"/>
        </w:rPr>
        <w:t>sido</w:t>
      </w:r>
      <w:r>
        <w:rPr>
          <w:color w:val="1F1F1F"/>
          <w:spacing w:val="-9"/>
        </w:rPr>
        <w:t> </w:t>
      </w:r>
      <w:r>
        <w:rPr>
          <w:color w:val="1F1F1F"/>
        </w:rPr>
        <w:t>el</w:t>
      </w:r>
      <w:r>
        <w:rPr>
          <w:color w:val="1F1F1F"/>
          <w:spacing w:val="-10"/>
        </w:rPr>
        <w:t> </w:t>
      </w:r>
      <w:r>
        <w:rPr>
          <w:color w:val="1F1F1F"/>
        </w:rPr>
        <w:t>servicio</w:t>
      </w:r>
      <w:r>
        <w:rPr>
          <w:color w:val="1F1F1F"/>
          <w:spacing w:val="-9"/>
        </w:rPr>
        <w:t> </w:t>
      </w:r>
      <w:r>
        <w:rPr>
          <w:color w:val="1F1F1F"/>
        </w:rPr>
        <w:t>de</w:t>
      </w:r>
      <w:r>
        <w:rPr>
          <w:color w:val="1F1F1F"/>
          <w:spacing w:val="-9"/>
        </w:rPr>
        <w:t> </w:t>
      </w:r>
      <w:r>
        <w:rPr>
          <w:color w:val="1F1F1F"/>
        </w:rPr>
        <w:t>acceso</w:t>
      </w:r>
      <w:r>
        <w:rPr>
          <w:color w:val="1F1F1F"/>
          <w:spacing w:val="-9"/>
        </w:rPr>
        <w:t> </w:t>
      </w:r>
      <w:r>
        <w:rPr>
          <w:color w:val="1F1F1F"/>
        </w:rPr>
        <w:t>a</w:t>
      </w:r>
      <w:r>
        <w:rPr>
          <w:color w:val="1F1F1F"/>
          <w:spacing w:val="-9"/>
        </w:rPr>
        <w:t> </w:t>
      </w:r>
      <w:r>
        <w:rPr>
          <w:color w:val="1F1F1F"/>
        </w:rPr>
        <w:t>internet</w:t>
      </w:r>
      <w:r>
        <w:rPr>
          <w:color w:val="1F1F1F"/>
          <w:spacing w:val="-10"/>
        </w:rPr>
        <w:t> </w:t>
      </w:r>
      <w:r>
        <w:rPr>
          <w:color w:val="1F1F1F"/>
        </w:rPr>
        <w:t>a</w:t>
      </w:r>
      <w:r>
        <w:rPr>
          <w:color w:val="1F1F1F"/>
          <w:spacing w:val="-9"/>
        </w:rPr>
        <w:t> </w:t>
      </w:r>
      <w:r>
        <w:rPr>
          <w:color w:val="1F1F1F"/>
        </w:rPr>
        <w:t>los</w:t>
      </w:r>
      <w:r>
        <w:rPr>
          <w:color w:val="1F1F1F"/>
          <w:spacing w:val="-11"/>
        </w:rPr>
        <w:t> </w:t>
      </w:r>
      <w:r>
        <w:rPr>
          <w:color w:val="1F1F1F"/>
        </w:rPr>
        <w:t>pasajeros,</w:t>
      </w:r>
      <w:r>
        <w:rPr>
          <w:color w:val="1F1F1F"/>
          <w:spacing w:val="-10"/>
        </w:rPr>
        <w:t> </w:t>
      </w:r>
      <w:r>
        <w:rPr>
          <w:color w:val="1F1F1F"/>
        </w:rPr>
        <w:t>mediante</w:t>
      </w:r>
      <w:r>
        <w:rPr>
          <w:color w:val="1F1F1F"/>
          <w:spacing w:val="-11"/>
        </w:rPr>
        <w:t> </w:t>
      </w:r>
      <w:r>
        <w:rPr>
          <w:color w:val="1F1F1F"/>
        </w:rPr>
        <w:t>una</w:t>
      </w:r>
      <w:r>
        <w:rPr>
          <w:color w:val="1F1F1F"/>
          <w:spacing w:val="-11"/>
        </w:rPr>
        <w:t> </w:t>
      </w:r>
      <w:r>
        <w:rPr>
          <w:color w:val="1F1F1F"/>
        </w:rPr>
        <w:t>red</w:t>
      </w:r>
      <w:r>
        <w:rPr>
          <w:color w:val="1F1F1F"/>
          <w:spacing w:val="-9"/>
        </w:rPr>
        <w:t> </w:t>
      </w:r>
      <w:r>
        <w:rPr>
          <w:color w:val="1F1F1F"/>
        </w:rPr>
        <w:t>wifi embarcada</w:t>
      </w:r>
      <w:r>
        <w:rPr>
          <w:color w:val="1F1F1F"/>
          <w:spacing w:val="-3"/>
        </w:rPr>
        <w:t> </w:t>
      </w:r>
      <w:r>
        <w:rPr>
          <w:color w:val="1F1F1F"/>
        </w:rPr>
        <w:t>en</w:t>
      </w:r>
      <w:r>
        <w:rPr>
          <w:color w:val="1F1F1F"/>
          <w:spacing w:val="-3"/>
        </w:rPr>
        <w:t> </w:t>
      </w:r>
      <w:r>
        <w:rPr>
          <w:color w:val="1F1F1F"/>
        </w:rPr>
        <w:t>la</w:t>
      </w:r>
      <w:r>
        <w:rPr>
          <w:color w:val="1F1F1F"/>
          <w:spacing w:val="-3"/>
        </w:rPr>
        <w:t> </w:t>
      </w:r>
      <w:r>
        <w:rPr>
          <w:color w:val="1F1F1F"/>
        </w:rPr>
        <w:t>flota</w:t>
      </w:r>
      <w:r>
        <w:rPr>
          <w:color w:val="1F1F1F"/>
          <w:spacing w:val="-3"/>
        </w:rPr>
        <w:t> </w:t>
      </w:r>
      <w:r>
        <w:rPr>
          <w:color w:val="1F1F1F"/>
        </w:rPr>
        <w:t>de</w:t>
      </w:r>
      <w:r>
        <w:rPr>
          <w:color w:val="1F1F1F"/>
          <w:spacing w:val="-3"/>
        </w:rPr>
        <w:t> </w:t>
      </w:r>
      <w:r>
        <w:rPr>
          <w:color w:val="1F1F1F"/>
        </w:rPr>
        <w:t>autobuses</w:t>
      </w:r>
      <w:r>
        <w:rPr>
          <w:color w:val="1F1F1F"/>
          <w:spacing w:val="-3"/>
        </w:rPr>
        <w:t> </w:t>
      </w:r>
      <w:r>
        <w:rPr>
          <w:color w:val="1F1F1F"/>
        </w:rPr>
        <w:t>y</w:t>
      </w:r>
      <w:r>
        <w:rPr>
          <w:color w:val="1F1F1F"/>
          <w:spacing w:val="-3"/>
        </w:rPr>
        <w:t> </w:t>
      </w:r>
      <w:r>
        <w:rPr>
          <w:color w:val="1F1F1F"/>
        </w:rPr>
        <w:t>tranvías.</w:t>
      </w:r>
      <w:r>
        <w:rPr>
          <w:color w:val="1F1F1F"/>
          <w:spacing w:val="-2"/>
        </w:rPr>
        <w:t> </w:t>
      </w:r>
      <w:r>
        <w:rPr>
          <w:color w:val="1F1F1F"/>
        </w:rPr>
        <w:t>La</w:t>
      </w:r>
      <w:r>
        <w:rPr>
          <w:color w:val="1F1F1F"/>
          <w:spacing w:val="-3"/>
        </w:rPr>
        <w:t> </w:t>
      </w:r>
      <w:r>
        <w:rPr>
          <w:color w:val="1F1F1F"/>
        </w:rPr>
        <w:t>red</w:t>
      </w:r>
      <w:r>
        <w:rPr>
          <w:color w:val="1F1F1F"/>
          <w:spacing w:val="-3"/>
        </w:rPr>
        <w:t> </w:t>
      </w:r>
      <w:r>
        <w:rPr>
          <w:color w:val="1F1F1F"/>
        </w:rPr>
        <w:t>wifi</w:t>
      </w:r>
      <w:r>
        <w:rPr>
          <w:color w:val="1F1F1F"/>
          <w:spacing w:val="-4"/>
        </w:rPr>
        <w:t> </w:t>
      </w:r>
      <w:r>
        <w:rPr>
          <w:color w:val="1F1F1F"/>
        </w:rPr>
        <w:t>en</w:t>
      </w:r>
      <w:r>
        <w:rPr>
          <w:color w:val="1F1F1F"/>
          <w:spacing w:val="-1"/>
        </w:rPr>
        <w:t> </w:t>
      </w:r>
      <w:r>
        <w:rPr>
          <w:color w:val="1F1F1F"/>
        </w:rPr>
        <w:t>autobuses</w:t>
      </w:r>
      <w:r>
        <w:rPr>
          <w:color w:val="1F1F1F"/>
          <w:spacing w:val="-3"/>
        </w:rPr>
        <w:t> </w:t>
      </w:r>
      <w:r>
        <w:rPr>
          <w:color w:val="1F1F1F"/>
        </w:rPr>
        <w:t>y</w:t>
      </w:r>
      <w:r>
        <w:rPr>
          <w:color w:val="1F1F1F"/>
          <w:spacing w:val="-5"/>
        </w:rPr>
        <w:t> </w:t>
      </w:r>
      <w:r>
        <w:rPr>
          <w:color w:val="1F1F1F"/>
        </w:rPr>
        <w:t>tranvías</w:t>
      </w:r>
      <w:r>
        <w:rPr>
          <w:color w:val="1F1F1F"/>
          <w:spacing w:val="-3"/>
        </w:rPr>
        <w:t> </w:t>
      </w:r>
      <w:r>
        <w:rPr>
          <w:color w:val="1F1F1F"/>
        </w:rPr>
        <w:t>está</w:t>
      </w:r>
      <w:r>
        <w:rPr>
          <w:color w:val="1F1F1F"/>
          <w:spacing w:val="-3"/>
        </w:rPr>
        <w:t> </w:t>
      </w:r>
      <w:r>
        <w:rPr>
          <w:color w:val="1F1F1F"/>
        </w:rPr>
        <w:t>implantada desde</w:t>
      </w:r>
      <w:r>
        <w:rPr>
          <w:color w:val="1F1F1F"/>
          <w:spacing w:val="-2"/>
        </w:rPr>
        <w:t> </w:t>
      </w:r>
      <w:r>
        <w:rPr>
          <w:color w:val="1F1F1F"/>
        </w:rPr>
        <w:t>2019.</w:t>
      </w:r>
      <w:r>
        <w:rPr>
          <w:color w:val="1F1F1F"/>
          <w:spacing w:val="-3"/>
        </w:rPr>
        <w:t> </w:t>
      </w:r>
      <w:r>
        <w:rPr>
          <w:color w:val="1F1F1F"/>
        </w:rPr>
        <w:t>Finalizada</w:t>
      </w:r>
      <w:r>
        <w:rPr>
          <w:color w:val="1F1F1F"/>
          <w:spacing w:val="-2"/>
        </w:rPr>
        <w:t> </w:t>
      </w:r>
      <w:r>
        <w:rPr>
          <w:color w:val="1F1F1F"/>
        </w:rPr>
        <w:t>la</w:t>
      </w:r>
      <w:r>
        <w:rPr>
          <w:color w:val="1F1F1F"/>
          <w:spacing w:val="-2"/>
        </w:rPr>
        <w:t> </w:t>
      </w:r>
      <w:r>
        <w:rPr>
          <w:color w:val="1F1F1F"/>
        </w:rPr>
        <w:t>vigencia</w:t>
      </w:r>
      <w:r>
        <w:rPr>
          <w:color w:val="1F1F1F"/>
          <w:spacing w:val="-2"/>
        </w:rPr>
        <w:t> </w:t>
      </w:r>
      <w:r>
        <w:rPr>
          <w:color w:val="1F1F1F"/>
        </w:rPr>
        <w:t>del</w:t>
      </w:r>
      <w:r>
        <w:rPr>
          <w:color w:val="1F1F1F"/>
          <w:spacing w:val="-2"/>
        </w:rPr>
        <w:t> </w:t>
      </w:r>
      <w:r>
        <w:rPr>
          <w:color w:val="1F1F1F"/>
        </w:rPr>
        <w:t>anterior</w:t>
      </w:r>
      <w:r>
        <w:rPr>
          <w:color w:val="1F1F1F"/>
          <w:spacing w:val="-3"/>
        </w:rPr>
        <w:t> </w:t>
      </w:r>
      <w:r>
        <w:rPr>
          <w:color w:val="1F1F1F"/>
        </w:rPr>
        <w:t>contrato,</w:t>
      </w:r>
      <w:r>
        <w:rPr>
          <w:color w:val="1F1F1F"/>
          <w:spacing w:val="-3"/>
        </w:rPr>
        <w:t> </w:t>
      </w:r>
      <w:r>
        <w:rPr>
          <w:color w:val="1F1F1F"/>
        </w:rPr>
        <w:t>se</w:t>
      </w:r>
      <w:r>
        <w:rPr>
          <w:color w:val="1F1F1F"/>
          <w:spacing w:val="-2"/>
        </w:rPr>
        <w:t> </w:t>
      </w:r>
      <w:r>
        <w:rPr>
          <w:color w:val="1F1F1F"/>
        </w:rPr>
        <w:t>ha</w:t>
      </w:r>
      <w:r>
        <w:rPr>
          <w:color w:val="1F1F1F"/>
          <w:spacing w:val="-4"/>
        </w:rPr>
        <w:t> </w:t>
      </w:r>
      <w:r>
        <w:rPr>
          <w:color w:val="1F1F1F"/>
        </w:rPr>
        <w:t>formalizado</w:t>
      </w:r>
      <w:r>
        <w:rPr>
          <w:color w:val="1F1F1F"/>
          <w:spacing w:val="-2"/>
        </w:rPr>
        <w:t> </w:t>
      </w:r>
      <w:r>
        <w:rPr>
          <w:color w:val="1F1F1F"/>
        </w:rPr>
        <w:t>otro en</w:t>
      </w:r>
      <w:r>
        <w:rPr>
          <w:color w:val="1F1F1F"/>
          <w:spacing w:val="-4"/>
        </w:rPr>
        <w:t> </w:t>
      </w:r>
      <w:r>
        <w:rPr>
          <w:color w:val="1F1F1F"/>
        </w:rPr>
        <w:t>agosto</w:t>
      </w:r>
      <w:r>
        <w:rPr>
          <w:color w:val="1F1F1F"/>
          <w:spacing w:val="-4"/>
        </w:rPr>
        <w:t> </w:t>
      </w:r>
      <w:r>
        <w:rPr>
          <w:color w:val="1F1F1F"/>
        </w:rPr>
        <w:t>de</w:t>
      </w:r>
      <w:r>
        <w:rPr>
          <w:color w:val="1F1F1F"/>
          <w:spacing w:val="-2"/>
        </w:rPr>
        <w:t> </w:t>
      </w:r>
      <w:r>
        <w:rPr>
          <w:color w:val="1F1F1F"/>
        </w:rPr>
        <w:t>2024, por importe</w:t>
      </w:r>
      <w:r>
        <w:rPr>
          <w:color w:val="1F1F1F"/>
          <w:spacing w:val="-1"/>
        </w:rPr>
        <w:t> </w:t>
      </w:r>
      <w:r>
        <w:rPr>
          <w:color w:val="1F1F1F"/>
        </w:rPr>
        <w:t>de</w:t>
      </w:r>
      <w:r>
        <w:rPr>
          <w:color w:val="1F1F1F"/>
          <w:spacing w:val="-3"/>
        </w:rPr>
        <w:t> </w:t>
      </w:r>
      <w:r>
        <w:rPr>
          <w:color w:val="1F1F1F"/>
        </w:rPr>
        <w:t>50.354,69</w:t>
      </w:r>
      <w:r>
        <w:rPr>
          <w:color w:val="1F1F1F"/>
          <w:spacing w:val="-1"/>
        </w:rPr>
        <w:t> </w:t>
      </w:r>
      <w:r>
        <w:rPr>
          <w:color w:val="1F1F1F"/>
        </w:rPr>
        <w:t>euros,</w:t>
      </w:r>
      <w:r>
        <w:rPr>
          <w:color w:val="1F1F1F"/>
          <w:spacing w:val="-2"/>
        </w:rPr>
        <w:t> </w:t>
      </w:r>
      <w:r>
        <w:rPr>
          <w:color w:val="1F1F1F"/>
        </w:rPr>
        <w:t>IVA</w:t>
      </w:r>
      <w:r>
        <w:rPr>
          <w:color w:val="1F1F1F"/>
          <w:spacing w:val="-4"/>
        </w:rPr>
        <w:t> </w:t>
      </w:r>
      <w:r>
        <w:rPr>
          <w:color w:val="1F1F1F"/>
        </w:rPr>
        <w:t>excluido,</w:t>
      </w:r>
      <w:r>
        <w:rPr>
          <w:color w:val="1F1F1F"/>
          <w:spacing w:val="-2"/>
        </w:rPr>
        <w:t> </w:t>
      </w:r>
      <w:r>
        <w:rPr>
          <w:color w:val="1F1F1F"/>
        </w:rPr>
        <w:t>y</w:t>
      </w:r>
      <w:r>
        <w:rPr>
          <w:color w:val="1F1F1F"/>
          <w:spacing w:val="-5"/>
        </w:rPr>
        <w:t> </w:t>
      </w:r>
      <w:r>
        <w:rPr>
          <w:color w:val="1F1F1F"/>
        </w:rPr>
        <w:t>un</w:t>
      </w:r>
      <w:r>
        <w:rPr>
          <w:color w:val="1F1F1F"/>
          <w:spacing w:val="-1"/>
        </w:rPr>
        <w:t> </w:t>
      </w:r>
      <w:r>
        <w:rPr>
          <w:color w:val="1F1F1F"/>
        </w:rPr>
        <w:t>plazo</w:t>
      </w:r>
      <w:r>
        <w:rPr>
          <w:color w:val="1F1F1F"/>
          <w:spacing w:val="-1"/>
        </w:rPr>
        <w:t> </w:t>
      </w:r>
      <w:r>
        <w:rPr>
          <w:color w:val="1F1F1F"/>
        </w:rPr>
        <w:t>de</w:t>
      </w:r>
      <w:r>
        <w:rPr>
          <w:color w:val="1F1F1F"/>
          <w:spacing w:val="-3"/>
        </w:rPr>
        <w:t> </w:t>
      </w:r>
      <w:r>
        <w:rPr>
          <w:color w:val="1F1F1F"/>
        </w:rPr>
        <w:t>un</w:t>
      </w:r>
      <w:r>
        <w:rPr>
          <w:color w:val="1F1F1F"/>
          <w:spacing w:val="-3"/>
        </w:rPr>
        <w:t> </w:t>
      </w:r>
      <w:r>
        <w:rPr>
          <w:color w:val="1F1F1F"/>
        </w:rPr>
        <w:t>año,</w:t>
      </w:r>
      <w:r>
        <w:rPr>
          <w:color w:val="1F1F1F"/>
          <w:spacing w:val="-2"/>
        </w:rPr>
        <w:t> </w:t>
      </w:r>
      <w:r>
        <w:rPr>
          <w:color w:val="1F1F1F"/>
        </w:rPr>
        <w:t>más</w:t>
      </w:r>
      <w:r>
        <w:rPr>
          <w:color w:val="1F1F1F"/>
          <w:spacing w:val="-3"/>
        </w:rPr>
        <w:t> </w:t>
      </w:r>
      <w:r>
        <w:rPr>
          <w:color w:val="1F1F1F"/>
        </w:rPr>
        <w:t>tres</w:t>
      </w:r>
      <w:r>
        <w:rPr>
          <w:color w:val="1F1F1F"/>
          <w:spacing w:val="-3"/>
        </w:rPr>
        <w:t> </w:t>
      </w:r>
      <w:r>
        <w:rPr>
          <w:color w:val="1F1F1F"/>
        </w:rPr>
        <w:t>prórrogas</w:t>
      </w:r>
      <w:r>
        <w:rPr>
          <w:color w:val="1F1F1F"/>
          <w:spacing w:val="-3"/>
        </w:rPr>
        <w:t> </w:t>
      </w:r>
      <w:r>
        <w:rPr>
          <w:color w:val="1F1F1F"/>
        </w:rPr>
        <w:t>de</w:t>
      </w:r>
      <w:r>
        <w:rPr>
          <w:color w:val="1F1F1F"/>
          <w:spacing w:val="-2"/>
        </w:rPr>
        <w:t> </w:t>
      </w:r>
      <w:r>
        <w:rPr>
          <w:color w:val="1F1F1F"/>
        </w:rPr>
        <w:t>un</w:t>
      </w:r>
      <w:r>
        <w:rPr>
          <w:color w:val="1F1F1F"/>
          <w:spacing w:val="-3"/>
        </w:rPr>
        <w:t> </w:t>
      </w:r>
      <w:r>
        <w:rPr>
          <w:color w:val="1F1F1F"/>
        </w:rPr>
        <w:t>año.</w:t>
      </w:r>
    </w:p>
    <w:p>
      <w:pPr>
        <w:pStyle w:val="BodyText"/>
        <w:rPr>
          <w:sz w:val="20"/>
        </w:rPr>
      </w:pPr>
    </w:p>
    <w:p>
      <w:pPr>
        <w:pStyle w:val="BodyText"/>
        <w:rPr>
          <w:sz w:val="20"/>
        </w:rPr>
      </w:pPr>
    </w:p>
    <w:p>
      <w:pPr>
        <w:pStyle w:val="BodyText"/>
        <w:rPr>
          <w:sz w:val="20"/>
        </w:rPr>
      </w:pPr>
    </w:p>
    <w:p>
      <w:pPr>
        <w:pStyle w:val="BodyText"/>
        <w:spacing w:before="128"/>
        <w:rPr>
          <w:sz w:val="20"/>
        </w:rPr>
      </w:pPr>
      <w:r>
        <w:rPr>
          <w:sz w:val="20"/>
        </w:rPr>
        <mc:AlternateContent>
          <mc:Choice Requires="wps">
            <w:drawing>
              <wp:anchor distT="0" distB="0" distL="0" distR="0" allowOverlap="1" layoutInCell="1" locked="0" behindDoc="1" simplePos="0" relativeHeight="487615488">
                <wp:simplePos x="0" y="0"/>
                <wp:positionH relativeFrom="page">
                  <wp:posOffset>719632</wp:posOffset>
                </wp:positionH>
                <wp:positionV relativeFrom="paragraph">
                  <wp:posOffset>242703</wp:posOffset>
                </wp:positionV>
                <wp:extent cx="1829435" cy="9525"/>
                <wp:effectExtent l="0" t="0" r="0" b="0"/>
                <wp:wrapTopAndBottom/>
                <wp:docPr id="181" name="Graphic 181"/>
                <wp:cNvGraphicFramePr>
                  <a:graphicFrameLocks/>
                </wp:cNvGraphicFramePr>
                <a:graphic>
                  <a:graphicData uri="http://schemas.microsoft.com/office/word/2010/wordprocessingShape">
                    <wps:wsp>
                      <wps:cNvPr id="181" name="Graphic 181"/>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9.110497pt;width:144.020pt;height:.72003pt;mso-position-horizontal-relative:page;mso-position-vertical-relative:paragraph;z-index:-15700992;mso-wrap-distance-left:0;mso-wrap-distance-right:0" id="docshape163" filled="true" fillcolor="#000000" stroked="false">
                <v:fill type="solid"/>
                <w10:wrap type="topAndBottom"/>
              </v:rect>
            </w:pict>
          </mc:Fallback>
        </mc:AlternateContent>
      </w:r>
    </w:p>
    <w:p>
      <w:pPr>
        <w:spacing w:before="115"/>
        <w:ind w:left="992" w:right="999" w:firstLine="0"/>
        <w:jc w:val="both"/>
        <w:rPr>
          <w:sz w:val="18"/>
        </w:rPr>
      </w:pPr>
      <w:bookmarkStart w:name="_bookmark84" w:id="86"/>
      <w:bookmarkEnd w:id="86"/>
      <w:r>
        <w:rPr/>
      </w:r>
      <w:r>
        <w:rPr>
          <w:position w:val="6"/>
          <w:sz w:val="12"/>
        </w:rPr>
        <w:t>57</w:t>
      </w:r>
      <w:r>
        <w:rPr>
          <w:spacing w:val="19"/>
          <w:position w:val="6"/>
          <w:sz w:val="12"/>
        </w:rPr>
        <w:t> </w:t>
      </w:r>
      <w:r>
        <w:rPr>
          <w:sz w:val="18"/>
        </w:rPr>
        <w:t>El lote 1 de este expediente contractual y parte del lote 2 se realiza en ejecución de las actuaciones “Digitalización de los sistemas de información y comunicación”</w:t>
      </w:r>
      <w:r>
        <w:rPr>
          <w:spacing w:val="-1"/>
          <w:sz w:val="18"/>
        </w:rPr>
        <w:t> </w:t>
      </w:r>
      <w:r>
        <w:rPr>
          <w:sz w:val="18"/>
        </w:rPr>
        <w:t>y “Marquesinas inteligentes”</w:t>
      </w:r>
      <w:r>
        <w:rPr>
          <w:spacing w:val="-1"/>
          <w:sz w:val="18"/>
        </w:rPr>
        <w:t> </w:t>
      </w:r>
      <w:r>
        <w:rPr>
          <w:sz w:val="18"/>
        </w:rPr>
        <w:t>del proyecto INNOBUS TUR. Para una mayor comprensión de esta actuación se ha abordado el análisis conjunto de los dos lotes que conforman el expediente contractual, agrupando importes y financiación.</w:t>
      </w:r>
    </w:p>
    <w:p>
      <w:pPr>
        <w:spacing w:before="56"/>
        <w:ind w:left="992" w:right="993" w:firstLine="0"/>
        <w:jc w:val="both"/>
        <w:rPr>
          <w:sz w:val="18"/>
        </w:rPr>
      </w:pPr>
      <w:bookmarkStart w:name="_bookmark85" w:id="87"/>
      <w:bookmarkEnd w:id="87"/>
      <w:r>
        <w:rPr/>
      </w:r>
      <w:r>
        <w:rPr>
          <w:position w:val="6"/>
          <w:sz w:val="12"/>
        </w:rPr>
        <w:t>58</w:t>
      </w:r>
      <w:r>
        <w:rPr>
          <w:spacing w:val="19"/>
          <w:position w:val="6"/>
          <w:sz w:val="12"/>
        </w:rPr>
        <w:t> </w:t>
      </w:r>
      <w:r>
        <w:rPr>
          <w:sz w:val="18"/>
        </w:rPr>
        <w:t>Un sistema de ticketing basado en cuenta es una tecnología de pago para el transporte público que vincula los viajes del</w:t>
      </w:r>
      <w:r>
        <w:rPr>
          <w:spacing w:val="-6"/>
          <w:sz w:val="18"/>
        </w:rPr>
        <w:t> </w:t>
      </w:r>
      <w:r>
        <w:rPr>
          <w:sz w:val="18"/>
        </w:rPr>
        <w:t>usuario</w:t>
      </w:r>
      <w:r>
        <w:rPr>
          <w:spacing w:val="-6"/>
          <w:sz w:val="18"/>
        </w:rPr>
        <w:t> </w:t>
      </w:r>
      <w:r>
        <w:rPr>
          <w:sz w:val="18"/>
        </w:rPr>
        <w:t>a</w:t>
      </w:r>
      <w:r>
        <w:rPr>
          <w:spacing w:val="-6"/>
          <w:sz w:val="18"/>
        </w:rPr>
        <w:t> </w:t>
      </w:r>
      <w:r>
        <w:rPr>
          <w:sz w:val="18"/>
        </w:rPr>
        <w:t>una</w:t>
      </w:r>
      <w:r>
        <w:rPr>
          <w:spacing w:val="-6"/>
          <w:sz w:val="18"/>
        </w:rPr>
        <w:t> </w:t>
      </w:r>
      <w:r>
        <w:rPr>
          <w:sz w:val="18"/>
        </w:rPr>
        <w:t>cuenta</w:t>
      </w:r>
      <w:r>
        <w:rPr>
          <w:spacing w:val="-6"/>
          <w:sz w:val="18"/>
        </w:rPr>
        <w:t> </w:t>
      </w:r>
      <w:r>
        <w:rPr>
          <w:sz w:val="18"/>
        </w:rPr>
        <w:t>digital</w:t>
      </w:r>
      <w:r>
        <w:rPr>
          <w:spacing w:val="-4"/>
          <w:sz w:val="18"/>
        </w:rPr>
        <w:t> </w:t>
      </w:r>
      <w:r>
        <w:rPr>
          <w:sz w:val="18"/>
        </w:rPr>
        <w:t>en</w:t>
      </w:r>
      <w:r>
        <w:rPr>
          <w:spacing w:val="-6"/>
          <w:sz w:val="18"/>
        </w:rPr>
        <w:t> </w:t>
      </w:r>
      <w:r>
        <w:rPr>
          <w:sz w:val="18"/>
        </w:rPr>
        <w:t>la</w:t>
      </w:r>
      <w:r>
        <w:rPr>
          <w:spacing w:val="-4"/>
          <w:sz w:val="18"/>
        </w:rPr>
        <w:t> </w:t>
      </w:r>
      <w:r>
        <w:rPr>
          <w:sz w:val="18"/>
        </w:rPr>
        <w:t>nube,</w:t>
      </w:r>
      <w:r>
        <w:rPr>
          <w:spacing w:val="-3"/>
          <w:sz w:val="18"/>
        </w:rPr>
        <w:t> </w:t>
      </w:r>
      <w:r>
        <w:rPr>
          <w:sz w:val="18"/>
        </w:rPr>
        <w:t>que</w:t>
      </w:r>
      <w:r>
        <w:rPr>
          <w:spacing w:val="-6"/>
          <w:sz w:val="18"/>
        </w:rPr>
        <w:t> </w:t>
      </w:r>
      <w:r>
        <w:rPr>
          <w:sz w:val="18"/>
        </w:rPr>
        <w:t>permite</w:t>
      </w:r>
      <w:r>
        <w:rPr>
          <w:spacing w:val="-6"/>
          <w:sz w:val="18"/>
        </w:rPr>
        <w:t> </w:t>
      </w:r>
      <w:r>
        <w:rPr>
          <w:sz w:val="18"/>
        </w:rPr>
        <w:t>al</w:t>
      </w:r>
      <w:r>
        <w:rPr>
          <w:spacing w:val="-6"/>
          <w:sz w:val="18"/>
        </w:rPr>
        <w:t> </w:t>
      </w:r>
      <w:r>
        <w:rPr>
          <w:sz w:val="18"/>
        </w:rPr>
        <w:t>usuario</w:t>
      </w:r>
      <w:r>
        <w:rPr>
          <w:spacing w:val="-6"/>
          <w:sz w:val="18"/>
        </w:rPr>
        <w:t> </w:t>
      </w:r>
      <w:r>
        <w:rPr>
          <w:sz w:val="18"/>
        </w:rPr>
        <w:t>acercar</w:t>
      </w:r>
      <w:r>
        <w:rPr>
          <w:spacing w:val="-4"/>
          <w:sz w:val="18"/>
        </w:rPr>
        <w:t> </w:t>
      </w:r>
      <w:r>
        <w:rPr>
          <w:sz w:val="18"/>
        </w:rPr>
        <w:t>una</w:t>
      </w:r>
      <w:r>
        <w:rPr>
          <w:spacing w:val="-6"/>
          <w:sz w:val="18"/>
        </w:rPr>
        <w:t> </w:t>
      </w:r>
      <w:r>
        <w:rPr>
          <w:sz w:val="18"/>
        </w:rPr>
        <w:t>tarjeta</w:t>
      </w:r>
      <w:r>
        <w:rPr>
          <w:spacing w:val="-6"/>
          <w:sz w:val="18"/>
        </w:rPr>
        <w:t> </w:t>
      </w:r>
      <w:r>
        <w:rPr>
          <w:sz w:val="18"/>
        </w:rPr>
        <w:t>bancaria,</w:t>
      </w:r>
      <w:r>
        <w:rPr>
          <w:spacing w:val="-6"/>
          <w:sz w:val="18"/>
        </w:rPr>
        <w:t> </w:t>
      </w:r>
      <w:r>
        <w:rPr>
          <w:sz w:val="18"/>
        </w:rPr>
        <w:t>móvil</w:t>
      </w:r>
      <w:r>
        <w:rPr>
          <w:spacing w:val="-4"/>
          <w:sz w:val="18"/>
        </w:rPr>
        <w:t> </w:t>
      </w:r>
      <w:r>
        <w:rPr>
          <w:sz w:val="18"/>
        </w:rPr>
        <w:t>o</w:t>
      </w:r>
      <w:r>
        <w:rPr>
          <w:spacing w:val="-6"/>
          <w:sz w:val="18"/>
        </w:rPr>
        <w:t> </w:t>
      </w:r>
      <w:r>
        <w:rPr>
          <w:sz w:val="18"/>
        </w:rPr>
        <w:t>un</w:t>
      </w:r>
      <w:r>
        <w:rPr>
          <w:spacing w:val="-6"/>
          <w:sz w:val="18"/>
        </w:rPr>
        <w:t> </w:t>
      </w:r>
      <w:r>
        <w:rPr>
          <w:sz w:val="18"/>
        </w:rPr>
        <w:t>dispositivo</w:t>
      </w:r>
      <w:r>
        <w:rPr>
          <w:spacing w:val="-6"/>
          <w:sz w:val="18"/>
        </w:rPr>
        <w:t> </w:t>
      </w:r>
      <w:r>
        <w:rPr>
          <w:sz w:val="18"/>
        </w:rPr>
        <w:t>con QR a un lector al entrar al transporte, sin pagar en el momento. Al final del día, el sistema calcula automáticamente la tarifa más ventajosa posible considerando todos los trayectos realizados y los transbordos, aplicando límites de gasto y descuentos automáticamente.</w:t>
      </w:r>
    </w:p>
    <w:p>
      <w:pPr>
        <w:spacing w:before="59"/>
        <w:ind w:left="992" w:right="1003" w:firstLine="0"/>
        <w:jc w:val="both"/>
        <w:rPr>
          <w:sz w:val="18"/>
        </w:rPr>
      </w:pPr>
      <w:bookmarkStart w:name="_bookmark86" w:id="88"/>
      <w:bookmarkEnd w:id="88"/>
      <w:r>
        <w:rPr/>
      </w:r>
      <w:r>
        <w:rPr>
          <w:position w:val="6"/>
          <w:sz w:val="12"/>
        </w:rPr>
        <w:t>59</w:t>
      </w:r>
      <w:r>
        <w:rPr>
          <w:spacing w:val="40"/>
          <w:position w:val="6"/>
          <w:sz w:val="12"/>
        </w:rPr>
        <w:t> </w:t>
      </w:r>
      <w:r>
        <w:rPr>
          <w:sz w:val="18"/>
        </w:rPr>
        <w:t>Comprende los servicios financieros necesarios para la gestión de los pagos efectuados por los clientes en los terminales embarcados, mediante tarjeta sin contacto de crédito o débito.</w:t>
      </w:r>
    </w:p>
    <w:p>
      <w:pPr>
        <w:spacing w:before="55"/>
        <w:ind w:left="992" w:right="0" w:firstLine="0"/>
        <w:jc w:val="both"/>
        <w:rPr>
          <w:sz w:val="18"/>
        </w:rPr>
      </w:pPr>
      <w:bookmarkStart w:name="_bookmark87" w:id="89"/>
      <w:bookmarkEnd w:id="89"/>
      <w:r>
        <w:rPr/>
      </w:r>
      <w:r>
        <w:rPr>
          <w:position w:val="6"/>
          <w:sz w:val="12"/>
        </w:rPr>
        <w:t>60</w:t>
      </w:r>
      <w:r>
        <w:rPr>
          <w:spacing w:val="13"/>
          <w:position w:val="6"/>
          <w:sz w:val="12"/>
        </w:rPr>
        <w:t> </w:t>
      </w:r>
      <w:r>
        <w:rPr>
          <w:sz w:val="18"/>
        </w:rPr>
        <w:t>Módulo</w:t>
      </w:r>
      <w:r>
        <w:rPr>
          <w:spacing w:val="-4"/>
          <w:sz w:val="18"/>
        </w:rPr>
        <w:t> </w:t>
      </w:r>
      <w:r>
        <w:rPr>
          <w:sz w:val="18"/>
        </w:rPr>
        <w:t>que</w:t>
      </w:r>
      <w:r>
        <w:rPr>
          <w:spacing w:val="-4"/>
          <w:sz w:val="18"/>
        </w:rPr>
        <w:t> </w:t>
      </w:r>
      <w:r>
        <w:rPr>
          <w:sz w:val="18"/>
        </w:rPr>
        <w:t>hace</w:t>
      </w:r>
      <w:r>
        <w:rPr>
          <w:spacing w:val="-2"/>
          <w:sz w:val="18"/>
        </w:rPr>
        <w:t> </w:t>
      </w:r>
      <w:r>
        <w:rPr>
          <w:sz w:val="18"/>
        </w:rPr>
        <w:t>de</w:t>
      </w:r>
      <w:r>
        <w:rPr>
          <w:spacing w:val="-3"/>
          <w:sz w:val="18"/>
        </w:rPr>
        <w:t> </w:t>
      </w:r>
      <w:r>
        <w:rPr>
          <w:sz w:val="18"/>
        </w:rPr>
        <w:t>intermediario</w:t>
      </w:r>
      <w:r>
        <w:rPr>
          <w:spacing w:val="-4"/>
          <w:sz w:val="18"/>
        </w:rPr>
        <w:t> </w:t>
      </w:r>
      <w:r>
        <w:rPr>
          <w:sz w:val="18"/>
        </w:rPr>
        <w:t>entre</w:t>
      </w:r>
      <w:r>
        <w:rPr>
          <w:spacing w:val="-4"/>
          <w:sz w:val="18"/>
        </w:rPr>
        <w:t> </w:t>
      </w:r>
      <w:r>
        <w:rPr>
          <w:sz w:val="18"/>
        </w:rPr>
        <w:t>la </w:t>
      </w:r>
      <w:r>
        <w:rPr>
          <w:color w:val="1F1F1F"/>
          <w:sz w:val="18"/>
        </w:rPr>
        <w:t>plataforma</w:t>
      </w:r>
      <w:r>
        <w:rPr>
          <w:color w:val="1F1F1F"/>
          <w:spacing w:val="-3"/>
          <w:sz w:val="18"/>
        </w:rPr>
        <w:t> </w:t>
      </w:r>
      <w:r>
        <w:rPr>
          <w:color w:val="1F1F1F"/>
          <w:sz w:val="18"/>
        </w:rPr>
        <w:t>software</w:t>
      </w:r>
      <w:r>
        <w:rPr>
          <w:color w:val="1F1F1F"/>
          <w:spacing w:val="1"/>
          <w:sz w:val="18"/>
        </w:rPr>
        <w:t> </w:t>
      </w:r>
      <w:r>
        <w:rPr>
          <w:sz w:val="18"/>
        </w:rPr>
        <w:t>y</w:t>
      </w:r>
      <w:r>
        <w:rPr>
          <w:spacing w:val="-3"/>
          <w:sz w:val="18"/>
        </w:rPr>
        <w:t> </w:t>
      </w:r>
      <w:r>
        <w:rPr>
          <w:sz w:val="18"/>
        </w:rPr>
        <w:t>el</w:t>
      </w:r>
      <w:r>
        <w:rPr>
          <w:spacing w:val="-2"/>
          <w:sz w:val="18"/>
        </w:rPr>
        <w:t> </w:t>
      </w:r>
      <w:r>
        <w:rPr>
          <w:sz w:val="18"/>
        </w:rPr>
        <w:t>procesador</w:t>
      </w:r>
      <w:r>
        <w:rPr>
          <w:spacing w:val="-2"/>
          <w:sz w:val="18"/>
        </w:rPr>
        <w:t> </w:t>
      </w:r>
      <w:r>
        <w:rPr>
          <w:sz w:val="18"/>
        </w:rPr>
        <w:t>de</w:t>
      </w:r>
      <w:r>
        <w:rPr>
          <w:spacing w:val="-1"/>
          <w:sz w:val="18"/>
        </w:rPr>
        <w:t> </w:t>
      </w:r>
      <w:r>
        <w:rPr>
          <w:spacing w:val="-2"/>
          <w:sz w:val="18"/>
        </w:rPr>
        <w:t>pagos.</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89"/>
        <w:jc w:val="both"/>
      </w:pPr>
      <w:r>
        <w:rPr/>
        <w:t>El</w:t>
      </w:r>
      <w:r>
        <w:rPr>
          <w:spacing w:val="-9"/>
        </w:rPr>
        <w:t> </w:t>
      </w:r>
      <w:r>
        <w:rPr>
          <w:b/>
        </w:rPr>
        <w:t>Ayuntamiento</w:t>
      </w:r>
      <w:r>
        <w:rPr>
          <w:b/>
          <w:spacing w:val="-9"/>
        </w:rPr>
        <w:t> </w:t>
      </w:r>
      <w:r>
        <w:rPr>
          <w:b/>
        </w:rPr>
        <w:t>de</w:t>
      </w:r>
      <w:r>
        <w:rPr>
          <w:b/>
          <w:spacing w:val="-9"/>
        </w:rPr>
        <w:t> </w:t>
      </w:r>
      <w:r>
        <w:rPr>
          <w:b/>
        </w:rPr>
        <w:t>Zaragoza</w:t>
      </w:r>
      <w:r>
        <w:rPr>
          <w:b/>
          <w:spacing w:val="-8"/>
        </w:rPr>
        <w:t> </w:t>
      </w:r>
      <w:r>
        <w:rPr/>
        <w:t>ha</w:t>
      </w:r>
      <w:r>
        <w:rPr>
          <w:spacing w:val="-9"/>
        </w:rPr>
        <w:t> </w:t>
      </w:r>
      <w:r>
        <w:rPr/>
        <w:t>llevado</w:t>
      </w:r>
      <w:r>
        <w:rPr>
          <w:spacing w:val="-9"/>
        </w:rPr>
        <w:t> </w:t>
      </w:r>
      <w:r>
        <w:rPr/>
        <w:t>a</w:t>
      </w:r>
      <w:r>
        <w:rPr>
          <w:spacing w:val="-9"/>
        </w:rPr>
        <w:t> </w:t>
      </w:r>
      <w:r>
        <w:rPr/>
        <w:t>cabo</w:t>
      </w:r>
      <w:r>
        <w:rPr>
          <w:spacing w:val="-14"/>
        </w:rPr>
        <w:t> </w:t>
      </w:r>
      <w:r>
        <w:rPr/>
        <w:t>tres</w:t>
      </w:r>
      <w:r>
        <w:rPr>
          <w:spacing w:val="-11"/>
        </w:rPr>
        <w:t> </w:t>
      </w:r>
      <w:r>
        <w:rPr/>
        <w:t>actuaciones</w:t>
      </w:r>
      <w:r>
        <w:rPr>
          <w:spacing w:val="-11"/>
        </w:rPr>
        <w:t> </w:t>
      </w:r>
      <w:r>
        <w:rPr/>
        <w:t>en</w:t>
      </w:r>
      <w:r>
        <w:rPr>
          <w:spacing w:val="-12"/>
        </w:rPr>
        <w:t> </w:t>
      </w:r>
      <w:r>
        <w:rPr/>
        <w:t>materia</w:t>
      </w:r>
      <w:r>
        <w:rPr>
          <w:spacing w:val="-9"/>
        </w:rPr>
        <w:t> </w:t>
      </w:r>
      <w:r>
        <w:rPr/>
        <w:t>de</w:t>
      </w:r>
      <w:r>
        <w:rPr>
          <w:spacing w:val="-9"/>
        </w:rPr>
        <w:t> </w:t>
      </w:r>
      <w:r>
        <w:rPr/>
        <w:t>digitalización,</w:t>
      </w:r>
      <w:r>
        <w:rPr>
          <w:spacing w:val="-7"/>
        </w:rPr>
        <w:t> </w:t>
      </w:r>
      <w:r>
        <w:rPr/>
        <w:t>una de ellas con financiación europea.</w:t>
      </w:r>
    </w:p>
    <w:p>
      <w:pPr>
        <w:pStyle w:val="BodyText"/>
        <w:spacing w:before="240"/>
        <w:ind w:left="992" w:right="985"/>
        <w:jc w:val="both"/>
      </w:pPr>
      <w:r>
        <w:rPr/>
        <w:t>Esta</w:t>
      </w:r>
      <w:r>
        <w:rPr>
          <w:spacing w:val="-8"/>
        </w:rPr>
        <w:t> </w:t>
      </w:r>
      <w:r>
        <w:rPr/>
        <w:t>entidad</w:t>
      </w:r>
      <w:r>
        <w:rPr>
          <w:spacing w:val="-8"/>
        </w:rPr>
        <w:t> </w:t>
      </w:r>
      <w:r>
        <w:rPr/>
        <w:t>suscribió</w:t>
      </w:r>
      <w:r>
        <w:rPr>
          <w:spacing w:val="-8"/>
        </w:rPr>
        <w:t> </w:t>
      </w:r>
      <w:r>
        <w:rPr/>
        <w:t>el</w:t>
      </w:r>
      <w:r>
        <w:rPr>
          <w:spacing w:val="-9"/>
        </w:rPr>
        <w:t> </w:t>
      </w:r>
      <w:r>
        <w:rPr/>
        <w:t>26</w:t>
      </w:r>
      <w:r>
        <w:rPr>
          <w:spacing w:val="-8"/>
        </w:rPr>
        <w:t> </w:t>
      </w:r>
      <w:r>
        <w:rPr/>
        <w:t>de</w:t>
      </w:r>
      <w:r>
        <w:rPr>
          <w:spacing w:val="-8"/>
        </w:rPr>
        <w:t> </w:t>
      </w:r>
      <w:r>
        <w:rPr/>
        <w:t>diciembre</w:t>
      </w:r>
      <w:r>
        <w:rPr>
          <w:spacing w:val="-8"/>
        </w:rPr>
        <w:t> </w:t>
      </w:r>
      <w:r>
        <w:rPr/>
        <w:t>de</w:t>
      </w:r>
      <w:r>
        <w:rPr>
          <w:spacing w:val="-8"/>
        </w:rPr>
        <w:t> </w:t>
      </w:r>
      <w:r>
        <w:rPr/>
        <w:t>2023</w:t>
      </w:r>
      <w:r>
        <w:rPr>
          <w:spacing w:val="-11"/>
        </w:rPr>
        <w:t> </w:t>
      </w:r>
      <w:r>
        <w:rPr/>
        <w:t>un</w:t>
      </w:r>
      <w:r>
        <w:rPr>
          <w:spacing w:val="-8"/>
        </w:rPr>
        <w:t> </w:t>
      </w:r>
      <w:r>
        <w:rPr/>
        <w:t>convenio</w:t>
      </w:r>
      <w:r>
        <w:rPr>
          <w:spacing w:val="-7"/>
        </w:rPr>
        <w:t> </w:t>
      </w:r>
      <w:r>
        <w:rPr/>
        <w:t>de</w:t>
      </w:r>
      <w:r>
        <w:rPr>
          <w:spacing w:val="-8"/>
        </w:rPr>
        <w:t> </w:t>
      </w:r>
      <w:r>
        <w:rPr/>
        <w:t>colaboración</w:t>
      </w:r>
      <w:r>
        <w:rPr>
          <w:spacing w:val="-8"/>
        </w:rPr>
        <w:t> </w:t>
      </w:r>
      <w:r>
        <w:rPr/>
        <w:t>con</w:t>
      </w:r>
      <w:r>
        <w:rPr>
          <w:spacing w:val="-8"/>
        </w:rPr>
        <w:t> </w:t>
      </w:r>
      <w:r>
        <w:rPr/>
        <w:t>el</w:t>
      </w:r>
      <w:r>
        <w:rPr>
          <w:spacing w:val="-9"/>
        </w:rPr>
        <w:t> </w:t>
      </w:r>
      <w:r>
        <w:rPr/>
        <w:t>Consorcio</w:t>
      </w:r>
      <w:r>
        <w:rPr>
          <w:spacing w:val="-8"/>
        </w:rPr>
        <w:t> </w:t>
      </w:r>
      <w:r>
        <w:rPr/>
        <w:t>de Transportes del Área de Zaragoza, adscrito a la Comunidad Autónoma de Aragón, para la implementación en</w:t>
      </w:r>
      <w:r>
        <w:rPr>
          <w:spacing w:val="-1"/>
        </w:rPr>
        <w:t> </w:t>
      </w:r>
      <w:r>
        <w:rPr/>
        <w:t>los</w:t>
      </w:r>
      <w:r>
        <w:rPr>
          <w:spacing w:val="-1"/>
        </w:rPr>
        <w:t> </w:t>
      </w:r>
      <w:r>
        <w:rPr/>
        <w:t>tranvías y en los</w:t>
      </w:r>
      <w:r>
        <w:rPr>
          <w:spacing w:val="-1"/>
        </w:rPr>
        <w:t> </w:t>
      </w:r>
      <w:r>
        <w:rPr/>
        <w:t>autobuses urbanos</w:t>
      </w:r>
      <w:r>
        <w:rPr>
          <w:spacing w:val="-1"/>
        </w:rPr>
        <w:t> </w:t>
      </w:r>
      <w:r>
        <w:rPr/>
        <w:t>de la</w:t>
      </w:r>
      <w:r>
        <w:rPr>
          <w:spacing w:val="-1"/>
        </w:rPr>
        <w:t> </w:t>
      </w:r>
      <w:r>
        <w:rPr/>
        <w:t>tecnología</w:t>
      </w:r>
      <w:r>
        <w:rPr>
          <w:spacing w:val="-1"/>
        </w:rPr>
        <w:t> </w:t>
      </w:r>
      <w:r>
        <w:rPr/>
        <w:t>QR (código respuesta rápida) de pagos y evolución de seguridad en la validación del sistema tarifario integrado. El presupuesto de la actuación, por un importe máximo de 900.000 euros, está financiado en su totalidad por el Consorcio mediante fondos procedentes del PRTR</w:t>
      </w:r>
      <w:hyperlink w:history="true" w:anchor="_bookmark88">
        <w:r>
          <w:rPr>
            <w:vertAlign w:val="superscript"/>
          </w:rPr>
          <w:t>61</w:t>
        </w:r>
      </w:hyperlink>
      <w:r>
        <w:rPr>
          <w:vertAlign w:val="baseline"/>
        </w:rPr>
        <w:t>. Esta actuación se encuentra en ejecución, estando prevista su finalización en marzo de 2026, con una previsión de gasto de 878.337,35</w:t>
      </w:r>
      <w:r>
        <w:rPr>
          <w:spacing w:val="-16"/>
          <w:vertAlign w:val="baseline"/>
        </w:rPr>
        <w:t> </w:t>
      </w:r>
      <w:r>
        <w:rPr>
          <w:vertAlign w:val="baseline"/>
        </w:rPr>
        <w:t>euros,</w:t>
      </w:r>
      <w:r>
        <w:rPr>
          <w:spacing w:val="-15"/>
          <w:vertAlign w:val="baseline"/>
        </w:rPr>
        <w:t> </w:t>
      </w:r>
      <w:r>
        <w:rPr>
          <w:vertAlign w:val="baseline"/>
        </w:rPr>
        <w:t>IVA</w:t>
      </w:r>
      <w:r>
        <w:rPr>
          <w:spacing w:val="-15"/>
          <w:vertAlign w:val="baseline"/>
        </w:rPr>
        <w:t> </w:t>
      </w:r>
      <w:r>
        <w:rPr>
          <w:vertAlign w:val="baseline"/>
        </w:rPr>
        <w:t>excluido</w:t>
      </w:r>
      <w:r>
        <w:rPr>
          <w:spacing w:val="-16"/>
          <w:vertAlign w:val="baseline"/>
        </w:rPr>
        <w:t> </w:t>
      </w:r>
      <w:r>
        <w:rPr>
          <w:rFonts w:ascii="Symbol" w:hAnsi="Symbol"/>
          <w:vertAlign w:val="baseline"/>
        </w:rPr>
        <w:t></w:t>
      </w:r>
      <w:r>
        <w:rPr>
          <w:vertAlign w:val="baseline"/>
        </w:rPr>
        <w:t>100.000,00</w:t>
      </w:r>
      <w:r>
        <w:rPr>
          <w:spacing w:val="-15"/>
          <w:vertAlign w:val="baseline"/>
        </w:rPr>
        <w:t> </w:t>
      </w:r>
      <w:r>
        <w:rPr>
          <w:vertAlign w:val="baseline"/>
        </w:rPr>
        <w:t>euros,</w:t>
      </w:r>
      <w:r>
        <w:rPr>
          <w:spacing w:val="-15"/>
          <w:vertAlign w:val="baseline"/>
        </w:rPr>
        <w:t> </w:t>
      </w:r>
      <w:r>
        <w:rPr>
          <w:vertAlign w:val="baseline"/>
        </w:rPr>
        <w:t>en</w:t>
      </w:r>
      <w:r>
        <w:rPr>
          <w:spacing w:val="-15"/>
          <w:vertAlign w:val="baseline"/>
        </w:rPr>
        <w:t> </w:t>
      </w:r>
      <w:r>
        <w:rPr>
          <w:vertAlign w:val="baseline"/>
        </w:rPr>
        <w:t>autobuses,</w:t>
      </w:r>
      <w:r>
        <w:rPr>
          <w:spacing w:val="-15"/>
          <w:vertAlign w:val="baseline"/>
        </w:rPr>
        <w:t> </w:t>
      </w:r>
      <w:r>
        <w:rPr>
          <w:vertAlign w:val="baseline"/>
        </w:rPr>
        <w:t>y</w:t>
      </w:r>
      <w:r>
        <w:rPr>
          <w:spacing w:val="-16"/>
          <w:vertAlign w:val="baseline"/>
        </w:rPr>
        <w:t> </w:t>
      </w:r>
      <w:r>
        <w:rPr>
          <w:vertAlign w:val="baseline"/>
        </w:rPr>
        <w:t>778.337,23</w:t>
      </w:r>
      <w:r>
        <w:rPr>
          <w:spacing w:val="-15"/>
          <w:vertAlign w:val="baseline"/>
        </w:rPr>
        <w:t> </w:t>
      </w:r>
      <w:r>
        <w:rPr>
          <w:vertAlign w:val="baseline"/>
        </w:rPr>
        <w:t>euros,</w:t>
      </w:r>
      <w:r>
        <w:rPr>
          <w:spacing w:val="-15"/>
          <w:vertAlign w:val="baseline"/>
        </w:rPr>
        <w:t> </w:t>
      </w:r>
      <w:r>
        <w:rPr>
          <w:vertAlign w:val="baseline"/>
        </w:rPr>
        <w:t>en</w:t>
      </w:r>
      <w:r>
        <w:rPr>
          <w:spacing w:val="-16"/>
          <w:vertAlign w:val="baseline"/>
        </w:rPr>
        <w:t> </w:t>
      </w:r>
      <w:r>
        <w:rPr>
          <w:vertAlign w:val="baseline"/>
        </w:rPr>
        <w:t>tranvías</w:t>
      </w:r>
      <w:r>
        <w:rPr>
          <w:rFonts w:ascii="Symbol" w:hAnsi="Symbol"/>
          <w:vertAlign w:val="baseline"/>
        </w:rPr>
        <w:t></w:t>
      </w:r>
      <w:r>
        <w:rPr>
          <w:vertAlign w:val="baseline"/>
        </w:rPr>
        <w:t>.</w:t>
      </w:r>
    </w:p>
    <w:p>
      <w:pPr>
        <w:pStyle w:val="BodyText"/>
        <w:spacing w:before="241"/>
        <w:ind w:left="992" w:right="986"/>
        <w:jc w:val="both"/>
      </w:pPr>
      <w:r>
        <w:rPr/>
        <w:t>Otras de las actuaciones ha sido la</w:t>
      </w:r>
      <w:r>
        <w:rPr>
          <w:spacing w:val="-9"/>
        </w:rPr>
        <w:t> </w:t>
      </w:r>
      <w:r>
        <w:rPr/>
        <w:t>colocación de información dinámica en paradas de autobuses, cuya ejecución corresponde a la empresa concesionaria del servicio, por importe de 261.575,97 euros, y la implantación de la tecnología NaviLens, que ascendió a 125.165,28 euros, ambos importes sin IVA.</w:t>
      </w:r>
    </w:p>
    <w:p>
      <w:pPr>
        <w:spacing w:before="241"/>
        <w:ind w:left="992" w:right="0" w:firstLine="0"/>
        <w:jc w:val="both"/>
        <w:rPr>
          <w:i/>
          <w:sz w:val="22"/>
        </w:rPr>
      </w:pPr>
      <w:r>
        <w:rPr>
          <w:i/>
          <w:color w:val="365F91"/>
          <w:sz w:val="22"/>
        </w:rPr>
        <w:t>Actuaciones</w:t>
      </w:r>
      <w:r>
        <w:rPr>
          <w:i/>
          <w:color w:val="365F91"/>
          <w:spacing w:val="-11"/>
          <w:sz w:val="22"/>
        </w:rPr>
        <w:t> </w:t>
      </w:r>
      <w:r>
        <w:rPr>
          <w:i/>
          <w:color w:val="365F91"/>
          <w:sz w:val="22"/>
        </w:rPr>
        <w:t>realizadas</w:t>
      </w:r>
      <w:r>
        <w:rPr>
          <w:i/>
          <w:color w:val="365F91"/>
          <w:spacing w:val="-6"/>
          <w:sz w:val="22"/>
        </w:rPr>
        <w:t> </w:t>
      </w:r>
      <w:r>
        <w:rPr>
          <w:i/>
          <w:color w:val="365F91"/>
          <w:sz w:val="22"/>
        </w:rPr>
        <w:t>por</w:t>
      </w:r>
      <w:r>
        <w:rPr>
          <w:i/>
          <w:color w:val="365F91"/>
          <w:spacing w:val="-6"/>
          <w:sz w:val="22"/>
        </w:rPr>
        <w:t> </w:t>
      </w:r>
      <w:r>
        <w:rPr>
          <w:i/>
          <w:color w:val="365F91"/>
          <w:sz w:val="22"/>
        </w:rPr>
        <w:t>los</w:t>
      </w:r>
      <w:r>
        <w:rPr>
          <w:i/>
          <w:color w:val="365F91"/>
          <w:spacing w:val="-4"/>
          <w:sz w:val="22"/>
        </w:rPr>
        <w:t> </w:t>
      </w:r>
      <w:r>
        <w:rPr>
          <w:i/>
          <w:color w:val="365F91"/>
          <w:sz w:val="22"/>
        </w:rPr>
        <w:t>ayuntamientos</w:t>
      </w:r>
      <w:r>
        <w:rPr>
          <w:i/>
          <w:color w:val="365F91"/>
          <w:spacing w:val="-8"/>
          <w:sz w:val="22"/>
        </w:rPr>
        <w:t> </w:t>
      </w:r>
      <w:r>
        <w:rPr>
          <w:i/>
          <w:color w:val="365F91"/>
          <w:sz w:val="22"/>
        </w:rPr>
        <w:t>como</w:t>
      </w:r>
      <w:r>
        <w:rPr>
          <w:i/>
          <w:color w:val="365F91"/>
          <w:spacing w:val="-7"/>
          <w:sz w:val="22"/>
        </w:rPr>
        <w:t> </w:t>
      </w:r>
      <w:r>
        <w:rPr>
          <w:i/>
          <w:color w:val="365F91"/>
          <w:sz w:val="22"/>
        </w:rPr>
        <w:t>agrupación</w:t>
      </w:r>
      <w:r>
        <w:rPr>
          <w:i/>
          <w:color w:val="365F91"/>
          <w:spacing w:val="-6"/>
          <w:sz w:val="22"/>
        </w:rPr>
        <w:t> </w:t>
      </w:r>
      <w:r>
        <w:rPr>
          <w:i/>
          <w:color w:val="365F91"/>
          <w:sz w:val="22"/>
        </w:rPr>
        <w:t>de</w:t>
      </w:r>
      <w:r>
        <w:rPr>
          <w:i/>
          <w:color w:val="365F91"/>
          <w:spacing w:val="-8"/>
          <w:sz w:val="22"/>
        </w:rPr>
        <w:t> </w:t>
      </w:r>
      <w:r>
        <w:rPr>
          <w:i/>
          <w:color w:val="365F91"/>
          <w:spacing w:val="-2"/>
          <w:sz w:val="22"/>
        </w:rPr>
        <w:t>municipios</w:t>
      </w:r>
    </w:p>
    <w:p>
      <w:pPr>
        <w:pStyle w:val="BodyText"/>
        <w:spacing w:before="239"/>
        <w:ind w:left="992" w:right="988"/>
        <w:jc w:val="both"/>
      </w:pPr>
      <w:r>
        <w:rPr/>
        <w:t>Los </w:t>
      </w:r>
      <w:r>
        <w:rPr>
          <w:b/>
        </w:rPr>
        <w:t>Ayuntamientos Las Palmas de Gran Canaria, Málaga </w:t>
      </w:r>
      <w:r>
        <w:rPr/>
        <w:t>y </w:t>
      </w:r>
      <w:r>
        <w:rPr>
          <w:b/>
        </w:rPr>
        <w:t>Palma </w:t>
      </w:r>
      <w:r>
        <w:rPr/>
        <w:t>suscribieron, en septiembre de 2021, junto con el Ayuntamiento de Donostia/ San Sebastián</w:t>
      </w:r>
      <w:hyperlink w:history="true" w:anchor="_bookmark89">
        <w:r>
          <w:rPr>
            <w:vertAlign w:val="superscript"/>
          </w:rPr>
          <w:t>62</w:t>
        </w:r>
      </w:hyperlink>
      <w:r>
        <w:rPr>
          <w:vertAlign w:val="baseline"/>
        </w:rPr>
        <w:t> un convenio de colaboración al objeto de regular el trabajo colaborativo de estas cuatro entidades en el desarrollo de un plan de actuaciones dirigido a la digitalización del transporte público y a mejorar su gestión e información de cara a aumentar su uso, con el objetivo de descarbonizar la movilidad urbana, contribuir a los objetivos climáticos de la Unión Europea y ofrecer mejores servicios tanto a la población residente como visitante.</w:t>
      </w:r>
    </w:p>
    <w:p>
      <w:pPr>
        <w:pStyle w:val="BodyText"/>
        <w:spacing w:before="240"/>
        <w:ind w:left="992" w:right="988"/>
        <w:jc w:val="both"/>
      </w:pPr>
      <w:r>
        <w:rPr/>
        <w:t>Mediante</w:t>
      </w:r>
      <w:r>
        <w:rPr>
          <w:spacing w:val="-16"/>
        </w:rPr>
        <w:t> </w:t>
      </w:r>
      <w:r>
        <w:rPr/>
        <w:t>dicho</w:t>
      </w:r>
      <w:r>
        <w:rPr>
          <w:spacing w:val="-15"/>
        </w:rPr>
        <w:t> </w:t>
      </w:r>
      <w:r>
        <w:rPr/>
        <w:t>convenio</w:t>
      </w:r>
      <w:r>
        <w:rPr>
          <w:spacing w:val="-15"/>
        </w:rPr>
        <w:t> </w:t>
      </w:r>
      <w:r>
        <w:rPr/>
        <w:t>se</w:t>
      </w:r>
      <w:r>
        <w:rPr>
          <w:spacing w:val="-16"/>
        </w:rPr>
        <w:t> </w:t>
      </w:r>
      <w:r>
        <w:rPr/>
        <w:t>creó</w:t>
      </w:r>
      <w:r>
        <w:rPr>
          <w:spacing w:val="-15"/>
        </w:rPr>
        <w:t> </w:t>
      </w:r>
      <w:r>
        <w:rPr/>
        <w:t>una</w:t>
      </w:r>
      <w:r>
        <w:rPr>
          <w:spacing w:val="-15"/>
        </w:rPr>
        <w:t> </w:t>
      </w:r>
      <w:r>
        <w:rPr/>
        <w:t>agrupación</w:t>
      </w:r>
      <w:r>
        <w:rPr>
          <w:spacing w:val="-15"/>
        </w:rPr>
        <w:t> </w:t>
      </w:r>
      <w:r>
        <w:rPr/>
        <w:t>de</w:t>
      </w:r>
      <w:r>
        <w:rPr>
          <w:spacing w:val="-16"/>
        </w:rPr>
        <w:t> </w:t>
      </w:r>
      <w:r>
        <w:rPr/>
        <w:t>municipios</w:t>
      </w:r>
      <w:r>
        <w:rPr>
          <w:spacing w:val="-15"/>
        </w:rPr>
        <w:t> </w:t>
      </w:r>
      <w:r>
        <w:rPr/>
        <w:t>sin</w:t>
      </w:r>
      <w:r>
        <w:rPr>
          <w:spacing w:val="-15"/>
        </w:rPr>
        <w:t> </w:t>
      </w:r>
      <w:r>
        <w:rPr/>
        <w:t>personalidad</w:t>
      </w:r>
      <w:r>
        <w:rPr>
          <w:spacing w:val="-16"/>
        </w:rPr>
        <w:t> </w:t>
      </w:r>
      <w:r>
        <w:rPr/>
        <w:t>jurídica</w:t>
      </w:r>
      <w:r>
        <w:rPr>
          <w:spacing w:val="-15"/>
        </w:rPr>
        <w:t> </w:t>
      </w:r>
      <w:r>
        <w:rPr/>
        <w:t>propia</w:t>
      </w:r>
      <w:r>
        <w:rPr>
          <w:spacing w:val="-15"/>
        </w:rPr>
        <w:t> </w:t>
      </w:r>
      <w:r>
        <w:rPr/>
        <w:t>para la solicitud de ayudas convocadas por el MITMA. De acuerdo con las memorias técnicas y financieras presentadas junto con la solicitud, el proyecto, con un coste total sin IVA de 26.317.500,00 euros, contemplaba doce actuaciones a realizar, bien por todos o por alguno de los socios. Para la financiación del proyecto se solicitó una subvención de 23.685.750,00 euros, reconociéndose</w:t>
      </w:r>
      <w:r>
        <w:rPr>
          <w:spacing w:val="-4"/>
        </w:rPr>
        <w:t> </w:t>
      </w:r>
      <w:r>
        <w:rPr/>
        <w:t>ayudas</w:t>
      </w:r>
      <w:r>
        <w:rPr>
          <w:spacing w:val="-6"/>
        </w:rPr>
        <w:t> </w:t>
      </w:r>
      <w:r>
        <w:rPr/>
        <w:t>para</w:t>
      </w:r>
      <w:r>
        <w:rPr>
          <w:spacing w:val="-4"/>
        </w:rPr>
        <w:t> </w:t>
      </w:r>
      <w:r>
        <w:rPr/>
        <w:t>once</w:t>
      </w:r>
      <w:r>
        <w:rPr>
          <w:spacing w:val="-6"/>
        </w:rPr>
        <w:t> </w:t>
      </w:r>
      <w:r>
        <w:rPr/>
        <w:t>de</w:t>
      </w:r>
      <w:r>
        <w:rPr>
          <w:spacing w:val="-7"/>
        </w:rPr>
        <w:t> </w:t>
      </w:r>
      <w:r>
        <w:rPr/>
        <w:t>las</w:t>
      </w:r>
      <w:r>
        <w:rPr>
          <w:spacing w:val="-4"/>
        </w:rPr>
        <w:t> </w:t>
      </w:r>
      <w:r>
        <w:rPr/>
        <w:t>doce</w:t>
      </w:r>
      <w:r>
        <w:rPr>
          <w:spacing w:val="-6"/>
        </w:rPr>
        <w:t> </w:t>
      </w:r>
      <w:r>
        <w:rPr/>
        <w:t>actuaciones</w:t>
      </w:r>
      <w:r>
        <w:rPr>
          <w:spacing w:val="-4"/>
        </w:rPr>
        <w:t> </w:t>
      </w:r>
      <w:r>
        <w:rPr/>
        <w:t>contenidas</w:t>
      </w:r>
      <w:r>
        <w:rPr>
          <w:spacing w:val="-4"/>
        </w:rPr>
        <w:t> </w:t>
      </w:r>
      <w:r>
        <w:rPr/>
        <w:t>en</w:t>
      </w:r>
      <w:r>
        <w:rPr>
          <w:spacing w:val="-9"/>
        </w:rPr>
        <w:t> </w:t>
      </w:r>
      <w:r>
        <w:rPr/>
        <w:t>la</w:t>
      </w:r>
      <w:r>
        <w:rPr>
          <w:spacing w:val="-4"/>
        </w:rPr>
        <w:t> </w:t>
      </w:r>
      <w:r>
        <w:rPr/>
        <w:t>solicitud,</w:t>
      </w:r>
      <w:r>
        <w:rPr>
          <w:spacing w:val="-3"/>
        </w:rPr>
        <w:t> </w:t>
      </w:r>
      <w:r>
        <w:rPr/>
        <w:t>con</w:t>
      </w:r>
      <w:r>
        <w:rPr>
          <w:spacing w:val="-7"/>
        </w:rPr>
        <w:t> </w:t>
      </w:r>
      <w:r>
        <w:rPr/>
        <w:t>un</w:t>
      </w:r>
      <w:r>
        <w:rPr>
          <w:spacing w:val="-7"/>
        </w:rPr>
        <w:t> </w:t>
      </w:r>
      <w:r>
        <w:rPr/>
        <w:t>coste total sin IVA de 23.285.000,00 euros, un importe subvencionado total de 20.956.500,00 euros</w:t>
      </w:r>
      <w:hyperlink w:history="true" w:anchor="_bookmark90">
        <w:r>
          <w:rPr>
            <w:vertAlign w:val="superscript"/>
          </w:rPr>
          <w:t>63</w:t>
        </w:r>
      </w:hyperlink>
      <w:r>
        <w:rPr>
          <w:vertAlign w:val="baseline"/>
        </w:rPr>
        <w:t> y un</w:t>
      </w:r>
      <w:r>
        <w:rPr>
          <w:spacing w:val="-11"/>
          <w:vertAlign w:val="baseline"/>
        </w:rPr>
        <w:t> </w:t>
      </w:r>
      <w:r>
        <w:rPr>
          <w:vertAlign w:val="baseline"/>
        </w:rPr>
        <w:t>plazo</w:t>
      </w:r>
      <w:r>
        <w:rPr>
          <w:spacing w:val="-11"/>
          <w:vertAlign w:val="baseline"/>
        </w:rPr>
        <w:t> </w:t>
      </w:r>
      <w:r>
        <w:rPr>
          <w:vertAlign w:val="baseline"/>
        </w:rPr>
        <w:t>de</w:t>
      </w:r>
      <w:r>
        <w:rPr>
          <w:spacing w:val="-11"/>
          <w:vertAlign w:val="baseline"/>
        </w:rPr>
        <w:t> </w:t>
      </w:r>
      <w:r>
        <w:rPr>
          <w:vertAlign w:val="baseline"/>
        </w:rPr>
        <w:t>ejecución</w:t>
      </w:r>
      <w:r>
        <w:rPr>
          <w:spacing w:val="-11"/>
          <w:vertAlign w:val="baseline"/>
        </w:rPr>
        <w:t> </w:t>
      </w:r>
      <w:r>
        <w:rPr>
          <w:vertAlign w:val="baseline"/>
        </w:rPr>
        <w:t>hasta</w:t>
      </w:r>
      <w:r>
        <w:rPr>
          <w:spacing w:val="-10"/>
          <w:vertAlign w:val="baseline"/>
        </w:rPr>
        <w:t> </w:t>
      </w:r>
      <w:r>
        <w:rPr>
          <w:vertAlign w:val="baseline"/>
        </w:rPr>
        <w:t>el</w:t>
      </w:r>
      <w:r>
        <w:rPr>
          <w:spacing w:val="-11"/>
          <w:vertAlign w:val="baseline"/>
        </w:rPr>
        <w:t> </w:t>
      </w:r>
      <w:r>
        <w:rPr>
          <w:vertAlign w:val="baseline"/>
        </w:rPr>
        <w:t>31</w:t>
      </w:r>
      <w:r>
        <w:rPr>
          <w:spacing w:val="-11"/>
          <w:vertAlign w:val="baseline"/>
        </w:rPr>
        <w:t> </w:t>
      </w:r>
      <w:r>
        <w:rPr>
          <w:vertAlign w:val="baseline"/>
        </w:rPr>
        <w:t>de</w:t>
      </w:r>
      <w:r>
        <w:rPr>
          <w:spacing w:val="-13"/>
          <w:vertAlign w:val="baseline"/>
        </w:rPr>
        <w:t> </w:t>
      </w:r>
      <w:r>
        <w:rPr>
          <w:vertAlign w:val="baseline"/>
        </w:rPr>
        <w:t>diciembre</w:t>
      </w:r>
      <w:r>
        <w:rPr>
          <w:spacing w:val="-13"/>
          <w:vertAlign w:val="baseline"/>
        </w:rPr>
        <w:t> </w:t>
      </w:r>
      <w:r>
        <w:rPr>
          <w:vertAlign w:val="baseline"/>
        </w:rPr>
        <w:t>de</w:t>
      </w:r>
      <w:r>
        <w:rPr>
          <w:spacing w:val="-13"/>
          <w:vertAlign w:val="baseline"/>
        </w:rPr>
        <w:t> </w:t>
      </w:r>
      <w:r>
        <w:rPr>
          <w:vertAlign w:val="baseline"/>
        </w:rPr>
        <w:t>2023,</w:t>
      </w:r>
      <w:r>
        <w:rPr>
          <w:spacing w:val="-9"/>
          <w:vertAlign w:val="baseline"/>
        </w:rPr>
        <w:t> </w:t>
      </w:r>
      <w:r>
        <w:rPr>
          <w:vertAlign w:val="baseline"/>
        </w:rPr>
        <w:t>que</w:t>
      </w:r>
      <w:r>
        <w:rPr>
          <w:spacing w:val="-13"/>
          <w:vertAlign w:val="baseline"/>
        </w:rPr>
        <w:t> </w:t>
      </w:r>
      <w:r>
        <w:rPr>
          <w:vertAlign w:val="baseline"/>
        </w:rPr>
        <w:t>posteriormente</w:t>
      </w:r>
      <w:r>
        <w:rPr>
          <w:spacing w:val="-10"/>
          <w:vertAlign w:val="baseline"/>
        </w:rPr>
        <w:t> </w:t>
      </w:r>
      <w:r>
        <w:rPr>
          <w:vertAlign w:val="baseline"/>
        </w:rPr>
        <w:t>ha</w:t>
      </w:r>
      <w:r>
        <w:rPr>
          <w:spacing w:val="-11"/>
          <w:vertAlign w:val="baseline"/>
        </w:rPr>
        <w:t> </w:t>
      </w:r>
      <w:r>
        <w:rPr>
          <w:vertAlign w:val="baseline"/>
        </w:rPr>
        <w:t>sido</w:t>
      </w:r>
      <w:r>
        <w:rPr>
          <w:spacing w:val="-11"/>
          <w:vertAlign w:val="baseline"/>
        </w:rPr>
        <w:t> </w:t>
      </w:r>
      <w:r>
        <w:rPr>
          <w:vertAlign w:val="baseline"/>
        </w:rPr>
        <w:t>ampliado</w:t>
      </w:r>
      <w:r>
        <w:rPr>
          <w:spacing w:val="-10"/>
          <w:vertAlign w:val="baseline"/>
        </w:rPr>
        <w:t> </w:t>
      </w:r>
      <w:r>
        <w:rPr>
          <w:vertAlign w:val="baseline"/>
        </w:rPr>
        <w:t>hasta el 31 de diciembre de 2024.</w:t>
      </w:r>
    </w:p>
    <w:p>
      <w:pPr>
        <w:pStyle w:val="BodyText"/>
        <w:spacing w:before="241"/>
        <w:ind w:left="992" w:right="990"/>
        <w:jc w:val="both"/>
      </w:pPr>
      <w:r>
        <w:rPr/>
        <w:t>El Ministerio no concedió subvención para la actuación 7, denominada proyecto piloto de sistema de conducción autónoma, ni para los gastos de coordinación y gestión del proyecto con un presupuesto de 2.970.000,00 euros y 62.500,00 euros, respectivamente.</w:t>
      </w:r>
    </w:p>
    <w:p>
      <w:pPr>
        <w:pStyle w:val="BodyText"/>
        <w:rPr>
          <w:sz w:val="20"/>
        </w:rPr>
      </w:pPr>
    </w:p>
    <w:p>
      <w:pPr>
        <w:pStyle w:val="BodyText"/>
        <w:spacing w:before="3"/>
        <w:rPr>
          <w:sz w:val="20"/>
        </w:rPr>
      </w:pPr>
      <w:r>
        <w:rPr>
          <w:sz w:val="20"/>
        </w:rPr>
        <mc:AlternateContent>
          <mc:Choice Requires="wps">
            <w:drawing>
              <wp:anchor distT="0" distB="0" distL="0" distR="0" allowOverlap="1" layoutInCell="1" locked="0" behindDoc="1" simplePos="0" relativeHeight="487616000">
                <wp:simplePos x="0" y="0"/>
                <wp:positionH relativeFrom="page">
                  <wp:posOffset>719632</wp:posOffset>
                </wp:positionH>
                <wp:positionV relativeFrom="paragraph">
                  <wp:posOffset>163635</wp:posOffset>
                </wp:positionV>
                <wp:extent cx="1829435" cy="9525"/>
                <wp:effectExtent l="0" t="0" r="0" b="0"/>
                <wp:wrapTopAndBottom/>
                <wp:docPr id="182" name="Graphic 182"/>
                <wp:cNvGraphicFramePr>
                  <a:graphicFrameLocks/>
                </wp:cNvGraphicFramePr>
                <a:graphic>
                  <a:graphicData uri="http://schemas.microsoft.com/office/word/2010/wordprocessingShape">
                    <wps:wsp>
                      <wps:cNvPr id="182" name="Graphic 182"/>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2.884679pt;width:144.020pt;height:.71997pt;mso-position-horizontal-relative:page;mso-position-vertical-relative:paragraph;z-index:-15700480;mso-wrap-distance-left:0;mso-wrap-distance-right:0" id="docshape164" filled="true" fillcolor="#000000" stroked="false">
                <v:fill type="solid"/>
                <w10:wrap type="topAndBottom"/>
              </v:rect>
            </w:pict>
          </mc:Fallback>
        </mc:AlternateContent>
      </w:r>
    </w:p>
    <w:p>
      <w:pPr>
        <w:spacing w:before="118"/>
        <w:ind w:left="992" w:right="994" w:firstLine="0"/>
        <w:jc w:val="both"/>
        <w:rPr>
          <w:sz w:val="18"/>
        </w:rPr>
      </w:pPr>
      <w:bookmarkStart w:name="_bookmark88" w:id="90"/>
      <w:bookmarkEnd w:id="90"/>
      <w:r>
        <w:rPr/>
      </w:r>
      <w:r>
        <w:rPr>
          <w:position w:val="6"/>
          <w:sz w:val="12"/>
        </w:rPr>
        <w:t>61</w:t>
      </w:r>
      <w:r>
        <w:rPr>
          <w:spacing w:val="31"/>
          <w:position w:val="6"/>
          <w:sz w:val="12"/>
        </w:rPr>
        <w:t> </w:t>
      </w:r>
      <w:r>
        <w:rPr>
          <w:sz w:val="18"/>
        </w:rPr>
        <w:t>El Acuerdo de la Conferencia Nacional de Transportes, de 5 de noviembre de 2021, fijó los criterios de distribución territorial de créditos presupuestarios de los ejercicios 2021 y 2022, para la financiación de actuaciones de inversión en el marco de los Componentes 1 "Plan de choque de movilidad sostenible, segura y conectada en entornos urbanos y metropolitanos"</w:t>
      </w:r>
      <w:r>
        <w:rPr>
          <w:spacing w:val="-13"/>
          <w:sz w:val="18"/>
        </w:rPr>
        <w:t> </w:t>
      </w:r>
      <w:r>
        <w:rPr>
          <w:sz w:val="18"/>
        </w:rPr>
        <w:t>y</w:t>
      </w:r>
      <w:r>
        <w:rPr>
          <w:spacing w:val="-12"/>
          <w:sz w:val="18"/>
        </w:rPr>
        <w:t> </w:t>
      </w:r>
      <w:r>
        <w:rPr>
          <w:sz w:val="18"/>
        </w:rPr>
        <w:t>6</w:t>
      </w:r>
      <w:r>
        <w:rPr>
          <w:spacing w:val="-13"/>
          <w:sz w:val="18"/>
        </w:rPr>
        <w:t> </w:t>
      </w:r>
      <w:r>
        <w:rPr>
          <w:sz w:val="18"/>
        </w:rPr>
        <w:t>"Movilidad</w:t>
      </w:r>
      <w:r>
        <w:rPr>
          <w:spacing w:val="-12"/>
          <w:sz w:val="18"/>
        </w:rPr>
        <w:t> </w:t>
      </w:r>
      <w:r>
        <w:rPr>
          <w:sz w:val="18"/>
        </w:rPr>
        <w:t>sostenible,</w:t>
      </w:r>
      <w:r>
        <w:rPr>
          <w:spacing w:val="-13"/>
          <w:sz w:val="18"/>
        </w:rPr>
        <w:t> </w:t>
      </w:r>
      <w:r>
        <w:rPr>
          <w:sz w:val="18"/>
        </w:rPr>
        <w:t>segura</w:t>
      </w:r>
      <w:r>
        <w:rPr>
          <w:spacing w:val="-13"/>
          <w:sz w:val="18"/>
        </w:rPr>
        <w:t> </w:t>
      </w:r>
      <w:r>
        <w:rPr>
          <w:sz w:val="18"/>
        </w:rPr>
        <w:t>y</w:t>
      </w:r>
      <w:r>
        <w:rPr>
          <w:spacing w:val="-12"/>
          <w:sz w:val="18"/>
        </w:rPr>
        <w:t> </w:t>
      </w:r>
      <w:r>
        <w:rPr>
          <w:sz w:val="18"/>
        </w:rPr>
        <w:t>conectada"</w:t>
      </w:r>
      <w:r>
        <w:rPr>
          <w:spacing w:val="-13"/>
          <w:sz w:val="18"/>
        </w:rPr>
        <w:t> </w:t>
      </w:r>
      <w:r>
        <w:rPr>
          <w:sz w:val="18"/>
        </w:rPr>
        <w:t>del</w:t>
      </w:r>
      <w:r>
        <w:rPr>
          <w:spacing w:val="-12"/>
          <w:sz w:val="18"/>
        </w:rPr>
        <w:t> </w:t>
      </w:r>
      <w:r>
        <w:rPr>
          <w:sz w:val="18"/>
        </w:rPr>
        <w:t>PRTR.</w:t>
      </w:r>
      <w:r>
        <w:rPr>
          <w:spacing w:val="-13"/>
          <w:sz w:val="18"/>
        </w:rPr>
        <w:t> </w:t>
      </w:r>
      <w:r>
        <w:rPr>
          <w:sz w:val="18"/>
        </w:rPr>
        <w:t>Los</w:t>
      </w:r>
      <w:r>
        <w:rPr>
          <w:spacing w:val="-12"/>
          <w:sz w:val="18"/>
        </w:rPr>
        <w:t> </w:t>
      </w:r>
      <w:r>
        <w:rPr>
          <w:sz w:val="18"/>
        </w:rPr>
        <w:t>créditos</w:t>
      </w:r>
      <w:r>
        <w:rPr>
          <w:spacing w:val="-13"/>
          <w:sz w:val="18"/>
        </w:rPr>
        <w:t> </w:t>
      </w:r>
      <w:r>
        <w:rPr>
          <w:sz w:val="18"/>
        </w:rPr>
        <w:t>destinos</w:t>
      </w:r>
      <w:r>
        <w:rPr>
          <w:spacing w:val="-12"/>
          <w:sz w:val="18"/>
        </w:rPr>
        <w:t> </w:t>
      </w:r>
      <w:r>
        <w:rPr>
          <w:sz w:val="18"/>
        </w:rPr>
        <w:t>a</w:t>
      </w:r>
      <w:r>
        <w:rPr>
          <w:spacing w:val="-13"/>
          <w:sz w:val="18"/>
        </w:rPr>
        <w:t> </w:t>
      </w:r>
      <w:r>
        <w:rPr>
          <w:sz w:val="18"/>
        </w:rPr>
        <w:t>la</w:t>
      </w:r>
      <w:r>
        <w:rPr>
          <w:spacing w:val="-12"/>
          <w:sz w:val="18"/>
        </w:rPr>
        <w:t> </w:t>
      </w:r>
      <w:r>
        <w:rPr>
          <w:sz w:val="18"/>
        </w:rPr>
        <w:t>Comunidad</w:t>
      </w:r>
      <w:r>
        <w:rPr>
          <w:spacing w:val="-13"/>
          <w:sz w:val="18"/>
        </w:rPr>
        <w:t> </w:t>
      </w:r>
      <w:r>
        <w:rPr>
          <w:sz w:val="18"/>
        </w:rPr>
        <w:t>Autónoma de Aragón ascendieron a 28.296.363,00 euros, estando entre las actuaciones previstas la digitalización en el ámbito del Consorcio de Transportes de Zaragoza, con un presupuesto de 3.856.560,00 euros.</w:t>
      </w:r>
    </w:p>
    <w:p>
      <w:pPr>
        <w:spacing w:line="242" w:lineRule="auto" w:before="80"/>
        <w:ind w:left="992" w:right="988" w:firstLine="0"/>
        <w:jc w:val="both"/>
        <w:rPr>
          <w:sz w:val="18"/>
        </w:rPr>
      </w:pPr>
      <w:bookmarkStart w:name="_bookmark89" w:id="91"/>
      <w:bookmarkEnd w:id="91"/>
      <w:r>
        <w:rPr/>
      </w:r>
      <w:r>
        <w:rPr>
          <w:rFonts w:ascii="Calibri" w:hAnsi="Calibri"/>
          <w:sz w:val="18"/>
          <w:vertAlign w:val="superscript"/>
        </w:rPr>
        <w:t>62</w:t>
      </w:r>
      <w:r>
        <w:rPr>
          <w:rFonts w:ascii="Calibri" w:hAnsi="Calibri"/>
          <w:sz w:val="18"/>
          <w:vertAlign w:val="baseline"/>
        </w:rPr>
        <w:t> </w:t>
      </w:r>
      <w:r>
        <w:rPr>
          <w:sz w:val="18"/>
          <w:vertAlign w:val="baseline"/>
        </w:rPr>
        <w:t>El Ayuntamiento de Donostia/San Sebastián, designado como representante de la agrupación, fue la entidad legal solicitante</w:t>
      </w:r>
      <w:r>
        <w:rPr>
          <w:spacing w:val="-11"/>
          <w:sz w:val="18"/>
          <w:vertAlign w:val="baseline"/>
        </w:rPr>
        <w:t> </w:t>
      </w:r>
      <w:r>
        <w:rPr>
          <w:sz w:val="18"/>
          <w:vertAlign w:val="baseline"/>
        </w:rPr>
        <w:t>de</w:t>
      </w:r>
      <w:r>
        <w:rPr>
          <w:spacing w:val="-9"/>
          <w:sz w:val="18"/>
          <w:vertAlign w:val="baseline"/>
        </w:rPr>
        <w:t> </w:t>
      </w:r>
      <w:r>
        <w:rPr>
          <w:sz w:val="18"/>
          <w:vertAlign w:val="baseline"/>
        </w:rPr>
        <w:t>la</w:t>
      </w:r>
      <w:r>
        <w:rPr>
          <w:spacing w:val="-9"/>
          <w:sz w:val="18"/>
          <w:vertAlign w:val="baseline"/>
        </w:rPr>
        <w:t> </w:t>
      </w:r>
      <w:r>
        <w:rPr>
          <w:sz w:val="18"/>
          <w:vertAlign w:val="baseline"/>
        </w:rPr>
        <w:t>ayuda,</w:t>
      </w:r>
      <w:r>
        <w:rPr>
          <w:spacing w:val="-11"/>
          <w:sz w:val="18"/>
          <w:vertAlign w:val="baseline"/>
        </w:rPr>
        <w:t> </w:t>
      </w:r>
      <w:r>
        <w:rPr>
          <w:sz w:val="18"/>
          <w:vertAlign w:val="baseline"/>
        </w:rPr>
        <w:t>correspondiéndole</w:t>
      </w:r>
      <w:r>
        <w:rPr>
          <w:spacing w:val="-6"/>
          <w:sz w:val="18"/>
          <w:vertAlign w:val="baseline"/>
        </w:rPr>
        <w:t> </w:t>
      </w:r>
      <w:r>
        <w:rPr>
          <w:sz w:val="18"/>
          <w:vertAlign w:val="baseline"/>
        </w:rPr>
        <w:t>la</w:t>
      </w:r>
      <w:r>
        <w:rPr>
          <w:spacing w:val="-9"/>
          <w:sz w:val="18"/>
          <w:vertAlign w:val="baseline"/>
        </w:rPr>
        <w:t> </w:t>
      </w:r>
      <w:r>
        <w:rPr>
          <w:sz w:val="18"/>
          <w:vertAlign w:val="baseline"/>
        </w:rPr>
        <w:t>designación</w:t>
      </w:r>
      <w:r>
        <w:rPr>
          <w:spacing w:val="-9"/>
          <w:sz w:val="18"/>
          <w:vertAlign w:val="baseline"/>
        </w:rPr>
        <w:t> </w:t>
      </w:r>
      <w:r>
        <w:rPr>
          <w:sz w:val="18"/>
          <w:vertAlign w:val="baseline"/>
        </w:rPr>
        <w:t>del</w:t>
      </w:r>
      <w:r>
        <w:rPr>
          <w:spacing w:val="-9"/>
          <w:sz w:val="18"/>
          <w:vertAlign w:val="baseline"/>
        </w:rPr>
        <w:t> </w:t>
      </w:r>
      <w:r>
        <w:rPr>
          <w:sz w:val="18"/>
          <w:vertAlign w:val="baseline"/>
        </w:rPr>
        <w:t>director</w:t>
      </w:r>
      <w:r>
        <w:rPr>
          <w:spacing w:val="-8"/>
          <w:sz w:val="18"/>
          <w:vertAlign w:val="baseline"/>
        </w:rPr>
        <w:t> </w:t>
      </w:r>
      <w:r>
        <w:rPr>
          <w:sz w:val="18"/>
          <w:vertAlign w:val="baseline"/>
        </w:rPr>
        <w:t>del</w:t>
      </w:r>
      <w:r>
        <w:rPr>
          <w:spacing w:val="-8"/>
          <w:sz w:val="18"/>
          <w:vertAlign w:val="baseline"/>
        </w:rPr>
        <w:t> </w:t>
      </w:r>
      <w:r>
        <w:rPr>
          <w:sz w:val="18"/>
          <w:vertAlign w:val="baseline"/>
        </w:rPr>
        <w:t>proyecto,</w:t>
      </w:r>
      <w:r>
        <w:rPr>
          <w:spacing w:val="-11"/>
          <w:sz w:val="18"/>
          <w:vertAlign w:val="baseline"/>
        </w:rPr>
        <w:t> </w:t>
      </w:r>
      <w:r>
        <w:rPr>
          <w:sz w:val="18"/>
          <w:vertAlign w:val="baseline"/>
        </w:rPr>
        <w:t>encargado</w:t>
      </w:r>
      <w:r>
        <w:rPr>
          <w:spacing w:val="-9"/>
          <w:sz w:val="18"/>
          <w:vertAlign w:val="baseline"/>
        </w:rPr>
        <w:t> </w:t>
      </w:r>
      <w:r>
        <w:rPr>
          <w:sz w:val="18"/>
          <w:vertAlign w:val="baseline"/>
        </w:rPr>
        <w:t>de</w:t>
      </w:r>
      <w:r>
        <w:rPr>
          <w:spacing w:val="-7"/>
          <w:sz w:val="18"/>
          <w:vertAlign w:val="baseline"/>
        </w:rPr>
        <w:t> </w:t>
      </w:r>
      <w:r>
        <w:rPr>
          <w:sz w:val="18"/>
          <w:vertAlign w:val="baseline"/>
        </w:rPr>
        <w:t>la</w:t>
      </w:r>
      <w:r>
        <w:rPr>
          <w:spacing w:val="-9"/>
          <w:sz w:val="18"/>
          <w:vertAlign w:val="baseline"/>
        </w:rPr>
        <w:t> </w:t>
      </w:r>
      <w:r>
        <w:rPr>
          <w:sz w:val="18"/>
          <w:vertAlign w:val="baseline"/>
        </w:rPr>
        <w:t>presentación</w:t>
      </w:r>
      <w:r>
        <w:rPr>
          <w:spacing w:val="-11"/>
          <w:sz w:val="18"/>
          <w:vertAlign w:val="baseline"/>
        </w:rPr>
        <w:t> </w:t>
      </w:r>
      <w:r>
        <w:rPr>
          <w:sz w:val="18"/>
          <w:vertAlign w:val="baseline"/>
        </w:rPr>
        <w:t>de</w:t>
      </w:r>
      <w:r>
        <w:rPr>
          <w:spacing w:val="-9"/>
          <w:sz w:val="18"/>
          <w:vertAlign w:val="baseline"/>
        </w:rPr>
        <w:t> </w:t>
      </w:r>
      <w:r>
        <w:rPr>
          <w:sz w:val="18"/>
          <w:vertAlign w:val="baseline"/>
        </w:rPr>
        <w:t>todos los documentos y, en general, de la intermediación entre los socios y la Administración.</w:t>
      </w:r>
    </w:p>
    <w:p>
      <w:pPr>
        <w:spacing w:line="244" w:lineRule="auto" w:before="77"/>
        <w:ind w:left="992" w:right="1003" w:firstLine="0"/>
        <w:jc w:val="both"/>
        <w:rPr>
          <w:sz w:val="18"/>
        </w:rPr>
      </w:pPr>
      <w:bookmarkStart w:name="_bookmark90" w:id="92"/>
      <w:bookmarkEnd w:id="92"/>
      <w:r>
        <w:rPr/>
      </w:r>
      <w:r>
        <w:rPr>
          <w:rFonts w:ascii="Calibri" w:hAnsi="Calibri"/>
          <w:sz w:val="18"/>
          <w:vertAlign w:val="superscript"/>
        </w:rPr>
        <w:t>63</w:t>
      </w:r>
      <w:r>
        <w:rPr>
          <w:rFonts w:ascii="Calibri" w:hAnsi="Calibri"/>
          <w:sz w:val="18"/>
          <w:vertAlign w:val="baseline"/>
        </w:rPr>
        <w:t> </w:t>
      </w:r>
      <w:r>
        <w:rPr>
          <w:sz w:val="18"/>
          <w:vertAlign w:val="baseline"/>
        </w:rPr>
        <w:t>No se señalan las actuaciones a desarrollar por el Ayuntamiento de Donostia/San Sebastián, por no formar parte del ámbito subjetivo de la fiscalización.</w:t>
      </w:r>
    </w:p>
    <w:p>
      <w:pPr>
        <w:spacing w:after="0" w:line="244" w:lineRule="auto"/>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90"/>
        <w:jc w:val="both"/>
      </w:pPr>
      <w:r>
        <w:rPr/>
        <w:t>En el cuadro siguiente se relacionan las doce actuaciones del proyecto INNOBUS-TUR, junto con el coste total de las once actuaciones subvencionadas por el MITMA.</w:t>
      </w:r>
    </w:p>
    <w:p>
      <w:pPr>
        <w:pStyle w:val="BodyText"/>
        <w:spacing w:before="107"/>
      </w:pPr>
    </w:p>
    <w:p>
      <w:pPr>
        <w:pStyle w:val="Heading4"/>
        <w:ind w:left="1477" w:right="1477"/>
      </w:pPr>
      <w:bookmarkStart w:name="_bookmark91" w:id="93"/>
      <w:bookmarkEnd w:id="93"/>
      <w:r>
        <w:rPr>
          <w:b w:val="0"/>
        </w:rPr>
      </w:r>
      <w:r>
        <w:rPr/>
        <w:t>CUADRO</w:t>
      </w:r>
      <w:r>
        <w:rPr>
          <w:spacing w:val="-8"/>
        </w:rPr>
        <w:t> </w:t>
      </w:r>
      <w:r>
        <w:rPr/>
        <w:t>12.</w:t>
      </w:r>
      <w:r>
        <w:rPr>
          <w:spacing w:val="-12"/>
        </w:rPr>
        <w:t> </w:t>
      </w:r>
      <w:r>
        <w:rPr/>
        <w:t>ACTUACIONES</w:t>
      </w:r>
      <w:r>
        <w:rPr>
          <w:spacing w:val="-10"/>
        </w:rPr>
        <w:t> </w:t>
      </w:r>
      <w:r>
        <w:rPr/>
        <w:t>PROYECTO</w:t>
      </w:r>
      <w:r>
        <w:rPr>
          <w:spacing w:val="-11"/>
        </w:rPr>
        <w:t> </w:t>
      </w:r>
      <w:r>
        <w:rPr/>
        <w:t>INNOBUS-</w:t>
      </w:r>
      <w:r>
        <w:rPr>
          <w:spacing w:val="-5"/>
        </w:rPr>
        <w:t>TUR</w:t>
      </w:r>
    </w:p>
    <w:p>
      <w:pPr>
        <w:pStyle w:val="BodyText"/>
        <w:spacing w:before="12"/>
        <w:rPr>
          <w:b/>
          <w:sz w:val="20"/>
        </w:rPr>
      </w:pPr>
    </w:p>
    <w:tbl>
      <w:tblPr>
        <w:tblW w:w="0" w:type="auto"/>
        <w:jc w:val="left"/>
        <w:tblInd w:w="12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71"/>
        <w:gridCol w:w="5700"/>
        <w:gridCol w:w="1306"/>
        <w:gridCol w:w="1462"/>
      </w:tblGrid>
      <w:tr>
        <w:trPr>
          <w:trHeight w:val="849" w:hRule="atLeast"/>
        </w:trPr>
        <w:tc>
          <w:tcPr>
            <w:tcW w:w="671" w:type="dxa"/>
            <w:shd w:val="clear" w:color="auto" w:fill="001F5F"/>
          </w:tcPr>
          <w:p>
            <w:pPr>
              <w:pStyle w:val="TableParagraph"/>
              <w:spacing w:before="113"/>
              <w:rPr>
                <w:rFonts w:ascii="Arial"/>
                <w:b/>
                <w:sz w:val="18"/>
              </w:rPr>
            </w:pPr>
          </w:p>
          <w:p>
            <w:pPr>
              <w:pStyle w:val="TableParagraph"/>
              <w:spacing w:before="1"/>
              <w:ind w:left="34"/>
              <w:jc w:val="center"/>
              <w:rPr>
                <w:b/>
                <w:sz w:val="18"/>
              </w:rPr>
            </w:pPr>
            <w:r>
              <w:rPr>
                <w:b/>
                <w:color w:val="FFFFFF"/>
                <w:spacing w:val="-5"/>
                <w:sz w:val="18"/>
              </w:rPr>
              <w:t>Nº</w:t>
            </w:r>
          </w:p>
        </w:tc>
        <w:tc>
          <w:tcPr>
            <w:tcW w:w="5700" w:type="dxa"/>
            <w:shd w:val="clear" w:color="auto" w:fill="001F5F"/>
          </w:tcPr>
          <w:p>
            <w:pPr>
              <w:pStyle w:val="TableParagraph"/>
              <w:spacing w:before="113"/>
              <w:rPr>
                <w:rFonts w:ascii="Arial"/>
                <w:b/>
                <w:sz w:val="18"/>
              </w:rPr>
            </w:pPr>
          </w:p>
          <w:p>
            <w:pPr>
              <w:pStyle w:val="TableParagraph"/>
              <w:spacing w:before="1"/>
              <w:ind w:left="44"/>
              <w:jc w:val="center"/>
              <w:rPr>
                <w:b/>
                <w:sz w:val="18"/>
              </w:rPr>
            </w:pPr>
            <w:r>
              <w:rPr>
                <w:b/>
                <w:color w:val="FFFFFF"/>
                <w:spacing w:val="-2"/>
                <w:sz w:val="18"/>
              </w:rPr>
              <w:t>DENOMINACIÓN</w:t>
            </w:r>
          </w:p>
        </w:tc>
        <w:tc>
          <w:tcPr>
            <w:tcW w:w="1306" w:type="dxa"/>
            <w:shd w:val="clear" w:color="auto" w:fill="001F5F"/>
          </w:tcPr>
          <w:p>
            <w:pPr>
              <w:pStyle w:val="TableParagraph"/>
              <w:spacing w:before="10"/>
              <w:rPr>
                <w:rFonts w:ascii="Arial"/>
                <w:b/>
                <w:sz w:val="18"/>
              </w:rPr>
            </w:pPr>
          </w:p>
          <w:p>
            <w:pPr>
              <w:pStyle w:val="TableParagraph"/>
              <w:ind w:left="81" w:right="37"/>
              <w:jc w:val="center"/>
              <w:rPr>
                <w:b/>
                <w:sz w:val="18"/>
              </w:rPr>
            </w:pPr>
            <w:r>
              <w:rPr>
                <w:b/>
                <w:color w:val="FFFFFF"/>
                <w:sz w:val="18"/>
              </w:rPr>
              <w:t>COSTE</w:t>
            </w:r>
            <w:r>
              <w:rPr>
                <w:b/>
                <w:color w:val="FFFFFF"/>
                <w:spacing w:val="-2"/>
                <w:sz w:val="18"/>
              </w:rPr>
              <w:t> TOTAL</w:t>
            </w:r>
          </w:p>
          <w:p>
            <w:pPr>
              <w:pStyle w:val="TableParagraph"/>
              <w:ind w:left="84" w:right="37"/>
              <w:jc w:val="center"/>
              <w:rPr>
                <w:b/>
                <w:sz w:val="18"/>
              </w:rPr>
            </w:pPr>
            <w:r>
              <w:rPr>
                <w:b/>
                <w:color w:val="FFFFFF"/>
                <w:sz w:val="18"/>
              </w:rPr>
              <w:t>SIN</w:t>
            </w:r>
            <w:r>
              <w:rPr>
                <w:b/>
                <w:color w:val="FFFFFF"/>
                <w:spacing w:val="-3"/>
                <w:sz w:val="18"/>
              </w:rPr>
              <w:t> </w:t>
            </w:r>
            <w:r>
              <w:rPr>
                <w:b/>
                <w:color w:val="FFFFFF"/>
                <w:sz w:val="18"/>
              </w:rPr>
              <w:t>IVA</w:t>
            </w:r>
            <w:r>
              <w:rPr>
                <w:b/>
                <w:color w:val="FFFFFF"/>
                <w:spacing w:val="-1"/>
                <w:sz w:val="18"/>
              </w:rPr>
              <w:t> </w:t>
            </w:r>
            <w:r>
              <w:rPr>
                <w:b/>
                <w:color w:val="FFFFFF"/>
                <w:spacing w:val="-5"/>
                <w:sz w:val="18"/>
              </w:rPr>
              <w:t>(€)</w:t>
            </w:r>
          </w:p>
        </w:tc>
        <w:tc>
          <w:tcPr>
            <w:tcW w:w="1462" w:type="dxa"/>
            <w:shd w:val="clear" w:color="auto" w:fill="001F5F"/>
          </w:tcPr>
          <w:p>
            <w:pPr>
              <w:pStyle w:val="TableParagraph"/>
              <w:spacing w:before="114"/>
              <w:ind w:left="484" w:hanging="226"/>
              <w:rPr>
                <w:b/>
                <w:sz w:val="18"/>
              </w:rPr>
            </w:pPr>
            <w:r>
              <w:rPr>
                <w:b/>
                <w:color w:val="FFFFFF"/>
                <w:spacing w:val="-2"/>
                <w:sz w:val="18"/>
              </w:rPr>
              <w:t>SUBVENCIÓN</w:t>
            </w:r>
            <w:r>
              <w:rPr>
                <w:b/>
                <w:color w:val="FFFFFF"/>
                <w:sz w:val="18"/>
              </w:rPr>
              <w:t> </w:t>
            </w:r>
            <w:r>
              <w:rPr>
                <w:b/>
                <w:color w:val="FFFFFF"/>
                <w:spacing w:val="-2"/>
                <w:sz w:val="18"/>
              </w:rPr>
              <w:t>INICIAL</w:t>
            </w:r>
          </w:p>
          <w:p>
            <w:pPr>
              <w:pStyle w:val="TableParagraph"/>
              <w:spacing w:line="206" w:lineRule="exact"/>
              <w:ind w:left="208"/>
              <w:rPr>
                <w:b/>
                <w:sz w:val="18"/>
              </w:rPr>
            </w:pPr>
            <w:r>
              <w:rPr>
                <w:b/>
                <w:color w:val="FFFFFF"/>
                <w:sz w:val="18"/>
              </w:rPr>
              <w:t>OTORGADA</w:t>
            </w:r>
            <w:r>
              <w:rPr>
                <w:b/>
                <w:color w:val="FFFFFF"/>
                <w:spacing w:val="-3"/>
                <w:sz w:val="18"/>
              </w:rPr>
              <w:t> </w:t>
            </w:r>
            <w:r>
              <w:rPr>
                <w:b/>
                <w:color w:val="FFFFFF"/>
                <w:spacing w:val="-5"/>
                <w:sz w:val="18"/>
              </w:rPr>
              <w:t>(€)</w:t>
            </w:r>
          </w:p>
        </w:tc>
      </w:tr>
      <w:tr>
        <w:trPr>
          <w:trHeight w:val="340" w:hRule="atLeast"/>
        </w:trPr>
        <w:tc>
          <w:tcPr>
            <w:tcW w:w="671" w:type="dxa"/>
            <w:tcBorders>
              <w:bottom w:val="single" w:sz="4" w:space="0" w:color="001F5F"/>
            </w:tcBorders>
            <w:shd w:val="clear" w:color="auto" w:fill="DFDFDF"/>
          </w:tcPr>
          <w:p>
            <w:pPr>
              <w:pStyle w:val="TableParagraph"/>
              <w:spacing w:before="76"/>
              <w:ind w:left="35"/>
              <w:jc w:val="center"/>
              <w:rPr>
                <w:sz w:val="18"/>
              </w:rPr>
            </w:pPr>
            <w:r>
              <w:rPr>
                <w:spacing w:val="-10"/>
                <w:sz w:val="18"/>
              </w:rPr>
              <w:t>1</w:t>
            </w:r>
          </w:p>
        </w:tc>
        <w:tc>
          <w:tcPr>
            <w:tcW w:w="5700" w:type="dxa"/>
            <w:tcBorders>
              <w:bottom w:val="single" w:sz="4" w:space="0" w:color="001F5F"/>
            </w:tcBorders>
            <w:shd w:val="clear" w:color="auto" w:fill="DFDFDF"/>
          </w:tcPr>
          <w:p>
            <w:pPr>
              <w:pStyle w:val="TableParagraph"/>
              <w:spacing w:before="76"/>
              <w:ind w:left="108"/>
              <w:rPr>
                <w:sz w:val="18"/>
              </w:rPr>
            </w:pPr>
            <w:r>
              <w:rPr>
                <w:sz w:val="18"/>
              </w:rPr>
              <w:t>Digitalización</w:t>
            </w:r>
            <w:r>
              <w:rPr>
                <w:spacing w:val="-4"/>
                <w:sz w:val="18"/>
              </w:rPr>
              <w:t> </w:t>
            </w:r>
            <w:r>
              <w:rPr>
                <w:sz w:val="18"/>
              </w:rPr>
              <w:t>de</w:t>
            </w:r>
            <w:r>
              <w:rPr>
                <w:spacing w:val="-4"/>
                <w:sz w:val="18"/>
              </w:rPr>
              <w:t> </w:t>
            </w:r>
            <w:r>
              <w:rPr>
                <w:sz w:val="18"/>
              </w:rPr>
              <w:t>los</w:t>
            </w:r>
            <w:r>
              <w:rPr>
                <w:spacing w:val="-3"/>
                <w:sz w:val="18"/>
              </w:rPr>
              <w:t> </w:t>
            </w:r>
            <w:r>
              <w:rPr>
                <w:sz w:val="18"/>
              </w:rPr>
              <w:t>modos</w:t>
            </w:r>
            <w:r>
              <w:rPr>
                <w:spacing w:val="-4"/>
                <w:sz w:val="18"/>
              </w:rPr>
              <w:t> </w:t>
            </w:r>
            <w:r>
              <w:rPr>
                <w:sz w:val="18"/>
              </w:rPr>
              <w:t>de</w:t>
            </w:r>
            <w:r>
              <w:rPr>
                <w:spacing w:val="-3"/>
                <w:sz w:val="18"/>
              </w:rPr>
              <w:t> </w:t>
            </w:r>
            <w:r>
              <w:rPr>
                <w:spacing w:val="-4"/>
                <w:sz w:val="18"/>
              </w:rPr>
              <w:t>pago</w:t>
            </w:r>
          </w:p>
        </w:tc>
        <w:tc>
          <w:tcPr>
            <w:tcW w:w="1306" w:type="dxa"/>
            <w:tcBorders>
              <w:bottom w:val="single" w:sz="4" w:space="0" w:color="001F5F"/>
            </w:tcBorders>
            <w:shd w:val="clear" w:color="auto" w:fill="DFDFDF"/>
          </w:tcPr>
          <w:p>
            <w:pPr>
              <w:pStyle w:val="TableParagraph"/>
              <w:spacing w:before="76"/>
              <w:ind w:right="199"/>
              <w:jc w:val="right"/>
              <w:rPr>
                <w:sz w:val="18"/>
              </w:rPr>
            </w:pPr>
            <w:r>
              <w:rPr>
                <w:spacing w:val="-2"/>
                <w:sz w:val="18"/>
              </w:rPr>
              <w:t>5.535.000,00</w:t>
            </w:r>
          </w:p>
        </w:tc>
        <w:tc>
          <w:tcPr>
            <w:tcW w:w="1462" w:type="dxa"/>
            <w:tcBorders>
              <w:bottom w:val="single" w:sz="4" w:space="0" w:color="001F5F"/>
            </w:tcBorders>
            <w:shd w:val="clear" w:color="auto" w:fill="DFDFDF"/>
          </w:tcPr>
          <w:p>
            <w:pPr>
              <w:pStyle w:val="TableParagraph"/>
              <w:spacing w:before="76"/>
              <w:ind w:left="117"/>
              <w:jc w:val="center"/>
              <w:rPr>
                <w:sz w:val="18"/>
              </w:rPr>
            </w:pPr>
            <w:r>
              <w:rPr>
                <w:spacing w:val="-2"/>
                <w:sz w:val="18"/>
              </w:rPr>
              <w:t>4.981.500,00</w:t>
            </w:r>
          </w:p>
        </w:tc>
      </w:tr>
      <w:tr>
        <w:trPr>
          <w:trHeight w:val="340" w:hRule="atLeast"/>
        </w:trPr>
        <w:tc>
          <w:tcPr>
            <w:tcW w:w="671" w:type="dxa"/>
            <w:tcBorders>
              <w:top w:val="single" w:sz="4" w:space="0" w:color="001F5F"/>
              <w:bottom w:val="single" w:sz="4" w:space="0" w:color="001F5F"/>
            </w:tcBorders>
          </w:tcPr>
          <w:p>
            <w:pPr>
              <w:pStyle w:val="TableParagraph"/>
              <w:spacing w:before="76"/>
              <w:ind w:left="35"/>
              <w:jc w:val="center"/>
              <w:rPr>
                <w:sz w:val="18"/>
              </w:rPr>
            </w:pPr>
            <w:r>
              <w:rPr>
                <w:spacing w:val="-10"/>
                <w:sz w:val="18"/>
              </w:rPr>
              <w:t>2</w:t>
            </w:r>
          </w:p>
        </w:tc>
        <w:tc>
          <w:tcPr>
            <w:tcW w:w="5700" w:type="dxa"/>
            <w:tcBorders>
              <w:top w:val="single" w:sz="4" w:space="0" w:color="001F5F"/>
              <w:bottom w:val="single" w:sz="4" w:space="0" w:color="001F5F"/>
            </w:tcBorders>
          </w:tcPr>
          <w:p>
            <w:pPr>
              <w:pStyle w:val="TableParagraph"/>
              <w:spacing w:before="76"/>
              <w:ind w:left="108"/>
              <w:rPr>
                <w:position w:val="5"/>
                <w:sz w:val="12"/>
              </w:rPr>
            </w:pPr>
            <w:r>
              <w:rPr>
                <w:sz w:val="18"/>
              </w:rPr>
              <w:t>Digitalización</w:t>
            </w:r>
            <w:r>
              <w:rPr>
                <w:spacing w:val="-5"/>
                <w:sz w:val="18"/>
              </w:rPr>
              <w:t> </w:t>
            </w:r>
            <w:r>
              <w:rPr>
                <w:sz w:val="18"/>
              </w:rPr>
              <w:t>de</w:t>
            </w:r>
            <w:r>
              <w:rPr>
                <w:spacing w:val="-5"/>
                <w:sz w:val="18"/>
              </w:rPr>
              <w:t> </w:t>
            </w:r>
            <w:r>
              <w:rPr>
                <w:sz w:val="18"/>
              </w:rPr>
              <w:t>las</w:t>
            </w:r>
            <w:r>
              <w:rPr>
                <w:spacing w:val="-5"/>
                <w:sz w:val="18"/>
              </w:rPr>
              <w:t> </w:t>
            </w:r>
            <w:r>
              <w:rPr>
                <w:sz w:val="18"/>
              </w:rPr>
              <w:t>relaciones</w:t>
            </w:r>
            <w:r>
              <w:rPr>
                <w:spacing w:val="-5"/>
                <w:sz w:val="18"/>
              </w:rPr>
              <w:t> </w:t>
            </w:r>
            <w:r>
              <w:rPr>
                <w:sz w:val="18"/>
              </w:rPr>
              <w:t>laborales</w:t>
            </w:r>
            <w:r>
              <w:rPr>
                <w:spacing w:val="-2"/>
                <w:sz w:val="18"/>
              </w:rPr>
              <w:t> </w:t>
            </w:r>
            <w:r>
              <w:rPr>
                <w:spacing w:val="-5"/>
                <w:position w:val="5"/>
                <w:sz w:val="12"/>
              </w:rPr>
              <w:t>(1)</w:t>
            </w:r>
          </w:p>
        </w:tc>
        <w:tc>
          <w:tcPr>
            <w:tcW w:w="1306" w:type="dxa"/>
            <w:tcBorders>
              <w:top w:val="single" w:sz="4" w:space="0" w:color="001F5F"/>
              <w:bottom w:val="single" w:sz="4" w:space="0" w:color="001F5F"/>
            </w:tcBorders>
          </w:tcPr>
          <w:p>
            <w:pPr>
              <w:pStyle w:val="TableParagraph"/>
              <w:spacing w:before="76"/>
              <w:ind w:right="199"/>
              <w:jc w:val="right"/>
              <w:rPr>
                <w:sz w:val="18"/>
              </w:rPr>
            </w:pPr>
            <w:r>
              <w:rPr>
                <w:spacing w:val="-2"/>
                <w:sz w:val="18"/>
              </w:rPr>
              <w:t>240.000,00</w:t>
            </w:r>
          </w:p>
        </w:tc>
        <w:tc>
          <w:tcPr>
            <w:tcW w:w="1462" w:type="dxa"/>
            <w:tcBorders>
              <w:top w:val="single" w:sz="4" w:space="0" w:color="001F5F"/>
              <w:bottom w:val="single" w:sz="4" w:space="0" w:color="001F5F"/>
            </w:tcBorders>
          </w:tcPr>
          <w:p>
            <w:pPr>
              <w:pStyle w:val="TableParagraph"/>
              <w:spacing w:before="76"/>
              <w:ind w:left="240"/>
              <w:jc w:val="center"/>
              <w:rPr>
                <w:sz w:val="18"/>
              </w:rPr>
            </w:pPr>
            <w:r>
              <w:rPr>
                <w:spacing w:val="-2"/>
                <w:sz w:val="18"/>
              </w:rPr>
              <w:t>216.000,00</w:t>
            </w:r>
          </w:p>
        </w:tc>
      </w:tr>
      <w:tr>
        <w:trPr>
          <w:trHeight w:val="338" w:hRule="atLeast"/>
        </w:trPr>
        <w:tc>
          <w:tcPr>
            <w:tcW w:w="671" w:type="dxa"/>
            <w:tcBorders>
              <w:top w:val="single" w:sz="4" w:space="0" w:color="001F5F"/>
              <w:bottom w:val="single" w:sz="4" w:space="0" w:color="001F5F"/>
            </w:tcBorders>
            <w:shd w:val="clear" w:color="auto" w:fill="D9D9D9"/>
          </w:tcPr>
          <w:p>
            <w:pPr>
              <w:pStyle w:val="TableParagraph"/>
              <w:spacing w:before="73"/>
              <w:ind w:left="35"/>
              <w:jc w:val="center"/>
              <w:rPr>
                <w:sz w:val="18"/>
              </w:rPr>
            </w:pPr>
            <w:r>
              <w:rPr>
                <w:spacing w:val="-10"/>
                <w:sz w:val="18"/>
              </w:rPr>
              <w:t>3</w:t>
            </w:r>
          </w:p>
        </w:tc>
        <w:tc>
          <w:tcPr>
            <w:tcW w:w="5700" w:type="dxa"/>
            <w:tcBorders>
              <w:top w:val="single" w:sz="4" w:space="0" w:color="001F5F"/>
              <w:bottom w:val="single" w:sz="4" w:space="0" w:color="001F5F"/>
            </w:tcBorders>
            <w:shd w:val="clear" w:color="auto" w:fill="D9D9D9"/>
          </w:tcPr>
          <w:p>
            <w:pPr>
              <w:pStyle w:val="TableParagraph"/>
              <w:spacing w:before="73"/>
              <w:ind w:left="108"/>
              <w:rPr>
                <w:sz w:val="18"/>
              </w:rPr>
            </w:pPr>
            <w:r>
              <w:rPr>
                <w:sz w:val="18"/>
              </w:rPr>
              <w:t>Digitalización</w:t>
            </w:r>
            <w:r>
              <w:rPr>
                <w:spacing w:val="-4"/>
                <w:sz w:val="18"/>
              </w:rPr>
              <w:t> </w:t>
            </w:r>
            <w:r>
              <w:rPr>
                <w:sz w:val="18"/>
              </w:rPr>
              <w:t>de</w:t>
            </w:r>
            <w:r>
              <w:rPr>
                <w:spacing w:val="-3"/>
                <w:sz w:val="18"/>
              </w:rPr>
              <w:t> </w:t>
            </w:r>
            <w:r>
              <w:rPr>
                <w:sz w:val="18"/>
              </w:rPr>
              <w:t>los</w:t>
            </w:r>
            <w:r>
              <w:rPr>
                <w:spacing w:val="-4"/>
                <w:sz w:val="18"/>
              </w:rPr>
              <w:t> </w:t>
            </w:r>
            <w:r>
              <w:rPr>
                <w:sz w:val="18"/>
              </w:rPr>
              <w:t>sistemas</w:t>
            </w:r>
            <w:r>
              <w:rPr>
                <w:spacing w:val="-3"/>
                <w:sz w:val="18"/>
              </w:rPr>
              <w:t> </w:t>
            </w:r>
            <w:r>
              <w:rPr>
                <w:sz w:val="18"/>
              </w:rPr>
              <w:t>de</w:t>
            </w:r>
            <w:r>
              <w:rPr>
                <w:spacing w:val="-4"/>
                <w:sz w:val="18"/>
              </w:rPr>
              <w:t> </w:t>
            </w:r>
            <w:r>
              <w:rPr>
                <w:sz w:val="18"/>
              </w:rPr>
              <w:t>información</w:t>
            </w:r>
            <w:r>
              <w:rPr>
                <w:spacing w:val="-3"/>
                <w:sz w:val="18"/>
              </w:rPr>
              <w:t> </w:t>
            </w:r>
            <w:r>
              <w:rPr>
                <w:sz w:val="18"/>
              </w:rPr>
              <w:t>y</w:t>
            </w:r>
            <w:r>
              <w:rPr>
                <w:spacing w:val="-3"/>
                <w:sz w:val="18"/>
              </w:rPr>
              <w:t> </w:t>
            </w:r>
            <w:r>
              <w:rPr>
                <w:spacing w:val="-2"/>
                <w:sz w:val="18"/>
              </w:rPr>
              <w:t>comunicación</w:t>
            </w:r>
          </w:p>
        </w:tc>
        <w:tc>
          <w:tcPr>
            <w:tcW w:w="1306" w:type="dxa"/>
            <w:tcBorders>
              <w:top w:val="single" w:sz="4" w:space="0" w:color="001F5F"/>
              <w:bottom w:val="single" w:sz="4" w:space="0" w:color="001F5F"/>
            </w:tcBorders>
            <w:shd w:val="clear" w:color="auto" w:fill="D9D9D9"/>
          </w:tcPr>
          <w:p>
            <w:pPr>
              <w:pStyle w:val="TableParagraph"/>
              <w:spacing w:before="73"/>
              <w:ind w:right="199"/>
              <w:jc w:val="right"/>
              <w:rPr>
                <w:sz w:val="18"/>
              </w:rPr>
            </w:pPr>
            <w:r>
              <w:rPr>
                <w:spacing w:val="-2"/>
                <w:sz w:val="18"/>
              </w:rPr>
              <w:t>4.300.000,00</w:t>
            </w:r>
          </w:p>
        </w:tc>
        <w:tc>
          <w:tcPr>
            <w:tcW w:w="1462" w:type="dxa"/>
            <w:tcBorders>
              <w:top w:val="single" w:sz="4" w:space="0" w:color="001F5F"/>
              <w:bottom w:val="single" w:sz="4" w:space="0" w:color="001F5F"/>
            </w:tcBorders>
            <w:shd w:val="clear" w:color="auto" w:fill="D9D9D9"/>
          </w:tcPr>
          <w:p>
            <w:pPr>
              <w:pStyle w:val="TableParagraph"/>
              <w:spacing w:before="73"/>
              <w:ind w:left="117"/>
              <w:jc w:val="center"/>
              <w:rPr>
                <w:sz w:val="18"/>
              </w:rPr>
            </w:pPr>
            <w:r>
              <w:rPr>
                <w:spacing w:val="-2"/>
                <w:sz w:val="18"/>
              </w:rPr>
              <w:t>3.870.000,00</w:t>
            </w:r>
          </w:p>
        </w:tc>
      </w:tr>
      <w:tr>
        <w:trPr>
          <w:trHeight w:val="340" w:hRule="atLeast"/>
        </w:trPr>
        <w:tc>
          <w:tcPr>
            <w:tcW w:w="671" w:type="dxa"/>
            <w:tcBorders>
              <w:top w:val="single" w:sz="4" w:space="0" w:color="001F5F"/>
              <w:bottom w:val="single" w:sz="4" w:space="0" w:color="001F5F"/>
            </w:tcBorders>
          </w:tcPr>
          <w:p>
            <w:pPr>
              <w:pStyle w:val="TableParagraph"/>
              <w:spacing w:before="76"/>
              <w:ind w:left="35"/>
              <w:jc w:val="center"/>
              <w:rPr>
                <w:sz w:val="18"/>
              </w:rPr>
            </w:pPr>
            <w:r>
              <w:rPr>
                <w:spacing w:val="-10"/>
                <w:sz w:val="18"/>
              </w:rPr>
              <w:t>4</w:t>
            </w:r>
          </w:p>
        </w:tc>
        <w:tc>
          <w:tcPr>
            <w:tcW w:w="5700" w:type="dxa"/>
            <w:tcBorders>
              <w:top w:val="single" w:sz="4" w:space="0" w:color="001F5F"/>
              <w:bottom w:val="single" w:sz="4" w:space="0" w:color="001F5F"/>
            </w:tcBorders>
          </w:tcPr>
          <w:p>
            <w:pPr>
              <w:pStyle w:val="TableParagraph"/>
              <w:spacing w:before="76"/>
              <w:ind w:left="108"/>
              <w:rPr>
                <w:sz w:val="18"/>
              </w:rPr>
            </w:pPr>
            <w:r>
              <w:rPr>
                <w:sz w:val="18"/>
              </w:rPr>
              <w:t>Paradas</w:t>
            </w:r>
            <w:r>
              <w:rPr>
                <w:spacing w:val="-3"/>
                <w:sz w:val="18"/>
              </w:rPr>
              <w:t> </w:t>
            </w:r>
            <w:r>
              <w:rPr>
                <w:sz w:val="18"/>
              </w:rPr>
              <w:t>y</w:t>
            </w:r>
            <w:r>
              <w:rPr>
                <w:spacing w:val="-3"/>
                <w:sz w:val="18"/>
              </w:rPr>
              <w:t> </w:t>
            </w:r>
            <w:r>
              <w:rPr>
                <w:sz w:val="18"/>
              </w:rPr>
              <w:t>marquesinas</w:t>
            </w:r>
            <w:r>
              <w:rPr>
                <w:spacing w:val="-2"/>
                <w:sz w:val="18"/>
              </w:rPr>
              <w:t> inteligentes</w:t>
            </w:r>
          </w:p>
        </w:tc>
        <w:tc>
          <w:tcPr>
            <w:tcW w:w="1306" w:type="dxa"/>
            <w:tcBorders>
              <w:top w:val="single" w:sz="4" w:space="0" w:color="001F5F"/>
              <w:bottom w:val="single" w:sz="4" w:space="0" w:color="001F5F"/>
            </w:tcBorders>
          </w:tcPr>
          <w:p>
            <w:pPr>
              <w:pStyle w:val="TableParagraph"/>
              <w:spacing w:before="76"/>
              <w:ind w:right="199"/>
              <w:jc w:val="right"/>
              <w:rPr>
                <w:sz w:val="18"/>
              </w:rPr>
            </w:pPr>
            <w:r>
              <w:rPr>
                <w:spacing w:val="-2"/>
                <w:sz w:val="18"/>
              </w:rPr>
              <w:t>6.660.000,00</w:t>
            </w:r>
          </w:p>
        </w:tc>
        <w:tc>
          <w:tcPr>
            <w:tcW w:w="1462" w:type="dxa"/>
            <w:tcBorders>
              <w:top w:val="single" w:sz="4" w:space="0" w:color="001F5F"/>
              <w:bottom w:val="single" w:sz="4" w:space="0" w:color="001F5F"/>
            </w:tcBorders>
          </w:tcPr>
          <w:p>
            <w:pPr>
              <w:pStyle w:val="TableParagraph"/>
              <w:spacing w:before="76"/>
              <w:ind w:left="117"/>
              <w:jc w:val="center"/>
              <w:rPr>
                <w:sz w:val="18"/>
              </w:rPr>
            </w:pPr>
            <w:r>
              <w:rPr>
                <w:spacing w:val="-2"/>
                <w:sz w:val="18"/>
              </w:rPr>
              <w:t>5.994.000,00</w:t>
            </w:r>
          </w:p>
        </w:tc>
      </w:tr>
      <w:tr>
        <w:trPr>
          <w:trHeight w:val="340" w:hRule="atLeast"/>
        </w:trPr>
        <w:tc>
          <w:tcPr>
            <w:tcW w:w="671" w:type="dxa"/>
            <w:tcBorders>
              <w:top w:val="single" w:sz="4" w:space="0" w:color="001F5F"/>
              <w:bottom w:val="single" w:sz="4" w:space="0" w:color="001F5F"/>
            </w:tcBorders>
            <w:shd w:val="clear" w:color="auto" w:fill="D9D9D9"/>
          </w:tcPr>
          <w:p>
            <w:pPr>
              <w:pStyle w:val="TableParagraph"/>
              <w:spacing w:before="76"/>
              <w:ind w:left="35"/>
              <w:jc w:val="center"/>
              <w:rPr>
                <w:sz w:val="18"/>
              </w:rPr>
            </w:pPr>
            <w:r>
              <w:rPr>
                <w:spacing w:val="-10"/>
                <w:sz w:val="18"/>
              </w:rPr>
              <w:t>5</w:t>
            </w:r>
          </w:p>
        </w:tc>
        <w:tc>
          <w:tcPr>
            <w:tcW w:w="5700" w:type="dxa"/>
            <w:tcBorders>
              <w:top w:val="single" w:sz="4" w:space="0" w:color="001F5F"/>
              <w:bottom w:val="single" w:sz="4" w:space="0" w:color="001F5F"/>
            </w:tcBorders>
            <w:shd w:val="clear" w:color="auto" w:fill="D9D9D9"/>
          </w:tcPr>
          <w:p>
            <w:pPr>
              <w:pStyle w:val="TableParagraph"/>
              <w:spacing w:before="76"/>
              <w:ind w:left="108"/>
              <w:rPr>
                <w:sz w:val="18"/>
              </w:rPr>
            </w:pPr>
            <w:r>
              <w:rPr>
                <w:sz w:val="18"/>
              </w:rPr>
              <w:t>Digitalización</w:t>
            </w:r>
            <w:r>
              <w:rPr>
                <w:spacing w:val="-4"/>
                <w:sz w:val="18"/>
              </w:rPr>
              <w:t> </w:t>
            </w:r>
            <w:r>
              <w:rPr>
                <w:sz w:val="18"/>
              </w:rPr>
              <w:t>de</w:t>
            </w:r>
            <w:r>
              <w:rPr>
                <w:spacing w:val="-3"/>
                <w:sz w:val="18"/>
              </w:rPr>
              <w:t> </w:t>
            </w:r>
            <w:r>
              <w:rPr>
                <w:sz w:val="18"/>
              </w:rPr>
              <w:t>las</w:t>
            </w:r>
            <w:r>
              <w:rPr>
                <w:spacing w:val="-3"/>
                <w:sz w:val="18"/>
              </w:rPr>
              <w:t> </w:t>
            </w:r>
            <w:r>
              <w:rPr>
                <w:sz w:val="18"/>
              </w:rPr>
              <w:t>actividades</w:t>
            </w:r>
            <w:r>
              <w:rPr>
                <w:spacing w:val="-3"/>
                <w:sz w:val="18"/>
              </w:rPr>
              <w:t> </w:t>
            </w:r>
            <w:r>
              <w:rPr>
                <w:sz w:val="18"/>
              </w:rPr>
              <w:t>del</w:t>
            </w:r>
            <w:r>
              <w:rPr>
                <w:spacing w:val="-3"/>
                <w:sz w:val="18"/>
              </w:rPr>
              <w:t> </w:t>
            </w:r>
            <w:r>
              <w:rPr>
                <w:sz w:val="18"/>
              </w:rPr>
              <w:t>taller</w:t>
            </w:r>
            <w:r>
              <w:rPr>
                <w:spacing w:val="-2"/>
                <w:sz w:val="18"/>
              </w:rPr>
              <w:t> </w:t>
            </w:r>
            <w:r>
              <w:rPr>
                <w:sz w:val="18"/>
              </w:rPr>
              <w:t>y</w:t>
            </w:r>
            <w:r>
              <w:rPr>
                <w:spacing w:val="-3"/>
                <w:sz w:val="18"/>
              </w:rPr>
              <w:t> </w:t>
            </w:r>
            <w:r>
              <w:rPr>
                <w:spacing w:val="-2"/>
                <w:sz w:val="18"/>
              </w:rPr>
              <w:t>auxiliares</w:t>
            </w:r>
          </w:p>
        </w:tc>
        <w:tc>
          <w:tcPr>
            <w:tcW w:w="1306" w:type="dxa"/>
            <w:tcBorders>
              <w:top w:val="single" w:sz="4" w:space="0" w:color="001F5F"/>
              <w:bottom w:val="single" w:sz="4" w:space="0" w:color="001F5F"/>
            </w:tcBorders>
            <w:shd w:val="clear" w:color="auto" w:fill="D9D9D9"/>
          </w:tcPr>
          <w:p>
            <w:pPr>
              <w:pStyle w:val="TableParagraph"/>
              <w:spacing w:before="76"/>
              <w:ind w:right="199"/>
              <w:jc w:val="right"/>
              <w:rPr>
                <w:sz w:val="18"/>
              </w:rPr>
            </w:pPr>
            <w:r>
              <w:rPr>
                <w:spacing w:val="-2"/>
                <w:sz w:val="18"/>
              </w:rPr>
              <w:t>610.000,00</w:t>
            </w:r>
          </w:p>
        </w:tc>
        <w:tc>
          <w:tcPr>
            <w:tcW w:w="1462" w:type="dxa"/>
            <w:tcBorders>
              <w:top w:val="single" w:sz="4" w:space="0" w:color="001F5F"/>
              <w:bottom w:val="single" w:sz="4" w:space="0" w:color="001F5F"/>
            </w:tcBorders>
            <w:shd w:val="clear" w:color="auto" w:fill="D9D9D9"/>
          </w:tcPr>
          <w:p>
            <w:pPr>
              <w:pStyle w:val="TableParagraph"/>
              <w:spacing w:before="76"/>
              <w:ind w:left="240"/>
              <w:jc w:val="center"/>
              <w:rPr>
                <w:sz w:val="18"/>
              </w:rPr>
            </w:pPr>
            <w:r>
              <w:rPr>
                <w:spacing w:val="-2"/>
                <w:sz w:val="18"/>
              </w:rPr>
              <w:t>549.000,00</w:t>
            </w:r>
          </w:p>
        </w:tc>
      </w:tr>
      <w:tr>
        <w:trPr>
          <w:trHeight w:val="640" w:hRule="atLeast"/>
        </w:trPr>
        <w:tc>
          <w:tcPr>
            <w:tcW w:w="671" w:type="dxa"/>
            <w:tcBorders>
              <w:top w:val="single" w:sz="4" w:space="0" w:color="001F5F"/>
              <w:bottom w:val="single" w:sz="4" w:space="0" w:color="001F5F"/>
            </w:tcBorders>
          </w:tcPr>
          <w:p>
            <w:pPr>
              <w:pStyle w:val="TableParagraph"/>
              <w:spacing w:before="17"/>
              <w:rPr>
                <w:rFonts w:ascii="Arial"/>
                <w:b/>
                <w:sz w:val="18"/>
              </w:rPr>
            </w:pPr>
          </w:p>
          <w:p>
            <w:pPr>
              <w:pStyle w:val="TableParagraph"/>
              <w:ind w:left="35"/>
              <w:jc w:val="center"/>
              <w:rPr>
                <w:sz w:val="18"/>
              </w:rPr>
            </w:pPr>
            <w:r>
              <w:rPr>
                <w:spacing w:val="-10"/>
                <w:sz w:val="18"/>
              </w:rPr>
              <w:t>6</w:t>
            </w:r>
          </w:p>
        </w:tc>
        <w:tc>
          <w:tcPr>
            <w:tcW w:w="5700" w:type="dxa"/>
            <w:tcBorders>
              <w:top w:val="single" w:sz="4" w:space="0" w:color="001F5F"/>
              <w:bottom w:val="single" w:sz="4" w:space="0" w:color="001F5F"/>
            </w:tcBorders>
          </w:tcPr>
          <w:p>
            <w:pPr>
              <w:pStyle w:val="TableParagraph"/>
              <w:spacing w:before="18"/>
              <w:ind w:left="108"/>
              <w:rPr>
                <w:sz w:val="18"/>
              </w:rPr>
            </w:pPr>
            <w:r>
              <w:rPr>
                <w:sz w:val="18"/>
              </w:rPr>
              <w:t>Desarrollo</w:t>
            </w:r>
            <w:r>
              <w:rPr>
                <w:spacing w:val="-6"/>
                <w:sz w:val="18"/>
              </w:rPr>
              <w:t> </w:t>
            </w:r>
            <w:r>
              <w:rPr>
                <w:sz w:val="18"/>
              </w:rPr>
              <w:t>e</w:t>
            </w:r>
            <w:r>
              <w:rPr>
                <w:spacing w:val="-3"/>
                <w:sz w:val="18"/>
              </w:rPr>
              <w:t> </w:t>
            </w:r>
            <w:r>
              <w:rPr>
                <w:sz w:val="18"/>
              </w:rPr>
              <w:t>implementación</w:t>
            </w:r>
            <w:r>
              <w:rPr>
                <w:spacing w:val="-3"/>
                <w:sz w:val="18"/>
              </w:rPr>
              <w:t> </w:t>
            </w:r>
            <w:r>
              <w:rPr>
                <w:sz w:val="18"/>
              </w:rPr>
              <w:t>de</w:t>
            </w:r>
            <w:r>
              <w:rPr>
                <w:spacing w:val="-3"/>
                <w:sz w:val="18"/>
              </w:rPr>
              <w:t> </w:t>
            </w:r>
            <w:r>
              <w:rPr>
                <w:sz w:val="18"/>
              </w:rPr>
              <w:t>software</w:t>
            </w:r>
            <w:r>
              <w:rPr>
                <w:spacing w:val="-3"/>
                <w:sz w:val="18"/>
              </w:rPr>
              <w:t> </w:t>
            </w:r>
            <w:r>
              <w:rPr>
                <w:sz w:val="18"/>
              </w:rPr>
              <w:t>de</w:t>
            </w:r>
            <w:r>
              <w:rPr>
                <w:spacing w:val="-3"/>
                <w:sz w:val="18"/>
              </w:rPr>
              <w:t> </w:t>
            </w:r>
            <w:r>
              <w:rPr>
                <w:sz w:val="18"/>
              </w:rPr>
              <w:t>visionado</w:t>
            </w:r>
            <w:r>
              <w:rPr>
                <w:spacing w:val="-3"/>
                <w:sz w:val="18"/>
              </w:rPr>
              <w:t> </w:t>
            </w:r>
            <w:r>
              <w:rPr>
                <w:sz w:val="18"/>
              </w:rPr>
              <w:t>y</w:t>
            </w:r>
            <w:r>
              <w:rPr>
                <w:spacing w:val="-2"/>
                <w:sz w:val="18"/>
              </w:rPr>
              <w:t> </w:t>
            </w:r>
            <w:r>
              <w:rPr>
                <w:sz w:val="18"/>
              </w:rPr>
              <w:t>tratamiento</w:t>
            </w:r>
            <w:r>
              <w:rPr>
                <w:spacing w:val="-1"/>
                <w:sz w:val="18"/>
              </w:rPr>
              <w:t> </w:t>
            </w:r>
            <w:r>
              <w:rPr>
                <w:sz w:val="18"/>
              </w:rPr>
              <w:t>inteligente</w:t>
            </w:r>
            <w:r>
              <w:rPr>
                <w:spacing w:val="-3"/>
                <w:sz w:val="18"/>
              </w:rPr>
              <w:t> </w:t>
            </w:r>
            <w:r>
              <w:rPr>
                <w:spacing w:val="-5"/>
                <w:sz w:val="18"/>
              </w:rPr>
              <w:t>de</w:t>
            </w:r>
          </w:p>
          <w:p>
            <w:pPr>
              <w:pStyle w:val="TableParagraph"/>
              <w:spacing w:line="200" w:lineRule="atLeast"/>
              <w:ind w:left="108"/>
              <w:rPr>
                <w:sz w:val="18"/>
              </w:rPr>
            </w:pPr>
            <w:r>
              <w:rPr>
                <w:sz w:val="18"/>
              </w:rPr>
              <w:t>imágenes</w:t>
            </w:r>
            <w:r>
              <w:rPr>
                <w:spacing w:val="-4"/>
                <w:sz w:val="18"/>
              </w:rPr>
              <w:t> </w:t>
            </w:r>
            <w:r>
              <w:rPr>
                <w:sz w:val="18"/>
              </w:rPr>
              <w:t>para</w:t>
            </w:r>
            <w:r>
              <w:rPr>
                <w:spacing w:val="-4"/>
                <w:sz w:val="18"/>
              </w:rPr>
              <w:t> </w:t>
            </w:r>
            <w:r>
              <w:rPr>
                <w:sz w:val="18"/>
              </w:rPr>
              <w:t>el</w:t>
            </w:r>
            <w:r>
              <w:rPr>
                <w:spacing w:val="-4"/>
                <w:sz w:val="18"/>
              </w:rPr>
              <w:t> </w:t>
            </w:r>
            <w:r>
              <w:rPr>
                <w:sz w:val="18"/>
              </w:rPr>
              <w:t>control</w:t>
            </w:r>
            <w:r>
              <w:rPr>
                <w:spacing w:val="-4"/>
                <w:sz w:val="18"/>
              </w:rPr>
              <w:t> </w:t>
            </w:r>
            <w:r>
              <w:rPr>
                <w:sz w:val="18"/>
              </w:rPr>
              <w:t>del</w:t>
            </w:r>
            <w:r>
              <w:rPr>
                <w:spacing w:val="-3"/>
                <w:sz w:val="18"/>
              </w:rPr>
              <w:t> </w:t>
            </w:r>
            <w:r>
              <w:rPr>
                <w:sz w:val="18"/>
              </w:rPr>
              <w:t>cumplimiento</w:t>
            </w:r>
            <w:r>
              <w:rPr>
                <w:spacing w:val="-4"/>
                <w:sz w:val="18"/>
              </w:rPr>
              <w:t> </w:t>
            </w:r>
            <w:r>
              <w:rPr>
                <w:sz w:val="18"/>
              </w:rPr>
              <w:t>de</w:t>
            </w:r>
            <w:r>
              <w:rPr>
                <w:spacing w:val="-4"/>
                <w:sz w:val="18"/>
              </w:rPr>
              <w:t> </w:t>
            </w:r>
            <w:r>
              <w:rPr>
                <w:sz w:val="18"/>
              </w:rPr>
              <w:t>las</w:t>
            </w:r>
            <w:r>
              <w:rPr>
                <w:spacing w:val="-4"/>
                <w:sz w:val="18"/>
              </w:rPr>
              <w:t> </w:t>
            </w:r>
            <w:r>
              <w:rPr>
                <w:sz w:val="18"/>
              </w:rPr>
              <w:t>normativas</w:t>
            </w:r>
            <w:r>
              <w:rPr>
                <w:spacing w:val="-4"/>
                <w:sz w:val="18"/>
              </w:rPr>
              <w:t> </w:t>
            </w:r>
            <w:r>
              <w:rPr>
                <w:sz w:val="18"/>
              </w:rPr>
              <w:t>legales</w:t>
            </w:r>
            <w:r>
              <w:rPr>
                <w:spacing w:val="-4"/>
                <w:sz w:val="18"/>
              </w:rPr>
              <w:t> </w:t>
            </w:r>
            <w:r>
              <w:rPr>
                <w:sz w:val="18"/>
              </w:rPr>
              <w:t>que</w:t>
            </w:r>
            <w:r>
              <w:rPr>
                <w:spacing w:val="-2"/>
                <w:sz w:val="18"/>
              </w:rPr>
              <w:t> </w:t>
            </w:r>
            <w:r>
              <w:rPr>
                <w:sz w:val="18"/>
              </w:rPr>
              <w:t>afectan</w:t>
            </w:r>
            <w:r>
              <w:rPr>
                <w:spacing w:val="-4"/>
                <w:sz w:val="18"/>
              </w:rPr>
              <w:t> </w:t>
            </w:r>
            <w:r>
              <w:rPr>
                <w:sz w:val="18"/>
              </w:rPr>
              <w:t>al servicio (vigilancia carril bus, ocupación de las paradas)</w:t>
            </w:r>
          </w:p>
        </w:tc>
        <w:tc>
          <w:tcPr>
            <w:tcW w:w="1306" w:type="dxa"/>
            <w:tcBorders>
              <w:top w:val="single" w:sz="4" w:space="0" w:color="001F5F"/>
              <w:bottom w:val="single" w:sz="4" w:space="0" w:color="001F5F"/>
            </w:tcBorders>
          </w:tcPr>
          <w:p>
            <w:pPr>
              <w:pStyle w:val="TableParagraph"/>
              <w:spacing w:before="17"/>
              <w:rPr>
                <w:rFonts w:ascii="Arial"/>
                <w:b/>
                <w:sz w:val="18"/>
              </w:rPr>
            </w:pPr>
          </w:p>
          <w:p>
            <w:pPr>
              <w:pStyle w:val="TableParagraph"/>
              <w:ind w:right="199"/>
              <w:jc w:val="right"/>
              <w:rPr>
                <w:sz w:val="18"/>
              </w:rPr>
            </w:pPr>
            <w:r>
              <w:rPr>
                <w:spacing w:val="-2"/>
                <w:sz w:val="18"/>
              </w:rPr>
              <w:t>520.000,00</w:t>
            </w:r>
          </w:p>
        </w:tc>
        <w:tc>
          <w:tcPr>
            <w:tcW w:w="1462" w:type="dxa"/>
            <w:tcBorders>
              <w:top w:val="single" w:sz="4" w:space="0" w:color="001F5F"/>
              <w:bottom w:val="single" w:sz="4" w:space="0" w:color="001F5F"/>
            </w:tcBorders>
          </w:tcPr>
          <w:p>
            <w:pPr>
              <w:pStyle w:val="TableParagraph"/>
              <w:spacing w:before="17"/>
              <w:rPr>
                <w:rFonts w:ascii="Arial"/>
                <w:b/>
                <w:sz w:val="18"/>
              </w:rPr>
            </w:pPr>
          </w:p>
          <w:p>
            <w:pPr>
              <w:pStyle w:val="TableParagraph"/>
              <w:ind w:left="240"/>
              <w:jc w:val="center"/>
              <w:rPr>
                <w:sz w:val="18"/>
              </w:rPr>
            </w:pPr>
            <w:r>
              <w:rPr>
                <w:spacing w:val="-2"/>
                <w:sz w:val="18"/>
              </w:rPr>
              <w:t>468.000,00</w:t>
            </w:r>
          </w:p>
        </w:tc>
      </w:tr>
      <w:tr>
        <w:trPr>
          <w:trHeight w:val="431" w:hRule="atLeast"/>
        </w:trPr>
        <w:tc>
          <w:tcPr>
            <w:tcW w:w="671" w:type="dxa"/>
            <w:tcBorders>
              <w:top w:val="single" w:sz="4" w:space="0" w:color="001F5F"/>
              <w:bottom w:val="single" w:sz="4" w:space="0" w:color="001F5F"/>
            </w:tcBorders>
            <w:shd w:val="clear" w:color="auto" w:fill="D9D9D9"/>
          </w:tcPr>
          <w:p>
            <w:pPr>
              <w:pStyle w:val="TableParagraph"/>
              <w:spacing w:before="121"/>
              <w:ind w:left="35"/>
              <w:jc w:val="center"/>
              <w:rPr>
                <w:sz w:val="18"/>
              </w:rPr>
            </w:pPr>
            <w:r>
              <w:rPr>
                <w:spacing w:val="-10"/>
                <w:sz w:val="18"/>
              </w:rPr>
              <w:t>7</w:t>
            </w:r>
          </w:p>
        </w:tc>
        <w:tc>
          <w:tcPr>
            <w:tcW w:w="5700" w:type="dxa"/>
            <w:tcBorders>
              <w:top w:val="single" w:sz="4" w:space="0" w:color="001F5F"/>
              <w:bottom w:val="single" w:sz="4" w:space="0" w:color="001F5F"/>
            </w:tcBorders>
            <w:shd w:val="clear" w:color="auto" w:fill="D9D9D9"/>
          </w:tcPr>
          <w:p>
            <w:pPr>
              <w:pStyle w:val="TableParagraph"/>
              <w:spacing w:before="121"/>
              <w:ind w:left="108"/>
              <w:rPr>
                <w:sz w:val="18"/>
              </w:rPr>
            </w:pPr>
            <w:r>
              <w:rPr>
                <w:sz w:val="18"/>
              </w:rPr>
              <w:t>Proyecto</w:t>
            </w:r>
            <w:r>
              <w:rPr>
                <w:spacing w:val="-2"/>
                <w:sz w:val="18"/>
              </w:rPr>
              <w:t> </w:t>
            </w:r>
            <w:r>
              <w:rPr>
                <w:sz w:val="18"/>
              </w:rPr>
              <w:t>piloto</w:t>
            </w:r>
            <w:r>
              <w:rPr>
                <w:spacing w:val="-2"/>
                <w:sz w:val="18"/>
              </w:rPr>
              <w:t> </w:t>
            </w:r>
            <w:r>
              <w:rPr>
                <w:sz w:val="18"/>
              </w:rPr>
              <w:t>de</w:t>
            </w:r>
            <w:r>
              <w:rPr>
                <w:spacing w:val="-2"/>
                <w:sz w:val="18"/>
              </w:rPr>
              <w:t> </w:t>
            </w:r>
            <w:r>
              <w:rPr>
                <w:sz w:val="18"/>
              </w:rPr>
              <w:t>sistema</w:t>
            </w:r>
            <w:r>
              <w:rPr>
                <w:spacing w:val="-2"/>
                <w:sz w:val="18"/>
              </w:rPr>
              <w:t> </w:t>
            </w:r>
            <w:r>
              <w:rPr>
                <w:sz w:val="18"/>
              </w:rPr>
              <w:t>de</w:t>
            </w:r>
            <w:r>
              <w:rPr>
                <w:spacing w:val="-2"/>
                <w:sz w:val="18"/>
              </w:rPr>
              <w:t> </w:t>
            </w:r>
            <w:r>
              <w:rPr>
                <w:sz w:val="18"/>
              </w:rPr>
              <w:t>conducción</w:t>
            </w:r>
            <w:r>
              <w:rPr>
                <w:spacing w:val="-1"/>
                <w:sz w:val="18"/>
              </w:rPr>
              <w:t> </w:t>
            </w:r>
            <w:r>
              <w:rPr>
                <w:spacing w:val="-2"/>
                <w:sz w:val="18"/>
              </w:rPr>
              <w:t>autónoma</w:t>
            </w:r>
          </w:p>
        </w:tc>
        <w:tc>
          <w:tcPr>
            <w:tcW w:w="1306" w:type="dxa"/>
            <w:tcBorders>
              <w:top w:val="single" w:sz="4" w:space="0" w:color="001F5F"/>
              <w:bottom w:val="single" w:sz="4" w:space="0" w:color="001F5F"/>
            </w:tcBorders>
            <w:shd w:val="clear" w:color="auto" w:fill="D9D9D9"/>
          </w:tcPr>
          <w:p>
            <w:pPr>
              <w:pStyle w:val="TableParagraph"/>
              <w:spacing w:before="18"/>
              <w:ind w:left="47" w:right="55"/>
              <w:jc w:val="center"/>
              <w:rPr>
                <w:sz w:val="18"/>
              </w:rPr>
            </w:pPr>
            <w:r>
              <w:rPr>
                <w:spacing w:val="-5"/>
                <w:sz w:val="18"/>
              </w:rPr>
              <w:t>NO</w:t>
            </w:r>
          </w:p>
          <w:p>
            <w:pPr>
              <w:pStyle w:val="TableParagraph"/>
              <w:spacing w:line="187" w:lineRule="exact"/>
              <w:ind w:left="47" w:right="57"/>
              <w:jc w:val="center"/>
              <w:rPr>
                <w:sz w:val="18"/>
              </w:rPr>
            </w:pPr>
            <w:r>
              <w:rPr>
                <w:spacing w:val="-2"/>
                <w:sz w:val="18"/>
              </w:rPr>
              <w:t>EJECUTADA</w:t>
            </w:r>
          </w:p>
        </w:tc>
        <w:tc>
          <w:tcPr>
            <w:tcW w:w="1462" w:type="dxa"/>
            <w:tcBorders>
              <w:top w:val="single" w:sz="4" w:space="0" w:color="001F5F"/>
              <w:bottom w:val="single" w:sz="4" w:space="0" w:color="001F5F"/>
            </w:tcBorders>
            <w:shd w:val="clear" w:color="auto" w:fill="D9D9D9"/>
          </w:tcPr>
          <w:p>
            <w:pPr>
              <w:pStyle w:val="TableParagraph"/>
              <w:spacing w:before="18"/>
              <w:ind w:left="34"/>
              <w:jc w:val="center"/>
              <w:rPr>
                <w:sz w:val="18"/>
              </w:rPr>
            </w:pPr>
            <w:r>
              <w:rPr>
                <w:spacing w:val="-5"/>
                <w:sz w:val="18"/>
              </w:rPr>
              <w:t>NO</w:t>
            </w:r>
          </w:p>
          <w:p>
            <w:pPr>
              <w:pStyle w:val="TableParagraph"/>
              <w:spacing w:line="187" w:lineRule="exact"/>
              <w:ind w:left="34"/>
              <w:jc w:val="center"/>
              <w:rPr>
                <w:sz w:val="18"/>
              </w:rPr>
            </w:pPr>
            <w:r>
              <w:rPr>
                <w:spacing w:val="-2"/>
                <w:sz w:val="18"/>
              </w:rPr>
              <w:t>SUBVENCIONADA</w:t>
            </w:r>
          </w:p>
        </w:tc>
      </w:tr>
      <w:tr>
        <w:trPr>
          <w:trHeight w:val="340" w:hRule="atLeast"/>
        </w:trPr>
        <w:tc>
          <w:tcPr>
            <w:tcW w:w="671" w:type="dxa"/>
            <w:tcBorders>
              <w:top w:val="single" w:sz="4" w:space="0" w:color="001F5F"/>
              <w:bottom w:val="single" w:sz="4" w:space="0" w:color="001F5F"/>
            </w:tcBorders>
          </w:tcPr>
          <w:p>
            <w:pPr>
              <w:pStyle w:val="TableParagraph"/>
              <w:spacing w:before="76"/>
              <w:ind w:left="35"/>
              <w:jc w:val="center"/>
              <w:rPr>
                <w:sz w:val="18"/>
              </w:rPr>
            </w:pPr>
            <w:r>
              <w:rPr>
                <w:spacing w:val="-10"/>
                <w:sz w:val="18"/>
              </w:rPr>
              <w:t>8</w:t>
            </w:r>
          </w:p>
        </w:tc>
        <w:tc>
          <w:tcPr>
            <w:tcW w:w="5700" w:type="dxa"/>
            <w:tcBorders>
              <w:top w:val="single" w:sz="4" w:space="0" w:color="001F5F"/>
              <w:bottom w:val="single" w:sz="4" w:space="0" w:color="001F5F"/>
            </w:tcBorders>
          </w:tcPr>
          <w:p>
            <w:pPr>
              <w:pStyle w:val="TableParagraph"/>
              <w:spacing w:before="76"/>
              <w:ind w:left="108"/>
              <w:rPr>
                <w:sz w:val="18"/>
              </w:rPr>
            </w:pPr>
            <w:r>
              <w:rPr>
                <w:sz w:val="18"/>
              </w:rPr>
              <w:t>Sistema</w:t>
            </w:r>
            <w:r>
              <w:rPr>
                <w:spacing w:val="-3"/>
                <w:sz w:val="18"/>
              </w:rPr>
              <w:t> </w:t>
            </w:r>
            <w:r>
              <w:rPr>
                <w:sz w:val="18"/>
              </w:rPr>
              <w:t>de</w:t>
            </w:r>
            <w:r>
              <w:rPr>
                <w:spacing w:val="-3"/>
                <w:sz w:val="18"/>
              </w:rPr>
              <w:t> </w:t>
            </w:r>
            <w:r>
              <w:rPr>
                <w:sz w:val="18"/>
              </w:rPr>
              <w:t>antiemparejamiento</w:t>
            </w:r>
            <w:r>
              <w:rPr>
                <w:spacing w:val="-3"/>
                <w:sz w:val="18"/>
              </w:rPr>
              <w:t> </w:t>
            </w:r>
            <w:r>
              <w:rPr>
                <w:sz w:val="18"/>
              </w:rPr>
              <w:t>de</w:t>
            </w:r>
            <w:r>
              <w:rPr>
                <w:spacing w:val="-2"/>
                <w:sz w:val="18"/>
              </w:rPr>
              <w:t> </w:t>
            </w:r>
            <w:r>
              <w:rPr>
                <w:sz w:val="18"/>
              </w:rPr>
              <w:t>autobuses</w:t>
            </w:r>
            <w:r>
              <w:rPr>
                <w:spacing w:val="-3"/>
                <w:sz w:val="18"/>
              </w:rPr>
              <w:t> </w:t>
            </w:r>
            <w:r>
              <w:rPr>
                <w:sz w:val="18"/>
              </w:rPr>
              <w:t>y</w:t>
            </w:r>
            <w:r>
              <w:rPr>
                <w:spacing w:val="-2"/>
                <w:sz w:val="18"/>
              </w:rPr>
              <w:t> </w:t>
            </w:r>
            <w:r>
              <w:rPr>
                <w:sz w:val="18"/>
              </w:rPr>
              <w:t>de</w:t>
            </w:r>
            <w:r>
              <w:rPr>
                <w:spacing w:val="-3"/>
                <w:sz w:val="18"/>
              </w:rPr>
              <w:t> </w:t>
            </w:r>
            <w:r>
              <w:rPr>
                <w:sz w:val="18"/>
              </w:rPr>
              <w:t>conducción</w:t>
            </w:r>
            <w:r>
              <w:rPr>
                <w:spacing w:val="-2"/>
                <w:sz w:val="18"/>
              </w:rPr>
              <w:t> eficiente</w:t>
            </w:r>
          </w:p>
        </w:tc>
        <w:tc>
          <w:tcPr>
            <w:tcW w:w="1306" w:type="dxa"/>
            <w:tcBorders>
              <w:top w:val="single" w:sz="4" w:space="0" w:color="001F5F"/>
              <w:bottom w:val="single" w:sz="4" w:space="0" w:color="001F5F"/>
            </w:tcBorders>
          </w:tcPr>
          <w:p>
            <w:pPr>
              <w:pStyle w:val="TableParagraph"/>
              <w:spacing w:before="76"/>
              <w:ind w:right="199"/>
              <w:jc w:val="right"/>
              <w:rPr>
                <w:sz w:val="18"/>
              </w:rPr>
            </w:pPr>
            <w:r>
              <w:rPr>
                <w:spacing w:val="-2"/>
                <w:sz w:val="18"/>
              </w:rPr>
              <w:t>420.000,00</w:t>
            </w:r>
          </w:p>
        </w:tc>
        <w:tc>
          <w:tcPr>
            <w:tcW w:w="1462" w:type="dxa"/>
            <w:tcBorders>
              <w:top w:val="single" w:sz="4" w:space="0" w:color="001F5F"/>
              <w:bottom w:val="single" w:sz="4" w:space="0" w:color="001F5F"/>
            </w:tcBorders>
          </w:tcPr>
          <w:p>
            <w:pPr>
              <w:pStyle w:val="TableParagraph"/>
              <w:spacing w:before="76"/>
              <w:ind w:left="240"/>
              <w:jc w:val="center"/>
              <w:rPr>
                <w:sz w:val="18"/>
              </w:rPr>
            </w:pPr>
            <w:r>
              <w:rPr>
                <w:spacing w:val="-2"/>
                <w:sz w:val="18"/>
              </w:rPr>
              <w:t>378.000,00</w:t>
            </w:r>
          </w:p>
        </w:tc>
      </w:tr>
      <w:tr>
        <w:trPr>
          <w:trHeight w:val="433" w:hRule="atLeast"/>
        </w:trPr>
        <w:tc>
          <w:tcPr>
            <w:tcW w:w="671" w:type="dxa"/>
            <w:tcBorders>
              <w:top w:val="single" w:sz="4" w:space="0" w:color="001F5F"/>
              <w:bottom w:val="single" w:sz="4" w:space="0" w:color="001F5F"/>
            </w:tcBorders>
            <w:shd w:val="clear" w:color="auto" w:fill="D9D9D9"/>
          </w:tcPr>
          <w:p>
            <w:pPr>
              <w:pStyle w:val="TableParagraph"/>
              <w:spacing w:before="121"/>
              <w:ind w:left="35"/>
              <w:jc w:val="center"/>
              <w:rPr>
                <w:sz w:val="18"/>
              </w:rPr>
            </w:pPr>
            <w:r>
              <w:rPr>
                <w:spacing w:val="-10"/>
                <w:sz w:val="18"/>
              </w:rPr>
              <w:t>9</w:t>
            </w:r>
          </w:p>
        </w:tc>
        <w:tc>
          <w:tcPr>
            <w:tcW w:w="5700" w:type="dxa"/>
            <w:tcBorders>
              <w:top w:val="single" w:sz="4" w:space="0" w:color="001F5F"/>
              <w:bottom w:val="single" w:sz="4" w:space="0" w:color="001F5F"/>
            </w:tcBorders>
            <w:shd w:val="clear" w:color="auto" w:fill="D9D9D9"/>
          </w:tcPr>
          <w:p>
            <w:pPr>
              <w:pStyle w:val="TableParagraph"/>
              <w:spacing w:line="210" w:lineRule="atLeast"/>
              <w:ind w:left="108" w:right="121"/>
              <w:rPr>
                <w:sz w:val="18"/>
              </w:rPr>
            </w:pPr>
            <w:r>
              <w:rPr>
                <w:sz w:val="18"/>
              </w:rPr>
              <w:t>Sistema</w:t>
            </w:r>
            <w:r>
              <w:rPr>
                <w:spacing w:val="-4"/>
                <w:sz w:val="18"/>
              </w:rPr>
              <w:t> </w:t>
            </w:r>
            <w:r>
              <w:rPr>
                <w:sz w:val="18"/>
              </w:rPr>
              <w:t>de</w:t>
            </w:r>
            <w:r>
              <w:rPr>
                <w:spacing w:val="-4"/>
                <w:sz w:val="18"/>
              </w:rPr>
              <w:t> </w:t>
            </w:r>
            <w:r>
              <w:rPr>
                <w:sz w:val="18"/>
              </w:rPr>
              <w:t>control</w:t>
            </w:r>
            <w:r>
              <w:rPr>
                <w:spacing w:val="-4"/>
                <w:sz w:val="18"/>
              </w:rPr>
              <w:t> </w:t>
            </w:r>
            <w:r>
              <w:rPr>
                <w:sz w:val="18"/>
              </w:rPr>
              <w:t>de</w:t>
            </w:r>
            <w:r>
              <w:rPr>
                <w:spacing w:val="-4"/>
                <w:sz w:val="18"/>
              </w:rPr>
              <w:t> </w:t>
            </w:r>
            <w:r>
              <w:rPr>
                <w:sz w:val="18"/>
              </w:rPr>
              <w:t>aforos</w:t>
            </w:r>
            <w:r>
              <w:rPr>
                <w:spacing w:val="-4"/>
                <w:sz w:val="18"/>
              </w:rPr>
              <w:t> </w:t>
            </w:r>
            <w:r>
              <w:rPr>
                <w:sz w:val="18"/>
              </w:rPr>
              <w:t>y</w:t>
            </w:r>
            <w:r>
              <w:rPr>
                <w:spacing w:val="-4"/>
                <w:sz w:val="18"/>
              </w:rPr>
              <w:t> </w:t>
            </w:r>
            <w:r>
              <w:rPr>
                <w:sz w:val="18"/>
              </w:rPr>
              <w:t>cálculo</w:t>
            </w:r>
            <w:r>
              <w:rPr>
                <w:spacing w:val="-4"/>
                <w:sz w:val="18"/>
              </w:rPr>
              <w:t> </w:t>
            </w:r>
            <w:r>
              <w:rPr>
                <w:sz w:val="18"/>
              </w:rPr>
              <w:t>de</w:t>
            </w:r>
            <w:r>
              <w:rPr>
                <w:spacing w:val="-4"/>
                <w:sz w:val="18"/>
              </w:rPr>
              <w:t> </w:t>
            </w:r>
            <w:r>
              <w:rPr>
                <w:sz w:val="18"/>
              </w:rPr>
              <w:t>matrices</w:t>
            </w:r>
            <w:r>
              <w:rPr>
                <w:spacing w:val="-4"/>
                <w:sz w:val="18"/>
              </w:rPr>
              <w:t> </w:t>
            </w:r>
            <w:r>
              <w:rPr>
                <w:sz w:val="18"/>
              </w:rPr>
              <w:t>origen-destino</w:t>
            </w:r>
            <w:r>
              <w:rPr>
                <w:spacing w:val="-4"/>
                <w:sz w:val="18"/>
              </w:rPr>
              <w:t> </w:t>
            </w:r>
            <w:r>
              <w:rPr>
                <w:sz w:val="18"/>
              </w:rPr>
              <w:t>mediante algoritmo de estimación.</w:t>
            </w:r>
          </w:p>
        </w:tc>
        <w:tc>
          <w:tcPr>
            <w:tcW w:w="1306" w:type="dxa"/>
            <w:tcBorders>
              <w:top w:val="single" w:sz="4" w:space="0" w:color="001F5F"/>
              <w:bottom w:val="single" w:sz="4" w:space="0" w:color="001F5F"/>
            </w:tcBorders>
            <w:shd w:val="clear" w:color="auto" w:fill="D9D9D9"/>
          </w:tcPr>
          <w:p>
            <w:pPr>
              <w:pStyle w:val="TableParagraph"/>
              <w:spacing w:before="121"/>
              <w:ind w:right="199"/>
              <w:jc w:val="right"/>
              <w:rPr>
                <w:sz w:val="18"/>
              </w:rPr>
            </w:pPr>
            <w:r>
              <w:rPr>
                <w:spacing w:val="-2"/>
                <w:sz w:val="18"/>
              </w:rPr>
              <w:t>450.000,00</w:t>
            </w:r>
          </w:p>
        </w:tc>
        <w:tc>
          <w:tcPr>
            <w:tcW w:w="1462" w:type="dxa"/>
            <w:tcBorders>
              <w:top w:val="single" w:sz="4" w:space="0" w:color="001F5F"/>
              <w:bottom w:val="single" w:sz="4" w:space="0" w:color="001F5F"/>
            </w:tcBorders>
            <w:shd w:val="clear" w:color="auto" w:fill="D9D9D9"/>
          </w:tcPr>
          <w:p>
            <w:pPr>
              <w:pStyle w:val="TableParagraph"/>
              <w:spacing w:before="121"/>
              <w:ind w:left="240"/>
              <w:jc w:val="center"/>
              <w:rPr>
                <w:sz w:val="18"/>
              </w:rPr>
            </w:pPr>
            <w:r>
              <w:rPr>
                <w:spacing w:val="-2"/>
                <w:sz w:val="18"/>
              </w:rPr>
              <w:t>405.000,00</w:t>
            </w:r>
          </w:p>
        </w:tc>
      </w:tr>
      <w:tr>
        <w:trPr>
          <w:trHeight w:val="340" w:hRule="atLeast"/>
        </w:trPr>
        <w:tc>
          <w:tcPr>
            <w:tcW w:w="671" w:type="dxa"/>
            <w:tcBorders>
              <w:top w:val="single" w:sz="4" w:space="0" w:color="001F5F"/>
              <w:bottom w:val="single" w:sz="4" w:space="0" w:color="001F5F"/>
            </w:tcBorders>
          </w:tcPr>
          <w:p>
            <w:pPr>
              <w:pStyle w:val="TableParagraph"/>
              <w:spacing w:before="76"/>
              <w:ind w:left="34"/>
              <w:jc w:val="center"/>
              <w:rPr>
                <w:sz w:val="18"/>
              </w:rPr>
            </w:pPr>
            <w:r>
              <w:rPr>
                <w:spacing w:val="-5"/>
                <w:sz w:val="18"/>
              </w:rPr>
              <w:t>10</w:t>
            </w:r>
          </w:p>
        </w:tc>
        <w:tc>
          <w:tcPr>
            <w:tcW w:w="5700" w:type="dxa"/>
            <w:tcBorders>
              <w:top w:val="single" w:sz="4" w:space="0" w:color="001F5F"/>
              <w:bottom w:val="single" w:sz="4" w:space="0" w:color="001F5F"/>
            </w:tcBorders>
          </w:tcPr>
          <w:p>
            <w:pPr>
              <w:pStyle w:val="TableParagraph"/>
              <w:spacing w:before="76"/>
              <w:ind w:left="108"/>
              <w:rPr>
                <w:sz w:val="18"/>
              </w:rPr>
            </w:pPr>
            <w:r>
              <w:rPr>
                <w:sz w:val="18"/>
              </w:rPr>
              <w:t>Sistemas</w:t>
            </w:r>
            <w:r>
              <w:rPr>
                <w:spacing w:val="-4"/>
                <w:sz w:val="18"/>
              </w:rPr>
              <w:t> </w:t>
            </w:r>
            <w:r>
              <w:rPr>
                <w:sz w:val="18"/>
              </w:rPr>
              <w:t>de</w:t>
            </w:r>
            <w:r>
              <w:rPr>
                <w:spacing w:val="-3"/>
                <w:sz w:val="18"/>
              </w:rPr>
              <w:t> </w:t>
            </w:r>
            <w:r>
              <w:rPr>
                <w:sz w:val="18"/>
              </w:rPr>
              <w:t>monitorización</w:t>
            </w:r>
            <w:r>
              <w:rPr>
                <w:spacing w:val="-4"/>
                <w:sz w:val="18"/>
              </w:rPr>
              <w:t> </w:t>
            </w:r>
            <w:r>
              <w:rPr>
                <w:sz w:val="18"/>
              </w:rPr>
              <w:t>de</w:t>
            </w:r>
            <w:r>
              <w:rPr>
                <w:spacing w:val="-3"/>
                <w:sz w:val="18"/>
              </w:rPr>
              <w:t> </w:t>
            </w:r>
            <w:r>
              <w:rPr>
                <w:sz w:val="18"/>
              </w:rPr>
              <w:t>los</w:t>
            </w:r>
            <w:r>
              <w:rPr>
                <w:spacing w:val="-3"/>
                <w:sz w:val="18"/>
              </w:rPr>
              <w:t> </w:t>
            </w:r>
            <w:r>
              <w:rPr>
                <w:spacing w:val="-2"/>
                <w:sz w:val="18"/>
              </w:rPr>
              <w:t>autobuses</w:t>
            </w:r>
          </w:p>
        </w:tc>
        <w:tc>
          <w:tcPr>
            <w:tcW w:w="1306" w:type="dxa"/>
            <w:tcBorders>
              <w:top w:val="single" w:sz="4" w:space="0" w:color="001F5F"/>
              <w:bottom w:val="single" w:sz="4" w:space="0" w:color="001F5F"/>
            </w:tcBorders>
          </w:tcPr>
          <w:p>
            <w:pPr>
              <w:pStyle w:val="TableParagraph"/>
              <w:spacing w:before="76"/>
              <w:ind w:right="199"/>
              <w:jc w:val="right"/>
              <w:rPr>
                <w:sz w:val="18"/>
              </w:rPr>
            </w:pPr>
            <w:r>
              <w:rPr>
                <w:spacing w:val="-2"/>
                <w:sz w:val="18"/>
              </w:rPr>
              <w:t>1.350.000,00</w:t>
            </w:r>
          </w:p>
        </w:tc>
        <w:tc>
          <w:tcPr>
            <w:tcW w:w="1462" w:type="dxa"/>
            <w:tcBorders>
              <w:top w:val="single" w:sz="4" w:space="0" w:color="001F5F"/>
              <w:bottom w:val="single" w:sz="4" w:space="0" w:color="001F5F"/>
            </w:tcBorders>
          </w:tcPr>
          <w:p>
            <w:pPr>
              <w:pStyle w:val="TableParagraph"/>
              <w:spacing w:before="76"/>
              <w:ind w:left="117"/>
              <w:jc w:val="center"/>
              <w:rPr>
                <w:sz w:val="18"/>
              </w:rPr>
            </w:pPr>
            <w:r>
              <w:rPr>
                <w:spacing w:val="-2"/>
                <w:sz w:val="18"/>
              </w:rPr>
              <w:t>1.215.000,00</w:t>
            </w:r>
          </w:p>
        </w:tc>
      </w:tr>
      <w:tr>
        <w:trPr>
          <w:trHeight w:val="431" w:hRule="atLeast"/>
        </w:trPr>
        <w:tc>
          <w:tcPr>
            <w:tcW w:w="671" w:type="dxa"/>
            <w:tcBorders>
              <w:top w:val="single" w:sz="4" w:space="0" w:color="001F5F"/>
              <w:bottom w:val="single" w:sz="4" w:space="0" w:color="001F5F"/>
            </w:tcBorders>
            <w:shd w:val="clear" w:color="auto" w:fill="D9D9D9"/>
          </w:tcPr>
          <w:p>
            <w:pPr>
              <w:pStyle w:val="TableParagraph"/>
              <w:spacing w:before="122"/>
              <w:ind w:left="35"/>
              <w:jc w:val="center"/>
              <w:rPr>
                <w:sz w:val="18"/>
              </w:rPr>
            </w:pPr>
            <w:r>
              <w:rPr>
                <w:spacing w:val="-5"/>
                <w:sz w:val="18"/>
              </w:rPr>
              <w:t>11</w:t>
            </w:r>
          </w:p>
        </w:tc>
        <w:tc>
          <w:tcPr>
            <w:tcW w:w="5700" w:type="dxa"/>
            <w:tcBorders>
              <w:top w:val="single" w:sz="4" w:space="0" w:color="001F5F"/>
              <w:bottom w:val="single" w:sz="4" w:space="0" w:color="001F5F"/>
            </w:tcBorders>
            <w:shd w:val="clear" w:color="auto" w:fill="D9D9D9"/>
          </w:tcPr>
          <w:p>
            <w:pPr>
              <w:pStyle w:val="TableParagraph"/>
              <w:spacing w:line="200" w:lineRule="atLeast"/>
              <w:ind w:left="108" w:right="121"/>
              <w:rPr>
                <w:sz w:val="18"/>
              </w:rPr>
            </w:pPr>
            <w:r>
              <w:rPr>
                <w:sz w:val="18"/>
              </w:rPr>
              <w:t>Sistemas</w:t>
            </w:r>
            <w:r>
              <w:rPr>
                <w:spacing w:val="-4"/>
                <w:sz w:val="18"/>
              </w:rPr>
              <w:t> </w:t>
            </w:r>
            <w:r>
              <w:rPr>
                <w:sz w:val="18"/>
              </w:rPr>
              <w:t>de</w:t>
            </w:r>
            <w:r>
              <w:rPr>
                <w:spacing w:val="-4"/>
                <w:sz w:val="18"/>
              </w:rPr>
              <w:t> </w:t>
            </w:r>
            <w:r>
              <w:rPr>
                <w:sz w:val="18"/>
              </w:rPr>
              <w:t>predicción</w:t>
            </w:r>
            <w:r>
              <w:rPr>
                <w:spacing w:val="-4"/>
                <w:sz w:val="18"/>
              </w:rPr>
              <w:t> </w:t>
            </w:r>
            <w:r>
              <w:rPr>
                <w:sz w:val="18"/>
              </w:rPr>
              <w:t>a</w:t>
            </w:r>
            <w:r>
              <w:rPr>
                <w:spacing w:val="-4"/>
                <w:sz w:val="18"/>
              </w:rPr>
              <w:t> </w:t>
            </w:r>
            <w:r>
              <w:rPr>
                <w:sz w:val="18"/>
              </w:rPr>
              <w:t>la</w:t>
            </w:r>
            <w:r>
              <w:rPr>
                <w:spacing w:val="-4"/>
                <w:sz w:val="18"/>
              </w:rPr>
              <w:t> </w:t>
            </w:r>
            <w:r>
              <w:rPr>
                <w:sz w:val="18"/>
              </w:rPr>
              <w:t>demanda</w:t>
            </w:r>
            <w:r>
              <w:rPr>
                <w:spacing w:val="-4"/>
                <w:sz w:val="18"/>
              </w:rPr>
              <w:t> </w:t>
            </w:r>
            <w:r>
              <w:rPr>
                <w:sz w:val="18"/>
              </w:rPr>
              <w:t>y</w:t>
            </w:r>
            <w:r>
              <w:rPr>
                <w:spacing w:val="-3"/>
                <w:sz w:val="18"/>
              </w:rPr>
              <w:t> </w:t>
            </w:r>
            <w:r>
              <w:rPr>
                <w:sz w:val="18"/>
              </w:rPr>
              <w:t>sensorización</w:t>
            </w:r>
            <w:r>
              <w:rPr>
                <w:spacing w:val="-4"/>
                <w:sz w:val="18"/>
              </w:rPr>
              <w:t> </w:t>
            </w:r>
            <w:r>
              <w:rPr>
                <w:sz w:val="18"/>
              </w:rPr>
              <w:t>de</w:t>
            </w:r>
            <w:r>
              <w:rPr>
                <w:spacing w:val="-4"/>
                <w:sz w:val="18"/>
              </w:rPr>
              <w:t> </w:t>
            </w:r>
            <w:r>
              <w:rPr>
                <w:sz w:val="18"/>
              </w:rPr>
              <w:t>paradas</w:t>
            </w:r>
            <w:r>
              <w:rPr>
                <w:spacing w:val="-4"/>
                <w:sz w:val="18"/>
              </w:rPr>
              <w:t> </w:t>
            </w:r>
            <w:r>
              <w:rPr>
                <w:sz w:val="18"/>
              </w:rPr>
              <w:t>con</w:t>
            </w:r>
            <w:r>
              <w:rPr>
                <w:spacing w:val="-2"/>
                <w:sz w:val="18"/>
              </w:rPr>
              <w:t> </w:t>
            </w:r>
            <w:r>
              <w:rPr>
                <w:sz w:val="18"/>
              </w:rPr>
              <w:t>información en tiempo real</w:t>
            </w:r>
          </w:p>
        </w:tc>
        <w:tc>
          <w:tcPr>
            <w:tcW w:w="1306" w:type="dxa"/>
            <w:tcBorders>
              <w:top w:val="single" w:sz="4" w:space="0" w:color="001F5F"/>
              <w:bottom w:val="single" w:sz="4" w:space="0" w:color="001F5F"/>
            </w:tcBorders>
            <w:shd w:val="clear" w:color="auto" w:fill="D9D9D9"/>
          </w:tcPr>
          <w:p>
            <w:pPr>
              <w:pStyle w:val="TableParagraph"/>
              <w:spacing w:before="122"/>
              <w:ind w:right="199"/>
              <w:jc w:val="right"/>
              <w:rPr>
                <w:sz w:val="18"/>
              </w:rPr>
            </w:pPr>
            <w:r>
              <w:rPr>
                <w:spacing w:val="-2"/>
                <w:sz w:val="18"/>
              </w:rPr>
              <w:t>330.000,00</w:t>
            </w:r>
          </w:p>
        </w:tc>
        <w:tc>
          <w:tcPr>
            <w:tcW w:w="1462" w:type="dxa"/>
            <w:tcBorders>
              <w:top w:val="single" w:sz="4" w:space="0" w:color="001F5F"/>
              <w:bottom w:val="single" w:sz="4" w:space="0" w:color="001F5F"/>
            </w:tcBorders>
            <w:shd w:val="clear" w:color="auto" w:fill="D9D9D9"/>
          </w:tcPr>
          <w:p>
            <w:pPr>
              <w:pStyle w:val="TableParagraph"/>
              <w:spacing w:before="122"/>
              <w:ind w:left="240"/>
              <w:jc w:val="center"/>
              <w:rPr>
                <w:sz w:val="18"/>
              </w:rPr>
            </w:pPr>
            <w:r>
              <w:rPr>
                <w:spacing w:val="-2"/>
                <w:sz w:val="18"/>
              </w:rPr>
              <w:t>297.000,00</w:t>
            </w:r>
          </w:p>
        </w:tc>
      </w:tr>
      <w:tr>
        <w:trPr>
          <w:trHeight w:val="434" w:hRule="atLeast"/>
        </w:trPr>
        <w:tc>
          <w:tcPr>
            <w:tcW w:w="671" w:type="dxa"/>
            <w:tcBorders>
              <w:top w:val="single" w:sz="4" w:space="0" w:color="001F5F"/>
            </w:tcBorders>
          </w:tcPr>
          <w:p>
            <w:pPr>
              <w:pStyle w:val="TableParagraph"/>
              <w:spacing w:before="124"/>
              <w:ind w:left="35"/>
              <w:jc w:val="center"/>
              <w:rPr>
                <w:sz w:val="18"/>
              </w:rPr>
            </w:pPr>
            <w:r>
              <w:rPr>
                <w:spacing w:val="-5"/>
                <w:sz w:val="18"/>
              </w:rPr>
              <w:t>12</w:t>
            </w:r>
          </w:p>
        </w:tc>
        <w:tc>
          <w:tcPr>
            <w:tcW w:w="5700" w:type="dxa"/>
            <w:tcBorders>
              <w:top w:val="single" w:sz="4" w:space="0" w:color="001F5F"/>
            </w:tcBorders>
          </w:tcPr>
          <w:p>
            <w:pPr>
              <w:pStyle w:val="TableParagraph"/>
              <w:spacing w:line="200" w:lineRule="atLeast" w:before="1"/>
              <w:ind w:left="108" w:right="121"/>
              <w:rPr>
                <w:sz w:val="18"/>
              </w:rPr>
            </w:pPr>
            <w:r>
              <w:rPr>
                <w:sz w:val="18"/>
              </w:rPr>
              <w:t>Sistemas</w:t>
            </w:r>
            <w:r>
              <w:rPr>
                <w:spacing w:val="-5"/>
                <w:sz w:val="18"/>
              </w:rPr>
              <w:t> </w:t>
            </w:r>
            <w:r>
              <w:rPr>
                <w:sz w:val="18"/>
              </w:rPr>
              <w:t>expertos</w:t>
            </w:r>
            <w:r>
              <w:rPr>
                <w:spacing w:val="-4"/>
                <w:sz w:val="18"/>
              </w:rPr>
              <w:t> </w:t>
            </w:r>
            <w:r>
              <w:rPr>
                <w:sz w:val="18"/>
              </w:rPr>
              <w:t>de</w:t>
            </w:r>
            <w:r>
              <w:rPr>
                <w:spacing w:val="-5"/>
                <w:sz w:val="18"/>
              </w:rPr>
              <w:t> </w:t>
            </w:r>
            <w:r>
              <w:rPr>
                <w:sz w:val="18"/>
              </w:rPr>
              <w:t>planificación</w:t>
            </w:r>
            <w:r>
              <w:rPr>
                <w:spacing w:val="-5"/>
                <w:sz w:val="18"/>
              </w:rPr>
              <w:t> </w:t>
            </w:r>
            <w:r>
              <w:rPr>
                <w:sz w:val="18"/>
              </w:rPr>
              <w:t>para</w:t>
            </w:r>
            <w:r>
              <w:rPr>
                <w:spacing w:val="-5"/>
                <w:sz w:val="18"/>
              </w:rPr>
              <w:t> </w:t>
            </w:r>
            <w:r>
              <w:rPr>
                <w:sz w:val="18"/>
              </w:rPr>
              <w:t>optimización</w:t>
            </w:r>
            <w:r>
              <w:rPr>
                <w:spacing w:val="-5"/>
                <w:sz w:val="18"/>
              </w:rPr>
              <w:t> </w:t>
            </w:r>
            <w:r>
              <w:rPr>
                <w:sz w:val="18"/>
              </w:rPr>
              <w:t>de</w:t>
            </w:r>
            <w:r>
              <w:rPr>
                <w:spacing w:val="-5"/>
                <w:sz w:val="18"/>
              </w:rPr>
              <w:t> </w:t>
            </w:r>
            <w:r>
              <w:rPr>
                <w:sz w:val="18"/>
              </w:rPr>
              <w:t>recursos</w:t>
            </w:r>
            <w:r>
              <w:rPr>
                <w:spacing w:val="-5"/>
                <w:sz w:val="18"/>
              </w:rPr>
              <w:t> </w:t>
            </w:r>
            <w:r>
              <w:rPr>
                <w:sz w:val="18"/>
              </w:rPr>
              <w:t>humanos</w:t>
            </w:r>
            <w:r>
              <w:rPr>
                <w:spacing w:val="-5"/>
                <w:sz w:val="18"/>
              </w:rPr>
              <w:t> </w:t>
            </w:r>
            <w:r>
              <w:rPr>
                <w:sz w:val="18"/>
              </w:rPr>
              <w:t>y material</w:t>
            </w:r>
            <w:r>
              <w:rPr>
                <w:spacing w:val="-2"/>
                <w:sz w:val="18"/>
              </w:rPr>
              <w:t> </w:t>
            </w:r>
            <w:r>
              <w:rPr>
                <w:sz w:val="18"/>
              </w:rPr>
              <w:t>móvil</w:t>
            </w:r>
          </w:p>
        </w:tc>
        <w:tc>
          <w:tcPr>
            <w:tcW w:w="1306" w:type="dxa"/>
            <w:tcBorders>
              <w:top w:val="single" w:sz="4" w:space="0" w:color="001F5F"/>
            </w:tcBorders>
          </w:tcPr>
          <w:p>
            <w:pPr>
              <w:pStyle w:val="TableParagraph"/>
              <w:spacing w:before="124"/>
              <w:ind w:right="199"/>
              <w:jc w:val="right"/>
              <w:rPr>
                <w:sz w:val="18"/>
              </w:rPr>
            </w:pPr>
            <w:r>
              <w:rPr>
                <w:spacing w:val="-2"/>
                <w:sz w:val="18"/>
              </w:rPr>
              <w:t>2.870.000,00</w:t>
            </w:r>
          </w:p>
        </w:tc>
        <w:tc>
          <w:tcPr>
            <w:tcW w:w="1462" w:type="dxa"/>
            <w:tcBorders>
              <w:top w:val="single" w:sz="4" w:space="0" w:color="001F5F"/>
            </w:tcBorders>
          </w:tcPr>
          <w:p>
            <w:pPr>
              <w:pStyle w:val="TableParagraph"/>
              <w:spacing w:before="124"/>
              <w:ind w:left="117"/>
              <w:jc w:val="center"/>
              <w:rPr>
                <w:sz w:val="18"/>
              </w:rPr>
            </w:pPr>
            <w:r>
              <w:rPr>
                <w:spacing w:val="-2"/>
                <w:sz w:val="18"/>
              </w:rPr>
              <w:t>2.583.000,00</w:t>
            </w:r>
          </w:p>
        </w:tc>
      </w:tr>
      <w:tr>
        <w:trPr>
          <w:trHeight w:val="299" w:hRule="atLeast"/>
        </w:trPr>
        <w:tc>
          <w:tcPr>
            <w:tcW w:w="671" w:type="dxa"/>
            <w:shd w:val="clear" w:color="auto" w:fill="001F5F"/>
          </w:tcPr>
          <w:p>
            <w:pPr>
              <w:pStyle w:val="TableParagraph"/>
              <w:spacing w:before="45"/>
              <w:ind w:left="35" w:right="71"/>
              <w:jc w:val="center"/>
              <w:rPr>
                <w:b/>
                <w:sz w:val="18"/>
              </w:rPr>
            </w:pPr>
            <w:r>
              <w:rPr>
                <w:b/>
                <w:color w:val="FFFFFF"/>
                <w:spacing w:val="-2"/>
                <w:sz w:val="18"/>
              </w:rPr>
              <w:t>TOTAL</w:t>
            </w:r>
          </w:p>
        </w:tc>
        <w:tc>
          <w:tcPr>
            <w:tcW w:w="5700" w:type="dxa"/>
            <w:shd w:val="clear" w:color="auto" w:fill="001F5F"/>
          </w:tcPr>
          <w:p>
            <w:pPr>
              <w:pStyle w:val="TableParagraph"/>
              <w:rPr>
                <w:rFonts w:ascii="Times New Roman"/>
                <w:sz w:val="18"/>
              </w:rPr>
            </w:pPr>
          </w:p>
        </w:tc>
        <w:tc>
          <w:tcPr>
            <w:tcW w:w="1306" w:type="dxa"/>
            <w:shd w:val="clear" w:color="auto" w:fill="001F5F"/>
          </w:tcPr>
          <w:p>
            <w:pPr>
              <w:pStyle w:val="TableParagraph"/>
              <w:spacing w:before="45"/>
              <w:ind w:right="199"/>
              <w:jc w:val="right"/>
              <w:rPr>
                <w:b/>
                <w:sz w:val="18"/>
              </w:rPr>
            </w:pPr>
            <w:r>
              <w:rPr>
                <w:b/>
                <w:color w:val="FFFFFF"/>
                <w:spacing w:val="-2"/>
                <w:sz w:val="18"/>
              </w:rPr>
              <w:t>23.285.000,00</w:t>
            </w:r>
          </w:p>
        </w:tc>
        <w:tc>
          <w:tcPr>
            <w:tcW w:w="1462" w:type="dxa"/>
            <w:shd w:val="clear" w:color="auto" w:fill="001F5F"/>
          </w:tcPr>
          <w:p>
            <w:pPr>
              <w:pStyle w:val="TableParagraph"/>
              <w:spacing w:before="45"/>
              <w:ind w:left="35"/>
              <w:jc w:val="center"/>
              <w:rPr>
                <w:b/>
                <w:sz w:val="18"/>
              </w:rPr>
            </w:pPr>
            <w:r>
              <w:rPr>
                <w:b/>
                <w:color w:val="FFFFFF"/>
                <w:spacing w:val="-2"/>
                <w:sz w:val="18"/>
              </w:rPr>
              <w:t>20.956.500,00</w:t>
            </w:r>
          </w:p>
        </w:tc>
      </w:tr>
      <w:tr>
        <w:trPr>
          <w:trHeight w:val="885" w:hRule="atLeast"/>
        </w:trPr>
        <w:tc>
          <w:tcPr>
            <w:tcW w:w="9139" w:type="dxa"/>
            <w:gridSpan w:val="4"/>
          </w:tcPr>
          <w:p>
            <w:pPr>
              <w:pStyle w:val="TableParagraph"/>
              <w:spacing w:line="206" w:lineRule="exact"/>
              <w:ind w:left="69"/>
              <w:jc w:val="both"/>
              <w:rPr>
                <w:sz w:val="18"/>
              </w:rPr>
            </w:pPr>
            <w:r>
              <w:rPr>
                <w:sz w:val="18"/>
              </w:rPr>
              <w:t>Fuente:</w:t>
            </w:r>
            <w:r>
              <w:rPr>
                <w:spacing w:val="-5"/>
                <w:sz w:val="18"/>
              </w:rPr>
              <w:t> </w:t>
            </w:r>
            <w:r>
              <w:rPr>
                <w:sz w:val="18"/>
              </w:rPr>
              <w:t>Elaboración</w:t>
            </w:r>
            <w:r>
              <w:rPr>
                <w:spacing w:val="-3"/>
                <w:sz w:val="18"/>
              </w:rPr>
              <w:t> </w:t>
            </w:r>
            <w:r>
              <w:rPr>
                <w:sz w:val="18"/>
              </w:rPr>
              <w:t>propia</w:t>
            </w:r>
            <w:r>
              <w:rPr>
                <w:spacing w:val="-3"/>
                <w:sz w:val="18"/>
              </w:rPr>
              <w:t> </w:t>
            </w:r>
            <w:r>
              <w:rPr>
                <w:sz w:val="18"/>
              </w:rPr>
              <w:t>a</w:t>
            </w:r>
            <w:r>
              <w:rPr>
                <w:spacing w:val="-2"/>
                <w:sz w:val="18"/>
              </w:rPr>
              <w:t> </w:t>
            </w:r>
            <w:r>
              <w:rPr>
                <w:sz w:val="18"/>
              </w:rPr>
              <w:t>partir</w:t>
            </w:r>
            <w:r>
              <w:rPr>
                <w:spacing w:val="-1"/>
                <w:sz w:val="18"/>
              </w:rPr>
              <w:t> </w:t>
            </w:r>
            <w:r>
              <w:rPr>
                <w:sz w:val="18"/>
              </w:rPr>
              <w:t>de</w:t>
            </w:r>
            <w:r>
              <w:rPr>
                <w:spacing w:val="-3"/>
                <w:sz w:val="18"/>
              </w:rPr>
              <w:t> </w:t>
            </w:r>
            <w:r>
              <w:rPr>
                <w:sz w:val="18"/>
              </w:rPr>
              <w:t>los</w:t>
            </w:r>
            <w:r>
              <w:rPr>
                <w:spacing w:val="-3"/>
                <w:sz w:val="18"/>
              </w:rPr>
              <w:t> </w:t>
            </w:r>
            <w:r>
              <w:rPr>
                <w:sz w:val="18"/>
              </w:rPr>
              <w:t>datos</w:t>
            </w:r>
            <w:r>
              <w:rPr>
                <w:spacing w:val="-2"/>
                <w:sz w:val="18"/>
              </w:rPr>
              <w:t> </w:t>
            </w:r>
            <w:r>
              <w:rPr>
                <w:sz w:val="18"/>
              </w:rPr>
              <w:t>aportados por</w:t>
            </w:r>
            <w:r>
              <w:rPr>
                <w:spacing w:val="1"/>
                <w:sz w:val="18"/>
              </w:rPr>
              <w:t> </w:t>
            </w:r>
            <w:r>
              <w:rPr>
                <w:sz w:val="18"/>
              </w:rPr>
              <w:t>las</w:t>
            </w:r>
            <w:r>
              <w:rPr>
                <w:spacing w:val="-3"/>
                <w:sz w:val="18"/>
              </w:rPr>
              <w:t> </w:t>
            </w:r>
            <w:r>
              <w:rPr>
                <w:sz w:val="18"/>
              </w:rPr>
              <w:t>entidades</w:t>
            </w:r>
            <w:r>
              <w:rPr>
                <w:spacing w:val="-2"/>
                <w:sz w:val="18"/>
              </w:rPr>
              <w:t> fiscalizadas.</w:t>
            </w:r>
          </w:p>
          <w:p>
            <w:pPr>
              <w:pStyle w:val="TableParagraph"/>
              <w:spacing w:line="200" w:lineRule="atLeast" w:before="40"/>
              <w:ind w:left="69" w:right="72"/>
              <w:jc w:val="both"/>
              <w:rPr>
                <w:sz w:val="18"/>
              </w:rPr>
            </w:pPr>
            <w:r>
              <w:rPr>
                <w:sz w:val="18"/>
              </w:rPr>
              <w:t>(1) No se incluye en la presente fiscalización la Actuación 2 Digitalización de las relaciones laborales con un presupuesto financiable de 240.000,00</w:t>
            </w:r>
            <w:r>
              <w:rPr>
                <w:spacing w:val="-4"/>
                <w:sz w:val="18"/>
              </w:rPr>
              <w:t> </w:t>
            </w:r>
            <w:r>
              <w:rPr>
                <w:sz w:val="18"/>
              </w:rPr>
              <w:t>euros</w:t>
            </w:r>
            <w:r>
              <w:rPr>
                <w:spacing w:val="-3"/>
                <w:sz w:val="18"/>
              </w:rPr>
              <w:t> </w:t>
            </w:r>
            <w:r>
              <w:rPr>
                <w:sz w:val="18"/>
              </w:rPr>
              <w:t>y</w:t>
            </w:r>
            <w:r>
              <w:rPr>
                <w:spacing w:val="-3"/>
                <w:sz w:val="18"/>
              </w:rPr>
              <w:t> </w:t>
            </w:r>
            <w:r>
              <w:rPr>
                <w:sz w:val="18"/>
              </w:rPr>
              <w:t>una</w:t>
            </w:r>
            <w:r>
              <w:rPr>
                <w:spacing w:val="-1"/>
                <w:sz w:val="18"/>
              </w:rPr>
              <w:t> </w:t>
            </w:r>
            <w:r>
              <w:rPr>
                <w:sz w:val="18"/>
              </w:rPr>
              <w:t>subvención</w:t>
            </w:r>
            <w:r>
              <w:rPr>
                <w:spacing w:val="-3"/>
                <w:sz w:val="18"/>
              </w:rPr>
              <w:t> </w:t>
            </w:r>
            <w:r>
              <w:rPr>
                <w:sz w:val="18"/>
              </w:rPr>
              <w:t>concedida</w:t>
            </w:r>
            <w:r>
              <w:rPr>
                <w:spacing w:val="-3"/>
                <w:sz w:val="18"/>
              </w:rPr>
              <w:t> </w:t>
            </w:r>
            <w:r>
              <w:rPr>
                <w:sz w:val="18"/>
              </w:rPr>
              <w:t>de</w:t>
            </w:r>
            <w:r>
              <w:rPr>
                <w:spacing w:val="-1"/>
                <w:sz w:val="18"/>
              </w:rPr>
              <w:t> </w:t>
            </w:r>
            <w:r>
              <w:rPr>
                <w:sz w:val="18"/>
              </w:rPr>
              <w:t>216.000,00</w:t>
            </w:r>
            <w:r>
              <w:rPr>
                <w:spacing w:val="-3"/>
                <w:sz w:val="18"/>
              </w:rPr>
              <w:t> </w:t>
            </w:r>
            <w:r>
              <w:rPr>
                <w:sz w:val="18"/>
              </w:rPr>
              <w:t>euros,</w:t>
            </w:r>
            <w:r>
              <w:rPr>
                <w:spacing w:val="-3"/>
                <w:sz w:val="18"/>
              </w:rPr>
              <w:t> </w:t>
            </w:r>
            <w:r>
              <w:rPr>
                <w:sz w:val="18"/>
              </w:rPr>
              <w:t>por</w:t>
            </w:r>
            <w:r>
              <w:rPr>
                <w:spacing w:val="-1"/>
                <w:sz w:val="18"/>
              </w:rPr>
              <w:t> </w:t>
            </w:r>
            <w:r>
              <w:rPr>
                <w:sz w:val="18"/>
              </w:rPr>
              <w:t>no</w:t>
            </w:r>
            <w:r>
              <w:rPr>
                <w:spacing w:val="-3"/>
                <w:sz w:val="18"/>
              </w:rPr>
              <w:t> </w:t>
            </w:r>
            <w:r>
              <w:rPr>
                <w:sz w:val="18"/>
              </w:rPr>
              <w:t>estar</w:t>
            </w:r>
            <w:r>
              <w:rPr>
                <w:spacing w:val="-1"/>
                <w:sz w:val="18"/>
              </w:rPr>
              <w:t> </w:t>
            </w:r>
            <w:r>
              <w:rPr>
                <w:sz w:val="18"/>
              </w:rPr>
              <w:t>relacionada</w:t>
            </w:r>
            <w:r>
              <w:rPr>
                <w:spacing w:val="-3"/>
                <w:sz w:val="18"/>
              </w:rPr>
              <w:t> </w:t>
            </w:r>
            <w:r>
              <w:rPr>
                <w:sz w:val="18"/>
              </w:rPr>
              <w:t>con</w:t>
            </w:r>
            <w:r>
              <w:rPr>
                <w:spacing w:val="-3"/>
                <w:sz w:val="18"/>
              </w:rPr>
              <w:t> </w:t>
            </w:r>
            <w:r>
              <w:rPr>
                <w:sz w:val="18"/>
              </w:rPr>
              <w:t>la</w:t>
            </w:r>
            <w:r>
              <w:rPr>
                <w:spacing w:val="-3"/>
                <w:sz w:val="18"/>
              </w:rPr>
              <w:t> </w:t>
            </w:r>
            <w:r>
              <w:rPr>
                <w:sz w:val="18"/>
              </w:rPr>
              <w:t>movilidad</w:t>
            </w:r>
            <w:r>
              <w:rPr>
                <w:spacing w:val="-3"/>
                <w:sz w:val="18"/>
              </w:rPr>
              <w:t> </w:t>
            </w:r>
            <w:r>
              <w:rPr>
                <w:sz w:val="18"/>
              </w:rPr>
              <w:t>sostenible</w:t>
            </w:r>
            <w:r>
              <w:rPr>
                <w:spacing w:val="-3"/>
                <w:sz w:val="18"/>
              </w:rPr>
              <w:t> </w:t>
            </w:r>
            <w:r>
              <w:rPr>
                <w:sz w:val="18"/>
              </w:rPr>
              <w:t>en</w:t>
            </w:r>
            <w:r>
              <w:rPr>
                <w:spacing w:val="-3"/>
                <w:sz w:val="18"/>
              </w:rPr>
              <w:t> </w:t>
            </w:r>
            <w:r>
              <w:rPr>
                <w:sz w:val="18"/>
              </w:rPr>
              <w:t>el</w:t>
            </w:r>
            <w:r>
              <w:rPr>
                <w:spacing w:val="-2"/>
                <w:sz w:val="18"/>
              </w:rPr>
              <w:t> </w:t>
            </w:r>
            <w:r>
              <w:rPr>
                <w:sz w:val="18"/>
              </w:rPr>
              <w:t>transporte público, que constituye el ámbito objetivo de la fiscalización.</w:t>
            </w:r>
          </w:p>
        </w:tc>
      </w:tr>
    </w:tbl>
    <w:p>
      <w:pPr>
        <w:pStyle w:val="BodyText"/>
        <w:spacing w:before="128"/>
        <w:ind w:left="992" w:right="986"/>
        <w:jc w:val="both"/>
      </w:pPr>
      <w:r>
        <w:rPr/>
        <w:t>En</w:t>
      </w:r>
      <w:r>
        <w:rPr>
          <w:spacing w:val="-16"/>
        </w:rPr>
        <w:t> </w:t>
      </w:r>
      <w:r>
        <w:rPr/>
        <w:t>octubre</w:t>
      </w:r>
      <w:r>
        <w:rPr>
          <w:spacing w:val="-15"/>
        </w:rPr>
        <w:t> </w:t>
      </w:r>
      <w:r>
        <w:rPr/>
        <w:t>de</w:t>
      </w:r>
      <w:r>
        <w:rPr>
          <w:spacing w:val="-15"/>
        </w:rPr>
        <w:t> </w:t>
      </w:r>
      <w:r>
        <w:rPr/>
        <w:t>2022</w:t>
      </w:r>
      <w:r>
        <w:rPr>
          <w:spacing w:val="-16"/>
        </w:rPr>
        <w:t> </w:t>
      </w:r>
      <w:r>
        <w:rPr/>
        <w:t>los</w:t>
      </w:r>
      <w:r>
        <w:rPr>
          <w:spacing w:val="-15"/>
        </w:rPr>
        <w:t> </w:t>
      </w:r>
      <w:r>
        <w:rPr/>
        <w:t>ayuntamientos</w:t>
      </w:r>
      <w:r>
        <w:rPr>
          <w:spacing w:val="-15"/>
        </w:rPr>
        <w:t> </w:t>
      </w:r>
      <w:r>
        <w:rPr/>
        <w:t>firmaron</w:t>
      </w:r>
      <w:r>
        <w:rPr>
          <w:spacing w:val="-15"/>
        </w:rPr>
        <w:t> </w:t>
      </w:r>
      <w:r>
        <w:rPr/>
        <w:t>una</w:t>
      </w:r>
      <w:r>
        <w:rPr>
          <w:spacing w:val="-16"/>
        </w:rPr>
        <w:t> </w:t>
      </w:r>
      <w:r>
        <w:rPr/>
        <w:t>adenda</w:t>
      </w:r>
      <w:r>
        <w:rPr>
          <w:spacing w:val="-15"/>
        </w:rPr>
        <w:t> </w:t>
      </w:r>
      <w:r>
        <w:rPr/>
        <w:t>al</w:t>
      </w:r>
      <w:r>
        <w:rPr>
          <w:spacing w:val="-15"/>
        </w:rPr>
        <w:t> </w:t>
      </w:r>
      <w:r>
        <w:rPr/>
        <w:t>convenio,</w:t>
      </w:r>
      <w:r>
        <w:rPr>
          <w:spacing w:val="-16"/>
        </w:rPr>
        <w:t> </w:t>
      </w:r>
      <w:r>
        <w:rPr/>
        <w:t>con</w:t>
      </w:r>
      <w:r>
        <w:rPr>
          <w:spacing w:val="-15"/>
        </w:rPr>
        <w:t> </w:t>
      </w:r>
      <w:r>
        <w:rPr/>
        <w:t>el</w:t>
      </w:r>
      <w:r>
        <w:rPr>
          <w:spacing w:val="-15"/>
        </w:rPr>
        <w:t> </w:t>
      </w:r>
      <w:r>
        <w:rPr/>
        <w:t>objeto</w:t>
      </w:r>
      <w:r>
        <w:rPr>
          <w:spacing w:val="-15"/>
        </w:rPr>
        <w:t> </w:t>
      </w:r>
      <w:r>
        <w:rPr/>
        <w:t>de</w:t>
      </w:r>
      <w:r>
        <w:rPr>
          <w:spacing w:val="-16"/>
        </w:rPr>
        <w:t> </w:t>
      </w:r>
      <w:r>
        <w:rPr/>
        <w:t>dar</w:t>
      </w:r>
      <w:r>
        <w:rPr>
          <w:spacing w:val="-15"/>
        </w:rPr>
        <w:t> </w:t>
      </w:r>
      <w:r>
        <w:rPr/>
        <w:t>firmeza al acuerdo de colaboración suscrito en septiembre de 2021 y consignar el reparto final de actuaciones a realizar y su correspondiente financiación, una vez resuelta la convocatoria de subvenciones.</w:t>
      </w:r>
      <w:r>
        <w:rPr>
          <w:spacing w:val="71"/>
        </w:rPr>
        <w:t> </w:t>
      </w:r>
      <w:r>
        <w:rPr/>
        <w:t>Estas</w:t>
      </w:r>
      <w:r>
        <w:rPr>
          <w:spacing w:val="69"/>
        </w:rPr>
        <w:t> </w:t>
      </w:r>
      <w:r>
        <w:rPr/>
        <w:t>cantidades</w:t>
      </w:r>
      <w:r>
        <w:rPr>
          <w:spacing w:val="70"/>
        </w:rPr>
        <w:t> </w:t>
      </w:r>
      <w:r>
        <w:rPr/>
        <w:t>han</w:t>
      </w:r>
      <w:r>
        <w:rPr>
          <w:spacing w:val="70"/>
        </w:rPr>
        <w:t> </w:t>
      </w:r>
      <w:r>
        <w:rPr/>
        <w:t>sido</w:t>
      </w:r>
      <w:r>
        <w:rPr>
          <w:spacing w:val="71"/>
        </w:rPr>
        <w:t> </w:t>
      </w:r>
      <w:r>
        <w:rPr/>
        <w:t>objeto</w:t>
      </w:r>
      <w:r>
        <w:rPr>
          <w:spacing w:val="70"/>
        </w:rPr>
        <w:t> </w:t>
      </w:r>
      <w:r>
        <w:rPr/>
        <w:t>de</w:t>
      </w:r>
      <w:r>
        <w:rPr>
          <w:spacing w:val="70"/>
        </w:rPr>
        <w:t> </w:t>
      </w:r>
      <w:r>
        <w:rPr/>
        <w:t>una</w:t>
      </w:r>
      <w:r>
        <w:rPr>
          <w:spacing w:val="68"/>
        </w:rPr>
        <w:t> </w:t>
      </w:r>
      <w:r>
        <w:rPr/>
        <w:t>modificación</w:t>
      </w:r>
      <w:r>
        <w:rPr>
          <w:spacing w:val="70"/>
        </w:rPr>
        <w:t> </w:t>
      </w:r>
      <w:r>
        <w:rPr/>
        <w:t>posterior</w:t>
      </w:r>
      <w:r>
        <w:rPr>
          <w:spacing w:val="71"/>
        </w:rPr>
        <w:t> </w:t>
      </w:r>
      <w:r>
        <w:rPr/>
        <w:t>antes</w:t>
      </w:r>
      <w:r>
        <w:rPr>
          <w:spacing w:val="70"/>
        </w:rPr>
        <w:t> </w:t>
      </w:r>
      <w:r>
        <w:rPr/>
        <w:t>de</w:t>
      </w:r>
      <w:r>
        <w:rPr>
          <w:spacing w:val="67"/>
        </w:rPr>
        <w:t> </w:t>
      </w:r>
      <w:r>
        <w:rPr/>
        <w:t>la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95"/>
        <w:jc w:val="both"/>
      </w:pPr>
      <w:r>
        <w:rPr/>
        <w:t>finalización del proyecto, reduciéndose el importe del proyecto y consecuentemente el de la subvención a percibir</w:t>
      </w:r>
      <w:hyperlink w:history="true" w:anchor="_bookmark92">
        <w:r>
          <w:rPr>
            <w:vertAlign w:val="superscript"/>
          </w:rPr>
          <w:t>64</w:t>
        </w:r>
        <w:r>
          <w:rPr>
            <w:vertAlign w:val="baseline"/>
          </w:rPr>
          <w:t>.</w:t>
        </w:r>
      </w:hyperlink>
    </w:p>
    <w:p>
      <w:pPr>
        <w:pStyle w:val="BodyText"/>
        <w:spacing w:before="240"/>
        <w:ind w:left="992" w:right="986"/>
        <w:jc w:val="both"/>
      </w:pPr>
      <w:r>
        <w:rPr/>
        <w:t>El proyecto del </w:t>
      </w:r>
      <w:r>
        <w:rPr>
          <w:b/>
        </w:rPr>
        <w:t>Ayuntamiento de Las Palmas de Gran Canaria</w:t>
      </w:r>
      <w:r>
        <w:rPr/>
        <w:t>, con un coste de 5.980.000,00 euros,</w:t>
      </w:r>
      <w:r>
        <w:rPr>
          <w:spacing w:val="-12"/>
        </w:rPr>
        <w:t> </w:t>
      </w:r>
      <w:r>
        <w:rPr/>
        <w:t>comprendía</w:t>
      </w:r>
      <w:r>
        <w:rPr>
          <w:spacing w:val="-12"/>
        </w:rPr>
        <w:t> </w:t>
      </w:r>
      <w:r>
        <w:rPr/>
        <w:t>la</w:t>
      </w:r>
      <w:r>
        <w:rPr>
          <w:spacing w:val="-10"/>
        </w:rPr>
        <w:t> </w:t>
      </w:r>
      <w:r>
        <w:rPr/>
        <w:t>ejecución</w:t>
      </w:r>
      <w:r>
        <w:rPr>
          <w:spacing w:val="-11"/>
        </w:rPr>
        <w:t> </w:t>
      </w:r>
      <w:r>
        <w:rPr/>
        <w:t>de</w:t>
      </w:r>
      <w:r>
        <w:rPr>
          <w:spacing w:val="-11"/>
        </w:rPr>
        <w:t> </w:t>
      </w:r>
      <w:r>
        <w:rPr/>
        <w:t>diez</w:t>
      </w:r>
      <w:r>
        <w:rPr>
          <w:spacing w:val="-10"/>
        </w:rPr>
        <w:t> </w:t>
      </w:r>
      <w:r>
        <w:rPr/>
        <w:t>actuaciones</w:t>
      </w:r>
      <w:r>
        <w:rPr>
          <w:spacing w:val="-8"/>
        </w:rPr>
        <w:t> </w:t>
      </w:r>
      <w:r>
        <w:rPr>
          <w:rFonts w:ascii="Symbol" w:hAnsi="Symbol"/>
        </w:rPr>
        <w:t></w:t>
      </w:r>
      <w:r>
        <w:rPr/>
        <w:t>1</w:t>
      </w:r>
      <w:r>
        <w:rPr>
          <w:spacing w:val="-10"/>
        </w:rPr>
        <w:t> </w:t>
      </w:r>
      <w:r>
        <w:rPr/>
        <w:t>a</w:t>
      </w:r>
      <w:r>
        <w:rPr>
          <w:spacing w:val="-13"/>
        </w:rPr>
        <w:t> </w:t>
      </w:r>
      <w:r>
        <w:rPr/>
        <w:t>6</w:t>
      </w:r>
      <w:r>
        <w:rPr>
          <w:spacing w:val="-10"/>
        </w:rPr>
        <w:t> </w:t>
      </w:r>
      <w:r>
        <w:rPr/>
        <w:t>y</w:t>
      </w:r>
      <w:r>
        <w:rPr>
          <w:spacing w:val="-9"/>
        </w:rPr>
        <w:t> </w:t>
      </w:r>
      <w:r>
        <w:rPr/>
        <w:t>9</w:t>
      </w:r>
      <w:r>
        <w:rPr>
          <w:spacing w:val="-13"/>
        </w:rPr>
        <w:t> </w:t>
      </w:r>
      <w:r>
        <w:rPr/>
        <w:t>a</w:t>
      </w:r>
      <w:r>
        <w:rPr>
          <w:spacing w:val="-10"/>
        </w:rPr>
        <w:t> </w:t>
      </w:r>
      <w:r>
        <w:rPr/>
        <w:t>12</w:t>
      </w:r>
      <w:r>
        <w:rPr>
          <w:spacing w:val="-10"/>
        </w:rPr>
        <w:t> </w:t>
      </w:r>
      <w:r>
        <w:rPr/>
        <w:t>de</w:t>
      </w:r>
      <w:r>
        <w:rPr>
          <w:spacing w:val="-11"/>
        </w:rPr>
        <w:t> </w:t>
      </w:r>
      <w:r>
        <w:rPr/>
        <w:t>las</w:t>
      </w:r>
      <w:r>
        <w:rPr>
          <w:spacing w:val="-12"/>
        </w:rPr>
        <w:t> </w:t>
      </w:r>
      <w:r>
        <w:rPr/>
        <w:t>relacionadas</w:t>
      </w:r>
      <w:r>
        <w:rPr>
          <w:spacing w:val="-10"/>
        </w:rPr>
        <w:t> </w:t>
      </w:r>
      <w:r>
        <w:rPr/>
        <w:t>en</w:t>
      </w:r>
      <w:r>
        <w:rPr>
          <w:spacing w:val="-11"/>
        </w:rPr>
        <w:t> </w:t>
      </w:r>
      <w:r>
        <w:rPr/>
        <w:t>el</w:t>
      </w:r>
      <w:r>
        <w:rPr>
          <w:spacing w:val="-11"/>
        </w:rPr>
        <w:t> </w:t>
      </w:r>
      <w:r>
        <w:rPr/>
        <w:t>cuadro 12</w:t>
      </w:r>
      <w:r>
        <w:rPr>
          <w:rFonts w:ascii="Symbol" w:hAnsi="Symbol"/>
        </w:rPr>
        <w:t></w:t>
      </w:r>
      <w:r>
        <w:rPr/>
        <w:t>. De ellas, nueve están comprendidas en el ámbito objetivo de la fiscalización.</w:t>
      </w:r>
    </w:p>
    <w:p>
      <w:pPr>
        <w:pStyle w:val="BodyText"/>
        <w:spacing w:before="240"/>
        <w:ind w:left="992" w:right="985"/>
        <w:jc w:val="both"/>
      </w:pPr>
      <w:r>
        <w:rPr/>
        <w:t>Para la ejecución de estas nueve actuaciones la empresa municipal de transportes adjudicó 21 contratos</w:t>
      </w:r>
      <w:r>
        <w:rPr>
          <w:spacing w:val="-2"/>
        </w:rPr>
        <w:t> </w:t>
      </w:r>
      <w:r>
        <w:rPr/>
        <w:t>con vigencia en el</w:t>
      </w:r>
      <w:r>
        <w:rPr>
          <w:spacing w:val="-1"/>
        </w:rPr>
        <w:t> </w:t>
      </w:r>
      <w:r>
        <w:rPr/>
        <w:t>periodo</w:t>
      </w:r>
      <w:r>
        <w:rPr>
          <w:spacing w:val="-2"/>
        </w:rPr>
        <w:t> </w:t>
      </w:r>
      <w:r>
        <w:rPr/>
        <w:t>fiscalizado,</w:t>
      </w:r>
      <w:r>
        <w:rPr>
          <w:spacing w:val="-1"/>
        </w:rPr>
        <w:t> </w:t>
      </w:r>
      <w:r>
        <w:rPr/>
        <w:t>por un</w:t>
      </w:r>
      <w:r>
        <w:rPr>
          <w:spacing w:val="-2"/>
        </w:rPr>
        <w:t> </w:t>
      </w:r>
      <w:r>
        <w:rPr/>
        <w:t>importe</w:t>
      </w:r>
      <w:r>
        <w:rPr>
          <w:spacing w:val="-2"/>
        </w:rPr>
        <w:t> </w:t>
      </w:r>
      <w:r>
        <w:rPr/>
        <w:t>total</w:t>
      </w:r>
      <w:r>
        <w:rPr>
          <w:spacing w:val="-2"/>
        </w:rPr>
        <w:t> </w:t>
      </w:r>
      <w:r>
        <w:rPr/>
        <w:t>de 5.522.557,85 euros, de los que</w:t>
      </w:r>
      <w:r>
        <w:rPr>
          <w:spacing w:val="-6"/>
        </w:rPr>
        <w:t> </w:t>
      </w:r>
      <w:r>
        <w:rPr/>
        <w:t>se</w:t>
      </w:r>
      <w:r>
        <w:rPr>
          <w:spacing w:val="-6"/>
        </w:rPr>
        <w:t> </w:t>
      </w:r>
      <w:r>
        <w:rPr/>
        <w:t>ha</w:t>
      </w:r>
      <w:r>
        <w:rPr>
          <w:spacing w:val="-7"/>
        </w:rPr>
        <w:t> </w:t>
      </w:r>
      <w:r>
        <w:rPr/>
        <w:t>analizado</w:t>
      </w:r>
      <w:r>
        <w:rPr>
          <w:spacing w:val="-9"/>
        </w:rPr>
        <w:t> </w:t>
      </w:r>
      <w:r>
        <w:rPr/>
        <w:t>trece.</w:t>
      </w:r>
      <w:r>
        <w:rPr>
          <w:spacing w:val="-5"/>
        </w:rPr>
        <w:t> </w:t>
      </w:r>
      <w:r>
        <w:rPr/>
        <w:t>Uno</w:t>
      </w:r>
      <w:r>
        <w:rPr>
          <w:spacing w:val="-7"/>
        </w:rPr>
        <w:t> </w:t>
      </w:r>
      <w:r>
        <w:rPr/>
        <w:t>de</w:t>
      </w:r>
      <w:r>
        <w:rPr>
          <w:spacing w:val="-7"/>
        </w:rPr>
        <w:t> </w:t>
      </w:r>
      <w:r>
        <w:rPr/>
        <w:t>ellos,</w:t>
      </w:r>
      <w:r>
        <w:rPr>
          <w:spacing w:val="-8"/>
        </w:rPr>
        <w:t> </w:t>
      </w:r>
      <w:r>
        <w:rPr/>
        <w:t>el</w:t>
      </w:r>
      <w:r>
        <w:rPr>
          <w:spacing w:val="-8"/>
        </w:rPr>
        <w:t> </w:t>
      </w:r>
      <w:r>
        <w:rPr/>
        <w:t>contrato</w:t>
      </w:r>
      <w:r>
        <w:rPr>
          <w:spacing w:val="-6"/>
        </w:rPr>
        <w:t> </w:t>
      </w:r>
      <w:r>
        <w:rPr/>
        <w:t>mixto</w:t>
      </w:r>
      <w:r>
        <w:rPr>
          <w:spacing w:val="-6"/>
        </w:rPr>
        <w:t> </w:t>
      </w:r>
      <w:r>
        <w:rPr/>
        <w:t>de</w:t>
      </w:r>
      <w:r>
        <w:rPr>
          <w:spacing w:val="-9"/>
        </w:rPr>
        <w:t> </w:t>
      </w:r>
      <w:r>
        <w:rPr/>
        <w:t>suministro,</w:t>
      </w:r>
      <w:r>
        <w:rPr>
          <w:spacing w:val="-8"/>
        </w:rPr>
        <w:t> </w:t>
      </w:r>
      <w:r>
        <w:rPr/>
        <w:t>instalación,</w:t>
      </w:r>
      <w:r>
        <w:rPr>
          <w:spacing w:val="-7"/>
        </w:rPr>
        <w:t> </w:t>
      </w:r>
      <w:r>
        <w:rPr/>
        <w:t>mantenimiento y gestión de un sistema de videovigilancia embarcada en 158 autobuses, adjudicado en junio de 2023, por importe de 293.748,32 euros, IGIC excluido, fue modificado</w:t>
      </w:r>
      <w:hyperlink w:history="true" w:anchor="_bookmark93">
        <w:r>
          <w:rPr>
            <w:vertAlign w:val="superscript"/>
          </w:rPr>
          <w:t>65</w:t>
        </w:r>
      </w:hyperlink>
      <w:r>
        <w:rPr>
          <w:vertAlign w:val="baseline"/>
        </w:rPr>
        <w:t>, justificándolo en la existencia de anomalías técnicas no previstas en el contrato inicial, que supusieron un incremento del</w:t>
      </w:r>
      <w:r>
        <w:rPr>
          <w:spacing w:val="-1"/>
          <w:vertAlign w:val="baseline"/>
        </w:rPr>
        <w:t> </w:t>
      </w:r>
      <w:r>
        <w:rPr>
          <w:vertAlign w:val="baseline"/>
        </w:rPr>
        <w:t>precio</w:t>
      </w:r>
      <w:r>
        <w:rPr>
          <w:spacing w:val="-1"/>
          <w:vertAlign w:val="baseline"/>
        </w:rPr>
        <w:t> </w:t>
      </w:r>
      <w:r>
        <w:rPr>
          <w:vertAlign w:val="baseline"/>
        </w:rPr>
        <w:t>del</w:t>
      </w:r>
      <w:r>
        <w:rPr>
          <w:spacing w:val="-1"/>
          <w:vertAlign w:val="baseline"/>
        </w:rPr>
        <w:t> </w:t>
      </w:r>
      <w:r>
        <w:rPr>
          <w:vertAlign w:val="baseline"/>
        </w:rPr>
        <w:t>contrato</w:t>
      </w:r>
      <w:r>
        <w:rPr>
          <w:spacing w:val="-1"/>
          <w:vertAlign w:val="baseline"/>
        </w:rPr>
        <w:t> </w:t>
      </w:r>
      <w:r>
        <w:rPr>
          <w:vertAlign w:val="baseline"/>
        </w:rPr>
        <w:t>en</w:t>
      </w:r>
      <w:r>
        <w:rPr>
          <w:spacing w:val="-1"/>
          <w:vertAlign w:val="baseline"/>
        </w:rPr>
        <w:t> </w:t>
      </w:r>
      <w:r>
        <w:rPr>
          <w:vertAlign w:val="baseline"/>
        </w:rPr>
        <w:t>69.781,17</w:t>
      </w:r>
      <w:r>
        <w:rPr>
          <w:spacing w:val="-3"/>
          <w:vertAlign w:val="baseline"/>
        </w:rPr>
        <w:t> </w:t>
      </w:r>
      <w:r>
        <w:rPr>
          <w:vertAlign w:val="baseline"/>
        </w:rPr>
        <w:t>euros, IGIC</w:t>
      </w:r>
      <w:r>
        <w:rPr>
          <w:spacing w:val="-4"/>
          <w:vertAlign w:val="baseline"/>
        </w:rPr>
        <w:t> </w:t>
      </w:r>
      <w:r>
        <w:rPr>
          <w:vertAlign w:val="baseline"/>
        </w:rPr>
        <w:t>excluido, el</w:t>
      </w:r>
      <w:r>
        <w:rPr>
          <w:spacing w:val="-1"/>
          <w:vertAlign w:val="baseline"/>
        </w:rPr>
        <w:t> </w:t>
      </w:r>
      <w:r>
        <w:rPr>
          <w:vertAlign w:val="baseline"/>
        </w:rPr>
        <w:t>23,76</w:t>
      </w:r>
      <w:r>
        <w:rPr>
          <w:spacing w:val="-1"/>
          <w:vertAlign w:val="baseline"/>
        </w:rPr>
        <w:t> </w:t>
      </w:r>
      <w:r>
        <w:rPr>
          <w:vertAlign w:val="baseline"/>
        </w:rPr>
        <w:t>%</w:t>
      </w:r>
      <w:r>
        <w:rPr>
          <w:spacing w:val="-1"/>
          <w:vertAlign w:val="baseline"/>
        </w:rPr>
        <w:t> </w:t>
      </w:r>
      <w:r>
        <w:rPr>
          <w:vertAlign w:val="baseline"/>
        </w:rPr>
        <w:t>del</w:t>
      </w:r>
      <w:r>
        <w:rPr>
          <w:spacing w:val="-1"/>
          <w:vertAlign w:val="baseline"/>
        </w:rPr>
        <w:t> </w:t>
      </w:r>
      <w:r>
        <w:rPr>
          <w:vertAlign w:val="baseline"/>
        </w:rPr>
        <w:t>precio</w:t>
      </w:r>
      <w:r>
        <w:rPr>
          <w:spacing w:val="-1"/>
          <w:vertAlign w:val="baseline"/>
        </w:rPr>
        <w:t> </w:t>
      </w:r>
      <w:r>
        <w:rPr>
          <w:vertAlign w:val="baseline"/>
        </w:rPr>
        <w:t>inicial</w:t>
      </w:r>
      <w:r>
        <w:rPr>
          <w:spacing w:val="-2"/>
          <w:vertAlign w:val="baseline"/>
        </w:rPr>
        <w:t> </w:t>
      </w:r>
      <w:r>
        <w:rPr>
          <w:vertAlign w:val="baseline"/>
        </w:rPr>
        <w:t>del</w:t>
      </w:r>
      <w:r>
        <w:rPr>
          <w:spacing w:val="-1"/>
          <w:vertAlign w:val="baseline"/>
        </w:rPr>
        <w:t> </w:t>
      </w:r>
      <w:r>
        <w:rPr>
          <w:vertAlign w:val="baseline"/>
        </w:rPr>
        <w:t>contrato. Del</w:t>
      </w:r>
      <w:r>
        <w:rPr>
          <w:spacing w:val="-12"/>
          <w:vertAlign w:val="baseline"/>
        </w:rPr>
        <w:t> </w:t>
      </w:r>
      <w:r>
        <w:rPr>
          <w:vertAlign w:val="baseline"/>
        </w:rPr>
        <w:t>informe</w:t>
      </w:r>
      <w:r>
        <w:rPr>
          <w:spacing w:val="-14"/>
          <w:vertAlign w:val="baseline"/>
        </w:rPr>
        <w:t> </w:t>
      </w:r>
      <w:r>
        <w:rPr>
          <w:vertAlign w:val="baseline"/>
        </w:rPr>
        <w:t>técnico</w:t>
      </w:r>
      <w:r>
        <w:rPr>
          <w:spacing w:val="-14"/>
          <w:vertAlign w:val="baseline"/>
        </w:rPr>
        <w:t> </w:t>
      </w:r>
      <w:r>
        <w:rPr>
          <w:vertAlign w:val="baseline"/>
        </w:rPr>
        <w:t>emitido</w:t>
      </w:r>
      <w:r>
        <w:rPr>
          <w:spacing w:val="-12"/>
          <w:vertAlign w:val="baseline"/>
        </w:rPr>
        <w:t> </w:t>
      </w:r>
      <w:r>
        <w:rPr>
          <w:vertAlign w:val="baseline"/>
        </w:rPr>
        <w:t>al</w:t>
      </w:r>
      <w:r>
        <w:rPr>
          <w:spacing w:val="-12"/>
          <w:vertAlign w:val="baseline"/>
        </w:rPr>
        <w:t> </w:t>
      </w:r>
      <w:r>
        <w:rPr>
          <w:vertAlign w:val="baseline"/>
        </w:rPr>
        <w:t>efecto,</w:t>
      </w:r>
      <w:r>
        <w:rPr>
          <w:spacing w:val="-13"/>
          <w:vertAlign w:val="baseline"/>
        </w:rPr>
        <w:t> </w:t>
      </w:r>
      <w:r>
        <w:rPr>
          <w:vertAlign w:val="baseline"/>
        </w:rPr>
        <w:t>se</w:t>
      </w:r>
      <w:r>
        <w:rPr>
          <w:spacing w:val="-14"/>
          <w:vertAlign w:val="baseline"/>
        </w:rPr>
        <w:t> </w:t>
      </w:r>
      <w:r>
        <w:rPr>
          <w:vertAlign w:val="baseline"/>
        </w:rPr>
        <w:t>desprende</w:t>
      </w:r>
      <w:r>
        <w:rPr>
          <w:spacing w:val="-11"/>
          <w:vertAlign w:val="baseline"/>
        </w:rPr>
        <w:t> </w:t>
      </w:r>
      <w:r>
        <w:rPr>
          <w:vertAlign w:val="baseline"/>
        </w:rPr>
        <w:t>que</w:t>
      </w:r>
      <w:r>
        <w:rPr>
          <w:spacing w:val="-14"/>
          <w:vertAlign w:val="baseline"/>
        </w:rPr>
        <w:t> </w:t>
      </w:r>
      <w:r>
        <w:rPr>
          <w:vertAlign w:val="baseline"/>
        </w:rPr>
        <w:t>dichas</w:t>
      </w:r>
      <w:r>
        <w:rPr>
          <w:spacing w:val="-13"/>
          <w:vertAlign w:val="baseline"/>
        </w:rPr>
        <w:t> </w:t>
      </w:r>
      <w:r>
        <w:rPr>
          <w:vertAlign w:val="baseline"/>
        </w:rPr>
        <w:t>anomalías</w:t>
      </w:r>
      <w:r>
        <w:rPr>
          <w:spacing w:val="-14"/>
          <w:vertAlign w:val="baseline"/>
        </w:rPr>
        <w:t> </w:t>
      </w:r>
      <w:r>
        <w:rPr>
          <w:vertAlign w:val="baseline"/>
        </w:rPr>
        <w:t>resultan</w:t>
      </w:r>
      <w:r>
        <w:rPr>
          <w:spacing w:val="-12"/>
          <w:vertAlign w:val="baseline"/>
        </w:rPr>
        <w:t> </w:t>
      </w:r>
      <w:r>
        <w:rPr>
          <w:vertAlign w:val="baseline"/>
        </w:rPr>
        <w:t>de</w:t>
      </w:r>
      <w:r>
        <w:rPr>
          <w:spacing w:val="-14"/>
          <w:vertAlign w:val="baseline"/>
        </w:rPr>
        <w:t> </w:t>
      </w:r>
      <w:r>
        <w:rPr>
          <w:vertAlign w:val="baseline"/>
        </w:rPr>
        <w:t>una</w:t>
      </w:r>
      <w:r>
        <w:rPr>
          <w:spacing w:val="-14"/>
          <w:vertAlign w:val="baseline"/>
        </w:rPr>
        <w:t> </w:t>
      </w:r>
      <w:r>
        <w:rPr>
          <w:vertAlign w:val="baseline"/>
        </w:rPr>
        <w:t>deficiente preparación de la actuación, pues una vez iniciada la ejecución del contrato y revisados los autobuses</w:t>
      </w:r>
      <w:r>
        <w:rPr>
          <w:spacing w:val="-7"/>
          <w:vertAlign w:val="baseline"/>
        </w:rPr>
        <w:t> </w:t>
      </w:r>
      <w:r>
        <w:rPr>
          <w:vertAlign w:val="baseline"/>
        </w:rPr>
        <w:t>se</w:t>
      </w:r>
      <w:r>
        <w:rPr>
          <w:spacing w:val="-8"/>
          <w:vertAlign w:val="baseline"/>
        </w:rPr>
        <w:t> </w:t>
      </w:r>
      <w:r>
        <w:rPr>
          <w:vertAlign w:val="baseline"/>
        </w:rPr>
        <w:t>concluye</w:t>
      </w:r>
      <w:r>
        <w:rPr>
          <w:spacing w:val="-8"/>
          <w:vertAlign w:val="baseline"/>
        </w:rPr>
        <w:t> </w:t>
      </w:r>
      <w:r>
        <w:rPr>
          <w:vertAlign w:val="baseline"/>
        </w:rPr>
        <w:t>que</w:t>
      </w:r>
      <w:r>
        <w:rPr>
          <w:spacing w:val="-8"/>
          <w:vertAlign w:val="baseline"/>
        </w:rPr>
        <w:t> </w:t>
      </w:r>
      <w:r>
        <w:rPr>
          <w:vertAlign w:val="baseline"/>
        </w:rPr>
        <w:t>en</w:t>
      </w:r>
      <w:r>
        <w:rPr>
          <w:spacing w:val="-8"/>
          <w:vertAlign w:val="baseline"/>
        </w:rPr>
        <w:t> </w:t>
      </w:r>
      <w:r>
        <w:rPr>
          <w:vertAlign w:val="baseline"/>
        </w:rPr>
        <w:t>algunos</w:t>
      </w:r>
      <w:r>
        <w:rPr>
          <w:spacing w:val="-7"/>
          <w:vertAlign w:val="baseline"/>
        </w:rPr>
        <w:t> </w:t>
      </w:r>
      <w:r>
        <w:rPr>
          <w:vertAlign w:val="baseline"/>
        </w:rPr>
        <w:t>de</w:t>
      </w:r>
      <w:r>
        <w:rPr>
          <w:spacing w:val="-8"/>
          <w:vertAlign w:val="baseline"/>
        </w:rPr>
        <w:t> </w:t>
      </w:r>
      <w:r>
        <w:rPr>
          <w:vertAlign w:val="baseline"/>
        </w:rPr>
        <w:t>ellos</w:t>
      </w:r>
      <w:r>
        <w:rPr>
          <w:spacing w:val="-8"/>
          <w:vertAlign w:val="baseline"/>
        </w:rPr>
        <w:t> </w:t>
      </w:r>
      <w:r>
        <w:rPr>
          <w:vertAlign w:val="baseline"/>
        </w:rPr>
        <w:t>hay</w:t>
      </w:r>
      <w:r>
        <w:rPr>
          <w:spacing w:val="-7"/>
          <w:vertAlign w:val="baseline"/>
        </w:rPr>
        <w:t> </w:t>
      </w:r>
      <w:r>
        <w:rPr>
          <w:vertAlign w:val="baseline"/>
        </w:rPr>
        <w:t>que</w:t>
      </w:r>
      <w:r>
        <w:rPr>
          <w:spacing w:val="-8"/>
          <w:vertAlign w:val="baseline"/>
        </w:rPr>
        <w:t> </w:t>
      </w:r>
      <w:r>
        <w:rPr>
          <w:vertAlign w:val="baseline"/>
        </w:rPr>
        <w:t>instalar</w:t>
      </w:r>
      <w:r>
        <w:rPr>
          <w:spacing w:val="-6"/>
          <w:vertAlign w:val="baseline"/>
        </w:rPr>
        <w:t> </w:t>
      </w:r>
      <w:r>
        <w:rPr>
          <w:vertAlign w:val="baseline"/>
        </w:rPr>
        <w:t>un</w:t>
      </w:r>
      <w:r>
        <w:rPr>
          <w:spacing w:val="-8"/>
          <w:vertAlign w:val="baseline"/>
        </w:rPr>
        <w:t> </w:t>
      </w:r>
      <w:r>
        <w:rPr>
          <w:vertAlign w:val="baseline"/>
        </w:rPr>
        <w:t>número</w:t>
      </w:r>
      <w:r>
        <w:rPr>
          <w:spacing w:val="-8"/>
          <w:vertAlign w:val="baseline"/>
        </w:rPr>
        <w:t> </w:t>
      </w:r>
      <w:r>
        <w:rPr>
          <w:vertAlign w:val="baseline"/>
        </w:rPr>
        <w:t>mayor</w:t>
      </w:r>
      <w:r>
        <w:rPr>
          <w:spacing w:val="-7"/>
          <w:vertAlign w:val="baseline"/>
        </w:rPr>
        <w:t> </w:t>
      </w:r>
      <w:r>
        <w:rPr>
          <w:vertAlign w:val="baseline"/>
        </w:rPr>
        <w:t>de</w:t>
      </w:r>
      <w:r>
        <w:rPr>
          <w:spacing w:val="-11"/>
          <w:vertAlign w:val="baseline"/>
        </w:rPr>
        <w:t> </w:t>
      </w:r>
      <w:r>
        <w:rPr>
          <w:vertAlign w:val="baseline"/>
        </w:rPr>
        <w:t>cámaras</w:t>
      </w:r>
      <w:r>
        <w:rPr>
          <w:spacing w:val="-8"/>
          <w:vertAlign w:val="baseline"/>
        </w:rPr>
        <w:t> </w:t>
      </w:r>
      <w:r>
        <w:rPr>
          <w:vertAlign w:val="baseline"/>
        </w:rPr>
        <w:t>para evitar zonas muertas o, al contrario, en otras resultan suficientes un menor número. También se detecta</w:t>
      </w:r>
      <w:r>
        <w:rPr>
          <w:spacing w:val="-4"/>
          <w:vertAlign w:val="baseline"/>
        </w:rPr>
        <w:t> </w:t>
      </w:r>
      <w:r>
        <w:rPr>
          <w:vertAlign w:val="baseline"/>
        </w:rPr>
        <w:t>la</w:t>
      </w:r>
      <w:r>
        <w:rPr>
          <w:spacing w:val="-2"/>
          <w:vertAlign w:val="baseline"/>
        </w:rPr>
        <w:t> </w:t>
      </w:r>
      <w:r>
        <w:rPr>
          <w:vertAlign w:val="baseline"/>
        </w:rPr>
        <w:t>necesidad</w:t>
      </w:r>
      <w:r>
        <w:rPr>
          <w:spacing w:val="-2"/>
          <w:vertAlign w:val="baseline"/>
        </w:rPr>
        <w:t> </w:t>
      </w:r>
      <w:r>
        <w:rPr>
          <w:vertAlign w:val="baseline"/>
        </w:rPr>
        <w:t>de</w:t>
      </w:r>
      <w:r>
        <w:rPr>
          <w:spacing w:val="-5"/>
          <w:vertAlign w:val="baseline"/>
        </w:rPr>
        <w:t> </w:t>
      </w:r>
      <w:r>
        <w:rPr>
          <w:vertAlign w:val="baseline"/>
        </w:rPr>
        <w:t>realizar</w:t>
      </w:r>
      <w:r>
        <w:rPr>
          <w:spacing w:val="-1"/>
          <w:vertAlign w:val="baseline"/>
        </w:rPr>
        <w:t> </w:t>
      </w:r>
      <w:r>
        <w:rPr>
          <w:vertAlign w:val="baseline"/>
        </w:rPr>
        <w:t>actuaciones</w:t>
      </w:r>
      <w:r>
        <w:rPr>
          <w:spacing w:val="-2"/>
          <w:vertAlign w:val="baseline"/>
        </w:rPr>
        <w:t> </w:t>
      </w:r>
      <w:r>
        <w:rPr>
          <w:vertAlign w:val="baseline"/>
        </w:rPr>
        <w:t>que</w:t>
      </w:r>
      <w:r>
        <w:rPr>
          <w:spacing w:val="-6"/>
          <w:vertAlign w:val="baseline"/>
        </w:rPr>
        <w:t> </w:t>
      </w:r>
      <w:r>
        <w:rPr>
          <w:vertAlign w:val="baseline"/>
        </w:rPr>
        <w:t>no</w:t>
      </w:r>
      <w:r>
        <w:rPr>
          <w:spacing w:val="-2"/>
          <w:vertAlign w:val="baseline"/>
        </w:rPr>
        <w:t> </w:t>
      </w:r>
      <w:r>
        <w:rPr>
          <w:vertAlign w:val="baseline"/>
        </w:rPr>
        <w:t>resultan</w:t>
      </w:r>
      <w:r>
        <w:rPr>
          <w:spacing w:val="-4"/>
          <w:vertAlign w:val="baseline"/>
        </w:rPr>
        <w:t> </w:t>
      </w:r>
      <w:r>
        <w:rPr>
          <w:vertAlign w:val="baseline"/>
        </w:rPr>
        <w:t>imprevisibles,</w:t>
      </w:r>
      <w:r>
        <w:rPr>
          <w:spacing w:val="-1"/>
          <w:vertAlign w:val="baseline"/>
        </w:rPr>
        <w:t> </w:t>
      </w:r>
      <w:r>
        <w:rPr>
          <w:vertAlign w:val="baseline"/>
        </w:rPr>
        <w:t>como</w:t>
      </w:r>
      <w:r>
        <w:rPr>
          <w:spacing w:val="-2"/>
          <w:vertAlign w:val="baseline"/>
        </w:rPr>
        <w:t> </w:t>
      </w:r>
      <w:r>
        <w:rPr>
          <w:vertAlign w:val="baseline"/>
        </w:rPr>
        <w:t>sustituir</w:t>
      </w:r>
      <w:r>
        <w:rPr>
          <w:spacing w:val="-3"/>
          <w:vertAlign w:val="baseline"/>
        </w:rPr>
        <w:t> </w:t>
      </w:r>
      <w:r>
        <w:rPr>
          <w:vertAlign w:val="baseline"/>
        </w:rPr>
        <w:t>cámaras porque no son compatibles con la grabadora o si se hiciera uso de ellas no se podría cubrir todas las</w:t>
      </w:r>
      <w:r>
        <w:rPr>
          <w:spacing w:val="-16"/>
          <w:vertAlign w:val="baseline"/>
        </w:rPr>
        <w:t> </w:t>
      </w:r>
      <w:r>
        <w:rPr>
          <w:vertAlign w:val="baseline"/>
        </w:rPr>
        <w:t>zonas</w:t>
      </w:r>
      <w:r>
        <w:rPr>
          <w:spacing w:val="-15"/>
          <w:vertAlign w:val="baseline"/>
        </w:rPr>
        <w:t> </w:t>
      </w:r>
      <w:r>
        <w:rPr>
          <w:vertAlign w:val="baseline"/>
        </w:rPr>
        <w:t>debido</w:t>
      </w:r>
      <w:r>
        <w:rPr>
          <w:spacing w:val="-15"/>
          <w:vertAlign w:val="baseline"/>
        </w:rPr>
        <w:t> </w:t>
      </w:r>
      <w:r>
        <w:rPr>
          <w:vertAlign w:val="baseline"/>
        </w:rPr>
        <w:t>a</w:t>
      </w:r>
      <w:r>
        <w:rPr>
          <w:spacing w:val="-16"/>
          <w:vertAlign w:val="baseline"/>
        </w:rPr>
        <w:t> </w:t>
      </w:r>
      <w:r>
        <w:rPr>
          <w:vertAlign w:val="baseline"/>
        </w:rPr>
        <w:t>sus</w:t>
      </w:r>
      <w:r>
        <w:rPr>
          <w:spacing w:val="-15"/>
          <w:vertAlign w:val="baseline"/>
        </w:rPr>
        <w:t> </w:t>
      </w:r>
      <w:r>
        <w:rPr>
          <w:vertAlign w:val="baseline"/>
        </w:rPr>
        <w:t>características</w:t>
      </w:r>
      <w:r>
        <w:rPr>
          <w:spacing w:val="-15"/>
          <w:vertAlign w:val="baseline"/>
        </w:rPr>
        <w:t> </w:t>
      </w:r>
      <w:r>
        <w:rPr>
          <w:vertAlign w:val="baseline"/>
        </w:rPr>
        <w:t>técnicas;</w:t>
      </w:r>
      <w:r>
        <w:rPr>
          <w:spacing w:val="-15"/>
          <w:vertAlign w:val="baseline"/>
        </w:rPr>
        <w:t> </w:t>
      </w:r>
      <w:r>
        <w:rPr>
          <w:vertAlign w:val="baseline"/>
        </w:rPr>
        <w:t>adquirir</w:t>
      </w:r>
      <w:r>
        <w:rPr>
          <w:spacing w:val="-16"/>
          <w:vertAlign w:val="baseline"/>
        </w:rPr>
        <w:t> </w:t>
      </w:r>
      <w:r>
        <w:rPr>
          <w:vertAlign w:val="baseline"/>
        </w:rPr>
        <w:t>accesorios</w:t>
      </w:r>
      <w:r>
        <w:rPr>
          <w:spacing w:val="-15"/>
          <w:vertAlign w:val="baseline"/>
        </w:rPr>
        <w:t> </w:t>
      </w:r>
      <w:r>
        <w:rPr>
          <w:vertAlign w:val="baseline"/>
        </w:rPr>
        <w:t>para</w:t>
      </w:r>
      <w:r>
        <w:rPr>
          <w:spacing w:val="-15"/>
          <w:vertAlign w:val="baseline"/>
        </w:rPr>
        <w:t> </w:t>
      </w:r>
      <w:r>
        <w:rPr>
          <w:vertAlign w:val="baseline"/>
        </w:rPr>
        <w:t>poder</w:t>
      </w:r>
      <w:r>
        <w:rPr>
          <w:spacing w:val="-16"/>
          <w:vertAlign w:val="baseline"/>
        </w:rPr>
        <w:t> </w:t>
      </w:r>
      <w:r>
        <w:rPr>
          <w:vertAlign w:val="baseline"/>
        </w:rPr>
        <w:t>conectar</w:t>
      </w:r>
      <w:r>
        <w:rPr>
          <w:spacing w:val="-15"/>
          <w:vertAlign w:val="baseline"/>
        </w:rPr>
        <w:t> </w:t>
      </w:r>
      <w:r>
        <w:rPr>
          <w:vertAlign w:val="baseline"/>
        </w:rPr>
        <w:t>las</w:t>
      </w:r>
      <w:r>
        <w:rPr>
          <w:spacing w:val="-15"/>
          <w:vertAlign w:val="baseline"/>
        </w:rPr>
        <w:t> </w:t>
      </w:r>
      <w:r>
        <w:rPr>
          <w:vertAlign w:val="baseline"/>
        </w:rPr>
        <w:t>cámaras existentes a la grabadora; desmontar grabadoras para instalar las nuevas; o realizar jornadas de trabajo para toma de datos y pruebas de verificación.</w:t>
      </w:r>
    </w:p>
    <w:p>
      <w:pPr>
        <w:pStyle w:val="BodyText"/>
        <w:spacing w:before="243"/>
        <w:ind w:left="992" w:right="987"/>
        <w:jc w:val="both"/>
      </w:pPr>
      <w:r>
        <w:rPr/>
        <w:t>Asimismo,</w:t>
      </w:r>
      <w:r>
        <w:rPr>
          <w:spacing w:val="-5"/>
        </w:rPr>
        <w:t> </w:t>
      </w:r>
      <w:r>
        <w:rPr/>
        <w:t>se</w:t>
      </w:r>
      <w:r>
        <w:rPr>
          <w:spacing w:val="-6"/>
        </w:rPr>
        <w:t> </w:t>
      </w:r>
      <w:r>
        <w:rPr/>
        <w:t>han</w:t>
      </w:r>
      <w:r>
        <w:rPr>
          <w:spacing w:val="-6"/>
        </w:rPr>
        <w:t> </w:t>
      </w:r>
      <w:r>
        <w:rPr/>
        <w:t>producido</w:t>
      </w:r>
      <w:r>
        <w:rPr>
          <w:spacing w:val="-4"/>
        </w:rPr>
        <w:t> </w:t>
      </w:r>
      <w:r>
        <w:rPr/>
        <w:t>demoras</w:t>
      </w:r>
      <w:r>
        <w:rPr>
          <w:spacing w:val="-6"/>
        </w:rPr>
        <w:t> </w:t>
      </w:r>
      <w:r>
        <w:rPr/>
        <w:t>en</w:t>
      </w:r>
      <w:r>
        <w:rPr>
          <w:spacing w:val="-7"/>
        </w:rPr>
        <w:t> </w:t>
      </w:r>
      <w:r>
        <w:rPr/>
        <w:t>la</w:t>
      </w:r>
      <w:r>
        <w:rPr>
          <w:spacing w:val="-4"/>
        </w:rPr>
        <w:t> </w:t>
      </w:r>
      <w:r>
        <w:rPr/>
        <w:t>ejecución</w:t>
      </w:r>
      <w:r>
        <w:rPr>
          <w:spacing w:val="-4"/>
        </w:rPr>
        <w:t> </w:t>
      </w:r>
      <w:r>
        <w:rPr/>
        <w:t>de</w:t>
      </w:r>
      <w:r>
        <w:rPr>
          <w:spacing w:val="-7"/>
        </w:rPr>
        <w:t> </w:t>
      </w:r>
      <w:r>
        <w:rPr/>
        <w:t>algunos</w:t>
      </w:r>
      <w:r>
        <w:rPr>
          <w:spacing w:val="-4"/>
        </w:rPr>
        <w:t> </w:t>
      </w:r>
      <w:r>
        <w:rPr/>
        <w:t>contratos.</w:t>
      </w:r>
      <w:r>
        <w:rPr>
          <w:spacing w:val="-5"/>
        </w:rPr>
        <w:t> </w:t>
      </w:r>
      <w:r>
        <w:rPr/>
        <w:t>En</w:t>
      </w:r>
      <w:r>
        <w:rPr>
          <w:spacing w:val="-4"/>
        </w:rPr>
        <w:t> </w:t>
      </w:r>
      <w:r>
        <w:rPr/>
        <w:t>el</w:t>
      </w:r>
      <w:r>
        <w:rPr>
          <w:spacing w:val="-7"/>
        </w:rPr>
        <w:t> </w:t>
      </w:r>
      <w:r>
        <w:rPr/>
        <w:t>contrato</w:t>
      </w:r>
      <w:r>
        <w:rPr>
          <w:spacing w:val="-6"/>
        </w:rPr>
        <w:t> </w:t>
      </w:r>
      <w:r>
        <w:rPr/>
        <w:t>mixto</w:t>
      </w:r>
      <w:r>
        <w:rPr>
          <w:spacing w:val="-6"/>
        </w:rPr>
        <w:t> </w:t>
      </w:r>
      <w:r>
        <w:rPr/>
        <w:t>de suministro y mantenimiento del sistema de pago y recarga de tarjetas sin contacto en tierra, se establecía</w:t>
      </w:r>
      <w:r>
        <w:rPr>
          <w:spacing w:val="-1"/>
        </w:rPr>
        <w:t> </w:t>
      </w:r>
      <w:r>
        <w:rPr/>
        <w:t>un plazo de ejecución de catorce meses desde su</w:t>
      </w:r>
      <w:r>
        <w:rPr>
          <w:spacing w:val="-2"/>
        </w:rPr>
        <w:t> </w:t>
      </w:r>
      <w:r>
        <w:rPr/>
        <w:t>formalización, en diciembre de</w:t>
      </w:r>
      <w:r>
        <w:rPr>
          <w:spacing w:val="-2"/>
        </w:rPr>
        <w:t> </w:t>
      </w:r>
      <w:r>
        <w:rPr/>
        <w:t>2022, para efectuar el suministro y ejecutar la instalación, montaje y puesta en marcha de las cuarenta máquinas recargadoras expendedoras y sistema de pago, así como para llevar a cabo las tareas de</w:t>
      </w:r>
      <w:r>
        <w:rPr>
          <w:spacing w:val="-11"/>
        </w:rPr>
        <w:t> </w:t>
      </w:r>
      <w:r>
        <w:rPr/>
        <w:t>formación</w:t>
      </w:r>
      <w:r>
        <w:rPr>
          <w:spacing w:val="-12"/>
        </w:rPr>
        <w:t> </w:t>
      </w:r>
      <w:r>
        <w:rPr/>
        <w:t>y</w:t>
      </w:r>
      <w:r>
        <w:rPr>
          <w:spacing w:val="-13"/>
        </w:rPr>
        <w:t> </w:t>
      </w:r>
      <w:r>
        <w:rPr/>
        <w:t>documentación</w:t>
      </w:r>
      <w:r>
        <w:rPr>
          <w:spacing w:val="-12"/>
        </w:rPr>
        <w:t> </w:t>
      </w:r>
      <w:r>
        <w:rPr/>
        <w:t>descritas</w:t>
      </w:r>
      <w:r>
        <w:rPr>
          <w:spacing w:val="-14"/>
        </w:rPr>
        <w:t> </w:t>
      </w:r>
      <w:r>
        <w:rPr/>
        <w:t>en</w:t>
      </w:r>
      <w:r>
        <w:rPr>
          <w:spacing w:val="-12"/>
        </w:rPr>
        <w:t> </w:t>
      </w:r>
      <w:r>
        <w:rPr/>
        <w:t>el</w:t>
      </w:r>
      <w:r>
        <w:rPr>
          <w:spacing w:val="-14"/>
        </w:rPr>
        <w:t> </w:t>
      </w:r>
      <w:r>
        <w:rPr/>
        <w:t>pliego</w:t>
      </w:r>
      <w:r>
        <w:rPr>
          <w:spacing w:val="-11"/>
        </w:rPr>
        <w:t> </w:t>
      </w:r>
      <w:r>
        <w:rPr/>
        <w:t>de</w:t>
      </w:r>
      <w:r>
        <w:rPr>
          <w:spacing w:val="-14"/>
        </w:rPr>
        <w:t> </w:t>
      </w:r>
      <w:r>
        <w:rPr/>
        <w:t>prescripciones</w:t>
      </w:r>
      <w:r>
        <w:rPr>
          <w:spacing w:val="-13"/>
        </w:rPr>
        <w:t> </w:t>
      </w:r>
      <w:r>
        <w:rPr/>
        <w:t>técnicas</w:t>
      </w:r>
      <w:r>
        <w:rPr>
          <w:spacing w:val="-11"/>
        </w:rPr>
        <w:t> </w:t>
      </w:r>
      <w:r>
        <w:rPr/>
        <w:t>particulares.</w:t>
      </w:r>
      <w:r>
        <w:rPr>
          <w:spacing w:val="-12"/>
        </w:rPr>
        <w:t> </w:t>
      </w:r>
      <w:r>
        <w:rPr/>
        <w:t>El</w:t>
      </w:r>
      <w:r>
        <w:rPr>
          <w:spacing w:val="-14"/>
        </w:rPr>
        <w:t> </w:t>
      </w:r>
      <w:r>
        <w:rPr/>
        <w:t>acta de recepción se ha suscrito en marzo de 2025, con más de un año de retraso. Igual sucede en el contrato</w:t>
      </w:r>
      <w:r>
        <w:rPr>
          <w:spacing w:val="18"/>
        </w:rPr>
        <w:t> </w:t>
      </w:r>
      <w:r>
        <w:rPr/>
        <w:t>de</w:t>
      </w:r>
      <w:r>
        <w:rPr>
          <w:spacing w:val="17"/>
        </w:rPr>
        <w:t> </w:t>
      </w:r>
      <w:r>
        <w:rPr/>
        <w:t>suministro</w:t>
      </w:r>
      <w:r>
        <w:rPr>
          <w:spacing w:val="17"/>
        </w:rPr>
        <w:t> </w:t>
      </w:r>
      <w:r>
        <w:rPr/>
        <w:t>de</w:t>
      </w:r>
      <w:r>
        <w:rPr>
          <w:spacing w:val="17"/>
        </w:rPr>
        <w:t> </w:t>
      </w:r>
      <w:r>
        <w:rPr/>
        <w:t>equipos</w:t>
      </w:r>
      <w:r>
        <w:rPr>
          <w:spacing w:val="18"/>
        </w:rPr>
        <w:t> </w:t>
      </w:r>
      <w:r>
        <w:rPr/>
        <w:t>multimedia</w:t>
      </w:r>
      <w:r>
        <w:rPr>
          <w:spacing w:val="17"/>
        </w:rPr>
        <w:t> </w:t>
      </w:r>
      <w:r>
        <w:rPr/>
        <w:t>embarcables,</w:t>
      </w:r>
      <w:r>
        <w:rPr>
          <w:spacing w:val="19"/>
        </w:rPr>
        <w:t> </w:t>
      </w:r>
      <w:r>
        <w:rPr/>
        <w:t>con</w:t>
      </w:r>
      <w:r>
        <w:rPr>
          <w:spacing w:val="17"/>
        </w:rPr>
        <w:t> </w:t>
      </w:r>
      <w:r>
        <w:rPr/>
        <w:t>un plazo</w:t>
      </w:r>
      <w:r>
        <w:rPr>
          <w:spacing w:val="17"/>
        </w:rPr>
        <w:t> </w:t>
      </w:r>
      <w:r>
        <w:rPr/>
        <w:t>de</w:t>
      </w:r>
      <w:r>
        <w:rPr>
          <w:spacing w:val="17"/>
        </w:rPr>
        <w:t> </w:t>
      </w:r>
      <w:r>
        <w:rPr/>
        <w:t>ejecución</w:t>
      </w:r>
      <w:r>
        <w:rPr>
          <w:spacing w:val="17"/>
        </w:rPr>
        <w:t> </w:t>
      </w:r>
      <w:r>
        <w:rPr/>
        <w:t>de</w:t>
      </w:r>
      <w:r>
        <w:rPr>
          <w:spacing w:val="19"/>
        </w:rPr>
        <w:t> </w:t>
      </w:r>
      <w:r>
        <w:rPr/>
        <w:t>nueve</w:t>
      </w:r>
    </w:p>
    <w:p>
      <w:pPr>
        <w:pStyle w:val="BodyText"/>
        <w:rPr>
          <w:sz w:val="20"/>
        </w:rPr>
      </w:pPr>
    </w:p>
    <w:p>
      <w:pPr>
        <w:pStyle w:val="BodyText"/>
        <w:rPr>
          <w:sz w:val="20"/>
        </w:rPr>
      </w:pPr>
    </w:p>
    <w:p>
      <w:pPr>
        <w:pStyle w:val="BodyText"/>
        <w:spacing w:before="120"/>
        <w:rPr>
          <w:sz w:val="20"/>
        </w:rPr>
      </w:pPr>
      <w:r>
        <w:rPr>
          <w:sz w:val="20"/>
        </w:rPr>
        <mc:AlternateContent>
          <mc:Choice Requires="wps">
            <w:drawing>
              <wp:anchor distT="0" distB="0" distL="0" distR="0" allowOverlap="1" layoutInCell="1" locked="0" behindDoc="1" simplePos="0" relativeHeight="487616512">
                <wp:simplePos x="0" y="0"/>
                <wp:positionH relativeFrom="page">
                  <wp:posOffset>719632</wp:posOffset>
                </wp:positionH>
                <wp:positionV relativeFrom="paragraph">
                  <wp:posOffset>237783</wp:posOffset>
                </wp:positionV>
                <wp:extent cx="1829435" cy="9525"/>
                <wp:effectExtent l="0" t="0" r="0" b="0"/>
                <wp:wrapTopAndBottom/>
                <wp:docPr id="183" name="Graphic 183"/>
                <wp:cNvGraphicFramePr>
                  <a:graphicFrameLocks/>
                </wp:cNvGraphicFramePr>
                <a:graphic>
                  <a:graphicData uri="http://schemas.microsoft.com/office/word/2010/wordprocessingShape">
                    <wps:wsp>
                      <wps:cNvPr id="183" name="Graphic 183"/>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8.723076pt;width:144.020pt;height:.72003pt;mso-position-horizontal-relative:page;mso-position-vertical-relative:paragraph;z-index:-15699968;mso-wrap-distance-left:0;mso-wrap-distance-right:0" id="docshape165" filled="true" fillcolor="#000000" stroked="false">
                <v:fill type="solid"/>
                <w10:wrap type="topAndBottom"/>
              </v:rect>
            </w:pict>
          </mc:Fallback>
        </mc:AlternateContent>
      </w:r>
    </w:p>
    <w:p>
      <w:pPr>
        <w:spacing w:before="118"/>
        <w:ind w:left="992" w:right="988" w:firstLine="0"/>
        <w:jc w:val="both"/>
        <w:rPr>
          <w:sz w:val="18"/>
        </w:rPr>
      </w:pPr>
      <w:bookmarkStart w:name="_bookmark92" w:id="94"/>
      <w:bookmarkEnd w:id="94"/>
      <w:r>
        <w:rPr/>
      </w:r>
      <w:r>
        <w:rPr>
          <w:position w:val="6"/>
          <w:sz w:val="12"/>
        </w:rPr>
        <w:t>64</w:t>
      </w:r>
      <w:r>
        <w:rPr>
          <w:spacing w:val="18"/>
          <w:position w:val="6"/>
          <w:sz w:val="12"/>
        </w:rPr>
        <w:t> </w:t>
      </w:r>
      <w:r>
        <w:rPr>
          <w:sz w:val="18"/>
        </w:rPr>
        <w:t>En 2024,</w:t>
      </w:r>
      <w:r>
        <w:rPr>
          <w:spacing w:val="-1"/>
          <w:sz w:val="18"/>
        </w:rPr>
        <w:t> </w:t>
      </w:r>
      <w:r>
        <w:rPr>
          <w:sz w:val="18"/>
        </w:rPr>
        <w:t>como consecuencia</w:t>
      </w:r>
      <w:r>
        <w:rPr>
          <w:spacing w:val="-1"/>
          <w:sz w:val="18"/>
        </w:rPr>
        <w:t> </w:t>
      </w:r>
      <w:r>
        <w:rPr>
          <w:sz w:val="18"/>
        </w:rPr>
        <w:t>del ámbito temporal amplio</w:t>
      </w:r>
      <w:r>
        <w:rPr>
          <w:spacing w:val="-1"/>
          <w:sz w:val="18"/>
        </w:rPr>
        <w:t> </w:t>
      </w:r>
      <w:r>
        <w:rPr>
          <w:sz w:val="18"/>
        </w:rPr>
        <w:t>de ejecución del proyecto</w:t>
      </w:r>
      <w:r>
        <w:rPr>
          <w:spacing w:val="-1"/>
          <w:sz w:val="18"/>
        </w:rPr>
        <w:t> </w:t>
      </w:r>
      <w:r>
        <w:rPr>
          <w:sz w:val="18"/>
        </w:rPr>
        <w:t>y de la variación en</w:t>
      </w:r>
      <w:r>
        <w:rPr>
          <w:spacing w:val="-1"/>
          <w:sz w:val="18"/>
        </w:rPr>
        <w:t> </w:t>
      </w:r>
      <w:r>
        <w:rPr>
          <w:sz w:val="18"/>
        </w:rPr>
        <w:t>dicho periodo del precio de los materiales, componentes, etc., los importes comprometidos en cada caso no coincidían exactamente con</w:t>
      </w:r>
      <w:r>
        <w:rPr>
          <w:spacing w:val="-5"/>
          <w:sz w:val="18"/>
        </w:rPr>
        <w:t> </w:t>
      </w:r>
      <w:r>
        <w:rPr>
          <w:sz w:val="18"/>
        </w:rPr>
        <w:t>las</w:t>
      </w:r>
      <w:r>
        <w:rPr>
          <w:spacing w:val="-5"/>
          <w:sz w:val="18"/>
        </w:rPr>
        <w:t> </w:t>
      </w:r>
      <w:r>
        <w:rPr>
          <w:sz w:val="18"/>
        </w:rPr>
        <w:t>previsiones</w:t>
      </w:r>
      <w:r>
        <w:rPr>
          <w:spacing w:val="-5"/>
          <w:sz w:val="18"/>
        </w:rPr>
        <w:t> </w:t>
      </w:r>
      <w:r>
        <w:rPr>
          <w:sz w:val="18"/>
        </w:rPr>
        <w:t>de</w:t>
      </w:r>
      <w:r>
        <w:rPr>
          <w:spacing w:val="-5"/>
          <w:sz w:val="18"/>
        </w:rPr>
        <w:t> </w:t>
      </w:r>
      <w:r>
        <w:rPr>
          <w:sz w:val="18"/>
        </w:rPr>
        <w:t>gastos</w:t>
      </w:r>
      <w:r>
        <w:rPr>
          <w:spacing w:val="-5"/>
          <w:sz w:val="18"/>
        </w:rPr>
        <w:t> </w:t>
      </w:r>
      <w:r>
        <w:rPr>
          <w:sz w:val="18"/>
        </w:rPr>
        <w:t>reflejadas</w:t>
      </w:r>
      <w:r>
        <w:rPr>
          <w:spacing w:val="-5"/>
          <w:sz w:val="18"/>
        </w:rPr>
        <w:t> </w:t>
      </w:r>
      <w:r>
        <w:rPr>
          <w:sz w:val="18"/>
        </w:rPr>
        <w:t>en</w:t>
      </w:r>
      <w:r>
        <w:rPr>
          <w:spacing w:val="-5"/>
          <w:sz w:val="18"/>
        </w:rPr>
        <w:t> </w:t>
      </w:r>
      <w:r>
        <w:rPr>
          <w:sz w:val="18"/>
        </w:rPr>
        <w:t>la</w:t>
      </w:r>
      <w:r>
        <w:rPr>
          <w:spacing w:val="-5"/>
          <w:sz w:val="18"/>
        </w:rPr>
        <w:t> </w:t>
      </w:r>
      <w:r>
        <w:rPr>
          <w:sz w:val="18"/>
        </w:rPr>
        <w:t>adenda</w:t>
      </w:r>
      <w:r>
        <w:rPr>
          <w:spacing w:val="-5"/>
          <w:sz w:val="18"/>
        </w:rPr>
        <w:t> </w:t>
      </w:r>
      <w:r>
        <w:rPr>
          <w:sz w:val="18"/>
        </w:rPr>
        <w:t>al</w:t>
      </w:r>
      <w:r>
        <w:rPr>
          <w:spacing w:val="-8"/>
          <w:sz w:val="18"/>
        </w:rPr>
        <w:t> </w:t>
      </w:r>
      <w:r>
        <w:rPr>
          <w:sz w:val="18"/>
        </w:rPr>
        <w:t>convenio,</w:t>
      </w:r>
      <w:r>
        <w:rPr>
          <w:spacing w:val="-6"/>
          <w:sz w:val="18"/>
        </w:rPr>
        <w:t> </w:t>
      </w:r>
      <w:r>
        <w:rPr>
          <w:sz w:val="18"/>
        </w:rPr>
        <w:t>por</w:t>
      </w:r>
      <w:r>
        <w:rPr>
          <w:spacing w:val="-6"/>
          <w:sz w:val="18"/>
        </w:rPr>
        <w:t> </w:t>
      </w:r>
      <w:r>
        <w:rPr>
          <w:sz w:val="18"/>
        </w:rPr>
        <w:t>lo</w:t>
      </w:r>
      <w:r>
        <w:rPr>
          <w:spacing w:val="-5"/>
          <w:sz w:val="18"/>
        </w:rPr>
        <w:t> </w:t>
      </w:r>
      <w:r>
        <w:rPr>
          <w:sz w:val="18"/>
        </w:rPr>
        <w:t>que</w:t>
      </w:r>
      <w:r>
        <w:rPr>
          <w:spacing w:val="-5"/>
          <w:sz w:val="18"/>
        </w:rPr>
        <w:t> </w:t>
      </w:r>
      <w:r>
        <w:rPr>
          <w:sz w:val="18"/>
        </w:rPr>
        <w:t>agrupación</w:t>
      </w:r>
      <w:r>
        <w:rPr>
          <w:spacing w:val="-8"/>
          <w:sz w:val="18"/>
        </w:rPr>
        <w:t> </w:t>
      </w:r>
      <w:r>
        <w:rPr>
          <w:sz w:val="18"/>
        </w:rPr>
        <w:t>procedió</w:t>
      </w:r>
      <w:r>
        <w:rPr>
          <w:spacing w:val="-5"/>
          <w:sz w:val="18"/>
        </w:rPr>
        <w:t> </w:t>
      </w:r>
      <w:r>
        <w:rPr>
          <w:sz w:val="18"/>
        </w:rPr>
        <w:t>a</w:t>
      </w:r>
      <w:r>
        <w:rPr>
          <w:spacing w:val="-5"/>
          <w:sz w:val="18"/>
        </w:rPr>
        <w:t> </w:t>
      </w:r>
      <w:r>
        <w:rPr>
          <w:sz w:val="18"/>
        </w:rPr>
        <w:t>la</w:t>
      </w:r>
      <w:r>
        <w:rPr>
          <w:spacing w:val="-8"/>
          <w:sz w:val="18"/>
        </w:rPr>
        <w:t> </w:t>
      </w:r>
      <w:r>
        <w:rPr>
          <w:sz w:val="18"/>
        </w:rPr>
        <w:t>suscripción</w:t>
      </w:r>
      <w:r>
        <w:rPr>
          <w:spacing w:val="-5"/>
          <w:sz w:val="18"/>
        </w:rPr>
        <w:t> </w:t>
      </w:r>
      <w:r>
        <w:rPr>
          <w:sz w:val="18"/>
        </w:rPr>
        <w:t>de</w:t>
      </w:r>
      <w:r>
        <w:rPr>
          <w:spacing w:val="-8"/>
          <w:sz w:val="18"/>
        </w:rPr>
        <w:t> </w:t>
      </w:r>
      <w:r>
        <w:rPr>
          <w:sz w:val="18"/>
        </w:rPr>
        <w:t>una modificación de la adenda, en la que se estableció un nuevo reparto de las actuaciones a realizar por los cuatro ayuntamientos y su correspondiente financiación: el coste total del proyecto pasó de 23.285.000,00 euros, sin IVA, a 20.652.749,09</w:t>
      </w:r>
      <w:r>
        <w:rPr>
          <w:spacing w:val="-7"/>
          <w:sz w:val="18"/>
        </w:rPr>
        <w:t> </w:t>
      </w:r>
      <w:r>
        <w:rPr>
          <w:sz w:val="18"/>
        </w:rPr>
        <w:t>euros,</w:t>
      </w:r>
      <w:r>
        <w:rPr>
          <w:spacing w:val="-7"/>
          <w:sz w:val="18"/>
        </w:rPr>
        <w:t> </w:t>
      </w:r>
      <w:r>
        <w:rPr>
          <w:sz w:val="18"/>
        </w:rPr>
        <w:t>sin</w:t>
      </w:r>
      <w:r>
        <w:rPr>
          <w:spacing w:val="-7"/>
          <w:sz w:val="18"/>
        </w:rPr>
        <w:t> </w:t>
      </w:r>
      <w:r>
        <w:rPr>
          <w:sz w:val="18"/>
        </w:rPr>
        <w:t>IVA,</w:t>
      </w:r>
      <w:r>
        <w:rPr>
          <w:spacing w:val="-8"/>
          <w:sz w:val="18"/>
        </w:rPr>
        <w:t> </w:t>
      </w:r>
      <w:r>
        <w:rPr>
          <w:sz w:val="18"/>
        </w:rPr>
        <w:t>correspondiendo</w:t>
      </w:r>
      <w:r>
        <w:rPr>
          <w:spacing w:val="-7"/>
          <w:sz w:val="18"/>
        </w:rPr>
        <w:t> </w:t>
      </w:r>
      <w:r>
        <w:rPr>
          <w:sz w:val="18"/>
        </w:rPr>
        <w:t>ejecutar</w:t>
      </w:r>
      <w:r>
        <w:rPr>
          <w:spacing w:val="-8"/>
          <w:sz w:val="18"/>
        </w:rPr>
        <w:t> </w:t>
      </w:r>
      <w:r>
        <w:rPr>
          <w:sz w:val="18"/>
        </w:rPr>
        <w:t>a</w:t>
      </w:r>
      <w:r>
        <w:rPr>
          <w:spacing w:val="-5"/>
          <w:sz w:val="18"/>
        </w:rPr>
        <w:t> </w:t>
      </w:r>
      <w:r>
        <w:rPr>
          <w:sz w:val="18"/>
        </w:rPr>
        <w:t>los</w:t>
      </w:r>
      <w:r>
        <w:rPr>
          <w:spacing w:val="-1"/>
          <w:sz w:val="18"/>
        </w:rPr>
        <w:t> </w:t>
      </w:r>
      <w:r>
        <w:rPr>
          <w:b/>
          <w:sz w:val="18"/>
        </w:rPr>
        <w:t>Ayuntamientos</w:t>
      </w:r>
      <w:r>
        <w:rPr>
          <w:b/>
          <w:spacing w:val="-5"/>
          <w:sz w:val="18"/>
        </w:rPr>
        <w:t> </w:t>
      </w:r>
      <w:r>
        <w:rPr>
          <w:b/>
          <w:sz w:val="18"/>
        </w:rPr>
        <w:t>de</w:t>
      </w:r>
      <w:r>
        <w:rPr>
          <w:b/>
          <w:spacing w:val="-5"/>
          <w:sz w:val="18"/>
        </w:rPr>
        <w:t> </w:t>
      </w:r>
      <w:r>
        <w:rPr>
          <w:b/>
          <w:sz w:val="18"/>
        </w:rPr>
        <w:t>Las</w:t>
      </w:r>
      <w:r>
        <w:rPr>
          <w:b/>
          <w:spacing w:val="-5"/>
          <w:sz w:val="18"/>
        </w:rPr>
        <w:t> </w:t>
      </w:r>
      <w:r>
        <w:rPr>
          <w:b/>
          <w:sz w:val="18"/>
        </w:rPr>
        <w:t>Palmas</w:t>
      </w:r>
      <w:r>
        <w:rPr>
          <w:b/>
          <w:spacing w:val="-5"/>
          <w:sz w:val="18"/>
        </w:rPr>
        <w:t> </w:t>
      </w:r>
      <w:r>
        <w:rPr>
          <w:b/>
          <w:sz w:val="18"/>
        </w:rPr>
        <w:t>de</w:t>
      </w:r>
      <w:r>
        <w:rPr>
          <w:b/>
          <w:spacing w:val="-5"/>
          <w:sz w:val="18"/>
        </w:rPr>
        <w:t> </w:t>
      </w:r>
      <w:r>
        <w:rPr>
          <w:b/>
          <w:sz w:val="18"/>
        </w:rPr>
        <w:t>Gran</w:t>
      </w:r>
      <w:r>
        <w:rPr>
          <w:b/>
          <w:spacing w:val="-5"/>
          <w:sz w:val="18"/>
        </w:rPr>
        <w:t> </w:t>
      </w:r>
      <w:r>
        <w:rPr>
          <w:b/>
          <w:sz w:val="18"/>
        </w:rPr>
        <w:t>Canaria,</w:t>
      </w:r>
      <w:r>
        <w:rPr>
          <w:b/>
          <w:spacing w:val="-7"/>
          <w:sz w:val="18"/>
        </w:rPr>
        <w:t> </w:t>
      </w:r>
      <w:r>
        <w:rPr>
          <w:b/>
          <w:sz w:val="18"/>
        </w:rPr>
        <w:t>Málaga </w:t>
      </w:r>
      <w:r>
        <w:rPr>
          <w:sz w:val="18"/>
        </w:rPr>
        <w:t>y </w:t>
      </w:r>
      <w:r>
        <w:rPr>
          <w:b/>
          <w:sz w:val="18"/>
        </w:rPr>
        <w:t>Palma </w:t>
      </w:r>
      <w:r>
        <w:rPr>
          <w:sz w:val="18"/>
        </w:rPr>
        <w:t>actuaciones por importe de 5.932.891,39 euros, 5.000.000 euros, y 5.630.373,94 euros, respectivamente, para lo que les correspondía una subvención del 90 % de dichos importes. Esta modificación ha sido aprobada parcialmente por</w:t>
      </w:r>
      <w:r>
        <w:rPr>
          <w:spacing w:val="-7"/>
          <w:sz w:val="18"/>
        </w:rPr>
        <w:t> </w:t>
      </w:r>
      <w:r>
        <w:rPr>
          <w:sz w:val="18"/>
        </w:rPr>
        <w:t>el</w:t>
      </w:r>
      <w:r>
        <w:rPr>
          <w:spacing w:val="-8"/>
          <w:sz w:val="18"/>
        </w:rPr>
        <w:t> </w:t>
      </w:r>
      <w:r>
        <w:rPr>
          <w:sz w:val="18"/>
        </w:rPr>
        <w:t>MITMA</w:t>
      </w:r>
      <w:r>
        <w:rPr>
          <w:spacing w:val="-7"/>
          <w:sz w:val="18"/>
        </w:rPr>
        <w:t> </w:t>
      </w:r>
      <w:r>
        <w:rPr>
          <w:sz w:val="18"/>
        </w:rPr>
        <w:t>el</w:t>
      </w:r>
      <w:r>
        <w:rPr>
          <w:spacing w:val="-9"/>
          <w:sz w:val="18"/>
        </w:rPr>
        <w:t> </w:t>
      </w:r>
      <w:r>
        <w:rPr>
          <w:sz w:val="18"/>
        </w:rPr>
        <w:t>30</w:t>
      </w:r>
      <w:r>
        <w:rPr>
          <w:spacing w:val="-9"/>
          <w:sz w:val="18"/>
        </w:rPr>
        <w:t> </w:t>
      </w:r>
      <w:r>
        <w:rPr>
          <w:sz w:val="18"/>
        </w:rPr>
        <w:t>de</w:t>
      </w:r>
      <w:r>
        <w:rPr>
          <w:spacing w:val="-9"/>
          <w:sz w:val="18"/>
        </w:rPr>
        <w:t> </w:t>
      </w:r>
      <w:r>
        <w:rPr>
          <w:sz w:val="18"/>
        </w:rPr>
        <w:t>mayo</w:t>
      </w:r>
      <w:r>
        <w:rPr>
          <w:spacing w:val="-9"/>
          <w:sz w:val="18"/>
        </w:rPr>
        <w:t> </w:t>
      </w:r>
      <w:r>
        <w:rPr>
          <w:sz w:val="18"/>
        </w:rPr>
        <w:t>de</w:t>
      </w:r>
      <w:r>
        <w:rPr>
          <w:spacing w:val="-6"/>
          <w:sz w:val="18"/>
        </w:rPr>
        <w:t> </w:t>
      </w:r>
      <w:r>
        <w:rPr>
          <w:sz w:val="18"/>
        </w:rPr>
        <w:t>2025,</w:t>
      </w:r>
      <w:r>
        <w:rPr>
          <w:spacing w:val="-9"/>
          <w:sz w:val="18"/>
        </w:rPr>
        <w:t> </w:t>
      </w:r>
      <w:r>
        <w:rPr>
          <w:sz w:val="18"/>
        </w:rPr>
        <w:t>advirtiendo</w:t>
      </w:r>
      <w:r>
        <w:rPr>
          <w:spacing w:val="-6"/>
          <w:sz w:val="18"/>
        </w:rPr>
        <w:t> </w:t>
      </w:r>
      <w:r>
        <w:rPr>
          <w:sz w:val="18"/>
        </w:rPr>
        <w:t>el</w:t>
      </w:r>
      <w:r>
        <w:rPr>
          <w:spacing w:val="-9"/>
          <w:sz w:val="18"/>
        </w:rPr>
        <w:t> </w:t>
      </w:r>
      <w:r>
        <w:rPr>
          <w:sz w:val="18"/>
        </w:rPr>
        <w:t>Ministerio</w:t>
      </w:r>
      <w:r>
        <w:rPr>
          <w:spacing w:val="-6"/>
          <w:sz w:val="18"/>
        </w:rPr>
        <w:t> </w:t>
      </w:r>
      <w:r>
        <w:rPr>
          <w:sz w:val="18"/>
        </w:rPr>
        <w:t>que</w:t>
      </w:r>
      <w:r>
        <w:rPr>
          <w:spacing w:val="-9"/>
          <w:sz w:val="18"/>
        </w:rPr>
        <w:t> </w:t>
      </w:r>
      <w:r>
        <w:rPr>
          <w:sz w:val="18"/>
        </w:rPr>
        <w:t>la</w:t>
      </w:r>
      <w:r>
        <w:rPr>
          <w:spacing w:val="-6"/>
          <w:sz w:val="18"/>
        </w:rPr>
        <w:t> </w:t>
      </w:r>
      <w:r>
        <w:rPr>
          <w:sz w:val="18"/>
        </w:rPr>
        <w:t>redistribución</w:t>
      </w:r>
      <w:r>
        <w:rPr>
          <w:spacing w:val="-9"/>
          <w:sz w:val="18"/>
        </w:rPr>
        <w:t> </w:t>
      </w:r>
      <w:r>
        <w:rPr>
          <w:sz w:val="18"/>
        </w:rPr>
        <w:t>de</w:t>
      </w:r>
      <w:r>
        <w:rPr>
          <w:spacing w:val="-9"/>
          <w:sz w:val="18"/>
        </w:rPr>
        <w:t> </w:t>
      </w:r>
      <w:r>
        <w:rPr>
          <w:sz w:val="18"/>
        </w:rPr>
        <w:t>presupuestos</w:t>
      </w:r>
      <w:r>
        <w:rPr>
          <w:spacing w:val="-6"/>
          <w:sz w:val="18"/>
        </w:rPr>
        <w:t> </w:t>
      </w:r>
      <w:r>
        <w:rPr>
          <w:sz w:val="18"/>
        </w:rPr>
        <w:t>entre</w:t>
      </w:r>
      <w:r>
        <w:rPr>
          <w:spacing w:val="-8"/>
          <w:sz w:val="18"/>
        </w:rPr>
        <w:t> </w:t>
      </w:r>
      <w:r>
        <w:rPr>
          <w:sz w:val="18"/>
        </w:rPr>
        <w:t>las</w:t>
      </w:r>
      <w:r>
        <w:rPr>
          <w:spacing w:val="-8"/>
          <w:sz w:val="18"/>
        </w:rPr>
        <w:t> </w:t>
      </w:r>
      <w:r>
        <w:rPr>
          <w:sz w:val="18"/>
        </w:rPr>
        <w:t>actuaciones del expediente no es objeto de modificación y, por tanto, no se realiza su análisis, puesto que la ayuda concedida es líquida</w:t>
      </w:r>
      <w:r>
        <w:rPr>
          <w:spacing w:val="-3"/>
          <w:sz w:val="18"/>
        </w:rPr>
        <w:t> </w:t>
      </w:r>
      <w:r>
        <w:rPr>
          <w:sz w:val="18"/>
        </w:rPr>
        <w:t>dentro</w:t>
      </w:r>
      <w:r>
        <w:rPr>
          <w:spacing w:val="-3"/>
          <w:sz w:val="18"/>
        </w:rPr>
        <w:t> </w:t>
      </w:r>
      <w:r>
        <w:rPr>
          <w:sz w:val="18"/>
        </w:rPr>
        <w:t>de</w:t>
      </w:r>
      <w:r>
        <w:rPr>
          <w:spacing w:val="-5"/>
          <w:sz w:val="18"/>
        </w:rPr>
        <w:t> </w:t>
      </w:r>
      <w:r>
        <w:rPr>
          <w:sz w:val="18"/>
        </w:rPr>
        <w:t>la</w:t>
      </w:r>
      <w:r>
        <w:rPr>
          <w:spacing w:val="-3"/>
          <w:sz w:val="18"/>
        </w:rPr>
        <w:t> </w:t>
      </w:r>
      <w:r>
        <w:rPr>
          <w:sz w:val="18"/>
        </w:rPr>
        <w:t>solicitud, y</w:t>
      </w:r>
      <w:r>
        <w:rPr>
          <w:spacing w:val="-5"/>
          <w:sz w:val="18"/>
        </w:rPr>
        <w:t> </w:t>
      </w:r>
      <w:r>
        <w:rPr>
          <w:sz w:val="18"/>
        </w:rPr>
        <w:t>puede</w:t>
      </w:r>
      <w:r>
        <w:rPr>
          <w:spacing w:val="-3"/>
          <w:sz w:val="18"/>
        </w:rPr>
        <w:t> </w:t>
      </w:r>
      <w:r>
        <w:rPr>
          <w:sz w:val="18"/>
        </w:rPr>
        <w:t>ajustarse</w:t>
      </w:r>
      <w:r>
        <w:rPr>
          <w:spacing w:val="-3"/>
          <w:sz w:val="18"/>
        </w:rPr>
        <w:t> </w:t>
      </w:r>
      <w:r>
        <w:rPr>
          <w:sz w:val="18"/>
        </w:rPr>
        <w:t>entre</w:t>
      </w:r>
      <w:r>
        <w:rPr>
          <w:spacing w:val="-3"/>
          <w:sz w:val="18"/>
        </w:rPr>
        <w:t> </w:t>
      </w:r>
      <w:r>
        <w:rPr>
          <w:sz w:val="18"/>
        </w:rPr>
        <w:t>las</w:t>
      </w:r>
      <w:r>
        <w:rPr>
          <w:spacing w:val="-5"/>
          <w:sz w:val="18"/>
        </w:rPr>
        <w:t> </w:t>
      </w:r>
      <w:r>
        <w:rPr>
          <w:sz w:val="18"/>
        </w:rPr>
        <w:t>actuaciones</w:t>
      </w:r>
      <w:r>
        <w:rPr>
          <w:spacing w:val="-5"/>
          <w:sz w:val="18"/>
        </w:rPr>
        <w:t> </w:t>
      </w:r>
      <w:r>
        <w:rPr>
          <w:sz w:val="18"/>
        </w:rPr>
        <w:t>para</w:t>
      </w:r>
      <w:r>
        <w:rPr>
          <w:spacing w:val="-3"/>
          <w:sz w:val="18"/>
        </w:rPr>
        <w:t> </w:t>
      </w:r>
      <w:r>
        <w:rPr>
          <w:sz w:val="18"/>
        </w:rPr>
        <w:t>su</w:t>
      </w:r>
      <w:r>
        <w:rPr>
          <w:spacing w:val="-3"/>
          <w:sz w:val="18"/>
        </w:rPr>
        <w:t> </w:t>
      </w:r>
      <w:r>
        <w:rPr>
          <w:sz w:val="18"/>
        </w:rPr>
        <w:t>mejor</w:t>
      </w:r>
      <w:r>
        <w:rPr>
          <w:spacing w:val="-3"/>
          <w:sz w:val="18"/>
        </w:rPr>
        <w:t> </w:t>
      </w:r>
      <w:r>
        <w:rPr>
          <w:sz w:val="18"/>
        </w:rPr>
        <w:t>aprovechamiento,</w:t>
      </w:r>
      <w:r>
        <w:rPr>
          <w:spacing w:val="-3"/>
          <w:sz w:val="18"/>
        </w:rPr>
        <w:t> </w:t>
      </w:r>
      <w:r>
        <w:rPr>
          <w:sz w:val="18"/>
        </w:rPr>
        <w:t>siempre</w:t>
      </w:r>
      <w:r>
        <w:rPr>
          <w:spacing w:val="-3"/>
          <w:sz w:val="18"/>
        </w:rPr>
        <w:t> </w:t>
      </w:r>
      <w:r>
        <w:rPr>
          <w:sz w:val="18"/>
        </w:rPr>
        <w:t>que</w:t>
      </w:r>
      <w:r>
        <w:rPr>
          <w:spacing w:val="-3"/>
          <w:sz w:val="18"/>
        </w:rPr>
        <w:t> </w:t>
      </w:r>
      <w:r>
        <w:rPr>
          <w:sz w:val="18"/>
        </w:rPr>
        <w:t>no</w:t>
      </w:r>
      <w:r>
        <w:rPr>
          <w:spacing w:val="-3"/>
          <w:sz w:val="18"/>
        </w:rPr>
        <w:t> </w:t>
      </w:r>
      <w:r>
        <w:rPr>
          <w:sz w:val="18"/>
        </w:rPr>
        <w:t>se cambien las actuaciones propuestas para la concesión y siempre hasta cubrir como máximo el 90 % de los costes </w:t>
      </w:r>
      <w:r>
        <w:rPr>
          <w:spacing w:val="-2"/>
          <w:sz w:val="18"/>
        </w:rPr>
        <w:t>subvencionables.</w:t>
      </w:r>
    </w:p>
    <w:p>
      <w:pPr>
        <w:spacing w:before="60"/>
        <w:ind w:left="992" w:right="989" w:firstLine="0"/>
        <w:jc w:val="both"/>
        <w:rPr>
          <w:sz w:val="18"/>
        </w:rPr>
      </w:pPr>
      <w:r>
        <w:rPr>
          <w:sz w:val="18"/>
        </w:rPr>
        <w:t>El Ministerio únicamente desestima las alegaciones presentadas para la reducción de la subactuación “instalación de paneles</w:t>
      </w:r>
      <w:r>
        <w:rPr>
          <w:spacing w:val="-7"/>
          <w:sz w:val="18"/>
        </w:rPr>
        <w:t> </w:t>
      </w:r>
      <w:r>
        <w:rPr>
          <w:sz w:val="18"/>
        </w:rPr>
        <w:t>y</w:t>
      </w:r>
      <w:r>
        <w:rPr>
          <w:spacing w:val="-7"/>
          <w:sz w:val="18"/>
        </w:rPr>
        <w:t> </w:t>
      </w:r>
      <w:r>
        <w:rPr>
          <w:sz w:val="18"/>
        </w:rPr>
        <w:t>equipos</w:t>
      </w:r>
      <w:r>
        <w:rPr>
          <w:spacing w:val="-4"/>
          <w:sz w:val="18"/>
        </w:rPr>
        <w:t> </w:t>
      </w:r>
      <w:r>
        <w:rPr>
          <w:sz w:val="18"/>
        </w:rPr>
        <w:t>para</w:t>
      </w:r>
      <w:r>
        <w:rPr>
          <w:spacing w:val="-7"/>
          <w:sz w:val="18"/>
        </w:rPr>
        <w:t> </w:t>
      </w:r>
      <w:r>
        <w:rPr>
          <w:sz w:val="18"/>
        </w:rPr>
        <w:t>convertir</w:t>
      </w:r>
      <w:r>
        <w:rPr>
          <w:spacing w:val="-5"/>
          <w:sz w:val="18"/>
        </w:rPr>
        <w:t> </w:t>
      </w:r>
      <w:r>
        <w:rPr>
          <w:sz w:val="18"/>
        </w:rPr>
        <w:t>las</w:t>
      </w:r>
      <w:r>
        <w:rPr>
          <w:spacing w:val="-7"/>
          <w:sz w:val="18"/>
        </w:rPr>
        <w:t> </w:t>
      </w:r>
      <w:r>
        <w:rPr>
          <w:sz w:val="18"/>
        </w:rPr>
        <w:t>actuales</w:t>
      </w:r>
      <w:r>
        <w:rPr>
          <w:spacing w:val="-7"/>
          <w:sz w:val="18"/>
        </w:rPr>
        <w:t> </w:t>
      </w:r>
      <w:r>
        <w:rPr>
          <w:sz w:val="18"/>
        </w:rPr>
        <w:t>marquesinas</w:t>
      </w:r>
      <w:r>
        <w:rPr>
          <w:spacing w:val="-7"/>
          <w:sz w:val="18"/>
        </w:rPr>
        <w:t> </w:t>
      </w:r>
      <w:r>
        <w:rPr>
          <w:sz w:val="18"/>
        </w:rPr>
        <w:t>en</w:t>
      </w:r>
      <w:r>
        <w:rPr>
          <w:spacing w:val="-5"/>
          <w:sz w:val="18"/>
        </w:rPr>
        <w:t> </w:t>
      </w:r>
      <w:r>
        <w:rPr>
          <w:sz w:val="18"/>
        </w:rPr>
        <w:t>inteligentes”</w:t>
      </w:r>
      <w:r>
        <w:rPr>
          <w:spacing w:val="-8"/>
          <w:sz w:val="18"/>
        </w:rPr>
        <w:t> </w:t>
      </w:r>
      <w:r>
        <w:rPr>
          <w:sz w:val="18"/>
        </w:rPr>
        <w:t>del </w:t>
      </w:r>
      <w:r>
        <w:rPr>
          <w:b/>
          <w:sz w:val="18"/>
        </w:rPr>
        <w:t>Ayuntamiento</w:t>
      </w:r>
      <w:r>
        <w:rPr>
          <w:b/>
          <w:spacing w:val="-5"/>
          <w:sz w:val="18"/>
        </w:rPr>
        <w:t> </w:t>
      </w:r>
      <w:r>
        <w:rPr>
          <w:b/>
          <w:sz w:val="18"/>
        </w:rPr>
        <w:t>de</w:t>
      </w:r>
      <w:r>
        <w:rPr>
          <w:b/>
          <w:spacing w:val="-7"/>
          <w:sz w:val="18"/>
        </w:rPr>
        <w:t> </w:t>
      </w:r>
      <w:r>
        <w:rPr>
          <w:b/>
          <w:sz w:val="18"/>
        </w:rPr>
        <w:t>Málaga</w:t>
      </w:r>
      <w:r>
        <w:rPr>
          <w:b/>
          <w:spacing w:val="-5"/>
          <w:sz w:val="18"/>
        </w:rPr>
        <w:t> </w:t>
      </w:r>
      <w:r>
        <w:rPr>
          <w:sz w:val="18"/>
        </w:rPr>
        <w:t>en</w:t>
      </w:r>
      <w:r>
        <w:rPr>
          <w:spacing w:val="-7"/>
          <w:sz w:val="18"/>
        </w:rPr>
        <w:t> </w:t>
      </w:r>
      <w:r>
        <w:rPr>
          <w:sz w:val="18"/>
        </w:rPr>
        <w:t>relación</w:t>
      </w:r>
      <w:r>
        <w:rPr>
          <w:spacing w:val="-7"/>
          <w:sz w:val="18"/>
        </w:rPr>
        <w:t> </w:t>
      </w:r>
      <w:r>
        <w:rPr>
          <w:sz w:val="18"/>
        </w:rPr>
        <w:t>con la actuación 4 Paradas</w:t>
      </w:r>
      <w:r>
        <w:rPr>
          <w:spacing w:val="-1"/>
          <w:sz w:val="18"/>
        </w:rPr>
        <w:t> </w:t>
      </w:r>
      <w:r>
        <w:rPr>
          <w:sz w:val="18"/>
        </w:rPr>
        <w:t>y Marquesinas</w:t>
      </w:r>
      <w:r>
        <w:rPr>
          <w:spacing w:val="-1"/>
          <w:sz w:val="18"/>
        </w:rPr>
        <w:t> </w:t>
      </w:r>
      <w:r>
        <w:rPr>
          <w:sz w:val="18"/>
        </w:rPr>
        <w:t>Inteligentes, al entender que las</w:t>
      </w:r>
      <w:r>
        <w:rPr>
          <w:spacing w:val="-1"/>
          <w:sz w:val="18"/>
        </w:rPr>
        <w:t> </w:t>
      </w:r>
      <w:r>
        <w:rPr>
          <w:sz w:val="18"/>
        </w:rPr>
        <w:t>alegaciones presentadas no aportan información adicional para la modificación de las conclusiones de la resolución provisional.</w:t>
      </w:r>
    </w:p>
    <w:p>
      <w:pPr>
        <w:spacing w:before="56"/>
        <w:ind w:left="992" w:right="1003" w:firstLine="0"/>
        <w:jc w:val="both"/>
        <w:rPr>
          <w:rFonts w:ascii="Calibri" w:hAnsi="Calibri"/>
          <w:sz w:val="20"/>
        </w:rPr>
      </w:pPr>
      <w:bookmarkStart w:name="_bookmark93" w:id="95"/>
      <w:bookmarkEnd w:id="95"/>
      <w:r>
        <w:rPr/>
      </w:r>
      <w:r>
        <w:rPr>
          <w:position w:val="6"/>
          <w:sz w:val="12"/>
        </w:rPr>
        <w:t>65</w:t>
      </w:r>
      <w:r>
        <w:rPr>
          <w:spacing w:val="19"/>
          <w:position w:val="6"/>
          <w:sz w:val="12"/>
        </w:rPr>
        <w:t> </w:t>
      </w:r>
      <w:r>
        <w:rPr>
          <w:sz w:val="18"/>
        </w:rPr>
        <w:t>La modificación se realiza al amparo del artículo 205.2 de la LCSP, sobre modificaciones no previstas en el pliego de cláusulas administrativas particulares</w:t>
      </w:r>
      <w:r>
        <w:rPr>
          <w:rFonts w:ascii="Calibri" w:hAnsi="Calibri"/>
          <w:sz w:val="20"/>
        </w:rPr>
        <w:t>.</w:t>
      </w:r>
    </w:p>
    <w:p>
      <w:pPr>
        <w:spacing w:after="0"/>
        <w:jc w:val="both"/>
        <w:rPr>
          <w:rFonts w:ascii="Calibri" w:hAnsi="Calibri"/>
          <w:sz w:val="20"/>
        </w:rPr>
        <w:sectPr>
          <w:pgSz w:w="11910" w:h="16840"/>
          <w:pgMar w:header="1227" w:footer="839" w:top="1420" w:bottom="1040" w:left="141" w:right="141"/>
        </w:sectPr>
      </w:pPr>
    </w:p>
    <w:p>
      <w:pPr>
        <w:pStyle w:val="BodyText"/>
        <w:rPr>
          <w:rFonts w:ascii="Calibri"/>
        </w:rPr>
      </w:pPr>
    </w:p>
    <w:p>
      <w:pPr>
        <w:pStyle w:val="BodyText"/>
        <w:rPr>
          <w:rFonts w:ascii="Calibri"/>
        </w:rPr>
      </w:pPr>
    </w:p>
    <w:p>
      <w:pPr>
        <w:pStyle w:val="BodyText"/>
        <w:rPr>
          <w:rFonts w:ascii="Calibri"/>
        </w:rPr>
      </w:pPr>
    </w:p>
    <w:p>
      <w:pPr>
        <w:pStyle w:val="BodyText"/>
        <w:spacing w:before="50"/>
        <w:rPr>
          <w:rFonts w:ascii="Calibri"/>
        </w:rPr>
      </w:pPr>
    </w:p>
    <w:p>
      <w:pPr>
        <w:pStyle w:val="BodyText"/>
        <w:ind w:left="992" w:right="987"/>
        <w:jc w:val="both"/>
      </w:pPr>
      <w:r>
        <w:rPr/>
        <w:t>meses, formalizado en diciembre de 2022, y cuya acta de recepción no se ha firmado hasta septiembre de 2024.</w:t>
      </w:r>
    </w:p>
    <w:p>
      <w:pPr>
        <w:pStyle w:val="BodyText"/>
        <w:spacing w:before="240"/>
        <w:ind w:left="992" w:right="986"/>
        <w:jc w:val="both"/>
      </w:pPr>
      <w:r>
        <w:rPr/>
        <w:t>El proyecto del </w:t>
      </w:r>
      <w:r>
        <w:rPr>
          <w:b/>
        </w:rPr>
        <w:t>Ayuntamiento de Málaga</w:t>
      </w:r>
      <w:r>
        <w:rPr/>
        <w:t>, con un coste elegible de 5.000.000,00 euros, comprendía la ejecución de ocho actuaciones </w:t>
      </w:r>
      <w:r>
        <w:rPr>
          <w:rFonts w:ascii="Symbol" w:hAnsi="Symbol"/>
        </w:rPr>
        <w:t></w:t>
      </w:r>
      <w:r>
        <w:rPr/>
        <w:t>1</w:t>
      </w:r>
      <w:r>
        <w:rPr>
          <w:spacing w:val="-1"/>
        </w:rPr>
        <w:t> </w:t>
      </w:r>
      <w:r>
        <w:rPr/>
        <w:t>a 6, 8 y 10 de las relacionadas en el cuadro 10</w:t>
      </w:r>
      <w:r>
        <w:rPr>
          <w:rFonts w:ascii="Symbol" w:hAnsi="Symbol"/>
        </w:rPr>
        <w:t></w:t>
      </w:r>
      <w:r>
        <w:rPr/>
        <w:t>, siete de ellas comprendidas en el ámbito objetivo de la fiscalización. Una, la de desarrollo de implementación</w:t>
      </w:r>
      <w:r>
        <w:rPr>
          <w:spacing w:val="-12"/>
        </w:rPr>
        <w:t> </w:t>
      </w:r>
      <w:r>
        <w:rPr/>
        <w:t>de</w:t>
      </w:r>
      <w:r>
        <w:rPr>
          <w:spacing w:val="-9"/>
        </w:rPr>
        <w:t> </w:t>
      </w:r>
      <w:r>
        <w:rPr/>
        <w:t>software</w:t>
      </w:r>
      <w:r>
        <w:rPr>
          <w:spacing w:val="-8"/>
        </w:rPr>
        <w:t> </w:t>
      </w:r>
      <w:r>
        <w:rPr/>
        <w:t>de</w:t>
      </w:r>
      <w:r>
        <w:rPr>
          <w:spacing w:val="-12"/>
        </w:rPr>
        <w:t> </w:t>
      </w:r>
      <w:r>
        <w:rPr/>
        <w:t>visionado</w:t>
      </w:r>
      <w:r>
        <w:rPr>
          <w:spacing w:val="-9"/>
        </w:rPr>
        <w:t> </w:t>
      </w:r>
      <w:r>
        <w:rPr/>
        <w:t>y</w:t>
      </w:r>
      <w:r>
        <w:rPr>
          <w:spacing w:val="-11"/>
        </w:rPr>
        <w:t> </w:t>
      </w:r>
      <w:r>
        <w:rPr/>
        <w:t>tratamiento</w:t>
      </w:r>
      <w:r>
        <w:rPr>
          <w:spacing w:val="-9"/>
        </w:rPr>
        <w:t> </w:t>
      </w:r>
      <w:r>
        <w:rPr/>
        <w:t>inteligente</w:t>
      </w:r>
      <w:r>
        <w:rPr>
          <w:spacing w:val="-11"/>
        </w:rPr>
        <w:t> </w:t>
      </w:r>
      <w:r>
        <w:rPr/>
        <w:t>de</w:t>
      </w:r>
      <w:r>
        <w:rPr>
          <w:spacing w:val="-9"/>
        </w:rPr>
        <w:t> </w:t>
      </w:r>
      <w:r>
        <w:rPr/>
        <w:t>imágenes,</w:t>
      </w:r>
      <w:r>
        <w:rPr>
          <w:spacing w:val="-8"/>
        </w:rPr>
        <w:t> </w:t>
      </w:r>
      <w:r>
        <w:rPr/>
        <w:t>no</w:t>
      </w:r>
      <w:r>
        <w:rPr>
          <w:spacing w:val="-12"/>
        </w:rPr>
        <w:t> </w:t>
      </w:r>
      <w:r>
        <w:rPr/>
        <w:t>se</w:t>
      </w:r>
      <w:r>
        <w:rPr>
          <w:spacing w:val="-11"/>
        </w:rPr>
        <w:t> </w:t>
      </w:r>
      <w:r>
        <w:rPr/>
        <w:t>ha</w:t>
      </w:r>
      <w:r>
        <w:rPr>
          <w:spacing w:val="-12"/>
        </w:rPr>
        <w:t> </w:t>
      </w:r>
      <w:r>
        <w:rPr/>
        <w:t>ejecutado por la entidad.</w:t>
      </w:r>
    </w:p>
    <w:p>
      <w:pPr>
        <w:pStyle w:val="BodyText"/>
        <w:spacing w:before="240"/>
        <w:ind w:left="992" w:right="986"/>
        <w:jc w:val="both"/>
      </w:pPr>
      <w:r>
        <w:rPr/>
        <w:t>Para la ejecución de estas actuaciones la empresa municipal de transportes adjudicó 29 contratos con</w:t>
      </w:r>
      <w:r>
        <w:rPr>
          <w:spacing w:val="-2"/>
        </w:rPr>
        <w:t> </w:t>
      </w:r>
      <w:r>
        <w:rPr/>
        <w:t>vigencia</w:t>
      </w:r>
      <w:r>
        <w:rPr>
          <w:spacing w:val="-2"/>
        </w:rPr>
        <w:t> </w:t>
      </w:r>
      <w:r>
        <w:rPr/>
        <w:t>en</w:t>
      </w:r>
      <w:r>
        <w:rPr>
          <w:spacing w:val="-2"/>
        </w:rPr>
        <w:t> </w:t>
      </w:r>
      <w:r>
        <w:rPr/>
        <w:t>el</w:t>
      </w:r>
      <w:r>
        <w:rPr>
          <w:spacing w:val="-5"/>
        </w:rPr>
        <w:t> </w:t>
      </w:r>
      <w:r>
        <w:rPr/>
        <w:t>periodo</w:t>
      </w:r>
      <w:r>
        <w:rPr>
          <w:spacing w:val="-2"/>
        </w:rPr>
        <w:t> </w:t>
      </w:r>
      <w:r>
        <w:rPr/>
        <w:t>fiscalizado,</w:t>
      </w:r>
      <w:r>
        <w:rPr>
          <w:spacing w:val="-3"/>
        </w:rPr>
        <w:t> </w:t>
      </w:r>
      <w:r>
        <w:rPr/>
        <w:t>por</w:t>
      </w:r>
      <w:r>
        <w:rPr>
          <w:spacing w:val="-3"/>
        </w:rPr>
        <w:t> </w:t>
      </w:r>
      <w:r>
        <w:rPr/>
        <w:t>un</w:t>
      </w:r>
      <w:r>
        <w:rPr>
          <w:spacing w:val="-2"/>
        </w:rPr>
        <w:t> </w:t>
      </w:r>
      <w:r>
        <w:rPr/>
        <w:t>importe</w:t>
      </w:r>
      <w:r>
        <w:rPr>
          <w:spacing w:val="-4"/>
        </w:rPr>
        <w:t> </w:t>
      </w:r>
      <w:r>
        <w:rPr/>
        <w:t>total</w:t>
      </w:r>
      <w:r>
        <w:rPr>
          <w:spacing w:val="-3"/>
        </w:rPr>
        <w:t> </w:t>
      </w:r>
      <w:r>
        <w:rPr/>
        <w:t>de 4.910.624,85</w:t>
      </w:r>
      <w:r>
        <w:rPr>
          <w:spacing w:val="-1"/>
        </w:rPr>
        <w:t> </w:t>
      </w:r>
      <w:r>
        <w:rPr/>
        <w:t>euros,</w:t>
      </w:r>
      <w:r>
        <w:rPr>
          <w:spacing w:val="-3"/>
        </w:rPr>
        <w:t> </w:t>
      </w:r>
      <w:r>
        <w:rPr/>
        <w:t>IVA</w:t>
      </w:r>
      <w:r>
        <w:rPr>
          <w:spacing w:val="-2"/>
        </w:rPr>
        <w:t> </w:t>
      </w:r>
      <w:r>
        <w:rPr/>
        <w:t>excluido,</w:t>
      </w:r>
      <w:r>
        <w:rPr>
          <w:spacing w:val="-3"/>
        </w:rPr>
        <w:t> </w:t>
      </w:r>
      <w:r>
        <w:rPr/>
        <w:t>de los que se ha analizado una muestra de cuatro.</w:t>
      </w:r>
    </w:p>
    <w:p>
      <w:pPr>
        <w:pStyle w:val="BodyText"/>
        <w:spacing w:before="240"/>
        <w:ind w:left="992" w:right="987"/>
        <w:jc w:val="both"/>
      </w:pPr>
      <w:r>
        <w:rPr/>
        <w:t>Uno</w:t>
      </w:r>
      <w:r>
        <w:rPr>
          <w:spacing w:val="-9"/>
        </w:rPr>
        <w:t> </w:t>
      </w:r>
      <w:r>
        <w:rPr/>
        <w:t>de</w:t>
      </w:r>
      <w:r>
        <w:rPr>
          <w:spacing w:val="-9"/>
        </w:rPr>
        <w:t> </w:t>
      </w:r>
      <w:r>
        <w:rPr/>
        <w:t>ellos,</w:t>
      </w:r>
      <w:r>
        <w:rPr>
          <w:spacing w:val="-10"/>
        </w:rPr>
        <w:t> </w:t>
      </w:r>
      <w:r>
        <w:rPr/>
        <w:t>el</w:t>
      </w:r>
      <w:r>
        <w:rPr>
          <w:spacing w:val="-10"/>
        </w:rPr>
        <w:t> </w:t>
      </w:r>
      <w:r>
        <w:rPr/>
        <w:t>de</w:t>
      </w:r>
      <w:r>
        <w:rPr>
          <w:spacing w:val="-12"/>
        </w:rPr>
        <w:t> </w:t>
      </w:r>
      <w:r>
        <w:rPr/>
        <w:t>suministro</w:t>
      </w:r>
      <w:r>
        <w:rPr>
          <w:spacing w:val="-9"/>
        </w:rPr>
        <w:t> </w:t>
      </w:r>
      <w:r>
        <w:rPr/>
        <w:t>del</w:t>
      </w:r>
      <w:r>
        <w:rPr>
          <w:spacing w:val="-10"/>
        </w:rPr>
        <w:t> </w:t>
      </w:r>
      <w:r>
        <w:rPr/>
        <w:t>sistema</w:t>
      </w:r>
      <w:r>
        <w:rPr>
          <w:spacing w:val="-11"/>
        </w:rPr>
        <w:t> </w:t>
      </w:r>
      <w:r>
        <w:rPr/>
        <w:t>de</w:t>
      </w:r>
      <w:r>
        <w:rPr>
          <w:spacing w:val="-9"/>
        </w:rPr>
        <w:t> </w:t>
      </w:r>
      <w:r>
        <w:rPr>
          <w:i/>
        </w:rPr>
        <w:t>ticketing</w:t>
      </w:r>
      <w:r>
        <w:rPr/>
        <w:t>,</w:t>
      </w:r>
      <w:r>
        <w:rPr>
          <w:spacing w:val="-7"/>
        </w:rPr>
        <w:t> </w:t>
      </w:r>
      <w:r>
        <w:rPr/>
        <w:t>monética</w:t>
      </w:r>
      <w:r>
        <w:rPr>
          <w:spacing w:val="-12"/>
        </w:rPr>
        <w:t> </w:t>
      </w:r>
      <w:r>
        <w:rPr/>
        <w:t>y</w:t>
      </w:r>
      <w:r>
        <w:rPr>
          <w:spacing w:val="-8"/>
        </w:rPr>
        <w:t> </w:t>
      </w:r>
      <w:r>
        <w:rPr/>
        <w:t>SAE,</w:t>
      </w:r>
      <w:r>
        <w:rPr>
          <w:spacing w:val="-12"/>
        </w:rPr>
        <w:t> </w:t>
      </w:r>
      <w:r>
        <w:rPr/>
        <w:t>fue</w:t>
      </w:r>
      <w:r>
        <w:rPr>
          <w:spacing w:val="-12"/>
        </w:rPr>
        <w:t> </w:t>
      </w:r>
      <w:r>
        <w:rPr/>
        <w:t>modificado</w:t>
      </w:r>
      <w:r>
        <w:rPr>
          <w:spacing w:val="-9"/>
        </w:rPr>
        <w:t> </w:t>
      </w:r>
      <w:r>
        <w:rPr/>
        <w:t>para</w:t>
      </w:r>
      <w:r>
        <w:rPr>
          <w:spacing w:val="-9"/>
        </w:rPr>
        <w:t> </w:t>
      </w:r>
      <w:r>
        <w:rPr/>
        <w:t>ampliar los terminales relacionados con el sistema tarifario, medios de pago y eliminación del pago en efectivo. La modificación, por importe de 683.839,50 euros, IVA excluido, se fundamentó en circunstancias sobrevenidas e imprevisibles en el momento de licitar el contrato, indicando como tales</w:t>
      </w:r>
      <w:r>
        <w:rPr>
          <w:spacing w:val="-12"/>
        </w:rPr>
        <w:t> </w:t>
      </w:r>
      <w:r>
        <w:rPr/>
        <w:t>la</w:t>
      </w:r>
      <w:r>
        <w:rPr>
          <w:spacing w:val="-14"/>
        </w:rPr>
        <w:t> </w:t>
      </w:r>
      <w:r>
        <w:rPr/>
        <w:t>aprobación</w:t>
      </w:r>
      <w:r>
        <w:rPr>
          <w:spacing w:val="-15"/>
        </w:rPr>
        <w:t> </w:t>
      </w:r>
      <w:r>
        <w:rPr/>
        <w:t>del</w:t>
      </w:r>
      <w:r>
        <w:rPr>
          <w:spacing w:val="-12"/>
        </w:rPr>
        <w:t> </w:t>
      </w:r>
      <w:r>
        <w:rPr/>
        <w:t>PRTR.</w:t>
      </w:r>
      <w:r>
        <w:rPr>
          <w:spacing w:val="-11"/>
        </w:rPr>
        <w:t> </w:t>
      </w:r>
      <w:r>
        <w:rPr/>
        <w:t>Sin</w:t>
      </w:r>
      <w:r>
        <w:rPr>
          <w:spacing w:val="-12"/>
        </w:rPr>
        <w:t> </w:t>
      </w:r>
      <w:r>
        <w:rPr/>
        <w:t>embargo,</w:t>
      </w:r>
      <w:r>
        <w:rPr>
          <w:spacing w:val="-13"/>
        </w:rPr>
        <w:t> </w:t>
      </w:r>
      <w:r>
        <w:rPr/>
        <w:t>no</w:t>
      </w:r>
      <w:r>
        <w:rPr>
          <w:spacing w:val="-14"/>
        </w:rPr>
        <w:t> </w:t>
      </w:r>
      <w:r>
        <w:rPr/>
        <w:t>se</w:t>
      </w:r>
      <w:r>
        <w:rPr>
          <w:spacing w:val="-15"/>
        </w:rPr>
        <w:t> </w:t>
      </w:r>
      <w:r>
        <w:rPr/>
        <w:t>estima</w:t>
      </w:r>
      <w:r>
        <w:rPr>
          <w:spacing w:val="-14"/>
        </w:rPr>
        <w:t> </w:t>
      </w:r>
      <w:r>
        <w:rPr/>
        <w:t>que</w:t>
      </w:r>
      <w:r>
        <w:rPr>
          <w:spacing w:val="-12"/>
        </w:rPr>
        <w:t> </w:t>
      </w:r>
      <w:r>
        <w:rPr/>
        <w:t>estuvieran</w:t>
      </w:r>
      <w:r>
        <w:rPr>
          <w:spacing w:val="-14"/>
        </w:rPr>
        <w:t> </w:t>
      </w:r>
      <w:r>
        <w:rPr/>
        <w:t>suficientemente</w:t>
      </w:r>
      <w:r>
        <w:rPr>
          <w:spacing w:val="-12"/>
        </w:rPr>
        <w:t> </w:t>
      </w:r>
      <w:r>
        <w:rPr/>
        <w:t>motivadas las razones que hicieron necesario ampliar el número de terminarles adjudicados inicialmente, sin que pueda servir como tales la existencia de una línea de subvenciones ni la finalidad que se pretende conseguir con la modificación </w:t>
      </w:r>
      <w:r>
        <w:rPr>
          <w:rFonts w:ascii="Symbol" w:hAnsi="Symbol"/>
        </w:rPr>
        <w:t></w:t>
      </w:r>
      <w:r>
        <w:rPr/>
        <w:t>impulsar la digitalización de la actividad de los servicios públicos de transporte que redunde en una mayor eficiencia del sistema, mejor accesibilidad y ventajas</w:t>
      </w:r>
      <w:r>
        <w:rPr>
          <w:spacing w:val="-8"/>
        </w:rPr>
        <w:t> </w:t>
      </w:r>
      <w:r>
        <w:rPr/>
        <w:t>para</w:t>
      </w:r>
      <w:r>
        <w:rPr>
          <w:spacing w:val="-9"/>
        </w:rPr>
        <w:t> </w:t>
      </w:r>
      <w:r>
        <w:rPr/>
        <w:t>el</w:t>
      </w:r>
      <w:r>
        <w:rPr>
          <w:spacing w:val="-10"/>
        </w:rPr>
        <w:t> </w:t>
      </w:r>
      <w:r>
        <w:rPr/>
        <w:t>usuario</w:t>
      </w:r>
      <w:r>
        <w:rPr>
          <w:spacing w:val="-11"/>
        </w:rPr>
        <w:t> </w:t>
      </w:r>
      <w:r>
        <w:rPr/>
        <w:t>de</w:t>
      </w:r>
      <w:r>
        <w:rPr>
          <w:spacing w:val="-9"/>
        </w:rPr>
        <w:t> </w:t>
      </w:r>
      <w:r>
        <w:rPr/>
        <w:t>transporte</w:t>
      </w:r>
      <w:r>
        <w:rPr>
          <w:spacing w:val="-9"/>
        </w:rPr>
        <w:t> </w:t>
      </w:r>
      <w:r>
        <w:rPr/>
        <w:t>público</w:t>
      </w:r>
      <w:r>
        <w:rPr>
          <w:rFonts w:ascii="Symbol" w:hAnsi="Symbol"/>
        </w:rPr>
        <w:t></w:t>
      </w:r>
      <w:r>
        <w:rPr/>
        <w:t>,</w:t>
      </w:r>
      <w:r>
        <w:rPr>
          <w:spacing w:val="-10"/>
        </w:rPr>
        <w:t> </w:t>
      </w:r>
      <w:r>
        <w:rPr/>
        <w:t>extremo</w:t>
      </w:r>
      <w:r>
        <w:rPr>
          <w:spacing w:val="-9"/>
        </w:rPr>
        <w:t> </w:t>
      </w:r>
      <w:r>
        <w:rPr/>
        <w:t>este</w:t>
      </w:r>
      <w:r>
        <w:rPr>
          <w:spacing w:val="-11"/>
        </w:rPr>
        <w:t> </w:t>
      </w:r>
      <w:r>
        <w:rPr/>
        <w:t>último</w:t>
      </w:r>
      <w:r>
        <w:rPr>
          <w:spacing w:val="-11"/>
        </w:rPr>
        <w:t> </w:t>
      </w:r>
      <w:r>
        <w:rPr/>
        <w:t>que</w:t>
      </w:r>
      <w:r>
        <w:rPr>
          <w:spacing w:val="-9"/>
        </w:rPr>
        <w:t> </w:t>
      </w:r>
      <w:r>
        <w:rPr/>
        <w:t>podría</w:t>
      </w:r>
      <w:r>
        <w:rPr>
          <w:spacing w:val="-11"/>
        </w:rPr>
        <w:t> </w:t>
      </w:r>
      <w:r>
        <w:rPr/>
        <w:t>haberse</w:t>
      </w:r>
      <w:r>
        <w:rPr>
          <w:spacing w:val="-11"/>
        </w:rPr>
        <w:t> </w:t>
      </w:r>
      <w:r>
        <w:rPr/>
        <w:t>perseguido con una nueva licitación. En el documento de formalización de la modificación se estipuló que el proyecto</w:t>
      </w:r>
      <w:r>
        <w:rPr>
          <w:spacing w:val="-2"/>
        </w:rPr>
        <w:t> </w:t>
      </w:r>
      <w:r>
        <w:rPr/>
        <w:t>tendría que estar implementado en</w:t>
      </w:r>
      <w:r>
        <w:rPr>
          <w:spacing w:val="-2"/>
        </w:rPr>
        <w:t> </w:t>
      </w:r>
      <w:r>
        <w:rPr/>
        <w:t>junio de 2023, y la evaluación y resultados</w:t>
      </w:r>
      <w:r>
        <w:rPr>
          <w:spacing w:val="-2"/>
        </w:rPr>
        <w:t> </w:t>
      </w:r>
      <w:r>
        <w:rPr/>
        <w:t>del mismo entre enero y junio de 2024. Pese a estas previsiones, la empresa ha realizado recepciones parciales</w:t>
      </w:r>
      <w:r>
        <w:rPr>
          <w:spacing w:val="-3"/>
        </w:rPr>
        <w:t> </w:t>
      </w:r>
      <w:r>
        <w:rPr/>
        <w:t>del</w:t>
      </w:r>
      <w:r>
        <w:rPr>
          <w:spacing w:val="-4"/>
        </w:rPr>
        <w:t> </w:t>
      </w:r>
      <w:r>
        <w:rPr/>
        <w:t>objeto</w:t>
      </w:r>
      <w:r>
        <w:rPr>
          <w:spacing w:val="-3"/>
        </w:rPr>
        <w:t> </w:t>
      </w:r>
      <w:r>
        <w:rPr/>
        <w:t>del</w:t>
      </w:r>
      <w:r>
        <w:rPr>
          <w:spacing w:val="-4"/>
        </w:rPr>
        <w:t> </w:t>
      </w:r>
      <w:r>
        <w:rPr/>
        <w:t>contrato,</w:t>
      </w:r>
      <w:r>
        <w:rPr>
          <w:spacing w:val="-4"/>
        </w:rPr>
        <w:t> </w:t>
      </w:r>
      <w:r>
        <w:rPr/>
        <w:t>siendo</w:t>
      </w:r>
      <w:r>
        <w:rPr>
          <w:spacing w:val="-3"/>
        </w:rPr>
        <w:t> </w:t>
      </w:r>
      <w:r>
        <w:rPr/>
        <w:t>la</w:t>
      </w:r>
      <w:r>
        <w:rPr>
          <w:spacing w:val="-3"/>
        </w:rPr>
        <w:t> </w:t>
      </w:r>
      <w:r>
        <w:rPr/>
        <w:t>última</w:t>
      </w:r>
      <w:r>
        <w:rPr>
          <w:spacing w:val="-8"/>
        </w:rPr>
        <w:t> </w:t>
      </w:r>
      <w:r>
        <w:rPr/>
        <w:t>de</w:t>
      </w:r>
      <w:r>
        <w:rPr>
          <w:spacing w:val="-3"/>
        </w:rPr>
        <w:t> </w:t>
      </w:r>
      <w:r>
        <w:rPr/>
        <w:t>junio</w:t>
      </w:r>
      <w:r>
        <w:rPr>
          <w:spacing w:val="-3"/>
        </w:rPr>
        <w:t> </w:t>
      </w:r>
      <w:r>
        <w:rPr/>
        <w:t>de</w:t>
      </w:r>
      <w:r>
        <w:rPr>
          <w:spacing w:val="-6"/>
        </w:rPr>
        <w:t> </w:t>
      </w:r>
      <w:r>
        <w:rPr/>
        <w:t>2025,</w:t>
      </w:r>
      <w:r>
        <w:rPr>
          <w:spacing w:val="-4"/>
        </w:rPr>
        <w:t> </w:t>
      </w:r>
      <w:r>
        <w:rPr/>
        <w:t>lo</w:t>
      </w:r>
      <w:r>
        <w:rPr>
          <w:spacing w:val="-3"/>
        </w:rPr>
        <w:t> </w:t>
      </w:r>
      <w:r>
        <w:rPr/>
        <w:t>que</w:t>
      </w:r>
      <w:r>
        <w:rPr>
          <w:spacing w:val="-5"/>
        </w:rPr>
        <w:t> </w:t>
      </w:r>
      <w:r>
        <w:rPr/>
        <w:t>evidencia</w:t>
      </w:r>
      <w:r>
        <w:rPr>
          <w:spacing w:val="-3"/>
        </w:rPr>
        <w:t> </w:t>
      </w:r>
      <w:r>
        <w:rPr/>
        <w:t>demoras</w:t>
      </w:r>
      <w:r>
        <w:rPr>
          <w:spacing w:val="-5"/>
        </w:rPr>
        <w:t> </w:t>
      </w:r>
      <w:r>
        <w:rPr/>
        <w:t>en</w:t>
      </w:r>
      <w:r>
        <w:rPr>
          <w:spacing w:val="-3"/>
        </w:rPr>
        <w:t> </w:t>
      </w:r>
      <w:r>
        <w:rPr/>
        <w:t>su </w:t>
      </w:r>
      <w:r>
        <w:rPr>
          <w:spacing w:val="-2"/>
        </w:rPr>
        <w:t>ejecución</w:t>
      </w:r>
      <w:hyperlink w:history="true" w:anchor="_bookmark94">
        <w:r>
          <w:rPr>
            <w:spacing w:val="-2"/>
            <w:vertAlign w:val="superscript"/>
          </w:rPr>
          <w:t>66</w:t>
        </w:r>
        <w:r>
          <w:rPr>
            <w:spacing w:val="-2"/>
            <w:vertAlign w:val="baseline"/>
          </w:rPr>
          <w:t>.</w:t>
        </w:r>
      </w:hyperlink>
    </w:p>
    <w:p>
      <w:pPr>
        <w:pStyle w:val="BodyText"/>
        <w:spacing w:before="241"/>
        <w:ind w:left="992" w:right="987"/>
        <w:jc w:val="both"/>
      </w:pPr>
      <w:r>
        <w:rPr/>
        <w:t>Otro de los contratos, el de suministro e instalación de elementos para la adaptación de las marquesinas</w:t>
      </w:r>
      <w:r>
        <w:rPr>
          <w:spacing w:val="-4"/>
        </w:rPr>
        <w:t> </w:t>
      </w:r>
      <w:r>
        <w:rPr/>
        <w:t>de</w:t>
      </w:r>
      <w:r>
        <w:rPr>
          <w:spacing w:val="-4"/>
        </w:rPr>
        <w:t> </w:t>
      </w:r>
      <w:r>
        <w:rPr/>
        <w:t>las</w:t>
      </w:r>
      <w:r>
        <w:rPr>
          <w:spacing w:val="-4"/>
        </w:rPr>
        <w:t> </w:t>
      </w:r>
      <w:r>
        <w:rPr/>
        <w:t>paradas</w:t>
      </w:r>
      <w:r>
        <w:rPr>
          <w:spacing w:val="-1"/>
        </w:rPr>
        <w:t> </w:t>
      </w:r>
      <w:r>
        <w:rPr/>
        <w:t>de</w:t>
      </w:r>
      <w:r>
        <w:rPr>
          <w:spacing w:val="-4"/>
        </w:rPr>
        <w:t> </w:t>
      </w:r>
      <w:r>
        <w:rPr/>
        <w:t>autobús</w:t>
      </w:r>
      <w:r>
        <w:rPr>
          <w:spacing w:val="-3"/>
        </w:rPr>
        <w:t> </w:t>
      </w:r>
      <w:r>
        <w:rPr/>
        <w:t>a</w:t>
      </w:r>
      <w:r>
        <w:rPr>
          <w:spacing w:val="-2"/>
        </w:rPr>
        <w:t> </w:t>
      </w:r>
      <w:r>
        <w:rPr/>
        <w:t>la</w:t>
      </w:r>
      <w:r>
        <w:rPr>
          <w:spacing w:val="-4"/>
        </w:rPr>
        <w:t> </w:t>
      </w:r>
      <w:r>
        <w:rPr/>
        <w:t>normativa</w:t>
      </w:r>
      <w:r>
        <w:rPr>
          <w:spacing w:val="-4"/>
        </w:rPr>
        <w:t> </w:t>
      </w:r>
      <w:r>
        <w:rPr/>
        <w:t>sobre</w:t>
      </w:r>
      <w:r>
        <w:rPr>
          <w:spacing w:val="-2"/>
        </w:rPr>
        <w:t> </w:t>
      </w:r>
      <w:r>
        <w:rPr/>
        <w:t>las</w:t>
      </w:r>
      <w:r>
        <w:rPr>
          <w:spacing w:val="-4"/>
        </w:rPr>
        <w:t> </w:t>
      </w:r>
      <w:r>
        <w:rPr/>
        <w:t>personas</w:t>
      </w:r>
      <w:r>
        <w:rPr>
          <w:spacing w:val="-1"/>
        </w:rPr>
        <w:t> </w:t>
      </w:r>
      <w:r>
        <w:rPr/>
        <w:t>con</w:t>
      </w:r>
      <w:r>
        <w:rPr>
          <w:spacing w:val="-7"/>
        </w:rPr>
        <w:t> </w:t>
      </w:r>
      <w:r>
        <w:rPr/>
        <w:t>movilidad</w:t>
      </w:r>
      <w:r>
        <w:rPr>
          <w:spacing w:val="-2"/>
        </w:rPr>
        <w:t> </w:t>
      </w:r>
      <w:r>
        <w:rPr/>
        <w:t>reducida, por</w:t>
      </w:r>
      <w:r>
        <w:rPr>
          <w:spacing w:val="-5"/>
        </w:rPr>
        <w:t> </w:t>
      </w:r>
      <w:r>
        <w:rPr/>
        <w:t>importe</w:t>
      </w:r>
      <w:r>
        <w:rPr>
          <w:spacing w:val="-9"/>
        </w:rPr>
        <w:t> </w:t>
      </w:r>
      <w:r>
        <w:rPr/>
        <w:t>de</w:t>
      </w:r>
      <w:r>
        <w:rPr>
          <w:spacing w:val="-6"/>
        </w:rPr>
        <w:t> </w:t>
      </w:r>
      <w:r>
        <w:rPr/>
        <w:t>740.028</w:t>
      </w:r>
      <w:r>
        <w:rPr>
          <w:spacing w:val="-9"/>
        </w:rPr>
        <w:t> </w:t>
      </w:r>
      <w:r>
        <w:rPr/>
        <w:t>euros,</w:t>
      </w:r>
      <w:r>
        <w:rPr>
          <w:spacing w:val="-7"/>
        </w:rPr>
        <w:t> </w:t>
      </w:r>
      <w:r>
        <w:rPr/>
        <w:t>IVA</w:t>
      </w:r>
      <w:r>
        <w:rPr>
          <w:spacing w:val="-9"/>
        </w:rPr>
        <w:t> </w:t>
      </w:r>
      <w:r>
        <w:rPr/>
        <w:t>excluido,</w:t>
      </w:r>
      <w:r>
        <w:rPr>
          <w:spacing w:val="-5"/>
        </w:rPr>
        <w:t> </w:t>
      </w:r>
      <w:r>
        <w:rPr/>
        <w:t>ha</w:t>
      </w:r>
      <w:r>
        <w:rPr>
          <w:spacing w:val="-9"/>
        </w:rPr>
        <w:t> </w:t>
      </w:r>
      <w:r>
        <w:rPr/>
        <w:t>sido</w:t>
      </w:r>
      <w:r>
        <w:rPr>
          <w:spacing w:val="-7"/>
        </w:rPr>
        <w:t> </w:t>
      </w:r>
      <w:r>
        <w:rPr/>
        <w:t>modificado</w:t>
      </w:r>
      <w:r>
        <w:rPr>
          <w:spacing w:val="-9"/>
        </w:rPr>
        <w:t> </w:t>
      </w:r>
      <w:r>
        <w:rPr/>
        <w:t>en</w:t>
      </w:r>
      <w:r>
        <w:rPr>
          <w:spacing w:val="-9"/>
        </w:rPr>
        <w:t> </w:t>
      </w:r>
      <w:r>
        <w:rPr/>
        <w:t>tres</w:t>
      </w:r>
      <w:r>
        <w:rPr>
          <w:spacing w:val="-5"/>
        </w:rPr>
        <w:t> </w:t>
      </w:r>
      <w:r>
        <w:rPr/>
        <w:t>ocasiones.</w:t>
      </w:r>
      <w:r>
        <w:rPr>
          <w:spacing w:val="-5"/>
        </w:rPr>
        <w:t> </w:t>
      </w:r>
      <w:r>
        <w:rPr/>
        <w:t>La</w:t>
      </w:r>
      <w:r>
        <w:rPr>
          <w:spacing w:val="-9"/>
        </w:rPr>
        <w:t> </w:t>
      </w:r>
      <w:r>
        <w:rPr/>
        <w:t>primera,</w:t>
      </w:r>
      <w:r>
        <w:rPr>
          <w:spacing w:val="-7"/>
        </w:rPr>
        <w:t> </w:t>
      </w:r>
      <w:r>
        <w:rPr/>
        <w:t>para ampliar nueve meses su plazo de ejecución, aduciendo que el retraso en la ejecución se debía a cambios</w:t>
      </w:r>
      <w:r>
        <w:rPr>
          <w:spacing w:val="-6"/>
        </w:rPr>
        <w:t> </w:t>
      </w:r>
      <w:r>
        <w:rPr/>
        <w:t>en</w:t>
      </w:r>
      <w:r>
        <w:rPr>
          <w:spacing w:val="-9"/>
        </w:rPr>
        <w:t> </w:t>
      </w:r>
      <w:r>
        <w:rPr/>
        <w:t>el</w:t>
      </w:r>
      <w:r>
        <w:rPr>
          <w:spacing w:val="-10"/>
        </w:rPr>
        <w:t> </w:t>
      </w:r>
      <w:r>
        <w:rPr/>
        <w:t>diseño</w:t>
      </w:r>
      <w:r>
        <w:rPr>
          <w:spacing w:val="-6"/>
        </w:rPr>
        <w:t> </w:t>
      </w:r>
      <w:r>
        <w:rPr/>
        <w:t>original</w:t>
      </w:r>
      <w:r>
        <w:rPr>
          <w:spacing w:val="-7"/>
        </w:rPr>
        <w:t> </w:t>
      </w:r>
      <w:r>
        <w:rPr/>
        <w:t>de</w:t>
      </w:r>
      <w:r>
        <w:rPr>
          <w:spacing w:val="-7"/>
        </w:rPr>
        <w:t> </w:t>
      </w:r>
      <w:r>
        <w:rPr/>
        <w:t>uno</w:t>
      </w:r>
      <w:r>
        <w:rPr>
          <w:spacing w:val="-9"/>
        </w:rPr>
        <w:t> </w:t>
      </w:r>
      <w:r>
        <w:rPr/>
        <w:t>de</w:t>
      </w:r>
      <w:r>
        <w:rPr>
          <w:spacing w:val="-9"/>
        </w:rPr>
        <w:t> </w:t>
      </w:r>
      <w:r>
        <w:rPr/>
        <w:t>los</w:t>
      </w:r>
      <w:r>
        <w:rPr>
          <w:spacing w:val="-6"/>
        </w:rPr>
        <w:t> </w:t>
      </w:r>
      <w:r>
        <w:rPr/>
        <w:t>elementos</w:t>
      </w:r>
      <w:r>
        <w:rPr>
          <w:spacing w:val="-9"/>
        </w:rPr>
        <w:t> </w:t>
      </w:r>
      <w:r>
        <w:rPr/>
        <w:t>a</w:t>
      </w:r>
      <w:r>
        <w:rPr>
          <w:spacing w:val="-6"/>
        </w:rPr>
        <w:t> </w:t>
      </w:r>
      <w:r>
        <w:rPr/>
        <w:t>suministrar</w:t>
      </w:r>
      <w:r>
        <w:rPr>
          <w:spacing w:val="-8"/>
        </w:rPr>
        <w:t> </w:t>
      </w:r>
      <w:r>
        <w:rPr/>
        <w:t>con</w:t>
      </w:r>
      <w:r>
        <w:rPr>
          <w:spacing w:val="-9"/>
        </w:rPr>
        <w:t> </w:t>
      </w:r>
      <w:r>
        <w:rPr/>
        <w:t>el</w:t>
      </w:r>
      <w:r>
        <w:rPr>
          <w:spacing w:val="-7"/>
        </w:rPr>
        <w:t> </w:t>
      </w:r>
      <w:r>
        <w:rPr/>
        <w:t>objeto</w:t>
      </w:r>
      <w:r>
        <w:rPr>
          <w:spacing w:val="-6"/>
        </w:rPr>
        <w:t> </w:t>
      </w:r>
      <w:r>
        <w:rPr/>
        <w:t>de</w:t>
      </w:r>
      <w:r>
        <w:rPr>
          <w:spacing w:val="-9"/>
        </w:rPr>
        <w:t> </w:t>
      </w:r>
      <w:r>
        <w:rPr/>
        <w:t>adaptarlo</w:t>
      </w:r>
      <w:r>
        <w:rPr>
          <w:spacing w:val="-9"/>
        </w:rPr>
        <w:t> </w:t>
      </w:r>
      <w:r>
        <w:rPr/>
        <w:t>a</w:t>
      </w:r>
      <w:r>
        <w:rPr>
          <w:spacing w:val="-6"/>
        </w:rPr>
        <w:t> </w:t>
      </w:r>
      <w:r>
        <w:rPr/>
        <w:t>los requerimientos de la normativa de accesibilidad. Las otras dos modificaciones, por importe de 264.666,37 euros, se fundamentaron en problemas y necesidades surgidos en la ejecución del contrato</w:t>
      </w:r>
      <w:r>
        <w:rPr>
          <w:spacing w:val="-16"/>
        </w:rPr>
        <w:t> </w:t>
      </w:r>
      <w:r>
        <w:rPr/>
        <w:t>y</w:t>
      </w:r>
      <w:r>
        <w:rPr>
          <w:spacing w:val="-15"/>
        </w:rPr>
        <w:t> </w:t>
      </w:r>
      <w:r>
        <w:rPr/>
        <w:t>en</w:t>
      </w:r>
      <w:r>
        <w:rPr>
          <w:spacing w:val="-15"/>
        </w:rPr>
        <w:t> </w:t>
      </w:r>
      <w:r>
        <w:rPr/>
        <w:t>la</w:t>
      </w:r>
      <w:r>
        <w:rPr>
          <w:spacing w:val="-16"/>
        </w:rPr>
        <w:t> </w:t>
      </w:r>
      <w:r>
        <w:rPr/>
        <w:t>ampliación</w:t>
      </w:r>
      <w:r>
        <w:rPr>
          <w:spacing w:val="-15"/>
        </w:rPr>
        <w:t> </w:t>
      </w:r>
      <w:r>
        <w:rPr/>
        <w:t>de</w:t>
      </w:r>
      <w:r>
        <w:rPr>
          <w:spacing w:val="-15"/>
        </w:rPr>
        <w:t> </w:t>
      </w:r>
      <w:r>
        <w:rPr/>
        <w:t>la</w:t>
      </w:r>
      <w:r>
        <w:rPr>
          <w:spacing w:val="-15"/>
        </w:rPr>
        <w:t> </w:t>
      </w:r>
      <w:r>
        <w:rPr/>
        <w:t>dotación</w:t>
      </w:r>
      <w:r>
        <w:rPr>
          <w:spacing w:val="-16"/>
        </w:rPr>
        <w:t> </w:t>
      </w:r>
      <w:r>
        <w:rPr/>
        <w:t>a</w:t>
      </w:r>
      <w:r>
        <w:rPr>
          <w:spacing w:val="-15"/>
        </w:rPr>
        <w:t> </w:t>
      </w:r>
      <w:r>
        <w:rPr/>
        <w:t>90</w:t>
      </w:r>
      <w:r>
        <w:rPr>
          <w:spacing w:val="-15"/>
        </w:rPr>
        <w:t> </w:t>
      </w:r>
      <w:r>
        <w:rPr/>
        <w:t>marquesinas</w:t>
      </w:r>
      <w:r>
        <w:rPr>
          <w:spacing w:val="-16"/>
        </w:rPr>
        <w:t> </w:t>
      </w:r>
      <w:r>
        <w:rPr/>
        <w:t>más</w:t>
      </w:r>
      <w:r>
        <w:rPr>
          <w:spacing w:val="-15"/>
        </w:rPr>
        <w:t> </w:t>
      </w:r>
      <w:r>
        <w:rPr/>
        <w:t>al</w:t>
      </w:r>
      <w:r>
        <w:rPr>
          <w:spacing w:val="-15"/>
        </w:rPr>
        <w:t> </w:t>
      </w:r>
      <w:r>
        <w:rPr/>
        <w:t>amparo</w:t>
      </w:r>
      <w:r>
        <w:rPr>
          <w:spacing w:val="-15"/>
        </w:rPr>
        <w:t> </w:t>
      </w:r>
      <w:r>
        <w:rPr/>
        <w:t>de</w:t>
      </w:r>
      <w:r>
        <w:rPr>
          <w:spacing w:val="-16"/>
        </w:rPr>
        <w:t> </w:t>
      </w:r>
      <w:r>
        <w:rPr/>
        <w:t>la</w:t>
      </w:r>
      <w:r>
        <w:rPr>
          <w:spacing w:val="-15"/>
        </w:rPr>
        <w:t> </w:t>
      </w:r>
      <w:r>
        <w:rPr/>
        <w:t>previsión</w:t>
      </w:r>
      <w:r>
        <w:rPr>
          <w:spacing w:val="-15"/>
        </w:rPr>
        <w:t> </w:t>
      </w:r>
      <w:r>
        <w:rPr/>
        <w:t>contenida en el</w:t>
      </w:r>
      <w:r>
        <w:rPr>
          <w:spacing w:val="-1"/>
        </w:rPr>
        <w:t> </w:t>
      </w:r>
      <w:r>
        <w:rPr/>
        <w:t>pliego de cláusulas administrativas particulares, lo que supuso un incremento del importe del contrato del 35,76 %.</w:t>
      </w:r>
    </w:p>
    <w:p>
      <w:pPr>
        <w:pStyle w:val="BodyText"/>
        <w:rPr>
          <w:sz w:val="20"/>
        </w:rPr>
      </w:pPr>
    </w:p>
    <w:p>
      <w:pPr>
        <w:pStyle w:val="BodyText"/>
        <w:rPr>
          <w:sz w:val="20"/>
        </w:rPr>
      </w:pPr>
    </w:p>
    <w:p>
      <w:pPr>
        <w:pStyle w:val="BodyText"/>
        <w:spacing w:before="102"/>
        <w:rPr>
          <w:sz w:val="20"/>
        </w:rPr>
      </w:pPr>
      <w:r>
        <w:rPr>
          <w:sz w:val="20"/>
        </w:rPr>
        <mc:AlternateContent>
          <mc:Choice Requires="wps">
            <w:drawing>
              <wp:anchor distT="0" distB="0" distL="0" distR="0" allowOverlap="1" layoutInCell="1" locked="0" behindDoc="1" simplePos="0" relativeHeight="487617024">
                <wp:simplePos x="0" y="0"/>
                <wp:positionH relativeFrom="page">
                  <wp:posOffset>719632</wp:posOffset>
                </wp:positionH>
                <wp:positionV relativeFrom="paragraph">
                  <wp:posOffset>226532</wp:posOffset>
                </wp:positionV>
                <wp:extent cx="1829435" cy="9525"/>
                <wp:effectExtent l="0" t="0" r="0" b="0"/>
                <wp:wrapTopAndBottom/>
                <wp:docPr id="184" name="Graphic 184"/>
                <wp:cNvGraphicFramePr>
                  <a:graphicFrameLocks/>
                </wp:cNvGraphicFramePr>
                <a:graphic>
                  <a:graphicData uri="http://schemas.microsoft.com/office/word/2010/wordprocessingShape">
                    <wps:wsp>
                      <wps:cNvPr id="184" name="Graphic 184"/>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7.837198pt;width:144.020pt;height:.71997pt;mso-position-horizontal-relative:page;mso-position-vertical-relative:paragraph;z-index:-15699456;mso-wrap-distance-left:0;mso-wrap-distance-right:0" id="docshape166" filled="true" fillcolor="#000000" stroked="false">
                <v:fill type="solid"/>
                <w10:wrap type="topAndBottom"/>
              </v:rect>
            </w:pict>
          </mc:Fallback>
        </mc:AlternateContent>
      </w:r>
    </w:p>
    <w:p>
      <w:pPr>
        <w:spacing w:before="118"/>
        <w:ind w:left="992" w:right="989" w:firstLine="0"/>
        <w:jc w:val="both"/>
        <w:rPr>
          <w:sz w:val="18"/>
        </w:rPr>
      </w:pPr>
      <w:bookmarkStart w:name="_bookmark94" w:id="96"/>
      <w:bookmarkEnd w:id="96"/>
      <w:r>
        <w:rPr/>
      </w:r>
      <w:r>
        <w:rPr>
          <w:position w:val="6"/>
          <w:sz w:val="12"/>
        </w:rPr>
        <w:t>66</w:t>
      </w:r>
      <w:r>
        <w:rPr>
          <w:spacing w:val="15"/>
          <w:position w:val="6"/>
          <w:sz w:val="12"/>
        </w:rPr>
        <w:t> </w:t>
      </w:r>
      <w:r>
        <w:rPr>
          <w:sz w:val="18"/>
        </w:rPr>
        <w:t>El</w:t>
      </w:r>
      <w:r>
        <w:rPr>
          <w:spacing w:val="-1"/>
          <w:sz w:val="18"/>
        </w:rPr>
        <w:t> </w:t>
      </w:r>
      <w:r>
        <w:rPr>
          <w:b/>
          <w:sz w:val="18"/>
        </w:rPr>
        <w:t>Ayuntamiento</w:t>
      </w:r>
      <w:r>
        <w:rPr>
          <w:b/>
          <w:spacing w:val="-2"/>
          <w:sz w:val="18"/>
        </w:rPr>
        <w:t> </w:t>
      </w:r>
      <w:r>
        <w:rPr>
          <w:b/>
          <w:sz w:val="18"/>
        </w:rPr>
        <w:t>de</w:t>
      </w:r>
      <w:r>
        <w:rPr>
          <w:b/>
          <w:spacing w:val="-4"/>
          <w:sz w:val="18"/>
        </w:rPr>
        <w:t> </w:t>
      </w:r>
      <w:r>
        <w:rPr>
          <w:b/>
          <w:sz w:val="18"/>
        </w:rPr>
        <w:t>Málaga</w:t>
      </w:r>
      <w:r>
        <w:rPr>
          <w:b/>
          <w:spacing w:val="-1"/>
          <w:sz w:val="18"/>
        </w:rPr>
        <w:t> </w:t>
      </w:r>
      <w:r>
        <w:rPr>
          <w:sz w:val="18"/>
        </w:rPr>
        <w:t>alega</w:t>
      </w:r>
      <w:r>
        <w:rPr>
          <w:spacing w:val="-4"/>
          <w:sz w:val="18"/>
        </w:rPr>
        <w:t> </w:t>
      </w:r>
      <w:r>
        <w:rPr>
          <w:sz w:val="18"/>
        </w:rPr>
        <w:t>que</w:t>
      </w:r>
      <w:r>
        <w:rPr>
          <w:spacing w:val="-3"/>
          <w:sz w:val="18"/>
        </w:rPr>
        <w:t> </w:t>
      </w:r>
      <w:r>
        <w:rPr>
          <w:sz w:val="18"/>
        </w:rPr>
        <w:t>la</w:t>
      </w:r>
      <w:r>
        <w:rPr>
          <w:spacing w:val="-2"/>
          <w:sz w:val="18"/>
        </w:rPr>
        <w:t> </w:t>
      </w:r>
      <w:r>
        <w:rPr>
          <w:sz w:val="18"/>
        </w:rPr>
        <w:t>modificación</w:t>
      </w:r>
      <w:r>
        <w:rPr>
          <w:spacing w:val="-2"/>
          <w:sz w:val="18"/>
        </w:rPr>
        <w:t> </w:t>
      </w:r>
      <w:r>
        <w:rPr>
          <w:sz w:val="18"/>
        </w:rPr>
        <w:t>contractual está</w:t>
      </w:r>
      <w:r>
        <w:rPr>
          <w:spacing w:val="-2"/>
          <w:sz w:val="18"/>
        </w:rPr>
        <w:t> </w:t>
      </w:r>
      <w:r>
        <w:rPr>
          <w:sz w:val="18"/>
        </w:rPr>
        <w:t>motivada</w:t>
      </w:r>
      <w:r>
        <w:rPr>
          <w:spacing w:val="-2"/>
          <w:sz w:val="18"/>
        </w:rPr>
        <w:t> </w:t>
      </w:r>
      <w:r>
        <w:rPr>
          <w:sz w:val="18"/>
        </w:rPr>
        <w:t>en</w:t>
      </w:r>
      <w:r>
        <w:rPr>
          <w:spacing w:val="-2"/>
          <w:sz w:val="18"/>
        </w:rPr>
        <w:t> </w:t>
      </w:r>
      <w:r>
        <w:rPr>
          <w:sz w:val="18"/>
        </w:rPr>
        <w:t>el informe</w:t>
      </w:r>
      <w:r>
        <w:rPr>
          <w:spacing w:val="-2"/>
          <w:sz w:val="18"/>
        </w:rPr>
        <w:t> </w:t>
      </w:r>
      <w:r>
        <w:rPr>
          <w:sz w:val="18"/>
        </w:rPr>
        <w:t>técnico</w:t>
      </w:r>
      <w:r>
        <w:rPr>
          <w:spacing w:val="-4"/>
          <w:sz w:val="18"/>
        </w:rPr>
        <w:t> </w:t>
      </w:r>
      <w:r>
        <w:rPr>
          <w:sz w:val="18"/>
        </w:rPr>
        <w:t>del</w:t>
      </w:r>
      <w:r>
        <w:rPr>
          <w:spacing w:val="-2"/>
          <w:sz w:val="18"/>
        </w:rPr>
        <w:t> </w:t>
      </w:r>
      <w:r>
        <w:rPr>
          <w:sz w:val="18"/>
        </w:rPr>
        <w:t>expediente de</w:t>
      </w:r>
      <w:r>
        <w:rPr>
          <w:spacing w:val="-6"/>
          <w:sz w:val="18"/>
        </w:rPr>
        <w:t> </w:t>
      </w:r>
      <w:r>
        <w:rPr>
          <w:sz w:val="18"/>
        </w:rPr>
        <w:t>modificación,</w:t>
      </w:r>
      <w:r>
        <w:rPr>
          <w:spacing w:val="-7"/>
          <w:sz w:val="18"/>
        </w:rPr>
        <w:t> </w:t>
      </w:r>
      <w:r>
        <w:rPr>
          <w:sz w:val="18"/>
        </w:rPr>
        <w:t>sin</w:t>
      </w:r>
      <w:r>
        <w:rPr>
          <w:spacing w:val="-6"/>
          <w:sz w:val="18"/>
        </w:rPr>
        <w:t> </w:t>
      </w:r>
      <w:r>
        <w:rPr>
          <w:sz w:val="18"/>
        </w:rPr>
        <w:t>embargo,</w:t>
      </w:r>
      <w:r>
        <w:rPr>
          <w:spacing w:val="-7"/>
          <w:sz w:val="18"/>
        </w:rPr>
        <w:t> </w:t>
      </w:r>
      <w:r>
        <w:rPr>
          <w:sz w:val="18"/>
        </w:rPr>
        <w:t>tal</w:t>
      </w:r>
      <w:r>
        <w:rPr>
          <w:spacing w:val="-6"/>
          <w:sz w:val="18"/>
        </w:rPr>
        <w:t> </w:t>
      </w:r>
      <w:r>
        <w:rPr>
          <w:sz w:val="18"/>
        </w:rPr>
        <w:t>informe</w:t>
      </w:r>
      <w:r>
        <w:rPr>
          <w:spacing w:val="-6"/>
          <w:sz w:val="18"/>
        </w:rPr>
        <w:t> </w:t>
      </w:r>
      <w:r>
        <w:rPr>
          <w:sz w:val="18"/>
        </w:rPr>
        <w:t>no</w:t>
      </w:r>
      <w:r>
        <w:rPr>
          <w:spacing w:val="-6"/>
          <w:sz w:val="18"/>
        </w:rPr>
        <w:t> </w:t>
      </w:r>
      <w:r>
        <w:rPr>
          <w:sz w:val="18"/>
        </w:rPr>
        <w:t>se</w:t>
      </w:r>
      <w:r>
        <w:rPr>
          <w:spacing w:val="-6"/>
          <w:sz w:val="18"/>
        </w:rPr>
        <w:t> </w:t>
      </w:r>
      <w:r>
        <w:rPr>
          <w:sz w:val="18"/>
        </w:rPr>
        <w:t>ha</w:t>
      </w:r>
      <w:r>
        <w:rPr>
          <w:spacing w:val="-6"/>
          <w:sz w:val="18"/>
        </w:rPr>
        <w:t> </w:t>
      </w:r>
      <w:r>
        <w:rPr>
          <w:sz w:val="18"/>
        </w:rPr>
        <w:t>aportado.</w:t>
      </w:r>
      <w:r>
        <w:rPr>
          <w:spacing w:val="-8"/>
          <w:sz w:val="18"/>
        </w:rPr>
        <w:t> </w:t>
      </w:r>
      <w:r>
        <w:rPr>
          <w:sz w:val="18"/>
        </w:rPr>
        <w:t>El</w:t>
      </w:r>
      <w:r>
        <w:rPr>
          <w:spacing w:val="-4"/>
          <w:sz w:val="18"/>
        </w:rPr>
        <w:t> </w:t>
      </w:r>
      <w:r>
        <w:rPr>
          <w:sz w:val="18"/>
        </w:rPr>
        <w:t>documento</w:t>
      </w:r>
      <w:r>
        <w:rPr>
          <w:spacing w:val="-6"/>
          <w:sz w:val="18"/>
        </w:rPr>
        <w:t> </w:t>
      </w:r>
      <w:r>
        <w:rPr>
          <w:sz w:val="18"/>
        </w:rPr>
        <w:t>de</w:t>
      </w:r>
      <w:r>
        <w:rPr>
          <w:spacing w:val="-6"/>
          <w:sz w:val="18"/>
        </w:rPr>
        <w:t> </w:t>
      </w:r>
      <w:r>
        <w:rPr>
          <w:sz w:val="18"/>
        </w:rPr>
        <w:t>formalización</w:t>
      </w:r>
      <w:r>
        <w:rPr>
          <w:spacing w:val="-6"/>
          <w:sz w:val="18"/>
        </w:rPr>
        <w:t> </w:t>
      </w:r>
      <w:r>
        <w:rPr>
          <w:sz w:val="18"/>
        </w:rPr>
        <w:t>de</w:t>
      </w:r>
      <w:r>
        <w:rPr>
          <w:spacing w:val="-6"/>
          <w:sz w:val="18"/>
        </w:rPr>
        <w:t> </w:t>
      </w:r>
      <w:r>
        <w:rPr>
          <w:sz w:val="18"/>
        </w:rPr>
        <w:t>la</w:t>
      </w:r>
      <w:r>
        <w:rPr>
          <w:spacing w:val="-6"/>
          <w:sz w:val="18"/>
        </w:rPr>
        <w:t> </w:t>
      </w:r>
      <w:r>
        <w:rPr>
          <w:sz w:val="18"/>
        </w:rPr>
        <w:t>modificación</w:t>
      </w:r>
      <w:r>
        <w:rPr>
          <w:spacing w:val="-6"/>
          <w:sz w:val="18"/>
        </w:rPr>
        <w:t> </w:t>
      </w:r>
      <w:r>
        <w:rPr>
          <w:sz w:val="18"/>
        </w:rPr>
        <w:t>reproduce un pequeño fragmento de este informe, en el que solo cita, como circunstancia sobrevenida e imprevisible, la existencia del PRTR con motivo del COVID.</w:t>
      </w:r>
    </w:p>
    <w:p>
      <w:pPr>
        <w:spacing w:before="60"/>
        <w:ind w:left="992" w:right="986" w:firstLine="0"/>
        <w:jc w:val="both"/>
        <w:rPr>
          <w:sz w:val="18"/>
        </w:rPr>
      </w:pPr>
      <w:r>
        <w:rPr>
          <w:sz w:val="18"/>
        </w:rPr>
        <w:t>En relación con la</w:t>
      </w:r>
      <w:r>
        <w:rPr>
          <w:spacing w:val="-2"/>
          <w:sz w:val="18"/>
        </w:rPr>
        <w:t> </w:t>
      </w:r>
      <w:r>
        <w:rPr>
          <w:sz w:val="18"/>
        </w:rPr>
        <w:t>justificación</w:t>
      </w:r>
      <w:r>
        <w:rPr>
          <w:spacing w:val="-2"/>
          <w:sz w:val="18"/>
        </w:rPr>
        <w:t> </w:t>
      </w:r>
      <w:r>
        <w:rPr>
          <w:sz w:val="18"/>
        </w:rPr>
        <w:t>de los retrasos acumulados</w:t>
      </w:r>
      <w:r>
        <w:rPr>
          <w:spacing w:val="-1"/>
          <w:sz w:val="18"/>
        </w:rPr>
        <w:t> </w:t>
      </w:r>
      <w:r>
        <w:rPr>
          <w:sz w:val="18"/>
        </w:rPr>
        <w:t>en la ejecución del contrato, indica que se debieron a</w:t>
      </w:r>
      <w:r>
        <w:rPr>
          <w:spacing w:val="-2"/>
          <w:sz w:val="18"/>
        </w:rPr>
        <w:t> </w:t>
      </w:r>
      <w:r>
        <w:rPr>
          <w:sz w:val="18"/>
        </w:rPr>
        <w:t>causas extraordinarias</w:t>
      </w:r>
      <w:r>
        <w:rPr>
          <w:spacing w:val="-7"/>
          <w:sz w:val="18"/>
        </w:rPr>
        <w:t> </w:t>
      </w:r>
      <w:r>
        <w:rPr>
          <w:sz w:val="18"/>
        </w:rPr>
        <w:t>e</w:t>
      </w:r>
      <w:r>
        <w:rPr>
          <w:spacing w:val="-5"/>
          <w:sz w:val="18"/>
        </w:rPr>
        <w:t> </w:t>
      </w:r>
      <w:r>
        <w:rPr>
          <w:sz w:val="18"/>
        </w:rPr>
        <w:t>imprevisibles,</w:t>
      </w:r>
      <w:r>
        <w:rPr>
          <w:spacing w:val="-5"/>
          <w:sz w:val="18"/>
        </w:rPr>
        <w:t> </w:t>
      </w:r>
      <w:r>
        <w:rPr>
          <w:sz w:val="18"/>
        </w:rPr>
        <w:t>ajenas</w:t>
      </w:r>
      <w:r>
        <w:rPr>
          <w:spacing w:val="-4"/>
          <w:sz w:val="18"/>
        </w:rPr>
        <w:t> </w:t>
      </w:r>
      <w:r>
        <w:rPr>
          <w:sz w:val="18"/>
        </w:rPr>
        <w:t>tanto</w:t>
      </w:r>
      <w:r>
        <w:rPr>
          <w:spacing w:val="-7"/>
          <w:sz w:val="18"/>
        </w:rPr>
        <w:t> </w:t>
      </w:r>
      <w:r>
        <w:rPr>
          <w:sz w:val="18"/>
        </w:rPr>
        <w:t>a</w:t>
      </w:r>
      <w:r>
        <w:rPr>
          <w:spacing w:val="-7"/>
          <w:sz w:val="18"/>
        </w:rPr>
        <w:t> </w:t>
      </w:r>
      <w:r>
        <w:rPr>
          <w:sz w:val="18"/>
        </w:rPr>
        <w:t>la</w:t>
      </w:r>
      <w:r>
        <w:rPr>
          <w:spacing w:val="-7"/>
          <w:sz w:val="18"/>
        </w:rPr>
        <w:t> </w:t>
      </w:r>
      <w:r>
        <w:rPr>
          <w:sz w:val="18"/>
        </w:rPr>
        <w:t>empresa</w:t>
      </w:r>
      <w:r>
        <w:rPr>
          <w:spacing w:val="-7"/>
          <w:sz w:val="18"/>
        </w:rPr>
        <w:t> </w:t>
      </w:r>
      <w:r>
        <w:rPr>
          <w:sz w:val="18"/>
        </w:rPr>
        <w:t>municipal</w:t>
      </w:r>
      <w:r>
        <w:rPr>
          <w:spacing w:val="-7"/>
          <w:sz w:val="18"/>
        </w:rPr>
        <w:t> </w:t>
      </w:r>
      <w:r>
        <w:rPr>
          <w:sz w:val="18"/>
        </w:rPr>
        <w:t>como</w:t>
      </w:r>
      <w:r>
        <w:rPr>
          <w:spacing w:val="-7"/>
          <w:sz w:val="18"/>
        </w:rPr>
        <w:t> </w:t>
      </w:r>
      <w:r>
        <w:rPr>
          <w:sz w:val="18"/>
        </w:rPr>
        <w:t>al</w:t>
      </w:r>
      <w:r>
        <w:rPr>
          <w:spacing w:val="-7"/>
          <w:sz w:val="18"/>
        </w:rPr>
        <w:t> </w:t>
      </w:r>
      <w:r>
        <w:rPr>
          <w:sz w:val="18"/>
        </w:rPr>
        <w:t>contratista -crisis</w:t>
      </w:r>
      <w:r>
        <w:rPr>
          <w:spacing w:val="-7"/>
          <w:sz w:val="18"/>
        </w:rPr>
        <w:t> </w:t>
      </w:r>
      <w:r>
        <w:rPr>
          <w:sz w:val="18"/>
        </w:rPr>
        <w:t>global</w:t>
      </w:r>
      <w:r>
        <w:rPr>
          <w:spacing w:val="-7"/>
          <w:sz w:val="18"/>
        </w:rPr>
        <w:t> </w:t>
      </w:r>
      <w:r>
        <w:rPr>
          <w:sz w:val="18"/>
        </w:rPr>
        <w:t>de</w:t>
      </w:r>
      <w:r>
        <w:rPr>
          <w:spacing w:val="-7"/>
          <w:sz w:val="18"/>
        </w:rPr>
        <w:t> </w:t>
      </w:r>
      <w:r>
        <w:rPr>
          <w:sz w:val="18"/>
        </w:rPr>
        <w:t>semiconductores desde</w:t>
      </w:r>
      <w:r>
        <w:rPr>
          <w:spacing w:val="-9"/>
          <w:sz w:val="18"/>
        </w:rPr>
        <w:t> </w:t>
      </w:r>
      <w:r>
        <w:rPr>
          <w:sz w:val="18"/>
        </w:rPr>
        <w:t>2020</w:t>
      </w:r>
      <w:r>
        <w:rPr>
          <w:spacing w:val="-11"/>
          <w:sz w:val="18"/>
        </w:rPr>
        <w:t> </w:t>
      </w:r>
      <w:r>
        <w:rPr>
          <w:sz w:val="18"/>
        </w:rPr>
        <w:t>que</w:t>
      </w:r>
      <w:r>
        <w:rPr>
          <w:spacing w:val="-11"/>
          <w:sz w:val="18"/>
        </w:rPr>
        <w:t> </w:t>
      </w:r>
      <w:r>
        <w:rPr>
          <w:sz w:val="18"/>
        </w:rPr>
        <w:t>provocó</w:t>
      </w:r>
      <w:r>
        <w:rPr>
          <w:spacing w:val="-9"/>
          <w:sz w:val="18"/>
        </w:rPr>
        <w:t> </w:t>
      </w:r>
      <w:r>
        <w:rPr>
          <w:sz w:val="18"/>
        </w:rPr>
        <w:t>una</w:t>
      </w:r>
      <w:r>
        <w:rPr>
          <w:spacing w:val="-9"/>
          <w:sz w:val="18"/>
        </w:rPr>
        <w:t> </w:t>
      </w:r>
      <w:r>
        <w:rPr>
          <w:sz w:val="18"/>
        </w:rPr>
        <w:t>grave</w:t>
      </w:r>
      <w:r>
        <w:rPr>
          <w:spacing w:val="-11"/>
          <w:sz w:val="18"/>
        </w:rPr>
        <w:t> </w:t>
      </w:r>
      <w:r>
        <w:rPr>
          <w:sz w:val="18"/>
        </w:rPr>
        <w:t>escasez</w:t>
      </w:r>
      <w:r>
        <w:rPr>
          <w:spacing w:val="-11"/>
          <w:sz w:val="18"/>
        </w:rPr>
        <w:t> </w:t>
      </w:r>
      <w:r>
        <w:rPr>
          <w:sz w:val="18"/>
        </w:rPr>
        <w:t>de</w:t>
      </w:r>
      <w:r>
        <w:rPr>
          <w:spacing w:val="-11"/>
          <w:sz w:val="18"/>
        </w:rPr>
        <w:t> </w:t>
      </w:r>
      <w:r>
        <w:rPr>
          <w:sz w:val="18"/>
        </w:rPr>
        <w:t>microchips</w:t>
      </w:r>
      <w:r>
        <w:rPr>
          <w:spacing w:val="-11"/>
          <w:sz w:val="18"/>
        </w:rPr>
        <w:t> </w:t>
      </w:r>
      <w:r>
        <w:rPr>
          <w:sz w:val="18"/>
        </w:rPr>
        <w:t>y</w:t>
      </w:r>
      <w:r>
        <w:rPr>
          <w:spacing w:val="-11"/>
          <w:sz w:val="18"/>
        </w:rPr>
        <w:t> </w:t>
      </w:r>
      <w:r>
        <w:rPr>
          <w:sz w:val="18"/>
        </w:rPr>
        <w:t>componentes</w:t>
      </w:r>
      <w:r>
        <w:rPr>
          <w:spacing w:val="-8"/>
          <w:sz w:val="18"/>
        </w:rPr>
        <w:t> </w:t>
      </w:r>
      <w:r>
        <w:rPr>
          <w:sz w:val="18"/>
        </w:rPr>
        <w:t>electrónicos</w:t>
      </w:r>
      <w:r>
        <w:rPr>
          <w:spacing w:val="-8"/>
          <w:sz w:val="18"/>
        </w:rPr>
        <w:t> </w:t>
      </w:r>
      <w:r>
        <w:rPr>
          <w:sz w:val="18"/>
        </w:rPr>
        <w:t>a</w:t>
      </w:r>
      <w:r>
        <w:rPr>
          <w:spacing w:val="-11"/>
          <w:sz w:val="18"/>
        </w:rPr>
        <w:t> </w:t>
      </w:r>
      <w:r>
        <w:rPr>
          <w:sz w:val="18"/>
        </w:rPr>
        <w:t>nivel</w:t>
      </w:r>
      <w:r>
        <w:rPr>
          <w:spacing w:val="-11"/>
          <w:sz w:val="18"/>
        </w:rPr>
        <w:t> </w:t>
      </w:r>
      <w:r>
        <w:rPr>
          <w:sz w:val="18"/>
        </w:rPr>
        <w:t>mundial,</w:t>
      </w:r>
      <w:r>
        <w:rPr>
          <w:spacing w:val="-11"/>
          <w:sz w:val="18"/>
        </w:rPr>
        <w:t> </w:t>
      </w:r>
      <w:r>
        <w:rPr>
          <w:sz w:val="18"/>
        </w:rPr>
        <w:t>y</w:t>
      </w:r>
      <w:r>
        <w:rPr>
          <w:spacing w:val="-8"/>
          <w:sz w:val="18"/>
        </w:rPr>
        <w:t> </w:t>
      </w:r>
      <w:r>
        <w:rPr>
          <w:sz w:val="18"/>
        </w:rPr>
        <w:t>originó</w:t>
      </w:r>
      <w:r>
        <w:rPr>
          <w:spacing w:val="-9"/>
          <w:sz w:val="18"/>
        </w:rPr>
        <w:t> </w:t>
      </w:r>
      <w:r>
        <w:rPr>
          <w:sz w:val="18"/>
        </w:rPr>
        <w:t>demoras generalizadas en los plazos de fabricación y entrega de equipos tecnológicos- que fueron puestos en conocimiento del órgano de contratación. No obstante, no se han aportado dichas comunicaciones ni los acuerdos entre la empresa y el Ayuntamiento</w:t>
      </w:r>
      <w:r>
        <w:rPr>
          <w:spacing w:val="-1"/>
          <w:sz w:val="18"/>
        </w:rPr>
        <w:t> </w:t>
      </w:r>
      <w:r>
        <w:rPr>
          <w:sz w:val="18"/>
        </w:rPr>
        <w:t>en</w:t>
      </w:r>
      <w:r>
        <w:rPr>
          <w:spacing w:val="-2"/>
          <w:sz w:val="18"/>
        </w:rPr>
        <w:t> </w:t>
      </w:r>
      <w:r>
        <w:rPr>
          <w:sz w:val="18"/>
        </w:rPr>
        <w:t>los</w:t>
      </w:r>
      <w:r>
        <w:rPr>
          <w:spacing w:val="-1"/>
          <w:sz w:val="18"/>
        </w:rPr>
        <w:t> </w:t>
      </w:r>
      <w:r>
        <w:rPr>
          <w:sz w:val="18"/>
        </w:rPr>
        <w:t>que se razonaran</w:t>
      </w:r>
      <w:r>
        <w:rPr>
          <w:spacing w:val="-2"/>
          <w:sz w:val="18"/>
        </w:rPr>
        <w:t> </w:t>
      </w:r>
      <w:r>
        <w:rPr>
          <w:sz w:val="18"/>
        </w:rPr>
        <w:t>los</w:t>
      </w:r>
      <w:r>
        <w:rPr>
          <w:spacing w:val="-1"/>
          <w:sz w:val="18"/>
        </w:rPr>
        <w:t> </w:t>
      </w:r>
      <w:r>
        <w:rPr>
          <w:sz w:val="18"/>
        </w:rPr>
        <w:t>motivos de las</w:t>
      </w:r>
      <w:r>
        <w:rPr>
          <w:spacing w:val="-1"/>
          <w:sz w:val="18"/>
        </w:rPr>
        <w:t> </w:t>
      </w:r>
      <w:r>
        <w:rPr>
          <w:sz w:val="18"/>
        </w:rPr>
        <w:t>demoras y</w:t>
      </w:r>
      <w:r>
        <w:rPr>
          <w:spacing w:val="-1"/>
          <w:sz w:val="18"/>
        </w:rPr>
        <w:t> </w:t>
      </w:r>
      <w:r>
        <w:rPr>
          <w:sz w:val="18"/>
        </w:rPr>
        <w:t>en</w:t>
      </w:r>
      <w:r>
        <w:rPr>
          <w:spacing w:val="-2"/>
          <w:sz w:val="18"/>
        </w:rPr>
        <w:t> </w:t>
      </w:r>
      <w:r>
        <w:rPr>
          <w:sz w:val="18"/>
        </w:rPr>
        <w:t>los</w:t>
      </w:r>
      <w:r>
        <w:rPr>
          <w:spacing w:val="-1"/>
          <w:sz w:val="18"/>
        </w:rPr>
        <w:t> </w:t>
      </w:r>
      <w:r>
        <w:rPr>
          <w:sz w:val="18"/>
        </w:rPr>
        <w:t>que se autorizaran las recepciones</w:t>
      </w:r>
      <w:r>
        <w:rPr>
          <w:spacing w:val="-1"/>
          <w:sz w:val="18"/>
        </w:rPr>
        <w:t> </w:t>
      </w:r>
      <w:r>
        <w:rPr>
          <w:sz w:val="18"/>
        </w:rPr>
        <w:t>parciales de los suministros.</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90"/>
        <w:jc w:val="both"/>
      </w:pPr>
      <w:r>
        <w:rPr/>
        <w:t>El</w:t>
      </w:r>
      <w:r>
        <w:rPr>
          <w:spacing w:val="-5"/>
        </w:rPr>
        <w:t> </w:t>
      </w:r>
      <w:r>
        <w:rPr/>
        <w:t>proyecto</w:t>
      </w:r>
      <w:r>
        <w:rPr>
          <w:spacing w:val="-6"/>
        </w:rPr>
        <w:t> </w:t>
      </w:r>
      <w:r>
        <w:rPr/>
        <w:t>del</w:t>
      </w:r>
      <w:r>
        <w:rPr>
          <w:spacing w:val="-7"/>
        </w:rPr>
        <w:t> </w:t>
      </w:r>
      <w:r>
        <w:rPr>
          <w:b/>
        </w:rPr>
        <w:t>Ayuntamiento</w:t>
      </w:r>
      <w:r>
        <w:rPr>
          <w:b/>
          <w:spacing w:val="-6"/>
        </w:rPr>
        <w:t> </w:t>
      </w:r>
      <w:r>
        <w:rPr>
          <w:b/>
        </w:rPr>
        <w:t>de</w:t>
      </w:r>
      <w:r>
        <w:rPr>
          <w:b/>
          <w:spacing w:val="-3"/>
        </w:rPr>
        <w:t> </w:t>
      </w:r>
      <w:r>
        <w:rPr>
          <w:b/>
        </w:rPr>
        <w:t>Palma</w:t>
      </w:r>
      <w:r>
        <w:rPr/>
        <w:t>,</w:t>
      </w:r>
      <w:r>
        <w:rPr>
          <w:spacing w:val="-3"/>
        </w:rPr>
        <w:t> </w:t>
      </w:r>
      <w:r>
        <w:rPr/>
        <w:t>con</w:t>
      </w:r>
      <w:r>
        <w:rPr>
          <w:spacing w:val="-7"/>
        </w:rPr>
        <w:t> </w:t>
      </w:r>
      <w:r>
        <w:rPr/>
        <w:t>un</w:t>
      </w:r>
      <w:r>
        <w:rPr>
          <w:spacing w:val="-9"/>
        </w:rPr>
        <w:t> </w:t>
      </w:r>
      <w:r>
        <w:rPr/>
        <w:t>coste</w:t>
      </w:r>
      <w:r>
        <w:rPr>
          <w:spacing w:val="-3"/>
        </w:rPr>
        <w:t> </w:t>
      </w:r>
      <w:r>
        <w:rPr/>
        <w:t>elegible</w:t>
      </w:r>
      <w:r>
        <w:rPr>
          <w:spacing w:val="-4"/>
        </w:rPr>
        <w:t> </w:t>
      </w:r>
      <w:r>
        <w:rPr/>
        <w:t>de</w:t>
      </w:r>
      <w:r>
        <w:rPr>
          <w:spacing w:val="-7"/>
        </w:rPr>
        <w:t> </w:t>
      </w:r>
      <w:r>
        <w:rPr/>
        <w:t>8.715.000</w:t>
      </w:r>
      <w:r>
        <w:rPr>
          <w:spacing w:val="-4"/>
        </w:rPr>
        <w:t> </w:t>
      </w:r>
      <w:r>
        <w:rPr/>
        <w:t>euros,</w:t>
      </w:r>
      <w:r>
        <w:rPr>
          <w:spacing w:val="-5"/>
        </w:rPr>
        <w:t> </w:t>
      </w:r>
      <w:r>
        <w:rPr/>
        <w:t>comprendía</w:t>
      </w:r>
      <w:r>
        <w:rPr>
          <w:spacing w:val="-6"/>
        </w:rPr>
        <w:t> </w:t>
      </w:r>
      <w:r>
        <w:rPr/>
        <w:t>la ejecución</w:t>
      </w:r>
      <w:r>
        <w:rPr>
          <w:spacing w:val="-2"/>
        </w:rPr>
        <w:t> </w:t>
      </w:r>
      <w:r>
        <w:rPr/>
        <w:t>de</w:t>
      </w:r>
      <w:r>
        <w:rPr>
          <w:spacing w:val="-4"/>
        </w:rPr>
        <w:t> </w:t>
      </w:r>
      <w:r>
        <w:rPr/>
        <w:t>diez</w:t>
      </w:r>
      <w:r>
        <w:rPr>
          <w:spacing w:val="-4"/>
        </w:rPr>
        <w:t> </w:t>
      </w:r>
      <w:r>
        <w:rPr/>
        <w:t>actuaciones </w:t>
      </w:r>
      <w:r>
        <w:rPr>
          <w:rFonts w:ascii="Symbol" w:hAnsi="Symbol"/>
        </w:rPr>
        <w:t></w:t>
      </w:r>
      <w:r>
        <w:rPr/>
        <w:t>1</w:t>
      </w:r>
      <w:r>
        <w:rPr>
          <w:spacing w:val="-4"/>
        </w:rPr>
        <w:t> </w:t>
      </w:r>
      <w:r>
        <w:rPr/>
        <w:t>a</w:t>
      </w:r>
      <w:r>
        <w:rPr>
          <w:spacing w:val="-4"/>
        </w:rPr>
        <w:t> </w:t>
      </w:r>
      <w:r>
        <w:rPr/>
        <w:t>5</w:t>
      </w:r>
      <w:r>
        <w:rPr>
          <w:spacing w:val="-4"/>
        </w:rPr>
        <w:t> </w:t>
      </w:r>
      <w:r>
        <w:rPr/>
        <w:t>y</w:t>
      </w:r>
      <w:r>
        <w:rPr>
          <w:spacing w:val="-1"/>
        </w:rPr>
        <w:t> </w:t>
      </w:r>
      <w:r>
        <w:rPr/>
        <w:t>8</w:t>
      </w:r>
      <w:r>
        <w:rPr>
          <w:spacing w:val="-4"/>
        </w:rPr>
        <w:t> </w:t>
      </w:r>
      <w:r>
        <w:rPr/>
        <w:t>a</w:t>
      </w:r>
      <w:r>
        <w:rPr>
          <w:spacing w:val="-4"/>
        </w:rPr>
        <w:t> </w:t>
      </w:r>
      <w:r>
        <w:rPr/>
        <w:t>12</w:t>
      </w:r>
      <w:r>
        <w:rPr>
          <w:spacing w:val="-3"/>
        </w:rPr>
        <w:t> </w:t>
      </w:r>
      <w:r>
        <w:rPr/>
        <w:t>de</w:t>
      </w:r>
      <w:r>
        <w:rPr>
          <w:spacing w:val="-2"/>
        </w:rPr>
        <w:t> </w:t>
      </w:r>
      <w:r>
        <w:rPr/>
        <w:t>las</w:t>
      </w:r>
      <w:r>
        <w:rPr>
          <w:spacing w:val="-2"/>
        </w:rPr>
        <w:t> </w:t>
      </w:r>
      <w:r>
        <w:rPr/>
        <w:t>relacionadas</w:t>
      </w:r>
      <w:r>
        <w:rPr>
          <w:spacing w:val="-4"/>
        </w:rPr>
        <w:t> </w:t>
      </w:r>
      <w:r>
        <w:rPr/>
        <w:t>en</w:t>
      </w:r>
      <w:r>
        <w:rPr>
          <w:spacing w:val="-4"/>
        </w:rPr>
        <w:t> </w:t>
      </w:r>
      <w:r>
        <w:rPr/>
        <w:t>el</w:t>
      </w:r>
      <w:r>
        <w:rPr>
          <w:spacing w:val="-3"/>
        </w:rPr>
        <w:t> </w:t>
      </w:r>
      <w:r>
        <w:rPr/>
        <w:t>cuadro 10</w:t>
      </w:r>
      <w:r>
        <w:rPr>
          <w:rFonts w:ascii="Symbol" w:hAnsi="Symbol"/>
        </w:rPr>
        <w:t></w:t>
      </w:r>
      <w:r>
        <w:rPr/>
        <w:t>,</w:t>
      </w:r>
      <w:r>
        <w:rPr>
          <w:spacing w:val="-3"/>
        </w:rPr>
        <w:t> </w:t>
      </w:r>
      <w:r>
        <w:rPr/>
        <w:t>nueve</w:t>
      </w:r>
      <w:r>
        <w:rPr>
          <w:spacing w:val="-4"/>
        </w:rPr>
        <w:t> </w:t>
      </w:r>
      <w:r>
        <w:rPr/>
        <w:t>de</w:t>
      </w:r>
      <w:r>
        <w:rPr>
          <w:spacing w:val="-4"/>
        </w:rPr>
        <w:t> </w:t>
      </w:r>
      <w:r>
        <w:rPr/>
        <w:t>ellas comprendidas en el ámbito objetivo de la fiscalización. Para su ejecución la entidad ha tramitado quince contratos en los ejercicios fiscalizados</w:t>
      </w:r>
      <w:hyperlink w:history="true" w:anchor="_bookmark95">
        <w:r>
          <w:rPr>
            <w:vertAlign w:val="superscript"/>
          </w:rPr>
          <w:t>67</w:t>
        </w:r>
        <w:r>
          <w:rPr>
            <w:vertAlign w:val="baseline"/>
          </w:rPr>
          <w:t>,</w:t>
        </w:r>
      </w:hyperlink>
      <w:r>
        <w:rPr>
          <w:vertAlign w:val="baseline"/>
        </w:rPr>
        <w:t> de los que se han examinado cuatro.</w:t>
      </w:r>
    </w:p>
    <w:p>
      <w:pPr>
        <w:pStyle w:val="BodyText"/>
        <w:spacing w:before="241"/>
        <w:ind w:left="992" w:right="987"/>
        <w:jc w:val="both"/>
      </w:pPr>
      <w:r>
        <w:rPr/>
        <w:t>Uno de ellos tenía por objeto la asistencia técnica para la implantación del sistema de venta y validación en cuenta con el que adaptarse a las nuevas necesidades de los viajeros y reducir el cobro</w:t>
      </w:r>
      <w:r>
        <w:rPr>
          <w:spacing w:val="-16"/>
        </w:rPr>
        <w:t> </w:t>
      </w:r>
      <w:r>
        <w:rPr/>
        <w:t>de</w:t>
      </w:r>
      <w:r>
        <w:rPr>
          <w:spacing w:val="-15"/>
        </w:rPr>
        <w:t> </w:t>
      </w:r>
      <w:r>
        <w:rPr/>
        <w:t>billetes</w:t>
      </w:r>
      <w:r>
        <w:rPr>
          <w:spacing w:val="-15"/>
        </w:rPr>
        <w:t> </w:t>
      </w:r>
      <w:r>
        <w:rPr/>
        <w:t>en</w:t>
      </w:r>
      <w:r>
        <w:rPr>
          <w:spacing w:val="-16"/>
        </w:rPr>
        <w:t> </w:t>
      </w:r>
      <w:r>
        <w:rPr/>
        <w:t>efectivo.</w:t>
      </w:r>
      <w:r>
        <w:rPr>
          <w:spacing w:val="-15"/>
        </w:rPr>
        <w:t> </w:t>
      </w:r>
      <w:r>
        <w:rPr/>
        <w:t>El</w:t>
      </w:r>
      <w:r>
        <w:rPr>
          <w:spacing w:val="-15"/>
        </w:rPr>
        <w:t> </w:t>
      </w:r>
      <w:r>
        <w:rPr/>
        <w:t>contrato,</w:t>
      </w:r>
      <w:r>
        <w:rPr>
          <w:spacing w:val="-15"/>
        </w:rPr>
        <w:t> </w:t>
      </w:r>
      <w:r>
        <w:rPr/>
        <w:t>por</w:t>
      </w:r>
      <w:r>
        <w:rPr>
          <w:spacing w:val="-16"/>
        </w:rPr>
        <w:t> </w:t>
      </w:r>
      <w:r>
        <w:rPr/>
        <w:t>importe</w:t>
      </w:r>
      <w:r>
        <w:rPr>
          <w:spacing w:val="-15"/>
        </w:rPr>
        <w:t> </w:t>
      </w:r>
      <w:r>
        <w:rPr/>
        <w:t>de</w:t>
      </w:r>
      <w:r>
        <w:rPr>
          <w:spacing w:val="-15"/>
        </w:rPr>
        <w:t> </w:t>
      </w:r>
      <w:r>
        <w:rPr/>
        <w:t>288.600</w:t>
      </w:r>
      <w:r>
        <w:rPr>
          <w:spacing w:val="-16"/>
        </w:rPr>
        <w:t> </w:t>
      </w:r>
      <w:r>
        <w:rPr/>
        <w:t>euros,</w:t>
      </w:r>
      <w:r>
        <w:rPr>
          <w:spacing w:val="-15"/>
        </w:rPr>
        <w:t> </w:t>
      </w:r>
      <w:r>
        <w:rPr/>
        <w:t>IVA</w:t>
      </w:r>
      <w:r>
        <w:rPr>
          <w:spacing w:val="-15"/>
        </w:rPr>
        <w:t> </w:t>
      </w:r>
      <w:r>
        <w:rPr/>
        <w:t>excluido,</w:t>
      </w:r>
      <w:r>
        <w:rPr>
          <w:spacing w:val="-15"/>
        </w:rPr>
        <w:t> </w:t>
      </w:r>
      <w:r>
        <w:rPr/>
        <w:t>estaba</w:t>
      </w:r>
      <w:r>
        <w:rPr>
          <w:spacing w:val="-16"/>
        </w:rPr>
        <w:t> </w:t>
      </w:r>
      <w:r>
        <w:rPr/>
        <w:t>dividido en</w:t>
      </w:r>
      <w:r>
        <w:rPr>
          <w:spacing w:val="-2"/>
        </w:rPr>
        <w:t> </w:t>
      </w:r>
      <w:r>
        <w:rPr/>
        <w:t>cuatro</w:t>
      </w:r>
      <w:r>
        <w:rPr>
          <w:spacing w:val="-4"/>
        </w:rPr>
        <w:t> </w:t>
      </w:r>
      <w:r>
        <w:rPr/>
        <w:t>etapas:</w:t>
      </w:r>
      <w:r>
        <w:rPr>
          <w:spacing w:val="-3"/>
        </w:rPr>
        <w:t> </w:t>
      </w:r>
      <w:r>
        <w:rPr/>
        <w:t>consultoría</w:t>
      </w:r>
      <w:r>
        <w:rPr>
          <w:spacing w:val="-4"/>
        </w:rPr>
        <w:t> </w:t>
      </w:r>
      <w:r>
        <w:rPr/>
        <w:t>para</w:t>
      </w:r>
      <w:r>
        <w:rPr>
          <w:spacing w:val="-4"/>
        </w:rPr>
        <w:t> </w:t>
      </w:r>
      <w:r>
        <w:rPr/>
        <w:t>la</w:t>
      </w:r>
      <w:r>
        <w:rPr>
          <w:spacing w:val="-4"/>
        </w:rPr>
        <w:t> </w:t>
      </w:r>
      <w:r>
        <w:rPr/>
        <w:t>redacción</w:t>
      </w:r>
      <w:r>
        <w:rPr>
          <w:spacing w:val="-2"/>
        </w:rPr>
        <w:t> </w:t>
      </w:r>
      <w:r>
        <w:rPr/>
        <w:t>del</w:t>
      </w:r>
      <w:r>
        <w:rPr>
          <w:spacing w:val="-2"/>
        </w:rPr>
        <w:t> </w:t>
      </w:r>
      <w:r>
        <w:rPr/>
        <w:t>proyecto</w:t>
      </w:r>
      <w:r>
        <w:rPr>
          <w:spacing w:val="-4"/>
        </w:rPr>
        <w:t> </w:t>
      </w:r>
      <w:r>
        <w:rPr/>
        <w:t>y</w:t>
      </w:r>
      <w:r>
        <w:rPr>
          <w:spacing w:val="-4"/>
        </w:rPr>
        <w:t> </w:t>
      </w:r>
      <w:r>
        <w:rPr/>
        <w:t>los</w:t>
      </w:r>
      <w:r>
        <w:rPr>
          <w:spacing w:val="-2"/>
        </w:rPr>
        <w:t> </w:t>
      </w:r>
      <w:r>
        <w:rPr/>
        <w:t>pliegos;</w:t>
      </w:r>
      <w:r>
        <w:rPr>
          <w:spacing w:val="-3"/>
        </w:rPr>
        <w:t> </w:t>
      </w:r>
      <w:r>
        <w:rPr/>
        <w:t>valoración</w:t>
      </w:r>
      <w:r>
        <w:rPr>
          <w:spacing w:val="-2"/>
        </w:rPr>
        <w:t> </w:t>
      </w:r>
      <w:r>
        <w:rPr/>
        <w:t>técnica</w:t>
      </w:r>
      <w:r>
        <w:rPr>
          <w:spacing w:val="-2"/>
        </w:rPr>
        <w:t> </w:t>
      </w:r>
      <w:r>
        <w:rPr/>
        <w:t>de</w:t>
      </w:r>
      <w:r>
        <w:rPr>
          <w:spacing w:val="-4"/>
        </w:rPr>
        <w:t> </w:t>
      </w:r>
      <w:r>
        <w:rPr/>
        <w:t>las ofertas presentadas en la licitación; asistencia técnica para la supervisión en fases de definición, ingeniería y análisis; y asistencia técnica para la supervisión en las fases</w:t>
      </w:r>
      <w:r>
        <w:rPr>
          <w:spacing w:val="-2"/>
        </w:rPr>
        <w:t> </w:t>
      </w:r>
      <w:r>
        <w:rPr/>
        <w:t>de despliegue puesta en servicio y recepción. Sin embargo, únicamente pudieron ejecutarse las dos primeras, debido a la interdependencia de este contrato con otro, cuya ejecución resultó infructuosa.</w:t>
      </w:r>
    </w:p>
    <w:p>
      <w:pPr>
        <w:pStyle w:val="BodyText"/>
        <w:spacing w:before="107"/>
      </w:pPr>
    </w:p>
    <w:p>
      <w:pPr>
        <w:pStyle w:val="ListParagraph"/>
        <w:numPr>
          <w:ilvl w:val="3"/>
          <w:numId w:val="3"/>
        </w:numPr>
        <w:tabs>
          <w:tab w:pos="1779" w:val="left" w:leader="none"/>
        </w:tabs>
        <w:spacing w:line="240" w:lineRule="auto" w:before="0" w:after="0"/>
        <w:ind w:left="1779" w:right="0" w:hanging="787"/>
        <w:jc w:val="left"/>
        <w:rPr>
          <w:sz w:val="22"/>
        </w:rPr>
      </w:pPr>
      <w:r>
        <w:rPr>
          <w:sz w:val="22"/>
        </w:rPr>
        <w:t>INFORMACIÓN</w:t>
      </w:r>
      <w:r>
        <w:rPr>
          <w:spacing w:val="-10"/>
          <w:sz w:val="22"/>
        </w:rPr>
        <w:t> </w:t>
      </w:r>
      <w:r>
        <w:rPr>
          <w:sz w:val="22"/>
        </w:rPr>
        <w:t>Y</w:t>
      </w:r>
      <w:r>
        <w:rPr>
          <w:spacing w:val="-7"/>
          <w:sz w:val="22"/>
        </w:rPr>
        <w:t> </w:t>
      </w:r>
      <w:r>
        <w:rPr>
          <w:sz w:val="22"/>
        </w:rPr>
        <w:t>DIFUSIÓN</w:t>
      </w:r>
      <w:r>
        <w:rPr>
          <w:spacing w:val="-7"/>
          <w:sz w:val="22"/>
        </w:rPr>
        <w:t> </w:t>
      </w:r>
      <w:r>
        <w:rPr>
          <w:sz w:val="22"/>
        </w:rPr>
        <w:t>DEL</w:t>
      </w:r>
      <w:r>
        <w:rPr>
          <w:spacing w:val="-9"/>
          <w:sz w:val="22"/>
        </w:rPr>
        <w:t> </w:t>
      </w:r>
      <w:r>
        <w:rPr>
          <w:sz w:val="22"/>
        </w:rPr>
        <w:t>TRANSPORTE</w:t>
      </w:r>
      <w:r>
        <w:rPr>
          <w:spacing w:val="-8"/>
          <w:sz w:val="22"/>
        </w:rPr>
        <w:t> </w:t>
      </w:r>
      <w:r>
        <w:rPr>
          <w:sz w:val="22"/>
        </w:rPr>
        <w:t>PÚBLICO</w:t>
      </w:r>
      <w:r>
        <w:rPr>
          <w:spacing w:val="-6"/>
          <w:sz w:val="22"/>
        </w:rPr>
        <w:t> </w:t>
      </w:r>
      <w:r>
        <w:rPr>
          <w:sz w:val="22"/>
        </w:rPr>
        <w:t>COLECTIVO</w:t>
      </w:r>
      <w:r>
        <w:rPr>
          <w:spacing w:val="-5"/>
          <w:sz w:val="22"/>
        </w:rPr>
        <w:t> </w:t>
      </w:r>
      <w:r>
        <w:rPr>
          <w:spacing w:val="-2"/>
          <w:sz w:val="22"/>
        </w:rPr>
        <w:t>SOSTENIBLE</w:t>
      </w:r>
    </w:p>
    <w:p>
      <w:pPr>
        <w:pStyle w:val="BodyText"/>
        <w:spacing w:before="242"/>
        <w:ind w:left="992" w:right="989"/>
        <w:jc w:val="both"/>
      </w:pPr>
      <w:r>
        <w:rPr/>
        <w:t>La</w:t>
      </w:r>
      <w:r>
        <w:rPr>
          <w:spacing w:val="-16"/>
        </w:rPr>
        <w:t> </w:t>
      </w:r>
      <w:r>
        <w:rPr/>
        <w:t>difusión</w:t>
      </w:r>
      <w:r>
        <w:rPr>
          <w:spacing w:val="-15"/>
        </w:rPr>
        <w:t> </w:t>
      </w:r>
      <w:r>
        <w:rPr/>
        <w:t>del</w:t>
      </w:r>
      <w:r>
        <w:rPr>
          <w:spacing w:val="-15"/>
        </w:rPr>
        <w:t> </w:t>
      </w:r>
      <w:r>
        <w:rPr/>
        <w:t>transporte</w:t>
      </w:r>
      <w:r>
        <w:rPr>
          <w:spacing w:val="-16"/>
        </w:rPr>
        <w:t> </w:t>
      </w:r>
      <w:r>
        <w:rPr/>
        <w:t>público</w:t>
      </w:r>
      <w:r>
        <w:rPr>
          <w:spacing w:val="-15"/>
        </w:rPr>
        <w:t> </w:t>
      </w:r>
      <w:r>
        <w:rPr/>
        <w:t>colectivo</w:t>
      </w:r>
      <w:r>
        <w:rPr>
          <w:spacing w:val="-15"/>
        </w:rPr>
        <w:t> </w:t>
      </w:r>
      <w:r>
        <w:rPr/>
        <w:t>se</w:t>
      </w:r>
      <w:r>
        <w:rPr>
          <w:spacing w:val="-15"/>
        </w:rPr>
        <w:t> </w:t>
      </w:r>
      <w:r>
        <w:rPr/>
        <w:t>basa</w:t>
      </w:r>
      <w:r>
        <w:rPr>
          <w:spacing w:val="-16"/>
        </w:rPr>
        <w:t> </w:t>
      </w:r>
      <w:r>
        <w:rPr/>
        <w:t>en</w:t>
      </w:r>
      <w:r>
        <w:rPr>
          <w:spacing w:val="-15"/>
        </w:rPr>
        <w:t> </w:t>
      </w:r>
      <w:r>
        <w:rPr/>
        <w:t>la</w:t>
      </w:r>
      <w:r>
        <w:rPr>
          <w:spacing w:val="-15"/>
        </w:rPr>
        <w:t> </w:t>
      </w:r>
      <w:r>
        <w:rPr/>
        <w:t>realización</w:t>
      </w:r>
      <w:r>
        <w:rPr>
          <w:spacing w:val="-16"/>
        </w:rPr>
        <w:t> </w:t>
      </w:r>
      <w:r>
        <w:rPr/>
        <w:t>de</w:t>
      </w:r>
      <w:r>
        <w:rPr>
          <w:spacing w:val="-15"/>
        </w:rPr>
        <w:t> </w:t>
      </w:r>
      <w:r>
        <w:rPr/>
        <w:t>campañas</w:t>
      </w:r>
      <w:r>
        <w:rPr>
          <w:spacing w:val="-15"/>
        </w:rPr>
        <w:t> </w:t>
      </w:r>
      <w:r>
        <w:rPr/>
        <w:t>de</w:t>
      </w:r>
      <w:r>
        <w:rPr>
          <w:spacing w:val="-15"/>
        </w:rPr>
        <w:t> </w:t>
      </w:r>
      <w:r>
        <w:rPr/>
        <w:t>concienciación sobre</w:t>
      </w:r>
      <w:r>
        <w:rPr>
          <w:spacing w:val="-12"/>
        </w:rPr>
        <w:t> </w:t>
      </w:r>
      <w:r>
        <w:rPr/>
        <w:t>sus</w:t>
      </w:r>
      <w:r>
        <w:rPr>
          <w:spacing w:val="-12"/>
        </w:rPr>
        <w:t> </w:t>
      </w:r>
      <w:r>
        <w:rPr/>
        <w:t>beneficios</w:t>
      </w:r>
      <w:r>
        <w:rPr>
          <w:spacing w:val="-10"/>
        </w:rPr>
        <w:t> </w:t>
      </w:r>
      <w:r>
        <w:rPr/>
        <w:t>para</w:t>
      </w:r>
      <w:r>
        <w:rPr>
          <w:spacing w:val="-10"/>
        </w:rPr>
        <w:t> </w:t>
      </w:r>
      <w:r>
        <w:rPr/>
        <w:t>la</w:t>
      </w:r>
      <w:r>
        <w:rPr>
          <w:spacing w:val="-12"/>
        </w:rPr>
        <w:t> </w:t>
      </w:r>
      <w:r>
        <w:rPr/>
        <w:t>sostenibilidad</w:t>
      </w:r>
      <w:r>
        <w:rPr>
          <w:spacing w:val="-10"/>
        </w:rPr>
        <w:t> </w:t>
      </w:r>
      <w:r>
        <w:rPr/>
        <w:t>y</w:t>
      </w:r>
      <w:r>
        <w:rPr>
          <w:spacing w:val="-9"/>
        </w:rPr>
        <w:t> </w:t>
      </w:r>
      <w:r>
        <w:rPr/>
        <w:t>la</w:t>
      </w:r>
      <w:r>
        <w:rPr>
          <w:spacing w:val="-12"/>
        </w:rPr>
        <w:t> </w:t>
      </w:r>
      <w:r>
        <w:rPr/>
        <w:t>cohesión</w:t>
      </w:r>
      <w:r>
        <w:rPr>
          <w:spacing w:val="-10"/>
        </w:rPr>
        <w:t> </w:t>
      </w:r>
      <w:r>
        <w:rPr/>
        <w:t>social.</w:t>
      </w:r>
      <w:r>
        <w:rPr>
          <w:spacing w:val="-11"/>
        </w:rPr>
        <w:t> </w:t>
      </w:r>
      <w:r>
        <w:rPr/>
        <w:t>Para</w:t>
      </w:r>
      <w:r>
        <w:rPr>
          <w:spacing w:val="-13"/>
        </w:rPr>
        <w:t> </w:t>
      </w:r>
      <w:r>
        <w:rPr/>
        <w:t>motivar</w:t>
      </w:r>
      <w:r>
        <w:rPr>
          <w:spacing w:val="-9"/>
        </w:rPr>
        <w:t> </w:t>
      </w:r>
      <w:r>
        <w:rPr/>
        <w:t>a</w:t>
      </w:r>
      <w:r>
        <w:rPr>
          <w:spacing w:val="-12"/>
        </w:rPr>
        <w:t> </w:t>
      </w:r>
      <w:r>
        <w:rPr/>
        <w:t>los</w:t>
      </w:r>
      <w:r>
        <w:rPr>
          <w:spacing w:val="-12"/>
        </w:rPr>
        <w:t> </w:t>
      </w:r>
      <w:r>
        <w:rPr/>
        <w:t>usuarios</w:t>
      </w:r>
      <w:r>
        <w:rPr>
          <w:spacing w:val="-12"/>
        </w:rPr>
        <w:t> </w:t>
      </w:r>
      <w:r>
        <w:rPr/>
        <w:t>a</w:t>
      </w:r>
      <w:r>
        <w:rPr>
          <w:spacing w:val="-12"/>
        </w:rPr>
        <w:t> </w:t>
      </w:r>
      <w:r>
        <w:rPr/>
        <w:t>utilizar el</w:t>
      </w:r>
      <w:r>
        <w:rPr>
          <w:spacing w:val="-3"/>
        </w:rPr>
        <w:t> </w:t>
      </w:r>
      <w:r>
        <w:rPr/>
        <w:t>transporte</w:t>
      </w:r>
      <w:r>
        <w:rPr>
          <w:spacing w:val="-4"/>
        </w:rPr>
        <w:t> </w:t>
      </w:r>
      <w:r>
        <w:rPr/>
        <w:t>público</w:t>
      </w:r>
      <w:r>
        <w:rPr>
          <w:spacing w:val="-2"/>
        </w:rPr>
        <w:t> </w:t>
      </w:r>
      <w:r>
        <w:rPr/>
        <w:t>es</w:t>
      </w:r>
      <w:r>
        <w:rPr>
          <w:spacing w:val="-4"/>
        </w:rPr>
        <w:t> </w:t>
      </w:r>
      <w:r>
        <w:rPr/>
        <w:t>preciso que</w:t>
      </w:r>
      <w:r>
        <w:rPr>
          <w:spacing w:val="-4"/>
        </w:rPr>
        <w:t> </w:t>
      </w:r>
      <w:r>
        <w:rPr/>
        <w:t>sean</w:t>
      </w:r>
      <w:r>
        <w:rPr>
          <w:spacing w:val="-4"/>
        </w:rPr>
        <w:t> </w:t>
      </w:r>
      <w:r>
        <w:rPr/>
        <w:t>conscientes</w:t>
      </w:r>
      <w:r>
        <w:rPr>
          <w:spacing w:val="-4"/>
        </w:rPr>
        <w:t> </w:t>
      </w:r>
      <w:r>
        <w:rPr/>
        <w:t>de</w:t>
      </w:r>
      <w:r>
        <w:rPr>
          <w:spacing w:val="-2"/>
        </w:rPr>
        <w:t> </w:t>
      </w:r>
      <w:r>
        <w:rPr/>
        <w:t>los</w:t>
      </w:r>
      <w:r>
        <w:rPr>
          <w:spacing w:val="-4"/>
        </w:rPr>
        <w:t> </w:t>
      </w:r>
      <w:r>
        <w:rPr/>
        <w:t>beneficios</w:t>
      </w:r>
      <w:r>
        <w:rPr>
          <w:spacing w:val="-2"/>
        </w:rPr>
        <w:t> </w:t>
      </w:r>
      <w:r>
        <w:rPr/>
        <w:t>que</w:t>
      </w:r>
      <w:r>
        <w:rPr>
          <w:spacing w:val="-2"/>
        </w:rPr>
        <w:t> </w:t>
      </w:r>
      <w:r>
        <w:rPr/>
        <w:t>ofrece:</w:t>
      </w:r>
      <w:r>
        <w:rPr>
          <w:spacing w:val="-3"/>
        </w:rPr>
        <w:t> </w:t>
      </w:r>
      <w:r>
        <w:rPr/>
        <w:t>reducción</w:t>
      </w:r>
      <w:r>
        <w:rPr>
          <w:spacing w:val="-4"/>
        </w:rPr>
        <w:t> </w:t>
      </w:r>
      <w:r>
        <w:rPr/>
        <w:t>de</w:t>
      </w:r>
      <w:r>
        <w:rPr>
          <w:spacing w:val="-4"/>
        </w:rPr>
        <w:t> </w:t>
      </w:r>
      <w:r>
        <w:rPr/>
        <w:t>la contaminación</w:t>
      </w:r>
      <w:r>
        <w:rPr>
          <w:spacing w:val="-4"/>
        </w:rPr>
        <w:t> </w:t>
      </w:r>
      <w:r>
        <w:rPr/>
        <w:t>y</w:t>
      </w:r>
      <w:r>
        <w:rPr>
          <w:spacing w:val="-4"/>
        </w:rPr>
        <w:t> </w:t>
      </w:r>
      <w:r>
        <w:rPr/>
        <w:t>de</w:t>
      </w:r>
      <w:r>
        <w:rPr>
          <w:spacing w:val="-7"/>
        </w:rPr>
        <w:t> </w:t>
      </w:r>
      <w:r>
        <w:rPr/>
        <w:t>la</w:t>
      </w:r>
      <w:r>
        <w:rPr>
          <w:spacing w:val="-4"/>
        </w:rPr>
        <w:t> </w:t>
      </w:r>
      <w:r>
        <w:rPr/>
        <w:t>cogestión</w:t>
      </w:r>
      <w:r>
        <w:rPr>
          <w:spacing w:val="-4"/>
        </w:rPr>
        <w:t> </w:t>
      </w:r>
      <w:r>
        <w:rPr/>
        <w:t>del</w:t>
      </w:r>
      <w:r>
        <w:rPr>
          <w:spacing w:val="-5"/>
        </w:rPr>
        <w:t> </w:t>
      </w:r>
      <w:r>
        <w:rPr/>
        <w:t>tráfico;</w:t>
      </w:r>
      <w:r>
        <w:rPr>
          <w:spacing w:val="-3"/>
        </w:rPr>
        <w:t> </w:t>
      </w:r>
      <w:r>
        <w:rPr/>
        <w:t>ahorro</w:t>
      </w:r>
      <w:r>
        <w:rPr>
          <w:spacing w:val="-4"/>
        </w:rPr>
        <w:t> </w:t>
      </w:r>
      <w:r>
        <w:rPr/>
        <w:t>económico</w:t>
      </w:r>
      <w:r>
        <w:rPr>
          <w:spacing w:val="-4"/>
        </w:rPr>
        <w:t> </w:t>
      </w:r>
      <w:r>
        <w:rPr/>
        <w:t>al</w:t>
      </w:r>
      <w:r>
        <w:rPr>
          <w:spacing w:val="-5"/>
        </w:rPr>
        <w:t> </w:t>
      </w:r>
      <w:r>
        <w:rPr/>
        <w:t>reducir</w:t>
      </w:r>
      <w:r>
        <w:rPr>
          <w:spacing w:val="-3"/>
        </w:rPr>
        <w:t> </w:t>
      </w:r>
      <w:r>
        <w:rPr/>
        <w:t>el</w:t>
      </w:r>
      <w:r>
        <w:rPr>
          <w:spacing w:val="-5"/>
        </w:rPr>
        <w:t> </w:t>
      </w:r>
      <w:r>
        <w:rPr/>
        <w:t>uso</w:t>
      </w:r>
      <w:r>
        <w:rPr>
          <w:spacing w:val="-4"/>
        </w:rPr>
        <w:t> </w:t>
      </w:r>
      <w:r>
        <w:rPr/>
        <w:t>del</w:t>
      </w:r>
      <w:r>
        <w:rPr>
          <w:spacing w:val="-5"/>
        </w:rPr>
        <w:t> </w:t>
      </w:r>
      <w:r>
        <w:rPr/>
        <w:t>vehículo</w:t>
      </w:r>
      <w:r>
        <w:rPr>
          <w:spacing w:val="-4"/>
        </w:rPr>
        <w:t> </w:t>
      </w:r>
      <w:r>
        <w:rPr/>
        <w:t>privado (carburante,</w:t>
      </w:r>
      <w:r>
        <w:rPr>
          <w:spacing w:val="-7"/>
        </w:rPr>
        <w:t> </w:t>
      </w:r>
      <w:r>
        <w:rPr/>
        <w:t>estacionamiento,</w:t>
      </w:r>
      <w:r>
        <w:rPr>
          <w:spacing w:val="-10"/>
        </w:rPr>
        <w:t> </w:t>
      </w:r>
      <w:r>
        <w:rPr/>
        <w:t>mantenimiento…);</w:t>
      </w:r>
      <w:r>
        <w:rPr>
          <w:spacing w:val="-10"/>
        </w:rPr>
        <w:t> </w:t>
      </w:r>
      <w:r>
        <w:rPr/>
        <w:t>mejora</w:t>
      </w:r>
      <w:r>
        <w:rPr>
          <w:spacing w:val="-9"/>
        </w:rPr>
        <w:t> </w:t>
      </w:r>
      <w:r>
        <w:rPr/>
        <w:t>de</w:t>
      </w:r>
      <w:r>
        <w:rPr>
          <w:spacing w:val="-12"/>
        </w:rPr>
        <w:t> </w:t>
      </w:r>
      <w:r>
        <w:rPr/>
        <w:t>la</w:t>
      </w:r>
      <w:r>
        <w:rPr>
          <w:spacing w:val="-9"/>
        </w:rPr>
        <w:t> </w:t>
      </w:r>
      <w:r>
        <w:rPr/>
        <w:t>salud</w:t>
      </w:r>
      <w:r>
        <w:rPr>
          <w:spacing w:val="-9"/>
        </w:rPr>
        <w:t> </w:t>
      </w:r>
      <w:r>
        <w:rPr/>
        <w:t>física</w:t>
      </w:r>
      <w:r>
        <w:rPr>
          <w:spacing w:val="-11"/>
        </w:rPr>
        <w:t> </w:t>
      </w:r>
      <w:r>
        <w:rPr/>
        <w:t>y</w:t>
      </w:r>
      <w:r>
        <w:rPr>
          <w:spacing w:val="-8"/>
        </w:rPr>
        <w:t> </w:t>
      </w:r>
      <w:r>
        <w:rPr/>
        <w:t>mental,</w:t>
      </w:r>
      <w:r>
        <w:rPr>
          <w:spacing w:val="-7"/>
        </w:rPr>
        <w:t> </w:t>
      </w:r>
      <w:r>
        <w:rPr/>
        <w:t>al</w:t>
      </w:r>
      <w:r>
        <w:rPr>
          <w:spacing w:val="-10"/>
        </w:rPr>
        <w:t> </w:t>
      </w:r>
      <w:r>
        <w:rPr/>
        <w:t>poder</w:t>
      </w:r>
      <w:r>
        <w:rPr>
          <w:spacing w:val="-8"/>
        </w:rPr>
        <w:t> </w:t>
      </w:r>
      <w:r>
        <w:rPr/>
        <w:t>ir</w:t>
      </w:r>
      <w:r>
        <w:rPr>
          <w:spacing w:val="-10"/>
        </w:rPr>
        <w:t> </w:t>
      </w:r>
      <w:r>
        <w:rPr/>
        <w:t>a</w:t>
      </w:r>
      <w:r>
        <w:rPr>
          <w:spacing w:val="-9"/>
        </w:rPr>
        <w:t> </w:t>
      </w:r>
      <w:r>
        <w:rPr/>
        <w:t>pie o en bicicleta hasta la parada o estación, además de poder leer o realizar cualquier otra actividad durante el trayecto, son</w:t>
      </w:r>
      <w:r>
        <w:rPr>
          <w:spacing w:val="-1"/>
        </w:rPr>
        <w:t> </w:t>
      </w:r>
      <w:r>
        <w:rPr/>
        <w:t>algunos de los beneficios que puede reportar el uso del transporte público </w:t>
      </w:r>
      <w:r>
        <w:rPr>
          <w:spacing w:val="-2"/>
        </w:rPr>
        <w:t>colectivo.</w:t>
      </w:r>
    </w:p>
    <w:p>
      <w:pPr>
        <w:pStyle w:val="BodyText"/>
        <w:spacing w:before="239"/>
        <w:ind w:left="992" w:right="986"/>
        <w:jc w:val="both"/>
      </w:pPr>
      <w:r>
        <w:rPr/>
        <w:t>Los </w:t>
      </w:r>
      <w:r>
        <w:rPr>
          <w:b/>
        </w:rPr>
        <w:t>Ayuntamientos de Alicante, Córdoba, Las Palmas de Gran Canaria, Palma </w:t>
      </w:r>
      <w:r>
        <w:rPr/>
        <w:t>y </w:t>
      </w:r>
      <w:r>
        <w:rPr>
          <w:b/>
        </w:rPr>
        <w:t>Sevilla </w:t>
      </w:r>
      <w:r>
        <w:rPr/>
        <w:t>han llevado actuaciones con este fin, exponiéndose en el cuadro siguiente las actuaciones de información y difusión llevadas a cabo por las entidades fiscalizadas. El </w:t>
      </w:r>
      <w:r>
        <w:rPr>
          <w:b/>
        </w:rPr>
        <w:t>Ayuntamiento de Zaragoza </w:t>
      </w:r>
      <w:r>
        <w:rPr/>
        <w:t>ha remitido, en el trámite de alegaciones, una relación de 21 campañas de difusión del transporte público colectivo por autobús y tranvía, realizadas por este, las empresas prestadoras del servicio o conjuntamente, si bien no ha aportado información sobre su importe, financiación y estado de ejecución, así como tampoco documentación acreditativa sobre ellas.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8"/>
        <w:rPr>
          <w:sz w:val="20"/>
        </w:rPr>
      </w:pPr>
      <w:r>
        <w:rPr>
          <w:sz w:val="20"/>
        </w:rPr>
        <mc:AlternateContent>
          <mc:Choice Requires="wps">
            <w:drawing>
              <wp:anchor distT="0" distB="0" distL="0" distR="0" allowOverlap="1" layoutInCell="1" locked="0" behindDoc="1" simplePos="0" relativeHeight="487617536">
                <wp:simplePos x="0" y="0"/>
                <wp:positionH relativeFrom="page">
                  <wp:posOffset>719632</wp:posOffset>
                </wp:positionH>
                <wp:positionV relativeFrom="paragraph">
                  <wp:posOffset>287412</wp:posOffset>
                </wp:positionV>
                <wp:extent cx="1829435" cy="9525"/>
                <wp:effectExtent l="0" t="0" r="0" b="0"/>
                <wp:wrapTopAndBottom/>
                <wp:docPr id="185" name="Graphic 185"/>
                <wp:cNvGraphicFramePr>
                  <a:graphicFrameLocks/>
                </wp:cNvGraphicFramePr>
                <a:graphic>
                  <a:graphicData uri="http://schemas.microsoft.com/office/word/2010/wordprocessingShape">
                    <wps:wsp>
                      <wps:cNvPr id="185" name="Graphic 185"/>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22.630873pt;width:144.020pt;height:.72003pt;mso-position-horizontal-relative:page;mso-position-vertical-relative:paragraph;z-index:-15698944;mso-wrap-distance-left:0;mso-wrap-distance-right:0" id="docshape167" filled="true" fillcolor="#000000" stroked="false">
                <v:fill type="solid"/>
                <w10:wrap type="topAndBottom"/>
              </v:rect>
            </w:pict>
          </mc:Fallback>
        </mc:AlternateContent>
      </w:r>
    </w:p>
    <w:p>
      <w:pPr>
        <w:spacing w:before="118"/>
        <w:ind w:left="992" w:right="907" w:firstLine="0"/>
        <w:jc w:val="left"/>
        <w:rPr>
          <w:sz w:val="18"/>
        </w:rPr>
      </w:pPr>
      <w:bookmarkStart w:name="_bookmark95" w:id="97"/>
      <w:bookmarkEnd w:id="97"/>
      <w:r>
        <w:rPr/>
      </w:r>
      <w:r>
        <w:rPr>
          <w:position w:val="6"/>
          <w:sz w:val="12"/>
        </w:rPr>
        <w:t>67</w:t>
      </w:r>
      <w:r>
        <w:rPr>
          <w:spacing w:val="40"/>
          <w:position w:val="6"/>
          <w:sz w:val="12"/>
        </w:rPr>
        <w:t> </w:t>
      </w:r>
      <w:r>
        <w:rPr>
          <w:sz w:val="18"/>
        </w:rPr>
        <w:t>Algunos</w:t>
      </w:r>
      <w:r>
        <w:rPr>
          <w:spacing w:val="29"/>
          <w:sz w:val="18"/>
        </w:rPr>
        <w:t> </w:t>
      </w:r>
      <w:r>
        <w:rPr>
          <w:sz w:val="18"/>
        </w:rPr>
        <w:t>de</w:t>
      </w:r>
      <w:r>
        <w:rPr>
          <w:spacing w:val="28"/>
          <w:sz w:val="18"/>
        </w:rPr>
        <w:t> </w:t>
      </w:r>
      <w:r>
        <w:rPr>
          <w:sz w:val="18"/>
        </w:rPr>
        <w:t>los</w:t>
      </w:r>
      <w:r>
        <w:rPr>
          <w:spacing w:val="31"/>
          <w:sz w:val="18"/>
        </w:rPr>
        <w:t> </w:t>
      </w:r>
      <w:r>
        <w:rPr>
          <w:sz w:val="18"/>
        </w:rPr>
        <w:t>contratos</w:t>
      </w:r>
      <w:r>
        <w:rPr>
          <w:spacing w:val="32"/>
          <w:sz w:val="18"/>
        </w:rPr>
        <w:t> </w:t>
      </w:r>
      <w:r>
        <w:rPr>
          <w:sz w:val="18"/>
        </w:rPr>
        <w:t>incluían,</w:t>
      </w:r>
      <w:r>
        <w:rPr>
          <w:spacing w:val="28"/>
          <w:sz w:val="18"/>
        </w:rPr>
        <w:t> </w:t>
      </w:r>
      <w:r>
        <w:rPr>
          <w:sz w:val="18"/>
        </w:rPr>
        <w:t>además</w:t>
      </w:r>
      <w:r>
        <w:rPr>
          <w:spacing w:val="29"/>
          <w:sz w:val="18"/>
        </w:rPr>
        <w:t> </w:t>
      </w:r>
      <w:r>
        <w:rPr>
          <w:sz w:val="18"/>
        </w:rPr>
        <w:t>de</w:t>
      </w:r>
      <w:r>
        <w:rPr>
          <w:spacing w:val="29"/>
          <w:sz w:val="18"/>
        </w:rPr>
        <w:t> </w:t>
      </w:r>
      <w:r>
        <w:rPr>
          <w:sz w:val="18"/>
        </w:rPr>
        <w:t>las</w:t>
      </w:r>
      <w:r>
        <w:rPr>
          <w:spacing w:val="31"/>
          <w:sz w:val="18"/>
        </w:rPr>
        <w:t> </w:t>
      </w:r>
      <w:r>
        <w:rPr>
          <w:sz w:val="18"/>
        </w:rPr>
        <w:t>prestaciones</w:t>
      </w:r>
      <w:r>
        <w:rPr>
          <w:spacing w:val="29"/>
          <w:sz w:val="18"/>
        </w:rPr>
        <w:t> </w:t>
      </w:r>
      <w:r>
        <w:rPr>
          <w:sz w:val="18"/>
        </w:rPr>
        <w:t>correspondientes</w:t>
      </w:r>
      <w:r>
        <w:rPr>
          <w:spacing w:val="29"/>
          <w:sz w:val="18"/>
        </w:rPr>
        <w:t> </w:t>
      </w:r>
      <w:r>
        <w:rPr>
          <w:sz w:val="18"/>
        </w:rPr>
        <w:t>a</w:t>
      </w:r>
      <w:r>
        <w:rPr>
          <w:spacing w:val="31"/>
          <w:sz w:val="18"/>
        </w:rPr>
        <w:t> </w:t>
      </w:r>
      <w:r>
        <w:rPr>
          <w:sz w:val="18"/>
        </w:rPr>
        <w:t>actuaciones</w:t>
      </w:r>
      <w:r>
        <w:rPr>
          <w:spacing w:val="31"/>
          <w:sz w:val="18"/>
        </w:rPr>
        <w:t> </w:t>
      </w:r>
      <w:r>
        <w:rPr>
          <w:sz w:val="18"/>
        </w:rPr>
        <w:t>de</w:t>
      </w:r>
      <w:r>
        <w:rPr>
          <w:spacing w:val="31"/>
          <w:sz w:val="18"/>
        </w:rPr>
        <w:t> </w:t>
      </w:r>
      <w:r>
        <w:rPr>
          <w:sz w:val="18"/>
        </w:rPr>
        <w:t>este</w:t>
      </w:r>
      <w:r>
        <w:rPr>
          <w:spacing w:val="29"/>
          <w:sz w:val="18"/>
        </w:rPr>
        <w:t> </w:t>
      </w:r>
      <w:r>
        <w:rPr>
          <w:sz w:val="18"/>
        </w:rPr>
        <w:t>proyecto colaborativo, otras correspondientes al proyecto ejecutado por esta entidad de forma individual.</w:t>
      </w:r>
    </w:p>
    <w:p>
      <w:pPr>
        <w:spacing w:after="0"/>
        <w:jc w:val="left"/>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Heading4"/>
        <w:ind w:left="1477" w:right="1477"/>
      </w:pPr>
      <w:bookmarkStart w:name="_bookmark96" w:id="98"/>
      <w:bookmarkEnd w:id="98"/>
      <w:r>
        <w:rPr>
          <w:b w:val="0"/>
        </w:rPr>
      </w:r>
      <w:r>
        <w:rPr/>
        <w:t>CUADRO</w:t>
      </w:r>
      <w:r>
        <w:rPr>
          <w:spacing w:val="-4"/>
        </w:rPr>
        <w:t> </w:t>
      </w:r>
      <w:r>
        <w:rPr/>
        <w:t>13.</w:t>
      </w:r>
      <w:r>
        <w:rPr>
          <w:spacing w:val="-7"/>
        </w:rPr>
        <w:t> </w:t>
      </w:r>
      <w:r>
        <w:rPr/>
        <w:t>INFORMACIÓN</w:t>
      </w:r>
      <w:r>
        <w:rPr>
          <w:spacing w:val="-6"/>
        </w:rPr>
        <w:t> </w:t>
      </w:r>
      <w:r>
        <w:rPr/>
        <w:t>Y</w:t>
      </w:r>
      <w:r>
        <w:rPr>
          <w:spacing w:val="-6"/>
        </w:rPr>
        <w:t> </w:t>
      </w:r>
      <w:r>
        <w:rPr>
          <w:spacing w:val="-2"/>
        </w:rPr>
        <w:t>DIFUSIÓN</w:t>
      </w:r>
    </w:p>
    <w:p>
      <w:pPr>
        <w:pStyle w:val="BodyText"/>
        <w:spacing w:before="10"/>
        <w:rPr>
          <w:b/>
          <w:sz w:val="18"/>
        </w:rPr>
      </w:pPr>
      <w:r>
        <w:rPr>
          <w:b/>
          <w:sz w:val="18"/>
        </w:rPr>
        <mc:AlternateContent>
          <mc:Choice Requires="wps">
            <w:drawing>
              <wp:anchor distT="0" distB="0" distL="0" distR="0" allowOverlap="1" layoutInCell="1" locked="0" behindDoc="1" simplePos="0" relativeHeight="487618048">
                <wp:simplePos x="0" y="0"/>
                <wp:positionH relativeFrom="page">
                  <wp:posOffset>719632</wp:posOffset>
                </wp:positionH>
                <wp:positionV relativeFrom="paragraph">
                  <wp:posOffset>153484</wp:posOffset>
                </wp:positionV>
                <wp:extent cx="6363970" cy="563880"/>
                <wp:effectExtent l="0" t="0" r="0" b="0"/>
                <wp:wrapTopAndBottom/>
                <wp:docPr id="186" name="Group 186"/>
                <wp:cNvGraphicFramePr>
                  <a:graphicFrameLocks/>
                </wp:cNvGraphicFramePr>
                <a:graphic>
                  <a:graphicData uri="http://schemas.microsoft.com/office/word/2010/wordprocessingGroup">
                    <wpg:wgp>
                      <wpg:cNvPr id="186" name="Group 186"/>
                      <wpg:cNvGrpSpPr/>
                      <wpg:grpSpPr>
                        <a:xfrm>
                          <a:off x="0" y="0"/>
                          <a:ext cx="6363970" cy="563880"/>
                          <a:chExt cx="6363970" cy="563880"/>
                        </a:xfrm>
                      </wpg:grpSpPr>
                      <wps:wsp>
                        <wps:cNvPr id="187" name="Graphic 187"/>
                        <wps:cNvSpPr/>
                        <wps:spPr>
                          <a:xfrm>
                            <a:off x="0" y="0"/>
                            <a:ext cx="6363970" cy="546100"/>
                          </a:xfrm>
                          <a:custGeom>
                            <a:avLst/>
                            <a:gdLst/>
                            <a:ahLst/>
                            <a:cxnLst/>
                            <a:rect l="l" t="t" r="r" b="b"/>
                            <a:pathLst>
                              <a:path w="6363970" h="546100">
                                <a:moveTo>
                                  <a:pt x="2624531" y="0"/>
                                </a:moveTo>
                                <a:lnTo>
                                  <a:pt x="720852" y="0"/>
                                </a:lnTo>
                                <a:lnTo>
                                  <a:pt x="0" y="0"/>
                                </a:lnTo>
                                <a:lnTo>
                                  <a:pt x="0" y="545592"/>
                                </a:lnTo>
                                <a:lnTo>
                                  <a:pt x="720801" y="545592"/>
                                </a:lnTo>
                                <a:lnTo>
                                  <a:pt x="2624531" y="545592"/>
                                </a:lnTo>
                                <a:lnTo>
                                  <a:pt x="2624531" y="0"/>
                                </a:lnTo>
                                <a:close/>
                              </a:path>
                              <a:path w="6363970" h="546100">
                                <a:moveTo>
                                  <a:pt x="6363919" y="0"/>
                                </a:moveTo>
                                <a:lnTo>
                                  <a:pt x="6363919" y="0"/>
                                </a:lnTo>
                                <a:lnTo>
                                  <a:pt x="2624658" y="0"/>
                                </a:lnTo>
                                <a:lnTo>
                                  <a:pt x="2624658" y="545592"/>
                                </a:lnTo>
                                <a:lnTo>
                                  <a:pt x="3307664" y="545592"/>
                                </a:lnTo>
                                <a:lnTo>
                                  <a:pt x="4069664" y="545592"/>
                                </a:lnTo>
                                <a:lnTo>
                                  <a:pt x="4831969" y="545592"/>
                                </a:lnTo>
                                <a:lnTo>
                                  <a:pt x="4831969" y="211848"/>
                                </a:lnTo>
                                <a:lnTo>
                                  <a:pt x="4069664" y="211848"/>
                                </a:lnTo>
                                <a:lnTo>
                                  <a:pt x="4069664" y="199644"/>
                                </a:lnTo>
                                <a:lnTo>
                                  <a:pt x="5594299" y="199644"/>
                                </a:lnTo>
                                <a:lnTo>
                                  <a:pt x="5594299" y="211848"/>
                                </a:lnTo>
                                <a:lnTo>
                                  <a:pt x="4832045" y="211848"/>
                                </a:lnTo>
                                <a:lnTo>
                                  <a:pt x="4832045" y="545592"/>
                                </a:lnTo>
                                <a:lnTo>
                                  <a:pt x="5594299" y="545592"/>
                                </a:lnTo>
                                <a:lnTo>
                                  <a:pt x="6363919" y="545592"/>
                                </a:lnTo>
                                <a:lnTo>
                                  <a:pt x="6363919" y="0"/>
                                </a:lnTo>
                                <a:close/>
                              </a:path>
                            </a:pathLst>
                          </a:custGeom>
                          <a:solidFill>
                            <a:srgbClr val="002D5D"/>
                          </a:solidFill>
                        </wps:spPr>
                        <wps:bodyPr wrap="square" lIns="0" tIns="0" rIns="0" bIns="0" rtlCol="0">
                          <a:prstTxWarp prst="textNoShape">
                            <a:avLst/>
                          </a:prstTxWarp>
                          <a:noAutofit/>
                        </wps:bodyPr>
                      </wps:wsp>
                      <wps:wsp>
                        <wps:cNvPr id="188" name="Graphic 188"/>
                        <wps:cNvSpPr/>
                        <wps:spPr>
                          <a:xfrm>
                            <a:off x="0" y="545591"/>
                            <a:ext cx="6362700" cy="18415"/>
                          </a:xfrm>
                          <a:custGeom>
                            <a:avLst/>
                            <a:gdLst/>
                            <a:ahLst/>
                            <a:cxnLst/>
                            <a:rect l="l" t="t" r="r" b="b"/>
                            <a:pathLst>
                              <a:path w="6362700" h="18415">
                                <a:moveTo>
                                  <a:pt x="2623007" y="0"/>
                                </a:moveTo>
                                <a:lnTo>
                                  <a:pt x="739089" y="0"/>
                                </a:lnTo>
                                <a:lnTo>
                                  <a:pt x="720852" y="0"/>
                                </a:lnTo>
                                <a:lnTo>
                                  <a:pt x="0" y="0"/>
                                </a:lnTo>
                                <a:lnTo>
                                  <a:pt x="0" y="18288"/>
                                </a:lnTo>
                                <a:lnTo>
                                  <a:pt x="720801" y="18288"/>
                                </a:lnTo>
                                <a:lnTo>
                                  <a:pt x="739089" y="18288"/>
                                </a:lnTo>
                                <a:lnTo>
                                  <a:pt x="2623007" y="18288"/>
                                </a:lnTo>
                                <a:lnTo>
                                  <a:pt x="2623007" y="0"/>
                                </a:lnTo>
                                <a:close/>
                              </a:path>
                              <a:path w="6362700" h="18415">
                                <a:moveTo>
                                  <a:pt x="4830445" y="0"/>
                                </a:moveTo>
                                <a:lnTo>
                                  <a:pt x="4830445" y="0"/>
                                </a:lnTo>
                                <a:lnTo>
                                  <a:pt x="2623134" y="0"/>
                                </a:lnTo>
                                <a:lnTo>
                                  <a:pt x="2623134" y="18288"/>
                                </a:lnTo>
                                <a:lnTo>
                                  <a:pt x="4830445" y="18288"/>
                                </a:lnTo>
                                <a:lnTo>
                                  <a:pt x="4830445" y="0"/>
                                </a:lnTo>
                                <a:close/>
                              </a:path>
                              <a:path w="6362700" h="18415">
                                <a:moveTo>
                                  <a:pt x="6362395" y="0"/>
                                </a:moveTo>
                                <a:lnTo>
                                  <a:pt x="6362395" y="0"/>
                                </a:lnTo>
                                <a:lnTo>
                                  <a:pt x="4830521" y="0"/>
                                </a:lnTo>
                                <a:lnTo>
                                  <a:pt x="4830521" y="18288"/>
                                </a:lnTo>
                                <a:lnTo>
                                  <a:pt x="6362395" y="18288"/>
                                </a:lnTo>
                                <a:lnTo>
                                  <a:pt x="6362395" y="0"/>
                                </a:lnTo>
                                <a:close/>
                              </a:path>
                            </a:pathLst>
                          </a:custGeom>
                          <a:solidFill>
                            <a:srgbClr val="001F5F"/>
                          </a:solidFill>
                        </wps:spPr>
                        <wps:bodyPr wrap="square" lIns="0" tIns="0" rIns="0" bIns="0" rtlCol="0">
                          <a:prstTxWarp prst="textNoShape">
                            <a:avLst/>
                          </a:prstTxWarp>
                          <a:noAutofit/>
                        </wps:bodyPr>
                      </wps:wsp>
                      <wps:wsp>
                        <wps:cNvPr id="189" name="Textbox 189"/>
                        <wps:cNvSpPr txBox="1"/>
                        <wps:spPr>
                          <a:xfrm>
                            <a:off x="217931" y="207010"/>
                            <a:ext cx="299085" cy="131445"/>
                          </a:xfrm>
                          <a:prstGeom prst="rect">
                            <a:avLst/>
                          </a:prstGeom>
                        </wps:spPr>
                        <wps:txbx>
                          <w:txbxContent>
                            <w:p>
                              <w:pPr>
                                <w:spacing w:line="206" w:lineRule="exact" w:before="0"/>
                                <w:ind w:left="0" w:right="0" w:firstLine="0"/>
                                <w:jc w:val="left"/>
                                <w:rPr>
                                  <w:rFonts w:ascii="Arial Narrow"/>
                                  <w:b/>
                                  <w:sz w:val="18"/>
                                </w:rPr>
                              </w:pPr>
                              <w:r>
                                <w:rPr>
                                  <w:rFonts w:ascii="Arial Narrow"/>
                                  <w:b/>
                                  <w:color w:val="FFFFFF"/>
                                  <w:spacing w:val="-2"/>
                                  <w:sz w:val="18"/>
                                </w:rPr>
                                <w:t>AYTO.</w:t>
                              </w:r>
                            </w:p>
                          </w:txbxContent>
                        </wps:txbx>
                        <wps:bodyPr wrap="square" lIns="0" tIns="0" rIns="0" bIns="0" rtlCol="0">
                          <a:noAutofit/>
                        </wps:bodyPr>
                      </wps:wsp>
                      <wps:wsp>
                        <wps:cNvPr id="190" name="Textbox 190"/>
                        <wps:cNvSpPr txBox="1"/>
                        <wps:spPr>
                          <a:xfrm>
                            <a:off x="1004265" y="207010"/>
                            <a:ext cx="1345565" cy="131445"/>
                          </a:xfrm>
                          <a:prstGeom prst="rect">
                            <a:avLst/>
                          </a:prstGeom>
                        </wps:spPr>
                        <wps:txbx>
                          <w:txbxContent>
                            <w:p>
                              <w:pPr>
                                <w:spacing w:line="206" w:lineRule="exact" w:before="0"/>
                                <w:ind w:left="0" w:right="0" w:firstLine="0"/>
                                <w:jc w:val="left"/>
                                <w:rPr>
                                  <w:rFonts w:ascii="Arial Narrow" w:hAnsi="Arial Narrow"/>
                                  <w:b/>
                                  <w:sz w:val="18"/>
                                </w:rPr>
                              </w:pPr>
                              <w:r>
                                <w:rPr>
                                  <w:rFonts w:ascii="Arial Narrow" w:hAnsi="Arial Narrow"/>
                                  <w:b/>
                                  <w:color w:val="FFFFFF"/>
                                  <w:sz w:val="18"/>
                                </w:rPr>
                                <w:t>DENOMINACIÓN</w:t>
                              </w:r>
                              <w:r>
                                <w:rPr>
                                  <w:rFonts w:ascii="Arial Narrow" w:hAnsi="Arial Narrow"/>
                                  <w:b/>
                                  <w:color w:val="FFFFFF"/>
                                  <w:spacing w:val="-5"/>
                                  <w:sz w:val="18"/>
                                </w:rPr>
                                <w:t> </w:t>
                              </w:r>
                              <w:r>
                                <w:rPr>
                                  <w:rFonts w:ascii="Arial Narrow" w:hAnsi="Arial Narrow"/>
                                  <w:b/>
                                  <w:color w:val="FFFFFF"/>
                                  <w:spacing w:val="-2"/>
                                  <w:sz w:val="18"/>
                                </w:rPr>
                                <w:t>ACTUACIÓN</w:t>
                              </w:r>
                            </w:p>
                          </w:txbxContent>
                        </wps:txbx>
                        <wps:bodyPr wrap="square" lIns="0" tIns="0" rIns="0" bIns="0" rtlCol="0">
                          <a:noAutofit/>
                        </wps:bodyPr>
                      </wps:wsp>
                      <wps:wsp>
                        <wps:cNvPr id="191" name="Textbox 191"/>
                        <wps:cNvSpPr txBox="1"/>
                        <wps:spPr>
                          <a:xfrm>
                            <a:off x="2668854" y="75946"/>
                            <a:ext cx="605790" cy="393700"/>
                          </a:xfrm>
                          <a:prstGeom prst="rect">
                            <a:avLst/>
                          </a:prstGeom>
                        </wps:spPr>
                        <wps:txbx>
                          <w:txbxContent>
                            <w:p>
                              <w:pPr>
                                <w:spacing w:before="0"/>
                                <w:ind w:left="0" w:right="18" w:firstLine="3"/>
                                <w:jc w:val="center"/>
                                <w:rPr>
                                  <w:rFonts w:ascii="Arial Narrow" w:hAnsi="Arial Narrow"/>
                                  <w:b/>
                                  <w:sz w:val="18"/>
                                </w:rPr>
                              </w:pPr>
                              <w:r>
                                <w:rPr>
                                  <w:rFonts w:ascii="Arial Narrow" w:hAnsi="Arial Narrow"/>
                                  <w:b/>
                                  <w:color w:val="FFFFFF"/>
                                  <w:spacing w:val="-6"/>
                                  <w:sz w:val="18"/>
                                </w:rPr>
                                <w:t>Nº</w:t>
                              </w:r>
                              <w:r>
                                <w:rPr>
                                  <w:rFonts w:ascii="Arial Narrow" w:hAnsi="Arial Narrow"/>
                                  <w:b/>
                                  <w:color w:val="FFFFFF"/>
                                  <w:sz w:val="18"/>
                                </w:rPr>
                                <w:t> </w:t>
                              </w:r>
                              <w:r>
                                <w:rPr>
                                  <w:rFonts w:ascii="Arial Narrow" w:hAnsi="Arial Narrow"/>
                                  <w:b/>
                                  <w:color w:val="FFFFFF"/>
                                  <w:spacing w:val="-2"/>
                                  <w:sz w:val="18"/>
                                </w:rPr>
                                <w:t>CONTRATOS</w:t>
                              </w:r>
                              <w:r>
                                <w:rPr>
                                  <w:rFonts w:ascii="Arial Narrow" w:hAnsi="Arial Narrow"/>
                                  <w:b/>
                                  <w:color w:val="FFFFFF"/>
                                  <w:sz w:val="18"/>
                                </w:rPr>
                                <w:t> </w:t>
                              </w:r>
                              <w:r>
                                <w:rPr>
                                  <w:rFonts w:ascii="Arial Narrow" w:hAnsi="Arial Narrow"/>
                                  <w:b/>
                                  <w:color w:val="FFFFFF"/>
                                  <w:spacing w:val="-2"/>
                                  <w:sz w:val="18"/>
                                </w:rPr>
                                <w:t>ASOCIADOS</w:t>
                              </w:r>
                            </w:p>
                          </w:txbxContent>
                        </wps:txbx>
                        <wps:bodyPr wrap="square" lIns="0" tIns="0" rIns="0" bIns="0" rtlCol="0">
                          <a:noAutofit/>
                        </wps:bodyPr>
                      </wps:wsp>
                      <wps:wsp>
                        <wps:cNvPr id="192" name="Textbox 192"/>
                        <wps:cNvSpPr txBox="1"/>
                        <wps:spPr>
                          <a:xfrm>
                            <a:off x="4490669" y="33274"/>
                            <a:ext cx="693420" cy="131445"/>
                          </a:xfrm>
                          <a:prstGeom prst="rect">
                            <a:avLst/>
                          </a:prstGeom>
                        </wps:spPr>
                        <wps:txbx>
                          <w:txbxContent>
                            <w:p>
                              <w:pPr>
                                <w:spacing w:line="206" w:lineRule="exact" w:before="0"/>
                                <w:ind w:left="0" w:right="0" w:firstLine="0"/>
                                <w:jc w:val="left"/>
                                <w:rPr>
                                  <w:rFonts w:ascii="Arial Narrow" w:hAnsi="Arial Narrow"/>
                                  <w:b/>
                                  <w:sz w:val="18"/>
                                </w:rPr>
                              </w:pPr>
                              <w:r>
                                <w:rPr>
                                  <w:rFonts w:ascii="Arial Narrow" w:hAnsi="Arial Narrow"/>
                                  <w:b/>
                                  <w:color w:val="FFFFFF"/>
                                  <w:spacing w:val="-2"/>
                                  <w:sz w:val="18"/>
                                </w:rPr>
                                <w:t>FINANCIACIÓN</w:t>
                              </w:r>
                            </w:p>
                          </w:txbxContent>
                        </wps:txbx>
                        <wps:bodyPr wrap="square" lIns="0" tIns="0" rIns="0" bIns="0" rtlCol="0">
                          <a:noAutofit/>
                        </wps:bodyPr>
                      </wps:wsp>
                      <wps:wsp>
                        <wps:cNvPr id="193" name="Textbox 193"/>
                        <wps:cNvSpPr txBox="1"/>
                        <wps:spPr>
                          <a:xfrm>
                            <a:off x="3475304" y="141478"/>
                            <a:ext cx="439420" cy="262255"/>
                          </a:xfrm>
                          <a:prstGeom prst="rect">
                            <a:avLst/>
                          </a:prstGeom>
                        </wps:spPr>
                        <wps:txbx>
                          <w:txbxContent>
                            <w:p>
                              <w:pPr>
                                <w:spacing w:line="206" w:lineRule="exact" w:before="0"/>
                                <w:ind w:left="0" w:right="18" w:firstLine="0"/>
                                <w:jc w:val="center"/>
                                <w:rPr>
                                  <w:rFonts w:ascii="Arial Narrow"/>
                                  <w:b/>
                                  <w:sz w:val="18"/>
                                </w:rPr>
                              </w:pPr>
                              <w:r>
                                <w:rPr>
                                  <w:rFonts w:ascii="Arial Narrow"/>
                                  <w:b/>
                                  <w:color w:val="FFFFFF"/>
                                  <w:spacing w:val="-2"/>
                                  <w:sz w:val="18"/>
                                </w:rPr>
                                <w:t>IMPORTE</w:t>
                              </w:r>
                            </w:p>
                            <w:p>
                              <w:pPr>
                                <w:spacing w:before="0"/>
                                <w:ind w:left="0" w:right="18" w:firstLine="0"/>
                                <w:jc w:val="center"/>
                                <w:rPr>
                                  <w:rFonts w:ascii="Arial Narrow" w:hAnsi="Arial Narrow"/>
                                  <w:b/>
                                  <w:sz w:val="18"/>
                                </w:rPr>
                              </w:pPr>
                              <w:r>
                                <w:rPr>
                                  <w:rFonts w:ascii="Arial Narrow" w:hAnsi="Arial Narrow"/>
                                  <w:b/>
                                  <w:color w:val="FFFFFF"/>
                                  <w:spacing w:val="-5"/>
                                  <w:sz w:val="18"/>
                                </w:rPr>
                                <w:t>(€)</w:t>
                              </w:r>
                            </w:p>
                          </w:txbxContent>
                        </wps:txbx>
                        <wps:bodyPr wrap="square" lIns="0" tIns="0" rIns="0" bIns="0" rtlCol="0">
                          <a:noAutofit/>
                        </wps:bodyPr>
                      </wps:wsp>
                      <wps:wsp>
                        <wps:cNvPr id="194" name="Textbox 194"/>
                        <wps:cNvSpPr txBox="1"/>
                        <wps:spPr>
                          <a:xfrm>
                            <a:off x="4136720" y="248158"/>
                            <a:ext cx="638810" cy="262255"/>
                          </a:xfrm>
                          <a:prstGeom prst="rect">
                            <a:avLst/>
                          </a:prstGeom>
                        </wps:spPr>
                        <wps:txbx>
                          <w:txbxContent>
                            <w:p>
                              <w:pPr>
                                <w:spacing w:line="206" w:lineRule="exact" w:before="0"/>
                                <w:ind w:left="0" w:right="18" w:firstLine="0"/>
                                <w:jc w:val="center"/>
                                <w:rPr>
                                  <w:rFonts w:ascii="Arial Narrow"/>
                                  <w:b/>
                                  <w:sz w:val="18"/>
                                </w:rPr>
                              </w:pPr>
                              <w:r>
                                <w:rPr>
                                  <w:rFonts w:ascii="Arial Narrow"/>
                                  <w:b/>
                                  <w:color w:val="FFFFFF"/>
                                  <w:spacing w:val="-2"/>
                                  <w:sz w:val="18"/>
                                </w:rPr>
                                <w:t>Ayuntamiento</w:t>
                              </w:r>
                            </w:p>
                            <w:p>
                              <w:pPr>
                                <w:spacing w:before="0"/>
                                <w:ind w:left="0" w:right="13" w:firstLine="0"/>
                                <w:jc w:val="center"/>
                                <w:rPr>
                                  <w:rFonts w:ascii="Arial Narrow" w:hAnsi="Arial Narrow"/>
                                  <w:b/>
                                  <w:sz w:val="18"/>
                                </w:rPr>
                              </w:pPr>
                              <w:r>
                                <w:rPr>
                                  <w:rFonts w:ascii="Arial Narrow" w:hAnsi="Arial Narrow"/>
                                  <w:b/>
                                  <w:color w:val="FFFFFF"/>
                                  <w:spacing w:val="-5"/>
                                  <w:sz w:val="18"/>
                                </w:rPr>
                                <w:t>(€)</w:t>
                              </w:r>
                            </w:p>
                          </w:txbxContent>
                        </wps:txbx>
                        <wps:bodyPr wrap="square" lIns="0" tIns="0" rIns="0" bIns="0" rtlCol="0">
                          <a:noAutofit/>
                        </wps:bodyPr>
                      </wps:wsp>
                      <wps:wsp>
                        <wps:cNvPr id="195" name="Textbox 195"/>
                        <wps:cNvSpPr txBox="1"/>
                        <wps:spPr>
                          <a:xfrm>
                            <a:off x="4918913" y="248158"/>
                            <a:ext cx="601345" cy="262255"/>
                          </a:xfrm>
                          <a:prstGeom prst="rect">
                            <a:avLst/>
                          </a:prstGeom>
                        </wps:spPr>
                        <wps:txbx>
                          <w:txbxContent>
                            <w:p>
                              <w:pPr>
                                <w:spacing w:line="206" w:lineRule="exact" w:before="0"/>
                                <w:ind w:left="0" w:right="18" w:firstLine="0"/>
                                <w:jc w:val="center"/>
                                <w:rPr>
                                  <w:rFonts w:ascii="Arial Narrow"/>
                                  <w:b/>
                                  <w:sz w:val="18"/>
                                </w:rPr>
                              </w:pPr>
                              <w:r>
                                <w:rPr>
                                  <w:rFonts w:ascii="Arial Narrow"/>
                                  <w:b/>
                                  <w:color w:val="FFFFFF"/>
                                  <w:sz w:val="18"/>
                                </w:rPr>
                                <w:t>PRTR</w:t>
                              </w:r>
                              <w:r>
                                <w:rPr>
                                  <w:rFonts w:ascii="Arial Narrow"/>
                                  <w:b/>
                                  <w:color w:val="FFFFFF"/>
                                  <w:spacing w:val="-4"/>
                                  <w:sz w:val="18"/>
                                </w:rPr>
                                <w:t> </w:t>
                              </w:r>
                              <w:r>
                                <w:rPr>
                                  <w:rFonts w:ascii="Arial Narrow"/>
                                  <w:b/>
                                  <w:color w:val="FFFFFF"/>
                                  <w:sz w:val="18"/>
                                </w:rPr>
                                <w:t>y</w:t>
                              </w:r>
                              <w:r>
                                <w:rPr>
                                  <w:rFonts w:ascii="Arial Narrow"/>
                                  <w:b/>
                                  <w:color w:val="FFFFFF"/>
                                  <w:spacing w:val="-2"/>
                                  <w:sz w:val="18"/>
                                </w:rPr>
                                <w:t> </w:t>
                              </w:r>
                              <w:r>
                                <w:rPr>
                                  <w:rFonts w:ascii="Arial Narrow"/>
                                  <w:b/>
                                  <w:color w:val="FFFFFF"/>
                                  <w:spacing w:val="-2"/>
                                  <w:sz w:val="18"/>
                                </w:rPr>
                                <w:t>otras</w:t>
                              </w:r>
                            </w:p>
                            <w:p>
                              <w:pPr>
                                <w:spacing w:before="0"/>
                                <w:ind w:left="0" w:right="19" w:firstLine="0"/>
                                <w:jc w:val="center"/>
                                <w:rPr>
                                  <w:rFonts w:ascii="Arial Narrow" w:hAnsi="Arial Narrow"/>
                                  <w:b/>
                                  <w:sz w:val="18"/>
                                </w:rPr>
                              </w:pPr>
                              <w:r>
                                <w:rPr>
                                  <w:rFonts w:ascii="Arial Narrow" w:hAnsi="Arial Narrow"/>
                                  <w:b/>
                                  <w:color w:val="FFFFFF"/>
                                  <w:spacing w:val="-5"/>
                                  <w:sz w:val="18"/>
                                </w:rPr>
                                <w:t>(€)</w:t>
                              </w:r>
                            </w:p>
                          </w:txbxContent>
                        </wps:txbx>
                        <wps:bodyPr wrap="square" lIns="0" tIns="0" rIns="0" bIns="0" rtlCol="0">
                          <a:noAutofit/>
                        </wps:bodyPr>
                      </wps:wsp>
                      <wps:wsp>
                        <wps:cNvPr id="196" name="Textbox 196"/>
                        <wps:cNvSpPr txBox="1"/>
                        <wps:spPr>
                          <a:xfrm>
                            <a:off x="5659831" y="75946"/>
                            <a:ext cx="652145" cy="393700"/>
                          </a:xfrm>
                          <a:prstGeom prst="rect">
                            <a:avLst/>
                          </a:prstGeom>
                        </wps:spPr>
                        <wps:txbx>
                          <w:txbxContent>
                            <w:p>
                              <w:pPr>
                                <w:spacing w:before="0"/>
                                <w:ind w:left="0" w:right="18" w:hanging="4"/>
                                <w:jc w:val="center"/>
                                <w:rPr>
                                  <w:rFonts w:ascii="Arial Narrow" w:hAnsi="Arial Narrow"/>
                                  <w:b/>
                                  <w:sz w:val="18"/>
                                </w:rPr>
                              </w:pPr>
                              <w:r>
                                <w:rPr>
                                  <w:rFonts w:ascii="Arial Narrow" w:hAnsi="Arial Narrow"/>
                                  <w:b/>
                                  <w:color w:val="FFFFFF"/>
                                  <w:sz w:val="18"/>
                                </w:rPr>
                                <w:t>ESTADO DE EJECUCIÓN</w:t>
                              </w:r>
                              <w:r>
                                <w:rPr>
                                  <w:rFonts w:ascii="Arial Narrow" w:hAnsi="Arial Narrow"/>
                                  <w:b/>
                                  <w:color w:val="FFFFFF"/>
                                  <w:spacing w:val="-11"/>
                                  <w:sz w:val="18"/>
                                </w:rPr>
                                <w:t> </w:t>
                              </w:r>
                              <w:r>
                                <w:rPr>
                                  <w:rFonts w:ascii="Arial Narrow" w:hAnsi="Arial Narrow"/>
                                  <w:b/>
                                  <w:color w:val="FFFFFF"/>
                                  <w:sz w:val="18"/>
                                </w:rPr>
                                <w:t>A </w:t>
                              </w:r>
                              <w:r>
                                <w:rPr>
                                  <w:rFonts w:ascii="Arial Narrow" w:hAnsi="Arial Narrow"/>
                                  <w:b/>
                                  <w:color w:val="FFFFFF"/>
                                  <w:spacing w:val="-2"/>
                                  <w:sz w:val="18"/>
                                </w:rPr>
                                <w:t>31-12-24</w:t>
                              </w:r>
                            </w:p>
                          </w:txbxContent>
                        </wps:txbx>
                        <wps:bodyPr wrap="square" lIns="0" tIns="0" rIns="0" bIns="0" rtlCol="0">
                          <a:noAutofit/>
                        </wps:bodyPr>
                      </wps:wsp>
                    </wpg:wgp>
                  </a:graphicData>
                </a:graphic>
              </wp:anchor>
            </w:drawing>
          </mc:Choice>
          <mc:Fallback>
            <w:pict>
              <v:group style="position:absolute;margin-left:56.664001pt;margin-top:12.085371pt;width:501.1pt;height:44.4pt;mso-position-horizontal-relative:page;mso-position-vertical-relative:paragraph;z-index:-15698432;mso-wrap-distance-left:0;mso-wrap-distance-right:0" id="docshapegroup168" coordorigin="1133,242" coordsize="10022,888">
                <v:shape style="position:absolute;left:1133;top:241;width:10022;height:860" id="docshape169" coordorigin="1133,242" coordsize="10022,860" path="m5266,242l2268,242,2268,242,1133,242,1133,1101,2268,1101,2268,1101,5266,1101,5266,242xm11155,242l9943,242,7542,242,6342,242,6342,242,5267,242,5267,1101,6342,1101,6342,1101,7542,1101,8743,1101,8743,575,7542,575,7542,556,9943,556,9943,575,8743,575,8743,1101,9943,1101,9943,1101,11155,1101,11155,242xe" filled="true" fillcolor="#002d5d" stroked="false">
                  <v:path arrowok="t"/>
                  <v:fill type="solid"/>
                </v:shape>
                <v:shape style="position:absolute;left:1133;top:1100;width:10020;height:29" id="docshape170" coordorigin="1133,1101" coordsize="10020,29" path="m5264,1101l2297,1101,2268,1101,2268,1101,1133,1101,1133,1130,2268,1130,2268,1130,2297,1130,5264,1130,5264,1101xm8740,1101l7569,1101,7540,1101,6369,1101,6340,1101,6340,1101,5293,1101,5264,1101,5264,1130,5293,1130,6340,1130,6340,1130,6369,1130,7540,1130,7569,1130,8740,1130,8740,1101xm11153,1101l9970,1101,9941,1101,9941,1101,8769,1101,8740,1101,8740,1130,8769,1130,9941,1130,9941,1130,9970,1130,11153,1130,11153,1101xe" filled="true" fillcolor="#001f5f" stroked="false">
                  <v:path arrowok="t"/>
                  <v:fill type="solid"/>
                </v:shape>
                <v:shape style="position:absolute;left:1476;top:567;width:471;height:207" type="#_x0000_t202" id="docshape171" filled="false" stroked="false">
                  <v:textbox inset="0,0,0,0">
                    <w:txbxContent>
                      <w:p>
                        <w:pPr>
                          <w:spacing w:line="206" w:lineRule="exact" w:before="0"/>
                          <w:ind w:left="0" w:right="0" w:firstLine="0"/>
                          <w:jc w:val="left"/>
                          <w:rPr>
                            <w:rFonts w:ascii="Arial Narrow"/>
                            <w:b/>
                            <w:sz w:val="18"/>
                          </w:rPr>
                        </w:pPr>
                        <w:r>
                          <w:rPr>
                            <w:rFonts w:ascii="Arial Narrow"/>
                            <w:b/>
                            <w:color w:val="FFFFFF"/>
                            <w:spacing w:val="-2"/>
                            <w:sz w:val="18"/>
                          </w:rPr>
                          <w:t>AYTO.</w:t>
                        </w:r>
                      </w:p>
                    </w:txbxContent>
                  </v:textbox>
                  <w10:wrap type="none"/>
                </v:shape>
                <v:shape style="position:absolute;left:2714;top:567;width:2119;height:207" type="#_x0000_t202" id="docshape172" filled="false" stroked="false">
                  <v:textbox inset="0,0,0,0">
                    <w:txbxContent>
                      <w:p>
                        <w:pPr>
                          <w:spacing w:line="206" w:lineRule="exact" w:before="0"/>
                          <w:ind w:left="0" w:right="0" w:firstLine="0"/>
                          <w:jc w:val="left"/>
                          <w:rPr>
                            <w:rFonts w:ascii="Arial Narrow" w:hAnsi="Arial Narrow"/>
                            <w:b/>
                            <w:sz w:val="18"/>
                          </w:rPr>
                        </w:pPr>
                        <w:r>
                          <w:rPr>
                            <w:rFonts w:ascii="Arial Narrow" w:hAnsi="Arial Narrow"/>
                            <w:b/>
                            <w:color w:val="FFFFFF"/>
                            <w:sz w:val="18"/>
                          </w:rPr>
                          <w:t>DENOMINACIÓN</w:t>
                        </w:r>
                        <w:r>
                          <w:rPr>
                            <w:rFonts w:ascii="Arial Narrow" w:hAnsi="Arial Narrow"/>
                            <w:b/>
                            <w:color w:val="FFFFFF"/>
                            <w:spacing w:val="-5"/>
                            <w:sz w:val="18"/>
                          </w:rPr>
                          <w:t> </w:t>
                        </w:r>
                        <w:r>
                          <w:rPr>
                            <w:rFonts w:ascii="Arial Narrow" w:hAnsi="Arial Narrow"/>
                            <w:b/>
                            <w:color w:val="FFFFFF"/>
                            <w:spacing w:val="-2"/>
                            <w:sz w:val="18"/>
                          </w:rPr>
                          <w:t>ACTUACIÓN</w:t>
                        </w:r>
                      </w:p>
                    </w:txbxContent>
                  </v:textbox>
                  <w10:wrap type="none"/>
                </v:shape>
                <v:shape style="position:absolute;left:5336;top:361;width:954;height:620" type="#_x0000_t202" id="docshape173" filled="false" stroked="false">
                  <v:textbox inset="0,0,0,0">
                    <w:txbxContent>
                      <w:p>
                        <w:pPr>
                          <w:spacing w:before="0"/>
                          <w:ind w:left="0" w:right="18" w:firstLine="3"/>
                          <w:jc w:val="center"/>
                          <w:rPr>
                            <w:rFonts w:ascii="Arial Narrow" w:hAnsi="Arial Narrow"/>
                            <w:b/>
                            <w:sz w:val="18"/>
                          </w:rPr>
                        </w:pPr>
                        <w:r>
                          <w:rPr>
                            <w:rFonts w:ascii="Arial Narrow" w:hAnsi="Arial Narrow"/>
                            <w:b/>
                            <w:color w:val="FFFFFF"/>
                            <w:spacing w:val="-6"/>
                            <w:sz w:val="18"/>
                          </w:rPr>
                          <w:t>Nº</w:t>
                        </w:r>
                        <w:r>
                          <w:rPr>
                            <w:rFonts w:ascii="Arial Narrow" w:hAnsi="Arial Narrow"/>
                            <w:b/>
                            <w:color w:val="FFFFFF"/>
                            <w:sz w:val="18"/>
                          </w:rPr>
                          <w:t> </w:t>
                        </w:r>
                        <w:r>
                          <w:rPr>
                            <w:rFonts w:ascii="Arial Narrow" w:hAnsi="Arial Narrow"/>
                            <w:b/>
                            <w:color w:val="FFFFFF"/>
                            <w:spacing w:val="-2"/>
                            <w:sz w:val="18"/>
                          </w:rPr>
                          <w:t>CONTRATOS</w:t>
                        </w:r>
                        <w:r>
                          <w:rPr>
                            <w:rFonts w:ascii="Arial Narrow" w:hAnsi="Arial Narrow"/>
                            <w:b/>
                            <w:color w:val="FFFFFF"/>
                            <w:sz w:val="18"/>
                          </w:rPr>
                          <w:t> </w:t>
                        </w:r>
                        <w:r>
                          <w:rPr>
                            <w:rFonts w:ascii="Arial Narrow" w:hAnsi="Arial Narrow"/>
                            <w:b/>
                            <w:color w:val="FFFFFF"/>
                            <w:spacing w:val="-2"/>
                            <w:sz w:val="18"/>
                          </w:rPr>
                          <w:t>ASOCIADOS</w:t>
                        </w:r>
                      </w:p>
                    </w:txbxContent>
                  </v:textbox>
                  <w10:wrap type="none"/>
                </v:shape>
                <v:shape style="position:absolute;left:8205;top:294;width:1092;height:207" type="#_x0000_t202" id="docshape174" filled="false" stroked="false">
                  <v:textbox inset="0,0,0,0">
                    <w:txbxContent>
                      <w:p>
                        <w:pPr>
                          <w:spacing w:line="206" w:lineRule="exact" w:before="0"/>
                          <w:ind w:left="0" w:right="0" w:firstLine="0"/>
                          <w:jc w:val="left"/>
                          <w:rPr>
                            <w:rFonts w:ascii="Arial Narrow" w:hAnsi="Arial Narrow"/>
                            <w:b/>
                            <w:sz w:val="18"/>
                          </w:rPr>
                        </w:pPr>
                        <w:r>
                          <w:rPr>
                            <w:rFonts w:ascii="Arial Narrow" w:hAnsi="Arial Narrow"/>
                            <w:b/>
                            <w:color w:val="FFFFFF"/>
                            <w:spacing w:val="-2"/>
                            <w:sz w:val="18"/>
                          </w:rPr>
                          <w:t>FINANCIACIÓN</w:t>
                        </w:r>
                      </w:p>
                    </w:txbxContent>
                  </v:textbox>
                  <w10:wrap type="none"/>
                </v:shape>
                <v:shape style="position:absolute;left:6606;top:464;width:692;height:413" type="#_x0000_t202" id="docshape175" filled="false" stroked="false">
                  <v:textbox inset="0,0,0,0">
                    <w:txbxContent>
                      <w:p>
                        <w:pPr>
                          <w:spacing w:line="206" w:lineRule="exact" w:before="0"/>
                          <w:ind w:left="0" w:right="18" w:firstLine="0"/>
                          <w:jc w:val="center"/>
                          <w:rPr>
                            <w:rFonts w:ascii="Arial Narrow"/>
                            <w:b/>
                            <w:sz w:val="18"/>
                          </w:rPr>
                        </w:pPr>
                        <w:r>
                          <w:rPr>
                            <w:rFonts w:ascii="Arial Narrow"/>
                            <w:b/>
                            <w:color w:val="FFFFFF"/>
                            <w:spacing w:val="-2"/>
                            <w:sz w:val="18"/>
                          </w:rPr>
                          <w:t>IMPORTE</w:t>
                        </w:r>
                      </w:p>
                      <w:p>
                        <w:pPr>
                          <w:spacing w:before="0"/>
                          <w:ind w:left="0" w:right="18" w:firstLine="0"/>
                          <w:jc w:val="center"/>
                          <w:rPr>
                            <w:rFonts w:ascii="Arial Narrow" w:hAnsi="Arial Narrow"/>
                            <w:b/>
                            <w:sz w:val="18"/>
                          </w:rPr>
                        </w:pPr>
                        <w:r>
                          <w:rPr>
                            <w:rFonts w:ascii="Arial Narrow" w:hAnsi="Arial Narrow"/>
                            <w:b/>
                            <w:color w:val="FFFFFF"/>
                            <w:spacing w:val="-5"/>
                            <w:sz w:val="18"/>
                          </w:rPr>
                          <w:t>(€)</w:t>
                        </w:r>
                      </w:p>
                    </w:txbxContent>
                  </v:textbox>
                  <w10:wrap type="none"/>
                </v:shape>
                <v:shape style="position:absolute;left:7647;top:632;width:1006;height:413" type="#_x0000_t202" id="docshape176" filled="false" stroked="false">
                  <v:textbox inset="0,0,0,0">
                    <w:txbxContent>
                      <w:p>
                        <w:pPr>
                          <w:spacing w:line="206" w:lineRule="exact" w:before="0"/>
                          <w:ind w:left="0" w:right="18" w:firstLine="0"/>
                          <w:jc w:val="center"/>
                          <w:rPr>
                            <w:rFonts w:ascii="Arial Narrow"/>
                            <w:b/>
                            <w:sz w:val="18"/>
                          </w:rPr>
                        </w:pPr>
                        <w:r>
                          <w:rPr>
                            <w:rFonts w:ascii="Arial Narrow"/>
                            <w:b/>
                            <w:color w:val="FFFFFF"/>
                            <w:spacing w:val="-2"/>
                            <w:sz w:val="18"/>
                          </w:rPr>
                          <w:t>Ayuntamiento</w:t>
                        </w:r>
                      </w:p>
                      <w:p>
                        <w:pPr>
                          <w:spacing w:before="0"/>
                          <w:ind w:left="0" w:right="13" w:firstLine="0"/>
                          <w:jc w:val="center"/>
                          <w:rPr>
                            <w:rFonts w:ascii="Arial Narrow" w:hAnsi="Arial Narrow"/>
                            <w:b/>
                            <w:sz w:val="18"/>
                          </w:rPr>
                        </w:pPr>
                        <w:r>
                          <w:rPr>
                            <w:rFonts w:ascii="Arial Narrow" w:hAnsi="Arial Narrow"/>
                            <w:b/>
                            <w:color w:val="FFFFFF"/>
                            <w:spacing w:val="-5"/>
                            <w:sz w:val="18"/>
                          </w:rPr>
                          <w:t>(€)</w:t>
                        </w:r>
                      </w:p>
                    </w:txbxContent>
                  </v:textbox>
                  <w10:wrap type="none"/>
                </v:shape>
                <v:shape style="position:absolute;left:8879;top:632;width:947;height:413" type="#_x0000_t202" id="docshape177" filled="false" stroked="false">
                  <v:textbox inset="0,0,0,0">
                    <w:txbxContent>
                      <w:p>
                        <w:pPr>
                          <w:spacing w:line="206" w:lineRule="exact" w:before="0"/>
                          <w:ind w:left="0" w:right="18" w:firstLine="0"/>
                          <w:jc w:val="center"/>
                          <w:rPr>
                            <w:rFonts w:ascii="Arial Narrow"/>
                            <w:b/>
                            <w:sz w:val="18"/>
                          </w:rPr>
                        </w:pPr>
                        <w:r>
                          <w:rPr>
                            <w:rFonts w:ascii="Arial Narrow"/>
                            <w:b/>
                            <w:color w:val="FFFFFF"/>
                            <w:sz w:val="18"/>
                          </w:rPr>
                          <w:t>PRTR</w:t>
                        </w:r>
                        <w:r>
                          <w:rPr>
                            <w:rFonts w:ascii="Arial Narrow"/>
                            <w:b/>
                            <w:color w:val="FFFFFF"/>
                            <w:spacing w:val="-4"/>
                            <w:sz w:val="18"/>
                          </w:rPr>
                          <w:t> </w:t>
                        </w:r>
                        <w:r>
                          <w:rPr>
                            <w:rFonts w:ascii="Arial Narrow"/>
                            <w:b/>
                            <w:color w:val="FFFFFF"/>
                            <w:sz w:val="18"/>
                          </w:rPr>
                          <w:t>y</w:t>
                        </w:r>
                        <w:r>
                          <w:rPr>
                            <w:rFonts w:ascii="Arial Narrow"/>
                            <w:b/>
                            <w:color w:val="FFFFFF"/>
                            <w:spacing w:val="-2"/>
                            <w:sz w:val="18"/>
                          </w:rPr>
                          <w:t> </w:t>
                        </w:r>
                        <w:r>
                          <w:rPr>
                            <w:rFonts w:ascii="Arial Narrow"/>
                            <w:b/>
                            <w:color w:val="FFFFFF"/>
                            <w:spacing w:val="-2"/>
                            <w:sz w:val="18"/>
                          </w:rPr>
                          <w:t>otras</w:t>
                        </w:r>
                      </w:p>
                      <w:p>
                        <w:pPr>
                          <w:spacing w:before="0"/>
                          <w:ind w:left="0" w:right="19" w:firstLine="0"/>
                          <w:jc w:val="center"/>
                          <w:rPr>
                            <w:rFonts w:ascii="Arial Narrow" w:hAnsi="Arial Narrow"/>
                            <w:b/>
                            <w:sz w:val="18"/>
                          </w:rPr>
                        </w:pPr>
                        <w:r>
                          <w:rPr>
                            <w:rFonts w:ascii="Arial Narrow" w:hAnsi="Arial Narrow"/>
                            <w:b/>
                            <w:color w:val="FFFFFF"/>
                            <w:spacing w:val="-5"/>
                            <w:sz w:val="18"/>
                          </w:rPr>
                          <w:t>(€)</w:t>
                        </w:r>
                      </w:p>
                    </w:txbxContent>
                  </v:textbox>
                  <w10:wrap type="none"/>
                </v:shape>
                <v:shape style="position:absolute;left:10046;top:361;width:1027;height:620" type="#_x0000_t202" id="docshape178" filled="false" stroked="false">
                  <v:textbox inset="0,0,0,0">
                    <w:txbxContent>
                      <w:p>
                        <w:pPr>
                          <w:spacing w:before="0"/>
                          <w:ind w:left="0" w:right="18" w:hanging="4"/>
                          <w:jc w:val="center"/>
                          <w:rPr>
                            <w:rFonts w:ascii="Arial Narrow" w:hAnsi="Arial Narrow"/>
                            <w:b/>
                            <w:sz w:val="18"/>
                          </w:rPr>
                        </w:pPr>
                        <w:r>
                          <w:rPr>
                            <w:rFonts w:ascii="Arial Narrow" w:hAnsi="Arial Narrow"/>
                            <w:b/>
                            <w:color w:val="FFFFFF"/>
                            <w:sz w:val="18"/>
                          </w:rPr>
                          <w:t>ESTADO DE EJECUCIÓN</w:t>
                        </w:r>
                        <w:r>
                          <w:rPr>
                            <w:rFonts w:ascii="Arial Narrow" w:hAnsi="Arial Narrow"/>
                            <w:b/>
                            <w:color w:val="FFFFFF"/>
                            <w:spacing w:val="-11"/>
                            <w:sz w:val="18"/>
                          </w:rPr>
                          <w:t> </w:t>
                        </w:r>
                        <w:r>
                          <w:rPr>
                            <w:rFonts w:ascii="Arial Narrow" w:hAnsi="Arial Narrow"/>
                            <w:b/>
                            <w:color w:val="FFFFFF"/>
                            <w:sz w:val="18"/>
                          </w:rPr>
                          <w:t>A </w:t>
                        </w:r>
                        <w:r>
                          <w:rPr>
                            <w:rFonts w:ascii="Arial Narrow" w:hAnsi="Arial Narrow"/>
                            <w:b/>
                            <w:color w:val="FFFFFF"/>
                            <w:spacing w:val="-2"/>
                            <w:sz w:val="18"/>
                          </w:rPr>
                          <w:t>31-12-24</w:t>
                        </w:r>
                      </w:p>
                    </w:txbxContent>
                  </v:textbox>
                  <w10:wrap type="none"/>
                </v:shape>
                <w10:wrap type="topAndBottom"/>
              </v:group>
            </w:pict>
          </mc:Fallback>
        </mc:AlternateContent>
      </w:r>
    </w:p>
    <w:p>
      <w:pPr>
        <w:pStyle w:val="BodyText"/>
        <w:spacing w:before="25"/>
        <w:rPr>
          <w:b/>
          <w:sz w:val="18"/>
        </w:rPr>
      </w:pPr>
    </w:p>
    <w:p>
      <w:pPr>
        <w:spacing w:before="0"/>
        <w:ind w:left="2197" w:right="0" w:firstLine="0"/>
        <w:jc w:val="left"/>
        <w:rPr>
          <w:rFonts w:ascii="Arial Narrow" w:hAnsi="Arial Narrow"/>
          <w:sz w:val="18"/>
        </w:rPr>
      </w:pPr>
      <w:r>
        <w:rPr>
          <w:rFonts w:ascii="Arial Narrow" w:hAnsi="Arial Narrow"/>
          <w:sz w:val="18"/>
        </w:rPr>
        <mc:AlternateContent>
          <mc:Choice Requires="wps">
            <w:drawing>
              <wp:anchor distT="0" distB="0" distL="0" distR="0" allowOverlap="1" layoutInCell="1" locked="0" behindDoc="0" simplePos="0" relativeHeight="15759360">
                <wp:simplePos x="0" y="0"/>
                <wp:positionH relativeFrom="page">
                  <wp:posOffset>681532</wp:posOffset>
                </wp:positionH>
                <wp:positionV relativeFrom="paragraph">
                  <wp:posOffset>-130797</wp:posOffset>
                </wp:positionV>
                <wp:extent cx="6440170" cy="3209290"/>
                <wp:effectExtent l="0" t="0" r="0" b="0"/>
                <wp:wrapNone/>
                <wp:docPr id="197" name="Textbox 197"/>
                <wp:cNvGraphicFramePr>
                  <a:graphicFrameLocks/>
                </wp:cNvGraphicFramePr>
                <a:graphic>
                  <a:graphicData uri="http://schemas.microsoft.com/office/word/2010/wordprocessingShape">
                    <wps:wsp>
                      <wps:cNvPr id="197" name="Textbox 197"/>
                      <wps:cNvSpPr txBox="1"/>
                      <wps:spPr>
                        <a:xfrm>
                          <a:off x="0" y="0"/>
                          <a:ext cx="6440170" cy="320929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115"/>
                              <w:gridCol w:w="1392"/>
                              <w:gridCol w:w="1302"/>
                              <w:gridCol w:w="1055"/>
                              <w:gridCol w:w="1156"/>
                            </w:tblGrid>
                            <w:tr>
                              <w:trPr>
                                <w:trHeight w:val="436" w:hRule="atLeast"/>
                              </w:trPr>
                              <w:tc>
                                <w:tcPr>
                                  <w:tcW w:w="5115" w:type="dxa"/>
                                  <w:tcBorders>
                                    <w:bottom w:val="single" w:sz="12" w:space="0" w:color="001F5F"/>
                                  </w:tcBorders>
                                </w:tcPr>
                                <w:p>
                                  <w:pPr>
                                    <w:pStyle w:val="TableParagraph"/>
                                    <w:tabs>
                                      <w:tab w:pos="1132" w:val="left" w:leader="none"/>
                                      <w:tab w:pos="4640" w:val="right" w:leader="none"/>
                                    </w:tabs>
                                    <w:ind w:right="400"/>
                                    <w:jc w:val="right"/>
                                    <w:rPr>
                                      <w:position w:val="-9"/>
                                      <w:sz w:val="18"/>
                                    </w:rPr>
                                  </w:pPr>
                                  <w:r>
                                    <w:rPr>
                                      <w:b/>
                                      <w:spacing w:val="-2"/>
                                      <w:position w:val="-9"/>
                                      <w:sz w:val="18"/>
                                    </w:rPr>
                                    <w:t>ALICANTE</w:t>
                                  </w:r>
                                  <w:r>
                                    <w:rPr>
                                      <w:b/>
                                      <w:position w:val="-9"/>
                                      <w:sz w:val="18"/>
                                    </w:rPr>
                                    <w:tab/>
                                  </w:r>
                                  <w:r>
                                    <w:rPr>
                                      <w:sz w:val="18"/>
                                    </w:rPr>
                                    <w:t>Campañas</w:t>
                                  </w:r>
                                  <w:r>
                                    <w:rPr>
                                      <w:spacing w:val="-4"/>
                                      <w:sz w:val="18"/>
                                    </w:rPr>
                                    <w:t> </w:t>
                                  </w:r>
                                  <w:r>
                                    <w:rPr>
                                      <w:sz w:val="18"/>
                                    </w:rPr>
                                    <w:t>de</w:t>
                                  </w:r>
                                  <w:r>
                                    <w:rPr>
                                      <w:spacing w:val="-4"/>
                                      <w:sz w:val="18"/>
                                    </w:rPr>
                                    <w:t> </w:t>
                                  </w:r>
                                  <w:r>
                                    <w:rPr>
                                      <w:sz w:val="18"/>
                                    </w:rPr>
                                    <w:t>promoción</w:t>
                                  </w:r>
                                  <w:r>
                                    <w:rPr>
                                      <w:spacing w:val="-2"/>
                                      <w:sz w:val="18"/>
                                    </w:rPr>
                                    <w:t> </w:t>
                                  </w:r>
                                  <w:r>
                                    <w:rPr>
                                      <w:sz w:val="18"/>
                                    </w:rPr>
                                    <w:t>del</w:t>
                                  </w:r>
                                  <w:r>
                                    <w:rPr>
                                      <w:spacing w:val="-3"/>
                                      <w:sz w:val="18"/>
                                    </w:rPr>
                                    <w:t> </w:t>
                                  </w:r>
                                  <w:r>
                                    <w:rPr>
                                      <w:spacing w:val="-2"/>
                                      <w:sz w:val="18"/>
                                    </w:rPr>
                                    <w:t>transporte</w:t>
                                  </w:r>
                                  <w:r>
                                    <w:rPr>
                                      <w:sz w:val="18"/>
                                    </w:rPr>
                                    <w:tab/>
                                  </w:r>
                                  <w:r>
                                    <w:rPr>
                                      <w:spacing w:val="-10"/>
                                      <w:position w:val="-9"/>
                                      <w:sz w:val="18"/>
                                    </w:rPr>
                                    <w:t>1</w:t>
                                  </w:r>
                                </w:p>
                              </w:tc>
                              <w:tc>
                                <w:tcPr>
                                  <w:tcW w:w="1392" w:type="dxa"/>
                                  <w:tcBorders>
                                    <w:bottom w:val="single" w:sz="12" w:space="0" w:color="001F5F"/>
                                  </w:tcBorders>
                                </w:tcPr>
                                <w:p>
                                  <w:pPr>
                                    <w:pStyle w:val="TableParagraph"/>
                                    <w:spacing w:before="103"/>
                                    <w:ind w:right="167"/>
                                    <w:jc w:val="right"/>
                                    <w:rPr>
                                      <w:sz w:val="18"/>
                                    </w:rPr>
                                  </w:pPr>
                                  <w:r>
                                    <w:rPr>
                                      <w:spacing w:val="-2"/>
                                      <w:sz w:val="18"/>
                                    </w:rPr>
                                    <w:t>59.195,03</w:t>
                                  </w:r>
                                </w:p>
                              </w:tc>
                              <w:tc>
                                <w:tcPr>
                                  <w:tcW w:w="1302" w:type="dxa"/>
                                  <w:tcBorders>
                                    <w:bottom w:val="single" w:sz="12" w:space="0" w:color="001F5F"/>
                                  </w:tcBorders>
                                </w:tcPr>
                                <w:p>
                                  <w:pPr>
                                    <w:pStyle w:val="TableParagraph"/>
                                    <w:spacing w:before="103"/>
                                    <w:ind w:right="269"/>
                                    <w:jc w:val="right"/>
                                    <w:rPr>
                                      <w:sz w:val="18"/>
                                    </w:rPr>
                                  </w:pPr>
                                  <w:r>
                                    <w:rPr>
                                      <w:spacing w:val="-2"/>
                                      <w:sz w:val="18"/>
                                    </w:rPr>
                                    <w:t>59.195,03</w:t>
                                  </w:r>
                                </w:p>
                              </w:tc>
                              <w:tc>
                                <w:tcPr>
                                  <w:tcW w:w="1055" w:type="dxa"/>
                                  <w:tcBorders>
                                    <w:bottom w:val="single" w:sz="12" w:space="0" w:color="001F5F"/>
                                  </w:tcBorders>
                                </w:tcPr>
                                <w:p>
                                  <w:pPr>
                                    <w:pStyle w:val="TableParagraph"/>
                                    <w:spacing w:before="103"/>
                                    <w:ind w:right="123"/>
                                    <w:jc w:val="right"/>
                                    <w:rPr>
                                      <w:sz w:val="18"/>
                                    </w:rPr>
                                  </w:pPr>
                                  <w:r>
                                    <w:rPr>
                                      <w:spacing w:val="-4"/>
                                      <w:sz w:val="18"/>
                                    </w:rPr>
                                    <w:t>0,00</w:t>
                                  </w:r>
                                </w:p>
                              </w:tc>
                              <w:tc>
                                <w:tcPr>
                                  <w:tcW w:w="1156" w:type="dxa"/>
                                  <w:tcBorders>
                                    <w:bottom w:val="single" w:sz="12" w:space="0" w:color="001F5F"/>
                                  </w:tcBorders>
                                </w:tcPr>
                                <w:p>
                                  <w:pPr>
                                    <w:pStyle w:val="TableParagraph"/>
                                    <w:spacing w:before="103"/>
                                    <w:ind w:left="128"/>
                                    <w:rPr>
                                      <w:sz w:val="18"/>
                                    </w:rPr>
                                  </w:pPr>
                                  <w:r>
                                    <w:rPr>
                                      <w:spacing w:val="-2"/>
                                      <w:sz w:val="18"/>
                                    </w:rPr>
                                    <w:t>Finalizada</w:t>
                                  </w:r>
                                </w:p>
                              </w:tc>
                            </w:tr>
                            <w:tr>
                              <w:trPr>
                                <w:trHeight w:val="687" w:hRule="atLeast"/>
                              </w:trPr>
                              <w:tc>
                                <w:tcPr>
                                  <w:tcW w:w="5115" w:type="dxa"/>
                                  <w:tcBorders>
                                    <w:top w:val="single" w:sz="12" w:space="0" w:color="001F5F"/>
                                    <w:bottom w:val="single" w:sz="8" w:space="0" w:color="001F5F"/>
                                  </w:tcBorders>
                                </w:tcPr>
                                <w:p>
                                  <w:pPr>
                                    <w:pStyle w:val="TableParagraph"/>
                                    <w:spacing w:before="34"/>
                                    <w:ind w:left="1204"/>
                                    <w:rPr>
                                      <w:sz w:val="18"/>
                                    </w:rPr>
                                  </w:pPr>
                                  <w:r>
                                    <w:rPr>
                                      <w:sz w:val="18"/>
                                    </w:rPr>
                                    <w:t>Campañas</w:t>
                                  </w:r>
                                  <w:r>
                                    <w:rPr>
                                      <w:spacing w:val="-3"/>
                                      <w:sz w:val="18"/>
                                    </w:rPr>
                                    <w:t> </w:t>
                                  </w:r>
                                  <w:r>
                                    <w:rPr>
                                      <w:sz w:val="18"/>
                                    </w:rPr>
                                    <w:t>de</w:t>
                                  </w:r>
                                  <w:r>
                                    <w:rPr>
                                      <w:spacing w:val="-3"/>
                                      <w:sz w:val="18"/>
                                    </w:rPr>
                                    <w:t> </w:t>
                                  </w:r>
                                  <w:r>
                                    <w:rPr>
                                      <w:sz w:val="18"/>
                                    </w:rPr>
                                    <w:t>publicidad:</w:t>
                                  </w:r>
                                  <w:r>
                                    <w:rPr>
                                      <w:spacing w:val="-3"/>
                                      <w:sz w:val="18"/>
                                    </w:rPr>
                                    <w:t> </w:t>
                                  </w:r>
                                  <w:r>
                                    <w:rPr>
                                      <w:sz w:val="18"/>
                                    </w:rPr>
                                    <w:t>feria,</w:t>
                                  </w:r>
                                  <w:r>
                                    <w:rPr>
                                      <w:spacing w:val="-3"/>
                                      <w:sz w:val="18"/>
                                    </w:rPr>
                                    <w:t> </w:t>
                                  </w:r>
                                  <w:r>
                                    <w:rPr>
                                      <w:sz w:val="18"/>
                                    </w:rPr>
                                    <w:t>inicio</w:t>
                                  </w:r>
                                  <w:r>
                                    <w:rPr>
                                      <w:spacing w:val="-5"/>
                                      <w:sz w:val="18"/>
                                    </w:rPr>
                                    <w:t> </w:t>
                                  </w:r>
                                  <w:r>
                                    <w:rPr>
                                      <w:spacing w:val="-2"/>
                                      <w:sz w:val="18"/>
                                    </w:rPr>
                                    <w:t>curso,</w:t>
                                  </w:r>
                                </w:p>
                                <w:p>
                                  <w:pPr>
                                    <w:pStyle w:val="TableParagraph"/>
                                    <w:tabs>
                                      <w:tab w:pos="4712" w:val="right" w:leader="none"/>
                                    </w:tabs>
                                    <w:ind w:left="1204"/>
                                    <w:rPr>
                                      <w:sz w:val="18"/>
                                    </w:rPr>
                                  </w:pPr>
                                  <w:r>
                                    <w:rPr>
                                      <w:sz w:val="18"/>
                                    </w:rPr>
                                    <w:t>Semana</w:t>
                                  </w:r>
                                  <w:r>
                                    <w:rPr>
                                      <w:spacing w:val="-3"/>
                                      <w:sz w:val="18"/>
                                    </w:rPr>
                                    <w:t> </w:t>
                                  </w:r>
                                  <w:r>
                                    <w:rPr>
                                      <w:sz w:val="18"/>
                                    </w:rPr>
                                    <w:t>europea</w:t>
                                  </w:r>
                                  <w:r>
                                    <w:rPr>
                                      <w:spacing w:val="-3"/>
                                      <w:sz w:val="18"/>
                                    </w:rPr>
                                    <w:t> </w:t>
                                  </w:r>
                                  <w:r>
                                    <w:rPr>
                                      <w:sz w:val="18"/>
                                    </w:rPr>
                                    <w:t>de la</w:t>
                                  </w:r>
                                  <w:r>
                                    <w:rPr>
                                      <w:spacing w:val="-3"/>
                                      <w:sz w:val="18"/>
                                    </w:rPr>
                                    <w:t> </w:t>
                                  </w:r>
                                  <w:r>
                                    <w:rPr>
                                      <w:sz w:val="18"/>
                                    </w:rPr>
                                    <w:t>movilidad,</w:t>
                                  </w:r>
                                  <w:r>
                                    <w:rPr>
                                      <w:spacing w:val="-2"/>
                                      <w:sz w:val="18"/>
                                    </w:rPr>
                                    <w:t> Navidad,</w:t>
                                  </w:r>
                                  <w:r>
                                    <w:rPr>
                                      <w:sz w:val="18"/>
                                    </w:rPr>
                                    <w:tab/>
                                  </w:r>
                                  <w:r>
                                    <w:rPr>
                                      <w:spacing w:val="-10"/>
                                      <w:sz w:val="18"/>
                                    </w:rPr>
                                    <w:t>1</w:t>
                                  </w:r>
                                </w:p>
                                <w:p>
                                  <w:pPr>
                                    <w:pStyle w:val="TableParagraph"/>
                                    <w:ind w:left="1204"/>
                                    <w:rPr>
                                      <w:sz w:val="18"/>
                                    </w:rPr>
                                  </w:pPr>
                                  <w:r>
                                    <w:rPr>
                                      <w:sz w:val="18"/>
                                    </w:rPr>
                                    <w:t>y</w:t>
                                  </w:r>
                                  <w:r>
                                    <w:rPr>
                                      <w:spacing w:val="-2"/>
                                      <w:sz w:val="18"/>
                                    </w:rPr>
                                    <w:t> </w:t>
                                  </w:r>
                                  <w:r>
                                    <w:rPr>
                                      <w:sz w:val="18"/>
                                    </w:rPr>
                                    <w:t>servicios</w:t>
                                  </w:r>
                                  <w:r>
                                    <w:rPr>
                                      <w:spacing w:val="-2"/>
                                      <w:sz w:val="18"/>
                                    </w:rPr>
                                    <w:t> especiales</w:t>
                                  </w:r>
                                </w:p>
                              </w:tc>
                              <w:tc>
                                <w:tcPr>
                                  <w:tcW w:w="1392" w:type="dxa"/>
                                  <w:tcBorders>
                                    <w:top w:val="single" w:sz="12" w:space="0" w:color="001F5F"/>
                                    <w:bottom w:val="single" w:sz="8" w:space="0" w:color="001F5F"/>
                                  </w:tcBorders>
                                </w:tcPr>
                                <w:p>
                                  <w:pPr>
                                    <w:pStyle w:val="TableParagraph"/>
                                    <w:spacing w:before="34"/>
                                    <w:rPr>
                                      <w:rFonts w:ascii="Arial"/>
                                      <w:sz w:val="18"/>
                                    </w:rPr>
                                  </w:pPr>
                                </w:p>
                                <w:p>
                                  <w:pPr>
                                    <w:pStyle w:val="TableParagraph"/>
                                    <w:ind w:right="167"/>
                                    <w:jc w:val="right"/>
                                    <w:rPr>
                                      <w:sz w:val="18"/>
                                    </w:rPr>
                                  </w:pPr>
                                  <w:r>
                                    <w:rPr>
                                      <w:spacing w:val="-2"/>
                                      <w:sz w:val="18"/>
                                    </w:rPr>
                                    <w:t>10.000,00</w:t>
                                  </w:r>
                                </w:p>
                              </w:tc>
                              <w:tc>
                                <w:tcPr>
                                  <w:tcW w:w="1302" w:type="dxa"/>
                                  <w:tcBorders>
                                    <w:top w:val="single" w:sz="12" w:space="0" w:color="001F5F"/>
                                    <w:bottom w:val="single" w:sz="8" w:space="0" w:color="001F5F"/>
                                  </w:tcBorders>
                                </w:tcPr>
                                <w:p>
                                  <w:pPr>
                                    <w:pStyle w:val="TableParagraph"/>
                                    <w:spacing w:before="34"/>
                                    <w:rPr>
                                      <w:rFonts w:ascii="Arial"/>
                                      <w:sz w:val="18"/>
                                    </w:rPr>
                                  </w:pPr>
                                </w:p>
                                <w:p>
                                  <w:pPr>
                                    <w:pStyle w:val="TableParagraph"/>
                                    <w:ind w:right="269"/>
                                    <w:jc w:val="right"/>
                                    <w:rPr>
                                      <w:sz w:val="18"/>
                                    </w:rPr>
                                  </w:pPr>
                                  <w:r>
                                    <w:rPr>
                                      <w:spacing w:val="-2"/>
                                      <w:sz w:val="18"/>
                                    </w:rPr>
                                    <w:t>10.000,00</w:t>
                                  </w:r>
                                </w:p>
                              </w:tc>
                              <w:tc>
                                <w:tcPr>
                                  <w:tcW w:w="1055" w:type="dxa"/>
                                  <w:tcBorders>
                                    <w:top w:val="single" w:sz="12" w:space="0" w:color="001F5F"/>
                                    <w:bottom w:val="single" w:sz="8" w:space="0" w:color="001F5F"/>
                                  </w:tcBorders>
                                </w:tcPr>
                                <w:p>
                                  <w:pPr>
                                    <w:pStyle w:val="TableParagraph"/>
                                    <w:spacing w:before="34"/>
                                    <w:rPr>
                                      <w:rFonts w:ascii="Arial"/>
                                      <w:sz w:val="18"/>
                                    </w:rPr>
                                  </w:pPr>
                                </w:p>
                                <w:p>
                                  <w:pPr>
                                    <w:pStyle w:val="TableParagraph"/>
                                    <w:ind w:right="123"/>
                                    <w:jc w:val="right"/>
                                    <w:rPr>
                                      <w:sz w:val="18"/>
                                    </w:rPr>
                                  </w:pPr>
                                  <w:r>
                                    <w:rPr>
                                      <w:spacing w:val="-4"/>
                                      <w:sz w:val="18"/>
                                    </w:rPr>
                                    <w:t>0,00</w:t>
                                  </w:r>
                                </w:p>
                              </w:tc>
                              <w:tc>
                                <w:tcPr>
                                  <w:tcW w:w="1156" w:type="dxa"/>
                                  <w:tcBorders>
                                    <w:top w:val="single" w:sz="12" w:space="0" w:color="001F5F"/>
                                    <w:bottom w:val="single" w:sz="8" w:space="0" w:color="001F5F"/>
                                  </w:tcBorders>
                                </w:tcPr>
                                <w:p>
                                  <w:pPr>
                                    <w:pStyle w:val="TableParagraph"/>
                                    <w:spacing w:before="34"/>
                                    <w:rPr>
                                      <w:rFonts w:ascii="Arial"/>
                                      <w:sz w:val="18"/>
                                    </w:rPr>
                                  </w:pPr>
                                </w:p>
                                <w:p>
                                  <w:pPr>
                                    <w:pStyle w:val="TableParagraph"/>
                                    <w:ind w:left="128"/>
                                    <w:rPr>
                                      <w:sz w:val="18"/>
                                    </w:rPr>
                                  </w:pPr>
                                  <w:r>
                                    <w:rPr>
                                      <w:spacing w:val="-2"/>
                                      <w:sz w:val="18"/>
                                    </w:rPr>
                                    <w:t>Finalizada</w:t>
                                  </w:r>
                                </w:p>
                              </w:tc>
                            </w:tr>
                            <w:tr>
                              <w:trPr>
                                <w:trHeight w:val="415" w:hRule="atLeast"/>
                              </w:trPr>
                              <w:tc>
                                <w:tcPr>
                                  <w:tcW w:w="5115" w:type="dxa"/>
                                  <w:tcBorders>
                                    <w:top w:val="single" w:sz="8" w:space="0" w:color="001F5F"/>
                                    <w:bottom w:val="single" w:sz="8" w:space="0" w:color="001F5F"/>
                                  </w:tcBorders>
                                </w:tcPr>
                                <w:p>
                                  <w:pPr>
                                    <w:pStyle w:val="TableParagraph"/>
                                    <w:tabs>
                                      <w:tab w:pos="4712" w:val="right" w:leader="none"/>
                                    </w:tabs>
                                    <w:spacing w:line="151" w:lineRule="auto" w:before="26"/>
                                    <w:ind w:left="1204"/>
                                    <w:rPr>
                                      <w:position w:val="-9"/>
                                      <w:sz w:val="18"/>
                                    </w:rPr>
                                  </w:pPr>
                                  <w:r>
                                    <w:rPr>
                                      <w:sz w:val="18"/>
                                    </w:rPr>
                                    <w:t>Servicio</w:t>
                                  </w:r>
                                  <w:r>
                                    <w:rPr>
                                      <w:spacing w:val="-3"/>
                                      <w:sz w:val="18"/>
                                    </w:rPr>
                                    <w:t> </w:t>
                                  </w:r>
                                  <w:r>
                                    <w:rPr>
                                      <w:sz w:val="18"/>
                                    </w:rPr>
                                    <w:t>de</w:t>
                                  </w:r>
                                  <w:r>
                                    <w:rPr>
                                      <w:spacing w:val="-2"/>
                                      <w:sz w:val="18"/>
                                    </w:rPr>
                                    <w:t> </w:t>
                                  </w:r>
                                  <w:r>
                                    <w:rPr>
                                      <w:sz w:val="18"/>
                                    </w:rPr>
                                    <w:t>azafatas</w:t>
                                  </w:r>
                                  <w:r>
                                    <w:rPr>
                                      <w:spacing w:val="-2"/>
                                      <w:sz w:val="18"/>
                                    </w:rPr>
                                    <w:t> </w:t>
                                  </w:r>
                                  <w:r>
                                    <w:rPr>
                                      <w:sz w:val="18"/>
                                    </w:rPr>
                                    <w:t>para</w:t>
                                  </w:r>
                                  <w:r>
                                    <w:rPr>
                                      <w:spacing w:val="-2"/>
                                      <w:sz w:val="18"/>
                                    </w:rPr>
                                    <w:t> información</w:t>
                                  </w:r>
                                  <w:r>
                                    <w:rPr>
                                      <w:sz w:val="18"/>
                                    </w:rPr>
                                    <w:tab/>
                                  </w:r>
                                  <w:r>
                                    <w:rPr>
                                      <w:spacing w:val="-10"/>
                                      <w:position w:val="-9"/>
                                      <w:sz w:val="18"/>
                                    </w:rPr>
                                    <w:t>1</w:t>
                                  </w:r>
                                </w:p>
                                <w:p>
                                  <w:pPr>
                                    <w:pStyle w:val="TableParagraph"/>
                                    <w:tabs>
                                      <w:tab w:pos="1204" w:val="left" w:leader="none"/>
                                    </w:tabs>
                                    <w:spacing w:line="28" w:lineRule="auto" w:before="1"/>
                                    <w:ind w:left="72"/>
                                    <w:rPr>
                                      <w:sz w:val="18"/>
                                    </w:rPr>
                                  </w:pPr>
                                  <w:r>
                                    <w:rPr>
                                      <w:b/>
                                      <w:spacing w:val="-2"/>
                                      <w:position w:val="-10"/>
                                      <w:sz w:val="18"/>
                                    </w:rPr>
                                    <w:t>CÓRDOBA</w:t>
                                  </w:r>
                                  <w:r>
                                    <w:rPr>
                                      <w:b/>
                                      <w:position w:val="-10"/>
                                      <w:sz w:val="18"/>
                                    </w:rPr>
                                    <w:tab/>
                                  </w:r>
                                  <w:r>
                                    <w:rPr>
                                      <w:sz w:val="18"/>
                                    </w:rPr>
                                    <w:t>sobre</w:t>
                                  </w:r>
                                  <w:r>
                                    <w:rPr>
                                      <w:spacing w:val="-3"/>
                                      <w:sz w:val="18"/>
                                    </w:rPr>
                                    <w:t> </w:t>
                                  </w:r>
                                  <w:r>
                                    <w:rPr>
                                      <w:sz w:val="18"/>
                                    </w:rPr>
                                    <w:t>recargas </w:t>
                                  </w:r>
                                  <w:r>
                                    <w:rPr>
                                      <w:spacing w:val="-2"/>
                                      <w:sz w:val="18"/>
                                    </w:rPr>
                                    <w:t>online</w:t>
                                  </w:r>
                                </w:p>
                              </w:tc>
                              <w:tc>
                                <w:tcPr>
                                  <w:tcW w:w="1392" w:type="dxa"/>
                                  <w:tcBorders>
                                    <w:top w:val="single" w:sz="8" w:space="0" w:color="001F5F"/>
                                    <w:bottom w:val="single" w:sz="8" w:space="0" w:color="001F5F"/>
                                  </w:tcBorders>
                                </w:tcPr>
                                <w:p>
                                  <w:pPr>
                                    <w:pStyle w:val="TableParagraph"/>
                                    <w:spacing w:before="105"/>
                                    <w:ind w:right="167"/>
                                    <w:jc w:val="right"/>
                                    <w:rPr>
                                      <w:sz w:val="18"/>
                                    </w:rPr>
                                  </w:pPr>
                                  <w:r>
                                    <w:rPr>
                                      <w:spacing w:val="-2"/>
                                      <w:sz w:val="18"/>
                                    </w:rPr>
                                    <w:t>11.970,00</w:t>
                                  </w:r>
                                </w:p>
                              </w:tc>
                              <w:tc>
                                <w:tcPr>
                                  <w:tcW w:w="1302" w:type="dxa"/>
                                  <w:tcBorders>
                                    <w:top w:val="single" w:sz="8" w:space="0" w:color="001F5F"/>
                                    <w:bottom w:val="single" w:sz="8" w:space="0" w:color="001F5F"/>
                                  </w:tcBorders>
                                </w:tcPr>
                                <w:p>
                                  <w:pPr>
                                    <w:pStyle w:val="TableParagraph"/>
                                    <w:spacing w:before="105"/>
                                    <w:ind w:right="268"/>
                                    <w:jc w:val="right"/>
                                    <w:rPr>
                                      <w:sz w:val="18"/>
                                    </w:rPr>
                                  </w:pPr>
                                  <w:r>
                                    <w:rPr>
                                      <w:spacing w:val="-4"/>
                                      <w:sz w:val="18"/>
                                    </w:rPr>
                                    <w:t>0,00</w:t>
                                  </w:r>
                                </w:p>
                              </w:tc>
                              <w:tc>
                                <w:tcPr>
                                  <w:tcW w:w="1055" w:type="dxa"/>
                                  <w:tcBorders>
                                    <w:top w:val="single" w:sz="8" w:space="0" w:color="001F5F"/>
                                    <w:bottom w:val="single" w:sz="8" w:space="0" w:color="001F5F"/>
                                  </w:tcBorders>
                                </w:tcPr>
                                <w:p>
                                  <w:pPr>
                                    <w:pStyle w:val="TableParagraph"/>
                                    <w:spacing w:before="105"/>
                                    <w:ind w:right="124"/>
                                    <w:jc w:val="right"/>
                                    <w:rPr>
                                      <w:sz w:val="18"/>
                                    </w:rPr>
                                  </w:pPr>
                                  <w:r>
                                    <w:rPr>
                                      <w:spacing w:val="-2"/>
                                      <w:sz w:val="18"/>
                                    </w:rPr>
                                    <w:t>11.970,00</w:t>
                                  </w:r>
                                </w:p>
                              </w:tc>
                              <w:tc>
                                <w:tcPr>
                                  <w:tcW w:w="1156" w:type="dxa"/>
                                  <w:tcBorders>
                                    <w:top w:val="single" w:sz="8" w:space="0" w:color="001F5F"/>
                                    <w:bottom w:val="single" w:sz="8" w:space="0" w:color="001F5F"/>
                                  </w:tcBorders>
                                </w:tcPr>
                                <w:p>
                                  <w:pPr>
                                    <w:pStyle w:val="TableParagraph"/>
                                    <w:spacing w:before="105"/>
                                    <w:ind w:left="128"/>
                                    <w:rPr>
                                      <w:sz w:val="18"/>
                                    </w:rPr>
                                  </w:pPr>
                                  <w:r>
                                    <w:rPr>
                                      <w:spacing w:val="-2"/>
                                      <w:sz w:val="18"/>
                                    </w:rPr>
                                    <w:t>Finalizada</w:t>
                                  </w:r>
                                </w:p>
                              </w:tc>
                            </w:tr>
                            <w:tr>
                              <w:trPr>
                                <w:trHeight w:val="416" w:hRule="atLeast"/>
                              </w:trPr>
                              <w:tc>
                                <w:tcPr>
                                  <w:tcW w:w="5115" w:type="dxa"/>
                                  <w:tcBorders>
                                    <w:top w:val="single" w:sz="8" w:space="0" w:color="001F5F"/>
                                    <w:bottom w:val="single" w:sz="8" w:space="0" w:color="001F5F"/>
                                  </w:tcBorders>
                                </w:tcPr>
                                <w:p>
                                  <w:pPr>
                                    <w:pStyle w:val="TableParagraph"/>
                                    <w:tabs>
                                      <w:tab w:pos="3507" w:val="right" w:leader="none"/>
                                    </w:tabs>
                                    <w:spacing w:before="1"/>
                                    <w:ind w:right="400"/>
                                    <w:jc w:val="right"/>
                                    <w:rPr>
                                      <w:position w:val="-9"/>
                                      <w:sz w:val="18"/>
                                    </w:rPr>
                                  </w:pPr>
                                  <w:r>
                                    <w:rPr>
                                      <w:sz w:val="18"/>
                                    </w:rPr>
                                    <w:t>Campañas</w:t>
                                  </w:r>
                                  <w:r>
                                    <w:rPr>
                                      <w:spacing w:val="-4"/>
                                      <w:sz w:val="18"/>
                                    </w:rPr>
                                    <w:t> </w:t>
                                  </w:r>
                                  <w:r>
                                    <w:rPr>
                                      <w:sz w:val="18"/>
                                    </w:rPr>
                                    <w:t>de</w:t>
                                  </w:r>
                                  <w:r>
                                    <w:rPr>
                                      <w:spacing w:val="-3"/>
                                      <w:sz w:val="18"/>
                                    </w:rPr>
                                    <w:t> </w:t>
                                  </w:r>
                                  <w:r>
                                    <w:rPr>
                                      <w:sz w:val="18"/>
                                    </w:rPr>
                                    <w:t>publicidad</w:t>
                                  </w:r>
                                  <w:r>
                                    <w:rPr>
                                      <w:spacing w:val="-4"/>
                                      <w:sz w:val="18"/>
                                    </w:rPr>
                                    <w:t> </w:t>
                                  </w:r>
                                  <w:r>
                                    <w:rPr>
                                      <w:sz w:val="18"/>
                                    </w:rPr>
                                    <w:t>fomento</w:t>
                                  </w:r>
                                  <w:r>
                                    <w:rPr>
                                      <w:spacing w:val="-1"/>
                                      <w:sz w:val="18"/>
                                    </w:rPr>
                                    <w:t> </w:t>
                                  </w:r>
                                  <w:r>
                                    <w:rPr>
                                      <w:spacing w:val="-2"/>
                                      <w:sz w:val="18"/>
                                    </w:rPr>
                                    <w:t>recarga</w:t>
                                  </w:r>
                                  <w:r>
                                    <w:rPr>
                                      <w:sz w:val="18"/>
                                    </w:rPr>
                                    <w:tab/>
                                  </w:r>
                                  <w:r>
                                    <w:rPr>
                                      <w:spacing w:val="-10"/>
                                      <w:position w:val="-9"/>
                                      <w:sz w:val="18"/>
                                    </w:rPr>
                                    <w:t>1</w:t>
                                  </w:r>
                                </w:p>
                              </w:tc>
                              <w:tc>
                                <w:tcPr>
                                  <w:tcW w:w="1392" w:type="dxa"/>
                                  <w:tcBorders>
                                    <w:top w:val="single" w:sz="8" w:space="0" w:color="001F5F"/>
                                    <w:bottom w:val="single" w:sz="8" w:space="0" w:color="001F5F"/>
                                  </w:tcBorders>
                                </w:tcPr>
                                <w:p>
                                  <w:pPr>
                                    <w:pStyle w:val="TableParagraph"/>
                                    <w:spacing w:before="104"/>
                                    <w:ind w:right="167"/>
                                    <w:jc w:val="right"/>
                                    <w:rPr>
                                      <w:sz w:val="18"/>
                                    </w:rPr>
                                  </w:pPr>
                                  <w:r>
                                    <w:rPr>
                                      <w:spacing w:val="-2"/>
                                      <w:sz w:val="18"/>
                                    </w:rPr>
                                    <w:t>14.973,52</w:t>
                                  </w:r>
                                </w:p>
                              </w:tc>
                              <w:tc>
                                <w:tcPr>
                                  <w:tcW w:w="1302" w:type="dxa"/>
                                  <w:tcBorders>
                                    <w:top w:val="single" w:sz="8" w:space="0" w:color="001F5F"/>
                                    <w:bottom w:val="single" w:sz="8" w:space="0" w:color="001F5F"/>
                                  </w:tcBorders>
                                </w:tcPr>
                                <w:p>
                                  <w:pPr>
                                    <w:pStyle w:val="TableParagraph"/>
                                    <w:spacing w:before="104"/>
                                    <w:ind w:right="268"/>
                                    <w:jc w:val="right"/>
                                    <w:rPr>
                                      <w:sz w:val="18"/>
                                    </w:rPr>
                                  </w:pPr>
                                  <w:r>
                                    <w:rPr>
                                      <w:spacing w:val="-4"/>
                                      <w:sz w:val="18"/>
                                    </w:rPr>
                                    <w:t>0,00</w:t>
                                  </w:r>
                                </w:p>
                              </w:tc>
                              <w:tc>
                                <w:tcPr>
                                  <w:tcW w:w="1055" w:type="dxa"/>
                                  <w:tcBorders>
                                    <w:top w:val="single" w:sz="8" w:space="0" w:color="001F5F"/>
                                    <w:bottom w:val="single" w:sz="8" w:space="0" w:color="001F5F"/>
                                  </w:tcBorders>
                                </w:tcPr>
                                <w:p>
                                  <w:pPr>
                                    <w:pStyle w:val="TableParagraph"/>
                                    <w:spacing w:before="104"/>
                                    <w:ind w:right="123"/>
                                    <w:jc w:val="right"/>
                                    <w:rPr>
                                      <w:sz w:val="18"/>
                                    </w:rPr>
                                  </w:pPr>
                                  <w:r>
                                    <w:rPr>
                                      <w:spacing w:val="-2"/>
                                      <w:sz w:val="18"/>
                                    </w:rPr>
                                    <w:t>14973,52</w:t>
                                  </w:r>
                                </w:p>
                              </w:tc>
                              <w:tc>
                                <w:tcPr>
                                  <w:tcW w:w="1156" w:type="dxa"/>
                                  <w:tcBorders>
                                    <w:top w:val="single" w:sz="8" w:space="0" w:color="001F5F"/>
                                    <w:bottom w:val="single" w:sz="8" w:space="0" w:color="001F5F"/>
                                  </w:tcBorders>
                                </w:tcPr>
                                <w:p>
                                  <w:pPr>
                                    <w:pStyle w:val="TableParagraph"/>
                                    <w:spacing w:before="104"/>
                                    <w:ind w:left="128"/>
                                    <w:rPr>
                                      <w:sz w:val="18"/>
                                    </w:rPr>
                                  </w:pPr>
                                  <w:r>
                                    <w:rPr>
                                      <w:spacing w:val="-2"/>
                                      <w:sz w:val="18"/>
                                    </w:rPr>
                                    <w:t>Finalizada</w:t>
                                  </w:r>
                                </w:p>
                              </w:tc>
                            </w:tr>
                            <w:tr>
                              <w:trPr>
                                <w:trHeight w:val="678" w:hRule="atLeast"/>
                              </w:trPr>
                              <w:tc>
                                <w:tcPr>
                                  <w:tcW w:w="5115" w:type="dxa"/>
                                  <w:tcBorders>
                                    <w:top w:val="single" w:sz="8" w:space="0" w:color="001F5F"/>
                                    <w:bottom w:val="single" w:sz="12" w:space="0" w:color="001F5F"/>
                                  </w:tcBorders>
                                </w:tcPr>
                                <w:p>
                                  <w:pPr>
                                    <w:pStyle w:val="TableParagraph"/>
                                    <w:spacing w:before="30"/>
                                    <w:ind w:left="1204"/>
                                    <w:rPr>
                                      <w:sz w:val="18"/>
                                    </w:rPr>
                                  </w:pPr>
                                  <w:r>
                                    <w:rPr>
                                      <w:sz w:val="18"/>
                                    </w:rPr>
                                    <w:t>Campañas</w:t>
                                  </w:r>
                                  <w:r>
                                    <w:rPr>
                                      <w:spacing w:val="-5"/>
                                      <w:sz w:val="18"/>
                                    </w:rPr>
                                    <w:t> </w:t>
                                  </w:r>
                                  <w:r>
                                    <w:rPr>
                                      <w:sz w:val="18"/>
                                    </w:rPr>
                                    <w:t>informativas</w:t>
                                  </w:r>
                                  <w:r>
                                    <w:rPr>
                                      <w:spacing w:val="-4"/>
                                      <w:sz w:val="18"/>
                                    </w:rPr>
                                    <w:t> </w:t>
                                  </w:r>
                                  <w:r>
                                    <w:rPr>
                                      <w:sz w:val="18"/>
                                    </w:rPr>
                                    <w:t>en</w:t>
                                  </w:r>
                                  <w:r>
                                    <w:rPr>
                                      <w:spacing w:val="-4"/>
                                      <w:sz w:val="18"/>
                                    </w:rPr>
                                    <w:t> </w:t>
                                  </w:r>
                                  <w:r>
                                    <w:rPr>
                                      <w:spacing w:val="-2"/>
                                      <w:sz w:val="18"/>
                                    </w:rPr>
                                    <w:t>centros</w:t>
                                  </w:r>
                                </w:p>
                                <w:p>
                                  <w:pPr>
                                    <w:pStyle w:val="TableParagraph"/>
                                    <w:tabs>
                                      <w:tab w:pos="4630" w:val="left" w:leader="none"/>
                                    </w:tabs>
                                    <w:ind w:left="1204"/>
                                    <w:rPr>
                                      <w:sz w:val="18"/>
                                    </w:rPr>
                                  </w:pPr>
                                  <w:r>
                                    <w:rPr>
                                      <w:sz w:val="18"/>
                                    </w:rPr>
                                    <w:t>educativos,</w:t>
                                  </w:r>
                                  <w:r>
                                    <w:rPr>
                                      <w:spacing w:val="-3"/>
                                      <w:sz w:val="18"/>
                                    </w:rPr>
                                    <w:t> </w:t>
                                  </w:r>
                                  <w:r>
                                    <w:rPr>
                                      <w:sz w:val="18"/>
                                    </w:rPr>
                                    <w:t>universitarios,</w:t>
                                  </w:r>
                                  <w:r>
                                    <w:rPr>
                                      <w:spacing w:val="-2"/>
                                      <w:sz w:val="18"/>
                                    </w:rPr>
                                    <w:t> </w:t>
                                  </w:r>
                                  <w:r>
                                    <w:rPr>
                                      <w:sz w:val="18"/>
                                    </w:rPr>
                                    <w:t>cívicos</w:t>
                                  </w:r>
                                  <w:r>
                                    <w:rPr>
                                      <w:spacing w:val="-3"/>
                                      <w:sz w:val="18"/>
                                    </w:rPr>
                                    <w:t> </w:t>
                                  </w:r>
                                  <w:r>
                                    <w:rPr>
                                      <w:sz w:val="18"/>
                                    </w:rPr>
                                    <w:t>y</w:t>
                                  </w:r>
                                  <w:r>
                                    <w:rPr>
                                      <w:spacing w:val="-3"/>
                                      <w:sz w:val="18"/>
                                    </w:rPr>
                                    <w:t> </w:t>
                                  </w:r>
                                  <w:r>
                                    <w:rPr>
                                      <w:spacing w:val="-5"/>
                                      <w:sz w:val="18"/>
                                    </w:rPr>
                                    <w:t>de</w:t>
                                  </w:r>
                                  <w:r>
                                    <w:rPr>
                                      <w:sz w:val="18"/>
                                    </w:rPr>
                                    <w:tab/>
                                  </w:r>
                                  <w:r>
                                    <w:rPr>
                                      <w:spacing w:val="-10"/>
                                      <w:sz w:val="18"/>
                                    </w:rPr>
                                    <w:t>0</w:t>
                                  </w:r>
                                </w:p>
                                <w:p>
                                  <w:pPr>
                                    <w:pStyle w:val="TableParagraph"/>
                                    <w:ind w:left="1204"/>
                                    <w:rPr>
                                      <w:sz w:val="18"/>
                                    </w:rPr>
                                  </w:pPr>
                                  <w:r>
                                    <w:rPr>
                                      <w:sz w:val="18"/>
                                    </w:rPr>
                                    <w:t>mayores;</w:t>
                                  </w:r>
                                  <w:r>
                                    <w:rPr>
                                      <w:spacing w:val="-2"/>
                                      <w:sz w:val="18"/>
                                    </w:rPr>
                                    <w:t> </w:t>
                                  </w:r>
                                  <w:r>
                                    <w:rPr>
                                      <w:sz w:val="18"/>
                                    </w:rPr>
                                    <w:t>nuevos</w:t>
                                  </w:r>
                                  <w:r>
                                    <w:rPr>
                                      <w:spacing w:val="-3"/>
                                      <w:sz w:val="18"/>
                                    </w:rPr>
                                    <w:t> </w:t>
                                  </w:r>
                                  <w:r>
                                    <w:rPr>
                                      <w:sz w:val="18"/>
                                    </w:rPr>
                                    <w:t>canales</w:t>
                                  </w:r>
                                  <w:r>
                                    <w:rPr>
                                      <w:spacing w:val="-3"/>
                                      <w:sz w:val="18"/>
                                    </w:rPr>
                                    <w:t> </w:t>
                                  </w:r>
                                  <w:r>
                                    <w:rPr>
                                      <w:sz w:val="18"/>
                                    </w:rPr>
                                    <w:t>de</w:t>
                                  </w:r>
                                  <w:r>
                                    <w:rPr>
                                      <w:spacing w:val="-2"/>
                                      <w:sz w:val="18"/>
                                    </w:rPr>
                                    <w:t> difusión</w:t>
                                  </w:r>
                                </w:p>
                              </w:tc>
                              <w:tc>
                                <w:tcPr>
                                  <w:tcW w:w="1392" w:type="dxa"/>
                                  <w:tcBorders>
                                    <w:top w:val="single" w:sz="8" w:space="0" w:color="001F5F"/>
                                    <w:bottom w:val="single" w:sz="12" w:space="0" w:color="001F5F"/>
                                  </w:tcBorders>
                                </w:tcPr>
                                <w:p>
                                  <w:pPr>
                                    <w:pStyle w:val="TableParagraph"/>
                                    <w:spacing w:before="29"/>
                                    <w:rPr>
                                      <w:rFonts w:ascii="Arial"/>
                                      <w:sz w:val="18"/>
                                    </w:rPr>
                                  </w:pPr>
                                </w:p>
                                <w:p>
                                  <w:pPr>
                                    <w:pStyle w:val="TableParagraph"/>
                                    <w:ind w:right="167"/>
                                    <w:jc w:val="right"/>
                                    <w:rPr>
                                      <w:sz w:val="18"/>
                                    </w:rPr>
                                  </w:pPr>
                                  <w:r>
                                    <w:rPr>
                                      <w:spacing w:val="-4"/>
                                      <w:sz w:val="18"/>
                                    </w:rPr>
                                    <w:t>0,00</w:t>
                                  </w:r>
                                </w:p>
                              </w:tc>
                              <w:tc>
                                <w:tcPr>
                                  <w:tcW w:w="1302" w:type="dxa"/>
                                  <w:tcBorders>
                                    <w:top w:val="single" w:sz="8" w:space="0" w:color="001F5F"/>
                                    <w:bottom w:val="single" w:sz="12" w:space="0" w:color="001F5F"/>
                                  </w:tcBorders>
                                </w:tcPr>
                                <w:p>
                                  <w:pPr>
                                    <w:pStyle w:val="TableParagraph"/>
                                    <w:spacing w:before="29"/>
                                    <w:rPr>
                                      <w:rFonts w:ascii="Arial"/>
                                      <w:sz w:val="18"/>
                                    </w:rPr>
                                  </w:pPr>
                                </w:p>
                                <w:p>
                                  <w:pPr>
                                    <w:pStyle w:val="TableParagraph"/>
                                    <w:ind w:right="268"/>
                                    <w:jc w:val="right"/>
                                    <w:rPr>
                                      <w:sz w:val="18"/>
                                    </w:rPr>
                                  </w:pPr>
                                  <w:r>
                                    <w:rPr>
                                      <w:spacing w:val="-4"/>
                                      <w:sz w:val="18"/>
                                    </w:rPr>
                                    <w:t>0,00</w:t>
                                  </w:r>
                                </w:p>
                              </w:tc>
                              <w:tc>
                                <w:tcPr>
                                  <w:tcW w:w="1055" w:type="dxa"/>
                                  <w:tcBorders>
                                    <w:top w:val="single" w:sz="8" w:space="0" w:color="001F5F"/>
                                    <w:bottom w:val="single" w:sz="12" w:space="0" w:color="001F5F"/>
                                  </w:tcBorders>
                                </w:tcPr>
                                <w:p>
                                  <w:pPr>
                                    <w:pStyle w:val="TableParagraph"/>
                                    <w:spacing w:before="29"/>
                                    <w:rPr>
                                      <w:rFonts w:ascii="Arial"/>
                                      <w:sz w:val="18"/>
                                    </w:rPr>
                                  </w:pPr>
                                </w:p>
                                <w:p>
                                  <w:pPr>
                                    <w:pStyle w:val="TableParagraph"/>
                                    <w:ind w:right="123"/>
                                    <w:jc w:val="right"/>
                                    <w:rPr>
                                      <w:sz w:val="18"/>
                                    </w:rPr>
                                  </w:pPr>
                                  <w:r>
                                    <w:rPr>
                                      <w:spacing w:val="-4"/>
                                      <w:sz w:val="18"/>
                                    </w:rPr>
                                    <w:t>0,00</w:t>
                                  </w:r>
                                </w:p>
                              </w:tc>
                              <w:tc>
                                <w:tcPr>
                                  <w:tcW w:w="1156" w:type="dxa"/>
                                  <w:tcBorders>
                                    <w:top w:val="single" w:sz="8" w:space="0" w:color="001F5F"/>
                                    <w:bottom w:val="single" w:sz="12" w:space="0" w:color="001F5F"/>
                                  </w:tcBorders>
                                </w:tcPr>
                                <w:p>
                                  <w:pPr>
                                    <w:pStyle w:val="TableParagraph"/>
                                    <w:spacing w:before="29"/>
                                    <w:rPr>
                                      <w:rFonts w:ascii="Arial"/>
                                      <w:sz w:val="18"/>
                                    </w:rPr>
                                  </w:pPr>
                                </w:p>
                                <w:p>
                                  <w:pPr>
                                    <w:pStyle w:val="TableParagraph"/>
                                    <w:ind w:left="128"/>
                                    <w:rPr>
                                      <w:sz w:val="18"/>
                                    </w:rPr>
                                  </w:pPr>
                                  <w:r>
                                    <w:rPr>
                                      <w:spacing w:val="-2"/>
                                      <w:sz w:val="18"/>
                                    </w:rPr>
                                    <w:t>Finalizada</w:t>
                                  </w:r>
                                </w:p>
                              </w:tc>
                            </w:tr>
                            <w:tr>
                              <w:trPr>
                                <w:trHeight w:val="414" w:hRule="atLeast"/>
                              </w:trPr>
                              <w:tc>
                                <w:tcPr>
                                  <w:tcW w:w="5115" w:type="dxa"/>
                                  <w:tcBorders>
                                    <w:top w:val="single" w:sz="12" w:space="0" w:color="001F5F"/>
                                    <w:bottom w:val="single" w:sz="8" w:space="0" w:color="002D5D"/>
                                  </w:tcBorders>
                                </w:tcPr>
                                <w:p>
                                  <w:pPr>
                                    <w:pStyle w:val="TableParagraph"/>
                                    <w:tabs>
                                      <w:tab w:pos="4752" w:val="right" w:leader="none"/>
                                    </w:tabs>
                                    <w:spacing w:line="148" w:lineRule="auto" w:before="23"/>
                                    <w:ind w:left="72"/>
                                    <w:rPr>
                                      <w:position w:val="-9"/>
                                      <w:sz w:val="18"/>
                                    </w:rPr>
                                  </w:pPr>
                                  <w:r>
                                    <w:rPr>
                                      <w:b/>
                                      <w:position w:val="-10"/>
                                      <w:sz w:val="18"/>
                                    </w:rPr>
                                    <w:t>LAS</w:t>
                                  </w:r>
                                  <w:r>
                                    <w:rPr>
                                      <w:b/>
                                      <w:spacing w:val="-2"/>
                                      <w:position w:val="-10"/>
                                      <w:sz w:val="18"/>
                                    </w:rPr>
                                    <w:t> </w:t>
                                  </w:r>
                                  <w:r>
                                    <w:rPr>
                                      <w:b/>
                                      <w:position w:val="-10"/>
                                      <w:sz w:val="18"/>
                                    </w:rPr>
                                    <w:t>PALMAS</w:t>
                                  </w:r>
                                  <w:r>
                                    <w:rPr>
                                      <w:b/>
                                      <w:spacing w:val="43"/>
                                      <w:position w:val="-10"/>
                                      <w:sz w:val="18"/>
                                    </w:rPr>
                                    <w:t>  </w:t>
                                  </w:r>
                                  <w:r>
                                    <w:rPr>
                                      <w:sz w:val="18"/>
                                    </w:rPr>
                                    <w:t>Difusión</w:t>
                                  </w:r>
                                  <w:r>
                                    <w:rPr>
                                      <w:spacing w:val="-3"/>
                                      <w:sz w:val="18"/>
                                    </w:rPr>
                                    <w:t> </w:t>
                                  </w:r>
                                  <w:r>
                                    <w:rPr>
                                      <w:sz w:val="18"/>
                                    </w:rPr>
                                    <w:t>y</w:t>
                                  </w:r>
                                  <w:r>
                                    <w:rPr>
                                      <w:spacing w:val="-2"/>
                                      <w:sz w:val="18"/>
                                    </w:rPr>
                                    <w:t> </w:t>
                                  </w:r>
                                  <w:r>
                                    <w:rPr>
                                      <w:sz w:val="18"/>
                                    </w:rPr>
                                    <w:t>promoción</w:t>
                                  </w:r>
                                  <w:r>
                                    <w:rPr>
                                      <w:spacing w:val="-3"/>
                                      <w:sz w:val="18"/>
                                    </w:rPr>
                                    <w:t> </w:t>
                                  </w:r>
                                  <w:r>
                                    <w:rPr>
                                      <w:sz w:val="18"/>
                                    </w:rPr>
                                    <w:t>del</w:t>
                                  </w:r>
                                  <w:r>
                                    <w:rPr>
                                      <w:spacing w:val="-2"/>
                                      <w:sz w:val="18"/>
                                    </w:rPr>
                                    <w:t> </w:t>
                                  </w:r>
                                  <w:r>
                                    <w:rPr>
                                      <w:sz w:val="18"/>
                                    </w:rPr>
                                    <w:t>transporte</w:t>
                                  </w:r>
                                  <w:r>
                                    <w:rPr>
                                      <w:spacing w:val="-3"/>
                                      <w:sz w:val="18"/>
                                    </w:rPr>
                                    <w:t> </w:t>
                                  </w:r>
                                  <w:r>
                                    <w:rPr>
                                      <w:spacing w:val="-2"/>
                                      <w:sz w:val="18"/>
                                    </w:rPr>
                                    <w:t>público</w:t>
                                  </w:r>
                                  <w:r>
                                    <w:rPr>
                                      <w:sz w:val="18"/>
                                    </w:rPr>
                                    <w:tab/>
                                  </w:r>
                                  <w:r>
                                    <w:rPr>
                                      <w:spacing w:val="-5"/>
                                      <w:position w:val="-9"/>
                                      <w:sz w:val="18"/>
                                    </w:rPr>
                                    <w:t>21</w:t>
                                  </w:r>
                                </w:p>
                                <w:p>
                                  <w:pPr>
                                    <w:pStyle w:val="TableParagraph"/>
                                    <w:tabs>
                                      <w:tab w:pos="1204" w:val="left" w:leader="none"/>
                                    </w:tabs>
                                    <w:spacing w:line="28" w:lineRule="auto"/>
                                    <w:ind w:left="72"/>
                                    <w:rPr>
                                      <w:sz w:val="18"/>
                                    </w:rPr>
                                  </w:pPr>
                                  <w:r>
                                    <w:rPr>
                                      <w:b/>
                                      <w:position w:val="-10"/>
                                      <w:sz w:val="18"/>
                                    </w:rPr>
                                    <w:t>DE</w:t>
                                  </w:r>
                                  <w:r>
                                    <w:rPr>
                                      <w:b/>
                                      <w:spacing w:val="-1"/>
                                      <w:position w:val="-10"/>
                                      <w:sz w:val="18"/>
                                    </w:rPr>
                                    <w:t> </w:t>
                                  </w:r>
                                  <w:r>
                                    <w:rPr>
                                      <w:b/>
                                      <w:spacing w:val="-4"/>
                                      <w:position w:val="-10"/>
                                      <w:sz w:val="18"/>
                                    </w:rPr>
                                    <w:t>GRAN</w:t>
                                  </w:r>
                                  <w:r>
                                    <w:rPr>
                                      <w:b/>
                                      <w:position w:val="-10"/>
                                      <w:sz w:val="18"/>
                                    </w:rPr>
                                    <w:tab/>
                                  </w:r>
                                  <w:r>
                                    <w:rPr>
                                      <w:sz w:val="18"/>
                                    </w:rPr>
                                    <w:t>colectivo</w:t>
                                  </w:r>
                                  <w:r>
                                    <w:rPr>
                                      <w:spacing w:val="-4"/>
                                      <w:sz w:val="18"/>
                                    </w:rPr>
                                    <w:t> </w:t>
                                  </w:r>
                                  <w:r>
                                    <w:rPr>
                                      <w:sz w:val="18"/>
                                    </w:rPr>
                                    <w:t>de</w:t>
                                  </w:r>
                                  <w:r>
                                    <w:rPr>
                                      <w:spacing w:val="-4"/>
                                      <w:sz w:val="18"/>
                                    </w:rPr>
                                    <w:t> </w:t>
                                  </w:r>
                                  <w:r>
                                    <w:rPr>
                                      <w:spacing w:val="-2"/>
                                      <w:sz w:val="18"/>
                                    </w:rPr>
                                    <w:t>MetroGuagua</w:t>
                                  </w:r>
                                </w:p>
                              </w:tc>
                              <w:tc>
                                <w:tcPr>
                                  <w:tcW w:w="1392" w:type="dxa"/>
                                  <w:tcBorders>
                                    <w:top w:val="single" w:sz="12" w:space="0" w:color="001F5F"/>
                                    <w:bottom w:val="single" w:sz="8" w:space="0" w:color="001F5F"/>
                                  </w:tcBorders>
                                </w:tcPr>
                                <w:p>
                                  <w:pPr>
                                    <w:pStyle w:val="TableParagraph"/>
                                    <w:spacing w:before="104"/>
                                    <w:ind w:right="167"/>
                                    <w:jc w:val="right"/>
                                    <w:rPr>
                                      <w:sz w:val="18"/>
                                    </w:rPr>
                                  </w:pPr>
                                  <w:r>
                                    <w:rPr>
                                      <w:spacing w:val="-2"/>
                                      <w:sz w:val="18"/>
                                    </w:rPr>
                                    <w:t>108.716,86</w:t>
                                  </w:r>
                                </w:p>
                              </w:tc>
                              <w:tc>
                                <w:tcPr>
                                  <w:tcW w:w="1302" w:type="dxa"/>
                                  <w:tcBorders>
                                    <w:top w:val="single" w:sz="12" w:space="0" w:color="001F5F"/>
                                    <w:bottom w:val="single" w:sz="8" w:space="0" w:color="001F5F"/>
                                  </w:tcBorders>
                                </w:tcPr>
                                <w:p>
                                  <w:pPr>
                                    <w:pStyle w:val="TableParagraph"/>
                                    <w:spacing w:before="104"/>
                                    <w:ind w:right="268"/>
                                    <w:jc w:val="right"/>
                                    <w:rPr>
                                      <w:sz w:val="18"/>
                                    </w:rPr>
                                  </w:pPr>
                                  <w:r>
                                    <w:rPr>
                                      <w:spacing w:val="-2"/>
                                      <w:sz w:val="18"/>
                                    </w:rPr>
                                    <w:t>108.716,86</w:t>
                                  </w:r>
                                </w:p>
                              </w:tc>
                              <w:tc>
                                <w:tcPr>
                                  <w:tcW w:w="1055" w:type="dxa"/>
                                  <w:tcBorders>
                                    <w:top w:val="single" w:sz="12" w:space="0" w:color="001F5F"/>
                                    <w:bottom w:val="single" w:sz="8" w:space="0" w:color="001F5F"/>
                                  </w:tcBorders>
                                </w:tcPr>
                                <w:p>
                                  <w:pPr>
                                    <w:pStyle w:val="TableParagraph"/>
                                    <w:spacing w:before="104"/>
                                    <w:ind w:right="123"/>
                                    <w:jc w:val="right"/>
                                    <w:rPr>
                                      <w:sz w:val="18"/>
                                    </w:rPr>
                                  </w:pPr>
                                  <w:r>
                                    <w:rPr>
                                      <w:spacing w:val="-4"/>
                                      <w:sz w:val="18"/>
                                    </w:rPr>
                                    <w:t>0,00</w:t>
                                  </w:r>
                                </w:p>
                              </w:tc>
                              <w:tc>
                                <w:tcPr>
                                  <w:tcW w:w="1156" w:type="dxa"/>
                                  <w:tcBorders>
                                    <w:top w:val="single" w:sz="12" w:space="0" w:color="001F5F"/>
                                    <w:bottom w:val="single" w:sz="8" w:space="0" w:color="001F5F"/>
                                  </w:tcBorders>
                                </w:tcPr>
                                <w:p>
                                  <w:pPr>
                                    <w:pStyle w:val="TableParagraph"/>
                                    <w:spacing w:before="104"/>
                                    <w:ind w:left="128"/>
                                    <w:rPr>
                                      <w:sz w:val="18"/>
                                    </w:rPr>
                                  </w:pPr>
                                  <w:r>
                                    <w:rPr>
                                      <w:sz w:val="18"/>
                                    </w:rPr>
                                    <w:t>En</w:t>
                                  </w:r>
                                  <w:r>
                                    <w:rPr>
                                      <w:spacing w:val="-1"/>
                                      <w:sz w:val="18"/>
                                    </w:rPr>
                                    <w:t> </w:t>
                                  </w:r>
                                  <w:r>
                                    <w:rPr>
                                      <w:spacing w:val="-2"/>
                                      <w:sz w:val="18"/>
                                    </w:rPr>
                                    <w:t>ejecución</w:t>
                                  </w:r>
                                </w:p>
                              </w:tc>
                            </w:tr>
                            <w:tr>
                              <w:trPr>
                                <w:trHeight w:val="414" w:hRule="atLeast"/>
                              </w:trPr>
                              <w:tc>
                                <w:tcPr>
                                  <w:tcW w:w="5115" w:type="dxa"/>
                                  <w:tcBorders>
                                    <w:top w:val="single" w:sz="8" w:space="0" w:color="002D5D"/>
                                    <w:bottom w:val="single" w:sz="12" w:space="0" w:color="001F5F"/>
                                  </w:tcBorders>
                                </w:tcPr>
                                <w:p>
                                  <w:pPr>
                                    <w:pStyle w:val="TableParagraph"/>
                                    <w:tabs>
                                      <w:tab w:pos="1132" w:val="left" w:leader="none"/>
                                      <w:tab w:pos="4640" w:val="right" w:leader="none"/>
                                    </w:tabs>
                                    <w:ind w:right="400"/>
                                    <w:jc w:val="right"/>
                                    <w:rPr>
                                      <w:position w:val="-9"/>
                                      <w:sz w:val="18"/>
                                    </w:rPr>
                                  </w:pPr>
                                  <w:r>
                                    <w:rPr>
                                      <w:b/>
                                      <w:spacing w:val="-2"/>
                                      <w:position w:val="-8"/>
                                      <w:sz w:val="18"/>
                                    </w:rPr>
                                    <w:t>CANARIA</w:t>
                                  </w:r>
                                  <w:r>
                                    <w:rPr>
                                      <w:b/>
                                      <w:position w:val="-8"/>
                                      <w:sz w:val="18"/>
                                    </w:rPr>
                                    <w:tab/>
                                  </w:r>
                                  <w:r>
                                    <w:rPr>
                                      <w:sz w:val="18"/>
                                    </w:rPr>
                                    <w:t>Asesoramiento,</w:t>
                                  </w:r>
                                  <w:r>
                                    <w:rPr>
                                      <w:spacing w:val="-4"/>
                                      <w:sz w:val="18"/>
                                    </w:rPr>
                                    <w:t> </w:t>
                                  </w:r>
                                  <w:r>
                                    <w:rPr>
                                      <w:sz w:val="18"/>
                                    </w:rPr>
                                    <w:t>planificación</w:t>
                                  </w:r>
                                  <w:r>
                                    <w:rPr>
                                      <w:spacing w:val="-5"/>
                                      <w:sz w:val="18"/>
                                    </w:rPr>
                                    <w:t> </w:t>
                                  </w:r>
                                  <w:r>
                                    <w:rPr>
                                      <w:sz w:val="18"/>
                                    </w:rPr>
                                    <w:t>y</w:t>
                                  </w:r>
                                  <w:r>
                                    <w:rPr>
                                      <w:spacing w:val="-4"/>
                                      <w:sz w:val="18"/>
                                    </w:rPr>
                                    <w:t> </w:t>
                                  </w:r>
                                  <w:r>
                                    <w:rPr>
                                      <w:spacing w:val="-2"/>
                                      <w:sz w:val="18"/>
                                    </w:rPr>
                                    <w:t>compra</w:t>
                                  </w:r>
                                  <w:r>
                                    <w:rPr>
                                      <w:sz w:val="18"/>
                                    </w:rPr>
                                    <w:tab/>
                                  </w:r>
                                  <w:r>
                                    <w:rPr>
                                      <w:spacing w:val="-10"/>
                                      <w:position w:val="-9"/>
                                      <w:sz w:val="18"/>
                                    </w:rPr>
                                    <w:t>1</w:t>
                                  </w:r>
                                </w:p>
                              </w:tc>
                              <w:tc>
                                <w:tcPr>
                                  <w:tcW w:w="1392" w:type="dxa"/>
                                  <w:tcBorders>
                                    <w:top w:val="single" w:sz="8" w:space="0" w:color="001F5F"/>
                                    <w:bottom w:val="single" w:sz="12" w:space="0" w:color="001F5F"/>
                                  </w:tcBorders>
                                </w:tcPr>
                                <w:p>
                                  <w:pPr>
                                    <w:pStyle w:val="TableParagraph"/>
                                    <w:spacing w:before="102"/>
                                    <w:ind w:right="167"/>
                                    <w:jc w:val="right"/>
                                    <w:rPr>
                                      <w:sz w:val="18"/>
                                    </w:rPr>
                                  </w:pPr>
                                  <w:r>
                                    <w:rPr>
                                      <w:spacing w:val="-2"/>
                                      <w:sz w:val="18"/>
                                    </w:rPr>
                                    <w:t>90.000,00</w:t>
                                  </w:r>
                                </w:p>
                              </w:tc>
                              <w:tc>
                                <w:tcPr>
                                  <w:tcW w:w="1302" w:type="dxa"/>
                                  <w:tcBorders>
                                    <w:top w:val="single" w:sz="8" w:space="0" w:color="001F5F"/>
                                    <w:bottom w:val="single" w:sz="12" w:space="0" w:color="001F5F"/>
                                  </w:tcBorders>
                                </w:tcPr>
                                <w:p>
                                  <w:pPr>
                                    <w:pStyle w:val="TableParagraph"/>
                                    <w:spacing w:before="102"/>
                                    <w:ind w:right="269"/>
                                    <w:jc w:val="right"/>
                                    <w:rPr>
                                      <w:sz w:val="18"/>
                                    </w:rPr>
                                  </w:pPr>
                                  <w:r>
                                    <w:rPr>
                                      <w:spacing w:val="-2"/>
                                      <w:sz w:val="18"/>
                                    </w:rPr>
                                    <w:t>90.000,00</w:t>
                                  </w:r>
                                </w:p>
                              </w:tc>
                              <w:tc>
                                <w:tcPr>
                                  <w:tcW w:w="1055" w:type="dxa"/>
                                  <w:tcBorders>
                                    <w:top w:val="single" w:sz="8" w:space="0" w:color="001F5F"/>
                                    <w:bottom w:val="single" w:sz="12" w:space="0" w:color="001F5F"/>
                                  </w:tcBorders>
                                </w:tcPr>
                                <w:p>
                                  <w:pPr>
                                    <w:pStyle w:val="TableParagraph"/>
                                    <w:spacing w:before="102"/>
                                    <w:ind w:right="123"/>
                                    <w:jc w:val="right"/>
                                    <w:rPr>
                                      <w:sz w:val="18"/>
                                    </w:rPr>
                                  </w:pPr>
                                  <w:r>
                                    <w:rPr>
                                      <w:spacing w:val="-4"/>
                                      <w:sz w:val="18"/>
                                    </w:rPr>
                                    <w:t>0,00</w:t>
                                  </w:r>
                                </w:p>
                              </w:tc>
                              <w:tc>
                                <w:tcPr>
                                  <w:tcW w:w="1156" w:type="dxa"/>
                                  <w:tcBorders>
                                    <w:top w:val="single" w:sz="8" w:space="0" w:color="001F5F"/>
                                    <w:bottom w:val="single" w:sz="12" w:space="0" w:color="001F5F"/>
                                  </w:tcBorders>
                                </w:tcPr>
                                <w:p>
                                  <w:pPr>
                                    <w:pStyle w:val="TableParagraph"/>
                                    <w:spacing w:before="102"/>
                                    <w:ind w:left="128"/>
                                    <w:rPr>
                                      <w:sz w:val="18"/>
                                    </w:rPr>
                                  </w:pPr>
                                  <w:r>
                                    <w:rPr>
                                      <w:sz w:val="18"/>
                                    </w:rPr>
                                    <w:t>En</w:t>
                                  </w:r>
                                  <w:r>
                                    <w:rPr>
                                      <w:spacing w:val="-1"/>
                                      <w:sz w:val="18"/>
                                    </w:rPr>
                                    <w:t> </w:t>
                                  </w:r>
                                  <w:r>
                                    <w:rPr>
                                      <w:spacing w:val="-2"/>
                                      <w:sz w:val="18"/>
                                    </w:rPr>
                                    <w:t>ejecución</w:t>
                                  </w:r>
                                </w:p>
                              </w:tc>
                            </w:tr>
                            <w:tr>
                              <w:trPr>
                                <w:trHeight w:val="313" w:hRule="atLeast"/>
                              </w:trPr>
                              <w:tc>
                                <w:tcPr>
                                  <w:tcW w:w="5115" w:type="dxa"/>
                                  <w:tcBorders>
                                    <w:top w:val="single" w:sz="12" w:space="0" w:color="001F5F"/>
                                    <w:bottom w:val="single" w:sz="12" w:space="0" w:color="001F5F"/>
                                  </w:tcBorders>
                                </w:tcPr>
                                <w:p>
                                  <w:pPr>
                                    <w:pStyle w:val="TableParagraph"/>
                                    <w:tabs>
                                      <w:tab w:pos="1132" w:val="left" w:leader="none"/>
                                      <w:tab w:pos="4640" w:val="right" w:leader="none"/>
                                    </w:tabs>
                                    <w:spacing w:before="54"/>
                                    <w:ind w:right="400"/>
                                    <w:jc w:val="right"/>
                                    <w:rPr>
                                      <w:sz w:val="18"/>
                                    </w:rPr>
                                  </w:pPr>
                                  <w:r>
                                    <w:rPr>
                                      <w:b/>
                                      <w:spacing w:val="-2"/>
                                      <w:sz w:val="18"/>
                                    </w:rPr>
                                    <w:t>PALMA</w:t>
                                  </w:r>
                                  <w:r>
                                    <w:rPr>
                                      <w:b/>
                                      <w:sz w:val="18"/>
                                    </w:rPr>
                                    <w:tab/>
                                  </w:r>
                                  <w:r>
                                    <w:rPr>
                                      <w:sz w:val="18"/>
                                    </w:rPr>
                                    <w:t>Proyecto</w:t>
                                  </w:r>
                                  <w:r>
                                    <w:rPr>
                                      <w:spacing w:val="-1"/>
                                      <w:sz w:val="18"/>
                                    </w:rPr>
                                    <w:t> </w:t>
                                  </w:r>
                                  <w:r>
                                    <w:rPr>
                                      <w:spacing w:val="-2"/>
                                      <w:sz w:val="18"/>
                                    </w:rPr>
                                    <w:t>educativo</w:t>
                                  </w:r>
                                  <w:r>
                                    <w:rPr>
                                      <w:sz w:val="18"/>
                                    </w:rPr>
                                    <w:tab/>
                                  </w:r>
                                  <w:r>
                                    <w:rPr>
                                      <w:spacing w:val="-10"/>
                                      <w:sz w:val="18"/>
                                    </w:rPr>
                                    <w:t>1</w:t>
                                  </w:r>
                                </w:p>
                              </w:tc>
                              <w:tc>
                                <w:tcPr>
                                  <w:tcW w:w="1392" w:type="dxa"/>
                                  <w:tcBorders>
                                    <w:top w:val="single" w:sz="12" w:space="0" w:color="001F5F"/>
                                    <w:bottom w:val="single" w:sz="12" w:space="0" w:color="001F5F"/>
                                  </w:tcBorders>
                                </w:tcPr>
                                <w:p>
                                  <w:pPr>
                                    <w:pStyle w:val="TableParagraph"/>
                                    <w:spacing w:before="54"/>
                                    <w:ind w:right="167"/>
                                    <w:jc w:val="right"/>
                                    <w:rPr>
                                      <w:sz w:val="18"/>
                                    </w:rPr>
                                  </w:pPr>
                                  <w:r>
                                    <w:rPr>
                                      <w:spacing w:val="-2"/>
                                      <w:sz w:val="18"/>
                                    </w:rPr>
                                    <w:t>58.376,84</w:t>
                                  </w:r>
                                </w:p>
                              </w:tc>
                              <w:tc>
                                <w:tcPr>
                                  <w:tcW w:w="1302" w:type="dxa"/>
                                  <w:tcBorders>
                                    <w:top w:val="single" w:sz="12" w:space="0" w:color="001F5F"/>
                                    <w:bottom w:val="single" w:sz="12" w:space="0" w:color="001F5F"/>
                                  </w:tcBorders>
                                </w:tcPr>
                                <w:p>
                                  <w:pPr>
                                    <w:pStyle w:val="TableParagraph"/>
                                    <w:spacing w:before="54"/>
                                    <w:ind w:right="268"/>
                                    <w:jc w:val="right"/>
                                    <w:rPr>
                                      <w:sz w:val="18"/>
                                    </w:rPr>
                                  </w:pPr>
                                  <w:r>
                                    <w:rPr>
                                      <w:spacing w:val="-2"/>
                                      <w:sz w:val="18"/>
                                    </w:rPr>
                                    <w:t>5.837,68</w:t>
                                  </w:r>
                                </w:p>
                              </w:tc>
                              <w:tc>
                                <w:tcPr>
                                  <w:tcW w:w="1055" w:type="dxa"/>
                                  <w:tcBorders>
                                    <w:top w:val="single" w:sz="12" w:space="0" w:color="001F5F"/>
                                    <w:bottom w:val="single" w:sz="12" w:space="0" w:color="001F5F"/>
                                  </w:tcBorders>
                                </w:tcPr>
                                <w:p>
                                  <w:pPr>
                                    <w:pStyle w:val="TableParagraph"/>
                                    <w:spacing w:before="54"/>
                                    <w:ind w:right="124"/>
                                    <w:jc w:val="right"/>
                                    <w:rPr>
                                      <w:sz w:val="18"/>
                                    </w:rPr>
                                  </w:pPr>
                                  <w:r>
                                    <w:rPr>
                                      <w:spacing w:val="-2"/>
                                      <w:sz w:val="18"/>
                                    </w:rPr>
                                    <w:t>52.539,16</w:t>
                                  </w:r>
                                </w:p>
                              </w:tc>
                              <w:tc>
                                <w:tcPr>
                                  <w:tcW w:w="1156" w:type="dxa"/>
                                  <w:tcBorders>
                                    <w:top w:val="single" w:sz="12" w:space="0" w:color="001F5F"/>
                                    <w:bottom w:val="single" w:sz="12" w:space="0" w:color="001F5F"/>
                                  </w:tcBorders>
                                </w:tcPr>
                                <w:p>
                                  <w:pPr>
                                    <w:pStyle w:val="TableParagraph"/>
                                    <w:spacing w:before="54"/>
                                    <w:ind w:left="128"/>
                                    <w:rPr>
                                      <w:sz w:val="18"/>
                                    </w:rPr>
                                  </w:pPr>
                                  <w:r>
                                    <w:rPr>
                                      <w:sz w:val="18"/>
                                    </w:rPr>
                                    <w:t>En</w:t>
                                  </w:r>
                                  <w:r>
                                    <w:rPr>
                                      <w:spacing w:val="-1"/>
                                      <w:sz w:val="18"/>
                                    </w:rPr>
                                    <w:t> </w:t>
                                  </w:r>
                                  <w:r>
                                    <w:rPr>
                                      <w:spacing w:val="-2"/>
                                      <w:sz w:val="18"/>
                                    </w:rPr>
                                    <w:t>ejecución</w:t>
                                  </w:r>
                                </w:p>
                              </w:tc>
                            </w:tr>
                            <w:tr>
                              <w:trPr>
                                <w:trHeight w:val="426" w:hRule="atLeast"/>
                              </w:trPr>
                              <w:tc>
                                <w:tcPr>
                                  <w:tcW w:w="5115" w:type="dxa"/>
                                  <w:tcBorders>
                                    <w:top w:val="single" w:sz="12" w:space="0" w:color="001F5F"/>
                                    <w:bottom w:val="single" w:sz="8" w:space="0" w:color="001F5F"/>
                                  </w:tcBorders>
                                </w:tcPr>
                                <w:p>
                                  <w:pPr>
                                    <w:pStyle w:val="TableParagraph"/>
                                    <w:tabs>
                                      <w:tab w:pos="3507" w:val="right" w:leader="none"/>
                                    </w:tabs>
                                    <w:spacing w:before="6"/>
                                    <w:ind w:right="400"/>
                                    <w:jc w:val="right"/>
                                    <w:rPr>
                                      <w:position w:val="-9"/>
                                      <w:sz w:val="18"/>
                                    </w:rPr>
                                  </w:pPr>
                                  <w:r>
                                    <w:rPr>
                                      <w:sz w:val="18"/>
                                    </w:rPr>
                                    <w:t>Campañas</w:t>
                                  </w:r>
                                  <w:r>
                                    <w:rPr>
                                      <w:spacing w:val="-4"/>
                                      <w:sz w:val="18"/>
                                    </w:rPr>
                                    <w:t> </w:t>
                                  </w:r>
                                  <w:r>
                                    <w:rPr>
                                      <w:sz w:val="18"/>
                                    </w:rPr>
                                    <w:t>de</w:t>
                                  </w:r>
                                  <w:r>
                                    <w:rPr>
                                      <w:spacing w:val="-3"/>
                                      <w:sz w:val="18"/>
                                    </w:rPr>
                                    <w:t> </w:t>
                                  </w:r>
                                  <w:r>
                                    <w:rPr>
                                      <w:sz w:val="18"/>
                                    </w:rPr>
                                    <w:t>difusión</w:t>
                                  </w:r>
                                  <w:r>
                                    <w:rPr>
                                      <w:spacing w:val="-3"/>
                                      <w:sz w:val="18"/>
                                    </w:rPr>
                                    <w:t> </w:t>
                                  </w:r>
                                  <w:r>
                                    <w:rPr>
                                      <w:sz w:val="18"/>
                                    </w:rPr>
                                    <w:t>para</w:t>
                                  </w:r>
                                  <w:r>
                                    <w:rPr>
                                      <w:spacing w:val="-3"/>
                                      <w:sz w:val="18"/>
                                    </w:rPr>
                                    <w:t> </w:t>
                                  </w:r>
                                  <w:r>
                                    <w:rPr>
                                      <w:sz w:val="18"/>
                                    </w:rPr>
                                    <w:t>el</w:t>
                                  </w:r>
                                  <w:r>
                                    <w:rPr>
                                      <w:spacing w:val="-3"/>
                                      <w:sz w:val="18"/>
                                    </w:rPr>
                                    <w:t> </w:t>
                                  </w:r>
                                  <w:r>
                                    <w:rPr>
                                      <w:sz w:val="18"/>
                                    </w:rPr>
                                    <w:t>fomento</w:t>
                                  </w:r>
                                  <w:r>
                                    <w:rPr>
                                      <w:spacing w:val="-3"/>
                                      <w:sz w:val="18"/>
                                    </w:rPr>
                                    <w:t> </w:t>
                                  </w:r>
                                  <w:r>
                                    <w:rPr>
                                      <w:spacing w:val="-5"/>
                                      <w:sz w:val="18"/>
                                    </w:rPr>
                                    <w:t>del</w:t>
                                  </w:r>
                                  <w:r>
                                    <w:rPr>
                                      <w:sz w:val="18"/>
                                    </w:rPr>
                                    <w:tab/>
                                  </w:r>
                                  <w:r>
                                    <w:rPr>
                                      <w:spacing w:val="-10"/>
                                      <w:position w:val="-9"/>
                                      <w:sz w:val="18"/>
                                    </w:rPr>
                                    <w:t>3</w:t>
                                  </w:r>
                                </w:p>
                              </w:tc>
                              <w:tc>
                                <w:tcPr>
                                  <w:tcW w:w="1392" w:type="dxa"/>
                                  <w:tcBorders>
                                    <w:top w:val="single" w:sz="12" w:space="0" w:color="001F5F"/>
                                    <w:bottom w:val="single" w:sz="8" w:space="0" w:color="002D5D"/>
                                  </w:tcBorders>
                                </w:tcPr>
                                <w:p>
                                  <w:pPr>
                                    <w:pStyle w:val="TableParagraph"/>
                                    <w:spacing w:before="109"/>
                                    <w:ind w:right="167"/>
                                    <w:jc w:val="right"/>
                                    <w:rPr>
                                      <w:sz w:val="18"/>
                                    </w:rPr>
                                  </w:pPr>
                                  <w:r>
                                    <w:rPr>
                                      <w:spacing w:val="-2"/>
                                      <w:sz w:val="18"/>
                                    </w:rPr>
                                    <w:t>1.198.450,00</w:t>
                                  </w:r>
                                </w:p>
                              </w:tc>
                              <w:tc>
                                <w:tcPr>
                                  <w:tcW w:w="1302" w:type="dxa"/>
                                  <w:tcBorders>
                                    <w:top w:val="single" w:sz="12" w:space="0" w:color="001F5F"/>
                                    <w:bottom w:val="single" w:sz="8" w:space="0" w:color="002D5D"/>
                                  </w:tcBorders>
                                </w:tcPr>
                                <w:p>
                                  <w:pPr>
                                    <w:pStyle w:val="TableParagraph"/>
                                    <w:spacing w:before="109"/>
                                    <w:ind w:right="268"/>
                                    <w:jc w:val="right"/>
                                    <w:rPr>
                                      <w:sz w:val="18"/>
                                    </w:rPr>
                                  </w:pPr>
                                  <w:r>
                                    <w:rPr>
                                      <w:spacing w:val="-2"/>
                                      <w:sz w:val="18"/>
                                    </w:rPr>
                                    <w:t>1.198.450,00</w:t>
                                  </w:r>
                                </w:p>
                              </w:tc>
                              <w:tc>
                                <w:tcPr>
                                  <w:tcW w:w="1055" w:type="dxa"/>
                                  <w:tcBorders>
                                    <w:top w:val="single" w:sz="12" w:space="0" w:color="001F5F"/>
                                    <w:bottom w:val="single" w:sz="8" w:space="0" w:color="001F5F"/>
                                  </w:tcBorders>
                                </w:tcPr>
                                <w:p>
                                  <w:pPr>
                                    <w:pStyle w:val="TableParagraph"/>
                                    <w:spacing w:before="109"/>
                                    <w:ind w:right="123"/>
                                    <w:jc w:val="right"/>
                                    <w:rPr>
                                      <w:sz w:val="18"/>
                                    </w:rPr>
                                  </w:pPr>
                                  <w:r>
                                    <w:rPr>
                                      <w:spacing w:val="-4"/>
                                      <w:sz w:val="18"/>
                                    </w:rPr>
                                    <w:t>0,00</w:t>
                                  </w:r>
                                </w:p>
                              </w:tc>
                              <w:tc>
                                <w:tcPr>
                                  <w:tcW w:w="1156" w:type="dxa"/>
                                  <w:tcBorders>
                                    <w:top w:val="single" w:sz="12" w:space="0" w:color="001F5F"/>
                                    <w:bottom w:val="single" w:sz="8" w:space="0" w:color="001F5F"/>
                                  </w:tcBorders>
                                </w:tcPr>
                                <w:p>
                                  <w:pPr>
                                    <w:pStyle w:val="TableParagraph"/>
                                    <w:spacing w:before="109"/>
                                    <w:ind w:left="128"/>
                                    <w:rPr>
                                      <w:sz w:val="18"/>
                                    </w:rPr>
                                  </w:pPr>
                                  <w:r>
                                    <w:rPr>
                                      <w:spacing w:val="-2"/>
                                      <w:sz w:val="18"/>
                                    </w:rPr>
                                    <w:t>Finalizada</w:t>
                                  </w:r>
                                </w:p>
                              </w:tc>
                            </w:tr>
                            <w:tr>
                              <w:trPr>
                                <w:trHeight w:val="314" w:hRule="atLeast"/>
                              </w:trPr>
                              <w:tc>
                                <w:tcPr>
                                  <w:tcW w:w="5115" w:type="dxa"/>
                                  <w:tcBorders>
                                    <w:top w:val="single" w:sz="8" w:space="0" w:color="001F5F"/>
                                  </w:tcBorders>
                                </w:tcPr>
                                <w:p>
                                  <w:pPr>
                                    <w:pStyle w:val="TableParagraph"/>
                                    <w:tabs>
                                      <w:tab w:pos="3507" w:val="right" w:leader="none"/>
                                    </w:tabs>
                                    <w:spacing w:before="54"/>
                                    <w:ind w:right="400"/>
                                    <w:jc w:val="right"/>
                                    <w:rPr>
                                      <w:sz w:val="18"/>
                                    </w:rPr>
                                  </w:pPr>
                                  <w:r>
                                    <w:rPr>
                                      <w:sz w:val="18"/>
                                    </w:rPr>
                                    <w:t>Creación</w:t>
                                  </w:r>
                                  <w:r>
                                    <w:rPr>
                                      <w:spacing w:val="-2"/>
                                      <w:sz w:val="18"/>
                                    </w:rPr>
                                    <w:t> </w:t>
                                  </w:r>
                                  <w:r>
                                    <w:rPr>
                                      <w:sz w:val="18"/>
                                    </w:rPr>
                                    <w:t>línea</w:t>
                                  </w:r>
                                  <w:r>
                                    <w:rPr>
                                      <w:spacing w:val="-2"/>
                                      <w:sz w:val="18"/>
                                    </w:rPr>
                                    <w:t> </w:t>
                                  </w:r>
                                  <w:r>
                                    <w:rPr>
                                      <w:sz w:val="18"/>
                                    </w:rPr>
                                    <w:t>gratuita</w:t>
                                  </w:r>
                                  <w:r>
                                    <w:rPr>
                                      <w:spacing w:val="-2"/>
                                      <w:sz w:val="18"/>
                                    </w:rPr>
                                    <w:t> </w:t>
                                  </w:r>
                                  <w:r>
                                    <w:rPr>
                                      <w:spacing w:val="-5"/>
                                      <w:sz w:val="18"/>
                                    </w:rPr>
                                    <w:t>900</w:t>
                                  </w:r>
                                  <w:r>
                                    <w:rPr>
                                      <w:sz w:val="18"/>
                                    </w:rPr>
                                    <w:tab/>
                                  </w:r>
                                  <w:r>
                                    <w:rPr>
                                      <w:spacing w:val="-10"/>
                                      <w:sz w:val="18"/>
                                    </w:rPr>
                                    <w:t>1</w:t>
                                  </w:r>
                                </w:p>
                              </w:tc>
                              <w:tc>
                                <w:tcPr>
                                  <w:tcW w:w="1392" w:type="dxa"/>
                                  <w:tcBorders>
                                    <w:top w:val="single" w:sz="8" w:space="0" w:color="002D5D"/>
                                  </w:tcBorders>
                                </w:tcPr>
                                <w:p>
                                  <w:pPr>
                                    <w:pStyle w:val="TableParagraph"/>
                                    <w:spacing w:before="54"/>
                                    <w:ind w:right="167"/>
                                    <w:jc w:val="right"/>
                                    <w:rPr>
                                      <w:sz w:val="18"/>
                                    </w:rPr>
                                  </w:pPr>
                                  <w:r>
                                    <w:rPr>
                                      <w:spacing w:val="-2"/>
                                      <w:sz w:val="18"/>
                                    </w:rPr>
                                    <w:t>23.625,00</w:t>
                                  </w:r>
                                </w:p>
                              </w:tc>
                              <w:tc>
                                <w:tcPr>
                                  <w:tcW w:w="1302" w:type="dxa"/>
                                  <w:tcBorders>
                                    <w:top w:val="single" w:sz="8" w:space="0" w:color="002D5D"/>
                                  </w:tcBorders>
                                </w:tcPr>
                                <w:p>
                                  <w:pPr>
                                    <w:pStyle w:val="TableParagraph"/>
                                    <w:spacing w:before="54"/>
                                    <w:ind w:right="269"/>
                                    <w:jc w:val="right"/>
                                    <w:rPr>
                                      <w:sz w:val="18"/>
                                    </w:rPr>
                                  </w:pPr>
                                  <w:r>
                                    <w:rPr>
                                      <w:spacing w:val="-2"/>
                                      <w:sz w:val="18"/>
                                    </w:rPr>
                                    <w:t>23.625,00</w:t>
                                  </w:r>
                                </w:p>
                              </w:tc>
                              <w:tc>
                                <w:tcPr>
                                  <w:tcW w:w="1055" w:type="dxa"/>
                                  <w:tcBorders>
                                    <w:top w:val="single" w:sz="8" w:space="0" w:color="001F5F"/>
                                  </w:tcBorders>
                                </w:tcPr>
                                <w:p>
                                  <w:pPr>
                                    <w:pStyle w:val="TableParagraph"/>
                                    <w:spacing w:before="54"/>
                                    <w:ind w:right="123"/>
                                    <w:jc w:val="right"/>
                                    <w:rPr>
                                      <w:sz w:val="18"/>
                                    </w:rPr>
                                  </w:pPr>
                                  <w:r>
                                    <w:rPr>
                                      <w:spacing w:val="-4"/>
                                      <w:sz w:val="18"/>
                                    </w:rPr>
                                    <w:t>0,00</w:t>
                                  </w:r>
                                </w:p>
                              </w:tc>
                              <w:tc>
                                <w:tcPr>
                                  <w:tcW w:w="1156" w:type="dxa"/>
                                  <w:tcBorders>
                                    <w:top w:val="single" w:sz="8" w:space="0" w:color="001F5F"/>
                                  </w:tcBorders>
                                </w:tcPr>
                                <w:p>
                                  <w:pPr>
                                    <w:pStyle w:val="TableParagraph"/>
                                    <w:spacing w:before="54"/>
                                    <w:ind w:left="128"/>
                                    <w:rPr>
                                      <w:sz w:val="18"/>
                                    </w:rPr>
                                  </w:pPr>
                                  <w:r>
                                    <w:rPr>
                                      <w:sz w:val="18"/>
                                    </w:rPr>
                                    <w:t>En</w:t>
                                  </w:r>
                                  <w:r>
                                    <w:rPr>
                                      <w:spacing w:val="-1"/>
                                      <w:sz w:val="18"/>
                                    </w:rPr>
                                    <w:t> </w:t>
                                  </w:r>
                                  <w:r>
                                    <w:rPr>
                                      <w:spacing w:val="-2"/>
                                      <w:sz w:val="18"/>
                                    </w:rPr>
                                    <w:t>ejecución</w:t>
                                  </w:r>
                                </w:p>
                              </w:tc>
                            </w:tr>
                            <w:tr>
                              <w:trPr>
                                <w:trHeight w:val="321" w:hRule="atLeast"/>
                              </w:trPr>
                              <w:tc>
                                <w:tcPr>
                                  <w:tcW w:w="5115" w:type="dxa"/>
                                  <w:shd w:val="clear" w:color="auto" w:fill="002D5D"/>
                                </w:tcPr>
                                <w:p>
                                  <w:pPr>
                                    <w:pStyle w:val="TableParagraph"/>
                                    <w:tabs>
                                      <w:tab w:pos="4680" w:val="right" w:leader="none"/>
                                    </w:tabs>
                                    <w:spacing w:before="67"/>
                                    <w:ind w:right="360"/>
                                    <w:jc w:val="right"/>
                                    <w:rPr>
                                      <w:b/>
                                      <w:sz w:val="18"/>
                                    </w:rPr>
                                  </w:pPr>
                                  <w:r>
                                    <w:rPr>
                                      <w:b/>
                                      <w:color w:val="FFFFFF"/>
                                      <w:spacing w:val="-2"/>
                                      <w:sz w:val="18"/>
                                    </w:rPr>
                                    <w:t>TOTAL</w:t>
                                  </w:r>
                                  <w:r>
                                    <w:rPr>
                                      <w:b/>
                                      <w:color w:val="FFFFFF"/>
                                      <w:sz w:val="18"/>
                                    </w:rPr>
                                    <w:tab/>
                                  </w:r>
                                  <w:r>
                                    <w:rPr>
                                      <w:b/>
                                      <w:color w:val="FFFFFF"/>
                                      <w:spacing w:val="-5"/>
                                      <w:sz w:val="18"/>
                                    </w:rPr>
                                    <w:t>31</w:t>
                                  </w:r>
                                </w:p>
                              </w:tc>
                              <w:tc>
                                <w:tcPr>
                                  <w:tcW w:w="1392" w:type="dxa"/>
                                  <w:shd w:val="clear" w:color="auto" w:fill="002D5D"/>
                                </w:tcPr>
                                <w:p>
                                  <w:pPr>
                                    <w:pStyle w:val="TableParagraph"/>
                                    <w:spacing w:before="67"/>
                                    <w:ind w:right="167"/>
                                    <w:jc w:val="right"/>
                                    <w:rPr>
                                      <w:b/>
                                      <w:sz w:val="18"/>
                                    </w:rPr>
                                  </w:pPr>
                                  <w:r>
                                    <w:rPr>
                                      <w:b/>
                                      <w:color w:val="FFFFFF"/>
                                      <w:spacing w:val="-2"/>
                                      <w:sz w:val="18"/>
                                    </w:rPr>
                                    <w:t>1.575.307,25</w:t>
                                  </w:r>
                                </w:p>
                              </w:tc>
                              <w:tc>
                                <w:tcPr>
                                  <w:tcW w:w="1302" w:type="dxa"/>
                                  <w:shd w:val="clear" w:color="auto" w:fill="002D5D"/>
                                </w:tcPr>
                                <w:p>
                                  <w:pPr>
                                    <w:pStyle w:val="TableParagraph"/>
                                    <w:spacing w:before="67"/>
                                    <w:ind w:right="268"/>
                                    <w:jc w:val="right"/>
                                    <w:rPr>
                                      <w:b/>
                                      <w:sz w:val="18"/>
                                    </w:rPr>
                                  </w:pPr>
                                  <w:r>
                                    <w:rPr>
                                      <w:b/>
                                      <w:color w:val="FFFFFF"/>
                                      <w:spacing w:val="-2"/>
                                      <w:sz w:val="18"/>
                                    </w:rPr>
                                    <w:t>1.436.629,54</w:t>
                                  </w:r>
                                </w:p>
                              </w:tc>
                              <w:tc>
                                <w:tcPr>
                                  <w:tcW w:w="1055" w:type="dxa"/>
                                  <w:shd w:val="clear" w:color="auto" w:fill="002D5D"/>
                                </w:tcPr>
                                <w:p>
                                  <w:pPr>
                                    <w:pStyle w:val="TableParagraph"/>
                                    <w:spacing w:before="67"/>
                                    <w:ind w:right="124"/>
                                    <w:jc w:val="right"/>
                                    <w:rPr>
                                      <w:b/>
                                      <w:sz w:val="18"/>
                                    </w:rPr>
                                  </w:pPr>
                                  <w:r>
                                    <w:rPr>
                                      <w:b/>
                                      <w:color w:val="FFFFFF"/>
                                      <w:spacing w:val="-2"/>
                                      <w:sz w:val="18"/>
                                    </w:rPr>
                                    <w:t>79.482,68</w:t>
                                  </w:r>
                                </w:p>
                              </w:tc>
                              <w:tc>
                                <w:tcPr>
                                  <w:tcW w:w="1156" w:type="dxa"/>
                                  <w:shd w:val="clear" w:color="auto" w:fill="002D5D"/>
                                </w:tcPr>
                                <w:p>
                                  <w:pPr>
                                    <w:pStyle w:val="TableParagraph"/>
                                    <w:rPr>
                                      <w:rFonts w:ascii="Times New Roman"/>
                                      <w:sz w:val="20"/>
                                    </w:rPr>
                                  </w:pPr>
                                </w:p>
                              </w:tc>
                            </w:tr>
                          </w:tbl>
                          <w:p>
                            <w:pPr>
                              <w:pStyle w:val="BodyText"/>
                            </w:pPr>
                          </w:p>
                        </w:txbxContent>
                      </wps:txbx>
                      <wps:bodyPr wrap="square" lIns="0" tIns="0" rIns="0" bIns="0" rtlCol="0">
                        <a:noAutofit/>
                      </wps:bodyPr>
                    </wps:wsp>
                  </a:graphicData>
                </a:graphic>
              </wp:anchor>
            </w:drawing>
          </mc:Choice>
          <mc:Fallback>
            <w:pict>
              <v:shape style="position:absolute;margin-left:53.664001pt;margin-top:-10.299043pt;width:507.1pt;height:252.7pt;mso-position-horizontal-relative:page;mso-position-vertical-relative:paragraph;z-index:15759360" type="#_x0000_t202" id="docshape179"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115"/>
                        <w:gridCol w:w="1392"/>
                        <w:gridCol w:w="1302"/>
                        <w:gridCol w:w="1055"/>
                        <w:gridCol w:w="1156"/>
                      </w:tblGrid>
                      <w:tr>
                        <w:trPr>
                          <w:trHeight w:val="436" w:hRule="atLeast"/>
                        </w:trPr>
                        <w:tc>
                          <w:tcPr>
                            <w:tcW w:w="5115" w:type="dxa"/>
                            <w:tcBorders>
                              <w:bottom w:val="single" w:sz="12" w:space="0" w:color="001F5F"/>
                            </w:tcBorders>
                          </w:tcPr>
                          <w:p>
                            <w:pPr>
                              <w:pStyle w:val="TableParagraph"/>
                              <w:tabs>
                                <w:tab w:pos="1132" w:val="left" w:leader="none"/>
                                <w:tab w:pos="4640" w:val="right" w:leader="none"/>
                              </w:tabs>
                              <w:ind w:right="400"/>
                              <w:jc w:val="right"/>
                              <w:rPr>
                                <w:position w:val="-9"/>
                                <w:sz w:val="18"/>
                              </w:rPr>
                            </w:pPr>
                            <w:r>
                              <w:rPr>
                                <w:b/>
                                <w:spacing w:val="-2"/>
                                <w:position w:val="-9"/>
                                <w:sz w:val="18"/>
                              </w:rPr>
                              <w:t>ALICANTE</w:t>
                            </w:r>
                            <w:r>
                              <w:rPr>
                                <w:b/>
                                <w:position w:val="-9"/>
                                <w:sz w:val="18"/>
                              </w:rPr>
                              <w:tab/>
                            </w:r>
                            <w:r>
                              <w:rPr>
                                <w:sz w:val="18"/>
                              </w:rPr>
                              <w:t>Campañas</w:t>
                            </w:r>
                            <w:r>
                              <w:rPr>
                                <w:spacing w:val="-4"/>
                                <w:sz w:val="18"/>
                              </w:rPr>
                              <w:t> </w:t>
                            </w:r>
                            <w:r>
                              <w:rPr>
                                <w:sz w:val="18"/>
                              </w:rPr>
                              <w:t>de</w:t>
                            </w:r>
                            <w:r>
                              <w:rPr>
                                <w:spacing w:val="-4"/>
                                <w:sz w:val="18"/>
                              </w:rPr>
                              <w:t> </w:t>
                            </w:r>
                            <w:r>
                              <w:rPr>
                                <w:sz w:val="18"/>
                              </w:rPr>
                              <w:t>promoción</w:t>
                            </w:r>
                            <w:r>
                              <w:rPr>
                                <w:spacing w:val="-2"/>
                                <w:sz w:val="18"/>
                              </w:rPr>
                              <w:t> </w:t>
                            </w:r>
                            <w:r>
                              <w:rPr>
                                <w:sz w:val="18"/>
                              </w:rPr>
                              <w:t>del</w:t>
                            </w:r>
                            <w:r>
                              <w:rPr>
                                <w:spacing w:val="-3"/>
                                <w:sz w:val="18"/>
                              </w:rPr>
                              <w:t> </w:t>
                            </w:r>
                            <w:r>
                              <w:rPr>
                                <w:spacing w:val="-2"/>
                                <w:sz w:val="18"/>
                              </w:rPr>
                              <w:t>transporte</w:t>
                            </w:r>
                            <w:r>
                              <w:rPr>
                                <w:sz w:val="18"/>
                              </w:rPr>
                              <w:tab/>
                            </w:r>
                            <w:r>
                              <w:rPr>
                                <w:spacing w:val="-10"/>
                                <w:position w:val="-9"/>
                                <w:sz w:val="18"/>
                              </w:rPr>
                              <w:t>1</w:t>
                            </w:r>
                          </w:p>
                        </w:tc>
                        <w:tc>
                          <w:tcPr>
                            <w:tcW w:w="1392" w:type="dxa"/>
                            <w:tcBorders>
                              <w:bottom w:val="single" w:sz="12" w:space="0" w:color="001F5F"/>
                            </w:tcBorders>
                          </w:tcPr>
                          <w:p>
                            <w:pPr>
                              <w:pStyle w:val="TableParagraph"/>
                              <w:spacing w:before="103"/>
                              <w:ind w:right="167"/>
                              <w:jc w:val="right"/>
                              <w:rPr>
                                <w:sz w:val="18"/>
                              </w:rPr>
                            </w:pPr>
                            <w:r>
                              <w:rPr>
                                <w:spacing w:val="-2"/>
                                <w:sz w:val="18"/>
                              </w:rPr>
                              <w:t>59.195,03</w:t>
                            </w:r>
                          </w:p>
                        </w:tc>
                        <w:tc>
                          <w:tcPr>
                            <w:tcW w:w="1302" w:type="dxa"/>
                            <w:tcBorders>
                              <w:bottom w:val="single" w:sz="12" w:space="0" w:color="001F5F"/>
                            </w:tcBorders>
                          </w:tcPr>
                          <w:p>
                            <w:pPr>
                              <w:pStyle w:val="TableParagraph"/>
                              <w:spacing w:before="103"/>
                              <w:ind w:right="269"/>
                              <w:jc w:val="right"/>
                              <w:rPr>
                                <w:sz w:val="18"/>
                              </w:rPr>
                            </w:pPr>
                            <w:r>
                              <w:rPr>
                                <w:spacing w:val="-2"/>
                                <w:sz w:val="18"/>
                              </w:rPr>
                              <w:t>59.195,03</w:t>
                            </w:r>
                          </w:p>
                        </w:tc>
                        <w:tc>
                          <w:tcPr>
                            <w:tcW w:w="1055" w:type="dxa"/>
                            <w:tcBorders>
                              <w:bottom w:val="single" w:sz="12" w:space="0" w:color="001F5F"/>
                            </w:tcBorders>
                          </w:tcPr>
                          <w:p>
                            <w:pPr>
                              <w:pStyle w:val="TableParagraph"/>
                              <w:spacing w:before="103"/>
                              <w:ind w:right="123"/>
                              <w:jc w:val="right"/>
                              <w:rPr>
                                <w:sz w:val="18"/>
                              </w:rPr>
                            </w:pPr>
                            <w:r>
                              <w:rPr>
                                <w:spacing w:val="-4"/>
                                <w:sz w:val="18"/>
                              </w:rPr>
                              <w:t>0,00</w:t>
                            </w:r>
                          </w:p>
                        </w:tc>
                        <w:tc>
                          <w:tcPr>
                            <w:tcW w:w="1156" w:type="dxa"/>
                            <w:tcBorders>
                              <w:bottom w:val="single" w:sz="12" w:space="0" w:color="001F5F"/>
                            </w:tcBorders>
                          </w:tcPr>
                          <w:p>
                            <w:pPr>
                              <w:pStyle w:val="TableParagraph"/>
                              <w:spacing w:before="103"/>
                              <w:ind w:left="128"/>
                              <w:rPr>
                                <w:sz w:val="18"/>
                              </w:rPr>
                            </w:pPr>
                            <w:r>
                              <w:rPr>
                                <w:spacing w:val="-2"/>
                                <w:sz w:val="18"/>
                              </w:rPr>
                              <w:t>Finalizada</w:t>
                            </w:r>
                          </w:p>
                        </w:tc>
                      </w:tr>
                      <w:tr>
                        <w:trPr>
                          <w:trHeight w:val="687" w:hRule="atLeast"/>
                        </w:trPr>
                        <w:tc>
                          <w:tcPr>
                            <w:tcW w:w="5115" w:type="dxa"/>
                            <w:tcBorders>
                              <w:top w:val="single" w:sz="12" w:space="0" w:color="001F5F"/>
                              <w:bottom w:val="single" w:sz="8" w:space="0" w:color="001F5F"/>
                            </w:tcBorders>
                          </w:tcPr>
                          <w:p>
                            <w:pPr>
                              <w:pStyle w:val="TableParagraph"/>
                              <w:spacing w:before="34"/>
                              <w:ind w:left="1204"/>
                              <w:rPr>
                                <w:sz w:val="18"/>
                              </w:rPr>
                            </w:pPr>
                            <w:r>
                              <w:rPr>
                                <w:sz w:val="18"/>
                              </w:rPr>
                              <w:t>Campañas</w:t>
                            </w:r>
                            <w:r>
                              <w:rPr>
                                <w:spacing w:val="-3"/>
                                <w:sz w:val="18"/>
                              </w:rPr>
                              <w:t> </w:t>
                            </w:r>
                            <w:r>
                              <w:rPr>
                                <w:sz w:val="18"/>
                              </w:rPr>
                              <w:t>de</w:t>
                            </w:r>
                            <w:r>
                              <w:rPr>
                                <w:spacing w:val="-3"/>
                                <w:sz w:val="18"/>
                              </w:rPr>
                              <w:t> </w:t>
                            </w:r>
                            <w:r>
                              <w:rPr>
                                <w:sz w:val="18"/>
                              </w:rPr>
                              <w:t>publicidad:</w:t>
                            </w:r>
                            <w:r>
                              <w:rPr>
                                <w:spacing w:val="-3"/>
                                <w:sz w:val="18"/>
                              </w:rPr>
                              <w:t> </w:t>
                            </w:r>
                            <w:r>
                              <w:rPr>
                                <w:sz w:val="18"/>
                              </w:rPr>
                              <w:t>feria,</w:t>
                            </w:r>
                            <w:r>
                              <w:rPr>
                                <w:spacing w:val="-3"/>
                                <w:sz w:val="18"/>
                              </w:rPr>
                              <w:t> </w:t>
                            </w:r>
                            <w:r>
                              <w:rPr>
                                <w:sz w:val="18"/>
                              </w:rPr>
                              <w:t>inicio</w:t>
                            </w:r>
                            <w:r>
                              <w:rPr>
                                <w:spacing w:val="-5"/>
                                <w:sz w:val="18"/>
                              </w:rPr>
                              <w:t> </w:t>
                            </w:r>
                            <w:r>
                              <w:rPr>
                                <w:spacing w:val="-2"/>
                                <w:sz w:val="18"/>
                              </w:rPr>
                              <w:t>curso,</w:t>
                            </w:r>
                          </w:p>
                          <w:p>
                            <w:pPr>
                              <w:pStyle w:val="TableParagraph"/>
                              <w:tabs>
                                <w:tab w:pos="4712" w:val="right" w:leader="none"/>
                              </w:tabs>
                              <w:ind w:left="1204"/>
                              <w:rPr>
                                <w:sz w:val="18"/>
                              </w:rPr>
                            </w:pPr>
                            <w:r>
                              <w:rPr>
                                <w:sz w:val="18"/>
                              </w:rPr>
                              <w:t>Semana</w:t>
                            </w:r>
                            <w:r>
                              <w:rPr>
                                <w:spacing w:val="-3"/>
                                <w:sz w:val="18"/>
                              </w:rPr>
                              <w:t> </w:t>
                            </w:r>
                            <w:r>
                              <w:rPr>
                                <w:sz w:val="18"/>
                              </w:rPr>
                              <w:t>europea</w:t>
                            </w:r>
                            <w:r>
                              <w:rPr>
                                <w:spacing w:val="-3"/>
                                <w:sz w:val="18"/>
                              </w:rPr>
                              <w:t> </w:t>
                            </w:r>
                            <w:r>
                              <w:rPr>
                                <w:sz w:val="18"/>
                              </w:rPr>
                              <w:t>de la</w:t>
                            </w:r>
                            <w:r>
                              <w:rPr>
                                <w:spacing w:val="-3"/>
                                <w:sz w:val="18"/>
                              </w:rPr>
                              <w:t> </w:t>
                            </w:r>
                            <w:r>
                              <w:rPr>
                                <w:sz w:val="18"/>
                              </w:rPr>
                              <w:t>movilidad,</w:t>
                            </w:r>
                            <w:r>
                              <w:rPr>
                                <w:spacing w:val="-2"/>
                                <w:sz w:val="18"/>
                              </w:rPr>
                              <w:t> Navidad,</w:t>
                            </w:r>
                            <w:r>
                              <w:rPr>
                                <w:sz w:val="18"/>
                              </w:rPr>
                              <w:tab/>
                            </w:r>
                            <w:r>
                              <w:rPr>
                                <w:spacing w:val="-10"/>
                                <w:sz w:val="18"/>
                              </w:rPr>
                              <w:t>1</w:t>
                            </w:r>
                          </w:p>
                          <w:p>
                            <w:pPr>
                              <w:pStyle w:val="TableParagraph"/>
                              <w:ind w:left="1204"/>
                              <w:rPr>
                                <w:sz w:val="18"/>
                              </w:rPr>
                            </w:pPr>
                            <w:r>
                              <w:rPr>
                                <w:sz w:val="18"/>
                              </w:rPr>
                              <w:t>y</w:t>
                            </w:r>
                            <w:r>
                              <w:rPr>
                                <w:spacing w:val="-2"/>
                                <w:sz w:val="18"/>
                              </w:rPr>
                              <w:t> </w:t>
                            </w:r>
                            <w:r>
                              <w:rPr>
                                <w:sz w:val="18"/>
                              </w:rPr>
                              <w:t>servicios</w:t>
                            </w:r>
                            <w:r>
                              <w:rPr>
                                <w:spacing w:val="-2"/>
                                <w:sz w:val="18"/>
                              </w:rPr>
                              <w:t> especiales</w:t>
                            </w:r>
                          </w:p>
                        </w:tc>
                        <w:tc>
                          <w:tcPr>
                            <w:tcW w:w="1392" w:type="dxa"/>
                            <w:tcBorders>
                              <w:top w:val="single" w:sz="12" w:space="0" w:color="001F5F"/>
                              <w:bottom w:val="single" w:sz="8" w:space="0" w:color="001F5F"/>
                            </w:tcBorders>
                          </w:tcPr>
                          <w:p>
                            <w:pPr>
                              <w:pStyle w:val="TableParagraph"/>
                              <w:spacing w:before="34"/>
                              <w:rPr>
                                <w:rFonts w:ascii="Arial"/>
                                <w:sz w:val="18"/>
                              </w:rPr>
                            </w:pPr>
                          </w:p>
                          <w:p>
                            <w:pPr>
                              <w:pStyle w:val="TableParagraph"/>
                              <w:ind w:right="167"/>
                              <w:jc w:val="right"/>
                              <w:rPr>
                                <w:sz w:val="18"/>
                              </w:rPr>
                            </w:pPr>
                            <w:r>
                              <w:rPr>
                                <w:spacing w:val="-2"/>
                                <w:sz w:val="18"/>
                              </w:rPr>
                              <w:t>10.000,00</w:t>
                            </w:r>
                          </w:p>
                        </w:tc>
                        <w:tc>
                          <w:tcPr>
                            <w:tcW w:w="1302" w:type="dxa"/>
                            <w:tcBorders>
                              <w:top w:val="single" w:sz="12" w:space="0" w:color="001F5F"/>
                              <w:bottom w:val="single" w:sz="8" w:space="0" w:color="001F5F"/>
                            </w:tcBorders>
                          </w:tcPr>
                          <w:p>
                            <w:pPr>
                              <w:pStyle w:val="TableParagraph"/>
                              <w:spacing w:before="34"/>
                              <w:rPr>
                                <w:rFonts w:ascii="Arial"/>
                                <w:sz w:val="18"/>
                              </w:rPr>
                            </w:pPr>
                          </w:p>
                          <w:p>
                            <w:pPr>
                              <w:pStyle w:val="TableParagraph"/>
                              <w:ind w:right="269"/>
                              <w:jc w:val="right"/>
                              <w:rPr>
                                <w:sz w:val="18"/>
                              </w:rPr>
                            </w:pPr>
                            <w:r>
                              <w:rPr>
                                <w:spacing w:val="-2"/>
                                <w:sz w:val="18"/>
                              </w:rPr>
                              <w:t>10.000,00</w:t>
                            </w:r>
                          </w:p>
                        </w:tc>
                        <w:tc>
                          <w:tcPr>
                            <w:tcW w:w="1055" w:type="dxa"/>
                            <w:tcBorders>
                              <w:top w:val="single" w:sz="12" w:space="0" w:color="001F5F"/>
                              <w:bottom w:val="single" w:sz="8" w:space="0" w:color="001F5F"/>
                            </w:tcBorders>
                          </w:tcPr>
                          <w:p>
                            <w:pPr>
                              <w:pStyle w:val="TableParagraph"/>
                              <w:spacing w:before="34"/>
                              <w:rPr>
                                <w:rFonts w:ascii="Arial"/>
                                <w:sz w:val="18"/>
                              </w:rPr>
                            </w:pPr>
                          </w:p>
                          <w:p>
                            <w:pPr>
                              <w:pStyle w:val="TableParagraph"/>
                              <w:ind w:right="123"/>
                              <w:jc w:val="right"/>
                              <w:rPr>
                                <w:sz w:val="18"/>
                              </w:rPr>
                            </w:pPr>
                            <w:r>
                              <w:rPr>
                                <w:spacing w:val="-4"/>
                                <w:sz w:val="18"/>
                              </w:rPr>
                              <w:t>0,00</w:t>
                            </w:r>
                          </w:p>
                        </w:tc>
                        <w:tc>
                          <w:tcPr>
                            <w:tcW w:w="1156" w:type="dxa"/>
                            <w:tcBorders>
                              <w:top w:val="single" w:sz="12" w:space="0" w:color="001F5F"/>
                              <w:bottom w:val="single" w:sz="8" w:space="0" w:color="001F5F"/>
                            </w:tcBorders>
                          </w:tcPr>
                          <w:p>
                            <w:pPr>
                              <w:pStyle w:val="TableParagraph"/>
                              <w:spacing w:before="34"/>
                              <w:rPr>
                                <w:rFonts w:ascii="Arial"/>
                                <w:sz w:val="18"/>
                              </w:rPr>
                            </w:pPr>
                          </w:p>
                          <w:p>
                            <w:pPr>
                              <w:pStyle w:val="TableParagraph"/>
                              <w:ind w:left="128"/>
                              <w:rPr>
                                <w:sz w:val="18"/>
                              </w:rPr>
                            </w:pPr>
                            <w:r>
                              <w:rPr>
                                <w:spacing w:val="-2"/>
                                <w:sz w:val="18"/>
                              </w:rPr>
                              <w:t>Finalizada</w:t>
                            </w:r>
                          </w:p>
                        </w:tc>
                      </w:tr>
                      <w:tr>
                        <w:trPr>
                          <w:trHeight w:val="415" w:hRule="atLeast"/>
                        </w:trPr>
                        <w:tc>
                          <w:tcPr>
                            <w:tcW w:w="5115" w:type="dxa"/>
                            <w:tcBorders>
                              <w:top w:val="single" w:sz="8" w:space="0" w:color="001F5F"/>
                              <w:bottom w:val="single" w:sz="8" w:space="0" w:color="001F5F"/>
                            </w:tcBorders>
                          </w:tcPr>
                          <w:p>
                            <w:pPr>
                              <w:pStyle w:val="TableParagraph"/>
                              <w:tabs>
                                <w:tab w:pos="4712" w:val="right" w:leader="none"/>
                              </w:tabs>
                              <w:spacing w:line="151" w:lineRule="auto" w:before="26"/>
                              <w:ind w:left="1204"/>
                              <w:rPr>
                                <w:position w:val="-9"/>
                                <w:sz w:val="18"/>
                              </w:rPr>
                            </w:pPr>
                            <w:r>
                              <w:rPr>
                                <w:sz w:val="18"/>
                              </w:rPr>
                              <w:t>Servicio</w:t>
                            </w:r>
                            <w:r>
                              <w:rPr>
                                <w:spacing w:val="-3"/>
                                <w:sz w:val="18"/>
                              </w:rPr>
                              <w:t> </w:t>
                            </w:r>
                            <w:r>
                              <w:rPr>
                                <w:sz w:val="18"/>
                              </w:rPr>
                              <w:t>de</w:t>
                            </w:r>
                            <w:r>
                              <w:rPr>
                                <w:spacing w:val="-2"/>
                                <w:sz w:val="18"/>
                              </w:rPr>
                              <w:t> </w:t>
                            </w:r>
                            <w:r>
                              <w:rPr>
                                <w:sz w:val="18"/>
                              </w:rPr>
                              <w:t>azafatas</w:t>
                            </w:r>
                            <w:r>
                              <w:rPr>
                                <w:spacing w:val="-2"/>
                                <w:sz w:val="18"/>
                              </w:rPr>
                              <w:t> </w:t>
                            </w:r>
                            <w:r>
                              <w:rPr>
                                <w:sz w:val="18"/>
                              </w:rPr>
                              <w:t>para</w:t>
                            </w:r>
                            <w:r>
                              <w:rPr>
                                <w:spacing w:val="-2"/>
                                <w:sz w:val="18"/>
                              </w:rPr>
                              <w:t> información</w:t>
                            </w:r>
                            <w:r>
                              <w:rPr>
                                <w:sz w:val="18"/>
                              </w:rPr>
                              <w:tab/>
                            </w:r>
                            <w:r>
                              <w:rPr>
                                <w:spacing w:val="-10"/>
                                <w:position w:val="-9"/>
                                <w:sz w:val="18"/>
                              </w:rPr>
                              <w:t>1</w:t>
                            </w:r>
                          </w:p>
                          <w:p>
                            <w:pPr>
                              <w:pStyle w:val="TableParagraph"/>
                              <w:tabs>
                                <w:tab w:pos="1204" w:val="left" w:leader="none"/>
                              </w:tabs>
                              <w:spacing w:line="28" w:lineRule="auto" w:before="1"/>
                              <w:ind w:left="72"/>
                              <w:rPr>
                                <w:sz w:val="18"/>
                              </w:rPr>
                            </w:pPr>
                            <w:r>
                              <w:rPr>
                                <w:b/>
                                <w:spacing w:val="-2"/>
                                <w:position w:val="-10"/>
                                <w:sz w:val="18"/>
                              </w:rPr>
                              <w:t>CÓRDOBA</w:t>
                            </w:r>
                            <w:r>
                              <w:rPr>
                                <w:b/>
                                <w:position w:val="-10"/>
                                <w:sz w:val="18"/>
                              </w:rPr>
                              <w:tab/>
                            </w:r>
                            <w:r>
                              <w:rPr>
                                <w:sz w:val="18"/>
                              </w:rPr>
                              <w:t>sobre</w:t>
                            </w:r>
                            <w:r>
                              <w:rPr>
                                <w:spacing w:val="-3"/>
                                <w:sz w:val="18"/>
                              </w:rPr>
                              <w:t> </w:t>
                            </w:r>
                            <w:r>
                              <w:rPr>
                                <w:sz w:val="18"/>
                              </w:rPr>
                              <w:t>recargas </w:t>
                            </w:r>
                            <w:r>
                              <w:rPr>
                                <w:spacing w:val="-2"/>
                                <w:sz w:val="18"/>
                              </w:rPr>
                              <w:t>online</w:t>
                            </w:r>
                          </w:p>
                        </w:tc>
                        <w:tc>
                          <w:tcPr>
                            <w:tcW w:w="1392" w:type="dxa"/>
                            <w:tcBorders>
                              <w:top w:val="single" w:sz="8" w:space="0" w:color="001F5F"/>
                              <w:bottom w:val="single" w:sz="8" w:space="0" w:color="001F5F"/>
                            </w:tcBorders>
                          </w:tcPr>
                          <w:p>
                            <w:pPr>
                              <w:pStyle w:val="TableParagraph"/>
                              <w:spacing w:before="105"/>
                              <w:ind w:right="167"/>
                              <w:jc w:val="right"/>
                              <w:rPr>
                                <w:sz w:val="18"/>
                              </w:rPr>
                            </w:pPr>
                            <w:r>
                              <w:rPr>
                                <w:spacing w:val="-2"/>
                                <w:sz w:val="18"/>
                              </w:rPr>
                              <w:t>11.970,00</w:t>
                            </w:r>
                          </w:p>
                        </w:tc>
                        <w:tc>
                          <w:tcPr>
                            <w:tcW w:w="1302" w:type="dxa"/>
                            <w:tcBorders>
                              <w:top w:val="single" w:sz="8" w:space="0" w:color="001F5F"/>
                              <w:bottom w:val="single" w:sz="8" w:space="0" w:color="001F5F"/>
                            </w:tcBorders>
                          </w:tcPr>
                          <w:p>
                            <w:pPr>
                              <w:pStyle w:val="TableParagraph"/>
                              <w:spacing w:before="105"/>
                              <w:ind w:right="268"/>
                              <w:jc w:val="right"/>
                              <w:rPr>
                                <w:sz w:val="18"/>
                              </w:rPr>
                            </w:pPr>
                            <w:r>
                              <w:rPr>
                                <w:spacing w:val="-4"/>
                                <w:sz w:val="18"/>
                              </w:rPr>
                              <w:t>0,00</w:t>
                            </w:r>
                          </w:p>
                        </w:tc>
                        <w:tc>
                          <w:tcPr>
                            <w:tcW w:w="1055" w:type="dxa"/>
                            <w:tcBorders>
                              <w:top w:val="single" w:sz="8" w:space="0" w:color="001F5F"/>
                              <w:bottom w:val="single" w:sz="8" w:space="0" w:color="001F5F"/>
                            </w:tcBorders>
                          </w:tcPr>
                          <w:p>
                            <w:pPr>
                              <w:pStyle w:val="TableParagraph"/>
                              <w:spacing w:before="105"/>
                              <w:ind w:right="124"/>
                              <w:jc w:val="right"/>
                              <w:rPr>
                                <w:sz w:val="18"/>
                              </w:rPr>
                            </w:pPr>
                            <w:r>
                              <w:rPr>
                                <w:spacing w:val="-2"/>
                                <w:sz w:val="18"/>
                              </w:rPr>
                              <w:t>11.970,00</w:t>
                            </w:r>
                          </w:p>
                        </w:tc>
                        <w:tc>
                          <w:tcPr>
                            <w:tcW w:w="1156" w:type="dxa"/>
                            <w:tcBorders>
                              <w:top w:val="single" w:sz="8" w:space="0" w:color="001F5F"/>
                              <w:bottom w:val="single" w:sz="8" w:space="0" w:color="001F5F"/>
                            </w:tcBorders>
                          </w:tcPr>
                          <w:p>
                            <w:pPr>
                              <w:pStyle w:val="TableParagraph"/>
                              <w:spacing w:before="105"/>
                              <w:ind w:left="128"/>
                              <w:rPr>
                                <w:sz w:val="18"/>
                              </w:rPr>
                            </w:pPr>
                            <w:r>
                              <w:rPr>
                                <w:spacing w:val="-2"/>
                                <w:sz w:val="18"/>
                              </w:rPr>
                              <w:t>Finalizada</w:t>
                            </w:r>
                          </w:p>
                        </w:tc>
                      </w:tr>
                      <w:tr>
                        <w:trPr>
                          <w:trHeight w:val="416" w:hRule="atLeast"/>
                        </w:trPr>
                        <w:tc>
                          <w:tcPr>
                            <w:tcW w:w="5115" w:type="dxa"/>
                            <w:tcBorders>
                              <w:top w:val="single" w:sz="8" w:space="0" w:color="001F5F"/>
                              <w:bottom w:val="single" w:sz="8" w:space="0" w:color="001F5F"/>
                            </w:tcBorders>
                          </w:tcPr>
                          <w:p>
                            <w:pPr>
                              <w:pStyle w:val="TableParagraph"/>
                              <w:tabs>
                                <w:tab w:pos="3507" w:val="right" w:leader="none"/>
                              </w:tabs>
                              <w:spacing w:before="1"/>
                              <w:ind w:right="400"/>
                              <w:jc w:val="right"/>
                              <w:rPr>
                                <w:position w:val="-9"/>
                                <w:sz w:val="18"/>
                              </w:rPr>
                            </w:pPr>
                            <w:r>
                              <w:rPr>
                                <w:sz w:val="18"/>
                              </w:rPr>
                              <w:t>Campañas</w:t>
                            </w:r>
                            <w:r>
                              <w:rPr>
                                <w:spacing w:val="-4"/>
                                <w:sz w:val="18"/>
                              </w:rPr>
                              <w:t> </w:t>
                            </w:r>
                            <w:r>
                              <w:rPr>
                                <w:sz w:val="18"/>
                              </w:rPr>
                              <w:t>de</w:t>
                            </w:r>
                            <w:r>
                              <w:rPr>
                                <w:spacing w:val="-3"/>
                                <w:sz w:val="18"/>
                              </w:rPr>
                              <w:t> </w:t>
                            </w:r>
                            <w:r>
                              <w:rPr>
                                <w:sz w:val="18"/>
                              </w:rPr>
                              <w:t>publicidad</w:t>
                            </w:r>
                            <w:r>
                              <w:rPr>
                                <w:spacing w:val="-4"/>
                                <w:sz w:val="18"/>
                              </w:rPr>
                              <w:t> </w:t>
                            </w:r>
                            <w:r>
                              <w:rPr>
                                <w:sz w:val="18"/>
                              </w:rPr>
                              <w:t>fomento</w:t>
                            </w:r>
                            <w:r>
                              <w:rPr>
                                <w:spacing w:val="-1"/>
                                <w:sz w:val="18"/>
                              </w:rPr>
                              <w:t> </w:t>
                            </w:r>
                            <w:r>
                              <w:rPr>
                                <w:spacing w:val="-2"/>
                                <w:sz w:val="18"/>
                              </w:rPr>
                              <w:t>recarga</w:t>
                            </w:r>
                            <w:r>
                              <w:rPr>
                                <w:sz w:val="18"/>
                              </w:rPr>
                              <w:tab/>
                            </w:r>
                            <w:r>
                              <w:rPr>
                                <w:spacing w:val="-10"/>
                                <w:position w:val="-9"/>
                                <w:sz w:val="18"/>
                              </w:rPr>
                              <w:t>1</w:t>
                            </w:r>
                          </w:p>
                        </w:tc>
                        <w:tc>
                          <w:tcPr>
                            <w:tcW w:w="1392" w:type="dxa"/>
                            <w:tcBorders>
                              <w:top w:val="single" w:sz="8" w:space="0" w:color="001F5F"/>
                              <w:bottom w:val="single" w:sz="8" w:space="0" w:color="001F5F"/>
                            </w:tcBorders>
                          </w:tcPr>
                          <w:p>
                            <w:pPr>
                              <w:pStyle w:val="TableParagraph"/>
                              <w:spacing w:before="104"/>
                              <w:ind w:right="167"/>
                              <w:jc w:val="right"/>
                              <w:rPr>
                                <w:sz w:val="18"/>
                              </w:rPr>
                            </w:pPr>
                            <w:r>
                              <w:rPr>
                                <w:spacing w:val="-2"/>
                                <w:sz w:val="18"/>
                              </w:rPr>
                              <w:t>14.973,52</w:t>
                            </w:r>
                          </w:p>
                        </w:tc>
                        <w:tc>
                          <w:tcPr>
                            <w:tcW w:w="1302" w:type="dxa"/>
                            <w:tcBorders>
                              <w:top w:val="single" w:sz="8" w:space="0" w:color="001F5F"/>
                              <w:bottom w:val="single" w:sz="8" w:space="0" w:color="001F5F"/>
                            </w:tcBorders>
                          </w:tcPr>
                          <w:p>
                            <w:pPr>
                              <w:pStyle w:val="TableParagraph"/>
                              <w:spacing w:before="104"/>
                              <w:ind w:right="268"/>
                              <w:jc w:val="right"/>
                              <w:rPr>
                                <w:sz w:val="18"/>
                              </w:rPr>
                            </w:pPr>
                            <w:r>
                              <w:rPr>
                                <w:spacing w:val="-4"/>
                                <w:sz w:val="18"/>
                              </w:rPr>
                              <w:t>0,00</w:t>
                            </w:r>
                          </w:p>
                        </w:tc>
                        <w:tc>
                          <w:tcPr>
                            <w:tcW w:w="1055" w:type="dxa"/>
                            <w:tcBorders>
                              <w:top w:val="single" w:sz="8" w:space="0" w:color="001F5F"/>
                              <w:bottom w:val="single" w:sz="8" w:space="0" w:color="001F5F"/>
                            </w:tcBorders>
                          </w:tcPr>
                          <w:p>
                            <w:pPr>
                              <w:pStyle w:val="TableParagraph"/>
                              <w:spacing w:before="104"/>
                              <w:ind w:right="123"/>
                              <w:jc w:val="right"/>
                              <w:rPr>
                                <w:sz w:val="18"/>
                              </w:rPr>
                            </w:pPr>
                            <w:r>
                              <w:rPr>
                                <w:spacing w:val="-2"/>
                                <w:sz w:val="18"/>
                              </w:rPr>
                              <w:t>14973,52</w:t>
                            </w:r>
                          </w:p>
                        </w:tc>
                        <w:tc>
                          <w:tcPr>
                            <w:tcW w:w="1156" w:type="dxa"/>
                            <w:tcBorders>
                              <w:top w:val="single" w:sz="8" w:space="0" w:color="001F5F"/>
                              <w:bottom w:val="single" w:sz="8" w:space="0" w:color="001F5F"/>
                            </w:tcBorders>
                          </w:tcPr>
                          <w:p>
                            <w:pPr>
                              <w:pStyle w:val="TableParagraph"/>
                              <w:spacing w:before="104"/>
                              <w:ind w:left="128"/>
                              <w:rPr>
                                <w:sz w:val="18"/>
                              </w:rPr>
                            </w:pPr>
                            <w:r>
                              <w:rPr>
                                <w:spacing w:val="-2"/>
                                <w:sz w:val="18"/>
                              </w:rPr>
                              <w:t>Finalizada</w:t>
                            </w:r>
                          </w:p>
                        </w:tc>
                      </w:tr>
                      <w:tr>
                        <w:trPr>
                          <w:trHeight w:val="678" w:hRule="atLeast"/>
                        </w:trPr>
                        <w:tc>
                          <w:tcPr>
                            <w:tcW w:w="5115" w:type="dxa"/>
                            <w:tcBorders>
                              <w:top w:val="single" w:sz="8" w:space="0" w:color="001F5F"/>
                              <w:bottom w:val="single" w:sz="12" w:space="0" w:color="001F5F"/>
                            </w:tcBorders>
                          </w:tcPr>
                          <w:p>
                            <w:pPr>
                              <w:pStyle w:val="TableParagraph"/>
                              <w:spacing w:before="30"/>
                              <w:ind w:left="1204"/>
                              <w:rPr>
                                <w:sz w:val="18"/>
                              </w:rPr>
                            </w:pPr>
                            <w:r>
                              <w:rPr>
                                <w:sz w:val="18"/>
                              </w:rPr>
                              <w:t>Campañas</w:t>
                            </w:r>
                            <w:r>
                              <w:rPr>
                                <w:spacing w:val="-5"/>
                                <w:sz w:val="18"/>
                              </w:rPr>
                              <w:t> </w:t>
                            </w:r>
                            <w:r>
                              <w:rPr>
                                <w:sz w:val="18"/>
                              </w:rPr>
                              <w:t>informativas</w:t>
                            </w:r>
                            <w:r>
                              <w:rPr>
                                <w:spacing w:val="-4"/>
                                <w:sz w:val="18"/>
                              </w:rPr>
                              <w:t> </w:t>
                            </w:r>
                            <w:r>
                              <w:rPr>
                                <w:sz w:val="18"/>
                              </w:rPr>
                              <w:t>en</w:t>
                            </w:r>
                            <w:r>
                              <w:rPr>
                                <w:spacing w:val="-4"/>
                                <w:sz w:val="18"/>
                              </w:rPr>
                              <w:t> </w:t>
                            </w:r>
                            <w:r>
                              <w:rPr>
                                <w:spacing w:val="-2"/>
                                <w:sz w:val="18"/>
                              </w:rPr>
                              <w:t>centros</w:t>
                            </w:r>
                          </w:p>
                          <w:p>
                            <w:pPr>
                              <w:pStyle w:val="TableParagraph"/>
                              <w:tabs>
                                <w:tab w:pos="4630" w:val="left" w:leader="none"/>
                              </w:tabs>
                              <w:ind w:left="1204"/>
                              <w:rPr>
                                <w:sz w:val="18"/>
                              </w:rPr>
                            </w:pPr>
                            <w:r>
                              <w:rPr>
                                <w:sz w:val="18"/>
                              </w:rPr>
                              <w:t>educativos,</w:t>
                            </w:r>
                            <w:r>
                              <w:rPr>
                                <w:spacing w:val="-3"/>
                                <w:sz w:val="18"/>
                              </w:rPr>
                              <w:t> </w:t>
                            </w:r>
                            <w:r>
                              <w:rPr>
                                <w:sz w:val="18"/>
                              </w:rPr>
                              <w:t>universitarios,</w:t>
                            </w:r>
                            <w:r>
                              <w:rPr>
                                <w:spacing w:val="-2"/>
                                <w:sz w:val="18"/>
                              </w:rPr>
                              <w:t> </w:t>
                            </w:r>
                            <w:r>
                              <w:rPr>
                                <w:sz w:val="18"/>
                              </w:rPr>
                              <w:t>cívicos</w:t>
                            </w:r>
                            <w:r>
                              <w:rPr>
                                <w:spacing w:val="-3"/>
                                <w:sz w:val="18"/>
                              </w:rPr>
                              <w:t> </w:t>
                            </w:r>
                            <w:r>
                              <w:rPr>
                                <w:sz w:val="18"/>
                              </w:rPr>
                              <w:t>y</w:t>
                            </w:r>
                            <w:r>
                              <w:rPr>
                                <w:spacing w:val="-3"/>
                                <w:sz w:val="18"/>
                              </w:rPr>
                              <w:t> </w:t>
                            </w:r>
                            <w:r>
                              <w:rPr>
                                <w:spacing w:val="-5"/>
                                <w:sz w:val="18"/>
                              </w:rPr>
                              <w:t>de</w:t>
                            </w:r>
                            <w:r>
                              <w:rPr>
                                <w:sz w:val="18"/>
                              </w:rPr>
                              <w:tab/>
                            </w:r>
                            <w:r>
                              <w:rPr>
                                <w:spacing w:val="-10"/>
                                <w:sz w:val="18"/>
                              </w:rPr>
                              <w:t>0</w:t>
                            </w:r>
                          </w:p>
                          <w:p>
                            <w:pPr>
                              <w:pStyle w:val="TableParagraph"/>
                              <w:ind w:left="1204"/>
                              <w:rPr>
                                <w:sz w:val="18"/>
                              </w:rPr>
                            </w:pPr>
                            <w:r>
                              <w:rPr>
                                <w:sz w:val="18"/>
                              </w:rPr>
                              <w:t>mayores;</w:t>
                            </w:r>
                            <w:r>
                              <w:rPr>
                                <w:spacing w:val="-2"/>
                                <w:sz w:val="18"/>
                              </w:rPr>
                              <w:t> </w:t>
                            </w:r>
                            <w:r>
                              <w:rPr>
                                <w:sz w:val="18"/>
                              </w:rPr>
                              <w:t>nuevos</w:t>
                            </w:r>
                            <w:r>
                              <w:rPr>
                                <w:spacing w:val="-3"/>
                                <w:sz w:val="18"/>
                              </w:rPr>
                              <w:t> </w:t>
                            </w:r>
                            <w:r>
                              <w:rPr>
                                <w:sz w:val="18"/>
                              </w:rPr>
                              <w:t>canales</w:t>
                            </w:r>
                            <w:r>
                              <w:rPr>
                                <w:spacing w:val="-3"/>
                                <w:sz w:val="18"/>
                              </w:rPr>
                              <w:t> </w:t>
                            </w:r>
                            <w:r>
                              <w:rPr>
                                <w:sz w:val="18"/>
                              </w:rPr>
                              <w:t>de</w:t>
                            </w:r>
                            <w:r>
                              <w:rPr>
                                <w:spacing w:val="-2"/>
                                <w:sz w:val="18"/>
                              </w:rPr>
                              <w:t> difusión</w:t>
                            </w:r>
                          </w:p>
                        </w:tc>
                        <w:tc>
                          <w:tcPr>
                            <w:tcW w:w="1392" w:type="dxa"/>
                            <w:tcBorders>
                              <w:top w:val="single" w:sz="8" w:space="0" w:color="001F5F"/>
                              <w:bottom w:val="single" w:sz="12" w:space="0" w:color="001F5F"/>
                            </w:tcBorders>
                          </w:tcPr>
                          <w:p>
                            <w:pPr>
                              <w:pStyle w:val="TableParagraph"/>
                              <w:spacing w:before="29"/>
                              <w:rPr>
                                <w:rFonts w:ascii="Arial"/>
                                <w:sz w:val="18"/>
                              </w:rPr>
                            </w:pPr>
                          </w:p>
                          <w:p>
                            <w:pPr>
                              <w:pStyle w:val="TableParagraph"/>
                              <w:ind w:right="167"/>
                              <w:jc w:val="right"/>
                              <w:rPr>
                                <w:sz w:val="18"/>
                              </w:rPr>
                            </w:pPr>
                            <w:r>
                              <w:rPr>
                                <w:spacing w:val="-4"/>
                                <w:sz w:val="18"/>
                              </w:rPr>
                              <w:t>0,00</w:t>
                            </w:r>
                          </w:p>
                        </w:tc>
                        <w:tc>
                          <w:tcPr>
                            <w:tcW w:w="1302" w:type="dxa"/>
                            <w:tcBorders>
                              <w:top w:val="single" w:sz="8" w:space="0" w:color="001F5F"/>
                              <w:bottom w:val="single" w:sz="12" w:space="0" w:color="001F5F"/>
                            </w:tcBorders>
                          </w:tcPr>
                          <w:p>
                            <w:pPr>
                              <w:pStyle w:val="TableParagraph"/>
                              <w:spacing w:before="29"/>
                              <w:rPr>
                                <w:rFonts w:ascii="Arial"/>
                                <w:sz w:val="18"/>
                              </w:rPr>
                            </w:pPr>
                          </w:p>
                          <w:p>
                            <w:pPr>
                              <w:pStyle w:val="TableParagraph"/>
                              <w:ind w:right="268"/>
                              <w:jc w:val="right"/>
                              <w:rPr>
                                <w:sz w:val="18"/>
                              </w:rPr>
                            </w:pPr>
                            <w:r>
                              <w:rPr>
                                <w:spacing w:val="-4"/>
                                <w:sz w:val="18"/>
                              </w:rPr>
                              <w:t>0,00</w:t>
                            </w:r>
                          </w:p>
                        </w:tc>
                        <w:tc>
                          <w:tcPr>
                            <w:tcW w:w="1055" w:type="dxa"/>
                            <w:tcBorders>
                              <w:top w:val="single" w:sz="8" w:space="0" w:color="001F5F"/>
                              <w:bottom w:val="single" w:sz="12" w:space="0" w:color="001F5F"/>
                            </w:tcBorders>
                          </w:tcPr>
                          <w:p>
                            <w:pPr>
                              <w:pStyle w:val="TableParagraph"/>
                              <w:spacing w:before="29"/>
                              <w:rPr>
                                <w:rFonts w:ascii="Arial"/>
                                <w:sz w:val="18"/>
                              </w:rPr>
                            </w:pPr>
                          </w:p>
                          <w:p>
                            <w:pPr>
                              <w:pStyle w:val="TableParagraph"/>
                              <w:ind w:right="123"/>
                              <w:jc w:val="right"/>
                              <w:rPr>
                                <w:sz w:val="18"/>
                              </w:rPr>
                            </w:pPr>
                            <w:r>
                              <w:rPr>
                                <w:spacing w:val="-4"/>
                                <w:sz w:val="18"/>
                              </w:rPr>
                              <w:t>0,00</w:t>
                            </w:r>
                          </w:p>
                        </w:tc>
                        <w:tc>
                          <w:tcPr>
                            <w:tcW w:w="1156" w:type="dxa"/>
                            <w:tcBorders>
                              <w:top w:val="single" w:sz="8" w:space="0" w:color="001F5F"/>
                              <w:bottom w:val="single" w:sz="12" w:space="0" w:color="001F5F"/>
                            </w:tcBorders>
                          </w:tcPr>
                          <w:p>
                            <w:pPr>
                              <w:pStyle w:val="TableParagraph"/>
                              <w:spacing w:before="29"/>
                              <w:rPr>
                                <w:rFonts w:ascii="Arial"/>
                                <w:sz w:val="18"/>
                              </w:rPr>
                            </w:pPr>
                          </w:p>
                          <w:p>
                            <w:pPr>
                              <w:pStyle w:val="TableParagraph"/>
                              <w:ind w:left="128"/>
                              <w:rPr>
                                <w:sz w:val="18"/>
                              </w:rPr>
                            </w:pPr>
                            <w:r>
                              <w:rPr>
                                <w:spacing w:val="-2"/>
                                <w:sz w:val="18"/>
                              </w:rPr>
                              <w:t>Finalizada</w:t>
                            </w:r>
                          </w:p>
                        </w:tc>
                      </w:tr>
                      <w:tr>
                        <w:trPr>
                          <w:trHeight w:val="414" w:hRule="atLeast"/>
                        </w:trPr>
                        <w:tc>
                          <w:tcPr>
                            <w:tcW w:w="5115" w:type="dxa"/>
                            <w:tcBorders>
                              <w:top w:val="single" w:sz="12" w:space="0" w:color="001F5F"/>
                              <w:bottom w:val="single" w:sz="8" w:space="0" w:color="002D5D"/>
                            </w:tcBorders>
                          </w:tcPr>
                          <w:p>
                            <w:pPr>
                              <w:pStyle w:val="TableParagraph"/>
                              <w:tabs>
                                <w:tab w:pos="4752" w:val="right" w:leader="none"/>
                              </w:tabs>
                              <w:spacing w:line="148" w:lineRule="auto" w:before="23"/>
                              <w:ind w:left="72"/>
                              <w:rPr>
                                <w:position w:val="-9"/>
                                <w:sz w:val="18"/>
                              </w:rPr>
                            </w:pPr>
                            <w:r>
                              <w:rPr>
                                <w:b/>
                                <w:position w:val="-10"/>
                                <w:sz w:val="18"/>
                              </w:rPr>
                              <w:t>LAS</w:t>
                            </w:r>
                            <w:r>
                              <w:rPr>
                                <w:b/>
                                <w:spacing w:val="-2"/>
                                <w:position w:val="-10"/>
                                <w:sz w:val="18"/>
                              </w:rPr>
                              <w:t> </w:t>
                            </w:r>
                            <w:r>
                              <w:rPr>
                                <w:b/>
                                <w:position w:val="-10"/>
                                <w:sz w:val="18"/>
                              </w:rPr>
                              <w:t>PALMAS</w:t>
                            </w:r>
                            <w:r>
                              <w:rPr>
                                <w:b/>
                                <w:spacing w:val="43"/>
                                <w:position w:val="-10"/>
                                <w:sz w:val="18"/>
                              </w:rPr>
                              <w:t>  </w:t>
                            </w:r>
                            <w:r>
                              <w:rPr>
                                <w:sz w:val="18"/>
                              </w:rPr>
                              <w:t>Difusión</w:t>
                            </w:r>
                            <w:r>
                              <w:rPr>
                                <w:spacing w:val="-3"/>
                                <w:sz w:val="18"/>
                              </w:rPr>
                              <w:t> </w:t>
                            </w:r>
                            <w:r>
                              <w:rPr>
                                <w:sz w:val="18"/>
                              </w:rPr>
                              <w:t>y</w:t>
                            </w:r>
                            <w:r>
                              <w:rPr>
                                <w:spacing w:val="-2"/>
                                <w:sz w:val="18"/>
                              </w:rPr>
                              <w:t> </w:t>
                            </w:r>
                            <w:r>
                              <w:rPr>
                                <w:sz w:val="18"/>
                              </w:rPr>
                              <w:t>promoción</w:t>
                            </w:r>
                            <w:r>
                              <w:rPr>
                                <w:spacing w:val="-3"/>
                                <w:sz w:val="18"/>
                              </w:rPr>
                              <w:t> </w:t>
                            </w:r>
                            <w:r>
                              <w:rPr>
                                <w:sz w:val="18"/>
                              </w:rPr>
                              <w:t>del</w:t>
                            </w:r>
                            <w:r>
                              <w:rPr>
                                <w:spacing w:val="-2"/>
                                <w:sz w:val="18"/>
                              </w:rPr>
                              <w:t> </w:t>
                            </w:r>
                            <w:r>
                              <w:rPr>
                                <w:sz w:val="18"/>
                              </w:rPr>
                              <w:t>transporte</w:t>
                            </w:r>
                            <w:r>
                              <w:rPr>
                                <w:spacing w:val="-3"/>
                                <w:sz w:val="18"/>
                              </w:rPr>
                              <w:t> </w:t>
                            </w:r>
                            <w:r>
                              <w:rPr>
                                <w:spacing w:val="-2"/>
                                <w:sz w:val="18"/>
                              </w:rPr>
                              <w:t>público</w:t>
                            </w:r>
                            <w:r>
                              <w:rPr>
                                <w:sz w:val="18"/>
                              </w:rPr>
                              <w:tab/>
                            </w:r>
                            <w:r>
                              <w:rPr>
                                <w:spacing w:val="-5"/>
                                <w:position w:val="-9"/>
                                <w:sz w:val="18"/>
                              </w:rPr>
                              <w:t>21</w:t>
                            </w:r>
                          </w:p>
                          <w:p>
                            <w:pPr>
                              <w:pStyle w:val="TableParagraph"/>
                              <w:tabs>
                                <w:tab w:pos="1204" w:val="left" w:leader="none"/>
                              </w:tabs>
                              <w:spacing w:line="28" w:lineRule="auto"/>
                              <w:ind w:left="72"/>
                              <w:rPr>
                                <w:sz w:val="18"/>
                              </w:rPr>
                            </w:pPr>
                            <w:r>
                              <w:rPr>
                                <w:b/>
                                <w:position w:val="-10"/>
                                <w:sz w:val="18"/>
                              </w:rPr>
                              <w:t>DE</w:t>
                            </w:r>
                            <w:r>
                              <w:rPr>
                                <w:b/>
                                <w:spacing w:val="-1"/>
                                <w:position w:val="-10"/>
                                <w:sz w:val="18"/>
                              </w:rPr>
                              <w:t> </w:t>
                            </w:r>
                            <w:r>
                              <w:rPr>
                                <w:b/>
                                <w:spacing w:val="-4"/>
                                <w:position w:val="-10"/>
                                <w:sz w:val="18"/>
                              </w:rPr>
                              <w:t>GRAN</w:t>
                            </w:r>
                            <w:r>
                              <w:rPr>
                                <w:b/>
                                <w:position w:val="-10"/>
                                <w:sz w:val="18"/>
                              </w:rPr>
                              <w:tab/>
                            </w:r>
                            <w:r>
                              <w:rPr>
                                <w:sz w:val="18"/>
                              </w:rPr>
                              <w:t>colectivo</w:t>
                            </w:r>
                            <w:r>
                              <w:rPr>
                                <w:spacing w:val="-4"/>
                                <w:sz w:val="18"/>
                              </w:rPr>
                              <w:t> </w:t>
                            </w:r>
                            <w:r>
                              <w:rPr>
                                <w:sz w:val="18"/>
                              </w:rPr>
                              <w:t>de</w:t>
                            </w:r>
                            <w:r>
                              <w:rPr>
                                <w:spacing w:val="-4"/>
                                <w:sz w:val="18"/>
                              </w:rPr>
                              <w:t> </w:t>
                            </w:r>
                            <w:r>
                              <w:rPr>
                                <w:spacing w:val="-2"/>
                                <w:sz w:val="18"/>
                              </w:rPr>
                              <w:t>MetroGuagua</w:t>
                            </w:r>
                          </w:p>
                        </w:tc>
                        <w:tc>
                          <w:tcPr>
                            <w:tcW w:w="1392" w:type="dxa"/>
                            <w:tcBorders>
                              <w:top w:val="single" w:sz="12" w:space="0" w:color="001F5F"/>
                              <w:bottom w:val="single" w:sz="8" w:space="0" w:color="001F5F"/>
                            </w:tcBorders>
                          </w:tcPr>
                          <w:p>
                            <w:pPr>
                              <w:pStyle w:val="TableParagraph"/>
                              <w:spacing w:before="104"/>
                              <w:ind w:right="167"/>
                              <w:jc w:val="right"/>
                              <w:rPr>
                                <w:sz w:val="18"/>
                              </w:rPr>
                            </w:pPr>
                            <w:r>
                              <w:rPr>
                                <w:spacing w:val="-2"/>
                                <w:sz w:val="18"/>
                              </w:rPr>
                              <w:t>108.716,86</w:t>
                            </w:r>
                          </w:p>
                        </w:tc>
                        <w:tc>
                          <w:tcPr>
                            <w:tcW w:w="1302" w:type="dxa"/>
                            <w:tcBorders>
                              <w:top w:val="single" w:sz="12" w:space="0" w:color="001F5F"/>
                              <w:bottom w:val="single" w:sz="8" w:space="0" w:color="001F5F"/>
                            </w:tcBorders>
                          </w:tcPr>
                          <w:p>
                            <w:pPr>
                              <w:pStyle w:val="TableParagraph"/>
                              <w:spacing w:before="104"/>
                              <w:ind w:right="268"/>
                              <w:jc w:val="right"/>
                              <w:rPr>
                                <w:sz w:val="18"/>
                              </w:rPr>
                            </w:pPr>
                            <w:r>
                              <w:rPr>
                                <w:spacing w:val="-2"/>
                                <w:sz w:val="18"/>
                              </w:rPr>
                              <w:t>108.716,86</w:t>
                            </w:r>
                          </w:p>
                        </w:tc>
                        <w:tc>
                          <w:tcPr>
                            <w:tcW w:w="1055" w:type="dxa"/>
                            <w:tcBorders>
                              <w:top w:val="single" w:sz="12" w:space="0" w:color="001F5F"/>
                              <w:bottom w:val="single" w:sz="8" w:space="0" w:color="001F5F"/>
                            </w:tcBorders>
                          </w:tcPr>
                          <w:p>
                            <w:pPr>
                              <w:pStyle w:val="TableParagraph"/>
                              <w:spacing w:before="104"/>
                              <w:ind w:right="123"/>
                              <w:jc w:val="right"/>
                              <w:rPr>
                                <w:sz w:val="18"/>
                              </w:rPr>
                            </w:pPr>
                            <w:r>
                              <w:rPr>
                                <w:spacing w:val="-4"/>
                                <w:sz w:val="18"/>
                              </w:rPr>
                              <w:t>0,00</w:t>
                            </w:r>
                          </w:p>
                        </w:tc>
                        <w:tc>
                          <w:tcPr>
                            <w:tcW w:w="1156" w:type="dxa"/>
                            <w:tcBorders>
                              <w:top w:val="single" w:sz="12" w:space="0" w:color="001F5F"/>
                              <w:bottom w:val="single" w:sz="8" w:space="0" w:color="001F5F"/>
                            </w:tcBorders>
                          </w:tcPr>
                          <w:p>
                            <w:pPr>
                              <w:pStyle w:val="TableParagraph"/>
                              <w:spacing w:before="104"/>
                              <w:ind w:left="128"/>
                              <w:rPr>
                                <w:sz w:val="18"/>
                              </w:rPr>
                            </w:pPr>
                            <w:r>
                              <w:rPr>
                                <w:sz w:val="18"/>
                              </w:rPr>
                              <w:t>En</w:t>
                            </w:r>
                            <w:r>
                              <w:rPr>
                                <w:spacing w:val="-1"/>
                                <w:sz w:val="18"/>
                              </w:rPr>
                              <w:t> </w:t>
                            </w:r>
                            <w:r>
                              <w:rPr>
                                <w:spacing w:val="-2"/>
                                <w:sz w:val="18"/>
                              </w:rPr>
                              <w:t>ejecución</w:t>
                            </w:r>
                          </w:p>
                        </w:tc>
                      </w:tr>
                      <w:tr>
                        <w:trPr>
                          <w:trHeight w:val="414" w:hRule="atLeast"/>
                        </w:trPr>
                        <w:tc>
                          <w:tcPr>
                            <w:tcW w:w="5115" w:type="dxa"/>
                            <w:tcBorders>
                              <w:top w:val="single" w:sz="8" w:space="0" w:color="002D5D"/>
                              <w:bottom w:val="single" w:sz="12" w:space="0" w:color="001F5F"/>
                            </w:tcBorders>
                          </w:tcPr>
                          <w:p>
                            <w:pPr>
                              <w:pStyle w:val="TableParagraph"/>
                              <w:tabs>
                                <w:tab w:pos="1132" w:val="left" w:leader="none"/>
                                <w:tab w:pos="4640" w:val="right" w:leader="none"/>
                              </w:tabs>
                              <w:ind w:right="400"/>
                              <w:jc w:val="right"/>
                              <w:rPr>
                                <w:position w:val="-9"/>
                                <w:sz w:val="18"/>
                              </w:rPr>
                            </w:pPr>
                            <w:r>
                              <w:rPr>
                                <w:b/>
                                <w:spacing w:val="-2"/>
                                <w:position w:val="-8"/>
                                <w:sz w:val="18"/>
                              </w:rPr>
                              <w:t>CANARIA</w:t>
                            </w:r>
                            <w:r>
                              <w:rPr>
                                <w:b/>
                                <w:position w:val="-8"/>
                                <w:sz w:val="18"/>
                              </w:rPr>
                              <w:tab/>
                            </w:r>
                            <w:r>
                              <w:rPr>
                                <w:sz w:val="18"/>
                              </w:rPr>
                              <w:t>Asesoramiento,</w:t>
                            </w:r>
                            <w:r>
                              <w:rPr>
                                <w:spacing w:val="-4"/>
                                <w:sz w:val="18"/>
                              </w:rPr>
                              <w:t> </w:t>
                            </w:r>
                            <w:r>
                              <w:rPr>
                                <w:sz w:val="18"/>
                              </w:rPr>
                              <w:t>planificación</w:t>
                            </w:r>
                            <w:r>
                              <w:rPr>
                                <w:spacing w:val="-5"/>
                                <w:sz w:val="18"/>
                              </w:rPr>
                              <w:t> </w:t>
                            </w:r>
                            <w:r>
                              <w:rPr>
                                <w:sz w:val="18"/>
                              </w:rPr>
                              <w:t>y</w:t>
                            </w:r>
                            <w:r>
                              <w:rPr>
                                <w:spacing w:val="-4"/>
                                <w:sz w:val="18"/>
                              </w:rPr>
                              <w:t> </w:t>
                            </w:r>
                            <w:r>
                              <w:rPr>
                                <w:spacing w:val="-2"/>
                                <w:sz w:val="18"/>
                              </w:rPr>
                              <w:t>compra</w:t>
                            </w:r>
                            <w:r>
                              <w:rPr>
                                <w:sz w:val="18"/>
                              </w:rPr>
                              <w:tab/>
                            </w:r>
                            <w:r>
                              <w:rPr>
                                <w:spacing w:val="-10"/>
                                <w:position w:val="-9"/>
                                <w:sz w:val="18"/>
                              </w:rPr>
                              <w:t>1</w:t>
                            </w:r>
                          </w:p>
                        </w:tc>
                        <w:tc>
                          <w:tcPr>
                            <w:tcW w:w="1392" w:type="dxa"/>
                            <w:tcBorders>
                              <w:top w:val="single" w:sz="8" w:space="0" w:color="001F5F"/>
                              <w:bottom w:val="single" w:sz="12" w:space="0" w:color="001F5F"/>
                            </w:tcBorders>
                          </w:tcPr>
                          <w:p>
                            <w:pPr>
                              <w:pStyle w:val="TableParagraph"/>
                              <w:spacing w:before="102"/>
                              <w:ind w:right="167"/>
                              <w:jc w:val="right"/>
                              <w:rPr>
                                <w:sz w:val="18"/>
                              </w:rPr>
                            </w:pPr>
                            <w:r>
                              <w:rPr>
                                <w:spacing w:val="-2"/>
                                <w:sz w:val="18"/>
                              </w:rPr>
                              <w:t>90.000,00</w:t>
                            </w:r>
                          </w:p>
                        </w:tc>
                        <w:tc>
                          <w:tcPr>
                            <w:tcW w:w="1302" w:type="dxa"/>
                            <w:tcBorders>
                              <w:top w:val="single" w:sz="8" w:space="0" w:color="001F5F"/>
                              <w:bottom w:val="single" w:sz="12" w:space="0" w:color="001F5F"/>
                            </w:tcBorders>
                          </w:tcPr>
                          <w:p>
                            <w:pPr>
                              <w:pStyle w:val="TableParagraph"/>
                              <w:spacing w:before="102"/>
                              <w:ind w:right="269"/>
                              <w:jc w:val="right"/>
                              <w:rPr>
                                <w:sz w:val="18"/>
                              </w:rPr>
                            </w:pPr>
                            <w:r>
                              <w:rPr>
                                <w:spacing w:val="-2"/>
                                <w:sz w:val="18"/>
                              </w:rPr>
                              <w:t>90.000,00</w:t>
                            </w:r>
                          </w:p>
                        </w:tc>
                        <w:tc>
                          <w:tcPr>
                            <w:tcW w:w="1055" w:type="dxa"/>
                            <w:tcBorders>
                              <w:top w:val="single" w:sz="8" w:space="0" w:color="001F5F"/>
                              <w:bottom w:val="single" w:sz="12" w:space="0" w:color="001F5F"/>
                            </w:tcBorders>
                          </w:tcPr>
                          <w:p>
                            <w:pPr>
                              <w:pStyle w:val="TableParagraph"/>
                              <w:spacing w:before="102"/>
                              <w:ind w:right="123"/>
                              <w:jc w:val="right"/>
                              <w:rPr>
                                <w:sz w:val="18"/>
                              </w:rPr>
                            </w:pPr>
                            <w:r>
                              <w:rPr>
                                <w:spacing w:val="-4"/>
                                <w:sz w:val="18"/>
                              </w:rPr>
                              <w:t>0,00</w:t>
                            </w:r>
                          </w:p>
                        </w:tc>
                        <w:tc>
                          <w:tcPr>
                            <w:tcW w:w="1156" w:type="dxa"/>
                            <w:tcBorders>
                              <w:top w:val="single" w:sz="8" w:space="0" w:color="001F5F"/>
                              <w:bottom w:val="single" w:sz="12" w:space="0" w:color="001F5F"/>
                            </w:tcBorders>
                          </w:tcPr>
                          <w:p>
                            <w:pPr>
                              <w:pStyle w:val="TableParagraph"/>
                              <w:spacing w:before="102"/>
                              <w:ind w:left="128"/>
                              <w:rPr>
                                <w:sz w:val="18"/>
                              </w:rPr>
                            </w:pPr>
                            <w:r>
                              <w:rPr>
                                <w:sz w:val="18"/>
                              </w:rPr>
                              <w:t>En</w:t>
                            </w:r>
                            <w:r>
                              <w:rPr>
                                <w:spacing w:val="-1"/>
                                <w:sz w:val="18"/>
                              </w:rPr>
                              <w:t> </w:t>
                            </w:r>
                            <w:r>
                              <w:rPr>
                                <w:spacing w:val="-2"/>
                                <w:sz w:val="18"/>
                              </w:rPr>
                              <w:t>ejecución</w:t>
                            </w:r>
                          </w:p>
                        </w:tc>
                      </w:tr>
                      <w:tr>
                        <w:trPr>
                          <w:trHeight w:val="313" w:hRule="atLeast"/>
                        </w:trPr>
                        <w:tc>
                          <w:tcPr>
                            <w:tcW w:w="5115" w:type="dxa"/>
                            <w:tcBorders>
                              <w:top w:val="single" w:sz="12" w:space="0" w:color="001F5F"/>
                              <w:bottom w:val="single" w:sz="12" w:space="0" w:color="001F5F"/>
                            </w:tcBorders>
                          </w:tcPr>
                          <w:p>
                            <w:pPr>
                              <w:pStyle w:val="TableParagraph"/>
                              <w:tabs>
                                <w:tab w:pos="1132" w:val="left" w:leader="none"/>
                                <w:tab w:pos="4640" w:val="right" w:leader="none"/>
                              </w:tabs>
                              <w:spacing w:before="54"/>
                              <w:ind w:right="400"/>
                              <w:jc w:val="right"/>
                              <w:rPr>
                                <w:sz w:val="18"/>
                              </w:rPr>
                            </w:pPr>
                            <w:r>
                              <w:rPr>
                                <w:b/>
                                <w:spacing w:val="-2"/>
                                <w:sz w:val="18"/>
                              </w:rPr>
                              <w:t>PALMA</w:t>
                            </w:r>
                            <w:r>
                              <w:rPr>
                                <w:b/>
                                <w:sz w:val="18"/>
                              </w:rPr>
                              <w:tab/>
                            </w:r>
                            <w:r>
                              <w:rPr>
                                <w:sz w:val="18"/>
                              </w:rPr>
                              <w:t>Proyecto</w:t>
                            </w:r>
                            <w:r>
                              <w:rPr>
                                <w:spacing w:val="-1"/>
                                <w:sz w:val="18"/>
                              </w:rPr>
                              <w:t> </w:t>
                            </w:r>
                            <w:r>
                              <w:rPr>
                                <w:spacing w:val="-2"/>
                                <w:sz w:val="18"/>
                              </w:rPr>
                              <w:t>educativo</w:t>
                            </w:r>
                            <w:r>
                              <w:rPr>
                                <w:sz w:val="18"/>
                              </w:rPr>
                              <w:tab/>
                            </w:r>
                            <w:r>
                              <w:rPr>
                                <w:spacing w:val="-10"/>
                                <w:sz w:val="18"/>
                              </w:rPr>
                              <w:t>1</w:t>
                            </w:r>
                          </w:p>
                        </w:tc>
                        <w:tc>
                          <w:tcPr>
                            <w:tcW w:w="1392" w:type="dxa"/>
                            <w:tcBorders>
                              <w:top w:val="single" w:sz="12" w:space="0" w:color="001F5F"/>
                              <w:bottom w:val="single" w:sz="12" w:space="0" w:color="001F5F"/>
                            </w:tcBorders>
                          </w:tcPr>
                          <w:p>
                            <w:pPr>
                              <w:pStyle w:val="TableParagraph"/>
                              <w:spacing w:before="54"/>
                              <w:ind w:right="167"/>
                              <w:jc w:val="right"/>
                              <w:rPr>
                                <w:sz w:val="18"/>
                              </w:rPr>
                            </w:pPr>
                            <w:r>
                              <w:rPr>
                                <w:spacing w:val="-2"/>
                                <w:sz w:val="18"/>
                              </w:rPr>
                              <w:t>58.376,84</w:t>
                            </w:r>
                          </w:p>
                        </w:tc>
                        <w:tc>
                          <w:tcPr>
                            <w:tcW w:w="1302" w:type="dxa"/>
                            <w:tcBorders>
                              <w:top w:val="single" w:sz="12" w:space="0" w:color="001F5F"/>
                              <w:bottom w:val="single" w:sz="12" w:space="0" w:color="001F5F"/>
                            </w:tcBorders>
                          </w:tcPr>
                          <w:p>
                            <w:pPr>
                              <w:pStyle w:val="TableParagraph"/>
                              <w:spacing w:before="54"/>
                              <w:ind w:right="268"/>
                              <w:jc w:val="right"/>
                              <w:rPr>
                                <w:sz w:val="18"/>
                              </w:rPr>
                            </w:pPr>
                            <w:r>
                              <w:rPr>
                                <w:spacing w:val="-2"/>
                                <w:sz w:val="18"/>
                              </w:rPr>
                              <w:t>5.837,68</w:t>
                            </w:r>
                          </w:p>
                        </w:tc>
                        <w:tc>
                          <w:tcPr>
                            <w:tcW w:w="1055" w:type="dxa"/>
                            <w:tcBorders>
                              <w:top w:val="single" w:sz="12" w:space="0" w:color="001F5F"/>
                              <w:bottom w:val="single" w:sz="12" w:space="0" w:color="001F5F"/>
                            </w:tcBorders>
                          </w:tcPr>
                          <w:p>
                            <w:pPr>
                              <w:pStyle w:val="TableParagraph"/>
                              <w:spacing w:before="54"/>
                              <w:ind w:right="124"/>
                              <w:jc w:val="right"/>
                              <w:rPr>
                                <w:sz w:val="18"/>
                              </w:rPr>
                            </w:pPr>
                            <w:r>
                              <w:rPr>
                                <w:spacing w:val="-2"/>
                                <w:sz w:val="18"/>
                              </w:rPr>
                              <w:t>52.539,16</w:t>
                            </w:r>
                          </w:p>
                        </w:tc>
                        <w:tc>
                          <w:tcPr>
                            <w:tcW w:w="1156" w:type="dxa"/>
                            <w:tcBorders>
                              <w:top w:val="single" w:sz="12" w:space="0" w:color="001F5F"/>
                              <w:bottom w:val="single" w:sz="12" w:space="0" w:color="001F5F"/>
                            </w:tcBorders>
                          </w:tcPr>
                          <w:p>
                            <w:pPr>
                              <w:pStyle w:val="TableParagraph"/>
                              <w:spacing w:before="54"/>
                              <w:ind w:left="128"/>
                              <w:rPr>
                                <w:sz w:val="18"/>
                              </w:rPr>
                            </w:pPr>
                            <w:r>
                              <w:rPr>
                                <w:sz w:val="18"/>
                              </w:rPr>
                              <w:t>En</w:t>
                            </w:r>
                            <w:r>
                              <w:rPr>
                                <w:spacing w:val="-1"/>
                                <w:sz w:val="18"/>
                              </w:rPr>
                              <w:t> </w:t>
                            </w:r>
                            <w:r>
                              <w:rPr>
                                <w:spacing w:val="-2"/>
                                <w:sz w:val="18"/>
                              </w:rPr>
                              <w:t>ejecución</w:t>
                            </w:r>
                          </w:p>
                        </w:tc>
                      </w:tr>
                      <w:tr>
                        <w:trPr>
                          <w:trHeight w:val="426" w:hRule="atLeast"/>
                        </w:trPr>
                        <w:tc>
                          <w:tcPr>
                            <w:tcW w:w="5115" w:type="dxa"/>
                            <w:tcBorders>
                              <w:top w:val="single" w:sz="12" w:space="0" w:color="001F5F"/>
                              <w:bottom w:val="single" w:sz="8" w:space="0" w:color="001F5F"/>
                            </w:tcBorders>
                          </w:tcPr>
                          <w:p>
                            <w:pPr>
                              <w:pStyle w:val="TableParagraph"/>
                              <w:tabs>
                                <w:tab w:pos="3507" w:val="right" w:leader="none"/>
                              </w:tabs>
                              <w:spacing w:before="6"/>
                              <w:ind w:right="400"/>
                              <w:jc w:val="right"/>
                              <w:rPr>
                                <w:position w:val="-9"/>
                                <w:sz w:val="18"/>
                              </w:rPr>
                            </w:pPr>
                            <w:r>
                              <w:rPr>
                                <w:sz w:val="18"/>
                              </w:rPr>
                              <w:t>Campañas</w:t>
                            </w:r>
                            <w:r>
                              <w:rPr>
                                <w:spacing w:val="-4"/>
                                <w:sz w:val="18"/>
                              </w:rPr>
                              <w:t> </w:t>
                            </w:r>
                            <w:r>
                              <w:rPr>
                                <w:sz w:val="18"/>
                              </w:rPr>
                              <w:t>de</w:t>
                            </w:r>
                            <w:r>
                              <w:rPr>
                                <w:spacing w:val="-3"/>
                                <w:sz w:val="18"/>
                              </w:rPr>
                              <w:t> </w:t>
                            </w:r>
                            <w:r>
                              <w:rPr>
                                <w:sz w:val="18"/>
                              </w:rPr>
                              <w:t>difusión</w:t>
                            </w:r>
                            <w:r>
                              <w:rPr>
                                <w:spacing w:val="-3"/>
                                <w:sz w:val="18"/>
                              </w:rPr>
                              <w:t> </w:t>
                            </w:r>
                            <w:r>
                              <w:rPr>
                                <w:sz w:val="18"/>
                              </w:rPr>
                              <w:t>para</w:t>
                            </w:r>
                            <w:r>
                              <w:rPr>
                                <w:spacing w:val="-3"/>
                                <w:sz w:val="18"/>
                              </w:rPr>
                              <w:t> </w:t>
                            </w:r>
                            <w:r>
                              <w:rPr>
                                <w:sz w:val="18"/>
                              </w:rPr>
                              <w:t>el</w:t>
                            </w:r>
                            <w:r>
                              <w:rPr>
                                <w:spacing w:val="-3"/>
                                <w:sz w:val="18"/>
                              </w:rPr>
                              <w:t> </w:t>
                            </w:r>
                            <w:r>
                              <w:rPr>
                                <w:sz w:val="18"/>
                              </w:rPr>
                              <w:t>fomento</w:t>
                            </w:r>
                            <w:r>
                              <w:rPr>
                                <w:spacing w:val="-3"/>
                                <w:sz w:val="18"/>
                              </w:rPr>
                              <w:t> </w:t>
                            </w:r>
                            <w:r>
                              <w:rPr>
                                <w:spacing w:val="-5"/>
                                <w:sz w:val="18"/>
                              </w:rPr>
                              <w:t>del</w:t>
                            </w:r>
                            <w:r>
                              <w:rPr>
                                <w:sz w:val="18"/>
                              </w:rPr>
                              <w:tab/>
                            </w:r>
                            <w:r>
                              <w:rPr>
                                <w:spacing w:val="-10"/>
                                <w:position w:val="-9"/>
                                <w:sz w:val="18"/>
                              </w:rPr>
                              <w:t>3</w:t>
                            </w:r>
                          </w:p>
                        </w:tc>
                        <w:tc>
                          <w:tcPr>
                            <w:tcW w:w="1392" w:type="dxa"/>
                            <w:tcBorders>
                              <w:top w:val="single" w:sz="12" w:space="0" w:color="001F5F"/>
                              <w:bottom w:val="single" w:sz="8" w:space="0" w:color="002D5D"/>
                            </w:tcBorders>
                          </w:tcPr>
                          <w:p>
                            <w:pPr>
                              <w:pStyle w:val="TableParagraph"/>
                              <w:spacing w:before="109"/>
                              <w:ind w:right="167"/>
                              <w:jc w:val="right"/>
                              <w:rPr>
                                <w:sz w:val="18"/>
                              </w:rPr>
                            </w:pPr>
                            <w:r>
                              <w:rPr>
                                <w:spacing w:val="-2"/>
                                <w:sz w:val="18"/>
                              </w:rPr>
                              <w:t>1.198.450,00</w:t>
                            </w:r>
                          </w:p>
                        </w:tc>
                        <w:tc>
                          <w:tcPr>
                            <w:tcW w:w="1302" w:type="dxa"/>
                            <w:tcBorders>
                              <w:top w:val="single" w:sz="12" w:space="0" w:color="001F5F"/>
                              <w:bottom w:val="single" w:sz="8" w:space="0" w:color="002D5D"/>
                            </w:tcBorders>
                          </w:tcPr>
                          <w:p>
                            <w:pPr>
                              <w:pStyle w:val="TableParagraph"/>
                              <w:spacing w:before="109"/>
                              <w:ind w:right="268"/>
                              <w:jc w:val="right"/>
                              <w:rPr>
                                <w:sz w:val="18"/>
                              </w:rPr>
                            </w:pPr>
                            <w:r>
                              <w:rPr>
                                <w:spacing w:val="-2"/>
                                <w:sz w:val="18"/>
                              </w:rPr>
                              <w:t>1.198.450,00</w:t>
                            </w:r>
                          </w:p>
                        </w:tc>
                        <w:tc>
                          <w:tcPr>
                            <w:tcW w:w="1055" w:type="dxa"/>
                            <w:tcBorders>
                              <w:top w:val="single" w:sz="12" w:space="0" w:color="001F5F"/>
                              <w:bottom w:val="single" w:sz="8" w:space="0" w:color="001F5F"/>
                            </w:tcBorders>
                          </w:tcPr>
                          <w:p>
                            <w:pPr>
                              <w:pStyle w:val="TableParagraph"/>
                              <w:spacing w:before="109"/>
                              <w:ind w:right="123"/>
                              <w:jc w:val="right"/>
                              <w:rPr>
                                <w:sz w:val="18"/>
                              </w:rPr>
                            </w:pPr>
                            <w:r>
                              <w:rPr>
                                <w:spacing w:val="-4"/>
                                <w:sz w:val="18"/>
                              </w:rPr>
                              <w:t>0,00</w:t>
                            </w:r>
                          </w:p>
                        </w:tc>
                        <w:tc>
                          <w:tcPr>
                            <w:tcW w:w="1156" w:type="dxa"/>
                            <w:tcBorders>
                              <w:top w:val="single" w:sz="12" w:space="0" w:color="001F5F"/>
                              <w:bottom w:val="single" w:sz="8" w:space="0" w:color="001F5F"/>
                            </w:tcBorders>
                          </w:tcPr>
                          <w:p>
                            <w:pPr>
                              <w:pStyle w:val="TableParagraph"/>
                              <w:spacing w:before="109"/>
                              <w:ind w:left="128"/>
                              <w:rPr>
                                <w:sz w:val="18"/>
                              </w:rPr>
                            </w:pPr>
                            <w:r>
                              <w:rPr>
                                <w:spacing w:val="-2"/>
                                <w:sz w:val="18"/>
                              </w:rPr>
                              <w:t>Finalizada</w:t>
                            </w:r>
                          </w:p>
                        </w:tc>
                      </w:tr>
                      <w:tr>
                        <w:trPr>
                          <w:trHeight w:val="314" w:hRule="atLeast"/>
                        </w:trPr>
                        <w:tc>
                          <w:tcPr>
                            <w:tcW w:w="5115" w:type="dxa"/>
                            <w:tcBorders>
                              <w:top w:val="single" w:sz="8" w:space="0" w:color="001F5F"/>
                            </w:tcBorders>
                          </w:tcPr>
                          <w:p>
                            <w:pPr>
                              <w:pStyle w:val="TableParagraph"/>
                              <w:tabs>
                                <w:tab w:pos="3507" w:val="right" w:leader="none"/>
                              </w:tabs>
                              <w:spacing w:before="54"/>
                              <w:ind w:right="400"/>
                              <w:jc w:val="right"/>
                              <w:rPr>
                                <w:sz w:val="18"/>
                              </w:rPr>
                            </w:pPr>
                            <w:r>
                              <w:rPr>
                                <w:sz w:val="18"/>
                              </w:rPr>
                              <w:t>Creación</w:t>
                            </w:r>
                            <w:r>
                              <w:rPr>
                                <w:spacing w:val="-2"/>
                                <w:sz w:val="18"/>
                              </w:rPr>
                              <w:t> </w:t>
                            </w:r>
                            <w:r>
                              <w:rPr>
                                <w:sz w:val="18"/>
                              </w:rPr>
                              <w:t>línea</w:t>
                            </w:r>
                            <w:r>
                              <w:rPr>
                                <w:spacing w:val="-2"/>
                                <w:sz w:val="18"/>
                              </w:rPr>
                              <w:t> </w:t>
                            </w:r>
                            <w:r>
                              <w:rPr>
                                <w:sz w:val="18"/>
                              </w:rPr>
                              <w:t>gratuita</w:t>
                            </w:r>
                            <w:r>
                              <w:rPr>
                                <w:spacing w:val="-2"/>
                                <w:sz w:val="18"/>
                              </w:rPr>
                              <w:t> </w:t>
                            </w:r>
                            <w:r>
                              <w:rPr>
                                <w:spacing w:val="-5"/>
                                <w:sz w:val="18"/>
                              </w:rPr>
                              <w:t>900</w:t>
                            </w:r>
                            <w:r>
                              <w:rPr>
                                <w:sz w:val="18"/>
                              </w:rPr>
                              <w:tab/>
                            </w:r>
                            <w:r>
                              <w:rPr>
                                <w:spacing w:val="-10"/>
                                <w:sz w:val="18"/>
                              </w:rPr>
                              <w:t>1</w:t>
                            </w:r>
                          </w:p>
                        </w:tc>
                        <w:tc>
                          <w:tcPr>
                            <w:tcW w:w="1392" w:type="dxa"/>
                            <w:tcBorders>
                              <w:top w:val="single" w:sz="8" w:space="0" w:color="002D5D"/>
                            </w:tcBorders>
                          </w:tcPr>
                          <w:p>
                            <w:pPr>
                              <w:pStyle w:val="TableParagraph"/>
                              <w:spacing w:before="54"/>
                              <w:ind w:right="167"/>
                              <w:jc w:val="right"/>
                              <w:rPr>
                                <w:sz w:val="18"/>
                              </w:rPr>
                            </w:pPr>
                            <w:r>
                              <w:rPr>
                                <w:spacing w:val="-2"/>
                                <w:sz w:val="18"/>
                              </w:rPr>
                              <w:t>23.625,00</w:t>
                            </w:r>
                          </w:p>
                        </w:tc>
                        <w:tc>
                          <w:tcPr>
                            <w:tcW w:w="1302" w:type="dxa"/>
                            <w:tcBorders>
                              <w:top w:val="single" w:sz="8" w:space="0" w:color="002D5D"/>
                            </w:tcBorders>
                          </w:tcPr>
                          <w:p>
                            <w:pPr>
                              <w:pStyle w:val="TableParagraph"/>
                              <w:spacing w:before="54"/>
                              <w:ind w:right="269"/>
                              <w:jc w:val="right"/>
                              <w:rPr>
                                <w:sz w:val="18"/>
                              </w:rPr>
                            </w:pPr>
                            <w:r>
                              <w:rPr>
                                <w:spacing w:val="-2"/>
                                <w:sz w:val="18"/>
                              </w:rPr>
                              <w:t>23.625,00</w:t>
                            </w:r>
                          </w:p>
                        </w:tc>
                        <w:tc>
                          <w:tcPr>
                            <w:tcW w:w="1055" w:type="dxa"/>
                            <w:tcBorders>
                              <w:top w:val="single" w:sz="8" w:space="0" w:color="001F5F"/>
                            </w:tcBorders>
                          </w:tcPr>
                          <w:p>
                            <w:pPr>
                              <w:pStyle w:val="TableParagraph"/>
                              <w:spacing w:before="54"/>
                              <w:ind w:right="123"/>
                              <w:jc w:val="right"/>
                              <w:rPr>
                                <w:sz w:val="18"/>
                              </w:rPr>
                            </w:pPr>
                            <w:r>
                              <w:rPr>
                                <w:spacing w:val="-4"/>
                                <w:sz w:val="18"/>
                              </w:rPr>
                              <w:t>0,00</w:t>
                            </w:r>
                          </w:p>
                        </w:tc>
                        <w:tc>
                          <w:tcPr>
                            <w:tcW w:w="1156" w:type="dxa"/>
                            <w:tcBorders>
                              <w:top w:val="single" w:sz="8" w:space="0" w:color="001F5F"/>
                            </w:tcBorders>
                          </w:tcPr>
                          <w:p>
                            <w:pPr>
                              <w:pStyle w:val="TableParagraph"/>
                              <w:spacing w:before="54"/>
                              <w:ind w:left="128"/>
                              <w:rPr>
                                <w:sz w:val="18"/>
                              </w:rPr>
                            </w:pPr>
                            <w:r>
                              <w:rPr>
                                <w:sz w:val="18"/>
                              </w:rPr>
                              <w:t>En</w:t>
                            </w:r>
                            <w:r>
                              <w:rPr>
                                <w:spacing w:val="-1"/>
                                <w:sz w:val="18"/>
                              </w:rPr>
                              <w:t> </w:t>
                            </w:r>
                            <w:r>
                              <w:rPr>
                                <w:spacing w:val="-2"/>
                                <w:sz w:val="18"/>
                              </w:rPr>
                              <w:t>ejecución</w:t>
                            </w:r>
                          </w:p>
                        </w:tc>
                      </w:tr>
                      <w:tr>
                        <w:trPr>
                          <w:trHeight w:val="321" w:hRule="atLeast"/>
                        </w:trPr>
                        <w:tc>
                          <w:tcPr>
                            <w:tcW w:w="5115" w:type="dxa"/>
                            <w:shd w:val="clear" w:color="auto" w:fill="002D5D"/>
                          </w:tcPr>
                          <w:p>
                            <w:pPr>
                              <w:pStyle w:val="TableParagraph"/>
                              <w:tabs>
                                <w:tab w:pos="4680" w:val="right" w:leader="none"/>
                              </w:tabs>
                              <w:spacing w:before="67"/>
                              <w:ind w:right="360"/>
                              <w:jc w:val="right"/>
                              <w:rPr>
                                <w:b/>
                                <w:sz w:val="18"/>
                              </w:rPr>
                            </w:pPr>
                            <w:r>
                              <w:rPr>
                                <w:b/>
                                <w:color w:val="FFFFFF"/>
                                <w:spacing w:val="-2"/>
                                <w:sz w:val="18"/>
                              </w:rPr>
                              <w:t>TOTAL</w:t>
                            </w:r>
                            <w:r>
                              <w:rPr>
                                <w:b/>
                                <w:color w:val="FFFFFF"/>
                                <w:sz w:val="18"/>
                              </w:rPr>
                              <w:tab/>
                            </w:r>
                            <w:r>
                              <w:rPr>
                                <w:b/>
                                <w:color w:val="FFFFFF"/>
                                <w:spacing w:val="-5"/>
                                <w:sz w:val="18"/>
                              </w:rPr>
                              <w:t>31</w:t>
                            </w:r>
                          </w:p>
                        </w:tc>
                        <w:tc>
                          <w:tcPr>
                            <w:tcW w:w="1392" w:type="dxa"/>
                            <w:shd w:val="clear" w:color="auto" w:fill="002D5D"/>
                          </w:tcPr>
                          <w:p>
                            <w:pPr>
                              <w:pStyle w:val="TableParagraph"/>
                              <w:spacing w:before="67"/>
                              <w:ind w:right="167"/>
                              <w:jc w:val="right"/>
                              <w:rPr>
                                <w:b/>
                                <w:sz w:val="18"/>
                              </w:rPr>
                            </w:pPr>
                            <w:r>
                              <w:rPr>
                                <w:b/>
                                <w:color w:val="FFFFFF"/>
                                <w:spacing w:val="-2"/>
                                <w:sz w:val="18"/>
                              </w:rPr>
                              <w:t>1.575.307,25</w:t>
                            </w:r>
                          </w:p>
                        </w:tc>
                        <w:tc>
                          <w:tcPr>
                            <w:tcW w:w="1302" w:type="dxa"/>
                            <w:shd w:val="clear" w:color="auto" w:fill="002D5D"/>
                          </w:tcPr>
                          <w:p>
                            <w:pPr>
                              <w:pStyle w:val="TableParagraph"/>
                              <w:spacing w:before="67"/>
                              <w:ind w:right="268"/>
                              <w:jc w:val="right"/>
                              <w:rPr>
                                <w:b/>
                                <w:sz w:val="18"/>
                              </w:rPr>
                            </w:pPr>
                            <w:r>
                              <w:rPr>
                                <w:b/>
                                <w:color w:val="FFFFFF"/>
                                <w:spacing w:val="-2"/>
                                <w:sz w:val="18"/>
                              </w:rPr>
                              <w:t>1.436.629,54</w:t>
                            </w:r>
                          </w:p>
                        </w:tc>
                        <w:tc>
                          <w:tcPr>
                            <w:tcW w:w="1055" w:type="dxa"/>
                            <w:shd w:val="clear" w:color="auto" w:fill="002D5D"/>
                          </w:tcPr>
                          <w:p>
                            <w:pPr>
                              <w:pStyle w:val="TableParagraph"/>
                              <w:spacing w:before="67"/>
                              <w:ind w:right="124"/>
                              <w:jc w:val="right"/>
                              <w:rPr>
                                <w:b/>
                                <w:sz w:val="18"/>
                              </w:rPr>
                            </w:pPr>
                            <w:r>
                              <w:rPr>
                                <w:b/>
                                <w:color w:val="FFFFFF"/>
                                <w:spacing w:val="-2"/>
                                <w:sz w:val="18"/>
                              </w:rPr>
                              <w:t>79.482,68</w:t>
                            </w:r>
                          </w:p>
                        </w:tc>
                        <w:tc>
                          <w:tcPr>
                            <w:tcW w:w="1156" w:type="dxa"/>
                            <w:shd w:val="clear" w:color="auto" w:fill="002D5D"/>
                          </w:tcPr>
                          <w:p>
                            <w:pPr>
                              <w:pStyle w:val="TableParagraph"/>
                              <w:rPr>
                                <w:rFonts w:ascii="Times New Roman"/>
                                <w:sz w:val="20"/>
                              </w:rPr>
                            </w:pPr>
                          </w:p>
                        </w:tc>
                      </w:tr>
                    </w:tbl>
                    <w:p>
                      <w:pPr>
                        <w:pStyle w:val="BodyText"/>
                      </w:pPr>
                    </w:p>
                  </w:txbxContent>
                </v:textbox>
                <w10:wrap type="none"/>
              </v:shape>
            </w:pict>
          </mc:Fallback>
        </mc:AlternateContent>
      </w:r>
      <w:r>
        <w:rPr>
          <w:rFonts w:ascii="Arial Narrow" w:hAnsi="Arial Narrow"/>
          <w:sz w:val="18"/>
        </w:rPr>
        <w:t>público:</w:t>
      </w:r>
      <w:r>
        <w:rPr>
          <w:rFonts w:ascii="Arial Narrow" w:hAnsi="Arial Narrow"/>
          <w:spacing w:val="-3"/>
          <w:sz w:val="18"/>
        </w:rPr>
        <w:t> </w:t>
      </w:r>
      <w:r>
        <w:rPr>
          <w:rFonts w:ascii="Arial Narrow" w:hAnsi="Arial Narrow"/>
          <w:sz w:val="18"/>
        </w:rPr>
        <w:t>fiestas</w:t>
      </w:r>
      <w:r>
        <w:rPr>
          <w:rFonts w:ascii="Arial Narrow" w:hAnsi="Arial Narrow"/>
          <w:spacing w:val="-1"/>
          <w:sz w:val="18"/>
        </w:rPr>
        <w:t> </w:t>
      </w:r>
      <w:r>
        <w:rPr>
          <w:rFonts w:ascii="Arial Narrow" w:hAnsi="Arial Narrow"/>
          <w:sz w:val="18"/>
        </w:rPr>
        <w:t>de</w:t>
      </w:r>
      <w:r>
        <w:rPr>
          <w:rFonts w:ascii="Arial Narrow" w:hAnsi="Arial Narrow"/>
          <w:spacing w:val="-3"/>
          <w:sz w:val="18"/>
        </w:rPr>
        <w:t> </w:t>
      </w:r>
      <w:r>
        <w:rPr>
          <w:rFonts w:ascii="Arial Narrow" w:hAnsi="Arial Narrow"/>
          <w:sz w:val="18"/>
        </w:rPr>
        <w:t>Hogueras</w:t>
      </w:r>
      <w:r>
        <w:rPr>
          <w:rFonts w:ascii="Arial Narrow" w:hAnsi="Arial Narrow"/>
          <w:spacing w:val="-2"/>
          <w:sz w:val="18"/>
        </w:rPr>
        <w:t> </w:t>
      </w:r>
      <w:r>
        <w:rPr>
          <w:rFonts w:ascii="Arial Narrow" w:hAnsi="Arial Narrow"/>
          <w:sz w:val="18"/>
        </w:rPr>
        <w:t>y</w:t>
      </w:r>
      <w:r>
        <w:rPr>
          <w:rFonts w:ascii="Arial Narrow" w:hAnsi="Arial Narrow"/>
          <w:spacing w:val="-2"/>
          <w:sz w:val="18"/>
        </w:rPr>
        <w:t> Navidad</w:t>
      </w: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spacing w:before="165"/>
        <w:rPr>
          <w:rFonts w:ascii="Arial Narrow"/>
          <w:sz w:val="18"/>
        </w:rPr>
      </w:pPr>
    </w:p>
    <w:p>
      <w:pPr>
        <w:spacing w:before="0"/>
        <w:ind w:left="2197" w:right="0" w:firstLine="0"/>
        <w:jc w:val="left"/>
        <w:rPr>
          <w:rFonts w:ascii="Arial Narrow" w:hAnsi="Arial Narrow"/>
          <w:sz w:val="18"/>
        </w:rPr>
      </w:pPr>
      <w:r>
        <w:rPr>
          <w:rFonts w:ascii="Arial Narrow" w:hAnsi="Arial Narrow"/>
          <w:sz w:val="18"/>
        </w:rPr>
        <w:t>online</w:t>
      </w:r>
      <w:r>
        <w:rPr>
          <w:rFonts w:ascii="Arial Narrow" w:hAnsi="Arial Narrow"/>
          <w:spacing w:val="-2"/>
          <w:sz w:val="18"/>
        </w:rPr>
        <w:t> </w:t>
      </w:r>
      <w:r>
        <w:rPr>
          <w:rFonts w:ascii="Arial Narrow" w:hAnsi="Arial Narrow"/>
          <w:sz w:val="18"/>
        </w:rPr>
        <w:t>y</w:t>
      </w:r>
      <w:r>
        <w:rPr>
          <w:rFonts w:ascii="Arial Narrow" w:hAnsi="Arial Narrow"/>
          <w:spacing w:val="-2"/>
          <w:sz w:val="18"/>
        </w:rPr>
        <w:t> </w:t>
      </w:r>
      <w:r>
        <w:rPr>
          <w:rFonts w:ascii="Arial Narrow" w:hAnsi="Arial Narrow"/>
          <w:sz w:val="18"/>
        </w:rPr>
        <w:t>uso</w:t>
      </w:r>
      <w:r>
        <w:rPr>
          <w:rFonts w:ascii="Arial Narrow" w:hAnsi="Arial Narrow"/>
          <w:spacing w:val="-2"/>
          <w:sz w:val="18"/>
        </w:rPr>
        <w:t> </w:t>
      </w:r>
      <w:r>
        <w:rPr>
          <w:rFonts w:ascii="Arial Narrow" w:hAnsi="Arial Narrow"/>
          <w:sz w:val="18"/>
        </w:rPr>
        <w:t>del</w:t>
      </w:r>
      <w:r>
        <w:rPr>
          <w:rFonts w:ascii="Arial Narrow" w:hAnsi="Arial Narrow"/>
          <w:spacing w:val="-1"/>
          <w:sz w:val="18"/>
        </w:rPr>
        <w:t> </w:t>
      </w:r>
      <w:r>
        <w:rPr>
          <w:rFonts w:ascii="Arial Narrow" w:hAnsi="Arial Narrow"/>
          <w:spacing w:val="-2"/>
          <w:sz w:val="18"/>
        </w:rPr>
        <w:t>autobús</w:t>
      </w: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rPr>
          <w:rFonts w:ascii="Arial Narrow"/>
          <w:sz w:val="18"/>
        </w:rPr>
      </w:pPr>
    </w:p>
    <w:p>
      <w:pPr>
        <w:pStyle w:val="BodyText"/>
        <w:spacing w:before="131"/>
        <w:rPr>
          <w:rFonts w:ascii="Arial Narrow"/>
          <w:sz w:val="18"/>
        </w:rPr>
      </w:pPr>
    </w:p>
    <w:p>
      <w:pPr>
        <w:spacing w:before="0"/>
        <w:ind w:left="2197" w:right="0" w:firstLine="0"/>
        <w:jc w:val="left"/>
        <w:rPr>
          <w:rFonts w:ascii="Arial Narrow" w:hAnsi="Arial Narrow"/>
          <w:sz w:val="18"/>
        </w:rPr>
      </w:pPr>
      <w:r>
        <w:rPr>
          <w:rFonts w:ascii="Arial Narrow" w:hAnsi="Arial Narrow"/>
          <w:sz w:val="18"/>
        </w:rPr>
        <w:t>espacios</w:t>
      </w:r>
      <w:r>
        <w:rPr>
          <w:rFonts w:ascii="Arial Narrow" w:hAnsi="Arial Narrow"/>
          <w:spacing w:val="-4"/>
          <w:sz w:val="18"/>
        </w:rPr>
        <w:t> </w:t>
      </w:r>
      <w:r>
        <w:rPr>
          <w:rFonts w:ascii="Arial Narrow" w:hAnsi="Arial Narrow"/>
          <w:sz w:val="18"/>
        </w:rPr>
        <w:t>medios</w:t>
      </w:r>
      <w:r>
        <w:rPr>
          <w:rFonts w:ascii="Arial Narrow" w:hAnsi="Arial Narrow"/>
          <w:spacing w:val="-3"/>
          <w:sz w:val="18"/>
        </w:rPr>
        <w:t> </w:t>
      </w:r>
      <w:r>
        <w:rPr>
          <w:rFonts w:ascii="Arial Narrow" w:hAnsi="Arial Narrow"/>
          <w:spacing w:val="-2"/>
          <w:sz w:val="18"/>
        </w:rPr>
        <w:t>comunicación</w:t>
      </w:r>
    </w:p>
    <w:p>
      <w:pPr>
        <w:pStyle w:val="BodyText"/>
        <w:rPr>
          <w:rFonts w:ascii="Arial Narrow"/>
          <w:sz w:val="20"/>
        </w:rPr>
      </w:pPr>
    </w:p>
    <w:p>
      <w:pPr>
        <w:pStyle w:val="BodyText"/>
        <w:spacing w:before="29"/>
        <w:rPr>
          <w:rFonts w:ascii="Arial Narrow"/>
          <w:sz w:val="20"/>
        </w:rPr>
      </w:pPr>
    </w:p>
    <w:p>
      <w:pPr>
        <w:pStyle w:val="BodyText"/>
        <w:spacing w:after="0"/>
        <w:rPr>
          <w:rFonts w:ascii="Arial Narrow"/>
          <w:sz w:val="20"/>
        </w:rPr>
        <w:sectPr>
          <w:pgSz w:w="11910" w:h="16840"/>
          <w:pgMar w:header="1227" w:footer="839" w:top="1420" w:bottom="1020" w:left="141" w:right="141"/>
        </w:sectPr>
      </w:pPr>
    </w:p>
    <w:p>
      <w:pPr>
        <w:spacing w:before="165"/>
        <w:ind w:left="1064" w:right="0" w:firstLine="0"/>
        <w:jc w:val="left"/>
        <w:rPr>
          <w:rFonts w:ascii="Arial Narrow"/>
          <w:b/>
          <w:sz w:val="18"/>
        </w:rPr>
      </w:pPr>
      <w:r>
        <w:rPr>
          <w:rFonts w:ascii="Arial Narrow"/>
          <w:b/>
          <w:spacing w:val="-2"/>
          <w:sz w:val="18"/>
        </w:rPr>
        <w:t>SEVILLA</w:t>
      </w:r>
    </w:p>
    <w:p>
      <w:pPr>
        <w:spacing w:before="100"/>
        <w:ind w:left="468" w:right="0" w:firstLine="0"/>
        <w:jc w:val="left"/>
        <w:rPr>
          <w:rFonts w:ascii="Arial Narrow" w:hAnsi="Arial Narrow"/>
          <w:sz w:val="18"/>
        </w:rPr>
      </w:pPr>
      <w:r>
        <w:rPr/>
        <w:br w:type="column"/>
      </w:r>
      <w:r>
        <w:rPr>
          <w:rFonts w:ascii="Arial Narrow" w:hAnsi="Arial Narrow"/>
          <w:sz w:val="18"/>
        </w:rPr>
        <w:t>transporte</w:t>
      </w:r>
      <w:r>
        <w:rPr>
          <w:rFonts w:ascii="Arial Narrow" w:hAnsi="Arial Narrow"/>
          <w:spacing w:val="-2"/>
          <w:sz w:val="18"/>
        </w:rPr>
        <w:t> público</w:t>
      </w:r>
    </w:p>
    <w:p>
      <w:pPr>
        <w:spacing w:after="0"/>
        <w:jc w:val="left"/>
        <w:rPr>
          <w:rFonts w:ascii="Arial Narrow" w:hAnsi="Arial Narrow"/>
          <w:sz w:val="18"/>
        </w:rPr>
        <w:sectPr>
          <w:type w:val="continuous"/>
          <w:pgSz w:w="11910" w:h="16840"/>
          <w:pgMar w:header="1227" w:footer="839" w:top="1680" w:bottom="280" w:left="141" w:right="141"/>
          <w:cols w:num="2" w:equalWidth="0">
            <w:col w:w="1689" w:space="40"/>
            <w:col w:w="9899"/>
          </w:cols>
        </w:sectPr>
      </w:pPr>
    </w:p>
    <w:p>
      <w:pPr>
        <w:pStyle w:val="BodyText"/>
        <w:rPr>
          <w:rFonts w:ascii="Arial Narrow"/>
          <w:sz w:val="18"/>
        </w:rPr>
      </w:pPr>
    </w:p>
    <w:p>
      <w:pPr>
        <w:pStyle w:val="BodyText"/>
        <w:rPr>
          <w:rFonts w:ascii="Arial Narrow"/>
          <w:sz w:val="18"/>
        </w:rPr>
      </w:pPr>
    </w:p>
    <w:p>
      <w:pPr>
        <w:pStyle w:val="BodyText"/>
        <w:spacing w:before="23"/>
        <w:rPr>
          <w:rFonts w:ascii="Arial Narrow"/>
          <w:sz w:val="18"/>
        </w:rPr>
      </w:pPr>
    </w:p>
    <w:p>
      <w:pPr>
        <w:spacing w:before="1"/>
        <w:ind w:left="1064" w:right="0" w:firstLine="0"/>
        <w:jc w:val="both"/>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3"/>
          <w:sz w:val="18"/>
        </w:rPr>
        <w:t> </w:t>
      </w:r>
      <w:r>
        <w:rPr>
          <w:rFonts w:ascii="Arial Narrow" w:hAnsi="Arial Narrow"/>
          <w:sz w:val="18"/>
        </w:rPr>
        <w:t>a</w:t>
      </w:r>
      <w:r>
        <w:rPr>
          <w:rFonts w:ascii="Arial Narrow" w:hAnsi="Arial Narrow"/>
          <w:spacing w:val="-2"/>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3"/>
          <w:sz w:val="18"/>
        </w:rPr>
        <w:t> </w:t>
      </w:r>
      <w:r>
        <w:rPr>
          <w:rFonts w:ascii="Arial Narrow" w:hAnsi="Arial Narrow"/>
          <w:sz w:val="18"/>
        </w:rPr>
        <w:t>los</w:t>
      </w:r>
      <w:r>
        <w:rPr>
          <w:rFonts w:ascii="Arial Narrow" w:hAnsi="Arial Narrow"/>
          <w:spacing w:val="-3"/>
          <w:sz w:val="18"/>
        </w:rPr>
        <w:t> </w:t>
      </w:r>
      <w:r>
        <w:rPr>
          <w:rFonts w:ascii="Arial Narrow" w:hAnsi="Arial Narrow"/>
          <w:sz w:val="18"/>
        </w:rPr>
        <w:t>datos facilitados</w:t>
      </w:r>
      <w:r>
        <w:rPr>
          <w:rFonts w:ascii="Arial Narrow" w:hAnsi="Arial Narrow"/>
          <w:spacing w:val="-2"/>
          <w:sz w:val="18"/>
        </w:rPr>
        <w:t> </w:t>
      </w:r>
      <w:r>
        <w:rPr>
          <w:rFonts w:ascii="Arial Narrow" w:hAnsi="Arial Narrow"/>
          <w:sz w:val="18"/>
        </w:rPr>
        <w:t>por</w:t>
      </w:r>
      <w:r>
        <w:rPr>
          <w:rFonts w:ascii="Arial Narrow" w:hAnsi="Arial Narrow"/>
          <w:spacing w:val="-1"/>
          <w:sz w:val="18"/>
        </w:rPr>
        <w:t> </w:t>
      </w:r>
      <w:r>
        <w:rPr>
          <w:rFonts w:ascii="Arial Narrow" w:hAnsi="Arial Narrow"/>
          <w:sz w:val="18"/>
        </w:rPr>
        <w:t>las</w:t>
      </w:r>
      <w:r>
        <w:rPr>
          <w:rFonts w:ascii="Arial Narrow" w:hAnsi="Arial Narrow"/>
          <w:spacing w:val="-3"/>
          <w:sz w:val="18"/>
        </w:rPr>
        <w:t> </w:t>
      </w:r>
      <w:r>
        <w:rPr>
          <w:rFonts w:ascii="Arial Narrow" w:hAnsi="Arial Narrow"/>
          <w:sz w:val="18"/>
        </w:rPr>
        <w:t>entidades</w:t>
      </w:r>
      <w:r>
        <w:rPr>
          <w:rFonts w:ascii="Arial Narrow" w:hAnsi="Arial Narrow"/>
          <w:spacing w:val="-2"/>
          <w:sz w:val="18"/>
        </w:rPr>
        <w:t> fiscalizadas</w:t>
      </w:r>
    </w:p>
    <w:p>
      <w:pPr>
        <w:pStyle w:val="BodyText"/>
        <w:spacing w:before="81"/>
        <w:rPr>
          <w:rFonts w:ascii="Arial Narrow"/>
          <w:sz w:val="18"/>
        </w:rPr>
      </w:pPr>
    </w:p>
    <w:p>
      <w:pPr>
        <w:pStyle w:val="BodyText"/>
        <w:spacing w:before="1"/>
        <w:ind w:left="992" w:right="988"/>
        <w:jc w:val="both"/>
      </w:pPr>
      <w:r>
        <w:rPr/>
        <w:t>El </w:t>
      </w:r>
      <w:r>
        <w:rPr>
          <w:b/>
        </w:rPr>
        <w:t>Ayuntamiento de Alicante </w:t>
      </w:r>
      <w:r>
        <w:rPr/>
        <w:t>ha realizado campañas para promocionar el uso del transporte público urbano en fechas señaladas </w:t>
      </w:r>
      <w:r>
        <w:rPr>
          <w:rFonts w:ascii="Symbol" w:hAnsi="Symbol"/>
        </w:rPr>
        <w:t></w:t>
      </w:r>
      <w:r>
        <w:rPr/>
        <w:t>Hogueras</w:t>
      </w:r>
      <w:r>
        <w:rPr>
          <w:spacing w:val="-2"/>
        </w:rPr>
        <w:t> </w:t>
      </w:r>
      <w:r>
        <w:rPr/>
        <w:t>y Navidad</w:t>
      </w:r>
      <w:r>
        <w:rPr>
          <w:rFonts w:ascii="Symbol" w:hAnsi="Symbol"/>
        </w:rPr>
        <w:t></w:t>
      </w:r>
      <w:r>
        <w:rPr>
          <w:rFonts w:ascii="Times New Roman" w:hAnsi="Times New Roman"/>
        </w:rPr>
        <w:t> </w:t>
      </w:r>
      <w:r>
        <w:rPr/>
        <w:t>en prensa y</w:t>
      </w:r>
      <w:r>
        <w:rPr>
          <w:spacing w:val="-2"/>
        </w:rPr>
        <w:t> </w:t>
      </w:r>
      <w:r>
        <w:rPr/>
        <w:t>radio, además de adquirir folletos</w:t>
      </w:r>
      <w:r>
        <w:rPr>
          <w:spacing w:val="-1"/>
        </w:rPr>
        <w:t> </w:t>
      </w:r>
      <w:r>
        <w:rPr/>
        <w:t>publicitarios</w:t>
      </w:r>
      <w:r>
        <w:rPr>
          <w:spacing w:val="-1"/>
        </w:rPr>
        <w:t> </w:t>
      </w:r>
      <w:r>
        <w:rPr/>
        <w:t>para</w:t>
      </w:r>
      <w:r>
        <w:rPr>
          <w:spacing w:val="-4"/>
        </w:rPr>
        <w:t> </w:t>
      </w:r>
      <w:r>
        <w:rPr/>
        <w:t>su</w:t>
      </w:r>
      <w:r>
        <w:rPr>
          <w:spacing w:val="-2"/>
        </w:rPr>
        <w:t> </w:t>
      </w:r>
      <w:r>
        <w:rPr/>
        <w:t>distribución</w:t>
      </w:r>
      <w:r>
        <w:rPr>
          <w:spacing w:val="-2"/>
        </w:rPr>
        <w:t> </w:t>
      </w:r>
      <w:r>
        <w:rPr/>
        <w:t>entre</w:t>
      </w:r>
      <w:r>
        <w:rPr>
          <w:spacing w:val="-2"/>
        </w:rPr>
        <w:t> </w:t>
      </w:r>
      <w:r>
        <w:rPr/>
        <w:t>los</w:t>
      </w:r>
      <w:r>
        <w:rPr>
          <w:spacing w:val="-4"/>
        </w:rPr>
        <w:t> </w:t>
      </w:r>
      <w:r>
        <w:rPr/>
        <w:t>usuarios y</w:t>
      </w:r>
      <w:r>
        <w:rPr>
          <w:spacing w:val="-1"/>
        </w:rPr>
        <w:t> </w:t>
      </w:r>
      <w:r>
        <w:rPr/>
        <w:t>vinilos</w:t>
      </w:r>
      <w:r>
        <w:rPr>
          <w:spacing w:val="-2"/>
        </w:rPr>
        <w:t> </w:t>
      </w:r>
      <w:r>
        <w:rPr/>
        <w:t>para</w:t>
      </w:r>
      <w:r>
        <w:rPr>
          <w:spacing w:val="-2"/>
        </w:rPr>
        <w:t> </w:t>
      </w:r>
      <w:r>
        <w:rPr/>
        <w:t>los</w:t>
      </w:r>
      <w:r>
        <w:rPr>
          <w:spacing w:val="-1"/>
        </w:rPr>
        <w:t> </w:t>
      </w:r>
      <w:r>
        <w:rPr/>
        <w:t>autobuses, cuyo</w:t>
      </w:r>
      <w:r>
        <w:rPr>
          <w:spacing w:val="-2"/>
        </w:rPr>
        <w:t> </w:t>
      </w:r>
      <w:r>
        <w:rPr/>
        <w:t>coste ha ascendido a 59.195,03 euros, IVA excluido.</w:t>
      </w:r>
    </w:p>
    <w:p>
      <w:pPr>
        <w:pStyle w:val="BodyText"/>
        <w:spacing w:before="238"/>
        <w:ind w:left="992" w:right="986"/>
        <w:jc w:val="both"/>
      </w:pPr>
      <w:r>
        <w:rPr/>
        <w:t>La empresa municipal de transportes del </w:t>
      </w:r>
      <w:r>
        <w:rPr>
          <w:b/>
        </w:rPr>
        <w:t>Ayuntamiento de Córdoba </w:t>
      </w:r>
      <w:r>
        <w:rPr/>
        <w:t>realizó campañas de publicidad en medios</w:t>
      </w:r>
      <w:r>
        <w:rPr>
          <w:spacing w:val="-1"/>
        </w:rPr>
        <w:t> </w:t>
      </w:r>
      <w:r>
        <w:rPr/>
        <w:t>de</w:t>
      </w:r>
      <w:r>
        <w:rPr>
          <w:spacing w:val="-3"/>
        </w:rPr>
        <w:t> </w:t>
      </w:r>
      <w:r>
        <w:rPr/>
        <w:t>comunicación para</w:t>
      </w:r>
      <w:r>
        <w:rPr>
          <w:spacing w:val="-1"/>
        </w:rPr>
        <w:t> </w:t>
      </w:r>
      <w:r>
        <w:rPr/>
        <w:t>promocionar el</w:t>
      </w:r>
      <w:r>
        <w:rPr>
          <w:spacing w:val="-2"/>
        </w:rPr>
        <w:t> </w:t>
      </w:r>
      <w:r>
        <w:rPr/>
        <w:t>uso</w:t>
      </w:r>
      <w:r>
        <w:rPr>
          <w:spacing w:val="-1"/>
        </w:rPr>
        <w:t> </w:t>
      </w:r>
      <w:r>
        <w:rPr/>
        <w:t>del</w:t>
      </w:r>
      <w:r>
        <w:rPr>
          <w:spacing w:val="-1"/>
        </w:rPr>
        <w:t> </w:t>
      </w:r>
      <w:r>
        <w:rPr/>
        <w:t>transporte</w:t>
      </w:r>
      <w:r>
        <w:rPr>
          <w:spacing w:val="-1"/>
        </w:rPr>
        <w:t> </w:t>
      </w:r>
      <w:r>
        <w:rPr/>
        <w:t>en</w:t>
      </w:r>
      <w:r>
        <w:rPr>
          <w:spacing w:val="-1"/>
        </w:rPr>
        <w:t> </w:t>
      </w:r>
      <w:r>
        <w:rPr/>
        <w:t>la</w:t>
      </w:r>
      <w:r>
        <w:rPr>
          <w:spacing w:val="-1"/>
        </w:rPr>
        <w:t> </w:t>
      </w:r>
      <w:r>
        <w:rPr/>
        <w:t>feria</w:t>
      </w:r>
      <w:r>
        <w:rPr>
          <w:spacing w:val="-1"/>
        </w:rPr>
        <w:t> </w:t>
      </w:r>
      <w:r>
        <w:rPr/>
        <w:t>de</w:t>
      </w:r>
      <w:r>
        <w:rPr>
          <w:spacing w:val="-1"/>
        </w:rPr>
        <w:t> </w:t>
      </w:r>
      <w:r>
        <w:rPr/>
        <w:t>mayo, en el inicio del curso escolar, en la semana europea de la movilidad y en Navidad, por un importe de 10.000 euros, IVA excluido.</w:t>
      </w:r>
    </w:p>
    <w:p>
      <w:pPr>
        <w:pStyle w:val="BodyText"/>
        <w:spacing w:before="241"/>
        <w:ind w:left="992" w:right="988"/>
        <w:jc w:val="both"/>
      </w:pPr>
      <w:r>
        <w:rPr/>
        <w:t>Asimismo, llevó a cabo una campaña de difusión sobre las opciones de recarga de los distintos soportes válidos en los autobuses, por 14.973,52 euros, y contrató un servicio de azafatas para información sobre recargas </w:t>
      </w:r>
      <w:r>
        <w:rPr>
          <w:i/>
        </w:rPr>
        <w:t>online, </w:t>
      </w:r>
      <w:r>
        <w:rPr/>
        <w:t>por importe de 11.970 euros, ambos importes sin IVA.</w:t>
      </w:r>
    </w:p>
    <w:p>
      <w:pPr>
        <w:pStyle w:val="BodyText"/>
        <w:spacing w:before="240"/>
        <w:ind w:left="992" w:right="988"/>
        <w:jc w:val="both"/>
      </w:pPr>
      <w:r>
        <w:rPr/>
        <w:t>El</w:t>
      </w:r>
      <w:r>
        <w:rPr>
          <w:spacing w:val="-14"/>
        </w:rPr>
        <w:t> </w:t>
      </w:r>
      <w:r>
        <w:rPr>
          <w:b/>
        </w:rPr>
        <w:t>Ayuntamiento</w:t>
      </w:r>
      <w:r>
        <w:rPr>
          <w:b/>
          <w:spacing w:val="-16"/>
        </w:rPr>
        <w:t> </w:t>
      </w:r>
      <w:r>
        <w:rPr>
          <w:b/>
        </w:rPr>
        <w:t>de</w:t>
      </w:r>
      <w:r>
        <w:rPr>
          <w:b/>
          <w:spacing w:val="-13"/>
        </w:rPr>
        <w:t> </w:t>
      </w:r>
      <w:r>
        <w:rPr>
          <w:b/>
        </w:rPr>
        <w:t>Córdoba</w:t>
      </w:r>
      <w:r>
        <w:rPr>
          <w:b/>
          <w:spacing w:val="-12"/>
        </w:rPr>
        <w:t> </w:t>
      </w:r>
      <w:r>
        <w:rPr/>
        <w:t>también</w:t>
      </w:r>
      <w:r>
        <w:rPr>
          <w:spacing w:val="-14"/>
        </w:rPr>
        <w:t> </w:t>
      </w:r>
      <w:r>
        <w:rPr/>
        <w:t>ha</w:t>
      </w:r>
      <w:r>
        <w:rPr>
          <w:spacing w:val="-14"/>
        </w:rPr>
        <w:t> </w:t>
      </w:r>
      <w:r>
        <w:rPr/>
        <w:t>informado</w:t>
      </w:r>
      <w:r>
        <w:rPr>
          <w:spacing w:val="-14"/>
        </w:rPr>
        <w:t> </w:t>
      </w:r>
      <w:r>
        <w:rPr/>
        <w:t>que</w:t>
      </w:r>
      <w:r>
        <w:rPr>
          <w:spacing w:val="-14"/>
        </w:rPr>
        <w:t> </w:t>
      </w:r>
      <w:r>
        <w:rPr/>
        <w:t>ha</w:t>
      </w:r>
      <w:r>
        <w:rPr>
          <w:spacing w:val="-14"/>
        </w:rPr>
        <w:t> </w:t>
      </w:r>
      <w:r>
        <w:rPr/>
        <w:t>realizado</w:t>
      </w:r>
      <w:r>
        <w:rPr>
          <w:spacing w:val="-14"/>
        </w:rPr>
        <w:t> </w:t>
      </w:r>
      <w:r>
        <w:rPr/>
        <w:t>otras</w:t>
      </w:r>
      <w:r>
        <w:rPr>
          <w:spacing w:val="-16"/>
        </w:rPr>
        <w:t> </w:t>
      </w:r>
      <w:r>
        <w:rPr/>
        <w:t>actuaciones</w:t>
      </w:r>
      <w:r>
        <w:rPr>
          <w:spacing w:val="-12"/>
        </w:rPr>
        <w:t> </w:t>
      </w:r>
      <w:r>
        <w:rPr/>
        <w:t>vinculadas a la información y difusión del servicio de transporte público urbano, que no precisaron de contratación</w:t>
      </w:r>
      <w:r>
        <w:rPr>
          <w:spacing w:val="-10"/>
        </w:rPr>
        <w:t> </w:t>
      </w:r>
      <w:r>
        <w:rPr/>
        <w:t>externa,</w:t>
      </w:r>
      <w:r>
        <w:rPr>
          <w:spacing w:val="-8"/>
        </w:rPr>
        <w:t> </w:t>
      </w:r>
      <w:r>
        <w:rPr/>
        <w:t>y</w:t>
      </w:r>
      <w:r>
        <w:rPr>
          <w:spacing w:val="-8"/>
        </w:rPr>
        <w:t> </w:t>
      </w:r>
      <w:r>
        <w:rPr/>
        <w:t>que</w:t>
      </w:r>
      <w:r>
        <w:rPr>
          <w:spacing w:val="-10"/>
        </w:rPr>
        <w:t> </w:t>
      </w:r>
      <w:r>
        <w:rPr/>
        <w:t>no</w:t>
      </w:r>
      <w:r>
        <w:rPr>
          <w:spacing w:val="-10"/>
        </w:rPr>
        <w:t> </w:t>
      </w:r>
      <w:r>
        <w:rPr/>
        <w:t>ha</w:t>
      </w:r>
      <w:r>
        <w:rPr>
          <w:spacing w:val="-10"/>
        </w:rPr>
        <w:t> </w:t>
      </w:r>
      <w:r>
        <w:rPr/>
        <w:t>cuantificado</w:t>
      </w:r>
      <w:r>
        <w:rPr>
          <w:spacing w:val="-10"/>
        </w:rPr>
        <w:t> </w:t>
      </w:r>
      <w:r>
        <w:rPr/>
        <w:t>económicamente:</w:t>
      </w:r>
      <w:r>
        <w:rPr>
          <w:spacing w:val="-11"/>
        </w:rPr>
        <w:t> </w:t>
      </w:r>
      <w:r>
        <w:rPr/>
        <w:t>campañas</w:t>
      </w:r>
      <w:r>
        <w:rPr>
          <w:spacing w:val="-10"/>
        </w:rPr>
        <w:t> </w:t>
      </w:r>
      <w:r>
        <w:rPr/>
        <w:t>informativas</w:t>
      </w:r>
      <w:r>
        <w:rPr>
          <w:spacing w:val="-12"/>
        </w:rPr>
        <w:t> </w:t>
      </w:r>
      <w:r>
        <w:rPr/>
        <w:t>en</w:t>
      </w:r>
      <w:r>
        <w:rPr>
          <w:spacing w:val="-10"/>
        </w:rPr>
        <w:t> </w:t>
      </w:r>
      <w:r>
        <w:rPr/>
        <w:t>centros educativos</w:t>
      </w:r>
      <w:r>
        <w:rPr>
          <w:spacing w:val="-11"/>
        </w:rPr>
        <w:t> </w:t>
      </w:r>
      <w:r>
        <w:rPr/>
        <w:t>y</w:t>
      </w:r>
      <w:r>
        <w:rPr>
          <w:spacing w:val="-13"/>
        </w:rPr>
        <w:t> </w:t>
      </w:r>
      <w:r>
        <w:rPr/>
        <w:t>en</w:t>
      </w:r>
      <w:r>
        <w:rPr>
          <w:spacing w:val="-14"/>
        </w:rPr>
        <w:t> </w:t>
      </w:r>
      <w:r>
        <w:rPr/>
        <w:t>centros</w:t>
      </w:r>
      <w:r>
        <w:rPr>
          <w:spacing w:val="-13"/>
        </w:rPr>
        <w:t> </w:t>
      </w:r>
      <w:r>
        <w:rPr/>
        <w:t>cívicos</w:t>
      </w:r>
      <w:r>
        <w:rPr>
          <w:spacing w:val="-11"/>
        </w:rPr>
        <w:t> </w:t>
      </w:r>
      <w:r>
        <w:rPr/>
        <w:t>y</w:t>
      </w:r>
      <w:r>
        <w:rPr>
          <w:spacing w:val="-13"/>
        </w:rPr>
        <w:t> </w:t>
      </w:r>
      <w:r>
        <w:rPr/>
        <w:t>de</w:t>
      </w:r>
      <w:r>
        <w:rPr>
          <w:spacing w:val="-14"/>
        </w:rPr>
        <w:t> </w:t>
      </w:r>
      <w:r>
        <w:rPr/>
        <w:t>mayores;</w:t>
      </w:r>
      <w:r>
        <w:rPr>
          <w:spacing w:val="-10"/>
        </w:rPr>
        <w:t> </w:t>
      </w:r>
      <w:r>
        <w:rPr/>
        <w:t>difusión</w:t>
      </w:r>
      <w:r>
        <w:rPr>
          <w:spacing w:val="-12"/>
        </w:rPr>
        <w:t> </w:t>
      </w:r>
      <w:r>
        <w:rPr/>
        <w:t>a</w:t>
      </w:r>
      <w:r>
        <w:rPr>
          <w:spacing w:val="-11"/>
        </w:rPr>
        <w:t> </w:t>
      </w:r>
      <w:r>
        <w:rPr/>
        <w:t>través</w:t>
      </w:r>
      <w:r>
        <w:rPr>
          <w:spacing w:val="-13"/>
        </w:rPr>
        <w:t> </w:t>
      </w:r>
      <w:r>
        <w:rPr/>
        <w:t>de</w:t>
      </w:r>
      <w:r>
        <w:rPr>
          <w:spacing w:val="-12"/>
        </w:rPr>
        <w:t> </w:t>
      </w:r>
      <w:r>
        <w:rPr/>
        <w:t>nuevos</w:t>
      </w:r>
      <w:r>
        <w:rPr>
          <w:spacing w:val="-13"/>
        </w:rPr>
        <w:t> </w:t>
      </w:r>
      <w:r>
        <w:rPr/>
        <w:t>canales</w:t>
      </w:r>
      <w:r>
        <w:rPr>
          <w:spacing w:val="-11"/>
        </w:rPr>
        <w:t> </w:t>
      </w:r>
      <w:r>
        <w:rPr/>
        <w:t>como</w:t>
      </w:r>
      <w:r>
        <w:rPr>
          <w:spacing w:val="-10"/>
        </w:rPr>
        <w:t> </w:t>
      </w:r>
      <w:r>
        <w:rPr>
          <w:i/>
        </w:rPr>
        <w:t>WhatsApp</w:t>
      </w:r>
      <w:r>
        <w:rPr/>
        <w:t>; entrega a</w:t>
      </w:r>
      <w:r>
        <w:rPr>
          <w:spacing w:val="-2"/>
        </w:rPr>
        <w:t> </w:t>
      </w:r>
      <w:r>
        <w:rPr/>
        <w:t>los centros de</w:t>
      </w:r>
      <w:r>
        <w:rPr>
          <w:spacing w:val="-2"/>
        </w:rPr>
        <w:t> </w:t>
      </w:r>
      <w:r>
        <w:rPr/>
        <w:t>la Universidad de Córdoba de información sobre</w:t>
      </w:r>
      <w:r>
        <w:rPr>
          <w:spacing w:val="-1"/>
        </w:rPr>
        <w:t> </w:t>
      </w:r>
      <w:r>
        <w:rPr/>
        <w:t>las líneas de autobús de su entorno; y campañas relativas al uso del autobús en feria, servicios especiales </w:t>
      </w:r>
      <w:r>
        <w:rPr>
          <w:rFonts w:ascii="Symbol" w:hAnsi="Symbol"/>
        </w:rPr>
        <w:t></w:t>
      </w:r>
      <w:r>
        <w:rPr/>
        <w:t>fútbol, aeropuerto y centro de convenciones y congresos</w:t>
      </w:r>
      <w:r>
        <w:rPr>
          <w:rFonts w:ascii="Symbol" w:hAnsi="Symbol"/>
        </w:rPr>
        <w:t></w:t>
      </w:r>
      <w:r>
        <w:rPr/>
        <w:t>.</w:t>
      </w:r>
    </w:p>
    <w:p>
      <w:pPr>
        <w:spacing w:before="241"/>
        <w:ind w:left="992" w:right="987" w:firstLine="0"/>
        <w:jc w:val="both"/>
        <w:rPr>
          <w:sz w:val="22"/>
        </w:rPr>
      </w:pPr>
      <w:r>
        <w:rPr>
          <w:sz w:val="22"/>
        </w:rPr>
        <w:t>El </w:t>
      </w:r>
      <w:r>
        <w:rPr>
          <w:b/>
          <w:sz w:val="22"/>
        </w:rPr>
        <w:t>Ayuntamiento de Las Palmas de Gran Canaria </w:t>
      </w:r>
      <w:r>
        <w:rPr>
          <w:sz w:val="22"/>
        </w:rPr>
        <w:t>ha realizado diversas actuaciones para la difusión</w:t>
      </w:r>
      <w:r>
        <w:rPr>
          <w:spacing w:val="-3"/>
          <w:sz w:val="22"/>
        </w:rPr>
        <w:t> </w:t>
      </w:r>
      <w:r>
        <w:rPr>
          <w:sz w:val="22"/>
        </w:rPr>
        <w:t>y</w:t>
      </w:r>
      <w:r>
        <w:rPr>
          <w:spacing w:val="-2"/>
          <w:sz w:val="22"/>
        </w:rPr>
        <w:t> </w:t>
      </w:r>
      <w:r>
        <w:rPr>
          <w:sz w:val="22"/>
        </w:rPr>
        <w:t>promoción</w:t>
      </w:r>
      <w:r>
        <w:rPr>
          <w:spacing w:val="-5"/>
          <w:sz w:val="22"/>
        </w:rPr>
        <w:t> </w:t>
      </w:r>
      <w:r>
        <w:rPr>
          <w:sz w:val="22"/>
        </w:rPr>
        <w:t>del</w:t>
      </w:r>
      <w:r>
        <w:rPr>
          <w:spacing w:val="-6"/>
          <w:sz w:val="22"/>
        </w:rPr>
        <w:t> </w:t>
      </w:r>
      <w:r>
        <w:rPr>
          <w:sz w:val="22"/>
        </w:rPr>
        <w:t>transporte</w:t>
      </w:r>
      <w:r>
        <w:rPr>
          <w:spacing w:val="-5"/>
          <w:sz w:val="22"/>
        </w:rPr>
        <w:t> </w:t>
      </w:r>
      <w:r>
        <w:rPr>
          <w:sz w:val="22"/>
        </w:rPr>
        <w:t>público</w:t>
      </w:r>
      <w:r>
        <w:rPr>
          <w:spacing w:val="-3"/>
          <w:sz w:val="22"/>
        </w:rPr>
        <w:t> </w:t>
      </w:r>
      <w:r>
        <w:rPr>
          <w:sz w:val="22"/>
        </w:rPr>
        <w:t>colectivo,</w:t>
      </w:r>
      <w:r>
        <w:rPr>
          <w:spacing w:val="-1"/>
          <w:sz w:val="22"/>
        </w:rPr>
        <w:t> </w:t>
      </w:r>
      <w:r>
        <w:rPr>
          <w:sz w:val="22"/>
        </w:rPr>
        <w:t>fundamentalmente,</w:t>
      </w:r>
      <w:r>
        <w:rPr>
          <w:spacing w:val="-4"/>
          <w:sz w:val="22"/>
        </w:rPr>
        <w:t> </w:t>
      </w:r>
      <w:r>
        <w:rPr>
          <w:sz w:val="22"/>
        </w:rPr>
        <w:t>de</w:t>
      </w:r>
      <w:r>
        <w:rPr>
          <w:spacing w:val="-3"/>
          <w:sz w:val="22"/>
        </w:rPr>
        <w:t> </w:t>
      </w:r>
      <w:r>
        <w:rPr>
          <w:sz w:val="22"/>
        </w:rPr>
        <w:t>la</w:t>
      </w:r>
      <w:r>
        <w:rPr>
          <w:spacing w:val="-3"/>
          <w:sz w:val="22"/>
        </w:rPr>
        <w:t> </w:t>
      </w:r>
      <w:r>
        <w:rPr>
          <w:sz w:val="22"/>
        </w:rPr>
        <w:t>MetroGuagua,</w:t>
      </w:r>
      <w:r>
        <w:rPr>
          <w:spacing w:val="-1"/>
          <w:sz w:val="22"/>
        </w:rPr>
        <w:t> </w:t>
      </w:r>
      <w:r>
        <w:rPr>
          <w:sz w:val="22"/>
        </w:rPr>
        <w:t>cuyo</w:t>
      </w:r>
    </w:p>
    <w:p>
      <w:pPr>
        <w:spacing w:after="0"/>
        <w:jc w:val="both"/>
        <w:rPr>
          <w:sz w:val="22"/>
        </w:rPr>
        <w:sectPr>
          <w:type w:val="continuous"/>
          <w:pgSz w:w="11910" w:h="16840"/>
          <w:pgMar w:header="1227" w:footer="839" w:top="1680" w:bottom="280" w:left="141" w:right="141"/>
        </w:sectPr>
      </w:pPr>
    </w:p>
    <w:p>
      <w:pPr>
        <w:pStyle w:val="BodyText"/>
      </w:pPr>
    </w:p>
    <w:p>
      <w:pPr>
        <w:pStyle w:val="BodyText"/>
      </w:pPr>
    </w:p>
    <w:p>
      <w:pPr>
        <w:pStyle w:val="BodyText"/>
      </w:pPr>
    </w:p>
    <w:p>
      <w:pPr>
        <w:pStyle w:val="BodyText"/>
        <w:spacing w:before="112"/>
      </w:pPr>
    </w:p>
    <w:p>
      <w:pPr>
        <w:pStyle w:val="BodyText"/>
        <w:ind w:left="992" w:right="984"/>
        <w:jc w:val="both"/>
      </w:pPr>
      <w:r>
        <w:rPr/>
        <w:t>coste total ascendió a 108.716,86 euros, IGIC no incluido. Entre ellas, difusión en cadenas televisivas y medios radiofónicos y digitales de la MetroGuagua; grabaciones de vídeo y cobertura informativa de la presentación de una marquesina de la MetroGuagua que se iba a instalar</w:t>
      </w:r>
      <w:r>
        <w:rPr>
          <w:spacing w:val="-1"/>
        </w:rPr>
        <w:t> </w:t>
      </w:r>
      <w:r>
        <w:rPr/>
        <w:t>en una de</w:t>
      </w:r>
      <w:r>
        <w:rPr>
          <w:spacing w:val="-2"/>
        </w:rPr>
        <w:t> </w:t>
      </w:r>
      <w:r>
        <w:rPr/>
        <w:t>las</w:t>
      </w:r>
      <w:r>
        <w:rPr>
          <w:spacing w:val="-2"/>
        </w:rPr>
        <w:t> </w:t>
      </w:r>
      <w:r>
        <w:rPr/>
        <w:t>paradas;</w:t>
      </w:r>
      <w:r>
        <w:rPr>
          <w:spacing w:val="-3"/>
        </w:rPr>
        <w:t> </w:t>
      </w:r>
      <w:r>
        <w:rPr/>
        <w:t>producción</w:t>
      </w:r>
      <w:r>
        <w:rPr>
          <w:spacing w:val="-2"/>
        </w:rPr>
        <w:t> </w:t>
      </w:r>
      <w:r>
        <w:rPr/>
        <w:t>de</w:t>
      </w:r>
      <w:r>
        <w:rPr>
          <w:spacing w:val="-4"/>
        </w:rPr>
        <w:t> </w:t>
      </w:r>
      <w:r>
        <w:rPr/>
        <w:t>material</w:t>
      </w:r>
      <w:r>
        <w:rPr>
          <w:spacing w:val="-1"/>
        </w:rPr>
        <w:t> </w:t>
      </w:r>
      <w:r>
        <w:rPr/>
        <w:t>audiovisual</w:t>
      </w:r>
      <w:r>
        <w:rPr>
          <w:spacing w:val="-2"/>
        </w:rPr>
        <w:t> </w:t>
      </w:r>
      <w:r>
        <w:rPr/>
        <w:t>para</w:t>
      </w:r>
      <w:r>
        <w:rPr>
          <w:spacing w:val="-2"/>
        </w:rPr>
        <w:t> </w:t>
      </w:r>
      <w:r>
        <w:rPr/>
        <w:t>la</w:t>
      </w:r>
      <w:r>
        <w:rPr>
          <w:spacing w:val="-2"/>
        </w:rPr>
        <w:t> </w:t>
      </w:r>
      <w:r>
        <w:rPr/>
        <w:t>campaña</w:t>
      </w:r>
      <w:r>
        <w:rPr>
          <w:spacing w:val="-4"/>
        </w:rPr>
        <w:t> </w:t>
      </w:r>
      <w:r>
        <w:rPr/>
        <w:t>de</w:t>
      </w:r>
      <w:r>
        <w:rPr>
          <w:spacing w:val="-2"/>
        </w:rPr>
        <w:t> </w:t>
      </w:r>
      <w:r>
        <w:rPr/>
        <w:t>la</w:t>
      </w:r>
      <w:r>
        <w:rPr>
          <w:spacing w:val="-4"/>
        </w:rPr>
        <w:t> </w:t>
      </w:r>
      <w:r>
        <w:rPr/>
        <w:t>MetroGuagua;</w:t>
      </w:r>
      <w:r>
        <w:rPr>
          <w:spacing w:val="-3"/>
        </w:rPr>
        <w:t> </w:t>
      </w:r>
      <w:r>
        <w:rPr/>
        <w:t>y</w:t>
      </w:r>
      <w:r>
        <w:rPr>
          <w:spacing w:val="-3"/>
        </w:rPr>
        <w:t> </w:t>
      </w:r>
      <w:r>
        <w:rPr/>
        <w:t>servicio de imprenta de folletos sobre jornadas de movilidad. También ha celebrado, junto con un diario local, dos jornadas, una en 2023, para analizar y discutir sobre el desarrollo urbano, la movilidad sostenible y la humanización de las ciudades, y otra en 2024, en la que se abordó el</w:t>
      </w:r>
      <w:r>
        <w:rPr>
          <w:spacing w:val="-1"/>
        </w:rPr>
        <w:t> </w:t>
      </w:r>
      <w:r>
        <w:rPr/>
        <w:t>desarrollo de las urbes del futuro y la contribución de la movilidad al bienestar subjetivo y social.</w:t>
      </w:r>
    </w:p>
    <w:p>
      <w:pPr>
        <w:pStyle w:val="BodyText"/>
        <w:spacing w:before="242"/>
        <w:ind w:left="992" w:right="987"/>
        <w:jc w:val="both"/>
      </w:pPr>
      <w:r>
        <w:rPr/>
        <w:t>El </w:t>
      </w:r>
      <w:r>
        <w:rPr>
          <w:b/>
        </w:rPr>
        <w:t>Ayuntamiento de Palma </w:t>
      </w:r>
      <w:r>
        <w:rPr/>
        <w:t>contaba con anterioridad con un proyecto educativo centrado en las visitas</w:t>
      </w:r>
      <w:r>
        <w:rPr>
          <w:spacing w:val="-9"/>
        </w:rPr>
        <w:t> </w:t>
      </w:r>
      <w:r>
        <w:rPr/>
        <w:t>al</w:t>
      </w:r>
      <w:r>
        <w:rPr>
          <w:spacing w:val="-12"/>
        </w:rPr>
        <w:t> </w:t>
      </w:r>
      <w:r>
        <w:rPr/>
        <w:t>centro</w:t>
      </w:r>
      <w:r>
        <w:rPr>
          <w:spacing w:val="-9"/>
        </w:rPr>
        <w:t> </w:t>
      </w:r>
      <w:r>
        <w:rPr/>
        <w:t>logístico</w:t>
      </w:r>
      <w:r>
        <w:rPr>
          <w:spacing w:val="-14"/>
        </w:rPr>
        <w:t> </w:t>
      </w:r>
      <w:r>
        <w:rPr/>
        <w:t>y</w:t>
      </w:r>
      <w:r>
        <w:rPr>
          <w:spacing w:val="-8"/>
        </w:rPr>
        <w:t> </w:t>
      </w:r>
      <w:r>
        <w:rPr/>
        <w:t>operativo</w:t>
      </w:r>
      <w:r>
        <w:rPr>
          <w:spacing w:val="-11"/>
        </w:rPr>
        <w:t> </w:t>
      </w:r>
      <w:r>
        <w:rPr/>
        <w:t>de</w:t>
      </w:r>
      <w:r>
        <w:rPr>
          <w:spacing w:val="-9"/>
        </w:rPr>
        <w:t> </w:t>
      </w:r>
      <w:r>
        <w:rPr/>
        <w:t>la</w:t>
      </w:r>
      <w:r>
        <w:rPr>
          <w:spacing w:val="-9"/>
        </w:rPr>
        <w:t> </w:t>
      </w:r>
      <w:r>
        <w:rPr/>
        <w:t>empresa</w:t>
      </w:r>
      <w:r>
        <w:rPr>
          <w:spacing w:val="-9"/>
        </w:rPr>
        <w:t> </w:t>
      </w:r>
      <w:r>
        <w:rPr/>
        <w:t>municipal</w:t>
      </w:r>
      <w:r>
        <w:rPr>
          <w:spacing w:val="-10"/>
        </w:rPr>
        <w:t> </w:t>
      </w:r>
      <w:r>
        <w:rPr/>
        <w:t>de</w:t>
      </w:r>
      <w:r>
        <w:rPr>
          <w:spacing w:val="-14"/>
        </w:rPr>
        <w:t> </w:t>
      </w:r>
      <w:r>
        <w:rPr/>
        <w:t>transportes.</w:t>
      </w:r>
      <w:r>
        <w:rPr>
          <w:spacing w:val="-7"/>
        </w:rPr>
        <w:t> </w:t>
      </w:r>
      <w:r>
        <w:rPr/>
        <w:t>Por</w:t>
      </w:r>
      <w:r>
        <w:rPr>
          <w:spacing w:val="-10"/>
        </w:rPr>
        <w:t> </w:t>
      </w:r>
      <w:r>
        <w:rPr/>
        <w:t>diferentes</w:t>
      </w:r>
      <w:r>
        <w:rPr>
          <w:spacing w:val="-11"/>
        </w:rPr>
        <w:t> </w:t>
      </w:r>
      <w:r>
        <w:rPr/>
        <w:t>motivos este proyecto quedó pausado y con la pandemia Covid-19 la entidad decidió relanzar el proyecto educativo</w:t>
      </w:r>
      <w:r>
        <w:rPr>
          <w:spacing w:val="-11"/>
        </w:rPr>
        <w:t> </w:t>
      </w:r>
      <w:r>
        <w:rPr/>
        <w:t>como</w:t>
      </w:r>
      <w:r>
        <w:rPr>
          <w:spacing w:val="-11"/>
        </w:rPr>
        <w:t> </w:t>
      </w:r>
      <w:r>
        <w:rPr/>
        <w:t>estrategia</w:t>
      </w:r>
      <w:r>
        <w:rPr>
          <w:spacing w:val="-11"/>
        </w:rPr>
        <w:t> </w:t>
      </w:r>
      <w:r>
        <w:rPr/>
        <w:t>de</w:t>
      </w:r>
      <w:r>
        <w:rPr>
          <w:spacing w:val="-12"/>
        </w:rPr>
        <w:t> </w:t>
      </w:r>
      <w:r>
        <w:rPr/>
        <w:t>promoción</w:t>
      </w:r>
      <w:r>
        <w:rPr>
          <w:spacing w:val="-14"/>
        </w:rPr>
        <w:t> </w:t>
      </w:r>
      <w:r>
        <w:rPr/>
        <w:t>ante</w:t>
      </w:r>
      <w:r>
        <w:rPr>
          <w:spacing w:val="-14"/>
        </w:rPr>
        <w:t> </w:t>
      </w:r>
      <w:r>
        <w:rPr/>
        <w:t>la</w:t>
      </w:r>
      <w:r>
        <w:rPr>
          <w:spacing w:val="-11"/>
        </w:rPr>
        <w:t> </w:t>
      </w:r>
      <w:r>
        <w:rPr/>
        <w:t>caída</w:t>
      </w:r>
      <w:r>
        <w:rPr>
          <w:spacing w:val="-13"/>
        </w:rPr>
        <w:t> </w:t>
      </w:r>
      <w:r>
        <w:rPr/>
        <w:t>masiva</w:t>
      </w:r>
      <w:r>
        <w:rPr>
          <w:spacing w:val="-11"/>
        </w:rPr>
        <w:t> </w:t>
      </w:r>
      <w:r>
        <w:rPr/>
        <w:t>de</w:t>
      </w:r>
      <w:r>
        <w:rPr>
          <w:spacing w:val="-14"/>
        </w:rPr>
        <w:t> </w:t>
      </w:r>
      <w:r>
        <w:rPr/>
        <w:t>pasajeros</w:t>
      </w:r>
      <w:r>
        <w:rPr>
          <w:spacing w:val="-11"/>
        </w:rPr>
        <w:t> </w:t>
      </w:r>
      <w:r>
        <w:rPr/>
        <w:t>en</w:t>
      </w:r>
      <w:r>
        <w:rPr>
          <w:spacing w:val="-12"/>
        </w:rPr>
        <w:t> </w:t>
      </w:r>
      <w:r>
        <w:rPr/>
        <w:t>el</w:t>
      </w:r>
      <w:r>
        <w:rPr>
          <w:spacing w:val="-15"/>
        </w:rPr>
        <w:t> </w:t>
      </w:r>
      <w:r>
        <w:rPr/>
        <w:t>transporte</w:t>
      </w:r>
      <w:r>
        <w:rPr>
          <w:spacing w:val="-11"/>
        </w:rPr>
        <w:t> </w:t>
      </w:r>
      <w:r>
        <w:rPr/>
        <w:t>público.</w:t>
      </w:r>
    </w:p>
    <w:p>
      <w:pPr>
        <w:pStyle w:val="BodyText"/>
        <w:spacing w:before="239"/>
        <w:ind w:left="992" w:right="987"/>
        <w:jc w:val="both"/>
      </w:pPr>
      <w:r>
        <w:rPr/>
        <w:t>El nuevo proyecto educativo de la empresa</w:t>
      </w:r>
      <w:r>
        <w:rPr>
          <w:spacing w:val="-2"/>
        </w:rPr>
        <w:t> </w:t>
      </w:r>
      <w:r>
        <w:rPr/>
        <w:t>municipal de transportes tiene por objetivo fomentar el uso del bus como alternativa sostenible al coche y sensibilizar sobre las diferentes problemáticas medioambientales y urbanas derivadas del uso de este; impulsar la educación a las nuevas generaciones en una cultura de la movilidad sostenible y ofrecer también a colectivos con necesidades especiales un espacio donde poder familiarizarse en el uso del transporte público. El proyecto</w:t>
      </w:r>
      <w:r>
        <w:rPr>
          <w:spacing w:val="-16"/>
        </w:rPr>
        <w:t> </w:t>
      </w:r>
      <w:r>
        <w:rPr/>
        <w:t>educativo</w:t>
      </w:r>
      <w:r>
        <w:rPr>
          <w:spacing w:val="-15"/>
        </w:rPr>
        <w:t> </w:t>
      </w:r>
      <w:r>
        <w:rPr/>
        <w:t>se</w:t>
      </w:r>
      <w:r>
        <w:rPr>
          <w:spacing w:val="-15"/>
        </w:rPr>
        <w:t> </w:t>
      </w:r>
      <w:r>
        <w:rPr/>
        <w:t>dirige</w:t>
      </w:r>
      <w:r>
        <w:rPr>
          <w:spacing w:val="-16"/>
        </w:rPr>
        <w:t> </w:t>
      </w:r>
      <w:r>
        <w:rPr/>
        <w:t>principalmente</w:t>
      </w:r>
      <w:r>
        <w:rPr>
          <w:spacing w:val="-15"/>
        </w:rPr>
        <w:t> </w:t>
      </w:r>
      <w:r>
        <w:rPr/>
        <w:t>al</w:t>
      </w:r>
      <w:r>
        <w:rPr>
          <w:spacing w:val="-15"/>
        </w:rPr>
        <w:t> </w:t>
      </w:r>
      <w:r>
        <w:rPr/>
        <w:t>público</w:t>
      </w:r>
      <w:r>
        <w:rPr>
          <w:spacing w:val="-15"/>
        </w:rPr>
        <w:t> </w:t>
      </w:r>
      <w:r>
        <w:rPr/>
        <w:t>joven,</w:t>
      </w:r>
      <w:r>
        <w:rPr>
          <w:spacing w:val="-16"/>
        </w:rPr>
        <w:t> </w:t>
      </w:r>
      <w:r>
        <w:rPr/>
        <w:t>así</w:t>
      </w:r>
      <w:r>
        <w:rPr>
          <w:spacing w:val="-15"/>
        </w:rPr>
        <w:t> </w:t>
      </w:r>
      <w:r>
        <w:rPr/>
        <w:t>como</w:t>
      </w:r>
      <w:r>
        <w:rPr>
          <w:spacing w:val="-15"/>
        </w:rPr>
        <w:t> </w:t>
      </w:r>
      <w:r>
        <w:rPr/>
        <w:t>a</w:t>
      </w:r>
      <w:r>
        <w:rPr>
          <w:spacing w:val="-16"/>
        </w:rPr>
        <w:t> </w:t>
      </w:r>
      <w:r>
        <w:rPr/>
        <w:t>familias,</w:t>
      </w:r>
      <w:r>
        <w:rPr>
          <w:spacing w:val="-15"/>
        </w:rPr>
        <w:t> </w:t>
      </w:r>
      <w:r>
        <w:rPr/>
        <w:t>personas</w:t>
      </w:r>
      <w:r>
        <w:rPr>
          <w:spacing w:val="-15"/>
        </w:rPr>
        <w:t> </w:t>
      </w:r>
      <w:r>
        <w:rPr/>
        <w:t>mayores, personas con diversidad funcional y personas con discapacidad o retraso cognitivo, y consiste en jornadas y talleres en centros escolares y en jornadas de puertas abiertas en las cocheras. El contrato para la prestación de este servicio se formalizó en diciembre de 2022, por un año, prorrogable por dos años más. El importe ejecutado en 2023 y 2024 por este servicio ascendió a 58.376,84 euros, más IVA.</w:t>
      </w:r>
    </w:p>
    <w:p>
      <w:pPr>
        <w:pStyle w:val="BodyText"/>
        <w:spacing w:before="242"/>
        <w:ind w:left="992" w:right="985"/>
        <w:jc w:val="both"/>
      </w:pPr>
      <w:r>
        <w:rPr/>
        <w:t>La empresa municipal de transportes del </w:t>
      </w:r>
      <w:r>
        <w:rPr>
          <w:b/>
        </w:rPr>
        <w:t>Ayuntamiento de Sevilla </w:t>
      </w:r>
      <w:r>
        <w:rPr/>
        <w:t>ha realizado campañas de difusión</w:t>
      </w:r>
      <w:r>
        <w:rPr>
          <w:spacing w:val="-15"/>
        </w:rPr>
        <w:t> </w:t>
      </w:r>
      <w:r>
        <w:rPr/>
        <w:t>con</w:t>
      </w:r>
      <w:r>
        <w:rPr>
          <w:spacing w:val="-14"/>
        </w:rPr>
        <w:t> </w:t>
      </w:r>
      <w:r>
        <w:rPr/>
        <w:t>el</w:t>
      </w:r>
      <w:r>
        <w:rPr>
          <w:spacing w:val="-16"/>
        </w:rPr>
        <w:t> </w:t>
      </w:r>
      <w:r>
        <w:rPr/>
        <w:t>objetivo</w:t>
      </w:r>
      <w:r>
        <w:rPr>
          <w:spacing w:val="-13"/>
        </w:rPr>
        <w:t> </w:t>
      </w:r>
      <w:r>
        <w:rPr/>
        <w:t>de</w:t>
      </w:r>
      <w:r>
        <w:rPr>
          <w:spacing w:val="-14"/>
        </w:rPr>
        <w:t> </w:t>
      </w:r>
      <w:r>
        <w:rPr/>
        <w:t>informar,</w:t>
      </w:r>
      <w:r>
        <w:rPr>
          <w:spacing w:val="-15"/>
        </w:rPr>
        <w:t> </w:t>
      </w:r>
      <w:r>
        <w:rPr/>
        <w:t>sensibilizar</w:t>
      </w:r>
      <w:r>
        <w:rPr>
          <w:spacing w:val="-13"/>
        </w:rPr>
        <w:t> </w:t>
      </w:r>
      <w:r>
        <w:rPr/>
        <w:t>y</w:t>
      </w:r>
      <w:r>
        <w:rPr>
          <w:spacing w:val="-16"/>
        </w:rPr>
        <w:t> </w:t>
      </w:r>
      <w:r>
        <w:rPr/>
        <w:t>concienciar</w:t>
      </w:r>
      <w:r>
        <w:rPr>
          <w:spacing w:val="-12"/>
        </w:rPr>
        <w:t> </w:t>
      </w:r>
      <w:r>
        <w:rPr/>
        <w:t>a</w:t>
      </w:r>
      <w:r>
        <w:rPr>
          <w:spacing w:val="-14"/>
        </w:rPr>
        <w:t> </w:t>
      </w:r>
      <w:r>
        <w:rPr/>
        <w:t>los</w:t>
      </w:r>
      <w:r>
        <w:rPr>
          <w:spacing w:val="-16"/>
        </w:rPr>
        <w:t> </w:t>
      </w:r>
      <w:r>
        <w:rPr/>
        <w:t>ciudadanos</w:t>
      </w:r>
      <w:r>
        <w:rPr>
          <w:spacing w:val="-12"/>
        </w:rPr>
        <w:t> </w:t>
      </w:r>
      <w:r>
        <w:rPr/>
        <w:t>del</w:t>
      </w:r>
      <w:r>
        <w:rPr>
          <w:spacing w:val="-14"/>
        </w:rPr>
        <w:t> </w:t>
      </w:r>
      <w:r>
        <w:rPr/>
        <w:t>uso</w:t>
      </w:r>
      <w:r>
        <w:rPr>
          <w:spacing w:val="-16"/>
        </w:rPr>
        <w:t> </w:t>
      </w:r>
      <w:r>
        <w:rPr/>
        <w:t>y</w:t>
      </w:r>
      <w:r>
        <w:rPr>
          <w:spacing w:val="-15"/>
        </w:rPr>
        <w:t> </w:t>
      </w:r>
      <w:r>
        <w:rPr/>
        <w:t>las</w:t>
      </w:r>
      <w:r>
        <w:rPr>
          <w:spacing w:val="-12"/>
        </w:rPr>
        <w:t> </w:t>
      </w:r>
      <w:r>
        <w:rPr/>
        <w:t>ventajas del transporte urbano de Sevilla, seleccionando para ello distintos medios de comunicación y/o agencias de medios. También ha seleccionado una agencia de medios para la difusión de las campañas publicitarias llevadas a cabo durante 2024, incluyendo su contratación el diseño y desarrollo de un plan de medios para fomentar el uso del transporte público entre la ciudadanía y los soportes publicitarios y acciones de marketing digital. Con este fin la entidad ha celebrado tres contratos en los ejercicios fiscalizados, dos en 2023 y uno en 2024, por importe conjunto de 1.198.450,00 euros, IVA no incluido.</w:t>
      </w:r>
    </w:p>
    <w:p>
      <w:pPr>
        <w:pStyle w:val="BodyText"/>
        <w:spacing w:before="238"/>
        <w:ind w:left="992" w:right="988"/>
        <w:jc w:val="both"/>
      </w:pPr>
      <w:r>
        <w:rPr/>
        <w:t>Esta misma empresa ha contratado la creación de una línea 900, gratuita para los usuarios, con objeto de recibir directamente las consultas sobre los servicios de la entidad, por importe de 23.625,00 euros, IVA excluido.</w:t>
      </w:r>
    </w:p>
    <w:p>
      <w:pPr>
        <w:pStyle w:val="BodyText"/>
        <w:spacing w:before="109"/>
      </w:pPr>
    </w:p>
    <w:p>
      <w:pPr>
        <w:pStyle w:val="ListParagraph"/>
        <w:numPr>
          <w:ilvl w:val="3"/>
          <w:numId w:val="3"/>
        </w:numPr>
        <w:tabs>
          <w:tab w:pos="1779" w:val="left" w:leader="none"/>
        </w:tabs>
        <w:spacing w:line="240" w:lineRule="auto" w:before="0" w:after="0"/>
        <w:ind w:left="1779" w:right="0" w:hanging="787"/>
        <w:jc w:val="left"/>
        <w:rPr>
          <w:sz w:val="22"/>
        </w:rPr>
      </w:pPr>
      <w:r>
        <w:rPr>
          <w:sz w:val="22"/>
        </w:rPr>
        <w:t>OTRAS</w:t>
      </w:r>
      <w:r>
        <w:rPr>
          <w:spacing w:val="-4"/>
          <w:sz w:val="22"/>
        </w:rPr>
        <w:t> </w:t>
      </w:r>
      <w:r>
        <w:rPr>
          <w:spacing w:val="-2"/>
          <w:sz w:val="22"/>
        </w:rPr>
        <w:t>ACTUACIONES</w:t>
      </w:r>
    </w:p>
    <w:p>
      <w:pPr>
        <w:spacing w:before="239"/>
        <w:ind w:left="992" w:right="990" w:firstLine="0"/>
        <w:jc w:val="both"/>
        <w:rPr>
          <w:sz w:val="22"/>
        </w:rPr>
      </w:pPr>
      <w:r>
        <w:rPr>
          <w:sz w:val="22"/>
        </w:rPr>
        <w:t>Además de las actuaciones expuestas, los </w:t>
      </w:r>
      <w:r>
        <w:rPr>
          <w:b/>
          <w:sz w:val="22"/>
        </w:rPr>
        <w:t>Ayuntamientos de Alicante, Las Palmas de Gran Canaria,</w:t>
      </w:r>
      <w:r>
        <w:rPr>
          <w:b/>
          <w:spacing w:val="-2"/>
          <w:sz w:val="22"/>
        </w:rPr>
        <w:t> </w:t>
      </w:r>
      <w:r>
        <w:rPr>
          <w:b/>
          <w:sz w:val="22"/>
        </w:rPr>
        <w:t>Murcia, Sevilla </w:t>
      </w:r>
      <w:r>
        <w:rPr>
          <w:sz w:val="22"/>
        </w:rPr>
        <w:t>y </w:t>
      </w:r>
      <w:r>
        <w:rPr>
          <w:b/>
          <w:sz w:val="22"/>
        </w:rPr>
        <w:t>Zaragoza </w:t>
      </w:r>
      <w:r>
        <w:rPr>
          <w:sz w:val="22"/>
        </w:rPr>
        <w:t>han realizado otras relacionadas</w:t>
      </w:r>
      <w:r>
        <w:rPr>
          <w:spacing w:val="-1"/>
          <w:sz w:val="22"/>
        </w:rPr>
        <w:t> </w:t>
      </w:r>
      <w:r>
        <w:rPr>
          <w:sz w:val="22"/>
        </w:rPr>
        <w:t>con la movilidad sostenible en el transporte público colectivo, tal y como se expone en el cuadro siguiente:</w:t>
      </w:r>
    </w:p>
    <w:p>
      <w:pPr>
        <w:spacing w:after="0"/>
        <w:jc w:val="both"/>
        <w:rPr>
          <w:sz w:val="22"/>
        </w:rPr>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Heading4"/>
        <w:ind w:left="1477" w:right="1477"/>
      </w:pPr>
      <w:bookmarkStart w:name="_bookmark97" w:id="99"/>
      <w:bookmarkEnd w:id="99"/>
      <w:r>
        <w:rPr>
          <w:b w:val="0"/>
        </w:rPr>
      </w:r>
      <w:r>
        <w:rPr/>
        <w:t>CUADRO</w:t>
      </w:r>
      <w:r>
        <w:rPr>
          <w:spacing w:val="-3"/>
        </w:rPr>
        <w:t> </w:t>
      </w:r>
      <w:r>
        <w:rPr/>
        <w:t>14.</w:t>
      </w:r>
      <w:r>
        <w:rPr>
          <w:spacing w:val="-6"/>
        </w:rPr>
        <w:t> </w:t>
      </w:r>
      <w:r>
        <w:rPr/>
        <w:t>OTRAS</w:t>
      </w:r>
      <w:r>
        <w:rPr>
          <w:spacing w:val="-6"/>
        </w:rPr>
        <w:t> </w:t>
      </w:r>
      <w:r>
        <w:rPr>
          <w:spacing w:val="-2"/>
        </w:rPr>
        <w:t>ACTUACIONES</w:t>
      </w:r>
    </w:p>
    <w:p>
      <w:pPr>
        <w:pStyle w:val="BodyText"/>
        <w:spacing w:before="11"/>
        <w:rPr>
          <w:b/>
          <w:sz w:val="20"/>
        </w:rPr>
      </w:pPr>
    </w:p>
    <w:tbl>
      <w:tblPr>
        <w:tblW w:w="0" w:type="auto"/>
        <w:jc w:val="left"/>
        <w:tblInd w:w="9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18"/>
        <w:gridCol w:w="2909"/>
        <w:gridCol w:w="1213"/>
        <w:gridCol w:w="1184"/>
        <w:gridCol w:w="1125"/>
        <w:gridCol w:w="927"/>
        <w:gridCol w:w="1007"/>
      </w:tblGrid>
      <w:tr>
        <w:trPr>
          <w:trHeight w:val="275" w:hRule="atLeast"/>
        </w:trPr>
        <w:tc>
          <w:tcPr>
            <w:tcW w:w="1418" w:type="dxa"/>
            <w:shd w:val="clear" w:color="auto" w:fill="002D5D"/>
          </w:tcPr>
          <w:p>
            <w:pPr>
              <w:pStyle w:val="TableParagraph"/>
              <w:rPr>
                <w:rFonts w:ascii="Times New Roman"/>
                <w:sz w:val="20"/>
              </w:rPr>
            </w:pPr>
          </w:p>
        </w:tc>
        <w:tc>
          <w:tcPr>
            <w:tcW w:w="2909" w:type="dxa"/>
            <w:shd w:val="clear" w:color="auto" w:fill="002D5D"/>
          </w:tcPr>
          <w:p>
            <w:pPr>
              <w:pStyle w:val="TableParagraph"/>
              <w:rPr>
                <w:rFonts w:ascii="Times New Roman"/>
                <w:sz w:val="20"/>
              </w:rPr>
            </w:pPr>
          </w:p>
        </w:tc>
        <w:tc>
          <w:tcPr>
            <w:tcW w:w="1213" w:type="dxa"/>
            <w:vMerge w:val="restart"/>
            <w:shd w:val="clear" w:color="auto" w:fill="002D5D"/>
          </w:tcPr>
          <w:p>
            <w:pPr>
              <w:pStyle w:val="TableParagraph"/>
              <w:spacing w:before="59"/>
              <w:ind w:left="166" w:right="110" w:firstLine="2"/>
              <w:jc w:val="center"/>
              <w:rPr>
                <w:b/>
                <w:sz w:val="18"/>
              </w:rPr>
            </w:pPr>
            <w:r>
              <w:rPr>
                <w:b/>
                <w:color w:val="FFFFFF"/>
                <w:spacing w:val="-6"/>
                <w:sz w:val="18"/>
              </w:rPr>
              <w:t>Nº</w:t>
            </w:r>
            <w:r>
              <w:rPr>
                <w:b/>
                <w:color w:val="FFFFFF"/>
                <w:sz w:val="18"/>
              </w:rPr>
              <w:t> </w:t>
            </w:r>
            <w:r>
              <w:rPr>
                <w:b/>
                <w:color w:val="FFFFFF"/>
                <w:spacing w:val="-2"/>
                <w:sz w:val="18"/>
              </w:rPr>
              <w:t>CONTRATOS</w:t>
            </w:r>
            <w:r>
              <w:rPr>
                <w:b/>
                <w:color w:val="FFFFFF"/>
                <w:sz w:val="18"/>
              </w:rPr>
              <w:t> </w:t>
            </w:r>
            <w:r>
              <w:rPr>
                <w:b/>
                <w:color w:val="FFFFFF"/>
                <w:spacing w:val="-2"/>
                <w:sz w:val="18"/>
              </w:rPr>
              <w:t>ASOCIADOS</w:t>
            </w:r>
          </w:p>
        </w:tc>
        <w:tc>
          <w:tcPr>
            <w:tcW w:w="1184" w:type="dxa"/>
            <w:shd w:val="clear" w:color="auto" w:fill="002D5D"/>
          </w:tcPr>
          <w:p>
            <w:pPr>
              <w:pStyle w:val="TableParagraph"/>
              <w:rPr>
                <w:rFonts w:ascii="Times New Roman"/>
                <w:sz w:val="20"/>
              </w:rPr>
            </w:pPr>
          </w:p>
        </w:tc>
        <w:tc>
          <w:tcPr>
            <w:tcW w:w="2052" w:type="dxa"/>
            <w:gridSpan w:val="2"/>
            <w:shd w:val="clear" w:color="auto" w:fill="002D5D"/>
          </w:tcPr>
          <w:p>
            <w:pPr>
              <w:pStyle w:val="TableParagraph"/>
              <w:spacing w:before="35"/>
              <w:ind w:left="460"/>
              <w:rPr>
                <w:b/>
                <w:sz w:val="18"/>
              </w:rPr>
            </w:pPr>
            <w:r>
              <w:rPr>
                <w:b/>
                <w:color w:val="FFFFFF"/>
                <w:spacing w:val="-2"/>
                <w:sz w:val="18"/>
              </w:rPr>
              <w:t>FINANCIACIÓN</w:t>
            </w:r>
          </w:p>
        </w:tc>
        <w:tc>
          <w:tcPr>
            <w:tcW w:w="1007" w:type="dxa"/>
            <w:vMerge w:val="restart"/>
            <w:shd w:val="clear" w:color="auto" w:fill="002D5D"/>
          </w:tcPr>
          <w:p>
            <w:pPr>
              <w:pStyle w:val="TableParagraph"/>
              <w:spacing w:before="59"/>
              <w:ind w:left="72" w:right="72"/>
              <w:jc w:val="both"/>
              <w:rPr>
                <w:b/>
                <w:sz w:val="18"/>
              </w:rPr>
            </w:pPr>
            <w:r>
              <w:rPr>
                <w:b/>
                <w:color w:val="FFFFFF"/>
                <w:sz w:val="18"/>
              </w:rPr>
              <w:t>ESTADO</w:t>
            </w:r>
            <w:r>
              <w:rPr>
                <w:b/>
                <w:color w:val="FFFFFF"/>
                <w:spacing w:val="-11"/>
                <w:sz w:val="18"/>
              </w:rPr>
              <w:t> </w:t>
            </w:r>
            <w:r>
              <w:rPr>
                <w:b/>
                <w:color w:val="FFFFFF"/>
                <w:sz w:val="18"/>
              </w:rPr>
              <w:t>DE </w:t>
            </w:r>
            <w:r>
              <w:rPr>
                <w:b/>
                <w:color w:val="FFFFFF"/>
                <w:spacing w:val="-2"/>
                <w:sz w:val="18"/>
              </w:rPr>
              <w:t>EJECUCIÓN</w:t>
            </w:r>
            <w:r>
              <w:rPr>
                <w:b/>
                <w:color w:val="FFFFFF"/>
                <w:sz w:val="18"/>
              </w:rPr>
              <w:t> A</w:t>
            </w:r>
            <w:r>
              <w:rPr>
                <w:b/>
                <w:color w:val="FFFFFF"/>
                <w:spacing w:val="-2"/>
                <w:sz w:val="18"/>
              </w:rPr>
              <w:t> </w:t>
            </w:r>
            <w:r>
              <w:rPr>
                <w:b/>
                <w:color w:val="FFFFFF"/>
                <w:sz w:val="18"/>
              </w:rPr>
              <w:t>31-12-24</w:t>
            </w:r>
          </w:p>
        </w:tc>
      </w:tr>
      <w:tr>
        <w:trPr>
          <w:trHeight w:val="463" w:hRule="atLeast"/>
        </w:trPr>
        <w:tc>
          <w:tcPr>
            <w:tcW w:w="1418" w:type="dxa"/>
            <w:shd w:val="clear" w:color="auto" w:fill="002D5D"/>
          </w:tcPr>
          <w:p>
            <w:pPr>
              <w:pStyle w:val="TableParagraph"/>
              <w:spacing w:line="197" w:lineRule="exact"/>
              <w:ind w:left="112"/>
              <w:rPr>
                <w:b/>
                <w:sz w:val="18"/>
              </w:rPr>
            </w:pPr>
            <w:r>
              <w:rPr>
                <w:b/>
                <w:color w:val="FFFFFF"/>
                <w:spacing w:val="-2"/>
                <w:sz w:val="18"/>
              </w:rPr>
              <w:t>AYUNTAMIENTO</w:t>
            </w:r>
          </w:p>
        </w:tc>
        <w:tc>
          <w:tcPr>
            <w:tcW w:w="2909" w:type="dxa"/>
            <w:shd w:val="clear" w:color="auto" w:fill="002D5D"/>
          </w:tcPr>
          <w:p>
            <w:pPr>
              <w:pStyle w:val="TableParagraph"/>
              <w:spacing w:line="197" w:lineRule="exact"/>
              <w:ind w:right="371"/>
              <w:jc w:val="right"/>
              <w:rPr>
                <w:b/>
                <w:sz w:val="18"/>
              </w:rPr>
            </w:pPr>
            <w:r>
              <w:rPr>
                <w:b/>
                <w:color w:val="FFFFFF"/>
                <w:sz w:val="18"/>
              </w:rPr>
              <w:t>DENOMINACIÓN</w:t>
            </w:r>
            <w:r>
              <w:rPr>
                <w:b/>
                <w:color w:val="FFFFFF"/>
                <w:spacing w:val="-5"/>
                <w:sz w:val="18"/>
              </w:rPr>
              <w:t> </w:t>
            </w:r>
            <w:r>
              <w:rPr>
                <w:b/>
                <w:color w:val="FFFFFF"/>
                <w:spacing w:val="-2"/>
                <w:sz w:val="18"/>
              </w:rPr>
              <w:t>ACTUACIÓN</w:t>
            </w:r>
          </w:p>
        </w:tc>
        <w:tc>
          <w:tcPr>
            <w:tcW w:w="1213" w:type="dxa"/>
            <w:vMerge/>
            <w:tcBorders>
              <w:top w:val="nil"/>
            </w:tcBorders>
            <w:shd w:val="clear" w:color="auto" w:fill="002D5D"/>
          </w:tcPr>
          <w:p>
            <w:pPr>
              <w:rPr>
                <w:sz w:val="2"/>
                <w:szCs w:val="2"/>
              </w:rPr>
            </w:pPr>
          </w:p>
        </w:tc>
        <w:tc>
          <w:tcPr>
            <w:tcW w:w="1184" w:type="dxa"/>
            <w:shd w:val="clear" w:color="auto" w:fill="002D5D"/>
          </w:tcPr>
          <w:p>
            <w:pPr>
              <w:pStyle w:val="TableParagraph"/>
              <w:spacing w:line="197" w:lineRule="exact"/>
              <w:ind w:right="174"/>
              <w:jc w:val="right"/>
              <w:rPr>
                <w:b/>
                <w:sz w:val="18"/>
              </w:rPr>
            </w:pPr>
            <w:r>
              <w:rPr>
                <w:b/>
                <w:color w:val="FFFFFF"/>
                <w:sz w:val="18"/>
              </w:rPr>
              <w:t>IMPORTE</w:t>
            </w:r>
            <w:r>
              <w:rPr>
                <w:b/>
                <w:color w:val="FFFFFF"/>
                <w:spacing w:val="-5"/>
                <w:sz w:val="18"/>
              </w:rPr>
              <w:t> (€)</w:t>
            </w:r>
          </w:p>
        </w:tc>
        <w:tc>
          <w:tcPr>
            <w:tcW w:w="1125" w:type="dxa"/>
            <w:shd w:val="clear" w:color="auto" w:fill="002D5D"/>
          </w:tcPr>
          <w:p>
            <w:pPr>
              <w:pStyle w:val="TableParagraph"/>
              <w:spacing w:before="136"/>
              <w:ind w:left="206"/>
              <w:rPr>
                <w:b/>
                <w:sz w:val="18"/>
              </w:rPr>
            </w:pPr>
            <w:r>
              <w:rPr>
                <w:b/>
                <w:color w:val="FFFFFF"/>
                <w:sz w:val="18"/>
              </w:rPr>
              <w:t>Ayto.</w:t>
            </w:r>
            <w:r>
              <w:rPr>
                <w:b/>
                <w:color w:val="FFFFFF"/>
                <w:spacing w:val="-1"/>
                <w:sz w:val="18"/>
              </w:rPr>
              <w:t> </w:t>
            </w:r>
            <w:r>
              <w:rPr>
                <w:b/>
                <w:color w:val="FFFFFF"/>
                <w:spacing w:val="-5"/>
                <w:sz w:val="18"/>
              </w:rPr>
              <w:t>(€)</w:t>
            </w:r>
          </w:p>
        </w:tc>
        <w:tc>
          <w:tcPr>
            <w:tcW w:w="927" w:type="dxa"/>
            <w:shd w:val="clear" w:color="auto" w:fill="002D5D"/>
          </w:tcPr>
          <w:p>
            <w:pPr>
              <w:pStyle w:val="TableParagraph"/>
              <w:spacing w:before="33"/>
              <w:ind w:left="166"/>
              <w:rPr>
                <w:b/>
                <w:sz w:val="18"/>
              </w:rPr>
            </w:pPr>
            <w:r>
              <w:rPr>
                <w:b/>
                <w:color w:val="FFFFFF"/>
                <w:sz w:val="18"/>
              </w:rPr>
              <w:t>PRTR</w:t>
            </w:r>
            <w:r>
              <w:rPr>
                <w:b/>
                <w:color w:val="FFFFFF"/>
                <w:spacing w:val="-5"/>
                <w:sz w:val="18"/>
              </w:rPr>
              <w:t> </w:t>
            </w:r>
            <w:r>
              <w:rPr>
                <w:b/>
                <w:color w:val="FFFFFF"/>
                <w:spacing w:val="-10"/>
                <w:sz w:val="18"/>
              </w:rPr>
              <w:t>y</w:t>
            </w:r>
          </w:p>
          <w:p>
            <w:pPr>
              <w:pStyle w:val="TableParagraph"/>
              <w:spacing w:line="204" w:lineRule="exact"/>
              <w:ind w:left="137"/>
              <w:rPr>
                <w:b/>
                <w:sz w:val="18"/>
              </w:rPr>
            </w:pPr>
            <w:r>
              <w:rPr>
                <w:b/>
                <w:color w:val="FFFFFF"/>
                <w:sz w:val="18"/>
              </w:rPr>
              <w:t>otras </w:t>
            </w:r>
            <w:r>
              <w:rPr>
                <w:b/>
                <w:color w:val="FFFFFF"/>
                <w:spacing w:val="-5"/>
                <w:sz w:val="18"/>
              </w:rPr>
              <w:t>(€)</w:t>
            </w:r>
          </w:p>
        </w:tc>
        <w:tc>
          <w:tcPr>
            <w:tcW w:w="1007" w:type="dxa"/>
            <w:vMerge/>
            <w:tcBorders>
              <w:top w:val="nil"/>
            </w:tcBorders>
            <w:shd w:val="clear" w:color="auto" w:fill="002D5D"/>
          </w:tcPr>
          <w:p>
            <w:pPr>
              <w:rPr>
                <w:sz w:val="2"/>
                <w:szCs w:val="2"/>
              </w:rPr>
            </w:pPr>
          </w:p>
        </w:tc>
      </w:tr>
      <w:tr>
        <w:trPr>
          <w:trHeight w:val="412" w:hRule="atLeast"/>
        </w:trPr>
        <w:tc>
          <w:tcPr>
            <w:tcW w:w="1418" w:type="dxa"/>
          </w:tcPr>
          <w:p>
            <w:pPr>
              <w:pStyle w:val="TableParagraph"/>
              <w:rPr>
                <w:rFonts w:ascii="Times New Roman"/>
                <w:sz w:val="20"/>
              </w:rPr>
            </w:pPr>
          </w:p>
        </w:tc>
        <w:tc>
          <w:tcPr>
            <w:tcW w:w="2909" w:type="dxa"/>
            <w:tcBorders>
              <w:bottom w:val="single" w:sz="4" w:space="0" w:color="001F5F"/>
            </w:tcBorders>
          </w:tcPr>
          <w:p>
            <w:pPr>
              <w:pStyle w:val="TableParagraph"/>
              <w:spacing w:line="206" w:lineRule="exact"/>
              <w:ind w:left="69"/>
              <w:rPr>
                <w:sz w:val="18"/>
              </w:rPr>
            </w:pPr>
            <w:r>
              <w:rPr>
                <w:sz w:val="18"/>
              </w:rPr>
              <w:t>Implantación</w:t>
            </w:r>
            <w:r>
              <w:rPr>
                <w:spacing w:val="-11"/>
                <w:sz w:val="18"/>
              </w:rPr>
              <w:t> </w:t>
            </w:r>
            <w:r>
              <w:rPr>
                <w:sz w:val="18"/>
              </w:rPr>
              <w:t>Sistema</w:t>
            </w:r>
            <w:r>
              <w:rPr>
                <w:spacing w:val="-10"/>
                <w:sz w:val="18"/>
              </w:rPr>
              <w:t> </w:t>
            </w:r>
            <w:r>
              <w:rPr>
                <w:sz w:val="18"/>
              </w:rPr>
              <w:t>Gestión</w:t>
            </w:r>
            <w:r>
              <w:rPr>
                <w:spacing w:val="-10"/>
                <w:sz w:val="18"/>
              </w:rPr>
              <w:t> </w:t>
            </w:r>
            <w:r>
              <w:rPr>
                <w:sz w:val="18"/>
              </w:rPr>
              <w:t>Ambiental conforme a la norma ISO 14001</w:t>
            </w:r>
          </w:p>
        </w:tc>
        <w:tc>
          <w:tcPr>
            <w:tcW w:w="1213" w:type="dxa"/>
            <w:tcBorders>
              <w:bottom w:val="single" w:sz="4" w:space="0" w:color="001F5F"/>
            </w:tcBorders>
          </w:tcPr>
          <w:p>
            <w:pPr>
              <w:pStyle w:val="TableParagraph"/>
              <w:spacing w:before="102"/>
              <w:ind w:right="419"/>
              <w:jc w:val="right"/>
              <w:rPr>
                <w:sz w:val="18"/>
              </w:rPr>
            </w:pPr>
            <w:r>
              <w:rPr>
                <w:spacing w:val="-10"/>
                <w:sz w:val="18"/>
              </w:rPr>
              <w:t>1</w:t>
            </w:r>
          </w:p>
        </w:tc>
        <w:tc>
          <w:tcPr>
            <w:tcW w:w="1184" w:type="dxa"/>
            <w:tcBorders>
              <w:bottom w:val="single" w:sz="4" w:space="0" w:color="001F5F"/>
            </w:tcBorders>
          </w:tcPr>
          <w:p>
            <w:pPr>
              <w:pStyle w:val="TableParagraph"/>
              <w:spacing w:before="102"/>
              <w:ind w:right="124"/>
              <w:jc w:val="right"/>
              <w:rPr>
                <w:sz w:val="18"/>
              </w:rPr>
            </w:pPr>
            <w:r>
              <w:rPr>
                <w:spacing w:val="-2"/>
                <w:sz w:val="18"/>
              </w:rPr>
              <w:t>9.213,00</w:t>
            </w:r>
          </w:p>
        </w:tc>
        <w:tc>
          <w:tcPr>
            <w:tcW w:w="1125" w:type="dxa"/>
            <w:tcBorders>
              <w:bottom w:val="single" w:sz="4" w:space="0" w:color="001F5F"/>
            </w:tcBorders>
          </w:tcPr>
          <w:p>
            <w:pPr>
              <w:pStyle w:val="TableParagraph"/>
              <w:spacing w:before="102"/>
              <w:ind w:right="135"/>
              <w:jc w:val="right"/>
              <w:rPr>
                <w:sz w:val="18"/>
              </w:rPr>
            </w:pPr>
            <w:r>
              <w:rPr>
                <w:spacing w:val="-2"/>
                <w:sz w:val="18"/>
              </w:rPr>
              <w:t>9.213,00</w:t>
            </w:r>
          </w:p>
        </w:tc>
        <w:tc>
          <w:tcPr>
            <w:tcW w:w="927" w:type="dxa"/>
            <w:tcBorders>
              <w:bottom w:val="single" w:sz="4" w:space="0" w:color="001F5F"/>
            </w:tcBorders>
          </w:tcPr>
          <w:p>
            <w:pPr>
              <w:pStyle w:val="TableParagraph"/>
              <w:spacing w:before="102"/>
              <w:ind w:right="71"/>
              <w:jc w:val="right"/>
              <w:rPr>
                <w:sz w:val="18"/>
              </w:rPr>
            </w:pPr>
            <w:r>
              <w:rPr>
                <w:spacing w:val="-4"/>
                <w:sz w:val="18"/>
              </w:rPr>
              <w:t>0,00</w:t>
            </w:r>
          </w:p>
        </w:tc>
        <w:tc>
          <w:tcPr>
            <w:tcW w:w="1007" w:type="dxa"/>
            <w:tcBorders>
              <w:bottom w:val="single" w:sz="4" w:space="0" w:color="001F5F"/>
            </w:tcBorders>
          </w:tcPr>
          <w:p>
            <w:pPr>
              <w:pStyle w:val="TableParagraph"/>
              <w:spacing w:before="102"/>
              <w:jc w:val="center"/>
              <w:rPr>
                <w:sz w:val="18"/>
              </w:rPr>
            </w:pPr>
            <w:r>
              <w:rPr>
                <w:spacing w:val="-2"/>
                <w:sz w:val="18"/>
              </w:rPr>
              <w:t>Finalizada</w:t>
            </w:r>
          </w:p>
        </w:tc>
      </w:tr>
      <w:tr>
        <w:trPr>
          <w:trHeight w:val="412" w:hRule="atLeast"/>
        </w:trPr>
        <w:tc>
          <w:tcPr>
            <w:tcW w:w="1418" w:type="dxa"/>
          </w:tcPr>
          <w:p>
            <w:pPr>
              <w:pStyle w:val="TableParagraph"/>
              <w:spacing w:before="102"/>
              <w:ind w:left="69"/>
              <w:rPr>
                <w:b/>
                <w:sz w:val="18"/>
              </w:rPr>
            </w:pPr>
            <w:r>
              <w:rPr>
                <w:b/>
                <w:spacing w:val="-2"/>
                <w:sz w:val="18"/>
              </w:rPr>
              <w:t>ALICANTE</w:t>
            </w:r>
          </w:p>
        </w:tc>
        <w:tc>
          <w:tcPr>
            <w:tcW w:w="2909" w:type="dxa"/>
            <w:tcBorders>
              <w:top w:val="single" w:sz="4" w:space="0" w:color="001F5F"/>
              <w:bottom w:val="single" w:sz="4" w:space="0" w:color="001F5F"/>
            </w:tcBorders>
          </w:tcPr>
          <w:p>
            <w:pPr>
              <w:pStyle w:val="TableParagraph"/>
              <w:spacing w:line="206" w:lineRule="exact"/>
              <w:ind w:left="69"/>
              <w:rPr>
                <w:sz w:val="18"/>
              </w:rPr>
            </w:pPr>
            <w:r>
              <w:rPr>
                <w:sz w:val="18"/>
              </w:rPr>
              <w:t>Puesta en marcha Transporte a la Demanda</w:t>
            </w:r>
            <w:r>
              <w:rPr>
                <w:spacing w:val="-8"/>
                <w:sz w:val="18"/>
              </w:rPr>
              <w:t> </w:t>
            </w:r>
            <w:r>
              <w:rPr>
                <w:sz w:val="18"/>
              </w:rPr>
              <w:t>en</w:t>
            </w:r>
            <w:r>
              <w:rPr>
                <w:spacing w:val="-8"/>
                <w:sz w:val="18"/>
              </w:rPr>
              <w:t> </w:t>
            </w:r>
            <w:r>
              <w:rPr>
                <w:sz w:val="18"/>
              </w:rPr>
              <w:t>partidas</w:t>
            </w:r>
            <w:r>
              <w:rPr>
                <w:spacing w:val="-8"/>
                <w:sz w:val="18"/>
              </w:rPr>
              <w:t> </w:t>
            </w:r>
            <w:r>
              <w:rPr>
                <w:sz w:val="18"/>
              </w:rPr>
              <w:t>rurales</w:t>
            </w:r>
            <w:r>
              <w:rPr>
                <w:spacing w:val="-8"/>
                <w:sz w:val="18"/>
              </w:rPr>
              <w:t> </w:t>
            </w:r>
            <w:r>
              <w:rPr>
                <w:sz w:val="18"/>
              </w:rPr>
              <w:t>de</w:t>
            </w:r>
            <w:r>
              <w:rPr>
                <w:spacing w:val="-8"/>
                <w:sz w:val="18"/>
              </w:rPr>
              <w:t> </w:t>
            </w:r>
            <w:r>
              <w:rPr>
                <w:sz w:val="18"/>
              </w:rPr>
              <w:t>Alicante</w:t>
            </w:r>
          </w:p>
        </w:tc>
        <w:tc>
          <w:tcPr>
            <w:tcW w:w="1213" w:type="dxa"/>
            <w:tcBorders>
              <w:top w:val="single" w:sz="4" w:space="0" w:color="001F5F"/>
              <w:bottom w:val="single" w:sz="4" w:space="0" w:color="001F5F"/>
            </w:tcBorders>
          </w:tcPr>
          <w:p>
            <w:pPr>
              <w:pStyle w:val="TableParagraph"/>
              <w:spacing w:before="102"/>
              <w:ind w:right="419"/>
              <w:jc w:val="right"/>
              <w:rPr>
                <w:sz w:val="18"/>
              </w:rPr>
            </w:pPr>
            <w:r>
              <w:rPr>
                <w:spacing w:val="-10"/>
                <w:sz w:val="18"/>
              </w:rPr>
              <w:t>1</w:t>
            </w:r>
          </w:p>
        </w:tc>
        <w:tc>
          <w:tcPr>
            <w:tcW w:w="1184" w:type="dxa"/>
            <w:tcBorders>
              <w:top w:val="single" w:sz="4" w:space="0" w:color="001F5F"/>
              <w:bottom w:val="single" w:sz="4" w:space="0" w:color="001F5F"/>
            </w:tcBorders>
          </w:tcPr>
          <w:p>
            <w:pPr>
              <w:pStyle w:val="TableParagraph"/>
              <w:spacing w:before="102"/>
              <w:ind w:right="125"/>
              <w:jc w:val="right"/>
              <w:rPr>
                <w:sz w:val="18"/>
              </w:rPr>
            </w:pPr>
            <w:r>
              <w:rPr>
                <w:spacing w:val="-2"/>
                <w:sz w:val="18"/>
              </w:rPr>
              <w:t>408.397,49</w:t>
            </w:r>
          </w:p>
        </w:tc>
        <w:tc>
          <w:tcPr>
            <w:tcW w:w="1125" w:type="dxa"/>
            <w:tcBorders>
              <w:top w:val="single" w:sz="4" w:space="0" w:color="001F5F"/>
              <w:bottom w:val="single" w:sz="4" w:space="0" w:color="001F5F"/>
            </w:tcBorders>
          </w:tcPr>
          <w:p>
            <w:pPr>
              <w:pStyle w:val="TableParagraph"/>
              <w:spacing w:before="102"/>
              <w:ind w:right="135"/>
              <w:jc w:val="right"/>
              <w:rPr>
                <w:sz w:val="18"/>
              </w:rPr>
            </w:pPr>
            <w:r>
              <w:rPr>
                <w:spacing w:val="-2"/>
                <w:sz w:val="18"/>
              </w:rPr>
              <w:t>408.397,49</w:t>
            </w:r>
          </w:p>
        </w:tc>
        <w:tc>
          <w:tcPr>
            <w:tcW w:w="927" w:type="dxa"/>
            <w:tcBorders>
              <w:top w:val="single" w:sz="4" w:space="0" w:color="001F5F"/>
              <w:bottom w:val="single" w:sz="4" w:space="0" w:color="001F5F"/>
            </w:tcBorders>
          </w:tcPr>
          <w:p>
            <w:pPr>
              <w:pStyle w:val="TableParagraph"/>
              <w:spacing w:before="102"/>
              <w:ind w:right="71"/>
              <w:jc w:val="right"/>
              <w:rPr>
                <w:sz w:val="18"/>
              </w:rPr>
            </w:pPr>
            <w:r>
              <w:rPr>
                <w:spacing w:val="-4"/>
                <w:sz w:val="18"/>
              </w:rPr>
              <w:t>0,00</w:t>
            </w:r>
          </w:p>
        </w:tc>
        <w:tc>
          <w:tcPr>
            <w:tcW w:w="1007" w:type="dxa"/>
            <w:tcBorders>
              <w:top w:val="single" w:sz="4" w:space="0" w:color="001F5F"/>
              <w:bottom w:val="single" w:sz="4" w:space="0" w:color="001F5F"/>
            </w:tcBorders>
          </w:tcPr>
          <w:p>
            <w:pPr>
              <w:pStyle w:val="TableParagraph"/>
              <w:spacing w:before="102"/>
              <w:jc w:val="center"/>
              <w:rPr>
                <w:sz w:val="18"/>
              </w:rPr>
            </w:pPr>
            <w:r>
              <w:rPr>
                <w:spacing w:val="-2"/>
                <w:sz w:val="18"/>
              </w:rPr>
              <w:t>Finalizada</w:t>
            </w:r>
          </w:p>
        </w:tc>
      </w:tr>
      <w:tr>
        <w:trPr>
          <w:trHeight w:val="414" w:hRule="atLeast"/>
        </w:trPr>
        <w:tc>
          <w:tcPr>
            <w:tcW w:w="1418" w:type="dxa"/>
            <w:tcBorders>
              <w:bottom w:val="single" w:sz="4" w:space="0" w:color="001F5F"/>
            </w:tcBorders>
          </w:tcPr>
          <w:p>
            <w:pPr>
              <w:pStyle w:val="TableParagraph"/>
              <w:rPr>
                <w:rFonts w:ascii="Times New Roman"/>
                <w:sz w:val="20"/>
              </w:rPr>
            </w:pPr>
          </w:p>
        </w:tc>
        <w:tc>
          <w:tcPr>
            <w:tcW w:w="2909" w:type="dxa"/>
            <w:tcBorders>
              <w:top w:val="single" w:sz="4" w:space="0" w:color="001F5F"/>
              <w:bottom w:val="single" w:sz="4" w:space="0" w:color="001F5F"/>
            </w:tcBorders>
          </w:tcPr>
          <w:p>
            <w:pPr>
              <w:pStyle w:val="TableParagraph"/>
              <w:spacing w:line="208" w:lineRule="exact"/>
              <w:ind w:left="69"/>
              <w:rPr>
                <w:sz w:val="18"/>
              </w:rPr>
            </w:pPr>
            <w:r>
              <w:rPr>
                <w:sz w:val="18"/>
              </w:rPr>
              <w:t>Aumento</w:t>
            </w:r>
            <w:r>
              <w:rPr>
                <w:spacing w:val="-6"/>
                <w:sz w:val="18"/>
              </w:rPr>
              <w:t> </w:t>
            </w:r>
            <w:r>
              <w:rPr>
                <w:sz w:val="18"/>
              </w:rPr>
              <w:t>de</w:t>
            </w:r>
            <w:r>
              <w:rPr>
                <w:spacing w:val="-6"/>
                <w:sz w:val="18"/>
              </w:rPr>
              <w:t> </w:t>
            </w:r>
            <w:r>
              <w:rPr>
                <w:sz w:val="18"/>
              </w:rPr>
              <w:t>la</w:t>
            </w:r>
            <w:r>
              <w:rPr>
                <w:spacing w:val="-6"/>
                <w:sz w:val="18"/>
              </w:rPr>
              <w:t> </w:t>
            </w:r>
            <w:r>
              <w:rPr>
                <w:sz w:val="18"/>
              </w:rPr>
              <w:t>extensión</w:t>
            </w:r>
            <w:r>
              <w:rPr>
                <w:spacing w:val="-6"/>
                <w:sz w:val="18"/>
              </w:rPr>
              <w:t> </w:t>
            </w:r>
            <w:r>
              <w:rPr>
                <w:sz w:val="18"/>
              </w:rPr>
              <w:t>de</w:t>
            </w:r>
            <w:r>
              <w:rPr>
                <w:spacing w:val="-6"/>
                <w:sz w:val="18"/>
              </w:rPr>
              <w:t> </w:t>
            </w:r>
            <w:r>
              <w:rPr>
                <w:sz w:val="18"/>
              </w:rPr>
              <w:t>la</w:t>
            </w:r>
            <w:r>
              <w:rPr>
                <w:spacing w:val="-6"/>
                <w:sz w:val="18"/>
              </w:rPr>
              <w:t> </w:t>
            </w:r>
            <w:r>
              <w:rPr>
                <w:sz w:val="18"/>
              </w:rPr>
              <w:t>red</w:t>
            </w:r>
            <w:r>
              <w:rPr>
                <w:spacing w:val="-6"/>
                <w:sz w:val="18"/>
              </w:rPr>
              <w:t> </w:t>
            </w:r>
            <w:r>
              <w:rPr>
                <w:sz w:val="18"/>
              </w:rPr>
              <w:t>de transporte</w:t>
            </w:r>
            <w:r>
              <w:rPr>
                <w:spacing w:val="-2"/>
                <w:sz w:val="18"/>
              </w:rPr>
              <w:t> </w:t>
            </w:r>
            <w:r>
              <w:rPr>
                <w:sz w:val="18"/>
              </w:rPr>
              <w:t>urbano</w:t>
            </w:r>
          </w:p>
        </w:tc>
        <w:tc>
          <w:tcPr>
            <w:tcW w:w="1213" w:type="dxa"/>
            <w:tcBorders>
              <w:top w:val="single" w:sz="4" w:space="0" w:color="001F5F"/>
              <w:bottom w:val="single" w:sz="4" w:space="0" w:color="001F5F"/>
            </w:tcBorders>
          </w:tcPr>
          <w:p>
            <w:pPr>
              <w:pStyle w:val="TableParagraph"/>
              <w:spacing w:before="104"/>
              <w:ind w:right="419"/>
              <w:jc w:val="right"/>
              <w:rPr>
                <w:sz w:val="18"/>
              </w:rPr>
            </w:pPr>
            <w:r>
              <w:rPr>
                <w:spacing w:val="-10"/>
                <w:sz w:val="18"/>
              </w:rPr>
              <w:t>1</w:t>
            </w:r>
          </w:p>
        </w:tc>
        <w:tc>
          <w:tcPr>
            <w:tcW w:w="1184" w:type="dxa"/>
            <w:tcBorders>
              <w:top w:val="single" w:sz="4" w:space="0" w:color="001F5F"/>
              <w:bottom w:val="single" w:sz="4" w:space="0" w:color="001F5F"/>
            </w:tcBorders>
          </w:tcPr>
          <w:p>
            <w:pPr>
              <w:pStyle w:val="TableParagraph"/>
              <w:spacing w:before="104"/>
              <w:ind w:right="125"/>
              <w:jc w:val="right"/>
              <w:rPr>
                <w:sz w:val="18"/>
              </w:rPr>
            </w:pPr>
            <w:r>
              <w:rPr>
                <w:spacing w:val="-2"/>
                <w:sz w:val="18"/>
              </w:rPr>
              <w:t>3.420.248,31</w:t>
            </w:r>
          </w:p>
        </w:tc>
        <w:tc>
          <w:tcPr>
            <w:tcW w:w="1125" w:type="dxa"/>
            <w:tcBorders>
              <w:top w:val="single" w:sz="4" w:space="0" w:color="001F5F"/>
              <w:bottom w:val="single" w:sz="4" w:space="0" w:color="001F5F"/>
            </w:tcBorders>
          </w:tcPr>
          <w:p>
            <w:pPr>
              <w:pStyle w:val="TableParagraph"/>
              <w:spacing w:before="104"/>
              <w:ind w:right="135"/>
              <w:jc w:val="right"/>
              <w:rPr>
                <w:sz w:val="18"/>
              </w:rPr>
            </w:pPr>
            <w:r>
              <w:rPr>
                <w:spacing w:val="-2"/>
                <w:sz w:val="18"/>
              </w:rPr>
              <w:t>3.420.248,31</w:t>
            </w:r>
          </w:p>
        </w:tc>
        <w:tc>
          <w:tcPr>
            <w:tcW w:w="927" w:type="dxa"/>
            <w:tcBorders>
              <w:top w:val="single" w:sz="4" w:space="0" w:color="001F5F"/>
              <w:bottom w:val="single" w:sz="4" w:space="0" w:color="001F5F"/>
            </w:tcBorders>
          </w:tcPr>
          <w:p>
            <w:pPr>
              <w:pStyle w:val="TableParagraph"/>
              <w:spacing w:before="104"/>
              <w:ind w:right="71"/>
              <w:jc w:val="right"/>
              <w:rPr>
                <w:sz w:val="18"/>
              </w:rPr>
            </w:pPr>
            <w:r>
              <w:rPr>
                <w:spacing w:val="-4"/>
                <w:sz w:val="18"/>
              </w:rPr>
              <w:t>0,00</w:t>
            </w:r>
          </w:p>
        </w:tc>
        <w:tc>
          <w:tcPr>
            <w:tcW w:w="1007" w:type="dxa"/>
            <w:tcBorders>
              <w:top w:val="single" w:sz="4" w:space="0" w:color="001F5F"/>
              <w:bottom w:val="single" w:sz="4" w:space="0" w:color="001F5F"/>
            </w:tcBorders>
          </w:tcPr>
          <w:p>
            <w:pPr>
              <w:pStyle w:val="TableParagraph"/>
              <w:spacing w:before="104"/>
              <w:jc w:val="center"/>
              <w:rPr>
                <w:sz w:val="18"/>
              </w:rPr>
            </w:pPr>
            <w:r>
              <w:rPr>
                <w:spacing w:val="-2"/>
                <w:sz w:val="18"/>
              </w:rPr>
              <w:t>Finalizada</w:t>
            </w:r>
          </w:p>
        </w:tc>
      </w:tr>
      <w:tr>
        <w:trPr>
          <w:trHeight w:val="618" w:hRule="atLeast"/>
        </w:trPr>
        <w:tc>
          <w:tcPr>
            <w:tcW w:w="1418" w:type="dxa"/>
            <w:tcBorders>
              <w:top w:val="single" w:sz="4" w:space="0" w:color="001F5F"/>
              <w:bottom w:val="single" w:sz="4" w:space="0" w:color="001F5F"/>
            </w:tcBorders>
          </w:tcPr>
          <w:p>
            <w:pPr>
              <w:pStyle w:val="TableParagraph"/>
              <w:spacing w:before="101"/>
              <w:ind w:left="69"/>
              <w:rPr>
                <w:b/>
                <w:sz w:val="18"/>
              </w:rPr>
            </w:pPr>
            <w:r>
              <w:rPr>
                <w:b/>
                <w:sz w:val="18"/>
              </w:rPr>
              <w:t>LAS</w:t>
            </w:r>
            <w:r>
              <w:rPr>
                <w:b/>
                <w:spacing w:val="-11"/>
                <w:sz w:val="18"/>
              </w:rPr>
              <w:t> </w:t>
            </w:r>
            <w:r>
              <w:rPr>
                <w:b/>
                <w:sz w:val="18"/>
              </w:rPr>
              <w:t>PALMAS</w:t>
            </w:r>
            <w:r>
              <w:rPr>
                <w:b/>
                <w:spacing w:val="-10"/>
                <w:sz w:val="18"/>
              </w:rPr>
              <w:t> </w:t>
            </w:r>
            <w:r>
              <w:rPr>
                <w:b/>
                <w:sz w:val="18"/>
              </w:rPr>
              <w:t>DE GRAN</w:t>
            </w:r>
            <w:r>
              <w:rPr>
                <w:b/>
                <w:spacing w:val="-1"/>
                <w:sz w:val="18"/>
              </w:rPr>
              <w:t> </w:t>
            </w:r>
            <w:r>
              <w:rPr>
                <w:b/>
                <w:spacing w:val="-2"/>
                <w:sz w:val="18"/>
              </w:rPr>
              <w:t>CANARIA</w:t>
            </w:r>
          </w:p>
        </w:tc>
        <w:tc>
          <w:tcPr>
            <w:tcW w:w="2909" w:type="dxa"/>
            <w:tcBorders>
              <w:top w:val="single" w:sz="4" w:space="0" w:color="001F5F"/>
              <w:bottom w:val="single" w:sz="4" w:space="0" w:color="001F5F"/>
            </w:tcBorders>
          </w:tcPr>
          <w:p>
            <w:pPr>
              <w:pStyle w:val="TableParagraph"/>
              <w:spacing w:line="204" w:lineRule="exact"/>
              <w:ind w:left="69"/>
              <w:rPr>
                <w:sz w:val="18"/>
              </w:rPr>
            </w:pPr>
            <w:r>
              <w:rPr>
                <w:sz w:val="18"/>
              </w:rPr>
              <w:t>Mantenimiento</w:t>
            </w:r>
            <w:r>
              <w:rPr>
                <w:spacing w:val="-1"/>
                <w:sz w:val="18"/>
              </w:rPr>
              <w:t> </w:t>
            </w:r>
            <w:r>
              <w:rPr>
                <w:sz w:val="18"/>
              </w:rPr>
              <w:t>de</w:t>
            </w:r>
            <w:r>
              <w:rPr>
                <w:spacing w:val="-3"/>
                <w:sz w:val="18"/>
              </w:rPr>
              <w:t> </w:t>
            </w:r>
            <w:r>
              <w:rPr>
                <w:sz w:val="18"/>
              </w:rPr>
              <w:t>puntos</w:t>
            </w:r>
            <w:r>
              <w:rPr>
                <w:spacing w:val="-3"/>
                <w:sz w:val="18"/>
              </w:rPr>
              <w:t> </w:t>
            </w:r>
            <w:r>
              <w:rPr>
                <w:sz w:val="18"/>
              </w:rPr>
              <w:t>o</w:t>
            </w:r>
            <w:r>
              <w:rPr>
                <w:spacing w:val="-3"/>
                <w:sz w:val="18"/>
              </w:rPr>
              <w:t> </w:t>
            </w:r>
            <w:r>
              <w:rPr>
                <w:sz w:val="18"/>
              </w:rPr>
              <w:t>postes</w:t>
            </w:r>
            <w:r>
              <w:rPr>
                <w:spacing w:val="-1"/>
                <w:sz w:val="18"/>
              </w:rPr>
              <w:t> </w:t>
            </w:r>
            <w:r>
              <w:rPr>
                <w:spacing w:val="-5"/>
                <w:sz w:val="18"/>
              </w:rPr>
              <w:t>de</w:t>
            </w:r>
          </w:p>
          <w:p>
            <w:pPr>
              <w:pStyle w:val="TableParagraph"/>
              <w:spacing w:line="200" w:lineRule="atLeast"/>
              <w:ind w:left="69"/>
              <w:rPr>
                <w:sz w:val="18"/>
              </w:rPr>
            </w:pPr>
            <w:r>
              <w:rPr>
                <w:sz w:val="18"/>
              </w:rPr>
              <w:t>información</w:t>
            </w:r>
            <w:r>
              <w:rPr>
                <w:spacing w:val="-11"/>
                <w:sz w:val="18"/>
              </w:rPr>
              <w:t> </w:t>
            </w:r>
            <w:r>
              <w:rPr>
                <w:sz w:val="18"/>
              </w:rPr>
              <w:t>al</w:t>
            </w:r>
            <w:r>
              <w:rPr>
                <w:spacing w:val="-9"/>
                <w:sz w:val="18"/>
              </w:rPr>
              <w:t> </w:t>
            </w:r>
            <w:r>
              <w:rPr>
                <w:sz w:val="18"/>
              </w:rPr>
              <w:t>viajero</w:t>
            </w:r>
            <w:r>
              <w:rPr>
                <w:spacing w:val="-11"/>
                <w:sz w:val="18"/>
              </w:rPr>
              <w:t> </w:t>
            </w:r>
            <w:r>
              <w:rPr>
                <w:sz w:val="18"/>
              </w:rPr>
              <w:t>/suministro</w:t>
            </w:r>
            <w:r>
              <w:rPr>
                <w:spacing w:val="-10"/>
                <w:sz w:val="18"/>
              </w:rPr>
              <w:t> </w:t>
            </w:r>
            <w:r>
              <w:rPr>
                <w:sz w:val="18"/>
              </w:rPr>
              <w:t>tarjetas inteligentes/venta títulos transporte</w:t>
            </w:r>
          </w:p>
        </w:tc>
        <w:tc>
          <w:tcPr>
            <w:tcW w:w="1213" w:type="dxa"/>
            <w:tcBorders>
              <w:top w:val="single" w:sz="4" w:space="0" w:color="001F5F"/>
              <w:bottom w:val="single" w:sz="4" w:space="0" w:color="001F5F"/>
            </w:tcBorders>
          </w:tcPr>
          <w:p>
            <w:pPr>
              <w:pStyle w:val="TableParagraph"/>
              <w:spacing w:before="205"/>
              <w:ind w:right="419"/>
              <w:jc w:val="right"/>
              <w:rPr>
                <w:sz w:val="18"/>
              </w:rPr>
            </w:pPr>
            <w:r>
              <w:rPr>
                <w:spacing w:val="-10"/>
                <w:sz w:val="18"/>
              </w:rPr>
              <w:t>4</w:t>
            </w:r>
          </w:p>
        </w:tc>
        <w:tc>
          <w:tcPr>
            <w:tcW w:w="1184" w:type="dxa"/>
            <w:tcBorders>
              <w:top w:val="single" w:sz="4" w:space="0" w:color="001F5F"/>
              <w:bottom w:val="single" w:sz="4" w:space="0" w:color="001F5F"/>
            </w:tcBorders>
          </w:tcPr>
          <w:p>
            <w:pPr>
              <w:pStyle w:val="TableParagraph"/>
              <w:spacing w:before="205"/>
              <w:ind w:right="125"/>
              <w:jc w:val="right"/>
              <w:rPr>
                <w:sz w:val="18"/>
              </w:rPr>
            </w:pPr>
            <w:r>
              <w:rPr>
                <w:spacing w:val="-2"/>
                <w:sz w:val="18"/>
              </w:rPr>
              <w:t>1.812.038,00</w:t>
            </w:r>
          </w:p>
        </w:tc>
        <w:tc>
          <w:tcPr>
            <w:tcW w:w="1125" w:type="dxa"/>
            <w:tcBorders>
              <w:top w:val="single" w:sz="4" w:space="0" w:color="001F5F"/>
              <w:bottom w:val="single" w:sz="4" w:space="0" w:color="001F5F"/>
            </w:tcBorders>
          </w:tcPr>
          <w:p>
            <w:pPr>
              <w:pStyle w:val="TableParagraph"/>
              <w:spacing w:before="205"/>
              <w:ind w:right="135"/>
              <w:jc w:val="right"/>
              <w:rPr>
                <w:sz w:val="18"/>
              </w:rPr>
            </w:pPr>
            <w:r>
              <w:rPr>
                <w:spacing w:val="-2"/>
                <w:sz w:val="18"/>
              </w:rPr>
              <w:t>1.812.038,00</w:t>
            </w:r>
          </w:p>
        </w:tc>
        <w:tc>
          <w:tcPr>
            <w:tcW w:w="927" w:type="dxa"/>
            <w:tcBorders>
              <w:top w:val="single" w:sz="4" w:space="0" w:color="001F5F"/>
              <w:bottom w:val="single" w:sz="4" w:space="0" w:color="001F5F"/>
            </w:tcBorders>
          </w:tcPr>
          <w:p>
            <w:pPr>
              <w:pStyle w:val="TableParagraph"/>
              <w:spacing w:before="205"/>
              <w:ind w:right="71"/>
              <w:jc w:val="right"/>
              <w:rPr>
                <w:sz w:val="18"/>
              </w:rPr>
            </w:pPr>
            <w:r>
              <w:rPr>
                <w:spacing w:val="-4"/>
                <w:sz w:val="18"/>
              </w:rPr>
              <w:t>0,00</w:t>
            </w:r>
          </w:p>
        </w:tc>
        <w:tc>
          <w:tcPr>
            <w:tcW w:w="1007" w:type="dxa"/>
            <w:tcBorders>
              <w:top w:val="single" w:sz="4" w:space="0" w:color="001F5F"/>
              <w:bottom w:val="single" w:sz="4" w:space="0" w:color="001F5F"/>
            </w:tcBorders>
          </w:tcPr>
          <w:p>
            <w:pPr>
              <w:pStyle w:val="TableParagraph"/>
              <w:spacing w:before="205"/>
              <w:jc w:val="center"/>
              <w:rPr>
                <w:sz w:val="18"/>
              </w:rPr>
            </w:pPr>
            <w:r>
              <w:rPr>
                <w:sz w:val="18"/>
              </w:rPr>
              <w:t>En</w:t>
            </w:r>
            <w:r>
              <w:rPr>
                <w:spacing w:val="-1"/>
                <w:sz w:val="18"/>
              </w:rPr>
              <w:t> </w:t>
            </w:r>
            <w:r>
              <w:rPr>
                <w:spacing w:val="-2"/>
                <w:sz w:val="18"/>
              </w:rPr>
              <w:t>ejecución</w:t>
            </w:r>
          </w:p>
        </w:tc>
      </w:tr>
      <w:tr>
        <w:trPr>
          <w:trHeight w:val="412" w:hRule="atLeast"/>
        </w:trPr>
        <w:tc>
          <w:tcPr>
            <w:tcW w:w="1418" w:type="dxa"/>
            <w:tcBorders>
              <w:top w:val="single" w:sz="4" w:space="0" w:color="001F5F"/>
              <w:bottom w:val="single" w:sz="4" w:space="0" w:color="001F5F"/>
            </w:tcBorders>
          </w:tcPr>
          <w:p>
            <w:pPr>
              <w:pStyle w:val="TableParagraph"/>
              <w:spacing w:before="102"/>
              <w:ind w:left="69"/>
              <w:rPr>
                <w:b/>
                <w:sz w:val="18"/>
              </w:rPr>
            </w:pPr>
            <w:r>
              <w:rPr>
                <w:b/>
                <w:spacing w:val="-2"/>
                <w:sz w:val="18"/>
              </w:rPr>
              <w:t>MURCIA</w:t>
            </w:r>
          </w:p>
        </w:tc>
        <w:tc>
          <w:tcPr>
            <w:tcW w:w="2909" w:type="dxa"/>
            <w:tcBorders>
              <w:top w:val="single" w:sz="4" w:space="0" w:color="001F5F"/>
              <w:bottom w:val="single" w:sz="4" w:space="0" w:color="001F5F"/>
            </w:tcBorders>
          </w:tcPr>
          <w:p>
            <w:pPr>
              <w:pStyle w:val="TableParagraph"/>
              <w:spacing w:line="206" w:lineRule="exact"/>
              <w:ind w:left="69"/>
              <w:rPr>
                <w:sz w:val="18"/>
              </w:rPr>
            </w:pPr>
            <w:r>
              <w:rPr>
                <w:sz w:val="18"/>
              </w:rPr>
              <w:t>Convenio</w:t>
            </w:r>
            <w:r>
              <w:rPr>
                <w:spacing w:val="-10"/>
                <w:sz w:val="18"/>
              </w:rPr>
              <w:t> </w:t>
            </w:r>
            <w:r>
              <w:rPr>
                <w:sz w:val="18"/>
              </w:rPr>
              <w:t>Laboratorio</w:t>
            </w:r>
            <w:r>
              <w:rPr>
                <w:spacing w:val="-10"/>
                <w:sz w:val="18"/>
              </w:rPr>
              <w:t> </w:t>
            </w:r>
            <w:r>
              <w:rPr>
                <w:sz w:val="18"/>
              </w:rPr>
              <w:t>Movilidad</w:t>
            </w:r>
            <w:r>
              <w:rPr>
                <w:spacing w:val="-10"/>
                <w:sz w:val="18"/>
              </w:rPr>
              <w:t> </w:t>
            </w:r>
            <w:r>
              <w:rPr>
                <w:sz w:val="18"/>
              </w:rPr>
              <w:t>con</w:t>
            </w:r>
            <w:r>
              <w:rPr>
                <w:spacing w:val="-10"/>
                <w:sz w:val="18"/>
              </w:rPr>
              <w:t> </w:t>
            </w:r>
            <w:r>
              <w:rPr>
                <w:sz w:val="18"/>
              </w:rPr>
              <w:t>la Universidad Politécnica de Cartagena</w:t>
            </w:r>
          </w:p>
        </w:tc>
        <w:tc>
          <w:tcPr>
            <w:tcW w:w="1213" w:type="dxa"/>
            <w:tcBorders>
              <w:top w:val="single" w:sz="4" w:space="0" w:color="001F5F"/>
              <w:bottom w:val="single" w:sz="4" w:space="0" w:color="001F5F"/>
            </w:tcBorders>
          </w:tcPr>
          <w:p>
            <w:pPr>
              <w:pStyle w:val="TableParagraph"/>
              <w:spacing w:before="102"/>
              <w:ind w:right="419"/>
              <w:jc w:val="right"/>
              <w:rPr>
                <w:sz w:val="18"/>
              </w:rPr>
            </w:pPr>
            <w:r>
              <w:rPr>
                <w:spacing w:val="-10"/>
                <w:sz w:val="18"/>
              </w:rPr>
              <w:t>1</w:t>
            </w:r>
          </w:p>
        </w:tc>
        <w:tc>
          <w:tcPr>
            <w:tcW w:w="1184" w:type="dxa"/>
            <w:tcBorders>
              <w:top w:val="single" w:sz="4" w:space="0" w:color="001F5F"/>
              <w:bottom w:val="single" w:sz="4" w:space="0" w:color="001F5F"/>
            </w:tcBorders>
          </w:tcPr>
          <w:p>
            <w:pPr>
              <w:pStyle w:val="TableParagraph"/>
              <w:spacing w:before="102"/>
              <w:ind w:right="125"/>
              <w:jc w:val="right"/>
              <w:rPr>
                <w:sz w:val="18"/>
              </w:rPr>
            </w:pPr>
            <w:r>
              <w:rPr>
                <w:spacing w:val="-2"/>
                <w:sz w:val="18"/>
              </w:rPr>
              <w:t>102.045,64</w:t>
            </w:r>
          </w:p>
        </w:tc>
        <w:tc>
          <w:tcPr>
            <w:tcW w:w="1125" w:type="dxa"/>
            <w:tcBorders>
              <w:top w:val="single" w:sz="4" w:space="0" w:color="001F5F"/>
              <w:bottom w:val="single" w:sz="4" w:space="0" w:color="001F5F"/>
            </w:tcBorders>
          </w:tcPr>
          <w:p>
            <w:pPr>
              <w:pStyle w:val="TableParagraph"/>
              <w:spacing w:before="102"/>
              <w:ind w:right="135"/>
              <w:jc w:val="right"/>
              <w:rPr>
                <w:sz w:val="18"/>
              </w:rPr>
            </w:pPr>
            <w:r>
              <w:rPr>
                <w:spacing w:val="-2"/>
                <w:sz w:val="18"/>
              </w:rPr>
              <w:t>102.045,64</w:t>
            </w:r>
          </w:p>
        </w:tc>
        <w:tc>
          <w:tcPr>
            <w:tcW w:w="927" w:type="dxa"/>
            <w:tcBorders>
              <w:top w:val="single" w:sz="4" w:space="0" w:color="001F5F"/>
              <w:bottom w:val="single" w:sz="4" w:space="0" w:color="001F5F"/>
            </w:tcBorders>
          </w:tcPr>
          <w:p>
            <w:pPr>
              <w:pStyle w:val="TableParagraph"/>
              <w:spacing w:before="102"/>
              <w:ind w:right="71"/>
              <w:jc w:val="right"/>
              <w:rPr>
                <w:sz w:val="18"/>
              </w:rPr>
            </w:pPr>
            <w:r>
              <w:rPr>
                <w:spacing w:val="-4"/>
                <w:sz w:val="18"/>
              </w:rPr>
              <w:t>0,00</w:t>
            </w:r>
          </w:p>
        </w:tc>
        <w:tc>
          <w:tcPr>
            <w:tcW w:w="1007" w:type="dxa"/>
            <w:tcBorders>
              <w:top w:val="single" w:sz="4" w:space="0" w:color="001F5F"/>
              <w:bottom w:val="single" w:sz="4" w:space="0" w:color="001F5F"/>
            </w:tcBorders>
          </w:tcPr>
          <w:p>
            <w:pPr>
              <w:pStyle w:val="TableParagraph"/>
              <w:spacing w:before="102"/>
              <w:jc w:val="center"/>
              <w:rPr>
                <w:sz w:val="18"/>
              </w:rPr>
            </w:pPr>
            <w:r>
              <w:rPr>
                <w:sz w:val="18"/>
              </w:rPr>
              <w:t>En</w:t>
            </w:r>
            <w:r>
              <w:rPr>
                <w:spacing w:val="-1"/>
                <w:sz w:val="18"/>
              </w:rPr>
              <w:t> </w:t>
            </w:r>
            <w:r>
              <w:rPr>
                <w:spacing w:val="-2"/>
                <w:sz w:val="18"/>
              </w:rPr>
              <w:t>ejecución</w:t>
            </w:r>
          </w:p>
        </w:tc>
      </w:tr>
      <w:tr>
        <w:trPr>
          <w:trHeight w:val="414" w:hRule="atLeast"/>
        </w:trPr>
        <w:tc>
          <w:tcPr>
            <w:tcW w:w="1418" w:type="dxa"/>
            <w:tcBorders>
              <w:top w:val="single" w:sz="4" w:space="0" w:color="001F5F"/>
              <w:bottom w:val="single" w:sz="4" w:space="0" w:color="001F5F"/>
            </w:tcBorders>
          </w:tcPr>
          <w:p>
            <w:pPr>
              <w:pStyle w:val="TableParagraph"/>
              <w:spacing w:before="102"/>
              <w:ind w:left="69"/>
              <w:rPr>
                <w:b/>
                <w:sz w:val="18"/>
              </w:rPr>
            </w:pPr>
            <w:r>
              <w:rPr>
                <w:b/>
                <w:spacing w:val="-2"/>
                <w:sz w:val="18"/>
              </w:rPr>
              <w:t>SEVILLA</w:t>
            </w:r>
          </w:p>
        </w:tc>
        <w:tc>
          <w:tcPr>
            <w:tcW w:w="2909" w:type="dxa"/>
            <w:tcBorders>
              <w:top w:val="single" w:sz="4" w:space="0" w:color="001F5F"/>
              <w:bottom w:val="single" w:sz="4" w:space="0" w:color="001F5F"/>
            </w:tcBorders>
          </w:tcPr>
          <w:p>
            <w:pPr>
              <w:pStyle w:val="TableParagraph"/>
              <w:spacing w:line="206" w:lineRule="exact"/>
              <w:ind w:left="69"/>
              <w:rPr>
                <w:sz w:val="18"/>
              </w:rPr>
            </w:pPr>
            <w:r>
              <w:rPr>
                <w:sz w:val="18"/>
              </w:rPr>
              <w:t>Gestor</w:t>
            </w:r>
            <w:r>
              <w:rPr>
                <w:spacing w:val="-10"/>
                <w:sz w:val="18"/>
              </w:rPr>
              <w:t> </w:t>
            </w:r>
            <w:r>
              <w:rPr>
                <w:sz w:val="18"/>
              </w:rPr>
              <w:t>integral</w:t>
            </w:r>
            <w:r>
              <w:rPr>
                <w:spacing w:val="-10"/>
                <w:sz w:val="18"/>
              </w:rPr>
              <w:t> </w:t>
            </w:r>
            <w:r>
              <w:rPr>
                <w:sz w:val="18"/>
              </w:rPr>
              <w:t>de</w:t>
            </w:r>
            <w:r>
              <w:rPr>
                <w:spacing w:val="-10"/>
                <w:sz w:val="18"/>
              </w:rPr>
              <w:t> </w:t>
            </w:r>
            <w:r>
              <w:rPr>
                <w:sz w:val="18"/>
              </w:rPr>
              <w:t>residuos</w:t>
            </w:r>
            <w:r>
              <w:rPr>
                <w:spacing w:val="-10"/>
                <w:sz w:val="18"/>
              </w:rPr>
              <w:t> </w:t>
            </w:r>
            <w:r>
              <w:rPr>
                <w:sz w:val="18"/>
              </w:rPr>
              <w:t>peligrosos </w:t>
            </w:r>
            <w:r>
              <w:rPr>
                <w:spacing w:val="-2"/>
                <w:sz w:val="18"/>
              </w:rPr>
              <w:t>TUSSAM</w:t>
            </w:r>
          </w:p>
        </w:tc>
        <w:tc>
          <w:tcPr>
            <w:tcW w:w="1213" w:type="dxa"/>
            <w:tcBorders>
              <w:top w:val="single" w:sz="4" w:space="0" w:color="001F5F"/>
              <w:bottom w:val="single" w:sz="4" w:space="0" w:color="001F5F"/>
            </w:tcBorders>
          </w:tcPr>
          <w:p>
            <w:pPr>
              <w:pStyle w:val="TableParagraph"/>
              <w:spacing w:before="102"/>
              <w:ind w:right="419"/>
              <w:jc w:val="right"/>
              <w:rPr>
                <w:sz w:val="18"/>
              </w:rPr>
            </w:pPr>
            <w:r>
              <w:rPr>
                <w:spacing w:val="-10"/>
                <w:sz w:val="18"/>
              </w:rPr>
              <w:t>1</w:t>
            </w:r>
          </w:p>
        </w:tc>
        <w:tc>
          <w:tcPr>
            <w:tcW w:w="1184" w:type="dxa"/>
            <w:tcBorders>
              <w:top w:val="single" w:sz="4" w:space="0" w:color="001F5F"/>
              <w:bottom w:val="single" w:sz="4" w:space="0" w:color="001F5F"/>
            </w:tcBorders>
          </w:tcPr>
          <w:p>
            <w:pPr>
              <w:pStyle w:val="TableParagraph"/>
              <w:spacing w:before="102"/>
              <w:ind w:right="125"/>
              <w:jc w:val="right"/>
              <w:rPr>
                <w:sz w:val="18"/>
              </w:rPr>
            </w:pPr>
            <w:r>
              <w:rPr>
                <w:spacing w:val="-2"/>
                <w:sz w:val="18"/>
              </w:rPr>
              <w:t>30.000,00</w:t>
            </w:r>
          </w:p>
        </w:tc>
        <w:tc>
          <w:tcPr>
            <w:tcW w:w="1125" w:type="dxa"/>
            <w:tcBorders>
              <w:top w:val="single" w:sz="4" w:space="0" w:color="001F5F"/>
              <w:bottom w:val="single" w:sz="4" w:space="0" w:color="001F5F"/>
            </w:tcBorders>
          </w:tcPr>
          <w:p>
            <w:pPr>
              <w:pStyle w:val="TableParagraph"/>
              <w:spacing w:before="102"/>
              <w:ind w:right="136"/>
              <w:jc w:val="right"/>
              <w:rPr>
                <w:sz w:val="18"/>
              </w:rPr>
            </w:pPr>
            <w:r>
              <w:rPr>
                <w:spacing w:val="-2"/>
                <w:sz w:val="18"/>
              </w:rPr>
              <w:t>30.000,00</w:t>
            </w:r>
          </w:p>
        </w:tc>
        <w:tc>
          <w:tcPr>
            <w:tcW w:w="927" w:type="dxa"/>
            <w:tcBorders>
              <w:top w:val="single" w:sz="4" w:space="0" w:color="001F5F"/>
              <w:bottom w:val="single" w:sz="4" w:space="0" w:color="001F5F"/>
            </w:tcBorders>
          </w:tcPr>
          <w:p>
            <w:pPr>
              <w:pStyle w:val="TableParagraph"/>
              <w:spacing w:before="102"/>
              <w:ind w:right="71"/>
              <w:jc w:val="right"/>
              <w:rPr>
                <w:sz w:val="18"/>
              </w:rPr>
            </w:pPr>
            <w:r>
              <w:rPr>
                <w:spacing w:val="-4"/>
                <w:sz w:val="18"/>
              </w:rPr>
              <w:t>0,00</w:t>
            </w:r>
          </w:p>
        </w:tc>
        <w:tc>
          <w:tcPr>
            <w:tcW w:w="1007" w:type="dxa"/>
            <w:tcBorders>
              <w:top w:val="single" w:sz="4" w:space="0" w:color="001F5F"/>
              <w:bottom w:val="single" w:sz="4" w:space="0" w:color="001F5F"/>
            </w:tcBorders>
          </w:tcPr>
          <w:p>
            <w:pPr>
              <w:pStyle w:val="TableParagraph"/>
              <w:spacing w:before="102"/>
              <w:jc w:val="center"/>
              <w:rPr>
                <w:sz w:val="18"/>
              </w:rPr>
            </w:pPr>
            <w:r>
              <w:rPr>
                <w:sz w:val="18"/>
              </w:rPr>
              <w:t>En</w:t>
            </w:r>
            <w:r>
              <w:rPr>
                <w:spacing w:val="-1"/>
                <w:sz w:val="18"/>
              </w:rPr>
              <w:t> </w:t>
            </w:r>
            <w:r>
              <w:rPr>
                <w:spacing w:val="-2"/>
                <w:sz w:val="18"/>
              </w:rPr>
              <w:t>ejecución</w:t>
            </w:r>
          </w:p>
        </w:tc>
      </w:tr>
      <w:tr>
        <w:trPr>
          <w:trHeight w:val="282" w:hRule="atLeast"/>
        </w:trPr>
        <w:tc>
          <w:tcPr>
            <w:tcW w:w="1418" w:type="dxa"/>
            <w:tcBorders>
              <w:top w:val="single" w:sz="4" w:space="0" w:color="001F5F"/>
            </w:tcBorders>
          </w:tcPr>
          <w:p>
            <w:pPr>
              <w:pStyle w:val="TableParagraph"/>
              <w:spacing w:before="37"/>
              <w:ind w:left="69"/>
              <w:rPr>
                <w:b/>
                <w:sz w:val="18"/>
              </w:rPr>
            </w:pPr>
            <w:r>
              <w:rPr>
                <w:b/>
                <w:spacing w:val="-2"/>
                <w:sz w:val="18"/>
              </w:rPr>
              <w:t>ZARAGOZA</w:t>
            </w:r>
          </w:p>
        </w:tc>
        <w:tc>
          <w:tcPr>
            <w:tcW w:w="2909" w:type="dxa"/>
            <w:tcBorders>
              <w:top w:val="single" w:sz="4" w:space="0" w:color="001F5F"/>
            </w:tcBorders>
          </w:tcPr>
          <w:p>
            <w:pPr>
              <w:pStyle w:val="TableParagraph"/>
              <w:spacing w:before="37"/>
              <w:ind w:right="335"/>
              <w:jc w:val="right"/>
              <w:rPr>
                <w:sz w:val="18"/>
              </w:rPr>
            </w:pPr>
            <w:r>
              <w:rPr>
                <w:sz w:val="18"/>
              </w:rPr>
              <w:t>Ampliación</w:t>
            </w:r>
            <w:r>
              <w:rPr>
                <w:spacing w:val="-3"/>
                <w:sz w:val="18"/>
              </w:rPr>
              <w:t> </w:t>
            </w:r>
            <w:r>
              <w:rPr>
                <w:sz w:val="18"/>
              </w:rPr>
              <w:t>líneas</w:t>
            </w:r>
            <w:r>
              <w:rPr>
                <w:spacing w:val="-1"/>
                <w:sz w:val="18"/>
              </w:rPr>
              <w:t> </w:t>
            </w:r>
            <w:r>
              <w:rPr>
                <w:sz w:val="18"/>
              </w:rPr>
              <w:t>urbanas</w:t>
            </w:r>
            <w:r>
              <w:rPr>
                <w:spacing w:val="-2"/>
                <w:sz w:val="18"/>
              </w:rPr>
              <w:t> </w:t>
            </w:r>
            <w:r>
              <w:rPr>
                <w:sz w:val="18"/>
              </w:rPr>
              <w:t>21,</w:t>
            </w:r>
            <w:r>
              <w:rPr>
                <w:spacing w:val="-2"/>
                <w:sz w:val="18"/>
              </w:rPr>
              <w:t> </w:t>
            </w:r>
            <w:r>
              <w:rPr>
                <w:sz w:val="18"/>
              </w:rPr>
              <w:t>23</w:t>
            </w:r>
            <w:r>
              <w:rPr>
                <w:spacing w:val="-3"/>
                <w:sz w:val="18"/>
              </w:rPr>
              <w:t> </w:t>
            </w:r>
            <w:r>
              <w:rPr>
                <w:sz w:val="18"/>
              </w:rPr>
              <w:t>y</w:t>
            </w:r>
            <w:r>
              <w:rPr>
                <w:spacing w:val="-1"/>
                <w:sz w:val="18"/>
              </w:rPr>
              <w:t> </w:t>
            </w:r>
            <w:r>
              <w:rPr>
                <w:spacing w:val="-5"/>
                <w:sz w:val="18"/>
              </w:rPr>
              <w:t>60</w:t>
            </w:r>
          </w:p>
        </w:tc>
        <w:tc>
          <w:tcPr>
            <w:tcW w:w="1213" w:type="dxa"/>
            <w:tcBorders>
              <w:top w:val="single" w:sz="4" w:space="0" w:color="001F5F"/>
            </w:tcBorders>
          </w:tcPr>
          <w:p>
            <w:pPr>
              <w:pStyle w:val="TableParagraph"/>
              <w:spacing w:before="37"/>
              <w:ind w:right="419"/>
              <w:jc w:val="right"/>
              <w:rPr>
                <w:sz w:val="18"/>
              </w:rPr>
            </w:pPr>
            <w:r>
              <w:rPr>
                <w:spacing w:val="-10"/>
                <w:sz w:val="18"/>
              </w:rPr>
              <w:t>1</w:t>
            </w:r>
          </w:p>
        </w:tc>
        <w:tc>
          <w:tcPr>
            <w:tcW w:w="1184" w:type="dxa"/>
            <w:tcBorders>
              <w:top w:val="single" w:sz="4" w:space="0" w:color="001F5F"/>
            </w:tcBorders>
          </w:tcPr>
          <w:p>
            <w:pPr>
              <w:pStyle w:val="TableParagraph"/>
              <w:spacing w:before="37"/>
              <w:ind w:right="125"/>
              <w:jc w:val="right"/>
              <w:rPr>
                <w:sz w:val="18"/>
              </w:rPr>
            </w:pPr>
            <w:r>
              <w:rPr>
                <w:spacing w:val="-2"/>
                <w:sz w:val="18"/>
              </w:rPr>
              <w:t>1.495.474,00</w:t>
            </w:r>
          </w:p>
        </w:tc>
        <w:tc>
          <w:tcPr>
            <w:tcW w:w="1125" w:type="dxa"/>
            <w:tcBorders>
              <w:top w:val="single" w:sz="4" w:space="0" w:color="001F5F"/>
            </w:tcBorders>
          </w:tcPr>
          <w:p>
            <w:pPr>
              <w:pStyle w:val="TableParagraph"/>
              <w:spacing w:before="37"/>
              <w:ind w:right="135"/>
              <w:jc w:val="right"/>
              <w:rPr>
                <w:sz w:val="18"/>
              </w:rPr>
            </w:pPr>
            <w:r>
              <w:rPr>
                <w:spacing w:val="-2"/>
                <w:sz w:val="18"/>
              </w:rPr>
              <w:t>1.495.474,00</w:t>
            </w:r>
          </w:p>
        </w:tc>
        <w:tc>
          <w:tcPr>
            <w:tcW w:w="927" w:type="dxa"/>
            <w:tcBorders>
              <w:top w:val="single" w:sz="4" w:space="0" w:color="001F5F"/>
            </w:tcBorders>
          </w:tcPr>
          <w:p>
            <w:pPr>
              <w:pStyle w:val="TableParagraph"/>
              <w:spacing w:before="37"/>
              <w:ind w:right="71"/>
              <w:jc w:val="right"/>
              <w:rPr>
                <w:sz w:val="18"/>
              </w:rPr>
            </w:pPr>
            <w:r>
              <w:rPr>
                <w:spacing w:val="-4"/>
                <w:sz w:val="18"/>
              </w:rPr>
              <w:t>0,00</w:t>
            </w:r>
          </w:p>
        </w:tc>
        <w:tc>
          <w:tcPr>
            <w:tcW w:w="1007" w:type="dxa"/>
            <w:tcBorders>
              <w:top w:val="single" w:sz="4" w:space="0" w:color="001F5F"/>
            </w:tcBorders>
          </w:tcPr>
          <w:p>
            <w:pPr>
              <w:pStyle w:val="TableParagraph"/>
              <w:spacing w:before="37"/>
              <w:jc w:val="center"/>
              <w:rPr>
                <w:sz w:val="18"/>
              </w:rPr>
            </w:pPr>
            <w:r>
              <w:rPr>
                <w:spacing w:val="-2"/>
                <w:sz w:val="18"/>
              </w:rPr>
              <w:t>Finalizada</w:t>
            </w:r>
          </w:p>
        </w:tc>
      </w:tr>
      <w:tr>
        <w:trPr>
          <w:trHeight w:val="369" w:hRule="atLeast"/>
        </w:trPr>
        <w:tc>
          <w:tcPr>
            <w:tcW w:w="1418" w:type="dxa"/>
            <w:shd w:val="clear" w:color="auto" w:fill="002D5D"/>
          </w:tcPr>
          <w:p>
            <w:pPr>
              <w:pStyle w:val="TableParagraph"/>
              <w:spacing w:before="85"/>
              <w:ind w:left="69"/>
              <w:rPr>
                <w:b/>
                <w:sz w:val="18"/>
              </w:rPr>
            </w:pPr>
            <w:r>
              <w:rPr>
                <w:b/>
                <w:color w:val="FFFFFF"/>
                <w:spacing w:val="-2"/>
                <w:sz w:val="18"/>
              </w:rPr>
              <w:t>TOTAL</w:t>
            </w:r>
          </w:p>
        </w:tc>
        <w:tc>
          <w:tcPr>
            <w:tcW w:w="2909" w:type="dxa"/>
            <w:shd w:val="clear" w:color="auto" w:fill="002D5D"/>
          </w:tcPr>
          <w:p>
            <w:pPr>
              <w:pStyle w:val="TableParagraph"/>
              <w:rPr>
                <w:rFonts w:ascii="Times New Roman"/>
                <w:sz w:val="20"/>
              </w:rPr>
            </w:pPr>
          </w:p>
        </w:tc>
        <w:tc>
          <w:tcPr>
            <w:tcW w:w="1213" w:type="dxa"/>
            <w:shd w:val="clear" w:color="auto" w:fill="002D5D"/>
          </w:tcPr>
          <w:p>
            <w:pPr>
              <w:pStyle w:val="TableParagraph"/>
              <w:spacing w:before="85"/>
              <w:ind w:right="420"/>
              <w:jc w:val="right"/>
              <w:rPr>
                <w:b/>
                <w:sz w:val="18"/>
              </w:rPr>
            </w:pPr>
            <w:r>
              <w:rPr>
                <w:b/>
                <w:color w:val="FFFFFF"/>
                <w:spacing w:val="-5"/>
                <w:sz w:val="18"/>
              </w:rPr>
              <w:t>10</w:t>
            </w:r>
          </w:p>
        </w:tc>
        <w:tc>
          <w:tcPr>
            <w:tcW w:w="1184" w:type="dxa"/>
            <w:shd w:val="clear" w:color="auto" w:fill="002D5D"/>
          </w:tcPr>
          <w:p>
            <w:pPr>
              <w:pStyle w:val="TableParagraph"/>
              <w:spacing w:before="85"/>
              <w:ind w:right="125"/>
              <w:jc w:val="right"/>
              <w:rPr>
                <w:b/>
                <w:sz w:val="18"/>
              </w:rPr>
            </w:pPr>
            <w:r>
              <w:rPr>
                <w:b/>
                <w:color w:val="FFFFFF"/>
                <w:spacing w:val="-2"/>
                <w:sz w:val="18"/>
              </w:rPr>
              <w:t>7.277.416,44</w:t>
            </w:r>
          </w:p>
        </w:tc>
        <w:tc>
          <w:tcPr>
            <w:tcW w:w="1125" w:type="dxa"/>
            <w:shd w:val="clear" w:color="auto" w:fill="002D5D"/>
          </w:tcPr>
          <w:p>
            <w:pPr>
              <w:pStyle w:val="TableParagraph"/>
              <w:spacing w:before="85"/>
              <w:ind w:right="135"/>
              <w:jc w:val="right"/>
              <w:rPr>
                <w:b/>
                <w:sz w:val="18"/>
              </w:rPr>
            </w:pPr>
            <w:r>
              <w:rPr>
                <w:b/>
                <w:color w:val="FFFFFF"/>
                <w:spacing w:val="-2"/>
                <w:sz w:val="18"/>
              </w:rPr>
              <w:t>7.277.416,44</w:t>
            </w:r>
          </w:p>
        </w:tc>
        <w:tc>
          <w:tcPr>
            <w:tcW w:w="927" w:type="dxa"/>
            <w:shd w:val="clear" w:color="auto" w:fill="002D5D"/>
          </w:tcPr>
          <w:p>
            <w:pPr>
              <w:pStyle w:val="TableParagraph"/>
              <w:spacing w:before="85"/>
              <w:ind w:right="71"/>
              <w:jc w:val="right"/>
              <w:rPr>
                <w:b/>
                <w:sz w:val="18"/>
              </w:rPr>
            </w:pPr>
            <w:r>
              <w:rPr>
                <w:b/>
                <w:color w:val="FFFFFF"/>
                <w:spacing w:val="-4"/>
                <w:sz w:val="18"/>
              </w:rPr>
              <w:t>0,00</w:t>
            </w:r>
          </w:p>
        </w:tc>
        <w:tc>
          <w:tcPr>
            <w:tcW w:w="1007" w:type="dxa"/>
            <w:shd w:val="clear" w:color="auto" w:fill="002D5D"/>
          </w:tcPr>
          <w:p>
            <w:pPr>
              <w:pStyle w:val="TableParagraph"/>
              <w:rPr>
                <w:rFonts w:ascii="Times New Roman"/>
                <w:sz w:val="20"/>
              </w:rPr>
            </w:pPr>
          </w:p>
        </w:tc>
      </w:tr>
      <w:tr>
        <w:trPr>
          <w:trHeight w:val="273" w:hRule="atLeast"/>
        </w:trPr>
        <w:tc>
          <w:tcPr>
            <w:tcW w:w="6724" w:type="dxa"/>
            <w:gridSpan w:val="4"/>
          </w:tcPr>
          <w:p>
            <w:pPr>
              <w:pStyle w:val="TableParagraph"/>
              <w:spacing w:line="187" w:lineRule="exact" w:before="66"/>
              <w:ind w:left="69"/>
              <w:rPr>
                <w:sz w:val="18"/>
              </w:rPr>
            </w:pPr>
            <w:r>
              <w:rPr>
                <w:sz w:val="18"/>
              </w:rPr>
              <w:t>Fuente:</w:t>
            </w:r>
            <w:r>
              <w:rPr>
                <w:spacing w:val="-5"/>
                <w:sz w:val="18"/>
              </w:rPr>
              <w:t> </w:t>
            </w:r>
            <w:r>
              <w:rPr>
                <w:sz w:val="18"/>
              </w:rPr>
              <w:t>Elaboración</w:t>
            </w:r>
            <w:r>
              <w:rPr>
                <w:spacing w:val="-3"/>
                <w:sz w:val="18"/>
              </w:rPr>
              <w:t> </w:t>
            </w:r>
            <w:r>
              <w:rPr>
                <w:sz w:val="18"/>
              </w:rPr>
              <w:t>propia</w:t>
            </w:r>
            <w:r>
              <w:rPr>
                <w:spacing w:val="-3"/>
                <w:sz w:val="18"/>
              </w:rPr>
              <w:t> </w:t>
            </w:r>
            <w:r>
              <w:rPr>
                <w:sz w:val="18"/>
              </w:rPr>
              <w:t>a</w:t>
            </w:r>
            <w:r>
              <w:rPr>
                <w:spacing w:val="-2"/>
                <w:sz w:val="18"/>
              </w:rPr>
              <w:t> </w:t>
            </w:r>
            <w:r>
              <w:rPr>
                <w:sz w:val="18"/>
              </w:rPr>
              <w:t>partir</w:t>
            </w:r>
            <w:r>
              <w:rPr>
                <w:spacing w:val="-1"/>
                <w:sz w:val="18"/>
              </w:rPr>
              <w:t> </w:t>
            </w:r>
            <w:r>
              <w:rPr>
                <w:sz w:val="18"/>
              </w:rPr>
              <w:t>de</w:t>
            </w:r>
            <w:r>
              <w:rPr>
                <w:spacing w:val="-3"/>
                <w:sz w:val="18"/>
              </w:rPr>
              <w:t> </w:t>
            </w:r>
            <w:r>
              <w:rPr>
                <w:sz w:val="18"/>
              </w:rPr>
              <w:t>los</w:t>
            </w:r>
            <w:r>
              <w:rPr>
                <w:spacing w:val="-3"/>
                <w:sz w:val="18"/>
              </w:rPr>
              <w:t> </w:t>
            </w:r>
            <w:r>
              <w:rPr>
                <w:sz w:val="18"/>
              </w:rPr>
              <w:t>datos facilitados</w:t>
            </w:r>
            <w:r>
              <w:rPr>
                <w:spacing w:val="-2"/>
                <w:sz w:val="18"/>
              </w:rPr>
              <w:t> </w:t>
            </w:r>
            <w:r>
              <w:rPr>
                <w:sz w:val="18"/>
              </w:rPr>
              <w:t>por</w:t>
            </w:r>
            <w:r>
              <w:rPr>
                <w:spacing w:val="-1"/>
                <w:sz w:val="18"/>
              </w:rPr>
              <w:t> </w:t>
            </w:r>
            <w:r>
              <w:rPr>
                <w:sz w:val="18"/>
              </w:rPr>
              <w:t>las</w:t>
            </w:r>
            <w:r>
              <w:rPr>
                <w:spacing w:val="-3"/>
                <w:sz w:val="18"/>
              </w:rPr>
              <w:t> </w:t>
            </w:r>
            <w:r>
              <w:rPr>
                <w:sz w:val="18"/>
              </w:rPr>
              <w:t>entidades</w:t>
            </w:r>
            <w:r>
              <w:rPr>
                <w:spacing w:val="-2"/>
                <w:sz w:val="18"/>
              </w:rPr>
              <w:t> fiscalizadas</w:t>
            </w:r>
          </w:p>
        </w:tc>
        <w:tc>
          <w:tcPr>
            <w:tcW w:w="1125" w:type="dxa"/>
          </w:tcPr>
          <w:p>
            <w:pPr>
              <w:pStyle w:val="TableParagraph"/>
              <w:rPr>
                <w:rFonts w:ascii="Times New Roman"/>
                <w:sz w:val="20"/>
              </w:rPr>
            </w:pPr>
          </w:p>
        </w:tc>
        <w:tc>
          <w:tcPr>
            <w:tcW w:w="927" w:type="dxa"/>
          </w:tcPr>
          <w:p>
            <w:pPr>
              <w:pStyle w:val="TableParagraph"/>
              <w:rPr>
                <w:rFonts w:ascii="Times New Roman"/>
                <w:sz w:val="20"/>
              </w:rPr>
            </w:pPr>
          </w:p>
        </w:tc>
        <w:tc>
          <w:tcPr>
            <w:tcW w:w="1007" w:type="dxa"/>
          </w:tcPr>
          <w:p>
            <w:pPr>
              <w:pStyle w:val="TableParagraph"/>
              <w:rPr>
                <w:rFonts w:ascii="Times New Roman"/>
                <w:sz w:val="20"/>
              </w:rPr>
            </w:pPr>
          </w:p>
        </w:tc>
      </w:tr>
    </w:tbl>
    <w:p>
      <w:pPr>
        <w:pStyle w:val="BodyText"/>
        <w:spacing w:before="61"/>
        <w:rPr>
          <w:b/>
        </w:rPr>
      </w:pPr>
    </w:p>
    <w:p>
      <w:pPr>
        <w:pStyle w:val="BodyText"/>
        <w:ind w:left="992" w:right="987"/>
        <w:jc w:val="both"/>
      </w:pPr>
      <w:r>
        <w:rPr/>
        <w:t>El </w:t>
      </w:r>
      <w:r>
        <w:rPr>
          <w:b/>
        </w:rPr>
        <w:t>Ayuntamiento de Alicante </w:t>
      </w:r>
      <w:r>
        <w:rPr/>
        <w:t>ha llevado a cabo varias actuaciones, incluidas en el contrato de concesión del servicio público del transporte urbano colectivo de viajeros en autobús suscrito en diciembre de 2022. Una de ellas es la implantación del Sistema Gestión Ambiental, conforme a la norma ISO 14001</w:t>
      </w:r>
      <w:hyperlink w:history="true" w:anchor="_bookmark98">
        <w:r>
          <w:rPr>
            <w:vertAlign w:val="superscript"/>
          </w:rPr>
          <w:t>68</w:t>
        </w:r>
        <w:r>
          <w:rPr>
            <w:vertAlign w:val="baseline"/>
          </w:rPr>
          <w:t>,</w:t>
        </w:r>
      </w:hyperlink>
      <w:r>
        <w:rPr>
          <w:vertAlign w:val="baseline"/>
        </w:rPr>
        <w:t> por un importe de 9.213,00 eros, sin IVA.</w:t>
      </w:r>
    </w:p>
    <w:p>
      <w:pPr>
        <w:pStyle w:val="BodyText"/>
        <w:spacing w:before="239"/>
        <w:ind w:left="992" w:right="988"/>
        <w:jc w:val="both"/>
      </w:pPr>
      <w:r>
        <w:rPr/>
        <w:t>Otra es el transporte a la demanda a las partidas rurales de Alicante. Se trata de un sistema de transporte bajo demanda promovido por el Ayuntamiento, que da cobertura a las partidas rurales de</w:t>
      </w:r>
      <w:r>
        <w:rPr>
          <w:spacing w:val="-12"/>
        </w:rPr>
        <w:t> </w:t>
      </w:r>
      <w:r>
        <w:rPr/>
        <w:t>la</w:t>
      </w:r>
      <w:r>
        <w:rPr>
          <w:spacing w:val="-11"/>
        </w:rPr>
        <w:t> </w:t>
      </w:r>
      <w:r>
        <w:rPr/>
        <w:t>ciudad</w:t>
      </w:r>
      <w:r>
        <w:rPr>
          <w:spacing w:val="-12"/>
        </w:rPr>
        <w:t> </w:t>
      </w:r>
      <w:r>
        <w:rPr/>
        <w:t>y</w:t>
      </w:r>
      <w:r>
        <w:rPr>
          <w:spacing w:val="-11"/>
        </w:rPr>
        <w:t> </w:t>
      </w:r>
      <w:r>
        <w:rPr/>
        <w:t>que</w:t>
      </w:r>
      <w:r>
        <w:rPr>
          <w:spacing w:val="-11"/>
        </w:rPr>
        <w:t> </w:t>
      </w:r>
      <w:r>
        <w:rPr/>
        <w:t>permite</w:t>
      </w:r>
      <w:r>
        <w:rPr>
          <w:spacing w:val="-11"/>
        </w:rPr>
        <w:t> </w:t>
      </w:r>
      <w:r>
        <w:rPr/>
        <w:t>los</w:t>
      </w:r>
      <w:r>
        <w:rPr>
          <w:spacing w:val="-11"/>
        </w:rPr>
        <w:t> </w:t>
      </w:r>
      <w:r>
        <w:rPr/>
        <w:t>desplazamientos,</w:t>
      </w:r>
      <w:r>
        <w:rPr>
          <w:spacing w:val="-12"/>
        </w:rPr>
        <w:t> </w:t>
      </w:r>
      <w:r>
        <w:rPr/>
        <w:t>mediante</w:t>
      </w:r>
      <w:r>
        <w:rPr>
          <w:spacing w:val="-14"/>
        </w:rPr>
        <w:t> </w:t>
      </w:r>
      <w:r>
        <w:rPr/>
        <w:t>taxi</w:t>
      </w:r>
      <w:r>
        <w:rPr>
          <w:spacing w:val="-12"/>
        </w:rPr>
        <w:t> </w:t>
      </w:r>
      <w:r>
        <w:rPr/>
        <w:t>compartido,</w:t>
      </w:r>
      <w:r>
        <w:rPr>
          <w:spacing w:val="-10"/>
        </w:rPr>
        <w:t> </w:t>
      </w:r>
      <w:r>
        <w:rPr/>
        <w:t>entre</w:t>
      </w:r>
      <w:r>
        <w:rPr>
          <w:spacing w:val="-11"/>
        </w:rPr>
        <w:t> </w:t>
      </w:r>
      <w:r>
        <w:rPr/>
        <w:t>las</w:t>
      </w:r>
      <w:r>
        <w:rPr>
          <w:spacing w:val="-11"/>
        </w:rPr>
        <w:t> </w:t>
      </w:r>
      <w:r>
        <w:rPr/>
        <w:t>partidas</w:t>
      </w:r>
      <w:r>
        <w:rPr>
          <w:spacing w:val="-11"/>
        </w:rPr>
        <w:t> </w:t>
      </w:r>
      <w:r>
        <w:rPr/>
        <w:t>rurales y la ciudad. En 2023 y 2024 esta prestación ha ascendido a un importe de 408.397,49 euros.</w:t>
      </w:r>
    </w:p>
    <w:p>
      <w:pPr>
        <w:pStyle w:val="BodyText"/>
        <w:spacing w:before="241"/>
        <w:ind w:left="992" w:right="987"/>
        <w:jc w:val="both"/>
      </w:pPr>
      <w:r>
        <w:rPr/>
        <w:t>Igualmente, se ha acometido en el marco del citado contrato el aumento de la extensión de la red de</w:t>
      </w:r>
      <w:r>
        <w:rPr>
          <w:spacing w:val="-12"/>
        </w:rPr>
        <w:t> </w:t>
      </w:r>
      <w:r>
        <w:rPr/>
        <w:t>transporte</w:t>
      </w:r>
      <w:r>
        <w:rPr>
          <w:spacing w:val="-11"/>
        </w:rPr>
        <w:t> </w:t>
      </w:r>
      <w:r>
        <w:rPr/>
        <w:t>urbano,</w:t>
      </w:r>
      <w:r>
        <w:rPr>
          <w:spacing w:val="-10"/>
        </w:rPr>
        <w:t> </w:t>
      </w:r>
      <w:r>
        <w:rPr/>
        <w:t>que</w:t>
      </w:r>
      <w:r>
        <w:rPr>
          <w:spacing w:val="-11"/>
        </w:rPr>
        <w:t> </w:t>
      </w:r>
      <w:r>
        <w:rPr/>
        <w:t>ha</w:t>
      </w:r>
      <w:r>
        <w:rPr>
          <w:spacing w:val="-12"/>
        </w:rPr>
        <w:t> </w:t>
      </w:r>
      <w:r>
        <w:rPr/>
        <w:t>consistido</w:t>
      </w:r>
      <w:r>
        <w:rPr>
          <w:spacing w:val="-12"/>
        </w:rPr>
        <w:t> </w:t>
      </w:r>
      <w:r>
        <w:rPr/>
        <w:t>en</w:t>
      </w:r>
      <w:r>
        <w:rPr>
          <w:spacing w:val="-14"/>
        </w:rPr>
        <w:t> </w:t>
      </w:r>
      <w:r>
        <w:rPr/>
        <w:t>la</w:t>
      </w:r>
      <w:r>
        <w:rPr>
          <w:spacing w:val="-11"/>
        </w:rPr>
        <w:t> </w:t>
      </w:r>
      <w:r>
        <w:rPr/>
        <w:t>creación</w:t>
      </w:r>
      <w:r>
        <w:rPr>
          <w:spacing w:val="-12"/>
        </w:rPr>
        <w:t> </w:t>
      </w:r>
      <w:r>
        <w:rPr/>
        <w:t>de</w:t>
      </w:r>
      <w:r>
        <w:rPr>
          <w:spacing w:val="-12"/>
        </w:rPr>
        <w:t> </w:t>
      </w:r>
      <w:r>
        <w:rPr/>
        <w:t>nuevas</w:t>
      </w:r>
      <w:r>
        <w:rPr>
          <w:spacing w:val="-13"/>
        </w:rPr>
        <w:t> </w:t>
      </w:r>
      <w:r>
        <w:rPr/>
        <w:t>líneas,</w:t>
      </w:r>
      <w:r>
        <w:rPr>
          <w:spacing w:val="-7"/>
        </w:rPr>
        <w:t> </w:t>
      </w:r>
      <w:r>
        <w:rPr/>
        <w:t>la</w:t>
      </w:r>
      <w:r>
        <w:rPr>
          <w:spacing w:val="-16"/>
        </w:rPr>
        <w:t> </w:t>
      </w:r>
      <w:r>
        <w:rPr/>
        <w:t>extensión</w:t>
      </w:r>
      <w:r>
        <w:rPr>
          <w:spacing w:val="-11"/>
        </w:rPr>
        <w:t> </w:t>
      </w:r>
      <w:r>
        <w:rPr/>
        <w:t>y</w:t>
      </w:r>
      <w:r>
        <w:rPr>
          <w:spacing w:val="-16"/>
        </w:rPr>
        <w:t> </w:t>
      </w:r>
      <w:r>
        <w:rPr/>
        <w:t>modificación de itinerarios de las ya existentes, así como la mejora de la frecuencia de determinadas líneas. Según</w:t>
      </w:r>
      <w:r>
        <w:rPr>
          <w:spacing w:val="-2"/>
        </w:rPr>
        <w:t> </w:t>
      </w:r>
      <w:r>
        <w:rPr/>
        <w:t>los</w:t>
      </w:r>
      <w:r>
        <w:rPr>
          <w:spacing w:val="-2"/>
        </w:rPr>
        <w:t> </w:t>
      </w:r>
      <w:r>
        <w:rPr/>
        <w:t>datos</w:t>
      </w:r>
      <w:r>
        <w:rPr>
          <w:spacing w:val="-1"/>
        </w:rPr>
        <w:t> </w:t>
      </w:r>
      <w:r>
        <w:rPr/>
        <w:t>aportados</w:t>
      </w:r>
      <w:r>
        <w:rPr>
          <w:spacing w:val="-2"/>
        </w:rPr>
        <w:t> </w:t>
      </w:r>
      <w:r>
        <w:rPr/>
        <w:t>por</w:t>
      </w:r>
      <w:r>
        <w:rPr>
          <w:spacing w:val="-3"/>
        </w:rPr>
        <w:t> </w:t>
      </w:r>
      <w:r>
        <w:rPr/>
        <w:t>el</w:t>
      </w:r>
      <w:r>
        <w:rPr>
          <w:spacing w:val="-3"/>
        </w:rPr>
        <w:t> </w:t>
      </w:r>
      <w:r>
        <w:rPr/>
        <w:t>Ayuntamiento,</w:t>
      </w:r>
      <w:r>
        <w:rPr>
          <w:spacing w:val="-3"/>
        </w:rPr>
        <w:t> </w:t>
      </w:r>
      <w:r>
        <w:rPr/>
        <w:t>se ha</w:t>
      </w:r>
      <w:r>
        <w:rPr>
          <w:spacing w:val="-2"/>
        </w:rPr>
        <w:t> </w:t>
      </w:r>
      <w:r>
        <w:rPr/>
        <w:t>pasado</w:t>
      </w:r>
      <w:r>
        <w:rPr>
          <w:spacing w:val="-2"/>
        </w:rPr>
        <w:t> </w:t>
      </w:r>
      <w:r>
        <w:rPr/>
        <w:t>de</w:t>
      </w:r>
      <w:r>
        <w:rPr>
          <w:spacing w:val="-4"/>
        </w:rPr>
        <w:t> </w:t>
      </w:r>
      <w:r>
        <w:rPr/>
        <w:t>26</w:t>
      </w:r>
      <w:r>
        <w:rPr>
          <w:spacing w:val="-2"/>
        </w:rPr>
        <w:t> </w:t>
      </w:r>
      <w:r>
        <w:rPr/>
        <w:t>líneas</w:t>
      </w:r>
      <w:r>
        <w:rPr>
          <w:spacing w:val="-2"/>
        </w:rPr>
        <w:t> </w:t>
      </w:r>
      <w:r>
        <w:rPr/>
        <w:t>en</w:t>
      </w:r>
      <w:r>
        <w:rPr>
          <w:spacing w:val="-2"/>
        </w:rPr>
        <w:t> </w:t>
      </w:r>
      <w:r>
        <w:rPr/>
        <w:t>2022</w:t>
      </w:r>
      <w:r>
        <w:rPr>
          <w:spacing w:val="-4"/>
        </w:rPr>
        <w:t> </w:t>
      </w:r>
      <w:r>
        <w:rPr/>
        <w:t>a</w:t>
      </w:r>
      <w:r>
        <w:rPr>
          <w:spacing w:val="-2"/>
        </w:rPr>
        <w:t> </w:t>
      </w:r>
      <w:r>
        <w:rPr/>
        <w:t>35</w:t>
      </w:r>
      <w:r>
        <w:rPr>
          <w:spacing w:val="-4"/>
        </w:rPr>
        <w:t> </w:t>
      </w:r>
      <w:r>
        <w:rPr/>
        <w:t>líneas</w:t>
      </w:r>
      <w:r>
        <w:rPr>
          <w:spacing w:val="-4"/>
        </w:rPr>
        <w:t> </w:t>
      </w:r>
      <w:r>
        <w:rPr/>
        <w:t>en 2024</w:t>
      </w:r>
      <w:r>
        <w:rPr>
          <w:spacing w:val="-6"/>
        </w:rPr>
        <w:t> </w:t>
      </w:r>
      <w:r>
        <w:rPr/>
        <w:t>y</w:t>
      </w:r>
      <w:r>
        <w:rPr>
          <w:spacing w:val="-8"/>
        </w:rPr>
        <w:t> </w:t>
      </w:r>
      <w:r>
        <w:rPr/>
        <w:t>se</w:t>
      </w:r>
      <w:r>
        <w:rPr>
          <w:spacing w:val="-9"/>
        </w:rPr>
        <w:t> </w:t>
      </w:r>
      <w:r>
        <w:rPr/>
        <w:t>ha</w:t>
      </w:r>
      <w:r>
        <w:rPr>
          <w:spacing w:val="-9"/>
        </w:rPr>
        <w:t> </w:t>
      </w:r>
      <w:r>
        <w:rPr/>
        <w:t>incrementado</w:t>
      </w:r>
      <w:r>
        <w:rPr>
          <w:spacing w:val="-6"/>
        </w:rPr>
        <w:t> </w:t>
      </w:r>
      <w:r>
        <w:rPr/>
        <w:t>el</w:t>
      </w:r>
      <w:r>
        <w:rPr>
          <w:spacing w:val="-7"/>
        </w:rPr>
        <w:t> </w:t>
      </w:r>
      <w:r>
        <w:rPr/>
        <w:t>número</w:t>
      </w:r>
      <w:r>
        <w:rPr>
          <w:spacing w:val="-8"/>
        </w:rPr>
        <w:t> </w:t>
      </w:r>
      <w:r>
        <w:rPr/>
        <w:t>de</w:t>
      </w:r>
      <w:r>
        <w:rPr>
          <w:spacing w:val="-9"/>
        </w:rPr>
        <w:t> </w:t>
      </w:r>
      <w:r>
        <w:rPr/>
        <w:t>kilómetros</w:t>
      </w:r>
      <w:r>
        <w:rPr>
          <w:spacing w:val="-6"/>
        </w:rPr>
        <w:t> </w:t>
      </w:r>
      <w:r>
        <w:rPr/>
        <w:t>regulares</w:t>
      </w:r>
      <w:r>
        <w:rPr>
          <w:spacing w:val="-9"/>
        </w:rPr>
        <w:t> </w:t>
      </w:r>
      <w:r>
        <w:rPr/>
        <w:t>al</w:t>
      </w:r>
      <w:r>
        <w:rPr>
          <w:spacing w:val="-7"/>
        </w:rPr>
        <w:t> </w:t>
      </w:r>
      <w:r>
        <w:rPr/>
        <w:t>año</w:t>
      </w:r>
      <w:r>
        <w:rPr>
          <w:spacing w:val="-9"/>
        </w:rPr>
        <w:t> </w:t>
      </w:r>
      <w:r>
        <w:rPr/>
        <w:t>un</w:t>
      </w:r>
      <w:r>
        <w:rPr>
          <w:spacing w:val="-9"/>
        </w:rPr>
        <w:t> </w:t>
      </w:r>
      <w:r>
        <w:rPr/>
        <w:t>2,22</w:t>
      </w:r>
      <w:r>
        <w:rPr>
          <w:spacing w:val="-7"/>
        </w:rPr>
        <w:t> </w:t>
      </w:r>
      <w:r>
        <w:rPr/>
        <w:t>%,</w:t>
      </w:r>
      <w:r>
        <w:rPr>
          <w:spacing w:val="-7"/>
        </w:rPr>
        <w:t> </w:t>
      </w:r>
      <w:r>
        <w:rPr/>
        <w:t>lo</w:t>
      </w:r>
      <w:r>
        <w:rPr>
          <w:spacing w:val="-6"/>
        </w:rPr>
        <w:t> </w:t>
      </w:r>
      <w:r>
        <w:rPr/>
        <w:t>que</w:t>
      </w:r>
      <w:r>
        <w:rPr>
          <w:spacing w:val="-9"/>
        </w:rPr>
        <w:t> </w:t>
      </w:r>
      <w:r>
        <w:rPr/>
        <w:t>ha</w:t>
      </w:r>
      <w:r>
        <w:rPr>
          <w:spacing w:val="-9"/>
        </w:rPr>
        <w:t> </w:t>
      </w:r>
      <w:r>
        <w:rPr/>
        <w:t>supuesto un coste por ejercicio de 1.710.124,16 euros.</w:t>
      </w:r>
    </w:p>
    <w:p>
      <w:pPr>
        <w:pStyle w:val="BodyText"/>
        <w:spacing w:before="241"/>
        <w:ind w:left="992" w:right="986"/>
        <w:jc w:val="both"/>
      </w:pPr>
      <w:r>
        <w:rPr/>
        <w:t>El </w:t>
      </w:r>
      <w:r>
        <w:rPr>
          <w:b/>
        </w:rPr>
        <w:t>Ayuntamiento de Las Palmas de Gran Canaria </w:t>
      </w:r>
      <w:r>
        <w:rPr/>
        <w:t>ha contratado los servicios de mantenimiento de los puntos o postes de información al</w:t>
      </w:r>
      <w:r>
        <w:rPr>
          <w:spacing w:val="-1"/>
        </w:rPr>
        <w:t> </w:t>
      </w:r>
      <w:r>
        <w:rPr/>
        <w:t>viajero, alimentados por energía</w:t>
      </w:r>
      <w:r>
        <w:rPr>
          <w:spacing w:val="-1"/>
        </w:rPr>
        <w:t> </w:t>
      </w:r>
      <w:r>
        <w:rPr/>
        <w:t>solar, con la finalidad de ofrecer información en tiempo real a los usuarios de las distintas líneas y horarios, así como de venta,</w:t>
      </w:r>
      <w:r>
        <w:rPr>
          <w:spacing w:val="-16"/>
        </w:rPr>
        <w:t> </w:t>
      </w:r>
      <w:r>
        <w:rPr/>
        <w:t>recarga</w:t>
      </w:r>
      <w:r>
        <w:rPr>
          <w:spacing w:val="-15"/>
        </w:rPr>
        <w:t> </w:t>
      </w:r>
      <w:r>
        <w:rPr/>
        <w:t>y</w:t>
      </w:r>
      <w:r>
        <w:rPr>
          <w:spacing w:val="-15"/>
        </w:rPr>
        <w:t> </w:t>
      </w:r>
      <w:r>
        <w:rPr/>
        <w:t>distribución</w:t>
      </w:r>
      <w:r>
        <w:rPr>
          <w:spacing w:val="-16"/>
        </w:rPr>
        <w:t> </w:t>
      </w:r>
      <w:r>
        <w:rPr/>
        <w:t>de</w:t>
      </w:r>
      <w:r>
        <w:rPr>
          <w:spacing w:val="-15"/>
        </w:rPr>
        <w:t> </w:t>
      </w:r>
      <w:r>
        <w:rPr/>
        <w:t>títulos</w:t>
      </w:r>
      <w:r>
        <w:rPr>
          <w:spacing w:val="-15"/>
        </w:rPr>
        <w:t> </w:t>
      </w:r>
      <w:r>
        <w:rPr/>
        <w:t>de</w:t>
      </w:r>
      <w:r>
        <w:rPr>
          <w:spacing w:val="-15"/>
        </w:rPr>
        <w:t> </w:t>
      </w:r>
      <w:r>
        <w:rPr/>
        <w:t>transporte.</w:t>
      </w:r>
      <w:r>
        <w:rPr>
          <w:spacing w:val="-16"/>
        </w:rPr>
        <w:t> </w:t>
      </w:r>
      <w:r>
        <w:rPr/>
        <w:t>También</w:t>
      </w:r>
      <w:r>
        <w:rPr>
          <w:spacing w:val="-15"/>
        </w:rPr>
        <w:t> </w:t>
      </w:r>
      <w:r>
        <w:rPr/>
        <w:t>ha</w:t>
      </w:r>
      <w:r>
        <w:rPr>
          <w:spacing w:val="-15"/>
        </w:rPr>
        <w:t> </w:t>
      </w:r>
      <w:r>
        <w:rPr/>
        <w:t>contratado</w:t>
      </w:r>
      <w:r>
        <w:rPr>
          <w:spacing w:val="-16"/>
        </w:rPr>
        <w:t> </w:t>
      </w:r>
      <w:r>
        <w:rPr/>
        <w:t>el</w:t>
      </w:r>
      <w:r>
        <w:rPr>
          <w:spacing w:val="-15"/>
        </w:rPr>
        <w:t> </w:t>
      </w:r>
      <w:r>
        <w:rPr/>
        <w:t>suministro</w:t>
      </w:r>
      <w:r>
        <w:rPr>
          <w:spacing w:val="-15"/>
        </w:rPr>
        <w:t> </w:t>
      </w:r>
      <w:r>
        <w:rPr/>
        <w:t>de</w:t>
      </w:r>
      <w:r>
        <w:rPr>
          <w:spacing w:val="-15"/>
        </w:rPr>
        <w:t> </w:t>
      </w:r>
      <w:r>
        <w:rPr/>
        <w:t>tarjetas inteligentes sin contacto nominales y no nominales.</w:t>
      </w:r>
    </w:p>
    <w:p>
      <w:pPr>
        <w:pStyle w:val="BodyText"/>
        <w:spacing w:before="240"/>
        <w:ind w:left="992" w:right="985"/>
        <w:jc w:val="both"/>
      </w:pPr>
      <w:r>
        <w:rPr/>
        <w:t>El </w:t>
      </w:r>
      <w:r>
        <w:rPr>
          <w:b/>
        </w:rPr>
        <w:t>Ayuntamiento de Murcia </w:t>
      </w:r>
      <w:r>
        <w:rPr/>
        <w:t>ha suscrito en septiembre de 2024 un convenio con una Universidad para el</w:t>
      </w:r>
      <w:r>
        <w:rPr>
          <w:spacing w:val="-1"/>
        </w:rPr>
        <w:t> </w:t>
      </w:r>
      <w:r>
        <w:rPr/>
        <w:t>desarrollo del laboratorio de</w:t>
      </w:r>
      <w:r>
        <w:rPr>
          <w:spacing w:val="-2"/>
        </w:rPr>
        <w:t> </w:t>
      </w:r>
      <w:r>
        <w:rPr/>
        <w:t>Movilidad Urbana Municipal de</w:t>
      </w:r>
      <w:r>
        <w:rPr>
          <w:spacing w:val="-2"/>
        </w:rPr>
        <w:t> </w:t>
      </w:r>
      <w:r>
        <w:rPr/>
        <w:t>Murcia. Se</w:t>
      </w:r>
      <w:r>
        <w:rPr>
          <w:spacing w:val="-2"/>
        </w:rPr>
        <w:t> </w:t>
      </w:r>
      <w:r>
        <w:rPr/>
        <w:t>trata de</w:t>
      </w:r>
      <w:r>
        <w:rPr>
          <w:spacing w:val="-2"/>
        </w:rPr>
        <w:t> </w:t>
      </w:r>
      <w:r>
        <w:rPr/>
        <w:t>una unidad de apoyo, que asesora para la toma de decisiones en materia de planificación, redacción de ordenanzas,</w:t>
      </w:r>
      <w:r>
        <w:rPr>
          <w:spacing w:val="40"/>
        </w:rPr>
        <w:t> </w:t>
      </w:r>
      <w:r>
        <w:rPr/>
        <w:t>licitación</w:t>
      </w:r>
      <w:r>
        <w:rPr>
          <w:spacing w:val="40"/>
        </w:rPr>
        <w:t> </w:t>
      </w:r>
      <w:r>
        <w:rPr/>
        <w:t>de</w:t>
      </w:r>
      <w:r>
        <w:rPr>
          <w:spacing w:val="40"/>
        </w:rPr>
        <w:t> </w:t>
      </w:r>
      <w:r>
        <w:rPr/>
        <w:t>proyectos</w:t>
      </w:r>
      <w:r>
        <w:rPr>
          <w:spacing w:val="40"/>
        </w:rPr>
        <w:t> </w:t>
      </w:r>
      <w:r>
        <w:rPr/>
        <w:t>y</w:t>
      </w:r>
      <w:r>
        <w:rPr>
          <w:spacing w:val="40"/>
        </w:rPr>
        <w:t> </w:t>
      </w:r>
      <w:r>
        <w:rPr/>
        <w:t>concesiones</w:t>
      </w:r>
      <w:r>
        <w:rPr>
          <w:spacing w:val="40"/>
        </w:rPr>
        <w:t> </w:t>
      </w:r>
      <w:r>
        <w:rPr/>
        <w:t>administrativas,</w:t>
      </w:r>
      <w:r>
        <w:rPr>
          <w:spacing w:val="40"/>
        </w:rPr>
        <w:t> </w:t>
      </w:r>
      <w:r>
        <w:rPr/>
        <w:t>o</w:t>
      </w:r>
      <w:r>
        <w:rPr>
          <w:spacing w:val="40"/>
        </w:rPr>
        <w:t> </w:t>
      </w:r>
      <w:r>
        <w:rPr/>
        <w:t>para</w:t>
      </w:r>
      <w:r>
        <w:rPr>
          <w:spacing w:val="40"/>
        </w:rPr>
        <w:t> </w:t>
      </w:r>
      <w:r>
        <w:rPr/>
        <w:t>todas</w:t>
      </w:r>
      <w:r>
        <w:rPr>
          <w:spacing w:val="40"/>
        </w:rPr>
        <w:t> </w:t>
      </w:r>
      <w:r>
        <w:rPr/>
        <w:t>aquellas</w:t>
      </w:r>
      <w:r>
        <w:rPr>
          <w:spacing w:val="40"/>
        </w:rPr>
        <w:t> </w:t>
      </w:r>
      <w:r>
        <w:rPr/>
        <w:t>que</w:t>
      </w:r>
    </w:p>
    <w:p>
      <w:pPr>
        <w:pStyle w:val="BodyText"/>
        <w:spacing w:before="40"/>
        <w:rPr>
          <w:sz w:val="20"/>
        </w:rPr>
      </w:pPr>
      <w:r>
        <w:rPr>
          <w:sz w:val="20"/>
        </w:rPr>
        <mc:AlternateContent>
          <mc:Choice Requires="wps">
            <w:drawing>
              <wp:anchor distT="0" distB="0" distL="0" distR="0" allowOverlap="1" layoutInCell="1" locked="0" behindDoc="1" simplePos="0" relativeHeight="487619072">
                <wp:simplePos x="0" y="0"/>
                <wp:positionH relativeFrom="page">
                  <wp:posOffset>719632</wp:posOffset>
                </wp:positionH>
                <wp:positionV relativeFrom="paragraph">
                  <wp:posOffset>186840</wp:posOffset>
                </wp:positionV>
                <wp:extent cx="1829435" cy="9525"/>
                <wp:effectExtent l="0" t="0" r="0" b="0"/>
                <wp:wrapTopAndBottom/>
                <wp:docPr id="198" name="Graphic 198"/>
                <wp:cNvGraphicFramePr>
                  <a:graphicFrameLocks/>
                </wp:cNvGraphicFramePr>
                <a:graphic>
                  <a:graphicData uri="http://schemas.microsoft.com/office/word/2010/wordprocessingShape">
                    <wps:wsp>
                      <wps:cNvPr id="198" name="Graphic 198"/>
                      <wps:cNvSpPr/>
                      <wps:spPr>
                        <a:xfrm>
                          <a:off x="0" y="0"/>
                          <a:ext cx="1829435" cy="9525"/>
                        </a:xfrm>
                        <a:custGeom>
                          <a:avLst/>
                          <a:gdLst/>
                          <a:ahLst/>
                          <a:cxnLst/>
                          <a:rect l="l" t="t" r="r" b="b"/>
                          <a:pathLst>
                            <a:path w="1829435" h="9525">
                              <a:moveTo>
                                <a:pt x="1829054" y="0"/>
                              </a:moveTo>
                              <a:lnTo>
                                <a:pt x="0" y="0"/>
                              </a:lnTo>
                              <a:lnTo>
                                <a:pt x="0" y="9143"/>
                              </a:lnTo>
                              <a:lnTo>
                                <a:pt x="1829054" y="9143"/>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4.711811pt;width:144.020pt;height:.71997pt;mso-position-horizontal-relative:page;mso-position-vertical-relative:paragraph;z-index:-15697408;mso-wrap-distance-left:0;mso-wrap-distance-right:0" id="docshape180" filled="true" fillcolor="#000000" stroked="false">
                <v:fill type="solid"/>
                <w10:wrap type="topAndBottom"/>
              </v:rect>
            </w:pict>
          </mc:Fallback>
        </mc:AlternateContent>
      </w:r>
    </w:p>
    <w:p>
      <w:pPr>
        <w:spacing w:line="259" w:lineRule="auto" w:before="118"/>
        <w:ind w:left="992" w:right="993" w:firstLine="0"/>
        <w:jc w:val="both"/>
        <w:rPr>
          <w:sz w:val="18"/>
        </w:rPr>
      </w:pPr>
      <w:bookmarkStart w:name="_bookmark98" w:id="100"/>
      <w:bookmarkEnd w:id="100"/>
      <w:r>
        <w:rPr/>
      </w:r>
      <w:r>
        <w:rPr>
          <w:position w:val="6"/>
          <w:sz w:val="12"/>
        </w:rPr>
        <w:t>68</w:t>
      </w:r>
      <w:r>
        <w:rPr>
          <w:spacing w:val="29"/>
          <w:position w:val="6"/>
          <w:sz w:val="12"/>
        </w:rPr>
        <w:t> </w:t>
      </w:r>
      <w:r>
        <w:rPr>
          <w:sz w:val="18"/>
        </w:rPr>
        <w:t>La certificación ISO 14001–Sistemas de Gestión Ambiental es una norma internacional que permite a las empresas demostrar el compromiso asumido con la protección del medio ambiente, a través de la gestión de los riesgos medioambientales asociados a la actividad desarrollada.</w:t>
      </w:r>
    </w:p>
    <w:p>
      <w:pPr>
        <w:spacing w:after="0" w:line="259" w:lineRule="auto"/>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4"/>
        <w:jc w:val="both"/>
      </w:pPr>
      <w:r>
        <w:rPr/>
        <w:t>puedan ser requeridas por parte de la administración municipal en relación con cuestiones del ámbito de la movilidad urbana, tales como la ampliación de la línea</w:t>
      </w:r>
      <w:r>
        <w:rPr>
          <w:spacing w:val="-1"/>
        </w:rPr>
        <w:t> </w:t>
      </w:r>
      <w:r>
        <w:rPr/>
        <w:t>tranviaria o la extensión de las líneas</w:t>
      </w:r>
      <w:r>
        <w:rPr>
          <w:spacing w:val="-9"/>
        </w:rPr>
        <w:t> </w:t>
      </w:r>
      <w:r>
        <w:rPr/>
        <w:t>de</w:t>
      </w:r>
      <w:r>
        <w:rPr>
          <w:spacing w:val="-12"/>
        </w:rPr>
        <w:t> </w:t>
      </w:r>
      <w:r>
        <w:rPr/>
        <w:t>autobús</w:t>
      </w:r>
      <w:r>
        <w:rPr>
          <w:spacing w:val="-8"/>
        </w:rPr>
        <w:t> </w:t>
      </w:r>
      <w:r>
        <w:rPr/>
        <w:t>a</w:t>
      </w:r>
      <w:r>
        <w:rPr>
          <w:spacing w:val="-11"/>
        </w:rPr>
        <w:t> </w:t>
      </w:r>
      <w:r>
        <w:rPr/>
        <w:t>otros</w:t>
      </w:r>
      <w:r>
        <w:rPr>
          <w:spacing w:val="-11"/>
        </w:rPr>
        <w:t> </w:t>
      </w:r>
      <w:r>
        <w:rPr/>
        <w:t>corredores,</w:t>
      </w:r>
      <w:r>
        <w:rPr>
          <w:spacing w:val="-8"/>
        </w:rPr>
        <w:t> </w:t>
      </w:r>
      <w:r>
        <w:rPr/>
        <w:t>el</w:t>
      </w:r>
      <w:r>
        <w:rPr>
          <w:spacing w:val="-10"/>
        </w:rPr>
        <w:t> </w:t>
      </w:r>
      <w:r>
        <w:rPr/>
        <w:t>asesoramiento</w:t>
      </w:r>
      <w:r>
        <w:rPr>
          <w:spacing w:val="-9"/>
        </w:rPr>
        <w:t> </w:t>
      </w:r>
      <w:r>
        <w:rPr/>
        <w:t>para</w:t>
      </w:r>
      <w:r>
        <w:rPr>
          <w:spacing w:val="-11"/>
        </w:rPr>
        <w:t> </w:t>
      </w:r>
      <w:r>
        <w:rPr/>
        <w:t>la</w:t>
      </w:r>
      <w:r>
        <w:rPr>
          <w:spacing w:val="-11"/>
        </w:rPr>
        <w:t> </w:t>
      </w:r>
      <w:r>
        <w:rPr/>
        <w:t>monitorización</w:t>
      </w:r>
      <w:r>
        <w:rPr>
          <w:spacing w:val="-9"/>
        </w:rPr>
        <w:t> </w:t>
      </w:r>
      <w:r>
        <w:rPr/>
        <w:t>y</w:t>
      </w:r>
      <w:r>
        <w:rPr>
          <w:spacing w:val="-11"/>
        </w:rPr>
        <w:t> </w:t>
      </w:r>
      <w:r>
        <w:rPr/>
        <w:t>actualización</w:t>
      </w:r>
      <w:r>
        <w:rPr>
          <w:spacing w:val="-9"/>
        </w:rPr>
        <w:t> </w:t>
      </w:r>
      <w:r>
        <w:rPr/>
        <w:t>de</w:t>
      </w:r>
      <w:r>
        <w:rPr>
          <w:spacing w:val="-9"/>
        </w:rPr>
        <w:t> </w:t>
      </w:r>
      <w:r>
        <w:rPr/>
        <w:t>las obras de movilidad de la ciudad, etc. El Ayuntamiento se comprometió a sufragar 51.925,88 euros en la primera anualidad y 50.119,76 euros en la segunda, el 76,76 % del presupuesto total.</w:t>
      </w:r>
    </w:p>
    <w:p>
      <w:pPr>
        <w:pStyle w:val="BodyText"/>
        <w:spacing w:before="240"/>
        <w:ind w:left="992" w:right="991"/>
        <w:jc w:val="both"/>
      </w:pPr>
      <w:r>
        <w:rPr/>
        <w:t>El convenio prevé la creación de una comisión de seguimiento que se reunirá cuando lo solicite alguna de las partes y, en todo caso, al menos una vez al año. Dicha comisión se constituyó en septiembre de 2024, en la que se fijaron los trabajos a realizar en el primer año, entre otros, un estudio científico para la proposición de actuaciones puntuales para mejorar los problemas de congestión de tráfico en la ciudad.</w:t>
      </w:r>
    </w:p>
    <w:p>
      <w:pPr>
        <w:pStyle w:val="BodyText"/>
        <w:spacing w:before="240"/>
        <w:ind w:left="992" w:right="987"/>
        <w:jc w:val="both"/>
      </w:pPr>
      <w:r>
        <w:rPr/>
        <w:t>La empresa municipal de transportes del </w:t>
      </w:r>
      <w:r>
        <w:rPr>
          <w:b/>
        </w:rPr>
        <w:t>Ayuntamiento de Sevilla </w:t>
      </w:r>
      <w:r>
        <w:rPr/>
        <w:t>ha contratado el servicio de gestor</w:t>
      </w:r>
      <w:r>
        <w:rPr>
          <w:spacing w:val="-1"/>
        </w:rPr>
        <w:t> </w:t>
      </w:r>
      <w:r>
        <w:rPr/>
        <w:t>integral</w:t>
      </w:r>
      <w:r>
        <w:rPr>
          <w:spacing w:val="-3"/>
        </w:rPr>
        <w:t> </w:t>
      </w:r>
      <w:r>
        <w:rPr/>
        <w:t>de</w:t>
      </w:r>
      <w:r>
        <w:rPr>
          <w:spacing w:val="-2"/>
        </w:rPr>
        <w:t> </w:t>
      </w:r>
      <w:r>
        <w:rPr/>
        <w:t>residuos</w:t>
      </w:r>
      <w:r>
        <w:rPr>
          <w:spacing w:val="-2"/>
        </w:rPr>
        <w:t> </w:t>
      </w:r>
      <w:r>
        <w:rPr/>
        <w:t>peligrosos</w:t>
      </w:r>
      <w:r>
        <w:rPr>
          <w:spacing w:val="-2"/>
        </w:rPr>
        <w:t> </w:t>
      </w:r>
      <w:r>
        <w:rPr/>
        <w:t>y</w:t>
      </w:r>
      <w:r>
        <w:rPr>
          <w:spacing w:val="-1"/>
        </w:rPr>
        <w:t> </w:t>
      </w:r>
      <w:r>
        <w:rPr/>
        <w:t>no</w:t>
      </w:r>
      <w:r>
        <w:rPr>
          <w:spacing w:val="-2"/>
        </w:rPr>
        <w:t> </w:t>
      </w:r>
      <w:r>
        <w:rPr/>
        <w:t>peligrosos</w:t>
      </w:r>
      <w:r>
        <w:rPr>
          <w:spacing w:val="-1"/>
        </w:rPr>
        <w:t> </w:t>
      </w:r>
      <w:r>
        <w:rPr/>
        <w:t>de</w:t>
      </w:r>
      <w:r>
        <w:rPr>
          <w:spacing w:val="-2"/>
        </w:rPr>
        <w:t> </w:t>
      </w:r>
      <w:r>
        <w:rPr/>
        <w:t>las</w:t>
      </w:r>
      <w:r>
        <w:rPr>
          <w:spacing w:val="-2"/>
        </w:rPr>
        <w:t> </w:t>
      </w:r>
      <w:r>
        <w:rPr/>
        <w:t>instalaciones</w:t>
      </w:r>
      <w:r>
        <w:rPr>
          <w:spacing w:val="-1"/>
        </w:rPr>
        <w:t> </w:t>
      </w:r>
      <w:r>
        <w:rPr/>
        <w:t>de</w:t>
      </w:r>
      <w:r>
        <w:rPr>
          <w:spacing w:val="-2"/>
        </w:rPr>
        <w:t> </w:t>
      </w:r>
      <w:r>
        <w:rPr/>
        <w:t>la</w:t>
      </w:r>
      <w:r>
        <w:rPr>
          <w:spacing w:val="-2"/>
        </w:rPr>
        <w:t> </w:t>
      </w:r>
      <w:r>
        <w:rPr/>
        <w:t>empresa</w:t>
      </w:r>
      <w:r>
        <w:rPr>
          <w:spacing w:val="-4"/>
        </w:rPr>
        <w:t> </w:t>
      </w:r>
      <w:r>
        <w:rPr/>
        <w:t>municipal de transportes, por importe de 30.000,00 euros, sin IVA. La entidad ya contaba con este servicio y en 2024 ha procedido a su renovación, una vez concluido el contrato anterior.</w:t>
      </w:r>
    </w:p>
    <w:p>
      <w:pPr>
        <w:pStyle w:val="BodyText"/>
        <w:spacing w:before="241"/>
        <w:ind w:left="992" w:right="990"/>
        <w:jc w:val="both"/>
      </w:pPr>
      <w:r>
        <w:rPr/>
        <w:t>El</w:t>
      </w:r>
      <w:r>
        <w:rPr>
          <w:spacing w:val="-16"/>
        </w:rPr>
        <w:t> </w:t>
      </w:r>
      <w:r>
        <w:rPr>
          <w:b/>
        </w:rPr>
        <w:t>Ayuntamiento</w:t>
      </w:r>
      <w:r>
        <w:rPr>
          <w:b/>
          <w:spacing w:val="-15"/>
        </w:rPr>
        <w:t> </w:t>
      </w:r>
      <w:r>
        <w:rPr>
          <w:b/>
        </w:rPr>
        <w:t>de</w:t>
      </w:r>
      <w:r>
        <w:rPr>
          <w:b/>
          <w:spacing w:val="-15"/>
        </w:rPr>
        <w:t> </w:t>
      </w:r>
      <w:r>
        <w:rPr>
          <w:b/>
        </w:rPr>
        <w:t>Zaragoza</w:t>
      </w:r>
      <w:r>
        <w:rPr>
          <w:b/>
          <w:spacing w:val="-16"/>
        </w:rPr>
        <w:t> </w:t>
      </w:r>
      <w:r>
        <w:rPr/>
        <w:t>suscribió</w:t>
      </w:r>
      <w:r>
        <w:rPr>
          <w:spacing w:val="-15"/>
        </w:rPr>
        <w:t> </w:t>
      </w:r>
      <w:r>
        <w:rPr/>
        <w:t>en</w:t>
      </w:r>
      <w:r>
        <w:rPr>
          <w:spacing w:val="-15"/>
        </w:rPr>
        <w:t> </w:t>
      </w:r>
      <w:r>
        <w:rPr/>
        <w:t>marzo</w:t>
      </w:r>
      <w:r>
        <w:rPr>
          <w:spacing w:val="-15"/>
        </w:rPr>
        <w:t> </w:t>
      </w:r>
      <w:r>
        <w:rPr/>
        <w:t>de</w:t>
      </w:r>
      <w:r>
        <w:rPr>
          <w:spacing w:val="-16"/>
        </w:rPr>
        <w:t> </w:t>
      </w:r>
      <w:r>
        <w:rPr/>
        <w:t>2023</w:t>
      </w:r>
      <w:r>
        <w:rPr>
          <w:spacing w:val="-15"/>
        </w:rPr>
        <w:t> </w:t>
      </w:r>
      <w:r>
        <w:rPr/>
        <w:t>una</w:t>
      </w:r>
      <w:r>
        <w:rPr>
          <w:spacing w:val="-15"/>
        </w:rPr>
        <w:t> </w:t>
      </w:r>
      <w:r>
        <w:rPr/>
        <w:t>modificación</w:t>
      </w:r>
      <w:r>
        <w:rPr>
          <w:spacing w:val="-16"/>
        </w:rPr>
        <w:t> </w:t>
      </w:r>
      <w:r>
        <w:rPr/>
        <w:t>del</w:t>
      </w:r>
      <w:r>
        <w:rPr>
          <w:spacing w:val="-15"/>
        </w:rPr>
        <w:t> </w:t>
      </w:r>
      <w:r>
        <w:rPr/>
        <w:t>contrato</w:t>
      </w:r>
      <w:r>
        <w:rPr>
          <w:spacing w:val="-15"/>
        </w:rPr>
        <w:t> </w:t>
      </w:r>
      <w:r>
        <w:rPr/>
        <w:t>de</w:t>
      </w:r>
      <w:r>
        <w:rPr>
          <w:spacing w:val="-15"/>
        </w:rPr>
        <w:t> </w:t>
      </w:r>
      <w:r>
        <w:rPr/>
        <w:t>gestión del</w:t>
      </w:r>
      <w:r>
        <w:rPr>
          <w:spacing w:val="-7"/>
        </w:rPr>
        <w:t> </w:t>
      </w:r>
      <w:r>
        <w:rPr/>
        <w:t>servicio</w:t>
      </w:r>
      <w:r>
        <w:rPr>
          <w:spacing w:val="-6"/>
        </w:rPr>
        <w:t> </w:t>
      </w:r>
      <w:r>
        <w:rPr/>
        <w:t>público</w:t>
      </w:r>
      <w:r>
        <w:rPr>
          <w:spacing w:val="-6"/>
        </w:rPr>
        <w:t> </w:t>
      </w:r>
      <w:r>
        <w:rPr/>
        <w:t>de</w:t>
      </w:r>
      <w:r>
        <w:rPr>
          <w:spacing w:val="-9"/>
        </w:rPr>
        <w:t> </w:t>
      </w:r>
      <w:r>
        <w:rPr/>
        <w:t>transporte</w:t>
      </w:r>
      <w:r>
        <w:rPr>
          <w:spacing w:val="-9"/>
        </w:rPr>
        <w:t> </w:t>
      </w:r>
      <w:r>
        <w:rPr/>
        <w:t>urbano</w:t>
      </w:r>
      <w:r>
        <w:rPr>
          <w:spacing w:val="-9"/>
        </w:rPr>
        <w:t> </w:t>
      </w:r>
      <w:r>
        <w:rPr/>
        <w:t>de</w:t>
      </w:r>
      <w:r>
        <w:rPr>
          <w:spacing w:val="-6"/>
        </w:rPr>
        <w:t> </w:t>
      </w:r>
      <w:r>
        <w:rPr/>
        <w:t>viajeros</w:t>
      </w:r>
      <w:r>
        <w:rPr>
          <w:spacing w:val="-6"/>
        </w:rPr>
        <w:t> </w:t>
      </w:r>
      <w:r>
        <w:rPr/>
        <w:t>por</w:t>
      </w:r>
      <w:r>
        <w:rPr>
          <w:spacing w:val="-5"/>
        </w:rPr>
        <w:t> </w:t>
      </w:r>
      <w:r>
        <w:rPr/>
        <w:t>autobús,</w:t>
      </w:r>
      <w:r>
        <w:rPr>
          <w:spacing w:val="-7"/>
        </w:rPr>
        <w:t> </w:t>
      </w:r>
      <w:r>
        <w:rPr/>
        <w:t>en</w:t>
      </w:r>
      <w:r>
        <w:rPr>
          <w:spacing w:val="-7"/>
        </w:rPr>
        <w:t> </w:t>
      </w:r>
      <w:r>
        <w:rPr/>
        <w:t>la</w:t>
      </w:r>
      <w:r>
        <w:rPr>
          <w:spacing w:val="-6"/>
        </w:rPr>
        <w:t> </w:t>
      </w:r>
      <w:r>
        <w:rPr/>
        <w:t>que</w:t>
      </w:r>
      <w:r>
        <w:rPr>
          <w:spacing w:val="-6"/>
        </w:rPr>
        <w:t> </w:t>
      </w:r>
      <w:r>
        <w:rPr/>
        <w:t>se</w:t>
      </w:r>
      <w:r>
        <w:rPr>
          <w:spacing w:val="-6"/>
        </w:rPr>
        <w:t> </w:t>
      </w:r>
      <w:r>
        <w:rPr/>
        <w:t>acordó</w:t>
      </w:r>
      <w:r>
        <w:rPr>
          <w:spacing w:val="-7"/>
        </w:rPr>
        <w:t> </w:t>
      </w:r>
      <w:r>
        <w:rPr/>
        <w:t>la</w:t>
      </w:r>
      <w:r>
        <w:rPr>
          <w:spacing w:val="-6"/>
        </w:rPr>
        <w:t> </w:t>
      </w:r>
      <w:r>
        <w:rPr/>
        <w:t>ampliación de tres líneas de autobuses, lo que ha supuesto un coste desde su puesta en marcha hasta diciembre de 2024 de 1.495.474,00 euros.</w:t>
      </w:r>
    </w:p>
    <w:p>
      <w:pPr>
        <w:pStyle w:val="BodyText"/>
        <w:spacing w:before="108"/>
      </w:pPr>
    </w:p>
    <w:p>
      <w:pPr>
        <w:pStyle w:val="Heading4"/>
        <w:numPr>
          <w:ilvl w:val="1"/>
          <w:numId w:val="3"/>
        </w:numPr>
        <w:tabs>
          <w:tab w:pos="1416" w:val="left" w:leader="none"/>
        </w:tabs>
        <w:spacing w:line="240" w:lineRule="auto" w:before="0" w:after="0"/>
        <w:ind w:left="992" w:right="997" w:firstLine="0"/>
        <w:jc w:val="left"/>
      </w:pPr>
      <w:bookmarkStart w:name="_bookmark99" w:id="101"/>
      <w:bookmarkEnd w:id="101"/>
      <w:r>
        <w:rPr>
          <w:b w:val="0"/>
        </w:rPr>
      </w:r>
      <w:r>
        <w:rPr/>
        <w:t>SEGUIMIENTO Y</w:t>
      </w:r>
      <w:r>
        <w:rPr>
          <w:spacing w:val="-1"/>
        </w:rPr>
        <w:t> </w:t>
      </w:r>
      <w:r>
        <w:rPr/>
        <w:t>CONTROL</w:t>
      </w:r>
      <w:r>
        <w:rPr>
          <w:spacing w:val="-1"/>
        </w:rPr>
        <w:t> </w:t>
      </w:r>
      <w:r>
        <w:rPr/>
        <w:t>DE</w:t>
      </w:r>
      <w:r>
        <w:rPr>
          <w:spacing w:val="-1"/>
        </w:rPr>
        <w:t> </w:t>
      </w:r>
      <w:r>
        <w:rPr/>
        <w:t>LA EJECUCIÓN</w:t>
      </w:r>
      <w:r>
        <w:rPr>
          <w:spacing w:val="-1"/>
        </w:rPr>
        <w:t> </w:t>
      </w:r>
      <w:r>
        <w:rPr/>
        <w:t>DE</w:t>
      </w:r>
      <w:r>
        <w:rPr>
          <w:spacing w:val="-1"/>
        </w:rPr>
        <w:t> </w:t>
      </w:r>
      <w:r>
        <w:rPr/>
        <w:t>LAS</w:t>
      </w:r>
      <w:r>
        <w:rPr>
          <w:spacing w:val="-1"/>
        </w:rPr>
        <w:t> </w:t>
      </w:r>
      <w:r>
        <w:rPr/>
        <w:t>ACTUACIONES</w:t>
      </w:r>
      <w:r>
        <w:rPr>
          <w:spacing w:val="-1"/>
        </w:rPr>
        <w:t> </w:t>
      </w:r>
      <w:r>
        <w:rPr/>
        <w:t>FISCALIZADAS Y ENCUESTAS DE SATISFACCIÓN</w:t>
      </w:r>
    </w:p>
    <w:p>
      <w:pPr>
        <w:pStyle w:val="BodyText"/>
        <w:spacing w:before="106"/>
        <w:rPr>
          <w:b/>
        </w:rPr>
      </w:pPr>
    </w:p>
    <w:p>
      <w:pPr>
        <w:pStyle w:val="Heading5"/>
        <w:numPr>
          <w:ilvl w:val="2"/>
          <w:numId w:val="3"/>
        </w:numPr>
        <w:tabs>
          <w:tab w:pos="1739" w:val="left" w:leader="none"/>
        </w:tabs>
        <w:spacing w:line="240" w:lineRule="auto" w:before="0" w:after="0"/>
        <w:ind w:left="1739" w:right="0" w:hanging="606"/>
        <w:jc w:val="left"/>
      </w:pPr>
      <w:bookmarkStart w:name="_bookmark100" w:id="102"/>
      <w:bookmarkEnd w:id="102"/>
      <w:r>
        <w:rPr>
          <w:b w:val="0"/>
        </w:rPr>
      </w:r>
      <w:r>
        <w:rPr/>
        <w:t>Seguimiento</w:t>
      </w:r>
      <w:r>
        <w:rPr>
          <w:spacing w:val="-6"/>
        </w:rPr>
        <w:t> </w:t>
      </w:r>
      <w:r>
        <w:rPr/>
        <w:t>y</w:t>
      </w:r>
      <w:r>
        <w:rPr>
          <w:spacing w:val="-6"/>
        </w:rPr>
        <w:t> </w:t>
      </w:r>
      <w:r>
        <w:rPr/>
        <w:t>control</w:t>
      </w:r>
      <w:r>
        <w:rPr>
          <w:spacing w:val="-7"/>
        </w:rPr>
        <w:t> </w:t>
      </w:r>
      <w:r>
        <w:rPr/>
        <w:t>de</w:t>
      </w:r>
      <w:r>
        <w:rPr>
          <w:spacing w:val="-4"/>
        </w:rPr>
        <w:t> </w:t>
      </w:r>
      <w:r>
        <w:rPr/>
        <w:t>la</w:t>
      </w:r>
      <w:r>
        <w:rPr>
          <w:spacing w:val="-5"/>
        </w:rPr>
        <w:t> </w:t>
      </w:r>
      <w:r>
        <w:rPr/>
        <w:t>ejecución</w:t>
      </w:r>
      <w:r>
        <w:rPr>
          <w:spacing w:val="-4"/>
        </w:rPr>
        <w:t> </w:t>
      </w:r>
      <w:r>
        <w:rPr/>
        <w:t>de</w:t>
      </w:r>
      <w:r>
        <w:rPr>
          <w:spacing w:val="-7"/>
        </w:rPr>
        <w:t> </w:t>
      </w:r>
      <w:r>
        <w:rPr/>
        <w:t>las</w:t>
      </w:r>
      <w:r>
        <w:rPr>
          <w:spacing w:val="-6"/>
        </w:rPr>
        <w:t> </w:t>
      </w:r>
      <w:r>
        <w:rPr/>
        <w:t>actuaciones</w:t>
      </w:r>
      <w:r>
        <w:rPr>
          <w:spacing w:val="-5"/>
        </w:rPr>
        <w:t> </w:t>
      </w:r>
      <w:r>
        <w:rPr>
          <w:spacing w:val="-2"/>
        </w:rPr>
        <w:t>fiscalizadas</w:t>
      </w:r>
    </w:p>
    <w:p>
      <w:pPr>
        <w:pStyle w:val="BodyText"/>
        <w:spacing w:before="241"/>
        <w:ind w:left="992" w:right="985"/>
        <w:jc w:val="both"/>
      </w:pPr>
      <w:r>
        <w:rPr/>
        <w:t>Los</w:t>
      </w:r>
      <w:r>
        <w:rPr>
          <w:spacing w:val="-7"/>
        </w:rPr>
        <w:t> </w:t>
      </w:r>
      <w:r>
        <w:rPr/>
        <w:t>ayuntamientos</w:t>
      </w:r>
      <w:r>
        <w:rPr>
          <w:spacing w:val="-9"/>
        </w:rPr>
        <w:t> </w:t>
      </w:r>
      <w:r>
        <w:rPr/>
        <w:t>fiscalizados</w:t>
      </w:r>
      <w:r>
        <w:rPr>
          <w:spacing w:val="-6"/>
        </w:rPr>
        <w:t> </w:t>
      </w:r>
      <w:r>
        <w:rPr/>
        <w:t>no</w:t>
      </w:r>
      <w:r>
        <w:rPr>
          <w:spacing w:val="-10"/>
        </w:rPr>
        <w:t> </w:t>
      </w:r>
      <w:r>
        <w:rPr/>
        <w:t>han</w:t>
      </w:r>
      <w:r>
        <w:rPr>
          <w:spacing w:val="-10"/>
        </w:rPr>
        <w:t> </w:t>
      </w:r>
      <w:r>
        <w:rPr/>
        <w:t>realizado,</w:t>
      </w:r>
      <w:r>
        <w:rPr>
          <w:spacing w:val="-8"/>
        </w:rPr>
        <w:t> </w:t>
      </w:r>
      <w:r>
        <w:rPr/>
        <w:t>con</w:t>
      </w:r>
      <w:r>
        <w:rPr>
          <w:spacing w:val="-8"/>
        </w:rPr>
        <w:t> </w:t>
      </w:r>
      <w:r>
        <w:rPr/>
        <w:t>carácter</w:t>
      </w:r>
      <w:r>
        <w:rPr>
          <w:spacing w:val="-6"/>
        </w:rPr>
        <w:t> </w:t>
      </w:r>
      <w:r>
        <w:rPr/>
        <w:t>general,</w:t>
      </w:r>
      <w:r>
        <w:rPr>
          <w:spacing w:val="-7"/>
        </w:rPr>
        <w:t> </w:t>
      </w:r>
      <w:r>
        <w:rPr/>
        <w:t>un</w:t>
      </w:r>
      <w:r>
        <w:rPr>
          <w:spacing w:val="-10"/>
        </w:rPr>
        <w:t> </w:t>
      </w:r>
      <w:r>
        <w:rPr/>
        <w:t>seguimiento</w:t>
      </w:r>
      <w:r>
        <w:rPr>
          <w:spacing w:val="-7"/>
        </w:rPr>
        <w:t> </w:t>
      </w:r>
      <w:r>
        <w:rPr/>
        <w:t>posterior</w:t>
      </w:r>
      <w:r>
        <w:rPr>
          <w:spacing w:val="-7"/>
        </w:rPr>
        <w:t> </w:t>
      </w:r>
      <w:r>
        <w:rPr/>
        <w:t>de aquellas actuaciones ejecutadas en 2023 y 2024 expuestas en este Informe y que se encuentran concluidas, en</w:t>
      </w:r>
      <w:r>
        <w:rPr>
          <w:spacing w:val="-2"/>
        </w:rPr>
        <w:t> </w:t>
      </w:r>
      <w:r>
        <w:rPr/>
        <w:t>el</w:t>
      </w:r>
      <w:r>
        <w:rPr>
          <w:spacing w:val="-5"/>
        </w:rPr>
        <w:t> </w:t>
      </w:r>
      <w:r>
        <w:rPr/>
        <w:t>que</w:t>
      </w:r>
      <w:r>
        <w:rPr>
          <w:spacing w:val="-2"/>
        </w:rPr>
        <w:t> </w:t>
      </w:r>
      <w:r>
        <w:rPr/>
        <w:t>hayan</w:t>
      </w:r>
      <w:r>
        <w:rPr>
          <w:spacing w:val="-1"/>
        </w:rPr>
        <w:t> </w:t>
      </w:r>
      <w:r>
        <w:rPr/>
        <w:t>evaluado</w:t>
      </w:r>
      <w:r>
        <w:rPr>
          <w:spacing w:val="-2"/>
        </w:rPr>
        <w:t> </w:t>
      </w:r>
      <w:r>
        <w:rPr/>
        <w:t>su</w:t>
      </w:r>
      <w:r>
        <w:rPr>
          <w:spacing w:val="-4"/>
        </w:rPr>
        <w:t> </w:t>
      </w:r>
      <w:r>
        <w:rPr/>
        <w:t>cumplimiento,</w:t>
      </w:r>
      <w:r>
        <w:rPr>
          <w:spacing w:val="-3"/>
        </w:rPr>
        <w:t> </w:t>
      </w:r>
      <w:r>
        <w:rPr/>
        <w:t>verificado</w:t>
      </w:r>
      <w:r>
        <w:rPr>
          <w:spacing w:val="-2"/>
        </w:rPr>
        <w:t> </w:t>
      </w:r>
      <w:r>
        <w:rPr/>
        <w:t>su</w:t>
      </w:r>
      <w:r>
        <w:rPr>
          <w:spacing w:val="-4"/>
        </w:rPr>
        <w:t> </w:t>
      </w:r>
      <w:r>
        <w:rPr/>
        <w:t>efectividad</w:t>
      </w:r>
      <w:r>
        <w:rPr>
          <w:spacing w:val="-2"/>
        </w:rPr>
        <w:t> </w:t>
      </w:r>
      <w:r>
        <w:rPr/>
        <w:t>y</w:t>
      </w:r>
      <w:r>
        <w:rPr>
          <w:spacing w:val="-1"/>
        </w:rPr>
        <w:t> </w:t>
      </w:r>
      <w:r>
        <w:rPr/>
        <w:t>su</w:t>
      </w:r>
      <w:r>
        <w:rPr>
          <w:spacing w:val="-2"/>
        </w:rPr>
        <w:t> </w:t>
      </w:r>
      <w:r>
        <w:rPr/>
        <w:t>adecuación</w:t>
      </w:r>
      <w:r>
        <w:rPr>
          <w:spacing w:val="-4"/>
        </w:rPr>
        <w:t> </w:t>
      </w:r>
      <w:r>
        <w:rPr/>
        <w:t>a las necesidades efectivas para lograr la sostenibilidad del transporte público colectivo en los municipios, e identificado aspectos susceptibles de mejora.</w:t>
      </w:r>
    </w:p>
    <w:p>
      <w:pPr>
        <w:pStyle w:val="BodyText"/>
        <w:spacing w:before="240"/>
        <w:ind w:left="992" w:right="984"/>
        <w:jc w:val="both"/>
      </w:pPr>
      <w:r>
        <w:rPr/>
        <w:t>Excepcionalmente algunas de las entidades fiscalizadas han hecho algún análisis, mayoritariamente descriptivo, de algunas de esas actuaciones. Los </w:t>
      </w:r>
      <w:r>
        <w:rPr>
          <w:b/>
        </w:rPr>
        <w:t>Ayuntamientos de Alicante, Bilbao, Málaga, Murcia </w:t>
      </w:r>
      <w:r>
        <w:rPr/>
        <w:t>y </w:t>
      </w:r>
      <w:r>
        <w:rPr>
          <w:b/>
        </w:rPr>
        <w:t>Zaragoza </w:t>
      </w:r>
      <w:r>
        <w:rPr/>
        <w:t>o sus empresas municipales se han referido en los informes de seguimiento de algunos de los instrumentos de planificación referidos en el Subapartado II.2 a algunas de las siguientes actuaciones: renovación de la flota e incorporación de vehículos limpios, instalación de cargadores, electrificación de las cocheras, mejora de accesibilidad de las paradas, marquesinas inteligentes o mejoras en el SAE.</w:t>
      </w:r>
    </w:p>
    <w:p>
      <w:pPr>
        <w:pStyle w:val="BodyText"/>
        <w:spacing w:before="241"/>
        <w:ind w:left="992" w:right="986"/>
        <w:jc w:val="both"/>
      </w:pPr>
      <w:r>
        <w:rPr/>
        <w:t>La</w:t>
      </w:r>
      <w:r>
        <w:rPr>
          <w:spacing w:val="-5"/>
        </w:rPr>
        <w:t> </w:t>
      </w:r>
      <w:r>
        <w:rPr/>
        <w:t>empresa</w:t>
      </w:r>
      <w:r>
        <w:rPr>
          <w:spacing w:val="-8"/>
        </w:rPr>
        <w:t> </w:t>
      </w:r>
      <w:r>
        <w:rPr/>
        <w:t>municipal</w:t>
      </w:r>
      <w:r>
        <w:rPr>
          <w:spacing w:val="-6"/>
        </w:rPr>
        <w:t> </w:t>
      </w:r>
      <w:r>
        <w:rPr/>
        <w:t>del</w:t>
      </w:r>
      <w:r>
        <w:rPr>
          <w:spacing w:val="-5"/>
        </w:rPr>
        <w:t> </w:t>
      </w:r>
      <w:r>
        <w:rPr>
          <w:b/>
        </w:rPr>
        <w:t>Ayuntamiento</w:t>
      </w:r>
      <w:r>
        <w:rPr>
          <w:b/>
          <w:spacing w:val="-8"/>
        </w:rPr>
        <w:t> </w:t>
      </w:r>
      <w:r>
        <w:rPr>
          <w:b/>
        </w:rPr>
        <w:t>de</w:t>
      </w:r>
      <w:r>
        <w:rPr>
          <w:b/>
          <w:spacing w:val="-6"/>
        </w:rPr>
        <w:t> </w:t>
      </w:r>
      <w:r>
        <w:rPr>
          <w:b/>
        </w:rPr>
        <w:t>Sevilla</w:t>
      </w:r>
      <w:r>
        <w:rPr>
          <w:b/>
          <w:spacing w:val="-7"/>
        </w:rPr>
        <w:t> </w:t>
      </w:r>
      <w:r>
        <w:rPr/>
        <w:t>realiza</w:t>
      </w:r>
      <w:r>
        <w:rPr>
          <w:spacing w:val="-5"/>
        </w:rPr>
        <w:t> </w:t>
      </w:r>
      <w:r>
        <w:rPr/>
        <w:t>anualmente</w:t>
      </w:r>
      <w:r>
        <w:rPr>
          <w:spacing w:val="-5"/>
        </w:rPr>
        <w:t> </w:t>
      </w:r>
      <w:r>
        <w:rPr/>
        <w:t>un</w:t>
      </w:r>
      <w:r>
        <w:rPr>
          <w:spacing w:val="-5"/>
        </w:rPr>
        <w:t> </w:t>
      </w:r>
      <w:r>
        <w:rPr/>
        <w:t>seguimiento</w:t>
      </w:r>
      <w:r>
        <w:rPr>
          <w:spacing w:val="-5"/>
        </w:rPr>
        <w:t> </w:t>
      </w:r>
      <w:r>
        <w:rPr/>
        <w:t>de</w:t>
      </w:r>
      <w:r>
        <w:rPr>
          <w:spacing w:val="-6"/>
        </w:rPr>
        <w:t> </w:t>
      </w:r>
      <w:r>
        <w:rPr/>
        <w:t>su</w:t>
      </w:r>
      <w:r>
        <w:rPr>
          <w:spacing w:val="-5"/>
        </w:rPr>
        <w:t> </w:t>
      </w:r>
      <w:r>
        <w:rPr/>
        <w:t>Plan Estratégico,</w:t>
      </w:r>
      <w:r>
        <w:rPr>
          <w:spacing w:val="-7"/>
        </w:rPr>
        <w:t> </w:t>
      </w:r>
      <w:r>
        <w:rPr/>
        <w:t>en</w:t>
      </w:r>
      <w:r>
        <w:rPr>
          <w:spacing w:val="-8"/>
        </w:rPr>
        <w:t> </w:t>
      </w:r>
      <w:r>
        <w:rPr/>
        <w:t>el</w:t>
      </w:r>
      <w:r>
        <w:rPr>
          <w:spacing w:val="-6"/>
        </w:rPr>
        <w:t> </w:t>
      </w:r>
      <w:r>
        <w:rPr/>
        <w:t>que</w:t>
      </w:r>
      <w:r>
        <w:rPr>
          <w:spacing w:val="-7"/>
        </w:rPr>
        <w:t> </w:t>
      </w:r>
      <w:r>
        <w:rPr/>
        <w:t>analiza</w:t>
      </w:r>
      <w:r>
        <w:rPr>
          <w:spacing w:val="-5"/>
        </w:rPr>
        <w:t> </w:t>
      </w:r>
      <w:r>
        <w:rPr/>
        <w:t>el</w:t>
      </w:r>
      <w:r>
        <w:rPr>
          <w:spacing w:val="-6"/>
        </w:rPr>
        <w:t> </w:t>
      </w:r>
      <w:r>
        <w:rPr/>
        <w:t>grado</w:t>
      </w:r>
      <w:r>
        <w:rPr>
          <w:spacing w:val="-8"/>
        </w:rPr>
        <w:t> </w:t>
      </w:r>
      <w:r>
        <w:rPr/>
        <w:t>de</w:t>
      </w:r>
      <w:r>
        <w:rPr>
          <w:spacing w:val="-8"/>
        </w:rPr>
        <w:t> </w:t>
      </w:r>
      <w:r>
        <w:rPr/>
        <w:t>cumplimiento</w:t>
      </w:r>
      <w:r>
        <w:rPr>
          <w:spacing w:val="-8"/>
        </w:rPr>
        <w:t> </w:t>
      </w:r>
      <w:r>
        <w:rPr/>
        <w:t>de</w:t>
      </w:r>
      <w:r>
        <w:rPr>
          <w:spacing w:val="-6"/>
        </w:rPr>
        <w:t> </w:t>
      </w:r>
      <w:r>
        <w:rPr/>
        <w:t>las</w:t>
      </w:r>
      <w:r>
        <w:rPr>
          <w:spacing w:val="-10"/>
        </w:rPr>
        <w:t> </w:t>
      </w:r>
      <w:r>
        <w:rPr/>
        <w:t>metas</w:t>
      </w:r>
      <w:r>
        <w:rPr>
          <w:spacing w:val="-10"/>
        </w:rPr>
        <w:t> </w:t>
      </w:r>
      <w:r>
        <w:rPr/>
        <w:t>fijadas</w:t>
      </w:r>
      <w:r>
        <w:rPr>
          <w:spacing w:val="-5"/>
        </w:rPr>
        <w:t> </w:t>
      </w:r>
      <w:r>
        <w:rPr/>
        <w:t>en</w:t>
      </w:r>
      <w:r>
        <w:rPr>
          <w:spacing w:val="-8"/>
        </w:rPr>
        <w:t> </w:t>
      </w:r>
      <w:r>
        <w:rPr/>
        <w:t>el</w:t>
      </w:r>
      <w:r>
        <w:rPr>
          <w:spacing w:val="-6"/>
        </w:rPr>
        <w:t> </w:t>
      </w:r>
      <w:r>
        <w:rPr/>
        <w:t>ejercicio.</w:t>
      </w:r>
      <w:r>
        <w:rPr>
          <w:spacing w:val="-6"/>
        </w:rPr>
        <w:t> </w:t>
      </w:r>
      <w:r>
        <w:rPr/>
        <w:t>En</w:t>
      </w:r>
      <w:r>
        <w:rPr>
          <w:spacing w:val="-8"/>
        </w:rPr>
        <w:t> </w:t>
      </w:r>
      <w:r>
        <w:rPr/>
        <w:t>él</w:t>
      </w:r>
      <w:r>
        <w:rPr>
          <w:spacing w:val="-6"/>
        </w:rPr>
        <w:t> </w:t>
      </w:r>
      <w:r>
        <w:rPr/>
        <w:t>se alude, además de a los extremos antes indicados, a otras cuestiones tales como el grado de accesibilidad del transporte o los avances tecnológicos del sector. Asimismo, ha emitido dos informes que ha presentado al Instituto para la Diversificación y Ahorro de la Energía, en los que expone</w:t>
      </w:r>
      <w:r>
        <w:rPr>
          <w:spacing w:val="-11"/>
        </w:rPr>
        <w:t> </w:t>
      </w:r>
      <w:r>
        <w:rPr/>
        <w:t>los</w:t>
      </w:r>
      <w:r>
        <w:rPr>
          <w:spacing w:val="-11"/>
        </w:rPr>
        <w:t> </w:t>
      </w:r>
      <w:r>
        <w:rPr/>
        <w:t>efectos</w:t>
      </w:r>
      <w:r>
        <w:rPr>
          <w:spacing w:val="-11"/>
        </w:rPr>
        <w:t> </w:t>
      </w:r>
      <w:r>
        <w:rPr/>
        <w:t>que</w:t>
      </w:r>
      <w:r>
        <w:rPr>
          <w:spacing w:val="-14"/>
        </w:rPr>
        <w:t> </w:t>
      </w:r>
      <w:r>
        <w:rPr/>
        <w:t>la</w:t>
      </w:r>
      <w:r>
        <w:rPr>
          <w:spacing w:val="-14"/>
        </w:rPr>
        <w:t> </w:t>
      </w:r>
      <w:r>
        <w:rPr/>
        <w:t>ampliación</w:t>
      </w:r>
      <w:r>
        <w:rPr>
          <w:spacing w:val="-12"/>
        </w:rPr>
        <w:t> </w:t>
      </w:r>
      <w:r>
        <w:rPr/>
        <w:t>de</w:t>
      </w:r>
      <w:r>
        <w:rPr>
          <w:spacing w:val="-14"/>
        </w:rPr>
        <w:t> </w:t>
      </w:r>
      <w:r>
        <w:rPr/>
        <w:t>la</w:t>
      </w:r>
      <w:r>
        <w:rPr>
          <w:spacing w:val="-11"/>
        </w:rPr>
        <w:t> </w:t>
      </w:r>
      <w:r>
        <w:rPr/>
        <w:t>línea</w:t>
      </w:r>
      <w:r>
        <w:rPr>
          <w:spacing w:val="-14"/>
        </w:rPr>
        <w:t> </w:t>
      </w:r>
      <w:r>
        <w:rPr/>
        <w:t>tranviaria</w:t>
      </w:r>
      <w:r>
        <w:rPr>
          <w:spacing w:val="-12"/>
        </w:rPr>
        <w:t> </w:t>
      </w:r>
      <w:r>
        <w:rPr/>
        <w:t>ha</w:t>
      </w:r>
      <w:r>
        <w:rPr>
          <w:spacing w:val="-12"/>
        </w:rPr>
        <w:t> </w:t>
      </w:r>
      <w:r>
        <w:rPr/>
        <w:t>generado</w:t>
      </w:r>
      <w:r>
        <w:rPr>
          <w:spacing w:val="-14"/>
        </w:rPr>
        <w:t> </w:t>
      </w:r>
      <w:r>
        <w:rPr/>
        <w:t>en</w:t>
      </w:r>
      <w:r>
        <w:rPr>
          <w:spacing w:val="-11"/>
        </w:rPr>
        <w:t> </w:t>
      </w:r>
      <w:r>
        <w:rPr/>
        <w:t>el</w:t>
      </w:r>
      <w:r>
        <w:rPr>
          <w:spacing w:val="-12"/>
        </w:rPr>
        <w:t> </w:t>
      </w:r>
      <w:r>
        <w:rPr/>
        <w:t>incremento</w:t>
      </w:r>
      <w:r>
        <w:rPr>
          <w:spacing w:val="-11"/>
        </w:rPr>
        <w:t> </w:t>
      </w:r>
      <w:r>
        <w:rPr/>
        <w:t>del</w:t>
      </w:r>
      <w:r>
        <w:rPr>
          <w:spacing w:val="-14"/>
        </w:rPr>
        <w:t> </w:t>
      </w:r>
      <w:r>
        <w:rPr/>
        <w:t>número de viajeros y en la reducción de emisiones.</w:t>
      </w:r>
    </w:p>
    <w:p>
      <w:pPr>
        <w:pStyle w:val="BodyText"/>
        <w:spacing w:before="240"/>
        <w:ind w:left="992" w:right="987"/>
        <w:jc w:val="both"/>
      </w:pPr>
      <w:r>
        <w:rPr/>
        <w:t>En el caso de aquellas actuaciones cofinanciadas con ayudas del PRTR, los informes de seguimiento emitidos por las entidades beneficiarias describen brevemente los trabajos realizados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9"/>
        <w:jc w:val="both"/>
      </w:pPr>
      <w:r>
        <w:rPr/>
        <w:t>desde el inicio de la actuación hasta la fecha de emisión de estos documentos, la financiación, el grado de ejecución de las actuaciones subvencionadas y, en algunos casos, las incidencias acaecidas en su desarrollo.</w:t>
      </w:r>
    </w:p>
    <w:p>
      <w:pPr>
        <w:pStyle w:val="BodyText"/>
        <w:spacing w:before="242"/>
        <w:ind w:left="992" w:right="988"/>
        <w:jc w:val="both"/>
      </w:pPr>
      <w:r>
        <w:rPr/>
        <w:t>El convenio por el que se constituyó la agrupación de municipios formada por los </w:t>
      </w:r>
      <w:r>
        <w:rPr>
          <w:b/>
        </w:rPr>
        <w:t>Ayuntamientos de Málaga, Palma </w:t>
      </w:r>
      <w:r>
        <w:rPr/>
        <w:t>y </w:t>
      </w:r>
      <w:r>
        <w:rPr>
          <w:b/>
        </w:rPr>
        <w:t>Las Palmas de Gran Canaria</w:t>
      </w:r>
      <w:r>
        <w:rPr/>
        <w:t>, junto con el</w:t>
      </w:r>
      <w:r>
        <w:rPr>
          <w:spacing w:val="-1"/>
        </w:rPr>
        <w:t> </w:t>
      </w:r>
      <w:r>
        <w:rPr/>
        <w:t>de Donostia/San Sebastián, para solicitar subvenciones del Programa de ayudas para la transformación digital y sostenible del transporte urbano, PRTR, contemplaba un trabajo individual de los socios, pues correspondía a cada uno de ellos llevar a cabo un proyecto local con una serie de actuaciones presupuestadas individualmente, y</w:t>
      </w:r>
      <w:r>
        <w:rPr>
          <w:spacing w:val="-4"/>
        </w:rPr>
        <w:t> </w:t>
      </w:r>
      <w:r>
        <w:rPr/>
        <w:t>un</w:t>
      </w:r>
      <w:r>
        <w:rPr>
          <w:spacing w:val="-4"/>
        </w:rPr>
        <w:t> </w:t>
      </w:r>
      <w:r>
        <w:rPr/>
        <w:t>trabajo</w:t>
      </w:r>
      <w:r>
        <w:rPr>
          <w:spacing w:val="-2"/>
        </w:rPr>
        <w:t> </w:t>
      </w:r>
      <w:r>
        <w:rPr/>
        <w:t>colaborativo</w:t>
      </w:r>
      <w:r>
        <w:rPr>
          <w:spacing w:val="-2"/>
        </w:rPr>
        <w:t> </w:t>
      </w:r>
      <w:r>
        <w:rPr/>
        <w:t>de</w:t>
      </w:r>
      <w:r>
        <w:rPr>
          <w:spacing w:val="-4"/>
        </w:rPr>
        <w:t> </w:t>
      </w:r>
      <w:r>
        <w:rPr/>
        <w:t>puesta</w:t>
      </w:r>
      <w:r>
        <w:rPr>
          <w:spacing w:val="-2"/>
        </w:rPr>
        <w:t> </w:t>
      </w:r>
      <w:r>
        <w:rPr/>
        <w:t>en</w:t>
      </w:r>
      <w:r>
        <w:rPr>
          <w:spacing w:val="-4"/>
        </w:rPr>
        <w:t> </w:t>
      </w:r>
      <w:r>
        <w:rPr/>
        <w:t>común</w:t>
      </w:r>
      <w:r>
        <w:rPr>
          <w:spacing w:val="-2"/>
        </w:rPr>
        <w:t> </w:t>
      </w:r>
      <w:r>
        <w:rPr/>
        <w:t>de</w:t>
      </w:r>
      <w:r>
        <w:rPr>
          <w:spacing w:val="-4"/>
        </w:rPr>
        <w:t> </w:t>
      </w:r>
      <w:r>
        <w:rPr/>
        <w:t>las</w:t>
      </w:r>
      <w:r>
        <w:rPr>
          <w:spacing w:val="-2"/>
        </w:rPr>
        <w:t> </w:t>
      </w:r>
      <w:r>
        <w:rPr/>
        <w:t>conclusiones,</w:t>
      </w:r>
      <w:r>
        <w:rPr>
          <w:spacing w:val="-1"/>
        </w:rPr>
        <w:t> </w:t>
      </w:r>
      <w:r>
        <w:rPr/>
        <w:t>procesos</w:t>
      </w:r>
      <w:r>
        <w:rPr>
          <w:spacing w:val="-4"/>
        </w:rPr>
        <w:t> </w:t>
      </w:r>
      <w:r>
        <w:rPr/>
        <w:t>y,</w:t>
      </w:r>
      <w:r>
        <w:rPr>
          <w:spacing w:val="-3"/>
        </w:rPr>
        <w:t> </w:t>
      </w:r>
      <w:r>
        <w:rPr/>
        <w:t>en la</w:t>
      </w:r>
      <w:r>
        <w:rPr>
          <w:spacing w:val="-4"/>
        </w:rPr>
        <w:t> </w:t>
      </w:r>
      <w:r>
        <w:rPr/>
        <w:t>medida</w:t>
      </w:r>
      <w:r>
        <w:rPr>
          <w:spacing w:val="-7"/>
        </w:rPr>
        <w:t> </w:t>
      </w:r>
      <w:r>
        <w:rPr/>
        <w:t>de</w:t>
      </w:r>
      <w:r>
        <w:rPr>
          <w:spacing w:val="-7"/>
        </w:rPr>
        <w:t> </w:t>
      </w:r>
      <w:r>
        <w:rPr/>
        <w:t>lo</w:t>
      </w:r>
      <w:r>
        <w:rPr>
          <w:spacing w:val="-6"/>
        </w:rPr>
        <w:t> </w:t>
      </w:r>
      <w:r>
        <w:rPr/>
        <w:t>posible,</w:t>
      </w:r>
      <w:r>
        <w:rPr>
          <w:spacing w:val="-8"/>
        </w:rPr>
        <w:t> </w:t>
      </w:r>
      <w:r>
        <w:rPr/>
        <w:t>de</w:t>
      </w:r>
      <w:r>
        <w:rPr>
          <w:spacing w:val="-4"/>
        </w:rPr>
        <w:t> </w:t>
      </w:r>
      <w:r>
        <w:rPr/>
        <w:t>desarrollo</w:t>
      </w:r>
      <w:r>
        <w:rPr>
          <w:spacing w:val="-4"/>
        </w:rPr>
        <w:t> </w:t>
      </w:r>
      <w:r>
        <w:rPr/>
        <w:t>de</w:t>
      </w:r>
      <w:r>
        <w:rPr>
          <w:spacing w:val="-9"/>
        </w:rPr>
        <w:t> </w:t>
      </w:r>
      <w:r>
        <w:rPr/>
        <w:t>software</w:t>
      </w:r>
      <w:r>
        <w:rPr>
          <w:spacing w:val="-4"/>
        </w:rPr>
        <w:t> </w:t>
      </w:r>
      <w:r>
        <w:rPr/>
        <w:t>común</w:t>
      </w:r>
      <w:r>
        <w:rPr>
          <w:spacing w:val="-7"/>
        </w:rPr>
        <w:t> </w:t>
      </w:r>
      <w:r>
        <w:rPr/>
        <w:t>para</w:t>
      </w:r>
      <w:r>
        <w:rPr>
          <w:spacing w:val="-6"/>
        </w:rPr>
        <w:t> </w:t>
      </w:r>
      <w:r>
        <w:rPr/>
        <w:t>abaratar</w:t>
      </w:r>
      <w:r>
        <w:rPr>
          <w:spacing w:val="-5"/>
        </w:rPr>
        <w:t> </w:t>
      </w:r>
      <w:r>
        <w:rPr/>
        <w:t>los</w:t>
      </w:r>
      <w:r>
        <w:rPr>
          <w:spacing w:val="-4"/>
        </w:rPr>
        <w:t> </w:t>
      </w:r>
      <w:r>
        <w:rPr/>
        <w:t>costes</w:t>
      </w:r>
      <w:r>
        <w:rPr>
          <w:spacing w:val="-6"/>
        </w:rPr>
        <w:t> </w:t>
      </w:r>
      <w:r>
        <w:rPr/>
        <w:t>y</w:t>
      </w:r>
      <w:r>
        <w:rPr>
          <w:spacing w:val="-8"/>
        </w:rPr>
        <w:t> </w:t>
      </w:r>
      <w:r>
        <w:rPr/>
        <w:t>trabajar</w:t>
      </w:r>
      <w:r>
        <w:rPr>
          <w:spacing w:val="-5"/>
        </w:rPr>
        <w:t> </w:t>
      </w:r>
      <w:r>
        <w:rPr/>
        <w:t>a</w:t>
      </w:r>
      <w:r>
        <w:rPr>
          <w:spacing w:val="-6"/>
        </w:rPr>
        <w:t> </w:t>
      </w:r>
      <w:r>
        <w:rPr/>
        <w:t>favor de la estandarización de los sistemas.</w:t>
      </w:r>
    </w:p>
    <w:p>
      <w:pPr>
        <w:pStyle w:val="BodyText"/>
        <w:spacing w:before="240"/>
        <w:ind w:left="992" w:right="988"/>
        <w:jc w:val="both"/>
      </w:pPr>
      <w:r>
        <w:rPr/>
        <w:t>Así</w:t>
      </w:r>
      <w:r>
        <w:rPr>
          <w:spacing w:val="-16"/>
        </w:rPr>
        <w:t> </w:t>
      </w:r>
      <w:r>
        <w:rPr/>
        <w:t>se</w:t>
      </w:r>
      <w:r>
        <w:rPr>
          <w:spacing w:val="-15"/>
        </w:rPr>
        <w:t> </w:t>
      </w:r>
      <w:r>
        <w:rPr/>
        <w:t>señalaba</w:t>
      </w:r>
      <w:r>
        <w:rPr>
          <w:spacing w:val="-15"/>
        </w:rPr>
        <w:t> </w:t>
      </w:r>
      <w:r>
        <w:rPr/>
        <w:t>en</w:t>
      </w:r>
      <w:r>
        <w:rPr>
          <w:spacing w:val="-16"/>
        </w:rPr>
        <w:t> </w:t>
      </w:r>
      <w:r>
        <w:rPr/>
        <w:t>la</w:t>
      </w:r>
      <w:r>
        <w:rPr>
          <w:spacing w:val="-15"/>
        </w:rPr>
        <w:t> </w:t>
      </w:r>
      <w:r>
        <w:rPr/>
        <w:t>documentación</w:t>
      </w:r>
      <w:r>
        <w:rPr>
          <w:spacing w:val="-15"/>
        </w:rPr>
        <w:t> </w:t>
      </w:r>
      <w:r>
        <w:rPr/>
        <w:t>técnica</w:t>
      </w:r>
      <w:r>
        <w:rPr>
          <w:spacing w:val="-15"/>
        </w:rPr>
        <w:t> </w:t>
      </w:r>
      <w:r>
        <w:rPr/>
        <w:t>presentada</w:t>
      </w:r>
      <w:r>
        <w:rPr>
          <w:spacing w:val="-15"/>
        </w:rPr>
        <w:t> </w:t>
      </w:r>
      <w:r>
        <w:rPr/>
        <w:t>al</w:t>
      </w:r>
      <w:r>
        <w:rPr>
          <w:spacing w:val="-16"/>
        </w:rPr>
        <w:t> </w:t>
      </w:r>
      <w:r>
        <w:rPr/>
        <w:t>MITMA,</w:t>
      </w:r>
      <w:r>
        <w:rPr>
          <w:spacing w:val="-14"/>
        </w:rPr>
        <w:t> </w:t>
      </w:r>
      <w:r>
        <w:rPr/>
        <w:t>según</w:t>
      </w:r>
      <w:r>
        <w:rPr>
          <w:spacing w:val="-16"/>
        </w:rPr>
        <w:t> </w:t>
      </w:r>
      <w:r>
        <w:rPr/>
        <w:t>la</w:t>
      </w:r>
      <w:r>
        <w:rPr>
          <w:spacing w:val="-13"/>
        </w:rPr>
        <w:t> </w:t>
      </w:r>
      <w:r>
        <w:rPr/>
        <w:t>cual</w:t>
      </w:r>
      <w:r>
        <w:rPr>
          <w:spacing w:val="-15"/>
        </w:rPr>
        <w:t> </w:t>
      </w:r>
      <w:r>
        <w:rPr/>
        <w:t>durante</w:t>
      </w:r>
      <w:r>
        <w:rPr>
          <w:spacing w:val="-16"/>
        </w:rPr>
        <w:t> </w:t>
      </w:r>
      <w:r>
        <w:rPr/>
        <w:t>el</w:t>
      </w:r>
      <w:r>
        <w:rPr>
          <w:spacing w:val="-14"/>
        </w:rPr>
        <w:t> </w:t>
      </w:r>
      <w:r>
        <w:rPr/>
        <w:t>periodo de ejecución del proyecto INNOBUS-Tur, los socios compartirían información, software y sistemas expertos, experiencias y evaluación de resultados, iniciativas de mejora de la calidad y la adecuación del servicio a todo tipo de usuarios (grupos vulnerables, mayores, perspectiva de género, capacidades diversas o problemas derivados, movilidad de los cuidados…). Se desarrollarían soluciones tecnológicas para el análisis y optimización del transporte público, coordinando los procesos, datos y vías de solución con otros agentes y ciudades que enfrentaban los mismos retos y problemas de cara al futuro. También se aludía a la puesta en común de las conclusiones, procesos y, en la medida de lo posible, de desarrollo de software común.</w:t>
      </w:r>
    </w:p>
    <w:p>
      <w:pPr>
        <w:pStyle w:val="BodyText"/>
        <w:spacing w:before="238"/>
        <w:ind w:left="992" w:right="987"/>
        <w:jc w:val="both"/>
      </w:pPr>
      <w:r>
        <w:rPr/>
        <w:t>Para llevar a cabo estos trabajos colaborativos la agrupación contaba con una serie de órganos, entre ellos, el Comité del Proyecto, integrado por los representantes designados por los socios y presidido por el</w:t>
      </w:r>
      <w:r>
        <w:rPr>
          <w:spacing w:val="-1"/>
        </w:rPr>
        <w:t> </w:t>
      </w:r>
      <w:r>
        <w:rPr/>
        <w:t>representante del Ayuntamiento Coordinador de la agrupación. Este Comité debía reunirse al menos una vez al año, pudiendo reunirse en cualquier otro momento que fuera necesario, a petición de cualquiera de los socios.</w:t>
      </w:r>
    </w:p>
    <w:p>
      <w:pPr>
        <w:pStyle w:val="BodyText"/>
        <w:spacing w:before="243"/>
        <w:ind w:left="992" w:right="987"/>
        <w:jc w:val="both"/>
      </w:pPr>
      <w:r>
        <w:rPr/>
        <w:t>Pese a estas previsiones, el Comité se ha reunido únicamente en tres ocasiones, todas ellas en 2024 con el único objetivo de revisar la ejecución del proyecto y adoptar decisiones sobre transferencias internas de presupuesto entre actuaciones ejecutadas por cada socio o traspasos entre ciudades y evitar de esta manera posibles incumplimientos en algunas de las actuaciones previstas en el proyecto. Sin embargo, no se abordaron en estas reuniones otras cuestiones para la puesta en común de las conclusiones, procesos y de desarrollo de software común, tal y como se preveía al constituirse la agrupación. Tampoco se han abordado estas cuestiones por la Comisión Técnica, unidad formada por técnicos representantes de cada una de las empresas municipales de transportes integrantes de la agrupación</w:t>
      </w:r>
      <w:hyperlink w:history="true" w:anchor="_bookmark101">
        <w:r>
          <w:rPr>
            <w:vertAlign w:val="superscript"/>
          </w:rPr>
          <w:t>69</w:t>
        </w:r>
        <w:r>
          <w:rPr>
            <w:vertAlign w:val="baseline"/>
          </w:rPr>
          <w:t>.</w:t>
        </w:r>
      </w:hyperlink>
    </w:p>
    <w:p>
      <w:pPr>
        <w:pStyle w:val="BodyText"/>
        <w:rPr>
          <w:sz w:val="20"/>
        </w:rPr>
      </w:pPr>
    </w:p>
    <w:p>
      <w:pPr>
        <w:pStyle w:val="BodyText"/>
        <w:rPr>
          <w:sz w:val="20"/>
        </w:rPr>
      </w:pPr>
    </w:p>
    <w:p>
      <w:pPr>
        <w:pStyle w:val="BodyText"/>
        <w:spacing w:before="74"/>
        <w:rPr>
          <w:sz w:val="20"/>
        </w:rPr>
      </w:pPr>
      <w:r>
        <w:rPr>
          <w:sz w:val="20"/>
        </w:rPr>
        <mc:AlternateContent>
          <mc:Choice Requires="wps">
            <w:drawing>
              <wp:anchor distT="0" distB="0" distL="0" distR="0" allowOverlap="1" layoutInCell="1" locked="0" behindDoc="1" simplePos="0" relativeHeight="487619584">
                <wp:simplePos x="0" y="0"/>
                <wp:positionH relativeFrom="page">
                  <wp:posOffset>719632</wp:posOffset>
                </wp:positionH>
                <wp:positionV relativeFrom="paragraph">
                  <wp:posOffset>208822</wp:posOffset>
                </wp:positionV>
                <wp:extent cx="1829435" cy="9525"/>
                <wp:effectExtent l="0" t="0" r="0" b="0"/>
                <wp:wrapTopAndBottom/>
                <wp:docPr id="199" name="Graphic 199"/>
                <wp:cNvGraphicFramePr>
                  <a:graphicFrameLocks/>
                </wp:cNvGraphicFramePr>
                <a:graphic>
                  <a:graphicData uri="http://schemas.microsoft.com/office/word/2010/wordprocessingShape">
                    <wps:wsp>
                      <wps:cNvPr id="199" name="Graphic 199"/>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6.442743pt;width:144.020pt;height:.72003pt;mso-position-horizontal-relative:page;mso-position-vertical-relative:paragraph;z-index:-15696896;mso-wrap-distance-left:0;mso-wrap-distance-right:0" id="docshape181" filled="true" fillcolor="#000000" stroked="false">
                <v:fill type="solid"/>
                <w10:wrap type="topAndBottom"/>
              </v:rect>
            </w:pict>
          </mc:Fallback>
        </mc:AlternateContent>
      </w:r>
    </w:p>
    <w:p>
      <w:pPr>
        <w:spacing w:line="244" w:lineRule="auto" w:before="118"/>
        <w:ind w:left="992" w:right="985" w:firstLine="0"/>
        <w:jc w:val="both"/>
        <w:rPr>
          <w:sz w:val="18"/>
        </w:rPr>
      </w:pPr>
      <w:bookmarkStart w:name="_bookmark101" w:id="103"/>
      <w:bookmarkEnd w:id="103"/>
      <w:r>
        <w:rPr/>
      </w:r>
      <w:r>
        <w:rPr>
          <w:rFonts w:ascii="Calibri" w:hAnsi="Calibri"/>
          <w:position w:val="8"/>
          <w:sz w:val="14"/>
        </w:rPr>
        <w:t>69</w:t>
      </w:r>
      <w:r>
        <w:rPr>
          <w:sz w:val="18"/>
        </w:rPr>
        <w:t>Los </w:t>
      </w:r>
      <w:r>
        <w:rPr>
          <w:b/>
          <w:sz w:val="18"/>
        </w:rPr>
        <w:t>Ayuntamientos de Las Palmas de Gran Canaria, Málaga </w:t>
      </w:r>
      <w:r>
        <w:rPr>
          <w:sz w:val="18"/>
        </w:rPr>
        <w:t>y </w:t>
      </w:r>
      <w:r>
        <w:rPr>
          <w:b/>
          <w:sz w:val="18"/>
        </w:rPr>
        <w:t>Palma </w:t>
      </w:r>
      <w:r>
        <w:rPr>
          <w:sz w:val="18"/>
        </w:rPr>
        <w:t>han alegado que, además del Comité de Proyecto, existe una Comisión Técnica que ha venido reuniéndose regularmente desde el</w:t>
      </w:r>
      <w:r>
        <w:rPr>
          <w:spacing w:val="-2"/>
          <w:sz w:val="18"/>
        </w:rPr>
        <w:t> </w:t>
      </w:r>
      <w:r>
        <w:rPr>
          <w:sz w:val="18"/>
        </w:rPr>
        <w:t>15 de septiembre de 2022. Al respecto se ha de señalar que la estructura organizativa de la agrupación se contempla en su convenio constitutivo, sin que en él se mencionara a la Comisión Técnica. En el transcurso de las actuaciones fiscalizadoras se solicitó a los tres ayuntamientos</w:t>
      </w:r>
      <w:r>
        <w:rPr>
          <w:spacing w:val="-11"/>
          <w:sz w:val="18"/>
        </w:rPr>
        <w:t> </w:t>
      </w:r>
      <w:r>
        <w:rPr>
          <w:sz w:val="18"/>
        </w:rPr>
        <w:t>información</w:t>
      </w:r>
      <w:r>
        <w:rPr>
          <w:spacing w:val="-13"/>
          <w:sz w:val="18"/>
        </w:rPr>
        <w:t> </w:t>
      </w:r>
      <w:r>
        <w:rPr>
          <w:sz w:val="18"/>
        </w:rPr>
        <w:t>sobre</w:t>
      </w:r>
      <w:r>
        <w:rPr>
          <w:spacing w:val="-10"/>
          <w:sz w:val="18"/>
        </w:rPr>
        <w:t> </w:t>
      </w:r>
      <w:r>
        <w:rPr>
          <w:sz w:val="18"/>
        </w:rPr>
        <w:t>si</w:t>
      </w:r>
      <w:r>
        <w:rPr>
          <w:spacing w:val="-12"/>
          <w:sz w:val="18"/>
        </w:rPr>
        <w:t> </w:t>
      </w:r>
      <w:r>
        <w:rPr>
          <w:sz w:val="18"/>
        </w:rPr>
        <w:t>durante</w:t>
      </w:r>
      <w:r>
        <w:rPr>
          <w:spacing w:val="-10"/>
          <w:sz w:val="18"/>
        </w:rPr>
        <w:t> </w:t>
      </w:r>
      <w:r>
        <w:rPr>
          <w:sz w:val="18"/>
        </w:rPr>
        <w:t>la</w:t>
      </w:r>
      <w:r>
        <w:rPr>
          <w:spacing w:val="-10"/>
          <w:sz w:val="18"/>
        </w:rPr>
        <w:t> </w:t>
      </w:r>
      <w:r>
        <w:rPr>
          <w:sz w:val="18"/>
        </w:rPr>
        <w:t>ejecución</w:t>
      </w:r>
      <w:r>
        <w:rPr>
          <w:spacing w:val="-10"/>
          <w:sz w:val="18"/>
        </w:rPr>
        <w:t> </w:t>
      </w:r>
      <w:r>
        <w:rPr>
          <w:sz w:val="18"/>
        </w:rPr>
        <w:t>del</w:t>
      </w:r>
      <w:r>
        <w:rPr>
          <w:spacing w:val="-12"/>
          <w:sz w:val="18"/>
        </w:rPr>
        <w:t> </w:t>
      </w:r>
      <w:r>
        <w:rPr>
          <w:sz w:val="18"/>
        </w:rPr>
        <w:t>proyecto</w:t>
      </w:r>
      <w:r>
        <w:rPr>
          <w:spacing w:val="-12"/>
          <w:sz w:val="18"/>
        </w:rPr>
        <w:t> </w:t>
      </w:r>
      <w:r>
        <w:rPr>
          <w:sz w:val="18"/>
        </w:rPr>
        <w:t>subvencionado</w:t>
      </w:r>
      <w:r>
        <w:rPr>
          <w:spacing w:val="-10"/>
          <w:sz w:val="18"/>
        </w:rPr>
        <w:t> </w:t>
      </w:r>
      <w:r>
        <w:rPr>
          <w:sz w:val="18"/>
        </w:rPr>
        <w:t>se</w:t>
      </w:r>
      <w:r>
        <w:rPr>
          <w:spacing w:val="-13"/>
          <w:sz w:val="18"/>
        </w:rPr>
        <w:t> </w:t>
      </w:r>
      <w:r>
        <w:rPr>
          <w:sz w:val="18"/>
        </w:rPr>
        <w:t>habían</w:t>
      </w:r>
      <w:r>
        <w:rPr>
          <w:spacing w:val="-12"/>
          <w:sz w:val="18"/>
        </w:rPr>
        <w:t> </w:t>
      </w:r>
      <w:r>
        <w:rPr>
          <w:sz w:val="18"/>
        </w:rPr>
        <w:t>mantenido</w:t>
      </w:r>
      <w:r>
        <w:rPr>
          <w:spacing w:val="-10"/>
          <w:sz w:val="18"/>
        </w:rPr>
        <w:t> </w:t>
      </w:r>
      <w:r>
        <w:rPr>
          <w:sz w:val="18"/>
        </w:rPr>
        <w:t>reuniones</w:t>
      </w:r>
      <w:r>
        <w:rPr>
          <w:spacing w:val="-12"/>
          <w:sz w:val="18"/>
        </w:rPr>
        <w:t> </w:t>
      </w:r>
      <w:r>
        <w:rPr>
          <w:sz w:val="18"/>
        </w:rPr>
        <w:t>para la puesta en común de resultados, intercambio de información, etc, sin que ninguno de ellos comunicara a este Tribunal la existencia de tal Comisión.</w:t>
      </w:r>
    </w:p>
    <w:p>
      <w:pPr>
        <w:spacing w:before="51"/>
        <w:ind w:left="992" w:right="994" w:firstLine="0"/>
        <w:jc w:val="both"/>
        <w:rPr>
          <w:sz w:val="18"/>
        </w:rPr>
      </w:pPr>
      <w:r>
        <w:rPr>
          <w:sz w:val="18"/>
        </w:rPr>
        <w:t>A la vista de las dieciséis actas aportadas en alegaciones, se concluye que la Comisión Técnica, al igual que el Comité del Proyecto, se ha encargado de hacer un seguimiento general del proyecto y del cumplimiento de los hitos, así como de</w:t>
      </w:r>
      <w:r>
        <w:rPr>
          <w:spacing w:val="-11"/>
          <w:sz w:val="18"/>
        </w:rPr>
        <w:t> </w:t>
      </w:r>
      <w:r>
        <w:rPr>
          <w:sz w:val="18"/>
        </w:rPr>
        <w:t>su</w:t>
      </w:r>
      <w:r>
        <w:rPr>
          <w:spacing w:val="-10"/>
          <w:sz w:val="18"/>
        </w:rPr>
        <w:t> </w:t>
      </w:r>
      <w:r>
        <w:rPr>
          <w:sz w:val="18"/>
        </w:rPr>
        <w:t>grado</w:t>
      </w:r>
      <w:r>
        <w:rPr>
          <w:spacing w:val="-10"/>
          <w:sz w:val="18"/>
        </w:rPr>
        <w:t> </w:t>
      </w:r>
      <w:r>
        <w:rPr>
          <w:sz w:val="18"/>
        </w:rPr>
        <w:t>de</w:t>
      </w:r>
      <w:r>
        <w:rPr>
          <w:spacing w:val="-10"/>
          <w:sz w:val="18"/>
        </w:rPr>
        <w:t> </w:t>
      </w:r>
      <w:r>
        <w:rPr>
          <w:sz w:val="18"/>
        </w:rPr>
        <w:t>ejecución</w:t>
      </w:r>
      <w:r>
        <w:rPr>
          <w:spacing w:val="-10"/>
          <w:sz w:val="18"/>
        </w:rPr>
        <w:t> </w:t>
      </w:r>
      <w:r>
        <w:rPr>
          <w:sz w:val="18"/>
        </w:rPr>
        <w:t>por</w:t>
      </w:r>
      <w:r>
        <w:rPr>
          <w:spacing w:val="-13"/>
          <w:sz w:val="18"/>
        </w:rPr>
        <w:t> </w:t>
      </w:r>
      <w:r>
        <w:rPr>
          <w:sz w:val="18"/>
        </w:rPr>
        <w:t>cada</w:t>
      </w:r>
      <w:r>
        <w:rPr>
          <w:spacing w:val="-10"/>
          <w:sz w:val="18"/>
        </w:rPr>
        <w:t> </w:t>
      </w:r>
      <w:r>
        <w:rPr>
          <w:sz w:val="18"/>
        </w:rPr>
        <w:t>socio,</w:t>
      </w:r>
      <w:r>
        <w:rPr>
          <w:spacing w:val="-10"/>
          <w:sz w:val="18"/>
        </w:rPr>
        <w:t> </w:t>
      </w:r>
      <w:r>
        <w:rPr>
          <w:sz w:val="18"/>
        </w:rPr>
        <w:t>de</w:t>
      </w:r>
      <w:r>
        <w:rPr>
          <w:spacing w:val="-13"/>
          <w:sz w:val="18"/>
        </w:rPr>
        <w:t> </w:t>
      </w:r>
      <w:r>
        <w:rPr>
          <w:sz w:val="18"/>
        </w:rPr>
        <w:t>cara</w:t>
      </w:r>
      <w:r>
        <w:rPr>
          <w:spacing w:val="-10"/>
          <w:sz w:val="18"/>
        </w:rPr>
        <w:t> </w:t>
      </w:r>
      <w:r>
        <w:rPr>
          <w:sz w:val="18"/>
        </w:rPr>
        <w:t>a</w:t>
      </w:r>
      <w:r>
        <w:rPr>
          <w:spacing w:val="-13"/>
          <w:sz w:val="18"/>
        </w:rPr>
        <w:t> </w:t>
      </w:r>
      <w:r>
        <w:rPr>
          <w:sz w:val="18"/>
        </w:rPr>
        <w:t>la</w:t>
      </w:r>
      <w:r>
        <w:rPr>
          <w:spacing w:val="-10"/>
          <w:sz w:val="18"/>
        </w:rPr>
        <w:t> </w:t>
      </w:r>
      <w:r>
        <w:rPr>
          <w:sz w:val="18"/>
        </w:rPr>
        <w:t>formulación</w:t>
      </w:r>
      <w:r>
        <w:rPr>
          <w:spacing w:val="-13"/>
          <w:sz w:val="18"/>
        </w:rPr>
        <w:t> </w:t>
      </w:r>
      <w:r>
        <w:rPr>
          <w:sz w:val="18"/>
        </w:rPr>
        <w:t>de</w:t>
      </w:r>
      <w:r>
        <w:rPr>
          <w:spacing w:val="-10"/>
          <w:sz w:val="18"/>
        </w:rPr>
        <w:t> </w:t>
      </w:r>
      <w:r>
        <w:rPr>
          <w:sz w:val="18"/>
        </w:rPr>
        <w:t>modificaciones</w:t>
      </w:r>
      <w:r>
        <w:rPr>
          <w:spacing w:val="-10"/>
          <w:sz w:val="18"/>
        </w:rPr>
        <w:t> </w:t>
      </w:r>
      <w:r>
        <w:rPr>
          <w:sz w:val="18"/>
        </w:rPr>
        <w:t>y</w:t>
      </w:r>
      <w:r>
        <w:rPr>
          <w:spacing w:val="-10"/>
          <w:sz w:val="18"/>
        </w:rPr>
        <w:t> </w:t>
      </w:r>
      <w:r>
        <w:rPr>
          <w:sz w:val="18"/>
        </w:rPr>
        <w:t>de</w:t>
      </w:r>
      <w:r>
        <w:rPr>
          <w:spacing w:val="-13"/>
          <w:sz w:val="18"/>
        </w:rPr>
        <w:t> </w:t>
      </w:r>
      <w:r>
        <w:rPr>
          <w:sz w:val="18"/>
        </w:rPr>
        <w:t>la</w:t>
      </w:r>
      <w:r>
        <w:rPr>
          <w:spacing w:val="-12"/>
          <w:sz w:val="18"/>
        </w:rPr>
        <w:t> </w:t>
      </w:r>
      <w:r>
        <w:rPr>
          <w:sz w:val="18"/>
        </w:rPr>
        <w:t>presentación</w:t>
      </w:r>
      <w:r>
        <w:rPr>
          <w:spacing w:val="-10"/>
          <w:sz w:val="18"/>
        </w:rPr>
        <w:t> </w:t>
      </w:r>
      <w:r>
        <w:rPr>
          <w:sz w:val="18"/>
        </w:rPr>
        <w:t>de</w:t>
      </w:r>
      <w:r>
        <w:rPr>
          <w:spacing w:val="-10"/>
          <w:sz w:val="18"/>
        </w:rPr>
        <w:t> </w:t>
      </w:r>
      <w:r>
        <w:rPr>
          <w:sz w:val="18"/>
        </w:rPr>
        <w:t>la</w:t>
      </w:r>
      <w:r>
        <w:rPr>
          <w:spacing w:val="-13"/>
          <w:sz w:val="18"/>
        </w:rPr>
        <w:t> </w:t>
      </w:r>
      <w:r>
        <w:rPr>
          <w:sz w:val="18"/>
        </w:rPr>
        <w:t>justificación de la subvención ante el MITMA, pero no ha abordado otras cuestiones para la puesta en común de las conclusiones, procesos y de desarrollo de software común.</w:t>
      </w:r>
    </w:p>
    <w:p>
      <w:pPr>
        <w:spacing w:after="0"/>
        <w:jc w:val="both"/>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7"/>
        <w:jc w:val="both"/>
      </w:pPr>
      <w:r>
        <w:rPr/>
        <w:t>Dado que la agrupación ha presentado la documentación justificativa de la subvención el 30 de septiembre de 2025, coincidiendo con la fecha de cierre de los trabajos de fiscalización, no hay constancia de la existencia de resultados patentables como consecuencia del proyecto ejecutado, ya</w:t>
      </w:r>
      <w:r>
        <w:rPr>
          <w:spacing w:val="-1"/>
        </w:rPr>
        <w:t> </w:t>
      </w:r>
      <w:r>
        <w:rPr/>
        <w:t>sea</w:t>
      </w:r>
      <w:r>
        <w:rPr>
          <w:spacing w:val="-1"/>
        </w:rPr>
        <w:t> </w:t>
      </w:r>
      <w:r>
        <w:rPr/>
        <w:t>de</w:t>
      </w:r>
      <w:r>
        <w:rPr>
          <w:spacing w:val="-3"/>
        </w:rPr>
        <w:t> </w:t>
      </w:r>
      <w:r>
        <w:rPr/>
        <w:t>forma</w:t>
      </w:r>
      <w:r>
        <w:rPr>
          <w:spacing w:val="-1"/>
        </w:rPr>
        <w:t> </w:t>
      </w:r>
      <w:r>
        <w:rPr/>
        <w:t>individual</w:t>
      </w:r>
      <w:r>
        <w:rPr>
          <w:spacing w:val="-2"/>
        </w:rPr>
        <w:t> </w:t>
      </w:r>
      <w:r>
        <w:rPr/>
        <w:t>por alguno</w:t>
      </w:r>
      <w:r>
        <w:rPr>
          <w:spacing w:val="-1"/>
        </w:rPr>
        <w:t> </w:t>
      </w:r>
      <w:r>
        <w:rPr/>
        <w:t>de</w:t>
      </w:r>
      <w:r>
        <w:rPr>
          <w:spacing w:val="-1"/>
        </w:rPr>
        <w:t> </w:t>
      </w:r>
      <w:r>
        <w:rPr/>
        <w:t>los</w:t>
      </w:r>
      <w:r>
        <w:rPr>
          <w:spacing w:val="-1"/>
        </w:rPr>
        <w:t> </w:t>
      </w:r>
      <w:r>
        <w:rPr/>
        <w:t>socios</w:t>
      </w:r>
      <w:r>
        <w:rPr>
          <w:spacing w:val="-1"/>
        </w:rPr>
        <w:t> </w:t>
      </w:r>
      <w:r>
        <w:rPr/>
        <w:t>o bien</w:t>
      </w:r>
      <w:r>
        <w:rPr>
          <w:spacing w:val="-1"/>
        </w:rPr>
        <w:t> </w:t>
      </w:r>
      <w:r>
        <w:rPr/>
        <w:t>de</w:t>
      </w:r>
      <w:r>
        <w:rPr>
          <w:spacing w:val="-1"/>
        </w:rPr>
        <w:t> </w:t>
      </w:r>
      <w:r>
        <w:rPr/>
        <w:t>resultados</w:t>
      </w:r>
      <w:r>
        <w:rPr>
          <w:spacing w:val="-1"/>
        </w:rPr>
        <w:t> </w:t>
      </w:r>
      <w:r>
        <w:rPr/>
        <w:t>conjuntos</w:t>
      </w:r>
      <w:r>
        <w:rPr>
          <w:spacing w:val="-3"/>
        </w:rPr>
        <w:t> </w:t>
      </w:r>
      <w:r>
        <w:rPr/>
        <w:t>fruto del</w:t>
      </w:r>
      <w:r>
        <w:rPr>
          <w:spacing w:val="-4"/>
        </w:rPr>
        <w:t> </w:t>
      </w:r>
      <w:r>
        <w:rPr/>
        <w:t>trabajo colaborativo</w:t>
      </w:r>
      <w:r>
        <w:rPr>
          <w:spacing w:val="-7"/>
        </w:rPr>
        <w:t> </w:t>
      </w:r>
      <w:r>
        <w:rPr/>
        <w:t>desarrollado. De</w:t>
      </w:r>
      <w:r>
        <w:rPr>
          <w:spacing w:val="-7"/>
        </w:rPr>
        <w:t> </w:t>
      </w:r>
      <w:r>
        <w:rPr/>
        <w:t>llevarse</w:t>
      </w:r>
      <w:r>
        <w:rPr>
          <w:spacing w:val="-10"/>
        </w:rPr>
        <w:t> </w:t>
      </w:r>
      <w:r>
        <w:rPr/>
        <w:t>a</w:t>
      </w:r>
      <w:r>
        <w:rPr>
          <w:spacing w:val="-7"/>
        </w:rPr>
        <w:t> </w:t>
      </w:r>
      <w:r>
        <w:rPr/>
        <w:t>efecto,</w:t>
      </w:r>
      <w:r>
        <w:rPr>
          <w:spacing w:val="-4"/>
        </w:rPr>
        <w:t> </w:t>
      </w:r>
      <w:r>
        <w:rPr/>
        <w:t>las</w:t>
      </w:r>
      <w:r>
        <w:rPr>
          <w:spacing w:val="-10"/>
        </w:rPr>
        <w:t> </w:t>
      </w:r>
      <w:r>
        <w:rPr/>
        <w:t>entidades</w:t>
      </w:r>
      <w:r>
        <w:rPr>
          <w:spacing w:val="-7"/>
        </w:rPr>
        <w:t> </w:t>
      </w:r>
      <w:r>
        <w:rPr/>
        <w:t>participantes</w:t>
      </w:r>
      <w:r>
        <w:rPr>
          <w:spacing w:val="-11"/>
        </w:rPr>
        <w:t> </w:t>
      </w:r>
      <w:r>
        <w:rPr/>
        <w:t>en</w:t>
      </w:r>
      <w:r>
        <w:rPr>
          <w:spacing w:val="-8"/>
        </w:rPr>
        <w:t> </w:t>
      </w:r>
      <w:r>
        <w:rPr/>
        <w:t>la</w:t>
      </w:r>
      <w:r>
        <w:rPr>
          <w:spacing w:val="-7"/>
        </w:rPr>
        <w:t> </w:t>
      </w:r>
      <w:r>
        <w:rPr/>
        <w:t>agrupación</w:t>
      </w:r>
      <w:r>
        <w:rPr>
          <w:spacing w:val="-8"/>
        </w:rPr>
        <w:t> </w:t>
      </w:r>
      <w:r>
        <w:rPr/>
        <w:t>podrán compartir</w:t>
      </w:r>
      <w:r>
        <w:rPr>
          <w:spacing w:val="-11"/>
        </w:rPr>
        <w:t> </w:t>
      </w:r>
      <w:r>
        <w:rPr/>
        <w:t>experiencias,</w:t>
      </w:r>
      <w:r>
        <w:rPr>
          <w:spacing w:val="-12"/>
        </w:rPr>
        <w:t> </w:t>
      </w:r>
      <w:r>
        <w:rPr/>
        <w:t>solventar</w:t>
      </w:r>
      <w:r>
        <w:rPr>
          <w:spacing w:val="-11"/>
        </w:rPr>
        <w:t> </w:t>
      </w:r>
      <w:r>
        <w:rPr/>
        <w:t>problemas</w:t>
      </w:r>
      <w:r>
        <w:rPr>
          <w:spacing w:val="-12"/>
        </w:rPr>
        <w:t> </w:t>
      </w:r>
      <w:r>
        <w:rPr/>
        <w:t>que</w:t>
      </w:r>
      <w:r>
        <w:rPr>
          <w:spacing w:val="-14"/>
        </w:rPr>
        <w:t> </w:t>
      </w:r>
      <w:r>
        <w:rPr/>
        <w:t>pudieran</w:t>
      </w:r>
      <w:r>
        <w:rPr>
          <w:spacing w:val="-12"/>
        </w:rPr>
        <w:t> </w:t>
      </w:r>
      <w:r>
        <w:rPr/>
        <w:t>presentarse</w:t>
      </w:r>
      <w:r>
        <w:rPr>
          <w:spacing w:val="-13"/>
        </w:rPr>
        <w:t> </w:t>
      </w:r>
      <w:r>
        <w:rPr/>
        <w:t>en</w:t>
      </w:r>
      <w:r>
        <w:rPr>
          <w:spacing w:val="-12"/>
        </w:rPr>
        <w:t> </w:t>
      </w:r>
      <w:r>
        <w:rPr/>
        <w:t>el</w:t>
      </w:r>
      <w:r>
        <w:rPr>
          <w:spacing w:val="-13"/>
        </w:rPr>
        <w:t> </w:t>
      </w:r>
      <w:r>
        <w:rPr/>
        <w:t>futuro</w:t>
      </w:r>
      <w:r>
        <w:rPr>
          <w:spacing w:val="-12"/>
        </w:rPr>
        <w:t> </w:t>
      </w:r>
      <w:r>
        <w:rPr/>
        <w:t>y</w:t>
      </w:r>
      <w:r>
        <w:rPr>
          <w:spacing w:val="-12"/>
        </w:rPr>
        <w:t> </w:t>
      </w:r>
      <w:r>
        <w:rPr/>
        <w:t>ahorrar</w:t>
      </w:r>
      <w:r>
        <w:rPr>
          <w:spacing w:val="-11"/>
        </w:rPr>
        <w:t> </w:t>
      </w:r>
      <w:r>
        <w:rPr/>
        <w:t>costes, que eran</w:t>
      </w:r>
      <w:r>
        <w:rPr>
          <w:spacing w:val="-2"/>
        </w:rPr>
        <w:t> </w:t>
      </w:r>
      <w:r>
        <w:rPr/>
        <w:t>algunos de</w:t>
      </w:r>
      <w:r>
        <w:rPr>
          <w:spacing w:val="-2"/>
        </w:rPr>
        <w:t> </w:t>
      </w:r>
      <w:r>
        <w:rPr/>
        <w:t>los</w:t>
      </w:r>
      <w:r>
        <w:rPr>
          <w:spacing w:val="-2"/>
        </w:rPr>
        <w:t> </w:t>
      </w:r>
      <w:r>
        <w:rPr/>
        <w:t>objetivos</w:t>
      </w:r>
      <w:r>
        <w:rPr>
          <w:spacing w:val="-2"/>
        </w:rPr>
        <w:t> </w:t>
      </w:r>
      <w:r>
        <w:rPr/>
        <w:t>propuestos, lo</w:t>
      </w:r>
      <w:r>
        <w:rPr>
          <w:spacing w:val="-4"/>
        </w:rPr>
        <w:t> </w:t>
      </w:r>
      <w:r>
        <w:rPr/>
        <w:t>que redundará en</w:t>
      </w:r>
      <w:r>
        <w:rPr>
          <w:spacing w:val="-2"/>
        </w:rPr>
        <w:t> </w:t>
      </w:r>
      <w:r>
        <w:rPr/>
        <w:t>la eficacia y en</w:t>
      </w:r>
      <w:r>
        <w:rPr>
          <w:spacing w:val="-2"/>
        </w:rPr>
        <w:t> </w:t>
      </w:r>
      <w:r>
        <w:rPr/>
        <w:t>la economía de las actuaciones ejecutadas.</w:t>
      </w:r>
    </w:p>
    <w:p>
      <w:pPr>
        <w:pStyle w:val="BodyText"/>
        <w:spacing w:before="242"/>
        <w:ind w:left="992" w:right="983"/>
        <w:jc w:val="both"/>
      </w:pPr>
      <w:r>
        <w:rPr/>
        <w:t>A</w:t>
      </w:r>
      <w:r>
        <w:rPr>
          <w:spacing w:val="-7"/>
        </w:rPr>
        <w:t> </w:t>
      </w:r>
      <w:r>
        <w:rPr/>
        <w:t>fecha</w:t>
      </w:r>
      <w:r>
        <w:rPr>
          <w:spacing w:val="-9"/>
        </w:rPr>
        <w:t> </w:t>
      </w:r>
      <w:r>
        <w:rPr/>
        <w:t>de</w:t>
      </w:r>
      <w:r>
        <w:rPr>
          <w:spacing w:val="-9"/>
        </w:rPr>
        <w:t> </w:t>
      </w:r>
      <w:r>
        <w:rPr/>
        <w:t>cierre</w:t>
      </w:r>
      <w:r>
        <w:rPr>
          <w:spacing w:val="-9"/>
        </w:rPr>
        <w:t> </w:t>
      </w:r>
      <w:r>
        <w:rPr/>
        <w:t>de</w:t>
      </w:r>
      <w:r>
        <w:rPr>
          <w:spacing w:val="-9"/>
        </w:rPr>
        <w:t> </w:t>
      </w:r>
      <w:r>
        <w:rPr/>
        <w:t>los</w:t>
      </w:r>
      <w:r>
        <w:rPr>
          <w:spacing w:val="-9"/>
        </w:rPr>
        <w:t> </w:t>
      </w:r>
      <w:r>
        <w:rPr/>
        <w:t>trabajos</w:t>
      </w:r>
      <w:r>
        <w:rPr>
          <w:spacing w:val="-9"/>
        </w:rPr>
        <w:t> </w:t>
      </w:r>
      <w:r>
        <w:rPr/>
        <w:t>de</w:t>
      </w:r>
      <w:r>
        <w:rPr>
          <w:spacing w:val="-12"/>
        </w:rPr>
        <w:t> </w:t>
      </w:r>
      <w:r>
        <w:rPr/>
        <w:t>fiscalización</w:t>
      </w:r>
      <w:r>
        <w:rPr>
          <w:spacing w:val="-7"/>
        </w:rPr>
        <w:t> </w:t>
      </w:r>
      <w:r>
        <w:rPr/>
        <w:t>las</w:t>
      </w:r>
      <w:r>
        <w:rPr>
          <w:spacing w:val="-6"/>
        </w:rPr>
        <w:t> </w:t>
      </w:r>
      <w:r>
        <w:rPr/>
        <w:t>entidades</w:t>
      </w:r>
      <w:r>
        <w:rPr>
          <w:spacing w:val="-6"/>
        </w:rPr>
        <w:t> </w:t>
      </w:r>
      <w:r>
        <w:rPr/>
        <w:t>han</w:t>
      </w:r>
      <w:r>
        <w:rPr>
          <w:spacing w:val="-9"/>
        </w:rPr>
        <w:t> </w:t>
      </w:r>
      <w:r>
        <w:rPr/>
        <w:t>informado</w:t>
      </w:r>
      <w:r>
        <w:rPr>
          <w:spacing w:val="-7"/>
        </w:rPr>
        <w:t> </w:t>
      </w:r>
      <w:r>
        <w:rPr/>
        <w:t>sobre</w:t>
      </w:r>
      <w:r>
        <w:rPr>
          <w:spacing w:val="-6"/>
        </w:rPr>
        <w:t> </w:t>
      </w:r>
      <w:r>
        <w:rPr/>
        <w:t>las</w:t>
      </w:r>
      <w:r>
        <w:rPr>
          <w:spacing w:val="-9"/>
        </w:rPr>
        <w:t> </w:t>
      </w:r>
      <w:r>
        <w:rPr/>
        <w:t>actuaciones previstas</w:t>
      </w:r>
      <w:r>
        <w:rPr>
          <w:spacing w:val="-15"/>
        </w:rPr>
        <w:t> </w:t>
      </w:r>
      <w:r>
        <w:rPr/>
        <w:t>a</w:t>
      </w:r>
      <w:r>
        <w:rPr>
          <w:spacing w:val="-15"/>
        </w:rPr>
        <w:t> </w:t>
      </w:r>
      <w:r>
        <w:rPr/>
        <w:t>fin</w:t>
      </w:r>
      <w:r>
        <w:rPr>
          <w:spacing w:val="-13"/>
        </w:rPr>
        <w:t> </w:t>
      </w:r>
      <w:r>
        <w:rPr/>
        <w:t>de</w:t>
      </w:r>
      <w:r>
        <w:rPr>
          <w:spacing w:val="-15"/>
        </w:rPr>
        <w:t> </w:t>
      </w:r>
      <w:r>
        <w:rPr/>
        <w:t>dar</w:t>
      </w:r>
      <w:r>
        <w:rPr>
          <w:spacing w:val="-14"/>
        </w:rPr>
        <w:t> </w:t>
      </w:r>
      <w:r>
        <w:rPr/>
        <w:t>cuenta</w:t>
      </w:r>
      <w:r>
        <w:rPr>
          <w:spacing w:val="-12"/>
        </w:rPr>
        <w:t> </w:t>
      </w:r>
      <w:r>
        <w:rPr/>
        <w:t>de</w:t>
      </w:r>
      <w:r>
        <w:rPr>
          <w:spacing w:val="-15"/>
        </w:rPr>
        <w:t> </w:t>
      </w:r>
      <w:r>
        <w:rPr/>
        <w:t>los</w:t>
      </w:r>
      <w:r>
        <w:rPr>
          <w:spacing w:val="-12"/>
        </w:rPr>
        <w:t> </w:t>
      </w:r>
      <w:r>
        <w:rPr/>
        <w:t>gastos</w:t>
      </w:r>
      <w:r>
        <w:rPr>
          <w:spacing w:val="-15"/>
        </w:rPr>
        <w:t> </w:t>
      </w:r>
      <w:r>
        <w:rPr/>
        <w:t>efectuados</w:t>
      </w:r>
      <w:r>
        <w:rPr>
          <w:spacing w:val="-12"/>
        </w:rPr>
        <w:t> </w:t>
      </w:r>
      <w:r>
        <w:rPr/>
        <w:t>y</w:t>
      </w:r>
      <w:r>
        <w:rPr>
          <w:spacing w:val="-15"/>
        </w:rPr>
        <w:t> </w:t>
      </w:r>
      <w:r>
        <w:rPr/>
        <w:t>de</w:t>
      </w:r>
      <w:r>
        <w:rPr>
          <w:spacing w:val="-13"/>
        </w:rPr>
        <w:t> </w:t>
      </w:r>
      <w:r>
        <w:rPr/>
        <w:t>las</w:t>
      </w:r>
      <w:r>
        <w:rPr>
          <w:spacing w:val="-15"/>
        </w:rPr>
        <w:t> </w:t>
      </w:r>
      <w:r>
        <w:rPr/>
        <w:t>liquidaciones</w:t>
      </w:r>
      <w:r>
        <w:rPr>
          <w:spacing w:val="-12"/>
        </w:rPr>
        <w:t> </w:t>
      </w:r>
      <w:r>
        <w:rPr/>
        <w:t>que</w:t>
      </w:r>
      <w:r>
        <w:rPr>
          <w:spacing w:val="-13"/>
        </w:rPr>
        <w:t> </w:t>
      </w:r>
      <w:r>
        <w:rPr/>
        <w:t>pudieran</w:t>
      </w:r>
      <w:r>
        <w:rPr>
          <w:spacing w:val="-15"/>
        </w:rPr>
        <w:t> </w:t>
      </w:r>
      <w:r>
        <w:rPr/>
        <w:t>realizarse, pero</w:t>
      </w:r>
      <w:r>
        <w:rPr>
          <w:spacing w:val="-4"/>
        </w:rPr>
        <w:t> </w:t>
      </w:r>
      <w:r>
        <w:rPr/>
        <w:t>no</w:t>
      </w:r>
      <w:r>
        <w:rPr>
          <w:spacing w:val="-4"/>
        </w:rPr>
        <w:t> </w:t>
      </w:r>
      <w:r>
        <w:rPr/>
        <w:t>así</w:t>
      </w:r>
      <w:r>
        <w:rPr>
          <w:spacing w:val="-3"/>
        </w:rPr>
        <w:t> </w:t>
      </w:r>
      <w:r>
        <w:rPr/>
        <w:t>sobre</w:t>
      </w:r>
      <w:r>
        <w:rPr>
          <w:spacing w:val="-4"/>
        </w:rPr>
        <w:t> </w:t>
      </w:r>
      <w:r>
        <w:rPr/>
        <w:t>la</w:t>
      </w:r>
      <w:r>
        <w:rPr>
          <w:spacing w:val="-4"/>
        </w:rPr>
        <w:t> </w:t>
      </w:r>
      <w:r>
        <w:rPr/>
        <w:t>puesta</w:t>
      </w:r>
      <w:r>
        <w:rPr>
          <w:spacing w:val="-4"/>
        </w:rPr>
        <w:t> </w:t>
      </w:r>
      <w:r>
        <w:rPr/>
        <w:t>en</w:t>
      </w:r>
      <w:r>
        <w:rPr>
          <w:spacing w:val="-4"/>
        </w:rPr>
        <w:t> </w:t>
      </w:r>
      <w:r>
        <w:rPr/>
        <w:t>común</w:t>
      </w:r>
      <w:r>
        <w:rPr>
          <w:spacing w:val="-4"/>
        </w:rPr>
        <w:t> </w:t>
      </w:r>
      <w:r>
        <w:rPr/>
        <w:t>de</w:t>
      </w:r>
      <w:r>
        <w:rPr>
          <w:spacing w:val="-4"/>
        </w:rPr>
        <w:t> </w:t>
      </w:r>
      <w:r>
        <w:rPr/>
        <w:t>los</w:t>
      </w:r>
      <w:r>
        <w:rPr>
          <w:spacing w:val="-6"/>
        </w:rPr>
        <w:t> </w:t>
      </w:r>
      <w:r>
        <w:rPr/>
        <w:t>trabajos</w:t>
      </w:r>
      <w:r>
        <w:rPr>
          <w:spacing w:val="-2"/>
        </w:rPr>
        <w:t> </w:t>
      </w:r>
      <w:r>
        <w:rPr/>
        <w:t>realizados.</w:t>
      </w:r>
      <w:r>
        <w:rPr>
          <w:spacing w:val="-3"/>
        </w:rPr>
        <w:t> </w:t>
      </w:r>
      <w:r>
        <w:rPr/>
        <w:t>Según</w:t>
      </w:r>
      <w:r>
        <w:rPr>
          <w:spacing w:val="-4"/>
        </w:rPr>
        <w:t> </w:t>
      </w:r>
      <w:r>
        <w:rPr/>
        <w:t>la</w:t>
      </w:r>
      <w:r>
        <w:rPr>
          <w:spacing w:val="-4"/>
        </w:rPr>
        <w:t> </w:t>
      </w:r>
      <w:r>
        <w:rPr/>
        <w:t>información</w:t>
      </w:r>
      <w:r>
        <w:rPr>
          <w:spacing w:val="-4"/>
        </w:rPr>
        <w:t> </w:t>
      </w:r>
      <w:r>
        <w:rPr/>
        <w:t>facilitada,</w:t>
      </w:r>
      <w:r>
        <w:rPr>
          <w:spacing w:val="-3"/>
        </w:rPr>
        <w:t> </w:t>
      </w:r>
      <w:r>
        <w:rPr/>
        <w:t>el Ayuntamiento</w:t>
      </w:r>
      <w:r>
        <w:rPr>
          <w:spacing w:val="-8"/>
        </w:rPr>
        <w:t> </w:t>
      </w:r>
      <w:r>
        <w:rPr/>
        <w:t>de</w:t>
      </w:r>
      <w:r>
        <w:rPr>
          <w:spacing w:val="-7"/>
        </w:rPr>
        <w:t> </w:t>
      </w:r>
      <w:r>
        <w:rPr/>
        <w:t>San</w:t>
      </w:r>
      <w:r>
        <w:rPr>
          <w:spacing w:val="-9"/>
        </w:rPr>
        <w:t> </w:t>
      </w:r>
      <w:r>
        <w:rPr/>
        <w:t>Sebastián</w:t>
      </w:r>
      <w:r>
        <w:rPr>
          <w:spacing w:val="-7"/>
        </w:rPr>
        <w:t> </w:t>
      </w:r>
      <w:r>
        <w:rPr/>
        <w:t>plantea</w:t>
      </w:r>
      <w:r>
        <w:rPr>
          <w:spacing w:val="-9"/>
        </w:rPr>
        <w:t> </w:t>
      </w:r>
      <w:r>
        <w:rPr/>
        <w:t>realizar</w:t>
      </w:r>
      <w:r>
        <w:rPr>
          <w:spacing w:val="-6"/>
        </w:rPr>
        <w:t> </w:t>
      </w:r>
      <w:r>
        <w:rPr/>
        <w:t>una</w:t>
      </w:r>
      <w:r>
        <w:rPr>
          <w:spacing w:val="-7"/>
        </w:rPr>
        <w:t> </w:t>
      </w:r>
      <w:r>
        <w:rPr/>
        <w:t>convocatoria</w:t>
      </w:r>
      <w:r>
        <w:rPr>
          <w:spacing w:val="-7"/>
        </w:rPr>
        <w:t> </w:t>
      </w:r>
      <w:r>
        <w:rPr/>
        <w:t>del</w:t>
      </w:r>
      <w:r>
        <w:rPr>
          <w:spacing w:val="-7"/>
        </w:rPr>
        <w:t> </w:t>
      </w:r>
      <w:r>
        <w:rPr/>
        <w:t>Comité</w:t>
      </w:r>
      <w:r>
        <w:rPr>
          <w:spacing w:val="-6"/>
        </w:rPr>
        <w:t> </w:t>
      </w:r>
      <w:r>
        <w:rPr/>
        <w:t>de</w:t>
      </w:r>
      <w:r>
        <w:rPr>
          <w:spacing w:val="-7"/>
        </w:rPr>
        <w:t> </w:t>
      </w:r>
      <w:r>
        <w:rPr/>
        <w:t>Proyecto</w:t>
      </w:r>
      <w:r>
        <w:rPr>
          <w:spacing w:val="-8"/>
        </w:rPr>
        <w:t> </w:t>
      </w:r>
      <w:r>
        <w:rPr/>
        <w:t>antes</w:t>
      </w:r>
      <w:r>
        <w:rPr>
          <w:spacing w:val="-2"/>
        </w:rPr>
        <w:t> </w:t>
      </w:r>
      <w:r>
        <w:rPr/>
        <w:t>de finalizar 2025,</w:t>
      </w:r>
      <w:r>
        <w:rPr>
          <w:spacing w:val="-2"/>
        </w:rPr>
        <w:t> </w:t>
      </w:r>
      <w:r>
        <w:rPr/>
        <w:t>para</w:t>
      </w:r>
      <w:r>
        <w:rPr>
          <w:spacing w:val="-3"/>
        </w:rPr>
        <w:t> </w:t>
      </w:r>
      <w:r>
        <w:rPr/>
        <w:t>que</w:t>
      </w:r>
      <w:r>
        <w:rPr>
          <w:spacing w:val="-2"/>
        </w:rPr>
        <w:t> </w:t>
      </w:r>
      <w:r>
        <w:rPr/>
        <w:t>este</w:t>
      </w:r>
      <w:r>
        <w:rPr>
          <w:spacing w:val="-1"/>
        </w:rPr>
        <w:t> </w:t>
      </w:r>
      <w:r>
        <w:rPr/>
        <w:t>sea</w:t>
      </w:r>
      <w:r>
        <w:rPr>
          <w:spacing w:val="-3"/>
        </w:rPr>
        <w:t> </w:t>
      </w:r>
      <w:r>
        <w:rPr/>
        <w:t>informado</w:t>
      </w:r>
      <w:r>
        <w:rPr>
          <w:spacing w:val="-3"/>
        </w:rPr>
        <w:t> </w:t>
      </w:r>
      <w:r>
        <w:rPr/>
        <w:t>de</w:t>
      </w:r>
      <w:r>
        <w:rPr>
          <w:spacing w:val="-1"/>
        </w:rPr>
        <w:t> </w:t>
      </w:r>
      <w:r>
        <w:rPr/>
        <w:t>la</w:t>
      </w:r>
      <w:r>
        <w:rPr>
          <w:spacing w:val="-3"/>
        </w:rPr>
        <w:t> </w:t>
      </w:r>
      <w:r>
        <w:rPr/>
        <w:t>cuenta</w:t>
      </w:r>
      <w:r>
        <w:rPr>
          <w:spacing w:val="-3"/>
        </w:rPr>
        <w:t> </w:t>
      </w:r>
      <w:r>
        <w:rPr/>
        <w:t>justificativa</w:t>
      </w:r>
      <w:r>
        <w:rPr>
          <w:spacing w:val="-1"/>
        </w:rPr>
        <w:t> </w:t>
      </w:r>
      <w:r>
        <w:rPr/>
        <w:t>final</w:t>
      </w:r>
      <w:r>
        <w:rPr>
          <w:spacing w:val="-4"/>
        </w:rPr>
        <w:t> </w:t>
      </w:r>
      <w:r>
        <w:rPr/>
        <w:t>del</w:t>
      </w:r>
      <w:r>
        <w:rPr>
          <w:spacing w:val="-1"/>
        </w:rPr>
        <w:t> </w:t>
      </w:r>
      <w:r>
        <w:rPr/>
        <w:t>proyecto</w:t>
      </w:r>
      <w:r>
        <w:rPr>
          <w:spacing w:val="-1"/>
        </w:rPr>
        <w:t> </w:t>
      </w:r>
      <w:r>
        <w:rPr/>
        <w:t>y</w:t>
      </w:r>
      <w:r>
        <w:rPr>
          <w:spacing w:val="-2"/>
        </w:rPr>
        <w:t> </w:t>
      </w:r>
      <w:r>
        <w:rPr/>
        <w:t>establezca el</w:t>
      </w:r>
      <w:r>
        <w:rPr>
          <w:spacing w:val="-9"/>
        </w:rPr>
        <w:t> </w:t>
      </w:r>
      <w:r>
        <w:rPr/>
        <w:t>calendario</w:t>
      </w:r>
      <w:r>
        <w:rPr>
          <w:spacing w:val="-9"/>
        </w:rPr>
        <w:t> </w:t>
      </w:r>
      <w:r>
        <w:rPr/>
        <w:t>de</w:t>
      </w:r>
      <w:r>
        <w:rPr>
          <w:spacing w:val="-9"/>
        </w:rPr>
        <w:t> </w:t>
      </w:r>
      <w:r>
        <w:rPr/>
        <w:t>acciones</w:t>
      </w:r>
      <w:r>
        <w:rPr>
          <w:spacing w:val="-8"/>
        </w:rPr>
        <w:t> </w:t>
      </w:r>
      <w:r>
        <w:rPr/>
        <w:t>para</w:t>
      </w:r>
      <w:r>
        <w:rPr>
          <w:spacing w:val="-11"/>
        </w:rPr>
        <w:t> </w:t>
      </w:r>
      <w:r>
        <w:rPr/>
        <w:t>el</w:t>
      </w:r>
      <w:r>
        <w:rPr>
          <w:spacing w:val="-10"/>
        </w:rPr>
        <w:t> </w:t>
      </w:r>
      <w:r>
        <w:rPr/>
        <w:t>traspaso</w:t>
      </w:r>
      <w:r>
        <w:rPr>
          <w:spacing w:val="-9"/>
        </w:rPr>
        <w:t> </w:t>
      </w:r>
      <w:r>
        <w:rPr/>
        <w:t>de</w:t>
      </w:r>
      <w:r>
        <w:rPr>
          <w:spacing w:val="-12"/>
        </w:rPr>
        <w:t> </w:t>
      </w:r>
      <w:r>
        <w:rPr/>
        <w:t>los</w:t>
      </w:r>
      <w:r>
        <w:rPr>
          <w:spacing w:val="-11"/>
        </w:rPr>
        <w:t> </w:t>
      </w:r>
      <w:r>
        <w:rPr/>
        <w:t>fondos</w:t>
      </w:r>
      <w:r>
        <w:rPr>
          <w:spacing w:val="-8"/>
        </w:rPr>
        <w:t> </w:t>
      </w:r>
      <w:r>
        <w:rPr/>
        <w:t>pendientes</w:t>
      </w:r>
      <w:r>
        <w:rPr>
          <w:spacing w:val="-8"/>
        </w:rPr>
        <w:t> </w:t>
      </w:r>
      <w:r>
        <w:rPr/>
        <w:t>entre</w:t>
      </w:r>
      <w:r>
        <w:rPr>
          <w:spacing w:val="-11"/>
        </w:rPr>
        <w:t> </w:t>
      </w:r>
      <w:r>
        <w:rPr/>
        <w:t>miembros</w:t>
      </w:r>
      <w:r>
        <w:rPr>
          <w:spacing w:val="-8"/>
        </w:rPr>
        <w:t> </w:t>
      </w:r>
      <w:r>
        <w:rPr/>
        <w:t>de</w:t>
      </w:r>
      <w:r>
        <w:rPr>
          <w:spacing w:val="-9"/>
        </w:rPr>
        <w:t> </w:t>
      </w:r>
      <w:r>
        <w:rPr/>
        <w:t>agrupación, los trámites de devolución de fondos al Ministerio, si así lo estableciera la resolución final de la cuenta justificativa, y la planificación de liquidación del convenio y de la adenda.</w:t>
      </w:r>
    </w:p>
    <w:p>
      <w:pPr>
        <w:pStyle w:val="BodyText"/>
        <w:spacing w:before="107"/>
      </w:pPr>
    </w:p>
    <w:p>
      <w:pPr>
        <w:pStyle w:val="Heading5"/>
        <w:numPr>
          <w:ilvl w:val="2"/>
          <w:numId w:val="3"/>
        </w:numPr>
        <w:tabs>
          <w:tab w:pos="1739" w:val="left" w:leader="none"/>
        </w:tabs>
        <w:spacing w:line="240" w:lineRule="auto" w:before="0" w:after="0"/>
        <w:ind w:left="1739" w:right="0" w:hanging="606"/>
        <w:jc w:val="left"/>
      </w:pPr>
      <w:bookmarkStart w:name="_bookmark102" w:id="104"/>
      <w:bookmarkEnd w:id="104"/>
      <w:r>
        <w:rPr>
          <w:b w:val="0"/>
        </w:rPr>
      </w:r>
      <w:r>
        <w:rPr/>
        <w:t>Encuestas</w:t>
      </w:r>
      <w:r>
        <w:rPr>
          <w:spacing w:val="-5"/>
        </w:rPr>
        <w:t> </w:t>
      </w:r>
      <w:r>
        <w:rPr/>
        <w:t>de</w:t>
      </w:r>
      <w:r>
        <w:rPr>
          <w:spacing w:val="-5"/>
        </w:rPr>
        <w:t> </w:t>
      </w:r>
      <w:r>
        <w:rPr/>
        <w:t>satisfacción</w:t>
      </w:r>
      <w:r>
        <w:rPr>
          <w:spacing w:val="-5"/>
        </w:rPr>
        <w:t> </w:t>
      </w:r>
      <w:r>
        <w:rPr/>
        <w:t>a</w:t>
      </w:r>
      <w:r>
        <w:rPr>
          <w:spacing w:val="-6"/>
        </w:rPr>
        <w:t> </w:t>
      </w:r>
      <w:r>
        <w:rPr/>
        <w:t>los</w:t>
      </w:r>
      <w:r>
        <w:rPr>
          <w:spacing w:val="-7"/>
        </w:rPr>
        <w:t> </w:t>
      </w:r>
      <w:r>
        <w:rPr>
          <w:spacing w:val="-2"/>
        </w:rPr>
        <w:t>usuarios</w:t>
      </w:r>
    </w:p>
    <w:p>
      <w:pPr>
        <w:pStyle w:val="BodyText"/>
        <w:spacing w:before="239"/>
        <w:ind w:left="992" w:right="988"/>
        <w:jc w:val="both"/>
      </w:pPr>
      <w:r>
        <w:rPr/>
        <w:t>Los ayuntamientos examinados o las empresas concesionarias del servicio de transporte público colectivo</w:t>
      </w:r>
      <w:r>
        <w:rPr>
          <w:spacing w:val="-2"/>
        </w:rPr>
        <w:t> </w:t>
      </w:r>
      <w:r>
        <w:rPr/>
        <w:t>urbano</w:t>
      </w:r>
      <w:r>
        <w:rPr>
          <w:spacing w:val="-4"/>
        </w:rPr>
        <w:t> </w:t>
      </w:r>
      <w:r>
        <w:rPr/>
        <w:t>disponen</w:t>
      </w:r>
      <w:r>
        <w:rPr>
          <w:spacing w:val="-1"/>
        </w:rPr>
        <w:t> </w:t>
      </w:r>
      <w:r>
        <w:rPr/>
        <w:t>de</w:t>
      </w:r>
      <w:r>
        <w:rPr>
          <w:spacing w:val="-4"/>
        </w:rPr>
        <w:t> </w:t>
      </w:r>
      <w:r>
        <w:rPr/>
        <w:t>encuestas</w:t>
      </w:r>
      <w:r>
        <w:rPr>
          <w:spacing w:val="-4"/>
        </w:rPr>
        <w:t> </w:t>
      </w:r>
      <w:r>
        <w:rPr/>
        <w:t>de</w:t>
      </w:r>
      <w:r>
        <w:rPr>
          <w:spacing w:val="-4"/>
        </w:rPr>
        <w:t> </w:t>
      </w:r>
      <w:r>
        <w:rPr/>
        <w:t>satisfacción</w:t>
      </w:r>
      <w:r>
        <w:rPr>
          <w:spacing w:val="-2"/>
        </w:rPr>
        <w:t> </w:t>
      </w:r>
      <w:r>
        <w:rPr/>
        <w:t>a</w:t>
      </w:r>
      <w:r>
        <w:rPr>
          <w:spacing w:val="-4"/>
        </w:rPr>
        <w:t> </w:t>
      </w:r>
      <w:r>
        <w:rPr/>
        <w:t>los</w:t>
      </w:r>
      <w:r>
        <w:rPr>
          <w:spacing w:val="-2"/>
        </w:rPr>
        <w:t> </w:t>
      </w:r>
      <w:r>
        <w:rPr/>
        <w:t>usuarios,</w:t>
      </w:r>
      <w:r>
        <w:rPr>
          <w:spacing w:val="-3"/>
        </w:rPr>
        <w:t> </w:t>
      </w:r>
      <w:r>
        <w:rPr/>
        <w:t>que si</w:t>
      </w:r>
      <w:r>
        <w:rPr>
          <w:spacing w:val="-5"/>
        </w:rPr>
        <w:t> </w:t>
      </w:r>
      <w:r>
        <w:rPr/>
        <w:t>bien</w:t>
      </w:r>
      <w:r>
        <w:rPr>
          <w:spacing w:val="-2"/>
        </w:rPr>
        <w:t> </w:t>
      </w:r>
      <w:r>
        <w:rPr/>
        <w:t>no</w:t>
      </w:r>
      <w:r>
        <w:rPr>
          <w:spacing w:val="-4"/>
        </w:rPr>
        <w:t> </w:t>
      </w:r>
      <w:r>
        <w:rPr/>
        <w:t>van</w:t>
      </w:r>
      <w:r>
        <w:rPr>
          <w:spacing w:val="-4"/>
        </w:rPr>
        <w:t> </w:t>
      </w:r>
      <w:r>
        <w:rPr/>
        <w:t>dirigidas a</w:t>
      </w:r>
      <w:r>
        <w:rPr>
          <w:spacing w:val="-16"/>
        </w:rPr>
        <w:t> </w:t>
      </w:r>
      <w:r>
        <w:rPr/>
        <w:t>valorar</w:t>
      </w:r>
      <w:r>
        <w:rPr>
          <w:spacing w:val="-15"/>
        </w:rPr>
        <w:t> </w:t>
      </w:r>
      <w:r>
        <w:rPr/>
        <w:t>específicamente</w:t>
      </w:r>
      <w:r>
        <w:rPr>
          <w:spacing w:val="-15"/>
        </w:rPr>
        <w:t> </w:t>
      </w:r>
      <w:r>
        <w:rPr/>
        <w:t>las</w:t>
      </w:r>
      <w:r>
        <w:rPr>
          <w:spacing w:val="-16"/>
        </w:rPr>
        <w:t> </w:t>
      </w:r>
      <w:r>
        <w:rPr/>
        <w:t>actuaciones</w:t>
      </w:r>
      <w:r>
        <w:rPr>
          <w:spacing w:val="-15"/>
        </w:rPr>
        <w:t> </w:t>
      </w:r>
      <w:r>
        <w:rPr/>
        <w:t>que</w:t>
      </w:r>
      <w:r>
        <w:rPr>
          <w:spacing w:val="-15"/>
        </w:rPr>
        <w:t> </w:t>
      </w:r>
      <w:r>
        <w:rPr/>
        <w:t>se</w:t>
      </w:r>
      <w:r>
        <w:rPr>
          <w:spacing w:val="-15"/>
        </w:rPr>
        <w:t> </w:t>
      </w:r>
      <w:r>
        <w:rPr/>
        <w:t>han</w:t>
      </w:r>
      <w:r>
        <w:rPr>
          <w:spacing w:val="-16"/>
        </w:rPr>
        <w:t> </w:t>
      </w:r>
      <w:r>
        <w:rPr/>
        <w:t>expuesto</w:t>
      </w:r>
      <w:r>
        <w:rPr>
          <w:spacing w:val="-15"/>
        </w:rPr>
        <w:t> </w:t>
      </w:r>
      <w:r>
        <w:rPr/>
        <w:t>en</w:t>
      </w:r>
      <w:r>
        <w:rPr>
          <w:spacing w:val="-15"/>
        </w:rPr>
        <w:t> </w:t>
      </w:r>
      <w:r>
        <w:rPr/>
        <w:t>este</w:t>
      </w:r>
      <w:r>
        <w:rPr>
          <w:spacing w:val="-16"/>
        </w:rPr>
        <w:t> </w:t>
      </w:r>
      <w:r>
        <w:rPr/>
        <w:t>Informe,</w:t>
      </w:r>
      <w:r>
        <w:rPr>
          <w:spacing w:val="-15"/>
        </w:rPr>
        <w:t> </w:t>
      </w:r>
      <w:r>
        <w:rPr/>
        <w:t>sí</w:t>
      </w:r>
      <w:r>
        <w:rPr>
          <w:spacing w:val="-15"/>
        </w:rPr>
        <w:t> </w:t>
      </w:r>
      <w:r>
        <w:rPr/>
        <w:t>permiten</w:t>
      </w:r>
      <w:r>
        <w:rPr>
          <w:spacing w:val="-15"/>
        </w:rPr>
        <w:t> </w:t>
      </w:r>
      <w:r>
        <w:rPr/>
        <w:t>conocer la opinión de los viajeros sobre</w:t>
      </w:r>
      <w:r>
        <w:rPr>
          <w:spacing w:val="-2"/>
        </w:rPr>
        <w:t> </w:t>
      </w:r>
      <w:r>
        <w:rPr/>
        <w:t>la calidad del servicio, la infraestructura,</w:t>
      </w:r>
      <w:r>
        <w:rPr>
          <w:spacing w:val="-1"/>
        </w:rPr>
        <w:t> </w:t>
      </w:r>
      <w:r>
        <w:rPr/>
        <w:t>la</w:t>
      </w:r>
      <w:r>
        <w:rPr>
          <w:spacing w:val="-2"/>
        </w:rPr>
        <w:t> </w:t>
      </w:r>
      <w:r>
        <w:rPr/>
        <w:t>seguridad, los</w:t>
      </w:r>
      <w:r>
        <w:rPr>
          <w:spacing w:val="-2"/>
        </w:rPr>
        <w:t> </w:t>
      </w:r>
      <w:r>
        <w:rPr/>
        <w:t>precios</w:t>
      </w:r>
      <w:r>
        <w:rPr>
          <w:spacing w:val="-2"/>
        </w:rPr>
        <w:t> </w:t>
      </w:r>
      <w:r>
        <w:rPr/>
        <w:t>y la cobertura, utilizando cuestionarios para identificar áreas de mejora y evaluar la experiencia del </w:t>
      </w:r>
      <w:r>
        <w:rPr>
          <w:spacing w:val="-2"/>
        </w:rPr>
        <w:t>usuario.</w:t>
      </w:r>
    </w:p>
    <w:p>
      <w:pPr>
        <w:pStyle w:val="BodyText"/>
        <w:spacing w:before="242"/>
        <w:ind w:left="992" w:right="986"/>
        <w:jc w:val="both"/>
      </w:pPr>
      <w:r>
        <w:rPr/>
        <w:t>La empresa concesionaria del servicio de transporte por autobús contratada por el </w:t>
      </w:r>
      <w:r>
        <w:rPr>
          <w:b/>
        </w:rPr>
        <w:t>Ayuntamiento de Alicante </w:t>
      </w:r>
      <w:r>
        <w:rPr/>
        <w:t>realiza anualmente esas encuestas, en las que se analizan la frecuencia de paso, la comodidad dentro del autobús, la facilidad de acceso al autobús, la comodidad de paradas y las marquesinas e información en las paradas y en los vehículos, entre otros. Del informe emitido en 2024</w:t>
      </w:r>
      <w:r>
        <w:rPr>
          <w:spacing w:val="-7"/>
        </w:rPr>
        <w:t> </w:t>
      </w:r>
      <w:r>
        <w:rPr/>
        <w:t>resulta</w:t>
      </w:r>
      <w:r>
        <w:rPr>
          <w:spacing w:val="-6"/>
        </w:rPr>
        <w:t> </w:t>
      </w:r>
      <w:r>
        <w:rPr/>
        <w:t>que</w:t>
      </w:r>
      <w:r>
        <w:rPr>
          <w:spacing w:val="-6"/>
        </w:rPr>
        <w:t> </w:t>
      </w:r>
      <w:r>
        <w:rPr/>
        <w:t>el</w:t>
      </w:r>
      <w:r>
        <w:rPr>
          <w:spacing w:val="-7"/>
        </w:rPr>
        <w:t> </w:t>
      </w:r>
      <w:r>
        <w:rPr/>
        <w:t>precio,</w:t>
      </w:r>
      <w:r>
        <w:rPr>
          <w:spacing w:val="-5"/>
        </w:rPr>
        <w:t> </w:t>
      </w:r>
      <w:r>
        <w:rPr/>
        <w:t>los</w:t>
      </w:r>
      <w:r>
        <w:rPr>
          <w:spacing w:val="-4"/>
        </w:rPr>
        <w:t> </w:t>
      </w:r>
      <w:r>
        <w:rPr/>
        <w:t>autobuses</w:t>
      </w:r>
      <w:r>
        <w:rPr>
          <w:spacing w:val="-6"/>
        </w:rPr>
        <w:t> </w:t>
      </w:r>
      <w:r>
        <w:rPr/>
        <w:t>limpios</w:t>
      </w:r>
      <w:r>
        <w:rPr>
          <w:spacing w:val="-9"/>
        </w:rPr>
        <w:t> </w:t>
      </w:r>
      <w:r>
        <w:rPr/>
        <w:t>y</w:t>
      </w:r>
      <w:r>
        <w:rPr>
          <w:spacing w:val="-4"/>
        </w:rPr>
        <w:t> </w:t>
      </w:r>
      <w:r>
        <w:rPr/>
        <w:t>cuidados</w:t>
      </w:r>
      <w:r>
        <w:rPr>
          <w:spacing w:val="-6"/>
        </w:rPr>
        <w:t> </w:t>
      </w:r>
      <w:r>
        <w:rPr/>
        <w:t>y</w:t>
      </w:r>
      <w:r>
        <w:rPr>
          <w:spacing w:val="-6"/>
        </w:rPr>
        <w:t> </w:t>
      </w:r>
      <w:r>
        <w:rPr/>
        <w:t>la</w:t>
      </w:r>
      <w:r>
        <w:rPr>
          <w:spacing w:val="-9"/>
        </w:rPr>
        <w:t> </w:t>
      </w:r>
      <w:r>
        <w:rPr/>
        <w:t>facilidad</w:t>
      </w:r>
      <w:r>
        <w:rPr>
          <w:spacing w:val="-6"/>
        </w:rPr>
        <w:t> </w:t>
      </w:r>
      <w:r>
        <w:rPr/>
        <w:t>de</w:t>
      </w:r>
      <w:r>
        <w:rPr>
          <w:spacing w:val="-4"/>
        </w:rPr>
        <w:t> </w:t>
      </w:r>
      <w:r>
        <w:rPr/>
        <w:t>acceso</w:t>
      </w:r>
      <w:r>
        <w:rPr>
          <w:spacing w:val="-6"/>
        </w:rPr>
        <w:t> </w:t>
      </w:r>
      <w:r>
        <w:rPr/>
        <w:t>al</w:t>
      </w:r>
      <w:r>
        <w:rPr>
          <w:spacing w:val="-5"/>
        </w:rPr>
        <w:t> </w:t>
      </w:r>
      <w:r>
        <w:rPr/>
        <w:t>autobús</w:t>
      </w:r>
      <w:r>
        <w:rPr>
          <w:spacing w:val="-4"/>
        </w:rPr>
        <w:t> </w:t>
      </w:r>
      <w:r>
        <w:rPr/>
        <w:t>son los aspectos</w:t>
      </w:r>
      <w:r>
        <w:rPr>
          <w:spacing w:val="-1"/>
        </w:rPr>
        <w:t> </w:t>
      </w:r>
      <w:r>
        <w:rPr/>
        <w:t>mejor valorados, mientras que la información sobre frecuencia de paso y puntualidad de paso son los menos valorados, como ya ocurrió en 2023. Igualmente, resulta que se ha de mejorar la información en los vehículos, la información sobre interrupciones y la comodidad de paradas y marquesinas.</w:t>
      </w:r>
    </w:p>
    <w:p>
      <w:pPr>
        <w:pStyle w:val="BodyText"/>
        <w:spacing w:before="238"/>
        <w:ind w:left="992" w:right="987"/>
        <w:jc w:val="both"/>
      </w:pPr>
      <w:r>
        <w:rPr/>
        <w:t>El </w:t>
      </w:r>
      <w:r>
        <w:rPr>
          <w:b/>
        </w:rPr>
        <w:t>Ayuntamiento de Bilbao </w:t>
      </w:r>
      <w:r>
        <w:rPr/>
        <w:t>también</w:t>
      </w:r>
      <w:r>
        <w:rPr>
          <w:spacing w:val="-2"/>
        </w:rPr>
        <w:t> </w:t>
      </w:r>
      <w:r>
        <w:rPr/>
        <w:t>realiza encuestas de</w:t>
      </w:r>
      <w:r>
        <w:rPr>
          <w:spacing w:val="-2"/>
        </w:rPr>
        <w:t> </w:t>
      </w:r>
      <w:r>
        <w:rPr/>
        <w:t>satisfacción de clientes para</w:t>
      </w:r>
      <w:r>
        <w:rPr>
          <w:spacing w:val="-2"/>
        </w:rPr>
        <w:t> </w:t>
      </w:r>
      <w:r>
        <w:rPr/>
        <w:t>estudiar la calidad del transporte público por autobús. En el informe correspondiente a 2024 se valoran los siguientes parámetros: oferta, accesibilidad, información, duración, atención al cliente, confort, seguridad y medio ambiente. Respecto del ejercicio anterior, cuatro mejoran </w:t>
      </w:r>
      <w:r>
        <w:rPr>
          <w:rFonts w:ascii="Symbol" w:hAnsi="Symbol"/>
        </w:rPr>
        <w:t></w:t>
      </w:r>
      <w:r>
        <w:rPr/>
        <w:t>oferta, atención al cliente, seguridad y medio ambiente</w:t>
      </w:r>
      <w:r>
        <w:rPr>
          <w:rFonts w:ascii="Symbol" w:hAnsi="Symbol"/>
        </w:rPr>
        <w:t></w:t>
      </w:r>
      <w:r>
        <w:rPr/>
        <w:t>, siendo la atención al cliente el que obtiene el mayor incremento</w:t>
      </w:r>
      <w:r>
        <w:rPr>
          <w:spacing w:val="-6"/>
        </w:rPr>
        <w:t> </w:t>
      </w:r>
      <w:r>
        <w:rPr/>
        <w:t>y</w:t>
      </w:r>
      <w:r>
        <w:rPr>
          <w:spacing w:val="-8"/>
        </w:rPr>
        <w:t> </w:t>
      </w:r>
      <w:r>
        <w:rPr/>
        <w:t>el</w:t>
      </w:r>
      <w:r>
        <w:rPr>
          <w:spacing w:val="-10"/>
        </w:rPr>
        <w:t> </w:t>
      </w:r>
      <w:r>
        <w:rPr/>
        <w:t>más</w:t>
      </w:r>
      <w:r>
        <w:rPr>
          <w:spacing w:val="-6"/>
        </w:rPr>
        <w:t> </w:t>
      </w:r>
      <w:r>
        <w:rPr/>
        <w:t>valorado.</w:t>
      </w:r>
      <w:r>
        <w:rPr>
          <w:spacing w:val="-8"/>
        </w:rPr>
        <w:t> </w:t>
      </w:r>
      <w:r>
        <w:rPr/>
        <w:t>El</w:t>
      </w:r>
      <w:r>
        <w:rPr>
          <w:spacing w:val="-6"/>
        </w:rPr>
        <w:t> </w:t>
      </w:r>
      <w:r>
        <w:rPr/>
        <w:t>confort</w:t>
      </w:r>
      <w:r>
        <w:rPr>
          <w:spacing w:val="-7"/>
        </w:rPr>
        <w:t> </w:t>
      </w:r>
      <w:r>
        <w:rPr/>
        <w:t>se</w:t>
      </w:r>
      <w:r>
        <w:rPr>
          <w:spacing w:val="-9"/>
        </w:rPr>
        <w:t> </w:t>
      </w:r>
      <w:r>
        <w:rPr/>
        <w:t>mantiene</w:t>
      </w:r>
      <w:r>
        <w:rPr>
          <w:spacing w:val="-6"/>
        </w:rPr>
        <w:t> </w:t>
      </w:r>
      <w:r>
        <w:rPr/>
        <w:t>igual.</w:t>
      </w:r>
      <w:r>
        <w:rPr>
          <w:spacing w:val="-5"/>
        </w:rPr>
        <w:t> </w:t>
      </w:r>
      <w:r>
        <w:rPr/>
        <w:t>Por</w:t>
      </w:r>
      <w:r>
        <w:rPr>
          <w:spacing w:val="-8"/>
        </w:rPr>
        <w:t> </w:t>
      </w:r>
      <w:r>
        <w:rPr/>
        <w:t>el</w:t>
      </w:r>
      <w:r>
        <w:rPr>
          <w:spacing w:val="-7"/>
        </w:rPr>
        <w:t> </w:t>
      </w:r>
      <w:r>
        <w:rPr/>
        <w:t>contrario,</w:t>
      </w:r>
      <w:r>
        <w:rPr>
          <w:spacing w:val="-5"/>
        </w:rPr>
        <w:t> </w:t>
      </w:r>
      <w:r>
        <w:rPr/>
        <w:t>descienden</w:t>
      </w:r>
      <w:r>
        <w:rPr>
          <w:spacing w:val="-9"/>
        </w:rPr>
        <w:t> </w:t>
      </w:r>
      <w:r>
        <w:rPr/>
        <w:t>la</w:t>
      </w:r>
      <w:r>
        <w:rPr>
          <w:spacing w:val="-6"/>
        </w:rPr>
        <w:t> </w:t>
      </w:r>
      <w:r>
        <w:rPr/>
        <w:t>duración y la</w:t>
      </w:r>
      <w:r>
        <w:rPr>
          <w:spacing w:val="-1"/>
        </w:rPr>
        <w:t> </w:t>
      </w:r>
      <w:r>
        <w:rPr/>
        <w:t>información</w:t>
      </w:r>
      <w:r>
        <w:rPr>
          <w:spacing w:val="-3"/>
        </w:rPr>
        <w:t> </w:t>
      </w:r>
      <w:r>
        <w:rPr/>
        <w:t>que</w:t>
      </w:r>
      <w:r>
        <w:rPr>
          <w:spacing w:val="-1"/>
        </w:rPr>
        <w:t> </w:t>
      </w:r>
      <w:r>
        <w:rPr/>
        <w:t>lo</w:t>
      </w:r>
      <w:r>
        <w:rPr>
          <w:spacing w:val="-1"/>
        </w:rPr>
        <w:t> </w:t>
      </w:r>
      <w:r>
        <w:rPr/>
        <w:t>hacen</w:t>
      </w:r>
      <w:r>
        <w:rPr>
          <w:spacing w:val="-1"/>
        </w:rPr>
        <w:t> </w:t>
      </w:r>
      <w:r>
        <w:rPr/>
        <w:t>ligeramente;</w:t>
      </w:r>
      <w:r>
        <w:rPr>
          <w:spacing w:val="-2"/>
        </w:rPr>
        <w:t> </w:t>
      </w:r>
      <w:r>
        <w:rPr/>
        <w:t>y la</w:t>
      </w:r>
      <w:r>
        <w:rPr>
          <w:spacing w:val="-3"/>
        </w:rPr>
        <w:t> </w:t>
      </w:r>
      <w:r>
        <w:rPr/>
        <w:t>accesibilidad</w:t>
      </w:r>
      <w:r>
        <w:rPr>
          <w:spacing w:val="-1"/>
        </w:rPr>
        <w:t> </w:t>
      </w:r>
      <w:r>
        <w:rPr/>
        <w:t>que</w:t>
      </w:r>
      <w:r>
        <w:rPr>
          <w:spacing w:val="-1"/>
        </w:rPr>
        <w:t> </w:t>
      </w:r>
      <w:r>
        <w:rPr/>
        <w:t>desciende</w:t>
      </w:r>
      <w:r>
        <w:rPr>
          <w:spacing w:val="-1"/>
        </w:rPr>
        <w:t> </w:t>
      </w:r>
      <w:r>
        <w:rPr/>
        <w:t>de</w:t>
      </w:r>
      <w:r>
        <w:rPr>
          <w:spacing w:val="-3"/>
        </w:rPr>
        <w:t> </w:t>
      </w:r>
      <w:r>
        <w:rPr/>
        <w:t>manera</w:t>
      </w:r>
      <w:r>
        <w:rPr>
          <w:spacing w:val="-3"/>
        </w:rPr>
        <w:t> </w:t>
      </w:r>
      <w:r>
        <w:rPr/>
        <w:t>importante.</w:t>
      </w:r>
    </w:p>
    <w:p>
      <w:pPr>
        <w:pStyle w:val="BodyText"/>
        <w:spacing w:before="241"/>
        <w:ind w:left="992" w:right="987"/>
        <w:jc w:val="both"/>
      </w:pPr>
      <w:r>
        <w:rPr/>
        <w:t>El</w:t>
      </w:r>
      <w:r>
        <w:rPr>
          <w:spacing w:val="-16"/>
        </w:rPr>
        <w:t> </w:t>
      </w:r>
      <w:r>
        <w:rPr>
          <w:b/>
        </w:rPr>
        <w:t>Ayuntamiento</w:t>
      </w:r>
      <w:r>
        <w:rPr>
          <w:b/>
          <w:spacing w:val="-15"/>
        </w:rPr>
        <w:t> </w:t>
      </w:r>
      <w:r>
        <w:rPr>
          <w:b/>
        </w:rPr>
        <w:t>de</w:t>
      </w:r>
      <w:r>
        <w:rPr>
          <w:b/>
          <w:spacing w:val="-15"/>
        </w:rPr>
        <w:t> </w:t>
      </w:r>
      <w:r>
        <w:rPr>
          <w:b/>
        </w:rPr>
        <w:t>Córdoba</w:t>
      </w:r>
      <w:r>
        <w:rPr>
          <w:b/>
          <w:spacing w:val="-15"/>
        </w:rPr>
        <w:t> </w:t>
      </w:r>
      <w:r>
        <w:rPr/>
        <w:t>ha</w:t>
      </w:r>
      <w:r>
        <w:rPr>
          <w:spacing w:val="-15"/>
        </w:rPr>
        <w:t> </w:t>
      </w:r>
      <w:r>
        <w:rPr/>
        <w:t>realizado</w:t>
      </w:r>
      <w:r>
        <w:rPr>
          <w:spacing w:val="-16"/>
        </w:rPr>
        <w:t> </w:t>
      </w:r>
      <w:r>
        <w:rPr/>
        <w:t>en</w:t>
      </w:r>
      <w:r>
        <w:rPr>
          <w:spacing w:val="-15"/>
        </w:rPr>
        <w:t> </w:t>
      </w:r>
      <w:r>
        <w:rPr/>
        <w:t>2023</w:t>
      </w:r>
      <w:r>
        <w:rPr>
          <w:spacing w:val="-14"/>
        </w:rPr>
        <w:t> </w:t>
      </w:r>
      <w:r>
        <w:rPr/>
        <w:t>una</w:t>
      </w:r>
      <w:r>
        <w:rPr>
          <w:spacing w:val="-15"/>
        </w:rPr>
        <w:t> </w:t>
      </w:r>
      <w:r>
        <w:rPr/>
        <w:t>encuesta</w:t>
      </w:r>
      <w:r>
        <w:rPr>
          <w:spacing w:val="-16"/>
        </w:rPr>
        <w:t> </w:t>
      </w:r>
      <w:r>
        <w:rPr/>
        <w:t>de</w:t>
      </w:r>
      <w:r>
        <w:rPr>
          <w:spacing w:val="-15"/>
        </w:rPr>
        <w:t> </w:t>
      </w:r>
      <w:r>
        <w:rPr/>
        <w:t>satisfacción</w:t>
      </w:r>
      <w:r>
        <w:rPr>
          <w:spacing w:val="-14"/>
        </w:rPr>
        <w:t> </w:t>
      </w:r>
      <w:r>
        <w:rPr/>
        <w:t>entre</w:t>
      </w:r>
      <w:r>
        <w:rPr>
          <w:spacing w:val="-15"/>
        </w:rPr>
        <w:t> </w:t>
      </w:r>
      <w:r>
        <w:rPr/>
        <w:t>los</w:t>
      </w:r>
      <w:r>
        <w:rPr>
          <w:spacing w:val="-15"/>
        </w:rPr>
        <w:t> </w:t>
      </w:r>
      <w:r>
        <w:rPr/>
        <w:t>usuarios del servicio de transporte público. La principal valoración se encuentra en la amabilidad de los empleados,</w:t>
      </w:r>
      <w:r>
        <w:rPr>
          <w:spacing w:val="-3"/>
        </w:rPr>
        <w:t> </w:t>
      </w:r>
      <w:r>
        <w:rPr/>
        <w:t>seguido</w:t>
      </w:r>
      <w:r>
        <w:rPr>
          <w:spacing w:val="-4"/>
        </w:rPr>
        <w:t> </w:t>
      </w:r>
      <w:r>
        <w:rPr/>
        <w:t>de</w:t>
      </w:r>
      <w:r>
        <w:rPr>
          <w:spacing w:val="-7"/>
        </w:rPr>
        <w:t> </w:t>
      </w:r>
      <w:r>
        <w:rPr/>
        <w:t>las</w:t>
      </w:r>
      <w:r>
        <w:rPr>
          <w:spacing w:val="-4"/>
        </w:rPr>
        <w:t> </w:t>
      </w:r>
      <w:r>
        <w:rPr/>
        <w:t>rutas</w:t>
      </w:r>
      <w:r>
        <w:rPr>
          <w:spacing w:val="-4"/>
        </w:rPr>
        <w:t> </w:t>
      </w:r>
      <w:r>
        <w:rPr/>
        <w:t>adecuadas,</w:t>
      </w:r>
      <w:r>
        <w:rPr>
          <w:spacing w:val="-5"/>
        </w:rPr>
        <w:t> </w:t>
      </w:r>
      <w:r>
        <w:rPr/>
        <w:t>junto</w:t>
      </w:r>
      <w:r>
        <w:rPr>
          <w:spacing w:val="-4"/>
        </w:rPr>
        <w:t> </w:t>
      </w:r>
      <w:r>
        <w:rPr/>
        <w:t>a</w:t>
      </w:r>
      <w:r>
        <w:rPr>
          <w:spacing w:val="-4"/>
        </w:rPr>
        <w:t> </w:t>
      </w:r>
      <w:r>
        <w:rPr/>
        <w:t>la</w:t>
      </w:r>
      <w:r>
        <w:rPr>
          <w:spacing w:val="-4"/>
        </w:rPr>
        <w:t> </w:t>
      </w:r>
      <w:r>
        <w:rPr/>
        <w:t>limpieza</w:t>
      </w:r>
      <w:r>
        <w:rPr>
          <w:spacing w:val="-4"/>
        </w:rPr>
        <w:t> </w:t>
      </w:r>
      <w:r>
        <w:rPr/>
        <w:t>de</w:t>
      </w:r>
      <w:r>
        <w:rPr>
          <w:spacing w:val="-4"/>
        </w:rPr>
        <w:t> </w:t>
      </w:r>
      <w:r>
        <w:rPr/>
        <w:t>los</w:t>
      </w:r>
      <w:r>
        <w:rPr>
          <w:spacing w:val="-4"/>
        </w:rPr>
        <w:t> </w:t>
      </w:r>
      <w:r>
        <w:rPr/>
        <w:t>autobuses.</w:t>
      </w:r>
      <w:r>
        <w:rPr>
          <w:spacing w:val="-3"/>
        </w:rPr>
        <w:t> </w:t>
      </w:r>
      <w:r>
        <w:rPr/>
        <w:t>La</w:t>
      </w:r>
      <w:r>
        <w:rPr>
          <w:spacing w:val="-6"/>
        </w:rPr>
        <w:t> </w:t>
      </w:r>
      <w:r>
        <w:rPr/>
        <w:t>frecuencia</w:t>
      </w:r>
      <w:r>
        <w:rPr>
          <w:spacing w:val="-4"/>
        </w:rPr>
        <w:t> </w:t>
      </w:r>
      <w:r>
        <w:rPr/>
        <w:t>de los</w:t>
      </w:r>
      <w:r>
        <w:rPr>
          <w:spacing w:val="-12"/>
        </w:rPr>
        <w:t> </w:t>
      </w:r>
      <w:r>
        <w:rPr/>
        <w:t>autobuses,</w:t>
      </w:r>
      <w:r>
        <w:rPr>
          <w:spacing w:val="-12"/>
        </w:rPr>
        <w:t> </w:t>
      </w:r>
      <w:r>
        <w:rPr/>
        <w:t>así</w:t>
      </w:r>
      <w:r>
        <w:rPr>
          <w:spacing w:val="-12"/>
        </w:rPr>
        <w:t> </w:t>
      </w:r>
      <w:r>
        <w:rPr/>
        <w:t>como</w:t>
      </w:r>
      <w:r>
        <w:rPr>
          <w:spacing w:val="-16"/>
        </w:rPr>
        <w:t> </w:t>
      </w:r>
      <w:r>
        <w:rPr/>
        <w:t>el</w:t>
      </w:r>
      <w:r>
        <w:rPr>
          <w:spacing w:val="-12"/>
        </w:rPr>
        <w:t> </w:t>
      </w:r>
      <w:r>
        <w:rPr/>
        <w:t>horario</w:t>
      </w:r>
      <w:r>
        <w:rPr>
          <w:spacing w:val="-14"/>
        </w:rPr>
        <w:t> </w:t>
      </w:r>
      <w:r>
        <w:rPr/>
        <w:t>de</w:t>
      </w:r>
      <w:r>
        <w:rPr>
          <w:spacing w:val="-14"/>
        </w:rPr>
        <w:t> </w:t>
      </w:r>
      <w:r>
        <w:rPr/>
        <w:t>comienzo/finalización</w:t>
      </w:r>
      <w:r>
        <w:rPr>
          <w:spacing w:val="-12"/>
        </w:rPr>
        <w:t> </w:t>
      </w:r>
      <w:r>
        <w:rPr/>
        <w:t>del</w:t>
      </w:r>
      <w:r>
        <w:rPr>
          <w:spacing w:val="-12"/>
        </w:rPr>
        <w:t> </w:t>
      </w:r>
      <w:r>
        <w:rPr/>
        <w:t>servicio</w:t>
      </w:r>
      <w:r>
        <w:rPr>
          <w:spacing w:val="-14"/>
        </w:rPr>
        <w:t> </w:t>
      </w:r>
      <w:r>
        <w:rPr/>
        <w:t>son</w:t>
      </w:r>
      <w:r>
        <w:rPr>
          <w:spacing w:val="-11"/>
        </w:rPr>
        <w:t> </w:t>
      </w:r>
      <w:r>
        <w:rPr/>
        <w:t>las</w:t>
      </w:r>
      <w:r>
        <w:rPr>
          <w:spacing w:val="-14"/>
        </w:rPr>
        <w:t> </w:t>
      </w:r>
      <w:r>
        <w:rPr/>
        <w:t>que</w:t>
      </w:r>
      <w:r>
        <w:rPr>
          <w:spacing w:val="-11"/>
        </w:rPr>
        <w:t> </w:t>
      </w:r>
      <w:r>
        <w:rPr/>
        <w:t>obtienen</w:t>
      </w:r>
      <w:r>
        <w:rPr>
          <w:spacing w:val="-13"/>
        </w:rPr>
        <w:t> </w:t>
      </w:r>
      <w:r>
        <w:rPr/>
        <w:t>menos valoración. El porcentaje de usuarios que conoce la existencia del servicio en tiempo real de frecuencia</w:t>
      </w:r>
      <w:r>
        <w:rPr>
          <w:spacing w:val="-1"/>
        </w:rPr>
        <w:t> </w:t>
      </w:r>
      <w:r>
        <w:rPr/>
        <w:t>y lo utiliza alcanza el 90 % y el porcentaje</w:t>
      </w:r>
      <w:r>
        <w:rPr>
          <w:spacing w:val="-1"/>
        </w:rPr>
        <w:t> </w:t>
      </w:r>
      <w:r>
        <w:rPr/>
        <w:t>que utiliza el servicio de planificador de</w:t>
      </w:r>
      <w:r>
        <w:rPr>
          <w:spacing w:val="-1"/>
        </w:rPr>
        <w:t> </w:t>
      </w:r>
      <w:r>
        <w:rPr/>
        <w:t>rutas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91"/>
        <w:jc w:val="both"/>
      </w:pPr>
      <w:r>
        <w:rPr/>
        <w:t>llega</w:t>
      </w:r>
      <w:r>
        <w:rPr>
          <w:spacing w:val="-9"/>
        </w:rPr>
        <w:t> </w:t>
      </w:r>
      <w:r>
        <w:rPr/>
        <w:t>al</w:t>
      </w:r>
      <w:r>
        <w:rPr>
          <w:spacing w:val="-10"/>
        </w:rPr>
        <w:t> </w:t>
      </w:r>
      <w:r>
        <w:rPr/>
        <w:t>70</w:t>
      </w:r>
      <w:r>
        <w:rPr>
          <w:spacing w:val="-3"/>
        </w:rPr>
        <w:t> </w:t>
      </w:r>
      <w:r>
        <w:rPr/>
        <w:t>%.</w:t>
      </w:r>
      <w:r>
        <w:rPr>
          <w:spacing w:val="-7"/>
        </w:rPr>
        <w:t> </w:t>
      </w:r>
      <w:r>
        <w:rPr/>
        <w:t>Tan</w:t>
      </w:r>
      <w:r>
        <w:rPr>
          <w:spacing w:val="-12"/>
        </w:rPr>
        <w:t> </w:t>
      </w:r>
      <w:r>
        <w:rPr/>
        <w:t>solo</w:t>
      </w:r>
      <w:r>
        <w:rPr>
          <w:spacing w:val="-8"/>
        </w:rPr>
        <w:t> </w:t>
      </w:r>
      <w:r>
        <w:rPr/>
        <w:t>cuatro</w:t>
      </w:r>
      <w:r>
        <w:rPr>
          <w:spacing w:val="-11"/>
        </w:rPr>
        <w:t> </w:t>
      </w:r>
      <w:r>
        <w:rPr/>
        <w:t>de</w:t>
      </w:r>
      <w:r>
        <w:rPr>
          <w:spacing w:val="-9"/>
        </w:rPr>
        <w:t> </w:t>
      </w:r>
      <w:r>
        <w:rPr/>
        <w:t>cada</w:t>
      </w:r>
      <w:r>
        <w:rPr>
          <w:spacing w:val="-11"/>
        </w:rPr>
        <w:t> </w:t>
      </w:r>
      <w:r>
        <w:rPr/>
        <w:t>diez</w:t>
      </w:r>
      <w:r>
        <w:rPr>
          <w:spacing w:val="-9"/>
        </w:rPr>
        <w:t> </w:t>
      </w:r>
      <w:r>
        <w:rPr/>
        <w:t>usuarios</w:t>
      </w:r>
      <w:r>
        <w:rPr>
          <w:spacing w:val="-9"/>
        </w:rPr>
        <w:t> </w:t>
      </w:r>
      <w:r>
        <w:rPr/>
        <w:t>han</w:t>
      </w:r>
      <w:r>
        <w:rPr>
          <w:spacing w:val="-9"/>
        </w:rPr>
        <w:t> </w:t>
      </w:r>
      <w:r>
        <w:rPr/>
        <w:t>presentado</w:t>
      </w:r>
      <w:r>
        <w:rPr>
          <w:spacing w:val="-9"/>
        </w:rPr>
        <w:t> </w:t>
      </w:r>
      <w:r>
        <w:rPr/>
        <w:t>una</w:t>
      </w:r>
      <w:r>
        <w:rPr>
          <w:spacing w:val="-11"/>
        </w:rPr>
        <w:t> </w:t>
      </w:r>
      <w:r>
        <w:rPr/>
        <w:t>reclamación</w:t>
      </w:r>
      <w:r>
        <w:rPr>
          <w:spacing w:val="-9"/>
        </w:rPr>
        <w:t> </w:t>
      </w:r>
      <w:r>
        <w:rPr/>
        <w:t>o</w:t>
      </w:r>
      <w:r>
        <w:rPr>
          <w:spacing w:val="-11"/>
        </w:rPr>
        <w:t> </w:t>
      </w:r>
      <w:r>
        <w:rPr/>
        <w:t>sugerencia, entre las que están temas relacionados con la frecuencia, horario y puntualidad, así como la necesidad de abordar nuevas líneas o refuerzo de algunas zonas de la ciudad.</w:t>
      </w:r>
    </w:p>
    <w:p>
      <w:pPr>
        <w:pStyle w:val="BodyText"/>
        <w:spacing w:before="242"/>
        <w:ind w:left="992" w:right="987"/>
        <w:jc w:val="both"/>
      </w:pPr>
      <w:r>
        <w:rPr/>
        <w:t>La empresa municipal de transportes del </w:t>
      </w:r>
      <w:r>
        <w:rPr>
          <w:b/>
        </w:rPr>
        <w:t>Ayuntamiento de Las Palmas de Gran Canaria </w:t>
      </w:r>
      <w:r>
        <w:rPr/>
        <w:t>evalúa anualmente la satisfacción de sus viajeros a través de encuestas de satisfacción de clientes. En 2024</w:t>
      </w:r>
      <w:r>
        <w:rPr>
          <w:spacing w:val="-11"/>
        </w:rPr>
        <w:t> </w:t>
      </w:r>
      <w:r>
        <w:rPr/>
        <w:t>el</w:t>
      </w:r>
      <w:r>
        <w:rPr>
          <w:spacing w:val="-11"/>
        </w:rPr>
        <w:t> </w:t>
      </w:r>
      <w:r>
        <w:rPr/>
        <w:t>índice</w:t>
      </w:r>
      <w:r>
        <w:rPr>
          <w:spacing w:val="-10"/>
        </w:rPr>
        <w:t> </w:t>
      </w:r>
      <w:r>
        <w:rPr/>
        <w:t>de</w:t>
      </w:r>
      <w:r>
        <w:rPr>
          <w:spacing w:val="-13"/>
        </w:rPr>
        <w:t> </w:t>
      </w:r>
      <w:r>
        <w:rPr/>
        <w:t>satisfacción</w:t>
      </w:r>
      <w:r>
        <w:rPr>
          <w:spacing w:val="-11"/>
        </w:rPr>
        <w:t> </w:t>
      </w:r>
      <w:r>
        <w:rPr/>
        <w:t>se</w:t>
      </w:r>
      <w:r>
        <w:rPr>
          <w:spacing w:val="-10"/>
        </w:rPr>
        <w:t> </w:t>
      </w:r>
      <w:r>
        <w:rPr/>
        <w:t>sitúa</w:t>
      </w:r>
      <w:r>
        <w:rPr>
          <w:spacing w:val="-13"/>
        </w:rPr>
        <w:t> </w:t>
      </w:r>
      <w:r>
        <w:rPr/>
        <w:t>en</w:t>
      </w:r>
      <w:r>
        <w:rPr>
          <w:spacing w:val="-11"/>
        </w:rPr>
        <w:t> </w:t>
      </w:r>
      <w:r>
        <w:rPr/>
        <w:t>un</w:t>
      </w:r>
      <w:r>
        <w:rPr>
          <w:spacing w:val="-11"/>
        </w:rPr>
        <w:t> </w:t>
      </w:r>
      <w:r>
        <w:rPr/>
        <w:t>8,25.</w:t>
      </w:r>
      <w:r>
        <w:rPr>
          <w:spacing w:val="-11"/>
        </w:rPr>
        <w:t> </w:t>
      </w:r>
      <w:r>
        <w:rPr/>
        <w:t>La</w:t>
      </w:r>
      <w:r>
        <w:rPr>
          <w:spacing w:val="-10"/>
        </w:rPr>
        <w:t> </w:t>
      </w:r>
      <w:r>
        <w:rPr/>
        <w:t>valoración</w:t>
      </w:r>
      <w:r>
        <w:rPr>
          <w:spacing w:val="-11"/>
        </w:rPr>
        <w:t> </w:t>
      </w:r>
      <w:r>
        <w:rPr/>
        <w:t>de</w:t>
      </w:r>
      <w:r>
        <w:rPr>
          <w:spacing w:val="-11"/>
        </w:rPr>
        <w:t> </w:t>
      </w:r>
      <w:r>
        <w:rPr/>
        <w:t>las</w:t>
      </w:r>
      <w:r>
        <w:rPr>
          <w:spacing w:val="-13"/>
        </w:rPr>
        <w:t> </w:t>
      </w:r>
      <w:r>
        <w:rPr/>
        <w:t>líneas</w:t>
      </w:r>
      <w:r>
        <w:rPr>
          <w:spacing w:val="-10"/>
        </w:rPr>
        <w:t> </w:t>
      </w:r>
      <w:r>
        <w:rPr/>
        <w:t>por</w:t>
      </w:r>
      <w:r>
        <w:rPr>
          <w:spacing w:val="-12"/>
        </w:rPr>
        <w:t> </w:t>
      </w:r>
      <w:r>
        <w:rPr/>
        <w:t>atributos</w:t>
      </w:r>
      <w:r>
        <w:rPr>
          <w:spacing w:val="-10"/>
        </w:rPr>
        <w:t> </w:t>
      </w:r>
      <w:r>
        <w:rPr/>
        <w:t>aumenta, a</w:t>
      </w:r>
      <w:r>
        <w:rPr>
          <w:spacing w:val="-6"/>
        </w:rPr>
        <w:t> </w:t>
      </w:r>
      <w:r>
        <w:rPr/>
        <w:t>excepción</w:t>
      </w:r>
      <w:r>
        <w:rPr>
          <w:spacing w:val="-7"/>
        </w:rPr>
        <w:t> </w:t>
      </w:r>
      <w:r>
        <w:rPr/>
        <w:t>de</w:t>
      </w:r>
      <w:r>
        <w:rPr>
          <w:spacing w:val="-9"/>
        </w:rPr>
        <w:t> </w:t>
      </w:r>
      <w:r>
        <w:rPr/>
        <w:t>la</w:t>
      </w:r>
      <w:r>
        <w:rPr>
          <w:spacing w:val="-6"/>
        </w:rPr>
        <w:t> </w:t>
      </w:r>
      <w:r>
        <w:rPr/>
        <w:t>coordinación</w:t>
      </w:r>
      <w:r>
        <w:rPr>
          <w:spacing w:val="-7"/>
        </w:rPr>
        <w:t> </w:t>
      </w:r>
      <w:r>
        <w:rPr/>
        <w:t>en</w:t>
      </w:r>
      <w:r>
        <w:rPr>
          <w:spacing w:val="-7"/>
        </w:rPr>
        <w:t> </w:t>
      </w:r>
      <w:r>
        <w:rPr/>
        <w:t>los</w:t>
      </w:r>
      <w:r>
        <w:rPr>
          <w:spacing w:val="-9"/>
        </w:rPr>
        <w:t> </w:t>
      </w:r>
      <w:r>
        <w:rPr/>
        <w:t>transbordos.</w:t>
      </w:r>
      <w:r>
        <w:rPr>
          <w:spacing w:val="-5"/>
        </w:rPr>
        <w:t> </w:t>
      </w:r>
      <w:r>
        <w:rPr/>
        <w:t>Se</w:t>
      </w:r>
      <w:r>
        <w:rPr>
          <w:spacing w:val="-9"/>
        </w:rPr>
        <w:t> </w:t>
      </w:r>
      <w:r>
        <w:rPr/>
        <w:t>recomienda</w:t>
      </w:r>
      <w:r>
        <w:rPr>
          <w:spacing w:val="-7"/>
        </w:rPr>
        <w:t> </w:t>
      </w:r>
      <w:r>
        <w:rPr/>
        <w:t>a</w:t>
      </w:r>
      <w:r>
        <w:rPr>
          <w:spacing w:val="-9"/>
        </w:rPr>
        <w:t> </w:t>
      </w:r>
      <w:r>
        <w:rPr/>
        <w:t>la</w:t>
      </w:r>
      <w:r>
        <w:rPr>
          <w:spacing w:val="-6"/>
        </w:rPr>
        <w:t> </w:t>
      </w:r>
      <w:r>
        <w:rPr/>
        <w:t>empresa</w:t>
      </w:r>
      <w:r>
        <w:rPr>
          <w:spacing w:val="-9"/>
        </w:rPr>
        <w:t> </w:t>
      </w:r>
      <w:r>
        <w:rPr/>
        <w:t>vigilar</w:t>
      </w:r>
      <w:r>
        <w:rPr>
          <w:spacing w:val="-6"/>
        </w:rPr>
        <w:t> </w:t>
      </w:r>
      <w:r>
        <w:rPr/>
        <w:t>los</w:t>
      </w:r>
      <w:r>
        <w:rPr>
          <w:spacing w:val="-6"/>
        </w:rPr>
        <w:t> </w:t>
      </w:r>
      <w:r>
        <w:rPr/>
        <w:t>atributos de frecuencia de paso, rapidez del trayecto y la puntualidad.</w:t>
      </w:r>
    </w:p>
    <w:p>
      <w:pPr>
        <w:pStyle w:val="BodyText"/>
        <w:spacing w:before="240"/>
        <w:ind w:left="992" w:right="988"/>
        <w:jc w:val="both"/>
      </w:pPr>
      <w:r>
        <w:rPr/>
        <w:t>La empresa municipal de transportes del </w:t>
      </w:r>
      <w:r>
        <w:rPr>
          <w:b/>
        </w:rPr>
        <w:t>Ayuntamiento de Málaga </w:t>
      </w:r>
      <w:r>
        <w:rPr/>
        <w:t>analiza anualmente la percepción de la calidad del servicio de autobuses urbanos. El grado de satisfacción global ha ido incrementándose cada año, situándose en 2023 en 8,07 sobre 10. Entre las cuestiones a mejorar se encuentran la frecuencia nocturna, el confort de las paradas, la carga de dispositivos o la temperatura en los vehículos.</w:t>
      </w:r>
    </w:p>
    <w:p>
      <w:pPr>
        <w:pStyle w:val="BodyText"/>
        <w:spacing w:before="240"/>
        <w:ind w:left="992" w:right="986"/>
        <w:jc w:val="both"/>
      </w:pPr>
      <w:r>
        <w:rPr/>
        <w:t>El</w:t>
      </w:r>
      <w:r>
        <w:rPr>
          <w:spacing w:val="-2"/>
        </w:rPr>
        <w:t> </w:t>
      </w:r>
      <w:r>
        <w:rPr>
          <w:b/>
        </w:rPr>
        <w:t>Ayuntamiento</w:t>
      </w:r>
      <w:r>
        <w:rPr>
          <w:b/>
          <w:spacing w:val="-2"/>
        </w:rPr>
        <w:t> </w:t>
      </w:r>
      <w:r>
        <w:rPr>
          <w:b/>
        </w:rPr>
        <w:t>de</w:t>
      </w:r>
      <w:r>
        <w:rPr>
          <w:b/>
          <w:spacing w:val="-4"/>
        </w:rPr>
        <w:t> </w:t>
      </w:r>
      <w:r>
        <w:rPr>
          <w:b/>
        </w:rPr>
        <w:t>Murcia</w:t>
      </w:r>
      <w:r>
        <w:rPr>
          <w:b/>
          <w:spacing w:val="-2"/>
        </w:rPr>
        <w:t> </w:t>
      </w:r>
      <w:r>
        <w:rPr/>
        <w:t>realiza</w:t>
      </w:r>
      <w:r>
        <w:rPr>
          <w:spacing w:val="-2"/>
        </w:rPr>
        <w:t> </w:t>
      </w:r>
      <w:r>
        <w:rPr/>
        <w:t>encuestas</w:t>
      </w:r>
      <w:r>
        <w:rPr>
          <w:spacing w:val="-2"/>
        </w:rPr>
        <w:t> </w:t>
      </w:r>
      <w:r>
        <w:rPr/>
        <w:t>sobre</w:t>
      </w:r>
      <w:r>
        <w:rPr>
          <w:spacing w:val="-2"/>
        </w:rPr>
        <w:t> </w:t>
      </w:r>
      <w:r>
        <w:rPr/>
        <w:t>el</w:t>
      </w:r>
      <w:r>
        <w:rPr>
          <w:spacing w:val="-2"/>
        </w:rPr>
        <w:t> </w:t>
      </w:r>
      <w:r>
        <w:rPr/>
        <w:t>servicio</w:t>
      </w:r>
      <w:r>
        <w:rPr>
          <w:spacing w:val="-2"/>
        </w:rPr>
        <w:t> </w:t>
      </w:r>
      <w:r>
        <w:rPr/>
        <w:t>tranviario. La</w:t>
      </w:r>
      <w:r>
        <w:rPr>
          <w:spacing w:val="-4"/>
        </w:rPr>
        <w:t> </w:t>
      </w:r>
      <w:r>
        <w:rPr/>
        <w:t>valoración</w:t>
      </w:r>
      <w:r>
        <w:rPr>
          <w:spacing w:val="-2"/>
        </w:rPr>
        <w:t> </w:t>
      </w:r>
      <w:r>
        <w:rPr/>
        <w:t>global</w:t>
      </w:r>
      <w:r>
        <w:rPr>
          <w:spacing w:val="-3"/>
        </w:rPr>
        <w:t> </w:t>
      </w:r>
      <w:r>
        <w:rPr/>
        <w:t>del servicio alcanza el 8,7 sobre 10 en 2024, descendiendo ligeramente (-0,1) respecto a 2023. Los atributos más valorados son la contribución medioambiental, las campañas de comunicación y la iluminación y el menos valorado es la comodidad. No consta que se realicen encuestas sobre el servicio de transporte mediante autobuses.</w:t>
      </w:r>
    </w:p>
    <w:p>
      <w:pPr>
        <w:pStyle w:val="BodyText"/>
        <w:spacing w:before="240"/>
        <w:ind w:left="992" w:right="990"/>
        <w:jc w:val="both"/>
      </w:pPr>
      <w:r>
        <w:rPr/>
        <w:t>En</w:t>
      </w:r>
      <w:r>
        <w:rPr>
          <w:spacing w:val="-2"/>
        </w:rPr>
        <w:t> </w:t>
      </w:r>
      <w:r>
        <w:rPr/>
        <w:t>las</w:t>
      </w:r>
      <w:r>
        <w:rPr>
          <w:spacing w:val="-1"/>
        </w:rPr>
        <w:t> </w:t>
      </w:r>
      <w:r>
        <w:rPr/>
        <w:t>encuestas</w:t>
      </w:r>
      <w:r>
        <w:rPr>
          <w:spacing w:val="-4"/>
        </w:rPr>
        <w:t> </w:t>
      </w:r>
      <w:r>
        <w:rPr/>
        <w:t>realizadas</w:t>
      </w:r>
      <w:r>
        <w:rPr>
          <w:spacing w:val="-2"/>
        </w:rPr>
        <w:t> </w:t>
      </w:r>
      <w:r>
        <w:rPr/>
        <w:t>por</w:t>
      </w:r>
      <w:r>
        <w:rPr>
          <w:spacing w:val="-3"/>
        </w:rPr>
        <w:t> </w:t>
      </w:r>
      <w:r>
        <w:rPr/>
        <w:t>la</w:t>
      </w:r>
      <w:r>
        <w:rPr>
          <w:spacing w:val="-2"/>
        </w:rPr>
        <w:t> </w:t>
      </w:r>
      <w:r>
        <w:rPr/>
        <w:t>empresa</w:t>
      </w:r>
      <w:r>
        <w:rPr>
          <w:spacing w:val="-4"/>
        </w:rPr>
        <w:t> </w:t>
      </w:r>
      <w:r>
        <w:rPr/>
        <w:t>municipal</w:t>
      </w:r>
      <w:r>
        <w:rPr>
          <w:spacing w:val="-2"/>
        </w:rPr>
        <w:t> </w:t>
      </w:r>
      <w:r>
        <w:rPr/>
        <w:t>de</w:t>
      </w:r>
      <w:r>
        <w:rPr>
          <w:spacing w:val="-2"/>
        </w:rPr>
        <w:t> </w:t>
      </w:r>
      <w:r>
        <w:rPr/>
        <w:t>transportes</w:t>
      </w:r>
      <w:r>
        <w:rPr>
          <w:spacing w:val="-2"/>
        </w:rPr>
        <w:t> </w:t>
      </w:r>
      <w:r>
        <w:rPr/>
        <w:t>del</w:t>
      </w:r>
      <w:r>
        <w:rPr>
          <w:spacing w:val="-2"/>
        </w:rPr>
        <w:t> </w:t>
      </w:r>
      <w:r>
        <w:rPr>
          <w:b/>
        </w:rPr>
        <w:t>Ayuntamiento</w:t>
      </w:r>
      <w:r>
        <w:rPr>
          <w:b/>
          <w:spacing w:val="-2"/>
        </w:rPr>
        <w:t> </w:t>
      </w:r>
      <w:r>
        <w:rPr>
          <w:b/>
        </w:rPr>
        <w:t>de</w:t>
      </w:r>
      <w:r>
        <w:rPr>
          <w:b/>
          <w:spacing w:val="-4"/>
        </w:rPr>
        <w:t> </w:t>
      </w:r>
      <w:r>
        <w:rPr>
          <w:b/>
        </w:rPr>
        <w:t>Palma </w:t>
      </w:r>
      <w:r>
        <w:rPr/>
        <w:t>se evalúa </w:t>
      </w:r>
      <w:r>
        <w:rPr>
          <w:color w:val="333333"/>
        </w:rPr>
        <w:t>la iluminación, la atención al cliente, la seguridad, el impacto ambiental y el servicio ofrecido.</w:t>
      </w:r>
      <w:r>
        <w:rPr>
          <w:color w:val="333333"/>
          <w:spacing w:val="-5"/>
        </w:rPr>
        <w:t> </w:t>
      </w:r>
      <w:r>
        <w:rPr>
          <w:color w:val="333333"/>
        </w:rPr>
        <w:t>También</w:t>
      </w:r>
      <w:r>
        <w:rPr>
          <w:color w:val="333333"/>
          <w:spacing w:val="-4"/>
        </w:rPr>
        <w:t> </w:t>
      </w:r>
      <w:r>
        <w:rPr>
          <w:color w:val="333333"/>
        </w:rPr>
        <w:t>se</w:t>
      </w:r>
      <w:r>
        <w:rPr>
          <w:color w:val="333333"/>
          <w:spacing w:val="-6"/>
        </w:rPr>
        <w:t> </w:t>
      </w:r>
      <w:r>
        <w:rPr>
          <w:color w:val="333333"/>
        </w:rPr>
        <w:t>valora</w:t>
      </w:r>
      <w:r>
        <w:rPr>
          <w:color w:val="333333"/>
          <w:spacing w:val="-3"/>
        </w:rPr>
        <w:t> </w:t>
      </w:r>
      <w:r>
        <w:rPr>
          <w:color w:val="333333"/>
        </w:rPr>
        <w:t>la</w:t>
      </w:r>
      <w:r>
        <w:rPr>
          <w:color w:val="333333"/>
          <w:spacing w:val="-6"/>
        </w:rPr>
        <w:t> </w:t>
      </w:r>
      <w:r>
        <w:rPr>
          <w:color w:val="333333"/>
        </w:rPr>
        <w:t>infraestructura</w:t>
      </w:r>
      <w:r>
        <w:rPr>
          <w:color w:val="333333"/>
          <w:spacing w:val="-6"/>
        </w:rPr>
        <w:t> </w:t>
      </w:r>
      <w:r>
        <w:rPr>
          <w:color w:val="333333"/>
        </w:rPr>
        <w:t>y</w:t>
      </w:r>
      <w:r>
        <w:rPr>
          <w:color w:val="333333"/>
          <w:spacing w:val="-4"/>
        </w:rPr>
        <w:t> </w:t>
      </w:r>
      <w:r>
        <w:rPr>
          <w:color w:val="333333"/>
        </w:rPr>
        <w:t>el</w:t>
      </w:r>
      <w:r>
        <w:rPr>
          <w:color w:val="333333"/>
          <w:spacing w:val="-7"/>
        </w:rPr>
        <w:t> </w:t>
      </w:r>
      <w:r>
        <w:rPr>
          <w:color w:val="333333"/>
        </w:rPr>
        <w:t>servicio</w:t>
      </w:r>
      <w:r>
        <w:rPr>
          <w:color w:val="333333"/>
          <w:spacing w:val="-4"/>
        </w:rPr>
        <w:t> </w:t>
      </w:r>
      <w:r>
        <w:rPr>
          <w:color w:val="333333"/>
        </w:rPr>
        <w:t>ofertado</w:t>
      </w:r>
      <w:r>
        <w:rPr>
          <w:color w:val="333333"/>
          <w:spacing w:val="-6"/>
        </w:rPr>
        <w:t> </w:t>
      </w:r>
      <w:r>
        <w:rPr>
          <w:color w:val="333333"/>
        </w:rPr>
        <w:t>a</w:t>
      </w:r>
      <w:r>
        <w:rPr>
          <w:color w:val="333333"/>
          <w:spacing w:val="-6"/>
        </w:rPr>
        <w:t> </w:t>
      </w:r>
      <w:r>
        <w:rPr>
          <w:color w:val="333333"/>
        </w:rPr>
        <w:t>través</w:t>
      </w:r>
      <w:r>
        <w:rPr>
          <w:color w:val="333333"/>
          <w:spacing w:val="-4"/>
        </w:rPr>
        <w:t> </w:t>
      </w:r>
      <w:r>
        <w:rPr>
          <w:color w:val="333333"/>
        </w:rPr>
        <w:t>de</w:t>
      </w:r>
      <w:r>
        <w:rPr>
          <w:color w:val="333333"/>
          <w:spacing w:val="-7"/>
        </w:rPr>
        <w:t> </w:t>
      </w:r>
      <w:r>
        <w:rPr>
          <w:color w:val="333333"/>
        </w:rPr>
        <w:t>la</w:t>
      </w:r>
      <w:r>
        <w:rPr>
          <w:color w:val="333333"/>
          <w:spacing w:val="-6"/>
        </w:rPr>
        <w:t> </w:t>
      </w:r>
      <w:r>
        <w:rPr>
          <w:color w:val="333333"/>
        </w:rPr>
        <w:t>técnica</w:t>
      </w:r>
      <w:r>
        <w:rPr>
          <w:color w:val="333333"/>
          <w:spacing w:val="-4"/>
        </w:rPr>
        <w:t> </w:t>
      </w:r>
      <w:r>
        <w:rPr>
          <w:color w:val="333333"/>
        </w:rPr>
        <w:t>del</w:t>
      </w:r>
      <w:r>
        <w:rPr>
          <w:color w:val="333333"/>
          <w:spacing w:val="-7"/>
        </w:rPr>
        <w:t> </w:t>
      </w:r>
      <w:r>
        <w:rPr>
          <w:color w:val="333333"/>
        </w:rPr>
        <w:t>cliente misterioso</w:t>
      </w:r>
      <w:r>
        <w:rPr>
          <w:color w:val="333333"/>
          <w:spacing w:val="-6"/>
        </w:rPr>
        <w:t> </w:t>
      </w:r>
      <w:r>
        <w:rPr>
          <w:color w:val="333333"/>
        </w:rPr>
        <w:t>o</w:t>
      </w:r>
      <w:r>
        <w:rPr>
          <w:color w:val="333333"/>
          <w:spacing w:val="-6"/>
        </w:rPr>
        <w:t> </w:t>
      </w:r>
      <w:r>
        <w:rPr>
          <w:color w:val="333333"/>
        </w:rPr>
        <w:t>anónimo,</w:t>
      </w:r>
      <w:r>
        <w:rPr>
          <w:color w:val="333333"/>
          <w:spacing w:val="-5"/>
        </w:rPr>
        <w:t> </w:t>
      </w:r>
      <w:r>
        <w:rPr>
          <w:color w:val="333333"/>
        </w:rPr>
        <w:t>además</w:t>
      </w:r>
      <w:r>
        <w:rPr>
          <w:color w:val="333333"/>
          <w:spacing w:val="-6"/>
        </w:rPr>
        <w:t> </w:t>
      </w:r>
      <w:r>
        <w:rPr>
          <w:color w:val="333333"/>
        </w:rPr>
        <w:t>de</w:t>
      </w:r>
      <w:r>
        <w:rPr>
          <w:color w:val="333333"/>
          <w:spacing w:val="-7"/>
        </w:rPr>
        <w:t> </w:t>
      </w:r>
      <w:r>
        <w:rPr>
          <w:color w:val="333333"/>
        </w:rPr>
        <w:t>realizar</w:t>
      </w:r>
      <w:r>
        <w:rPr>
          <w:color w:val="333333"/>
          <w:spacing w:val="-8"/>
        </w:rPr>
        <w:t> </w:t>
      </w:r>
      <w:r>
        <w:rPr>
          <w:color w:val="333333"/>
        </w:rPr>
        <w:t>consultas</w:t>
      </w:r>
      <w:r>
        <w:rPr>
          <w:color w:val="333333"/>
          <w:spacing w:val="-6"/>
        </w:rPr>
        <w:t> </w:t>
      </w:r>
      <w:r>
        <w:rPr>
          <w:color w:val="333333"/>
        </w:rPr>
        <w:t>utilizando</w:t>
      </w:r>
      <w:r>
        <w:rPr>
          <w:color w:val="333333"/>
          <w:spacing w:val="-7"/>
        </w:rPr>
        <w:t> </w:t>
      </w:r>
      <w:r>
        <w:rPr>
          <w:color w:val="333333"/>
        </w:rPr>
        <w:t>los</w:t>
      </w:r>
      <w:r>
        <w:rPr>
          <w:color w:val="333333"/>
          <w:spacing w:val="-6"/>
        </w:rPr>
        <w:t> </w:t>
      </w:r>
      <w:r>
        <w:rPr>
          <w:color w:val="333333"/>
        </w:rPr>
        <w:t>diferentes</w:t>
      </w:r>
      <w:r>
        <w:rPr>
          <w:color w:val="333333"/>
          <w:spacing w:val="-6"/>
        </w:rPr>
        <w:t> </w:t>
      </w:r>
      <w:r>
        <w:rPr>
          <w:color w:val="333333"/>
        </w:rPr>
        <w:t>canales</w:t>
      </w:r>
      <w:r>
        <w:rPr>
          <w:color w:val="333333"/>
          <w:spacing w:val="-6"/>
        </w:rPr>
        <w:t> </w:t>
      </w:r>
      <w:r>
        <w:rPr>
          <w:color w:val="333333"/>
        </w:rPr>
        <w:t>de</w:t>
      </w:r>
      <w:r>
        <w:rPr>
          <w:color w:val="333333"/>
          <w:spacing w:val="-7"/>
        </w:rPr>
        <w:t> </w:t>
      </w:r>
      <w:r>
        <w:rPr>
          <w:color w:val="333333"/>
        </w:rPr>
        <w:t>atención</w:t>
      </w:r>
      <w:r>
        <w:rPr>
          <w:color w:val="333333"/>
          <w:spacing w:val="-7"/>
        </w:rPr>
        <w:t> </w:t>
      </w:r>
      <w:r>
        <w:rPr>
          <w:color w:val="333333"/>
        </w:rPr>
        <w:t>al </w:t>
      </w:r>
      <w:r>
        <w:rPr>
          <w:color w:val="333333"/>
          <w:spacing w:val="-2"/>
        </w:rPr>
        <w:t>público.</w:t>
      </w:r>
    </w:p>
    <w:p>
      <w:pPr>
        <w:pStyle w:val="BodyText"/>
        <w:spacing w:before="241"/>
        <w:ind w:left="992" w:right="987"/>
        <w:jc w:val="both"/>
      </w:pPr>
      <w:r>
        <w:rPr/>
        <w:t>La empresa municipal de transportes del </w:t>
      </w:r>
      <w:r>
        <w:rPr>
          <w:b/>
        </w:rPr>
        <w:t>Ayuntamiento de Sevilla </w:t>
      </w:r>
      <w:r>
        <w:rPr/>
        <w:t>realiza anualmente estudios para conocer la satisfacción de sus clientes sobre el servicio de autobús y el tranviario mediante encuestas</w:t>
      </w:r>
      <w:r>
        <w:rPr>
          <w:spacing w:val="-8"/>
        </w:rPr>
        <w:t> </w:t>
      </w:r>
      <w:r>
        <w:rPr/>
        <w:t>presenciales.</w:t>
      </w:r>
      <w:r>
        <w:rPr>
          <w:spacing w:val="-11"/>
        </w:rPr>
        <w:t> </w:t>
      </w:r>
      <w:r>
        <w:rPr/>
        <w:t>En</w:t>
      </w:r>
      <w:r>
        <w:rPr>
          <w:spacing w:val="-8"/>
        </w:rPr>
        <w:t> </w:t>
      </w:r>
      <w:r>
        <w:rPr/>
        <w:t>el</w:t>
      </w:r>
      <w:r>
        <w:rPr>
          <w:spacing w:val="-9"/>
        </w:rPr>
        <w:t> </w:t>
      </w:r>
      <w:r>
        <w:rPr/>
        <w:t>informe</w:t>
      </w:r>
      <w:r>
        <w:rPr>
          <w:spacing w:val="-8"/>
        </w:rPr>
        <w:t> </w:t>
      </w:r>
      <w:r>
        <w:rPr/>
        <w:t>del</w:t>
      </w:r>
      <w:r>
        <w:rPr>
          <w:spacing w:val="-9"/>
        </w:rPr>
        <w:t> </w:t>
      </w:r>
      <w:r>
        <w:rPr/>
        <w:t>ejercicio</w:t>
      </w:r>
      <w:r>
        <w:rPr>
          <w:spacing w:val="-8"/>
        </w:rPr>
        <w:t> </w:t>
      </w:r>
      <w:r>
        <w:rPr/>
        <w:t>2024</w:t>
      </w:r>
      <w:r>
        <w:rPr>
          <w:spacing w:val="-7"/>
        </w:rPr>
        <w:t> </w:t>
      </w:r>
      <w:r>
        <w:rPr/>
        <w:t>se</w:t>
      </w:r>
      <w:r>
        <w:rPr>
          <w:spacing w:val="-8"/>
        </w:rPr>
        <w:t> </w:t>
      </w:r>
      <w:r>
        <w:rPr/>
        <w:t>observa</w:t>
      </w:r>
      <w:r>
        <w:rPr>
          <w:spacing w:val="-10"/>
        </w:rPr>
        <w:t> </w:t>
      </w:r>
      <w:r>
        <w:rPr/>
        <w:t>una</w:t>
      </w:r>
      <w:r>
        <w:rPr>
          <w:spacing w:val="-10"/>
        </w:rPr>
        <w:t> </w:t>
      </w:r>
      <w:r>
        <w:rPr/>
        <w:t>mejora</w:t>
      </w:r>
      <w:r>
        <w:rPr>
          <w:spacing w:val="-10"/>
        </w:rPr>
        <w:t> </w:t>
      </w:r>
      <w:r>
        <w:rPr/>
        <w:t>de</w:t>
      </w:r>
      <w:r>
        <w:rPr>
          <w:spacing w:val="-8"/>
        </w:rPr>
        <w:t> </w:t>
      </w:r>
      <w:r>
        <w:rPr/>
        <w:t>tres</w:t>
      </w:r>
      <w:r>
        <w:rPr>
          <w:spacing w:val="-8"/>
        </w:rPr>
        <w:t> </w:t>
      </w:r>
      <w:r>
        <w:rPr/>
        <w:t>de</w:t>
      </w:r>
      <w:r>
        <w:rPr>
          <w:spacing w:val="-11"/>
        </w:rPr>
        <w:t> </w:t>
      </w:r>
      <w:r>
        <w:rPr/>
        <w:t>los</w:t>
      </w:r>
      <w:r>
        <w:rPr>
          <w:spacing w:val="-8"/>
        </w:rPr>
        <w:t> </w:t>
      </w:r>
      <w:r>
        <w:rPr/>
        <w:t>cinco atributos respecto del año anterior. Mejoran la regularidad del servicio, el tiempo de espera en parada, así como el trato de los empleados y la información recibida. Sin embargo, la valoración global de paradas desciende y la valoración global de autobuses se mantiene.</w:t>
      </w:r>
    </w:p>
    <w:p>
      <w:pPr>
        <w:pStyle w:val="BodyText"/>
        <w:spacing w:before="238"/>
        <w:ind w:left="992" w:right="987"/>
        <w:jc w:val="both"/>
      </w:pPr>
      <w:r>
        <w:rPr/>
        <w:t>El </w:t>
      </w:r>
      <w:r>
        <w:rPr>
          <w:b/>
        </w:rPr>
        <w:t>Ayuntamiento de Zaragoza </w:t>
      </w:r>
      <w:r>
        <w:rPr/>
        <w:t>también dispone de encuestas de satisfacción sobre el servicio de autobús y el tranviario. Respecto del primero, los aspectos más valorados están el acceso y descenso del autobús, la atención al cliente, la seguridad a bordo y las medidas adoptadas por la empresa</w:t>
      </w:r>
      <w:r>
        <w:rPr>
          <w:spacing w:val="-1"/>
        </w:rPr>
        <w:t> </w:t>
      </w:r>
      <w:r>
        <w:rPr/>
        <w:t>ante</w:t>
      </w:r>
      <w:r>
        <w:rPr>
          <w:spacing w:val="-1"/>
        </w:rPr>
        <w:t> </w:t>
      </w:r>
      <w:r>
        <w:rPr/>
        <w:t>el impacto</w:t>
      </w:r>
      <w:r>
        <w:rPr>
          <w:spacing w:val="-1"/>
        </w:rPr>
        <w:t> </w:t>
      </w:r>
      <w:r>
        <w:rPr/>
        <w:t>medioambiental del</w:t>
      </w:r>
      <w:r>
        <w:rPr>
          <w:spacing w:val="-1"/>
        </w:rPr>
        <w:t> </w:t>
      </w:r>
      <w:r>
        <w:rPr/>
        <w:t>servicio. Entre los</w:t>
      </w:r>
      <w:r>
        <w:rPr>
          <w:spacing w:val="-1"/>
        </w:rPr>
        <w:t> </w:t>
      </w:r>
      <w:r>
        <w:rPr/>
        <w:t>aspectos peor valorados</w:t>
      </w:r>
      <w:r>
        <w:rPr>
          <w:spacing w:val="-1"/>
        </w:rPr>
        <w:t> </w:t>
      </w:r>
      <w:r>
        <w:rPr/>
        <w:t>figuran</w:t>
      </w:r>
      <w:r>
        <w:rPr>
          <w:spacing w:val="-1"/>
        </w:rPr>
        <w:t> </w:t>
      </w:r>
      <w:r>
        <w:rPr/>
        <w:t>la información sobre el servicio no habitual en paradas, vehículos y otros</w:t>
      </w:r>
      <w:r>
        <w:rPr>
          <w:spacing w:val="-1"/>
        </w:rPr>
        <w:t> </w:t>
      </w:r>
      <w:r>
        <w:rPr/>
        <w:t>medios, el cumplimiento de frecuencia</w:t>
      </w:r>
      <w:r>
        <w:rPr>
          <w:spacing w:val="-4"/>
        </w:rPr>
        <w:t> </w:t>
      </w:r>
      <w:r>
        <w:rPr/>
        <w:t>y</w:t>
      </w:r>
      <w:r>
        <w:rPr>
          <w:spacing w:val="-4"/>
        </w:rPr>
        <w:t> </w:t>
      </w:r>
      <w:r>
        <w:rPr/>
        <w:t>el</w:t>
      </w:r>
      <w:r>
        <w:rPr>
          <w:spacing w:val="-3"/>
        </w:rPr>
        <w:t> </w:t>
      </w:r>
      <w:r>
        <w:rPr/>
        <w:t>estado</w:t>
      </w:r>
      <w:r>
        <w:rPr>
          <w:spacing w:val="-4"/>
        </w:rPr>
        <w:t> </w:t>
      </w:r>
      <w:r>
        <w:rPr/>
        <w:t>y</w:t>
      </w:r>
      <w:r>
        <w:rPr>
          <w:spacing w:val="-5"/>
        </w:rPr>
        <w:t> </w:t>
      </w:r>
      <w:r>
        <w:rPr/>
        <w:t>mantenimiento</w:t>
      </w:r>
      <w:r>
        <w:rPr>
          <w:spacing w:val="-4"/>
        </w:rPr>
        <w:t> </w:t>
      </w:r>
      <w:r>
        <w:rPr/>
        <w:t>de</w:t>
      </w:r>
      <w:r>
        <w:rPr>
          <w:spacing w:val="-2"/>
        </w:rPr>
        <w:t> </w:t>
      </w:r>
      <w:r>
        <w:rPr/>
        <w:t>la</w:t>
      </w:r>
      <w:r>
        <w:rPr>
          <w:spacing w:val="-4"/>
        </w:rPr>
        <w:t> </w:t>
      </w:r>
      <w:r>
        <w:rPr/>
        <w:t>flota</w:t>
      </w:r>
      <w:r>
        <w:rPr>
          <w:spacing w:val="-4"/>
        </w:rPr>
        <w:t> </w:t>
      </w:r>
      <w:r>
        <w:rPr/>
        <w:t>de</w:t>
      </w:r>
      <w:r>
        <w:rPr>
          <w:spacing w:val="-4"/>
        </w:rPr>
        <w:t> </w:t>
      </w:r>
      <w:r>
        <w:rPr/>
        <w:t>autobuses.</w:t>
      </w:r>
      <w:r>
        <w:rPr>
          <w:spacing w:val="-3"/>
        </w:rPr>
        <w:t> </w:t>
      </w:r>
      <w:r>
        <w:rPr/>
        <w:t>En</w:t>
      </w:r>
      <w:r>
        <w:rPr>
          <w:spacing w:val="-4"/>
        </w:rPr>
        <w:t> </w:t>
      </w:r>
      <w:r>
        <w:rPr/>
        <w:t>cuanto</w:t>
      </w:r>
      <w:r>
        <w:rPr>
          <w:spacing w:val="-2"/>
        </w:rPr>
        <w:t> </w:t>
      </w:r>
      <w:r>
        <w:rPr/>
        <w:t>al</w:t>
      </w:r>
      <w:r>
        <w:rPr>
          <w:spacing w:val="-4"/>
        </w:rPr>
        <w:t> </w:t>
      </w:r>
      <w:r>
        <w:rPr/>
        <w:t>tranvía, la</w:t>
      </w:r>
      <w:r>
        <w:rPr>
          <w:spacing w:val="-4"/>
        </w:rPr>
        <w:t> </w:t>
      </w:r>
      <w:r>
        <w:rPr/>
        <w:t>valoración global</w:t>
      </w:r>
      <w:r>
        <w:rPr>
          <w:spacing w:val="-1"/>
        </w:rPr>
        <w:t> </w:t>
      </w:r>
      <w:r>
        <w:rPr/>
        <w:t>del servicio alcanza el</w:t>
      </w:r>
      <w:r>
        <w:rPr>
          <w:spacing w:val="-1"/>
        </w:rPr>
        <w:t> </w:t>
      </w:r>
      <w:r>
        <w:rPr/>
        <w:t>8,27 sobre 10</w:t>
      </w:r>
      <w:r>
        <w:rPr>
          <w:spacing w:val="-2"/>
        </w:rPr>
        <w:t> </w:t>
      </w:r>
      <w:r>
        <w:rPr/>
        <w:t>en 2024. El atributo</w:t>
      </w:r>
      <w:r>
        <w:rPr>
          <w:spacing w:val="-2"/>
        </w:rPr>
        <w:t> </w:t>
      </w:r>
      <w:r>
        <w:rPr/>
        <w:t>mejor valorado es la puntualidad y regularidad, seguido del medioambiente. El servicio ofertado es el atributo con menor valoración media (trasbordo entre el tranvía, el autobús y cercanías; la frecuencia de paso, comodidad de las máquinas expendedoras, horario y sensación de ocupación en las paradas y en el interior del </w:t>
      </w:r>
      <w:r>
        <w:rPr>
          <w:spacing w:val="-2"/>
        </w:rPr>
        <w:t>tranvía).</w:t>
      </w:r>
    </w:p>
    <w:p>
      <w:pPr>
        <w:pStyle w:val="BodyText"/>
        <w:spacing w:before="242"/>
        <w:ind w:left="992" w:right="987"/>
        <w:jc w:val="both"/>
      </w:pPr>
      <w:r>
        <w:rPr/>
        <w:t>Las valoraciones obtenidas en estas encuestas no se han empleado por los ayuntamientos fiscalizados para impulsar o fundamentar las actuaciones realizadas en el periodo fiscalizado, expuestas en este Informe. Únicamente el </w:t>
      </w:r>
      <w:r>
        <w:rPr>
          <w:b/>
        </w:rPr>
        <w:t>Ayuntamiento de Málaga </w:t>
      </w:r>
      <w:r>
        <w:rPr/>
        <w:t>ha comunicado que el incremento de</w:t>
      </w:r>
      <w:r>
        <w:rPr>
          <w:spacing w:val="-2"/>
        </w:rPr>
        <w:t> </w:t>
      </w:r>
      <w:r>
        <w:rPr/>
        <w:t>número</w:t>
      </w:r>
      <w:r>
        <w:rPr>
          <w:spacing w:val="-1"/>
        </w:rPr>
        <w:t> </w:t>
      </w:r>
      <w:r>
        <w:rPr/>
        <w:t>de pantallas</w:t>
      </w:r>
      <w:r>
        <w:rPr>
          <w:spacing w:val="-2"/>
        </w:rPr>
        <w:t> </w:t>
      </w:r>
      <w:r>
        <w:rPr/>
        <w:t>de información al</w:t>
      </w:r>
      <w:r>
        <w:rPr>
          <w:spacing w:val="-1"/>
        </w:rPr>
        <w:t> </w:t>
      </w:r>
      <w:r>
        <w:rPr/>
        <w:t>usuario en</w:t>
      </w:r>
      <w:r>
        <w:rPr>
          <w:spacing w:val="-2"/>
        </w:rPr>
        <w:t> </w:t>
      </w:r>
      <w:r>
        <w:rPr/>
        <w:t>paradas</w:t>
      </w:r>
      <w:r>
        <w:rPr>
          <w:spacing w:val="-4"/>
        </w:rPr>
        <w:t> </w:t>
      </w:r>
      <w:r>
        <w:rPr/>
        <w:t>sobre</w:t>
      </w:r>
      <w:r>
        <w:rPr>
          <w:spacing w:val="-2"/>
        </w:rPr>
        <w:t> </w:t>
      </w:r>
      <w:r>
        <w:rPr/>
        <w:t>tiempos</w:t>
      </w:r>
      <w:r>
        <w:rPr>
          <w:spacing w:val="-2"/>
        </w:rPr>
        <w:t> </w:t>
      </w:r>
      <w:r>
        <w:rPr/>
        <w:t>de</w:t>
      </w:r>
      <w:r>
        <w:rPr>
          <w:spacing w:val="-2"/>
        </w:rPr>
        <w:t> </w:t>
      </w:r>
      <w:r>
        <w:rPr/>
        <w:t>espera se</w:t>
      </w:r>
      <w:r>
        <w:rPr>
          <w:spacing w:val="-6"/>
        </w:rPr>
        <w:t> </w:t>
      </w:r>
      <w:r>
        <w:rPr/>
        <w:t>ha</w:t>
      </w:r>
      <w:r>
        <w:rPr>
          <w:spacing w:val="-9"/>
        </w:rPr>
        <w:t> </w:t>
      </w:r>
      <w:r>
        <w:rPr/>
        <w:t>llevado</w:t>
      </w:r>
      <w:r>
        <w:rPr>
          <w:spacing w:val="-7"/>
        </w:rPr>
        <w:t> </w:t>
      </w:r>
      <w:r>
        <w:rPr/>
        <w:t>a</w:t>
      </w:r>
      <w:r>
        <w:rPr>
          <w:spacing w:val="-9"/>
        </w:rPr>
        <w:t> </w:t>
      </w:r>
      <w:r>
        <w:rPr/>
        <w:t>cabo</w:t>
      </w:r>
      <w:r>
        <w:rPr>
          <w:spacing w:val="-6"/>
        </w:rPr>
        <w:t> </w:t>
      </w:r>
      <w:r>
        <w:rPr/>
        <w:t>para</w:t>
      </w:r>
      <w:r>
        <w:rPr>
          <w:spacing w:val="-6"/>
        </w:rPr>
        <w:t> </w:t>
      </w:r>
      <w:r>
        <w:rPr/>
        <w:t>responder</w:t>
      </w:r>
      <w:r>
        <w:rPr>
          <w:spacing w:val="-8"/>
        </w:rPr>
        <w:t> </w:t>
      </w:r>
      <w:r>
        <w:rPr/>
        <w:t>a</w:t>
      </w:r>
      <w:r>
        <w:rPr>
          <w:spacing w:val="-6"/>
        </w:rPr>
        <w:t> </w:t>
      </w:r>
      <w:r>
        <w:rPr/>
        <w:t>la</w:t>
      </w:r>
      <w:r>
        <w:rPr>
          <w:spacing w:val="-9"/>
        </w:rPr>
        <w:t> </w:t>
      </w:r>
      <w:r>
        <w:rPr/>
        <w:t>demanda</w:t>
      </w:r>
      <w:r>
        <w:rPr>
          <w:spacing w:val="-6"/>
        </w:rPr>
        <w:t> </w:t>
      </w:r>
      <w:r>
        <w:rPr/>
        <w:t>de</w:t>
      </w:r>
      <w:r>
        <w:rPr>
          <w:spacing w:val="-7"/>
        </w:rPr>
        <w:t> </w:t>
      </w:r>
      <w:r>
        <w:rPr/>
        <w:t>los</w:t>
      </w:r>
      <w:r>
        <w:rPr>
          <w:spacing w:val="-9"/>
        </w:rPr>
        <w:t> </w:t>
      </w:r>
      <w:r>
        <w:rPr/>
        <w:t>usuarios.</w:t>
      </w:r>
      <w:r>
        <w:rPr>
          <w:spacing w:val="-5"/>
        </w:rPr>
        <w:t> </w:t>
      </w:r>
      <w:r>
        <w:rPr/>
        <w:t>En</w:t>
      </w:r>
      <w:r>
        <w:rPr>
          <w:spacing w:val="-6"/>
        </w:rPr>
        <w:t> </w:t>
      </w:r>
      <w:r>
        <w:rPr/>
        <w:t>el</w:t>
      </w:r>
      <w:r>
        <w:rPr>
          <w:spacing w:val="-7"/>
        </w:rPr>
        <w:t> </w:t>
      </w:r>
      <w:r>
        <w:rPr/>
        <w:t>informe</w:t>
      </w:r>
      <w:r>
        <w:rPr>
          <w:spacing w:val="-6"/>
        </w:rPr>
        <w:t> </w:t>
      </w:r>
      <w:r>
        <w:rPr/>
        <w:t>de</w:t>
      </w:r>
      <w:r>
        <w:rPr>
          <w:spacing w:val="-9"/>
        </w:rPr>
        <w:t> </w:t>
      </w:r>
      <w:r>
        <w:rPr/>
        <w:t>2023</w:t>
      </w:r>
      <w:r>
        <w:rPr>
          <w:spacing w:val="-9"/>
        </w:rPr>
        <w:t> </w:t>
      </w:r>
      <w:r>
        <w:rPr/>
        <w:t>sobre</w:t>
      </w:r>
      <w:r>
        <w:rPr>
          <w:spacing w:val="-9"/>
        </w:rPr>
        <w:t> </w:t>
      </w:r>
      <w:r>
        <w:rPr/>
        <w:t>las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6"/>
        <w:jc w:val="both"/>
      </w:pPr>
      <w:r>
        <w:rPr/>
        <w:t>encuestas</w:t>
      </w:r>
      <w:r>
        <w:rPr>
          <w:spacing w:val="-6"/>
        </w:rPr>
        <w:t> </w:t>
      </w:r>
      <w:r>
        <w:rPr/>
        <w:t>realizadas</w:t>
      </w:r>
      <w:r>
        <w:rPr>
          <w:spacing w:val="-6"/>
        </w:rPr>
        <w:t> </w:t>
      </w:r>
      <w:r>
        <w:rPr/>
        <w:t>a</w:t>
      </w:r>
      <w:r>
        <w:rPr>
          <w:spacing w:val="-6"/>
        </w:rPr>
        <w:t> </w:t>
      </w:r>
      <w:r>
        <w:rPr/>
        <w:t>los</w:t>
      </w:r>
      <w:r>
        <w:rPr>
          <w:spacing w:val="-4"/>
        </w:rPr>
        <w:t> </w:t>
      </w:r>
      <w:r>
        <w:rPr/>
        <w:t>usuarios</w:t>
      </w:r>
      <w:r>
        <w:rPr>
          <w:spacing w:val="-3"/>
        </w:rPr>
        <w:t> </w:t>
      </w:r>
      <w:r>
        <w:rPr/>
        <w:t>se</w:t>
      </w:r>
      <w:r>
        <w:rPr>
          <w:spacing w:val="-6"/>
        </w:rPr>
        <w:t> </w:t>
      </w:r>
      <w:r>
        <w:rPr/>
        <w:t>pone</w:t>
      </w:r>
      <w:r>
        <w:rPr>
          <w:spacing w:val="-7"/>
        </w:rPr>
        <w:t> </w:t>
      </w:r>
      <w:r>
        <w:rPr/>
        <w:t>de</w:t>
      </w:r>
      <w:r>
        <w:rPr>
          <w:spacing w:val="-8"/>
        </w:rPr>
        <w:t> </w:t>
      </w:r>
      <w:r>
        <w:rPr/>
        <w:t>manifiesto</w:t>
      </w:r>
      <w:r>
        <w:rPr>
          <w:spacing w:val="-6"/>
        </w:rPr>
        <w:t> </w:t>
      </w:r>
      <w:r>
        <w:rPr/>
        <w:t>que</w:t>
      </w:r>
      <w:r>
        <w:rPr>
          <w:spacing w:val="-6"/>
        </w:rPr>
        <w:t> </w:t>
      </w:r>
      <w:r>
        <w:rPr/>
        <w:t>la</w:t>
      </w:r>
      <w:r>
        <w:rPr>
          <w:spacing w:val="-4"/>
        </w:rPr>
        <w:t> </w:t>
      </w:r>
      <w:r>
        <w:rPr/>
        <w:t>satisfacción</w:t>
      </w:r>
      <w:r>
        <w:rPr>
          <w:spacing w:val="-4"/>
        </w:rPr>
        <w:t> </w:t>
      </w:r>
      <w:r>
        <w:rPr/>
        <w:t>con</w:t>
      </w:r>
      <w:r>
        <w:rPr>
          <w:spacing w:val="-7"/>
        </w:rPr>
        <w:t> </w:t>
      </w:r>
      <w:r>
        <w:rPr/>
        <w:t>la</w:t>
      </w:r>
      <w:r>
        <w:rPr>
          <w:spacing w:val="-6"/>
        </w:rPr>
        <w:t> </w:t>
      </w:r>
      <w:r>
        <w:rPr/>
        <w:t>fiabilidad</w:t>
      </w:r>
      <w:r>
        <w:rPr>
          <w:spacing w:val="-4"/>
        </w:rPr>
        <w:t> </w:t>
      </w:r>
      <w:r>
        <w:rPr/>
        <w:t>de</w:t>
      </w:r>
      <w:r>
        <w:rPr>
          <w:spacing w:val="-7"/>
        </w:rPr>
        <w:t> </w:t>
      </w:r>
      <w:r>
        <w:rPr/>
        <w:t>la información</w:t>
      </w:r>
      <w:r>
        <w:rPr>
          <w:spacing w:val="-7"/>
        </w:rPr>
        <w:t> </w:t>
      </w:r>
      <w:r>
        <w:rPr/>
        <w:t>suministrada</w:t>
      </w:r>
      <w:r>
        <w:rPr>
          <w:spacing w:val="-6"/>
        </w:rPr>
        <w:t> </w:t>
      </w:r>
      <w:r>
        <w:rPr/>
        <w:t>en</w:t>
      </w:r>
      <w:r>
        <w:rPr>
          <w:spacing w:val="-7"/>
        </w:rPr>
        <w:t> </w:t>
      </w:r>
      <w:r>
        <w:rPr/>
        <w:t>pantalla</w:t>
      </w:r>
      <w:r>
        <w:rPr>
          <w:spacing w:val="-4"/>
        </w:rPr>
        <w:t> </w:t>
      </w:r>
      <w:r>
        <w:rPr/>
        <w:t>se</w:t>
      </w:r>
      <w:r>
        <w:rPr>
          <w:spacing w:val="-6"/>
        </w:rPr>
        <w:t> </w:t>
      </w:r>
      <w:r>
        <w:rPr/>
        <w:t>ha</w:t>
      </w:r>
      <w:r>
        <w:rPr>
          <w:spacing w:val="-7"/>
        </w:rPr>
        <w:t> </w:t>
      </w:r>
      <w:r>
        <w:rPr/>
        <w:t>ido</w:t>
      </w:r>
      <w:r>
        <w:rPr>
          <w:spacing w:val="-7"/>
        </w:rPr>
        <w:t> </w:t>
      </w:r>
      <w:r>
        <w:rPr/>
        <w:t>incrementando</w:t>
      </w:r>
      <w:r>
        <w:rPr>
          <w:spacing w:val="-7"/>
        </w:rPr>
        <w:t> </w:t>
      </w:r>
      <w:r>
        <w:rPr/>
        <w:t>a</w:t>
      </w:r>
      <w:r>
        <w:rPr>
          <w:spacing w:val="-6"/>
        </w:rPr>
        <w:t> </w:t>
      </w:r>
      <w:r>
        <w:rPr/>
        <w:t>lo</w:t>
      </w:r>
      <w:r>
        <w:rPr>
          <w:spacing w:val="-4"/>
        </w:rPr>
        <w:t> </w:t>
      </w:r>
      <w:r>
        <w:rPr/>
        <w:t>largo</w:t>
      </w:r>
      <w:r>
        <w:rPr>
          <w:spacing w:val="-6"/>
        </w:rPr>
        <w:t> </w:t>
      </w:r>
      <w:r>
        <w:rPr/>
        <w:t>de</w:t>
      </w:r>
      <w:r>
        <w:rPr>
          <w:spacing w:val="-7"/>
        </w:rPr>
        <w:t> </w:t>
      </w:r>
      <w:r>
        <w:rPr/>
        <w:t>los</w:t>
      </w:r>
      <w:r>
        <w:rPr>
          <w:spacing w:val="-6"/>
        </w:rPr>
        <w:t> </w:t>
      </w:r>
      <w:r>
        <w:rPr/>
        <w:t>años,</w:t>
      </w:r>
      <w:r>
        <w:rPr>
          <w:spacing w:val="-8"/>
        </w:rPr>
        <w:t> </w:t>
      </w:r>
      <w:r>
        <w:rPr/>
        <w:t>constituyendo uno de los puntos fuertes del servicio. Sin embargo, también se indica que el</w:t>
      </w:r>
      <w:r>
        <w:rPr>
          <w:spacing w:val="-1"/>
        </w:rPr>
        <w:t> </w:t>
      </w:r>
      <w:r>
        <w:rPr/>
        <w:t>44,3 % de los avisos de incidencias comunicadas corresponden a este aspecto, sin detallar qué clase de incidencias se han producido.</w:t>
      </w:r>
    </w:p>
    <w:p>
      <w:pPr>
        <w:pStyle w:val="BodyText"/>
        <w:spacing w:before="107"/>
      </w:pPr>
    </w:p>
    <w:p>
      <w:pPr>
        <w:pStyle w:val="Heading4"/>
        <w:numPr>
          <w:ilvl w:val="1"/>
          <w:numId w:val="3"/>
        </w:numPr>
        <w:tabs>
          <w:tab w:pos="1416" w:val="left" w:leader="none"/>
        </w:tabs>
        <w:spacing w:line="240" w:lineRule="auto" w:before="0" w:after="0"/>
        <w:ind w:left="992" w:right="989" w:firstLine="0"/>
        <w:jc w:val="both"/>
      </w:pPr>
      <w:bookmarkStart w:name="_bookmark103" w:id="105"/>
      <w:bookmarkEnd w:id="105"/>
      <w:r>
        <w:rPr>
          <w:b w:val="0"/>
        </w:rPr>
      </w:r>
      <w:r>
        <w:rPr/>
        <w:t>ANÁLISIS DE LAS SUBVENCIONES RECIBIDAS POR LOS AYUNTAMIENTOS FISCALIZADOS PROCEDENTES DEL PROGRAMA DE AYUDAS A MUNICIPIOS PARA LA IMPLANTACIÓN DE ZONAS DE BAJAS EMISIONES Y LA TRANSFORMACIÓN DIGITAL Y SOSTENIBLE DEL TRANSPORTE URBANO, EN EL MARCO DEL PRTR, Y DEL CUMPLIMIENTO DE LOS PRINCIPIOS TRANSVERSALES DEL PRTR</w:t>
      </w:r>
    </w:p>
    <w:p>
      <w:pPr>
        <w:pStyle w:val="BodyText"/>
        <w:spacing w:before="107"/>
        <w:rPr>
          <w:b/>
        </w:rPr>
      </w:pPr>
    </w:p>
    <w:p>
      <w:pPr>
        <w:pStyle w:val="Heading5"/>
        <w:numPr>
          <w:ilvl w:val="2"/>
          <w:numId w:val="3"/>
        </w:numPr>
        <w:tabs>
          <w:tab w:pos="1739" w:val="left" w:leader="none"/>
        </w:tabs>
        <w:spacing w:line="240" w:lineRule="auto" w:before="0" w:after="0"/>
        <w:ind w:left="1133" w:right="988" w:firstLine="0"/>
        <w:jc w:val="left"/>
      </w:pPr>
      <w:bookmarkStart w:name="_bookmark104" w:id="106"/>
      <w:bookmarkEnd w:id="106"/>
      <w:r>
        <w:rPr>
          <w:b w:val="0"/>
        </w:rPr>
      </w:r>
      <w:r>
        <w:rPr/>
        <w:t>Programa de ayudas a</w:t>
      </w:r>
      <w:r>
        <w:rPr>
          <w:spacing w:val="-1"/>
        </w:rPr>
        <w:t> </w:t>
      </w:r>
      <w:r>
        <w:rPr/>
        <w:t>municipios para la implantación de zonas de</w:t>
      </w:r>
      <w:r>
        <w:rPr>
          <w:spacing w:val="-1"/>
        </w:rPr>
        <w:t> </w:t>
      </w:r>
      <w:r>
        <w:rPr/>
        <w:t>bajas emisiones y la transformación digital y sostenible del transporte urbano, en el marco del PRTR</w:t>
      </w:r>
    </w:p>
    <w:p>
      <w:pPr>
        <w:pStyle w:val="BodyText"/>
        <w:spacing w:before="241"/>
        <w:ind w:left="992" w:right="986"/>
        <w:jc w:val="both"/>
      </w:pPr>
      <w:r>
        <w:rPr/>
        <w:t>La Orden de 17 de agosto de 2021 del MITMA aprobó las bases reguladoras para el Programa de ayudas</w:t>
      </w:r>
      <w:r>
        <w:rPr>
          <w:spacing w:val="-12"/>
        </w:rPr>
        <w:t> </w:t>
      </w:r>
      <w:r>
        <w:rPr/>
        <w:t>para</w:t>
      </w:r>
      <w:r>
        <w:rPr>
          <w:spacing w:val="-12"/>
        </w:rPr>
        <w:t> </w:t>
      </w:r>
      <w:r>
        <w:rPr/>
        <w:t>la</w:t>
      </w:r>
      <w:r>
        <w:rPr>
          <w:spacing w:val="-15"/>
        </w:rPr>
        <w:t> </w:t>
      </w:r>
      <w:r>
        <w:rPr/>
        <w:t>transformación</w:t>
      </w:r>
      <w:r>
        <w:rPr>
          <w:spacing w:val="-13"/>
        </w:rPr>
        <w:t> </w:t>
      </w:r>
      <w:r>
        <w:rPr/>
        <w:t>digital</w:t>
      </w:r>
      <w:r>
        <w:rPr>
          <w:spacing w:val="-13"/>
        </w:rPr>
        <w:t> </w:t>
      </w:r>
      <w:r>
        <w:rPr/>
        <w:t>y</w:t>
      </w:r>
      <w:r>
        <w:rPr>
          <w:spacing w:val="-14"/>
        </w:rPr>
        <w:t> </w:t>
      </w:r>
      <w:r>
        <w:rPr/>
        <w:t>sostenible</w:t>
      </w:r>
      <w:r>
        <w:rPr>
          <w:spacing w:val="-15"/>
        </w:rPr>
        <w:t> </w:t>
      </w:r>
      <w:r>
        <w:rPr/>
        <w:t>del</w:t>
      </w:r>
      <w:r>
        <w:rPr>
          <w:spacing w:val="-13"/>
        </w:rPr>
        <w:t> </w:t>
      </w:r>
      <w:r>
        <w:rPr/>
        <w:t>transporte</w:t>
      </w:r>
      <w:r>
        <w:rPr>
          <w:spacing w:val="-12"/>
        </w:rPr>
        <w:t> </w:t>
      </w:r>
      <w:r>
        <w:rPr/>
        <w:t>urbano,</w:t>
      </w:r>
      <w:r>
        <w:rPr>
          <w:spacing w:val="-11"/>
        </w:rPr>
        <w:t> </w:t>
      </w:r>
      <w:r>
        <w:rPr/>
        <w:t>PRTR.</w:t>
      </w:r>
      <w:r>
        <w:rPr>
          <w:spacing w:val="-11"/>
        </w:rPr>
        <w:t> </w:t>
      </w:r>
      <w:r>
        <w:rPr/>
        <w:t>Este</w:t>
      </w:r>
      <w:r>
        <w:rPr>
          <w:spacing w:val="-15"/>
        </w:rPr>
        <w:t> </w:t>
      </w:r>
      <w:r>
        <w:rPr/>
        <w:t>Programa,</w:t>
      </w:r>
      <w:r>
        <w:rPr>
          <w:spacing w:val="-13"/>
        </w:rPr>
        <w:t> </w:t>
      </w:r>
      <w:r>
        <w:rPr/>
        <w:t>que ha contado con dos convocatorias, una en 2021 y otra en 2022, tiene por objeto subvencionar aquellas actuaciones encaminadas a la mejora de la calidad del aire y reducción del ruido en los entornos urbanos, al impulso de la descarbonización de la movilidad urbana a través</w:t>
      </w:r>
      <w:r>
        <w:rPr>
          <w:spacing w:val="-1"/>
        </w:rPr>
        <w:t> </w:t>
      </w:r>
      <w:r>
        <w:rPr/>
        <w:t>de diferentes medidas dirigidas al propio tejido de la ciudad y sus infraestructuras, así como a la potenciación y optimización del transporte urbano y metropolitano, con un sistema de transporte público urbano con flotas más modernas, eficientes y de nulas emisiones.</w:t>
      </w:r>
    </w:p>
    <w:p>
      <w:pPr>
        <w:pStyle w:val="BodyText"/>
        <w:spacing w:before="240"/>
        <w:ind w:left="992" w:right="986"/>
        <w:jc w:val="both"/>
      </w:pPr>
      <w:r>
        <w:rPr/>
        <w:t>Entre</w:t>
      </w:r>
      <w:r>
        <w:rPr>
          <w:spacing w:val="-4"/>
        </w:rPr>
        <w:t> </w:t>
      </w:r>
      <w:r>
        <w:rPr/>
        <w:t>los</w:t>
      </w:r>
      <w:r>
        <w:rPr>
          <w:spacing w:val="-6"/>
        </w:rPr>
        <w:t> </w:t>
      </w:r>
      <w:r>
        <w:rPr/>
        <w:t>requisitos</w:t>
      </w:r>
      <w:r>
        <w:rPr>
          <w:spacing w:val="-4"/>
        </w:rPr>
        <w:t> </w:t>
      </w:r>
      <w:r>
        <w:rPr/>
        <w:t>para</w:t>
      </w:r>
      <w:r>
        <w:rPr>
          <w:spacing w:val="-6"/>
        </w:rPr>
        <w:t> </w:t>
      </w:r>
      <w:r>
        <w:rPr/>
        <w:t>poder</w:t>
      </w:r>
      <w:r>
        <w:rPr>
          <w:spacing w:val="-4"/>
        </w:rPr>
        <w:t> </w:t>
      </w:r>
      <w:r>
        <w:rPr/>
        <w:t>acceder</w:t>
      </w:r>
      <w:r>
        <w:rPr>
          <w:spacing w:val="-6"/>
        </w:rPr>
        <w:t> </w:t>
      </w:r>
      <w:r>
        <w:rPr/>
        <w:t>a</w:t>
      </w:r>
      <w:r>
        <w:rPr>
          <w:spacing w:val="-4"/>
        </w:rPr>
        <w:t> </w:t>
      </w:r>
      <w:r>
        <w:rPr/>
        <w:t>esas</w:t>
      </w:r>
      <w:r>
        <w:rPr>
          <w:spacing w:val="-4"/>
        </w:rPr>
        <w:t> </w:t>
      </w:r>
      <w:r>
        <w:rPr/>
        <w:t>ayudas</w:t>
      </w:r>
      <w:r>
        <w:rPr>
          <w:spacing w:val="-4"/>
        </w:rPr>
        <w:t> </w:t>
      </w:r>
      <w:r>
        <w:rPr/>
        <w:t>se</w:t>
      </w:r>
      <w:r>
        <w:rPr>
          <w:spacing w:val="-6"/>
        </w:rPr>
        <w:t> </w:t>
      </w:r>
      <w:r>
        <w:rPr/>
        <w:t>requería</w:t>
      </w:r>
      <w:r>
        <w:rPr>
          <w:spacing w:val="-6"/>
        </w:rPr>
        <w:t> </w:t>
      </w:r>
      <w:r>
        <w:rPr/>
        <w:t>que</w:t>
      </w:r>
      <w:r>
        <w:rPr>
          <w:spacing w:val="-4"/>
        </w:rPr>
        <w:t> </w:t>
      </w:r>
      <w:r>
        <w:rPr/>
        <w:t>los</w:t>
      </w:r>
      <w:r>
        <w:rPr>
          <w:spacing w:val="-4"/>
        </w:rPr>
        <w:t> </w:t>
      </w:r>
      <w:r>
        <w:rPr/>
        <w:t>municipios</w:t>
      </w:r>
      <w:r>
        <w:rPr>
          <w:spacing w:val="-4"/>
        </w:rPr>
        <w:t> </w:t>
      </w:r>
      <w:r>
        <w:rPr/>
        <w:t>participantes dispusieran de PMUS en el momento de presentar su solicitud, requisito que cumplían todas las entidades fiscalizadas.</w:t>
      </w:r>
    </w:p>
    <w:p>
      <w:pPr>
        <w:pStyle w:val="BodyText"/>
        <w:spacing w:before="242"/>
        <w:ind w:left="992" w:right="986"/>
        <w:jc w:val="both"/>
      </w:pPr>
      <w:r>
        <w:rPr/>
        <w:t>Las</w:t>
      </w:r>
      <w:r>
        <w:rPr>
          <w:spacing w:val="-7"/>
        </w:rPr>
        <w:t> </w:t>
      </w:r>
      <w:r>
        <w:rPr/>
        <w:t>bases</w:t>
      </w:r>
      <w:r>
        <w:rPr>
          <w:spacing w:val="-10"/>
        </w:rPr>
        <w:t> </w:t>
      </w:r>
      <w:r>
        <w:rPr/>
        <w:t>reguladoras</w:t>
      </w:r>
      <w:r>
        <w:rPr>
          <w:spacing w:val="-7"/>
        </w:rPr>
        <w:t> </w:t>
      </w:r>
      <w:r>
        <w:rPr/>
        <w:t>permitían</w:t>
      </w:r>
      <w:r>
        <w:rPr>
          <w:spacing w:val="-8"/>
        </w:rPr>
        <w:t> </w:t>
      </w:r>
      <w:r>
        <w:rPr/>
        <w:t>que,</w:t>
      </w:r>
      <w:r>
        <w:rPr>
          <w:spacing w:val="-8"/>
        </w:rPr>
        <w:t> </w:t>
      </w:r>
      <w:r>
        <w:rPr/>
        <w:t>en</w:t>
      </w:r>
      <w:r>
        <w:rPr>
          <w:spacing w:val="-7"/>
        </w:rPr>
        <w:t> </w:t>
      </w:r>
      <w:r>
        <w:rPr/>
        <w:t>cada</w:t>
      </w:r>
      <w:r>
        <w:rPr>
          <w:spacing w:val="-10"/>
        </w:rPr>
        <w:t> </w:t>
      </w:r>
      <w:r>
        <w:rPr/>
        <w:t>convocatoria,</w:t>
      </w:r>
      <w:r>
        <w:rPr>
          <w:spacing w:val="-6"/>
        </w:rPr>
        <w:t> </w:t>
      </w:r>
      <w:r>
        <w:rPr/>
        <w:t>un</w:t>
      </w:r>
      <w:r>
        <w:rPr>
          <w:spacing w:val="-10"/>
        </w:rPr>
        <w:t> </w:t>
      </w:r>
      <w:r>
        <w:rPr/>
        <w:t>mismo</w:t>
      </w:r>
      <w:r>
        <w:rPr>
          <w:spacing w:val="-10"/>
        </w:rPr>
        <w:t> </w:t>
      </w:r>
      <w:r>
        <w:rPr/>
        <w:t>municipio</w:t>
      </w:r>
      <w:r>
        <w:rPr>
          <w:spacing w:val="-7"/>
        </w:rPr>
        <w:t> </w:t>
      </w:r>
      <w:r>
        <w:rPr/>
        <w:t>pudiera</w:t>
      </w:r>
      <w:r>
        <w:rPr>
          <w:spacing w:val="-7"/>
        </w:rPr>
        <w:t> </w:t>
      </w:r>
      <w:r>
        <w:rPr/>
        <w:t>presentar una o dos solicitudes individualmente según su número de habitantes y, además, una solicitud en agrupación de municipios siempre que no estuviera incluido en ningún ente supramunicipal que hubiera presentado una solicitud, estableciéndose los siguientes límites cuantitativos en cada una de las convocatorias: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Heading4"/>
        <w:ind w:left="0" w:right="2"/>
      </w:pPr>
      <w:bookmarkStart w:name="_bookmark105" w:id="107"/>
      <w:bookmarkEnd w:id="107"/>
      <w:r>
        <w:rPr>
          <w:b w:val="0"/>
        </w:rPr>
      </w:r>
      <w:r>
        <w:rPr/>
        <w:t>GRÁFICO</w:t>
      </w:r>
      <w:r>
        <w:rPr>
          <w:spacing w:val="-7"/>
        </w:rPr>
        <w:t> </w:t>
      </w:r>
      <w:r>
        <w:rPr/>
        <w:t>5.</w:t>
      </w:r>
      <w:r>
        <w:rPr>
          <w:spacing w:val="-7"/>
        </w:rPr>
        <w:t> </w:t>
      </w:r>
      <w:r>
        <w:rPr/>
        <w:t>LÍMITES</w:t>
      </w:r>
      <w:r>
        <w:rPr>
          <w:spacing w:val="-5"/>
        </w:rPr>
        <w:t> </w:t>
      </w:r>
      <w:r>
        <w:rPr/>
        <w:t>CUANTITATIVOS</w:t>
      </w:r>
      <w:r>
        <w:rPr>
          <w:spacing w:val="-6"/>
        </w:rPr>
        <w:t> </w:t>
      </w:r>
      <w:r>
        <w:rPr/>
        <w:t>DE</w:t>
      </w:r>
      <w:r>
        <w:rPr>
          <w:spacing w:val="-6"/>
        </w:rPr>
        <w:t> </w:t>
      </w:r>
      <w:r>
        <w:rPr/>
        <w:t>LAS</w:t>
      </w:r>
      <w:r>
        <w:rPr>
          <w:spacing w:val="-5"/>
        </w:rPr>
        <w:t> </w:t>
      </w:r>
      <w:r>
        <w:rPr>
          <w:spacing w:val="-2"/>
        </w:rPr>
        <w:t>AYUDAS</w:t>
      </w:r>
    </w:p>
    <w:p>
      <w:pPr>
        <w:pStyle w:val="BodyText"/>
        <w:spacing w:before="14"/>
        <w:rPr>
          <w:b/>
          <w:sz w:val="20"/>
        </w:rPr>
      </w:pPr>
      <w:r>
        <w:rPr>
          <w:b/>
          <w:sz w:val="20"/>
        </w:rPr>
        <w:drawing>
          <wp:anchor distT="0" distB="0" distL="0" distR="0" allowOverlap="1" layoutInCell="1" locked="0" behindDoc="1" simplePos="0" relativeHeight="487620096">
            <wp:simplePos x="0" y="0"/>
            <wp:positionH relativeFrom="page">
              <wp:posOffset>862330</wp:posOffset>
            </wp:positionH>
            <wp:positionV relativeFrom="paragraph">
              <wp:posOffset>170460</wp:posOffset>
            </wp:positionV>
            <wp:extent cx="5806821" cy="3206115"/>
            <wp:effectExtent l="0" t="0" r="0" b="0"/>
            <wp:wrapTopAndBottom/>
            <wp:docPr id="200" name="Image 200"/>
            <wp:cNvGraphicFramePr>
              <a:graphicFrameLocks/>
            </wp:cNvGraphicFramePr>
            <a:graphic>
              <a:graphicData uri="http://schemas.openxmlformats.org/drawingml/2006/picture">
                <pic:pic>
                  <pic:nvPicPr>
                    <pic:cNvPr id="200" name="Image 200"/>
                    <pic:cNvPicPr/>
                  </pic:nvPicPr>
                  <pic:blipFill>
                    <a:blip r:embed="rId55" cstate="print"/>
                    <a:stretch>
                      <a:fillRect/>
                    </a:stretch>
                  </pic:blipFill>
                  <pic:spPr>
                    <a:xfrm>
                      <a:off x="0" y="0"/>
                      <a:ext cx="5806821" cy="3206115"/>
                    </a:xfrm>
                    <a:prstGeom prst="rect">
                      <a:avLst/>
                    </a:prstGeom>
                  </pic:spPr>
                </pic:pic>
              </a:graphicData>
            </a:graphic>
          </wp:anchor>
        </w:drawing>
      </w:r>
    </w:p>
    <w:p>
      <w:pPr>
        <w:spacing w:before="146"/>
        <w:ind w:left="1417"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2"/>
          <w:sz w:val="18"/>
        </w:rPr>
        <w:t> </w:t>
      </w:r>
      <w:r>
        <w:rPr>
          <w:rFonts w:ascii="Arial Narrow" w:hAnsi="Arial Narrow"/>
          <w:sz w:val="18"/>
        </w:rPr>
        <w:t>a</w:t>
      </w:r>
      <w:r>
        <w:rPr>
          <w:rFonts w:ascii="Arial Narrow" w:hAnsi="Arial Narrow"/>
          <w:spacing w:val="-2"/>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3"/>
          <w:sz w:val="18"/>
        </w:rPr>
        <w:t> </w:t>
      </w:r>
      <w:r>
        <w:rPr>
          <w:rFonts w:ascii="Arial Narrow" w:hAnsi="Arial Narrow"/>
          <w:sz w:val="18"/>
        </w:rPr>
        <w:t>los</w:t>
      </w:r>
      <w:r>
        <w:rPr>
          <w:rFonts w:ascii="Arial Narrow" w:hAnsi="Arial Narrow"/>
          <w:spacing w:val="-3"/>
          <w:sz w:val="18"/>
        </w:rPr>
        <w:t> </w:t>
      </w:r>
      <w:r>
        <w:rPr>
          <w:rFonts w:ascii="Arial Narrow" w:hAnsi="Arial Narrow"/>
          <w:sz w:val="18"/>
        </w:rPr>
        <w:t>datos</w:t>
      </w:r>
      <w:r>
        <w:rPr>
          <w:rFonts w:ascii="Arial Narrow" w:hAnsi="Arial Narrow"/>
          <w:spacing w:val="-1"/>
          <w:sz w:val="18"/>
        </w:rPr>
        <w:t> </w:t>
      </w:r>
      <w:r>
        <w:rPr>
          <w:rFonts w:ascii="Arial Narrow" w:hAnsi="Arial Narrow"/>
          <w:sz w:val="18"/>
        </w:rPr>
        <w:t>facilitados</w:t>
      </w:r>
      <w:r>
        <w:rPr>
          <w:rFonts w:ascii="Arial Narrow" w:hAnsi="Arial Narrow"/>
          <w:spacing w:val="-2"/>
          <w:sz w:val="18"/>
        </w:rPr>
        <w:t> </w:t>
      </w:r>
      <w:r>
        <w:rPr>
          <w:rFonts w:ascii="Arial Narrow" w:hAnsi="Arial Narrow"/>
          <w:sz w:val="18"/>
        </w:rPr>
        <w:t>por</w:t>
      </w:r>
      <w:r>
        <w:rPr>
          <w:rFonts w:ascii="Arial Narrow" w:hAnsi="Arial Narrow"/>
          <w:spacing w:val="-1"/>
          <w:sz w:val="18"/>
        </w:rPr>
        <w:t> </w:t>
      </w:r>
      <w:r>
        <w:rPr>
          <w:rFonts w:ascii="Arial Narrow" w:hAnsi="Arial Narrow"/>
          <w:sz w:val="18"/>
        </w:rPr>
        <w:t>las</w:t>
      </w:r>
      <w:r>
        <w:rPr>
          <w:rFonts w:ascii="Arial Narrow" w:hAnsi="Arial Narrow"/>
          <w:spacing w:val="-3"/>
          <w:sz w:val="18"/>
        </w:rPr>
        <w:t> </w:t>
      </w:r>
      <w:r>
        <w:rPr>
          <w:rFonts w:ascii="Arial Narrow" w:hAnsi="Arial Narrow"/>
          <w:sz w:val="18"/>
        </w:rPr>
        <w:t>entidades</w:t>
      </w:r>
      <w:r>
        <w:rPr>
          <w:rFonts w:ascii="Arial Narrow" w:hAnsi="Arial Narrow"/>
          <w:spacing w:val="-2"/>
          <w:sz w:val="18"/>
        </w:rPr>
        <w:t> fiscalizadas</w:t>
      </w:r>
    </w:p>
    <w:p>
      <w:pPr>
        <w:pStyle w:val="BodyText"/>
        <w:spacing w:before="35"/>
        <w:rPr>
          <w:rFonts w:ascii="Arial Narrow"/>
          <w:sz w:val="18"/>
        </w:rPr>
      </w:pPr>
    </w:p>
    <w:p>
      <w:pPr>
        <w:pStyle w:val="BodyText"/>
        <w:ind w:left="992" w:right="993"/>
        <w:jc w:val="both"/>
      </w:pPr>
      <w:r>
        <w:rPr/>
        <w:t>Mediante Órdenes Ministeriales de 20 de mayo de 2022 y 17 de julio de 2023 se otorgaron a las entidades beneficiarias las ayudas de la primera y segunda convocatoria, respectivamente.</w:t>
      </w:r>
    </w:p>
    <w:p>
      <w:pPr>
        <w:pStyle w:val="BodyText"/>
        <w:spacing w:before="238"/>
        <w:ind w:left="992" w:right="988"/>
        <w:jc w:val="both"/>
      </w:pPr>
      <w:r>
        <w:rPr/>
        <w:t>Todos los ayuntamientos fiscalizados resultaron beneficiarios en la primera convocatoria, por un importe</w:t>
      </w:r>
      <w:r>
        <w:rPr>
          <w:spacing w:val="20"/>
        </w:rPr>
        <w:t> </w:t>
      </w:r>
      <w:r>
        <w:rPr/>
        <w:t>total</w:t>
      </w:r>
      <w:r>
        <w:rPr>
          <w:spacing w:val="22"/>
        </w:rPr>
        <w:t> </w:t>
      </w:r>
      <w:r>
        <w:rPr/>
        <w:t>de</w:t>
      </w:r>
      <w:r>
        <w:rPr>
          <w:spacing w:val="22"/>
        </w:rPr>
        <w:t> </w:t>
      </w:r>
      <w:r>
        <w:rPr/>
        <w:t>169.779.709,33</w:t>
      </w:r>
      <w:r>
        <w:rPr>
          <w:spacing w:val="23"/>
        </w:rPr>
        <w:t> </w:t>
      </w:r>
      <w:r>
        <w:rPr/>
        <w:t>euros.</w:t>
      </w:r>
      <w:r>
        <w:rPr>
          <w:spacing w:val="23"/>
        </w:rPr>
        <w:t> </w:t>
      </w:r>
      <w:r>
        <w:rPr/>
        <w:t>No</w:t>
      </w:r>
      <w:r>
        <w:rPr>
          <w:spacing w:val="23"/>
        </w:rPr>
        <w:t> </w:t>
      </w:r>
      <w:r>
        <w:rPr/>
        <w:t>obstante,</w:t>
      </w:r>
      <w:r>
        <w:rPr>
          <w:spacing w:val="25"/>
        </w:rPr>
        <w:t> </w:t>
      </w:r>
      <w:r>
        <w:rPr/>
        <w:t>como</w:t>
      </w:r>
      <w:r>
        <w:rPr>
          <w:spacing w:val="21"/>
        </w:rPr>
        <w:t> </w:t>
      </w:r>
      <w:r>
        <w:rPr/>
        <w:t>ya</w:t>
      </w:r>
      <w:r>
        <w:rPr>
          <w:spacing w:val="23"/>
        </w:rPr>
        <w:t> </w:t>
      </w:r>
      <w:r>
        <w:rPr/>
        <w:t>se</w:t>
      </w:r>
      <w:r>
        <w:rPr>
          <w:spacing w:val="23"/>
        </w:rPr>
        <w:t> </w:t>
      </w:r>
      <w:r>
        <w:rPr/>
        <w:t>ha</w:t>
      </w:r>
      <w:r>
        <w:rPr>
          <w:spacing w:val="21"/>
        </w:rPr>
        <w:t> </w:t>
      </w:r>
      <w:r>
        <w:rPr/>
        <w:t>indicado</w:t>
      </w:r>
      <w:r>
        <w:rPr>
          <w:spacing w:val="23"/>
        </w:rPr>
        <w:t> </w:t>
      </w:r>
      <w:r>
        <w:rPr/>
        <w:t>en</w:t>
      </w:r>
      <w:r>
        <w:rPr>
          <w:spacing w:val="22"/>
        </w:rPr>
        <w:t> </w:t>
      </w:r>
      <w:r>
        <w:rPr/>
        <w:t>el</w:t>
      </w:r>
      <w:r>
        <w:rPr>
          <w:spacing w:val="23"/>
        </w:rPr>
        <w:t> </w:t>
      </w:r>
      <w:r>
        <w:rPr>
          <w:spacing w:val="-2"/>
        </w:rPr>
        <w:t>Subepígrafe</w:t>
      </w:r>
    </w:p>
    <w:p>
      <w:pPr>
        <w:pStyle w:val="BodyText"/>
        <w:ind w:left="992" w:right="907"/>
      </w:pPr>
      <w:r>
        <w:rPr/>
        <w:t>II.3.2.1</w:t>
      </w:r>
      <w:r>
        <w:rPr>
          <w:spacing w:val="40"/>
        </w:rPr>
        <w:t> </w:t>
      </w:r>
      <w:r>
        <w:rPr/>
        <w:t>de</w:t>
      </w:r>
      <w:r>
        <w:rPr>
          <w:spacing w:val="40"/>
        </w:rPr>
        <w:t> </w:t>
      </w:r>
      <w:r>
        <w:rPr/>
        <w:t>este</w:t>
      </w:r>
      <w:r>
        <w:rPr>
          <w:spacing w:val="40"/>
        </w:rPr>
        <w:t> </w:t>
      </w:r>
      <w:r>
        <w:rPr/>
        <w:t>Informe,</w:t>
      </w:r>
      <w:r>
        <w:rPr>
          <w:spacing w:val="40"/>
        </w:rPr>
        <w:t> </w:t>
      </w:r>
      <w:r>
        <w:rPr/>
        <w:t>el</w:t>
      </w:r>
      <w:r>
        <w:rPr>
          <w:spacing w:val="40"/>
        </w:rPr>
        <w:t> </w:t>
      </w:r>
      <w:r>
        <w:rPr>
          <w:b/>
        </w:rPr>
        <w:t>Ayuntamiento</w:t>
      </w:r>
      <w:r>
        <w:rPr>
          <w:b/>
          <w:spacing w:val="40"/>
        </w:rPr>
        <w:t> </w:t>
      </w:r>
      <w:r>
        <w:rPr>
          <w:b/>
        </w:rPr>
        <w:t>de</w:t>
      </w:r>
      <w:r>
        <w:rPr>
          <w:b/>
          <w:spacing w:val="40"/>
        </w:rPr>
        <w:t> </w:t>
      </w:r>
      <w:r>
        <w:rPr>
          <w:b/>
        </w:rPr>
        <w:t>Córdoba</w:t>
      </w:r>
      <w:r>
        <w:rPr>
          <w:b/>
          <w:spacing w:val="40"/>
        </w:rPr>
        <w:t> </w:t>
      </w:r>
      <w:r>
        <w:rPr/>
        <w:t>renunció</w:t>
      </w:r>
      <w:r>
        <w:rPr>
          <w:spacing w:val="40"/>
        </w:rPr>
        <w:t> </w:t>
      </w:r>
      <w:r>
        <w:rPr/>
        <w:t>a</w:t>
      </w:r>
      <w:r>
        <w:rPr>
          <w:spacing w:val="40"/>
        </w:rPr>
        <w:t> </w:t>
      </w:r>
      <w:r>
        <w:rPr/>
        <w:t>la</w:t>
      </w:r>
      <w:r>
        <w:rPr>
          <w:spacing w:val="40"/>
        </w:rPr>
        <w:t> </w:t>
      </w:r>
      <w:r>
        <w:rPr/>
        <w:t>subvención</w:t>
      </w:r>
      <w:r>
        <w:rPr>
          <w:spacing w:val="40"/>
        </w:rPr>
        <w:t> </w:t>
      </w:r>
      <w:r>
        <w:rPr/>
        <w:t>inicialmente concedida, de 11.014.615,00 euros, sin que hasta entonces hubiera recibido anticipo alguno.</w:t>
      </w:r>
    </w:p>
    <w:p>
      <w:pPr>
        <w:pStyle w:val="BodyText"/>
        <w:spacing w:before="241"/>
        <w:ind w:left="992" w:right="985"/>
        <w:jc w:val="both"/>
      </w:pPr>
      <w:r>
        <w:rPr/>
        <w:t>Los </w:t>
      </w:r>
      <w:r>
        <w:rPr>
          <w:b/>
        </w:rPr>
        <w:t>Ayuntamientos de Las Palmas de Gran Canaria, Málaga </w:t>
      </w:r>
      <w:r>
        <w:rPr/>
        <w:t>y </w:t>
      </w:r>
      <w:r>
        <w:rPr>
          <w:b/>
        </w:rPr>
        <w:t>Palma </w:t>
      </w:r>
      <w:r>
        <w:rPr/>
        <w:t>recibieron subvenciones para dos</w:t>
      </w:r>
      <w:r>
        <w:rPr>
          <w:spacing w:val="-1"/>
        </w:rPr>
        <w:t> </w:t>
      </w:r>
      <w:r>
        <w:rPr/>
        <w:t>o</w:t>
      </w:r>
      <w:r>
        <w:rPr>
          <w:spacing w:val="-1"/>
        </w:rPr>
        <w:t> </w:t>
      </w:r>
      <w:r>
        <w:rPr/>
        <w:t>tres proyectos, según</w:t>
      </w:r>
      <w:r>
        <w:rPr>
          <w:spacing w:val="-1"/>
        </w:rPr>
        <w:t> </w:t>
      </w:r>
      <w:r>
        <w:rPr/>
        <w:t>los</w:t>
      </w:r>
      <w:r>
        <w:rPr>
          <w:spacing w:val="-1"/>
        </w:rPr>
        <w:t> </w:t>
      </w:r>
      <w:r>
        <w:rPr/>
        <w:t>casos, uno</w:t>
      </w:r>
      <w:r>
        <w:rPr>
          <w:spacing w:val="-3"/>
        </w:rPr>
        <w:t> </w:t>
      </w:r>
      <w:r>
        <w:rPr/>
        <w:t>de ellos presentado ante</w:t>
      </w:r>
      <w:r>
        <w:rPr>
          <w:spacing w:val="-1"/>
        </w:rPr>
        <w:t> </w:t>
      </w:r>
      <w:r>
        <w:rPr/>
        <w:t>el MITMA en</w:t>
      </w:r>
      <w:r>
        <w:rPr>
          <w:spacing w:val="-1"/>
        </w:rPr>
        <w:t> </w:t>
      </w:r>
      <w:r>
        <w:rPr/>
        <w:t>agrupación junto con el Ayuntamiento de San Sebastián/Donostia, para el desarrollo del proyecto INNOBUS-TUR. En este último caso, cada uno de los socios se comprometía a llevar a cabo un proyecto concreto local con una serie de actuaciones presupuestadas individualmente por cada socio y un trabajo colaborativo entre los socios de puesta en común de las conclusiones, procesos y, en la medida de lo posible, de desarrollo de software común para abaratar los costes y trabajar a favor de la estandarización de los sistemas.</w:t>
      </w:r>
    </w:p>
    <w:p>
      <w:pPr>
        <w:spacing w:before="240"/>
        <w:ind w:left="992" w:right="989" w:firstLine="0"/>
        <w:jc w:val="both"/>
        <w:rPr>
          <w:sz w:val="22"/>
        </w:rPr>
      </w:pPr>
      <w:r>
        <w:rPr>
          <w:sz w:val="22"/>
        </w:rPr>
        <w:t>Los</w:t>
      </w:r>
      <w:r>
        <w:rPr>
          <w:spacing w:val="-11"/>
          <w:sz w:val="22"/>
        </w:rPr>
        <w:t> </w:t>
      </w:r>
      <w:r>
        <w:rPr>
          <w:b/>
          <w:sz w:val="22"/>
        </w:rPr>
        <w:t>Ayuntamientos</w:t>
      </w:r>
      <w:r>
        <w:rPr>
          <w:b/>
          <w:spacing w:val="-12"/>
          <w:sz w:val="22"/>
        </w:rPr>
        <w:t> </w:t>
      </w:r>
      <w:r>
        <w:rPr>
          <w:b/>
          <w:sz w:val="22"/>
        </w:rPr>
        <w:t>de</w:t>
      </w:r>
      <w:r>
        <w:rPr>
          <w:b/>
          <w:spacing w:val="-14"/>
          <w:sz w:val="22"/>
        </w:rPr>
        <w:t> </w:t>
      </w:r>
      <w:r>
        <w:rPr>
          <w:b/>
          <w:sz w:val="22"/>
        </w:rPr>
        <w:t>Bilbao,</w:t>
      </w:r>
      <w:r>
        <w:rPr>
          <w:b/>
          <w:spacing w:val="-13"/>
          <w:sz w:val="22"/>
        </w:rPr>
        <w:t> </w:t>
      </w:r>
      <w:r>
        <w:rPr>
          <w:b/>
          <w:sz w:val="22"/>
        </w:rPr>
        <w:t>Málaga,</w:t>
      </w:r>
      <w:r>
        <w:rPr>
          <w:b/>
          <w:spacing w:val="-10"/>
          <w:sz w:val="22"/>
        </w:rPr>
        <w:t> </w:t>
      </w:r>
      <w:r>
        <w:rPr>
          <w:b/>
          <w:sz w:val="22"/>
        </w:rPr>
        <w:t>Sevilla</w:t>
      </w:r>
      <w:r>
        <w:rPr>
          <w:b/>
          <w:spacing w:val="-14"/>
          <w:sz w:val="22"/>
        </w:rPr>
        <w:t> </w:t>
      </w:r>
      <w:r>
        <w:rPr>
          <w:b/>
          <w:sz w:val="22"/>
        </w:rPr>
        <w:t>y</w:t>
      </w:r>
      <w:r>
        <w:rPr>
          <w:b/>
          <w:spacing w:val="-9"/>
          <w:sz w:val="22"/>
        </w:rPr>
        <w:t> </w:t>
      </w:r>
      <w:r>
        <w:rPr>
          <w:b/>
          <w:sz w:val="22"/>
        </w:rPr>
        <w:t>Zaragoza</w:t>
      </w:r>
      <w:r>
        <w:rPr>
          <w:b/>
          <w:spacing w:val="-10"/>
          <w:sz w:val="22"/>
        </w:rPr>
        <w:t> </w:t>
      </w:r>
      <w:r>
        <w:rPr>
          <w:sz w:val="22"/>
        </w:rPr>
        <w:t>resultaron</w:t>
      </w:r>
      <w:r>
        <w:rPr>
          <w:spacing w:val="-9"/>
          <w:sz w:val="22"/>
        </w:rPr>
        <w:t> </w:t>
      </w:r>
      <w:r>
        <w:rPr>
          <w:sz w:val="22"/>
        </w:rPr>
        <w:t>beneficiarios</w:t>
      </w:r>
      <w:r>
        <w:rPr>
          <w:spacing w:val="-8"/>
          <w:sz w:val="22"/>
        </w:rPr>
        <w:t> </w:t>
      </w:r>
      <w:r>
        <w:rPr>
          <w:sz w:val="22"/>
        </w:rPr>
        <w:t>en</w:t>
      </w:r>
      <w:r>
        <w:rPr>
          <w:spacing w:val="-12"/>
          <w:sz w:val="22"/>
        </w:rPr>
        <w:t> </w:t>
      </w:r>
      <w:r>
        <w:rPr>
          <w:sz w:val="22"/>
        </w:rPr>
        <w:t>la</w:t>
      </w:r>
      <w:r>
        <w:rPr>
          <w:spacing w:val="-9"/>
          <w:sz w:val="22"/>
        </w:rPr>
        <w:t> </w:t>
      </w:r>
      <w:r>
        <w:rPr>
          <w:sz w:val="22"/>
        </w:rPr>
        <w:t>segunda convocatoria, ascendiendo las ayudas a 65.623.134,91 euros.</w:t>
      </w:r>
    </w:p>
    <w:p>
      <w:pPr>
        <w:pStyle w:val="BodyText"/>
        <w:spacing w:before="240"/>
        <w:ind w:left="992" w:right="990"/>
        <w:jc w:val="both"/>
      </w:pPr>
      <w:r>
        <w:rPr/>
        <w:t>Las</w:t>
      </w:r>
      <w:r>
        <w:rPr>
          <w:spacing w:val="-1"/>
        </w:rPr>
        <w:t> </w:t>
      </w:r>
      <w:r>
        <w:rPr/>
        <w:t>ayudas</w:t>
      </w:r>
      <w:r>
        <w:rPr>
          <w:spacing w:val="-4"/>
        </w:rPr>
        <w:t> </w:t>
      </w:r>
      <w:r>
        <w:rPr/>
        <w:t>se</w:t>
      </w:r>
      <w:r>
        <w:rPr>
          <w:spacing w:val="-2"/>
        </w:rPr>
        <w:t> </w:t>
      </w:r>
      <w:r>
        <w:rPr/>
        <w:t>estructuraban</w:t>
      </w:r>
      <w:r>
        <w:rPr>
          <w:spacing w:val="-2"/>
        </w:rPr>
        <w:t> </w:t>
      </w:r>
      <w:r>
        <w:rPr/>
        <w:t>en</w:t>
      </w:r>
      <w:r>
        <w:rPr>
          <w:spacing w:val="-2"/>
        </w:rPr>
        <w:t> </w:t>
      </w:r>
      <w:r>
        <w:rPr/>
        <w:t>cuatro</w:t>
      </w:r>
      <w:r>
        <w:rPr>
          <w:spacing w:val="-4"/>
        </w:rPr>
        <w:t> </w:t>
      </w:r>
      <w:r>
        <w:rPr/>
        <w:t>líneas,</w:t>
      </w:r>
      <w:r>
        <w:rPr>
          <w:spacing w:val="-1"/>
        </w:rPr>
        <w:t> </w:t>
      </w:r>
      <w:r>
        <w:rPr/>
        <w:t>dos</w:t>
      </w:r>
      <w:r>
        <w:rPr>
          <w:spacing w:val="-2"/>
        </w:rPr>
        <w:t> </w:t>
      </w:r>
      <w:r>
        <w:rPr/>
        <w:t>de</w:t>
      </w:r>
      <w:r>
        <w:rPr>
          <w:spacing w:val="-2"/>
        </w:rPr>
        <w:t> </w:t>
      </w:r>
      <w:r>
        <w:rPr/>
        <w:t>ellas</w:t>
      </w:r>
      <w:r>
        <w:rPr>
          <w:spacing w:val="-2"/>
        </w:rPr>
        <w:t> </w:t>
      </w:r>
      <w:r>
        <w:rPr/>
        <w:t>especialmente</w:t>
      </w:r>
      <w:r>
        <w:rPr>
          <w:spacing w:val="-2"/>
        </w:rPr>
        <w:t> </w:t>
      </w:r>
      <w:r>
        <w:rPr/>
        <w:t>vinculadas</w:t>
      </w:r>
      <w:r>
        <w:rPr>
          <w:spacing w:val="-2"/>
        </w:rPr>
        <w:t> </w:t>
      </w:r>
      <w:r>
        <w:rPr/>
        <w:t>con</w:t>
      </w:r>
      <w:r>
        <w:rPr>
          <w:spacing w:val="-4"/>
        </w:rPr>
        <w:t> </w:t>
      </w:r>
      <w:r>
        <w:rPr/>
        <w:t>el</w:t>
      </w:r>
      <w:r>
        <w:rPr>
          <w:spacing w:val="-3"/>
        </w:rPr>
        <w:t> </w:t>
      </w:r>
      <w:r>
        <w:rPr/>
        <w:t>objeto de</w:t>
      </w:r>
      <w:r>
        <w:rPr>
          <w:spacing w:val="-3"/>
        </w:rPr>
        <w:t> </w:t>
      </w:r>
      <w:r>
        <w:rPr/>
        <w:t>la</w:t>
      </w:r>
      <w:r>
        <w:rPr>
          <w:spacing w:val="-5"/>
        </w:rPr>
        <w:t> </w:t>
      </w:r>
      <w:r>
        <w:rPr/>
        <w:t>fiscalización,</w:t>
      </w:r>
      <w:r>
        <w:rPr>
          <w:spacing w:val="-4"/>
        </w:rPr>
        <w:t> </w:t>
      </w:r>
      <w:r>
        <w:rPr/>
        <w:t>referidas</w:t>
      </w:r>
      <w:r>
        <w:rPr>
          <w:spacing w:val="-2"/>
        </w:rPr>
        <w:t> </w:t>
      </w:r>
      <w:r>
        <w:rPr/>
        <w:t>a</w:t>
      </w:r>
      <w:r>
        <w:rPr>
          <w:spacing w:val="-5"/>
        </w:rPr>
        <w:t> </w:t>
      </w:r>
      <w:r>
        <w:rPr/>
        <w:t>la</w:t>
      </w:r>
      <w:r>
        <w:rPr>
          <w:spacing w:val="-3"/>
        </w:rPr>
        <w:t> </w:t>
      </w:r>
      <w:r>
        <w:rPr/>
        <w:t>digitalización</w:t>
      </w:r>
      <w:r>
        <w:rPr>
          <w:spacing w:val="-3"/>
        </w:rPr>
        <w:t> </w:t>
      </w:r>
      <w:r>
        <w:rPr/>
        <w:t>y</w:t>
      </w:r>
      <w:r>
        <w:rPr>
          <w:spacing w:val="-5"/>
        </w:rPr>
        <w:t> </w:t>
      </w:r>
      <w:r>
        <w:rPr/>
        <w:t>sostenibilidad</w:t>
      </w:r>
      <w:r>
        <w:rPr>
          <w:spacing w:val="-3"/>
        </w:rPr>
        <w:t> </w:t>
      </w:r>
      <w:r>
        <w:rPr/>
        <w:t>del</w:t>
      </w:r>
      <w:r>
        <w:rPr>
          <w:spacing w:val="-3"/>
        </w:rPr>
        <w:t> </w:t>
      </w:r>
      <w:r>
        <w:rPr/>
        <w:t>transporte</w:t>
      </w:r>
      <w:r>
        <w:rPr>
          <w:spacing w:val="-3"/>
        </w:rPr>
        <w:t> </w:t>
      </w:r>
      <w:r>
        <w:rPr/>
        <w:t>público</w:t>
      </w:r>
      <w:r>
        <w:rPr>
          <w:spacing w:val="-5"/>
        </w:rPr>
        <w:t> </w:t>
      </w:r>
      <w:r>
        <w:rPr/>
        <w:t>y</w:t>
      </w:r>
      <w:r>
        <w:rPr>
          <w:spacing w:val="-5"/>
        </w:rPr>
        <w:t> </w:t>
      </w:r>
      <w:r>
        <w:rPr/>
        <w:t>el</w:t>
      </w:r>
      <w:r>
        <w:rPr>
          <w:spacing w:val="-4"/>
        </w:rPr>
        <w:t> </w:t>
      </w:r>
      <w:r>
        <w:rPr/>
        <w:t>cambio</w:t>
      </w:r>
      <w:r>
        <w:rPr>
          <w:spacing w:val="-3"/>
        </w:rPr>
        <w:t> </w:t>
      </w:r>
      <w:r>
        <w:rPr/>
        <w:t>de flotas por vehículos limpios.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Heading4"/>
        <w:ind w:left="1477" w:right="1477"/>
      </w:pPr>
      <w:bookmarkStart w:name="_bookmark106" w:id="108"/>
      <w:bookmarkEnd w:id="108"/>
      <w:r>
        <w:rPr>
          <w:b w:val="0"/>
        </w:rPr>
      </w:r>
      <w:r>
        <w:rPr/>
        <w:t>GRÁFICO</w:t>
      </w:r>
      <w:r>
        <w:rPr>
          <w:spacing w:val="-5"/>
        </w:rPr>
        <w:t> </w:t>
      </w:r>
      <w:r>
        <w:rPr/>
        <w:t>6.</w:t>
      </w:r>
      <w:r>
        <w:rPr>
          <w:spacing w:val="-4"/>
        </w:rPr>
        <w:t> </w:t>
      </w:r>
      <w:r>
        <w:rPr/>
        <w:t>LÍNEAS</w:t>
      </w:r>
      <w:r>
        <w:rPr>
          <w:spacing w:val="-3"/>
        </w:rPr>
        <w:t> </w:t>
      </w:r>
      <w:r>
        <w:rPr/>
        <w:t>DE</w:t>
      </w:r>
      <w:r>
        <w:rPr>
          <w:spacing w:val="-3"/>
        </w:rPr>
        <w:t> </w:t>
      </w:r>
      <w:r>
        <w:rPr>
          <w:spacing w:val="-2"/>
        </w:rPr>
        <w:t>AYUDAS</w:t>
      </w:r>
    </w:p>
    <w:p>
      <w:pPr>
        <w:pStyle w:val="BodyText"/>
        <w:spacing w:before="218"/>
        <w:rPr>
          <w:b/>
          <w:sz w:val="20"/>
        </w:rPr>
      </w:pPr>
      <w:r>
        <w:rPr>
          <w:b/>
          <w:sz w:val="20"/>
        </w:rPr>
        <w:drawing>
          <wp:anchor distT="0" distB="0" distL="0" distR="0" allowOverlap="1" layoutInCell="1" locked="0" behindDoc="1" simplePos="0" relativeHeight="487620608">
            <wp:simplePos x="0" y="0"/>
            <wp:positionH relativeFrom="page">
              <wp:posOffset>787387</wp:posOffset>
            </wp:positionH>
            <wp:positionV relativeFrom="paragraph">
              <wp:posOffset>299834</wp:posOffset>
            </wp:positionV>
            <wp:extent cx="5948392" cy="873442"/>
            <wp:effectExtent l="0" t="0" r="0" b="0"/>
            <wp:wrapTopAndBottom/>
            <wp:docPr id="201" name="Image 201" descr="Texto  El contenido generado por IA puede ser incorrecto."/>
            <wp:cNvGraphicFramePr>
              <a:graphicFrameLocks/>
            </wp:cNvGraphicFramePr>
            <a:graphic>
              <a:graphicData uri="http://schemas.openxmlformats.org/drawingml/2006/picture">
                <pic:pic>
                  <pic:nvPicPr>
                    <pic:cNvPr id="201" name="Image 201" descr="Texto  El contenido generado por IA puede ser incorrecto."/>
                    <pic:cNvPicPr/>
                  </pic:nvPicPr>
                  <pic:blipFill>
                    <a:blip r:embed="rId56" cstate="print"/>
                    <a:stretch>
                      <a:fillRect/>
                    </a:stretch>
                  </pic:blipFill>
                  <pic:spPr>
                    <a:xfrm>
                      <a:off x="0" y="0"/>
                      <a:ext cx="5948392" cy="873442"/>
                    </a:xfrm>
                    <a:prstGeom prst="rect">
                      <a:avLst/>
                    </a:prstGeom>
                  </pic:spPr>
                </pic:pic>
              </a:graphicData>
            </a:graphic>
          </wp:anchor>
        </w:drawing>
      </w:r>
    </w:p>
    <w:p>
      <w:pPr>
        <w:pStyle w:val="BodyText"/>
        <w:spacing w:before="133"/>
        <w:rPr>
          <w:b/>
        </w:rPr>
      </w:pPr>
    </w:p>
    <w:p>
      <w:pPr>
        <w:pStyle w:val="BodyText"/>
        <w:ind w:left="992" w:right="986"/>
        <w:jc w:val="both"/>
      </w:pPr>
      <w:r>
        <w:rPr/>
        <w:t>En el cuadro siguiente se detallan las subvenciones concedidas a los Ayuntamientos fiscalizados, que figuran en las Órdenes Ministeriales de 20 de mayo de 2022 y 17 de julio de 2023, así como los importes</w:t>
      </w:r>
      <w:r>
        <w:rPr>
          <w:spacing w:val="-1"/>
        </w:rPr>
        <w:t> </w:t>
      </w:r>
      <w:r>
        <w:rPr/>
        <w:t>iniciales de</w:t>
      </w:r>
      <w:r>
        <w:rPr>
          <w:spacing w:val="-2"/>
        </w:rPr>
        <w:t> </w:t>
      </w:r>
      <w:r>
        <w:rPr/>
        <w:t>esas subvenciones dirigidas a</w:t>
      </w:r>
      <w:r>
        <w:rPr>
          <w:spacing w:val="-2"/>
        </w:rPr>
        <w:t> </w:t>
      </w:r>
      <w:r>
        <w:rPr/>
        <w:t>financiar</w:t>
      </w:r>
      <w:r>
        <w:rPr>
          <w:spacing w:val="-1"/>
        </w:rPr>
        <w:t> </w:t>
      </w:r>
      <w:r>
        <w:rPr/>
        <w:t>las</w:t>
      </w:r>
      <w:r>
        <w:rPr>
          <w:spacing w:val="-2"/>
        </w:rPr>
        <w:t> </w:t>
      </w:r>
      <w:r>
        <w:rPr/>
        <w:t>actuaciones que</w:t>
      </w:r>
      <w:r>
        <w:rPr>
          <w:spacing w:val="-2"/>
        </w:rPr>
        <w:t> </w:t>
      </w:r>
      <w:r>
        <w:rPr/>
        <w:t>son</w:t>
      </w:r>
      <w:r>
        <w:rPr>
          <w:spacing w:val="-2"/>
        </w:rPr>
        <w:t> </w:t>
      </w:r>
      <w:r>
        <w:rPr/>
        <w:t>objeto</w:t>
      </w:r>
      <w:r>
        <w:rPr>
          <w:spacing w:val="-2"/>
        </w:rPr>
        <w:t> </w:t>
      </w:r>
      <w:r>
        <w:rPr/>
        <w:t>de fiscalización, sin perjuicio que durante la ejecución de los proyectos las entidades hayan podido realizar ciertos ajustes entre partidas. Hay que tener en cuenta que, como informó el MITMA a las entidades beneficiarias las ayudas concedidas eran “líquidas” dentro de las solicitudes y podían ajustarse entre las actuaciones para su mejor aprovechamiento, siempre que no se cambiaran las actuaciones</w:t>
      </w:r>
      <w:r>
        <w:rPr>
          <w:spacing w:val="-4"/>
        </w:rPr>
        <w:t> </w:t>
      </w:r>
      <w:r>
        <w:rPr/>
        <w:t>propuestas</w:t>
      </w:r>
      <w:r>
        <w:rPr>
          <w:spacing w:val="-6"/>
        </w:rPr>
        <w:t> </w:t>
      </w:r>
      <w:r>
        <w:rPr/>
        <w:t>en</w:t>
      </w:r>
      <w:r>
        <w:rPr>
          <w:spacing w:val="-2"/>
        </w:rPr>
        <w:t> </w:t>
      </w:r>
      <w:r>
        <w:rPr/>
        <w:t>las</w:t>
      </w:r>
      <w:r>
        <w:rPr>
          <w:spacing w:val="-4"/>
        </w:rPr>
        <w:t> </w:t>
      </w:r>
      <w:r>
        <w:rPr/>
        <w:t>solicitudes</w:t>
      </w:r>
      <w:r>
        <w:rPr>
          <w:spacing w:val="-2"/>
        </w:rPr>
        <w:t> </w:t>
      </w:r>
      <w:r>
        <w:rPr/>
        <w:t>para</w:t>
      </w:r>
      <w:r>
        <w:rPr>
          <w:spacing w:val="-2"/>
        </w:rPr>
        <w:t> </w:t>
      </w:r>
      <w:r>
        <w:rPr/>
        <w:t>la</w:t>
      </w:r>
      <w:r>
        <w:rPr>
          <w:spacing w:val="-2"/>
        </w:rPr>
        <w:t> </w:t>
      </w:r>
      <w:r>
        <w:rPr/>
        <w:t>concesión</w:t>
      </w:r>
      <w:r>
        <w:rPr>
          <w:spacing w:val="-4"/>
        </w:rPr>
        <w:t> </w:t>
      </w:r>
      <w:r>
        <w:rPr/>
        <w:t>y</w:t>
      </w:r>
      <w:r>
        <w:rPr>
          <w:spacing w:val="-4"/>
        </w:rPr>
        <w:t> </w:t>
      </w:r>
      <w:r>
        <w:rPr/>
        <w:t>no</w:t>
      </w:r>
      <w:r>
        <w:rPr>
          <w:spacing w:val="-4"/>
        </w:rPr>
        <w:t> </w:t>
      </w:r>
      <w:r>
        <w:rPr/>
        <w:t>se</w:t>
      </w:r>
      <w:r>
        <w:rPr>
          <w:spacing w:val="-4"/>
        </w:rPr>
        <w:t> </w:t>
      </w:r>
      <w:r>
        <w:rPr/>
        <w:t>superaran</w:t>
      </w:r>
      <w:r>
        <w:rPr>
          <w:spacing w:val="-2"/>
        </w:rPr>
        <w:t> </w:t>
      </w:r>
      <w:r>
        <w:rPr/>
        <w:t>los</w:t>
      </w:r>
      <w:r>
        <w:rPr>
          <w:spacing w:val="-4"/>
        </w:rPr>
        <w:t> </w:t>
      </w:r>
      <w:r>
        <w:rPr/>
        <w:t>límites</w:t>
      </w:r>
      <w:r>
        <w:rPr>
          <w:spacing w:val="-6"/>
        </w:rPr>
        <w:t> </w:t>
      </w:r>
      <w:r>
        <w:rPr/>
        <w:t>máximos subvencionables.</w:t>
      </w:r>
      <w:r>
        <w:rPr>
          <w:spacing w:val="-16"/>
        </w:rPr>
        <w:t> </w:t>
      </w:r>
      <w:r>
        <w:rPr/>
        <w:t>Según</w:t>
      </w:r>
      <w:r>
        <w:rPr>
          <w:spacing w:val="-15"/>
        </w:rPr>
        <w:t> </w:t>
      </w:r>
      <w:r>
        <w:rPr/>
        <w:t>este</w:t>
      </w:r>
      <w:r>
        <w:rPr>
          <w:spacing w:val="-15"/>
        </w:rPr>
        <w:t> </w:t>
      </w:r>
      <w:r>
        <w:rPr/>
        <w:t>criterio,</w:t>
      </w:r>
      <w:r>
        <w:rPr>
          <w:spacing w:val="-16"/>
        </w:rPr>
        <w:t> </w:t>
      </w:r>
      <w:r>
        <w:rPr/>
        <w:t>las</w:t>
      </w:r>
      <w:r>
        <w:rPr>
          <w:spacing w:val="-15"/>
        </w:rPr>
        <w:t> </w:t>
      </w:r>
      <w:r>
        <w:rPr/>
        <w:t>entidades</w:t>
      </w:r>
      <w:r>
        <w:rPr>
          <w:spacing w:val="-15"/>
        </w:rPr>
        <w:t> </w:t>
      </w:r>
      <w:r>
        <w:rPr/>
        <w:t>han</w:t>
      </w:r>
      <w:r>
        <w:rPr>
          <w:spacing w:val="-15"/>
        </w:rPr>
        <w:t> </w:t>
      </w:r>
      <w:r>
        <w:rPr/>
        <w:t>podido</w:t>
      </w:r>
      <w:r>
        <w:rPr>
          <w:spacing w:val="-16"/>
        </w:rPr>
        <w:t> </w:t>
      </w:r>
      <w:r>
        <w:rPr/>
        <w:t>realizar</w:t>
      </w:r>
      <w:r>
        <w:rPr>
          <w:spacing w:val="-15"/>
        </w:rPr>
        <w:t> </w:t>
      </w:r>
      <w:r>
        <w:rPr/>
        <w:t>transferencias</w:t>
      </w:r>
      <w:r>
        <w:rPr>
          <w:spacing w:val="-15"/>
        </w:rPr>
        <w:t> </w:t>
      </w:r>
      <w:r>
        <w:rPr/>
        <w:t>entre</w:t>
      </w:r>
      <w:r>
        <w:rPr>
          <w:spacing w:val="-16"/>
        </w:rPr>
        <w:t> </w:t>
      </w:r>
      <w:r>
        <w:rPr/>
        <w:t>partidas identificadas en cada actuación.</w:t>
      </w:r>
    </w:p>
    <w:p>
      <w:pPr>
        <w:pStyle w:val="BodyText"/>
        <w:spacing w:before="107"/>
      </w:pPr>
    </w:p>
    <w:p>
      <w:pPr>
        <w:pStyle w:val="Heading4"/>
        <w:ind w:left="0" w:right="1"/>
      </w:pPr>
      <w:bookmarkStart w:name="_bookmark107" w:id="109"/>
      <w:bookmarkEnd w:id="109"/>
      <w:r>
        <w:rPr>
          <w:b w:val="0"/>
        </w:rPr>
      </w:r>
      <w:r>
        <w:rPr/>
        <w:t>CUADRO</w:t>
      </w:r>
      <w:r>
        <w:rPr>
          <w:spacing w:val="-3"/>
        </w:rPr>
        <w:t> </w:t>
      </w:r>
      <w:r>
        <w:rPr/>
        <w:t>15.</w:t>
      </w:r>
      <w:r>
        <w:rPr>
          <w:spacing w:val="-6"/>
        </w:rPr>
        <w:t> </w:t>
      </w:r>
      <w:r>
        <w:rPr/>
        <w:t>AYUDAS</w:t>
      </w:r>
      <w:r>
        <w:rPr>
          <w:spacing w:val="-9"/>
        </w:rPr>
        <w:t> </w:t>
      </w:r>
      <w:r>
        <w:rPr>
          <w:spacing w:val="-2"/>
        </w:rPr>
        <w:t>CONCEDIDAS</w:t>
      </w:r>
    </w:p>
    <w:p>
      <w:pPr>
        <w:pStyle w:val="BodyText"/>
        <w:spacing w:before="11" w:after="1"/>
        <w:rPr>
          <w:b/>
          <w:sz w:val="20"/>
        </w:rPr>
      </w:pPr>
    </w:p>
    <w:tbl>
      <w:tblPr>
        <w:tblW w:w="0" w:type="auto"/>
        <w:jc w:val="left"/>
        <w:tblInd w:w="1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54"/>
        <w:gridCol w:w="1260"/>
        <w:gridCol w:w="1468"/>
        <w:gridCol w:w="1374"/>
        <w:gridCol w:w="1382"/>
      </w:tblGrid>
      <w:tr>
        <w:trPr>
          <w:trHeight w:val="418" w:hRule="atLeast"/>
        </w:trPr>
        <w:tc>
          <w:tcPr>
            <w:tcW w:w="5182" w:type="dxa"/>
            <w:gridSpan w:val="3"/>
            <w:shd w:val="clear" w:color="auto" w:fill="002D5D"/>
          </w:tcPr>
          <w:p>
            <w:pPr>
              <w:pStyle w:val="TableParagraph"/>
              <w:spacing w:before="95"/>
              <w:ind w:left="3012"/>
              <w:rPr>
                <w:b/>
                <w:sz w:val="17"/>
              </w:rPr>
            </w:pPr>
            <w:r>
              <w:rPr>
                <w:b/>
                <w:color w:val="FFFFFF"/>
                <w:sz w:val="17"/>
              </w:rPr>
              <w:t>CONVOCATORIA</w:t>
            </w:r>
            <w:r>
              <w:rPr>
                <w:b/>
                <w:color w:val="FFFFFF"/>
                <w:spacing w:val="-6"/>
                <w:sz w:val="17"/>
              </w:rPr>
              <w:t> </w:t>
            </w:r>
            <w:r>
              <w:rPr>
                <w:b/>
                <w:color w:val="FFFFFF"/>
                <w:spacing w:val="-4"/>
                <w:sz w:val="17"/>
              </w:rPr>
              <w:t>2021</w:t>
            </w:r>
          </w:p>
        </w:tc>
        <w:tc>
          <w:tcPr>
            <w:tcW w:w="2756" w:type="dxa"/>
            <w:gridSpan w:val="2"/>
            <w:shd w:val="clear" w:color="auto" w:fill="002D5D"/>
          </w:tcPr>
          <w:p>
            <w:pPr>
              <w:pStyle w:val="TableParagraph"/>
              <w:spacing w:before="95"/>
              <w:ind w:left="673"/>
              <w:rPr>
                <w:b/>
                <w:sz w:val="17"/>
              </w:rPr>
            </w:pPr>
            <w:r>
              <w:rPr>
                <w:b/>
                <w:color w:val="FFFFFF"/>
                <w:sz w:val="17"/>
              </w:rPr>
              <w:t>CONVOCATORIA</w:t>
            </w:r>
            <w:r>
              <w:rPr>
                <w:b/>
                <w:color w:val="FFFFFF"/>
                <w:spacing w:val="-6"/>
                <w:sz w:val="17"/>
              </w:rPr>
              <w:t> </w:t>
            </w:r>
            <w:r>
              <w:rPr>
                <w:b/>
                <w:color w:val="FFFFFF"/>
                <w:spacing w:val="-4"/>
                <w:sz w:val="17"/>
              </w:rPr>
              <w:t>2022</w:t>
            </w:r>
          </w:p>
        </w:tc>
      </w:tr>
      <w:tr>
        <w:trPr>
          <w:trHeight w:val="1254" w:hRule="atLeast"/>
        </w:trPr>
        <w:tc>
          <w:tcPr>
            <w:tcW w:w="2454" w:type="dxa"/>
            <w:shd w:val="clear" w:color="auto" w:fill="002D5D"/>
          </w:tcPr>
          <w:p>
            <w:pPr>
              <w:pStyle w:val="TableParagraph"/>
              <w:spacing w:before="124"/>
              <w:rPr>
                <w:rFonts w:ascii="Arial"/>
                <w:b/>
                <w:sz w:val="17"/>
              </w:rPr>
            </w:pPr>
          </w:p>
          <w:p>
            <w:pPr>
              <w:pStyle w:val="TableParagraph"/>
              <w:ind w:left="69"/>
              <w:rPr>
                <w:b/>
                <w:sz w:val="17"/>
              </w:rPr>
            </w:pPr>
            <w:r>
              <w:rPr>
                <w:b/>
                <w:color w:val="FFFFFF"/>
                <w:spacing w:val="-2"/>
                <w:sz w:val="17"/>
              </w:rPr>
              <w:t>AYUNTAMIENTO</w:t>
            </w:r>
          </w:p>
        </w:tc>
        <w:tc>
          <w:tcPr>
            <w:tcW w:w="1260" w:type="dxa"/>
            <w:shd w:val="clear" w:color="auto" w:fill="002D5D"/>
          </w:tcPr>
          <w:p>
            <w:pPr>
              <w:pStyle w:val="TableParagraph"/>
              <w:spacing w:before="127"/>
              <w:rPr>
                <w:rFonts w:ascii="Arial"/>
                <w:b/>
                <w:sz w:val="17"/>
              </w:rPr>
            </w:pPr>
          </w:p>
          <w:p>
            <w:pPr>
              <w:pStyle w:val="TableParagraph"/>
              <w:ind w:left="4" w:right="64"/>
              <w:jc w:val="center"/>
              <w:rPr>
                <w:b/>
                <w:sz w:val="17"/>
              </w:rPr>
            </w:pPr>
            <w:r>
              <w:rPr>
                <w:b/>
                <w:color w:val="FFFFFF"/>
                <w:spacing w:val="-2"/>
                <w:sz w:val="17"/>
              </w:rPr>
              <w:t>SUBVENCIÓN</w:t>
            </w:r>
            <w:r>
              <w:rPr>
                <w:b/>
                <w:color w:val="FFFFFF"/>
                <w:spacing w:val="40"/>
                <w:sz w:val="17"/>
              </w:rPr>
              <w:t> </w:t>
            </w:r>
            <w:r>
              <w:rPr>
                <w:b/>
                <w:color w:val="FFFFFF"/>
                <w:spacing w:val="-2"/>
                <w:sz w:val="17"/>
              </w:rPr>
              <w:t>CONCEDIDA</w:t>
            </w:r>
          </w:p>
          <w:p>
            <w:pPr>
              <w:pStyle w:val="TableParagraph"/>
              <w:spacing w:before="1"/>
              <w:ind w:right="64"/>
              <w:jc w:val="center"/>
              <w:rPr>
                <w:b/>
                <w:sz w:val="17"/>
              </w:rPr>
            </w:pPr>
            <w:r>
              <w:rPr>
                <w:b/>
                <w:color w:val="FFFFFF"/>
                <w:spacing w:val="-5"/>
                <w:sz w:val="17"/>
              </w:rPr>
              <w:t>(€)</w:t>
            </w:r>
          </w:p>
        </w:tc>
        <w:tc>
          <w:tcPr>
            <w:tcW w:w="1468" w:type="dxa"/>
            <w:shd w:val="clear" w:color="auto" w:fill="002D5D"/>
          </w:tcPr>
          <w:p>
            <w:pPr>
              <w:pStyle w:val="TableParagraph"/>
              <w:spacing w:before="128"/>
              <w:ind w:left="177" w:right="261" w:firstLine="48"/>
              <w:jc w:val="both"/>
              <w:rPr>
                <w:b/>
                <w:sz w:val="17"/>
              </w:rPr>
            </w:pPr>
            <w:r>
              <w:rPr>
                <w:b/>
                <w:color w:val="FFFFFF"/>
                <w:spacing w:val="-2"/>
                <w:sz w:val="17"/>
              </w:rPr>
              <w:t>SUBVENCIÓN</w:t>
            </w:r>
            <w:r>
              <w:rPr>
                <w:b/>
                <w:color w:val="FFFFFF"/>
                <w:spacing w:val="40"/>
                <w:sz w:val="17"/>
              </w:rPr>
              <w:t> </w:t>
            </w:r>
            <w:r>
              <w:rPr>
                <w:b/>
                <w:color w:val="FFFFFF"/>
                <w:spacing w:val="-2"/>
                <w:sz w:val="17"/>
              </w:rPr>
              <w:t>CONCEDIDA</w:t>
            </w:r>
            <w:r>
              <w:rPr>
                <w:b/>
                <w:color w:val="FFFFFF"/>
                <w:spacing w:val="40"/>
                <w:sz w:val="17"/>
              </w:rPr>
              <w:t> </w:t>
            </w:r>
            <w:r>
              <w:rPr>
                <w:b/>
                <w:color w:val="FFFFFF"/>
                <w:spacing w:val="-2"/>
                <w:sz w:val="17"/>
              </w:rPr>
              <w:t>ACTUACIONES</w:t>
            </w:r>
            <w:r>
              <w:rPr>
                <w:b/>
                <w:color w:val="FFFFFF"/>
                <w:spacing w:val="40"/>
                <w:sz w:val="17"/>
              </w:rPr>
              <w:t> </w:t>
            </w:r>
            <w:r>
              <w:rPr>
                <w:b/>
                <w:color w:val="FFFFFF"/>
                <w:spacing w:val="-2"/>
                <w:sz w:val="17"/>
              </w:rPr>
              <w:t>FISCALIZADAS</w:t>
            </w:r>
          </w:p>
          <w:p>
            <w:pPr>
              <w:pStyle w:val="TableParagraph"/>
              <w:spacing w:line="195" w:lineRule="exact"/>
              <w:ind w:right="88"/>
              <w:jc w:val="center"/>
              <w:rPr>
                <w:b/>
                <w:sz w:val="17"/>
              </w:rPr>
            </w:pPr>
            <w:r>
              <w:rPr>
                <w:b/>
                <w:color w:val="FFFFFF"/>
                <w:spacing w:val="-5"/>
                <w:sz w:val="17"/>
              </w:rPr>
              <w:t>(€)</w:t>
            </w:r>
          </w:p>
        </w:tc>
        <w:tc>
          <w:tcPr>
            <w:tcW w:w="1374" w:type="dxa"/>
            <w:shd w:val="clear" w:color="auto" w:fill="002D5D"/>
          </w:tcPr>
          <w:p>
            <w:pPr>
              <w:pStyle w:val="TableParagraph"/>
              <w:spacing w:before="127"/>
              <w:rPr>
                <w:rFonts w:ascii="Arial"/>
                <w:b/>
                <w:sz w:val="17"/>
              </w:rPr>
            </w:pPr>
          </w:p>
          <w:p>
            <w:pPr>
              <w:pStyle w:val="TableParagraph"/>
              <w:ind w:left="88"/>
              <w:jc w:val="center"/>
              <w:rPr>
                <w:b/>
                <w:sz w:val="17"/>
              </w:rPr>
            </w:pPr>
            <w:r>
              <w:rPr>
                <w:b/>
                <w:color w:val="FFFFFF"/>
                <w:spacing w:val="-2"/>
                <w:sz w:val="17"/>
              </w:rPr>
              <w:t>SUBVENCIÓN</w:t>
            </w:r>
            <w:r>
              <w:rPr>
                <w:b/>
                <w:color w:val="FFFFFF"/>
                <w:spacing w:val="40"/>
                <w:sz w:val="17"/>
              </w:rPr>
              <w:t> </w:t>
            </w:r>
            <w:r>
              <w:rPr>
                <w:b/>
                <w:color w:val="FFFFFF"/>
                <w:spacing w:val="-2"/>
                <w:sz w:val="17"/>
              </w:rPr>
              <w:t>CONCEDIDA</w:t>
            </w:r>
          </w:p>
          <w:p>
            <w:pPr>
              <w:pStyle w:val="TableParagraph"/>
              <w:spacing w:before="1"/>
              <w:ind w:left="88" w:right="6"/>
              <w:jc w:val="center"/>
              <w:rPr>
                <w:b/>
                <w:sz w:val="17"/>
              </w:rPr>
            </w:pPr>
            <w:r>
              <w:rPr>
                <w:b/>
                <w:color w:val="FFFFFF"/>
                <w:spacing w:val="-5"/>
                <w:sz w:val="17"/>
              </w:rPr>
              <w:t>(€)</w:t>
            </w:r>
          </w:p>
        </w:tc>
        <w:tc>
          <w:tcPr>
            <w:tcW w:w="1382" w:type="dxa"/>
            <w:shd w:val="clear" w:color="auto" w:fill="002D5D"/>
          </w:tcPr>
          <w:p>
            <w:pPr>
              <w:pStyle w:val="TableParagraph"/>
              <w:spacing w:before="128"/>
              <w:ind w:left="179" w:right="173" w:firstLine="48"/>
              <w:jc w:val="both"/>
              <w:rPr>
                <w:b/>
                <w:sz w:val="17"/>
              </w:rPr>
            </w:pPr>
            <w:r>
              <w:rPr>
                <w:b/>
                <w:color w:val="FFFFFF"/>
                <w:spacing w:val="-2"/>
                <w:sz w:val="17"/>
              </w:rPr>
              <w:t>SUBVENCIÓN</w:t>
            </w:r>
            <w:r>
              <w:rPr>
                <w:b/>
                <w:color w:val="FFFFFF"/>
                <w:spacing w:val="40"/>
                <w:sz w:val="17"/>
              </w:rPr>
              <w:t> </w:t>
            </w:r>
            <w:r>
              <w:rPr>
                <w:b/>
                <w:color w:val="FFFFFF"/>
                <w:spacing w:val="-2"/>
                <w:sz w:val="17"/>
              </w:rPr>
              <w:t>CONCEDIDA</w:t>
            </w:r>
            <w:r>
              <w:rPr>
                <w:b/>
                <w:color w:val="FFFFFF"/>
                <w:spacing w:val="40"/>
                <w:sz w:val="17"/>
              </w:rPr>
              <w:t> </w:t>
            </w:r>
            <w:r>
              <w:rPr>
                <w:b/>
                <w:color w:val="FFFFFF"/>
                <w:spacing w:val="-2"/>
                <w:sz w:val="17"/>
              </w:rPr>
              <w:t>ACTUACIONES</w:t>
            </w:r>
            <w:r>
              <w:rPr>
                <w:b/>
                <w:color w:val="FFFFFF"/>
                <w:spacing w:val="40"/>
                <w:sz w:val="17"/>
              </w:rPr>
              <w:t> </w:t>
            </w:r>
            <w:r>
              <w:rPr>
                <w:b/>
                <w:color w:val="FFFFFF"/>
                <w:spacing w:val="-2"/>
                <w:sz w:val="17"/>
              </w:rPr>
              <w:t>FISCALIZADAS</w:t>
            </w:r>
          </w:p>
          <w:p>
            <w:pPr>
              <w:pStyle w:val="TableParagraph"/>
              <w:spacing w:line="195" w:lineRule="exact"/>
              <w:ind w:left="3" w:right="3"/>
              <w:jc w:val="center"/>
              <w:rPr>
                <w:b/>
                <w:sz w:val="17"/>
              </w:rPr>
            </w:pPr>
            <w:r>
              <w:rPr>
                <w:b/>
                <w:color w:val="FFFFFF"/>
                <w:spacing w:val="-5"/>
                <w:sz w:val="17"/>
              </w:rPr>
              <w:t>(€)</w:t>
            </w:r>
          </w:p>
        </w:tc>
      </w:tr>
      <w:tr>
        <w:trPr>
          <w:trHeight w:val="283" w:hRule="atLeast"/>
        </w:trPr>
        <w:tc>
          <w:tcPr>
            <w:tcW w:w="2454" w:type="dxa"/>
            <w:tcBorders>
              <w:bottom w:val="single" w:sz="4" w:space="0" w:color="002D5D"/>
            </w:tcBorders>
          </w:tcPr>
          <w:p>
            <w:pPr>
              <w:pStyle w:val="TableParagraph"/>
              <w:spacing w:before="42"/>
              <w:ind w:left="69"/>
              <w:rPr>
                <w:b/>
                <w:sz w:val="17"/>
              </w:rPr>
            </w:pPr>
            <w:r>
              <w:rPr>
                <w:b/>
                <w:spacing w:val="-2"/>
                <w:sz w:val="17"/>
              </w:rPr>
              <w:t>ALICANTE</w:t>
            </w:r>
          </w:p>
        </w:tc>
        <w:tc>
          <w:tcPr>
            <w:tcW w:w="1260" w:type="dxa"/>
            <w:tcBorders>
              <w:bottom w:val="single" w:sz="4" w:space="0" w:color="000000"/>
            </w:tcBorders>
          </w:tcPr>
          <w:p>
            <w:pPr>
              <w:pStyle w:val="TableParagraph"/>
              <w:spacing w:before="42"/>
              <w:ind w:left="3" w:right="64"/>
              <w:jc w:val="center"/>
              <w:rPr>
                <w:sz w:val="17"/>
              </w:rPr>
            </w:pPr>
            <w:r>
              <w:rPr>
                <w:spacing w:val="-2"/>
                <w:sz w:val="17"/>
              </w:rPr>
              <w:t>15.038.190,00</w:t>
            </w:r>
          </w:p>
        </w:tc>
        <w:tc>
          <w:tcPr>
            <w:tcW w:w="1468" w:type="dxa"/>
            <w:tcBorders>
              <w:bottom w:val="single" w:sz="4" w:space="0" w:color="000000"/>
            </w:tcBorders>
          </w:tcPr>
          <w:p>
            <w:pPr>
              <w:pStyle w:val="TableParagraph"/>
              <w:spacing w:before="42"/>
              <w:ind w:right="88"/>
              <w:jc w:val="center"/>
              <w:rPr>
                <w:sz w:val="17"/>
              </w:rPr>
            </w:pPr>
            <w:r>
              <w:rPr>
                <w:spacing w:val="-2"/>
                <w:sz w:val="17"/>
              </w:rPr>
              <w:t>6.145.496,23</w:t>
            </w:r>
          </w:p>
        </w:tc>
        <w:tc>
          <w:tcPr>
            <w:tcW w:w="1374" w:type="dxa"/>
            <w:tcBorders>
              <w:bottom w:val="single" w:sz="4" w:space="0" w:color="000000"/>
            </w:tcBorders>
          </w:tcPr>
          <w:p>
            <w:pPr>
              <w:pStyle w:val="TableParagraph"/>
              <w:spacing w:before="42"/>
              <w:ind w:left="88" w:right="4"/>
              <w:jc w:val="center"/>
              <w:rPr>
                <w:sz w:val="17"/>
              </w:rPr>
            </w:pPr>
            <w:r>
              <w:rPr>
                <w:spacing w:val="-5"/>
                <w:sz w:val="17"/>
              </w:rPr>
              <w:t>N/A</w:t>
            </w:r>
          </w:p>
        </w:tc>
        <w:tc>
          <w:tcPr>
            <w:tcW w:w="1382" w:type="dxa"/>
            <w:tcBorders>
              <w:bottom w:val="single" w:sz="4" w:space="0" w:color="000000"/>
            </w:tcBorders>
          </w:tcPr>
          <w:p>
            <w:pPr>
              <w:pStyle w:val="TableParagraph"/>
              <w:spacing w:before="42"/>
              <w:ind w:left="3" w:right="1"/>
              <w:jc w:val="center"/>
              <w:rPr>
                <w:sz w:val="17"/>
              </w:rPr>
            </w:pPr>
            <w:r>
              <w:rPr>
                <w:spacing w:val="-5"/>
                <w:sz w:val="17"/>
              </w:rPr>
              <w:t>N/A</w:t>
            </w:r>
          </w:p>
        </w:tc>
      </w:tr>
      <w:tr>
        <w:trPr>
          <w:trHeight w:val="285" w:hRule="atLeast"/>
        </w:trPr>
        <w:tc>
          <w:tcPr>
            <w:tcW w:w="2454" w:type="dxa"/>
            <w:tcBorders>
              <w:top w:val="single" w:sz="4" w:space="0" w:color="002D5D"/>
              <w:bottom w:val="single" w:sz="4" w:space="0" w:color="002D5D"/>
            </w:tcBorders>
            <w:shd w:val="clear" w:color="auto" w:fill="F1F1F1"/>
          </w:tcPr>
          <w:p>
            <w:pPr>
              <w:pStyle w:val="TableParagraph"/>
              <w:spacing w:before="44"/>
              <w:ind w:left="69"/>
              <w:rPr>
                <w:b/>
                <w:sz w:val="17"/>
              </w:rPr>
            </w:pPr>
            <w:r>
              <w:rPr>
                <w:b/>
                <w:spacing w:val="-2"/>
                <w:sz w:val="17"/>
              </w:rPr>
              <w:t>BILBAO</w:t>
            </w:r>
          </w:p>
        </w:tc>
        <w:tc>
          <w:tcPr>
            <w:tcW w:w="1260" w:type="dxa"/>
            <w:tcBorders>
              <w:top w:val="single" w:sz="4" w:space="0" w:color="000000"/>
              <w:bottom w:val="single" w:sz="4" w:space="0" w:color="000000"/>
            </w:tcBorders>
            <w:shd w:val="clear" w:color="auto" w:fill="F1F1F1"/>
          </w:tcPr>
          <w:p>
            <w:pPr>
              <w:pStyle w:val="TableParagraph"/>
              <w:spacing w:before="44"/>
              <w:ind w:left="3" w:right="64"/>
              <w:jc w:val="center"/>
              <w:rPr>
                <w:sz w:val="17"/>
              </w:rPr>
            </w:pPr>
            <w:r>
              <w:rPr>
                <w:spacing w:val="-2"/>
                <w:sz w:val="17"/>
              </w:rPr>
              <w:t>14.667.631,25</w:t>
            </w:r>
          </w:p>
        </w:tc>
        <w:tc>
          <w:tcPr>
            <w:tcW w:w="1468" w:type="dxa"/>
            <w:tcBorders>
              <w:top w:val="single" w:sz="4" w:space="0" w:color="000000"/>
              <w:bottom w:val="single" w:sz="4" w:space="0" w:color="000000"/>
            </w:tcBorders>
            <w:shd w:val="clear" w:color="auto" w:fill="F1F1F1"/>
          </w:tcPr>
          <w:p>
            <w:pPr>
              <w:pStyle w:val="TableParagraph"/>
              <w:spacing w:before="44"/>
              <w:ind w:right="88"/>
              <w:jc w:val="center"/>
              <w:rPr>
                <w:sz w:val="17"/>
              </w:rPr>
            </w:pPr>
            <w:r>
              <w:rPr>
                <w:spacing w:val="-2"/>
                <w:sz w:val="17"/>
              </w:rPr>
              <w:t>1.705.000,00</w:t>
            </w:r>
          </w:p>
        </w:tc>
        <w:tc>
          <w:tcPr>
            <w:tcW w:w="1374" w:type="dxa"/>
            <w:tcBorders>
              <w:top w:val="single" w:sz="4" w:space="0" w:color="000000"/>
              <w:bottom w:val="single" w:sz="4" w:space="0" w:color="000000"/>
            </w:tcBorders>
            <w:shd w:val="clear" w:color="auto" w:fill="F1F1F1"/>
          </w:tcPr>
          <w:p>
            <w:pPr>
              <w:pStyle w:val="TableParagraph"/>
              <w:spacing w:before="44"/>
              <w:ind w:left="88" w:right="4"/>
              <w:jc w:val="center"/>
              <w:rPr>
                <w:sz w:val="17"/>
              </w:rPr>
            </w:pPr>
            <w:r>
              <w:rPr>
                <w:spacing w:val="-2"/>
                <w:sz w:val="17"/>
              </w:rPr>
              <w:t>12.060.461,47</w:t>
            </w:r>
          </w:p>
        </w:tc>
        <w:tc>
          <w:tcPr>
            <w:tcW w:w="1382" w:type="dxa"/>
            <w:tcBorders>
              <w:top w:val="single" w:sz="4" w:space="0" w:color="000000"/>
              <w:bottom w:val="single" w:sz="4" w:space="0" w:color="000000"/>
            </w:tcBorders>
            <w:shd w:val="clear" w:color="auto" w:fill="F1F1F1"/>
          </w:tcPr>
          <w:p>
            <w:pPr>
              <w:pStyle w:val="TableParagraph"/>
              <w:spacing w:before="44"/>
              <w:ind w:left="3" w:right="3"/>
              <w:jc w:val="center"/>
              <w:rPr>
                <w:sz w:val="17"/>
              </w:rPr>
            </w:pPr>
            <w:r>
              <w:rPr>
                <w:spacing w:val="-2"/>
                <w:sz w:val="17"/>
              </w:rPr>
              <w:t>1.362.000,00</w:t>
            </w:r>
          </w:p>
        </w:tc>
      </w:tr>
      <w:tr>
        <w:trPr>
          <w:trHeight w:val="282" w:hRule="atLeast"/>
        </w:trPr>
        <w:tc>
          <w:tcPr>
            <w:tcW w:w="2454" w:type="dxa"/>
            <w:tcBorders>
              <w:top w:val="single" w:sz="4" w:space="0" w:color="002D5D"/>
              <w:bottom w:val="single" w:sz="4" w:space="0" w:color="002D5D"/>
            </w:tcBorders>
          </w:tcPr>
          <w:p>
            <w:pPr>
              <w:pStyle w:val="TableParagraph"/>
              <w:spacing w:before="42"/>
              <w:ind w:left="69"/>
              <w:rPr>
                <w:b/>
                <w:sz w:val="17"/>
              </w:rPr>
            </w:pPr>
            <w:r>
              <w:rPr>
                <w:b/>
                <w:spacing w:val="-2"/>
                <w:sz w:val="17"/>
              </w:rPr>
              <w:t>CÓRDOBA</w:t>
            </w:r>
          </w:p>
        </w:tc>
        <w:tc>
          <w:tcPr>
            <w:tcW w:w="1260" w:type="dxa"/>
            <w:tcBorders>
              <w:top w:val="single" w:sz="4" w:space="0" w:color="000000"/>
              <w:bottom w:val="single" w:sz="4" w:space="0" w:color="000000"/>
            </w:tcBorders>
          </w:tcPr>
          <w:p>
            <w:pPr>
              <w:pStyle w:val="TableParagraph"/>
              <w:spacing w:before="42"/>
              <w:ind w:left="3" w:right="64"/>
              <w:jc w:val="center"/>
              <w:rPr>
                <w:sz w:val="17"/>
              </w:rPr>
            </w:pPr>
            <w:r>
              <w:rPr>
                <w:spacing w:val="-2"/>
                <w:sz w:val="17"/>
              </w:rPr>
              <w:t>11.014.615,00</w:t>
            </w:r>
          </w:p>
        </w:tc>
        <w:tc>
          <w:tcPr>
            <w:tcW w:w="1468" w:type="dxa"/>
            <w:tcBorders>
              <w:top w:val="single" w:sz="4" w:space="0" w:color="000000"/>
              <w:bottom w:val="single" w:sz="4" w:space="0" w:color="000000"/>
            </w:tcBorders>
          </w:tcPr>
          <w:p>
            <w:pPr>
              <w:pStyle w:val="TableParagraph"/>
              <w:spacing w:before="42"/>
              <w:ind w:left="1" w:right="88"/>
              <w:jc w:val="center"/>
              <w:rPr>
                <w:position w:val="4"/>
                <w:sz w:val="11"/>
              </w:rPr>
            </w:pPr>
            <w:r>
              <w:rPr>
                <w:sz w:val="17"/>
              </w:rPr>
              <w:t>0,00</w:t>
            </w:r>
            <w:r>
              <w:rPr>
                <w:spacing w:val="-5"/>
                <w:sz w:val="17"/>
              </w:rPr>
              <w:t> </w:t>
            </w:r>
            <w:r>
              <w:rPr>
                <w:spacing w:val="-5"/>
                <w:position w:val="4"/>
                <w:sz w:val="11"/>
              </w:rPr>
              <w:t>(1)</w:t>
            </w:r>
          </w:p>
        </w:tc>
        <w:tc>
          <w:tcPr>
            <w:tcW w:w="1374" w:type="dxa"/>
            <w:tcBorders>
              <w:top w:val="single" w:sz="4" w:space="0" w:color="000000"/>
              <w:bottom w:val="single" w:sz="4" w:space="0" w:color="000000"/>
            </w:tcBorders>
          </w:tcPr>
          <w:p>
            <w:pPr>
              <w:pStyle w:val="TableParagraph"/>
              <w:spacing w:before="42"/>
              <w:ind w:left="88" w:right="4"/>
              <w:jc w:val="center"/>
              <w:rPr>
                <w:sz w:val="17"/>
              </w:rPr>
            </w:pPr>
            <w:r>
              <w:rPr>
                <w:spacing w:val="-5"/>
                <w:sz w:val="17"/>
              </w:rPr>
              <w:t>N/A</w:t>
            </w:r>
          </w:p>
        </w:tc>
        <w:tc>
          <w:tcPr>
            <w:tcW w:w="1382" w:type="dxa"/>
            <w:tcBorders>
              <w:top w:val="single" w:sz="4" w:space="0" w:color="000000"/>
              <w:bottom w:val="single" w:sz="4" w:space="0" w:color="000000"/>
            </w:tcBorders>
          </w:tcPr>
          <w:p>
            <w:pPr>
              <w:pStyle w:val="TableParagraph"/>
              <w:spacing w:before="42"/>
              <w:ind w:left="3" w:right="1"/>
              <w:jc w:val="center"/>
              <w:rPr>
                <w:sz w:val="17"/>
              </w:rPr>
            </w:pPr>
            <w:r>
              <w:rPr>
                <w:spacing w:val="-5"/>
                <w:sz w:val="17"/>
              </w:rPr>
              <w:t>N/A</w:t>
            </w:r>
          </w:p>
        </w:tc>
      </w:tr>
      <w:tr>
        <w:trPr>
          <w:trHeight w:val="285" w:hRule="atLeast"/>
        </w:trPr>
        <w:tc>
          <w:tcPr>
            <w:tcW w:w="2454" w:type="dxa"/>
            <w:tcBorders>
              <w:top w:val="single" w:sz="4" w:space="0" w:color="002D5D"/>
              <w:bottom w:val="single" w:sz="4" w:space="0" w:color="002D5D"/>
            </w:tcBorders>
            <w:shd w:val="clear" w:color="auto" w:fill="F1F1F1"/>
          </w:tcPr>
          <w:p>
            <w:pPr>
              <w:pStyle w:val="TableParagraph"/>
              <w:spacing w:before="44"/>
              <w:ind w:left="69"/>
              <w:rPr>
                <w:b/>
                <w:sz w:val="17"/>
              </w:rPr>
            </w:pPr>
            <w:r>
              <w:rPr>
                <w:b/>
                <w:sz w:val="17"/>
              </w:rPr>
              <w:t>LAS</w:t>
            </w:r>
            <w:r>
              <w:rPr>
                <w:b/>
                <w:spacing w:val="-2"/>
                <w:sz w:val="17"/>
              </w:rPr>
              <w:t> </w:t>
            </w:r>
            <w:r>
              <w:rPr>
                <w:b/>
                <w:sz w:val="17"/>
              </w:rPr>
              <w:t>PALMAS</w:t>
            </w:r>
            <w:r>
              <w:rPr>
                <w:b/>
                <w:spacing w:val="-2"/>
                <w:sz w:val="17"/>
              </w:rPr>
              <w:t> </w:t>
            </w:r>
            <w:r>
              <w:rPr>
                <w:b/>
                <w:sz w:val="17"/>
              </w:rPr>
              <w:t>DE</w:t>
            </w:r>
            <w:r>
              <w:rPr>
                <w:b/>
                <w:spacing w:val="-1"/>
                <w:sz w:val="17"/>
              </w:rPr>
              <w:t> </w:t>
            </w:r>
            <w:r>
              <w:rPr>
                <w:b/>
                <w:sz w:val="17"/>
              </w:rPr>
              <w:t>GRAN</w:t>
            </w:r>
            <w:r>
              <w:rPr>
                <w:b/>
                <w:spacing w:val="-2"/>
                <w:sz w:val="17"/>
              </w:rPr>
              <w:t> CANARIA</w:t>
            </w:r>
          </w:p>
        </w:tc>
        <w:tc>
          <w:tcPr>
            <w:tcW w:w="1260" w:type="dxa"/>
            <w:tcBorders>
              <w:top w:val="single" w:sz="4" w:space="0" w:color="000000"/>
              <w:bottom w:val="single" w:sz="4" w:space="0" w:color="000000"/>
            </w:tcBorders>
            <w:shd w:val="clear" w:color="auto" w:fill="F1F1F1"/>
          </w:tcPr>
          <w:p>
            <w:pPr>
              <w:pStyle w:val="TableParagraph"/>
              <w:spacing w:before="44"/>
              <w:ind w:left="3" w:right="64"/>
              <w:jc w:val="center"/>
              <w:rPr>
                <w:sz w:val="17"/>
              </w:rPr>
            </w:pPr>
            <w:r>
              <w:rPr>
                <w:spacing w:val="-2"/>
                <w:sz w:val="17"/>
              </w:rPr>
              <w:t>11.772.000,00</w:t>
            </w:r>
          </w:p>
        </w:tc>
        <w:tc>
          <w:tcPr>
            <w:tcW w:w="1468" w:type="dxa"/>
            <w:tcBorders>
              <w:top w:val="single" w:sz="4" w:space="0" w:color="000000"/>
              <w:bottom w:val="single" w:sz="4" w:space="0" w:color="000000"/>
            </w:tcBorders>
            <w:shd w:val="clear" w:color="auto" w:fill="F1F1F1"/>
          </w:tcPr>
          <w:p>
            <w:pPr>
              <w:pStyle w:val="TableParagraph"/>
              <w:spacing w:before="44"/>
              <w:ind w:right="88"/>
              <w:jc w:val="center"/>
              <w:rPr>
                <w:sz w:val="17"/>
              </w:rPr>
            </w:pPr>
            <w:r>
              <w:rPr>
                <w:spacing w:val="-2"/>
                <w:sz w:val="17"/>
              </w:rPr>
              <w:t>7.870.500,00</w:t>
            </w:r>
          </w:p>
        </w:tc>
        <w:tc>
          <w:tcPr>
            <w:tcW w:w="1374" w:type="dxa"/>
            <w:tcBorders>
              <w:top w:val="single" w:sz="4" w:space="0" w:color="000000"/>
              <w:bottom w:val="single" w:sz="4" w:space="0" w:color="000000"/>
            </w:tcBorders>
            <w:shd w:val="clear" w:color="auto" w:fill="F1F1F1"/>
          </w:tcPr>
          <w:p>
            <w:pPr>
              <w:pStyle w:val="TableParagraph"/>
              <w:spacing w:before="44"/>
              <w:ind w:left="88" w:right="4"/>
              <w:jc w:val="center"/>
              <w:rPr>
                <w:sz w:val="17"/>
              </w:rPr>
            </w:pPr>
            <w:r>
              <w:rPr>
                <w:spacing w:val="-5"/>
                <w:sz w:val="17"/>
              </w:rPr>
              <w:t>N/A</w:t>
            </w:r>
          </w:p>
        </w:tc>
        <w:tc>
          <w:tcPr>
            <w:tcW w:w="1382" w:type="dxa"/>
            <w:tcBorders>
              <w:top w:val="single" w:sz="4" w:space="0" w:color="000000"/>
              <w:bottom w:val="single" w:sz="4" w:space="0" w:color="000000"/>
            </w:tcBorders>
            <w:shd w:val="clear" w:color="auto" w:fill="F1F1F1"/>
          </w:tcPr>
          <w:p>
            <w:pPr>
              <w:pStyle w:val="TableParagraph"/>
              <w:spacing w:before="44"/>
              <w:ind w:left="3" w:right="1"/>
              <w:jc w:val="center"/>
              <w:rPr>
                <w:sz w:val="17"/>
              </w:rPr>
            </w:pPr>
            <w:r>
              <w:rPr>
                <w:spacing w:val="-5"/>
                <w:sz w:val="17"/>
              </w:rPr>
              <w:t>N/A</w:t>
            </w:r>
          </w:p>
        </w:tc>
      </w:tr>
      <w:tr>
        <w:trPr>
          <w:trHeight w:val="282" w:hRule="atLeast"/>
        </w:trPr>
        <w:tc>
          <w:tcPr>
            <w:tcW w:w="2454" w:type="dxa"/>
            <w:tcBorders>
              <w:top w:val="single" w:sz="4" w:space="0" w:color="002D5D"/>
              <w:bottom w:val="single" w:sz="4" w:space="0" w:color="002D5D"/>
            </w:tcBorders>
          </w:tcPr>
          <w:p>
            <w:pPr>
              <w:pStyle w:val="TableParagraph"/>
              <w:spacing w:before="42"/>
              <w:ind w:left="69"/>
              <w:rPr>
                <w:b/>
                <w:sz w:val="17"/>
              </w:rPr>
            </w:pPr>
            <w:r>
              <w:rPr>
                <w:b/>
                <w:spacing w:val="-2"/>
                <w:sz w:val="17"/>
              </w:rPr>
              <w:t>MÁLAGA</w:t>
            </w:r>
          </w:p>
        </w:tc>
        <w:tc>
          <w:tcPr>
            <w:tcW w:w="1260" w:type="dxa"/>
            <w:tcBorders>
              <w:top w:val="single" w:sz="4" w:space="0" w:color="000000"/>
              <w:bottom w:val="single" w:sz="4" w:space="0" w:color="000000"/>
            </w:tcBorders>
          </w:tcPr>
          <w:p>
            <w:pPr>
              <w:pStyle w:val="TableParagraph"/>
              <w:spacing w:before="42"/>
              <w:ind w:left="3" w:right="64"/>
              <w:jc w:val="center"/>
              <w:rPr>
                <w:sz w:val="17"/>
              </w:rPr>
            </w:pPr>
            <w:r>
              <w:rPr>
                <w:spacing w:val="-2"/>
                <w:sz w:val="17"/>
              </w:rPr>
              <w:t>14.705.555,54</w:t>
            </w:r>
          </w:p>
        </w:tc>
        <w:tc>
          <w:tcPr>
            <w:tcW w:w="1468" w:type="dxa"/>
            <w:tcBorders>
              <w:top w:val="single" w:sz="4" w:space="0" w:color="000000"/>
              <w:bottom w:val="single" w:sz="4" w:space="0" w:color="000000"/>
            </w:tcBorders>
          </w:tcPr>
          <w:p>
            <w:pPr>
              <w:pStyle w:val="TableParagraph"/>
              <w:spacing w:before="42"/>
              <w:ind w:left="3" w:right="88"/>
              <w:jc w:val="center"/>
              <w:rPr>
                <w:sz w:val="17"/>
              </w:rPr>
            </w:pPr>
            <w:r>
              <w:rPr>
                <w:spacing w:val="-2"/>
                <w:sz w:val="17"/>
              </w:rPr>
              <w:t>10.190.564,13</w:t>
            </w:r>
          </w:p>
        </w:tc>
        <w:tc>
          <w:tcPr>
            <w:tcW w:w="1374" w:type="dxa"/>
            <w:tcBorders>
              <w:top w:val="single" w:sz="4" w:space="0" w:color="000000"/>
              <w:bottom w:val="single" w:sz="4" w:space="0" w:color="000000"/>
            </w:tcBorders>
          </w:tcPr>
          <w:p>
            <w:pPr>
              <w:pStyle w:val="TableParagraph"/>
              <w:spacing w:before="42"/>
              <w:ind w:left="88" w:right="4"/>
              <w:jc w:val="center"/>
              <w:rPr>
                <w:sz w:val="17"/>
              </w:rPr>
            </w:pPr>
            <w:r>
              <w:rPr>
                <w:spacing w:val="-2"/>
                <w:sz w:val="17"/>
              </w:rPr>
              <w:t>16.547.956,18</w:t>
            </w:r>
          </w:p>
        </w:tc>
        <w:tc>
          <w:tcPr>
            <w:tcW w:w="1382" w:type="dxa"/>
            <w:tcBorders>
              <w:top w:val="single" w:sz="4" w:space="0" w:color="000000"/>
              <w:bottom w:val="single" w:sz="4" w:space="0" w:color="000000"/>
            </w:tcBorders>
          </w:tcPr>
          <w:p>
            <w:pPr>
              <w:pStyle w:val="TableParagraph"/>
              <w:spacing w:before="42"/>
              <w:ind w:left="3" w:right="3"/>
              <w:jc w:val="center"/>
              <w:rPr>
                <w:sz w:val="17"/>
              </w:rPr>
            </w:pPr>
            <w:r>
              <w:rPr>
                <w:spacing w:val="-2"/>
                <w:sz w:val="17"/>
              </w:rPr>
              <w:t>9.891.483,50</w:t>
            </w:r>
          </w:p>
        </w:tc>
      </w:tr>
      <w:tr>
        <w:trPr>
          <w:trHeight w:val="285" w:hRule="atLeast"/>
        </w:trPr>
        <w:tc>
          <w:tcPr>
            <w:tcW w:w="2454" w:type="dxa"/>
            <w:tcBorders>
              <w:top w:val="single" w:sz="4" w:space="0" w:color="002D5D"/>
              <w:bottom w:val="single" w:sz="4" w:space="0" w:color="002D5D"/>
            </w:tcBorders>
            <w:shd w:val="clear" w:color="auto" w:fill="F1F1F1"/>
          </w:tcPr>
          <w:p>
            <w:pPr>
              <w:pStyle w:val="TableParagraph"/>
              <w:spacing w:before="44"/>
              <w:ind w:left="69"/>
              <w:rPr>
                <w:b/>
                <w:sz w:val="17"/>
              </w:rPr>
            </w:pPr>
            <w:r>
              <w:rPr>
                <w:b/>
                <w:spacing w:val="-2"/>
                <w:sz w:val="17"/>
              </w:rPr>
              <w:t>MURCIA</w:t>
            </w:r>
          </w:p>
        </w:tc>
        <w:tc>
          <w:tcPr>
            <w:tcW w:w="1260" w:type="dxa"/>
            <w:tcBorders>
              <w:top w:val="single" w:sz="4" w:space="0" w:color="000000"/>
              <w:bottom w:val="single" w:sz="4" w:space="0" w:color="000000"/>
            </w:tcBorders>
            <w:shd w:val="clear" w:color="auto" w:fill="F1F1F1"/>
          </w:tcPr>
          <w:p>
            <w:pPr>
              <w:pStyle w:val="TableParagraph"/>
              <w:spacing w:before="44"/>
              <w:ind w:left="3" w:right="64"/>
              <w:jc w:val="center"/>
              <w:rPr>
                <w:sz w:val="17"/>
              </w:rPr>
            </w:pPr>
            <w:r>
              <w:rPr>
                <w:spacing w:val="-2"/>
                <w:sz w:val="17"/>
              </w:rPr>
              <w:t>20.673.135,00</w:t>
            </w:r>
          </w:p>
        </w:tc>
        <w:tc>
          <w:tcPr>
            <w:tcW w:w="1468" w:type="dxa"/>
            <w:tcBorders>
              <w:top w:val="single" w:sz="4" w:space="0" w:color="000000"/>
              <w:bottom w:val="single" w:sz="4" w:space="0" w:color="000000"/>
            </w:tcBorders>
            <w:shd w:val="clear" w:color="auto" w:fill="F1F1F1"/>
          </w:tcPr>
          <w:p>
            <w:pPr>
              <w:pStyle w:val="TableParagraph"/>
              <w:spacing w:before="44"/>
              <w:ind w:left="3" w:right="88"/>
              <w:jc w:val="center"/>
              <w:rPr>
                <w:sz w:val="17"/>
              </w:rPr>
            </w:pPr>
            <w:r>
              <w:rPr>
                <w:spacing w:val="-2"/>
                <w:sz w:val="17"/>
              </w:rPr>
              <w:t>14.800.086,87</w:t>
            </w:r>
          </w:p>
        </w:tc>
        <w:tc>
          <w:tcPr>
            <w:tcW w:w="1374" w:type="dxa"/>
            <w:tcBorders>
              <w:top w:val="single" w:sz="4" w:space="0" w:color="000000"/>
              <w:bottom w:val="single" w:sz="4" w:space="0" w:color="000000"/>
            </w:tcBorders>
            <w:shd w:val="clear" w:color="auto" w:fill="F1F1F1"/>
          </w:tcPr>
          <w:p>
            <w:pPr>
              <w:pStyle w:val="TableParagraph"/>
              <w:spacing w:before="44"/>
              <w:ind w:left="88" w:right="4"/>
              <w:jc w:val="center"/>
              <w:rPr>
                <w:sz w:val="17"/>
              </w:rPr>
            </w:pPr>
            <w:r>
              <w:rPr>
                <w:spacing w:val="-5"/>
                <w:sz w:val="17"/>
              </w:rPr>
              <w:t>N/A</w:t>
            </w:r>
          </w:p>
        </w:tc>
        <w:tc>
          <w:tcPr>
            <w:tcW w:w="1382" w:type="dxa"/>
            <w:tcBorders>
              <w:top w:val="single" w:sz="4" w:space="0" w:color="000000"/>
              <w:bottom w:val="single" w:sz="4" w:space="0" w:color="000000"/>
            </w:tcBorders>
            <w:shd w:val="clear" w:color="auto" w:fill="F1F1F1"/>
          </w:tcPr>
          <w:p>
            <w:pPr>
              <w:pStyle w:val="TableParagraph"/>
              <w:spacing w:before="44"/>
              <w:ind w:left="3" w:right="1"/>
              <w:jc w:val="center"/>
              <w:rPr>
                <w:sz w:val="17"/>
              </w:rPr>
            </w:pPr>
            <w:r>
              <w:rPr>
                <w:spacing w:val="-5"/>
                <w:sz w:val="17"/>
              </w:rPr>
              <w:t>N/A</w:t>
            </w:r>
          </w:p>
        </w:tc>
      </w:tr>
      <w:tr>
        <w:trPr>
          <w:trHeight w:val="282" w:hRule="atLeast"/>
        </w:trPr>
        <w:tc>
          <w:tcPr>
            <w:tcW w:w="2454" w:type="dxa"/>
            <w:tcBorders>
              <w:top w:val="single" w:sz="4" w:space="0" w:color="002D5D"/>
              <w:bottom w:val="single" w:sz="4" w:space="0" w:color="002D5D"/>
            </w:tcBorders>
          </w:tcPr>
          <w:p>
            <w:pPr>
              <w:pStyle w:val="TableParagraph"/>
              <w:spacing w:before="42"/>
              <w:ind w:left="69"/>
              <w:rPr>
                <w:b/>
                <w:sz w:val="17"/>
              </w:rPr>
            </w:pPr>
            <w:r>
              <w:rPr>
                <w:b/>
                <w:spacing w:val="-2"/>
                <w:sz w:val="17"/>
              </w:rPr>
              <w:t>PALMA</w:t>
            </w:r>
          </w:p>
        </w:tc>
        <w:tc>
          <w:tcPr>
            <w:tcW w:w="1260" w:type="dxa"/>
            <w:tcBorders>
              <w:top w:val="single" w:sz="4" w:space="0" w:color="000000"/>
              <w:bottom w:val="single" w:sz="4" w:space="0" w:color="000000"/>
            </w:tcBorders>
          </w:tcPr>
          <w:p>
            <w:pPr>
              <w:pStyle w:val="TableParagraph"/>
              <w:spacing w:before="42"/>
              <w:ind w:left="3" w:right="64"/>
              <w:jc w:val="center"/>
              <w:rPr>
                <w:sz w:val="17"/>
              </w:rPr>
            </w:pPr>
            <w:r>
              <w:rPr>
                <w:spacing w:val="-2"/>
                <w:sz w:val="17"/>
              </w:rPr>
              <w:t>27.447.154,68</w:t>
            </w:r>
          </w:p>
        </w:tc>
        <w:tc>
          <w:tcPr>
            <w:tcW w:w="1468" w:type="dxa"/>
            <w:tcBorders>
              <w:top w:val="single" w:sz="4" w:space="0" w:color="000000"/>
              <w:bottom w:val="single" w:sz="4" w:space="0" w:color="000000"/>
            </w:tcBorders>
          </w:tcPr>
          <w:p>
            <w:pPr>
              <w:pStyle w:val="TableParagraph"/>
              <w:spacing w:before="42"/>
              <w:ind w:left="3" w:right="88"/>
              <w:jc w:val="center"/>
              <w:rPr>
                <w:sz w:val="17"/>
              </w:rPr>
            </w:pPr>
            <w:r>
              <w:rPr>
                <w:spacing w:val="-2"/>
                <w:sz w:val="17"/>
              </w:rPr>
              <w:t>15.315.000,00</w:t>
            </w:r>
          </w:p>
        </w:tc>
        <w:tc>
          <w:tcPr>
            <w:tcW w:w="1374" w:type="dxa"/>
            <w:tcBorders>
              <w:top w:val="single" w:sz="4" w:space="0" w:color="000000"/>
              <w:bottom w:val="single" w:sz="4" w:space="0" w:color="000000"/>
            </w:tcBorders>
          </w:tcPr>
          <w:p>
            <w:pPr>
              <w:pStyle w:val="TableParagraph"/>
              <w:spacing w:before="42"/>
              <w:ind w:left="88" w:right="4"/>
              <w:jc w:val="center"/>
              <w:rPr>
                <w:sz w:val="17"/>
              </w:rPr>
            </w:pPr>
            <w:r>
              <w:rPr>
                <w:spacing w:val="-5"/>
                <w:sz w:val="17"/>
              </w:rPr>
              <w:t>N/A</w:t>
            </w:r>
          </w:p>
        </w:tc>
        <w:tc>
          <w:tcPr>
            <w:tcW w:w="1382" w:type="dxa"/>
            <w:tcBorders>
              <w:top w:val="single" w:sz="4" w:space="0" w:color="000000"/>
              <w:bottom w:val="single" w:sz="4" w:space="0" w:color="000000"/>
            </w:tcBorders>
          </w:tcPr>
          <w:p>
            <w:pPr>
              <w:pStyle w:val="TableParagraph"/>
              <w:spacing w:before="42"/>
              <w:ind w:left="3" w:right="1"/>
              <w:jc w:val="center"/>
              <w:rPr>
                <w:sz w:val="17"/>
              </w:rPr>
            </w:pPr>
            <w:r>
              <w:rPr>
                <w:spacing w:val="-5"/>
                <w:sz w:val="17"/>
              </w:rPr>
              <w:t>N/A</w:t>
            </w:r>
          </w:p>
        </w:tc>
      </w:tr>
      <w:tr>
        <w:trPr>
          <w:trHeight w:val="285" w:hRule="atLeast"/>
        </w:trPr>
        <w:tc>
          <w:tcPr>
            <w:tcW w:w="2454" w:type="dxa"/>
            <w:tcBorders>
              <w:top w:val="single" w:sz="4" w:space="0" w:color="002D5D"/>
              <w:bottom w:val="single" w:sz="4" w:space="0" w:color="002D5D"/>
            </w:tcBorders>
            <w:shd w:val="clear" w:color="auto" w:fill="F1F1F1"/>
          </w:tcPr>
          <w:p>
            <w:pPr>
              <w:pStyle w:val="TableParagraph"/>
              <w:spacing w:before="45"/>
              <w:ind w:left="69"/>
              <w:rPr>
                <w:b/>
                <w:sz w:val="17"/>
              </w:rPr>
            </w:pPr>
            <w:r>
              <w:rPr>
                <w:b/>
                <w:spacing w:val="-2"/>
                <w:sz w:val="17"/>
              </w:rPr>
              <w:t>SEVILLA</w:t>
            </w:r>
          </w:p>
        </w:tc>
        <w:tc>
          <w:tcPr>
            <w:tcW w:w="1260" w:type="dxa"/>
            <w:tcBorders>
              <w:top w:val="single" w:sz="4" w:space="0" w:color="000000"/>
              <w:bottom w:val="single" w:sz="4" w:space="0" w:color="000000"/>
            </w:tcBorders>
            <w:shd w:val="clear" w:color="auto" w:fill="F1F1F1"/>
          </w:tcPr>
          <w:p>
            <w:pPr>
              <w:pStyle w:val="TableParagraph"/>
              <w:spacing w:before="45"/>
              <w:ind w:left="3" w:right="64"/>
              <w:jc w:val="center"/>
              <w:rPr>
                <w:sz w:val="17"/>
              </w:rPr>
            </w:pPr>
            <w:r>
              <w:rPr>
                <w:spacing w:val="-2"/>
                <w:sz w:val="17"/>
              </w:rPr>
              <w:t>23.819.699,50</w:t>
            </w:r>
          </w:p>
        </w:tc>
        <w:tc>
          <w:tcPr>
            <w:tcW w:w="1468" w:type="dxa"/>
            <w:tcBorders>
              <w:top w:val="single" w:sz="4" w:space="0" w:color="000000"/>
              <w:bottom w:val="single" w:sz="4" w:space="0" w:color="000000"/>
            </w:tcBorders>
            <w:shd w:val="clear" w:color="auto" w:fill="F1F1F1"/>
          </w:tcPr>
          <w:p>
            <w:pPr>
              <w:pStyle w:val="TableParagraph"/>
              <w:spacing w:before="45"/>
              <w:ind w:left="3" w:right="88"/>
              <w:jc w:val="center"/>
              <w:rPr>
                <w:sz w:val="17"/>
              </w:rPr>
            </w:pPr>
            <w:r>
              <w:rPr>
                <w:spacing w:val="-2"/>
                <w:sz w:val="17"/>
              </w:rPr>
              <w:t>23.819.699,50</w:t>
            </w:r>
          </w:p>
        </w:tc>
        <w:tc>
          <w:tcPr>
            <w:tcW w:w="1374" w:type="dxa"/>
            <w:tcBorders>
              <w:top w:val="single" w:sz="4" w:space="0" w:color="000000"/>
              <w:bottom w:val="single" w:sz="4" w:space="0" w:color="000000"/>
            </w:tcBorders>
            <w:shd w:val="clear" w:color="auto" w:fill="F1F1F1"/>
          </w:tcPr>
          <w:p>
            <w:pPr>
              <w:pStyle w:val="TableParagraph"/>
              <w:spacing w:before="45"/>
              <w:ind w:left="88" w:right="4"/>
              <w:jc w:val="center"/>
              <w:rPr>
                <w:sz w:val="17"/>
              </w:rPr>
            </w:pPr>
            <w:r>
              <w:rPr>
                <w:spacing w:val="-2"/>
                <w:sz w:val="17"/>
              </w:rPr>
              <w:t>18.556.716,00</w:t>
            </w:r>
          </w:p>
        </w:tc>
        <w:tc>
          <w:tcPr>
            <w:tcW w:w="1382" w:type="dxa"/>
            <w:tcBorders>
              <w:top w:val="single" w:sz="4" w:space="0" w:color="000000"/>
              <w:bottom w:val="single" w:sz="4" w:space="0" w:color="000000"/>
            </w:tcBorders>
            <w:shd w:val="clear" w:color="auto" w:fill="F1F1F1"/>
          </w:tcPr>
          <w:p>
            <w:pPr>
              <w:pStyle w:val="TableParagraph"/>
              <w:spacing w:before="45"/>
              <w:ind w:left="3"/>
              <w:jc w:val="center"/>
              <w:rPr>
                <w:sz w:val="17"/>
              </w:rPr>
            </w:pPr>
            <w:r>
              <w:rPr>
                <w:spacing w:val="-2"/>
                <w:sz w:val="17"/>
              </w:rPr>
              <w:t>18.556.716,00</w:t>
            </w:r>
          </w:p>
        </w:tc>
      </w:tr>
      <w:tr>
        <w:trPr>
          <w:trHeight w:val="282" w:hRule="atLeast"/>
        </w:trPr>
        <w:tc>
          <w:tcPr>
            <w:tcW w:w="2454" w:type="dxa"/>
            <w:tcBorders>
              <w:top w:val="single" w:sz="4" w:space="0" w:color="002D5D"/>
            </w:tcBorders>
          </w:tcPr>
          <w:p>
            <w:pPr>
              <w:pStyle w:val="TableParagraph"/>
              <w:spacing w:before="42"/>
              <w:ind w:left="69"/>
              <w:rPr>
                <w:b/>
                <w:sz w:val="17"/>
              </w:rPr>
            </w:pPr>
            <w:r>
              <w:rPr>
                <w:b/>
                <w:spacing w:val="-2"/>
                <w:sz w:val="17"/>
              </w:rPr>
              <w:t>ZARAGOZA</w:t>
            </w:r>
          </w:p>
        </w:tc>
        <w:tc>
          <w:tcPr>
            <w:tcW w:w="1260" w:type="dxa"/>
            <w:tcBorders>
              <w:top w:val="single" w:sz="4" w:space="0" w:color="000000"/>
              <w:bottom w:val="single" w:sz="4" w:space="0" w:color="000000"/>
            </w:tcBorders>
          </w:tcPr>
          <w:p>
            <w:pPr>
              <w:pStyle w:val="TableParagraph"/>
              <w:spacing w:before="42"/>
              <w:ind w:left="3" w:right="64"/>
              <w:jc w:val="center"/>
              <w:rPr>
                <w:sz w:val="17"/>
              </w:rPr>
            </w:pPr>
            <w:r>
              <w:rPr>
                <w:spacing w:val="-2"/>
                <w:sz w:val="17"/>
              </w:rPr>
              <w:t>30.641.728,36</w:t>
            </w:r>
          </w:p>
        </w:tc>
        <w:tc>
          <w:tcPr>
            <w:tcW w:w="1468" w:type="dxa"/>
            <w:tcBorders>
              <w:top w:val="single" w:sz="4" w:space="0" w:color="000000"/>
              <w:bottom w:val="single" w:sz="4" w:space="0" w:color="000000"/>
            </w:tcBorders>
          </w:tcPr>
          <w:p>
            <w:pPr>
              <w:pStyle w:val="TableParagraph"/>
              <w:spacing w:before="42"/>
              <w:ind w:left="3" w:right="88"/>
              <w:jc w:val="center"/>
              <w:rPr>
                <w:sz w:val="17"/>
              </w:rPr>
            </w:pPr>
            <w:r>
              <w:rPr>
                <w:spacing w:val="-2"/>
                <w:sz w:val="17"/>
              </w:rPr>
              <w:t>30.641.728,36</w:t>
            </w:r>
          </w:p>
        </w:tc>
        <w:tc>
          <w:tcPr>
            <w:tcW w:w="1374" w:type="dxa"/>
            <w:tcBorders>
              <w:top w:val="single" w:sz="4" w:space="0" w:color="000000"/>
              <w:bottom w:val="single" w:sz="4" w:space="0" w:color="000000"/>
            </w:tcBorders>
          </w:tcPr>
          <w:p>
            <w:pPr>
              <w:pStyle w:val="TableParagraph"/>
              <w:spacing w:before="42"/>
              <w:ind w:left="88" w:right="4"/>
              <w:jc w:val="center"/>
              <w:rPr>
                <w:sz w:val="17"/>
              </w:rPr>
            </w:pPr>
            <w:r>
              <w:rPr>
                <w:spacing w:val="-2"/>
                <w:sz w:val="17"/>
              </w:rPr>
              <w:t>18.458.001,26</w:t>
            </w:r>
          </w:p>
        </w:tc>
        <w:tc>
          <w:tcPr>
            <w:tcW w:w="1382" w:type="dxa"/>
            <w:tcBorders>
              <w:top w:val="single" w:sz="4" w:space="0" w:color="000000"/>
              <w:bottom w:val="single" w:sz="4" w:space="0" w:color="000000"/>
            </w:tcBorders>
          </w:tcPr>
          <w:p>
            <w:pPr>
              <w:pStyle w:val="TableParagraph"/>
              <w:spacing w:before="42"/>
              <w:ind w:left="3"/>
              <w:jc w:val="center"/>
              <w:rPr>
                <w:sz w:val="17"/>
              </w:rPr>
            </w:pPr>
            <w:r>
              <w:rPr>
                <w:spacing w:val="-2"/>
                <w:sz w:val="17"/>
              </w:rPr>
              <w:t>11.894.233,82</w:t>
            </w:r>
          </w:p>
        </w:tc>
      </w:tr>
      <w:tr>
        <w:trPr>
          <w:trHeight w:val="284" w:hRule="atLeast"/>
        </w:trPr>
        <w:tc>
          <w:tcPr>
            <w:tcW w:w="2454" w:type="dxa"/>
            <w:shd w:val="clear" w:color="auto" w:fill="002D5D"/>
          </w:tcPr>
          <w:p>
            <w:pPr>
              <w:pStyle w:val="TableParagraph"/>
              <w:spacing w:before="44"/>
              <w:ind w:left="69"/>
              <w:rPr>
                <w:b/>
                <w:sz w:val="17"/>
              </w:rPr>
            </w:pPr>
            <w:r>
              <w:rPr>
                <w:b/>
                <w:color w:val="FFFFFF"/>
                <w:spacing w:val="-2"/>
                <w:sz w:val="17"/>
              </w:rPr>
              <w:t>TOTAL</w:t>
            </w:r>
          </w:p>
        </w:tc>
        <w:tc>
          <w:tcPr>
            <w:tcW w:w="1260" w:type="dxa"/>
            <w:tcBorders>
              <w:top w:val="single" w:sz="4" w:space="0" w:color="000000"/>
            </w:tcBorders>
            <w:shd w:val="clear" w:color="auto" w:fill="002D5D"/>
          </w:tcPr>
          <w:p>
            <w:pPr>
              <w:pStyle w:val="TableParagraph"/>
              <w:spacing w:before="44"/>
              <w:ind w:left="3" w:right="64"/>
              <w:jc w:val="center"/>
              <w:rPr>
                <w:b/>
                <w:sz w:val="17"/>
              </w:rPr>
            </w:pPr>
            <w:r>
              <w:rPr>
                <w:b/>
                <w:color w:val="FFFFFF"/>
                <w:spacing w:val="-2"/>
                <w:sz w:val="17"/>
              </w:rPr>
              <w:t>169.779.709,33</w:t>
            </w:r>
          </w:p>
        </w:tc>
        <w:tc>
          <w:tcPr>
            <w:tcW w:w="1468" w:type="dxa"/>
            <w:tcBorders>
              <w:top w:val="single" w:sz="4" w:space="0" w:color="000000"/>
            </w:tcBorders>
            <w:shd w:val="clear" w:color="auto" w:fill="002D5D"/>
          </w:tcPr>
          <w:p>
            <w:pPr>
              <w:pStyle w:val="TableParagraph"/>
              <w:spacing w:before="44"/>
              <w:ind w:left="3" w:right="88"/>
              <w:jc w:val="center"/>
              <w:rPr>
                <w:b/>
                <w:sz w:val="17"/>
              </w:rPr>
            </w:pPr>
            <w:r>
              <w:rPr>
                <w:b/>
                <w:color w:val="FFFFFF"/>
                <w:spacing w:val="-2"/>
                <w:sz w:val="17"/>
              </w:rPr>
              <w:t>110.488.075,09</w:t>
            </w:r>
          </w:p>
        </w:tc>
        <w:tc>
          <w:tcPr>
            <w:tcW w:w="1374" w:type="dxa"/>
            <w:tcBorders>
              <w:top w:val="single" w:sz="4" w:space="0" w:color="000000"/>
            </w:tcBorders>
            <w:shd w:val="clear" w:color="auto" w:fill="002D5D"/>
          </w:tcPr>
          <w:p>
            <w:pPr>
              <w:pStyle w:val="TableParagraph"/>
              <w:spacing w:before="44"/>
              <w:ind w:left="88" w:right="4"/>
              <w:jc w:val="center"/>
              <w:rPr>
                <w:b/>
                <w:sz w:val="17"/>
              </w:rPr>
            </w:pPr>
            <w:r>
              <w:rPr>
                <w:b/>
                <w:color w:val="FFFFFF"/>
                <w:spacing w:val="-2"/>
                <w:sz w:val="17"/>
              </w:rPr>
              <w:t>65.623.134,91</w:t>
            </w:r>
          </w:p>
        </w:tc>
        <w:tc>
          <w:tcPr>
            <w:tcW w:w="1382" w:type="dxa"/>
            <w:tcBorders>
              <w:top w:val="single" w:sz="4" w:space="0" w:color="000000"/>
            </w:tcBorders>
            <w:shd w:val="clear" w:color="auto" w:fill="002D5D"/>
          </w:tcPr>
          <w:p>
            <w:pPr>
              <w:pStyle w:val="TableParagraph"/>
              <w:spacing w:before="44"/>
              <w:ind w:left="3"/>
              <w:jc w:val="center"/>
              <w:rPr>
                <w:b/>
                <w:sz w:val="17"/>
              </w:rPr>
            </w:pPr>
            <w:r>
              <w:rPr>
                <w:b/>
                <w:color w:val="FFFFFF"/>
                <w:spacing w:val="-2"/>
                <w:sz w:val="17"/>
              </w:rPr>
              <w:t>41.704.433,32</w:t>
            </w:r>
          </w:p>
        </w:tc>
      </w:tr>
      <w:tr>
        <w:trPr>
          <w:trHeight w:val="584" w:hRule="atLeast"/>
        </w:trPr>
        <w:tc>
          <w:tcPr>
            <w:tcW w:w="7938" w:type="dxa"/>
            <w:gridSpan w:val="5"/>
          </w:tcPr>
          <w:p>
            <w:pPr>
              <w:pStyle w:val="TableParagraph"/>
              <w:spacing w:line="194" w:lineRule="exact"/>
              <w:ind w:left="69"/>
              <w:rPr>
                <w:sz w:val="17"/>
              </w:rPr>
            </w:pPr>
            <w:r>
              <w:rPr>
                <w:sz w:val="17"/>
              </w:rPr>
              <w:t>Fuente:</w:t>
            </w:r>
            <w:r>
              <w:rPr>
                <w:spacing w:val="-5"/>
                <w:sz w:val="17"/>
              </w:rPr>
              <w:t> </w:t>
            </w:r>
            <w:r>
              <w:rPr>
                <w:sz w:val="17"/>
              </w:rPr>
              <w:t>Elaboración</w:t>
            </w:r>
            <w:r>
              <w:rPr>
                <w:spacing w:val="-3"/>
                <w:sz w:val="17"/>
              </w:rPr>
              <w:t> </w:t>
            </w:r>
            <w:r>
              <w:rPr>
                <w:sz w:val="17"/>
              </w:rPr>
              <w:t>propia</w:t>
            </w:r>
            <w:r>
              <w:rPr>
                <w:spacing w:val="-3"/>
                <w:sz w:val="17"/>
              </w:rPr>
              <w:t> </w:t>
            </w:r>
            <w:r>
              <w:rPr>
                <w:sz w:val="17"/>
              </w:rPr>
              <w:t>a</w:t>
            </w:r>
            <w:r>
              <w:rPr>
                <w:spacing w:val="-3"/>
                <w:sz w:val="17"/>
              </w:rPr>
              <w:t> </w:t>
            </w:r>
            <w:r>
              <w:rPr>
                <w:sz w:val="17"/>
              </w:rPr>
              <w:t>partir</w:t>
            </w:r>
            <w:r>
              <w:rPr>
                <w:spacing w:val="-3"/>
                <w:sz w:val="17"/>
              </w:rPr>
              <w:t> </w:t>
            </w:r>
            <w:r>
              <w:rPr>
                <w:sz w:val="17"/>
              </w:rPr>
              <w:t>de</w:t>
            </w:r>
            <w:r>
              <w:rPr>
                <w:spacing w:val="-3"/>
                <w:sz w:val="17"/>
              </w:rPr>
              <w:t> </w:t>
            </w:r>
            <w:r>
              <w:rPr>
                <w:sz w:val="17"/>
              </w:rPr>
              <w:t>los</w:t>
            </w:r>
            <w:r>
              <w:rPr>
                <w:spacing w:val="-3"/>
                <w:sz w:val="17"/>
              </w:rPr>
              <w:t> </w:t>
            </w:r>
            <w:r>
              <w:rPr>
                <w:sz w:val="17"/>
              </w:rPr>
              <w:t>datos</w:t>
            </w:r>
            <w:r>
              <w:rPr>
                <w:spacing w:val="-1"/>
                <w:sz w:val="17"/>
              </w:rPr>
              <w:t> </w:t>
            </w:r>
            <w:r>
              <w:rPr>
                <w:sz w:val="17"/>
              </w:rPr>
              <w:t>facilitados por</w:t>
            </w:r>
            <w:r>
              <w:rPr>
                <w:spacing w:val="-4"/>
                <w:sz w:val="17"/>
              </w:rPr>
              <w:t> </w:t>
            </w:r>
            <w:r>
              <w:rPr>
                <w:sz w:val="17"/>
              </w:rPr>
              <w:t>las</w:t>
            </w:r>
            <w:r>
              <w:rPr>
                <w:spacing w:val="-3"/>
                <w:sz w:val="17"/>
              </w:rPr>
              <w:t> </w:t>
            </w:r>
            <w:r>
              <w:rPr>
                <w:sz w:val="17"/>
              </w:rPr>
              <w:t>entidades</w:t>
            </w:r>
            <w:r>
              <w:rPr>
                <w:spacing w:val="-2"/>
                <w:sz w:val="17"/>
              </w:rPr>
              <w:t> fiscalizadas</w:t>
            </w:r>
          </w:p>
          <w:p>
            <w:pPr>
              <w:pStyle w:val="TableParagraph"/>
              <w:spacing w:line="194" w:lineRule="exact"/>
              <w:ind w:left="69"/>
              <w:rPr>
                <w:sz w:val="17"/>
              </w:rPr>
            </w:pPr>
            <w:r>
              <w:rPr>
                <w:sz w:val="17"/>
              </w:rPr>
              <w:t>(1) El </w:t>
            </w:r>
            <w:r>
              <w:rPr>
                <w:b/>
                <w:sz w:val="17"/>
              </w:rPr>
              <w:t>Ayuntamiento de Córdoba </w:t>
            </w:r>
            <w:r>
              <w:rPr>
                <w:sz w:val="17"/>
              </w:rPr>
              <w:t>renunció a la subvención, por lo que la entidad no ha contado con fondos europeos para</w:t>
            </w:r>
            <w:r>
              <w:rPr>
                <w:spacing w:val="40"/>
                <w:sz w:val="17"/>
              </w:rPr>
              <w:t> </w:t>
            </w:r>
            <w:r>
              <w:rPr>
                <w:sz w:val="17"/>
              </w:rPr>
              <w:t>ejecutar las actuaciones fiscalizadas</w:t>
            </w:r>
          </w:p>
        </w:tc>
      </w:tr>
    </w:tbl>
    <w:p>
      <w:pPr>
        <w:pStyle w:val="BodyText"/>
        <w:spacing w:before="154"/>
        <w:rPr>
          <w:b/>
        </w:rPr>
      </w:pPr>
    </w:p>
    <w:p>
      <w:pPr>
        <w:pStyle w:val="BodyText"/>
        <w:ind w:left="992" w:right="988"/>
        <w:jc w:val="both"/>
      </w:pPr>
      <w:r>
        <w:rPr/>
        <w:t>A fin de facilitar la realización de las actuaciones subvencionadas, las bases preveían que se pudieran realizar pagos anticipados del 100 % de la ayuda concedida en cada una de las anualidades. Para que el pago del anticipo correspondiente a la segunda anualidad se hiciera efectivo, la primera convocatoria requería que los beneficiarios certificaran que al menos el 60 % del importe del coste subvencionable de las actuaciones previstas había sido adjudicado y en la segunda,</w:t>
      </w:r>
      <w:r>
        <w:rPr>
          <w:spacing w:val="25"/>
        </w:rPr>
        <w:t> </w:t>
      </w:r>
      <w:r>
        <w:rPr/>
        <w:t>que</w:t>
      </w:r>
      <w:r>
        <w:rPr>
          <w:spacing w:val="21"/>
        </w:rPr>
        <w:t> </w:t>
      </w:r>
      <w:r>
        <w:rPr/>
        <w:t>se</w:t>
      </w:r>
      <w:r>
        <w:rPr>
          <w:spacing w:val="21"/>
        </w:rPr>
        <w:t> </w:t>
      </w:r>
      <w:r>
        <w:rPr/>
        <w:t>habían</w:t>
      </w:r>
      <w:r>
        <w:rPr>
          <w:spacing w:val="20"/>
        </w:rPr>
        <w:t> </w:t>
      </w:r>
      <w:r>
        <w:rPr/>
        <w:t>iniciado,</w:t>
      </w:r>
      <w:r>
        <w:rPr>
          <w:spacing w:val="24"/>
        </w:rPr>
        <w:t> </w:t>
      </w:r>
      <w:r>
        <w:rPr/>
        <w:t>en</w:t>
      </w:r>
      <w:r>
        <w:rPr>
          <w:spacing w:val="20"/>
        </w:rPr>
        <w:t> </w:t>
      </w:r>
      <w:r>
        <w:rPr/>
        <w:t>el</w:t>
      </w:r>
      <w:r>
        <w:rPr>
          <w:spacing w:val="22"/>
        </w:rPr>
        <w:t> </w:t>
      </w:r>
      <w:r>
        <w:rPr/>
        <w:t>plazo</w:t>
      </w:r>
      <w:r>
        <w:rPr>
          <w:spacing w:val="23"/>
        </w:rPr>
        <w:t> </w:t>
      </w:r>
      <w:r>
        <w:rPr/>
        <w:t>de</w:t>
      </w:r>
      <w:r>
        <w:rPr>
          <w:spacing w:val="20"/>
        </w:rPr>
        <w:t> </w:t>
      </w:r>
      <w:r>
        <w:rPr/>
        <w:t>dos</w:t>
      </w:r>
      <w:r>
        <w:rPr>
          <w:spacing w:val="21"/>
        </w:rPr>
        <w:t> </w:t>
      </w:r>
      <w:r>
        <w:rPr/>
        <w:t>meses</w:t>
      </w:r>
      <w:r>
        <w:rPr>
          <w:spacing w:val="21"/>
        </w:rPr>
        <w:t> </w:t>
      </w:r>
      <w:r>
        <w:rPr/>
        <w:t>a</w:t>
      </w:r>
      <w:r>
        <w:rPr>
          <w:spacing w:val="21"/>
        </w:rPr>
        <w:t> </w:t>
      </w:r>
      <w:r>
        <w:rPr/>
        <w:t>contar</w:t>
      </w:r>
      <w:r>
        <w:rPr>
          <w:spacing w:val="22"/>
        </w:rPr>
        <w:t> </w:t>
      </w:r>
      <w:r>
        <w:rPr/>
        <w:t>desde</w:t>
      </w:r>
      <w:r>
        <w:rPr>
          <w:spacing w:val="23"/>
        </w:rPr>
        <w:t> </w:t>
      </w:r>
      <w:r>
        <w:rPr/>
        <w:t>la</w:t>
      </w:r>
      <w:r>
        <w:rPr>
          <w:spacing w:val="23"/>
        </w:rPr>
        <w:t> </w:t>
      </w:r>
      <w:r>
        <w:rPr/>
        <w:t>publicación</w:t>
      </w:r>
      <w:r>
        <w:rPr>
          <w:spacing w:val="23"/>
        </w:rPr>
        <w:t> </w:t>
      </w:r>
      <w:r>
        <w:rPr/>
        <w:t>de</w:t>
      </w:r>
      <w:r>
        <w:rPr>
          <w:spacing w:val="20"/>
        </w:rPr>
        <w:t> </w:t>
      </w:r>
      <w:r>
        <w:rPr/>
        <w:t>la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6"/>
        <w:jc w:val="both"/>
      </w:pPr>
      <w:r>
        <w:rPr/>
        <w:t>Orden definitiva de concesión de las ayudas, los procesos de licitación de todas las actuaciones objeto de subvención o de un subconjunto de actuaciones cuyo importe acumulado supusiera al menos el 80% de la subvención total concedida.</w:t>
      </w:r>
    </w:p>
    <w:p>
      <w:pPr>
        <w:spacing w:before="242"/>
        <w:ind w:left="992" w:right="988" w:firstLine="0"/>
        <w:jc w:val="both"/>
        <w:rPr>
          <w:sz w:val="22"/>
        </w:rPr>
      </w:pPr>
      <w:r>
        <w:rPr>
          <w:sz w:val="22"/>
        </w:rPr>
        <w:t>El</w:t>
      </w:r>
      <w:r>
        <w:rPr>
          <w:spacing w:val="-3"/>
          <w:sz w:val="22"/>
        </w:rPr>
        <w:t> </w:t>
      </w:r>
      <w:r>
        <w:rPr>
          <w:sz w:val="22"/>
        </w:rPr>
        <w:t>importe</w:t>
      </w:r>
      <w:r>
        <w:rPr>
          <w:spacing w:val="-5"/>
          <w:sz w:val="22"/>
        </w:rPr>
        <w:t> </w:t>
      </w:r>
      <w:r>
        <w:rPr>
          <w:sz w:val="22"/>
        </w:rPr>
        <w:t>de</w:t>
      </w:r>
      <w:r>
        <w:rPr>
          <w:spacing w:val="-3"/>
          <w:sz w:val="22"/>
        </w:rPr>
        <w:t> </w:t>
      </w:r>
      <w:r>
        <w:rPr>
          <w:sz w:val="22"/>
        </w:rPr>
        <w:t>los</w:t>
      </w:r>
      <w:r>
        <w:rPr>
          <w:spacing w:val="-5"/>
          <w:sz w:val="22"/>
        </w:rPr>
        <w:t> </w:t>
      </w:r>
      <w:r>
        <w:rPr>
          <w:sz w:val="22"/>
        </w:rPr>
        <w:t>anticipos</w:t>
      </w:r>
      <w:r>
        <w:rPr>
          <w:spacing w:val="-2"/>
          <w:sz w:val="22"/>
        </w:rPr>
        <w:t> </w:t>
      </w:r>
      <w:r>
        <w:rPr>
          <w:sz w:val="22"/>
        </w:rPr>
        <w:t>recibidos en</w:t>
      </w:r>
      <w:r>
        <w:rPr>
          <w:spacing w:val="-5"/>
          <w:sz w:val="22"/>
        </w:rPr>
        <w:t> </w:t>
      </w:r>
      <w:r>
        <w:rPr>
          <w:sz w:val="22"/>
        </w:rPr>
        <w:t>la</w:t>
      </w:r>
      <w:r>
        <w:rPr>
          <w:spacing w:val="-3"/>
          <w:sz w:val="22"/>
        </w:rPr>
        <w:t> </w:t>
      </w:r>
      <w:r>
        <w:rPr>
          <w:sz w:val="22"/>
        </w:rPr>
        <w:t>primera</w:t>
      </w:r>
      <w:r>
        <w:rPr>
          <w:spacing w:val="-3"/>
          <w:sz w:val="22"/>
        </w:rPr>
        <w:t> </w:t>
      </w:r>
      <w:r>
        <w:rPr>
          <w:sz w:val="22"/>
        </w:rPr>
        <w:t>convocatoria</w:t>
      </w:r>
      <w:r>
        <w:rPr>
          <w:spacing w:val="-2"/>
          <w:sz w:val="22"/>
        </w:rPr>
        <w:t> </w:t>
      </w:r>
      <w:r>
        <w:rPr>
          <w:sz w:val="22"/>
        </w:rPr>
        <w:t>por</w:t>
      </w:r>
      <w:r>
        <w:rPr>
          <w:spacing w:val="-2"/>
          <w:sz w:val="22"/>
        </w:rPr>
        <w:t> </w:t>
      </w:r>
      <w:r>
        <w:rPr>
          <w:sz w:val="22"/>
        </w:rPr>
        <w:t>los</w:t>
      </w:r>
      <w:r>
        <w:rPr>
          <w:spacing w:val="-2"/>
          <w:sz w:val="22"/>
        </w:rPr>
        <w:t> </w:t>
      </w:r>
      <w:r>
        <w:rPr>
          <w:sz w:val="22"/>
        </w:rPr>
        <w:t>ayuntamientos</w:t>
      </w:r>
      <w:r>
        <w:rPr>
          <w:spacing w:val="-4"/>
          <w:sz w:val="22"/>
        </w:rPr>
        <w:t> </w:t>
      </w:r>
      <w:r>
        <w:rPr>
          <w:sz w:val="22"/>
        </w:rPr>
        <w:t>fiscalizados, a excepción del </w:t>
      </w:r>
      <w:r>
        <w:rPr>
          <w:b/>
          <w:sz w:val="22"/>
        </w:rPr>
        <w:t>Ayuntamiento de Córdoba</w:t>
      </w:r>
      <w:r>
        <w:rPr>
          <w:sz w:val="22"/>
        </w:rPr>
        <w:t>, fue de 140.522.954,48 euros. En la segunda convocatoria los </w:t>
      </w:r>
      <w:r>
        <w:rPr>
          <w:b/>
          <w:sz w:val="22"/>
        </w:rPr>
        <w:t>Ayuntamientos de Bilbao, Málaga, Sevilla y Zaragoza </w:t>
      </w:r>
      <w:r>
        <w:rPr>
          <w:sz w:val="22"/>
        </w:rPr>
        <w:t>recibieron anticipos por importe de 65.623.134,91 euros.</w:t>
      </w:r>
    </w:p>
    <w:p>
      <w:pPr>
        <w:pStyle w:val="BodyText"/>
        <w:spacing w:before="238"/>
        <w:ind w:left="992" w:right="987"/>
        <w:jc w:val="both"/>
      </w:pPr>
      <w:r>
        <w:rPr/>
        <w:t>Las resoluciones de concesión establecieron las fechas de finalización de cada una de las actuaciones subvencionadas, que podrían prorrogarse de forma extraordinaria por un máximo de un año, las de la primera convocatoria, y de seis meses, las de la segunda. Todas las entidades fiscalizadas, salvo el </w:t>
      </w:r>
      <w:r>
        <w:rPr>
          <w:b/>
        </w:rPr>
        <w:t>Ayuntamiento de Córdoba</w:t>
      </w:r>
      <w:r>
        <w:rPr/>
        <w:t>, se han acogido a esta previsión, habiéndose aprobado</w:t>
      </w:r>
      <w:r>
        <w:rPr>
          <w:spacing w:val="-2"/>
        </w:rPr>
        <w:t> </w:t>
      </w:r>
      <w:r>
        <w:rPr/>
        <w:t>al</w:t>
      </w:r>
      <w:r>
        <w:rPr>
          <w:spacing w:val="-7"/>
        </w:rPr>
        <w:t> </w:t>
      </w:r>
      <w:r>
        <w:rPr/>
        <w:t>menos</w:t>
      </w:r>
      <w:r>
        <w:rPr>
          <w:spacing w:val="-4"/>
        </w:rPr>
        <w:t> </w:t>
      </w:r>
      <w:r>
        <w:rPr/>
        <w:t>una</w:t>
      </w:r>
      <w:r>
        <w:rPr>
          <w:spacing w:val="-6"/>
        </w:rPr>
        <w:t> </w:t>
      </w:r>
      <w:r>
        <w:rPr/>
        <w:t>ampliación</w:t>
      </w:r>
      <w:r>
        <w:rPr>
          <w:spacing w:val="-2"/>
        </w:rPr>
        <w:t> </w:t>
      </w:r>
      <w:r>
        <w:rPr/>
        <w:t>de</w:t>
      </w:r>
      <w:r>
        <w:rPr>
          <w:spacing w:val="-4"/>
        </w:rPr>
        <w:t> </w:t>
      </w:r>
      <w:r>
        <w:rPr/>
        <w:t>plazo para</w:t>
      </w:r>
      <w:r>
        <w:rPr>
          <w:spacing w:val="-4"/>
        </w:rPr>
        <w:t> </w:t>
      </w:r>
      <w:r>
        <w:rPr/>
        <w:t>cada</w:t>
      </w:r>
      <w:r>
        <w:rPr>
          <w:spacing w:val="-4"/>
        </w:rPr>
        <w:t> </w:t>
      </w:r>
      <w:r>
        <w:rPr/>
        <w:t>entidad.</w:t>
      </w:r>
      <w:r>
        <w:rPr>
          <w:spacing w:val="-3"/>
        </w:rPr>
        <w:t> </w:t>
      </w:r>
      <w:r>
        <w:rPr/>
        <w:t>Solo</w:t>
      </w:r>
      <w:r>
        <w:rPr>
          <w:spacing w:val="-2"/>
        </w:rPr>
        <w:t> </w:t>
      </w:r>
      <w:r>
        <w:rPr/>
        <w:t>consta</w:t>
      </w:r>
      <w:r>
        <w:rPr>
          <w:spacing w:val="-2"/>
        </w:rPr>
        <w:t> </w:t>
      </w:r>
      <w:r>
        <w:rPr/>
        <w:t>que</w:t>
      </w:r>
      <w:r>
        <w:rPr>
          <w:spacing w:val="-6"/>
        </w:rPr>
        <w:t> </w:t>
      </w:r>
      <w:r>
        <w:rPr/>
        <w:t>fue</w:t>
      </w:r>
      <w:r>
        <w:rPr>
          <w:spacing w:val="-4"/>
        </w:rPr>
        <w:t> </w:t>
      </w:r>
      <w:r>
        <w:rPr/>
        <w:t>inadmitida</w:t>
      </w:r>
      <w:r>
        <w:rPr>
          <w:spacing w:val="-4"/>
        </w:rPr>
        <w:t> </w:t>
      </w:r>
      <w:r>
        <w:rPr/>
        <w:t>por extemporánea una solicitud de ampliación de plazo presentada por el </w:t>
      </w:r>
      <w:r>
        <w:rPr>
          <w:b/>
        </w:rPr>
        <w:t>Ayuntamiento de Palma </w:t>
      </w:r>
      <w:r>
        <w:rPr/>
        <w:t>para la compra de doce autobuses eléctricos, al haberse solicitado por el Ayuntamiento después del 31 de diciembre de 2023, fecha límite para concluir la actuación objeto de la ayuda.</w:t>
      </w:r>
    </w:p>
    <w:p>
      <w:pPr>
        <w:pStyle w:val="BodyText"/>
        <w:spacing w:before="240"/>
        <w:ind w:left="992" w:right="992"/>
        <w:jc w:val="both"/>
      </w:pPr>
      <w:r>
        <w:rPr/>
        <w:t>Los</w:t>
      </w:r>
      <w:r>
        <w:rPr>
          <w:spacing w:val="-2"/>
        </w:rPr>
        <w:t> </w:t>
      </w:r>
      <w:r>
        <w:rPr/>
        <w:t>beneficiarios</w:t>
      </w:r>
      <w:r>
        <w:rPr>
          <w:spacing w:val="-2"/>
        </w:rPr>
        <w:t> </w:t>
      </w:r>
      <w:r>
        <w:rPr/>
        <w:t>debían</w:t>
      </w:r>
      <w:r>
        <w:rPr>
          <w:spacing w:val="-8"/>
        </w:rPr>
        <w:t> </w:t>
      </w:r>
      <w:r>
        <w:rPr/>
        <w:t>presentar</w:t>
      </w:r>
      <w:r>
        <w:rPr>
          <w:spacing w:val="-4"/>
        </w:rPr>
        <w:t> </w:t>
      </w:r>
      <w:r>
        <w:rPr/>
        <w:t>ante</w:t>
      </w:r>
      <w:r>
        <w:rPr>
          <w:spacing w:val="-5"/>
        </w:rPr>
        <w:t> </w:t>
      </w:r>
      <w:r>
        <w:rPr/>
        <w:t>el</w:t>
      </w:r>
      <w:r>
        <w:rPr>
          <w:spacing w:val="-6"/>
        </w:rPr>
        <w:t> </w:t>
      </w:r>
      <w:r>
        <w:rPr/>
        <w:t>MITMA</w:t>
      </w:r>
      <w:r>
        <w:rPr>
          <w:spacing w:val="-5"/>
        </w:rPr>
        <w:t> </w:t>
      </w:r>
      <w:r>
        <w:rPr/>
        <w:t>informes</w:t>
      </w:r>
      <w:r>
        <w:rPr>
          <w:spacing w:val="-5"/>
        </w:rPr>
        <w:t> </w:t>
      </w:r>
      <w:r>
        <w:rPr/>
        <w:t>periódicos</w:t>
      </w:r>
      <w:r>
        <w:rPr>
          <w:spacing w:val="-3"/>
        </w:rPr>
        <w:t> </w:t>
      </w:r>
      <w:r>
        <w:rPr/>
        <w:t>semestrales</w:t>
      </w:r>
      <w:r>
        <w:rPr>
          <w:spacing w:val="-5"/>
        </w:rPr>
        <w:t> </w:t>
      </w:r>
      <w:r>
        <w:rPr/>
        <w:t>sobre</w:t>
      </w:r>
      <w:r>
        <w:rPr>
          <w:spacing w:val="-3"/>
        </w:rPr>
        <w:t> </w:t>
      </w:r>
      <w:r>
        <w:rPr/>
        <w:t>el</w:t>
      </w:r>
      <w:r>
        <w:rPr>
          <w:spacing w:val="-5"/>
        </w:rPr>
        <w:t> </w:t>
      </w:r>
      <w:r>
        <w:rPr/>
        <w:t>estado de las actuaciones, obligación a la que han dado cumplimiento las entidades fiscalizadas.</w:t>
      </w:r>
    </w:p>
    <w:p>
      <w:pPr>
        <w:pStyle w:val="BodyText"/>
        <w:spacing w:before="241"/>
        <w:ind w:left="992" w:right="987"/>
        <w:jc w:val="both"/>
      </w:pPr>
      <w:r>
        <w:rPr/>
        <w:t>Asimismo, los ayuntamientos están obligados presentar en el plazo máximo de seis meses desde la fecha de finalización de las actuaciones, con posibilidad de prórroga de tres meses más por circunstancias</w:t>
      </w:r>
      <w:r>
        <w:rPr>
          <w:spacing w:val="-5"/>
        </w:rPr>
        <w:t> </w:t>
      </w:r>
      <w:r>
        <w:rPr/>
        <w:t>debidamente</w:t>
      </w:r>
      <w:r>
        <w:rPr>
          <w:spacing w:val="-3"/>
        </w:rPr>
        <w:t> </w:t>
      </w:r>
      <w:r>
        <w:rPr/>
        <w:t>justificadas,</w:t>
      </w:r>
      <w:r>
        <w:rPr>
          <w:spacing w:val="-4"/>
        </w:rPr>
        <w:t> </w:t>
      </w:r>
      <w:r>
        <w:rPr/>
        <w:t>toda</w:t>
      </w:r>
      <w:r>
        <w:rPr>
          <w:spacing w:val="-5"/>
        </w:rPr>
        <w:t> </w:t>
      </w:r>
      <w:r>
        <w:rPr/>
        <w:t>la</w:t>
      </w:r>
      <w:r>
        <w:rPr>
          <w:spacing w:val="-5"/>
        </w:rPr>
        <w:t> </w:t>
      </w:r>
      <w:r>
        <w:rPr/>
        <w:t>documentación</w:t>
      </w:r>
      <w:r>
        <w:rPr>
          <w:spacing w:val="-3"/>
        </w:rPr>
        <w:t> </w:t>
      </w:r>
      <w:r>
        <w:rPr/>
        <w:t>integrante</w:t>
      </w:r>
      <w:r>
        <w:rPr>
          <w:spacing w:val="-5"/>
        </w:rPr>
        <w:t> </w:t>
      </w:r>
      <w:r>
        <w:rPr/>
        <w:t>de</w:t>
      </w:r>
      <w:r>
        <w:rPr>
          <w:spacing w:val="-5"/>
        </w:rPr>
        <w:t> </w:t>
      </w:r>
      <w:r>
        <w:rPr/>
        <w:t>la</w:t>
      </w:r>
      <w:r>
        <w:rPr>
          <w:spacing w:val="-5"/>
        </w:rPr>
        <w:t> </w:t>
      </w:r>
      <w:r>
        <w:rPr/>
        <w:t>cuenta</w:t>
      </w:r>
      <w:r>
        <w:rPr>
          <w:spacing w:val="-7"/>
        </w:rPr>
        <w:t> </w:t>
      </w:r>
      <w:r>
        <w:rPr/>
        <w:t>justificativa y</w:t>
      </w:r>
      <w:r>
        <w:rPr>
          <w:spacing w:val="-6"/>
        </w:rPr>
        <w:t> </w:t>
      </w:r>
      <w:r>
        <w:rPr/>
        <w:t>un</w:t>
      </w:r>
      <w:r>
        <w:rPr>
          <w:spacing w:val="-7"/>
        </w:rPr>
        <w:t> </w:t>
      </w:r>
      <w:r>
        <w:rPr/>
        <w:t>informe</w:t>
      </w:r>
      <w:r>
        <w:rPr>
          <w:spacing w:val="-6"/>
        </w:rPr>
        <w:t> </w:t>
      </w:r>
      <w:r>
        <w:rPr/>
        <w:t>final</w:t>
      </w:r>
      <w:r>
        <w:rPr>
          <w:spacing w:val="-7"/>
        </w:rPr>
        <w:t> </w:t>
      </w:r>
      <w:r>
        <w:rPr/>
        <w:t>que</w:t>
      </w:r>
      <w:r>
        <w:rPr>
          <w:spacing w:val="-6"/>
        </w:rPr>
        <w:t> </w:t>
      </w:r>
      <w:r>
        <w:rPr/>
        <w:t>deberá</w:t>
      </w:r>
      <w:r>
        <w:rPr>
          <w:spacing w:val="-6"/>
        </w:rPr>
        <w:t> </w:t>
      </w:r>
      <w:r>
        <w:rPr/>
        <w:t>recoger</w:t>
      </w:r>
      <w:r>
        <w:rPr>
          <w:spacing w:val="-5"/>
        </w:rPr>
        <w:t> </w:t>
      </w:r>
      <w:r>
        <w:rPr/>
        <w:t>de</w:t>
      </w:r>
      <w:r>
        <w:rPr>
          <w:spacing w:val="-9"/>
        </w:rPr>
        <w:t> </w:t>
      </w:r>
      <w:r>
        <w:rPr/>
        <w:t>manera</w:t>
      </w:r>
      <w:r>
        <w:rPr>
          <w:spacing w:val="-8"/>
        </w:rPr>
        <w:t> </w:t>
      </w:r>
      <w:r>
        <w:rPr/>
        <w:t>objetiva</w:t>
      </w:r>
      <w:r>
        <w:rPr>
          <w:spacing w:val="-7"/>
        </w:rPr>
        <w:t> </w:t>
      </w:r>
      <w:r>
        <w:rPr/>
        <w:t>el</w:t>
      </w:r>
      <w:r>
        <w:rPr>
          <w:spacing w:val="-7"/>
        </w:rPr>
        <w:t> </w:t>
      </w:r>
      <w:r>
        <w:rPr/>
        <w:t>estado</w:t>
      </w:r>
      <w:r>
        <w:rPr>
          <w:spacing w:val="-6"/>
        </w:rPr>
        <w:t> </w:t>
      </w:r>
      <w:r>
        <w:rPr/>
        <w:t>de</w:t>
      </w:r>
      <w:r>
        <w:rPr>
          <w:spacing w:val="-4"/>
        </w:rPr>
        <w:t> </w:t>
      </w:r>
      <w:r>
        <w:rPr/>
        <w:t>implementación</w:t>
      </w:r>
      <w:r>
        <w:rPr>
          <w:spacing w:val="-7"/>
        </w:rPr>
        <w:t> </w:t>
      </w:r>
      <w:r>
        <w:rPr/>
        <w:t>de</w:t>
      </w:r>
      <w:r>
        <w:rPr>
          <w:spacing w:val="-7"/>
        </w:rPr>
        <w:t> </w:t>
      </w:r>
      <w:r>
        <w:rPr/>
        <w:t>todas</w:t>
      </w:r>
      <w:r>
        <w:rPr>
          <w:spacing w:val="-6"/>
        </w:rPr>
        <w:t> </w:t>
      </w:r>
      <w:r>
        <w:rPr/>
        <w:t>las actuaciones</w:t>
      </w:r>
      <w:r>
        <w:rPr>
          <w:spacing w:val="-6"/>
        </w:rPr>
        <w:t> </w:t>
      </w:r>
      <w:r>
        <w:rPr/>
        <w:t>y</w:t>
      </w:r>
      <w:r>
        <w:rPr>
          <w:spacing w:val="-6"/>
        </w:rPr>
        <w:t> </w:t>
      </w:r>
      <w:r>
        <w:rPr/>
        <w:t>resaltar</w:t>
      </w:r>
      <w:r>
        <w:rPr>
          <w:spacing w:val="-8"/>
        </w:rPr>
        <w:t> </w:t>
      </w:r>
      <w:r>
        <w:rPr/>
        <w:t>todas</w:t>
      </w:r>
      <w:r>
        <w:rPr>
          <w:spacing w:val="-5"/>
        </w:rPr>
        <w:t> </w:t>
      </w:r>
      <w:r>
        <w:rPr/>
        <w:t>las</w:t>
      </w:r>
      <w:r>
        <w:rPr>
          <w:spacing w:val="-6"/>
        </w:rPr>
        <w:t> </w:t>
      </w:r>
      <w:r>
        <w:rPr/>
        <w:t>desviaciones</w:t>
      </w:r>
      <w:r>
        <w:rPr>
          <w:spacing w:val="-6"/>
        </w:rPr>
        <w:t> </w:t>
      </w:r>
      <w:r>
        <w:rPr/>
        <w:t>existentes,</w:t>
      </w:r>
      <w:r>
        <w:rPr>
          <w:spacing w:val="-5"/>
        </w:rPr>
        <w:t> </w:t>
      </w:r>
      <w:r>
        <w:rPr/>
        <w:t>si</w:t>
      </w:r>
      <w:r>
        <w:rPr>
          <w:spacing w:val="-7"/>
        </w:rPr>
        <w:t> </w:t>
      </w:r>
      <w:r>
        <w:rPr/>
        <w:t>las</w:t>
      </w:r>
      <w:r>
        <w:rPr>
          <w:spacing w:val="-3"/>
        </w:rPr>
        <w:t> </w:t>
      </w:r>
      <w:r>
        <w:rPr/>
        <w:t>hubiera,</w:t>
      </w:r>
      <w:r>
        <w:rPr>
          <w:spacing w:val="-5"/>
        </w:rPr>
        <w:t> </w:t>
      </w:r>
      <w:r>
        <w:rPr/>
        <w:t>con</w:t>
      </w:r>
      <w:r>
        <w:rPr>
          <w:spacing w:val="-5"/>
        </w:rPr>
        <w:t> </w:t>
      </w:r>
      <w:r>
        <w:rPr/>
        <w:t>respecto</w:t>
      </w:r>
      <w:r>
        <w:rPr>
          <w:spacing w:val="-6"/>
        </w:rPr>
        <w:t> </w:t>
      </w:r>
      <w:r>
        <w:rPr/>
        <w:t>a</w:t>
      </w:r>
      <w:r>
        <w:rPr>
          <w:spacing w:val="-6"/>
        </w:rPr>
        <w:t> </w:t>
      </w:r>
      <w:r>
        <w:rPr/>
        <w:t>lo</w:t>
      </w:r>
      <w:r>
        <w:rPr>
          <w:spacing w:val="-6"/>
        </w:rPr>
        <w:t> </w:t>
      </w:r>
      <w:r>
        <w:rPr/>
        <w:t>dispuesto en la solicitud de subvención.</w:t>
      </w:r>
    </w:p>
    <w:p>
      <w:pPr>
        <w:pStyle w:val="BodyText"/>
        <w:spacing w:before="242"/>
        <w:ind w:left="992" w:right="985"/>
        <w:jc w:val="both"/>
      </w:pPr>
      <w:r>
        <w:rPr/>
        <w:t>A</w:t>
      </w:r>
      <w:r>
        <w:rPr>
          <w:spacing w:val="-6"/>
        </w:rPr>
        <w:t> </w:t>
      </w:r>
      <w:r>
        <w:rPr/>
        <w:t>30</w:t>
      </w:r>
      <w:r>
        <w:rPr>
          <w:spacing w:val="-6"/>
        </w:rPr>
        <w:t> </w:t>
      </w:r>
      <w:r>
        <w:rPr/>
        <w:t>de</w:t>
      </w:r>
      <w:r>
        <w:rPr>
          <w:spacing w:val="-6"/>
        </w:rPr>
        <w:t> </w:t>
      </w:r>
      <w:r>
        <w:rPr/>
        <w:t>septiembre</w:t>
      </w:r>
      <w:r>
        <w:rPr>
          <w:spacing w:val="-5"/>
        </w:rPr>
        <w:t> </w:t>
      </w:r>
      <w:r>
        <w:rPr/>
        <w:t>de</w:t>
      </w:r>
      <w:r>
        <w:rPr>
          <w:spacing w:val="-6"/>
        </w:rPr>
        <w:t> </w:t>
      </w:r>
      <w:r>
        <w:rPr/>
        <w:t>2025,</w:t>
      </w:r>
      <w:r>
        <w:rPr>
          <w:spacing w:val="-4"/>
        </w:rPr>
        <w:t> </w:t>
      </w:r>
      <w:r>
        <w:rPr/>
        <w:t>fecha</w:t>
      </w:r>
      <w:r>
        <w:rPr>
          <w:spacing w:val="-5"/>
        </w:rPr>
        <w:t> </w:t>
      </w:r>
      <w:r>
        <w:rPr/>
        <w:t>de</w:t>
      </w:r>
      <w:r>
        <w:rPr>
          <w:spacing w:val="-8"/>
        </w:rPr>
        <w:t> </w:t>
      </w:r>
      <w:r>
        <w:rPr/>
        <w:t>corte</w:t>
      </w:r>
      <w:r>
        <w:rPr>
          <w:spacing w:val="-5"/>
        </w:rPr>
        <w:t> </w:t>
      </w:r>
      <w:r>
        <w:rPr/>
        <w:t>de</w:t>
      </w:r>
      <w:r>
        <w:rPr>
          <w:spacing w:val="-6"/>
        </w:rPr>
        <w:t> </w:t>
      </w:r>
      <w:r>
        <w:rPr/>
        <w:t>los</w:t>
      </w:r>
      <w:r>
        <w:rPr>
          <w:spacing w:val="-5"/>
        </w:rPr>
        <w:t> </w:t>
      </w:r>
      <w:r>
        <w:rPr/>
        <w:t>trabajos</w:t>
      </w:r>
      <w:r>
        <w:rPr>
          <w:spacing w:val="-5"/>
        </w:rPr>
        <w:t> </w:t>
      </w:r>
      <w:r>
        <w:rPr/>
        <w:t>de</w:t>
      </w:r>
      <w:r>
        <w:rPr>
          <w:spacing w:val="-8"/>
        </w:rPr>
        <w:t> </w:t>
      </w:r>
      <w:r>
        <w:rPr/>
        <w:t>fiscalización,</w:t>
      </w:r>
      <w:r>
        <w:rPr>
          <w:spacing w:val="-4"/>
        </w:rPr>
        <w:t> </w:t>
      </w:r>
      <w:r>
        <w:rPr/>
        <w:t>los</w:t>
      </w:r>
      <w:r>
        <w:rPr>
          <w:spacing w:val="-3"/>
        </w:rPr>
        <w:t> </w:t>
      </w:r>
      <w:r>
        <w:rPr>
          <w:b/>
        </w:rPr>
        <w:t>Ayuntamientos</w:t>
      </w:r>
      <w:r>
        <w:rPr>
          <w:b/>
          <w:spacing w:val="-6"/>
        </w:rPr>
        <w:t> </w:t>
      </w:r>
      <w:r>
        <w:rPr>
          <w:b/>
        </w:rPr>
        <w:t>de Bilbao,</w:t>
      </w:r>
      <w:r>
        <w:rPr>
          <w:b/>
          <w:spacing w:val="-5"/>
        </w:rPr>
        <w:t> </w:t>
      </w:r>
      <w:r>
        <w:rPr>
          <w:b/>
        </w:rPr>
        <w:t>Palma</w:t>
      </w:r>
      <w:r>
        <w:rPr>
          <w:b/>
          <w:spacing w:val="-5"/>
        </w:rPr>
        <w:t> </w:t>
      </w:r>
      <w:r>
        <w:rPr>
          <w:rFonts w:ascii="Symbol" w:hAnsi="Symbol"/>
        </w:rPr>
        <w:t></w:t>
      </w:r>
      <w:r>
        <w:rPr/>
        <w:t>solicitud</w:t>
      </w:r>
      <w:r>
        <w:rPr>
          <w:spacing w:val="-3"/>
        </w:rPr>
        <w:t> </w:t>
      </w:r>
      <w:r>
        <w:rPr/>
        <w:t>1</w:t>
      </w:r>
      <w:r>
        <w:rPr>
          <w:rFonts w:ascii="Symbol" w:hAnsi="Symbol"/>
        </w:rPr>
        <w:t></w:t>
      </w:r>
      <w:r>
        <w:rPr/>
        <w:t>,</w:t>
      </w:r>
      <w:r>
        <w:rPr>
          <w:spacing w:val="-4"/>
        </w:rPr>
        <w:t> </w:t>
      </w:r>
      <w:r>
        <w:rPr>
          <w:b/>
        </w:rPr>
        <w:t>Sevilla</w:t>
      </w:r>
      <w:r>
        <w:rPr>
          <w:b/>
          <w:spacing w:val="-3"/>
        </w:rPr>
        <w:t> </w:t>
      </w:r>
      <w:r>
        <w:rPr/>
        <w:t>y</w:t>
      </w:r>
      <w:r>
        <w:rPr>
          <w:spacing w:val="-5"/>
        </w:rPr>
        <w:t> </w:t>
      </w:r>
      <w:r>
        <w:rPr>
          <w:b/>
        </w:rPr>
        <w:t>Zaragoza</w:t>
      </w:r>
      <w:r>
        <w:rPr>
          <w:b/>
          <w:spacing w:val="-5"/>
        </w:rPr>
        <w:t> </w:t>
      </w:r>
      <w:r>
        <w:rPr/>
        <w:t>ha</w:t>
      </w:r>
      <w:r>
        <w:rPr>
          <w:spacing w:val="-3"/>
        </w:rPr>
        <w:t> </w:t>
      </w:r>
      <w:r>
        <w:rPr/>
        <w:t>aportado</w:t>
      </w:r>
      <w:r>
        <w:rPr>
          <w:spacing w:val="-5"/>
        </w:rPr>
        <w:t> </w:t>
      </w:r>
      <w:r>
        <w:rPr/>
        <w:t>justificante</w:t>
      </w:r>
      <w:r>
        <w:rPr>
          <w:spacing w:val="-5"/>
        </w:rPr>
        <w:t> </w:t>
      </w:r>
      <w:r>
        <w:rPr/>
        <w:t>de</w:t>
      </w:r>
      <w:r>
        <w:rPr>
          <w:spacing w:val="-3"/>
        </w:rPr>
        <w:t> </w:t>
      </w:r>
      <w:r>
        <w:rPr/>
        <w:t>haber</w:t>
      </w:r>
      <w:r>
        <w:rPr>
          <w:spacing w:val="-2"/>
        </w:rPr>
        <w:t> </w:t>
      </w:r>
      <w:r>
        <w:rPr/>
        <w:t>presentado</w:t>
      </w:r>
      <w:r>
        <w:rPr>
          <w:spacing w:val="-3"/>
        </w:rPr>
        <w:t> </w:t>
      </w:r>
      <w:r>
        <w:rPr/>
        <w:t>ante el MITMA la cuenta justificativa y demás documentación complementaria correspondiente a la primera</w:t>
      </w:r>
      <w:r>
        <w:rPr>
          <w:spacing w:val="-3"/>
        </w:rPr>
        <w:t> </w:t>
      </w:r>
      <w:r>
        <w:rPr/>
        <w:t>convocatoria.</w:t>
      </w:r>
      <w:r>
        <w:rPr>
          <w:spacing w:val="-2"/>
        </w:rPr>
        <w:t> </w:t>
      </w:r>
      <w:r>
        <w:rPr/>
        <w:t>Asimismo,</w:t>
      </w:r>
      <w:r>
        <w:rPr>
          <w:spacing w:val="-2"/>
        </w:rPr>
        <w:t> </w:t>
      </w:r>
      <w:r>
        <w:rPr/>
        <w:t>el</w:t>
      </w:r>
      <w:r>
        <w:rPr>
          <w:spacing w:val="-4"/>
        </w:rPr>
        <w:t> </w:t>
      </w:r>
      <w:r>
        <w:rPr/>
        <w:t>Ayuntamiento</w:t>
      </w:r>
      <w:r>
        <w:rPr>
          <w:spacing w:val="-3"/>
        </w:rPr>
        <w:t> </w:t>
      </w:r>
      <w:r>
        <w:rPr/>
        <w:t>de</w:t>
      </w:r>
      <w:r>
        <w:rPr>
          <w:spacing w:val="-3"/>
        </w:rPr>
        <w:t> </w:t>
      </w:r>
      <w:r>
        <w:rPr/>
        <w:t>Donostia</w:t>
      </w:r>
      <w:r>
        <w:rPr>
          <w:sz w:val="18"/>
        </w:rPr>
        <w:t>/</w:t>
      </w:r>
      <w:r>
        <w:rPr/>
        <w:t>San</w:t>
      </w:r>
      <w:r>
        <w:rPr>
          <w:spacing w:val="-3"/>
        </w:rPr>
        <w:t> </w:t>
      </w:r>
      <w:r>
        <w:rPr/>
        <w:t>Sebastián, como</w:t>
      </w:r>
      <w:r>
        <w:rPr>
          <w:spacing w:val="-3"/>
        </w:rPr>
        <w:t> </w:t>
      </w:r>
      <w:r>
        <w:rPr/>
        <w:t>representante de</w:t>
      </w:r>
      <w:r>
        <w:rPr>
          <w:spacing w:val="-12"/>
        </w:rPr>
        <w:t> </w:t>
      </w:r>
      <w:r>
        <w:rPr/>
        <w:t>la</w:t>
      </w:r>
      <w:r>
        <w:rPr>
          <w:spacing w:val="-11"/>
        </w:rPr>
        <w:t> </w:t>
      </w:r>
      <w:r>
        <w:rPr/>
        <w:t>agrupación,</w:t>
      </w:r>
      <w:r>
        <w:rPr>
          <w:spacing w:val="-12"/>
        </w:rPr>
        <w:t> </w:t>
      </w:r>
      <w:r>
        <w:rPr/>
        <w:t>ha</w:t>
      </w:r>
      <w:r>
        <w:rPr>
          <w:spacing w:val="-14"/>
        </w:rPr>
        <w:t> </w:t>
      </w:r>
      <w:r>
        <w:rPr/>
        <w:t>presentado</w:t>
      </w:r>
      <w:r>
        <w:rPr>
          <w:spacing w:val="-11"/>
        </w:rPr>
        <w:t> </w:t>
      </w:r>
      <w:r>
        <w:rPr/>
        <w:t>la</w:t>
      </w:r>
      <w:r>
        <w:rPr>
          <w:spacing w:val="-14"/>
        </w:rPr>
        <w:t> </w:t>
      </w:r>
      <w:r>
        <w:rPr/>
        <w:t>documentación</w:t>
      </w:r>
      <w:r>
        <w:rPr>
          <w:spacing w:val="-14"/>
        </w:rPr>
        <w:t> </w:t>
      </w:r>
      <w:r>
        <w:rPr/>
        <w:t>justificativa</w:t>
      </w:r>
      <w:r>
        <w:rPr>
          <w:spacing w:val="-11"/>
        </w:rPr>
        <w:t> </w:t>
      </w:r>
      <w:r>
        <w:rPr/>
        <w:t>del</w:t>
      </w:r>
      <w:r>
        <w:rPr>
          <w:spacing w:val="-14"/>
        </w:rPr>
        <w:t> </w:t>
      </w:r>
      <w:r>
        <w:rPr/>
        <w:t>proyecto</w:t>
      </w:r>
      <w:r>
        <w:rPr>
          <w:spacing w:val="-16"/>
        </w:rPr>
        <w:t> </w:t>
      </w:r>
      <w:r>
        <w:rPr/>
        <w:t>INNOBUS-Tur</w:t>
      </w:r>
      <w:r>
        <w:rPr>
          <w:spacing w:val="-11"/>
        </w:rPr>
        <w:t> </w:t>
      </w:r>
      <w:r>
        <w:rPr/>
        <w:t>en</w:t>
      </w:r>
      <w:r>
        <w:rPr>
          <w:spacing w:val="-14"/>
        </w:rPr>
        <w:t> </w:t>
      </w:r>
      <w:r>
        <w:rPr/>
        <w:t>el</w:t>
      </w:r>
      <w:r>
        <w:rPr>
          <w:spacing w:val="-12"/>
        </w:rPr>
        <w:t> </w:t>
      </w:r>
      <w:r>
        <w:rPr/>
        <w:t>que participan los</w:t>
      </w:r>
      <w:r>
        <w:rPr>
          <w:spacing w:val="-1"/>
        </w:rPr>
        <w:t> </w:t>
      </w:r>
      <w:r>
        <w:rPr>
          <w:b/>
        </w:rPr>
        <w:t>Ayuntamientos de</w:t>
      </w:r>
      <w:r>
        <w:rPr>
          <w:b/>
          <w:spacing w:val="-2"/>
        </w:rPr>
        <w:t> </w:t>
      </w:r>
      <w:r>
        <w:rPr>
          <w:b/>
        </w:rPr>
        <w:t>Málaga, Palma </w:t>
      </w:r>
      <w:r>
        <w:rPr/>
        <w:t>y </w:t>
      </w:r>
      <w:r>
        <w:rPr>
          <w:b/>
        </w:rPr>
        <w:t>Las Palmas</w:t>
      </w:r>
      <w:r>
        <w:rPr>
          <w:b/>
          <w:spacing w:val="-2"/>
        </w:rPr>
        <w:t> </w:t>
      </w:r>
      <w:r>
        <w:rPr>
          <w:b/>
        </w:rPr>
        <w:t>de</w:t>
      </w:r>
      <w:r>
        <w:rPr>
          <w:b/>
          <w:spacing w:val="-2"/>
        </w:rPr>
        <w:t> </w:t>
      </w:r>
      <w:r>
        <w:rPr>
          <w:b/>
        </w:rPr>
        <w:t>Gran Canaria</w:t>
      </w:r>
      <w:r>
        <w:rPr/>
        <w:t>. La</w:t>
      </w:r>
      <w:r>
        <w:rPr>
          <w:spacing w:val="-2"/>
        </w:rPr>
        <w:t> </w:t>
      </w:r>
      <w:r>
        <w:rPr/>
        <w:t>justificación del</w:t>
      </w:r>
      <w:r>
        <w:rPr>
          <w:spacing w:val="-7"/>
        </w:rPr>
        <w:t> </w:t>
      </w:r>
      <w:r>
        <w:rPr/>
        <w:t>resto</w:t>
      </w:r>
      <w:r>
        <w:rPr>
          <w:spacing w:val="-9"/>
        </w:rPr>
        <w:t> </w:t>
      </w:r>
      <w:r>
        <w:rPr/>
        <w:t>de</w:t>
      </w:r>
      <w:r>
        <w:rPr>
          <w:spacing w:val="-9"/>
        </w:rPr>
        <w:t> </w:t>
      </w:r>
      <w:r>
        <w:rPr/>
        <w:t>proyectos</w:t>
      </w:r>
      <w:r>
        <w:rPr>
          <w:spacing w:val="-9"/>
        </w:rPr>
        <w:t> </w:t>
      </w:r>
      <w:r>
        <w:rPr/>
        <w:t>aún</w:t>
      </w:r>
      <w:r>
        <w:rPr>
          <w:spacing w:val="-6"/>
        </w:rPr>
        <w:t> </w:t>
      </w:r>
      <w:r>
        <w:rPr/>
        <w:t>no</w:t>
      </w:r>
      <w:r>
        <w:rPr>
          <w:spacing w:val="-9"/>
        </w:rPr>
        <w:t> </w:t>
      </w:r>
      <w:r>
        <w:rPr/>
        <w:t>se</w:t>
      </w:r>
      <w:r>
        <w:rPr>
          <w:spacing w:val="-9"/>
        </w:rPr>
        <w:t> </w:t>
      </w:r>
      <w:r>
        <w:rPr/>
        <w:t>había</w:t>
      </w:r>
      <w:r>
        <w:rPr>
          <w:spacing w:val="-9"/>
        </w:rPr>
        <w:t> </w:t>
      </w:r>
      <w:r>
        <w:rPr/>
        <w:t>presentado</w:t>
      </w:r>
      <w:r>
        <w:rPr>
          <w:spacing w:val="-6"/>
        </w:rPr>
        <w:t> </w:t>
      </w:r>
      <w:r>
        <w:rPr/>
        <w:t>por</w:t>
      </w:r>
      <w:r>
        <w:rPr>
          <w:spacing w:val="-8"/>
        </w:rPr>
        <w:t> </w:t>
      </w:r>
      <w:r>
        <w:rPr/>
        <w:t>no</w:t>
      </w:r>
      <w:r>
        <w:rPr>
          <w:spacing w:val="-9"/>
        </w:rPr>
        <w:t> </w:t>
      </w:r>
      <w:r>
        <w:rPr/>
        <w:t>haber</w:t>
      </w:r>
      <w:r>
        <w:rPr>
          <w:spacing w:val="-8"/>
        </w:rPr>
        <w:t> </w:t>
      </w:r>
      <w:r>
        <w:rPr/>
        <w:t>concluido</w:t>
      </w:r>
      <w:r>
        <w:rPr>
          <w:spacing w:val="-9"/>
        </w:rPr>
        <w:t> </w:t>
      </w:r>
      <w:r>
        <w:rPr/>
        <w:t>el</w:t>
      </w:r>
      <w:r>
        <w:rPr>
          <w:spacing w:val="-7"/>
        </w:rPr>
        <w:t> </w:t>
      </w:r>
      <w:r>
        <w:rPr/>
        <w:t>plazo</w:t>
      </w:r>
      <w:r>
        <w:rPr>
          <w:spacing w:val="-7"/>
        </w:rPr>
        <w:t> </w:t>
      </w:r>
      <w:r>
        <w:rPr/>
        <w:t>de</w:t>
      </w:r>
      <w:r>
        <w:rPr>
          <w:spacing w:val="-9"/>
        </w:rPr>
        <w:t> </w:t>
      </w:r>
      <w:r>
        <w:rPr/>
        <w:t>ejecución</w:t>
      </w:r>
      <w:r>
        <w:rPr>
          <w:spacing w:val="-9"/>
        </w:rPr>
        <w:t> </w:t>
      </w:r>
      <w:r>
        <w:rPr/>
        <w:t>y/o de justificación.</w:t>
      </w:r>
    </w:p>
    <w:p>
      <w:pPr>
        <w:pStyle w:val="BodyText"/>
        <w:spacing w:before="239"/>
        <w:ind w:left="992" w:right="986"/>
        <w:jc w:val="both"/>
      </w:pPr>
      <w:r>
        <w:rPr/>
        <w:t>En los Anexos </w:t>
      </w:r>
      <w:hyperlink w:history="true" w:anchor="_bookmark154">
        <w:r>
          <w:rPr/>
          <w:t>XV</w:t>
        </w:r>
      </w:hyperlink>
      <w:r>
        <w:rPr/>
        <w:t> y </w:t>
      </w:r>
      <w:hyperlink w:history="true" w:anchor="_bookmark156">
        <w:r>
          <w:rPr/>
          <w:t>XVI</w:t>
        </w:r>
      </w:hyperlink>
      <w:r>
        <w:rPr/>
        <w:t> se detallan, por cada uno de los ayuntamientos fiscalizados, los importes de los proyectos presentados ante el MITMA, las subvenciones solicitadas, los importes de los proyectos autorizados y las subvenciones concedidas. Asimismo, se indica el importe de las subvenciones correspondiente a las actuaciones fiscalizadas, conforme a las resoluciones de </w:t>
      </w:r>
      <w:r>
        <w:rPr>
          <w:spacing w:val="-2"/>
        </w:rPr>
        <w:t>concesión.</w:t>
      </w:r>
    </w:p>
    <w:p>
      <w:pPr>
        <w:pStyle w:val="BodyText"/>
        <w:spacing w:before="241"/>
        <w:ind w:left="992" w:right="994"/>
        <w:jc w:val="both"/>
      </w:pPr>
      <w:r>
        <w:rPr/>
        <w:t>También se incluyen en esos Anexos los anticipos recibidos, la fecha de finalización de las actuaciones, el número de prórrogas autorizadas y si, a 30 de septiembre de 2025, las entidades han presentado la documentación justificativa ante el Ministerio.</w:t>
      </w:r>
    </w:p>
    <w:p>
      <w:pPr>
        <w:pStyle w:val="BodyText"/>
        <w:spacing w:before="106"/>
      </w:pPr>
    </w:p>
    <w:p>
      <w:pPr>
        <w:pStyle w:val="Heading5"/>
        <w:numPr>
          <w:ilvl w:val="2"/>
          <w:numId w:val="3"/>
        </w:numPr>
        <w:tabs>
          <w:tab w:pos="1597" w:val="left" w:leader="none"/>
        </w:tabs>
        <w:spacing w:line="240" w:lineRule="auto" w:before="0" w:after="0"/>
        <w:ind w:left="1597" w:right="0" w:hanging="605"/>
        <w:jc w:val="left"/>
      </w:pPr>
      <w:bookmarkStart w:name="_bookmark108" w:id="110"/>
      <w:bookmarkEnd w:id="110"/>
      <w:r>
        <w:rPr>
          <w:b w:val="0"/>
        </w:rPr>
      </w:r>
      <w:r>
        <w:rPr/>
        <w:t>Análisis</w:t>
      </w:r>
      <w:r>
        <w:rPr>
          <w:spacing w:val="-7"/>
        </w:rPr>
        <w:t> </w:t>
      </w:r>
      <w:r>
        <w:rPr/>
        <w:t>del</w:t>
      </w:r>
      <w:r>
        <w:rPr>
          <w:spacing w:val="-5"/>
        </w:rPr>
        <w:t> </w:t>
      </w:r>
      <w:r>
        <w:rPr/>
        <w:t>cumplimiento</w:t>
      </w:r>
      <w:r>
        <w:rPr>
          <w:spacing w:val="-6"/>
        </w:rPr>
        <w:t> </w:t>
      </w:r>
      <w:r>
        <w:rPr/>
        <w:t>de</w:t>
      </w:r>
      <w:r>
        <w:rPr>
          <w:spacing w:val="-8"/>
        </w:rPr>
        <w:t> </w:t>
      </w:r>
      <w:r>
        <w:rPr/>
        <w:t>los</w:t>
      </w:r>
      <w:r>
        <w:rPr>
          <w:spacing w:val="-10"/>
        </w:rPr>
        <w:t> </w:t>
      </w:r>
      <w:r>
        <w:rPr/>
        <w:t>principios</w:t>
      </w:r>
      <w:r>
        <w:rPr>
          <w:spacing w:val="-8"/>
        </w:rPr>
        <w:t> </w:t>
      </w:r>
      <w:r>
        <w:rPr/>
        <w:t>transversales</w:t>
      </w:r>
      <w:r>
        <w:rPr>
          <w:spacing w:val="-6"/>
        </w:rPr>
        <w:t> </w:t>
      </w:r>
      <w:r>
        <w:rPr/>
        <w:t>del</w:t>
      </w:r>
      <w:r>
        <w:rPr>
          <w:spacing w:val="-2"/>
        </w:rPr>
        <w:t> </w:t>
      </w:r>
      <w:r>
        <w:rPr>
          <w:spacing w:val="-4"/>
        </w:rPr>
        <w:t>PRTR</w:t>
      </w:r>
    </w:p>
    <w:p>
      <w:pPr>
        <w:pStyle w:val="BodyText"/>
        <w:spacing w:before="241"/>
        <w:ind w:left="992" w:right="987"/>
        <w:jc w:val="both"/>
      </w:pPr>
      <w:r>
        <w:rPr/>
        <w:t>El sistema de gestión del PRTR se configura, principalmente, en la Orden HFP/1030/2021, de 29 de</w:t>
      </w:r>
      <w:r>
        <w:rPr>
          <w:spacing w:val="31"/>
        </w:rPr>
        <w:t> </w:t>
      </w:r>
      <w:r>
        <w:rPr/>
        <w:t>septiembre,</w:t>
      </w:r>
      <w:r>
        <w:rPr>
          <w:spacing w:val="31"/>
        </w:rPr>
        <w:t> </w:t>
      </w:r>
      <w:r>
        <w:rPr/>
        <w:t>y</w:t>
      </w:r>
      <w:r>
        <w:rPr>
          <w:spacing w:val="32"/>
        </w:rPr>
        <w:t> </w:t>
      </w:r>
      <w:r>
        <w:rPr/>
        <w:t>está</w:t>
      </w:r>
      <w:r>
        <w:rPr>
          <w:spacing w:val="31"/>
        </w:rPr>
        <w:t> </w:t>
      </w:r>
      <w:r>
        <w:rPr/>
        <w:t>orientado</w:t>
      </w:r>
      <w:r>
        <w:rPr>
          <w:spacing w:val="32"/>
        </w:rPr>
        <w:t> </w:t>
      </w:r>
      <w:r>
        <w:rPr/>
        <w:t>a</w:t>
      </w:r>
      <w:r>
        <w:rPr>
          <w:spacing w:val="29"/>
        </w:rPr>
        <w:t> </w:t>
      </w:r>
      <w:r>
        <w:rPr/>
        <w:t>definir,</w:t>
      </w:r>
      <w:r>
        <w:rPr>
          <w:spacing w:val="33"/>
        </w:rPr>
        <w:t> </w:t>
      </w:r>
      <w:r>
        <w:rPr/>
        <w:t>planificar,</w:t>
      </w:r>
      <w:r>
        <w:rPr>
          <w:spacing w:val="31"/>
        </w:rPr>
        <w:t> </w:t>
      </w:r>
      <w:r>
        <w:rPr/>
        <w:t>ejecutar,</w:t>
      </w:r>
      <w:r>
        <w:rPr>
          <w:spacing w:val="31"/>
        </w:rPr>
        <w:t> </w:t>
      </w:r>
      <w:r>
        <w:rPr/>
        <w:t>seguir</w:t>
      </w:r>
      <w:r>
        <w:rPr>
          <w:spacing w:val="31"/>
        </w:rPr>
        <w:t> </w:t>
      </w:r>
      <w:r>
        <w:rPr/>
        <w:t>y</w:t>
      </w:r>
      <w:r>
        <w:rPr>
          <w:spacing w:val="30"/>
        </w:rPr>
        <w:t> </w:t>
      </w:r>
      <w:r>
        <w:rPr/>
        <w:t>controlar</w:t>
      </w:r>
      <w:r>
        <w:rPr>
          <w:spacing w:val="30"/>
        </w:rPr>
        <w:t> </w:t>
      </w:r>
      <w:r>
        <w:rPr/>
        <w:t>los</w:t>
      </w:r>
      <w:r>
        <w:rPr>
          <w:spacing w:val="32"/>
        </w:rPr>
        <w:t> </w:t>
      </w:r>
      <w:r>
        <w:rPr/>
        <w:t>proyectos</w:t>
      </w:r>
      <w:r>
        <w:rPr>
          <w:spacing w:val="29"/>
        </w:rPr>
        <w:t> </w:t>
      </w:r>
      <w:r>
        <w:rPr/>
        <w:t>y</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8"/>
        <w:jc w:val="both"/>
      </w:pPr>
      <w:r>
        <w:rPr/>
        <w:t>subproyectos en los que se descomponen las medidas (reformas/inversiones) previstas en los componentes del PRTR. La Orden establece los principios o criterios específicos, de carácter transversal, de obligatoria consideración en la planificación y ejecución de los componentes del </w:t>
      </w:r>
      <w:r>
        <w:rPr>
          <w:spacing w:val="-2"/>
        </w:rPr>
        <w:t>PRTR.</w:t>
      </w:r>
    </w:p>
    <w:p>
      <w:pPr>
        <w:pStyle w:val="BodyText"/>
        <w:spacing w:before="241"/>
        <w:ind w:left="992" w:right="987"/>
        <w:jc w:val="both"/>
      </w:pPr>
      <w:r>
        <w:rPr/>
        <w:t>A</w:t>
      </w:r>
      <w:r>
        <w:rPr>
          <w:spacing w:val="-2"/>
        </w:rPr>
        <w:t> </w:t>
      </w:r>
      <w:r>
        <w:rPr/>
        <w:t>las</w:t>
      </w:r>
      <w:r>
        <w:rPr>
          <w:spacing w:val="-2"/>
        </w:rPr>
        <w:t> </w:t>
      </w:r>
      <w:r>
        <w:rPr/>
        <w:t>subvenciones</w:t>
      </w:r>
      <w:r>
        <w:rPr>
          <w:spacing w:val="-2"/>
        </w:rPr>
        <w:t> </w:t>
      </w:r>
      <w:r>
        <w:rPr/>
        <w:t>concedidas</w:t>
      </w:r>
      <w:r>
        <w:rPr>
          <w:spacing w:val="-1"/>
        </w:rPr>
        <w:t> </w:t>
      </w:r>
      <w:r>
        <w:rPr/>
        <w:t>en</w:t>
      </w:r>
      <w:r>
        <w:rPr>
          <w:spacing w:val="-2"/>
        </w:rPr>
        <w:t> </w:t>
      </w:r>
      <w:r>
        <w:rPr/>
        <w:t>el</w:t>
      </w:r>
      <w:r>
        <w:rPr>
          <w:spacing w:val="-3"/>
        </w:rPr>
        <w:t> </w:t>
      </w:r>
      <w:r>
        <w:rPr/>
        <w:t>marco</w:t>
      </w:r>
      <w:r>
        <w:rPr>
          <w:spacing w:val="-1"/>
        </w:rPr>
        <w:t> </w:t>
      </w:r>
      <w:r>
        <w:rPr/>
        <w:t>del</w:t>
      </w:r>
      <w:r>
        <w:rPr>
          <w:spacing w:val="-2"/>
        </w:rPr>
        <w:t> </w:t>
      </w:r>
      <w:r>
        <w:rPr/>
        <w:t>Programa de</w:t>
      </w:r>
      <w:r>
        <w:rPr>
          <w:spacing w:val="-2"/>
        </w:rPr>
        <w:t> </w:t>
      </w:r>
      <w:r>
        <w:rPr/>
        <w:t>ayudas</w:t>
      </w:r>
      <w:r>
        <w:rPr>
          <w:spacing w:val="-1"/>
        </w:rPr>
        <w:t> </w:t>
      </w:r>
      <w:r>
        <w:rPr/>
        <w:t>para</w:t>
      </w:r>
      <w:r>
        <w:rPr>
          <w:spacing w:val="-4"/>
        </w:rPr>
        <w:t> </w:t>
      </w:r>
      <w:r>
        <w:rPr/>
        <w:t>la</w:t>
      </w:r>
      <w:r>
        <w:rPr>
          <w:spacing w:val="-2"/>
        </w:rPr>
        <w:t> </w:t>
      </w:r>
      <w:r>
        <w:rPr/>
        <w:t>transformación</w:t>
      </w:r>
      <w:r>
        <w:rPr>
          <w:spacing w:val="-2"/>
        </w:rPr>
        <w:t> </w:t>
      </w:r>
      <w:r>
        <w:rPr/>
        <w:t>digital y sostenible del transporte urbano, PRTR, son de aplicación los principios transversales que se muestran en el gráfico siguiente.</w:t>
      </w:r>
    </w:p>
    <w:p>
      <w:pPr>
        <w:pStyle w:val="BodyText"/>
        <w:spacing w:before="106"/>
      </w:pPr>
    </w:p>
    <w:p>
      <w:pPr>
        <w:pStyle w:val="Heading4"/>
        <w:ind w:left="0" w:right="1"/>
      </w:pPr>
      <w:r>
        <w:rPr/>
        <mc:AlternateContent>
          <mc:Choice Requires="wps">
            <w:drawing>
              <wp:anchor distT="0" distB="0" distL="0" distR="0" allowOverlap="1" layoutInCell="1" locked="0" behindDoc="1" simplePos="0" relativeHeight="474300416">
                <wp:simplePos x="0" y="0"/>
                <wp:positionH relativeFrom="page">
                  <wp:posOffset>3779011</wp:posOffset>
                </wp:positionH>
                <wp:positionV relativeFrom="paragraph">
                  <wp:posOffset>941233</wp:posOffset>
                </wp:positionV>
                <wp:extent cx="2339975" cy="462280"/>
                <wp:effectExtent l="0" t="0" r="0" b="0"/>
                <wp:wrapNone/>
                <wp:docPr id="202" name="Group 202"/>
                <wp:cNvGraphicFramePr>
                  <a:graphicFrameLocks/>
                </wp:cNvGraphicFramePr>
                <a:graphic>
                  <a:graphicData uri="http://schemas.microsoft.com/office/word/2010/wordprocessingGroup">
                    <wpg:wgp>
                      <wpg:cNvPr id="202" name="Group 202"/>
                      <wpg:cNvGrpSpPr/>
                      <wpg:grpSpPr>
                        <a:xfrm>
                          <a:off x="0" y="0"/>
                          <a:ext cx="2339975" cy="462280"/>
                          <a:chExt cx="2339975" cy="462280"/>
                        </a:xfrm>
                      </wpg:grpSpPr>
                      <wps:wsp>
                        <wps:cNvPr id="203" name="Graphic 203"/>
                        <wps:cNvSpPr/>
                        <wps:spPr>
                          <a:xfrm>
                            <a:off x="9525" y="9525"/>
                            <a:ext cx="2320925" cy="443230"/>
                          </a:xfrm>
                          <a:custGeom>
                            <a:avLst/>
                            <a:gdLst/>
                            <a:ahLst/>
                            <a:cxnLst/>
                            <a:rect l="l" t="t" r="r" b="b"/>
                            <a:pathLst>
                              <a:path w="2320925" h="443230">
                                <a:moveTo>
                                  <a:pt x="2246757" y="0"/>
                                </a:moveTo>
                                <a:lnTo>
                                  <a:pt x="73787" y="0"/>
                                </a:lnTo>
                                <a:lnTo>
                                  <a:pt x="45059" y="5796"/>
                                </a:lnTo>
                                <a:lnTo>
                                  <a:pt x="21605" y="21605"/>
                                </a:lnTo>
                                <a:lnTo>
                                  <a:pt x="5796" y="45059"/>
                                </a:lnTo>
                                <a:lnTo>
                                  <a:pt x="0" y="73787"/>
                                </a:lnTo>
                                <a:lnTo>
                                  <a:pt x="0" y="369189"/>
                                </a:lnTo>
                                <a:lnTo>
                                  <a:pt x="5796" y="397916"/>
                                </a:lnTo>
                                <a:lnTo>
                                  <a:pt x="21605" y="421370"/>
                                </a:lnTo>
                                <a:lnTo>
                                  <a:pt x="45059" y="437179"/>
                                </a:lnTo>
                                <a:lnTo>
                                  <a:pt x="73787" y="442976"/>
                                </a:lnTo>
                                <a:lnTo>
                                  <a:pt x="2246757" y="442976"/>
                                </a:lnTo>
                                <a:lnTo>
                                  <a:pt x="2275558" y="437179"/>
                                </a:lnTo>
                                <a:lnTo>
                                  <a:pt x="2299049" y="421370"/>
                                </a:lnTo>
                                <a:lnTo>
                                  <a:pt x="2314872" y="397916"/>
                                </a:lnTo>
                                <a:lnTo>
                                  <a:pt x="2320671" y="369189"/>
                                </a:lnTo>
                                <a:lnTo>
                                  <a:pt x="2320671" y="73787"/>
                                </a:lnTo>
                                <a:lnTo>
                                  <a:pt x="2314872" y="45059"/>
                                </a:lnTo>
                                <a:lnTo>
                                  <a:pt x="2299049" y="21605"/>
                                </a:lnTo>
                                <a:lnTo>
                                  <a:pt x="2275558" y="5796"/>
                                </a:lnTo>
                                <a:lnTo>
                                  <a:pt x="2246757" y="0"/>
                                </a:lnTo>
                                <a:close/>
                              </a:path>
                            </a:pathLst>
                          </a:custGeom>
                          <a:solidFill>
                            <a:srgbClr val="DCE6F1"/>
                          </a:solidFill>
                        </wps:spPr>
                        <wps:bodyPr wrap="square" lIns="0" tIns="0" rIns="0" bIns="0" rtlCol="0">
                          <a:prstTxWarp prst="textNoShape">
                            <a:avLst/>
                          </a:prstTxWarp>
                          <a:noAutofit/>
                        </wps:bodyPr>
                      </wps:wsp>
                      <wps:wsp>
                        <wps:cNvPr id="204" name="Graphic 204"/>
                        <wps:cNvSpPr/>
                        <wps:spPr>
                          <a:xfrm>
                            <a:off x="9525" y="9525"/>
                            <a:ext cx="2320925" cy="443230"/>
                          </a:xfrm>
                          <a:custGeom>
                            <a:avLst/>
                            <a:gdLst/>
                            <a:ahLst/>
                            <a:cxnLst/>
                            <a:rect l="l" t="t" r="r" b="b"/>
                            <a:pathLst>
                              <a:path w="2320925" h="443230">
                                <a:moveTo>
                                  <a:pt x="0" y="73787"/>
                                </a:moveTo>
                                <a:lnTo>
                                  <a:pt x="5796" y="45059"/>
                                </a:lnTo>
                                <a:lnTo>
                                  <a:pt x="21605" y="21605"/>
                                </a:lnTo>
                                <a:lnTo>
                                  <a:pt x="45059" y="5796"/>
                                </a:lnTo>
                                <a:lnTo>
                                  <a:pt x="73787" y="0"/>
                                </a:lnTo>
                                <a:lnTo>
                                  <a:pt x="2246757" y="0"/>
                                </a:lnTo>
                                <a:lnTo>
                                  <a:pt x="2275558" y="5796"/>
                                </a:lnTo>
                                <a:lnTo>
                                  <a:pt x="2299049" y="21605"/>
                                </a:lnTo>
                                <a:lnTo>
                                  <a:pt x="2314872" y="45059"/>
                                </a:lnTo>
                                <a:lnTo>
                                  <a:pt x="2320671" y="73787"/>
                                </a:lnTo>
                                <a:lnTo>
                                  <a:pt x="2320671" y="369189"/>
                                </a:lnTo>
                                <a:lnTo>
                                  <a:pt x="2314872" y="397916"/>
                                </a:lnTo>
                                <a:lnTo>
                                  <a:pt x="2299049" y="421370"/>
                                </a:lnTo>
                                <a:lnTo>
                                  <a:pt x="2275558" y="437179"/>
                                </a:lnTo>
                                <a:lnTo>
                                  <a:pt x="2246757" y="442976"/>
                                </a:lnTo>
                                <a:lnTo>
                                  <a:pt x="73787" y="442976"/>
                                </a:lnTo>
                                <a:lnTo>
                                  <a:pt x="45059" y="437179"/>
                                </a:lnTo>
                                <a:lnTo>
                                  <a:pt x="21605" y="421370"/>
                                </a:lnTo>
                                <a:lnTo>
                                  <a:pt x="5796" y="397916"/>
                                </a:lnTo>
                                <a:lnTo>
                                  <a:pt x="0" y="369189"/>
                                </a:lnTo>
                                <a:lnTo>
                                  <a:pt x="0" y="73787"/>
                                </a:lnTo>
                                <a:close/>
                              </a:path>
                            </a:pathLst>
                          </a:custGeom>
                          <a:ln w="19050">
                            <a:solidFill>
                              <a:srgbClr val="5E89B4"/>
                            </a:solidFill>
                            <a:prstDash val="sysDash"/>
                          </a:ln>
                        </wps:spPr>
                        <wps:bodyPr wrap="square" lIns="0" tIns="0" rIns="0" bIns="0" rtlCol="0">
                          <a:prstTxWarp prst="textNoShape">
                            <a:avLst/>
                          </a:prstTxWarp>
                          <a:noAutofit/>
                        </wps:bodyPr>
                      </wps:wsp>
                      <wps:wsp>
                        <wps:cNvPr id="205" name="Textbox 205"/>
                        <wps:cNvSpPr txBox="1"/>
                        <wps:spPr>
                          <a:xfrm>
                            <a:off x="21948" y="25090"/>
                            <a:ext cx="2296160" cy="412115"/>
                          </a:xfrm>
                          <a:prstGeom prst="rect">
                            <a:avLst/>
                          </a:prstGeom>
                        </wps:spPr>
                        <wps:txbx>
                          <w:txbxContent>
                            <w:p>
                              <w:pPr>
                                <w:spacing w:line="240" w:lineRule="auto" w:before="9"/>
                                <w:rPr>
                                  <w:sz w:val="18"/>
                                </w:rPr>
                              </w:pPr>
                            </w:p>
                            <w:p>
                              <w:pPr>
                                <w:spacing w:before="0"/>
                                <w:ind w:left="174" w:right="0" w:firstLine="0"/>
                                <w:jc w:val="left"/>
                                <w:rPr>
                                  <w:rFonts w:ascii="Arial Narrow" w:hAnsi="Arial Narrow"/>
                                  <w:b/>
                                  <w:sz w:val="18"/>
                                </w:rPr>
                              </w:pPr>
                              <w:r>
                                <w:rPr>
                                  <w:rFonts w:ascii="Arial Narrow" w:hAnsi="Arial Narrow"/>
                                  <w:b/>
                                  <w:color w:val="001F5F"/>
                                  <w:sz w:val="18"/>
                                </w:rPr>
                                <w:t>Identificación</w:t>
                              </w:r>
                              <w:r>
                                <w:rPr>
                                  <w:rFonts w:ascii="Arial Narrow" w:hAnsi="Arial Narrow"/>
                                  <w:b/>
                                  <w:color w:val="001F5F"/>
                                  <w:spacing w:val="-4"/>
                                  <w:sz w:val="18"/>
                                </w:rPr>
                                <w:t> </w:t>
                              </w:r>
                              <w:r>
                                <w:rPr>
                                  <w:rFonts w:ascii="Arial Narrow" w:hAnsi="Arial Narrow"/>
                                  <w:b/>
                                  <w:color w:val="001F5F"/>
                                  <w:sz w:val="18"/>
                                </w:rPr>
                                <w:t>del</w:t>
                              </w:r>
                              <w:r>
                                <w:rPr>
                                  <w:rFonts w:ascii="Arial Narrow" w:hAnsi="Arial Narrow"/>
                                  <w:b/>
                                  <w:color w:val="001F5F"/>
                                  <w:spacing w:val="-2"/>
                                  <w:sz w:val="18"/>
                                </w:rPr>
                                <w:t> </w:t>
                              </w:r>
                              <w:r>
                                <w:rPr>
                                  <w:rFonts w:ascii="Arial Narrow" w:hAnsi="Arial Narrow"/>
                                  <w:b/>
                                  <w:color w:val="001F5F"/>
                                  <w:sz w:val="18"/>
                                </w:rPr>
                                <w:t>preceptor</w:t>
                              </w:r>
                              <w:r>
                                <w:rPr>
                                  <w:rFonts w:ascii="Arial Narrow" w:hAnsi="Arial Narrow"/>
                                  <w:b/>
                                  <w:color w:val="001F5F"/>
                                  <w:spacing w:val="-4"/>
                                  <w:sz w:val="18"/>
                                </w:rPr>
                                <w:t> </w:t>
                              </w:r>
                              <w:r>
                                <w:rPr>
                                  <w:rFonts w:ascii="Arial Narrow" w:hAnsi="Arial Narrow"/>
                                  <w:b/>
                                  <w:color w:val="001F5F"/>
                                  <w:sz w:val="18"/>
                                </w:rPr>
                                <w:t>final</w:t>
                              </w:r>
                              <w:r>
                                <w:rPr>
                                  <w:rFonts w:ascii="Arial Narrow" w:hAnsi="Arial Narrow"/>
                                  <w:b/>
                                  <w:color w:val="001F5F"/>
                                  <w:spacing w:val="-4"/>
                                  <w:sz w:val="18"/>
                                </w:rPr>
                                <w:t> </w:t>
                              </w:r>
                              <w:r>
                                <w:rPr>
                                  <w:rFonts w:ascii="Arial Narrow" w:hAnsi="Arial Narrow"/>
                                  <w:b/>
                                  <w:color w:val="001F5F"/>
                                  <w:sz w:val="18"/>
                                </w:rPr>
                                <w:t>de</w:t>
                              </w:r>
                              <w:r>
                                <w:rPr>
                                  <w:rFonts w:ascii="Arial Narrow" w:hAnsi="Arial Narrow"/>
                                  <w:b/>
                                  <w:color w:val="001F5F"/>
                                  <w:spacing w:val="-2"/>
                                  <w:sz w:val="18"/>
                                </w:rPr>
                                <w:t> </w:t>
                              </w:r>
                              <w:r>
                                <w:rPr>
                                  <w:rFonts w:ascii="Arial Narrow" w:hAnsi="Arial Narrow"/>
                                  <w:b/>
                                  <w:color w:val="001F5F"/>
                                  <w:sz w:val="18"/>
                                </w:rPr>
                                <w:t>los</w:t>
                              </w:r>
                              <w:r>
                                <w:rPr>
                                  <w:rFonts w:ascii="Arial Narrow" w:hAnsi="Arial Narrow"/>
                                  <w:b/>
                                  <w:color w:val="001F5F"/>
                                  <w:spacing w:val="-2"/>
                                  <w:sz w:val="18"/>
                                </w:rPr>
                                <w:t> fondos</w:t>
                              </w:r>
                            </w:p>
                          </w:txbxContent>
                        </wps:txbx>
                        <wps:bodyPr wrap="square" lIns="0" tIns="0" rIns="0" bIns="0" rtlCol="0">
                          <a:noAutofit/>
                        </wps:bodyPr>
                      </wps:wsp>
                    </wpg:wgp>
                  </a:graphicData>
                </a:graphic>
              </wp:anchor>
            </w:drawing>
          </mc:Choice>
          <mc:Fallback>
            <w:pict>
              <v:group style="position:absolute;margin-left:297.559998pt;margin-top:74.112892pt;width:184.25pt;height:36.4pt;mso-position-horizontal-relative:page;mso-position-vertical-relative:paragraph;z-index:-29016064" id="docshapegroup182" coordorigin="5951,1482" coordsize="3685,728">
                <v:shape style="position:absolute;left:5966;top:1497;width:3655;height:698" id="docshape183" coordorigin="5966,1497" coordsize="3655,698" path="m9504,1497l6082,1497,6037,1506,6000,1531,5975,1568,5966,1613,5966,2079,5975,2124,6000,2161,6037,2186,6082,2195,9504,2195,9550,2186,9587,2161,9612,2124,9621,2079,9621,1613,9612,1568,9587,1531,9550,1506,9504,1497xe" filled="true" fillcolor="#dce6f1" stroked="false">
                  <v:path arrowok="t"/>
                  <v:fill type="solid"/>
                </v:shape>
                <v:shape style="position:absolute;left:5966;top:1497;width:3655;height:698" id="docshape184" coordorigin="5966,1497" coordsize="3655,698" path="m5966,1613l5975,1568,6000,1531,6037,1506,6082,1497,9504,1497,9550,1506,9587,1531,9612,1568,9621,1613,9621,2079,9612,2124,9587,2161,9550,2186,9504,2195,6082,2195,6037,2186,6000,2161,5975,2124,5966,2079,5966,1613xe" filled="false" stroked="true" strokeweight="1.5pt" strokecolor="#5e89b4">
                  <v:path arrowok="t"/>
                  <v:stroke dashstyle="shortdash"/>
                </v:shape>
                <v:shape style="position:absolute;left:5985;top:1521;width:3616;height:649" type="#_x0000_t202" id="docshape185" filled="false" stroked="false">
                  <v:textbox inset="0,0,0,0">
                    <w:txbxContent>
                      <w:p>
                        <w:pPr>
                          <w:spacing w:line="240" w:lineRule="auto" w:before="9"/>
                          <w:rPr>
                            <w:sz w:val="18"/>
                          </w:rPr>
                        </w:pPr>
                      </w:p>
                      <w:p>
                        <w:pPr>
                          <w:spacing w:before="0"/>
                          <w:ind w:left="174" w:right="0" w:firstLine="0"/>
                          <w:jc w:val="left"/>
                          <w:rPr>
                            <w:rFonts w:ascii="Arial Narrow" w:hAnsi="Arial Narrow"/>
                            <w:b/>
                            <w:sz w:val="18"/>
                          </w:rPr>
                        </w:pPr>
                        <w:r>
                          <w:rPr>
                            <w:rFonts w:ascii="Arial Narrow" w:hAnsi="Arial Narrow"/>
                            <w:b/>
                            <w:color w:val="001F5F"/>
                            <w:sz w:val="18"/>
                          </w:rPr>
                          <w:t>Identificación</w:t>
                        </w:r>
                        <w:r>
                          <w:rPr>
                            <w:rFonts w:ascii="Arial Narrow" w:hAnsi="Arial Narrow"/>
                            <w:b/>
                            <w:color w:val="001F5F"/>
                            <w:spacing w:val="-4"/>
                            <w:sz w:val="18"/>
                          </w:rPr>
                          <w:t> </w:t>
                        </w:r>
                        <w:r>
                          <w:rPr>
                            <w:rFonts w:ascii="Arial Narrow" w:hAnsi="Arial Narrow"/>
                            <w:b/>
                            <w:color w:val="001F5F"/>
                            <w:sz w:val="18"/>
                          </w:rPr>
                          <w:t>del</w:t>
                        </w:r>
                        <w:r>
                          <w:rPr>
                            <w:rFonts w:ascii="Arial Narrow" w:hAnsi="Arial Narrow"/>
                            <w:b/>
                            <w:color w:val="001F5F"/>
                            <w:spacing w:val="-2"/>
                            <w:sz w:val="18"/>
                          </w:rPr>
                          <w:t> </w:t>
                        </w:r>
                        <w:r>
                          <w:rPr>
                            <w:rFonts w:ascii="Arial Narrow" w:hAnsi="Arial Narrow"/>
                            <w:b/>
                            <w:color w:val="001F5F"/>
                            <w:sz w:val="18"/>
                          </w:rPr>
                          <w:t>preceptor</w:t>
                        </w:r>
                        <w:r>
                          <w:rPr>
                            <w:rFonts w:ascii="Arial Narrow" w:hAnsi="Arial Narrow"/>
                            <w:b/>
                            <w:color w:val="001F5F"/>
                            <w:spacing w:val="-4"/>
                            <w:sz w:val="18"/>
                          </w:rPr>
                          <w:t> </w:t>
                        </w:r>
                        <w:r>
                          <w:rPr>
                            <w:rFonts w:ascii="Arial Narrow" w:hAnsi="Arial Narrow"/>
                            <w:b/>
                            <w:color w:val="001F5F"/>
                            <w:sz w:val="18"/>
                          </w:rPr>
                          <w:t>final</w:t>
                        </w:r>
                        <w:r>
                          <w:rPr>
                            <w:rFonts w:ascii="Arial Narrow" w:hAnsi="Arial Narrow"/>
                            <w:b/>
                            <w:color w:val="001F5F"/>
                            <w:spacing w:val="-4"/>
                            <w:sz w:val="18"/>
                          </w:rPr>
                          <w:t> </w:t>
                        </w:r>
                        <w:r>
                          <w:rPr>
                            <w:rFonts w:ascii="Arial Narrow" w:hAnsi="Arial Narrow"/>
                            <w:b/>
                            <w:color w:val="001F5F"/>
                            <w:sz w:val="18"/>
                          </w:rPr>
                          <w:t>de</w:t>
                        </w:r>
                        <w:r>
                          <w:rPr>
                            <w:rFonts w:ascii="Arial Narrow" w:hAnsi="Arial Narrow"/>
                            <w:b/>
                            <w:color w:val="001F5F"/>
                            <w:spacing w:val="-2"/>
                            <w:sz w:val="18"/>
                          </w:rPr>
                          <w:t> </w:t>
                        </w:r>
                        <w:r>
                          <w:rPr>
                            <w:rFonts w:ascii="Arial Narrow" w:hAnsi="Arial Narrow"/>
                            <w:b/>
                            <w:color w:val="001F5F"/>
                            <w:sz w:val="18"/>
                          </w:rPr>
                          <w:t>los</w:t>
                        </w:r>
                        <w:r>
                          <w:rPr>
                            <w:rFonts w:ascii="Arial Narrow" w:hAnsi="Arial Narrow"/>
                            <w:b/>
                            <w:color w:val="001F5F"/>
                            <w:spacing w:val="-2"/>
                            <w:sz w:val="18"/>
                          </w:rPr>
                          <w:t> fondos</w:t>
                        </w:r>
                      </w:p>
                    </w:txbxContent>
                  </v:textbox>
                  <w10:wrap type="none"/>
                </v:shape>
                <w10:wrap type="none"/>
              </v:group>
            </w:pict>
          </mc:Fallback>
        </mc:AlternateContent>
      </w:r>
      <w:bookmarkStart w:name="_bookmark109" w:id="111"/>
      <w:bookmarkEnd w:id="111"/>
      <w:r>
        <w:rPr>
          <w:b w:val="0"/>
        </w:rPr>
      </w:r>
      <w:r>
        <w:rPr/>
        <w:t>GRÁFICO</w:t>
      </w:r>
      <w:r>
        <w:rPr>
          <w:spacing w:val="-6"/>
        </w:rPr>
        <w:t> </w:t>
      </w:r>
      <w:r>
        <w:rPr/>
        <w:t>7.</w:t>
      </w:r>
      <w:r>
        <w:rPr>
          <w:spacing w:val="-6"/>
        </w:rPr>
        <w:t> </w:t>
      </w:r>
      <w:r>
        <w:rPr/>
        <w:t>PRINCIPIOS</w:t>
      </w:r>
      <w:r>
        <w:rPr>
          <w:spacing w:val="-5"/>
        </w:rPr>
        <w:t> </w:t>
      </w:r>
      <w:r>
        <w:rPr/>
        <w:t>DE</w:t>
      </w:r>
      <w:r>
        <w:rPr>
          <w:spacing w:val="-5"/>
        </w:rPr>
        <w:t> </w:t>
      </w:r>
      <w:r>
        <w:rPr/>
        <w:t>GESTIÓN</w:t>
      </w:r>
      <w:r>
        <w:rPr>
          <w:spacing w:val="-8"/>
        </w:rPr>
        <w:t> </w:t>
      </w:r>
      <w:r>
        <w:rPr/>
        <w:t>DEL</w:t>
      </w:r>
      <w:r>
        <w:rPr>
          <w:spacing w:val="-5"/>
        </w:rPr>
        <w:t> </w:t>
      </w:r>
      <w:r>
        <w:rPr>
          <w:spacing w:val="-4"/>
        </w:rPr>
        <w:t>PRTR</w:t>
      </w:r>
    </w:p>
    <w:p>
      <w:pPr>
        <w:pStyle w:val="BodyText"/>
        <w:spacing w:before="9"/>
        <w:rPr>
          <w:b/>
          <w:sz w:val="18"/>
        </w:rPr>
      </w:pPr>
      <w:r>
        <w:rPr>
          <w:b/>
          <w:sz w:val="18"/>
        </w:rPr>
        <mc:AlternateContent>
          <mc:Choice Requires="wps">
            <w:drawing>
              <wp:anchor distT="0" distB="0" distL="0" distR="0" allowOverlap="1" layoutInCell="1" locked="0" behindDoc="1" simplePos="0" relativeHeight="487621120">
                <wp:simplePos x="0" y="0"/>
                <wp:positionH relativeFrom="page">
                  <wp:posOffset>1250822</wp:posOffset>
                </wp:positionH>
                <wp:positionV relativeFrom="paragraph">
                  <wp:posOffset>152704</wp:posOffset>
                </wp:positionV>
                <wp:extent cx="4867910" cy="1819275"/>
                <wp:effectExtent l="0" t="0" r="0" b="0"/>
                <wp:wrapTopAndBottom/>
                <wp:docPr id="206" name="Group 206"/>
                <wp:cNvGraphicFramePr>
                  <a:graphicFrameLocks/>
                </wp:cNvGraphicFramePr>
                <a:graphic>
                  <a:graphicData uri="http://schemas.microsoft.com/office/word/2010/wordprocessingGroup">
                    <wpg:wgp>
                      <wpg:cNvPr id="206" name="Group 206"/>
                      <wpg:cNvGrpSpPr/>
                      <wpg:grpSpPr>
                        <a:xfrm>
                          <a:off x="0" y="0"/>
                          <a:ext cx="4867910" cy="1819275"/>
                          <a:chExt cx="4867910" cy="1819275"/>
                        </a:xfrm>
                      </wpg:grpSpPr>
                      <pic:pic>
                        <pic:nvPicPr>
                          <pic:cNvPr id="207" name="Image 207"/>
                          <pic:cNvPicPr/>
                        </pic:nvPicPr>
                        <pic:blipFill>
                          <a:blip r:embed="rId57" cstate="print"/>
                          <a:stretch>
                            <a:fillRect/>
                          </a:stretch>
                        </pic:blipFill>
                        <pic:spPr>
                          <a:xfrm>
                            <a:off x="2365324" y="8336"/>
                            <a:ext cx="114909" cy="1810692"/>
                          </a:xfrm>
                          <a:prstGeom prst="rect">
                            <a:avLst/>
                          </a:prstGeom>
                        </pic:spPr>
                      </pic:pic>
                      <wps:wsp>
                        <wps:cNvPr id="208" name="Graphic 208"/>
                        <wps:cNvSpPr/>
                        <wps:spPr>
                          <a:xfrm>
                            <a:off x="2418207" y="19050"/>
                            <a:ext cx="13970" cy="1746885"/>
                          </a:xfrm>
                          <a:custGeom>
                            <a:avLst/>
                            <a:gdLst/>
                            <a:ahLst/>
                            <a:cxnLst/>
                            <a:rect l="l" t="t" r="r" b="b"/>
                            <a:pathLst>
                              <a:path w="13970" h="1746885">
                                <a:moveTo>
                                  <a:pt x="0" y="0"/>
                                </a:moveTo>
                                <a:lnTo>
                                  <a:pt x="13843" y="1746885"/>
                                </a:lnTo>
                              </a:path>
                            </a:pathLst>
                          </a:custGeom>
                          <a:ln w="38100">
                            <a:solidFill>
                              <a:srgbClr val="4F81BC"/>
                            </a:solidFill>
                            <a:prstDash val="solid"/>
                          </a:ln>
                        </wps:spPr>
                        <wps:bodyPr wrap="square" lIns="0" tIns="0" rIns="0" bIns="0" rtlCol="0">
                          <a:prstTxWarp prst="textNoShape">
                            <a:avLst/>
                          </a:prstTxWarp>
                          <a:noAutofit/>
                        </wps:bodyPr>
                      </wps:wsp>
                      <wps:wsp>
                        <wps:cNvPr id="209" name="Graphic 209"/>
                        <wps:cNvSpPr/>
                        <wps:spPr>
                          <a:xfrm>
                            <a:off x="9525" y="90297"/>
                            <a:ext cx="2320925" cy="443230"/>
                          </a:xfrm>
                          <a:custGeom>
                            <a:avLst/>
                            <a:gdLst/>
                            <a:ahLst/>
                            <a:cxnLst/>
                            <a:rect l="l" t="t" r="r" b="b"/>
                            <a:pathLst>
                              <a:path w="2320925" h="443230">
                                <a:moveTo>
                                  <a:pt x="2246884" y="0"/>
                                </a:moveTo>
                                <a:lnTo>
                                  <a:pt x="73914" y="0"/>
                                </a:lnTo>
                                <a:lnTo>
                                  <a:pt x="45112" y="5796"/>
                                </a:lnTo>
                                <a:lnTo>
                                  <a:pt x="21621" y="21605"/>
                                </a:lnTo>
                                <a:lnTo>
                                  <a:pt x="5798" y="45059"/>
                                </a:lnTo>
                                <a:lnTo>
                                  <a:pt x="0" y="73786"/>
                                </a:lnTo>
                                <a:lnTo>
                                  <a:pt x="0" y="369188"/>
                                </a:lnTo>
                                <a:lnTo>
                                  <a:pt x="5798" y="397936"/>
                                </a:lnTo>
                                <a:lnTo>
                                  <a:pt x="21621" y="421433"/>
                                </a:lnTo>
                                <a:lnTo>
                                  <a:pt x="45112" y="437286"/>
                                </a:lnTo>
                                <a:lnTo>
                                  <a:pt x="73914" y="443102"/>
                                </a:lnTo>
                                <a:lnTo>
                                  <a:pt x="2246884" y="443102"/>
                                </a:lnTo>
                                <a:lnTo>
                                  <a:pt x="2275611" y="437286"/>
                                </a:lnTo>
                                <a:lnTo>
                                  <a:pt x="2299065" y="421433"/>
                                </a:lnTo>
                                <a:lnTo>
                                  <a:pt x="2314874" y="397936"/>
                                </a:lnTo>
                                <a:lnTo>
                                  <a:pt x="2320671" y="369188"/>
                                </a:lnTo>
                                <a:lnTo>
                                  <a:pt x="2320671" y="73786"/>
                                </a:lnTo>
                                <a:lnTo>
                                  <a:pt x="2314874" y="45059"/>
                                </a:lnTo>
                                <a:lnTo>
                                  <a:pt x="2299065" y="21605"/>
                                </a:lnTo>
                                <a:lnTo>
                                  <a:pt x="2275611" y="5796"/>
                                </a:lnTo>
                                <a:lnTo>
                                  <a:pt x="2246884" y="0"/>
                                </a:lnTo>
                                <a:close/>
                              </a:path>
                            </a:pathLst>
                          </a:custGeom>
                          <a:solidFill>
                            <a:srgbClr val="DCE6F1"/>
                          </a:solidFill>
                        </wps:spPr>
                        <wps:bodyPr wrap="square" lIns="0" tIns="0" rIns="0" bIns="0" rtlCol="0">
                          <a:prstTxWarp prst="textNoShape">
                            <a:avLst/>
                          </a:prstTxWarp>
                          <a:noAutofit/>
                        </wps:bodyPr>
                      </wps:wsp>
                      <wps:wsp>
                        <wps:cNvPr id="210" name="Graphic 210"/>
                        <wps:cNvSpPr/>
                        <wps:spPr>
                          <a:xfrm>
                            <a:off x="9525" y="90297"/>
                            <a:ext cx="2320925" cy="443230"/>
                          </a:xfrm>
                          <a:custGeom>
                            <a:avLst/>
                            <a:gdLst/>
                            <a:ahLst/>
                            <a:cxnLst/>
                            <a:rect l="l" t="t" r="r" b="b"/>
                            <a:pathLst>
                              <a:path w="2320925" h="443230">
                                <a:moveTo>
                                  <a:pt x="0" y="73786"/>
                                </a:moveTo>
                                <a:lnTo>
                                  <a:pt x="5798" y="45059"/>
                                </a:lnTo>
                                <a:lnTo>
                                  <a:pt x="21621" y="21605"/>
                                </a:lnTo>
                                <a:lnTo>
                                  <a:pt x="45112" y="5796"/>
                                </a:lnTo>
                                <a:lnTo>
                                  <a:pt x="73914" y="0"/>
                                </a:lnTo>
                                <a:lnTo>
                                  <a:pt x="2246884" y="0"/>
                                </a:lnTo>
                                <a:lnTo>
                                  <a:pt x="2275611" y="5796"/>
                                </a:lnTo>
                                <a:lnTo>
                                  <a:pt x="2299065" y="21605"/>
                                </a:lnTo>
                                <a:lnTo>
                                  <a:pt x="2314874" y="45059"/>
                                </a:lnTo>
                                <a:lnTo>
                                  <a:pt x="2320671" y="73786"/>
                                </a:lnTo>
                                <a:lnTo>
                                  <a:pt x="2320671" y="369188"/>
                                </a:lnTo>
                                <a:lnTo>
                                  <a:pt x="2314874" y="397936"/>
                                </a:lnTo>
                                <a:lnTo>
                                  <a:pt x="2299065" y="421433"/>
                                </a:lnTo>
                                <a:lnTo>
                                  <a:pt x="2275611" y="437286"/>
                                </a:lnTo>
                                <a:lnTo>
                                  <a:pt x="2246884" y="443102"/>
                                </a:lnTo>
                                <a:lnTo>
                                  <a:pt x="73914" y="443102"/>
                                </a:lnTo>
                                <a:lnTo>
                                  <a:pt x="45112" y="437286"/>
                                </a:lnTo>
                                <a:lnTo>
                                  <a:pt x="21621" y="421433"/>
                                </a:lnTo>
                                <a:lnTo>
                                  <a:pt x="5798" y="397936"/>
                                </a:lnTo>
                                <a:lnTo>
                                  <a:pt x="0" y="369188"/>
                                </a:lnTo>
                                <a:lnTo>
                                  <a:pt x="0" y="73786"/>
                                </a:lnTo>
                                <a:close/>
                              </a:path>
                            </a:pathLst>
                          </a:custGeom>
                          <a:ln w="19050">
                            <a:solidFill>
                              <a:srgbClr val="5E89B4"/>
                            </a:solidFill>
                            <a:prstDash val="sysDash"/>
                          </a:ln>
                        </wps:spPr>
                        <wps:bodyPr wrap="square" lIns="0" tIns="0" rIns="0" bIns="0" rtlCol="0">
                          <a:prstTxWarp prst="textNoShape">
                            <a:avLst/>
                          </a:prstTxWarp>
                          <a:noAutofit/>
                        </wps:bodyPr>
                      </wps:wsp>
                      <wps:wsp>
                        <wps:cNvPr id="211" name="Graphic 211"/>
                        <wps:cNvSpPr/>
                        <wps:spPr>
                          <a:xfrm>
                            <a:off x="2537714" y="90297"/>
                            <a:ext cx="2320925" cy="443230"/>
                          </a:xfrm>
                          <a:custGeom>
                            <a:avLst/>
                            <a:gdLst/>
                            <a:ahLst/>
                            <a:cxnLst/>
                            <a:rect l="l" t="t" r="r" b="b"/>
                            <a:pathLst>
                              <a:path w="2320925" h="443230">
                                <a:moveTo>
                                  <a:pt x="2246757" y="0"/>
                                </a:moveTo>
                                <a:lnTo>
                                  <a:pt x="73787" y="0"/>
                                </a:lnTo>
                                <a:lnTo>
                                  <a:pt x="45059" y="5796"/>
                                </a:lnTo>
                                <a:lnTo>
                                  <a:pt x="21605" y="21605"/>
                                </a:lnTo>
                                <a:lnTo>
                                  <a:pt x="5796" y="45059"/>
                                </a:lnTo>
                                <a:lnTo>
                                  <a:pt x="0" y="73786"/>
                                </a:lnTo>
                                <a:lnTo>
                                  <a:pt x="0" y="369188"/>
                                </a:lnTo>
                                <a:lnTo>
                                  <a:pt x="5796" y="397936"/>
                                </a:lnTo>
                                <a:lnTo>
                                  <a:pt x="21605" y="421433"/>
                                </a:lnTo>
                                <a:lnTo>
                                  <a:pt x="45059" y="437286"/>
                                </a:lnTo>
                                <a:lnTo>
                                  <a:pt x="73787" y="443102"/>
                                </a:lnTo>
                                <a:lnTo>
                                  <a:pt x="2246757" y="443102"/>
                                </a:lnTo>
                                <a:lnTo>
                                  <a:pt x="2275558" y="437286"/>
                                </a:lnTo>
                                <a:lnTo>
                                  <a:pt x="2299049" y="421433"/>
                                </a:lnTo>
                                <a:lnTo>
                                  <a:pt x="2314872" y="397936"/>
                                </a:lnTo>
                                <a:lnTo>
                                  <a:pt x="2320671" y="369188"/>
                                </a:lnTo>
                                <a:lnTo>
                                  <a:pt x="2320671" y="73786"/>
                                </a:lnTo>
                                <a:lnTo>
                                  <a:pt x="2314872" y="45059"/>
                                </a:lnTo>
                                <a:lnTo>
                                  <a:pt x="2299049" y="21605"/>
                                </a:lnTo>
                                <a:lnTo>
                                  <a:pt x="2275558" y="5796"/>
                                </a:lnTo>
                                <a:lnTo>
                                  <a:pt x="2246757" y="0"/>
                                </a:lnTo>
                                <a:close/>
                              </a:path>
                            </a:pathLst>
                          </a:custGeom>
                          <a:solidFill>
                            <a:srgbClr val="DCE6F1"/>
                          </a:solidFill>
                        </wps:spPr>
                        <wps:bodyPr wrap="square" lIns="0" tIns="0" rIns="0" bIns="0" rtlCol="0">
                          <a:prstTxWarp prst="textNoShape">
                            <a:avLst/>
                          </a:prstTxWarp>
                          <a:noAutofit/>
                        </wps:bodyPr>
                      </wps:wsp>
                      <wps:wsp>
                        <wps:cNvPr id="212" name="Graphic 212"/>
                        <wps:cNvSpPr/>
                        <wps:spPr>
                          <a:xfrm>
                            <a:off x="2537714" y="90297"/>
                            <a:ext cx="2320925" cy="443230"/>
                          </a:xfrm>
                          <a:custGeom>
                            <a:avLst/>
                            <a:gdLst/>
                            <a:ahLst/>
                            <a:cxnLst/>
                            <a:rect l="l" t="t" r="r" b="b"/>
                            <a:pathLst>
                              <a:path w="2320925" h="443230">
                                <a:moveTo>
                                  <a:pt x="0" y="73786"/>
                                </a:moveTo>
                                <a:lnTo>
                                  <a:pt x="5796" y="45059"/>
                                </a:lnTo>
                                <a:lnTo>
                                  <a:pt x="21605" y="21605"/>
                                </a:lnTo>
                                <a:lnTo>
                                  <a:pt x="45059" y="5796"/>
                                </a:lnTo>
                                <a:lnTo>
                                  <a:pt x="73787" y="0"/>
                                </a:lnTo>
                                <a:lnTo>
                                  <a:pt x="2246757" y="0"/>
                                </a:lnTo>
                                <a:lnTo>
                                  <a:pt x="2275558" y="5796"/>
                                </a:lnTo>
                                <a:lnTo>
                                  <a:pt x="2299049" y="21605"/>
                                </a:lnTo>
                                <a:lnTo>
                                  <a:pt x="2314872" y="45059"/>
                                </a:lnTo>
                                <a:lnTo>
                                  <a:pt x="2320671" y="73786"/>
                                </a:lnTo>
                                <a:lnTo>
                                  <a:pt x="2320671" y="369188"/>
                                </a:lnTo>
                                <a:lnTo>
                                  <a:pt x="2314872" y="397936"/>
                                </a:lnTo>
                                <a:lnTo>
                                  <a:pt x="2299049" y="421433"/>
                                </a:lnTo>
                                <a:lnTo>
                                  <a:pt x="2275558" y="437286"/>
                                </a:lnTo>
                                <a:lnTo>
                                  <a:pt x="2246757" y="443102"/>
                                </a:lnTo>
                                <a:lnTo>
                                  <a:pt x="73787" y="443102"/>
                                </a:lnTo>
                                <a:lnTo>
                                  <a:pt x="45059" y="437286"/>
                                </a:lnTo>
                                <a:lnTo>
                                  <a:pt x="21605" y="421433"/>
                                </a:lnTo>
                                <a:lnTo>
                                  <a:pt x="5796" y="397936"/>
                                </a:lnTo>
                                <a:lnTo>
                                  <a:pt x="0" y="369188"/>
                                </a:lnTo>
                                <a:lnTo>
                                  <a:pt x="0" y="73786"/>
                                </a:lnTo>
                                <a:close/>
                              </a:path>
                            </a:pathLst>
                          </a:custGeom>
                          <a:ln w="19050">
                            <a:solidFill>
                              <a:srgbClr val="5E89B4"/>
                            </a:solidFill>
                            <a:prstDash val="sysDash"/>
                          </a:ln>
                        </wps:spPr>
                        <wps:bodyPr wrap="square" lIns="0" tIns="0" rIns="0" bIns="0" rtlCol="0">
                          <a:prstTxWarp prst="textNoShape">
                            <a:avLst/>
                          </a:prstTxWarp>
                          <a:noAutofit/>
                        </wps:bodyPr>
                      </wps:wsp>
                      <wps:wsp>
                        <wps:cNvPr id="213" name="Graphic 213"/>
                        <wps:cNvSpPr/>
                        <wps:spPr>
                          <a:xfrm>
                            <a:off x="9525" y="637412"/>
                            <a:ext cx="2320925" cy="443230"/>
                          </a:xfrm>
                          <a:custGeom>
                            <a:avLst/>
                            <a:gdLst/>
                            <a:ahLst/>
                            <a:cxnLst/>
                            <a:rect l="l" t="t" r="r" b="b"/>
                            <a:pathLst>
                              <a:path w="2320925" h="443230">
                                <a:moveTo>
                                  <a:pt x="2246884" y="0"/>
                                </a:moveTo>
                                <a:lnTo>
                                  <a:pt x="73914" y="0"/>
                                </a:lnTo>
                                <a:lnTo>
                                  <a:pt x="45112" y="5796"/>
                                </a:lnTo>
                                <a:lnTo>
                                  <a:pt x="21621" y="21605"/>
                                </a:lnTo>
                                <a:lnTo>
                                  <a:pt x="5798" y="45059"/>
                                </a:lnTo>
                                <a:lnTo>
                                  <a:pt x="0" y="73787"/>
                                </a:lnTo>
                                <a:lnTo>
                                  <a:pt x="0" y="369189"/>
                                </a:lnTo>
                                <a:lnTo>
                                  <a:pt x="5798" y="397916"/>
                                </a:lnTo>
                                <a:lnTo>
                                  <a:pt x="21621" y="421370"/>
                                </a:lnTo>
                                <a:lnTo>
                                  <a:pt x="45112" y="437179"/>
                                </a:lnTo>
                                <a:lnTo>
                                  <a:pt x="73914" y="442976"/>
                                </a:lnTo>
                                <a:lnTo>
                                  <a:pt x="2246884" y="442976"/>
                                </a:lnTo>
                                <a:lnTo>
                                  <a:pt x="2275611" y="437179"/>
                                </a:lnTo>
                                <a:lnTo>
                                  <a:pt x="2299065" y="421370"/>
                                </a:lnTo>
                                <a:lnTo>
                                  <a:pt x="2314874" y="397916"/>
                                </a:lnTo>
                                <a:lnTo>
                                  <a:pt x="2320671" y="369189"/>
                                </a:lnTo>
                                <a:lnTo>
                                  <a:pt x="2320671" y="73787"/>
                                </a:lnTo>
                                <a:lnTo>
                                  <a:pt x="2314874" y="45059"/>
                                </a:lnTo>
                                <a:lnTo>
                                  <a:pt x="2299065" y="21605"/>
                                </a:lnTo>
                                <a:lnTo>
                                  <a:pt x="2275611" y="5796"/>
                                </a:lnTo>
                                <a:lnTo>
                                  <a:pt x="2246884" y="0"/>
                                </a:lnTo>
                                <a:close/>
                              </a:path>
                            </a:pathLst>
                          </a:custGeom>
                          <a:solidFill>
                            <a:srgbClr val="DCE6F1"/>
                          </a:solidFill>
                        </wps:spPr>
                        <wps:bodyPr wrap="square" lIns="0" tIns="0" rIns="0" bIns="0" rtlCol="0">
                          <a:prstTxWarp prst="textNoShape">
                            <a:avLst/>
                          </a:prstTxWarp>
                          <a:noAutofit/>
                        </wps:bodyPr>
                      </wps:wsp>
                      <wps:wsp>
                        <wps:cNvPr id="214" name="Graphic 214"/>
                        <wps:cNvSpPr/>
                        <wps:spPr>
                          <a:xfrm>
                            <a:off x="9525" y="637412"/>
                            <a:ext cx="2320925" cy="443230"/>
                          </a:xfrm>
                          <a:custGeom>
                            <a:avLst/>
                            <a:gdLst/>
                            <a:ahLst/>
                            <a:cxnLst/>
                            <a:rect l="l" t="t" r="r" b="b"/>
                            <a:pathLst>
                              <a:path w="2320925" h="443230">
                                <a:moveTo>
                                  <a:pt x="0" y="73787"/>
                                </a:moveTo>
                                <a:lnTo>
                                  <a:pt x="5798" y="45059"/>
                                </a:lnTo>
                                <a:lnTo>
                                  <a:pt x="21621" y="21605"/>
                                </a:lnTo>
                                <a:lnTo>
                                  <a:pt x="45112" y="5796"/>
                                </a:lnTo>
                                <a:lnTo>
                                  <a:pt x="73914" y="0"/>
                                </a:lnTo>
                                <a:lnTo>
                                  <a:pt x="2246884" y="0"/>
                                </a:lnTo>
                                <a:lnTo>
                                  <a:pt x="2275611" y="5796"/>
                                </a:lnTo>
                                <a:lnTo>
                                  <a:pt x="2299065" y="21605"/>
                                </a:lnTo>
                                <a:lnTo>
                                  <a:pt x="2314874" y="45059"/>
                                </a:lnTo>
                                <a:lnTo>
                                  <a:pt x="2320671" y="73787"/>
                                </a:lnTo>
                                <a:lnTo>
                                  <a:pt x="2320671" y="369189"/>
                                </a:lnTo>
                                <a:lnTo>
                                  <a:pt x="2314874" y="397916"/>
                                </a:lnTo>
                                <a:lnTo>
                                  <a:pt x="2299065" y="421370"/>
                                </a:lnTo>
                                <a:lnTo>
                                  <a:pt x="2275611" y="437179"/>
                                </a:lnTo>
                                <a:lnTo>
                                  <a:pt x="2246884" y="442976"/>
                                </a:lnTo>
                                <a:lnTo>
                                  <a:pt x="73914" y="442976"/>
                                </a:lnTo>
                                <a:lnTo>
                                  <a:pt x="45112" y="437179"/>
                                </a:lnTo>
                                <a:lnTo>
                                  <a:pt x="21621" y="421370"/>
                                </a:lnTo>
                                <a:lnTo>
                                  <a:pt x="5798" y="397916"/>
                                </a:lnTo>
                                <a:lnTo>
                                  <a:pt x="0" y="369189"/>
                                </a:lnTo>
                                <a:lnTo>
                                  <a:pt x="0" y="73787"/>
                                </a:lnTo>
                                <a:close/>
                              </a:path>
                            </a:pathLst>
                          </a:custGeom>
                          <a:ln w="19050">
                            <a:solidFill>
                              <a:srgbClr val="5E89B4"/>
                            </a:solidFill>
                            <a:prstDash val="sysDash"/>
                          </a:ln>
                        </wps:spPr>
                        <wps:bodyPr wrap="square" lIns="0" tIns="0" rIns="0" bIns="0" rtlCol="0">
                          <a:prstTxWarp prst="textNoShape">
                            <a:avLst/>
                          </a:prstTxWarp>
                          <a:noAutofit/>
                        </wps:bodyPr>
                      </wps:wsp>
                      <wps:wsp>
                        <wps:cNvPr id="215" name="Graphic 215"/>
                        <wps:cNvSpPr/>
                        <wps:spPr>
                          <a:xfrm>
                            <a:off x="9525" y="1184402"/>
                            <a:ext cx="2320925" cy="581660"/>
                          </a:xfrm>
                          <a:custGeom>
                            <a:avLst/>
                            <a:gdLst/>
                            <a:ahLst/>
                            <a:cxnLst/>
                            <a:rect l="l" t="t" r="r" b="b"/>
                            <a:pathLst>
                              <a:path w="2320925" h="581660">
                                <a:moveTo>
                                  <a:pt x="2223769" y="0"/>
                                </a:moveTo>
                                <a:lnTo>
                                  <a:pt x="96901" y="0"/>
                                </a:lnTo>
                                <a:lnTo>
                                  <a:pt x="59203" y="7621"/>
                                </a:lnTo>
                                <a:lnTo>
                                  <a:pt x="28400" y="28400"/>
                                </a:lnTo>
                                <a:lnTo>
                                  <a:pt x="7621" y="59203"/>
                                </a:lnTo>
                                <a:lnTo>
                                  <a:pt x="0" y="96900"/>
                                </a:lnTo>
                                <a:lnTo>
                                  <a:pt x="0" y="484631"/>
                                </a:lnTo>
                                <a:lnTo>
                                  <a:pt x="7621" y="522329"/>
                                </a:lnTo>
                                <a:lnTo>
                                  <a:pt x="28400" y="553132"/>
                                </a:lnTo>
                                <a:lnTo>
                                  <a:pt x="59203" y="573911"/>
                                </a:lnTo>
                                <a:lnTo>
                                  <a:pt x="96901" y="581533"/>
                                </a:lnTo>
                                <a:lnTo>
                                  <a:pt x="2223769" y="581533"/>
                                </a:lnTo>
                                <a:lnTo>
                                  <a:pt x="2261467" y="573911"/>
                                </a:lnTo>
                                <a:lnTo>
                                  <a:pt x="2292270" y="553132"/>
                                </a:lnTo>
                                <a:lnTo>
                                  <a:pt x="2313049" y="522329"/>
                                </a:lnTo>
                                <a:lnTo>
                                  <a:pt x="2320671" y="484631"/>
                                </a:lnTo>
                                <a:lnTo>
                                  <a:pt x="2320671" y="96900"/>
                                </a:lnTo>
                                <a:lnTo>
                                  <a:pt x="2313049" y="59203"/>
                                </a:lnTo>
                                <a:lnTo>
                                  <a:pt x="2292270" y="28400"/>
                                </a:lnTo>
                                <a:lnTo>
                                  <a:pt x="2261467" y="7621"/>
                                </a:lnTo>
                                <a:lnTo>
                                  <a:pt x="2223769" y="0"/>
                                </a:lnTo>
                                <a:close/>
                              </a:path>
                            </a:pathLst>
                          </a:custGeom>
                          <a:solidFill>
                            <a:srgbClr val="DCE6F1"/>
                          </a:solidFill>
                        </wps:spPr>
                        <wps:bodyPr wrap="square" lIns="0" tIns="0" rIns="0" bIns="0" rtlCol="0">
                          <a:prstTxWarp prst="textNoShape">
                            <a:avLst/>
                          </a:prstTxWarp>
                          <a:noAutofit/>
                        </wps:bodyPr>
                      </wps:wsp>
                      <wps:wsp>
                        <wps:cNvPr id="216" name="Graphic 216"/>
                        <wps:cNvSpPr/>
                        <wps:spPr>
                          <a:xfrm>
                            <a:off x="9525" y="1184402"/>
                            <a:ext cx="2320925" cy="581660"/>
                          </a:xfrm>
                          <a:custGeom>
                            <a:avLst/>
                            <a:gdLst/>
                            <a:ahLst/>
                            <a:cxnLst/>
                            <a:rect l="l" t="t" r="r" b="b"/>
                            <a:pathLst>
                              <a:path w="2320925" h="581660">
                                <a:moveTo>
                                  <a:pt x="0" y="96900"/>
                                </a:moveTo>
                                <a:lnTo>
                                  <a:pt x="7621" y="59203"/>
                                </a:lnTo>
                                <a:lnTo>
                                  <a:pt x="28400" y="28400"/>
                                </a:lnTo>
                                <a:lnTo>
                                  <a:pt x="59203" y="7621"/>
                                </a:lnTo>
                                <a:lnTo>
                                  <a:pt x="96901" y="0"/>
                                </a:lnTo>
                                <a:lnTo>
                                  <a:pt x="2223769" y="0"/>
                                </a:lnTo>
                                <a:lnTo>
                                  <a:pt x="2261467" y="7621"/>
                                </a:lnTo>
                                <a:lnTo>
                                  <a:pt x="2292270" y="28400"/>
                                </a:lnTo>
                                <a:lnTo>
                                  <a:pt x="2313049" y="59203"/>
                                </a:lnTo>
                                <a:lnTo>
                                  <a:pt x="2320671" y="96900"/>
                                </a:lnTo>
                                <a:lnTo>
                                  <a:pt x="2320671" y="484631"/>
                                </a:lnTo>
                                <a:lnTo>
                                  <a:pt x="2313049" y="522329"/>
                                </a:lnTo>
                                <a:lnTo>
                                  <a:pt x="2292270" y="553132"/>
                                </a:lnTo>
                                <a:lnTo>
                                  <a:pt x="2261467" y="573911"/>
                                </a:lnTo>
                                <a:lnTo>
                                  <a:pt x="2223769" y="581533"/>
                                </a:lnTo>
                                <a:lnTo>
                                  <a:pt x="96901" y="581533"/>
                                </a:lnTo>
                                <a:lnTo>
                                  <a:pt x="59203" y="573911"/>
                                </a:lnTo>
                                <a:lnTo>
                                  <a:pt x="28400" y="553132"/>
                                </a:lnTo>
                                <a:lnTo>
                                  <a:pt x="7621" y="522329"/>
                                </a:lnTo>
                                <a:lnTo>
                                  <a:pt x="0" y="484631"/>
                                </a:lnTo>
                                <a:lnTo>
                                  <a:pt x="0" y="96900"/>
                                </a:lnTo>
                                <a:close/>
                              </a:path>
                            </a:pathLst>
                          </a:custGeom>
                          <a:ln w="19050">
                            <a:solidFill>
                              <a:srgbClr val="5E89B4"/>
                            </a:solidFill>
                            <a:prstDash val="sysDash"/>
                          </a:ln>
                        </wps:spPr>
                        <wps:bodyPr wrap="square" lIns="0" tIns="0" rIns="0" bIns="0" rtlCol="0">
                          <a:prstTxWarp prst="textNoShape">
                            <a:avLst/>
                          </a:prstTxWarp>
                          <a:noAutofit/>
                        </wps:bodyPr>
                      </wps:wsp>
                      <wps:wsp>
                        <wps:cNvPr id="217" name="Textbox 217"/>
                        <wps:cNvSpPr txBox="1"/>
                        <wps:spPr>
                          <a:xfrm>
                            <a:off x="0" y="0"/>
                            <a:ext cx="4867910" cy="1819275"/>
                          </a:xfrm>
                          <a:prstGeom prst="rect">
                            <a:avLst/>
                          </a:prstGeom>
                        </wps:spPr>
                        <wps:txbx>
                          <w:txbxContent>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135"/>
                                <w:rPr>
                                  <w:b/>
                                  <w:sz w:val="18"/>
                                </w:rPr>
                              </w:pPr>
                            </w:p>
                            <w:p>
                              <w:pPr>
                                <w:spacing w:line="256" w:lineRule="auto" w:before="0"/>
                                <w:ind w:left="219" w:right="4197" w:firstLine="0"/>
                                <w:jc w:val="both"/>
                                <w:rPr>
                                  <w:rFonts w:ascii="Arial Narrow" w:hAnsi="Arial Narrow"/>
                                  <w:b/>
                                  <w:sz w:val="18"/>
                                </w:rPr>
                              </w:pPr>
                              <w:r>
                                <w:rPr>
                                  <w:rFonts w:ascii="Arial Narrow" w:hAnsi="Arial Narrow"/>
                                  <w:b/>
                                  <w:color w:val="001F5F"/>
                                  <w:sz w:val="18"/>
                                </w:rPr>
                                <w:t>Refuerzo de mecanismos para la prevención, detección y corrección del fraude, la corrupción y los conflictos de intereses</w:t>
                              </w:r>
                            </w:p>
                          </w:txbxContent>
                        </wps:txbx>
                        <wps:bodyPr wrap="square" lIns="0" tIns="0" rIns="0" bIns="0" rtlCol="0">
                          <a:noAutofit/>
                        </wps:bodyPr>
                      </wps:wsp>
                      <wps:wsp>
                        <wps:cNvPr id="218" name="Textbox 218"/>
                        <wps:cNvSpPr txBox="1"/>
                        <wps:spPr>
                          <a:xfrm>
                            <a:off x="21949" y="652978"/>
                            <a:ext cx="2296160" cy="412115"/>
                          </a:xfrm>
                          <a:prstGeom prst="rect">
                            <a:avLst/>
                          </a:prstGeom>
                        </wps:spPr>
                        <wps:txbx>
                          <w:txbxContent>
                            <w:p>
                              <w:pPr>
                                <w:spacing w:line="259" w:lineRule="auto" w:before="96"/>
                                <w:ind w:left="172" w:right="0" w:firstLine="0"/>
                                <w:jc w:val="left"/>
                                <w:rPr>
                                  <w:rFonts w:ascii="Arial Narrow"/>
                                  <w:b/>
                                  <w:sz w:val="18"/>
                                </w:rPr>
                              </w:pPr>
                              <w:r>
                                <w:rPr>
                                  <w:rFonts w:ascii="Arial Narrow"/>
                                  <w:b/>
                                  <w:color w:val="001F5F"/>
                                  <w:sz w:val="18"/>
                                </w:rPr>
                                <w:t>Riesgo</w:t>
                              </w:r>
                              <w:r>
                                <w:rPr>
                                  <w:rFonts w:ascii="Arial Narrow"/>
                                  <w:b/>
                                  <w:color w:val="001F5F"/>
                                  <w:spacing w:val="40"/>
                                  <w:sz w:val="18"/>
                                </w:rPr>
                                <w:t> </w:t>
                              </w:r>
                              <w:r>
                                <w:rPr>
                                  <w:rFonts w:ascii="Arial Narrow"/>
                                  <w:b/>
                                  <w:color w:val="001F5F"/>
                                  <w:sz w:val="18"/>
                                </w:rPr>
                                <w:t>de</w:t>
                              </w:r>
                              <w:r>
                                <w:rPr>
                                  <w:rFonts w:ascii="Arial Narrow"/>
                                  <w:b/>
                                  <w:color w:val="001F5F"/>
                                  <w:spacing w:val="40"/>
                                  <w:sz w:val="18"/>
                                </w:rPr>
                                <w:t> </w:t>
                              </w:r>
                              <w:r>
                                <w:rPr>
                                  <w:rFonts w:ascii="Arial Narrow"/>
                                  <w:b/>
                                  <w:color w:val="001F5F"/>
                                  <w:sz w:val="18"/>
                                </w:rPr>
                                <w:t>impactos</w:t>
                              </w:r>
                              <w:r>
                                <w:rPr>
                                  <w:rFonts w:ascii="Arial Narrow"/>
                                  <w:b/>
                                  <w:color w:val="001F5F"/>
                                  <w:spacing w:val="40"/>
                                  <w:sz w:val="18"/>
                                </w:rPr>
                                <w:t> </w:t>
                              </w:r>
                              <w:r>
                                <w:rPr>
                                  <w:rFonts w:ascii="Arial Narrow"/>
                                  <w:b/>
                                  <w:color w:val="001F5F"/>
                                  <w:sz w:val="18"/>
                                </w:rPr>
                                <w:t>negativos</w:t>
                              </w:r>
                              <w:r>
                                <w:rPr>
                                  <w:rFonts w:ascii="Arial Narrow"/>
                                  <w:b/>
                                  <w:color w:val="001F5F"/>
                                  <w:spacing w:val="40"/>
                                  <w:sz w:val="18"/>
                                </w:rPr>
                                <w:t> </w:t>
                              </w:r>
                              <w:r>
                                <w:rPr>
                                  <w:rFonts w:ascii="Arial Narrow"/>
                                  <w:b/>
                                  <w:color w:val="001F5F"/>
                                  <w:sz w:val="18"/>
                                </w:rPr>
                                <w:t>en</w:t>
                              </w:r>
                              <w:r>
                                <w:rPr>
                                  <w:rFonts w:ascii="Arial Narrow"/>
                                  <w:b/>
                                  <w:color w:val="001F5F"/>
                                  <w:spacing w:val="40"/>
                                  <w:sz w:val="18"/>
                                </w:rPr>
                                <w:t> </w:t>
                              </w:r>
                              <w:r>
                                <w:rPr>
                                  <w:rFonts w:ascii="Arial Narrow"/>
                                  <w:b/>
                                  <w:color w:val="001F5F"/>
                                  <w:sz w:val="18"/>
                                </w:rPr>
                                <w:t>el</w:t>
                              </w:r>
                              <w:r>
                                <w:rPr>
                                  <w:rFonts w:ascii="Arial Narrow"/>
                                  <w:b/>
                                  <w:color w:val="001F5F"/>
                                  <w:spacing w:val="40"/>
                                  <w:sz w:val="18"/>
                                </w:rPr>
                                <w:t> </w:t>
                              </w:r>
                              <w:r>
                                <w:rPr>
                                  <w:rFonts w:ascii="Arial Narrow"/>
                                  <w:b/>
                                  <w:color w:val="001F5F"/>
                                  <w:sz w:val="18"/>
                                </w:rPr>
                                <w:t>medio </w:t>
                              </w:r>
                              <w:r>
                                <w:rPr>
                                  <w:rFonts w:ascii="Arial Narrow"/>
                                  <w:b/>
                                  <w:color w:val="001F5F"/>
                                  <w:spacing w:val="-2"/>
                                  <w:sz w:val="18"/>
                                </w:rPr>
                                <w:t>ambiente</w:t>
                              </w:r>
                            </w:p>
                          </w:txbxContent>
                        </wps:txbx>
                        <wps:bodyPr wrap="square" lIns="0" tIns="0" rIns="0" bIns="0" rtlCol="0">
                          <a:noAutofit/>
                        </wps:bodyPr>
                      </wps:wsp>
                      <wps:wsp>
                        <wps:cNvPr id="219" name="Textbox 219"/>
                        <wps:cNvSpPr txBox="1"/>
                        <wps:spPr>
                          <a:xfrm>
                            <a:off x="2550137" y="105862"/>
                            <a:ext cx="2296160" cy="412115"/>
                          </a:xfrm>
                          <a:prstGeom prst="rect">
                            <a:avLst/>
                          </a:prstGeom>
                        </wps:spPr>
                        <wps:txbx>
                          <w:txbxContent>
                            <w:p>
                              <w:pPr>
                                <w:spacing w:line="261" w:lineRule="auto" w:before="96"/>
                                <w:ind w:left="174" w:right="0" w:firstLine="0"/>
                                <w:jc w:val="left"/>
                                <w:rPr>
                                  <w:rFonts w:ascii="Arial Narrow" w:hAnsi="Arial Narrow"/>
                                  <w:b/>
                                  <w:sz w:val="18"/>
                                </w:rPr>
                              </w:pPr>
                              <w:r>
                                <w:rPr>
                                  <w:rFonts w:ascii="Arial Narrow" w:hAnsi="Arial Narrow"/>
                                  <w:b/>
                                  <w:color w:val="001F5F"/>
                                  <w:sz w:val="18"/>
                                </w:rPr>
                                <w:t>Compatibilidad</w:t>
                              </w:r>
                              <w:r>
                                <w:rPr>
                                  <w:rFonts w:ascii="Arial Narrow" w:hAnsi="Arial Narrow"/>
                                  <w:b/>
                                  <w:color w:val="001F5F"/>
                                  <w:spacing w:val="-7"/>
                                  <w:sz w:val="18"/>
                                </w:rPr>
                                <w:t> </w:t>
                              </w:r>
                              <w:r>
                                <w:rPr>
                                  <w:rFonts w:ascii="Arial Narrow" w:hAnsi="Arial Narrow"/>
                                  <w:b/>
                                  <w:color w:val="001F5F"/>
                                  <w:sz w:val="18"/>
                                </w:rPr>
                                <w:t>del</w:t>
                              </w:r>
                              <w:r>
                                <w:rPr>
                                  <w:rFonts w:ascii="Arial Narrow" w:hAnsi="Arial Narrow"/>
                                  <w:b/>
                                  <w:color w:val="001F5F"/>
                                  <w:spacing w:val="-8"/>
                                  <w:sz w:val="18"/>
                                </w:rPr>
                                <w:t> </w:t>
                              </w:r>
                              <w:r>
                                <w:rPr>
                                  <w:rFonts w:ascii="Arial Narrow" w:hAnsi="Arial Narrow"/>
                                  <w:b/>
                                  <w:color w:val="001F5F"/>
                                  <w:sz w:val="18"/>
                                </w:rPr>
                                <w:t>régimen</w:t>
                              </w:r>
                              <w:r>
                                <w:rPr>
                                  <w:rFonts w:ascii="Arial Narrow" w:hAnsi="Arial Narrow"/>
                                  <w:b/>
                                  <w:color w:val="001F5F"/>
                                  <w:spacing w:val="-10"/>
                                  <w:sz w:val="18"/>
                                </w:rPr>
                                <w:t> </w:t>
                              </w:r>
                              <w:r>
                                <w:rPr>
                                  <w:rFonts w:ascii="Arial Narrow" w:hAnsi="Arial Narrow"/>
                                  <w:b/>
                                  <w:color w:val="001F5F"/>
                                  <w:sz w:val="18"/>
                                </w:rPr>
                                <w:t>de</w:t>
                              </w:r>
                              <w:r>
                                <w:rPr>
                                  <w:rFonts w:ascii="Arial Narrow" w:hAnsi="Arial Narrow"/>
                                  <w:b/>
                                  <w:color w:val="001F5F"/>
                                  <w:spacing w:val="-8"/>
                                  <w:sz w:val="18"/>
                                </w:rPr>
                                <w:t> </w:t>
                              </w:r>
                              <w:r>
                                <w:rPr>
                                  <w:rFonts w:ascii="Arial Narrow" w:hAnsi="Arial Narrow"/>
                                  <w:b/>
                                  <w:color w:val="001F5F"/>
                                  <w:sz w:val="18"/>
                                </w:rPr>
                                <w:t>ayudas</w:t>
                              </w:r>
                              <w:r>
                                <w:rPr>
                                  <w:rFonts w:ascii="Arial Narrow" w:hAnsi="Arial Narrow"/>
                                  <w:b/>
                                  <w:color w:val="001F5F"/>
                                  <w:spacing w:val="-8"/>
                                  <w:sz w:val="18"/>
                                </w:rPr>
                                <w:t> </w:t>
                              </w:r>
                              <w:r>
                                <w:rPr>
                                  <w:rFonts w:ascii="Arial Narrow" w:hAnsi="Arial Narrow"/>
                                  <w:b/>
                                  <w:color w:val="001F5F"/>
                                  <w:sz w:val="18"/>
                                </w:rPr>
                                <w:t>y prevención de la doble financiación</w:t>
                              </w:r>
                            </w:p>
                          </w:txbxContent>
                        </wps:txbx>
                        <wps:bodyPr wrap="square" lIns="0" tIns="0" rIns="0" bIns="0" rtlCol="0">
                          <a:noAutofit/>
                        </wps:bodyPr>
                      </wps:wsp>
                      <wps:wsp>
                        <wps:cNvPr id="220" name="Textbox 220"/>
                        <wps:cNvSpPr txBox="1"/>
                        <wps:spPr>
                          <a:xfrm>
                            <a:off x="21949" y="105862"/>
                            <a:ext cx="2296160" cy="412115"/>
                          </a:xfrm>
                          <a:prstGeom prst="rect">
                            <a:avLst/>
                          </a:prstGeom>
                        </wps:spPr>
                        <wps:txbx>
                          <w:txbxContent>
                            <w:p>
                              <w:pPr>
                                <w:spacing w:line="259" w:lineRule="auto" w:before="96"/>
                                <w:ind w:left="172" w:right="0" w:firstLine="0"/>
                                <w:jc w:val="left"/>
                                <w:rPr>
                                  <w:rFonts w:ascii="Arial Narrow" w:hAnsi="Arial Narrow"/>
                                  <w:b/>
                                  <w:sz w:val="18"/>
                                </w:rPr>
                              </w:pPr>
                              <w:r>
                                <w:rPr>
                                  <w:rFonts w:ascii="Arial Narrow" w:hAnsi="Arial Narrow"/>
                                  <w:b/>
                                  <w:color w:val="001F5F"/>
                                  <w:sz w:val="18"/>
                                </w:rPr>
                                <w:t>Seguimiento</w:t>
                              </w:r>
                              <w:r>
                                <w:rPr>
                                  <w:rFonts w:ascii="Arial Narrow" w:hAnsi="Arial Narrow"/>
                                  <w:b/>
                                  <w:color w:val="001F5F"/>
                                  <w:spacing w:val="20"/>
                                  <w:sz w:val="18"/>
                                </w:rPr>
                                <w:t> </w:t>
                              </w:r>
                              <w:r>
                                <w:rPr>
                                  <w:rFonts w:ascii="Arial Narrow" w:hAnsi="Arial Narrow"/>
                                  <w:b/>
                                  <w:color w:val="001F5F"/>
                                  <w:sz w:val="18"/>
                                </w:rPr>
                                <w:t>y</w:t>
                              </w:r>
                              <w:r>
                                <w:rPr>
                                  <w:rFonts w:ascii="Arial Narrow" w:hAnsi="Arial Narrow"/>
                                  <w:b/>
                                  <w:color w:val="001F5F"/>
                                  <w:spacing w:val="19"/>
                                  <w:sz w:val="18"/>
                                </w:rPr>
                                <w:t> </w:t>
                              </w:r>
                              <w:r>
                                <w:rPr>
                                  <w:rFonts w:ascii="Arial Narrow" w:hAnsi="Arial Narrow"/>
                                  <w:b/>
                                  <w:color w:val="001F5F"/>
                                  <w:sz w:val="18"/>
                                </w:rPr>
                                <w:t>acreditación</w:t>
                              </w:r>
                              <w:r>
                                <w:rPr>
                                  <w:rFonts w:ascii="Arial Narrow" w:hAnsi="Arial Narrow"/>
                                  <w:b/>
                                  <w:color w:val="001F5F"/>
                                  <w:spacing w:val="20"/>
                                  <w:sz w:val="18"/>
                                </w:rPr>
                                <w:t> </w:t>
                              </w:r>
                              <w:r>
                                <w:rPr>
                                  <w:rFonts w:ascii="Arial Narrow" w:hAnsi="Arial Narrow"/>
                                  <w:b/>
                                  <w:color w:val="001F5F"/>
                                  <w:sz w:val="18"/>
                                </w:rPr>
                                <w:t>de</w:t>
                              </w:r>
                              <w:r>
                                <w:rPr>
                                  <w:rFonts w:ascii="Arial Narrow" w:hAnsi="Arial Narrow"/>
                                  <w:b/>
                                  <w:color w:val="001F5F"/>
                                  <w:spacing w:val="19"/>
                                  <w:sz w:val="18"/>
                                </w:rPr>
                                <w:t> </w:t>
                              </w:r>
                              <w:r>
                                <w:rPr>
                                  <w:rFonts w:ascii="Arial Narrow" w:hAnsi="Arial Narrow"/>
                                  <w:b/>
                                  <w:color w:val="001F5F"/>
                                  <w:sz w:val="18"/>
                                </w:rPr>
                                <w:t>resultados</w:t>
                              </w:r>
                              <w:r>
                                <w:rPr>
                                  <w:rFonts w:ascii="Arial Narrow" w:hAnsi="Arial Narrow"/>
                                  <w:b/>
                                  <w:color w:val="001F5F"/>
                                  <w:spacing w:val="19"/>
                                  <w:sz w:val="18"/>
                                </w:rPr>
                                <w:t> </w:t>
                              </w:r>
                              <w:r>
                                <w:rPr>
                                  <w:rFonts w:ascii="Arial Narrow" w:hAnsi="Arial Narrow"/>
                                  <w:b/>
                                  <w:color w:val="001F5F"/>
                                  <w:sz w:val="18"/>
                                </w:rPr>
                                <w:t>de hitos y objetivos</w:t>
                              </w:r>
                            </w:p>
                          </w:txbxContent>
                        </wps:txbx>
                        <wps:bodyPr wrap="square" lIns="0" tIns="0" rIns="0" bIns="0" rtlCol="0">
                          <a:noAutofit/>
                        </wps:bodyPr>
                      </wps:wsp>
                    </wpg:wgp>
                  </a:graphicData>
                </a:graphic>
              </wp:anchor>
            </w:drawing>
          </mc:Choice>
          <mc:Fallback>
            <w:pict>
              <v:group style="position:absolute;margin-left:98.489998pt;margin-top:12.023965pt;width:383.3pt;height:143.25pt;mso-position-horizontal-relative:page;mso-position-vertical-relative:paragraph;z-index:-15695360;mso-wrap-distance-left:0;mso-wrap-distance-right:0" id="docshapegroup186" coordorigin="1970,240" coordsize="7666,2865">
                <v:shape style="position:absolute;left:5694;top:253;width:181;height:2852" type="#_x0000_t75" id="docshape187" stroked="false">
                  <v:imagedata r:id="rId57" o:title=""/>
                </v:shape>
                <v:line style="position:absolute" from="5778,270" to="5800,3021" stroked="true" strokeweight="3pt" strokecolor="#4f81bc">
                  <v:stroke dashstyle="solid"/>
                </v:line>
                <v:shape style="position:absolute;left:1984;top:382;width:3655;height:698" id="docshape188" coordorigin="1985,383" coordsize="3655,698" path="m5523,383l2101,383,2056,392,2019,417,1994,454,1985,499,1985,964,1994,1009,2019,1046,2056,1071,2101,1080,5523,1080,5568,1071,5605,1046,5630,1009,5639,964,5639,499,5630,454,5605,417,5568,392,5523,383xe" filled="true" fillcolor="#dce6f1" stroked="false">
                  <v:path arrowok="t"/>
                  <v:fill type="solid"/>
                </v:shape>
                <v:shape style="position:absolute;left:1984;top:382;width:3655;height:698" id="docshape189" coordorigin="1985,383" coordsize="3655,698" path="m1985,499l1994,454,2019,417,2056,392,2101,383,5523,383,5568,392,5605,417,5630,454,5639,499,5639,964,5630,1009,5605,1046,5568,1071,5523,1080,2101,1080,2056,1071,2019,1046,1994,1009,1985,964,1985,499xe" filled="false" stroked="true" strokeweight="1.5pt" strokecolor="#5e89b4">
                  <v:path arrowok="t"/>
                  <v:stroke dashstyle="shortdash"/>
                </v:shape>
                <v:shape style="position:absolute;left:5966;top:382;width:3655;height:698" id="docshape190" coordorigin="5966,383" coordsize="3655,698" path="m9504,383l6082,383,6037,392,6000,417,5975,454,5966,499,5966,964,5975,1009,6000,1046,6037,1071,6082,1080,9504,1080,9550,1071,9587,1046,9612,1009,9621,964,9621,499,9612,454,9587,417,9550,392,9504,383xe" filled="true" fillcolor="#dce6f1" stroked="false">
                  <v:path arrowok="t"/>
                  <v:fill type="solid"/>
                </v:shape>
                <v:shape style="position:absolute;left:5966;top:382;width:3655;height:698" id="docshape191" coordorigin="5966,383" coordsize="3655,698" path="m5966,499l5975,454,6000,417,6037,392,6082,383,9504,383,9550,392,9587,417,9612,454,9621,499,9621,964,9612,1009,9587,1046,9550,1071,9504,1080,6082,1080,6037,1071,6000,1046,5975,1009,5966,964,5966,499xe" filled="false" stroked="true" strokeweight="1.5pt" strokecolor="#5e89b4">
                  <v:path arrowok="t"/>
                  <v:stroke dashstyle="shortdash"/>
                </v:shape>
                <v:shape style="position:absolute;left:1984;top:1244;width:3655;height:698" id="docshape192" coordorigin="1985,1244" coordsize="3655,698" path="m5523,1244l2101,1244,2056,1253,2019,1278,1994,1315,1985,1360,1985,1826,1994,1871,2019,1908,2056,1933,2101,1942,5523,1942,5568,1933,5605,1908,5630,1871,5639,1826,5639,1360,5630,1315,5605,1278,5568,1253,5523,1244xe" filled="true" fillcolor="#dce6f1" stroked="false">
                  <v:path arrowok="t"/>
                  <v:fill type="solid"/>
                </v:shape>
                <v:shape style="position:absolute;left:1984;top:1244;width:3655;height:698" id="docshape193" coordorigin="1985,1244" coordsize="3655,698" path="m1985,1360l1994,1315,2019,1278,2056,1253,2101,1244,5523,1244,5568,1253,5605,1278,5630,1315,5639,1360,5639,1826,5630,1871,5605,1908,5568,1933,5523,1942,2101,1942,2056,1933,2019,1908,1994,1871,1985,1826,1985,1360xe" filled="false" stroked="true" strokeweight="1.5pt" strokecolor="#5e89b4">
                  <v:path arrowok="t"/>
                  <v:stroke dashstyle="shortdash"/>
                </v:shape>
                <v:shape style="position:absolute;left:1984;top:2105;width:3655;height:916" id="docshape194" coordorigin="1985,2106" coordsize="3655,916" path="m5487,2106l2137,2106,2078,2118,2030,2150,1997,2199,1985,2258,1985,2869,1997,2928,2030,2977,2078,3009,2137,3021,5487,3021,5546,3009,5595,2977,5627,2928,5639,2869,5639,2258,5627,2199,5595,2150,5546,2118,5487,2106xe" filled="true" fillcolor="#dce6f1" stroked="false">
                  <v:path arrowok="t"/>
                  <v:fill type="solid"/>
                </v:shape>
                <v:shape style="position:absolute;left:1984;top:2105;width:3655;height:916" id="docshape195" coordorigin="1985,2106" coordsize="3655,916" path="m1985,2258l1997,2199,2030,2150,2078,2118,2137,2106,5487,2106,5546,2118,5595,2150,5627,2199,5639,2258,5639,2869,5627,2928,5595,2977,5546,3009,5487,3021,2137,3021,2078,3009,2030,2977,1997,2928,1985,2869,1985,2258xe" filled="false" stroked="true" strokeweight="1.5pt" strokecolor="#5e89b4">
                  <v:path arrowok="t"/>
                  <v:stroke dashstyle="shortdash"/>
                </v:shape>
                <v:shape style="position:absolute;left:1969;top:240;width:7666;height:2865" type="#_x0000_t202" id="docshape196" filled="false" stroked="false">
                  <v:textbox inset="0,0,0,0">
                    <w:txbxContent>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135"/>
                          <w:rPr>
                            <w:b/>
                            <w:sz w:val="18"/>
                          </w:rPr>
                        </w:pPr>
                      </w:p>
                      <w:p>
                        <w:pPr>
                          <w:spacing w:line="256" w:lineRule="auto" w:before="0"/>
                          <w:ind w:left="219" w:right="4197" w:firstLine="0"/>
                          <w:jc w:val="both"/>
                          <w:rPr>
                            <w:rFonts w:ascii="Arial Narrow" w:hAnsi="Arial Narrow"/>
                            <w:b/>
                            <w:sz w:val="18"/>
                          </w:rPr>
                        </w:pPr>
                        <w:r>
                          <w:rPr>
                            <w:rFonts w:ascii="Arial Narrow" w:hAnsi="Arial Narrow"/>
                            <w:b/>
                            <w:color w:val="001F5F"/>
                            <w:sz w:val="18"/>
                          </w:rPr>
                          <w:t>Refuerzo de mecanismos para la prevención, detección y corrección del fraude, la corrupción y los conflictos de intereses</w:t>
                        </w:r>
                      </w:p>
                    </w:txbxContent>
                  </v:textbox>
                  <w10:wrap type="none"/>
                </v:shape>
                <v:shape style="position:absolute;left:2004;top:1268;width:3616;height:649" type="#_x0000_t202" id="docshape197" filled="false" stroked="false">
                  <v:textbox inset="0,0,0,0">
                    <w:txbxContent>
                      <w:p>
                        <w:pPr>
                          <w:spacing w:line="259" w:lineRule="auto" w:before="96"/>
                          <w:ind w:left="172" w:right="0" w:firstLine="0"/>
                          <w:jc w:val="left"/>
                          <w:rPr>
                            <w:rFonts w:ascii="Arial Narrow"/>
                            <w:b/>
                            <w:sz w:val="18"/>
                          </w:rPr>
                        </w:pPr>
                        <w:r>
                          <w:rPr>
                            <w:rFonts w:ascii="Arial Narrow"/>
                            <w:b/>
                            <w:color w:val="001F5F"/>
                            <w:sz w:val="18"/>
                          </w:rPr>
                          <w:t>Riesgo</w:t>
                        </w:r>
                        <w:r>
                          <w:rPr>
                            <w:rFonts w:ascii="Arial Narrow"/>
                            <w:b/>
                            <w:color w:val="001F5F"/>
                            <w:spacing w:val="40"/>
                            <w:sz w:val="18"/>
                          </w:rPr>
                          <w:t> </w:t>
                        </w:r>
                        <w:r>
                          <w:rPr>
                            <w:rFonts w:ascii="Arial Narrow"/>
                            <w:b/>
                            <w:color w:val="001F5F"/>
                            <w:sz w:val="18"/>
                          </w:rPr>
                          <w:t>de</w:t>
                        </w:r>
                        <w:r>
                          <w:rPr>
                            <w:rFonts w:ascii="Arial Narrow"/>
                            <w:b/>
                            <w:color w:val="001F5F"/>
                            <w:spacing w:val="40"/>
                            <w:sz w:val="18"/>
                          </w:rPr>
                          <w:t> </w:t>
                        </w:r>
                        <w:r>
                          <w:rPr>
                            <w:rFonts w:ascii="Arial Narrow"/>
                            <w:b/>
                            <w:color w:val="001F5F"/>
                            <w:sz w:val="18"/>
                          </w:rPr>
                          <w:t>impactos</w:t>
                        </w:r>
                        <w:r>
                          <w:rPr>
                            <w:rFonts w:ascii="Arial Narrow"/>
                            <w:b/>
                            <w:color w:val="001F5F"/>
                            <w:spacing w:val="40"/>
                            <w:sz w:val="18"/>
                          </w:rPr>
                          <w:t> </w:t>
                        </w:r>
                        <w:r>
                          <w:rPr>
                            <w:rFonts w:ascii="Arial Narrow"/>
                            <w:b/>
                            <w:color w:val="001F5F"/>
                            <w:sz w:val="18"/>
                          </w:rPr>
                          <w:t>negativos</w:t>
                        </w:r>
                        <w:r>
                          <w:rPr>
                            <w:rFonts w:ascii="Arial Narrow"/>
                            <w:b/>
                            <w:color w:val="001F5F"/>
                            <w:spacing w:val="40"/>
                            <w:sz w:val="18"/>
                          </w:rPr>
                          <w:t> </w:t>
                        </w:r>
                        <w:r>
                          <w:rPr>
                            <w:rFonts w:ascii="Arial Narrow"/>
                            <w:b/>
                            <w:color w:val="001F5F"/>
                            <w:sz w:val="18"/>
                          </w:rPr>
                          <w:t>en</w:t>
                        </w:r>
                        <w:r>
                          <w:rPr>
                            <w:rFonts w:ascii="Arial Narrow"/>
                            <w:b/>
                            <w:color w:val="001F5F"/>
                            <w:spacing w:val="40"/>
                            <w:sz w:val="18"/>
                          </w:rPr>
                          <w:t> </w:t>
                        </w:r>
                        <w:r>
                          <w:rPr>
                            <w:rFonts w:ascii="Arial Narrow"/>
                            <w:b/>
                            <w:color w:val="001F5F"/>
                            <w:sz w:val="18"/>
                          </w:rPr>
                          <w:t>el</w:t>
                        </w:r>
                        <w:r>
                          <w:rPr>
                            <w:rFonts w:ascii="Arial Narrow"/>
                            <w:b/>
                            <w:color w:val="001F5F"/>
                            <w:spacing w:val="40"/>
                            <w:sz w:val="18"/>
                          </w:rPr>
                          <w:t> </w:t>
                        </w:r>
                        <w:r>
                          <w:rPr>
                            <w:rFonts w:ascii="Arial Narrow"/>
                            <w:b/>
                            <w:color w:val="001F5F"/>
                            <w:sz w:val="18"/>
                          </w:rPr>
                          <w:t>medio </w:t>
                        </w:r>
                        <w:r>
                          <w:rPr>
                            <w:rFonts w:ascii="Arial Narrow"/>
                            <w:b/>
                            <w:color w:val="001F5F"/>
                            <w:spacing w:val="-2"/>
                            <w:sz w:val="18"/>
                          </w:rPr>
                          <w:t>ambiente</w:t>
                        </w:r>
                      </w:p>
                    </w:txbxContent>
                  </v:textbox>
                  <w10:wrap type="none"/>
                </v:shape>
                <v:shape style="position:absolute;left:5985;top:407;width:3616;height:649" type="#_x0000_t202" id="docshape198" filled="false" stroked="false">
                  <v:textbox inset="0,0,0,0">
                    <w:txbxContent>
                      <w:p>
                        <w:pPr>
                          <w:spacing w:line="261" w:lineRule="auto" w:before="96"/>
                          <w:ind w:left="174" w:right="0" w:firstLine="0"/>
                          <w:jc w:val="left"/>
                          <w:rPr>
                            <w:rFonts w:ascii="Arial Narrow" w:hAnsi="Arial Narrow"/>
                            <w:b/>
                            <w:sz w:val="18"/>
                          </w:rPr>
                        </w:pPr>
                        <w:r>
                          <w:rPr>
                            <w:rFonts w:ascii="Arial Narrow" w:hAnsi="Arial Narrow"/>
                            <w:b/>
                            <w:color w:val="001F5F"/>
                            <w:sz w:val="18"/>
                          </w:rPr>
                          <w:t>Compatibilidad</w:t>
                        </w:r>
                        <w:r>
                          <w:rPr>
                            <w:rFonts w:ascii="Arial Narrow" w:hAnsi="Arial Narrow"/>
                            <w:b/>
                            <w:color w:val="001F5F"/>
                            <w:spacing w:val="-7"/>
                            <w:sz w:val="18"/>
                          </w:rPr>
                          <w:t> </w:t>
                        </w:r>
                        <w:r>
                          <w:rPr>
                            <w:rFonts w:ascii="Arial Narrow" w:hAnsi="Arial Narrow"/>
                            <w:b/>
                            <w:color w:val="001F5F"/>
                            <w:sz w:val="18"/>
                          </w:rPr>
                          <w:t>del</w:t>
                        </w:r>
                        <w:r>
                          <w:rPr>
                            <w:rFonts w:ascii="Arial Narrow" w:hAnsi="Arial Narrow"/>
                            <w:b/>
                            <w:color w:val="001F5F"/>
                            <w:spacing w:val="-8"/>
                            <w:sz w:val="18"/>
                          </w:rPr>
                          <w:t> </w:t>
                        </w:r>
                        <w:r>
                          <w:rPr>
                            <w:rFonts w:ascii="Arial Narrow" w:hAnsi="Arial Narrow"/>
                            <w:b/>
                            <w:color w:val="001F5F"/>
                            <w:sz w:val="18"/>
                          </w:rPr>
                          <w:t>régimen</w:t>
                        </w:r>
                        <w:r>
                          <w:rPr>
                            <w:rFonts w:ascii="Arial Narrow" w:hAnsi="Arial Narrow"/>
                            <w:b/>
                            <w:color w:val="001F5F"/>
                            <w:spacing w:val="-10"/>
                            <w:sz w:val="18"/>
                          </w:rPr>
                          <w:t> </w:t>
                        </w:r>
                        <w:r>
                          <w:rPr>
                            <w:rFonts w:ascii="Arial Narrow" w:hAnsi="Arial Narrow"/>
                            <w:b/>
                            <w:color w:val="001F5F"/>
                            <w:sz w:val="18"/>
                          </w:rPr>
                          <w:t>de</w:t>
                        </w:r>
                        <w:r>
                          <w:rPr>
                            <w:rFonts w:ascii="Arial Narrow" w:hAnsi="Arial Narrow"/>
                            <w:b/>
                            <w:color w:val="001F5F"/>
                            <w:spacing w:val="-8"/>
                            <w:sz w:val="18"/>
                          </w:rPr>
                          <w:t> </w:t>
                        </w:r>
                        <w:r>
                          <w:rPr>
                            <w:rFonts w:ascii="Arial Narrow" w:hAnsi="Arial Narrow"/>
                            <w:b/>
                            <w:color w:val="001F5F"/>
                            <w:sz w:val="18"/>
                          </w:rPr>
                          <w:t>ayudas</w:t>
                        </w:r>
                        <w:r>
                          <w:rPr>
                            <w:rFonts w:ascii="Arial Narrow" w:hAnsi="Arial Narrow"/>
                            <w:b/>
                            <w:color w:val="001F5F"/>
                            <w:spacing w:val="-8"/>
                            <w:sz w:val="18"/>
                          </w:rPr>
                          <w:t> </w:t>
                        </w:r>
                        <w:r>
                          <w:rPr>
                            <w:rFonts w:ascii="Arial Narrow" w:hAnsi="Arial Narrow"/>
                            <w:b/>
                            <w:color w:val="001F5F"/>
                            <w:sz w:val="18"/>
                          </w:rPr>
                          <w:t>y prevención de la doble financiación</w:t>
                        </w:r>
                      </w:p>
                    </w:txbxContent>
                  </v:textbox>
                  <w10:wrap type="none"/>
                </v:shape>
                <v:shape style="position:absolute;left:2004;top:407;width:3616;height:649" type="#_x0000_t202" id="docshape199" filled="false" stroked="false">
                  <v:textbox inset="0,0,0,0">
                    <w:txbxContent>
                      <w:p>
                        <w:pPr>
                          <w:spacing w:line="259" w:lineRule="auto" w:before="96"/>
                          <w:ind w:left="172" w:right="0" w:firstLine="0"/>
                          <w:jc w:val="left"/>
                          <w:rPr>
                            <w:rFonts w:ascii="Arial Narrow" w:hAnsi="Arial Narrow"/>
                            <w:b/>
                            <w:sz w:val="18"/>
                          </w:rPr>
                        </w:pPr>
                        <w:r>
                          <w:rPr>
                            <w:rFonts w:ascii="Arial Narrow" w:hAnsi="Arial Narrow"/>
                            <w:b/>
                            <w:color w:val="001F5F"/>
                            <w:sz w:val="18"/>
                          </w:rPr>
                          <w:t>Seguimiento</w:t>
                        </w:r>
                        <w:r>
                          <w:rPr>
                            <w:rFonts w:ascii="Arial Narrow" w:hAnsi="Arial Narrow"/>
                            <w:b/>
                            <w:color w:val="001F5F"/>
                            <w:spacing w:val="20"/>
                            <w:sz w:val="18"/>
                          </w:rPr>
                          <w:t> </w:t>
                        </w:r>
                        <w:r>
                          <w:rPr>
                            <w:rFonts w:ascii="Arial Narrow" w:hAnsi="Arial Narrow"/>
                            <w:b/>
                            <w:color w:val="001F5F"/>
                            <w:sz w:val="18"/>
                          </w:rPr>
                          <w:t>y</w:t>
                        </w:r>
                        <w:r>
                          <w:rPr>
                            <w:rFonts w:ascii="Arial Narrow" w:hAnsi="Arial Narrow"/>
                            <w:b/>
                            <w:color w:val="001F5F"/>
                            <w:spacing w:val="19"/>
                            <w:sz w:val="18"/>
                          </w:rPr>
                          <w:t> </w:t>
                        </w:r>
                        <w:r>
                          <w:rPr>
                            <w:rFonts w:ascii="Arial Narrow" w:hAnsi="Arial Narrow"/>
                            <w:b/>
                            <w:color w:val="001F5F"/>
                            <w:sz w:val="18"/>
                          </w:rPr>
                          <w:t>acreditación</w:t>
                        </w:r>
                        <w:r>
                          <w:rPr>
                            <w:rFonts w:ascii="Arial Narrow" w:hAnsi="Arial Narrow"/>
                            <w:b/>
                            <w:color w:val="001F5F"/>
                            <w:spacing w:val="20"/>
                            <w:sz w:val="18"/>
                          </w:rPr>
                          <w:t> </w:t>
                        </w:r>
                        <w:r>
                          <w:rPr>
                            <w:rFonts w:ascii="Arial Narrow" w:hAnsi="Arial Narrow"/>
                            <w:b/>
                            <w:color w:val="001F5F"/>
                            <w:sz w:val="18"/>
                          </w:rPr>
                          <w:t>de</w:t>
                        </w:r>
                        <w:r>
                          <w:rPr>
                            <w:rFonts w:ascii="Arial Narrow" w:hAnsi="Arial Narrow"/>
                            <w:b/>
                            <w:color w:val="001F5F"/>
                            <w:spacing w:val="19"/>
                            <w:sz w:val="18"/>
                          </w:rPr>
                          <w:t> </w:t>
                        </w:r>
                        <w:r>
                          <w:rPr>
                            <w:rFonts w:ascii="Arial Narrow" w:hAnsi="Arial Narrow"/>
                            <w:b/>
                            <w:color w:val="001F5F"/>
                            <w:sz w:val="18"/>
                          </w:rPr>
                          <w:t>resultados</w:t>
                        </w:r>
                        <w:r>
                          <w:rPr>
                            <w:rFonts w:ascii="Arial Narrow" w:hAnsi="Arial Narrow"/>
                            <w:b/>
                            <w:color w:val="001F5F"/>
                            <w:spacing w:val="19"/>
                            <w:sz w:val="18"/>
                          </w:rPr>
                          <w:t> </w:t>
                        </w:r>
                        <w:r>
                          <w:rPr>
                            <w:rFonts w:ascii="Arial Narrow" w:hAnsi="Arial Narrow"/>
                            <w:b/>
                            <w:color w:val="001F5F"/>
                            <w:sz w:val="18"/>
                          </w:rPr>
                          <w:t>de hitos y objetivos</w:t>
                        </w:r>
                      </w:p>
                    </w:txbxContent>
                  </v:textbox>
                  <w10:wrap type="none"/>
                </v:shape>
                <w10:wrap type="topAndBottom"/>
              </v:group>
            </w:pict>
          </mc:Fallback>
        </mc:AlternateContent>
      </w:r>
    </w:p>
    <w:p>
      <w:pPr>
        <w:spacing w:before="45"/>
        <w:ind w:left="1844" w:right="0" w:firstLine="0"/>
        <w:jc w:val="left"/>
        <w:rPr>
          <w:rFonts w:ascii="Arial Narrow" w:hAnsi="Arial Narrow"/>
          <w:sz w:val="18"/>
        </w:rPr>
      </w:pPr>
      <w:r>
        <w:rPr>
          <w:rFonts w:ascii="Arial Narrow" w:hAnsi="Arial Narrow"/>
          <w:sz w:val="18"/>
        </w:rPr>
        <w:t>Fuente:</w:t>
      </w:r>
      <w:r>
        <w:rPr>
          <w:rFonts w:ascii="Arial Narrow" w:hAnsi="Arial Narrow"/>
          <w:spacing w:val="-4"/>
          <w:sz w:val="18"/>
        </w:rPr>
        <w:t> </w:t>
      </w:r>
      <w:r>
        <w:rPr>
          <w:rFonts w:ascii="Arial Narrow" w:hAnsi="Arial Narrow"/>
          <w:sz w:val="18"/>
        </w:rPr>
        <w:t>Elaboración</w:t>
      </w:r>
      <w:r>
        <w:rPr>
          <w:rFonts w:ascii="Arial Narrow" w:hAnsi="Arial Narrow"/>
          <w:spacing w:val="-4"/>
          <w:sz w:val="18"/>
        </w:rPr>
        <w:t> </w:t>
      </w:r>
      <w:r>
        <w:rPr>
          <w:rFonts w:ascii="Arial Narrow" w:hAnsi="Arial Narrow"/>
          <w:spacing w:val="-2"/>
          <w:sz w:val="18"/>
        </w:rPr>
        <w:t>propia</w:t>
      </w:r>
    </w:p>
    <w:p>
      <w:pPr>
        <w:pStyle w:val="BodyText"/>
        <w:spacing w:before="35"/>
        <w:rPr>
          <w:rFonts w:ascii="Arial Narrow"/>
          <w:sz w:val="18"/>
        </w:rPr>
      </w:pPr>
    </w:p>
    <w:p>
      <w:pPr>
        <w:pStyle w:val="BodyText"/>
        <w:ind w:left="992" w:right="988"/>
        <w:jc w:val="both"/>
      </w:pPr>
      <w:r>
        <w:rPr/>
        <mc:AlternateContent>
          <mc:Choice Requires="wps">
            <w:drawing>
              <wp:anchor distT="0" distB="0" distL="0" distR="0" allowOverlap="1" layoutInCell="1" locked="0" behindDoc="1" simplePos="0" relativeHeight="474300928">
                <wp:simplePos x="0" y="0"/>
                <wp:positionH relativeFrom="page">
                  <wp:posOffset>3779011</wp:posOffset>
                </wp:positionH>
                <wp:positionV relativeFrom="paragraph">
                  <wp:posOffset>-915605</wp:posOffset>
                </wp:positionV>
                <wp:extent cx="2339975" cy="462280"/>
                <wp:effectExtent l="0" t="0" r="0" b="0"/>
                <wp:wrapNone/>
                <wp:docPr id="221" name="Group 221"/>
                <wp:cNvGraphicFramePr>
                  <a:graphicFrameLocks/>
                </wp:cNvGraphicFramePr>
                <a:graphic>
                  <a:graphicData uri="http://schemas.microsoft.com/office/word/2010/wordprocessingGroup">
                    <wpg:wgp>
                      <wpg:cNvPr id="221" name="Group 221"/>
                      <wpg:cNvGrpSpPr/>
                      <wpg:grpSpPr>
                        <a:xfrm>
                          <a:off x="0" y="0"/>
                          <a:ext cx="2339975" cy="462280"/>
                          <a:chExt cx="2339975" cy="462280"/>
                        </a:xfrm>
                      </wpg:grpSpPr>
                      <wps:wsp>
                        <wps:cNvPr id="222" name="Graphic 222"/>
                        <wps:cNvSpPr/>
                        <wps:spPr>
                          <a:xfrm>
                            <a:off x="9525" y="9525"/>
                            <a:ext cx="2320925" cy="443230"/>
                          </a:xfrm>
                          <a:custGeom>
                            <a:avLst/>
                            <a:gdLst/>
                            <a:ahLst/>
                            <a:cxnLst/>
                            <a:rect l="l" t="t" r="r" b="b"/>
                            <a:pathLst>
                              <a:path w="2320925" h="443230">
                                <a:moveTo>
                                  <a:pt x="2246757" y="0"/>
                                </a:moveTo>
                                <a:lnTo>
                                  <a:pt x="73787" y="0"/>
                                </a:lnTo>
                                <a:lnTo>
                                  <a:pt x="45059" y="5796"/>
                                </a:lnTo>
                                <a:lnTo>
                                  <a:pt x="21605" y="21605"/>
                                </a:lnTo>
                                <a:lnTo>
                                  <a:pt x="5796" y="45059"/>
                                </a:lnTo>
                                <a:lnTo>
                                  <a:pt x="0" y="73787"/>
                                </a:lnTo>
                                <a:lnTo>
                                  <a:pt x="0" y="369189"/>
                                </a:lnTo>
                                <a:lnTo>
                                  <a:pt x="5796" y="397916"/>
                                </a:lnTo>
                                <a:lnTo>
                                  <a:pt x="21605" y="421370"/>
                                </a:lnTo>
                                <a:lnTo>
                                  <a:pt x="45059" y="437179"/>
                                </a:lnTo>
                                <a:lnTo>
                                  <a:pt x="73787" y="442975"/>
                                </a:lnTo>
                                <a:lnTo>
                                  <a:pt x="2246757" y="442975"/>
                                </a:lnTo>
                                <a:lnTo>
                                  <a:pt x="2275558" y="437179"/>
                                </a:lnTo>
                                <a:lnTo>
                                  <a:pt x="2299049" y="421370"/>
                                </a:lnTo>
                                <a:lnTo>
                                  <a:pt x="2314872" y="397916"/>
                                </a:lnTo>
                                <a:lnTo>
                                  <a:pt x="2320671" y="369189"/>
                                </a:lnTo>
                                <a:lnTo>
                                  <a:pt x="2320671" y="73787"/>
                                </a:lnTo>
                                <a:lnTo>
                                  <a:pt x="2314872" y="45059"/>
                                </a:lnTo>
                                <a:lnTo>
                                  <a:pt x="2299049" y="21605"/>
                                </a:lnTo>
                                <a:lnTo>
                                  <a:pt x="2275558" y="5796"/>
                                </a:lnTo>
                                <a:lnTo>
                                  <a:pt x="2246757" y="0"/>
                                </a:lnTo>
                                <a:close/>
                              </a:path>
                            </a:pathLst>
                          </a:custGeom>
                          <a:solidFill>
                            <a:srgbClr val="DCE6F1"/>
                          </a:solidFill>
                        </wps:spPr>
                        <wps:bodyPr wrap="square" lIns="0" tIns="0" rIns="0" bIns="0" rtlCol="0">
                          <a:prstTxWarp prst="textNoShape">
                            <a:avLst/>
                          </a:prstTxWarp>
                          <a:noAutofit/>
                        </wps:bodyPr>
                      </wps:wsp>
                      <wps:wsp>
                        <wps:cNvPr id="223" name="Graphic 223"/>
                        <wps:cNvSpPr/>
                        <wps:spPr>
                          <a:xfrm>
                            <a:off x="9525" y="9525"/>
                            <a:ext cx="2320925" cy="443230"/>
                          </a:xfrm>
                          <a:custGeom>
                            <a:avLst/>
                            <a:gdLst/>
                            <a:ahLst/>
                            <a:cxnLst/>
                            <a:rect l="l" t="t" r="r" b="b"/>
                            <a:pathLst>
                              <a:path w="2320925" h="443230">
                                <a:moveTo>
                                  <a:pt x="0" y="73787"/>
                                </a:moveTo>
                                <a:lnTo>
                                  <a:pt x="5796" y="45059"/>
                                </a:lnTo>
                                <a:lnTo>
                                  <a:pt x="21605" y="21605"/>
                                </a:lnTo>
                                <a:lnTo>
                                  <a:pt x="45059" y="5796"/>
                                </a:lnTo>
                                <a:lnTo>
                                  <a:pt x="73787" y="0"/>
                                </a:lnTo>
                                <a:lnTo>
                                  <a:pt x="2246757" y="0"/>
                                </a:lnTo>
                                <a:lnTo>
                                  <a:pt x="2275558" y="5796"/>
                                </a:lnTo>
                                <a:lnTo>
                                  <a:pt x="2299049" y="21605"/>
                                </a:lnTo>
                                <a:lnTo>
                                  <a:pt x="2314872" y="45059"/>
                                </a:lnTo>
                                <a:lnTo>
                                  <a:pt x="2320671" y="73787"/>
                                </a:lnTo>
                                <a:lnTo>
                                  <a:pt x="2320671" y="369189"/>
                                </a:lnTo>
                                <a:lnTo>
                                  <a:pt x="2314872" y="397916"/>
                                </a:lnTo>
                                <a:lnTo>
                                  <a:pt x="2299049" y="421370"/>
                                </a:lnTo>
                                <a:lnTo>
                                  <a:pt x="2275558" y="437179"/>
                                </a:lnTo>
                                <a:lnTo>
                                  <a:pt x="2246757" y="442975"/>
                                </a:lnTo>
                                <a:lnTo>
                                  <a:pt x="73787" y="442975"/>
                                </a:lnTo>
                                <a:lnTo>
                                  <a:pt x="45059" y="437179"/>
                                </a:lnTo>
                                <a:lnTo>
                                  <a:pt x="21605" y="421370"/>
                                </a:lnTo>
                                <a:lnTo>
                                  <a:pt x="5796" y="397916"/>
                                </a:lnTo>
                                <a:lnTo>
                                  <a:pt x="0" y="369189"/>
                                </a:lnTo>
                                <a:lnTo>
                                  <a:pt x="0" y="73787"/>
                                </a:lnTo>
                                <a:close/>
                              </a:path>
                            </a:pathLst>
                          </a:custGeom>
                          <a:ln w="19050">
                            <a:solidFill>
                              <a:srgbClr val="5E89B4"/>
                            </a:solidFill>
                            <a:prstDash val="sysDash"/>
                          </a:ln>
                        </wps:spPr>
                        <wps:bodyPr wrap="square" lIns="0" tIns="0" rIns="0" bIns="0" rtlCol="0">
                          <a:prstTxWarp prst="textNoShape">
                            <a:avLst/>
                          </a:prstTxWarp>
                          <a:noAutofit/>
                        </wps:bodyPr>
                      </wps:wsp>
                      <wps:wsp>
                        <wps:cNvPr id="224" name="Textbox 224"/>
                        <wps:cNvSpPr txBox="1"/>
                        <wps:spPr>
                          <a:xfrm>
                            <a:off x="21948" y="25090"/>
                            <a:ext cx="2296160" cy="412115"/>
                          </a:xfrm>
                          <a:prstGeom prst="rect">
                            <a:avLst/>
                          </a:prstGeom>
                        </wps:spPr>
                        <wps:txbx>
                          <w:txbxContent>
                            <w:p>
                              <w:pPr>
                                <w:spacing w:line="240" w:lineRule="auto" w:before="11"/>
                                <w:rPr>
                                  <w:sz w:val="18"/>
                                </w:rPr>
                              </w:pPr>
                            </w:p>
                            <w:p>
                              <w:pPr>
                                <w:spacing w:before="0"/>
                                <w:ind w:left="174" w:right="0" w:firstLine="0"/>
                                <w:jc w:val="left"/>
                                <w:rPr>
                                  <w:rFonts w:ascii="Arial Narrow" w:hAnsi="Arial Narrow"/>
                                  <w:b/>
                                  <w:sz w:val="18"/>
                                </w:rPr>
                              </w:pPr>
                              <w:r>
                                <w:rPr>
                                  <w:rFonts w:ascii="Arial Narrow" w:hAnsi="Arial Narrow"/>
                                  <w:b/>
                                  <w:color w:val="001F5F"/>
                                  <w:spacing w:val="-2"/>
                                  <w:sz w:val="18"/>
                                </w:rPr>
                                <w:t>Comunicación</w:t>
                              </w:r>
                            </w:p>
                          </w:txbxContent>
                        </wps:txbx>
                        <wps:bodyPr wrap="square" lIns="0" tIns="0" rIns="0" bIns="0" rtlCol="0">
                          <a:noAutofit/>
                        </wps:bodyPr>
                      </wps:wsp>
                    </wpg:wgp>
                  </a:graphicData>
                </a:graphic>
              </wp:anchor>
            </w:drawing>
          </mc:Choice>
          <mc:Fallback>
            <w:pict>
              <v:group style="position:absolute;margin-left:297.559998pt;margin-top:-72.094940pt;width:184.25pt;height:36.4pt;mso-position-horizontal-relative:page;mso-position-vertical-relative:paragraph;z-index:-29015552" id="docshapegroup200" coordorigin="5951,-1442" coordsize="3685,728">
                <v:shape style="position:absolute;left:5966;top:-1427;width:3655;height:698" id="docshape201" coordorigin="5966,-1427" coordsize="3655,698" path="m9504,-1427l6082,-1427,6037,-1418,6000,-1393,5975,-1356,5966,-1311,5966,-845,5975,-800,6000,-763,6037,-738,6082,-729,9504,-729,9550,-738,9587,-763,9612,-800,9621,-845,9621,-1311,9612,-1356,9587,-1393,9550,-1418,9504,-1427xe" filled="true" fillcolor="#dce6f1" stroked="false">
                  <v:path arrowok="t"/>
                  <v:fill type="solid"/>
                </v:shape>
                <v:shape style="position:absolute;left:5966;top:-1427;width:3655;height:698" id="docshape202" coordorigin="5966,-1427" coordsize="3655,698" path="m5966,-1311l5975,-1356,6000,-1393,6037,-1418,6082,-1427,9504,-1427,9550,-1418,9587,-1393,9612,-1356,9621,-1311,9621,-845,9612,-800,9587,-763,9550,-738,9504,-729,6082,-729,6037,-738,6000,-763,5975,-800,5966,-845,5966,-1311xe" filled="false" stroked="true" strokeweight="1.5pt" strokecolor="#5e89b4">
                  <v:path arrowok="t"/>
                  <v:stroke dashstyle="shortdash"/>
                </v:shape>
                <v:shape style="position:absolute;left:5985;top:-1403;width:3616;height:649" type="#_x0000_t202" id="docshape203" filled="false" stroked="false">
                  <v:textbox inset="0,0,0,0">
                    <w:txbxContent>
                      <w:p>
                        <w:pPr>
                          <w:spacing w:line="240" w:lineRule="auto" w:before="11"/>
                          <w:rPr>
                            <w:sz w:val="18"/>
                          </w:rPr>
                        </w:pPr>
                      </w:p>
                      <w:p>
                        <w:pPr>
                          <w:spacing w:before="0"/>
                          <w:ind w:left="174" w:right="0" w:firstLine="0"/>
                          <w:jc w:val="left"/>
                          <w:rPr>
                            <w:rFonts w:ascii="Arial Narrow" w:hAnsi="Arial Narrow"/>
                            <w:b/>
                            <w:sz w:val="18"/>
                          </w:rPr>
                        </w:pPr>
                        <w:r>
                          <w:rPr>
                            <w:rFonts w:ascii="Arial Narrow" w:hAnsi="Arial Narrow"/>
                            <w:b/>
                            <w:color w:val="001F5F"/>
                            <w:spacing w:val="-2"/>
                            <w:sz w:val="18"/>
                          </w:rPr>
                          <w:t>Comunicación</w:t>
                        </w:r>
                      </w:p>
                    </w:txbxContent>
                  </v:textbox>
                  <w10:wrap type="none"/>
                </v:shape>
                <w10:wrap type="none"/>
              </v:group>
            </w:pict>
          </mc:Fallback>
        </mc:AlternateContent>
      </w:r>
      <w:r>
        <w:rPr/>
        <w:t>Las</w:t>
      </w:r>
      <w:r>
        <w:rPr>
          <w:spacing w:val="-4"/>
        </w:rPr>
        <w:t> </w:t>
      </w:r>
      <w:r>
        <w:rPr/>
        <w:t>entidades</w:t>
      </w:r>
      <w:r>
        <w:rPr>
          <w:spacing w:val="-4"/>
        </w:rPr>
        <w:t> </w:t>
      </w:r>
      <w:r>
        <w:rPr/>
        <w:t>beneficiarias</w:t>
      </w:r>
      <w:r>
        <w:rPr>
          <w:spacing w:val="-3"/>
        </w:rPr>
        <w:t> </w:t>
      </w:r>
      <w:r>
        <w:rPr/>
        <w:t>de</w:t>
      </w:r>
      <w:r>
        <w:rPr>
          <w:spacing w:val="-4"/>
        </w:rPr>
        <w:t> </w:t>
      </w:r>
      <w:r>
        <w:rPr/>
        <w:t>las</w:t>
      </w:r>
      <w:r>
        <w:rPr>
          <w:spacing w:val="-4"/>
        </w:rPr>
        <w:t> </w:t>
      </w:r>
      <w:r>
        <w:rPr/>
        <w:t>ayudas</w:t>
      </w:r>
      <w:r>
        <w:rPr>
          <w:spacing w:val="-4"/>
        </w:rPr>
        <w:t> </w:t>
      </w:r>
      <w:r>
        <w:rPr/>
        <w:t>deben</w:t>
      </w:r>
      <w:r>
        <w:rPr>
          <w:spacing w:val="-9"/>
        </w:rPr>
        <w:t> </w:t>
      </w:r>
      <w:r>
        <w:rPr/>
        <w:t>suministrar</w:t>
      </w:r>
      <w:r>
        <w:rPr>
          <w:spacing w:val="-5"/>
        </w:rPr>
        <w:t> </w:t>
      </w:r>
      <w:r>
        <w:rPr/>
        <w:t>toda</w:t>
      </w:r>
      <w:r>
        <w:rPr>
          <w:spacing w:val="-4"/>
        </w:rPr>
        <w:t> </w:t>
      </w:r>
      <w:r>
        <w:rPr/>
        <w:t>la</w:t>
      </w:r>
      <w:r>
        <w:rPr>
          <w:spacing w:val="-4"/>
        </w:rPr>
        <w:t> </w:t>
      </w:r>
      <w:r>
        <w:rPr/>
        <w:t>información</w:t>
      </w:r>
      <w:r>
        <w:rPr>
          <w:spacing w:val="-4"/>
        </w:rPr>
        <w:t> </w:t>
      </w:r>
      <w:r>
        <w:rPr/>
        <w:t>que</w:t>
      </w:r>
      <w:r>
        <w:rPr>
          <w:spacing w:val="-4"/>
        </w:rPr>
        <w:t> </w:t>
      </w:r>
      <w:r>
        <w:rPr/>
        <w:t>sea</w:t>
      </w:r>
      <w:r>
        <w:rPr>
          <w:spacing w:val="-4"/>
        </w:rPr>
        <w:t> </w:t>
      </w:r>
      <w:r>
        <w:rPr/>
        <w:t>precisa</w:t>
      </w:r>
      <w:r>
        <w:rPr>
          <w:spacing w:val="-4"/>
        </w:rPr>
        <w:t> </w:t>
      </w:r>
      <w:r>
        <w:rPr/>
        <w:t>al órgano</w:t>
      </w:r>
      <w:r>
        <w:rPr>
          <w:spacing w:val="-5"/>
        </w:rPr>
        <w:t> </w:t>
      </w:r>
      <w:r>
        <w:rPr/>
        <w:t>concedente,</w:t>
      </w:r>
      <w:r>
        <w:rPr>
          <w:spacing w:val="-1"/>
        </w:rPr>
        <w:t> </w:t>
      </w:r>
      <w:r>
        <w:rPr/>
        <w:t>así</w:t>
      </w:r>
      <w:r>
        <w:rPr>
          <w:spacing w:val="-3"/>
        </w:rPr>
        <w:t> </w:t>
      </w:r>
      <w:r>
        <w:rPr/>
        <w:t>como</w:t>
      </w:r>
      <w:r>
        <w:rPr>
          <w:spacing w:val="-2"/>
        </w:rPr>
        <w:t> </w:t>
      </w:r>
      <w:r>
        <w:rPr/>
        <w:t>a</w:t>
      </w:r>
      <w:r>
        <w:rPr>
          <w:spacing w:val="-2"/>
        </w:rPr>
        <w:t> </w:t>
      </w:r>
      <w:r>
        <w:rPr/>
        <w:t>los</w:t>
      </w:r>
      <w:r>
        <w:rPr>
          <w:spacing w:val="-2"/>
        </w:rPr>
        <w:t> </w:t>
      </w:r>
      <w:r>
        <w:rPr/>
        <w:t>demás</w:t>
      </w:r>
      <w:r>
        <w:rPr>
          <w:spacing w:val="-2"/>
        </w:rPr>
        <w:t> </w:t>
      </w:r>
      <w:r>
        <w:rPr/>
        <w:t>órganos</w:t>
      </w:r>
      <w:r>
        <w:rPr>
          <w:spacing w:val="-2"/>
        </w:rPr>
        <w:t> </w:t>
      </w:r>
      <w:r>
        <w:rPr/>
        <w:t>de</w:t>
      </w:r>
      <w:r>
        <w:rPr>
          <w:spacing w:val="-3"/>
        </w:rPr>
        <w:t> </w:t>
      </w:r>
      <w:r>
        <w:rPr/>
        <w:t>control</w:t>
      </w:r>
      <w:r>
        <w:rPr>
          <w:spacing w:val="-4"/>
        </w:rPr>
        <w:t> </w:t>
      </w:r>
      <w:r>
        <w:rPr/>
        <w:t>competentes</w:t>
      </w:r>
      <w:r>
        <w:rPr>
          <w:spacing w:val="-2"/>
        </w:rPr>
        <w:t> </w:t>
      </w:r>
      <w:r>
        <w:rPr/>
        <w:t>incluidos</w:t>
      </w:r>
      <w:r>
        <w:rPr>
          <w:spacing w:val="-2"/>
        </w:rPr>
        <w:t> </w:t>
      </w:r>
      <w:r>
        <w:rPr/>
        <w:t>en</w:t>
      </w:r>
      <w:r>
        <w:rPr>
          <w:spacing w:val="-3"/>
        </w:rPr>
        <w:t> </w:t>
      </w:r>
      <w:r>
        <w:rPr/>
        <w:t>el</w:t>
      </w:r>
      <w:r>
        <w:rPr>
          <w:spacing w:val="-3"/>
        </w:rPr>
        <w:t> </w:t>
      </w:r>
      <w:r>
        <w:rPr>
          <w:spacing w:val="-2"/>
        </w:rPr>
        <w:t>artículo</w:t>
      </w:r>
    </w:p>
    <w:p>
      <w:pPr>
        <w:pStyle w:val="BodyText"/>
        <w:ind w:left="992"/>
      </w:pPr>
      <w:r>
        <w:rPr/>
        <w:t>22.2.e)</w:t>
      </w:r>
      <w:r>
        <w:rPr>
          <w:spacing w:val="66"/>
        </w:rPr>
        <w:t> </w:t>
      </w:r>
      <w:r>
        <w:rPr/>
        <w:t>del</w:t>
      </w:r>
      <w:r>
        <w:rPr>
          <w:spacing w:val="65"/>
        </w:rPr>
        <w:t> </w:t>
      </w:r>
      <w:r>
        <w:rPr/>
        <w:t>Reglamento</w:t>
      </w:r>
      <w:r>
        <w:rPr>
          <w:spacing w:val="63"/>
        </w:rPr>
        <w:t> </w:t>
      </w:r>
      <w:r>
        <w:rPr/>
        <w:t>(UE)</w:t>
      </w:r>
      <w:r>
        <w:rPr>
          <w:spacing w:val="66"/>
        </w:rPr>
        <w:t> </w:t>
      </w:r>
      <w:r>
        <w:rPr/>
        <w:t>2021/241,</w:t>
      </w:r>
      <w:r>
        <w:rPr>
          <w:spacing w:val="67"/>
        </w:rPr>
        <w:t> </w:t>
      </w:r>
      <w:r>
        <w:rPr/>
        <w:t>de</w:t>
      </w:r>
      <w:r>
        <w:rPr>
          <w:spacing w:val="65"/>
        </w:rPr>
        <w:t> </w:t>
      </w:r>
      <w:r>
        <w:rPr/>
        <w:t>12</w:t>
      </w:r>
      <w:r>
        <w:rPr>
          <w:spacing w:val="66"/>
        </w:rPr>
        <w:t> </w:t>
      </w:r>
      <w:r>
        <w:rPr/>
        <w:t>de</w:t>
      </w:r>
      <w:r>
        <w:rPr>
          <w:spacing w:val="65"/>
        </w:rPr>
        <w:t> </w:t>
      </w:r>
      <w:r>
        <w:rPr/>
        <w:t>febrero</w:t>
      </w:r>
      <w:r>
        <w:rPr>
          <w:spacing w:val="65"/>
        </w:rPr>
        <w:t> </w:t>
      </w:r>
      <w:r>
        <w:rPr/>
        <w:t>de</w:t>
      </w:r>
      <w:r>
        <w:rPr>
          <w:spacing w:val="65"/>
        </w:rPr>
        <w:t> </w:t>
      </w:r>
      <w:r>
        <w:rPr/>
        <w:t>2021,</w:t>
      </w:r>
      <w:r>
        <w:rPr>
          <w:spacing w:val="64"/>
        </w:rPr>
        <w:t> </w:t>
      </w:r>
      <w:r>
        <w:rPr/>
        <w:t>para</w:t>
      </w:r>
      <w:r>
        <w:rPr>
          <w:spacing w:val="65"/>
        </w:rPr>
        <w:t> </w:t>
      </w:r>
      <w:r>
        <w:rPr/>
        <w:t>la</w:t>
      </w:r>
      <w:r>
        <w:rPr>
          <w:spacing w:val="65"/>
        </w:rPr>
        <w:t> </w:t>
      </w:r>
      <w:r>
        <w:rPr/>
        <w:t>verificación</w:t>
      </w:r>
      <w:r>
        <w:rPr>
          <w:spacing w:val="65"/>
        </w:rPr>
        <w:t> </w:t>
      </w:r>
      <w:r>
        <w:rPr/>
        <w:t>del cumplimiento de las condiciones establecidas en la citada Orden.</w:t>
      </w:r>
    </w:p>
    <w:p>
      <w:pPr>
        <w:pStyle w:val="BodyText"/>
        <w:spacing w:before="241"/>
        <w:ind w:left="992" w:right="988"/>
        <w:jc w:val="both"/>
      </w:pPr>
      <w:r>
        <w:rPr/>
        <w:t>El sistema CoFFEE-MRR constituye el sistema de información que soporta la gestión del PRTR, para realizar el seguimiento del grado de cumplimiento de los hitos y objetivos de este. En esta fiscalización se han analizado los principios vinculados con el medio ambiente o con las medidas implantadas</w:t>
      </w:r>
      <w:r>
        <w:rPr>
          <w:spacing w:val="-15"/>
        </w:rPr>
        <w:t> </w:t>
      </w:r>
      <w:r>
        <w:rPr/>
        <w:t>al</w:t>
      </w:r>
      <w:r>
        <w:rPr>
          <w:spacing w:val="-15"/>
        </w:rPr>
        <w:t> </w:t>
      </w:r>
      <w:r>
        <w:rPr/>
        <w:t>servicio</w:t>
      </w:r>
      <w:r>
        <w:rPr>
          <w:spacing w:val="-14"/>
        </w:rPr>
        <w:t> </w:t>
      </w:r>
      <w:r>
        <w:rPr/>
        <w:t>de</w:t>
      </w:r>
      <w:r>
        <w:rPr>
          <w:spacing w:val="-14"/>
        </w:rPr>
        <w:t> </w:t>
      </w:r>
      <w:r>
        <w:rPr/>
        <w:t>garantizar</w:t>
      </w:r>
      <w:r>
        <w:rPr>
          <w:spacing w:val="-15"/>
        </w:rPr>
        <w:t> </w:t>
      </w:r>
      <w:r>
        <w:rPr/>
        <w:t>la</w:t>
      </w:r>
      <w:r>
        <w:rPr>
          <w:spacing w:val="-14"/>
        </w:rPr>
        <w:t> </w:t>
      </w:r>
      <w:r>
        <w:rPr/>
        <w:t>integridad</w:t>
      </w:r>
      <w:r>
        <w:rPr>
          <w:spacing w:val="-16"/>
        </w:rPr>
        <w:t> </w:t>
      </w:r>
      <w:r>
        <w:rPr/>
        <w:t>en</w:t>
      </w:r>
      <w:r>
        <w:rPr>
          <w:spacing w:val="-13"/>
        </w:rPr>
        <w:t> </w:t>
      </w:r>
      <w:r>
        <w:rPr/>
        <w:t>la</w:t>
      </w:r>
      <w:r>
        <w:rPr>
          <w:spacing w:val="-14"/>
        </w:rPr>
        <w:t> </w:t>
      </w:r>
      <w:r>
        <w:rPr/>
        <w:t>gestión</w:t>
      </w:r>
      <w:r>
        <w:rPr>
          <w:spacing w:val="-14"/>
        </w:rPr>
        <w:t> </w:t>
      </w:r>
      <w:r>
        <w:rPr/>
        <w:t>pública,</w:t>
      </w:r>
      <w:r>
        <w:rPr>
          <w:spacing w:val="-15"/>
        </w:rPr>
        <w:t> </w:t>
      </w:r>
      <w:r>
        <w:rPr/>
        <w:t>en</w:t>
      </w:r>
      <w:r>
        <w:rPr>
          <w:spacing w:val="-16"/>
        </w:rPr>
        <w:t> </w:t>
      </w:r>
      <w:r>
        <w:rPr/>
        <w:t>aquello</w:t>
      </w:r>
      <w:r>
        <w:rPr>
          <w:spacing w:val="-13"/>
        </w:rPr>
        <w:t> </w:t>
      </w:r>
      <w:r>
        <w:rPr/>
        <w:t>que</w:t>
      </w:r>
      <w:r>
        <w:rPr>
          <w:spacing w:val="-14"/>
        </w:rPr>
        <w:t> </w:t>
      </w:r>
      <w:r>
        <w:rPr/>
        <w:t>pudiera</w:t>
      </w:r>
      <w:r>
        <w:rPr>
          <w:spacing w:val="-16"/>
        </w:rPr>
        <w:t> </w:t>
      </w:r>
      <w:r>
        <w:rPr/>
        <w:t>tener relación con el objeto de las actuaciones fiscalizadas.</w:t>
      </w:r>
    </w:p>
    <w:p>
      <w:pPr>
        <w:pStyle w:val="BodyText"/>
        <w:spacing w:before="240"/>
        <w:ind w:left="992" w:right="989"/>
        <w:jc w:val="both"/>
      </w:pPr>
      <w:r>
        <w:rPr/>
        <w:t>No</w:t>
      </w:r>
      <w:r>
        <w:rPr>
          <w:spacing w:val="-2"/>
        </w:rPr>
        <w:t> </w:t>
      </w:r>
      <w:r>
        <w:rPr/>
        <w:t>se</w:t>
      </w:r>
      <w:r>
        <w:rPr>
          <w:spacing w:val="-4"/>
        </w:rPr>
        <w:t> </w:t>
      </w:r>
      <w:r>
        <w:rPr/>
        <w:t>ha</w:t>
      </w:r>
      <w:r>
        <w:rPr>
          <w:spacing w:val="-4"/>
        </w:rPr>
        <w:t> </w:t>
      </w:r>
      <w:r>
        <w:rPr/>
        <w:t>verificado,</w:t>
      </w:r>
      <w:r>
        <w:rPr>
          <w:spacing w:val="-3"/>
        </w:rPr>
        <w:t> </w:t>
      </w:r>
      <w:r>
        <w:rPr/>
        <w:t>por</w:t>
      </w:r>
      <w:r>
        <w:rPr>
          <w:spacing w:val="-5"/>
        </w:rPr>
        <w:t> </w:t>
      </w:r>
      <w:r>
        <w:rPr/>
        <w:t>no</w:t>
      </w:r>
      <w:r>
        <w:rPr>
          <w:spacing w:val="-2"/>
        </w:rPr>
        <w:t> </w:t>
      </w:r>
      <w:r>
        <w:rPr/>
        <w:t>encontrarse</w:t>
      </w:r>
      <w:r>
        <w:rPr>
          <w:spacing w:val="-4"/>
        </w:rPr>
        <w:t> </w:t>
      </w:r>
      <w:r>
        <w:rPr/>
        <w:t>entre</w:t>
      </w:r>
      <w:r>
        <w:rPr>
          <w:spacing w:val="-4"/>
        </w:rPr>
        <w:t> </w:t>
      </w:r>
      <w:r>
        <w:rPr/>
        <w:t>sus</w:t>
      </w:r>
      <w:r>
        <w:rPr>
          <w:spacing w:val="-4"/>
        </w:rPr>
        <w:t> </w:t>
      </w:r>
      <w:r>
        <w:rPr/>
        <w:t>objetivos,</w:t>
      </w:r>
      <w:r>
        <w:rPr>
          <w:spacing w:val="-1"/>
        </w:rPr>
        <w:t> </w:t>
      </w:r>
      <w:r>
        <w:rPr/>
        <w:t>las</w:t>
      </w:r>
      <w:r>
        <w:rPr>
          <w:spacing w:val="-4"/>
        </w:rPr>
        <w:t> </w:t>
      </w:r>
      <w:r>
        <w:rPr/>
        <w:t>comunicaciones</w:t>
      </w:r>
      <w:r>
        <w:rPr>
          <w:spacing w:val="-2"/>
        </w:rPr>
        <w:t> </w:t>
      </w:r>
      <w:r>
        <w:rPr/>
        <w:t>efectuadas</w:t>
      </w:r>
      <w:r>
        <w:rPr>
          <w:spacing w:val="-4"/>
        </w:rPr>
        <w:t> </w:t>
      </w:r>
      <w:r>
        <w:rPr/>
        <w:t>por</w:t>
      </w:r>
      <w:r>
        <w:rPr>
          <w:spacing w:val="-1"/>
        </w:rPr>
        <w:t> </w:t>
      </w:r>
      <w:r>
        <w:rPr/>
        <w:t>las entidades</w:t>
      </w:r>
      <w:r>
        <w:rPr>
          <w:spacing w:val="-6"/>
        </w:rPr>
        <w:t> </w:t>
      </w:r>
      <w:r>
        <w:rPr/>
        <w:t>fiscalizadas</w:t>
      </w:r>
      <w:r>
        <w:rPr>
          <w:spacing w:val="-4"/>
        </w:rPr>
        <w:t> </w:t>
      </w:r>
      <w:r>
        <w:rPr/>
        <w:t>a</w:t>
      </w:r>
      <w:r>
        <w:rPr>
          <w:spacing w:val="-9"/>
        </w:rPr>
        <w:t> </w:t>
      </w:r>
      <w:r>
        <w:rPr/>
        <w:t>través</w:t>
      </w:r>
      <w:r>
        <w:rPr>
          <w:spacing w:val="-6"/>
        </w:rPr>
        <w:t> </w:t>
      </w:r>
      <w:r>
        <w:rPr/>
        <w:t>del</w:t>
      </w:r>
      <w:r>
        <w:rPr>
          <w:spacing w:val="-7"/>
        </w:rPr>
        <w:t> </w:t>
      </w:r>
      <w:r>
        <w:rPr/>
        <w:t>citado</w:t>
      </w:r>
      <w:r>
        <w:rPr>
          <w:spacing w:val="-6"/>
        </w:rPr>
        <w:t> </w:t>
      </w:r>
      <w:r>
        <w:rPr/>
        <w:t>sistema,</w:t>
      </w:r>
      <w:r>
        <w:rPr>
          <w:spacing w:val="-5"/>
        </w:rPr>
        <w:t> </w:t>
      </w:r>
      <w:r>
        <w:rPr/>
        <w:t>tales</w:t>
      </w:r>
      <w:r>
        <w:rPr>
          <w:spacing w:val="-6"/>
        </w:rPr>
        <w:t> </w:t>
      </w:r>
      <w:r>
        <w:rPr/>
        <w:t>como</w:t>
      </w:r>
      <w:r>
        <w:rPr>
          <w:spacing w:val="-4"/>
        </w:rPr>
        <w:t> </w:t>
      </w:r>
      <w:r>
        <w:rPr/>
        <w:t>la</w:t>
      </w:r>
      <w:r>
        <w:rPr>
          <w:spacing w:val="-6"/>
        </w:rPr>
        <w:t> </w:t>
      </w:r>
      <w:r>
        <w:rPr/>
        <w:t>identificación</w:t>
      </w:r>
      <w:r>
        <w:rPr>
          <w:spacing w:val="-4"/>
        </w:rPr>
        <w:t> </w:t>
      </w:r>
      <w:r>
        <w:rPr/>
        <w:t>del</w:t>
      </w:r>
      <w:r>
        <w:rPr>
          <w:spacing w:val="-7"/>
        </w:rPr>
        <w:t> </w:t>
      </w:r>
      <w:r>
        <w:rPr/>
        <w:t>perceptor</w:t>
      </w:r>
      <w:r>
        <w:rPr>
          <w:spacing w:val="-8"/>
        </w:rPr>
        <w:t> </w:t>
      </w:r>
      <w:r>
        <w:rPr/>
        <w:t>final</w:t>
      </w:r>
      <w:r>
        <w:rPr>
          <w:spacing w:val="-5"/>
        </w:rPr>
        <w:t> </w:t>
      </w:r>
      <w:r>
        <w:rPr/>
        <w:t>de los fondos en cuanto a los contratistas o subcontratistas, ni tampoco el seguimiento de los hitos y objetivos</w:t>
      </w:r>
      <w:r>
        <w:rPr>
          <w:spacing w:val="-4"/>
        </w:rPr>
        <w:t> </w:t>
      </w:r>
      <w:r>
        <w:rPr/>
        <w:t>del</w:t>
      </w:r>
      <w:r>
        <w:rPr>
          <w:spacing w:val="-4"/>
        </w:rPr>
        <w:t> </w:t>
      </w:r>
      <w:r>
        <w:rPr/>
        <w:t>Programa</w:t>
      </w:r>
      <w:r>
        <w:rPr>
          <w:spacing w:val="-3"/>
        </w:rPr>
        <w:t> </w:t>
      </w:r>
      <w:r>
        <w:rPr/>
        <w:t>de</w:t>
      </w:r>
      <w:r>
        <w:rPr>
          <w:spacing w:val="-2"/>
        </w:rPr>
        <w:t> </w:t>
      </w:r>
      <w:r>
        <w:rPr/>
        <w:t>ayudas</w:t>
      </w:r>
      <w:r>
        <w:rPr>
          <w:spacing w:val="-4"/>
        </w:rPr>
        <w:t> </w:t>
      </w:r>
      <w:r>
        <w:rPr/>
        <w:t>para</w:t>
      </w:r>
      <w:r>
        <w:rPr>
          <w:spacing w:val="-4"/>
        </w:rPr>
        <w:t> </w:t>
      </w:r>
      <w:r>
        <w:rPr/>
        <w:t>la</w:t>
      </w:r>
      <w:r>
        <w:rPr>
          <w:spacing w:val="-4"/>
        </w:rPr>
        <w:t> </w:t>
      </w:r>
      <w:r>
        <w:rPr/>
        <w:t>transformación</w:t>
      </w:r>
      <w:r>
        <w:rPr>
          <w:spacing w:val="-2"/>
        </w:rPr>
        <w:t> </w:t>
      </w:r>
      <w:r>
        <w:rPr/>
        <w:t>digital</w:t>
      </w:r>
      <w:r>
        <w:rPr>
          <w:spacing w:val="-3"/>
        </w:rPr>
        <w:t> </w:t>
      </w:r>
      <w:r>
        <w:rPr/>
        <w:t>y</w:t>
      </w:r>
      <w:r>
        <w:rPr>
          <w:spacing w:val="-4"/>
        </w:rPr>
        <w:t> </w:t>
      </w:r>
      <w:r>
        <w:rPr/>
        <w:t>sostenible</w:t>
      </w:r>
      <w:r>
        <w:rPr>
          <w:spacing w:val="-2"/>
        </w:rPr>
        <w:t> </w:t>
      </w:r>
      <w:r>
        <w:rPr/>
        <w:t>del</w:t>
      </w:r>
      <w:r>
        <w:rPr>
          <w:spacing w:val="-5"/>
        </w:rPr>
        <w:t> </w:t>
      </w:r>
      <w:r>
        <w:rPr/>
        <w:t>transporte</w:t>
      </w:r>
      <w:r>
        <w:rPr>
          <w:spacing w:val="-4"/>
        </w:rPr>
        <w:t> </w:t>
      </w:r>
      <w:r>
        <w:rPr/>
        <w:t>urbano, </w:t>
      </w:r>
      <w:r>
        <w:rPr>
          <w:spacing w:val="-2"/>
        </w:rPr>
        <w:t>PRTR.</w:t>
      </w:r>
    </w:p>
    <w:p>
      <w:pPr>
        <w:pStyle w:val="BodyText"/>
        <w:spacing w:before="107"/>
      </w:pPr>
    </w:p>
    <w:p>
      <w:pPr>
        <w:pStyle w:val="ListParagraph"/>
        <w:numPr>
          <w:ilvl w:val="3"/>
          <w:numId w:val="7"/>
        </w:numPr>
        <w:tabs>
          <w:tab w:pos="1841" w:val="left" w:leader="none"/>
          <w:tab w:pos="1856" w:val="left" w:leader="none"/>
        </w:tabs>
        <w:spacing w:line="240" w:lineRule="auto" w:before="0" w:after="0"/>
        <w:ind w:left="1856" w:right="993" w:hanging="864"/>
        <w:jc w:val="left"/>
        <w:rPr>
          <w:sz w:val="22"/>
        </w:rPr>
      </w:pPr>
      <w:r>
        <w:rPr>
          <w:sz w:val="22"/>
        </w:rPr>
        <w:t>ANÁLISIS</w:t>
      </w:r>
      <w:r>
        <w:rPr>
          <w:spacing w:val="80"/>
          <w:sz w:val="22"/>
        </w:rPr>
        <w:t> </w:t>
      </w:r>
      <w:r>
        <w:rPr>
          <w:sz w:val="22"/>
        </w:rPr>
        <w:t>DE</w:t>
      </w:r>
      <w:r>
        <w:rPr>
          <w:spacing w:val="80"/>
          <w:sz w:val="22"/>
        </w:rPr>
        <w:t> </w:t>
      </w:r>
      <w:r>
        <w:rPr>
          <w:sz w:val="22"/>
        </w:rPr>
        <w:t>RIESGO</w:t>
      </w:r>
      <w:r>
        <w:rPr>
          <w:spacing w:val="80"/>
          <w:sz w:val="22"/>
        </w:rPr>
        <w:t> </w:t>
      </w:r>
      <w:r>
        <w:rPr>
          <w:sz w:val="22"/>
        </w:rPr>
        <w:t>EN</w:t>
      </w:r>
      <w:r>
        <w:rPr>
          <w:spacing w:val="80"/>
          <w:sz w:val="22"/>
        </w:rPr>
        <w:t> </w:t>
      </w:r>
      <w:r>
        <w:rPr>
          <w:sz w:val="22"/>
        </w:rPr>
        <w:t>RELACIÓN</w:t>
      </w:r>
      <w:r>
        <w:rPr>
          <w:spacing w:val="80"/>
          <w:sz w:val="22"/>
        </w:rPr>
        <w:t> </w:t>
      </w:r>
      <w:r>
        <w:rPr>
          <w:sz w:val="22"/>
        </w:rPr>
        <w:t>CON</w:t>
      </w:r>
      <w:r>
        <w:rPr>
          <w:spacing w:val="80"/>
          <w:sz w:val="22"/>
        </w:rPr>
        <w:t> </w:t>
      </w:r>
      <w:r>
        <w:rPr>
          <w:sz w:val="22"/>
        </w:rPr>
        <w:t>POSIBLES</w:t>
      </w:r>
      <w:r>
        <w:rPr>
          <w:spacing w:val="80"/>
          <w:sz w:val="22"/>
        </w:rPr>
        <w:t> </w:t>
      </w:r>
      <w:r>
        <w:rPr>
          <w:sz w:val="22"/>
        </w:rPr>
        <w:t>IMPACTOS</w:t>
      </w:r>
      <w:r>
        <w:rPr>
          <w:spacing w:val="80"/>
          <w:sz w:val="22"/>
        </w:rPr>
        <w:t> </w:t>
      </w:r>
      <w:r>
        <w:rPr>
          <w:sz w:val="22"/>
        </w:rPr>
        <w:t>NEGATIVOS SIGNIFICATIVOS EN EL MEDIO AMBIENTE</w:t>
      </w:r>
    </w:p>
    <w:p>
      <w:pPr>
        <w:pStyle w:val="BodyText"/>
        <w:spacing w:before="241"/>
        <w:ind w:left="992" w:right="987"/>
        <w:jc w:val="both"/>
      </w:pPr>
      <w:r>
        <w:rPr/>
        <w:t>El PRTR contempla que ninguna medida cause un perjuicio significativo a objetivos medioambientales. En consonancia con esta previsión, la Orden TMA/892/2021 obliga a las entidades beneficiarias que garanticen, en el diseño y ejecución de las actuaciones subvencionadas, el respeto al principio de no causar un perjuicio significativo (DNSH), no siendo subvencionables aquellos proyectos que no respeten plenamente las normas y prioridades de la Unión</w:t>
      </w:r>
      <w:r>
        <w:rPr>
          <w:spacing w:val="19"/>
        </w:rPr>
        <w:t> </w:t>
      </w:r>
      <w:r>
        <w:rPr/>
        <w:t>Europea</w:t>
      </w:r>
      <w:r>
        <w:rPr>
          <w:spacing w:val="19"/>
        </w:rPr>
        <w:t> </w:t>
      </w:r>
      <w:r>
        <w:rPr/>
        <w:t>en</w:t>
      </w:r>
      <w:r>
        <w:rPr>
          <w:spacing w:val="19"/>
        </w:rPr>
        <w:t> </w:t>
      </w:r>
      <w:r>
        <w:rPr/>
        <w:t>materia</w:t>
      </w:r>
      <w:r>
        <w:rPr>
          <w:spacing w:val="20"/>
        </w:rPr>
        <w:t> </w:t>
      </w:r>
      <w:r>
        <w:rPr/>
        <w:t>climática</w:t>
      </w:r>
      <w:r>
        <w:rPr>
          <w:spacing w:val="19"/>
        </w:rPr>
        <w:t> </w:t>
      </w:r>
      <w:r>
        <w:rPr/>
        <w:t>y</w:t>
      </w:r>
      <w:r>
        <w:rPr>
          <w:spacing w:val="18"/>
        </w:rPr>
        <w:t> </w:t>
      </w:r>
      <w:r>
        <w:rPr/>
        <w:t>medioambiental,</w:t>
      </w:r>
      <w:r>
        <w:rPr>
          <w:spacing w:val="21"/>
        </w:rPr>
        <w:t> </w:t>
      </w:r>
      <w:r>
        <w:rPr/>
        <w:t>así</w:t>
      </w:r>
      <w:r>
        <w:rPr>
          <w:spacing w:val="21"/>
        </w:rPr>
        <w:t> </w:t>
      </w:r>
      <w:r>
        <w:rPr/>
        <w:t>como</w:t>
      </w:r>
      <w:r>
        <w:rPr>
          <w:spacing w:val="20"/>
        </w:rPr>
        <w:t> </w:t>
      </w:r>
      <w:r>
        <w:rPr/>
        <w:t>dicho</w:t>
      </w:r>
      <w:r>
        <w:rPr>
          <w:spacing w:val="19"/>
        </w:rPr>
        <w:t> </w:t>
      </w:r>
      <w:r>
        <w:rPr/>
        <w:t>principio.</w:t>
      </w:r>
      <w:r>
        <w:rPr>
          <w:spacing w:val="21"/>
        </w:rPr>
        <w:t> </w:t>
      </w:r>
      <w:r>
        <w:rPr/>
        <w:t>Para</w:t>
      </w:r>
      <w:r>
        <w:rPr>
          <w:spacing w:val="20"/>
        </w:rPr>
        <w:t> </w:t>
      </w:r>
      <w:r>
        <w:rPr/>
        <w:t>ello,</w:t>
      </w:r>
      <w:r>
        <w:rPr>
          <w:spacing w:val="22"/>
        </w:rPr>
        <w:t> </w:t>
      </w:r>
      <w:r>
        <w:rPr/>
        <w:t>cada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8"/>
        <w:jc w:val="both"/>
      </w:pPr>
      <w:r>
        <w:rPr/>
        <w:t>solicitud</w:t>
      </w:r>
      <w:r>
        <w:rPr>
          <w:spacing w:val="-10"/>
        </w:rPr>
        <w:t> </w:t>
      </w:r>
      <w:r>
        <w:rPr/>
        <w:t>de</w:t>
      </w:r>
      <w:r>
        <w:rPr>
          <w:spacing w:val="-10"/>
        </w:rPr>
        <w:t> </w:t>
      </w:r>
      <w:r>
        <w:rPr/>
        <w:t>subvención</w:t>
      </w:r>
      <w:r>
        <w:rPr>
          <w:spacing w:val="-10"/>
        </w:rPr>
        <w:t> </w:t>
      </w:r>
      <w:r>
        <w:rPr/>
        <w:t>debe</w:t>
      </w:r>
      <w:r>
        <w:rPr>
          <w:spacing w:val="-10"/>
        </w:rPr>
        <w:t> </w:t>
      </w:r>
      <w:r>
        <w:rPr/>
        <w:t>ir</w:t>
      </w:r>
      <w:r>
        <w:rPr>
          <w:spacing w:val="-9"/>
        </w:rPr>
        <w:t> </w:t>
      </w:r>
      <w:r>
        <w:rPr/>
        <w:t>acompañada</w:t>
      </w:r>
      <w:r>
        <w:rPr>
          <w:spacing w:val="-12"/>
        </w:rPr>
        <w:t> </w:t>
      </w:r>
      <w:r>
        <w:rPr/>
        <w:t>de</w:t>
      </w:r>
      <w:r>
        <w:rPr>
          <w:spacing w:val="-10"/>
        </w:rPr>
        <w:t> </w:t>
      </w:r>
      <w:r>
        <w:rPr/>
        <w:t>una</w:t>
      </w:r>
      <w:r>
        <w:rPr>
          <w:spacing w:val="-9"/>
        </w:rPr>
        <w:t> </w:t>
      </w:r>
      <w:r>
        <w:rPr/>
        <w:t>declaración</w:t>
      </w:r>
      <w:r>
        <w:rPr>
          <w:spacing w:val="-12"/>
        </w:rPr>
        <w:t> </w:t>
      </w:r>
      <w:r>
        <w:rPr/>
        <w:t>responsable</w:t>
      </w:r>
      <w:r>
        <w:rPr>
          <w:spacing w:val="-10"/>
        </w:rPr>
        <w:t> </w:t>
      </w:r>
      <w:r>
        <w:rPr/>
        <w:t>sobre</w:t>
      </w:r>
      <w:r>
        <w:rPr>
          <w:spacing w:val="-10"/>
        </w:rPr>
        <w:t> </w:t>
      </w:r>
      <w:r>
        <w:rPr/>
        <w:t>el</w:t>
      </w:r>
      <w:r>
        <w:rPr>
          <w:spacing w:val="-12"/>
        </w:rPr>
        <w:t> </w:t>
      </w:r>
      <w:r>
        <w:rPr/>
        <w:t>cumplimiento del principio DNSH.</w:t>
      </w:r>
    </w:p>
    <w:p>
      <w:pPr>
        <w:pStyle w:val="BodyText"/>
        <w:spacing w:before="240"/>
        <w:ind w:left="992" w:right="987"/>
        <w:jc w:val="both"/>
      </w:pPr>
      <w:r>
        <w:rPr/>
        <w:t>Conforme a lo anterior, las entidades locales examinadas han presentado la declaración responsable sobre el cumplimiento del principio de DNSH y han expuesto en las memorias presentadas</w:t>
      </w:r>
      <w:r>
        <w:rPr>
          <w:spacing w:val="-2"/>
        </w:rPr>
        <w:t> </w:t>
      </w:r>
      <w:r>
        <w:rPr/>
        <w:t>la contribución que sus</w:t>
      </w:r>
      <w:r>
        <w:rPr>
          <w:spacing w:val="-2"/>
        </w:rPr>
        <w:t> </w:t>
      </w:r>
      <w:r>
        <w:rPr/>
        <w:t>respectivos proyectos hacen en</w:t>
      </w:r>
      <w:r>
        <w:rPr>
          <w:spacing w:val="-2"/>
        </w:rPr>
        <w:t> </w:t>
      </w:r>
      <w:r>
        <w:rPr/>
        <w:t>favor</w:t>
      </w:r>
      <w:r>
        <w:rPr>
          <w:spacing w:val="-1"/>
        </w:rPr>
        <w:t> </w:t>
      </w:r>
      <w:r>
        <w:rPr/>
        <w:t>de la calidad ambiental, la eficiencia energética y la economía circular (promoción del cambio modal, minimizando el transporte privado y potenciando el transporte colectivo y la disuasión de utilización de vehículos privados y más contaminantes; reposición de la flota incorporando buses con motorización no contaminante para conseguir un sistema de transportes más limpio y amigable con el medio ambiente y que tendrá como ventajas un menor coste de consumo, menor contaminación atmosférica, cero emisión de ruidos y costes de mantenimientos más económicos; instalación de puntos de recarga para la descarbonización del transporte público; implementación de zonas de bajas emisiones; y creación de plataformas que contribuyen a la eliminación de impresiones y desperdicio de papel, entre otros).</w:t>
      </w:r>
    </w:p>
    <w:p>
      <w:pPr>
        <w:pStyle w:val="BodyText"/>
        <w:spacing w:before="108"/>
      </w:pPr>
    </w:p>
    <w:p>
      <w:pPr>
        <w:pStyle w:val="ListParagraph"/>
        <w:numPr>
          <w:ilvl w:val="3"/>
          <w:numId w:val="7"/>
        </w:numPr>
        <w:tabs>
          <w:tab w:pos="1779" w:val="left" w:leader="none"/>
          <w:tab w:pos="1856" w:val="left" w:leader="none"/>
        </w:tabs>
        <w:spacing w:line="240" w:lineRule="auto" w:before="0" w:after="0"/>
        <w:ind w:left="1856" w:right="993" w:hanging="864"/>
        <w:jc w:val="left"/>
        <w:rPr>
          <w:sz w:val="22"/>
        </w:rPr>
      </w:pPr>
      <w:r>
        <w:rPr>
          <w:sz w:val="22"/>
        </w:rPr>
        <w:t>REFUERZO</w:t>
      </w:r>
      <w:r>
        <w:rPr>
          <w:spacing w:val="80"/>
          <w:w w:val="150"/>
          <w:sz w:val="22"/>
        </w:rPr>
        <w:t> </w:t>
      </w:r>
      <w:r>
        <w:rPr>
          <w:sz w:val="22"/>
        </w:rPr>
        <w:t>DE</w:t>
      </w:r>
      <w:r>
        <w:rPr>
          <w:spacing w:val="80"/>
          <w:w w:val="150"/>
          <w:sz w:val="22"/>
        </w:rPr>
        <w:t> </w:t>
      </w:r>
      <w:r>
        <w:rPr>
          <w:sz w:val="22"/>
        </w:rPr>
        <w:t>LOS</w:t>
      </w:r>
      <w:r>
        <w:rPr>
          <w:spacing w:val="80"/>
          <w:w w:val="150"/>
          <w:sz w:val="22"/>
        </w:rPr>
        <w:t> </w:t>
      </w:r>
      <w:r>
        <w:rPr>
          <w:sz w:val="22"/>
        </w:rPr>
        <w:t>MECANISMOS</w:t>
      </w:r>
      <w:r>
        <w:rPr>
          <w:spacing w:val="80"/>
          <w:w w:val="150"/>
          <w:sz w:val="22"/>
        </w:rPr>
        <w:t> </w:t>
      </w:r>
      <w:r>
        <w:rPr>
          <w:sz w:val="22"/>
        </w:rPr>
        <w:t>PARA</w:t>
      </w:r>
      <w:r>
        <w:rPr>
          <w:spacing w:val="80"/>
          <w:w w:val="150"/>
          <w:sz w:val="22"/>
        </w:rPr>
        <w:t> </w:t>
      </w:r>
      <w:r>
        <w:rPr>
          <w:sz w:val="22"/>
        </w:rPr>
        <w:t>LA</w:t>
      </w:r>
      <w:r>
        <w:rPr>
          <w:spacing w:val="80"/>
          <w:w w:val="150"/>
          <w:sz w:val="22"/>
        </w:rPr>
        <w:t> </w:t>
      </w:r>
      <w:r>
        <w:rPr>
          <w:sz w:val="22"/>
        </w:rPr>
        <w:t>PREVENCIÓN,</w:t>
      </w:r>
      <w:r>
        <w:rPr>
          <w:spacing w:val="80"/>
          <w:w w:val="150"/>
          <w:sz w:val="22"/>
        </w:rPr>
        <w:t> </w:t>
      </w:r>
      <w:r>
        <w:rPr>
          <w:sz w:val="22"/>
        </w:rPr>
        <w:t>DETECCIÓN</w:t>
      </w:r>
      <w:r>
        <w:rPr>
          <w:spacing w:val="80"/>
          <w:w w:val="150"/>
          <w:sz w:val="22"/>
        </w:rPr>
        <w:t> </w:t>
      </w:r>
      <w:r>
        <w:rPr>
          <w:sz w:val="22"/>
        </w:rPr>
        <w:t>Y CORRECCIÓN DEL FRAUDE, LA CORRUPCIÓN Y LOS CONFLICTOS DE INTERÉS</w:t>
      </w:r>
    </w:p>
    <w:p>
      <w:pPr>
        <w:pStyle w:val="BodyText"/>
        <w:spacing w:before="241"/>
        <w:ind w:left="992" w:right="987"/>
        <w:jc w:val="both"/>
      </w:pPr>
      <w:r>
        <w:rPr/>
        <w:t>La Orden HFP/1030/2021 requiere, para la prevención, detección y corrección del fraude, la corrupción y los conflictos de interés, que las entidades que participen en la ejecución de las medidas del PRTR</w:t>
      </w:r>
      <w:r>
        <w:rPr>
          <w:spacing w:val="-1"/>
        </w:rPr>
        <w:t> </w:t>
      </w:r>
      <w:r>
        <w:rPr/>
        <w:t>deben elaborar y aprobar</w:t>
      </w:r>
      <w:r>
        <w:rPr>
          <w:spacing w:val="-1"/>
        </w:rPr>
        <w:t> </w:t>
      </w:r>
      <w:r>
        <w:rPr/>
        <w:t>un</w:t>
      </w:r>
      <w:r>
        <w:rPr>
          <w:spacing w:val="-2"/>
        </w:rPr>
        <w:t> </w:t>
      </w:r>
      <w:r>
        <w:rPr/>
        <w:t>Plan de medidas antifraude (PMA) y llevar a</w:t>
      </w:r>
      <w:r>
        <w:rPr>
          <w:spacing w:val="-2"/>
        </w:rPr>
        <w:t> </w:t>
      </w:r>
      <w:r>
        <w:rPr/>
        <w:t>cabo la evaluación del riesgo de fraude; la cumplimentación de las Declaraciones de Ausencia de Conflicto de Interés (DACI); y la disponibilidad de un procedimiento para abordar los conflictos de </w:t>
      </w:r>
      <w:r>
        <w:rPr>
          <w:spacing w:val="-2"/>
        </w:rPr>
        <w:t>interés.</w:t>
      </w:r>
    </w:p>
    <w:p>
      <w:pPr>
        <w:pStyle w:val="ListParagraph"/>
        <w:numPr>
          <w:ilvl w:val="0"/>
          <w:numId w:val="8"/>
        </w:numPr>
        <w:tabs>
          <w:tab w:pos="1350" w:val="left" w:leader="none"/>
        </w:tabs>
        <w:spacing w:line="240" w:lineRule="auto" w:before="239" w:after="0"/>
        <w:ind w:left="1350" w:right="0" w:hanging="358"/>
        <w:jc w:val="left"/>
        <w:rPr>
          <w:sz w:val="22"/>
        </w:rPr>
      </w:pPr>
      <w:r>
        <w:rPr>
          <w:sz w:val="22"/>
        </w:rPr>
        <w:t>Plan</w:t>
      </w:r>
      <w:r>
        <w:rPr>
          <w:spacing w:val="-4"/>
          <w:sz w:val="22"/>
        </w:rPr>
        <w:t> </w:t>
      </w:r>
      <w:r>
        <w:rPr>
          <w:sz w:val="22"/>
        </w:rPr>
        <w:t>de</w:t>
      </w:r>
      <w:r>
        <w:rPr>
          <w:spacing w:val="-4"/>
          <w:sz w:val="22"/>
        </w:rPr>
        <w:t> </w:t>
      </w:r>
      <w:r>
        <w:rPr>
          <w:sz w:val="22"/>
        </w:rPr>
        <w:t>Medidas</w:t>
      </w:r>
      <w:r>
        <w:rPr>
          <w:spacing w:val="-5"/>
          <w:sz w:val="22"/>
        </w:rPr>
        <w:t> </w:t>
      </w:r>
      <w:r>
        <w:rPr>
          <w:spacing w:val="-2"/>
          <w:sz w:val="22"/>
        </w:rPr>
        <w:t>Antifraude</w:t>
      </w:r>
      <w:hyperlink w:history="true" w:anchor="_bookmark110">
        <w:r>
          <w:rPr>
            <w:spacing w:val="-2"/>
            <w:sz w:val="22"/>
            <w:vertAlign w:val="superscript"/>
          </w:rPr>
          <w:t>70</w:t>
        </w:r>
        <w:r>
          <w:rPr>
            <w:spacing w:val="-2"/>
            <w:sz w:val="22"/>
            <w:vertAlign w:val="baseline"/>
          </w:rPr>
          <w:t>.</w:t>
        </w:r>
      </w:hyperlink>
    </w:p>
    <w:p>
      <w:pPr>
        <w:pStyle w:val="BodyText"/>
        <w:spacing w:before="242"/>
        <w:ind w:left="992" w:right="985"/>
        <w:jc w:val="both"/>
      </w:pPr>
      <w:r>
        <w:rPr/>
        <w:t>Las</w:t>
      </w:r>
      <w:r>
        <w:rPr>
          <w:spacing w:val="-4"/>
        </w:rPr>
        <w:t> </w:t>
      </w:r>
      <w:r>
        <w:rPr/>
        <w:t>entidades</w:t>
      </w:r>
      <w:r>
        <w:rPr>
          <w:spacing w:val="-4"/>
        </w:rPr>
        <w:t> </w:t>
      </w:r>
      <w:r>
        <w:rPr/>
        <w:t>ejecutoras</w:t>
      </w:r>
      <w:r>
        <w:rPr>
          <w:spacing w:val="-6"/>
        </w:rPr>
        <w:t> </w:t>
      </w:r>
      <w:r>
        <w:rPr/>
        <w:t>deben</w:t>
      </w:r>
      <w:r>
        <w:rPr>
          <w:spacing w:val="-4"/>
        </w:rPr>
        <w:t> </w:t>
      </w:r>
      <w:r>
        <w:rPr/>
        <w:t>aprobar</w:t>
      </w:r>
      <w:r>
        <w:rPr>
          <w:spacing w:val="-3"/>
        </w:rPr>
        <w:t> </w:t>
      </w:r>
      <w:r>
        <w:rPr/>
        <w:t>el</w:t>
      </w:r>
      <w:r>
        <w:rPr>
          <w:spacing w:val="-5"/>
        </w:rPr>
        <w:t> </w:t>
      </w:r>
      <w:r>
        <w:rPr/>
        <w:t>PMA</w:t>
      </w:r>
      <w:r>
        <w:rPr>
          <w:spacing w:val="-4"/>
        </w:rPr>
        <w:t> </w:t>
      </w:r>
      <w:r>
        <w:rPr/>
        <w:t>en</w:t>
      </w:r>
      <w:r>
        <w:rPr>
          <w:spacing w:val="-4"/>
        </w:rPr>
        <w:t> </w:t>
      </w:r>
      <w:r>
        <w:rPr/>
        <w:t>un</w:t>
      </w:r>
      <w:r>
        <w:rPr>
          <w:spacing w:val="-4"/>
        </w:rPr>
        <w:t> </w:t>
      </w:r>
      <w:r>
        <w:rPr/>
        <w:t>plazo</w:t>
      </w:r>
      <w:r>
        <w:rPr>
          <w:spacing w:val="-4"/>
        </w:rPr>
        <w:t> </w:t>
      </w:r>
      <w:r>
        <w:rPr/>
        <w:t>inferior</w:t>
      </w:r>
      <w:r>
        <w:rPr>
          <w:spacing w:val="-3"/>
        </w:rPr>
        <w:t> </w:t>
      </w:r>
      <w:r>
        <w:rPr/>
        <w:t>a</w:t>
      </w:r>
      <w:r>
        <w:rPr>
          <w:spacing w:val="-4"/>
        </w:rPr>
        <w:t> </w:t>
      </w:r>
      <w:r>
        <w:rPr/>
        <w:t>90</w:t>
      </w:r>
      <w:r>
        <w:rPr>
          <w:spacing w:val="-4"/>
        </w:rPr>
        <w:t> </w:t>
      </w:r>
      <w:r>
        <w:rPr/>
        <w:t>días</w:t>
      </w:r>
      <w:r>
        <w:rPr>
          <w:spacing w:val="-4"/>
        </w:rPr>
        <w:t> </w:t>
      </w:r>
      <w:r>
        <w:rPr/>
        <w:t>desde</w:t>
      </w:r>
      <w:r>
        <w:rPr>
          <w:spacing w:val="-7"/>
        </w:rPr>
        <w:t> </w:t>
      </w:r>
      <w:r>
        <w:rPr/>
        <w:t>su</w:t>
      </w:r>
      <w:r>
        <w:rPr>
          <w:spacing w:val="-4"/>
        </w:rPr>
        <w:t> </w:t>
      </w:r>
      <w:r>
        <w:rPr/>
        <w:t>entrada</w:t>
      </w:r>
      <w:r>
        <w:rPr>
          <w:spacing w:val="-6"/>
        </w:rPr>
        <w:t> </w:t>
      </w:r>
      <w:r>
        <w:rPr/>
        <w:t>en vigor o, en su caso, desde que las entidades tuvieran conocimiento de la participación en la ejecución del PRTR, lo que se identifica con la fecha de resolución definitiva de la concesión de la subvención. Todas las entidades fiscalizadas han aprobado un PMA con posterioridad a la presentación</w:t>
      </w:r>
      <w:r>
        <w:rPr>
          <w:spacing w:val="-16"/>
        </w:rPr>
        <w:t> </w:t>
      </w:r>
      <w:r>
        <w:rPr/>
        <w:t>de</w:t>
      </w:r>
      <w:r>
        <w:rPr>
          <w:spacing w:val="-15"/>
        </w:rPr>
        <w:t> </w:t>
      </w:r>
      <w:r>
        <w:rPr/>
        <w:t>la</w:t>
      </w:r>
      <w:r>
        <w:rPr>
          <w:spacing w:val="-15"/>
        </w:rPr>
        <w:t> </w:t>
      </w:r>
      <w:r>
        <w:rPr/>
        <w:t>solicitud</w:t>
      </w:r>
      <w:r>
        <w:rPr>
          <w:spacing w:val="-16"/>
        </w:rPr>
        <w:t> </w:t>
      </w:r>
      <w:r>
        <w:rPr/>
        <w:t>de</w:t>
      </w:r>
      <w:r>
        <w:rPr>
          <w:spacing w:val="-15"/>
        </w:rPr>
        <w:t> </w:t>
      </w:r>
      <w:r>
        <w:rPr/>
        <w:t>las</w:t>
      </w:r>
      <w:r>
        <w:rPr>
          <w:spacing w:val="-15"/>
        </w:rPr>
        <w:t> </w:t>
      </w:r>
      <w:r>
        <w:rPr/>
        <w:t>subvenciones</w:t>
      </w:r>
      <w:r>
        <w:rPr>
          <w:spacing w:val="-15"/>
        </w:rPr>
        <w:t> </w:t>
      </w:r>
      <w:r>
        <w:rPr/>
        <w:t>de</w:t>
      </w:r>
      <w:r>
        <w:rPr>
          <w:spacing w:val="-15"/>
        </w:rPr>
        <w:t> </w:t>
      </w:r>
      <w:r>
        <w:rPr/>
        <w:t>la</w:t>
      </w:r>
      <w:r>
        <w:rPr>
          <w:spacing w:val="-15"/>
        </w:rPr>
        <w:t> </w:t>
      </w:r>
      <w:r>
        <w:rPr/>
        <w:t>primera</w:t>
      </w:r>
      <w:r>
        <w:rPr>
          <w:spacing w:val="-15"/>
        </w:rPr>
        <w:t> </w:t>
      </w:r>
      <w:r>
        <w:rPr/>
        <w:t>convocatoria</w:t>
      </w:r>
      <w:r>
        <w:rPr>
          <w:spacing w:val="-13"/>
        </w:rPr>
        <w:t> </w:t>
      </w:r>
      <w:r>
        <w:rPr/>
        <w:t>del</w:t>
      </w:r>
      <w:r>
        <w:rPr>
          <w:spacing w:val="-15"/>
        </w:rPr>
        <w:t> </w:t>
      </w:r>
      <w:r>
        <w:rPr/>
        <w:t>Programa</w:t>
      </w:r>
      <w:r>
        <w:rPr>
          <w:spacing w:val="-15"/>
        </w:rPr>
        <w:t> </w:t>
      </w:r>
      <w:r>
        <w:rPr/>
        <w:t>de</w:t>
      </w:r>
      <w:r>
        <w:rPr>
          <w:spacing w:val="-16"/>
        </w:rPr>
        <w:t> </w:t>
      </w:r>
      <w:r>
        <w:rPr/>
        <w:t>ayudas para la transformación digital y sostenible del transporte urbano, PRTR, si bien todas ellas los aprobaron antes de la resolución de concesión de las ayudas</w:t>
      </w:r>
      <w:hyperlink w:history="true" w:anchor="_bookmark111">
        <w:r>
          <w:rPr>
            <w:vertAlign w:val="superscript"/>
          </w:rPr>
          <w:t>71</w:t>
        </w:r>
        <w:r>
          <w:rPr>
            <w:vertAlign w:val="baseline"/>
          </w:rPr>
          <w:t>.</w:t>
        </w:r>
      </w:hyperlink>
      <w:r>
        <w:rPr>
          <w:vertAlign w:val="baseline"/>
        </w:rPr>
        <w:t> Los PMA de los </w:t>
      </w:r>
      <w:r>
        <w:rPr>
          <w:b/>
          <w:vertAlign w:val="baseline"/>
        </w:rPr>
        <w:t>Ayuntamientos de Alicante, Bilbao, Córdoba, Las Palmas de Gran Canaria, Murcia, Sevilla </w:t>
      </w:r>
      <w:r>
        <w:rPr>
          <w:vertAlign w:val="baseline"/>
        </w:rPr>
        <w:t>y </w:t>
      </w:r>
      <w:r>
        <w:rPr>
          <w:b/>
          <w:vertAlign w:val="baseline"/>
        </w:rPr>
        <w:t>Zaragoza </w:t>
      </w:r>
      <w:r>
        <w:rPr>
          <w:vertAlign w:val="baseline"/>
        </w:rPr>
        <w:t>han sido</w:t>
      </w:r>
      <w:r>
        <w:rPr>
          <w:spacing w:val="-1"/>
          <w:vertAlign w:val="baseline"/>
        </w:rPr>
        <w:t> </w:t>
      </w:r>
      <w:r>
        <w:rPr>
          <w:vertAlign w:val="baseline"/>
        </w:rPr>
        <w:t>actualizados</w:t>
      </w:r>
      <w:r>
        <w:rPr>
          <w:spacing w:val="-1"/>
          <w:vertAlign w:val="baseline"/>
        </w:rPr>
        <w:t> </w:t>
      </w:r>
      <w:r>
        <w:rPr>
          <w:vertAlign w:val="baseline"/>
        </w:rPr>
        <w:t>con</w:t>
      </w:r>
      <w:r>
        <w:rPr>
          <w:spacing w:val="-1"/>
          <w:vertAlign w:val="baseline"/>
        </w:rPr>
        <w:t> </w:t>
      </w:r>
      <w:r>
        <w:rPr>
          <w:vertAlign w:val="baseline"/>
        </w:rPr>
        <w:t>posterioridad y el</w:t>
      </w:r>
      <w:r>
        <w:rPr>
          <w:spacing w:val="-1"/>
          <w:vertAlign w:val="baseline"/>
        </w:rPr>
        <w:t> </w:t>
      </w:r>
      <w:r>
        <w:rPr>
          <w:b/>
          <w:vertAlign w:val="baseline"/>
        </w:rPr>
        <w:t>del</w:t>
      </w:r>
      <w:r>
        <w:rPr>
          <w:b/>
          <w:spacing w:val="-2"/>
          <w:vertAlign w:val="baseline"/>
        </w:rPr>
        <w:t> </w:t>
      </w:r>
      <w:r>
        <w:rPr>
          <w:b/>
          <w:vertAlign w:val="baseline"/>
        </w:rPr>
        <w:t>Ayuntamiento</w:t>
      </w:r>
      <w:r>
        <w:rPr>
          <w:b/>
          <w:spacing w:val="-1"/>
          <w:vertAlign w:val="baseline"/>
        </w:rPr>
        <w:t> </w:t>
      </w:r>
      <w:r>
        <w:rPr>
          <w:b/>
          <w:vertAlign w:val="baseline"/>
        </w:rPr>
        <w:t>de</w:t>
      </w:r>
      <w:r>
        <w:rPr>
          <w:b/>
          <w:spacing w:val="-3"/>
          <w:vertAlign w:val="baseline"/>
        </w:rPr>
        <w:t> </w:t>
      </w:r>
      <w:r>
        <w:rPr>
          <w:b/>
          <w:vertAlign w:val="baseline"/>
        </w:rPr>
        <w:t>Málaga</w:t>
      </w:r>
      <w:r>
        <w:rPr>
          <w:b/>
          <w:spacing w:val="-1"/>
          <w:vertAlign w:val="baseline"/>
        </w:rPr>
        <w:t> </w:t>
      </w:r>
      <w:r>
        <w:rPr>
          <w:vertAlign w:val="baseline"/>
        </w:rPr>
        <w:t>está</w:t>
      </w:r>
      <w:r>
        <w:rPr>
          <w:spacing w:val="-1"/>
          <w:vertAlign w:val="baseline"/>
        </w:rPr>
        <w:t> </w:t>
      </w:r>
      <w:r>
        <w:rPr>
          <w:vertAlign w:val="baseline"/>
        </w:rPr>
        <w:t>en</w:t>
      </w:r>
      <w:r>
        <w:rPr>
          <w:spacing w:val="-1"/>
          <w:vertAlign w:val="baseline"/>
        </w:rPr>
        <w:t> </w:t>
      </w:r>
      <w:r>
        <w:rPr>
          <w:vertAlign w:val="baseline"/>
        </w:rPr>
        <w:t>proceso</w:t>
      </w:r>
      <w:r>
        <w:rPr>
          <w:spacing w:val="-1"/>
          <w:vertAlign w:val="baseline"/>
        </w:rPr>
        <w:t> </w:t>
      </w:r>
      <w:r>
        <w:rPr>
          <w:vertAlign w:val="baseline"/>
        </w:rPr>
        <w:t>de</w:t>
      </w:r>
      <w:r>
        <w:rPr>
          <w:spacing w:val="-3"/>
          <w:vertAlign w:val="baseline"/>
        </w:rPr>
        <w:t> </w:t>
      </w:r>
      <w:r>
        <w:rPr>
          <w:vertAlign w:val="baseline"/>
        </w:rPr>
        <w:t>revisión y modificación.</w:t>
      </w:r>
    </w:p>
    <w:p>
      <w:pPr>
        <w:spacing w:before="240"/>
        <w:ind w:left="992" w:right="986" w:firstLine="0"/>
        <w:jc w:val="both"/>
        <w:rPr>
          <w:sz w:val="22"/>
        </w:rPr>
      </w:pPr>
      <w:r>
        <w:rPr>
          <w:sz w:val="22"/>
        </w:rPr>
        <w:t>Las medidas antifraude planteadas en los PMA comprenden la gestión de los Fondos Next Generation EU. Además, los PMA de los </w:t>
      </w:r>
      <w:r>
        <w:rPr>
          <w:b/>
          <w:sz w:val="22"/>
        </w:rPr>
        <w:t>Ayuntamientos de Córdoba, Las Palmas de Gran Canaria, Málaga </w:t>
      </w:r>
      <w:r>
        <w:rPr>
          <w:sz w:val="22"/>
        </w:rPr>
        <w:t>y </w:t>
      </w:r>
      <w:r>
        <w:rPr>
          <w:b/>
          <w:sz w:val="22"/>
        </w:rPr>
        <w:t>Sevilla </w:t>
      </w:r>
      <w:r>
        <w:rPr>
          <w:sz w:val="22"/>
        </w:rPr>
        <w:t>abarcan al personal de esas entidades.</w:t>
      </w:r>
    </w:p>
    <w:p>
      <w:pPr>
        <w:pStyle w:val="BodyText"/>
        <w:rPr>
          <w:sz w:val="20"/>
        </w:rPr>
      </w:pPr>
    </w:p>
    <w:p>
      <w:pPr>
        <w:pStyle w:val="BodyText"/>
        <w:rPr>
          <w:sz w:val="20"/>
        </w:rPr>
      </w:pPr>
    </w:p>
    <w:p>
      <w:pPr>
        <w:pStyle w:val="BodyText"/>
        <w:rPr>
          <w:sz w:val="20"/>
        </w:rPr>
      </w:pPr>
    </w:p>
    <w:p>
      <w:pPr>
        <w:pStyle w:val="BodyText"/>
        <w:spacing w:before="102"/>
        <w:rPr>
          <w:sz w:val="20"/>
        </w:rPr>
      </w:pPr>
      <w:r>
        <w:rPr>
          <w:sz w:val="20"/>
        </w:rPr>
        <mc:AlternateContent>
          <mc:Choice Requires="wps">
            <w:drawing>
              <wp:anchor distT="0" distB="0" distL="0" distR="0" allowOverlap="1" layoutInCell="1" locked="0" behindDoc="1" simplePos="0" relativeHeight="487622656">
                <wp:simplePos x="0" y="0"/>
                <wp:positionH relativeFrom="page">
                  <wp:posOffset>719632</wp:posOffset>
                </wp:positionH>
                <wp:positionV relativeFrom="paragraph">
                  <wp:posOffset>226148</wp:posOffset>
                </wp:positionV>
                <wp:extent cx="1829435" cy="9525"/>
                <wp:effectExtent l="0" t="0" r="0" b="0"/>
                <wp:wrapTopAndBottom/>
                <wp:docPr id="225" name="Graphic 225"/>
                <wp:cNvGraphicFramePr>
                  <a:graphicFrameLocks/>
                </wp:cNvGraphicFramePr>
                <a:graphic>
                  <a:graphicData uri="http://schemas.microsoft.com/office/word/2010/wordprocessingShape">
                    <wps:wsp>
                      <wps:cNvPr id="225" name="Graphic 225"/>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7.806942pt;width:144.020pt;height:.72003pt;mso-position-horizontal-relative:page;mso-position-vertical-relative:paragraph;z-index:-15693824;mso-wrap-distance-left:0;mso-wrap-distance-right:0" id="docshape204" filled="true" fillcolor="#000000" stroked="false">
                <v:fill type="solid"/>
                <w10:wrap type="topAndBottom"/>
              </v:rect>
            </w:pict>
          </mc:Fallback>
        </mc:AlternateContent>
      </w:r>
    </w:p>
    <w:p>
      <w:pPr>
        <w:spacing w:before="118"/>
        <w:ind w:left="992" w:right="987" w:firstLine="0"/>
        <w:jc w:val="both"/>
        <w:rPr>
          <w:sz w:val="18"/>
        </w:rPr>
      </w:pPr>
      <w:bookmarkStart w:name="_bookmark110" w:id="112"/>
      <w:bookmarkEnd w:id="112"/>
      <w:r>
        <w:rPr/>
      </w:r>
      <w:r>
        <w:rPr>
          <w:position w:val="6"/>
          <w:sz w:val="12"/>
        </w:rPr>
        <w:t>70</w:t>
      </w:r>
      <w:r>
        <w:rPr>
          <w:spacing w:val="20"/>
          <w:position w:val="6"/>
          <w:sz w:val="12"/>
        </w:rPr>
        <w:t> </w:t>
      </w:r>
      <w:r>
        <w:rPr>
          <w:sz w:val="18"/>
        </w:rPr>
        <w:t>El contenido de los PMA de las entidades fiscalizadas, salvo el del </w:t>
      </w:r>
      <w:r>
        <w:rPr>
          <w:b/>
          <w:sz w:val="18"/>
        </w:rPr>
        <w:t>Ayuntamiento de Las Palmas de Gran Canaria</w:t>
      </w:r>
      <w:r>
        <w:rPr>
          <w:sz w:val="18"/>
        </w:rPr>
        <w:t>, fue</w:t>
      </w:r>
      <w:r>
        <w:rPr>
          <w:spacing w:val="-6"/>
          <w:sz w:val="18"/>
        </w:rPr>
        <w:t> </w:t>
      </w:r>
      <w:r>
        <w:rPr>
          <w:sz w:val="18"/>
        </w:rPr>
        <w:t>examinado</w:t>
      </w:r>
      <w:r>
        <w:rPr>
          <w:spacing w:val="-8"/>
          <w:sz w:val="18"/>
        </w:rPr>
        <w:t> </w:t>
      </w:r>
      <w:r>
        <w:rPr>
          <w:sz w:val="18"/>
        </w:rPr>
        <w:t>en</w:t>
      </w:r>
      <w:r>
        <w:rPr>
          <w:spacing w:val="-8"/>
          <w:sz w:val="18"/>
        </w:rPr>
        <w:t> </w:t>
      </w:r>
      <w:r>
        <w:rPr>
          <w:sz w:val="18"/>
        </w:rPr>
        <w:t>el</w:t>
      </w:r>
      <w:r>
        <w:rPr>
          <w:spacing w:val="-6"/>
          <w:sz w:val="18"/>
        </w:rPr>
        <w:t> </w:t>
      </w:r>
      <w:r>
        <w:rPr>
          <w:sz w:val="18"/>
        </w:rPr>
        <w:t>Informe</w:t>
      </w:r>
      <w:r>
        <w:rPr>
          <w:spacing w:val="-8"/>
          <w:sz w:val="18"/>
        </w:rPr>
        <w:t> </w:t>
      </w:r>
      <w:r>
        <w:rPr>
          <w:sz w:val="18"/>
        </w:rPr>
        <w:t>de</w:t>
      </w:r>
      <w:r>
        <w:rPr>
          <w:spacing w:val="-6"/>
          <w:sz w:val="18"/>
        </w:rPr>
        <w:t> </w:t>
      </w:r>
      <w:r>
        <w:rPr>
          <w:sz w:val="18"/>
        </w:rPr>
        <w:t>fiscalización</w:t>
      </w:r>
      <w:r>
        <w:rPr>
          <w:spacing w:val="-8"/>
          <w:sz w:val="18"/>
        </w:rPr>
        <w:t> </w:t>
      </w:r>
      <w:r>
        <w:rPr>
          <w:sz w:val="18"/>
        </w:rPr>
        <w:t>de</w:t>
      </w:r>
      <w:r>
        <w:rPr>
          <w:spacing w:val="-8"/>
          <w:sz w:val="18"/>
        </w:rPr>
        <w:t> </w:t>
      </w:r>
      <w:r>
        <w:rPr>
          <w:sz w:val="18"/>
        </w:rPr>
        <w:t>los</w:t>
      </w:r>
      <w:r>
        <w:rPr>
          <w:spacing w:val="-6"/>
          <w:sz w:val="18"/>
        </w:rPr>
        <w:t> </w:t>
      </w:r>
      <w:r>
        <w:rPr>
          <w:sz w:val="18"/>
        </w:rPr>
        <w:t>Planes</w:t>
      </w:r>
      <w:r>
        <w:rPr>
          <w:spacing w:val="-6"/>
          <w:sz w:val="18"/>
        </w:rPr>
        <w:t> </w:t>
      </w:r>
      <w:r>
        <w:rPr>
          <w:sz w:val="18"/>
        </w:rPr>
        <w:t>antifraude</w:t>
      </w:r>
      <w:r>
        <w:rPr>
          <w:spacing w:val="-8"/>
          <w:sz w:val="18"/>
        </w:rPr>
        <w:t> </w:t>
      </w:r>
      <w:r>
        <w:rPr>
          <w:sz w:val="18"/>
        </w:rPr>
        <w:t>aprobados</w:t>
      </w:r>
      <w:r>
        <w:rPr>
          <w:spacing w:val="-8"/>
          <w:sz w:val="18"/>
        </w:rPr>
        <w:t> </w:t>
      </w:r>
      <w:r>
        <w:rPr>
          <w:sz w:val="18"/>
        </w:rPr>
        <w:t>por</w:t>
      </w:r>
      <w:r>
        <w:rPr>
          <w:spacing w:val="-8"/>
          <w:sz w:val="18"/>
        </w:rPr>
        <w:t> </w:t>
      </w:r>
      <w:r>
        <w:rPr>
          <w:sz w:val="18"/>
        </w:rPr>
        <w:t>las</w:t>
      </w:r>
      <w:r>
        <w:rPr>
          <w:spacing w:val="-8"/>
          <w:sz w:val="18"/>
        </w:rPr>
        <w:t> </w:t>
      </w:r>
      <w:r>
        <w:rPr>
          <w:sz w:val="18"/>
        </w:rPr>
        <w:t>Entidades</w:t>
      </w:r>
      <w:r>
        <w:rPr>
          <w:spacing w:val="-8"/>
          <w:sz w:val="18"/>
        </w:rPr>
        <w:t> </w:t>
      </w:r>
      <w:r>
        <w:rPr>
          <w:sz w:val="18"/>
        </w:rPr>
        <w:t>Locales</w:t>
      </w:r>
      <w:r>
        <w:rPr>
          <w:spacing w:val="-8"/>
          <w:sz w:val="18"/>
        </w:rPr>
        <w:t> </w:t>
      </w:r>
      <w:r>
        <w:rPr>
          <w:sz w:val="18"/>
        </w:rPr>
        <w:t>que</w:t>
      </w:r>
      <w:r>
        <w:rPr>
          <w:spacing w:val="-8"/>
          <w:sz w:val="18"/>
        </w:rPr>
        <w:t> </w:t>
      </w:r>
      <w:r>
        <w:rPr>
          <w:sz w:val="18"/>
        </w:rPr>
        <w:t>participen en la ejecución de las medidas del PRTR, aprobado por el Pleno del Tribunal el 27 de julio de 2023.</w:t>
      </w:r>
    </w:p>
    <w:p>
      <w:pPr>
        <w:spacing w:before="56"/>
        <w:ind w:left="992" w:right="988" w:firstLine="0"/>
        <w:jc w:val="both"/>
        <w:rPr>
          <w:sz w:val="18"/>
        </w:rPr>
      </w:pPr>
      <w:bookmarkStart w:name="_bookmark111" w:id="113"/>
      <w:bookmarkEnd w:id="113"/>
      <w:r>
        <w:rPr/>
      </w:r>
      <w:r>
        <w:rPr>
          <w:position w:val="6"/>
          <w:sz w:val="12"/>
        </w:rPr>
        <w:t>71</w:t>
      </w:r>
      <w:r>
        <w:rPr>
          <w:spacing w:val="18"/>
          <w:position w:val="6"/>
          <w:sz w:val="12"/>
        </w:rPr>
        <w:t> </w:t>
      </w:r>
      <w:r>
        <w:rPr>
          <w:sz w:val="18"/>
        </w:rPr>
        <w:t>En</w:t>
      </w:r>
      <w:r>
        <w:rPr>
          <w:spacing w:val="-1"/>
          <w:sz w:val="18"/>
        </w:rPr>
        <w:t> </w:t>
      </w:r>
      <w:r>
        <w:rPr>
          <w:sz w:val="18"/>
        </w:rPr>
        <w:t>el</w:t>
      </w:r>
      <w:r>
        <w:rPr>
          <w:spacing w:val="-1"/>
          <w:sz w:val="18"/>
        </w:rPr>
        <w:t> </w:t>
      </w:r>
      <w:r>
        <w:rPr>
          <w:sz w:val="18"/>
        </w:rPr>
        <w:t>Informe</w:t>
      </w:r>
      <w:r>
        <w:rPr>
          <w:spacing w:val="-1"/>
          <w:sz w:val="18"/>
        </w:rPr>
        <w:t> </w:t>
      </w:r>
      <w:r>
        <w:rPr>
          <w:sz w:val="18"/>
        </w:rPr>
        <w:t>de</w:t>
      </w:r>
      <w:r>
        <w:rPr>
          <w:spacing w:val="-1"/>
          <w:sz w:val="18"/>
        </w:rPr>
        <w:t> </w:t>
      </w:r>
      <w:r>
        <w:rPr>
          <w:sz w:val="18"/>
        </w:rPr>
        <w:t>fiscalización</w:t>
      </w:r>
      <w:r>
        <w:rPr>
          <w:spacing w:val="-3"/>
          <w:sz w:val="18"/>
        </w:rPr>
        <w:t> </w:t>
      </w:r>
      <w:r>
        <w:rPr>
          <w:sz w:val="18"/>
        </w:rPr>
        <w:t>citado</w:t>
      </w:r>
      <w:r>
        <w:rPr>
          <w:spacing w:val="-1"/>
          <w:sz w:val="18"/>
        </w:rPr>
        <w:t> </w:t>
      </w:r>
      <w:r>
        <w:rPr>
          <w:sz w:val="18"/>
        </w:rPr>
        <w:t>en</w:t>
      </w:r>
      <w:r>
        <w:rPr>
          <w:spacing w:val="-1"/>
          <w:sz w:val="18"/>
        </w:rPr>
        <w:t> </w:t>
      </w:r>
      <w:r>
        <w:rPr>
          <w:sz w:val="18"/>
        </w:rPr>
        <w:t>la</w:t>
      </w:r>
      <w:r>
        <w:rPr>
          <w:spacing w:val="-1"/>
          <w:sz w:val="18"/>
        </w:rPr>
        <w:t> </w:t>
      </w:r>
      <w:r>
        <w:rPr>
          <w:sz w:val="18"/>
        </w:rPr>
        <w:t>anterior</w:t>
      </w:r>
      <w:r>
        <w:rPr>
          <w:spacing w:val="-1"/>
          <w:sz w:val="18"/>
        </w:rPr>
        <w:t> </w:t>
      </w:r>
      <w:r>
        <w:rPr>
          <w:sz w:val="18"/>
        </w:rPr>
        <w:t>nota</w:t>
      </w:r>
      <w:r>
        <w:rPr>
          <w:spacing w:val="-1"/>
          <w:sz w:val="18"/>
        </w:rPr>
        <w:t> </w:t>
      </w:r>
      <w:r>
        <w:rPr>
          <w:sz w:val="18"/>
        </w:rPr>
        <w:t>al</w:t>
      </w:r>
      <w:r>
        <w:rPr>
          <w:spacing w:val="-1"/>
          <w:sz w:val="18"/>
        </w:rPr>
        <w:t> </w:t>
      </w:r>
      <w:r>
        <w:rPr>
          <w:sz w:val="18"/>
        </w:rPr>
        <w:t>pie, se</w:t>
      </w:r>
      <w:r>
        <w:rPr>
          <w:spacing w:val="-1"/>
          <w:sz w:val="18"/>
        </w:rPr>
        <w:t> </w:t>
      </w:r>
      <w:r>
        <w:rPr>
          <w:sz w:val="18"/>
        </w:rPr>
        <w:t>señala</w:t>
      </w:r>
      <w:r>
        <w:rPr>
          <w:spacing w:val="-1"/>
          <w:sz w:val="18"/>
        </w:rPr>
        <w:t> </w:t>
      </w:r>
      <w:r>
        <w:rPr>
          <w:sz w:val="18"/>
        </w:rPr>
        <w:t>que los </w:t>
      </w:r>
      <w:r>
        <w:rPr>
          <w:b/>
          <w:sz w:val="18"/>
        </w:rPr>
        <w:t>Ayuntamientos de Alicante,</w:t>
      </w:r>
      <w:r>
        <w:rPr>
          <w:b/>
          <w:spacing w:val="-1"/>
          <w:sz w:val="18"/>
        </w:rPr>
        <w:t> </w:t>
      </w:r>
      <w:r>
        <w:rPr>
          <w:b/>
          <w:sz w:val="18"/>
        </w:rPr>
        <w:t>Málaga </w:t>
      </w:r>
      <w:r>
        <w:rPr>
          <w:sz w:val="18"/>
        </w:rPr>
        <w:t>y</w:t>
      </w:r>
      <w:r>
        <w:rPr>
          <w:spacing w:val="-12"/>
          <w:sz w:val="18"/>
        </w:rPr>
        <w:t> </w:t>
      </w:r>
      <w:r>
        <w:rPr>
          <w:b/>
          <w:sz w:val="18"/>
        </w:rPr>
        <w:t>Palma</w:t>
      </w:r>
      <w:r>
        <w:rPr>
          <w:b/>
          <w:spacing w:val="-10"/>
          <w:sz w:val="18"/>
        </w:rPr>
        <w:t> </w:t>
      </w:r>
      <w:r>
        <w:rPr>
          <w:sz w:val="18"/>
        </w:rPr>
        <w:t>disponían</w:t>
      </w:r>
      <w:r>
        <w:rPr>
          <w:spacing w:val="-13"/>
          <w:sz w:val="18"/>
        </w:rPr>
        <w:t> </w:t>
      </w:r>
      <w:r>
        <w:rPr>
          <w:sz w:val="18"/>
        </w:rPr>
        <w:t>de</w:t>
      </w:r>
      <w:r>
        <w:rPr>
          <w:spacing w:val="-10"/>
          <w:sz w:val="18"/>
        </w:rPr>
        <w:t> </w:t>
      </w:r>
      <w:r>
        <w:rPr>
          <w:sz w:val="18"/>
        </w:rPr>
        <w:t>otros</w:t>
      </w:r>
      <w:r>
        <w:rPr>
          <w:spacing w:val="-10"/>
          <w:sz w:val="18"/>
        </w:rPr>
        <w:t> </w:t>
      </w:r>
      <w:r>
        <w:rPr>
          <w:sz w:val="18"/>
        </w:rPr>
        <w:t>planes</w:t>
      </w:r>
      <w:r>
        <w:rPr>
          <w:spacing w:val="-11"/>
          <w:sz w:val="18"/>
        </w:rPr>
        <w:t> </w:t>
      </w:r>
      <w:r>
        <w:rPr>
          <w:sz w:val="18"/>
        </w:rPr>
        <w:t>antifraude</w:t>
      </w:r>
      <w:r>
        <w:rPr>
          <w:spacing w:val="-13"/>
          <w:sz w:val="18"/>
        </w:rPr>
        <w:t> </w:t>
      </w:r>
      <w:r>
        <w:rPr>
          <w:sz w:val="18"/>
        </w:rPr>
        <w:t>vinculados</w:t>
      </w:r>
      <w:r>
        <w:rPr>
          <w:spacing w:val="-10"/>
          <w:sz w:val="18"/>
        </w:rPr>
        <w:t> </w:t>
      </w:r>
      <w:r>
        <w:rPr>
          <w:sz w:val="18"/>
        </w:rPr>
        <w:t>a</w:t>
      </w:r>
      <w:r>
        <w:rPr>
          <w:spacing w:val="-13"/>
          <w:sz w:val="18"/>
        </w:rPr>
        <w:t> </w:t>
      </w:r>
      <w:r>
        <w:rPr>
          <w:sz w:val="18"/>
        </w:rPr>
        <w:t>la</w:t>
      </w:r>
      <w:r>
        <w:rPr>
          <w:spacing w:val="-10"/>
          <w:sz w:val="18"/>
        </w:rPr>
        <w:t> </w:t>
      </w:r>
      <w:r>
        <w:rPr>
          <w:sz w:val="18"/>
        </w:rPr>
        <w:t>realización</w:t>
      </w:r>
      <w:r>
        <w:rPr>
          <w:spacing w:val="-13"/>
          <w:sz w:val="18"/>
        </w:rPr>
        <w:t> </w:t>
      </w:r>
      <w:r>
        <w:rPr>
          <w:sz w:val="18"/>
        </w:rPr>
        <w:t>de</w:t>
      </w:r>
      <w:r>
        <w:rPr>
          <w:spacing w:val="-10"/>
          <w:sz w:val="18"/>
        </w:rPr>
        <w:t> </w:t>
      </w:r>
      <w:r>
        <w:rPr>
          <w:sz w:val="18"/>
        </w:rPr>
        <w:t>actuaciones</w:t>
      </w:r>
      <w:r>
        <w:rPr>
          <w:spacing w:val="-11"/>
          <w:sz w:val="18"/>
        </w:rPr>
        <w:t> </w:t>
      </w:r>
      <w:r>
        <w:rPr>
          <w:sz w:val="18"/>
        </w:rPr>
        <w:t>anteriores</w:t>
      </w:r>
      <w:r>
        <w:rPr>
          <w:spacing w:val="-13"/>
          <w:sz w:val="18"/>
        </w:rPr>
        <w:t> </w:t>
      </w:r>
      <w:r>
        <w:rPr>
          <w:sz w:val="18"/>
        </w:rPr>
        <w:t>financiadas</w:t>
      </w:r>
      <w:r>
        <w:rPr>
          <w:spacing w:val="-12"/>
          <w:sz w:val="18"/>
        </w:rPr>
        <w:t> </w:t>
      </w:r>
      <w:r>
        <w:rPr>
          <w:sz w:val="18"/>
        </w:rPr>
        <w:t>con</w:t>
      </w:r>
      <w:r>
        <w:rPr>
          <w:spacing w:val="-11"/>
          <w:sz w:val="18"/>
        </w:rPr>
        <w:t> </w:t>
      </w:r>
      <w:r>
        <w:rPr>
          <w:sz w:val="18"/>
        </w:rPr>
        <w:t>fondos </w:t>
      </w:r>
      <w:r>
        <w:rPr>
          <w:spacing w:val="-2"/>
          <w:sz w:val="18"/>
        </w:rPr>
        <w:t>europeos.</w:t>
      </w:r>
    </w:p>
    <w:p>
      <w:pPr>
        <w:spacing w:after="0"/>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ListParagraph"/>
        <w:numPr>
          <w:ilvl w:val="0"/>
          <w:numId w:val="8"/>
        </w:numPr>
        <w:tabs>
          <w:tab w:pos="1348" w:val="left" w:leader="none"/>
        </w:tabs>
        <w:spacing w:line="240" w:lineRule="auto" w:before="0" w:after="0"/>
        <w:ind w:left="1348" w:right="0" w:hanging="356"/>
        <w:jc w:val="left"/>
        <w:rPr>
          <w:sz w:val="22"/>
        </w:rPr>
      </w:pPr>
      <w:r>
        <w:rPr>
          <w:sz w:val="22"/>
        </w:rPr>
        <w:t>Evaluación</w:t>
      </w:r>
      <w:r>
        <w:rPr>
          <w:spacing w:val="-5"/>
          <w:sz w:val="22"/>
        </w:rPr>
        <w:t> </w:t>
      </w:r>
      <w:r>
        <w:rPr>
          <w:sz w:val="22"/>
        </w:rPr>
        <w:t>del</w:t>
      </w:r>
      <w:r>
        <w:rPr>
          <w:spacing w:val="-5"/>
          <w:sz w:val="22"/>
        </w:rPr>
        <w:t> </w:t>
      </w:r>
      <w:r>
        <w:rPr>
          <w:sz w:val="22"/>
        </w:rPr>
        <w:t>riesgo</w:t>
      </w:r>
      <w:r>
        <w:rPr>
          <w:spacing w:val="-5"/>
          <w:sz w:val="22"/>
        </w:rPr>
        <w:t> </w:t>
      </w:r>
      <w:r>
        <w:rPr>
          <w:sz w:val="22"/>
        </w:rPr>
        <w:t>de</w:t>
      </w:r>
      <w:r>
        <w:rPr>
          <w:spacing w:val="-6"/>
          <w:sz w:val="22"/>
        </w:rPr>
        <w:t> </w:t>
      </w:r>
      <w:r>
        <w:rPr>
          <w:spacing w:val="-2"/>
          <w:sz w:val="22"/>
        </w:rPr>
        <w:t>fraude.</w:t>
      </w:r>
    </w:p>
    <w:p>
      <w:pPr>
        <w:pStyle w:val="BodyText"/>
        <w:spacing w:before="241"/>
        <w:ind w:left="992" w:right="991"/>
        <w:jc w:val="both"/>
      </w:pPr>
      <w:r>
        <w:rPr/>
        <w:t>En</w:t>
      </w:r>
      <w:r>
        <w:rPr>
          <w:spacing w:val="-4"/>
        </w:rPr>
        <w:t> </w:t>
      </w:r>
      <w:r>
        <w:rPr/>
        <w:t>cuanto</w:t>
      </w:r>
      <w:r>
        <w:rPr>
          <w:spacing w:val="-3"/>
        </w:rPr>
        <w:t> </w:t>
      </w:r>
      <w:r>
        <w:rPr/>
        <w:t>a</w:t>
      </w:r>
      <w:r>
        <w:rPr>
          <w:spacing w:val="-4"/>
        </w:rPr>
        <w:t> </w:t>
      </w:r>
      <w:r>
        <w:rPr/>
        <w:t>los</w:t>
      </w:r>
      <w:r>
        <w:rPr>
          <w:spacing w:val="-4"/>
        </w:rPr>
        <w:t> </w:t>
      </w:r>
      <w:r>
        <w:rPr/>
        <w:t>controles</w:t>
      </w:r>
      <w:r>
        <w:rPr>
          <w:spacing w:val="-4"/>
        </w:rPr>
        <w:t> </w:t>
      </w:r>
      <w:r>
        <w:rPr/>
        <w:t>preventivos</w:t>
      </w:r>
      <w:r>
        <w:rPr>
          <w:spacing w:val="-4"/>
        </w:rPr>
        <w:t> </w:t>
      </w:r>
      <w:r>
        <w:rPr/>
        <w:t>o</w:t>
      </w:r>
      <w:r>
        <w:rPr>
          <w:spacing w:val="-3"/>
        </w:rPr>
        <w:t> </w:t>
      </w:r>
      <w:r>
        <w:rPr>
          <w:i/>
        </w:rPr>
        <w:t>ex</w:t>
      </w:r>
      <w:r>
        <w:rPr>
          <w:i/>
          <w:spacing w:val="-4"/>
        </w:rPr>
        <w:t> </w:t>
      </w:r>
      <w:r>
        <w:rPr>
          <w:i/>
        </w:rPr>
        <w:t>ante</w:t>
      </w:r>
      <w:r>
        <w:rPr/>
        <w:t>,</w:t>
      </w:r>
      <w:r>
        <w:rPr>
          <w:spacing w:val="-5"/>
        </w:rPr>
        <w:t> </w:t>
      </w:r>
      <w:r>
        <w:rPr/>
        <w:t>orientados</w:t>
      </w:r>
      <w:r>
        <w:rPr>
          <w:spacing w:val="-4"/>
        </w:rPr>
        <w:t> </w:t>
      </w:r>
      <w:r>
        <w:rPr/>
        <w:t>a</w:t>
      </w:r>
      <w:r>
        <w:rPr>
          <w:spacing w:val="-4"/>
        </w:rPr>
        <w:t> </w:t>
      </w:r>
      <w:r>
        <w:rPr/>
        <w:t>impedir</w:t>
      </w:r>
      <w:r>
        <w:rPr>
          <w:spacing w:val="-3"/>
        </w:rPr>
        <w:t> </w:t>
      </w:r>
      <w:r>
        <w:rPr/>
        <w:t>que</w:t>
      </w:r>
      <w:r>
        <w:rPr>
          <w:spacing w:val="-6"/>
        </w:rPr>
        <w:t> </w:t>
      </w:r>
      <w:r>
        <w:rPr/>
        <w:t>las</w:t>
      </w:r>
      <w:r>
        <w:rPr>
          <w:spacing w:val="-4"/>
        </w:rPr>
        <w:t> </w:t>
      </w:r>
      <w:r>
        <w:rPr/>
        <w:t>situaciones</w:t>
      </w:r>
      <w:r>
        <w:rPr>
          <w:spacing w:val="-4"/>
        </w:rPr>
        <w:t> </w:t>
      </w:r>
      <w:r>
        <w:rPr/>
        <w:t>de</w:t>
      </w:r>
      <w:r>
        <w:rPr>
          <w:spacing w:val="-4"/>
        </w:rPr>
        <w:t> </w:t>
      </w:r>
      <w:r>
        <w:rPr/>
        <w:t>fraude o corrupción ocurran, las entidades fiscalizadas elaboraron y aprobaron un PMA.</w:t>
      </w:r>
    </w:p>
    <w:p>
      <w:pPr>
        <w:pStyle w:val="BodyText"/>
        <w:spacing w:before="241"/>
        <w:ind w:left="992" w:right="987"/>
        <w:jc w:val="both"/>
      </w:pPr>
      <w:r>
        <w:rPr/>
        <w:t>También elaboraron una matriz de riesgos en la que se ha evaluado la probabilidad e impacto de los posibles riesgos que pudieran darse en los métodos de gestión más comunes aplicados en la ejecución del PRTR.</w:t>
      </w:r>
    </w:p>
    <w:p>
      <w:pPr>
        <w:pStyle w:val="BodyText"/>
        <w:spacing w:before="239"/>
        <w:ind w:left="992" w:right="989"/>
        <w:jc w:val="both"/>
      </w:pPr>
      <w:r>
        <w:rPr/>
        <w:t>Asimismo,</w:t>
      </w:r>
      <w:r>
        <w:rPr>
          <w:spacing w:val="-10"/>
        </w:rPr>
        <w:t> </w:t>
      </w:r>
      <w:r>
        <w:rPr/>
        <w:t>incluyeron</w:t>
      </w:r>
      <w:r>
        <w:rPr>
          <w:spacing w:val="-8"/>
        </w:rPr>
        <w:t> </w:t>
      </w:r>
      <w:r>
        <w:rPr/>
        <w:t>en</w:t>
      </w:r>
      <w:r>
        <w:rPr>
          <w:spacing w:val="-11"/>
        </w:rPr>
        <w:t> </w:t>
      </w:r>
      <w:r>
        <w:rPr/>
        <w:t>sus</w:t>
      </w:r>
      <w:r>
        <w:rPr>
          <w:spacing w:val="-9"/>
        </w:rPr>
        <w:t> </w:t>
      </w:r>
      <w:r>
        <w:rPr/>
        <w:t>PMA</w:t>
      </w:r>
      <w:r>
        <w:rPr>
          <w:spacing w:val="-11"/>
        </w:rPr>
        <w:t> </w:t>
      </w:r>
      <w:r>
        <w:rPr/>
        <w:t>un</w:t>
      </w:r>
      <w:r>
        <w:rPr>
          <w:spacing w:val="-9"/>
        </w:rPr>
        <w:t> </w:t>
      </w:r>
      <w:r>
        <w:rPr/>
        <w:t>listado</w:t>
      </w:r>
      <w:r>
        <w:rPr>
          <w:spacing w:val="-11"/>
        </w:rPr>
        <w:t> </w:t>
      </w:r>
      <w:r>
        <w:rPr/>
        <w:t>de</w:t>
      </w:r>
      <w:r>
        <w:rPr>
          <w:spacing w:val="-9"/>
        </w:rPr>
        <w:t> </w:t>
      </w:r>
      <w:r>
        <w:rPr/>
        <w:t>banderas</w:t>
      </w:r>
      <w:r>
        <w:rPr>
          <w:spacing w:val="-11"/>
        </w:rPr>
        <w:t> </w:t>
      </w:r>
      <w:r>
        <w:rPr/>
        <w:t>rojas.</w:t>
      </w:r>
      <w:r>
        <w:rPr>
          <w:spacing w:val="-10"/>
        </w:rPr>
        <w:t> </w:t>
      </w:r>
      <w:r>
        <w:rPr/>
        <w:t>Dicho</w:t>
      </w:r>
      <w:r>
        <w:rPr>
          <w:spacing w:val="-9"/>
        </w:rPr>
        <w:t> </w:t>
      </w:r>
      <w:r>
        <w:rPr/>
        <w:t>catálogo</w:t>
      </w:r>
      <w:r>
        <w:rPr>
          <w:spacing w:val="-9"/>
        </w:rPr>
        <w:t> </w:t>
      </w:r>
      <w:r>
        <w:rPr/>
        <w:t>indica</w:t>
      </w:r>
      <w:r>
        <w:rPr>
          <w:spacing w:val="-9"/>
        </w:rPr>
        <w:t> </w:t>
      </w:r>
      <w:r>
        <w:rPr/>
        <w:t>las</w:t>
      </w:r>
      <w:r>
        <w:rPr>
          <w:spacing w:val="-9"/>
        </w:rPr>
        <w:t> </w:t>
      </w:r>
      <w:r>
        <w:rPr/>
        <w:t>áreas</w:t>
      </w:r>
      <w:r>
        <w:rPr>
          <w:spacing w:val="-11"/>
        </w:rPr>
        <w:t> </w:t>
      </w:r>
      <w:r>
        <w:rPr/>
        <w:t>que necesitan atención adicional para descartar o confirmar un fraude potencial, pero no implica necesariamente la existencia de dicho fraude.</w:t>
      </w:r>
    </w:p>
    <w:p>
      <w:pPr>
        <w:pStyle w:val="BodyText"/>
        <w:spacing w:before="240"/>
        <w:ind w:left="992" w:right="985"/>
        <w:jc w:val="both"/>
      </w:pPr>
      <w:r>
        <w:rPr/>
        <w:t>Los ayuntamientos fiscalizados constituyeron una unidad o comisión antifraude, constando que se reunieran</w:t>
      </w:r>
      <w:r>
        <w:rPr>
          <w:spacing w:val="-6"/>
        </w:rPr>
        <w:t> </w:t>
      </w:r>
      <w:r>
        <w:rPr/>
        <w:t>las</w:t>
      </w:r>
      <w:r>
        <w:rPr>
          <w:spacing w:val="-9"/>
        </w:rPr>
        <w:t> </w:t>
      </w:r>
      <w:r>
        <w:rPr/>
        <w:t>comisiones</w:t>
      </w:r>
      <w:r>
        <w:rPr>
          <w:spacing w:val="-6"/>
        </w:rPr>
        <w:t> </w:t>
      </w:r>
      <w:r>
        <w:rPr/>
        <w:t>de</w:t>
      </w:r>
      <w:r>
        <w:rPr>
          <w:spacing w:val="-7"/>
        </w:rPr>
        <w:t> </w:t>
      </w:r>
      <w:r>
        <w:rPr/>
        <w:t>los</w:t>
      </w:r>
      <w:r>
        <w:rPr>
          <w:spacing w:val="-10"/>
        </w:rPr>
        <w:t> </w:t>
      </w:r>
      <w:r>
        <w:rPr>
          <w:b/>
        </w:rPr>
        <w:t>Ayuntamientos</w:t>
      </w:r>
      <w:r>
        <w:rPr>
          <w:b/>
          <w:spacing w:val="-9"/>
        </w:rPr>
        <w:t> </w:t>
      </w:r>
      <w:r>
        <w:rPr>
          <w:b/>
        </w:rPr>
        <w:t>de</w:t>
      </w:r>
      <w:r>
        <w:rPr>
          <w:b/>
          <w:spacing w:val="-6"/>
        </w:rPr>
        <w:t> </w:t>
      </w:r>
      <w:r>
        <w:rPr>
          <w:b/>
        </w:rPr>
        <w:t>Málaga,</w:t>
      </w:r>
      <w:r>
        <w:rPr>
          <w:b/>
          <w:spacing w:val="-10"/>
        </w:rPr>
        <w:t> </w:t>
      </w:r>
      <w:r>
        <w:rPr>
          <w:b/>
        </w:rPr>
        <w:t>Murcia</w:t>
      </w:r>
      <w:r>
        <w:rPr>
          <w:b/>
          <w:spacing w:val="-5"/>
        </w:rPr>
        <w:t> </w:t>
      </w:r>
      <w:r>
        <w:rPr/>
        <w:t>y</w:t>
      </w:r>
      <w:r>
        <w:rPr>
          <w:spacing w:val="-8"/>
        </w:rPr>
        <w:t> </w:t>
      </w:r>
      <w:r>
        <w:rPr>
          <w:b/>
        </w:rPr>
        <w:t>Palma</w:t>
      </w:r>
      <w:r>
        <w:rPr>
          <w:b/>
          <w:spacing w:val="-6"/>
        </w:rPr>
        <w:t> </w:t>
      </w:r>
      <w:r>
        <w:rPr/>
        <w:t>durante</w:t>
      </w:r>
      <w:r>
        <w:rPr>
          <w:spacing w:val="-9"/>
        </w:rPr>
        <w:t> </w:t>
      </w:r>
      <w:r>
        <w:rPr/>
        <w:t>el</w:t>
      </w:r>
      <w:r>
        <w:rPr>
          <w:spacing w:val="-7"/>
        </w:rPr>
        <w:t> </w:t>
      </w:r>
      <w:r>
        <w:rPr/>
        <w:t>periodo</w:t>
      </w:r>
      <w:r>
        <w:rPr>
          <w:spacing w:val="-6"/>
        </w:rPr>
        <w:t> </w:t>
      </w:r>
      <w:r>
        <w:rPr/>
        <w:t>de ejecución de los proyectos subvencionados por el Programa de ayudas para la transformación digital y sostenible del transporte urbano, PRTR.</w:t>
      </w:r>
    </w:p>
    <w:p>
      <w:pPr>
        <w:pStyle w:val="BodyText"/>
        <w:spacing w:before="241"/>
        <w:ind w:left="992" w:right="987"/>
        <w:jc w:val="both"/>
      </w:pPr>
      <w:r>
        <w:rPr/>
        <w:t>En</w:t>
      </w:r>
      <w:r>
        <w:rPr>
          <w:spacing w:val="-4"/>
        </w:rPr>
        <w:t> </w:t>
      </w:r>
      <w:r>
        <w:rPr/>
        <w:t>cuanto</w:t>
      </w:r>
      <w:r>
        <w:rPr>
          <w:spacing w:val="-3"/>
        </w:rPr>
        <w:t> </w:t>
      </w:r>
      <w:r>
        <w:rPr/>
        <w:t>a</w:t>
      </w:r>
      <w:r>
        <w:rPr>
          <w:spacing w:val="-4"/>
        </w:rPr>
        <w:t> </w:t>
      </w:r>
      <w:r>
        <w:rPr/>
        <w:t>los</w:t>
      </w:r>
      <w:r>
        <w:rPr>
          <w:spacing w:val="-4"/>
        </w:rPr>
        <w:t> </w:t>
      </w:r>
      <w:r>
        <w:rPr/>
        <w:t>controles</w:t>
      </w:r>
      <w:r>
        <w:rPr>
          <w:spacing w:val="-4"/>
        </w:rPr>
        <w:t> </w:t>
      </w:r>
      <w:r>
        <w:rPr/>
        <w:t>de</w:t>
      </w:r>
      <w:r>
        <w:rPr>
          <w:spacing w:val="-4"/>
        </w:rPr>
        <w:t> </w:t>
      </w:r>
      <w:r>
        <w:rPr/>
        <w:t>detección</w:t>
      </w:r>
      <w:r>
        <w:rPr>
          <w:spacing w:val="-4"/>
        </w:rPr>
        <w:t> </w:t>
      </w:r>
      <w:r>
        <w:rPr/>
        <w:t>o</w:t>
      </w:r>
      <w:r>
        <w:rPr>
          <w:spacing w:val="-3"/>
        </w:rPr>
        <w:t> </w:t>
      </w:r>
      <w:r>
        <w:rPr>
          <w:i/>
        </w:rPr>
        <w:t>ex</w:t>
      </w:r>
      <w:r>
        <w:rPr>
          <w:i/>
          <w:spacing w:val="-4"/>
        </w:rPr>
        <w:t> </w:t>
      </w:r>
      <w:r>
        <w:rPr>
          <w:i/>
        </w:rPr>
        <w:t>post</w:t>
      </w:r>
      <w:r>
        <w:rPr>
          <w:i/>
          <w:spacing w:val="-5"/>
        </w:rPr>
        <w:t> </w:t>
      </w:r>
      <w:r>
        <w:rPr/>
        <w:t>dirigidos</w:t>
      </w:r>
      <w:r>
        <w:rPr>
          <w:spacing w:val="-4"/>
        </w:rPr>
        <w:t> </w:t>
      </w:r>
      <w:r>
        <w:rPr/>
        <w:t>a</w:t>
      </w:r>
      <w:r>
        <w:rPr>
          <w:spacing w:val="-4"/>
        </w:rPr>
        <w:t> </w:t>
      </w:r>
      <w:r>
        <w:rPr/>
        <w:t>identificar</w:t>
      </w:r>
      <w:r>
        <w:rPr>
          <w:spacing w:val="-3"/>
        </w:rPr>
        <w:t> </w:t>
      </w:r>
      <w:r>
        <w:rPr/>
        <w:t>situaciones</w:t>
      </w:r>
      <w:r>
        <w:rPr>
          <w:spacing w:val="-4"/>
        </w:rPr>
        <w:t> </w:t>
      </w:r>
      <w:r>
        <w:rPr/>
        <w:t>de</w:t>
      </w:r>
      <w:r>
        <w:rPr>
          <w:spacing w:val="-4"/>
        </w:rPr>
        <w:t> </w:t>
      </w:r>
      <w:r>
        <w:rPr/>
        <w:t>fraude</w:t>
      </w:r>
      <w:r>
        <w:rPr>
          <w:spacing w:val="-4"/>
        </w:rPr>
        <w:t> </w:t>
      </w:r>
      <w:r>
        <w:rPr/>
        <w:t>lo</w:t>
      </w:r>
      <w:r>
        <w:rPr>
          <w:spacing w:val="-6"/>
        </w:rPr>
        <w:t> </w:t>
      </w:r>
      <w:r>
        <w:rPr/>
        <w:t>más rápido posible después</w:t>
      </w:r>
      <w:r>
        <w:rPr>
          <w:spacing w:val="-2"/>
        </w:rPr>
        <w:t> </w:t>
      </w:r>
      <w:r>
        <w:rPr/>
        <w:t>de que se</w:t>
      </w:r>
      <w:r>
        <w:rPr>
          <w:spacing w:val="-2"/>
        </w:rPr>
        <w:t> </w:t>
      </w:r>
      <w:r>
        <w:rPr/>
        <w:t>hayan</w:t>
      </w:r>
      <w:r>
        <w:rPr>
          <w:spacing w:val="-2"/>
        </w:rPr>
        <w:t> </w:t>
      </w:r>
      <w:r>
        <w:rPr/>
        <w:t>producido, con</w:t>
      </w:r>
      <w:r>
        <w:rPr>
          <w:spacing w:val="-2"/>
        </w:rPr>
        <w:t> </w:t>
      </w:r>
      <w:r>
        <w:rPr/>
        <w:t>la</w:t>
      </w:r>
      <w:r>
        <w:rPr>
          <w:spacing w:val="-2"/>
        </w:rPr>
        <w:t> </w:t>
      </w:r>
      <w:r>
        <w:rPr/>
        <w:t>finalidad de mitigar los daños, todas</w:t>
      </w:r>
      <w:r>
        <w:rPr>
          <w:spacing w:val="-2"/>
        </w:rPr>
        <w:t> </w:t>
      </w:r>
      <w:r>
        <w:rPr/>
        <w:t>las entidades examinadas incluyen en sus páginas web un canal de denuncias, ya sea propio o mediante un enlace al del Servicio Nacional de Coordinación Antifraude</w:t>
      </w:r>
      <w:r>
        <w:rPr>
          <w:spacing w:val="-1"/>
        </w:rPr>
        <w:t> </w:t>
      </w:r>
      <w:r>
        <w:rPr/>
        <w:t>o al de la Oficina Europea de lucha contra el fraude.</w:t>
      </w:r>
    </w:p>
    <w:p>
      <w:pPr>
        <w:pStyle w:val="ListParagraph"/>
        <w:numPr>
          <w:ilvl w:val="0"/>
          <w:numId w:val="8"/>
        </w:numPr>
        <w:tabs>
          <w:tab w:pos="1349" w:val="left" w:leader="none"/>
        </w:tabs>
        <w:spacing w:line="240" w:lineRule="auto" w:before="240" w:after="0"/>
        <w:ind w:left="1349" w:right="0" w:hanging="357"/>
        <w:jc w:val="left"/>
        <w:rPr>
          <w:sz w:val="22"/>
        </w:rPr>
      </w:pPr>
      <w:r>
        <w:rPr>
          <w:sz w:val="22"/>
        </w:rPr>
        <w:t>Cumplimentación</w:t>
      </w:r>
      <w:r>
        <w:rPr>
          <w:spacing w:val="-9"/>
          <w:sz w:val="22"/>
        </w:rPr>
        <w:t> </w:t>
      </w:r>
      <w:r>
        <w:rPr>
          <w:sz w:val="22"/>
        </w:rPr>
        <w:t>de</w:t>
      </w:r>
      <w:r>
        <w:rPr>
          <w:spacing w:val="-7"/>
          <w:sz w:val="22"/>
        </w:rPr>
        <w:t> </w:t>
      </w:r>
      <w:r>
        <w:rPr>
          <w:sz w:val="22"/>
        </w:rPr>
        <w:t>las</w:t>
      </w:r>
      <w:r>
        <w:rPr>
          <w:spacing w:val="-8"/>
          <w:sz w:val="22"/>
        </w:rPr>
        <w:t> </w:t>
      </w:r>
      <w:r>
        <w:rPr>
          <w:sz w:val="22"/>
        </w:rPr>
        <w:t>Declaraciones</w:t>
      </w:r>
      <w:r>
        <w:rPr>
          <w:spacing w:val="-6"/>
          <w:sz w:val="22"/>
        </w:rPr>
        <w:t> </w:t>
      </w:r>
      <w:r>
        <w:rPr>
          <w:sz w:val="22"/>
        </w:rPr>
        <w:t>de</w:t>
      </w:r>
      <w:r>
        <w:rPr>
          <w:spacing w:val="-6"/>
          <w:sz w:val="22"/>
        </w:rPr>
        <w:t> </w:t>
      </w:r>
      <w:r>
        <w:rPr>
          <w:sz w:val="22"/>
        </w:rPr>
        <w:t>Ausencia</w:t>
      </w:r>
      <w:r>
        <w:rPr>
          <w:spacing w:val="-7"/>
          <w:sz w:val="22"/>
        </w:rPr>
        <w:t> </w:t>
      </w:r>
      <w:r>
        <w:rPr>
          <w:sz w:val="22"/>
        </w:rPr>
        <w:t>de</w:t>
      </w:r>
      <w:r>
        <w:rPr>
          <w:spacing w:val="-6"/>
          <w:sz w:val="22"/>
        </w:rPr>
        <w:t> </w:t>
      </w:r>
      <w:r>
        <w:rPr>
          <w:sz w:val="22"/>
        </w:rPr>
        <w:t>Conflicto</w:t>
      </w:r>
      <w:r>
        <w:rPr>
          <w:spacing w:val="-7"/>
          <w:sz w:val="22"/>
        </w:rPr>
        <w:t> </w:t>
      </w:r>
      <w:r>
        <w:rPr>
          <w:sz w:val="22"/>
        </w:rPr>
        <w:t>de</w:t>
      </w:r>
      <w:r>
        <w:rPr>
          <w:spacing w:val="-8"/>
          <w:sz w:val="22"/>
        </w:rPr>
        <w:t> </w:t>
      </w:r>
      <w:r>
        <w:rPr>
          <w:sz w:val="22"/>
        </w:rPr>
        <w:t>Interés</w:t>
      </w:r>
      <w:r>
        <w:rPr>
          <w:spacing w:val="-5"/>
          <w:sz w:val="22"/>
        </w:rPr>
        <w:t> </w:t>
      </w:r>
      <w:r>
        <w:rPr>
          <w:spacing w:val="-2"/>
          <w:sz w:val="22"/>
        </w:rPr>
        <w:t>(DACI).</w:t>
      </w:r>
    </w:p>
    <w:p>
      <w:pPr>
        <w:spacing w:before="240"/>
        <w:ind w:left="992" w:right="987" w:firstLine="0"/>
        <w:jc w:val="both"/>
        <w:rPr>
          <w:sz w:val="22"/>
        </w:rPr>
      </w:pPr>
      <w:r>
        <w:rPr>
          <w:sz w:val="22"/>
        </w:rPr>
        <w:t>Los </w:t>
      </w:r>
      <w:r>
        <w:rPr>
          <w:b/>
          <w:sz w:val="22"/>
        </w:rPr>
        <w:t>Ayuntamientos de Bilbao, Málaga, Palma, Sevilla </w:t>
      </w:r>
      <w:r>
        <w:rPr>
          <w:sz w:val="22"/>
        </w:rPr>
        <w:t>y </w:t>
      </w:r>
      <w:r>
        <w:rPr>
          <w:b/>
          <w:sz w:val="22"/>
        </w:rPr>
        <w:t>Zaragoza </w:t>
      </w:r>
      <w:r>
        <w:rPr>
          <w:sz w:val="22"/>
        </w:rPr>
        <w:t>han presentado ante el MITMA, entre la documentación justificativa, una DACI. Los </w:t>
      </w:r>
      <w:r>
        <w:rPr>
          <w:b/>
          <w:sz w:val="22"/>
        </w:rPr>
        <w:t>Ayuntamientos de Alicante, Las Palmas</w:t>
      </w:r>
      <w:r>
        <w:rPr>
          <w:b/>
          <w:spacing w:val="-7"/>
          <w:sz w:val="22"/>
        </w:rPr>
        <w:t> </w:t>
      </w:r>
      <w:r>
        <w:rPr>
          <w:b/>
          <w:sz w:val="22"/>
        </w:rPr>
        <w:t>de</w:t>
      </w:r>
      <w:r>
        <w:rPr>
          <w:b/>
          <w:spacing w:val="-7"/>
          <w:sz w:val="22"/>
        </w:rPr>
        <w:t> </w:t>
      </w:r>
      <w:r>
        <w:rPr>
          <w:b/>
          <w:sz w:val="22"/>
        </w:rPr>
        <w:t>Gran</w:t>
      </w:r>
      <w:r>
        <w:rPr>
          <w:b/>
          <w:spacing w:val="-4"/>
          <w:sz w:val="22"/>
        </w:rPr>
        <w:t> </w:t>
      </w:r>
      <w:r>
        <w:rPr>
          <w:b/>
          <w:sz w:val="22"/>
        </w:rPr>
        <w:t>Canaria</w:t>
      </w:r>
      <w:r>
        <w:rPr>
          <w:b/>
          <w:spacing w:val="-3"/>
          <w:sz w:val="22"/>
        </w:rPr>
        <w:t> </w:t>
      </w:r>
      <w:r>
        <w:rPr>
          <w:sz w:val="22"/>
        </w:rPr>
        <w:t>y</w:t>
      </w:r>
      <w:r>
        <w:rPr>
          <w:spacing w:val="-6"/>
          <w:sz w:val="22"/>
        </w:rPr>
        <w:t> </w:t>
      </w:r>
      <w:r>
        <w:rPr>
          <w:b/>
          <w:sz w:val="22"/>
        </w:rPr>
        <w:t>Murcia</w:t>
      </w:r>
      <w:r>
        <w:rPr>
          <w:sz w:val="22"/>
        </w:rPr>
        <w:t>,</w:t>
      </w:r>
      <w:r>
        <w:rPr>
          <w:spacing w:val="-5"/>
          <w:sz w:val="22"/>
        </w:rPr>
        <w:t> </w:t>
      </w:r>
      <w:r>
        <w:rPr>
          <w:sz w:val="22"/>
        </w:rPr>
        <w:t>que</w:t>
      </w:r>
      <w:r>
        <w:rPr>
          <w:spacing w:val="-4"/>
          <w:sz w:val="22"/>
        </w:rPr>
        <w:t> </w:t>
      </w:r>
      <w:r>
        <w:rPr>
          <w:sz w:val="22"/>
        </w:rPr>
        <w:t>aún</w:t>
      </w:r>
      <w:r>
        <w:rPr>
          <w:spacing w:val="-6"/>
          <w:sz w:val="22"/>
        </w:rPr>
        <w:t> </w:t>
      </w:r>
      <w:r>
        <w:rPr>
          <w:sz w:val="22"/>
        </w:rPr>
        <w:t>no</w:t>
      </w:r>
      <w:r>
        <w:rPr>
          <w:spacing w:val="-7"/>
          <w:sz w:val="22"/>
        </w:rPr>
        <w:t> </w:t>
      </w:r>
      <w:r>
        <w:rPr>
          <w:sz w:val="22"/>
        </w:rPr>
        <w:t>han</w:t>
      </w:r>
      <w:r>
        <w:rPr>
          <w:spacing w:val="-4"/>
          <w:sz w:val="22"/>
        </w:rPr>
        <w:t> </w:t>
      </w:r>
      <w:r>
        <w:rPr>
          <w:sz w:val="22"/>
        </w:rPr>
        <w:t>presentado</w:t>
      </w:r>
      <w:r>
        <w:rPr>
          <w:spacing w:val="-6"/>
          <w:sz w:val="22"/>
        </w:rPr>
        <w:t> </w:t>
      </w:r>
      <w:r>
        <w:rPr>
          <w:sz w:val="22"/>
        </w:rPr>
        <w:t>la</w:t>
      </w:r>
      <w:r>
        <w:rPr>
          <w:spacing w:val="-4"/>
          <w:sz w:val="22"/>
        </w:rPr>
        <w:t> </w:t>
      </w:r>
      <w:r>
        <w:rPr>
          <w:sz w:val="22"/>
        </w:rPr>
        <w:t>cuenta</w:t>
      </w:r>
      <w:r>
        <w:rPr>
          <w:spacing w:val="-9"/>
          <w:sz w:val="22"/>
        </w:rPr>
        <w:t> </w:t>
      </w:r>
      <w:r>
        <w:rPr>
          <w:sz w:val="22"/>
        </w:rPr>
        <w:t>justificativa</w:t>
      </w:r>
      <w:r>
        <w:rPr>
          <w:spacing w:val="-4"/>
          <w:sz w:val="22"/>
        </w:rPr>
        <w:t> </w:t>
      </w:r>
      <w:r>
        <w:rPr>
          <w:sz w:val="22"/>
        </w:rPr>
        <w:t>por</w:t>
      </w:r>
      <w:r>
        <w:rPr>
          <w:spacing w:val="-5"/>
          <w:sz w:val="22"/>
        </w:rPr>
        <w:t> </w:t>
      </w:r>
      <w:r>
        <w:rPr>
          <w:sz w:val="22"/>
        </w:rPr>
        <w:t>no</w:t>
      </w:r>
      <w:r>
        <w:rPr>
          <w:spacing w:val="-7"/>
          <w:sz w:val="22"/>
        </w:rPr>
        <w:t> </w:t>
      </w:r>
      <w:r>
        <w:rPr>
          <w:sz w:val="22"/>
        </w:rPr>
        <w:t>haber concluido el plazo para ello, presentaron una DACI de la entidad, como entidades beneficiarias de las subvenciones.</w:t>
      </w:r>
    </w:p>
    <w:p>
      <w:pPr>
        <w:pStyle w:val="BodyText"/>
        <w:spacing w:before="240"/>
        <w:ind w:left="992" w:right="993"/>
        <w:jc w:val="both"/>
      </w:pPr>
      <w:r>
        <w:rPr/>
        <w:t>Igualmente, el Ayuntamiento de Bilbao/Donostia ha presentado esta misma declaración en representación de la agrupación de municipios.</w:t>
      </w:r>
    </w:p>
    <w:p>
      <w:pPr>
        <w:pStyle w:val="ListParagraph"/>
        <w:numPr>
          <w:ilvl w:val="0"/>
          <w:numId w:val="8"/>
        </w:numPr>
        <w:tabs>
          <w:tab w:pos="1350" w:val="left" w:leader="none"/>
        </w:tabs>
        <w:spacing w:line="240" w:lineRule="auto" w:before="240" w:after="0"/>
        <w:ind w:left="1350" w:right="0" w:hanging="358"/>
        <w:jc w:val="left"/>
        <w:rPr>
          <w:sz w:val="22"/>
        </w:rPr>
      </w:pPr>
      <w:r>
        <w:rPr>
          <w:sz w:val="22"/>
        </w:rPr>
        <w:t>Disponibilidad</w:t>
      </w:r>
      <w:r>
        <w:rPr>
          <w:spacing w:val="-8"/>
          <w:sz w:val="22"/>
        </w:rPr>
        <w:t> </w:t>
      </w:r>
      <w:r>
        <w:rPr>
          <w:sz w:val="22"/>
        </w:rPr>
        <w:t>de</w:t>
      </w:r>
      <w:r>
        <w:rPr>
          <w:spacing w:val="-6"/>
          <w:sz w:val="22"/>
        </w:rPr>
        <w:t> </w:t>
      </w:r>
      <w:r>
        <w:rPr>
          <w:sz w:val="22"/>
        </w:rPr>
        <w:t>un</w:t>
      </w:r>
      <w:r>
        <w:rPr>
          <w:spacing w:val="-4"/>
          <w:sz w:val="22"/>
        </w:rPr>
        <w:t> </w:t>
      </w:r>
      <w:r>
        <w:rPr>
          <w:sz w:val="22"/>
        </w:rPr>
        <w:t>procedimiento</w:t>
      </w:r>
      <w:r>
        <w:rPr>
          <w:spacing w:val="-6"/>
          <w:sz w:val="22"/>
        </w:rPr>
        <w:t> </w:t>
      </w:r>
      <w:r>
        <w:rPr>
          <w:sz w:val="22"/>
        </w:rPr>
        <w:t>para</w:t>
      </w:r>
      <w:r>
        <w:rPr>
          <w:spacing w:val="-6"/>
          <w:sz w:val="22"/>
        </w:rPr>
        <w:t> </w:t>
      </w:r>
      <w:r>
        <w:rPr>
          <w:sz w:val="22"/>
        </w:rPr>
        <w:t>abordar</w:t>
      </w:r>
      <w:r>
        <w:rPr>
          <w:spacing w:val="-8"/>
          <w:sz w:val="22"/>
        </w:rPr>
        <w:t> </w:t>
      </w:r>
      <w:r>
        <w:rPr>
          <w:sz w:val="22"/>
        </w:rPr>
        <w:t>los</w:t>
      </w:r>
      <w:r>
        <w:rPr>
          <w:spacing w:val="-5"/>
          <w:sz w:val="22"/>
        </w:rPr>
        <w:t> </w:t>
      </w:r>
      <w:r>
        <w:rPr>
          <w:sz w:val="22"/>
        </w:rPr>
        <w:t>conflictos</w:t>
      </w:r>
      <w:r>
        <w:rPr>
          <w:spacing w:val="-8"/>
          <w:sz w:val="22"/>
        </w:rPr>
        <w:t> </w:t>
      </w:r>
      <w:r>
        <w:rPr>
          <w:sz w:val="22"/>
        </w:rPr>
        <w:t>de</w:t>
      </w:r>
      <w:r>
        <w:rPr>
          <w:spacing w:val="-5"/>
          <w:sz w:val="22"/>
        </w:rPr>
        <w:t> </w:t>
      </w:r>
      <w:r>
        <w:rPr>
          <w:spacing w:val="-2"/>
          <w:sz w:val="22"/>
        </w:rPr>
        <w:t>interés.</w:t>
      </w:r>
    </w:p>
    <w:p>
      <w:pPr>
        <w:pStyle w:val="BodyText"/>
        <w:spacing w:before="239"/>
        <w:ind w:left="992" w:right="989"/>
        <w:jc w:val="both"/>
      </w:pPr>
      <w:r>
        <w:rPr/>
        <w:t>La Orden HFP/55/2023, de 24 de enero, relativa al análisis sistemático del riesgo de conflicto de interés</w:t>
      </w:r>
      <w:r>
        <w:rPr>
          <w:spacing w:val="-6"/>
        </w:rPr>
        <w:t> </w:t>
      </w:r>
      <w:r>
        <w:rPr/>
        <w:t>en</w:t>
      </w:r>
      <w:r>
        <w:rPr>
          <w:spacing w:val="-7"/>
        </w:rPr>
        <w:t> </w:t>
      </w:r>
      <w:r>
        <w:rPr/>
        <w:t>los</w:t>
      </w:r>
      <w:r>
        <w:rPr>
          <w:spacing w:val="-9"/>
        </w:rPr>
        <w:t> </w:t>
      </w:r>
      <w:r>
        <w:rPr/>
        <w:t>procedimientos</w:t>
      </w:r>
      <w:r>
        <w:rPr>
          <w:spacing w:val="-6"/>
        </w:rPr>
        <w:t> </w:t>
      </w:r>
      <w:r>
        <w:rPr/>
        <w:t>que</w:t>
      </w:r>
      <w:r>
        <w:rPr>
          <w:spacing w:val="-6"/>
        </w:rPr>
        <w:t> </w:t>
      </w:r>
      <w:r>
        <w:rPr/>
        <w:t>ejecutan</w:t>
      </w:r>
      <w:r>
        <w:rPr>
          <w:spacing w:val="-7"/>
        </w:rPr>
        <w:t> </w:t>
      </w:r>
      <w:r>
        <w:rPr/>
        <w:t>el</w:t>
      </w:r>
      <w:r>
        <w:rPr>
          <w:spacing w:val="-7"/>
        </w:rPr>
        <w:t> </w:t>
      </w:r>
      <w:r>
        <w:rPr/>
        <w:t>PRTR,</w:t>
      </w:r>
      <w:r>
        <w:rPr>
          <w:spacing w:val="-5"/>
        </w:rPr>
        <w:t> </w:t>
      </w:r>
      <w:r>
        <w:rPr/>
        <w:t>fija</w:t>
      </w:r>
      <w:r>
        <w:rPr>
          <w:spacing w:val="-9"/>
        </w:rPr>
        <w:t> </w:t>
      </w:r>
      <w:r>
        <w:rPr/>
        <w:t>un</w:t>
      </w:r>
      <w:r>
        <w:rPr>
          <w:spacing w:val="-7"/>
        </w:rPr>
        <w:t> </w:t>
      </w:r>
      <w:r>
        <w:rPr/>
        <w:t>procedimiento</w:t>
      </w:r>
      <w:r>
        <w:rPr>
          <w:spacing w:val="-11"/>
        </w:rPr>
        <w:t> </w:t>
      </w:r>
      <w:r>
        <w:rPr/>
        <w:t>estándar</w:t>
      </w:r>
      <w:r>
        <w:rPr>
          <w:spacing w:val="-8"/>
        </w:rPr>
        <w:t> </w:t>
      </w:r>
      <w:r>
        <w:rPr/>
        <w:t>para</w:t>
      </w:r>
      <w:r>
        <w:rPr>
          <w:spacing w:val="-6"/>
        </w:rPr>
        <w:t> </w:t>
      </w:r>
      <w:r>
        <w:rPr/>
        <w:t>abordar</w:t>
      </w:r>
      <w:r>
        <w:rPr>
          <w:spacing w:val="-8"/>
        </w:rPr>
        <w:t> </w:t>
      </w:r>
      <w:r>
        <w:rPr/>
        <w:t>el conflicto de interés y regula la implementación de la herramienta informática MINERVA para </w:t>
      </w:r>
      <w:r>
        <w:rPr>
          <w:spacing w:val="-2"/>
        </w:rPr>
        <w:t>detectarlo.</w:t>
      </w:r>
    </w:p>
    <w:p>
      <w:pPr>
        <w:pStyle w:val="BodyText"/>
        <w:spacing w:before="241"/>
        <w:ind w:left="992" w:right="994"/>
        <w:jc w:val="both"/>
      </w:pPr>
      <w:r>
        <w:rPr/>
        <w:t>Los ayuntamientos</w:t>
      </w:r>
      <w:r>
        <w:rPr>
          <w:spacing w:val="-3"/>
        </w:rPr>
        <w:t> </w:t>
      </w:r>
      <w:r>
        <w:rPr/>
        <w:t>fiscalizados han</w:t>
      </w:r>
      <w:r>
        <w:rPr>
          <w:spacing w:val="-3"/>
        </w:rPr>
        <w:t> </w:t>
      </w:r>
      <w:r>
        <w:rPr/>
        <w:t>comunicado</w:t>
      </w:r>
      <w:r>
        <w:rPr>
          <w:spacing w:val="-4"/>
        </w:rPr>
        <w:t> </w:t>
      </w:r>
      <w:r>
        <w:rPr/>
        <w:t>que han</w:t>
      </w:r>
      <w:r>
        <w:rPr>
          <w:spacing w:val="-3"/>
        </w:rPr>
        <w:t> </w:t>
      </w:r>
      <w:r>
        <w:rPr/>
        <w:t>llevado</w:t>
      </w:r>
      <w:r>
        <w:rPr>
          <w:spacing w:val="-1"/>
        </w:rPr>
        <w:t> </w:t>
      </w:r>
      <w:r>
        <w:rPr/>
        <w:t>a</w:t>
      </w:r>
      <w:r>
        <w:rPr>
          <w:spacing w:val="-3"/>
        </w:rPr>
        <w:t> </w:t>
      </w:r>
      <w:r>
        <w:rPr/>
        <w:t>cabo</w:t>
      </w:r>
      <w:r>
        <w:rPr>
          <w:spacing w:val="-4"/>
        </w:rPr>
        <w:t> </w:t>
      </w:r>
      <w:r>
        <w:rPr/>
        <w:t>el</w:t>
      </w:r>
      <w:r>
        <w:rPr>
          <w:spacing w:val="-2"/>
        </w:rPr>
        <w:t> </w:t>
      </w:r>
      <w:r>
        <w:rPr/>
        <w:t>análisis del</w:t>
      </w:r>
      <w:r>
        <w:rPr>
          <w:spacing w:val="-1"/>
        </w:rPr>
        <w:t> </w:t>
      </w:r>
      <w:r>
        <w:rPr/>
        <w:t>conflicto de interés a través de la herramienta MINERVA de aquellos contratos licitados con posterioridad a la entrada en vigor de esa norma.</w:t>
      </w:r>
    </w:p>
    <w:p>
      <w:pPr>
        <w:pStyle w:val="BodyText"/>
        <w:spacing w:before="107"/>
      </w:pPr>
    </w:p>
    <w:p>
      <w:pPr>
        <w:pStyle w:val="ListParagraph"/>
        <w:numPr>
          <w:ilvl w:val="3"/>
          <w:numId w:val="7"/>
        </w:numPr>
        <w:tabs>
          <w:tab w:pos="1778" w:val="left" w:leader="none"/>
          <w:tab w:pos="1853" w:val="left" w:leader="none"/>
        </w:tabs>
        <w:spacing w:line="240" w:lineRule="auto" w:before="0" w:after="0"/>
        <w:ind w:left="1853" w:right="995" w:hanging="862"/>
        <w:jc w:val="left"/>
        <w:rPr>
          <w:sz w:val="22"/>
        </w:rPr>
      </w:pPr>
      <w:r>
        <w:rPr>
          <w:sz w:val="22"/>
        </w:rPr>
        <w:t>COMPATIBILIDAD DEL RÉGIMEN DE AYUDAS DE ESTADO</w:t>
      </w:r>
      <w:r>
        <w:rPr>
          <w:spacing w:val="31"/>
          <w:sz w:val="22"/>
        </w:rPr>
        <w:t> </w:t>
      </w:r>
      <w:r>
        <w:rPr>
          <w:sz w:val="22"/>
        </w:rPr>
        <w:t>Y PREVENCIÓN DE LA</w:t>
      </w:r>
      <w:r>
        <w:rPr>
          <w:spacing w:val="80"/>
          <w:sz w:val="22"/>
        </w:rPr>
        <w:t> </w:t>
      </w:r>
      <w:r>
        <w:rPr>
          <w:sz w:val="22"/>
        </w:rPr>
        <w:t>DOBLE FINANCIACIÓN</w:t>
      </w:r>
    </w:p>
    <w:p>
      <w:pPr>
        <w:spacing w:before="240"/>
        <w:ind w:left="992" w:right="989" w:firstLine="0"/>
        <w:jc w:val="both"/>
        <w:rPr>
          <w:sz w:val="22"/>
        </w:rPr>
      </w:pPr>
      <w:r>
        <w:rPr>
          <w:sz w:val="22"/>
        </w:rPr>
        <w:t>Los </w:t>
      </w:r>
      <w:r>
        <w:rPr>
          <w:b/>
          <w:sz w:val="22"/>
        </w:rPr>
        <w:t>Ayuntamientos de Bilbao, Málaga, Palma, Sevilla </w:t>
      </w:r>
      <w:r>
        <w:rPr>
          <w:sz w:val="22"/>
        </w:rPr>
        <w:t>y </w:t>
      </w:r>
      <w:r>
        <w:rPr>
          <w:b/>
          <w:sz w:val="22"/>
        </w:rPr>
        <w:t>Zaragoza </w:t>
      </w:r>
      <w:r>
        <w:rPr>
          <w:sz w:val="22"/>
        </w:rPr>
        <w:t>han presentado ante el MITMA, entre la documentación justificativa, una</w:t>
      </w:r>
      <w:r>
        <w:rPr>
          <w:spacing w:val="-4"/>
          <w:sz w:val="22"/>
        </w:rPr>
        <w:t> </w:t>
      </w:r>
      <w:r>
        <w:rPr>
          <w:sz w:val="22"/>
        </w:rPr>
        <w:t>declaración responsable</w:t>
      </w:r>
      <w:r>
        <w:rPr>
          <w:spacing w:val="-2"/>
          <w:sz w:val="22"/>
        </w:rPr>
        <w:t> </w:t>
      </w:r>
      <w:r>
        <w:rPr>
          <w:sz w:val="22"/>
        </w:rPr>
        <w:t>en la que declaran la no concurrencia</w:t>
      </w:r>
      <w:r>
        <w:rPr>
          <w:spacing w:val="-5"/>
          <w:sz w:val="22"/>
        </w:rPr>
        <w:t> </w:t>
      </w:r>
      <w:r>
        <w:rPr>
          <w:sz w:val="22"/>
        </w:rPr>
        <w:t>con</w:t>
      </w:r>
      <w:r>
        <w:rPr>
          <w:spacing w:val="-5"/>
          <w:sz w:val="22"/>
        </w:rPr>
        <w:t> </w:t>
      </w:r>
      <w:r>
        <w:rPr>
          <w:sz w:val="22"/>
        </w:rPr>
        <w:t>otros</w:t>
      </w:r>
      <w:r>
        <w:rPr>
          <w:spacing w:val="-7"/>
          <w:sz w:val="22"/>
        </w:rPr>
        <w:t> </w:t>
      </w:r>
      <w:r>
        <w:rPr>
          <w:sz w:val="22"/>
        </w:rPr>
        <w:t>fondos</w:t>
      </w:r>
      <w:r>
        <w:rPr>
          <w:spacing w:val="-5"/>
          <w:sz w:val="22"/>
        </w:rPr>
        <w:t> </w:t>
      </w:r>
      <w:r>
        <w:rPr>
          <w:sz w:val="22"/>
        </w:rPr>
        <w:t>europeos</w:t>
      </w:r>
      <w:r>
        <w:rPr>
          <w:spacing w:val="-7"/>
          <w:sz w:val="22"/>
        </w:rPr>
        <w:t> </w:t>
      </w:r>
      <w:r>
        <w:rPr>
          <w:sz w:val="22"/>
        </w:rPr>
        <w:t>en</w:t>
      </w:r>
      <w:r>
        <w:rPr>
          <w:spacing w:val="-5"/>
          <w:sz w:val="22"/>
        </w:rPr>
        <w:t> </w:t>
      </w:r>
      <w:r>
        <w:rPr>
          <w:sz w:val="22"/>
        </w:rPr>
        <w:t>la</w:t>
      </w:r>
      <w:r>
        <w:rPr>
          <w:spacing w:val="-5"/>
          <w:sz w:val="22"/>
        </w:rPr>
        <w:t> </w:t>
      </w:r>
      <w:r>
        <w:rPr>
          <w:sz w:val="22"/>
        </w:rPr>
        <w:t>ejecución</w:t>
      </w:r>
      <w:r>
        <w:rPr>
          <w:spacing w:val="-5"/>
          <w:sz w:val="22"/>
        </w:rPr>
        <w:t> </w:t>
      </w:r>
      <w:r>
        <w:rPr>
          <w:sz w:val="22"/>
        </w:rPr>
        <w:t>de</w:t>
      </w:r>
      <w:r>
        <w:rPr>
          <w:spacing w:val="-5"/>
          <w:sz w:val="22"/>
        </w:rPr>
        <w:t> </w:t>
      </w:r>
      <w:r>
        <w:rPr>
          <w:sz w:val="22"/>
        </w:rPr>
        <w:t>las</w:t>
      </w:r>
      <w:r>
        <w:rPr>
          <w:spacing w:val="-5"/>
          <w:sz w:val="22"/>
        </w:rPr>
        <w:t> </w:t>
      </w:r>
      <w:r>
        <w:rPr>
          <w:sz w:val="22"/>
        </w:rPr>
        <w:t>actuaciones</w:t>
      </w:r>
      <w:r>
        <w:rPr>
          <w:spacing w:val="-5"/>
          <w:sz w:val="22"/>
        </w:rPr>
        <w:t> </w:t>
      </w:r>
      <w:r>
        <w:rPr>
          <w:sz w:val="22"/>
        </w:rPr>
        <w:t>subvencionadas.</w:t>
      </w:r>
      <w:r>
        <w:rPr>
          <w:spacing w:val="-6"/>
          <w:sz w:val="22"/>
        </w:rPr>
        <w:t> </w:t>
      </w:r>
      <w:r>
        <w:rPr>
          <w:sz w:val="22"/>
        </w:rPr>
        <w:t>Estas</w:t>
      </w:r>
    </w:p>
    <w:p>
      <w:pPr>
        <w:spacing w:after="0"/>
        <w:jc w:val="both"/>
        <w:rPr>
          <w:sz w:val="22"/>
        </w:rPr>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spacing w:before="0"/>
        <w:ind w:left="992" w:right="984" w:firstLine="0"/>
        <w:jc w:val="both"/>
        <w:rPr>
          <w:sz w:val="22"/>
        </w:rPr>
      </w:pPr>
      <w:r>
        <w:rPr>
          <w:sz w:val="22"/>
        </w:rPr>
        <w:t>entidades, además de los </w:t>
      </w:r>
      <w:r>
        <w:rPr>
          <w:b/>
          <w:sz w:val="22"/>
        </w:rPr>
        <w:t>Ayuntamientos de Alicante, Las Palmas de Gran Canaria</w:t>
      </w:r>
      <w:r>
        <w:rPr>
          <w:b/>
          <w:spacing w:val="-2"/>
          <w:sz w:val="22"/>
        </w:rPr>
        <w:t> </w:t>
      </w:r>
      <w:r>
        <w:rPr>
          <w:sz w:val="22"/>
        </w:rPr>
        <w:t>y </w:t>
      </w:r>
      <w:r>
        <w:rPr>
          <w:b/>
          <w:sz w:val="22"/>
        </w:rPr>
        <w:t>Murcia </w:t>
      </w:r>
      <w:r>
        <w:rPr>
          <w:sz w:val="22"/>
        </w:rPr>
        <w:t>que aún no han presentado la cuenta justificativa por no haber concluido el plazo para ello, han hecho esta misma declaración en los informes semestrales de seguimiento.</w:t>
      </w:r>
    </w:p>
    <w:p>
      <w:pPr>
        <w:pStyle w:val="BodyText"/>
        <w:spacing w:before="242"/>
        <w:ind w:left="992" w:right="993"/>
        <w:jc w:val="both"/>
      </w:pPr>
      <w:r>
        <w:rPr/>
        <w:t>Igualmente, el Ayuntamiento de Bilbao/Donostia ha presentado esta misma declaración en representación de la agrupación de municipios.</w:t>
      </w:r>
    </w:p>
    <w:p>
      <w:pPr>
        <w:pStyle w:val="BodyText"/>
        <w:spacing w:before="238"/>
        <w:ind w:left="992" w:right="987"/>
        <w:jc w:val="both"/>
      </w:pPr>
      <w:r>
        <w:rPr/>
        <w:t>No consta que el </w:t>
      </w:r>
      <w:r>
        <w:rPr>
          <w:b/>
        </w:rPr>
        <w:t>Ayuntamiento de Palma </w:t>
      </w:r>
      <w:r>
        <w:rPr/>
        <w:t>haya informado al MITMA de la percepción de otras subvenciones o ayudas para una misma actuación, en concreto, de financiación autonómica para la adquisición de autobuses. En todo caso, el importe conjunto de las ayudas recibidas no ha superado el importe de la actuación.</w:t>
      </w:r>
    </w:p>
    <w:p>
      <w:pPr>
        <w:pStyle w:val="BodyText"/>
        <w:spacing w:before="108"/>
      </w:pPr>
    </w:p>
    <w:p>
      <w:pPr>
        <w:pStyle w:val="ListParagraph"/>
        <w:numPr>
          <w:ilvl w:val="3"/>
          <w:numId w:val="7"/>
        </w:numPr>
        <w:tabs>
          <w:tab w:pos="1779" w:val="left" w:leader="none"/>
        </w:tabs>
        <w:spacing w:line="240" w:lineRule="auto" w:before="0" w:after="0"/>
        <w:ind w:left="1779" w:right="0" w:hanging="787"/>
        <w:jc w:val="left"/>
        <w:rPr>
          <w:sz w:val="22"/>
        </w:rPr>
      </w:pPr>
      <w:r>
        <w:rPr>
          <w:spacing w:val="-2"/>
          <w:sz w:val="22"/>
        </w:rPr>
        <w:t>COMUNICACIÓN</w:t>
      </w:r>
    </w:p>
    <w:p>
      <w:pPr>
        <w:pStyle w:val="BodyText"/>
        <w:spacing w:before="239"/>
        <w:ind w:left="992" w:right="987"/>
        <w:jc w:val="both"/>
      </w:pPr>
      <w:r>
        <w:rPr/>
        <w:t>Los ayuntamientos fiscalizados dan publicidad en un apartado específico de sus páginas web o sedes electrónicas de la financiación de los proyectos subvencionados en el marco del Programa de ayudas para la transformación digital y sostenible del transporte urbano, PRTR.</w:t>
      </w:r>
    </w:p>
    <w:p>
      <w:pPr>
        <w:pStyle w:val="BodyText"/>
        <w:spacing w:before="242"/>
        <w:ind w:left="992" w:right="986"/>
        <w:jc w:val="both"/>
      </w:pPr>
      <w:r>
        <w:rPr/>
        <w:t>Asimismo,</w:t>
      </w:r>
      <w:r>
        <w:rPr>
          <w:spacing w:val="-16"/>
        </w:rPr>
        <w:t> </w:t>
      </w:r>
      <w:r>
        <w:rPr/>
        <w:t>los</w:t>
      </w:r>
      <w:r>
        <w:rPr>
          <w:spacing w:val="-15"/>
        </w:rPr>
        <w:t> </w:t>
      </w:r>
      <w:r>
        <w:rPr>
          <w:b/>
        </w:rPr>
        <w:t>Ayuntamientos</w:t>
      </w:r>
      <w:r>
        <w:rPr>
          <w:b/>
          <w:spacing w:val="-15"/>
        </w:rPr>
        <w:t> </w:t>
      </w:r>
      <w:r>
        <w:rPr>
          <w:b/>
        </w:rPr>
        <w:t>de</w:t>
      </w:r>
      <w:r>
        <w:rPr>
          <w:b/>
          <w:spacing w:val="-16"/>
        </w:rPr>
        <w:t> </w:t>
      </w:r>
      <w:r>
        <w:rPr>
          <w:b/>
        </w:rPr>
        <w:t>Bilbao,</w:t>
      </w:r>
      <w:r>
        <w:rPr>
          <w:b/>
          <w:spacing w:val="-15"/>
        </w:rPr>
        <w:t> </w:t>
      </w:r>
      <w:r>
        <w:rPr>
          <w:b/>
        </w:rPr>
        <w:t>Málaga,</w:t>
      </w:r>
      <w:r>
        <w:rPr>
          <w:b/>
          <w:spacing w:val="-15"/>
        </w:rPr>
        <w:t> </w:t>
      </w:r>
      <w:r>
        <w:rPr>
          <w:b/>
        </w:rPr>
        <w:t>Palma,</w:t>
      </w:r>
      <w:r>
        <w:rPr>
          <w:b/>
          <w:spacing w:val="-15"/>
        </w:rPr>
        <w:t> </w:t>
      </w:r>
      <w:r>
        <w:rPr>
          <w:b/>
        </w:rPr>
        <w:t>Sevilla</w:t>
      </w:r>
      <w:r>
        <w:rPr>
          <w:b/>
          <w:spacing w:val="-16"/>
        </w:rPr>
        <w:t> </w:t>
      </w:r>
      <w:r>
        <w:rPr/>
        <w:t>y</w:t>
      </w:r>
      <w:r>
        <w:rPr>
          <w:spacing w:val="-15"/>
        </w:rPr>
        <w:t> </w:t>
      </w:r>
      <w:r>
        <w:rPr>
          <w:b/>
        </w:rPr>
        <w:t>Zaragoza</w:t>
      </w:r>
      <w:r>
        <w:rPr>
          <w:b/>
          <w:spacing w:val="-15"/>
        </w:rPr>
        <w:t> </w:t>
      </w:r>
      <w:r>
        <w:rPr/>
        <w:t>han</w:t>
      </w:r>
      <w:r>
        <w:rPr>
          <w:spacing w:val="-16"/>
        </w:rPr>
        <w:t> </w:t>
      </w:r>
      <w:r>
        <w:rPr/>
        <w:t>presentado</w:t>
      </w:r>
      <w:r>
        <w:rPr>
          <w:spacing w:val="-15"/>
        </w:rPr>
        <w:t> </w:t>
      </w:r>
      <w:r>
        <w:rPr/>
        <w:t>ante el MITMA, entre la documentación justificativa, una declaración en la que señalan que han dado cumplimiento</w:t>
      </w:r>
      <w:r>
        <w:rPr>
          <w:spacing w:val="-4"/>
        </w:rPr>
        <w:t> </w:t>
      </w:r>
      <w:r>
        <w:rPr/>
        <w:t>a</w:t>
      </w:r>
      <w:r>
        <w:rPr>
          <w:spacing w:val="-4"/>
        </w:rPr>
        <w:t> </w:t>
      </w:r>
      <w:r>
        <w:rPr/>
        <w:t>las</w:t>
      </w:r>
      <w:r>
        <w:rPr>
          <w:spacing w:val="-2"/>
        </w:rPr>
        <w:t> </w:t>
      </w:r>
      <w:r>
        <w:rPr/>
        <w:t>obligaciones</w:t>
      </w:r>
      <w:r>
        <w:rPr>
          <w:spacing w:val="-2"/>
        </w:rPr>
        <w:t> </w:t>
      </w:r>
      <w:r>
        <w:rPr/>
        <w:t>en</w:t>
      </w:r>
      <w:r>
        <w:rPr>
          <w:spacing w:val="-4"/>
        </w:rPr>
        <w:t> </w:t>
      </w:r>
      <w:r>
        <w:rPr/>
        <w:t>materia</w:t>
      </w:r>
      <w:r>
        <w:rPr>
          <w:spacing w:val="-5"/>
        </w:rPr>
        <w:t> </w:t>
      </w:r>
      <w:r>
        <w:rPr/>
        <w:t>de</w:t>
      </w:r>
      <w:r>
        <w:rPr>
          <w:spacing w:val="-2"/>
        </w:rPr>
        <w:t> </w:t>
      </w:r>
      <w:r>
        <w:rPr/>
        <w:t>comunicación</w:t>
      </w:r>
      <w:r>
        <w:rPr>
          <w:spacing w:val="-4"/>
        </w:rPr>
        <w:t> </w:t>
      </w:r>
      <w:r>
        <w:rPr/>
        <w:t>recogidas</w:t>
      </w:r>
      <w:r>
        <w:rPr>
          <w:spacing w:val="-1"/>
        </w:rPr>
        <w:t> </w:t>
      </w:r>
      <w:r>
        <w:rPr/>
        <w:t>en</w:t>
      </w:r>
      <w:r>
        <w:rPr>
          <w:spacing w:val="-4"/>
        </w:rPr>
        <w:t> </w:t>
      </w:r>
      <w:r>
        <w:rPr/>
        <w:t>el</w:t>
      </w:r>
      <w:r>
        <w:rPr>
          <w:spacing w:val="-3"/>
        </w:rPr>
        <w:t> </w:t>
      </w:r>
      <w:r>
        <w:rPr/>
        <w:t>artículo</w:t>
      </w:r>
      <w:r>
        <w:rPr>
          <w:spacing w:val="-4"/>
        </w:rPr>
        <w:t> </w:t>
      </w:r>
      <w:r>
        <w:rPr/>
        <w:t>9</w:t>
      </w:r>
      <w:r>
        <w:rPr>
          <w:spacing w:val="-2"/>
        </w:rPr>
        <w:t> </w:t>
      </w:r>
      <w:r>
        <w:rPr/>
        <w:t>de</w:t>
      </w:r>
      <w:r>
        <w:rPr>
          <w:spacing w:val="-4"/>
        </w:rPr>
        <w:t> </w:t>
      </w:r>
      <w:r>
        <w:rPr/>
        <w:t>la</w:t>
      </w:r>
      <w:r>
        <w:rPr>
          <w:spacing w:val="-4"/>
        </w:rPr>
        <w:t> </w:t>
      </w:r>
      <w:r>
        <w:rPr/>
        <w:t>Orden </w:t>
      </w:r>
      <w:r>
        <w:rPr>
          <w:spacing w:val="-2"/>
        </w:rPr>
        <w:t>HFP/1030/2021.</w:t>
      </w:r>
    </w:p>
    <w:p>
      <w:pPr>
        <w:pStyle w:val="BodyText"/>
        <w:spacing w:before="239"/>
        <w:ind w:left="992" w:right="993"/>
        <w:jc w:val="both"/>
      </w:pPr>
      <w:r>
        <w:rPr/>
        <w:t>Igualmente, el Ayuntamiento de Bilbao/Donostia ha presentado esta misma declaración en representación de la agrupación de municipios.</w:t>
      </w:r>
    </w:p>
    <w:p>
      <w:pPr>
        <w:pStyle w:val="BodyText"/>
        <w:spacing w:before="107"/>
      </w:pPr>
    </w:p>
    <w:p>
      <w:pPr>
        <w:pStyle w:val="Heading4"/>
        <w:numPr>
          <w:ilvl w:val="1"/>
          <w:numId w:val="3"/>
        </w:numPr>
        <w:tabs>
          <w:tab w:pos="1416" w:val="left" w:leader="none"/>
        </w:tabs>
        <w:spacing w:line="240" w:lineRule="auto" w:before="1" w:after="0"/>
        <w:ind w:left="992" w:right="988" w:firstLine="0"/>
        <w:jc w:val="left"/>
      </w:pPr>
      <w:bookmarkStart w:name="_bookmark112" w:id="114"/>
      <w:bookmarkEnd w:id="114"/>
      <w:r>
        <w:rPr>
          <w:b w:val="0"/>
        </w:rPr>
      </w:r>
      <w:r>
        <w:rPr/>
        <w:t>CONSIDERACIONES</w:t>
      </w:r>
      <w:r>
        <w:rPr>
          <w:spacing w:val="80"/>
        </w:rPr>
        <w:t> </w:t>
      </w:r>
      <w:r>
        <w:rPr/>
        <w:t>SOBRE</w:t>
      </w:r>
      <w:r>
        <w:rPr>
          <w:spacing w:val="80"/>
        </w:rPr>
        <w:t> </w:t>
      </w:r>
      <w:r>
        <w:rPr/>
        <w:t>IGUALDAD</w:t>
      </w:r>
      <w:r>
        <w:rPr>
          <w:spacing w:val="80"/>
        </w:rPr>
        <w:t> </w:t>
      </w:r>
      <w:r>
        <w:rPr/>
        <w:t>EFECTIVA</w:t>
      </w:r>
      <w:r>
        <w:rPr>
          <w:spacing w:val="80"/>
        </w:rPr>
        <w:t> </w:t>
      </w:r>
      <w:r>
        <w:rPr/>
        <w:t>DE</w:t>
      </w:r>
      <w:r>
        <w:rPr>
          <w:spacing w:val="80"/>
        </w:rPr>
        <w:t> </w:t>
      </w:r>
      <w:r>
        <w:rPr/>
        <w:t>MUJERES</w:t>
      </w:r>
      <w:r>
        <w:rPr>
          <w:spacing w:val="80"/>
        </w:rPr>
        <w:t> </w:t>
      </w:r>
      <w:r>
        <w:rPr/>
        <w:t>Y</w:t>
      </w:r>
      <w:r>
        <w:rPr>
          <w:spacing w:val="80"/>
        </w:rPr>
        <w:t> </w:t>
      </w:r>
      <w:r>
        <w:rPr/>
        <w:t>HOMBRES</w:t>
      </w:r>
      <w:r>
        <w:rPr>
          <w:spacing w:val="80"/>
        </w:rPr>
        <w:t> </w:t>
      </w:r>
      <w:r>
        <w:rPr/>
        <w:t>Y </w:t>
      </w:r>
      <w:r>
        <w:rPr>
          <w:spacing w:val="-2"/>
        </w:rPr>
        <w:t>TRANSPARENCIA</w:t>
      </w:r>
    </w:p>
    <w:p>
      <w:pPr>
        <w:pStyle w:val="BodyText"/>
        <w:spacing w:before="107"/>
        <w:rPr>
          <w:b/>
        </w:rPr>
      </w:pPr>
    </w:p>
    <w:p>
      <w:pPr>
        <w:pStyle w:val="Heading5"/>
        <w:numPr>
          <w:ilvl w:val="2"/>
          <w:numId w:val="3"/>
        </w:numPr>
        <w:tabs>
          <w:tab w:pos="1739" w:val="left" w:leader="none"/>
        </w:tabs>
        <w:spacing w:line="240" w:lineRule="auto" w:before="0" w:after="0"/>
        <w:ind w:left="1739" w:right="0" w:hanging="606"/>
        <w:jc w:val="left"/>
      </w:pPr>
      <w:bookmarkStart w:name="_bookmark113" w:id="115"/>
      <w:bookmarkEnd w:id="115"/>
      <w:r>
        <w:rPr>
          <w:b w:val="0"/>
        </w:rPr>
      </w:r>
      <w:r>
        <w:rPr/>
        <w:t>Consideraciones</w:t>
      </w:r>
      <w:r>
        <w:rPr>
          <w:spacing w:val="-10"/>
        </w:rPr>
        <w:t> </w:t>
      </w:r>
      <w:r>
        <w:rPr/>
        <w:t>sobre</w:t>
      </w:r>
      <w:r>
        <w:rPr>
          <w:spacing w:val="-8"/>
        </w:rPr>
        <w:t> </w:t>
      </w:r>
      <w:r>
        <w:rPr/>
        <w:t>igualdad</w:t>
      </w:r>
      <w:r>
        <w:rPr>
          <w:spacing w:val="-6"/>
        </w:rPr>
        <w:t> </w:t>
      </w:r>
      <w:r>
        <w:rPr/>
        <w:t>efectiva</w:t>
      </w:r>
      <w:r>
        <w:rPr>
          <w:spacing w:val="-7"/>
        </w:rPr>
        <w:t> </w:t>
      </w:r>
      <w:r>
        <w:rPr/>
        <w:t>de</w:t>
      </w:r>
      <w:r>
        <w:rPr>
          <w:spacing w:val="-8"/>
        </w:rPr>
        <w:t> </w:t>
      </w:r>
      <w:r>
        <w:rPr/>
        <w:t>mujeres</w:t>
      </w:r>
      <w:r>
        <w:rPr>
          <w:spacing w:val="-7"/>
        </w:rPr>
        <w:t> </w:t>
      </w:r>
      <w:r>
        <w:rPr/>
        <w:t>y</w:t>
      </w:r>
      <w:r>
        <w:rPr>
          <w:spacing w:val="-7"/>
        </w:rPr>
        <w:t> </w:t>
      </w:r>
      <w:r>
        <w:rPr>
          <w:spacing w:val="-2"/>
        </w:rPr>
        <w:t>hombres</w:t>
      </w:r>
    </w:p>
    <w:p>
      <w:pPr>
        <w:pStyle w:val="BodyText"/>
        <w:spacing w:before="239"/>
        <w:ind w:left="992" w:right="988"/>
        <w:jc w:val="both"/>
      </w:pPr>
      <w:r>
        <w:rPr/>
        <w:t>La</w:t>
      </w:r>
      <w:r>
        <w:rPr>
          <w:spacing w:val="-14"/>
        </w:rPr>
        <w:t> </w:t>
      </w:r>
      <w:r>
        <w:rPr/>
        <w:t>igualdad</w:t>
      </w:r>
      <w:r>
        <w:rPr>
          <w:spacing w:val="-14"/>
        </w:rPr>
        <w:t> </w:t>
      </w:r>
      <w:r>
        <w:rPr/>
        <w:t>entre</w:t>
      </w:r>
      <w:r>
        <w:rPr>
          <w:spacing w:val="-16"/>
        </w:rPr>
        <w:t> </w:t>
      </w:r>
      <w:r>
        <w:rPr/>
        <w:t>mujeres</w:t>
      </w:r>
      <w:r>
        <w:rPr>
          <w:spacing w:val="-12"/>
        </w:rPr>
        <w:t> </w:t>
      </w:r>
      <w:r>
        <w:rPr/>
        <w:t>y</w:t>
      </w:r>
      <w:r>
        <w:rPr>
          <w:spacing w:val="-13"/>
        </w:rPr>
        <w:t> </w:t>
      </w:r>
      <w:r>
        <w:rPr/>
        <w:t>hombres</w:t>
      </w:r>
      <w:r>
        <w:rPr>
          <w:spacing w:val="-13"/>
        </w:rPr>
        <w:t> </w:t>
      </w:r>
      <w:r>
        <w:rPr/>
        <w:t>es</w:t>
      </w:r>
      <w:r>
        <w:rPr>
          <w:spacing w:val="-16"/>
        </w:rPr>
        <w:t> </w:t>
      </w:r>
      <w:r>
        <w:rPr/>
        <w:t>un</w:t>
      </w:r>
      <w:r>
        <w:rPr>
          <w:spacing w:val="-13"/>
        </w:rPr>
        <w:t> </w:t>
      </w:r>
      <w:r>
        <w:rPr/>
        <w:t>principio</w:t>
      </w:r>
      <w:r>
        <w:rPr>
          <w:spacing w:val="-14"/>
        </w:rPr>
        <w:t> </w:t>
      </w:r>
      <w:r>
        <w:rPr/>
        <w:t>jurídico</w:t>
      </w:r>
      <w:r>
        <w:rPr>
          <w:spacing w:val="-14"/>
        </w:rPr>
        <w:t> </w:t>
      </w:r>
      <w:r>
        <w:rPr/>
        <w:t>universal</w:t>
      </w:r>
      <w:r>
        <w:rPr>
          <w:spacing w:val="-14"/>
        </w:rPr>
        <w:t> </w:t>
      </w:r>
      <w:r>
        <w:rPr/>
        <w:t>reconocido</w:t>
      </w:r>
      <w:r>
        <w:rPr>
          <w:spacing w:val="-14"/>
        </w:rPr>
        <w:t> </w:t>
      </w:r>
      <w:r>
        <w:rPr/>
        <w:t>en</w:t>
      </w:r>
      <w:r>
        <w:rPr>
          <w:spacing w:val="-14"/>
        </w:rPr>
        <w:t> </w:t>
      </w:r>
      <w:r>
        <w:rPr/>
        <w:t>diversos</w:t>
      </w:r>
      <w:r>
        <w:rPr>
          <w:spacing w:val="-15"/>
        </w:rPr>
        <w:t> </w:t>
      </w:r>
      <w:r>
        <w:rPr/>
        <w:t>textos internacionales sobre derechos humanos y en nuestro ordenamiento jurídico por la Constitución, que proclama en</w:t>
      </w:r>
      <w:r>
        <w:rPr>
          <w:spacing w:val="-1"/>
        </w:rPr>
        <w:t> </w:t>
      </w:r>
      <w:r>
        <w:rPr/>
        <w:t>su artículo 14 el derecho</w:t>
      </w:r>
      <w:r>
        <w:rPr>
          <w:spacing w:val="-1"/>
        </w:rPr>
        <w:t> </w:t>
      </w:r>
      <w:r>
        <w:rPr/>
        <w:t>a la igualdad y a la no</w:t>
      </w:r>
      <w:r>
        <w:rPr>
          <w:spacing w:val="-1"/>
        </w:rPr>
        <w:t> </w:t>
      </w:r>
      <w:r>
        <w:rPr/>
        <w:t>discriminación por razón de</w:t>
      </w:r>
      <w:r>
        <w:rPr>
          <w:spacing w:val="-1"/>
        </w:rPr>
        <w:t> </w:t>
      </w:r>
      <w:r>
        <w:rPr/>
        <w:t>sexo y en el artículo 9.2 la obligación de los poderes públicos de promover las condiciones para que la igualdad del individuo y de los grupos en que se integra sean reales y efectivas.</w:t>
      </w:r>
    </w:p>
    <w:p>
      <w:pPr>
        <w:pStyle w:val="BodyText"/>
        <w:spacing w:before="240"/>
        <w:ind w:left="992" w:right="986"/>
        <w:jc w:val="both"/>
      </w:pPr>
      <w:r>
        <w:rPr/>
        <w:t>Entre las normas que regulan aspectos</w:t>
      </w:r>
      <w:r>
        <w:rPr>
          <w:spacing w:val="-1"/>
        </w:rPr>
        <w:t> </w:t>
      </w:r>
      <w:r>
        <w:rPr/>
        <w:t>relativos a la igualdad de género en nuestro ordenamiento jurídico, hay que destacar la Ley Orgánica 3/2007, de 22 de marzo, para la igualdad efectiva de mujeres y hombres (LOIEMH).</w:t>
      </w:r>
    </w:p>
    <w:p>
      <w:pPr>
        <w:pStyle w:val="BodyText"/>
        <w:spacing w:before="109"/>
      </w:pPr>
    </w:p>
    <w:p>
      <w:pPr>
        <w:pStyle w:val="ListParagraph"/>
        <w:numPr>
          <w:ilvl w:val="3"/>
          <w:numId w:val="3"/>
        </w:numPr>
        <w:tabs>
          <w:tab w:pos="1779" w:val="left" w:leader="none"/>
        </w:tabs>
        <w:spacing w:line="240" w:lineRule="auto" w:before="1" w:after="0"/>
        <w:ind w:left="1779" w:right="0" w:hanging="787"/>
        <w:jc w:val="left"/>
        <w:rPr>
          <w:sz w:val="22"/>
        </w:rPr>
      </w:pPr>
      <w:r>
        <w:rPr>
          <w:sz w:val="22"/>
        </w:rPr>
        <w:t>PLANES</w:t>
      </w:r>
      <w:r>
        <w:rPr>
          <w:spacing w:val="-4"/>
          <w:sz w:val="22"/>
        </w:rPr>
        <w:t> </w:t>
      </w:r>
      <w:r>
        <w:rPr>
          <w:sz w:val="22"/>
        </w:rPr>
        <w:t>DE</w:t>
      </w:r>
      <w:r>
        <w:rPr>
          <w:spacing w:val="-4"/>
          <w:sz w:val="22"/>
        </w:rPr>
        <w:t> </w:t>
      </w:r>
      <w:r>
        <w:rPr>
          <w:spacing w:val="-2"/>
          <w:sz w:val="22"/>
        </w:rPr>
        <w:t>IGUALDAD</w:t>
      </w:r>
    </w:p>
    <w:p>
      <w:pPr>
        <w:pStyle w:val="BodyText"/>
        <w:spacing w:before="239"/>
        <w:ind w:left="992" w:right="988"/>
        <w:jc w:val="both"/>
      </w:pPr>
      <w:r>
        <w:rPr/>
        <w:t>Todos los ayuntamientos fiscalizados contaron con un Plan de Igualdad con medidas dirigidas a evitar</w:t>
      </w:r>
      <w:r>
        <w:rPr>
          <w:spacing w:val="-16"/>
        </w:rPr>
        <w:t> </w:t>
      </w:r>
      <w:r>
        <w:rPr/>
        <w:t>cualquier</w:t>
      </w:r>
      <w:r>
        <w:rPr>
          <w:spacing w:val="-15"/>
        </w:rPr>
        <w:t> </w:t>
      </w:r>
      <w:r>
        <w:rPr/>
        <w:t>tipo</w:t>
      </w:r>
      <w:r>
        <w:rPr>
          <w:spacing w:val="-15"/>
        </w:rPr>
        <w:t> </w:t>
      </w:r>
      <w:r>
        <w:rPr/>
        <w:t>de</w:t>
      </w:r>
      <w:r>
        <w:rPr>
          <w:spacing w:val="-16"/>
        </w:rPr>
        <w:t> </w:t>
      </w:r>
      <w:r>
        <w:rPr/>
        <w:t>discriminación</w:t>
      </w:r>
      <w:r>
        <w:rPr>
          <w:spacing w:val="-15"/>
        </w:rPr>
        <w:t> </w:t>
      </w:r>
      <w:r>
        <w:rPr/>
        <w:t>laboral</w:t>
      </w:r>
      <w:r>
        <w:rPr>
          <w:spacing w:val="-15"/>
        </w:rPr>
        <w:t> </w:t>
      </w:r>
      <w:r>
        <w:rPr/>
        <w:t>entre</w:t>
      </w:r>
      <w:r>
        <w:rPr>
          <w:spacing w:val="-15"/>
        </w:rPr>
        <w:t> </w:t>
      </w:r>
      <w:r>
        <w:rPr/>
        <w:t>mujeres</w:t>
      </w:r>
      <w:r>
        <w:rPr>
          <w:spacing w:val="-16"/>
        </w:rPr>
        <w:t> </w:t>
      </w:r>
      <w:r>
        <w:rPr/>
        <w:t>y</w:t>
      </w:r>
      <w:r>
        <w:rPr>
          <w:spacing w:val="-15"/>
        </w:rPr>
        <w:t> </w:t>
      </w:r>
      <w:r>
        <w:rPr/>
        <w:t>hombres,</w:t>
      </w:r>
      <w:r>
        <w:rPr>
          <w:spacing w:val="-15"/>
        </w:rPr>
        <w:t> </w:t>
      </w:r>
      <w:r>
        <w:rPr/>
        <w:t>si</w:t>
      </w:r>
      <w:r>
        <w:rPr>
          <w:spacing w:val="-16"/>
        </w:rPr>
        <w:t> </w:t>
      </w:r>
      <w:r>
        <w:rPr/>
        <w:t>bien</w:t>
      </w:r>
      <w:r>
        <w:rPr>
          <w:spacing w:val="-15"/>
        </w:rPr>
        <w:t> </w:t>
      </w:r>
      <w:r>
        <w:rPr/>
        <w:t>el</w:t>
      </w:r>
      <w:r>
        <w:rPr>
          <w:spacing w:val="-15"/>
        </w:rPr>
        <w:t> </w:t>
      </w:r>
      <w:r>
        <w:rPr/>
        <w:t>periodo</w:t>
      </w:r>
      <w:r>
        <w:rPr>
          <w:spacing w:val="-15"/>
        </w:rPr>
        <w:t> </w:t>
      </w:r>
      <w:r>
        <w:rPr/>
        <w:t>de</w:t>
      </w:r>
      <w:r>
        <w:rPr>
          <w:spacing w:val="-16"/>
        </w:rPr>
        <w:t> </w:t>
      </w:r>
      <w:r>
        <w:rPr/>
        <w:t>vigencia de</w:t>
      </w:r>
      <w:r>
        <w:rPr>
          <w:spacing w:val="-6"/>
        </w:rPr>
        <w:t> </w:t>
      </w:r>
      <w:r>
        <w:rPr/>
        <w:t>los</w:t>
      </w:r>
      <w:r>
        <w:rPr>
          <w:spacing w:val="-6"/>
        </w:rPr>
        <w:t> </w:t>
      </w:r>
      <w:r>
        <w:rPr/>
        <w:t>Planes</w:t>
      </w:r>
      <w:r>
        <w:rPr>
          <w:spacing w:val="-6"/>
        </w:rPr>
        <w:t> </w:t>
      </w:r>
      <w:r>
        <w:rPr/>
        <w:t>de</w:t>
      </w:r>
      <w:r>
        <w:rPr>
          <w:spacing w:val="-9"/>
        </w:rPr>
        <w:t> </w:t>
      </w:r>
      <w:r>
        <w:rPr/>
        <w:t>los</w:t>
      </w:r>
      <w:r>
        <w:rPr>
          <w:spacing w:val="-9"/>
        </w:rPr>
        <w:t> </w:t>
      </w:r>
      <w:r>
        <w:rPr>
          <w:b/>
        </w:rPr>
        <w:t>Ayuntamientos</w:t>
      </w:r>
      <w:r>
        <w:rPr>
          <w:b/>
          <w:spacing w:val="-9"/>
        </w:rPr>
        <w:t> </w:t>
      </w:r>
      <w:r>
        <w:rPr>
          <w:b/>
        </w:rPr>
        <w:t>de</w:t>
      </w:r>
      <w:r>
        <w:rPr>
          <w:b/>
          <w:spacing w:val="-7"/>
        </w:rPr>
        <w:t> </w:t>
      </w:r>
      <w:r>
        <w:rPr>
          <w:b/>
        </w:rPr>
        <w:t>Las</w:t>
      </w:r>
      <w:r>
        <w:rPr>
          <w:b/>
          <w:spacing w:val="-9"/>
        </w:rPr>
        <w:t> </w:t>
      </w:r>
      <w:r>
        <w:rPr>
          <w:b/>
        </w:rPr>
        <w:t>Palmas</w:t>
      </w:r>
      <w:r>
        <w:rPr>
          <w:b/>
          <w:spacing w:val="-6"/>
        </w:rPr>
        <w:t> </w:t>
      </w:r>
      <w:r>
        <w:rPr>
          <w:b/>
        </w:rPr>
        <w:t>de</w:t>
      </w:r>
      <w:r>
        <w:rPr>
          <w:b/>
          <w:spacing w:val="-9"/>
        </w:rPr>
        <w:t> </w:t>
      </w:r>
      <w:r>
        <w:rPr>
          <w:b/>
        </w:rPr>
        <w:t>Gran</w:t>
      </w:r>
      <w:r>
        <w:rPr>
          <w:b/>
          <w:spacing w:val="-6"/>
        </w:rPr>
        <w:t> </w:t>
      </w:r>
      <w:r>
        <w:rPr>
          <w:b/>
        </w:rPr>
        <w:t>Canaria</w:t>
      </w:r>
      <w:r>
        <w:rPr>
          <w:b/>
          <w:spacing w:val="-4"/>
        </w:rPr>
        <w:t> </w:t>
      </w:r>
      <w:r>
        <w:rPr/>
        <w:t>y</w:t>
      </w:r>
      <w:r>
        <w:rPr>
          <w:spacing w:val="-11"/>
        </w:rPr>
        <w:t> </w:t>
      </w:r>
      <w:r>
        <w:rPr>
          <w:b/>
        </w:rPr>
        <w:t>Palma</w:t>
      </w:r>
      <w:hyperlink w:history="true" w:anchor="_bookmark114">
        <w:r>
          <w:rPr>
            <w:vertAlign w:val="superscript"/>
          </w:rPr>
          <w:t>72</w:t>
        </w:r>
      </w:hyperlink>
      <w:r>
        <w:rPr>
          <w:spacing w:val="-7"/>
          <w:vertAlign w:val="baseline"/>
        </w:rPr>
        <w:t> </w:t>
      </w:r>
      <w:r>
        <w:rPr>
          <w:vertAlign w:val="baseline"/>
        </w:rPr>
        <w:t>era</w:t>
      </w:r>
      <w:r>
        <w:rPr>
          <w:spacing w:val="-6"/>
          <w:vertAlign w:val="baseline"/>
        </w:rPr>
        <w:t> </w:t>
      </w:r>
      <w:r>
        <w:rPr>
          <w:vertAlign w:val="baseline"/>
        </w:rPr>
        <w:t>anterior</w:t>
      </w:r>
      <w:r>
        <w:rPr>
          <w:spacing w:val="-5"/>
          <w:vertAlign w:val="baseline"/>
        </w:rPr>
        <w:t> </w:t>
      </w:r>
      <w:r>
        <w:rPr>
          <w:vertAlign w:val="baseline"/>
        </w:rPr>
        <w:t>a</w:t>
      </w:r>
      <w:r>
        <w:rPr>
          <w:spacing w:val="-9"/>
          <w:vertAlign w:val="baseline"/>
        </w:rPr>
        <w:t> </w:t>
      </w:r>
      <w:r>
        <w:rPr>
          <w:vertAlign w:val="baseline"/>
        </w:rPr>
        <w:t>los ejercicios</w:t>
      </w:r>
      <w:r>
        <w:rPr>
          <w:spacing w:val="9"/>
          <w:vertAlign w:val="baseline"/>
        </w:rPr>
        <w:t> </w:t>
      </w:r>
      <w:r>
        <w:rPr>
          <w:vertAlign w:val="baseline"/>
        </w:rPr>
        <w:t>fiscalizados,</w:t>
      </w:r>
      <w:r>
        <w:rPr>
          <w:spacing w:val="12"/>
          <w:vertAlign w:val="baseline"/>
        </w:rPr>
        <w:t> </w:t>
      </w:r>
      <w:r>
        <w:rPr>
          <w:vertAlign w:val="baseline"/>
        </w:rPr>
        <w:t>sin</w:t>
      </w:r>
      <w:r>
        <w:rPr>
          <w:spacing w:val="13"/>
          <w:vertAlign w:val="baseline"/>
        </w:rPr>
        <w:t> </w:t>
      </w:r>
      <w:r>
        <w:rPr>
          <w:vertAlign w:val="baseline"/>
        </w:rPr>
        <w:t>que</w:t>
      </w:r>
      <w:r>
        <w:rPr>
          <w:spacing w:val="13"/>
          <w:vertAlign w:val="baseline"/>
        </w:rPr>
        <w:t> </w:t>
      </w:r>
      <w:r>
        <w:rPr>
          <w:vertAlign w:val="baseline"/>
        </w:rPr>
        <w:t>se</w:t>
      </w:r>
      <w:r>
        <w:rPr>
          <w:spacing w:val="11"/>
          <w:vertAlign w:val="baseline"/>
        </w:rPr>
        <w:t> </w:t>
      </w:r>
      <w:r>
        <w:rPr>
          <w:vertAlign w:val="baseline"/>
        </w:rPr>
        <w:t>hayan</w:t>
      </w:r>
      <w:r>
        <w:rPr>
          <w:spacing w:val="13"/>
          <w:vertAlign w:val="baseline"/>
        </w:rPr>
        <w:t> </w:t>
      </w:r>
      <w:r>
        <w:rPr>
          <w:vertAlign w:val="baseline"/>
        </w:rPr>
        <w:t>aprobado</w:t>
      </w:r>
      <w:r>
        <w:rPr>
          <w:spacing w:val="13"/>
          <w:vertAlign w:val="baseline"/>
        </w:rPr>
        <w:t> </w:t>
      </w:r>
      <w:r>
        <w:rPr>
          <w:vertAlign w:val="baseline"/>
        </w:rPr>
        <w:t>otros</w:t>
      </w:r>
      <w:r>
        <w:rPr>
          <w:spacing w:val="14"/>
          <w:vertAlign w:val="baseline"/>
        </w:rPr>
        <w:t> </w:t>
      </w:r>
      <w:r>
        <w:rPr>
          <w:vertAlign w:val="baseline"/>
        </w:rPr>
        <w:t>con</w:t>
      </w:r>
      <w:r>
        <w:rPr>
          <w:spacing w:val="11"/>
          <w:vertAlign w:val="baseline"/>
        </w:rPr>
        <w:t> </w:t>
      </w:r>
      <w:r>
        <w:rPr>
          <w:vertAlign w:val="baseline"/>
        </w:rPr>
        <w:t>posterioridad.</w:t>
      </w:r>
      <w:r>
        <w:rPr>
          <w:spacing w:val="15"/>
          <w:vertAlign w:val="baseline"/>
        </w:rPr>
        <w:t> </w:t>
      </w:r>
      <w:r>
        <w:rPr>
          <w:vertAlign w:val="baseline"/>
        </w:rPr>
        <w:t>Igualmente,</w:t>
      </w:r>
      <w:r>
        <w:rPr>
          <w:spacing w:val="12"/>
          <w:vertAlign w:val="baseline"/>
        </w:rPr>
        <w:t> </w:t>
      </w:r>
      <w:r>
        <w:rPr>
          <w:vertAlign w:val="baseline"/>
        </w:rPr>
        <w:t>todas</w:t>
      </w:r>
      <w:r>
        <w:rPr>
          <w:spacing w:val="14"/>
          <w:vertAlign w:val="baseline"/>
        </w:rPr>
        <w:t> </w:t>
      </w:r>
      <w:r>
        <w:rPr>
          <w:spacing w:val="-5"/>
          <w:vertAlign w:val="baseline"/>
        </w:rPr>
        <w:t>las</w:t>
      </w:r>
    </w:p>
    <w:p>
      <w:pPr>
        <w:pStyle w:val="BodyText"/>
        <w:spacing w:before="73"/>
        <w:rPr>
          <w:sz w:val="20"/>
        </w:rPr>
      </w:pPr>
      <w:r>
        <w:rPr>
          <w:sz w:val="20"/>
        </w:rPr>
        <mc:AlternateContent>
          <mc:Choice Requires="wps">
            <w:drawing>
              <wp:anchor distT="0" distB="0" distL="0" distR="0" allowOverlap="1" layoutInCell="1" locked="0" behindDoc="1" simplePos="0" relativeHeight="487623168">
                <wp:simplePos x="0" y="0"/>
                <wp:positionH relativeFrom="page">
                  <wp:posOffset>719632</wp:posOffset>
                </wp:positionH>
                <wp:positionV relativeFrom="paragraph">
                  <wp:posOffset>207672</wp:posOffset>
                </wp:positionV>
                <wp:extent cx="1829435" cy="9525"/>
                <wp:effectExtent l="0" t="0" r="0" b="0"/>
                <wp:wrapTopAndBottom/>
                <wp:docPr id="226" name="Graphic 226"/>
                <wp:cNvGraphicFramePr>
                  <a:graphicFrameLocks/>
                </wp:cNvGraphicFramePr>
                <a:graphic>
                  <a:graphicData uri="http://schemas.microsoft.com/office/word/2010/wordprocessingShape">
                    <wps:wsp>
                      <wps:cNvPr id="226" name="Graphic 226"/>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6.352161pt;width:144.020pt;height:.72003pt;mso-position-horizontal-relative:page;mso-position-vertical-relative:paragraph;z-index:-15693312;mso-wrap-distance-left:0;mso-wrap-distance-right:0" id="docshape205" filled="true" fillcolor="#000000" stroked="false">
                <v:fill type="solid"/>
                <w10:wrap type="topAndBottom"/>
              </v:rect>
            </w:pict>
          </mc:Fallback>
        </mc:AlternateContent>
      </w:r>
    </w:p>
    <w:p>
      <w:pPr>
        <w:spacing w:before="118"/>
        <w:ind w:left="992" w:right="907" w:firstLine="0"/>
        <w:jc w:val="left"/>
        <w:rPr>
          <w:sz w:val="18"/>
        </w:rPr>
      </w:pPr>
      <w:bookmarkStart w:name="_bookmark114" w:id="116"/>
      <w:bookmarkEnd w:id="116"/>
      <w:r>
        <w:rPr/>
      </w:r>
      <w:r>
        <w:rPr>
          <w:position w:val="6"/>
          <w:sz w:val="12"/>
        </w:rPr>
        <w:t>72</w:t>
      </w:r>
      <w:r>
        <w:rPr>
          <w:spacing w:val="2"/>
          <w:position w:val="6"/>
          <w:sz w:val="12"/>
        </w:rPr>
        <w:t> </w:t>
      </w:r>
      <w:r>
        <w:rPr>
          <w:sz w:val="18"/>
        </w:rPr>
        <w:t>El</w:t>
      </w:r>
      <w:r>
        <w:rPr>
          <w:spacing w:val="-10"/>
          <w:sz w:val="18"/>
        </w:rPr>
        <w:t> </w:t>
      </w:r>
      <w:r>
        <w:rPr>
          <w:sz w:val="18"/>
        </w:rPr>
        <w:t>periodo</w:t>
      </w:r>
      <w:r>
        <w:rPr>
          <w:spacing w:val="-11"/>
          <w:sz w:val="18"/>
        </w:rPr>
        <w:t> </w:t>
      </w:r>
      <w:r>
        <w:rPr>
          <w:sz w:val="18"/>
        </w:rPr>
        <w:t>de</w:t>
      </w:r>
      <w:r>
        <w:rPr>
          <w:spacing w:val="-11"/>
          <w:sz w:val="18"/>
        </w:rPr>
        <w:t> </w:t>
      </w:r>
      <w:r>
        <w:rPr>
          <w:sz w:val="18"/>
        </w:rPr>
        <w:t>vigencia</w:t>
      </w:r>
      <w:r>
        <w:rPr>
          <w:spacing w:val="-13"/>
          <w:sz w:val="18"/>
        </w:rPr>
        <w:t> </w:t>
      </w:r>
      <w:r>
        <w:rPr>
          <w:sz w:val="18"/>
        </w:rPr>
        <w:t>del</w:t>
      </w:r>
      <w:r>
        <w:rPr>
          <w:spacing w:val="-10"/>
          <w:sz w:val="18"/>
        </w:rPr>
        <w:t> </w:t>
      </w:r>
      <w:r>
        <w:rPr>
          <w:sz w:val="18"/>
        </w:rPr>
        <w:t>III</w:t>
      </w:r>
      <w:r>
        <w:rPr>
          <w:spacing w:val="-11"/>
          <w:sz w:val="18"/>
        </w:rPr>
        <w:t> </w:t>
      </w:r>
      <w:r>
        <w:rPr>
          <w:sz w:val="18"/>
        </w:rPr>
        <w:t>Plan</w:t>
      </w:r>
      <w:r>
        <w:rPr>
          <w:spacing w:val="-11"/>
          <w:sz w:val="18"/>
        </w:rPr>
        <w:t> </w:t>
      </w:r>
      <w:r>
        <w:rPr>
          <w:sz w:val="18"/>
        </w:rPr>
        <w:t>de</w:t>
      </w:r>
      <w:r>
        <w:rPr>
          <w:spacing w:val="-13"/>
          <w:sz w:val="18"/>
        </w:rPr>
        <w:t> </w:t>
      </w:r>
      <w:r>
        <w:rPr>
          <w:sz w:val="18"/>
        </w:rPr>
        <w:t>Igualdad</w:t>
      </w:r>
      <w:r>
        <w:rPr>
          <w:spacing w:val="-10"/>
          <w:sz w:val="18"/>
        </w:rPr>
        <w:t> </w:t>
      </w:r>
      <w:r>
        <w:rPr>
          <w:sz w:val="18"/>
        </w:rPr>
        <w:t>de</w:t>
      </w:r>
      <w:r>
        <w:rPr>
          <w:spacing w:val="-11"/>
          <w:sz w:val="18"/>
        </w:rPr>
        <w:t> </w:t>
      </w:r>
      <w:r>
        <w:rPr>
          <w:sz w:val="18"/>
        </w:rPr>
        <w:t>Oportunidades</w:t>
      </w:r>
      <w:r>
        <w:rPr>
          <w:spacing w:val="-11"/>
          <w:sz w:val="18"/>
        </w:rPr>
        <w:t> </w:t>
      </w:r>
      <w:r>
        <w:rPr>
          <w:sz w:val="18"/>
        </w:rPr>
        <w:t>entre</w:t>
      </w:r>
      <w:r>
        <w:rPr>
          <w:spacing w:val="-13"/>
          <w:sz w:val="18"/>
        </w:rPr>
        <w:t> </w:t>
      </w:r>
      <w:r>
        <w:rPr>
          <w:sz w:val="18"/>
        </w:rPr>
        <w:t>mujeres</w:t>
      </w:r>
      <w:r>
        <w:rPr>
          <w:spacing w:val="-12"/>
          <w:sz w:val="18"/>
        </w:rPr>
        <w:t> </w:t>
      </w:r>
      <w:r>
        <w:rPr>
          <w:sz w:val="18"/>
        </w:rPr>
        <w:t>y</w:t>
      </w:r>
      <w:r>
        <w:rPr>
          <w:spacing w:val="-11"/>
          <w:sz w:val="18"/>
        </w:rPr>
        <w:t> </w:t>
      </w:r>
      <w:r>
        <w:rPr>
          <w:sz w:val="18"/>
        </w:rPr>
        <w:t>hombres</w:t>
      </w:r>
      <w:r>
        <w:rPr>
          <w:spacing w:val="-11"/>
          <w:sz w:val="18"/>
        </w:rPr>
        <w:t> </w:t>
      </w:r>
      <w:r>
        <w:rPr>
          <w:sz w:val="18"/>
        </w:rPr>
        <w:t>para</w:t>
      </w:r>
      <w:r>
        <w:rPr>
          <w:spacing w:val="-11"/>
          <w:sz w:val="18"/>
        </w:rPr>
        <w:t> </w:t>
      </w:r>
      <w:r>
        <w:rPr>
          <w:sz w:val="18"/>
        </w:rPr>
        <w:t>la</w:t>
      </w:r>
      <w:r>
        <w:rPr>
          <w:spacing w:val="-11"/>
          <w:sz w:val="18"/>
        </w:rPr>
        <w:t> </w:t>
      </w:r>
      <w:r>
        <w:rPr>
          <w:sz w:val="18"/>
        </w:rPr>
        <w:t>Ciudad</w:t>
      </w:r>
      <w:r>
        <w:rPr>
          <w:spacing w:val="-13"/>
          <w:sz w:val="18"/>
        </w:rPr>
        <w:t> </w:t>
      </w:r>
      <w:r>
        <w:rPr>
          <w:sz w:val="18"/>
        </w:rPr>
        <w:t>de</w:t>
      </w:r>
      <w:r>
        <w:rPr>
          <w:spacing w:val="-10"/>
          <w:sz w:val="18"/>
        </w:rPr>
        <w:t> </w:t>
      </w:r>
      <w:r>
        <w:rPr>
          <w:sz w:val="18"/>
        </w:rPr>
        <w:t>Las</w:t>
      </w:r>
      <w:r>
        <w:rPr>
          <w:spacing w:val="-11"/>
          <w:sz w:val="18"/>
        </w:rPr>
        <w:t> </w:t>
      </w:r>
      <w:r>
        <w:rPr>
          <w:sz w:val="18"/>
        </w:rPr>
        <w:t>Palmas de Gran Canaria era de 2018 a 2021 y el previsto en el Plan de Palma era de 2017 a 2021.</w:t>
      </w:r>
    </w:p>
    <w:p>
      <w:pPr>
        <w:spacing w:after="0"/>
        <w:jc w:val="left"/>
        <w:rPr>
          <w:sz w:val="18"/>
        </w:rPr>
        <w:sectPr>
          <w:pgSz w:w="11910" w:h="16840"/>
          <w:pgMar w:header="1227" w:footer="839" w:top="1420" w:bottom="1100" w:left="141" w:right="141"/>
        </w:sectPr>
      </w:pPr>
    </w:p>
    <w:p>
      <w:pPr>
        <w:pStyle w:val="BodyText"/>
      </w:pPr>
    </w:p>
    <w:p>
      <w:pPr>
        <w:pStyle w:val="BodyText"/>
      </w:pPr>
    </w:p>
    <w:p>
      <w:pPr>
        <w:pStyle w:val="BodyText"/>
      </w:pPr>
    </w:p>
    <w:p>
      <w:pPr>
        <w:pStyle w:val="BodyText"/>
        <w:spacing w:before="112"/>
      </w:pPr>
    </w:p>
    <w:p>
      <w:pPr>
        <w:pStyle w:val="BodyText"/>
        <w:ind w:left="992" w:right="989"/>
        <w:jc w:val="both"/>
      </w:pPr>
      <w:r>
        <w:rPr/>
        <w:t>sociedades mercantiles municipales o concesionarias encardas de la prestación del servicio de transporte colectivo urbano, salvo la empresa municipal del </w:t>
      </w:r>
      <w:r>
        <w:rPr>
          <w:b/>
        </w:rPr>
        <w:t>Ayuntamiento de Palma</w:t>
      </w:r>
      <w:hyperlink w:history="true" w:anchor="_bookmark115">
        <w:r>
          <w:rPr>
            <w:vertAlign w:val="superscript"/>
          </w:rPr>
          <w:t>73</w:t>
        </w:r>
      </w:hyperlink>
      <w:r>
        <w:rPr>
          <w:vertAlign w:val="baseline"/>
        </w:rPr>
        <w:t>, tenían dichos planes y algunas de ellas</w:t>
      </w:r>
      <w:hyperlink w:history="true" w:anchor="_bookmark116">
        <w:r>
          <w:rPr>
            <w:vertAlign w:val="superscript"/>
          </w:rPr>
          <w:t>74</w:t>
        </w:r>
      </w:hyperlink>
      <w:r>
        <w:rPr>
          <w:vertAlign w:val="baseline"/>
        </w:rPr>
        <w:t> también han aprobado protocolos contra el acoso por razón de sexo y otras conductas contra la libertad sexual e integridad moral.</w:t>
      </w:r>
    </w:p>
    <w:p>
      <w:pPr>
        <w:pStyle w:val="BodyText"/>
        <w:spacing w:before="241"/>
        <w:ind w:left="992" w:right="988"/>
        <w:jc w:val="both"/>
      </w:pPr>
      <w:r>
        <w:rPr/>
        <w:t>Algunos</w:t>
      </w:r>
      <w:r>
        <w:rPr>
          <w:spacing w:val="-1"/>
        </w:rPr>
        <w:t> </w:t>
      </w:r>
      <w:r>
        <w:rPr/>
        <w:t>de</w:t>
      </w:r>
      <w:r>
        <w:rPr>
          <w:spacing w:val="-4"/>
        </w:rPr>
        <w:t> </w:t>
      </w:r>
      <w:r>
        <w:rPr/>
        <w:t>estos</w:t>
      </w:r>
      <w:r>
        <w:rPr>
          <w:spacing w:val="-3"/>
        </w:rPr>
        <w:t> </w:t>
      </w:r>
      <w:r>
        <w:rPr/>
        <w:t>planes</w:t>
      </w:r>
      <w:r>
        <w:rPr>
          <w:spacing w:val="-6"/>
        </w:rPr>
        <w:t> </w:t>
      </w:r>
      <w:r>
        <w:rPr/>
        <w:t>contemplan</w:t>
      </w:r>
      <w:r>
        <w:rPr>
          <w:spacing w:val="-7"/>
        </w:rPr>
        <w:t> </w:t>
      </w:r>
      <w:r>
        <w:rPr/>
        <w:t>medidas</w:t>
      </w:r>
      <w:r>
        <w:rPr>
          <w:spacing w:val="-3"/>
        </w:rPr>
        <w:t> </w:t>
      </w:r>
      <w:r>
        <w:rPr/>
        <w:t>relacionadas</w:t>
      </w:r>
      <w:r>
        <w:rPr>
          <w:spacing w:val="-2"/>
        </w:rPr>
        <w:t> </w:t>
      </w:r>
      <w:r>
        <w:rPr/>
        <w:t>con</w:t>
      </w:r>
      <w:r>
        <w:rPr>
          <w:spacing w:val="-4"/>
        </w:rPr>
        <w:t> </w:t>
      </w:r>
      <w:r>
        <w:rPr/>
        <w:t>la</w:t>
      </w:r>
      <w:r>
        <w:rPr>
          <w:spacing w:val="-4"/>
        </w:rPr>
        <w:t> </w:t>
      </w:r>
      <w:r>
        <w:rPr/>
        <w:t>movilidad</w:t>
      </w:r>
      <w:r>
        <w:rPr>
          <w:spacing w:val="-2"/>
        </w:rPr>
        <w:t> </w:t>
      </w:r>
      <w:r>
        <w:rPr/>
        <w:t>y</w:t>
      </w:r>
      <w:r>
        <w:rPr>
          <w:spacing w:val="-3"/>
        </w:rPr>
        <w:t> </w:t>
      </w:r>
      <w:r>
        <w:rPr/>
        <w:t>el</w:t>
      </w:r>
      <w:r>
        <w:rPr>
          <w:spacing w:val="-5"/>
        </w:rPr>
        <w:t> </w:t>
      </w:r>
      <w:r>
        <w:rPr/>
        <w:t>transporte</w:t>
      </w:r>
      <w:r>
        <w:rPr>
          <w:spacing w:val="-4"/>
        </w:rPr>
        <w:t> </w:t>
      </w:r>
      <w:r>
        <w:rPr/>
        <w:t>público </w:t>
      </w:r>
      <w:r>
        <w:rPr>
          <w:spacing w:val="-2"/>
        </w:rPr>
        <w:t>colectivo.</w:t>
      </w:r>
    </w:p>
    <w:p>
      <w:pPr>
        <w:pStyle w:val="BodyText"/>
        <w:spacing w:before="240"/>
        <w:ind w:left="992" w:right="989"/>
        <w:jc w:val="both"/>
      </w:pPr>
      <w:r>
        <w:rPr/>
        <w:t>El III Plan de Igualdad de Oportunidades del </w:t>
      </w:r>
      <w:r>
        <w:rPr>
          <w:b/>
        </w:rPr>
        <w:t>Ayuntamiento de Las Palmas de Gran Canaria </w:t>
      </w:r>
      <w:r>
        <w:rPr/>
        <w:t>contiene</w:t>
      </w:r>
      <w:r>
        <w:rPr>
          <w:spacing w:val="-16"/>
        </w:rPr>
        <w:t> </w:t>
      </w:r>
      <w:r>
        <w:rPr/>
        <w:t>un</w:t>
      </w:r>
      <w:r>
        <w:rPr>
          <w:spacing w:val="-15"/>
        </w:rPr>
        <w:t> </w:t>
      </w:r>
      <w:r>
        <w:rPr/>
        <w:t>área,</w:t>
      </w:r>
      <w:r>
        <w:rPr>
          <w:spacing w:val="-15"/>
        </w:rPr>
        <w:t> </w:t>
      </w:r>
      <w:r>
        <w:rPr/>
        <w:t>la</w:t>
      </w:r>
      <w:r>
        <w:rPr>
          <w:spacing w:val="-16"/>
        </w:rPr>
        <w:t> </w:t>
      </w:r>
      <w:r>
        <w:rPr/>
        <w:t>octava,</w:t>
      </w:r>
      <w:r>
        <w:rPr>
          <w:spacing w:val="-15"/>
        </w:rPr>
        <w:t> </w:t>
      </w:r>
      <w:r>
        <w:rPr/>
        <w:t>denominada</w:t>
      </w:r>
      <w:r>
        <w:rPr>
          <w:spacing w:val="-15"/>
        </w:rPr>
        <w:t> </w:t>
      </w:r>
      <w:r>
        <w:rPr/>
        <w:t>"Relaciones</w:t>
      </w:r>
      <w:r>
        <w:rPr>
          <w:spacing w:val="-15"/>
        </w:rPr>
        <w:t> </w:t>
      </w:r>
      <w:r>
        <w:rPr/>
        <w:t>con</w:t>
      </w:r>
      <w:r>
        <w:rPr>
          <w:spacing w:val="-15"/>
        </w:rPr>
        <w:t> </w:t>
      </w:r>
      <w:r>
        <w:rPr/>
        <w:t>el</w:t>
      </w:r>
      <w:r>
        <w:rPr>
          <w:spacing w:val="-16"/>
        </w:rPr>
        <w:t> </w:t>
      </w:r>
      <w:r>
        <w:rPr/>
        <w:t>medio,</w:t>
      </w:r>
      <w:r>
        <w:rPr>
          <w:spacing w:val="-15"/>
        </w:rPr>
        <w:t> </w:t>
      </w:r>
      <w:r>
        <w:rPr/>
        <w:t>seguridad</w:t>
      </w:r>
      <w:r>
        <w:rPr>
          <w:spacing w:val="-14"/>
        </w:rPr>
        <w:t> </w:t>
      </w:r>
      <w:r>
        <w:rPr/>
        <w:t>ciudadana,</w:t>
      </w:r>
      <w:r>
        <w:rPr>
          <w:spacing w:val="-16"/>
        </w:rPr>
        <w:t> </w:t>
      </w:r>
      <w:r>
        <w:rPr/>
        <w:t>movilidad, urbanismo” en la que se establecen como objetivos aumentar la seguridad de la ciudad para las mujeres, incorporar la perspectiva de género en la planificación y organización de la oferta de transporte</w:t>
      </w:r>
      <w:r>
        <w:rPr>
          <w:spacing w:val="-9"/>
        </w:rPr>
        <w:t> </w:t>
      </w:r>
      <w:r>
        <w:rPr/>
        <w:t>público</w:t>
      </w:r>
      <w:r>
        <w:rPr>
          <w:spacing w:val="-6"/>
        </w:rPr>
        <w:t> </w:t>
      </w:r>
      <w:r>
        <w:rPr/>
        <w:t>y</w:t>
      </w:r>
      <w:r>
        <w:rPr>
          <w:spacing w:val="-6"/>
        </w:rPr>
        <w:t> </w:t>
      </w:r>
      <w:r>
        <w:rPr/>
        <w:t>promover</w:t>
      </w:r>
      <w:r>
        <w:rPr>
          <w:spacing w:val="-8"/>
        </w:rPr>
        <w:t> </w:t>
      </w:r>
      <w:r>
        <w:rPr/>
        <w:t>hábitos</w:t>
      </w:r>
      <w:r>
        <w:rPr>
          <w:spacing w:val="-9"/>
        </w:rPr>
        <w:t> </w:t>
      </w:r>
      <w:r>
        <w:rPr/>
        <w:t>de</w:t>
      </w:r>
      <w:r>
        <w:rPr>
          <w:spacing w:val="-7"/>
        </w:rPr>
        <w:t> </w:t>
      </w:r>
      <w:r>
        <w:rPr/>
        <w:t>consumo</w:t>
      </w:r>
      <w:r>
        <w:rPr>
          <w:spacing w:val="-9"/>
        </w:rPr>
        <w:t> </w:t>
      </w:r>
      <w:r>
        <w:rPr/>
        <w:t>respetuosos</w:t>
      </w:r>
      <w:r>
        <w:rPr>
          <w:spacing w:val="-6"/>
        </w:rPr>
        <w:t> </w:t>
      </w:r>
      <w:r>
        <w:rPr/>
        <w:t>con</w:t>
      </w:r>
      <w:r>
        <w:rPr>
          <w:spacing w:val="-9"/>
        </w:rPr>
        <w:t> </w:t>
      </w:r>
      <w:r>
        <w:rPr/>
        <w:t>el</w:t>
      </w:r>
      <w:r>
        <w:rPr>
          <w:spacing w:val="-7"/>
        </w:rPr>
        <w:t> </w:t>
      </w:r>
      <w:r>
        <w:rPr/>
        <w:t>medio</w:t>
      </w:r>
      <w:r>
        <w:rPr>
          <w:spacing w:val="-6"/>
        </w:rPr>
        <w:t> </w:t>
      </w:r>
      <w:r>
        <w:rPr/>
        <w:t>ambiente.</w:t>
      </w:r>
      <w:r>
        <w:rPr>
          <w:spacing w:val="-5"/>
        </w:rPr>
        <w:t> </w:t>
      </w:r>
      <w:r>
        <w:rPr/>
        <w:t>En</w:t>
      </w:r>
      <w:r>
        <w:rPr>
          <w:spacing w:val="-9"/>
        </w:rPr>
        <w:t> </w:t>
      </w:r>
      <w:r>
        <w:rPr/>
        <w:t>relación con la movilidad urbana</w:t>
      </w:r>
      <w:r>
        <w:rPr>
          <w:spacing w:val="-5"/>
        </w:rPr>
        <w:t> </w:t>
      </w:r>
      <w:r>
        <w:rPr/>
        <w:t>se promueve la</w:t>
      </w:r>
      <w:r>
        <w:rPr>
          <w:spacing w:val="-2"/>
        </w:rPr>
        <w:t> </w:t>
      </w:r>
      <w:r>
        <w:rPr/>
        <w:t>realización de estudios sobre</w:t>
      </w:r>
      <w:r>
        <w:rPr>
          <w:spacing w:val="-2"/>
        </w:rPr>
        <w:t> </w:t>
      </w:r>
      <w:r>
        <w:rPr/>
        <w:t>utilización y necesidades</w:t>
      </w:r>
      <w:r>
        <w:rPr>
          <w:spacing w:val="-2"/>
        </w:rPr>
        <w:t> </w:t>
      </w:r>
      <w:r>
        <w:rPr/>
        <w:t>de hombres y mujeres con respecto al transporte urbano, incorporación de medidas que aumenten la seguridad como iluminación de las paradas, ubicación correcta de las paradas o mejoras en el servicio de transporte público en lo que se refiere a horarios, itinerarios y adaptabilidad de las </w:t>
      </w:r>
      <w:r>
        <w:rPr>
          <w:spacing w:val="-2"/>
        </w:rPr>
        <w:t>guaguas.</w:t>
      </w:r>
    </w:p>
    <w:p>
      <w:pPr>
        <w:pStyle w:val="BodyText"/>
        <w:spacing w:before="241"/>
        <w:ind w:left="992" w:right="986"/>
        <w:jc w:val="both"/>
      </w:pPr>
      <w:r>
        <w:rPr/>
        <w:t>La III Estrategia Transversal de Género del </w:t>
      </w:r>
      <w:r>
        <w:rPr>
          <w:b/>
        </w:rPr>
        <w:t>Ayuntamiento de Málaga </w:t>
      </w:r>
      <w:r>
        <w:rPr/>
        <w:t>contempla medidas relacionadas con el transporte y la movilidad en su eje 6, “Espacio urbano, movilidad y medio ambiente”, en el que se establecen, entre otros, los siguientes objetivos específicos: vincular la perspectiva</w:t>
      </w:r>
      <w:r>
        <w:rPr>
          <w:spacing w:val="-4"/>
        </w:rPr>
        <w:t> </w:t>
      </w:r>
      <w:r>
        <w:rPr/>
        <w:t>de</w:t>
      </w:r>
      <w:r>
        <w:rPr>
          <w:spacing w:val="-4"/>
        </w:rPr>
        <w:t> </w:t>
      </w:r>
      <w:r>
        <w:rPr/>
        <w:t>género</w:t>
      </w:r>
      <w:r>
        <w:rPr>
          <w:spacing w:val="-4"/>
        </w:rPr>
        <w:t> </w:t>
      </w:r>
      <w:r>
        <w:rPr/>
        <w:t>a</w:t>
      </w:r>
      <w:r>
        <w:rPr>
          <w:spacing w:val="-6"/>
        </w:rPr>
        <w:t> </w:t>
      </w:r>
      <w:r>
        <w:rPr/>
        <w:t>la</w:t>
      </w:r>
      <w:r>
        <w:rPr>
          <w:spacing w:val="-2"/>
        </w:rPr>
        <w:t> </w:t>
      </w:r>
      <w:r>
        <w:rPr/>
        <w:t>percepción</w:t>
      </w:r>
      <w:r>
        <w:rPr>
          <w:spacing w:val="-4"/>
        </w:rPr>
        <w:t> </w:t>
      </w:r>
      <w:r>
        <w:rPr/>
        <w:t>de</w:t>
      </w:r>
      <w:r>
        <w:rPr>
          <w:spacing w:val="-4"/>
        </w:rPr>
        <w:t> </w:t>
      </w:r>
      <w:r>
        <w:rPr/>
        <w:t>la</w:t>
      </w:r>
      <w:r>
        <w:rPr>
          <w:spacing w:val="-2"/>
        </w:rPr>
        <w:t> </w:t>
      </w:r>
      <w:r>
        <w:rPr/>
        <w:t>seguridad e</w:t>
      </w:r>
      <w:r>
        <w:rPr>
          <w:spacing w:val="-2"/>
        </w:rPr>
        <w:t> </w:t>
      </w:r>
      <w:r>
        <w:rPr/>
        <w:t>incorporar la</w:t>
      </w:r>
      <w:r>
        <w:rPr>
          <w:spacing w:val="-4"/>
        </w:rPr>
        <w:t> </w:t>
      </w:r>
      <w:r>
        <w:rPr/>
        <w:t>perspectiva</w:t>
      </w:r>
      <w:r>
        <w:rPr>
          <w:spacing w:val="-2"/>
        </w:rPr>
        <w:t> </w:t>
      </w:r>
      <w:r>
        <w:rPr/>
        <w:t>de</w:t>
      </w:r>
      <w:r>
        <w:rPr>
          <w:spacing w:val="-4"/>
        </w:rPr>
        <w:t> </w:t>
      </w:r>
      <w:r>
        <w:rPr/>
        <w:t>género</w:t>
      </w:r>
      <w:r>
        <w:rPr>
          <w:spacing w:val="-4"/>
        </w:rPr>
        <w:t> </w:t>
      </w:r>
      <w:r>
        <w:rPr/>
        <w:t>en</w:t>
      </w:r>
      <w:r>
        <w:rPr>
          <w:spacing w:val="-2"/>
        </w:rPr>
        <w:t> </w:t>
      </w:r>
      <w:r>
        <w:rPr/>
        <w:t>las políticas de movilidad de la ciudad de Málaga. Entre las medidas contempladas está el cuidado especial de la sensación de seguridad en los medios de transporte públicos, aparcamientos subterráneos para facilitar la autonomía personal y los desplazamientos seguros e incorporar buenas prácticas, como el servicio “entre dos paradas” que permite que las mujeres bajen del autobús</w:t>
      </w:r>
      <w:r>
        <w:rPr>
          <w:spacing w:val="-1"/>
        </w:rPr>
        <w:t> </w:t>
      </w:r>
      <w:r>
        <w:rPr/>
        <w:t>en</w:t>
      </w:r>
      <w:r>
        <w:rPr>
          <w:spacing w:val="-3"/>
        </w:rPr>
        <w:t> </w:t>
      </w:r>
      <w:r>
        <w:rPr/>
        <w:t>cualquier punto entre</w:t>
      </w:r>
      <w:r>
        <w:rPr>
          <w:spacing w:val="-3"/>
        </w:rPr>
        <w:t> </w:t>
      </w:r>
      <w:r>
        <w:rPr/>
        <w:t>dos paradas</w:t>
      </w:r>
      <w:r>
        <w:rPr>
          <w:spacing w:val="-3"/>
        </w:rPr>
        <w:t> </w:t>
      </w:r>
      <w:r>
        <w:rPr/>
        <w:t>en</w:t>
      </w:r>
      <w:r>
        <w:rPr>
          <w:spacing w:val="-3"/>
        </w:rPr>
        <w:t> </w:t>
      </w:r>
      <w:r>
        <w:rPr/>
        <w:t>horas</w:t>
      </w:r>
      <w:r>
        <w:rPr>
          <w:spacing w:val="-3"/>
        </w:rPr>
        <w:t> </w:t>
      </w:r>
      <w:r>
        <w:rPr/>
        <w:t>nocturnas</w:t>
      </w:r>
      <w:r>
        <w:rPr>
          <w:spacing w:val="-3"/>
        </w:rPr>
        <w:t> </w:t>
      </w:r>
      <w:r>
        <w:rPr/>
        <w:t>con</w:t>
      </w:r>
      <w:r>
        <w:rPr>
          <w:spacing w:val="-1"/>
        </w:rPr>
        <w:t> </w:t>
      </w:r>
      <w:r>
        <w:rPr/>
        <w:t>el</w:t>
      </w:r>
      <w:r>
        <w:rPr>
          <w:spacing w:val="-4"/>
        </w:rPr>
        <w:t> </w:t>
      </w:r>
      <w:r>
        <w:rPr/>
        <w:t>fin</w:t>
      </w:r>
      <w:r>
        <w:rPr>
          <w:spacing w:val="-1"/>
        </w:rPr>
        <w:t> </w:t>
      </w:r>
      <w:r>
        <w:rPr/>
        <w:t>de</w:t>
      </w:r>
      <w:r>
        <w:rPr>
          <w:spacing w:val="-1"/>
        </w:rPr>
        <w:t> </w:t>
      </w:r>
      <w:r>
        <w:rPr/>
        <w:t>parar</w:t>
      </w:r>
      <w:r>
        <w:rPr>
          <w:spacing w:val="-2"/>
        </w:rPr>
        <w:t> </w:t>
      </w:r>
      <w:r>
        <w:rPr/>
        <w:t>más</w:t>
      </w:r>
      <w:r>
        <w:rPr>
          <w:spacing w:val="-3"/>
        </w:rPr>
        <w:t> </w:t>
      </w:r>
      <w:r>
        <w:rPr/>
        <w:t>cerca</w:t>
      </w:r>
      <w:r>
        <w:rPr>
          <w:spacing w:val="-3"/>
        </w:rPr>
        <w:t> </w:t>
      </w:r>
      <w:r>
        <w:rPr/>
        <w:t>de su destino, aumentando así su seguridad y facilitando su movilidad.</w:t>
      </w:r>
    </w:p>
    <w:p>
      <w:pPr>
        <w:pStyle w:val="BodyText"/>
        <w:spacing w:before="240"/>
        <w:ind w:left="992" w:right="989"/>
        <w:jc w:val="both"/>
      </w:pPr>
      <w:r>
        <w:rPr/>
        <w:t>El Plan Estratégico de Igualdad del </w:t>
      </w:r>
      <w:r>
        <w:rPr>
          <w:b/>
        </w:rPr>
        <w:t>Ayuntamiento de Sevilla </w:t>
      </w:r>
      <w:r>
        <w:rPr/>
        <w:t>incorpora medidas en el ámbito de transporte público (paradas seguras, protocolo en el servicio de transporte público para la sensibilización y prevención en situaciones de violencia de género en las paradas y recorridos, y fomento de ayudas para el pago del transporte público para mujeres en situación de especial </w:t>
      </w:r>
      <w:r>
        <w:rPr>
          <w:spacing w:val="-2"/>
        </w:rPr>
        <w:t>vulnerabilidad).</w:t>
      </w:r>
    </w:p>
    <w:p>
      <w:pPr>
        <w:pStyle w:val="BodyText"/>
        <w:spacing w:before="107"/>
      </w:pPr>
    </w:p>
    <w:p>
      <w:pPr>
        <w:pStyle w:val="ListParagraph"/>
        <w:numPr>
          <w:ilvl w:val="3"/>
          <w:numId w:val="3"/>
        </w:numPr>
        <w:tabs>
          <w:tab w:pos="1778" w:val="left" w:leader="none"/>
          <w:tab w:pos="1853" w:val="left" w:leader="none"/>
        </w:tabs>
        <w:spacing w:line="240" w:lineRule="auto" w:before="0" w:after="0"/>
        <w:ind w:left="1853" w:right="992" w:hanging="862"/>
        <w:jc w:val="left"/>
        <w:rPr>
          <w:sz w:val="22"/>
        </w:rPr>
      </w:pPr>
      <w:r>
        <w:rPr>
          <w:sz w:val="22"/>
        </w:rPr>
        <w:t>EL</w:t>
      </w:r>
      <w:r>
        <w:rPr>
          <w:spacing w:val="31"/>
          <w:sz w:val="22"/>
        </w:rPr>
        <w:t> </w:t>
      </w:r>
      <w:r>
        <w:rPr>
          <w:sz w:val="22"/>
        </w:rPr>
        <w:t>PRINCIPIO</w:t>
      </w:r>
      <w:r>
        <w:rPr>
          <w:spacing w:val="32"/>
          <w:sz w:val="22"/>
        </w:rPr>
        <w:t> </w:t>
      </w:r>
      <w:r>
        <w:rPr>
          <w:sz w:val="22"/>
        </w:rPr>
        <w:t>DE IGUALDAD</w:t>
      </w:r>
      <w:r>
        <w:rPr>
          <w:spacing w:val="30"/>
          <w:sz w:val="22"/>
        </w:rPr>
        <w:t> </w:t>
      </w:r>
      <w:r>
        <w:rPr>
          <w:sz w:val="22"/>
        </w:rPr>
        <w:t>EN</w:t>
      </w:r>
      <w:r>
        <w:rPr>
          <w:spacing w:val="30"/>
          <w:sz w:val="22"/>
        </w:rPr>
        <w:t> </w:t>
      </w:r>
      <w:r>
        <w:rPr>
          <w:sz w:val="22"/>
        </w:rPr>
        <w:t>LOS INSTRUMENTOS</w:t>
      </w:r>
      <w:r>
        <w:rPr>
          <w:spacing w:val="31"/>
          <w:sz w:val="22"/>
        </w:rPr>
        <w:t> </w:t>
      </w:r>
      <w:r>
        <w:rPr>
          <w:sz w:val="22"/>
        </w:rPr>
        <w:t>DE</w:t>
      </w:r>
      <w:r>
        <w:rPr>
          <w:spacing w:val="30"/>
          <w:sz w:val="22"/>
        </w:rPr>
        <w:t> </w:t>
      </w:r>
      <w:r>
        <w:rPr>
          <w:sz w:val="22"/>
        </w:rPr>
        <w:t>PLANIFICACIÓN</w:t>
      </w:r>
      <w:r>
        <w:rPr>
          <w:spacing w:val="30"/>
          <w:sz w:val="22"/>
        </w:rPr>
        <w:t> </w:t>
      </w:r>
      <w:r>
        <w:rPr>
          <w:sz w:val="22"/>
        </w:rPr>
        <w:t>DE</w:t>
      </w:r>
      <w:r>
        <w:rPr>
          <w:spacing w:val="30"/>
          <w:sz w:val="22"/>
        </w:rPr>
        <w:t> </w:t>
      </w:r>
      <w:r>
        <w:rPr>
          <w:sz w:val="22"/>
        </w:rPr>
        <w:t>LA MOVILIDAD URBANA</w:t>
      </w:r>
    </w:p>
    <w:p>
      <w:pPr>
        <w:pStyle w:val="BodyText"/>
        <w:spacing w:before="241"/>
        <w:ind w:left="992" w:right="993"/>
        <w:jc w:val="both"/>
      </w:pPr>
      <w:r>
        <w:rPr/>
        <w:t>Algunos de los ayuntamientos fiscalizados han contemplado el principio de igualdad de género en los instrumentos específicos de planificación de la movilidad urbana.</w:t>
      </w:r>
    </w:p>
    <w:p>
      <w:pPr>
        <w:pStyle w:val="BodyText"/>
        <w:spacing w:before="240"/>
        <w:ind w:left="992" w:right="986"/>
        <w:jc w:val="both"/>
      </w:pPr>
      <w:r>
        <w:rPr/>
        <w:t>Este es</w:t>
      </w:r>
      <w:r>
        <w:rPr>
          <w:spacing w:val="-1"/>
        </w:rPr>
        <w:t> </w:t>
      </w:r>
      <w:r>
        <w:rPr/>
        <w:t>el caso</w:t>
      </w:r>
      <w:r>
        <w:rPr>
          <w:spacing w:val="-1"/>
        </w:rPr>
        <w:t> </w:t>
      </w:r>
      <w:r>
        <w:rPr/>
        <w:t>del PMUS del</w:t>
      </w:r>
      <w:r>
        <w:rPr>
          <w:spacing w:val="-1"/>
        </w:rPr>
        <w:t> </w:t>
      </w:r>
      <w:r>
        <w:rPr>
          <w:b/>
        </w:rPr>
        <w:t>Ayuntamiento</w:t>
      </w:r>
      <w:r>
        <w:rPr>
          <w:b/>
          <w:spacing w:val="-1"/>
        </w:rPr>
        <w:t> </w:t>
      </w:r>
      <w:r>
        <w:rPr>
          <w:b/>
        </w:rPr>
        <w:t>de</w:t>
      </w:r>
      <w:r>
        <w:rPr>
          <w:b/>
          <w:spacing w:val="-4"/>
        </w:rPr>
        <w:t> </w:t>
      </w:r>
      <w:r>
        <w:rPr>
          <w:b/>
        </w:rPr>
        <w:t>Bilbao</w:t>
      </w:r>
      <w:r>
        <w:rPr/>
        <w:t>, que introduce el</w:t>
      </w:r>
      <w:r>
        <w:rPr>
          <w:spacing w:val="-1"/>
        </w:rPr>
        <w:t> </w:t>
      </w:r>
      <w:r>
        <w:rPr/>
        <w:t>enfoque</w:t>
      </w:r>
      <w:r>
        <w:rPr>
          <w:spacing w:val="-1"/>
        </w:rPr>
        <w:t> </w:t>
      </w:r>
      <w:r>
        <w:rPr/>
        <w:t>de género en</w:t>
      </w:r>
      <w:r>
        <w:rPr>
          <w:spacing w:val="-1"/>
        </w:rPr>
        <w:t> </w:t>
      </w:r>
      <w:r>
        <w:rPr/>
        <w:t>el ámbito</w:t>
      </w:r>
      <w:r>
        <w:rPr>
          <w:spacing w:val="-1"/>
        </w:rPr>
        <w:t> </w:t>
      </w:r>
      <w:r>
        <w:rPr/>
        <w:t>de</w:t>
      </w:r>
      <w:r>
        <w:rPr>
          <w:spacing w:val="-1"/>
        </w:rPr>
        <w:t> </w:t>
      </w:r>
      <w:r>
        <w:rPr/>
        <w:t>la</w:t>
      </w:r>
      <w:r>
        <w:rPr>
          <w:spacing w:val="-1"/>
        </w:rPr>
        <w:t> </w:t>
      </w:r>
      <w:r>
        <w:rPr/>
        <w:t>movilidad urbana con</w:t>
      </w:r>
      <w:r>
        <w:rPr>
          <w:spacing w:val="-1"/>
        </w:rPr>
        <w:t> </w:t>
      </w:r>
      <w:r>
        <w:rPr/>
        <w:t>el</w:t>
      </w:r>
      <w:r>
        <w:rPr>
          <w:spacing w:val="-2"/>
        </w:rPr>
        <w:t> </w:t>
      </w:r>
      <w:r>
        <w:rPr/>
        <w:t>objetivo de avanzar en</w:t>
      </w:r>
      <w:r>
        <w:rPr>
          <w:spacing w:val="-1"/>
        </w:rPr>
        <w:t> </w:t>
      </w:r>
      <w:r>
        <w:rPr/>
        <w:t>términos</w:t>
      </w:r>
      <w:r>
        <w:rPr>
          <w:spacing w:val="-1"/>
        </w:rPr>
        <w:t> </w:t>
      </w:r>
      <w:r>
        <w:rPr/>
        <w:t>de</w:t>
      </w:r>
      <w:r>
        <w:rPr>
          <w:spacing w:val="-1"/>
        </w:rPr>
        <w:t> </w:t>
      </w:r>
      <w:r>
        <w:rPr/>
        <w:t>igualdad entre</w:t>
      </w:r>
      <w:r>
        <w:rPr>
          <w:spacing w:val="-1"/>
        </w:rPr>
        <w:t> </w:t>
      </w:r>
      <w:r>
        <w:rPr/>
        <w:t>hombres</w:t>
      </w:r>
      <w:r>
        <w:rPr>
          <w:spacing w:val="-3"/>
        </w:rPr>
        <w:t> </w:t>
      </w:r>
      <w:r>
        <w:rPr/>
        <w:t>y mujeres.</w:t>
      </w:r>
      <w:r>
        <w:rPr>
          <w:spacing w:val="37"/>
        </w:rPr>
        <w:t> </w:t>
      </w:r>
      <w:r>
        <w:rPr/>
        <w:t>Para</w:t>
      </w:r>
      <w:r>
        <w:rPr>
          <w:spacing w:val="37"/>
        </w:rPr>
        <w:t> </w:t>
      </w:r>
      <w:r>
        <w:rPr/>
        <w:t>ello</w:t>
      </w:r>
      <w:r>
        <w:rPr>
          <w:spacing w:val="35"/>
        </w:rPr>
        <w:t> </w:t>
      </w:r>
      <w:r>
        <w:rPr/>
        <w:t>recoge</w:t>
      </w:r>
      <w:r>
        <w:rPr>
          <w:spacing w:val="37"/>
        </w:rPr>
        <w:t> </w:t>
      </w:r>
      <w:r>
        <w:rPr/>
        <w:t>como</w:t>
      </w:r>
      <w:r>
        <w:rPr>
          <w:spacing w:val="35"/>
        </w:rPr>
        <w:t> </w:t>
      </w:r>
      <w:r>
        <w:rPr/>
        <w:t>medida</w:t>
      </w:r>
      <w:r>
        <w:rPr>
          <w:spacing w:val="35"/>
        </w:rPr>
        <w:t> </w:t>
      </w:r>
      <w:r>
        <w:rPr/>
        <w:t>de</w:t>
      </w:r>
      <w:r>
        <w:rPr>
          <w:spacing w:val="35"/>
        </w:rPr>
        <w:t> </w:t>
      </w:r>
      <w:r>
        <w:rPr/>
        <w:t>carácter</w:t>
      </w:r>
      <w:r>
        <w:rPr>
          <w:spacing w:val="34"/>
        </w:rPr>
        <w:t> </w:t>
      </w:r>
      <w:r>
        <w:rPr/>
        <w:t>transversal</w:t>
      </w:r>
      <w:r>
        <w:rPr>
          <w:spacing w:val="34"/>
        </w:rPr>
        <w:t> </w:t>
      </w:r>
      <w:r>
        <w:rPr/>
        <w:t>el</w:t>
      </w:r>
      <w:r>
        <w:rPr>
          <w:spacing w:val="37"/>
        </w:rPr>
        <w:t> </w:t>
      </w:r>
      <w:r>
        <w:rPr/>
        <w:t>Plan</w:t>
      </w:r>
      <w:r>
        <w:rPr>
          <w:spacing w:val="37"/>
        </w:rPr>
        <w:t> </w:t>
      </w:r>
      <w:r>
        <w:rPr/>
        <w:t>de</w:t>
      </w:r>
      <w:r>
        <w:rPr>
          <w:spacing w:val="35"/>
        </w:rPr>
        <w:t> </w:t>
      </w:r>
      <w:r>
        <w:rPr/>
        <w:t>Acción</w:t>
      </w:r>
      <w:r>
        <w:rPr>
          <w:spacing w:val="37"/>
        </w:rPr>
        <w:t> </w:t>
      </w:r>
      <w:r>
        <w:rPr/>
        <w:t>de</w:t>
      </w:r>
      <w:r>
        <w:rPr>
          <w:spacing w:val="32"/>
        </w:rPr>
        <w:t> </w:t>
      </w:r>
      <w:r>
        <w:rPr/>
        <w:t>Género,</w:t>
      </w:r>
    </w:p>
    <w:p>
      <w:pPr>
        <w:pStyle w:val="BodyText"/>
        <w:spacing w:before="70"/>
        <w:rPr>
          <w:sz w:val="20"/>
        </w:rPr>
      </w:pPr>
      <w:r>
        <w:rPr>
          <w:sz w:val="20"/>
        </w:rPr>
        <mc:AlternateContent>
          <mc:Choice Requires="wps">
            <w:drawing>
              <wp:anchor distT="0" distB="0" distL="0" distR="0" allowOverlap="1" layoutInCell="1" locked="0" behindDoc="1" simplePos="0" relativeHeight="487623680">
                <wp:simplePos x="0" y="0"/>
                <wp:positionH relativeFrom="page">
                  <wp:posOffset>719632</wp:posOffset>
                </wp:positionH>
                <wp:positionV relativeFrom="paragraph">
                  <wp:posOffset>205818</wp:posOffset>
                </wp:positionV>
                <wp:extent cx="1829435" cy="9525"/>
                <wp:effectExtent l="0" t="0" r="0" b="0"/>
                <wp:wrapTopAndBottom/>
                <wp:docPr id="227" name="Graphic 227"/>
                <wp:cNvGraphicFramePr>
                  <a:graphicFrameLocks/>
                </wp:cNvGraphicFramePr>
                <a:graphic>
                  <a:graphicData uri="http://schemas.microsoft.com/office/word/2010/wordprocessingShape">
                    <wps:wsp>
                      <wps:cNvPr id="227" name="Graphic 227"/>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64001pt;margin-top:16.206161pt;width:144.020pt;height:.72003pt;mso-position-horizontal-relative:page;mso-position-vertical-relative:paragraph;z-index:-15692800;mso-wrap-distance-left:0;mso-wrap-distance-right:0" id="docshape206" filled="true" fillcolor="#000000" stroked="false">
                <v:fill type="solid"/>
                <w10:wrap type="topAndBottom"/>
              </v:rect>
            </w:pict>
          </mc:Fallback>
        </mc:AlternateContent>
      </w:r>
    </w:p>
    <w:p>
      <w:pPr>
        <w:spacing w:before="115"/>
        <w:ind w:left="992" w:right="990" w:firstLine="0"/>
        <w:jc w:val="both"/>
        <w:rPr>
          <w:sz w:val="18"/>
        </w:rPr>
      </w:pPr>
      <w:bookmarkStart w:name="_bookmark115" w:id="117"/>
      <w:bookmarkEnd w:id="117"/>
      <w:r>
        <w:rPr/>
      </w:r>
      <w:r>
        <w:rPr>
          <w:position w:val="6"/>
          <w:sz w:val="12"/>
        </w:rPr>
        <w:t>73</w:t>
      </w:r>
      <w:r>
        <w:rPr>
          <w:spacing w:val="40"/>
          <w:position w:val="6"/>
          <w:sz w:val="12"/>
        </w:rPr>
        <w:t> </w:t>
      </w:r>
      <w:r>
        <w:rPr>
          <w:sz w:val="18"/>
        </w:rPr>
        <w:t>En la página web de la empresa municipal del </w:t>
      </w:r>
      <w:r>
        <w:rPr>
          <w:b/>
          <w:sz w:val="18"/>
        </w:rPr>
        <w:t>Ayuntamiento de Palma </w:t>
      </w:r>
      <w:r>
        <w:rPr>
          <w:sz w:val="18"/>
        </w:rPr>
        <w:t>se recoge el compromiso de igualdad, garantizando</w:t>
      </w:r>
      <w:r>
        <w:rPr>
          <w:spacing w:val="-2"/>
          <w:sz w:val="18"/>
        </w:rPr>
        <w:t> </w:t>
      </w:r>
      <w:r>
        <w:rPr>
          <w:sz w:val="18"/>
        </w:rPr>
        <w:t>la</w:t>
      </w:r>
      <w:r>
        <w:rPr>
          <w:spacing w:val="-2"/>
          <w:sz w:val="18"/>
        </w:rPr>
        <w:t> </w:t>
      </w:r>
      <w:r>
        <w:rPr>
          <w:sz w:val="18"/>
        </w:rPr>
        <w:t>igualdad</w:t>
      </w:r>
      <w:r>
        <w:rPr>
          <w:spacing w:val="-2"/>
          <w:sz w:val="18"/>
        </w:rPr>
        <w:t> </w:t>
      </w:r>
      <w:r>
        <w:rPr>
          <w:sz w:val="18"/>
        </w:rPr>
        <w:t>de</w:t>
      </w:r>
      <w:r>
        <w:rPr>
          <w:spacing w:val="-2"/>
          <w:sz w:val="18"/>
        </w:rPr>
        <w:t> </w:t>
      </w:r>
      <w:r>
        <w:rPr>
          <w:sz w:val="18"/>
        </w:rPr>
        <w:t>oportunidades</w:t>
      </w:r>
      <w:r>
        <w:rPr>
          <w:spacing w:val="-3"/>
          <w:sz w:val="18"/>
        </w:rPr>
        <w:t> </w:t>
      </w:r>
      <w:r>
        <w:rPr>
          <w:sz w:val="18"/>
        </w:rPr>
        <w:t>y</w:t>
      </w:r>
      <w:r>
        <w:rPr>
          <w:spacing w:val="-1"/>
          <w:sz w:val="18"/>
        </w:rPr>
        <w:t> </w:t>
      </w:r>
      <w:r>
        <w:rPr>
          <w:sz w:val="18"/>
        </w:rPr>
        <w:t>trato</w:t>
      </w:r>
      <w:r>
        <w:rPr>
          <w:spacing w:val="-2"/>
          <w:sz w:val="18"/>
        </w:rPr>
        <w:t> </w:t>
      </w:r>
      <w:r>
        <w:rPr>
          <w:sz w:val="18"/>
        </w:rPr>
        <w:t>entre</w:t>
      </w:r>
      <w:r>
        <w:rPr>
          <w:spacing w:val="-4"/>
          <w:sz w:val="18"/>
        </w:rPr>
        <w:t> </w:t>
      </w:r>
      <w:r>
        <w:rPr>
          <w:sz w:val="18"/>
        </w:rPr>
        <w:t>mujeres</w:t>
      </w:r>
      <w:r>
        <w:rPr>
          <w:spacing w:val="-1"/>
          <w:sz w:val="18"/>
        </w:rPr>
        <w:t> </w:t>
      </w:r>
      <w:r>
        <w:rPr>
          <w:sz w:val="18"/>
        </w:rPr>
        <w:t>y</w:t>
      </w:r>
      <w:r>
        <w:rPr>
          <w:spacing w:val="-3"/>
          <w:sz w:val="18"/>
        </w:rPr>
        <w:t> </w:t>
      </w:r>
      <w:r>
        <w:rPr>
          <w:sz w:val="18"/>
        </w:rPr>
        <w:t>hombres,</w:t>
      </w:r>
      <w:r>
        <w:rPr>
          <w:spacing w:val="-2"/>
          <w:sz w:val="18"/>
        </w:rPr>
        <w:t> </w:t>
      </w:r>
      <w:r>
        <w:rPr>
          <w:sz w:val="18"/>
        </w:rPr>
        <w:t>sin</w:t>
      </w:r>
      <w:r>
        <w:rPr>
          <w:spacing w:val="-2"/>
          <w:sz w:val="18"/>
        </w:rPr>
        <w:t> </w:t>
      </w:r>
      <w:r>
        <w:rPr>
          <w:sz w:val="18"/>
        </w:rPr>
        <w:t>discriminar,</w:t>
      </w:r>
      <w:r>
        <w:rPr>
          <w:spacing w:val="-2"/>
          <w:sz w:val="18"/>
        </w:rPr>
        <w:t> </w:t>
      </w:r>
      <w:r>
        <w:rPr>
          <w:sz w:val="18"/>
        </w:rPr>
        <w:t>directa</w:t>
      </w:r>
      <w:r>
        <w:rPr>
          <w:spacing w:val="-2"/>
          <w:sz w:val="18"/>
        </w:rPr>
        <w:t> </w:t>
      </w:r>
      <w:r>
        <w:rPr>
          <w:sz w:val="18"/>
        </w:rPr>
        <w:t>o</w:t>
      </w:r>
      <w:r>
        <w:rPr>
          <w:spacing w:val="-2"/>
          <w:sz w:val="18"/>
        </w:rPr>
        <w:t> </w:t>
      </w:r>
      <w:r>
        <w:rPr>
          <w:sz w:val="18"/>
        </w:rPr>
        <w:t>indirectamente,</w:t>
      </w:r>
      <w:r>
        <w:rPr>
          <w:spacing w:val="-2"/>
          <w:sz w:val="18"/>
        </w:rPr>
        <w:t> </w:t>
      </w:r>
      <w:r>
        <w:rPr>
          <w:sz w:val="18"/>
        </w:rPr>
        <w:t>por razón de sexo, y manifiestan que fomentan las medidas para conseguir la igualdad real como principio estratégico de nuestra política de recursos humanos.</w:t>
      </w:r>
    </w:p>
    <w:p>
      <w:pPr>
        <w:spacing w:line="244" w:lineRule="auto" w:before="22"/>
        <w:ind w:left="992" w:right="990" w:firstLine="0"/>
        <w:jc w:val="both"/>
        <w:rPr>
          <w:sz w:val="18"/>
        </w:rPr>
      </w:pPr>
      <w:bookmarkStart w:name="_bookmark116" w:id="118"/>
      <w:bookmarkEnd w:id="118"/>
      <w:r>
        <w:rPr/>
      </w:r>
      <w:r>
        <w:rPr>
          <w:rFonts w:ascii="Calibri" w:hAnsi="Calibri"/>
          <w:sz w:val="18"/>
          <w:vertAlign w:val="superscript"/>
        </w:rPr>
        <w:t>74</w:t>
      </w:r>
      <w:r>
        <w:rPr>
          <w:rFonts w:ascii="Calibri" w:hAnsi="Calibri"/>
          <w:sz w:val="18"/>
          <w:vertAlign w:val="baseline"/>
        </w:rPr>
        <w:t> </w:t>
      </w:r>
      <w:r>
        <w:rPr>
          <w:sz w:val="18"/>
          <w:vertAlign w:val="baseline"/>
        </w:rPr>
        <w:t>Empresas municipales de los </w:t>
      </w:r>
      <w:r>
        <w:rPr>
          <w:b/>
          <w:sz w:val="18"/>
          <w:vertAlign w:val="baseline"/>
        </w:rPr>
        <w:t>Ayuntamientos de Córdoba, Palma </w:t>
      </w:r>
      <w:r>
        <w:rPr>
          <w:sz w:val="18"/>
          <w:vertAlign w:val="baseline"/>
        </w:rPr>
        <w:t>y </w:t>
      </w:r>
      <w:r>
        <w:rPr>
          <w:b/>
          <w:sz w:val="18"/>
          <w:vertAlign w:val="baseline"/>
        </w:rPr>
        <w:t>Sevilla </w:t>
      </w:r>
      <w:r>
        <w:rPr>
          <w:sz w:val="18"/>
          <w:vertAlign w:val="baseline"/>
        </w:rPr>
        <w:t>y empresas prestatarias del servicio de autobús y tranvía del </w:t>
      </w:r>
      <w:r>
        <w:rPr>
          <w:b/>
          <w:sz w:val="18"/>
          <w:vertAlign w:val="baseline"/>
        </w:rPr>
        <w:t>Ayuntamiento de Zaragoza</w:t>
      </w:r>
      <w:r>
        <w:rPr>
          <w:sz w:val="18"/>
          <w:vertAlign w:val="baseline"/>
        </w:rPr>
        <w:t>.</w:t>
      </w:r>
    </w:p>
    <w:p>
      <w:pPr>
        <w:spacing w:after="0" w:line="244" w:lineRule="auto"/>
        <w:jc w:val="both"/>
        <w:rPr>
          <w:sz w:val="18"/>
        </w:rPr>
        <w:sectPr>
          <w:pgSz w:w="11910" w:h="16840"/>
          <w:pgMar w:header="1227" w:footer="839" w:top="1420" w:bottom="1040" w:left="141" w:right="141"/>
        </w:sectPr>
      </w:pPr>
    </w:p>
    <w:p>
      <w:pPr>
        <w:pStyle w:val="BodyText"/>
      </w:pPr>
    </w:p>
    <w:p>
      <w:pPr>
        <w:pStyle w:val="BodyText"/>
      </w:pPr>
    </w:p>
    <w:p>
      <w:pPr>
        <w:pStyle w:val="BodyText"/>
      </w:pPr>
    </w:p>
    <w:p>
      <w:pPr>
        <w:pStyle w:val="BodyText"/>
        <w:spacing w:before="112"/>
      </w:pPr>
    </w:p>
    <w:p>
      <w:pPr>
        <w:pStyle w:val="BodyText"/>
        <w:ind w:left="992" w:right="984"/>
        <w:jc w:val="both"/>
      </w:pPr>
      <w:r>
        <w:rPr/>
        <w:t>enfocado en analizar la movilidad desde la perspectiva de la seguridad y las necesidades específicas de las mujeres, buscando que el transporte público sea más inclusivo y seguro. Entre las</w:t>
      </w:r>
      <w:r>
        <w:rPr>
          <w:spacing w:val="-4"/>
        </w:rPr>
        <w:t> </w:t>
      </w:r>
      <w:r>
        <w:rPr/>
        <w:t>medidas</w:t>
      </w:r>
      <w:r>
        <w:rPr>
          <w:spacing w:val="-6"/>
        </w:rPr>
        <w:t> </w:t>
      </w:r>
      <w:r>
        <w:rPr/>
        <w:t>contempladas</w:t>
      </w:r>
      <w:r>
        <w:rPr>
          <w:spacing w:val="-4"/>
        </w:rPr>
        <w:t> </w:t>
      </w:r>
      <w:r>
        <w:rPr/>
        <w:t>están</w:t>
      </w:r>
      <w:r>
        <w:rPr>
          <w:spacing w:val="-6"/>
        </w:rPr>
        <w:t> </w:t>
      </w:r>
      <w:r>
        <w:rPr/>
        <w:t>la</w:t>
      </w:r>
      <w:r>
        <w:rPr>
          <w:spacing w:val="-4"/>
        </w:rPr>
        <w:t> </w:t>
      </w:r>
      <w:r>
        <w:rPr/>
        <w:t>inclusión</w:t>
      </w:r>
      <w:r>
        <w:rPr>
          <w:spacing w:val="-7"/>
        </w:rPr>
        <w:t> </w:t>
      </w:r>
      <w:r>
        <w:rPr/>
        <w:t>de</w:t>
      </w:r>
      <w:r>
        <w:rPr>
          <w:spacing w:val="-7"/>
        </w:rPr>
        <w:t> </w:t>
      </w:r>
      <w:r>
        <w:rPr/>
        <w:t>paradas</w:t>
      </w:r>
      <w:r>
        <w:rPr>
          <w:spacing w:val="-7"/>
        </w:rPr>
        <w:t> </w:t>
      </w:r>
      <w:r>
        <w:rPr/>
        <w:t>intermedias</w:t>
      </w:r>
      <w:r>
        <w:rPr>
          <w:spacing w:val="-6"/>
        </w:rPr>
        <w:t> </w:t>
      </w:r>
      <w:r>
        <w:rPr/>
        <w:t>durante</w:t>
      </w:r>
      <w:r>
        <w:rPr>
          <w:spacing w:val="-6"/>
        </w:rPr>
        <w:t> </w:t>
      </w:r>
      <w:r>
        <w:rPr/>
        <w:t>la</w:t>
      </w:r>
      <w:r>
        <w:rPr>
          <w:spacing w:val="-4"/>
        </w:rPr>
        <w:t> </w:t>
      </w:r>
      <w:r>
        <w:rPr/>
        <w:t>noche</w:t>
      </w:r>
      <w:r>
        <w:rPr>
          <w:spacing w:val="-7"/>
        </w:rPr>
        <w:t> </w:t>
      </w:r>
      <w:r>
        <w:rPr/>
        <w:t>para</w:t>
      </w:r>
      <w:r>
        <w:rPr>
          <w:spacing w:val="-6"/>
        </w:rPr>
        <w:t> </w:t>
      </w:r>
      <w:r>
        <w:rPr/>
        <w:t>que</w:t>
      </w:r>
      <w:r>
        <w:rPr>
          <w:spacing w:val="-6"/>
        </w:rPr>
        <w:t> </w:t>
      </w:r>
      <w:r>
        <w:rPr/>
        <w:t>las usuarias</w:t>
      </w:r>
      <w:r>
        <w:rPr>
          <w:spacing w:val="-8"/>
        </w:rPr>
        <w:t> </w:t>
      </w:r>
      <w:r>
        <w:rPr/>
        <w:t>puedan</w:t>
      </w:r>
      <w:r>
        <w:rPr>
          <w:spacing w:val="-12"/>
        </w:rPr>
        <w:t> </w:t>
      </w:r>
      <w:r>
        <w:rPr/>
        <w:t>bajar</w:t>
      </w:r>
      <w:r>
        <w:rPr>
          <w:spacing w:val="-10"/>
        </w:rPr>
        <w:t> </w:t>
      </w:r>
      <w:r>
        <w:rPr/>
        <w:t>más</w:t>
      </w:r>
      <w:r>
        <w:rPr>
          <w:spacing w:val="-9"/>
        </w:rPr>
        <w:t> </w:t>
      </w:r>
      <w:r>
        <w:rPr/>
        <w:t>cerca</w:t>
      </w:r>
      <w:r>
        <w:rPr>
          <w:spacing w:val="-9"/>
        </w:rPr>
        <w:t> </w:t>
      </w:r>
      <w:r>
        <w:rPr/>
        <w:t>de</w:t>
      </w:r>
      <w:r>
        <w:rPr>
          <w:spacing w:val="-12"/>
        </w:rPr>
        <w:t> </w:t>
      </w:r>
      <w:r>
        <w:rPr/>
        <w:t>sus</w:t>
      </w:r>
      <w:r>
        <w:rPr>
          <w:spacing w:val="-11"/>
        </w:rPr>
        <w:t> </w:t>
      </w:r>
      <w:r>
        <w:rPr/>
        <w:t>casas,</w:t>
      </w:r>
      <w:r>
        <w:rPr>
          <w:spacing w:val="-10"/>
        </w:rPr>
        <w:t> </w:t>
      </w:r>
      <w:r>
        <w:rPr/>
        <w:t>el</w:t>
      </w:r>
      <w:r>
        <w:rPr>
          <w:spacing w:val="-10"/>
        </w:rPr>
        <w:t> </w:t>
      </w:r>
      <w:r>
        <w:rPr/>
        <w:t>funcionamiento</w:t>
      </w:r>
      <w:r>
        <w:rPr>
          <w:spacing w:val="-11"/>
        </w:rPr>
        <w:t> </w:t>
      </w:r>
      <w:r>
        <w:rPr/>
        <w:t>veinticuatro</w:t>
      </w:r>
      <w:r>
        <w:rPr>
          <w:spacing w:val="-10"/>
        </w:rPr>
        <w:t> </w:t>
      </w:r>
      <w:r>
        <w:rPr/>
        <w:t>horas</w:t>
      </w:r>
      <w:r>
        <w:rPr>
          <w:spacing w:val="-11"/>
        </w:rPr>
        <w:t> </w:t>
      </w:r>
      <w:r>
        <w:rPr/>
        <w:t>de</w:t>
      </w:r>
      <w:r>
        <w:rPr>
          <w:spacing w:val="-12"/>
        </w:rPr>
        <w:t> </w:t>
      </w:r>
      <w:r>
        <w:rPr/>
        <w:t>ascensores en zonas elevadas para mejorar la seguridad en horarios nocturnos, la utilización del transporte público como un instrumento para reducir la desigualdad, extendiendo su cobertura, horarios y asequibilidad y la promoción de un</w:t>
      </w:r>
      <w:r>
        <w:rPr>
          <w:spacing w:val="-2"/>
        </w:rPr>
        <w:t> </w:t>
      </w:r>
      <w:r>
        <w:rPr/>
        <w:t>transporte público que sea</w:t>
      </w:r>
      <w:r>
        <w:rPr>
          <w:spacing w:val="-2"/>
        </w:rPr>
        <w:t> </w:t>
      </w:r>
      <w:r>
        <w:rPr/>
        <w:t>accesible,</w:t>
      </w:r>
      <w:r>
        <w:rPr>
          <w:spacing w:val="-1"/>
        </w:rPr>
        <w:t> </w:t>
      </w:r>
      <w:r>
        <w:rPr/>
        <w:t>eficiente</w:t>
      </w:r>
      <w:r>
        <w:rPr>
          <w:spacing w:val="-2"/>
        </w:rPr>
        <w:t> </w:t>
      </w:r>
      <w:r>
        <w:rPr/>
        <w:t>y que</w:t>
      </w:r>
      <w:r>
        <w:rPr>
          <w:spacing w:val="-2"/>
        </w:rPr>
        <w:t> </w:t>
      </w:r>
      <w:r>
        <w:rPr/>
        <w:t>no</w:t>
      </w:r>
      <w:r>
        <w:rPr>
          <w:spacing w:val="-2"/>
        </w:rPr>
        <w:t> </w:t>
      </w:r>
      <w:r>
        <w:rPr/>
        <w:t>genere problemas de seguridad para las mujeres.</w:t>
      </w:r>
    </w:p>
    <w:p>
      <w:pPr>
        <w:pStyle w:val="BodyText"/>
        <w:spacing w:before="242"/>
        <w:ind w:left="992" w:right="990"/>
        <w:jc w:val="both"/>
      </w:pPr>
      <w:r>
        <w:rPr/>
        <w:t>También</w:t>
      </w:r>
      <w:r>
        <w:rPr>
          <w:spacing w:val="-16"/>
        </w:rPr>
        <w:t> </w:t>
      </w:r>
      <w:r>
        <w:rPr/>
        <w:t>el</w:t>
      </w:r>
      <w:r>
        <w:rPr>
          <w:spacing w:val="-15"/>
        </w:rPr>
        <w:t> </w:t>
      </w:r>
      <w:r>
        <w:rPr/>
        <w:t>PMUS</w:t>
      </w:r>
      <w:r>
        <w:rPr>
          <w:spacing w:val="-15"/>
        </w:rPr>
        <w:t> </w:t>
      </w:r>
      <w:r>
        <w:rPr/>
        <w:t>del</w:t>
      </w:r>
      <w:r>
        <w:rPr>
          <w:spacing w:val="-16"/>
        </w:rPr>
        <w:t> </w:t>
      </w:r>
      <w:r>
        <w:rPr>
          <w:b/>
        </w:rPr>
        <w:t>Ayuntamiento</w:t>
      </w:r>
      <w:r>
        <w:rPr>
          <w:b/>
          <w:spacing w:val="-15"/>
        </w:rPr>
        <w:t> </w:t>
      </w:r>
      <w:r>
        <w:rPr>
          <w:b/>
        </w:rPr>
        <w:t>de</w:t>
      </w:r>
      <w:r>
        <w:rPr>
          <w:b/>
          <w:spacing w:val="-15"/>
        </w:rPr>
        <w:t> </w:t>
      </w:r>
      <w:r>
        <w:rPr>
          <w:b/>
        </w:rPr>
        <w:t>Córdoba</w:t>
      </w:r>
      <w:r>
        <w:rPr>
          <w:b/>
          <w:spacing w:val="-15"/>
        </w:rPr>
        <w:t> </w:t>
      </w:r>
      <w:r>
        <w:rPr/>
        <w:t>señala,</w:t>
      </w:r>
      <w:r>
        <w:rPr>
          <w:spacing w:val="-16"/>
        </w:rPr>
        <w:t> </w:t>
      </w:r>
      <w:r>
        <w:rPr/>
        <w:t>como</w:t>
      </w:r>
      <w:r>
        <w:rPr>
          <w:spacing w:val="-15"/>
        </w:rPr>
        <w:t> </w:t>
      </w:r>
      <w:r>
        <w:rPr/>
        <w:t>ámbito</w:t>
      </w:r>
      <w:r>
        <w:rPr>
          <w:spacing w:val="-15"/>
        </w:rPr>
        <w:t> </w:t>
      </w:r>
      <w:r>
        <w:rPr/>
        <w:t>de</w:t>
      </w:r>
      <w:r>
        <w:rPr>
          <w:spacing w:val="-16"/>
        </w:rPr>
        <w:t> </w:t>
      </w:r>
      <w:r>
        <w:rPr/>
        <w:t>actuación,</w:t>
      </w:r>
      <w:r>
        <w:rPr>
          <w:spacing w:val="-15"/>
        </w:rPr>
        <w:t> </w:t>
      </w:r>
      <w:r>
        <w:rPr/>
        <w:t>la</w:t>
      </w:r>
      <w:r>
        <w:rPr>
          <w:spacing w:val="-15"/>
        </w:rPr>
        <w:t> </w:t>
      </w:r>
      <w:r>
        <w:rPr/>
        <w:t>perspectiva de género y contempla medidas tales como un Plan de mejora de infraestructuras orientado a la mujer</w:t>
      </w:r>
      <w:r>
        <w:rPr>
          <w:spacing w:val="-5"/>
        </w:rPr>
        <w:t> </w:t>
      </w:r>
      <w:r>
        <w:rPr/>
        <w:t>en</w:t>
      </w:r>
      <w:r>
        <w:rPr>
          <w:spacing w:val="-7"/>
        </w:rPr>
        <w:t> </w:t>
      </w:r>
      <w:r>
        <w:rPr/>
        <w:t>itinerarios</w:t>
      </w:r>
      <w:r>
        <w:rPr>
          <w:spacing w:val="-6"/>
        </w:rPr>
        <w:t> </w:t>
      </w:r>
      <w:r>
        <w:rPr/>
        <w:t>e</w:t>
      </w:r>
      <w:r>
        <w:rPr>
          <w:spacing w:val="-6"/>
        </w:rPr>
        <w:t> </w:t>
      </w:r>
      <w:r>
        <w:rPr/>
        <w:t>intercambiadores</w:t>
      </w:r>
      <w:r>
        <w:rPr>
          <w:spacing w:val="-6"/>
        </w:rPr>
        <w:t> </w:t>
      </w:r>
      <w:r>
        <w:rPr/>
        <w:t>y</w:t>
      </w:r>
      <w:r>
        <w:rPr>
          <w:spacing w:val="-6"/>
        </w:rPr>
        <w:t> </w:t>
      </w:r>
      <w:r>
        <w:rPr/>
        <w:t>un</w:t>
      </w:r>
      <w:r>
        <w:rPr>
          <w:spacing w:val="-7"/>
        </w:rPr>
        <w:t> </w:t>
      </w:r>
      <w:r>
        <w:rPr/>
        <w:t>Programa</w:t>
      </w:r>
      <w:r>
        <w:rPr>
          <w:spacing w:val="-6"/>
        </w:rPr>
        <w:t> </w:t>
      </w:r>
      <w:r>
        <w:rPr/>
        <w:t>de</w:t>
      </w:r>
      <w:r>
        <w:rPr>
          <w:spacing w:val="-7"/>
        </w:rPr>
        <w:t> </w:t>
      </w:r>
      <w:r>
        <w:rPr/>
        <w:t>divulgación</w:t>
      </w:r>
      <w:r>
        <w:rPr>
          <w:spacing w:val="-4"/>
        </w:rPr>
        <w:t> </w:t>
      </w:r>
      <w:r>
        <w:rPr/>
        <w:t>e</w:t>
      </w:r>
      <w:r>
        <w:rPr>
          <w:spacing w:val="-6"/>
        </w:rPr>
        <w:t> </w:t>
      </w:r>
      <w:r>
        <w:rPr/>
        <w:t>información</w:t>
      </w:r>
      <w:r>
        <w:rPr>
          <w:spacing w:val="-7"/>
        </w:rPr>
        <w:t> </w:t>
      </w:r>
      <w:r>
        <w:rPr/>
        <w:t>de</w:t>
      </w:r>
      <w:r>
        <w:rPr>
          <w:spacing w:val="-7"/>
        </w:rPr>
        <w:t> </w:t>
      </w:r>
      <w:r>
        <w:rPr/>
        <w:t>la</w:t>
      </w:r>
      <w:r>
        <w:rPr>
          <w:spacing w:val="-6"/>
        </w:rPr>
        <w:t> </w:t>
      </w:r>
      <w:r>
        <w:rPr/>
        <w:t>movilidad en clave de género.</w:t>
      </w:r>
    </w:p>
    <w:p>
      <w:pPr>
        <w:pStyle w:val="BodyText"/>
        <w:spacing w:before="239"/>
        <w:ind w:left="992" w:right="986"/>
        <w:jc w:val="both"/>
      </w:pPr>
      <w:r>
        <w:rPr/>
        <w:t>El</w:t>
      </w:r>
      <w:r>
        <w:rPr>
          <w:spacing w:val="-14"/>
        </w:rPr>
        <w:t> </w:t>
      </w:r>
      <w:r>
        <w:rPr/>
        <w:t>PMUS</w:t>
      </w:r>
      <w:r>
        <w:rPr>
          <w:spacing w:val="-14"/>
        </w:rPr>
        <w:t> </w:t>
      </w:r>
      <w:r>
        <w:rPr/>
        <w:t>del</w:t>
      </w:r>
      <w:r>
        <w:rPr>
          <w:spacing w:val="-14"/>
        </w:rPr>
        <w:t> </w:t>
      </w:r>
      <w:r>
        <w:rPr>
          <w:b/>
        </w:rPr>
        <w:t>Ayuntamiento</w:t>
      </w:r>
      <w:r>
        <w:rPr>
          <w:b/>
          <w:spacing w:val="-13"/>
        </w:rPr>
        <w:t> </w:t>
      </w:r>
      <w:r>
        <w:rPr>
          <w:b/>
        </w:rPr>
        <w:t>de</w:t>
      </w:r>
      <w:r>
        <w:rPr>
          <w:b/>
          <w:spacing w:val="-14"/>
        </w:rPr>
        <w:t> </w:t>
      </w:r>
      <w:r>
        <w:rPr>
          <w:b/>
        </w:rPr>
        <w:t>Zaragoza</w:t>
      </w:r>
      <w:r>
        <w:rPr>
          <w:b/>
          <w:spacing w:val="-15"/>
        </w:rPr>
        <w:t> </w:t>
      </w:r>
      <w:r>
        <w:rPr/>
        <w:t>alude</w:t>
      </w:r>
      <w:r>
        <w:rPr>
          <w:spacing w:val="-14"/>
        </w:rPr>
        <w:t> </w:t>
      </w:r>
      <w:r>
        <w:rPr/>
        <w:t>a</w:t>
      </w:r>
      <w:r>
        <w:rPr>
          <w:spacing w:val="-14"/>
        </w:rPr>
        <w:t> </w:t>
      </w:r>
      <w:r>
        <w:rPr/>
        <w:t>los</w:t>
      </w:r>
      <w:r>
        <w:rPr>
          <w:spacing w:val="-13"/>
        </w:rPr>
        <w:t> </w:t>
      </w:r>
      <w:r>
        <w:rPr/>
        <w:t>problemas</w:t>
      </w:r>
      <w:r>
        <w:rPr>
          <w:spacing w:val="-13"/>
        </w:rPr>
        <w:t> </w:t>
      </w:r>
      <w:r>
        <w:rPr/>
        <w:t>detectados</w:t>
      </w:r>
      <w:r>
        <w:rPr>
          <w:spacing w:val="-13"/>
        </w:rPr>
        <w:t> </w:t>
      </w:r>
      <w:r>
        <w:rPr/>
        <w:t>en</w:t>
      </w:r>
      <w:r>
        <w:rPr>
          <w:spacing w:val="-14"/>
        </w:rPr>
        <w:t> </w:t>
      </w:r>
      <w:r>
        <w:rPr/>
        <w:t>el</w:t>
      </w:r>
      <w:r>
        <w:rPr>
          <w:spacing w:val="-15"/>
        </w:rPr>
        <w:t> </w:t>
      </w:r>
      <w:r>
        <w:rPr/>
        <w:t>diagnóstico</w:t>
      </w:r>
      <w:r>
        <w:rPr>
          <w:spacing w:val="-14"/>
        </w:rPr>
        <w:t> </w:t>
      </w:r>
      <w:r>
        <w:rPr/>
        <w:t>sobre igualdad de género: diferencias en la percepción de seguridad entre hombres y mujeres en la movilidad urbana, empleo de más tiempo en transporte público por las mujeres, o la falta de adaptación</w:t>
      </w:r>
      <w:r>
        <w:rPr>
          <w:spacing w:val="-16"/>
        </w:rPr>
        <w:t> </w:t>
      </w:r>
      <w:r>
        <w:rPr/>
        <w:t>del</w:t>
      </w:r>
      <w:r>
        <w:rPr>
          <w:spacing w:val="-15"/>
        </w:rPr>
        <w:t> </w:t>
      </w:r>
      <w:r>
        <w:rPr/>
        <w:t>transporte</w:t>
      </w:r>
      <w:r>
        <w:rPr>
          <w:spacing w:val="-15"/>
        </w:rPr>
        <w:t> </w:t>
      </w:r>
      <w:r>
        <w:rPr/>
        <w:t>público</w:t>
      </w:r>
      <w:r>
        <w:rPr>
          <w:spacing w:val="-16"/>
        </w:rPr>
        <w:t> </w:t>
      </w:r>
      <w:r>
        <w:rPr/>
        <w:t>a</w:t>
      </w:r>
      <w:r>
        <w:rPr>
          <w:spacing w:val="-15"/>
        </w:rPr>
        <w:t> </w:t>
      </w:r>
      <w:r>
        <w:rPr/>
        <w:t>necesidades</w:t>
      </w:r>
      <w:r>
        <w:rPr>
          <w:spacing w:val="-15"/>
        </w:rPr>
        <w:t> </w:t>
      </w:r>
      <w:r>
        <w:rPr/>
        <w:t>específicas</w:t>
      </w:r>
      <w:r>
        <w:rPr>
          <w:spacing w:val="-15"/>
        </w:rPr>
        <w:t> </w:t>
      </w:r>
      <w:r>
        <w:rPr/>
        <w:t>de</w:t>
      </w:r>
      <w:r>
        <w:rPr>
          <w:spacing w:val="-16"/>
        </w:rPr>
        <w:t> </w:t>
      </w:r>
      <w:r>
        <w:rPr/>
        <w:t>las</w:t>
      </w:r>
      <w:r>
        <w:rPr>
          <w:spacing w:val="-15"/>
        </w:rPr>
        <w:t> </w:t>
      </w:r>
      <w:r>
        <w:rPr/>
        <w:t>mujeres,</w:t>
      </w:r>
      <w:r>
        <w:rPr>
          <w:spacing w:val="-15"/>
        </w:rPr>
        <w:t> </w:t>
      </w:r>
      <w:r>
        <w:rPr/>
        <w:t>como</w:t>
      </w:r>
      <w:r>
        <w:rPr>
          <w:spacing w:val="-16"/>
        </w:rPr>
        <w:t> </w:t>
      </w:r>
      <w:r>
        <w:rPr/>
        <w:t>acompañamiento de personas dependientes o transporte de objetos. No obstante, no establece medidas concretas para acometer estos problemas.</w:t>
      </w:r>
    </w:p>
    <w:p>
      <w:pPr>
        <w:pStyle w:val="BodyText"/>
        <w:spacing w:before="108"/>
      </w:pPr>
    </w:p>
    <w:p>
      <w:pPr>
        <w:pStyle w:val="ListParagraph"/>
        <w:numPr>
          <w:ilvl w:val="3"/>
          <w:numId w:val="3"/>
        </w:numPr>
        <w:tabs>
          <w:tab w:pos="1779" w:val="left" w:leader="none"/>
        </w:tabs>
        <w:spacing w:line="240" w:lineRule="auto" w:before="0" w:after="0"/>
        <w:ind w:left="1779" w:right="0" w:hanging="787"/>
        <w:jc w:val="left"/>
        <w:rPr>
          <w:sz w:val="22"/>
        </w:rPr>
      </w:pPr>
      <w:r>
        <w:rPr>
          <w:sz w:val="22"/>
        </w:rPr>
        <w:t>APLICACIÓN</w:t>
      </w:r>
      <w:r>
        <w:rPr>
          <w:spacing w:val="-7"/>
          <w:sz w:val="22"/>
        </w:rPr>
        <w:t> </w:t>
      </w:r>
      <w:r>
        <w:rPr>
          <w:sz w:val="22"/>
        </w:rPr>
        <w:t>DEL</w:t>
      </w:r>
      <w:r>
        <w:rPr>
          <w:spacing w:val="-5"/>
          <w:sz w:val="22"/>
        </w:rPr>
        <w:t> </w:t>
      </w:r>
      <w:r>
        <w:rPr>
          <w:sz w:val="22"/>
        </w:rPr>
        <w:t>PRINCIPIO</w:t>
      </w:r>
      <w:r>
        <w:rPr>
          <w:spacing w:val="-5"/>
          <w:sz w:val="22"/>
        </w:rPr>
        <w:t> </w:t>
      </w:r>
      <w:r>
        <w:rPr>
          <w:sz w:val="22"/>
        </w:rPr>
        <w:t>DE</w:t>
      </w:r>
      <w:r>
        <w:rPr>
          <w:spacing w:val="-7"/>
          <w:sz w:val="22"/>
        </w:rPr>
        <w:t> </w:t>
      </w:r>
      <w:r>
        <w:rPr>
          <w:sz w:val="22"/>
        </w:rPr>
        <w:t>IGUALDAD</w:t>
      </w:r>
      <w:r>
        <w:rPr>
          <w:spacing w:val="-4"/>
          <w:sz w:val="22"/>
        </w:rPr>
        <w:t> </w:t>
      </w:r>
      <w:r>
        <w:rPr>
          <w:sz w:val="22"/>
        </w:rPr>
        <w:t>EN</w:t>
      </w:r>
      <w:r>
        <w:rPr>
          <w:spacing w:val="-5"/>
          <w:sz w:val="22"/>
        </w:rPr>
        <w:t> </w:t>
      </w:r>
      <w:r>
        <w:rPr>
          <w:sz w:val="22"/>
        </w:rPr>
        <w:t>LA</w:t>
      </w:r>
      <w:r>
        <w:rPr>
          <w:spacing w:val="-5"/>
          <w:sz w:val="22"/>
        </w:rPr>
        <w:t> </w:t>
      </w:r>
      <w:r>
        <w:rPr>
          <w:spacing w:val="-2"/>
          <w:sz w:val="22"/>
        </w:rPr>
        <w:t>CONTRATACIÓN</w:t>
      </w:r>
    </w:p>
    <w:p>
      <w:pPr>
        <w:spacing w:before="239"/>
        <w:ind w:left="992" w:right="989" w:firstLine="0"/>
        <w:jc w:val="both"/>
        <w:rPr>
          <w:sz w:val="22"/>
        </w:rPr>
      </w:pPr>
      <w:r>
        <w:rPr>
          <w:sz w:val="22"/>
        </w:rPr>
        <w:t>En materia de contratación, los </w:t>
      </w:r>
      <w:r>
        <w:rPr>
          <w:b/>
          <w:sz w:val="22"/>
        </w:rPr>
        <w:t>Ayuntamientos de Bilbao, Córdoba, Las Palmas de Gran Canaria, Murcia </w:t>
      </w:r>
      <w:r>
        <w:rPr>
          <w:sz w:val="22"/>
        </w:rPr>
        <w:t>y </w:t>
      </w:r>
      <w:r>
        <w:rPr>
          <w:b/>
          <w:sz w:val="22"/>
        </w:rPr>
        <w:t>Palma </w:t>
      </w:r>
      <w:r>
        <w:rPr>
          <w:sz w:val="22"/>
        </w:rPr>
        <w:t>han incluido en los pliegos de cláusulas administrativas particulares de los contratos examinados condiciones especiales de ejecución con el fin de promover la igualdad en el mercado de trabajo.</w:t>
      </w:r>
    </w:p>
    <w:p>
      <w:pPr>
        <w:pStyle w:val="BodyText"/>
        <w:spacing w:before="242"/>
        <w:ind w:left="992" w:right="986"/>
        <w:jc w:val="both"/>
      </w:pPr>
      <w:r>
        <w:rPr/>
        <w:t>Asimismo,</w:t>
      </w:r>
      <w:r>
        <w:rPr>
          <w:spacing w:val="-11"/>
        </w:rPr>
        <w:t> </w:t>
      </w:r>
      <w:r>
        <w:rPr/>
        <w:t>los</w:t>
      </w:r>
      <w:r>
        <w:rPr>
          <w:spacing w:val="-12"/>
        </w:rPr>
        <w:t> </w:t>
      </w:r>
      <w:r>
        <w:rPr>
          <w:b/>
        </w:rPr>
        <w:t>Ayuntamientos</w:t>
      </w:r>
      <w:r>
        <w:rPr>
          <w:b/>
          <w:spacing w:val="-10"/>
        </w:rPr>
        <w:t> </w:t>
      </w:r>
      <w:r>
        <w:rPr>
          <w:b/>
        </w:rPr>
        <w:t>de</w:t>
      </w:r>
      <w:r>
        <w:rPr>
          <w:b/>
          <w:spacing w:val="-14"/>
        </w:rPr>
        <w:t> </w:t>
      </w:r>
      <w:r>
        <w:rPr>
          <w:b/>
        </w:rPr>
        <w:t>Alicante</w:t>
      </w:r>
      <w:r>
        <w:rPr/>
        <w:t>,</w:t>
      </w:r>
      <w:r>
        <w:rPr>
          <w:spacing w:val="-8"/>
        </w:rPr>
        <w:t> </w:t>
      </w:r>
      <w:r>
        <w:rPr>
          <w:b/>
        </w:rPr>
        <w:t>Bilbao,</w:t>
      </w:r>
      <w:r>
        <w:rPr>
          <w:b/>
          <w:spacing w:val="-8"/>
        </w:rPr>
        <w:t> </w:t>
      </w:r>
      <w:r>
        <w:rPr>
          <w:b/>
        </w:rPr>
        <w:t>Córdoba</w:t>
      </w:r>
      <w:r>
        <w:rPr/>
        <w:t>,</w:t>
      </w:r>
      <w:r>
        <w:rPr>
          <w:spacing w:val="-11"/>
        </w:rPr>
        <w:t> </w:t>
      </w:r>
      <w:r>
        <w:rPr>
          <w:b/>
        </w:rPr>
        <w:t>Málaga,</w:t>
      </w:r>
      <w:r>
        <w:rPr>
          <w:b/>
          <w:spacing w:val="-10"/>
        </w:rPr>
        <w:t> </w:t>
      </w:r>
      <w:r>
        <w:rPr>
          <w:b/>
        </w:rPr>
        <w:t>Palma,</w:t>
      </w:r>
      <w:r>
        <w:rPr>
          <w:b/>
          <w:spacing w:val="-8"/>
        </w:rPr>
        <w:t> </w:t>
      </w:r>
      <w:r>
        <w:rPr>
          <w:b/>
        </w:rPr>
        <w:t>Sevilla</w:t>
      </w:r>
      <w:r>
        <w:rPr>
          <w:b/>
          <w:spacing w:val="-9"/>
        </w:rPr>
        <w:t> </w:t>
      </w:r>
      <w:r>
        <w:rPr/>
        <w:t>y</w:t>
      </w:r>
      <w:r>
        <w:rPr>
          <w:spacing w:val="-12"/>
        </w:rPr>
        <w:t> </w:t>
      </w:r>
      <w:r>
        <w:rPr>
          <w:b/>
        </w:rPr>
        <w:t>Zaragoza </w:t>
      </w:r>
      <w:r>
        <w:rPr/>
        <w:t>han considerado como criterio de adjudicación en caso de empate medidas relacionadas con la igualdad de género. Entre otras, que las propuestas incluyan medidas de carácter social y laboral que favorezcan la igualdad de oportunidades entre mujeres y hombres; la existencia de un mayor porcentaje de mujeres en la plantilla de las empresas; la disposición de un plan de igualdad o la acreditación en materia de igualdad expedida por órgano competente estatal o autonómico o la realización de buenas prácticas en materia de igualdad de género. El </w:t>
      </w:r>
      <w:r>
        <w:rPr>
          <w:b/>
        </w:rPr>
        <w:t>Ayuntamiento de Alicante </w:t>
      </w:r>
      <w:r>
        <w:rPr/>
        <w:t>también ha previsto, entre los criterios de adjudicación que dependen de un juicio de valor, la integración de la perspectiva de género y las propuestas en materia de igualdad de las empresas licitadoras. Asimismo, los </w:t>
      </w:r>
      <w:r>
        <w:rPr>
          <w:b/>
        </w:rPr>
        <w:t>Ayuntamientos de Córdoba, Málaga </w:t>
      </w:r>
      <w:r>
        <w:rPr/>
        <w:t>y </w:t>
      </w:r>
      <w:r>
        <w:rPr>
          <w:b/>
        </w:rPr>
        <w:t>Murcia </w:t>
      </w:r>
      <w:r>
        <w:rPr/>
        <w:t>incluyen en los pliegos unos</w:t>
      </w:r>
      <w:r>
        <w:rPr>
          <w:spacing w:val="-5"/>
        </w:rPr>
        <w:t> </w:t>
      </w:r>
      <w:r>
        <w:rPr/>
        <w:t>anexos</w:t>
      </w:r>
      <w:r>
        <w:rPr>
          <w:spacing w:val="-5"/>
        </w:rPr>
        <w:t> </w:t>
      </w:r>
      <w:r>
        <w:rPr/>
        <w:t>a</w:t>
      </w:r>
      <w:r>
        <w:rPr>
          <w:spacing w:val="-7"/>
        </w:rPr>
        <w:t> </w:t>
      </w:r>
      <w:r>
        <w:rPr/>
        <w:t>presentar</w:t>
      </w:r>
      <w:r>
        <w:rPr>
          <w:spacing w:val="-7"/>
        </w:rPr>
        <w:t> </w:t>
      </w:r>
      <w:r>
        <w:rPr/>
        <w:t>por</w:t>
      </w:r>
      <w:r>
        <w:rPr>
          <w:spacing w:val="-6"/>
        </w:rPr>
        <w:t> </w:t>
      </w:r>
      <w:r>
        <w:rPr/>
        <w:t>los</w:t>
      </w:r>
      <w:r>
        <w:rPr>
          <w:spacing w:val="-7"/>
        </w:rPr>
        <w:t> </w:t>
      </w:r>
      <w:r>
        <w:rPr/>
        <w:t>licitadores</w:t>
      </w:r>
      <w:r>
        <w:rPr>
          <w:spacing w:val="-8"/>
        </w:rPr>
        <w:t> </w:t>
      </w:r>
      <w:r>
        <w:rPr/>
        <w:t>relacionados</w:t>
      </w:r>
      <w:r>
        <w:rPr>
          <w:spacing w:val="-5"/>
        </w:rPr>
        <w:t> </w:t>
      </w:r>
      <w:r>
        <w:rPr/>
        <w:t>con</w:t>
      </w:r>
      <w:r>
        <w:rPr>
          <w:spacing w:val="-7"/>
        </w:rPr>
        <w:t> </w:t>
      </w:r>
      <w:r>
        <w:rPr/>
        <w:t>el</w:t>
      </w:r>
      <w:r>
        <w:rPr>
          <w:spacing w:val="-7"/>
        </w:rPr>
        <w:t> </w:t>
      </w:r>
      <w:r>
        <w:rPr/>
        <w:t>cumplimiento</w:t>
      </w:r>
      <w:r>
        <w:rPr>
          <w:spacing w:val="-7"/>
        </w:rPr>
        <w:t> </w:t>
      </w:r>
      <w:r>
        <w:rPr/>
        <w:t>de</w:t>
      </w:r>
      <w:r>
        <w:rPr>
          <w:spacing w:val="-5"/>
        </w:rPr>
        <w:t> </w:t>
      </w:r>
      <w:r>
        <w:rPr/>
        <w:t>la</w:t>
      </w:r>
      <w:r>
        <w:rPr>
          <w:spacing w:val="-7"/>
        </w:rPr>
        <w:t> </w:t>
      </w:r>
      <w:r>
        <w:rPr/>
        <w:t>normativa</w:t>
      </w:r>
      <w:r>
        <w:rPr>
          <w:spacing w:val="-3"/>
        </w:rPr>
        <w:t> </w:t>
      </w:r>
      <w:r>
        <w:rPr/>
        <w:t>sobre igualdad de oportunidades entre mujeres y hombres.</w:t>
      </w:r>
    </w:p>
    <w:p>
      <w:pPr>
        <w:pStyle w:val="BodyText"/>
        <w:spacing w:before="107"/>
      </w:pPr>
    </w:p>
    <w:p>
      <w:pPr>
        <w:pStyle w:val="ListParagraph"/>
        <w:numPr>
          <w:ilvl w:val="3"/>
          <w:numId w:val="3"/>
        </w:numPr>
        <w:tabs>
          <w:tab w:pos="1779" w:val="left" w:leader="none"/>
        </w:tabs>
        <w:spacing w:line="240" w:lineRule="auto" w:before="0" w:after="0"/>
        <w:ind w:left="1779" w:right="0" w:hanging="787"/>
        <w:jc w:val="left"/>
        <w:rPr>
          <w:sz w:val="22"/>
        </w:rPr>
      </w:pPr>
      <w:r>
        <w:rPr>
          <w:sz w:val="22"/>
        </w:rPr>
        <w:t>PRESENCIA</w:t>
      </w:r>
      <w:r>
        <w:rPr>
          <w:spacing w:val="-7"/>
          <w:sz w:val="22"/>
        </w:rPr>
        <w:t> </w:t>
      </w:r>
      <w:r>
        <w:rPr>
          <w:sz w:val="22"/>
        </w:rPr>
        <w:t>DE</w:t>
      </w:r>
      <w:r>
        <w:rPr>
          <w:spacing w:val="-5"/>
          <w:sz w:val="22"/>
        </w:rPr>
        <w:t> </w:t>
      </w:r>
      <w:r>
        <w:rPr>
          <w:sz w:val="22"/>
        </w:rPr>
        <w:t>HOMBRES</w:t>
      </w:r>
      <w:r>
        <w:rPr>
          <w:spacing w:val="-4"/>
          <w:sz w:val="22"/>
        </w:rPr>
        <w:t> </w:t>
      </w:r>
      <w:r>
        <w:rPr>
          <w:sz w:val="22"/>
        </w:rPr>
        <w:t>Y</w:t>
      </w:r>
      <w:r>
        <w:rPr>
          <w:spacing w:val="-5"/>
          <w:sz w:val="22"/>
        </w:rPr>
        <w:t> </w:t>
      </w:r>
      <w:r>
        <w:rPr>
          <w:sz w:val="22"/>
        </w:rPr>
        <w:t>MUJERES</w:t>
      </w:r>
      <w:r>
        <w:rPr>
          <w:spacing w:val="-4"/>
          <w:sz w:val="22"/>
        </w:rPr>
        <w:t> </w:t>
      </w:r>
      <w:r>
        <w:rPr>
          <w:sz w:val="22"/>
        </w:rPr>
        <w:t>EN</w:t>
      </w:r>
      <w:r>
        <w:rPr>
          <w:spacing w:val="-5"/>
          <w:sz w:val="22"/>
        </w:rPr>
        <w:t> </w:t>
      </w:r>
      <w:r>
        <w:rPr>
          <w:sz w:val="22"/>
        </w:rPr>
        <w:t>EL</w:t>
      </w:r>
      <w:r>
        <w:rPr>
          <w:spacing w:val="-4"/>
          <w:sz w:val="22"/>
        </w:rPr>
        <w:t> </w:t>
      </w:r>
      <w:r>
        <w:rPr>
          <w:sz w:val="22"/>
        </w:rPr>
        <w:t>TRANSPORTE</w:t>
      </w:r>
      <w:r>
        <w:rPr>
          <w:spacing w:val="-6"/>
          <w:sz w:val="22"/>
        </w:rPr>
        <w:t> </w:t>
      </w:r>
      <w:r>
        <w:rPr>
          <w:sz w:val="22"/>
        </w:rPr>
        <w:t>PÚBLICO</w:t>
      </w:r>
      <w:r>
        <w:rPr>
          <w:spacing w:val="-2"/>
          <w:sz w:val="22"/>
        </w:rPr>
        <w:t> COLECTIVO</w:t>
      </w:r>
    </w:p>
    <w:p>
      <w:pPr>
        <w:pStyle w:val="BodyText"/>
        <w:spacing w:before="239"/>
        <w:ind w:left="992" w:right="988"/>
        <w:jc w:val="both"/>
      </w:pPr>
      <w:r>
        <w:rPr/>
        <w:t>En</w:t>
      </w:r>
      <w:r>
        <w:rPr>
          <w:spacing w:val="-1"/>
        </w:rPr>
        <w:t> </w:t>
      </w:r>
      <w:r>
        <w:rPr/>
        <w:t>cuanto a la</w:t>
      </w:r>
      <w:r>
        <w:rPr>
          <w:spacing w:val="-1"/>
        </w:rPr>
        <w:t> </w:t>
      </w:r>
      <w:r>
        <w:rPr/>
        <w:t>presencia</w:t>
      </w:r>
      <w:r>
        <w:rPr>
          <w:spacing w:val="-3"/>
        </w:rPr>
        <w:t> </w:t>
      </w:r>
      <w:r>
        <w:rPr/>
        <w:t>equilibrada</w:t>
      </w:r>
      <w:r>
        <w:rPr>
          <w:spacing w:val="-1"/>
        </w:rPr>
        <w:t> </w:t>
      </w:r>
      <w:r>
        <w:rPr/>
        <w:t>de</w:t>
      </w:r>
      <w:r>
        <w:rPr>
          <w:spacing w:val="-1"/>
        </w:rPr>
        <w:t> </w:t>
      </w:r>
      <w:r>
        <w:rPr/>
        <w:t>hombres</w:t>
      </w:r>
      <w:r>
        <w:rPr>
          <w:spacing w:val="-5"/>
        </w:rPr>
        <w:t> </w:t>
      </w:r>
      <w:r>
        <w:rPr/>
        <w:t>y mujeres en</w:t>
      </w:r>
      <w:r>
        <w:rPr>
          <w:spacing w:val="-3"/>
        </w:rPr>
        <w:t> </w:t>
      </w:r>
      <w:r>
        <w:rPr/>
        <w:t>las</w:t>
      </w:r>
      <w:r>
        <w:rPr>
          <w:spacing w:val="-1"/>
        </w:rPr>
        <w:t> </w:t>
      </w:r>
      <w:r>
        <w:rPr/>
        <w:t>áreas</w:t>
      </w:r>
      <w:r>
        <w:rPr>
          <w:spacing w:val="-3"/>
        </w:rPr>
        <w:t> </w:t>
      </w:r>
      <w:r>
        <w:rPr/>
        <w:t>objeto de</w:t>
      </w:r>
      <w:r>
        <w:rPr>
          <w:spacing w:val="-3"/>
        </w:rPr>
        <w:t> </w:t>
      </w:r>
      <w:r>
        <w:rPr/>
        <w:t>fiscalización, se ha</w:t>
      </w:r>
      <w:r>
        <w:rPr>
          <w:spacing w:val="40"/>
        </w:rPr>
        <w:t> </w:t>
      </w:r>
      <w:r>
        <w:rPr/>
        <w:t>de</w:t>
      </w:r>
      <w:r>
        <w:rPr>
          <w:spacing w:val="40"/>
        </w:rPr>
        <w:t> </w:t>
      </w:r>
      <w:r>
        <w:rPr/>
        <w:t>indicar</w:t>
      </w:r>
      <w:r>
        <w:rPr>
          <w:spacing w:val="40"/>
        </w:rPr>
        <w:t> </w:t>
      </w:r>
      <w:r>
        <w:rPr/>
        <w:t>que</w:t>
      </w:r>
      <w:r>
        <w:rPr>
          <w:spacing w:val="40"/>
        </w:rPr>
        <w:t> </w:t>
      </w:r>
      <w:r>
        <w:rPr/>
        <w:t>el</w:t>
      </w:r>
      <w:r>
        <w:rPr>
          <w:spacing w:val="40"/>
        </w:rPr>
        <w:t> </w:t>
      </w:r>
      <w:r>
        <w:rPr/>
        <w:t>personal</w:t>
      </w:r>
      <w:r>
        <w:rPr>
          <w:spacing w:val="40"/>
        </w:rPr>
        <w:t> </w:t>
      </w:r>
      <w:r>
        <w:rPr/>
        <w:t>adscrito</w:t>
      </w:r>
      <w:r>
        <w:rPr>
          <w:spacing w:val="40"/>
        </w:rPr>
        <w:t> </w:t>
      </w:r>
      <w:r>
        <w:rPr/>
        <w:t>al</w:t>
      </w:r>
      <w:r>
        <w:rPr>
          <w:spacing w:val="40"/>
        </w:rPr>
        <w:t> </w:t>
      </w:r>
      <w:r>
        <w:rPr/>
        <w:t>servicio</w:t>
      </w:r>
      <w:r>
        <w:rPr>
          <w:spacing w:val="40"/>
        </w:rPr>
        <w:t> </w:t>
      </w:r>
      <w:r>
        <w:rPr/>
        <w:t>de</w:t>
      </w:r>
      <w:r>
        <w:rPr>
          <w:spacing w:val="40"/>
        </w:rPr>
        <w:t> </w:t>
      </w:r>
      <w:r>
        <w:rPr/>
        <w:t>transporte</w:t>
      </w:r>
      <w:r>
        <w:rPr>
          <w:spacing w:val="40"/>
        </w:rPr>
        <w:t> </w:t>
      </w:r>
      <w:r>
        <w:rPr/>
        <w:t>público</w:t>
      </w:r>
      <w:r>
        <w:rPr>
          <w:spacing w:val="40"/>
        </w:rPr>
        <w:t> </w:t>
      </w:r>
      <w:r>
        <w:rPr/>
        <w:t>de</w:t>
      </w:r>
      <w:r>
        <w:rPr>
          <w:spacing w:val="40"/>
        </w:rPr>
        <w:t> </w:t>
      </w:r>
      <w:r>
        <w:rPr/>
        <w:t>autobuses</w:t>
      </w:r>
      <w:r>
        <w:rPr>
          <w:spacing w:val="55"/>
        </w:rPr>
        <w:t> </w:t>
      </w:r>
      <w:r>
        <w:rPr/>
        <w:t>urbano –</w:t>
      </w:r>
      <w:r>
        <w:rPr>
          <w:spacing w:val="-12"/>
        </w:rPr>
        <w:t> </w:t>
      </w:r>
      <w:r>
        <w:rPr/>
        <w:t>excluido</w:t>
      </w:r>
      <w:r>
        <w:rPr>
          <w:spacing w:val="-16"/>
        </w:rPr>
        <w:t> </w:t>
      </w:r>
      <w:r>
        <w:rPr/>
        <w:t>el</w:t>
      </w:r>
      <w:r>
        <w:rPr>
          <w:spacing w:val="-15"/>
        </w:rPr>
        <w:t> </w:t>
      </w:r>
      <w:r>
        <w:rPr/>
        <w:t>personal</w:t>
      </w:r>
      <w:r>
        <w:rPr>
          <w:spacing w:val="-15"/>
        </w:rPr>
        <w:t> </w:t>
      </w:r>
      <w:r>
        <w:rPr/>
        <w:t>administrativo–</w:t>
      </w:r>
      <w:r>
        <w:rPr>
          <w:spacing w:val="-15"/>
        </w:rPr>
        <w:t> </w:t>
      </w:r>
      <w:r>
        <w:rPr/>
        <w:t>en</w:t>
      </w:r>
      <w:r>
        <w:rPr>
          <w:spacing w:val="-16"/>
        </w:rPr>
        <w:t> </w:t>
      </w:r>
      <w:r>
        <w:rPr/>
        <w:t>todas</w:t>
      </w:r>
      <w:r>
        <w:rPr>
          <w:spacing w:val="-15"/>
        </w:rPr>
        <w:t> </w:t>
      </w:r>
      <w:r>
        <w:rPr/>
        <w:t>las</w:t>
      </w:r>
      <w:r>
        <w:rPr>
          <w:spacing w:val="-15"/>
        </w:rPr>
        <w:t> </w:t>
      </w:r>
      <w:r>
        <w:rPr/>
        <w:t>entidades</w:t>
      </w:r>
      <w:r>
        <w:rPr>
          <w:spacing w:val="-16"/>
        </w:rPr>
        <w:t> </w:t>
      </w:r>
      <w:r>
        <w:rPr/>
        <w:t>que</w:t>
      </w:r>
      <w:r>
        <w:rPr>
          <w:spacing w:val="-15"/>
        </w:rPr>
        <w:t> </w:t>
      </w:r>
      <w:r>
        <w:rPr/>
        <w:t>han</w:t>
      </w:r>
      <w:r>
        <w:rPr>
          <w:spacing w:val="-15"/>
        </w:rPr>
        <w:t> </w:t>
      </w:r>
      <w:r>
        <w:rPr/>
        <w:t>facilitado</w:t>
      </w:r>
      <w:r>
        <w:rPr>
          <w:spacing w:val="-15"/>
        </w:rPr>
        <w:t> </w:t>
      </w:r>
      <w:r>
        <w:rPr/>
        <w:t>datos</w:t>
      </w:r>
      <w:r>
        <w:rPr>
          <w:spacing w:val="-16"/>
        </w:rPr>
        <w:t> </w:t>
      </w:r>
      <w:r>
        <w:rPr/>
        <w:t>a</w:t>
      </w:r>
      <w:r>
        <w:rPr>
          <w:spacing w:val="-15"/>
        </w:rPr>
        <w:t> </w:t>
      </w:r>
      <w:r>
        <w:rPr/>
        <w:t>este</w:t>
      </w:r>
      <w:r>
        <w:rPr>
          <w:spacing w:val="-15"/>
        </w:rPr>
        <w:t> </w:t>
      </w:r>
      <w:r>
        <w:rPr/>
        <w:t>Tribunal es mayoritariamente masculino, dándose los porcentajes menores de puestos ocupados por mujeres</w:t>
      </w:r>
      <w:r>
        <w:rPr>
          <w:spacing w:val="-9"/>
        </w:rPr>
        <w:t> </w:t>
      </w:r>
      <w:r>
        <w:rPr/>
        <w:t>en</w:t>
      </w:r>
      <w:r>
        <w:rPr>
          <w:spacing w:val="-12"/>
        </w:rPr>
        <w:t> </w:t>
      </w:r>
      <w:r>
        <w:rPr/>
        <w:t>los</w:t>
      </w:r>
      <w:r>
        <w:rPr>
          <w:spacing w:val="-11"/>
        </w:rPr>
        <w:t> </w:t>
      </w:r>
      <w:r>
        <w:rPr/>
        <w:t>servicios</w:t>
      </w:r>
      <w:r>
        <w:rPr>
          <w:spacing w:val="-11"/>
        </w:rPr>
        <w:t> </w:t>
      </w:r>
      <w:r>
        <w:rPr/>
        <w:t>de</w:t>
      </w:r>
      <w:r>
        <w:rPr>
          <w:spacing w:val="-8"/>
        </w:rPr>
        <w:t> </w:t>
      </w:r>
      <w:r>
        <w:rPr>
          <w:b/>
        </w:rPr>
        <w:t>Córdoba</w:t>
      </w:r>
      <w:r>
        <w:rPr>
          <w:b/>
          <w:spacing w:val="-9"/>
        </w:rPr>
        <w:t> </w:t>
      </w:r>
      <w:r>
        <w:rPr/>
        <w:t>y</w:t>
      </w:r>
      <w:r>
        <w:rPr>
          <w:spacing w:val="-11"/>
        </w:rPr>
        <w:t> </w:t>
      </w:r>
      <w:r>
        <w:rPr>
          <w:b/>
        </w:rPr>
        <w:t>Sevilla</w:t>
      </w:r>
      <w:r>
        <w:rPr/>
        <w:t>,</w:t>
      </w:r>
      <w:r>
        <w:rPr>
          <w:spacing w:val="-10"/>
        </w:rPr>
        <w:t> </w:t>
      </w:r>
      <w:r>
        <w:rPr/>
        <w:t>con</w:t>
      </w:r>
      <w:r>
        <w:rPr>
          <w:spacing w:val="-9"/>
        </w:rPr>
        <w:t> </w:t>
      </w:r>
      <w:r>
        <w:rPr/>
        <w:t>aproximadamente</w:t>
      </w:r>
      <w:r>
        <w:rPr>
          <w:spacing w:val="-9"/>
        </w:rPr>
        <w:t> </w:t>
      </w:r>
      <w:r>
        <w:rPr/>
        <w:t>un</w:t>
      </w:r>
      <w:r>
        <w:rPr>
          <w:spacing w:val="-14"/>
        </w:rPr>
        <w:t> </w:t>
      </w:r>
      <w:r>
        <w:rPr/>
        <w:t>8</w:t>
      </w:r>
      <w:r>
        <w:rPr>
          <w:spacing w:val="-9"/>
        </w:rPr>
        <w:t> </w:t>
      </w:r>
      <w:r>
        <w:rPr/>
        <w:t>%</w:t>
      </w:r>
      <w:r>
        <w:rPr>
          <w:spacing w:val="-10"/>
        </w:rPr>
        <w:t> </w:t>
      </w:r>
      <w:r>
        <w:rPr/>
        <w:t>de</w:t>
      </w:r>
      <w:r>
        <w:rPr>
          <w:spacing w:val="-12"/>
        </w:rPr>
        <w:t> </w:t>
      </w:r>
      <w:r>
        <w:rPr/>
        <w:t>mujeres,</w:t>
      </w:r>
      <w:r>
        <w:rPr>
          <w:spacing w:val="-7"/>
        </w:rPr>
        <w:t> </w:t>
      </w:r>
      <w:r>
        <w:rPr/>
        <w:t>seguidas de </w:t>
      </w:r>
      <w:r>
        <w:rPr>
          <w:b/>
        </w:rPr>
        <w:t>Alicante</w:t>
      </w:r>
      <w:r>
        <w:rPr/>
        <w:t>, </w:t>
      </w:r>
      <w:r>
        <w:rPr>
          <w:b/>
        </w:rPr>
        <w:t>Las Palmas de Gran Canaria, Málaga </w:t>
      </w:r>
      <w:r>
        <w:rPr/>
        <w:t>y </w:t>
      </w:r>
      <w:r>
        <w:rPr>
          <w:b/>
        </w:rPr>
        <w:t>Zaragoza</w:t>
      </w:r>
      <w:r>
        <w:rPr/>
        <w:t>, que</w:t>
      </w:r>
      <w:r>
        <w:rPr>
          <w:spacing w:val="-1"/>
        </w:rPr>
        <w:t> </w:t>
      </w:r>
      <w:r>
        <w:rPr/>
        <w:t>se</w:t>
      </w:r>
      <w:r>
        <w:rPr>
          <w:spacing w:val="-1"/>
        </w:rPr>
        <w:t> </w:t>
      </w:r>
      <w:r>
        <w:rPr/>
        <w:t>sitúan en</w:t>
      </w:r>
      <w:r>
        <w:rPr>
          <w:spacing w:val="-1"/>
        </w:rPr>
        <w:t> </w:t>
      </w:r>
      <w:r>
        <w:rPr/>
        <w:t>torno</w:t>
      </w:r>
      <w:r>
        <w:rPr>
          <w:spacing w:val="-1"/>
        </w:rPr>
        <w:t> </w:t>
      </w:r>
      <w:r>
        <w:rPr/>
        <w:t>al 10 % y </w:t>
      </w:r>
      <w:r>
        <w:rPr>
          <w:b/>
        </w:rPr>
        <w:t>Bilbao</w:t>
      </w:r>
      <w:r>
        <w:rPr/>
        <w:t>,</w:t>
      </w:r>
      <w:r>
        <w:rPr>
          <w:spacing w:val="-6"/>
        </w:rPr>
        <w:t> </w:t>
      </w:r>
      <w:r>
        <w:rPr/>
        <w:t>en</w:t>
      </w:r>
      <w:r>
        <w:rPr>
          <w:spacing w:val="-8"/>
        </w:rPr>
        <w:t> </w:t>
      </w:r>
      <w:r>
        <w:rPr/>
        <w:t>torno</w:t>
      </w:r>
      <w:r>
        <w:rPr>
          <w:spacing w:val="-8"/>
        </w:rPr>
        <w:t> </w:t>
      </w:r>
      <w:r>
        <w:rPr/>
        <w:t>a</w:t>
      </w:r>
      <w:r>
        <w:rPr>
          <w:spacing w:val="-8"/>
        </w:rPr>
        <w:t> </w:t>
      </w:r>
      <w:r>
        <w:rPr/>
        <w:t>un</w:t>
      </w:r>
      <w:r>
        <w:rPr>
          <w:spacing w:val="-6"/>
        </w:rPr>
        <w:t> </w:t>
      </w:r>
      <w:r>
        <w:rPr/>
        <w:t>14</w:t>
      </w:r>
      <w:r>
        <w:rPr>
          <w:spacing w:val="-11"/>
        </w:rPr>
        <w:t> </w:t>
      </w:r>
      <w:r>
        <w:rPr/>
        <w:t>%.</w:t>
      </w:r>
      <w:r>
        <w:rPr>
          <w:spacing w:val="-6"/>
        </w:rPr>
        <w:t> </w:t>
      </w:r>
      <w:r>
        <w:rPr/>
        <w:t>También</w:t>
      </w:r>
      <w:r>
        <w:rPr>
          <w:spacing w:val="-8"/>
        </w:rPr>
        <w:t> </w:t>
      </w:r>
      <w:r>
        <w:rPr/>
        <w:t>se</w:t>
      </w:r>
      <w:r>
        <w:rPr>
          <w:spacing w:val="-8"/>
        </w:rPr>
        <w:t> </w:t>
      </w:r>
      <w:r>
        <w:rPr/>
        <w:t>observa</w:t>
      </w:r>
      <w:r>
        <w:rPr>
          <w:spacing w:val="-8"/>
        </w:rPr>
        <w:t> </w:t>
      </w:r>
      <w:r>
        <w:rPr/>
        <w:t>que</w:t>
      </w:r>
      <w:r>
        <w:rPr>
          <w:spacing w:val="-5"/>
        </w:rPr>
        <w:t> </w:t>
      </w:r>
      <w:r>
        <w:rPr/>
        <w:t>hay</w:t>
      </w:r>
      <w:r>
        <w:rPr>
          <w:spacing w:val="-7"/>
        </w:rPr>
        <w:t> </w:t>
      </w:r>
      <w:r>
        <w:rPr/>
        <w:t>una</w:t>
      </w:r>
      <w:r>
        <w:rPr>
          <w:spacing w:val="-8"/>
        </w:rPr>
        <w:t> </w:t>
      </w:r>
      <w:r>
        <w:rPr/>
        <w:t>mayor</w:t>
      </w:r>
      <w:r>
        <w:rPr>
          <w:spacing w:val="-7"/>
        </w:rPr>
        <w:t> </w:t>
      </w:r>
      <w:r>
        <w:rPr/>
        <w:t>presencia</w:t>
      </w:r>
      <w:r>
        <w:rPr>
          <w:spacing w:val="-5"/>
        </w:rPr>
        <w:t> </w:t>
      </w:r>
      <w:r>
        <w:rPr/>
        <w:t>de</w:t>
      </w:r>
      <w:r>
        <w:rPr>
          <w:spacing w:val="-8"/>
        </w:rPr>
        <w:t> </w:t>
      </w:r>
      <w:r>
        <w:rPr/>
        <w:t>mujeres</w:t>
      </w:r>
      <w:r>
        <w:rPr>
          <w:spacing w:val="-7"/>
        </w:rPr>
        <w:t> </w:t>
      </w:r>
      <w:r>
        <w:rPr/>
        <w:t>en</w:t>
      </w:r>
      <w:r>
        <w:rPr>
          <w:spacing w:val="-8"/>
        </w:rPr>
        <w:t> </w:t>
      </w:r>
      <w:r>
        <w:rPr/>
        <w:t>otros servicios de transporte colectivo, como el funicular en </w:t>
      </w:r>
      <w:r>
        <w:rPr>
          <w:b/>
        </w:rPr>
        <w:t>Bilbao</w:t>
      </w:r>
      <w:r>
        <w:rPr/>
        <w:t>, en el que el porcentaje de mujeres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7"/>
        <w:jc w:val="both"/>
      </w:pPr>
      <w:r>
        <w:rPr/>
        <w:t>se sitúa en torno al 34 %, y en el tranvía en </w:t>
      </w:r>
      <w:r>
        <w:rPr>
          <w:b/>
        </w:rPr>
        <w:t>Zaragoza, </w:t>
      </w:r>
      <w:r>
        <w:rPr/>
        <w:t>con una presencia de mujeres en torno al 25</w:t>
      </w:r>
      <w:r>
        <w:rPr>
          <w:spacing w:val="-2"/>
        </w:rPr>
        <w:t> </w:t>
      </w:r>
      <w:r>
        <w:rPr/>
        <w:t>%.</w:t>
      </w:r>
      <w:r>
        <w:rPr>
          <w:spacing w:val="-5"/>
        </w:rPr>
        <w:t> </w:t>
      </w:r>
      <w:r>
        <w:rPr/>
        <w:t>El</w:t>
      </w:r>
      <w:r>
        <w:rPr>
          <w:spacing w:val="-5"/>
        </w:rPr>
        <w:t> </w:t>
      </w:r>
      <w:r>
        <w:rPr/>
        <w:t>puesto</w:t>
      </w:r>
      <w:r>
        <w:rPr>
          <w:spacing w:val="-6"/>
        </w:rPr>
        <w:t> </w:t>
      </w:r>
      <w:r>
        <w:rPr/>
        <w:t>que</w:t>
      </w:r>
      <w:r>
        <w:rPr>
          <w:spacing w:val="-9"/>
        </w:rPr>
        <w:t> </w:t>
      </w:r>
      <w:r>
        <w:rPr/>
        <w:t>mayoritariamente</w:t>
      </w:r>
      <w:r>
        <w:rPr>
          <w:spacing w:val="-6"/>
        </w:rPr>
        <w:t> </w:t>
      </w:r>
      <w:r>
        <w:rPr/>
        <w:t>ocupan</w:t>
      </w:r>
      <w:r>
        <w:rPr>
          <w:spacing w:val="-6"/>
        </w:rPr>
        <w:t> </w:t>
      </w:r>
      <w:r>
        <w:rPr/>
        <w:t>las</w:t>
      </w:r>
      <w:r>
        <w:rPr>
          <w:spacing w:val="-9"/>
        </w:rPr>
        <w:t> </w:t>
      </w:r>
      <w:r>
        <w:rPr/>
        <w:t>mujeres</w:t>
      </w:r>
      <w:r>
        <w:rPr>
          <w:spacing w:val="-6"/>
        </w:rPr>
        <w:t> </w:t>
      </w:r>
      <w:r>
        <w:rPr/>
        <w:t>es</w:t>
      </w:r>
      <w:r>
        <w:rPr>
          <w:spacing w:val="-6"/>
        </w:rPr>
        <w:t> </w:t>
      </w:r>
      <w:r>
        <w:rPr/>
        <w:t>el</w:t>
      </w:r>
      <w:r>
        <w:rPr>
          <w:spacing w:val="-7"/>
        </w:rPr>
        <w:t> </w:t>
      </w:r>
      <w:r>
        <w:rPr/>
        <w:t>de</w:t>
      </w:r>
      <w:r>
        <w:rPr>
          <w:spacing w:val="-7"/>
        </w:rPr>
        <w:t> </w:t>
      </w:r>
      <w:r>
        <w:rPr/>
        <w:t>conductor.</w:t>
      </w:r>
      <w:r>
        <w:rPr>
          <w:spacing w:val="-5"/>
        </w:rPr>
        <w:t> </w:t>
      </w:r>
      <w:r>
        <w:rPr/>
        <w:t>Los</w:t>
      </w:r>
      <w:r>
        <w:rPr>
          <w:spacing w:val="-5"/>
        </w:rPr>
        <w:t> </w:t>
      </w:r>
      <w:r>
        <w:rPr>
          <w:b/>
        </w:rPr>
        <w:t>Ayuntamientos de Murcia </w:t>
      </w:r>
      <w:r>
        <w:rPr/>
        <w:t>y </w:t>
      </w:r>
      <w:r>
        <w:rPr>
          <w:b/>
        </w:rPr>
        <w:t>Palma </w:t>
      </w:r>
      <w:r>
        <w:rPr/>
        <w:t>no han aportado datos relativos al número de hombres y mujeres empleados en el transporte colectivo urbano.</w:t>
      </w:r>
    </w:p>
    <w:p>
      <w:pPr>
        <w:pStyle w:val="BodyText"/>
        <w:spacing w:before="108"/>
      </w:pPr>
    </w:p>
    <w:p>
      <w:pPr>
        <w:pStyle w:val="ListParagraph"/>
        <w:numPr>
          <w:ilvl w:val="3"/>
          <w:numId w:val="3"/>
        </w:numPr>
        <w:tabs>
          <w:tab w:pos="1779" w:val="left" w:leader="none"/>
        </w:tabs>
        <w:spacing w:line="240" w:lineRule="auto" w:before="0" w:after="0"/>
        <w:ind w:left="1779" w:right="0" w:hanging="787"/>
        <w:jc w:val="left"/>
        <w:rPr>
          <w:sz w:val="22"/>
        </w:rPr>
      </w:pPr>
      <w:r>
        <w:rPr>
          <w:sz w:val="22"/>
        </w:rPr>
        <w:t>OTRAS</w:t>
      </w:r>
      <w:r>
        <w:rPr>
          <w:spacing w:val="-5"/>
          <w:sz w:val="22"/>
        </w:rPr>
        <w:t> </w:t>
      </w:r>
      <w:r>
        <w:rPr>
          <w:sz w:val="22"/>
        </w:rPr>
        <w:t>ACTUACIONES</w:t>
      </w:r>
      <w:r>
        <w:rPr>
          <w:spacing w:val="-8"/>
          <w:sz w:val="22"/>
        </w:rPr>
        <w:t> </w:t>
      </w:r>
      <w:r>
        <w:rPr>
          <w:sz w:val="22"/>
        </w:rPr>
        <w:t>EN</w:t>
      </w:r>
      <w:r>
        <w:rPr>
          <w:spacing w:val="-5"/>
          <w:sz w:val="22"/>
        </w:rPr>
        <w:t> </w:t>
      </w:r>
      <w:r>
        <w:rPr>
          <w:sz w:val="22"/>
        </w:rPr>
        <w:t>MATERIA</w:t>
      </w:r>
      <w:r>
        <w:rPr>
          <w:spacing w:val="-8"/>
          <w:sz w:val="22"/>
        </w:rPr>
        <w:t> </w:t>
      </w:r>
      <w:r>
        <w:rPr>
          <w:sz w:val="22"/>
        </w:rPr>
        <w:t>DE</w:t>
      </w:r>
      <w:r>
        <w:rPr>
          <w:spacing w:val="-4"/>
          <w:sz w:val="22"/>
        </w:rPr>
        <w:t> </w:t>
      </w:r>
      <w:r>
        <w:rPr>
          <w:spacing w:val="-2"/>
          <w:sz w:val="22"/>
        </w:rPr>
        <w:t>IGUALDAD</w:t>
      </w:r>
    </w:p>
    <w:p>
      <w:pPr>
        <w:spacing w:line="240" w:lineRule="auto" w:before="239"/>
        <w:ind w:left="992" w:right="986" w:firstLine="0"/>
        <w:jc w:val="both"/>
        <w:rPr>
          <w:sz w:val="22"/>
        </w:rPr>
      </w:pPr>
      <w:r>
        <w:rPr>
          <w:sz w:val="22"/>
        </w:rPr>
        <w:t>Los</w:t>
      </w:r>
      <w:r>
        <w:rPr>
          <w:spacing w:val="-7"/>
          <w:sz w:val="22"/>
        </w:rPr>
        <w:t> </w:t>
      </w:r>
      <w:r>
        <w:rPr>
          <w:b/>
          <w:sz w:val="22"/>
        </w:rPr>
        <w:t>Ayuntamientos</w:t>
      </w:r>
      <w:r>
        <w:rPr>
          <w:b/>
          <w:spacing w:val="-8"/>
          <w:sz w:val="22"/>
        </w:rPr>
        <w:t> </w:t>
      </w:r>
      <w:r>
        <w:rPr>
          <w:b/>
          <w:sz w:val="22"/>
        </w:rPr>
        <w:t>de</w:t>
      </w:r>
      <w:r>
        <w:rPr>
          <w:b/>
          <w:spacing w:val="-13"/>
          <w:sz w:val="22"/>
        </w:rPr>
        <w:t> </w:t>
      </w:r>
      <w:r>
        <w:rPr>
          <w:b/>
          <w:sz w:val="22"/>
        </w:rPr>
        <w:t>Alicante,</w:t>
      </w:r>
      <w:r>
        <w:rPr>
          <w:b/>
          <w:spacing w:val="-6"/>
          <w:sz w:val="22"/>
        </w:rPr>
        <w:t> </w:t>
      </w:r>
      <w:r>
        <w:rPr>
          <w:b/>
          <w:sz w:val="22"/>
        </w:rPr>
        <w:t>Bilbao,</w:t>
      </w:r>
      <w:r>
        <w:rPr>
          <w:b/>
          <w:spacing w:val="-9"/>
          <w:sz w:val="22"/>
        </w:rPr>
        <w:t> </w:t>
      </w:r>
      <w:r>
        <w:rPr>
          <w:b/>
          <w:sz w:val="22"/>
        </w:rPr>
        <w:t>Las</w:t>
      </w:r>
      <w:r>
        <w:rPr>
          <w:b/>
          <w:spacing w:val="-8"/>
          <w:sz w:val="22"/>
        </w:rPr>
        <w:t> </w:t>
      </w:r>
      <w:r>
        <w:rPr>
          <w:b/>
          <w:sz w:val="22"/>
        </w:rPr>
        <w:t>Palmas</w:t>
      </w:r>
      <w:r>
        <w:rPr>
          <w:b/>
          <w:spacing w:val="-8"/>
          <w:sz w:val="22"/>
        </w:rPr>
        <w:t> </w:t>
      </w:r>
      <w:r>
        <w:rPr>
          <w:b/>
          <w:sz w:val="22"/>
        </w:rPr>
        <w:t>de</w:t>
      </w:r>
      <w:r>
        <w:rPr>
          <w:b/>
          <w:spacing w:val="-11"/>
          <w:sz w:val="22"/>
        </w:rPr>
        <w:t> </w:t>
      </w:r>
      <w:r>
        <w:rPr>
          <w:b/>
          <w:sz w:val="22"/>
        </w:rPr>
        <w:t>Gran</w:t>
      </w:r>
      <w:r>
        <w:rPr>
          <w:b/>
          <w:spacing w:val="-10"/>
          <w:sz w:val="22"/>
        </w:rPr>
        <w:t> </w:t>
      </w:r>
      <w:r>
        <w:rPr>
          <w:b/>
          <w:sz w:val="22"/>
        </w:rPr>
        <w:t>Canaria,</w:t>
      </w:r>
      <w:r>
        <w:rPr>
          <w:b/>
          <w:spacing w:val="-9"/>
          <w:sz w:val="22"/>
        </w:rPr>
        <w:t> </w:t>
      </w:r>
      <w:r>
        <w:rPr>
          <w:b/>
          <w:sz w:val="22"/>
        </w:rPr>
        <w:t>Málaga</w:t>
      </w:r>
      <w:r>
        <w:rPr>
          <w:b/>
          <w:spacing w:val="-6"/>
          <w:sz w:val="22"/>
        </w:rPr>
        <w:t> </w:t>
      </w:r>
      <w:r>
        <w:rPr>
          <w:sz w:val="22"/>
        </w:rPr>
        <w:t>y</w:t>
      </w:r>
      <w:r>
        <w:rPr>
          <w:spacing w:val="-7"/>
          <w:sz w:val="22"/>
        </w:rPr>
        <w:t> </w:t>
      </w:r>
      <w:r>
        <w:rPr>
          <w:b/>
          <w:sz w:val="22"/>
        </w:rPr>
        <w:t>Sevilla</w:t>
      </w:r>
      <w:r>
        <w:rPr>
          <w:b/>
          <w:spacing w:val="-10"/>
          <w:sz w:val="22"/>
        </w:rPr>
        <w:t> </w:t>
      </w:r>
      <w:r>
        <w:rPr>
          <w:sz w:val="22"/>
        </w:rPr>
        <w:t>ofrecen el servicio de paradas a demanda o bajada entre paradas atendiendo a razones de seguridad o accesibilidad desde una perspectiva de género, bajo petición de la persona interesada y siempre que las condiciones de circulación y de seguridad así lo permitan.</w:t>
      </w:r>
    </w:p>
    <w:p>
      <w:pPr>
        <w:pStyle w:val="BodyText"/>
        <w:spacing w:before="241"/>
        <w:ind w:left="992" w:right="990"/>
        <w:jc w:val="both"/>
      </w:pPr>
      <w:r>
        <w:rPr>
          <w:b/>
        </w:rPr>
        <w:t>Los</w:t>
      </w:r>
      <w:r>
        <w:rPr>
          <w:b/>
          <w:spacing w:val="-9"/>
        </w:rPr>
        <w:t> </w:t>
      </w:r>
      <w:r>
        <w:rPr>
          <w:b/>
        </w:rPr>
        <w:t>Ayuntamientos</w:t>
      </w:r>
      <w:r>
        <w:rPr>
          <w:b/>
          <w:spacing w:val="-9"/>
        </w:rPr>
        <w:t> </w:t>
      </w:r>
      <w:r>
        <w:rPr>
          <w:b/>
        </w:rPr>
        <w:t>de</w:t>
      </w:r>
      <w:r>
        <w:rPr>
          <w:b/>
          <w:spacing w:val="-12"/>
        </w:rPr>
        <w:t> </w:t>
      </w:r>
      <w:r>
        <w:rPr>
          <w:b/>
        </w:rPr>
        <w:t>Alicante</w:t>
      </w:r>
      <w:r>
        <w:rPr>
          <w:b/>
          <w:spacing w:val="-9"/>
        </w:rPr>
        <w:t> </w:t>
      </w:r>
      <w:r>
        <w:rPr/>
        <w:t>y</w:t>
      </w:r>
      <w:r>
        <w:rPr>
          <w:spacing w:val="-8"/>
        </w:rPr>
        <w:t> </w:t>
      </w:r>
      <w:r>
        <w:rPr>
          <w:b/>
        </w:rPr>
        <w:t>Bilbao</w:t>
      </w:r>
      <w:r>
        <w:rPr>
          <w:b/>
          <w:spacing w:val="-9"/>
        </w:rPr>
        <w:t> </w:t>
      </w:r>
      <w:r>
        <w:rPr/>
        <w:t>cuentan</w:t>
      </w:r>
      <w:r>
        <w:rPr>
          <w:spacing w:val="-9"/>
        </w:rPr>
        <w:t> </w:t>
      </w:r>
      <w:r>
        <w:rPr/>
        <w:t>con</w:t>
      </w:r>
      <w:r>
        <w:rPr>
          <w:spacing w:val="-9"/>
        </w:rPr>
        <w:t> </w:t>
      </w:r>
      <w:r>
        <w:rPr/>
        <w:t>tarifas</w:t>
      </w:r>
      <w:r>
        <w:rPr>
          <w:spacing w:val="-9"/>
        </w:rPr>
        <w:t> </w:t>
      </w:r>
      <w:r>
        <w:rPr/>
        <w:t>especiales</w:t>
      </w:r>
      <w:r>
        <w:rPr>
          <w:spacing w:val="-11"/>
        </w:rPr>
        <w:t> </w:t>
      </w:r>
      <w:r>
        <w:rPr/>
        <w:t>para</w:t>
      </w:r>
      <w:r>
        <w:rPr>
          <w:spacing w:val="-9"/>
        </w:rPr>
        <w:t> </w:t>
      </w:r>
      <w:r>
        <w:rPr/>
        <w:t>mujeres</w:t>
      </w:r>
      <w:r>
        <w:rPr>
          <w:spacing w:val="-9"/>
        </w:rPr>
        <w:t> </w:t>
      </w:r>
      <w:r>
        <w:rPr/>
        <w:t>víctimas</w:t>
      </w:r>
      <w:r>
        <w:rPr>
          <w:spacing w:val="-9"/>
        </w:rPr>
        <w:t> </w:t>
      </w:r>
      <w:r>
        <w:rPr/>
        <w:t>de violencia</w:t>
      </w:r>
      <w:r>
        <w:rPr>
          <w:spacing w:val="-16"/>
        </w:rPr>
        <w:t> </w:t>
      </w:r>
      <w:r>
        <w:rPr/>
        <w:t>de</w:t>
      </w:r>
      <w:r>
        <w:rPr>
          <w:spacing w:val="-15"/>
        </w:rPr>
        <w:t> </w:t>
      </w:r>
      <w:r>
        <w:rPr/>
        <w:t>género.</w:t>
      </w:r>
      <w:r>
        <w:rPr>
          <w:spacing w:val="-15"/>
        </w:rPr>
        <w:t> </w:t>
      </w:r>
      <w:r>
        <w:rPr/>
        <w:t>El</w:t>
      </w:r>
      <w:r>
        <w:rPr>
          <w:spacing w:val="-16"/>
        </w:rPr>
        <w:t> </w:t>
      </w:r>
      <w:r>
        <w:rPr/>
        <w:t>primero</w:t>
      </w:r>
      <w:r>
        <w:rPr>
          <w:spacing w:val="-15"/>
        </w:rPr>
        <w:t> </w:t>
      </w:r>
      <w:r>
        <w:rPr/>
        <w:t>ha</w:t>
      </w:r>
      <w:r>
        <w:rPr>
          <w:spacing w:val="-15"/>
        </w:rPr>
        <w:t> </w:t>
      </w:r>
      <w:r>
        <w:rPr/>
        <w:t>implantado</w:t>
      </w:r>
      <w:r>
        <w:rPr>
          <w:spacing w:val="-15"/>
        </w:rPr>
        <w:t> </w:t>
      </w:r>
      <w:r>
        <w:rPr/>
        <w:t>la</w:t>
      </w:r>
      <w:r>
        <w:rPr>
          <w:spacing w:val="-16"/>
        </w:rPr>
        <w:t> </w:t>
      </w:r>
      <w:r>
        <w:rPr/>
        <w:t>gratuidad</w:t>
      </w:r>
      <w:r>
        <w:rPr>
          <w:spacing w:val="-15"/>
        </w:rPr>
        <w:t> </w:t>
      </w:r>
      <w:r>
        <w:rPr/>
        <w:t>en</w:t>
      </w:r>
      <w:r>
        <w:rPr>
          <w:spacing w:val="-15"/>
        </w:rPr>
        <w:t> </w:t>
      </w:r>
      <w:r>
        <w:rPr/>
        <w:t>el</w:t>
      </w:r>
      <w:r>
        <w:rPr>
          <w:spacing w:val="-15"/>
        </w:rPr>
        <w:t> </w:t>
      </w:r>
      <w:r>
        <w:rPr/>
        <w:t>transporte</w:t>
      </w:r>
      <w:r>
        <w:rPr>
          <w:spacing w:val="-15"/>
        </w:rPr>
        <w:t> </w:t>
      </w:r>
      <w:r>
        <w:rPr/>
        <w:t>para</w:t>
      </w:r>
      <w:r>
        <w:rPr>
          <w:spacing w:val="-13"/>
        </w:rPr>
        <w:t> </w:t>
      </w:r>
      <w:r>
        <w:rPr/>
        <w:t>las</w:t>
      </w:r>
      <w:r>
        <w:rPr>
          <w:spacing w:val="-16"/>
        </w:rPr>
        <w:t> </w:t>
      </w:r>
      <w:r>
        <w:rPr/>
        <w:t>mujeres</w:t>
      </w:r>
      <w:r>
        <w:rPr>
          <w:spacing w:val="-15"/>
        </w:rPr>
        <w:t> </w:t>
      </w:r>
      <w:r>
        <w:rPr/>
        <w:t>víctimas de violencia de género con el denominado “bono</w:t>
      </w:r>
      <w:r>
        <w:rPr>
          <w:spacing w:val="-2"/>
        </w:rPr>
        <w:t> </w:t>
      </w:r>
      <w:r>
        <w:rPr/>
        <w:t>violeta” y el segundo recoge en la Ordenanza de Bilbobus una tarifa</w:t>
      </w:r>
      <w:r>
        <w:rPr>
          <w:spacing w:val="-1"/>
        </w:rPr>
        <w:t> </w:t>
      </w:r>
      <w:r>
        <w:rPr/>
        <w:t>bonificada para</w:t>
      </w:r>
      <w:r>
        <w:rPr>
          <w:spacing w:val="-2"/>
        </w:rPr>
        <w:t> </w:t>
      </w:r>
      <w:r>
        <w:rPr/>
        <w:t>las mujeres atendidas por el</w:t>
      </w:r>
      <w:r>
        <w:rPr>
          <w:spacing w:val="-1"/>
        </w:rPr>
        <w:t> </w:t>
      </w:r>
      <w:r>
        <w:rPr/>
        <w:t>Servicio</w:t>
      </w:r>
      <w:r>
        <w:rPr>
          <w:spacing w:val="-2"/>
        </w:rPr>
        <w:t> </w:t>
      </w:r>
      <w:r>
        <w:rPr/>
        <w:t>Municipal de Violencia de Género residentes en Bilbao.</w:t>
      </w:r>
    </w:p>
    <w:p>
      <w:pPr>
        <w:pStyle w:val="BodyText"/>
        <w:spacing w:before="240"/>
        <w:ind w:left="992" w:right="990"/>
        <w:jc w:val="both"/>
      </w:pPr>
      <w:r>
        <w:rPr/>
        <w:t>El </w:t>
      </w:r>
      <w:r>
        <w:rPr>
          <w:b/>
        </w:rPr>
        <w:t>Ayuntamiento de Córdoba </w:t>
      </w:r>
      <w:r>
        <w:rPr/>
        <w:t>ha realizado campañas publicitarias en el transporte público sobre la sensibilización en violencia de género, entre ellas, la colocación de carteles luminosos en los frontales de los autobuses, o la colocación del símbolo distintivo “punto violeta” en los autobuses por su consideración como espacio libre de violencia.</w:t>
      </w:r>
    </w:p>
    <w:p>
      <w:pPr>
        <w:pStyle w:val="BodyText"/>
        <w:spacing w:before="241"/>
        <w:ind w:left="992" w:right="989"/>
        <w:jc w:val="both"/>
      </w:pPr>
      <w:r>
        <w:rPr/>
        <w:t>El </w:t>
      </w:r>
      <w:r>
        <w:rPr>
          <w:b/>
        </w:rPr>
        <w:t>Ayuntamiento de Zaragoza </w:t>
      </w:r>
      <w:r>
        <w:rPr/>
        <w:t>ha señalado que introduce la perspectiva de género en las encuestas</w:t>
      </w:r>
      <w:r>
        <w:rPr>
          <w:spacing w:val="-11"/>
        </w:rPr>
        <w:t> </w:t>
      </w:r>
      <w:r>
        <w:rPr/>
        <w:t>que</w:t>
      </w:r>
      <w:r>
        <w:rPr>
          <w:spacing w:val="-11"/>
        </w:rPr>
        <w:t> </w:t>
      </w:r>
      <w:r>
        <w:rPr/>
        <w:t>se</w:t>
      </w:r>
      <w:r>
        <w:rPr>
          <w:spacing w:val="-11"/>
        </w:rPr>
        <w:t> </w:t>
      </w:r>
      <w:r>
        <w:rPr/>
        <w:t>realizan</w:t>
      </w:r>
      <w:r>
        <w:rPr>
          <w:spacing w:val="-9"/>
        </w:rPr>
        <w:t> </w:t>
      </w:r>
      <w:r>
        <w:rPr/>
        <w:t>cada</w:t>
      </w:r>
      <w:r>
        <w:rPr>
          <w:spacing w:val="-11"/>
        </w:rPr>
        <w:t> </w:t>
      </w:r>
      <w:r>
        <w:rPr/>
        <w:t>año</w:t>
      </w:r>
      <w:r>
        <w:rPr>
          <w:spacing w:val="-11"/>
        </w:rPr>
        <w:t> </w:t>
      </w:r>
      <w:r>
        <w:rPr/>
        <w:t>para</w:t>
      </w:r>
      <w:r>
        <w:rPr>
          <w:spacing w:val="-14"/>
        </w:rPr>
        <w:t> </w:t>
      </w:r>
      <w:r>
        <w:rPr/>
        <w:t>calcular</w:t>
      </w:r>
      <w:r>
        <w:rPr>
          <w:spacing w:val="-10"/>
        </w:rPr>
        <w:t> </w:t>
      </w:r>
      <w:r>
        <w:rPr/>
        <w:t>el</w:t>
      </w:r>
      <w:r>
        <w:rPr>
          <w:spacing w:val="-10"/>
        </w:rPr>
        <w:t> </w:t>
      </w:r>
      <w:r>
        <w:rPr/>
        <w:t>Índice</w:t>
      </w:r>
      <w:r>
        <w:rPr>
          <w:spacing w:val="-11"/>
        </w:rPr>
        <w:t> </w:t>
      </w:r>
      <w:r>
        <w:rPr/>
        <w:t>de</w:t>
      </w:r>
      <w:r>
        <w:rPr>
          <w:spacing w:val="-12"/>
        </w:rPr>
        <w:t> </w:t>
      </w:r>
      <w:r>
        <w:rPr/>
        <w:t>Satisfacción</w:t>
      </w:r>
      <w:r>
        <w:rPr>
          <w:spacing w:val="-12"/>
        </w:rPr>
        <w:t> </w:t>
      </w:r>
      <w:r>
        <w:rPr/>
        <w:t>al</w:t>
      </w:r>
      <w:r>
        <w:rPr>
          <w:spacing w:val="-10"/>
        </w:rPr>
        <w:t> </w:t>
      </w:r>
      <w:r>
        <w:rPr/>
        <w:t>Cliente,</w:t>
      </w:r>
      <w:r>
        <w:rPr>
          <w:spacing w:val="-10"/>
        </w:rPr>
        <w:t> </w:t>
      </w:r>
      <w:r>
        <w:rPr/>
        <w:t>ISC,</w:t>
      </w:r>
      <w:r>
        <w:rPr>
          <w:spacing w:val="-10"/>
        </w:rPr>
        <w:t> </w:t>
      </w:r>
      <w:r>
        <w:rPr/>
        <w:t>indicador de la importancia y satisfacción que cada usuario declara en relación con los diferentes aspectos que forman parte del concepto de calidad. Asimismo, la empresa concesionaria imparte a los conductores formación en perspectiva de género para la renovación del certificado de aptitud </w:t>
      </w:r>
      <w:r>
        <w:rPr>
          <w:spacing w:val="-2"/>
        </w:rPr>
        <w:t>profesional.</w:t>
      </w:r>
    </w:p>
    <w:p>
      <w:pPr>
        <w:pStyle w:val="BodyText"/>
        <w:spacing w:before="106"/>
      </w:pPr>
    </w:p>
    <w:p>
      <w:pPr>
        <w:pStyle w:val="Heading5"/>
        <w:numPr>
          <w:ilvl w:val="2"/>
          <w:numId w:val="3"/>
        </w:numPr>
        <w:tabs>
          <w:tab w:pos="1739" w:val="left" w:leader="none"/>
        </w:tabs>
        <w:spacing w:line="240" w:lineRule="auto" w:before="1" w:after="0"/>
        <w:ind w:left="1739" w:right="0" w:hanging="606"/>
        <w:jc w:val="left"/>
      </w:pPr>
      <w:bookmarkStart w:name="_bookmark117" w:id="119"/>
      <w:bookmarkEnd w:id="119"/>
      <w:r>
        <w:rPr>
          <w:b w:val="0"/>
        </w:rPr>
      </w:r>
      <w:r>
        <w:rPr/>
        <w:t>Consideraciones</w:t>
      </w:r>
      <w:r>
        <w:rPr>
          <w:spacing w:val="-11"/>
        </w:rPr>
        <w:t> </w:t>
      </w:r>
      <w:r>
        <w:rPr/>
        <w:t>sobre</w:t>
      </w:r>
      <w:r>
        <w:rPr>
          <w:spacing w:val="-10"/>
        </w:rPr>
        <w:t> </w:t>
      </w:r>
      <w:r>
        <w:rPr>
          <w:spacing w:val="-2"/>
        </w:rPr>
        <w:t>transparencia</w:t>
      </w:r>
    </w:p>
    <w:p>
      <w:pPr>
        <w:pStyle w:val="BodyText"/>
        <w:spacing w:before="241"/>
        <w:ind w:left="992" w:right="990"/>
        <w:jc w:val="both"/>
      </w:pPr>
      <w:r>
        <w:rPr/>
        <w:t>La Ley 19/2013, de 9 de diciembre, de Transparencia, Acceso a la Información Pública y Buen Gobierno</w:t>
      </w:r>
      <w:r>
        <w:rPr>
          <w:spacing w:val="-11"/>
        </w:rPr>
        <w:t> </w:t>
      </w:r>
      <w:r>
        <w:rPr/>
        <w:t>(LTAIPBG),</w:t>
      </w:r>
      <w:r>
        <w:rPr>
          <w:spacing w:val="-10"/>
        </w:rPr>
        <w:t> </w:t>
      </w:r>
      <w:r>
        <w:rPr/>
        <w:t>de</w:t>
      </w:r>
      <w:r>
        <w:rPr>
          <w:spacing w:val="-16"/>
        </w:rPr>
        <w:t> </w:t>
      </w:r>
      <w:r>
        <w:rPr/>
        <w:t>aplicación</w:t>
      </w:r>
      <w:r>
        <w:rPr>
          <w:spacing w:val="-11"/>
        </w:rPr>
        <w:t> </w:t>
      </w:r>
      <w:r>
        <w:rPr/>
        <w:t>a</w:t>
      </w:r>
      <w:r>
        <w:rPr>
          <w:spacing w:val="-11"/>
        </w:rPr>
        <w:t> </w:t>
      </w:r>
      <w:r>
        <w:rPr/>
        <w:t>las</w:t>
      </w:r>
      <w:r>
        <w:rPr>
          <w:spacing w:val="-11"/>
        </w:rPr>
        <w:t> </w:t>
      </w:r>
      <w:r>
        <w:rPr/>
        <w:t>entidades</w:t>
      </w:r>
      <w:r>
        <w:rPr>
          <w:spacing w:val="-11"/>
        </w:rPr>
        <w:t> </w:t>
      </w:r>
      <w:r>
        <w:rPr/>
        <w:t>locales,</w:t>
      </w:r>
      <w:r>
        <w:rPr>
          <w:spacing w:val="-10"/>
        </w:rPr>
        <w:t> </w:t>
      </w:r>
      <w:r>
        <w:rPr/>
        <w:t>en</w:t>
      </w:r>
      <w:r>
        <w:rPr>
          <w:spacing w:val="-12"/>
        </w:rPr>
        <w:t> </w:t>
      </w:r>
      <w:r>
        <w:rPr/>
        <w:t>virtud</w:t>
      </w:r>
      <w:r>
        <w:rPr>
          <w:spacing w:val="-12"/>
        </w:rPr>
        <w:t> </w:t>
      </w:r>
      <w:r>
        <w:rPr/>
        <w:t>de</w:t>
      </w:r>
      <w:r>
        <w:rPr>
          <w:spacing w:val="-12"/>
        </w:rPr>
        <w:t> </w:t>
      </w:r>
      <w:r>
        <w:rPr/>
        <w:t>su</w:t>
      </w:r>
      <w:r>
        <w:rPr>
          <w:spacing w:val="-14"/>
        </w:rPr>
        <w:t> </w:t>
      </w:r>
      <w:r>
        <w:rPr/>
        <w:t>artículo</w:t>
      </w:r>
      <w:r>
        <w:rPr>
          <w:spacing w:val="-11"/>
        </w:rPr>
        <w:t> </w:t>
      </w:r>
      <w:r>
        <w:rPr/>
        <w:t>2.1.a),</w:t>
      </w:r>
      <w:r>
        <w:rPr>
          <w:spacing w:val="-10"/>
        </w:rPr>
        <w:t> </w:t>
      </w:r>
      <w:r>
        <w:rPr/>
        <w:t>propugna como</w:t>
      </w:r>
      <w:r>
        <w:rPr>
          <w:spacing w:val="-16"/>
        </w:rPr>
        <w:t> </w:t>
      </w:r>
      <w:r>
        <w:rPr/>
        <w:t>ejes</w:t>
      </w:r>
      <w:r>
        <w:rPr>
          <w:spacing w:val="-15"/>
        </w:rPr>
        <w:t> </w:t>
      </w:r>
      <w:r>
        <w:rPr/>
        <w:t>fundamentales</w:t>
      </w:r>
      <w:r>
        <w:rPr>
          <w:spacing w:val="-15"/>
        </w:rPr>
        <w:t> </w:t>
      </w:r>
      <w:r>
        <w:rPr/>
        <w:t>de</w:t>
      </w:r>
      <w:r>
        <w:rPr>
          <w:spacing w:val="-15"/>
        </w:rPr>
        <w:t> </w:t>
      </w:r>
      <w:r>
        <w:rPr/>
        <w:t>toda</w:t>
      </w:r>
      <w:r>
        <w:rPr>
          <w:spacing w:val="-15"/>
        </w:rPr>
        <w:t> </w:t>
      </w:r>
      <w:r>
        <w:rPr/>
        <w:t>acción</w:t>
      </w:r>
      <w:r>
        <w:rPr>
          <w:spacing w:val="-15"/>
        </w:rPr>
        <w:t> </w:t>
      </w:r>
      <w:r>
        <w:rPr/>
        <w:t>política</w:t>
      </w:r>
      <w:r>
        <w:rPr>
          <w:spacing w:val="-15"/>
        </w:rPr>
        <w:t> </w:t>
      </w:r>
      <w:r>
        <w:rPr/>
        <w:t>la</w:t>
      </w:r>
      <w:r>
        <w:rPr>
          <w:spacing w:val="-14"/>
        </w:rPr>
        <w:t> </w:t>
      </w:r>
      <w:r>
        <w:rPr/>
        <w:t>transparencia,</w:t>
      </w:r>
      <w:r>
        <w:rPr>
          <w:spacing w:val="-13"/>
        </w:rPr>
        <w:t> </w:t>
      </w:r>
      <w:r>
        <w:rPr/>
        <w:t>el</w:t>
      </w:r>
      <w:r>
        <w:rPr>
          <w:spacing w:val="-16"/>
        </w:rPr>
        <w:t> </w:t>
      </w:r>
      <w:r>
        <w:rPr/>
        <w:t>acceso</w:t>
      </w:r>
      <w:r>
        <w:rPr>
          <w:spacing w:val="-14"/>
        </w:rPr>
        <w:t> </w:t>
      </w:r>
      <w:r>
        <w:rPr/>
        <w:t>a</w:t>
      </w:r>
      <w:r>
        <w:rPr>
          <w:spacing w:val="-15"/>
        </w:rPr>
        <w:t> </w:t>
      </w:r>
      <w:r>
        <w:rPr/>
        <w:t>la</w:t>
      </w:r>
      <w:r>
        <w:rPr>
          <w:spacing w:val="-15"/>
        </w:rPr>
        <w:t> </w:t>
      </w:r>
      <w:r>
        <w:rPr/>
        <w:t>información</w:t>
      </w:r>
      <w:r>
        <w:rPr>
          <w:spacing w:val="-14"/>
        </w:rPr>
        <w:t> </w:t>
      </w:r>
      <w:r>
        <w:rPr/>
        <w:t>pública y las normas de buen gobierno.</w:t>
      </w:r>
    </w:p>
    <w:p>
      <w:pPr>
        <w:pStyle w:val="BodyText"/>
        <w:spacing w:before="238"/>
        <w:ind w:left="992" w:right="988"/>
        <w:jc w:val="both"/>
      </w:pPr>
      <w:r>
        <w:rPr/>
        <w:t>Como principios generales, el</w:t>
      </w:r>
      <w:r>
        <w:rPr>
          <w:spacing w:val="-1"/>
        </w:rPr>
        <w:t> </w:t>
      </w:r>
      <w:r>
        <w:rPr/>
        <w:t>artículo 5</w:t>
      </w:r>
      <w:r>
        <w:rPr>
          <w:spacing w:val="-2"/>
        </w:rPr>
        <w:t> </w:t>
      </w:r>
      <w:r>
        <w:rPr/>
        <w:t>de la LTAIBG establece la</w:t>
      </w:r>
      <w:r>
        <w:rPr>
          <w:spacing w:val="-2"/>
        </w:rPr>
        <w:t> </w:t>
      </w:r>
      <w:r>
        <w:rPr/>
        <w:t>obligación de publicar de</w:t>
      </w:r>
      <w:r>
        <w:rPr>
          <w:spacing w:val="-2"/>
        </w:rPr>
        <w:t> </w:t>
      </w:r>
      <w:r>
        <w:rPr/>
        <w:t>forma periódica y actualizada la información cuyo conocimiento sea relevante para garantizar la transparencia de su actividad relacionada con el funcionamiento y control de la actuación pública.</w:t>
      </w:r>
    </w:p>
    <w:p>
      <w:pPr>
        <w:pStyle w:val="BodyText"/>
        <w:spacing w:before="241"/>
        <w:ind w:left="992" w:right="991"/>
        <w:jc w:val="both"/>
      </w:pPr>
      <w:r>
        <w:rPr/>
        <w:t>La información sujeta a las obligaciones de transparencia debe ser publicada en las correspondientes sedes electrónicas o páginas web y de una manera clara, estructurada y entendible para los interesados y, preferiblemente, en formatos reutilizables.</w:t>
      </w:r>
    </w:p>
    <w:p>
      <w:pPr>
        <w:pStyle w:val="BodyText"/>
        <w:spacing w:before="241"/>
        <w:ind w:left="992" w:right="990"/>
        <w:jc w:val="both"/>
      </w:pPr>
      <w:r>
        <w:rPr/>
        <w:t>A continuación, se exponen los resultados derivados de las comprobaciones realizadas en las páginas web, los portales de transparencia y las sedes electrónicas de las entidades fiscalizadas en el momento de realizar los trabajos de fiscalización. Este análisis no ha tenido por objeto una revisión global del cumplimiento de la normativa de transparencia, sino que se ha dirigido a determinados</w:t>
      </w:r>
      <w:r>
        <w:rPr>
          <w:spacing w:val="32"/>
        </w:rPr>
        <w:t> </w:t>
      </w:r>
      <w:r>
        <w:rPr/>
        <w:t>aspectos</w:t>
      </w:r>
      <w:r>
        <w:rPr>
          <w:spacing w:val="29"/>
        </w:rPr>
        <w:t> </w:t>
      </w:r>
      <w:r>
        <w:rPr/>
        <w:t>puntuales</w:t>
      </w:r>
      <w:r>
        <w:rPr>
          <w:spacing w:val="32"/>
        </w:rPr>
        <w:t> </w:t>
      </w:r>
      <w:r>
        <w:rPr/>
        <w:t>de</w:t>
      </w:r>
      <w:r>
        <w:rPr>
          <w:spacing w:val="31"/>
        </w:rPr>
        <w:t> </w:t>
      </w:r>
      <w:r>
        <w:rPr/>
        <w:t>la</w:t>
      </w:r>
      <w:r>
        <w:rPr>
          <w:spacing w:val="32"/>
        </w:rPr>
        <w:t> </w:t>
      </w:r>
      <w:r>
        <w:rPr/>
        <w:t>publicidad</w:t>
      </w:r>
      <w:r>
        <w:rPr>
          <w:spacing w:val="31"/>
        </w:rPr>
        <w:t> </w:t>
      </w:r>
      <w:r>
        <w:rPr/>
        <w:t>activa</w:t>
      </w:r>
      <w:r>
        <w:rPr>
          <w:spacing w:val="31"/>
        </w:rPr>
        <w:t> </w:t>
      </w:r>
      <w:r>
        <w:rPr/>
        <w:t>de</w:t>
      </w:r>
      <w:r>
        <w:rPr>
          <w:spacing w:val="31"/>
        </w:rPr>
        <w:t> </w:t>
      </w:r>
      <w:r>
        <w:rPr/>
        <w:t>la</w:t>
      </w:r>
      <w:r>
        <w:rPr>
          <w:spacing w:val="32"/>
        </w:rPr>
        <w:t> </w:t>
      </w:r>
      <w:r>
        <w:rPr/>
        <w:t>información</w:t>
      </w:r>
      <w:r>
        <w:rPr>
          <w:spacing w:val="31"/>
        </w:rPr>
        <w:t> </w:t>
      </w:r>
      <w:r>
        <w:rPr/>
        <w:t>publicada</w:t>
      </w:r>
      <w:r>
        <w:rPr>
          <w:spacing w:val="32"/>
        </w:rPr>
        <w:t> </w:t>
      </w:r>
      <w:r>
        <w:rPr/>
        <w:t>por</w:t>
      </w:r>
      <w:r>
        <w:rPr>
          <w:spacing w:val="33"/>
        </w:rPr>
        <w:t> </w:t>
      </w:r>
      <w:r>
        <w:rPr/>
        <w:t>estas</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992" w:right="989"/>
        <w:jc w:val="both"/>
      </w:pPr>
      <w:r>
        <w:rPr/>
        <w:t>entidades, fundamentalmente las referidas a la información económico-financiera, por su relación con el ámbito objetivo de la fiscalización.</w:t>
      </w:r>
    </w:p>
    <w:p>
      <w:pPr>
        <w:pStyle w:val="BodyText"/>
        <w:spacing w:before="107"/>
      </w:pPr>
    </w:p>
    <w:p>
      <w:pPr>
        <w:pStyle w:val="ListParagraph"/>
        <w:numPr>
          <w:ilvl w:val="3"/>
          <w:numId w:val="3"/>
        </w:numPr>
        <w:tabs>
          <w:tab w:pos="1779" w:val="left" w:leader="none"/>
          <w:tab w:pos="1856" w:val="left" w:leader="none"/>
        </w:tabs>
        <w:spacing w:line="240" w:lineRule="auto" w:before="0" w:after="0"/>
        <w:ind w:left="1856" w:right="992" w:hanging="864"/>
        <w:jc w:val="left"/>
        <w:rPr>
          <w:sz w:val="22"/>
        </w:rPr>
      </w:pPr>
      <w:r>
        <w:rPr>
          <w:sz w:val="22"/>
        </w:rPr>
        <w:t>PUBLICIDAD</w:t>
      </w:r>
      <w:r>
        <w:rPr>
          <w:spacing w:val="31"/>
          <w:sz w:val="22"/>
        </w:rPr>
        <w:t> </w:t>
      </w:r>
      <w:r>
        <w:rPr>
          <w:sz w:val="22"/>
        </w:rPr>
        <w:t>ACTIVA</w:t>
      </w:r>
      <w:r>
        <w:rPr>
          <w:spacing w:val="31"/>
          <w:sz w:val="22"/>
        </w:rPr>
        <w:t> </w:t>
      </w:r>
      <w:r>
        <w:rPr>
          <w:sz w:val="22"/>
        </w:rPr>
        <w:t>DE</w:t>
      </w:r>
      <w:r>
        <w:rPr>
          <w:spacing w:val="31"/>
          <w:sz w:val="22"/>
        </w:rPr>
        <w:t> </w:t>
      </w:r>
      <w:r>
        <w:rPr>
          <w:sz w:val="22"/>
        </w:rPr>
        <w:t>LA</w:t>
      </w:r>
      <w:r>
        <w:rPr>
          <w:spacing w:val="31"/>
          <w:sz w:val="22"/>
        </w:rPr>
        <w:t> </w:t>
      </w:r>
      <w:r>
        <w:rPr>
          <w:sz w:val="22"/>
        </w:rPr>
        <w:t>INFORMACIÓN INSTITUCIONAL, ORGANIZATIVA</w:t>
      </w:r>
      <w:r>
        <w:rPr>
          <w:spacing w:val="31"/>
          <w:sz w:val="22"/>
        </w:rPr>
        <w:t> </w:t>
      </w:r>
      <w:r>
        <w:rPr>
          <w:sz w:val="22"/>
        </w:rPr>
        <w:t>Y</w:t>
      </w:r>
      <w:r>
        <w:rPr>
          <w:spacing w:val="31"/>
          <w:sz w:val="22"/>
        </w:rPr>
        <w:t> </w:t>
      </w:r>
      <w:r>
        <w:rPr>
          <w:sz w:val="22"/>
        </w:rPr>
        <w:t>DE </w:t>
      </w:r>
      <w:r>
        <w:rPr>
          <w:spacing w:val="-2"/>
          <w:sz w:val="22"/>
        </w:rPr>
        <w:t>PLANIFICACIÓN</w:t>
      </w:r>
    </w:p>
    <w:p>
      <w:pPr>
        <w:pStyle w:val="BodyText"/>
        <w:spacing w:before="241"/>
        <w:ind w:left="992" w:right="988"/>
        <w:jc w:val="both"/>
      </w:pPr>
      <w:r>
        <w:rPr/>
        <w:t>El artículo 6 de la LTAIBG recoge la obligación de publicar determinada información referente a aspectos relacionados con la estructura organizativa de las entidades a ella sujetas, planes de actuación, programas anuales y plurianuales y objetivos de estas, así como su grado de cumplimiento y resultados, que deben ser objeto de evaluación y publicación periódica.</w:t>
      </w:r>
    </w:p>
    <w:p>
      <w:pPr>
        <w:pStyle w:val="BodyText"/>
        <w:spacing w:before="241"/>
        <w:ind w:left="992" w:right="992"/>
        <w:jc w:val="both"/>
      </w:pPr>
      <w:r>
        <w:rPr/>
        <w:t>Se</w:t>
      </w:r>
      <w:r>
        <w:rPr>
          <w:spacing w:val="-3"/>
        </w:rPr>
        <w:t> </w:t>
      </w:r>
      <w:r>
        <w:rPr/>
        <w:t>ha</w:t>
      </w:r>
      <w:r>
        <w:rPr>
          <w:spacing w:val="-3"/>
        </w:rPr>
        <w:t> </w:t>
      </w:r>
      <w:r>
        <w:rPr/>
        <w:t>verificado</w:t>
      </w:r>
      <w:r>
        <w:rPr>
          <w:spacing w:val="-3"/>
        </w:rPr>
        <w:t> </w:t>
      </w:r>
      <w:r>
        <w:rPr/>
        <w:t>que</w:t>
      </w:r>
      <w:r>
        <w:rPr>
          <w:spacing w:val="-5"/>
        </w:rPr>
        <w:t> </w:t>
      </w:r>
      <w:r>
        <w:rPr/>
        <w:t>las</w:t>
      </w:r>
      <w:r>
        <w:rPr>
          <w:spacing w:val="-5"/>
        </w:rPr>
        <w:t> </w:t>
      </w:r>
      <w:r>
        <w:rPr/>
        <w:t>entidades</w:t>
      </w:r>
      <w:r>
        <w:rPr>
          <w:spacing w:val="-2"/>
        </w:rPr>
        <w:t> </w:t>
      </w:r>
      <w:r>
        <w:rPr/>
        <w:t>examinadas</w:t>
      </w:r>
      <w:r>
        <w:rPr>
          <w:spacing w:val="-2"/>
        </w:rPr>
        <w:t> </w:t>
      </w:r>
      <w:r>
        <w:rPr/>
        <w:t>cumplían</w:t>
      </w:r>
      <w:r>
        <w:rPr>
          <w:spacing w:val="-5"/>
        </w:rPr>
        <w:t> </w:t>
      </w:r>
      <w:r>
        <w:rPr/>
        <w:t>con</w:t>
      </w:r>
      <w:r>
        <w:rPr>
          <w:spacing w:val="-3"/>
        </w:rPr>
        <w:t> </w:t>
      </w:r>
      <w:r>
        <w:rPr/>
        <w:t>carácter</w:t>
      </w:r>
      <w:r>
        <w:rPr>
          <w:spacing w:val="-2"/>
        </w:rPr>
        <w:t> </w:t>
      </w:r>
      <w:r>
        <w:rPr/>
        <w:t>general</w:t>
      </w:r>
      <w:r>
        <w:rPr>
          <w:spacing w:val="-4"/>
        </w:rPr>
        <w:t> </w:t>
      </w:r>
      <w:r>
        <w:rPr/>
        <w:t>esta</w:t>
      </w:r>
      <w:r>
        <w:rPr>
          <w:spacing w:val="-5"/>
        </w:rPr>
        <w:t> </w:t>
      </w:r>
      <w:r>
        <w:rPr/>
        <w:t>obligación,</w:t>
      </w:r>
      <w:r>
        <w:rPr>
          <w:spacing w:val="-1"/>
        </w:rPr>
        <w:t> </w:t>
      </w:r>
      <w:r>
        <w:rPr/>
        <w:t>con los siguientes resultados:</w:t>
      </w:r>
    </w:p>
    <w:p>
      <w:pPr>
        <w:pStyle w:val="ListParagraph"/>
        <w:numPr>
          <w:ilvl w:val="4"/>
          <w:numId w:val="3"/>
        </w:numPr>
        <w:tabs>
          <w:tab w:pos="1417" w:val="left" w:leader="none"/>
        </w:tabs>
        <w:spacing w:line="240" w:lineRule="auto" w:before="238" w:after="0"/>
        <w:ind w:left="1417" w:right="987" w:hanging="360"/>
        <w:jc w:val="both"/>
        <w:rPr>
          <w:sz w:val="22"/>
        </w:rPr>
      </w:pPr>
      <w:r>
        <w:rPr>
          <w:sz w:val="22"/>
        </w:rPr>
        <w:t>Si</w:t>
      </w:r>
      <w:r>
        <w:rPr>
          <w:spacing w:val="-2"/>
          <w:sz w:val="22"/>
        </w:rPr>
        <w:t> </w:t>
      </w:r>
      <w:r>
        <w:rPr>
          <w:sz w:val="22"/>
        </w:rPr>
        <w:t>bien</w:t>
      </w:r>
      <w:r>
        <w:rPr>
          <w:spacing w:val="-2"/>
          <w:sz w:val="22"/>
        </w:rPr>
        <w:t> </w:t>
      </w:r>
      <w:r>
        <w:rPr>
          <w:sz w:val="22"/>
        </w:rPr>
        <w:t>todas</w:t>
      </w:r>
      <w:r>
        <w:rPr>
          <w:spacing w:val="-4"/>
          <w:sz w:val="22"/>
        </w:rPr>
        <w:t> </w:t>
      </w:r>
      <w:r>
        <w:rPr>
          <w:sz w:val="22"/>
        </w:rPr>
        <w:t>las</w:t>
      </w:r>
      <w:r>
        <w:rPr>
          <w:spacing w:val="-4"/>
          <w:sz w:val="22"/>
        </w:rPr>
        <w:t> </w:t>
      </w:r>
      <w:r>
        <w:rPr>
          <w:sz w:val="22"/>
        </w:rPr>
        <w:t>entidades</w:t>
      </w:r>
      <w:r>
        <w:rPr>
          <w:spacing w:val="-2"/>
          <w:sz w:val="22"/>
        </w:rPr>
        <w:t> </w:t>
      </w:r>
      <w:r>
        <w:rPr>
          <w:sz w:val="22"/>
        </w:rPr>
        <w:t>publicaban</w:t>
      </w:r>
      <w:r>
        <w:rPr>
          <w:spacing w:val="-2"/>
          <w:sz w:val="22"/>
        </w:rPr>
        <w:t> </w:t>
      </w:r>
      <w:r>
        <w:rPr>
          <w:sz w:val="22"/>
        </w:rPr>
        <w:t>su</w:t>
      </w:r>
      <w:r>
        <w:rPr>
          <w:spacing w:val="-4"/>
          <w:sz w:val="22"/>
        </w:rPr>
        <w:t> </w:t>
      </w:r>
      <w:r>
        <w:rPr>
          <w:sz w:val="22"/>
        </w:rPr>
        <w:t>normativa</w:t>
      </w:r>
      <w:r>
        <w:rPr>
          <w:spacing w:val="-2"/>
          <w:sz w:val="22"/>
        </w:rPr>
        <w:t> </w:t>
      </w:r>
      <w:r>
        <w:rPr>
          <w:sz w:val="22"/>
        </w:rPr>
        <w:t>interna,</w:t>
      </w:r>
      <w:r>
        <w:rPr>
          <w:spacing w:val="-3"/>
          <w:sz w:val="22"/>
        </w:rPr>
        <w:t> </w:t>
      </w:r>
      <w:r>
        <w:rPr>
          <w:sz w:val="22"/>
        </w:rPr>
        <w:t>no</w:t>
      </w:r>
      <w:r>
        <w:rPr>
          <w:spacing w:val="-4"/>
          <w:sz w:val="22"/>
        </w:rPr>
        <w:t> </w:t>
      </w:r>
      <w:r>
        <w:rPr>
          <w:sz w:val="22"/>
        </w:rPr>
        <w:t>hacen</w:t>
      </w:r>
      <w:r>
        <w:rPr>
          <w:spacing w:val="-4"/>
          <w:sz w:val="22"/>
        </w:rPr>
        <w:t> </w:t>
      </w:r>
      <w:r>
        <w:rPr>
          <w:sz w:val="22"/>
        </w:rPr>
        <w:t>lo</w:t>
      </w:r>
      <w:r>
        <w:rPr>
          <w:spacing w:val="-4"/>
          <w:sz w:val="22"/>
        </w:rPr>
        <w:t> </w:t>
      </w:r>
      <w:r>
        <w:rPr>
          <w:sz w:val="22"/>
        </w:rPr>
        <w:t>mismo</w:t>
      </w:r>
      <w:r>
        <w:rPr>
          <w:spacing w:val="-4"/>
          <w:sz w:val="22"/>
        </w:rPr>
        <w:t> </w:t>
      </w:r>
      <w:r>
        <w:rPr>
          <w:sz w:val="22"/>
        </w:rPr>
        <w:t>respecto</w:t>
      </w:r>
      <w:r>
        <w:rPr>
          <w:spacing w:val="-4"/>
          <w:sz w:val="22"/>
        </w:rPr>
        <w:t> </w:t>
      </w:r>
      <w:r>
        <w:rPr>
          <w:sz w:val="22"/>
        </w:rPr>
        <w:t>de</w:t>
      </w:r>
      <w:r>
        <w:rPr>
          <w:spacing w:val="-4"/>
          <w:sz w:val="22"/>
        </w:rPr>
        <w:t> </w:t>
      </w:r>
      <w:r>
        <w:rPr>
          <w:sz w:val="22"/>
        </w:rPr>
        <w:t>la normativa</w:t>
      </w:r>
      <w:r>
        <w:rPr>
          <w:spacing w:val="-11"/>
          <w:sz w:val="22"/>
        </w:rPr>
        <w:t> </w:t>
      </w:r>
      <w:r>
        <w:rPr>
          <w:sz w:val="22"/>
        </w:rPr>
        <w:t>estatal</w:t>
      </w:r>
      <w:r>
        <w:rPr>
          <w:spacing w:val="-12"/>
          <w:sz w:val="22"/>
        </w:rPr>
        <w:t> </w:t>
      </w:r>
      <w:r>
        <w:rPr>
          <w:sz w:val="22"/>
        </w:rPr>
        <w:t>y</w:t>
      </w:r>
      <w:r>
        <w:rPr>
          <w:spacing w:val="-11"/>
          <w:sz w:val="22"/>
        </w:rPr>
        <w:t> </w:t>
      </w:r>
      <w:r>
        <w:rPr>
          <w:sz w:val="22"/>
        </w:rPr>
        <w:t>autonómica</w:t>
      </w:r>
      <w:r>
        <w:rPr>
          <w:spacing w:val="-12"/>
          <w:sz w:val="22"/>
        </w:rPr>
        <w:t> </w:t>
      </w:r>
      <w:r>
        <w:rPr>
          <w:sz w:val="22"/>
        </w:rPr>
        <w:t>de</w:t>
      </w:r>
      <w:r>
        <w:rPr>
          <w:spacing w:val="-12"/>
          <w:sz w:val="22"/>
        </w:rPr>
        <w:t> </w:t>
      </w:r>
      <w:r>
        <w:rPr>
          <w:sz w:val="22"/>
        </w:rPr>
        <w:t>aplicación,</w:t>
      </w:r>
      <w:r>
        <w:rPr>
          <w:spacing w:val="-8"/>
          <w:sz w:val="22"/>
        </w:rPr>
        <w:t> </w:t>
      </w:r>
      <w:r>
        <w:rPr>
          <w:sz w:val="22"/>
        </w:rPr>
        <w:t>que</w:t>
      </w:r>
      <w:r>
        <w:rPr>
          <w:spacing w:val="-16"/>
          <w:sz w:val="22"/>
        </w:rPr>
        <w:t> </w:t>
      </w:r>
      <w:r>
        <w:rPr>
          <w:sz w:val="22"/>
        </w:rPr>
        <w:t>no</w:t>
      </w:r>
      <w:r>
        <w:rPr>
          <w:spacing w:val="-11"/>
          <w:sz w:val="22"/>
        </w:rPr>
        <w:t> </w:t>
      </w:r>
      <w:r>
        <w:rPr>
          <w:sz w:val="22"/>
        </w:rPr>
        <w:t>ha</w:t>
      </w:r>
      <w:r>
        <w:rPr>
          <w:spacing w:val="-12"/>
          <w:sz w:val="22"/>
        </w:rPr>
        <w:t> </w:t>
      </w:r>
      <w:r>
        <w:rPr>
          <w:sz w:val="22"/>
        </w:rPr>
        <w:t>sido</w:t>
      </w:r>
      <w:r>
        <w:rPr>
          <w:spacing w:val="-12"/>
          <w:sz w:val="22"/>
        </w:rPr>
        <w:t> </w:t>
      </w:r>
      <w:r>
        <w:rPr>
          <w:sz w:val="22"/>
        </w:rPr>
        <w:t>publicada</w:t>
      </w:r>
      <w:r>
        <w:rPr>
          <w:spacing w:val="-11"/>
          <w:sz w:val="22"/>
        </w:rPr>
        <w:t> </w:t>
      </w:r>
      <w:r>
        <w:rPr>
          <w:sz w:val="22"/>
        </w:rPr>
        <w:t>por</w:t>
      </w:r>
      <w:r>
        <w:rPr>
          <w:spacing w:val="-13"/>
          <w:sz w:val="22"/>
        </w:rPr>
        <w:t> </w:t>
      </w:r>
      <w:r>
        <w:rPr>
          <w:sz w:val="22"/>
        </w:rPr>
        <w:t>los</w:t>
      </w:r>
      <w:r>
        <w:rPr>
          <w:spacing w:val="-10"/>
          <w:sz w:val="22"/>
        </w:rPr>
        <w:t> </w:t>
      </w:r>
      <w:r>
        <w:rPr>
          <w:b/>
          <w:sz w:val="22"/>
        </w:rPr>
        <w:t>Ayuntamientos de Córdoba, Murcia </w:t>
      </w:r>
      <w:r>
        <w:rPr>
          <w:sz w:val="22"/>
        </w:rPr>
        <w:t>y </w:t>
      </w:r>
      <w:r>
        <w:rPr>
          <w:b/>
          <w:sz w:val="22"/>
        </w:rPr>
        <w:t>Zaragoza</w:t>
      </w:r>
      <w:r>
        <w:rPr>
          <w:sz w:val="22"/>
        </w:rPr>
        <w:t>.</w:t>
      </w:r>
    </w:p>
    <w:p>
      <w:pPr>
        <w:pStyle w:val="ListParagraph"/>
        <w:numPr>
          <w:ilvl w:val="4"/>
          <w:numId w:val="3"/>
        </w:numPr>
        <w:tabs>
          <w:tab w:pos="1417" w:val="left" w:leader="none"/>
        </w:tabs>
        <w:spacing w:line="240" w:lineRule="auto" w:before="242" w:after="0"/>
        <w:ind w:left="1417" w:right="991" w:hanging="360"/>
        <w:jc w:val="both"/>
        <w:rPr>
          <w:sz w:val="22"/>
        </w:rPr>
      </w:pPr>
      <w:r>
        <w:rPr>
          <w:sz w:val="22"/>
        </w:rPr>
        <w:t>Todas</w:t>
      </w:r>
      <w:r>
        <w:rPr>
          <w:spacing w:val="-5"/>
          <w:sz w:val="22"/>
        </w:rPr>
        <w:t> </w:t>
      </w:r>
      <w:r>
        <w:rPr>
          <w:sz w:val="22"/>
        </w:rPr>
        <w:t>las</w:t>
      </w:r>
      <w:r>
        <w:rPr>
          <w:spacing w:val="-5"/>
          <w:sz w:val="22"/>
        </w:rPr>
        <w:t> </w:t>
      </w:r>
      <w:r>
        <w:rPr>
          <w:sz w:val="22"/>
        </w:rPr>
        <w:t>entidades</w:t>
      </w:r>
      <w:r>
        <w:rPr>
          <w:spacing w:val="-7"/>
          <w:sz w:val="22"/>
        </w:rPr>
        <w:t> </w:t>
      </w:r>
      <w:r>
        <w:rPr>
          <w:sz w:val="22"/>
        </w:rPr>
        <w:t>fiscalizadas</w:t>
      </w:r>
      <w:r>
        <w:rPr>
          <w:spacing w:val="-5"/>
          <w:sz w:val="22"/>
        </w:rPr>
        <w:t> </w:t>
      </w:r>
      <w:r>
        <w:rPr>
          <w:sz w:val="22"/>
        </w:rPr>
        <w:t>publican</w:t>
      </w:r>
      <w:r>
        <w:rPr>
          <w:spacing w:val="-5"/>
          <w:sz w:val="22"/>
        </w:rPr>
        <w:t> </w:t>
      </w:r>
      <w:r>
        <w:rPr>
          <w:sz w:val="22"/>
        </w:rPr>
        <w:t>información</w:t>
      </w:r>
      <w:r>
        <w:rPr>
          <w:spacing w:val="-5"/>
          <w:sz w:val="22"/>
        </w:rPr>
        <w:t> </w:t>
      </w:r>
      <w:r>
        <w:rPr>
          <w:sz w:val="22"/>
        </w:rPr>
        <w:t>sobre</w:t>
      </w:r>
      <w:r>
        <w:rPr>
          <w:spacing w:val="-7"/>
          <w:sz w:val="22"/>
        </w:rPr>
        <w:t> </w:t>
      </w:r>
      <w:r>
        <w:rPr>
          <w:sz w:val="22"/>
        </w:rPr>
        <w:t>la</w:t>
      </w:r>
      <w:r>
        <w:rPr>
          <w:spacing w:val="-5"/>
          <w:sz w:val="22"/>
        </w:rPr>
        <w:t> </w:t>
      </w:r>
      <w:r>
        <w:rPr>
          <w:sz w:val="22"/>
        </w:rPr>
        <w:t>composición</w:t>
      </w:r>
      <w:r>
        <w:rPr>
          <w:spacing w:val="-5"/>
          <w:sz w:val="22"/>
        </w:rPr>
        <w:t> </w:t>
      </w:r>
      <w:r>
        <w:rPr>
          <w:sz w:val="22"/>
        </w:rPr>
        <w:t>de</w:t>
      </w:r>
      <w:r>
        <w:rPr>
          <w:spacing w:val="-8"/>
          <w:sz w:val="22"/>
        </w:rPr>
        <w:t> </w:t>
      </w:r>
      <w:r>
        <w:rPr>
          <w:sz w:val="22"/>
        </w:rPr>
        <w:t>sus</w:t>
      </w:r>
      <w:r>
        <w:rPr>
          <w:spacing w:val="-5"/>
          <w:sz w:val="22"/>
        </w:rPr>
        <w:t> </w:t>
      </w:r>
      <w:r>
        <w:rPr>
          <w:sz w:val="22"/>
        </w:rPr>
        <w:t>órganos</w:t>
      </w:r>
      <w:r>
        <w:rPr>
          <w:spacing w:val="-7"/>
          <w:sz w:val="22"/>
        </w:rPr>
        <w:t> </w:t>
      </w:r>
      <w:r>
        <w:rPr>
          <w:sz w:val="22"/>
        </w:rPr>
        <w:t>de gobierno y detallan la formación académica y la trayectoria profesional de sus integrantes, si bien el </w:t>
      </w:r>
      <w:r>
        <w:rPr>
          <w:b/>
          <w:sz w:val="22"/>
        </w:rPr>
        <w:t>Ayuntamiento de Palma </w:t>
      </w:r>
      <w:r>
        <w:rPr>
          <w:sz w:val="22"/>
        </w:rPr>
        <w:t>no incluye la de todos ellos.</w:t>
      </w:r>
    </w:p>
    <w:p>
      <w:pPr>
        <w:pStyle w:val="ListParagraph"/>
        <w:numPr>
          <w:ilvl w:val="4"/>
          <w:numId w:val="3"/>
        </w:numPr>
        <w:tabs>
          <w:tab w:pos="1417" w:val="left" w:leader="none"/>
        </w:tabs>
        <w:spacing w:line="240" w:lineRule="auto" w:before="240" w:after="0"/>
        <w:ind w:left="1417" w:right="986" w:hanging="360"/>
        <w:jc w:val="both"/>
        <w:rPr>
          <w:sz w:val="22"/>
        </w:rPr>
      </w:pPr>
      <w:r>
        <w:rPr>
          <w:sz w:val="22"/>
        </w:rPr>
        <w:t>Por lo que</w:t>
      </w:r>
      <w:r>
        <w:rPr>
          <w:spacing w:val="-1"/>
          <w:sz w:val="22"/>
        </w:rPr>
        <w:t> </w:t>
      </w:r>
      <w:r>
        <w:rPr>
          <w:sz w:val="22"/>
        </w:rPr>
        <w:t>se</w:t>
      </w:r>
      <w:r>
        <w:rPr>
          <w:spacing w:val="-1"/>
          <w:sz w:val="22"/>
        </w:rPr>
        <w:t> </w:t>
      </w:r>
      <w:r>
        <w:rPr>
          <w:sz w:val="22"/>
        </w:rPr>
        <w:t>refiere a</w:t>
      </w:r>
      <w:r>
        <w:rPr>
          <w:spacing w:val="-1"/>
          <w:sz w:val="22"/>
        </w:rPr>
        <w:t> </w:t>
      </w:r>
      <w:r>
        <w:rPr>
          <w:sz w:val="22"/>
        </w:rPr>
        <w:t>la</w:t>
      </w:r>
      <w:r>
        <w:rPr>
          <w:spacing w:val="-1"/>
          <w:sz w:val="22"/>
        </w:rPr>
        <w:t> </w:t>
      </w:r>
      <w:r>
        <w:rPr>
          <w:sz w:val="22"/>
        </w:rPr>
        <w:t>publicación de la</w:t>
      </w:r>
      <w:r>
        <w:rPr>
          <w:spacing w:val="-1"/>
          <w:sz w:val="22"/>
        </w:rPr>
        <w:t> </w:t>
      </w:r>
      <w:r>
        <w:rPr>
          <w:sz w:val="22"/>
        </w:rPr>
        <w:t>relación de puestos</w:t>
      </w:r>
      <w:r>
        <w:rPr>
          <w:spacing w:val="-1"/>
          <w:sz w:val="22"/>
        </w:rPr>
        <w:t> </w:t>
      </w:r>
      <w:r>
        <w:rPr>
          <w:sz w:val="22"/>
        </w:rPr>
        <w:t>de</w:t>
      </w:r>
      <w:r>
        <w:rPr>
          <w:spacing w:val="-1"/>
          <w:sz w:val="22"/>
        </w:rPr>
        <w:t> </w:t>
      </w:r>
      <w:r>
        <w:rPr>
          <w:sz w:val="22"/>
        </w:rPr>
        <w:t>trabajo, aunque no se</w:t>
      </w:r>
      <w:r>
        <w:rPr>
          <w:spacing w:val="-1"/>
          <w:sz w:val="22"/>
        </w:rPr>
        <w:t> </w:t>
      </w:r>
      <w:r>
        <w:rPr>
          <w:sz w:val="22"/>
        </w:rPr>
        <w:t>prevé expresamente en la LTAIBG, las entidades fiscalizadas la tienen publicada, a excepción del </w:t>
      </w:r>
      <w:r>
        <w:rPr>
          <w:b/>
          <w:sz w:val="22"/>
        </w:rPr>
        <w:t>Ayuntamiento de Palma</w:t>
      </w:r>
      <w:r>
        <w:rPr>
          <w:sz w:val="22"/>
        </w:rPr>
        <w:t>.</w:t>
      </w:r>
    </w:p>
    <w:p>
      <w:pPr>
        <w:pStyle w:val="ListParagraph"/>
        <w:numPr>
          <w:ilvl w:val="4"/>
          <w:numId w:val="3"/>
        </w:numPr>
        <w:tabs>
          <w:tab w:pos="1417" w:val="left" w:leader="none"/>
        </w:tabs>
        <w:spacing w:line="240" w:lineRule="auto" w:before="240" w:after="0"/>
        <w:ind w:left="1417" w:right="989" w:hanging="358"/>
        <w:jc w:val="both"/>
        <w:rPr>
          <w:sz w:val="22"/>
        </w:rPr>
      </w:pPr>
      <w:r>
        <w:rPr>
          <w:sz w:val="22"/>
        </w:rPr>
        <w:t>Las entidades fiscalizadas publican el plan estratégico de subvenciones, a excepción de los </w:t>
      </w:r>
      <w:r>
        <w:rPr>
          <w:b/>
          <w:sz w:val="22"/>
        </w:rPr>
        <w:t>Ayuntamientos de Alicante </w:t>
      </w:r>
      <w:r>
        <w:rPr>
          <w:sz w:val="22"/>
        </w:rPr>
        <w:t>y </w:t>
      </w:r>
      <w:r>
        <w:rPr>
          <w:b/>
          <w:sz w:val="22"/>
        </w:rPr>
        <w:t>Córdoba </w:t>
      </w:r>
      <w:r>
        <w:rPr>
          <w:rFonts w:ascii="Symbol" w:hAnsi="Symbol"/>
          <w:sz w:val="22"/>
        </w:rPr>
        <w:t></w:t>
      </w:r>
      <w:r>
        <w:rPr>
          <w:sz w:val="22"/>
        </w:rPr>
        <w:t>este último ha publicado únicamente una modificación del plan estratégico de 2022</w:t>
      </w:r>
      <w:r>
        <w:rPr>
          <w:rFonts w:ascii="Symbol" w:hAnsi="Symbol"/>
          <w:sz w:val="22"/>
        </w:rPr>
        <w:t></w:t>
      </w:r>
      <w:r>
        <w:rPr>
          <w:sz w:val="22"/>
        </w:rPr>
        <w:t>.</w:t>
      </w:r>
    </w:p>
    <w:p>
      <w:pPr>
        <w:pStyle w:val="ListParagraph"/>
        <w:numPr>
          <w:ilvl w:val="4"/>
          <w:numId w:val="3"/>
        </w:numPr>
        <w:tabs>
          <w:tab w:pos="1416" w:val="left" w:leader="none"/>
        </w:tabs>
        <w:spacing w:line="240" w:lineRule="auto" w:before="240" w:after="0"/>
        <w:ind w:left="1416" w:right="0" w:hanging="357"/>
        <w:jc w:val="both"/>
        <w:rPr>
          <w:sz w:val="22"/>
        </w:rPr>
      </w:pPr>
      <w:r>
        <w:rPr>
          <w:sz w:val="22"/>
        </w:rPr>
        <w:t>En</w:t>
      </w:r>
      <w:r>
        <w:rPr>
          <w:spacing w:val="-7"/>
          <w:sz w:val="22"/>
        </w:rPr>
        <w:t> </w:t>
      </w:r>
      <w:r>
        <w:rPr>
          <w:sz w:val="22"/>
        </w:rPr>
        <w:t>materia</w:t>
      </w:r>
      <w:r>
        <w:rPr>
          <w:spacing w:val="-5"/>
          <w:sz w:val="22"/>
        </w:rPr>
        <w:t> </w:t>
      </w:r>
      <w:r>
        <w:rPr>
          <w:sz w:val="22"/>
        </w:rPr>
        <w:t>de</w:t>
      </w:r>
      <w:r>
        <w:rPr>
          <w:spacing w:val="-6"/>
          <w:sz w:val="22"/>
        </w:rPr>
        <w:t> </w:t>
      </w:r>
      <w:r>
        <w:rPr>
          <w:sz w:val="22"/>
        </w:rPr>
        <w:t>igualdad,</w:t>
      </w:r>
      <w:r>
        <w:rPr>
          <w:spacing w:val="-4"/>
          <w:sz w:val="22"/>
        </w:rPr>
        <w:t> </w:t>
      </w:r>
      <w:r>
        <w:rPr>
          <w:sz w:val="22"/>
        </w:rPr>
        <w:t>todos</w:t>
      </w:r>
      <w:r>
        <w:rPr>
          <w:spacing w:val="-5"/>
          <w:sz w:val="22"/>
        </w:rPr>
        <w:t> </w:t>
      </w:r>
      <w:r>
        <w:rPr>
          <w:sz w:val="22"/>
        </w:rPr>
        <w:t>los</w:t>
      </w:r>
      <w:r>
        <w:rPr>
          <w:spacing w:val="-4"/>
          <w:sz w:val="22"/>
        </w:rPr>
        <w:t> </w:t>
      </w:r>
      <w:r>
        <w:rPr>
          <w:sz w:val="22"/>
        </w:rPr>
        <w:t>ayuntamientos</w:t>
      </w:r>
      <w:r>
        <w:rPr>
          <w:spacing w:val="-6"/>
          <w:sz w:val="22"/>
        </w:rPr>
        <w:t> </w:t>
      </w:r>
      <w:r>
        <w:rPr>
          <w:sz w:val="22"/>
        </w:rPr>
        <w:t>han</w:t>
      </w:r>
      <w:r>
        <w:rPr>
          <w:spacing w:val="-4"/>
          <w:sz w:val="22"/>
        </w:rPr>
        <w:t> </w:t>
      </w:r>
      <w:r>
        <w:rPr>
          <w:sz w:val="22"/>
        </w:rPr>
        <w:t>publicado</w:t>
      </w:r>
      <w:r>
        <w:rPr>
          <w:spacing w:val="-5"/>
          <w:sz w:val="22"/>
        </w:rPr>
        <w:t> </w:t>
      </w:r>
      <w:r>
        <w:rPr>
          <w:sz w:val="22"/>
        </w:rPr>
        <w:t>el</w:t>
      </w:r>
      <w:r>
        <w:rPr>
          <w:spacing w:val="-4"/>
          <w:sz w:val="22"/>
        </w:rPr>
        <w:t> </w:t>
      </w:r>
      <w:r>
        <w:rPr>
          <w:sz w:val="22"/>
        </w:rPr>
        <w:t>Plan</w:t>
      </w:r>
      <w:r>
        <w:rPr>
          <w:spacing w:val="-4"/>
          <w:sz w:val="22"/>
        </w:rPr>
        <w:t> </w:t>
      </w:r>
      <w:r>
        <w:rPr>
          <w:sz w:val="22"/>
        </w:rPr>
        <w:t>de</w:t>
      </w:r>
      <w:r>
        <w:rPr>
          <w:spacing w:val="-6"/>
          <w:sz w:val="22"/>
        </w:rPr>
        <w:t> </w:t>
      </w:r>
      <w:r>
        <w:rPr>
          <w:spacing w:val="-2"/>
          <w:sz w:val="22"/>
        </w:rPr>
        <w:t>Igualdad.</w:t>
      </w:r>
    </w:p>
    <w:p>
      <w:pPr>
        <w:pStyle w:val="BodyText"/>
        <w:spacing w:before="105"/>
      </w:pPr>
    </w:p>
    <w:p>
      <w:pPr>
        <w:pStyle w:val="ListParagraph"/>
        <w:numPr>
          <w:ilvl w:val="3"/>
          <w:numId w:val="3"/>
        </w:numPr>
        <w:tabs>
          <w:tab w:pos="1841" w:val="left" w:leader="none"/>
          <w:tab w:pos="1856" w:val="left" w:leader="none"/>
        </w:tabs>
        <w:spacing w:line="240" w:lineRule="auto" w:before="1" w:after="0"/>
        <w:ind w:left="1856" w:right="994" w:hanging="864"/>
        <w:jc w:val="left"/>
        <w:rPr>
          <w:sz w:val="22"/>
        </w:rPr>
      </w:pPr>
      <w:r>
        <w:rPr>
          <w:sz w:val="22"/>
        </w:rPr>
        <w:t>PUBLICIDAD</w:t>
      </w:r>
      <w:r>
        <w:rPr>
          <w:spacing w:val="40"/>
          <w:sz w:val="22"/>
        </w:rPr>
        <w:t> </w:t>
      </w:r>
      <w:r>
        <w:rPr>
          <w:sz w:val="22"/>
        </w:rPr>
        <w:t>ACTIVA</w:t>
      </w:r>
      <w:r>
        <w:rPr>
          <w:spacing w:val="40"/>
          <w:sz w:val="22"/>
        </w:rPr>
        <w:t> </w:t>
      </w:r>
      <w:r>
        <w:rPr>
          <w:sz w:val="22"/>
        </w:rPr>
        <w:t>DE</w:t>
      </w:r>
      <w:r>
        <w:rPr>
          <w:spacing w:val="40"/>
          <w:sz w:val="22"/>
        </w:rPr>
        <w:t> </w:t>
      </w:r>
      <w:r>
        <w:rPr>
          <w:sz w:val="22"/>
        </w:rPr>
        <w:t>LA</w:t>
      </w:r>
      <w:r>
        <w:rPr>
          <w:spacing w:val="40"/>
          <w:sz w:val="22"/>
        </w:rPr>
        <w:t> </w:t>
      </w:r>
      <w:r>
        <w:rPr>
          <w:sz w:val="22"/>
        </w:rPr>
        <w:t>INFORMACIÓN</w:t>
      </w:r>
      <w:r>
        <w:rPr>
          <w:spacing w:val="40"/>
          <w:sz w:val="22"/>
        </w:rPr>
        <w:t> </w:t>
      </w:r>
      <w:r>
        <w:rPr>
          <w:sz w:val="22"/>
        </w:rPr>
        <w:t>ECONÓMICA,</w:t>
      </w:r>
      <w:r>
        <w:rPr>
          <w:spacing w:val="40"/>
          <w:sz w:val="22"/>
        </w:rPr>
        <w:t> </w:t>
      </w:r>
      <w:r>
        <w:rPr>
          <w:sz w:val="22"/>
        </w:rPr>
        <w:t>PRESUPUESTARIA</w:t>
      </w:r>
      <w:r>
        <w:rPr>
          <w:spacing w:val="40"/>
          <w:sz w:val="22"/>
        </w:rPr>
        <w:t> </w:t>
      </w:r>
      <w:r>
        <w:rPr>
          <w:sz w:val="22"/>
        </w:rPr>
        <w:t>Y</w:t>
      </w:r>
      <w:r>
        <w:rPr>
          <w:spacing w:val="40"/>
          <w:sz w:val="22"/>
        </w:rPr>
        <w:t> </w:t>
      </w:r>
      <w:r>
        <w:rPr>
          <w:spacing w:val="-2"/>
          <w:sz w:val="22"/>
        </w:rPr>
        <w:t>ESTADÍSTICA</w:t>
      </w:r>
    </w:p>
    <w:p>
      <w:pPr>
        <w:pStyle w:val="BodyText"/>
        <w:spacing w:before="240"/>
        <w:ind w:left="992" w:right="990"/>
        <w:jc w:val="both"/>
      </w:pPr>
      <w:r>
        <w:rPr/>
        <w:t>El artículo 8 de la LTAIBG recoge la necesidad de publicación de determinada información de gestión</w:t>
      </w:r>
      <w:r>
        <w:rPr>
          <w:spacing w:val="-16"/>
        </w:rPr>
        <w:t> </w:t>
      </w:r>
      <w:r>
        <w:rPr/>
        <w:t>administrativa</w:t>
      </w:r>
      <w:r>
        <w:rPr>
          <w:spacing w:val="-15"/>
        </w:rPr>
        <w:t> </w:t>
      </w:r>
      <w:r>
        <w:rPr/>
        <w:t>que</w:t>
      </w:r>
      <w:r>
        <w:rPr>
          <w:spacing w:val="-15"/>
        </w:rPr>
        <w:t> </w:t>
      </w:r>
      <w:r>
        <w:rPr/>
        <w:t>tenga</w:t>
      </w:r>
      <w:r>
        <w:rPr>
          <w:spacing w:val="-16"/>
        </w:rPr>
        <w:t> </w:t>
      </w:r>
      <w:r>
        <w:rPr/>
        <w:t>repercusiones</w:t>
      </w:r>
      <w:r>
        <w:rPr>
          <w:spacing w:val="-15"/>
        </w:rPr>
        <w:t> </w:t>
      </w:r>
      <w:r>
        <w:rPr/>
        <w:t>económicas</w:t>
      </w:r>
      <w:r>
        <w:rPr>
          <w:spacing w:val="-15"/>
        </w:rPr>
        <w:t> </w:t>
      </w:r>
      <w:r>
        <w:rPr/>
        <w:t>o</w:t>
      </w:r>
      <w:r>
        <w:rPr>
          <w:spacing w:val="-15"/>
        </w:rPr>
        <w:t> </w:t>
      </w:r>
      <w:r>
        <w:rPr/>
        <w:t>presupuestarias.</w:t>
      </w:r>
      <w:r>
        <w:rPr>
          <w:spacing w:val="-16"/>
        </w:rPr>
        <w:t> </w:t>
      </w:r>
      <w:r>
        <w:rPr/>
        <w:t>Se</w:t>
      </w:r>
      <w:r>
        <w:rPr>
          <w:spacing w:val="-15"/>
        </w:rPr>
        <w:t> </w:t>
      </w:r>
      <w:r>
        <w:rPr/>
        <w:t>ha</w:t>
      </w:r>
      <w:r>
        <w:rPr>
          <w:spacing w:val="-15"/>
        </w:rPr>
        <w:t> </w:t>
      </w:r>
      <w:r>
        <w:rPr/>
        <w:t>verificado</w:t>
      </w:r>
      <w:r>
        <w:rPr>
          <w:spacing w:val="-16"/>
        </w:rPr>
        <w:t> </w:t>
      </w:r>
      <w:r>
        <w:rPr/>
        <w:t>que las entidades fiscalizadas cumplían, con carácter general, la obligación de publicidad de la información contenida en los referidos artículos, si bien se han detectado algunas incidencias.</w:t>
      </w:r>
    </w:p>
    <w:p>
      <w:pPr>
        <w:pStyle w:val="ListParagraph"/>
        <w:numPr>
          <w:ilvl w:val="4"/>
          <w:numId w:val="3"/>
        </w:numPr>
        <w:tabs>
          <w:tab w:pos="1419" w:val="left" w:leader="none"/>
        </w:tabs>
        <w:spacing w:line="240" w:lineRule="auto" w:before="242" w:after="0"/>
        <w:ind w:left="1419" w:right="985" w:hanging="358"/>
        <w:jc w:val="both"/>
        <w:rPr>
          <w:sz w:val="22"/>
        </w:rPr>
      </w:pPr>
      <w:r>
        <w:rPr>
          <w:sz w:val="22"/>
        </w:rPr>
        <w:t>Todas las entidades disponen de un enlace a la Plataforma de Contratos del Sector Público, salvo el </w:t>
      </w:r>
      <w:r>
        <w:rPr>
          <w:b/>
          <w:sz w:val="22"/>
        </w:rPr>
        <w:t>Ayuntamiento de Zaragoza</w:t>
      </w:r>
      <w:r>
        <w:rPr>
          <w:sz w:val="22"/>
        </w:rPr>
        <w:t>. Asimismo, todas las entidades, a excepción del </w:t>
      </w:r>
      <w:r>
        <w:rPr>
          <w:b/>
          <w:sz w:val="22"/>
        </w:rPr>
        <w:t>Ayuntamiento de Murcia </w:t>
      </w:r>
      <w:r>
        <w:rPr>
          <w:rFonts w:ascii="Symbol" w:hAnsi="Symbol"/>
          <w:sz w:val="22"/>
        </w:rPr>
        <w:t></w:t>
      </w:r>
      <w:r>
        <w:rPr>
          <w:sz w:val="22"/>
        </w:rPr>
        <w:t>cuya información no está actualizada</w:t>
      </w:r>
      <w:r>
        <w:rPr>
          <w:rFonts w:ascii="Symbol" w:hAnsi="Symbol"/>
          <w:sz w:val="22"/>
        </w:rPr>
        <w:t></w:t>
      </w:r>
      <w:r>
        <w:rPr>
          <w:sz w:val="22"/>
        </w:rPr>
        <w:t>, publican información relativa</w:t>
      </w:r>
      <w:r>
        <w:rPr>
          <w:spacing w:val="-14"/>
          <w:sz w:val="22"/>
        </w:rPr>
        <w:t> </w:t>
      </w:r>
      <w:r>
        <w:rPr>
          <w:sz w:val="22"/>
        </w:rPr>
        <w:t>a</w:t>
      </w:r>
      <w:r>
        <w:rPr>
          <w:spacing w:val="-16"/>
          <w:sz w:val="22"/>
        </w:rPr>
        <w:t> </w:t>
      </w:r>
      <w:r>
        <w:rPr>
          <w:sz w:val="22"/>
        </w:rPr>
        <w:t>los</w:t>
      </w:r>
      <w:r>
        <w:rPr>
          <w:spacing w:val="-15"/>
          <w:sz w:val="22"/>
        </w:rPr>
        <w:t> </w:t>
      </w:r>
      <w:r>
        <w:rPr>
          <w:sz w:val="22"/>
        </w:rPr>
        <w:t>contratos</w:t>
      </w:r>
      <w:r>
        <w:rPr>
          <w:spacing w:val="-15"/>
          <w:sz w:val="22"/>
        </w:rPr>
        <w:t> </w:t>
      </w:r>
      <w:r>
        <w:rPr>
          <w:sz w:val="22"/>
        </w:rPr>
        <w:t>formalizados,</w:t>
      </w:r>
      <w:r>
        <w:rPr>
          <w:spacing w:val="-15"/>
          <w:sz w:val="22"/>
        </w:rPr>
        <w:t> </w:t>
      </w:r>
      <w:r>
        <w:rPr>
          <w:sz w:val="22"/>
        </w:rPr>
        <w:t>bien</w:t>
      </w:r>
      <w:r>
        <w:rPr>
          <w:spacing w:val="-16"/>
          <w:sz w:val="22"/>
        </w:rPr>
        <w:t> </w:t>
      </w:r>
      <w:r>
        <w:rPr>
          <w:sz w:val="22"/>
        </w:rPr>
        <w:t>en</w:t>
      </w:r>
      <w:r>
        <w:rPr>
          <w:spacing w:val="-15"/>
          <w:sz w:val="22"/>
        </w:rPr>
        <w:t> </w:t>
      </w:r>
      <w:r>
        <w:rPr>
          <w:sz w:val="22"/>
        </w:rPr>
        <w:t>sus</w:t>
      </w:r>
      <w:r>
        <w:rPr>
          <w:spacing w:val="-15"/>
          <w:sz w:val="22"/>
        </w:rPr>
        <w:t> </w:t>
      </w:r>
      <w:r>
        <w:rPr>
          <w:sz w:val="22"/>
        </w:rPr>
        <w:t>propios</w:t>
      </w:r>
      <w:r>
        <w:rPr>
          <w:spacing w:val="-13"/>
          <w:sz w:val="22"/>
        </w:rPr>
        <w:t> </w:t>
      </w:r>
      <w:r>
        <w:rPr>
          <w:sz w:val="22"/>
        </w:rPr>
        <w:t>portales</w:t>
      </w:r>
      <w:r>
        <w:rPr>
          <w:spacing w:val="-16"/>
          <w:sz w:val="22"/>
        </w:rPr>
        <w:t> </w:t>
      </w:r>
      <w:r>
        <w:rPr>
          <w:sz w:val="22"/>
        </w:rPr>
        <w:t>web</w:t>
      </w:r>
      <w:r>
        <w:rPr>
          <w:spacing w:val="-15"/>
          <w:sz w:val="22"/>
        </w:rPr>
        <w:t> </w:t>
      </w:r>
      <w:r>
        <w:rPr>
          <w:sz w:val="22"/>
        </w:rPr>
        <w:t>o</w:t>
      </w:r>
      <w:r>
        <w:rPr>
          <w:spacing w:val="-13"/>
          <w:sz w:val="22"/>
        </w:rPr>
        <w:t> </w:t>
      </w:r>
      <w:r>
        <w:rPr>
          <w:sz w:val="22"/>
        </w:rPr>
        <w:t>bien</w:t>
      </w:r>
      <w:r>
        <w:rPr>
          <w:spacing w:val="-14"/>
          <w:sz w:val="22"/>
        </w:rPr>
        <w:t> </w:t>
      </w:r>
      <w:r>
        <w:rPr>
          <w:sz w:val="22"/>
        </w:rPr>
        <w:t>a</w:t>
      </w:r>
      <w:r>
        <w:rPr>
          <w:spacing w:val="-16"/>
          <w:sz w:val="22"/>
        </w:rPr>
        <w:t> </w:t>
      </w:r>
      <w:r>
        <w:rPr>
          <w:sz w:val="22"/>
        </w:rPr>
        <w:t>través</w:t>
      </w:r>
      <w:r>
        <w:rPr>
          <w:spacing w:val="-15"/>
          <w:sz w:val="22"/>
        </w:rPr>
        <w:t> </w:t>
      </w:r>
      <w:r>
        <w:rPr>
          <w:sz w:val="22"/>
        </w:rPr>
        <w:t>del</w:t>
      </w:r>
      <w:r>
        <w:rPr>
          <w:spacing w:val="-13"/>
          <w:sz w:val="22"/>
        </w:rPr>
        <w:t> </w:t>
      </w:r>
      <w:r>
        <w:rPr>
          <w:sz w:val="22"/>
        </w:rPr>
        <w:t>enlace a la correspondiente Plataforma de Contratación del Sector Público. El </w:t>
      </w:r>
      <w:r>
        <w:rPr>
          <w:b/>
          <w:sz w:val="22"/>
        </w:rPr>
        <w:t>Ayuntamiento de Bilbao </w:t>
      </w:r>
      <w:r>
        <w:rPr>
          <w:sz w:val="22"/>
        </w:rPr>
        <w:t>ha publicado únicamente la relación de contratos menores y los planes anuales de </w:t>
      </w:r>
      <w:r>
        <w:rPr>
          <w:spacing w:val="-2"/>
          <w:sz w:val="22"/>
        </w:rPr>
        <w:t>contratación.</w:t>
      </w:r>
    </w:p>
    <w:p>
      <w:pPr>
        <w:pStyle w:val="ListParagraph"/>
        <w:numPr>
          <w:ilvl w:val="4"/>
          <w:numId w:val="3"/>
        </w:numPr>
        <w:tabs>
          <w:tab w:pos="1419" w:val="left" w:leader="none"/>
        </w:tabs>
        <w:spacing w:line="240" w:lineRule="auto" w:before="199" w:after="0"/>
        <w:ind w:left="1419" w:right="985" w:hanging="358"/>
        <w:jc w:val="both"/>
        <w:rPr>
          <w:sz w:val="22"/>
        </w:rPr>
      </w:pPr>
      <w:r>
        <w:rPr>
          <w:sz w:val="22"/>
        </w:rPr>
        <w:t>Las entidades fiscalizadas publican la relación de convenios, salvo el </w:t>
      </w:r>
      <w:r>
        <w:rPr>
          <w:b/>
          <w:sz w:val="22"/>
        </w:rPr>
        <w:t>Ayuntamiento de Alicante</w:t>
      </w:r>
      <w:r>
        <w:rPr>
          <w:sz w:val="22"/>
        </w:rPr>
        <w:t>, que</w:t>
      </w:r>
      <w:r>
        <w:rPr>
          <w:spacing w:val="-2"/>
          <w:sz w:val="22"/>
        </w:rPr>
        <w:t> </w:t>
      </w:r>
      <w:r>
        <w:rPr>
          <w:sz w:val="22"/>
        </w:rPr>
        <w:t>publica</w:t>
      </w:r>
      <w:r>
        <w:rPr>
          <w:spacing w:val="-1"/>
          <w:sz w:val="22"/>
        </w:rPr>
        <w:t> </w:t>
      </w:r>
      <w:r>
        <w:rPr>
          <w:sz w:val="22"/>
        </w:rPr>
        <w:t>el</w:t>
      </w:r>
      <w:r>
        <w:rPr>
          <w:spacing w:val="-5"/>
          <w:sz w:val="22"/>
        </w:rPr>
        <w:t> </w:t>
      </w:r>
      <w:r>
        <w:rPr>
          <w:sz w:val="22"/>
        </w:rPr>
        <w:t>texto</w:t>
      </w:r>
      <w:r>
        <w:rPr>
          <w:spacing w:val="-3"/>
          <w:sz w:val="22"/>
        </w:rPr>
        <w:t> </w:t>
      </w:r>
      <w:r>
        <w:rPr>
          <w:sz w:val="22"/>
        </w:rPr>
        <w:t>íntegro</w:t>
      </w:r>
      <w:r>
        <w:rPr>
          <w:spacing w:val="-2"/>
          <w:sz w:val="22"/>
        </w:rPr>
        <w:t> </w:t>
      </w:r>
      <w:r>
        <w:rPr>
          <w:sz w:val="22"/>
        </w:rPr>
        <w:t>de</w:t>
      </w:r>
      <w:r>
        <w:rPr>
          <w:spacing w:val="-2"/>
          <w:sz w:val="22"/>
        </w:rPr>
        <w:t> </w:t>
      </w:r>
      <w:r>
        <w:rPr>
          <w:sz w:val="22"/>
        </w:rPr>
        <w:t>los</w:t>
      </w:r>
      <w:r>
        <w:rPr>
          <w:spacing w:val="-2"/>
          <w:sz w:val="22"/>
        </w:rPr>
        <w:t> </w:t>
      </w:r>
      <w:r>
        <w:rPr>
          <w:sz w:val="22"/>
        </w:rPr>
        <w:t>convenios</w:t>
      </w:r>
      <w:r>
        <w:rPr>
          <w:spacing w:val="-2"/>
          <w:sz w:val="22"/>
        </w:rPr>
        <w:t> </w:t>
      </w:r>
      <w:r>
        <w:rPr>
          <w:sz w:val="22"/>
        </w:rPr>
        <w:t>en</w:t>
      </w:r>
      <w:r>
        <w:rPr>
          <w:spacing w:val="-2"/>
          <w:sz w:val="22"/>
        </w:rPr>
        <w:t> </w:t>
      </w:r>
      <w:r>
        <w:rPr>
          <w:sz w:val="22"/>
        </w:rPr>
        <w:t>lugar</w:t>
      </w:r>
      <w:r>
        <w:rPr>
          <w:spacing w:val="-1"/>
          <w:sz w:val="22"/>
        </w:rPr>
        <w:t> </w:t>
      </w:r>
      <w:r>
        <w:rPr>
          <w:sz w:val="22"/>
        </w:rPr>
        <w:t>de</w:t>
      </w:r>
      <w:r>
        <w:rPr>
          <w:spacing w:val="-2"/>
          <w:sz w:val="22"/>
        </w:rPr>
        <w:t> </w:t>
      </w:r>
      <w:r>
        <w:rPr>
          <w:sz w:val="22"/>
        </w:rPr>
        <w:t>una</w:t>
      </w:r>
      <w:r>
        <w:rPr>
          <w:spacing w:val="-2"/>
          <w:sz w:val="22"/>
        </w:rPr>
        <w:t> </w:t>
      </w:r>
      <w:r>
        <w:rPr>
          <w:sz w:val="22"/>
        </w:rPr>
        <w:t>relación, y</w:t>
      </w:r>
      <w:r>
        <w:rPr>
          <w:spacing w:val="-1"/>
          <w:sz w:val="22"/>
        </w:rPr>
        <w:t> </w:t>
      </w:r>
      <w:r>
        <w:rPr>
          <w:b/>
          <w:sz w:val="22"/>
        </w:rPr>
        <w:t>Bilbao</w:t>
      </w:r>
      <w:r>
        <w:rPr>
          <w:sz w:val="22"/>
        </w:rPr>
        <w:t>, que en</w:t>
      </w:r>
      <w:r>
        <w:rPr>
          <w:spacing w:val="40"/>
          <w:sz w:val="22"/>
        </w:rPr>
        <w:t> </w:t>
      </w:r>
      <w:r>
        <w:rPr>
          <w:sz w:val="22"/>
        </w:rPr>
        <w:t>el</w:t>
      </w:r>
      <w:r>
        <w:rPr>
          <w:spacing w:val="40"/>
          <w:sz w:val="22"/>
        </w:rPr>
        <w:t> </w:t>
      </w:r>
      <w:r>
        <w:rPr>
          <w:sz w:val="22"/>
        </w:rPr>
        <w:t>apartado</w:t>
      </w:r>
      <w:r>
        <w:rPr>
          <w:spacing w:val="40"/>
          <w:sz w:val="22"/>
        </w:rPr>
        <w:t> </w:t>
      </w:r>
      <w:r>
        <w:rPr>
          <w:sz w:val="22"/>
        </w:rPr>
        <w:t>registro</w:t>
      </w:r>
      <w:r>
        <w:rPr>
          <w:spacing w:val="40"/>
          <w:sz w:val="22"/>
        </w:rPr>
        <w:t> </w:t>
      </w:r>
      <w:r>
        <w:rPr>
          <w:sz w:val="22"/>
        </w:rPr>
        <w:t>de</w:t>
      </w:r>
      <w:r>
        <w:rPr>
          <w:spacing w:val="40"/>
          <w:sz w:val="22"/>
        </w:rPr>
        <w:t> </w:t>
      </w:r>
      <w:r>
        <w:rPr>
          <w:sz w:val="22"/>
        </w:rPr>
        <w:t>convenios</w:t>
      </w:r>
      <w:r>
        <w:rPr>
          <w:spacing w:val="40"/>
          <w:sz w:val="22"/>
        </w:rPr>
        <w:t> </w:t>
      </w:r>
      <w:r>
        <w:rPr>
          <w:sz w:val="22"/>
        </w:rPr>
        <w:t>dispone</w:t>
      </w:r>
      <w:r>
        <w:rPr>
          <w:spacing w:val="40"/>
          <w:sz w:val="22"/>
        </w:rPr>
        <w:t> </w:t>
      </w:r>
      <w:r>
        <w:rPr>
          <w:sz w:val="22"/>
        </w:rPr>
        <w:t>de</w:t>
      </w:r>
      <w:r>
        <w:rPr>
          <w:spacing w:val="40"/>
          <w:sz w:val="22"/>
        </w:rPr>
        <w:t> </w:t>
      </w:r>
      <w:r>
        <w:rPr>
          <w:sz w:val="22"/>
        </w:rPr>
        <w:t>una</w:t>
      </w:r>
      <w:r>
        <w:rPr>
          <w:spacing w:val="40"/>
          <w:sz w:val="22"/>
        </w:rPr>
        <w:t> </w:t>
      </w:r>
      <w:r>
        <w:rPr>
          <w:sz w:val="22"/>
        </w:rPr>
        <w:t>funcionalidad</w:t>
      </w:r>
      <w:r>
        <w:rPr>
          <w:spacing w:val="40"/>
          <w:sz w:val="22"/>
        </w:rPr>
        <w:t> </w:t>
      </w:r>
      <w:r>
        <w:rPr>
          <w:sz w:val="22"/>
        </w:rPr>
        <w:t>que</w:t>
      </w:r>
      <w:r>
        <w:rPr>
          <w:spacing w:val="40"/>
          <w:sz w:val="22"/>
        </w:rPr>
        <w:t> </w:t>
      </w:r>
      <w:r>
        <w:rPr>
          <w:sz w:val="22"/>
        </w:rPr>
        <w:t>permite</w:t>
      </w:r>
      <w:r>
        <w:rPr>
          <w:spacing w:val="40"/>
          <w:sz w:val="22"/>
        </w:rPr>
        <w:t> </w:t>
      </w:r>
      <w:r>
        <w:rPr>
          <w:sz w:val="22"/>
        </w:rPr>
        <w:t>consultar</w:t>
      </w:r>
    </w:p>
    <w:p>
      <w:pPr>
        <w:pStyle w:val="ListParagraph"/>
        <w:spacing w:after="0" w:line="240" w:lineRule="auto"/>
        <w:jc w:val="both"/>
        <w:rPr>
          <w:sz w:val="22"/>
        </w:rPr>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spacing w:line="242" w:lineRule="auto"/>
        <w:ind w:left="1419" w:right="985"/>
        <w:jc w:val="both"/>
      </w:pPr>
      <w:r>
        <w:rPr/>
        <mc:AlternateContent>
          <mc:Choice Requires="wps">
            <w:drawing>
              <wp:anchor distT="0" distB="0" distL="0" distR="0" allowOverlap="1" layoutInCell="1" locked="0" behindDoc="1" simplePos="0" relativeHeight="474302976">
                <wp:simplePos x="0" y="0"/>
                <wp:positionH relativeFrom="page">
                  <wp:posOffset>1644650</wp:posOffset>
                </wp:positionH>
                <wp:positionV relativeFrom="paragraph">
                  <wp:posOffset>161725</wp:posOffset>
                </wp:positionV>
                <wp:extent cx="35560" cy="160020"/>
                <wp:effectExtent l="0" t="0" r="0" b="0"/>
                <wp:wrapNone/>
                <wp:docPr id="228" name="Graphic 228"/>
                <wp:cNvGraphicFramePr>
                  <a:graphicFrameLocks/>
                </wp:cNvGraphicFramePr>
                <a:graphic>
                  <a:graphicData uri="http://schemas.microsoft.com/office/word/2010/wordprocessingShape">
                    <wps:wsp>
                      <wps:cNvPr id="228" name="Graphic 228"/>
                      <wps:cNvSpPr/>
                      <wps:spPr>
                        <a:xfrm>
                          <a:off x="0" y="0"/>
                          <a:ext cx="35560" cy="160020"/>
                        </a:xfrm>
                        <a:custGeom>
                          <a:avLst/>
                          <a:gdLst/>
                          <a:ahLst/>
                          <a:cxnLst/>
                          <a:rect l="l" t="t" r="r" b="b"/>
                          <a:pathLst>
                            <a:path w="35560" h="160020">
                              <a:moveTo>
                                <a:pt x="35051" y="0"/>
                              </a:moveTo>
                              <a:lnTo>
                                <a:pt x="0" y="0"/>
                              </a:lnTo>
                              <a:lnTo>
                                <a:pt x="0" y="160020"/>
                              </a:lnTo>
                              <a:lnTo>
                                <a:pt x="35051" y="160020"/>
                              </a:lnTo>
                              <a:lnTo>
                                <a:pt x="35051" y="0"/>
                              </a:lnTo>
                              <a:close/>
                            </a:path>
                          </a:pathLst>
                        </a:custGeom>
                        <a:solidFill>
                          <a:srgbClr val="F8F8F8"/>
                        </a:solidFill>
                      </wps:spPr>
                      <wps:bodyPr wrap="square" lIns="0" tIns="0" rIns="0" bIns="0" rtlCol="0">
                        <a:prstTxWarp prst="textNoShape">
                          <a:avLst/>
                        </a:prstTxWarp>
                        <a:noAutofit/>
                      </wps:bodyPr>
                    </wps:wsp>
                  </a:graphicData>
                </a:graphic>
              </wp:anchor>
            </w:drawing>
          </mc:Choice>
          <mc:Fallback>
            <w:pict>
              <v:rect style="position:absolute;margin-left:129.5pt;margin-top:12.734297pt;width:2.76pt;height:12.6pt;mso-position-horizontal-relative:page;mso-position-vertical-relative:paragraph;z-index:-29013504" id="docshape207" filled="true" fillcolor="#f8f8f8" stroked="false">
                <v:fill type="solid"/>
                <w10:wrap type="none"/>
              </v:rect>
            </w:pict>
          </mc:Fallback>
        </mc:AlternateContent>
      </w:r>
      <w:r>
        <w:rPr/>
        <w:t>aquellos convenios que respondan a los criterios introducidos en las diferentes opciones de búsqueda.</w:t>
      </w:r>
      <w:r>
        <w:rPr>
          <w:spacing w:val="-8"/>
        </w:rPr>
        <w:t> </w:t>
      </w:r>
      <w:r>
        <w:rPr/>
        <w:t>El</w:t>
      </w:r>
      <w:r>
        <w:rPr>
          <w:spacing w:val="-2"/>
        </w:rPr>
        <w:t> </w:t>
      </w:r>
      <w:r>
        <w:rPr/>
        <w:t>contenido</w:t>
      </w:r>
      <w:r>
        <w:rPr>
          <w:spacing w:val="-4"/>
        </w:rPr>
        <w:t> </w:t>
      </w:r>
      <w:r>
        <w:rPr/>
        <w:t>de</w:t>
      </w:r>
      <w:r>
        <w:rPr>
          <w:spacing w:val="-2"/>
        </w:rPr>
        <w:t> </w:t>
      </w:r>
      <w:r>
        <w:rPr/>
        <w:t>los</w:t>
      </w:r>
      <w:r>
        <w:rPr>
          <w:spacing w:val="-2"/>
        </w:rPr>
        <w:t> </w:t>
      </w:r>
      <w:r>
        <w:rPr/>
        <w:t>documentos</w:t>
      </w:r>
      <w:r>
        <w:rPr>
          <w:spacing w:val="-2"/>
        </w:rPr>
        <w:t> </w:t>
      </w:r>
      <w:r>
        <w:rPr/>
        <w:t>asociados</w:t>
      </w:r>
      <w:r>
        <w:rPr>
          <w:spacing w:val="-2"/>
        </w:rPr>
        <w:t> </w:t>
      </w:r>
      <w:r>
        <w:rPr/>
        <w:t>a</w:t>
      </w:r>
      <w:r>
        <w:rPr>
          <w:spacing w:val="-1"/>
        </w:rPr>
        <w:t> </w:t>
      </w:r>
      <w:r>
        <w:rPr/>
        <w:t>cada</w:t>
      </w:r>
      <w:r>
        <w:rPr>
          <w:spacing w:val="-2"/>
        </w:rPr>
        <w:t> </w:t>
      </w:r>
      <w:r>
        <w:rPr/>
        <w:t>búsqueda</w:t>
      </w:r>
      <w:r>
        <w:rPr>
          <w:spacing w:val="-2"/>
        </w:rPr>
        <w:t> </w:t>
      </w:r>
      <w:r>
        <w:rPr/>
        <w:t>consiste</w:t>
      </w:r>
      <w:r>
        <w:rPr>
          <w:spacing w:val="-2"/>
        </w:rPr>
        <w:t> </w:t>
      </w:r>
      <w:r>
        <w:rPr/>
        <w:t>en</w:t>
      </w:r>
      <w:r>
        <w:rPr>
          <w:spacing w:val="-2"/>
        </w:rPr>
        <w:t> </w:t>
      </w:r>
      <w:r>
        <w:rPr/>
        <w:t>una</w:t>
      </w:r>
      <w:r>
        <w:rPr>
          <w:spacing w:val="-4"/>
        </w:rPr>
        <w:t> </w:t>
      </w:r>
      <w:r>
        <w:rPr/>
        <w:t>ficha-registro,</w:t>
      </w:r>
      <w:r>
        <w:rPr>
          <w:spacing w:val="-4"/>
        </w:rPr>
        <w:t> </w:t>
      </w:r>
      <w:r>
        <w:rPr/>
        <w:t>por</w:t>
      </w:r>
      <w:r>
        <w:rPr>
          <w:spacing w:val="-4"/>
        </w:rPr>
        <w:t> </w:t>
      </w:r>
      <w:r>
        <w:rPr/>
        <w:t>convenio,</w:t>
      </w:r>
      <w:r>
        <w:rPr>
          <w:spacing w:val="-1"/>
        </w:rPr>
        <w:t> </w:t>
      </w:r>
      <w:r>
        <w:rPr/>
        <w:t>que</w:t>
      </w:r>
      <w:r>
        <w:rPr>
          <w:spacing w:val="-3"/>
        </w:rPr>
        <w:t> </w:t>
      </w:r>
      <w:r>
        <w:rPr/>
        <w:t>contiene</w:t>
      </w:r>
      <w:r>
        <w:rPr>
          <w:spacing w:val="-3"/>
        </w:rPr>
        <w:t> </w:t>
      </w:r>
      <w:r>
        <w:rPr/>
        <w:t>los</w:t>
      </w:r>
      <w:r>
        <w:rPr>
          <w:spacing w:val="-5"/>
        </w:rPr>
        <w:t> </w:t>
      </w:r>
      <w:r>
        <w:rPr/>
        <w:t>datos</w:t>
      </w:r>
      <w:r>
        <w:rPr>
          <w:spacing w:val="-2"/>
        </w:rPr>
        <w:t> </w:t>
      </w:r>
      <w:r>
        <w:rPr/>
        <w:t>identificativos,</w:t>
      </w:r>
      <w:r>
        <w:rPr>
          <w:spacing w:val="-1"/>
        </w:rPr>
        <w:t> </w:t>
      </w:r>
      <w:r>
        <w:rPr/>
        <w:t>así</w:t>
      </w:r>
      <w:r>
        <w:rPr>
          <w:spacing w:val="-4"/>
        </w:rPr>
        <w:t> </w:t>
      </w:r>
      <w:r>
        <w:rPr/>
        <w:t>como</w:t>
      </w:r>
      <w:r>
        <w:rPr>
          <w:spacing w:val="-5"/>
        </w:rPr>
        <w:t> </w:t>
      </w:r>
      <w:r>
        <w:rPr/>
        <w:t>los</w:t>
      </w:r>
      <w:r>
        <w:rPr>
          <w:spacing w:val="-5"/>
        </w:rPr>
        <w:t> </w:t>
      </w:r>
      <w:r>
        <w:rPr/>
        <w:t>aspectos</w:t>
      </w:r>
      <w:r>
        <w:rPr>
          <w:spacing w:val="-5"/>
        </w:rPr>
        <w:t> </w:t>
      </w:r>
      <w:r>
        <w:rPr/>
        <w:t>esenciales de cada convenio.</w:t>
      </w:r>
    </w:p>
    <w:p>
      <w:pPr>
        <w:pStyle w:val="ListParagraph"/>
        <w:numPr>
          <w:ilvl w:val="4"/>
          <w:numId w:val="3"/>
        </w:numPr>
        <w:tabs>
          <w:tab w:pos="1419" w:val="left" w:leader="none"/>
        </w:tabs>
        <w:spacing w:line="240" w:lineRule="auto" w:before="231" w:after="0"/>
        <w:ind w:left="1419" w:right="987" w:hanging="358"/>
        <w:jc w:val="both"/>
        <w:rPr>
          <w:sz w:val="22"/>
        </w:rPr>
      </w:pPr>
      <w:r>
        <w:rPr>
          <w:sz w:val="22"/>
        </w:rPr>
        <w:t>En</w:t>
      </w:r>
      <w:r>
        <w:rPr>
          <w:spacing w:val="-7"/>
          <w:sz w:val="22"/>
        </w:rPr>
        <w:t> </w:t>
      </w:r>
      <w:r>
        <w:rPr>
          <w:sz w:val="22"/>
        </w:rPr>
        <w:t>materia</w:t>
      </w:r>
      <w:r>
        <w:rPr>
          <w:spacing w:val="-7"/>
          <w:sz w:val="22"/>
        </w:rPr>
        <w:t> </w:t>
      </w:r>
      <w:r>
        <w:rPr>
          <w:sz w:val="22"/>
        </w:rPr>
        <w:t>de</w:t>
      </w:r>
      <w:r>
        <w:rPr>
          <w:spacing w:val="-10"/>
          <w:sz w:val="22"/>
        </w:rPr>
        <w:t> </w:t>
      </w:r>
      <w:r>
        <w:rPr>
          <w:sz w:val="22"/>
        </w:rPr>
        <w:t>presupuestos,</w:t>
      </w:r>
      <w:r>
        <w:rPr>
          <w:spacing w:val="-9"/>
          <w:sz w:val="22"/>
        </w:rPr>
        <w:t> </w:t>
      </w:r>
      <w:r>
        <w:rPr>
          <w:sz w:val="22"/>
        </w:rPr>
        <w:t>se</w:t>
      </w:r>
      <w:r>
        <w:rPr>
          <w:spacing w:val="-10"/>
          <w:sz w:val="22"/>
        </w:rPr>
        <w:t> </w:t>
      </w:r>
      <w:r>
        <w:rPr>
          <w:sz w:val="22"/>
        </w:rPr>
        <w:t>encontraban</w:t>
      </w:r>
      <w:r>
        <w:rPr>
          <w:spacing w:val="-10"/>
          <w:sz w:val="22"/>
        </w:rPr>
        <w:t> </w:t>
      </w:r>
      <w:r>
        <w:rPr>
          <w:sz w:val="22"/>
        </w:rPr>
        <w:t>publicados</w:t>
      </w:r>
      <w:r>
        <w:rPr>
          <w:spacing w:val="-7"/>
          <w:sz w:val="22"/>
        </w:rPr>
        <w:t> </w:t>
      </w:r>
      <w:r>
        <w:rPr>
          <w:sz w:val="22"/>
        </w:rPr>
        <w:t>los</w:t>
      </w:r>
      <w:r>
        <w:rPr>
          <w:spacing w:val="-10"/>
          <w:sz w:val="22"/>
        </w:rPr>
        <w:t> </w:t>
      </w:r>
      <w:r>
        <w:rPr>
          <w:sz w:val="22"/>
        </w:rPr>
        <w:t>aprobados</w:t>
      </w:r>
      <w:r>
        <w:rPr>
          <w:spacing w:val="-9"/>
          <w:sz w:val="22"/>
        </w:rPr>
        <w:t> </w:t>
      </w:r>
      <w:r>
        <w:rPr>
          <w:sz w:val="22"/>
        </w:rPr>
        <w:t>por</w:t>
      </w:r>
      <w:r>
        <w:rPr>
          <w:spacing w:val="-11"/>
          <w:sz w:val="22"/>
        </w:rPr>
        <w:t> </w:t>
      </w:r>
      <w:r>
        <w:rPr>
          <w:sz w:val="22"/>
        </w:rPr>
        <w:t>todas</w:t>
      </w:r>
      <w:r>
        <w:rPr>
          <w:spacing w:val="-10"/>
          <w:sz w:val="22"/>
        </w:rPr>
        <w:t> </w:t>
      </w:r>
      <w:r>
        <w:rPr>
          <w:sz w:val="22"/>
        </w:rPr>
        <w:t>las</w:t>
      </w:r>
      <w:r>
        <w:rPr>
          <w:spacing w:val="-10"/>
          <w:sz w:val="22"/>
        </w:rPr>
        <w:t> </w:t>
      </w:r>
      <w:r>
        <w:rPr>
          <w:sz w:val="22"/>
        </w:rPr>
        <w:t>entidades fiscalizadas. También todas ellas han publicado las modificaciones presupuestarias. No obstante, el </w:t>
      </w:r>
      <w:r>
        <w:rPr>
          <w:b/>
          <w:sz w:val="22"/>
        </w:rPr>
        <w:t>Ayuntamiento de Córdoba </w:t>
      </w:r>
      <w:r>
        <w:rPr>
          <w:sz w:val="22"/>
        </w:rPr>
        <w:t>solo ha publicado las correspondientes al ejercicio 2025 y el </w:t>
      </w:r>
      <w:r>
        <w:rPr>
          <w:b/>
          <w:sz w:val="22"/>
        </w:rPr>
        <w:t>Ayuntamiento de Sevilla </w:t>
      </w:r>
      <w:r>
        <w:rPr>
          <w:sz w:val="22"/>
        </w:rPr>
        <w:t>no ha publicado las modificaciones efectuadas después del</w:t>
      </w:r>
      <w:r>
        <w:rPr>
          <w:spacing w:val="-6"/>
          <w:sz w:val="22"/>
        </w:rPr>
        <w:t> </w:t>
      </w:r>
      <w:r>
        <w:rPr>
          <w:sz w:val="22"/>
        </w:rPr>
        <w:t>ejercicio</w:t>
      </w:r>
      <w:r>
        <w:rPr>
          <w:spacing w:val="-5"/>
          <w:sz w:val="22"/>
        </w:rPr>
        <w:t> </w:t>
      </w:r>
      <w:r>
        <w:rPr>
          <w:sz w:val="22"/>
        </w:rPr>
        <w:t>2023.</w:t>
      </w:r>
      <w:r>
        <w:rPr>
          <w:spacing w:val="-4"/>
          <w:sz w:val="22"/>
        </w:rPr>
        <w:t> </w:t>
      </w:r>
      <w:r>
        <w:rPr>
          <w:sz w:val="22"/>
        </w:rPr>
        <w:t>Asimismo,</w:t>
      </w:r>
      <w:r>
        <w:rPr>
          <w:spacing w:val="-6"/>
          <w:sz w:val="22"/>
        </w:rPr>
        <w:t> </w:t>
      </w:r>
      <w:r>
        <w:rPr>
          <w:sz w:val="22"/>
        </w:rPr>
        <w:t>solo</w:t>
      </w:r>
      <w:r>
        <w:rPr>
          <w:spacing w:val="-5"/>
          <w:sz w:val="22"/>
        </w:rPr>
        <w:t> </w:t>
      </w:r>
      <w:r>
        <w:rPr>
          <w:sz w:val="22"/>
        </w:rPr>
        <w:t>el</w:t>
      </w:r>
      <w:r>
        <w:rPr>
          <w:spacing w:val="-5"/>
          <w:sz w:val="22"/>
        </w:rPr>
        <w:t> </w:t>
      </w:r>
      <w:r>
        <w:rPr>
          <w:b/>
          <w:sz w:val="22"/>
        </w:rPr>
        <w:t>Ayuntamiento</w:t>
      </w:r>
      <w:r>
        <w:rPr>
          <w:b/>
          <w:spacing w:val="-5"/>
          <w:sz w:val="22"/>
        </w:rPr>
        <w:t> </w:t>
      </w:r>
      <w:r>
        <w:rPr>
          <w:b/>
          <w:sz w:val="22"/>
        </w:rPr>
        <w:t>de</w:t>
      </w:r>
      <w:r>
        <w:rPr>
          <w:b/>
          <w:spacing w:val="-5"/>
          <w:sz w:val="22"/>
        </w:rPr>
        <w:t> </w:t>
      </w:r>
      <w:r>
        <w:rPr>
          <w:b/>
          <w:sz w:val="22"/>
        </w:rPr>
        <w:t>Palma</w:t>
      </w:r>
      <w:r>
        <w:rPr>
          <w:b/>
          <w:spacing w:val="-3"/>
          <w:sz w:val="22"/>
        </w:rPr>
        <w:t> </w:t>
      </w:r>
      <w:r>
        <w:rPr>
          <w:sz w:val="22"/>
        </w:rPr>
        <w:t>publica</w:t>
      </w:r>
      <w:r>
        <w:rPr>
          <w:spacing w:val="-5"/>
          <w:sz w:val="22"/>
        </w:rPr>
        <w:t> </w:t>
      </w:r>
      <w:r>
        <w:rPr>
          <w:sz w:val="22"/>
        </w:rPr>
        <w:t>información</w:t>
      </w:r>
      <w:r>
        <w:rPr>
          <w:spacing w:val="-5"/>
          <w:sz w:val="22"/>
        </w:rPr>
        <w:t> </w:t>
      </w:r>
      <w:r>
        <w:rPr>
          <w:sz w:val="22"/>
        </w:rPr>
        <w:t>actualizada sobre el estado de ejecución del presupuesto corriente.</w:t>
      </w:r>
    </w:p>
    <w:p>
      <w:pPr>
        <w:pStyle w:val="ListParagraph"/>
        <w:numPr>
          <w:ilvl w:val="4"/>
          <w:numId w:val="3"/>
        </w:numPr>
        <w:tabs>
          <w:tab w:pos="1417" w:val="left" w:leader="none"/>
        </w:tabs>
        <w:spacing w:line="240" w:lineRule="auto" w:before="239" w:after="0"/>
        <w:ind w:left="1417" w:right="985" w:hanging="358"/>
        <w:jc w:val="both"/>
        <w:rPr>
          <w:sz w:val="22"/>
        </w:rPr>
      </w:pPr>
      <w:r>
        <w:rPr>
          <w:sz w:val="22"/>
        </w:rPr>
        <w:t>En el ejercicio 2024 se reactivaron las reglas fiscales, tras cuatro años de suspensión, lo que supuso que las distintas administraciones públicas quedaban obligadas a cumplir con los objetivos de estabilidad presupuestaria y sostenibilidad financiera. Únicamente los </w:t>
      </w:r>
      <w:r>
        <w:rPr>
          <w:b/>
          <w:sz w:val="22"/>
        </w:rPr>
        <w:t>Ayuntamientos de Alicante, Córdoba </w:t>
      </w:r>
      <w:r>
        <w:rPr>
          <w:sz w:val="22"/>
        </w:rPr>
        <w:t>y </w:t>
      </w:r>
      <w:r>
        <w:rPr>
          <w:b/>
          <w:sz w:val="22"/>
        </w:rPr>
        <w:t>Málaga </w:t>
      </w:r>
      <w:r>
        <w:rPr>
          <w:sz w:val="22"/>
        </w:rPr>
        <w:t>han publicado el informe de estabilidad presupuestaria y sostenibilidad financiera del presupuesto del ejercicio 2025 y los </w:t>
      </w:r>
      <w:r>
        <w:rPr>
          <w:b/>
          <w:sz w:val="22"/>
        </w:rPr>
        <w:t>Ayuntamientos de Las Palmas de Gran Canaria </w:t>
      </w:r>
      <w:r>
        <w:rPr>
          <w:sz w:val="22"/>
        </w:rPr>
        <w:t>y </w:t>
      </w:r>
      <w:r>
        <w:rPr>
          <w:b/>
          <w:sz w:val="22"/>
        </w:rPr>
        <w:t>Palma </w:t>
      </w:r>
      <w:r>
        <w:rPr>
          <w:sz w:val="22"/>
        </w:rPr>
        <w:t>el informe del ejercicio 2024. El </w:t>
      </w:r>
      <w:r>
        <w:rPr>
          <w:b/>
          <w:sz w:val="22"/>
        </w:rPr>
        <w:t>Ayuntamiento de Sevilla </w:t>
      </w:r>
      <w:r>
        <w:rPr>
          <w:sz w:val="22"/>
        </w:rPr>
        <w:t>ha publicado varios informes, el último el de 2020. Del resto no consta su publicación para ningún ejercicio. En relación con los informes de estabilidad presupuestaria y sostenibilidad financiera referidos a la liquidación de los presupuestos únicamente el </w:t>
      </w:r>
      <w:r>
        <w:rPr>
          <w:b/>
          <w:sz w:val="22"/>
        </w:rPr>
        <w:t>Ayuntamiento de Murcia </w:t>
      </w:r>
      <w:r>
        <w:rPr>
          <w:sz w:val="22"/>
        </w:rPr>
        <w:t>ha publicado los correspondientes al ejercicio 2024.</w:t>
      </w:r>
    </w:p>
    <w:p>
      <w:pPr>
        <w:pStyle w:val="ListParagraph"/>
        <w:numPr>
          <w:ilvl w:val="4"/>
          <w:numId w:val="3"/>
        </w:numPr>
        <w:tabs>
          <w:tab w:pos="1419" w:val="left" w:leader="none"/>
        </w:tabs>
        <w:spacing w:line="240" w:lineRule="auto" w:before="240" w:after="0"/>
        <w:ind w:left="1419" w:right="989" w:hanging="358"/>
        <w:jc w:val="both"/>
        <w:rPr>
          <w:sz w:val="22"/>
        </w:rPr>
      </w:pPr>
      <w:r>
        <w:rPr>
          <w:sz w:val="22"/>
        </w:rPr>
        <w:t>El</w:t>
      </w:r>
      <w:r>
        <w:rPr>
          <w:spacing w:val="-16"/>
          <w:sz w:val="22"/>
        </w:rPr>
        <w:t> </w:t>
      </w:r>
      <w:r>
        <w:rPr>
          <w:b/>
          <w:sz w:val="22"/>
        </w:rPr>
        <w:t>Ayuntamiento</w:t>
      </w:r>
      <w:r>
        <w:rPr>
          <w:b/>
          <w:spacing w:val="-15"/>
          <w:sz w:val="22"/>
        </w:rPr>
        <w:t> </w:t>
      </w:r>
      <w:r>
        <w:rPr>
          <w:b/>
          <w:sz w:val="22"/>
        </w:rPr>
        <w:t>de</w:t>
      </w:r>
      <w:r>
        <w:rPr>
          <w:b/>
          <w:spacing w:val="-15"/>
          <w:sz w:val="22"/>
        </w:rPr>
        <w:t> </w:t>
      </w:r>
      <w:r>
        <w:rPr>
          <w:b/>
          <w:sz w:val="22"/>
        </w:rPr>
        <w:t>Córdoba</w:t>
      </w:r>
      <w:r>
        <w:rPr>
          <w:b/>
          <w:spacing w:val="-13"/>
          <w:sz w:val="22"/>
        </w:rPr>
        <w:t> </w:t>
      </w:r>
      <w:r>
        <w:rPr>
          <w:sz w:val="22"/>
        </w:rPr>
        <w:t>no</w:t>
      </w:r>
      <w:r>
        <w:rPr>
          <w:spacing w:val="-14"/>
          <w:sz w:val="22"/>
        </w:rPr>
        <w:t> </w:t>
      </w:r>
      <w:r>
        <w:rPr>
          <w:sz w:val="22"/>
        </w:rPr>
        <w:t>ha</w:t>
      </w:r>
      <w:r>
        <w:rPr>
          <w:spacing w:val="-16"/>
          <w:sz w:val="22"/>
        </w:rPr>
        <w:t> </w:t>
      </w:r>
      <w:r>
        <w:rPr>
          <w:sz w:val="22"/>
        </w:rPr>
        <w:t>publicado</w:t>
      </w:r>
      <w:r>
        <w:rPr>
          <w:spacing w:val="-14"/>
          <w:sz w:val="22"/>
        </w:rPr>
        <w:t> </w:t>
      </w:r>
      <w:r>
        <w:rPr>
          <w:sz w:val="22"/>
        </w:rPr>
        <w:t>información</w:t>
      </w:r>
      <w:r>
        <w:rPr>
          <w:spacing w:val="-16"/>
          <w:sz w:val="22"/>
        </w:rPr>
        <w:t> </w:t>
      </w:r>
      <w:r>
        <w:rPr>
          <w:sz w:val="22"/>
        </w:rPr>
        <w:t>sobre</w:t>
      </w:r>
      <w:r>
        <w:rPr>
          <w:spacing w:val="-15"/>
          <w:sz w:val="22"/>
        </w:rPr>
        <w:t> </w:t>
      </w:r>
      <w:r>
        <w:rPr>
          <w:sz w:val="22"/>
        </w:rPr>
        <w:t>sus</w:t>
      </w:r>
      <w:r>
        <w:rPr>
          <w:spacing w:val="-15"/>
          <w:sz w:val="22"/>
        </w:rPr>
        <w:t> </w:t>
      </w:r>
      <w:r>
        <w:rPr>
          <w:sz w:val="22"/>
        </w:rPr>
        <w:t>cuentas</w:t>
      </w:r>
      <w:r>
        <w:rPr>
          <w:spacing w:val="-13"/>
          <w:sz w:val="22"/>
        </w:rPr>
        <w:t> </w:t>
      </w:r>
      <w:r>
        <w:rPr>
          <w:sz w:val="22"/>
        </w:rPr>
        <w:t>anuales.</w:t>
      </w:r>
      <w:r>
        <w:rPr>
          <w:spacing w:val="-12"/>
          <w:sz w:val="22"/>
        </w:rPr>
        <w:t> </w:t>
      </w:r>
      <w:r>
        <w:rPr>
          <w:sz w:val="22"/>
        </w:rPr>
        <w:t>El</w:t>
      </w:r>
      <w:r>
        <w:rPr>
          <w:spacing w:val="-14"/>
          <w:sz w:val="22"/>
        </w:rPr>
        <w:t> </w:t>
      </w:r>
      <w:r>
        <w:rPr>
          <w:sz w:val="22"/>
        </w:rPr>
        <w:t>resto lo</w:t>
      </w:r>
      <w:r>
        <w:rPr>
          <w:spacing w:val="-6"/>
          <w:sz w:val="22"/>
        </w:rPr>
        <w:t> </w:t>
      </w:r>
      <w:r>
        <w:rPr>
          <w:sz w:val="22"/>
        </w:rPr>
        <w:t>hacen</w:t>
      </w:r>
      <w:r>
        <w:rPr>
          <w:spacing w:val="-7"/>
          <w:sz w:val="22"/>
        </w:rPr>
        <w:t> </w:t>
      </w:r>
      <w:r>
        <w:rPr>
          <w:sz w:val="22"/>
        </w:rPr>
        <w:t>bien</w:t>
      </w:r>
      <w:r>
        <w:rPr>
          <w:spacing w:val="-9"/>
          <w:sz w:val="22"/>
        </w:rPr>
        <w:t> </w:t>
      </w:r>
      <w:r>
        <w:rPr>
          <w:sz w:val="22"/>
        </w:rPr>
        <w:t>en</w:t>
      </w:r>
      <w:r>
        <w:rPr>
          <w:spacing w:val="-9"/>
          <w:sz w:val="22"/>
        </w:rPr>
        <w:t> </w:t>
      </w:r>
      <w:r>
        <w:rPr>
          <w:sz w:val="22"/>
        </w:rPr>
        <w:t>su</w:t>
      </w:r>
      <w:r>
        <w:rPr>
          <w:spacing w:val="-6"/>
          <w:sz w:val="22"/>
        </w:rPr>
        <w:t> </w:t>
      </w:r>
      <w:r>
        <w:rPr>
          <w:sz w:val="22"/>
        </w:rPr>
        <w:t>página</w:t>
      </w:r>
      <w:r>
        <w:rPr>
          <w:spacing w:val="-7"/>
          <w:sz w:val="22"/>
        </w:rPr>
        <w:t> </w:t>
      </w:r>
      <w:r>
        <w:rPr>
          <w:sz w:val="22"/>
        </w:rPr>
        <w:t>web</w:t>
      </w:r>
      <w:r>
        <w:rPr>
          <w:spacing w:val="-7"/>
          <w:sz w:val="22"/>
        </w:rPr>
        <w:t> </w:t>
      </w:r>
      <w:r>
        <w:rPr>
          <w:sz w:val="22"/>
        </w:rPr>
        <w:t>o</w:t>
      </w:r>
      <w:r>
        <w:rPr>
          <w:spacing w:val="-11"/>
          <w:sz w:val="22"/>
        </w:rPr>
        <w:t> </w:t>
      </w:r>
      <w:r>
        <w:rPr>
          <w:sz w:val="22"/>
        </w:rPr>
        <w:t>mediante</w:t>
      </w:r>
      <w:r>
        <w:rPr>
          <w:spacing w:val="-9"/>
          <w:sz w:val="22"/>
        </w:rPr>
        <w:t> </w:t>
      </w:r>
      <w:r>
        <w:rPr>
          <w:sz w:val="22"/>
        </w:rPr>
        <w:t>un</w:t>
      </w:r>
      <w:r>
        <w:rPr>
          <w:spacing w:val="-9"/>
          <w:sz w:val="22"/>
        </w:rPr>
        <w:t> </w:t>
      </w:r>
      <w:r>
        <w:rPr>
          <w:sz w:val="22"/>
        </w:rPr>
        <w:t>enlace</w:t>
      </w:r>
      <w:r>
        <w:rPr>
          <w:spacing w:val="-7"/>
          <w:sz w:val="22"/>
        </w:rPr>
        <w:t> </w:t>
      </w:r>
      <w:r>
        <w:rPr>
          <w:sz w:val="22"/>
        </w:rPr>
        <w:t>al</w:t>
      </w:r>
      <w:r>
        <w:rPr>
          <w:spacing w:val="-7"/>
          <w:sz w:val="22"/>
        </w:rPr>
        <w:t> </w:t>
      </w:r>
      <w:r>
        <w:rPr>
          <w:sz w:val="22"/>
        </w:rPr>
        <w:t>Portal</w:t>
      </w:r>
      <w:r>
        <w:rPr>
          <w:spacing w:val="-7"/>
          <w:sz w:val="22"/>
        </w:rPr>
        <w:t> </w:t>
      </w:r>
      <w:r>
        <w:rPr>
          <w:sz w:val="22"/>
        </w:rPr>
        <w:t>de</w:t>
      </w:r>
      <w:r>
        <w:rPr>
          <w:spacing w:val="-9"/>
          <w:sz w:val="22"/>
        </w:rPr>
        <w:t> </w:t>
      </w:r>
      <w:r>
        <w:rPr>
          <w:sz w:val="22"/>
        </w:rPr>
        <w:t>Rendición</w:t>
      </w:r>
      <w:r>
        <w:rPr>
          <w:spacing w:val="-7"/>
          <w:sz w:val="22"/>
        </w:rPr>
        <w:t> </w:t>
      </w:r>
      <w:r>
        <w:rPr>
          <w:sz w:val="22"/>
        </w:rPr>
        <w:t>de</w:t>
      </w:r>
      <w:r>
        <w:rPr>
          <w:spacing w:val="-9"/>
          <w:sz w:val="22"/>
        </w:rPr>
        <w:t> </w:t>
      </w:r>
      <w:r>
        <w:rPr>
          <w:sz w:val="22"/>
        </w:rPr>
        <w:t>Cuentas</w:t>
      </w:r>
      <w:r>
        <w:rPr>
          <w:spacing w:val="-8"/>
          <w:sz w:val="22"/>
        </w:rPr>
        <w:t> </w:t>
      </w:r>
      <w:r>
        <w:rPr>
          <w:sz w:val="22"/>
        </w:rPr>
        <w:t>de</w:t>
      </w:r>
      <w:r>
        <w:rPr>
          <w:spacing w:val="-9"/>
          <w:sz w:val="22"/>
        </w:rPr>
        <w:t> </w:t>
      </w:r>
      <w:r>
        <w:rPr>
          <w:sz w:val="22"/>
        </w:rPr>
        <w:t>las Entidades Locales o a la web del Tribunal Vasco de Cuentas Públicas.</w:t>
      </w:r>
    </w:p>
    <w:p>
      <w:pPr>
        <w:pStyle w:val="ListParagraph"/>
        <w:numPr>
          <w:ilvl w:val="4"/>
          <w:numId w:val="3"/>
        </w:numPr>
        <w:tabs>
          <w:tab w:pos="1419" w:val="left" w:leader="none"/>
        </w:tabs>
        <w:spacing w:line="240" w:lineRule="auto" w:before="242" w:after="0"/>
        <w:ind w:left="1419" w:right="986" w:hanging="358"/>
        <w:jc w:val="both"/>
        <w:rPr>
          <w:sz w:val="22"/>
        </w:rPr>
      </w:pPr>
      <w:r>
        <w:rPr>
          <w:sz w:val="22"/>
        </w:rPr>
        <w:t>Los </w:t>
      </w:r>
      <w:r>
        <w:rPr>
          <w:b/>
          <w:sz w:val="22"/>
        </w:rPr>
        <w:t>Ayuntamientos de Alicante </w:t>
      </w:r>
      <w:r>
        <w:rPr>
          <w:sz w:val="22"/>
        </w:rPr>
        <w:t>y </w:t>
      </w:r>
      <w:r>
        <w:rPr>
          <w:b/>
          <w:sz w:val="22"/>
        </w:rPr>
        <w:t>Córdoba </w:t>
      </w:r>
      <w:r>
        <w:rPr>
          <w:sz w:val="22"/>
        </w:rPr>
        <w:t>no han publicado los informes de auditoría de cuentas sobre las entidades dependientes. Los </w:t>
      </w:r>
      <w:r>
        <w:rPr>
          <w:b/>
          <w:sz w:val="22"/>
        </w:rPr>
        <w:t>Ayuntamientos de Las Palmas de Gran Canaria </w:t>
      </w:r>
      <w:r>
        <w:rPr>
          <w:sz w:val="22"/>
        </w:rPr>
        <w:t>y </w:t>
      </w:r>
      <w:r>
        <w:rPr>
          <w:b/>
          <w:sz w:val="22"/>
        </w:rPr>
        <w:t>Sevilla </w:t>
      </w:r>
      <w:r>
        <w:rPr>
          <w:sz w:val="22"/>
        </w:rPr>
        <w:t>los han publicado en las páginas web de cada sociedad mercantil y el </w:t>
      </w:r>
      <w:r>
        <w:rPr>
          <w:b/>
          <w:sz w:val="22"/>
        </w:rPr>
        <w:t>Ayuntamiento de Murcia </w:t>
      </w:r>
      <w:r>
        <w:rPr>
          <w:sz w:val="22"/>
        </w:rPr>
        <w:t>solo ha publicado los correspondientes al ejercicio 2021.</w:t>
      </w:r>
    </w:p>
    <w:p>
      <w:pPr>
        <w:pStyle w:val="ListParagraph"/>
        <w:numPr>
          <w:ilvl w:val="4"/>
          <w:numId w:val="3"/>
        </w:numPr>
        <w:tabs>
          <w:tab w:pos="1419" w:val="left" w:leader="none"/>
        </w:tabs>
        <w:spacing w:line="240" w:lineRule="auto" w:before="239" w:after="0"/>
        <w:ind w:left="1419" w:right="985" w:hanging="358"/>
        <w:jc w:val="both"/>
        <w:rPr>
          <w:sz w:val="22"/>
        </w:rPr>
      </w:pPr>
      <w:r>
        <w:rPr>
          <w:sz w:val="22"/>
        </w:rPr>
        <w:t>Los </w:t>
      </w:r>
      <w:r>
        <w:rPr>
          <w:b/>
          <w:sz w:val="22"/>
        </w:rPr>
        <w:t>Ayuntamientos de Alicante </w:t>
      </w:r>
      <w:r>
        <w:rPr>
          <w:sz w:val="22"/>
        </w:rPr>
        <w:t>y </w:t>
      </w:r>
      <w:r>
        <w:rPr>
          <w:b/>
          <w:sz w:val="22"/>
        </w:rPr>
        <w:t>Córdoba </w:t>
      </w:r>
      <w:r>
        <w:rPr>
          <w:sz w:val="22"/>
        </w:rPr>
        <w:t>no han publicado los últimos informes de fiscalización</w:t>
      </w:r>
      <w:r>
        <w:rPr>
          <w:spacing w:val="-2"/>
          <w:sz w:val="22"/>
        </w:rPr>
        <w:t> </w:t>
      </w:r>
      <w:r>
        <w:rPr>
          <w:sz w:val="22"/>
        </w:rPr>
        <w:t>emitidos</w:t>
      </w:r>
      <w:r>
        <w:rPr>
          <w:spacing w:val="-4"/>
          <w:sz w:val="22"/>
        </w:rPr>
        <w:t> </w:t>
      </w:r>
      <w:r>
        <w:rPr>
          <w:sz w:val="22"/>
        </w:rPr>
        <w:t>por</w:t>
      </w:r>
      <w:r>
        <w:rPr>
          <w:spacing w:val="-3"/>
          <w:sz w:val="22"/>
        </w:rPr>
        <w:t> </w:t>
      </w:r>
      <w:r>
        <w:rPr>
          <w:sz w:val="22"/>
        </w:rPr>
        <w:t>los</w:t>
      </w:r>
      <w:r>
        <w:rPr>
          <w:spacing w:val="-2"/>
          <w:sz w:val="22"/>
        </w:rPr>
        <w:t> </w:t>
      </w:r>
      <w:r>
        <w:rPr>
          <w:sz w:val="22"/>
        </w:rPr>
        <w:t>órganos</w:t>
      </w:r>
      <w:r>
        <w:rPr>
          <w:spacing w:val="-4"/>
          <w:sz w:val="22"/>
        </w:rPr>
        <w:t> </w:t>
      </w:r>
      <w:r>
        <w:rPr>
          <w:sz w:val="22"/>
        </w:rPr>
        <w:t>de</w:t>
      </w:r>
      <w:r>
        <w:rPr>
          <w:spacing w:val="-4"/>
          <w:sz w:val="22"/>
        </w:rPr>
        <w:t> </w:t>
      </w:r>
      <w:r>
        <w:rPr>
          <w:sz w:val="22"/>
        </w:rPr>
        <w:t>control</w:t>
      </w:r>
      <w:r>
        <w:rPr>
          <w:spacing w:val="-3"/>
          <w:sz w:val="22"/>
        </w:rPr>
        <w:t> </w:t>
      </w:r>
      <w:r>
        <w:rPr>
          <w:sz w:val="22"/>
        </w:rPr>
        <w:t>externo</w:t>
      </w:r>
      <w:r>
        <w:rPr>
          <w:spacing w:val="-4"/>
          <w:sz w:val="22"/>
        </w:rPr>
        <w:t> </w:t>
      </w:r>
      <w:r>
        <w:rPr>
          <w:sz w:val="22"/>
        </w:rPr>
        <w:t>autonómicos</w:t>
      </w:r>
      <w:r>
        <w:rPr>
          <w:spacing w:val="-4"/>
          <w:sz w:val="22"/>
        </w:rPr>
        <w:t> </w:t>
      </w:r>
      <w:r>
        <w:rPr>
          <w:sz w:val="22"/>
        </w:rPr>
        <w:t>y</w:t>
      </w:r>
      <w:r>
        <w:rPr>
          <w:spacing w:val="-4"/>
          <w:sz w:val="22"/>
        </w:rPr>
        <w:t> </w:t>
      </w:r>
      <w:r>
        <w:rPr>
          <w:sz w:val="22"/>
        </w:rPr>
        <w:t>el</w:t>
      </w:r>
      <w:r>
        <w:rPr>
          <w:spacing w:val="-5"/>
          <w:sz w:val="22"/>
        </w:rPr>
        <w:t> </w:t>
      </w:r>
      <w:r>
        <w:rPr>
          <w:sz w:val="22"/>
        </w:rPr>
        <w:t>Tribunal</w:t>
      </w:r>
      <w:r>
        <w:rPr>
          <w:spacing w:val="-3"/>
          <w:sz w:val="22"/>
        </w:rPr>
        <w:t> </w:t>
      </w:r>
      <w:r>
        <w:rPr>
          <w:sz w:val="22"/>
        </w:rPr>
        <w:t>de</w:t>
      </w:r>
      <w:r>
        <w:rPr>
          <w:spacing w:val="-2"/>
          <w:sz w:val="22"/>
        </w:rPr>
        <w:t> </w:t>
      </w:r>
      <w:r>
        <w:rPr>
          <w:sz w:val="22"/>
        </w:rPr>
        <w:t>Cuentas relativos a las entidades fiscalizadas y el </w:t>
      </w:r>
      <w:r>
        <w:rPr>
          <w:b/>
          <w:sz w:val="22"/>
        </w:rPr>
        <w:t>Ayuntamiento de Sevilla </w:t>
      </w:r>
      <w:r>
        <w:rPr>
          <w:sz w:val="22"/>
        </w:rPr>
        <w:t>ha publicado los informes aprobados hasta el ejercicio 2020.</w:t>
      </w:r>
    </w:p>
    <w:p>
      <w:pPr>
        <w:pStyle w:val="BodyText"/>
        <w:spacing w:before="108"/>
      </w:pPr>
    </w:p>
    <w:p>
      <w:pPr>
        <w:pStyle w:val="ListParagraph"/>
        <w:numPr>
          <w:ilvl w:val="3"/>
          <w:numId w:val="3"/>
        </w:numPr>
        <w:tabs>
          <w:tab w:pos="1778" w:val="left" w:leader="none"/>
          <w:tab w:pos="1853" w:val="left" w:leader="none"/>
        </w:tabs>
        <w:spacing w:line="240" w:lineRule="auto" w:before="0" w:after="0"/>
        <w:ind w:left="1853" w:right="993" w:hanging="862"/>
        <w:jc w:val="left"/>
        <w:rPr>
          <w:sz w:val="22"/>
        </w:rPr>
      </w:pPr>
      <w:r>
        <w:rPr>
          <w:sz w:val="22"/>
        </w:rPr>
        <w:t>PUBLICIDAD</w:t>
      </w:r>
      <w:r>
        <w:rPr>
          <w:spacing w:val="80"/>
          <w:sz w:val="22"/>
        </w:rPr>
        <w:t> </w:t>
      </w:r>
      <w:r>
        <w:rPr>
          <w:sz w:val="22"/>
        </w:rPr>
        <w:t>ACTIVA</w:t>
      </w:r>
      <w:r>
        <w:rPr>
          <w:spacing w:val="78"/>
          <w:sz w:val="22"/>
        </w:rPr>
        <w:t> </w:t>
      </w:r>
      <w:r>
        <w:rPr>
          <w:sz w:val="22"/>
        </w:rPr>
        <w:t>DE</w:t>
      </w:r>
      <w:r>
        <w:rPr>
          <w:spacing w:val="80"/>
          <w:sz w:val="22"/>
        </w:rPr>
        <w:t> </w:t>
      </w:r>
      <w:r>
        <w:rPr>
          <w:sz w:val="22"/>
        </w:rPr>
        <w:t>LA</w:t>
      </w:r>
      <w:r>
        <w:rPr>
          <w:spacing w:val="78"/>
          <w:sz w:val="22"/>
        </w:rPr>
        <w:t> </w:t>
      </w:r>
      <w:r>
        <w:rPr>
          <w:sz w:val="22"/>
        </w:rPr>
        <w:t>INFORMACIÓN</w:t>
      </w:r>
      <w:r>
        <w:rPr>
          <w:spacing w:val="78"/>
          <w:sz w:val="22"/>
        </w:rPr>
        <w:t> </w:t>
      </w:r>
      <w:r>
        <w:rPr>
          <w:sz w:val="22"/>
        </w:rPr>
        <w:t>DE</w:t>
      </w:r>
      <w:r>
        <w:rPr>
          <w:spacing w:val="80"/>
          <w:sz w:val="22"/>
        </w:rPr>
        <w:t> </w:t>
      </w:r>
      <w:r>
        <w:rPr>
          <w:sz w:val="22"/>
        </w:rPr>
        <w:t>RELEVANCIA</w:t>
      </w:r>
      <w:r>
        <w:rPr>
          <w:spacing w:val="80"/>
          <w:sz w:val="22"/>
        </w:rPr>
        <w:t> </w:t>
      </w:r>
      <w:r>
        <w:rPr>
          <w:sz w:val="22"/>
        </w:rPr>
        <w:t>JURÍDICA</w:t>
      </w:r>
      <w:r>
        <w:rPr>
          <w:spacing w:val="80"/>
          <w:sz w:val="22"/>
        </w:rPr>
        <w:t> </w:t>
      </w:r>
      <w:r>
        <w:rPr>
          <w:sz w:val="22"/>
        </w:rPr>
        <w:t>Y</w:t>
      </w:r>
      <w:r>
        <w:rPr>
          <w:spacing w:val="78"/>
          <w:sz w:val="22"/>
        </w:rPr>
        <w:t> </w:t>
      </w:r>
      <w:r>
        <w:rPr>
          <w:sz w:val="22"/>
        </w:rPr>
        <w:t>DEL REGISTRO DE ACTIVIDADES DE TRATAMIENTO DE DATOS</w:t>
      </w:r>
    </w:p>
    <w:p>
      <w:pPr>
        <w:pStyle w:val="BodyText"/>
        <w:spacing w:before="241"/>
        <w:ind w:left="992" w:right="985"/>
        <w:jc w:val="both"/>
      </w:pPr>
      <w:r>
        <w:rPr/>
        <w:t>En relación con la información de relevancia jurídica, solo los </w:t>
      </w:r>
      <w:r>
        <w:rPr>
          <w:b/>
        </w:rPr>
        <w:t>Ayuntamientos de Sevilla </w:t>
      </w:r>
      <w:r>
        <w:rPr/>
        <w:t>y </w:t>
      </w:r>
      <w:r>
        <w:rPr>
          <w:b/>
        </w:rPr>
        <w:t>Zaragoza </w:t>
      </w:r>
      <w:r>
        <w:rPr/>
        <w:t>publican las directrices, instrucciones, acuerdos, circulares o respuestas a consultas planteadas por los particulares u otros órganos en la medida en que supongan una interpretación del derecho o tengan efectos jurídicos. El </w:t>
      </w:r>
      <w:r>
        <w:rPr>
          <w:b/>
        </w:rPr>
        <w:t>Ayuntamiento de Málaga </w:t>
      </w:r>
      <w:r>
        <w:rPr/>
        <w:t>publica alguna información sobre esta materia, pero aún no está completa.</w:t>
      </w:r>
    </w:p>
    <w:p>
      <w:pPr>
        <w:spacing w:before="240"/>
        <w:ind w:left="992" w:right="987" w:firstLine="0"/>
        <w:jc w:val="both"/>
        <w:rPr>
          <w:sz w:val="22"/>
        </w:rPr>
      </w:pPr>
      <w:r>
        <w:rPr>
          <w:sz w:val="22"/>
        </w:rPr>
        <w:t>Los </w:t>
      </w:r>
      <w:r>
        <w:rPr>
          <w:b/>
          <w:sz w:val="22"/>
        </w:rPr>
        <w:t>Ayuntamientos</w:t>
      </w:r>
      <w:r>
        <w:rPr>
          <w:b/>
          <w:spacing w:val="-2"/>
          <w:sz w:val="22"/>
        </w:rPr>
        <w:t> </w:t>
      </w:r>
      <w:r>
        <w:rPr>
          <w:b/>
          <w:sz w:val="22"/>
        </w:rPr>
        <w:t>de</w:t>
      </w:r>
      <w:r>
        <w:rPr>
          <w:b/>
          <w:spacing w:val="-2"/>
          <w:sz w:val="22"/>
        </w:rPr>
        <w:t> </w:t>
      </w:r>
      <w:r>
        <w:rPr>
          <w:b/>
          <w:sz w:val="22"/>
        </w:rPr>
        <w:t>Alicante, Córdoba, Las</w:t>
      </w:r>
      <w:r>
        <w:rPr>
          <w:b/>
          <w:spacing w:val="-2"/>
          <w:sz w:val="22"/>
        </w:rPr>
        <w:t> </w:t>
      </w:r>
      <w:r>
        <w:rPr>
          <w:b/>
          <w:sz w:val="22"/>
        </w:rPr>
        <w:t>Palmas de</w:t>
      </w:r>
      <w:r>
        <w:rPr>
          <w:b/>
          <w:spacing w:val="-2"/>
          <w:sz w:val="22"/>
        </w:rPr>
        <w:t> </w:t>
      </w:r>
      <w:r>
        <w:rPr>
          <w:b/>
          <w:sz w:val="22"/>
        </w:rPr>
        <w:t>Gran</w:t>
      </w:r>
      <w:r>
        <w:rPr>
          <w:b/>
          <w:spacing w:val="-2"/>
          <w:sz w:val="22"/>
        </w:rPr>
        <w:t> </w:t>
      </w:r>
      <w:r>
        <w:rPr>
          <w:b/>
          <w:sz w:val="22"/>
        </w:rPr>
        <w:t>Canaria </w:t>
      </w:r>
      <w:r>
        <w:rPr>
          <w:sz w:val="22"/>
        </w:rPr>
        <w:t>y </w:t>
      </w:r>
      <w:r>
        <w:rPr>
          <w:b/>
          <w:sz w:val="22"/>
        </w:rPr>
        <w:t>Sevilla </w:t>
      </w:r>
      <w:r>
        <w:rPr>
          <w:sz w:val="22"/>
        </w:rPr>
        <w:t>publicaron</w:t>
      </w:r>
      <w:r>
        <w:rPr>
          <w:spacing w:val="-1"/>
          <w:sz w:val="22"/>
        </w:rPr>
        <w:t> </w:t>
      </w:r>
      <w:r>
        <w:rPr>
          <w:sz w:val="22"/>
        </w:rPr>
        <w:t>la documentación que debía ser sometida a un periodo de información pública.</w:t>
      </w:r>
    </w:p>
    <w:p>
      <w:pPr>
        <w:pStyle w:val="BodyText"/>
        <w:spacing w:before="240"/>
        <w:ind w:left="992" w:right="990"/>
        <w:jc w:val="both"/>
      </w:pPr>
      <w:r>
        <w:rPr/>
        <w:t>Todos los ayuntamientos fiscalizados cumplen la obligación en relación con la publicación del registro de actividades de tratamiento de datos establecida en el artículo 6 bis de la LTAIBG.</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ListParagraph"/>
        <w:numPr>
          <w:ilvl w:val="3"/>
          <w:numId w:val="3"/>
        </w:numPr>
        <w:tabs>
          <w:tab w:pos="1779" w:val="left" w:leader="none"/>
        </w:tabs>
        <w:spacing w:line="240" w:lineRule="auto" w:before="0" w:after="0"/>
        <w:ind w:left="1779" w:right="0" w:hanging="787"/>
        <w:jc w:val="left"/>
        <w:rPr>
          <w:sz w:val="22"/>
        </w:rPr>
      </w:pPr>
      <w:r>
        <w:rPr>
          <w:sz w:val="22"/>
        </w:rPr>
        <w:t>ACCESO</w:t>
      </w:r>
      <w:r>
        <w:rPr>
          <w:spacing w:val="-5"/>
          <w:sz w:val="22"/>
        </w:rPr>
        <w:t> </w:t>
      </w:r>
      <w:r>
        <w:rPr>
          <w:sz w:val="22"/>
        </w:rPr>
        <w:t>A</w:t>
      </w:r>
      <w:r>
        <w:rPr>
          <w:spacing w:val="-3"/>
          <w:sz w:val="22"/>
        </w:rPr>
        <w:t> </w:t>
      </w:r>
      <w:r>
        <w:rPr>
          <w:sz w:val="22"/>
        </w:rPr>
        <w:t>LA</w:t>
      </w:r>
      <w:r>
        <w:rPr>
          <w:spacing w:val="-7"/>
          <w:sz w:val="22"/>
        </w:rPr>
        <w:t> </w:t>
      </w:r>
      <w:r>
        <w:rPr>
          <w:sz w:val="22"/>
        </w:rPr>
        <w:t>INFORMACIÓN</w:t>
      </w:r>
      <w:r>
        <w:rPr>
          <w:spacing w:val="-4"/>
          <w:sz w:val="22"/>
        </w:rPr>
        <w:t> </w:t>
      </w:r>
      <w:r>
        <w:rPr>
          <w:sz w:val="22"/>
        </w:rPr>
        <w:t>PÚBLICA</w:t>
      </w:r>
      <w:r>
        <w:rPr>
          <w:spacing w:val="-5"/>
          <w:sz w:val="22"/>
        </w:rPr>
        <w:t> </w:t>
      </w:r>
      <w:r>
        <w:rPr>
          <w:sz w:val="22"/>
        </w:rPr>
        <w:t>Y</w:t>
      </w:r>
      <w:r>
        <w:rPr>
          <w:spacing w:val="-6"/>
          <w:sz w:val="22"/>
        </w:rPr>
        <w:t> </w:t>
      </w:r>
      <w:r>
        <w:rPr>
          <w:spacing w:val="-2"/>
          <w:sz w:val="22"/>
        </w:rPr>
        <w:t>TRANSPARENCIA</w:t>
      </w:r>
    </w:p>
    <w:p>
      <w:pPr>
        <w:pStyle w:val="BodyText"/>
        <w:spacing w:before="241"/>
        <w:ind w:left="992"/>
      </w:pPr>
      <w:r>
        <w:rPr/>
        <w:t>Todos</w:t>
      </w:r>
      <w:r>
        <w:rPr>
          <w:spacing w:val="29"/>
        </w:rPr>
        <w:t> </w:t>
      </w:r>
      <w:r>
        <w:rPr/>
        <w:t>los</w:t>
      </w:r>
      <w:r>
        <w:rPr>
          <w:spacing w:val="28"/>
        </w:rPr>
        <w:t> </w:t>
      </w:r>
      <w:r>
        <w:rPr/>
        <w:t>ayuntamientos</w:t>
      </w:r>
      <w:r>
        <w:rPr>
          <w:spacing w:val="29"/>
        </w:rPr>
        <w:t> </w:t>
      </w:r>
      <w:r>
        <w:rPr/>
        <w:t>fiscalizados</w:t>
      </w:r>
      <w:r>
        <w:rPr>
          <w:spacing w:val="26"/>
        </w:rPr>
        <w:t> </w:t>
      </w:r>
      <w:r>
        <w:rPr/>
        <w:t>tienen</w:t>
      </w:r>
      <w:r>
        <w:rPr>
          <w:spacing w:val="28"/>
        </w:rPr>
        <w:t> </w:t>
      </w:r>
      <w:r>
        <w:rPr/>
        <w:t>canales</w:t>
      </w:r>
      <w:r>
        <w:rPr>
          <w:spacing w:val="28"/>
        </w:rPr>
        <w:t> </w:t>
      </w:r>
      <w:r>
        <w:rPr/>
        <w:t>para</w:t>
      </w:r>
      <w:r>
        <w:rPr>
          <w:spacing w:val="28"/>
        </w:rPr>
        <w:t> </w:t>
      </w:r>
      <w:r>
        <w:rPr/>
        <w:t>garantizar</w:t>
      </w:r>
      <w:r>
        <w:rPr>
          <w:spacing w:val="29"/>
        </w:rPr>
        <w:t> </w:t>
      </w:r>
      <w:r>
        <w:rPr/>
        <w:t>el</w:t>
      </w:r>
      <w:r>
        <w:rPr>
          <w:spacing w:val="25"/>
        </w:rPr>
        <w:t> </w:t>
      </w:r>
      <w:r>
        <w:rPr/>
        <w:t>derecho</w:t>
      </w:r>
      <w:r>
        <w:rPr>
          <w:spacing w:val="26"/>
        </w:rPr>
        <w:t> </w:t>
      </w:r>
      <w:r>
        <w:rPr/>
        <w:t>de</w:t>
      </w:r>
      <w:r>
        <w:rPr>
          <w:spacing w:val="28"/>
        </w:rPr>
        <w:t> </w:t>
      </w:r>
      <w:r>
        <w:rPr/>
        <w:t>acceso</w:t>
      </w:r>
      <w:r>
        <w:rPr>
          <w:spacing w:val="26"/>
        </w:rPr>
        <w:t> </w:t>
      </w:r>
      <w:r>
        <w:rPr/>
        <w:t>a</w:t>
      </w:r>
      <w:r>
        <w:rPr>
          <w:spacing w:val="28"/>
        </w:rPr>
        <w:t> </w:t>
      </w:r>
      <w:r>
        <w:rPr/>
        <w:t>la información pública de acuerdo con lo señalado en el artículo 17 de la LTAIBG.</w:t>
      </w:r>
    </w:p>
    <w:p>
      <w:pPr>
        <w:pStyle w:val="BodyText"/>
        <w:spacing w:before="108"/>
      </w:pPr>
    </w:p>
    <w:p>
      <w:pPr>
        <w:pStyle w:val="Heading4"/>
        <w:numPr>
          <w:ilvl w:val="0"/>
          <w:numId w:val="3"/>
        </w:numPr>
        <w:tabs>
          <w:tab w:pos="1293" w:val="left" w:leader="none"/>
        </w:tabs>
        <w:spacing w:line="240" w:lineRule="auto" w:before="0" w:after="0"/>
        <w:ind w:left="1293" w:right="0" w:hanging="301"/>
        <w:jc w:val="left"/>
      </w:pPr>
      <w:bookmarkStart w:name="_bookmark118" w:id="120"/>
      <w:bookmarkEnd w:id="120"/>
      <w:r>
        <w:rPr>
          <w:b w:val="0"/>
        </w:rPr>
      </w:r>
      <w:r>
        <w:rPr/>
        <w:t>CONCLUSIONES</w:t>
      </w:r>
      <w:r>
        <w:rPr>
          <w:spacing w:val="-7"/>
        </w:rPr>
        <w:t> </w:t>
      </w:r>
      <w:r>
        <w:rPr/>
        <w:t>Y</w:t>
      </w:r>
      <w:r>
        <w:rPr>
          <w:spacing w:val="-6"/>
        </w:rPr>
        <w:t> </w:t>
      </w:r>
      <w:r>
        <w:rPr>
          <w:spacing w:val="-2"/>
        </w:rPr>
        <w:t>RECOMENDACIONES</w:t>
      </w:r>
    </w:p>
    <w:p>
      <w:pPr>
        <w:pStyle w:val="BodyText"/>
        <w:spacing w:before="106"/>
        <w:rPr>
          <w:b/>
        </w:rPr>
      </w:pPr>
    </w:p>
    <w:p>
      <w:pPr>
        <w:pStyle w:val="ListParagraph"/>
        <w:numPr>
          <w:ilvl w:val="1"/>
          <w:numId w:val="3"/>
        </w:numPr>
        <w:tabs>
          <w:tab w:pos="1477" w:val="left" w:leader="none"/>
        </w:tabs>
        <w:spacing w:line="240" w:lineRule="auto" w:before="0" w:after="0"/>
        <w:ind w:left="992" w:right="988" w:firstLine="0"/>
        <w:jc w:val="left"/>
        <w:rPr>
          <w:b/>
          <w:sz w:val="22"/>
        </w:rPr>
      </w:pPr>
      <w:bookmarkStart w:name="_bookmark119" w:id="121"/>
      <w:bookmarkEnd w:id="121"/>
      <w:r>
        <w:rPr/>
      </w:r>
      <w:r>
        <w:rPr>
          <w:b/>
          <w:sz w:val="22"/>
        </w:rPr>
        <w:t>RELATIVAS</w:t>
      </w:r>
      <w:r>
        <w:rPr>
          <w:b/>
          <w:spacing w:val="40"/>
          <w:sz w:val="22"/>
        </w:rPr>
        <w:t> </w:t>
      </w:r>
      <w:r>
        <w:rPr>
          <w:b/>
          <w:sz w:val="22"/>
        </w:rPr>
        <w:t>A</w:t>
      </w:r>
      <w:r>
        <w:rPr>
          <w:b/>
          <w:spacing w:val="40"/>
          <w:sz w:val="22"/>
        </w:rPr>
        <w:t> </w:t>
      </w:r>
      <w:r>
        <w:rPr>
          <w:b/>
          <w:sz w:val="22"/>
        </w:rPr>
        <w:t>LA</w:t>
      </w:r>
      <w:r>
        <w:rPr>
          <w:b/>
          <w:spacing w:val="40"/>
          <w:sz w:val="22"/>
        </w:rPr>
        <w:t> </w:t>
      </w:r>
      <w:r>
        <w:rPr>
          <w:b/>
          <w:sz w:val="22"/>
        </w:rPr>
        <w:t>CARACTERÍSTICAS</w:t>
      </w:r>
      <w:r>
        <w:rPr>
          <w:b/>
          <w:spacing w:val="40"/>
          <w:sz w:val="22"/>
        </w:rPr>
        <w:t> </w:t>
      </w:r>
      <w:r>
        <w:rPr>
          <w:b/>
          <w:sz w:val="22"/>
        </w:rPr>
        <w:t>DEL</w:t>
      </w:r>
      <w:r>
        <w:rPr>
          <w:b/>
          <w:spacing w:val="40"/>
          <w:sz w:val="22"/>
        </w:rPr>
        <w:t> </w:t>
      </w:r>
      <w:r>
        <w:rPr>
          <w:b/>
          <w:sz w:val="22"/>
        </w:rPr>
        <w:t>SERVICIO</w:t>
      </w:r>
      <w:r>
        <w:rPr>
          <w:b/>
          <w:spacing w:val="40"/>
          <w:sz w:val="22"/>
        </w:rPr>
        <w:t> </w:t>
      </w:r>
      <w:r>
        <w:rPr>
          <w:b/>
          <w:sz w:val="22"/>
        </w:rPr>
        <w:t>DE</w:t>
      </w:r>
      <w:r>
        <w:rPr>
          <w:b/>
          <w:spacing w:val="40"/>
          <w:sz w:val="22"/>
        </w:rPr>
        <w:t> </w:t>
      </w:r>
      <w:r>
        <w:rPr>
          <w:b/>
          <w:sz w:val="22"/>
        </w:rPr>
        <w:t>TRANPSORTE</w:t>
      </w:r>
      <w:r>
        <w:rPr>
          <w:b/>
          <w:spacing w:val="40"/>
          <w:sz w:val="22"/>
        </w:rPr>
        <w:t> </w:t>
      </w:r>
      <w:r>
        <w:rPr>
          <w:b/>
          <w:sz w:val="22"/>
        </w:rPr>
        <w:t>PÚBLICO COLECTIVO EN LAS ENTIDADES FISCALIZADAS</w:t>
      </w:r>
    </w:p>
    <w:p>
      <w:pPr>
        <w:pStyle w:val="ListParagraph"/>
        <w:numPr>
          <w:ilvl w:val="0"/>
          <w:numId w:val="9"/>
        </w:numPr>
        <w:tabs>
          <w:tab w:pos="1347" w:val="left" w:leader="none"/>
          <w:tab w:pos="1349" w:val="left" w:leader="none"/>
        </w:tabs>
        <w:spacing w:line="240" w:lineRule="auto" w:before="241" w:after="0"/>
        <w:ind w:left="1349" w:right="987" w:hanging="358"/>
        <w:jc w:val="both"/>
        <w:rPr>
          <w:sz w:val="22"/>
        </w:rPr>
      </w:pPr>
      <w:r>
        <w:rPr>
          <w:sz w:val="22"/>
        </w:rPr>
        <w:t>Los </w:t>
      </w:r>
      <w:r>
        <w:rPr>
          <w:b/>
          <w:sz w:val="22"/>
        </w:rPr>
        <w:t>Ayuntamientos de Córdoba, Las Palmas de Gran Canaria, Málaga, Palma </w:t>
      </w:r>
      <w:r>
        <w:rPr>
          <w:sz w:val="22"/>
        </w:rPr>
        <w:t>y </w:t>
      </w:r>
      <w:r>
        <w:rPr>
          <w:b/>
          <w:sz w:val="22"/>
        </w:rPr>
        <w:t>Sevilla </w:t>
      </w:r>
      <w:r>
        <w:rPr>
          <w:sz w:val="22"/>
        </w:rPr>
        <w:t>prestaron en 2023 y 2024 el servicio de transporte público colectivo urbano a través de sociedades mercantiles municipales y los de </w:t>
      </w:r>
      <w:r>
        <w:rPr>
          <w:b/>
          <w:sz w:val="22"/>
        </w:rPr>
        <w:t>Alicante, Bilbao, Murcia </w:t>
      </w:r>
      <w:r>
        <w:rPr>
          <w:sz w:val="22"/>
        </w:rPr>
        <w:t>y </w:t>
      </w:r>
      <w:r>
        <w:rPr>
          <w:b/>
          <w:sz w:val="22"/>
        </w:rPr>
        <w:t>Zaragoza </w:t>
      </w:r>
      <w:r>
        <w:rPr>
          <w:sz w:val="22"/>
        </w:rPr>
        <w:t>mediante concesiones a empresas privadas o de economía mixta.</w:t>
      </w:r>
    </w:p>
    <w:p>
      <w:pPr>
        <w:spacing w:before="238"/>
        <w:ind w:left="1419" w:right="984" w:firstLine="0"/>
        <w:jc w:val="both"/>
        <w:rPr>
          <w:sz w:val="22"/>
        </w:rPr>
      </w:pPr>
      <w:r>
        <w:rPr>
          <w:sz w:val="22"/>
        </w:rPr>
        <w:t>El servicio de transporte público colectivo urbano lo prestaron a través de autobús. Los </w:t>
      </w:r>
      <w:r>
        <w:rPr>
          <w:b/>
          <w:sz w:val="22"/>
        </w:rPr>
        <w:t>Ayuntamientos de Murcia, Sevilla </w:t>
      </w:r>
      <w:r>
        <w:rPr>
          <w:sz w:val="22"/>
        </w:rPr>
        <w:t>y </w:t>
      </w:r>
      <w:r>
        <w:rPr>
          <w:b/>
          <w:sz w:val="22"/>
        </w:rPr>
        <w:t>Zaragoza </w:t>
      </w:r>
      <w:r>
        <w:rPr>
          <w:sz w:val="22"/>
        </w:rPr>
        <w:t>cuentan, además, con un tranvía, y el de </w:t>
      </w:r>
      <w:r>
        <w:rPr>
          <w:b/>
          <w:sz w:val="22"/>
        </w:rPr>
        <w:t>Bilbao </w:t>
      </w:r>
      <w:r>
        <w:rPr>
          <w:sz w:val="22"/>
        </w:rPr>
        <w:t>con un funicular.</w:t>
      </w:r>
    </w:p>
    <w:p>
      <w:pPr>
        <w:pStyle w:val="BodyText"/>
        <w:spacing w:before="242"/>
        <w:ind w:left="1419" w:right="987"/>
        <w:jc w:val="both"/>
      </w:pPr>
      <w:r>
        <w:rPr/>
        <w:t>El contrato de prestación del servicio municipal de transporte público urbano colectivo en autobús</w:t>
      </w:r>
      <w:r>
        <w:rPr>
          <w:spacing w:val="-13"/>
        </w:rPr>
        <w:t> </w:t>
      </w:r>
      <w:r>
        <w:rPr/>
        <w:t>del</w:t>
      </w:r>
      <w:r>
        <w:rPr>
          <w:spacing w:val="-13"/>
        </w:rPr>
        <w:t> </w:t>
      </w:r>
      <w:r>
        <w:rPr>
          <w:b/>
        </w:rPr>
        <w:t>Ayuntamiento</w:t>
      </w:r>
      <w:r>
        <w:rPr>
          <w:b/>
          <w:spacing w:val="-11"/>
        </w:rPr>
        <w:t> </w:t>
      </w:r>
      <w:r>
        <w:rPr>
          <w:b/>
        </w:rPr>
        <w:t>de</w:t>
      </w:r>
      <w:r>
        <w:rPr>
          <w:b/>
          <w:spacing w:val="-13"/>
        </w:rPr>
        <w:t> </w:t>
      </w:r>
      <w:r>
        <w:rPr>
          <w:b/>
        </w:rPr>
        <w:t>Bilbao</w:t>
      </w:r>
      <w:r>
        <w:rPr>
          <w:b/>
          <w:spacing w:val="-12"/>
        </w:rPr>
        <w:t> </w:t>
      </w:r>
      <w:r>
        <w:rPr/>
        <w:t>fue</w:t>
      </w:r>
      <w:r>
        <w:rPr>
          <w:spacing w:val="-15"/>
        </w:rPr>
        <w:t> </w:t>
      </w:r>
      <w:r>
        <w:rPr/>
        <w:t>resuelto</w:t>
      </w:r>
      <w:r>
        <w:rPr>
          <w:spacing w:val="-12"/>
        </w:rPr>
        <w:t> </w:t>
      </w:r>
      <w:r>
        <w:rPr/>
        <w:t>en</w:t>
      </w:r>
      <w:r>
        <w:rPr>
          <w:spacing w:val="-13"/>
        </w:rPr>
        <w:t> </w:t>
      </w:r>
      <w:r>
        <w:rPr/>
        <w:t>junio</w:t>
      </w:r>
      <w:r>
        <w:rPr>
          <w:spacing w:val="-13"/>
        </w:rPr>
        <w:t> </w:t>
      </w:r>
      <w:r>
        <w:rPr/>
        <w:t>de</w:t>
      </w:r>
      <w:r>
        <w:rPr>
          <w:spacing w:val="-13"/>
        </w:rPr>
        <w:t> </w:t>
      </w:r>
      <w:r>
        <w:rPr/>
        <w:t>2024</w:t>
      </w:r>
      <w:r>
        <w:rPr>
          <w:spacing w:val="-12"/>
        </w:rPr>
        <w:t> </w:t>
      </w:r>
      <w:r>
        <w:rPr/>
        <w:t>y</w:t>
      </w:r>
      <w:r>
        <w:rPr>
          <w:spacing w:val="-12"/>
        </w:rPr>
        <w:t> </w:t>
      </w:r>
      <w:r>
        <w:rPr/>
        <w:t>la</w:t>
      </w:r>
      <w:r>
        <w:rPr>
          <w:spacing w:val="-13"/>
        </w:rPr>
        <w:t> </w:t>
      </w:r>
      <w:r>
        <w:rPr/>
        <w:t>empresa</w:t>
      </w:r>
      <w:r>
        <w:rPr>
          <w:spacing w:val="-12"/>
        </w:rPr>
        <w:t> </w:t>
      </w:r>
      <w:r>
        <w:rPr/>
        <w:t>concesionaria sigue prestando el servicio hasta que se</w:t>
      </w:r>
      <w:r>
        <w:rPr>
          <w:spacing w:val="-1"/>
        </w:rPr>
        <w:t> </w:t>
      </w:r>
      <w:r>
        <w:rPr/>
        <w:t>tramite y adjudique un nuevo contrato. A fecha de 30 de</w:t>
      </w:r>
      <w:r>
        <w:rPr>
          <w:spacing w:val="-4"/>
        </w:rPr>
        <w:t> </w:t>
      </w:r>
      <w:r>
        <w:rPr/>
        <w:t>septiembre</w:t>
      </w:r>
      <w:r>
        <w:rPr>
          <w:spacing w:val="-4"/>
        </w:rPr>
        <w:t> </w:t>
      </w:r>
      <w:r>
        <w:rPr/>
        <w:t>de</w:t>
      </w:r>
      <w:r>
        <w:rPr>
          <w:spacing w:val="-7"/>
        </w:rPr>
        <w:t> </w:t>
      </w:r>
      <w:r>
        <w:rPr/>
        <w:t>2025</w:t>
      </w:r>
      <w:r>
        <w:rPr>
          <w:spacing w:val="-4"/>
        </w:rPr>
        <w:t> </w:t>
      </w:r>
      <w:r>
        <w:rPr/>
        <w:t>este</w:t>
      </w:r>
      <w:r>
        <w:rPr>
          <w:spacing w:val="-4"/>
        </w:rPr>
        <w:t> </w:t>
      </w:r>
      <w:r>
        <w:rPr/>
        <w:t>contrato</w:t>
      </w:r>
      <w:r>
        <w:rPr>
          <w:spacing w:val="-4"/>
        </w:rPr>
        <w:t> </w:t>
      </w:r>
      <w:r>
        <w:rPr/>
        <w:t>está</w:t>
      </w:r>
      <w:r>
        <w:rPr>
          <w:spacing w:val="-4"/>
        </w:rPr>
        <w:t> </w:t>
      </w:r>
      <w:r>
        <w:rPr/>
        <w:t>aún</w:t>
      </w:r>
      <w:r>
        <w:rPr>
          <w:spacing w:val="-6"/>
        </w:rPr>
        <w:t> </w:t>
      </w:r>
      <w:r>
        <w:rPr/>
        <w:t>sin</w:t>
      </w:r>
      <w:r>
        <w:rPr>
          <w:spacing w:val="-6"/>
        </w:rPr>
        <w:t> </w:t>
      </w:r>
      <w:r>
        <w:rPr/>
        <w:t>licitar. También</w:t>
      </w:r>
      <w:r>
        <w:rPr>
          <w:spacing w:val="-4"/>
        </w:rPr>
        <w:t> </w:t>
      </w:r>
      <w:r>
        <w:rPr/>
        <w:t>se</w:t>
      </w:r>
      <w:r>
        <w:rPr>
          <w:spacing w:val="-4"/>
        </w:rPr>
        <w:t> </w:t>
      </w:r>
      <w:r>
        <w:rPr/>
        <w:t>encuentra</w:t>
      </w:r>
      <w:r>
        <w:rPr>
          <w:spacing w:val="-6"/>
        </w:rPr>
        <w:t> </w:t>
      </w:r>
      <w:r>
        <w:rPr/>
        <w:t>sin</w:t>
      </w:r>
      <w:r>
        <w:rPr>
          <w:spacing w:val="-4"/>
        </w:rPr>
        <w:t> </w:t>
      </w:r>
      <w:r>
        <w:rPr/>
        <w:t>licitar</w:t>
      </w:r>
      <w:r>
        <w:rPr>
          <w:spacing w:val="-3"/>
        </w:rPr>
        <w:t> </w:t>
      </w:r>
      <w:r>
        <w:rPr/>
        <w:t>por</w:t>
      </w:r>
      <w:r>
        <w:rPr>
          <w:spacing w:val="-3"/>
        </w:rPr>
        <w:t> </w:t>
      </w:r>
      <w:r>
        <w:rPr/>
        <w:t>el </w:t>
      </w:r>
      <w:r>
        <w:rPr>
          <w:b/>
        </w:rPr>
        <w:t>Ayuntamiento</w:t>
      </w:r>
      <w:r>
        <w:rPr>
          <w:b/>
          <w:spacing w:val="-8"/>
        </w:rPr>
        <w:t> </w:t>
      </w:r>
      <w:r>
        <w:rPr>
          <w:b/>
        </w:rPr>
        <w:t>de</w:t>
      </w:r>
      <w:r>
        <w:rPr>
          <w:b/>
          <w:spacing w:val="-11"/>
        </w:rPr>
        <w:t> </w:t>
      </w:r>
      <w:r>
        <w:rPr>
          <w:b/>
        </w:rPr>
        <w:t>Murcia</w:t>
      </w:r>
      <w:r>
        <w:rPr>
          <w:b/>
          <w:spacing w:val="-7"/>
        </w:rPr>
        <w:t> </w:t>
      </w:r>
      <w:r>
        <w:rPr/>
        <w:t>el</w:t>
      </w:r>
      <w:r>
        <w:rPr>
          <w:spacing w:val="-9"/>
        </w:rPr>
        <w:t> </w:t>
      </w:r>
      <w:r>
        <w:rPr/>
        <w:t>contrato</w:t>
      </w:r>
      <w:r>
        <w:rPr>
          <w:spacing w:val="-10"/>
        </w:rPr>
        <w:t> </w:t>
      </w:r>
      <w:r>
        <w:rPr/>
        <w:t>de</w:t>
      </w:r>
      <w:r>
        <w:rPr>
          <w:spacing w:val="-11"/>
        </w:rPr>
        <w:t> </w:t>
      </w:r>
      <w:r>
        <w:rPr/>
        <w:t>servicios</w:t>
      </w:r>
      <w:r>
        <w:rPr>
          <w:spacing w:val="-10"/>
        </w:rPr>
        <w:t> </w:t>
      </w:r>
      <w:r>
        <w:rPr/>
        <w:t>de</w:t>
      </w:r>
      <w:r>
        <w:rPr>
          <w:spacing w:val="-11"/>
        </w:rPr>
        <w:t> </w:t>
      </w:r>
      <w:r>
        <w:rPr/>
        <w:t>transporte</w:t>
      </w:r>
      <w:r>
        <w:rPr>
          <w:spacing w:val="-10"/>
        </w:rPr>
        <w:t> </w:t>
      </w:r>
      <w:r>
        <w:rPr/>
        <w:t>urbano</w:t>
      </w:r>
      <w:r>
        <w:rPr>
          <w:spacing w:val="-9"/>
        </w:rPr>
        <w:t> </w:t>
      </w:r>
      <w:r>
        <w:rPr/>
        <w:t>en</w:t>
      </w:r>
      <w:r>
        <w:rPr>
          <w:spacing w:val="-11"/>
        </w:rPr>
        <w:t> </w:t>
      </w:r>
      <w:r>
        <w:rPr/>
        <w:t>autobús.</w:t>
      </w:r>
      <w:r>
        <w:rPr>
          <w:spacing w:val="-9"/>
        </w:rPr>
        <w:t> </w:t>
      </w:r>
      <w:r>
        <w:rPr/>
        <w:t>El</w:t>
      </w:r>
      <w:r>
        <w:rPr>
          <w:spacing w:val="-9"/>
        </w:rPr>
        <w:t> </w:t>
      </w:r>
      <w:r>
        <w:rPr/>
        <w:t>servicio, por la ciudad y para las pedanías, continúa prestándose por las uniones temporales de empresas, adjudicatarias de sendos contratos. (Subapartado II.1)</w:t>
      </w:r>
    </w:p>
    <w:p>
      <w:pPr>
        <w:pStyle w:val="ListParagraph"/>
        <w:numPr>
          <w:ilvl w:val="0"/>
          <w:numId w:val="9"/>
        </w:numPr>
        <w:tabs>
          <w:tab w:pos="1347" w:val="left" w:leader="none"/>
          <w:tab w:pos="1349" w:val="left" w:leader="none"/>
        </w:tabs>
        <w:spacing w:line="240" w:lineRule="auto" w:before="239" w:after="0"/>
        <w:ind w:left="1349" w:right="986" w:hanging="358"/>
        <w:jc w:val="both"/>
        <w:rPr>
          <w:sz w:val="22"/>
        </w:rPr>
      </w:pPr>
      <w:r>
        <w:rPr>
          <w:sz w:val="22"/>
        </w:rPr>
        <w:t>Todos los municipios examinados aumentaron</w:t>
      </w:r>
      <w:r>
        <w:rPr>
          <w:spacing w:val="-1"/>
          <w:sz w:val="22"/>
        </w:rPr>
        <w:t> </w:t>
      </w:r>
      <w:r>
        <w:rPr>
          <w:sz w:val="22"/>
        </w:rPr>
        <w:t>las flotas de</w:t>
      </w:r>
      <w:r>
        <w:rPr>
          <w:spacing w:val="-1"/>
          <w:sz w:val="22"/>
        </w:rPr>
        <w:t> </w:t>
      </w:r>
      <w:r>
        <w:rPr>
          <w:sz w:val="22"/>
        </w:rPr>
        <w:t>autobuses, salvo la de </w:t>
      </w:r>
      <w:r>
        <w:rPr>
          <w:b/>
          <w:sz w:val="22"/>
        </w:rPr>
        <w:t>Bilbao</w:t>
      </w:r>
      <w:r>
        <w:rPr>
          <w:sz w:val="22"/>
        </w:rPr>
        <w:t>, que permaneció</w:t>
      </w:r>
      <w:r>
        <w:rPr>
          <w:spacing w:val="-6"/>
          <w:sz w:val="22"/>
        </w:rPr>
        <w:t> </w:t>
      </w:r>
      <w:r>
        <w:rPr>
          <w:sz w:val="22"/>
        </w:rPr>
        <w:t>igual</w:t>
      </w:r>
      <w:r>
        <w:rPr>
          <w:spacing w:val="-7"/>
          <w:sz w:val="22"/>
        </w:rPr>
        <w:t> </w:t>
      </w:r>
      <w:r>
        <w:rPr>
          <w:sz w:val="22"/>
        </w:rPr>
        <w:t>porque</w:t>
      </w:r>
      <w:r>
        <w:rPr>
          <w:spacing w:val="-9"/>
          <w:sz w:val="22"/>
        </w:rPr>
        <w:t> </w:t>
      </w:r>
      <w:r>
        <w:rPr>
          <w:sz w:val="22"/>
        </w:rPr>
        <w:t>sustituyó</w:t>
      </w:r>
      <w:r>
        <w:rPr>
          <w:spacing w:val="-6"/>
          <w:sz w:val="22"/>
        </w:rPr>
        <w:t> </w:t>
      </w:r>
      <w:r>
        <w:rPr>
          <w:sz w:val="22"/>
        </w:rPr>
        <w:t>los</w:t>
      </w:r>
      <w:r>
        <w:rPr>
          <w:spacing w:val="-6"/>
          <w:sz w:val="22"/>
        </w:rPr>
        <w:t> </w:t>
      </w:r>
      <w:r>
        <w:rPr>
          <w:sz w:val="22"/>
        </w:rPr>
        <w:t>autobuses</w:t>
      </w:r>
      <w:r>
        <w:rPr>
          <w:spacing w:val="-11"/>
          <w:sz w:val="22"/>
        </w:rPr>
        <w:t> </w:t>
      </w:r>
      <w:r>
        <w:rPr>
          <w:sz w:val="22"/>
        </w:rPr>
        <w:t>diésel</w:t>
      </w:r>
      <w:r>
        <w:rPr>
          <w:spacing w:val="-7"/>
          <w:sz w:val="22"/>
        </w:rPr>
        <w:t> </w:t>
      </w:r>
      <w:r>
        <w:rPr>
          <w:sz w:val="22"/>
        </w:rPr>
        <w:t>por</w:t>
      </w:r>
      <w:r>
        <w:rPr>
          <w:spacing w:val="-5"/>
          <w:sz w:val="22"/>
        </w:rPr>
        <w:t> </w:t>
      </w:r>
      <w:r>
        <w:rPr>
          <w:sz w:val="22"/>
        </w:rPr>
        <w:t>eléctricos,</w:t>
      </w:r>
      <w:r>
        <w:rPr>
          <w:spacing w:val="-7"/>
          <w:sz w:val="22"/>
        </w:rPr>
        <w:t> </w:t>
      </w:r>
      <w:r>
        <w:rPr>
          <w:sz w:val="22"/>
        </w:rPr>
        <w:t>y</w:t>
      </w:r>
      <w:r>
        <w:rPr>
          <w:spacing w:val="-6"/>
          <w:sz w:val="22"/>
        </w:rPr>
        <w:t> </w:t>
      </w:r>
      <w:r>
        <w:rPr>
          <w:sz w:val="22"/>
        </w:rPr>
        <w:t>la</w:t>
      </w:r>
      <w:r>
        <w:rPr>
          <w:spacing w:val="-9"/>
          <w:sz w:val="22"/>
        </w:rPr>
        <w:t> </w:t>
      </w:r>
      <w:r>
        <w:rPr>
          <w:sz w:val="22"/>
        </w:rPr>
        <w:t>de</w:t>
      </w:r>
      <w:r>
        <w:rPr>
          <w:spacing w:val="-7"/>
          <w:sz w:val="22"/>
        </w:rPr>
        <w:t> </w:t>
      </w:r>
      <w:r>
        <w:rPr>
          <w:b/>
          <w:sz w:val="22"/>
        </w:rPr>
        <w:t>Palma</w:t>
      </w:r>
      <w:r>
        <w:rPr>
          <w:sz w:val="22"/>
        </w:rPr>
        <w:t>,</w:t>
      </w:r>
      <w:r>
        <w:rPr>
          <w:spacing w:val="-5"/>
          <w:sz w:val="22"/>
        </w:rPr>
        <w:t> </w:t>
      </w:r>
      <w:r>
        <w:rPr>
          <w:sz w:val="22"/>
        </w:rPr>
        <w:t>que</w:t>
      </w:r>
      <w:r>
        <w:rPr>
          <w:spacing w:val="-9"/>
          <w:sz w:val="22"/>
        </w:rPr>
        <w:t> </w:t>
      </w:r>
      <w:r>
        <w:rPr>
          <w:sz w:val="22"/>
        </w:rPr>
        <w:t>sufrió un</w:t>
      </w:r>
      <w:r>
        <w:rPr>
          <w:spacing w:val="-2"/>
          <w:sz w:val="22"/>
        </w:rPr>
        <w:t> </w:t>
      </w:r>
      <w:r>
        <w:rPr>
          <w:sz w:val="22"/>
        </w:rPr>
        <w:t>ligero</w:t>
      </w:r>
      <w:r>
        <w:rPr>
          <w:spacing w:val="-2"/>
          <w:sz w:val="22"/>
        </w:rPr>
        <w:t> </w:t>
      </w:r>
      <w:r>
        <w:rPr>
          <w:sz w:val="22"/>
        </w:rPr>
        <w:t>descenso. En</w:t>
      </w:r>
      <w:r>
        <w:rPr>
          <w:spacing w:val="-4"/>
          <w:sz w:val="22"/>
        </w:rPr>
        <w:t> </w:t>
      </w:r>
      <w:r>
        <w:rPr>
          <w:sz w:val="22"/>
        </w:rPr>
        <w:t>el</w:t>
      </w:r>
      <w:r>
        <w:rPr>
          <w:spacing w:val="-2"/>
          <w:sz w:val="22"/>
        </w:rPr>
        <w:t> </w:t>
      </w:r>
      <w:r>
        <w:rPr>
          <w:sz w:val="22"/>
        </w:rPr>
        <w:t>caso</w:t>
      </w:r>
      <w:r>
        <w:rPr>
          <w:spacing w:val="-2"/>
          <w:sz w:val="22"/>
        </w:rPr>
        <w:t> </w:t>
      </w:r>
      <w:r>
        <w:rPr>
          <w:sz w:val="22"/>
        </w:rPr>
        <w:t>de</w:t>
      </w:r>
      <w:r>
        <w:rPr>
          <w:spacing w:val="-4"/>
          <w:sz w:val="22"/>
        </w:rPr>
        <w:t> </w:t>
      </w:r>
      <w:r>
        <w:rPr>
          <w:sz w:val="22"/>
        </w:rPr>
        <w:t>la</w:t>
      </w:r>
      <w:r>
        <w:rPr>
          <w:spacing w:val="-2"/>
          <w:sz w:val="22"/>
        </w:rPr>
        <w:t> </w:t>
      </w:r>
      <w:r>
        <w:rPr>
          <w:sz w:val="22"/>
        </w:rPr>
        <w:t>del</w:t>
      </w:r>
      <w:r>
        <w:rPr>
          <w:spacing w:val="-2"/>
          <w:sz w:val="22"/>
        </w:rPr>
        <w:t> </w:t>
      </w:r>
      <w:r>
        <w:rPr>
          <w:b/>
          <w:sz w:val="22"/>
        </w:rPr>
        <w:t>Ayuntamiento</w:t>
      </w:r>
      <w:r>
        <w:rPr>
          <w:b/>
          <w:spacing w:val="-2"/>
          <w:sz w:val="22"/>
        </w:rPr>
        <w:t> </w:t>
      </w:r>
      <w:r>
        <w:rPr>
          <w:b/>
          <w:sz w:val="22"/>
        </w:rPr>
        <w:t>de</w:t>
      </w:r>
      <w:r>
        <w:rPr>
          <w:b/>
          <w:spacing w:val="-4"/>
          <w:sz w:val="22"/>
        </w:rPr>
        <w:t> </w:t>
      </w:r>
      <w:r>
        <w:rPr>
          <w:b/>
          <w:sz w:val="22"/>
        </w:rPr>
        <w:t>Murcia</w:t>
      </w:r>
      <w:r>
        <w:rPr>
          <w:sz w:val="22"/>
        </w:rPr>
        <w:t>, solo</w:t>
      </w:r>
      <w:r>
        <w:rPr>
          <w:spacing w:val="-4"/>
          <w:sz w:val="22"/>
        </w:rPr>
        <w:t> </w:t>
      </w:r>
      <w:r>
        <w:rPr>
          <w:sz w:val="22"/>
        </w:rPr>
        <w:t>incrementó</w:t>
      </w:r>
      <w:r>
        <w:rPr>
          <w:spacing w:val="-4"/>
          <w:sz w:val="22"/>
        </w:rPr>
        <w:t> </w:t>
      </w:r>
      <w:r>
        <w:rPr>
          <w:sz w:val="22"/>
        </w:rPr>
        <w:t>su</w:t>
      </w:r>
      <w:r>
        <w:rPr>
          <w:spacing w:val="-2"/>
          <w:sz w:val="22"/>
        </w:rPr>
        <w:t> </w:t>
      </w:r>
      <w:r>
        <w:rPr>
          <w:sz w:val="22"/>
        </w:rPr>
        <w:t>número con autobuses diésel con sistema AdBlue.</w:t>
      </w:r>
    </w:p>
    <w:p>
      <w:pPr>
        <w:spacing w:before="241"/>
        <w:ind w:left="1349" w:right="990" w:firstLine="0"/>
        <w:jc w:val="both"/>
        <w:rPr>
          <w:sz w:val="22"/>
        </w:rPr>
      </w:pPr>
      <w:r>
        <w:rPr>
          <w:sz w:val="22"/>
        </w:rPr>
        <w:t>En</w:t>
      </w:r>
      <w:r>
        <w:rPr>
          <w:spacing w:val="-6"/>
          <w:sz w:val="22"/>
        </w:rPr>
        <w:t> </w:t>
      </w:r>
      <w:r>
        <w:rPr>
          <w:sz w:val="22"/>
        </w:rPr>
        <w:t>2024</w:t>
      </w:r>
      <w:r>
        <w:rPr>
          <w:spacing w:val="-7"/>
          <w:sz w:val="22"/>
        </w:rPr>
        <w:t> </w:t>
      </w:r>
      <w:r>
        <w:rPr>
          <w:sz w:val="22"/>
        </w:rPr>
        <w:t>la</w:t>
      </w:r>
      <w:r>
        <w:rPr>
          <w:spacing w:val="-6"/>
          <w:sz w:val="22"/>
        </w:rPr>
        <w:t> </w:t>
      </w:r>
      <w:r>
        <w:rPr>
          <w:sz w:val="22"/>
        </w:rPr>
        <w:t>flota</w:t>
      </w:r>
      <w:r>
        <w:rPr>
          <w:spacing w:val="-8"/>
          <w:sz w:val="22"/>
        </w:rPr>
        <w:t> </w:t>
      </w:r>
      <w:r>
        <w:rPr>
          <w:sz w:val="22"/>
        </w:rPr>
        <w:t>del</w:t>
      </w:r>
      <w:r>
        <w:rPr>
          <w:spacing w:val="-9"/>
          <w:sz w:val="22"/>
        </w:rPr>
        <w:t> </w:t>
      </w:r>
      <w:r>
        <w:rPr>
          <w:b/>
          <w:sz w:val="22"/>
        </w:rPr>
        <w:t>Ayuntamiento</w:t>
      </w:r>
      <w:r>
        <w:rPr>
          <w:b/>
          <w:spacing w:val="-6"/>
          <w:sz w:val="22"/>
        </w:rPr>
        <w:t> </w:t>
      </w:r>
      <w:r>
        <w:rPr>
          <w:b/>
          <w:sz w:val="22"/>
        </w:rPr>
        <w:t>de</w:t>
      </w:r>
      <w:r>
        <w:rPr>
          <w:b/>
          <w:spacing w:val="-9"/>
          <w:sz w:val="22"/>
        </w:rPr>
        <w:t> </w:t>
      </w:r>
      <w:r>
        <w:rPr>
          <w:b/>
          <w:sz w:val="22"/>
        </w:rPr>
        <w:t>Málaga</w:t>
      </w:r>
      <w:r>
        <w:rPr>
          <w:b/>
          <w:spacing w:val="-5"/>
          <w:sz w:val="22"/>
        </w:rPr>
        <w:t> </w:t>
      </w:r>
      <w:r>
        <w:rPr>
          <w:sz w:val="22"/>
        </w:rPr>
        <w:t>estaba</w:t>
      </w:r>
      <w:r>
        <w:rPr>
          <w:spacing w:val="-6"/>
          <w:sz w:val="22"/>
        </w:rPr>
        <w:t> </w:t>
      </w:r>
      <w:r>
        <w:rPr>
          <w:sz w:val="22"/>
        </w:rPr>
        <w:t>compuesta</w:t>
      </w:r>
      <w:r>
        <w:rPr>
          <w:spacing w:val="-6"/>
          <w:sz w:val="22"/>
        </w:rPr>
        <w:t> </w:t>
      </w:r>
      <w:r>
        <w:rPr>
          <w:sz w:val="22"/>
        </w:rPr>
        <w:t>en</w:t>
      </w:r>
      <w:r>
        <w:rPr>
          <w:spacing w:val="-7"/>
          <w:sz w:val="22"/>
        </w:rPr>
        <w:t> </w:t>
      </w:r>
      <w:r>
        <w:rPr>
          <w:sz w:val="22"/>
        </w:rPr>
        <w:t>su</w:t>
      </w:r>
      <w:r>
        <w:rPr>
          <w:spacing w:val="-9"/>
          <w:sz w:val="22"/>
        </w:rPr>
        <w:t> </w:t>
      </w:r>
      <w:r>
        <w:rPr>
          <w:sz w:val="22"/>
        </w:rPr>
        <w:t>totalidad</w:t>
      </w:r>
      <w:r>
        <w:rPr>
          <w:spacing w:val="-6"/>
          <w:sz w:val="22"/>
        </w:rPr>
        <w:t> </w:t>
      </w:r>
      <w:r>
        <w:rPr>
          <w:sz w:val="22"/>
        </w:rPr>
        <w:t>por</w:t>
      </w:r>
      <w:r>
        <w:rPr>
          <w:spacing w:val="-5"/>
          <w:sz w:val="22"/>
        </w:rPr>
        <w:t> </w:t>
      </w:r>
      <w:r>
        <w:rPr>
          <w:sz w:val="22"/>
        </w:rPr>
        <w:t>autobuses limpios, seguido del </w:t>
      </w:r>
      <w:r>
        <w:rPr>
          <w:b/>
          <w:sz w:val="22"/>
        </w:rPr>
        <w:t>Ayuntamiento de Bilbao</w:t>
      </w:r>
      <w:r>
        <w:rPr>
          <w:sz w:val="22"/>
        </w:rPr>
        <w:t>, con un 82,27 %. En cambio, en los </w:t>
      </w:r>
      <w:r>
        <w:rPr>
          <w:b/>
          <w:sz w:val="22"/>
        </w:rPr>
        <w:t>Ayuntamientos</w:t>
      </w:r>
      <w:r>
        <w:rPr>
          <w:b/>
          <w:spacing w:val="-4"/>
          <w:sz w:val="22"/>
        </w:rPr>
        <w:t> </w:t>
      </w:r>
      <w:r>
        <w:rPr>
          <w:b/>
          <w:sz w:val="22"/>
        </w:rPr>
        <w:t>de</w:t>
      </w:r>
      <w:r>
        <w:rPr>
          <w:b/>
          <w:spacing w:val="-4"/>
          <w:sz w:val="22"/>
        </w:rPr>
        <w:t> </w:t>
      </w:r>
      <w:r>
        <w:rPr>
          <w:b/>
          <w:sz w:val="22"/>
        </w:rPr>
        <w:t>Las</w:t>
      </w:r>
      <w:r>
        <w:rPr>
          <w:b/>
          <w:spacing w:val="-9"/>
          <w:sz w:val="22"/>
        </w:rPr>
        <w:t> </w:t>
      </w:r>
      <w:r>
        <w:rPr>
          <w:b/>
          <w:sz w:val="22"/>
        </w:rPr>
        <w:t>Palmas</w:t>
      </w:r>
      <w:r>
        <w:rPr>
          <w:b/>
          <w:spacing w:val="-4"/>
          <w:sz w:val="22"/>
        </w:rPr>
        <w:t> </w:t>
      </w:r>
      <w:r>
        <w:rPr>
          <w:b/>
          <w:sz w:val="22"/>
        </w:rPr>
        <w:t>de</w:t>
      </w:r>
      <w:r>
        <w:rPr>
          <w:b/>
          <w:spacing w:val="-7"/>
          <w:sz w:val="22"/>
        </w:rPr>
        <w:t> </w:t>
      </w:r>
      <w:r>
        <w:rPr>
          <w:b/>
          <w:sz w:val="22"/>
        </w:rPr>
        <w:t>Gran</w:t>
      </w:r>
      <w:r>
        <w:rPr>
          <w:b/>
          <w:spacing w:val="-4"/>
          <w:sz w:val="22"/>
        </w:rPr>
        <w:t> </w:t>
      </w:r>
      <w:r>
        <w:rPr>
          <w:b/>
          <w:sz w:val="22"/>
        </w:rPr>
        <w:t>Canaria</w:t>
      </w:r>
      <w:r>
        <w:rPr>
          <w:b/>
          <w:spacing w:val="-2"/>
          <w:sz w:val="22"/>
        </w:rPr>
        <w:t> </w:t>
      </w:r>
      <w:r>
        <w:rPr>
          <w:sz w:val="22"/>
        </w:rPr>
        <w:t>y</w:t>
      </w:r>
      <w:r>
        <w:rPr>
          <w:spacing w:val="-4"/>
          <w:sz w:val="22"/>
        </w:rPr>
        <w:t> </w:t>
      </w:r>
      <w:r>
        <w:rPr>
          <w:b/>
          <w:sz w:val="22"/>
        </w:rPr>
        <w:t>Murcia</w:t>
      </w:r>
      <w:r>
        <w:rPr>
          <w:sz w:val="22"/>
        </w:rPr>
        <w:t>,</w:t>
      </w:r>
      <w:r>
        <w:rPr>
          <w:spacing w:val="-3"/>
          <w:sz w:val="22"/>
        </w:rPr>
        <w:t> </w:t>
      </w:r>
      <w:r>
        <w:rPr>
          <w:sz w:val="22"/>
        </w:rPr>
        <w:t>el</w:t>
      </w:r>
      <w:r>
        <w:rPr>
          <w:spacing w:val="-5"/>
          <w:sz w:val="22"/>
        </w:rPr>
        <w:t> </w:t>
      </w:r>
      <w:r>
        <w:rPr>
          <w:sz w:val="22"/>
        </w:rPr>
        <w:t>porcentaje</w:t>
      </w:r>
      <w:r>
        <w:rPr>
          <w:spacing w:val="-6"/>
          <w:sz w:val="22"/>
        </w:rPr>
        <w:t> </w:t>
      </w:r>
      <w:r>
        <w:rPr>
          <w:sz w:val="22"/>
        </w:rPr>
        <w:t>de</w:t>
      </w:r>
      <w:r>
        <w:rPr>
          <w:spacing w:val="-4"/>
          <w:sz w:val="22"/>
        </w:rPr>
        <w:t> </w:t>
      </w:r>
      <w:r>
        <w:rPr>
          <w:sz w:val="22"/>
        </w:rPr>
        <w:t>vehículos</w:t>
      </w:r>
      <w:r>
        <w:rPr>
          <w:spacing w:val="-4"/>
          <w:sz w:val="22"/>
        </w:rPr>
        <w:t> </w:t>
      </w:r>
      <w:r>
        <w:rPr>
          <w:sz w:val="22"/>
        </w:rPr>
        <w:t>limpios solo asciende a un 6,91 % y un 23,66 %, respectivamente.</w:t>
      </w:r>
    </w:p>
    <w:p>
      <w:pPr>
        <w:pStyle w:val="BodyText"/>
        <w:spacing w:before="240"/>
        <w:ind w:left="1349" w:right="988"/>
        <w:jc w:val="both"/>
      </w:pPr>
      <w:r>
        <w:rPr/>
        <w:t>Este</w:t>
      </w:r>
      <w:r>
        <w:rPr>
          <w:spacing w:val="-11"/>
        </w:rPr>
        <w:t> </w:t>
      </w:r>
      <w:r>
        <w:rPr/>
        <w:t>incremento</w:t>
      </w:r>
      <w:r>
        <w:rPr>
          <w:spacing w:val="-14"/>
        </w:rPr>
        <w:t> </w:t>
      </w:r>
      <w:r>
        <w:rPr/>
        <w:t>de</w:t>
      </w:r>
      <w:r>
        <w:rPr>
          <w:spacing w:val="-14"/>
        </w:rPr>
        <w:t> </w:t>
      </w:r>
      <w:r>
        <w:rPr/>
        <w:t>la</w:t>
      </w:r>
      <w:r>
        <w:rPr>
          <w:spacing w:val="-12"/>
        </w:rPr>
        <w:t> </w:t>
      </w:r>
      <w:r>
        <w:rPr/>
        <w:t>flota</w:t>
      </w:r>
      <w:r>
        <w:rPr>
          <w:spacing w:val="-11"/>
        </w:rPr>
        <w:t> </w:t>
      </w:r>
      <w:r>
        <w:rPr/>
        <w:t>con</w:t>
      </w:r>
      <w:r>
        <w:rPr>
          <w:spacing w:val="-14"/>
        </w:rPr>
        <w:t> </w:t>
      </w:r>
      <w:r>
        <w:rPr/>
        <w:t>vehículos</w:t>
      </w:r>
      <w:r>
        <w:rPr>
          <w:spacing w:val="-14"/>
        </w:rPr>
        <w:t> </w:t>
      </w:r>
      <w:r>
        <w:rPr/>
        <w:t>no</w:t>
      </w:r>
      <w:r>
        <w:rPr>
          <w:spacing w:val="-14"/>
        </w:rPr>
        <w:t> </w:t>
      </w:r>
      <w:r>
        <w:rPr/>
        <w:t>contaminantes</w:t>
      </w:r>
      <w:r>
        <w:rPr>
          <w:spacing w:val="-12"/>
        </w:rPr>
        <w:t> </w:t>
      </w:r>
      <w:r>
        <w:rPr/>
        <w:t>ha</w:t>
      </w:r>
      <w:r>
        <w:rPr>
          <w:spacing w:val="-14"/>
        </w:rPr>
        <w:t> </w:t>
      </w:r>
      <w:r>
        <w:rPr/>
        <w:t>contado</w:t>
      </w:r>
      <w:r>
        <w:rPr>
          <w:spacing w:val="-14"/>
        </w:rPr>
        <w:t> </w:t>
      </w:r>
      <w:r>
        <w:rPr/>
        <w:t>con</w:t>
      </w:r>
      <w:r>
        <w:rPr>
          <w:spacing w:val="-14"/>
        </w:rPr>
        <w:t> </w:t>
      </w:r>
      <w:r>
        <w:rPr/>
        <w:t>ayudas</w:t>
      </w:r>
      <w:r>
        <w:rPr>
          <w:spacing w:val="-13"/>
        </w:rPr>
        <w:t> </w:t>
      </w:r>
      <w:r>
        <w:rPr/>
        <w:t>procedentes del Plan de Recuperación, Transformación, y Resiliencia (PRTR), dirigidas a la adquisición de vehículos cero emisiones </w:t>
      </w:r>
      <w:r>
        <w:rPr>
          <w:rFonts w:ascii="Symbol" w:hAnsi="Symbol"/>
        </w:rPr>
        <w:t></w:t>
      </w:r>
      <w:r>
        <w:rPr/>
        <w:t>eléctricos o impulsados por hidrógeno</w:t>
      </w:r>
      <w:r>
        <w:rPr>
          <w:rFonts w:ascii="Symbol" w:hAnsi="Symbol"/>
        </w:rPr>
        <w:t></w:t>
      </w:r>
      <w:r>
        <w:rPr/>
        <w:t>, salvo en las adquisiciones del </w:t>
      </w:r>
      <w:r>
        <w:rPr>
          <w:b/>
        </w:rPr>
        <w:t>Ayuntamiento de Córdoba</w:t>
      </w:r>
      <w:r>
        <w:rPr/>
        <w:t>. (Subapartado II.1)</w:t>
      </w:r>
    </w:p>
    <w:p>
      <w:pPr>
        <w:pStyle w:val="ListParagraph"/>
        <w:numPr>
          <w:ilvl w:val="0"/>
          <w:numId w:val="9"/>
        </w:numPr>
        <w:tabs>
          <w:tab w:pos="1347" w:val="left" w:leader="none"/>
          <w:tab w:pos="1349" w:val="left" w:leader="none"/>
        </w:tabs>
        <w:spacing w:line="240" w:lineRule="auto" w:before="240" w:after="0"/>
        <w:ind w:left="1349" w:right="985" w:hanging="358"/>
        <w:jc w:val="both"/>
        <w:rPr>
          <w:sz w:val="22"/>
        </w:rPr>
      </w:pPr>
      <w:r>
        <w:rPr>
          <w:sz w:val="22"/>
        </w:rPr>
        <w:t>En los ejercicios fiscalizados ha aumentado el número de viajeros, así como el de viajes realizados, especialmente en </w:t>
      </w:r>
      <w:r>
        <w:rPr>
          <w:b/>
          <w:sz w:val="22"/>
        </w:rPr>
        <w:t>Palma, Murcia, Alicante </w:t>
      </w:r>
      <w:r>
        <w:rPr>
          <w:sz w:val="22"/>
        </w:rPr>
        <w:t>y </w:t>
      </w:r>
      <w:r>
        <w:rPr>
          <w:b/>
          <w:sz w:val="22"/>
        </w:rPr>
        <w:t>Las Palmas de Gran Canaria</w:t>
      </w:r>
      <w:r>
        <w:rPr>
          <w:sz w:val="22"/>
        </w:rPr>
        <w:t>, fundamentalmente debido a la superación de la pandemia COVID-19 y a las políticas tarifarias llevadas a cabo por los ayuntamientos fiscalizados, al acogerse a las ayudas directas al transporte</w:t>
      </w:r>
      <w:r>
        <w:rPr>
          <w:spacing w:val="-6"/>
          <w:sz w:val="22"/>
        </w:rPr>
        <w:t> </w:t>
      </w:r>
      <w:r>
        <w:rPr>
          <w:sz w:val="22"/>
        </w:rPr>
        <w:t>de</w:t>
      </w:r>
      <w:r>
        <w:rPr>
          <w:spacing w:val="-7"/>
          <w:sz w:val="22"/>
        </w:rPr>
        <w:t> </w:t>
      </w:r>
      <w:r>
        <w:rPr>
          <w:sz w:val="22"/>
        </w:rPr>
        <w:t>viajeros</w:t>
      </w:r>
      <w:r>
        <w:rPr>
          <w:spacing w:val="-6"/>
          <w:sz w:val="22"/>
        </w:rPr>
        <w:t> </w:t>
      </w:r>
      <w:r>
        <w:rPr>
          <w:sz w:val="22"/>
        </w:rPr>
        <w:t>reguladas</w:t>
      </w:r>
      <w:r>
        <w:rPr>
          <w:spacing w:val="-4"/>
          <w:sz w:val="22"/>
        </w:rPr>
        <w:t> </w:t>
      </w:r>
      <w:r>
        <w:rPr>
          <w:sz w:val="22"/>
        </w:rPr>
        <w:t>en</w:t>
      </w:r>
      <w:r>
        <w:rPr>
          <w:spacing w:val="-4"/>
          <w:sz w:val="22"/>
        </w:rPr>
        <w:t> </w:t>
      </w:r>
      <w:r>
        <w:rPr>
          <w:sz w:val="22"/>
        </w:rPr>
        <w:t>los</w:t>
      </w:r>
      <w:r>
        <w:rPr>
          <w:spacing w:val="-6"/>
          <w:sz w:val="22"/>
        </w:rPr>
        <w:t> </w:t>
      </w:r>
      <w:r>
        <w:rPr>
          <w:sz w:val="22"/>
        </w:rPr>
        <w:t>Reales</w:t>
      </w:r>
      <w:r>
        <w:rPr>
          <w:spacing w:val="-4"/>
          <w:sz w:val="22"/>
        </w:rPr>
        <w:t> </w:t>
      </w:r>
      <w:r>
        <w:rPr>
          <w:sz w:val="22"/>
        </w:rPr>
        <w:t>Decreto-leyes</w:t>
      </w:r>
      <w:r>
        <w:rPr>
          <w:spacing w:val="-4"/>
          <w:sz w:val="22"/>
        </w:rPr>
        <w:t> </w:t>
      </w:r>
      <w:r>
        <w:rPr>
          <w:sz w:val="22"/>
        </w:rPr>
        <w:t>aprobados</w:t>
      </w:r>
      <w:r>
        <w:rPr>
          <w:spacing w:val="-9"/>
          <w:sz w:val="22"/>
        </w:rPr>
        <w:t> </w:t>
      </w:r>
      <w:r>
        <w:rPr>
          <w:sz w:val="22"/>
        </w:rPr>
        <w:t>para</w:t>
      </w:r>
      <w:r>
        <w:rPr>
          <w:spacing w:val="-4"/>
          <w:sz w:val="22"/>
        </w:rPr>
        <w:t> </w:t>
      </w:r>
      <w:r>
        <w:rPr>
          <w:sz w:val="22"/>
        </w:rPr>
        <w:t>hacer</w:t>
      </w:r>
      <w:r>
        <w:rPr>
          <w:spacing w:val="-5"/>
          <w:sz w:val="22"/>
        </w:rPr>
        <w:t> </w:t>
      </w:r>
      <w:r>
        <w:rPr>
          <w:sz w:val="22"/>
        </w:rPr>
        <w:t>frente</w:t>
      </w:r>
      <w:r>
        <w:rPr>
          <w:spacing w:val="-6"/>
          <w:sz w:val="22"/>
        </w:rPr>
        <w:t> </w:t>
      </w:r>
      <w:r>
        <w:rPr>
          <w:sz w:val="22"/>
        </w:rPr>
        <w:t>a</w:t>
      </w:r>
      <w:r>
        <w:rPr>
          <w:spacing w:val="-6"/>
          <w:sz w:val="22"/>
        </w:rPr>
        <w:t> </w:t>
      </w:r>
      <w:r>
        <w:rPr>
          <w:sz w:val="22"/>
        </w:rPr>
        <w:t>las consecuencias</w:t>
      </w:r>
      <w:r>
        <w:rPr>
          <w:spacing w:val="-4"/>
          <w:sz w:val="22"/>
        </w:rPr>
        <w:t> </w:t>
      </w:r>
      <w:r>
        <w:rPr>
          <w:sz w:val="22"/>
        </w:rPr>
        <w:t>económicas</w:t>
      </w:r>
      <w:r>
        <w:rPr>
          <w:spacing w:val="-4"/>
          <w:sz w:val="22"/>
        </w:rPr>
        <w:t> </w:t>
      </w:r>
      <w:r>
        <w:rPr>
          <w:sz w:val="22"/>
        </w:rPr>
        <w:t>y</w:t>
      </w:r>
      <w:r>
        <w:rPr>
          <w:spacing w:val="-4"/>
          <w:sz w:val="22"/>
        </w:rPr>
        <w:t> </w:t>
      </w:r>
      <w:r>
        <w:rPr>
          <w:sz w:val="22"/>
        </w:rPr>
        <w:t>sociales</w:t>
      </w:r>
      <w:r>
        <w:rPr>
          <w:spacing w:val="-4"/>
          <w:sz w:val="22"/>
        </w:rPr>
        <w:t> </w:t>
      </w:r>
      <w:r>
        <w:rPr>
          <w:sz w:val="22"/>
        </w:rPr>
        <w:t>de</w:t>
      </w:r>
      <w:r>
        <w:rPr>
          <w:spacing w:val="-4"/>
          <w:sz w:val="22"/>
        </w:rPr>
        <w:t> </w:t>
      </w:r>
      <w:r>
        <w:rPr>
          <w:sz w:val="22"/>
        </w:rPr>
        <w:t>la</w:t>
      </w:r>
      <w:r>
        <w:rPr>
          <w:spacing w:val="-3"/>
          <w:sz w:val="22"/>
        </w:rPr>
        <w:t> </w:t>
      </w:r>
      <w:r>
        <w:rPr>
          <w:sz w:val="22"/>
        </w:rPr>
        <w:t>guerra</w:t>
      </w:r>
      <w:r>
        <w:rPr>
          <w:spacing w:val="-4"/>
          <w:sz w:val="22"/>
        </w:rPr>
        <w:t> </w:t>
      </w:r>
      <w:r>
        <w:rPr>
          <w:sz w:val="22"/>
        </w:rPr>
        <w:t>en</w:t>
      </w:r>
      <w:r>
        <w:rPr>
          <w:spacing w:val="-4"/>
          <w:sz w:val="22"/>
        </w:rPr>
        <w:t> </w:t>
      </w:r>
      <w:r>
        <w:rPr>
          <w:sz w:val="22"/>
        </w:rPr>
        <w:t>Ucrania</w:t>
      </w:r>
      <w:r>
        <w:rPr>
          <w:spacing w:val="-4"/>
          <w:sz w:val="22"/>
        </w:rPr>
        <w:t> </w:t>
      </w:r>
      <w:r>
        <w:rPr>
          <w:sz w:val="22"/>
        </w:rPr>
        <w:t>y</w:t>
      </w:r>
      <w:r>
        <w:rPr>
          <w:spacing w:val="-6"/>
          <w:sz w:val="22"/>
        </w:rPr>
        <w:t> </w:t>
      </w:r>
      <w:r>
        <w:rPr>
          <w:sz w:val="22"/>
        </w:rPr>
        <w:t>Oriente</w:t>
      </w:r>
      <w:r>
        <w:rPr>
          <w:spacing w:val="-4"/>
          <w:sz w:val="22"/>
        </w:rPr>
        <w:t> </w:t>
      </w:r>
      <w:r>
        <w:rPr>
          <w:sz w:val="22"/>
        </w:rPr>
        <w:t>Próximo,</w:t>
      </w:r>
      <w:r>
        <w:rPr>
          <w:spacing w:val="-5"/>
          <w:sz w:val="22"/>
        </w:rPr>
        <w:t> </w:t>
      </w:r>
      <w:r>
        <w:rPr>
          <w:sz w:val="22"/>
        </w:rPr>
        <w:t>a</w:t>
      </w:r>
      <w:r>
        <w:rPr>
          <w:spacing w:val="-4"/>
          <w:sz w:val="22"/>
        </w:rPr>
        <w:t> </w:t>
      </w:r>
      <w:r>
        <w:rPr>
          <w:sz w:val="22"/>
        </w:rPr>
        <w:t>situaciones de</w:t>
      </w:r>
      <w:r>
        <w:rPr>
          <w:spacing w:val="-6"/>
          <w:sz w:val="22"/>
        </w:rPr>
        <w:t> </w:t>
      </w:r>
      <w:r>
        <w:rPr>
          <w:sz w:val="22"/>
        </w:rPr>
        <w:t>vulnerabilidad</w:t>
      </w:r>
      <w:r>
        <w:rPr>
          <w:spacing w:val="-5"/>
          <w:sz w:val="22"/>
        </w:rPr>
        <w:t> </w:t>
      </w:r>
      <w:r>
        <w:rPr>
          <w:sz w:val="22"/>
        </w:rPr>
        <w:t>social</w:t>
      </w:r>
      <w:r>
        <w:rPr>
          <w:spacing w:val="-6"/>
          <w:sz w:val="22"/>
        </w:rPr>
        <w:t> </w:t>
      </w:r>
      <w:r>
        <w:rPr>
          <w:sz w:val="22"/>
        </w:rPr>
        <w:t>y</w:t>
      </w:r>
      <w:r>
        <w:rPr>
          <w:spacing w:val="-5"/>
          <w:sz w:val="22"/>
        </w:rPr>
        <w:t> </w:t>
      </w:r>
      <w:r>
        <w:rPr>
          <w:sz w:val="22"/>
        </w:rPr>
        <w:t>económica,</w:t>
      </w:r>
      <w:r>
        <w:rPr>
          <w:spacing w:val="-7"/>
          <w:sz w:val="22"/>
        </w:rPr>
        <w:t> </w:t>
      </w:r>
      <w:r>
        <w:rPr>
          <w:sz w:val="22"/>
        </w:rPr>
        <w:t>y</w:t>
      </w:r>
      <w:r>
        <w:rPr>
          <w:spacing w:val="-5"/>
          <w:sz w:val="22"/>
        </w:rPr>
        <w:t> </w:t>
      </w:r>
      <w:r>
        <w:rPr>
          <w:sz w:val="22"/>
        </w:rPr>
        <w:t>para</w:t>
      </w:r>
      <w:r>
        <w:rPr>
          <w:spacing w:val="-5"/>
          <w:sz w:val="22"/>
        </w:rPr>
        <w:t> </w:t>
      </w:r>
      <w:r>
        <w:rPr>
          <w:sz w:val="22"/>
        </w:rPr>
        <w:t>la</w:t>
      </w:r>
      <w:r>
        <w:rPr>
          <w:spacing w:val="-8"/>
          <w:sz w:val="22"/>
        </w:rPr>
        <w:t> </w:t>
      </w:r>
      <w:r>
        <w:rPr>
          <w:sz w:val="22"/>
        </w:rPr>
        <w:t>recuperación</w:t>
      </w:r>
      <w:r>
        <w:rPr>
          <w:spacing w:val="-6"/>
          <w:sz w:val="22"/>
        </w:rPr>
        <w:t> </w:t>
      </w:r>
      <w:r>
        <w:rPr>
          <w:sz w:val="22"/>
        </w:rPr>
        <w:t>económica</w:t>
      </w:r>
      <w:r>
        <w:rPr>
          <w:spacing w:val="-5"/>
          <w:sz w:val="22"/>
        </w:rPr>
        <w:t> </w:t>
      </w:r>
      <w:r>
        <w:rPr>
          <w:sz w:val="22"/>
        </w:rPr>
        <w:t>y</w:t>
      </w:r>
      <w:r>
        <w:rPr>
          <w:spacing w:val="-7"/>
          <w:sz w:val="22"/>
        </w:rPr>
        <w:t> </w:t>
      </w:r>
      <w:r>
        <w:rPr>
          <w:sz w:val="22"/>
        </w:rPr>
        <w:t>social</w:t>
      </w:r>
      <w:r>
        <w:rPr>
          <w:spacing w:val="-6"/>
          <w:sz w:val="22"/>
        </w:rPr>
        <w:t> </w:t>
      </w:r>
      <w:r>
        <w:rPr>
          <w:sz w:val="22"/>
        </w:rPr>
        <w:t>de</w:t>
      </w:r>
      <w:r>
        <w:rPr>
          <w:spacing w:val="-6"/>
          <w:sz w:val="22"/>
        </w:rPr>
        <w:t> </w:t>
      </w:r>
      <w:r>
        <w:rPr>
          <w:sz w:val="22"/>
        </w:rPr>
        <w:t>la</w:t>
      </w:r>
      <w:r>
        <w:rPr>
          <w:spacing w:val="-5"/>
          <w:sz w:val="22"/>
        </w:rPr>
        <w:t> </w:t>
      </w:r>
      <w:r>
        <w:rPr>
          <w:sz w:val="22"/>
        </w:rPr>
        <w:t>isla</w:t>
      </w:r>
      <w:r>
        <w:rPr>
          <w:spacing w:val="-5"/>
          <w:sz w:val="22"/>
        </w:rPr>
        <w:t> </w:t>
      </w:r>
      <w:r>
        <w:rPr>
          <w:sz w:val="22"/>
        </w:rPr>
        <w:t>de</w:t>
      </w:r>
      <w:r>
        <w:rPr>
          <w:spacing w:val="-6"/>
          <w:sz w:val="22"/>
        </w:rPr>
        <w:t> </w:t>
      </w:r>
      <w:r>
        <w:rPr>
          <w:sz w:val="22"/>
        </w:rPr>
        <w:t>La Palma. También han contribuido las políticas dirigidas a fomentar el</w:t>
      </w:r>
      <w:r>
        <w:rPr>
          <w:spacing w:val="-1"/>
          <w:sz w:val="22"/>
        </w:rPr>
        <w:t> </w:t>
      </w:r>
      <w:r>
        <w:rPr>
          <w:sz w:val="22"/>
        </w:rPr>
        <w:t>uso</w:t>
      </w:r>
      <w:r>
        <w:rPr>
          <w:spacing w:val="-2"/>
          <w:sz w:val="22"/>
        </w:rPr>
        <w:t> </w:t>
      </w:r>
      <w:r>
        <w:rPr>
          <w:sz w:val="22"/>
        </w:rPr>
        <w:t>del</w:t>
      </w:r>
      <w:r>
        <w:rPr>
          <w:spacing w:val="-1"/>
          <w:sz w:val="22"/>
        </w:rPr>
        <w:t> </w:t>
      </w:r>
      <w:r>
        <w:rPr>
          <w:sz w:val="22"/>
        </w:rPr>
        <w:t>transporte</w:t>
      </w:r>
      <w:r>
        <w:rPr>
          <w:spacing w:val="-2"/>
          <w:sz w:val="22"/>
        </w:rPr>
        <w:t> </w:t>
      </w:r>
      <w:r>
        <w:rPr>
          <w:sz w:val="22"/>
        </w:rPr>
        <w:t>público,</w:t>
      </w:r>
    </w:p>
    <w:p>
      <w:pPr>
        <w:pStyle w:val="ListParagraph"/>
        <w:spacing w:after="0" w:line="240" w:lineRule="auto"/>
        <w:jc w:val="both"/>
        <w:rPr>
          <w:sz w:val="22"/>
        </w:rPr>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1349" w:right="993"/>
        <w:jc w:val="both"/>
      </w:pPr>
      <w:r>
        <w:rPr/>
        <w:t>el aumento del coste de otros medios de transporte, el crecimiento poblacional, así como las mejoras en la prestación del servicio</w:t>
      </w:r>
      <w:r>
        <w:rPr>
          <w:sz w:val="24"/>
        </w:rPr>
        <w:t>. </w:t>
      </w:r>
      <w:r>
        <w:rPr/>
        <w:t>(Subapartado II.1)</w:t>
      </w:r>
    </w:p>
    <w:p>
      <w:pPr>
        <w:pStyle w:val="BodyText"/>
        <w:spacing w:before="108"/>
      </w:pPr>
    </w:p>
    <w:p>
      <w:pPr>
        <w:pStyle w:val="Heading4"/>
        <w:numPr>
          <w:ilvl w:val="1"/>
          <w:numId w:val="3"/>
        </w:numPr>
        <w:tabs>
          <w:tab w:pos="1477" w:val="left" w:leader="none"/>
        </w:tabs>
        <w:spacing w:line="240" w:lineRule="auto" w:before="0" w:after="0"/>
        <w:ind w:left="1477" w:right="0" w:hanging="485"/>
        <w:jc w:val="left"/>
      </w:pPr>
      <w:bookmarkStart w:name="_bookmark120" w:id="122"/>
      <w:bookmarkEnd w:id="122"/>
      <w:r>
        <w:rPr>
          <w:b w:val="0"/>
        </w:rPr>
      </w:r>
      <w:r>
        <w:rPr/>
        <w:t>RELATIVAS</w:t>
      </w:r>
      <w:r>
        <w:rPr>
          <w:spacing w:val="-10"/>
        </w:rPr>
        <w:t> </w:t>
      </w:r>
      <w:r>
        <w:rPr/>
        <w:t>A</w:t>
      </w:r>
      <w:r>
        <w:rPr>
          <w:spacing w:val="-3"/>
        </w:rPr>
        <w:t> </w:t>
      </w:r>
      <w:r>
        <w:rPr/>
        <w:t>LA</w:t>
      </w:r>
      <w:r>
        <w:rPr>
          <w:spacing w:val="-6"/>
        </w:rPr>
        <w:t> </w:t>
      </w:r>
      <w:r>
        <w:rPr/>
        <w:t>PLANIFICACIÓN</w:t>
      </w:r>
      <w:r>
        <w:rPr>
          <w:spacing w:val="-8"/>
        </w:rPr>
        <w:t> </w:t>
      </w:r>
      <w:r>
        <w:rPr/>
        <w:t>SOBRE</w:t>
      </w:r>
      <w:r>
        <w:rPr>
          <w:spacing w:val="-8"/>
        </w:rPr>
        <w:t> </w:t>
      </w:r>
      <w:r>
        <w:rPr/>
        <w:t>MOVILIDAD</w:t>
      </w:r>
      <w:r>
        <w:rPr>
          <w:spacing w:val="-8"/>
        </w:rPr>
        <w:t> </w:t>
      </w:r>
      <w:r>
        <w:rPr>
          <w:spacing w:val="-2"/>
        </w:rPr>
        <w:t>SOSTENIBLE</w:t>
      </w:r>
    </w:p>
    <w:p>
      <w:pPr>
        <w:pStyle w:val="ListParagraph"/>
        <w:numPr>
          <w:ilvl w:val="0"/>
          <w:numId w:val="9"/>
        </w:numPr>
        <w:tabs>
          <w:tab w:pos="1347" w:val="left" w:leader="none"/>
          <w:tab w:pos="1349" w:val="left" w:leader="none"/>
        </w:tabs>
        <w:spacing w:line="240" w:lineRule="auto" w:before="240" w:after="0"/>
        <w:ind w:left="1349" w:right="988" w:hanging="358"/>
        <w:jc w:val="both"/>
        <w:rPr>
          <w:sz w:val="22"/>
        </w:rPr>
      </w:pPr>
      <w:r>
        <w:rPr>
          <w:sz w:val="22"/>
        </w:rPr>
        <w:t>Todos los</w:t>
      </w:r>
      <w:r>
        <w:rPr>
          <w:spacing w:val="-3"/>
          <w:sz w:val="22"/>
        </w:rPr>
        <w:t> </w:t>
      </w:r>
      <w:r>
        <w:rPr>
          <w:sz w:val="22"/>
        </w:rPr>
        <w:t>ayuntamientos</w:t>
      </w:r>
      <w:r>
        <w:rPr>
          <w:spacing w:val="-5"/>
          <w:sz w:val="22"/>
        </w:rPr>
        <w:t> </w:t>
      </w:r>
      <w:r>
        <w:rPr>
          <w:sz w:val="22"/>
        </w:rPr>
        <w:t>fiscalizados han</w:t>
      </w:r>
      <w:r>
        <w:rPr>
          <w:spacing w:val="-3"/>
          <w:sz w:val="22"/>
        </w:rPr>
        <w:t> </w:t>
      </w:r>
      <w:r>
        <w:rPr>
          <w:sz w:val="22"/>
        </w:rPr>
        <w:t>aprobado</w:t>
      </w:r>
      <w:r>
        <w:rPr>
          <w:spacing w:val="-1"/>
          <w:sz w:val="22"/>
        </w:rPr>
        <w:t> </w:t>
      </w:r>
      <w:r>
        <w:rPr>
          <w:sz w:val="22"/>
        </w:rPr>
        <w:t>instrumentos</w:t>
      </w:r>
      <w:r>
        <w:rPr>
          <w:spacing w:val="-3"/>
          <w:sz w:val="22"/>
        </w:rPr>
        <w:t> </w:t>
      </w:r>
      <w:r>
        <w:rPr>
          <w:sz w:val="22"/>
        </w:rPr>
        <w:t>de</w:t>
      </w:r>
      <w:r>
        <w:rPr>
          <w:spacing w:val="-3"/>
          <w:sz w:val="22"/>
        </w:rPr>
        <w:t> </w:t>
      </w:r>
      <w:r>
        <w:rPr>
          <w:sz w:val="22"/>
        </w:rPr>
        <w:t>planificación</w:t>
      </w:r>
      <w:r>
        <w:rPr>
          <w:spacing w:val="-3"/>
          <w:sz w:val="22"/>
        </w:rPr>
        <w:t> </w:t>
      </w:r>
      <w:r>
        <w:rPr>
          <w:sz w:val="22"/>
        </w:rPr>
        <w:t>relacionados con el transporte público colectivo en los que incluyeron medidas dirigidas a mejorar su sostenibilidad</w:t>
      </w:r>
      <w:r>
        <w:rPr>
          <w:spacing w:val="-16"/>
          <w:sz w:val="22"/>
        </w:rPr>
        <w:t> </w:t>
      </w:r>
      <w:r>
        <w:rPr>
          <w:sz w:val="22"/>
        </w:rPr>
        <w:t>medioambiental</w:t>
      </w:r>
      <w:r>
        <w:rPr>
          <w:spacing w:val="-15"/>
          <w:sz w:val="22"/>
        </w:rPr>
        <w:t> </w:t>
      </w:r>
      <w:r>
        <w:rPr>
          <w:sz w:val="22"/>
        </w:rPr>
        <w:t>y</w:t>
      </w:r>
      <w:r>
        <w:rPr>
          <w:spacing w:val="-15"/>
          <w:sz w:val="22"/>
        </w:rPr>
        <w:t> </w:t>
      </w:r>
      <w:r>
        <w:rPr>
          <w:sz w:val="22"/>
        </w:rPr>
        <w:t>social,</w:t>
      </w:r>
      <w:r>
        <w:rPr>
          <w:spacing w:val="-16"/>
          <w:sz w:val="22"/>
        </w:rPr>
        <w:t> </w:t>
      </w:r>
      <w:r>
        <w:rPr>
          <w:sz w:val="22"/>
        </w:rPr>
        <w:t>tales</w:t>
      </w:r>
      <w:r>
        <w:rPr>
          <w:spacing w:val="-15"/>
          <w:sz w:val="22"/>
        </w:rPr>
        <w:t> </w:t>
      </w:r>
      <w:r>
        <w:rPr>
          <w:sz w:val="22"/>
        </w:rPr>
        <w:t>como</w:t>
      </w:r>
      <w:r>
        <w:rPr>
          <w:spacing w:val="-14"/>
          <w:sz w:val="22"/>
        </w:rPr>
        <w:t> </w:t>
      </w:r>
      <w:r>
        <w:rPr>
          <w:sz w:val="22"/>
        </w:rPr>
        <w:t>la</w:t>
      </w:r>
      <w:r>
        <w:rPr>
          <w:spacing w:val="-15"/>
          <w:sz w:val="22"/>
        </w:rPr>
        <w:t> </w:t>
      </w:r>
      <w:r>
        <w:rPr>
          <w:sz w:val="22"/>
        </w:rPr>
        <w:t>descarbonización</w:t>
      </w:r>
      <w:r>
        <w:rPr>
          <w:spacing w:val="-15"/>
          <w:sz w:val="22"/>
        </w:rPr>
        <w:t> </w:t>
      </w:r>
      <w:r>
        <w:rPr>
          <w:sz w:val="22"/>
        </w:rPr>
        <w:t>del</w:t>
      </w:r>
      <w:r>
        <w:rPr>
          <w:spacing w:val="-15"/>
          <w:sz w:val="22"/>
        </w:rPr>
        <w:t> </w:t>
      </w:r>
      <w:r>
        <w:rPr>
          <w:sz w:val="22"/>
        </w:rPr>
        <w:t>sector</w:t>
      </w:r>
      <w:r>
        <w:rPr>
          <w:spacing w:val="-16"/>
          <w:sz w:val="22"/>
        </w:rPr>
        <w:t> </w:t>
      </w:r>
      <w:r>
        <w:rPr>
          <w:sz w:val="22"/>
        </w:rPr>
        <w:t>del</w:t>
      </w:r>
      <w:r>
        <w:rPr>
          <w:spacing w:val="-15"/>
          <w:sz w:val="22"/>
        </w:rPr>
        <w:t> </w:t>
      </w:r>
      <w:r>
        <w:rPr>
          <w:sz w:val="22"/>
        </w:rPr>
        <w:t>transporte, incentivando la movilidad a través del uso del transporte público y la electrificación del parque de</w:t>
      </w:r>
      <w:r>
        <w:rPr>
          <w:spacing w:val="-9"/>
          <w:sz w:val="22"/>
        </w:rPr>
        <w:t> </w:t>
      </w:r>
      <w:r>
        <w:rPr>
          <w:sz w:val="22"/>
        </w:rPr>
        <w:t>vehículos,</w:t>
      </w:r>
      <w:r>
        <w:rPr>
          <w:spacing w:val="-7"/>
          <w:sz w:val="22"/>
        </w:rPr>
        <w:t> </w:t>
      </w:r>
      <w:r>
        <w:rPr>
          <w:sz w:val="22"/>
        </w:rPr>
        <w:t>la</w:t>
      </w:r>
      <w:r>
        <w:rPr>
          <w:spacing w:val="-9"/>
          <w:sz w:val="22"/>
        </w:rPr>
        <w:t> </w:t>
      </w:r>
      <w:r>
        <w:rPr>
          <w:sz w:val="22"/>
        </w:rPr>
        <w:t>sustitución</w:t>
      </w:r>
      <w:r>
        <w:rPr>
          <w:spacing w:val="-9"/>
          <w:sz w:val="22"/>
        </w:rPr>
        <w:t> </w:t>
      </w:r>
      <w:r>
        <w:rPr>
          <w:sz w:val="22"/>
        </w:rPr>
        <w:t>de</w:t>
      </w:r>
      <w:r>
        <w:rPr>
          <w:spacing w:val="-9"/>
          <w:sz w:val="22"/>
        </w:rPr>
        <w:t> </w:t>
      </w:r>
      <w:r>
        <w:rPr>
          <w:sz w:val="22"/>
        </w:rPr>
        <w:t>la</w:t>
      </w:r>
      <w:r>
        <w:rPr>
          <w:spacing w:val="-11"/>
          <w:sz w:val="22"/>
        </w:rPr>
        <w:t> </w:t>
      </w:r>
      <w:r>
        <w:rPr>
          <w:sz w:val="22"/>
        </w:rPr>
        <w:t>flota</w:t>
      </w:r>
      <w:r>
        <w:rPr>
          <w:spacing w:val="-11"/>
          <w:sz w:val="22"/>
        </w:rPr>
        <w:t> </w:t>
      </w:r>
      <w:r>
        <w:rPr>
          <w:sz w:val="22"/>
        </w:rPr>
        <w:t>municipal</w:t>
      </w:r>
      <w:r>
        <w:rPr>
          <w:spacing w:val="-10"/>
          <w:sz w:val="22"/>
        </w:rPr>
        <w:t> </w:t>
      </w:r>
      <w:r>
        <w:rPr>
          <w:sz w:val="22"/>
        </w:rPr>
        <w:t>hacia</w:t>
      </w:r>
      <w:r>
        <w:rPr>
          <w:spacing w:val="-9"/>
          <w:sz w:val="22"/>
        </w:rPr>
        <w:t> </w:t>
      </w:r>
      <w:r>
        <w:rPr>
          <w:sz w:val="22"/>
        </w:rPr>
        <w:t>vehículos</w:t>
      </w:r>
      <w:r>
        <w:rPr>
          <w:spacing w:val="-11"/>
          <w:sz w:val="22"/>
        </w:rPr>
        <w:t> </w:t>
      </w:r>
      <w:r>
        <w:rPr>
          <w:sz w:val="22"/>
        </w:rPr>
        <w:t>más</w:t>
      </w:r>
      <w:r>
        <w:rPr>
          <w:spacing w:val="-11"/>
          <w:sz w:val="22"/>
        </w:rPr>
        <w:t> </w:t>
      </w:r>
      <w:r>
        <w:rPr>
          <w:sz w:val="22"/>
        </w:rPr>
        <w:t>eficientes,</w:t>
      </w:r>
      <w:r>
        <w:rPr>
          <w:spacing w:val="-9"/>
          <w:sz w:val="22"/>
        </w:rPr>
        <w:t> </w:t>
      </w:r>
      <w:r>
        <w:rPr>
          <w:sz w:val="22"/>
        </w:rPr>
        <w:t>la</w:t>
      </w:r>
      <w:r>
        <w:rPr>
          <w:spacing w:val="-9"/>
          <w:sz w:val="22"/>
        </w:rPr>
        <w:t> </w:t>
      </w:r>
      <w:r>
        <w:rPr>
          <w:sz w:val="22"/>
        </w:rPr>
        <w:t>instalación</w:t>
      </w:r>
      <w:r>
        <w:rPr>
          <w:spacing w:val="-9"/>
          <w:sz w:val="22"/>
        </w:rPr>
        <w:t> </w:t>
      </w:r>
      <w:r>
        <w:rPr>
          <w:sz w:val="22"/>
        </w:rPr>
        <w:t>de puntos de recarga para el parque móvil público, la mejora de la intermodalidad y de la información</w:t>
      </w:r>
      <w:r>
        <w:rPr>
          <w:spacing w:val="-9"/>
          <w:sz w:val="22"/>
        </w:rPr>
        <w:t> </w:t>
      </w:r>
      <w:r>
        <w:rPr>
          <w:sz w:val="22"/>
        </w:rPr>
        <w:t>a</w:t>
      </w:r>
      <w:r>
        <w:rPr>
          <w:spacing w:val="-9"/>
          <w:sz w:val="22"/>
        </w:rPr>
        <w:t> </w:t>
      </w:r>
      <w:r>
        <w:rPr>
          <w:sz w:val="22"/>
        </w:rPr>
        <w:t>los</w:t>
      </w:r>
      <w:r>
        <w:rPr>
          <w:spacing w:val="-6"/>
          <w:sz w:val="22"/>
        </w:rPr>
        <w:t> </w:t>
      </w:r>
      <w:r>
        <w:rPr>
          <w:sz w:val="22"/>
        </w:rPr>
        <w:t>viajeros,</w:t>
      </w:r>
      <w:r>
        <w:rPr>
          <w:spacing w:val="-5"/>
          <w:sz w:val="22"/>
        </w:rPr>
        <w:t> </w:t>
      </w:r>
      <w:r>
        <w:rPr>
          <w:sz w:val="22"/>
        </w:rPr>
        <w:t>la</w:t>
      </w:r>
      <w:r>
        <w:rPr>
          <w:spacing w:val="-9"/>
          <w:sz w:val="22"/>
        </w:rPr>
        <w:t> </w:t>
      </w:r>
      <w:r>
        <w:rPr>
          <w:sz w:val="22"/>
        </w:rPr>
        <w:t>reducción</w:t>
      </w:r>
      <w:r>
        <w:rPr>
          <w:spacing w:val="-7"/>
          <w:sz w:val="22"/>
        </w:rPr>
        <w:t> </w:t>
      </w:r>
      <w:r>
        <w:rPr>
          <w:sz w:val="22"/>
        </w:rPr>
        <w:t>de</w:t>
      </w:r>
      <w:r>
        <w:rPr>
          <w:spacing w:val="-9"/>
          <w:sz w:val="22"/>
        </w:rPr>
        <w:t> </w:t>
      </w:r>
      <w:r>
        <w:rPr>
          <w:sz w:val="22"/>
        </w:rPr>
        <w:t>los</w:t>
      </w:r>
      <w:r>
        <w:rPr>
          <w:spacing w:val="-9"/>
          <w:sz w:val="22"/>
        </w:rPr>
        <w:t> </w:t>
      </w:r>
      <w:r>
        <w:rPr>
          <w:sz w:val="22"/>
        </w:rPr>
        <w:t>tiempos</w:t>
      </w:r>
      <w:r>
        <w:rPr>
          <w:spacing w:val="-8"/>
          <w:sz w:val="22"/>
        </w:rPr>
        <w:t> </w:t>
      </w:r>
      <w:r>
        <w:rPr>
          <w:sz w:val="22"/>
        </w:rPr>
        <w:t>de</w:t>
      </w:r>
      <w:r>
        <w:rPr>
          <w:spacing w:val="-9"/>
          <w:sz w:val="22"/>
        </w:rPr>
        <w:t> </w:t>
      </w:r>
      <w:r>
        <w:rPr>
          <w:sz w:val="22"/>
        </w:rPr>
        <w:t>viajes</w:t>
      </w:r>
      <w:r>
        <w:rPr>
          <w:spacing w:val="-9"/>
          <w:sz w:val="22"/>
        </w:rPr>
        <w:t> </w:t>
      </w:r>
      <w:r>
        <w:rPr>
          <w:sz w:val="22"/>
        </w:rPr>
        <w:t>en</w:t>
      </w:r>
      <w:r>
        <w:rPr>
          <w:spacing w:val="-9"/>
          <w:sz w:val="22"/>
        </w:rPr>
        <w:t> </w:t>
      </w:r>
      <w:r>
        <w:rPr>
          <w:sz w:val="22"/>
        </w:rPr>
        <w:t>autobús</w:t>
      </w:r>
      <w:r>
        <w:rPr>
          <w:spacing w:val="-6"/>
          <w:sz w:val="22"/>
        </w:rPr>
        <w:t> </w:t>
      </w:r>
      <w:r>
        <w:rPr>
          <w:sz w:val="22"/>
        </w:rPr>
        <w:t>o</w:t>
      </w:r>
      <w:r>
        <w:rPr>
          <w:spacing w:val="-9"/>
          <w:sz w:val="22"/>
        </w:rPr>
        <w:t> </w:t>
      </w:r>
      <w:r>
        <w:rPr>
          <w:sz w:val="22"/>
        </w:rPr>
        <w:t>la</w:t>
      </w:r>
      <w:r>
        <w:rPr>
          <w:spacing w:val="-6"/>
          <w:sz w:val="22"/>
        </w:rPr>
        <w:t> </w:t>
      </w:r>
      <w:r>
        <w:rPr>
          <w:sz w:val="22"/>
        </w:rPr>
        <w:t>implantación</w:t>
      </w:r>
      <w:r>
        <w:rPr>
          <w:spacing w:val="-7"/>
          <w:sz w:val="22"/>
        </w:rPr>
        <w:t> </w:t>
      </w:r>
      <w:r>
        <w:rPr>
          <w:sz w:val="22"/>
        </w:rPr>
        <w:t>de nuevas tecnologías aplicadas al transporte público.</w:t>
      </w:r>
    </w:p>
    <w:p>
      <w:pPr>
        <w:pStyle w:val="BodyText"/>
        <w:spacing w:before="239"/>
        <w:ind w:left="1349" w:right="984"/>
        <w:jc w:val="both"/>
      </w:pPr>
      <w:r>
        <w:rPr/>
        <w:t>Todos los ayuntamientos cuentan con Planes de movilidad urbana sostenible (PMUS) que contienen</w:t>
      </w:r>
      <w:r>
        <w:rPr>
          <w:spacing w:val="-4"/>
        </w:rPr>
        <w:t> </w:t>
      </w:r>
      <w:r>
        <w:rPr/>
        <w:t>medidas</w:t>
      </w:r>
      <w:r>
        <w:rPr>
          <w:spacing w:val="-4"/>
        </w:rPr>
        <w:t> </w:t>
      </w:r>
      <w:r>
        <w:rPr/>
        <w:t>para</w:t>
      </w:r>
      <w:r>
        <w:rPr>
          <w:spacing w:val="-4"/>
        </w:rPr>
        <w:t> </w:t>
      </w:r>
      <w:r>
        <w:rPr/>
        <w:t>la</w:t>
      </w:r>
      <w:r>
        <w:rPr>
          <w:spacing w:val="-4"/>
        </w:rPr>
        <w:t> </w:t>
      </w:r>
      <w:r>
        <w:rPr/>
        <w:t>mejora</w:t>
      </w:r>
      <w:r>
        <w:rPr>
          <w:spacing w:val="-4"/>
        </w:rPr>
        <w:t> </w:t>
      </w:r>
      <w:r>
        <w:rPr/>
        <w:t>y</w:t>
      </w:r>
      <w:r>
        <w:rPr>
          <w:spacing w:val="-6"/>
        </w:rPr>
        <w:t> </w:t>
      </w:r>
      <w:r>
        <w:rPr/>
        <w:t>uso</w:t>
      </w:r>
      <w:r>
        <w:rPr>
          <w:spacing w:val="-4"/>
        </w:rPr>
        <w:t> </w:t>
      </w:r>
      <w:r>
        <w:rPr/>
        <w:t>de</w:t>
      </w:r>
      <w:r>
        <w:rPr>
          <w:spacing w:val="-4"/>
        </w:rPr>
        <w:t> </w:t>
      </w:r>
      <w:r>
        <w:rPr/>
        <w:t>la</w:t>
      </w:r>
      <w:r>
        <w:rPr>
          <w:spacing w:val="-6"/>
        </w:rPr>
        <w:t> </w:t>
      </w:r>
      <w:r>
        <w:rPr/>
        <w:t>red</w:t>
      </w:r>
      <w:r>
        <w:rPr>
          <w:spacing w:val="-7"/>
        </w:rPr>
        <w:t> </w:t>
      </w:r>
      <w:r>
        <w:rPr/>
        <w:t>de</w:t>
      </w:r>
      <w:r>
        <w:rPr>
          <w:spacing w:val="-4"/>
        </w:rPr>
        <w:t> </w:t>
      </w:r>
      <w:r>
        <w:rPr/>
        <w:t>transporte</w:t>
      </w:r>
      <w:r>
        <w:rPr>
          <w:spacing w:val="-4"/>
        </w:rPr>
        <w:t> </w:t>
      </w:r>
      <w:r>
        <w:rPr/>
        <w:t>público,</w:t>
      </w:r>
      <w:r>
        <w:rPr>
          <w:spacing w:val="-3"/>
        </w:rPr>
        <w:t> </w:t>
      </w:r>
      <w:r>
        <w:rPr/>
        <w:t>incluyendo</w:t>
      </w:r>
      <w:r>
        <w:rPr>
          <w:spacing w:val="-4"/>
        </w:rPr>
        <w:t> </w:t>
      </w:r>
      <w:r>
        <w:rPr/>
        <w:t>medidas</w:t>
      </w:r>
      <w:r>
        <w:rPr>
          <w:spacing w:val="-4"/>
        </w:rPr>
        <w:t> </w:t>
      </w:r>
      <w:r>
        <w:rPr/>
        <w:t>de integración</w:t>
      </w:r>
      <w:r>
        <w:rPr>
          <w:spacing w:val="-9"/>
        </w:rPr>
        <w:t> </w:t>
      </w:r>
      <w:r>
        <w:rPr/>
        <w:t>multimodal.</w:t>
      </w:r>
      <w:r>
        <w:rPr>
          <w:spacing w:val="-9"/>
        </w:rPr>
        <w:t> </w:t>
      </w:r>
      <w:r>
        <w:rPr/>
        <w:t>No</w:t>
      </w:r>
      <w:r>
        <w:rPr>
          <w:spacing w:val="-9"/>
        </w:rPr>
        <w:t> </w:t>
      </w:r>
      <w:r>
        <w:rPr/>
        <w:t>obstante,</w:t>
      </w:r>
      <w:r>
        <w:rPr>
          <w:spacing w:val="-7"/>
        </w:rPr>
        <w:t> </w:t>
      </w:r>
      <w:r>
        <w:rPr/>
        <w:t>los</w:t>
      </w:r>
      <w:r>
        <w:rPr>
          <w:spacing w:val="-9"/>
        </w:rPr>
        <w:t> </w:t>
      </w:r>
      <w:r>
        <w:rPr/>
        <w:t>PMUS</w:t>
      </w:r>
      <w:r>
        <w:rPr>
          <w:spacing w:val="-8"/>
        </w:rPr>
        <w:t> </w:t>
      </w:r>
      <w:r>
        <w:rPr/>
        <w:t>de</w:t>
      </w:r>
      <w:r>
        <w:rPr>
          <w:spacing w:val="-9"/>
        </w:rPr>
        <w:t> </w:t>
      </w:r>
      <w:r>
        <w:rPr/>
        <w:t>la</w:t>
      </w:r>
      <w:r>
        <w:rPr>
          <w:spacing w:val="-9"/>
        </w:rPr>
        <w:t> </w:t>
      </w:r>
      <w:r>
        <w:rPr/>
        <w:t>mayoría</w:t>
      </w:r>
      <w:r>
        <w:rPr>
          <w:spacing w:val="-9"/>
        </w:rPr>
        <w:t> </w:t>
      </w:r>
      <w:r>
        <w:rPr/>
        <w:t>de</w:t>
      </w:r>
      <w:r>
        <w:rPr>
          <w:spacing w:val="-9"/>
        </w:rPr>
        <w:t> </w:t>
      </w:r>
      <w:r>
        <w:rPr/>
        <w:t>los</w:t>
      </w:r>
      <w:r>
        <w:rPr>
          <w:spacing w:val="-7"/>
        </w:rPr>
        <w:t> </w:t>
      </w:r>
      <w:r>
        <w:rPr/>
        <w:t>ayuntamientos,</w:t>
      </w:r>
      <w:r>
        <w:rPr>
          <w:spacing w:val="-7"/>
        </w:rPr>
        <w:t> </w:t>
      </w:r>
      <w:r>
        <w:rPr/>
        <w:t>salvo</w:t>
      </w:r>
      <w:r>
        <w:rPr>
          <w:spacing w:val="-9"/>
        </w:rPr>
        <w:t> </w:t>
      </w:r>
      <w:r>
        <w:rPr/>
        <w:t>el</w:t>
      </w:r>
      <w:r>
        <w:rPr>
          <w:spacing w:val="-9"/>
        </w:rPr>
        <w:t> </w:t>
      </w:r>
      <w:r>
        <w:rPr/>
        <w:t>del </w:t>
      </w:r>
      <w:r>
        <w:rPr>
          <w:b/>
        </w:rPr>
        <w:t>Ayuntamiento de Palma</w:t>
      </w:r>
      <w:r>
        <w:rPr/>
        <w:t>, se aprobaron con anterioridad a la entrada en vigor de la Ley de cambio climático y transición energética, sin que se hayan llevado a cabo las modificaciones necesarias para adaptarlos al contenido mínimo previsto en esa norma. El </w:t>
      </w:r>
      <w:r>
        <w:rPr>
          <w:b/>
        </w:rPr>
        <w:t>Ayuntamiento de Murcia </w:t>
      </w:r>
      <w:r>
        <w:rPr/>
        <w:t>encargó en febrero de 2022 a una sociedad mercantil municipal la revisión del PMUS, estando</w:t>
      </w:r>
      <w:r>
        <w:rPr>
          <w:spacing w:val="-7"/>
        </w:rPr>
        <w:t> </w:t>
      </w:r>
      <w:r>
        <w:rPr/>
        <w:t>pendiente</w:t>
      </w:r>
      <w:r>
        <w:rPr>
          <w:spacing w:val="-6"/>
        </w:rPr>
        <w:t> </w:t>
      </w:r>
      <w:r>
        <w:rPr/>
        <w:t>de</w:t>
      </w:r>
      <w:r>
        <w:rPr>
          <w:spacing w:val="-7"/>
        </w:rPr>
        <w:t> </w:t>
      </w:r>
      <w:r>
        <w:rPr/>
        <w:t>aprobación</w:t>
      </w:r>
      <w:r>
        <w:rPr>
          <w:spacing w:val="-4"/>
        </w:rPr>
        <w:t> </w:t>
      </w:r>
      <w:r>
        <w:rPr/>
        <w:t>el</w:t>
      </w:r>
      <w:r>
        <w:rPr>
          <w:spacing w:val="-7"/>
        </w:rPr>
        <w:t> </w:t>
      </w:r>
      <w:r>
        <w:rPr/>
        <w:t>nuevo</w:t>
      </w:r>
      <w:r>
        <w:rPr>
          <w:spacing w:val="-7"/>
        </w:rPr>
        <w:t> </w:t>
      </w:r>
      <w:r>
        <w:rPr/>
        <w:t>Plan.</w:t>
      </w:r>
      <w:r>
        <w:rPr>
          <w:spacing w:val="-7"/>
        </w:rPr>
        <w:t> </w:t>
      </w:r>
      <w:r>
        <w:rPr/>
        <w:t>El</w:t>
      </w:r>
      <w:r>
        <w:rPr>
          <w:spacing w:val="-5"/>
        </w:rPr>
        <w:t> </w:t>
      </w:r>
      <w:r>
        <w:rPr/>
        <w:t>del</w:t>
      </w:r>
      <w:r>
        <w:rPr>
          <w:spacing w:val="-7"/>
        </w:rPr>
        <w:t> </w:t>
      </w:r>
      <w:r>
        <w:rPr>
          <w:b/>
        </w:rPr>
        <w:t>Ayuntamiento</w:t>
      </w:r>
      <w:r>
        <w:rPr>
          <w:b/>
          <w:spacing w:val="-6"/>
        </w:rPr>
        <w:t> </w:t>
      </w:r>
      <w:r>
        <w:rPr>
          <w:b/>
        </w:rPr>
        <w:t>de</w:t>
      </w:r>
      <w:r>
        <w:rPr>
          <w:b/>
          <w:spacing w:val="-9"/>
        </w:rPr>
        <w:t> </w:t>
      </w:r>
      <w:r>
        <w:rPr>
          <w:b/>
        </w:rPr>
        <w:t>Málaga</w:t>
      </w:r>
      <w:r>
        <w:rPr>
          <w:b/>
          <w:spacing w:val="-5"/>
        </w:rPr>
        <w:t> </w:t>
      </w:r>
      <w:r>
        <w:rPr/>
        <w:t>se</w:t>
      </w:r>
      <w:r>
        <w:rPr>
          <w:spacing w:val="-6"/>
        </w:rPr>
        <w:t> </w:t>
      </w:r>
      <w:r>
        <w:rPr/>
        <w:t>aprobó</w:t>
      </w:r>
      <w:r>
        <w:rPr>
          <w:spacing w:val="-6"/>
        </w:rPr>
        <w:t> </w:t>
      </w:r>
      <w:r>
        <w:rPr/>
        <w:t>un mes más tarde a la entrada en vigor de la Ley y en su elaboración se tuvo en cuenta el Anteproyecto de Ley, si bien no se ha modificado para ajustarlo íntegramente a la norma.</w:t>
      </w:r>
    </w:p>
    <w:p>
      <w:pPr>
        <w:pStyle w:val="BodyText"/>
        <w:spacing w:before="241"/>
        <w:ind w:left="1349" w:right="988"/>
        <w:jc w:val="both"/>
      </w:pPr>
      <w:r>
        <w:rPr/>
        <w:t>Todos</w:t>
      </w:r>
      <w:r>
        <w:rPr>
          <w:spacing w:val="-2"/>
        </w:rPr>
        <w:t> </w:t>
      </w:r>
      <w:r>
        <w:rPr/>
        <w:t>los</w:t>
      </w:r>
      <w:r>
        <w:rPr>
          <w:spacing w:val="-3"/>
        </w:rPr>
        <w:t> </w:t>
      </w:r>
      <w:r>
        <w:rPr/>
        <w:t>ayuntamientos,</w:t>
      </w:r>
      <w:r>
        <w:rPr>
          <w:spacing w:val="-1"/>
        </w:rPr>
        <w:t> </w:t>
      </w:r>
      <w:r>
        <w:rPr/>
        <w:t>salvo</w:t>
      </w:r>
      <w:r>
        <w:rPr>
          <w:spacing w:val="-5"/>
        </w:rPr>
        <w:t> </w:t>
      </w:r>
      <w:r>
        <w:rPr/>
        <w:t>el</w:t>
      </w:r>
      <w:r>
        <w:rPr>
          <w:spacing w:val="-4"/>
        </w:rPr>
        <w:t> </w:t>
      </w:r>
      <w:r>
        <w:rPr>
          <w:b/>
        </w:rPr>
        <w:t>Ayuntamiento</w:t>
      </w:r>
      <w:r>
        <w:rPr>
          <w:b/>
          <w:spacing w:val="-5"/>
        </w:rPr>
        <w:t> </w:t>
      </w:r>
      <w:r>
        <w:rPr>
          <w:b/>
        </w:rPr>
        <w:t>de</w:t>
      </w:r>
      <w:r>
        <w:rPr>
          <w:b/>
          <w:spacing w:val="-5"/>
        </w:rPr>
        <w:t> </w:t>
      </w:r>
      <w:r>
        <w:rPr>
          <w:b/>
        </w:rPr>
        <w:t>Alicante</w:t>
      </w:r>
      <w:r>
        <w:rPr/>
        <w:t>,</w:t>
      </w:r>
      <w:r>
        <w:rPr>
          <w:spacing w:val="-4"/>
        </w:rPr>
        <w:t> </w:t>
      </w:r>
      <w:r>
        <w:rPr/>
        <w:t>también</w:t>
      </w:r>
      <w:r>
        <w:rPr>
          <w:spacing w:val="-3"/>
        </w:rPr>
        <w:t> </w:t>
      </w:r>
      <w:r>
        <w:rPr/>
        <w:t>disponen</w:t>
      </w:r>
      <w:r>
        <w:rPr>
          <w:spacing w:val="-3"/>
        </w:rPr>
        <w:t> </w:t>
      </w:r>
      <w:r>
        <w:rPr/>
        <w:t>de</w:t>
      </w:r>
      <w:r>
        <w:rPr>
          <w:spacing w:val="-1"/>
        </w:rPr>
        <w:t> </w:t>
      </w:r>
      <w:r>
        <w:rPr/>
        <w:t>Planes</w:t>
      </w:r>
      <w:r>
        <w:rPr>
          <w:spacing w:val="-5"/>
        </w:rPr>
        <w:t> </w:t>
      </w:r>
      <w:r>
        <w:rPr/>
        <w:t>de Acción</w:t>
      </w:r>
      <w:r>
        <w:rPr>
          <w:spacing w:val="-2"/>
        </w:rPr>
        <w:t> </w:t>
      </w:r>
      <w:r>
        <w:rPr/>
        <w:t>para</w:t>
      </w:r>
      <w:r>
        <w:rPr>
          <w:spacing w:val="-2"/>
        </w:rPr>
        <w:t> </w:t>
      </w:r>
      <w:r>
        <w:rPr/>
        <w:t>el</w:t>
      </w:r>
      <w:r>
        <w:rPr>
          <w:spacing w:val="-4"/>
        </w:rPr>
        <w:t> </w:t>
      </w:r>
      <w:r>
        <w:rPr/>
        <w:t>Clima</w:t>
      </w:r>
      <w:r>
        <w:rPr>
          <w:spacing w:val="-2"/>
        </w:rPr>
        <w:t> </w:t>
      </w:r>
      <w:r>
        <w:rPr/>
        <w:t>y</w:t>
      </w:r>
      <w:r>
        <w:rPr>
          <w:spacing w:val="-1"/>
        </w:rPr>
        <w:t> </w:t>
      </w:r>
      <w:r>
        <w:rPr/>
        <w:t>la</w:t>
      </w:r>
      <w:r>
        <w:rPr>
          <w:spacing w:val="-4"/>
        </w:rPr>
        <w:t> </w:t>
      </w:r>
      <w:r>
        <w:rPr/>
        <w:t>Energía</w:t>
      </w:r>
      <w:r>
        <w:rPr>
          <w:spacing w:val="-4"/>
        </w:rPr>
        <w:t> </w:t>
      </w:r>
      <w:r>
        <w:rPr/>
        <w:t>Sostenible</w:t>
      </w:r>
      <w:r>
        <w:rPr>
          <w:spacing w:val="-2"/>
        </w:rPr>
        <w:t> </w:t>
      </w:r>
      <w:r>
        <w:rPr/>
        <w:t>(PACES). El</w:t>
      </w:r>
      <w:r>
        <w:rPr>
          <w:spacing w:val="-4"/>
        </w:rPr>
        <w:t> </w:t>
      </w:r>
      <w:r>
        <w:rPr>
          <w:b/>
        </w:rPr>
        <w:t>Ayuntamiento</w:t>
      </w:r>
      <w:r>
        <w:rPr>
          <w:b/>
          <w:spacing w:val="-3"/>
        </w:rPr>
        <w:t> </w:t>
      </w:r>
      <w:r>
        <w:rPr/>
        <w:t>de</w:t>
      </w:r>
      <w:r>
        <w:rPr>
          <w:spacing w:val="-2"/>
        </w:rPr>
        <w:t> </w:t>
      </w:r>
      <w:r>
        <w:rPr>
          <w:b/>
        </w:rPr>
        <w:t>Córdoba</w:t>
      </w:r>
      <w:r>
        <w:rPr>
          <w:b/>
          <w:spacing w:val="-2"/>
        </w:rPr>
        <w:t> </w:t>
      </w:r>
      <w:r>
        <w:rPr/>
        <w:t>optó</w:t>
      </w:r>
      <w:r>
        <w:rPr>
          <w:spacing w:val="-2"/>
        </w:rPr>
        <w:t> </w:t>
      </w:r>
      <w:r>
        <w:rPr/>
        <w:t>por realizar la planificación en materia de cambio climático siguiendo su normativa autonómica. Asimismo, cuentan, a excepción del </w:t>
      </w:r>
      <w:r>
        <w:rPr>
          <w:b/>
        </w:rPr>
        <w:t>Ayuntamiento de Palma</w:t>
      </w:r>
      <w:r>
        <w:rPr/>
        <w:t>, con Planes de Acción Agenda Local Urbana. (Subapartado II.2)</w:t>
      </w:r>
    </w:p>
    <w:p>
      <w:pPr>
        <w:pStyle w:val="BodyText"/>
        <w:spacing w:before="11"/>
        <w:rPr>
          <w:sz w:val="18"/>
        </w:rPr>
      </w:pPr>
      <w:r>
        <w:rPr>
          <w:sz w:val="18"/>
        </w:rPr>
        <mc:AlternateContent>
          <mc:Choice Requires="wps">
            <w:drawing>
              <wp:anchor distT="0" distB="0" distL="0" distR="0" allowOverlap="1" layoutInCell="1" locked="0" behindDoc="1" simplePos="0" relativeHeight="487624704">
                <wp:simplePos x="0" y="0"/>
                <wp:positionH relativeFrom="page">
                  <wp:posOffset>928420</wp:posOffset>
                </wp:positionH>
                <wp:positionV relativeFrom="paragraph">
                  <wp:posOffset>153840</wp:posOffset>
                </wp:positionV>
                <wp:extent cx="5931535" cy="1077595"/>
                <wp:effectExtent l="0" t="0" r="0" b="0"/>
                <wp:wrapTopAndBottom/>
                <wp:docPr id="229" name="Textbox 229"/>
                <wp:cNvGraphicFramePr>
                  <a:graphicFrameLocks/>
                </wp:cNvGraphicFramePr>
                <a:graphic>
                  <a:graphicData uri="http://schemas.microsoft.com/office/word/2010/wordprocessingShape">
                    <wps:wsp>
                      <wps:cNvPr id="229" name="Textbox 229"/>
                      <wps:cNvSpPr txBox="1"/>
                      <wps:spPr>
                        <a:xfrm>
                          <a:off x="0" y="0"/>
                          <a:ext cx="5931535" cy="1077595"/>
                        </a:xfrm>
                        <a:prstGeom prst="rect">
                          <a:avLst/>
                        </a:prstGeom>
                        <a:solidFill>
                          <a:srgbClr val="DBE4F0"/>
                        </a:solidFill>
                      </wps:spPr>
                      <wps:txbx>
                        <w:txbxContent>
                          <w:p>
                            <w:pPr>
                              <w:pStyle w:val="BodyText"/>
                              <w:spacing w:before="20"/>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11"/>
                                <w:sz w:val="22"/>
                              </w:rPr>
                              <w:t> </w:t>
                            </w:r>
                            <w:r>
                              <w:rPr>
                                <w:b/>
                                <w:color w:val="000000"/>
                                <w:spacing w:val="-7"/>
                                <w:sz w:val="22"/>
                              </w:rPr>
                              <w:t>1:</w:t>
                            </w:r>
                          </w:p>
                          <w:p>
                            <w:pPr>
                              <w:pStyle w:val="BodyText"/>
                              <w:spacing w:before="139"/>
                              <w:ind w:left="28" w:right="23"/>
                              <w:jc w:val="both"/>
                              <w:rPr>
                                <w:color w:val="000000"/>
                              </w:rPr>
                            </w:pPr>
                            <w:r>
                              <w:rPr>
                                <w:color w:val="000000"/>
                              </w:rPr>
                              <w:t>Los</w:t>
                            </w:r>
                            <w:r>
                              <w:rPr>
                                <w:color w:val="000000"/>
                                <w:spacing w:val="-16"/>
                              </w:rPr>
                              <w:t> </w:t>
                            </w:r>
                            <w:r>
                              <w:rPr>
                                <w:color w:val="000000"/>
                              </w:rPr>
                              <w:t>ayuntamientos</w:t>
                            </w:r>
                            <w:r>
                              <w:rPr>
                                <w:color w:val="000000"/>
                                <w:spacing w:val="-15"/>
                              </w:rPr>
                              <w:t> </w:t>
                            </w:r>
                            <w:r>
                              <w:rPr>
                                <w:color w:val="000000"/>
                              </w:rPr>
                              <w:t>fiscalizados,</w:t>
                            </w:r>
                            <w:r>
                              <w:rPr>
                                <w:color w:val="000000"/>
                                <w:spacing w:val="-15"/>
                              </w:rPr>
                              <w:t> </w:t>
                            </w:r>
                            <w:r>
                              <w:rPr>
                                <w:color w:val="000000"/>
                              </w:rPr>
                              <w:t>salvo</w:t>
                            </w:r>
                            <w:r>
                              <w:rPr>
                                <w:color w:val="000000"/>
                                <w:spacing w:val="-16"/>
                              </w:rPr>
                              <w:t> </w:t>
                            </w:r>
                            <w:r>
                              <w:rPr>
                                <w:color w:val="000000"/>
                              </w:rPr>
                              <w:t>los</w:t>
                            </w:r>
                            <w:r>
                              <w:rPr>
                                <w:color w:val="000000"/>
                                <w:spacing w:val="-15"/>
                              </w:rPr>
                              <w:t> </w:t>
                            </w:r>
                            <w:r>
                              <w:rPr>
                                <w:b/>
                                <w:color w:val="000000"/>
                              </w:rPr>
                              <w:t>Ayuntamientos</w:t>
                            </w:r>
                            <w:r>
                              <w:rPr>
                                <w:b/>
                                <w:color w:val="000000"/>
                                <w:spacing w:val="-15"/>
                              </w:rPr>
                              <w:t> </w:t>
                            </w:r>
                            <w:r>
                              <w:rPr>
                                <w:b/>
                                <w:color w:val="000000"/>
                              </w:rPr>
                              <w:t>de</w:t>
                            </w:r>
                            <w:r>
                              <w:rPr>
                                <w:b/>
                                <w:color w:val="000000"/>
                                <w:spacing w:val="-15"/>
                              </w:rPr>
                              <w:t> </w:t>
                            </w:r>
                            <w:r>
                              <w:rPr>
                                <w:b/>
                                <w:color w:val="000000"/>
                              </w:rPr>
                              <w:t>Murcia</w:t>
                            </w:r>
                            <w:r>
                              <w:rPr>
                                <w:b/>
                                <w:color w:val="000000"/>
                                <w:spacing w:val="-16"/>
                              </w:rPr>
                              <w:t> </w:t>
                            </w:r>
                            <w:r>
                              <w:rPr>
                                <w:color w:val="000000"/>
                              </w:rPr>
                              <w:t>y</w:t>
                            </w:r>
                            <w:r>
                              <w:rPr>
                                <w:color w:val="000000"/>
                                <w:spacing w:val="-15"/>
                              </w:rPr>
                              <w:t> </w:t>
                            </w:r>
                            <w:r>
                              <w:rPr>
                                <w:b/>
                                <w:color w:val="000000"/>
                              </w:rPr>
                              <w:t>Palma</w:t>
                            </w:r>
                            <w:r>
                              <w:rPr>
                                <w:color w:val="000000"/>
                              </w:rPr>
                              <w:t>,</w:t>
                            </w:r>
                            <w:r>
                              <w:rPr>
                                <w:color w:val="000000"/>
                                <w:spacing w:val="-15"/>
                              </w:rPr>
                              <w:t> </w:t>
                            </w:r>
                            <w:r>
                              <w:rPr>
                                <w:color w:val="000000"/>
                              </w:rPr>
                              <w:t>deberían</w:t>
                            </w:r>
                            <w:r>
                              <w:rPr>
                                <w:color w:val="000000"/>
                                <w:spacing w:val="-16"/>
                              </w:rPr>
                              <w:t> </w:t>
                            </w:r>
                            <w:r>
                              <w:rPr>
                                <w:color w:val="000000"/>
                              </w:rPr>
                              <w:t>adoptar las medidas necesarias para adaptar los PMUS a las previsiones contenidas en la Ley de cambio climático y transición energética.</w:t>
                            </w:r>
                          </w:p>
                        </w:txbxContent>
                      </wps:txbx>
                      <wps:bodyPr wrap="square" lIns="0" tIns="0" rIns="0" bIns="0" rtlCol="0">
                        <a:noAutofit/>
                      </wps:bodyPr>
                    </wps:wsp>
                  </a:graphicData>
                </a:graphic>
              </wp:anchor>
            </w:drawing>
          </mc:Choice>
          <mc:Fallback>
            <w:pict>
              <v:shape style="position:absolute;margin-left:73.103996pt;margin-top:12.113399pt;width:467.05pt;height:84.85pt;mso-position-horizontal-relative:page;mso-position-vertical-relative:paragraph;z-index:-15691776;mso-wrap-distance-left:0;mso-wrap-distance-right:0" type="#_x0000_t202" id="docshape208" filled="true" fillcolor="#dbe4f0" stroked="false">
                <v:textbox inset="0,0,0,0">
                  <w:txbxContent>
                    <w:p>
                      <w:pPr>
                        <w:pStyle w:val="BodyText"/>
                        <w:spacing w:before="20"/>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11"/>
                          <w:sz w:val="22"/>
                        </w:rPr>
                        <w:t> </w:t>
                      </w:r>
                      <w:r>
                        <w:rPr>
                          <w:b/>
                          <w:color w:val="000000"/>
                          <w:spacing w:val="-7"/>
                          <w:sz w:val="22"/>
                        </w:rPr>
                        <w:t>1:</w:t>
                      </w:r>
                    </w:p>
                    <w:p>
                      <w:pPr>
                        <w:pStyle w:val="BodyText"/>
                        <w:spacing w:before="139"/>
                        <w:ind w:left="28" w:right="23"/>
                        <w:jc w:val="both"/>
                        <w:rPr>
                          <w:color w:val="000000"/>
                        </w:rPr>
                      </w:pPr>
                      <w:r>
                        <w:rPr>
                          <w:color w:val="000000"/>
                        </w:rPr>
                        <w:t>Los</w:t>
                      </w:r>
                      <w:r>
                        <w:rPr>
                          <w:color w:val="000000"/>
                          <w:spacing w:val="-16"/>
                        </w:rPr>
                        <w:t> </w:t>
                      </w:r>
                      <w:r>
                        <w:rPr>
                          <w:color w:val="000000"/>
                        </w:rPr>
                        <w:t>ayuntamientos</w:t>
                      </w:r>
                      <w:r>
                        <w:rPr>
                          <w:color w:val="000000"/>
                          <w:spacing w:val="-15"/>
                        </w:rPr>
                        <w:t> </w:t>
                      </w:r>
                      <w:r>
                        <w:rPr>
                          <w:color w:val="000000"/>
                        </w:rPr>
                        <w:t>fiscalizados,</w:t>
                      </w:r>
                      <w:r>
                        <w:rPr>
                          <w:color w:val="000000"/>
                          <w:spacing w:val="-15"/>
                        </w:rPr>
                        <w:t> </w:t>
                      </w:r>
                      <w:r>
                        <w:rPr>
                          <w:color w:val="000000"/>
                        </w:rPr>
                        <w:t>salvo</w:t>
                      </w:r>
                      <w:r>
                        <w:rPr>
                          <w:color w:val="000000"/>
                          <w:spacing w:val="-16"/>
                        </w:rPr>
                        <w:t> </w:t>
                      </w:r>
                      <w:r>
                        <w:rPr>
                          <w:color w:val="000000"/>
                        </w:rPr>
                        <w:t>los</w:t>
                      </w:r>
                      <w:r>
                        <w:rPr>
                          <w:color w:val="000000"/>
                          <w:spacing w:val="-15"/>
                        </w:rPr>
                        <w:t> </w:t>
                      </w:r>
                      <w:r>
                        <w:rPr>
                          <w:b/>
                          <w:color w:val="000000"/>
                        </w:rPr>
                        <w:t>Ayuntamientos</w:t>
                      </w:r>
                      <w:r>
                        <w:rPr>
                          <w:b/>
                          <w:color w:val="000000"/>
                          <w:spacing w:val="-15"/>
                        </w:rPr>
                        <w:t> </w:t>
                      </w:r>
                      <w:r>
                        <w:rPr>
                          <w:b/>
                          <w:color w:val="000000"/>
                        </w:rPr>
                        <w:t>de</w:t>
                      </w:r>
                      <w:r>
                        <w:rPr>
                          <w:b/>
                          <w:color w:val="000000"/>
                          <w:spacing w:val="-15"/>
                        </w:rPr>
                        <w:t> </w:t>
                      </w:r>
                      <w:r>
                        <w:rPr>
                          <w:b/>
                          <w:color w:val="000000"/>
                        </w:rPr>
                        <w:t>Murcia</w:t>
                      </w:r>
                      <w:r>
                        <w:rPr>
                          <w:b/>
                          <w:color w:val="000000"/>
                          <w:spacing w:val="-16"/>
                        </w:rPr>
                        <w:t> </w:t>
                      </w:r>
                      <w:r>
                        <w:rPr>
                          <w:color w:val="000000"/>
                        </w:rPr>
                        <w:t>y</w:t>
                      </w:r>
                      <w:r>
                        <w:rPr>
                          <w:color w:val="000000"/>
                          <w:spacing w:val="-15"/>
                        </w:rPr>
                        <w:t> </w:t>
                      </w:r>
                      <w:r>
                        <w:rPr>
                          <w:b/>
                          <w:color w:val="000000"/>
                        </w:rPr>
                        <w:t>Palma</w:t>
                      </w:r>
                      <w:r>
                        <w:rPr>
                          <w:color w:val="000000"/>
                        </w:rPr>
                        <w:t>,</w:t>
                      </w:r>
                      <w:r>
                        <w:rPr>
                          <w:color w:val="000000"/>
                          <w:spacing w:val="-15"/>
                        </w:rPr>
                        <w:t> </w:t>
                      </w:r>
                      <w:r>
                        <w:rPr>
                          <w:color w:val="000000"/>
                        </w:rPr>
                        <w:t>deberían</w:t>
                      </w:r>
                      <w:r>
                        <w:rPr>
                          <w:color w:val="000000"/>
                          <w:spacing w:val="-16"/>
                        </w:rPr>
                        <w:t> </w:t>
                      </w:r>
                      <w:r>
                        <w:rPr>
                          <w:color w:val="000000"/>
                        </w:rPr>
                        <w:t>adoptar las medidas necesarias para adaptar los PMUS a las previsiones contenidas en la Ley de cambio climático y transición energética.</w:t>
                      </w:r>
                    </w:p>
                  </w:txbxContent>
                </v:textbox>
                <v:fill type="solid"/>
                <w10:wrap type="topAndBottom"/>
              </v:shape>
            </w:pict>
          </mc:Fallback>
        </mc:AlternateContent>
      </w:r>
    </w:p>
    <w:p>
      <w:pPr>
        <w:pStyle w:val="ListParagraph"/>
        <w:numPr>
          <w:ilvl w:val="0"/>
          <w:numId w:val="9"/>
        </w:numPr>
        <w:tabs>
          <w:tab w:pos="1347" w:val="left" w:leader="none"/>
          <w:tab w:pos="1349" w:val="left" w:leader="none"/>
        </w:tabs>
        <w:spacing w:line="240" w:lineRule="auto" w:before="240" w:after="0"/>
        <w:ind w:left="1349" w:right="988" w:hanging="358"/>
        <w:jc w:val="both"/>
        <w:rPr>
          <w:sz w:val="22"/>
        </w:rPr>
      </w:pPr>
      <w:r>
        <w:rPr>
          <w:sz w:val="22"/>
        </w:rPr>
        <w:t>Los</w:t>
      </w:r>
      <w:r>
        <w:rPr>
          <w:spacing w:val="-6"/>
          <w:sz w:val="22"/>
        </w:rPr>
        <w:t> </w:t>
      </w:r>
      <w:r>
        <w:rPr>
          <w:sz w:val="22"/>
        </w:rPr>
        <w:t>ayuntamientos</w:t>
      </w:r>
      <w:r>
        <w:rPr>
          <w:spacing w:val="-9"/>
          <w:sz w:val="22"/>
        </w:rPr>
        <w:t> </w:t>
      </w:r>
      <w:r>
        <w:rPr>
          <w:sz w:val="22"/>
        </w:rPr>
        <w:t>fiscalizados</w:t>
      </w:r>
      <w:r>
        <w:rPr>
          <w:spacing w:val="-9"/>
          <w:sz w:val="22"/>
        </w:rPr>
        <w:t> </w:t>
      </w:r>
      <w:r>
        <w:rPr>
          <w:sz w:val="22"/>
        </w:rPr>
        <w:t>realizaron</w:t>
      </w:r>
      <w:r>
        <w:rPr>
          <w:spacing w:val="-9"/>
          <w:sz w:val="22"/>
        </w:rPr>
        <w:t> </w:t>
      </w:r>
      <w:r>
        <w:rPr>
          <w:sz w:val="22"/>
        </w:rPr>
        <w:t>un</w:t>
      </w:r>
      <w:r>
        <w:rPr>
          <w:spacing w:val="-9"/>
          <w:sz w:val="22"/>
        </w:rPr>
        <w:t> </w:t>
      </w:r>
      <w:r>
        <w:rPr>
          <w:sz w:val="22"/>
        </w:rPr>
        <w:t>seguimiento,</w:t>
      </w:r>
      <w:r>
        <w:rPr>
          <w:spacing w:val="-8"/>
          <w:sz w:val="22"/>
        </w:rPr>
        <w:t> </w:t>
      </w:r>
      <w:r>
        <w:rPr>
          <w:sz w:val="22"/>
        </w:rPr>
        <w:t>con</w:t>
      </w:r>
      <w:r>
        <w:rPr>
          <w:spacing w:val="-9"/>
          <w:sz w:val="22"/>
        </w:rPr>
        <w:t> </w:t>
      </w:r>
      <w:r>
        <w:rPr>
          <w:sz w:val="22"/>
        </w:rPr>
        <w:t>carácter</w:t>
      </w:r>
      <w:r>
        <w:rPr>
          <w:spacing w:val="-8"/>
          <w:sz w:val="22"/>
        </w:rPr>
        <w:t> </w:t>
      </w:r>
      <w:r>
        <w:rPr>
          <w:sz w:val="22"/>
        </w:rPr>
        <w:t>general,</w:t>
      </w:r>
      <w:r>
        <w:rPr>
          <w:spacing w:val="-7"/>
          <w:sz w:val="22"/>
        </w:rPr>
        <w:t> </w:t>
      </w:r>
      <w:r>
        <w:rPr>
          <w:sz w:val="22"/>
        </w:rPr>
        <w:t>limitado</w:t>
      </w:r>
      <w:r>
        <w:rPr>
          <w:spacing w:val="-9"/>
          <w:sz w:val="22"/>
        </w:rPr>
        <w:t> </w:t>
      </w:r>
      <w:r>
        <w:rPr>
          <w:sz w:val="22"/>
        </w:rPr>
        <w:t>de</w:t>
      </w:r>
      <w:r>
        <w:rPr>
          <w:spacing w:val="-9"/>
          <w:sz w:val="22"/>
        </w:rPr>
        <w:t> </w:t>
      </w:r>
      <w:r>
        <w:rPr>
          <w:sz w:val="22"/>
        </w:rPr>
        <w:t>sus instrumentos de planificación relacionados con la movilidad sostenible. El seguimiento constituye una parte fundamental del proceso de planificación, que permite obtener la información necesaria sobre el progreso alcanzado de conformidad con sus objetivos y determinar acciones correctivas si fuera necesario.</w:t>
      </w:r>
    </w:p>
    <w:p>
      <w:pPr>
        <w:pStyle w:val="BodyText"/>
        <w:spacing w:before="240"/>
        <w:ind w:left="1349" w:right="987"/>
        <w:jc w:val="both"/>
      </w:pPr>
      <w:r>
        <w:rPr/>
        <w:t>Solo</w:t>
      </w:r>
      <w:r>
        <w:rPr>
          <w:spacing w:val="-6"/>
        </w:rPr>
        <w:t> </w:t>
      </w:r>
      <w:r>
        <w:rPr/>
        <w:t>los</w:t>
      </w:r>
      <w:r>
        <w:rPr>
          <w:spacing w:val="-9"/>
        </w:rPr>
        <w:t> </w:t>
      </w:r>
      <w:r>
        <w:rPr>
          <w:b/>
        </w:rPr>
        <w:t>Ayuntamientos</w:t>
      </w:r>
      <w:r>
        <w:rPr>
          <w:b/>
          <w:spacing w:val="-9"/>
        </w:rPr>
        <w:t> </w:t>
      </w:r>
      <w:r>
        <w:rPr>
          <w:b/>
        </w:rPr>
        <w:t>de</w:t>
      </w:r>
      <w:r>
        <w:rPr>
          <w:b/>
          <w:spacing w:val="-7"/>
        </w:rPr>
        <w:t> </w:t>
      </w:r>
      <w:r>
        <w:rPr>
          <w:b/>
        </w:rPr>
        <w:t>Bilbao</w:t>
      </w:r>
      <w:r>
        <w:rPr>
          <w:b/>
          <w:spacing w:val="-7"/>
        </w:rPr>
        <w:t> </w:t>
      </w:r>
      <w:r>
        <w:rPr/>
        <w:t>y</w:t>
      </w:r>
      <w:r>
        <w:rPr>
          <w:spacing w:val="-8"/>
        </w:rPr>
        <w:t> </w:t>
      </w:r>
      <w:r>
        <w:rPr>
          <w:b/>
        </w:rPr>
        <w:t>Málaga</w:t>
      </w:r>
      <w:r>
        <w:rPr>
          <w:b/>
          <w:spacing w:val="-8"/>
        </w:rPr>
        <w:t> </w:t>
      </w:r>
      <w:r>
        <w:rPr/>
        <w:t>incluyeron</w:t>
      </w:r>
      <w:r>
        <w:rPr>
          <w:spacing w:val="-7"/>
        </w:rPr>
        <w:t> </w:t>
      </w:r>
      <w:r>
        <w:rPr/>
        <w:t>en</w:t>
      </w:r>
      <w:r>
        <w:rPr>
          <w:spacing w:val="-9"/>
        </w:rPr>
        <w:t> </w:t>
      </w:r>
      <w:r>
        <w:rPr/>
        <w:t>su</w:t>
      </w:r>
      <w:r>
        <w:rPr>
          <w:spacing w:val="-9"/>
        </w:rPr>
        <w:t> </w:t>
      </w:r>
      <w:r>
        <w:rPr/>
        <w:t>PMUS</w:t>
      </w:r>
      <w:r>
        <w:rPr>
          <w:spacing w:val="-9"/>
        </w:rPr>
        <w:t> </w:t>
      </w:r>
      <w:r>
        <w:rPr/>
        <w:t>indicadores</w:t>
      </w:r>
      <w:r>
        <w:rPr>
          <w:spacing w:val="-8"/>
        </w:rPr>
        <w:t> </w:t>
      </w:r>
      <w:r>
        <w:rPr/>
        <w:t>para</w:t>
      </w:r>
      <w:r>
        <w:rPr>
          <w:spacing w:val="-9"/>
        </w:rPr>
        <w:t> </w:t>
      </w:r>
      <w:r>
        <w:rPr/>
        <w:t>hacer</w:t>
      </w:r>
      <w:r>
        <w:rPr>
          <w:spacing w:val="-8"/>
        </w:rPr>
        <w:t> </w:t>
      </w:r>
      <w:r>
        <w:rPr/>
        <w:t>el seguimiento</w:t>
      </w:r>
      <w:r>
        <w:rPr>
          <w:spacing w:val="-16"/>
        </w:rPr>
        <w:t> </w:t>
      </w:r>
      <w:r>
        <w:rPr/>
        <w:t>de</w:t>
      </w:r>
      <w:r>
        <w:rPr>
          <w:spacing w:val="-14"/>
        </w:rPr>
        <w:t> </w:t>
      </w:r>
      <w:r>
        <w:rPr/>
        <w:t>las</w:t>
      </w:r>
      <w:r>
        <w:rPr>
          <w:spacing w:val="-16"/>
        </w:rPr>
        <w:t> </w:t>
      </w:r>
      <w:r>
        <w:rPr/>
        <w:t>medidas</w:t>
      </w:r>
      <w:r>
        <w:rPr>
          <w:spacing w:val="-13"/>
        </w:rPr>
        <w:t> </w:t>
      </w:r>
      <w:r>
        <w:rPr/>
        <w:t>previstas,</w:t>
      </w:r>
      <w:r>
        <w:rPr>
          <w:spacing w:val="-12"/>
        </w:rPr>
        <w:t> </w:t>
      </w:r>
      <w:r>
        <w:rPr/>
        <w:t>constituyeron</w:t>
      </w:r>
      <w:r>
        <w:rPr>
          <w:spacing w:val="-14"/>
        </w:rPr>
        <w:t> </w:t>
      </w:r>
      <w:r>
        <w:rPr/>
        <w:t>una</w:t>
      </w:r>
      <w:r>
        <w:rPr>
          <w:spacing w:val="-14"/>
        </w:rPr>
        <w:t> </w:t>
      </w:r>
      <w:r>
        <w:rPr/>
        <w:t>comisión</w:t>
      </w:r>
      <w:r>
        <w:rPr>
          <w:spacing w:val="-14"/>
        </w:rPr>
        <w:t> </w:t>
      </w:r>
      <w:r>
        <w:rPr/>
        <w:t>para</w:t>
      </w:r>
      <w:r>
        <w:rPr>
          <w:spacing w:val="-16"/>
        </w:rPr>
        <w:t> </w:t>
      </w:r>
      <w:r>
        <w:rPr/>
        <w:t>realizar</w:t>
      </w:r>
      <w:r>
        <w:rPr>
          <w:spacing w:val="-13"/>
        </w:rPr>
        <w:t> </w:t>
      </w:r>
      <w:r>
        <w:rPr/>
        <w:t>ese</w:t>
      </w:r>
      <w:r>
        <w:rPr>
          <w:spacing w:val="-14"/>
        </w:rPr>
        <w:t> </w:t>
      </w:r>
      <w:r>
        <w:rPr/>
        <w:t>seguimiento y elaboraron los correspondientes informes.</w:t>
      </w:r>
    </w:p>
    <w:p>
      <w:pPr>
        <w:spacing w:before="240"/>
        <w:ind w:left="1349" w:right="988" w:firstLine="0"/>
        <w:jc w:val="both"/>
        <w:rPr>
          <w:sz w:val="22"/>
        </w:rPr>
      </w:pPr>
      <w:r>
        <w:rPr>
          <w:sz w:val="22"/>
        </w:rPr>
        <w:t>Los </w:t>
      </w:r>
      <w:r>
        <w:rPr>
          <w:b/>
          <w:sz w:val="22"/>
        </w:rPr>
        <w:t>Ayuntamientos de Alicante, Murcia, Palma </w:t>
      </w:r>
      <w:r>
        <w:rPr>
          <w:sz w:val="22"/>
        </w:rPr>
        <w:t>y </w:t>
      </w:r>
      <w:r>
        <w:rPr>
          <w:b/>
          <w:sz w:val="22"/>
        </w:rPr>
        <w:t>Zaragoza </w:t>
      </w:r>
      <w:r>
        <w:rPr>
          <w:sz w:val="22"/>
        </w:rPr>
        <w:t>incluyeron, exclusivamente, indicadores para hacer el seguimiento de las medidas previstas en los PMUS, sin realizar un seguimiento posterior.</w:t>
      </w:r>
    </w:p>
    <w:p>
      <w:pPr>
        <w:spacing w:after="0"/>
        <w:jc w:val="both"/>
        <w:rPr>
          <w:sz w:val="22"/>
        </w:rPr>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1349" w:right="990"/>
        <w:jc w:val="both"/>
      </w:pPr>
      <w:r>
        <w:rPr/>
        <w:t>El </w:t>
      </w:r>
      <w:r>
        <w:rPr>
          <w:b/>
        </w:rPr>
        <w:t>Ayuntamiento de Córdoba </w:t>
      </w:r>
      <w:r>
        <w:rPr/>
        <w:t>no recogió en su PMUS indicadores que permitieran evaluar el cumplimiento de las medidas previstas, aunque constituyó una comisión encargada del seguimiento, si bien no elaboró ningún informe al respecto.</w:t>
      </w:r>
    </w:p>
    <w:p>
      <w:pPr>
        <w:spacing w:before="242"/>
        <w:ind w:left="1349" w:right="988" w:firstLine="0"/>
        <w:jc w:val="both"/>
        <w:rPr>
          <w:sz w:val="22"/>
        </w:rPr>
      </w:pPr>
      <w:r>
        <w:rPr>
          <w:sz w:val="22"/>
        </w:rPr>
        <w:t>Los </w:t>
      </w:r>
      <w:r>
        <w:rPr>
          <w:b/>
          <w:sz w:val="22"/>
        </w:rPr>
        <w:t>Ayuntamientos de Las Palmas de Gran Canaria </w:t>
      </w:r>
      <w:r>
        <w:rPr>
          <w:sz w:val="22"/>
        </w:rPr>
        <w:t>y </w:t>
      </w:r>
      <w:r>
        <w:rPr>
          <w:b/>
          <w:sz w:val="22"/>
        </w:rPr>
        <w:t>Sevilla </w:t>
      </w:r>
      <w:r>
        <w:rPr>
          <w:sz w:val="22"/>
        </w:rPr>
        <w:t>no incluyeron en su PMUS indicadores, ni constituyeron una comisión de seguimiento, ni elaboraron informes al respecto. (Subapartado II.2)</w:t>
      </w:r>
    </w:p>
    <w:p>
      <w:pPr>
        <w:pStyle w:val="BodyText"/>
        <w:spacing w:before="8"/>
        <w:rPr>
          <w:sz w:val="18"/>
        </w:rPr>
      </w:pPr>
      <w:r>
        <w:rPr>
          <w:sz w:val="18"/>
        </w:rPr>
        <mc:AlternateContent>
          <mc:Choice Requires="wps">
            <w:drawing>
              <wp:anchor distT="0" distB="0" distL="0" distR="0" allowOverlap="1" layoutInCell="1" locked="0" behindDoc="1" simplePos="0" relativeHeight="487625216">
                <wp:simplePos x="0" y="0"/>
                <wp:positionH relativeFrom="page">
                  <wp:posOffset>928420</wp:posOffset>
                </wp:positionH>
                <wp:positionV relativeFrom="paragraph">
                  <wp:posOffset>152155</wp:posOffset>
                </wp:positionV>
                <wp:extent cx="5931535" cy="1239520"/>
                <wp:effectExtent l="0" t="0" r="0" b="0"/>
                <wp:wrapTopAndBottom/>
                <wp:docPr id="230" name="Textbox 230"/>
                <wp:cNvGraphicFramePr>
                  <a:graphicFrameLocks/>
                </wp:cNvGraphicFramePr>
                <a:graphic>
                  <a:graphicData uri="http://schemas.microsoft.com/office/word/2010/wordprocessingShape">
                    <wps:wsp>
                      <wps:cNvPr id="230" name="Textbox 230"/>
                      <wps:cNvSpPr txBox="1"/>
                      <wps:spPr>
                        <a:xfrm>
                          <a:off x="0" y="0"/>
                          <a:ext cx="5931535" cy="1239520"/>
                        </a:xfrm>
                        <a:prstGeom prst="rect">
                          <a:avLst/>
                        </a:prstGeom>
                        <a:solidFill>
                          <a:srgbClr val="DBE4F0"/>
                        </a:solidFill>
                      </wps:spPr>
                      <wps:txbx>
                        <w:txbxContent>
                          <w:p>
                            <w:pPr>
                              <w:pStyle w:val="BodyText"/>
                              <w:spacing w:before="23"/>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2:</w:t>
                            </w:r>
                          </w:p>
                          <w:p>
                            <w:pPr>
                              <w:pStyle w:val="BodyText"/>
                              <w:spacing w:before="136"/>
                              <w:ind w:left="28" w:right="22"/>
                              <w:jc w:val="both"/>
                              <w:rPr>
                                <w:color w:val="000000"/>
                              </w:rPr>
                            </w:pPr>
                            <w:r>
                              <w:rPr>
                                <w:color w:val="000000"/>
                              </w:rPr>
                              <w:t>Los ayuntamientos fiscalizados deberían establecer procedimientos para garantizar el examen permanente del grado de cumplimiento de los objetivos fijados en los instrumentos de planificación vinculados con el transporte público colectivo urbano, que permitan analizar las desviaciones padecidas y proponer actuaciones correctivas.</w:t>
                            </w:r>
                          </w:p>
                        </w:txbxContent>
                      </wps:txbx>
                      <wps:bodyPr wrap="square" lIns="0" tIns="0" rIns="0" bIns="0" rtlCol="0">
                        <a:noAutofit/>
                      </wps:bodyPr>
                    </wps:wsp>
                  </a:graphicData>
                </a:graphic>
              </wp:anchor>
            </w:drawing>
          </mc:Choice>
          <mc:Fallback>
            <w:pict>
              <v:shape style="position:absolute;margin-left:73.103996pt;margin-top:11.980742pt;width:467.05pt;height:97.6pt;mso-position-horizontal-relative:page;mso-position-vertical-relative:paragraph;z-index:-15691264;mso-wrap-distance-left:0;mso-wrap-distance-right:0" type="#_x0000_t202" id="docshape209" filled="true" fillcolor="#dbe4f0" stroked="false">
                <v:textbox inset="0,0,0,0">
                  <w:txbxContent>
                    <w:p>
                      <w:pPr>
                        <w:pStyle w:val="BodyText"/>
                        <w:spacing w:before="23"/>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2:</w:t>
                      </w:r>
                    </w:p>
                    <w:p>
                      <w:pPr>
                        <w:pStyle w:val="BodyText"/>
                        <w:spacing w:before="136"/>
                        <w:ind w:left="28" w:right="22"/>
                        <w:jc w:val="both"/>
                        <w:rPr>
                          <w:color w:val="000000"/>
                        </w:rPr>
                      </w:pPr>
                      <w:r>
                        <w:rPr>
                          <w:color w:val="000000"/>
                        </w:rPr>
                        <w:t>Los ayuntamientos fiscalizados deberían establecer procedimientos para garantizar el examen permanente del grado de cumplimiento de los objetivos fijados en los instrumentos de planificación vinculados con el transporte público colectivo urbano, que permitan analizar las desviaciones padecidas y proponer actuaciones correctivas.</w:t>
                      </w:r>
                    </w:p>
                  </w:txbxContent>
                </v:textbox>
                <v:fill type="solid"/>
                <w10:wrap type="topAndBottom"/>
              </v:shape>
            </w:pict>
          </mc:Fallback>
        </mc:AlternateContent>
      </w:r>
    </w:p>
    <w:p>
      <w:pPr>
        <w:pStyle w:val="BodyText"/>
        <w:spacing w:before="107"/>
      </w:pPr>
    </w:p>
    <w:p>
      <w:pPr>
        <w:pStyle w:val="Heading4"/>
        <w:numPr>
          <w:ilvl w:val="1"/>
          <w:numId w:val="3"/>
        </w:numPr>
        <w:tabs>
          <w:tab w:pos="1477" w:val="left" w:leader="none"/>
        </w:tabs>
        <w:spacing w:line="240" w:lineRule="auto" w:before="0" w:after="0"/>
        <w:ind w:left="992" w:right="992" w:firstLine="0"/>
        <w:jc w:val="left"/>
      </w:pPr>
      <w:bookmarkStart w:name="_bookmark121" w:id="123"/>
      <w:bookmarkEnd w:id="123"/>
      <w:r>
        <w:rPr>
          <w:b w:val="0"/>
        </w:rPr>
      </w:r>
      <w:r>
        <w:rPr/>
        <w:t>RELATIVAS A LAS</w:t>
      </w:r>
      <w:r>
        <w:rPr>
          <w:spacing w:val="-1"/>
        </w:rPr>
        <w:t> </w:t>
      </w:r>
      <w:r>
        <w:rPr/>
        <w:t>ACTUACIONES REALIZADAS PARA LOGRAR LA SOSTENIBILIDAD EN EL TRANSPORTE PÚBLICO COLECTIVO</w:t>
      </w:r>
    </w:p>
    <w:p>
      <w:pPr>
        <w:pStyle w:val="ListParagraph"/>
        <w:numPr>
          <w:ilvl w:val="0"/>
          <w:numId w:val="9"/>
        </w:numPr>
        <w:tabs>
          <w:tab w:pos="1347" w:val="left" w:leader="none"/>
          <w:tab w:pos="1349" w:val="left" w:leader="none"/>
        </w:tabs>
        <w:spacing w:line="240" w:lineRule="auto" w:before="238" w:after="0"/>
        <w:ind w:left="1349" w:right="989" w:hanging="358"/>
        <w:jc w:val="both"/>
        <w:rPr>
          <w:sz w:val="22"/>
        </w:rPr>
      </w:pPr>
      <w:r>
        <w:rPr>
          <w:sz w:val="22"/>
        </w:rPr>
        <w:t>Los</w:t>
      </w:r>
      <w:r>
        <w:rPr>
          <w:spacing w:val="-16"/>
          <w:sz w:val="22"/>
        </w:rPr>
        <w:t> </w:t>
      </w:r>
      <w:r>
        <w:rPr>
          <w:sz w:val="22"/>
        </w:rPr>
        <w:t>ayuntamientos</w:t>
      </w:r>
      <w:r>
        <w:rPr>
          <w:spacing w:val="-15"/>
          <w:sz w:val="22"/>
        </w:rPr>
        <w:t> </w:t>
      </w:r>
      <w:r>
        <w:rPr>
          <w:sz w:val="22"/>
        </w:rPr>
        <w:t>fiscalizados</w:t>
      </w:r>
      <w:r>
        <w:rPr>
          <w:spacing w:val="-15"/>
          <w:sz w:val="22"/>
        </w:rPr>
        <w:t> </w:t>
      </w:r>
      <w:r>
        <w:rPr>
          <w:sz w:val="22"/>
        </w:rPr>
        <w:t>realizaron</w:t>
      </w:r>
      <w:r>
        <w:rPr>
          <w:spacing w:val="-16"/>
          <w:sz w:val="22"/>
        </w:rPr>
        <w:t> </w:t>
      </w:r>
      <w:r>
        <w:rPr>
          <w:sz w:val="22"/>
        </w:rPr>
        <w:t>en</w:t>
      </w:r>
      <w:r>
        <w:rPr>
          <w:spacing w:val="-15"/>
          <w:sz w:val="22"/>
        </w:rPr>
        <w:t> </w:t>
      </w:r>
      <w:r>
        <w:rPr>
          <w:sz w:val="22"/>
        </w:rPr>
        <w:t>2023</w:t>
      </w:r>
      <w:r>
        <w:rPr>
          <w:spacing w:val="-15"/>
          <w:sz w:val="22"/>
        </w:rPr>
        <w:t> </w:t>
      </w:r>
      <w:r>
        <w:rPr>
          <w:sz w:val="22"/>
        </w:rPr>
        <w:t>y</w:t>
      </w:r>
      <w:r>
        <w:rPr>
          <w:spacing w:val="-15"/>
          <w:sz w:val="22"/>
        </w:rPr>
        <w:t> </w:t>
      </w:r>
      <w:r>
        <w:rPr>
          <w:sz w:val="22"/>
        </w:rPr>
        <w:t>2024</w:t>
      </w:r>
      <w:r>
        <w:rPr>
          <w:spacing w:val="-16"/>
          <w:sz w:val="22"/>
        </w:rPr>
        <w:t> </w:t>
      </w:r>
      <w:r>
        <w:rPr>
          <w:sz w:val="22"/>
        </w:rPr>
        <w:t>diversas</w:t>
      </w:r>
      <w:r>
        <w:rPr>
          <w:spacing w:val="-15"/>
          <w:sz w:val="22"/>
        </w:rPr>
        <w:t> </w:t>
      </w:r>
      <w:r>
        <w:rPr>
          <w:sz w:val="22"/>
        </w:rPr>
        <w:t>actuaciones</w:t>
      </w:r>
      <w:r>
        <w:rPr>
          <w:spacing w:val="-15"/>
          <w:sz w:val="22"/>
        </w:rPr>
        <w:t> </w:t>
      </w:r>
      <w:r>
        <w:rPr>
          <w:sz w:val="22"/>
        </w:rPr>
        <w:t>dirigidas</w:t>
      </w:r>
      <w:r>
        <w:rPr>
          <w:spacing w:val="-16"/>
          <w:sz w:val="22"/>
        </w:rPr>
        <w:t> </w:t>
      </w:r>
      <w:r>
        <w:rPr>
          <w:sz w:val="22"/>
        </w:rPr>
        <w:t>a</w:t>
      </w:r>
      <w:r>
        <w:rPr>
          <w:spacing w:val="-15"/>
          <w:sz w:val="22"/>
        </w:rPr>
        <w:t> </w:t>
      </w:r>
      <w:r>
        <w:rPr>
          <w:sz w:val="22"/>
        </w:rPr>
        <w:t>lograr la movilidad sostenible en el transporte colectivo urbano, que han supuesto un avance en este ámbito respecto de su situación a 31 de diciembre de 2022. Estas entidades han venido a subsanar algunas de las carencias o deficiencias existentes en los ejercicios anteriores o a mejorar algunas de las prestaciones ya disponibles. (Epígrafe II.3.1)</w:t>
      </w:r>
    </w:p>
    <w:p>
      <w:pPr>
        <w:pStyle w:val="ListParagraph"/>
        <w:numPr>
          <w:ilvl w:val="0"/>
          <w:numId w:val="9"/>
        </w:numPr>
        <w:tabs>
          <w:tab w:pos="1347" w:val="left" w:leader="none"/>
          <w:tab w:pos="1349" w:val="left" w:leader="none"/>
        </w:tabs>
        <w:spacing w:line="240" w:lineRule="auto" w:before="243" w:after="0"/>
        <w:ind w:left="1349" w:right="987" w:hanging="358"/>
        <w:jc w:val="both"/>
        <w:rPr>
          <w:sz w:val="22"/>
        </w:rPr>
      </w:pPr>
      <w:r>
        <w:rPr>
          <w:sz w:val="22"/>
        </w:rPr>
        <w:t>El importe de estas actuaciones acometidas en 2023 y 2024 ha ascendido a 414.135.753,77 euros, de los que el 62,76 % corresponde a la adquisición de material móvil e infraestructuras para la recarga de vehículos, el 26,23 % a obras y estructuras en la vía pública, el 8,87 % a digitalización, el 1,76 % a otras actuaciones </w:t>
      </w:r>
      <w:r>
        <w:rPr>
          <w:rFonts w:ascii="Symbol" w:hAnsi="Symbol"/>
          <w:sz w:val="22"/>
        </w:rPr>
        <w:t></w:t>
      </w:r>
      <w:r>
        <w:rPr>
          <w:sz w:val="22"/>
        </w:rPr>
        <w:t>tales como la implantación del Sistema Gestión Ambiental, la ampliación de líneas de autobuses o de la extensión de la red de transporte urbano</w:t>
      </w:r>
      <w:r>
        <w:rPr>
          <w:rFonts w:ascii="Symbol" w:hAnsi="Symbol"/>
          <w:sz w:val="22"/>
        </w:rPr>
        <w:t></w:t>
      </w:r>
      <w:r>
        <w:rPr>
          <w:rFonts w:ascii="Times New Roman" w:hAnsi="Times New Roman"/>
          <w:sz w:val="22"/>
        </w:rPr>
        <w:t> </w:t>
      </w:r>
      <w:r>
        <w:rPr>
          <w:sz w:val="22"/>
        </w:rPr>
        <w:t>y el 0,38 % a información y difusión del transporte público colectivo.</w:t>
      </w:r>
    </w:p>
    <w:p>
      <w:pPr>
        <w:pStyle w:val="BodyText"/>
        <w:spacing w:before="239"/>
        <w:ind w:left="1349" w:right="987"/>
        <w:jc w:val="both"/>
      </w:pPr>
      <w:r>
        <w:rPr/>
        <w:t>Los ayuntamientos y las empresas municipales o concesionarias prestadoras del servicio del transporte público colectivo contrataron la ejecución de estas actuaciones, salvo puntualmente el </w:t>
      </w:r>
      <w:r>
        <w:rPr>
          <w:b/>
        </w:rPr>
        <w:t>Ayuntamiento de Córdoba </w:t>
      </w:r>
      <w:r>
        <w:rPr/>
        <w:t>para llevar a cabo actuaciones de información y difusión del transporte público colectivo, en los que empleó medios propios. (Epígrafe II.3.2)</w:t>
      </w:r>
    </w:p>
    <w:p>
      <w:pPr>
        <w:pStyle w:val="ListParagraph"/>
        <w:numPr>
          <w:ilvl w:val="0"/>
          <w:numId w:val="9"/>
        </w:numPr>
        <w:tabs>
          <w:tab w:pos="1347" w:val="left" w:leader="none"/>
          <w:tab w:pos="1349" w:val="left" w:leader="none"/>
        </w:tabs>
        <w:spacing w:line="240" w:lineRule="auto" w:before="239" w:after="0"/>
        <w:ind w:left="1349" w:right="987" w:hanging="358"/>
        <w:jc w:val="both"/>
        <w:rPr>
          <w:sz w:val="22"/>
        </w:rPr>
      </w:pPr>
      <w:r>
        <w:rPr>
          <w:sz w:val="22"/>
        </w:rPr>
        <w:t>Todos los planes sobre movilidad de los ayuntamientos fiscalizados preveían la descarbonización de la movilidad urbana y la electrificación del transporte público, de modo genérico, sin concretar el número y</w:t>
      </w:r>
      <w:r>
        <w:rPr>
          <w:spacing w:val="-1"/>
          <w:sz w:val="22"/>
        </w:rPr>
        <w:t> </w:t>
      </w:r>
      <w:r>
        <w:rPr>
          <w:sz w:val="22"/>
        </w:rPr>
        <w:t>el porcentaje</w:t>
      </w:r>
      <w:r>
        <w:rPr>
          <w:spacing w:val="-3"/>
          <w:sz w:val="22"/>
        </w:rPr>
        <w:t> </w:t>
      </w:r>
      <w:r>
        <w:rPr>
          <w:sz w:val="22"/>
        </w:rPr>
        <w:t>de vehículos que</w:t>
      </w:r>
      <w:r>
        <w:rPr>
          <w:spacing w:val="-1"/>
          <w:sz w:val="22"/>
        </w:rPr>
        <w:t> </w:t>
      </w:r>
      <w:r>
        <w:rPr>
          <w:sz w:val="22"/>
        </w:rPr>
        <w:t>se</w:t>
      </w:r>
      <w:r>
        <w:rPr>
          <w:spacing w:val="-1"/>
          <w:sz w:val="22"/>
        </w:rPr>
        <w:t> </w:t>
      </w:r>
      <w:r>
        <w:rPr>
          <w:sz w:val="22"/>
        </w:rPr>
        <w:t>iban a adquirir, el</w:t>
      </w:r>
      <w:r>
        <w:rPr>
          <w:spacing w:val="-2"/>
          <w:sz w:val="22"/>
        </w:rPr>
        <w:t> </w:t>
      </w:r>
      <w:r>
        <w:rPr>
          <w:sz w:val="22"/>
        </w:rPr>
        <w:t>tipo de combustible,</w:t>
      </w:r>
      <w:r>
        <w:rPr>
          <w:spacing w:val="-5"/>
          <w:sz w:val="22"/>
        </w:rPr>
        <w:t> </w:t>
      </w:r>
      <w:r>
        <w:rPr>
          <w:sz w:val="22"/>
        </w:rPr>
        <w:t>ni</w:t>
      </w:r>
      <w:r>
        <w:rPr>
          <w:spacing w:val="-10"/>
          <w:sz w:val="22"/>
        </w:rPr>
        <w:t> </w:t>
      </w:r>
      <w:r>
        <w:rPr>
          <w:sz w:val="22"/>
        </w:rPr>
        <w:t>el</w:t>
      </w:r>
      <w:r>
        <w:rPr>
          <w:spacing w:val="-10"/>
          <w:sz w:val="22"/>
        </w:rPr>
        <w:t> </w:t>
      </w:r>
      <w:r>
        <w:rPr>
          <w:sz w:val="22"/>
        </w:rPr>
        <w:t>periodo</w:t>
      </w:r>
      <w:r>
        <w:rPr>
          <w:spacing w:val="-9"/>
          <w:sz w:val="22"/>
        </w:rPr>
        <w:t> </w:t>
      </w:r>
      <w:r>
        <w:rPr>
          <w:sz w:val="22"/>
        </w:rPr>
        <w:t>temporal</w:t>
      </w:r>
      <w:r>
        <w:rPr>
          <w:spacing w:val="-7"/>
          <w:sz w:val="22"/>
        </w:rPr>
        <w:t> </w:t>
      </w:r>
      <w:r>
        <w:rPr>
          <w:sz w:val="22"/>
        </w:rPr>
        <w:t>en</w:t>
      </w:r>
      <w:r>
        <w:rPr>
          <w:spacing w:val="-9"/>
          <w:sz w:val="22"/>
        </w:rPr>
        <w:t> </w:t>
      </w:r>
      <w:r>
        <w:rPr>
          <w:sz w:val="22"/>
        </w:rPr>
        <w:t>el</w:t>
      </w:r>
      <w:r>
        <w:rPr>
          <w:spacing w:val="-10"/>
          <w:sz w:val="22"/>
        </w:rPr>
        <w:t> </w:t>
      </w:r>
      <w:r>
        <w:rPr>
          <w:sz w:val="22"/>
        </w:rPr>
        <w:t>que</w:t>
      </w:r>
      <w:r>
        <w:rPr>
          <w:spacing w:val="-9"/>
          <w:sz w:val="22"/>
        </w:rPr>
        <w:t> </w:t>
      </w:r>
      <w:r>
        <w:rPr>
          <w:sz w:val="22"/>
        </w:rPr>
        <w:t>habían</w:t>
      </w:r>
      <w:r>
        <w:rPr>
          <w:spacing w:val="-9"/>
          <w:sz w:val="22"/>
        </w:rPr>
        <w:t> </w:t>
      </w:r>
      <w:r>
        <w:rPr>
          <w:sz w:val="22"/>
        </w:rPr>
        <w:t>de</w:t>
      </w:r>
      <w:r>
        <w:rPr>
          <w:spacing w:val="-9"/>
          <w:sz w:val="22"/>
        </w:rPr>
        <w:t> </w:t>
      </w:r>
      <w:r>
        <w:rPr>
          <w:sz w:val="22"/>
        </w:rPr>
        <w:t>realizarse</w:t>
      </w:r>
      <w:r>
        <w:rPr>
          <w:spacing w:val="-8"/>
          <w:sz w:val="22"/>
        </w:rPr>
        <w:t> </w:t>
      </w:r>
      <w:r>
        <w:rPr>
          <w:sz w:val="22"/>
        </w:rPr>
        <w:t>las</w:t>
      </w:r>
      <w:r>
        <w:rPr>
          <w:spacing w:val="-9"/>
          <w:sz w:val="22"/>
        </w:rPr>
        <w:t> </w:t>
      </w:r>
      <w:r>
        <w:rPr>
          <w:sz w:val="22"/>
        </w:rPr>
        <w:t>compras,</w:t>
      </w:r>
      <w:r>
        <w:rPr>
          <w:spacing w:val="-7"/>
          <w:sz w:val="22"/>
        </w:rPr>
        <w:t> </w:t>
      </w:r>
      <w:r>
        <w:rPr>
          <w:sz w:val="22"/>
        </w:rPr>
        <w:t>por</w:t>
      </w:r>
      <w:r>
        <w:rPr>
          <w:spacing w:val="-8"/>
          <w:sz w:val="22"/>
        </w:rPr>
        <w:t> </w:t>
      </w:r>
      <w:r>
        <w:rPr>
          <w:sz w:val="22"/>
        </w:rPr>
        <w:t>lo</w:t>
      </w:r>
      <w:r>
        <w:rPr>
          <w:spacing w:val="-6"/>
          <w:sz w:val="22"/>
        </w:rPr>
        <w:t> </w:t>
      </w:r>
      <w:r>
        <w:rPr>
          <w:sz w:val="22"/>
        </w:rPr>
        <w:t>que</w:t>
      </w:r>
      <w:r>
        <w:rPr>
          <w:spacing w:val="-9"/>
          <w:sz w:val="22"/>
        </w:rPr>
        <w:t> </w:t>
      </w:r>
      <w:r>
        <w:rPr>
          <w:sz w:val="22"/>
        </w:rPr>
        <w:t>no</w:t>
      </w:r>
      <w:r>
        <w:rPr>
          <w:spacing w:val="-9"/>
          <w:sz w:val="22"/>
        </w:rPr>
        <w:t> </w:t>
      </w:r>
      <w:r>
        <w:rPr>
          <w:sz w:val="22"/>
        </w:rPr>
        <w:t>es posible verificar su grado de cumplimiento. Solo el PACES del </w:t>
      </w:r>
      <w:r>
        <w:rPr>
          <w:b/>
          <w:sz w:val="22"/>
        </w:rPr>
        <w:t>Ayuntamiento de Bilbao </w:t>
      </w:r>
      <w:r>
        <w:rPr>
          <w:sz w:val="22"/>
        </w:rPr>
        <w:t>o los PMUS de los </w:t>
      </w:r>
      <w:r>
        <w:rPr>
          <w:b/>
          <w:sz w:val="22"/>
        </w:rPr>
        <w:t>Ayuntamientos de Palma </w:t>
      </w:r>
      <w:r>
        <w:rPr>
          <w:sz w:val="22"/>
        </w:rPr>
        <w:t>y </w:t>
      </w:r>
      <w:r>
        <w:rPr>
          <w:b/>
          <w:sz w:val="22"/>
        </w:rPr>
        <w:t>Zaragoza </w:t>
      </w:r>
      <w:r>
        <w:rPr>
          <w:sz w:val="22"/>
        </w:rPr>
        <w:t>han determinado el número o el tipo de vehículo</w:t>
      </w:r>
      <w:r>
        <w:rPr>
          <w:spacing w:val="-2"/>
          <w:sz w:val="22"/>
        </w:rPr>
        <w:t> </w:t>
      </w:r>
      <w:r>
        <w:rPr>
          <w:sz w:val="22"/>
        </w:rPr>
        <w:t>a</w:t>
      </w:r>
      <w:r>
        <w:rPr>
          <w:spacing w:val="-4"/>
          <w:sz w:val="22"/>
        </w:rPr>
        <w:t> </w:t>
      </w:r>
      <w:r>
        <w:rPr>
          <w:sz w:val="22"/>
        </w:rPr>
        <w:t>adquirir.</w:t>
      </w:r>
      <w:r>
        <w:rPr>
          <w:spacing w:val="-1"/>
          <w:sz w:val="22"/>
        </w:rPr>
        <w:t> </w:t>
      </w:r>
      <w:r>
        <w:rPr>
          <w:sz w:val="22"/>
        </w:rPr>
        <w:t>El</w:t>
      </w:r>
      <w:r>
        <w:rPr>
          <w:spacing w:val="-5"/>
          <w:sz w:val="22"/>
        </w:rPr>
        <w:t> </w:t>
      </w:r>
      <w:r>
        <w:rPr>
          <w:sz w:val="22"/>
        </w:rPr>
        <w:t>plazo</w:t>
      </w:r>
      <w:r>
        <w:rPr>
          <w:spacing w:val="-2"/>
          <w:sz w:val="22"/>
        </w:rPr>
        <w:t> </w:t>
      </w:r>
      <w:r>
        <w:rPr>
          <w:sz w:val="22"/>
        </w:rPr>
        <w:t>previsto</w:t>
      </w:r>
      <w:r>
        <w:rPr>
          <w:spacing w:val="-4"/>
          <w:sz w:val="22"/>
        </w:rPr>
        <w:t> </w:t>
      </w:r>
      <w:r>
        <w:rPr>
          <w:sz w:val="22"/>
        </w:rPr>
        <w:t>para</w:t>
      </w:r>
      <w:r>
        <w:rPr>
          <w:spacing w:val="-2"/>
          <w:sz w:val="22"/>
        </w:rPr>
        <w:t> </w:t>
      </w:r>
      <w:r>
        <w:rPr>
          <w:sz w:val="22"/>
        </w:rPr>
        <w:t>el</w:t>
      </w:r>
      <w:r>
        <w:rPr>
          <w:spacing w:val="-4"/>
          <w:sz w:val="22"/>
        </w:rPr>
        <w:t> </w:t>
      </w:r>
      <w:r>
        <w:rPr>
          <w:sz w:val="22"/>
        </w:rPr>
        <w:t>cumplimiento</w:t>
      </w:r>
      <w:r>
        <w:rPr>
          <w:spacing w:val="-2"/>
          <w:sz w:val="22"/>
        </w:rPr>
        <w:t> </w:t>
      </w:r>
      <w:r>
        <w:rPr>
          <w:sz w:val="22"/>
        </w:rPr>
        <w:t>de</w:t>
      </w:r>
      <w:r>
        <w:rPr>
          <w:spacing w:val="-4"/>
          <w:sz w:val="22"/>
        </w:rPr>
        <w:t> </w:t>
      </w:r>
      <w:r>
        <w:rPr>
          <w:sz w:val="22"/>
        </w:rPr>
        <w:t>estas</w:t>
      </w:r>
      <w:r>
        <w:rPr>
          <w:spacing w:val="-4"/>
          <w:sz w:val="22"/>
        </w:rPr>
        <w:t> </w:t>
      </w:r>
      <w:r>
        <w:rPr>
          <w:sz w:val="22"/>
        </w:rPr>
        <w:t>previsiones</w:t>
      </w:r>
      <w:r>
        <w:rPr>
          <w:spacing w:val="-2"/>
          <w:sz w:val="22"/>
        </w:rPr>
        <w:t> </w:t>
      </w:r>
      <w:r>
        <w:rPr>
          <w:sz w:val="22"/>
        </w:rPr>
        <w:t>no</w:t>
      </w:r>
      <w:r>
        <w:rPr>
          <w:spacing w:val="-4"/>
          <w:sz w:val="22"/>
        </w:rPr>
        <w:t> </w:t>
      </w:r>
      <w:r>
        <w:rPr>
          <w:sz w:val="22"/>
        </w:rPr>
        <w:t>ha</w:t>
      </w:r>
      <w:r>
        <w:rPr>
          <w:spacing w:val="-4"/>
          <w:sz w:val="22"/>
        </w:rPr>
        <w:t> </w:t>
      </w:r>
      <w:r>
        <w:rPr>
          <w:sz w:val="22"/>
        </w:rPr>
        <w:t>concluido a 31 de diciembre de 2024, si bien en algún caso, como el del </w:t>
      </w:r>
      <w:r>
        <w:rPr>
          <w:b/>
          <w:sz w:val="22"/>
        </w:rPr>
        <w:t>Ayuntamiento de Palma</w:t>
      </w:r>
      <w:r>
        <w:rPr>
          <w:sz w:val="22"/>
        </w:rPr>
        <w:t>, requerirá un mayor esfuerzo por parte de la entidad si quiere alcanzar el objetivo previsto a la vista de la flota de autobuses existente a esa fecha. (Subepígrafe II.3.2.1)</w:t>
      </w:r>
    </w:p>
    <w:p>
      <w:pPr>
        <w:pStyle w:val="ListParagraph"/>
        <w:spacing w:after="0" w:line="240" w:lineRule="auto"/>
        <w:jc w:val="both"/>
        <w:rPr>
          <w:sz w:val="22"/>
        </w:rPr>
        <w:sectPr>
          <w:pgSz w:w="11910" w:h="16840"/>
          <w:pgMar w:header="1227" w:footer="839" w:top="1420" w:bottom="1020" w:left="141" w:right="141"/>
        </w:sectPr>
      </w:pPr>
    </w:p>
    <w:p>
      <w:pPr>
        <w:pStyle w:val="BodyText"/>
        <w:rPr>
          <w:sz w:val="20"/>
        </w:rPr>
      </w:pPr>
    </w:p>
    <w:p>
      <w:pPr>
        <w:pStyle w:val="BodyText"/>
        <w:rPr>
          <w:sz w:val="20"/>
        </w:rPr>
      </w:pPr>
    </w:p>
    <w:p>
      <w:pPr>
        <w:pStyle w:val="BodyText"/>
        <w:rPr>
          <w:sz w:val="20"/>
        </w:rPr>
      </w:pPr>
    </w:p>
    <w:p>
      <w:pPr>
        <w:pStyle w:val="BodyText"/>
        <w:spacing w:before="204"/>
        <w:rPr>
          <w:sz w:val="20"/>
        </w:rPr>
      </w:pPr>
    </w:p>
    <w:p>
      <w:pPr>
        <w:spacing w:line="240" w:lineRule="auto"/>
        <w:ind w:left="1321" w:right="0" w:firstLine="0"/>
        <w:rPr>
          <w:sz w:val="20"/>
        </w:rPr>
      </w:pPr>
      <w:r>
        <w:rPr>
          <w:sz w:val="20"/>
        </w:rPr>
        <mc:AlternateContent>
          <mc:Choice Requires="wps">
            <w:drawing>
              <wp:inline distT="0" distB="0" distL="0" distR="0">
                <wp:extent cx="5931535" cy="1548765"/>
                <wp:effectExtent l="0" t="0" r="0" b="0"/>
                <wp:docPr id="231" name="Textbox 231"/>
                <wp:cNvGraphicFramePr>
                  <a:graphicFrameLocks/>
                </wp:cNvGraphicFramePr>
                <a:graphic>
                  <a:graphicData uri="http://schemas.microsoft.com/office/word/2010/wordprocessingShape">
                    <wps:wsp>
                      <wps:cNvPr id="231" name="Textbox 231"/>
                      <wps:cNvSpPr txBox="1"/>
                      <wps:spPr>
                        <a:xfrm>
                          <a:off x="0" y="0"/>
                          <a:ext cx="5931535" cy="1548765"/>
                        </a:xfrm>
                        <a:prstGeom prst="rect">
                          <a:avLst/>
                        </a:prstGeom>
                        <a:solidFill>
                          <a:srgbClr val="DBE4F0"/>
                        </a:solidFill>
                      </wps:spPr>
                      <wps:txbx>
                        <w:txbxContent>
                          <w:p>
                            <w:pPr>
                              <w:pStyle w:val="BodyText"/>
                              <w:spacing w:before="23"/>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3:</w:t>
                            </w:r>
                          </w:p>
                          <w:p>
                            <w:pPr>
                              <w:pStyle w:val="BodyText"/>
                              <w:spacing w:before="138"/>
                              <w:ind w:left="28" w:right="24"/>
                              <w:jc w:val="both"/>
                              <w:rPr>
                                <w:color w:val="000000"/>
                              </w:rPr>
                            </w:pPr>
                            <w:r>
                              <w:rPr>
                                <w:color w:val="000000"/>
                              </w:rPr>
                              <w:t>Los ayuntamientos</w:t>
                            </w:r>
                            <w:r>
                              <w:rPr>
                                <w:color w:val="000000"/>
                                <w:spacing w:val="-3"/>
                              </w:rPr>
                              <w:t> </w:t>
                            </w:r>
                            <w:r>
                              <w:rPr>
                                <w:color w:val="000000"/>
                              </w:rPr>
                              <w:t>fiscalizados deberían</w:t>
                            </w:r>
                            <w:r>
                              <w:rPr>
                                <w:color w:val="000000"/>
                                <w:spacing w:val="-3"/>
                              </w:rPr>
                              <w:t> </w:t>
                            </w:r>
                            <w:r>
                              <w:rPr>
                                <w:color w:val="000000"/>
                              </w:rPr>
                              <w:t>concretar en</w:t>
                            </w:r>
                            <w:r>
                              <w:rPr>
                                <w:color w:val="000000"/>
                                <w:spacing w:val="-3"/>
                              </w:rPr>
                              <w:t> </w:t>
                            </w:r>
                            <w:r>
                              <w:rPr>
                                <w:color w:val="000000"/>
                              </w:rPr>
                              <w:t>los planes</w:t>
                            </w:r>
                            <w:r>
                              <w:rPr>
                                <w:color w:val="000000"/>
                                <w:spacing w:val="-3"/>
                              </w:rPr>
                              <w:t> </w:t>
                            </w:r>
                            <w:r>
                              <w:rPr>
                                <w:color w:val="000000"/>
                              </w:rPr>
                              <w:t>sobre</w:t>
                            </w:r>
                            <w:r>
                              <w:rPr>
                                <w:color w:val="000000"/>
                                <w:spacing w:val="-3"/>
                              </w:rPr>
                              <w:t> </w:t>
                            </w:r>
                            <w:r>
                              <w:rPr>
                                <w:color w:val="000000"/>
                              </w:rPr>
                              <w:t>movilidad el</w:t>
                            </w:r>
                            <w:r>
                              <w:rPr>
                                <w:color w:val="000000"/>
                                <w:spacing w:val="-2"/>
                              </w:rPr>
                              <w:t> </w:t>
                            </w:r>
                            <w:r>
                              <w:rPr>
                                <w:color w:val="000000"/>
                              </w:rPr>
                              <w:t>número</w:t>
                            </w:r>
                            <w:r>
                              <w:rPr>
                                <w:color w:val="000000"/>
                                <w:spacing w:val="-2"/>
                              </w:rPr>
                              <w:t> </w:t>
                            </w:r>
                            <w:r>
                              <w:rPr>
                                <w:color w:val="000000"/>
                              </w:rPr>
                              <w:t>de autobuses que prevén adquirir a fin de renovar la flota y lograr la descarbonización de la movilidad urbana, el tipo de combustible que han de utilizar y el periodo temporal en el que habrían de realizarse las compras, con arreglo a los estudios previos que sean precisos y los recursos económicos disponibles. Todo ello a fin de poder realizar un seguimiento adecuado que permita valorar la consecución de los objetivos previstos.</w:t>
                            </w:r>
                          </w:p>
                        </w:txbxContent>
                      </wps:txbx>
                      <wps:bodyPr wrap="square" lIns="0" tIns="0" rIns="0" bIns="0" rtlCol="0">
                        <a:noAutofit/>
                      </wps:bodyPr>
                    </wps:wsp>
                  </a:graphicData>
                </a:graphic>
              </wp:inline>
            </w:drawing>
          </mc:Choice>
          <mc:Fallback>
            <w:pict>
              <v:shape style="width:467.05pt;height:121.95pt;mso-position-horizontal-relative:char;mso-position-vertical-relative:line" type="#_x0000_t202" id="docshape210" filled="true" fillcolor="#dbe4f0" stroked="false">
                <w10:anchorlock/>
                <v:textbox inset="0,0,0,0">
                  <w:txbxContent>
                    <w:p>
                      <w:pPr>
                        <w:pStyle w:val="BodyText"/>
                        <w:spacing w:before="23"/>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3:</w:t>
                      </w:r>
                    </w:p>
                    <w:p>
                      <w:pPr>
                        <w:pStyle w:val="BodyText"/>
                        <w:spacing w:before="138"/>
                        <w:ind w:left="28" w:right="24"/>
                        <w:jc w:val="both"/>
                        <w:rPr>
                          <w:color w:val="000000"/>
                        </w:rPr>
                      </w:pPr>
                      <w:r>
                        <w:rPr>
                          <w:color w:val="000000"/>
                        </w:rPr>
                        <w:t>Los ayuntamientos</w:t>
                      </w:r>
                      <w:r>
                        <w:rPr>
                          <w:color w:val="000000"/>
                          <w:spacing w:val="-3"/>
                        </w:rPr>
                        <w:t> </w:t>
                      </w:r>
                      <w:r>
                        <w:rPr>
                          <w:color w:val="000000"/>
                        </w:rPr>
                        <w:t>fiscalizados deberían</w:t>
                      </w:r>
                      <w:r>
                        <w:rPr>
                          <w:color w:val="000000"/>
                          <w:spacing w:val="-3"/>
                        </w:rPr>
                        <w:t> </w:t>
                      </w:r>
                      <w:r>
                        <w:rPr>
                          <w:color w:val="000000"/>
                        </w:rPr>
                        <w:t>concretar en</w:t>
                      </w:r>
                      <w:r>
                        <w:rPr>
                          <w:color w:val="000000"/>
                          <w:spacing w:val="-3"/>
                        </w:rPr>
                        <w:t> </w:t>
                      </w:r>
                      <w:r>
                        <w:rPr>
                          <w:color w:val="000000"/>
                        </w:rPr>
                        <w:t>los planes</w:t>
                      </w:r>
                      <w:r>
                        <w:rPr>
                          <w:color w:val="000000"/>
                          <w:spacing w:val="-3"/>
                        </w:rPr>
                        <w:t> </w:t>
                      </w:r>
                      <w:r>
                        <w:rPr>
                          <w:color w:val="000000"/>
                        </w:rPr>
                        <w:t>sobre</w:t>
                      </w:r>
                      <w:r>
                        <w:rPr>
                          <w:color w:val="000000"/>
                          <w:spacing w:val="-3"/>
                        </w:rPr>
                        <w:t> </w:t>
                      </w:r>
                      <w:r>
                        <w:rPr>
                          <w:color w:val="000000"/>
                        </w:rPr>
                        <w:t>movilidad el</w:t>
                      </w:r>
                      <w:r>
                        <w:rPr>
                          <w:color w:val="000000"/>
                          <w:spacing w:val="-2"/>
                        </w:rPr>
                        <w:t> </w:t>
                      </w:r>
                      <w:r>
                        <w:rPr>
                          <w:color w:val="000000"/>
                        </w:rPr>
                        <w:t>número</w:t>
                      </w:r>
                      <w:r>
                        <w:rPr>
                          <w:color w:val="000000"/>
                          <w:spacing w:val="-2"/>
                        </w:rPr>
                        <w:t> </w:t>
                      </w:r>
                      <w:r>
                        <w:rPr>
                          <w:color w:val="000000"/>
                        </w:rPr>
                        <w:t>de autobuses que prevén adquirir a fin de renovar la flota y lograr la descarbonización de la movilidad urbana, el tipo de combustible que han de utilizar y el periodo temporal en el que habrían de realizarse las compras, con arreglo a los estudios previos que sean precisos y los recursos económicos disponibles. Todo ello a fin de poder realizar un seguimiento adecuado que permita valorar la consecución de los objetivos previstos.</w:t>
                      </w:r>
                    </w:p>
                  </w:txbxContent>
                </v:textbox>
                <v:fill type="solid"/>
              </v:shape>
            </w:pict>
          </mc:Fallback>
        </mc:AlternateContent>
      </w:r>
      <w:r>
        <w:rPr>
          <w:sz w:val="20"/>
        </w:rPr>
      </w:r>
    </w:p>
    <w:p>
      <w:pPr>
        <w:pStyle w:val="ListParagraph"/>
        <w:numPr>
          <w:ilvl w:val="0"/>
          <w:numId w:val="9"/>
        </w:numPr>
        <w:tabs>
          <w:tab w:pos="1347" w:val="left" w:leader="none"/>
          <w:tab w:pos="1349" w:val="left" w:leader="none"/>
        </w:tabs>
        <w:spacing w:line="240" w:lineRule="auto" w:before="219" w:after="0"/>
        <w:ind w:left="1349" w:right="987" w:hanging="358"/>
        <w:jc w:val="both"/>
        <w:rPr>
          <w:sz w:val="22"/>
        </w:rPr>
      </w:pPr>
      <w:r>
        <w:rPr>
          <w:sz w:val="22"/>
        </w:rPr>
        <w:t>En el periodo fiscalizado, de acuerdo con lo previsto en la mayoría de PMUS, todos los ayuntamientos,</w:t>
      </w:r>
      <w:r>
        <w:rPr>
          <w:spacing w:val="-8"/>
          <w:sz w:val="22"/>
        </w:rPr>
        <w:t> </w:t>
      </w:r>
      <w:r>
        <w:rPr>
          <w:sz w:val="22"/>
        </w:rPr>
        <w:t>salvo</w:t>
      </w:r>
      <w:r>
        <w:rPr>
          <w:spacing w:val="-9"/>
          <w:sz w:val="22"/>
        </w:rPr>
        <w:t> </w:t>
      </w:r>
      <w:r>
        <w:rPr>
          <w:sz w:val="22"/>
        </w:rPr>
        <w:t>el</w:t>
      </w:r>
      <w:r>
        <w:rPr>
          <w:spacing w:val="-9"/>
          <w:sz w:val="22"/>
        </w:rPr>
        <w:t> </w:t>
      </w:r>
      <w:r>
        <w:rPr>
          <w:b/>
          <w:sz w:val="22"/>
        </w:rPr>
        <w:t>Ayuntamiento</w:t>
      </w:r>
      <w:r>
        <w:rPr>
          <w:b/>
          <w:spacing w:val="-6"/>
          <w:sz w:val="22"/>
        </w:rPr>
        <w:t> </w:t>
      </w:r>
      <w:r>
        <w:rPr>
          <w:b/>
          <w:sz w:val="22"/>
        </w:rPr>
        <w:t>de</w:t>
      </w:r>
      <w:r>
        <w:rPr>
          <w:b/>
          <w:spacing w:val="-12"/>
          <w:sz w:val="22"/>
        </w:rPr>
        <w:t> </w:t>
      </w:r>
      <w:r>
        <w:rPr>
          <w:b/>
          <w:sz w:val="22"/>
        </w:rPr>
        <w:t>Murcia</w:t>
      </w:r>
      <w:r>
        <w:rPr>
          <w:sz w:val="22"/>
        </w:rPr>
        <w:t>,</w:t>
      </w:r>
      <w:r>
        <w:rPr>
          <w:spacing w:val="-5"/>
          <w:sz w:val="22"/>
        </w:rPr>
        <w:t> </w:t>
      </w:r>
      <w:r>
        <w:rPr>
          <w:sz w:val="22"/>
        </w:rPr>
        <w:t>adquirieron,</w:t>
      </w:r>
      <w:r>
        <w:rPr>
          <w:spacing w:val="-8"/>
          <w:sz w:val="22"/>
        </w:rPr>
        <w:t> </w:t>
      </w:r>
      <w:r>
        <w:rPr>
          <w:sz w:val="22"/>
        </w:rPr>
        <w:t>bien</w:t>
      </w:r>
      <w:r>
        <w:rPr>
          <w:spacing w:val="-7"/>
          <w:sz w:val="22"/>
        </w:rPr>
        <w:t> </w:t>
      </w:r>
      <w:r>
        <w:rPr>
          <w:sz w:val="22"/>
        </w:rPr>
        <w:t>directamente</w:t>
      </w:r>
      <w:r>
        <w:rPr>
          <w:spacing w:val="-6"/>
          <w:sz w:val="22"/>
        </w:rPr>
        <w:t> </w:t>
      </w:r>
      <w:r>
        <w:rPr>
          <w:sz w:val="22"/>
        </w:rPr>
        <w:t>o</w:t>
      </w:r>
      <w:r>
        <w:rPr>
          <w:spacing w:val="-9"/>
          <w:sz w:val="22"/>
        </w:rPr>
        <w:t> </w:t>
      </w:r>
      <w:r>
        <w:rPr>
          <w:sz w:val="22"/>
        </w:rPr>
        <w:t>a</w:t>
      </w:r>
      <w:r>
        <w:rPr>
          <w:spacing w:val="-9"/>
          <w:sz w:val="22"/>
        </w:rPr>
        <w:t> </w:t>
      </w:r>
      <w:r>
        <w:rPr>
          <w:sz w:val="22"/>
        </w:rPr>
        <w:t>través</w:t>
      </w:r>
      <w:r>
        <w:rPr>
          <w:spacing w:val="-8"/>
          <w:sz w:val="22"/>
        </w:rPr>
        <w:t> </w:t>
      </w:r>
      <w:r>
        <w:rPr>
          <w:sz w:val="22"/>
        </w:rPr>
        <w:t>de las empresas municipales o concesionarias, autobuses con el objeto de incrementar las flotas de</w:t>
      </w:r>
      <w:r>
        <w:rPr>
          <w:spacing w:val="-16"/>
          <w:sz w:val="22"/>
        </w:rPr>
        <w:t> </w:t>
      </w:r>
      <w:r>
        <w:rPr>
          <w:sz w:val="22"/>
        </w:rPr>
        <w:t>vehículos</w:t>
      </w:r>
      <w:r>
        <w:rPr>
          <w:spacing w:val="-15"/>
          <w:sz w:val="22"/>
        </w:rPr>
        <w:t> </w:t>
      </w:r>
      <w:r>
        <w:rPr>
          <w:sz w:val="22"/>
        </w:rPr>
        <w:t>destinados</w:t>
      </w:r>
      <w:r>
        <w:rPr>
          <w:spacing w:val="-15"/>
          <w:sz w:val="22"/>
        </w:rPr>
        <w:t> </w:t>
      </w:r>
      <w:r>
        <w:rPr>
          <w:sz w:val="22"/>
        </w:rPr>
        <w:t>al</w:t>
      </w:r>
      <w:r>
        <w:rPr>
          <w:spacing w:val="-16"/>
          <w:sz w:val="22"/>
        </w:rPr>
        <w:t> </w:t>
      </w:r>
      <w:r>
        <w:rPr>
          <w:sz w:val="22"/>
        </w:rPr>
        <w:t>transporte</w:t>
      </w:r>
      <w:r>
        <w:rPr>
          <w:spacing w:val="-15"/>
          <w:sz w:val="22"/>
        </w:rPr>
        <w:t> </w:t>
      </w:r>
      <w:r>
        <w:rPr>
          <w:sz w:val="22"/>
        </w:rPr>
        <w:t>público</w:t>
      </w:r>
      <w:r>
        <w:rPr>
          <w:spacing w:val="-15"/>
          <w:sz w:val="22"/>
        </w:rPr>
        <w:t> </w:t>
      </w:r>
      <w:r>
        <w:rPr>
          <w:sz w:val="22"/>
        </w:rPr>
        <w:t>colectivo</w:t>
      </w:r>
      <w:r>
        <w:rPr>
          <w:spacing w:val="-15"/>
          <w:sz w:val="22"/>
        </w:rPr>
        <w:t> </w:t>
      </w:r>
      <w:r>
        <w:rPr>
          <w:sz w:val="22"/>
        </w:rPr>
        <w:t>y</w:t>
      </w:r>
      <w:r>
        <w:rPr>
          <w:spacing w:val="-16"/>
          <w:sz w:val="22"/>
        </w:rPr>
        <w:t> </w:t>
      </w:r>
      <w:r>
        <w:rPr>
          <w:sz w:val="22"/>
        </w:rPr>
        <w:t>de</w:t>
      </w:r>
      <w:r>
        <w:rPr>
          <w:spacing w:val="-15"/>
          <w:sz w:val="22"/>
        </w:rPr>
        <w:t> </w:t>
      </w:r>
      <w:r>
        <w:rPr>
          <w:sz w:val="22"/>
        </w:rPr>
        <w:t>transformarlas</w:t>
      </w:r>
      <w:r>
        <w:rPr>
          <w:spacing w:val="-15"/>
          <w:sz w:val="22"/>
        </w:rPr>
        <w:t> </w:t>
      </w:r>
      <w:r>
        <w:rPr>
          <w:sz w:val="22"/>
        </w:rPr>
        <w:t>por</w:t>
      </w:r>
      <w:r>
        <w:rPr>
          <w:spacing w:val="-16"/>
          <w:sz w:val="22"/>
        </w:rPr>
        <w:t> </w:t>
      </w:r>
      <w:r>
        <w:rPr>
          <w:sz w:val="22"/>
        </w:rPr>
        <w:t>otras</w:t>
      </w:r>
      <w:r>
        <w:rPr>
          <w:spacing w:val="-15"/>
          <w:sz w:val="22"/>
        </w:rPr>
        <w:t> </w:t>
      </w:r>
      <w:r>
        <w:rPr>
          <w:sz w:val="22"/>
        </w:rPr>
        <w:t>más</w:t>
      </w:r>
      <w:r>
        <w:rPr>
          <w:spacing w:val="-15"/>
          <w:sz w:val="22"/>
        </w:rPr>
        <w:t> </w:t>
      </w:r>
      <w:r>
        <w:rPr>
          <w:sz w:val="22"/>
        </w:rPr>
        <w:t>limpias. El</w:t>
      </w:r>
      <w:r>
        <w:rPr>
          <w:spacing w:val="-7"/>
          <w:sz w:val="22"/>
        </w:rPr>
        <w:t> </w:t>
      </w:r>
      <w:r>
        <w:rPr>
          <w:sz w:val="22"/>
        </w:rPr>
        <w:t>total</w:t>
      </w:r>
      <w:r>
        <w:rPr>
          <w:spacing w:val="-7"/>
          <w:sz w:val="22"/>
        </w:rPr>
        <w:t> </w:t>
      </w:r>
      <w:r>
        <w:rPr>
          <w:sz w:val="22"/>
        </w:rPr>
        <w:t>de</w:t>
      </w:r>
      <w:r>
        <w:rPr>
          <w:spacing w:val="-7"/>
          <w:sz w:val="22"/>
        </w:rPr>
        <w:t> </w:t>
      </w:r>
      <w:r>
        <w:rPr>
          <w:sz w:val="22"/>
        </w:rPr>
        <w:t>vehículos</w:t>
      </w:r>
      <w:r>
        <w:rPr>
          <w:spacing w:val="-6"/>
          <w:sz w:val="22"/>
        </w:rPr>
        <w:t> </w:t>
      </w:r>
      <w:r>
        <w:rPr>
          <w:sz w:val="22"/>
        </w:rPr>
        <w:t>adquiridos</w:t>
      </w:r>
      <w:r>
        <w:rPr>
          <w:spacing w:val="-6"/>
          <w:sz w:val="22"/>
        </w:rPr>
        <w:t> </w:t>
      </w:r>
      <w:r>
        <w:rPr>
          <w:sz w:val="22"/>
        </w:rPr>
        <w:t>ascendió</w:t>
      </w:r>
      <w:r>
        <w:rPr>
          <w:spacing w:val="-6"/>
          <w:sz w:val="22"/>
        </w:rPr>
        <w:t> </w:t>
      </w:r>
      <w:r>
        <w:rPr>
          <w:sz w:val="22"/>
        </w:rPr>
        <w:t>a</w:t>
      </w:r>
      <w:r>
        <w:rPr>
          <w:spacing w:val="-6"/>
          <w:sz w:val="22"/>
        </w:rPr>
        <w:t> </w:t>
      </w:r>
      <w:r>
        <w:rPr>
          <w:sz w:val="22"/>
        </w:rPr>
        <w:t>364,</w:t>
      </w:r>
      <w:r>
        <w:rPr>
          <w:spacing w:val="-5"/>
          <w:sz w:val="22"/>
        </w:rPr>
        <w:t> </w:t>
      </w:r>
      <w:r>
        <w:rPr>
          <w:sz w:val="22"/>
        </w:rPr>
        <w:t>con</w:t>
      </w:r>
      <w:r>
        <w:rPr>
          <w:spacing w:val="-7"/>
          <w:sz w:val="22"/>
        </w:rPr>
        <w:t> </w:t>
      </w:r>
      <w:r>
        <w:rPr>
          <w:sz w:val="22"/>
        </w:rPr>
        <w:t>un</w:t>
      </w:r>
      <w:r>
        <w:rPr>
          <w:spacing w:val="-7"/>
          <w:sz w:val="22"/>
        </w:rPr>
        <w:t> </w:t>
      </w:r>
      <w:r>
        <w:rPr>
          <w:sz w:val="22"/>
        </w:rPr>
        <w:t>coste</w:t>
      </w:r>
      <w:r>
        <w:rPr>
          <w:spacing w:val="-6"/>
          <w:sz w:val="22"/>
        </w:rPr>
        <w:t> </w:t>
      </w:r>
      <w:r>
        <w:rPr>
          <w:sz w:val="22"/>
        </w:rPr>
        <w:t>de</w:t>
      </w:r>
      <w:r>
        <w:rPr>
          <w:spacing w:val="-7"/>
          <w:sz w:val="22"/>
        </w:rPr>
        <w:t> </w:t>
      </w:r>
      <w:r>
        <w:rPr>
          <w:sz w:val="22"/>
        </w:rPr>
        <w:t>adquisición</w:t>
      </w:r>
      <w:r>
        <w:rPr>
          <w:spacing w:val="-7"/>
          <w:sz w:val="22"/>
        </w:rPr>
        <w:t> </w:t>
      </w:r>
      <w:r>
        <w:rPr>
          <w:sz w:val="22"/>
        </w:rPr>
        <w:t>de</w:t>
      </w:r>
      <w:r>
        <w:rPr>
          <w:spacing w:val="-7"/>
          <w:sz w:val="22"/>
        </w:rPr>
        <w:t> </w:t>
      </w:r>
      <w:r>
        <w:rPr>
          <w:sz w:val="22"/>
        </w:rPr>
        <w:t>194.621.573,41 euros. Para sufragar dicho coste, las entidades han recibido subvenciones por importe de 55.011.108,99 euros, de los que el 84,86</w:t>
      </w:r>
      <w:r>
        <w:rPr>
          <w:spacing w:val="-2"/>
          <w:sz w:val="22"/>
        </w:rPr>
        <w:t> </w:t>
      </w:r>
      <w:r>
        <w:rPr>
          <w:sz w:val="22"/>
        </w:rPr>
        <w:t>% proceden de ayudas concedidas en el marco del </w:t>
      </w:r>
      <w:r>
        <w:rPr>
          <w:spacing w:val="-2"/>
          <w:sz w:val="22"/>
        </w:rPr>
        <w:t>PRTR.</w:t>
      </w:r>
    </w:p>
    <w:p>
      <w:pPr>
        <w:pStyle w:val="BodyText"/>
        <w:spacing w:before="239"/>
        <w:ind w:left="1349" w:right="987"/>
        <w:jc w:val="both"/>
      </w:pPr>
      <w:r>
        <w:rPr/>
        <w:t>En 2022 se entregaron 26 autobuses y en el periodo fiscalizado un total de 214, estos últimos por</w:t>
      </w:r>
      <w:r>
        <w:rPr>
          <w:spacing w:val="-2"/>
        </w:rPr>
        <w:t> </w:t>
      </w:r>
      <w:r>
        <w:rPr/>
        <w:t>importe</w:t>
      </w:r>
      <w:r>
        <w:rPr>
          <w:spacing w:val="-5"/>
        </w:rPr>
        <w:t> </w:t>
      </w:r>
      <w:r>
        <w:rPr/>
        <w:t>de</w:t>
      </w:r>
      <w:r>
        <w:rPr>
          <w:spacing w:val="-5"/>
        </w:rPr>
        <w:t> </w:t>
      </w:r>
      <w:r>
        <w:rPr/>
        <w:t>118.775.807,69</w:t>
      </w:r>
      <w:r>
        <w:rPr>
          <w:spacing w:val="-5"/>
        </w:rPr>
        <w:t> </w:t>
      </w:r>
      <w:r>
        <w:rPr/>
        <w:t>euros,</w:t>
      </w:r>
      <w:r>
        <w:rPr>
          <w:spacing w:val="-4"/>
        </w:rPr>
        <w:t> </w:t>
      </w:r>
      <w:r>
        <w:rPr/>
        <w:t>IVA</w:t>
      </w:r>
      <w:r>
        <w:rPr>
          <w:spacing w:val="-6"/>
        </w:rPr>
        <w:t> </w:t>
      </w:r>
      <w:r>
        <w:rPr/>
        <w:t>no</w:t>
      </w:r>
      <w:r>
        <w:rPr>
          <w:spacing w:val="-5"/>
        </w:rPr>
        <w:t> </w:t>
      </w:r>
      <w:r>
        <w:rPr/>
        <w:t>incluido,</w:t>
      </w:r>
      <w:r>
        <w:rPr>
          <w:spacing w:val="-1"/>
        </w:rPr>
        <w:t> </w:t>
      </w:r>
      <w:r>
        <w:rPr/>
        <w:t>estando</w:t>
      </w:r>
      <w:r>
        <w:rPr>
          <w:spacing w:val="-5"/>
        </w:rPr>
        <w:t> </w:t>
      </w:r>
      <w:r>
        <w:rPr/>
        <w:t>124,</w:t>
      </w:r>
      <w:r>
        <w:rPr>
          <w:spacing w:val="-4"/>
        </w:rPr>
        <w:t> </w:t>
      </w:r>
      <w:r>
        <w:rPr/>
        <w:t>por</w:t>
      </w:r>
      <w:r>
        <w:rPr>
          <w:spacing w:val="-4"/>
        </w:rPr>
        <w:t> </w:t>
      </w:r>
      <w:r>
        <w:rPr/>
        <w:t>valor</w:t>
      </w:r>
      <w:r>
        <w:rPr>
          <w:spacing w:val="-2"/>
        </w:rPr>
        <w:t> </w:t>
      </w:r>
      <w:r>
        <w:rPr/>
        <w:t>de</w:t>
      </w:r>
      <w:r>
        <w:rPr>
          <w:spacing w:val="-5"/>
        </w:rPr>
        <w:t> </w:t>
      </w:r>
      <w:r>
        <w:rPr/>
        <w:t>65.715.765,72 euros, pendientes de entrega para ejercicios posteriores.</w:t>
      </w:r>
    </w:p>
    <w:p>
      <w:pPr>
        <w:pStyle w:val="BodyText"/>
        <w:spacing w:before="240"/>
        <w:ind w:left="1349" w:right="988"/>
        <w:jc w:val="both"/>
      </w:pPr>
      <w:r>
        <w:rPr/>
        <w:t>Los </w:t>
      </w:r>
      <w:r>
        <w:rPr>
          <w:b/>
        </w:rPr>
        <w:t>Ayuntamientos de Sevilla </w:t>
      </w:r>
      <w:r>
        <w:rPr/>
        <w:t>y </w:t>
      </w:r>
      <w:r>
        <w:rPr>
          <w:b/>
        </w:rPr>
        <w:t>Zaragoza </w:t>
      </w:r>
      <w:r>
        <w:rPr/>
        <w:t>también han adquirido en 2023 y 2024 material móvil</w:t>
      </w:r>
      <w:r>
        <w:rPr>
          <w:spacing w:val="-8"/>
        </w:rPr>
        <w:t> </w:t>
      </w:r>
      <w:r>
        <w:rPr/>
        <w:t>tranviario</w:t>
      </w:r>
      <w:r>
        <w:rPr>
          <w:spacing w:val="-8"/>
        </w:rPr>
        <w:t> </w:t>
      </w:r>
      <w:r>
        <w:rPr/>
        <w:t>por</w:t>
      </w:r>
      <w:r>
        <w:rPr>
          <w:spacing w:val="-6"/>
        </w:rPr>
        <w:t> </w:t>
      </w:r>
      <w:r>
        <w:rPr/>
        <w:t>importe</w:t>
      </w:r>
      <w:r>
        <w:rPr>
          <w:spacing w:val="-7"/>
        </w:rPr>
        <w:t> </w:t>
      </w:r>
      <w:r>
        <w:rPr/>
        <w:t>de</w:t>
      </w:r>
      <w:r>
        <w:rPr>
          <w:spacing w:val="-8"/>
        </w:rPr>
        <w:t> </w:t>
      </w:r>
      <w:r>
        <w:rPr/>
        <w:t>30.395.131,07</w:t>
      </w:r>
      <w:r>
        <w:rPr>
          <w:spacing w:val="-8"/>
        </w:rPr>
        <w:t> </w:t>
      </w:r>
      <w:r>
        <w:rPr/>
        <w:t>euros,</w:t>
      </w:r>
      <w:r>
        <w:rPr>
          <w:spacing w:val="-6"/>
        </w:rPr>
        <w:t> </w:t>
      </w:r>
      <w:r>
        <w:rPr/>
        <w:t>habiendo</w:t>
      </w:r>
      <w:r>
        <w:rPr>
          <w:spacing w:val="-8"/>
        </w:rPr>
        <w:t> </w:t>
      </w:r>
      <w:r>
        <w:rPr/>
        <w:t>recibido</w:t>
      </w:r>
      <w:r>
        <w:rPr>
          <w:spacing w:val="-5"/>
        </w:rPr>
        <w:t> </w:t>
      </w:r>
      <w:r>
        <w:rPr/>
        <w:t>subvenciones</w:t>
      </w:r>
      <w:r>
        <w:rPr>
          <w:spacing w:val="-5"/>
        </w:rPr>
        <w:t> </w:t>
      </w:r>
      <w:r>
        <w:rPr/>
        <w:t>del</w:t>
      </w:r>
      <w:r>
        <w:rPr>
          <w:spacing w:val="-8"/>
        </w:rPr>
        <w:t> </w:t>
      </w:r>
      <w:r>
        <w:rPr/>
        <w:t>PRTR para su financiación por 26.142.417,96 euros.</w:t>
      </w:r>
    </w:p>
    <w:p>
      <w:pPr>
        <w:spacing w:before="239"/>
        <w:ind w:left="1349" w:right="985" w:firstLine="0"/>
        <w:jc w:val="both"/>
        <w:rPr>
          <w:sz w:val="22"/>
        </w:rPr>
      </w:pPr>
      <w:r>
        <w:rPr>
          <w:sz w:val="22"/>
        </w:rPr>
        <w:t>Los </w:t>
      </w:r>
      <w:r>
        <w:rPr>
          <w:b/>
          <w:sz w:val="22"/>
        </w:rPr>
        <w:t>Ayuntamientos de Alicante</w:t>
      </w:r>
      <w:r>
        <w:rPr>
          <w:sz w:val="22"/>
        </w:rPr>
        <w:t>, </w:t>
      </w:r>
      <w:r>
        <w:rPr>
          <w:b/>
          <w:sz w:val="22"/>
        </w:rPr>
        <w:t>Bilbao</w:t>
      </w:r>
      <w:r>
        <w:rPr>
          <w:sz w:val="22"/>
        </w:rPr>
        <w:t>, </w:t>
      </w:r>
      <w:r>
        <w:rPr>
          <w:b/>
          <w:sz w:val="22"/>
        </w:rPr>
        <w:t>Las Palmas de Gran Canaria</w:t>
      </w:r>
      <w:r>
        <w:rPr>
          <w:sz w:val="22"/>
        </w:rPr>
        <w:t>, </w:t>
      </w:r>
      <w:r>
        <w:rPr>
          <w:b/>
          <w:sz w:val="22"/>
        </w:rPr>
        <w:t>Málaga</w:t>
      </w:r>
      <w:r>
        <w:rPr>
          <w:sz w:val="22"/>
        </w:rPr>
        <w:t>, </w:t>
      </w:r>
      <w:r>
        <w:rPr>
          <w:b/>
          <w:sz w:val="22"/>
        </w:rPr>
        <w:t>Palma</w:t>
      </w:r>
      <w:r>
        <w:rPr>
          <w:sz w:val="22"/>
        </w:rPr>
        <w:t>, </w:t>
      </w:r>
      <w:r>
        <w:rPr>
          <w:b/>
          <w:sz w:val="22"/>
        </w:rPr>
        <w:t>Sevilla </w:t>
      </w:r>
      <w:r>
        <w:rPr>
          <w:sz w:val="22"/>
        </w:rPr>
        <w:t>y </w:t>
      </w:r>
      <w:r>
        <w:rPr>
          <w:b/>
          <w:sz w:val="22"/>
        </w:rPr>
        <w:t>Zaragoza </w:t>
      </w:r>
      <w:r>
        <w:rPr>
          <w:sz w:val="22"/>
        </w:rPr>
        <w:t>acometieron actuaciones para la recarga de autobuses, por importe de 34.907.073,18 euros. Todos ellos, salvo los de </w:t>
      </w:r>
      <w:r>
        <w:rPr>
          <w:b/>
          <w:sz w:val="22"/>
        </w:rPr>
        <w:t>Las Palmas de Gran Canaria </w:t>
      </w:r>
      <w:r>
        <w:rPr>
          <w:sz w:val="22"/>
        </w:rPr>
        <w:t>y </w:t>
      </w:r>
      <w:r>
        <w:rPr>
          <w:b/>
          <w:sz w:val="22"/>
        </w:rPr>
        <w:t>Sevilla</w:t>
      </w:r>
      <w:r>
        <w:rPr>
          <w:sz w:val="22"/>
        </w:rPr>
        <w:t>, recibieron</w:t>
      </w:r>
      <w:r>
        <w:rPr>
          <w:spacing w:val="-7"/>
          <w:sz w:val="22"/>
        </w:rPr>
        <w:t> </w:t>
      </w:r>
      <w:r>
        <w:rPr>
          <w:sz w:val="22"/>
        </w:rPr>
        <w:t>ayudas</w:t>
      </w:r>
      <w:r>
        <w:rPr>
          <w:spacing w:val="-6"/>
          <w:sz w:val="22"/>
        </w:rPr>
        <w:t> </w:t>
      </w:r>
      <w:r>
        <w:rPr>
          <w:sz w:val="22"/>
        </w:rPr>
        <w:t>para</w:t>
      </w:r>
      <w:r>
        <w:rPr>
          <w:spacing w:val="-10"/>
          <w:sz w:val="22"/>
        </w:rPr>
        <w:t> </w:t>
      </w:r>
      <w:r>
        <w:rPr>
          <w:sz w:val="22"/>
        </w:rPr>
        <w:t>ejecutar</w:t>
      </w:r>
      <w:r>
        <w:rPr>
          <w:spacing w:val="-9"/>
          <w:sz w:val="22"/>
        </w:rPr>
        <w:t> </w:t>
      </w:r>
      <w:r>
        <w:rPr>
          <w:sz w:val="22"/>
        </w:rPr>
        <w:t>todas</w:t>
      </w:r>
      <w:r>
        <w:rPr>
          <w:spacing w:val="-7"/>
          <w:sz w:val="22"/>
        </w:rPr>
        <w:t> </w:t>
      </w:r>
      <w:r>
        <w:rPr>
          <w:sz w:val="22"/>
        </w:rPr>
        <w:t>o</w:t>
      </w:r>
      <w:r>
        <w:rPr>
          <w:spacing w:val="-10"/>
          <w:sz w:val="22"/>
        </w:rPr>
        <w:t> </w:t>
      </w:r>
      <w:r>
        <w:rPr>
          <w:sz w:val="22"/>
        </w:rPr>
        <w:t>algunas</w:t>
      </w:r>
      <w:r>
        <w:rPr>
          <w:spacing w:val="-9"/>
          <w:sz w:val="22"/>
        </w:rPr>
        <w:t> </w:t>
      </w:r>
      <w:r>
        <w:rPr>
          <w:sz w:val="22"/>
        </w:rPr>
        <w:t>de</w:t>
      </w:r>
      <w:r>
        <w:rPr>
          <w:spacing w:val="-7"/>
          <w:sz w:val="22"/>
        </w:rPr>
        <w:t> </w:t>
      </w:r>
      <w:r>
        <w:rPr>
          <w:sz w:val="22"/>
        </w:rPr>
        <w:t>estas</w:t>
      </w:r>
      <w:r>
        <w:rPr>
          <w:spacing w:val="-7"/>
          <w:sz w:val="22"/>
        </w:rPr>
        <w:t> </w:t>
      </w:r>
      <w:r>
        <w:rPr>
          <w:sz w:val="22"/>
        </w:rPr>
        <w:t>actuaciones</w:t>
      </w:r>
      <w:r>
        <w:rPr>
          <w:spacing w:val="-8"/>
          <w:sz w:val="22"/>
        </w:rPr>
        <w:t> </w:t>
      </w:r>
      <w:r>
        <w:rPr>
          <w:sz w:val="22"/>
        </w:rPr>
        <w:t>por</w:t>
      </w:r>
      <w:r>
        <w:rPr>
          <w:spacing w:val="-11"/>
          <w:sz w:val="22"/>
        </w:rPr>
        <w:t> </w:t>
      </w:r>
      <w:r>
        <w:rPr>
          <w:sz w:val="22"/>
        </w:rPr>
        <w:t>18.100.938,35</w:t>
      </w:r>
      <w:r>
        <w:rPr>
          <w:spacing w:val="-7"/>
          <w:sz w:val="22"/>
        </w:rPr>
        <w:t> </w:t>
      </w:r>
      <w:r>
        <w:rPr>
          <w:sz w:val="22"/>
        </w:rPr>
        <w:t>euros, de las que el 99,79 % proceden del PRTR. (Subepígrafe II.3.2.1)</w:t>
      </w:r>
    </w:p>
    <w:p>
      <w:pPr>
        <w:pStyle w:val="ListParagraph"/>
        <w:numPr>
          <w:ilvl w:val="0"/>
          <w:numId w:val="9"/>
        </w:numPr>
        <w:tabs>
          <w:tab w:pos="1347" w:val="left" w:leader="none"/>
          <w:tab w:pos="1349" w:val="left" w:leader="none"/>
        </w:tabs>
        <w:spacing w:line="240" w:lineRule="auto" w:before="240" w:after="0"/>
        <w:ind w:left="1349" w:right="987" w:hanging="358"/>
        <w:jc w:val="both"/>
        <w:rPr>
          <w:sz w:val="22"/>
        </w:rPr>
      </w:pPr>
      <w:r>
        <w:rPr>
          <w:sz w:val="22"/>
        </w:rPr>
        <w:t>En la adquisición de autobuses se han detectado incidencias, tales como demoras en las entregas</w:t>
      </w:r>
      <w:r>
        <w:rPr>
          <w:spacing w:val="-11"/>
          <w:sz w:val="22"/>
        </w:rPr>
        <w:t> </w:t>
      </w:r>
      <w:r>
        <w:rPr>
          <w:sz w:val="22"/>
        </w:rPr>
        <w:t>de</w:t>
      </w:r>
      <w:r>
        <w:rPr>
          <w:spacing w:val="-9"/>
          <w:sz w:val="22"/>
        </w:rPr>
        <w:t> </w:t>
      </w:r>
      <w:r>
        <w:rPr>
          <w:sz w:val="22"/>
        </w:rPr>
        <w:t>los</w:t>
      </w:r>
      <w:r>
        <w:rPr>
          <w:spacing w:val="-11"/>
          <w:sz w:val="22"/>
        </w:rPr>
        <w:t> </w:t>
      </w:r>
      <w:r>
        <w:rPr>
          <w:sz w:val="22"/>
        </w:rPr>
        <w:t>vehículos</w:t>
      </w:r>
      <w:r>
        <w:rPr>
          <w:spacing w:val="-7"/>
          <w:sz w:val="22"/>
        </w:rPr>
        <w:t> </w:t>
      </w:r>
      <w:r>
        <w:rPr>
          <w:rFonts w:ascii="Symbol" w:hAnsi="Symbol"/>
          <w:sz w:val="22"/>
        </w:rPr>
        <w:t></w:t>
      </w:r>
      <w:r>
        <w:rPr>
          <w:b/>
          <w:sz w:val="22"/>
        </w:rPr>
        <w:t>Ayuntamientos</w:t>
      </w:r>
      <w:r>
        <w:rPr>
          <w:b/>
          <w:spacing w:val="-12"/>
          <w:sz w:val="22"/>
        </w:rPr>
        <w:t> </w:t>
      </w:r>
      <w:r>
        <w:rPr>
          <w:b/>
          <w:sz w:val="22"/>
        </w:rPr>
        <w:t>de</w:t>
      </w:r>
      <w:r>
        <w:rPr>
          <w:b/>
          <w:spacing w:val="-12"/>
          <w:sz w:val="22"/>
        </w:rPr>
        <w:t> </w:t>
      </w:r>
      <w:r>
        <w:rPr>
          <w:b/>
          <w:sz w:val="22"/>
        </w:rPr>
        <w:t>Alicante</w:t>
      </w:r>
      <w:r>
        <w:rPr>
          <w:sz w:val="22"/>
        </w:rPr>
        <w:t>,</w:t>
      </w:r>
      <w:r>
        <w:rPr>
          <w:spacing w:val="-10"/>
          <w:sz w:val="22"/>
        </w:rPr>
        <w:t> </w:t>
      </w:r>
      <w:r>
        <w:rPr>
          <w:b/>
          <w:sz w:val="22"/>
        </w:rPr>
        <w:t>Las</w:t>
      </w:r>
      <w:r>
        <w:rPr>
          <w:b/>
          <w:spacing w:val="-9"/>
          <w:sz w:val="22"/>
        </w:rPr>
        <w:t> </w:t>
      </w:r>
      <w:r>
        <w:rPr>
          <w:b/>
          <w:sz w:val="22"/>
        </w:rPr>
        <w:t>Palmas</w:t>
      </w:r>
      <w:r>
        <w:rPr>
          <w:b/>
          <w:spacing w:val="-9"/>
          <w:sz w:val="22"/>
        </w:rPr>
        <w:t> </w:t>
      </w:r>
      <w:r>
        <w:rPr>
          <w:b/>
          <w:sz w:val="22"/>
        </w:rPr>
        <w:t>de</w:t>
      </w:r>
      <w:r>
        <w:rPr>
          <w:b/>
          <w:spacing w:val="-14"/>
          <w:sz w:val="22"/>
        </w:rPr>
        <w:t> </w:t>
      </w:r>
      <w:r>
        <w:rPr>
          <w:b/>
          <w:sz w:val="22"/>
        </w:rPr>
        <w:t>Gran</w:t>
      </w:r>
      <w:r>
        <w:rPr>
          <w:b/>
          <w:spacing w:val="-9"/>
          <w:sz w:val="22"/>
        </w:rPr>
        <w:t> </w:t>
      </w:r>
      <w:r>
        <w:rPr>
          <w:b/>
          <w:sz w:val="22"/>
        </w:rPr>
        <w:t>Canaria</w:t>
      </w:r>
      <w:r>
        <w:rPr>
          <w:sz w:val="22"/>
        </w:rPr>
        <w:t>,</w:t>
      </w:r>
      <w:r>
        <w:rPr>
          <w:spacing w:val="-7"/>
          <w:sz w:val="22"/>
        </w:rPr>
        <w:t> </w:t>
      </w:r>
      <w:r>
        <w:rPr>
          <w:b/>
          <w:sz w:val="22"/>
        </w:rPr>
        <w:t>Palma </w:t>
      </w:r>
      <w:r>
        <w:rPr>
          <w:sz w:val="22"/>
        </w:rPr>
        <w:t>y </w:t>
      </w:r>
      <w:r>
        <w:rPr>
          <w:b/>
          <w:sz w:val="22"/>
        </w:rPr>
        <w:t>Zaragoza</w:t>
      </w:r>
      <w:r>
        <w:rPr>
          <w:rFonts w:ascii="Symbol" w:hAnsi="Symbol"/>
          <w:b/>
          <w:sz w:val="22"/>
        </w:rPr>
        <w:t></w:t>
      </w:r>
      <w:r>
        <w:rPr>
          <w:sz w:val="22"/>
        </w:rPr>
        <w:t>, problemas de sobrecalentamiento del sistema híbrido </w:t>
      </w:r>
      <w:r>
        <w:rPr>
          <w:rFonts w:ascii="Symbol" w:hAnsi="Symbol"/>
          <w:sz w:val="22"/>
        </w:rPr>
        <w:t></w:t>
      </w:r>
      <w:r>
        <w:rPr>
          <w:b/>
          <w:sz w:val="22"/>
        </w:rPr>
        <w:t>Ayuntamiento de Córdoba</w:t>
      </w:r>
      <w:r>
        <w:rPr>
          <w:rFonts w:ascii="Symbol" w:hAnsi="Symbol"/>
          <w:sz w:val="22"/>
        </w:rPr>
        <w:t></w:t>
      </w:r>
      <w:r>
        <w:rPr>
          <w:sz w:val="22"/>
        </w:rPr>
        <w:t>,</w:t>
      </w:r>
      <w:r>
        <w:rPr>
          <w:spacing w:val="72"/>
          <w:w w:val="150"/>
          <w:sz w:val="22"/>
        </w:rPr>
        <w:t> </w:t>
      </w:r>
      <w:r>
        <w:rPr>
          <w:sz w:val="22"/>
        </w:rPr>
        <w:t>deficiencias</w:t>
      </w:r>
      <w:r>
        <w:rPr>
          <w:spacing w:val="70"/>
          <w:w w:val="150"/>
          <w:sz w:val="22"/>
        </w:rPr>
        <w:t> </w:t>
      </w:r>
      <w:r>
        <w:rPr>
          <w:sz w:val="22"/>
        </w:rPr>
        <w:t>en</w:t>
      </w:r>
      <w:r>
        <w:rPr>
          <w:spacing w:val="72"/>
          <w:w w:val="150"/>
          <w:sz w:val="22"/>
        </w:rPr>
        <w:t> </w:t>
      </w:r>
      <w:r>
        <w:rPr>
          <w:sz w:val="22"/>
        </w:rPr>
        <w:t>la</w:t>
      </w:r>
      <w:r>
        <w:rPr>
          <w:spacing w:val="72"/>
          <w:w w:val="150"/>
          <w:sz w:val="22"/>
        </w:rPr>
        <w:t> </w:t>
      </w:r>
      <w:r>
        <w:rPr>
          <w:sz w:val="22"/>
        </w:rPr>
        <w:t>planificación</w:t>
      </w:r>
      <w:r>
        <w:rPr>
          <w:spacing w:val="72"/>
          <w:w w:val="150"/>
          <w:sz w:val="22"/>
        </w:rPr>
        <w:t> </w:t>
      </w:r>
      <w:r>
        <w:rPr>
          <w:sz w:val="22"/>
        </w:rPr>
        <w:t>sobre</w:t>
      </w:r>
      <w:r>
        <w:rPr>
          <w:spacing w:val="72"/>
          <w:w w:val="150"/>
          <w:sz w:val="22"/>
        </w:rPr>
        <w:t> </w:t>
      </w:r>
      <w:r>
        <w:rPr>
          <w:sz w:val="22"/>
        </w:rPr>
        <w:t>el</w:t>
      </w:r>
      <w:r>
        <w:rPr>
          <w:spacing w:val="72"/>
          <w:w w:val="150"/>
          <w:sz w:val="22"/>
        </w:rPr>
        <w:t> </w:t>
      </w:r>
      <w:r>
        <w:rPr>
          <w:sz w:val="22"/>
        </w:rPr>
        <w:t>número</w:t>
      </w:r>
      <w:r>
        <w:rPr>
          <w:spacing w:val="71"/>
          <w:w w:val="150"/>
          <w:sz w:val="22"/>
        </w:rPr>
        <w:t> </w:t>
      </w:r>
      <w:r>
        <w:rPr>
          <w:sz w:val="22"/>
        </w:rPr>
        <w:t>de</w:t>
      </w:r>
      <w:r>
        <w:rPr>
          <w:spacing w:val="72"/>
          <w:w w:val="150"/>
          <w:sz w:val="22"/>
        </w:rPr>
        <w:t> </w:t>
      </w:r>
      <w:r>
        <w:rPr>
          <w:sz w:val="22"/>
        </w:rPr>
        <w:t>autobuses</w:t>
      </w:r>
      <w:r>
        <w:rPr>
          <w:spacing w:val="73"/>
          <w:w w:val="150"/>
          <w:sz w:val="22"/>
        </w:rPr>
        <w:t> </w:t>
      </w:r>
      <w:r>
        <w:rPr>
          <w:sz w:val="22"/>
        </w:rPr>
        <w:t>a</w:t>
      </w:r>
      <w:r>
        <w:rPr>
          <w:spacing w:val="70"/>
          <w:w w:val="150"/>
          <w:sz w:val="22"/>
        </w:rPr>
        <w:t> </w:t>
      </w:r>
      <w:r>
        <w:rPr>
          <w:sz w:val="22"/>
        </w:rPr>
        <w:t>adquirir</w:t>
      </w:r>
    </w:p>
    <w:p>
      <w:pPr>
        <w:spacing w:before="2"/>
        <w:ind w:left="1349" w:right="987" w:firstLine="0"/>
        <w:jc w:val="both"/>
        <w:rPr>
          <w:sz w:val="22"/>
        </w:rPr>
      </w:pPr>
      <w:r>
        <w:rPr>
          <w:rFonts w:ascii="Symbol" w:hAnsi="Symbol"/>
          <w:sz w:val="22"/>
        </w:rPr>
        <w:t></w:t>
      </w:r>
      <w:r>
        <w:rPr>
          <w:b/>
          <w:sz w:val="22"/>
        </w:rPr>
        <w:t>Ayuntamiento de Málaga</w:t>
      </w:r>
      <w:r>
        <w:rPr>
          <w:rFonts w:ascii="Symbol" w:hAnsi="Symbol"/>
          <w:sz w:val="22"/>
        </w:rPr>
        <w:t></w:t>
      </w:r>
      <w:r>
        <w:rPr>
          <w:rFonts w:ascii="Times New Roman" w:hAnsi="Times New Roman"/>
          <w:sz w:val="22"/>
        </w:rPr>
        <w:t> </w:t>
      </w:r>
      <w:r>
        <w:rPr>
          <w:sz w:val="22"/>
        </w:rPr>
        <w:t>e imposición de penalidades al contratista </w:t>
      </w:r>
      <w:r>
        <w:rPr>
          <w:rFonts w:ascii="Symbol" w:hAnsi="Symbol"/>
          <w:sz w:val="22"/>
        </w:rPr>
        <w:t></w:t>
      </w:r>
      <w:r>
        <w:rPr>
          <w:b/>
          <w:sz w:val="22"/>
        </w:rPr>
        <w:t>Ayuntamiento de </w:t>
      </w:r>
      <w:r>
        <w:rPr>
          <w:b/>
          <w:spacing w:val="-2"/>
          <w:sz w:val="22"/>
        </w:rPr>
        <w:t>Sevilla</w:t>
      </w:r>
      <w:r>
        <w:rPr>
          <w:rFonts w:ascii="Symbol" w:hAnsi="Symbol"/>
          <w:spacing w:val="-2"/>
          <w:sz w:val="22"/>
        </w:rPr>
        <w:t></w:t>
      </w:r>
      <w:r>
        <w:rPr>
          <w:spacing w:val="-2"/>
          <w:sz w:val="22"/>
        </w:rPr>
        <w:t>.</w:t>
      </w:r>
    </w:p>
    <w:p>
      <w:pPr>
        <w:pStyle w:val="BodyText"/>
        <w:spacing w:before="239"/>
        <w:ind w:left="1349" w:right="987"/>
        <w:jc w:val="both"/>
      </w:pPr>
      <w:r>
        <w:rPr/>
        <w:t>En la medida en que algunas de estas compras estaban cofinanciadas con subvenciones procedentes del Programa de ayudas a municipios para la implantación de zonas de bajas emisiones</w:t>
      </w:r>
      <w:r>
        <w:rPr>
          <w:spacing w:val="-2"/>
        </w:rPr>
        <w:t> </w:t>
      </w:r>
      <w:r>
        <w:rPr/>
        <w:t>y</w:t>
      </w:r>
      <w:r>
        <w:rPr>
          <w:spacing w:val="-1"/>
        </w:rPr>
        <w:t> </w:t>
      </w:r>
      <w:r>
        <w:rPr/>
        <w:t>la</w:t>
      </w:r>
      <w:r>
        <w:rPr>
          <w:spacing w:val="-2"/>
        </w:rPr>
        <w:t> </w:t>
      </w:r>
      <w:r>
        <w:rPr/>
        <w:t>transformación</w:t>
      </w:r>
      <w:r>
        <w:rPr>
          <w:spacing w:val="-2"/>
        </w:rPr>
        <w:t> </w:t>
      </w:r>
      <w:r>
        <w:rPr/>
        <w:t>digital</w:t>
      </w:r>
      <w:r>
        <w:rPr>
          <w:spacing w:val="-3"/>
        </w:rPr>
        <w:t> </w:t>
      </w:r>
      <w:r>
        <w:rPr/>
        <w:t>y</w:t>
      </w:r>
      <w:r>
        <w:rPr>
          <w:spacing w:val="-1"/>
        </w:rPr>
        <w:t> </w:t>
      </w:r>
      <w:r>
        <w:rPr/>
        <w:t>sostenible</w:t>
      </w:r>
      <w:r>
        <w:rPr>
          <w:spacing w:val="-2"/>
        </w:rPr>
        <w:t> </w:t>
      </w:r>
      <w:r>
        <w:rPr/>
        <w:t>del</w:t>
      </w:r>
      <w:r>
        <w:rPr>
          <w:spacing w:val="-2"/>
        </w:rPr>
        <w:t> </w:t>
      </w:r>
      <w:r>
        <w:rPr/>
        <w:t>transporte</w:t>
      </w:r>
      <w:r>
        <w:rPr>
          <w:spacing w:val="-2"/>
        </w:rPr>
        <w:t> </w:t>
      </w:r>
      <w:r>
        <w:rPr/>
        <w:t>urbano,</w:t>
      </w:r>
      <w:r>
        <w:rPr>
          <w:spacing w:val="-3"/>
        </w:rPr>
        <w:t> </w:t>
      </w:r>
      <w:r>
        <w:rPr/>
        <w:t>en</w:t>
      </w:r>
      <w:r>
        <w:rPr>
          <w:spacing w:val="-2"/>
        </w:rPr>
        <w:t> </w:t>
      </w:r>
      <w:r>
        <w:rPr/>
        <w:t>el</w:t>
      </w:r>
      <w:r>
        <w:rPr>
          <w:spacing w:val="-2"/>
        </w:rPr>
        <w:t> </w:t>
      </w:r>
      <w:r>
        <w:rPr/>
        <w:t>marco</w:t>
      </w:r>
      <w:r>
        <w:rPr>
          <w:spacing w:val="-1"/>
        </w:rPr>
        <w:t> </w:t>
      </w:r>
      <w:r>
        <w:rPr/>
        <w:t>del</w:t>
      </w:r>
      <w:r>
        <w:rPr>
          <w:spacing w:val="-3"/>
        </w:rPr>
        <w:t> </w:t>
      </w:r>
      <w:r>
        <w:rPr/>
        <w:t>PRTR, las demoras en las entregas en unos casos, y el incremento del número de autobuses comprados en otro, han motivado que las entidades hayan tenido que solicitar al Ministerio concedente ampliaciones de plazo y modificaciones del alcance de las actuaciones subvencionadas.</w:t>
      </w:r>
      <w:r>
        <w:rPr>
          <w:spacing w:val="-3"/>
        </w:rPr>
        <w:t> </w:t>
      </w:r>
      <w:r>
        <w:rPr/>
        <w:t>En</w:t>
      </w:r>
      <w:r>
        <w:rPr>
          <w:spacing w:val="-4"/>
        </w:rPr>
        <w:t> </w:t>
      </w:r>
      <w:r>
        <w:rPr/>
        <w:t>el</w:t>
      </w:r>
      <w:r>
        <w:rPr>
          <w:spacing w:val="-3"/>
        </w:rPr>
        <w:t> </w:t>
      </w:r>
      <w:r>
        <w:rPr/>
        <w:t>caso</w:t>
      </w:r>
      <w:r>
        <w:rPr>
          <w:spacing w:val="-3"/>
        </w:rPr>
        <w:t> </w:t>
      </w:r>
      <w:r>
        <w:rPr/>
        <w:t>del</w:t>
      </w:r>
      <w:r>
        <w:rPr>
          <w:spacing w:val="-7"/>
        </w:rPr>
        <w:t> </w:t>
      </w:r>
      <w:r>
        <w:rPr>
          <w:b/>
        </w:rPr>
        <w:t>Ayuntamiento</w:t>
      </w:r>
      <w:r>
        <w:rPr>
          <w:b/>
          <w:spacing w:val="-3"/>
        </w:rPr>
        <w:t> </w:t>
      </w:r>
      <w:r>
        <w:rPr>
          <w:b/>
        </w:rPr>
        <w:t>de</w:t>
      </w:r>
      <w:r>
        <w:rPr>
          <w:b/>
          <w:spacing w:val="-3"/>
        </w:rPr>
        <w:t> </w:t>
      </w:r>
      <w:r>
        <w:rPr>
          <w:b/>
        </w:rPr>
        <w:t>Palma</w:t>
      </w:r>
      <w:r>
        <w:rPr/>
        <w:t>,</w:t>
      </w:r>
      <w:r>
        <w:rPr>
          <w:spacing w:val="-3"/>
        </w:rPr>
        <w:t> </w:t>
      </w:r>
      <w:r>
        <w:rPr/>
        <w:t>una</w:t>
      </w:r>
      <w:r>
        <w:rPr>
          <w:spacing w:val="-4"/>
        </w:rPr>
        <w:t> </w:t>
      </w:r>
      <w:r>
        <w:rPr/>
        <w:t>de</w:t>
      </w:r>
      <w:r>
        <w:rPr>
          <w:spacing w:val="-4"/>
        </w:rPr>
        <w:t> </w:t>
      </w:r>
      <w:r>
        <w:rPr/>
        <w:t>las</w:t>
      </w:r>
      <w:r>
        <w:rPr>
          <w:spacing w:val="-4"/>
        </w:rPr>
        <w:t> </w:t>
      </w:r>
      <w:r>
        <w:rPr/>
        <w:t>solicitudes</w:t>
      </w:r>
      <w:r>
        <w:rPr>
          <w:spacing w:val="-3"/>
        </w:rPr>
        <w:t> </w:t>
      </w:r>
      <w:r>
        <w:rPr/>
        <w:t>de</w:t>
      </w:r>
      <w:r>
        <w:rPr>
          <w:spacing w:val="-3"/>
        </w:rPr>
        <w:t> </w:t>
      </w:r>
      <w:r>
        <w:rPr/>
        <w:t>ampliación de plazo fue inadmitida por extemporánea.</w:t>
      </w:r>
    </w:p>
    <w:p>
      <w:pPr>
        <w:pStyle w:val="BodyText"/>
        <w:spacing w:after="0"/>
        <w:jc w:val="both"/>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spacing w:before="0"/>
        <w:ind w:left="1349" w:right="986" w:firstLine="0"/>
        <w:jc w:val="both"/>
        <w:rPr>
          <w:b/>
          <w:sz w:val="22"/>
        </w:rPr>
      </w:pPr>
      <w:r>
        <w:rPr>
          <w:sz w:val="22"/>
        </w:rPr>
        <w:t>También</w:t>
      </w:r>
      <w:r>
        <w:rPr>
          <w:spacing w:val="-2"/>
          <w:sz w:val="22"/>
        </w:rPr>
        <w:t> </w:t>
      </w:r>
      <w:r>
        <w:rPr>
          <w:sz w:val="22"/>
        </w:rPr>
        <w:t>se</w:t>
      </w:r>
      <w:r>
        <w:rPr>
          <w:spacing w:val="-4"/>
          <w:sz w:val="22"/>
        </w:rPr>
        <w:t> </w:t>
      </w:r>
      <w:r>
        <w:rPr>
          <w:sz w:val="22"/>
        </w:rPr>
        <w:t>han</w:t>
      </w:r>
      <w:r>
        <w:rPr>
          <w:spacing w:val="-4"/>
          <w:sz w:val="22"/>
        </w:rPr>
        <w:t> </w:t>
      </w:r>
      <w:r>
        <w:rPr>
          <w:sz w:val="22"/>
        </w:rPr>
        <w:t>producido</w:t>
      </w:r>
      <w:r>
        <w:rPr>
          <w:spacing w:val="-2"/>
          <w:sz w:val="22"/>
        </w:rPr>
        <w:t> </w:t>
      </w:r>
      <w:r>
        <w:rPr>
          <w:sz w:val="22"/>
        </w:rPr>
        <w:t>demoras</w:t>
      </w:r>
      <w:r>
        <w:rPr>
          <w:spacing w:val="-4"/>
          <w:sz w:val="22"/>
        </w:rPr>
        <w:t> </w:t>
      </w:r>
      <w:r>
        <w:rPr>
          <w:sz w:val="22"/>
        </w:rPr>
        <w:t>y/o</w:t>
      </w:r>
      <w:r>
        <w:rPr>
          <w:spacing w:val="-4"/>
          <w:sz w:val="22"/>
        </w:rPr>
        <w:t> </w:t>
      </w:r>
      <w:r>
        <w:rPr>
          <w:sz w:val="22"/>
        </w:rPr>
        <w:t>ampliaciones</w:t>
      </w:r>
      <w:r>
        <w:rPr>
          <w:spacing w:val="-2"/>
          <w:sz w:val="22"/>
        </w:rPr>
        <w:t> </w:t>
      </w:r>
      <w:r>
        <w:rPr>
          <w:sz w:val="22"/>
        </w:rPr>
        <w:t>de</w:t>
      </w:r>
      <w:r>
        <w:rPr>
          <w:spacing w:val="-4"/>
          <w:sz w:val="22"/>
        </w:rPr>
        <w:t> </w:t>
      </w:r>
      <w:r>
        <w:rPr>
          <w:sz w:val="22"/>
        </w:rPr>
        <w:t>plazo</w:t>
      </w:r>
      <w:r>
        <w:rPr>
          <w:spacing w:val="-4"/>
          <w:sz w:val="22"/>
        </w:rPr>
        <w:t> </w:t>
      </w:r>
      <w:r>
        <w:rPr>
          <w:sz w:val="22"/>
        </w:rPr>
        <w:t>de</w:t>
      </w:r>
      <w:r>
        <w:rPr>
          <w:spacing w:val="-4"/>
          <w:sz w:val="22"/>
        </w:rPr>
        <w:t> </w:t>
      </w:r>
      <w:r>
        <w:rPr>
          <w:sz w:val="22"/>
        </w:rPr>
        <w:t>ejecución</w:t>
      </w:r>
      <w:r>
        <w:rPr>
          <w:spacing w:val="-2"/>
          <w:sz w:val="22"/>
        </w:rPr>
        <w:t> </w:t>
      </w:r>
      <w:r>
        <w:rPr>
          <w:sz w:val="22"/>
        </w:rPr>
        <w:t>de</w:t>
      </w:r>
      <w:r>
        <w:rPr>
          <w:spacing w:val="-4"/>
          <w:sz w:val="22"/>
        </w:rPr>
        <w:t> </w:t>
      </w:r>
      <w:r>
        <w:rPr>
          <w:sz w:val="22"/>
        </w:rPr>
        <w:t>las</w:t>
      </w:r>
      <w:r>
        <w:rPr>
          <w:spacing w:val="-4"/>
          <w:sz w:val="22"/>
        </w:rPr>
        <w:t> </w:t>
      </w:r>
      <w:r>
        <w:rPr>
          <w:sz w:val="22"/>
        </w:rPr>
        <w:t>actuaciones de recarga de vehículos de los </w:t>
      </w:r>
      <w:r>
        <w:rPr>
          <w:b/>
          <w:sz w:val="22"/>
        </w:rPr>
        <w:t>Ayuntamientos de Alicante, Las Palmas de Gran Canaria</w:t>
      </w:r>
      <w:r>
        <w:rPr>
          <w:sz w:val="22"/>
        </w:rPr>
        <w:t>, </w:t>
      </w:r>
      <w:r>
        <w:rPr>
          <w:b/>
          <w:sz w:val="22"/>
        </w:rPr>
        <w:t>Palma </w:t>
      </w:r>
      <w:r>
        <w:rPr>
          <w:sz w:val="22"/>
        </w:rPr>
        <w:t>y </w:t>
      </w:r>
      <w:r>
        <w:rPr>
          <w:b/>
          <w:sz w:val="22"/>
        </w:rPr>
        <w:t>Zaragoza.</w:t>
      </w:r>
    </w:p>
    <w:p>
      <w:pPr>
        <w:pStyle w:val="BodyText"/>
        <w:spacing w:before="242"/>
        <w:ind w:left="1349" w:right="988"/>
        <w:jc w:val="both"/>
      </w:pPr>
      <w:r>
        <w:rPr/>
        <w:t>Asimismo,</w:t>
      </w:r>
      <w:r>
        <w:rPr>
          <w:spacing w:val="-5"/>
        </w:rPr>
        <w:t> </w:t>
      </w:r>
      <w:r>
        <w:rPr/>
        <w:t>ha</w:t>
      </w:r>
      <w:r>
        <w:rPr>
          <w:spacing w:val="-7"/>
        </w:rPr>
        <w:t> </w:t>
      </w:r>
      <w:r>
        <w:rPr/>
        <w:t>sido</w:t>
      </w:r>
      <w:r>
        <w:rPr>
          <w:spacing w:val="-4"/>
        </w:rPr>
        <w:t> </w:t>
      </w:r>
      <w:r>
        <w:rPr/>
        <w:t>preciso</w:t>
      </w:r>
      <w:r>
        <w:rPr>
          <w:spacing w:val="-4"/>
        </w:rPr>
        <w:t> </w:t>
      </w:r>
      <w:r>
        <w:rPr/>
        <w:t>ampliar</w:t>
      </w:r>
      <w:r>
        <w:rPr>
          <w:spacing w:val="-6"/>
        </w:rPr>
        <w:t> </w:t>
      </w:r>
      <w:r>
        <w:rPr/>
        <w:t>los</w:t>
      </w:r>
      <w:r>
        <w:rPr>
          <w:spacing w:val="-4"/>
        </w:rPr>
        <w:t> </w:t>
      </w:r>
      <w:r>
        <w:rPr/>
        <w:t>plazos</w:t>
      </w:r>
      <w:r>
        <w:rPr>
          <w:spacing w:val="-6"/>
        </w:rPr>
        <w:t> </w:t>
      </w:r>
      <w:r>
        <w:rPr/>
        <w:t>de</w:t>
      </w:r>
      <w:r>
        <w:rPr>
          <w:spacing w:val="-7"/>
        </w:rPr>
        <w:t> </w:t>
      </w:r>
      <w:r>
        <w:rPr/>
        <w:t>entrega</w:t>
      </w:r>
      <w:r>
        <w:rPr>
          <w:spacing w:val="-6"/>
        </w:rPr>
        <w:t> </w:t>
      </w:r>
      <w:r>
        <w:rPr/>
        <w:t>de</w:t>
      </w:r>
      <w:r>
        <w:rPr>
          <w:spacing w:val="-7"/>
        </w:rPr>
        <w:t> </w:t>
      </w:r>
      <w:r>
        <w:rPr/>
        <w:t>dos</w:t>
      </w:r>
      <w:r>
        <w:rPr>
          <w:spacing w:val="-2"/>
        </w:rPr>
        <w:t> </w:t>
      </w:r>
      <w:r>
        <w:rPr/>
        <w:t>unidades</w:t>
      </w:r>
      <w:r>
        <w:rPr>
          <w:spacing w:val="-8"/>
        </w:rPr>
        <w:t> </w:t>
      </w:r>
      <w:r>
        <w:rPr/>
        <w:t>tranviarias</w:t>
      </w:r>
      <w:r>
        <w:rPr>
          <w:spacing w:val="-4"/>
        </w:rPr>
        <w:t> </w:t>
      </w:r>
      <w:r>
        <w:rPr/>
        <w:t>adquiridas por la empresa municipal del </w:t>
      </w:r>
      <w:r>
        <w:rPr>
          <w:b/>
        </w:rPr>
        <w:t>Ayuntamiento de Sevilla</w:t>
      </w:r>
      <w:r>
        <w:rPr/>
        <w:t>. (Subepígrafe II.3.2.1)</w:t>
      </w:r>
    </w:p>
    <w:p>
      <w:pPr>
        <w:pStyle w:val="BodyText"/>
        <w:spacing w:before="7"/>
        <w:rPr>
          <w:sz w:val="18"/>
        </w:rPr>
      </w:pPr>
      <w:r>
        <w:rPr>
          <w:sz w:val="18"/>
        </w:rPr>
        <mc:AlternateContent>
          <mc:Choice Requires="wps">
            <w:drawing>
              <wp:anchor distT="0" distB="0" distL="0" distR="0" allowOverlap="1" layoutInCell="1" locked="0" behindDoc="1" simplePos="0" relativeHeight="487626240">
                <wp:simplePos x="0" y="0"/>
                <wp:positionH relativeFrom="page">
                  <wp:posOffset>928420</wp:posOffset>
                </wp:positionH>
                <wp:positionV relativeFrom="paragraph">
                  <wp:posOffset>151252</wp:posOffset>
                </wp:positionV>
                <wp:extent cx="5931535" cy="1708785"/>
                <wp:effectExtent l="0" t="0" r="0" b="0"/>
                <wp:wrapTopAndBottom/>
                <wp:docPr id="232" name="Textbox 232"/>
                <wp:cNvGraphicFramePr>
                  <a:graphicFrameLocks/>
                </wp:cNvGraphicFramePr>
                <a:graphic>
                  <a:graphicData uri="http://schemas.microsoft.com/office/word/2010/wordprocessingShape">
                    <wps:wsp>
                      <wps:cNvPr id="232" name="Textbox 232"/>
                      <wps:cNvSpPr txBox="1"/>
                      <wps:spPr>
                        <a:xfrm>
                          <a:off x="0" y="0"/>
                          <a:ext cx="5931535" cy="1708785"/>
                        </a:xfrm>
                        <a:prstGeom prst="rect">
                          <a:avLst/>
                        </a:prstGeom>
                        <a:solidFill>
                          <a:srgbClr val="DBE4F0"/>
                        </a:solidFill>
                      </wps:spPr>
                      <wps:txbx>
                        <w:txbxContent>
                          <w:p>
                            <w:pPr>
                              <w:pStyle w:val="BodyText"/>
                              <w:spacing w:before="23"/>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4:</w:t>
                            </w:r>
                          </w:p>
                          <w:p>
                            <w:pPr>
                              <w:pStyle w:val="BodyText"/>
                              <w:spacing w:before="138"/>
                              <w:ind w:left="28" w:right="22"/>
                              <w:jc w:val="both"/>
                              <w:rPr>
                                <w:color w:val="000000"/>
                              </w:rPr>
                            </w:pPr>
                            <w:r>
                              <w:rPr>
                                <w:color w:val="000000"/>
                              </w:rPr>
                              <w:t>Los </w:t>
                            </w:r>
                            <w:r>
                              <w:rPr>
                                <w:b/>
                                <w:color w:val="000000"/>
                              </w:rPr>
                              <w:t>Ayuntamientos de Alicante</w:t>
                            </w:r>
                            <w:r>
                              <w:rPr>
                                <w:color w:val="000000"/>
                              </w:rPr>
                              <w:t>, </w:t>
                            </w:r>
                            <w:r>
                              <w:rPr>
                                <w:b/>
                                <w:color w:val="000000"/>
                              </w:rPr>
                              <w:t>Las Palmas de Gran Canaria</w:t>
                            </w:r>
                            <w:r>
                              <w:rPr>
                                <w:color w:val="000000"/>
                              </w:rPr>
                              <w:t>, </w:t>
                            </w:r>
                            <w:r>
                              <w:rPr>
                                <w:b/>
                                <w:color w:val="000000"/>
                              </w:rPr>
                              <w:t>Palma </w:t>
                            </w:r>
                            <w:r>
                              <w:rPr>
                                <w:color w:val="000000"/>
                              </w:rPr>
                              <w:t>y </w:t>
                            </w:r>
                            <w:r>
                              <w:rPr>
                                <w:b/>
                                <w:color w:val="000000"/>
                              </w:rPr>
                              <w:t>Zaragoza </w:t>
                            </w:r>
                            <w:r>
                              <w:rPr>
                                <w:color w:val="000000"/>
                              </w:rPr>
                              <w:t>deberían establecer salvaguardas en los contratos para garantizar que los plazos de entrega de los vehículos destinados al transporte público colectivo sean cumplidos por las empresas suministradoras. Igualmente, el </w:t>
                            </w:r>
                            <w:r>
                              <w:rPr>
                                <w:b/>
                                <w:color w:val="000000"/>
                              </w:rPr>
                              <w:t>Ayuntamiento de Málaga </w:t>
                            </w:r>
                            <w:r>
                              <w:rPr>
                                <w:color w:val="000000"/>
                              </w:rPr>
                              <w:t>debería fijar con mayor precisión el número de autobuses que tiene previsto comprar, máxime cuando la percepción de subvenciones</w:t>
                            </w:r>
                            <w:r>
                              <w:rPr>
                                <w:color w:val="000000"/>
                                <w:spacing w:val="-5"/>
                              </w:rPr>
                              <w:t> </w:t>
                            </w:r>
                            <w:r>
                              <w:rPr>
                                <w:color w:val="000000"/>
                              </w:rPr>
                              <w:t>para</w:t>
                            </w:r>
                            <w:r>
                              <w:rPr>
                                <w:color w:val="000000"/>
                                <w:spacing w:val="-7"/>
                              </w:rPr>
                              <w:t> </w:t>
                            </w:r>
                            <w:r>
                              <w:rPr>
                                <w:color w:val="000000"/>
                              </w:rPr>
                              <w:t>la</w:t>
                            </w:r>
                            <w:r>
                              <w:rPr>
                                <w:color w:val="000000"/>
                                <w:spacing w:val="-7"/>
                              </w:rPr>
                              <w:t> </w:t>
                            </w:r>
                            <w:r>
                              <w:rPr>
                                <w:color w:val="000000"/>
                              </w:rPr>
                              <w:t>financiación</w:t>
                            </w:r>
                            <w:r>
                              <w:rPr>
                                <w:color w:val="000000"/>
                                <w:spacing w:val="-5"/>
                              </w:rPr>
                              <w:t> </w:t>
                            </w:r>
                            <w:r>
                              <w:rPr>
                                <w:color w:val="000000"/>
                              </w:rPr>
                              <w:t>de</w:t>
                            </w:r>
                            <w:r>
                              <w:rPr>
                                <w:color w:val="000000"/>
                                <w:spacing w:val="-5"/>
                              </w:rPr>
                              <w:t> </w:t>
                            </w:r>
                            <w:r>
                              <w:rPr>
                                <w:color w:val="000000"/>
                              </w:rPr>
                              <w:t>las</w:t>
                            </w:r>
                            <w:r>
                              <w:rPr>
                                <w:color w:val="000000"/>
                                <w:spacing w:val="-7"/>
                              </w:rPr>
                              <w:t> </w:t>
                            </w:r>
                            <w:r>
                              <w:rPr>
                                <w:color w:val="000000"/>
                              </w:rPr>
                              <w:t>adquisiciones</w:t>
                            </w:r>
                            <w:r>
                              <w:rPr>
                                <w:color w:val="000000"/>
                                <w:spacing w:val="-5"/>
                              </w:rPr>
                              <w:t> </w:t>
                            </w:r>
                            <w:r>
                              <w:rPr>
                                <w:color w:val="000000"/>
                              </w:rPr>
                              <w:t>dependa</w:t>
                            </w:r>
                            <w:r>
                              <w:rPr>
                                <w:color w:val="000000"/>
                                <w:spacing w:val="-7"/>
                              </w:rPr>
                              <w:t> </w:t>
                            </w:r>
                            <w:r>
                              <w:rPr>
                                <w:color w:val="000000"/>
                              </w:rPr>
                              <w:t>del</w:t>
                            </w:r>
                            <w:r>
                              <w:rPr>
                                <w:color w:val="000000"/>
                                <w:spacing w:val="-6"/>
                              </w:rPr>
                              <w:t> </w:t>
                            </w:r>
                            <w:r>
                              <w:rPr>
                                <w:color w:val="000000"/>
                              </w:rPr>
                              <w:t>cumplimiento</w:t>
                            </w:r>
                            <w:r>
                              <w:rPr>
                                <w:color w:val="000000"/>
                                <w:spacing w:val="-5"/>
                              </w:rPr>
                              <w:t> </w:t>
                            </w:r>
                            <w:r>
                              <w:rPr>
                                <w:color w:val="000000"/>
                              </w:rPr>
                              <w:t>de</w:t>
                            </w:r>
                            <w:r>
                              <w:rPr>
                                <w:color w:val="000000"/>
                                <w:spacing w:val="-8"/>
                              </w:rPr>
                              <w:t> </w:t>
                            </w:r>
                            <w:r>
                              <w:rPr>
                                <w:color w:val="000000"/>
                              </w:rPr>
                              <w:t>los</w:t>
                            </w:r>
                            <w:r>
                              <w:rPr>
                                <w:color w:val="000000"/>
                                <w:spacing w:val="-7"/>
                              </w:rPr>
                              <w:t> </w:t>
                            </w:r>
                            <w:r>
                              <w:rPr>
                                <w:color w:val="000000"/>
                              </w:rPr>
                              <w:t>plazos de</w:t>
                            </w:r>
                            <w:r>
                              <w:rPr>
                                <w:color w:val="000000"/>
                                <w:spacing w:val="-4"/>
                              </w:rPr>
                              <w:t> </w:t>
                            </w:r>
                            <w:r>
                              <w:rPr>
                                <w:color w:val="000000"/>
                              </w:rPr>
                              <w:t>ejecución</w:t>
                            </w:r>
                            <w:r>
                              <w:rPr>
                                <w:color w:val="000000"/>
                                <w:spacing w:val="-4"/>
                              </w:rPr>
                              <w:t> </w:t>
                            </w:r>
                            <w:r>
                              <w:rPr>
                                <w:color w:val="000000"/>
                              </w:rPr>
                              <w:t>estipulados</w:t>
                            </w:r>
                            <w:r>
                              <w:rPr>
                                <w:color w:val="000000"/>
                                <w:spacing w:val="-6"/>
                              </w:rPr>
                              <w:t> </w:t>
                            </w:r>
                            <w:r>
                              <w:rPr>
                                <w:color w:val="000000"/>
                              </w:rPr>
                              <w:t>o</w:t>
                            </w:r>
                            <w:r>
                              <w:rPr>
                                <w:color w:val="000000"/>
                                <w:spacing w:val="-4"/>
                              </w:rPr>
                              <w:t> </w:t>
                            </w:r>
                            <w:r>
                              <w:rPr>
                                <w:color w:val="000000"/>
                              </w:rPr>
                              <w:t>de</w:t>
                            </w:r>
                            <w:r>
                              <w:rPr>
                                <w:color w:val="000000"/>
                                <w:spacing w:val="-4"/>
                              </w:rPr>
                              <w:t> </w:t>
                            </w:r>
                            <w:r>
                              <w:rPr>
                                <w:color w:val="000000"/>
                              </w:rPr>
                              <w:t>la</w:t>
                            </w:r>
                            <w:r>
                              <w:rPr>
                                <w:color w:val="000000"/>
                                <w:spacing w:val="-4"/>
                              </w:rPr>
                              <w:t> </w:t>
                            </w:r>
                            <w:r>
                              <w:rPr>
                                <w:color w:val="000000"/>
                              </w:rPr>
                              <w:t>concreción</w:t>
                            </w:r>
                            <w:r>
                              <w:rPr>
                                <w:color w:val="000000"/>
                                <w:spacing w:val="-4"/>
                              </w:rPr>
                              <w:t> </w:t>
                            </w:r>
                            <w:r>
                              <w:rPr>
                                <w:color w:val="000000"/>
                              </w:rPr>
                              <w:t>del</w:t>
                            </w:r>
                            <w:r>
                              <w:rPr>
                                <w:color w:val="000000"/>
                                <w:spacing w:val="-5"/>
                              </w:rPr>
                              <w:t> </w:t>
                            </w:r>
                            <w:r>
                              <w:rPr>
                                <w:color w:val="000000"/>
                              </w:rPr>
                              <w:t>número</w:t>
                            </w:r>
                            <w:r>
                              <w:rPr>
                                <w:color w:val="000000"/>
                                <w:spacing w:val="-4"/>
                              </w:rPr>
                              <w:t> </w:t>
                            </w:r>
                            <w:r>
                              <w:rPr>
                                <w:color w:val="000000"/>
                              </w:rPr>
                              <w:t>de</w:t>
                            </w:r>
                            <w:r>
                              <w:rPr>
                                <w:color w:val="000000"/>
                                <w:spacing w:val="-7"/>
                              </w:rPr>
                              <w:t> </w:t>
                            </w:r>
                            <w:r>
                              <w:rPr>
                                <w:color w:val="000000"/>
                              </w:rPr>
                              <w:t>vehículos</w:t>
                            </w:r>
                            <w:r>
                              <w:rPr>
                                <w:color w:val="000000"/>
                                <w:spacing w:val="-4"/>
                              </w:rPr>
                              <w:t> </w:t>
                            </w:r>
                            <w:r>
                              <w:rPr>
                                <w:color w:val="000000"/>
                              </w:rPr>
                              <w:t>que</w:t>
                            </w:r>
                            <w:r>
                              <w:rPr>
                                <w:color w:val="000000"/>
                                <w:spacing w:val="-6"/>
                              </w:rPr>
                              <w:t> </w:t>
                            </w:r>
                            <w:r>
                              <w:rPr>
                                <w:color w:val="000000"/>
                              </w:rPr>
                              <w:t>está</w:t>
                            </w:r>
                            <w:r>
                              <w:rPr>
                                <w:color w:val="000000"/>
                                <w:spacing w:val="-3"/>
                              </w:rPr>
                              <w:t> </w:t>
                            </w:r>
                            <w:r>
                              <w:rPr>
                                <w:color w:val="000000"/>
                              </w:rPr>
                              <w:t>previsto</w:t>
                            </w:r>
                            <w:r>
                              <w:rPr>
                                <w:color w:val="000000"/>
                                <w:spacing w:val="-4"/>
                              </w:rPr>
                              <w:t> </w:t>
                            </w:r>
                            <w:r>
                              <w:rPr>
                                <w:color w:val="000000"/>
                              </w:rPr>
                              <w:t>adquirir.</w:t>
                            </w:r>
                          </w:p>
                        </w:txbxContent>
                      </wps:txbx>
                      <wps:bodyPr wrap="square" lIns="0" tIns="0" rIns="0" bIns="0" rtlCol="0">
                        <a:noAutofit/>
                      </wps:bodyPr>
                    </wps:wsp>
                  </a:graphicData>
                </a:graphic>
              </wp:anchor>
            </w:drawing>
          </mc:Choice>
          <mc:Fallback>
            <w:pict>
              <v:shape style="position:absolute;margin-left:73.103996pt;margin-top:11.909668pt;width:467.05pt;height:134.550pt;mso-position-horizontal-relative:page;mso-position-vertical-relative:paragraph;z-index:-15690240;mso-wrap-distance-left:0;mso-wrap-distance-right:0" type="#_x0000_t202" id="docshape211" filled="true" fillcolor="#dbe4f0" stroked="false">
                <v:textbox inset="0,0,0,0">
                  <w:txbxContent>
                    <w:p>
                      <w:pPr>
                        <w:pStyle w:val="BodyText"/>
                        <w:spacing w:before="23"/>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4:</w:t>
                      </w:r>
                    </w:p>
                    <w:p>
                      <w:pPr>
                        <w:pStyle w:val="BodyText"/>
                        <w:spacing w:before="138"/>
                        <w:ind w:left="28" w:right="22"/>
                        <w:jc w:val="both"/>
                        <w:rPr>
                          <w:color w:val="000000"/>
                        </w:rPr>
                      </w:pPr>
                      <w:r>
                        <w:rPr>
                          <w:color w:val="000000"/>
                        </w:rPr>
                        <w:t>Los </w:t>
                      </w:r>
                      <w:r>
                        <w:rPr>
                          <w:b/>
                          <w:color w:val="000000"/>
                        </w:rPr>
                        <w:t>Ayuntamientos de Alicante</w:t>
                      </w:r>
                      <w:r>
                        <w:rPr>
                          <w:color w:val="000000"/>
                        </w:rPr>
                        <w:t>, </w:t>
                      </w:r>
                      <w:r>
                        <w:rPr>
                          <w:b/>
                          <w:color w:val="000000"/>
                        </w:rPr>
                        <w:t>Las Palmas de Gran Canaria</w:t>
                      </w:r>
                      <w:r>
                        <w:rPr>
                          <w:color w:val="000000"/>
                        </w:rPr>
                        <w:t>, </w:t>
                      </w:r>
                      <w:r>
                        <w:rPr>
                          <w:b/>
                          <w:color w:val="000000"/>
                        </w:rPr>
                        <w:t>Palma </w:t>
                      </w:r>
                      <w:r>
                        <w:rPr>
                          <w:color w:val="000000"/>
                        </w:rPr>
                        <w:t>y </w:t>
                      </w:r>
                      <w:r>
                        <w:rPr>
                          <w:b/>
                          <w:color w:val="000000"/>
                        </w:rPr>
                        <w:t>Zaragoza </w:t>
                      </w:r>
                      <w:r>
                        <w:rPr>
                          <w:color w:val="000000"/>
                        </w:rPr>
                        <w:t>deberían establecer salvaguardas en los contratos para garantizar que los plazos de entrega de los vehículos destinados al transporte público colectivo sean cumplidos por las empresas suministradoras. Igualmente, el </w:t>
                      </w:r>
                      <w:r>
                        <w:rPr>
                          <w:b/>
                          <w:color w:val="000000"/>
                        </w:rPr>
                        <w:t>Ayuntamiento de Málaga </w:t>
                      </w:r>
                      <w:r>
                        <w:rPr>
                          <w:color w:val="000000"/>
                        </w:rPr>
                        <w:t>debería fijar con mayor precisión el número de autobuses que tiene previsto comprar, máxime cuando la percepción de subvenciones</w:t>
                      </w:r>
                      <w:r>
                        <w:rPr>
                          <w:color w:val="000000"/>
                          <w:spacing w:val="-5"/>
                        </w:rPr>
                        <w:t> </w:t>
                      </w:r>
                      <w:r>
                        <w:rPr>
                          <w:color w:val="000000"/>
                        </w:rPr>
                        <w:t>para</w:t>
                      </w:r>
                      <w:r>
                        <w:rPr>
                          <w:color w:val="000000"/>
                          <w:spacing w:val="-7"/>
                        </w:rPr>
                        <w:t> </w:t>
                      </w:r>
                      <w:r>
                        <w:rPr>
                          <w:color w:val="000000"/>
                        </w:rPr>
                        <w:t>la</w:t>
                      </w:r>
                      <w:r>
                        <w:rPr>
                          <w:color w:val="000000"/>
                          <w:spacing w:val="-7"/>
                        </w:rPr>
                        <w:t> </w:t>
                      </w:r>
                      <w:r>
                        <w:rPr>
                          <w:color w:val="000000"/>
                        </w:rPr>
                        <w:t>financiación</w:t>
                      </w:r>
                      <w:r>
                        <w:rPr>
                          <w:color w:val="000000"/>
                          <w:spacing w:val="-5"/>
                        </w:rPr>
                        <w:t> </w:t>
                      </w:r>
                      <w:r>
                        <w:rPr>
                          <w:color w:val="000000"/>
                        </w:rPr>
                        <w:t>de</w:t>
                      </w:r>
                      <w:r>
                        <w:rPr>
                          <w:color w:val="000000"/>
                          <w:spacing w:val="-5"/>
                        </w:rPr>
                        <w:t> </w:t>
                      </w:r>
                      <w:r>
                        <w:rPr>
                          <w:color w:val="000000"/>
                        </w:rPr>
                        <w:t>las</w:t>
                      </w:r>
                      <w:r>
                        <w:rPr>
                          <w:color w:val="000000"/>
                          <w:spacing w:val="-7"/>
                        </w:rPr>
                        <w:t> </w:t>
                      </w:r>
                      <w:r>
                        <w:rPr>
                          <w:color w:val="000000"/>
                        </w:rPr>
                        <w:t>adquisiciones</w:t>
                      </w:r>
                      <w:r>
                        <w:rPr>
                          <w:color w:val="000000"/>
                          <w:spacing w:val="-5"/>
                        </w:rPr>
                        <w:t> </w:t>
                      </w:r>
                      <w:r>
                        <w:rPr>
                          <w:color w:val="000000"/>
                        </w:rPr>
                        <w:t>dependa</w:t>
                      </w:r>
                      <w:r>
                        <w:rPr>
                          <w:color w:val="000000"/>
                          <w:spacing w:val="-7"/>
                        </w:rPr>
                        <w:t> </w:t>
                      </w:r>
                      <w:r>
                        <w:rPr>
                          <w:color w:val="000000"/>
                        </w:rPr>
                        <w:t>del</w:t>
                      </w:r>
                      <w:r>
                        <w:rPr>
                          <w:color w:val="000000"/>
                          <w:spacing w:val="-6"/>
                        </w:rPr>
                        <w:t> </w:t>
                      </w:r>
                      <w:r>
                        <w:rPr>
                          <w:color w:val="000000"/>
                        </w:rPr>
                        <w:t>cumplimiento</w:t>
                      </w:r>
                      <w:r>
                        <w:rPr>
                          <w:color w:val="000000"/>
                          <w:spacing w:val="-5"/>
                        </w:rPr>
                        <w:t> </w:t>
                      </w:r>
                      <w:r>
                        <w:rPr>
                          <w:color w:val="000000"/>
                        </w:rPr>
                        <w:t>de</w:t>
                      </w:r>
                      <w:r>
                        <w:rPr>
                          <w:color w:val="000000"/>
                          <w:spacing w:val="-8"/>
                        </w:rPr>
                        <w:t> </w:t>
                      </w:r>
                      <w:r>
                        <w:rPr>
                          <w:color w:val="000000"/>
                        </w:rPr>
                        <w:t>los</w:t>
                      </w:r>
                      <w:r>
                        <w:rPr>
                          <w:color w:val="000000"/>
                          <w:spacing w:val="-7"/>
                        </w:rPr>
                        <w:t> </w:t>
                      </w:r>
                      <w:r>
                        <w:rPr>
                          <w:color w:val="000000"/>
                        </w:rPr>
                        <w:t>plazos de</w:t>
                      </w:r>
                      <w:r>
                        <w:rPr>
                          <w:color w:val="000000"/>
                          <w:spacing w:val="-4"/>
                        </w:rPr>
                        <w:t> </w:t>
                      </w:r>
                      <w:r>
                        <w:rPr>
                          <w:color w:val="000000"/>
                        </w:rPr>
                        <w:t>ejecución</w:t>
                      </w:r>
                      <w:r>
                        <w:rPr>
                          <w:color w:val="000000"/>
                          <w:spacing w:val="-4"/>
                        </w:rPr>
                        <w:t> </w:t>
                      </w:r>
                      <w:r>
                        <w:rPr>
                          <w:color w:val="000000"/>
                        </w:rPr>
                        <w:t>estipulados</w:t>
                      </w:r>
                      <w:r>
                        <w:rPr>
                          <w:color w:val="000000"/>
                          <w:spacing w:val="-6"/>
                        </w:rPr>
                        <w:t> </w:t>
                      </w:r>
                      <w:r>
                        <w:rPr>
                          <w:color w:val="000000"/>
                        </w:rPr>
                        <w:t>o</w:t>
                      </w:r>
                      <w:r>
                        <w:rPr>
                          <w:color w:val="000000"/>
                          <w:spacing w:val="-4"/>
                        </w:rPr>
                        <w:t> </w:t>
                      </w:r>
                      <w:r>
                        <w:rPr>
                          <w:color w:val="000000"/>
                        </w:rPr>
                        <w:t>de</w:t>
                      </w:r>
                      <w:r>
                        <w:rPr>
                          <w:color w:val="000000"/>
                          <w:spacing w:val="-4"/>
                        </w:rPr>
                        <w:t> </w:t>
                      </w:r>
                      <w:r>
                        <w:rPr>
                          <w:color w:val="000000"/>
                        </w:rPr>
                        <w:t>la</w:t>
                      </w:r>
                      <w:r>
                        <w:rPr>
                          <w:color w:val="000000"/>
                          <w:spacing w:val="-4"/>
                        </w:rPr>
                        <w:t> </w:t>
                      </w:r>
                      <w:r>
                        <w:rPr>
                          <w:color w:val="000000"/>
                        </w:rPr>
                        <w:t>concreción</w:t>
                      </w:r>
                      <w:r>
                        <w:rPr>
                          <w:color w:val="000000"/>
                          <w:spacing w:val="-4"/>
                        </w:rPr>
                        <w:t> </w:t>
                      </w:r>
                      <w:r>
                        <w:rPr>
                          <w:color w:val="000000"/>
                        </w:rPr>
                        <w:t>del</w:t>
                      </w:r>
                      <w:r>
                        <w:rPr>
                          <w:color w:val="000000"/>
                          <w:spacing w:val="-5"/>
                        </w:rPr>
                        <w:t> </w:t>
                      </w:r>
                      <w:r>
                        <w:rPr>
                          <w:color w:val="000000"/>
                        </w:rPr>
                        <w:t>número</w:t>
                      </w:r>
                      <w:r>
                        <w:rPr>
                          <w:color w:val="000000"/>
                          <w:spacing w:val="-4"/>
                        </w:rPr>
                        <w:t> </w:t>
                      </w:r>
                      <w:r>
                        <w:rPr>
                          <w:color w:val="000000"/>
                        </w:rPr>
                        <w:t>de</w:t>
                      </w:r>
                      <w:r>
                        <w:rPr>
                          <w:color w:val="000000"/>
                          <w:spacing w:val="-7"/>
                        </w:rPr>
                        <w:t> </w:t>
                      </w:r>
                      <w:r>
                        <w:rPr>
                          <w:color w:val="000000"/>
                        </w:rPr>
                        <w:t>vehículos</w:t>
                      </w:r>
                      <w:r>
                        <w:rPr>
                          <w:color w:val="000000"/>
                          <w:spacing w:val="-4"/>
                        </w:rPr>
                        <w:t> </w:t>
                      </w:r>
                      <w:r>
                        <w:rPr>
                          <w:color w:val="000000"/>
                        </w:rPr>
                        <w:t>que</w:t>
                      </w:r>
                      <w:r>
                        <w:rPr>
                          <w:color w:val="000000"/>
                          <w:spacing w:val="-6"/>
                        </w:rPr>
                        <w:t> </w:t>
                      </w:r>
                      <w:r>
                        <w:rPr>
                          <w:color w:val="000000"/>
                        </w:rPr>
                        <w:t>está</w:t>
                      </w:r>
                      <w:r>
                        <w:rPr>
                          <w:color w:val="000000"/>
                          <w:spacing w:val="-3"/>
                        </w:rPr>
                        <w:t> </w:t>
                      </w:r>
                      <w:r>
                        <w:rPr>
                          <w:color w:val="000000"/>
                        </w:rPr>
                        <w:t>previsto</w:t>
                      </w:r>
                      <w:r>
                        <w:rPr>
                          <w:color w:val="000000"/>
                          <w:spacing w:val="-4"/>
                        </w:rPr>
                        <w:t> </w:t>
                      </w:r>
                      <w:r>
                        <w:rPr>
                          <w:color w:val="000000"/>
                        </w:rPr>
                        <w:t>adquirir.</w:t>
                      </w:r>
                    </w:p>
                  </w:txbxContent>
                </v:textbox>
                <v:fill type="solid"/>
                <w10:wrap type="topAndBottom"/>
              </v:shape>
            </w:pict>
          </mc:Fallback>
        </mc:AlternateContent>
      </w:r>
    </w:p>
    <w:p>
      <w:pPr>
        <w:pStyle w:val="ListParagraph"/>
        <w:numPr>
          <w:ilvl w:val="0"/>
          <w:numId w:val="9"/>
        </w:numPr>
        <w:tabs>
          <w:tab w:pos="1347" w:val="left" w:leader="none"/>
          <w:tab w:pos="1349" w:val="left" w:leader="none"/>
        </w:tabs>
        <w:spacing w:line="240" w:lineRule="auto" w:before="240" w:after="0"/>
        <w:ind w:left="1349" w:right="990" w:hanging="358"/>
        <w:jc w:val="both"/>
        <w:rPr>
          <w:sz w:val="22"/>
        </w:rPr>
      </w:pPr>
      <w:r>
        <w:rPr>
          <w:sz w:val="22"/>
        </w:rPr>
        <w:t>Los </w:t>
      </w:r>
      <w:r>
        <w:rPr>
          <w:b/>
          <w:sz w:val="22"/>
        </w:rPr>
        <w:t>Ayuntamientos de Bilbao, Córdoba, Las Palmas de Gran Canaria, Málaga, Murcia, Palma, Sevilla </w:t>
      </w:r>
      <w:r>
        <w:rPr>
          <w:sz w:val="22"/>
        </w:rPr>
        <w:t>y </w:t>
      </w:r>
      <w:r>
        <w:rPr>
          <w:b/>
          <w:sz w:val="22"/>
        </w:rPr>
        <w:t>Zaragoza </w:t>
      </w:r>
      <w:r>
        <w:rPr>
          <w:sz w:val="22"/>
        </w:rPr>
        <w:t>acometieron en los ejercicios 2023 y 2024 obras vinculadas con el transporte público colectivo. Para su ejecución, se han celebrado 56 contratos, con un importe total, incluido el de las modificaciones aprobadas hasta 31 de diciembre de 2024, de 108.608.430,19 euros, habiéndose recibido ayudas para su financiación por 58.225.595,84 euros, de los que el 47,90 % proceden del PRTR.</w:t>
      </w:r>
    </w:p>
    <w:p>
      <w:pPr>
        <w:pStyle w:val="BodyText"/>
        <w:spacing w:before="241"/>
        <w:ind w:left="1349" w:right="988"/>
        <w:jc w:val="both"/>
      </w:pPr>
      <w:r>
        <w:rPr/>
        <w:t>El </w:t>
      </w:r>
      <w:r>
        <w:rPr>
          <w:b/>
        </w:rPr>
        <w:t>Ayuntamiento de Alicante </w:t>
      </w:r>
      <w:r>
        <w:rPr/>
        <w:t>no ha llegado a ejecutar ninguna obra, pues la prevista para la implantación de un carril bus se canceló por ser imposible su ejecución de manera simultánea con</w:t>
      </w:r>
      <w:r>
        <w:rPr>
          <w:spacing w:val="-7"/>
        </w:rPr>
        <w:t> </w:t>
      </w:r>
      <w:r>
        <w:rPr/>
        <w:t>otra</w:t>
      </w:r>
      <w:r>
        <w:rPr>
          <w:spacing w:val="-9"/>
        </w:rPr>
        <w:t> </w:t>
      </w:r>
      <w:r>
        <w:rPr/>
        <w:t>acometida</w:t>
      </w:r>
      <w:r>
        <w:rPr>
          <w:spacing w:val="-7"/>
        </w:rPr>
        <w:t> </w:t>
      </w:r>
      <w:r>
        <w:rPr/>
        <w:t>por</w:t>
      </w:r>
      <w:r>
        <w:rPr>
          <w:spacing w:val="-5"/>
        </w:rPr>
        <w:t> </w:t>
      </w:r>
      <w:r>
        <w:rPr/>
        <w:t>la</w:t>
      </w:r>
      <w:r>
        <w:rPr>
          <w:spacing w:val="-6"/>
        </w:rPr>
        <w:t> </w:t>
      </w:r>
      <w:r>
        <w:rPr/>
        <w:t>Generalitat</w:t>
      </w:r>
      <w:r>
        <w:rPr>
          <w:spacing w:val="-5"/>
        </w:rPr>
        <w:t> </w:t>
      </w:r>
      <w:r>
        <w:rPr/>
        <w:t>Valenciana,</w:t>
      </w:r>
      <w:r>
        <w:rPr>
          <w:spacing w:val="-5"/>
        </w:rPr>
        <w:t> </w:t>
      </w:r>
      <w:r>
        <w:rPr/>
        <w:t>que</w:t>
      </w:r>
      <w:r>
        <w:rPr>
          <w:spacing w:val="-6"/>
        </w:rPr>
        <w:t> </w:t>
      </w:r>
      <w:r>
        <w:rPr/>
        <w:t>afectaba</w:t>
      </w:r>
      <w:r>
        <w:rPr>
          <w:spacing w:val="-6"/>
        </w:rPr>
        <w:t> </w:t>
      </w:r>
      <w:r>
        <w:rPr/>
        <w:t>al</w:t>
      </w:r>
      <w:r>
        <w:rPr>
          <w:spacing w:val="-10"/>
        </w:rPr>
        <w:t> </w:t>
      </w:r>
      <w:r>
        <w:rPr/>
        <w:t>tráfico</w:t>
      </w:r>
      <w:r>
        <w:rPr>
          <w:spacing w:val="-6"/>
        </w:rPr>
        <w:t> </w:t>
      </w:r>
      <w:r>
        <w:rPr/>
        <w:t>y</w:t>
      </w:r>
      <w:r>
        <w:rPr>
          <w:spacing w:val="-8"/>
        </w:rPr>
        <w:t> </w:t>
      </w:r>
      <w:r>
        <w:rPr/>
        <w:t>al</w:t>
      </w:r>
      <w:r>
        <w:rPr>
          <w:spacing w:val="-7"/>
        </w:rPr>
        <w:t> </w:t>
      </w:r>
      <w:r>
        <w:rPr/>
        <w:t>entorno</w:t>
      </w:r>
      <w:r>
        <w:rPr>
          <w:spacing w:val="-6"/>
        </w:rPr>
        <w:t> </w:t>
      </w:r>
      <w:r>
        <w:rPr/>
        <w:t>de</w:t>
      </w:r>
      <w:r>
        <w:rPr>
          <w:spacing w:val="-7"/>
        </w:rPr>
        <w:t> </w:t>
      </w:r>
      <w:r>
        <w:rPr/>
        <w:t>la</w:t>
      </w:r>
      <w:r>
        <w:rPr>
          <w:spacing w:val="-6"/>
        </w:rPr>
        <w:t> </w:t>
      </w:r>
      <w:r>
        <w:rPr/>
        <w:t>zona donde</w:t>
      </w:r>
      <w:r>
        <w:rPr>
          <w:spacing w:val="-13"/>
        </w:rPr>
        <w:t> </w:t>
      </w:r>
      <w:r>
        <w:rPr/>
        <w:t>iba</w:t>
      </w:r>
      <w:r>
        <w:rPr>
          <w:spacing w:val="-13"/>
        </w:rPr>
        <w:t> </w:t>
      </w:r>
      <w:r>
        <w:rPr/>
        <w:t>a</w:t>
      </w:r>
      <w:r>
        <w:rPr>
          <w:spacing w:val="-13"/>
        </w:rPr>
        <w:t> </w:t>
      </w:r>
      <w:r>
        <w:rPr/>
        <w:t>discurrir</w:t>
      </w:r>
      <w:r>
        <w:rPr>
          <w:spacing w:val="-13"/>
        </w:rPr>
        <w:t> </w:t>
      </w:r>
      <w:r>
        <w:rPr/>
        <w:t>el</w:t>
      </w:r>
      <w:r>
        <w:rPr>
          <w:spacing w:val="-14"/>
        </w:rPr>
        <w:t> </w:t>
      </w:r>
      <w:r>
        <w:rPr/>
        <w:t>carril</w:t>
      </w:r>
      <w:r>
        <w:rPr>
          <w:spacing w:val="-13"/>
        </w:rPr>
        <w:t> </w:t>
      </w:r>
      <w:r>
        <w:rPr/>
        <w:t>bus,</w:t>
      </w:r>
      <w:r>
        <w:rPr>
          <w:spacing w:val="-14"/>
        </w:rPr>
        <w:t> </w:t>
      </w:r>
      <w:r>
        <w:rPr/>
        <w:t>lo</w:t>
      </w:r>
      <w:r>
        <w:rPr>
          <w:spacing w:val="-13"/>
        </w:rPr>
        <w:t> </w:t>
      </w:r>
      <w:r>
        <w:rPr/>
        <w:t>que</w:t>
      </w:r>
      <w:r>
        <w:rPr>
          <w:spacing w:val="-15"/>
        </w:rPr>
        <w:t> </w:t>
      </w:r>
      <w:r>
        <w:rPr/>
        <w:t>motivó</w:t>
      </w:r>
      <w:r>
        <w:rPr>
          <w:spacing w:val="-13"/>
        </w:rPr>
        <w:t> </w:t>
      </w:r>
      <w:r>
        <w:rPr/>
        <w:t>que</w:t>
      </w:r>
      <w:r>
        <w:rPr>
          <w:spacing w:val="-13"/>
        </w:rPr>
        <w:t> </w:t>
      </w:r>
      <w:r>
        <w:rPr/>
        <w:t>hubiera</w:t>
      </w:r>
      <w:r>
        <w:rPr>
          <w:spacing w:val="-13"/>
        </w:rPr>
        <w:t> </w:t>
      </w:r>
      <w:r>
        <w:rPr/>
        <w:t>que</w:t>
      </w:r>
      <w:r>
        <w:rPr>
          <w:spacing w:val="-15"/>
        </w:rPr>
        <w:t> </w:t>
      </w:r>
      <w:r>
        <w:rPr/>
        <w:t>resolverse</w:t>
      </w:r>
      <w:r>
        <w:rPr>
          <w:spacing w:val="-13"/>
        </w:rPr>
        <w:t> </w:t>
      </w:r>
      <w:r>
        <w:rPr/>
        <w:t>de</w:t>
      </w:r>
      <w:r>
        <w:rPr>
          <w:spacing w:val="-13"/>
        </w:rPr>
        <w:t> </w:t>
      </w:r>
      <w:r>
        <w:rPr/>
        <w:t>mutuo</w:t>
      </w:r>
      <w:r>
        <w:rPr>
          <w:spacing w:val="-13"/>
        </w:rPr>
        <w:t> </w:t>
      </w:r>
      <w:r>
        <w:rPr/>
        <w:t>de</w:t>
      </w:r>
      <w:r>
        <w:rPr>
          <w:spacing w:val="-15"/>
        </w:rPr>
        <w:t> </w:t>
      </w:r>
      <w:r>
        <w:rPr/>
        <w:t>acuerdo el contrato de obras y abonar al contratista 12.000 euros en concepto de indemnización. (Subepígrafe II.3.2.2)</w:t>
      </w:r>
    </w:p>
    <w:p>
      <w:pPr>
        <w:pStyle w:val="ListParagraph"/>
        <w:numPr>
          <w:ilvl w:val="0"/>
          <w:numId w:val="9"/>
        </w:numPr>
        <w:tabs>
          <w:tab w:pos="1347" w:val="left" w:leader="none"/>
          <w:tab w:pos="1349" w:val="left" w:leader="none"/>
        </w:tabs>
        <w:spacing w:line="240" w:lineRule="auto" w:before="239" w:after="0"/>
        <w:ind w:left="1349" w:right="987" w:hanging="358"/>
        <w:jc w:val="both"/>
        <w:rPr>
          <w:sz w:val="22"/>
        </w:rPr>
      </w:pPr>
      <w:r>
        <w:rPr>
          <w:sz w:val="22"/>
        </w:rPr>
        <w:t>Se han</w:t>
      </w:r>
      <w:r>
        <w:rPr>
          <w:spacing w:val="-2"/>
          <w:sz w:val="22"/>
        </w:rPr>
        <w:t> </w:t>
      </w:r>
      <w:r>
        <w:rPr>
          <w:sz w:val="22"/>
        </w:rPr>
        <w:t>detectado</w:t>
      </w:r>
      <w:r>
        <w:rPr>
          <w:spacing w:val="-2"/>
          <w:sz w:val="22"/>
        </w:rPr>
        <w:t> </w:t>
      </w:r>
      <w:r>
        <w:rPr>
          <w:sz w:val="22"/>
        </w:rPr>
        <w:t>incidencias en</w:t>
      </w:r>
      <w:r>
        <w:rPr>
          <w:spacing w:val="-2"/>
          <w:sz w:val="22"/>
        </w:rPr>
        <w:t> </w:t>
      </w:r>
      <w:r>
        <w:rPr>
          <w:sz w:val="22"/>
        </w:rPr>
        <w:t>los contratos</w:t>
      </w:r>
      <w:r>
        <w:rPr>
          <w:spacing w:val="-2"/>
          <w:sz w:val="22"/>
        </w:rPr>
        <w:t> </w:t>
      </w:r>
      <w:r>
        <w:rPr>
          <w:sz w:val="22"/>
        </w:rPr>
        <w:t>de</w:t>
      </w:r>
      <w:r>
        <w:rPr>
          <w:spacing w:val="-2"/>
          <w:sz w:val="22"/>
        </w:rPr>
        <w:t> </w:t>
      </w:r>
      <w:r>
        <w:rPr>
          <w:sz w:val="22"/>
        </w:rPr>
        <w:t>obras</w:t>
      </w:r>
      <w:r>
        <w:rPr>
          <w:spacing w:val="-2"/>
          <w:sz w:val="22"/>
        </w:rPr>
        <w:t> </w:t>
      </w:r>
      <w:r>
        <w:rPr>
          <w:sz w:val="22"/>
        </w:rPr>
        <w:t>de</w:t>
      </w:r>
      <w:r>
        <w:rPr>
          <w:spacing w:val="-2"/>
          <w:sz w:val="22"/>
        </w:rPr>
        <w:t> </w:t>
      </w:r>
      <w:r>
        <w:rPr>
          <w:sz w:val="22"/>
        </w:rPr>
        <w:t>los </w:t>
      </w:r>
      <w:r>
        <w:rPr>
          <w:b/>
          <w:sz w:val="22"/>
        </w:rPr>
        <w:t>Ayuntamientos de</w:t>
      </w:r>
      <w:r>
        <w:rPr>
          <w:b/>
          <w:spacing w:val="-2"/>
          <w:sz w:val="22"/>
        </w:rPr>
        <w:t> </w:t>
      </w:r>
      <w:r>
        <w:rPr>
          <w:b/>
          <w:sz w:val="22"/>
        </w:rPr>
        <w:t>Bilbao, Las Palmas de Gran Canaria, Málaga, Murcia, Palma </w:t>
      </w:r>
      <w:r>
        <w:rPr>
          <w:sz w:val="22"/>
        </w:rPr>
        <w:t>y </w:t>
      </w:r>
      <w:r>
        <w:rPr>
          <w:b/>
          <w:sz w:val="22"/>
        </w:rPr>
        <w:t>Sevilla</w:t>
      </w:r>
      <w:r>
        <w:rPr>
          <w:sz w:val="22"/>
        </w:rPr>
        <w:t>, celebrados bien por estas entidades, sus empresas municipales o las empresas concesionarias.</w:t>
      </w:r>
    </w:p>
    <w:p>
      <w:pPr>
        <w:spacing w:before="240"/>
        <w:ind w:left="1349" w:right="986" w:firstLine="0"/>
        <w:jc w:val="both"/>
        <w:rPr>
          <w:sz w:val="22"/>
        </w:rPr>
      </w:pPr>
      <w:r>
        <w:rPr>
          <w:sz w:val="22"/>
        </w:rPr>
        <w:t>En concreto, se han producido demoras y/o ampliaciones de plazo en la ejecución de algunas de las obras ejecutadas por los </w:t>
      </w:r>
      <w:r>
        <w:rPr>
          <w:b/>
          <w:sz w:val="22"/>
        </w:rPr>
        <w:t>Ayuntamientos de Bilbao, Las Palmas de Gran Canaria, Málaga,</w:t>
      </w:r>
      <w:r>
        <w:rPr>
          <w:b/>
          <w:spacing w:val="-5"/>
          <w:sz w:val="22"/>
        </w:rPr>
        <w:t> </w:t>
      </w:r>
      <w:r>
        <w:rPr>
          <w:b/>
          <w:sz w:val="22"/>
        </w:rPr>
        <w:t>Murcia,</w:t>
      </w:r>
      <w:r>
        <w:rPr>
          <w:b/>
          <w:spacing w:val="-5"/>
          <w:sz w:val="22"/>
        </w:rPr>
        <w:t> </w:t>
      </w:r>
      <w:r>
        <w:rPr>
          <w:b/>
          <w:sz w:val="22"/>
        </w:rPr>
        <w:t>Palma</w:t>
      </w:r>
      <w:r>
        <w:rPr>
          <w:b/>
          <w:spacing w:val="-7"/>
          <w:sz w:val="22"/>
        </w:rPr>
        <w:t> </w:t>
      </w:r>
      <w:r>
        <w:rPr>
          <w:sz w:val="22"/>
        </w:rPr>
        <w:t>y</w:t>
      </w:r>
      <w:r>
        <w:rPr>
          <w:spacing w:val="-4"/>
          <w:sz w:val="22"/>
        </w:rPr>
        <w:t> </w:t>
      </w:r>
      <w:r>
        <w:rPr>
          <w:b/>
          <w:sz w:val="22"/>
        </w:rPr>
        <w:t>Sevilla</w:t>
      </w:r>
      <w:r>
        <w:rPr>
          <w:sz w:val="22"/>
        </w:rPr>
        <w:t>;</w:t>
      </w:r>
      <w:r>
        <w:rPr>
          <w:spacing w:val="-5"/>
          <w:sz w:val="22"/>
        </w:rPr>
        <w:t> </w:t>
      </w:r>
      <w:r>
        <w:rPr>
          <w:sz w:val="22"/>
        </w:rPr>
        <w:t>se</w:t>
      </w:r>
      <w:r>
        <w:rPr>
          <w:spacing w:val="-4"/>
          <w:sz w:val="22"/>
        </w:rPr>
        <w:t> </w:t>
      </w:r>
      <w:r>
        <w:rPr>
          <w:sz w:val="22"/>
        </w:rPr>
        <w:t>han</w:t>
      </w:r>
      <w:r>
        <w:rPr>
          <w:spacing w:val="-6"/>
          <w:sz w:val="22"/>
        </w:rPr>
        <w:t> </w:t>
      </w:r>
      <w:r>
        <w:rPr>
          <w:sz w:val="22"/>
        </w:rPr>
        <w:t>suspendido</w:t>
      </w:r>
      <w:r>
        <w:rPr>
          <w:spacing w:val="-4"/>
          <w:sz w:val="22"/>
        </w:rPr>
        <w:t> </w:t>
      </w:r>
      <w:r>
        <w:rPr>
          <w:sz w:val="22"/>
        </w:rPr>
        <w:t>obras</w:t>
      </w:r>
      <w:r>
        <w:rPr>
          <w:spacing w:val="-6"/>
          <w:sz w:val="22"/>
        </w:rPr>
        <w:t> </w:t>
      </w:r>
      <w:r>
        <w:rPr>
          <w:sz w:val="22"/>
        </w:rPr>
        <w:t>y</w:t>
      </w:r>
      <w:r>
        <w:rPr>
          <w:spacing w:val="-6"/>
          <w:sz w:val="22"/>
        </w:rPr>
        <w:t> </w:t>
      </w:r>
      <w:r>
        <w:rPr>
          <w:sz w:val="22"/>
        </w:rPr>
        <w:t>resuelto</w:t>
      </w:r>
      <w:r>
        <w:rPr>
          <w:spacing w:val="-6"/>
          <w:sz w:val="22"/>
        </w:rPr>
        <w:t> </w:t>
      </w:r>
      <w:r>
        <w:rPr>
          <w:sz w:val="22"/>
        </w:rPr>
        <w:t>algunos</w:t>
      </w:r>
      <w:r>
        <w:rPr>
          <w:spacing w:val="-4"/>
          <w:sz w:val="22"/>
        </w:rPr>
        <w:t> </w:t>
      </w:r>
      <w:r>
        <w:rPr>
          <w:sz w:val="22"/>
        </w:rPr>
        <w:t>de</w:t>
      </w:r>
      <w:r>
        <w:rPr>
          <w:spacing w:val="-7"/>
          <w:sz w:val="22"/>
        </w:rPr>
        <w:t> </w:t>
      </w:r>
      <w:r>
        <w:rPr>
          <w:sz w:val="22"/>
        </w:rPr>
        <w:t>los</w:t>
      </w:r>
      <w:r>
        <w:rPr>
          <w:spacing w:val="-4"/>
          <w:sz w:val="22"/>
        </w:rPr>
        <w:t> </w:t>
      </w:r>
      <w:r>
        <w:rPr>
          <w:sz w:val="22"/>
        </w:rPr>
        <w:t>contratos celebrados por el </w:t>
      </w:r>
      <w:r>
        <w:rPr>
          <w:b/>
          <w:sz w:val="22"/>
        </w:rPr>
        <w:t>Ayuntamiento de Las Palmas de Gran Canaria, </w:t>
      </w:r>
      <w:r>
        <w:rPr>
          <w:sz w:val="22"/>
        </w:rPr>
        <w:t>y se han aprobado modificaciones de contratos de obras celebrados por los </w:t>
      </w:r>
      <w:r>
        <w:rPr>
          <w:b/>
          <w:sz w:val="22"/>
        </w:rPr>
        <w:t>Ayuntamientos de Málaga, Murcia, Palma </w:t>
      </w:r>
      <w:r>
        <w:rPr>
          <w:sz w:val="22"/>
        </w:rPr>
        <w:t>y </w:t>
      </w:r>
      <w:r>
        <w:rPr>
          <w:b/>
          <w:sz w:val="22"/>
        </w:rPr>
        <w:t>Sevilla</w:t>
      </w:r>
      <w:r>
        <w:rPr>
          <w:sz w:val="22"/>
        </w:rPr>
        <w:t>. (Subepígrafe II.3.2.2)</w:t>
      </w:r>
    </w:p>
    <w:p>
      <w:pPr>
        <w:pStyle w:val="ListParagraph"/>
        <w:numPr>
          <w:ilvl w:val="0"/>
          <w:numId w:val="9"/>
        </w:numPr>
        <w:tabs>
          <w:tab w:pos="1347" w:val="left" w:leader="none"/>
          <w:tab w:pos="1349" w:val="left" w:leader="none"/>
        </w:tabs>
        <w:spacing w:line="240" w:lineRule="auto" w:before="242" w:after="0"/>
        <w:ind w:left="1349" w:right="984" w:hanging="358"/>
        <w:jc w:val="both"/>
        <w:rPr>
          <w:sz w:val="22"/>
        </w:rPr>
      </w:pPr>
      <w:r>
        <w:rPr>
          <w:sz w:val="22"/>
        </w:rPr>
        <w:t>Todos</w:t>
      </w:r>
      <w:r>
        <w:rPr>
          <w:spacing w:val="-1"/>
          <w:sz w:val="22"/>
        </w:rPr>
        <w:t> </w:t>
      </w:r>
      <w:r>
        <w:rPr>
          <w:sz w:val="22"/>
        </w:rPr>
        <w:t>los</w:t>
      </w:r>
      <w:r>
        <w:rPr>
          <w:spacing w:val="-4"/>
          <w:sz w:val="22"/>
        </w:rPr>
        <w:t> </w:t>
      </w:r>
      <w:r>
        <w:rPr>
          <w:sz w:val="22"/>
        </w:rPr>
        <w:t>ayuntamientos</w:t>
      </w:r>
      <w:r>
        <w:rPr>
          <w:spacing w:val="-4"/>
          <w:sz w:val="22"/>
        </w:rPr>
        <w:t> </w:t>
      </w:r>
      <w:r>
        <w:rPr>
          <w:sz w:val="22"/>
        </w:rPr>
        <w:t>han</w:t>
      </w:r>
      <w:r>
        <w:rPr>
          <w:spacing w:val="-4"/>
          <w:sz w:val="22"/>
        </w:rPr>
        <w:t> </w:t>
      </w:r>
      <w:r>
        <w:rPr>
          <w:sz w:val="22"/>
        </w:rPr>
        <w:t>llevado</w:t>
      </w:r>
      <w:r>
        <w:rPr>
          <w:spacing w:val="-4"/>
          <w:sz w:val="22"/>
        </w:rPr>
        <w:t> </w:t>
      </w:r>
      <w:r>
        <w:rPr>
          <w:sz w:val="22"/>
        </w:rPr>
        <w:t>a</w:t>
      </w:r>
      <w:r>
        <w:rPr>
          <w:spacing w:val="-4"/>
          <w:sz w:val="22"/>
        </w:rPr>
        <w:t> </w:t>
      </w:r>
      <w:r>
        <w:rPr>
          <w:sz w:val="22"/>
        </w:rPr>
        <w:t>cabo</w:t>
      </w:r>
      <w:r>
        <w:rPr>
          <w:spacing w:val="-4"/>
          <w:sz w:val="22"/>
        </w:rPr>
        <w:t> </w:t>
      </w:r>
      <w:r>
        <w:rPr>
          <w:sz w:val="22"/>
        </w:rPr>
        <w:t>en</w:t>
      </w:r>
      <w:r>
        <w:rPr>
          <w:spacing w:val="-4"/>
          <w:sz w:val="22"/>
        </w:rPr>
        <w:t> </w:t>
      </w:r>
      <w:r>
        <w:rPr>
          <w:sz w:val="22"/>
        </w:rPr>
        <w:t>los</w:t>
      </w:r>
      <w:r>
        <w:rPr>
          <w:spacing w:val="-2"/>
          <w:sz w:val="22"/>
        </w:rPr>
        <w:t> </w:t>
      </w:r>
      <w:r>
        <w:rPr>
          <w:sz w:val="22"/>
        </w:rPr>
        <w:t>ejercicios</w:t>
      </w:r>
      <w:r>
        <w:rPr>
          <w:spacing w:val="-6"/>
          <w:sz w:val="22"/>
        </w:rPr>
        <w:t> </w:t>
      </w:r>
      <w:r>
        <w:rPr>
          <w:sz w:val="22"/>
        </w:rPr>
        <w:t>fiscalizados</w:t>
      </w:r>
      <w:r>
        <w:rPr>
          <w:spacing w:val="-4"/>
          <w:sz w:val="22"/>
        </w:rPr>
        <w:t> </w:t>
      </w:r>
      <w:r>
        <w:rPr>
          <w:sz w:val="22"/>
        </w:rPr>
        <w:t>actuaciones</w:t>
      </w:r>
      <w:r>
        <w:rPr>
          <w:spacing w:val="-4"/>
          <w:sz w:val="22"/>
        </w:rPr>
        <w:t> </w:t>
      </w:r>
      <w:r>
        <w:rPr>
          <w:sz w:val="22"/>
        </w:rPr>
        <w:t>dirigidas a impulsar la digitalización del transporte público colectivo, para lo que han celebrado 113 contratos, con un importe total, incluido el de las modificaciones aprobadas hasta 31 de diciembre</w:t>
      </w:r>
      <w:r>
        <w:rPr>
          <w:spacing w:val="-9"/>
          <w:sz w:val="22"/>
        </w:rPr>
        <w:t> </w:t>
      </w:r>
      <w:r>
        <w:rPr>
          <w:sz w:val="22"/>
        </w:rPr>
        <w:t>de</w:t>
      </w:r>
      <w:r>
        <w:rPr>
          <w:spacing w:val="-9"/>
          <w:sz w:val="22"/>
        </w:rPr>
        <w:t> </w:t>
      </w:r>
      <w:r>
        <w:rPr>
          <w:sz w:val="22"/>
        </w:rPr>
        <w:t>2024,</w:t>
      </w:r>
      <w:r>
        <w:rPr>
          <w:spacing w:val="-7"/>
          <w:sz w:val="22"/>
        </w:rPr>
        <w:t> </w:t>
      </w:r>
      <w:r>
        <w:rPr>
          <w:sz w:val="22"/>
        </w:rPr>
        <w:t>de</w:t>
      </w:r>
      <w:r>
        <w:rPr>
          <w:spacing w:val="-12"/>
          <w:sz w:val="22"/>
        </w:rPr>
        <w:t> </w:t>
      </w:r>
      <w:r>
        <w:rPr>
          <w:sz w:val="22"/>
        </w:rPr>
        <w:t>36.750.822,23</w:t>
      </w:r>
      <w:r>
        <w:rPr>
          <w:spacing w:val="-9"/>
          <w:sz w:val="22"/>
        </w:rPr>
        <w:t> </w:t>
      </w:r>
      <w:r>
        <w:rPr>
          <w:sz w:val="22"/>
        </w:rPr>
        <w:t>euros,</w:t>
      </w:r>
      <w:r>
        <w:rPr>
          <w:spacing w:val="-10"/>
          <w:sz w:val="22"/>
        </w:rPr>
        <w:t> </w:t>
      </w:r>
      <w:r>
        <w:rPr>
          <w:sz w:val="22"/>
        </w:rPr>
        <w:t>habiéndose</w:t>
      </w:r>
      <w:r>
        <w:rPr>
          <w:spacing w:val="-9"/>
          <w:sz w:val="22"/>
        </w:rPr>
        <w:t> </w:t>
      </w:r>
      <w:r>
        <w:rPr>
          <w:sz w:val="22"/>
        </w:rPr>
        <w:t>recibido</w:t>
      </w:r>
      <w:r>
        <w:rPr>
          <w:spacing w:val="-9"/>
          <w:sz w:val="22"/>
        </w:rPr>
        <w:t> </w:t>
      </w:r>
      <w:r>
        <w:rPr>
          <w:sz w:val="22"/>
        </w:rPr>
        <w:t>ayudas,</w:t>
      </w:r>
      <w:r>
        <w:rPr>
          <w:spacing w:val="-7"/>
          <w:sz w:val="22"/>
        </w:rPr>
        <w:t> </w:t>
      </w:r>
      <w:r>
        <w:rPr>
          <w:sz w:val="22"/>
        </w:rPr>
        <w:t>a</w:t>
      </w:r>
      <w:r>
        <w:rPr>
          <w:spacing w:val="-11"/>
          <w:sz w:val="22"/>
        </w:rPr>
        <w:t> </w:t>
      </w:r>
      <w:r>
        <w:rPr>
          <w:sz w:val="22"/>
        </w:rPr>
        <w:t>excepción</w:t>
      </w:r>
      <w:r>
        <w:rPr>
          <w:spacing w:val="-9"/>
          <w:sz w:val="22"/>
        </w:rPr>
        <w:t> </w:t>
      </w:r>
      <w:r>
        <w:rPr>
          <w:sz w:val="22"/>
        </w:rPr>
        <w:t>de</w:t>
      </w:r>
      <w:r>
        <w:rPr>
          <w:spacing w:val="-9"/>
          <w:sz w:val="22"/>
        </w:rPr>
        <w:t> </w:t>
      </w:r>
      <w:r>
        <w:rPr>
          <w:sz w:val="22"/>
        </w:rPr>
        <w:t>los</w:t>
      </w:r>
      <w:r>
        <w:rPr>
          <w:spacing w:val="-9"/>
          <w:sz w:val="22"/>
        </w:rPr>
        <w:t> </w:t>
      </w:r>
      <w:r>
        <w:rPr>
          <w:sz w:val="22"/>
        </w:rPr>
        <w:t>de </w:t>
      </w:r>
      <w:r>
        <w:rPr>
          <w:b/>
          <w:sz w:val="22"/>
        </w:rPr>
        <w:t>Bilbao </w:t>
      </w:r>
      <w:r>
        <w:rPr>
          <w:sz w:val="22"/>
        </w:rPr>
        <w:t>y </w:t>
      </w:r>
      <w:r>
        <w:rPr>
          <w:b/>
          <w:sz w:val="22"/>
        </w:rPr>
        <w:t>Sevilla</w:t>
      </w:r>
      <w:r>
        <w:rPr>
          <w:sz w:val="22"/>
        </w:rPr>
        <w:t>, para su financiación por 23.870.753,78 euros, el 95,90 % del PRTR.</w:t>
      </w:r>
    </w:p>
    <w:p>
      <w:pPr>
        <w:spacing w:before="240"/>
        <w:ind w:left="1349" w:right="985" w:firstLine="0"/>
        <w:jc w:val="both"/>
        <w:rPr>
          <w:sz w:val="22"/>
        </w:rPr>
      </w:pPr>
      <w:r>
        <w:rPr>
          <w:sz w:val="22"/>
        </w:rPr>
        <w:t>Dichas</w:t>
      </w:r>
      <w:r>
        <w:rPr>
          <w:spacing w:val="-7"/>
          <w:sz w:val="22"/>
        </w:rPr>
        <w:t> </w:t>
      </w:r>
      <w:r>
        <w:rPr>
          <w:sz w:val="22"/>
        </w:rPr>
        <w:t>actuaciones</w:t>
      </w:r>
      <w:r>
        <w:rPr>
          <w:spacing w:val="-7"/>
          <w:sz w:val="22"/>
        </w:rPr>
        <w:t> </w:t>
      </w:r>
      <w:r>
        <w:rPr>
          <w:sz w:val="22"/>
        </w:rPr>
        <w:t>las</w:t>
      </w:r>
      <w:r>
        <w:rPr>
          <w:spacing w:val="-10"/>
          <w:sz w:val="22"/>
        </w:rPr>
        <w:t> </w:t>
      </w:r>
      <w:r>
        <w:rPr>
          <w:sz w:val="22"/>
        </w:rPr>
        <w:t>han</w:t>
      </w:r>
      <w:r>
        <w:rPr>
          <w:spacing w:val="-8"/>
          <w:sz w:val="22"/>
        </w:rPr>
        <w:t> </w:t>
      </w:r>
      <w:r>
        <w:rPr>
          <w:sz w:val="22"/>
        </w:rPr>
        <w:t>ejecutado</w:t>
      </w:r>
      <w:r>
        <w:rPr>
          <w:spacing w:val="-9"/>
          <w:sz w:val="22"/>
        </w:rPr>
        <w:t> </w:t>
      </w:r>
      <w:r>
        <w:rPr>
          <w:sz w:val="22"/>
        </w:rPr>
        <w:t>manera</w:t>
      </w:r>
      <w:r>
        <w:rPr>
          <w:spacing w:val="-7"/>
          <w:sz w:val="22"/>
        </w:rPr>
        <w:t> </w:t>
      </w:r>
      <w:r>
        <w:rPr>
          <w:sz w:val="22"/>
        </w:rPr>
        <w:t>individualizada</w:t>
      </w:r>
      <w:r>
        <w:rPr>
          <w:spacing w:val="-7"/>
          <w:sz w:val="22"/>
        </w:rPr>
        <w:t> </w:t>
      </w:r>
      <w:r>
        <w:rPr>
          <w:sz w:val="22"/>
        </w:rPr>
        <w:t>y/o</w:t>
      </w:r>
      <w:r>
        <w:rPr>
          <w:spacing w:val="-7"/>
          <w:sz w:val="22"/>
        </w:rPr>
        <w:t> </w:t>
      </w:r>
      <w:r>
        <w:rPr>
          <w:sz w:val="22"/>
        </w:rPr>
        <w:t>integrados</w:t>
      </w:r>
      <w:r>
        <w:rPr>
          <w:spacing w:val="-7"/>
          <w:sz w:val="22"/>
        </w:rPr>
        <w:t> </w:t>
      </w:r>
      <w:r>
        <w:rPr>
          <w:sz w:val="22"/>
        </w:rPr>
        <w:t>en</w:t>
      </w:r>
      <w:r>
        <w:rPr>
          <w:spacing w:val="-8"/>
          <w:sz w:val="22"/>
        </w:rPr>
        <w:t> </w:t>
      </w:r>
      <w:r>
        <w:rPr>
          <w:sz w:val="22"/>
        </w:rPr>
        <w:t>una</w:t>
      </w:r>
      <w:r>
        <w:rPr>
          <w:spacing w:val="-10"/>
          <w:sz w:val="22"/>
        </w:rPr>
        <w:t> </w:t>
      </w:r>
      <w:r>
        <w:rPr>
          <w:sz w:val="22"/>
        </w:rPr>
        <w:t>agrupación de municipios. Los </w:t>
      </w:r>
      <w:r>
        <w:rPr>
          <w:b/>
          <w:sz w:val="22"/>
        </w:rPr>
        <w:t>Ayuntamientos de Las Palmas de Gran Canaria, Málaga </w:t>
      </w:r>
      <w:r>
        <w:rPr>
          <w:sz w:val="22"/>
        </w:rPr>
        <w:t>y </w:t>
      </w:r>
      <w:r>
        <w:rPr>
          <w:b/>
          <w:sz w:val="22"/>
        </w:rPr>
        <w:t>Palma</w:t>
      </w:r>
      <w:r>
        <w:rPr>
          <w:sz w:val="22"/>
        </w:rPr>
        <w:t>, junto</w:t>
      </w:r>
    </w:p>
    <w:p>
      <w:pPr>
        <w:spacing w:after="0"/>
        <w:jc w:val="both"/>
        <w:rPr>
          <w:sz w:val="22"/>
        </w:rPr>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1349" w:right="990"/>
        <w:jc w:val="both"/>
      </w:pPr>
      <w:r>
        <w:rPr/>
        <w:t>con el de San Sebastián, concurrieron agrupados a la primera convocatoria del Programa de ayudas</w:t>
      </w:r>
      <w:r>
        <w:rPr>
          <w:spacing w:val="-8"/>
        </w:rPr>
        <w:t> </w:t>
      </w:r>
      <w:r>
        <w:rPr/>
        <w:t>para</w:t>
      </w:r>
      <w:r>
        <w:rPr>
          <w:spacing w:val="-9"/>
        </w:rPr>
        <w:t> </w:t>
      </w:r>
      <w:r>
        <w:rPr/>
        <w:t>la</w:t>
      </w:r>
      <w:r>
        <w:rPr>
          <w:spacing w:val="-9"/>
        </w:rPr>
        <w:t> </w:t>
      </w:r>
      <w:r>
        <w:rPr/>
        <w:t>transformación</w:t>
      </w:r>
      <w:r>
        <w:rPr>
          <w:spacing w:val="-9"/>
        </w:rPr>
        <w:t> </w:t>
      </w:r>
      <w:r>
        <w:rPr/>
        <w:t>digital</w:t>
      </w:r>
      <w:r>
        <w:rPr>
          <w:spacing w:val="-10"/>
        </w:rPr>
        <w:t> </w:t>
      </w:r>
      <w:r>
        <w:rPr/>
        <w:t>y</w:t>
      </w:r>
      <w:r>
        <w:rPr>
          <w:spacing w:val="-8"/>
        </w:rPr>
        <w:t> </w:t>
      </w:r>
      <w:r>
        <w:rPr/>
        <w:t>sostenible</w:t>
      </w:r>
      <w:r>
        <w:rPr>
          <w:spacing w:val="-9"/>
        </w:rPr>
        <w:t> </w:t>
      </w:r>
      <w:r>
        <w:rPr/>
        <w:t>del</w:t>
      </w:r>
      <w:r>
        <w:rPr>
          <w:spacing w:val="-10"/>
        </w:rPr>
        <w:t> </w:t>
      </w:r>
      <w:r>
        <w:rPr/>
        <w:t>transporte</w:t>
      </w:r>
      <w:r>
        <w:rPr>
          <w:spacing w:val="-9"/>
        </w:rPr>
        <w:t> </w:t>
      </w:r>
      <w:r>
        <w:rPr/>
        <w:t>urbano,</w:t>
      </w:r>
      <w:r>
        <w:rPr>
          <w:spacing w:val="-7"/>
        </w:rPr>
        <w:t> </w:t>
      </w:r>
      <w:r>
        <w:rPr/>
        <w:t>PRTR,</w:t>
      </w:r>
      <w:r>
        <w:rPr>
          <w:spacing w:val="-7"/>
        </w:rPr>
        <w:t> </w:t>
      </w:r>
      <w:r>
        <w:rPr/>
        <w:t>con</w:t>
      </w:r>
      <w:r>
        <w:rPr>
          <w:spacing w:val="-9"/>
        </w:rPr>
        <w:t> </w:t>
      </w:r>
      <w:r>
        <w:rPr/>
        <w:t>el</w:t>
      </w:r>
      <w:r>
        <w:rPr>
          <w:spacing w:val="-10"/>
        </w:rPr>
        <w:t> </w:t>
      </w:r>
      <w:r>
        <w:rPr/>
        <w:t>objeto</w:t>
      </w:r>
      <w:r>
        <w:rPr>
          <w:spacing w:val="-9"/>
        </w:rPr>
        <w:t> </w:t>
      </w:r>
      <w:r>
        <w:rPr/>
        <w:t>de desarrollar el proyecto INNOBUS-Tur, un proyecto colaborativo de digitalización de la red de transporte público.</w:t>
      </w:r>
    </w:p>
    <w:p>
      <w:pPr>
        <w:spacing w:before="241"/>
        <w:ind w:left="1349" w:right="985" w:firstLine="0"/>
        <w:jc w:val="both"/>
        <w:rPr>
          <w:sz w:val="22"/>
        </w:rPr>
      </w:pPr>
      <w:r>
        <w:rPr>
          <w:sz w:val="22"/>
        </w:rPr>
        <w:t>Se han producido demoras y/o ampliaciones de plazo en la ejecución de algunos de los contratos</w:t>
      </w:r>
      <w:r>
        <w:rPr>
          <w:spacing w:val="-4"/>
          <w:sz w:val="22"/>
        </w:rPr>
        <w:t> </w:t>
      </w:r>
      <w:r>
        <w:rPr>
          <w:sz w:val="22"/>
        </w:rPr>
        <w:t>de</w:t>
      </w:r>
      <w:r>
        <w:rPr>
          <w:spacing w:val="-7"/>
          <w:sz w:val="22"/>
        </w:rPr>
        <w:t> </w:t>
      </w:r>
      <w:r>
        <w:rPr>
          <w:sz w:val="22"/>
        </w:rPr>
        <w:t>los</w:t>
      </w:r>
      <w:r>
        <w:rPr>
          <w:spacing w:val="-4"/>
          <w:sz w:val="22"/>
        </w:rPr>
        <w:t> </w:t>
      </w:r>
      <w:r>
        <w:rPr>
          <w:b/>
          <w:sz w:val="22"/>
        </w:rPr>
        <w:t>Ayuntamientos</w:t>
      </w:r>
      <w:r>
        <w:rPr>
          <w:b/>
          <w:spacing w:val="-4"/>
          <w:sz w:val="22"/>
        </w:rPr>
        <w:t> </w:t>
      </w:r>
      <w:r>
        <w:rPr>
          <w:b/>
          <w:sz w:val="22"/>
        </w:rPr>
        <w:t>de</w:t>
      </w:r>
      <w:r>
        <w:rPr>
          <w:b/>
          <w:spacing w:val="-7"/>
          <w:sz w:val="22"/>
        </w:rPr>
        <w:t> </w:t>
      </w:r>
      <w:r>
        <w:rPr>
          <w:b/>
          <w:sz w:val="22"/>
        </w:rPr>
        <w:t>Alicante,</w:t>
      </w:r>
      <w:r>
        <w:rPr>
          <w:b/>
          <w:spacing w:val="-3"/>
          <w:sz w:val="22"/>
        </w:rPr>
        <w:t> </w:t>
      </w:r>
      <w:r>
        <w:rPr>
          <w:b/>
          <w:sz w:val="22"/>
        </w:rPr>
        <w:t>Las</w:t>
      </w:r>
      <w:r>
        <w:rPr>
          <w:b/>
          <w:spacing w:val="-4"/>
          <w:sz w:val="22"/>
        </w:rPr>
        <w:t> </w:t>
      </w:r>
      <w:r>
        <w:rPr>
          <w:b/>
          <w:sz w:val="22"/>
        </w:rPr>
        <w:t>Palmas</w:t>
      </w:r>
      <w:r>
        <w:rPr>
          <w:b/>
          <w:spacing w:val="-7"/>
          <w:sz w:val="22"/>
        </w:rPr>
        <w:t> </w:t>
      </w:r>
      <w:r>
        <w:rPr>
          <w:b/>
          <w:sz w:val="22"/>
        </w:rPr>
        <w:t>de</w:t>
      </w:r>
      <w:r>
        <w:rPr>
          <w:b/>
          <w:spacing w:val="-7"/>
          <w:sz w:val="22"/>
        </w:rPr>
        <w:t> </w:t>
      </w:r>
      <w:r>
        <w:rPr>
          <w:b/>
          <w:sz w:val="22"/>
        </w:rPr>
        <w:t>Gran</w:t>
      </w:r>
      <w:r>
        <w:rPr>
          <w:b/>
          <w:spacing w:val="-4"/>
          <w:sz w:val="22"/>
        </w:rPr>
        <w:t> </w:t>
      </w:r>
      <w:r>
        <w:rPr>
          <w:b/>
          <w:sz w:val="22"/>
        </w:rPr>
        <w:t>Canaria,</w:t>
      </w:r>
      <w:r>
        <w:rPr>
          <w:b/>
          <w:spacing w:val="-5"/>
          <w:sz w:val="22"/>
        </w:rPr>
        <w:t> </w:t>
      </w:r>
      <w:r>
        <w:rPr>
          <w:b/>
          <w:sz w:val="22"/>
        </w:rPr>
        <w:t>Murcia,</w:t>
      </w:r>
      <w:r>
        <w:rPr>
          <w:b/>
          <w:spacing w:val="-3"/>
          <w:sz w:val="22"/>
        </w:rPr>
        <w:t> </w:t>
      </w:r>
      <w:r>
        <w:rPr>
          <w:b/>
          <w:sz w:val="22"/>
        </w:rPr>
        <w:t>Palma </w:t>
      </w:r>
      <w:r>
        <w:rPr>
          <w:sz w:val="22"/>
        </w:rPr>
        <w:t>y </w:t>
      </w:r>
      <w:r>
        <w:rPr>
          <w:b/>
          <w:sz w:val="22"/>
        </w:rPr>
        <w:t>Sevilla</w:t>
      </w:r>
      <w:r>
        <w:rPr>
          <w:sz w:val="22"/>
        </w:rPr>
        <w:t>;</w:t>
      </w:r>
      <w:r>
        <w:rPr>
          <w:spacing w:val="-5"/>
          <w:sz w:val="22"/>
        </w:rPr>
        <w:t> </w:t>
      </w:r>
      <w:r>
        <w:rPr>
          <w:sz w:val="22"/>
        </w:rPr>
        <w:t>y</w:t>
      </w:r>
      <w:r>
        <w:rPr>
          <w:spacing w:val="-6"/>
          <w:sz w:val="22"/>
        </w:rPr>
        <w:t> </w:t>
      </w:r>
      <w:r>
        <w:rPr>
          <w:sz w:val="22"/>
        </w:rPr>
        <w:t>se</w:t>
      </w:r>
      <w:r>
        <w:rPr>
          <w:spacing w:val="-6"/>
          <w:sz w:val="22"/>
        </w:rPr>
        <w:t> </w:t>
      </w:r>
      <w:r>
        <w:rPr>
          <w:sz w:val="22"/>
        </w:rPr>
        <w:t>han</w:t>
      </w:r>
      <w:r>
        <w:rPr>
          <w:spacing w:val="-4"/>
          <w:sz w:val="22"/>
        </w:rPr>
        <w:t> </w:t>
      </w:r>
      <w:r>
        <w:rPr>
          <w:sz w:val="22"/>
        </w:rPr>
        <w:t>aprobado</w:t>
      </w:r>
      <w:r>
        <w:rPr>
          <w:spacing w:val="-4"/>
          <w:sz w:val="22"/>
        </w:rPr>
        <w:t> </w:t>
      </w:r>
      <w:r>
        <w:rPr>
          <w:sz w:val="22"/>
        </w:rPr>
        <w:t>modificaciones</w:t>
      </w:r>
      <w:r>
        <w:rPr>
          <w:spacing w:val="-4"/>
          <w:sz w:val="22"/>
        </w:rPr>
        <w:t> </w:t>
      </w:r>
      <w:r>
        <w:rPr>
          <w:sz w:val="22"/>
        </w:rPr>
        <w:t>de</w:t>
      </w:r>
      <w:r>
        <w:rPr>
          <w:spacing w:val="-7"/>
          <w:sz w:val="22"/>
        </w:rPr>
        <w:t> </w:t>
      </w:r>
      <w:r>
        <w:rPr>
          <w:sz w:val="22"/>
        </w:rPr>
        <w:t>contratos</w:t>
      </w:r>
      <w:r>
        <w:rPr>
          <w:spacing w:val="-4"/>
          <w:sz w:val="22"/>
        </w:rPr>
        <w:t> </w:t>
      </w:r>
      <w:r>
        <w:rPr>
          <w:sz w:val="22"/>
        </w:rPr>
        <w:t>de</w:t>
      </w:r>
      <w:r>
        <w:rPr>
          <w:spacing w:val="-7"/>
          <w:sz w:val="22"/>
        </w:rPr>
        <w:t> </w:t>
      </w:r>
      <w:r>
        <w:rPr>
          <w:sz w:val="22"/>
        </w:rPr>
        <w:t>los</w:t>
      </w:r>
      <w:r>
        <w:rPr>
          <w:spacing w:val="-7"/>
          <w:sz w:val="22"/>
        </w:rPr>
        <w:t> </w:t>
      </w:r>
      <w:r>
        <w:rPr>
          <w:b/>
          <w:sz w:val="22"/>
        </w:rPr>
        <w:t>Ayuntamientos</w:t>
      </w:r>
      <w:r>
        <w:rPr>
          <w:b/>
          <w:spacing w:val="-4"/>
          <w:sz w:val="22"/>
        </w:rPr>
        <w:t> </w:t>
      </w:r>
      <w:r>
        <w:rPr>
          <w:b/>
          <w:sz w:val="22"/>
        </w:rPr>
        <w:t>de</w:t>
      </w:r>
      <w:r>
        <w:rPr>
          <w:b/>
          <w:spacing w:val="-7"/>
          <w:sz w:val="22"/>
        </w:rPr>
        <w:t> </w:t>
      </w:r>
      <w:r>
        <w:rPr>
          <w:b/>
          <w:sz w:val="22"/>
        </w:rPr>
        <w:t>Las</w:t>
      </w:r>
      <w:r>
        <w:rPr>
          <w:b/>
          <w:spacing w:val="-6"/>
          <w:sz w:val="22"/>
        </w:rPr>
        <w:t> </w:t>
      </w:r>
      <w:r>
        <w:rPr>
          <w:b/>
          <w:sz w:val="22"/>
        </w:rPr>
        <w:t>Palmas de Gran Canaria, Málaga </w:t>
      </w:r>
      <w:r>
        <w:rPr>
          <w:sz w:val="22"/>
        </w:rPr>
        <w:t>y </w:t>
      </w:r>
      <w:r>
        <w:rPr>
          <w:b/>
          <w:sz w:val="22"/>
        </w:rPr>
        <w:t>Sevilla</w:t>
      </w:r>
      <w:r>
        <w:rPr>
          <w:sz w:val="22"/>
        </w:rPr>
        <w:t>. (Subepígrafe II.3.2.3)</w:t>
      </w:r>
    </w:p>
    <w:p>
      <w:pPr>
        <w:pStyle w:val="BodyText"/>
        <w:spacing w:before="10"/>
        <w:rPr>
          <w:sz w:val="18"/>
        </w:rPr>
      </w:pPr>
      <w:r>
        <w:rPr>
          <w:sz w:val="18"/>
        </w:rPr>
        <mc:AlternateContent>
          <mc:Choice Requires="wps">
            <w:drawing>
              <wp:anchor distT="0" distB="0" distL="0" distR="0" allowOverlap="1" layoutInCell="1" locked="0" behindDoc="1" simplePos="0" relativeHeight="487626752">
                <wp:simplePos x="0" y="0"/>
                <wp:positionH relativeFrom="page">
                  <wp:posOffset>928420</wp:posOffset>
                </wp:positionH>
                <wp:positionV relativeFrom="paragraph">
                  <wp:posOffset>153147</wp:posOffset>
                </wp:positionV>
                <wp:extent cx="5931535" cy="1868805"/>
                <wp:effectExtent l="0" t="0" r="0" b="0"/>
                <wp:wrapTopAndBottom/>
                <wp:docPr id="233" name="Textbox 233"/>
                <wp:cNvGraphicFramePr>
                  <a:graphicFrameLocks/>
                </wp:cNvGraphicFramePr>
                <a:graphic>
                  <a:graphicData uri="http://schemas.microsoft.com/office/word/2010/wordprocessingShape">
                    <wps:wsp>
                      <wps:cNvPr id="233" name="Textbox 233"/>
                      <wps:cNvSpPr txBox="1"/>
                      <wps:spPr>
                        <a:xfrm>
                          <a:off x="0" y="0"/>
                          <a:ext cx="5931535" cy="1868805"/>
                        </a:xfrm>
                        <a:prstGeom prst="rect">
                          <a:avLst/>
                        </a:prstGeom>
                        <a:solidFill>
                          <a:srgbClr val="DBE4F0"/>
                        </a:solidFill>
                      </wps:spPr>
                      <wps:txbx>
                        <w:txbxContent>
                          <w:p>
                            <w:pPr>
                              <w:pStyle w:val="BodyText"/>
                              <w:spacing w:before="21"/>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5:</w:t>
                            </w:r>
                          </w:p>
                          <w:p>
                            <w:pPr>
                              <w:pStyle w:val="BodyText"/>
                              <w:spacing w:before="138"/>
                              <w:ind w:left="28" w:right="24"/>
                              <w:jc w:val="both"/>
                              <w:rPr>
                                <w:color w:val="000000"/>
                              </w:rPr>
                            </w:pPr>
                            <w:r>
                              <w:rPr>
                                <w:color w:val="000000"/>
                              </w:rPr>
                              <w:t>Los </w:t>
                            </w:r>
                            <w:r>
                              <w:rPr>
                                <w:b/>
                                <w:color w:val="000000"/>
                              </w:rPr>
                              <w:t>Ayuntamientos de Alicante, Bilbao, Las Palmas de Gran Canaria, Málaga, Murcia, Palma </w:t>
                            </w:r>
                            <w:r>
                              <w:rPr>
                                <w:color w:val="000000"/>
                              </w:rPr>
                              <w:t>y </w:t>
                            </w:r>
                            <w:r>
                              <w:rPr>
                                <w:b/>
                                <w:color w:val="000000"/>
                              </w:rPr>
                              <w:t>Sevilla </w:t>
                            </w:r>
                            <w:r>
                              <w:rPr>
                                <w:color w:val="000000"/>
                              </w:rPr>
                              <w:t>deberían extremar el rigor en la planificación, preparación, adjudicación y supervisión de los contratos, especialmente en los de obras de grandes proyectos de infraestructuras,</w:t>
                            </w:r>
                            <w:r>
                              <w:rPr>
                                <w:color w:val="000000"/>
                                <w:spacing w:val="-7"/>
                              </w:rPr>
                              <w:t> </w:t>
                            </w:r>
                            <w:r>
                              <w:rPr>
                                <w:color w:val="000000"/>
                              </w:rPr>
                              <w:t>a</w:t>
                            </w:r>
                            <w:r>
                              <w:rPr>
                                <w:color w:val="000000"/>
                                <w:spacing w:val="-9"/>
                              </w:rPr>
                              <w:t> </w:t>
                            </w:r>
                            <w:r>
                              <w:rPr>
                                <w:color w:val="000000"/>
                              </w:rPr>
                              <w:t>fin</w:t>
                            </w:r>
                            <w:r>
                              <w:rPr>
                                <w:color w:val="000000"/>
                                <w:spacing w:val="-6"/>
                              </w:rPr>
                              <w:t> </w:t>
                            </w:r>
                            <w:r>
                              <w:rPr>
                                <w:color w:val="000000"/>
                              </w:rPr>
                              <w:t>de</w:t>
                            </w:r>
                            <w:r>
                              <w:rPr>
                                <w:color w:val="000000"/>
                                <w:spacing w:val="-12"/>
                              </w:rPr>
                              <w:t> </w:t>
                            </w:r>
                            <w:r>
                              <w:rPr>
                                <w:color w:val="000000"/>
                              </w:rPr>
                              <w:t>evitar</w:t>
                            </w:r>
                            <w:r>
                              <w:rPr>
                                <w:color w:val="000000"/>
                                <w:spacing w:val="-8"/>
                              </w:rPr>
                              <w:t> </w:t>
                            </w:r>
                            <w:r>
                              <w:rPr>
                                <w:color w:val="000000"/>
                              </w:rPr>
                              <w:t>que</w:t>
                            </w:r>
                            <w:r>
                              <w:rPr>
                                <w:color w:val="000000"/>
                                <w:spacing w:val="-9"/>
                              </w:rPr>
                              <w:t> </w:t>
                            </w:r>
                            <w:r>
                              <w:rPr>
                                <w:color w:val="000000"/>
                              </w:rPr>
                              <w:t>se</w:t>
                            </w:r>
                            <w:r>
                              <w:rPr>
                                <w:color w:val="000000"/>
                                <w:spacing w:val="-6"/>
                              </w:rPr>
                              <w:t> </w:t>
                            </w:r>
                            <w:r>
                              <w:rPr>
                                <w:color w:val="000000"/>
                              </w:rPr>
                              <w:t>produzcan</w:t>
                            </w:r>
                            <w:r>
                              <w:rPr>
                                <w:color w:val="000000"/>
                                <w:spacing w:val="-9"/>
                              </w:rPr>
                              <w:t> </w:t>
                            </w:r>
                            <w:r>
                              <w:rPr>
                                <w:color w:val="000000"/>
                              </w:rPr>
                              <w:t>incidencias</w:t>
                            </w:r>
                            <w:r>
                              <w:rPr>
                                <w:color w:val="000000"/>
                                <w:spacing w:val="-6"/>
                              </w:rPr>
                              <w:t> </w:t>
                            </w:r>
                            <w:r>
                              <w:rPr>
                                <w:color w:val="000000"/>
                              </w:rPr>
                              <w:t>en</w:t>
                            </w:r>
                            <w:r>
                              <w:rPr>
                                <w:color w:val="000000"/>
                                <w:spacing w:val="-9"/>
                              </w:rPr>
                              <w:t> </w:t>
                            </w:r>
                            <w:r>
                              <w:rPr>
                                <w:color w:val="000000"/>
                              </w:rPr>
                              <w:t>su</w:t>
                            </w:r>
                            <w:r>
                              <w:rPr>
                                <w:color w:val="000000"/>
                                <w:spacing w:val="-6"/>
                              </w:rPr>
                              <w:t> </w:t>
                            </w:r>
                            <w:r>
                              <w:rPr>
                                <w:color w:val="000000"/>
                              </w:rPr>
                              <w:t>ejecución</w:t>
                            </w:r>
                            <w:r>
                              <w:rPr>
                                <w:color w:val="000000"/>
                                <w:spacing w:val="-7"/>
                              </w:rPr>
                              <w:t> </w:t>
                            </w:r>
                            <w:r>
                              <w:rPr>
                                <w:color w:val="000000"/>
                              </w:rPr>
                              <w:t>que</w:t>
                            </w:r>
                            <w:r>
                              <w:rPr>
                                <w:color w:val="000000"/>
                                <w:spacing w:val="-9"/>
                              </w:rPr>
                              <w:t> </w:t>
                            </w:r>
                            <w:r>
                              <w:rPr>
                                <w:color w:val="000000"/>
                              </w:rPr>
                              <w:t>desvirtúen</w:t>
                            </w:r>
                            <w:r>
                              <w:rPr>
                                <w:color w:val="000000"/>
                                <w:spacing w:val="-6"/>
                              </w:rPr>
                              <w:t> </w:t>
                            </w:r>
                            <w:r>
                              <w:rPr>
                                <w:color w:val="000000"/>
                              </w:rPr>
                              <w:t>las condiciones en las que fueron originariamente licitadas, tales como demoras, modificaciones contractuales que frecuentemente implican ampliaciones de plazo e incrementos de costes, suspensiones y resoluciones de contratos con el consiguiente abono, en su caso, de la correspondiente indemnización de daños y perjuicios a favor del contratista.</w:t>
                            </w:r>
                          </w:p>
                        </w:txbxContent>
                      </wps:txbx>
                      <wps:bodyPr wrap="square" lIns="0" tIns="0" rIns="0" bIns="0" rtlCol="0">
                        <a:noAutofit/>
                      </wps:bodyPr>
                    </wps:wsp>
                  </a:graphicData>
                </a:graphic>
              </wp:anchor>
            </w:drawing>
          </mc:Choice>
          <mc:Fallback>
            <w:pict>
              <v:shape style="position:absolute;margin-left:73.103996pt;margin-top:12.05889pt;width:467.05pt;height:147.15pt;mso-position-horizontal-relative:page;mso-position-vertical-relative:paragraph;z-index:-15689728;mso-wrap-distance-left:0;mso-wrap-distance-right:0" type="#_x0000_t202" id="docshape212" filled="true" fillcolor="#dbe4f0" stroked="false">
                <v:textbox inset="0,0,0,0">
                  <w:txbxContent>
                    <w:p>
                      <w:pPr>
                        <w:pStyle w:val="BodyText"/>
                        <w:spacing w:before="21"/>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5:</w:t>
                      </w:r>
                    </w:p>
                    <w:p>
                      <w:pPr>
                        <w:pStyle w:val="BodyText"/>
                        <w:spacing w:before="138"/>
                        <w:ind w:left="28" w:right="24"/>
                        <w:jc w:val="both"/>
                        <w:rPr>
                          <w:color w:val="000000"/>
                        </w:rPr>
                      </w:pPr>
                      <w:r>
                        <w:rPr>
                          <w:color w:val="000000"/>
                        </w:rPr>
                        <w:t>Los </w:t>
                      </w:r>
                      <w:r>
                        <w:rPr>
                          <w:b/>
                          <w:color w:val="000000"/>
                        </w:rPr>
                        <w:t>Ayuntamientos de Alicante, Bilbao, Las Palmas de Gran Canaria, Málaga, Murcia, Palma </w:t>
                      </w:r>
                      <w:r>
                        <w:rPr>
                          <w:color w:val="000000"/>
                        </w:rPr>
                        <w:t>y </w:t>
                      </w:r>
                      <w:r>
                        <w:rPr>
                          <w:b/>
                          <w:color w:val="000000"/>
                        </w:rPr>
                        <w:t>Sevilla </w:t>
                      </w:r>
                      <w:r>
                        <w:rPr>
                          <w:color w:val="000000"/>
                        </w:rPr>
                        <w:t>deberían extremar el rigor en la planificación, preparación, adjudicación y supervisión de los contratos, especialmente en los de obras de grandes proyectos de infraestructuras,</w:t>
                      </w:r>
                      <w:r>
                        <w:rPr>
                          <w:color w:val="000000"/>
                          <w:spacing w:val="-7"/>
                        </w:rPr>
                        <w:t> </w:t>
                      </w:r>
                      <w:r>
                        <w:rPr>
                          <w:color w:val="000000"/>
                        </w:rPr>
                        <w:t>a</w:t>
                      </w:r>
                      <w:r>
                        <w:rPr>
                          <w:color w:val="000000"/>
                          <w:spacing w:val="-9"/>
                        </w:rPr>
                        <w:t> </w:t>
                      </w:r>
                      <w:r>
                        <w:rPr>
                          <w:color w:val="000000"/>
                        </w:rPr>
                        <w:t>fin</w:t>
                      </w:r>
                      <w:r>
                        <w:rPr>
                          <w:color w:val="000000"/>
                          <w:spacing w:val="-6"/>
                        </w:rPr>
                        <w:t> </w:t>
                      </w:r>
                      <w:r>
                        <w:rPr>
                          <w:color w:val="000000"/>
                        </w:rPr>
                        <w:t>de</w:t>
                      </w:r>
                      <w:r>
                        <w:rPr>
                          <w:color w:val="000000"/>
                          <w:spacing w:val="-12"/>
                        </w:rPr>
                        <w:t> </w:t>
                      </w:r>
                      <w:r>
                        <w:rPr>
                          <w:color w:val="000000"/>
                        </w:rPr>
                        <w:t>evitar</w:t>
                      </w:r>
                      <w:r>
                        <w:rPr>
                          <w:color w:val="000000"/>
                          <w:spacing w:val="-8"/>
                        </w:rPr>
                        <w:t> </w:t>
                      </w:r>
                      <w:r>
                        <w:rPr>
                          <w:color w:val="000000"/>
                        </w:rPr>
                        <w:t>que</w:t>
                      </w:r>
                      <w:r>
                        <w:rPr>
                          <w:color w:val="000000"/>
                          <w:spacing w:val="-9"/>
                        </w:rPr>
                        <w:t> </w:t>
                      </w:r>
                      <w:r>
                        <w:rPr>
                          <w:color w:val="000000"/>
                        </w:rPr>
                        <w:t>se</w:t>
                      </w:r>
                      <w:r>
                        <w:rPr>
                          <w:color w:val="000000"/>
                          <w:spacing w:val="-6"/>
                        </w:rPr>
                        <w:t> </w:t>
                      </w:r>
                      <w:r>
                        <w:rPr>
                          <w:color w:val="000000"/>
                        </w:rPr>
                        <w:t>produzcan</w:t>
                      </w:r>
                      <w:r>
                        <w:rPr>
                          <w:color w:val="000000"/>
                          <w:spacing w:val="-9"/>
                        </w:rPr>
                        <w:t> </w:t>
                      </w:r>
                      <w:r>
                        <w:rPr>
                          <w:color w:val="000000"/>
                        </w:rPr>
                        <w:t>incidencias</w:t>
                      </w:r>
                      <w:r>
                        <w:rPr>
                          <w:color w:val="000000"/>
                          <w:spacing w:val="-6"/>
                        </w:rPr>
                        <w:t> </w:t>
                      </w:r>
                      <w:r>
                        <w:rPr>
                          <w:color w:val="000000"/>
                        </w:rPr>
                        <w:t>en</w:t>
                      </w:r>
                      <w:r>
                        <w:rPr>
                          <w:color w:val="000000"/>
                          <w:spacing w:val="-9"/>
                        </w:rPr>
                        <w:t> </w:t>
                      </w:r>
                      <w:r>
                        <w:rPr>
                          <w:color w:val="000000"/>
                        </w:rPr>
                        <w:t>su</w:t>
                      </w:r>
                      <w:r>
                        <w:rPr>
                          <w:color w:val="000000"/>
                          <w:spacing w:val="-6"/>
                        </w:rPr>
                        <w:t> </w:t>
                      </w:r>
                      <w:r>
                        <w:rPr>
                          <w:color w:val="000000"/>
                        </w:rPr>
                        <w:t>ejecución</w:t>
                      </w:r>
                      <w:r>
                        <w:rPr>
                          <w:color w:val="000000"/>
                          <w:spacing w:val="-7"/>
                        </w:rPr>
                        <w:t> </w:t>
                      </w:r>
                      <w:r>
                        <w:rPr>
                          <w:color w:val="000000"/>
                        </w:rPr>
                        <w:t>que</w:t>
                      </w:r>
                      <w:r>
                        <w:rPr>
                          <w:color w:val="000000"/>
                          <w:spacing w:val="-9"/>
                        </w:rPr>
                        <w:t> </w:t>
                      </w:r>
                      <w:r>
                        <w:rPr>
                          <w:color w:val="000000"/>
                        </w:rPr>
                        <w:t>desvirtúen</w:t>
                      </w:r>
                      <w:r>
                        <w:rPr>
                          <w:color w:val="000000"/>
                          <w:spacing w:val="-6"/>
                        </w:rPr>
                        <w:t> </w:t>
                      </w:r>
                      <w:r>
                        <w:rPr>
                          <w:color w:val="000000"/>
                        </w:rPr>
                        <w:t>las condiciones en las que fueron originariamente licitadas, tales como demoras, modificaciones contractuales que frecuentemente implican ampliaciones de plazo e incrementos de costes, suspensiones y resoluciones de contratos con el consiguiente abono, en su caso, de la correspondiente indemnización de daños y perjuicios a favor del contratista.</w:t>
                      </w:r>
                    </w:p>
                  </w:txbxContent>
                </v:textbox>
                <v:fill type="solid"/>
                <w10:wrap type="topAndBottom"/>
              </v:shape>
            </w:pict>
          </mc:Fallback>
        </mc:AlternateContent>
      </w:r>
    </w:p>
    <w:p>
      <w:pPr>
        <w:pStyle w:val="ListParagraph"/>
        <w:numPr>
          <w:ilvl w:val="0"/>
          <w:numId w:val="9"/>
        </w:numPr>
        <w:tabs>
          <w:tab w:pos="1347" w:val="left" w:leader="none"/>
          <w:tab w:pos="1349" w:val="left" w:leader="none"/>
        </w:tabs>
        <w:spacing w:line="240" w:lineRule="auto" w:before="240" w:after="0"/>
        <w:ind w:left="1349" w:right="986" w:hanging="358"/>
        <w:jc w:val="both"/>
        <w:rPr>
          <w:sz w:val="22"/>
        </w:rPr>
      </w:pPr>
      <w:r>
        <w:rPr>
          <w:sz w:val="22"/>
        </w:rPr>
        <w:t>Los</w:t>
      </w:r>
      <w:r>
        <w:rPr>
          <w:spacing w:val="-16"/>
          <w:sz w:val="22"/>
        </w:rPr>
        <w:t> </w:t>
      </w:r>
      <w:r>
        <w:rPr>
          <w:b/>
          <w:sz w:val="22"/>
        </w:rPr>
        <w:t>Ayuntamientos</w:t>
      </w:r>
      <w:r>
        <w:rPr>
          <w:b/>
          <w:spacing w:val="-15"/>
          <w:sz w:val="22"/>
        </w:rPr>
        <w:t> </w:t>
      </w:r>
      <w:r>
        <w:rPr>
          <w:b/>
          <w:sz w:val="22"/>
        </w:rPr>
        <w:t>de</w:t>
      </w:r>
      <w:r>
        <w:rPr>
          <w:b/>
          <w:spacing w:val="-15"/>
          <w:sz w:val="22"/>
        </w:rPr>
        <w:t> </w:t>
      </w:r>
      <w:r>
        <w:rPr>
          <w:b/>
          <w:sz w:val="22"/>
        </w:rPr>
        <w:t>Alicante,</w:t>
      </w:r>
      <w:r>
        <w:rPr>
          <w:b/>
          <w:spacing w:val="-16"/>
          <w:sz w:val="22"/>
        </w:rPr>
        <w:t> </w:t>
      </w:r>
      <w:r>
        <w:rPr>
          <w:b/>
          <w:sz w:val="22"/>
        </w:rPr>
        <w:t>Córdoba,</w:t>
      </w:r>
      <w:r>
        <w:rPr>
          <w:b/>
          <w:spacing w:val="-15"/>
          <w:sz w:val="22"/>
        </w:rPr>
        <w:t> </w:t>
      </w:r>
      <w:r>
        <w:rPr>
          <w:b/>
          <w:sz w:val="22"/>
        </w:rPr>
        <w:t>Las</w:t>
      </w:r>
      <w:r>
        <w:rPr>
          <w:b/>
          <w:spacing w:val="-15"/>
          <w:sz w:val="22"/>
        </w:rPr>
        <w:t> </w:t>
      </w:r>
      <w:r>
        <w:rPr>
          <w:b/>
          <w:sz w:val="22"/>
        </w:rPr>
        <w:t>Palmas</w:t>
      </w:r>
      <w:r>
        <w:rPr>
          <w:b/>
          <w:spacing w:val="-15"/>
          <w:sz w:val="22"/>
        </w:rPr>
        <w:t> </w:t>
      </w:r>
      <w:r>
        <w:rPr>
          <w:b/>
          <w:sz w:val="22"/>
        </w:rPr>
        <w:t>de</w:t>
      </w:r>
      <w:r>
        <w:rPr>
          <w:b/>
          <w:spacing w:val="-16"/>
          <w:sz w:val="22"/>
        </w:rPr>
        <w:t> </w:t>
      </w:r>
      <w:r>
        <w:rPr>
          <w:b/>
          <w:sz w:val="22"/>
        </w:rPr>
        <w:t>Gran</w:t>
      </w:r>
      <w:r>
        <w:rPr>
          <w:b/>
          <w:spacing w:val="-15"/>
          <w:sz w:val="22"/>
        </w:rPr>
        <w:t> </w:t>
      </w:r>
      <w:r>
        <w:rPr>
          <w:b/>
          <w:sz w:val="22"/>
        </w:rPr>
        <w:t>Canaria</w:t>
      </w:r>
      <w:r>
        <w:rPr>
          <w:b/>
          <w:spacing w:val="-15"/>
          <w:sz w:val="22"/>
        </w:rPr>
        <w:t> </w:t>
      </w:r>
      <w:r>
        <w:rPr>
          <w:sz w:val="22"/>
        </w:rPr>
        <w:t>y</w:t>
      </w:r>
      <w:r>
        <w:rPr>
          <w:spacing w:val="-16"/>
          <w:sz w:val="22"/>
        </w:rPr>
        <w:t> </w:t>
      </w:r>
      <w:r>
        <w:rPr>
          <w:b/>
          <w:sz w:val="22"/>
        </w:rPr>
        <w:t>Sevilla</w:t>
      </w:r>
      <w:r>
        <w:rPr>
          <w:b/>
          <w:spacing w:val="-15"/>
          <w:sz w:val="22"/>
        </w:rPr>
        <w:t> </w:t>
      </w:r>
      <w:r>
        <w:rPr>
          <w:sz w:val="22"/>
        </w:rPr>
        <w:t>han</w:t>
      </w:r>
      <w:r>
        <w:rPr>
          <w:spacing w:val="-15"/>
          <w:sz w:val="22"/>
        </w:rPr>
        <w:t> </w:t>
      </w:r>
      <w:r>
        <w:rPr>
          <w:sz w:val="22"/>
        </w:rPr>
        <w:t>llevado a cabo actuaciones para informar y promocionar el transporte público colectivo, mediante campañas de publicidad en cadenas televisivas y medios radiofónicos y digitales, o mediante sesiones informativas en centros educativos y en centros cívicos y de mayores. La empresa municipal de transportes del </w:t>
      </w:r>
      <w:r>
        <w:rPr>
          <w:b/>
          <w:sz w:val="22"/>
        </w:rPr>
        <w:t>Ayuntamiento de Palma </w:t>
      </w:r>
      <w:r>
        <w:rPr>
          <w:sz w:val="22"/>
        </w:rPr>
        <w:t>ha desarrollado un proyecto educativo dirigido principalmente al público joven consistente en jornadas y talleres en centros escolares y en</w:t>
      </w:r>
      <w:r>
        <w:rPr>
          <w:spacing w:val="-3"/>
          <w:sz w:val="22"/>
        </w:rPr>
        <w:t> </w:t>
      </w:r>
      <w:r>
        <w:rPr>
          <w:sz w:val="22"/>
        </w:rPr>
        <w:t>jornadas</w:t>
      </w:r>
      <w:r>
        <w:rPr>
          <w:spacing w:val="-1"/>
          <w:sz w:val="22"/>
        </w:rPr>
        <w:t> </w:t>
      </w:r>
      <w:r>
        <w:rPr>
          <w:sz w:val="22"/>
        </w:rPr>
        <w:t>de</w:t>
      </w:r>
      <w:r>
        <w:rPr>
          <w:spacing w:val="-3"/>
          <w:sz w:val="22"/>
        </w:rPr>
        <w:t> </w:t>
      </w:r>
      <w:r>
        <w:rPr>
          <w:sz w:val="22"/>
        </w:rPr>
        <w:t>puertas</w:t>
      </w:r>
      <w:r>
        <w:rPr>
          <w:spacing w:val="-3"/>
          <w:sz w:val="22"/>
        </w:rPr>
        <w:t> </w:t>
      </w:r>
      <w:r>
        <w:rPr>
          <w:sz w:val="22"/>
        </w:rPr>
        <w:t>abiertas</w:t>
      </w:r>
      <w:r>
        <w:rPr>
          <w:spacing w:val="-3"/>
          <w:sz w:val="22"/>
        </w:rPr>
        <w:t> </w:t>
      </w:r>
      <w:r>
        <w:rPr>
          <w:sz w:val="22"/>
        </w:rPr>
        <w:t>en</w:t>
      </w:r>
      <w:r>
        <w:rPr>
          <w:spacing w:val="-3"/>
          <w:sz w:val="22"/>
        </w:rPr>
        <w:t> </w:t>
      </w:r>
      <w:r>
        <w:rPr>
          <w:sz w:val="22"/>
        </w:rPr>
        <w:t>las</w:t>
      </w:r>
      <w:r>
        <w:rPr>
          <w:spacing w:val="-1"/>
          <w:sz w:val="22"/>
        </w:rPr>
        <w:t> </w:t>
      </w:r>
      <w:r>
        <w:rPr>
          <w:sz w:val="22"/>
        </w:rPr>
        <w:t>cocheras. El</w:t>
      </w:r>
      <w:r>
        <w:rPr>
          <w:spacing w:val="-1"/>
          <w:sz w:val="22"/>
        </w:rPr>
        <w:t> </w:t>
      </w:r>
      <w:r>
        <w:rPr>
          <w:sz w:val="22"/>
        </w:rPr>
        <w:t>coste</w:t>
      </w:r>
      <w:r>
        <w:rPr>
          <w:spacing w:val="-3"/>
          <w:sz w:val="22"/>
        </w:rPr>
        <w:t> </w:t>
      </w:r>
      <w:r>
        <w:rPr>
          <w:sz w:val="22"/>
        </w:rPr>
        <w:t>total</w:t>
      </w:r>
      <w:r>
        <w:rPr>
          <w:spacing w:val="-2"/>
          <w:sz w:val="22"/>
        </w:rPr>
        <w:t> </w:t>
      </w:r>
      <w:r>
        <w:rPr>
          <w:sz w:val="22"/>
        </w:rPr>
        <w:t>de</w:t>
      </w:r>
      <w:r>
        <w:rPr>
          <w:spacing w:val="-3"/>
          <w:sz w:val="22"/>
        </w:rPr>
        <w:t> </w:t>
      </w:r>
      <w:r>
        <w:rPr>
          <w:sz w:val="22"/>
        </w:rPr>
        <w:t>todas</w:t>
      </w:r>
      <w:r>
        <w:rPr>
          <w:spacing w:val="-5"/>
          <w:sz w:val="22"/>
        </w:rPr>
        <w:t> </w:t>
      </w:r>
      <w:r>
        <w:rPr>
          <w:sz w:val="22"/>
        </w:rPr>
        <w:t>estas actuaciones</w:t>
      </w:r>
      <w:r>
        <w:rPr>
          <w:spacing w:val="-3"/>
          <w:sz w:val="22"/>
        </w:rPr>
        <w:t> </w:t>
      </w:r>
      <w:r>
        <w:rPr>
          <w:sz w:val="22"/>
        </w:rPr>
        <w:t>ha ascendido a 1.575.307,25 euros, habiendo recibido ayudas por 79.482,68 euros.</w:t>
      </w:r>
    </w:p>
    <w:p>
      <w:pPr>
        <w:pStyle w:val="BodyText"/>
        <w:spacing w:before="240"/>
        <w:ind w:left="1349" w:right="984"/>
        <w:jc w:val="both"/>
      </w:pPr>
      <w:r>
        <w:rPr/>
        <w:t>Los </w:t>
      </w:r>
      <w:r>
        <w:rPr>
          <w:b/>
        </w:rPr>
        <w:t>Ayuntamientos de Alicante, Las Palmas de Gran Canaria, Murcia, Sevilla </w:t>
      </w:r>
      <w:r>
        <w:rPr/>
        <w:t>y </w:t>
      </w:r>
      <w:r>
        <w:rPr>
          <w:b/>
        </w:rPr>
        <w:t>Zaragoza </w:t>
      </w:r>
      <w:r>
        <w:rPr/>
        <w:t>han</w:t>
      </w:r>
      <w:r>
        <w:rPr>
          <w:spacing w:val="-16"/>
        </w:rPr>
        <w:t> </w:t>
      </w:r>
      <w:r>
        <w:rPr/>
        <w:t>realizado</w:t>
      </w:r>
      <w:r>
        <w:rPr>
          <w:spacing w:val="-15"/>
        </w:rPr>
        <w:t> </w:t>
      </w:r>
      <w:r>
        <w:rPr/>
        <w:t>otras</w:t>
      </w:r>
      <w:r>
        <w:rPr>
          <w:spacing w:val="-15"/>
        </w:rPr>
        <w:t> </w:t>
      </w:r>
      <w:r>
        <w:rPr/>
        <w:t>actuaciones</w:t>
      </w:r>
      <w:r>
        <w:rPr>
          <w:spacing w:val="-16"/>
        </w:rPr>
        <w:t> </w:t>
      </w:r>
      <w:r>
        <w:rPr/>
        <w:t>relacionadas</w:t>
      </w:r>
      <w:r>
        <w:rPr>
          <w:spacing w:val="-15"/>
        </w:rPr>
        <w:t> </w:t>
      </w:r>
      <w:r>
        <w:rPr/>
        <w:t>con</w:t>
      </w:r>
      <w:r>
        <w:rPr>
          <w:spacing w:val="-15"/>
        </w:rPr>
        <w:t> </w:t>
      </w:r>
      <w:r>
        <w:rPr/>
        <w:t>la</w:t>
      </w:r>
      <w:r>
        <w:rPr>
          <w:spacing w:val="-15"/>
        </w:rPr>
        <w:t> </w:t>
      </w:r>
      <w:r>
        <w:rPr/>
        <w:t>movilidad</w:t>
      </w:r>
      <w:r>
        <w:rPr>
          <w:spacing w:val="-16"/>
        </w:rPr>
        <w:t> </w:t>
      </w:r>
      <w:r>
        <w:rPr/>
        <w:t>sostenible</w:t>
      </w:r>
      <w:r>
        <w:rPr>
          <w:spacing w:val="-15"/>
        </w:rPr>
        <w:t> </w:t>
      </w:r>
      <w:r>
        <w:rPr/>
        <w:t>en</w:t>
      </w:r>
      <w:r>
        <w:rPr>
          <w:spacing w:val="-15"/>
        </w:rPr>
        <w:t> </w:t>
      </w:r>
      <w:r>
        <w:rPr/>
        <w:t>el</w:t>
      </w:r>
      <w:r>
        <w:rPr>
          <w:spacing w:val="-16"/>
        </w:rPr>
        <w:t> </w:t>
      </w:r>
      <w:r>
        <w:rPr/>
        <w:t>transporte</w:t>
      </w:r>
      <w:r>
        <w:rPr>
          <w:spacing w:val="-15"/>
        </w:rPr>
        <w:t> </w:t>
      </w:r>
      <w:r>
        <w:rPr/>
        <w:t>público colectivo, por importe de 7.277.416,44 euros: implantación del Sistema Gestión Ambiental, transporte a la demanda a las partidas rurales de Alicante y aumento de la extensión de la red de transporte urbano; servicios de mantenimiento de los puntos o postes de información al viajero; convenio con una Universidad para el desarrollo del laboratorio de Movilidad Urbana Municipal de Murcia; servicio de gestor integral de residuos peligrosos y no peligrosos y ampliación de tres líneas de autobuses, respectivamente. (Subepígrafes II.3.2.4 y II.3.2.5)</w:t>
      </w:r>
    </w:p>
    <w:p>
      <w:pPr>
        <w:pStyle w:val="BodyText"/>
        <w:spacing w:before="106"/>
      </w:pPr>
    </w:p>
    <w:p>
      <w:pPr>
        <w:pStyle w:val="Heading4"/>
        <w:numPr>
          <w:ilvl w:val="1"/>
          <w:numId w:val="3"/>
        </w:numPr>
        <w:tabs>
          <w:tab w:pos="1477" w:val="left" w:leader="none"/>
        </w:tabs>
        <w:spacing w:line="240" w:lineRule="auto" w:before="1" w:after="0"/>
        <w:ind w:left="992" w:right="993" w:firstLine="0"/>
        <w:jc w:val="left"/>
      </w:pPr>
      <w:bookmarkStart w:name="_bookmark122" w:id="124"/>
      <w:bookmarkEnd w:id="124"/>
      <w:r>
        <w:rPr>
          <w:b w:val="0"/>
        </w:rPr>
      </w:r>
      <w:r>
        <w:rPr/>
        <w:t>RELATIVAS</w:t>
      </w:r>
      <w:r>
        <w:rPr>
          <w:spacing w:val="-8"/>
        </w:rPr>
        <w:t> </w:t>
      </w:r>
      <w:r>
        <w:rPr/>
        <w:t>AL</w:t>
      </w:r>
      <w:r>
        <w:rPr>
          <w:spacing w:val="-5"/>
        </w:rPr>
        <w:t> </w:t>
      </w:r>
      <w:r>
        <w:rPr/>
        <w:t>SEGUIMIENTO</w:t>
      </w:r>
      <w:r>
        <w:rPr>
          <w:spacing w:val="-4"/>
        </w:rPr>
        <w:t> </w:t>
      </w:r>
      <w:r>
        <w:rPr/>
        <w:t>Y</w:t>
      </w:r>
      <w:r>
        <w:rPr>
          <w:spacing w:val="-5"/>
        </w:rPr>
        <w:t> </w:t>
      </w:r>
      <w:r>
        <w:rPr/>
        <w:t>CONTROL</w:t>
      </w:r>
      <w:r>
        <w:rPr>
          <w:spacing w:val="-5"/>
        </w:rPr>
        <w:t> </w:t>
      </w:r>
      <w:r>
        <w:rPr/>
        <w:t>DE</w:t>
      </w:r>
      <w:r>
        <w:rPr>
          <w:spacing w:val="-5"/>
        </w:rPr>
        <w:t> </w:t>
      </w:r>
      <w:r>
        <w:rPr/>
        <w:t>LA</w:t>
      </w:r>
      <w:r>
        <w:rPr>
          <w:spacing w:val="-4"/>
        </w:rPr>
        <w:t> </w:t>
      </w:r>
      <w:r>
        <w:rPr/>
        <w:t>EJECUCIÓN</w:t>
      </w:r>
      <w:r>
        <w:rPr>
          <w:spacing w:val="-6"/>
        </w:rPr>
        <w:t> </w:t>
      </w:r>
      <w:r>
        <w:rPr/>
        <w:t>DE</w:t>
      </w:r>
      <w:r>
        <w:rPr>
          <w:spacing w:val="-5"/>
        </w:rPr>
        <w:t> </w:t>
      </w:r>
      <w:r>
        <w:rPr/>
        <w:t>LAS</w:t>
      </w:r>
      <w:r>
        <w:rPr>
          <w:spacing w:val="-8"/>
        </w:rPr>
        <w:t> </w:t>
      </w:r>
      <w:r>
        <w:rPr/>
        <w:t>ACTUACIONES FISCALIZADAS Y A LAS ENCUESTAS DE SATISFACCIÓN</w:t>
      </w:r>
    </w:p>
    <w:p>
      <w:pPr>
        <w:pStyle w:val="ListParagraph"/>
        <w:numPr>
          <w:ilvl w:val="0"/>
          <w:numId w:val="9"/>
        </w:numPr>
        <w:tabs>
          <w:tab w:pos="1347" w:val="left" w:leader="none"/>
          <w:tab w:pos="1349" w:val="left" w:leader="none"/>
        </w:tabs>
        <w:spacing w:line="240" w:lineRule="auto" w:before="240" w:after="0"/>
        <w:ind w:left="1349" w:right="985" w:hanging="358"/>
        <w:jc w:val="both"/>
        <w:rPr>
          <w:sz w:val="22"/>
        </w:rPr>
      </w:pPr>
      <w:r>
        <w:rPr>
          <w:sz w:val="22"/>
        </w:rPr>
        <w:t>Los</w:t>
      </w:r>
      <w:r>
        <w:rPr>
          <w:spacing w:val="-11"/>
          <w:sz w:val="22"/>
        </w:rPr>
        <w:t> </w:t>
      </w:r>
      <w:r>
        <w:rPr>
          <w:sz w:val="22"/>
        </w:rPr>
        <w:t>ayuntamientos</w:t>
      </w:r>
      <w:r>
        <w:rPr>
          <w:spacing w:val="-13"/>
          <w:sz w:val="22"/>
        </w:rPr>
        <w:t> </w:t>
      </w:r>
      <w:r>
        <w:rPr>
          <w:sz w:val="22"/>
        </w:rPr>
        <w:t>fiscalizados</w:t>
      </w:r>
      <w:r>
        <w:rPr>
          <w:spacing w:val="-11"/>
          <w:sz w:val="22"/>
        </w:rPr>
        <w:t> </w:t>
      </w:r>
      <w:r>
        <w:rPr>
          <w:sz w:val="22"/>
        </w:rPr>
        <w:t>no</w:t>
      </w:r>
      <w:r>
        <w:rPr>
          <w:spacing w:val="-14"/>
          <w:sz w:val="22"/>
        </w:rPr>
        <w:t> </w:t>
      </w:r>
      <w:r>
        <w:rPr>
          <w:sz w:val="22"/>
        </w:rPr>
        <w:t>han</w:t>
      </w:r>
      <w:r>
        <w:rPr>
          <w:spacing w:val="-14"/>
          <w:sz w:val="22"/>
        </w:rPr>
        <w:t> </w:t>
      </w:r>
      <w:r>
        <w:rPr>
          <w:sz w:val="22"/>
        </w:rPr>
        <w:t>realizado,</w:t>
      </w:r>
      <w:r>
        <w:rPr>
          <w:spacing w:val="-15"/>
          <w:sz w:val="22"/>
        </w:rPr>
        <w:t> </w:t>
      </w:r>
      <w:r>
        <w:rPr>
          <w:sz w:val="22"/>
        </w:rPr>
        <w:t>con</w:t>
      </w:r>
      <w:r>
        <w:rPr>
          <w:spacing w:val="-12"/>
          <w:sz w:val="22"/>
        </w:rPr>
        <w:t> </w:t>
      </w:r>
      <w:r>
        <w:rPr>
          <w:sz w:val="22"/>
        </w:rPr>
        <w:t>carácter</w:t>
      </w:r>
      <w:r>
        <w:rPr>
          <w:spacing w:val="-12"/>
          <w:sz w:val="22"/>
        </w:rPr>
        <w:t> </w:t>
      </w:r>
      <w:r>
        <w:rPr>
          <w:sz w:val="22"/>
        </w:rPr>
        <w:t>general,</w:t>
      </w:r>
      <w:r>
        <w:rPr>
          <w:spacing w:val="-11"/>
          <w:sz w:val="22"/>
        </w:rPr>
        <w:t> </w:t>
      </w:r>
      <w:r>
        <w:rPr>
          <w:sz w:val="22"/>
        </w:rPr>
        <w:t>un</w:t>
      </w:r>
      <w:r>
        <w:rPr>
          <w:spacing w:val="-16"/>
          <w:sz w:val="22"/>
        </w:rPr>
        <w:t> </w:t>
      </w:r>
      <w:r>
        <w:rPr>
          <w:sz w:val="22"/>
        </w:rPr>
        <w:t>seguimiento</w:t>
      </w:r>
      <w:r>
        <w:rPr>
          <w:spacing w:val="-10"/>
          <w:sz w:val="22"/>
        </w:rPr>
        <w:t> </w:t>
      </w:r>
      <w:r>
        <w:rPr>
          <w:sz w:val="22"/>
        </w:rPr>
        <w:t>posterior de</w:t>
      </w:r>
      <w:r>
        <w:rPr>
          <w:spacing w:val="-9"/>
          <w:sz w:val="22"/>
        </w:rPr>
        <w:t> </w:t>
      </w:r>
      <w:r>
        <w:rPr>
          <w:sz w:val="22"/>
        </w:rPr>
        <w:t>aquellas</w:t>
      </w:r>
      <w:r>
        <w:rPr>
          <w:spacing w:val="-9"/>
          <w:sz w:val="22"/>
        </w:rPr>
        <w:t> </w:t>
      </w:r>
      <w:r>
        <w:rPr>
          <w:sz w:val="22"/>
        </w:rPr>
        <w:t>actuaciones</w:t>
      </w:r>
      <w:r>
        <w:rPr>
          <w:spacing w:val="-11"/>
          <w:sz w:val="22"/>
        </w:rPr>
        <w:t> </w:t>
      </w:r>
      <w:r>
        <w:rPr>
          <w:sz w:val="22"/>
        </w:rPr>
        <w:t>expuestas</w:t>
      </w:r>
      <w:r>
        <w:rPr>
          <w:spacing w:val="-9"/>
          <w:sz w:val="22"/>
        </w:rPr>
        <w:t> </w:t>
      </w:r>
      <w:r>
        <w:rPr>
          <w:sz w:val="22"/>
        </w:rPr>
        <w:t>en</w:t>
      </w:r>
      <w:r>
        <w:rPr>
          <w:spacing w:val="-12"/>
          <w:sz w:val="22"/>
        </w:rPr>
        <w:t> </w:t>
      </w:r>
      <w:r>
        <w:rPr>
          <w:sz w:val="22"/>
        </w:rPr>
        <w:t>este</w:t>
      </w:r>
      <w:r>
        <w:rPr>
          <w:spacing w:val="-9"/>
          <w:sz w:val="22"/>
        </w:rPr>
        <w:t> </w:t>
      </w:r>
      <w:r>
        <w:rPr>
          <w:sz w:val="22"/>
        </w:rPr>
        <w:t>Informe</w:t>
      </w:r>
      <w:r>
        <w:rPr>
          <w:spacing w:val="-9"/>
          <w:sz w:val="22"/>
        </w:rPr>
        <w:t> </w:t>
      </w:r>
      <w:r>
        <w:rPr>
          <w:sz w:val="22"/>
        </w:rPr>
        <w:t>que</w:t>
      </w:r>
      <w:r>
        <w:rPr>
          <w:spacing w:val="-9"/>
          <w:sz w:val="22"/>
        </w:rPr>
        <w:t> </w:t>
      </w:r>
      <w:r>
        <w:rPr>
          <w:sz w:val="22"/>
        </w:rPr>
        <w:t>se</w:t>
      </w:r>
      <w:r>
        <w:rPr>
          <w:spacing w:val="-9"/>
          <w:sz w:val="22"/>
        </w:rPr>
        <w:t> </w:t>
      </w:r>
      <w:r>
        <w:rPr>
          <w:sz w:val="22"/>
        </w:rPr>
        <w:t>encuentran</w:t>
      </w:r>
      <w:r>
        <w:rPr>
          <w:spacing w:val="-9"/>
          <w:sz w:val="22"/>
        </w:rPr>
        <w:t> </w:t>
      </w:r>
      <w:r>
        <w:rPr>
          <w:sz w:val="22"/>
        </w:rPr>
        <w:t>concluidas,</w:t>
      </w:r>
      <w:r>
        <w:rPr>
          <w:spacing w:val="-5"/>
          <w:sz w:val="22"/>
        </w:rPr>
        <w:t> </w:t>
      </w:r>
      <w:r>
        <w:rPr>
          <w:sz w:val="22"/>
        </w:rPr>
        <w:t>con</w:t>
      </w:r>
      <w:r>
        <w:rPr>
          <w:spacing w:val="-9"/>
          <w:sz w:val="22"/>
        </w:rPr>
        <w:t> </w:t>
      </w:r>
      <w:r>
        <w:rPr>
          <w:sz w:val="22"/>
        </w:rPr>
        <w:t>el</w:t>
      </w:r>
      <w:r>
        <w:rPr>
          <w:spacing w:val="-10"/>
          <w:sz w:val="22"/>
        </w:rPr>
        <w:t> </w:t>
      </w:r>
      <w:r>
        <w:rPr>
          <w:sz w:val="22"/>
        </w:rPr>
        <w:t>objeto de verificar su efectividad y si se han alcanzado los objetivos previstos, lo que les permitiría identificar aspectos susceptibles de mejora.</w:t>
      </w:r>
    </w:p>
    <w:p>
      <w:pPr>
        <w:spacing w:before="241"/>
        <w:ind w:left="1349" w:right="986" w:firstLine="0"/>
        <w:jc w:val="both"/>
        <w:rPr>
          <w:sz w:val="22"/>
        </w:rPr>
      </w:pPr>
      <w:r>
        <w:rPr>
          <w:sz w:val="22"/>
        </w:rPr>
        <w:t>Los </w:t>
      </w:r>
      <w:r>
        <w:rPr>
          <w:b/>
          <w:sz w:val="22"/>
        </w:rPr>
        <w:t>Ayuntamientos de Alicante, Bilbao, Málaga, Murcia </w:t>
      </w:r>
      <w:r>
        <w:rPr>
          <w:sz w:val="22"/>
        </w:rPr>
        <w:t>y </w:t>
      </w:r>
      <w:r>
        <w:rPr>
          <w:b/>
          <w:sz w:val="22"/>
        </w:rPr>
        <w:t>Zaragoza </w:t>
      </w:r>
      <w:r>
        <w:rPr>
          <w:sz w:val="22"/>
        </w:rPr>
        <w:t>o sus empresas municipales</w:t>
      </w:r>
      <w:r>
        <w:rPr>
          <w:spacing w:val="-2"/>
          <w:sz w:val="22"/>
        </w:rPr>
        <w:t> </w:t>
      </w:r>
      <w:r>
        <w:rPr>
          <w:sz w:val="22"/>
        </w:rPr>
        <w:t>se</w:t>
      </w:r>
      <w:r>
        <w:rPr>
          <w:spacing w:val="-1"/>
          <w:sz w:val="22"/>
        </w:rPr>
        <w:t> </w:t>
      </w:r>
      <w:r>
        <w:rPr>
          <w:sz w:val="22"/>
        </w:rPr>
        <w:t>han</w:t>
      </w:r>
      <w:r>
        <w:rPr>
          <w:spacing w:val="-2"/>
          <w:sz w:val="22"/>
        </w:rPr>
        <w:t> </w:t>
      </w:r>
      <w:r>
        <w:rPr>
          <w:sz w:val="22"/>
        </w:rPr>
        <w:t>referido, en</w:t>
      </w:r>
      <w:r>
        <w:rPr>
          <w:spacing w:val="-2"/>
          <w:sz w:val="22"/>
        </w:rPr>
        <w:t> </w:t>
      </w:r>
      <w:r>
        <w:rPr>
          <w:sz w:val="22"/>
        </w:rPr>
        <w:t>los</w:t>
      </w:r>
      <w:r>
        <w:rPr>
          <w:spacing w:val="-2"/>
          <w:sz w:val="22"/>
        </w:rPr>
        <w:t> </w:t>
      </w:r>
      <w:r>
        <w:rPr>
          <w:sz w:val="22"/>
        </w:rPr>
        <w:t>informes</w:t>
      </w:r>
      <w:r>
        <w:rPr>
          <w:spacing w:val="-4"/>
          <w:sz w:val="22"/>
        </w:rPr>
        <w:t> </w:t>
      </w:r>
      <w:r>
        <w:rPr>
          <w:sz w:val="22"/>
        </w:rPr>
        <w:t>de</w:t>
      </w:r>
      <w:r>
        <w:rPr>
          <w:spacing w:val="-2"/>
          <w:sz w:val="22"/>
        </w:rPr>
        <w:t> </w:t>
      </w:r>
      <w:r>
        <w:rPr>
          <w:sz w:val="22"/>
        </w:rPr>
        <w:t>seguimiento</w:t>
      </w:r>
      <w:r>
        <w:rPr>
          <w:spacing w:val="-2"/>
          <w:sz w:val="22"/>
        </w:rPr>
        <w:t> </w:t>
      </w:r>
      <w:r>
        <w:rPr>
          <w:sz w:val="22"/>
        </w:rPr>
        <w:t>de</w:t>
      </w:r>
      <w:r>
        <w:rPr>
          <w:spacing w:val="-2"/>
          <w:sz w:val="22"/>
        </w:rPr>
        <w:t> </w:t>
      </w:r>
      <w:r>
        <w:rPr>
          <w:sz w:val="22"/>
        </w:rPr>
        <w:t>algunos</w:t>
      </w:r>
      <w:r>
        <w:rPr>
          <w:spacing w:val="-1"/>
          <w:sz w:val="22"/>
        </w:rPr>
        <w:t> </w:t>
      </w:r>
      <w:r>
        <w:rPr>
          <w:sz w:val="22"/>
        </w:rPr>
        <w:t>de</w:t>
      </w:r>
      <w:r>
        <w:rPr>
          <w:spacing w:val="-2"/>
          <w:sz w:val="22"/>
        </w:rPr>
        <w:t> </w:t>
      </w:r>
      <w:r>
        <w:rPr>
          <w:sz w:val="22"/>
        </w:rPr>
        <w:t>los</w:t>
      </w:r>
      <w:r>
        <w:rPr>
          <w:spacing w:val="-1"/>
          <w:sz w:val="22"/>
        </w:rPr>
        <w:t> </w:t>
      </w:r>
      <w:r>
        <w:rPr>
          <w:sz w:val="22"/>
        </w:rPr>
        <w:t>instrumentos</w:t>
      </w:r>
      <w:r>
        <w:rPr>
          <w:spacing w:val="-4"/>
          <w:sz w:val="22"/>
        </w:rPr>
        <w:t> </w:t>
      </w:r>
      <w:r>
        <w:rPr>
          <w:sz w:val="22"/>
        </w:rPr>
        <w:t>de</w:t>
      </w:r>
    </w:p>
    <w:p>
      <w:pPr>
        <w:spacing w:after="0"/>
        <w:jc w:val="both"/>
        <w:rPr>
          <w:sz w:val="22"/>
        </w:rPr>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BodyText"/>
        <w:ind w:left="1349" w:right="988"/>
        <w:jc w:val="both"/>
      </w:pPr>
      <w:r>
        <w:rPr/>
        <w:t>planificación relacionados con el transporte público colectivo, a algunas de las actuaciones fiscalizadas, si bien el análisis realizado es fundamentalmente descriptivo.</w:t>
      </w:r>
    </w:p>
    <w:p>
      <w:pPr>
        <w:pStyle w:val="BodyText"/>
        <w:spacing w:before="240"/>
        <w:ind w:left="1349" w:right="986"/>
        <w:jc w:val="both"/>
      </w:pPr>
      <w:r>
        <w:rPr/>
        <w:t>La empresa municipal del </w:t>
      </w:r>
      <w:r>
        <w:rPr>
          <w:b/>
        </w:rPr>
        <w:t>Ayuntamiento de Sevilla </w:t>
      </w:r>
      <w:r>
        <w:rPr/>
        <w:t>realiza anualmente un seguimiento de su Plan</w:t>
      </w:r>
      <w:r>
        <w:rPr>
          <w:spacing w:val="-8"/>
        </w:rPr>
        <w:t> </w:t>
      </w:r>
      <w:r>
        <w:rPr/>
        <w:t>Estratégico,</w:t>
      </w:r>
      <w:r>
        <w:rPr>
          <w:spacing w:val="-6"/>
        </w:rPr>
        <w:t> </w:t>
      </w:r>
      <w:r>
        <w:rPr/>
        <w:t>en</w:t>
      </w:r>
      <w:r>
        <w:rPr>
          <w:spacing w:val="-8"/>
        </w:rPr>
        <w:t> </w:t>
      </w:r>
      <w:r>
        <w:rPr/>
        <w:t>el</w:t>
      </w:r>
      <w:r>
        <w:rPr>
          <w:spacing w:val="-9"/>
        </w:rPr>
        <w:t> </w:t>
      </w:r>
      <w:r>
        <w:rPr/>
        <w:t>que</w:t>
      </w:r>
      <w:r>
        <w:rPr>
          <w:spacing w:val="-8"/>
        </w:rPr>
        <w:t> </w:t>
      </w:r>
      <w:r>
        <w:rPr/>
        <w:t>analiza</w:t>
      </w:r>
      <w:r>
        <w:rPr>
          <w:spacing w:val="-8"/>
        </w:rPr>
        <w:t> </w:t>
      </w:r>
      <w:r>
        <w:rPr/>
        <w:t>el</w:t>
      </w:r>
      <w:r>
        <w:rPr>
          <w:spacing w:val="-9"/>
        </w:rPr>
        <w:t> </w:t>
      </w:r>
      <w:r>
        <w:rPr/>
        <w:t>grado</w:t>
      </w:r>
      <w:r>
        <w:rPr>
          <w:spacing w:val="-8"/>
        </w:rPr>
        <w:t> </w:t>
      </w:r>
      <w:r>
        <w:rPr/>
        <w:t>de</w:t>
      </w:r>
      <w:r>
        <w:rPr>
          <w:spacing w:val="-8"/>
        </w:rPr>
        <w:t> </w:t>
      </w:r>
      <w:r>
        <w:rPr/>
        <w:t>cumplimiento</w:t>
      </w:r>
      <w:r>
        <w:rPr>
          <w:spacing w:val="-8"/>
        </w:rPr>
        <w:t> </w:t>
      </w:r>
      <w:r>
        <w:rPr/>
        <w:t>de</w:t>
      </w:r>
      <w:r>
        <w:rPr>
          <w:spacing w:val="-8"/>
        </w:rPr>
        <w:t> </w:t>
      </w:r>
      <w:r>
        <w:rPr/>
        <w:t>las</w:t>
      </w:r>
      <w:r>
        <w:rPr>
          <w:spacing w:val="-10"/>
        </w:rPr>
        <w:t> </w:t>
      </w:r>
      <w:r>
        <w:rPr/>
        <w:t>metas</w:t>
      </w:r>
      <w:r>
        <w:rPr>
          <w:spacing w:val="-10"/>
        </w:rPr>
        <w:t> </w:t>
      </w:r>
      <w:r>
        <w:rPr/>
        <w:t>fijadas</w:t>
      </w:r>
      <w:r>
        <w:rPr>
          <w:spacing w:val="-8"/>
        </w:rPr>
        <w:t> </w:t>
      </w:r>
      <w:r>
        <w:rPr/>
        <w:t>en</w:t>
      </w:r>
      <w:r>
        <w:rPr>
          <w:spacing w:val="-8"/>
        </w:rPr>
        <w:t> </w:t>
      </w:r>
      <w:r>
        <w:rPr/>
        <w:t>el</w:t>
      </w:r>
      <w:r>
        <w:rPr>
          <w:spacing w:val="-9"/>
        </w:rPr>
        <w:t> </w:t>
      </w:r>
      <w:r>
        <w:rPr/>
        <w:t>ejercicio, y ha emitido dos informes sobre una de las actuaciones fiscalizadas, la ampliación de la línea tranviaria,</w:t>
      </w:r>
      <w:r>
        <w:rPr>
          <w:spacing w:val="-2"/>
        </w:rPr>
        <w:t> </w:t>
      </w:r>
      <w:r>
        <w:rPr/>
        <w:t>en</w:t>
      </w:r>
      <w:r>
        <w:rPr>
          <w:spacing w:val="-3"/>
        </w:rPr>
        <w:t> </w:t>
      </w:r>
      <w:r>
        <w:rPr/>
        <w:t>los</w:t>
      </w:r>
      <w:r>
        <w:rPr>
          <w:spacing w:val="-1"/>
        </w:rPr>
        <w:t> </w:t>
      </w:r>
      <w:r>
        <w:rPr/>
        <w:t>que</w:t>
      </w:r>
      <w:r>
        <w:rPr>
          <w:spacing w:val="-3"/>
        </w:rPr>
        <w:t> </w:t>
      </w:r>
      <w:r>
        <w:rPr/>
        <w:t>expone</w:t>
      </w:r>
      <w:r>
        <w:rPr>
          <w:spacing w:val="-1"/>
        </w:rPr>
        <w:t> </w:t>
      </w:r>
      <w:r>
        <w:rPr/>
        <w:t>sus</w:t>
      </w:r>
      <w:r>
        <w:rPr>
          <w:spacing w:val="-3"/>
        </w:rPr>
        <w:t> </w:t>
      </w:r>
      <w:r>
        <w:rPr/>
        <w:t>efectos</w:t>
      </w:r>
      <w:r>
        <w:rPr>
          <w:spacing w:val="-3"/>
        </w:rPr>
        <w:t> </w:t>
      </w:r>
      <w:r>
        <w:rPr/>
        <w:t>en</w:t>
      </w:r>
      <w:r>
        <w:rPr>
          <w:spacing w:val="-1"/>
        </w:rPr>
        <w:t> </w:t>
      </w:r>
      <w:r>
        <w:rPr/>
        <w:t>cuanto al</w:t>
      </w:r>
      <w:r>
        <w:rPr>
          <w:spacing w:val="-2"/>
        </w:rPr>
        <w:t> </w:t>
      </w:r>
      <w:r>
        <w:rPr/>
        <w:t>incremento</w:t>
      </w:r>
      <w:r>
        <w:rPr>
          <w:spacing w:val="-1"/>
        </w:rPr>
        <w:t> </w:t>
      </w:r>
      <w:r>
        <w:rPr/>
        <w:t>del</w:t>
      </w:r>
      <w:r>
        <w:rPr>
          <w:spacing w:val="-4"/>
        </w:rPr>
        <w:t> </w:t>
      </w:r>
      <w:r>
        <w:rPr/>
        <w:t>número</w:t>
      </w:r>
      <w:r>
        <w:rPr>
          <w:spacing w:val="-3"/>
        </w:rPr>
        <w:t> </w:t>
      </w:r>
      <w:r>
        <w:rPr/>
        <w:t>de viajeros</w:t>
      </w:r>
      <w:r>
        <w:rPr>
          <w:spacing w:val="-3"/>
        </w:rPr>
        <w:t> </w:t>
      </w:r>
      <w:r>
        <w:rPr/>
        <w:t>y</w:t>
      </w:r>
      <w:r>
        <w:rPr>
          <w:spacing w:val="-2"/>
        </w:rPr>
        <w:t> </w:t>
      </w:r>
      <w:r>
        <w:rPr/>
        <w:t>a</w:t>
      </w:r>
      <w:r>
        <w:rPr>
          <w:spacing w:val="-1"/>
        </w:rPr>
        <w:t> </w:t>
      </w:r>
      <w:r>
        <w:rPr/>
        <w:t>la reducción de emisiones.</w:t>
      </w:r>
    </w:p>
    <w:p>
      <w:pPr>
        <w:pStyle w:val="BodyText"/>
        <w:spacing w:before="240"/>
        <w:ind w:left="1349" w:right="985"/>
        <w:jc w:val="both"/>
      </w:pPr>
      <w:r>
        <w:rPr/>
        <w:t>La</w:t>
      </w:r>
      <w:r>
        <w:rPr>
          <w:spacing w:val="-9"/>
        </w:rPr>
        <w:t> </w:t>
      </w:r>
      <w:r>
        <w:rPr/>
        <w:t>agrupación</w:t>
      </w:r>
      <w:r>
        <w:rPr>
          <w:spacing w:val="-12"/>
        </w:rPr>
        <w:t> </w:t>
      </w:r>
      <w:r>
        <w:rPr/>
        <w:t>de</w:t>
      </w:r>
      <w:r>
        <w:rPr>
          <w:spacing w:val="-12"/>
        </w:rPr>
        <w:t> </w:t>
      </w:r>
      <w:r>
        <w:rPr/>
        <w:t>municipios</w:t>
      </w:r>
      <w:r>
        <w:rPr>
          <w:spacing w:val="-9"/>
        </w:rPr>
        <w:t> </w:t>
      </w:r>
      <w:r>
        <w:rPr/>
        <w:t>formada</w:t>
      </w:r>
      <w:r>
        <w:rPr>
          <w:spacing w:val="-11"/>
        </w:rPr>
        <w:t> </w:t>
      </w:r>
      <w:r>
        <w:rPr/>
        <w:t>por</w:t>
      </w:r>
      <w:r>
        <w:rPr>
          <w:spacing w:val="-10"/>
        </w:rPr>
        <w:t> </w:t>
      </w:r>
      <w:r>
        <w:rPr/>
        <w:t>los</w:t>
      </w:r>
      <w:r>
        <w:rPr>
          <w:spacing w:val="-9"/>
        </w:rPr>
        <w:t> </w:t>
      </w:r>
      <w:r>
        <w:rPr>
          <w:b/>
        </w:rPr>
        <w:t>Ayuntamientos</w:t>
      </w:r>
      <w:r>
        <w:rPr>
          <w:b/>
          <w:spacing w:val="-12"/>
        </w:rPr>
        <w:t> </w:t>
      </w:r>
      <w:r>
        <w:rPr>
          <w:b/>
        </w:rPr>
        <w:t>de</w:t>
      </w:r>
      <w:r>
        <w:rPr>
          <w:b/>
          <w:spacing w:val="-12"/>
        </w:rPr>
        <w:t> </w:t>
      </w:r>
      <w:r>
        <w:rPr>
          <w:b/>
        </w:rPr>
        <w:t>Málaga,</w:t>
      </w:r>
      <w:r>
        <w:rPr>
          <w:b/>
          <w:spacing w:val="-13"/>
        </w:rPr>
        <w:t> </w:t>
      </w:r>
      <w:r>
        <w:rPr>
          <w:b/>
        </w:rPr>
        <w:t>Palma</w:t>
      </w:r>
      <w:r>
        <w:rPr>
          <w:b/>
          <w:spacing w:val="-9"/>
        </w:rPr>
        <w:t> </w:t>
      </w:r>
      <w:r>
        <w:rPr/>
        <w:t>y</w:t>
      </w:r>
      <w:r>
        <w:rPr>
          <w:spacing w:val="-8"/>
        </w:rPr>
        <w:t> </w:t>
      </w:r>
      <w:r>
        <w:rPr>
          <w:b/>
        </w:rPr>
        <w:t>Las</w:t>
      </w:r>
      <w:r>
        <w:rPr>
          <w:b/>
          <w:spacing w:val="-11"/>
        </w:rPr>
        <w:t> </w:t>
      </w:r>
      <w:r>
        <w:rPr>
          <w:b/>
        </w:rPr>
        <w:t>Palmas de Gran Canaria</w:t>
      </w:r>
      <w:r>
        <w:rPr/>
        <w:t>, junto con el de San Sebastián, para solicitar subvenciones del Programa de ayudas para la transformación digital y sostenible del transporte urbano, PRTR, tampoco ha llevado a cabo las actuaciones de puesta en común de las conclusiones, procesos y, en la medida</w:t>
      </w:r>
      <w:r>
        <w:rPr>
          <w:spacing w:val="-16"/>
        </w:rPr>
        <w:t> </w:t>
      </w:r>
      <w:r>
        <w:rPr/>
        <w:t>de</w:t>
      </w:r>
      <w:r>
        <w:rPr>
          <w:spacing w:val="-13"/>
        </w:rPr>
        <w:t> </w:t>
      </w:r>
      <w:r>
        <w:rPr/>
        <w:t>lo</w:t>
      </w:r>
      <w:r>
        <w:rPr>
          <w:spacing w:val="-13"/>
        </w:rPr>
        <w:t> </w:t>
      </w:r>
      <w:r>
        <w:rPr/>
        <w:t>posible,</w:t>
      </w:r>
      <w:r>
        <w:rPr>
          <w:spacing w:val="-12"/>
        </w:rPr>
        <w:t> </w:t>
      </w:r>
      <w:r>
        <w:rPr/>
        <w:t>de</w:t>
      </w:r>
      <w:r>
        <w:rPr>
          <w:spacing w:val="-16"/>
        </w:rPr>
        <w:t> </w:t>
      </w:r>
      <w:r>
        <w:rPr/>
        <w:t>desarrollo</w:t>
      </w:r>
      <w:r>
        <w:rPr>
          <w:spacing w:val="-13"/>
        </w:rPr>
        <w:t> </w:t>
      </w:r>
      <w:r>
        <w:rPr/>
        <w:t>de</w:t>
      </w:r>
      <w:r>
        <w:rPr>
          <w:spacing w:val="-13"/>
        </w:rPr>
        <w:t> </w:t>
      </w:r>
      <w:r>
        <w:rPr/>
        <w:t>software</w:t>
      </w:r>
      <w:r>
        <w:rPr>
          <w:spacing w:val="-13"/>
        </w:rPr>
        <w:t> </w:t>
      </w:r>
      <w:r>
        <w:rPr/>
        <w:t>común</w:t>
      </w:r>
      <w:r>
        <w:rPr>
          <w:spacing w:val="-13"/>
        </w:rPr>
        <w:t> </w:t>
      </w:r>
      <w:r>
        <w:rPr/>
        <w:t>para</w:t>
      </w:r>
      <w:r>
        <w:rPr>
          <w:spacing w:val="-13"/>
        </w:rPr>
        <w:t> </w:t>
      </w:r>
      <w:r>
        <w:rPr/>
        <w:t>abaratar</w:t>
      </w:r>
      <w:r>
        <w:rPr>
          <w:spacing w:val="-14"/>
        </w:rPr>
        <w:t> </w:t>
      </w:r>
      <w:r>
        <w:rPr/>
        <w:t>los</w:t>
      </w:r>
      <w:r>
        <w:rPr>
          <w:spacing w:val="-12"/>
        </w:rPr>
        <w:t> </w:t>
      </w:r>
      <w:r>
        <w:rPr/>
        <w:t>costes</w:t>
      </w:r>
      <w:r>
        <w:rPr>
          <w:spacing w:val="-12"/>
        </w:rPr>
        <w:t> </w:t>
      </w:r>
      <w:r>
        <w:rPr/>
        <w:t>y</w:t>
      </w:r>
      <w:r>
        <w:rPr>
          <w:spacing w:val="-15"/>
        </w:rPr>
        <w:t> </w:t>
      </w:r>
      <w:r>
        <w:rPr/>
        <w:t>trabajar</w:t>
      </w:r>
      <w:r>
        <w:rPr>
          <w:spacing w:val="-12"/>
        </w:rPr>
        <w:t> </w:t>
      </w:r>
      <w:r>
        <w:rPr/>
        <w:t>a</w:t>
      </w:r>
      <w:r>
        <w:rPr>
          <w:spacing w:val="-15"/>
        </w:rPr>
        <w:t> </w:t>
      </w:r>
      <w:r>
        <w:rPr/>
        <w:t>favor de la estandarización de los sistemas, previstas en el convenio por el que se constituyó.</w:t>
      </w:r>
    </w:p>
    <w:p>
      <w:pPr>
        <w:pStyle w:val="BodyText"/>
        <w:spacing w:before="242"/>
        <w:ind w:left="1349" w:right="987"/>
        <w:jc w:val="both"/>
      </w:pPr>
      <w:r>
        <w:rPr/>
        <w:t>El Comité del Proyecto y la Comisión Técnica se han reunido con el objetivo de revisar la ejecución del proyecto de cara al seguimiento, modificación y justificación de mismo ante el Ministerio concedente de las subvenciones y de adoptar decisiones sobre transferencias internas</w:t>
      </w:r>
      <w:r>
        <w:rPr>
          <w:spacing w:val="-6"/>
        </w:rPr>
        <w:t> </w:t>
      </w:r>
      <w:r>
        <w:rPr/>
        <w:t>de</w:t>
      </w:r>
      <w:r>
        <w:rPr>
          <w:spacing w:val="-7"/>
        </w:rPr>
        <w:t> </w:t>
      </w:r>
      <w:r>
        <w:rPr/>
        <w:t>presupuesto,</w:t>
      </w:r>
      <w:r>
        <w:rPr>
          <w:spacing w:val="-7"/>
        </w:rPr>
        <w:t> </w:t>
      </w:r>
      <w:r>
        <w:rPr/>
        <w:t>a</w:t>
      </w:r>
      <w:r>
        <w:rPr>
          <w:spacing w:val="-6"/>
        </w:rPr>
        <w:t> </w:t>
      </w:r>
      <w:r>
        <w:rPr/>
        <w:t>fin</w:t>
      </w:r>
      <w:r>
        <w:rPr>
          <w:spacing w:val="-6"/>
        </w:rPr>
        <w:t> </w:t>
      </w:r>
      <w:r>
        <w:rPr/>
        <w:t>de</w:t>
      </w:r>
      <w:r>
        <w:rPr>
          <w:spacing w:val="-7"/>
        </w:rPr>
        <w:t> </w:t>
      </w:r>
      <w:r>
        <w:rPr/>
        <w:t>evitar</w:t>
      </w:r>
      <w:r>
        <w:rPr>
          <w:spacing w:val="-5"/>
        </w:rPr>
        <w:t> </w:t>
      </w:r>
      <w:r>
        <w:rPr/>
        <w:t>posibles</w:t>
      </w:r>
      <w:r>
        <w:rPr>
          <w:spacing w:val="-6"/>
        </w:rPr>
        <w:t> </w:t>
      </w:r>
      <w:r>
        <w:rPr/>
        <w:t>incumplimientos</w:t>
      </w:r>
      <w:r>
        <w:rPr>
          <w:spacing w:val="-6"/>
        </w:rPr>
        <w:t> </w:t>
      </w:r>
      <w:r>
        <w:rPr/>
        <w:t>en</w:t>
      </w:r>
      <w:r>
        <w:rPr>
          <w:spacing w:val="-7"/>
        </w:rPr>
        <w:t> </w:t>
      </w:r>
      <w:r>
        <w:rPr/>
        <w:t>algunas</w:t>
      </w:r>
      <w:r>
        <w:rPr>
          <w:spacing w:val="-6"/>
        </w:rPr>
        <w:t> </w:t>
      </w:r>
      <w:r>
        <w:rPr/>
        <w:t>de</w:t>
      </w:r>
      <w:r>
        <w:rPr>
          <w:spacing w:val="-7"/>
        </w:rPr>
        <w:t> </w:t>
      </w:r>
      <w:r>
        <w:rPr/>
        <w:t>las</w:t>
      </w:r>
      <w:r>
        <w:rPr>
          <w:spacing w:val="-6"/>
        </w:rPr>
        <w:t> </w:t>
      </w:r>
      <w:r>
        <w:rPr/>
        <w:t>actuaciones previstas en el proyecto.</w:t>
      </w:r>
    </w:p>
    <w:p>
      <w:pPr>
        <w:pStyle w:val="BodyText"/>
        <w:spacing w:before="240"/>
        <w:ind w:left="1349" w:right="990"/>
        <w:jc w:val="both"/>
      </w:pPr>
      <w:r>
        <w:rPr/>
        <w:t>Los ayuntamientos examinados o las empresas concesionarias del servicio de transporte público colectivo urbano realizan encuestas de satisfacción a los usuarios, que les permiten conocer la opinión de los viajeros sobre la calidad del servicio, la infraestructura, la seguridad, los precios y la cobertura, utilizando cuestionarios para identificar áreas de mejora y evaluar la experiencia del usuario. (Subapartado II.4)</w:t>
      </w:r>
    </w:p>
    <w:p>
      <w:pPr>
        <w:pStyle w:val="BodyText"/>
        <w:spacing w:before="9"/>
        <w:rPr>
          <w:sz w:val="18"/>
        </w:rPr>
      </w:pPr>
      <w:r>
        <w:rPr>
          <w:sz w:val="18"/>
        </w:rPr>
        <mc:AlternateContent>
          <mc:Choice Requires="wps">
            <w:drawing>
              <wp:anchor distT="0" distB="0" distL="0" distR="0" allowOverlap="1" layoutInCell="1" locked="0" behindDoc="1" simplePos="0" relativeHeight="487627264">
                <wp:simplePos x="0" y="0"/>
                <wp:positionH relativeFrom="page">
                  <wp:posOffset>928420</wp:posOffset>
                </wp:positionH>
                <wp:positionV relativeFrom="paragraph">
                  <wp:posOffset>152388</wp:posOffset>
                </wp:positionV>
                <wp:extent cx="5931535" cy="1546860"/>
                <wp:effectExtent l="0" t="0" r="0" b="0"/>
                <wp:wrapTopAndBottom/>
                <wp:docPr id="234" name="Textbox 234"/>
                <wp:cNvGraphicFramePr>
                  <a:graphicFrameLocks/>
                </wp:cNvGraphicFramePr>
                <a:graphic>
                  <a:graphicData uri="http://schemas.microsoft.com/office/word/2010/wordprocessingShape">
                    <wps:wsp>
                      <wps:cNvPr id="234" name="Textbox 234"/>
                      <wps:cNvSpPr txBox="1"/>
                      <wps:spPr>
                        <a:xfrm>
                          <a:off x="0" y="0"/>
                          <a:ext cx="5931535" cy="1546860"/>
                        </a:xfrm>
                        <a:prstGeom prst="rect">
                          <a:avLst/>
                        </a:prstGeom>
                        <a:solidFill>
                          <a:srgbClr val="DBE4F0"/>
                        </a:solidFill>
                      </wps:spPr>
                      <wps:txbx>
                        <w:txbxContent>
                          <w:p>
                            <w:pPr>
                              <w:pStyle w:val="BodyText"/>
                              <w:spacing w:before="20"/>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6:</w:t>
                            </w:r>
                          </w:p>
                          <w:p>
                            <w:pPr>
                              <w:pStyle w:val="BodyText"/>
                              <w:spacing w:before="139"/>
                              <w:ind w:left="28" w:right="24"/>
                              <w:jc w:val="both"/>
                              <w:rPr>
                                <w:color w:val="000000"/>
                              </w:rPr>
                            </w:pPr>
                            <w:r>
                              <w:rPr>
                                <w:color w:val="000000"/>
                              </w:rPr>
                              <w:t>Los </w:t>
                            </w:r>
                            <w:r>
                              <w:rPr>
                                <w:b/>
                                <w:color w:val="000000"/>
                              </w:rPr>
                              <w:t>ayuntamientos fiscalizados </w:t>
                            </w:r>
                            <w:r>
                              <w:rPr>
                                <w:color w:val="000000"/>
                              </w:rPr>
                              <w:t>deberían establecer los procedimientos que sean precisos para verificar</w:t>
                            </w:r>
                            <w:r>
                              <w:rPr>
                                <w:color w:val="000000"/>
                                <w:spacing w:val="-1"/>
                              </w:rPr>
                              <w:t> </w:t>
                            </w:r>
                            <w:r>
                              <w:rPr>
                                <w:color w:val="000000"/>
                              </w:rPr>
                              <w:t>el</w:t>
                            </w:r>
                            <w:r>
                              <w:rPr>
                                <w:color w:val="000000"/>
                                <w:spacing w:val="-1"/>
                              </w:rPr>
                              <w:t> </w:t>
                            </w:r>
                            <w:r>
                              <w:rPr>
                                <w:color w:val="000000"/>
                              </w:rPr>
                              <w:t>grado</w:t>
                            </w:r>
                            <w:r>
                              <w:rPr>
                                <w:color w:val="000000"/>
                                <w:spacing w:val="-2"/>
                              </w:rPr>
                              <w:t> </w:t>
                            </w:r>
                            <w:r>
                              <w:rPr>
                                <w:color w:val="000000"/>
                              </w:rPr>
                              <w:t>de</w:t>
                            </w:r>
                            <w:r>
                              <w:rPr>
                                <w:color w:val="000000"/>
                                <w:spacing w:val="-2"/>
                              </w:rPr>
                              <w:t> </w:t>
                            </w:r>
                            <w:r>
                              <w:rPr>
                                <w:color w:val="000000"/>
                              </w:rPr>
                              <w:t>ejecución y la</w:t>
                            </w:r>
                            <w:r>
                              <w:rPr>
                                <w:color w:val="000000"/>
                                <w:spacing w:val="-2"/>
                              </w:rPr>
                              <w:t> </w:t>
                            </w:r>
                            <w:r>
                              <w:rPr>
                                <w:color w:val="000000"/>
                              </w:rPr>
                              <w:t>efectividad de las actuaciones</w:t>
                            </w:r>
                            <w:r>
                              <w:rPr>
                                <w:color w:val="000000"/>
                                <w:spacing w:val="-2"/>
                              </w:rPr>
                              <w:t> </w:t>
                            </w:r>
                            <w:r>
                              <w:rPr>
                                <w:color w:val="000000"/>
                              </w:rPr>
                              <w:t>realizadas para</w:t>
                            </w:r>
                            <w:r>
                              <w:rPr>
                                <w:color w:val="000000"/>
                                <w:spacing w:val="-2"/>
                              </w:rPr>
                              <w:t> </w:t>
                            </w:r>
                            <w:r>
                              <w:rPr>
                                <w:color w:val="000000"/>
                              </w:rPr>
                              <w:t>lograr</w:t>
                            </w:r>
                            <w:r>
                              <w:rPr>
                                <w:color w:val="000000"/>
                                <w:spacing w:val="-1"/>
                              </w:rPr>
                              <w:t> </w:t>
                            </w:r>
                            <w:r>
                              <w:rPr>
                                <w:color w:val="000000"/>
                              </w:rPr>
                              <w:t>la sostenibilidad del transporte público colectivo y su adecuación a las necesidades del servicio. Dicho seguimiento debería servir también para identificar aspectos susceptibles de mejora y/o de</w:t>
                            </w:r>
                            <w:r>
                              <w:rPr>
                                <w:color w:val="000000"/>
                                <w:spacing w:val="-2"/>
                              </w:rPr>
                              <w:t> </w:t>
                            </w:r>
                            <w:r>
                              <w:rPr>
                                <w:color w:val="000000"/>
                              </w:rPr>
                              <w:t>actualización, a</w:t>
                            </w:r>
                            <w:r>
                              <w:rPr>
                                <w:color w:val="000000"/>
                                <w:spacing w:val="-2"/>
                              </w:rPr>
                              <w:t> </w:t>
                            </w:r>
                            <w:r>
                              <w:rPr>
                                <w:color w:val="000000"/>
                              </w:rPr>
                              <w:t>la</w:t>
                            </w:r>
                            <w:r>
                              <w:rPr>
                                <w:color w:val="000000"/>
                                <w:spacing w:val="-2"/>
                              </w:rPr>
                              <w:t> </w:t>
                            </w:r>
                            <w:r>
                              <w:rPr>
                                <w:color w:val="000000"/>
                              </w:rPr>
                              <w:t>vista</w:t>
                            </w:r>
                            <w:r>
                              <w:rPr>
                                <w:color w:val="000000"/>
                                <w:spacing w:val="-2"/>
                              </w:rPr>
                              <w:t> </w:t>
                            </w:r>
                            <w:r>
                              <w:rPr>
                                <w:color w:val="000000"/>
                              </w:rPr>
                              <w:t>de</w:t>
                            </w:r>
                            <w:r>
                              <w:rPr>
                                <w:color w:val="000000"/>
                                <w:spacing w:val="-2"/>
                              </w:rPr>
                              <w:t> </w:t>
                            </w:r>
                            <w:r>
                              <w:rPr>
                                <w:color w:val="000000"/>
                              </w:rPr>
                              <w:t>los</w:t>
                            </w:r>
                            <w:r>
                              <w:rPr>
                                <w:color w:val="000000"/>
                                <w:spacing w:val="-2"/>
                              </w:rPr>
                              <w:t> </w:t>
                            </w:r>
                            <w:r>
                              <w:rPr>
                                <w:color w:val="000000"/>
                              </w:rPr>
                              <w:t>resultados</w:t>
                            </w:r>
                            <w:r>
                              <w:rPr>
                                <w:color w:val="000000"/>
                                <w:spacing w:val="-1"/>
                              </w:rPr>
                              <w:t> </w:t>
                            </w:r>
                            <w:r>
                              <w:rPr>
                                <w:color w:val="000000"/>
                              </w:rPr>
                              <w:t>obtenidos</w:t>
                            </w:r>
                            <w:r>
                              <w:rPr>
                                <w:color w:val="000000"/>
                                <w:spacing w:val="-1"/>
                              </w:rPr>
                              <w:t> </w:t>
                            </w:r>
                            <w:r>
                              <w:rPr>
                                <w:color w:val="000000"/>
                              </w:rPr>
                              <w:t>y</w:t>
                            </w:r>
                            <w:r>
                              <w:rPr>
                                <w:color w:val="000000"/>
                                <w:spacing w:val="-1"/>
                              </w:rPr>
                              <w:t> </w:t>
                            </w:r>
                            <w:r>
                              <w:rPr>
                                <w:color w:val="000000"/>
                              </w:rPr>
                              <w:t>de</w:t>
                            </w:r>
                            <w:r>
                              <w:rPr>
                                <w:color w:val="000000"/>
                                <w:spacing w:val="-2"/>
                              </w:rPr>
                              <w:t> </w:t>
                            </w:r>
                            <w:r>
                              <w:rPr>
                                <w:color w:val="000000"/>
                              </w:rPr>
                              <w:t>las</w:t>
                            </w:r>
                            <w:r>
                              <w:rPr>
                                <w:color w:val="000000"/>
                                <w:spacing w:val="-2"/>
                              </w:rPr>
                              <w:t> </w:t>
                            </w:r>
                            <w:r>
                              <w:rPr>
                                <w:color w:val="000000"/>
                              </w:rPr>
                              <w:t>novedades</w:t>
                            </w:r>
                            <w:r>
                              <w:rPr>
                                <w:color w:val="000000"/>
                                <w:spacing w:val="-1"/>
                              </w:rPr>
                              <w:t> </w:t>
                            </w:r>
                            <w:r>
                              <w:rPr>
                                <w:color w:val="000000"/>
                              </w:rPr>
                              <w:t>que,</w:t>
                            </w:r>
                            <w:r>
                              <w:rPr>
                                <w:color w:val="000000"/>
                                <w:spacing w:val="-1"/>
                              </w:rPr>
                              <w:t> </w:t>
                            </w:r>
                            <w:r>
                              <w:rPr>
                                <w:color w:val="000000"/>
                              </w:rPr>
                              <w:t>en</w:t>
                            </w:r>
                            <w:r>
                              <w:rPr>
                                <w:color w:val="000000"/>
                                <w:spacing w:val="-4"/>
                              </w:rPr>
                              <w:t> </w:t>
                            </w:r>
                            <w:r>
                              <w:rPr>
                                <w:color w:val="000000"/>
                              </w:rPr>
                              <w:t>áreas</w:t>
                            </w:r>
                            <w:r>
                              <w:rPr>
                                <w:color w:val="000000"/>
                                <w:spacing w:val="-4"/>
                              </w:rPr>
                              <w:t> </w:t>
                            </w:r>
                            <w:r>
                              <w:rPr>
                                <w:color w:val="000000"/>
                              </w:rPr>
                              <w:t>como la digitalización, puedan surgir periódicamente en el sector.</w:t>
                            </w:r>
                          </w:p>
                        </w:txbxContent>
                      </wps:txbx>
                      <wps:bodyPr wrap="square" lIns="0" tIns="0" rIns="0" bIns="0" rtlCol="0">
                        <a:noAutofit/>
                      </wps:bodyPr>
                    </wps:wsp>
                  </a:graphicData>
                </a:graphic>
              </wp:anchor>
            </w:drawing>
          </mc:Choice>
          <mc:Fallback>
            <w:pict>
              <v:shape style="position:absolute;margin-left:73.103996pt;margin-top:11.999121pt;width:467.05pt;height:121.8pt;mso-position-horizontal-relative:page;mso-position-vertical-relative:paragraph;z-index:-15689216;mso-wrap-distance-left:0;mso-wrap-distance-right:0" type="#_x0000_t202" id="docshape213" filled="true" fillcolor="#dbe4f0" stroked="false">
                <v:textbox inset="0,0,0,0">
                  <w:txbxContent>
                    <w:p>
                      <w:pPr>
                        <w:pStyle w:val="BodyText"/>
                        <w:spacing w:before="20"/>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6:</w:t>
                      </w:r>
                    </w:p>
                    <w:p>
                      <w:pPr>
                        <w:pStyle w:val="BodyText"/>
                        <w:spacing w:before="139"/>
                        <w:ind w:left="28" w:right="24"/>
                        <w:jc w:val="both"/>
                        <w:rPr>
                          <w:color w:val="000000"/>
                        </w:rPr>
                      </w:pPr>
                      <w:r>
                        <w:rPr>
                          <w:color w:val="000000"/>
                        </w:rPr>
                        <w:t>Los </w:t>
                      </w:r>
                      <w:r>
                        <w:rPr>
                          <w:b/>
                          <w:color w:val="000000"/>
                        </w:rPr>
                        <w:t>ayuntamientos fiscalizados </w:t>
                      </w:r>
                      <w:r>
                        <w:rPr>
                          <w:color w:val="000000"/>
                        </w:rPr>
                        <w:t>deberían establecer los procedimientos que sean precisos para verificar</w:t>
                      </w:r>
                      <w:r>
                        <w:rPr>
                          <w:color w:val="000000"/>
                          <w:spacing w:val="-1"/>
                        </w:rPr>
                        <w:t> </w:t>
                      </w:r>
                      <w:r>
                        <w:rPr>
                          <w:color w:val="000000"/>
                        </w:rPr>
                        <w:t>el</w:t>
                      </w:r>
                      <w:r>
                        <w:rPr>
                          <w:color w:val="000000"/>
                          <w:spacing w:val="-1"/>
                        </w:rPr>
                        <w:t> </w:t>
                      </w:r>
                      <w:r>
                        <w:rPr>
                          <w:color w:val="000000"/>
                        </w:rPr>
                        <w:t>grado</w:t>
                      </w:r>
                      <w:r>
                        <w:rPr>
                          <w:color w:val="000000"/>
                          <w:spacing w:val="-2"/>
                        </w:rPr>
                        <w:t> </w:t>
                      </w:r>
                      <w:r>
                        <w:rPr>
                          <w:color w:val="000000"/>
                        </w:rPr>
                        <w:t>de</w:t>
                      </w:r>
                      <w:r>
                        <w:rPr>
                          <w:color w:val="000000"/>
                          <w:spacing w:val="-2"/>
                        </w:rPr>
                        <w:t> </w:t>
                      </w:r>
                      <w:r>
                        <w:rPr>
                          <w:color w:val="000000"/>
                        </w:rPr>
                        <w:t>ejecución y la</w:t>
                      </w:r>
                      <w:r>
                        <w:rPr>
                          <w:color w:val="000000"/>
                          <w:spacing w:val="-2"/>
                        </w:rPr>
                        <w:t> </w:t>
                      </w:r>
                      <w:r>
                        <w:rPr>
                          <w:color w:val="000000"/>
                        </w:rPr>
                        <w:t>efectividad de las actuaciones</w:t>
                      </w:r>
                      <w:r>
                        <w:rPr>
                          <w:color w:val="000000"/>
                          <w:spacing w:val="-2"/>
                        </w:rPr>
                        <w:t> </w:t>
                      </w:r>
                      <w:r>
                        <w:rPr>
                          <w:color w:val="000000"/>
                        </w:rPr>
                        <w:t>realizadas para</w:t>
                      </w:r>
                      <w:r>
                        <w:rPr>
                          <w:color w:val="000000"/>
                          <w:spacing w:val="-2"/>
                        </w:rPr>
                        <w:t> </w:t>
                      </w:r>
                      <w:r>
                        <w:rPr>
                          <w:color w:val="000000"/>
                        </w:rPr>
                        <w:t>lograr</w:t>
                      </w:r>
                      <w:r>
                        <w:rPr>
                          <w:color w:val="000000"/>
                          <w:spacing w:val="-1"/>
                        </w:rPr>
                        <w:t> </w:t>
                      </w:r>
                      <w:r>
                        <w:rPr>
                          <w:color w:val="000000"/>
                        </w:rPr>
                        <w:t>la sostenibilidad del transporte público colectivo y su adecuación a las necesidades del servicio. Dicho seguimiento debería servir también para identificar aspectos susceptibles de mejora y/o de</w:t>
                      </w:r>
                      <w:r>
                        <w:rPr>
                          <w:color w:val="000000"/>
                          <w:spacing w:val="-2"/>
                        </w:rPr>
                        <w:t> </w:t>
                      </w:r>
                      <w:r>
                        <w:rPr>
                          <w:color w:val="000000"/>
                        </w:rPr>
                        <w:t>actualización, a</w:t>
                      </w:r>
                      <w:r>
                        <w:rPr>
                          <w:color w:val="000000"/>
                          <w:spacing w:val="-2"/>
                        </w:rPr>
                        <w:t> </w:t>
                      </w:r>
                      <w:r>
                        <w:rPr>
                          <w:color w:val="000000"/>
                        </w:rPr>
                        <w:t>la</w:t>
                      </w:r>
                      <w:r>
                        <w:rPr>
                          <w:color w:val="000000"/>
                          <w:spacing w:val="-2"/>
                        </w:rPr>
                        <w:t> </w:t>
                      </w:r>
                      <w:r>
                        <w:rPr>
                          <w:color w:val="000000"/>
                        </w:rPr>
                        <w:t>vista</w:t>
                      </w:r>
                      <w:r>
                        <w:rPr>
                          <w:color w:val="000000"/>
                          <w:spacing w:val="-2"/>
                        </w:rPr>
                        <w:t> </w:t>
                      </w:r>
                      <w:r>
                        <w:rPr>
                          <w:color w:val="000000"/>
                        </w:rPr>
                        <w:t>de</w:t>
                      </w:r>
                      <w:r>
                        <w:rPr>
                          <w:color w:val="000000"/>
                          <w:spacing w:val="-2"/>
                        </w:rPr>
                        <w:t> </w:t>
                      </w:r>
                      <w:r>
                        <w:rPr>
                          <w:color w:val="000000"/>
                        </w:rPr>
                        <w:t>los</w:t>
                      </w:r>
                      <w:r>
                        <w:rPr>
                          <w:color w:val="000000"/>
                          <w:spacing w:val="-2"/>
                        </w:rPr>
                        <w:t> </w:t>
                      </w:r>
                      <w:r>
                        <w:rPr>
                          <w:color w:val="000000"/>
                        </w:rPr>
                        <w:t>resultados</w:t>
                      </w:r>
                      <w:r>
                        <w:rPr>
                          <w:color w:val="000000"/>
                          <w:spacing w:val="-1"/>
                        </w:rPr>
                        <w:t> </w:t>
                      </w:r>
                      <w:r>
                        <w:rPr>
                          <w:color w:val="000000"/>
                        </w:rPr>
                        <w:t>obtenidos</w:t>
                      </w:r>
                      <w:r>
                        <w:rPr>
                          <w:color w:val="000000"/>
                          <w:spacing w:val="-1"/>
                        </w:rPr>
                        <w:t> </w:t>
                      </w:r>
                      <w:r>
                        <w:rPr>
                          <w:color w:val="000000"/>
                        </w:rPr>
                        <w:t>y</w:t>
                      </w:r>
                      <w:r>
                        <w:rPr>
                          <w:color w:val="000000"/>
                          <w:spacing w:val="-1"/>
                        </w:rPr>
                        <w:t> </w:t>
                      </w:r>
                      <w:r>
                        <w:rPr>
                          <w:color w:val="000000"/>
                        </w:rPr>
                        <w:t>de</w:t>
                      </w:r>
                      <w:r>
                        <w:rPr>
                          <w:color w:val="000000"/>
                          <w:spacing w:val="-2"/>
                        </w:rPr>
                        <w:t> </w:t>
                      </w:r>
                      <w:r>
                        <w:rPr>
                          <w:color w:val="000000"/>
                        </w:rPr>
                        <w:t>las</w:t>
                      </w:r>
                      <w:r>
                        <w:rPr>
                          <w:color w:val="000000"/>
                          <w:spacing w:val="-2"/>
                        </w:rPr>
                        <w:t> </w:t>
                      </w:r>
                      <w:r>
                        <w:rPr>
                          <w:color w:val="000000"/>
                        </w:rPr>
                        <w:t>novedades</w:t>
                      </w:r>
                      <w:r>
                        <w:rPr>
                          <w:color w:val="000000"/>
                          <w:spacing w:val="-1"/>
                        </w:rPr>
                        <w:t> </w:t>
                      </w:r>
                      <w:r>
                        <w:rPr>
                          <w:color w:val="000000"/>
                        </w:rPr>
                        <w:t>que,</w:t>
                      </w:r>
                      <w:r>
                        <w:rPr>
                          <w:color w:val="000000"/>
                          <w:spacing w:val="-1"/>
                        </w:rPr>
                        <w:t> </w:t>
                      </w:r>
                      <w:r>
                        <w:rPr>
                          <w:color w:val="000000"/>
                        </w:rPr>
                        <w:t>en</w:t>
                      </w:r>
                      <w:r>
                        <w:rPr>
                          <w:color w:val="000000"/>
                          <w:spacing w:val="-4"/>
                        </w:rPr>
                        <w:t> </w:t>
                      </w:r>
                      <w:r>
                        <w:rPr>
                          <w:color w:val="000000"/>
                        </w:rPr>
                        <w:t>áreas</w:t>
                      </w:r>
                      <w:r>
                        <w:rPr>
                          <w:color w:val="000000"/>
                          <w:spacing w:val="-4"/>
                        </w:rPr>
                        <w:t> </w:t>
                      </w:r>
                      <w:r>
                        <w:rPr>
                          <w:color w:val="000000"/>
                        </w:rPr>
                        <w:t>como la digitalización, puedan surgir periódicamente en el sector.</w:t>
                      </w:r>
                    </w:p>
                  </w:txbxContent>
                </v:textbox>
                <v:fill type="solid"/>
                <w10:wrap type="topAndBottom"/>
              </v:shape>
            </w:pict>
          </mc:Fallback>
        </mc:AlternateContent>
      </w:r>
    </w:p>
    <w:p>
      <w:pPr>
        <w:pStyle w:val="BodyText"/>
        <w:spacing w:after="0"/>
        <w:rPr>
          <w:sz w:val="18"/>
        </w:rPr>
        <w:sectPr>
          <w:pgSz w:w="11910" w:h="16840"/>
          <w:pgMar w:header="1227" w:footer="839" w:top="1420" w:bottom="1020" w:left="141" w:right="141"/>
        </w:sectPr>
      </w:pPr>
    </w:p>
    <w:p>
      <w:pPr>
        <w:pStyle w:val="BodyText"/>
      </w:pPr>
    </w:p>
    <w:p>
      <w:pPr>
        <w:pStyle w:val="BodyText"/>
      </w:pPr>
    </w:p>
    <w:p>
      <w:pPr>
        <w:pStyle w:val="BodyText"/>
      </w:pPr>
    </w:p>
    <w:p>
      <w:pPr>
        <w:pStyle w:val="BodyText"/>
        <w:spacing w:before="112"/>
      </w:pPr>
    </w:p>
    <w:p>
      <w:pPr>
        <w:pStyle w:val="Heading4"/>
        <w:numPr>
          <w:ilvl w:val="1"/>
          <w:numId w:val="3"/>
        </w:numPr>
        <w:tabs>
          <w:tab w:pos="1477" w:val="left" w:leader="none"/>
        </w:tabs>
        <w:spacing w:line="240" w:lineRule="auto" w:before="0" w:after="0"/>
        <w:ind w:left="992" w:right="988" w:firstLine="0"/>
        <w:jc w:val="both"/>
      </w:pPr>
      <w:bookmarkStart w:name="_bookmark123" w:id="125"/>
      <w:bookmarkEnd w:id="125"/>
      <w:r>
        <w:rPr>
          <w:b w:val="0"/>
        </w:rPr>
      </w:r>
      <w:r>
        <w:rPr/>
        <w:t>RELATIVAS A LAS SUBVENCIONES RECIBIDAS POR LOS AYUNTAMIENTOS FISCALIZADOS PROCEDENTES DEL PROGRAMA DE AYUDAS A MUNICIPIOS PARA LA IMPLANTACIÓN DE ZONAS DE BAJAS EMISIONES Y LA TRANSFORMACIÓN DIGITAL Y SOSTENIBLE DEL TRANSPORTE URBANO, EN EL MARCO DEL PRTR, Y DEL CUMPLIMIENTO DE LOS PRINCIPIOS TRANSVERSALES DEL PRTR</w:t>
      </w:r>
    </w:p>
    <w:p>
      <w:pPr>
        <w:pStyle w:val="BodyText"/>
        <w:spacing w:before="107"/>
        <w:rPr>
          <w:b/>
        </w:rPr>
      </w:pPr>
    </w:p>
    <w:p>
      <w:pPr>
        <w:pStyle w:val="ListParagraph"/>
        <w:numPr>
          <w:ilvl w:val="0"/>
          <w:numId w:val="9"/>
        </w:numPr>
        <w:tabs>
          <w:tab w:pos="1347" w:val="left" w:leader="none"/>
          <w:tab w:pos="1349" w:val="left" w:leader="none"/>
        </w:tabs>
        <w:spacing w:line="240" w:lineRule="auto" w:before="0" w:after="0"/>
        <w:ind w:left="1349" w:right="984" w:hanging="358"/>
        <w:jc w:val="both"/>
        <w:rPr>
          <w:sz w:val="22"/>
        </w:rPr>
      </w:pPr>
      <w:r>
        <w:rPr>
          <w:sz w:val="22"/>
        </w:rPr>
        <w:t>El Programa de ayudas para la transformación digital y sostenible del transporte urbano, en el marco</w:t>
      </w:r>
      <w:r>
        <w:rPr>
          <w:spacing w:val="-4"/>
          <w:sz w:val="22"/>
        </w:rPr>
        <w:t> </w:t>
      </w:r>
      <w:r>
        <w:rPr>
          <w:sz w:val="22"/>
        </w:rPr>
        <w:t>del</w:t>
      </w:r>
      <w:r>
        <w:rPr>
          <w:spacing w:val="-2"/>
          <w:sz w:val="22"/>
        </w:rPr>
        <w:t> </w:t>
      </w:r>
      <w:r>
        <w:rPr>
          <w:sz w:val="22"/>
        </w:rPr>
        <w:t>PRTR,</w:t>
      </w:r>
      <w:r>
        <w:rPr>
          <w:spacing w:val="-3"/>
          <w:sz w:val="22"/>
        </w:rPr>
        <w:t> </w:t>
      </w:r>
      <w:r>
        <w:rPr>
          <w:sz w:val="22"/>
        </w:rPr>
        <w:t>tenía</w:t>
      </w:r>
      <w:r>
        <w:rPr>
          <w:spacing w:val="-2"/>
          <w:sz w:val="22"/>
        </w:rPr>
        <w:t> </w:t>
      </w:r>
      <w:r>
        <w:rPr>
          <w:sz w:val="22"/>
        </w:rPr>
        <w:t>por</w:t>
      </w:r>
      <w:r>
        <w:rPr>
          <w:spacing w:val="-1"/>
          <w:sz w:val="22"/>
        </w:rPr>
        <w:t> </w:t>
      </w:r>
      <w:r>
        <w:rPr>
          <w:sz w:val="22"/>
        </w:rPr>
        <w:t>objeto</w:t>
      </w:r>
      <w:r>
        <w:rPr>
          <w:spacing w:val="-4"/>
          <w:sz w:val="22"/>
        </w:rPr>
        <w:t> </w:t>
      </w:r>
      <w:r>
        <w:rPr>
          <w:sz w:val="22"/>
        </w:rPr>
        <w:t>subvencionar</w:t>
      </w:r>
      <w:r>
        <w:rPr>
          <w:spacing w:val="-1"/>
          <w:sz w:val="22"/>
        </w:rPr>
        <w:t> </w:t>
      </w:r>
      <w:r>
        <w:rPr>
          <w:sz w:val="22"/>
        </w:rPr>
        <w:t>aquellas</w:t>
      </w:r>
      <w:r>
        <w:rPr>
          <w:spacing w:val="-2"/>
          <w:sz w:val="22"/>
        </w:rPr>
        <w:t> </w:t>
      </w:r>
      <w:r>
        <w:rPr>
          <w:sz w:val="22"/>
        </w:rPr>
        <w:t>actuaciones</w:t>
      </w:r>
      <w:r>
        <w:rPr>
          <w:spacing w:val="-2"/>
          <w:sz w:val="22"/>
        </w:rPr>
        <w:t> </w:t>
      </w:r>
      <w:r>
        <w:rPr>
          <w:sz w:val="22"/>
        </w:rPr>
        <w:t>encaminadas</w:t>
      </w:r>
      <w:r>
        <w:rPr>
          <w:spacing w:val="-2"/>
          <w:sz w:val="22"/>
        </w:rPr>
        <w:t> </w:t>
      </w:r>
      <w:r>
        <w:rPr>
          <w:sz w:val="22"/>
        </w:rPr>
        <w:t>a</w:t>
      </w:r>
      <w:r>
        <w:rPr>
          <w:spacing w:val="-4"/>
          <w:sz w:val="22"/>
        </w:rPr>
        <w:t> </w:t>
      </w:r>
      <w:r>
        <w:rPr>
          <w:sz w:val="22"/>
        </w:rPr>
        <w:t>la</w:t>
      </w:r>
      <w:r>
        <w:rPr>
          <w:spacing w:val="-2"/>
          <w:sz w:val="22"/>
        </w:rPr>
        <w:t> </w:t>
      </w:r>
      <w:r>
        <w:rPr>
          <w:sz w:val="22"/>
        </w:rPr>
        <w:t>mejora de la calidad del aire y reducción del ruido en los entornos urbanos, al impulso de la descarbonización</w:t>
      </w:r>
      <w:r>
        <w:rPr>
          <w:spacing w:val="-13"/>
          <w:sz w:val="22"/>
        </w:rPr>
        <w:t> </w:t>
      </w:r>
      <w:r>
        <w:rPr>
          <w:sz w:val="22"/>
        </w:rPr>
        <w:t>de</w:t>
      </w:r>
      <w:r>
        <w:rPr>
          <w:spacing w:val="-13"/>
          <w:sz w:val="22"/>
        </w:rPr>
        <w:t> </w:t>
      </w:r>
      <w:r>
        <w:rPr>
          <w:sz w:val="22"/>
        </w:rPr>
        <w:t>la</w:t>
      </w:r>
      <w:r>
        <w:rPr>
          <w:spacing w:val="-15"/>
          <w:sz w:val="22"/>
        </w:rPr>
        <w:t> </w:t>
      </w:r>
      <w:r>
        <w:rPr>
          <w:sz w:val="22"/>
        </w:rPr>
        <w:t>movilidad</w:t>
      </w:r>
      <w:r>
        <w:rPr>
          <w:spacing w:val="-13"/>
          <w:sz w:val="22"/>
        </w:rPr>
        <w:t> </w:t>
      </w:r>
      <w:r>
        <w:rPr>
          <w:sz w:val="22"/>
        </w:rPr>
        <w:t>urbana</w:t>
      </w:r>
      <w:r>
        <w:rPr>
          <w:spacing w:val="-13"/>
          <w:sz w:val="22"/>
        </w:rPr>
        <w:t> </w:t>
      </w:r>
      <w:r>
        <w:rPr>
          <w:sz w:val="22"/>
        </w:rPr>
        <w:t>a</w:t>
      </w:r>
      <w:r>
        <w:rPr>
          <w:spacing w:val="-15"/>
          <w:sz w:val="22"/>
        </w:rPr>
        <w:t> </w:t>
      </w:r>
      <w:r>
        <w:rPr>
          <w:sz w:val="22"/>
        </w:rPr>
        <w:t>través</w:t>
      </w:r>
      <w:r>
        <w:rPr>
          <w:spacing w:val="-12"/>
          <w:sz w:val="22"/>
        </w:rPr>
        <w:t> </w:t>
      </w:r>
      <w:r>
        <w:rPr>
          <w:sz w:val="22"/>
        </w:rPr>
        <w:t>de</w:t>
      </w:r>
      <w:r>
        <w:rPr>
          <w:spacing w:val="-13"/>
          <w:sz w:val="22"/>
        </w:rPr>
        <w:t> </w:t>
      </w:r>
      <w:r>
        <w:rPr>
          <w:sz w:val="22"/>
        </w:rPr>
        <w:t>diferentes</w:t>
      </w:r>
      <w:r>
        <w:rPr>
          <w:spacing w:val="-15"/>
          <w:sz w:val="22"/>
        </w:rPr>
        <w:t> </w:t>
      </w:r>
      <w:r>
        <w:rPr>
          <w:sz w:val="22"/>
        </w:rPr>
        <w:t>medidas</w:t>
      </w:r>
      <w:r>
        <w:rPr>
          <w:spacing w:val="-15"/>
          <w:sz w:val="22"/>
        </w:rPr>
        <w:t> </w:t>
      </w:r>
      <w:r>
        <w:rPr>
          <w:sz w:val="22"/>
        </w:rPr>
        <w:t>dirigidas</w:t>
      </w:r>
      <w:r>
        <w:rPr>
          <w:spacing w:val="-12"/>
          <w:sz w:val="22"/>
        </w:rPr>
        <w:t> </w:t>
      </w:r>
      <w:r>
        <w:rPr>
          <w:sz w:val="22"/>
        </w:rPr>
        <w:t>al</w:t>
      </w:r>
      <w:r>
        <w:rPr>
          <w:spacing w:val="-14"/>
          <w:sz w:val="22"/>
        </w:rPr>
        <w:t> </w:t>
      </w:r>
      <w:r>
        <w:rPr>
          <w:sz w:val="22"/>
        </w:rPr>
        <w:t>propio</w:t>
      </w:r>
      <w:r>
        <w:rPr>
          <w:spacing w:val="-13"/>
          <w:sz w:val="22"/>
        </w:rPr>
        <w:t> </w:t>
      </w:r>
      <w:r>
        <w:rPr>
          <w:sz w:val="22"/>
        </w:rPr>
        <w:t>tejido de la ciudad y sus infraestructuras, así como a la potenciación y optimización del transporte urbano</w:t>
      </w:r>
      <w:r>
        <w:rPr>
          <w:spacing w:val="-4"/>
          <w:sz w:val="22"/>
        </w:rPr>
        <w:t> </w:t>
      </w:r>
      <w:r>
        <w:rPr>
          <w:sz w:val="22"/>
        </w:rPr>
        <w:t>y</w:t>
      </w:r>
      <w:r>
        <w:rPr>
          <w:spacing w:val="-3"/>
          <w:sz w:val="22"/>
        </w:rPr>
        <w:t> </w:t>
      </w:r>
      <w:r>
        <w:rPr>
          <w:sz w:val="22"/>
        </w:rPr>
        <w:t>metropolitano,</w:t>
      </w:r>
      <w:r>
        <w:rPr>
          <w:spacing w:val="-4"/>
          <w:sz w:val="22"/>
        </w:rPr>
        <w:t> </w:t>
      </w:r>
      <w:r>
        <w:rPr>
          <w:sz w:val="22"/>
        </w:rPr>
        <w:t>con</w:t>
      </w:r>
      <w:r>
        <w:rPr>
          <w:spacing w:val="-1"/>
          <w:sz w:val="22"/>
        </w:rPr>
        <w:t> </w:t>
      </w:r>
      <w:r>
        <w:rPr>
          <w:sz w:val="22"/>
        </w:rPr>
        <w:t>un</w:t>
      </w:r>
      <w:r>
        <w:rPr>
          <w:spacing w:val="-3"/>
          <w:sz w:val="22"/>
        </w:rPr>
        <w:t> </w:t>
      </w:r>
      <w:r>
        <w:rPr>
          <w:sz w:val="22"/>
        </w:rPr>
        <w:t>sistema</w:t>
      </w:r>
      <w:r>
        <w:rPr>
          <w:spacing w:val="-3"/>
          <w:sz w:val="22"/>
        </w:rPr>
        <w:t> </w:t>
      </w:r>
      <w:r>
        <w:rPr>
          <w:sz w:val="22"/>
        </w:rPr>
        <w:t>de</w:t>
      </w:r>
      <w:r>
        <w:rPr>
          <w:spacing w:val="-6"/>
          <w:sz w:val="22"/>
        </w:rPr>
        <w:t> </w:t>
      </w:r>
      <w:r>
        <w:rPr>
          <w:sz w:val="22"/>
        </w:rPr>
        <w:t>transporte</w:t>
      </w:r>
      <w:r>
        <w:rPr>
          <w:spacing w:val="-3"/>
          <w:sz w:val="22"/>
        </w:rPr>
        <w:t> </w:t>
      </w:r>
      <w:r>
        <w:rPr>
          <w:sz w:val="22"/>
        </w:rPr>
        <w:t>público</w:t>
      </w:r>
      <w:r>
        <w:rPr>
          <w:spacing w:val="-1"/>
          <w:sz w:val="22"/>
        </w:rPr>
        <w:t> </w:t>
      </w:r>
      <w:r>
        <w:rPr>
          <w:sz w:val="22"/>
        </w:rPr>
        <w:t>urbano</w:t>
      </w:r>
      <w:r>
        <w:rPr>
          <w:spacing w:val="-3"/>
          <w:sz w:val="22"/>
        </w:rPr>
        <w:t> </w:t>
      </w:r>
      <w:r>
        <w:rPr>
          <w:sz w:val="22"/>
        </w:rPr>
        <w:t>con</w:t>
      </w:r>
      <w:r>
        <w:rPr>
          <w:spacing w:val="-6"/>
          <w:sz w:val="22"/>
        </w:rPr>
        <w:t> </w:t>
      </w:r>
      <w:r>
        <w:rPr>
          <w:sz w:val="22"/>
        </w:rPr>
        <w:t>flotas</w:t>
      </w:r>
      <w:r>
        <w:rPr>
          <w:spacing w:val="-2"/>
          <w:sz w:val="22"/>
        </w:rPr>
        <w:t> </w:t>
      </w:r>
      <w:r>
        <w:rPr>
          <w:sz w:val="22"/>
        </w:rPr>
        <w:t>más</w:t>
      </w:r>
      <w:r>
        <w:rPr>
          <w:spacing w:val="-5"/>
          <w:sz w:val="22"/>
        </w:rPr>
        <w:t> </w:t>
      </w:r>
      <w:r>
        <w:rPr>
          <w:sz w:val="22"/>
        </w:rPr>
        <w:t>modernas, eficientes</w:t>
      </w:r>
      <w:r>
        <w:rPr>
          <w:spacing w:val="-9"/>
          <w:sz w:val="22"/>
        </w:rPr>
        <w:t> </w:t>
      </w:r>
      <w:r>
        <w:rPr>
          <w:sz w:val="22"/>
        </w:rPr>
        <w:t>y</w:t>
      </w:r>
      <w:r>
        <w:rPr>
          <w:spacing w:val="-6"/>
          <w:sz w:val="22"/>
        </w:rPr>
        <w:t> </w:t>
      </w:r>
      <w:r>
        <w:rPr>
          <w:sz w:val="22"/>
        </w:rPr>
        <w:t>de</w:t>
      </w:r>
      <w:r>
        <w:rPr>
          <w:spacing w:val="-9"/>
          <w:sz w:val="22"/>
        </w:rPr>
        <w:t> </w:t>
      </w:r>
      <w:r>
        <w:rPr>
          <w:sz w:val="22"/>
        </w:rPr>
        <w:t>nulas</w:t>
      </w:r>
      <w:r>
        <w:rPr>
          <w:spacing w:val="-9"/>
          <w:sz w:val="22"/>
        </w:rPr>
        <w:t> </w:t>
      </w:r>
      <w:r>
        <w:rPr>
          <w:sz w:val="22"/>
        </w:rPr>
        <w:t>emisiones.</w:t>
      </w:r>
      <w:r>
        <w:rPr>
          <w:spacing w:val="-5"/>
          <w:sz w:val="22"/>
        </w:rPr>
        <w:t> </w:t>
      </w:r>
      <w:r>
        <w:rPr>
          <w:sz w:val="22"/>
        </w:rPr>
        <w:t>Este</w:t>
      </w:r>
      <w:r>
        <w:rPr>
          <w:spacing w:val="-9"/>
          <w:sz w:val="22"/>
        </w:rPr>
        <w:t> </w:t>
      </w:r>
      <w:r>
        <w:rPr>
          <w:sz w:val="22"/>
        </w:rPr>
        <w:t>programa</w:t>
      </w:r>
      <w:r>
        <w:rPr>
          <w:spacing w:val="-7"/>
          <w:sz w:val="22"/>
        </w:rPr>
        <w:t> </w:t>
      </w:r>
      <w:r>
        <w:rPr>
          <w:sz w:val="22"/>
        </w:rPr>
        <w:t>ha</w:t>
      </w:r>
      <w:r>
        <w:rPr>
          <w:spacing w:val="-6"/>
          <w:sz w:val="22"/>
        </w:rPr>
        <w:t> </w:t>
      </w:r>
      <w:r>
        <w:rPr>
          <w:sz w:val="22"/>
        </w:rPr>
        <w:t>contado</w:t>
      </w:r>
      <w:r>
        <w:rPr>
          <w:spacing w:val="-6"/>
          <w:sz w:val="22"/>
        </w:rPr>
        <w:t> </w:t>
      </w:r>
      <w:r>
        <w:rPr>
          <w:sz w:val="22"/>
        </w:rPr>
        <w:t>con</w:t>
      </w:r>
      <w:r>
        <w:rPr>
          <w:spacing w:val="-9"/>
          <w:sz w:val="22"/>
        </w:rPr>
        <w:t> </w:t>
      </w:r>
      <w:r>
        <w:rPr>
          <w:sz w:val="22"/>
        </w:rPr>
        <w:t>dos</w:t>
      </w:r>
      <w:r>
        <w:rPr>
          <w:spacing w:val="-8"/>
          <w:sz w:val="22"/>
        </w:rPr>
        <w:t> </w:t>
      </w:r>
      <w:r>
        <w:rPr>
          <w:sz w:val="22"/>
        </w:rPr>
        <w:t>convocatorias,</w:t>
      </w:r>
      <w:r>
        <w:rPr>
          <w:spacing w:val="-4"/>
          <w:sz w:val="22"/>
        </w:rPr>
        <w:t> </w:t>
      </w:r>
      <w:r>
        <w:rPr>
          <w:sz w:val="22"/>
        </w:rPr>
        <w:t>una</w:t>
      </w:r>
      <w:r>
        <w:rPr>
          <w:spacing w:val="-8"/>
          <w:sz w:val="22"/>
        </w:rPr>
        <w:t> </w:t>
      </w:r>
      <w:r>
        <w:rPr>
          <w:sz w:val="22"/>
        </w:rPr>
        <w:t>en</w:t>
      </w:r>
      <w:r>
        <w:rPr>
          <w:spacing w:val="-9"/>
          <w:sz w:val="22"/>
        </w:rPr>
        <w:t> </w:t>
      </w:r>
      <w:r>
        <w:rPr>
          <w:sz w:val="22"/>
        </w:rPr>
        <w:t>2021 y otra en 2022.</w:t>
      </w:r>
    </w:p>
    <w:p>
      <w:pPr>
        <w:pStyle w:val="BodyText"/>
        <w:spacing w:before="242"/>
        <w:ind w:left="1349" w:right="985"/>
        <w:jc w:val="both"/>
      </w:pPr>
      <w:r>
        <w:rPr/>
        <w:t>A todos los ayuntamientos fiscalizados se les otorgaron subvenciones en la primera convocatoria por un importe total de 169.779.709,33 euros. No obstante, el </w:t>
      </w:r>
      <w:r>
        <w:rPr>
          <w:b/>
        </w:rPr>
        <w:t>Ayuntamiento de Córdoba </w:t>
      </w:r>
      <w:r>
        <w:rPr/>
        <w:t>renunció a la subvención inicialmente concedida, de 11.014.615,00 euros, sin que hasta entonces hubiera recibido anticipo alguno.</w:t>
      </w:r>
    </w:p>
    <w:p>
      <w:pPr>
        <w:spacing w:before="239"/>
        <w:ind w:left="1349" w:right="988" w:firstLine="0"/>
        <w:jc w:val="both"/>
        <w:rPr>
          <w:sz w:val="22"/>
        </w:rPr>
      </w:pPr>
      <w:r>
        <w:rPr>
          <w:sz w:val="22"/>
        </w:rPr>
        <w:t>Los </w:t>
      </w:r>
      <w:r>
        <w:rPr>
          <w:b/>
          <w:sz w:val="22"/>
        </w:rPr>
        <w:t>Ayuntamientos de Bilbao, Málaga, Sevilla y Zaragoza </w:t>
      </w:r>
      <w:r>
        <w:rPr>
          <w:sz w:val="22"/>
        </w:rPr>
        <w:t>resultaron beneficiarios en la segunda convocatoria de ayudas que ascendieron a 65.623.134,91 euros.</w:t>
      </w:r>
    </w:p>
    <w:p>
      <w:pPr>
        <w:pStyle w:val="BodyText"/>
        <w:spacing w:before="240"/>
        <w:ind w:left="1349" w:right="994"/>
        <w:jc w:val="both"/>
      </w:pPr>
      <w:r>
        <w:rPr/>
        <w:t>El importe de los anticipos recibidos por estas entidades fue de 140.522.954,48 euros, en la primera convocatoria, y de 65.623.134,91 euros, en la segunda.</w:t>
      </w:r>
    </w:p>
    <w:p>
      <w:pPr>
        <w:pStyle w:val="BodyText"/>
        <w:spacing w:before="241"/>
        <w:ind w:left="1349" w:right="985"/>
        <w:jc w:val="both"/>
      </w:pPr>
      <w:r>
        <w:rPr/>
        <w:t>A</w:t>
      </w:r>
      <w:r>
        <w:rPr>
          <w:spacing w:val="-9"/>
        </w:rPr>
        <w:t> </w:t>
      </w:r>
      <w:r>
        <w:rPr/>
        <w:t>30</w:t>
      </w:r>
      <w:r>
        <w:rPr>
          <w:spacing w:val="-9"/>
        </w:rPr>
        <w:t> </w:t>
      </w:r>
      <w:r>
        <w:rPr/>
        <w:t>de</w:t>
      </w:r>
      <w:r>
        <w:rPr>
          <w:spacing w:val="-9"/>
        </w:rPr>
        <w:t> </w:t>
      </w:r>
      <w:r>
        <w:rPr/>
        <w:t>septiembre</w:t>
      </w:r>
      <w:r>
        <w:rPr>
          <w:spacing w:val="-8"/>
        </w:rPr>
        <w:t> </w:t>
      </w:r>
      <w:r>
        <w:rPr/>
        <w:t>de</w:t>
      </w:r>
      <w:r>
        <w:rPr>
          <w:spacing w:val="-9"/>
        </w:rPr>
        <w:t> </w:t>
      </w:r>
      <w:r>
        <w:rPr/>
        <w:t>2025,</w:t>
      </w:r>
      <w:r>
        <w:rPr>
          <w:spacing w:val="-8"/>
        </w:rPr>
        <w:t> </w:t>
      </w:r>
      <w:r>
        <w:rPr/>
        <w:t>fecha</w:t>
      </w:r>
      <w:r>
        <w:rPr>
          <w:spacing w:val="-9"/>
        </w:rPr>
        <w:t> </w:t>
      </w:r>
      <w:r>
        <w:rPr/>
        <w:t>de</w:t>
      </w:r>
      <w:r>
        <w:rPr>
          <w:spacing w:val="-9"/>
        </w:rPr>
        <w:t> </w:t>
      </w:r>
      <w:r>
        <w:rPr/>
        <w:t>corte</w:t>
      </w:r>
      <w:r>
        <w:rPr>
          <w:spacing w:val="-11"/>
        </w:rPr>
        <w:t> </w:t>
      </w:r>
      <w:r>
        <w:rPr/>
        <w:t>de</w:t>
      </w:r>
      <w:r>
        <w:rPr>
          <w:spacing w:val="-9"/>
        </w:rPr>
        <w:t> </w:t>
      </w:r>
      <w:r>
        <w:rPr/>
        <w:t>los</w:t>
      </w:r>
      <w:r>
        <w:rPr>
          <w:spacing w:val="-8"/>
        </w:rPr>
        <w:t> </w:t>
      </w:r>
      <w:r>
        <w:rPr/>
        <w:t>trabajos</w:t>
      </w:r>
      <w:r>
        <w:rPr>
          <w:spacing w:val="-11"/>
        </w:rPr>
        <w:t> </w:t>
      </w:r>
      <w:r>
        <w:rPr/>
        <w:t>de</w:t>
      </w:r>
      <w:r>
        <w:rPr>
          <w:spacing w:val="-9"/>
        </w:rPr>
        <w:t> </w:t>
      </w:r>
      <w:r>
        <w:rPr/>
        <w:t>fiscalización,</w:t>
      </w:r>
      <w:r>
        <w:rPr>
          <w:spacing w:val="-8"/>
        </w:rPr>
        <w:t> </w:t>
      </w:r>
      <w:r>
        <w:rPr/>
        <w:t>los</w:t>
      </w:r>
      <w:r>
        <w:rPr>
          <w:spacing w:val="-7"/>
        </w:rPr>
        <w:t> </w:t>
      </w:r>
      <w:r>
        <w:rPr>
          <w:b/>
        </w:rPr>
        <w:t>Ayuntamientos de</w:t>
      </w:r>
      <w:r>
        <w:rPr>
          <w:b/>
          <w:spacing w:val="-6"/>
        </w:rPr>
        <w:t> </w:t>
      </w:r>
      <w:r>
        <w:rPr>
          <w:b/>
        </w:rPr>
        <w:t>Bilbao,</w:t>
      </w:r>
      <w:r>
        <w:rPr>
          <w:b/>
          <w:spacing w:val="-7"/>
        </w:rPr>
        <w:t> </w:t>
      </w:r>
      <w:r>
        <w:rPr>
          <w:b/>
        </w:rPr>
        <w:t>Palma</w:t>
      </w:r>
      <w:r>
        <w:rPr>
          <w:b/>
          <w:spacing w:val="-9"/>
        </w:rPr>
        <w:t> </w:t>
      </w:r>
      <w:r>
        <w:rPr>
          <w:rFonts w:ascii="Symbol" w:hAnsi="Symbol"/>
        </w:rPr>
        <w:t></w:t>
      </w:r>
      <w:r>
        <w:rPr/>
        <w:t>una</w:t>
      </w:r>
      <w:r>
        <w:rPr>
          <w:spacing w:val="-10"/>
        </w:rPr>
        <w:t> </w:t>
      </w:r>
      <w:r>
        <w:rPr/>
        <w:t>de</w:t>
      </w:r>
      <w:r>
        <w:rPr>
          <w:spacing w:val="-6"/>
        </w:rPr>
        <w:t> </w:t>
      </w:r>
      <w:r>
        <w:rPr/>
        <w:t>las</w:t>
      </w:r>
      <w:r>
        <w:rPr>
          <w:spacing w:val="-8"/>
        </w:rPr>
        <w:t> </w:t>
      </w:r>
      <w:r>
        <w:rPr/>
        <w:t>dos</w:t>
      </w:r>
      <w:r>
        <w:rPr>
          <w:spacing w:val="-7"/>
        </w:rPr>
        <w:t> </w:t>
      </w:r>
      <w:r>
        <w:rPr/>
        <w:t>solicitudes</w:t>
      </w:r>
      <w:r>
        <w:rPr>
          <w:rFonts w:ascii="Symbol" w:hAnsi="Symbol"/>
        </w:rPr>
        <w:t></w:t>
      </w:r>
      <w:r>
        <w:rPr/>
        <w:t>,</w:t>
      </w:r>
      <w:r>
        <w:rPr>
          <w:spacing w:val="-9"/>
        </w:rPr>
        <w:t> </w:t>
      </w:r>
      <w:r>
        <w:rPr>
          <w:b/>
        </w:rPr>
        <w:t>Sevilla</w:t>
      </w:r>
      <w:r>
        <w:rPr>
          <w:b/>
          <w:spacing w:val="-10"/>
        </w:rPr>
        <w:t> </w:t>
      </w:r>
      <w:r>
        <w:rPr/>
        <w:t>y</w:t>
      </w:r>
      <w:r>
        <w:rPr>
          <w:spacing w:val="-7"/>
        </w:rPr>
        <w:t> </w:t>
      </w:r>
      <w:r>
        <w:rPr>
          <w:b/>
        </w:rPr>
        <w:t>Zaragoza</w:t>
      </w:r>
      <w:r>
        <w:rPr>
          <w:b/>
          <w:spacing w:val="-7"/>
        </w:rPr>
        <w:t> </w:t>
      </w:r>
      <w:r>
        <w:rPr/>
        <w:t>han</w:t>
      </w:r>
      <w:r>
        <w:rPr>
          <w:spacing w:val="-10"/>
        </w:rPr>
        <w:t> </w:t>
      </w:r>
      <w:r>
        <w:rPr/>
        <w:t>aportado</w:t>
      </w:r>
      <w:r>
        <w:rPr>
          <w:spacing w:val="-10"/>
        </w:rPr>
        <w:t> </w:t>
      </w:r>
      <w:r>
        <w:rPr/>
        <w:t>justificante</w:t>
      </w:r>
      <w:r>
        <w:rPr>
          <w:spacing w:val="-8"/>
        </w:rPr>
        <w:t> </w:t>
      </w:r>
      <w:r>
        <w:rPr/>
        <w:t>de haber presentado ante el Ministerio concedente la cuenta justificativa y demás documentación complementaria correspondiente a la primera convocatoria. Asimismo, el Ayuntamiento de Donostia/San Sebastián, como representante de la agrupación, ha presentado la documentación</w:t>
      </w:r>
      <w:r>
        <w:rPr>
          <w:spacing w:val="-8"/>
        </w:rPr>
        <w:t> </w:t>
      </w:r>
      <w:r>
        <w:rPr/>
        <w:t>justificativa</w:t>
      </w:r>
      <w:r>
        <w:rPr>
          <w:spacing w:val="-7"/>
        </w:rPr>
        <w:t> </w:t>
      </w:r>
      <w:r>
        <w:rPr/>
        <w:t>del</w:t>
      </w:r>
      <w:r>
        <w:rPr>
          <w:spacing w:val="-8"/>
        </w:rPr>
        <w:t> </w:t>
      </w:r>
      <w:r>
        <w:rPr/>
        <w:t>proyecto</w:t>
      </w:r>
      <w:r>
        <w:rPr>
          <w:spacing w:val="-9"/>
        </w:rPr>
        <w:t> </w:t>
      </w:r>
      <w:r>
        <w:rPr/>
        <w:t>INNOBUS-Tur</w:t>
      </w:r>
      <w:r>
        <w:rPr>
          <w:spacing w:val="-6"/>
        </w:rPr>
        <w:t> </w:t>
      </w:r>
      <w:r>
        <w:rPr/>
        <w:t>en</w:t>
      </w:r>
      <w:r>
        <w:rPr>
          <w:spacing w:val="-10"/>
        </w:rPr>
        <w:t> </w:t>
      </w:r>
      <w:r>
        <w:rPr/>
        <w:t>el</w:t>
      </w:r>
      <w:r>
        <w:rPr>
          <w:spacing w:val="-8"/>
        </w:rPr>
        <w:t> </w:t>
      </w:r>
      <w:r>
        <w:rPr/>
        <w:t>que</w:t>
      </w:r>
      <w:r>
        <w:rPr>
          <w:spacing w:val="-10"/>
        </w:rPr>
        <w:t> </w:t>
      </w:r>
      <w:r>
        <w:rPr/>
        <w:t>participan</w:t>
      </w:r>
      <w:r>
        <w:rPr>
          <w:spacing w:val="-7"/>
        </w:rPr>
        <w:t> </w:t>
      </w:r>
      <w:r>
        <w:rPr/>
        <w:t>los</w:t>
      </w:r>
      <w:r>
        <w:rPr>
          <w:spacing w:val="-9"/>
        </w:rPr>
        <w:t> </w:t>
      </w:r>
      <w:r>
        <w:rPr>
          <w:b/>
        </w:rPr>
        <w:t>Ayuntamientos de</w:t>
      </w:r>
      <w:r>
        <w:rPr>
          <w:b/>
          <w:spacing w:val="-2"/>
        </w:rPr>
        <w:t> </w:t>
      </w:r>
      <w:r>
        <w:rPr>
          <w:b/>
        </w:rPr>
        <w:t>Málaga, Palma </w:t>
      </w:r>
      <w:r>
        <w:rPr/>
        <w:t>y</w:t>
      </w:r>
      <w:r>
        <w:rPr>
          <w:spacing w:val="-1"/>
        </w:rPr>
        <w:t> </w:t>
      </w:r>
      <w:r>
        <w:rPr>
          <w:b/>
        </w:rPr>
        <w:t>Las</w:t>
      </w:r>
      <w:r>
        <w:rPr>
          <w:b/>
          <w:spacing w:val="-2"/>
        </w:rPr>
        <w:t> </w:t>
      </w:r>
      <w:r>
        <w:rPr>
          <w:b/>
        </w:rPr>
        <w:t>Palmas</w:t>
      </w:r>
      <w:r>
        <w:rPr>
          <w:b/>
          <w:spacing w:val="-2"/>
        </w:rPr>
        <w:t> </w:t>
      </w:r>
      <w:r>
        <w:rPr>
          <w:b/>
        </w:rPr>
        <w:t>de</w:t>
      </w:r>
      <w:r>
        <w:rPr>
          <w:b/>
          <w:spacing w:val="-2"/>
        </w:rPr>
        <w:t> </w:t>
      </w:r>
      <w:r>
        <w:rPr>
          <w:b/>
        </w:rPr>
        <w:t>Gran Canaria</w:t>
      </w:r>
      <w:r>
        <w:rPr/>
        <w:t>. La</w:t>
      </w:r>
      <w:r>
        <w:rPr>
          <w:spacing w:val="-2"/>
        </w:rPr>
        <w:t> </w:t>
      </w:r>
      <w:r>
        <w:rPr/>
        <w:t>justificación</w:t>
      </w:r>
      <w:r>
        <w:rPr>
          <w:spacing w:val="-2"/>
        </w:rPr>
        <w:t> </w:t>
      </w:r>
      <w:r>
        <w:rPr/>
        <w:t>del</w:t>
      </w:r>
      <w:r>
        <w:rPr>
          <w:spacing w:val="-2"/>
        </w:rPr>
        <w:t> </w:t>
      </w:r>
      <w:r>
        <w:rPr/>
        <w:t>resto</w:t>
      </w:r>
      <w:r>
        <w:rPr>
          <w:spacing w:val="-2"/>
        </w:rPr>
        <w:t> </w:t>
      </w:r>
      <w:r>
        <w:rPr/>
        <w:t>de proyectos</w:t>
      </w:r>
      <w:r>
        <w:rPr>
          <w:spacing w:val="-2"/>
        </w:rPr>
        <w:t> </w:t>
      </w:r>
      <w:r>
        <w:rPr/>
        <w:t>aún no se había presentado por no haber concluido el plazo de ejecución y/o de justificación. (Epígrafe II.5.1)</w:t>
      </w:r>
    </w:p>
    <w:p>
      <w:pPr>
        <w:pStyle w:val="ListParagraph"/>
        <w:numPr>
          <w:ilvl w:val="0"/>
          <w:numId w:val="9"/>
        </w:numPr>
        <w:tabs>
          <w:tab w:pos="1347" w:val="left" w:leader="none"/>
          <w:tab w:pos="1349" w:val="left" w:leader="none"/>
        </w:tabs>
        <w:spacing w:line="240" w:lineRule="auto" w:before="239" w:after="0"/>
        <w:ind w:left="1349" w:right="987" w:hanging="358"/>
        <w:jc w:val="both"/>
        <w:rPr>
          <w:sz w:val="22"/>
        </w:rPr>
      </w:pPr>
      <w:r>
        <w:rPr>
          <w:sz w:val="22"/>
        </w:rPr>
        <w:t>Todas las entidades fiscalizadas han aprobado un Plan de Medidas Antifraude (PMA) con posterioridad a la presentación de la solicitud de las subvenciones, si bien todas ellas los aprobaron antes de la resolución de concesión de las ayudas. Todos los</w:t>
      </w:r>
      <w:r>
        <w:rPr>
          <w:spacing w:val="-2"/>
          <w:sz w:val="22"/>
        </w:rPr>
        <w:t> </w:t>
      </w:r>
      <w:r>
        <w:rPr>
          <w:sz w:val="22"/>
        </w:rPr>
        <w:t>PMA, salvo los de los </w:t>
      </w:r>
      <w:r>
        <w:rPr>
          <w:b/>
          <w:sz w:val="22"/>
        </w:rPr>
        <w:t>Ayuntamientos de Málaga </w:t>
      </w:r>
      <w:r>
        <w:rPr>
          <w:sz w:val="22"/>
        </w:rPr>
        <w:t>y </w:t>
      </w:r>
      <w:r>
        <w:rPr>
          <w:b/>
          <w:sz w:val="22"/>
        </w:rPr>
        <w:t>Palma</w:t>
      </w:r>
      <w:r>
        <w:rPr>
          <w:sz w:val="22"/>
        </w:rPr>
        <w:t>, han sido actualizados con posterioridad, estando el del </w:t>
      </w:r>
      <w:r>
        <w:rPr>
          <w:b/>
          <w:sz w:val="22"/>
        </w:rPr>
        <w:t>Ayuntamiento de Málaga </w:t>
      </w:r>
      <w:r>
        <w:rPr>
          <w:sz w:val="22"/>
        </w:rPr>
        <w:t>en proceso de revisión y modificación.</w:t>
      </w:r>
    </w:p>
    <w:p>
      <w:pPr>
        <w:pStyle w:val="BodyText"/>
        <w:spacing w:before="240"/>
        <w:ind w:left="1349" w:right="987"/>
        <w:jc w:val="both"/>
      </w:pPr>
      <w:r>
        <w:rPr/>
        <w:t>Todos los ayuntamientos constituyeron una unidad o comisión antifraude, aunque no en todos los casos han estado activas. Solo consta que se han reunido las de los </w:t>
      </w:r>
      <w:r>
        <w:rPr>
          <w:b/>
        </w:rPr>
        <w:t>Ayuntamientos de Málaga, Murcia </w:t>
      </w:r>
      <w:r>
        <w:rPr/>
        <w:t>y </w:t>
      </w:r>
      <w:r>
        <w:rPr>
          <w:b/>
        </w:rPr>
        <w:t>Palma </w:t>
      </w:r>
      <w:r>
        <w:rPr/>
        <w:t>durante el periodo de ejecución de los proyectos subvencionados.</w:t>
      </w:r>
    </w:p>
    <w:p>
      <w:pPr>
        <w:pStyle w:val="BodyText"/>
        <w:spacing w:before="242"/>
        <w:ind w:left="1349" w:right="988"/>
        <w:jc w:val="both"/>
      </w:pPr>
      <w:r>
        <w:rPr/>
        <w:t>No consta que el </w:t>
      </w:r>
      <w:r>
        <w:rPr>
          <w:b/>
        </w:rPr>
        <w:t>Ayuntamiento de Palma </w:t>
      </w:r>
      <w:r>
        <w:rPr/>
        <w:t>haya informado, al Ministerio concedente de las ayudas, la percepción de financiación autonómica para la adquisición de autobuses. En todo caso, el importe conjunto de las ayudas recibidas no ha superado el importe de la actuación. (Epígrafe II.5.2)</w:t>
      </w:r>
    </w:p>
    <w:p>
      <w:pPr>
        <w:pStyle w:val="BodyText"/>
        <w:spacing w:after="0"/>
        <w:jc w:val="both"/>
        <w:sectPr>
          <w:pgSz w:w="11910" w:h="16840"/>
          <w:pgMar w:header="1227" w:footer="839" w:top="1420" w:bottom="1020" w:left="141" w:right="141"/>
        </w:sectPr>
      </w:pPr>
    </w:p>
    <w:p>
      <w:pPr>
        <w:pStyle w:val="BodyText"/>
        <w:rPr>
          <w:sz w:val="20"/>
        </w:rPr>
      </w:pPr>
    </w:p>
    <w:p>
      <w:pPr>
        <w:pStyle w:val="BodyText"/>
        <w:rPr>
          <w:sz w:val="20"/>
        </w:rPr>
      </w:pPr>
    </w:p>
    <w:p>
      <w:pPr>
        <w:pStyle w:val="BodyText"/>
        <w:rPr>
          <w:sz w:val="20"/>
        </w:rPr>
      </w:pPr>
    </w:p>
    <w:p>
      <w:pPr>
        <w:pStyle w:val="BodyText"/>
        <w:spacing w:before="204"/>
        <w:rPr>
          <w:sz w:val="20"/>
        </w:rPr>
      </w:pPr>
    </w:p>
    <w:p>
      <w:pPr>
        <w:spacing w:line="240" w:lineRule="auto"/>
        <w:ind w:left="1354" w:right="0" w:firstLine="0"/>
        <w:rPr>
          <w:sz w:val="20"/>
        </w:rPr>
      </w:pPr>
      <w:r>
        <w:rPr>
          <w:sz w:val="20"/>
        </w:rPr>
        <mc:AlternateContent>
          <mc:Choice Requires="wps">
            <w:drawing>
              <wp:inline distT="0" distB="0" distL="0" distR="0">
                <wp:extent cx="5909945" cy="1201420"/>
                <wp:effectExtent l="0" t="0" r="0" b="0"/>
                <wp:docPr id="235" name="Textbox 235"/>
                <wp:cNvGraphicFramePr>
                  <a:graphicFrameLocks/>
                </wp:cNvGraphicFramePr>
                <a:graphic>
                  <a:graphicData uri="http://schemas.microsoft.com/office/word/2010/wordprocessingShape">
                    <wps:wsp>
                      <wps:cNvPr id="235" name="Textbox 235"/>
                      <wps:cNvSpPr txBox="1"/>
                      <wps:spPr>
                        <a:xfrm>
                          <a:off x="0" y="0"/>
                          <a:ext cx="5909945" cy="1201420"/>
                        </a:xfrm>
                        <a:prstGeom prst="rect">
                          <a:avLst/>
                        </a:prstGeom>
                        <a:solidFill>
                          <a:srgbClr val="DBE4F0"/>
                        </a:solidFill>
                      </wps:spPr>
                      <wps:txbx>
                        <w:txbxContent>
                          <w:p>
                            <w:pPr>
                              <w:pStyle w:val="BodyText"/>
                              <w:spacing w:before="1"/>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7:</w:t>
                            </w:r>
                          </w:p>
                          <w:p>
                            <w:pPr>
                              <w:pStyle w:val="BodyText"/>
                              <w:spacing w:before="119"/>
                              <w:ind w:left="28" w:right="30"/>
                              <w:jc w:val="both"/>
                              <w:rPr>
                                <w:color w:val="000000"/>
                              </w:rPr>
                            </w:pPr>
                            <w:r>
                              <w:rPr>
                                <w:color w:val="000000"/>
                              </w:rPr>
                              <w:t>Se recomienda al </w:t>
                            </w:r>
                            <w:r>
                              <w:rPr>
                                <w:b/>
                                <w:color w:val="000000"/>
                              </w:rPr>
                              <w:t>Ayuntamiento de Palma </w:t>
                            </w:r>
                            <w:r>
                              <w:rPr>
                                <w:color w:val="000000"/>
                              </w:rPr>
                              <w:t>que establezca procedimientos que permitan la revisión periódica del PMA y su adaptación a las circunstancias acaecidas con posterioridad a su aprobación, dotándose de los medios adecuados para poder realizar estos procesos </w:t>
                            </w:r>
                            <w:r>
                              <w:rPr>
                                <w:color w:val="000000"/>
                                <w:spacing w:val="-2"/>
                              </w:rPr>
                              <w:t>internamente.</w:t>
                            </w:r>
                          </w:p>
                        </w:txbxContent>
                      </wps:txbx>
                      <wps:bodyPr wrap="square" lIns="0" tIns="0" rIns="0" bIns="0" rtlCol="0">
                        <a:noAutofit/>
                      </wps:bodyPr>
                    </wps:wsp>
                  </a:graphicData>
                </a:graphic>
              </wp:inline>
            </w:drawing>
          </mc:Choice>
          <mc:Fallback>
            <w:pict>
              <v:shape style="width:465.35pt;height:94.6pt;mso-position-horizontal-relative:char;mso-position-vertical-relative:line" type="#_x0000_t202" id="docshape214" filled="true" fillcolor="#dbe4f0" stroked="false">
                <w10:anchorlock/>
                <v:textbox inset="0,0,0,0">
                  <w:txbxContent>
                    <w:p>
                      <w:pPr>
                        <w:pStyle w:val="BodyText"/>
                        <w:spacing w:before="1"/>
                        <w:rPr>
                          <w:color w:val="000000"/>
                        </w:rPr>
                      </w:pPr>
                    </w:p>
                    <w:p>
                      <w:pPr>
                        <w:spacing w:before="0"/>
                        <w:ind w:left="28" w:right="0" w:firstLine="0"/>
                        <w:jc w:val="both"/>
                        <w:rPr>
                          <w:b/>
                          <w:color w:val="000000"/>
                          <w:sz w:val="22"/>
                        </w:rPr>
                      </w:pPr>
                      <w:r>
                        <w:rPr>
                          <w:b/>
                          <w:color w:val="000000"/>
                          <w:sz w:val="22"/>
                        </w:rPr>
                        <w:t>RECOMENDACIÓN</w:t>
                      </w:r>
                      <w:r>
                        <w:rPr>
                          <w:b/>
                          <w:color w:val="000000"/>
                          <w:spacing w:val="-9"/>
                          <w:sz w:val="22"/>
                        </w:rPr>
                        <w:t> </w:t>
                      </w:r>
                      <w:r>
                        <w:rPr>
                          <w:b/>
                          <w:color w:val="000000"/>
                          <w:sz w:val="22"/>
                        </w:rPr>
                        <w:t>N.º</w:t>
                      </w:r>
                      <w:r>
                        <w:rPr>
                          <w:b/>
                          <w:color w:val="000000"/>
                          <w:spacing w:val="-9"/>
                          <w:sz w:val="22"/>
                        </w:rPr>
                        <w:t> </w:t>
                      </w:r>
                      <w:r>
                        <w:rPr>
                          <w:b/>
                          <w:color w:val="000000"/>
                          <w:spacing w:val="-5"/>
                          <w:sz w:val="22"/>
                        </w:rPr>
                        <w:t>7:</w:t>
                      </w:r>
                    </w:p>
                    <w:p>
                      <w:pPr>
                        <w:pStyle w:val="BodyText"/>
                        <w:spacing w:before="119"/>
                        <w:ind w:left="28" w:right="30"/>
                        <w:jc w:val="both"/>
                        <w:rPr>
                          <w:color w:val="000000"/>
                        </w:rPr>
                      </w:pPr>
                      <w:r>
                        <w:rPr>
                          <w:color w:val="000000"/>
                        </w:rPr>
                        <w:t>Se recomienda al </w:t>
                      </w:r>
                      <w:r>
                        <w:rPr>
                          <w:b/>
                          <w:color w:val="000000"/>
                        </w:rPr>
                        <w:t>Ayuntamiento de Palma </w:t>
                      </w:r>
                      <w:r>
                        <w:rPr>
                          <w:color w:val="000000"/>
                        </w:rPr>
                        <w:t>que establezca procedimientos que permitan la revisión periódica del PMA y su adaptación a las circunstancias acaecidas con posterioridad a su aprobación, dotándose de los medios adecuados para poder realizar estos procesos </w:t>
                      </w:r>
                      <w:r>
                        <w:rPr>
                          <w:color w:val="000000"/>
                          <w:spacing w:val="-2"/>
                        </w:rPr>
                        <w:t>internamente.</w:t>
                      </w:r>
                    </w:p>
                  </w:txbxContent>
                </v:textbox>
                <v:fill type="solid"/>
              </v:shape>
            </w:pict>
          </mc:Fallback>
        </mc:AlternateContent>
      </w:r>
      <w:r>
        <w:rPr>
          <w:sz w:val="20"/>
        </w:rPr>
      </w:r>
    </w:p>
    <w:p>
      <w:pPr>
        <w:pStyle w:val="BodyText"/>
        <w:spacing w:before="78"/>
      </w:pPr>
    </w:p>
    <w:p>
      <w:pPr>
        <w:pStyle w:val="Heading4"/>
        <w:numPr>
          <w:ilvl w:val="1"/>
          <w:numId w:val="3"/>
        </w:numPr>
        <w:tabs>
          <w:tab w:pos="1477" w:val="left" w:leader="none"/>
        </w:tabs>
        <w:spacing w:line="240" w:lineRule="auto" w:before="0" w:after="0"/>
        <w:ind w:left="1477" w:right="0" w:hanging="485"/>
        <w:jc w:val="left"/>
      </w:pPr>
      <w:bookmarkStart w:name="_bookmark124" w:id="126"/>
      <w:bookmarkEnd w:id="126"/>
      <w:r>
        <w:rPr>
          <w:b w:val="0"/>
        </w:rPr>
      </w:r>
      <w:r>
        <w:rPr/>
        <w:t>RELATIVAS</w:t>
      </w:r>
      <w:r>
        <w:rPr>
          <w:spacing w:val="-18"/>
        </w:rPr>
        <w:t> </w:t>
      </w:r>
      <w:r>
        <w:rPr/>
        <w:t>A</w:t>
      </w:r>
      <w:r>
        <w:rPr>
          <w:spacing w:val="-15"/>
        </w:rPr>
        <w:t> </w:t>
      </w:r>
      <w:r>
        <w:rPr/>
        <w:t>LA</w:t>
      </w:r>
      <w:r>
        <w:rPr>
          <w:spacing w:val="-15"/>
        </w:rPr>
        <w:t> </w:t>
      </w:r>
      <w:r>
        <w:rPr/>
        <w:t>IGUALDAD</w:t>
      </w:r>
      <w:r>
        <w:rPr>
          <w:spacing w:val="-16"/>
        </w:rPr>
        <w:t> </w:t>
      </w:r>
      <w:r>
        <w:rPr/>
        <w:t>EFECTIVA</w:t>
      </w:r>
      <w:r>
        <w:rPr>
          <w:spacing w:val="-15"/>
        </w:rPr>
        <w:t> </w:t>
      </w:r>
      <w:r>
        <w:rPr/>
        <w:t>DE</w:t>
      </w:r>
      <w:r>
        <w:rPr>
          <w:spacing w:val="-15"/>
        </w:rPr>
        <w:t> </w:t>
      </w:r>
      <w:r>
        <w:rPr/>
        <w:t>MUJERES</w:t>
      </w:r>
      <w:r>
        <w:rPr>
          <w:spacing w:val="-15"/>
        </w:rPr>
        <w:t> </w:t>
      </w:r>
      <w:r>
        <w:rPr/>
        <w:t>Y</w:t>
      </w:r>
      <w:r>
        <w:rPr>
          <w:spacing w:val="-15"/>
        </w:rPr>
        <w:t> </w:t>
      </w:r>
      <w:r>
        <w:rPr/>
        <w:t>HOMBRES</w:t>
      </w:r>
      <w:r>
        <w:rPr>
          <w:spacing w:val="-15"/>
        </w:rPr>
        <w:t> </w:t>
      </w:r>
      <w:r>
        <w:rPr/>
        <w:t>Y</w:t>
      </w:r>
      <w:r>
        <w:rPr>
          <w:spacing w:val="-14"/>
        </w:rPr>
        <w:t> </w:t>
      </w:r>
      <w:r>
        <w:rPr>
          <w:spacing w:val="-2"/>
        </w:rPr>
        <w:t>TRANSPARENCIA</w:t>
      </w:r>
    </w:p>
    <w:p>
      <w:pPr>
        <w:pStyle w:val="BodyText"/>
        <w:spacing w:before="109"/>
        <w:rPr>
          <w:b/>
        </w:rPr>
      </w:pPr>
    </w:p>
    <w:p>
      <w:pPr>
        <w:pStyle w:val="ListParagraph"/>
        <w:numPr>
          <w:ilvl w:val="0"/>
          <w:numId w:val="9"/>
        </w:numPr>
        <w:tabs>
          <w:tab w:pos="1347" w:val="left" w:leader="none"/>
          <w:tab w:pos="1349" w:val="left" w:leader="none"/>
        </w:tabs>
        <w:spacing w:line="240" w:lineRule="auto" w:before="0" w:after="0"/>
        <w:ind w:left="1349" w:right="987" w:hanging="358"/>
        <w:jc w:val="both"/>
        <w:rPr>
          <w:sz w:val="22"/>
        </w:rPr>
      </w:pPr>
      <w:r>
        <w:rPr>
          <w:sz w:val="22"/>
        </w:rPr>
        <w:t>Todos</w:t>
      </w:r>
      <w:r>
        <w:rPr>
          <w:spacing w:val="-11"/>
          <w:sz w:val="22"/>
        </w:rPr>
        <w:t> </w:t>
      </w:r>
      <w:r>
        <w:rPr>
          <w:sz w:val="22"/>
        </w:rPr>
        <w:t>los</w:t>
      </w:r>
      <w:r>
        <w:rPr>
          <w:spacing w:val="-11"/>
          <w:sz w:val="22"/>
        </w:rPr>
        <w:t> </w:t>
      </w:r>
      <w:r>
        <w:rPr>
          <w:sz w:val="22"/>
        </w:rPr>
        <w:t>ayuntamientos</w:t>
      </w:r>
      <w:r>
        <w:rPr>
          <w:spacing w:val="-14"/>
          <w:sz w:val="22"/>
        </w:rPr>
        <w:t> </w:t>
      </w:r>
      <w:r>
        <w:rPr>
          <w:sz w:val="22"/>
        </w:rPr>
        <w:t>fiscalizados</w:t>
      </w:r>
      <w:r>
        <w:rPr>
          <w:spacing w:val="-11"/>
          <w:sz w:val="22"/>
        </w:rPr>
        <w:t> </w:t>
      </w:r>
      <w:r>
        <w:rPr>
          <w:sz w:val="22"/>
        </w:rPr>
        <w:t>contaron</w:t>
      </w:r>
      <w:r>
        <w:rPr>
          <w:spacing w:val="-12"/>
          <w:sz w:val="22"/>
        </w:rPr>
        <w:t> </w:t>
      </w:r>
      <w:r>
        <w:rPr>
          <w:sz w:val="22"/>
        </w:rPr>
        <w:t>con</w:t>
      </w:r>
      <w:r>
        <w:rPr>
          <w:spacing w:val="-11"/>
          <w:sz w:val="22"/>
        </w:rPr>
        <w:t> </w:t>
      </w:r>
      <w:r>
        <w:rPr>
          <w:sz w:val="22"/>
        </w:rPr>
        <w:t>un</w:t>
      </w:r>
      <w:r>
        <w:rPr>
          <w:spacing w:val="-12"/>
          <w:sz w:val="22"/>
        </w:rPr>
        <w:t> </w:t>
      </w:r>
      <w:r>
        <w:rPr>
          <w:sz w:val="22"/>
        </w:rPr>
        <w:t>Plan</w:t>
      </w:r>
      <w:r>
        <w:rPr>
          <w:spacing w:val="-12"/>
          <w:sz w:val="22"/>
        </w:rPr>
        <w:t> </w:t>
      </w:r>
      <w:r>
        <w:rPr>
          <w:sz w:val="22"/>
        </w:rPr>
        <w:t>de</w:t>
      </w:r>
      <w:r>
        <w:rPr>
          <w:spacing w:val="-12"/>
          <w:sz w:val="22"/>
        </w:rPr>
        <w:t> </w:t>
      </w:r>
      <w:r>
        <w:rPr>
          <w:sz w:val="22"/>
        </w:rPr>
        <w:t>Igualdad.</w:t>
      </w:r>
      <w:r>
        <w:rPr>
          <w:spacing w:val="-10"/>
          <w:sz w:val="22"/>
        </w:rPr>
        <w:t> </w:t>
      </w:r>
      <w:r>
        <w:rPr>
          <w:sz w:val="22"/>
        </w:rPr>
        <w:t>No</w:t>
      </w:r>
      <w:r>
        <w:rPr>
          <w:spacing w:val="-11"/>
          <w:sz w:val="22"/>
        </w:rPr>
        <w:t> </w:t>
      </w:r>
      <w:r>
        <w:rPr>
          <w:sz w:val="22"/>
        </w:rPr>
        <w:t>obstante,</w:t>
      </w:r>
      <w:r>
        <w:rPr>
          <w:spacing w:val="-10"/>
          <w:sz w:val="22"/>
        </w:rPr>
        <w:t> </w:t>
      </w:r>
      <w:r>
        <w:rPr>
          <w:sz w:val="22"/>
        </w:rPr>
        <w:t>el</w:t>
      </w:r>
      <w:r>
        <w:rPr>
          <w:spacing w:val="-12"/>
          <w:sz w:val="22"/>
        </w:rPr>
        <w:t> </w:t>
      </w:r>
      <w:r>
        <w:rPr>
          <w:sz w:val="22"/>
        </w:rPr>
        <w:t>periodo de</w:t>
      </w:r>
      <w:r>
        <w:rPr>
          <w:spacing w:val="-9"/>
          <w:sz w:val="22"/>
        </w:rPr>
        <w:t> </w:t>
      </w:r>
      <w:r>
        <w:rPr>
          <w:sz w:val="22"/>
        </w:rPr>
        <w:t>vigencia</w:t>
      </w:r>
      <w:r>
        <w:rPr>
          <w:spacing w:val="-9"/>
          <w:sz w:val="22"/>
        </w:rPr>
        <w:t> </w:t>
      </w:r>
      <w:r>
        <w:rPr>
          <w:sz w:val="22"/>
        </w:rPr>
        <w:t>de</w:t>
      </w:r>
      <w:r>
        <w:rPr>
          <w:spacing w:val="-12"/>
          <w:sz w:val="22"/>
        </w:rPr>
        <w:t> </w:t>
      </w:r>
      <w:r>
        <w:rPr>
          <w:sz w:val="22"/>
        </w:rPr>
        <w:t>los</w:t>
      </w:r>
      <w:r>
        <w:rPr>
          <w:spacing w:val="-9"/>
          <w:sz w:val="22"/>
        </w:rPr>
        <w:t> </w:t>
      </w:r>
      <w:r>
        <w:rPr>
          <w:sz w:val="22"/>
        </w:rPr>
        <w:t>Planes</w:t>
      </w:r>
      <w:r>
        <w:rPr>
          <w:spacing w:val="-8"/>
          <w:sz w:val="22"/>
        </w:rPr>
        <w:t> </w:t>
      </w:r>
      <w:r>
        <w:rPr>
          <w:sz w:val="22"/>
        </w:rPr>
        <w:t>de</w:t>
      </w:r>
      <w:r>
        <w:rPr>
          <w:spacing w:val="-12"/>
          <w:sz w:val="22"/>
        </w:rPr>
        <w:t> </w:t>
      </w:r>
      <w:r>
        <w:rPr>
          <w:sz w:val="22"/>
        </w:rPr>
        <w:t>los</w:t>
      </w:r>
      <w:r>
        <w:rPr>
          <w:spacing w:val="-10"/>
          <w:sz w:val="22"/>
        </w:rPr>
        <w:t> </w:t>
      </w:r>
      <w:r>
        <w:rPr>
          <w:b/>
          <w:sz w:val="22"/>
        </w:rPr>
        <w:t>Ayuntamientos</w:t>
      </w:r>
      <w:r>
        <w:rPr>
          <w:b/>
          <w:spacing w:val="-14"/>
          <w:sz w:val="22"/>
        </w:rPr>
        <w:t> </w:t>
      </w:r>
      <w:r>
        <w:rPr>
          <w:b/>
          <w:sz w:val="22"/>
        </w:rPr>
        <w:t>de</w:t>
      </w:r>
      <w:r>
        <w:rPr>
          <w:b/>
          <w:spacing w:val="-9"/>
          <w:sz w:val="22"/>
        </w:rPr>
        <w:t> </w:t>
      </w:r>
      <w:r>
        <w:rPr>
          <w:b/>
          <w:sz w:val="22"/>
        </w:rPr>
        <w:t>Las</w:t>
      </w:r>
      <w:r>
        <w:rPr>
          <w:b/>
          <w:spacing w:val="-9"/>
          <w:sz w:val="22"/>
        </w:rPr>
        <w:t> </w:t>
      </w:r>
      <w:r>
        <w:rPr>
          <w:b/>
          <w:sz w:val="22"/>
        </w:rPr>
        <w:t>Palmas</w:t>
      </w:r>
      <w:r>
        <w:rPr>
          <w:b/>
          <w:spacing w:val="-11"/>
          <w:sz w:val="22"/>
        </w:rPr>
        <w:t> </w:t>
      </w:r>
      <w:r>
        <w:rPr>
          <w:b/>
          <w:sz w:val="22"/>
        </w:rPr>
        <w:t>de</w:t>
      </w:r>
      <w:r>
        <w:rPr>
          <w:b/>
          <w:spacing w:val="-14"/>
          <w:sz w:val="22"/>
        </w:rPr>
        <w:t> </w:t>
      </w:r>
      <w:r>
        <w:rPr>
          <w:b/>
          <w:sz w:val="22"/>
        </w:rPr>
        <w:t>Gran</w:t>
      </w:r>
      <w:r>
        <w:rPr>
          <w:b/>
          <w:spacing w:val="-14"/>
          <w:sz w:val="22"/>
        </w:rPr>
        <w:t> </w:t>
      </w:r>
      <w:r>
        <w:rPr>
          <w:b/>
          <w:sz w:val="22"/>
        </w:rPr>
        <w:t>Canaria</w:t>
      </w:r>
      <w:r>
        <w:rPr>
          <w:b/>
          <w:spacing w:val="-8"/>
          <w:sz w:val="22"/>
        </w:rPr>
        <w:t> </w:t>
      </w:r>
      <w:r>
        <w:rPr>
          <w:sz w:val="22"/>
        </w:rPr>
        <w:t>y</w:t>
      </w:r>
      <w:r>
        <w:rPr>
          <w:spacing w:val="-8"/>
          <w:sz w:val="22"/>
        </w:rPr>
        <w:t> </w:t>
      </w:r>
      <w:r>
        <w:rPr>
          <w:b/>
          <w:sz w:val="22"/>
        </w:rPr>
        <w:t>Palma</w:t>
      </w:r>
      <w:r>
        <w:rPr>
          <w:b/>
          <w:spacing w:val="-10"/>
          <w:sz w:val="22"/>
        </w:rPr>
        <w:t> </w:t>
      </w:r>
      <w:r>
        <w:rPr>
          <w:sz w:val="22"/>
        </w:rPr>
        <w:t>era anterior</w:t>
      </w:r>
      <w:r>
        <w:rPr>
          <w:spacing w:val="-8"/>
          <w:sz w:val="22"/>
        </w:rPr>
        <w:t> </w:t>
      </w:r>
      <w:r>
        <w:rPr>
          <w:sz w:val="22"/>
        </w:rPr>
        <w:t>a</w:t>
      </w:r>
      <w:r>
        <w:rPr>
          <w:spacing w:val="-9"/>
          <w:sz w:val="22"/>
        </w:rPr>
        <w:t> </w:t>
      </w:r>
      <w:r>
        <w:rPr>
          <w:sz w:val="22"/>
        </w:rPr>
        <w:t>los</w:t>
      </w:r>
      <w:r>
        <w:rPr>
          <w:spacing w:val="-6"/>
          <w:sz w:val="22"/>
        </w:rPr>
        <w:t> </w:t>
      </w:r>
      <w:r>
        <w:rPr>
          <w:sz w:val="22"/>
        </w:rPr>
        <w:t>ejercicios</w:t>
      </w:r>
      <w:r>
        <w:rPr>
          <w:spacing w:val="-6"/>
          <w:sz w:val="22"/>
        </w:rPr>
        <w:t> </w:t>
      </w:r>
      <w:r>
        <w:rPr>
          <w:sz w:val="22"/>
        </w:rPr>
        <w:t>fiscalizados,</w:t>
      </w:r>
      <w:r>
        <w:rPr>
          <w:spacing w:val="-5"/>
          <w:sz w:val="22"/>
        </w:rPr>
        <w:t> </w:t>
      </w:r>
      <w:r>
        <w:rPr>
          <w:sz w:val="22"/>
        </w:rPr>
        <w:t>sin</w:t>
      </w:r>
      <w:r>
        <w:rPr>
          <w:spacing w:val="-9"/>
          <w:sz w:val="22"/>
        </w:rPr>
        <w:t> </w:t>
      </w:r>
      <w:r>
        <w:rPr>
          <w:sz w:val="22"/>
        </w:rPr>
        <w:t>que</w:t>
      </w:r>
      <w:r>
        <w:rPr>
          <w:spacing w:val="-9"/>
          <w:sz w:val="22"/>
        </w:rPr>
        <w:t> </w:t>
      </w:r>
      <w:r>
        <w:rPr>
          <w:sz w:val="22"/>
        </w:rPr>
        <w:t>hayan</w:t>
      </w:r>
      <w:r>
        <w:rPr>
          <w:spacing w:val="-6"/>
          <w:sz w:val="22"/>
        </w:rPr>
        <w:t> </w:t>
      </w:r>
      <w:r>
        <w:rPr>
          <w:sz w:val="22"/>
        </w:rPr>
        <w:t>aprobado</w:t>
      </w:r>
      <w:r>
        <w:rPr>
          <w:spacing w:val="-9"/>
          <w:sz w:val="22"/>
        </w:rPr>
        <w:t> </w:t>
      </w:r>
      <w:r>
        <w:rPr>
          <w:sz w:val="22"/>
        </w:rPr>
        <w:t>otros</w:t>
      </w:r>
      <w:r>
        <w:rPr>
          <w:spacing w:val="-9"/>
          <w:sz w:val="22"/>
        </w:rPr>
        <w:t> </w:t>
      </w:r>
      <w:r>
        <w:rPr>
          <w:sz w:val="22"/>
        </w:rPr>
        <w:t>con</w:t>
      </w:r>
      <w:r>
        <w:rPr>
          <w:spacing w:val="-9"/>
          <w:sz w:val="22"/>
        </w:rPr>
        <w:t> </w:t>
      </w:r>
      <w:r>
        <w:rPr>
          <w:sz w:val="22"/>
        </w:rPr>
        <w:t>posterioridad.</w:t>
      </w:r>
      <w:r>
        <w:rPr>
          <w:spacing w:val="-5"/>
          <w:sz w:val="22"/>
        </w:rPr>
        <w:t> </w:t>
      </w:r>
      <w:r>
        <w:rPr>
          <w:sz w:val="22"/>
        </w:rPr>
        <w:t>Los</w:t>
      </w:r>
      <w:r>
        <w:rPr>
          <w:spacing w:val="-8"/>
          <w:sz w:val="22"/>
        </w:rPr>
        <w:t> </w:t>
      </w:r>
      <w:r>
        <w:rPr>
          <w:sz w:val="22"/>
        </w:rPr>
        <w:t>de</w:t>
      </w:r>
      <w:r>
        <w:rPr>
          <w:spacing w:val="-9"/>
          <w:sz w:val="22"/>
        </w:rPr>
        <w:t> </w:t>
      </w:r>
      <w:r>
        <w:rPr>
          <w:sz w:val="22"/>
        </w:rPr>
        <w:t>los </w:t>
      </w:r>
      <w:r>
        <w:rPr>
          <w:b/>
          <w:sz w:val="22"/>
        </w:rPr>
        <w:t>Ayuntamientos de Las Palmas de Gran Canaria, Málaga </w:t>
      </w:r>
      <w:r>
        <w:rPr>
          <w:sz w:val="22"/>
        </w:rPr>
        <w:t>y </w:t>
      </w:r>
      <w:r>
        <w:rPr>
          <w:b/>
          <w:sz w:val="22"/>
        </w:rPr>
        <w:t>Sevilla </w:t>
      </w:r>
      <w:r>
        <w:rPr>
          <w:sz w:val="22"/>
        </w:rPr>
        <w:t>contemplan medidas relacionadas con la movilidad y el transporte público colectivo, fundamentalmente dirigidas a garantizar la seguridad de la mujer.</w:t>
      </w:r>
    </w:p>
    <w:p>
      <w:pPr>
        <w:pStyle w:val="BodyText"/>
        <w:spacing w:before="239"/>
        <w:ind w:left="1349" w:right="987"/>
        <w:jc w:val="both"/>
      </w:pPr>
      <w:r>
        <w:rPr/>
        <w:t>También los PMUS de los </w:t>
      </w:r>
      <w:r>
        <w:rPr>
          <w:b/>
        </w:rPr>
        <w:t>Ayuntamientos de Bilbao, Córdoba </w:t>
      </w:r>
      <w:r>
        <w:rPr/>
        <w:t>y </w:t>
      </w:r>
      <w:r>
        <w:rPr>
          <w:b/>
        </w:rPr>
        <w:t>Zaragoza </w:t>
      </w:r>
      <w:r>
        <w:rPr/>
        <w:t>introducen el enfoque de género en el ámbito de la movilidad urbana con el objetivo de</w:t>
      </w:r>
      <w:r>
        <w:rPr>
          <w:spacing w:val="-1"/>
        </w:rPr>
        <w:t> </w:t>
      </w:r>
      <w:r>
        <w:rPr/>
        <w:t>avanzar en términos de igualdad entre hombres y mujeres, aunque el</w:t>
      </w:r>
      <w:r>
        <w:rPr>
          <w:spacing w:val="-3"/>
        </w:rPr>
        <w:t> </w:t>
      </w:r>
      <w:r>
        <w:rPr/>
        <w:t>último no incorpora medidas para resolver los problemas detectados en este ámbito.</w:t>
      </w:r>
    </w:p>
    <w:p>
      <w:pPr>
        <w:pStyle w:val="BodyText"/>
        <w:spacing w:before="241"/>
        <w:ind w:left="1349" w:right="986"/>
        <w:jc w:val="both"/>
      </w:pPr>
      <w:r>
        <w:rPr/>
        <w:t>Todas</w:t>
      </w:r>
      <w:r>
        <w:rPr>
          <w:spacing w:val="-1"/>
        </w:rPr>
        <w:t> </w:t>
      </w:r>
      <w:r>
        <w:rPr/>
        <w:t>las</w:t>
      </w:r>
      <w:r>
        <w:rPr>
          <w:spacing w:val="-2"/>
        </w:rPr>
        <w:t> </w:t>
      </w:r>
      <w:r>
        <w:rPr/>
        <w:t>entidades</w:t>
      </w:r>
      <w:r>
        <w:rPr>
          <w:spacing w:val="-1"/>
        </w:rPr>
        <w:t> </w:t>
      </w:r>
      <w:r>
        <w:rPr/>
        <w:t>han</w:t>
      </w:r>
      <w:r>
        <w:rPr>
          <w:spacing w:val="-4"/>
        </w:rPr>
        <w:t> </w:t>
      </w:r>
      <w:r>
        <w:rPr/>
        <w:t>incluido</w:t>
      </w:r>
      <w:r>
        <w:rPr>
          <w:spacing w:val="-2"/>
        </w:rPr>
        <w:t> </w:t>
      </w:r>
      <w:r>
        <w:rPr/>
        <w:t>en</w:t>
      </w:r>
      <w:r>
        <w:rPr>
          <w:spacing w:val="-2"/>
        </w:rPr>
        <w:t> </w:t>
      </w:r>
      <w:r>
        <w:rPr/>
        <w:t>los</w:t>
      </w:r>
      <w:r>
        <w:rPr>
          <w:spacing w:val="-2"/>
        </w:rPr>
        <w:t> </w:t>
      </w:r>
      <w:r>
        <w:rPr/>
        <w:t>pliegos</w:t>
      </w:r>
      <w:r>
        <w:rPr>
          <w:spacing w:val="-2"/>
        </w:rPr>
        <w:t> </w:t>
      </w:r>
      <w:r>
        <w:rPr/>
        <w:t>de</w:t>
      </w:r>
      <w:r>
        <w:rPr>
          <w:spacing w:val="-2"/>
        </w:rPr>
        <w:t> </w:t>
      </w:r>
      <w:r>
        <w:rPr/>
        <w:t>cláusulas</w:t>
      </w:r>
      <w:r>
        <w:rPr>
          <w:spacing w:val="-2"/>
        </w:rPr>
        <w:t> </w:t>
      </w:r>
      <w:r>
        <w:rPr/>
        <w:t>administrativas</w:t>
      </w:r>
      <w:r>
        <w:rPr>
          <w:spacing w:val="-2"/>
        </w:rPr>
        <w:t> </w:t>
      </w:r>
      <w:r>
        <w:rPr/>
        <w:t>particulares</w:t>
      </w:r>
      <w:r>
        <w:rPr>
          <w:spacing w:val="-4"/>
        </w:rPr>
        <w:t> </w:t>
      </w:r>
      <w:r>
        <w:rPr/>
        <w:t>de</w:t>
      </w:r>
      <w:r>
        <w:rPr>
          <w:spacing w:val="-2"/>
        </w:rPr>
        <w:t> </w:t>
      </w:r>
      <w:r>
        <w:rPr/>
        <w:t>los contratos examinados condiciones especiales de ejecución con el fin de promover la igualdad en</w:t>
      </w:r>
      <w:r>
        <w:rPr>
          <w:spacing w:val="-4"/>
        </w:rPr>
        <w:t> </w:t>
      </w:r>
      <w:r>
        <w:rPr/>
        <w:t>el</w:t>
      </w:r>
      <w:r>
        <w:rPr>
          <w:spacing w:val="-5"/>
        </w:rPr>
        <w:t> </w:t>
      </w:r>
      <w:r>
        <w:rPr/>
        <w:t>mercado</w:t>
      </w:r>
      <w:r>
        <w:rPr>
          <w:spacing w:val="-6"/>
        </w:rPr>
        <w:t> </w:t>
      </w:r>
      <w:r>
        <w:rPr/>
        <w:t>de</w:t>
      </w:r>
      <w:r>
        <w:rPr>
          <w:spacing w:val="-7"/>
        </w:rPr>
        <w:t> </w:t>
      </w:r>
      <w:r>
        <w:rPr/>
        <w:t>trabajo</w:t>
      </w:r>
      <w:r>
        <w:rPr>
          <w:spacing w:val="-6"/>
        </w:rPr>
        <w:t> </w:t>
      </w:r>
      <w:r>
        <w:rPr/>
        <w:t>y/o</w:t>
      </w:r>
      <w:r>
        <w:rPr>
          <w:spacing w:val="-9"/>
        </w:rPr>
        <w:t> </w:t>
      </w:r>
      <w:r>
        <w:rPr/>
        <w:t>medidas</w:t>
      </w:r>
      <w:r>
        <w:rPr>
          <w:spacing w:val="-4"/>
        </w:rPr>
        <w:t> </w:t>
      </w:r>
      <w:r>
        <w:rPr/>
        <w:t>relacionadas</w:t>
      </w:r>
      <w:r>
        <w:rPr>
          <w:spacing w:val="-4"/>
        </w:rPr>
        <w:t> </w:t>
      </w:r>
      <w:r>
        <w:rPr/>
        <w:t>con</w:t>
      </w:r>
      <w:r>
        <w:rPr>
          <w:spacing w:val="-7"/>
        </w:rPr>
        <w:t> </w:t>
      </w:r>
      <w:r>
        <w:rPr/>
        <w:t>la</w:t>
      </w:r>
      <w:r>
        <w:rPr>
          <w:spacing w:val="-4"/>
        </w:rPr>
        <w:t> </w:t>
      </w:r>
      <w:r>
        <w:rPr/>
        <w:t>igualdad</w:t>
      </w:r>
      <w:r>
        <w:rPr>
          <w:spacing w:val="-4"/>
        </w:rPr>
        <w:t> </w:t>
      </w:r>
      <w:r>
        <w:rPr/>
        <w:t>de</w:t>
      </w:r>
      <w:r>
        <w:rPr>
          <w:spacing w:val="-4"/>
        </w:rPr>
        <w:t> </w:t>
      </w:r>
      <w:r>
        <w:rPr/>
        <w:t>género</w:t>
      </w:r>
      <w:r>
        <w:rPr>
          <w:spacing w:val="-4"/>
        </w:rPr>
        <w:t> </w:t>
      </w:r>
      <w:r>
        <w:rPr/>
        <w:t>como</w:t>
      </w:r>
      <w:r>
        <w:rPr>
          <w:spacing w:val="-6"/>
        </w:rPr>
        <w:t> </w:t>
      </w:r>
      <w:r>
        <w:rPr/>
        <w:t>criterios</w:t>
      </w:r>
      <w:r>
        <w:rPr>
          <w:spacing w:val="-4"/>
        </w:rPr>
        <w:t> </w:t>
      </w:r>
      <w:r>
        <w:rPr/>
        <w:t>de adjudicación en caso de empate.</w:t>
      </w:r>
    </w:p>
    <w:p>
      <w:pPr>
        <w:pStyle w:val="BodyText"/>
        <w:spacing w:before="239"/>
        <w:ind w:left="1349" w:right="987"/>
        <w:jc w:val="both"/>
      </w:pPr>
      <w:r>
        <w:rPr/>
        <w:t>Asimismo, los </w:t>
      </w:r>
      <w:r>
        <w:rPr>
          <w:b/>
        </w:rPr>
        <w:t>Ayuntamientos de Alicante, Bilbao, Las Palmas de Gran Canaria, Málaga </w:t>
      </w:r>
      <w:r>
        <w:rPr/>
        <w:t>y </w:t>
      </w:r>
      <w:r>
        <w:rPr>
          <w:b/>
        </w:rPr>
        <w:t>Sevilla</w:t>
      </w:r>
      <w:r>
        <w:rPr>
          <w:b/>
          <w:spacing w:val="-8"/>
        </w:rPr>
        <w:t> </w:t>
      </w:r>
      <w:r>
        <w:rPr/>
        <w:t>ofrecen</w:t>
      </w:r>
      <w:r>
        <w:rPr>
          <w:spacing w:val="-8"/>
        </w:rPr>
        <w:t> </w:t>
      </w:r>
      <w:r>
        <w:rPr/>
        <w:t>el</w:t>
      </w:r>
      <w:r>
        <w:rPr>
          <w:spacing w:val="-9"/>
        </w:rPr>
        <w:t> </w:t>
      </w:r>
      <w:r>
        <w:rPr/>
        <w:t>servicio</w:t>
      </w:r>
      <w:r>
        <w:rPr>
          <w:spacing w:val="-5"/>
        </w:rPr>
        <w:t> </w:t>
      </w:r>
      <w:r>
        <w:rPr/>
        <w:t>de</w:t>
      </w:r>
      <w:r>
        <w:rPr>
          <w:spacing w:val="-8"/>
        </w:rPr>
        <w:t> </w:t>
      </w:r>
      <w:r>
        <w:rPr/>
        <w:t>paradas</w:t>
      </w:r>
      <w:r>
        <w:rPr>
          <w:spacing w:val="-8"/>
        </w:rPr>
        <w:t> </w:t>
      </w:r>
      <w:r>
        <w:rPr/>
        <w:t>a</w:t>
      </w:r>
      <w:r>
        <w:rPr>
          <w:spacing w:val="-8"/>
        </w:rPr>
        <w:t> </w:t>
      </w:r>
      <w:r>
        <w:rPr/>
        <w:t>demanda</w:t>
      </w:r>
      <w:r>
        <w:rPr>
          <w:spacing w:val="-8"/>
        </w:rPr>
        <w:t> </w:t>
      </w:r>
      <w:r>
        <w:rPr/>
        <w:t>o</w:t>
      </w:r>
      <w:r>
        <w:rPr>
          <w:spacing w:val="-8"/>
        </w:rPr>
        <w:t> </w:t>
      </w:r>
      <w:r>
        <w:rPr/>
        <w:t>bajada</w:t>
      </w:r>
      <w:r>
        <w:rPr>
          <w:spacing w:val="-8"/>
        </w:rPr>
        <w:t> </w:t>
      </w:r>
      <w:r>
        <w:rPr/>
        <w:t>entre</w:t>
      </w:r>
      <w:r>
        <w:rPr>
          <w:spacing w:val="-8"/>
        </w:rPr>
        <w:t> </w:t>
      </w:r>
      <w:r>
        <w:rPr/>
        <w:t>paradas</w:t>
      </w:r>
      <w:r>
        <w:rPr>
          <w:spacing w:val="-7"/>
        </w:rPr>
        <w:t> </w:t>
      </w:r>
      <w:r>
        <w:rPr/>
        <w:t>atendiendo</w:t>
      </w:r>
      <w:r>
        <w:rPr>
          <w:spacing w:val="-6"/>
        </w:rPr>
        <w:t> </w:t>
      </w:r>
      <w:r>
        <w:rPr/>
        <w:t>a</w:t>
      </w:r>
      <w:r>
        <w:rPr>
          <w:spacing w:val="-8"/>
        </w:rPr>
        <w:t> </w:t>
      </w:r>
      <w:r>
        <w:rPr/>
        <w:t>razones de seguridad o accesibilidad desde una perspectiva de género, bajo petición de la persona interesada</w:t>
      </w:r>
      <w:r>
        <w:rPr>
          <w:spacing w:val="-7"/>
        </w:rPr>
        <w:t> </w:t>
      </w:r>
      <w:r>
        <w:rPr/>
        <w:t>y</w:t>
      </w:r>
      <w:r>
        <w:rPr>
          <w:spacing w:val="-8"/>
        </w:rPr>
        <w:t> </w:t>
      </w:r>
      <w:r>
        <w:rPr/>
        <w:t>siempre</w:t>
      </w:r>
      <w:r>
        <w:rPr>
          <w:spacing w:val="-6"/>
        </w:rPr>
        <w:t> </w:t>
      </w:r>
      <w:r>
        <w:rPr/>
        <w:t>que</w:t>
      </w:r>
      <w:r>
        <w:rPr>
          <w:spacing w:val="-6"/>
        </w:rPr>
        <w:t> </w:t>
      </w:r>
      <w:r>
        <w:rPr/>
        <w:t>las</w:t>
      </w:r>
      <w:r>
        <w:rPr>
          <w:spacing w:val="-6"/>
        </w:rPr>
        <w:t> </w:t>
      </w:r>
      <w:r>
        <w:rPr/>
        <w:t>condiciones</w:t>
      </w:r>
      <w:r>
        <w:rPr>
          <w:spacing w:val="-6"/>
        </w:rPr>
        <w:t> </w:t>
      </w:r>
      <w:r>
        <w:rPr/>
        <w:t>de</w:t>
      </w:r>
      <w:r>
        <w:rPr>
          <w:spacing w:val="-7"/>
        </w:rPr>
        <w:t> </w:t>
      </w:r>
      <w:r>
        <w:rPr/>
        <w:t>circulación</w:t>
      </w:r>
      <w:r>
        <w:rPr>
          <w:spacing w:val="-7"/>
        </w:rPr>
        <w:t> </w:t>
      </w:r>
      <w:r>
        <w:rPr/>
        <w:t>y</w:t>
      </w:r>
      <w:r>
        <w:rPr>
          <w:spacing w:val="-6"/>
        </w:rPr>
        <w:t> </w:t>
      </w:r>
      <w:r>
        <w:rPr/>
        <w:t>de</w:t>
      </w:r>
      <w:r>
        <w:rPr>
          <w:spacing w:val="-7"/>
        </w:rPr>
        <w:t> </w:t>
      </w:r>
      <w:r>
        <w:rPr/>
        <w:t>seguridad</w:t>
      </w:r>
      <w:r>
        <w:rPr>
          <w:spacing w:val="-7"/>
        </w:rPr>
        <w:t> </w:t>
      </w:r>
      <w:r>
        <w:rPr/>
        <w:t>así</w:t>
      </w:r>
      <w:r>
        <w:rPr>
          <w:spacing w:val="-5"/>
        </w:rPr>
        <w:t> </w:t>
      </w:r>
      <w:r>
        <w:rPr/>
        <w:t>lo</w:t>
      </w:r>
      <w:r>
        <w:rPr>
          <w:spacing w:val="-6"/>
        </w:rPr>
        <w:t> </w:t>
      </w:r>
      <w:r>
        <w:rPr/>
        <w:t>permitan.</w:t>
      </w:r>
      <w:r>
        <w:rPr>
          <w:spacing w:val="-5"/>
        </w:rPr>
        <w:t> </w:t>
      </w:r>
      <w:r>
        <w:rPr/>
        <w:t>Los</w:t>
      </w:r>
      <w:r>
        <w:rPr>
          <w:spacing w:val="-6"/>
        </w:rPr>
        <w:t> </w:t>
      </w:r>
      <w:r>
        <w:rPr/>
        <w:t>dos primeros cuentan con tarifas especiales para mujeres víctimas de violencia de género.</w:t>
      </w:r>
    </w:p>
    <w:p>
      <w:pPr>
        <w:pStyle w:val="ListParagraph"/>
        <w:numPr>
          <w:ilvl w:val="0"/>
          <w:numId w:val="9"/>
        </w:numPr>
        <w:tabs>
          <w:tab w:pos="1347" w:val="left" w:leader="none"/>
          <w:tab w:pos="1349" w:val="left" w:leader="none"/>
        </w:tabs>
        <w:spacing w:line="240" w:lineRule="auto" w:before="240" w:after="0"/>
        <w:ind w:left="1349" w:right="988" w:hanging="358"/>
        <w:jc w:val="both"/>
        <w:rPr>
          <w:sz w:val="22"/>
        </w:rPr>
      </w:pPr>
      <w:r>
        <w:rPr>
          <w:sz w:val="22"/>
        </w:rPr>
        <w:t>En general, las entidades analizadas publican la información obligatoria, relacionada con el objeto</w:t>
      </w:r>
      <w:r>
        <w:rPr>
          <w:spacing w:val="-6"/>
          <w:sz w:val="22"/>
        </w:rPr>
        <w:t> </w:t>
      </w:r>
      <w:r>
        <w:rPr>
          <w:sz w:val="22"/>
        </w:rPr>
        <w:t>de</w:t>
      </w:r>
      <w:r>
        <w:rPr>
          <w:spacing w:val="-4"/>
          <w:sz w:val="22"/>
        </w:rPr>
        <w:t> </w:t>
      </w:r>
      <w:r>
        <w:rPr>
          <w:sz w:val="22"/>
        </w:rPr>
        <w:t>la</w:t>
      </w:r>
      <w:r>
        <w:rPr>
          <w:spacing w:val="-4"/>
          <w:sz w:val="22"/>
        </w:rPr>
        <w:t> </w:t>
      </w:r>
      <w:r>
        <w:rPr>
          <w:sz w:val="22"/>
        </w:rPr>
        <w:t>presente</w:t>
      </w:r>
      <w:r>
        <w:rPr>
          <w:spacing w:val="-6"/>
          <w:sz w:val="22"/>
        </w:rPr>
        <w:t> </w:t>
      </w:r>
      <w:r>
        <w:rPr>
          <w:sz w:val="22"/>
        </w:rPr>
        <w:t>fiscalización,</w:t>
      </w:r>
      <w:r>
        <w:rPr>
          <w:spacing w:val="-3"/>
          <w:sz w:val="22"/>
        </w:rPr>
        <w:t> </w:t>
      </w:r>
      <w:r>
        <w:rPr>
          <w:sz w:val="22"/>
        </w:rPr>
        <w:t>aunque</w:t>
      </w:r>
      <w:r>
        <w:rPr>
          <w:spacing w:val="-4"/>
          <w:sz w:val="22"/>
        </w:rPr>
        <w:t> </w:t>
      </w:r>
      <w:r>
        <w:rPr>
          <w:sz w:val="22"/>
        </w:rPr>
        <w:t>se</w:t>
      </w:r>
      <w:r>
        <w:rPr>
          <w:spacing w:val="-4"/>
          <w:sz w:val="22"/>
        </w:rPr>
        <w:t> </w:t>
      </w:r>
      <w:r>
        <w:rPr>
          <w:sz w:val="22"/>
        </w:rPr>
        <w:t>han</w:t>
      </w:r>
      <w:r>
        <w:rPr>
          <w:spacing w:val="-6"/>
          <w:sz w:val="22"/>
        </w:rPr>
        <w:t> </w:t>
      </w:r>
      <w:r>
        <w:rPr>
          <w:sz w:val="22"/>
        </w:rPr>
        <w:t>observado</w:t>
      </w:r>
      <w:r>
        <w:rPr>
          <w:spacing w:val="-7"/>
          <w:sz w:val="22"/>
        </w:rPr>
        <w:t> </w:t>
      </w:r>
      <w:r>
        <w:rPr>
          <w:sz w:val="22"/>
        </w:rPr>
        <w:t>algunas</w:t>
      </w:r>
      <w:r>
        <w:rPr>
          <w:spacing w:val="-4"/>
          <w:sz w:val="22"/>
        </w:rPr>
        <w:t> </w:t>
      </w:r>
      <w:r>
        <w:rPr>
          <w:sz w:val="22"/>
        </w:rPr>
        <w:t>carencias,</w:t>
      </w:r>
      <w:r>
        <w:rPr>
          <w:spacing w:val="-3"/>
          <w:sz w:val="22"/>
        </w:rPr>
        <w:t> </w:t>
      </w:r>
      <w:r>
        <w:rPr>
          <w:sz w:val="22"/>
        </w:rPr>
        <w:t>entre</w:t>
      </w:r>
      <w:r>
        <w:rPr>
          <w:spacing w:val="-4"/>
          <w:sz w:val="22"/>
        </w:rPr>
        <w:t> </w:t>
      </w:r>
      <w:r>
        <w:rPr>
          <w:sz w:val="22"/>
        </w:rPr>
        <w:t>ellas,</w:t>
      </w:r>
      <w:r>
        <w:rPr>
          <w:spacing w:val="-5"/>
          <w:sz w:val="22"/>
        </w:rPr>
        <w:t> </w:t>
      </w:r>
      <w:r>
        <w:rPr>
          <w:sz w:val="22"/>
        </w:rPr>
        <w:t>en la información presupuestaria y en la publicación de los informes de fiscalización y auditoría emitidos por los órganos de control externo e interno.</w:t>
      </w:r>
    </w:p>
    <w:p>
      <w:pPr>
        <w:pStyle w:val="BodyText"/>
        <w:spacing w:line="352" w:lineRule="auto" w:before="241"/>
        <w:ind w:left="5483" w:right="3274" w:hanging="560"/>
      </w:pPr>
      <w:r>
        <w:rPr/>
        <w:t>Madrid,</w:t>
      </w:r>
      <w:r>
        <w:rPr>
          <w:spacing w:val="-7"/>
        </w:rPr>
        <w:t> </w:t>
      </w:r>
      <w:r>
        <w:rPr/>
        <w:t>18</w:t>
      </w:r>
      <w:r>
        <w:rPr>
          <w:spacing w:val="-6"/>
        </w:rPr>
        <w:t> </w:t>
      </w:r>
      <w:r>
        <w:rPr/>
        <w:t>de</w:t>
      </w:r>
      <w:r>
        <w:rPr>
          <w:spacing w:val="-8"/>
        </w:rPr>
        <w:t> </w:t>
      </w:r>
      <w:r>
        <w:rPr/>
        <w:t>diciembre</w:t>
      </w:r>
      <w:r>
        <w:rPr>
          <w:spacing w:val="-8"/>
        </w:rPr>
        <w:t> </w:t>
      </w:r>
      <w:r>
        <w:rPr/>
        <w:t>de</w:t>
      </w:r>
      <w:r>
        <w:rPr>
          <w:spacing w:val="-6"/>
        </w:rPr>
        <w:t> </w:t>
      </w:r>
      <w:r>
        <w:rPr/>
        <w:t>2025 LA PRESIDENTA</w:t>
      </w:r>
    </w:p>
    <w:p>
      <w:pPr>
        <w:pStyle w:val="BodyText"/>
        <w:spacing w:before="7"/>
        <w:rPr>
          <w:sz w:val="10"/>
        </w:rPr>
      </w:pPr>
      <w:r>
        <w:rPr>
          <w:sz w:val="10"/>
        </w:rPr>
        <w:drawing>
          <wp:anchor distT="0" distB="0" distL="0" distR="0" allowOverlap="1" layoutInCell="1" locked="0" behindDoc="1" simplePos="0" relativeHeight="487628288">
            <wp:simplePos x="0" y="0"/>
            <wp:positionH relativeFrom="page">
              <wp:posOffset>3432135</wp:posOffset>
            </wp:positionH>
            <wp:positionV relativeFrom="paragraph">
              <wp:posOffset>92966</wp:posOffset>
            </wp:positionV>
            <wp:extent cx="1261864" cy="434340"/>
            <wp:effectExtent l="0" t="0" r="0" b="0"/>
            <wp:wrapTopAndBottom/>
            <wp:docPr id="236" name="Image 236"/>
            <wp:cNvGraphicFramePr>
              <a:graphicFrameLocks/>
            </wp:cNvGraphicFramePr>
            <a:graphic>
              <a:graphicData uri="http://schemas.openxmlformats.org/drawingml/2006/picture">
                <pic:pic>
                  <pic:nvPicPr>
                    <pic:cNvPr id="236" name="Image 236"/>
                    <pic:cNvPicPr/>
                  </pic:nvPicPr>
                  <pic:blipFill>
                    <a:blip r:embed="rId58" cstate="print"/>
                    <a:stretch>
                      <a:fillRect/>
                    </a:stretch>
                  </pic:blipFill>
                  <pic:spPr>
                    <a:xfrm>
                      <a:off x="0" y="0"/>
                      <a:ext cx="1261864" cy="434340"/>
                    </a:xfrm>
                    <a:prstGeom prst="rect">
                      <a:avLst/>
                    </a:prstGeom>
                  </pic:spPr>
                </pic:pic>
              </a:graphicData>
            </a:graphic>
          </wp:anchor>
        </w:drawing>
      </w:r>
    </w:p>
    <w:p>
      <w:pPr>
        <w:pStyle w:val="BodyText"/>
        <w:spacing w:before="252"/>
        <w:ind w:left="5240"/>
      </w:pPr>
      <w:r>
        <w:rPr/>
        <w:t>Enriqueta</w:t>
      </w:r>
      <w:r>
        <w:rPr>
          <w:spacing w:val="-7"/>
        </w:rPr>
        <w:t> </w:t>
      </w:r>
      <w:r>
        <w:rPr/>
        <w:t>Chicano</w:t>
      </w:r>
      <w:r>
        <w:rPr>
          <w:spacing w:val="-7"/>
        </w:rPr>
        <w:t> </w:t>
      </w:r>
      <w:r>
        <w:rPr>
          <w:spacing w:val="-2"/>
        </w:rPr>
        <w:t>Jávega</w:t>
      </w:r>
    </w:p>
    <w:p>
      <w:pPr>
        <w:pStyle w:val="BodyText"/>
        <w:spacing w:after="0"/>
        <w:sectPr>
          <w:pgSz w:w="11910" w:h="16840"/>
          <w:pgMar w:header="1227" w:footer="839" w:top="1420" w:bottom="1020" w:left="141" w:right="141"/>
        </w:sectPr>
      </w:pPr>
    </w:p>
    <w:p>
      <w:pPr>
        <w:spacing w:line="240" w:lineRule="auto"/>
        <w:ind w:left="993" w:right="0" w:firstLine="0"/>
        <w:rPr>
          <w:sz w:val="20"/>
        </w:rPr>
      </w:pPr>
      <w:r>
        <w:rPr>
          <w:sz w:val="20"/>
        </w:rPr>
        <w:drawing>
          <wp:inline distT="0" distB="0" distL="0" distR="0">
            <wp:extent cx="1797867" cy="530351"/>
            <wp:effectExtent l="0" t="0" r="0" b="0"/>
            <wp:docPr id="237" name="Image 237"/>
            <wp:cNvGraphicFramePr>
              <a:graphicFrameLocks/>
            </wp:cNvGraphicFramePr>
            <a:graphic>
              <a:graphicData uri="http://schemas.openxmlformats.org/drawingml/2006/picture">
                <pic:pic>
                  <pic:nvPicPr>
                    <pic:cNvPr id="237" name="Image 237"/>
                    <pic:cNvPicPr/>
                  </pic:nvPicPr>
                  <pic:blipFill>
                    <a:blip r:embed="rId61" cstate="print"/>
                    <a:stretch>
                      <a:fillRect/>
                    </a:stretch>
                  </pic:blipFill>
                  <pic:spPr>
                    <a:xfrm>
                      <a:off x="0" y="0"/>
                      <a:ext cx="1797867" cy="530351"/>
                    </a:xfrm>
                    <a:prstGeom prst="rect">
                      <a:avLst/>
                    </a:prstGeom>
                  </pic:spPr>
                </pic:pic>
              </a:graphicData>
            </a:graphic>
          </wp:inline>
        </w:drawing>
      </w:r>
      <w:r>
        <w:rPr>
          <w:sz w:val="20"/>
        </w:rPr>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243"/>
        <w:rPr>
          <w:sz w:val="32"/>
        </w:rPr>
      </w:pPr>
    </w:p>
    <w:p>
      <w:pPr>
        <w:pStyle w:val="Heading1"/>
        <w:ind w:left="992"/>
        <w:rPr>
          <w:rFonts w:ascii="Arial"/>
        </w:rPr>
      </w:pPr>
      <w:r>
        <w:rPr>
          <w:rFonts w:ascii="Arial"/>
        </w:rPr>
        <w:drawing>
          <wp:anchor distT="0" distB="0" distL="0" distR="0" allowOverlap="1" layoutInCell="1" locked="0" behindDoc="1" simplePos="0" relativeHeight="474307584">
            <wp:simplePos x="0" y="0"/>
            <wp:positionH relativeFrom="page">
              <wp:posOffset>720090</wp:posOffset>
            </wp:positionH>
            <wp:positionV relativeFrom="paragraph">
              <wp:posOffset>-4576269</wp:posOffset>
            </wp:positionV>
            <wp:extent cx="6138545" cy="7663610"/>
            <wp:effectExtent l="0" t="0" r="0" b="0"/>
            <wp:wrapNone/>
            <wp:docPr id="238" name="Image 238" descr="Forma  Descripción generada automáticamente con confianza baja"/>
            <wp:cNvGraphicFramePr>
              <a:graphicFrameLocks/>
            </wp:cNvGraphicFramePr>
            <a:graphic>
              <a:graphicData uri="http://schemas.openxmlformats.org/drawingml/2006/picture">
                <pic:pic>
                  <pic:nvPicPr>
                    <pic:cNvPr id="238" name="Image 238" descr="Forma  Descripción generada automáticamente con confianza baja"/>
                    <pic:cNvPicPr/>
                  </pic:nvPicPr>
                  <pic:blipFill>
                    <a:blip r:embed="rId9" cstate="print"/>
                    <a:stretch>
                      <a:fillRect/>
                    </a:stretch>
                  </pic:blipFill>
                  <pic:spPr>
                    <a:xfrm>
                      <a:off x="0" y="0"/>
                      <a:ext cx="6138545" cy="7663610"/>
                    </a:xfrm>
                    <a:prstGeom prst="rect">
                      <a:avLst/>
                    </a:prstGeom>
                  </pic:spPr>
                </pic:pic>
              </a:graphicData>
            </a:graphic>
          </wp:anchor>
        </w:drawing>
      </w:r>
      <w:bookmarkStart w:name="_bookmark125" w:id="127"/>
      <w:bookmarkEnd w:id="127"/>
      <w:r>
        <w:rPr>
          <w:b w:val="0"/>
        </w:rPr>
      </w:r>
      <w:r>
        <w:rPr>
          <w:rFonts w:ascii="Arial"/>
          <w:spacing w:val="-2"/>
        </w:rPr>
        <w:t>ANEXOS</w:t>
      </w:r>
    </w:p>
    <w:p>
      <w:pPr>
        <w:pStyle w:val="Heading1"/>
        <w:spacing w:after="0"/>
        <w:rPr>
          <w:rFonts w:ascii="Arial"/>
        </w:rPr>
        <w:sectPr>
          <w:headerReference w:type="default" r:id="rId59"/>
          <w:footerReference w:type="default" r:id="rId60"/>
          <w:pgSz w:w="11910" w:h="16840"/>
          <w:pgMar w:header="0" w:footer="0" w:top="1040" w:bottom="280" w:left="141" w:right="141"/>
        </w:sectPr>
      </w:pPr>
    </w:p>
    <w:p>
      <w:pPr>
        <w:pStyle w:val="BodyText"/>
        <w:spacing w:before="4"/>
        <w:rPr>
          <w:b/>
          <w:sz w:val="17"/>
        </w:rPr>
      </w:pPr>
    </w:p>
    <w:p>
      <w:pPr>
        <w:pStyle w:val="BodyText"/>
        <w:spacing w:after="0"/>
        <w:rPr>
          <w:b/>
          <w:sz w:val="17"/>
        </w:rPr>
        <w:sectPr>
          <w:headerReference w:type="even" r:id="rId62"/>
          <w:footerReference w:type="even" r:id="rId63"/>
          <w:pgSz w:w="11910" w:h="16840"/>
          <w:pgMar w:header="0" w:footer="0" w:top="1920" w:bottom="280" w:left="141" w:right="141"/>
        </w:sectPr>
      </w:pPr>
    </w:p>
    <w:p>
      <w:pPr>
        <w:pStyle w:val="BodyText"/>
        <w:rPr>
          <w:b/>
        </w:rPr>
      </w:pPr>
    </w:p>
    <w:p>
      <w:pPr>
        <w:pStyle w:val="BodyText"/>
        <w:rPr>
          <w:b/>
        </w:rPr>
      </w:pPr>
    </w:p>
    <w:p>
      <w:pPr>
        <w:pStyle w:val="BodyText"/>
        <w:rPr>
          <w:b/>
        </w:rPr>
      </w:pPr>
    </w:p>
    <w:p>
      <w:pPr>
        <w:pStyle w:val="BodyText"/>
        <w:spacing w:before="112"/>
        <w:rPr>
          <w:b/>
        </w:rPr>
      </w:pPr>
    </w:p>
    <w:p>
      <w:pPr>
        <w:pStyle w:val="Heading4"/>
        <w:ind w:left="1477" w:right="1477"/>
      </w:pPr>
      <w:r>
        <w:rPr/>
        <mc:AlternateContent>
          <mc:Choice Requires="wps">
            <w:drawing>
              <wp:anchor distT="0" distB="0" distL="0" distR="0" allowOverlap="1" layoutInCell="1" locked="0" behindDoc="0" simplePos="0" relativeHeight="15770112">
                <wp:simplePos x="0" y="0"/>
                <wp:positionH relativeFrom="page">
                  <wp:posOffset>701344</wp:posOffset>
                </wp:positionH>
                <wp:positionV relativeFrom="paragraph">
                  <wp:posOffset>186109</wp:posOffset>
                </wp:positionV>
                <wp:extent cx="6160135" cy="6350"/>
                <wp:effectExtent l="0" t="0" r="0" b="0"/>
                <wp:wrapNone/>
                <wp:docPr id="243" name="Graphic 243"/>
                <wp:cNvGraphicFramePr>
                  <a:graphicFrameLocks/>
                </wp:cNvGraphicFramePr>
                <a:graphic>
                  <a:graphicData uri="http://schemas.microsoft.com/office/word/2010/wordprocessingShape">
                    <wps:wsp>
                      <wps:cNvPr id="243" name="Graphic 243"/>
                      <wps:cNvSpPr/>
                      <wps:spPr>
                        <a:xfrm>
                          <a:off x="0" y="0"/>
                          <a:ext cx="6160135" cy="6350"/>
                        </a:xfrm>
                        <a:custGeom>
                          <a:avLst/>
                          <a:gdLst/>
                          <a:ahLst/>
                          <a:cxnLst/>
                          <a:rect l="l" t="t" r="r" b="b"/>
                          <a:pathLst>
                            <a:path w="6160135" h="6350">
                              <a:moveTo>
                                <a:pt x="6159754" y="0"/>
                              </a:moveTo>
                              <a:lnTo>
                                <a:pt x="0" y="0"/>
                              </a:lnTo>
                              <a:lnTo>
                                <a:pt x="0" y="6096"/>
                              </a:lnTo>
                              <a:lnTo>
                                <a:pt x="6159754" y="6096"/>
                              </a:lnTo>
                              <a:lnTo>
                                <a:pt x="61597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14.654297pt;width:485.02pt;height:.48pt;mso-position-horizontal-relative:page;mso-position-vertical-relative:paragraph;z-index:15770112" id="docshape218" filled="true" fillcolor="#000000" stroked="false">
                <v:fill type="solid"/>
                <w10:wrap type="none"/>
              </v:rect>
            </w:pict>
          </mc:Fallback>
        </mc:AlternateContent>
      </w:r>
      <w:r>
        <w:rPr/>
        <w:t>RELACIÓN</w:t>
      </w:r>
      <w:r>
        <w:rPr>
          <w:spacing w:val="-6"/>
        </w:rPr>
        <w:t> </w:t>
      </w:r>
      <w:r>
        <w:rPr/>
        <w:t>DE</w:t>
      </w:r>
      <w:r>
        <w:rPr>
          <w:spacing w:val="-6"/>
        </w:rPr>
        <w:t> </w:t>
      </w:r>
      <w:r>
        <w:rPr>
          <w:spacing w:val="-2"/>
        </w:rPr>
        <w:t>ANEXOS</w:t>
      </w:r>
    </w:p>
    <w:p>
      <w:pPr>
        <w:pStyle w:val="Heading4"/>
        <w:tabs>
          <w:tab w:pos="10265" w:val="left" w:leader="dot"/>
        </w:tabs>
        <w:spacing w:before="414"/>
        <w:ind w:left="1220"/>
        <w:jc w:val="left"/>
      </w:pPr>
      <w:r>
        <w:rPr/>
        <w:t>ANEXO</w:t>
      </w:r>
      <w:r>
        <w:rPr>
          <w:spacing w:val="-6"/>
        </w:rPr>
        <w:t> </w:t>
      </w:r>
      <w:r>
        <w:rPr/>
        <w:t>I.</w:t>
      </w:r>
      <w:r>
        <w:rPr>
          <w:spacing w:val="-2"/>
        </w:rPr>
        <w:t> </w:t>
      </w:r>
      <w:hyperlink w:history="true" w:anchor="_bookmark127">
        <w:r>
          <w:rPr/>
          <w:t>RÉGIMEN</w:t>
        </w:r>
        <w:r>
          <w:rPr>
            <w:spacing w:val="-4"/>
          </w:rPr>
          <w:t> </w:t>
        </w:r>
        <w:r>
          <w:rPr>
            <w:spacing w:val="-2"/>
          </w:rPr>
          <w:t>JURÍDICO</w:t>
        </w:r>
        <w:r>
          <w:rPr/>
          <w:tab/>
        </w:r>
        <w:r>
          <w:rPr>
            <w:spacing w:val="-5"/>
          </w:rPr>
          <w:t>107</w:t>
        </w:r>
      </w:hyperlink>
    </w:p>
    <w:p>
      <w:pPr>
        <w:pStyle w:val="Heading4"/>
        <w:tabs>
          <w:tab w:pos="10265" w:val="left" w:leader="dot"/>
        </w:tabs>
        <w:spacing w:line="374" w:lineRule="auto" w:before="138"/>
        <w:ind w:left="1220" w:right="989"/>
        <w:jc w:val="left"/>
      </w:pPr>
      <w:r>
        <w:rPr/>
        <w:t>ANEXO</w:t>
      </w:r>
      <w:r>
        <w:rPr>
          <w:spacing w:val="-4"/>
        </w:rPr>
        <w:t> </w:t>
      </w:r>
      <w:r>
        <w:rPr/>
        <w:t>II.</w:t>
      </w:r>
      <w:r>
        <w:rPr>
          <w:spacing w:val="-3"/>
        </w:rPr>
        <w:t> </w:t>
      </w:r>
      <w:hyperlink w:history="true" w:anchor="_bookmark129">
        <w:r>
          <w:rPr/>
          <w:t>CUMPLIMIENTO</w:t>
        </w:r>
        <w:r>
          <w:rPr>
            <w:spacing w:val="-4"/>
          </w:rPr>
          <w:t> </w:t>
        </w:r>
        <w:r>
          <w:rPr/>
          <w:t>DE</w:t>
        </w:r>
        <w:r>
          <w:rPr>
            <w:spacing w:val="-3"/>
          </w:rPr>
          <w:t> </w:t>
        </w:r>
        <w:r>
          <w:rPr/>
          <w:t>LAS</w:t>
        </w:r>
        <w:r>
          <w:rPr>
            <w:spacing w:val="-5"/>
          </w:rPr>
          <w:t> </w:t>
        </w:r>
        <w:r>
          <w:rPr/>
          <w:t>OBLIGACIONES</w:t>
        </w:r>
        <w:r>
          <w:rPr>
            <w:spacing w:val="-3"/>
          </w:rPr>
          <w:t> </w:t>
        </w:r>
        <w:r>
          <w:rPr/>
          <w:t>CON</w:t>
        </w:r>
        <w:r>
          <w:rPr>
            <w:spacing w:val="-3"/>
          </w:rPr>
          <w:t> </w:t>
        </w:r>
        <w:r>
          <w:rPr/>
          <w:t>EL</w:t>
        </w:r>
        <w:r>
          <w:rPr>
            <w:spacing w:val="-5"/>
          </w:rPr>
          <w:t> </w:t>
        </w:r>
        <w:r>
          <w:rPr/>
          <w:t>TRIBUNAL</w:t>
        </w:r>
        <w:r>
          <w:rPr>
            <w:spacing w:val="-3"/>
          </w:rPr>
          <w:t> </w:t>
        </w:r>
        <w:r>
          <w:rPr/>
          <w:t>DE</w:t>
        </w:r>
        <w:r>
          <w:rPr>
            <w:spacing w:val="-4"/>
          </w:rPr>
          <w:t> </w:t>
        </w:r>
        <w:r>
          <w:rPr/>
          <w:t>CUENTAS</w:t>
        </w:r>
        <w:r>
          <w:rPr>
            <w:spacing w:val="-4"/>
          </w:rPr>
          <w:t> </w:t>
        </w:r>
        <w:r>
          <w:rPr/>
          <w:t>114</w:t>
        </w:r>
      </w:hyperlink>
      <w:r>
        <w:rPr/>
        <w:t> ANEXO</w:t>
      </w:r>
      <w:r>
        <w:rPr>
          <w:spacing w:val="-6"/>
        </w:rPr>
        <w:t> </w:t>
      </w:r>
      <w:r>
        <w:rPr/>
        <w:t>III.</w:t>
      </w:r>
      <w:r>
        <w:rPr>
          <w:spacing w:val="-4"/>
        </w:rPr>
        <w:t> </w:t>
      </w:r>
      <w:hyperlink w:history="true" w:anchor="_bookmark131">
        <w:r>
          <w:rPr/>
          <w:t>CARACTERÍSTICAS</w:t>
        </w:r>
        <w:r>
          <w:rPr>
            <w:spacing w:val="-5"/>
          </w:rPr>
          <w:t> </w:t>
        </w:r>
        <w:r>
          <w:rPr/>
          <w:t>DE</w:t>
        </w:r>
        <w:r>
          <w:rPr>
            <w:spacing w:val="-8"/>
          </w:rPr>
          <w:t> </w:t>
        </w:r>
        <w:r>
          <w:rPr/>
          <w:t>LA</w:t>
        </w:r>
        <w:r>
          <w:rPr>
            <w:spacing w:val="-5"/>
          </w:rPr>
          <w:t> </w:t>
        </w:r>
        <w:r>
          <w:rPr>
            <w:spacing w:val="-4"/>
          </w:rPr>
          <w:t>FLOTA</w:t>
        </w:r>
        <w:r>
          <w:rPr/>
          <w:tab/>
        </w:r>
        <w:r>
          <w:rPr>
            <w:spacing w:val="-5"/>
          </w:rPr>
          <w:t>116</w:t>
        </w:r>
      </w:hyperlink>
    </w:p>
    <w:p>
      <w:pPr>
        <w:pStyle w:val="Heading4"/>
        <w:tabs>
          <w:tab w:pos="10265" w:val="left" w:leader="dot"/>
        </w:tabs>
        <w:spacing w:line="251" w:lineRule="exact"/>
        <w:ind w:left="1220"/>
        <w:jc w:val="left"/>
      </w:pPr>
      <w:r>
        <w:rPr/>
        <w:t>ANEXO</w:t>
      </w:r>
      <w:r>
        <w:rPr>
          <w:spacing w:val="-3"/>
        </w:rPr>
        <w:t> </w:t>
      </w:r>
      <w:r>
        <w:rPr/>
        <w:t>IV.</w:t>
      </w:r>
      <w:r>
        <w:rPr>
          <w:spacing w:val="-2"/>
        </w:rPr>
        <w:t> </w:t>
      </w:r>
      <w:hyperlink w:history="true" w:anchor="_bookmark133">
        <w:r>
          <w:rPr>
            <w:spacing w:val="-4"/>
          </w:rPr>
          <w:t>FLOTA</w:t>
        </w:r>
        <w:r>
          <w:rPr/>
          <w:tab/>
        </w:r>
        <w:r>
          <w:rPr>
            <w:spacing w:val="-5"/>
          </w:rPr>
          <w:t>117</w:t>
        </w:r>
      </w:hyperlink>
    </w:p>
    <w:p>
      <w:pPr>
        <w:pStyle w:val="Heading4"/>
        <w:tabs>
          <w:tab w:pos="10265" w:val="left" w:leader="dot"/>
        </w:tabs>
        <w:spacing w:before="141"/>
        <w:ind w:left="1220"/>
        <w:jc w:val="left"/>
      </w:pPr>
      <w:r>
        <w:rPr/>
        <w:t>ANEXO</w:t>
      </w:r>
      <w:r>
        <w:rPr>
          <w:spacing w:val="-6"/>
        </w:rPr>
        <w:t> </w:t>
      </w:r>
      <w:r>
        <w:rPr/>
        <w:t>V.</w:t>
      </w:r>
      <w:r>
        <w:rPr>
          <w:spacing w:val="-3"/>
        </w:rPr>
        <w:t> </w:t>
      </w:r>
      <w:hyperlink w:history="true" w:anchor="_bookmark135">
        <w:r>
          <w:rPr/>
          <w:t>USUARIOS</w:t>
        </w:r>
        <w:r>
          <w:rPr>
            <w:spacing w:val="-6"/>
          </w:rPr>
          <w:t> </w:t>
        </w:r>
        <w:r>
          <w:rPr>
            <w:spacing w:val="-2"/>
          </w:rPr>
          <w:t>AUTOBUSES</w:t>
        </w:r>
        <w:r>
          <w:rPr/>
          <w:tab/>
        </w:r>
        <w:r>
          <w:rPr>
            <w:spacing w:val="-5"/>
          </w:rPr>
          <w:t>118</w:t>
        </w:r>
      </w:hyperlink>
    </w:p>
    <w:p>
      <w:pPr>
        <w:pStyle w:val="Heading4"/>
        <w:tabs>
          <w:tab w:pos="10265" w:val="left" w:leader="dot"/>
        </w:tabs>
        <w:spacing w:before="139"/>
        <w:ind w:left="1220"/>
        <w:jc w:val="left"/>
      </w:pPr>
      <w:r>
        <w:rPr/>
        <w:t>ANEXO</w:t>
      </w:r>
      <w:r>
        <w:rPr>
          <w:spacing w:val="-8"/>
        </w:rPr>
        <w:t> </w:t>
      </w:r>
      <w:r>
        <w:rPr/>
        <w:t>VI.</w:t>
      </w:r>
      <w:r>
        <w:rPr>
          <w:spacing w:val="-7"/>
        </w:rPr>
        <w:t> </w:t>
      </w:r>
      <w:hyperlink w:history="true" w:anchor="_bookmark137">
        <w:r>
          <w:rPr/>
          <w:t>ACTUACIONES</w:t>
        </w:r>
        <w:r>
          <w:rPr>
            <w:spacing w:val="-5"/>
          </w:rPr>
          <w:t> </w:t>
        </w:r>
        <w:r>
          <w:rPr/>
          <w:t>REALIZADAS</w:t>
        </w:r>
        <w:r>
          <w:rPr>
            <w:spacing w:val="-7"/>
          </w:rPr>
          <w:t> </w:t>
        </w:r>
        <w:r>
          <w:rPr/>
          <w:t>POR</w:t>
        </w:r>
        <w:r>
          <w:rPr>
            <w:spacing w:val="-5"/>
          </w:rPr>
          <w:t> </w:t>
        </w:r>
        <w:r>
          <w:rPr/>
          <w:t>EL</w:t>
        </w:r>
        <w:r>
          <w:rPr>
            <w:spacing w:val="-7"/>
          </w:rPr>
          <w:t> </w:t>
        </w:r>
        <w:r>
          <w:rPr/>
          <w:t>AYUNTAMIENTO</w:t>
        </w:r>
        <w:r>
          <w:rPr>
            <w:spacing w:val="-8"/>
          </w:rPr>
          <w:t> </w:t>
        </w:r>
        <w:r>
          <w:rPr/>
          <w:t>DE</w:t>
        </w:r>
        <w:r>
          <w:rPr>
            <w:spacing w:val="-4"/>
          </w:rPr>
          <w:t> </w:t>
        </w:r>
        <w:r>
          <w:rPr>
            <w:spacing w:val="-2"/>
          </w:rPr>
          <w:t>ALICANTE</w:t>
        </w:r>
        <w:r>
          <w:rPr/>
          <w:tab/>
        </w:r>
        <w:r>
          <w:rPr>
            <w:spacing w:val="-5"/>
          </w:rPr>
          <w:t>119</w:t>
        </w:r>
      </w:hyperlink>
    </w:p>
    <w:p>
      <w:pPr>
        <w:pStyle w:val="Heading4"/>
        <w:tabs>
          <w:tab w:pos="10265" w:val="left" w:leader="dot"/>
        </w:tabs>
        <w:spacing w:before="141"/>
        <w:ind w:left="1220"/>
        <w:jc w:val="left"/>
      </w:pPr>
      <w:r>
        <w:rPr/>
        <w:t>ANEXO</w:t>
      </w:r>
      <w:r>
        <w:rPr>
          <w:spacing w:val="-9"/>
        </w:rPr>
        <w:t> </w:t>
      </w:r>
      <w:r>
        <w:rPr/>
        <w:t>VII.</w:t>
      </w:r>
      <w:r>
        <w:rPr>
          <w:spacing w:val="-5"/>
        </w:rPr>
        <w:t> </w:t>
      </w:r>
      <w:hyperlink w:history="true" w:anchor="_bookmark139">
        <w:r>
          <w:rPr/>
          <w:t>ACTUACIONES</w:t>
        </w:r>
        <w:r>
          <w:rPr>
            <w:spacing w:val="-5"/>
          </w:rPr>
          <w:t> </w:t>
        </w:r>
        <w:r>
          <w:rPr/>
          <w:t>REALIZADAS</w:t>
        </w:r>
        <w:r>
          <w:rPr>
            <w:spacing w:val="-9"/>
          </w:rPr>
          <w:t> </w:t>
        </w:r>
        <w:r>
          <w:rPr/>
          <w:t>POR</w:t>
        </w:r>
        <w:r>
          <w:rPr>
            <w:spacing w:val="-5"/>
          </w:rPr>
          <w:t> </w:t>
        </w:r>
        <w:r>
          <w:rPr/>
          <w:t>EL</w:t>
        </w:r>
        <w:r>
          <w:rPr>
            <w:spacing w:val="-7"/>
          </w:rPr>
          <w:t> </w:t>
        </w:r>
        <w:r>
          <w:rPr/>
          <w:t>AYUNTAMIENTO</w:t>
        </w:r>
        <w:r>
          <w:rPr>
            <w:spacing w:val="-8"/>
          </w:rPr>
          <w:t> </w:t>
        </w:r>
        <w:r>
          <w:rPr/>
          <w:t>DE</w:t>
        </w:r>
        <w:r>
          <w:rPr>
            <w:spacing w:val="-5"/>
          </w:rPr>
          <w:t> </w:t>
        </w:r>
        <w:r>
          <w:rPr>
            <w:spacing w:val="-2"/>
          </w:rPr>
          <w:t>BILBAO</w:t>
        </w:r>
        <w:r>
          <w:rPr/>
          <w:tab/>
        </w:r>
        <w:r>
          <w:rPr>
            <w:spacing w:val="-5"/>
          </w:rPr>
          <w:t>120</w:t>
        </w:r>
      </w:hyperlink>
    </w:p>
    <w:p>
      <w:pPr>
        <w:pStyle w:val="Heading4"/>
        <w:tabs>
          <w:tab w:pos="10265" w:val="left" w:leader="dot"/>
        </w:tabs>
        <w:spacing w:before="140"/>
        <w:ind w:left="1220"/>
        <w:jc w:val="left"/>
      </w:pPr>
      <w:r>
        <w:rPr/>
        <w:t>ANEXO</w:t>
      </w:r>
      <w:r>
        <w:rPr>
          <w:spacing w:val="-9"/>
        </w:rPr>
        <w:t> </w:t>
      </w:r>
      <w:r>
        <w:rPr/>
        <w:t>VIII.</w:t>
      </w:r>
      <w:r>
        <w:rPr>
          <w:spacing w:val="-8"/>
        </w:rPr>
        <w:t> </w:t>
      </w:r>
      <w:hyperlink w:history="true" w:anchor="_bookmark141">
        <w:r>
          <w:rPr/>
          <w:t>ACTUACIONES</w:t>
        </w:r>
        <w:r>
          <w:rPr>
            <w:spacing w:val="-5"/>
          </w:rPr>
          <w:t> </w:t>
        </w:r>
        <w:r>
          <w:rPr/>
          <w:t>REALIZADAS</w:t>
        </w:r>
        <w:r>
          <w:rPr>
            <w:spacing w:val="-6"/>
          </w:rPr>
          <w:t> </w:t>
        </w:r>
        <w:r>
          <w:rPr/>
          <w:t>POR</w:t>
        </w:r>
        <w:r>
          <w:rPr>
            <w:spacing w:val="-6"/>
          </w:rPr>
          <w:t> </w:t>
        </w:r>
        <w:r>
          <w:rPr/>
          <w:t>EL</w:t>
        </w:r>
        <w:r>
          <w:rPr>
            <w:spacing w:val="-7"/>
          </w:rPr>
          <w:t> </w:t>
        </w:r>
        <w:r>
          <w:rPr/>
          <w:t>AYUNTAMIENTO</w:t>
        </w:r>
        <w:r>
          <w:rPr>
            <w:spacing w:val="-5"/>
          </w:rPr>
          <w:t> </w:t>
        </w:r>
        <w:r>
          <w:rPr/>
          <w:t>DE</w:t>
        </w:r>
        <w:r>
          <w:rPr>
            <w:spacing w:val="-5"/>
          </w:rPr>
          <w:t> </w:t>
        </w:r>
        <w:r>
          <w:rPr>
            <w:spacing w:val="-2"/>
          </w:rPr>
          <w:t>CÓRDOBA</w:t>
        </w:r>
        <w:r>
          <w:rPr/>
          <w:tab/>
        </w:r>
        <w:r>
          <w:rPr>
            <w:spacing w:val="-5"/>
          </w:rPr>
          <w:t>121</w:t>
        </w:r>
      </w:hyperlink>
    </w:p>
    <w:p>
      <w:pPr>
        <w:pStyle w:val="Heading4"/>
        <w:spacing w:before="141"/>
        <w:ind w:left="1220"/>
        <w:jc w:val="left"/>
      </w:pPr>
      <w:r>
        <w:rPr/>
        <w:t>ANEXO</w:t>
      </w:r>
      <w:r>
        <w:rPr>
          <w:spacing w:val="-8"/>
        </w:rPr>
        <w:t> </w:t>
      </w:r>
      <w:r>
        <w:rPr/>
        <w:t>IX.</w:t>
      </w:r>
      <w:r>
        <w:rPr>
          <w:spacing w:val="-6"/>
        </w:rPr>
        <w:t> </w:t>
      </w:r>
      <w:hyperlink w:history="true" w:anchor="_bookmark143">
        <w:r>
          <w:rPr/>
          <w:t>ACTUACIONES</w:t>
        </w:r>
        <w:r>
          <w:rPr>
            <w:spacing w:val="-5"/>
          </w:rPr>
          <w:t> </w:t>
        </w:r>
        <w:r>
          <w:rPr/>
          <w:t>REALIZADAS</w:t>
        </w:r>
        <w:r>
          <w:rPr>
            <w:spacing w:val="-7"/>
          </w:rPr>
          <w:t> </w:t>
        </w:r>
        <w:r>
          <w:rPr/>
          <w:t>POR</w:t>
        </w:r>
        <w:r>
          <w:rPr>
            <w:spacing w:val="-4"/>
          </w:rPr>
          <w:t> </w:t>
        </w:r>
        <w:r>
          <w:rPr/>
          <w:t>EL</w:t>
        </w:r>
        <w:r>
          <w:rPr>
            <w:spacing w:val="-6"/>
          </w:rPr>
          <w:t> </w:t>
        </w:r>
        <w:r>
          <w:rPr/>
          <w:t>AYUNTAMIENTO</w:t>
        </w:r>
        <w:r>
          <w:rPr>
            <w:spacing w:val="-8"/>
          </w:rPr>
          <w:t> </w:t>
        </w:r>
        <w:r>
          <w:rPr/>
          <w:t>DE</w:t>
        </w:r>
        <w:r>
          <w:rPr>
            <w:spacing w:val="-4"/>
          </w:rPr>
          <w:t> </w:t>
        </w:r>
        <w:r>
          <w:rPr/>
          <w:t>LAS</w:t>
        </w:r>
        <w:r>
          <w:rPr>
            <w:spacing w:val="-4"/>
          </w:rPr>
          <w:t> </w:t>
        </w:r>
        <w:r>
          <w:rPr>
            <w:spacing w:val="-2"/>
          </w:rPr>
          <w:t>PALMAS</w:t>
        </w:r>
      </w:hyperlink>
    </w:p>
    <w:p>
      <w:pPr>
        <w:pStyle w:val="Heading4"/>
        <w:tabs>
          <w:tab w:pos="10265" w:val="left" w:leader="dot"/>
        </w:tabs>
        <w:spacing w:before="18"/>
        <w:ind w:left="2410"/>
        <w:jc w:val="left"/>
      </w:pPr>
      <w:hyperlink w:history="true" w:anchor="_bookmark143">
        <w:r>
          <w:rPr/>
          <w:t>DE</w:t>
        </w:r>
        <w:r>
          <w:rPr>
            <w:spacing w:val="-2"/>
          </w:rPr>
          <w:t> </w:t>
        </w:r>
        <w:r>
          <w:rPr/>
          <w:t>GRAN</w:t>
        </w:r>
        <w:r>
          <w:rPr>
            <w:spacing w:val="-4"/>
          </w:rPr>
          <w:t> </w:t>
        </w:r>
        <w:r>
          <w:rPr>
            <w:spacing w:val="-2"/>
          </w:rPr>
          <w:t>CANARIA</w:t>
        </w:r>
        <w:r>
          <w:rPr/>
          <w:tab/>
        </w:r>
        <w:r>
          <w:rPr>
            <w:spacing w:val="-5"/>
          </w:rPr>
          <w:t>122</w:t>
        </w:r>
      </w:hyperlink>
    </w:p>
    <w:p>
      <w:pPr>
        <w:pStyle w:val="Heading4"/>
        <w:tabs>
          <w:tab w:pos="10265" w:val="left" w:leader="dot"/>
        </w:tabs>
        <w:spacing w:before="141"/>
        <w:ind w:left="1220"/>
        <w:jc w:val="left"/>
      </w:pPr>
      <w:r>
        <w:rPr/>
        <w:t>ANEXO</w:t>
      </w:r>
      <w:r>
        <w:rPr>
          <w:spacing w:val="-9"/>
        </w:rPr>
        <w:t> </w:t>
      </w:r>
      <w:r>
        <w:rPr/>
        <w:t>X.</w:t>
      </w:r>
      <w:r>
        <w:rPr>
          <w:spacing w:val="-5"/>
        </w:rPr>
        <w:t> </w:t>
      </w:r>
      <w:hyperlink w:history="true" w:anchor="_bookmark145">
        <w:r>
          <w:rPr/>
          <w:t>ACTUACIONES</w:t>
        </w:r>
        <w:r>
          <w:rPr>
            <w:spacing w:val="-6"/>
          </w:rPr>
          <w:t> </w:t>
        </w:r>
        <w:r>
          <w:rPr/>
          <w:t>REALIZADAS</w:t>
        </w:r>
        <w:r>
          <w:rPr>
            <w:spacing w:val="-6"/>
          </w:rPr>
          <w:t> </w:t>
        </w:r>
        <w:r>
          <w:rPr/>
          <w:t>POR</w:t>
        </w:r>
        <w:r>
          <w:rPr>
            <w:spacing w:val="-8"/>
          </w:rPr>
          <w:t> </w:t>
        </w:r>
        <w:r>
          <w:rPr/>
          <w:t>EL</w:t>
        </w:r>
        <w:r>
          <w:rPr>
            <w:spacing w:val="-5"/>
          </w:rPr>
          <w:t> </w:t>
        </w:r>
        <w:r>
          <w:rPr/>
          <w:t>AYUNTAMIENTO</w:t>
        </w:r>
        <w:r>
          <w:rPr>
            <w:spacing w:val="-5"/>
          </w:rPr>
          <w:t> </w:t>
        </w:r>
        <w:r>
          <w:rPr/>
          <w:t>DE</w:t>
        </w:r>
        <w:r>
          <w:rPr>
            <w:spacing w:val="-5"/>
          </w:rPr>
          <w:t> </w:t>
        </w:r>
        <w:r>
          <w:rPr>
            <w:spacing w:val="-2"/>
          </w:rPr>
          <w:t>MÁLAGA</w:t>
        </w:r>
        <w:r>
          <w:rPr/>
          <w:tab/>
        </w:r>
        <w:r>
          <w:rPr>
            <w:spacing w:val="-5"/>
          </w:rPr>
          <w:t>124</w:t>
        </w:r>
      </w:hyperlink>
    </w:p>
    <w:p>
      <w:pPr>
        <w:pStyle w:val="Heading4"/>
        <w:tabs>
          <w:tab w:pos="10265" w:val="left" w:leader="dot"/>
        </w:tabs>
        <w:spacing w:before="140"/>
        <w:ind w:left="1220"/>
        <w:jc w:val="left"/>
      </w:pPr>
      <w:r>
        <w:rPr/>
        <w:t>ANEXO</w:t>
      </w:r>
      <w:r>
        <w:rPr>
          <w:spacing w:val="-8"/>
        </w:rPr>
        <w:t> </w:t>
      </w:r>
      <w:r>
        <w:rPr/>
        <w:t>XI.</w:t>
      </w:r>
      <w:r>
        <w:rPr>
          <w:spacing w:val="-7"/>
        </w:rPr>
        <w:t> </w:t>
      </w:r>
      <w:hyperlink w:history="true" w:anchor="_bookmark147">
        <w:r>
          <w:rPr/>
          <w:t>ACTUACIONES</w:t>
        </w:r>
        <w:r>
          <w:rPr>
            <w:spacing w:val="-5"/>
          </w:rPr>
          <w:t> </w:t>
        </w:r>
        <w:r>
          <w:rPr/>
          <w:t>REALIZADAS</w:t>
        </w:r>
        <w:r>
          <w:rPr>
            <w:spacing w:val="-7"/>
          </w:rPr>
          <w:t> </w:t>
        </w:r>
        <w:r>
          <w:rPr/>
          <w:t>POR</w:t>
        </w:r>
        <w:r>
          <w:rPr>
            <w:spacing w:val="-5"/>
          </w:rPr>
          <w:t> </w:t>
        </w:r>
        <w:r>
          <w:rPr/>
          <w:t>EL</w:t>
        </w:r>
        <w:r>
          <w:rPr>
            <w:spacing w:val="-7"/>
          </w:rPr>
          <w:t> </w:t>
        </w:r>
        <w:r>
          <w:rPr/>
          <w:t>AYUNTAMIENTO</w:t>
        </w:r>
        <w:r>
          <w:rPr>
            <w:spacing w:val="-8"/>
          </w:rPr>
          <w:t> </w:t>
        </w:r>
        <w:r>
          <w:rPr/>
          <w:t>DE</w:t>
        </w:r>
        <w:r>
          <w:rPr>
            <w:spacing w:val="-4"/>
          </w:rPr>
          <w:t> </w:t>
        </w:r>
        <w:r>
          <w:rPr>
            <w:spacing w:val="-2"/>
          </w:rPr>
          <w:t>MURCIA</w:t>
        </w:r>
        <w:r>
          <w:rPr/>
          <w:tab/>
        </w:r>
        <w:r>
          <w:rPr>
            <w:spacing w:val="-5"/>
          </w:rPr>
          <w:t>126</w:t>
        </w:r>
      </w:hyperlink>
    </w:p>
    <w:p>
      <w:pPr>
        <w:pStyle w:val="Heading4"/>
        <w:tabs>
          <w:tab w:pos="10265" w:val="left" w:leader="dot"/>
        </w:tabs>
        <w:spacing w:before="141"/>
        <w:ind w:left="1220"/>
        <w:jc w:val="left"/>
      </w:pPr>
      <w:r>
        <w:rPr/>
        <w:t>ANEXO</w:t>
      </w:r>
      <w:r>
        <w:rPr>
          <w:spacing w:val="-9"/>
        </w:rPr>
        <w:t> </w:t>
      </w:r>
      <w:r>
        <w:rPr/>
        <w:t>XII.</w:t>
      </w:r>
      <w:r>
        <w:rPr>
          <w:spacing w:val="-5"/>
        </w:rPr>
        <w:t> </w:t>
      </w:r>
      <w:hyperlink w:history="true" w:anchor="_bookmark149">
        <w:r>
          <w:rPr/>
          <w:t>ACTUACIONES</w:t>
        </w:r>
        <w:r>
          <w:rPr>
            <w:spacing w:val="-5"/>
          </w:rPr>
          <w:t> </w:t>
        </w:r>
        <w:r>
          <w:rPr/>
          <w:t>REALIZADAS</w:t>
        </w:r>
        <w:r>
          <w:rPr>
            <w:spacing w:val="-9"/>
          </w:rPr>
          <w:t> </w:t>
        </w:r>
        <w:r>
          <w:rPr/>
          <w:t>POR</w:t>
        </w:r>
        <w:r>
          <w:rPr>
            <w:spacing w:val="-5"/>
          </w:rPr>
          <w:t> </w:t>
        </w:r>
        <w:r>
          <w:rPr/>
          <w:t>EL</w:t>
        </w:r>
        <w:r>
          <w:rPr>
            <w:spacing w:val="-7"/>
          </w:rPr>
          <w:t> </w:t>
        </w:r>
        <w:r>
          <w:rPr/>
          <w:t>AYUNTAMIENTO</w:t>
        </w:r>
        <w:r>
          <w:rPr>
            <w:spacing w:val="-8"/>
          </w:rPr>
          <w:t> </w:t>
        </w:r>
        <w:r>
          <w:rPr/>
          <w:t>DE</w:t>
        </w:r>
        <w:r>
          <w:rPr>
            <w:spacing w:val="-5"/>
          </w:rPr>
          <w:t> </w:t>
        </w:r>
        <w:r>
          <w:rPr>
            <w:spacing w:val="-2"/>
          </w:rPr>
          <w:t>PALMA</w:t>
        </w:r>
        <w:r>
          <w:rPr/>
          <w:tab/>
        </w:r>
        <w:r>
          <w:rPr>
            <w:spacing w:val="-5"/>
          </w:rPr>
          <w:t>127</w:t>
        </w:r>
      </w:hyperlink>
    </w:p>
    <w:p>
      <w:pPr>
        <w:pStyle w:val="Heading4"/>
        <w:tabs>
          <w:tab w:pos="10265" w:val="left" w:leader="dot"/>
        </w:tabs>
        <w:spacing w:before="138"/>
        <w:ind w:left="1220"/>
        <w:jc w:val="left"/>
      </w:pPr>
      <w:r>
        <w:rPr/>
        <w:t>ANEXO</w:t>
      </w:r>
      <w:r>
        <w:rPr>
          <w:spacing w:val="-9"/>
        </w:rPr>
        <w:t> </w:t>
      </w:r>
      <w:r>
        <w:rPr/>
        <w:t>XIII.</w:t>
      </w:r>
      <w:r>
        <w:rPr>
          <w:spacing w:val="-8"/>
        </w:rPr>
        <w:t> </w:t>
      </w:r>
      <w:hyperlink w:history="true" w:anchor="_bookmark151">
        <w:r>
          <w:rPr/>
          <w:t>ACTUACIONES</w:t>
        </w:r>
        <w:r>
          <w:rPr>
            <w:spacing w:val="-5"/>
          </w:rPr>
          <w:t> </w:t>
        </w:r>
        <w:r>
          <w:rPr/>
          <w:t>REALIZADAS</w:t>
        </w:r>
        <w:r>
          <w:rPr>
            <w:spacing w:val="-6"/>
          </w:rPr>
          <w:t> </w:t>
        </w:r>
        <w:r>
          <w:rPr/>
          <w:t>POR</w:t>
        </w:r>
        <w:r>
          <w:rPr>
            <w:spacing w:val="-6"/>
          </w:rPr>
          <w:t> </w:t>
        </w:r>
        <w:r>
          <w:rPr/>
          <w:t>EL</w:t>
        </w:r>
        <w:r>
          <w:rPr>
            <w:spacing w:val="-7"/>
          </w:rPr>
          <w:t> </w:t>
        </w:r>
        <w:r>
          <w:rPr/>
          <w:t>AYUNTAMIENTO</w:t>
        </w:r>
        <w:r>
          <w:rPr>
            <w:spacing w:val="-5"/>
          </w:rPr>
          <w:t> </w:t>
        </w:r>
        <w:r>
          <w:rPr/>
          <w:t>DE</w:t>
        </w:r>
        <w:r>
          <w:rPr>
            <w:spacing w:val="-5"/>
          </w:rPr>
          <w:t> </w:t>
        </w:r>
        <w:r>
          <w:rPr>
            <w:spacing w:val="-2"/>
          </w:rPr>
          <w:t>SEVILLA</w:t>
        </w:r>
        <w:r>
          <w:rPr/>
          <w:tab/>
        </w:r>
        <w:r>
          <w:rPr>
            <w:spacing w:val="-5"/>
          </w:rPr>
          <w:t>129</w:t>
        </w:r>
      </w:hyperlink>
    </w:p>
    <w:p>
      <w:pPr>
        <w:pStyle w:val="Heading4"/>
        <w:tabs>
          <w:tab w:pos="10265" w:val="left" w:leader="dot"/>
        </w:tabs>
        <w:spacing w:before="141"/>
        <w:ind w:left="1220"/>
        <w:jc w:val="left"/>
      </w:pPr>
      <w:r>
        <w:rPr/>
        <w:t>ANEXO</w:t>
      </w:r>
      <w:r>
        <w:rPr>
          <w:spacing w:val="-9"/>
        </w:rPr>
        <w:t> </w:t>
      </w:r>
      <w:r>
        <w:rPr/>
        <w:t>XIV.</w:t>
      </w:r>
      <w:r>
        <w:rPr>
          <w:spacing w:val="-7"/>
        </w:rPr>
        <w:t> </w:t>
      </w:r>
      <w:hyperlink w:history="true" w:anchor="_bookmark153">
        <w:r>
          <w:rPr/>
          <w:t>ACTUACIONES</w:t>
        </w:r>
        <w:r>
          <w:rPr>
            <w:spacing w:val="-5"/>
          </w:rPr>
          <w:t> </w:t>
        </w:r>
        <w:r>
          <w:rPr/>
          <w:t>REALIZADAS</w:t>
        </w:r>
        <w:r>
          <w:rPr>
            <w:spacing w:val="-5"/>
          </w:rPr>
          <w:t> </w:t>
        </w:r>
        <w:r>
          <w:rPr/>
          <w:t>POR</w:t>
        </w:r>
        <w:r>
          <w:rPr>
            <w:spacing w:val="-6"/>
          </w:rPr>
          <w:t> </w:t>
        </w:r>
        <w:r>
          <w:rPr/>
          <w:t>EL</w:t>
        </w:r>
        <w:r>
          <w:rPr>
            <w:spacing w:val="-7"/>
          </w:rPr>
          <w:t> </w:t>
        </w:r>
        <w:r>
          <w:rPr/>
          <w:t>AYUNTAMIENTO</w:t>
        </w:r>
        <w:r>
          <w:rPr>
            <w:spacing w:val="-4"/>
          </w:rPr>
          <w:t> </w:t>
        </w:r>
        <w:r>
          <w:rPr/>
          <w:t>DE</w:t>
        </w:r>
        <w:r>
          <w:rPr>
            <w:spacing w:val="-5"/>
          </w:rPr>
          <w:t> </w:t>
        </w:r>
        <w:r>
          <w:rPr>
            <w:spacing w:val="-2"/>
          </w:rPr>
          <w:t>ZARAGOZA</w:t>
        </w:r>
        <w:r>
          <w:rPr/>
          <w:tab/>
        </w:r>
        <w:r>
          <w:rPr>
            <w:spacing w:val="-5"/>
          </w:rPr>
          <w:t>130</w:t>
        </w:r>
      </w:hyperlink>
    </w:p>
    <w:p>
      <w:pPr>
        <w:pStyle w:val="Heading5"/>
        <w:tabs>
          <w:tab w:pos="10265" w:val="left" w:leader="dot"/>
        </w:tabs>
        <w:spacing w:before="141"/>
        <w:ind w:left="1220"/>
      </w:pPr>
      <w:r>
        <w:rPr/>
        <w:t>ANEXO</w:t>
      </w:r>
      <w:r>
        <w:rPr>
          <w:spacing w:val="-7"/>
        </w:rPr>
        <w:t> </w:t>
      </w:r>
      <w:r>
        <w:rPr/>
        <w:t>XV.</w:t>
      </w:r>
      <w:r>
        <w:rPr>
          <w:spacing w:val="-3"/>
        </w:rPr>
        <w:t> </w:t>
      </w:r>
      <w:hyperlink w:history="true" w:anchor="_bookmark155">
        <w:r>
          <w:rPr/>
          <w:t>FINANCIACIÓN</w:t>
        </w:r>
        <w:r>
          <w:rPr>
            <w:spacing w:val="-9"/>
          </w:rPr>
          <w:t> </w:t>
        </w:r>
        <w:r>
          <w:rPr/>
          <w:t>MITMA</w:t>
        </w:r>
        <w:r>
          <w:rPr>
            <w:spacing w:val="-3"/>
          </w:rPr>
          <w:t> </w:t>
        </w:r>
        <w:r>
          <w:rPr/>
          <w:t>1ª</w:t>
        </w:r>
        <w:r>
          <w:rPr>
            <w:spacing w:val="-5"/>
          </w:rPr>
          <w:t> </w:t>
        </w:r>
        <w:r>
          <w:rPr>
            <w:spacing w:val="-2"/>
          </w:rPr>
          <w:t>CONVOCATORIA</w:t>
        </w:r>
        <w:r>
          <w:rPr/>
          <w:tab/>
        </w:r>
        <w:r>
          <w:rPr>
            <w:spacing w:val="-5"/>
          </w:rPr>
          <w:t>131</w:t>
        </w:r>
      </w:hyperlink>
    </w:p>
    <w:p>
      <w:pPr>
        <w:pStyle w:val="Heading5"/>
        <w:tabs>
          <w:tab w:pos="10265" w:val="left" w:leader="dot"/>
        </w:tabs>
        <w:spacing w:before="140"/>
        <w:ind w:left="1220"/>
      </w:pPr>
      <w:r>
        <w:rPr/>
        <w:t>ANEXO</w:t>
      </w:r>
      <w:r>
        <w:rPr>
          <w:spacing w:val="-7"/>
        </w:rPr>
        <w:t> </w:t>
      </w:r>
      <w:r>
        <w:rPr/>
        <w:t>XVI.</w:t>
      </w:r>
      <w:r>
        <w:rPr>
          <w:spacing w:val="-5"/>
        </w:rPr>
        <w:t> </w:t>
      </w:r>
      <w:hyperlink w:history="true" w:anchor="_bookmark157">
        <w:r>
          <w:rPr/>
          <w:t>FINANCIACIÓN</w:t>
        </w:r>
        <w:r>
          <w:rPr>
            <w:spacing w:val="-8"/>
          </w:rPr>
          <w:t> </w:t>
        </w:r>
        <w:r>
          <w:rPr/>
          <w:t>MITMA</w:t>
        </w:r>
        <w:r>
          <w:rPr>
            <w:spacing w:val="-4"/>
          </w:rPr>
          <w:t> </w:t>
        </w:r>
        <w:r>
          <w:rPr/>
          <w:t>2ª</w:t>
        </w:r>
        <w:r>
          <w:rPr>
            <w:spacing w:val="-5"/>
          </w:rPr>
          <w:t> </w:t>
        </w:r>
        <w:r>
          <w:rPr>
            <w:spacing w:val="-2"/>
          </w:rPr>
          <w:t>CONVOCATORIA</w:t>
        </w:r>
        <w:r>
          <w:rPr/>
          <w:tab/>
        </w:r>
        <w:r>
          <w:rPr>
            <w:spacing w:val="-5"/>
          </w:rPr>
          <w:t>132</w:t>
        </w:r>
      </w:hyperlink>
    </w:p>
    <w:p>
      <w:pPr>
        <w:pStyle w:val="Heading5"/>
        <w:spacing w:after="0"/>
        <w:sectPr>
          <w:headerReference w:type="default" r:id="rId64"/>
          <w:footerReference w:type="default" r:id="rId65"/>
          <w:pgSz w:w="11910" w:h="16840"/>
          <w:pgMar w:header="1227" w:footer="683" w:top="1420" w:bottom="880" w:left="141" w:right="141"/>
          <w:pgNumType w:start="105"/>
        </w:sectPr>
      </w:pPr>
    </w:p>
    <w:p>
      <w:pPr>
        <w:pStyle w:val="BodyText"/>
        <w:spacing w:before="4"/>
        <w:rPr>
          <w:b/>
          <w:sz w:val="17"/>
        </w:rPr>
      </w:pPr>
    </w:p>
    <w:p>
      <w:pPr>
        <w:pStyle w:val="BodyText"/>
        <w:spacing w:after="0"/>
        <w:rPr>
          <w:b/>
          <w:sz w:val="17"/>
        </w:rPr>
        <w:sectPr>
          <w:headerReference w:type="even" r:id="rId66"/>
          <w:footerReference w:type="even" r:id="rId67"/>
          <w:pgSz w:w="11910" w:h="16840"/>
          <w:pgMar w:header="0" w:footer="0" w:top="1920" w:bottom="280" w:left="141" w:right="141"/>
        </w:sectPr>
      </w:pPr>
    </w:p>
    <w:p>
      <w:pPr>
        <w:pStyle w:val="BodyText"/>
        <w:spacing w:before="228"/>
        <w:rPr>
          <w:b/>
        </w:rPr>
      </w:pPr>
    </w:p>
    <w:p>
      <w:pPr>
        <w:spacing w:before="0"/>
        <w:ind w:left="1477" w:right="1477" w:firstLine="0"/>
        <w:jc w:val="center"/>
        <w:rPr>
          <w:b/>
          <w:sz w:val="22"/>
        </w:rPr>
      </w:pPr>
      <w:bookmarkStart w:name="_bookmark126" w:id="128"/>
      <w:bookmarkEnd w:id="128"/>
      <w:r>
        <w:rPr/>
      </w:r>
      <w:bookmarkStart w:name="_bookmark127" w:id="129"/>
      <w:bookmarkEnd w:id="129"/>
      <w:r>
        <w:rPr/>
      </w:r>
      <w:r>
        <w:rPr>
          <w:b/>
          <w:sz w:val="22"/>
        </w:rPr>
        <w:t>RÉGIMEN</w:t>
      </w:r>
      <w:r>
        <w:rPr>
          <w:b/>
          <w:spacing w:val="-6"/>
          <w:sz w:val="22"/>
        </w:rPr>
        <w:t> </w:t>
      </w:r>
      <w:r>
        <w:rPr>
          <w:b/>
          <w:spacing w:val="-2"/>
          <w:sz w:val="22"/>
        </w:rPr>
        <w:t>JURÍDICO</w:t>
      </w:r>
    </w:p>
    <w:p>
      <w:pPr>
        <w:pStyle w:val="BodyText"/>
        <w:spacing w:before="239"/>
        <w:ind w:left="992" w:right="995"/>
      </w:pPr>
      <w:r>
        <w:rPr/>
        <w:t>La normativa reguladora aplicable al régimen local a lo largo del ejercicio objeto de la fiscalización y en relación con la materia fiscalizada es la siguiente:</w:t>
      </w:r>
    </w:p>
    <w:p>
      <w:pPr>
        <w:pStyle w:val="Heading4"/>
        <w:numPr>
          <w:ilvl w:val="0"/>
          <w:numId w:val="10"/>
        </w:numPr>
        <w:tabs>
          <w:tab w:pos="1351" w:val="left" w:leader="none"/>
        </w:tabs>
        <w:spacing w:line="240" w:lineRule="auto" w:before="240" w:after="0"/>
        <w:ind w:left="1351" w:right="0" w:hanging="359"/>
        <w:jc w:val="left"/>
      </w:pPr>
      <w:r>
        <w:rPr/>
        <w:t>NORMATIVA</w:t>
      </w:r>
      <w:r>
        <w:rPr>
          <w:spacing w:val="-9"/>
        </w:rPr>
        <w:t> </w:t>
      </w:r>
      <w:r>
        <w:rPr>
          <w:spacing w:val="-2"/>
        </w:rPr>
        <w:t>EUROPEA</w:t>
      </w:r>
      <w:r>
        <w:rPr>
          <w:b w:val="0"/>
          <w:spacing w:val="-2"/>
        </w:rPr>
        <w:t>:</w:t>
      </w:r>
    </w:p>
    <w:p>
      <w:pPr>
        <w:pStyle w:val="ListParagraph"/>
        <w:numPr>
          <w:ilvl w:val="1"/>
          <w:numId w:val="10"/>
        </w:numPr>
        <w:tabs>
          <w:tab w:pos="1705" w:val="left" w:leader="none"/>
        </w:tabs>
        <w:spacing w:line="240" w:lineRule="auto" w:before="119" w:after="0"/>
        <w:ind w:left="1705" w:right="989" w:hanging="356"/>
        <w:jc w:val="both"/>
        <w:rPr>
          <w:sz w:val="22"/>
        </w:rPr>
      </w:pPr>
      <w:r>
        <w:rPr>
          <w:sz w:val="22"/>
        </w:rPr>
        <w:t>Directiva</w:t>
      </w:r>
      <w:r>
        <w:rPr>
          <w:spacing w:val="-4"/>
          <w:sz w:val="22"/>
        </w:rPr>
        <w:t> </w:t>
      </w:r>
      <w:r>
        <w:rPr>
          <w:sz w:val="22"/>
        </w:rPr>
        <w:t>2019/1161/UE</w:t>
      </w:r>
      <w:r>
        <w:rPr>
          <w:spacing w:val="-7"/>
          <w:sz w:val="22"/>
        </w:rPr>
        <w:t> </w:t>
      </w:r>
      <w:r>
        <w:rPr>
          <w:sz w:val="22"/>
        </w:rPr>
        <w:t>del</w:t>
      </w:r>
      <w:r>
        <w:rPr>
          <w:spacing w:val="-4"/>
          <w:sz w:val="22"/>
        </w:rPr>
        <w:t> </w:t>
      </w:r>
      <w:r>
        <w:rPr>
          <w:sz w:val="22"/>
        </w:rPr>
        <w:t>Parlamento</w:t>
      </w:r>
      <w:r>
        <w:rPr>
          <w:spacing w:val="-6"/>
          <w:sz w:val="22"/>
        </w:rPr>
        <w:t> </w:t>
      </w:r>
      <w:r>
        <w:rPr>
          <w:sz w:val="22"/>
        </w:rPr>
        <w:t>Europeo</w:t>
      </w:r>
      <w:r>
        <w:rPr>
          <w:spacing w:val="-7"/>
          <w:sz w:val="22"/>
        </w:rPr>
        <w:t> </w:t>
      </w:r>
      <w:r>
        <w:rPr>
          <w:sz w:val="22"/>
        </w:rPr>
        <w:t>y</w:t>
      </w:r>
      <w:r>
        <w:rPr>
          <w:spacing w:val="-4"/>
          <w:sz w:val="22"/>
        </w:rPr>
        <w:t> </w:t>
      </w:r>
      <w:r>
        <w:rPr>
          <w:sz w:val="22"/>
        </w:rPr>
        <w:t>del</w:t>
      </w:r>
      <w:r>
        <w:rPr>
          <w:spacing w:val="-5"/>
          <w:sz w:val="22"/>
        </w:rPr>
        <w:t> </w:t>
      </w:r>
      <w:r>
        <w:rPr>
          <w:sz w:val="22"/>
        </w:rPr>
        <w:t>Consejo,</w:t>
      </w:r>
      <w:r>
        <w:rPr>
          <w:spacing w:val="-3"/>
          <w:sz w:val="22"/>
        </w:rPr>
        <w:t> </w:t>
      </w:r>
      <w:r>
        <w:rPr>
          <w:sz w:val="22"/>
        </w:rPr>
        <w:t>de</w:t>
      </w:r>
      <w:r>
        <w:rPr>
          <w:spacing w:val="-7"/>
          <w:sz w:val="22"/>
        </w:rPr>
        <w:t> </w:t>
      </w:r>
      <w:r>
        <w:rPr>
          <w:sz w:val="22"/>
        </w:rPr>
        <w:t>20</w:t>
      </w:r>
      <w:r>
        <w:rPr>
          <w:spacing w:val="-4"/>
          <w:sz w:val="22"/>
        </w:rPr>
        <w:t> </w:t>
      </w:r>
      <w:r>
        <w:rPr>
          <w:sz w:val="22"/>
        </w:rPr>
        <w:t>de</w:t>
      </w:r>
      <w:r>
        <w:rPr>
          <w:spacing w:val="-7"/>
          <w:sz w:val="22"/>
        </w:rPr>
        <w:t> </w:t>
      </w:r>
      <w:r>
        <w:rPr>
          <w:sz w:val="22"/>
        </w:rPr>
        <w:t>junio</w:t>
      </w:r>
      <w:r>
        <w:rPr>
          <w:spacing w:val="-4"/>
          <w:sz w:val="22"/>
        </w:rPr>
        <w:t> </w:t>
      </w:r>
      <w:r>
        <w:rPr>
          <w:sz w:val="22"/>
        </w:rPr>
        <w:t>de</w:t>
      </w:r>
      <w:r>
        <w:rPr>
          <w:spacing w:val="-4"/>
          <w:sz w:val="22"/>
        </w:rPr>
        <w:t> </w:t>
      </w:r>
      <w:r>
        <w:rPr>
          <w:sz w:val="22"/>
        </w:rPr>
        <w:t>2019,</w:t>
      </w:r>
      <w:r>
        <w:rPr>
          <w:spacing w:val="-3"/>
          <w:sz w:val="22"/>
        </w:rPr>
        <w:t> </w:t>
      </w:r>
      <w:r>
        <w:rPr>
          <w:sz w:val="22"/>
        </w:rPr>
        <w:t>por la</w:t>
      </w:r>
      <w:r>
        <w:rPr>
          <w:spacing w:val="-11"/>
          <w:sz w:val="22"/>
        </w:rPr>
        <w:t> </w:t>
      </w:r>
      <w:r>
        <w:rPr>
          <w:sz w:val="22"/>
        </w:rPr>
        <w:t>que</w:t>
      </w:r>
      <w:r>
        <w:rPr>
          <w:spacing w:val="-14"/>
          <w:sz w:val="22"/>
        </w:rPr>
        <w:t> </w:t>
      </w:r>
      <w:r>
        <w:rPr>
          <w:sz w:val="22"/>
        </w:rPr>
        <w:t>se</w:t>
      </w:r>
      <w:r>
        <w:rPr>
          <w:spacing w:val="-14"/>
          <w:sz w:val="22"/>
        </w:rPr>
        <w:t> </w:t>
      </w:r>
      <w:r>
        <w:rPr>
          <w:sz w:val="22"/>
        </w:rPr>
        <w:t>modifica</w:t>
      </w:r>
      <w:r>
        <w:rPr>
          <w:spacing w:val="-11"/>
          <w:sz w:val="22"/>
        </w:rPr>
        <w:t> </w:t>
      </w:r>
      <w:r>
        <w:rPr>
          <w:sz w:val="22"/>
        </w:rPr>
        <w:t>la</w:t>
      </w:r>
      <w:r>
        <w:rPr>
          <w:spacing w:val="-14"/>
          <w:sz w:val="22"/>
        </w:rPr>
        <w:t> </w:t>
      </w:r>
      <w:r>
        <w:rPr>
          <w:sz w:val="22"/>
        </w:rPr>
        <w:t>Directiva</w:t>
      </w:r>
      <w:r>
        <w:rPr>
          <w:spacing w:val="-14"/>
          <w:sz w:val="22"/>
        </w:rPr>
        <w:t> </w:t>
      </w:r>
      <w:r>
        <w:rPr>
          <w:sz w:val="22"/>
        </w:rPr>
        <w:t>2009/33/CE</w:t>
      </w:r>
      <w:r>
        <w:rPr>
          <w:spacing w:val="-14"/>
          <w:sz w:val="22"/>
        </w:rPr>
        <w:t> </w:t>
      </w:r>
      <w:r>
        <w:rPr>
          <w:sz w:val="22"/>
        </w:rPr>
        <w:t>relativa</w:t>
      </w:r>
      <w:r>
        <w:rPr>
          <w:spacing w:val="-14"/>
          <w:sz w:val="22"/>
        </w:rPr>
        <w:t> </w:t>
      </w:r>
      <w:r>
        <w:rPr>
          <w:sz w:val="22"/>
        </w:rPr>
        <w:t>a</w:t>
      </w:r>
      <w:r>
        <w:rPr>
          <w:spacing w:val="-14"/>
          <w:sz w:val="22"/>
        </w:rPr>
        <w:t> </w:t>
      </w:r>
      <w:r>
        <w:rPr>
          <w:sz w:val="22"/>
        </w:rPr>
        <w:t>la</w:t>
      </w:r>
      <w:r>
        <w:rPr>
          <w:spacing w:val="-14"/>
          <w:sz w:val="22"/>
        </w:rPr>
        <w:t> </w:t>
      </w:r>
      <w:r>
        <w:rPr>
          <w:sz w:val="22"/>
        </w:rPr>
        <w:t>promoción</w:t>
      </w:r>
      <w:r>
        <w:rPr>
          <w:spacing w:val="-14"/>
          <w:sz w:val="22"/>
        </w:rPr>
        <w:t> </w:t>
      </w:r>
      <w:r>
        <w:rPr>
          <w:sz w:val="22"/>
        </w:rPr>
        <w:t>de</w:t>
      </w:r>
      <w:r>
        <w:rPr>
          <w:spacing w:val="-14"/>
          <w:sz w:val="22"/>
        </w:rPr>
        <w:t> </w:t>
      </w:r>
      <w:r>
        <w:rPr>
          <w:sz w:val="22"/>
        </w:rPr>
        <w:t>vehículos</w:t>
      </w:r>
      <w:r>
        <w:rPr>
          <w:spacing w:val="-11"/>
          <w:sz w:val="22"/>
        </w:rPr>
        <w:t> </w:t>
      </w:r>
      <w:r>
        <w:rPr>
          <w:sz w:val="22"/>
        </w:rPr>
        <w:t>de</w:t>
      </w:r>
      <w:r>
        <w:rPr>
          <w:spacing w:val="-14"/>
          <w:sz w:val="22"/>
        </w:rPr>
        <w:t> </w:t>
      </w:r>
      <w:r>
        <w:rPr>
          <w:sz w:val="22"/>
        </w:rPr>
        <w:t>transporte por carretera limpios y energéticamente eficientes.</w:t>
      </w:r>
    </w:p>
    <w:p>
      <w:pPr>
        <w:pStyle w:val="ListParagraph"/>
        <w:numPr>
          <w:ilvl w:val="1"/>
          <w:numId w:val="10"/>
        </w:numPr>
        <w:tabs>
          <w:tab w:pos="1705" w:val="left" w:leader="none"/>
        </w:tabs>
        <w:spacing w:line="240" w:lineRule="auto" w:before="123" w:after="0"/>
        <w:ind w:left="1705" w:right="989" w:hanging="356"/>
        <w:jc w:val="both"/>
        <w:rPr>
          <w:sz w:val="22"/>
        </w:rPr>
      </w:pPr>
      <w:r>
        <w:rPr>
          <w:sz w:val="22"/>
        </w:rPr>
        <w:t>Directiva (UE) 2023/2661 del Parlamento Europeo y del Consejo, de 22 de noviembre de 2023, que modifica la Directiva 2010/40/UE por la que se establece el marco para la implantación de los sistemas de transporte inteligentes en el sector del transporte por carretera y para las interfaces con otros modos de transporte.</w:t>
      </w:r>
    </w:p>
    <w:p>
      <w:pPr>
        <w:pStyle w:val="ListParagraph"/>
        <w:numPr>
          <w:ilvl w:val="1"/>
          <w:numId w:val="10"/>
        </w:numPr>
        <w:tabs>
          <w:tab w:pos="1705" w:val="left" w:leader="none"/>
        </w:tabs>
        <w:spacing w:line="240" w:lineRule="auto" w:before="118" w:after="0"/>
        <w:ind w:left="1705" w:right="993" w:hanging="356"/>
        <w:jc w:val="both"/>
        <w:rPr>
          <w:sz w:val="22"/>
        </w:rPr>
      </w:pPr>
      <w:r>
        <w:rPr>
          <w:sz w:val="22"/>
        </w:rPr>
        <w:t>Directiva (UE) 2018/2001 del Parlamento Europeo y del Consejo, de 11 de diciembre de 2018, relativa al fomento del uso de energía procedente de fuentes renovables.</w:t>
      </w:r>
    </w:p>
    <w:p>
      <w:pPr>
        <w:pStyle w:val="ListParagraph"/>
        <w:numPr>
          <w:ilvl w:val="1"/>
          <w:numId w:val="10"/>
        </w:numPr>
        <w:tabs>
          <w:tab w:pos="1712" w:val="left" w:leader="none"/>
        </w:tabs>
        <w:spacing w:line="240" w:lineRule="auto" w:before="121" w:after="0"/>
        <w:ind w:left="1712" w:right="988" w:hanging="360"/>
        <w:jc w:val="both"/>
        <w:rPr>
          <w:sz w:val="22"/>
        </w:rPr>
      </w:pPr>
      <w:r>
        <w:rPr>
          <w:sz w:val="22"/>
        </w:rPr>
        <w:t>Directiva (UE) 2023/1791 del Parlamento Europeo y del Consejo, de 13 de septiembre de 2023, relativa a la eficiencia energética y por la que se modifica el Reglamento (UE) </w:t>
      </w:r>
      <w:r>
        <w:rPr>
          <w:spacing w:val="-2"/>
          <w:sz w:val="22"/>
        </w:rPr>
        <w:t>2023/955.</w:t>
      </w:r>
    </w:p>
    <w:p>
      <w:pPr>
        <w:pStyle w:val="ListParagraph"/>
        <w:numPr>
          <w:ilvl w:val="1"/>
          <w:numId w:val="10"/>
        </w:numPr>
        <w:tabs>
          <w:tab w:pos="1705" w:val="left" w:leader="none"/>
        </w:tabs>
        <w:spacing w:line="240" w:lineRule="auto" w:before="119" w:after="0"/>
        <w:ind w:left="1705" w:right="989" w:hanging="356"/>
        <w:jc w:val="both"/>
        <w:rPr>
          <w:sz w:val="22"/>
        </w:rPr>
      </w:pPr>
      <w:r>
        <w:rPr>
          <w:sz w:val="22"/>
        </w:rPr>
        <w:t>Directiva 2012/27/UE del Parlamento Europeo y del Consejo, de 25 de octubre de 2012, relativa</w:t>
      </w:r>
      <w:r>
        <w:rPr>
          <w:spacing w:val="-8"/>
          <w:sz w:val="22"/>
        </w:rPr>
        <w:t> </w:t>
      </w:r>
      <w:r>
        <w:rPr>
          <w:sz w:val="22"/>
        </w:rPr>
        <w:t>a</w:t>
      </w:r>
      <w:r>
        <w:rPr>
          <w:spacing w:val="-10"/>
          <w:sz w:val="22"/>
        </w:rPr>
        <w:t> </w:t>
      </w:r>
      <w:r>
        <w:rPr>
          <w:sz w:val="22"/>
        </w:rPr>
        <w:t>la</w:t>
      </w:r>
      <w:r>
        <w:rPr>
          <w:spacing w:val="-10"/>
          <w:sz w:val="22"/>
        </w:rPr>
        <w:t> </w:t>
      </w:r>
      <w:r>
        <w:rPr>
          <w:sz w:val="22"/>
        </w:rPr>
        <w:t>eficiencia</w:t>
      </w:r>
      <w:r>
        <w:rPr>
          <w:spacing w:val="-7"/>
          <w:sz w:val="22"/>
        </w:rPr>
        <w:t> </w:t>
      </w:r>
      <w:r>
        <w:rPr>
          <w:sz w:val="22"/>
        </w:rPr>
        <w:t>energética,</w:t>
      </w:r>
      <w:r>
        <w:rPr>
          <w:spacing w:val="-11"/>
          <w:sz w:val="22"/>
        </w:rPr>
        <w:t> </w:t>
      </w:r>
      <w:r>
        <w:rPr>
          <w:sz w:val="22"/>
        </w:rPr>
        <w:t>modificada</w:t>
      </w:r>
      <w:r>
        <w:rPr>
          <w:spacing w:val="-8"/>
          <w:sz w:val="22"/>
        </w:rPr>
        <w:t> </w:t>
      </w:r>
      <w:r>
        <w:rPr>
          <w:sz w:val="22"/>
        </w:rPr>
        <w:t>por</w:t>
      </w:r>
      <w:r>
        <w:rPr>
          <w:spacing w:val="-9"/>
          <w:sz w:val="22"/>
        </w:rPr>
        <w:t> </w:t>
      </w:r>
      <w:r>
        <w:rPr>
          <w:sz w:val="22"/>
        </w:rPr>
        <w:t>la</w:t>
      </w:r>
      <w:r>
        <w:rPr>
          <w:spacing w:val="-7"/>
          <w:sz w:val="22"/>
        </w:rPr>
        <w:t> </w:t>
      </w:r>
      <w:r>
        <w:rPr>
          <w:sz w:val="22"/>
        </w:rPr>
        <w:t>Directiva</w:t>
      </w:r>
      <w:r>
        <w:rPr>
          <w:spacing w:val="-7"/>
          <w:sz w:val="22"/>
        </w:rPr>
        <w:t> </w:t>
      </w:r>
      <w:r>
        <w:rPr>
          <w:sz w:val="22"/>
        </w:rPr>
        <w:t>2018/2002,</w:t>
      </w:r>
      <w:r>
        <w:rPr>
          <w:spacing w:val="-8"/>
          <w:sz w:val="22"/>
        </w:rPr>
        <w:t> </w:t>
      </w:r>
      <w:r>
        <w:rPr>
          <w:sz w:val="22"/>
        </w:rPr>
        <w:t>de</w:t>
      </w:r>
      <w:r>
        <w:rPr>
          <w:spacing w:val="-7"/>
          <w:sz w:val="22"/>
        </w:rPr>
        <w:t> </w:t>
      </w:r>
      <w:r>
        <w:rPr>
          <w:sz w:val="22"/>
        </w:rPr>
        <w:t>11</w:t>
      </w:r>
      <w:r>
        <w:rPr>
          <w:spacing w:val="-10"/>
          <w:sz w:val="22"/>
        </w:rPr>
        <w:t> </w:t>
      </w:r>
      <w:r>
        <w:rPr>
          <w:sz w:val="22"/>
        </w:rPr>
        <w:t>de</w:t>
      </w:r>
      <w:r>
        <w:rPr>
          <w:spacing w:val="-10"/>
          <w:sz w:val="22"/>
        </w:rPr>
        <w:t> </w:t>
      </w:r>
      <w:r>
        <w:rPr>
          <w:sz w:val="22"/>
        </w:rPr>
        <w:t>diciembre de 2018.</w:t>
      </w:r>
    </w:p>
    <w:p>
      <w:pPr>
        <w:pStyle w:val="ListParagraph"/>
        <w:numPr>
          <w:ilvl w:val="1"/>
          <w:numId w:val="10"/>
        </w:numPr>
        <w:tabs>
          <w:tab w:pos="1705" w:val="left" w:leader="none"/>
        </w:tabs>
        <w:spacing w:line="240" w:lineRule="auto" w:before="120" w:after="0"/>
        <w:ind w:left="1705" w:right="997" w:hanging="356"/>
        <w:jc w:val="both"/>
        <w:rPr>
          <w:sz w:val="22"/>
        </w:rPr>
      </w:pPr>
      <w:r>
        <w:rPr>
          <w:sz w:val="22"/>
        </w:rPr>
        <w:t>Directiva (UE) 2010/31 del Parlamento Europeo y del Consejo, de 19 de mayo de 2010, relativa a la eficiencia energética de los edificios, modificada por la Directiva 2024/1275.</w:t>
      </w:r>
    </w:p>
    <w:p>
      <w:pPr>
        <w:pStyle w:val="ListParagraph"/>
        <w:numPr>
          <w:ilvl w:val="1"/>
          <w:numId w:val="10"/>
        </w:numPr>
        <w:tabs>
          <w:tab w:pos="1705" w:val="left" w:leader="none"/>
        </w:tabs>
        <w:spacing w:line="240" w:lineRule="auto" w:before="121" w:after="0"/>
        <w:ind w:left="1705" w:right="987" w:hanging="356"/>
        <w:jc w:val="both"/>
        <w:rPr>
          <w:sz w:val="22"/>
        </w:rPr>
      </w:pPr>
      <w:r>
        <w:rPr>
          <w:sz w:val="22"/>
        </w:rPr>
        <w:t>Reglamento</w:t>
      </w:r>
      <w:r>
        <w:rPr>
          <w:spacing w:val="-4"/>
          <w:sz w:val="22"/>
        </w:rPr>
        <w:t> </w:t>
      </w:r>
      <w:r>
        <w:rPr>
          <w:sz w:val="22"/>
        </w:rPr>
        <w:t>(UE)</w:t>
      </w:r>
      <w:r>
        <w:rPr>
          <w:spacing w:val="-3"/>
          <w:sz w:val="22"/>
        </w:rPr>
        <w:t> </w:t>
      </w:r>
      <w:r>
        <w:rPr>
          <w:sz w:val="22"/>
        </w:rPr>
        <w:t>2018/1999</w:t>
      </w:r>
      <w:r>
        <w:rPr>
          <w:spacing w:val="-1"/>
          <w:sz w:val="22"/>
        </w:rPr>
        <w:t> </w:t>
      </w:r>
      <w:r>
        <w:rPr>
          <w:sz w:val="22"/>
        </w:rPr>
        <w:t>del</w:t>
      </w:r>
      <w:r>
        <w:rPr>
          <w:spacing w:val="-2"/>
          <w:sz w:val="22"/>
        </w:rPr>
        <w:t> </w:t>
      </w:r>
      <w:r>
        <w:rPr>
          <w:sz w:val="22"/>
        </w:rPr>
        <w:t>Parlamento</w:t>
      </w:r>
      <w:r>
        <w:rPr>
          <w:spacing w:val="-4"/>
          <w:sz w:val="22"/>
        </w:rPr>
        <w:t> </w:t>
      </w:r>
      <w:r>
        <w:rPr>
          <w:sz w:val="22"/>
        </w:rPr>
        <w:t>Europeo</w:t>
      </w:r>
      <w:r>
        <w:rPr>
          <w:spacing w:val="-2"/>
          <w:sz w:val="22"/>
        </w:rPr>
        <w:t> </w:t>
      </w:r>
      <w:r>
        <w:rPr>
          <w:sz w:val="22"/>
        </w:rPr>
        <w:t>y</w:t>
      </w:r>
      <w:r>
        <w:rPr>
          <w:spacing w:val="-3"/>
          <w:sz w:val="22"/>
        </w:rPr>
        <w:t> </w:t>
      </w:r>
      <w:r>
        <w:rPr>
          <w:sz w:val="22"/>
        </w:rPr>
        <w:t>del</w:t>
      </w:r>
      <w:r>
        <w:rPr>
          <w:spacing w:val="-2"/>
          <w:sz w:val="22"/>
        </w:rPr>
        <w:t> </w:t>
      </w:r>
      <w:r>
        <w:rPr>
          <w:sz w:val="22"/>
        </w:rPr>
        <w:t>Consejo,</w:t>
      </w:r>
      <w:r>
        <w:rPr>
          <w:spacing w:val="-3"/>
          <w:sz w:val="22"/>
        </w:rPr>
        <w:t> </w:t>
      </w:r>
      <w:r>
        <w:rPr>
          <w:sz w:val="22"/>
        </w:rPr>
        <w:t>de</w:t>
      </w:r>
      <w:r>
        <w:rPr>
          <w:spacing w:val="-2"/>
          <w:sz w:val="22"/>
        </w:rPr>
        <w:t> </w:t>
      </w:r>
      <w:r>
        <w:rPr>
          <w:sz w:val="22"/>
        </w:rPr>
        <w:t>11</w:t>
      </w:r>
      <w:r>
        <w:rPr>
          <w:spacing w:val="-4"/>
          <w:sz w:val="22"/>
        </w:rPr>
        <w:t> </w:t>
      </w:r>
      <w:r>
        <w:rPr>
          <w:sz w:val="22"/>
        </w:rPr>
        <w:t>de</w:t>
      </w:r>
      <w:r>
        <w:rPr>
          <w:spacing w:val="-2"/>
          <w:sz w:val="22"/>
        </w:rPr>
        <w:t> </w:t>
      </w:r>
      <w:r>
        <w:rPr>
          <w:sz w:val="22"/>
        </w:rPr>
        <w:t>diciembre</w:t>
      </w:r>
      <w:r>
        <w:rPr>
          <w:spacing w:val="-4"/>
          <w:sz w:val="22"/>
        </w:rPr>
        <w:t> </w:t>
      </w:r>
      <w:r>
        <w:rPr>
          <w:sz w:val="22"/>
        </w:rPr>
        <w:t>de 2018, sobre la gobernanza de la Unión de la Energía y de la Acción por el Clima.</w:t>
      </w:r>
    </w:p>
    <w:p>
      <w:pPr>
        <w:pStyle w:val="ListParagraph"/>
        <w:numPr>
          <w:ilvl w:val="1"/>
          <w:numId w:val="10"/>
        </w:numPr>
        <w:tabs>
          <w:tab w:pos="1705" w:val="left" w:leader="none"/>
        </w:tabs>
        <w:spacing w:line="240" w:lineRule="auto" w:before="120" w:after="0"/>
        <w:ind w:left="1705" w:right="991" w:hanging="356"/>
        <w:jc w:val="both"/>
        <w:rPr>
          <w:sz w:val="22"/>
        </w:rPr>
      </w:pPr>
      <w:r>
        <w:rPr>
          <w:sz w:val="22"/>
        </w:rPr>
        <w:t>Reglamento</w:t>
      </w:r>
      <w:r>
        <w:rPr>
          <w:spacing w:val="-16"/>
          <w:sz w:val="22"/>
        </w:rPr>
        <w:t> </w:t>
      </w:r>
      <w:r>
        <w:rPr>
          <w:sz w:val="22"/>
        </w:rPr>
        <w:t>1221/2009</w:t>
      </w:r>
      <w:r>
        <w:rPr>
          <w:spacing w:val="-15"/>
          <w:sz w:val="22"/>
        </w:rPr>
        <w:t> </w:t>
      </w:r>
      <w:r>
        <w:rPr>
          <w:sz w:val="22"/>
        </w:rPr>
        <w:t>del</w:t>
      </w:r>
      <w:r>
        <w:rPr>
          <w:spacing w:val="-15"/>
          <w:sz w:val="22"/>
        </w:rPr>
        <w:t> </w:t>
      </w:r>
      <w:r>
        <w:rPr>
          <w:sz w:val="22"/>
        </w:rPr>
        <w:t>Parlamento</w:t>
      </w:r>
      <w:r>
        <w:rPr>
          <w:spacing w:val="-16"/>
          <w:sz w:val="22"/>
        </w:rPr>
        <w:t> </w:t>
      </w:r>
      <w:r>
        <w:rPr>
          <w:sz w:val="22"/>
        </w:rPr>
        <w:t>Europeo</w:t>
      </w:r>
      <w:r>
        <w:rPr>
          <w:spacing w:val="-15"/>
          <w:sz w:val="22"/>
        </w:rPr>
        <w:t> </w:t>
      </w:r>
      <w:r>
        <w:rPr>
          <w:sz w:val="22"/>
        </w:rPr>
        <w:t>y</w:t>
      </w:r>
      <w:r>
        <w:rPr>
          <w:spacing w:val="-15"/>
          <w:sz w:val="22"/>
        </w:rPr>
        <w:t> </w:t>
      </w:r>
      <w:r>
        <w:rPr>
          <w:sz w:val="22"/>
        </w:rPr>
        <w:t>del</w:t>
      </w:r>
      <w:r>
        <w:rPr>
          <w:spacing w:val="-15"/>
          <w:sz w:val="22"/>
        </w:rPr>
        <w:t> </w:t>
      </w:r>
      <w:r>
        <w:rPr>
          <w:sz w:val="22"/>
        </w:rPr>
        <w:t>Consejo,</w:t>
      </w:r>
      <w:r>
        <w:rPr>
          <w:spacing w:val="-16"/>
          <w:sz w:val="22"/>
        </w:rPr>
        <w:t> </w:t>
      </w:r>
      <w:r>
        <w:rPr>
          <w:sz w:val="22"/>
        </w:rPr>
        <w:t>de</w:t>
      </w:r>
      <w:r>
        <w:rPr>
          <w:spacing w:val="-15"/>
          <w:sz w:val="22"/>
        </w:rPr>
        <w:t> </w:t>
      </w:r>
      <w:r>
        <w:rPr>
          <w:sz w:val="22"/>
        </w:rPr>
        <w:t>29</w:t>
      </w:r>
      <w:r>
        <w:rPr>
          <w:spacing w:val="-15"/>
          <w:sz w:val="22"/>
        </w:rPr>
        <w:t> </w:t>
      </w:r>
      <w:r>
        <w:rPr>
          <w:sz w:val="22"/>
        </w:rPr>
        <w:t>de</w:t>
      </w:r>
      <w:r>
        <w:rPr>
          <w:spacing w:val="-16"/>
          <w:sz w:val="22"/>
        </w:rPr>
        <w:t> </w:t>
      </w:r>
      <w:r>
        <w:rPr>
          <w:sz w:val="22"/>
        </w:rPr>
        <w:t>noviembre</w:t>
      </w:r>
      <w:r>
        <w:rPr>
          <w:spacing w:val="-15"/>
          <w:sz w:val="22"/>
        </w:rPr>
        <w:t> </w:t>
      </w:r>
      <w:r>
        <w:rPr>
          <w:sz w:val="22"/>
        </w:rPr>
        <w:t>de</w:t>
      </w:r>
      <w:r>
        <w:rPr>
          <w:spacing w:val="-15"/>
          <w:sz w:val="22"/>
        </w:rPr>
        <w:t> </w:t>
      </w:r>
      <w:r>
        <w:rPr>
          <w:sz w:val="22"/>
        </w:rPr>
        <w:t>2009, relativo</w:t>
      </w:r>
      <w:r>
        <w:rPr>
          <w:spacing w:val="-8"/>
          <w:sz w:val="22"/>
        </w:rPr>
        <w:t> </w:t>
      </w:r>
      <w:r>
        <w:rPr>
          <w:sz w:val="22"/>
        </w:rPr>
        <w:t>a</w:t>
      </w:r>
      <w:r>
        <w:rPr>
          <w:spacing w:val="-10"/>
          <w:sz w:val="22"/>
        </w:rPr>
        <w:t> </w:t>
      </w:r>
      <w:r>
        <w:rPr>
          <w:sz w:val="22"/>
        </w:rPr>
        <w:t>la</w:t>
      </w:r>
      <w:r>
        <w:rPr>
          <w:spacing w:val="-7"/>
          <w:sz w:val="22"/>
        </w:rPr>
        <w:t> </w:t>
      </w:r>
      <w:r>
        <w:rPr>
          <w:sz w:val="22"/>
        </w:rPr>
        <w:t>participación</w:t>
      </w:r>
      <w:r>
        <w:rPr>
          <w:spacing w:val="-10"/>
          <w:sz w:val="22"/>
        </w:rPr>
        <w:t> </w:t>
      </w:r>
      <w:r>
        <w:rPr>
          <w:sz w:val="22"/>
        </w:rPr>
        <w:t>voluntaria</w:t>
      </w:r>
      <w:r>
        <w:rPr>
          <w:spacing w:val="-7"/>
          <w:sz w:val="22"/>
        </w:rPr>
        <w:t> </w:t>
      </w:r>
      <w:r>
        <w:rPr>
          <w:sz w:val="22"/>
        </w:rPr>
        <w:t>de</w:t>
      </w:r>
      <w:r>
        <w:rPr>
          <w:spacing w:val="-10"/>
          <w:sz w:val="22"/>
        </w:rPr>
        <w:t> </w:t>
      </w:r>
      <w:r>
        <w:rPr>
          <w:sz w:val="22"/>
        </w:rPr>
        <w:t>organizaciones</w:t>
      </w:r>
      <w:r>
        <w:rPr>
          <w:spacing w:val="-7"/>
          <w:sz w:val="22"/>
        </w:rPr>
        <w:t> </w:t>
      </w:r>
      <w:r>
        <w:rPr>
          <w:sz w:val="22"/>
        </w:rPr>
        <w:t>en</w:t>
      </w:r>
      <w:r>
        <w:rPr>
          <w:spacing w:val="-10"/>
          <w:sz w:val="22"/>
        </w:rPr>
        <w:t> </w:t>
      </w:r>
      <w:r>
        <w:rPr>
          <w:sz w:val="22"/>
        </w:rPr>
        <w:t>un</w:t>
      </w:r>
      <w:r>
        <w:rPr>
          <w:spacing w:val="-10"/>
          <w:sz w:val="22"/>
        </w:rPr>
        <w:t> </w:t>
      </w:r>
      <w:r>
        <w:rPr>
          <w:sz w:val="22"/>
        </w:rPr>
        <w:t>sistema</w:t>
      </w:r>
      <w:r>
        <w:rPr>
          <w:spacing w:val="-10"/>
          <w:sz w:val="22"/>
        </w:rPr>
        <w:t> </w:t>
      </w:r>
      <w:r>
        <w:rPr>
          <w:sz w:val="22"/>
        </w:rPr>
        <w:t>comunitario</w:t>
      </w:r>
      <w:r>
        <w:rPr>
          <w:spacing w:val="-8"/>
          <w:sz w:val="22"/>
        </w:rPr>
        <w:t> </w:t>
      </w:r>
      <w:r>
        <w:rPr>
          <w:sz w:val="22"/>
        </w:rPr>
        <w:t>de</w:t>
      </w:r>
      <w:r>
        <w:rPr>
          <w:spacing w:val="-10"/>
          <w:sz w:val="22"/>
        </w:rPr>
        <w:t> </w:t>
      </w:r>
      <w:r>
        <w:rPr>
          <w:sz w:val="22"/>
        </w:rPr>
        <w:t>gestión y auditoría medioambientales (EMAS).</w:t>
      </w:r>
    </w:p>
    <w:p>
      <w:pPr>
        <w:pStyle w:val="ListParagraph"/>
        <w:numPr>
          <w:ilvl w:val="1"/>
          <w:numId w:val="10"/>
        </w:numPr>
        <w:tabs>
          <w:tab w:pos="1705" w:val="left" w:leader="none"/>
        </w:tabs>
        <w:spacing w:line="240" w:lineRule="auto" w:before="120" w:after="0"/>
        <w:ind w:left="1705" w:right="992" w:hanging="356"/>
        <w:jc w:val="both"/>
        <w:rPr>
          <w:sz w:val="22"/>
        </w:rPr>
      </w:pPr>
      <w:r>
        <w:rPr>
          <w:sz w:val="22"/>
        </w:rPr>
        <w:t>Reglamento (UE) 2020/2094, del Consejo, de 14 de diciembre de 2020, por el que se establece</w:t>
      </w:r>
      <w:r>
        <w:rPr>
          <w:spacing w:val="-8"/>
          <w:sz w:val="22"/>
        </w:rPr>
        <w:t> </w:t>
      </w:r>
      <w:r>
        <w:rPr>
          <w:sz w:val="22"/>
        </w:rPr>
        <w:t>el</w:t>
      </w:r>
      <w:r>
        <w:rPr>
          <w:spacing w:val="-10"/>
          <w:sz w:val="22"/>
        </w:rPr>
        <w:t> </w:t>
      </w:r>
      <w:r>
        <w:rPr>
          <w:sz w:val="22"/>
        </w:rPr>
        <w:t>Instrumento</w:t>
      </w:r>
      <w:r>
        <w:rPr>
          <w:spacing w:val="-11"/>
          <w:sz w:val="22"/>
        </w:rPr>
        <w:t> </w:t>
      </w:r>
      <w:r>
        <w:rPr>
          <w:sz w:val="22"/>
        </w:rPr>
        <w:t>de</w:t>
      </w:r>
      <w:r>
        <w:rPr>
          <w:spacing w:val="-8"/>
          <w:sz w:val="22"/>
        </w:rPr>
        <w:t> </w:t>
      </w:r>
      <w:r>
        <w:rPr>
          <w:sz w:val="22"/>
        </w:rPr>
        <w:t>Recuperación</w:t>
      </w:r>
      <w:r>
        <w:rPr>
          <w:spacing w:val="-9"/>
          <w:sz w:val="22"/>
        </w:rPr>
        <w:t> </w:t>
      </w:r>
      <w:r>
        <w:rPr>
          <w:sz w:val="22"/>
        </w:rPr>
        <w:t>de</w:t>
      </w:r>
      <w:r>
        <w:rPr>
          <w:spacing w:val="-9"/>
          <w:sz w:val="22"/>
        </w:rPr>
        <w:t> </w:t>
      </w:r>
      <w:r>
        <w:rPr>
          <w:sz w:val="22"/>
        </w:rPr>
        <w:t>la</w:t>
      </w:r>
      <w:r>
        <w:rPr>
          <w:spacing w:val="-7"/>
          <w:sz w:val="22"/>
        </w:rPr>
        <w:t> </w:t>
      </w:r>
      <w:r>
        <w:rPr>
          <w:sz w:val="22"/>
        </w:rPr>
        <w:t>Unión</w:t>
      </w:r>
      <w:r>
        <w:rPr>
          <w:spacing w:val="-8"/>
          <w:sz w:val="22"/>
        </w:rPr>
        <w:t> </w:t>
      </w:r>
      <w:r>
        <w:rPr>
          <w:sz w:val="22"/>
        </w:rPr>
        <w:t>Europea</w:t>
      </w:r>
      <w:r>
        <w:rPr>
          <w:spacing w:val="-9"/>
          <w:sz w:val="22"/>
        </w:rPr>
        <w:t> </w:t>
      </w:r>
      <w:r>
        <w:rPr>
          <w:sz w:val="22"/>
        </w:rPr>
        <w:t>para</w:t>
      </w:r>
      <w:r>
        <w:rPr>
          <w:spacing w:val="-9"/>
          <w:sz w:val="22"/>
        </w:rPr>
        <w:t> </w:t>
      </w:r>
      <w:r>
        <w:rPr>
          <w:sz w:val="22"/>
        </w:rPr>
        <w:t>apoyar</w:t>
      </w:r>
      <w:r>
        <w:rPr>
          <w:spacing w:val="-6"/>
          <w:sz w:val="22"/>
        </w:rPr>
        <w:t> </w:t>
      </w:r>
      <w:r>
        <w:rPr>
          <w:sz w:val="22"/>
        </w:rPr>
        <w:t>la</w:t>
      </w:r>
      <w:r>
        <w:rPr>
          <w:spacing w:val="-9"/>
          <w:sz w:val="22"/>
        </w:rPr>
        <w:t> </w:t>
      </w:r>
      <w:r>
        <w:rPr>
          <w:sz w:val="22"/>
        </w:rPr>
        <w:t>recuperación tras la crisis de la COVID-19.</w:t>
      </w:r>
    </w:p>
    <w:p>
      <w:pPr>
        <w:pStyle w:val="ListParagraph"/>
        <w:numPr>
          <w:ilvl w:val="1"/>
          <w:numId w:val="10"/>
        </w:numPr>
        <w:tabs>
          <w:tab w:pos="1705" w:val="left" w:leader="none"/>
        </w:tabs>
        <w:spacing w:line="240" w:lineRule="auto" w:before="122" w:after="0"/>
        <w:ind w:left="1705" w:right="993" w:hanging="356"/>
        <w:jc w:val="both"/>
        <w:rPr>
          <w:sz w:val="22"/>
        </w:rPr>
      </w:pPr>
      <w:r>
        <w:rPr>
          <w:sz w:val="22"/>
        </w:rPr>
        <w:t>Reglamento (UE) 2021/241, del Parlamento Europeo y del Consejo, de 12 de febrero de 2021, por el que se establece el Mecanismo de Recuperación y Resiliencia.</w:t>
      </w:r>
    </w:p>
    <w:p>
      <w:pPr>
        <w:pStyle w:val="Heading4"/>
        <w:numPr>
          <w:ilvl w:val="0"/>
          <w:numId w:val="10"/>
        </w:numPr>
        <w:tabs>
          <w:tab w:pos="1348" w:val="left" w:leader="none"/>
        </w:tabs>
        <w:spacing w:line="240" w:lineRule="auto" w:before="238" w:after="0"/>
        <w:ind w:left="1348" w:right="0" w:hanging="356"/>
        <w:jc w:val="left"/>
      </w:pPr>
      <w:r>
        <w:rPr/>
        <w:t>NORMATIVA</w:t>
      </w:r>
      <w:r>
        <w:rPr>
          <w:spacing w:val="-9"/>
        </w:rPr>
        <w:t> </w:t>
      </w:r>
      <w:r>
        <w:rPr>
          <w:spacing w:val="-2"/>
        </w:rPr>
        <w:t>ESTATAL:</w:t>
      </w:r>
    </w:p>
    <w:p>
      <w:pPr>
        <w:pStyle w:val="ListParagraph"/>
        <w:numPr>
          <w:ilvl w:val="1"/>
          <w:numId w:val="10"/>
        </w:numPr>
        <w:tabs>
          <w:tab w:pos="1704" w:val="left" w:leader="none"/>
        </w:tabs>
        <w:spacing w:line="240" w:lineRule="auto" w:before="121" w:after="0"/>
        <w:ind w:left="1704" w:right="0" w:hanging="355"/>
        <w:jc w:val="left"/>
        <w:rPr>
          <w:sz w:val="22"/>
        </w:rPr>
      </w:pPr>
      <w:r>
        <w:rPr>
          <w:sz w:val="22"/>
        </w:rPr>
        <w:t>Ley</w:t>
      </w:r>
      <w:r>
        <w:rPr>
          <w:spacing w:val="-5"/>
          <w:sz w:val="22"/>
        </w:rPr>
        <w:t> </w:t>
      </w:r>
      <w:r>
        <w:rPr>
          <w:sz w:val="22"/>
        </w:rPr>
        <w:t>Orgánica</w:t>
      </w:r>
      <w:r>
        <w:rPr>
          <w:spacing w:val="-4"/>
          <w:sz w:val="22"/>
        </w:rPr>
        <w:t> </w:t>
      </w:r>
      <w:r>
        <w:rPr>
          <w:sz w:val="22"/>
        </w:rPr>
        <w:t>2/1982,</w:t>
      </w:r>
      <w:r>
        <w:rPr>
          <w:spacing w:val="-5"/>
          <w:sz w:val="22"/>
        </w:rPr>
        <w:t> </w:t>
      </w:r>
      <w:r>
        <w:rPr>
          <w:sz w:val="22"/>
        </w:rPr>
        <w:t>de</w:t>
      </w:r>
      <w:r>
        <w:rPr>
          <w:spacing w:val="-6"/>
          <w:sz w:val="22"/>
        </w:rPr>
        <w:t> </w:t>
      </w:r>
      <w:r>
        <w:rPr>
          <w:sz w:val="22"/>
        </w:rPr>
        <w:t>12</w:t>
      </w:r>
      <w:r>
        <w:rPr>
          <w:spacing w:val="-4"/>
          <w:sz w:val="22"/>
        </w:rPr>
        <w:t> </w:t>
      </w:r>
      <w:r>
        <w:rPr>
          <w:sz w:val="22"/>
        </w:rPr>
        <w:t>de</w:t>
      </w:r>
      <w:r>
        <w:rPr>
          <w:spacing w:val="-6"/>
          <w:sz w:val="22"/>
        </w:rPr>
        <w:t> </w:t>
      </w:r>
      <w:r>
        <w:rPr>
          <w:sz w:val="22"/>
        </w:rPr>
        <w:t>mayo,</w:t>
      </w:r>
      <w:r>
        <w:rPr>
          <w:spacing w:val="-5"/>
          <w:sz w:val="22"/>
        </w:rPr>
        <w:t> </w:t>
      </w:r>
      <w:r>
        <w:rPr>
          <w:sz w:val="22"/>
        </w:rPr>
        <w:t>del</w:t>
      </w:r>
      <w:r>
        <w:rPr>
          <w:spacing w:val="-4"/>
          <w:sz w:val="22"/>
        </w:rPr>
        <w:t> </w:t>
      </w:r>
      <w:r>
        <w:rPr>
          <w:sz w:val="22"/>
        </w:rPr>
        <w:t>Tribunal</w:t>
      </w:r>
      <w:r>
        <w:rPr>
          <w:spacing w:val="-4"/>
          <w:sz w:val="22"/>
        </w:rPr>
        <w:t> </w:t>
      </w:r>
      <w:r>
        <w:rPr>
          <w:sz w:val="22"/>
        </w:rPr>
        <w:t>de</w:t>
      </w:r>
      <w:r>
        <w:rPr>
          <w:spacing w:val="-3"/>
          <w:sz w:val="22"/>
        </w:rPr>
        <w:t> </w:t>
      </w:r>
      <w:r>
        <w:rPr>
          <w:spacing w:val="-2"/>
          <w:sz w:val="22"/>
        </w:rPr>
        <w:t>Cuentas.</w:t>
      </w:r>
    </w:p>
    <w:p>
      <w:pPr>
        <w:pStyle w:val="ListParagraph"/>
        <w:numPr>
          <w:ilvl w:val="1"/>
          <w:numId w:val="10"/>
        </w:numPr>
        <w:tabs>
          <w:tab w:pos="1704" w:val="left" w:leader="none"/>
        </w:tabs>
        <w:spacing w:line="240" w:lineRule="auto" w:before="119" w:after="0"/>
        <w:ind w:left="1704" w:right="0" w:hanging="355"/>
        <w:jc w:val="left"/>
        <w:rPr>
          <w:sz w:val="22"/>
        </w:rPr>
      </w:pPr>
      <w:r>
        <w:rPr>
          <w:sz w:val="22"/>
        </w:rPr>
        <w:t>Ley</w:t>
      </w:r>
      <w:r>
        <w:rPr>
          <w:spacing w:val="-6"/>
          <w:sz w:val="22"/>
        </w:rPr>
        <w:t> </w:t>
      </w:r>
      <w:r>
        <w:rPr>
          <w:sz w:val="22"/>
        </w:rPr>
        <w:t>7/1988,</w:t>
      </w:r>
      <w:r>
        <w:rPr>
          <w:spacing w:val="-3"/>
          <w:sz w:val="22"/>
        </w:rPr>
        <w:t> </w:t>
      </w:r>
      <w:r>
        <w:rPr>
          <w:sz w:val="22"/>
        </w:rPr>
        <w:t>de</w:t>
      </w:r>
      <w:r>
        <w:rPr>
          <w:spacing w:val="-6"/>
          <w:sz w:val="22"/>
        </w:rPr>
        <w:t> </w:t>
      </w:r>
      <w:r>
        <w:rPr>
          <w:sz w:val="22"/>
        </w:rPr>
        <w:t>5</w:t>
      </w:r>
      <w:r>
        <w:rPr>
          <w:spacing w:val="-6"/>
          <w:sz w:val="22"/>
        </w:rPr>
        <w:t> </w:t>
      </w:r>
      <w:r>
        <w:rPr>
          <w:sz w:val="22"/>
        </w:rPr>
        <w:t>de</w:t>
      </w:r>
      <w:r>
        <w:rPr>
          <w:spacing w:val="-4"/>
          <w:sz w:val="22"/>
        </w:rPr>
        <w:t> </w:t>
      </w:r>
      <w:r>
        <w:rPr>
          <w:sz w:val="22"/>
        </w:rPr>
        <w:t>abril,</w:t>
      </w:r>
      <w:r>
        <w:rPr>
          <w:spacing w:val="-3"/>
          <w:sz w:val="22"/>
        </w:rPr>
        <w:t> </w:t>
      </w:r>
      <w:r>
        <w:rPr>
          <w:sz w:val="22"/>
        </w:rPr>
        <w:t>de</w:t>
      </w:r>
      <w:r>
        <w:rPr>
          <w:spacing w:val="-6"/>
          <w:sz w:val="22"/>
        </w:rPr>
        <w:t> </w:t>
      </w:r>
      <w:r>
        <w:rPr>
          <w:sz w:val="22"/>
        </w:rPr>
        <w:t>Funcionamiento</w:t>
      </w:r>
      <w:r>
        <w:rPr>
          <w:spacing w:val="-7"/>
          <w:sz w:val="22"/>
        </w:rPr>
        <w:t> </w:t>
      </w:r>
      <w:r>
        <w:rPr>
          <w:sz w:val="22"/>
        </w:rPr>
        <w:t>del</w:t>
      </w:r>
      <w:r>
        <w:rPr>
          <w:spacing w:val="-7"/>
          <w:sz w:val="22"/>
        </w:rPr>
        <w:t> </w:t>
      </w:r>
      <w:r>
        <w:rPr>
          <w:sz w:val="22"/>
        </w:rPr>
        <w:t>Tribunal</w:t>
      </w:r>
      <w:r>
        <w:rPr>
          <w:spacing w:val="-5"/>
          <w:sz w:val="22"/>
        </w:rPr>
        <w:t> </w:t>
      </w:r>
      <w:r>
        <w:rPr>
          <w:sz w:val="22"/>
        </w:rPr>
        <w:t>de</w:t>
      </w:r>
      <w:r>
        <w:rPr>
          <w:spacing w:val="-4"/>
          <w:sz w:val="22"/>
        </w:rPr>
        <w:t> </w:t>
      </w:r>
      <w:r>
        <w:rPr>
          <w:spacing w:val="-2"/>
          <w:sz w:val="22"/>
        </w:rPr>
        <w:t>Cuentas.</w:t>
      </w:r>
    </w:p>
    <w:p>
      <w:pPr>
        <w:pStyle w:val="ListParagraph"/>
        <w:numPr>
          <w:ilvl w:val="1"/>
          <w:numId w:val="10"/>
        </w:numPr>
        <w:tabs>
          <w:tab w:pos="1704" w:val="left" w:leader="none"/>
        </w:tabs>
        <w:spacing w:line="240" w:lineRule="auto" w:before="122" w:after="0"/>
        <w:ind w:left="1704" w:right="0" w:hanging="355"/>
        <w:jc w:val="left"/>
        <w:rPr>
          <w:sz w:val="22"/>
        </w:rPr>
      </w:pPr>
      <w:r>
        <w:rPr>
          <w:sz w:val="22"/>
        </w:rPr>
        <w:t>Ley</w:t>
      </w:r>
      <w:r>
        <w:rPr>
          <w:spacing w:val="-2"/>
          <w:sz w:val="22"/>
        </w:rPr>
        <w:t> </w:t>
      </w:r>
      <w:r>
        <w:rPr>
          <w:sz w:val="22"/>
        </w:rPr>
        <w:t>2/2011,</w:t>
      </w:r>
      <w:r>
        <w:rPr>
          <w:spacing w:val="-1"/>
          <w:sz w:val="22"/>
        </w:rPr>
        <w:t> </w:t>
      </w:r>
      <w:r>
        <w:rPr>
          <w:sz w:val="22"/>
        </w:rPr>
        <w:t>de</w:t>
      </w:r>
      <w:r>
        <w:rPr>
          <w:spacing w:val="-5"/>
          <w:sz w:val="22"/>
        </w:rPr>
        <w:t> </w:t>
      </w:r>
      <w:r>
        <w:rPr>
          <w:sz w:val="22"/>
        </w:rPr>
        <w:t>4</w:t>
      </w:r>
      <w:r>
        <w:rPr>
          <w:spacing w:val="-5"/>
          <w:sz w:val="22"/>
        </w:rPr>
        <w:t> </w:t>
      </w:r>
      <w:r>
        <w:rPr>
          <w:sz w:val="22"/>
        </w:rPr>
        <w:t>de</w:t>
      </w:r>
      <w:r>
        <w:rPr>
          <w:spacing w:val="-4"/>
          <w:sz w:val="22"/>
        </w:rPr>
        <w:t> </w:t>
      </w:r>
      <w:r>
        <w:rPr>
          <w:sz w:val="22"/>
        </w:rPr>
        <w:t>marzo,</w:t>
      </w:r>
      <w:r>
        <w:rPr>
          <w:spacing w:val="-2"/>
          <w:sz w:val="22"/>
        </w:rPr>
        <w:t> </w:t>
      </w:r>
      <w:r>
        <w:rPr>
          <w:sz w:val="22"/>
        </w:rPr>
        <w:t>de</w:t>
      </w:r>
      <w:r>
        <w:rPr>
          <w:spacing w:val="-5"/>
          <w:sz w:val="22"/>
        </w:rPr>
        <w:t> </w:t>
      </w:r>
      <w:r>
        <w:rPr>
          <w:sz w:val="22"/>
        </w:rPr>
        <w:t>Economía</w:t>
      </w:r>
      <w:r>
        <w:rPr>
          <w:spacing w:val="-4"/>
          <w:sz w:val="22"/>
        </w:rPr>
        <w:t> </w:t>
      </w:r>
      <w:r>
        <w:rPr>
          <w:spacing w:val="-2"/>
          <w:sz w:val="22"/>
        </w:rPr>
        <w:t>Sostenible.</w:t>
      </w:r>
    </w:p>
    <w:p>
      <w:pPr>
        <w:pStyle w:val="ListParagraph"/>
        <w:numPr>
          <w:ilvl w:val="1"/>
          <w:numId w:val="10"/>
        </w:numPr>
        <w:tabs>
          <w:tab w:pos="1704" w:val="left" w:leader="none"/>
        </w:tabs>
        <w:spacing w:line="240" w:lineRule="auto" w:before="119" w:after="0"/>
        <w:ind w:left="1704" w:right="0" w:hanging="355"/>
        <w:jc w:val="left"/>
        <w:rPr>
          <w:sz w:val="22"/>
        </w:rPr>
      </w:pPr>
      <w:r>
        <w:rPr>
          <w:sz w:val="22"/>
        </w:rPr>
        <w:t>Ley</w:t>
      </w:r>
      <w:r>
        <w:rPr>
          <w:spacing w:val="-6"/>
          <w:sz w:val="22"/>
        </w:rPr>
        <w:t> </w:t>
      </w:r>
      <w:r>
        <w:rPr>
          <w:sz w:val="22"/>
        </w:rPr>
        <w:t>7/2021,</w:t>
      </w:r>
      <w:r>
        <w:rPr>
          <w:spacing w:val="-2"/>
          <w:sz w:val="22"/>
        </w:rPr>
        <w:t> </w:t>
      </w:r>
      <w:r>
        <w:rPr>
          <w:sz w:val="22"/>
        </w:rPr>
        <w:t>de</w:t>
      </w:r>
      <w:r>
        <w:rPr>
          <w:spacing w:val="-6"/>
          <w:sz w:val="22"/>
        </w:rPr>
        <w:t> </w:t>
      </w:r>
      <w:r>
        <w:rPr>
          <w:sz w:val="22"/>
        </w:rPr>
        <w:t>20</w:t>
      </w:r>
      <w:r>
        <w:rPr>
          <w:spacing w:val="-7"/>
          <w:sz w:val="22"/>
        </w:rPr>
        <w:t> </w:t>
      </w:r>
      <w:r>
        <w:rPr>
          <w:sz w:val="22"/>
        </w:rPr>
        <w:t>de</w:t>
      </w:r>
      <w:r>
        <w:rPr>
          <w:spacing w:val="-6"/>
          <w:sz w:val="22"/>
        </w:rPr>
        <w:t> </w:t>
      </w:r>
      <w:r>
        <w:rPr>
          <w:sz w:val="22"/>
        </w:rPr>
        <w:t>mayo</w:t>
      </w:r>
      <w:r>
        <w:rPr>
          <w:spacing w:val="-4"/>
          <w:sz w:val="22"/>
        </w:rPr>
        <w:t> </w:t>
      </w:r>
      <w:r>
        <w:rPr>
          <w:sz w:val="22"/>
        </w:rPr>
        <w:t>de</w:t>
      </w:r>
      <w:r>
        <w:rPr>
          <w:spacing w:val="-4"/>
          <w:sz w:val="22"/>
        </w:rPr>
        <w:t> </w:t>
      </w:r>
      <w:r>
        <w:rPr>
          <w:sz w:val="22"/>
        </w:rPr>
        <w:t>cambio</w:t>
      </w:r>
      <w:r>
        <w:rPr>
          <w:spacing w:val="-5"/>
          <w:sz w:val="22"/>
        </w:rPr>
        <w:t> </w:t>
      </w:r>
      <w:r>
        <w:rPr>
          <w:sz w:val="22"/>
        </w:rPr>
        <w:t>climático</w:t>
      </w:r>
      <w:r>
        <w:rPr>
          <w:spacing w:val="-4"/>
          <w:sz w:val="22"/>
        </w:rPr>
        <w:t> </w:t>
      </w:r>
      <w:r>
        <w:rPr>
          <w:sz w:val="22"/>
        </w:rPr>
        <w:t>y</w:t>
      </w:r>
      <w:r>
        <w:rPr>
          <w:spacing w:val="-5"/>
          <w:sz w:val="22"/>
        </w:rPr>
        <w:t> </w:t>
      </w:r>
      <w:r>
        <w:rPr>
          <w:sz w:val="22"/>
        </w:rPr>
        <w:t>transición</w:t>
      </w:r>
      <w:r>
        <w:rPr>
          <w:spacing w:val="-4"/>
          <w:sz w:val="22"/>
        </w:rPr>
        <w:t> </w:t>
      </w:r>
      <w:r>
        <w:rPr>
          <w:spacing w:val="-2"/>
          <w:sz w:val="22"/>
        </w:rPr>
        <w:t>energética.</w:t>
      </w:r>
    </w:p>
    <w:p>
      <w:pPr>
        <w:pStyle w:val="ListParagraph"/>
        <w:numPr>
          <w:ilvl w:val="1"/>
          <w:numId w:val="10"/>
        </w:numPr>
        <w:tabs>
          <w:tab w:pos="1704" w:val="left" w:leader="none"/>
        </w:tabs>
        <w:spacing w:line="240" w:lineRule="auto" w:before="119" w:after="0"/>
        <w:ind w:left="1704" w:right="0" w:hanging="355"/>
        <w:jc w:val="left"/>
        <w:rPr>
          <w:sz w:val="22"/>
        </w:rPr>
      </w:pPr>
      <w:r>
        <w:rPr>
          <w:sz w:val="22"/>
        </w:rPr>
        <w:t>Ley</w:t>
      </w:r>
      <w:r>
        <w:rPr>
          <w:spacing w:val="-7"/>
          <w:sz w:val="22"/>
        </w:rPr>
        <w:t> </w:t>
      </w:r>
      <w:r>
        <w:rPr>
          <w:sz w:val="22"/>
        </w:rPr>
        <w:t>26/2007,</w:t>
      </w:r>
      <w:r>
        <w:rPr>
          <w:spacing w:val="-3"/>
          <w:sz w:val="22"/>
        </w:rPr>
        <w:t> </w:t>
      </w:r>
      <w:r>
        <w:rPr>
          <w:sz w:val="22"/>
        </w:rPr>
        <w:t>de</w:t>
      </w:r>
      <w:r>
        <w:rPr>
          <w:spacing w:val="-7"/>
          <w:sz w:val="22"/>
        </w:rPr>
        <w:t> </w:t>
      </w:r>
      <w:r>
        <w:rPr>
          <w:sz w:val="22"/>
        </w:rPr>
        <w:t>23</w:t>
      </w:r>
      <w:r>
        <w:rPr>
          <w:spacing w:val="-7"/>
          <w:sz w:val="22"/>
        </w:rPr>
        <w:t> </w:t>
      </w:r>
      <w:r>
        <w:rPr>
          <w:sz w:val="22"/>
        </w:rPr>
        <w:t>de</w:t>
      </w:r>
      <w:r>
        <w:rPr>
          <w:spacing w:val="-5"/>
          <w:sz w:val="22"/>
        </w:rPr>
        <w:t> </w:t>
      </w:r>
      <w:r>
        <w:rPr>
          <w:sz w:val="22"/>
        </w:rPr>
        <w:t>octubre,</w:t>
      </w:r>
      <w:r>
        <w:rPr>
          <w:spacing w:val="-3"/>
          <w:sz w:val="22"/>
        </w:rPr>
        <w:t> </w:t>
      </w:r>
      <w:r>
        <w:rPr>
          <w:sz w:val="22"/>
        </w:rPr>
        <w:t>de</w:t>
      </w:r>
      <w:r>
        <w:rPr>
          <w:spacing w:val="-7"/>
          <w:sz w:val="22"/>
        </w:rPr>
        <w:t> </w:t>
      </w:r>
      <w:r>
        <w:rPr>
          <w:sz w:val="22"/>
        </w:rPr>
        <w:t>Responsabilidad</w:t>
      </w:r>
      <w:r>
        <w:rPr>
          <w:spacing w:val="-5"/>
          <w:sz w:val="22"/>
        </w:rPr>
        <w:t> </w:t>
      </w:r>
      <w:r>
        <w:rPr>
          <w:spacing w:val="-2"/>
          <w:sz w:val="22"/>
        </w:rPr>
        <w:t>Medioambiental.</w:t>
      </w:r>
    </w:p>
    <w:p>
      <w:pPr>
        <w:pStyle w:val="ListParagraph"/>
        <w:numPr>
          <w:ilvl w:val="1"/>
          <w:numId w:val="10"/>
        </w:numPr>
        <w:tabs>
          <w:tab w:pos="1704" w:val="left" w:leader="none"/>
        </w:tabs>
        <w:spacing w:line="240" w:lineRule="auto" w:before="121" w:after="0"/>
        <w:ind w:left="1704" w:right="0" w:hanging="355"/>
        <w:jc w:val="left"/>
        <w:rPr>
          <w:sz w:val="22"/>
        </w:rPr>
      </w:pPr>
      <w:r>
        <w:rPr>
          <w:sz w:val="22"/>
        </w:rPr>
        <w:t>Ley</w:t>
      </w:r>
      <w:r>
        <w:rPr>
          <w:spacing w:val="-6"/>
          <w:sz w:val="22"/>
        </w:rPr>
        <w:t> </w:t>
      </w:r>
      <w:r>
        <w:rPr>
          <w:sz w:val="22"/>
        </w:rPr>
        <w:t>34/2007,</w:t>
      </w:r>
      <w:r>
        <w:rPr>
          <w:spacing w:val="-2"/>
          <w:sz w:val="22"/>
        </w:rPr>
        <w:t> </w:t>
      </w:r>
      <w:r>
        <w:rPr>
          <w:sz w:val="22"/>
        </w:rPr>
        <w:t>de</w:t>
      </w:r>
      <w:r>
        <w:rPr>
          <w:spacing w:val="-6"/>
          <w:sz w:val="22"/>
        </w:rPr>
        <w:t> </w:t>
      </w:r>
      <w:r>
        <w:rPr>
          <w:sz w:val="22"/>
        </w:rPr>
        <w:t>15</w:t>
      </w:r>
      <w:r>
        <w:rPr>
          <w:spacing w:val="-6"/>
          <w:sz w:val="22"/>
        </w:rPr>
        <w:t> </w:t>
      </w:r>
      <w:r>
        <w:rPr>
          <w:sz w:val="22"/>
        </w:rPr>
        <w:t>de</w:t>
      </w:r>
      <w:r>
        <w:rPr>
          <w:spacing w:val="-4"/>
          <w:sz w:val="22"/>
        </w:rPr>
        <w:t> </w:t>
      </w:r>
      <w:r>
        <w:rPr>
          <w:sz w:val="22"/>
        </w:rPr>
        <w:t>noviembre,</w:t>
      </w:r>
      <w:r>
        <w:rPr>
          <w:spacing w:val="-5"/>
          <w:sz w:val="22"/>
        </w:rPr>
        <w:t> </w:t>
      </w:r>
      <w:r>
        <w:rPr>
          <w:sz w:val="22"/>
        </w:rPr>
        <w:t>de</w:t>
      </w:r>
      <w:r>
        <w:rPr>
          <w:spacing w:val="-5"/>
          <w:sz w:val="22"/>
        </w:rPr>
        <w:t> </w:t>
      </w:r>
      <w:r>
        <w:rPr>
          <w:sz w:val="22"/>
        </w:rPr>
        <w:t>calidad</w:t>
      </w:r>
      <w:r>
        <w:rPr>
          <w:spacing w:val="-4"/>
          <w:sz w:val="22"/>
        </w:rPr>
        <w:t> </w:t>
      </w:r>
      <w:r>
        <w:rPr>
          <w:sz w:val="22"/>
        </w:rPr>
        <w:t>del</w:t>
      </w:r>
      <w:r>
        <w:rPr>
          <w:spacing w:val="-7"/>
          <w:sz w:val="22"/>
        </w:rPr>
        <w:t> </w:t>
      </w:r>
      <w:r>
        <w:rPr>
          <w:sz w:val="22"/>
        </w:rPr>
        <w:t>aire</w:t>
      </w:r>
      <w:r>
        <w:rPr>
          <w:spacing w:val="-4"/>
          <w:sz w:val="22"/>
        </w:rPr>
        <w:t> </w:t>
      </w:r>
      <w:r>
        <w:rPr>
          <w:sz w:val="22"/>
        </w:rPr>
        <w:t>y</w:t>
      </w:r>
      <w:r>
        <w:rPr>
          <w:spacing w:val="-3"/>
          <w:sz w:val="22"/>
        </w:rPr>
        <w:t> </w:t>
      </w:r>
      <w:r>
        <w:rPr>
          <w:sz w:val="22"/>
        </w:rPr>
        <w:t>protección</w:t>
      </w:r>
      <w:r>
        <w:rPr>
          <w:spacing w:val="-4"/>
          <w:sz w:val="22"/>
        </w:rPr>
        <w:t> </w:t>
      </w:r>
      <w:r>
        <w:rPr>
          <w:spacing w:val="-2"/>
          <w:sz w:val="22"/>
        </w:rPr>
        <w:t>atmosférica.</w:t>
      </w:r>
    </w:p>
    <w:p>
      <w:pPr>
        <w:pStyle w:val="ListParagraph"/>
        <w:spacing w:after="0" w:line="240" w:lineRule="auto"/>
        <w:jc w:val="left"/>
        <w:rPr>
          <w:sz w:val="22"/>
        </w:rPr>
        <w:sectPr>
          <w:headerReference w:type="default" r:id="rId68"/>
          <w:headerReference w:type="even" r:id="rId69"/>
          <w:footerReference w:type="default" r:id="rId70"/>
          <w:footerReference w:type="even" r:id="rId71"/>
          <w:pgSz w:w="11910" w:h="16840"/>
          <w:pgMar w:header="1270" w:footer="683" w:top="2800" w:bottom="880" w:left="141" w:right="141"/>
          <w:pgNumType w:start="107"/>
        </w:sectPr>
      </w:pPr>
    </w:p>
    <w:p>
      <w:pPr>
        <w:pStyle w:val="BodyText"/>
        <w:spacing w:before="228"/>
      </w:pPr>
    </w:p>
    <w:p>
      <w:pPr>
        <w:pStyle w:val="ListParagraph"/>
        <w:numPr>
          <w:ilvl w:val="1"/>
          <w:numId w:val="10"/>
        </w:numPr>
        <w:tabs>
          <w:tab w:pos="1704" w:val="left" w:leader="none"/>
        </w:tabs>
        <w:spacing w:line="240" w:lineRule="auto" w:before="0" w:after="0"/>
        <w:ind w:left="1704" w:right="0" w:hanging="355"/>
        <w:jc w:val="both"/>
        <w:rPr>
          <w:sz w:val="22"/>
        </w:rPr>
      </w:pPr>
      <w:r>
        <w:rPr>
          <w:sz w:val="22"/>
        </w:rPr>
        <w:t>Ley</w:t>
      </w:r>
      <w:r>
        <w:rPr>
          <w:spacing w:val="-5"/>
          <w:sz w:val="22"/>
        </w:rPr>
        <w:t> </w:t>
      </w:r>
      <w:r>
        <w:rPr>
          <w:sz w:val="22"/>
        </w:rPr>
        <w:t>7/2022,</w:t>
      </w:r>
      <w:r>
        <w:rPr>
          <w:spacing w:val="-2"/>
          <w:sz w:val="22"/>
        </w:rPr>
        <w:t> </w:t>
      </w:r>
      <w:r>
        <w:rPr>
          <w:sz w:val="22"/>
        </w:rPr>
        <w:t>de</w:t>
      </w:r>
      <w:r>
        <w:rPr>
          <w:spacing w:val="-6"/>
          <w:sz w:val="22"/>
        </w:rPr>
        <w:t> </w:t>
      </w:r>
      <w:r>
        <w:rPr>
          <w:sz w:val="22"/>
        </w:rPr>
        <w:t>8</w:t>
      </w:r>
      <w:r>
        <w:rPr>
          <w:spacing w:val="-6"/>
          <w:sz w:val="22"/>
        </w:rPr>
        <w:t> </w:t>
      </w:r>
      <w:r>
        <w:rPr>
          <w:sz w:val="22"/>
        </w:rPr>
        <w:t>de</w:t>
      </w:r>
      <w:r>
        <w:rPr>
          <w:spacing w:val="-4"/>
          <w:sz w:val="22"/>
        </w:rPr>
        <w:t> </w:t>
      </w:r>
      <w:r>
        <w:rPr>
          <w:sz w:val="22"/>
        </w:rPr>
        <w:t>abril,</w:t>
      </w:r>
      <w:r>
        <w:rPr>
          <w:spacing w:val="-2"/>
          <w:sz w:val="22"/>
        </w:rPr>
        <w:t> </w:t>
      </w:r>
      <w:r>
        <w:rPr>
          <w:sz w:val="22"/>
        </w:rPr>
        <w:t>de</w:t>
      </w:r>
      <w:r>
        <w:rPr>
          <w:spacing w:val="-6"/>
          <w:sz w:val="22"/>
        </w:rPr>
        <w:t> </w:t>
      </w:r>
      <w:r>
        <w:rPr>
          <w:sz w:val="22"/>
        </w:rPr>
        <w:t>residuos</w:t>
      </w:r>
      <w:r>
        <w:rPr>
          <w:spacing w:val="-5"/>
          <w:sz w:val="22"/>
        </w:rPr>
        <w:t> </w:t>
      </w:r>
      <w:r>
        <w:rPr>
          <w:sz w:val="22"/>
        </w:rPr>
        <w:t>y</w:t>
      </w:r>
      <w:r>
        <w:rPr>
          <w:spacing w:val="-3"/>
          <w:sz w:val="22"/>
        </w:rPr>
        <w:t> </w:t>
      </w:r>
      <w:r>
        <w:rPr>
          <w:sz w:val="22"/>
        </w:rPr>
        <w:t>suelos</w:t>
      </w:r>
      <w:r>
        <w:rPr>
          <w:spacing w:val="-4"/>
          <w:sz w:val="22"/>
        </w:rPr>
        <w:t> </w:t>
      </w:r>
      <w:r>
        <w:rPr>
          <w:sz w:val="22"/>
        </w:rPr>
        <w:t>contaminados</w:t>
      </w:r>
      <w:r>
        <w:rPr>
          <w:spacing w:val="-6"/>
          <w:sz w:val="22"/>
        </w:rPr>
        <w:t> </w:t>
      </w:r>
      <w:r>
        <w:rPr>
          <w:sz w:val="22"/>
        </w:rPr>
        <w:t>para</w:t>
      </w:r>
      <w:r>
        <w:rPr>
          <w:spacing w:val="-6"/>
          <w:sz w:val="22"/>
        </w:rPr>
        <w:t> </w:t>
      </w:r>
      <w:r>
        <w:rPr>
          <w:sz w:val="22"/>
        </w:rPr>
        <w:t>una</w:t>
      </w:r>
      <w:r>
        <w:rPr>
          <w:spacing w:val="-4"/>
          <w:sz w:val="22"/>
        </w:rPr>
        <w:t> </w:t>
      </w:r>
      <w:r>
        <w:rPr>
          <w:sz w:val="22"/>
        </w:rPr>
        <w:t>economía</w:t>
      </w:r>
      <w:r>
        <w:rPr>
          <w:spacing w:val="-5"/>
          <w:sz w:val="22"/>
        </w:rPr>
        <w:t> </w:t>
      </w:r>
      <w:r>
        <w:rPr>
          <w:spacing w:val="-2"/>
          <w:sz w:val="22"/>
        </w:rPr>
        <w:t>circular.</w:t>
      </w:r>
    </w:p>
    <w:p>
      <w:pPr>
        <w:pStyle w:val="ListParagraph"/>
        <w:numPr>
          <w:ilvl w:val="1"/>
          <w:numId w:val="10"/>
        </w:numPr>
        <w:tabs>
          <w:tab w:pos="1705" w:val="left" w:leader="none"/>
        </w:tabs>
        <w:spacing w:line="240" w:lineRule="auto" w:before="119" w:after="0"/>
        <w:ind w:left="1705" w:right="993" w:hanging="356"/>
        <w:jc w:val="both"/>
        <w:rPr>
          <w:sz w:val="22"/>
        </w:rPr>
      </w:pPr>
      <w:r>
        <w:rPr>
          <w:sz w:val="22"/>
        </w:rPr>
        <w:t>Ley 27/2007, de</w:t>
      </w:r>
      <w:r>
        <w:rPr>
          <w:spacing w:val="-2"/>
          <w:sz w:val="22"/>
        </w:rPr>
        <w:t> </w:t>
      </w:r>
      <w:r>
        <w:rPr>
          <w:sz w:val="22"/>
        </w:rPr>
        <w:t>23 de octubre, por la que</w:t>
      </w:r>
      <w:r>
        <w:rPr>
          <w:spacing w:val="-2"/>
          <w:sz w:val="22"/>
        </w:rPr>
        <w:t> </w:t>
      </w:r>
      <w:r>
        <w:rPr>
          <w:sz w:val="22"/>
        </w:rPr>
        <w:t>se reconocen las lenguas de</w:t>
      </w:r>
      <w:r>
        <w:rPr>
          <w:spacing w:val="-2"/>
          <w:sz w:val="22"/>
        </w:rPr>
        <w:t> </w:t>
      </w:r>
      <w:r>
        <w:rPr>
          <w:sz w:val="22"/>
        </w:rPr>
        <w:t>signos españolas y se regulan los medios de apoyo a la comunicación oral de las personas sordas, con discapacidad auditiva y sordociegas.</w:t>
      </w:r>
    </w:p>
    <w:p>
      <w:pPr>
        <w:pStyle w:val="ListParagraph"/>
        <w:numPr>
          <w:ilvl w:val="1"/>
          <w:numId w:val="10"/>
        </w:numPr>
        <w:tabs>
          <w:tab w:pos="1704" w:val="left" w:leader="none"/>
        </w:tabs>
        <w:spacing w:line="240" w:lineRule="auto" w:before="119" w:after="0"/>
        <w:ind w:left="1704" w:right="0" w:hanging="355"/>
        <w:jc w:val="both"/>
        <w:rPr>
          <w:sz w:val="22"/>
        </w:rPr>
      </w:pPr>
      <w:r>
        <w:rPr>
          <w:sz w:val="22"/>
        </w:rPr>
        <w:t>Ley</w:t>
      </w:r>
      <w:r>
        <w:rPr>
          <w:spacing w:val="-5"/>
          <w:sz w:val="22"/>
        </w:rPr>
        <w:t> </w:t>
      </w:r>
      <w:r>
        <w:rPr>
          <w:sz w:val="22"/>
        </w:rPr>
        <w:t>Orgánica</w:t>
      </w:r>
      <w:r>
        <w:rPr>
          <w:spacing w:val="-4"/>
          <w:sz w:val="22"/>
        </w:rPr>
        <w:t> </w:t>
      </w:r>
      <w:r>
        <w:rPr>
          <w:sz w:val="22"/>
        </w:rPr>
        <w:t>3/2007,</w:t>
      </w:r>
      <w:r>
        <w:rPr>
          <w:spacing w:val="-5"/>
          <w:sz w:val="22"/>
        </w:rPr>
        <w:t> </w:t>
      </w:r>
      <w:r>
        <w:rPr>
          <w:sz w:val="22"/>
        </w:rPr>
        <w:t>de</w:t>
      </w:r>
      <w:r>
        <w:rPr>
          <w:spacing w:val="-6"/>
          <w:sz w:val="22"/>
        </w:rPr>
        <w:t> </w:t>
      </w:r>
      <w:r>
        <w:rPr>
          <w:sz w:val="22"/>
        </w:rPr>
        <w:t>22</w:t>
      </w:r>
      <w:r>
        <w:rPr>
          <w:spacing w:val="-3"/>
          <w:sz w:val="22"/>
        </w:rPr>
        <w:t> </w:t>
      </w:r>
      <w:r>
        <w:rPr>
          <w:sz w:val="22"/>
        </w:rPr>
        <w:t>de</w:t>
      </w:r>
      <w:r>
        <w:rPr>
          <w:spacing w:val="-6"/>
          <w:sz w:val="22"/>
        </w:rPr>
        <w:t> </w:t>
      </w:r>
      <w:r>
        <w:rPr>
          <w:sz w:val="22"/>
        </w:rPr>
        <w:t>marzo,</w:t>
      </w:r>
      <w:r>
        <w:rPr>
          <w:spacing w:val="-5"/>
          <w:sz w:val="22"/>
        </w:rPr>
        <w:t> </w:t>
      </w:r>
      <w:r>
        <w:rPr>
          <w:sz w:val="22"/>
        </w:rPr>
        <w:t>para</w:t>
      </w:r>
      <w:r>
        <w:rPr>
          <w:spacing w:val="-4"/>
          <w:sz w:val="22"/>
        </w:rPr>
        <w:t> </w:t>
      </w:r>
      <w:r>
        <w:rPr>
          <w:sz w:val="22"/>
        </w:rPr>
        <w:t>la</w:t>
      </w:r>
      <w:r>
        <w:rPr>
          <w:spacing w:val="-4"/>
          <w:sz w:val="22"/>
        </w:rPr>
        <w:t> </w:t>
      </w:r>
      <w:r>
        <w:rPr>
          <w:sz w:val="22"/>
        </w:rPr>
        <w:t>igualdad</w:t>
      </w:r>
      <w:r>
        <w:rPr>
          <w:spacing w:val="-3"/>
          <w:sz w:val="22"/>
        </w:rPr>
        <w:t> </w:t>
      </w:r>
      <w:r>
        <w:rPr>
          <w:sz w:val="22"/>
        </w:rPr>
        <w:t>efectiva</w:t>
      </w:r>
      <w:r>
        <w:rPr>
          <w:spacing w:val="-6"/>
          <w:sz w:val="22"/>
        </w:rPr>
        <w:t> </w:t>
      </w:r>
      <w:r>
        <w:rPr>
          <w:sz w:val="22"/>
        </w:rPr>
        <w:t>de</w:t>
      </w:r>
      <w:r>
        <w:rPr>
          <w:spacing w:val="-6"/>
          <w:sz w:val="22"/>
        </w:rPr>
        <w:t> </w:t>
      </w:r>
      <w:r>
        <w:rPr>
          <w:sz w:val="22"/>
        </w:rPr>
        <w:t>mujeres</w:t>
      </w:r>
      <w:r>
        <w:rPr>
          <w:spacing w:val="-3"/>
          <w:sz w:val="22"/>
        </w:rPr>
        <w:t> </w:t>
      </w:r>
      <w:r>
        <w:rPr>
          <w:sz w:val="22"/>
        </w:rPr>
        <w:t>y</w:t>
      </w:r>
      <w:r>
        <w:rPr>
          <w:spacing w:val="-2"/>
          <w:sz w:val="22"/>
        </w:rPr>
        <w:t> hombres.</w:t>
      </w:r>
    </w:p>
    <w:p>
      <w:pPr>
        <w:pStyle w:val="ListParagraph"/>
        <w:numPr>
          <w:ilvl w:val="1"/>
          <w:numId w:val="10"/>
        </w:numPr>
        <w:tabs>
          <w:tab w:pos="1705" w:val="left" w:leader="none"/>
        </w:tabs>
        <w:spacing w:line="240" w:lineRule="auto" w:before="122" w:after="0"/>
        <w:ind w:left="1705" w:right="996" w:hanging="356"/>
        <w:jc w:val="both"/>
        <w:rPr>
          <w:sz w:val="22"/>
        </w:rPr>
      </w:pPr>
      <w:r>
        <w:rPr>
          <w:sz w:val="22"/>
        </w:rPr>
        <w:t>Ley</w:t>
      </w:r>
      <w:r>
        <w:rPr>
          <w:spacing w:val="-2"/>
          <w:sz w:val="22"/>
        </w:rPr>
        <w:t> </w:t>
      </w:r>
      <w:r>
        <w:rPr>
          <w:sz w:val="22"/>
        </w:rPr>
        <w:t>19/2013,</w:t>
      </w:r>
      <w:r>
        <w:rPr>
          <w:spacing w:val="-1"/>
          <w:sz w:val="22"/>
        </w:rPr>
        <w:t> </w:t>
      </w:r>
      <w:r>
        <w:rPr>
          <w:sz w:val="22"/>
        </w:rPr>
        <w:t>de</w:t>
      </w:r>
      <w:r>
        <w:rPr>
          <w:spacing w:val="-3"/>
          <w:sz w:val="22"/>
        </w:rPr>
        <w:t> </w:t>
      </w:r>
      <w:r>
        <w:rPr>
          <w:sz w:val="22"/>
        </w:rPr>
        <w:t>9</w:t>
      </w:r>
      <w:r>
        <w:rPr>
          <w:spacing w:val="-3"/>
          <w:sz w:val="22"/>
        </w:rPr>
        <w:t> </w:t>
      </w:r>
      <w:r>
        <w:rPr>
          <w:sz w:val="22"/>
        </w:rPr>
        <w:t>de</w:t>
      </w:r>
      <w:r>
        <w:rPr>
          <w:spacing w:val="-3"/>
          <w:sz w:val="22"/>
        </w:rPr>
        <w:t> </w:t>
      </w:r>
      <w:r>
        <w:rPr>
          <w:sz w:val="22"/>
        </w:rPr>
        <w:t>diciembre,</w:t>
      </w:r>
      <w:r>
        <w:rPr>
          <w:spacing w:val="-4"/>
          <w:sz w:val="22"/>
        </w:rPr>
        <w:t> </w:t>
      </w:r>
      <w:r>
        <w:rPr>
          <w:sz w:val="22"/>
        </w:rPr>
        <w:t>de</w:t>
      </w:r>
      <w:r>
        <w:rPr>
          <w:spacing w:val="-3"/>
          <w:sz w:val="22"/>
        </w:rPr>
        <w:t> </w:t>
      </w:r>
      <w:r>
        <w:rPr>
          <w:sz w:val="22"/>
        </w:rPr>
        <w:t>Transparencia,</w:t>
      </w:r>
      <w:r>
        <w:rPr>
          <w:spacing w:val="-2"/>
          <w:sz w:val="22"/>
        </w:rPr>
        <w:t> </w:t>
      </w:r>
      <w:r>
        <w:rPr>
          <w:sz w:val="22"/>
        </w:rPr>
        <w:t>Acceso</w:t>
      </w:r>
      <w:r>
        <w:rPr>
          <w:spacing w:val="-3"/>
          <w:sz w:val="22"/>
        </w:rPr>
        <w:t> </w:t>
      </w:r>
      <w:r>
        <w:rPr>
          <w:sz w:val="22"/>
        </w:rPr>
        <w:t>a</w:t>
      </w:r>
      <w:r>
        <w:rPr>
          <w:spacing w:val="-5"/>
          <w:sz w:val="22"/>
        </w:rPr>
        <w:t> </w:t>
      </w:r>
      <w:r>
        <w:rPr>
          <w:sz w:val="22"/>
        </w:rPr>
        <w:t>la</w:t>
      </w:r>
      <w:r>
        <w:rPr>
          <w:spacing w:val="-3"/>
          <w:sz w:val="22"/>
        </w:rPr>
        <w:t> </w:t>
      </w:r>
      <w:r>
        <w:rPr>
          <w:sz w:val="22"/>
        </w:rPr>
        <w:t>Información</w:t>
      </w:r>
      <w:r>
        <w:rPr>
          <w:spacing w:val="-3"/>
          <w:sz w:val="22"/>
        </w:rPr>
        <w:t> </w:t>
      </w:r>
      <w:r>
        <w:rPr>
          <w:sz w:val="22"/>
        </w:rPr>
        <w:t>Pública</w:t>
      </w:r>
      <w:r>
        <w:rPr>
          <w:spacing w:val="-3"/>
          <w:sz w:val="22"/>
        </w:rPr>
        <w:t> </w:t>
      </w:r>
      <w:r>
        <w:rPr>
          <w:sz w:val="22"/>
        </w:rPr>
        <w:t>y</w:t>
      </w:r>
      <w:r>
        <w:rPr>
          <w:spacing w:val="-2"/>
          <w:sz w:val="22"/>
        </w:rPr>
        <w:t> </w:t>
      </w:r>
      <w:r>
        <w:rPr>
          <w:sz w:val="22"/>
        </w:rPr>
        <w:t>Buen </w:t>
      </w:r>
      <w:r>
        <w:rPr>
          <w:spacing w:val="-2"/>
          <w:sz w:val="22"/>
        </w:rPr>
        <w:t>Gobierno.</w:t>
      </w:r>
    </w:p>
    <w:p>
      <w:pPr>
        <w:pStyle w:val="ListParagraph"/>
        <w:numPr>
          <w:ilvl w:val="1"/>
          <w:numId w:val="10"/>
        </w:numPr>
        <w:tabs>
          <w:tab w:pos="1705" w:val="left" w:leader="none"/>
        </w:tabs>
        <w:spacing w:line="240" w:lineRule="auto" w:before="121" w:after="0"/>
        <w:ind w:left="1705" w:right="996" w:hanging="356"/>
        <w:jc w:val="both"/>
        <w:rPr>
          <w:sz w:val="22"/>
        </w:rPr>
      </w:pPr>
      <w:r>
        <w:rPr>
          <w:sz w:val="22"/>
        </w:rPr>
        <w:t>Ley 27/2006, de</w:t>
      </w:r>
      <w:r>
        <w:rPr>
          <w:spacing w:val="-2"/>
          <w:sz w:val="22"/>
        </w:rPr>
        <w:t> </w:t>
      </w:r>
      <w:r>
        <w:rPr>
          <w:sz w:val="22"/>
        </w:rPr>
        <w:t>18 de</w:t>
      </w:r>
      <w:r>
        <w:rPr>
          <w:spacing w:val="-2"/>
          <w:sz w:val="22"/>
        </w:rPr>
        <w:t> </w:t>
      </w:r>
      <w:r>
        <w:rPr>
          <w:sz w:val="22"/>
        </w:rPr>
        <w:t>julio, por la que</w:t>
      </w:r>
      <w:r>
        <w:rPr>
          <w:spacing w:val="-2"/>
          <w:sz w:val="22"/>
        </w:rPr>
        <w:t> </w:t>
      </w:r>
      <w:r>
        <w:rPr>
          <w:sz w:val="22"/>
        </w:rPr>
        <w:t>se</w:t>
      </w:r>
      <w:r>
        <w:rPr>
          <w:spacing w:val="-2"/>
          <w:sz w:val="22"/>
        </w:rPr>
        <w:t> </w:t>
      </w:r>
      <w:r>
        <w:rPr>
          <w:sz w:val="22"/>
        </w:rPr>
        <w:t>regulan</w:t>
      </w:r>
      <w:r>
        <w:rPr>
          <w:spacing w:val="-2"/>
          <w:sz w:val="22"/>
        </w:rPr>
        <w:t> </w:t>
      </w:r>
      <w:r>
        <w:rPr>
          <w:sz w:val="22"/>
        </w:rPr>
        <w:t>los derechos de acceso</w:t>
      </w:r>
      <w:r>
        <w:rPr>
          <w:spacing w:val="-2"/>
          <w:sz w:val="22"/>
        </w:rPr>
        <w:t> </w:t>
      </w:r>
      <w:r>
        <w:rPr>
          <w:sz w:val="22"/>
        </w:rPr>
        <w:t>a la información, de participación pública y de acceso a la justicia en materia de medio ambiente.</w:t>
      </w:r>
    </w:p>
    <w:p>
      <w:pPr>
        <w:pStyle w:val="ListParagraph"/>
        <w:numPr>
          <w:ilvl w:val="1"/>
          <w:numId w:val="10"/>
        </w:numPr>
        <w:tabs>
          <w:tab w:pos="1705" w:val="left" w:leader="none"/>
        </w:tabs>
        <w:spacing w:line="240" w:lineRule="auto" w:before="118" w:after="0"/>
        <w:ind w:left="1705" w:right="989" w:hanging="356"/>
        <w:jc w:val="both"/>
        <w:rPr>
          <w:sz w:val="22"/>
        </w:rPr>
      </w:pPr>
      <w:r>
        <w:rPr>
          <w:sz w:val="22"/>
        </w:rPr>
        <w:t>Real Decreto Legislativo 1/2013, de 29 de noviembre, por el que se aprueba el Texto Refundido</w:t>
      </w:r>
      <w:r>
        <w:rPr>
          <w:spacing w:val="-16"/>
          <w:sz w:val="22"/>
        </w:rPr>
        <w:t> </w:t>
      </w:r>
      <w:r>
        <w:rPr>
          <w:sz w:val="22"/>
        </w:rPr>
        <w:t>de</w:t>
      </w:r>
      <w:r>
        <w:rPr>
          <w:spacing w:val="-15"/>
          <w:sz w:val="22"/>
        </w:rPr>
        <w:t> </w:t>
      </w:r>
      <w:r>
        <w:rPr>
          <w:sz w:val="22"/>
        </w:rPr>
        <w:t>la</w:t>
      </w:r>
      <w:r>
        <w:rPr>
          <w:spacing w:val="-15"/>
          <w:sz w:val="22"/>
        </w:rPr>
        <w:t> </w:t>
      </w:r>
      <w:r>
        <w:rPr>
          <w:sz w:val="22"/>
        </w:rPr>
        <w:t>Ley</w:t>
      </w:r>
      <w:r>
        <w:rPr>
          <w:spacing w:val="-16"/>
          <w:sz w:val="22"/>
        </w:rPr>
        <w:t> </w:t>
      </w:r>
      <w:r>
        <w:rPr>
          <w:sz w:val="22"/>
        </w:rPr>
        <w:t>General</w:t>
      </w:r>
      <w:r>
        <w:rPr>
          <w:spacing w:val="-15"/>
          <w:sz w:val="22"/>
        </w:rPr>
        <w:t> </w:t>
      </w:r>
      <w:r>
        <w:rPr>
          <w:sz w:val="22"/>
        </w:rPr>
        <w:t>de</w:t>
      </w:r>
      <w:r>
        <w:rPr>
          <w:spacing w:val="-15"/>
          <w:sz w:val="22"/>
        </w:rPr>
        <w:t> </w:t>
      </w:r>
      <w:r>
        <w:rPr>
          <w:sz w:val="22"/>
        </w:rPr>
        <w:t>derechos</w:t>
      </w:r>
      <w:r>
        <w:rPr>
          <w:spacing w:val="-15"/>
          <w:sz w:val="22"/>
        </w:rPr>
        <w:t> </w:t>
      </w:r>
      <w:r>
        <w:rPr>
          <w:sz w:val="22"/>
        </w:rPr>
        <w:t>de</w:t>
      </w:r>
      <w:r>
        <w:rPr>
          <w:spacing w:val="-16"/>
          <w:sz w:val="22"/>
        </w:rPr>
        <w:t> </w:t>
      </w:r>
      <w:r>
        <w:rPr>
          <w:sz w:val="22"/>
        </w:rPr>
        <w:t>las</w:t>
      </w:r>
      <w:r>
        <w:rPr>
          <w:spacing w:val="-15"/>
          <w:sz w:val="22"/>
        </w:rPr>
        <w:t> </w:t>
      </w:r>
      <w:r>
        <w:rPr>
          <w:sz w:val="22"/>
        </w:rPr>
        <w:t>personas</w:t>
      </w:r>
      <w:r>
        <w:rPr>
          <w:spacing w:val="-15"/>
          <w:sz w:val="22"/>
        </w:rPr>
        <w:t> </w:t>
      </w:r>
      <w:r>
        <w:rPr>
          <w:sz w:val="22"/>
        </w:rPr>
        <w:t>con</w:t>
      </w:r>
      <w:r>
        <w:rPr>
          <w:spacing w:val="-16"/>
          <w:sz w:val="22"/>
        </w:rPr>
        <w:t> </w:t>
      </w:r>
      <w:r>
        <w:rPr>
          <w:sz w:val="22"/>
        </w:rPr>
        <w:t>discapacidad</w:t>
      </w:r>
      <w:r>
        <w:rPr>
          <w:spacing w:val="-15"/>
          <w:sz w:val="22"/>
        </w:rPr>
        <w:t> </w:t>
      </w:r>
      <w:r>
        <w:rPr>
          <w:sz w:val="22"/>
        </w:rPr>
        <w:t>y</w:t>
      </w:r>
      <w:r>
        <w:rPr>
          <w:spacing w:val="-15"/>
          <w:sz w:val="22"/>
        </w:rPr>
        <w:t> </w:t>
      </w:r>
      <w:r>
        <w:rPr>
          <w:sz w:val="22"/>
        </w:rPr>
        <w:t>de</w:t>
      </w:r>
      <w:r>
        <w:rPr>
          <w:spacing w:val="-15"/>
          <w:sz w:val="22"/>
        </w:rPr>
        <w:t> </w:t>
      </w:r>
      <w:r>
        <w:rPr>
          <w:sz w:val="22"/>
        </w:rPr>
        <w:t>su</w:t>
      </w:r>
      <w:r>
        <w:rPr>
          <w:spacing w:val="-16"/>
          <w:sz w:val="22"/>
        </w:rPr>
        <w:t> </w:t>
      </w:r>
      <w:r>
        <w:rPr>
          <w:sz w:val="22"/>
        </w:rPr>
        <w:t>inclusión </w:t>
      </w:r>
      <w:r>
        <w:rPr>
          <w:spacing w:val="-2"/>
          <w:sz w:val="22"/>
        </w:rPr>
        <w:t>social.</w:t>
      </w:r>
    </w:p>
    <w:p>
      <w:pPr>
        <w:pStyle w:val="ListParagraph"/>
        <w:numPr>
          <w:ilvl w:val="1"/>
          <w:numId w:val="10"/>
        </w:numPr>
        <w:tabs>
          <w:tab w:pos="1705" w:val="left" w:leader="none"/>
        </w:tabs>
        <w:spacing w:line="240" w:lineRule="auto" w:before="122" w:after="0"/>
        <w:ind w:left="1705" w:right="994" w:hanging="356"/>
        <w:jc w:val="both"/>
        <w:rPr>
          <w:sz w:val="22"/>
        </w:rPr>
      </w:pPr>
      <w:r>
        <w:rPr>
          <w:sz w:val="22"/>
        </w:rPr>
        <w:t>Real Decreto Legislativo 2/2004, de 5 de marzo, por el que se aprueba el Texto Refundido de la Ley Reguladora de Haciendas Locales.</w:t>
      </w:r>
    </w:p>
    <w:p>
      <w:pPr>
        <w:pStyle w:val="ListParagraph"/>
        <w:numPr>
          <w:ilvl w:val="1"/>
          <w:numId w:val="10"/>
        </w:numPr>
        <w:tabs>
          <w:tab w:pos="1705" w:val="left" w:leader="none"/>
        </w:tabs>
        <w:spacing w:line="240" w:lineRule="auto" w:before="118" w:after="0"/>
        <w:ind w:left="1705" w:right="994" w:hanging="356"/>
        <w:jc w:val="both"/>
        <w:rPr>
          <w:sz w:val="22"/>
        </w:rPr>
      </w:pPr>
      <w:r>
        <w:rPr>
          <w:sz w:val="22"/>
        </w:rPr>
        <w:t>Real Decreto</w:t>
      </w:r>
      <w:r>
        <w:rPr>
          <w:spacing w:val="-2"/>
          <w:sz w:val="22"/>
        </w:rPr>
        <w:t> </w:t>
      </w:r>
      <w:r>
        <w:rPr>
          <w:sz w:val="22"/>
        </w:rPr>
        <w:t>Ley</w:t>
      </w:r>
      <w:r>
        <w:rPr>
          <w:spacing w:val="-2"/>
          <w:sz w:val="22"/>
        </w:rPr>
        <w:t> </w:t>
      </w:r>
      <w:r>
        <w:rPr>
          <w:sz w:val="22"/>
        </w:rPr>
        <w:t>3/2020, de</w:t>
      </w:r>
      <w:r>
        <w:rPr>
          <w:spacing w:val="-2"/>
          <w:sz w:val="22"/>
        </w:rPr>
        <w:t> </w:t>
      </w:r>
      <w:r>
        <w:rPr>
          <w:sz w:val="22"/>
        </w:rPr>
        <w:t>4</w:t>
      </w:r>
      <w:r>
        <w:rPr>
          <w:spacing w:val="-2"/>
          <w:sz w:val="22"/>
        </w:rPr>
        <w:t> </w:t>
      </w:r>
      <w:r>
        <w:rPr>
          <w:sz w:val="22"/>
        </w:rPr>
        <w:t>de</w:t>
      </w:r>
      <w:r>
        <w:rPr>
          <w:spacing w:val="-2"/>
          <w:sz w:val="22"/>
        </w:rPr>
        <w:t> </w:t>
      </w:r>
      <w:r>
        <w:rPr>
          <w:sz w:val="22"/>
        </w:rPr>
        <w:t>febrero,</w:t>
      </w:r>
      <w:r>
        <w:rPr>
          <w:spacing w:val="-1"/>
          <w:sz w:val="22"/>
        </w:rPr>
        <w:t> </w:t>
      </w:r>
      <w:r>
        <w:rPr>
          <w:sz w:val="22"/>
        </w:rPr>
        <w:t>de</w:t>
      </w:r>
      <w:r>
        <w:rPr>
          <w:spacing w:val="-2"/>
          <w:sz w:val="22"/>
        </w:rPr>
        <w:t> </w:t>
      </w:r>
      <w:r>
        <w:rPr>
          <w:sz w:val="22"/>
        </w:rPr>
        <w:t>medidas urgentes por</w:t>
      </w:r>
      <w:r>
        <w:rPr>
          <w:spacing w:val="-1"/>
          <w:sz w:val="22"/>
        </w:rPr>
        <w:t> </w:t>
      </w:r>
      <w:r>
        <w:rPr>
          <w:sz w:val="22"/>
        </w:rPr>
        <w:t>el</w:t>
      </w:r>
      <w:r>
        <w:rPr>
          <w:spacing w:val="-1"/>
          <w:sz w:val="22"/>
        </w:rPr>
        <w:t> </w:t>
      </w:r>
      <w:r>
        <w:rPr>
          <w:sz w:val="22"/>
        </w:rPr>
        <w:t>que se</w:t>
      </w:r>
      <w:r>
        <w:rPr>
          <w:spacing w:val="-2"/>
          <w:sz w:val="22"/>
        </w:rPr>
        <w:t> </w:t>
      </w:r>
      <w:r>
        <w:rPr>
          <w:sz w:val="22"/>
        </w:rPr>
        <w:t>incorporan</w:t>
      </w:r>
      <w:r>
        <w:rPr>
          <w:spacing w:val="-2"/>
          <w:sz w:val="22"/>
        </w:rPr>
        <w:t> </w:t>
      </w:r>
      <w:r>
        <w:rPr>
          <w:sz w:val="22"/>
        </w:rPr>
        <w:t>al ordenamiento jurídico español diversas directivas de la Unión europea en el ámbito de la contratación pública en determinados sectores.</w:t>
      </w:r>
    </w:p>
    <w:p>
      <w:pPr>
        <w:pStyle w:val="ListParagraph"/>
        <w:numPr>
          <w:ilvl w:val="1"/>
          <w:numId w:val="10"/>
        </w:numPr>
        <w:tabs>
          <w:tab w:pos="1705" w:val="left" w:leader="none"/>
        </w:tabs>
        <w:spacing w:line="240" w:lineRule="auto" w:before="122" w:after="0"/>
        <w:ind w:left="1705" w:right="987" w:hanging="356"/>
        <w:jc w:val="both"/>
        <w:rPr>
          <w:sz w:val="22"/>
        </w:rPr>
      </w:pPr>
      <w:r>
        <w:rPr>
          <w:sz w:val="22"/>
        </w:rPr>
        <w:t>Real</w:t>
      </w:r>
      <w:r>
        <w:rPr>
          <w:spacing w:val="-16"/>
          <w:sz w:val="22"/>
        </w:rPr>
        <w:t> </w:t>
      </w:r>
      <w:r>
        <w:rPr>
          <w:sz w:val="22"/>
        </w:rPr>
        <w:t>Decreto-ley</w:t>
      </w:r>
      <w:r>
        <w:rPr>
          <w:spacing w:val="-15"/>
          <w:sz w:val="22"/>
        </w:rPr>
        <w:t> </w:t>
      </w:r>
      <w:r>
        <w:rPr>
          <w:sz w:val="22"/>
        </w:rPr>
        <w:t>11/2022,</w:t>
      </w:r>
      <w:r>
        <w:rPr>
          <w:spacing w:val="-15"/>
          <w:sz w:val="22"/>
        </w:rPr>
        <w:t> </w:t>
      </w:r>
      <w:r>
        <w:rPr>
          <w:sz w:val="22"/>
        </w:rPr>
        <w:t>de</w:t>
      </w:r>
      <w:r>
        <w:rPr>
          <w:spacing w:val="-16"/>
          <w:sz w:val="22"/>
        </w:rPr>
        <w:t> </w:t>
      </w:r>
      <w:r>
        <w:rPr>
          <w:sz w:val="22"/>
        </w:rPr>
        <w:t>25</w:t>
      </w:r>
      <w:r>
        <w:rPr>
          <w:spacing w:val="-15"/>
          <w:sz w:val="22"/>
        </w:rPr>
        <w:t> </w:t>
      </w:r>
      <w:r>
        <w:rPr>
          <w:sz w:val="22"/>
        </w:rPr>
        <w:t>de</w:t>
      </w:r>
      <w:r>
        <w:rPr>
          <w:spacing w:val="-15"/>
          <w:sz w:val="22"/>
        </w:rPr>
        <w:t> </w:t>
      </w:r>
      <w:r>
        <w:rPr>
          <w:sz w:val="22"/>
        </w:rPr>
        <w:t>junio,</w:t>
      </w:r>
      <w:r>
        <w:rPr>
          <w:spacing w:val="-15"/>
          <w:sz w:val="22"/>
        </w:rPr>
        <w:t> </w:t>
      </w:r>
      <w:r>
        <w:rPr>
          <w:sz w:val="22"/>
        </w:rPr>
        <w:t>por</w:t>
      </w:r>
      <w:r>
        <w:rPr>
          <w:spacing w:val="-16"/>
          <w:sz w:val="22"/>
        </w:rPr>
        <w:t> </w:t>
      </w:r>
      <w:r>
        <w:rPr>
          <w:sz w:val="22"/>
        </w:rPr>
        <w:t>el</w:t>
      </w:r>
      <w:r>
        <w:rPr>
          <w:spacing w:val="-15"/>
          <w:sz w:val="22"/>
        </w:rPr>
        <w:t> </w:t>
      </w:r>
      <w:r>
        <w:rPr>
          <w:sz w:val="22"/>
        </w:rPr>
        <w:t>que</w:t>
      </w:r>
      <w:r>
        <w:rPr>
          <w:spacing w:val="-15"/>
          <w:sz w:val="22"/>
        </w:rPr>
        <w:t> </w:t>
      </w:r>
      <w:r>
        <w:rPr>
          <w:sz w:val="22"/>
        </w:rPr>
        <w:t>se</w:t>
      </w:r>
      <w:r>
        <w:rPr>
          <w:spacing w:val="-15"/>
          <w:sz w:val="22"/>
        </w:rPr>
        <w:t> </w:t>
      </w:r>
      <w:r>
        <w:rPr>
          <w:sz w:val="22"/>
        </w:rPr>
        <w:t>adoptan</w:t>
      </w:r>
      <w:r>
        <w:rPr>
          <w:spacing w:val="-15"/>
          <w:sz w:val="22"/>
        </w:rPr>
        <w:t> </w:t>
      </w:r>
      <w:r>
        <w:rPr>
          <w:sz w:val="22"/>
        </w:rPr>
        <w:t>y</w:t>
      </w:r>
      <w:r>
        <w:rPr>
          <w:spacing w:val="-15"/>
          <w:sz w:val="22"/>
        </w:rPr>
        <w:t> </w:t>
      </w:r>
      <w:r>
        <w:rPr>
          <w:sz w:val="22"/>
        </w:rPr>
        <w:t>se</w:t>
      </w:r>
      <w:r>
        <w:rPr>
          <w:spacing w:val="-16"/>
          <w:sz w:val="22"/>
        </w:rPr>
        <w:t> </w:t>
      </w:r>
      <w:r>
        <w:rPr>
          <w:sz w:val="22"/>
        </w:rPr>
        <w:t>prorrogan</w:t>
      </w:r>
      <w:r>
        <w:rPr>
          <w:spacing w:val="-15"/>
          <w:sz w:val="22"/>
        </w:rPr>
        <w:t> </w:t>
      </w:r>
      <w:r>
        <w:rPr>
          <w:sz w:val="22"/>
        </w:rPr>
        <w:t>determinadas medidas</w:t>
      </w:r>
      <w:r>
        <w:rPr>
          <w:spacing w:val="-16"/>
          <w:sz w:val="22"/>
        </w:rPr>
        <w:t> </w:t>
      </w:r>
      <w:r>
        <w:rPr>
          <w:sz w:val="22"/>
        </w:rPr>
        <w:t>para</w:t>
      </w:r>
      <w:r>
        <w:rPr>
          <w:spacing w:val="-15"/>
          <w:sz w:val="22"/>
        </w:rPr>
        <w:t> </w:t>
      </w:r>
      <w:r>
        <w:rPr>
          <w:sz w:val="22"/>
        </w:rPr>
        <w:t>responder</w:t>
      </w:r>
      <w:r>
        <w:rPr>
          <w:spacing w:val="-15"/>
          <w:sz w:val="22"/>
        </w:rPr>
        <w:t> </w:t>
      </w:r>
      <w:r>
        <w:rPr>
          <w:sz w:val="22"/>
        </w:rPr>
        <w:t>a</w:t>
      </w:r>
      <w:r>
        <w:rPr>
          <w:spacing w:val="-16"/>
          <w:sz w:val="22"/>
        </w:rPr>
        <w:t> </w:t>
      </w:r>
      <w:r>
        <w:rPr>
          <w:sz w:val="22"/>
        </w:rPr>
        <w:t>las</w:t>
      </w:r>
      <w:r>
        <w:rPr>
          <w:spacing w:val="-15"/>
          <w:sz w:val="22"/>
        </w:rPr>
        <w:t> </w:t>
      </w:r>
      <w:r>
        <w:rPr>
          <w:sz w:val="22"/>
        </w:rPr>
        <w:t>consecuencias</w:t>
      </w:r>
      <w:r>
        <w:rPr>
          <w:spacing w:val="-15"/>
          <w:sz w:val="22"/>
        </w:rPr>
        <w:t> </w:t>
      </w:r>
      <w:r>
        <w:rPr>
          <w:sz w:val="22"/>
        </w:rPr>
        <w:t>económicas</w:t>
      </w:r>
      <w:r>
        <w:rPr>
          <w:spacing w:val="-15"/>
          <w:sz w:val="22"/>
        </w:rPr>
        <w:t> </w:t>
      </w:r>
      <w:r>
        <w:rPr>
          <w:sz w:val="22"/>
        </w:rPr>
        <w:t>y</w:t>
      </w:r>
      <w:r>
        <w:rPr>
          <w:spacing w:val="-16"/>
          <w:sz w:val="22"/>
        </w:rPr>
        <w:t> </w:t>
      </w:r>
      <w:r>
        <w:rPr>
          <w:sz w:val="22"/>
        </w:rPr>
        <w:t>sociales</w:t>
      </w:r>
      <w:r>
        <w:rPr>
          <w:spacing w:val="-15"/>
          <w:sz w:val="22"/>
        </w:rPr>
        <w:t> </w:t>
      </w:r>
      <w:r>
        <w:rPr>
          <w:sz w:val="22"/>
        </w:rPr>
        <w:t>de</w:t>
      </w:r>
      <w:r>
        <w:rPr>
          <w:spacing w:val="-15"/>
          <w:sz w:val="22"/>
        </w:rPr>
        <w:t> </w:t>
      </w:r>
      <w:r>
        <w:rPr>
          <w:sz w:val="22"/>
        </w:rPr>
        <w:t>la</w:t>
      </w:r>
      <w:r>
        <w:rPr>
          <w:spacing w:val="-16"/>
          <w:sz w:val="22"/>
        </w:rPr>
        <w:t> </w:t>
      </w:r>
      <w:r>
        <w:rPr>
          <w:sz w:val="22"/>
        </w:rPr>
        <w:t>guerra</w:t>
      </w:r>
      <w:r>
        <w:rPr>
          <w:spacing w:val="-15"/>
          <w:sz w:val="22"/>
        </w:rPr>
        <w:t> </w:t>
      </w:r>
      <w:r>
        <w:rPr>
          <w:sz w:val="22"/>
        </w:rPr>
        <w:t>en</w:t>
      </w:r>
      <w:r>
        <w:rPr>
          <w:spacing w:val="-15"/>
          <w:sz w:val="22"/>
        </w:rPr>
        <w:t> </w:t>
      </w:r>
      <w:r>
        <w:rPr>
          <w:sz w:val="22"/>
        </w:rPr>
        <w:t>Ucrania, para</w:t>
      </w:r>
      <w:r>
        <w:rPr>
          <w:spacing w:val="-5"/>
          <w:sz w:val="22"/>
        </w:rPr>
        <w:t> </w:t>
      </w:r>
      <w:r>
        <w:rPr>
          <w:sz w:val="22"/>
        </w:rPr>
        <w:t>hacer</w:t>
      </w:r>
      <w:r>
        <w:rPr>
          <w:spacing w:val="-7"/>
          <w:sz w:val="22"/>
        </w:rPr>
        <w:t> </w:t>
      </w:r>
      <w:r>
        <w:rPr>
          <w:sz w:val="22"/>
        </w:rPr>
        <w:t>frente</w:t>
      </w:r>
      <w:r>
        <w:rPr>
          <w:spacing w:val="-7"/>
          <w:sz w:val="22"/>
        </w:rPr>
        <w:t> </w:t>
      </w:r>
      <w:r>
        <w:rPr>
          <w:sz w:val="22"/>
        </w:rPr>
        <w:t>a</w:t>
      </w:r>
      <w:r>
        <w:rPr>
          <w:spacing w:val="-7"/>
          <w:sz w:val="22"/>
        </w:rPr>
        <w:t> </w:t>
      </w:r>
      <w:r>
        <w:rPr>
          <w:sz w:val="22"/>
        </w:rPr>
        <w:t>situaciones</w:t>
      </w:r>
      <w:r>
        <w:rPr>
          <w:spacing w:val="-5"/>
          <w:sz w:val="22"/>
        </w:rPr>
        <w:t> </w:t>
      </w:r>
      <w:r>
        <w:rPr>
          <w:sz w:val="22"/>
        </w:rPr>
        <w:t>de</w:t>
      </w:r>
      <w:r>
        <w:rPr>
          <w:spacing w:val="-8"/>
          <w:sz w:val="22"/>
        </w:rPr>
        <w:t> </w:t>
      </w:r>
      <w:r>
        <w:rPr>
          <w:sz w:val="22"/>
        </w:rPr>
        <w:t>vulnerabilidad</w:t>
      </w:r>
      <w:r>
        <w:rPr>
          <w:spacing w:val="-7"/>
          <w:sz w:val="22"/>
        </w:rPr>
        <w:t> </w:t>
      </w:r>
      <w:r>
        <w:rPr>
          <w:sz w:val="22"/>
        </w:rPr>
        <w:t>social</w:t>
      </w:r>
      <w:r>
        <w:rPr>
          <w:spacing w:val="-6"/>
          <w:sz w:val="22"/>
        </w:rPr>
        <w:t> </w:t>
      </w:r>
      <w:r>
        <w:rPr>
          <w:sz w:val="22"/>
        </w:rPr>
        <w:t>y</w:t>
      </w:r>
      <w:r>
        <w:rPr>
          <w:spacing w:val="-5"/>
          <w:sz w:val="22"/>
        </w:rPr>
        <w:t> </w:t>
      </w:r>
      <w:r>
        <w:rPr>
          <w:sz w:val="22"/>
        </w:rPr>
        <w:t>económica,</w:t>
      </w:r>
      <w:r>
        <w:rPr>
          <w:spacing w:val="-6"/>
          <w:sz w:val="22"/>
        </w:rPr>
        <w:t> </w:t>
      </w:r>
      <w:r>
        <w:rPr>
          <w:sz w:val="22"/>
        </w:rPr>
        <w:t>y</w:t>
      </w:r>
      <w:r>
        <w:rPr>
          <w:spacing w:val="-5"/>
          <w:sz w:val="22"/>
        </w:rPr>
        <w:t> </w:t>
      </w:r>
      <w:r>
        <w:rPr>
          <w:sz w:val="22"/>
        </w:rPr>
        <w:t>para</w:t>
      </w:r>
      <w:r>
        <w:rPr>
          <w:spacing w:val="-5"/>
          <w:sz w:val="22"/>
        </w:rPr>
        <w:t> </w:t>
      </w:r>
      <w:r>
        <w:rPr>
          <w:sz w:val="22"/>
        </w:rPr>
        <w:t>la</w:t>
      </w:r>
      <w:r>
        <w:rPr>
          <w:spacing w:val="-7"/>
          <w:sz w:val="22"/>
        </w:rPr>
        <w:t> </w:t>
      </w:r>
      <w:r>
        <w:rPr>
          <w:sz w:val="22"/>
        </w:rPr>
        <w:t>recuperación económica y social de la isla de La Palma.</w:t>
      </w:r>
    </w:p>
    <w:p>
      <w:pPr>
        <w:pStyle w:val="ListParagraph"/>
        <w:numPr>
          <w:ilvl w:val="1"/>
          <w:numId w:val="10"/>
        </w:numPr>
        <w:tabs>
          <w:tab w:pos="1705" w:val="left" w:leader="none"/>
        </w:tabs>
        <w:spacing w:line="240" w:lineRule="auto" w:before="119" w:after="0"/>
        <w:ind w:left="1705" w:right="993" w:hanging="356"/>
        <w:jc w:val="both"/>
        <w:rPr>
          <w:sz w:val="22"/>
        </w:rPr>
      </w:pPr>
      <w:r>
        <w:rPr>
          <w:sz w:val="22"/>
        </w:rPr>
        <w:t>Real Decreto-ley 14/2022, de 1 de agosto, de medidas de sostenibilidad económica en el ámbito del transporte, en materia de becas y ayudas al estudio, así como de medidas de ahorro, eficiencia energética y de reducción de la dependencia energética del gas natural.</w:t>
      </w:r>
    </w:p>
    <w:p>
      <w:pPr>
        <w:pStyle w:val="ListParagraph"/>
        <w:numPr>
          <w:ilvl w:val="1"/>
          <w:numId w:val="10"/>
        </w:numPr>
        <w:tabs>
          <w:tab w:pos="1705" w:val="left" w:leader="none"/>
        </w:tabs>
        <w:spacing w:line="240" w:lineRule="auto" w:before="121" w:after="0"/>
        <w:ind w:left="1705" w:right="996" w:hanging="356"/>
        <w:jc w:val="both"/>
        <w:rPr>
          <w:sz w:val="22"/>
        </w:rPr>
      </w:pPr>
      <w:r>
        <w:rPr>
          <w:sz w:val="22"/>
        </w:rPr>
        <w:t>Real Decreto 646/2020, de 7 de julio, por el que se regula la eliminación de residuos mediante depósito en vertedero.</w:t>
      </w:r>
    </w:p>
    <w:p>
      <w:pPr>
        <w:pStyle w:val="ListParagraph"/>
        <w:numPr>
          <w:ilvl w:val="1"/>
          <w:numId w:val="10"/>
        </w:numPr>
        <w:tabs>
          <w:tab w:pos="1705" w:val="left" w:leader="none"/>
        </w:tabs>
        <w:spacing w:line="240" w:lineRule="auto" w:before="119" w:after="0"/>
        <w:ind w:left="1705" w:right="998" w:hanging="356"/>
        <w:jc w:val="both"/>
        <w:rPr>
          <w:sz w:val="22"/>
        </w:rPr>
      </w:pPr>
      <w:r>
        <w:rPr>
          <w:sz w:val="22"/>
        </w:rPr>
        <w:t>Real Decreto 553/2020, de 2 de junio, por el que se regula el traslado de residuos en el interior del territorio del Estado.</w:t>
      </w:r>
    </w:p>
    <w:p>
      <w:pPr>
        <w:pStyle w:val="ListParagraph"/>
        <w:numPr>
          <w:ilvl w:val="1"/>
          <w:numId w:val="10"/>
        </w:numPr>
        <w:tabs>
          <w:tab w:pos="1705" w:val="left" w:leader="none"/>
        </w:tabs>
        <w:spacing w:line="240" w:lineRule="auto" w:before="120" w:after="0"/>
        <w:ind w:left="1705" w:right="990" w:hanging="356"/>
        <w:jc w:val="both"/>
        <w:rPr>
          <w:sz w:val="22"/>
        </w:rPr>
      </w:pPr>
      <w:r>
        <w:rPr>
          <w:sz w:val="22"/>
        </w:rPr>
        <w:t>Real</w:t>
      </w:r>
      <w:r>
        <w:rPr>
          <w:spacing w:val="-10"/>
          <w:sz w:val="22"/>
        </w:rPr>
        <w:t> </w:t>
      </w:r>
      <w:r>
        <w:rPr>
          <w:sz w:val="22"/>
        </w:rPr>
        <w:t>Decreto</w:t>
      </w:r>
      <w:r>
        <w:rPr>
          <w:spacing w:val="-9"/>
          <w:sz w:val="22"/>
        </w:rPr>
        <w:t> </w:t>
      </w:r>
      <w:r>
        <w:rPr>
          <w:sz w:val="22"/>
        </w:rPr>
        <w:t>1544/2007,</w:t>
      </w:r>
      <w:r>
        <w:rPr>
          <w:spacing w:val="-10"/>
          <w:sz w:val="22"/>
        </w:rPr>
        <w:t> </w:t>
      </w:r>
      <w:r>
        <w:rPr>
          <w:sz w:val="22"/>
        </w:rPr>
        <w:t>de</w:t>
      </w:r>
      <w:r>
        <w:rPr>
          <w:spacing w:val="-9"/>
          <w:sz w:val="22"/>
        </w:rPr>
        <w:t> </w:t>
      </w:r>
      <w:r>
        <w:rPr>
          <w:sz w:val="22"/>
        </w:rPr>
        <w:t>23</w:t>
      </w:r>
      <w:r>
        <w:rPr>
          <w:spacing w:val="-9"/>
          <w:sz w:val="22"/>
        </w:rPr>
        <w:t> </w:t>
      </w:r>
      <w:r>
        <w:rPr>
          <w:sz w:val="22"/>
        </w:rPr>
        <w:t>de</w:t>
      </w:r>
      <w:r>
        <w:rPr>
          <w:spacing w:val="-9"/>
          <w:sz w:val="22"/>
        </w:rPr>
        <w:t> </w:t>
      </w:r>
      <w:r>
        <w:rPr>
          <w:sz w:val="22"/>
        </w:rPr>
        <w:t>noviembre,</w:t>
      </w:r>
      <w:r>
        <w:rPr>
          <w:spacing w:val="-10"/>
          <w:sz w:val="22"/>
        </w:rPr>
        <w:t> </w:t>
      </w:r>
      <w:r>
        <w:rPr>
          <w:sz w:val="22"/>
        </w:rPr>
        <w:t>por</w:t>
      </w:r>
      <w:r>
        <w:rPr>
          <w:spacing w:val="-10"/>
          <w:sz w:val="22"/>
        </w:rPr>
        <w:t> </w:t>
      </w:r>
      <w:r>
        <w:rPr>
          <w:sz w:val="22"/>
        </w:rPr>
        <w:t>el</w:t>
      </w:r>
      <w:r>
        <w:rPr>
          <w:spacing w:val="-10"/>
          <w:sz w:val="22"/>
        </w:rPr>
        <w:t> </w:t>
      </w:r>
      <w:r>
        <w:rPr>
          <w:sz w:val="22"/>
        </w:rPr>
        <w:t>que</w:t>
      </w:r>
      <w:r>
        <w:rPr>
          <w:spacing w:val="-9"/>
          <w:sz w:val="22"/>
        </w:rPr>
        <w:t> </w:t>
      </w:r>
      <w:r>
        <w:rPr>
          <w:sz w:val="22"/>
        </w:rPr>
        <w:t>se</w:t>
      </w:r>
      <w:r>
        <w:rPr>
          <w:spacing w:val="-9"/>
          <w:sz w:val="22"/>
        </w:rPr>
        <w:t> </w:t>
      </w:r>
      <w:r>
        <w:rPr>
          <w:sz w:val="22"/>
        </w:rPr>
        <w:t>regulan</w:t>
      </w:r>
      <w:r>
        <w:rPr>
          <w:spacing w:val="-9"/>
          <w:sz w:val="22"/>
        </w:rPr>
        <w:t> </w:t>
      </w:r>
      <w:r>
        <w:rPr>
          <w:sz w:val="22"/>
        </w:rPr>
        <w:t>las</w:t>
      </w:r>
      <w:r>
        <w:rPr>
          <w:spacing w:val="-9"/>
          <w:sz w:val="22"/>
        </w:rPr>
        <w:t> </w:t>
      </w:r>
      <w:r>
        <w:rPr>
          <w:sz w:val="22"/>
        </w:rPr>
        <w:t>condiciones</w:t>
      </w:r>
      <w:r>
        <w:rPr>
          <w:spacing w:val="-9"/>
          <w:sz w:val="22"/>
        </w:rPr>
        <w:t> </w:t>
      </w:r>
      <w:r>
        <w:rPr>
          <w:sz w:val="22"/>
        </w:rPr>
        <w:t>básicas de</w:t>
      </w:r>
      <w:r>
        <w:rPr>
          <w:spacing w:val="-2"/>
          <w:sz w:val="22"/>
        </w:rPr>
        <w:t> </w:t>
      </w:r>
      <w:r>
        <w:rPr>
          <w:sz w:val="22"/>
        </w:rPr>
        <w:t>accesibilidad</w:t>
      </w:r>
      <w:r>
        <w:rPr>
          <w:spacing w:val="-2"/>
          <w:sz w:val="22"/>
        </w:rPr>
        <w:t> </w:t>
      </w:r>
      <w:r>
        <w:rPr>
          <w:sz w:val="22"/>
        </w:rPr>
        <w:t>y</w:t>
      </w:r>
      <w:r>
        <w:rPr>
          <w:spacing w:val="-1"/>
          <w:sz w:val="22"/>
        </w:rPr>
        <w:t> </w:t>
      </w:r>
      <w:r>
        <w:rPr>
          <w:sz w:val="22"/>
        </w:rPr>
        <w:t>no</w:t>
      </w:r>
      <w:r>
        <w:rPr>
          <w:spacing w:val="-2"/>
          <w:sz w:val="22"/>
        </w:rPr>
        <w:t> </w:t>
      </w:r>
      <w:r>
        <w:rPr>
          <w:sz w:val="22"/>
        </w:rPr>
        <w:t>discriminación</w:t>
      </w:r>
      <w:r>
        <w:rPr>
          <w:spacing w:val="-2"/>
          <w:sz w:val="22"/>
        </w:rPr>
        <w:t> </w:t>
      </w:r>
      <w:r>
        <w:rPr>
          <w:sz w:val="22"/>
        </w:rPr>
        <w:t>para</w:t>
      </w:r>
      <w:r>
        <w:rPr>
          <w:spacing w:val="-2"/>
          <w:sz w:val="22"/>
        </w:rPr>
        <w:t> </w:t>
      </w:r>
      <w:r>
        <w:rPr>
          <w:sz w:val="22"/>
        </w:rPr>
        <w:t>el</w:t>
      </w:r>
      <w:r>
        <w:rPr>
          <w:spacing w:val="-2"/>
          <w:sz w:val="22"/>
        </w:rPr>
        <w:t> </w:t>
      </w:r>
      <w:r>
        <w:rPr>
          <w:sz w:val="22"/>
        </w:rPr>
        <w:t>acceso</w:t>
      </w:r>
      <w:r>
        <w:rPr>
          <w:spacing w:val="-2"/>
          <w:sz w:val="22"/>
        </w:rPr>
        <w:t> </w:t>
      </w:r>
      <w:r>
        <w:rPr>
          <w:sz w:val="22"/>
        </w:rPr>
        <w:t>y</w:t>
      </w:r>
      <w:r>
        <w:rPr>
          <w:spacing w:val="-1"/>
          <w:sz w:val="22"/>
        </w:rPr>
        <w:t> </w:t>
      </w:r>
      <w:r>
        <w:rPr>
          <w:sz w:val="22"/>
        </w:rPr>
        <w:t>utilización</w:t>
      </w:r>
      <w:r>
        <w:rPr>
          <w:spacing w:val="-2"/>
          <w:sz w:val="22"/>
        </w:rPr>
        <w:t> </w:t>
      </w:r>
      <w:r>
        <w:rPr>
          <w:sz w:val="22"/>
        </w:rPr>
        <w:t>de</w:t>
      </w:r>
      <w:r>
        <w:rPr>
          <w:spacing w:val="-2"/>
          <w:sz w:val="22"/>
        </w:rPr>
        <w:t> </w:t>
      </w:r>
      <w:r>
        <w:rPr>
          <w:sz w:val="22"/>
        </w:rPr>
        <w:t>los</w:t>
      </w:r>
      <w:r>
        <w:rPr>
          <w:spacing w:val="-4"/>
          <w:sz w:val="22"/>
        </w:rPr>
        <w:t> </w:t>
      </w:r>
      <w:r>
        <w:rPr>
          <w:sz w:val="22"/>
        </w:rPr>
        <w:t>modos</w:t>
      </w:r>
      <w:r>
        <w:rPr>
          <w:spacing w:val="-1"/>
          <w:sz w:val="22"/>
        </w:rPr>
        <w:t> </w:t>
      </w:r>
      <w:r>
        <w:rPr>
          <w:sz w:val="22"/>
        </w:rPr>
        <w:t>de</w:t>
      </w:r>
      <w:r>
        <w:rPr>
          <w:spacing w:val="-2"/>
          <w:sz w:val="22"/>
        </w:rPr>
        <w:t> </w:t>
      </w:r>
      <w:r>
        <w:rPr>
          <w:sz w:val="22"/>
        </w:rPr>
        <w:t>transporte para personas con discapacidad.</w:t>
      </w:r>
    </w:p>
    <w:p>
      <w:pPr>
        <w:pStyle w:val="ListParagraph"/>
        <w:numPr>
          <w:ilvl w:val="1"/>
          <w:numId w:val="10"/>
        </w:numPr>
        <w:tabs>
          <w:tab w:pos="1705" w:val="left" w:leader="none"/>
        </w:tabs>
        <w:spacing w:line="240" w:lineRule="auto" w:before="120" w:after="0"/>
        <w:ind w:left="1705" w:right="994" w:hanging="356"/>
        <w:jc w:val="both"/>
        <w:rPr>
          <w:sz w:val="22"/>
        </w:rPr>
      </w:pPr>
      <w:r>
        <w:rPr>
          <w:sz w:val="22"/>
        </w:rPr>
        <w:t>Real Decreto 1112/2018, sobre accesibilidad de los sitios web y aplicaciones móviles del sector público.</w:t>
      </w:r>
    </w:p>
    <w:p>
      <w:pPr>
        <w:pStyle w:val="ListParagraph"/>
        <w:numPr>
          <w:ilvl w:val="1"/>
          <w:numId w:val="10"/>
        </w:numPr>
        <w:tabs>
          <w:tab w:pos="1705" w:val="left" w:leader="none"/>
        </w:tabs>
        <w:spacing w:line="240" w:lineRule="auto" w:before="120" w:after="0"/>
        <w:ind w:left="1705" w:right="993" w:hanging="356"/>
        <w:jc w:val="both"/>
        <w:rPr>
          <w:sz w:val="22"/>
        </w:rPr>
      </w:pPr>
      <w:r>
        <w:rPr>
          <w:sz w:val="22"/>
        </w:rPr>
        <w:t>Resolución</w:t>
      </w:r>
      <w:r>
        <w:rPr>
          <w:spacing w:val="-12"/>
          <w:sz w:val="22"/>
        </w:rPr>
        <w:t> </w:t>
      </w:r>
      <w:r>
        <w:rPr>
          <w:sz w:val="22"/>
        </w:rPr>
        <w:t>de</w:t>
      </w:r>
      <w:r>
        <w:rPr>
          <w:spacing w:val="-12"/>
          <w:sz w:val="22"/>
        </w:rPr>
        <w:t> </w:t>
      </w:r>
      <w:r>
        <w:rPr>
          <w:sz w:val="22"/>
        </w:rPr>
        <w:t>25</w:t>
      </w:r>
      <w:r>
        <w:rPr>
          <w:spacing w:val="-12"/>
          <w:sz w:val="22"/>
        </w:rPr>
        <w:t> </w:t>
      </w:r>
      <w:r>
        <w:rPr>
          <w:sz w:val="22"/>
        </w:rPr>
        <w:t>de</w:t>
      </w:r>
      <w:r>
        <w:rPr>
          <w:spacing w:val="-12"/>
          <w:sz w:val="22"/>
        </w:rPr>
        <w:t> </w:t>
      </w:r>
      <w:r>
        <w:rPr>
          <w:sz w:val="22"/>
        </w:rPr>
        <w:t>marzo</w:t>
      </w:r>
      <w:r>
        <w:rPr>
          <w:spacing w:val="-11"/>
          <w:sz w:val="22"/>
        </w:rPr>
        <w:t> </w:t>
      </w:r>
      <w:r>
        <w:rPr>
          <w:sz w:val="22"/>
        </w:rPr>
        <w:t>de</w:t>
      </w:r>
      <w:r>
        <w:rPr>
          <w:spacing w:val="-12"/>
          <w:sz w:val="22"/>
        </w:rPr>
        <w:t> </w:t>
      </w:r>
      <w:r>
        <w:rPr>
          <w:sz w:val="22"/>
        </w:rPr>
        <w:t>2021,</w:t>
      </w:r>
      <w:r>
        <w:rPr>
          <w:spacing w:val="-12"/>
          <w:sz w:val="22"/>
        </w:rPr>
        <w:t> </w:t>
      </w:r>
      <w:r>
        <w:rPr>
          <w:sz w:val="22"/>
        </w:rPr>
        <w:t>conjunta</w:t>
      </w:r>
      <w:r>
        <w:rPr>
          <w:spacing w:val="-11"/>
          <w:sz w:val="22"/>
        </w:rPr>
        <w:t> </w:t>
      </w:r>
      <w:r>
        <w:rPr>
          <w:sz w:val="22"/>
        </w:rPr>
        <w:t>de</w:t>
      </w:r>
      <w:r>
        <w:rPr>
          <w:spacing w:val="-14"/>
          <w:sz w:val="22"/>
        </w:rPr>
        <w:t> </w:t>
      </w:r>
      <w:r>
        <w:rPr>
          <w:sz w:val="22"/>
        </w:rPr>
        <w:t>la</w:t>
      </w:r>
      <w:r>
        <w:rPr>
          <w:spacing w:val="-11"/>
          <w:sz w:val="22"/>
        </w:rPr>
        <w:t> </w:t>
      </w:r>
      <w:r>
        <w:rPr>
          <w:sz w:val="22"/>
        </w:rPr>
        <w:t>Dirección</w:t>
      </w:r>
      <w:r>
        <w:rPr>
          <w:spacing w:val="-12"/>
          <w:sz w:val="22"/>
        </w:rPr>
        <w:t> </w:t>
      </w:r>
      <w:r>
        <w:rPr>
          <w:sz w:val="22"/>
        </w:rPr>
        <w:t>General</w:t>
      </w:r>
      <w:r>
        <w:rPr>
          <w:spacing w:val="-12"/>
          <w:sz w:val="22"/>
        </w:rPr>
        <w:t> </w:t>
      </w:r>
      <w:r>
        <w:rPr>
          <w:sz w:val="22"/>
        </w:rPr>
        <w:t>de</w:t>
      </w:r>
      <w:r>
        <w:rPr>
          <w:spacing w:val="-12"/>
          <w:sz w:val="22"/>
        </w:rPr>
        <w:t> </w:t>
      </w:r>
      <w:r>
        <w:rPr>
          <w:sz w:val="22"/>
        </w:rPr>
        <w:t>Política</w:t>
      </w:r>
      <w:r>
        <w:rPr>
          <w:spacing w:val="-11"/>
          <w:sz w:val="22"/>
        </w:rPr>
        <w:t> </w:t>
      </w:r>
      <w:r>
        <w:rPr>
          <w:sz w:val="22"/>
        </w:rPr>
        <w:t>Energética y</w:t>
      </w:r>
      <w:r>
        <w:rPr>
          <w:spacing w:val="-1"/>
          <w:sz w:val="22"/>
        </w:rPr>
        <w:t> </w:t>
      </w:r>
      <w:r>
        <w:rPr>
          <w:sz w:val="22"/>
        </w:rPr>
        <w:t>Minas</w:t>
      </w:r>
      <w:r>
        <w:rPr>
          <w:spacing w:val="-2"/>
          <w:sz w:val="22"/>
        </w:rPr>
        <w:t> </w:t>
      </w:r>
      <w:r>
        <w:rPr>
          <w:sz w:val="22"/>
        </w:rPr>
        <w:t>y</w:t>
      </w:r>
      <w:r>
        <w:rPr>
          <w:spacing w:val="-2"/>
          <w:sz w:val="22"/>
        </w:rPr>
        <w:t> </w:t>
      </w:r>
      <w:r>
        <w:rPr>
          <w:sz w:val="22"/>
        </w:rPr>
        <w:t>de</w:t>
      </w:r>
      <w:r>
        <w:rPr>
          <w:spacing w:val="-2"/>
          <w:sz w:val="22"/>
        </w:rPr>
        <w:t> </w:t>
      </w:r>
      <w:r>
        <w:rPr>
          <w:sz w:val="22"/>
        </w:rPr>
        <w:t>la</w:t>
      </w:r>
      <w:r>
        <w:rPr>
          <w:spacing w:val="-2"/>
          <w:sz w:val="22"/>
        </w:rPr>
        <w:t> </w:t>
      </w:r>
      <w:r>
        <w:rPr>
          <w:sz w:val="22"/>
        </w:rPr>
        <w:t>Oficina Española de</w:t>
      </w:r>
      <w:r>
        <w:rPr>
          <w:spacing w:val="-2"/>
          <w:sz w:val="22"/>
        </w:rPr>
        <w:t> </w:t>
      </w:r>
      <w:r>
        <w:rPr>
          <w:sz w:val="22"/>
        </w:rPr>
        <w:t>Cambio</w:t>
      </w:r>
      <w:r>
        <w:rPr>
          <w:spacing w:val="-2"/>
          <w:sz w:val="22"/>
        </w:rPr>
        <w:t> </w:t>
      </w:r>
      <w:r>
        <w:rPr>
          <w:sz w:val="22"/>
        </w:rPr>
        <w:t>Climático, por</w:t>
      </w:r>
      <w:r>
        <w:rPr>
          <w:spacing w:val="-1"/>
          <w:sz w:val="22"/>
        </w:rPr>
        <w:t> </w:t>
      </w:r>
      <w:r>
        <w:rPr>
          <w:sz w:val="22"/>
        </w:rPr>
        <w:t>la</w:t>
      </w:r>
      <w:r>
        <w:rPr>
          <w:spacing w:val="-2"/>
          <w:sz w:val="22"/>
        </w:rPr>
        <w:t> </w:t>
      </w:r>
      <w:r>
        <w:rPr>
          <w:sz w:val="22"/>
        </w:rPr>
        <w:t>que</w:t>
      </w:r>
      <w:r>
        <w:rPr>
          <w:spacing w:val="-2"/>
          <w:sz w:val="22"/>
        </w:rPr>
        <w:t> </w:t>
      </w:r>
      <w:r>
        <w:rPr>
          <w:sz w:val="22"/>
        </w:rPr>
        <w:t>se</w:t>
      </w:r>
      <w:r>
        <w:rPr>
          <w:spacing w:val="-2"/>
          <w:sz w:val="22"/>
        </w:rPr>
        <w:t> </w:t>
      </w:r>
      <w:r>
        <w:rPr>
          <w:sz w:val="22"/>
        </w:rPr>
        <w:t>publica el</w:t>
      </w:r>
      <w:r>
        <w:rPr>
          <w:spacing w:val="-3"/>
          <w:sz w:val="22"/>
        </w:rPr>
        <w:t> </w:t>
      </w:r>
      <w:r>
        <w:rPr>
          <w:sz w:val="22"/>
        </w:rPr>
        <w:t>Acuerdo</w:t>
      </w:r>
      <w:r>
        <w:rPr>
          <w:spacing w:val="-2"/>
          <w:sz w:val="22"/>
        </w:rPr>
        <w:t> </w:t>
      </w:r>
      <w:r>
        <w:rPr>
          <w:sz w:val="22"/>
        </w:rPr>
        <w:t>del Consejo</w:t>
      </w:r>
      <w:r>
        <w:rPr>
          <w:spacing w:val="-3"/>
          <w:sz w:val="22"/>
        </w:rPr>
        <w:t> </w:t>
      </w:r>
      <w:r>
        <w:rPr>
          <w:sz w:val="22"/>
        </w:rPr>
        <w:t>de</w:t>
      </w:r>
      <w:r>
        <w:rPr>
          <w:spacing w:val="-6"/>
          <w:sz w:val="22"/>
        </w:rPr>
        <w:t> </w:t>
      </w:r>
      <w:r>
        <w:rPr>
          <w:sz w:val="22"/>
        </w:rPr>
        <w:t>Ministros</w:t>
      </w:r>
      <w:r>
        <w:rPr>
          <w:spacing w:val="-5"/>
          <w:sz w:val="22"/>
        </w:rPr>
        <w:t> </w:t>
      </w:r>
      <w:r>
        <w:rPr>
          <w:sz w:val="22"/>
        </w:rPr>
        <w:t>de</w:t>
      </w:r>
      <w:r>
        <w:rPr>
          <w:spacing w:val="-6"/>
          <w:sz w:val="22"/>
        </w:rPr>
        <w:t> </w:t>
      </w:r>
      <w:r>
        <w:rPr>
          <w:sz w:val="22"/>
        </w:rPr>
        <w:t>16</w:t>
      </w:r>
      <w:r>
        <w:rPr>
          <w:spacing w:val="-3"/>
          <w:sz w:val="22"/>
        </w:rPr>
        <w:t> </w:t>
      </w:r>
      <w:r>
        <w:rPr>
          <w:sz w:val="22"/>
        </w:rPr>
        <w:t>de</w:t>
      </w:r>
      <w:r>
        <w:rPr>
          <w:spacing w:val="-3"/>
          <w:sz w:val="22"/>
        </w:rPr>
        <w:t> </w:t>
      </w:r>
      <w:r>
        <w:rPr>
          <w:sz w:val="22"/>
        </w:rPr>
        <w:t>marzo</w:t>
      </w:r>
      <w:r>
        <w:rPr>
          <w:spacing w:val="-3"/>
          <w:sz w:val="22"/>
        </w:rPr>
        <w:t> </w:t>
      </w:r>
      <w:r>
        <w:rPr>
          <w:sz w:val="22"/>
        </w:rPr>
        <w:t>de</w:t>
      </w:r>
      <w:r>
        <w:rPr>
          <w:spacing w:val="-3"/>
          <w:sz w:val="22"/>
        </w:rPr>
        <w:t> </w:t>
      </w:r>
      <w:r>
        <w:rPr>
          <w:sz w:val="22"/>
        </w:rPr>
        <w:t>2021,</w:t>
      </w:r>
      <w:r>
        <w:rPr>
          <w:spacing w:val="-2"/>
          <w:sz w:val="22"/>
        </w:rPr>
        <w:t> </w:t>
      </w:r>
      <w:r>
        <w:rPr>
          <w:sz w:val="22"/>
        </w:rPr>
        <w:t>por</w:t>
      </w:r>
      <w:r>
        <w:rPr>
          <w:spacing w:val="-2"/>
          <w:sz w:val="22"/>
        </w:rPr>
        <w:t> </w:t>
      </w:r>
      <w:r>
        <w:rPr>
          <w:sz w:val="22"/>
        </w:rPr>
        <w:t>el</w:t>
      </w:r>
      <w:r>
        <w:rPr>
          <w:spacing w:val="-4"/>
          <w:sz w:val="22"/>
        </w:rPr>
        <w:t> </w:t>
      </w:r>
      <w:r>
        <w:rPr>
          <w:sz w:val="22"/>
        </w:rPr>
        <w:t>que</w:t>
      </w:r>
      <w:r>
        <w:rPr>
          <w:spacing w:val="-3"/>
          <w:sz w:val="22"/>
        </w:rPr>
        <w:t> </w:t>
      </w:r>
      <w:r>
        <w:rPr>
          <w:sz w:val="22"/>
        </w:rPr>
        <w:t>se</w:t>
      </w:r>
      <w:r>
        <w:rPr>
          <w:spacing w:val="-3"/>
          <w:sz w:val="22"/>
        </w:rPr>
        <w:t> </w:t>
      </w:r>
      <w:r>
        <w:rPr>
          <w:sz w:val="22"/>
        </w:rPr>
        <w:t>adopta</w:t>
      </w:r>
      <w:r>
        <w:rPr>
          <w:spacing w:val="-3"/>
          <w:sz w:val="22"/>
        </w:rPr>
        <w:t> </w:t>
      </w:r>
      <w:r>
        <w:rPr>
          <w:sz w:val="22"/>
        </w:rPr>
        <w:t>la</w:t>
      </w:r>
      <w:r>
        <w:rPr>
          <w:spacing w:val="-3"/>
          <w:sz w:val="22"/>
        </w:rPr>
        <w:t> </w:t>
      </w:r>
      <w:r>
        <w:rPr>
          <w:sz w:val="22"/>
        </w:rPr>
        <w:t>versión</w:t>
      </w:r>
      <w:r>
        <w:rPr>
          <w:spacing w:val="-3"/>
          <w:sz w:val="22"/>
        </w:rPr>
        <w:t> </w:t>
      </w:r>
      <w:r>
        <w:rPr>
          <w:sz w:val="22"/>
        </w:rPr>
        <w:t>final</w:t>
      </w:r>
      <w:r>
        <w:rPr>
          <w:spacing w:val="-4"/>
          <w:sz w:val="22"/>
        </w:rPr>
        <w:t> </w:t>
      </w:r>
      <w:r>
        <w:rPr>
          <w:sz w:val="22"/>
        </w:rPr>
        <w:t>del</w:t>
      </w:r>
      <w:r>
        <w:rPr>
          <w:spacing w:val="-4"/>
          <w:sz w:val="22"/>
        </w:rPr>
        <w:t> </w:t>
      </w:r>
      <w:r>
        <w:rPr>
          <w:sz w:val="22"/>
        </w:rPr>
        <w:t>Plan Nacional Integrado de Energía y Clima 2021-2030.</w:t>
      </w:r>
    </w:p>
    <w:p>
      <w:pPr>
        <w:pStyle w:val="ListParagraph"/>
        <w:spacing w:after="0" w:line="240" w:lineRule="auto"/>
        <w:jc w:val="both"/>
        <w:rPr>
          <w:sz w:val="22"/>
        </w:rPr>
        <w:sectPr>
          <w:pgSz w:w="11910" w:h="16840"/>
          <w:pgMar w:header="1270" w:footer="683" w:top="2800" w:bottom="880" w:left="141" w:right="141"/>
        </w:sectPr>
      </w:pPr>
    </w:p>
    <w:p>
      <w:pPr>
        <w:pStyle w:val="BodyText"/>
        <w:spacing w:before="228"/>
      </w:pPr>
    </w:p>
    <w:p>
      <w:pPr>
        <w:pStyle w:val="ListParagraph"/>
        <w:numPr>
          <w:ilvl w:val="1"/>
          <w:numId w:val="10"/>
        </w:numPr>
        <w:tabs>
          <w:tab w:pos="1705" w:val="left" w:leader="none"/>
        </w:tabs>
        <w:spacing w:line="240" w:lineRule="auto" w:before="0" w:after="0"/>
        <w:ind w:left="1705" w:right="987" w:hanging="356"/>
        <w:jc w:val="both"/>
        <w:rPr>
          <w:sz w:val="22"/>
        </w:rPr>
      </w:pPr>
      <w:r>
        <w:rPr>
          <w:sz w:val="22"/>
        </w:rPr>
        <w:t>Orden</w:t>
      </w:r>
      <w:r>
        <w:rPr>
          <w:spacing w:val="-4"/>
          <w:sz w:val="22"/>
        </w:rPr>
        <w:t> </w:t>
      </w:r>
      <w:r>
        <w:rPr>
          <w:sz w:val="22"/>
        </w:rPr>
        <w:t>TMA/892/2021, de</w:t>
      </w:r>
      <w:r>
        <w:rPr>
          <w:spacing w:val="-2"/>
          <w:sz w:val="22"/>
        </w:rPr>
        <w:t> </w:t>
      </w:r>
      <w:r>
        <w:rPr>
          <w:sz w:val="22"/>
        </w:rPr>
        <w:t>17</w:t>
      </w:r>
      <w:r>
        <w:rPr>
          <w:spacing w:val="-2"/>
          <w:sz w:val="22"/>
        </w:rPr>
        <w:t> </w:t>
      </w:r>
      <w:r>
        <w:rPr>
          <w:sz w:val="22"/>
        </w:rPr>
        <w:t>de</w:t>
      </w:r>
      <w:r>
        <w:rPr>
          <w:spacing w:val="-2"/>
          <w:sz w:val="22"/>
        </w:rPr>
        <w:t> </w:t>
      </w:r>
      <w:r>
        <w:rPr>
          <w:sz w:val="22"/>
        </w:rPr>
        <w:t>agosto,</w:t>
      </w:r>
      <w:r>
        <w:rPr>
          <w:spacing w:val="-3"/>
          <w:sz w:val="22"/>
        </w:rPr>
        <w:t> </w:t>
      </w:r>
      <w:r>
        <w:rPr>
          <w:sz w:val="22"/>
        </w:rPr>
        <w:t>por</w:t>
      </w:r>
      <w:r>
        <w:rPr>
          <w:spacing w:val="-1"/>
          <w:sz w:val="22"/>
        </w:rPr>
        <w:t> </w:t>
      </w:r>
      <w:r>
        <w:rPr>
          <w:sz w:val="22"/>
        </w:rPr>
        <w:t>la</w:t>
      </w:r>
      <w:r>
        <w:rPr>
          <w:spacing w:val="-2"/>
          <w:sz w:val="22"/>
        </w:rPr>
        <w:t> </w:t>
      </w:r>
      <w:r>
        <w:rPr>
          <w:sz w:val="22"/>
        </w:rPr>
        <w:t>que</w:t>
      </w:r>
      <w:r>
        <w:rPr>
          <w:spacing w:val="-2"/>
          <w:sz w:val="22"/>
        </w:rPr>
        <w:t> </w:t>
      </w:r>
      <w:r>
        <w:rPr>
          <w:sz w:val="22"/>
        </w:rPr>
        <w:t>se</w:t>
      </w:r>
      <w:r>
        <w:rPr>
          <w:spacing w:val="-1"/>
          <w:sz w:val="22"/>
        </w:rPr>
        <w:t> </w:t>
      </w:r>
      <w:r>
        <w:rPr>
          <w:sz w:val="22"/>
        </w:rPr>
        <w:t>aprueban</w:t>
      </w:r>
      <w:r>
        <w:rPr>
          <w:spacing w:val="-4"/>
          <w:sz w:val="22"/>
        </w:rPr>
        <w:t> </w:t>
      </w:r>
      <w:r>
        <w:rPr>
          <w:sz w:val="22"/>
        </w:rPr>
        <w:t>las</w:t>
      </w:r>
      <w:r>
        <w:rPr>
          <w:spacing w:val="-2"/>
          <w:sz w:val="22"/>
        </w:rPr>
        <w:t> </w:t>
      </w:r>
      <w:r>
        <w:rPr>
          <w:sz w:val="22"/>
        </w:rPr>
        <w:t>bases</w:t>
      </w:r>
      <w:r>
        <w:rPr>
          <w:spacing w:val="-4"/>
          <w:sz w:val="22"/>
        </w:rPr>
        <w:t> </w:t>
      </w:r>
      <w:r>
        <w:rPr>
          <w:sz w:val="22"/>
        </w:rPr>
        <w:t>reguladoras</w:t>
      </w:r>
      <w:r>
        <w:rPr>
          <w:spacing w:val="-1"/>
          <w:sz w:val="22"/>
        </w:rPr>
        <w:t> </w:t>
      </w:r>
      <w:r>
        <w:rPr>
          <w:sz w:val="22"/>
        </w:rPr>
        <w:t>para el</w:t>
      </w:r>
      <w:r>
        <w:rPr>
          <w:spacing w:val="-1"/>
          <w:sz w:val="22"/>
        </w:rPr>
        <w:t> </w:t>
      </w:r>
      <w:r>
        <w:rPr>
          <w:sz w:val="22"/>
        </w:rPr>
        <w:t>Programa de</w:t>
      </w:r>
      <w:r>
        <w:rPr>
          <w:spacing w:val="-2"/>
          <w:sz w:val="22"/>
        </w:rPr>
        <w:t> </w:t>
      </w:r>
      <w:r>
        <w:rPr>
          <w:sz w:val="22"/>
        </w:rPr>
        <w:t>ayudas</w:t>
      </w:r>
      <w:r>
        <w:rPr>
          <w:spacing w:val="-3"/>
          <w:sz w:val="22"/>
        </w:rPr>
        <w:t> </w:t>
      </w:r>
      <w:r>
        <w:rPr>
          <w:sz w:val="22"/>
        </w:rPr>
        <w:t>a municipios para la</w:t>
      </w:r>
      <w:r>
        <w:rPr>
          <w:spacing w:val="-2"/>
          <w:sz w:val="22"/>
        </w:rPr>
        <w:t> </w:t>
      </w:r>
      <w:r>
        <w:rPr>
          <w:sz w:val="22"/>
        </w:rPr>
        <w:t>implantación de</w:t>
      </w:r>
      <w:r>
        <w:rPr>
          <w:spacing w:val="-2"/>
          <w:sz w:val="22"/>
        </w:rPr>
        <w:t> </w:t>
      </w:r>
      <w:r>
        <w:rPr>
          <w:sz w:val="22"/>
        </w:rPr>
        <w:t>zonas</w:t>
      </w:r>
      <w:r>
        <w:rPr>
          <w:spacing w:val="-2"/>
          <w:sz w:val="22"/>
        </w:rPr>
        <w:t> </w:t>
      </w:r>
      <w:r>
        <w:rPr>
          <w:sz w:val="22"/>
        </w:rPr>
        <w:t>de bajas emisiones</w:t>
      </w:r>
      <w:r>
        <w:rPr>
          <w:spacing w:val="-2"/>
          <w:sz w:val="22"/>
        </w:rPr>
        <w:t> </w:t>
      </w:r>
      <w:r>
        <w:rPr>
          <w:sz w:val="22"/>
        </w:rPr>
        <w:t>y la transformación digital y sostenible del transporte urbano, en el marco del Plan de Recuperación, Transformación y Resiliencia, y se aprueba y publica la convocatoria correspondiente al ejercicio 2021.</w:t>
      </w:r>
    </w:p>
    <w:p>
      <w:pPr>
        <w:pStyle w:val="ListParagraph"/>
        <w:numPr>
          <w:ilvl w:val="1"/>
          <w:numId w:val="10"/>
        </w:numPr>
        <w:tabs>
          <w:tab w:pos="1705" w:val="left" w:leader="none"/>
        </w:tabs>
        <w:spacing w:line="240" w:lineRule="auto" w:before="120" w:after="0"/>
        <w:ind w:left="1705" w:right="990" w:hanging="356"/>
        <w:jc w:val="both"/>
        <w:rPr>
          <w:sz w:val="22"/>
        </w:rPr>
      </w:pPr>
      <w:r>
        <w:rPr>
          <w:sz w:val="22"/>
        </w:rPr>
        <w:t>Orden TMA/1012/2022, de 20 de octubre, por la que se modifica la Orden TMA/892/2021, del</w:t>
      </w:r>
      <w:r>
        <w:rPr>
          <w:spacing w:val="-12"/>
          <w:sz w:val="22"/>
        </w:rPr>
        <w:t> </w:t>
      </w:r>
      <w:r>
        <w:rPr>
          <w:sz w:val="22"/>
        </w:rPr>
        <w:t>17</w:t>
      </w:r>
      <w:r>
        <w:rPr>
          <w:spacing w:val="-12"/>
          <w:sz w:val="22"/>
        </w:rPr>
        <w:t> </w:t>
      </w:r>
      <w:r>
        <w:rPr>
          <w:sz w:val="22"/>
        </w:rPr>
        <w:t>de</w:t>
      </w:r>
      <w:r>
        <w:rPr>
          <w:spacing w:val="-12"/>
          <w:sz w:val="22"/>
        </w:rPr>
        <w:t> </w:t>
      </w:r>
      <w:r>
        <w:rPr>
          <w:sz w:val="22"/>
        </w:rPr>
        <w:t>agosto,</w:t>
      </w:r>
      <w:r>
        <w:rPr>
          <w:spacing w:val="-12"/>
          <w:sz w:val="22"/>
        </w:rPr>
        <w:t> </w:t>
      </w:r>
      <w:r>
        <w:rPr>
          <w:sz w:val="22"/>
        </w:rPr>
        <w:t>por</w:t>
      </w:r>
      <w:r>
        <w:rPr>
          <w:spacing w:val="-10"/>
          <w:sz w:val="22"/>
        </w:rPr>
        <w:t> </w:t>
      </w:r>
      <w:r>
        <w:rPr>
          <w:sz w:val="22"/>
        </w:rPr>
        <w:t>la</w:t>
      </w:r>
      <w:r>
        <w:rPr>
          <w:spacing w:val="-11"/>
          <w:sz w:val="22"/>
        </w:rPr>
        <w:t> </w:t>
      </w:r>
      <w:r>
        <w:rPr>
          <w:sz w:val="22"/>
        </w:rPr>
        <w:t>que</w:t>
      </w:r>
      <w:r>
        <w:rPr>
          <w:spacing w:val="-12"/>
          <w:sz w:val="22"/>
        </w:rPr>
        <w:t> </w:t>
      </w:r>
      <w:r>
        <w:rPr>
          <w:sz w:val="22"/>
        </w:rPr>
        <w:t>se</w:t>
      </w:r>
      <w:r>
        <w:rPr>
          <w:spacing w:val="-11"/>
          <w:sz w:val="22"/>
        </w:rPr>
        <w:t> </w:t>
      </w:r>
      <w:r>
        <w:rPr>
          <w:sz w:val="22"/>
        </w:rPr>
        <w:t>aprueban</w:t>
      </w:r>
      <w:r>
        <w:rPr>
          <w:spacing w:val="-11"/>
          <w:sz w:val="22"/>
        </w:rPr>
        <w:t> </w:t>
      </w:r>
      <w:r>
        <w:rPr>
          <w:sz w:val="22"/>
        </w:rPr>
        <w:t>las</w:t>
      </w:r>
      <w:r>
        <w:rPr>
          <w:spacing w:val="-11"/>
          <w:sz w:val="22"/>
        </w:rPr>
        <w:t> </w:t>
      </w:r>
      <w:r>
        <w:rPr>
          <w:sz w:val="22"/>
        </w:rPr>
        <w:t>bases</w:t>
      </w:r>
      <w:r>
        <w:rPr>
          <w:spacing w:val="-11"/>
          <w:sz w:val="22"/>
        </w:rPr>
        <w:t> </w:t>
      </w:r>
      <w:r>
        <w:rPr>
          <w:sz w:val="22"/>
        </w:rPr>
        <w:t>reguladoras</w:t>
      </w:r>
      <w:r>
        <w:rPr>
          <w:spacing w:val="-11"/>
          <w:sz w:val="22"/>
        </w:rPr>
        <w:t> </w:t>
      </w:r>
      <w:r>
        <w:rPr>
          <w:sz w:val="22"/>
        </w:rPr>
        <w:t>para</w:t>
      </w:r>
      <w:r>
        <w:rPr>
          <w:spacing w:val="-11"/>
          <w:sz w:val="22"/>
        </w:rPr>
        <w:t> </w:t>
      </w:r>
      <w:r>
        <w:rPr>
          <w:sz w:val="22"/>
        </w:rPr>
        <w:t>el</w:t>
      </w:r>
      <w:r>
        <w:rPr>
          <w:spacing w:val="-12"/>
          <w:sz w:val="22"/>
        </w:rPr>
        <w:t> </w:t>
      </w:r>
      <w:r>
        <w:rPr>
          <w:sz w:val="22"/>
        </w:rPr>
        <w:t>Programa</w:t>
      </w:r>
      <w:r>
        <w:rPr>
          <w:spacing w:val="-11"/>
          <w:sz w:val="22"/>
        </w:rPr>
        <w:t> </w:t>
      </w:r>
      <w:r>
        <w:rPr>
          <w:sz w:val="22"/>
        </w:rPr>
        <w:t>de</w:t>
      </w:r>
      <w:r>
        <w:rPr>
          <w:spacing w:val="-12"/>
          <w:sz w:val="22"/>
        </w:rPr>
        <w:t> </w:t>
      </w:r>
      <w:r>
        <w:rPr>
          <w:sz w:val="22"/>
        </w:rPr>
        <w:t>ayudas a municipios para la implantación de zonas de bajas emisiones y la transformación digital</w:t>
      </w:r>
      <w:r>
        <w:rPr>
          <w:spacing w:val="-1"/>
          <w:sz w:val="22"/>
        </w:rPr>
        <w:t> </w:t>
      </w:r>
      <w:r>
        <w:rPr>
          <w:sz w:val="22"/>
        </w:rPr>
        <w:t>y sostenible del transporte urbano, en el marco del Plan de Recuperación, Transformación y Resiliencia, y se aprueba y publica la convocatoria correspondiente al ejercicio 2021.</w:t>
      </w:r>
    </w:p>
    <w:p>
      <w:pPr>
        <w:pStyle w:val="ListParagraph"/>
        <w:numPr>
          <w:ilvl w:val="1"/>
          <w:numId w:val="10"/>
        </w:numPr>
        <w:tabs>
          <w:tab w:pos="1705" w:val="left" w:leader="none"/>
        </w:tabs>
        <w:spacing w:line="240" w:lineRule="auto" w:before="120" w:after="0"/>
        <w:ind w:left="1705" w:right="989" w:hanging="356"/>
        <w:jc w:val="both"/>
        <w:rPr>
          <w:sz w:val="22"/>
        </w:rPr>
      </w:pPr>
      <w:hyperlink r:id="rId76">
        <w:r>
          <w:rPr>
            <w:sz w:val="22"/>
          </w:rPr>
          <w:t>Orden</w:t>
        </w:r>
        <w:r>
          <w:rPr>
            <w:spacing w:val="-9"/>
            <w:sz w:val="22"/>
          </w:rPr>
          <w:t> </w:t>
        </w:r>
        <w:r>
          <w:rPr>
            <w:sz w:val="22"/>
          </w:rPr>
          <w:t>TRM/1422/2023,</w:t>
        </w:r>
        <w:r>
          <w:rPr>
            <w:spacing w:val="-9"/>
            <w:sz w:val="22"/>
          </w:rPr>
          <w:t> </w:t>
        </w:r>
        <w:r>
          <w:rPr>
            <w:sz w:val="22"/>
          </w:rPr>
          <w:t>de</w:t>
        </w:r>
        <w:r>
          <w:rPr>
            <w:spacing w:val="-7"/>
            <w:sz w:val="22"/>
          </w:rPr>
          <w:t> </w:t>
        </w:r>
        <w:r>
          <w:rPr>
            <w:sz w:val="22"/>
          </w:rPr>
          <w:t>22</w:t>
        </w:r>
        <w:r>
          <w:rPr>
            <w:spacing w:val="-7"/>
            <w:sz w:val="22"/>
          </w:rPr>
          <w:t> </w:t>
        </w:r>
        <w:r>
          <w:rPr>
            <w:sz w:val="22"/>
          </w:rPr>
          <w:t>de</w:t>
        </w:r>
        <w:r>
          <w:rPr>
            <w:spacing w:val="-9"/>
            <w:sz w:val="22"/>
          </w:rPr>
          <w:t> </w:t>
        </w:r>
        <w:r>
          <w:rPr>
            <w:sz w:val="22"/>
          </w:rPr>
          <w:t>diciembre,</w:t>
        </w:r>
      </w:hyperlink>
      <w:r>
        <w:rPr>
          <w:spacing w:val="-7"/>
          <w:sz w:val="22"/>
        </w:rPr>
        <w:t> </w:t>
      </w:r>
      <w:r>
        <w:rPr>
          <w:sz w:val="22"/>
        </w:rPr>
        <w:t>por</w:t>
      </w:r>
      <w:r>
        <w:rPr>
          <w:spacing w:val="-8"/>
          <w:sz w:val="22"/>
        </w:rPr>
        <w:t> </w:t>
      </w:r>
      <w:r>
        <w:rPr>
          <w:sz w:val="22"/>
        </w:rPr>
        <w:t>la</w:t>
      </w:r>
      <w:r>
        <w:rPr>
          <w:spacing w:val="-6"/>
          <w:sz w:val="22"/>
        </w:rPr>
        <w:t> </w:t>
      </w:r>
      <w:r>
        <w:rPr>
          <w:sz w:val="22"/>
        </w:rPr>
        <w:t>que</w:t>
      </w:r>
      <w:r>
        <w:rPr>
          <w:spacing w:val="-6"/>
          <w:sz w:val="22"/>
        </w:rPr>
        <w:t> </w:t>
      </w:r>
      <w:r>
        <w:rPr>
          <w:sz w:val="22"/>
        </w:rPr>
        <w:t>se</w:t>
      </w:r>
      <w:r>
        <w:rPr>
          <w:spacing w:val="-11"/>
          <w:sz w:val="22"/>
        </w:rPr>
        <w:t> </w:t>
      </w:r>
      <w:r>
        <w:rPr>
          <w:sz w:val="22"/>
        </w:rPr>
        <w:t>modifica</w:t>
      </w:r>
      <w:r>
        <w:rPr>
          <w:spacing w:val="-6"/>
          <w:sz w:val="22"/>
        </w:rPr>
        <w:t> </w:t>
      </w:r>
      <w:r>
        <w:rPr>
          <w:sz w:val="22"/>
        </w:rPr>
        <w:t>la</w:t>
      </w:r>
      <w:r>
        <w:rPr>
          <w:spacing w:val="-9"/>
          <w:sz w:val="22"/>
        </w:rPr>
        <w:t> </w:t>
      </w:r>
      <w:r>
        <w:rPr>
          <w:sz w:val="22"/>
        </w:rPr>
        <w:t>Orden</w:t>
      </w:r>
      <w:r>
        <w:rPr>
          <w:spacing w:val="-7"/>
          <w:sz w:val="22"/>
        </w:rPr>
        <w:t> </w:t>
      </w:r>
      <w:r>
        <w:rPr>
          <w:sz w:val="22"/>
        </w:rPr>
        <w:t>TMA/892/2021, de</w:t>
      </w:r>
      <w:r>
        <w:rPr>
          <w:spacing w:val="-7"/>
          <w:sz w:val="22"/>
        </w:rPr>
        <w:t> </w:t>
      </w:r>
      <w:r>
        <w:rPr>
          <w:sz w:val="22"/>
        </w:rPr>
        <w:t>17</w:t>
      </w:r>
      <w:r>
        <w:rPr>
          <w:spacing w:val="-9"/>
          <w:sz w:val="22"/>
        </w:rPr>
        <w:t> </w:t>
      </w:r>
      <w:r>
        <w:rPr>
          <w:sz w:val="22"/>
        </w:rPr>
        <w:t>de</w:t>
      </w:r>
      <w:r>
        <w:rPr>
          <w:spacing w:val="-9"/>
          <w:sz w:val="22"/>
        </w:rPr>
        <w:t> </w:t>
      </w:r>
      <w:r>
        <w:rPr>
          <w:sz w:val="22"/>
        </w:rPr>
        <w:t>agosto,</w:t>
      </w:r>
      <w:r>
        <w:rPr>
          <w:spacing w:val="-7"/>
          <w:sz w:val="22"/>
        </w:rPr>
        <w:t> </w:t>
      </w:r>
      <w:r>
        <w:rPr>
          <w:sz w:val="22"/>
        </w:rPr>
        <w:t>por</w:t>
      </w:r>
      <w:r>
        <w:rPr>
          <w:spacing w:val="-8"/>
          <w:sz w:val="22"/>
        </w:rPr>
        <w:t> </w:t>
      </w:r>
      <w:r>
        <w:rPr>
          <w:sz w:val="22"/>
        </w:rPr>
        <w:t>la</w:t>
      </w:r>
      <w:r>
        <w:rPr>
          <w:spacing w:val="-9"/>
          <w:sz w:val="22"/>
        </w:rPr>
        <w:t> </w:t>
      </w:r>
      <w:r>
        <w:rPr>
          <w:sz w:val="22"/>
        </w:rPr>
        <w:t>que</w:t>
      </w:r>
      <w:r>
        <w:rPr>
          <w:spacing w:val="-7"/>
          <w:sz w:val="22"/>
        </w:rPr>
        <w:t> </w:t>
      </w:r>
      <w:r>
        <w:rPr>
          <w:sz w:val="22"/>
        </w:rPr>
        <w:t>se</w:t>
      </w:r>
      <w:r>
        <w:rPr>
          <w:spacing w:val="-9"/>
          <w:sz w:val="22"/>
        </w:rPr>
        <w:t> </w:t>
      </w:r>
      <w:r>
        <w:rPr>
          <w:sz w:val="22"/>
        </w:rPr>
        <w:t>aprueban</w:t>
      </w:r>
      <w:r>
        <w:rPr>
          <w:spacing w:val="-7"/>
          <w:sz w:val="22"/>
        </w:rPr>
        <w:t> </w:t>
      </w:r>
      <w:r>
        <w:rPr>
          <w:sz w:val="22"/>
        </w:rPr>
        <w:t>las</w:t>
      </w:r>
      <w:r>
        <w:rPr>
          <w:spacing w:val="-9"/>
          <w:sz w:val="22"/>
        </w:rPr>
        <w:t> </w:t>
      </w:r>
      <w:r>
        <w:rPr>
          <w:sz w:val="22"/>
        </w:rPr>
        <w:t>bases</w:t>
      </w:r>
      <w:r>
        <w:rPr>
          <w:spacing w:val="-8"/>
          <w:sz w:val="22"/>
        </w:rPr>
        <w:t> </w:t>
      </w:r>
      <w:r>
        <w:rPr>
          <w:sz w:val="22"/>
        </w:rPr>
        <w:t>reguladoras</w:t>
      </w:r>
      <w:r>
        <w:rPr>
          <w:spacing w:val="-8"/>
          <w:sz w:val="22"/>
        </w:rPr>
        <w:t> </w:t>
      </w:r>
      <w:r>
        <w:rPr>
          <w:sz w:val="22"/>
        </w:rPr>
        <w:t>para</w:t>
      </w:r>
      <w:r>
        <w:rPr>
          <w:spacing w:val="-9"/>
          <w:sz w:val="22"/>
        </w:rPr>
        <w:t> </w:t>
      </w:r>
      <w:r>
        <w:rPr>
          <w:sz w:val="22"/>
        </w:rPr>
        <w:t>el</w:t>
      </w:r>
      <w:r>
        <w:rPr>
          <w:spacing w:val="-10"/>
          <w:sz w:val="22"/>
        </w:rPr>
        <w:t> </w:t>
      </w:r>
      <w:r>
        <w:rPr>
          <w:sz w:val="22"/>
        </w:rPr>
        <w:t>Programa</w:t>
      </w:r>
      <w:r>
        <w:rPr>
          <w:spacing w:val="-9"/>
          <w:sz w:val="22"/>
        </w:rPr>
        <w:t> </w:t>
      </w:r>
      <w:r>
        <w:rPr>
          <w:sz w:val="22"/>
        </w:rPr>
        <w:t>de</w:t>
      </w:r>
      <w:r>
        <w:rPr>
          <w:spacing w:val="-9"/>
          <w:sz w:val="22"/>
        </w:rPr>
        <w:t> </w:t>
      </w:r>
      <w:r>
        <w:rPr>
          <w:sz w:val="22"/>
        </w:rPr>
        <w:t>ayudas a municipios para la implantación de zonas de bajas emisiones y la transformación digital</w:t>
      </w:r>
      <w:r>
        <w:rPr>
          <w:spacing w:val="-1"/>
          <w:sz w:val="22"/>
        </w:rPr>
        <w:t> </w:t>
      </w:r>
      <w:r>
        <w:rPr>
          <w:sz w:val="22"/>
        </w:rPr>
        <w:t>y sostenible del transporte urbano, en el marco del Plan de Recuperación, Transformación y Resiliencia, y se aprueba y publica la convocatoria correspondiente al ejercicio 2021.</w:t>
      </w:r>
    </w:p>
    <w:p>
      <w:pPr>
        <w:pStyle w:val="ListParagraph"/>
        <w:numPr>
          <w:ilvl w:val="1"/>
          <w:numId w:val="10"/>
        </w:numPr>
        <w:tabs>
          <w:tab w:pos="1705" w:val="left" w:leader="none"/>
        </w:tabs>
        <w:spacing w:line="240" w:lineRule="auto" w:before="120" w:after="0"/>
        <w:ind w:left="1705" w:right="989" w:hanging="356"/>
        <w:jc w:val="both"/>
        <w:rPr>
          <w:sz w:val="22"/>
        </w:rPr>
      </w:pPr>
      <w:r>
        <w:rPr>
          <w:sz w:val="22"/>
        </w:rPr>
        <w:t>Resolución Provisional de 23 de enero de 2023 de la Secretaria General de Transportes y Movilidad, de modificación de la Orden Ministerial por la que se conceden las ayudas de la primera convocatoria del Programa de ayudas a municipios para la implantación de zonas de</w:t>
      </w:r>
      <w:r>
        <w:rPr>
          <w:spacing w:val="-15"/>
          <w:sz w:val="22"/>
        </w:rPr>
        <w:t> </w:t>
      </w:r>
      <w:r>
        <w:rPr>
          <w:sz w:val="22"/>
        </w:rPr>
        <w:t>bajas</w:t>
      </w:r>
      <w:r>
        <w:rPr>
          <w:spacing w:val="-15"/>
          <w:sz w:val="22"/>
        </w:rPr>
        <w:t> </w:t>
      </w:r>
      <w:r>
        <w:rPr>
          <w:sz w:val="22"/>
        </w:rPr>
        <w:t>emisiones</w:t>
      </w:r>
      <w:r>
        <w:rPr>
          <w:spacing w:val="-13"/>
          <w:sz w:val="22"/>
        </w:rPr>
        <w:t> </w:t>
      </w:r>
      <w:r>
        <w:rPr>
          <w:sz w:val="22"/>
        </w:rPr>
        <w:t>y</w:t>
      </w:r>
      <w:r>
        <w:rPr>
          <w:spacing w:val="-16"/>
          <w:sz w:val="22"/>
        </w:rPr>
        <w:t> </w:t>
      </w:r>
      <w:r>
        <w:rPr>
          <w:sz w:val="22"/>
        </w:rPr>
        <w:t>la</w:t>
      </w:r>
      <w:r>
        <w:rPr>
          <w:spacing w:val="-13"/>
          <w:sz w:val="22"/>
        </w:rPr>
        <w:t> </w:t>
      </w:r>
      <w:r>
        <w:rPr>
          <w:sz w:val="22"/>
        </w:rPr>
        <w:t>transformación</w:t>
      </w:r>
      <w:r>
        <w:rPr>
          <w:spacing w:val="-14"/>
          <w:sz w:val="22"/>
        </w:rPr>
        <w:t> </w:t>
      </w:r>
      <w:r>
        <w:rPr>
          <w:sz w:val="22"/>
        </w:rPr>
        <w:t>digital</w:t>
      </w:r>
      <w:r>
        <w:rPr>
          <w:spacing w:val="-15"/>
          <w:sz w:val="22"/>
        </w:rPr>
        <w:t> </w:t>
      </w:r>
      <w:r>
        <w:rPr>
          <w:sz w:val="22"/>
        </w:rPr>
        <w:t>y</w:t>
      </w:r>
      <w:r>
        <w:rPr>
          <w:spacing w:val="-16"/>
          <w:sz w:val="22"/>
        </w:rPr>
        <w:t> </w:t>
      </w:r>
      <w:r>
        <w:rPr>
          <w:sz w:val="22"/>
        </w:rPr>
        <w:t>sostenible</w:t>
      </w:r>
      <w:r>
        <w:rPr>
          <w:spacing w:val="-13"/>
          <w:sz w:val="22"/>
        </w:rPr>
        <w:t> </w:t>
      </w:r>
      <w:r>
        <w:rPr>
          <w:sz w:val="22"/>
        </w:rPr>
        <w:t>del</w:t>
      </w:r>
      <w:r>
        <w:rPr>
          <w:spacing w:val="-14"/>
          <w:sz w:val="22"/>
        </w:rPr>
        <w:t> </w:t>
      </w:r>
      <w:r>
        <w:rPr>
          <w:sz w:val="22"/>
        </w:rPr>
        <w:t>transporte</w:t>
      </w:r>
      <w:r>
        <w:rPr>
          <w:spacing w:val="-14"/>
          <w:sz w:val="22"/>
        </w:rPr>
        <w:t> </w:t>
      </w:r>
      <w:r>
        <w:rPr>
          <w:sz w:val="22"/>
        </w:rPr>
        <w:t>urbano,</w:t>
      </w:r>
      <w:r>
        <w:rPr>
          <w:spacing w:val="-12"/>
          <w:sz w:val="22"/>
        </w:rPr>
        <w:t> </w:t>
      </w:r>
      <w:r>
        <w:rPr>
          <w:sz w:val="22"/>
        </w:rPr>
        <w:t>en</w:t>
      </w:r>
      <w:r>
        <w:rPr>
          <w:spacing w:val="-14"/>
          <w:sz w:val="22"/>
        </w:rPr>
        <w:t> </w:t>
      </w:r>
      <w:r>
        <w:rPr>
          <w:sz w:val="22"/>
        </w:rPr>
        <w:t>el</w:t>
      </w:r>
      <w:r>
        <w:rPr>
          <w:spacing w:val="-16"/>
          <w:sz w:val="22"/>
        </w:rPr>
        <w:t> </w:t>
      </w:r>
      <w:r>
        <w:rPr>
          <w:sz w:val="22"/>
        </w:rPr>
        <w:t>marco del Plan de Recuperación, Transformación y Resiliencia.</w:t>
      </w:r>
    </w:p>
    <w:p>
      <w:pPr>
        <w:pStyle w:val="ListParagraph"/>
        <w:numPr>
          <w:ilvl w:val="1"/>
          <w:numId w:val="10"/>
        </w:numPr>
        <w:tabs>
          <w:tab w:pos="1705" w:val="left" w:leader="none"/>
        </w:tabs>
        <w:spacing w:line="240" w:lineRule="auto" w:before="121" w:after="0"/>
        <w:ind w:left="1705" w:right="989" w:hanging="356"/>
        <w:jc w:val="both"/>
        <w:rPr>
          <w:sz w:val="22"/>
        </w:rPr>
      </w:pPr>
      <w:r>
        <w:rPr>
          <w:sz w:val="22"/>
        </w:rPr>
        <w:t>Orden</w:t>
      </w:r>
      <w:r>
        <w:rPr>
          <w:spacing w:val="-3"/>
          <w:sz w:val="22"/>
        </w:rPr>
        <w:t> </w:t>
      </w:r>
      <w:r>
        <w:rPr>
          <w:sz w:val="22"/>
        </w:rPr>
        <w:t>Ministerial</w:t>
      </w:r>
      <w:r>
        <w:rPr>
          <w:spacing w:val="-2"/>
          <w:sz w:val="22"/>
        </w:rPr>
        <w:t> </w:t>
      </w:r>
      <w:r>
        <w:rPr>
          <w:sz w:val="22"/>
        </w:rPr>
        <w:t>de</w:t>
      </w:r>
      <w:r>
        <w:rPr>
          <w:spacing w:val="-1"/>
          <w:sz w:val="22"/>
        </w:rPr>
        <w:t> </w:t>
      </w:r>
      <w:r>
        <w:rPr>
          <w:sz w:val="22"/>
        </w:rPr>
        <w:t>25</w:t>
      </w:r>
      <w:r>
        <w:rPr>
          <w:spacing w:val="-6"/>
          <w:sz w:val="22"/>
        </w:rPr>
        <w:t> </w:t>
      </w:r>
      <w:r>
        <w:rPr>
          <w:sz w:val="22"/>
        </w:rPr>
        <w:t>de</w:t>
      </w:r>
      <w:r>
        <w:rPr>
          <w:spacing w:val="-1"/>
          <w:sz w:val="22"/>
        </w:rPr>
        <w:t> </w:t>
      </w:r>
      <w:r>
        <w:rPr>
          <w:sz w:val="22"/>
        </w:rPr>
        <w:t>mayo</w:t>
      </w:r>
      <w:r>
        <w:rPr>
          <w:spacing w:val="-3"/>
          <w:sz w:val="22"/>
        </w:rPr>
        <w:t> </w:t>
      </w:r>
      <w:r>
        <w:rPr>
          <w:sz w:val="22"/>
        </w:rPr>
        <w:t>de</w:t>
      </w:r>
      <w:r>
        <w:rPr>
          <w:spacing w:val="-3"/>
          <w:sz w:val="22"/>
        </w:rPr>
        <w:t> </w:t>
      </w:r>
      <w:r>
        <w:rPr>
          <w:sz w:val="22"/>
        </w:rPr>
        <w:t>2023</w:t>
      </w:r>
      <w:r>
        <w:rPr>
          <w:spacing w:val="-1"/>
          <w:sz w:val="22"/>
        </w:rPr>
        <w:t> </w:t>
      </w:r>
      <w:r>
        <w:rPr>
          <w:sz w:val="22"/>
        </w:rPr>
        <w:t>de</w:t>
      </w:r>
      <w:r>
        <w:rPr>
          <w:spacing w:val="-6"/>
          <w:sz w:val="22"/>
        </w:rPr>
        <w:t> </w:t>
      </w:r>
      <w:r>
        <w:rPr>
          <w:sz w:val="22"/>
        </w:rPr>
        <w:t>modificación</w:t>
      </w:r>
      <w:r>
        <w:rPr>
          <w:spacing w:val="-1"/>
          <w:sz w:val="22"/>
        </w:rPr>
        <w:t> </w:t>
      </w:r>
      <w:r>
        <w:rPr>
          <w:sz w:val="22"/>
        </w:rPr>
        <w:t>de</w:t>
      </w:r>
      <w:r>
        <w:rPr>
          <w:spacing w:val="-1"/>
          <w:sz w:val="22"/>
        </w:rPr>
        <w:t> </w:t>
      </w:r>
      <w:r>
        <w:rPr>
          <w:sz w:val="22"/>
        </w:rPr>
        <w:t>la</w:t>
      </w:r>
      <w:r>
        <w:rPr>
          <w:spacing w:val="-3"/>
          <w:sz w:val="22"/>
        </w:rPr>
        <w:t> </w:t>
      </w:r>
      <w:r>
        <w:rPr>
          <w:sz w:val="22"/>
        </w:rPr>
        <w:t>Orden</w:t>
      </w:r>
      <w:r>
        <w:rPr>
          <w:spacing w:val="-3"/>
          <w:sz w:val="22"/>
        </w:rPr>
        <w:t> </w:t>
      </w:r>
      <w:r>
        <w:rPr>
          <w:sz w:val="22"/>
        </w:rPr>
        <w:t>Ministerial</w:t>
      </w:r>
      <w:r>
        <w:rPr>
          <w:spacing w:val="-1"/>
          <w:sz w:val="22"/>
        </w:rPr>
        <w:t> </w:t>
      </w:r>
      <w:r>
        <w:rPr>
          <w:sz w:val="22"/>
        </w:rPr>
        <w:t>por</w:t>
      </w:r>
      <w:r>
        <w:rPr>
          <w:spacing w:val="-2"/>
          <w:sz w:val="22"/>
        </w:rPr>
        <w:t> </w:t>
      </w:r>
      <w:r>
        <w:rPr>
          <w:sz w:val="22"/>
        </w:rPr>
        <w:t>la</w:t>
      </w:r>
      <w:r>
        <w:rPr>
          <w:spacing w:val="-1"/>
          <w:sz w:val="22"/>
        </w:rPr>
        <w:t> </w:t>
      </w:r>
      <w:r>
        <w:rPr>
          <w:sz w:val="22"/>
        </w:rPr>
        <w:t>que se conceden las ayudas de la primera convocatoria del Programa de ayudas a municipios para</w:t>
      </w:r>
      <w:r>
        <w:rPr>
          <w:spacing w:val="-6"/>
          <w:sz w:val="22"/>
        </w:rPr>
        <w:t> </w:t>
      </w:r>
      <w:r>
        <w:rPr>
          <w:sz w:val="22"/>
        </w:rPr>
        <w:t>la</w:t>
      </w:r>
      <w:r>
        <w:rPr>
          <w:spacing w:val="-9"/>
          <w:sz w:val="22"/>
        </w:rPr>
        <w:t> </w:t>
      </w:r>
      <w:r>
        <w:rPr>
          <w:sz w:val="22"/>
        </w:rPr>
        <w:t>implantación</w:t>
      </w:r>
      <w:r>
        <w:rPr>
          <w:spacing w:val="-9"/>
          <w:sz w:val="22"/>
        </w:rPr>
        <w:t> </w:t>
      </w:r>
      <w:r>
        <w:rPr>
          <w:sz w:val="22"/>
        </w:rPr>
        <w:t>de</w:t>
      </w:r>
      <w:r>
        <w:rPr>
          <w:spacing w:val="-9"/>
          <w:sz w:val="22"/>
        </w:rPr>
        <w:t> </w:t>
      </w:r>
      <w:r>
        <w:rPr>
          <w:sz w:val="22"/>
        </w:rPr>
        <w:t>zonas</w:t>
      </w:r>
      <w:r>
        <w:rPr>
          <w:spacing w:val="-6"/>
          <w:sz w:val="22"/>
        </w:rPr>
        <w:t> </w:t>
      </w:r>
      <w:r>
        <w:rPr>
          <w:sz w:val="22"/>
        </w:rPr>
        <w:t>de</w:t>
      </w:r>
      <w:r>
        <w:rPr>
          <w:spacing w:val="-9"/>
          <w:sz w:val="22"/>
        </w:rPr>
        <w:t> </w:t>
      </w:r>
      <w:r>
        <w:rPr>
          <w:sz w:val="22"/>
        </w:rPr>
        <w:t>bajas</w:t>
      </w:r>
      <w:r>
        <w:rPr>
          <w:spacing w:val="-9"/>
          <w:sz w:val="22"/>
        </w:rPr>
        <w:t> </w:t>
      </w:r>
      <w:r>
        <w:rPr>
          <w:sz w:val="22"/>
        </w:rPr>
        <w:t>emisiones</w:t>
      </w:r>
      <w:r>
        <w:rPr>
          <w:spacing w:val="-9"/>
          <w:sz w:val="22"/>
        </w:rPr>
        <w:t> </w:t>
      </w:r>
      <w:r>
        <w:rPr>
          <w:sz w:val="22"/>
        </w:rPr>
        <w:t>y</w:t>
      </w:r>
      <w:r>
        <w:rPr>
          <w:spacing w:val="-8"/>
          <w:sz w:val="22"/>
        </w:rPr>
        <w:t> </w:t>
      </w:r>
      <w:r>
        <w:rPr>
          <w:sz w:val="22"/>
        </w:rPr>
        <w:t>la</w:t>
      </w:r>
      <w:r>
        <w:rPr>
          <w:spacing w:val="-9"/>
          <w:sz w:val="22"/>
        </w:rPr>
        <w:t> </w:t>
      </w:r>
      <w:r>
        <w:rPr>
          <w:sz w:val="22"/>
        </w:rPr>
        <w:t>transformación</w:t>
      </w:r>
      <w:r>
        <w:rPr>
          <w:spacing w:val="-9"/>
          <w:sz w:val="22"/>
        </w:rPr>
        <w:t> </w:t>
      </w:r>
      <w:r>
        <w:rPr>
          <w:sz w:val="22"/>
        </w:rPr>
        <w:t>digital</w:t>
      </w:r>
      <w:r>
        <w:rPr>
          <w:spacing w:val="-7"/>
          <w:sz w:val="22"/>
        </w:rPr>
        <w:t> </w:t>
      </w:r>
      <w:r>
        <w:rPr>
          <w:sz w:val="22"/>
        </w:rPr>
        <w:t>y</w:t>
      </w:r>
      <w:r>
        <w:rPr>
          <w:spacing w:val="-6"/>
          <w:sz w:val="22"/>
        </w:rPr>
        <w:t> </w:t>
      </w:r>
      <w:r>
        <w:rPr>
          <w:sz w:val="22"/>
        </w:rPr>
        <w:t>sostenible</w:t>
      </w:r>
      <w:r>
        <w:rPr>
          <w:spacing w:val="-6"/>
          <w:sz w:val="22"/>
        </w:rPr>
        <w:t> </w:t>
      </w:r>
      <w:r>
        <w:rPr>
          <w:sz w:val="22"/>
        </w:rPr>
        <w:t>del transporte urbano, en el marco del Plan de Recuperación, Transformación y Resiliencia.</w:t>
      </w:r>
    </w:p>
    <w:p>
      <w:pPr>
        <w:pStyle w:val="ListParagraph"/>
        <w:numPr>
          <w:ilvl w:val="1"/>
          <w:numId w:val="10"/>
        </w:numPr>
        <w:tabs>
          <w:tab w:pos="1705" w:val="left" w:leader="none"/>
        </w:tabs>
        <w:spacing w:line="240" w:lineRule="auto" w:before="120" w:after="0"/>
        <w:ind w:left="1705" w:right="988" w:hanging="356"/>
        <w:jc w:val="both"/>
        <w:rPr>
          <w:sz w:val="22"/>
        </w:rPr>
      </w:pPr>
      <w:r>
        <w:rPr>
          <w:sz w:val="22"/>
        </w:rPr>
        <w:t>Orden Ministerial de 21 de julio de 2022 por la que se aprueba y publica la convocatoria correspondiente</w:t>
      </w:r>
      <w:r>
        <w:rPr>
          <w:spacing w:val="-7"/>
          <w:sz w:val="22"/>
        </w:rPr>
        <w:t> </w:t>
      </w:r>
      <w:r>
        <w:rPr>
          <w:sz w:val="22"/>
        </w:rPr>
        <w:t>al</w:t>
      </w:r>
      <w:r>
        <w:rPr>
          <w:spacing w:val="-8"/>
          <w:sz w:val="22"/>
        </w:rPr>
        <w:t> </w:t>
      </w:r>
      <w:r>
        <w:rPr>
          <w:sz w:val="22"/>
        </w:rPr>
        <w:t>ejercicio</w:t>
      </w:r>
      <w:r>
        <w:rPr>
          <w:spacing w:val="-7"/>
          <w:sz w:val="22"/>
        </w:rPr>
        <w:t> </w:t>
      </w:r>
      <w:r>
        <w:rPr>
          <w:sz w:val="22"/>
        </w:rPr>
        <w:t>2022</w:t>
      </w:r>
      <w:r>
        <w:rPr>
          <w:spacing w:val="-8"/>
          <w:sz w:val="22"/>
        </w:rPr>
        <w:t> </w:t>
      </w:r>
      <w:r>
        <w:rPr>
          <w:sz w:val="22"/>
        </w:rPr>
        <w:t>del</w:t>
      </w:r>
      <w:r>
        <w:rPr>
          <w:spacing w:val="-8"/>
          <w:sz w:val="22"/>
        </w:rPr>
        <w:t> </w:t>
      </w:r>
      <w:r>
        <w:rPr>
          <w:sz w:val="22"/>
        </w:rPr>
        <w:t>programa</w:t>
      </w:r>
      <w:r>
        <w:rPr>
          <w:spacing w:val="-9"/>
          <w:sz w:val="22"/>
        </w:rPr>
        <w:t> </w:t>
      </w:r>
      <w:r>
        <w:rPr>
          <w:sz w:val="22"/>
        </w:rPr>
        <w:t>de</w:t>
      </w:r>
      <w:r>
        <w:rPr>
          <w:spacing w:val="-7"/>
          <w:sz w:val="22"/>
        </w:rPr>
        <w:t> </w:t>
      </w:r>
      <w:r>
        <w:rPr>
          <w:sz w:val="22"/>
        </w:rPr>
        <w:t>ayudas</w:t>
      </w:r>
      <w:r>
        <w:rPr>
          <w:spacing w:val="-7"/>
          <w:sz w:val="22"/>
        </w:rPr>
        <w:t> </w:t>
      </w:r>
      <w:r>
        <w:rPr>
          <w:sz w:val="22"/>
        </w:rPr>
        <w:t>a</w:t>
      </w:r>
      <w:r>
        <w:rPr>
          <w:spacing w:val="-10"/>
          <w:sz w:val="22"/>
        </w:rPr>
        <w:t> </w:t>
      </w:r>
      <w:r>
        <w:rPr>
          <w:sz w:val="22"/>
        </w:rPr>
        <w:t>municipios</w:t>
      </w:r>
      <w:r>
        <w:rPr>
          <w:spacing w:val="-7"/>
          <w:sz w:val="22"/>
        </w:rPr>
        <w:t> </w:t>
      </w:r>
      <w:r>
        <w:rPr>
          <w:sz w:val="22"/>
        </w:rPr>
        <w:t>para</w:t>
      </w:r>
      <w:r>
        <w:rPr>
          <w:spacing w:val="-7"/>
          <w:sz w:val="22"/>
        </w:rPr>
        <w:t> </w:t>
      </w:r>
      <w:r>
        <w:rPr>
          <w:sz w:val="22"/>
        </w:rPr>
        <w:t>la</w:t>
      </w:r>
      <w:r>
        <w:rPr>
          <w:spacing w:val="-7"/>
          <w:sz w:val="22"/>
        </w:rPr>
        <w:t> </w:t>
      </w:r>
      <w:r>
        <w:rPr>
          <w:sz w:val="22"/>
        </w:rPr>
        <w:t>implantación de</w:t>
      </w:r>
      <w:r>
        <w:rPr>
          <w:spacing w:val="-2"/>
          <w:sz w:val="22"/>
        </w:rPr>
        <w:t> </w:t>
      </w:r>
      <w:r>
        <w:rPr>
          <w:sz w:val="22"/>
        </w:rPr>
        <w:t>zonas</w:t>
      </w:r>
      <w:r>
        <w:rPr>
          <w:spacing w:val="-4"/>
          <w:sz w:val="22"/>
        </w:rPr>
        <w:t> </w:t>
      </w:r>
      <w:r>
        <w:rPr>
          <w:sz w:val="22"/>
        </w:rPr>
        <w:t>de</w:t>
      </w:r>
      <w:r>
        <w:rPr>
          <w:spacing w:val="-4"/>
          <w:sz w:val="22"/>
        </w:rPr>
        <w:t> </w:t>
      </w:r>
      <w:r>
        <w:rPr>
          <w:sz w:val="22"/>
        </w:rPr>
        <w:t>bajas</w:t>
      </w:r>
      <w:r>
        <w:rPr>
          <w:spacing w:val="-4"/>
          <w:sz w:val="22"/>
        </w:rPr>
        <w:t> </w:t>
      </w:r>
      <w:r>
        <w:rPr>
          <w:sz w:val="22"/>
        </w:rPr>
        <w:t>emisiones</w:t>
      </w:r>
      <w:r>
        <w:rPr>
          <w:spacing w:val="-2"/>
          <w:sz w:val="22"/>
        </w:rPr>
        <w:t> </w:t>
      </w:r>
      <w:r>
        <w:rPr>
          <w:sz w:val="22"/>
        </w:rPr>
        <w:t>y</w:t>
      </w:r>
      <w:r>
        <w:rPr>
          <w:spacing w:val="-3"/>
          <w:sz w:val="22"/>
        </w:rPr>
        <w:t> </w:t>
      </w:r>
      <w:r>
        <w:rPr>
          <w:sz w:val="22"/>
        </w:rPr>
        <w:t>la</w:t>
      </w:r>
      <w:r>
        <w:rPr>
          <w:spacing w:val="-6"/>
          <w:sz w:val="22"/>
        </w:rPr>
        <w:t> </w:t>
      </w:r>
      <w:r>
        <w:rPr>
          <w:sz w:val="22"/>
        </w:rPr>
        <w:t>transformación</w:t>
      </w:r>
      <w:r>
        <w:rPr>
          <w:spacing w:val="-7"/>
          <w:sz w:val="22"/>
        </w:rPr>
        <w:t> </w:t>
      </w:r>
      <w:r>
        <w:rPr>
          <w:sz w:val="22"/>
        </w:rPr>
        <w:t>digital</w:t>
      </w:r>
      <w:r>
        <w:rPr>
          <w:spacing w:val="-3"/>
          <w:sz w:val="22"/>
        </w:rPr>
        <w:t> </w:t>
      </w:r>
      <w:r>
        <w:rPr>
          <w:sz w:val="22"/>
        </w:rPr>
        <w:t>y</w:t>
      </w:r>
      <w:r>
        <w:rPr>
          <w:spacing w:val="-4"/>
          <w:sz w:val="22"/>
        </w:rPr>
        <w:t> </w:t>
      </w:r>
      <w:r>
        <w:rPr>
          <w:sz w:val="22"/>
        </w:rPr>
        <w:t>sostenible</w:t>
      </w:r>
      <w:r>
        <w:rPr>
          <w:spacing w:val="-2"/>
          <w:sz w:val="22"/>
        </w:rPr>
        <w:t> </w:t>
      </w:r>
      <w:r>
        <w:rPr>
          <w:sz w:val="22"/>
        </w:rPr>
        <w:t>del</w:t>
      </w:r>
      <w:r>
        <w:rPr>
          <w:spacing w:val="-5"/>
          <w:sz w:val="22"/>
        </w:rPr>
        <w:t> </w:t>
      </w:r>
      <w:r>
        <w:rPr>
          <w:sz w:val="22"/>
        </w:rPr>
        <w:t>transporte</w:t>
      </w:r>
      <w:r>
        <w:rPr>
          <w:spacing w:val="-4"/>
          <w:sz w:val="22"/>
        </w:rPr>
        <w:t> </w:t>
      </w:r>
      <w:r>
        <w:rPr>
          <w:sz w:val="22"/>
        </w:rPr>
        <w:t>urbano</w:t>
      </w:r>
      <w:r>
        <w:rPr>
          <w:spacing w:val="-4"/>
          <w:sz w:val="22"/>
        </w:rPr>
        <w:t> </w:t>
      </w:r>
      <w:r>
        <w:rPr>
          <w:sz w:val="22"/>
        </w:rPr>
        <w:t>y de la movilidad, en el marco del Plan de Recuperación, Transformación y Resiliencia-Financiado por la Unión Europea- NextGenerationEU.</w:t>
      </w:r>
    </w:p>
    <w:p>
      <w:pPr>
        <w:pStyle w:val="ListParagraph"/>
        <w:numPr>
          <w:ilvl w:val="1"/>
          <w:numId w:val="10"/>
        </w:numPr>
        <w:tabs>
          <w:tab w:pos="1705" w:val="left" w:leader="none"/>
        </w:tabs>
        <w:spacing w:line="240" w:lineRule="auto" w:before="120" w:after="0"/>
        <w:ind w:left="1705" w:right="989" w:hanging="356"/>
        <w:jc w:val="both"/>
        <w:rPr>
          <w:sz w:val="22"/>
        </w:rPr>
      </w:pPr>
      <w:r>
        <w:rPr>
          <w:sz w:val="22"/>
        </w:rPr>
        <w:t>Orden</w:t>
      </w:r>
      <w:r>
        <w:rPr>
          <w:spacing w:val="-1"/>
          <w:sz w:val="22"/>
        </w:rPr>
        <w:t> </w:t>
      </w:r>
      <w:r>
        <w:rPr>
          <w:sz w:val="22"/>
        </w:rPr>
        <w:t>Ministerial de 17</w:t>
      </w:r>
      <w:r>
        <w:rPr>
          <w:spacing w:val="-1"/>
          <w:sz w:val="22"/>
        </w:rPr>
        <w:t> </w:t>
      </w:r>
      <w:r>
        <w:rPr>
          <w:sz w:val="22"/>
        </w:rPr>
        <w:t>de junio de 2023 por la que se conceden las ayudas de la segunda convocatoria del programa para la implantación de zonas de bajas emisiones y la transformación digital y sostenible del transporte urbano en el marco del Plan de Recuperación, Transformación y Resiliencia.</w:t>
      </w:r>
    </w:p>
    <w:p>
      <w:pPr>
        <w:pStyle w:val="ListParagraph"/>
        <w:numPr>
          <w:ilvl w:val="1"/>
          <w:numId w:val="10"/>
        </w:numPr>
        <w:tabs>
          <w:tab w:pos="1705" w:val="left" w:leader="none"/>
        </w:tabs>
        <w:spacing w:line="240" w:lineRule="auto" w:before="119" w:after="0"/>
        <w:ind w:left="1705" w:right="988" w:hanging="356"/>
        <w:jc w:val="both"/>
        <w:rPr>
          <w:sz w:val="22"/>
        </w:rPr>
      </w:pPr>
      <w:r>
        <w:rPr>
          <w:sz w:val="22"/>
        </w:rPr>
        <w:t>Orden</w:t>
      </w:r>
      <w:r>
        <w:rPr>
          <w:spacing w:val="-8"/>
          <w:sz w:val="22"/>
        </w:rPr>
        <w:t> </w:t>
      </w:r>
      <w:r>
        <w:rPr>
          <w:sz w:val="22"/>
        </w:rPr>
        <w:t>Ministerial</w:t>
      </w:r>
      <w:r>
        <w:rPr>
          <w:spacing w:val="-6"/>
          <w:sz w:val="22"/>
        </w:rPr>
        <w:t> </w:t>
      </w:r>
      <w:r>
        <w:rPr>
          <w:sz w:val="22"/>
        </w:rPr>
        <w:t>de</w:t>
      </w:r>
      <w:r>
        <w:rPr>
          <w:spacing w:val="-6"/>
          <w:sz w:val="22"/>
        </w:rPr>
        <w:t> </w:t>
      </w:r>
      <w:r>
        <w:rPr>
          <w:sz w:val="22"/>
        </w:rPr>
        <w:t>22</w:t>
      </w:r>
      <w:r>
        <w:rPr>
          <w:spacing w:val="-8"/>
          <w:sz w:val="22"/>
        </w:rPr>
        <w:t> </w:t>
      </w:r>
      <w:r>
        <w:rPr>
          <w:sz w:val="22"/>
        </w:rPr>
        <w:t>de</w:t>
      </w:r>
      <w:r>
        <w:rPr>
          <w:spacing w:val="-5"/>
          <w:sz w:val="22"/>
        </w:rPr>
        <w:t> </w:t>
      </w:r>
      <w:r>
        <w:rPr>
          <w:sz w:val="22"/>
        </w:rPr>
        <w:t>diciembre</w:t>
      </w:r>
      <w:r>
        <w:rPr>
          <w:spacing w:val="-8"/>
          <w:sz w:val="22"/>
        </w:rPr>
        <w:t> </w:t>
      </w:r>
      <w:r>
        <w:rPr>
          <w:sz w:val="22"/>
        </w:rPr>
        <w:t>de</w:t>
      </w:r>
      <w:r>
        <w:rPr>
          <w:spacing w:val="-6"/>
          <w:sz w:val="22"/>
        </w:rPr>
        <w:t> </w:t>
      </w:r>
      <w:r>
        <w:rPr>
          <w:sz w:val="22"/>
        </w:rPr>
        <w:t>2023</w:t>
      </w:r>
      <w:r>
        <w:rPr>
          <w:spacing w:val="-8"/>
          <w:sz w:val="22"/>
        </w:rPr>
        <w:t> </w:t>
      </w:r>
      <w:r>
        <w:rPr>
          <w:sz w:val="22"/>
        </w:rPr>
        <w:t>por</w:t>
      </w:r>
      <w:r>
        <w:rPr>
          <w:spacing w:val="-9"/>
          <w:sz w:val="22"/>
        </w:rPr>
        <w:t> </w:t>
      </w:r>
      <w:r>
        <w:rPr>
          <w:sz w:val="22"/>
        </w:rPr>
        <w:t>la</w:t>
      </w:r>
      <w:r>
        <w:rPr>
          <w:spacing w:val="-5"/>
          <w:sz w:val="22"/>
        </w:rPr>
        <w:t> </w:t>
      </w:r>
      <w:r>
        <w:rPr>
          <w:sz w:val="22"/>
        </w:rPr>
        <w:t>que</w:t>
      </w:r>
      <w:r>
        <w:rPr>
          <w:spacing w:val="-5"/>
          <w:sz w:val="22"/>
        </w:rPr>
        <w:t> </w:t>
      </w:r>
      <w:r>
        <w:rPr>
          <w:sz w:val="22"/>
        </w:rPr>
        <w:t>se</w:t>
      </w:r>
      <w:r>
        <w:rPr>
          <w:spacing w:val="-8"/>
          <w:sz w:val="22"/>
        </w:rPr>
        <w:t> </w:t>
      </w:r>
      <w:r>
        <w:rPr>
          <w:sz w:val="22"/>
        </w:rPr>
        <w:t>modifica</w:t>
      </w:r>
      <w:r>
        <w:rPr>
          <w:spacing w:val="-8"/>
          <w:sz w:val="22"/>
        </w:rPr>
        <w:t> </w:t>
      </w:r>
      <w:r>
        <w:rPr>
          <w:sz w:val="22"/>
        </w:rPr>
        <w:t>la</w:t>
      </w:r>
      <w:r>
        <w:rPr>
          <w:spacing w:val="-5"/>
          <w:sz w:val="22"/>
        </w:rPr>
        <w:t> </w:t>
      </w:r>
      <w:r>
        <w:rPr>
          <w:sz w:val="22"/>
        </w:rPr>
        <w:t>Orden</w:t>
      </w:r>
      <w:r>
        <w:rPr>
          <w:spacing w:val="-6"/>
          <w:sz w:val="22"/>
        </w:rPr>
        <w:t> </w:t>
      </w:r>
      <w:r>
        <w:rPr>
          <w:sz w:val="22"/>
        </w:rPr>
        <w:t>Ministerial</w:t>
      </w:r>
      <w:r>
        <w:rPr>
          <w:spacing w:val="-6"/>
          <w:sz w:val="22"/>
        </w:rPr>
        <w:t> </w:t>
      </w:r>
      <w:r>
        <w:rPr>
          <w:sz w:val="22"/>
        </w:rPr>
        <w:t>por la que</w:t>
      </w:r>
      <w:r>
        <w:rPr>
          <w:spacing w:val="-3"/>
          <w:sz w:val="22"/>
        </w:rPr>
        <w:t> </w:t>
      </w:r>
      <w:r>
        <w:rPr>
          <w:sz w:val="22"/>
        </w:rPr>
        <w:t>se aprueba</w:t>
      </w:r>
      <w:r>
        <w:rPr>
          <w:spacing w:val="-3"/>
          <w:sz w:val="22"/>
        </w:rPr>
        <w:t> </w:t>
      </w:r>
      <w:r>
        <w:rPr>
          <w:sz w:val="22"/>
        </w:rPr>
        <w:t>y</w:t>
      </w:r>
      <w:r>
        <w:rPr>
          <w:spacing w:val="-3"/>
          <w:sz w:val="22"/>
        </w:rPr>
        <w:t> </w:t>
      </w:r>
      <w:r>
        <w:rPr>
          <w:sz w:val="22"/>
        </w:rPr>
        <w:t>publica la convocatoria correspondiente al</w:t>
      </w:r>
      <w:r>
        <w:rPr>
          <w:spacing w:val="-4"/>
          <w:sz w:val="22"/>
        </w:rPr>
        <w:t> </w:t>
      </w:r>
      <w:r>
        <w:rPr>
          <w:sz w:val="22"/>
        </w:rPr>
        <w:t>ejercicio 2022 del</w:t>
      </w:r>
      <w:r>
        <w:rPr>
          <w:spacing w:val="-1"/>
          <w:sz w:val="22"/>
        </w:rPr>
        <w:t> </w:t>
      </w:r>
      <w:r>
        <w:rPr>
          <w:sz w:val="22"/>
        </w:rPr>
        <w:t>Programa de ayudas a municipios para la implantación de zonas de bajas emisiones y la transformación digital y sostenible del transporte urbano, en el marco del Plan de Recuperación, Transformación y Resiliencia – Financiado por la Unión Europea - </w:t>
      </w:r>
      <w:r>
        <w:rPr>
          <w:spacing w:val="-2"/>
          <w:sz w:val="22"/>
        </w:rPr>
        <w:t>NextGenerationEU.</w:t>
      </w:r>
    </w:p>
    <w:p>
      <w:pPr>
        <w:pStyle w:val="ListParagraph"/>
        <w:numPr>
          <w:ilvl w:val="1"/>
          <w:numId w:val="10"/>
        </w:numPr>
        <w:tabs>
          <w:tab w:pos="1705" w:val="left" w:leader="none"/>
        </w:tabs>
        <w:spacing w:line="240" w:lineRule="auto" w:before="122" w:after="0"/>
        <w:ind w:left="1705" w:right="993" w:hanging="356"/>
        <w:jc w:val="both"/>
        <w:rPr>
          <w:sz w:val="22"/>
        </w:rPr>
      </w:pPr>
      <w:r>
        <w:rPr>
          <w:sz w:val="22"/>
        </w:rPr>
        <w:t>Orden Ministerial de 20 de octubre de 2022 de modificación de la Orden que aprueba y publica la convocatoria correspondiente al ejercicio 2022 del programa de ayudas a municipios para la implantación de zonas de bajas emisiones y la transformación digital y sostenible del transporte urbano y de la movilidad, en el marco del Plan de Recuperación, Transformación y Resiliencia - Financiado por la Unión Europea - Next Generation EU.</w:t>
      </w:r>
    </w:p>
    <w:p>
      <w:pPr>
        <w:pStyle w:val="ListParagraph"/>
        <w:spacing w:after="0" w:line="240" w:lineRule="auto"/>
        <w:jc w:val="both"/>
        <w:rPr>
          <w:sz w:val="22"/>
        </w:rPr>
        <w:sectPr>
          <w:headerReference w:type="default" r:id="rId72"/>
          <w:headerReference w:type="even" r:id="rId73"/>
          <w:footerReference w:type="default" r:id="rId74"/>
          <w:footerReference w:type="even" r:id="rId75"/>
          <w:pgSz w:w="11910" w:h="16840"/>
          <w:pgMar w:header="1270" w:footer="683" w:top="2800" w:bottom="880" w:left="141" w:right="141"/>
          <w:pgNumType w:start="109"/>
        </w:sectPr>
      </w:pPr>
    </w:p>
    <w:p>
      <w:pPr>
        <w:pStyle w:val="BodyText"/>
        <w:spacing w:before="228"/>
      </w:pPr>
    </w:p>
    <w:p>
      <w:pPr>
        <w:pStyle w:val="ListParagraph"/>
        <w:numPr>
          <w:ilvl w:val="1"/>
          <w:numId w:val="10"/>
        </w:numPr>
        <w:tabs>
          <w:tab w:pos="1705" w:val="left" w:leader="none"/>
        </w:tabs>
        <w:spacing w:line="240" w:lineRule="auto" w:before="0" w:after="0"/>
        <w:ind w:left="1705" w:right="990" w:hanging="356"/>
        <w:jc w:val="both"/>
        <w:rPr>
          <w:sz w:val="22"/>
        </w:rPr>
      </w:pPr>
      <w:r>
        <w:rPr>
          <w:sz w:val="22"/>
        </w:rPr>
        <w:t>Resolución de 3 de julio de 2018, de la Presidencia del Tribunal de Cuentas, por la que se publica el Acuerdo del Pleno de 28 de junio de 2018, por el que se aprueba la Instrucción relativa a la remisión telemática al</w:t>
      </w:r>
      <w:r>
        <w:rPr>
          <w:spacing w:val="-1"/>
          <w:sz w:val="22"/>
        </w:rPr>
        <w:t> </w:t>
      </w:r>
      <w:r>
        <w:rPr>
          <w:sz w:val="22"/>
        </w:rPr>
        <w:t>Tribunal de Cuentas de los extractos de los expedientes de contratación y de</w:t>
      </w:r>
      <w:r>
        <w:rPr>
          <w:spacing w:val="-2"/>
          <w:sz w:val="22"/>
        </w:rPr>
        <w:t> </w:t>
      </w:r>
      <w:r>
        <w:rPr>
          <w:sz w:val="22"/>
        </w:rPr>
        <w:t>las</w:t>
      </w:r>
      <w:r>
        <w:rPr>
          <w:spacing w:val="-2"/>
          <w:sz w:val="22"/>
        </w:rPr>
        <w:t> </w:t>
      </w:r>
      <w:r>
        <w:rPr>
          <w:sz w:val="22"/>
        </w:rPr>
        <w:t>relaciones anuales de los contratos</w:t>
      </w:r>
      <w:r>
        <w:rPr>
          <w:spacing w:val="-1"/>
          <w:sz w:val="22"/>
        </w:rPr>
        <w:t> </w:t>
      </w:r>
      <w:r>
        <w:rPr>
          <w:sz w:val="22"/>
        </w:rPr>
        <w:t>celebrados por las entidades y entes</w:t>
      </w:r>
      <w:r>
        <w:rPr>
          <w:spacing w:val="-9"/>
          <w:sz w:val="22"/>
        </w:rPr>
        <w:t> </w:t>
      </w:r>
      <w:r>
        <w:rPr>
          <w:sz w:val="22"/>
        </w:rPr>
        <w:t>del</w:t>
      </w:r>
      <w:r>
        <w:rPr>
          <w:spacing w:val="-7"/>
          <w:sz w:val="22"/>
        </w:rPr>
        <w:t> </w:t>
      </w:r>
      <w:r>
        <w:rPr>
          <w:sz w:val="22"/>
        </w:rPr>
        <w:t>Sector</w:t>
      </w:r>
      <w:r>
        <w:rPr>
          <w:spacing w:val="-8"/>
          <w:sz w:val="22"/>
        </w:rPr>
        <w:t> </w:t>
      </w:r>
      <w:r>
        <w:rPr>
          <w:sz w:val="22"/>
        </w:rPr>
        <w:t>Público</w:t>
      </w:r>
      <w:r>
        <w:rPr>
          <w:spacing w:val="-9"/>
          <w:sz w:val="22"/>
        </w:rPr>
        <w:t> </w:t>
      </w:r>
      <w:r>
        <w:rPr>
          <w:sz w:val="22"/>
        </w:rPr>
        <w:t>Local</w:t>
      </w:r>
      <w:r>
        <w:rPr>
          <w:spacing w:val="-7"/>
          <w:sz w:val="22"/>
        </w:rPr>
        <w:t> </w:t>
      </w:r>
      <w:r>
        <w:rPr>
          <w:sz w:val="22"/>
        </w:rPr>
        <w:t>al</w:t>
      </w:r>
      <w:r>
        <w:rPr>
          <w:spacing w:val="-7"/>
          <w:sz w:val="22"/>
        </w:rPr>
        <w:t> </w:t>
      </w:r>
      <w:r>
        <w:rPr>
          <w:sz w:val="22"/>
        </w:rPr>
        <w:t>amparo</w:t>
      </w:r>
      <w:r>
        <w:rPr>
          <w:spacing w:val="-9"/>
          <w:sz w:val="22"/>
        </w:rPr>
        <w:t> </w:t>
      </w:r>
      <w:r>
        <w:rPr>
          <w:sz w:val="22"/>
        </w:rPr>
        <w:t>de</w:t>
      </w:r>
      <w:r>
        <w:rPr>
          <w:spacing w:val="-9"/>
          <w:sz w:val="22"/>
        </w:rPr>
        <w:t> </w:t>
      </w:r>
      <w:r>
        <w:rPr>
          <w:sz w:val="22"/>
        </w:rPr>
        <w:t>la</w:t>
      </w:r>
      <w:r>
        <w:rPr>
          <w:spacing w:val="-9"/>
          <w:sz w:val="22"/>
        </w:rPr>
        <w:t> </w:t>
      </w:r>
      <w:r>
        <w:rPr>
          <w:sz w:val="22"/>
        </w:rPr>
        <w:t>Ley</w:t>
      </w:r>
      <w:r>
        <w:rPr>
          <w:spacing w:val="-6"/>
          <w:sz w:val="22"/>
        </w:rPr>
        <w:t> </w:t>
      </w:r>
      <w:r>
        <w:rPr>
          <w:sz w:val="22"/>
        </w:rPr>
        <w:t>9/2017,</w:t>
      </w:r>
      <w:r>
        <w:rPr>
          <w:spacing w:val="-7"/>
          <w:sz w:val="22"/>
        </w:rPr>
        <w:t> </w:t>
      </w:r>
      <w:r>
        <w:rPr>
          <w:sz w:val="22"/>
        </w:rPr>
        <w:t>de</w:t>
      </w:r>
      <w:r>
        <w:rPr>
          <w:spacing w:val="-9"/>
          <w:sz w:val="22"/>
        </w:rPr>
        <w:t> </w:t>
      </w:r>
      <w:r>
        <w:rPr>
          <w:sz w:val="22"/>
        </w:rPr>
        <w:t>8</w:t>
      </w:r>
      <w:r>
        <w:rPr>
          <w:spacing w:val="-9"/>
          <w:sz w:val="22"/>
        </w:rPr>
        <w:t> </w:t>
      </w:r>
      <w:r>
        <w:rPr>
          <w:sz w:val="22"/>
        </w:rPr>
        <w:t>de</w:t>
      </w:r>
      <w:r>
        <w:rPr>
          <w:spacing w:val="-9"/>
          <w:sz w:val="22"/>
        </w:rPr>
        <w:t> </w:t>
      </w:r>
      <w:r>
        <w:rPr>
          <w:sz w:val="22"/>
        </w:rPr>
        <w:t>noviembre,</w:t>
      </w:r>
      <w:r>
        <w:rPr>
          <w:spacing w:val="-7"/>
          <w:sz w:val="22"/>
        </w:rPr>
        <w:t> </w:t>
      </w:r>
      <w:r>
        <w:rPr>
          <w:sz w:val="22"/>
        </w:rPr>
        <w:t>de</w:t>
      </w:r>
      <w:r>
        <w:rPr>
          <w:spacing w:val="-9"/>
          <w:sz w:val="22"/>
        </w:rPr>
        <w:t> </w:t>
      </w:r>
      <w:r>
        <w:rPr>
          <w:sz w:val="22"/>
        </w:rPr>
        <w:t>Contratos del Sector Público.</w:t>
      </w:r>
    </w:p>
    <w:p>
      <w:pPr>
        <w:pStyle w:val="ListParagraph"/>
        <w:numPr>
          <w:ilvl w:val="1"/>
          <w:numId w:val="10"/>
        </w:numPr>
        <w:tabs>
          <w:tab w:pos="1705" w:val="left" w:leader="none"/>
        </w:tabs>
        <w:spacing w:line="240" w:lineRule="auto" w:before="119" w:after="0"/>
        <w:ind w:left="1705" w:right="992" w:hanging="356"/>
        <w:jc w:val="both"/>
        <w:rPr>
          <w:sz w:val="22"/>
        </w:rPr>
      </w:pPr>
      <w:r>
        <w:rPr>
          <w:sz w:val="22"/>
        </w:rPr>
        <w:t>Resolución</w:t>
      </w:r>
      <w:r>
        <w:rPr>
          <w:spacing w:val="-12"/>
          <w:sz w:val="22"/>
        </w:rPr>
        <w:t> </w:t>
      </w:r>
      <w:r>
        <w:rPr>
          <w:sz w:val="22"/>
        </w:rPr>
        <w:t>de</w:t>
      </w:r>
      <w:r>
        <w:rPr>
          <w:spacing w:val="-12"/>
          <w:sz w:val="22"/>
        </w:rPr>
        <w:t> </w:t>
      </w:r>
      <w:r>
        <w:rPr>
          <w:sz w:val="22"/>
        </w:rPr>
        <w:t>2</w:t>
      </w:r>
      <w:r>
        <w:rPr>
          <w:spacing w:val="-11"/>
          <w:sz w:val="22"/>
        </w:rPr>
        <w:t> </w:t>
      </w:r>
      <w:r>
        <w:rPr>
          <w:sz w:val="22"/>
        </w:rPr>
        <w:t>de</w:t>
      </w:r>
      <w:r>
        <w:rPr>
          <w:spacing w:val="-12"/>
          <w:sz w:val="22"/>
        </w:rPr>
        <w:t> </w:t>
      </w:r>
      <w:r>
        <w:rPr>
          <w:sz w:val="22"/>
        </w:rPr>
        <w:t>diciembre</w:t>
      </w:r>
      <w:r>
        <w:rPr>
          <w:spacing w:val="-11"/>
          <w:sz w:val="22"/>
        </w:rPr>
        <w:t> </w:t>
      </w:r>
      <w:r>
        <w:rPr>
          <w:sz w:val="22"/>
        </w:rPr>
        <w:t>de</w:t>
      </w:r>
      <w:r>
        <w:rPr>
          <w:spacing w:val="-12"/>
          <w:sz w:val="22"/>
        </w:rPr>
        <w:t> </w:t>
      </w:r>
      <w:r>
        <w:rPr>
          <w:sz w:val="22"/>
        </w:rPr>
        <w:t>2016,</w:t>
      </w:r>
      <w:r>
        <w:rPr>
          <w:spacing w:val="-10"/>
          <w:sz w:val="22"/>
        </w:rPr>
        <w:t> </w:t>
      </w:r>
      <w:r>
        <w:rPr>
          <w:sz w:val="22"/>
        </w:rPr>
        <w:t>de</w:t>
      </w:r>
      <w:r>
        <w:rPr>
          <w:spacing w:val="-12"/>
          <w:sz w:val="22"/>
        </w:rPr>
        <w:t> </w:t>
      </w:r>
      <w:r>
        <w:rPr>
          <w:sz w:val="22"/>
        </w:rPr>
        <w:t>la</w:t>
      </w:r>
      <w:r>
        <w:rPr>
          <w:spacing w:val="-11"/>
          <w:sz w:val="22"/>
        </w:rPr>
        <w:t> </w:t>
      </w:r>
      <w:r>
        <w:rPr>
          <w:sz w:val="22"/>
        </w:rPr>
        <w:t>Presidencia</w:t>
      </w:r>
      <w:r>
        <w:rPr>
          <w:spacing w:val="-11"/>
          <w:sz w:val="22"/>
        </w:rPr>
        <w:t> </w:t>
      </w:r>
      <w:r>
        <w:rPr>
          <w:sz w:val="22"/>
        </w:rPr>
        <w:t>del</w:t>
      </w:r>
      <w:r>
        <w:rPr>
          <w:spacing w:val="-12"/>
          <w:sz w:val="22"/>
        </w:rPr>
        <w:t> </w:t>
      </w:r>
      <w:r>
        <w:rPr>
          <w:sz w:val="22"/>
        </w:rPr>
        <w:t>Tribunal</w:t>
      </w:r>
      <w:r>
        <w:rPr>
          <w:spacing w:val="-12"/>
          <w:sz w:val="22"/>
        </w:rPr>
        <w:t> </w:t>
      </w:r>
      <w:r>
        <w:rPr>
          <w:sz w:val="22"/>
        </w:rPr>
        <w:t>de</w:t>
      </w:r>
      <w:r>
        <w:rPr>
          <w:spacing w:val="-12"/>
          <w:sz w:val="22"/>
        </w:rPr>
        <w:t> </w:t>
      </w:r>
      <w:r>
        <w:rPr>
          <w:sz w:val="22"/>
        </w:rPr>
        <w:t>Cuentas,</w:t>
      </w:r>
      <w:r>
        <w:rPr>
          <w:spacing w:val="-10"/>
          <w:sz w:val="22"/>
        </w:rPr>
        <w:t> </w:t>
      </w:r>
      <w:r>
        <w:rPr>
          <w:sz w:val="22"/>
        </w:rPr>
        <w:t>por</w:t>
      </w:r>
      <w:r>
        <w:rPr>
          <w:spacing w:val="-10"/>
          <w:sz w:val="22"/>
        </w:rPr>
        <w:t> </w:t>
      </w:r>
      <w:r>
        <w:rPr>
          <w:sz w:val="22"/>
        </w:rPr>
        <w:t>la</w:t>
      </w:r>
      <w:r>
        <w:rPr>
          <w:spacing w:val="-11"/>
          <w:sz w:val="22"/>
        </w:rPr>
        <w:t> </w:t>
      </w:r>
      <w:r>
        <w:rPr>
          <w:sz w:val="22"/>
        </w:rPr>
        <w:t>que se publica el Acuerdo del Pleno de 24 de noviembre de 2016, por el que se aprueba la Instrucción relativa a la remisión telemática al Tribunal de Cuentas de convenios y de relaciones anuales de los celebrados por las entidades del Sector Público Local.</w:t>
      </w:r>
    </w:p>
    <w:p>
      <w:pPr>
        <w:pStyle w:val="ListParagraph"/>
        <w:numPr>
          <w:ilvl w:val="1"/>
          <w:numId w:val="10"/>
        </w:numPr>
        <w:tabs>
          <w:tab w:pos="1705" w:val="left" w:leader="none"/>
        </w:tabs>
        <w:spacing w:line="240" w:lineRule="auto" w:before="121" w:after="0"/>
        <w:ind w:left="1705" w:right="992" w:hanging="356"/>
        <w:jc w:val="both"/>
        <w:rPr>
          <w:sz w:val="22"/>
        </w:rPr>
      </w:pPr>
      <w:r>
        <w:rPr>
          <w:sz w:val="22"/>
        </w:rPr>
        <w:t>Resolución de 15 de enero de 2020, de la Presidencia del Tribunal de Cuentas, por la que se publica el Acuerdo del Pleno de 19 de diciembre de 2019, por el que se aprueba la Instrucción sobre remisión de información relativa al ejercicio del control interno de las Entidades Locales.</w:t>
      </w:r>
    </w:p>
    <w:p>
      <w:pPr>
        <w:pStyle w:val="Heading4"/>
        <w:numPr>
          <w:ilvl w:val="0"/>
          <w:numId w:val="10"/>
        </w:numPr>
        <w:tabs>
          <w:tab w:pos="1348" w:val="left" w:leader="none"/>
        </w:tabs>
        <w:spacing w:line="240" w:lineRule="auto" w:before="239" w:after="0"/>
        <w:ind w:left="1348" w:right="0" w:hanging="356"/>
        <w:jc w:val="left"/>
      </w:pPr>
      <w:r>
        <w:rPr/>
        <w:t>NORMATIVA</w:t>
      </w:r>
      <w:r>
        <w:rPr>
          <w:spacing w:val="-11"/>
        </w:rPr>
        <w:t> </w:t>
      </w:r>
      <w:r>
        <w:rPr>
          <w:spacing w:val="-2"/>
        </w:rPr>
        <w:t>AUTONÓMICA</w:t>
      </w:r>
    </w:p>
    <w:p>
      <w:pPr>
        <w:pStyle w:val="ListParagraph"/>
        <w:numPr>
          <w:ilvl w:val="1"/>
          <w:numId w:val="10"/>
        </w:numPr>
        <w:tabs>
          <w:tab w:pos="1705" w:val="left" w:leader="none"/>
        </w:tabs>
        <w:spacing w:line="240" w:lineRule="auto" w:before="121" w:after="0"/>
        <w:ind w:left="1705" w:right="995" w:hanging="356"/>
        <w:jc w:val="left"/>
        <w:rPr>
          <w:sz w:val="22"/>
        </w:rPr>
      </w:pPr>
      <w:r>
        <w:rPr>
          <w:sz w:val="22"/>
        </w:rPr>
        <w:t>Ley</w:t>
      </w:r>
      <w:r>
        <w:rPr>
          <w:spacing w:val="-8"/>
          <w:sz w:val="22"/>
        </w:rPr>
        <w:t> </w:t>
      </w:r>
      <w:r>
        <w:rPr>
          <w:sz w:val="22"/>
        </w:rPr>
        <w:t>8/2018,</w:t>
      </w:r>
      <w:r>
        <w:rPr>
          <w:spacing w:val="-7"/>
          <w:sz w:val="22"/>
        </w:rPr>
        <w:t> </w:t>
      </w:r>
      <w:r>
        <w:rPr>
          <w:sz w:val="22"/>
        </w:rPr>
        <w:t>de</w:t>
      </w:r>
      <w:r>
        <w:rPr>
          <w:spacing w:val="-12"/>
          <w:sz w:val="22"/>
        </w:rPr>
        <w:t> </w:t>
      </w:r>
      <w:r>
        <w:rPr>
          <w:sz w:val="22"/>
        </w:rPr>
        <w:t>8</w:t>
      </w:r>
      <w:r>
        <w:rPr>
          <w:spacing w:val="-9"/>
          <w:sz w:val="22"/>
        </w:rPr>
        <w:t> </w:t>
      </w:r>
      <w:r>
        <w:rPr>
          <w:sz w:val="22"/>
        </w:rPr>
        <w:t>de</w:t>
      </w:r>
      <w:r>
        <w:rPr>
          <w:spacing w:val="-12"/>
          <w:sz w:val="22"/>
        </w:rPr>
        <w:t> </w:t>
      </w:r>
      <w:r>
        <w:rPr>
          <w:sz w:val="22"/>
        </w:rPr>
        <w:t>octubre,</w:t>
      </w:r>
      <w:r>
        <w:rPr>
          <w:spacing w:val="-10"/>
          <w:sz w:val="22"/>
        </w:rPr>
        <w:t> </w:t>
      </w:r>
      <w:r>
        <w:rPr>
          <w:sz w:val="22"/>
        </w:rPr>
        <w:t>de</w:t>
      </w:r>
      <w:r>
        <w:rPr>
          <w:spacing w:val="-12"/>
          <w:sz w:val="22"/>
        </w:rPr>
        <w:t> </w:t>
      </w:r>
      <w:r>
        <w:rPr>
          <w:sz w:val="22"/>
        </w:rPr>
        <w:t>medidas</w:t>
      </w:r>
      <w:r>
        <w:rPr>
          <w:spacing w:val="-11"/>
          <w:sz w:val="22"/>
        </w:rPr>
        <w:t> </w:t>
      </w:r>
      <w:r>
        <w:rPr>
          <w:sz w:val="22"/>
        </w:rPr>
        <w:t>frente</w:t>
      </w:r>
      <w:r>
        <w:rPr>
          <w:spacing w:val="-9"/>
          <w:sz w:val="22"/>
        </w:rPr>
        <w:t> </w:t>
      </w:r>
      <w:r>
        <w:rPr>
          <w:sz w:val="22"/>
        </w:rPr>
        <w:t>al</w:t>
      </w:r>
      <w:r>
        <w:rPr>
          <w:spacing w:val="-12"/>
          <w:sz w:val="22"/>
        </w:rPr>
        <w:t> </w:t>
      </w:r>
      <w:r>
        <w:rPr>
          <w:sz w:val="22"/>
        </w:rPr>
        <w:t>cambio</w:t>
      </w:r>
      <w:r>
        <w:rPr>
          <w:spacing w:val="-11"/>
          <w:sz w:val="22"/>
        </w:rPr>
        <w:t> </w:t>
      </w:r>
      <w:r>
        <w:rPr>
          <w:sz w:val="22"/>
        </w:rPr>
        <w:t>climático</w:t>
      </w:r>
      <w:r>
        <w:rPr>
          <w:spacing w:val="-12"/>
          <w:sz w:val="22"/>
        </w:rPr>
        <w:t> </w:t>
      </w:r>
      <w:r>
        <w:rPr>
          <w:sz w:val="22"/>
        </w:rPr>
        <w:t>y</w:t>
      </w:r>
      <w:r>
        <w:rPr>
          <w:spacing w:val="-8"/>
          <w:sz w:val="22"/>
        </w:rPr>
        <w:t> </w:t>
      </w:r>
      <w:r>
        <w:rPr>
          <w:sz w:val="22"/>
        </w:rPr>
        <w:t>para</w:t>
      </w:r>
      <w:r>
        <w:rPr>
          <w:spacing w:val="-9"/>
          <w:sz w:val="22"/>
        </w:rPr>
        <w:t> </w:t>
      </w:r>
      <w:r>
        <w:rPr>
          <w:sz w:val="22"/>
        </w:rPr>
        <w:t>la</w:t>
      </w:r>
      <w:r>
        <w:rPr>
          <w:spacing w:val="-9"/>
          <w:sz w:val="22"/>
        </w:rPr>
        <w:t> </w:t>
      </w:r>
      <w:r>
        <w:rPr>
          <w:sz w:val="22"/>
        </w:rPr>
        <w:t>transición</w:t>
      </w:r>
      <w:r>
        <w:rPr>
          <w:spacing w:val="-9"/>
          <w:sz w:val="22"/>
        </w:rPr>
        <w:t> </w:t>
      </w:r>
      <w:r>
        <w:rPr>
          <w:sz w:val="22"/>
        </w:rPr>
        <w:t>hacia un nuevo modelo energético en Andalucía.</w:t>
      </w:r>
    </w:p>
    <w:p>
      <w:pPr>
        <w:pStyle w:val="ListParagraph"/>
        <w:numPr>
          <w:ilvl w:val="1"/>
          <w:numId w:val="10"/>
        </w:numPr>
        <w:tabs>
          <w:tab w:pos="1705" w:val="left" w:leader="none"/>
        </w:tabs>
        <w:spacing w:line="240" w:lineRule="auto" w:before="121" w:after="0"/>
        <w:ind w:left="1705" w:right="987" w:hanging="356"/>
        <w:jc w:val="left"/>
        <w:rPr>
          <w:sz w:val="22"/>
        </w:rPr>
      </w:pPr>
      <w:r>
        <w:rPr>
          <w:sz w:val="22"/>
        </w:rPr>
        <w:t>Ley</w:t>
      </w:r>
      <w:r>
        <w:rPr>
          <w:spacing w:val="-6"/>
          <w:sz w:val="22"/>
        </w:rPr>
        <w:t> </w:t>
      </w:r>
      <w:r>
        <w:rPr>
          <w:sz w:val="22"/>
        </w:rPr>
        <w:t>2/2003,</w:t>
      </w:r>
      <w:r>
        <w:rPr>
          <w:spacing w:val="-5"/>
          <w:sz w:val="22"/>
        </w:rPr>
        <w:t> </w:t>
      </w:r>
      <w:r>
        <w:rPr>
          <w:sz w:val="22"/>
        </w:rPr>
        <w:t>de</w:t>
      </w:r>
      <w:r>
        <w:rPr>
          <w:spacing w:val="-9"/>
          <w:sz w:val="22"/>
        </w:rPr>
        <w:t> </w:t>
      </w:r>
      <w:r>
        <w:rPr>
          <w:sz w:val="22"/>
        </w:rPr>
        <w:t>12</w:t>
      </w:r>
      <w:r>
        <w:rPr>
          <w:spacing w:val="-7"/>
          <w:sz w:val="22"/>
        </w:rPr>
        <w:t> </w:t>
      </w:r>
      <w:r>
        <w:rPr>
          <w:sz w:val="22"/>
        </w:rPr>
        <w:t>de</w:t>
      </w:r>
      <w:r>
        <w:rPr>
          <w:spacing w:val="-9"/>
          <w:sz w:val="22"/>
        </w:rPr>
        <w:t> </w:t>
      </w:r>
      <w:r>
        <w:rPr>
          <w:sz w:val="22"/>
        </w:rPr>
        <w:t>mayo,</w:t>
      </w:r>
      <w:r>
        <w:rPr>
          <w:spacing w:val="-5"/>
          <w:sz w:val="22"/>
        </w:rPr>
        <w:t> </w:t>
      </w:r>
      <w:r>
        <w:rPr>
          <w:sz w:val="22"/>
        </w:rPr>
        <w:t>de</w:t>
      </w:r>
      <w:r>
        <w:rPr>
          <w:spacing w:val="-9"/>
          <w:sz w:val="22"/>
        </w:rPr>
        <w:t> </w:t>
      </w:r>
      <w:r>
        <w:rPr>
          <w:sz w:val="22"/>
        </w:rPr>
        <w:t>Ordenación</w:t>
      </w:r>
      <w:r>
        <w:rPr>
          <w:spacing w:val="-7"/>
          <w:sz w:val="22"/>
        </w:rPr>
        <w:t> </w:t>
      </w:r>
      <w:r>
        <w:rPr>
          <w:sz w:val="22"/>
        </w:rPr>
        <w:t>de</w:t>
      </w:r>
      <w:r>
        <w:rPr>
          <w:spacing w:val="-9"/>
          <w:sz w:val="22"/>
        </w:rPr>
        <w:t> </w:t>
      </w:r>
      <w:r>
        <w:rPr>
          <w:sz w:val="22"/>
        </w:rPr>
        <w:t>los</w:t>
      </w:r>
      <w:r>
        <w:rPr>
          <w:spacing w:val="-6"/>
          <w:sz w:val="22"/>
        </w:rPr>
        <w:t> </w:t>
      </w:r>
      <w:r>
        <w:rPr>
          <w:sz w:val="22"/>
        </w:rPr>
        <w:t>Transportes</w:t>
      </w:r>
      <w:r>
        <w:rPr>
          <w:spacing w:val="-9"/>
          <w:sz w:val="22"/>
        </w:rPr>
        <w:t> </w:t>
      </w:r>
      <w:r>
        <w:rPr>
          <w:sz w:val="22"/>
        </w:rPr>
        <w:t>Urbanos</w:t>
      </w:r>
      <w:r>
        <w:rPr>
          <w:spacing w:val="-8"/>
          <w:sz w:val="22"/>
        </w:rPr>
        <w:t> </w:t>
      </w:r>
      <w:r>
        <w:rPr>
          <w:sz w:val="22"/>
        </w:rPr>
        <w:t>y</w:t>
      </w:r>
      <w:r>
        <w:rPr>
          <w:spacing w:val="-8"/>
          <w:sz w:val="22"/>
        </w:rPr>
        <w:t> </w:t>
      </w:r>
      <w:r>
        <w:rPr>
          <w:sz w:val="22"/>
        </w:rPr>
        <w:t>Metropolitanos</w:t>
      </w:r>
      <w:r>
        <w:rPr>
          <w:spacing w:val="-6"/>
          <w:sz w:val="22"/>
        </w:rPr>
        <w:t> </w:t>
      </w:r>
      <w:r>
        <w:rPr>
          <w:sz w:val="22"/>
        </w:rPr>
        <w:t>de Viajeros en Andalucía.</w:t>
      </w:r>
    </w:p>
    <w:p>
      <w:pPr>
        <w:pStyle w:val="ListParagraph"/>
        <w:numPr>
          <w:ilvl w:val="1"/>
          <w:numId w:val="10"/>
        </w:numPr>
        <w:tabs>
          <w:tab w:pos="1705" w:val="left" w:leader="none"/>
        </w:tabs>
        <w:spacing w:line="240" w:lineRule="auto" w:before="118" w:after="0"/>
        <w:ind w:left="1705" w:right="993" w:hanging="356"/>
        <w:jc w:val="left"/>
        <w:rPr>
          <w:sz w:val="22"/>
        </w:rPr>
      </w:pPr>
      <w:r>
        <w:rPr>
          <w:sz w:val="22"/>
        </w:rPr>
        <w:t>Ley</w:t>
      </w:r>
      <w:r>
        <w:rPr>
          <w:spacing w:val="40"/>
          <w:sz w:val="22"/>
        </w:rPr>
        <w:t> </w:t>
      </w:r>
      <w:r>
        <w:rPr>
          <w:sz w:val="22"/>
        </w:rPr>
        <w:t>4/2019,</w:t>
      </w:r>
      <w:r>
        <w:rPr>
          <w:spacing w:val="40"/>
          <w:sz w:val="22"/>
        </w:rPr>
        <w:t> </w:t>
      </w:r>
      <w:r>
        <w:rPr>
          <w:sz w:val="22"/>
        </w:rPr>
        <w:t>de</w:t>
      </w:r>
      <w:r>
        <w:rPr>
          <w:spacing w:val="37"/>
          <w:sz w:val="22"/>
        </w:rPr>
        <w:t> </w:t>
      </w:r>
      <w:r>
        <w:rPr>
          <w:sz w:val="22"/>
        </w:rPr>
        <w:t>21</w:t>
      </w:r>
      <w:r>
        <w:rPr>
          <w:spacing w:val="40"/>
          <w:sz w:val="22"/>
        </w:rPr>
        <w:t> </w:t>
      </w:r>
      <w:r>
        <w:rPr>
          <w:sz w:val="22"/>
        </w:rPr>
        <w:t>de</w:t>
      </w:r>
      <w:r>
        <w:rPr>
          <w:spacing w:val="37"/>
          <w:sz w:val="22"/>
        </w:rPr>
        <w:t> </w:t>
      </w:r>
      <w:r>
        <w:rPr>
          <w:sz w:val="22"/>
        </w:rPr>
        <w:t>febrero</w:t>
      </w:r>
      <w:r>
        <w:rPr>
          <w:spacing w:val="40"/>
          <w:sz w:val="22"/>
        </w:rPr>
        <w:t> </w:t>
      </w:r>
      <w:r>
        <w:rPr>
          <w:sz w:val="22"/>
        </w:rPr>
        <w:t>de</w:t>
      </w:r>
      <w:r>
        <w:rPr>
          <w:spacing w:val="37"/>
          <w:sz w:val="22"/>
        </w:rPr>
        <w:t> </w:t>
      </w:r>
      <w:r>
        <w:rPr>
          <w:sz w:val="22"/>
        </w:rPr>
        <w:t>sostenibilidad</w:t>
      </w:r>
      <w:r>
        <w:rPr>
          <w:spacing w:val="40"/>
          <w:sz w:val="22"/>
        </w:rPr>
        <w:t> </w:t>
      </w:r>
      <w:r>
        <w:rPr>
          <w:sz w:val="22"/>
        </w:rPr>
        <w:t>energética</w:t>
      </w:r>
      <w:r>
        <w:rPr>
          <w:spacing w:val="40"/>
          <w:sz w:val="22"/>
        </w:rPr>
        <w:t> </w:t>
      </w:r>
      <w:r>
        <w:rPr>
          <w:sz w:val="22"/>
        </w:rPr>
        <w:t>de</w:t>
      </w:r>
      <w:r>
        <w:rPr>
          <w:spacing w:val="40"/>
          <w:sz w:val="22"/>
        </w:rPr>
        <w:t> </w:t>
      </w:r>
      <w:r>
        <w:rPr>
          <w:sz w:val="22"/>
        </w:rPr>
        <w:t>la</w:t>
      </w:r>
      <w:r>
        <w:rPr>
          <w:spacing w:val="40"/>
          <w:sz w:val="22"/>
        </w:rPr>
        <w:t> </w:t>
      </w:r>
      <w:r>
        <w:rPr>
          <w:sz w:val="22"/>
        </w:rPr>
        <w:t>Comunidad</w:t>
      </w:r>
      <w:r>
        <w:rPr>
          <w:spacing w:val="40"/>
          <w:sz w:val="22"/>
        </w:rPr>
        <w:t> </w:t>
      </w:r>
      <w:r>
        <w:rPr>
          <w:sz w:val="22"/>
        </w:rPr>
        <w:t>Autónoma </w:t>
      </w:r>
      <w:r>
        <w:rPr>
          <w:spacing w:val="-2"/>
          <w:sz w:val="22"/>
        </w:rPr>
        <w:t>Vasca.</w:t>
      </w:r>
    </w:p>
    <w:p>
      <w:pPr>
        <w:pStyle w:val="ListParagraph"/>
        <w:numPr>
          <w:ilvl w:val="1"/>
          <w:numId w:val="10"/>
        </w:numPr>
        <w:tabs>
          <w:tab w:pos="1704" w:val="left" w:leader="none"/>
        </w:tabs>
        <w:spacing w:line="240" w:lineRule="auto" w:before="121" w:after="0"/>
        <w:ind w:left="1704" w:right="0" w:hanging="355"/>
        <w:jc w:val="left"/>
        <w:rPr>
          <w:sz w:val="22"/>
        </w:rPr>
      </w:pPr>
      <w:r>
        <w:rPr>
          <w:sz w:val="22"/>
        </w:rPr>
        <w:t>Ley</w:t>
      </w:r>
      <w:r>
        <w:rPr>
          <w:spacing w:val="-7"/>
          <w:sz w:val="22"/>
        </w:rPr>
        <w:t> </w:t>
      </w:r>
      <w:r>
        <w:rPr>
          <w:sz w:val="22"/>
        </w:rPr>
        <w:t>10/2019,</w:t>
      </w:r>
      <w:r>
        <w:rPr>
          <w:spacing w:val="-2"/>
          <w:sz w:val="22"/>
        </w:rPr>
        <w:t> </w:t>
      </w:r>
      <w:r>
        <w:rPr>
          <w:sz w:val="22"/>
        </w:rPr>
        <w:t>de</w:t>
      </w:r>
      <w:r>
        <w:rPr>
          <w:spacing w:val="-6"/>
          <w:sz w:val="22"/>
        </w:rPr>
        <w:t> </w:t>
      </w:r>
      <w:r>
        <w:rPr>
          <w:sz w:val="22"/>
        </w:rPr>
        <w:t>22</w:t>
      </w:r>
      <w:r>
        <w:rPr>
          <w:spacing w:val="-6"/>
          <w:sz w:val="22"/>
        </w:rPr>
        <w:t> </w:t>
      </w:r>
      <w:r>
        <w:rPr>
          <w:sz w:val="22"/>
        </w:rPr>
        <w:t>de</w:t>
      </w:r>
      <w:r>
        <w:rPr>
          <w:spacing w:val="-6"/>
          <w:sz w:val="22"/>
        </w:rPr>
        <w:t> </w:t>
      </w:r>
      <w:r>
        <w:rPr>
          <w:sz w:val="22"/>
        </w:rPr>
        <w:t>febrero,</w:t>
      </w:r>
      <w:r>
        <w:rPr>
          <w:spacing w:val="-2"/>
          <w:sz w:val="22"/>
        </w:rPr>
        <w:t> </w:t>
      </w:r>
      <w:r>
        <w:rPr>
          <w:sz w:val="22"/>
        </w:rPr>
        <w:t>de</w:t>
      </w:r>
      <w:r>
        <w:rPr>
          <w:spacing w:val="-7"/>
          <w:sz w:val="22"/>
        </w:rPr>
        <w:t> </w:t>
      </w:r>
      <w:r>
        <w:rPr>
          <w:sz w:val="22"/>
        </w:rPr>
        <w:t>cambio</w:t>
      </w:r>
      <w:r>
        <w:rPr>
          <w:spacing w:val="-6"/>
          <w:sz w:val="22"/>
        </w:rPr>
        <w:t> </w:t>
      </w:r>
      <w:r>
        <w:rPr>
          <w:sz w:val="22"/>
        </w:rPr>
        <w:t>climático</w:t>
      </w:r>
      <w:r>
        <w:rPr>
          <w:spacing w:val="-4"/>
          <w:sz w:val="22"/>
        </w:rPr>
        <w:t> </w:t>
      </w:r>
      <w:r>
        <w:rPr>
          <w:sz w:val="22"/>
        </w:rPr>
        <w:t>y</w:t>
      </w:r>
      <w:r>
        <w:rPr>
          <w:spacing w:val="-5"/>
          <w:sz w:val="22"/>
        </w:rPr>
        <w:t> </w:t>
      </w:r>
      <w:r>
        <w:rPr>
          <w:sz w:val="22"/>
        </w:rPr>
        <w:t>transición</w:t>
      </w:r>
      <w:r>
        <w:rPr>
          <w:spacing w:val="-4"/>
          <w:sz w:val="22"/>
        </w:rPr>
        <w:t> </w:t>
      </w:r>
      <w:r>
        <w:rPr>
          <w:sz w:val="22"/>
        </w:rPr>
        <w:t>energética</w:t>
      </w:r>
      <w:r>
        <w:rPr>
          <w:spacing w:val="-6"/>
          <w:sz w:val="22"/>
        </w:rPr>
        <w:t> </w:t>
      </w:r>
      <w:r>
        <w:rPr>
          <w:sz w:val="22"/>
        </w:rPr>
        <w:t>de</w:t>
      </w:r>
      <w:r>
        <w:rPr>
          <w:spacing w:val="-4"/>
          <w:sz w:val="22"/>
        </w:rPr>
        <w:t> </w:t>
      </w:r>
      <w:r>
        <w:rPr>
          <w:sz w:val="22"/>
        </w:rPr>
        <w:t>IIles</w:t>
      </w:r>
      <w:r>
        <w:rPr>
          <w:spacing w:val="-4"/>
          <w:sz w:val="22"/>
        </w:rPr>
        <w:t> </w:t>
      </w:r>
      <w:r>
        <w:rPr>
          <w:spacing w:val="-2"/>
          <w:sz w:val="22"/>
        </w:rPr>
        <w:t>Balears.</w:t>
      </w:r>
    </w:p>
    <w:p>
      <w:pPr>
        <w:pStyle w:val="ListParagraph"/>
        <w:numPr>
          <w:ilvl w:val="1"/>
          <w:numId w:val="10"/>
        </w:numPr>
        <w:tabs>
          <w:tab w:pos="1705" w:val="left" w:leader="none"/>
        </w:tabs>
        <w:spacing w:line="240" w:lineRule="auto" w:before="121" w:after="0"/>
        <w:ind w:left="1705" w:right="995" w:hanging="356"/>
        <w:jc w:val="left"/>
        <w:rPr>
          <w:sz w:val="22"/>
        </w:rPr>
      </w:pPr>
      <w:r>
        <w:rPr>
          <w:sz w:val="22"/>
        </w:rPr>
        <w:t>Ley</w:t>
      </w:r>
      <w:r>
        <w:rPr>
          <w:spacing w:val="40"/>
          <w:sz w:val="22"/>
        </w:rPr>
        <w:t> </w:t>
      </w:r>
      <w:r>
        <w:rPr>
          <w:sz w:val="22"/>
        </w:rPr>
        <w:t>10/2015,</w:t>
      </w:r>
      <w:r>
        <w:rPr>
          <w:spacing w:val="40"/>
          <w:sz w:val="22"/>
        </w:rPr>
        <w:t> </w:t>
      </w:r>
      <w:r>
        <w:rPr>
          <w:sz w:val="22"/>
        </w:rPr>
        <w:t>de</w:t>
      </w:r>
      <w:r>
        <w:rPr>
          <w:spacing w:val="40"/>
          <w:sz w:val="22"/>
        </w:rPr>
        <w:t> </w:t>
      </w:r>
      <w:r>
        <w:rPr>
          <w:sz w:val="22"/>
        </w:rPr>
        <w:t>24</w:t>
      </w:r>
      <w:r>
        <w:rPr>
          <w:spacing w:val="40"/>
          <w:sz w:val="22"/>
        </w:rPr>
        <w:t> </w:t>
      </w:r>
      <w:r>
        <w:rPr>
          <w:sz w:val="22"/>
        </w:rPr>
        <w:t>de</w:t>
      </w:r>
      <w:r>
        <w:rPr>
          <w:spacing w:val="40"/>
          <w:sz w:val="22"/>
        </w:rPr>
        <w:t> </w:t>
      </w:r>
      <w:r>
        <w:rPr>
          <w:sz w:val="22"/>
        </w:rPr>
        <w:t>marzo,</w:t>
      </w:r>
      <w:r>
        <w:rPr>
          <w:spacing w:val="40"/>
          <w:sz w:val="22"/>
        </w:rPr>
        <w:t> </w:t>
      </w:r>
      <w:r>
        <w:rPr>
          <w:sz w:val="22"/>
        </w:rPr>
        <w:t>por</w:t>
      </w:r>
      <w:r>
        <w:rPr>
          <w:spacing w:val="40"/>
          <w:sz w:val="22"/>
        </w:rPr>
        <w:t> </w:t>
      </w:r>
      <w:r>
        <w:rPr>
          <w:sz w:val="22"/>
        </w:rPr>
        <w:t>la</w:t>
      </w:r>
      <w:r>
        <w:rPr>
          <w:spacing w:val="40"/>
          <w:sz w:val="22"/>
        </w:rPr>
        <w:t> </w:t>
      </w:r>
      <w:r>
        <w:rPr>
          <w:sz w:val="22"/>
        </w:rPr>
        <w:t>que</w:t>
      </w:r>
      <w:r>
        <w:rPr>
          <w:spacing w:val="40"/>
          <w:sz w:val="22"/>
        </w:rPr>
        <w:t> </w:t>
      </w:r>
      <w:r>
        <w:rPr>
          <w:sz w:val="22"/>
        </w:rPr>
        <w:t>se</w:t>
      </w:r>
      <w:r>
        <w:rPr>
          <w:spacing w:val="40"/>
          <w:sz w:val="22"/>
        </w:rPr>
        <w:t> </w:t>
      </w:r>
      <w:r>
        <w:rPr>
          <w:sz w:val="22"/>
        </w:rPr>
        <w:t>establece</w:t>
      </w:r>
      <w:r>
        <w:rPr>
          <w:spacing w:val="40"/>
          <w:sz w:val="22"/>
        </w:rPr>
        <w:t> </w:t>
      </w:r>
      <w:r>
        <w:rPr>
          <w:sz w:val="22"/>
        </w:rPr>
        <w:t>el</w:t>
      </w:r>
      <w:r>
        <w:rPr>
          <w:spacing w:val="40"/>
          <w:sz w:val="22"/>
        </w:rPr>
        <w:t> </w:t>
      </w:r>
      <w:r>
        <w:rPr>
          <w:sz w:val="22"/>
        </w:rPr>
        <w:t>sistema</w:t>
      </w:r>
      <w:r>
        <w:rPr>
          <w:spacing w:val="40"/>
          <w:sz w:val="22"/>
        </w:rPr>
        <w:t> </w:t>
      </w:r>
      <w:r>
        <w:rPr>
          <w:sz w:val="22"/>
        </w:rPr>
        <w:t>competencial</w:t>
      </w:r>
      <w:r>
        <w:rPr>
          <w:spacing w:val="40"/>
          <w:sz w:val="22"/>
        </w:rPr>
        <w:t> </w:t>
      </w:r>
      <w:r>
        <w:rPr>
          <w:sz w:val="22"/>
        </w:rPr>
        <w:t>en</w:t>
      </w:r>
      <w:r>
        <w:rPr>
          <w:spacing w:val="40"/>
          <w:sz w:val="22"/>
        </w:rPr>
        <w:t> </w:t>
      </w:r>
      <w:r>
        <w:rPr>
          <w:sz w:val="22"/>
        </w:rPr>
        <w:t>el transporte urbano e interurbano de la Región de Murcia.</w:t>
      </w:r>
    </w:p>
    <w:p>
      <w:pPr>
        <w:pStyle w:val="ListParagraph"/>
        <w:numPr>
          <w:ilvl w:val="1"/>
          <w:numId w:val="10"/>
        </w:numPr>
        <w:tabs>
          <w:tab w:pos="1705" w:val="left" w:leader="none"/>
        </w:tabs>
        <w:spacing w:line="240" w:lineRule="auto" w:before="120" w:after="0"/>
        <w:ind w:left="1705" w:right="994" w:hanging="356"/>
        <w:jc w:val="left"/>
        <w:rPr>
          <w:sz w:val="22"/>
        </w:rPr>
      </w:pPr>
      <w:r>
        <w:rPr>
          <w:sz w:val="22"/>
        </w:rPr>
        <w:t>Ley</w:t>
      </w:r>
      <w:r>
        <w:rPr>
          <w:spacing w:val="-16"/>
          <w:sz w:val="22"/>
        </w:rPr>
        <w:t> </w:t>
      </w:r>
      <w:r>
        <w:rPr>
          <w:sz w:val="22"/>
        </w:rPr>
        <w:t>6/2022,</w:t>
      </w:r>
      <w:r>
        <w:rPr>
          <w:spacing w:val="-15"/>
          <w:sz w:val="22"/>
        </w:rPr>
        <w:t> </w:t>
      </w:r>
      <w:r>
        <w:rPr>
          <w:sz w:val="22"/>
        </w:rPr>
        <w:t>de</w:t>
      </w:r>
      <w:r>
        <w:rPr>
          <w:spacing w:val="-17"/>
          <w:sz w:val="22"/>
        </w:rPr>
        <w:t> </w:t>
      </w:r>
      <w:r>
        <w:rPr>
          <w:sz w:val="22"/>
        </w:rPr>
        <w:t>5</w:t>
      </w:r>
      <w:r>
        <w:rPr>
          <w:spacing w:val="-15"/>
          <w:sz w:val="22"/>
        </w:rPr>
        <w:t> </w:t>
      </w:r>
      <w:r>
        <w:rPr>
          <w:sz w:val="22"/>
        </w:rPr>
        <w:t>de</w:t>
      </w:r>
      <w:r>
        <w:rPr>
          <w:spacing w:val="-16"/>
          <w:sz w:val="22"/>
        </w:rPr>
        <w:t> </w:t>
      </w:r>
      <w:r>
        <w:rPr>
          <w:sz w:val="22"/>
        </w:rPr>
        <w:t>diciembre,</w:t>
      </w:r>
      <w:r>
        <w:rPr>
          <w:spacing w:val="-15"/>
          <w:sz w:val="22"/>
        </w:rPr>
        <w:t> </w:t>
      </w:r>
      <w:r>
        <w:rPr>
          <w:sz w:val="22"/>
        </w:rPr>
        <w:t>del</w:t>
      </w:r>
      <w:r>
        <w:rPr>
          <w:spacing w:val="-15"/>
          <w:sz w:val="22"/>
        </w:rPr>
        <w:t> </w:t>
      </w:r>
      <w:r>
        <w:rPr>
          <w:sz w:val="22"/>
        </w:rPr>
        <w:t>Cambio</w:t>
      </w:r>
      <w:r>
        <w:rPr>
          <w:spacing w:val="-15"/>
          <w:sz w:val="22"/>
        </w:rPr>
        <w:t> </w:t>
      </w:r>
      <w:r>
        <w:rPr>
          <w:sz w:val="22"/>
        </w:rPr>
        <w:t>climático</w:t>
      </w:r>
      <w:r>
        <w:rPr>
          <w:spacing w:val="-16"/>
          <w:sz w:val="22"/>
        </w:rPr>
        <w:t> </w:t>
      </w:r>
      <w:r>
        <w:rPr>
          <w:sz w:val="22"/>
        </w:rPr>
        <w:t>y</w:t>
      </w:r>
      <w:r>
        <w:rPr>
          <w:spacing w:val="-15"/>
          <w:sz w:val="22"/>
        </w:rPr>
        <w:t> </w:t>
      </w:r>
      <w:r>
        <w:rPr>
          <w:sz w:val="22"/>
        </w:rPr>
        <w:t>la</w:t>
      </w:r>
      <w:r>
        <w:rPr>
          <w:spacing w:val="-16"/>
          <w:sz w:val="22"/>
        </w:rPr>
        <w:t> </w:t>
      </w:r>
      <w:r>
        <w:rPr>
          <w:sz w:val="22"/>
        </w:rPr>
        <w:t>transición</w:t>
      </w:r>
      <w:r>
        <w:rPr>
          <w:spacing w:val="-15"/>
          <w:sz w:val="22"/>
        </w:rPr>
        <w:t> </w:t>
      </w:r>
      <w:r>
        <w:rPr>
          <w:sz w:val="22"/>
        </w:rPr>
        <w:t>Ecológica</w:t>
      </w:r>
      <w:r>
        <w:rPr>
          <w:spacing w:val="-16"/>
          <w:sz w:val="22"/>
        </w:rPr>
        <w:t> </w:t>
      </w:r>
      <w:r>
        <w:rPr>
          <w:sz w:val="22"/>
        </w:rPr>
        <w:t>de</w:t>
      </w:r>
      <w:r>
        <w:rPr>
          <w:spacing w:val="-15"/>
          <w:sz w:val="22"/>
        </w:rPr>
        <w:t> </w:t>
      </w:r>
      <w:r>
        <w:rPr>
          <w:sz w:val="22"/>
        </w:rPr>
        <w:t>la</w:t>
      </w:r>
      <w:r>
        <w:rPr>
          <w:spacing w:val="-15"/>
          <w:sz w:val="22"/>
        </w:rPr>
        <w:t> </w:t>
      </w:r>
      <w:r>
        <w:rPr>
          <w:sz w:val="22"/>
        </w:rPr>
        <w:t>Comunitat </w:t>
      </w:r>
      <w:r>
        <w:rPr>
          <w:spacing w:val="-2"/>
          <w:sz w:val="22"/>
        </w:rPr>
        <w:t>Valenciana.</w:t>
      </w:r>
    </w:p>
    <w:p>
      <w:pPr>
        <w:pStyle w:val="ListParagraph"/>
        <w:numPr>
          <w:ilvl w:val="1"/>
          <w:numId w:val="10"/>
        </w:numPr>
        <w:tabs>
          <w:tab w:pos="1704" w:val="left" w:leader="none"/>
        </w:tabs>
        <w:spacing w:line="240" w:lineRule="auto" w:before="119" w:after="0"/>
        <w:ind w:left="1704" w:right="0" w:hanging="355"/>
        <w:jc w:val="left"/>
        <w:rPr>
          <w:sz w:val="22"/>
        </w:rPr>
      </w:pPr>
      <w:r>
        <w:rPr>
          <w:sz w:val="22"/>
        </w:rPr>
        <w:t>Ley</w:t>
      </w:r>
      <w:r>
        <w:rPr>
          <w:spacing w:val="-4"/>
          <w:sz w:val="22"/>
        </w:rPr>
        <w:t> </w:t>
      </w:r>
      <w:r>
        <w:rPr>
          <w:sz w:val="22"/>
        </w:rPr>
        <w:t>6/2011,</w:t>
      </w:r>
      <w:r>
        <w:rPr>
          <w:spacing w:val="-2"/>
          <w:sz w:val="22"/>
        </w:rPr>
        <w:t> </w:t>
      </w:r>
      <w:r>
        <w:rPr>
          <w:sz w:val="22"/>
        </w:rPr>
        <w:t>de</w:t>
      </w:r>
      <w:r>
        <w:rPr>
          <w:spacing w:val="-6"/>
          <w:sz w:val="22"/>
        </w:rPr>
        <w:t> </w:t>
      </w:r>
      <w:r>
        <w:rPr>
          <w:sz w:val="22"/>
        </w:rPr>
        <w:t>1</w:t>
      </w:r>
      <w:r>
        <w:rPr>
          <w:spacing w:val="-5"/>
          <w:sz w:val="22"/>
        </w:rPr>
        <w:t> </w:t>
      </w:r>
      <w:r>
        <w:rPr>
          <w:sz w:val="22"/>
        </w:rPr>
        <w:t>de</w:t>
      </w:r>
      <w:r>
        <w:rPr>
          <w:spacing w:val="-4"/>
          <w:sz w:val="22"/>
        </w:rPr>
        <w:t> </w:t>
      </w:r>
      <w:r>
        <w:rPr>
          <w:sz w:val="22"/>
        </w:rPr>
        <w:t>abril,</w:t>
      </w:r>
      <w:r>
        <w:rPr>
          <w:spacing w:val="-3"/>
          <w:sz w:val="22"/>
        </w:rPr>
        <w:t> </w:t>
      </w:r>
      <w:r>
        <w:rPr>
          <w:sz w:val="22"/>
        </w:rPr>
        <w:t>de</w:t>
      </w:r>
      <w:r>
        <w:rPr>
          <w:spacing w:val="-6"/>
          <w:sz w:val="22"/>
        </w:rPr>
        <w:t> </w:t>
      </w:r>
      <w:r>
        <w:rPr>
          <w:sz w:val="22"/>
        </w:rPr>
        <w:t>Movilidad</w:t>
      </w:r>
      <w:r>
        <w:rPr>
          <w:spacing w:val="-4"/>
          <w:sz w:val="22"/>
        </w:rPr>
        <w:t> </w:t>
      </w:r>
      <w:r>
        <w:rPr>
          <w:sz w:val="22"/>
        </w:rPr>
        <w:t>de</w:t>
      </w:r>
      <w:r>
        <w:rPr>
          <w:spacing w:val="-4"/>
          <w:sz w:val="22"/>
        </w:rPr>
        <w:t> </w:t>
      </w:r>
      <w:r>
        <w:rPr>
          <w:sz w:val="22"/>
        </w:rPr>
        <w:t>la</w:t>
      </w:r>
      <w:r>
        <w:rPr>
          <w:spacing w:val="-5"/>
          <w:sz w:val="22"/>
        </w:rPr>
        <w:t> </w:t>
      </w:r>
      <w:r>
        <w:rPr>
          <w:sz w:val="22"/>
        </w:rPr>
        <w:t>Comunitat</w:t>
      </w:r>
      <w:r>
        <w:rPr>
          <w:spacing w:val="-3"/>
          <w:sz w:val="22"/>
        </w:rPr>
        <w:t> </w:t>
      </w:r>
      <w:r>
        <w:rPr>
          <w:spacing w:val="-2"/>
          <w:sz w:val="22"/>
        </w:rPr>
        <w:t>Valenciana.</w:t>
      </w:r>
    </w:p>
    <w:p>
      <w:pPr>
        <w:pStyle w:val="ListParagraph"/>
        <w:numPr>
          <w:ilvl w:val="1"/>
          <w:numId w:val="10"/>
        </w:numPr>
        <w:tabs>
          <w:tab w:pos="1704" w:val="left" w:leader="none"/>
        </w:tabs>
        <w:spacing w:line="240" w:lineRule="auto" w:before="121" w:after="0"/>
        <w:ind w:left="1704" w:right="0" w:hanging="355"/>
        <w:jc w:val="left"/>
        <w:rPr>
          <w:sz w:val="22"/>
        </w:rPr>
      </w:pPr>
      <w:r>
        <w:rPr>
          <w:sz w:val="22"/>
        </w:rPr>
        <w:t>Ley</w:t>
      </w:r>
      <w:r>
        <w:rPr>
          <w:spacing w:val="-6"/>
          <w:sz w:val="22"/>
        </w:rPr>
        <w:t> </w:t>
      </w:r>
      <w:r>
        <w:rPr>
          <w:sz w:val="22"/>
        </w:rPr>
        <w:t>6/2022,</w:t>
      </w:r>
      <w:r>
        <w:rPr>
          <w:spacing w:val="-3"/>
          <w:sz w:val="22"/>
        </w:rPr>
        <w:t> </w:t>
      </w:r>
      <w:r>
        <w:rPr>
          <w:sz w:val="22"/>
        </w:rPr>
        <w:t>de</w:t>
      </w:r>
      <w:r>
        <w:rPr>
          <w:spacing w:val="-7"/>
          <w:sz w:val="22"/>
        </w:rPr>
        <w:t> </w:t>
      </w:r>
      <w:r>
        <w:rPr>
          <w:sz w:val="22"/>
        </w:rPr>
        <w:t>27</w:t>
      </w:r>
      <w:r>
        <w:rPr>
          <w:spacing w:val="-6"/>
          <w:sz w:val="22"/>
        </w:rPr>
        <w:t> </w:t>
      </w:r>
      <w:r>
        <w:rPr>
          <w:sz w:val="22"/>
        </w:rPr>
        <w:t>de</w:t>
      </w:r>
      <w:r>
        <w:rPr>
          <w:spacing w:val="-5"/>
          <w:sz w:val="22"/>
        </w:rPr>
        <w:t> </w:t>
      </w:r>
      <w:r>
        <w:rPr>
          <w:sz w:val="22"/>
        </w:rPr>
        <w:t>diciembre,</w:t>
      </w:r>
      <w:r>
        <w:rPr>
          <w:spacing w:val="-5"/>
          <w:sz w:val="22"/>
        </w:rPr>
        <w:t> </w:t>
      </w:r>
      <w:r>
        <w:rPr>
          <w:sz w:val="22"/>
        </w:rPr>
        <w:t>de</w:t>
      </w:r>
      <w:r>
        <w:rPr>
          <w:spacing w:val="-7"/>
          <w:sz w:val="22"/>
        </w:rPr>
        <w:t> </w:t>
      </w:r>
      <w:r>
        <w:rPr>
          <w:sz w:val="22"/>
        </w:rPr>
        <w:t>cambio</w:t>
      </w:r>
      <w:r>
        <w:rPr>
          <w:spacing w:val="-6"/>
          <w:sz w:val="22"/>
        </w:rPr>
        <w:t> </w:t>
      </w:r>
      <w:r>
        <w:rPr>
          <w:sz w:val="22"/>
        </w:rPr>
        <w:t>climático</w:t>
      </w:r>
      <w:r>
        <w:rPr>
          <w:spacing w:val="-5"/>
          <w:sz w:val="22"/>
        </w:rPr>
        <w:t> </w:t>
      </w:r>
      <w:r>
        <w:rPr>
          <w:sz w:val="22"/>
        </w:rPr>
        <w:t>y</w:t>
      </w:r>
      <w:r>
        <w:rPr>
          <w:spacing w:val="-6"/>
          <w:sz w:val="22"/>
        </w:rPr>
        <w:t> </w:t>
      </w:r>
      <w:r>
        <w:rPr>
          <w:sz w:val="22"/>
        </w:rPr>
        <w:t>transición</w:t>
      </w:r>
      <w:r>
        <w:rPr>
          <w:spacing w:val="-4"/>
          <w:sz w:val="22"/>
        </w:rPr>
        <w:t> </w:t>
      </w:r>
      <w:r>
        <w:rPr>
          <w:sz w:val="22"/>
        </w:rPr>
        <w:t>energética</w:t>
      </w:r>
      <w:r>
        <w:rPr>
          <w:spacing w:val="-5"/>
          <w:sz w:val="22"/>
        </w:rPr>
        <w:t> </w:t>
      </w:r>
      <w:r>
        <w:rPr>
          <w:sz w:val="22"/>
        </w:rPr>
        <w:t>de</w:t>
      </w:r>
      <w:r>
        <w:rPr>
          <w:spacing w:val="-4"/>
          <w:sz w:val="22"/>
        </w:rPr>
        <w:t> </w:t>
      </w:r>
      <w:r>
        <w:rPr>
          <w:spacing w:val="-2"/>
          <w:sz w:val="22"/>
        </w:rPr>
        <w:t>Canarias.</w:t>
      </w:r>
    </w:p>
    <w:p>
      <w:pPr>
        <w:pStyle w:val="ListParagraph"/>
        <w:numPr>
          <w:ilvl w:val="1"/>
          <w:numId w:val="10"/>
        </w:numPr>
        <w:tabs>
          <w:tab w:pos="1705" w:val="left" w:leader="none"/>
        </w:tabs>
        <w:spacing w:line="242" w:lineRule="auto" w:before="119" w:after="0"/>
        <w:ind w:left="1705" w:right="988" w:hanging="356"/>
        <w:jc w:val="left"/>
        <w:rPr>
          <w:sz w:val="22"/>
        </w:rPr>
      </w:pPr>
      <w:r>
        <w:rPr>
          <w:sz w:val="22"/>
        </w:rPr>
        <w:t>Ley 14/1998, de 30 de diciembre, de los Transportes Urbanos de la Comunidad Autónoma de Aragón.</w:t>
      </w:r>
    </w:p>
    <w:p>
      <w:pPr>
        <w:pStyle w:val="Heading3"/>
        <w:numPr>
          <w:ilvl w:val="0"/>
          <w:numId w:val="10"/>
        </w:numPr>
        <w:tabs>
          <w:tab w:pos="1350" w:val="left" w:leader="none"/>
        </w:tabs>
        <w:spacing w:line="240" w:lineRule="auto" w:before="236" w:after="0"/>
        <w:ind w:left="1350" w:right="0" w:hanging="358"/>
        <w:jc w:val="left"/>
      </w:pPr>
      <w:r>
        <w:rPr/>
        <w:t>NORMATIVA</w:t>
      </w:r>
      <w:r>
        <w:rPr>
          <w:spacing w:val="-3"/>
        </w:rPr>
        <w:t> </w:t>
      </w:r>
      <w:r>
        <w:rPr>
          <w:spacing w:val="-2"/>
        </w:rPr>
        <w:t>LOCAL</w:t>
      </w:r>
    </w:p>
    <w:p>
      <w:pPr>
        <w:pStyle w:val="Heading5"/>
        <w:spacing w:before="120"/>
        <w:ind w:left="992"/>
      </w:pPr>
      <w:r>
        <w:rPr>
          <w:spacing w:val="-2"/>
        </w:rPr>
        <w:t>Alicante:</w:t>
      </w:r>
    </w:p>
    <w:p>
      <w:pPr>
        <w:pStyle w:val="ListParagraph"/>
        <w:numPr>
          <w:ilvl w:val="1"/>
          <w:numId w:val="10"/>
        </w:numPr>
        <w:tabs>
          <w:tab w:pos="1712" w:val="left" w:leader="none"/>
        </w:tabs>
        <w:spacing w:line="278" w:lineRule="auto" w:before="179" w:after="0"/>
        <w:ind w:left="1712" w:right="994" w:hanging="360"/>
        <w:jc w:val="left"/>
        <w:rPr>
          <w:sz w:val="22"/>
        </w:rPr>
      </w:pPr>
      <w:r>
        <w:rPr>
          <w:sz w:val="22"/>
        </w:rPr>
        <w:t>Ordenanza municipal reguladora de la normativa para el diseño de los pasos de peatones en la ciudad de Alicante que facilite la accesibilidad al medio urbano.</w:t>
      </w:r>
    </w:p>
    <w:p>
      <w:pPr>
        <w:pStyle w:val="ListParagraph"/>
        <w:numPr>
          <w:ilvl w:val="1"/>
          <w:numId w:val="10"/>
        </w:numPr>
        <w:tabs>
          <w:tab w:pos="1712" w:val="left" w:leader="none"/>
        </w:tabs>
        <w:spacing w:line="278" w:lineRule="auto" w:before="1" w:after="0"/>
        <w:ind w:left="1712" w:right="992" w:hanging="360"/>
        <w:jc w:val="left"/>
        <w:rPr>
          <w:sz w:val="22"/>
        </w:rPr>
      </w:pPr>
      <w:r>
        <w:rPr>
          <w:sz w:val="22"/>
        </w:rPr>
        <w:t>Ordenanza municipal de circulación de peatones y vehículos, aprobada por el Pleno el 29 de noviembre de 2011.</w:t>
      </w:r>
    </w:p>
    <w:p>
      <w:pPr>
        <w:pStyle w:val="ListParagraph"/>
        <w:numPr>
          <w:ilvl w:val="1"/>
          <w:numId w:val="10"/>
        </w:numPr>
        <w:tabs>
          <w:tab w:pos="1712" w:val="left" w:leader="none"/>
        </w:tabs>
        <w:spacing w:line="278" w:lineRule="auto" w:before="0" w:after="0"/>
        <w:ind w:left="1712" w:right="993" w:hanging="360"/>
        <w:jc w:val="left"/>
        <w:rPr>
          <w:sz w:val="22"/>
        </w:rPr>
      </w:pPr>
      <w:r>
        <w:rPr>
          <w:sz w:val="22"/>
        </w:rPr>
        <w:t>Reglamento</w:t>
      </w:r>
      <w:r>
        <w:rPr>
          <w:spacing w:val="-3"/>
          <w:sz w:val="22"/>
        </w:rPr>
        <w:t> </w:t>
      </w:r>
      <w:r>
        <w:rPr>
          <w:sz w:val="22"/>
        </w:rPr>
        <w:t>de</w:t>
      </w:r>
      <w:r>
        <w:rPr>
          <w:spacing w:val="-3"/>
          <w:sz w:val="22"/>
        </w:rPr>
        <w:t> </w:t>
      </w:r>
      <w:r>
        <w:rPr>
          <w:sz w:val="22"/>
        </w:rPr>
        <w:t>usuarios</w:t>
      </w:r>
      <w:r>
        <w:rPr>
          <w:spacing w:val="-4"/>
          <w:sz w:val="22"/>
        </w:rPr>
        <w:t> </w:t>
      </w:r>
      <w:r>
        <w:rPr>
          <w:sz w:val="22"/>
        </w:rPr>
        <w:t>del</w:t>
      </w:r>
      <w:r>
        <w:rPr>
          <w:spacing w:val="-1"/>
          <w:sz w:val="22"/>
        </w:rPr>
        <w:t> </w:t>
      </w:r>
      <w:r>
        <w:rPr>
          <w:sz w:val="22"/>
        </w:rPr>
        <w:t>transporte</w:t>
      </w:r>
      <w:r>
        <w:rPr>
          <w:spacing w:val="-3"/>
          <w:sz w:val="22"/>
        </w:rPr>
        <w:t> </w:t>
      </w:r>
      <w:r>
        <w:rPr>
          <w:sz w:val="22"/>
        </w:rPr>
        <w:t>colectivo</w:t>
      </w:r>
      <w:r>
        <w:rPr>
          <w:spacing w:val="-3"/>
          <w:sz w:val="22"/>
        </w:rPr>
        <w:t> </w:t>
      </w:r>
      <w:r>
        <w:rPr>
          <w:sz w:val="22"/>
        </w:rPr>
        <w:t>urbano</w:t>
      </w:r>
      <w:r>
        <w:rPr>
          <w:spacing w:val="-3"/>
          <w:sz w:val="22"/>
        </w:rPr>
        <w:t> </w:t>
      </w:r>
      <w:r>
        <w:rPr>
          <w:sz w:val="22"/>
        </w:rPr>
        <w:t>de</w:t>
      </w:r>
      <w:r>
        <w:rPr>
          <w:spacing w:val="-3"/>
          <w:sz w:val="22"/>
        </w:rPr>
        <w:t> </w:t>
      </w:r>
      <w:r>
        <w:rPr>
          <w:sz w:val="22"/>
        </w:rPr>
        <w:t>la ciudad</w:t>
      </w:r>
      <w:r>
        <w:rPr>
          <w:spacing w:val="-3"/>
          <w:sz w:val="22"/>
        </w:rPr>
        <w:t> </w:t>
      </w:r>
      <w:r>
        <w:rPr>
          <w:sz w:val="22"/>
        </w:rPr>
        <w:t>de</w:t>
      </w:r>
      <w:r>
        <w:rPr>
          <w:spacing w:val="-3"/>
          <w:sz w:val="22"/>
        </w:rPr>
        <w:t> </w:t>
      </w:r>
      <w:r>
        <w:rPr>
          <w:sz w:val="22"/>
        </w:rPr>
        <w:t>Alicante,</w:t>
      </w:r>
      <w:r>
        <w:rPr>
          <w:spacing w:val="-2"/>
          <w:sz w:val="22"/>
        </w:rPr>
        <w:t> </w:t>
      </w:r>
      <w:r>
        <w:rPr>
          <w:sz w:val="22"/>
        </w:rPr>
        <w:t>aprobado por el Pleno el 7 de noviembre de 1997.</w:t>
      </w:r>
    </w:p>
    <w:p>
      <w:pPr>
        <w:pStyle w:val="ListParagraph"/>
        <w:spacing w:after="0" w:line="278" w:lineRule="auto"/>
        <w:jc w:val="left"/>
        <w:rPr>
          <w:sz w:val="22"/>
        </w:rPr>
        <w:sectPr>
          <w:pgSz w:w="11910" w:h="16840"/>
          <w:pgMar w:header="1270" w:footer="683" w:top="2800" w:bottom="880" w:left="141" w:right="141"/>
        </w:sectPr>
      </w:pPr>
    </w:p>
    <w:p>
      <w:pPr>
        <w:pStyle w:val="BodyText"/>
        <w:spacing w:before="228"/>
      </w:pPr>
    </w:p>
    <w:p>
      <w:pPr>
        <w:pStyle w:val="ListParagraph"/>
        <w:numPr>
          <w:ilvl w:val="1"/>
          <w:numId w:val="10"/>
        </w:numPr>
        <w:tabs>
          <w:tab w:pos="1712" w:val="left" w:leader="none"/>
        </w:tabs>
        <w:spacing w:line="280" w:lineRule="auto" w:before="0" w:after="0"/>
        <w:ind w:left="1712" w:right="989" w:hanging="360"/>
        <w:jc w:val="left"/>
        <w:rPr>
          <w:sz w:val="22"/>
        </w:rPr>
      </w:pPr>
      <w:r>
        <w:rPr>
          <w:sz w:val="22"/>
        </w:rPr>
        <w:t>Ordenanza</w:t>
      </w:r>
      <w:r>
        <w:rPr>
          <w:spacing w:val="-10"/>
          <w:sz w:val="22"/>
        </w:rPr>
        <w:t> </w:t>
      </w:r>
      <w:r>
        <w:rPr>
          <w:sz w:val="22"/>
        </w:rPr>
        <w:t>reguladora</w:t>
      </w:r>
      <w:r>
        <w:rPr>
          <w:spacing w:val="-7"/>
          <w:sz w:val="22"/>
        </w:rPr>
        <w:t> </w:t>
      </w:r>
      <w:r>
        <w:rPr>
          <w:sz w:val="22"/>
        </w:rPr>
        <w:t>de</w:t>
      </w:r>
      <w:r>
        <w:rPr>
          <w:spacing w:val="-5"/>
          <w:sz w:val="22"/>
        </w:rPr>
        <w:t> </w:t>
      </w:r>
      <w:r>
        <w:rPr>
          <w:sz w:val="22"/>
        </w:rPr>
        <w:t>la</w:t>
      </w:r>
      <w:r>
        <w:rPr>
          <w:spacing w:val="-7"/>
          <w:sz w:val="22"/>
        </w:rPr>
        <w:t> </w:t>
      </w:r>
      <w:r>
        <w:rPr>
          <w:sz w:val="22"/>
        </w:rPr>
        <w:t>Zona</w:t>
      </w:r>
      <w:r>
        <w:rPr>
          <w:spacing w:val="-5"/>
          <w:sz w:val="22"/>
        </w:rPr>
        <w:t> </w:t>
      </w:r>
      <w:r>
        <w:rPr>
          <w:sz w:val="22"/>
        </w:rPr>
        <w:t>de</w:t>
      </w:r>
      <w:r>
        <w:rPr>
          <w:spacing w:val="-5"/>
          <w:sz w:val="22"/>
        </w:rPr>
        <w:t> </w:t>
      </w:r>
      <w:r>
        <w:rPr>
          <w:sz w:val="22"/>
        </w:rPr>
        <w:t>Bajas</w:t>
      </w:r>
      <w:r>
        <w:rPr>
          <w:spacing w:val="-7"/>
          <w:sz w:val="22"/>
        </w:rPr>
        <w:t> </w:t>
      </w:r>
      <w:r>
        <w:rPr>
          <w:sz w:val="22"/>
        </w:rPr>
        <w:t>Emisiones</w:t>
      </w:r>
      <w:r>
        <w:rPr>
          <w:spacing w:val="-5"/>
          <w:sz w:val="22"/>
        </w:rPr>
        <w:t> </w:t>
      </w:r>
      <w:r>
        <w:rPr>
          <w:sz w:val="22"/>
        </w:rPr>
        <w:t>de</w:t>
      </w:r>
      <w:r>
        <w:rPr>
          <w:spacing w:val="-8"/>
          <w:sz w:val="22"/>
        </w:rPr>
        <w:t> </w:t>
      </w:r>
      <w:r>
        <w:rPr>
          <w:sz w:val="22"/>
        </w:rPr>
        <w:t>Alicante,</w:t>
      </w:r>
      <w:r>
        <w:rPr>
          <w:spacing w:val="-6"/>
          <w:sz w:val="22"/>
        </w:rPr>
        <w:t> </w:t>
      </w:r>
      <w:r>
        <w:rPr>
          <w:sz w:val="22"/>
        </w:rPr>
        <w:t>aprobada</w:t>
      </w:r>
      <w:r>
        <w:rPr>
          <w:spacing w:val="-5"/>
          <w:sz w:val="22"/>
        </w:rPr>
        <w:t> </w:t>
      </w:r>
      <w:r>
        <w:rPr>
          <w:sz w:val="22"/>
        </w:rPr>
        <w:t>por</w:t>
      </w:r>
      <w:r>
        <w:rPr>
          <w:spacing w:val="-6"/>
          <w:sz w:val="22"/>
        </w:rPr>
        <w:t> </w:t>
      </w:r>
      <w:r>
        <w:rPr>
          <w:sz w:val="22"/>
        </w:rPr>
        <w:t>el</w:t>
      </w:r>
      <w:r>
        <w:rPr>
          <w:spacing w:val="-8"/>
          <w:sz w:val="22"/>
        </w:rPr>
        <w:t> </w:t>
      </w:r>
      <w:r>
        <w:rPr>
          <w:sz w:val="22"/>
        </w:rPr>
        <w:t>Pleno</w:t>
      </w:r>
      <w:r>
        <w:rPr>
          <w:spacing w:val="-5"/>
          <w:sz w:val="22"/>
        </w:rPr>
        <w:t> </w:t>
      </w:r>
      <w:r>
        <w:rPr>
          <w:sz w:val="22"/>
        </w:rPr>
        <w:t>el 30 de diciembre de 2024.</w:t>
      </w:r>
    </w:p>
    <w:p>
      <w:pPr>
        <w:pStyle w:val="Heading5"/>
        <w:spacing w:before="154"/>
        <w:ind w:left="992"/>
      </w:pPr>
      <w:r>
        <w:rPr>
          <w:spacing w:val="-2"/>
        </w:rPr>
        <w:t>Bilbao</w:t>
      </w:r>
    </w:p>
    <w:p>
      <w:pPr>
        <w:pStyle w:val="ListParagraph"/>
        <w:numPr>
          <w:ilvl w:val="1"/>
          <w:numId w:val="10"/>
        </w:numPr>
        <w:tabs>
          <w:tab w:pos="1712" w:val="left" w:leader="none"/>
        </w:tabs>
        <w:spacing w:line="240" w:lineRule="auto" w:before="180" w:after="0"/>
        <w:ind w:left="1712" w:right="0" w:hanging="360"/>
        <w:jc w:val="left"/>
        <w:rPr>
          <w:sz w:val="22"/>
        </w:rPr>
      </w:pPr>
      <w:r>
        <w:rPr>
          <w:sz w:val="22"/>
        </w:rPr>
        <w:t>Ordenanza</w:t>
      </w:r>
      <w:r>
        <w:rPr>
          <w:spacing w:val="-9"/>
          <w:sz w:val="22"/>
        </w:rPr>
        <w:t> </w:t>
      </w:r>
      <w:r>
        <w:rPr>
          <w:sz w:val="22"/>
        </w:rPr>
        <w:t>reguladora</w:t>
      </w:r>
      <w:r>
        <w:rPr>
          <w:spacing w:val="-5"/>
          <w:sz w:val="22"/>
        </w:rPr>
        <w:t> </w:t>
      </w:r>
      <w:r>
        <w:rPr>
          <w:sz w:val="22"/>
        </w:rPr>
        <w:t>de</w:t>
      </w:r>
      <w:r>
        <w:rPr>
          <w:spacing w:val="-4"/>
          <w:sz w:val="22"/>
        </w:rPr>
        <w:t> </w:t>
      </w:r>
      <w:r>
        <w:rPr>
          <w:sz w:val="22"/>
        </w:rPr>
        <w:t>la</w:t>
      </w:r>
      <w:r>
        <w:rPr>
          <w:spacing w:val="-5"/>
          <w:sz w:val="22"/>
        </w:rPr>
        <w:t> </w:t>
      </w:r>
      <w:r>
        <w:rPr>
          <w:sz w:val="22"/>
        </w:rPr>
        <w:t>Zona</w:t>
      </w:r>
      <w:r>
        <w:rPr>
          <w:spacing w:val="-4"/>
          <w:sz w:val="22"/>
        </w:rPr>
        <w:t> </w:t>
      </w:r>
      <w:r>
        <w:rPr>
          <w:sz w:val="22"/>
        </w:rPr>
        <w:t>de</w:t>
      </w:r>
      <w:r>
        <w:rPr>
          <w:spacing w:val="-7"/>
          <w:sz w:val="22"/>
        </w:rPr>
        <w:t> </w:t>
      </w:r>
      <w:r>
        <w:rPr>
          <w:sz w:val="22"/>
        </w:rPr>
        <w:t>Bajas</w:t>
      </w:r>
      <w:r>
        <w:rPr>
          <w:spacing w:val="-3"/>
          <w:sz w:val="22"/>
        </w:rPr>
        <w:t> </w:t>
      </w:r>
      <w:r>
        <w:rPr>
          <w:sz w:val="22"/>
        </w:rPr>
        <w:t>Emisiones</w:t>
      </w:r>
      <w:r>
        <w:rPr>
          <w:spacing w:val="-5"/>
          <w:sz w:val="22"/>
        </w:rPr>
        <w:t> </w:t>
      </w:r>
      <w:r>
        <w:rPr>
          <w:sz w:val="22"/>
        </w:rPr>
        <w:t>de</w:t>
      </w:r>
      <w:r>
        <w:rPr>
          <w:spacing w:val="-4"/>
          <w:sz w:val="22"/>
        </w:rPr>
        <w:t> </w:t>
      </w:r>
      <w:r>
        <w:rPr>
          <w:spacing w:val="-2"/>
          <w:sz w:val="22"/>
        </w:rPr>
        <w:t>Bilbao</w:t>
      </w:r>
      <w:r>
        <w:rPr>
          <w:spacing w:val="-2"/>
          <w:sz w:val="24"/>
        </w:rPr>
        <w:t>.</w:t>
      </w:r>
    </w:p>
    <w:p>
      <w:pPr>
        <w:pStyle w:val="ListParagraph"/>
        <w:numPr>
          <w:ilvl w:val="1"/>
          <w:numId w:val="10"/>
        </w:numPr>
        <w:tabs>
          <w:tab w:pos="1712" w:val="left" w:leader="none"/>
        </w:tabs>
        <w:spacing w:line="240" w:lineRule="auto" w:before="43" w:after="0"/>
        <w:ind w:left="1712" w:right="0" w:hanging="360"/>
        <w:jc w:val="left"/>
        <w:rPr>
          <w:sz w:val="22"/>
        </w:rPr>
      </w:pPr>
      <w:r>
        <w:rPr>
          <w:sz w:val="22"/>
        </w:rPr>
        <w:t>Ordenanza</w:t>
      </w:r>
      <w:r>
        <w:rPr>
          <w:spacing w:val="-11"/>
          <w:sz w:val="22"/>
        </w:rPr>
        <w:t> </w:t>
      </w:r>
      <w:r>
        <w:rPr>
          <w:sz w:val="22"/>
        </w:rPr>
        <w:t>municipal</w:t>
      </w:r>
      <w:r>
        <w:rPr>
          <w:spacing w:val="-5"/>
          <w:sz w:val="22"/>
        </w:rPr>
        <w:t> </w:t>
      </w:r>
      <w:r>
        <w:rPr>
          <w:sz w:val="22"/>
        </w:rPr>
        <w:t>de</w:t>
      </w:r>
      <w:r>
        <w:rPr>
          <w:spacing w:val="-7"/>
          <w:sz w:val="22"/>
        </w:rPr>
        <w:t> </w:t>
      </w:r>
      <w:r>
        <w:rPr>
          <w:spacing w:val="-2"/>
          <w:sz w:val="22"/>
        </w:rPr>
        <w:t>circulación.</w:t>
      </w:r>
    </w:p>
    <w:p>
      <w:pPr>
        <w:pStyle w:val="ListParagraph"/>
        <w:numPr>
          <w:ilvl w:val="1"/>
          <w:numId w:val="10"/>
        </w:numPr>
        <w:tabs>
          <w:tab w:pos="1712" w:val="left" w:leader="none"/>
        </w:tabs>
        <w:spacing w:line="280" w:lineRule="auto" w:before="40" w:after="0"/>
        <w:ind w:left="1712" w:right="990" w:hanging="360"/>
        <w:jc w:val="left"/>
        <w:rPr>
          <w:sz w:val="22"/>
        </w:rPr>
      </w:pPr>
      <w:r>
        <w:rPr>
          <w:sz w:val="22"/>
        </w:rPr>
        <w:t>Ordenanza</w:t>
      </w:r>
      <w:r>
        <w:rPr>
          <w:spacing w:val="-13"/>
          <w:sz w:val="22"/>
        </w:rPr>
        <w:t> </w:t>
      </w:r>
      <w:r>
        <w:rPr>
          <w:sz w:val="22"/>
        </w:rPr>
        <w:t>municipal</w:t>
      </w:r>
      <w:r>
        <w:rPr>
          <w:spacing w:val="-9"/>
          <w:sz w:val="22"/>
        </w:rPr>
        <w:t> </w:t>
      </w:r>
      <w:r>
        <w:rPr>
          <w:sz w:val="22"/>
        </w:rPr>
        <w:t>de</w:t>
      </w:r>
      <w:r>
        <w:rPr>
          <w:spacing w:val="-11"/>
          <w:sz w:val="22"/>
        </w:rPr>
        <w:t> </w:t>
      </w:r>
      <w:r>
        <w:rPr>
          <w:sz w:val="22"/>
        </w:rPr>
        <w:t>protección</w:t>
      </w:r>
      <w:r>
        <w:rPr>
          <w:spacing w:val="-11"/>
          <w:sz w:val="22"/>
        </w:rPr>
        <w:t> </w:t>
      </w:r>
      <w:r>
        <w:rPr>
          <w:sz w:val="22"/>
        </w:rPr>
        <w:t>del</w:t>
      </w:r>
      <w:r>
        <w:rPr>
          <w:spacing w:val="-11"/>
          <w:sz w:val="22"/>
        </w:rPr>
        <w:t> </w:t>
      </w:r>
      <w:r>
        <w:rPr>
          <w:sz w:val="22"/>
        </w:rPr>
        <w:t>medio</w:t>
      </w:r>
      <w:r>
        <w:rPr>
          <w:spacing w:val="-8"/>
          <w:sz w:val="22"/>
        </w:rPr>
        <w:t> </w:t>
      </w:r>
      <w:r>
        <w:rPr>
          <w:sz w:val="22"/>
        </w:rPr>
        <w:t>ambiente</w:t>
      </w:r>
      <w:r>
        <w:rPr>
          <w:spacing w:val="-8"/>
          <w:sz w:val="22"/>
        </w:rPr>
        <w:t> </w:t>
      </w:r>
      <w:r>
        <w:rPr>
          <w:sz w:val="22"/>
        </w:rPr>
        <w:t>(publicada</w:t>
      </w:r>
      <w:r>
        <w:rPr>
          <w:spacing w:val="-10"/>
          <w:sz w:val="22"/>
        </w:rPr>
        <w:t> </w:t>
      </w:r>
      <w:r>
        <w:rPr>
          <w:sz w:val="22"/>
        </w:rPr>
        <w:t>en</w:t>
      </w:r>
      <w:r>
        <w:rPr>
          <w:spacing w:val="-8"/>
          <w:sz w:val="22"/>
        </w:rPr>
        <w:t> </w:t>
      </w:r>
      <w:r>
        <w:rPr>
          <w:sz w:val="22"/>
        </w:rPr>
        <w:t>el</w:t>
      </w:r>
      <w:r>
        <w:rPr>
          <w:spacing w:val="-11"/>
          <w:sz w:val="22"/>
        </w:rPr>
        <w:t> </w:t>
      </w:r>
      <w:r>
        <w:rPr>
          <w:sz w:val="22"/>
        </w:rPr>
        <w:t>BOB</w:t>
      </w:r>
      <w:r>
        <w:rPr>
          <w:spacing w:val="-8"/>
          <w:sz w:val="22"/>
        </w:rPr>
        <w:t> </w:t>
      </w:r>
      <w:r>
        <w:rPr>
          <w:sz w:val="22"/>
        </w:rPr>
        <w:t>de</w:t>
      </w:r>
      <w:r>
        <w:rPr>
          <w:spacing w:val="-11"/>
          <w:sz w:val="22"/>
        </w:rPr>
        <w:t> </w:t>
      </w:r>
      <w:r>
        <w:rPr>
          <w:sz w:val="22"/>
        </w:rPr>
        <w:t>16</w:t>
      </w:r>
      <w:r>
        <w:rPr>
          <w:spacing w:val="-11"/>
          <w:sz w:val="22"/>
        </w:rPr>
        <w:t> </w:t>
      </w:r>
      <w:r>
        <w:rPr>
          <w:sz w:val="22"/>
        </w:rPr>
        <w:t>de</w:t>
      </w:r>
      <w:r>
        <w:rPr>
          <w:spacing w:val="-11"/>
          <w:sz w:val="22"/>
        </w:rPr>
        <w:t> </w:t>
      </w:r>
      <w:r>
        <w:rPr>
          <w:sz w:val="22"/>
        </w:rPr>
        <w:t>junio de 2000).</w:t>
      </w:r>
    </w:p>
    <w:p>
      <w:pPr>
        <w:pStyle w:val="Heading5"/>
        <w:spacing w:before="155"/>
        <w:ind w:left="992"/>
      </w:pPr>
      <w:r>
        <w:rPr>
          <w:spacing w:val="-2"/>
        </w:rPr>
        <w:t>Córdoba</w:t>
      </w:r>
    </w:p>
    <w:p>
      <w:pPr>
        <w:pStyle w:val="ListParagraph"/>
        <w:numPr>
          <w:ilvl w:val="1"/>
          <w:numId w:val="10"/>
        </w:numPr>
        <w:tabs>
          <w:tab w:pos="1712" w:val="left" w:leader="none"/>
        </w:tabs>
        <w:spacing w:line="278" w:lineRule="auto" w:before="181" w:after="0"/>
        <w:ind w:left="1712" w:right="986" w:hanging="360"/>
        <w:jc w:val="both"/>
        <w:rPr>
          <w:sz w:val="22"/>
        </w:rPr>
      </w:pPr>
      <w:r>
        <w:rPr>
          <w:sz w:val="22"/>
        </w:rPr>
        <w:t>Ordenanza</w:t>
      </w:r>
      <w:r>
        <w:rPr>
          <w:spacing w:val="-13"/>
          <w:sz w:val="22"/>
        </w:rPr>
        <w:t> </w:t>
      </w:r>
      <w:r>
        <w:rPr>
          <w:sz w:val="22"/>
        </w:rPr>
        <w:t>de</w:t>
      </w:r>
      <w:r>
        <w:rPr>
          <w:spacing w:val="-10"/>
          <w:sz w:val="22"/>
        </w:rPr>
        <w:t> </w:t>
      </w:r>
      <w:r>
        <w:rPr>
          <w:sz w:val="22"/>
        </w:rPr>
        <w:t>Circulación,</w:t>
      </w:r>
      <w:r>
        <w:rPr>
          <w:spacing w:val="-8"/>
          <w:sz w:val="22"/>
        </w:rPr>
        <w:t> </w:t>
      </w:r>
      <w:r>
        <w:rPr>
          <w:sz w:val="22"/>
        </w:rPr>
        <w:t>Seguridad</w:t>
      </w:r>
      <w:r>
        <w:rPr>
          <w:spacing w:val="-10"/>
          <w:sz w:val="22"/>
        </w:rPr>
        <w:t> </w:t>
      </w:r>
      <w:r>
        <w:rPr>
          <w:sz w:val="22"/>
        </w:rPr>
        <w:t>Vial</w:t>
      </w:r>
      <w:r>
        <w:rPr>
          <w:spacing w:val="-11"/>
          <w:sz w:val="22"/>
        </w:rPr>
        <w:t> </w:t>
      </w:r>
      <w:r>
        <w:rPr>
          <w:sz w:val="22"/>
        </w:rPr>
        <w:t>y</w:t>
      </w:r>
      <w:r>
        <w:rPr>
          <w:spacing w:val="-9"/>
          <w:sz w:val="22"/>
        </w:rPr>
        <w:t> </w:t>
      </w:r>
      <w:r>
        <w:rPr>
          <w:sz w:val="22"/>
        </w:rPr>
        <w:t>Movilidad</w:t>
      </w:r>
      <w:r>
        <w:rPr>
          <w:spacing w:val="-10"/>
          <w:sz w:val="22"/>
        </w:rPr>
        <w:t> </w:t>
      </w:r>
      <w:r>
        <w:rPr>
          <w:sz w:val="22"/>
        </w:rPr>
        <w:t>Sostenible</w:t>
      </w:r>
      <w:r>
        <w:rPr>
          <w:spacing w:val="-10"/>
          <w:sz w:val="22"/>
        </w:rPr>
        <w:t> </w:t>
      </w:r>
      <w:r>
        <w:rPr>
          <w:sz w:val="22"/>
        </w:rPr>
        <w:t>de</w:t>
      </w:r>
      <w:r>
        <w:rPr>
          <w:spacing w:val="-10"/>
          <w:sz w:val="22"/>
        </w:rPr>
        <w:t> </w:t>
      </w:r>
      <w:r>
        <w:rPr>
          <w:sz w:val="22"/>
        </w:rPr>
        <w:t>Córdoba,</w:t>
      </w:r>
      <w:r>
        <w:rPr>
          <w:spacing w:val="-5"/>
          <w:sz w:val="22"/>
        </w:rPr>
        <w:t> </w:t>
      </w:r>
      <w:r>
        <w:rPr>
          <w:sz w:val="22"/>
        </w:rPr>
        <w:t>aprobada</w:t>
      </w:r>
      <w:r>
        <w:rPr>
          <w:spacing w:val="-12"/>
          <w:sz w:val="22"/>
        </w:rPr>
        <w:t> </w:t>
      </w:r>
      <w:r>
        <w:rPr>
          <w:sz w:val="22"/>
        </w:rPr>
        <w:t>por acuerdo de Pleno el 17 de enero de 2023.</w:t>
      </w:r>
    </w:p>
    <w:p>
      <w:pPr>
        <w:pStyle w:val="ListParagraph"/>
        <w:numPr>
          <w:ilvl w:val="1"/>
          <w:numId w:val="10"/>
        </w:numPr>
        <w:tabs>
          <w:tab w:pos="1712" w:val="left" w:leader="none"/>
        </w:tabs>
        <w:spacing w:line="278" w:lineRule="auto" w:before="0" w:after="0"/>
        <w:ind w:left="1712" w:right="993" w:hanging="360"/>
        <w:jc w:val="both"/>
        <w:rPr>
          <w:sz w:val="22"/>
        </w:rPr>
      </w:pPr>
      <w:r>
        <w:rPr>
          <w:sz w:val="22"/>
        </w:rPr>
        <w:t>Ordenanza fiscal nº 106 Tasa por prestaciones de servicios y realización de actividades a cargo del Área de Seguridad, Movilidad y Transportes y Vía Pública.</w:t>
      </w:r>
    </w:p>
    <w:p>
      <w:pPr>
        <w:pStyle w:val="ListParagraph"/>
        <w:numPr>
          <w:ilvl w:val="1"/>
          <w:numId w:val="10"/>
        </w:numPr>
        <w:tabs>
          <w:tab w:pos="1712" w:val="left" w:leader="none"/>
        </w:tabs>
        <w:spacing w:line="278" w:lineRule="auto" w:before="0" w:after="0"/>
        <w:ind w:left="1712" w:right="987" w:hanging="360"/>
        <w:jc w:val="both"/>
        <w:rPr>
          <w:sz w:val="22"/>
        </w:rPr>
      </w:pPr>
      <w:r>
        <w:rPr>
          <w:sz w:val="22"/>
        </w:rPr>
        <w:t>Ordenanza municipal de protección del medio ambiente contra la emisión de ruidos y vibraciones,</w:t>
      </w:r>
      <w:r>
        <w:rPr>
          <w:spacing w:val="-5"/>
          <w:sz w:val="22"/>
        </w:rPr>
        <w:t> </w:t>
      </w:r>
      <w:r>
        <w:rPr>
          <w:sz w:val="22"/>
        </w:rPr>
        <w:t>aprobada</w:t>
      </w:r>
      <w:r>
        <w:rPr>
          <w:spacing w:val="-6"/>
          <w:sz w:val="22"/>
        </w:rPr>
        <w:t> </w:t>
      </w:r>
      <w:r>
        <w:rPr>
          <w:sz w:val="22"/>
        </w:rPr>
        <w:t>inicialmente</w:t>
      </w:r>
      <w:r>
        <w:rPr>
          <w:spacing w:val="-6"/>
          <w:sz w:val="22"/>
        </w:rPr>
        <w:t> </w:t>
      </w:r>
      <w:r>
        <w:rPr>
          <w:sz w:val="22"/>
        </w:rPr>
        <w:t>el</w:t>
      </w:r>
      <w:r>
        <w:rPr>
          <w:spacing w:val="-5"/>
          <w:sz w:val="22"/>
        </w:rPr>
        <w:t> </w:t>
      </w:r>
      <w:r>
        <w:rPr>
          <w:sz w:val="22"/>
        </w:rPr>
        <w:t>6</w:t>
      </w:r>
      <w:r>
        <w:rPr>
          <w:spacing w:val="-6"/>
          <w:sz w:val="22"/>
        </w:rPr>
        <w:t> </w:t>
      </w:r>
      <w:r>
        <w:rPr>
          <w:sz w:val="22"/>
        </w:rPr>
        <w:t>de</w:t>
      </w:r>
      <w:r>
        <w:rPr>
          <w:spacing w:val="-7"/>
          <w:sz w:val="22"/>
        </w:rPr>
        <w:t> </w:t>
      </w:r>
      <w:r>
        <w:rPr>
          <w:sz w:val="22"/>
        </w:rPr>
        <w:t>julio</w:t>
      </w:r>
      <w:r>
        <w:rPr>
          <w:spacing w:val="-4"/>
          <w:sz w:val="22"/>
        </w:rPr>
        <w:t> </w:t>
      </w:r>
      <w:r>
        <w:rPr>
          <w:sz w:val="22"/>
        </w:rPr>
        <w:t>de</w:t>
      </w:r>
      <w:r>
        <w:rPr>
          <w:spacing w:val="-7"/>
          <w:sz w:val="22"/>
        </w:rPr>
        <w:t> </w:t>
      </w:r>
      <w:r>
        <w:rPr>
          <w:sz w:val="22"/>
        </w:rPr>
        <w:t>2000</w:t>
      </w:r>
      <w:r>
        <w:rPr>
          <w:spacing w:val="-7"/>
          <w:sz w:val="22"/>
        </w:rPr>
        <w:t> </w:t>
      </w:r>
      <w:r>
        <w:rPr>
          <w:sz w:val="22"/>
        </w:rPr>
        <w:t>(publicada</w:t>
      </w:r>
      <w:r>
        <w:rPr>
          <w:spacing w:val="-6"/>
          <w:sz w:val="22"/>
        </w:rPr>
        <w:t> </w:t>
      </w:r>
      <w:r>
        <w:rPr>
          <w:sz w:val="22"/>
        </w:rPr>
        <w:t>en</w:t>
      </w:r>
      <w:r>
        <w:rPr>
          <w:spacing w:val="-4"/>
          <w:sz w:val="22"/>
        </w:rPr>
        <w:t> </w:t>
      </w:r>
      <w:r>
        <w:rPr>
          <w:sz w:val="22"/>
        </w:rPr>
        <w:t>BOP</w:t>
      </w:r>
      <w:r>
        <w:rPr>
          <w:spacing w:val="-7"/>
          <w:sz w:val="22"/>
        </w:rPr>
        <w:t> </w:t>
      </w:r>
      <w:r>
        <w:rPr>
          <w:sz w:val="22"/>
        </w:rPr>
        <w:t>el</w:t>
      </w:r>
      <w:r>
        <w:rPr>
          <w:spacing w:val="-5"/>
          <w:sz w:val="22"/>
        </w:rPr>
        <w:t> </w:t>
      </w:r>
      <w:r>
        <w:rPr>
          <w:sz w:val="22"/>
        </w:rPr>
        <w:t>13</w:t>
      </w:r>
      <w:r>
        <w:rPr>
          <w:spacing w:val="-7"/>
          <w:sz w:val="22"/>
        </w:rPr>
        <w:t> </w:t>
      </w:r>
      <w:r>
        <w:rPr>
          <w:sz w:val="22"/>
        </w:rPr>
        <w:t>de</w:t>
      </w:r>
      <w:r>
        <w:rPr>
          <w:spacing w:val="-7"/>
          <w:sz w:val="22"/>
        </w:rPr>
        <w:t> </w:t>
      </w:r>
      <w:r>
        <w:rPr>
          <w:sz w:val="22"/>
        </w:rPr>
        <w:t>octubre de 2000).</w:t>
      </w:r>
    </w:p>
    <w:p>
      <w:pPr>
        <w:pStyle w:val="ListParagraph"/>
        <w:numPr>
          <w:ilvl w:val="1"/>
          <w:numId w:val="10"/>
        </w:numPr>
        <w:tabs>
          <w:tab w:pos="1712" w:val="left" w:leader="none"/>
        </w:tabs>
        <w:spacing w:line="278" w:lineRule="auto" w:before="0" w:after="0"/>
        <w:ind w:left="1712" w:right="989" w:hanging="360"/>
        <w:jc w:val="both"/>
        <w:rPr>
          <w:sz w:val="22"/>
        </w:rPr>
      </w:pPr>
      <w:r>
        <w:rPr>
          <w:sz w:val="22"/>
        </w:rPr>
        <w:t>Normas</w:t>
      </w:r>
      <w:r>
        <w:rPr>
          <w:spacing w:val="-5"/>
          <w:sz w:val="22"/>
        </w:rPr>
        <w:t> </w:t>
      </w:r>
      <w:r>
        <w:rPr>
          <w:sz w:val="22"/>
        </w:rPr>
        <w:t>de</w:t>
      </w:r>
      <w:r>
        <w:rPr>
          <w:spacing w:val="-8"/>
          <w:sz w:val="22"/>
        </w:rPr>
        <w:t> </w:t>
      </w:r>
      <w:r>
        <w:rPr>
          <w:sz w:val="22"/>
        </w:rPr>
        <w:t>regulación</w:t>
      </w:r>
      <w:r>
        <w:rPr>
          <w:spacing w:val="-6"/>
          <w:sz w:val="22"/>
        </w:rPr>
        <w:t> </w:t>
      </w:r>
      <w:r>
        <w:rPr>
          <w:sz w:val="22"/>
        </w:rPr>
        <w:t>de</w:t>
      </w:r>
      <w:r>
        <w:rPr>
          <w:spacing w:val="-8"/>
          <w:sz w:val="22"/>
        </w:rPr>
        <w:t> </w:t>
      </w:r>
      <w:r>
        <w:rPr>
          <w:sz w:val="22"/>
        </w:rPr>
        <w:t>las</w:t>
      </w:r>
      <w:r>
        <w:rPr>
          <w:spacing w:val="-5"/>
          <w:sz w:val="22"/>
        </w:rPr>
        <w:t> </w:t>
      </w:r>
      <w:r>
        <w:rPr>
          <w:sz w:val="22"/>
        </w:rPr>
        <w:t>zonas</w:t>
      </w:r>
      <w:r>
        <w:rPr>
          <w:spacing w:val="-5"/>
          <w:sz w:val="22"/>
        </w:rPr>
        <w:t> </w:t>
      </w:r>
      <w:r>
        <w:rPr>
          <w:sz w:val="22"/>
        </w:rPr>
        <w:t>restringidas</w:t>
      </w:r>
      <w:r>
        <w:rPr>
          <w:spacing w:val="-5"/>
          <w:sz w:val="22"/>
        </w:rPr>
        <w:t> </w:t>
      </w:r>
      <w:r>
        <w:rPr>
          <w:sz w:val="22"/>
        </w:rPr>
        <w:t>al</w:t>
      </w:r>
      <w:r>
        <w:rPr>
          <w:spacing w:val="-9"/>
          <w:sz w:val="22"/>
        </w:rPr>
        <w:t> </w:t>
      </w:r>
      <w:r>
        <w:rPr>
          <w:sz w:val="22"/>
        </w:rPr>
        <w:t>tráfico</w:t>
      </w:r>
      <w:r>
        <w:rPr>
          <w:spacing w:val="-5"/>
          <w:sz w:val="22"/>
        </w:rPr>
        <w:t> </w:t>
      </w:r>
      <w:r>
        <w:rPr>
          <w:sz w:val="22"/>
        </w:rPr>
        <w:t>en</w:t>
      </w:r>
      <w:r>
        <w:rPr>
          <w:spacing w:val="-6"/>
          <w:sz w:val="22"/>
        </w:rPr>
        <w:t> </w:t>
      </w:r>
      <w:r>
        <w:rPr>
          <w:sz w:val="22"/>
        </w:rPr>
        <w:t>el</w:t>
      </w:r>
      <w:r>
        <w:rPr>
          <w:spacing w:val="-6"/>
          <w:sz w:val="22"/>
        </w:rPr>
        <w:t> </w:t>
      </w:r>
      <w:r>
        <w:rPr>
          <w:sz w:val="22"/>
        </w:rPr>
        <w:t>ámbito</w:t>
      </w:r>
      <w:r>
        <w:rPr>
          <w:spacing w:val="-8"/>
          <w:sz w:val="22"/>
        </w:rPr>
        <w:t> </w:t>
      </w:r>
      <w:r>
        <w:rPr>
          <w:sz w:val="22"/>
        </w:rPr>
        <w:t>del</w:t>
      </w:r>
      <w:r>
        <w:rPr>
          <w:spacing w:val="-3"/>
          <w:sz w:val="22"/>
        </w:rPr>
        <w:t> </w:t>
      </w:r>
      <w:r>
        <w:rPr>
          <w:sz w:val="22"/>
        </w:rPr>
        <w:t>casco</w:t>
      </w:r>
      <w:r>
        <w:rPr>
          <w:spacing w:val="-6"/>
          <w:sz w:val="22"/>
        </w:rPr>
        <w:t> </w:t>
      </w:r>
      <w:r>
        <w:rPr>
          <w:sz w:val="22"/>
        </w:rPr>
        <w:t>histórico</w:t>
      </w:r>
      <w:r>
        <w:rPr>
          <w:spacing w:val="-6"/>
          <w:sz w:val="22"/>
        </w:rPr>
        <w:t> </w:t>
      </w:r>
      <w:r>
        <w:rPr>
          <w:sz w:val="22"/>
        </w:rPr>
        <w:t>de </w:t>
      </w:r>
      <w:r>
        <w:rPr>
          <w:spacing w:val="-2"/>
          <w:sz w:val="22"/>
        </w:rPr>
        <w:t>Córdoba.</w:t>
      </w:r>
    </w:p>
    <w:p>
      <w:pPr>
        <w:pStyle w:val="ListParagraph"/>
        <w:numPr>
          <w:ilvl w:val="1"/>
          <w:numId w:val="10"/>
        </w:numPr>
        <w:tabs>
          <w:tab w:pos="1712" w:val="left" w:leader="none"/>
        </w:tabs>
        <w:spacing w:line="280" w:lineRule="auto" w:before="0" w:after="0"/>
        <w:ind w:left="1712" w:right="993" w:hanging="360"/>
        <w:jc w:val="both"/>
        <w:rPr>
          <w:sz w:val="22"/>
        </w:rPr>
      </w:pPr>
      <w:r>
        <w:rPr>
          <w:sz w:val="22"/>
        </w:rPr>
        <w:t>Reglamento de Prestación del Servicio de AUCORSA, aprobado por el Pleno el 31 de julio de 2001.</w:t>
      </w:r>
    </w:p>
    <w:p>
      <w:pPr>
        <w:pStyle w:val="ListParagraph"/>
        <w:numPr>
          <w:ilvl w:val="1"/>
          <w:numId w:val="10"/>
        </w:numPr>
        <w:tabs>
          <w:tab w:pos="1712" w:val="left" w:leader="none"/>
        </w:tabs>
        <w:spacing w:line="280" w:lineRule="auto" w:before="0" w:after="0"/>
        <w:ind w:left="1712" w:right="991" w:hanging="360"/>
        <w:jc w:val="both"/>
        <w:rPr>
          <w:sz w:val="22"/>
        </w:rPr>
      </w:pPr>
      <w:r>
        <w:rPr>
          <w:sz w:val="22"/>
        </w:rPr>
        <w:t>Ordenanza municipal sobre supresión de barreras arquitectónicas, urbanísticas, en el transporte y en la comunicación sensorial, aprobada en julio de 1994.</w:t>
      </w:r>
    </w:p>
    <w:p>
      <w:pPr>
        <w:pStyle w:val="Heading5"/>
        <w:spacing w:before="145"/>
        <w:ind w:left="992"/>
      </w:pPr>
      <w:r>
        <w:rPr/>
        <w:t>Las</w:t>
      </w:r>
      <w:r>
        <w:rPr>
          <w:spacing w:val="-3"/>
        </w:rPr>
        <w:t> </w:t>
      </w:r>
      <w:r>
        <w:rPr/>
        <w:t>Palmas</w:t>
      </w:r>
      <w:r>
        <w:rPr>
          <w:spacing w:val="-4"/>
        </w:rPr>
        <w:t> </w:t>
      </w:r>
      <w:r>
        <w:rPr/>
        <w:t>de</w:t>
      </w:r>
      <w:r>
        <w:rPr>
          <w:spacing w:val="-5"/>
        </w:rPr>
        <w:t> </w:t>
      </w:r>
      <w:r>
        <w:rPr/>
        <w:t>Gran</w:t>
      </w:r>
      <w:r>
        <w:rPr>
          <w:spacing w:val="-2"/>
        </w:rPr>
        <w:t> Canaria</w:t>
      </w:r>
    </w:p>
    <w:p>
      <w:pPr>
        <w:pStyle w:val="ListParagraph"/>
        <w:numPr>
          <w:ilvl w:val="1"/>
          <w:numId w:val="10"/>
        </w:numPr>
        <w:tabs>
          <w:tab w:pos="1712" w:val="left" w:leader="none"/>
        </w:tabs>
        <w:spacing w:line="278" w:lineRule="auto" w:before="179" w:after="0"/>
        <w:ind w:left="1712" w:right="989" w:hanging="360"/>
        <w:jc w:val="both"/>
        <w:rPr>
          <w:sz w:val="22"/>
        </w:rPr>
      </w:pPr>
      <w:r>
        <w:rPr>
          <w:sz w:val="22"/>
        </w:rPr>
        <w:t>Ordenanza de Tráfico de Las Palmas de Gran Canaria, aprobada definitivamente por acuerdo</w:t>
      </w:r>
      <w:r>
        <w:rPr>
          <w:spacing w:val="-6"/>
          <w:sz w:val="22"/>
        </w:rPr>
        <w:t> </w:t>
      </w:r>
      <w:r>
        <w:rPr>
          <w:sz w:val="22"/>
        </w:rPr>
        <w:t>de</w:t>
      </w:r>
      <w:r>
        <w:rPr>
          <w:spacing w:val="-7"/>
          <w:sz w:val="22"/>
        </w:rPr>
        <w:t> </w:t>
      </w:r>
      <w:r>
        <w:rPr>
          <w:sz w:val="22"/>
        </w:rPr>
        <w:t>la</w:t>
      </w:r>
      <w:r>
        <w:rPr>
          <w:spacing w:val="-6"/>
          <w:sz w:val="22"/>
        </w:rPr>
        <w:t> </w:t>
      </w:r>
      <w:r>
        <w:rPr>
          <w:sz w:val="22"/>
        </w:rPr>
        <w:t>Comisión</w:t>
      </w:r>
      <w:r>
        <w:rPr>
          <w:spacing w:val="-9"/>
          <w:sz w:val="22"/>
        </w:rPr>
        <w:t> </w:t>
      </w:r>
      <w:r>
        <w:rPr>
          <w:sz w:val="22"/>
        </w:rPr>
        <w:t>del</w:t>
      </w:r>
      <w:r>
        <w:rPr>
          <w:spacing w:val="-7"/>
          <w:sz w:val="22"/>
        </w:rPr>
        <w:t> </w:t>
      </w:r>
      <w:r>
        <w:rPr>
          <w:sz w:val="22"/>
        </w:rPr>
        <w:t>Pleno</w:t>
      </w:r>
      <w:r>
        <w:rPr>
          <w:spacing w:val="-6"/>
          <w:sz w:val="22"/>
        </w:rPr>
        <w:t> </w:t>
      </w:r>
      <w:r>
        <w:rPr>
          <w:sz w:val="22"/>
        </w:rPr>
        <w:t>de</w:t>
      </w:r>
      <w:r>
        <w:rPr>
          <w:spacing w:val="-7"/>
          <w:sz w:val="22"/>
        </w:rPr>
        <w:t> </w:t>
      </w:r>
      <w:r>
        <w:rPr>
          <w:sz w:val="22"/>
        </w:rPr>
        <w:t>Organización,</w:t>
      </w:r>
      <w:r>
        <w:rPr>
          <w:spacing w:val="-5"/>
          <w:sz w:val="22"/>
        </w:rPr>
        <w:t> </w:t>
      </w:r>
      <w:r>
        <w:rPr>
          <w:sz w:val="22"/>
        </w:rPr>
        <w:t>Funcionamiento</w:t>
      </w:r>
      <w:r>
        <w:rPr>
          <w:spacing w:val="-8"/>
          <w:sz w:val="22"/>
        </w:rPr>
        <w:t> </w:t>
      </w:r>
      <w:r>
        <w:rPr>
          <w:sz w:val="22"/>
        </w:rPr>
        <w:t>y</w:t>
      </w:r>
      <w:r>
        <w:rPr>
          <w:spacing w:val="-6"/>
          <w:sz w:val="22"/>
        </w:rPr>
        <w:t> </w:t>
      </w:r>
      <w:r>
        <w:rPr>
          <w:sz w:val="22"/>
        </w:rPr>
        <w:t>Régimen</w:t>
      </w:r>
      <w:r>
        <w:rPr>
          <w:spacing w:val="-7"/>
          <w:sz w:val="22"/>
        </w:rPr>
        <w:t> </w:t>
      </w:r>
      <w:r>
        <w:rPr>
          <w:sz w:val="22"/>
        </w:rPr>
        <w:t>General,</w:t>
      </w:r>
      <w:r>
        <w:rPr>
          <w:spacing w:val="-5"/>
          <w:sz w:val="22"/>
        </w:rPr>
        <w:t> </w:t>
      </w:r>
      <w:r>
        <w:rPr>
          <w:sz w:val="22"/>
        </w:rPr>
        <w:t>de 9 de marzo de 2011.</w:t>
      </w:r>
    </w:p>
    <w:p>
      <w:pPr>
        <w:pStyle w:val="ListParagraph"/>
        <w:numPr>
          <w:ilvl w:val="1"/>
          <w:numId w:val="10"/>
        </w:numPr>
        <w:tabs>
          <w:tab w:pos="1712" w:val="left" w:leader="none"/>
        </w:tabs>
        <w:spacing w:line="278" w:lineRule="auto" w:before="0" w:after="0"/>
        <w:ind w:left="1712" w:right="994" w:hanging="360"/>
        <w:jc w:val="both"/>
        <w:rPr>
          <w:sz w:val="22"/>
        </w:rPr>
      </w:pPr>
      <w:r>
        <w:rPr>
          <w:sz w:val="22"/>
        </w:rPr>
        <w:t>Ordenanza de protección del medio ambiente frente a ruido y vibraciones, aprobada por acuerdo del Pleno, de 13 de mayo de 1999.</w:t>
      </w:r>
    </w:p>
    <w:p>
      <w:pPr>
        <w:pStyle w:val="ListParagraph"/>
        <w:numPr>
          <w:ilvl w:val="1"/>
          <w:numId w:val="10"/>
        </w:numPr>
        <w:tabs>
          <w:tab w:pos="1712" w:val="left" w:leader="none"/>
        </w:tabs>
        <w:spacing w:line="283" w:lineRule="auto" w:before="0" w:after="0"/>
        <w:ind w:left="1712" w:right="990" w:hanging="360"/>
        <w:jc w:val="both"/>
        <w:rPr>
          <w:sz w:val="22"/>
        </w:rPr>
      </w:pPr>
      <w:r>
        <w:rPr>
          <w:sz w:val="22"/>
        </w:rPr>
        <w:t>Ordenanza municipal de Circulación de Las Palmas de Gran Canaria (BOP de 4 de mayo de 1994 y modificación BOP nº 8 de 17 de enero de 2001).</w:t>
      </w:r>
    </w:p>
    <w:p>
      <w:pPr>
        <w:pStyle w:val="Heading5"/>
        <w:spacing w:before="147"/>
        <w:ind w:left="992"/>
      </w:pPr>
      <w:r>
        <w:rPr>
          <w:spacing w:val="-2"/>
        </w:rPr>
        <w:t>Málaga</w:t>
      </w:r>
    </w:p>
    <w:p>
      <w:pPr>
        <w:pStyle w:val="ListParagraph"/>
        <w:numPr>
          <w:ilvl w:val="1"/>
          <w:numId w:val="10"/>
        </w:numPr>
        <w:tabs>
          <w:tab w:pos="1712" w:val="left" w:leader="none"/>
        </w:tabs>
        <w:spacing w:line="278" w:lineRule="auto" w:before="181" w:after="0"/>
        <w:ind w:left="1712" w:right="989" w:hanging="360"/>
        <w:jc w:val="both"/>
        <w:rPr>
          <w:sz w:val="22"/>
        </w:rPr>
      </w:pPr>
      <w:r>
        <w:rPr>
          <w:sz w:val="22"/>
        </w:rPr>
        <w:t>Ordenanza</w:t>
      </w:r>
      <w:r>
        <w:rPr>
          <w:spacing w:val="-9"/>
          <w:sz w:val="22"/>
        </w:rPr>
        <w:t> </w:t>
      </w:r>
      <w:r>
        <w:rPr>
          <w:sz w:val="22"/>
        </w:rPr>
        <w:t>de</w:t>
      </w:r>
      <w:r>
        <w:rPr>
          <w:spacing w:val="-9"/>
          <w:sz w:val="22"/>
        </w:rPr>
        <w:t> </w:t>
      </w:r>
      <w:r>
        <w:rPr>
          <w:sz w:val="22"/>
        </w:rPr>
        <w:t>Movilidad</w:t>
      </w:r>
      <w:r>
        <w:rPr>
          <w:spacing w:val="-9"/>
          <w:sz w:val="22"/>
        </w:rPr>
        <w:t> </w:t>
      </w:r>
      <w:r>
        <w:rPr>
          <w:sz w:val="22"/>
        </w:rPr>
        <w:t>de</w:t>
      </w:r>
      <w:r>
        <w:rPr>
          <w:spacing w:val="-7"/>
          <w:sz w:val="22"/>
        </w:rPr>
        <w:t> </w:t>
      </w:r>
      <w:r>
        <w:rPr>
          <w:sz w:val="22"/>
        </w:rPr>
        <w:t>la</w:t>
      </w:r>
      <w:r>
        <w:rPr>
          <w:spacing w:val="-6"/>
          <w:sz w:val="22"/>
        </w:rPr>
        <w:t> </w:t>
      </w:r>
      <w:r>
        <w:rPr>
          <w:sz w:val="22"/>
        </w:rPr>
        <w:t>Ciudad</w:t>
      </w:r>
      <w:r>
        <w:rPr>
          <w:spacing w:val="-7"/>
          <w:sz w:val="22"/>
        </w:rPr>
        <w:t> </w:t>
      </w:r>
      <w:r>
        <w:rPr>
          <w:sz w:val="22"/>
        </w:rPr>
        <w:t>de</w:t>
      </w:r>
      <w:r>
        <w:rPr>
          <w:spacing w:val="-9"/>
          <w:sz w:val="22"/>
        </w:rPr>
        <w:t> </w:t>
      </w:r>
      <w:r>
        <w:rPr>
          <w:sz w:val="22"/>
        </w:rPr>
        <w:t>Málaga,</w:t>
      </w:r>
      <w:r>
        <w:rPr>
          <w:spacing w:val="-10"/>
          <w:sz w:val="22"/>
        </w:rPr>
        <w:t> </w:t>
      </w:r>
      <w:r>
        <w:rPr>
          <w:sz w:val="22"/>
        </w:rPr>
        <w:t>aprobada</w:t>
      </w:r>
      <w:r>
        <w:rPr>
          <w:spacing w:val="-6"/>
          <w:sz w:val="22"/>
        </w:rPr>
        <w:t> </w:t>
      </w:r>
      <w:r>
        <w:rPr>
          <w:sz w:val="22"/>
        </w:rPr>
        <w:t>por</w:t>
      </w:r>
      <w:r>
        <w:rPr>
          <w:spacing w:val="-5"/>
          <w:sz w:val="22"/>
        </w:rPr>
        <w:t> </w:t>
      </w:r>
      <w:r>
        <w:rPr>
          <w:sz w:val="22"/>
        </w:rPr>
        <w:t>el</w:t>
      </w:r>
      <w:r>
        <w:rPr>
          <w:spacing w:val="-7"/>
          <w:sz w:val="22"/>
        </w:rPr>
        <w:t> </w:t>
      </w:r>
      <w:r>
        <w:rPr>
          <w:sz w:val="22"/>
        </w:rPr>
        <w:t>Pleno</w:t>
      </w:r>
      <w:r>
        <w:rPr>
          <w:spacing w:val="-6"/>
          <w:sz w:val="22"/>
        </w:rPr>
        <w:t> </w:t>
      </w:r>
      <w:r>
        <w:rPr>
          <w:sz w:val="22"/>
        </w:rPr>
        <w:t>de</w:t>
      </w:r>
      <w:r>
        <w:rPr>
          <w:spacing w:val="-9"/>
          <w:sz w:val="22"/>
        </w:rPr>
        <w:t> </w:t>
      </w:r>
      <w:r>
        <w:rPr>
          <w:sz w:val="22"/>
        </w:rPr>
        <w:t>23</w:t>
      </w:r>
      <w:r>
        <w:rPr>
          <w:spacing w:val="-7"/>
          <w:sz w:val="22"/>
        </w:rPr>
        <w:t> </w:t>
      </w:r>
      <w:r>
        <w:rPr>
          <w:sz w:val="22"/>
        </w:rPr>
        <w:t>de</w:t>
      </w:r>
      <w:r>
        <w:rPr>
          <w:spacing w:val="-9"/>
          <w:sz w:val="22"/>
        </w:rPr>
        <w:t> </w:t>
      </w:r>
      <w:r>
        <w:rPr>
          <w:sz w:val="22"/>
        </w:rPr>
        <w:t>diciembre de 2020 (publicada en el BOP el 19 de enero de 2021).</w:t>
      </w:r>
    </w:p>
    <w:p>
      <w:pPr>
        <w:pStyle w:val="ListParagraph"/>
        <w:numPr>
          <w:ilvl w:val="1"/>
          <w:numId w:val="10"/>
        </w:numPr>
        <w:tabs>
          <w:tab w:pos="1712" w:val="left" w:leader="none"/>
        </w:tabs>
        <w:spacing w:line="278" w:lineRule="auto" w:before="0" w:after="0"/>
        <w:ind w:left="1712" w:right="996" w:hanging="360"/>
        <w:jc w:val="both"/>
        <w:rPr>
          <w:sz w:val="22"/>
        </w:rPr>
      </w:pPr>
      <w:r>
        <w:rPr>
          <w:sz w:val="22"/>
        </w:rPr>
        <w:t>Ordenanza</w:t>
      </w:r>
      <w:r>
        <w:rPr>
          <w:spacing w:val="-2"/>
          <w:sz w:val="22"/>
        </w:rPr>
        <w:t> </w:t>
      </w:r>
      <w:r>
        <w:rPr>
          <w:sz w:val="22"/>
        </w:rPr>
        <w:t>de Movilidad</w:t>
      </w:r>
      <w:r>
        <w:rPr>
          <w:spacing w:val="-2"/>
          <w:sz w:val="22"/>
        </w:rPr>
        <w:t> </w:t>
      </w:r>
      <w:r>
        <w:rPr>
          <w:sz w:val="22"/>
        </w:rPr>
        <w:t>de la Ciudad de Málaga,</w:t>
      </w:r>
      <w:r>
        <w:rPr>
          <w:spacing w:val="-1"/>
          <w:sz w:val="22"/>
        </w:rPr>
        <w:t> </w:t>
      </w:r>
      <w:r>
        <w:rPr>
          <w:sz w:val="22"/>
        </w:rPr>
        <w:t>aprobada por el</w:t>
      </w:r>
      <w:r>
        <w:rPr>
          <w:spacing w:val="-1"/>
          <w:sz w:val="22"/>
        </w:rPr>
        <w:t> </w:t>
      </w:r>
      <w:r>
        <w:rPr>
          <w:sz w:val="22"/>
        </w:rPr>
        <w:t>Pleno el 4 de noviembre de 2024 (publicada en el BOP el 29 de noviembre de 2024).</w:t>
      </w:r>
    </w:p>
    <w:p>
      <w:pPr>
        <w:pStyle w:val="ListParagraph"/>
        <w:numPr>
          <w:ilvl w:val="1"/>
          <w:numId w:val="10"/>
        </w:numPr>
        <w:tabs>
          <w:tab w:pos="1712" w:val="left" w:leader="none"/>
        </w:tabs>
        <w:spacing w:line="278" w:lineRule="auto" w:before="0" w:after="0"/>
        <w:ind w:left="1712" w:right="988" w:hanging="360"/>
        <w:jc w:val="both"/>
        <w:rPr>
          <w:sz w:val="22"/>
        </w:rPr>
      </w:pPr>
      <w:r>
        <w:rPr>
          <w:sz w:val="22"/>
        </w:rPr>
        <w:t>Ordenanza municipal de la prestación del servicio de transporte colectivo de viajeros en la Ciudad</w:t>
      </w:r>
      <w:r>
        <w:rPr>
          <w:spacing w:val="-4"/>
          <w:sz w:val="22"/>
        </w:rPr>
        <w:t> </w:t>
      </w:r>
      <w:r>
        <w:rPr>
          <w:sz w:val="22"/>
        </w:rPr>
        <w:t>de</w:t>
      </w:r>
      <w:r>
        <w:rPr>
          <w:spacing w:val="-7"/>
          <w:sz w:val="22"/>
        </w:rPr>
        <w:t> </w:t>
      </w:r>
      <w:r>
        <w:rPr>
          <w:sz w:val="22"/>
        </w:rPr>
        <w:t>Málaga,</w:t>
      </w:r>
      <w:r>
        <w:rPr>
          <w:spacing w:val="-5"/>
          <w:sz w:val="22"/>
        </w:rPr>
        <w:t> </w:t>
      </w:r>
      <w:r>
        <w:rPr>
          <w:sz w:val="22"/>
        </w:rPr>
        <w:t>aprobada</w:t>
      </w:r>
      <w:r>
        <w:rPr>
          <w:spacing w:val="-4"/>
          <w:sz w:val="22"/>
        </w:rPr>
        <w:t> </w:t>
      </w:r>
      <w:r>
        <w:rPr>
          <w:sz w:val="22"/>
        </w:rPr>
        <w:t>por</w:t>
      </w:r>
      <w:r>
        <w:rPr>
          <w:spacing w:val="-5"/>
          <w:sz w:val="22"/>
        </w:rPr>
        <w:t> </w:t>
      </w:r>
      <w:r>
        <w:rPr>
          <w:sz w:val="22"/>
        </w:rPr>
        <w:t>el</w:t>
      </w:r>
      <w:r>
        <w:rPr>
          <w:spacing w:val="-7"/>
          <w:sz w:val="22"/>
        </w:rPr>
        <w:t> </w:t>
      </w:r>
      <w:r>
        <w:rPr>
          <w:sz w:val="22"/>
        </w:rPr>
        <w:t>Pleno</w:t>
      </w:r>
      <w:r>
        <w:rPr>
          <w:spacing w:val="-4"/>
          <w:sz w:val="22"/>
        </w:rPr>
        <w:t> </w:t>
      </w:r>
      <w:r>
        <w:rPr>
          <w:sz w:val="22"/>
        </w:rPr>
        <w:t>de</w:t>
      </w:r>
      <w:r>
        <w:rPr>
          <w:spacing w:val="-7"/>
          <w:sz w:val="22"/>
        </w:rPr>
        <w:t> </w:t>
      </w:r>
      <w:r>
        <w:rPr>
          <w:sz w:val="22"/>
        </w:rPr>
        <w:t>27</w:t>
      </w:r>
      <w:r>
        <w:rPr>
          <w:spacing w:val="-9"/>
          <w:sz w:val="22"/>
        </w:rPr>
        <w:t> </w:t>
      </w:r>
      <w:r>
        <w:rPr>
          <w:sz w:val="22"/>
        </w:rPr>
        <w:t>de</w:t>
      </w:r>
      <w:r>
        <w:rPr>
          <w:spacing w:val="-7"/>
          <w:sz w:val="22"/>
        </w:rPr>
        <w:t> </w:t>
      </w:r>
      <w:r>
        <w:rPr>
          <w:sz w:val="22"/>
        </w:rPr>
        <w:t>julio</w:t>
      </w:r>
      <w:r>
        <w:rPr>
          <w:spacing w:val="-4"/>
          <w:sz w:val="22"/>
        </w:rPr>
        <w:t> </w:t>
      </w:r>
      <w:r>
        <w:rPr>
          <w:sz w:val="22"/>
        </w:rPr>
        <w:t>de</w:t>
      </w:r>
      <w:r>
        <w:rPr>
          <w:spacing w:val="-7"/>
          <w:sz w:val="22"/>
        </w:rPr>
        <w:t> </w:t>
      </w:r>
      <w:r>
        <w:rPr>
          <w:sz w:val="22"/>
        </w:rPr>
        <w:t>2023</w:t>
      </w:r>
      <w:r>
        <w:rPr>
          <w:spacing w:val="-7"/>
          <w:sz w:val="22"/>
        </w:rPr>
        <w:t> </w:t>
      </w:r>
      <w:r>
        <w:rPr>
          <w:sz w:val="22"/>
        </w:rPr>
        <w:t>(publicada</w:t>
      </w:r>
      <w:r>
        <w:rPr>
          <w:spacing w:val="-4"/>
          <w:sz w:val="22"/>
        </w:rPr>
        <w:t> </w:t>
      </w:r>
      <w:r>
        <w:rPr>
          <w:sz w:val="22"/>
        </w:rPr>
        <w:t>en</w:t>
      </w:r>
      <w:r>
        <w:rPr>
          <w:spacing w:val="-7"/>
          <w:sz w:val="22"/>
        </w:rPr>
        <w:t> </w:t>
      </w:r>
      <w:r>
        <w:rPr>
          <w:sz w:val="22"/>
        </w:rPr>
        <w:t>el</w:t>
      </w:r>
      <w:r>
        <w:rPr>
          <w:spacing w:val="-5"/>
          <w:sz w:val="22"/>
        </w:rPr>
        <w:t> </w:t>
      </w:r>
      <w:r>
        <w:rPr>
          <w:sz w:val="22"/>
        </w:rPr>
        <w:t>BOP</w:t>
      </w:r>
      <w:r>
        <w:rPr>
          <w:spacing w:val="-7"/>
          <w:sz w:val="22"/>
        </w:rPr>
        <w:t> </w:t>
      </w:r>
      <w:r>
        <w:rPr>
          <w:sz w:val="22"/>
        </w:rPr>
        <w:t>el</w:t>
      </w:r>
      <w:r>
        <w:rPr>
          <w:spacing w:val="-5"/>
          <w:sz w:val="22"/>
        </w:rPr>
        <w:t> </w:t>
      </w:r>
      <w:r>
        <w:rPr>
          <w:sz w:val="22"/>
        </w:rPr>
        <w:t>28 de diciembre de 2023).</w:t>
      </w:r>
    </w:p>
    <w:p>
      <w:pPr>
        <w:pStyle w:val="ListParagraph"/>
        <w:spacing w:after="0" w:line="278" w:lineRule="auto"/>
        <w:jc w:val="both"/>
        <w:rPr>
          <w:sz w:val="22"/>
        </w:rPr>
        <w:sectPr>
          <w:headerReference w:type="default" r:id="rId77"/>
          <w:headerReference w:type="even" r:id="rId78"/>
          <w:footerReference w:type="default" r:id="rId79"/>
          <w:footerReference w:type="even" r:id="rId80"/>
          <w:pgSz w:w="11910" w:h="16840"/>
          <w:pgMar w:header="1270" w:footer="683" w:top="2800" w:bottom="880" w:left="141" w:right="141"/>
          <w:pgNumType w:start="111"/>
        </w:sectPr>
      </w:pPr>
    </w:p>
    <w:p>
      <w:pPr>
        <w:pStyle w:val="BodyText"/>
        <w:spacing w:before="228"/>
      </w:pPr>
    </w:p>
    <w:p>
      <w:pPr>
        <w:pStyle w:val="ListParagraph"/>
        <w:numPr>
          <w:ilvl w:val="1"/>
          <w:numId w:val="10"/>
        </w:numPr>
        <w:tabs>
          <w:tab w:pos="1712" w:val="left" w:leader="none"/>
        </w:tabs>
        <w:spacing w:line="280" w:lineRule="auto" w:before="0" w:after="0"/>
        <w:ind w:left="1712" w:right="990" w:hanging="360"/>
        <w:jc w:val="left"/>
        <w:rPr>
          <w:sz w:val="22"/>
        </w:rPr>
      </w:pPr>
      <w:r>
        <w:rPr>
          <w:sz w:val="22"/>
        </w:rPr>
        <w:t>Reglamento</w:t>
      </w:r>
      <w:r>
        <w:rPr>
          <w:spacing w:val="40"/>
          <w:sz w:val="22"/>
        </w:rPr>
        <w:t> </w:t>
      </w:r>
      <w:r>
        <w:rPr>
          <w:sz w:val="22"/>
        </w:rPr>
        <w:t>para</w:t>
      </w:r>
      <w:r>
        <w:rPr>
          <w:spacing w:val="40"/>
          <w:sz w:val="22"/>
        </w:rPr>
        <w:t> </w:t>
      </w:r>
      <w:r>
        <w:rPr>
          <w:sz w:val="22"/>
        </w:rPr>
        <w:t>la</w:t>
      </w:r>
      <w:r>
        <w:rPr>
          <w:spacing w:val="40"/>
          <w:sz w:val="22"/>
        </w:rPr>
        <w:t> </w:t>
      </w:r>
      <w:r>
        <w:rPr>
          <w:sz w:val="22"/>
        </w:rPr>
        <w:t>prestación</w:t>
      </w:r>
      <w:r>
        <w:rPr>
          <w:spacing w:val="40"/>
          <w:sz w:val="22"/>
        </w:rPr>
        <w:t> </w:t>
      </w:r>
      <w:r>
        <w:rPr>
          <w:sz w:val="22"/>
        </w:rPr>
        <w:t>del</w:t>
      </w:r>
      <w:r>
        <w:rPr>
          <w:spacing w:val="40"/>
          <w:sz w:val="22"/>
        </w:rPr>
        <w:t> </w:t>
      </w:r>
      <w:r>
        <w:rPr>
          <w:sz w:val="22"/>
        </w:rPr>
        <w:t>servicio</w:t>
      </w:r>
      <w:r>
        <w:rPr>
          <w:spacing w:val="40"/>
          <w:sz w:val="22"/>
        </w:rPr>
        <w:t> </w:t>
      </w:r>
      <w:r>
        <w:rPr>
          <w:sz w:val="22"/>
        </w:rPr>
        <w:t>público</w:t>
      </w:r>
      <w:r>
        <w:rPr>
          <w:spacing w:val="40"/>
          <w:sz w:val="22"/>
        </w:rPr>
        <w:t> </w:t>
      </w:r>
      <w:r>
        <w:rPr>
          <w:sz w:val="22"/>
        </w:rPr>
        <w:t>de</w:t>
      </w:r>
      <w:r>
        <w:rPr>
          <w:spacing w:val="40"/>
          <w:sz w:val="22"/>
        </w:rPr>
        <w:t> </w:t>
      </w:r>
      <w:r>
        <w:rPr>
          <w:sz w:val="22"/>
        </w:rPr>
        <w:t>transporte</w:t>
      </w:r>
      <w:r>
        <w:rPr>
          <w:spacing w:val="40"/>
          <w:sz w:val="22"/>
        </w:rPr>
        <w:t> </w:t>
      </w:r>
      <w:r>
        <w:rPr>
          <w:sz w:val="22"/>
        </w:rPr>
        <w:t>urbano</w:t>
      </w:r>
      <w:r>
        <w:rPr>
          <w:spacing w:val="40"/>
          <w:sz w:val="22"/>
        </w:rPr>
        <w:t> </w:t>
      </w:r>
      <w:r>
        <w:rPr>
          <w:sz w:val="22"/>
        </w:rPr>
        <w:t>colectivo</w:t>
      </w:r>
      <w:r>
        <w:rPr>
          <w:spacing w:val="40"/>
          <w:sz w:val="22"/>
        </w:rPr>
        <w:t> </w:t>
      </w:r>
      <w:r>
        <w:rPr>
          <w:sz w:val="22"/>
        </w:rPr>
        <w:t>de viajeros, aprobada por el Pleno el 27 de abril de 1990.</w:t>
      </w:r>
    </w:p>
    <w:p>
      <w:pPr>
        <w:pStyle w:val="Heading5"/>
        <w:spacing w:before="152"/>
        <w:ind w:left="992"/>
      </w:pPr>
      <w:r>
        <w:rPr>
          <w:spacing w:val="-2"/>
        </w:rPr>
        <w:t>Murcia</w:t>
      </w:r>
    </w:p>
    <w:p>
      <w:pPr>
        <w:pStyle w:val="ListParagraph"/>
        <w:numPr>
          <w:ilvl w:val="1"/>
          <w:numId w:val="10"/>
        </w:numPr>
        <w:tabs>
          <w:tab w:pos="1712" w:val="left" w:leader="none"/>
        </w:tabs>
        <w:spacing w:line="240" w:lineRule="auto" w:before="181" w:after="0"/>
        <w:ind w:left="1712" w:right="0" w:hanging="360"/>
        <w:jc w:val="left"/>
        <w:rPr>
          <w:sz w:val="22"/>
        </w:rPr>
      </w:pPr>
      <w:r>
        <w:rPr>
          <w:sz w:val="22"/>
        </w:rPr>
        <w:t>Ordenanza</w:t>
      </w:r>
      <w:r>
        <w:rPr>
          <w:spacing w:val="-8"/>
          <w:sz w:val="22"/>
        </w:rPr>
        <w:t> </w:t>
      </w:r>
      <w:r>
        <w:rPr>
          <w:sz w:val="22"/>
        </w:rPr>
        <w:t>de</w:t>
      </w:r>
      <w:r>
        <w:rPr>
          <w:spacing w:val="-6"/>
          <w:sz w:val="22"/>
        </w:rPr>
        <w:t> </w:t>
      </w:r>
      <w:r>
        <w:rPr>
          <w:sz w:val="22"/>
        </w:rPr>
        <w:t>Movilidad,</w:t>
      </w:r>
      <w:r>
        <w:rPr>
          <w:spacing w:val="-4"/>
          <w:sz w:val="22"/>
        </w:rPr>
        <w:t> </w:t>
      </w:r>
      <w:r>
        <w:rPr>
          <w:sz w:val="22"/>
        </w:rPr>
        <w:t>aprobada</w:t>
      </w:r>
      <w:r>
        <w:rPr>
          <w:spacing w:val="-6"/>
          <w:sz w:val="22"/>
        </w:rPr>
        <w:t> </w:t>
      </w:r>
      <w:r>
        <w:rPr>
          <w:sz w:val="22"/>
        </w:rPr>
        <w:t>por</w:t>
      </w:r>
      <w:r>
        <w:rPr>
          <w:spacing w:val="-5"/>
          <w:sz w:val="22"/>
        </w:rPr>
        <w:t> </w:t>
      </w:r>
      <w:r>
        <w:rPr>
          <w:sz w:val="22"/>
        </w:rPr>
        <w:t>el</w:t>
      </w:r>
      <w:r>
        <w:rPr>
          <w:spacing w:val="-4"/>
          <w:sz w:val="22"/>
        </w:rPr>
        <w:t> </w:t>
      </w:r>
      <w:r>
        <w:rPr>
          <w:sz w:val="22"/>
        </w:rPr>
        <w:t>Pleno</w:t>
      </w:r>
      <w:r>
        <w:rPr>
          <w:spacing w:val="-4"/>
          <w:sz w:val="22"/>
        </w:rPr>
        <w:t> </w:t>
      </w:r>
      <w:r>
        <w:rPr>
          <w:sz w:val="22"/>
        </w:rPr>
        <w:t>el</w:t>
      </w:r>
      <w:r>
        <w:rPr>
          <w:spacing w:val="-4"/>
          <w:sz w:val="22"/>
        </w:rPr>
        <w:t> </w:t>
      </w:r>
      <w:r>
        <w:rPr>
          <w:sz w:val="22"/>
        </w:rPr>
        <w:t>26</w:t>
      </w:r>
      <w:r>
        <w:rPr>
          <w:spacing w:val="-3"/>
          <w:sz w:val="22"/>
        </w:rPr>
        <w:t> </w:t>
      </w:r>
      <w:r>
        <w:rPr>
          <w:sz w:val="22"/>
        </w:rPr>
        <w:t>de</w:t>
      </w:r>
      <w:r>
        <w:rPr>
          <w:spacing w:val="-4"/>
          <w:sz w:val="22"/>
        </w:rPr>
        <w:t> </w:t>
      </w:r>
      <w:r>
        <w:rPr>
          <w:sz w:val="22"/>
        </w:rPr>
        <w:t>octubre</w:t>
      </w:r>
      <w:r>
        <w:rPr>
          <w:spacing w:val="-4"/>
          <w:sz w:val="22"/>
        </w:rPr>
        <w:t> </w:t>
      </w:r>
      <w:r>
        <w:rPr>
          <w:sz w:val="22"/>
        </w:rPr>
        <w:t>de</w:t>
      </w:r>
      <w:r>
        <w:rPr>
          <w:spacing w:val="-5"/>
          <w:sz w:val="22"/>
        </w:rPr>
        <w:t> </w:t>
      </w:r>
      <w:r>
        <w:rPr>
          <w:spacing w:val="-2"/>
          <w:sz w:val="22"/>
        </w:rPr>
        <w:t>2023.</w:t>
      </w:r>
    </w:p>
    <w:p>
      <w:pPr>
        <w:pStyle w:val="ListParagraph"/>
        <w:numPr>
          <w:ilvl w:val="1"/>
          <w:numId w:val="10"/>
        </w:numPr>
        <w:tabs>
          <w:tab w:pos="1712" w:val="left" w:leader="none"/>
        </w:tabs>
        <w:spacing w:line="278" w:lineRule="auto" w:before="41" w:after="0"/>
        <w:ind w:left="1712" w:right="990" w:hanging="360"/>
        <w:jc w:val="left"/>
        <w:rPr>
          <w:sz w:val="22"/>
        </w:rPr>
      </w:pPr>
      <w:r>
        <w:rPr>
          <w:sz w:val="22"/>
        </w:rPr>
        <w:t>Ordenanza</w:t>
      </w:r>
      <w:r>
        <w:rPr>
          <w:spacing w:val="27"/>
          <w:sz w:val="22"/>
        </w:rPr>
        <w:t> </w:t>
      </w:r>
      <w:r>
        <w:rPr>
          <w:sz w:val="22"/>
        </w:rPr>
        <w:t>de</w:t>
      </w:r>
      <w:r>
        <w:rPr>
          <w:spacing w:val="27"/>
          <w:sz w:val="22"/>
        </w:rPr>
        <w:t> </w:t>
      </w:r>
      <w:r>
        <w:rPr>
          <w:sz w:val="22"/>
        </w:rPr>
        <w:t>protección</w:t>
      </w:r>
      <w:r>
        <w:rPr>
          <w:spacing w:val="29"/>
          <w:sz w:val="22"/>
        </w:rPr>
        <w:t> </w:t>
      </w:r>
      <w:r>
        <w:rPr>
          <w:sz w:val="22"/>
        </w:rPr>
        <w:t>del medio</w:t>
      </w:r>
      <w:r>
        <w:rPr>
          <w:spacing w:val="29"/>
          <w:sz w:val="22"/>
        </w:rPr>
        <w:t> </w:t>
      </w:r>
      <w:r>
        <w:rPr>
          <w:sz w:val="22"/>
        </w:rPr>
        <w:t>ambiente</w:t>
      </w:r>
      <w:r>
        <w:rPr>
          <w:spacing w:val="27"/>
          <w:sz w:val="22"/>
        </w:rPr>
        <w:t> </w:t>
      </w:r>
      <w:r>
        <w:rPr>
          <w:sz w:val="22"/>
        </w:rPr>
        <w:t>contra</w:t>
      </w:r>
      <w:r>
        <w:rPr>
          <w:spacing w:val="27"/>
          <w:sz w:val="22"/>
        </w:rPr>
        <w:t> </w:t>
      </w:r>
      <w:r>
        <w:rPr>
          <w:sz w:val="22"/>
        </w:rPr>
        <w:t>la</w:t>
      </w:r>
      <w:r>
        <w:rPr>
          <w:spacing w:val="29"/>
          <w:sz w:val="22"/>
        </w:rPr>
        <w:t> </w:t>
      </w:r>
      <w:r>
        <w:rPr>
          <w:sz w:val="22"/>
        </w:rPr>
        <w:t>emisión</w:t>
      </w:r>
      <w:r>
        <w:rPr>
          <w:spacing w:val="29"/>
          <w:sz w:val="22"/>
        </w:rPr>
        <w:t> </w:t>
      </w:r>
      <w:r>
        <w:rPr>
          <w:sz w:val="22"/>
        </w:rPr>
        <w:t>de</w:t>
      </w:r>
      <w:r>
        <w:rPr>
          <w:spacing w:val="27"/>
          <w:sz w:val="22"/>
        </w:rPr>
        <w:t> </w:t>
      </w:r>
      <w:r>
        <w:rPr>
          <w:sz w:val="22"/>
        </w:rPr>
        <w:t>ruidos</w:t>
      </w:r>
      <w:r>
        <w:rPr>
          <w:spacing w:val="29"/>
          <w:sz w:val="22"/>
        </w:rPr>
        <w:t> </w:t>
      </w:r>
      <w:r>
        <w:rPr>
          <w:sz w:val="22"/>
        </w:rPr>
        <w:t>y</w:t>
      </w:r>
      <w:r>
        <w:rPr>
          <w:spacing w:val="27"/>
          <w:sz w:val="22"/>
        </w:rPr>
        <w:t> </w:t>
      </w:r>
      <w:r>
        <w:rPr>
          <w:sz w:val="22"/>
        </w:rPr>
        <w:t>vibraciones, aprobada por el Pleno el 15 de abril de 2014.</w:t>
      </w:r>
    </w:p>
    <w:p>
      <w:pPr>
        <w:pStyle w:val="ListParagraph"/>
        <w:numPr>
          <w:ilvl w:val="1"/>
          <w:numId w:val="10"/>
        </w:numPr>
        <w:tabs>
          <w:tab w:pos="1712" w:val="left" w:leader="none"/>
        </w:tabs>
        <w:spacing w:line="252" w:lineRule="exact" w:before="0" w:after="0"/>
        <w:ind w:left="1712" w:right="0" w:hanging="360"/>
        <w:jc w:val="left"/>
        <w:rPr>
          <w:sz w:val="22"/>
        </w:rPr>
      </w:pPr>
      <w:r>
        <w:rPr>
          <w:sz w:val="22"/>
        </w:rPr>
        <w:t>Ordenanza</w:t>
      </w:r>
      <w:r>
        <w:rPr>
          <w:spacing w:val="-8"/>
          <w:sz w:val="22"/>
        </w:rPr>
        <w:t> </w:t>
      </w:r>
      <w:r>
        <w:rPr>
          <w:sz w:val="22"/>
        </w:rPr>
        <w:t>de</w:t>
      </w:r>
      <w:r>
        <w:rPr>
          <w:spacing w:val="-6"/>
          <w:sz w:val="22"/>
        </w:rPr>
        <w:t> </w:t>
      </w:r>
      <w:r>
        <w:rPr>
          <w:sz w:val="22"/>
        </w:rPr>
        <w:t>protección</w:t>
      </w:r>
      <w:r>
        <w:rPr>
          <w:spacing w:val="-3"/>
          <w:sz w:val="22"/>
        </w:rPr>
        <w:t> </w:t>
      </w:r>
      <w:r>
        <w:rPr>
          <w:sz w:val="22"/>
        </w:rPr>
        <w:t>de</w:t>
      </w:r>
      <w:r>
        <w:rPr>
          <w:spacing w:val="-4"/>
          <w:sz w:val="22"/>
        </w:rPr>
        <w:t> </w:t>
      </w:r>
      <w:r>
        <w:rPr>
          <w:sz w:val="22"/>
        </w:rPr>
        <w:t>la</w:t>
      </w:r>
      <w:r>
        <w:rPr>
          <w:spacing w:val="-4"/>
          <w:sz w:val="22"/>
        </w:rPr>
        <w:t> </w:t>
      </w:r>
      <w:r>
        <w:rPr>
          <w:sz w:val="22"/>
        </w:rPr>
        <w:t>atmósfera,</w:t>
      </w:r>
      <w:r>
        <w:rPr>
          <w:spacing w:val="-4"/>
          <w:sz w:val="22"/>
        </w:rPr>
        <w:t> </w:t>
      </w:r>
      <w:r>
        <w:rPr>
          <w:sz w:val="22"/>
        </w:rPr>
        <w:t>aprobada</w:t>
      </w:r>
      <w:r>
        <w:rPr>
          <w:spacing w:val="-4"/>
          <w:sz w:val="22"/>
        </w:rPr>
        <w:t> </w:t>
      </w:r>
      <w:r>
        <w:rPr>
          <w:sz w:val="22"/>
        </w:rPr>
        <w:t>por</w:t>
      </w:r>
      <w:r>
        <w:rPr>
          <w:spacing w:val="-4"/>
          <w:sz w:val="22"/>
        </w:rPr>
        <w:t> </w:t>
      </w:r>
      <w:r>
        <w:rPr>
          <w:sz w:val="22"/>
        </w:rPr>
        <w:t>el</w:t>
      </w:r>
      <w:r>
        <w:rPr>
          <w:spacing w:val="-5"/>
          <w:sz w:val="22"/>
        </w:rPr>
        <w:t> </w:t>
      </w:r>
      <w:r>
        <w:rPr>
          <w:sz w:val="22"/>
        </w:rPr>
        <w:t>Pleno</w:t>
      </w:r>
      <w:r>
        <w:rPr>
          <w:spacing w:val="-4"/>
          <w:sz w:val="22"/>
        </w:rPr>
        <w:t> </w:t>
      </w:r>
      <w:r>
        <w:rPr>
          <w:sz w:val="22"/>
        </w:rPr>
        <w:t>el</w:t>
      </w:r>
      <w:r>
        <w:rPr>
          <w:spacing w:val="-3"/>
          <w:sz w:val="22"/>
        </w:rPr>
        <w:t> </w:t>
      </w:r>
      <w:r>
        <w:rPr>
          <w:sz w:val="22"/>
        </w:rPr>
        <w:t>27</w:t>
      </w:r>
      <w:r>
        <w:rPr>
          <w:spacing w:val="-6"/>
          <w:sz w:val="22"/>
        </w:rPr>
        <w:t> </w:t>
      </w:r>
      <w:r>
        <w:rPr>
          <w:sz w:val="22"/>
        </w:rPr>
        <w:t>de</w:t>
      </w:r>
      <w:r>
        <w:rPr>
          <w:spacing w:val="-5"/>
          <w:sz w:val="22"/>
        </w:rPr>
        <w:t> </w:t>
      </w:r>
      <w:r>
        <w:rPr>
          <w:sz w:val="22"/>
        </w:rPr>
        <w:t>junio</w:t>
      </w:r>
      <w:r>
        <w:rPr>
          <w:spacing w:val="-4"/>
          <w:sz w:val="22"/>
        </w:rPr>
        <w:t> </w:t>
      </w:r>
      <w:r>
        <w:rPr>
          <w:sz w:val="22"/>
        </w:rPr>
        <w:t>de</w:t>
      </w:r>
      <w:r>
        <w:rPr>
          <w:spacing w:val="-5"/>
          <w:sz w:val="22"/>
        </w:rPr>
        <w:t> </w:t>
      </w:r>
      <w:r>
        <w:rPr>
          <w:spacing w:val="-2"/>
          <w:sz w:val="22"/>
        </w:rPr>
        <w:t>2011.</w:t>
      </w:r>
    </w:p>
    <w:p>
      <w:pPr>
        <w:pStyle w:val="ListParagraph"/>
        <w:numPr>
          <w:ilvl w:val="1"/>
          <w:numId w:val="10"/>
        </w:numPr>
        <w:tabs>
          <w:tab w:pos="1712" w:val="left" w:leader="none"/>
        </w:tabs>
        <w:spacing w:line="278" w:lineRule="auto" w:before="40" w:after="0"/>
        <w:ind w:left="1712" w:right="993" w:hanging="360"/>
        <w:jc w:val="left"/>
        <w:rPr>
          <w:sz w:val="22"/>
        </w:rPr>
      </w:pPr>
      <w:r>
        <w:rPr>
          <w:sz w:val="22"/>
        </w:rPr>
        <w:t>Reglamento regulador de la Mesa del Transporte, aprobado por el Pleno</w:t>
      </w:r>
      <w:r>
        <w:rPr>
          <w:spacing w:val="-2"/>
          <w:sz w:val="22"/>
        </w:rPr>
        <w:t> </w:t>
      </w:r>
      <w:r>
        <w:rPr>
          <w:sz w:val="22"/>
        </w:rPr>
        <w:t>el 26 de enero de </w:t>
      </w:r>
      <w:r>
        <w:rPr>
          <w:spacing w:val="-2"/>
          <w:sz w:val="22"/>
        </w:rPr>
        <w:t>2017.</w:t>
      </w:r>
    </w:p>
    <w:p>
      <w:pPr>
        <w:pStyle w:val="ListParagraph"/>
        <w:numPr>
          <w:ilvl w:val="1"/>
          <w:numId w:val="10"/>
        </w:numPr>
        <w:tabs>
          <w:tab w:pos="1712" w:val="left" w:leader="none"/>
        </w:tabs>
        <w:spacing w:line="240" w:lineRule="auto" w:before="1" w:after="0"/>
        <w:ind w:left="1712" w:right="0" w:hanging="360"/>
        <w:jc w:val="left"/>
        <w:rPr>
          <w:sz w:val="22"/>
        </w:rPr>
      </w:pPr>
      <w:r>
        <w:rPr>
          <w:sz w:val="22"/>
        </w:rPr>
        <w:t>Ordenanza</w:t>
      </w:r>
      <w:r>
        <w:rPr>
          <w:spacing w:val="-9"/>
          <w:sz w:val="22"/>
        </w:rPr>
        <w:t> </w:t>
      </w:r>
      <w:r>
        <w:rPr>
          <w:sz w:val="22"/>
        </w:rPr>
        <w:t>reguladora</w:t>
      </w:r>
      <w:r>
        <w:rPr>
          <w:spacing w:val="-5"/>
          <w:sz w:val="22"/>
        </w:rPr>
        <w:t> </w:t>
      </w:r>
      <w:r>
        <w:rPr>
          <w:sz w:val="22"/>
        </w:rPr>
        <w:t>de</w:t>
      </w:r>
      <w:r>
        <w:rPr>
          <w:spacing w:val="-5"/>
          <w:sz w:val="22"/>
        </w:rPr>
        <w:t> </w:t>
      </w:r>
      <w:r>
        <w:rPr>
          <w:sz w:val="22"/>
        </w:rPr>
        <w:t>la</w:t>
      </w:r>
      <w:r>
        <w:rPr>
          <w:spacing w:val="-5"/>
          <w:sz w:val="22"/>
        </w:rPr>
        <w:t> </w:t>
      </w:r>
      <w:r>
        <w:rPr>
          <w:sz w:val="22"/>
        </w:rPr>
        <w:t>gestión</w:t>
      </w:r>
      <w:r>
        <w:rPr>
          <w:spacing w:val="-7"/>
          <w:sz w:val="22"/>
        </w:rPr>
        <w:t> </w:t>
      </w:r>
      <w:r>
        <w:rPr>
          <w:sz w:val="22"/>
        </w:rPr>
        <w:t>del</w:t>
      </w:r>
      <w:r>
        <w:rPr>
          <w:spacing w:val="-5"/>
          <w:sz w:val="22"/>
        </w:rPr>
        <w:t> </w:t>
      </w:r>
      <w:r>
        <w:rPr>
          <w:sz w:val="22"/>
        </w:rPr>
        <w:t>servicio</w:t>
      </w:r>
      <w:r>
        <w:rPr>
          <w:spacing w:val="-7"/>
          <w:sz w:val="22"/>
        </w:rPr>
        <w:t> </w:t>
      </w:r>
      <w:r>
        <w:rPr>
          <w:sz w:val="22"/>
        </w:rPr>
        <w:t>público</w:t>
      </w:r>
      <w:r>
        <w:rPr>
          <w:spacing w:val="-5"/>
          <w:sz w:val="22"/>
        </w:rPr>
        <w:t> </w:t>
      </w:r>
      <w:r>
        <w:rPr>
          <w:sz w:val="22"/>
        </w:rPr>
        <w:t>de</w:t>
      </w:r>
      <w:r>
        <w:rPr>
          <w:spacing w:val="-4"/>
          <w:sz w:val="22"/>
        </w:rPr>
        <w:t> </w:t>
      </w:r>
      <w:r>
        <w:rPr>
          <w:spacing w:val="-2"/>
          <w:sz w:val="22"/>
        </w:rPr>
        <w:t>transporte.</w:t>
      </w:r>
    </w:p>
    <w:p>
      <w:pPr>
        <w:pStyle w:val="Heading5"/>
        <w:spacing w:before="198"/>
        <w:ind w:left="992"/>
      </w:pPr>
      <w:r>
        <w:rPr>
          <w:spacing w:val="-2"/>
        </w:rPr>
        <w:t>Palma</w:t>
      </w:r>
    </w:p>
    <w:p>
      <w:pPr>
        <w:pStyle w:val="ListParagraph"/>
        <w:numPr>
          <w:ilvl w:val="1"/>
          <w:numId w:val="10"/>
        </w:numPr>
        <w:tabs>
          <w:tab w:pos="1712" w:val="left" w:leader="none"/>
        </w:tabs>
        <w:spacing w:line="240" w:lineRule="auto" w:before="181" w:after="0"/>
        <w:ind w:left="1712" w:right="0" w:hanging="360"/>
        <w:jc w:val="left"/>
        <w:rPr>
          <w:sz w:val="22"/>
        </w:rPr>
      </w:pPr>
      <w:r>
        <w:rPr>
          <w:sz w:val="22"/>
        </w:rPr>
        <w:t>Ordenanza</w:t>
      </w:r>
      <w:r>
        <w:rPr>
          <w:spacing w:val="-6"/>
          <w:sz w:val="22"/>
        </w:rPr>
        <w:t> </w:t>
      </w:r>
      <w:r>
        <w:rPr>
          <w:sz w:val="22"/>
        </w:rPr>
        <w:t>de</w:t>
      </w:r>
      <w:r>
        <w:rPr>
          <w:spacing w:val="-5"/>
          <w:sz w:val="22"/>
        </w:rPr>
        <w:t> </w:t>
      </w:r>
      <w:r>
        <w:rPr>
          <w:sz w:val="22"/>
        </w:rPr>
        <w:t>circulación,</w:t>
      </w:r>
      <w:r>
        <w:rPr>
          <w:spacing w:val="-1"/>
          <w:sz w:val="22"/>
        </w:rPr>
        <w:t> </w:t>
      </w:r>
      <w:r>
        <w:rPr>
          <w:sz w:val="22"/>
        </w:rPr>
        <w:t>de</w:t>
      </w:r>
      <w:r>
        <w:rPr>
          <w:spacing w:val="-5"/>
          <w:sz w:val="22"/>
        </w:rPr>
        <w:t> </w:t>
      </w:r>
      <w:r>
        <w:rPr>
          <w:sz w:val="22"/>
        </w:rPr>
        <w:t>14</w:t>
      </w:r>
      <w:r>
        <w:rPr>
          <w:spacing w:val="-4"/>
          <w:sz w:val="22"/>
        </w:rPr>
        <w:t> </w:t>
      </w:r>
      <w:r>
        <w:rPr>
          <w:sz w:val="22"/>
        </w:rPr>
        <w:t>de</w:t>
      </w:r>
      <w:r>
        <w:rPr>
          <w:spacing w:val="-5"/>
          <w:sz w:val="22"/>
        </w:rPr>
        <w:t> </w:t>
      </w:r>
      <w:r>
        <w:rPr>
          <w:sz w:val="22"/>
        </w:rPr>
        <w:t>junio</w:t>
      </w:r>
      <w:r>
        <w:rPr>
          <w:spacing w:val="-5"/>
          <w:sz w:val="22"/>
        </w:rPr>
        <w:t> </w:t>
      </w:r>
      <w:r>
        <w:rPr>
          <w:sz w:val="22"/>
        </w:rPr>
        <w:t>de</w:t>
      </w:r>
      <w:r>
        <w:rPr>
          <w:spacing w:val="-3"/>
          <w:sz w:val="22"/>
        </w:rPr>
        <w:t> </w:t>
      </w:r>
      <w:r>
        <w:rPr>
          <w:spacing w:val="-2"/>
          <w:sz w:val="22"/>
        </w:rPr>
        <w:t>2001.</w:t>
      </w:r>
    </w:p>
    <w:p>
      <w:pPr>
        <w:pStyle w:val="ListParagraph"/>
        <w:numPr>
          <w:ilvl w:val="1"/>
          <w:numId w:val="10"/>
        </w:numPr>
        <w:tabs>
          <w:tab w:pos="1712" w:val="left" w:leader="none"/>
        </w:tabs>
        <w:spacing w:line="253" w:lineRule="exact" w:before="40" w:after="0"/>
        <w:ind w:left="1712" w:right="0" w:hanging="360"/>
        <w:jc w:val="left"/>
        <w:rPr>
          <w:sz w:val="22"/>
        </w:rPr>
      </w:pPr>
      <w:r>
        <w:rPr>
          <w:sz w:val="22"/>
        </w:rPr>
        <w:t>Ordenanza</w:t>
      </w:r>
      <w:r>
        <w:rPr>
          <w:spacing w:val="-11"/>
          <w:sz w:val="22"/>
        </w:rPr>
        <w:t> </w:t>
      </w:r>
      <w:r>
        <w:rPr>
          <w:sz w:val="22"/>
        </w:rPr>
        <w:t>municipal</w:t>
      </w:r>
      <w:r>
        <w:rPr>
          <w:spacing w:val="-5"/>
          <w:sz w:val="22"/>
        </w:rPr>
        <w:t> </w:t>
      </w:r>
      <w:r>
        <w:rPr>
          <w:sz w:val="22"/>
        </w:rPr>
        <w:t>de</w:t>
      </w:r>
      <w:r>
        <w:rPr>
          <w:spacing w:val="-6"/>
          <w:sz w:val="22"/>
        </w:rPr>
        <w:t> </w:t>
      </w:r>
      <w:r>
        <w:rPr>
          <w:sz w:val="22"/>
        </w:rPr>
        <w:t>aprobación</w:t>
      </w:r>
      <w:r>
        <w:rPr>
          <w:spacing w:val="-4"/>
          <w:sz w:val="22"/>
        </w:rPr>
        <w:t> </w:t>
      </w:r>
      <w:r>
        <w:rPr>
          <w:sz w:val="22"/>
        </w:rPr>
        <w:t>de</w:t>
      </w:r>
      <w:r>
        <w:rPr>
          <w:spacing w:val="-5"/>
          <w:sz w:val="22"/>
        </w:rPr>
        <w:t> </w:t>
      </w:r>
      <w:r>
        <w:rPr>
          <w:sz w:val="22"/>
        </w:rPr>
        <w:t>Zonas</w:t>
      </w:r>
      <w:r>
        <w:rPr>
          <w:spacing w:val="-4"/>
          <w:sz w:val="22"/>
        </w:rPr>
        <w:t> </w:t>
      </w:r>
      <w:r>
        <w:rPr>
          <w:sz w:val="22"/>
        </w:rPr>
        <w:t>de</w:t>
      </w:r>
      <w:r>
        <w:rPr>
          <w:spacing w:val="-8"/>
          <w:sz w:val="22"/>
        </w:rPr>
        <w:t> </w:t>
      </w:r>
      <w:r>
        <w:rPr>
          <w:sz w:val="22"/>
        </w:rPr>
        <w:t>Bajas</w:t>
      </w:r>
      <w:r>
        <w:rPr>
          <w:spacing w:val="-4"/>
          <w:sz w:val="22"/>
        </w:rPr>
        <w:t> </w:t>
      </w:r>
      <w:r>
        <w:rPr>
          <w:spacing w:val="-2"/>
          <w:sz w:val="22"/>
        </w:rPr>
        <w:t>Emisiones.</w:t>
      </w:r>
    </w:p>
    <w:p>
      <w:pPr>
        <w:pStyle w:val="ListParagraph"/>
        <w:numPr>
          <w:ilvl w:val="1"/>
          <w:numId w:val="10"/>
        </w:numPr>
        <w:tabs>
          <w:tab w:pos="1712" w:val="left" w:leader="none"/>
        </w:tabs>
        <w:spacing w:line="273" w:lineRule="auto" w:before="0" w:after="0"/>
        <w:ind w:left="1712" w:right="990" w:hanging="360"/>
        <w:jc w:val="left"/>
        <w:rPr>
          <w:sz w:val="24"/>
        </w:rPr>
      </w:pPr>
      <w:r>
        <w:rPr>
          <w:sz w:val="22"/>
        </w:rPr>
        <w:t>Reglamento</w:t>
      </w:r>
      <w:r>
        <w:rPr>
          <w:spacing w:val="-4"/>
          <w:sz w:val="22"/>
        </w:rPr>
        <w:t> </w:t>
      </w:r>
      <w:r>
        <w:rPr>
          <w:sz w:val="22"/>
        </w:rPr>
        <w:t>del</w:t>
      </w:r>
      <w:r>
        <w:rPr>
          <w:spacing w:val="-5"/>
          <w:sz w:val="22"/>
        </w:rPr>
        <w:t> </w:t>
      </w:r>
      <w:r>
        <w:rPr>
          <w:sz w:val="22"/>
        </w:rPr>
        <w:t>servicio</w:t>
      </w:r>
      <w:r>
        <w:rPr>
          <w:spacing w:val="-6"/>
          <w:sz w:val="22"/>
        </w:rPr>
        <w:t> </w:t>
      </w:r>
      <w:r>
        <w:rPr>
          <w:sz w:val="22"/>
        </w:rPr>
        <w:t>de</w:t>
      </w:r>
      <w:r>
        <w:rPr>
          <w:spacing w:val="-4"/>
          <w:sz w:val="22"/>
        </w:rPr>
        <w:t> </w:t>
      </w:r>
      <w:r>
        <w:rPr>
          <w:sz w:val="22"/>
        </w:rPr>
        <w:t>transportes</w:t>
      </w:r>
      <w:r>
        <w:rPr>
          <w:spacing w:val="-4"/>
          <w:sz w:val="22"/>
        </w:rPr>
        <w:t> </w:t>
      </w:r>
      <w:r>
        <w:rPr>
          <w:sz w:val="22"/>
        </w:rPr>
        <w:t>colectivos</w:t>
      </w:r>
      <w:r>
        <w:rPr>
          <w:spacing w:val="-6"/>
          <w:sz w:val="22"/>
        </w:rPr>
        <w:t> </w:t>
      </w:r>
      <w:r>
        <w:rPr>
          <w:sz w:val="22"/>
        </w:rPr>
        <w:t>urbanos</w:t>
      </w:r>
      <w:r>
        <w:rPr>
          <w:spacing w:val="-4"/>
          <w:sz w:val="22"/>
        </w:rPr>
        <w:t> </w:t>
      </w:r>
      <w:r>
        <w:rPr>
          <w:sz w:val="22"/>
        </w:rPr>
        <w:t>de</w:t>
      </w:r>
      <w:r>
        <w:rPr>
          <w:spacing w:val="-7"/>
          <w:sz w:val="22"/>
        </w:rPr>
        <w:t> </w:t>
      </w:r>
      <w:r>
        <w:rPr>
          <w:sz w:val="22"/>
        </w:rPr>
        <w:t>Palma</w:t>
      </w:r>
      <w:r>
        <w:rPr>
          <w:spacing w:val="-4"/>
          <w:sz w:val="22"/>
        </w:rPr>
        <w:t> </w:t>
      </w:r>
      <w:r>
        <w:rPr>
          <w:sz w:val="22"/>
        </w:rPr>
        <w:t>de</w:t>
      </w:r>
      <w:r>
        <w:rPr>
          <w:spacing w:val="-7"/>
          <w:sz w:val="22"/>
        </w:rPr>
        <w:t> </w:t>
      </w:r>
      <w:r>
        <w:rPr>
          <w:sz w:val="22"/>
        </w:rPr>
        <w:t>Mallorca,</w:t>
      </w:r>
      <w:r>
        <w:rPr>
          <w:spacing w:val="-4"/>
          <w:sz w:val="22"/>
        </w:rPr>
        <w:t> </w:t>
      </w:r>
      <w:r>
        <w:rPr>
          <w:sz w:val="22"/>
        </w:rPr>
        <w:t>aprobado por el Pleno el 21 de diciembre de 2006.</w:t>
      </w:r>
    </w:p>
    <w:p>
      <w:pPr>
        <w:pStyle w:val="Heading5"/>
        <w:spacing w:before="163"/>
        <w:ind w:left="992"/>
      </w:pPr>
      <w:r>
        <w:rPr>
          <w:spacing w:val="-2"/>
        </w:rPr>
        <w:t>Sevilla:</w:t>
      </w:r>
    </w:p>
    <w:p>
      <w:pPr>
        <w:pStyle w:val="ListParagraph"/>
        <w:numPr>
          <w:ilvl w:val="1"/>
          <w:numId w:val="10"/>
        </w:numPr>
        <w:tabs>
          <w:tab w:pos="1712" w:val="left" w:leader="none"/>
        </w:tabs>
        <w:spacing w:line="240" w:lineRule="auto" w:before="119" w:after="0"/>
        <w:ind w:left="1712" w:right="0" w:hanging="360"/>
        <w:jc w:val="left"/>
        <w:rPr>
          <w:sz w:val="22"/>
        </w:rPr>
      </w:pPr>
      <w:r>
        <w:rPr>
          <w:sz w:val="22"/>
        </w:rPr>
        <w:t>Ordenanza</w:t>
      </w:r>
      <w:r>
        <w:rPr>
          <w:spacing w:val="-9"/>
          <w:sz w:val="22"/>
        </w:rPr>
        <w:t> </w:t>
      </w:r>
      <w:r>
        <w:rPr>
          <w:sz w:val="22"/>
        </w:rPr>
        <w:t>de</w:t>
      </w:r>
      <w:r>
        <w:rPr>
          <w:spacing w:val="-6"/>
          <w:sz w:val="22"/>
        </w:rPr>
        <w:t> </w:t>
      </w:r>
      <w:r>
        <w:rPr>
          <w:sz w:val="22"/>
        </w:rPr>
        <w:t>circulación,</w:t>
      </w:r>
      <w:r>
        <w:rPr>
          <w:spacing w:val="-2"/>
          <w:sz w:val="22"/>
        </w:rPr>
        <w:t> </w:t>
      </w:r>
      <w:r>
        <w:rPr>
          <w:sz w:val="22"/>
        </w:rPr>
        <w:t>publicada</w:t>
      </w:r>
      <w:r>
        <w:rPr>
          <w:spacing w:val="-5"/>
          <w:sz w:val="22"/>
        </w:rPr>
        <w:t> </w:t>
      </w:r>
      <w:r>
        <w:rPr>
          <w:sz w:val="22"/>
        </w:rPr>
        <w:t>en</w:t>
      </w:r>
      <w:r>
        <w:rPr>
          <w:spacing w:val="-6"/>
          <w:sz w:val="22"/>
        </w:rPr>
        <w:t> </w:t>
      </w:r>
      <w:r>
        <w:rPr>
          <w:sz w:val="22"/>
        </w:rPr>
        <w:t>el</w:t>
      </w:r>
      <w:r>
        <w:rPr>
          <w:spacing w:val="-5"/>
          <w:sz w:val="22"/>
        </w:rPr>
        <w:t> </w:t>
      </w:r>
      <w:r>
        <w:rPr>
          <w:sz w:val="22"/>
        </w:rPr>
        <w:t>BOP</w:t>
      </w:r>
      <w:r>
        <w:rPr>
          <w:spacing w:val="-7"/>
          <w:sz w:val="22"/>
        </w:rPr>
        <w:t> </w:t>
      </w:r>
      <w:r>
        <w:rPr>
          <w:sz w:val="22"/>
        </w:rPr>
        <w:t>el</w:t>
      </w:r>
      <w:r>
        <w:rPr>
          <w:spacing w:val="-4"/>
          <w:sz w:val="22"/>
        </w:rPr>
        <w:t> </w:t>
      </w:r>
      <w:r>
        <w:rPr>
          <w:sz w:val="22"/>
        </w:rPr>
        <w:t>5</w:t>
      </w:r>
      <w:r>
        <w:rPr>
          <w:spacing w:val="-5"/>
          <w:sz w:val="22"/>
        </w:rPr>
        <w:t> </w:t>
      </w:r>
      <w:r>
        <w:rPr>
          <w:sz w:val="22"/>
        </w:rPr>
        <w:t>de</w:t>
      </w:r>
      <w:r>
        <w:rPr>
          <w:spacing w:val="-4"/>
          <w:sz w:val="22"/>
        </w:rPr>
        <w:t> </w:t>
      </w:r>
      <w:r>
        <w:rPr>
          <w:sz w:val="22"/>
        </w:rPr>
        <w:t>septiembre</w:t>
      </w:r>
      <w:r>
        <w:rPr>
          <w:spacing w:val="-4"/>
          <w:sz w:val="22"/>
        </w:rPr>
        <w:t> </w:t>
      </w:r>
      <w:r>
        <w:rPr>
          <w:sz w:val="22"/>
        </w:rPr>
        <w:t>de</w:t>
      </w:r>
      <w:r>
        <w:rPr>
          <w:spacing w:val="-6"/>
          <w:sz w:val="22"/>
        </w:rPr>
        <w:t> </w:t>
      </w:r>
      <w:r>
        <w:rPr>
          <w:spacing w:val="-2"/>
          <w:sz w:val="22"/>
        </w:rPr>
        <w:t>2014.</w:t>
      </w:r>
    </w:p>
    <w:p>
      <w:pPr>
        <w:pStyle w:val="ListParagraph"/>
        <w:numPr>
          <w:ilvl w:val="1"/>
          <w:numId w:val="10"/>
        </w:numPr>
        <w:tabs>
          <w:tab w:pos="1712" w:val="left" w:leader="none"/>
        </w:tabs>
        <w:spacing w:line="240" w:lineRule="auto" w:before="39" w:after="0"/>
        <w:ind w:left="1712" w:right="0" w:hanging="360"/>
        <w:jc w:val="left"/>
        <w:rPr>
          <w:sz w:val="22"/>
        </w:rPr>
      </w:pPr>
      <w:r>
        <w:rPr>
          <w:sz w:val="22"/>
        </w:rPr>
        <w:t>Ordenanza</w:t>
      </w:r>
      <w:r>
        <w:rPr>
          <w:spacing w:val="-9"/>
          <w:sz w:val="22"/>
        </w:rPr>
        <w:t> </w:t>
      </w:r>
      <w:r>
        <w:rPr>
          <w:sz w:val="22"/>
        </w:rPr>
        <w:t>de</w:t>
      </w:r>
      <w:r>
        <w:rPr>
          <w:spacing w:val="-6"/>
          <w:sz w:val="22"/>
        </w:rPr>
        <w:t> </w:t>
      </w:r>
      <w:r>
        <w:rPr>
          <w:sz w:val="22"/>
        </w:rPr>
        <w:t>accesibilidad</w:t>
      </w:r>
      <w:r>
        <w:rPr>
          <w:spacing w:val="-4"/>
          <w:sz w:val="22"/>
        </w:rPr>
        <w:t> </w:t>
      </w:r>
      <w:r>
        <w:rPr>
          <w:sz w:val="22"/>
        </w:rPr>
        <w:t>universal,</w:t>
      </w:r>
      <w:r>
        <w:rPr>
          <w:spacing w:val="-5"/>
          <w:sz w:val="22"/>
        </w:rPr>
        <w:t> </w:t>
      </w:r>
      <w:r>
        <w:rPr>
          <w:sz w:val="22"/>
        </w:rPr>
        <w:t>publicada</w:t>
      </w:r>
      <w:r>
        <w:rPr>
          <w:spacing w:val="-7"/>
          <w:sz w:val="22"/>
        </w:rPr>
        <w:t> </w:t>
      </w:r>
      <w:r>
        <w:rPr>
          <w:sz w:val="22"/>
        </w:rPr>
        <w:t>en</w:t>
      </w:r>
      <w:r>
        <w:rPr>
          <w:spacing w:val="-4"/>
          <w:sz w:val="22"/>
        </w:rPr>
        <w:t> </w:t>
      </w:r>
      <w:r>
        <w:rPr>
          <w:sz w:val="22"/>
        </w:rPr>
        <w:t>el</w:t>
      </w:r>
      <w:r>
        <w:rPr>
          <w:spacing w:val="-5"/>
          <w:sz w:val="22"/>
        </w:rPr>
        <w:t> </w:t>
      </w:r>
      <w:r>
        <w:rPr>
          <w:sz w:val="22"/>
        </w:rPr>
        <w:t>BOP</w:t>
      </w:r>
      <w:r>
        <w:rPr>
          <w:spacing w:val="-7"/>
          <w:sz w:val="22"/>
        </w:rPr>
        <w:t> </w:t>
      </w:r>
      <w:r>
        <w:rPr>
          <w:sz w:val="22"/>
        </w:rPr>
        <w:t>el</w:t>
      </w:r>
      <w:r>
        <w:rPr>
          <w:spacing w:val="-6"/>
          <w:sz w:val="22"/>
        </w:rPr>
        <w:t> </w:t>
      </w:r>
      <w:r>
        <w:rPr>
          <w:sz w:val="22"/>
        </w:rPr>
        <w:t>25</w:t>
      </w:r>
      <w:r>
        <w:rPr>
          <w:spacing w:val="-4"/>
          <w:sz w:val="22"/>
        </w:rPr>
        <w:t> </w:t>
      </w:r>
      <w:r>
        <w:rPr>
          <w:sz w:val="22"/>
        </w:rPr>
        <w:t>de</w:t>
      </w:r>
      <w:r>
        <w:rPr>
          <w:spacing w:val="-9"/>
          <w:sz w:val="22"/>
        </w:rPr>
        <w:t> </w:t>
      </w:r>
      <w:r>
        <w:rPr>
          <w:sz w:val="22"/>
        </w:rPr>
        <w:t>febrero</w:t>
      </w:r>
      <w:r>
        <w:rPr>
          <w:spacing w:val="-4"/>
          <w:sz w:val="22"/>
        </w:rPr>
        <w:t> </w:t>
      </w:r>
      <w:r>
        <w:rPr>
          <w:sz w:val="22"/>
        </w:rPr>
        <w:t>de</w:t>
      </w:r>
      <w:r>
        <w:rPr>
          <w:spacing w:val="-6"/>
          <w:sz w:val="22"/>
        </w:rPr>
        <w:t> </w:t>
      </w:r>
      <w:r>
        <w:rPr>
          <w:spacing w:val="-2"/>
          <w:sz w:val="22"/>
        </w:rPr>
        <w:t>2014.</w:t>
      </w:r>
    </w:p>
    <w:p>
      <w:pPr>
        <w:pStyle w:val="ListParagraph"/>
        <w:numPr>
          <w:ilvl w:val="1"/>
          <w:numId w:val="10"/>
        </w:numPr>
        <w:tabs>
          <w:tab w:pos="1712" w:val="left" w:leader="none"/>
        </w:tabs>
        <w:spacing w:line="278" w:lineRule="auto" w:before="40" w:after="0"/>
        <w:ind w:left="1712" w:right="993" w:hanging="360"/>
        <w:jc w:val="left"/>
        <w:rPr>
          <w:sz w:val="22"/>
        </w:rPr>
      </w:pPr>
      <w:r>
        <w:rPr>
          <w:sz w:val="22"/>
        </w:rPr>
        <w:t>Ordenanza</w:t>
      </w:r>
      <w:r>
        <w:rPr>
          <w:spacing w:val="-4"/>
          <w:sz w:val="22"/>
        </w:rPr>
        <w:t> </w:t>
      </w:r>
      <w:r>
        <w:rPr>
          <w:sz w:val="22"/>
        </w:rPr>
        <w:t>Municipal</w:t>
      </w:r>
      <w:r>
        <w:rPr>
          <w:spacing w:val="-2"/>
          <w:sz w:val="22"/>
        </w:rPr>
        <w:t> </w:t>
      </w:r>
      <w:r>
        <w:rPr>
          <w:sz w:val="22"/>
        </w:rPr>
        <w:t>para</w:t>
      </w:r>
      <w:r>
        <w:rPr>
          <w:spacing w:val="-2"/>
          <w:sz w:val="22"/>
        </w:rPr>
        <w:t> </w:t>
      </w:r>
      <w:r>
        <w:rPr>
          <w:sz w:val="22"/>
        </w:rPr>
        <w:t>la</w:t>
      </w:r>
      <w:r>
        <w:rPr>
          <w:spacing w:val="-4"/>
          <w:sz w:val="22"/>
        </w:rPr>
        <w:t> </w:t>
      </w:r>
      <w:r>
        <w:rPr>
          <w:sz w:val="22"/>
        </w:rPr>
        <w:t>Gestión</w:t>
      </w:r>
      <w:r>
        <w:rPr>
          <w:spacing w:val="-2"/>
          <w:sz w:val="22"/>
        </w:rPr>
        <w:t> </w:t>
      </w:r>
      <w:r>
        <w:rPr>
          <w:sz w:val="22"/>
        </w:rPr>
        <w:t>de</w:t>
      </w:r>
      <w:r>
        <w:rPr>
          <w:spacing w:val="-2"/>
          <w:sz w:val="22"/>
        </w:rPr>
        <w:t> </w:t>
      </w:r>
      <w:r>
        <w:rPr>
          <w:sz w:val="22"/>
        </w:rPr>
        <w:t>la</w:t>
      </w:r>
      <w:r>
        <w:rPr>
          <w:spacing w:val="-2"/>
          <w:sz w:val="22"/>
        </w:rPr>
        <w:t> </w:t>
      </w:r>
      <w:r>
        <w:rPr>
          <w:sz w:val="22"/>
        </w:rPr>
        <w:t>Energía,</w:t>
      </w:r>
      <w:r>
        <w:rPr>
          <w:spacing w:val="-3"/>
          <w:sz w:val="22"/>
        </w:rPr>
        <w:t> </w:t>
      </w:r>
      <w:r>
        <w:rPr>
          <w:sz w:val="22"/>
        </w:rPr>
        <w:t>el</w:t>
      </w:r>
      <w:r>
        <w:rPr>
          <w:spacing w:val="-3"/>
          <w:sz w:val="22"/>
        </w:rPr>
        <w:t> </w:t>
      </w:r>
      <w:r>
        <w:rPr>
          <w:sz w:val="22"/>
        </w:rPr>
        <w:t>Cambio</w:t>
      </w:r>
      <w:r>
        <w:rPr>
          <w:spacing w:val="-2"/>
          <w:sz w:val="22"/>
        </w:rPr>
        <w:t> </w:t>
      </w:r>
      <w:r>
        <w:rPr>
          <w:sz w:val="22"/>
        </w:rPr>
        <w:t>Climático</w:t>
      </w:r>
      <w:r>
        <w:rPr>
          <w:spacing w:val="-4"/>
          <w:sz w:val="22"/>
        </w:rPr>
        <w:t> </w:t>
      </w:r>
      <w:r>
        <w:rPr>
          <w:sz w:val="22"/>
        </w:rPr>
        <w:t>y</w:t>
      </w:r>
      <w:r>
        <w:rPr>
          <w:spacing w:val="-4"/>
          <w:sz w:val="22"/>
        </w:rPr>
        <w:t> </w:t>
      </w:r>
      <w:r>
        <w:rPr>
          <w:sz w:val="22"/>
        </w:rPr>
        <w:t>la</w:t>
      </w:r>
      <w:r>
        <w:rPr>
          <w:spacing w:val="-2"/>
          <w:sz w:val="22"/>
        </w:rPr>
        <w:t> </w:t>
      </w:r>
      <w:r>
        <w:rPr>
          <w:sz w:val="22"/>
        </w:rPr>
        <w:t>Sostenibilidad de Sevilla, publicada en el BOP el 2 de octubre de 2012.</w:t>
      </w:r>
    </w:p>
    <w:p>
      <w:pPr>
        <w:pStyle w:val="ListParagraph"/>
        <w:numPr>
          <w:ilvl w:val="1"/>
          <w:numId w:val="10"/>
        </w:numPr>
        <w:tabs>
          <w:tab w:pos="1712" w:val="left" w:leader="none"/>
        </w:tabs>
        <w:spacing w:line="278" w:lineRule="auto" w:before="1" w:after="0"/>
        <w:ind w:left="1712" w:right="990" w:hanging="360"/>
        <w:jc w:val="left"/>
        <w:rPr>
          <w:sz w:val="22"/>
        </w:rPr>
      </w:pPr>
      <w:r>
        <w:rPr>
          <w:sz w:val="22"/>
        </w:rPr>
        <w:t>Aprobación</w:t>
      </w:r>
      <w:r>
        <w:rPr>
          <w:spacing w:val="-2"/>
          <w:sz w:val="22"/>
        </w:rPr>
        <w:t> </w:t>
      </w:r>
      <w:r>
        <w:rPr>
          <w:sz w:val="22"/>
        </w:rPr>
        <w:t>delimitación</w:t>
      </w:r>
      <w:r>
        <w:rPr>
          <w:spacing w:val="-6"/>
          <w:sz w:val="22"/>
        </w:rPr>
        <w:t> </w:t>
      </w:r>
      <w:r>
        <w:rPr>
          <w:sz w:val="22"/>
        </w:rPr>
        <w:t>Zona</w:t>
      </w:r>
      <w:r>
        <w:rPr>
          <w:spacing w:val="-2"/>
          <w:sz w:val="22"/>
        </w:rPr>
        <w:t> </w:t>
      </w:r>
      <w:r>
        <w:rPr>
          <w:sz w:val="22"/>
        </w:rPr>
        <w:t>de</w:t>
      </w:r>
      <w:r>
        <w:rPr>
          <w:spacing w:val="-4"/>
          <w:sz w:val="22"/>
        </w:rPr>
        <w:t> </w:t>
      </w:r>
      <w:r>
        <w:rPr>
          <w:sz w:val="22"/>
        </w:rPr>
        <w:t>Bajas</w:t>
      </w:r>
      <w:r>
        <w:rPr>
          <w:spacing w:val="-4"/>
          <w:sz w:val="22"/>
        </w:rPr>
        <w:t> </w:t>
      </w:r>
      <w:r>
        <w:rPr>
          <w:sz w:val="22"/>
        </w:rPr>
        <w:t>Emisiones Cartuja</w:t>
      </w:r>
      <w:r>
        <w:rPr>
          <w:spacing w:val="-4"/>
          <w:sz w:val="22"/>
        </w:rPr>
        <w:t> </w:t>
      </w:r>
      <w:r>
        <w:rPr>
          <w:sz w:val="22"/>
        </w:rPr>
        <w:t>Norte</w:t>
      </w:r>
      <w:r>
        <w:rPr>
          <w:spacing w:val="-4"/>
          <w:sz w:val="22"/>
        </w:rPr>
        <w:t> </w:t>
      </w:r>
      <w:r>
        <w:rPr>
          <w:sz w:val="22"/>
        </w:rPr>
        <w:t>y</w:t>
      </w:r>
      <w:r>
        <w:rPr>
          <w:spacing w:val="-4"/>
          <w:sz w:val="22"/>
        </w:rPr>
        <w:t> </w:t>
      </w:r>
      <w:r>
        <w:rPr>
          <w:sz w:val="22"/>
        </w:rPr>
        <w:t>Cartuja</w:t>
      </w:r>
      <w:r>
        <w:rPr>
          <w:spacing w:val="-4"/>
          <w:sz w:val="22"/>
        </w:rPr>
        <w:t> </w:t>
      </w:r>
      <w:r>
        <w:rPr>
          <w:sz w:val="22"/>
        </w:rPr>
        <w:t>Sur</w:t>
      </w:r>
      <w:r>
        <w:rPr>
          <w:spacing w:val="-3"/>
          <w:sz w:val="22"/>
        </w:rPr>
        <w:t> </w:t>
      </w:r>
      <w:r>
        <w:rPr>
          <w:sz w:val="22"/>
        </w:rPr>
        <w:t>y</w:t>
      </w:r>
      <w:r>
        <w:rPr>
          <w:spacing w:val="-4"/>
          <w:sz w:val="22"/>
        </w:rPr>
        <w:t> </w:t>
      </w:r>
      <w:r>
        <w:rPr>
          <w:sz w:val="22"/>
        </w:rPr>
        <w:t>su</w:t>
      </w:r>
      <w:r>
        <w:rPr>
          <w:spacing w:val="-4"/>
          <w:sz w:val="22"/>
        </w:rPr>
        <w:t> </w:t>
      </w:r>
      <w:r>
        <w:rPr>
          <w:sz w:val="22"/>
        </w:rPr>
        <w:t>régimen de aplicación. Resolución de 30 de septiembre de 2022 (BOP de 22 de octubre de 2022).</w:t>
      </w:r>
    </w:p>
    <w:p>
      <w:pPr>
        <w:pStyle w:val="ListParagraph"/>
        <w:numPr>
          <w:ilvl w:val="1"/>
          <w:numId w:val="10"/>
        </w:numPr>
        <w:tabs>
          <w:tab w:pos="1712" w:val="left" w:leader="none"/>
        </w:tabs>
        <w:spacing w:line="278" w:lineRule="auto" w:before="0" w:after="0"/>
        <w:ind w:left="1712" w:right="992" w:hanging="360"/>
        <w:jc w:val="left"/>
        <w:rPr>
          <w:sz w:val="22"/>
        </w:rPr>
      </w:pPr>
      <w:r>
        <w:rPr>
          <w:sz w:val="22"/>
        </w:rPr>
        <w:t>Aprobación implantación Zona</w:t>
      </w:r>
      <w:r>
        <w:rPr>
          <w:spacing w:val="-1"/>
          <w:sz w:val="22"/>
        </w:rPr>
        <w:t> </w:t>
      </w:r>
      <w:r>
        <w:rPr>
          <w:sz w:val="22"/>
        </w:rPr>
        <w:t>de</w:t>
      </w:r>
      <w:r>
        <w:rPr>
          <w:spacing w:val="-1"/>
          <w:sz w:val="22"/>
        </w:rPr>
        <w:t> </w:t>
      </w:r>
      <w:r>
        <w:rPr>
          <w:sz w:val="22"/>
        </w:rPr>
        <w:t>Bajas</w:t>
      </w:r>
      <w:r>
        <w:rPr>
          <w:spacing w:val="-1"/>
          <w:sz w:val="22"/>
        </w:rPr>
        <w:t> </w:t>
      </w:r>
      <w:r>
        <w:rPr>
          <w:sz w:val="22"/>
        </w:rPr>
        <w:t>Emisiones Cartuja, Resolución</w:t>
      </w:r>
      <w:r>
        <w:rPr>
          <w:spacing w:val="-1"/>
          <w:sz w:val="22"/>
        </w:rPr>
        <w:t> </w:t>
      </w:r>
      <w:r>
        <w:rPr>
          <w:sz w:val="22"/>
        </w:rPr>
        <w:t>de 21</w:t>
      </w:r>
      <w:r>
        <w:rPr>
          <w:spacing w:val="-1"/>
          <w:sz w:val="22"/>
        </w:rPr>
        <w:t> </w:t>
      </w:r>
      <w:r>
        <w:rPr>
          <w:sz w:val="22"/>
        </w:rPr>
        <w:t>de</w:t>
      </w:r>
      <w:r>
        <w:rPr>
          <w:spacing w:val="-1"/>
          <w:sz w:val="22"/>
        </w:rPr>
        <w:t> </w:t>
      </w:r>
      <w:r>
        <w:rPr>
          <w:sz w:val="22"/>
        </w:rPr>
        <w:t>diciembre de 2022.</w:t>
      </w:r>
    </w:p>
    <w:p>
      <w:pPr>
        <w:pStyle w:val="ListParagraph"/>
        <w:numPr>
          <w:ilvl w:val="1"/>
          <w:numId w:val="10"/>
        </w:numPr>
        <w:tabs>
          <w:tab w:pos="1712" w:val="left" w:leader="none"/>
        </w:tabs>
        <w:spacing w:line="240" w:lineRule="auto" w:before="0" w:after="0"/>
        <w:ind w:left="1712" w:right="0" w:hanging="360"/>
        <w:jc w:val="left"/>
        <w:rPr>
          <w:sz w:val="22"/>
        </w:rPr>
      </w:pPr>
      <w:r>
        <w:rPr>
          <w:sz w:val="22"/>
        </w:rPr>
        <w:t>Reglamento</w:t>
      </w:r>
      <w:r>
        <w:rPr>
          <w:spacing w:val="-6"/>
          <w:sz w:val="22"/>
        </w:rPr>
        <w:t> </w:t>
      </w:r>
      <w:r>
        <w:rPr>
          <w:sz w:val="22"/>
        </w:rPr>
        <w:t>para</w:t>
      </w:r>
      <w:r>
        <w:rPr>
          <w:spacing w:val="-4"/>
          <w:sz w:val="22"/>
        </w:rPr>
        <w:t> </w:t>
      </w:r>
      <w:r>
        <w:rPr>
          <w:sz w:val="22"/>
        </w:rPr>
        <w:t>la</w:t>
      </w:r>
      <w:r>
        <w:rPr>
          <w:spacing w:val="-4"/>
          <w:sz w:val="22"/>
        </w:rPr>
        <w:t> </w:t>
      </w:r>
      <w:r>
        <w:rPr>
          <w:sz w:val="22"/>
        </w:rPr>
        <w:t>prestación</w:t>
      </w:r>
      <w:r>
        <w:rPr>
          <w:spacing w:val="-4"/>
          <w:sz w:val="22"/>
        </w:rPr>
        <w:t> </w:t>
      </w:r>
      <w:r>
        <w:rPr>
          <w:sz w:val="22"/>
        </w:rPr>
        <w:t>del</w:t>
      </w:r>
      <w:r>
        <w:rPr>
          <w:spacing w:val="-4"/>
          <w:sz w:val="22"/>
        </w:rPr>
        <w:t> </w:t>
      </w:r>
      <w:r>
        <w:rPr>
          <w:sz w:val="22"/>
        </w:rPr>
        <w:t>servicio</w:t>
      </w:r>
      <w:r>
        <w:rPr>
          <w:spacing w:val="-4"/>
          <w:sz w:val="22"/>
        </w:rPr>
        <w:t> </w:t>
      </w:r>
      <w:r>
        <w:rPr>
          <w:sz w:val="22"/>
        </w:rPr>
        <w:t>TUSSAM</w:t>
      </w:r>
      <w:r>
        <w:rPr>
          <w:spacing w:val="-3"/>
          <w:sz w:val="22"/>
        </w:rPr>
        <w:t> </w:t>
      </w:r>
      <w:r>
        <w:rPr>
          <w:sz w:val="22"/>
        </w:rPr>
        <w:t>(BOP</w:t>
      </w:r>
      <w:r>
        <w:rPr>
          <w:spacing w:val="-4"/>
          <w:sz w:val="22"/>
        </w:rPr>
        <w:t> </w:t>
      </w:r>
      <w:r>
        <w:rPr>
          <w:sz w:val="22"/>
        </w:rPr>
        <w:t>de</w:t>
      </w:r>
      <w:r>
        <w:rPr>
          <w:spacing w:val="-6"/>
          <w:sz w:val="22"/>
        </w:rPr>
        <w:t> </w:t>
      </w:r>
      <w:r>
        <w:rPr>
          <w:sz w:val="22"/>
        </w:rPr>
        <w:t>4</w:t>
      </w:r>
      <w:r>
        <w:rPr>
          <w:spacing w:val="-6"/>
          <w:sz w:val="22"/>
        </w:rPr>
        <w:t> </w:t>
      </w:r>
      <w:r>
        <w:rPr>
          <w:sz w:val="22"/>
        </w:rPr>
        <w:t>de</w:t>
      </w:r>
      <w:r>
        <w:rPr>
          <w:spacing w:val="-4"/>
          <w:sz w:val="22"/>
        </w:rPr>
        <w:t> </w:t>
      </w:r>
      <w:r>
        <w:rPr>
          <w:sz w:val="22"/>
        </w:rPr>
        <w:t>agosto</w:t>
      </w:r>
      <w:r>
        <w:rPr>
          <w:spacing w:val="-6"/>
          <w:sz w:val="22"/>
        </w:rPr>
        <w:t> </w:t>
      </w:r>
      <w:r>
        <w:rPr>
          <w:sz w:val="22"/>
        </w:rPr>
        <w:t>de</w:t>
      </w:r>
      <w:r>
        <w:rPr>
          <w:spacing w:val="-3"/>
          <w:sz w:val="22"/>
        </w:rPr>
        <w:t> </w:t>
      </w:r>
      <w:r>
        <w:rPr>
          <w:spacing w:val="-2"/>
          <w:sz w:val="22"/>
        </w:rPr>
        <w:t>2014).</w:t>
      </w:r>
    </w:p>
    <w:p>
      <w:pPr>
        <w:pStyle w:val="Heading5"/>
        <w:spacing w:before="198"/>
        <w:ind w:left="992"/>
      </w:pPr>
      <w:r>
        <w:rPr>
          <w:spacing w:val="-2"/>
        </w:rPr>
        <w:t>Zaragoza</w:t>
      </w:r>
    </w:p>
    <w:p>
      <w:pPr>
        <w:pStyle w:val="ListParagraph"/>
        <w:numPr>
          <w:ilvl w:val="1"/>
          <w:numId w:val="10"/>
        </w:numPr>
        <w:tabs>
          <w:tab w:pos="1712" w:val="left" w:leader="none"/>
        </w:tabs>
        <w:spacing w:line="278" w:lineRule="auto" w:before="180" w:after="0"/>
        <w:ind w:left="1712" w:right="996" w:hanging="360"/>
        <w:jc w:val="both"/>
        <w:rPr>
          <w:sz w:val="22"/>
        </w:rPr>
      </w:pPr>
      <w:r>
        <w:rPr>
          <w:sz w:val="22"/>
        </w:rPr>
        <w:t>Ordenanza</w:t>
      </w:r>
      <w:r>
        <w:rPr>
          <w:spacing w:val="-2"/>
          <w:sz w:val="22"/>
        </w:rPr>
        <w:t> </w:t>
      </w:r>
      <w:r>
        <w:rPr>
          <w:sz w:val="22"/>
        </w:rPr>
        <w:t>Municipal de Zona de Bajas Emisiones, aprobada por el</w:t>
      </w:r>
      <w:r>
        <w:rPr>
          <w:spacing w:val="-1"/>
          <w:sz w:val="22"/>
        </w:rPr>
        <w:t> </w:t>
      </w:r>
      <w:r>
        <w:rPr>
          <w:sz w:val="22"/>
        </w:rPr>
        <w:t>Gobierno de Zaragoza el 19 de julio de 2024 (BOPZ nº 192 de 21 de agosto de 2024).</w:t>
      </w:r>
    </w:p>
    <w:p>
      <w:pPr>
        <w:pStyle w:val="ListParagraph"/>
        <w:numPr>
          <w:ilvl w:val="1"/>
          <w:numId w:val="10"/>
        </w:numPr>
        <w:tabs>
          <w:tab w:pos="1712" w:val="left" w:leader="none"/>
        </w:tabs>
        <w:spacing w:line="278" w:lineRule="auto" w:before="0" w:after="0"/>
        <w:ind w:left="1712" w:right="994" w:hanging="360"/>
        <w:jc w:val="both"/>
        <w:rPr>
          <w:sz w:val="22"/>
        </w:rPr>
      </w:pPr>
      <w:r>
        <w:rPr>
          <w:sz w:val="22"/>
        </w:rPr>
        <w:t>Ordenanza de accesibilidad del municipio de Zaragoza, aprobada por el Pleno de 29 de marzo de 2023.</w:t>
      </w:r>
    </w:p>
    <w:p>
      <w:pPr>
        <w:pStyle w:val="ListParagraph"/>
        <w:numPr>
          <w:ilvl w:val="1"/>
          <w:numId w:val="10"/>
        </w:numPr>
        <w:tabs>
          <w:tab w:pos="1712" w:val="left" w:leader="none"/>
        </w:tabs>
        <w:spacing w:line="278" w:lineRule="auto" w:before="0" w:after="0"/>
        <w:ind w:left="1712" w:right="990" w:hanging="360"/>
        <w:jc w:val="both"/>
        <w:rPr>
          <w:sz w:val="22"/>
        </w:rPr>
      </w:pPr>
      <w:r>
        <w:rPr>
          <w:sz w:val="22"/>
        </w:rPr>
        <w:t>Reglamento</w:t>
      </w:r>
      <w:r>
        <w:rPr>
          <w:spacing w:val="-6"/>
          <w:sz w:val="22"/>
        </w:rPr>
        <w:t> </w:t>
      </w:r>
      <w:r>
        <w:rPr>
          <w:sz w:val="22"/>
        </w:rPr>
        <w:t>del</w:t>
      </w:r>
      <w:r>
        <w:rPr>
          <w:spacing w:val="-7"/>
          <w:sz w:val="22"/>
        </w:rPr>
        <w:t> </w:t>
      </w:r>
      <w:r>
        <w:rPr>
          <w:sz w:val="22"/>
        </w:rPr>
        <w:t>servicio</w:t>
      </w:r>
      <w:r>
        <w:rPr>
          <w:spacing w:val="-6"/>
          <w:sz w:val="22"/>
        </w:rPr>
        <w:t> </w:t>
      </w:r>
      <w:r>
        <w:rPr>
          <w:sz w:val="22"/>
        </w:rPr>
        <w:t>público</w:t>
      </w:r>
      <w:r>
        <w:rPr>
          <w:spacing w:val="-6"/>
          <w:sz w:val="22"/>
        </w:rPr>
        <w:t> </w:t>
      </w:r>
      <w:r>
        <w:rPr>
          <w:sz w:val="22"/>
        </w:rPr>
        <w:t>de</w:t>
      </w:r>
      <w:r>
        <w:rPr>
          <w:spacing w:val="-7"/>
          <w:sz w:val="22"/>
        </w:rPr>
        <w:t> </w:t>
      </w:r>
      <w:r>
        <w:rPr>
          <w:sz w:val="22"/>
        </w:rPr>
        <w:t>transporte</w:t>
      </w:r>
      <w:r>
        <w:rPr>
          <w:spacing w:val="-9"/>
          <w:sz w:val="22"/>
        </w:rPr>
        <w:t> </w:t>
      </w:r>
      <w:r>
        <w:rPr>
          <w:sz w:val="22"/>
        </w:rPr>
        <w:t>urbano</w:t>
      </w:r>
      <w:r>
        <w:rPr>
          <w:spacing w:val="-6"/>
          <w:sz w:val="22"/>
        </w:rPr>
        <w:t> </w:t>
      </w:r>
      <w:r>
        <w:rPr>
          <w:sz w:val="22"/>
        </w:rPr>
        <w:t>de</w:t>
      </w:r>
      <w:r>
        <w:rPr>
          <w:spacing w:val="-7"/>
          <w:sz w:val="22"/>
        </w:rPr>
        <w:t> </w:t>
      </w:r>
      <w:r>
        <w:rPr>
          <w:sz w:val="22"/>
        </w:rPr>
        <w:t>viajeros</w:t>
      </w:r>
      <w:r>
        <w:rPr>
          <w:spacing w:val="-6"/>
          <w:sz w:val="22"/>
        </w:rPr>
        <w:t> </w:t>
      </w:r>
      <w:r>
        <w:rPr>
          <w:sz w:val="22"/>
        </w:rPr>
        <w:t>en</w:t>
      </w:r>
      <w:r>
        <w:rPr>
          <w:spacing w:val="-9"/>
          <w:sz w:val="22"/>
        </w:rPr>
        <w:t> </w:t>
      </w:r>
      <w:r>
        <w:rPr>
          <w:sz w:val="22"/>
        </w:rPr>
        <w:t>tranvía</w:t>
      </w:r>
      <w:r>
        <w:rPr>
          <w:spacing w:val="-6"/>
          <w:sz w:val="22"/>
        </w:rPr>
        <w:t> </w:t>
      </w:r>
      <w:r>
        <w:rPr>
          <w:sz w:val="22"/>
        </w:rPr>
        <w:t>en</w:t>
      </w:r>
      <w:r>
        <w:rPr>
          <w:spacing w:val="-7"/>
          <w:sz w:val="22"/>
        </w:rPr>
        <w:t> </w:t>
      </w:r>
      <w:r>
        <w:rPr>
          <w:sz w:val="22"/>
        </w:rPr>
        <w:t>la</w:t>
      </w:r>
      <w:r>
        <w:rPr>
          <w:spacing w:val="-6"/>
          <w:sz w:val="22"/>
        </w:rPr>
        <w:t> </w:t>
      </w:r>
      <w:r>
        <w:rPr>
          <w:sz w:val="22"/>
        </w:rPr>
        <w:t>Ciudad</w:t>
      </w:r>
      <w:r>
        <w:rPr>
          <w:spacing w:val="-7"/>
          <w:sz w:val="22"/>
        </w:rPr>
        <w:t> </w:t>
      </w:r>
      <w:r>
        <w:rPr>
          <w:sz w:val="22"/>
        </w:rPr>
        <w:t>de Zaragoza, aprobado por el Pleno el 23 de diciembre de 2011 (BOPZ nº 5</w:t>
      </w:r>
      <w:r>
        <w:rPr>
          <w:spacing w:val="-1"/>
          <w:sz w:val="22"/>
        </w:rPr>
        <w:t> </w:t>
      </w:r>
      <w:r>
        <w:rPr>
          <w:sz w:val="22"/>
        </w:rPr>
        <w:t>de 9 de enero de </w:t>
      </w:r>
      <w:r>
        <w:rPr>
          <w:spacing w:val="-2"/>
          <w:sz w:val="22"/>
        </w:rPr>
        <w:t>2012).</w:t>
      </w:r>
    </w:p>
    <w:p>
      <w:pPr>
        <w:pStyle w:val="ListParagraph"/>
        <w:numPr>
          <w:ilvl w:val="1"/>
          <w:numId w:val="10"/>
        </w:numPr>
        <w:tabs>
          <w:tab w:pos="1712" w:val="left" w:leader="none"/>
        </w:tabs>
        <w:spacing w:line="278" w:lineRule="auto" w:before="0" w:after="0"/>
        <w:ind w:left="1712" w:right="991" w:hanging="360"/>
        <w:jc w:val="both"/>
        <w:rPr>
          <w:sz w:val="22"/>
        </w:rPr>
      </w:pPr>
      <w:r>
        <w:rPr>
          <w:sz w:val="22"/>
        </w:rPr>
        <w:t>Reglamento del servicio público de transporte urbano de viajeros por autobús en la Ciudad de</w:t>
      </w:r>
      <w:r>
        <w:rPr>
          <w:spacing w:val="-2"/>
          <w:sz w:val="22"/>
        </w:rPr>
        <w:t> </w:t>
      </w:r>
      <w:r>
        <w:rPr>
          <w:sz w:val="22"/>
        </w:rPr>
        <w:t>Zaragoza, aprobado</w:t>
      </w:r>
      <w:r>
        <w:rPr>
          <w:spacing w:val="-3"/>
          <w:sz w:val="22"/>
        </w:rPr>
        <w:t> </w:t>
      </w:r>
      <w:r>
        <w:rPr>
          <w:sz w:val="22"/>
        </w:rPr>
        <w:t>por</w:t>
      </w:r>
      <w:r>
        <w:rPr>
          <w:spacing w:val="-1"/>
          <w:sz w:val="22"/>
        </w:rPr>
        <w:t> </w:t>
      </w:r>
      <w:r>
        <w:rPr>
          <w:sz w:val="22"/>
        </w:rPr>
        <w:t>el</w:t>
      </w:r>
      <w:r>
        <w:rPr>
          <w:spacing w:val="-2"/>
          <w:sz w:val="22"/>
        </w:rPr>
        <w:t> </w:t>
      </w:r>
      <w:r>
        <w:rPr>
          <w:sz w:val="22"/>
        </w:rPr>
        <w:t>Pleno</w:t>
      </w:r>
      <w:r>
        <w:rPr>
          <w:spacing w:val="-2"/>
          <w:sz w:val="22"/>
        </w:rPr>
        <w:t> </w:t>
      </w:r>
      <w:r>
        <w:rPr>
          <w:sz w:val="22"/>
        </w:rPr>
        <w:t>el</w:t>
      </w:r>
      <w:r>
        <w:rPr>
          <w:spacing w:val="-2"/>
          <w:sz w:val="22"/>
        </w:rPr>
        <w:t> </w:t>
      </w:r>
      <w:r>
        <w:rPr>
          <w:sz w:val="22"/>
        </w:rPr>
        <w:t>28</w:t>
      </w:r>
      <w:r>
        <w:rPr>
          <w:spacing w:val="-2"/>
          <w:sz w:val="22"/>
        </w:rPr>
        <w:t> </w:t>
      </w:r>
      <w:r>
        <w:rPr>
          <w:sz w:val="22"/>
        </w:rPr>
        <w:t>de</w:t>
      </w:r>
      <w:r>
        <w:rPr>
          <w:spacing w:val="-3"/>
          <w:sz w:val="22"/>
        </w:rPr>
        <w:t> </w:t>
      </w:r>
      <w:r>
        <w:rPr>
          <w:sz w:val="22"/>
        </w:rPr>
        <w:t>junio</w:t>
      </w:r>
      <w:r>
        <w:rPr>
          <w:spacing w:val="-2"/>
          <w:sz w:val="22"/>
        </w:rPr>
        <w:t> </w:t>
      </w:r>
      <w:r>
        <w:rPr>
          <w:sz w:val="22"/>
        </w:rPr>
        <w:t>de</w:t>
      </w:r>
      <w:r>
        <w:rPr>
          <w:spacing w:val="-2"/>
          <w:sz w:val="22"/>
        </w:rPr>
        <w:t> </w:t>
      </w:r>
      <w:r>
        <w:rPr>
          <w:sz w:val="22"/>
        </w:rPr>
        <w:t>2013</w:t>
      </w:r>
      <w:r>
        <w:rPr>
          <w:spacing w:val="-3"/>
          <w:sz w:val="22"/>
        </w:rPr>
        <w:t> </w:t>
      </w:r>
      <w:r>
        <w:rPr>
          <w:sz w:val="22"/>
        </w:rPr>
        <w:t>(BOPZ</w:t>
      </w:r>
      <w:r>
        <w:rPr>
          <w:spacing w:val="-3"/>
          <w:sz w:val="22"/>
        </w:rPr>
        <w:t> </w:t>
      </w:r>
      <w:r>
        <w:rPr>
          <w:sz w:val="22"/>
        </w:rPr>
        <w:t>nº</w:t>
      </w:r>
      <w:r>
        <w:rPr>
          <w:spacing w:val="-1"/>
          <w:sz w:val="22"/>
        </w:rPr>
        <w:t> </w:t>
      </w:r>
      <w:r>
        <w:rPr>
          <w:sz w:val="22"/>
        </w:rPr>
        <w:t>160, de</w:t>
      </w:r>
      <w:r>
        <w:rPr>
          <w:spacing w:val="-2"/>
          <w:sz w:val="22"/>
        </w:rPr>
        <w:t> </w:t>
      </w:r>
      <w:r>
        <w:rPr>
          <w:sz w:val="22"/>
        </w:rPr>
        <w:t>15</w:t>
      </w:r>
      <w:r>
        <w:rPr>
          <w:spacing w:val="-3"/>
          <w:sz w:val="22"/>
        </w:rPr>
        <w:t> </w:t>
      </w:r>
      <w:r>
        <w:rPr>
          <w:sz w:val="22"/>
        </w:rPr>
        <w:t>de</w:t>
      </w:r>
      <w:r>
        <w:rPr>
          <w:spacing w:val="-3"/>
          <w:sz w:val="22"/>
        </w:rPr>
        <w:t> </w:t>
      </w:r>
      <w:r>
        <w:rPr>
          <w:sz w:val="22"/>
        </w:rPr>
        <w:t>julio</w:t>
      </w:r>
      <w:r>
        <w:rPr>
          <w:spacing w:val="-2"/>
          <w:sz w:val="22"/>
        </w:rPr>
        <w:t> </w:t>
      </w:r>
      <w:r>
        <w:rPr>
          <w:sz w:val="22"/>
        </w:rPr>
        <w:t>de </w:t>
      </w:r>
      <w:r>
        <w:rPr>
          <w:spacing w:val="-2"/>
          <w:sz w:val="22"/>
        </w:rPr>
        <w:t>2013).</w:t>
      </w:r>
    </w:p>
    <w:p>
      <w:pPr>
        <w:pStyle w:val="ListParagraph"/>
        <w:spacing w:after="0" w:line="278" w:lineRule="auto"/>
        <w:jc w:val="both"/>
        <w:rPr>
          <w:sz w:val="22"/>
        </w:rPr>
        <w:sectPr>
          <w:pgSz w:w="11910" w:h="16840"/>
          <w:pgMar w:header="1270" w:footer="683" w:top="3240" w:bottom="880" w:left="141" w:right="141"/>
        </w:sectPr>
      </w:pPr>
    </w:p>
    <w:p>
      <w:pPr>
        <w:pStyle w:val="BodyText"/>
        <w:spacing w:before="228"/>
      </w:pPr>
    </w:p>
    <w:p>
      <w:pPr>
        <w:pStyle w:val="ListParagraph"/>
        <w:numPr>
          <w:ilvl w:val="1"/>
          <w:numId w:val="10"/>
        </w:numPr>
        <w:tabs>
          <w:tab w:pos="1712" w:val="left" w:leader="none"/>
        </w:tabs>
        <w:spacing w:line="278" w:lineRule="auto" w:before="0" w:after="0"/>
        <w:ind w:left="1712" w:right="989" w:hanging="360"/>
        <w:jc w:val="both"/>
        <w:rPr>
          <w:sz w:val="22"/>
        </w:rPr>
      </w:pPr>
      <w:r>
        <w:rPr>
          <w:sz w:val="22"/>
        </w:rPr>
        <w:t>Ordenanza</w:t>
      </w:r>
      <w:r>
        <w:rPr>
          <w:spacing w:val="-12"/>
          <w:sz w:val="22"/>
        </w:rPr>
        <w:t> </w:t>
      </w:r>
      <w:r>
        <w:rPr>
          <w:sz w:val="22"/>
        </w:rPr>
        <w:t>municipal</w:t>
      </w:r>
      <w:r>
        <w:rPr>
          <w:spacing w:val="-7"/>
          <w:sz w:val="22"/>
        </w:rPr>
        <w:t> </w:t>
      </w:r>
      <w:r>
        <w:rPr>
          <w:sz w:val="22"/>
        </w:rPr>
        <w:t>para</w:t>
      </w:r>
      <w:r>
        <w:rPr>
          <w:spacing w:val="-6"/>
          <w:sz w:val="22"/>
        </w:rPr>
        <w:t> </w:t>
      </w:r>
      <w:r>
        <w:rPr>
          <w:sz w:val="22"/>
        </w:rPr>
        <w:t>eliminación</w:t>
      </w:r>
      <w:r>
        <w:rPr>
          <w:spacing w:val="-7"/>
          <w:sz w:val="22"/>
        </w:rPr>
        <w:t> </w:t>
      </w:r>
      <w:r>
        <w:rPr>
          <w:sz w:val="22"/>
        </w:rPr>
        <w:t>de</w:t>
      </w:r>
      <w:r>
        <w:rPr>
          <w:spacing w:val="-9"/>
          <w:sz w:val="22"/>
        </w:rPr>
        <w:t> </w:t>
      </w:r>
      <w:r>
        <w:rPr>
          <w:sz w:val="22"/>
        </w:rPr>
        <w:t>barreras</w:t>
      </w:r>
      <w:r>
        <w:rPr>
          <w:spacing w:val="-8"/>
          <w:sz w:val="22"/>
        </w:rPr>
        <w:t> </w:t>
      </w:r>
      <w:r>
        <w:rPr>
          <w:sz w:val="22"/>
        </w:rPr>
        <w:t>de</w:t>
      </w:r>
      <w:r>
        <w:rPr>
          <w:spacing w:val="-9"/>
          <w:sz w:val="22"/>
        </w:rPr>
        <w:t> </w:t>
      </w:r>
      <w:r>
        <w:rPr>
          <w:sz w:val="22"/>
        </w:rPr>
        <w:t>la</w:t>
      </w:r>
      <w:r>
        <w:rPr>
          <w:spacing w:val="-6"/>
          <w:sz w:val="22"/>
        </w:rPr>
        <w:t> </w:t>
      </w:r>
      <w:r>
        <w:rPr>
          <w:sz w:val="22"/>
        </w:rPr>
        <w:t>comunicación</w:t>
      </w:r>
      <w:r>
        <w:rPr>
          <w:spacing w:val="-7"/>
          <w:sz w:val="22"/>
        </w:rPr>
        <w:t> </w:t>
      </w:r>
      <w:r>
        <w:rPr>
          <w:sz w:val="22"/>
        </w:rPr>
        <w:t>y</w:t>
      </w:r>
      <w:r>
        <w:rPr>
          <w:spacing w:val="-8"/>
          <w:sz w:val="22"/>
        </w:rPr>
        <w:t> </w:t>
      </w:r>
      <w:r>
        <w:rPr>
          <w:sz w:val="22"/>
        </w:rPr>
        <w:t>del</w:t>
      </w:r>
      <w:r>
        <w:rPr>
          <w:spacing w:val="-9"/>
          <w:sz w:val="22"/>
        </w:rPr>
        <w:t> </w:t>
      </w:r>
      <w:r>
        <w:rPr>
          <w:sz w:val="22"/>
        </w:rPr>
        <w:t>transporte</w:t>
      </w:r>
      <w:r>
        <w:rPr>
          <w:spacing w:val="-9"/>
          <w:sz w:val="22"/>
        </w:rPr>
        <w:t> </w:t>
      </w:r>
      <w:r>
        <w:rPr>
          <w:sz w:val="22"/>
        </w:rPr>
        <w:t>en</w:t>
      </w:r>
      <w:r>
        <w:rPr>
          <w:spacing w:val="-9"/>
          <w:sz w:val="22"/>
        </w:rPr>
        <w:t> </w:t>
      </w:r>
      <w:r>
        <w:rPr>
          <w:sz w:val="22"/>
        </w:rPr>
        <w:t>el municipio de Zaragoza, aprobada por</w:t>
      </w:r>
      <w:r>
        <w:rPr>
          <w:spacing w:val="-1"/>
          <w:sz w:val="22"/>
        </w:rPr>
        <w:t> </w:t>
      </w:r>
      <w:r>
        <w:rPr>
          <w:sz w:val="22"/>
        </w:rPr>
        <w:t>el</w:t>
      </w:r>
      <w:r>
        <w:rPr>
          <w:spacing w:val="-1"/>
          <w:sz w:val="22"/>
        </w:rPr>
        <w:t> </w:t>
      </w:r>
      <w:r>
        <w:rPr>
          <w:sz w:val="22"/>
        </w:rPr>
        <w:t>Pleno el</w:t>
      </w:r>
      <w:r>
        <w:rPr>
          <w:spacing w:val="-3"/>
          <w:sz w:val="22"/>
        </w:rPr>
        <w:t> </w:t>
      </w:r>
      <w:r>
        <w:rPr>
          <w:sz w:val="22"/>
        </w:rPr>
        <w:t>28</w:t>
      </w:r>
      <w:r>
        <w:rPr>
          <w:spacing w:val="-2"/>
          <w:sz w:val="22"/>
        </w:rPr>
        <w:t> </w:t>
      </w:r>
      <w:r>
        <w:rPr>
          <w:sz w:val="22"/>
        </w:rPr>
        <w:t>de</w:t>
      </w:r>
      <w:r>
        <w:rPr>
          <w:spacing w:val="-2"/>
          <w:sz w:val="22"/>
        </w:rPr>
        <w:t> </w:t>
      </w:r>
      <w:r>
        <w:rPr>
          <w:sz w:val="22"/>
        </w:rPr>
        <w:t>febrero</w:t>
      </w:r>
      <w:r>
        <w:rPr>
          <w:spacing w:val="-2"/>
          <w:sz w:val="22"/>
        </w:rPr>
        <w:t> </w:t>
      </w:r>
      <w:r>
        <w:rPr>
          <w:sz w:val="22"/>
        </w:rPr>
        <w:t>de 2022</w:t>
      </w:r>
      <w:r>
        <w:rPr>
          <w:spacing w:val="-4"/>
          <w:sz w:val="22"/>
        </w:rPr>
        <w:t> </w:t>
      </w:r>
      <w:r>
        <w:rPr>
          <w:sz w:val="22"/>
        </w:rPr>
        <w:t>(BOPZ nº 64</w:t>
      </w:r>
      <w:r>
        <w:rPr>
          <w:spacing w:val="-2"/>
          <w:sz w:val="22"/>
        </w:rPr>
        <w:t> </w:t>
      </w:r>
      <w:r>
        <w:rPr>
          <w:sz w:val="22"/>
        </w:rPr>
        <w:t>de</w:t>
      </w:r>
      <w:r>
        <w:rPr>
          <w:spacing w:val="-2"/>
          <w:sz w:val="22"/>
        </w:rPr>
        <w:t> </w:t>
      </w:r>
      <w:r>
        <w:rPr>
          <w:sz w:val="22"/>
        </w:rPr>
        <w:t>16 de marzo de 2022).</w:t>
      </w:r>
    </w:p>
    <w:p>
      <w:pPr>
        <w:pStyle w:val="ListParagraph"/>
        <w:spacing w:after="0" w:line="278" w:lineRule="auto"/>
        <w:jc w:val="both"/>
        <w:rPr>
          <w:sz w:val="22"/>
        </w:rPr>
        <w:sectPr>
          <w:headerReference w:type="default" r:id="rId81"/>
          <w:headerReference w:type="even" r:id="rId82"/>
          <w:footerReference w:type="default" r:id="rId83"/>
          <w:footerReference w:type="even" r:id="rId84"/>
          <w:pgSz w:w="11910" w:h="16840"/>
          <w:pgMar w:header="1270" w:footer="683" w:top="2800" w:bottom="880" w:left="141" w:right="141"/>
          <w:pgNumType w:start="113"/>
        </w:sectPr>
      </w:pPr>
    </w:p>
    <w:p>
      <w:pPr>
        <w:pStyle w:val="BodyText"/>
        <w:spacing w:before="245"/>
      </w:pPr>
    </w:p>
    <w:p>
      <w:pPr>
        <w:pStyle w:val="Heading4"/>
      </w:pPr>
      <w:bookmarkStart w:name="_bookmark128" w:id="130"/>
      <w:bookmarkEnd w:id="130"/>
      <w:r>
        <w:rPr>
          <w:b w:val="0"/>
        </w:rPr>
      </w:r>
      <w:bookmarkStart w:name="_bookmark129" w:id="131"/>
      <w:bookmarkEnd w:id="131"/>
      <w:r>
        <w:rPr>
          <w:b w:val="0"/>
        </w:rPr>
      </w:r>
      <w:r>
        <w:rPr/>
        <w:t>CUMPLIMIENTO</w:t>
      </w:r>
      <w:r>
        <w:rPr>
          <w:spacing w:val="-9"/>
        </w:rPr>
        <w:t> </w:t>
      </w:r>
      <w:r>
        <w:rPr/>
        <w:t>DE</w:t>
      </w:r>
      <w:r>
        <w:rPr>
          <w:spacing w:val="-5"/>
        </w:rPr>
        <w:t> </w:t>
      </w:r>
      <w:r>
        <w:rPr/>
        <w:t>LAS</w:t>
      </w:r>
      <w:r>
        <w:rPr>
          <w:spacing w:val="-5"/>
        </w:rPr>
        <w:t> </w:t>
      </w:r>
      <w:r>
        <w:rPr/>
        <w:t>OBLIGACIONES</w:t>
      </w:r>
      <w:r>
        <w:rPr>
          <w:spacing w:val="-6"/>
        </w:rPr>
        <w:t> </w:t>
      </w:r>
      <w:r>
        <w:rPr/>
        <w:t>CON</w:t>
      </w:r>
      <w:r>
        <w:rPr>
          <w:spacing w:val="-5"/>
        </w:rPr>
        <w:t> </w:t>
      </w:r>
      <w:r>
        <w:rPr/>
        <w:t>EL</w:t>
      </w:r>
      <w:r>
        <w:rPr>
          <w:spacing w:val="-7"/>
        </w:rPr>
        <w:t> </w:t>
      </w:r>
      <w:r>
        <w:rPr/>
        <w:t>TRIBUNAL</w:t>
      </w:r>
      <w:r>
        <w:rPr>
          <w:spacing w:val="-7"/>
        </w:rPr>
        <w:t> </w:t>
      </w:r>
      <w:r>
        <w:rPr/>
        <w:t>DE</w:t>
      </w:r>
      <w:r>
        <w:rPr>
          <w:spacing w:val="-5"/>
        </w:rPr>
        <w:t> </w:t>
      </w:r>
      <w:r>
        <w:rPr>
          <w:spacing w:val="-2"/>
        </w:rPr>
        <w:t>CUENTAS</w:t>
      </w:r>
    </w:p>
    <w:p>
      <w:pPr>
        <w:pStyle w:val="BodyText"/>
        <w:spacing w:before="239"/>
        <w:ind w:left="992" w:right="988"/>
        <w:jc w:val="both"/>
      </w:pPr>
      <w:r>
        <w:rPr/>
        <w:t>Las entidades locales deben rendir la cuenta general del ejercicio anterior al Tribunal de Cuentas antes del 15 de octubre, conforme a lo establecido en el TRLRHL. Dicha cuenta debe ajustarse al contenido y formato definidos por el Ministerio de Hacienda y el Tribunal de Cuentas, excepto las entidades locales del País Vasco y Navarra, que tienen normativa propia y no están sometidas a las</w:t>
      </w:r>
      <w:r>
        <w:rPr>
          <w:spacing w:val="-3"/>
        </w:rPr>
        <w:t> </w:t>
      </w:r>
      <w:r>
        <w:rPr/>
        <w:t>Instrucciones</w:t>
      </w:r>
      <w:r>
        <w:rPr>
          <w:spacing w:val="-3"/>
        </w:rPr>
        <w:t> </w:t>
      </w:r>
      <w:r>
        <w:rPr/>
        <w:t>de</w:t>
      </w:r>
      <w:r>
        <w:rPr>
          <w:spacing w:val="-5"/>
        </w:rPr>
        <w:t> </w:t>
      </w:r>
      <w:r>
        <w:rPr/>
        <w:t>Contabilidad</w:t>
      </w:r>
      <w:r>
        <w:rPr>
          <w:spacing w:val="-3"/>
        </w:rPr>
        <w:t> </w:t>
      </w:r>
      <w:r>
        <w:rPr/>
        <w:t>para</w:t>
      </w:r>
      <w:r>
        <w:rPr>
          <w:spacing w:val="-5"/>
        </w:rPr>
        <w:t> </w:t>
      </w:r>
      <w:r>
        <w:rPr/>
        <w:t>la</w:t>
      </w:r>
      <w:r>
        <w:rPr>
          <w:spacing w:val="-3"/>
        </w:rPr>
        <w:t> </w:t>
      </w:r>
      <w:r>
        <w:rPr/>
        <w:t>Administración</w:t>
      </w:r>
      <w:r>
        <w:rPr>
          <w:spacing w:val="-3"/>
        </w:rPr>
        <w:t> </w:t>
      </w:r>
      <w:r>
        <w:rPr/>
        <w:t>Local.</w:t>
      </w:r>
      <w:r>
        <w:rPr>
          <w:spacing w:val="-1"/>
        </w:rPr>
        <w:t> </w:t>
      </w:r>
      <w:r>
        <w:rPr/>
        <w:t>Asimismo,</w:t>
      </w:r>
      <w:r>
        <w:rPr>
          <w:spacing w:val="-6"/>
        </w:rPr>
        <w:t> </w:t>
      </w:r>
      <w:r>
        <w:rPr/>
        <w:t>están</w:t>
      </w:r>
      <w:r>
        <w:rPr>
          <w:spacing w:val="-5"/>
        </w:rPr>
        <w:t> </w:t>
      </w:r>
      <w:r>
        <w:rPr/>
        <w:t>obligadas</w:t>
      </w:r>
      <w:r>
        <w:rPr>
          <w:spacing w:val="-1"/>
        </w:rPr>
        <w:t> </w:t>
      </w:r>
      <w:r>
        <w:rPr/>
        <w:t>a</w:t>
      </w:r>
      <w:r>
        <w:rPr>
          <w:spacing w:val="-5"/>
        </w:rPr>
        <w:t> </w:t>
      </w:r>
      <w:r>
        <w:rPr/>
        <w:t>remitir determinada</w:t>
      </w:r>
      <w:r>
        <w:rPr>
          <w:spacing w:val="-16"/>
        </w:rPr>
        <w:t> </w:t>
      </w:r>
      <w:r>
        <w:rPr/>
        <w:t>documentación</w:t>
      </w:r>
      <w:r>
        <w:rPr>
          <w:spacing w:val="-15"/>
        </w:rPr>
        <w:t> </w:t>
      </w:r>
      <w:r>
        <w:rPr/>
        <w:t>contractual,</w:t>
      </w:r>
      <w:r>
        <w:rPr>
          <w:spacing w:val="-15"/>
        </w:rPr>
        <w:t> </w:t>
      </w:r>
      <w:r>
        <w:rPr/>
        <w:t>de</w:t>
      </w:r>
      <w:r>
        <w:rPr>
          <w:spacing w:val="-16"/>
        </w:rPr>
        <w:t> </w:t>
      </w:r>
      <w:r>
        <w:rPr/>
        <w:t>convenios</w:t>
      </w:r>
      <w:r>
        <w:rPr>
          <w:spacing w:val="-15"/>
        </w:rPr>
        <w:t> </w:t>
      </w:r>
      <w:r>
        <w:rPr/>
        <w:t>y</w:t>
      </w:r>
      <w:r>
        <w:rPr>
          <w:spacing w:val="-15"/>
        </w:rPr>
        <w:t> </w:t>
      </w:r>
      <w:r>
        <w:rPr/>
        <w:t>de</w:t>
      </w:r>
      <w:r>
        <w:rPr>
          <w:spacing w:val="-15"/>
        </w:rPr>
        <w:t> </w:t>
      </w:r>
      <w:r>
        <w:rPr/>
        <w:t>control</w:t>
      </w:r>
      <w:r>
        <w:rPr>
          <w:spacing w:val="-16"/>
        </w:rPr>
        <w:t> </w:t>
      </w:r>
      <w:r>
        <w:rPr/>
        <w:t>interno,</w:t>
      </w:r>
      <w:r>
        <w:rPr>
          <w:spacing w:val="-15"/>
        </w:rPr>
        <w:t> </w:t>
      </w:r>
      <w:r>
        <w:rPr/>
        <w:t>a</w:t>
      </w:r>
      <w:r>
        <w:rPr>
          <w:spacing w:val="-15"/>
        </w:rPr>
        <w:t> </w:t>
      </w:r>
      <w:r>
        <w:rPr/>
        <w:t>través</w:t>
      </w:r>
      <w:r>
        <w:rPr>
          <w:spacing w:val="-16"/>
        </w:rPr>
        <w:t> </w:t>
      </w:r>
      <w:r>
        <w:rPr/>
        <w:t>de</w:t>
      </w:r>
      <w:r>
        <w:rPr>
          <w:spacing w:val="-15"/>
        </w:rPr>
        <w:t> </w:t>
      </w:r>
      <w:r>
        <w:rPr/>
        <w:t>la</w:t>
      </w:r>
      <w:r>
        <w:rPr>
          <w:spacing w:val="-15"/>
        </w:rPr>
        <w:t> </w:t>
      </w:r>
      <w:r>
        <w:rPr/>
        <w:t>Plataforma de Rendición de Cuentas de las Entidades Locales, en los términos exigidos por las distintas disposiciones aplicables.</w:t>
      </w:r>
    </w:p>
    <w:p>
      <w:pPr>
        <w:pStyle w:val="BodyText"/>
        <w:spacing w:before="242"/>
        <w:ind w:left="992" w:right="988"/>
        <w:jc w:val="both"/>
      </w:pPr>
      <w:r>
        <w:rPr/>
        <w:t>El artículo 223.2 del TRLRHL establece</w:t>
      </w:r>
      <w:r>
        <w:rPr>
          <w:spacing w:val="-1"/>
        </w:rPr>
        <w:t> </w:t>
      </w:r>
      <w:r>
        <w:rPr/>
        <w:t>la obligación de las</w:t>
      </w:r>
      <w:r>
        <w:rPr>
          <w:spacing w:val="-1"/>
        </w:rPr>
        <w:t> </w:t>
      </w:r>
      <w:r>
        <w:rPr/>
        <w:t>entidades locales de</w:t>
      </w:r>
      <w:r>
        <w:rPr>
          <w:spacing w:val="-1"/>
        </w:rPr>
        <w:t> </w:t>
      </w:r>
      <w:r>
        <w:rPr/>
        <w:t>rendir al Tribunal de Cuentas, antes del 15 de octubre de cada año, la cuenta general correspondiente al ejercicio económico anterior.</w:t>
      </w:r>
    </w:p>
    <w:p>
      <w:pPr>
        <w:pStyle w:val="BodyText"/>
        <w:spacing w:before="240"/>
        <w:ind w:left="992" w:right="989"/>
        <w:jc w:val="both"/>
      </w:pPr>
      <w:r>
        <w:rPr/>
        <w:t>El artículo 335.1 de la LCSP establece la obligación de remitir una relación de los contratos celebrados incluyendo los contratos menores, excepto aquellos que siendo su importe inferior a cinco</w:t>
      </w:r>
      <w:r>
        <w:rPr>
          <w:spacing w:val="-6"/>
        </w:rPr>
        <w:t> </w:t>
      </w:r>
      <w:r>
        <w:rPr/>
        <w:t>mil</w:t>
      </w:r>
      <w:r>
        <w:rPr>
          <w:spacing w:val="-6"/>
        </w:rPr>
        <w:t> </w:t>
      </w:r>
      <w:r>
        <w:rPr/>
        <w:t>euros</w:t>
      </w:r>
      <w:r>
        <w:rPr>
          <w:spacing w:val="-8"/>
        </w:rPr>
        <w:t> </w:t>
      </w:r>
      <w:r>
        <w:rPr/>
        <w:t>se</w:t>
      </w:r>
      <w:r>
        <w:rPr>
          <w:spacing w:val="-8"/>
        </w:rPr>
        <w:t> </w:t>
      </w:r>
      <w:r>
        <w:rPr/>
        <w:t>satisfagan</w:t>
      </w:r>
      <w:r>
        <w:rPr>
          <w:spacing w:val="-5"/>
        </w:rPr>
        <w:t> </w:t>
      </w:r>
      <w:r>
        <w:rPr/>
        <w:t>a</w:t>
      </w:r>
      <w:r>
        <w:rPr>
          <w:spacing w:val="-8"/>
        </w:rPr>
        <w:t> </w:t>
      </w:r>
      <w:r>
        <w:rPr/>
        <w:t>través</w:t>
      </w:r>
      <w:r>
        <w:rPr>
          <w:spacing w:val="-7"/>
        </w:rPr>
        <w:t> </w:t>
      </w:r>
      <w:r>
        <w:rPr/>
        <w:t>del</w:t>
      </w:r>
      <w:r>
        <w:rPr>
          <w:spacing w:val="-6"/>
        </w:rPr>
        <w:t> </w:t>
      </w:r>
      <w:r>
        <w:rPr/>
        <w:t>sistema</w:t>
      </w:r>
      <w:r>
        <w:rPr>
          <w:spacing w:val="-10"/>
        </w:rPr>
        <w:t> </w:t>
      </w:r>
      <w:r>
        <w:rPr/>
        <w:t>de</w:t>
      </w:r>
      <w:r>
        <w:rPr>
          <w:spacing w:val="-6"/>
        </w:rPr>
        <w:t> </w:t>
      </w:r>
      <w:r>
        <w:rPr/>
        <w:t>anticipo</w:t>
      </w:r>
      <w:r>
        <w:rPr>
          <w:spacing w:val="-6"/>
        </w:rPr>
        <w:t> </w:t>
      </w:r>
      <w:r>
        <w:rPr/>
        <w:t>de</w:t>
      </w:r>
      <w:r>
        <w:rPr>
          <w:spacing w:val="-8"/>
        </w:rPr>
        <w:t> </w:t>
      </w:r>
      <w:r>
        <w:rPr/>
        <w:t>caja</w:t>
      </w:r>
      <w:r>
        <w:rPr>
          <w:spacing w:val="-8"/>
        </w:rPr>
        <w:t> </w:t>
      </w:r>
      <w:r>
        <w:rPr/>
        <w:t>fija</w:t>
      </w:r>
      <w:r>
        <w:rPr>
          <w:spacing w:val="-5"/>
        </w:rPr>
        <w:t> </w:t>
      </w:r>
      <w:r>
        <w:rPr/>
        <w:t>u</w:t>
      </w:r>
      <w:r>
        <w:rPr>
          <w:spacing w:val="-8"/>
        </w:rPr>
        <w:t> </w:t>
      </w:r>
      <w:r>
        <w:rPr/>
        <w:t>otro</w:t>
      </w:r>
      <w:r>
        <w:rPr>
          <w:spacing w:val="-8"/>
        </w:rPr>
        <w:t> </w:t>
      </w:r>
      <w:r>
        <w:rPr/>
        <w:t>sistema</w:t>
      </w:r>
      <w:r>
        <w:rPr>
          <w:spacing w:val="-5"/>
        </w:rPr>
        <w:t> </w:t>
      </w:r>
      <w:r>
        <w:rPr/>
        <w:t>similar</w:t>
      </w:r>
      <w:r>
        <w:rPr>
          <w:spacing w:val="-5"/>
        </w:rPr>
        <w:t> </w:t>
      </w:r>
      <w:r>
        <w:rPr/>
        <w:t>para realizar pagos</w:t>
      </w:r>
      <w:r>
        <w:rPr>
          <w:spacing w:val="-4"/>
        </w:rPr>
        <w:t> </w:t>
      </w:r>
      <w:r>
        <w:rPr/>
        <w:t>menores</w:t>
      </w:r>
      <w:r>
        <w:rPr>
          <w:b/>
        </w:rPr>
        <w:t>.</w:t>
      </w:r>
      <w:r>
        <w:rPr>
          <w:b/>
          <w:spacing w:val="-3"/>
        </w:rPr>
        <w:t> </w:t>
      </w:r>
      <w:r>
        <w:rPr/>
        <w:t>Dicha remisión ha</w:t>
      </w:r>
      <w:r>
        <w:rPr>
          <w:spacing w:val="-2"/>
        </w:rPr>
        <w:t> </w:t>
      </w:r>
      <w:r>
        <w:rPr/>
        <w:t>de</w:t>
      </w:r>
      <w:r>
        <w:rPr>
          <w:spacing w:val="-2"/>
        </w:rPr>
        <w:t> </w:t>
      </w:r>
      <w:r>
        <w:rPr/>
        <w:t>efectuarse</w:t>
      </w:r>
      <w:r>
        <w:rPr>
          <w:spacing w:val="-2"/>
        </w:rPr>
        <w:t> </w:t>
      </w:r>
      <w:r>
        <w:rPr/>
        <w:t>antes</w:t>
      </w:r>
      <w:r>
        <w:rPr>
          <w:spacing w:val="-2"/>
        </w:rPr>
        <w:t> </w:t>
      </w:r>
      <w:r>
        <w:rPr/>
        <w:t>de</w:t>
      </w:r>
      <w:r>
        <w:rPr>
          <w:spacing w:val="-2"/>
        </w:rPr>
        <w:t> </w:t>
      </w:r>
      <w:r>
        <w:rPr/>
        <w:t>que</w:t>
      </w:r>
      <w:r>
        <w:rPr>
          <w:spacing w:val="-2"/>
        </w:rPr>
        <w:t> </w:t>
      </w:r>
      <w:r>
        <w:rPr/>
        <w:t>concluya el</w:t>
      </w:r>
      <w:r>
        <w:rPr>
          <w:spacing w:val="-3"/>
        </w:rPr>
        <w:t> </w:t>
      </w:r>
      <w:r>
        <w:rPr/>
        <w:t>mes</w:t>
      </w:r>
      <w:r>
        <w:rPr>
          <w:spacing w:val="-2"/>
        </w:rPr>
        <w:t> </w:t>
      </w:r>
      <w:r>
        <w:rPr/>
        <w:t>de</w:t>
      </w:r>
      <w:r>
        <w:rPr>
          <w:spacing w:val="-2"/>
        </w:rPr>
        <w:t> </w:t>
      </w:r>
      <w:r>
        <w:rPr/>
        <w:t>febrero del ejercicio</w:t>
      </w:r>
      <w:r>
        <w:rPr>
          <w:spacing w:val="-2"/>
        </w:rPr>
        <w:t> </w:t>
      </w:r>
      <w:r>
        <w:rPr/>
        <w:t>siguiente. En el</w:t>
      </w:r>
      <w:r>
        <w:rPr>
          <w:spacing w:val="-1"/>
        </w:rPr>
        <w:t> </w:t>
      </w:r>
      <w:r>
        <w:rPr/>
        <w:t>supuesto de</w:t>
      </w:r>
      <w:r>
        <w:rPr>
          <w:spacing w:val="-2"/>
        </w:rPr>
        <w:t> </w:t>
      </w:r>
      <w:r>
        <w:rPr/>
        <w:t>que no</w:t>
      </w:r>
      <w:r>
        <w:rPr>
          <w:spacing w:val="-4"/>
        </w:rPr>
        <w:t> </w:t>
      </w:r>
      <w:r>
        <w:rPr/>
        <w:t>se hubiesen celebrado</w:t>
      </w:r>
      <w:r>
        <w:rPr>
          <w:spacing w:val="-2"/>
        </w:rPr>
        <w:t> </w:t>
      </w:r>
      <w:r>
        <w:rPr/>
        <w:t>contratos,</w:t>
      </w:r>
      <w:r>
        <w:rPr>
          <w:spacing w:val="-1"/>
        </w:rPr>
        <w:t> </w:t>
      </w:r>
      <w:r>
        <w:rPr/>
        <w:t>se hará</w:t>
      </w:r>
      <w:r>
        <w:rPr>
          <w:spacing w:val="-2"/>
        </w:rPr>
        <w:t> </w:t>
      </w:r>
      <w:r>
        <w:rPr/>
        <w:t>constar dicha circunstancia mediante una comunicación negativa.</w:t>
      </w:r>
    </w:p>
    <w:p>
      <w:pPr>
        <w:pStyle w:val="BodyText"/>
        <w:spacing w:before="239"/>
        <w:ind w:left="992" w:right="988"/>
        <w:jc w:val="both"/>
      </w:pPr>
      <w:r>
        <w:rPr/>
        <w:t>La Instrucción del Pleno del Tribunal de Cuentas relativa a la remisión telemática al Tribunal de Cuentas</w:t>
      </w:r>
      <w:r>
        <w:rPr>
          <w:spacing w:val="-16"/>
        </w:rPr>
        <w:t> </w:t>
      </w:r>
      <w:r>
        <w:rPr/>
        <w:t>de</w:t>
      </w:r>
      <w:r>
        <w:rPr>
          <w:spacing w:val="-15"/>
        </w:rPr>
        <w:t> </w:t>
      </w:r>
      <w:r>
        <w:rPr/>
        <w:t>convenios</w:t>
      </w:r>
      <w:r>
        <w:rPr>
          <w:spacing w:val="-15"/>
        </w:rPr>
        <w:t> </w:t>
      </w:r>
      <w:r>
        <w:rPr/>
        <w:t>y</w:t>
      </w:r>
      <w:r>
        <w:rPr>
          <w:spacing w:val="-16"/>
        </w:rPr>
        <w:t> </w:t>
      </w:r>
      <w:r>
        <w:rPr/>
        <w:t>de</w:t>
      </w:r>
      <w:r>
        <w:rPr>
          <w:spacing w:val="-15"/>
        </w:rPr>
        <w:t> </w:t>
      </w:r>
      <w:r>
        <w:rPr/>
        <w:t>relaciones</w:t>
      </w:r>
      <w:r>
        <w:rPr>
          <w:spacing w:val="-15"/>
        </w:rPr>
        <w:t> </w:t>
      </w:r>
      <w:r>
        <w:rPr/>
        <w:t>anuales</w:t>
      </w:r>
      <w:r>
        <w:rPr>
          <w:spacing w:val="-15"/>
        </w:rPr>
        <w:t> </w:t>
      </w:r>
      <w:r>
        <w:rPr/>
        <w:t>de</w:t>
      </w:r>
      <w:r>
        <w:rPr>
          <w:spacing w:val="-16"/>
        </w:rPr>
        <w:t> </w:t>
      </w:r>
      <w:r>
        <w:rPr/>
        <w:t>los</w:t>
      </w:r>
      <w:r>
        <w:rPr>
          <w:spacing w:val="-15"/>
        </w:rPr>
        <w:t> </w:t>
      </w:r>
      <w:r>
        <w:rPr/>
        <w:t>celebrados</w:t>
      </w:r>
      <w:r>
        <w:rPr>
          <w:spacing w:val="-15"/>
        </w:rPr>
        <w:t> </w:t>
      </w:r>
      <w:r>
        <w:rPr/>
        <w:t>por</w:t>
      </w:r>
      <w:r>
        <w:rPr>
          <w:spacing w:val="-16"/>
        </w:rPr>
        <w:t> </w:t>
      </w:r>
      <w:r>
        <w:rPr/>
        <w:t>las</w:t>
      </w:r>
      <w:r>
        <w:rPr>
          <w:spacing w:val="-15"/>
        </w:rPr>
        <w:t> </w:t>
      </w:r>
      <w:r>
        <w:rPr/>
        <w:t>entidades</w:t>
      </w:r>
      <w:r>
        <w:rPr>
          <w:spacing w:val="-15"/>
        </w:rPr>
        <w:t> </w:t>
      </w:r>
      <w:r>
        <w:rPr/>
        <w:t>del</w:t>
      </w:r>
      <w:r>
        <w:rPr>
          <w:spacing w:val="-15"/>
        </w:rPr>
        <w:t> </w:t>
      </w:r>
      <w:r>
        <w:rPr/>
        <w:t>sector</w:t>
      </w:r>
      <w:r>
        <w:rPr>
          <w:spacing w:val="-16"/>
        </w:rPr>
        <w:t> </w:t>
      </w:r>
      <w:r>
        <w:rPr/>
        <w:t>público local, de 24 de noviembre de 2016, establece la obligación de remisión telemática de una relación certificada de los convenios formalizados durante el ejercicio, cualquiera que fuera su importe, o, en su caso, certificación negativa, antes de que concluya el mes de febrero del ejercicio siguiente.</w:t>
      </w:r>
    </w:p>
    <w:p>
      <w:pPr>
        <w:pStyle w:val="BodyText"/>
        <w:spacing w:before="240"/>
        <w:ind w:left="992" w:right="986"/>
        <w:jc w:val="both"/>
      </w:pPr>
      <w:r>
        <w:rPr/>
        <w:t>La</w:t>
      </w:r>
      <w:r>
        <w:rPr>
          <w:spacing w:val="-9"/>
        </w:rPr>
        <w:t> </w:t>
      </w:r>
      <w:r>
        <w:rPr/>
        <w:t>Instrucción</w:t>
      </w:r>
      <w:r>
        <w:rPr>
          <w:spacing w:val="-9"/>
        </w:rPr>
        <w:t> </w:t>
      </w:r>
      <w:r>
        <w:rPr/>
        <w:t>sobre</w:t>
      </w:r>
      <w:r>
        <w:rPr>
          <w:spacing w:val="-11"/>
        </w:rPr>
        <w:t> </w:t>
      </w:r>
      <w:r>
        <w:rPr/>
        <w:t>remisión</w:t>
      </w:r>
      <w:r>
        <w:rPr>
          <w:spacing w:val="-9"/>
        </w:rPr>
        <w:t> </w:t>
      </w:r>
      <w:r>
        <w:rPr/>
        <w:t>de</w:t>
      </w:r>
      <w:r>
        <w:rPr>
          <w:spacing w:val="-9"/>
        </w:rPr>
        <w:t> </w:t>
      </w:r>
      <w:r>
        <w:rPr/>
        <w:t>información</w:t>
      </w:r>
      <w:r>
        <w:rPr>
          <w:spacing w:val="-12"/>
        </w:rPr>
        <w:t> </w:t>
      </w:r>
      <w:r>
        <w:rPr/>
        <w:t>relativa</w:t>
      </w:r>
      <w:r>
        <w:rPr>
          <w:spacing w:val="-9"/>
        </w:rPr>
        <w:t> </w:t>
      </w:r>
      <w:r>
        <w:rPr/>
        <w:t>al</w:t>
      </w:r>
      <w:r>
        <w:rPr>
          <w:spacing w:val="-10"/>
        </w:rPr>
        <w:t> </w:t>
      </w:r>
      <w:r>
        <w:rPr/>
        <w:t>ejercicio</w:t>
      </w:r>
      <w:r>
        <w:rPr>
          <w:spacing w:val="-9"/>
        </w:rPr>
        <w:t> </w:t>
      </w:r>
      <w:r>
        <w:rPr/>
        <w:t>del</w:t>
      </w:r>
      <w:r>
        <w:rPr>
          <w:spacing w:val="-10"/>
        </w:rPr>
        <w:t> </w:t>
      </w:r>
      <w:r>
        <w:rPr/>
        <w:t>control</w:t>
      </w:r>
      <w:r>
        <w:rPr>
          <w:spacing w:val="-15"/>
        </w:rPr>
        <w:t> </w:t>
      </w:r>
      <w:r>
        <w:rPr/>
        <w:t>interno</w:t>
      </w:r>
      <w:r>
        <w:rPr>
          <w:spacing w:val="-9"/>
        </w:rPr>
        <w:t> </w:t>
      </w:r>
      <w:r>
        <w:rPr/>
        <w:t>de</w:t>
      </w:r>
      <w:r>
        <w:rPr>
          <w:spacing w:val="-12"/>
        </w:rPr>
        <w:t> </w:t>
      </w:r>
      <w:r>
        <w:rPr/>
        <w:t>las</w:t>
      </w:r>
      <w:r>
        <w:rPr>
          <w:spacing w:val="-11"/>
        </w:rPr>
        <w:t> </w:t>
      </w:r>
      <w:r>
        <w:rPr/>
        <w:t>Entidades Locales,</w:t>
      </w:r>
      <w:r>
        <w:rPr>
          <w:spacing w:val="-6"/>
        </w:rPr>
        <w:t> </w:t>
      </w:r>
      <w:r>
        <w:rPr/>
        <w:t>de</w:t>
      </w:r>
      <w:r>
        <w:rPr>
          <w:spacing w:val="-7"/>
        </w:rPr>
        <w:t> </w:t>
      </w:r>
      <w:r>
        <w:rPr/>
        <w:t>19</w:t>
      </w:r>
      <w:r>
        <w:rPr>
          <w:spacing w:val="-9"/>
        </w:rPr>
        <w:t> </w:t>
      </w:r>
      <w:r>
        <w:rPr/>
        <w:t>de</w:t>
      </w:r>
      <w:r>
        <w:rPr>
          <w:spacing w:val="-7"/>
        </w:rPr>
        <w:t> </w:t>
      </w:r>
      <w:r>
        <w:rPr/>
        <w:t>diciembre</w:t>
      </w:r>
      <w:r>
        <w:rPr>
          <w:spacing w:val="-6"/>
        </w:rPr>
        <w:t> </w:t>
      </w:r>
      <w:r>
        <w:rPr/>
        <w:t>de</w:t>
      </w:r>
      <w:r>
        <w:rPr>
          <w:spacing w:val="-7"/>
        </w:rPr>
        <w:t> </w:t>
      </w:r>
      <w:r>
        <w:rPr/>
        <w:t>2019,</w:t>
      </w:r>
      <w:r>
        <w:rPr>
          <w:spacing w:val="-5"/>
        </w:rPr>
        <w:t> </w:t>
      </w:r>
      <w:r>
        <w:rPr/>
        <w:t>obliga</w:t>
      </w:r>
      <w:r>
        <w:rPr>
          <w:spacing w:val="-7"/>
        </w:rPr>
        <w:t> </w:t>
      </w:r>
      <w:r>
        <w:rPr/>
        <w:t>a</w:t>
      </w:r>
      <w:r>
        <w:rPr>
          <w:spacing w:val="-8"/>
        </w:rPr>
        <w:t> </w:t>
      </w:r>
      <w:r>
        <w:rPr/>
        <w:t>los</w:t>
      </w:r>
      <w:r>
        <w:rPr>
          <w:spacing w:val="-9"/>
        </w:rPr>
        <w:t> </w:t>
      </w:r>
      <w:r>
        <w:rPr/>
        <w:t>interventores</w:t>
      </w:r>
      <w:r>
        <w:rPr>
          <w:spacing w:val="-6"/>
        </w:rPr>
        <w:t> </w:t>
      </w:r>
      <w:r>
        <w:rPr/>
        <w:t>locales</w:t>
      </w:r>
      <w:r>
        <w:rPr>
          <w:spacing w:val="-9"/>
        </w:rPr>
        <w:t> </w:t>
      </w:r>
      <w:r>
        <w:rPr/>
        <w:t>a</w:t>
      </w:r>
      <w:r>
        <w:rPr>
          <w:spacing w:val="-5"/>
        </w:rPr>
        <w:t> </w:t>
      </w:r>
      <w:r>
        <w:rPr/>
        <w:t>remitir,</w:t>
      </w:r>
      <w:r>
        <w:rPr>
          <w:spacing w:val="-7"/>
        </w:rPr>
        <w:t> </w:t>
      </w:r>
      <w:r>
        <w:rPr/>
        <w:t>con</w:t>
      </w:r>
      <w:r>
        <w:rPr>
          <w:spacing w:val="-7"/>
        </w:rPr>
        <w:t> </w:t>
      </w:r>
      <w:r>
        <w:rPr/>
        <w:t>anterioridad</w:t>
      </w:r>
      <w:r>
        <w:rPr>
          <w:spacing w:val="-6"/>
        </w:rPr>
        <w:t> </w:t>
      </w:r>
      <w:r>
        <w:rPr/>
        <w:t>al 30</w:t>
      </w:r>
      <w:r>
        <w:rPr>
          <w:spacing w:val="-3"/>
        </w:rPr>
        <w:t> </w:t>
      </w:r>
      <w:r>
        <w:rPr/>
        <w:t>de</w:t>
      </w:r>
      <w:r>
        <w:rPr>
          <w:spacing w:val="-3"/>
        </w:rPr>
        <w:t> </w:t>
      </w:r>
      <w:r>
        <w:rPr/>
        <w:t>abril</w:t>
      </w:r>
      <w:r>
        <w:rPr>
          <w:spacing w:val="-4"/>
        </w:rPr>
        <w:t> </w:t>
      </w:r>
      <w:r>
        <w:rPr/>
        <w:t>del</w:t>
      </w:r>
      <w:r>
        <w:rPr>
          <w:spacing w:val="-4"/>
        </w:rPr>
        <w:t> </w:t>
      </w:r>
      <w:r>
        <w:rPr/>
        <w:t>ejercicio</w:t>
      </w:r>
      <w:r>
        <w:rPr>
          <w:spacing w:val="-3"/>
        </w:rPr>
        <w:t> </w:t>
      </w:r>
      <w:r>
        <w:rPr/>
        <w:t>siguiente</w:t>
      </w:r>
      <w:r>
        <w:rPr>
          <w:spacing w:val="-3"/>
        </w:rPr>
        <w:t> </w:t>
      </w:r>
      <w:r>
        <w:rPr/>
        <w:t>a</w:t>
      </w:r>
      <w:r>
        <w:rPr>
          <w:spacing w:val="-3"/>
        </w:rPr>
        <w:t> </w:t>
      </w:r>
      <w:r>
        <w:rPr/>
        <w:t>aquel</w:t>
      </w:r>
      <w:r>
        <w:rPr>
          <w:spacing w:val="-4"/>
        </w:rPr>
        <w:t> </w:t>
      </w:r>
      <w:r>
        <w:rPr/>
        <w:t>a</w:t>
      </w:r>
      <w:r>
        <w:rPr>
          <w:spacing w:val="-3"/>
        </w:rPr>
        <w:t> </w:t>
      </w:r>
      <w:r>
        <w:rPr/>
        <w:t>que</w:t>
      </w:r>
      <w:r>
        <w:rPr>
          <w:spacing w:val="-3"/>
        </w:rPr>
        <w:t> </w:t>
      </w:r>
      <w:r>
        <w:rPr/>
        <w:t>se</w:t>
      </w:r>
      <w:r>
        <w:rPr>
          <w:spacing w:val="-3"/>
        </w:rPr>
        <w:t> </w:t>
      </w:r>
      <w:r>
        <w:rPr/>
        <w:t>refiera, información</w:t>
      </w:r>
      <w:r>
        <w:rPr>
          <w:spacing w:val="-3"/>
        </w:rPr>
        <w:t> </w:t>
      </w:r>
      <w:r>
        <w:rPr/>
        <w:t>sobre</w:t>
      </w:r>
      <w:r>
        <w:rPr>
          <w:spacing w:val="-2"/>
        </w:rPr>
        <w:t> </w:t>
      </w:r>
      <w:r>
        <w:rPr/>
        <w:t>el</w:t>
      </w:r>
      <w:r>
        <w:rPr>
          <w:spacing w:val="-4"/>
        </w:rPr>
        <w:t> </w:t>
      </w:r>
      <w:r>
        <w:rPr/>
        <w:t>control</w:t>
      </w:r>
      <w:r>
        <w:rPr>
          <w:spacing w:val="-4"/>
        </w:rPr>
        <w:t> </w:t>
      </w:r>
      <w:r>
        <w:rPr/>
        <w:t>interno</w:t>
      </w:r>
      <w:r>
        <w:rPr>
          <w:spacing w:val="-3"/>
        </w:rPr>
        <w:t> </w:t>
      </w:r>
      <w:r>
        <w:rPr/>
        <w:t>de</w:t>
      </w:r>
      <w:r>
        <w:rPr>
          <w:spacing w:val="-3"/>
        </w:rPr>
        <w:t> </w:t>
      </w:r>
      <w:r>
        <w:rPr/>
        <w:t>la entidad local, incluyendo la información y documentación relativa a los acuerdos y resoluciones adoptados en contra de reparos suspensivos formulados por el órgano interventor, los acuerdos y resoluciones con omisión del trámite de fiscalización previa y las anomalías en la gestión de los </w:t>
      </w:r>
      <w:r>
        <w:rPr>
          <w:spacing w:val="-2"/>
        </w:rPr>
        <w:t>ingresos.</w:t>
      </w:r>
    </w:p>
    <w:p>
      <w:pPr>
        <w:spacing w:before="241"/>
        <w:ind w:left="992" w:right="989" w:firstLine="0"/>
        <w:jc w:val="both"/>
        <w:rPr>
          <w:sz w:val="22"/>
        </w:rPr>
      </w:pPr>
      <w:r>
        <w:rPr>
          <w:sz w:val="22"/>
        </w:rPr>
        <w:t>En relación con la obligación de rendición de cuentas, todos los ayuntamientos fiscalizados han rendido</w:t>
      </w:r>
      <w:r>
        <w:rPr>
          <w:spacing w:val="-15"/>
          <w:sz w:val="22"/>
        </w:rPr>
        <w:t> </w:t>
      </w:r>
      <w:r>
        <w:rPr>
          <w:sz w:val="22"/>
        </w:rPr>
        <w:t>las</w:t>
      </w:r>
      <w:r>
        <w:rPr>
          <w:spacing w:val="-13"/>
          <w:sz w:val="22"/>
        </w:rPr>
        <w:t> </w:t>
      </w:r>
      <w:r>
        <w:rPr>
          <w:sz w:val="22"/>
        </w:rPr>
        <w:t>cuentas</w:t>
      </w:r>
      <w:r>
        <w:rPr>
          <w:spacing w:val="-15"/>
          <w:sz w:val="22"/>
        </w:rPr>
        <w:t> </w:t>
      </w:r>
      <w:r>
        <w:rPr>
          <w:sz w:val="22"/>
        </w:rPr>
        <w:t>de</w:t>
      </w:r>
      <w:r>
        <w:rPr>
          <w:spacing w:val="-14"/>
          <w:sz w:val="22"/>
        </w:rPr>
        <w:t> </w:t>
      </w:r>
      <w:r>
        <w:rPr>
          <w:sz w:val="22"/>
        </w:rPr>
        <w:t>2023,</w:t>
      </w:r>
      <w:r>
        <w:rPr>
          <w:spacing w:val="-13"/>
          <w:sz w:val="22"/>
        </w:rPr>
        <w:t> </w:t>
      </w:r>
      <w:r>
        <w:rPr>
          <w:sz w:val="22"/>
        </w:rPr>
        <w:t>si</w:t>
      </w:r>
      <w:r>
        <w:rPr>
          <w:spacing w:val="-14"/>
          <w:sz w:val="22"/>
        </w:rPr>
        <w:t> </w:t>
      </w:r>
      <w:r>
        <w:rPr>
          <w:sz w:val="22"/>
        </w:rPr>
        <w:t>bien</w:t>
      </w:r>
      <w:r>
        <w:rPr>
          <w:spacing w:val="-14"/>
          <w:sz w:val="22"/>
        </w:rPr>
        <w:t> </w:t>
      </w:r>
      <w:r>
        <w:rPr>
          <w:sz w:val="22"/>
        </w:rPr>
        <w:t>los</w:t>
      </w:r>
      <w:r>
        <w:rPr>
          <w:spacing w:val="-16"/>
          <w:sz w:val="22"/>
        </w:rPr>
        <w:t> </w:t>
      </w:r>
      <w:r>
        <w:rPr>
          <w:b/>
          <w:sz w:val="22"/>
        </w:rPr>
        <w:t>Ayuntamientos</w:t>
      </w:r>
      <w:r>
        <w:rPr>
          <w:b/>
          <w:spacing w:val="-13"/>
          <w:sz w:val="22"/>
        </w:rPr>
        <w:t> </w:t>
      </w:r>
      <w:r>
        <w:rPr>
          <w:b/>
          <w:sz w:val="22"/>
        </w:rPr>
        <w:t>de</w:t>
      </w:r>
      <w:r>
        <w:rPr>
          <w:b/>
          <w:spacing w:val="-16"/>
          <w:sz w:val="22"/>
        </w:rPr>
        <w:t> </w:t>
      </w:r>
      <w:r>
        <w:rPr>
          <w:b/>
          <w:sz w:val="22"/>
        </w:rPr>
        <w:t>Córdoba,</w:t>
      </w:r>
      <w:r>
        <w:rPr>
          <w:b/>
          <w:spacing w:val="-11"/>
          <w:sz w:val="22"/>
        </w:rPr>
        <w:t> </w:t>
      </w:r>
      <w:r>
        <w:rPr>
          <w:b/>
          <w:sz w:val="22"/>
        </w:rPr>
        <w:t>Palma</w:t>
      </w:r>
      <w:r>
        <w:rPr>
          <w:b/>
          <w:spacing w:val="-11"/>
          <w:sz w:val="22"/>
        </w:rPr>
        <w:t> </w:t>
      </w:r>
      <w:r>
        <w:rPr>
          <w:sz w:val="22"/>
        </w:rPr>
        <w:t>y</w:t>
      </w:r>
      <w:r>
        <w:rPr>
          <w:spacing w:val="-13"/>
          <w:sz w:val="22"/>
        </w:rPr>
        <w:t> </w:t>
      </w:r>
      <w:r>
        <w:rPr>
          <w:b/>
          <w:sz w:val="22"/>
        </w:rPr>
        <w:t>Sevilla</w:t>
      </w:r>
      <w:r>
        <w:rPr>
          <w:b/>
          <w:spacing w:val="-13"/>
          <w:sz w:val="22"/>
        </w:rPr>
        <w:t> </w:t>
      </w:r>
      <w:r>
        <w:rPr>
          <w:sz w:val="22"/>
        </w:rPr>
        <w:t>lo</w:t>
      </w:r>
      <w:r>
        <w:rPr>
          <w:spacing w:val="-14"/>
          <w:sz w:val="22"/>
        </w:rPr>
        <w:t> </w:t>
      </w:r>
      <w:r>
        <w:rPr>
          <w:sz w:val="22"/>
        </w:rPr>
        <w:t>han</w:t>
      </w:r>
      <w:r>
        <w:rPr>
          <w:spacing w:val="-14"/>
          <w:sz w:val="22"/>
        </w:rPr>
        <w:t> </w:t>
      </w:r>
      <w:r>
        <w:rPr>
          <w:sz w:val="22"/>
        </w:rPr>
        <w:t>hecho superado el plazo legalmente establecido. A fecha de 17 de octubre de 2025, los </w:t>
      </w:r>
      <w:r>
        <w:rPr>
          <w:b/>
          <w:sz w:val="22"/>
        </w:rPr>
        <w:t>Ayuntamientos de Alicante, Málaga, Murcia </w:t>
      </w:r>
      <w:r>
        <w:rPr>
          <w:sz w:val="22"/>
        </w:rPr>
        <w:t>y </w:t>
      </w:r>
      <w:r>
        <w:rPr>
          <w:b/>
          <w:sz w:val="22"/>
        </w:rPr>
        <w:t>Zaragoza </w:t>
      </w:r>
      <w:r>
        <w:rPr>
          <w:sz w:val="22"/>
        </w:rPr>
        <w:t>han rendido las cuentas de 2024.</w:t>
      </w:r>
    </w:p>
    <w:p>
      <w:pPr>
        <w:spacing w:before="241"/>
        <w:ind w:left="992" w:right="990" w:firstLine="0"/>
        <w:jc w:val="both"/>
        <w:rPr>
          <w:b/>
          <w:sz w:val="22"/>
        </w:rPr>
      </w:pPr>
      <w:r>
        <w:rPr>
          <w:sz w:val="22"/>
        </w:rPr>
        <w:t>Respecto de la obligación de remisión de las relaciones de contratos, todos los ayuntamientos cumplieron</w:t>
      </w:r>
      <w:r>
        <w:rPr>
          <w:spacing w:val="-2"/>
          <w:sz w:val="22"/>
        </w:rPr>
        <w:t> </w:t>
      </w:r>
      <w:r>
        <w:rPr>
          <w:sz w:val="22"/>
        </w:rPr>
        <w:t>con</w:t>
      </w:r>
      <w:r>
        <w:rPr>
          <w:spacing w:val="-4"/>
          <w:sz w:val="22"/>
        </w:rPr>
        <w:t> </w:t>
      </w:r>
      <w:r>
        <w:rPr>
          <w:sz w:val="22"/>
        </w:rPr>
        <w:t>ella. No</w:t>
      </w:r>
      <w:r>
        <w:rPr>
          <w:spacing w:val="-4"/>
          <w:sz w:val="22"/>
        </w:rPr>
        <w:t> </w:t>
      </w:r>
      <w:r>
        <w:rPr>
          <w:sz w:val="22"/>
        </w:rPr>
        <w:t>obstante, los</w:t>
      </w:r>
      <w:r>
        <w:rPr>
          <w:spacing w:val="-3"/>
          <w:sz w:val="22"/>
        </w:rPr>
        <w:t> </w:t>
      </w:r>
      <w:r>
        <w:rPr>
          <w:b/>
          <w:sz w:val="22"/>
        </w:rPr>
        <w:t>Ayuntamientos</w:t>
      </w:r>
      <w:r>
        <w:rPr>
          <w:b/>
          <w:spacing w:val="-2"/>
          <w:sz w:val="22"/>
        </w:rPr>
        <w:t> </w:t>
      </w:r>
      <w:r>
        <w:rPr>
          <w:b/>
          <w:sz w:val="22"/>
        </w:rPr>
        <w:t>de</w:t>
      </w:r>
      <w:r>
        <w:rPr>
          <w:b/>
          <w:spacing w:val="-2"/>
          <w:sz w:val="22"/>
        </w:rPr>
        <w:t> </w:t>
      </w:r>
      <w:r>
        <w:rPr>
          <w:b/>
          <w:sz w:val="22"/>
        </w:rPr>
        <w:t>Córdoba, Las</w:t>
      </w:r>
      <w:r>
        <w:rPr>
          <w:b/>
          <w:spacing w:val="-6"/>
          <w:sz w:val="22"/>
        </w:rPr>
        <w:t> </w:t>
      </w:r>
      <w:r>
        <w:rPr>
          <w:b/>
          <w:sz w:val="22"/>
        </w:rPr>
        <w:t>Palmas</w:t>
      </w:r>
      <w:r>
        <w:rPr>
          <w:b/>
          <w:spacing w:val="-2"/>
          <w:sz w:val="22"/>
        </w:rPr>
        <w:t> </w:t>
      </w:r>
      <w:r>
        <w:rPr>
          <w:b/>
          <w:sz w:val="22"/>
        </w:rPr>
        <w:t>de</w:t>
      </w:r>
      <w:r>
        <w:rPr>
          <w:b/>
          <w:spacing w:val="-5"/>
          <w:sz w:val="22"/>
        </w:rPr>
        <w:t> </w:t>
      </w:r>
      <w:r>
        <w:rPr>
          <w:b/>
          <w:sz w:val="22"/>
        </w:rPr>
        <w:t>Gran</w:t>
      </w:r>
      <w:r>
        <w:rPr>
          <w:b/>
          <w:spacing w:val="-2"/>
          <w:sz w:val="22"/>
        </w:rPr>
        <w:t> </w:t>
      </w:r>
      <w:r>
        <w:rPr>
          <w:b/>
          <w:sz w:val="22"/>
        </w:rPr>
        <w:t>Canaria </w:t>
      </w:r>
      <w:r>
        <w:rPr>
          <w:sz w:val="22"/>
        </w:rPr>
        <w:t>y </w:t>
      </w:r>
      <w:r>
        <w:rPr>
          <w:b/>
          <w:sz w:val="22"/>
        </w:rPr>
        <w:t>Murcia </w:t>
      </w:r>
      <w:r>
        <w:rPr>
          <w:sz w:val="22"/>
        </w:rPr>
        <w:t>remitieron la relación de 2023 con posterioridad al plazo dispuesto para su cumplimiento y los </w:t>
      </w:r>
      <w:r>
        <w:rPr>
          <w:b/>
          <w:sz w:val="22"/>
        </w:rPr>
        <w:t>Ayuntamientos de Alicante </w:t>
      </w:r>
      <w:r>
        <w:rPr>
          <w:sz w:val="22"/>
        </w:rPr>
        <w:t>y </w:t>
      </w:r>
      <w:r>
        <w:rPr>
          <w:b/>
          <w:sz w:val="22"/>
        </w:rPr>
        <w:t>Las Palmas de Gran Canaria</w:t>
      </w:r>
      <w:r>
        <w:rPr>
          <w:sz w:val="22"/>
        </w:rPr>
        <w:t>, la de 2024</w:t>
      </w:r>
      <w:r>
        <w:rPr>
          <w:b/>
          <w:sz w:val="22"/>
        </w:rPr>
        <w:t>.</w:t>
      </w:r>
    </w:p>
    <w:p>
      <w:pPr>
        <w:spacing w:after="0"/>
        <w:jc w:val="both"/>
        <w:rPr>
          <w:b/>
          <w:sz w:val="22"/>
        </w:rPr>
        <w:sectPr>
          <w:pgSz w:w="11910" w:h="16840"/>
          <w:pgMar w:header="1270" w:footer="683" w:top="2800" w:bottom="880" w:left="141" w:right="141"/>
        </w:sectPr>
      </w:pPr>
    </w:p>
    <w:p>
      <w:pPr>
        <w:pStyle w:val="BodyText"/>
        <w:spacing w:before="108"/>
        <w:rPr>
          <w:b/>
        </w:rPr>
      </w:pPr>
    </w:p>
    <w:p>
      <w:pPr>
        <w:pStyle w:val="BodyText"/>
        <w:ind w:left="992" w:right="985"/>
        <w:jc w:val="both"/>
      </w:pPr>
      <w:r>
        <w:rPr/>
        <w:t>En cuanto a la obligación de remisión de las relaciones de convenios, los </w:t>
      </w:r>
      <w:r>
        <w:rPr>
          <w:b/>
        </w:rPr>
        <w:t>Ayuntamientos de Alicante </w:t>
      </w:r>
      <w:r>
        <w:rPr/>
        <w:t>y </w:t>
      </w:r>
      <w:r>
        <w:rPr>
          <w:b/>
        </w:rPr>
        <w:t>Sevilla </w:t>
      </w:r>
      <w:r>
        <w:rPr/>
        <w:t>no han remitido las relaciones de convenios de 2023 y 2024 y el de </w:t>
      </w:r>
      <w:r>
        <w:rPr>
          <w:b/>
        </w:rPr>
        <w:t>Córdoba</w:t>
      </w:r>
      <w:r>
        <w:rPr/>
        <w:t>, superado el plazo establecido para ello.</w:t>
      </w:r>
    </w:p>
    <w:p>
      <w:pPr>
        <w:pStyle w:val="BodyText"/>
        <w:spacing w:before="239"/>
        <w:ind w:left="992" w:right="988"/>
        <w:jc w:val="both"/>
      </w:pPr>
      <w:r>
        <w:rPr/>
        <w:t>Por último, en relación con la remisión por los órganos de Intervención de los ayuntamientos de la información</w:t>
      </w:r>
      <w:r>
        <w:rPr>
          <w:spacing w:val="-16"/>
        </w:rPr>
        <w:t> </w:t>
      </w:r>
      <w:r>
        <w:rPr/>
        <w:t>sobre</w:t>
      </w:r>
      <w:r>
        <w:rPr>
          <w:spacing w:val="-15"/>
        </w:rPr>
        <w:t> </w:t>
      </w:r>
      <w:r>
        <w:rPr/>
        <w:t>el</w:t>
      </w:r>
      <w:r>
        <w:rPr>
          <w:spacing w:val="-15"/>
        </w:rPr>
        <w:t> </w:t>
      </w:r>
      <w:r>
        <w:rPr/>
        <w:t>control</w:t>
      </w:r>
      <w:r>
        <w:rPr>
          <w:spacing w:val="-16"/>
        </w:rPr>
        <w:t> </w:t>
      </w:r>
      <w:r>
        <w:rPr/>
        <w:t>interno,</w:t>
      </w:r>
      <w:r>
        <w:rPr>
          <w:spacing w:val="-14"/>
        </w:rPr>
        <w:t> </w:t>
      </w:r>
      <w:r>
        <w:rPr/>
        <w:t>todos</w:t>
      </w:r>
      <w:r>
        <w:rPr>
          <w:spacing w:val="-15"/>
        </w:rPr>
        <w:t> </w:t>
      </w:r>
      <w:r>
        <w:rPr/>
        <w:t>ellos</w:t>
      </w:r>
      <w:r>
        <w:rPr>
          <w:spacing w:val="-13"/>
        </w:rPr>
        <w:t> </w:t>
      </w:r>
      <w:r>
        <w:rPr/>
        <w:t>han</w:t>
      </w:r>
      <w:r>
        <w:rPr>
          <w:spacing w:val="-14"/>
        </w:rPr>
        <w:t> </w:t>
      </w:r>
      <w:r>
        <w:rPr/>
        <w:t>cumplido</w:t>
      </w:r>
      <w:r>
        <w:rPr>
          <w:spacing w:val="-13"/>
        </w:rPr>
        <w:t> </w:t>
      </w:r>
      <w:r>
        <w:rPr/>
        <w:t>con</w:t>
      </w:r>
      <w:r>
        <w:rPr>
          <w:spacing w:val="-16"/>
        </w:rPr>
        <w:t> </w:t>
      </w:r>
      <w:r>
        <w:rPr/>
        <w:t>su</w:t>
      </w:r>
      <w:r>
        <w:rPr>
          <w:spacing w:val="-15"/>
        </w:rPr>
        <w:t> </w:t>
      </w:r>
      <w:r>
        <w:rPr/>
        <w:t>obligación</w:t>
      </w:r>
      <w:r>
        <w:rPr>
          <w:spacing w:val="-13"/>
        </w:rPr>
        <w:t> </w:t>
      </w:r>
      <w:r>
        <w:rPr/>
        <w:t>en</w:t>
      </w:r>
      <w:r>
        <w:rPr>
          <w:spacing w:val="-14"/>
        </w:rPr>
        <w:t> </w:t>
      </w:r>
      <w:r>
        <w:rPr/>
        <w:t>ambos</w:t>
      </w:r>
      <w:r>
        <w:rPr>
          <w:spacing w:val="-13"/>
        </w:rPr>
        <w:t> </w:t>
      </w:r>
      <w:r>
        <w:rPr/>
        <w:t>ejercicios. Solo el órgano de Intervención del </w:t>
      </w:r>
      <w:r>
        <w:rPr>
          <w:b/>
        </w:rPr>
        <w:t>Ayuntamiento de Zaragoza </w:t>
      </w:r>
      <w:r>
        <w:rPr/>
        <w:t>lo hizo con un ligero retraso respecto del plazo establecido.</w:t>
      </w:r>
    </w:p>
    <w:p>
      <w:pPr>
        <w:pStyle w:val="BodyText"/>
        <w:spacing w:before="242"/>
        <w:ind w:left="992" w:right="987"/>
        <w:jc w:val="both"/>
      </w:pPr>
      <w:r>
        <w:rPr/>
        <mc:AlternateContent>
          <mc:Choice Requires="wps">
            <w:drawing>
              <wp:anchor distT="0" distB="0" distL="0" distR="0" allowOverlap="1" layoutInCell="1" locked="0" behindDoc="0" simplePos="0" relativeHeight="15770624">
                <wp:simplePos x="0" y="0"/>
                <wp:positionH relativeFrom="page">
                  <wp:posOffset>689152</wp:posOffset>
                </wp:positionH>
                <wp:positionV relativeFrom="paragraph">
                  <wp:posOffset>626225</wp:posOffset>
                </wp:positionV>
                <wp:extent cx="6184265" cy="556260"/>
                <wp:effectExtent l="0" t="0" r="0" b="0"/>
                <wp:wrapNone/>
                <wp:docPr id="294" name="Group 294"/>
                <wp:cNvGraphicFramePr>
                  <a:graphicFrameLocks/>
                </wp:cNvGraphicFramePr>
                <a:graphic>
                  <a:graphicData uri="http://schemas.microsoft.com/office/word/2010/wordprocessingGroup">
                    <wpg:wgp>
                      <wpg:cNvPr id="294" name="Group 294"/>
                      <wpg:cNvGrpSpPr/>
                      <wpg:grpSpPr>
                        <a:xfrm>
                          <a:off x="0" y="0"/>
                          <a:ext cx="6184265" cy="556260"/>
                          <a:chExt cx="6184265" cy="556260"/>
                        </a:xfrm>
                      </wpg:grpSpPr>
                      <wps:wsp>
                        <wps:cNvPr id="295" name="Graphic 295"/>
                        <wps:cNvSpPr/>
                        <wps:spPr>
                          <a:xfrm>
                            <a:off x="0" y="0"/>
                            <a:ext cx="6184265" cy="556260"/>
                          </a:xfrm>
                          <a:custGeom>
                            <a:avLst/>
                            <a:gdLst/>
                            <a:ahLst/>
                            <a:cxnLst/>
                            <a:rect l="l" t="t" r="r" b="b"/>
                            <a:pathLst>
                              <a:path w="6184265" h="556260">
                                <a:moveTo>
                                  <a:pt x="1522730" y="12"/>
                                </a:moveTo>
                                <a:lnTo>
                                  <a:pt x="813816" y="12"/>
                                </a:lnTo>
                                <a:lnTo>
                                  <a:pt x="0" y="12"/>
                                </a:lnTo>
                                <a:lnTo>
                                  <a:pt x="0" y="556260"/>
                                </a:lnTo>
                                <a:lnTo>
                                  <a:pt x="813765" y="556260"/>
                                </a:lnTo>
                                <a:lnTo>
                                  <a:pt x="1522730" y="556260"/>
                                </a:lnTo>
                                <a:lnTo>
                                  <a:pt x="1522730" y="12"/>
                                </a:lnTo>
                                <a:close/>
                              </a:path>
                              <a:path w="6184265" h="556260">
                                <a:moveTo>
                                  <a:pt x="5231257" y="12"/>
                                </a:moveTo>
                                <a:lnTo>
                                  <a:pt x="3976700" y="12"/>
                                </a:lnTo>
                                <a:lnTo>
                                  <a:pt x="3932491" y="12"/>
                                </a:lnTo>
                                <a:lnTo>
                                  <a:pt x="3917264" y="0"/>
                                </a:lnTo>
                                <a:lnTo>
                                  <a:pt x="3873068" y="12"/>
                                </a:lnTo>
                                <a:lnTo>
                                  <a:pt x="3873068" y="259092"/>
                                </a:lnTo>
                                <a:lnTo>
                                  <a:pt x="3873068" y="271272"/>
                                </a:lnTo>
                                <a:lnTo>
                                  <a:pt x="3330524" y="271272"/>
                                </a:lnTo>
                                <a:lnTo>
                                  <a:pt x="2986087" y="271272"/>
                                </a:lnTo>
                                <a:lnTo>
                                  <a:pt x="2986087" y="268236"/>
                                </a:lnTo>
                                <a:lnTo>
                                  <a:pt x="2981528" y="268236"/>
                                </a:lnTo>
                                <a:lnTo>
                                  <a:pt x="2981528" y="259092"/>
                                </a:lnTo>
                                <a:lnTo>
                                  <a:pt x="2986100" y="259092"/>
                                </a:lnTo>
                                <a:lnTo>
                                  <a:pt x="3873068" y="259092"/>
                                </a:lnTo>
                                <a:lnTo>
                                  <a:pt x="3873068" y="12"/>
                                </a:lnTo>
                                <a:lnTo>
                                  <a:pt x="2986100" y="12"/>
                                </a:lnTo>
                                <a:lnTo>
                                  <a:pt x="2941891" y="12"/>
                                </a:lnTo>
                                <a:lnTo>
                                  <a:pt x="2929712" y="0"/>
                                </a:lnTo>
                                <a:lnTo>
                                  <a:pt x="2883992" y="12"/>
                                </a:lnTo>
                                <a:lnTo>
                                  <a:pt x="1522806" y="12"/>
                                </a:lnTo>
                                <a:lnTo>
                                  <a:pt x="1522806" y="259092"/>
                                </a:lnTo>
                                <a:lnTo>
                                  <a:pt x="2883992" y="259092"/>
                                </a:lnTo>
                                <a:lnTo>
                                  <a:pt x="2885516" y="259092"/>
                                </a:lnTo>
                                <a:lnTo>
                                  <a:pt x="2885516" y="271272"/>
                                </a:lnTo>
                                <a:lnTo>
                                  <a:pt x="2879471" y="271272"/>
                                </a:lnTo>
                                <a:lnTo>
                                  <a:pt x="2429586" y="271272"/>
                                </a:lnTo>
                                <a:lnTo>
                                  <a:pt x="1970862" y="271272"/>
                                </a:lnTo>
                                <a:lnTo>
                                  <a:pt x="1522806" y="271272"/>
                                </a:lnTo>
                                <a:lnTo>
                                  <a:pt x="1522806" y="556260"/>
                                </a:lnTo>
                                <a:lnTo>
                                  <a:pt x="4321429" y="556260"/>
                                </a:lnTo>
                                <a:lnTo>
                                  <a:pt x="4321429" y="271272"/>
                                </a:lnTo>
                                <a:lnTo>
                                  <a:pt x="3976700" y="271272"/>
                                </a:lnTo>
                                <a:lnTo>
                                  <a:pt x="3976700" y="259092"/>
                                </a:lnTo>
                                <a:lnTo>
                                  <a:pt x="5231257" y="259092"/>
                                </a:lnTo>
                                <a:lnTo>
                                  <a:pt x="5231257" y="12"/>
                                </a:lnTo>
                                <a:close/>
                              </a:path>
                              <a:path w="6184265" h="556260">
                                <a:moveTo>
                                  <a:pt x="6184138" y="12"/>
                                </a:moveTo>
                                <a:lnTo>
                                  <a:pt x="5333441" y="12"/>
                                </a:lnTo>
                                <a:lnTo>
                                  <a:pt x="5287708" y="12"/>
                                </a:lnTo>
                                <a:lnTo>
                                  <a:pt x="5275529" y="0"/>
                                </a:lnTo>
                                <a:lnTo>
                                  <a:pt x="5231333" y="12"/>
                                </a:lnTo>
                                <a:lnTo>
                                  <a:pt x="5231333" y="259092"/>
                                </a:lnTo>
                                <a:lnTo>
                                  <a:pt x="5231333" y="271272"/>
                                </a:lnTo>
                                <a:lnTo>
                                  <a:pt x="5226761" y="271272"/>
                                </a:lnTo>
                                <a:lnTo>
                                  <a:pt x="4771085" y="271272"/>
                                </a:lnTo>
                                <a:lnTo>
                                  <a:pt x="4321505" y="271272"/>
                                </a:lnTo>
                                <a:lnTo>
                                  <a:pt x="4321505" y="556260"/>
                                </a:lnTo>
                                <a:lnTo>
                                  <a:pt x="6179515" y="556260"/>
                                </a:lnTo>
                                <a:lnTo>
                                  <a:pt x="6179515" y="271272"/>
                                </a:lnTo>
                                <a:lnTo>
                                  <a:pt x="5675122" y="271272"/>
                                </a:lnTo>
                                <a:lnTo>
                                  <a:pt x="5333441" y="271272"/>
                                </a:lnTo>
                                <a:lnTo>
                                  <a:pt x="5333441" y="268236"/>
                                </a:lnTo>
                                <a:lnTo>
                                  <a:pt x="5327345" y="268236"/>
                                </a:lnTo>
                                <a:lnTo>
                                  <a:pt x="5327345" y="259092"/>
                                </a:lnTo>
                                <a:lnTo>
                                  <a:pt x="5333441" y="259092"/>
                                </a:lnTo>
                                <a:lnTo>
                                  <a:pt x="6184138" y="259092"/>
                                </a:lnTo>
                                <a:lnTo>
                                  <a:pt x="6184138" y="12"/>
                                </a:lnTo>
                                <a:close/>
                              </a:path>
                            </a:pathLst>
                          </a:custGeom>
                          <a:solidFill>
                            <a:srgbClr val="1F3763"/>
                          </a:solidFill>
                        </wps:spPr>
                        <wps:bodyPr wrap="square" lIns="0" tIns="0" rIns="0" bIns="0" rtlCol="0">
                          <a:prstTxWarp prst="textNoShape">
                            <a:avLst/>
                          </a:prstTxWarp>
                          <a:noAutofit/>
                        </wps:bodyPr>
                      </wps:wsp>
                      <wps:wsp>
                        <wps:cNvPr id="296" name="Textbox 296"/>
                        <wps:cNvSpPr txBox="1"/>
                        <wps:spPr>
                          <a:xfrm>
                            <a:off x="1791030" y="66410"/>
                            <a:ext cx="839469" cy="124460"/>
                          </a:xfrm>
                          <a:prstGeom prst="rect">
                            <a:avLst/>
                          </a:prstGeom>
                        </wps:spPr>
                        <wps:txbx>
                          <w:txbxContent>
                            <w:p>
                              <w:pPr>
                                <w:spacing w:before="0"/>
                                <w:ind w:left="0" w:right="0" w:firstLine="0"/>
                                <w:jc w:val="left"/>
                                <w:rPr>
                                  <w:rFonts w:ascii="Arial Narrow"/>
                                  <w:b/>
                                  <w:sz w:val="17"/>
                                </w:rPr>
                              </w:pPr>
                              <w:r>
                                <w:rPr>
                                  <w:rFonts w:ascii="Arial Narrow"/>
                                  <w:b/>
                                  <w:color w:val="FFFFFF"/>
                                  <w:sz w:val="17"/>
                                </w:rPr>
                                <w:t>CUENTA </w:t>
                              </w:r>
                              <w:r>
                                <w:rPr>
                                  <w:rFonts w:ascii="Arial Narrow"/>
                                  <w:b/>
                                  <w:color w:val="FFFFFF"/>
                                  <w:spacing w:val="-2"/>
                                  <w:sz w:val="17"/>
                                </w:rPr>
                                <w:t>GENERAL</w:t>
                              </w:r>
                            </w:p>
                          </w:txbxContent>
                        </wps:txbx>
                        <wps:bodyPr wrap="square" lIns="0" tIns="0" rIns="0" bIns="0" rtlCol="0">
                          <a:noAutofit/>
                        </wps:bodyPr>
                      </wps:wsp>
                      <wps:wsp>
                        <wps:cNvPr id="297" name="Textbox 297"/>
                        <wps:cNvSpPr txBox="1"/>
                        <wps:spPr>
                          <a:xfrm>
                            <a:off x="3123260" y="5450"/>
                            <a:ext cx="623570" cy="247650"/>
                          </a:xfrm>
                          <a:prstGeom prst="rect">
                            <a:avLst/>
                          </a:prstGeom>
                        </wps:spPr>
                        <wps:txbx>
                          <w:txbxContent>
                            <w:p>
                              <w:pPr>
                                <w:spacing w:before="0"/>
                                <w:ind w:left="38" w:right="18" w:hanging="39"/>
                                <w:jc w:val="left"/>
                                <w:rPr>
                                  <w:rFonts w:ascii="Arial Narrow" w:hAnsi="Arial Narrow"/>
                                  <w:b/>
                                  <w:sz w:val="17"/>
                                </w:rPr>
                              </w:pPr>
                              <w:r>
                                <w:rPr>
                                  <w:rFonts w:ascii="Arial Narrow" w:hAnsi="Arial Narrow"/>
                                  <w:b/>
                                  <w:color w:val="FFFFFF"/>
                                  <w:sz w:val="17"/>
                                </w:rPr>
                                <w:t>RELACIÓN</w:t>
                              </w:r>
                              <w:r>
                                <w:rPr>
                                  <w:rFonts w:ascii="Arial Narrow" w:hAnsi="Arial Narrow"/>
                                  <w:b/>
                                  <w:color w:val="FFFFFF"/>
                                  <w:spacing w:val="-10"/>
                                  <w:sz w:val="17"/>
                                </w:rPr>
                                <w:t> </w:t>
                              </w:r>
                              <w:r>
                                <w:rPr>
                                  <w:rFonts w:ascii="Arial Narrow" w:hAnsi="Arial Narrow"/>
                                  <w:b/>
                                  <w:color w:val="FFFFFF"/>
                                  <w:sz w:val="17"/>
                                </w:rPr>
                                <w:t>DE</w:t>
                              </w:r>
                              <w:r>
                                <w:rPr>
                                  <w:rFonts w:ascii="Arial Narrow" w:hAnsi="Arial Narrow"/>
                                  <w:b/>
                                  <w:color w:val="FFFFFF"/>
                                  <w:spacing w:val="40"/>
                                  <w:sz w:val="17"/>
                                </w:rPr>
                                <w:t> </w:t>
                              </w:r>
                              <w:r>
                                <w:rPr>
                                  <w:rFonts w:ascii="Arial Narrow" w:hAnsi="Arial Narrow"/>
                                  <w:b/>
                                  <w:color w:val="FFFFFF"/>
                                  <w:spacing w:val="-2"/>
                                  <w:sz w:val="17"/>
                                </w:rPr>
                                <w:t>CONTRATOS</w:t>
                              </w:r>
                            </w:p>
                          </w:txbxContent>
                        </wps:txbx>
                        <wps:bodyPr wrap="square" lIns="0" tIns="0" rIns="0" bIns="0" rtlCol="0">
                          <a:noAutofit/>
                        </wps:bodyPr>
                      </wps:wsp>
                      <wps:wsp>
                        <wps:cNvPr id="298" name="Textbox 298"/>
                        <wps:cNvSpPr txBox="1"/>
                        <wps:spPr>
                          <a:xfrm>
                            <a:off x="3990416" y="66410"/>
                            <a:ext cx="1179830"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z w:val="17"/>
                                </w:rPr>
                                <w:t>RELACIÓN</w:t>
                              </w:r>
                              <w:r>
                                <w:rPr>
                                  <w:rFonts w:ascii="Arial Narrow" w:hAnsi="Arial Narrow"/>
                                  <w:b/>
                                  <w:color w:val="FFFFFF"/>
                                  <w:spacing w:val="-2"/>
                                  <w:sz w:val="17"/>
                                </w:rPr>
                                <w:t> </w:t>
                              </w:r>
                              <w:r>
                                <w:rPr>
                                  <w:rFonts w:ascii="Arial Narrow" w:hAnsi="Arial Narrow"/>
                                  <w:b/>
                                  <w:color w:val="FFFFFF"/>
                                  <w:sz w:val="17"/>
                                </w:rPr>
                                <w:t>DE </w:t>
                              </w:r>
                              <w:r>
                                <w:rPr>
                                  <w:rFonts w:ascii="Arial Narrow" w:hAnsi="Arial Narrow"/>
                                  <w:b/>
                                  <w:color w:val="FFFFFF"/>
                                  <w:spacing w:val="-2"/>
                                  <w:sz w:val="17"/>
                                </w:rPr>
                                <w:t>CONVENIOS</w:t>
                              </w:r>
                            </w:p>
                          </w:txbxContent>
                        </wps:txbx>
                        <wps:bodyPr wrap="square" lIns="0" tIns="0" rIns="0" bIns="0" rtlCol="0">
                          <a:noAutofit/>
                        </wps:bodyPr>
                      </wps:wsp>
                      <wps:wsp>
                        <wps:cNvPr id="299" name="Textbox 299"/>
                        <wps:cNvSpPr txBox="1"/>
                        <wps:spPr>
                          <a:xfrm>
                            <a:off x="131063" y="215762"/>
                            <a:ext cx="564515"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2"/>
                                  <w:sz w:val="17"/>
                                </w:rPr>
                                <w:t>DIPUTACIÓN</w:t>
                              </w:r>
                            </w:p>
                          </w:txbxContent>
                        </wps:txbx>
                        <wps:bodyPr wrap="square" lIns="0" tIns="0" rIns="0" bIns="0" rtlCol="0">
                          <a:noAutofit/>
                        </wps:bodyPr>
                      </wps:wsp>
                      <wps:wsp>
                        <wps:cNvPr id="300" name="Textbox 300"/>
                        <wps:cNvSpPr txBox="1"/>
                        <wps:spPr>
                          <a:xfrm>
                            <a:off x="899109" y="215762"/>
                            <a:ext cx="549275" cy="124460"/>
                          </a:xfrm>
                          <a:prstGeom prst="rect">
                            <a:avLst/>
                          </a:prstGeom>
                        </wps:spPr>
                        <wps:txbx>
                          <w:txbxContent>
                            <w:p>
                              <w:pPr>
                                <w:spacing w:before="0"/>
                                <w:ind w:left="0" w:right="0" w:firstLine="0"/>
                                <w:jc w:val="left"/>
                                <w:rPr>
                                  <w:rFonts w:ascii="Arial Narrow"/>
                                  <w:b/>
                                  <w:sz w:val="17"/>
                                </w:rPr>
                              </w:pPr>
                              <w:r>
                                <w:rPr>
                                  <w:rFonts w:ascii="Arial Narrow"/>
                                  <w:b/>
                                  <w:color w:val="FFFFFF"/>
                                  <w:spacing w:val="-2"/>
                                  <w:sz w:val="17"/>
                                </w:rPr>
                                <w:t>EJERCICIOS</w:t>
                              </w:r>
                            </w:p>
                          </w:txbxContent>
                        </wps:txbx>
                        <wps:bodyPr wrap="square" lIns="0" tIns="0" rIns="0" bIns="0" rtlCol="0">
                          <a:noAutofit/>
                        </wps:bodyPr>
                      </wps:wsp>
                      <wps:wsp>
                        <wps:cNvPr id="301" name="Textbox 301"/>
                        <wps:cNvSpPr txBox="1"/>
                        <wps:spPr>
                          <a:xfrm>
                            <a:off x="5539181" y="5450"/>
                            <a:ext cx="450850" cy="247650"/>
                          </a:xfrm>
                          <a:prstGeom prst="rect">
                            <a:avLst/>
                          </a:prstGeom>
                        </wps:spPr>
                        <wps:txbx>
                          <w:txbxContent>
                            <w:p>
                              <w:pPr>
                                <w:spacing w:before="0"/>
                                <w:ind w:left="31" w:right="18" w:hanging="32"/>
                                <w:jc w:val="left"/>
                                <w:rPr>
                                  <w:rFonts w:ascii="Arial Narrow"/>
                                  <w:b/>
                                  <w:sz w:val="17"/>
                                </w:rPr>
                              </w:pPr>
                              <w:r>
                                <w:rPr>
                                  <w:rFonts w:ascii="Arial Narrow"/>
                                  <w:b/>
                                  <w:color w:val="FFFFFF"/>
                                  <w:spacing w:val="-2"/>
                                  <w:sz w:val="17"/>
                                </w:rPr>
                                <w:t>CONTROL</w:t>
                              </w:r>
                              <w:r>
                                <w:rPr>
                                  <w:rFonts w:ascii="Arial Narrow"/>
                                  <w:b/>
                                  <w:color w:val="FFFFFF"/>
                                  <w:spacing w:val="40"/>
                                  <w:sz w:val="17"/>
                                </w:rPr>
                                <w:t> </w:t>
                              </w:r>
                              <w:r>
                                <w:rPr>
                                  <w:rFonts w:ascii="Arial Narrow"/>
                                  <w:b/>
                                  <w:color w:val="FFFFFF"/>
                                  <w:spacing w:val="-2"/>
                                  <w:sz w:val="17"/>
                                </w:rPr>
                                <w:t>INTERNO</w:t>
                              </w:r>
                            </w:p>
                          </w:txbxContent>
                        </wps:txbx>
                        <wps:bodyPr wrap="square" lIns="0" tIns="0" rIns="0" bIns="0" rtlCol="0">
                          <a:noAutofit/>
                        </wps:bodyPr>
                      </wps:wsp>
                      <wps:wsp>
                        <wps:cNvPr id="302" name="Textbox 302"/>
                        <wps:cNvSpPr txBox="1"/>
                        <wps:spPr>
                          <a:xfrm>
                            <a:off x="1634058" y="270626"/>
                            <a:ext cx="4501515" cy="247650"/>
                          </a:xfrm>
                          <a:prstGeom prst="rect">
                            <a:avLst/>
                          </a:prstGeom>
                        </wps:spPr>
                        <wps:txbx>
                          <w:txbxContent>
                            <w:p>
                              <w:pPr>
                                <w:tabs>
                                  <w:tab w:pos="611" w:val="left" w:leader="none"/>
                                  <w:tab w:pos="698" w:val="left" w:leader="none"/>
                                  <w:tab w:pos="1511" w:val="left" w:leader="none"/>
                                  <w:tab w:pos="2162" w:val="left" w:leader="none"/>
                                  <w:tab w:pos="2249" w:val="left" w:leader="none"/>
                                  <w:tab w:pos="2805" w:val="left" w:leader="none"/>
                                  <w:tab w:pos="2918" w:val="left" w:leader="none"/>
                                  <w:tab w:pos="3696" w:val="left" w:leader="none"/>
                                  <w:tab w:pos="3785" w:val="left" w:leader="none"/>
                                  <w:tab w:pos="4306" w:val="left" w:leader="none"/>
                                  <w:tab w:pos="4395" w:val="left" w:leader="none"/>
                                  <w:tab w:pos="5204" w:val="left" w:leader="none"/>
                                  <w:tab w:pos="5854" w:val="left" w:leader="none"/>
                                  <w:tab w:pos="5943" w:val="left" w:leader="none"/>
                                  <w:tab w:pos="6510" w:val="left" w:leader="none"/>
                                  <w:tab w:pos="6596" w:val="left" w:leader="none"/>
                                </w:tabs>
                                <w:spacing w:before="0"/>
                                <w:ind w:left="0" w:right="18" w:firstLine="88"/>
                                <w:jc w:val="left"/>
                                <w:rPr>
                                  <w:rFonts w:ascii="Arial Narrow"/>
                                  <w:b/>
                                  <w:sz w:val="17"/>
                                </w:rPr>
                              </w:pPr>
                              <w:r>
                                <w:rPr>
                                  <w:rFonts w:ascii="Arial Narrow"/>
                                  <w:b/>
                                  <w:color w:val="FFFFFF"/>
                                  <w:spacing w:val="-6"/>
                                  <w:sz w:val="17"/>
                                </w:rPr>
                                <w:t>En</w:t>
                              </w:r>
                              <w:r>
                                <w:rPr>
                                  <w:rFonts w:ascii="Arial Narrow"/>
                                  <w:b/>
                                  <w:color w:val="FFFFFF"/>
                                  <w:sz w:val="17"/>
                                </w:rPr>
                                <w:tab/>
                                <w:tab/>
                              </w:r>
                              <w:r>
                                <w:rPr>
                                  <w:rFonts w:ascii="Arial Narrow"/>
                                  <w:b/>
                                  <w:color w:val="FFFFFF"/>
                                  <w:spacing w:val="-2"/>
                                  <w:sz w:val="17"/>
                                </w:rPr>
                                <w:t>Fuera</w:t>
                              </w:r>
                              <w:r>
                                <w:rPr>
                                  <w:rFonts w:ascii="Arial Narrow"/>
                                  <w:b/>
                                  <w:color w:val="FFFFFF"/>
                                  <w:sz w:val="17"/>
                                </w:rPr>
                                <w:tab/>
                              </w:r>
                              <w:r>
                                <w:rPr>
                                  <w:rFonts w:ascii="Arial Narrow"/>
                                  <w:b/>
                                  <w:color w:val="FFFFFF"/>
                                  <w:spacing w:val="-6"/>
                                  <w:sz w:val="17"/>
                                </w:rPr>
                                <w:t>No</w:t>
                              </w:r>
                              <w:r>
                                <w:rPr>
                                  <w:rFonts w:ascii="Arial Narrow"/>
                                  <w:b/>
                                  <w:color w:val="FFFFFF"/>
                                  <w:sz w:val="17"/>
                                </w:rPr>
                                <w:tab/>
                                <w:tab/>
                              </w:r>
                              <w:r>
                                <w:rPr>
                                  <w:rFonts w:ascii="Arial Narrow"/>
                                  <w:b/>
                                  <w:color w:val="FFFFFF"/>
                                  <w:spacing w:val="-6"/>
                                  <w:sz w:val="17"/>
                                </w:rPr>
                                <w:t>En</w:t>
                              </w:r>
                              <w:r>
                                <w:rPr>
                                  <w:rFonts w:ascii="Arial Narrow"/>
                                  <w:b/>
                                  <w:color w:val="FFFFFF"/>
                                  <w:sz w:val="17"/>
                                </w:rPr>
                                <w:tab/>
                                <w:t>Fuera</w:t>
                              </w:r>
                              <w:r>
                                <w:rPr>
                                  <w:rFonts w:ascii="Arial Narrow"/>
                                  <w:b/>
                                  <w:color w:val="FFFFFF"/>
                                  <w:spacing w:val="-4"/>
                                  <w:sz w:val="17"/>
                                </w:rPr>
                                <w:t> </w:t>
                              </w:r>
                              <w:r>
                                <w:rPr>
                                  <w:rFonts w:ascii="Arial Narrow"/>
                                  <w:b/>
                                  <w:color w:val="FFFFFF"/>
                                  <w:sz w:val="17"/>
                                </w:rPr>
                                <w:t>de</w:t>
                                <w:tab/>
                                <w:tab/>
                              </w:r>
                              <w:r>
                                <w:rPr>
                                  <w:rFonts w:ascii="Arial Narrow"/>
                                  <w:b/>
                                  <w:color w:val="FFFFFF"/>
                                  <w:spacing w:val="-6"/>
                                  <w:sz w:val="17"/>
                                </w:rPr>
                                <w:t>En</w:t>
                              </w:r>
                              <w:r>
                                <w:rPr>
                                  <w:rFonts w:ascii="Arial Narrow"/>
                                  <w:b/>
                                  <w:color w:val="FFFFFF"/>
                                  <w:sz w:val="17"/>
                                </w:rPr>
                                <w:tab/>
                                <w:tab/>
                              </w:r>
                              <w:r>
                                <w:rPr>
                                  <w:rFonts w:ascii="Arial Narrow"/>
                                  <w:b/>
                                  <w:color w:val="FFFFFF"/>
                                  <w:spacing w:val="-4"/>
                                  <w:sz w:val="17"/>
                                </w:rPr>
                                <w:t>Fuera</w:t>
                              </w:r>
                              <w:r>
                                <w:rPr>
                                  <w:rFonts w:ascii="Arial Narrow"/>
                                  <w:b/>
                                  <w:color w:val="FFFFFF"/>
                                  <w:sz w:val="17"/>
                                </w:rPr>
                                <w:tab/>
                              </w:r>
                              <w:r>
                                <w:rPr>
                                  <w:rFonts w:ascii="Arial Narrow"/>
                                  <w:b/>
                                  <w:color w:val="FFFFFF"/>
                                  <w:spacing w:val="-6"/>
                                  <w:sz w:val="17"/>
                                </w:rPr>
                                <w:t>No</w:t>
                              </w:r>
                              <w:r>
                                <w:rPr>
                                  <w:rFonts w:ascii="Arial Narrow"/>
                                  <w:b/>
                                  <w:color w:val="FFFFFF"/>
                                  <w:sz w:val="17"/>
                                </w:rPr>
                                <w:tab/>
                                <w:tab/>
                              </w:r>
                              <w:r>
                                <w:rPr>
                                  <w:rFonts w:ascii="Arial Narrow"/>
                                  <w:b/>
                                  <w:color w:val="FFFFFF"/>
                                  <w:spacing w:val="-6"/>
                                  <w:sz w:val="17"/>
                                </w:rPr>
                                <w:t>En</w:t>
                              </w:r>
                              <w:r>
                                <w:rPr>
                                  <w:rFonts w:ascii="Arial Narrow"/>
                                  <w:b/>
                                  <w:color w:val="FFFFFF"/>
                                  <w:sz w:val="17"/>
                                </w:rPr>
                                <w:tab/>
                                <w:tab/>
                              </w:r>
                              <w:r>
                                <w:rPr>
                                  <w:rFonts w:ascii="Arial Narrow"/>
                                  <w:b/>
                                  <w:color w:val="FFFFFF"/>
                                  <w:spacing w:val="-2"/>
                                  <w:sz w:val="17"/>
                                </w:rPr>
                                <w:t>Fuera</w:t>
                              </w:r>
                              <w:r>
                                <w:rPr>
                                  <w:rFonts w:ascii="Arial Narrow"/>
                                  <w:b/>
                                  <w:color w:val="FFFFFF"/>
                                  <w:spacing w:val="40"/>
                                  <w:sz w:val="17"/>
                                </w:rPr>
                                <w:t> </w:t>
                              </w:r>
                              <w:r>
                                <w:rPr>
                                  <w:rFonts w:ascii="Arial Narrow"/>
                                  <w:b/>
                                  <w:color w:val="FFFFFF"/>
                                  <w:spacing w:val="-2"/>
                                  <w:sz w:val="17"/>
                                </w:rPr>
                                <w:t>plazo</w:t>
                              </w:r>
                              <w:r>
                                <w:rPr>
                                  <w:rFonts w:ascii="Arial Narrow"/>
                                  <w:b/>
                                  <w:color w:val="FFFFFF"/>
                                  <w:sz w:val="17"/>
                                </w:rPr>
                                <w:tab/>
                                <w:t>de</w:t>
                              </w:r>
                              <w:r>
                                <w:rPr>
                                  <w:rFonts w:ascii="Arial Narrow"/>
                                  <w:b/>
                                  <w:color w:val="FFFFFF"/>
                                  <w:spacing w:val="-2"/>
                                  <w:sz w:val="17"/>
                                </w:rPr>
                                <w:t> </w:t>
                              </w:r>
                              <w:r>
                                <w:rPr>
                                  <w:rFonts w:ascii="Arial Narrow"/>
                                  <w:b/>
                                  <w:color w:val="FFFFFF"/>
                                  <w:sz w:val="17"/>
                                </w:rPr>
                                <w:t>plazo</w:t>
                              </w:r>
                              <w:r>
                                <w:rPr>
                                  <w:rFonts w:ascii="Arial Narrow"/>
                                  <w:b/>
                                  <w:color w:val="FFFFFF"/>
                                  <w:spacing w:val="52"/>
                                  <w:sz w:val="17"/>
                                </w:rPr>
                                <w:t>  </w:t>
                              </w:r>
                              <w:r>
                                <w:rPr>
                                  <w:rFonts w:ascii="Arial Narrow"/>
                                  <w:b/>
                                  <w:color w:val="FFFFFF"/>
                                  <w:spacing w:val="-2"/>
                                  <w:sz w:val="17"/>
                                </w:rPr>
                                <w:t>rendida</w:t>
                              </w:r>
                              <w:r>
                                <w:rPr>
                                  <w:rFonts w:ascii="Arial Narrow"/>
                                  <w:b/>
                                  <w:color w:val="FFFFFF"/>
                                  <w:sz w:val="17"/>
                                </w:rPr>
                                <w:tab/>
                              </w:r>
                              <w:r>
                                <w:rPr>
                                  <w:rFonts w:ascii="Arial Narrow"/>
                                  <w:b/>
                                  <w:color w:val="FFFFFF"/>
                                  <w:spacing w:val="-2"/>
                                  <w:sz w:val="17"/>
                                </w:rPr>
                                <w:t>plazo</w:t>
                              </w:r>
                              <w:r>
                                <w:rPr>
                                  <w:rFonts w:ascii="Arial Narrow"/>
                                  <w:b/>
                                  <w:color w:val="FFFFFF"/>
                                  <w:sz w:val="17"/>
                                </w:rPr>
                                <w:tab/>
                                <w:tab/>
                              </w:r>
                              <w:r>
                                <w:rPr>
                                  <w:rFonts w:ascii="Arial Narrow"/>
                                  <w:b/>
                                  <w:color w:val="FFFFFF"/>
                                  <w:spacing w:val="-4"/>
                                  <w:sz w:val="17"/>
                                </w:rPr>
                                <w:t>plazo</w:t>
                              </w:r>
                              <w:r>
                                <w:rPr>
                                  <w:rFonts w:ascii="Arial Narrow"/>
                                  <w:b/>
                                  <w:color w:val="FFFFFF"/>
                                  <w:sz w:val="17"/>
                                </w:rPr>
                                <w:tab/>
                              </w:r>
                              <w:r>
                                <w:rPr>
                                  <w:rFonts w:ascii="Arial Narrow"/>
                                  <w:b/>
                                  <w:color w:val="FFFFFF"/>
                                  <w:spacing w:val="-4"/>
                                  <w:sz w:val="17"/>
                                </w:rPr>
                                <w:t>plazo</w:t>
                              </w:r>
                              <w:r>
                                <w:rPr>
                                  <w:rFonts w:ascii="Arial Narrow"/>
                                  <w:b/>
                                  <w:color w:val="FFFFFF"/>
                                  <w:sz w:val="17"/>
                                </w:rPr>
                                <w:tab/>
                                <w:t>de</w:t>
                              </w:r>
                              <w:r>
                                <w:rPr>
                                  <w:rFonts w:ascii="Arial Narrow"/>
                                  <w:b/>
                                  <w:color w:val="FFFFFF"/>
                                  <w:spacing w:val="-2"/>
                                  <w:sz w:val="17"/>
                                </w:rPr>
                                <w:t> </w:t>
                              </w:r>
                              <w:r>
                                <w:rPr>
                                  <w:rFonts w:ascii="Arial Narrow"/>
                                  <w:b/>
                                  <w:color w:val="FFFFFF"/>
                                  <w:sz w:val="17"/>
                                </w:rPr>
                                <w:t>plazo</w:t>
                              </w:r>
                              <w:r>
                                <w:rPr>
                                  <w:rFonts w:ascii="Arial Narrow"/>
                                  <w:b/>
                                  <w:color w:val="FFFFFF"/>
                                  <w:spacing w:val="51"/>
                                  <w:sz w:val="17"/>
                                </w:rPr>
                                <w:t>  </w:t>
                              </w:r>
                              <w:r>
                                <w:rPr>
                                  <w:rFonts w:ascii="Arial Narrow"/>
                                  <w:b/>
                                  <w:color w:val="FFFFFF"/>
                                  <w:spacing w:val="-2"/>
                                  <w:sz w:val="17"/>
                                </w:rPr>
                                <w:t>rendida</w:t>
                              </w:r>
                              <w:r>
                                <w:rPr>
                                  <w:rFonts w:ascii="Arial Narrow"/>
                                  <w:b/>
                                  <w:color w:val="FFFFFF"/>
                                  <w:sz w:val="17"/>
                                </w:rPr>
                                <w:tab/>
                              </w:r>
                              <w:r>
                                <w:rPr>
                                  <w:rFonts w:ascii="Arial Narrow"/>
                                  <w:b/>
                                  <w:color w:val="FFFFFF"/>
                                  <w:spacing w:val="-2"/>
                                  <w:sz w:val="17"/>
                                </w:rPr>
                                <w:t>plazo</w:t>
                              </w:r>
                              <w:r>
                                <w:rPr>
                                  <w:rFonts w:ascii="Arial Narrow"/>
                                  <w:b/>
                                  <w:color w:val="FFFFFF"/>
                                  <w:sz w:val="17"/>
                                </w:rPr>
                                <w:tab/>
                                <w:t>de</w:t>
                              </w:r>
                              <w:r>
                                <w:rPr>
                                  <w:rFonts w:ascii="Arial Narrow"/>
                                  <w:b/>
                                  <w:color w:val="FFFFFF"/>
                                  <w:spacing w:val="-3"/>
                                  <w:sz w:val="17"/>
                                </w:rPr>
                                <w:t> </w:t>
                              </w:r>
                              <w:r>
                                <w:rPr>
                                  <w:rFonts w:ascii="Arial Narrow"/>
                                  <w:b/>
                                  <w:color w:val="FFFFFF"/>
                                  <w:spacing w:val="-2"/>
                                  <w:sz w:val="17"/>
                                </w:rPr>
                                <w:t>plazo</w:t>
                              </w:r>
                            </w:p>
                          </w:txbxContent>
                        </wps:txbx>
                        <wps:bodyPr wrap="square" lIns="0" tIns="0" rIns="0" bIns="0" rtlCol="0">
                          <a:noAutofit/>
                        </wps:bodyPr>
                      </wps:wsp>
                    </wpg:wgp>
                  </a:graphicData>
                </a:graphic>
              </wp:anchor>
            </w:drawing>
          </mc:Choice>
          <mc:Fallback>
            <w:pict>
              <v:group style="position:absolute;margin-left:54.264pt;margin-top:49.309063pt;width:486.95pt;height:43.8pt;mso-position-horizontal-relative:page;mso-position-vertical-relative:paragraph;z-index:15770624" id="docshapegroup259" coordorigin="1085,986" coordsize="9739,876">
                <v:shape style="position:absolute;left:1085;top:986;width:9739;height:876" id="docshape260" coordorigin="1085,986" coordsize="9739,876" path="m3483,986l2367,986,2367,986,1085,986,1085,1862,2367,1862,2367,1862,3483,1862,3483,986xm9323,986l7348,986,7278,986,7278,986,7254,986,7254,986,7185,986,7185,1394,7185,1413,6330,1413,5788,1413,5788,1409,5781,1409,5781,1394,5788,1394,7185,1394,7185,986,5788,986,5718,986,5718,986,5699,986,5699,986,5627,986,3483,986,3483,1394,5627,1394,5629,1394,5629,1413,5620,1413,5620,1413,4911,1413,4189,1413,3483,1413,3483,1862,4189,1862,4911,1862,5620,1862,5620,1862,5781,1862,6330,1862,7185,1862,7348,1862,7891,1862,7891,1413,7348,1413,7348,1394,9323,1394,9323,986xm10824,986l9484,986,9412,986,9412,986,9393,986,9393,986,9324,986,9324,1394,9324,1413,9316,1413,8599,1413,7891,1413,7891,1862,8599,1862,9316,1862,9475,1862,10022,1862,10022,1862,10817,1862,10817,1413,10022,1413,10022,1413,9484,1413,9484,1409,9475,1409,9475,1394,9484,1394,10824,1394,10824,986xe" filled="true" fillcolor="#1f3763" stroked="false">
                  <v:path arrowok="t"/>
                  <v:fill type="solid"/>
                </v:shape>
                <v:shape style="position:absolute;left:3905;top:1090;width:1322;height:196" type="#_x0000_t202" id="docshape261" filled="false" stroked="false">
                  <v:textbox inset="0,0,0,0">
                    <w:txbxContent>
                      <w:p>
                        <w:pPr>
                          <w:spacing w:before="0"/>
                          <w:ind w:left="0" w:right="0" w:firstLine="0"/>
                          <w:jc w:val="left"/>
                          <w:rPr>
                            <w:rFonts w:ascii="Arial Narrow"/>
                            <w:b/>
                            <w:sz w:val="17"/>
                          </w:rPr>
                        </w:pPr>
                        <w:r>
                          <w:rPr>
                            <w:rFonts w:ascii="Arial Narrow"/>
                            <w:b/>
                            <w:color w:val="FFFFFF"/>
                            <w:sz w:val="17"/>
                          </w:rPr>
                          <w:t>CUENTA </w:t>
                        </w:r>
                        <w:r>
                          <w:rPr>
                            <w:rFonts w:ascii="Arial Narrow"/>
                            <w:b/>
                            <w:color w:val="FFFFFF"/>
                            <w:spacing w:val="-2"/>
                            <w:sz w:val="17"/>
                          </w:rPr>
                          <w:t>GENERAL</w:t>
                        </w:r>
                      </w:p>
                    </w:txbxContent>
                  </v:textbox>
                  <w10:wrap type="none"/>
                </v:shape>
                <v:shape style="position:absolute;left:6003;top:994;width:982;height:390" type="#_x0000_t202" id="docshape262" filled="false" stroked="false">
                  <v:textbox inset="0,0,0,0">
                    <w:txbxContent>
                      <w:p>
                        <w:pPr>
                          <w:spacing w:before="0"/>
                          <w:ind w:left="38" w:right="18" w:hanging="39"/>
                          <w:jc w:val="left"/>
                          <w:rPr>
                            <w:rFonts w:ascii="Arial Narrow" w:hAnsi="Arial Narrow"/>
                            <w:b/>
                            <w:sz w:val="17"/>
                          </w:rPr>
                        </w:pPr>
                        <w:r>
                          <w:rPr>
                            <w:rFonts w:ascii="Arial Narrow" w:hAnsi="Arial Narrow"/>
                            <w:b/>
                            <w:color w:val="FFFFFF"/>
                            <w:sz w:val="17"/>
                          </w:rPr>
                          <w:t>RELACIÓN</w:t>
                        </w:r>
                        <w:r>
                          <w:rPr>
                            <w:rFonts w:ascii="Arial Narrow" w:hAnsi="Arial Narrow"/>
                            <w:b/>
                            <w:color w:val="FFFFFF"/>
                            <w:spacing w:val="-10"/>
                            <w:sz w:val="17"/>
                          </w:rPr>
                          <w:t> </w:t>
                        </w:r>
                        <w:r>
                          <w:rPr>
                            <w:rFonts w:ascii="Arial Narrow" w:hAnsi="Arial Narrow"/>
                            <w:b/>
                            <w:color w:val="FFFFFF"/>
                            <w:sz w:val="17"/>
                          </w:rPr>
                          <w:t>DE</w:t>
                        </w:r>
                        <w:r>
                          <w:rPr>
                            <w:rFonts w:ascii="Arial Narrow" w:hAnsi="Arial Narrow"/>
                            <w:b/>
                            <w:color w:val="FFFFFF"/>
                            <w:spacing w:val="40"/>
                            <w:sz w:val="17"/>
                          </w:rPr>
                          <w:t> </w:t>
                        </w:r>
                        <w:r>
                          <w:rPr>
                            <w:rFonts w:ascii="Arial Narrow" w:hAnsi="Arial Narrow"/>
                            <w:b/>
                            <w:color w:val="FFFFFF"/>
                            <w:spacing w:val="-2"/>
                            <w:sz w:val="17"/>
                          </w:rPr>
                          <w:t>CONTRATOS</w:t>
                        </w:r>
                      </w:p>
                    </w:txbxContent>
                  </v:textbox>
                  <w10:wrap type="none"/>
                </v:shape>
                <v:shape style="position:absolute;left:7369;top:1090;width:1858;height:196" type="#_x0000_t202" id="docshape263"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z w:val="17"/>
                          </w:rPr>
                          <w:t>RELACIÓN</w:t>
                        </w:r>
                        <w:r>
                          <w:rPr>
                            <w:rFonts w:ascii="Arial Narrow" w:hAnsi="Arial Narrow"/>
                            <w:b/>
                            <w:color w:val="FFFFFF"/>
                            <w:spacing w:val="-2"/>
                            <w:sz w:val="17"/>
                          </w:rPr>
                          <w:t> </w:t>
                        </w:r>
                        <w:r>
                          <w:rPr>
                            <w:rFonts w:ascii="Arial Narrow" w:hAnsi="Arial Narrow"/>
                            <w:b/>
                            <w:color w:val="FFFFFF"/>
                            <w:sz w:val="17"/>
                          </w:rPr>
                          <w:t>DE </w:t>
                        </w:r>
                        <w:r>
                          <w:rPr>
                            <w:rFonts w:ascii="Arial Narrow" w:hAnsi="Arial Narrow"/>
                            <w:b/>
                            <w:color w:val="FFFFFF"/>
                            <w:spacing w:val="-2"/>
                            <w:sz w:val="17"/>
                          </w:rPr>
                          <w:t>CONVENIOS</w:t>
                        </w:r>
                      </w:p>
                    </w:txbxContent>
                  </v:textbox>
                  <w10:wrap type="none"/>
                </v:shape>
                <v:shape style="position:absolute;left:1291;top:1325;width:889;height:196" type="#_x0000_t202" id="docshape264"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2"/>
                            <w:sz w:val="17"/>
                          </w:rPr>
                          <w:t>DIPUTACIÓN</w:t>
                        </w:r>
                      </w:p>
                    </w:txbxContent>
                  </v:textbox>
                  <w10:wrap type="none"/>
                </v:shape>
                <v:shape style="position:absolute;left:2501;top:1325;width:865;height:196" type="#_x0000_t202" id="docshape265" filled="false" stroked="false">
                  <v:textbox inset="0,0,0,0">
                    <w:txbxContent>
                      <w:p>
                        <w:pPr>
                          <w:spacing w:before="0"/>
                          <w:ind w:left="0" w:right="0" w:firstLine="0"/>
                          <w:jc w:val="left"/>
                          <w:rPr>
                            <w:rFonts w:ascii="Arial Narrow"/>
                            <w:b/>
                            <w:sz w:val="17"/>
                          </w:rPr>
                        </w:pPr>
                        <w:r>
                          <w:rPr>
                            <w:rFonts w:ascii="Arial Narrow"/>
                            <w:b/>
                            <w:color w:val="FFFFFF"/>
                            <w:spacing w:val="-2"/>
                            <w:sz w:val="17"/>
                          </w:rPr>
                          <w:t>EJERCICIOS</w:t>
                        </w:r>
                      </w:p>
                    </w:txbxContent>
                  </v:textbox>
                  <w10:wrap type="none"/>
                </v:shape>
                <v:shape style="position:absolute;left:9808;top:994;width:710;height:390" type="#_x0000_t202" id="docshape266" filled="false" stroked="false">
                  <v:textbox inset="0,0,0,0">
                    <w:txbxContent>
                      <w:p>
                        <w:pPr>
                          <w:spacing w:before="0"/>
                          <w:ind w:left="31" w:right="18" w:hanging="32"/>
                          <w:jc w:val="left"/>
                          <w:rPr>
                            <w:rFonts w:ascii="Arial Narrow"/>
                            <w:b/>
                            <w:sz w:val="17"/>
                          </w:rPr>
                        </w:pPr>
                        <w:r>
                          <w:rPr>
                            <w:rFonts w:ascii="Arial Narrow"/>
                            <w:b/>
                            <w:color w:val="FFFFFF"/>
                            <w:spacing w:val="-2"/>
                            <w:sz w:val="17"/>
                          </w:rPr>
                          <w:t>CONTROL</w:t>
                        </w:r>
                        <w:r>
                          <w:rPr>
                            <w:rFonts w:ascii="Arial Narrow"/>
                            <w:b/>
                            <w:color w:val="FFFFFF"/>
                            <w:spacing w:val="40"/>
                            <w:sz w:val="17"/>
                          </w:rPr>
                          <w:t> </w:t>
                        </w:r>
                        <w:r>
                          <w:rPr>
                            <w:rFonts w:ascii="Arial Narrow"/>
                            <w:b/>
                            <w:color w:val="FFFFFF"/>
                            <w:spacing w:val="-2"/>
                            <w:sz w:val="17"/>
                          </w:rPr>
                          <w:t>INTERNO</w:t>
                        </w:r>
                      </w:p>
                    </w:txbxContent>
                  </v:textbox>
                  <w10:wrap type="none"/>
                </v:shape>
                <v:shape style="position:absolute;left:3658;top:1412;width:7089;height:390" type="#_x0000_t202" id="docshape267" filled="false" stroked="false">
                  <v:textbox inset="0,0,0,0">
                    <w:txbxContent>
                      <w:p>
                        <w:pPr>
                          <w:tabs>
                            <w:tab w:pos="611" w:val="left" w:leader="none"/>
                            <w:tab w:pos="698" w:val="left" w:leader="none"/>
                            <w:tab w:pos="1511" w:val="left" w:leader="none"/>
                            <w:tab w:pos="2162" w:val="left" w:leader="none"/>
                            <w:tab w:pos="2249" w:val="left" w:leader="none"/>
                            <w:tab w:pos="2805" w:val="left" w:leader="none"/>
                            <w:tab w:pos="2918" w:val="left" w:leader="none"/>
                            <w:tab w:pos="3696" w:val="left" w:leader="none"/>
                            <w:tab w:pos="3785" w:val="left" w:leader="none"/>
                            <w:tab w:pos="4306" w:val="left" w:leader="none"/>
                            <w:tab w:pos="4395" w:val="left" w:leader="none"/>
                            <w:tab w:pos="5204" w:val="left" w:leader="none"/>
                            <w:tab w:pos="5854" w:val="left" w:leader="none"/>
                            <w:tab w:pos="5943" w:val="left" w:leader="none"/>
                            <w:tab w:pos="6510" w:val="left" w:leader="none"/>
                            <w:tab w:pos="6596" w:val="left" w:leader="none"/>
                          </w:tabs>
                          <w:spacing w:before="0"/>
                          <w:ind w:left="0" w:right="18" w:firstLine="88"/>
                          <w:jc w:val="left"/>
                          <w:rPr>
                            <w:rFonts w:ascii="Arial Narrow"/>
                            <w:b/>
                            <w:sz w:val="17"/>
                          </w:rPr>
                        </w:pPr>
                        <w:r>
                          <w:rPr>
                            <w:rFonts w:ascii="Arial Narrow"/>
                            <w:b/>
                            <w:color w:val="FFFFFF"/>
                            <w:spacing w:val="-6"/>
                            <w:sz w:val="17"/>
                          </w:rPr>
                          <w:t>En</w:t>
                        </w:r>
                        <w:r>
                          <w:rPr>
                            <w:rFonts w:ascii="Arial Narrow"/>
                            <w:b/>
                            <w:color w:val="FFFFFF"/>
                            <w:sz w:val="17"/>
                          </w:rPr>
                          <w:tab/>
                          <w:tab/>
                        </w:r>
                        <w:r>
                          <w:rPr>
                            <w:rFonts w:ascii="Arial Narrow"/>
                            <w:b/>
                            <w:color w:val="FFFFFF"/>
                            <w:spacing w:val="-2"/>
                            <w:sz w:val="17"/>
                          </w:rPr>
                          <w:t>Fuera</w:t>
                        </w:r>
                        <w:r>
                          <w:rPr>
                            <w:rFonts w:ascii="Arial Narrow"/>
                            <w:b/>
                            <w:color w:val="FFFFFF"/>
                            <w:sz w:val="17"/>
                          </w:rPr>
                          <w:tab/>
                        </w:r>
                        <w:r>
                          <w:rPr>
                            <w:rFonts w:ascii="Arial Narrow"/>
                            <w:b/>
                            <w:color w:val="FFFFFF"/>
                            <w:spacing w:val="-6"/>
                            <w:sz w:val="17"/>
                          </w:rPr>
                          <w:t>No</w:t>
                        </w:r>
                        <w:r>
                          <w:rPr>
                            <w:rFonts w:ascii="Arial Narrow"/>
                            <w:b/>
                            <w:color w:val="FFFFFF"/>
                            <w:sz w:val="17"/>
                          </w:rPr>
                          <w:tab/>
                          <w:tab/>
                        </w:r>
                        <w:r>
                          <w:rPr>
                            <w:rFonts w:ascii="Arial Narrow"/>
                            <w:b/>
                            <w:color w:val="FFFFFF"/>
                            <w:spacing w:val="-6"/>
                            <w:sz w:val="17"/>
                          </w:rPr>
                          <w:t>En</w:t>
                        </w:r>
                        <w:r>
                          <w:rPr>
                            <w:rFonts w:ascii="Arial Narrow"/>
                            <w:b/>
                            <w:color w:val="FFFFFF"/>
                            <w:sz w:val="17"/>
                          </w:rPr>
                          <w:tab/>
                          <w:t>Fuera</w:t>
                        </w:r>
                        <w:r>
                          <w:rPr>
                            <w:rFonts w:ascii="Arial Narrow"/>
                            <w:b/>
                            <w:color w:val="FFFFFF"/>
                            <w:spacing w:val="-4"/>
                            <w:sz w:val="17"/>
                          </w:rPr>
                          <w:t> </w:t>
                        </w:r>
                        <w:r>
                          <w:rPr>
                            <w:rFonts w:ascii="Arial Narrow"/>
                            <w:b/>
                            <w:color w:val="FFFFFF"/>
                            <w:sz w:val="17"/>
                          </w:rPr>
                          <w:t>de</w:t>
                          <w:tab/>
                          <w:tab/>
                        </w:r>
                        <w:r>
                          <w:rPr>
                            <w:rFonts w:ascii="Arial Narrow"/>
                            <w:b/>
                            <w:color w:val="FFFFFF"/>
                            <w:spacing w:val="-6"/>
                            <w:sz w:val="17"/>
                          </w:rPr>
                          <w:t>En</w:t>
                        </w:r>
                        <w:r>
                          <w:rPr>
                            <w:rFonts w:ascii="Arial Narrow"/>
                            <w:b/>
                            <w:color w:val="FFFFFF"/>
                            <w:sz w:val="17"/>
                          </w:rPr>
                          <w:tab/>
                          <w:tab/>
                        </w:r>
                        <w:r>
                          <w:rPr>
                            <w:rFonts w:ascii="Arial Narrow"/>
                            <w:b/>
                            <w:color w:val="FFFFFF"/>
                            <w:spacing w:val="-4"/>
                            <w:sz w:val="17"/>
                          </w:rPr>
                          <w:t>Fuera</w:t>
                        </w:r>
                        <w:r>
                          <w:rPr>
                            <w:rFonts w:ascii="Arial Narrow"/>
                            <w:b/>
                            <w:color w:val="FFFFFF"/>
                            <w:sz w:val="17"/>
                          </w:rPr>
                          <w:tab/>
                        </w:r>
                        <w:r>
                          <w:rPr>
                            <w:rFonts w:ascii="Arial Narrow"/>
                            <w:b/>
                            <w:color w:val="FFFFFF"/>
                            <w:spacing w:val="-6"/>
                            <w:sz w:val="17"/>
                          </w:rPr>
                          <w:t>No</w:t>
                        </w:r>
                        <w:r>
                          <w:rPr>
                            <w:rFonts w:ascii="Arial Narrow"/>
                            <w:b/>
                            <w:color w:val="FFFFFF"/>
                            <w:sz w:val="17"/>
                          </w:rPr>
                          <w:tab/>
                          <w:tab/>
                        </w:r>
                        <w:r>
                          <w:rPr>
                            <w:rFonts w:ascii="Arial Narrow"/>
                            <w:b/>
                            <w:color w:val="FFFFFF"/>
                            <w:spacing w:val="-6"/>
                            <w:sz w:val="17"/>
                          </w:rPr>
                          <w:t>En</w:t>
                        </w:r>
                        <w:r>
                          <w:rPr>
                            <w:rFonts w:ascii="Arial Narrow"/>
                            <w:b/>
                            <w:color w:val="FFFFFF"/>
                            <w:sz w:val="17"/>
                          </w:rPr>
                          <w:tab/>
                          <w:tab/>
                        </w:r>
                        <w:r>
                          <w:rPr>
                            <w:rFonts w:ascii="Arial Narrow"/>
                            <w:b/>
                            <w:color w:val="FFFFFF"/>
                            <w:spacing w:val="-2"/>
                            <w:sz w:val="17"/>
                          </w:rPr>
                          <w:t>Fuera</w:t>
                        </w:r>
                        <w:r>
                          <w:rPr>
                            <w:rFonts w:ascii="Arial Narrow"/>
                            <w:b/>
                            <w:color w:val="FFFFFF"/>
                            <w:spacing w:val="40"/>
                            <w:sz w:val="17"/>
                          </w:rPr>
                          <w:t> </w:t>
                        </w:r>
                        <w:r>
                          <w:rPr>
                            <w:rFonts w:ascii="Arial Narrow"/>
                            <w:b/>
                            <w:color w:val="FFFFFF"/>
                            <w:spacing w:val="-2"/>
                            <w:sz w:val="17"/>
                          </w:rPr>
                          <w:t>plazo</w:t>
                        </w:r>
                        <w:r>
                          <w:rPr>
                            <w:rFonts w:ascii="Arial Narrow"/>
                            <w:b/>
                            <w:color w:val="FFFFFF"/>
                            <w:sz w:val="17"/>
                          </w:rPr>
                          <w:tab/>
                          <w:t>de</w:t>
                        </w:r>
                        <w:r>
                          <w:rPr>
                            <w:rFonts w:ascii="Arial Narrow"/>
                            <w:b/>
                            <w:color w:val="FFFFFF"/>
                            <w:spacing w:val="-2"/>
                            <w:sz w:val="17"/>
                          </w:rPr>
                          <w:t> </w:t>
                        </w:r>
                        <w:r>
                          <w:rPr>
                            <w:rFonts w:ascii="Arial Narrow"/>
                            <w:b/>
                            <w:color w:val="FFFFFF"/>
                            <w:sz w:val="17"/>
                          </w:rPr>
                          <w:t>plazo</w:t>
                        </w:r>
                        <w:r>
                          <w:rPr>
                            <w:rFonts w:ascii="Arial Narrow"/>
                            <w:b/>
                            <w:color w:val="FFFFFF"/>
                            <w:spacing w:val="52"/>
                            <w:sz w:val="17"/>
                          </w:rPr>
                          <w:t>  </w:t>
                        </w:r>
                        <w:r>
                          <w:rPr>
                            <w:rFonts w:ascii="Arial Narrow"/>
                            <w:b/>
                            <w:color w:val="FFFFFF"/>
                            <w:spacing w:val="-2"/>
                            <w:sz w:val="17"/>
                          </w:rPr>
                          <w:t>rendida</w:t>
                        </w:r>
                        <w:r>
                          <w:rPr>
                            <w:rFonts w:ascii="Arial Narrow"/>
                            <w:b/>
                            <w:color w:val="FFFFFF"/>
                            <w:sz w:val="17"/>
                          </w:rPr>
                          <w:tab/>
                        </w:r>
                        <w:r>
                          <w:rPr>
                            <w:rFonts w:ascii="Arial Narrow"/>
                            <w:b/>
                            <w:color w:val="FFFFFF"/>
                            <w:spacing w:val="-2"/>
                            <w:sz w:val="17"/>
                          </w:rPr>
                          <w:t>plazo</w:t>
                        </w:r>
                        <w:r>
                          <w:rPr>
                            <w:rFonts w:ascii="Arial Narrow"/>
                            <w:b/>
                            <w:color w:val="FFFFFF"/>
                            <w:sz w:val="17"/>
                          </w:rPr>
                          <w:tab/>
                          <w:tab/>
                        </w:r>
                        <w:r>
                          <w:rPr>
                            <w:rFonts w:ascii="Arial Narrow"/>
                            <w:b/>
                            <w:color w:val="FFFFFF"/>
                            <w:spacing w:val="-4"/>
                            <w:sz w:val="17"/>
                          </w:rPr>
                          <w:t>plazo</w:t>
                        </w:r>
                        <w:r>
                          <w:rPr>
                            <w:rFonts w:ascii="Arial Narrow"/>
                            <w:b/>
                            <w:color w:val="FFFFFF"/>
                            <w:sz w:val="17"/>
                          </w:rPr>
                          <w:tab/>
                        </w:r>
                        <w:r>
                          <w:rPr>
                            <w:rFonts w:ascii="Arial Narrow"/>
                            <w:b/>
                            <w:color w:val="FFFFFF"/>
                            <w:spacing w:val="-4"/>
                            <w:sz w:val="17"/>
                          </w:rPr>
                          <w:t>plazo</w:t>
                        </w:r>
                        <w:r>
                          <w:rPr>
                            <w:rFonts w:ascii="Arial Narrow"/>
                            <w:b/>
                            <w:color w:val="FFFFFF"/>
                            <w:sz w:val="17"/>
                          </w:rPr>
                          <w:tab/>
                          <w:t>de</w:t>
                        </w:r>
                        <w:r>
                          <w:rPr>
                            <w:rFonts w:ascii="Arial Narrow"/>
                            <w:b/>
                            <w:color w:val="FFFFFF"/>
                            <w:spacing w:val="-2"/>
                            <w:sz w:val="17"/>
                          </w:rPr>
                          <w:t> </w:t>
                        </w:r>
                        <w:r>
                          <w:rPr>
                            <w:rFonts w:ascii="Arial Narrow"/>
                            <w:b/>
                            <w:color w:val="FFFFFF"/>
                            <w:sz w:val="17"/>
                          </w:rPr>
                          <w:t>plazo</w:t>
                        </w:r>
                        <w:r>
                          <w:rPr>
                            <w:rFonts w:ascii="Arial Narrow"/>
                            <w:b/>
                            <w:color w:val="FFFFFF"/>
                            <w:spacing w:val="51"/>
                            <w:sz w:val="17"/>
                          </w:rPr>
                          <w:t>  </w:t>
                        </w:r>
                        <w:r>
                          <w:rPr>
                            <w:rFonts w:ascii="Arial Narrow"/>
                            <w:b/>
                            <w:color w:val="FFFFFF"/>
                            <w:spacing w:val="-2"/>
                            <w:sz w:val="17"/>
                          </w:rPr>
                          <w:t>rendida</w:t>
                        </w:r>
                        <w:r>
                          <w:rPr>
                            <w:rFonts w:ascii="Arial Narrow"/>
                            <w:b/>
                            <w:color w:val="FFFFFF"/>
                            <w:sz w:val="17"/>
                          </w:rPr>
                          <w:tab/>
                        </w:r>
                        <w:r>
                          <w:rPr>
                            <w:rFonts w:ascii="Arial Narrow"/>
                            <w:b/>
                            <w:color w:val="FFFFFF"/>
                            <w:spacing w:val="-2"/>
                            <w:sz w:val="17"/>
                          </w:rPr>
                          <w:t>plazo</w:t>
                        </w:r>
                        <w:r>
                          <w:rPr>
                            <w:rFonts w:ascii="Arial Narrow"/>
                            <w:b/>
                            <w:color w:val="FFFFFF"/>
                            <w:sz w:val="17"/>
                          </w:rPr>
                          <w:tab/>
                          <w:t>de</w:t>
                        </w:r>
                        <w:r>
                          <w:rPr>
                            <w:rFonts w:ascii="Arial Narrow"/>
                            <w:b/>
                            <w:color w:val="FFFFFF"/>
                            <w:spacing w:val="-3"/>
                            <w:sz w:val="17"/>
                          </w:rPr>
                          <w:t> </w:t>
                        </w:r>
                        <w:r>
                          <w:rPr>
                            <w:rFonts w:ascii="Arial Narrow"/>
                            <w:b/>
                            <w:color w:val="FFFFFF"/>
                            <w:spacing w:val="-2"/>
                            <w:sz w:val="17"/>
                          </w:rPr>
                          <w:t>plazo</w:t>
                        </w:r>
                      </w:p>
                    </w:txbxContent>
                  </v:textbox>
                  <w10:wrap type="none"/>
                </v:shape>
                <w10:wrap type="none"/>
              </v:group>
            </w:pict>
          </mc:Fallback>
        </mc:AlternateContent>
      </w:r>
      <w:r>
        <w:rPr/>
        <w:t>A</w:t>
      </w:r>
      <w:r>
        <w:rPr>
          <w:spacing w:val="-4"/>
        </w:rPr>
        <w:t> </w:t>
      </w:r>
      <w:r>
        <w:rPr/>
        <w:t>continuación,</w:t>
      </w:r>
      <w:r>
        <w:rPr>
          <w:spacing w:val="-5"/>
        </w:rPr>
        <w:t> </w:t>
      </w:r>
      <w:r>
        <w:rPr/>
        <w:t>se</w:t>
      </w:r>
      <w:r>
        <w:rPr>
          <w:spacing w:val="-9"/>
        </w:rPr>
        <w:t> </w:t>
      </w:r>
      <w:r>
        <w:rPr/>
        <w:t>refleja</w:t>
      </w:r>
      <w:r>
        <w:rPr>
          <w:spacing w:val="-6"/>
        </w:rPr>
        <w:t> </w:t>
      </w:r>
      <w:r>
        <w:rPr/>
        <w:t>el</w:t>
      </w:r>
      <w:r>
        <w:rPr>
          <w:spacing w:val="-5"/>
        </w:rPr>
        <w:t> </w:t>
      </w:r>
      <w:r>
        <w:rPr/>
        <w:t>cumplimiento</w:t>
      </w:r>
      <w:r>
        <w:rPr>
          <w:spacing w:val="-6"/>
        </w:rPr>
        <w:t> </w:t>
      </w:r>
      <w:r>
        <w:rPr/>
        <w:t>de</w:t>
      </w:r>
      <w:r>
        <w:rPr>
          <w:spacing w:val="-7"/>
        </w:rPr>
        <w:t> </w:t>
      </w:r>
      <w:r>
        <w:rPr/>
        <w:t>estas</w:t>
      </w:r>
      <w:r>
        <w:rPr>
          <w:spacing w:val="-4"/>
        </w:rPr>
        <w:t> </w:t>
      </w:r>
      <w:r>
        <w:rPr/>
        <w:t>obligaciones</w:t>
      </w:r>
      <w:r>
        <w:rPr>
          <w:spacing w:val="-4"/>
        </w:rPr>
        <w:t> </w:t>
      </w:r>
      <w:r>
        <w:rPr/>
        <w:t>a</w:t>
      </w:r>
      <w:r>
        <w:rPr>
          <w:spacing w:val="-4"/>
        </w:rPr>
        <w:t> </w:t>
      </w:r>
      <w:r>
        <w:rPr/>
        <w:t>17</w:t>
      </w:r>
      <w:r>
        <w:rPr>
          <w:spacing w:val="-7"/>
        </w:rPr>
        <w:t> </w:t>
      </w:r>
      <w:r>
        <w:rPr/>
        <w:t>de</w:t>
      </w:r>
      <w:r>
        <w:rPr>
          <w:spacing w:val="-4"/>
        </w:rPr>
        <w:t> </w:t>
      </w:r>
      <w:r>
        <w:rPr/>
        <w:t>noviembre</w:t>
      </w:r>
      <w:r>
        <w:rPr>
          <w:spacing w:val="-6"/>
        </w:rPr>
        <w:t> </w:t>
      </w:r>
      <w:r>
        <w:rPr/>
        <w:t>de</w:t>
      </w:r>
      <w:r>
        <w:rPr>
          <w:spacing w:val="-7"/>
        </w:rPr>
        <w:t> </w:t>
      </w:r>
      <w:r>
        <w:rPr/>
        <w:t>2025</w:t>
      </w:r>
      <w:r>
        <w:rPr>
          <w:spacing w:val="-4"/>
        </w:rPr>
        <w:t> </w:t>
      </w:r>
      <w:r>
        <w:rPr/>
        <w:t>por</w:t>
      </w:r>
      <w:r>
        <w:rPr>
          <w:spacing w:val="-5"/>
        </w:rPr>
        <w:t> </w:t>
      </w:r>
      <w:r>
        <w:rPr/>
        <w:t>los ayuntamientos analizados:</w:t>
      </w:r>
    </w:p>
    <w:p>
      <w:pPr>
        <w:pStyle w:val="BodyText"/>
        <w:rPr>
          <w:sz w:val="20"/>
        </w:rPr>
      </w:pPr>
    </w:p>
    <w:p>
      <w:pPr>
        <w:pStyle w:val="BodyText"/>
        <w:rPr>
          <w:sz w:val="20"/>
        </w:rPr>
      </w:pPr>
    </w:p>
    <w:p>
      <w:pPr>
        <w:pStyle w:val="BodyText"/>
        <w:rPr>
          <w:sz w:val="20"/>
        </w:rPr>
      </w:pPr>
    </w:p>
    <w:p>
      <w:pPr>
        <w:pStyle w:val="BodyText"/>
        <w:spacing w:before="184"/>
        <w:rPr>
          <w:sz w:val="20"/>
        </w:rPr>
      </w:pPr>
    </w:p>
    <w:tbl>
      <w:tblPr>
        <w:tblW w:w="0" w:type="auto"/>
        <w:jc w:val="left"/>
        <w:tblInd w:w="954" w:type="dxa"/>
        <w:tblBorders>
          <w:top w:val="single" w:sz="8" w:space="0" w:color="1F3763"/>
          <w:left w:val="single" w:sz="8" w:space="0" w:color="1F3763"/>
          <w:bottom w:val="single" w:sz="8" w:space="0" w:color="1F3763"/>
          <w:right w:val="single" w:sz="8" w:space="0" w:color="1F3763"/>
          <w:insideH w:val="single" w:sz="8" w:space="0" w:color="1F3763"/>
          <w:insideV w:val="single" w:sz="8" w:space="0" w:color="1F3763"/>
        </w:tblBorders>
        <w:tblLayout w:type="fixed"/>
        <w:tblCellMar>
          <w:top w:w="0" w:type="dxa"/>
          <w:left w:w="0" w:type="dxa"/>
          <w:bottom w:w="0" w:type="dxa"/>
          <w:right w:w="0" w:type="dxa"/>
        </w:tblCellMar>
        <w:tblLook w:val="01E0"/>
      </w:tblPr>
      <w:tblGrid>
        <w:gridCol w:w="1286"/>
        <w:gridCol w:w="1114"/>
        <w:gridCol w:w="703"/>
        <w:gridCol w:w="722"/>
        <w:gridCol w:w="708"/>
        <w:gridCol w:w="710"/>
        <w:gridCol w:w="854"/>
        <w:gridCol w:w="706"/>
        <w:gridCol w:w="708"/>
        <w:gridCol w:w="718"/>
        <w:gridCol w:w="706"/>
        <w:gridCol w:w="794"/>
      </w:tblGrid>
      <w:tr>
        <w:trPr>
          <w:trHeight w:val="450" w:hRule="atLeast"/>
        </w:trPr>
        <w:tc>
          <w:tcPr>
            <w:tcW w:w="1286" w:type="dxa"/>
            <w:vMerge w:val="restart"/>
            <w:tcBorders>
              <w:top w:val="nil"/>
              <w:right w:val="single" w:sz="4" w:space="0" w:color="1F3763"/>
            </w:tcBorders>
          </w:tcPr>
          <w:p>
            <w:pPr>
              <w:pStyle w:val="TableParagraph"/>
              <w:spacing w:before="145"/>
              <w:rPr>
                <w:rFonts w:ascii="Arial"/>
                <w:sz w:val="18"/>
              </w:rPr>
            </w:pPr>
          </w:p>
          <w:p>
            <w:pPr>
              <w:pStyle w:val="TableParagraph"/>
              <w:ind w:left="266"/>
              <w:rPr>
                <w:b/>
                <w:sz w:val="18"/>
              </w:rPr>
            </w:pPr>
            <w:r>
              <w:rPr>
                <w:b/>
                <w:spacing w:val="-2"/>
                <w:sz w:val="18"/>
              </w:rPr>
              <w:t>ALICANTE</w:t>
            </w:r>
          </w:p>
        </w:tc>
        <w:tc>
          <w:tcPr>
            <w:tcW w:w="1114" w:type="dxa"/>
            <w:tcBorders>
              <w:top w:val="nil"/>
              <w:left w:val="single" w:sz="4" w:space="0" w:color="1F3763"/>
              <w:bottom w:val="single" w:sz="4" w:space="0" w:color="1F3763"/>
              <w:right w:val="single" w:sz="4" w:space="0" w:color="1F3763"/>
            </w:tcBorders>
            <w:shd w:val="clear" w:color="auto" w:fill="F1F1F1"/>
          </w:tcPr>
          <w:p>
            <w:pPr>
              <w:pStyle w:val="TableParagraph"/>
              <w:spacing w:before="124"/>
              <w:ind w:left="9"/>
              <w:jc w:val="center"/>
              <w:rPr>
                <w:b/>
                <w:sz w:val="18"/>
              </w:rPr>
            </w:pPr>
            <w:r>
              <w:rPr>
                <w:b/>
                <w:spacing w:val="-4"/>
                <w:sz w:val="18"/>
              </w:rPr>
              <w:t>2023</w:t>
            </w:r>
          </w:p>
        </w:tc>
        <w:tc>
          <w:tcPr>
            <w:tcW w:w="703" w:type="dxa"/>
            <w:tcBorders>
              <w:top w:val="nil"/>
              <w:left w:val="single" w:sz="4" w:space="0" w:color="1F3763"/>
              <w:bottom w:val="single" w:sz="4" w:space="0" w:color="1F3763"/>
              <w:right w:val="single" w:sz="4" w:space="0" w:color="1F3763"/>
            </w:tcBorders>
            <w:shd w:val="clear" w:color="auto" w:fill="F1F1F1"/>
          </w:tcPr>
          <w:p>
            <w:pPr>
              <w:pStyle w:val="TableParagraph"/>
              <w:spacing w:before="70"/>
              <w:ind w:left="20"/>
              <w:jc w:val="center"/>
              <w:rPr>
                <w:rFonts w:ascii="Segoe UI Symbol" w:hAnsi="Segoe UI Symbol"/>
                <w:b/>
                <w:sz w:val="24"/>
              </w:rPr>
            </w:pPr>
            <w:r>
              <w:rPr>
                <w:rFonts w:ascii="Segoe UI Symbol" w:hAnsi="Segoe UI Symbol"/>
                <w:b/>
                <w:color w:val="46894A"/>
                <w:spacing w:val="-10"/>
                <w:sz w:val="24"/>
              </w:rPr>
              <w:t>✓</w:t>
            </w:r>
          </w:p>
        </w:tc>
        <w:tc>
          <w:tcPr>
            <w:tcW w:w="722" w:type="dxa"/>
            <w:tcBorders>
              <w:top w:val="nil"/>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08" w:type="dxa"/>
            <w:tcBorders>
              <w:top w:val="nil"/>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10" w:type="dxa"/>
            <w:tcBorders>
              <w:top w:val="nil"/>
              <w:left w:val="single" w:sz="12" w:space="0" w:color="1F3763"/>
              <w:bottom w:val="single" w:sz="4" w:space="0" w:color="1F3763"/>
              <w:right w:val="single" w:sz="4" w:space="0" w:color="1F3763"/>
            </w:tcBorders>
            <w:shd w:val="clear" w:color="auto" w:fill="F1F1F1"/>
          </w:tcPr>
          <w:p>
            <w:pPr>
              <w:pStyle w:val="TableParagraph"/>
              <w:spacing w:before="70"/>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top w:val="nil"/>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top w:val="nil"/>
              <w:left w:val="single" w:sz="12"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08" w:type="dxa"/>
            <w:tcBorders>
              <w:top w:val="nil"/>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18" w:type="dxa"/>
            <w:tcBorders>
              <w:top w:val="nil"/>
              <w:left w:val="single" w:sz="4" w:space="0" w:color="1F3763"/>
              <w:bottom w:val="single" w:sz="4" w:space="0" w:color="1F3763"/>
              <w:right w:val="single" w:sz="12" w:space="0" w:color="1F3763"/>
            </w:tcBorders>
            <w:shd w:val="clear" w:color="auto" w:fill="F1F1F1"/>
          </w:tcPr>
          <w:p>
            <w:pPr>
              <w:pStyle w:val="TableParagraph"/>
              <w:spacing w:before="52"/>
              <w:ind w:left="30"/>
              <w:jc w:val="center"/>
              <w:rPr>
                <w:rFonts w:ascii="Bradley Hand ITC"/>
                <w:b/>
                <w:sz w:val="28"/>
              </w:rPr>
            </w:pPr>
            <w:r>
              <w:rPr>
                <w:rFonts w:ascii="Bradley Hand ITC"/>
                <w:b/>
                <w:color w:val="FF0000"/>
                <w:spacing w:val="-10"/>
                <w:sz w:val="28"/>
              </w:rPr>
              <w:t>X</w:t>
            </w:r>
          </w:p>
        </w:tc>
        <w:tc>
          <w:tcPr>
            <w:tcW w:w="706" w:type="dxa"/>
            <w:tcBorders>
              <w:top w:val="nil"/>
              <w:left w:val="single" w:sz="12" w:space="0" w:color="1F3763"/>
              <w:bottom w:val="single" w:sz="4" w:space="0" w:color="1F3763"/>
              <w:right w:val="single" w:sz="4" w:space="0" w:color="1F3763"/>
            </w:tcBorders>
            <w:shd w:val="clear" w:color="auto" w:fill="F1F1F1"/>
          </w:tcPr>
          <w:p>
            <w:pPr>
              <w:pStyle w:val="TableParagraph"/>
              <w:spacing w:before="70"/>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top w:val="nil"/>
              <w:left w:val="single" w:sz="4" w:space="0" w:color="1F3763"/>
              <w:bottom w:val="single" w:sz="4" w:space="0" w:color="1F3763"/>
            </w:tcBorders>
            <w:shd w:val="clear" w:color="auto" w:fill="F1F1F1"/>
          </w:tcPr>
          <w:p>
            <w:pPr>
              <w:pStyle w:val="TableParagraph"/>
              <w:rPr>
                <w:rFonts w:ascii="Times New Roman"/>
                <w:sz w:val="18"/>
              </w:rPr>
            </w:pPr>
          </w:p>
        </w:tc>
      </w:tr>
      <w:tr>
        <w:trPr>
          <w:trHeight w:val="438" w:hRule="atLeast"/>
        </w:trPr>
        <w:tc>
          <w:tcPr>
            <w:tcW w:w="1286" w:type="dxa"/>
            <w:vMerge/>
            <w:tcBorders>
              <w:top w:val="nil"/>
              <w:right w:val="single" w:sz="4" w:space="0" w:color="1F3763"/>
            </w:tcBorders>
          </w:tcPr>
          <w:p>
            <w:pPr>
              <w:rPr>
                <w:sz w:val="2"/>
                <w:szCs w:val="2"/>
              </w:rPr>
            </w:pPr>
          </w:p>
        </w:tc>
        <w:tc>
          <w:tcPr>
            <w:tcW w:w="1114" w:type="dxa"/>
            <w:tcBorders>
              <w:top w:val="single" w:sz="4" w:space="0" w:color="1F3763"/>
              <w:left w:val="single" w:sz="4" w:space="0" w:color="1F3763"/>
              <w:right w:val="single" w:sz="4" w:space="0" w:color="1F3763"/>
            </w:tcBorders>
          </w:tcPr>
          <w:p>
            <w:pPr>
              <w:pStyle w:val="TableParagraph"/>
              <w:spacing w:before="116"/>
              <w:ind w:left="9"/>
              <w:jc w:val="center"/>
              <w:rPr>
                <w:b/>
                <w:sz w:val="18"/>
              </w:rPr>
            </w:pPr>
            <w:r>
              <w:rPr>
                <w:b/>
                <w:spacing w:val="-4"/>
                <w:sz w:val="18"/>
              </w:rPr>
              <w:t>2024</w:t>
            </w:r>
          </w:p>
        </w:tc>
        <w:tc>
          <w:tcPr>
            <w:tcW w:w="703" w:type="dxa"/>
            <w:tcBorders>
              <w:top w:val="single" w:sz="4" w:space="0" w:color="1F3763"/>
              <w:left w:val="single" w:sz="4" w:space="0" w:color="1F3763"/>
              <w:right w:val="single" w:sz="4" w:space="0" w:color="1F3763"/>
            </w:tcBorders>
          </w:tcPr>
          <w:p>
            <w:pPr>
              <w:pStyle w:val="TableParagraph"/>
              <w:spacing w:before="62"/>
              <w:ind w:left="20"/>
              <w:jc w:val="center"/>
              <w:rPr>
                <w:rFonts w:ascii="Segoe UI Symbol" w:hAnsi="Segoe UI Symbol"/>
                <w:b/>
                <w:sz w:val="24"/>
              </w:rPr>
            </w:pPr>
            <w:r>
              <w:rPr>
                <w:rFonts w:ascii="Segoe UI Symbol" w:hAnsi="Segoe UI Symbol"/>
                <w:b/>
                <w:color w:val="46894A"/>
                <w:spacing w:val="-10"/>
                <w:sz w:val="24"/>
              </w:rPr>
              <w:t>✓</w:t>
            </w:r>
          </w:p>
        </w:tc>
        <w:tc>
          <w:tcPr>
            <w:tcW w:w="722"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10" w:type="dxa"/>
            <w:tcBorders>
              <w:top w:val="single" w:sz="4" w:space="0" w:color="1F3763"/>
              <w:left w:val="single" w:sz="12" w:space="0" w:color="1F3763"/>
              <w:right w:val="single" w:sz="4" w:space="0" w:color="1F3763"/>
            </w:tcBorders>
          </w:tcPr>
          <w:p>
            <w:pPr>
              <w:pStyle w:val="TableParagraph"/>
              <w:rPr>
                <w:rFonts w:ascii="Times New Roman"/>
                <w:sz w:val="18"/>
              </w:rPr>
            </w:pPr>
          </w:p>
        </w:tc>
        <w:tc>
          <w:tcPr>
            <w:tcW w:w="854" w:type="dxa"/>
            <w:tcBorders>
              <w:top w:val="single" w:sz="4" w:space="0" w:color="1F3763"/>
              <w:left w:val="single" w:sz="4" w:space="0" w:color="1F3763"/>
              <w:right w:val="single" w:sz="12" w:space="0" w:color="1F3763"/>
            </w:tcBorders>
          </w:tcPr>
          <w:p>
            <w:pPr>
              <w:pStyle w:val="TableParagraph"/>
              <w:spacing w:before="8"/>
              <w:rPr>
                <w:rFonts w:ascii="Arial"/>
                <w:sz w:val="3"/>
              </w:rPr>
            </w:pPr>
          </w:p>
          <w:p>
            <w:pPr>
              <w:pStyle w:val="TableParagraph"/>
              <w:ind w:left="268"/>
              <w:rPr>
                <w:rFonts w:ascii="Arial"/>
                <w:sz w:val="20"/>
              </w:rPr>
            </w:pPr>
            <w:r>
              <w:rPr>
                <w:rFonts w:ascii="Arial"/>
                <w:sz w:val="20"/>
              </w:rPr>
              <w:drawing>
                <wp:inline distT="0" distB="0" distL="0" distR="0">
                  <wp:extent cx="202411" cy="240029"/>
                  <wp:effectExtent l="0" t="0" r="0" b="0"/>
                  <wp:docPr id="303" name="Image 303" descr="Icono  El contenido generado por IA puede ser incorrecto."/>
                  <wp:cNvGraphicFramePr>
                    <a:graphicFrameLocks/>
                  </wp:cNvGraphicFramePr>
                  <a:graphic>
                    <a:graphicData uri="http://schemas.openxmlformats.org/drawingml/2006/picture">
                      <pic:pic>
                        <pic:nvPicPr>
                          <pic:cNvPr id="303" name="Image 303" descr="Icono  El contenido generado por IA puede ser incorrecto."/>
                          <pic:cNvPicPr/>
                        </pic:nvPicPr>
                        <pic:blipFill>
                          <a:blip r:embed="rId89" cstate="print"/>
                          <a:stretch>
                            <a:fillRect/>
                          </a:stretch>
                        </pic:blipFill>
                        <pic:spPr>
                          <a:xfrm>
                            <a:off x="0" y="0"/>
                            <a:ext cx="202411" cy="240029"/>
                          </a:xfrm>
                          <a:prstGeom prst="rect">
                            <a:avLst/>
                          </a:prstGeom>
                        </pic:spPr>
                      </pic:pic>
                    </a:graphicData>
                  </a:graphic>
                </wp:inline>
              </w:drawing>
            </w:r>
            <w:r>
              <w:rPr>
                <w:rFonts w:ascii="Arial"/>
                <w:sz w:val="20"/>
              </w:rPr>
            </w:r>
          </w:p>
        </w:tc>
        <w:tc>
          <w:tcPr>
            <w:tcW w:w="706" w:type="dxa"/>
            <w:tcBorders>
              <w:top w:val="single" w:sz="4" w:space="0" w:color="1F3763"/>
              <w:left w:val="single" w:sz="12"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18" w:type="dxa"/>
            <w:tcBorders>
              <w:top w:val="single" w:sz="4" w:space="0" w:color="1F3763"/>
              <w:left w:val="single" w:sz="4" w:space="0" w:color="1F3763"/>
              <w:right w:val="single" w:sz="12" w:space="0" w:color="1F3763"/>
            </w:tcBorders>
          </w:tcPr>
          <w:p>
            <w:pPr>
              <w:pStyle w:val="TableParagraph"/>
              <w:spacing w:before="47"/>
              <w:ind w:left="30"/>
              <w:jc w:val="center"/>
              <w:rPr>
                <w:rFonts w:ascii="Bradley Hand ITC"/>
                <w:b/>
                <w:sz w:val="28"/>
              </w:rPr>
            </w:pPr>
            <w:r>
              <w:rPr>
                <w:rFonts w:ascii="Bradley Hand ITC"/>
                <w:b/>
                <w:color w:val="FF0000"/>
                <w:spacing w:val="-10"/>
                <w:sz w:val="28"/>
              </w:rPr>
              <w:t>X</w:t>
            </w:r>
          </w:p>
        </w:tc>
        <w:tc>
          <w:tcPr>
            <w:tcW w:w="706" w:type="dxa"/>
            <w:tcBorders>
              <w:top w:val="single" w:sz="4" w:space="0" w:color="1F3763"/>
              <w:left w:val="single" w:sz="12" w:space="0" w:color="1F3763"/>
              <w:right w:val="single" w:sz="4" w:space="0" w:color="1F3763"/>
            </w:tcBorders>
          </w:tcPr>
          <w:p>
            <w:pPr>
              <w:pStyle w:val="TableParagraph"/>
              <w:spacing w:before="62"/>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top w:val="single" w:sz="4" w:space="0" w:color="1F3763"/>
              <w:left w:val="single" w:sz="4" w:space="0" w:color="1F3763"/>
            </w:tcBorders>
          </w:tcPr>
          <w:p>
            <w:pPr>
              <w:pStyle w:val="TableParagraph"/>
              <w:rPr>
                <w:rFonts w:ascii="Times New Roman"/>
                <w:sz w:val="18"/>
              </w:rPr>
            </w:pPr>
          </w:p>
        </w:tc>
      </w:tr>
      <w:tr>
        <w:trPr>
          <w:trHeight w:val="428" w:hRule="atLeast"/>
        </w:trPr>
        <w:tc>
          <w:tcPr>
            <w:tcW w:w="1286" w:type="dxa"/>
            <w:vMerge w:val="restart"/>
            <w:tcBorders>
              <w:right w:val="single" w:sz="4" w:space="0" w:color="1F3763"/>
            </w:tcBorders>
          </w:tcPr>
          <w:p>
            <w:pPr>
              <w:pStyle w:val="TableParagraph"/>
              <w:spacing w:before="132"/>
              <w:rPr>
                <w:rFonts w:ascii="Arial"/>
                <w:sz w:val="18"/>
              </w:rPr>
            </w:pPr>
          </w:p>
          <w:p>
            <w:pPr>
              <w:pStyle w:val="TableParagraph"/>
              <w:ind w:left="258"/>
              <w:rPr>
                <w:b/>
                <w:sz w:val="18"/>
              </w:rPr>
            </w:pPr>
            <w:r>
              <w:rPr>
                <w:b/>
                <w:spacing w:val="-2"/>
                <w:sz w:val="18"/>
              </w:rPr>
              <w:t>CÓRDOBA</w:t>
            </w:r>
          </w:p>
        </w:tc>
        <w:tc>
          <w:tcPr>
            <w:tcW w:w="1114" w:type="dxa"/>
            <w:tcBorders>
              <w:left w:val="single" w:sz="4" w:space="0" w:color="1F3763"/>
              <w:bottom w:val="single" w:sz="4" w:space="0" w:color="1F3763"/>
              <w:right w:val="single" w:sz="4" w:space="0" w:color="1F3763"/>
            </w:tcBorders>
            <w:shd w:val="clear" w:color="auto" w:fill="F1F1F1"/>
          </w:tcPr>
          <w:p>
            <w:pPr>
              <w:pStyle w:val="TableParagraph"/>
              <w:spacing w:before="114"/>
              <w:ind w:left="9"/>
              <w:jc w:val="center"/>
              <w:rPr>
                <w:b/>
                <w:sz w:val="18"/>
              </w:rPr>
            </w:pPr>
            <w:r>
              <w:rPr>
                <w:b/>
                <w:spacing w:val="-4"/>
                <w:sz w:val="18"/>
              </w:rPr>
              <w:t>2023</w:t>
            </w:r>
          </w:p>
        </w:tc>
        <w:tc>
          <w:tcPr>
            <w:tcW w:w="703"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22" w:type="dxa"/>
            <w:tcBorders>
              <w:left w:val="single" w:sz="4" w:space="0" w:color="1F3763"/>
              <w:bottom w:val="single" w:sz="4" w:space="0" w:color="1F3763"/>
              <w:right w:val="single" w:sz="4" w:space="0" w:color="1F3763"/>
            </w:tcBorders>
            <w:shd w:val="clear" w:color="auto" w:fill="F1F1F1"/>
          </w:tcPr>
          <w:p>
            <w:pPr>
              <w:pStyle w:val="TableParagraph"/>
              <w:spacing w:before="4"/>
              <w:rPr>
                <w:rFonts w:ascii="Arial"/>
                <w:sz w:val="3"/>
              </w:rPr>
            </w:pPr>
          </w:p>
          <w:p>
            <w:pPr>
              <w:pStyle w:val="TableParagraph"/>
              <w:ind w:left="197"/>
              <w:rPr>
                <w:rFonts w:ascii="Arial"/>
                <w:sz w:val="20"/>
              </w:rPr>
            </w:pPr>
            <w:r>
              <w:rPr>
                <w:rFonts w:ascii="Arial"/>
                <w:sz w:val="20"/>
              </w:rPr>
              <w:drawing>
                <wp:inline distT="0" distB="0" distL="0" distR="0">
                  <wp:extent cx="211291" cy="245173"/>
                  <wp:effectExtent l="0" t="0" r="0" b="0"/>
                  <wp:docPr id="304" name="Image 304" descr="Icono  El contenido generado por IA puede ser incorrecto."/>
                  <wp:cNvGraphicFramePr>
                    <a:graphicFrameLocks/>
                  </wp:cNvGraphicFramePr>
                  <a:graphic>
                    <a:graphicData uri="http://schemas.openxmlformats.org/drawingml/2006/picture">
                      <pic:pic>
                        <pic:nvPicPr>
                          <pic:cNvPr id="304" name="Image 304" descr="Icono  El contenido generado por IA puede ser incorrecto."/>
                          <pic:cNvPicPr/>
                        </pic:nvPicPr>
                        <pic:blipFill>
                          <a:blip r:embed="rId90" cstate="print"/>
                          <a:stretch>
                            <a:fillRect/>
                          </a:stretch>
                        </pic:blipFill>
                        <pic:spPr>
                          <a:xfrm>
                            <a:off x="0" y="0"/>
                            <a:ext cx="211291" cy="245173"/>
                          </a:xfrm>
                          <a:prstGeom prst="rect">
                            <a:avLst/>
                          </a:prstGeom>
                        </pic:spPr>
                      </pic:pic>
                    </a:graphicData>
                  </a:graphic>
                </wp:inline>
              </w:drawing>
            </w:r>
            <w:r>
              <w:rPr>
                <w:rFonts w:ascii="Arial"/>
                <w:sz w:val="20"/>
              </w:rPr>
            </w:r>
          </w:p>
        </w:tc>
        <w:tc>
          <w:tcPr>
            <w:tcW w:w="70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10" w:type="dxa"/>
            <w:tcBorders>
              <w:left w:val="single" w:sz="12"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854" w:type="dxa"/>
            <w:tcBorders>
              <w:left w:val="single" w:sz="4" w:space="0" w:color="1F3763"/>
              <w:bottom w:val="single" w:sz="4" w:space="0" w:color="1F3763"/>
              <w:right w:val="single" w:sz="12" w:space="0" w:color="1F3763"/>
            </w:tcBorders>
            <w:shd w:val="clear" w:color="auto" w:fill="F1F1F1"/>
          </w:tcPr>
          <w:p>
            <w:pPr>
              <w:pStyle w:val="TableParagraph"/>
              <w:spacing w:before="4"/>
              <w:rPr>
                <w:rFonts w:ascii="Arial"/>
                <w:sz w:val="3"/>
              </w:rPr>
            </w:pPr>
          </w:p>
          <w:p>
            <w:pPr>
              <w:pStyle w:val="TableParagraph"/>
              <w:ind w:left="264"/>
              <w:rPr>
                <w:rFonts w:ascii="Arial"/>
                <w:sz w:val="20"/>
              </w:rPr>
            </w:pPr>
            <w:r>
              <w:rPr>
                <w:rFonts w:ascii="Arial"/>
                <w:sz w:val="20"/>
              </w:rPr>
              <w:drawing>
                <wp:inline distT="0" distB="0" distL="0" distR="0">
                  <wp:extent cx="211291" cy="245173"/>
                  <wp:effectExtent l="0" t="0" r="0" b="0"/>
                  <wp:docPr id="305" name="Image 305" descr="Icono  El contenido generado por IA puede ser incorrecto."/>
                  <wp:cNvGraphicFramePr>
                    <a:graphicFrameLocks/>
                  </wp:cNvGraphicFramePr>
                  <a:graphic>
                    <a:graphicData uri="http://schemas.openxmlformats.org/drawingml/2006/picture">
                      <pic:pic>
                        <pic:nvPicPr>
                          <pic:cNvPr id="305" name="Image 305" descr="Icono  El contenido generado por IA puede ser incorrecto."/>
                          <pic:cNvPicPr/>
                        </pic:nvPicPr>
                        <pic:blipFill>
                          <a:blip r:embed="rId91" cstate="print"/>
                          <a:stretch>
                            <a:fillRect/>
                          </a:stretch>
                        </pic:blipFill>
                        <pic:spPr>
                          <a:xfrm>
                            <a:off x="0" y="0"/>
                            <a:ext cx="211291" cy="245173"/>
                          </a:xfrm>
                          <a:prstGeom prst="rect">
                            <a:avLst/>
                          </a:prstGeom>
                        </pic:spPr>
                      </pic:pic>
                    </a:graphicData>
                  </a:graphic>
                </wp:inline>
              </w:drawing>
            </w:r>
            <w:r>
              <w:rPr>
                <w:rFonts w:ascii="Arial"/>
                <w:sz w:val="20"/>
              </w:rPr>
            </w:r>
          </w:p>
        </w:tc>
        <w:tc>
          <w:tcPr>
            <w:tcW w:w="706" w:type="dxa"/>
            <w:tcBorders>
              <w:left w:val="single" w:sz="12"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08" w:type="dxa"/>
            <w:tcBorders>
              <w:left w:val="single" w:sz="4" w:space="0" w:color="1F3763"/>
              <w:bottom w:val="single" w:sz="4" w:space="0" w:color="1F3763"/>
              <w:right w:val="single" w:sz="4" w:space="0" w:color="1F3763"/>
            </w:tcBorders>
            <w:shd w:val="clear" w:color="auto" w:fill="F1F1F1"/>
          </w:tcPr>
          <w:p>
            <w:pPr>
              <w:pStyle w:val="TableParagraph"/>
              <w:spacing w:before="4"/>
              <w:rPr>
                <w:rFonts w:ascii="Arial"/>
                <w:sz w:val="3"/>
              </w:rPr>
            </w:pPr>
          </w:p>
          <w:p>
            <w:pPr>
              <w:pStyle w:val="TableParagraph"/>
              <w:ind w:left="190"/>
              <w:rPr>
                <w:rFonts w:ascii="Arial"/>
                <w:sz w:val="20"/>
              </w:rPr>
            </w:pPr>
            <w:r>
              <w:rPr>
                <w:rFonts w:ascii="Arial"/>
                <w:sz w:val="20"/>
              </w:rPr>
              <w:drawing>
                <wp:inline distT="0" distB="0" distL="0" distR="0">
                  <wp:extent cx="211291" cy="245173"/>
                  <wp:effectExtent l="0" t="0" r="0" b="0"/>
                  <wp:docPr id="306" name="Image 306" descr="Icono  El contenido generado por IA puede ser incorrecto."/>
                  <wp:cNvGraphicFramePr>
                    <a:graphicFrameLocks/>
                  </wp:cNvGraphicFramePr>
                  <a:graphic>
                    <a:graphicData uri="http://schemas.openxmlformats.org/drawingml/2006/picture">
                      <pic:pic>
                        <pic:nvPicPr>
                          <pic:cNvPr id="306" name="Image 306" descr="Icono  El contenido generado por IA puede ser incorrecto."/>
                          <pic:cNvPicPr/>
                        </pic:nvPicPr>
                        <pic:blipFill>
                          <a:blip r:embed="rId92" cstate="print"/>
                          <a:stretch>
                            <a:fillRect/>
                          </a:stretch>
                        </pic:blipFill>
                        <pic:spPr>
                          <a:xfrm>
                            <a:off x="0" y="0"/>
                            <a:ext cx="211291" cy="245173"/>
                          </a:xfrm>
                          <a:prstGeom prst="rect">
                            <a:avLst/>
                          </a:prstGeom>
                        </pic:spPr>
                      </pic:pic>
                    </a:graphicData>
                  </a:graphic>
                </wp:inline>
              </w:drawing>
            </w:r>
            <w:r>
              <w:rPr>
                <w:rFonts w:ascii="Arial"/>
                <w:sz w:val="20"/>
              </w:rPr>
            </w:r>
          </w:p>
        </w:tc>
        <w:tc>
          <w:tcPr>
            <w:tcW w:w="71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57"/>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left w:val="single" w:sz="4" w:space="0" w:color="1F3763"/>
              <w:bottom w:val="single" w:sz="4" w:space="0" w:color="1F3763"/>
            </w:tcBorders>
            <w:shd w:val="clear" w:color="auto" w:fill="F1F1F1"/>
          </w:tcPr>
          <w:p>
            <w:pPr>
              <w:pStyle w:val="TableParagraph"/>
              <w:rPr>
                <w:rFonts w:ascii="Times New Roman"/>
                <w:sz w:val="18"/>
              </w:rPr>
            </w:pPr>
          </w:p>
        </w:tc>
      </w:tr>
      <w:tr>
        <w:trPr>
          <w:trHeight w:val="438" w:hRule="atLeast"/>
        </w:trPr>
        <w:tc>
          <w:tcPr>
            <w:tcW w:w="1286" w:type="dxa"/>
            <w:vMerge/>
            <w:tcBorders>
              <w:top w:val="nil"/>
              <w:right w:val="single" w:sz="4" w:space="0" w:color="1F3763"/>
            </w:tcBorders>
          </w:tcPr>
          <w:p>
            <w:pPr>
              <w:rPr>
                <w:sz w:val="2"/>
                <w:szCs w:val="2"/>
              </w:rPr>
            </w:pPr>
          </w:p>
        </w:tc>
        <w:tc>
          <w:tcPr>
            <w:tcW w:w="1114" w:type="dxa"/>
            <w:tcBorders>
              <w:top w:val="single" w:sz="4" w:space="0" w:color="1F3763"/>
              <w:left w:val="single" w:sz="4" w:space="0" w:color="1F3763"/>
              <w:right w:val="single" w:sz="4" w:space="0" w:color="1F3763"/>
            </w:tcBorders>
          </w:tcPr>
          <w:p>
            <w:pPr>
              <w:pStyle w:val="TableParagraph"/>
              <w:spacing w:before="119"/>
              <w:ind w:left="9"/>
              <w:jc w:val="center"/>
              <w:rPr>
                <w:b/>
                <w:sz w:val="18"/>
              </w:rPr>
            </w:pPr>
            <w:r>
              <w:rPr>
                <w:b/>
                <w:spacing w:val="-4"/>
                <w:sz w:val="18"/>
              </w:rPr>
              <w:t>2024</w:t>
            </w:r>
          </w:p>
        </w:tc>
        <w:tc>
          <w:tcPr>
            <w:tcW w:w="703"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22"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12" w:space="0" w:color="1F3763"/>
            </w:tcBorders>
          </w:tcPr>
          <w:p>
            <w:pPr>
              <w:pStyle w:val="TableParagraph"/>
              <w:spacing w:before="47"/>
              <w:ind w:left="28"/>
              <w:jc w:val="center"/>
              <w:rPr>
                <w:rFonts w:ascii="Bradley Hand ITC"/>
                <w:b/>
                <w:sz w:val="28"/>
              </w:rPr>
            </w:pPr>
            <w:r>
              <w:rPr>
                <w:rFonts w:ascii="Bradley Hand ITC"/>
                <w:b/>
                <w:color w:val="FF0000"/>
                <w:spacing w:val="-10"/>
                <w:sz w:val="28"/>
              </w:rPr>
              <w:t>X</w:t>
            </w:r>
          </w:p>
        </w:tc>
        <w:tc>
          <w:tcPr>
            <w:tcW w:w="710" w:type="dxa"/>
            <w:tcBorders>
              <w:top w:val="single" w:sz="4" w:space="0" w:color="1F3763"/>
              <w:left w:val="single" w:sz="12" w:space="0" w:color="1F3763"/>
              <w:right w:val="single" w:sz="4" w:space="0" w:color="1F3763"/>
            </w:tcBorders>
          </w:tcPr>
          <w:p>
            <w:pPr>
              <w:pStyle w:val="TableParagraph"/>
              <w:spacing w:before="62"/>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4" w:space="0" w:color="1F3763"/>
            </w:tcBorders>
          </w:tcPr>
          <w:p>
            <w:pPr>
              <w:pStyle w:val="TableParagraph"/>
              <w:spacing w:before="9"/>
              <w:rPr>
                <w:rFonts w:ascii="Arial"/>
                <w:sz w:val="3"/>
              </w:rPr>
            </w:pPr>
          </w:p>
          <w:p>
            <w:pPr>
              <w:pStyle w:val="TableParagraph"/>
              <w:ind w:left="193"/>
              <w:rPr>
                <w:rFonts w:ascii="Arial"/>
                <w:sz w:val="20"/>
              </w:rPr>
            </w:pPr>
            <w:r>
              <w:rPr>
                <w:rFonts w:ascii="Arial"/>
                <w:sz w:val="20"/>
              </w:rPr>
              <w:drawing>
                <wp:inline distT="0" distB="0" distL="0" distR="0">
                  <wp:extent cx="193957" cy="234696"/>
                  <wp:effectExtent l="0" t="0" r="0" b="0"/>
                  <wp:docPr id="307" name="Image 307" descr="Icono  El contenido generado por IA puede ser incorrecto."/>
                  <wp:cNvGraphicFramePr>
                    <a:graphicFrameLocks/>
                  </wp:cNvGraphicFramePr>
                  <a:graphic>
                    <a:graphicData uri="http://schemas.openxmlformats.org/drawingml/2006/picture">
                      <pic:pic>
                        <pic:nvPicPr>
                          <pic:cNvPr id="307" name="Image 307" descr="Icono  El contenido generado por IA puede ser incorrecto."/>
                          <pic:cNvPicPr/>
                        </pic:nvPicPr>
                        <pic:blipFill>
                          <a:blip r:embed="rId93" cstate="print"/>
                          <a:stretch>
                            <a:fillRect/>
                          </a:stretch>
                        </pic:blipFill>
                        <pic:spPr>
                          <a:xfrm>
                            <a:off x="0" y="0"/>
                            <a:ext cx="193957" cy="234696"/>
                          </a:xfrm>
                          <a:prstGeom prst="rect">
                            <a:avLst/>
                          </a:prstGeom>
                        </pic:spPr>
                      </pic:pic>
                    </a:graphicData>
                  </a:graphic>
                </wp:inline>
              </w:drawing>
            </w:r>
            <w:r>
              <w:rPr>
                <w:rFonts w:ascii="Arial"/>
                <w:sz w:val="20"/>
              </w:rPr>
            </w:r>
          </w:p>
        </w:tc>
        <w:tc>
          <w:tcPr>
            <w:tcW w:w="71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spacing w:before="62"/>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top w:val="single" w:sz="4" w:space="0" w:color="1F3763"/>
              <w:left w:val="single" w:sz="4" w:space="0" w:color="1F3763"/>
            </w:tcBorders>
          </w:tcPr>
          <w:p>
            <w:pPr>
              <w:pStyle w:val="TableParagraph"/>
              <w:rPr>
                <w:rFonts w:ascii="Times New Roman"/>
                <w:sz w:val="18"/>
              </w:rPr>
            </w:pPr>
          </w:p>
        </w:tc>
      </w:tr>
      <w:tr>
        <w:trPr>
          <w:trHeight w:val="428" w:hRule="atLeast"/>
        </w:trPr>
        <w:tc>
          <w:tcPr>
            <w:tcW w:w="1286" w:type="dxa"/>
            <w:vMerge w:val="restart"/>
            <w:tcBorders>
              <w:right w:val="single" w:sz="4" w:space="0" w:color="1F3763"/>
            </w:tcBorders>
          </w:tcPr>
          <w:p>
            <w:pPr>
              <w:pStyle w:val="TableParagraph"/>
              <w:spacing w:before="133"/>
              <w:ind w:left="299" w:right="143" w:hanging="140"/>
              <w:rPr>
                <w:b/>
                <w:sz w:val="18"/>
              </w:rPr>
            </w:pPr>
            <w:r>
              <w:rPr>
                <w:b/>
                <w:sz w:val="18"/>
              </w:rPr>
              <w:t>LAS</w:t>
            </w:r>
            <w:r>
              <w:rPr>
                <w:b/>
                <w:spacing w:val="-11"/>
                <w:sz w:val="18"/>
              </w:rPr>
              <w:t> </w:t>
            </w:r>
            <w:r>
              <w:rPr>
                <w:b/>
                <w:sz w:val="18"/>
              </w:rPr>
              <w:t>PALMAS DE GRAN </w:t>
            </w:r>
            <w:r>
              <w:rPr>
                <w:b/>
                <w:spacing w:val="-2"/>
                <w:sz w:val="18"/>
              </w:rPr>
              <w:t>CANARIA</w:t>
            </w:r>
          </w:p>
        </w:tc>
        <w:tc>
          <w:tcPr>
            <w:tcW w:w="1114" w:type="dxa"/>
            <w:tcBorders>
              <w:left w:val="single" w:sz="4" w:space="0" w:color="1F3763"/>
              <w:bottom w:val="single" w:sz="4" w:space="0" w:color="1F3763"/>
              <w:right w:val="single" w:sz="4" w:space="0" w:color="1F3763"/>
            </w:tcBorders>
            <w:shd w:val="clear" w:color="auto" w:fill="F1F1F1"/>
          </w:tcPr>
          <w:p>
            <w:pPr>
              <w:pStyle w:val="TableParagraph"/>
              <w:spacing w:before="114"/>
              <w:ind w:left="9"/>
              <w:jc w:val="center"/>
              <w:rPr>
                <w:b/>
                <w:sz w:val="18"/>
              </w:rPr>
            </w:pPr>
            <w:r>
              <w:rPr>
                <w:b/>
                <w:spacing w:val="-4"/>
                <w:sz w:val="18"/>
              </w:rPr>
              <w:t>2023</w:t>
            </w:r>
          </w:p>
        </w:tc>
        <w:tc>
          <w:tcPr>
            <w:tcW w:w="703" w:type="dxa"/>
            <w:tcBorders>
              <w:left w:val="single" w:sz="4" w:space="0" w:color="1F3763"/>
              <w:bottom w:val="single" w:sz="4" w:space="0" w:color="1F3763"/>
              <w:right w:val="single" w:sz="4" w:space="0" w:color="1F3763"/>
            </w:tcBorders>
            <w:shd w:val="clear" w:color="auto" w:fill="F1F1F1"/>
          </w:tcPr>
          <w:p>
            <w:pPr>
              <w:pStyle w:val="TableParagraph"/>
              <w:spacing w:before="57"/>
              <w:ind w:left="20"/>
              <w:jc w:val="center"/>
              <w:rPr>
                <w:rFonts w:ascii="Segoe UI Symbol" w:hAnsi="Segoe UI Symbol"/>
                <w:b/>
                <w:sz w:val="24"/>
              </w:rPr>
            </w:pPr>
            <w:r>
              <w:rPr>
                <w:rFonts w:ascii="Segoe UI Symbol" w:hAnsi="Segoe UI Symbol"/>
                <w:b/>
                <w:color w:val="46894A"/>
                <w:spacing w:val="-10"/>
                <w:sz w:val="24"/>
              </w:rPr>
              <w:t>✓</w:t>
            </w:r>
          </w:p>
        </w:tc>
        <w:tc>
          <w:tcPr>
            <w:tcW w:w="722"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0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10" w:type="dxa"/>
            <w:tcBorders>
              <w:left w:val="single" w:sz="12"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854" w:type="dxa"/>
            <w:tcBorders>
              <w:left w:val="single" w:sz="4" w:space="0" w:color="1F3763"/>
              <w:bottom w:val="single" w:sz="4" w:space="0" w:color="1F3763"/>
              <w:right w:val="single" w:sz="12" w:space="0" w:color="1F3763"/>
            </w:tcBorders>
            <w:shd w:val="clear" w:color="auto" w:fill="F1F1F1"/>
          </w:tcPr>
          <w:p>
            <w:pPr>
              <w:pStyle w:val="TableParagraph"/>
              <w:spacing w:before="4"/>
              <w:rPr>
                <w:rFonts w:ascii="Arial"/>
                <w:sz w:val="3"/>
              </w:rPr>
            </w:pPr>
          </w:p>
          <w:p>
            <w:pPr>
              <w:pStyle w:val="TableParagraph"/>
              <w:ind w:left="264"/>
              <w:rPr>
                <w:rFonts w:ascii="Arial"/>
                <w:sz w:val="20"/>
              </w:rPr>
            </w:pPr>
            <w:r>
              <w:rPr>
                <w:rFonts w:ascii="Arial"/>
                <w:sz w:val="20"/>
              </w:rPr>
              <w:drawing>
                <wp:inline distT="0" distB="0" distL="0" distR="0">
                  <wp:extent cx="211508" cy="245173"/>
                  <wp:effectExtent l="0" t="0" r="0" b="0"/>
                  <wp:docPr id="308" name="Image 308" descr="Un conjunto de letras blancas en un fondo blanco  El contenido generado por IA puede ser incorrecto."/>
                  <wp:cNvGraphicFramePr>
                    <a:graphicFrameLocks/>
                  </wp:cNvGraphicFramePr>
                  <a:graphic>
                    <a:graphicData uri="http://schemas.openxmlformats.org/drawingml/2006/picture">
                      <pic:pic>
                        <pic:nvPicPr>
                          <pic:cNvPr id="308" name="Image 308" descr="Un conjunto de letras blancas en un fondo blanco  El contenido generado por IA puede ser incorrecto."/>
                          <pic:cNvPicPr/>
                        </pic:nvPicPr>
                        <pic:blipFill>
                          <a:blip r:embed="rId94" cstate="print"/>
                          <a:stretch>
                            <a:fillRect/>
                          </a:stretch>
                        </pic:blipFill>
                        <pic:spPr>
                          <a:xfrm>
                            <a:off x="0" y="0"/>
                            <a:ext cx="211508" cy="245173"/>
                          </a:xfrm>
                          <a:prstGeom prst="rect">
                            <a:avLst/>
                          </a:prstGeom>
                        </pic:spPr>
                      </pic:pic>
                    </a:graphicData>
                  </a:graphic>
                </wp:inline>
              </w:drawing>
            </w:r>
            <w:r>
              <w:rPr>
                <w:rFonts w:ascii="Arial"/>
                <w:sz w:val="20"/>
              </w:rPr>
            </w: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57"/>
              <w:ind w:left="116" w:right="58"/>
              <w:jc w:val="center"/>
              <w:rPr>
                <w:rFonts w:ascii="Segoe UI Symbol" w:hAnsi="Segoe UI Symbol"/>
                <w:b/>
                <w:sz w:val="24"/>
              </w:rPr>
            </w:pPr>
            <w:r>
              <w:rPr>
                <w:rFonts w:ascii="Segoe UI Symbol" w:hAnsi="Segoe UI Symbol"/>
                <w:b/>
                <w:color w:val="46894A"/>
                <w:spacing w:val="-10"/>
                <w:sz w:val="24"/>
              </w:rPr>
              <w:t>✓</w:t>
            </w:r>
          </w:p>
        </w:tc>
        <w:tc>
          <w:tcPr>
            <w:tcW w:w="708"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1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57"/>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left w:val="single" w:sz="4" w:space="0" w:color="1F3763"/>
              <w:bottom w:val="single" w:sz="4" w:space="0" w:color="1F3763"/>
            </w:tcBorders>
            <w:shd w:val="clear" w:color="auto" w:fill="F1F1F1"/>
          </w:tcPr>
          <w:p>
            <w:pPr>
              <w:pStyle w:val="TableParagraph"/>
              <w:rPr>
                <w:rFonts w:ascii="Times New Roman"/>
                <w:sz w:val="18"/>
              </w:rPr>
            </w:pPr>
          </w:p>
        </w:tc>
      </w:tr>
      <w:tr>
        <w:trPr>
          <w:trHeight w:val="438" w:hRule="atLeast"/>
        </w:trPr>
        <w:tc>
          <w:tcPr>
            <w:tcW w:w="1286" w:type="dxa"/>
            <w:vMerge/>
            <w:tcBorders>
              <w:top w:val="nil"/>
              <w:right w:val="single" w:sz="4" w:space="0" w:color="1F3763"/>
            </w:tcBorders>
          </w:tcPr>
          <w:p>
            <w:pPr>
              <w:rPr>
                <w:sz w:val="2"/>
                <w:szCs w:val="2"/>
              </w:rPr>
            </w:pPr>
          </w:p>
        </w:tc>
        <w:tc>
          <w:tcPr>
            <w:tcW w:w="1114" w:type="dxa"/>
            <w:tcBorders>
              <w:top w:val="single" w:sz="4" w:space="0" w:color="1F3763"/>
              <w:left w:val="single" w:sz="4" w:space="0" w:color="1F3763"/>
              <w:right w:val="single" w:sz="4" w:space="0" w:color="1F3763"/>
            </w:tcBorders>
          </w:tcPr>
          <w:p>
            <w:pPr>
              <w:pStyle w:val="TableParagraph"/>
              <w:spacing w:before="119"/>
              <w:ind w:left="9"/>
              <w:jc w:val="center"/>
              <w:rPr>
                <w:b/>
                <w:sz w:val="18"/>
              </w:rPr>
            </w:pPr>
            <w:r>
              <w:rPr>
                <w:b/>
                <w:spacing w:val="-4"/>
                <w:sz w:val="18"/>
              </w:rPr>
              <w:t>2024</w:t>
            </w:r>
          </w:p>
        </w:tc>
        <w:tc>
          <w:tcPr>
            <w:tcW w:w="703"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22" w:type="dxa"/>
            <w:tcBorders>
              <w:top w:val="single" w:sz="4" w:space="0" w:color="1F3763"/>
              <w:left w:val="single" w:sz="4" w:space="0" w:color="1F3763"/>
              <w:right w:val="single" w:sz="4" w:space="0" w:color="1F3763"/>
            </w:tcBorders>
          </w:tcPr>
          <w:p>
            <w:pPr>
              <w:pStyle w:val="TableParagraph"/>
              <w:spacing w:before="64"/>
              <w:ind w:left="16"/>
              <w:jc w:val="center"/>
              <w:rPr>
                <w:rFonts w:ascii="Segoe UI Symbol" w:hAnsi="Segoe UI Symbol"/>
                <w:b/>
                <w:sz w:val="24"/>
              </w:rPr>
            </w:pPr>
            <w:r>
              <w:rPr>
                <w:rFonts w:ascii="Segoe UI Symbol" w:hAnsi="Segoe UI Symbol"/>
                <w:b/>
                <w:color w:val="46894A"/>
                <w:spacing w:val="-10"/>
                <w:sz w:val="24"/>
              </w:rPr>
              <w:t>✓</w:t>
            </w:r>
          </w:p>
        </w:tc>
        <w:tc>
          <w:tcPr>
            <w:tcW w:w="708" w:type="dxa"/>
            <w:tcBorders>
              <w:top w:val="single" w:sz="4" w:space="0" w:color="1F3763"/>
              <w:left w:val="single" w:sz="4" w:space="0" w:color="1F3763"/>
              <w:right w:val="single" w:sz="12" w:space="0" w:color="1F3763"/>
            </w:tcBorders>
          </w:tcPr>
          <w:p>
            <w:pPr>
              <w:pStyle w:val="TableParagraph"/>
              <w:spacing w:before="10"/>
              <w:rPr>
                <w:rFonts w:ascii="Arial"/>
                <w:sz w:val="3"/>
              </w:rPr>
            </w:pPr>
          </w:p>
          <w:p>
            <w:pPr>
              <w:pStyle w:val="TableParagraph"/>
              <w:ind w:left="188"/>
              <w:rPr>
                <w:rFonts w:ascii="Arial"/>
                <w:sz w:val="20"/>
              </w:rPr>
            </w:pPr>
            <w:r>
              <w:rPr>
                <w:rFonts w:ascii="Arial"/>
                <w:sz w:val="20"/>
              </w:rPr>
              <w:drawing>
                <wp:inline distT="0" distB="0" distL="0" distR="0">
                  <wp:extent cx="206665" cy="240029"/>
                  <wp:effectExtent l="0" t="0" r="0" b="0"/>
                  <wp:docPr id="309" name="Image 309"/>
                  <wp:cNvGraphicFramePr>
                    <a:graphicFrameLocks/>
                  </wp:cNvGraphicFramePr>
                  <a:graphic>
                    <a:graphicData uri="http://schemas.openxmlformats.org/drawingml/2006/picture">
                      <pic:pic>
                        <pic:nvPicPr>
                          <pic:cNvPr id="309" name="Image 309"/>
                          <pic:cNvPicPr/>
                        </pic:nvPicPr>
                        <pic:blipFill>
                          <a:blip r:embed="rId95" cstate="print"/>
                          <a:stretch>
                            <a:fillRect/>
                          </a:stretch>
                        </pic:blipFill>
                        <pic:spPr>
                          <a:xfrm>
                            <a:off x="0" y="0"/>
                            <a:ext cx="206665" cy="240029"/>
                          </a:xfrm>
                          <a:prstGeom prst="rect">
                            <a:avLst/>
                          </a:prstGeom>
                        </pic:spPr>
                      </pic:pic>
                    </a:graphicData>
                  </a:graphic>
                </wp:inline>
              </w:drawing>
            </w:r>
            <w:r>
              <w:rPr>
                <w:rFonts w:ascii="Arial"/>
                <w:sz w:val="20"/>
              </w:rPr>
            </w:r>
          </w:p>
        </w:tc>
        <w:tc>
          <w:tcPr>
            <w:tcW w:w="710" w:type="dxa"/>
            <w:tcBorders>
              <w:top w:val="single" w:sz="4" w:space="0" w:color="1F3763"/>
              <w:left w:val="single" w:sz="12" w:space="0" w:color="1F3763"/>
              <w:right w:val="single" w:sz="4" w:space="0" w:color="1F3763"/>
            </w:tcBorders>
          </w:tcPr>
          <w:p>
            <w:pPr>
              <w:pStyle w:val="TableParagraph"/>
              <w:rPr>
                <w:rFonts w:ascii="Times New Roman"/>
                <w:sz w:val="18"/>
              </w:rPr>
            </w:pPr>
          </w:p>
        </w:tc>
        <w:tc>
          <w:tcPr>
            <w:tcW w:w="854" w:type="dxa"/>
            <w:tcBorders>
              <w:top w:val="single" w:sz="4" w:space="0" w:color="1F3763"/>
              <w:left w:val="single" w:sz="4" w:space="0" w:color="1F3763"/>
              <w:right w:val="single" w:sz="12" w:space="0" w:color="1F3763"/>
            </w:tcBorders>
          </w:tcPr>
          <w:p>
            <w:pPr>
              <w:pStyle w:val="TableParagraph"/>
              <w:spacing w:before="10"/>
              <w:rPr>
                <w:rFonts w:ascii="Arial"/>
                <w:sz w:val="3"/>
              </w:rPr>
            </w:pPr>
          </w:p>
          <w:p>
            <w:pPr>
              <w:pStyle w:val="TableParagraph"/>
              <w:ind w:left="294"/>
              <w:rPr>
                <w:rFonts w:ascii="Arial"/>
                <w:sz w:val="20"/>
              </w:rPr>
            </w:pPr>
            <w:r>
              <w:rPr>
                <w:rFonts w:ascii="Arial"/>
                <w:sz w:val="20"/>
              </w:rPr>
              <w:drawing>
                <wp:inline distT="0" distB="0" distL="0" distR="0">
                  <wp:extent cx="197125" cy="234696"/>
                  <wp:effectExtent l="0" t="0" r="0" b="0"/>
                  <wp:docPr id="310" name="Image 310" descr="Icono  El contenido generado por IA puede ser incorrecto."/>
                  <wp:cNvGraphicFramePr>
                    <a:graphicFrameLocks/>
                  </wp:cNvGraphicFramePr>
                  <a:graphic>
                    <a:graphicData uri="http://schemas.openxmlformats.org/drawingml/2006/picture">
                      <pic:pic>
                        <pic:nvPicPr>
                          <pic:cNvPr id="310" name="Image 310" descr="Icono  El contenido generado por IA puede ser incorrecto."/>
                          <pic:cNvPicPr/>
                        </pic:nvPicPr>
                        <pic:blipFill>
                          <a:blip r:embed="rId96" cstate="print"/>
                          <a:stretch>
                            <a:fillRect/>
                          </a:stretch>
                        </pic:blipFill>
                        <pic:spPr>
                          <a:xfrm>
                            <a:off x="0" y="0"/>
                            <a:ext cx="197125" cy="234696"/>
                          </a:xfrm>
                          <a:prstGeom prst="rect">
                            <a:avLst/>
                          </a:prstGeom>
                        </pic:spPr>
                      </pic:pic>
                    </a:graphicData>
                  </a:graphic>
                </wp:inline>
              </w:drawing>
            </w:r>
            <w:r>
              <w:rPr>
                <w:rFonts w:ascii="Arial"/>
                <w:sz w:val="20"/>
              </w:rPr>
            </w:r>
          </w:p>
        </w:tc>
        <w:tc>
          <w:tcPr>
            <w:tcW w:w="706" w:type="dxa"/>
            <w:tcBorders>
              <w:top w:val="single" w:sz="4" w:space="0" w:color="1F3763"/>
              <w:left w:val="single" w:sz="12" w:space="0" w:color="1F3763"/>
              <w:right w:val="single" w:sz="4" w:space="0" w:color="1F3763"/>
            </w:tcBorders>
          </w:tcPr>
          <w:p>
            <w:pPr>
              <w:pStyle w:val="TableParagraph"/>
              <w:spacing w:before="64"/>
              <w:ind w:left="116" w:right="58"/>
              <w:jc w:val="center"/>
              <w:rPr>
                <w:rFonts w:ascii="Segoe UI Symbol" w:hAnsi="Segoe UI Symbol"/>
                <w:b/>
                <w:sz w:val="24"/>
              </w:rPr>
            </w:pPr>
            <w:r>
              <w:rPr>
                <w:rFonts w:ascii="Segoe UI Symbol" w:hAnsi="Segoe UI Symbol"/>
                <w:b/>
                <w:color w:val="46894A"/>
                <w:spacing w:val="-10"/>
                <w:sz w:val="24"/>
              </w:rPr>
              <w:t>✓</w:t>
            </w:r>
          </w:p>
        </w:tc>
        <w:tc>
          <w:tcPr>
            <w:tcW w:w="708"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1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spacing w:before="64"/>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top w:val="single" w:sz="4" w:space="0" w:color="1F3763"/>
              <w:left w:val="single" w:sz="4" w:space="0" w:color="1F3763"/>
            </w:tcBorders>
          </w:tcPr>
          <w:p>
            <w:pPr>
              <w:pStyle w:val="TableParagraph"/>
              <w:rPr>
                <w:rFonts w:ascii="Times New Roman"/>
                <w:sz w:val="18"/>
              </w:rPr>
            </w:pPr>
          </w:p>
        </w:tc>
      </w:tr>
      <w:tr>
        <w:trPr>
          <w:trHeight w:val="431" w:hRule="atLeast"/>
        </w:trPr>
        <w:tc>
          <w:tcPr>
            <w:tcW w:w="1286" w:type="dxa"/>
            <w:vMerge w:val="restart"/>
            <w:tcBorders>
              <w:right w:val="single" w:sz="4" w:space="0" w:color="1F3763"/>
            </w:tcBorders>
          </w:tcPr>
          <w:p>
            <w:pPr>
              <w:pStyle w:val="TableParagraph"/>
              <w:spacing w:before="135"/>
              <w:rPr>
                <w:rFonts w:ascii="Arial"/>
                <w:sz w:val="18"/>
              </w:rPr>
            </w:pPr>
          </w:p>
          <w:p>
            <w:pPr>
              <w:pStyle w:val="TableParagraph"/>
              <w:ind w:left="316"/>
              <w:rPr>
                <w:b/>
                <w:sz w:val="18"/>
              </w:rPr>
            </w:pPr>
            <w:r>
              <w:rPr>
                <w:b/>
                <w:spacing w:val="-2"/>
                <w:sz w:val="18"/>
              </w:rPr>
              <w:t>MÁLAGA</w:t>
            </w:r>
          </w:p>
        </w:tc>
        <w:tc>
          <w:tcPr>
            <w:tcW w:w="1114" w:type="dxa"/>
            <w:tcBorders>
              <w:left w:val="single" w:sz="4" w:space="0" w:color="1F3763"/>
              <w:bottom w:val="single" w:sz="4" w:space="0" w:color="1F3763"/>
              <w:right w:val="single" w:sz="4" w:space="0" w:color="1F3763"/>
            </w:tcBorders>
            <w:shd w:val="clear" w:color="auto" w:fill="F1F1F1"/>
          </w:tcPr>
          <w:p>
            <w:pPr>
              <w:pStyle w:val="TableParagraph"/>
              <w:spacing w:before="114"/>
              <w:ind w:left="9"/>
              <w:jc w:val="center"/>
              <w:rPr>
                <w:b/>
                <w:sz w:val="18"/>
              </w:rPr>
            </w:pPr>
            <w:r>
              <w:rPr>
                <w:b/>
                <w:spacing w:val="-4"/>
                <w:sz w:val="18"/>
              </w:rPr>
              <w:t>2023</w:t>
            </w:r>
          </w:p>
        </w:tc>
        <w:tc>
          <w:tcPr>
            <w:tcW w:w="703" w:type="dxa"/>
            <w:tcBorders>
              <w:left w:val="single" w:sz="4" w:space="0" w:color="1F3763"/>
              <w:bottom w:val="single" w:sz="4" w:space="0" w:color="1F3763"/>
              <w:right w:val="single" w:sz="4" w:space="0" w:color="1F3763"/>
            </w:tcBorders>
            <w:shd w:val="clear" w:color="auto" w:fill="F1F1F1"/>
          </w:tcPr>
          <w:p>
            <w:pPr>
              <w:pStyle w:val="TableParagraph"/>
              <w:spacing w:before="60"/>
              <w:ind w:left="20"/>
              <w:jc w:val="center"/>
              <w:rPr>
                <w:rFonts w:ascii="Segoe UI Symbol" w:hAnsi="Segoe UI Symbol"/>
                <w:b/>
                <w:sz w:val="24"/>
              </w:rPr>
            </w:pPr>
            <w:r>
              <w:rPr>
                <w:rFonts w:ascii="Segoe UI Symbol" w:hAnsi="Segoe UI Symbol"/>
                <w:b/>
                <w:color w:val="46894A"/>
                <w:spacing w:val="-10"/>
                <w:sz w:val="24"/>
              </w:rPr>
              <w:t>✓</w:t>
            </w:r>
          </w:p>
        </w:tc>
        <w:tc>
          <w:tcPr>
            <w:tcW w:w="722"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0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10" w:type="dxa"/>
            <w:tcBorders>
              <w:left w:val="single" w:sz="12" w:space="0" w:color="1F3763"/>
              <w:bottom w:val="single" w:sz="4" w:space="0" w:color="1F3763"/>
              <w:right w:val="single" w:sz="4" w:space="0" w:color="1F3763"/>
            </w:tcBorders>
            <w:shd w:val="clear" w:color="auto" w:fill="F1F1F1"/>
          </w:tcPr>
          <w:p>
            <w:pPr>
              <w:pStyle w:val="TableParagraph"/>
              <w:spacing w:before="60"/>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60"/>
              <w:ind w:left="116" w:right="58"/>
              <w:jc w:val="center"/>
              <w:rPr>
                <w:rFonts w:ascii="Segoe UI Symbol" w:hAnsi="Segoe UI Symbol"/>
                <w:b/>
                <w:sz w:val="24"/>
              </w:rPr>
            </w:pPr>
            <w:r>
              <w:rPr>
                <w:rFonts w:ascii="Segoe UI Symbol" w:hAnsi="Segoe UI Symbol"/>
                <w:b/>
                <w:color w:val="46894A"/>
                <w:spacing w:val="-10"/>
                <w:sz w:val="24"/>
              </w:rPr>
              <w:t>✓</w:t>
            </w:r>
          </w:p>
        </w:tc>
        <w:tc>
          <w:tcPr>
            <w:tcW w:w="708"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1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60"/>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left w:val="single" w:sz="4" w:space="0" w:color="1F3763"/>
              <w:bottom w:val="single" w:sz="4" w:space="0" w:color="1F3763"/>
            </w:tcBorders>
            <w:shd w:val="clear" w:color="auto" w:fill="F1F1F1"/>
          </w:tcPr>
          <w:p>
            <w:pPr>
              <w:pStyle w:val="TableParagraph"/>
              <w:rPr>
                <w:rFonts w:ascii="Times New Roman"/>
                <w:sz w:val="18"/>
              </w:rPr>
            </w:pPr>
          </w:p>
        </w:tc>
      </w:tr>
      <w:tr>
        <w:trPr>
          <w:trHeight w:val="438" w:hRule="atLeast"/>
        </w:trPr>
        <w:tc>
          <w:tcPr>
            <w:tcW w:w="1286" w:type="dxa"/>
            <w:vMerge/>
            <w:tcBorders>
              <w:top w:val="nil"/>
              <w:right w:val="single" w:sz="4" w:space="0" w:color="1F3763"/>
            </w:tcBorders>
          </w:tcPr>
          <w:p>
            <w:pPr>
              <w:rPr>
                <w:sz w:val="2"/>
                <w:szCs w:val="2"/>
              </w:rPr>
            </w:pPr>
          </w:p>
        </w:tc>
        <w:tc>
          <w:tcPr>
            <w:tcW w:w="1114" w:type="dxa"/>
            <w:tcBorders>
              <w:top w:val="single" w:sz="4" w:space="0" w:color="1F3763"/>
              <w:left w:val="single" w:sz="4" w:space="0" w:color="1F3763"/>
              <w:right w:val="single" w:sz="4" w:space="0" w:color="1F3763"/>
            </w:tcBorders>
          </w:tcPr>
          <w:p>
            <w:pPr>
              <w:pStyle w:val="TableParagraph"/>
              <w:spacing w:before="116"/>
              <w:ind w:left="9"/>
              <w:jc w:val="center"/>
              <w:rPr>
                <w:b/>
                <w:sz w:val="18"/>
              </w:rPr>
            </w:pPr>
            <w:r>
              <w:rPr>
                <w:b/>
                <w:spacing w:val="-4"/>
                <w:sz w:val="18"/>
              </w:rPr>
              <w:t>2024</w:t>
            </w:r>
          </w:p>
        </w:tc>
        <w:tc>
          <w:tcPr>
            <w:tcW w:w="703" w:type="dxa"/>
            <w:tcBorders>
              <w:top w:val="single" w:sz="4" w:space="0" w:color="1F3763"/>
              <w:left w:val="single" w:sz="4" w:space="0" w:color="1F3763"/>
              <w:right w:val="single" w:sz="4" w:space="0" w:color="1F3763"/>
            </w:tcBorders>
          </w:tcPr>
          <w:p>
            <w:pPr>
              <w:pStyle w:val="TableParagraph"/>
              <w:spacing w:before="62"/>
              <w:ind w:left="20"/>
              <w:jc w:val="center"/>
              <w:rPr>
                <w:rFonts w:ascii="Segoe UI Symbol" w:hAnsi="Segoe UI Symbol"/>
                <w:b/>
                <w:sz w:val="24"/>
              </w:rPr>
            </w:pPr>
            <w:r>
              <w:rPr>
                <w:rFonts w:ascii="Segoe UI Symbol" w:hAnsi="Segoe UI Symbol"/>
                <w:b/>
                <w:color w:val="46894A"/>
                <w:spacing w:val="-10"/>
                <w:sz w:val="24"/>
              </w:rPr>
              <w:t>✓</w:t>
            </w:r>
          </w:p>
        </w:tc>
        <w:tc>
          <w:tcPr>
            <w:tcW w:w="722"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10" w:type="dxa"/>
            <w:tcBorders>
              <w:top w:val="single" w:sz="4" w:space="0" w:color="1F3763"/>
              <w:left w:val="single" w:sz="12" w:space="0" w:color="1F3763"/>
              <w:right w:val="single" w:sz="4" w:space="0" w:color="1F3763"/>
            </w:tcBorders>
          </w:tcPr>
          <w:p>
            <w:pPr>
              <w:pStyle w:val="TableParagraph"/>
              <w:spacing w:before="62"/>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spacing w:before="62"/>
              <w:ind w:left="116" w:right="58"/>
              <w:jc w:val="center"/>
              <w:rPr>
                <w:rFonts w:ascii="Segoe UI Symbol" w:hAnsi="Segoe UI Symbol"/>
                <w:b/>
                <w:sz w:val="24"/>
              </w:rPr>
            </w:pPr>
            <w:r>
              <w:rPr>
                <w:rFonts w:ascii="Segoe UI Symbol" w:hAnsi="Segoe UI Symbol"/>
                <w:b/>
                <w:color w:val="46894A"/>
                <w:spacing w:val="-10"/>
                <w:sz w:val="24"/>
              </w:rPr>
              <w:t>✓</w:t>
            </w:r>
          </w:p>
        </w:tc>
        <w:tc>
          <w:tcPr>
            <w:tcW w:w="708"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1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spacing w:before="62"/>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top w:val="single" w:sz="4" w:space="0" w:color="1F3763"/>
              <w:left w:val="single" w:sz="4" w:space="0" w:color="1F3763"/>
            </w:tcBorders>
          </w:tcPr>
          <w:p>
            <w:pPr>
              <w:pStyle w:val="TableParagraph"/>
              <w:rPr>
                <w:rFonts w:ascii="Times New Roman"/>
                <w:sz w:val="18"/>
              </w:rPr>
            </w:pPr>
          </w:p>
        </w:tc>
      </w:tr>
      <w:tr>
        <w:trPr>
          <w:trHeight w:val="428" w:hRule="atLeast"/>
        </w:trPr>
        <w:tc>
          <w:tcPr>
            <w:tcW w:w="1286" w:type="dxa"/>
            <w:vMerge w:val="restart"/>
            <w:tcBorders>
              <w:right w:val="single" w:sz="4" w:space="0" w:color="1F3763"/>
            </w:tcBorders>
          </w:tcPr>
          <w:p>
            <w:pPr>
              <w:pStyle w:val="TableParagraph"/>
              <w:spacing w:before="132"/>
              <w:rPr>
                <w:rFonts w:ascii="Arial"/>
                <w:sz w:val="18"/>
              </w:rPr>
            </w:pPr>
          </w:p>
          <w:p>
            <w:pPr>
              <w:pStyle w:val="TableParagraph"/>
              <w:ind w:left="345"/>
              <w:rPr>
                <w:b/>
                <w:sz w:val="18"/>
              </w:rPr>
            </w:pPr>
            <w:r>
              <w:rPr>
                <w:b/>
                <w:spacing w:val="-2"/>
                <w:sz w:val="18"/>
              </w:rPr>
              <w:t>MURCIA</w:t>
            </w:r>
          </w:p>
        </w:tc>
        <w:tc>
          <w:tcPr>
            <w:tcW w:w="1114" w:type="dxa"/>
            <w:tcBorders>
              <w:left w:val="single" w:sz="4" w:space="0" w:color="1F3763"/>
              <w:bottom w:val="single" w:sz="4" w:space="0" w:color="1F3763"/>
              <w:right w:val="single" w:sz="4" w:space="0" w:color="1F3763"/>
            </w:tcBorders>
            <w:shd w:val="clear" w:color="auto" w:fill="F1F1F1"/>
          </w:tcPr>
          <w:p>
            <w:pPr>
              <w:pStyle w:val="TableParagraph"/>
              <w:spacing w:before="114"/>
              <w:ind w:left="9"/>
              <w:jc w:val="center"/>
              <w:rPr>
                <w:b/>
                <w:sz w:val="18"/>
              </w:rPr>
            </w:pPr>
            <w:r>
              <w:rPr>
                <w:b/>
                <w:spacing w:val="-4"/>
                <w:sz w:val="18"/>
              </w:rPr>
              <w:t>2023</w:t>
            </w:r>
          </w:p>
        </w:tc>
        <w:tc>
          <w:tcPr>
            <w:tcW w:w="703" w:type="dxa"/>
            <w:tcBorders>
              <w:left w:val="single" w:sz="4" w:space="0" w:color="1F3763"/>
              <w:bottom w:val="single" w:sz="4" w:space="0" w:color="1F3763"/>
              <w:right w:val="single" w:sz="4" w:space="0" w:color="1F3763"/>
            </w:tcBorders>
            <w:shd w:val="clear" w:color="auto" w:fill="F1F1F1"/>
          </w:tcPr>
          <w:p>
            <w:pPr>
              <w:pStyle w:val="TableParagraph"/>
              <w:spacing w:before="57"/>
              <w:ind w:left="20"/>
              <w:jc w:val="center"/>
              <w:rPr>
                <w:rFonts w:ascii="Segoe UI Symbol" w:hAnsi="Segoe UI Symbol"/>
                <w:b/>
                <w:sz w:val="24"/>
              </w:rPr>
            </w:pPr>
            <w:r>
              <w:rPr>
                <w:rFonts w:ascii="Segoe UI Symbol" w:hAnsi="Segoe UI Symbol"/>
                <w:b/>
                <w:color w:val="46894A"/>
                <w:spacing w:val="-10"/>
                <w:sz w:val="24"/>
              </w:rPr>
              <w:t>✓</w:t>
            </w:r>
          </w:p>
        </w:tc>
        <w:tc>
          <w:tcPr>
            <w:tcW w:w="722"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0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10" w:type="dxa"/>
            <w:tcBorders>
              <w:left w:val="single" w:sz="12"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854" w:type="dxa"/>
            <w:tcBorders>
              <w:left w:val="single" w:sz="4" w:space="0" w:color="1F3763"/>
              <w:bottom w:val="single" w:sz="4" w:space="0" w:color="1F3763"/>
              <w:right w:val="single" w:sz="12" w:space="0" w:color="1F3763"/>
            </w:tcBorders>
            <w:shd w:val="clear" w:color="auto" w:fill="F1F1F1"/>
          </w:tcPr>
          <w:p>
            <w:pPr>
              <w:pStyle w:val="TableParagraph"/>
              <w:spacing w:before="4"/>
              <w:rPr>
                <w:rFonts w:ascii="Arial"/>
                <w:sz w:val="3"/>
              </w:rPr>
            </w:pPr>
          </w:p>
          <w:p>
            <w:pPr>
              <w:pStyle w:val="TableParagraph"/>
              <w:ind w:left="261"/>
              <w:rPr>
                <w:rFonts w:ascii="Arial"/>
                <w:sz w:val="20"/>
              </w:rPr>
            </w:pPr>
            <w:r>
              <w:rPr>
                <w:rFonts w:ascii="Arial"/>
                <w:sz w:val="20"/>
              </w:rPr>
              <w:drawing>
                <wp:inline distT="0" distB="0" distL="0" distR="0">
                  <wp:extent cx="214674" cy="245173"/>
                  <wp:effectExtent l="0" t="0" r="0" b="0"/>
                  <wp:docPr id="311" name="Image 311" descr="Imagen que contiene Icono  El contenido generado por IA puede ser incorrecto."/>
                  <wp:cNvGraphicFramePr>
                    <a:graphicFrameLocks/>
                  </wp:cNvGraphicFramePr>
                  <a:graphic>
                    <a:graphicData uri="http://schemas.openxmlformats.org/drawingml/2006/picture">
                      <pic:pic>
                        <pic:nvPicPr>
                          <pic:cNvPr id="311" name="Image 311" descr="Imagen que contiene Icono  El contenido generado por IA puede ser incorrecto."/>
                          <pic:cNvPicPr/>
                        </pic:nvPicPr>
                        <pic:blipFill>
                          <a:blip r:embed="rId97" cstate="print"/>
                          <a:stretch>
                            <a:fillRect/>
                          </a:stretch>
                        </pic:blipFill>
                        <pic:spPr>
                          <a:xfrm>
                            <a:off x="0" y="0"/>
                            <a:ext cx="214674" cy="245173"/>
                          </a:xfrm>
                          <a:prstGeom prst="rect">
                            <a:avLst/>
                          </a:prstGeom>
                        </pic:spPr>
                      </pic:pic>
                    </a:graphicData>
                  </a:graphic>
                </wp:inline>
              </w:drawing>
            </w:r>
            <w:r>
              <w:rPr>
                <w:rFonts w:ascii="Arial"/>
                <w:sz w:val="20"/>
              </w:rPr>
            </w: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57"/>
              <w:ind w:left="116" w:right="58"/>
              <w:jc w:val="center"/>
              <w:rPr>
                <w:rFonts w:ascii="Segoe UI Symbol" w:hAnsi="Segoe UI Symbol"/>
                <w:b/>
                <w:sz w:val="24"/>
              </w:rPr>
            </w:pPr>
            <w:r>
              <w:rPr>
                <w:rFonts w:ascii="Segoe UI Symbol" w:hAnsi="Segoe UI Symbol"/>
                <w:b/>
                <w:color w:val="46894A"/>
                <w:spacing w:val="-10"/>
                <w:sz w:val="24"/>
              </w:rPr>
              <w:t>✓</w:t>
            </w:r>
          </w:p>
        </w:tc>
        <w:tc>
          <w:tcPr>
            <w:tcW w:w="708"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1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57"/>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left w:val="single" w:sz="4" w:space="0" w:color="1F3763"/>
              <w:bottom w:val="single" w:sz="4" w:space="0" w:color="1F3763"/>
            </w:tcBorders>
            <w:shd w:val="clear" w:color="auto" w:fill="F1F1F1"/>
          </w:tcPr>
          <w:p>
            <w:pPr>
              <w:pStyle w:val="TableParagraph"/>
              <w:rPr>
                <w:rFonts w:ascii="Times New Roman"/>
                <w:sz w:val="18"/>
              </w:rPr>
            </w:pPr>
          </w:p>
        </w:tc>
      </w:tr>
      <w:tr>
        <w:trPr>
          <w:trHeight w:val="438" w:hRule="atLeast"/>
        </w:trPr>
        <w:tc>
          <w:tcPr>
            <w:tcW w:w="1286" w:type="dxa"/>
            <w:vMerge/>
            <w:tcBorders>
              <w:top w:val="nil"/>
              <w:right w:val="single" w:sz="4" w:space="0" w:color="1F3763"/>
            </w:tcBorders>
          </w:tcPr>
          <w:p>
            <w:pPr>
              <w:rPr>
                <w:sz w:val="2"/>
                <w:szCs w:val="2"/>
              </w:rPr>
            </w:pPr>
          </w:p>
        </w:tc>
        <w:tc>
          <w:tcPr>
            <w:tcW w:w="1114" w:type="dxa"/>
            <w:tcBorders>
              <w:top w:val="single" w:sz="4" w:space="0" w:color="1F3763"/>
              <w:left w:val="single" w:sz="4" w:space="0" w:color="1F3763"/>
              <w:right w:val="single" w:sz="4" w:space="0" w:color="1F3763"/>
            </w:tcBorders>
          </w:tcPr>
          <w:p>
            <w:pPr>
              <w:pStyle w:val="TableParagraph"/>
              <w:spacing w:before="119"/>
              <w:ind w:left="9"/>
              <w:jc w:val="center"/>
              <w:rPr>
                <w:b/>
                <w:sz w:val="18"/>
              </w:rPr>
            </w:pPr>
            <w:r>
              <w:rPr>
                <w:b/>
                <w:spacing w:val="-4"/>
                <w:sz w:val="18"/>
              </w:rPr>
              <w:t>2024</w:t>
            </w:r>
          </w:p>
        </w:tc>
        <w:tc>
          <w:tcPr>
            <w:tcW w:w="703" w:type="dxa"/>
            <w:tcBorders>
              <w:top w:val="single" w:sz="4" w:space="0" w:color="1F3763"/>
              <w:left w:val="single" w:sz="4" w:space="0" w:color="1F3763"/>
              <w:right w:val="single" w:sz="4" w:space="0" w:color="1F3763"/>
            </w:tcBorders>
          </w:tcPr>
          <w:p>
            <w:pPr>
              <w:pStyle w:val="TableParagraph"/>
              <w:spacing w:before="62"/>
              <w:ind w:left="20"/>
              <w:jc w:val="center"/>
              <w:rPr>
                <w:rFonts w:ascii="Segoe UI Symbol" w:hAnsi="Segoe UI Symbol"/>
                <w:b/>
                <w:sz w:val="24"/>
              </w:rPr>
            </w:pPr>
            <w:r>
              <w:rPr>
                <w:rFonts w:ascii="Segoe UI Symbol" w:hAnsi="Segoe UI Symbol"/>
                <w:b/>
                <w:color w:val="46894A"/>
                <w:spacing w:val="-10"/>
                <w:sz w:val="24"/>
              </w:rPr>
              <w:t>✓</w:t>
            </w:r>
          </w:p>
        </w:tc>
        <w:tc>
          <w:tcPr>
            <w:tcW w:w="722"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10" w:type="dxa"/>
            <w:tcBorders>
              <w:top w:val="single" w:sz="4" w:space="0" w:color="1F3763"/>
              <w:left w:val="single" w:sz="12" w:space="0" w:color="1F3763"/>
              <w:right w:val="single" w:sz="4" w:space="0" w:color="1F3763"/>
            </w:tcBorders>
          </w:tcPr>
          <w:p>
            <w:pPr>
              <w:pStyle w:val="TableParagraph"/>
              <w:spacing w:before="62"/>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spacing w:before="62"/>
              <w:ind w:left="116" w:right="58"/>
              <w:jc w:val="center"/>
              <w:rPr>
                <w:rFonts w:ascii="Segoe UI Symbol" w:hAnsi="Segoe UI Symbol"/>
                <w:b/>
                <w:sz w:val="24"/>
              </w:rPr>
            </w:pPr>
            <w:r>
              <w:rPr>
                <w:rFonts w:ascii="Segoe UI Symbol" w:hAnsi="Segoe UI Symbol"/>
                <w:b/>
                <w:color w:val="46894A"/>
                <w:spacing w:val="-10"/>
                <w:sz w:val="24"/>
              </w:rPr>
              <w:t>✓</w:t>
            </w:r>
          </w:p>
        </w:tc>
        <w:tc>
          <w:tcPr>
            <w:tcW w:w="708"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1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spacing w:before="62"/>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top w:val="single" w:sz="4" w:space="0" w:color="1F3763"/>
              <w:left w:val="single" w:sz="4" w:space="0" w:color="1F3763"/>
            </w:tcBorders>
          </w:tcPr>
          <w:p>
            <w:pPr>
              <w:pStyle w:val="TableParagraph"/>
              <w:rPr>
                <w:rFonts w:ascii="Times New Roman"/>
                <w:sz w:val="18"/>
              </w:rPr>
            </w:pPr>
          </w:p>
        </w:tc>
      </w:tr>
      <w:tr>
        <w:trPr>
          <w:trHeight w:val="428" w:hRule="atLeast"/>
        </w:trPr>
        <w:tc>
          <w:tcPr>
            <w:tcW w:w="1286" w:type="dxa"/>
            <w:vMerge w:val="restart"/>
            <w:tcBorders>
              <w:right w:val="single" w:sz="4" w:space="0" w:color="1F3763"/>
            </w:tcBorders>
          </w:tcPr>
          <w:p>
            <w:pPr>
              <w:pStyle w:val="TableParagraph"/>
              <w:spacing w:before="132"/>
              <w:rPr>
                <w:rFonts w:ascii="Arial"/>
                <w:sz w:val="18"/>
              </w:rPr>
            </w:pPr>
          </w:p>
          <w:p>
            <w:pPr>
              <w:pStyle w:val="TableParagraph"/>
              <w:ind w:left="376"/>
              <w:rPr>
                <w:b/>
                <w:sz w:val="18"/>
              </w:rPr>
            </w:pPr>
            <w:r>
              <w:rPr>
                <w:b/>
                <w:spacing w:val="-2"/>
                <w:sz w:val="18"/>
              </w:rPr>
              <w:t>PALMA</w:t>
            </w:r>
          </w:p>
        </w:tc>
        <w:tc>
          <w:tcPr>
            <w:tcW w:w="1114" w:type="dxa"/>
            <w:tcBorders>
              <w:left w:val="single" w:sz="4" w:space="0" w:color="1F3763"/>
              <w:bottom w:val="single" w:sz="4" w:space="0" w:color="1F3763"/>
              <w:right w:val="single" w:sz="4" w:space="0" w:color="1F3763"/>
            </w:tcBorders>
            <w:shd w:val="clear" w:color="auto" w:fill="F1F1F1"/>
          </w:tcPr>
          <w:p>
            <w:pPr>
              <w:pStyle w:val="TableParagraph"/>
              <w:spacing w:before="114"/>
              <w:ind w:left="9"/>
              <w:jc w:val="center"/>
              <w:rPr>
                <w:b/>
                <w:sz w:val="18"/>
              </w:rPr>
            </w:pPr>
            <w:r>
              <w:rPr>
                <w:b/>
                <w:spacing w:val="-4"/>
                <w:sz w:val="18"/>
              </w:rPr>
              <w:t>2023</w:t>
            </w:r>
          </w:p>
        </w:tc>
        <w:tc>
          <w:tcPr>
            <w:tcW w:w="703"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22" w:type="dxa"/>
            <w:tcBorders>
              <w:left w:val="single" w:sz="4" w:space="0" w:color="1F3763"/>
              <w:bottom w:val="single" w:sz="4" w:space="0" w:color="1F3763"/>
              <w:right w:val="single" w:sz="4" w:space="0" w:color="1F3763"/>
            </w:tcBorders>
            <w:shd w:val="clear" w:color="auto" w:fill="F1F1F1"/>
          </w:tcPr>
          <w:p>
            <w:pPr>
              <w:pStyle w:val="TableParagraph"/>
              <w:spacing w:before="4"/>
              <w:rPr>
                <w:rFonts w:ascii="Arial"/>
                <w:sz w:val="3"/>
              </w:rPr>
            </w:pPr>
          </w:p>
          <w:p>
            <w:pPr>
              <w:pStyle w:val="TableParagraph"/>
              <w:ind w:left="197"/>
              <w:rPr>
                <w:rFonts w:ascii="Arial"/>
                <w:sz w:val="20"/>
              </w:rPr>
            </w:pPr>
            <w:r>
              <w:rPr>
                <w:rFonts w:ascii="Arial"/>
                <w:sz w:val="20"/>
              </w:rPr>
              <w:drawing>
                <wp:inline distT="0" distB="0" distL="0" distR="0">
                  <wp:extent cx="211508" cy="245173"/>
                  <wp:effectExtent l="0" t="0" r="0" b="0"/>
                  <wp:docPr id="312" name="Image 312" descr="Imagen de la pantalla de un celular con letras  El contenido generado por IA puede ser incorrecto."/>
                  <wp:cNvGraphicFramePr>
                    <a:graphicFrameLocks/>
                  </wp:cNvGraphicFramePr>
                  <a:graphic>
                    <a:graphicData uri="http://schemas.openxmlformats.org/drawingml/2006/picture">
                      <pic:pic>
                        <pic:nvPicPr>
                          <pic:cNvPr id="312" name="Image 312" descr="Imagen de la pantalla de un celular con letras  El contenido generado por IA puede ser incorrecto."/>
                          <pic:cNvPicPr/>
                        </pic:nvPicPr>
                        <pic:blipFill>
                          <a:blip r:embed="rId98" cstate="print"/>
                          <a:stretch>
                            <a:fillRect/>
                          </a:stretch>
                        </pic:blipFill>
                        <pic:spPr>
                          <a:xfrm>
                            <a:off x="0" y="0"/>
                            <a:ext cx="211508" cy="245173"/>
                          </a:xfrm>
                          <a:prstGeom prst="rect">
                            <a:avLst/>
                          </a:prstGeom>
                        </pic:spPr>
                      </pic:pic>
                    </a:graphicData>
                  </a:graphic>
                </wp:inline>
              </w:drawing>
            </w:r>
            <w:r>
              <w:rPr>
                <w:rFonts w:ascii="Arial"/>
                <w:sz w:val="20"/>
              </w:rPr>
            </w:r>
          </w:p>
        </w:tc>
        <w:tc>
          <w:tcPr>
            <w:tcW w:w="70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10" w:type="dxa"/>
            <w:tcBorders>
              <w:left w:val="single" w:sz="12" w:space="0" w:color="1F3763"/>
              <w:bottom w:val="single" w:sz="4" w:space="0" w:color="1F3763"/>
              <w:right w:val="single" w:sz="4" w:space="0" w:color="1F3763"/>
            </w:tcBorders>
            <w:shd w:val="clear" w:color="auto" w:fill="F1F1F1"/>
          </w:tcPr>
          <w:p>
            <w:pPr>
              <w:pStyle w:val="TableParagraph"/>
              <w:spacing w:before="57"/>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57"/>
              <w:ind w:left="116" w:right="58"/>
              <w:jc w:val="center"/>
              <w:rPr>
                <w:rFonts w:ascii="Segoe UI Symbol" w:hAnsi="Segoe UI Symbol"/>
                <w:b/>
                <w:sz w:val="24"/>
              </w:rPr>
            </w:pPr>
            <w:r>
              <w:rPr>
                <w:rFonts w:ascii="Segoe UI Symbol" w:hAnsi="Segoe UI Symbol"/>
                <w:b/>
                <w:color w:val="46894A"/>
                <w:spacing w:val="-10"/>
                <w:sz w:val="24"/>
              </w:rPr>
              <w:t>✓</w:t>
            </w:r>
          </w:p>
        </w:tc>
        <w:tc>
          <w:tcPr>
            <w:tcW w:w="708"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1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57"/>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left w:val="single" w:sz="4" w:space="0" w:color="1F3763"/>
              <w:bottom w:val="single" w:sz="4" w:space="0" w:color="1F3763"/>
            </w:tcBorders>
            <w:shd w:val="clear" w:color="auto" w:fill="F1F1F1"/>
          </w:tcPr>
          <w:p>
            <w:pPr>
              <w:pStyle w:val="TableParagraph"/>
              <w:rPr>
                <w:rFonts w:ascii="Times New Roman"/>
                <w:sz w:val="18"/>
              </w:rPr>
            </w:pPr>
          </w:p>
        </w:tc>
      </w:tr>
      <w:tr>
        <w:trPr>
          <w:trHeight w:val="438" w:hRule="atLeast"/>
        </w:trPr>
        <w:tc>
          <w:tcPr>
            <w:tcW w:w="1286" w:type="dxa"/>
            <w:vMerge/>
            <w:tcBorders>
              <w:top w:val="nil"/>
              <w:right w:val="single" w:sz="4" w:space="0" w:color="1F3763"/>
            </w:tcBorders>
          </w:tcPr>
          <w:p>
            <w:pPr>
              <w:rPr>
                <w:sz w:val="2"/>
                <w:szCs w:val="2"/>
              </w:rPr>
            </w:pPr>
          </w:p>
        </w:tc>
        <w:tc>
          <w:tcPr>
            <w:tcW w:w="1114" w:type="dxa"/>
            <w:tcBorders>
              <w:top w:val="single" w:sz="4" w:space="0" w:color="1F3763"/>
              <w:left w:val="single" w:sz="4" w:space="0" w:color="1F3763"/>
              <w:right w:val="single" w:sz="4" w:space="0" w:color="1F3763"/>
            </w:tcBorders>
          </w:tcPr>
          <w:p>
            <w:pPr>
              <w:pStyle w:val="TableParagraph"/>
              <w:spacing w:before="119"/>
              <w:ind w:left="9"/>
              <w:jc w:val="center"/>
              <w:rPr>
                <w:b/>
                <w:sz w:val="18"/>
              </w:rPr>
            </w:pPr>
            <w:r>
              <w:rPr>
                <w:b/>
                <w:spacing w:val="-4"/>
                <w:sz w:val="18"/>
              </w:rPr>
              <w:t>2024</w:t>
            </w:r>
          </w:p>
        </w:tc>
        <w:tc>
          <w:tcPr>
            <w:tcW w:w="703"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22"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12" w:space="0" w:color="1F3763"/>
            </w:tcBorders>
          </w:tcPr>
          <w:p>
            <w:pPr>
              <w:pStyle w:val="TableParagraph"/>
              <w:spacing w:before="47"/>
              <w:ind w:left="28"/>
              <w:jc w:val="center"/>
              <w:rPr>
                <w:rFonts w:ascii="Bradley Hand ITC"/>
                <w:b/>
                <w:sz w:val="28"/>
              </w:rPr>
            </w:pPr>
            <w:r>
              <w:rPr>
                <w:rFonts w:ascii="Bradley Hand ITC"/>
                <w:b/>
                <w:color w:val="FF0000"/>
                <w:spacing w:val="-10"/>
                <w:sz w:val="28"/>
              </w:rPr>
              <w:t>X</w:t>
            </w:r>
          </w:p>
        </w:tc>
        <w:tc>
          <w:tcPr>
            <w:tcW w:w="710" w:type="dxa"/>
            <w:tcBorders>
              <w:top w:val="single" w:sz="4" w:space="0" w:color="1F3763"/>
              <w:left w:val="single" w:sz="12" w:space="0" w:color="1F3763"/>
              <w:right w:val="single" w:sz="4" w:space="0" w:color="1F3763"/>
            </w:tcBorders>
          </w:tcPr>
          <w:p>
            <w:pPr>
              <w:pStyle w:val="TableParagraph"/>
              <w:spacing w:before="65"/>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spacing w:before="65"/>
              <w:ind w:left="116" w:right="58"/>
              <w:jc w:val="center"/>
              <w:rPr>
                <w:rFonts w:ascii="Segoe UI Symbol" w:hAnsi="Segoe UI Symbol"/>
                <w:b/>
                <w:sz w:val="24"/>
              </w:rPr>
            </w:pPr>
            <w:r>
              <w:rPr>
                <w:rFonts w:ascii="Segoe UI Symbol" w:hAnsi="Segoe UI Symbol"/>
                <w:b/>
                <w:color w:val="46894A"/>
                <w:spacing w:val="-10"/>
                <w:sz w:val="24"/>
              </w:rPr>
              <w:t>✓</w:t>
            </w:r>
          </w:p>
        </w:tc>
        <w:tc>
          <w:tcPr>
            <w:tcW w:w="708"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1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spacing w:before="65"/>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top w:val="single" w:sz="4" w:space="0" w:color="1F3763"/>
              <w:left w:val="single" w:sz="4" w:space="0" w:color="1F3763"/>
            </w:tcBorders>
          </w:tcPr>
          <w:p>
            <w:pPr>
              <w:pStyle w:val="TableParagraph"/>
              <w:rPr>
                <w:rFonts w:ascii="Times New Roman"/>
                <w:sz w:val="18"/>
              </w:rPr>
            </w:pPr>
          </w:p>
        </w:tc>
      </w:tr>
      <w:tr>
        <w:trPr>
          <w:trHeight w:val="431" w:hRule="atLeast"/>
        </w:trPr>
        <w:tc>
          <w:tcPr>
            <w:tcW w:w="1286" w:type="dxa"/>
            <w:vMerge w:val="restart"/>
            <w:tcBorders>
              <w:right w:val="single" w:sz="4" w:space="0" w:color="1F3763"/>
            </w:tcBorders>
          </w:tcPr>
          <w:p>
            <w:pPr>
              <w:pStyle w:val="TableParagraph"/>
              <w:spacing w:before="135"/>
              <w:rPr>
                <w:rFonts w:ascii="Arial"/>
                <w:sz w:val="18"/>
              </w:rPr>
            </w:pPr>
          </w:p>
          <w:p>
            <w:pPr>
              <w:pStyle w:val="TableParagraph"/>
              <w:ind w:left="328"/>
              <w:rPr>
                <w:b/>
                <w:sz w:val="18"/>
              </w:rPr>
            </w:pPr>
            <w:r>
              <w:rPr>
                <w:b/>
                <w:spacing w:val="-2"/>
                <w:sz w:val="18"/>
              </w:rPr>
              <w:t>SEVILLA</w:t>
            </w:r>
          </w:p>
        </w:tc>
        <w:tc>
          <w:tcPr>
            <w:tcW w:w="1114" w:type="dxa"/>
            <w:tcBorders>
              <w:left w:val="single" w:sz="4" w:space="0" w:color="1F3763"/>
              <w:bottom w:val="single" w:sz="4" w:space="0" w:color="1F3763"/>
              <w:right w:val="single" w:sz="4" w:space="0" w:color="1F3763"/>
            </w:tcBorders>
            <w:shd w:val="clear" w:color="auto" w:fill="F1F1F1"/>
          </w:tcPr>
          <w:p>
            <w:pPr>
              <w:pStyle w:val="TableParagraph"/>
              <w:spacing w:before="114"/>
              <w:ind w:left="9"/>
              <w:jc w:val="center"/>
              <w:rPr>
                <w:b/>
                <w:sz w:val="18"/>
              </w:rPr>
            </w:pPr>
            <w:r>
              <w:rPr>
                <w:b/>
                <w:spacing w:val="-4"/>
                <w:sz w:val="18"/>
              </w:rPr>
              <w:t>2023</w:t>
            </w:r>
          </w:p>
        </w:tc>
        <w:tc>
          <w:tcPr>
            <w:tcW w:w="703"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22" w:type="dxa"/>
            <w:tcBorders>
              <w:left w:val="single" w:sz="4" w:space="0" w:color="1F3763"/>
              <w:bottom w:val="single" w:sz="4" w:space="0" w:color="1F3763"/>
              <w:right w:val="single" w:sz="4" w:space="0" w:color="1F3763"/>
            </w:tcBorders>
            <w:shd w:val="clear" w:color="auto" w:fill="F1F1F1"/>
          </w:tcPr>
          <w:p>
            <w:pPr>
              <w:pStyle w:val="TableParagraph"/>
              <w:spacing w:before="5"/>
              <w:rPr>
                <w:rFonts w:ascii="Arial"/>
                <w:sz w:val="3"/>
              </w:rPr>
            </w:pPr>
          </w:p>
          <w:p>
            <w:pPr>
              <w:pStyle w:val="TableParagraph"/>
              <w:ind w:left="197"/>
              <w:rPr>
                <w:rFonts w:ascii="Arial"/>
                <w:sz w:val="20"/>
              </w:rPr>
            </w:pPr>
            <w:r>
              <w:rPr>
                <w:rFonts w:ascii="Arial"/>
                <w:sz w:val="20"/>
              </w:rPr>
              <w:drawing>
                <wp:inline distT="0" distB="0" distL="0" distR="0">
                  <wp:extent cx="210320" cy="245173"/>
                  <wp:effectExtent l="0" t="0" r="0" b="0"/>
                  <wp:docPr id="313" name="Image 313" descr="Icono  El contenido generado por IA puede ser incorrecto."/>
                  <wp:cNvGraphicFramePr>
                    <a:graphicFrameLocks/>
                  </wp:cNvGraphicFramePr>
                  <a:graphic>
                    <a:graphicData uri="http://schemas.openxmlformats.org/drawingml/2006/picture">
                      <pic:pic>
                        <pic:nvPicPr>
                          <pic:cNvPr id="313" name="Image 313" descr="Icono  El contenido generado por IA puede ser incorrecto."/>
                          <pic:cNvPicPr/>
                        </pic:nvPicPr>
                        <pic:blipFill>
                          <a:blip r:embed="rId99" cstate="print"/>
                          <a:stretch>
                            <a:fillRect/>
                          </a:stretch>
                        </pic:blipFill>
                        <pic:spPr>
                          <a:xfrm>
                            <a:off x="0" y="0"/>
                            <a:ext cx="210320" cy="245173"/>
                          </a:xfrm>
                          <a:prstGeom prst="rect">
                            <a:avLst/>
                          </a:prstGeom>
                        </pic:spPr>
                      </pic:pic>
                    </a:graphicData>
                  </a:graphic>
                </wp:inline>
              </w:drawing>
            </w:r>
            <w:r>
              <w:rPr>
                <w:rFonts w:ascii="Arial"/>
                <w:sz w:val="20"/>
              </w:rPr>
            </w:r>
          </w:p>
        </w:tc>
        <w:tc>
          <w:tcPr>
            <w:tcW w:w="70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10" w:type="dxa"/>
            <w:tcBorders>
              <w:left w:val="single" w:sz="12" w:space="0" w:color="1F3763"/>
              <w:bottom w:val="single" w:sz="4" w:space="0" w:color="1F3763"/>
              <w:right w:val="single" w:sz="4" w:space="0" w:color="1F3763"/>
            </w:tcBorders>
            <w:shd w:val="clear" w:color="auto" w:fill="F1F1F1"/>
          </w:tcPr>
          <w:p>
            <w:pPr>
              <w:pStyle w:val="TableParagraph"/>
              <w:spacing w:before="60"/>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08"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18" w:type="dxa"/>
            <w:tcBorders>
              <w:left w:val="single" w:sz="4" w:space="0" w:color="1F3763"/>
              <w:bottom w:val="single" w:sz="4" w:space="0" w:color="1F3763"/>
              <w:right w:val="single" w:sz="12" w:space="0" w:color="1F3763"/>
            </w:tcBorders>
            <w:shd w:val="clear" w:color="auto" w:fill="F1F1F1"/>
          </w:tcPr>
          <w:p>
            <w:pPr>
              <w:pStyle w:val="TableParagraph"/>
              <w:spacing w:before="42"/>
              <w:ind w:left="30"/>
              <w:jc w:val="center"/>
              <w:rPr>
                <w:rFonts w:ascii="Bradley Hand ITC"/>
                <w:b/>
                <w:sz w:val="28"/>
              </w:rPr>
            </w:pPr>
            <w:r>
              <w:rPr>
                <w:rFonts w:ascii="Bradley Hand ITC"/>
                <w:b/>
                <w:color w:val="FF0000"/>
                <w:spacing w:val="-10"/>
                <w:sz w:val="28"/>
              </w:rPr>
              <w:t>X</w:t>
            </w: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60"/>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left w:val="single" w:sz="4" w:space="0" w:color="1F3763"/>
              <w:bottom w:val="single" w:sz="4" w:space="0" w:color="1F3763"/>
            </w:tcBorders>
            <w:shd w:val="clear" w:color="auto" w:fill="F1F1F1"/>
          </w:tcPr>
          <w:p>
            <w:pPr>
              <w:pStyle w:val="TableParagraph"/>
              <w:rPr>
                <w:rFonts w:ascii="Times New Roman"/>
                <w:sz w:val="18"/>
              </w:rPr>
            </w:pPr>
          </w:p>
        </w:tc>
      </w:tr>
      <w:tr>
        <w:trPr>
          <w:trHeight w:val="438" w:hRule="atLeast"/>
        </w:trPr>
        <w:tc>
          <w:tcPr>
            <w:tcW w:w="1286" w:type="dxa"/>
            <w:vMerge/>
            <w:tcBorders>
              <w:top w:val="nil"/>
              <w:right w:val="single" w:sz="4" w:space="0" w:color="1F3763"/>
            </w:tcBorders>
          </w:tcPr>
          <w:p>
            <w:pPr>
              <w:rPr>
                <w:sz w:val="2"/>
                <w:szCs w:val="2"/>
              </w:rPr>
            </w:pPr>
          </w:p>
        </w:tc>
        <w:tc>
          <w:tcPr>
            <w:tcW w:w="1114" w:type="dxa"/>
            <w:tcBorders>
              <w:top w:val="single" w:sz="4" w:space="0" w:color="1F3763"/>
              <w:left w:val="single" w:sz="4" w:space="0" w:color="1F3763"/>
              <w:right w:val="single" w:sz="4" w:space="0" w:color="1F3763"/>
            </w:tcBorders>
          </w:tcPr>
          <w:p>
            <w:pPr>
              <w:pStyle w:val="TableParagraph"/>
              <w:spacing w:before="116"/>
              <w:ind w:left="9"/>
              <w:jc w:val="center"/>
              <w:rPr>
                <w:b/>
                <w:sz w:val="18"/>
              </w:rPr>
            </w:pPr>
            <w:r>
              <w:rPr>
                <w:b/>
                <w:spacing w:val="-4"/>
                <w:sz w:val="18"/>
              </w:rPr>
              <w:t>2024</w:t>
            </w:r>
          </w:p>
        </w:tc>
        <w:tc>
          <w:tcPr>
            <w:tcW w:w="703"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22"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12" w:space="0" w:color="1F3763"/>
            </w:tcBorders>
          </w:tcPr>
          <w:p>
            <w:pPr>
              <w:pStyle w:val="TableParagraph"/>
              <w:spacing w:before="47"/>
              <w:ind w:left="28"/>
              <w:jc w:val="center"/>
              <w:rPr>
                <w:rFonts w:ascii="Bradley Hand ITC"/>
                <w:b/>
                <w:sz w:val="28"/>
              </w:rPr>
            </w:pPr>
            <w:r>
              <w:rPr>
                <w:rFonts w:ascii="Bradley Hand ITC"/>
                <w:b/>
                <w:color w:val="FF0000"/>
                <w:spacing w:val="-10"/>
                <w:sz w:val="28"/>
              </w:rPr>
              <w:t>X</w:t>
            </w:r>
          </w:p>
        </w:tc>
        <w:tc>
          <w:tcPr>
            <w:tcW w:w="710" w:type="dxa"/>
            <w:tcBorders>
              <w:top w:val="single" w:sz="4" w:space="0" w:color="1F3763"/>
              <w:left w:val="single" w:sz="12" w:space="0" w:color="1F3763"/>
              <w:right w:val="single" w:sz="4" w:space="0" w:color="1F3763"/>
            </w:tcBorders>
          </w:tcPr>
          <w:p>
            <w:pPr>
              <w:pStyle w:val="TableParagraph"/>
              <w:spacing w:before="62"/>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18" w:type="dxa"/>
            <w:tcBorders>
              <w:top w:val="single" w:sz="4" w:space="0" w:color="1F3763"/>
              <w:left w:val="single" w:sz="4" w:space="0" w:color="1F3763"/>
              <w:right w:val="single" w:sz="12" w:space="0" w:color="1F3763"/>
            </w:tcBorders>
          </w:tcPr>
          <w:p>
            <w:pPr>
              <w:pStyle w:val="TableParagraph"/>
              <w:spacing w:before="47"/>
              <w:ind w:left="30"/>
              <w:jc w:val="center"/>
              <w:rPr>
                <w:rFonts w:ascii="Bradley Hand ITC"/>
                <w:b/>
                <w:sz w:val="28"/>
              </w:rPr>
            </w:pPr>
            <w:r>
              <w:rPr>
                <w:rFonts w:ascii="Bradley Hand ITC"/>
                <w:b/>
                <w:color w:val="FF0000"/>
                <w:spacing w:val="-10"/>
                <w:sz w:val="28"/>
              </w:rPr>
              <w:t>X</w:t>
            </w:r>
          </w:p>
        </w:tc>
        <w:tc>
          <w:tcPr>
            <w:tcW w:w="706" w:type="dxa"/>
            <w:tcBorders>
              <w:top w:val="single" w:sz="4" w:space="0" w:color="1F3763"/>
              <w:left w:val="single" w:sz="12" w:space="0" w:color="1F3763"/>
              <w:right w:val="single" w:sz="4" w:space="0" w:color="1F3763"/>
            </w:tcBorders>
          </w:tcPr>
          <w:p>
            <w:pPr>
              <w:pStyle w:val="TableParagraph"/>
              <w:spacing w:before="62"/>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top w:val="single" w:sz="4" w:space="0" w:color="1F3763"/>
              <w:left w:val="single" w:sz="4" w:space="0" w:color="1F3763"/>
            </w:tcBorders>
          </w:tcPr>
          <w:p>
            <w:pPr>
              <w:pStyle w:val="TableParagraph"/>
              <w:rPr>
                <w:rFonts w:ascii="Times New Roman"/>
                <w:sz w:val="18"/>
              </w:rPr>
            </w:pPr>
          </w:p>
        </w:tc>
      </w:tr>
      <w:tr>
        <w:trPr>
          <w:trHeight w:val="428" w:hRule="atLeast"/>
        </w:trPr>
        <w:tc>
          <w:tcPr>
            <w:tcW w:w="1286" w:type="dxa"/>
            <w:vMerge w:val="restart"/>
            <w:tcBorders>
              <w:right w:val="single" w:sz="4" w:space="0" w:color="1F3763"/>
            </w:tcBorders>
          </w:tcPr>
          <w:p>
            <w:pPr>
              <w:pStyle w:val="TableParagraph"/>
              <w:spacing w:before="132"/>
              <w:rPr>
                <w:rFonts w:ascii="Arial"/>
                <w:sz w:val="18"/>
              </w:rPr>
            </w:pPr>
          </w:p>
          <w:p>
            <w:pPr>
              <w:pStyle w:val="TableParagraph"/>
              <w:ind w:left="222"/>
              <w:rPr>
                <w:b/>
                <w:sz w:val="18"/>
              </w:rPr>
            </w:pPr>
            <w:r>
              <w:rPr>
                <w:b/>
                <w:spacing w:val="-2"/>
                <w:sz w:val="18"/>
              </w:rPr>
              <w:t>ZARAGOZA</w:t>
            </w:r>
          </w:p>
        </w:tc>
        <w:tc>
          <w:tcPr>
            <w:tcW w:w="1114" w:type="dxa"/>
            <w:tcBorders>
              <w:left w:val="single" w:sz="4" w:space="0" w:color="1F3763"/>
              <w:bottom w:val="single" w:sz="4" w:space="0" w:color="1F3763"/>
              <w:right w:val="single" w:sz="4" w:space="0" w:color="1F3763"/>
            </w:tcBorders>
            <w:shd w:val="clear" w:color="auto" w:fill="F1F1F1"/>
          </w:tcPr>
          <w:p>
            <w:pPr>
              <w:pStyle w:val="TableParagraph"/>
              <w:spacing w:before="114"/>
              <w:ind w:left="9"/>
              <w:jc w:val="center"/>
              <w:rPr>
                <w:b/>
                <w:sz w:val="18"/>
              </w:rPr>
            </w:pPr>
            <w:r>
              <w:rPr>
                <w:b/>
                <w:spacing w:val="-4"/>
                <w:sz w:val="18"/>
              </w:rPr>
              <w:t>2023</w:t>
            </w:r>
          </w:p>
        </w:tc>
        <w:tc>
          <w:tcPr>
            <w:tcW w:w="703" w:type="dxa"/>
            <w:tcBorders>
              <w:left w:val="single" w:sz="4" w:space="0" w:color="1F3763"/>
              <w:bottom w:val="single" w:sz="4" w:space="0" w:color="1F3763"/>
              <w:right w:val="single" w:sz="4" w:space="0" w:color="1F3763"/>
            </w:tcBorders>
            <w:shd w:val="clear" w:color="auto" w:fill="F1F1F1"/>
          </w:tcPr>
          <w:p>
            <w:pPr>
              <w:pStyle w:val="TableParagraph"/>
              <w:spacing w:before="57"/>
              <w:ind w:left="20"/>
              <w:jc w:val="center"/>
              <w:rPr>
                <w:rFonts w:ascii="Segoe UI Symbol" w:hAnsi="Segoe UI Symbol"/>
                <w:b/>
                <w:sz w:val="24"/>
              </w:rPr>
            </w:pPr>
            <w:r>
              <w:rPr>
                <w:rFonts w:ascii="Segoe UI Symbol" w:hAnsi="Segoe UI Symbol"/>
                <w:b/>
                <w:color w:val="46894A"/>
                <w:spacing w:val="-10"/>
                <w:sz w:val="24"/>
              </w:rPr>
              <w:t>✓</w:t>
            </w:r>
          </w:p>
        </w:tc>
        <w:tc>
          <w:tcPr>
            <w:tcW w:w="722"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0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10" w:type="dxa"/>
            <w:tcBorders>
              <w:left w:val="single" w:sz="12" w:space="0" w:color="1F3763"/>
              <w:bottom w:val="single" w:sz="4" w:space="0" w:color="1F3763"/>
              <w:right w:val="single" w:sz="4" w:space="0" w:color="1F3763"/>
            </w:tcBorders>
            <w:shd w:val="clear" w:color="auto" w:fill="F1F1F1"/>
          </w:tcPr>
          <w:p>
            <w:pPr>
              <w:pStyle w:val="TableParagraph"/>
              <w:spacing w:before="57"/>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57"/>
              <w:ind w:left="116"/>
              <w:jc w:val="center"/>
              <w:rPr>
                <w:rFonts w:ascii="Segoe UI Symbol" w:hAnsi="Segoe UI Symbol"/>
                <w:b/>
                <w:sz w:val="24"/>
              </w:rPr>
            </w:pPr>
            <w:r>
              <w:rPr>
                <w:rFonts w:ascii="Segoe UI Symbol" w:hAnsi="Segoe UI Symbol"/>
                <w:b/>
                <w:color w:val="46894A"/>
                <w:spacing w:val="-10"/>
                <w:sz w:val="24"/>
              </w:rPr>
              <w:t>✓</w:t>
            </w:r>
          </w:p>
        </w:tc>
        <w:tc>
          <w:tcPr>
            <w:tcW w:w="708" w:type="dxa"/>
            <w:tcBorders>
              <w:left w:val="single" w:sz="4" w:space="0" w:color="1F3763"/>
              <w:bottom w:val="single" w:sz="4" w:space="0" w:color="1F3763"/>
              <w:right w:val="single" w:sz="4" w:space="0" w:color="1F3763"/>
            </w:tcBorders>
            <w:shd w:val="clear" w:color="auto" w:fill="F1F1F1"/>
          </w:tcPr>
          <w:p>
            <w:pPr>
              <w:pStyle w:val="TableParagraph"/>
              <w:rPr>
                <w:rFonts w:ascii="Times New Roman"/>
                <w:sz w:val="18"/>
              </w:rPr>
            </w:pPr>
          </w:p>
        </w:tc>
        <w:tc>
          <w:tcPr>
            <w:tcW w:w="718" w:type="dxa"/>
            <w:tcBorders>
              <w:left w:val="single" w:sz="4" w:space="0" w:color="1F3763"/>
              <w:bottom w:val="single" w:sz="4" w:space="0" w:color="1F3763"/>
              <w:right w:val="single" w:sz="12" w:space="0" w:color="1F3763"/>
            </w:tcBorders>
            <w:shd w:val="clear" w:color="auto" w:fill="F1F1F1"/>
          </w:tcPr>
          <w:p>
            <w:pPr>
              <w:pStyle w:val="TableParagraph"/>
              <w:rPr>
                <w:rFonts w:ascii="Times New Roman"/>
                <w:sz w:val="18"/>
              </w:rPr>
            </w:pPr>
          </w:p>
        </w:tc>
        <w:tc>
          <w:tcPr>
            <w:tcW w:w="706" w:type="dxa"/>
            <w:tcBorders>
              <w:left w:val="single" w:sz="12" w:space="0" w:color="1F3763"/>
              <w:bottom w:val="single" w:sz="4" w:space="0" w:color="1F3763"/>
              <w:right w:val="single" w:sz="4" w:space="0" w:color="1F3763"/>
            </w:tcBorders>
            <w:shd w:val="clear" w:color="auto" w:fill="F1F1F1"/>
          </w:tcPr>
          <w:p>
            <w:pPr>
              <w:pStyle w:val="TableParagraph"/>
              <w:spacing w:before="57"/>
              <w:ind w:left="116" w:right="58"/>
              <w:jc w:val="center"/>
              <w:rPr>
                <w:rFonts w:ascii="Segoe UI Symbol" w:hAnsi="Segoe UI Symbol"/>
                <w:b/>
                <w:sz w:val="24"/>
              </w:rPr>
            </w:pPr>
            <w:r>
              <w:rPr>
                <w:rFonts w:ascii="Segoe UI Symbol" w:hAnsi="Segoe UI Symbol"/>
                <w:b/>
                <w:color w:val="46894A"/>
                <w:spacing w:val="-10"/>
                <w:sz w:val="24"/>
              </w:rPr>
              <w:t>✓</w:t>
            </w:r>
          </w:p>
        </w:tc>
        <w:tc>
          <w:tcPr>
            <w:tcW w:w="794" w:type="dxa"/>
            <w:tcBorders>
              <w:left w:val="single" w:sz="4" w:space="0" w:color="1F3763"/>
              <w:bottom w:val="single" w:sz="4" w:space="0" w:color="1F3763"/>
            </w:tcBorders>
            <w:shd w:val="clear" w:color="auto" w:fill="F1F1F1"/>
          </w:tcPr>
          <w:p>
            <w:pPr>
              <w:pStyle w:val="TableParagraph"/>
              <w:rPr>
                <w:rFonts w:ascii="Times New Roman"/>
                <w:sz w:val="18"/>
              </w:rPr>
            </w:pPr>
          </w:p>
        </w:tc>
      </w:tr>
      <w:tr>
        <w:trPr>
          <w:trHeight w:val="438" w:hRule="atLeast"/>
        </w:trPr>
        <w:tc>
          <w:tcPr>
            <w:tcW w:w="1286" w:type="dxa"/>
            <w:vMerge/>
            <w:tcBorders>
              <w:top w:val="nil"/>
              <w:right w:val="single" w:sz="4" w:space="0" w:color="1F3763"/>
            </w:tcBorders>
          </w:tcPr>
          <w:p>
            <w:pPr>
              <w:rPr>
                <w:sz w:val="2"/>
                <w:szCs w:val="2"/>
              </w:rPr>
            </w:pPr>
          </w:p>
        </w:tc>
        <w:tc>
          <w:tcPr>
            <w:tcW w:w="1114" w:type="dxa"/>
            <w:tcBorders>
              <w:top w:val="single" w:sz="4" w:space="0" w:color="1F3763"/>
              <w:left w:val="single" w:sz="4" w:space="0" w:color="1F3763"/>
              <w:right w:val="single" w:sz="4" w:space="0" w:color="1F3763"/>
            </w:tcBorders>
          </w:tcPr>
          <w:p>
            <w:pPr>
              <w:pStyle w:val="TableParagraph"/>
              <w:spacing w:before="119"/>
              <w:ind w:left="9"/>
              <w:jc w:val="center"/>
              <w:rPr>
                <w:b/>
                <w:sz w:val="18"/>
              </w:rPr>
            </w:pPr>
            <w:r>
              <w:rPr>
                <w:b/>
                <w:spacing w:val="-4"/>
                <w:sz w:val="18"/>
              </w:rPr>
              <w:t>2024</w:t>
            </w:r>
          </w:p>
        </w:tc>
        <w:tc>
          <w:tcPr>
            <w:tcW w:w="703" w:type="dxa"/>
            <w:tcBorders>
              <w:top w:val="single" w:sz="4" w:space="0" w:color="1F3763"/>
              <w:left w:val="single" w:sz="4" w:space="0" w:color="1F3763"/>
              <w:right w:val="single" w:sz="4" w:space="0" w:color="1F3763"/>
            </w:tcBorders>
          </w:tcPr>
          <w:p>
            <w:pPr>
              <w:pStyle w:val="TableParagraph"/>
              <w:spacing w:before="62"/>
              <w:ind w:left="20"/>
              <w:jc w:val="center"/>
              <w:rPr>
                <w:rFonts w:ascii="Segoe UI Symbol" w:hAnsi="Segoe UI Symbol"/>
                <w:b/>
                <w:sz w:val="24"/>
              </w:rPr>
            </w:pPr>
            <w:r>
              <w:rPr>
                <w:rFonts w:ascii="Segoe UI Symbol" w:hAnsi="Segoe UI Symbol"/>
                <w:b/>
                <w:color w:val="46894A"/>
                <w:spacing w:val="-10"/>
                <w:sz w:val="24"/>
              </w:rPr>
              <w:t>✓</w:t>
            </w:r>
          </w:p>
        </w:tc>
        <w:tc>
          <w:tcPr>
            <w:tcW w:w="722"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0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10" w:type="dxa"/>
            <w:tcBorders>
              <w:top w:val="single" w:sz="4" w:space="0" w:color="1F3763"/>
              <w:left w:val="single" w:sz="12" w:space="0" w:color="1F3763"/>
              <w:right w:val="single" w:sz="4" w:space="0" w:color="1F3763"/>
            </w:tcBorders>
          </w:tcPr>
          <w:p>
            <w:pPr>
              <w:pStyle w:val="TableParagraph"/>
              <w:spacing w:before="62"/>
              <w:ind w:left="58"/>
              <w:jc w:val="center"/>
              <w:rPr>
                <w:rFonts w:ascii="Segoe UI Symbol" w:hAnsi="Segoe UI Symbol"/>
                <w:b/>
                <w:sz w:val="24"/>
              </w:rPr>
            </w:pPr>
            <w:r>
              <w:rPr>
                <w:rFonts w:ascii="Segoe UI Symbol" w:hAnsi="Segoe UI Symbol"/>
                <w:b/>
                <w:color w:val="46894A"/>
                <w:spacing w:val="-10"/>
                <w:sz w:val="24"/>
              </w:rPr>
              <w:t>✓</w:t>
            </w:r>
          </w:p>
        </w:tc>
        <w:tc>
          <w:tcPr>
            <w:tcW w:w="854"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spacing w:before="62"/>
              <w:ind w:left="116"/>
              <w:jc w:val="center"/>
              <w:rPr>
                <w:rFonts w:ascii="Segoe UI Symbol" w:hAnsi="Segoe UI Symbol"/>
                <w:b/>
                <w:sz w:val="24"/>
              </w:rPr>
            </w:pPr>
            <w:r>
              <w:rPr>
                <w:rFonts w:ascii="Segoe UI Symbol" w:hAnsi="Segoe UI Symbol"/>
                <w:b/>
                <w:color w:val="46894A"/>
                <w:spacing w:val="-10"/>
                <w:sz w:val="24"/>
              </w:rPr>
              <w:t>✓</w:t>
            </w:r>
          </w:p>
        </w:tc>
        <w:tc>
          <w:tcPr>
            <w:tcW w:w="708" w:type="dxa"/>
            <w:tcBorders>
              <w:top w:val="single" w:sz="4" w:space="0" w:color="1F3763"/>
              <w:left w:val="single" w:sz="4" w:space="0" w:color="1F3763"/>
              <w:right w:val="single" w:sz="4" w:space="0" w:color="1F3763"/>
            </w:tcBorders>
          </w:tcPr>
          <w:p>
            <w:pPr>
              <w:pStyle w:val="TableParagraph"/>
              <w:rPr>
                <w:rFonts w:ascii="Times New Roman"/>
                <w:sz w:val="18"/>
              </w:rPr>
            </w:pPr>
          </w:p>
        </w:tc>
        <w:tc>
          <w:tcPr>
            <w:tcW w:w="718" w:type="dxa"/>
            <w:tcBorders>
              <w:top w:val="single" w:sz="4" w:space="0" w:color="1F3763"/>
              <w:left w:val="single" w:sz="4" w:space="0" w:color="1F3763"/>
              <w:right w:val="single" w:sz="12" w:space="0" w:color="1F3763"/>
            </w:tcBorders>
          </w:tcPr>
          <w:p>
            <w:pPr>
              <w:pStyle w:val="TableParagraph"/>
              <w:rPr>
                <w:rFonts w:ascii="Times New Roman"/>
                <w:sz w:val="18"/>
              </w:rPr>
            </w:pPr>
          </w:p>
        </w:tc>
        <w:tc>
          <w:tcPr>
            <w:tcW w:w="706" w:type="dxa"/>
            <w:tcBorders>
              <w:top w:val="single" w:sz="4" w:space="0" w:color="1F3763"/>
              <w:left w:val="single" w:sz="12" w:space="0" w:color="1F3763"/>
              <w:right w:val="single" w:sz="4" w:space="0" w:color="1F3763"/>
            </w:tcBorders>
          </w:tcPr>
          <w:p>
            <w:pPr>
              <w:pStyle w:val="TableParagraph"/>
              <w:rPr>
                <w:rFonts w:ascii="Times New Roman"/>
                <w:sz w:val="18"/>
              </w:rPr>
            </w:pPr>
          </w:p>
        </w:tc>
        <w:tc>
          <w:tcPr>
            <w:tcW w:w="794" w:type="dxa"/>
            <w:tcBorders>
              <w:top w:val="single" w:sz="4" w:space="0" w:color="1F3763"/>
              <w:left w:val="single" w:sz="4" w:space="0" w:color="1F3763"/>
            </w:tcBorders>
          </w:tcPr>
          <w:p>
            <w:pPr>
              <w:pStyle w:val="TableParagraph"/>
              <w:spacing w:before="8"/>
              <w:rPr>
                <w:rFonts w:ascii="Arial"/>
                <w:sz w:val="3"/>
              </w:rPr>
            </w:pPr>
          </w:p>
          <w:p>
            <w:pPr>
              <w:pStyle w:val="TableParagraph"/>
              <w:ind w:left="221"/>
              <w:rPr>
                <w:rFonts w:ascii="Arial"/>
                <w:sz w:val="20"/>
              </w:rPr>
            </w:pPr>
            <w:r>
              <w:rPr>
                <w:rFonts w:ascii="Arial"/>
                <w:sz w:val="20"/>
              </w:rPr>
              <w:drawing>
                <wp:inline distT="0" distB="0" distL="0" distR="0">
                  <wp:extent cx="208771" cy="234695"/>
                  <wp:effectExtent l="0" t="0" r="0" b="0"/>
                  <wp:docPr id="314" name="Image 314" descr="Icono  El contenido generado por IA puede ser incorrecto."/>
                  <wp:cNvGraphicFramePr>
                    <a:graphicFrameLocks/>
                  </wp:cNvGraphicFramePr>
                  <a:graphic>
                    <a:graphicData uri="http://schemas.openxmlformats.org/drawingml/2006/picture">
                      <pic:pic>
                        <pic:nvPicPr>
                          <pic:cNvPr id="314" name="Image 314" descr="Icono  El contenido generado por IA puede ser incorrecto."/>
                          <pic:cNvPicPr/>
                        </pic:nvPicPr>
                        <pic:blipFill>
                          <a:blip r:embed="rId100" cstate="print"/>
                          <a:stretch>
                            <a:fillRect/>
                          </a:stretch>
                        </pic:blipFill>
                        <pic:spPr>
                          <a:xfrm>
                            <a:off x="0" y="0"/>
                            <a:ext cx="208771" cy="234695"/>
                          </a:xfrm>
                          <a:prstGeom prst="rect">
                            <a:avLst/>
                          </a:prstGeom>
                        </pic:spPr>
                      </pic:pic>
                    </a:graphicData>
                  </a:graphic>
                </wp:inline>
              </w:drawing>
            </w:r>
            <w:r>
              <w:rPr>
                <w:rFonts w:ascii="Arial"/>
                <w:sz w:val="20"/>
              </w:rPr>
            </w:r>
          </w:p>
        </w:tc>
      </w:tr>
    </w:tbl>
    <w:p>
      <w:pPr>
        <w:spacing w:before="37"/>
        <w:ind w:left="1174" w:right="0" w:firstLine="0"/>
        <w:jc w:val="left"/>
        <w:rPr>
          <w:rFonts w:ascii="Arial Narrow" w:hAnsi="Arial Narrow"/>
          <w:sz w:val="18"/>
        </w:rPr>
      </w:pPr>
      <w:r>
        <w:rPr>
          <w:rFonts w:ascii="Arial Narrow" w:hAnsi="Arial Narrow"/>
          <w:sz w:val="18"/>
        </w:rPr>
        <w:t>Fuente:</w:t>
      </w:r>
      <w:r>
        <w:rPr>
          <w:rFonts w:ascii="Arial Narrow" w:hAnsi="Arial Narrow"/>
          <w:spacing w:val="-3"/>
          <w:sz w:val="18"/>
        </w:rPr>
        <w:t> </w:t>
      </w:r>
      <w:r>
        <w:rPr>
          <w:rFonts w:ascii="Arial Narrow" w:hAnsi="Arial Narrow"/>
          <w:sz w:val="18"/>
        </w:rPr>
        <w:t>Plataforma</w:t>
      </w:r>
      <w:r>
        <w:rPr>
          <w:rFonts w:ascii="Arial Narrow" w:hAnsi="Arial Narrow"/>
          <w:spacing w:val="-3"/>
          <w:sz w:val="18"/>
        </w:rPr>
        <w:t> </w:t>
      </w:r>
      <w:r>
        <w:rPr>
          <w:rFonts w:ascii="Arial Narrow" w:hAnsi="Arial Narrow"/>
          <w:sz w:val="18"/>
        </w:rPr>
        <w:t>de</w:t>
      </w:r>
      <w:r>
        <w:rPr>
          <w:rFonts w:ascii="Arial Narrow" w:hAnsi="Arial Narrow"/>
          <w:spacing w:val="-2"/>
          <w:sz w:val="18"/>
        </w:rPr>
        <w:t> </w:t>
      </w:r>
      <w:r>
        <w:rPr>
          <w:rFonts w:ascii="Arial Narrow" w:hAnsi="Arial Narrow"/>
          <w:sz w:val="18"/>
        </w:rPr>
        <w:t>Rendición</w:t>
      </w:r>
      <w:r>
        <w:rPr>
          <w:rFonts w:ascii="Arial Narrow" w:hAnsi="Arial Narrow"/>
          <w:spacing w:val="-3"/>
          <w:sz w:val="18"/>
        </w:rPr>
        <w:t> </w:t>
      </w:r>
      <w:r>
        <w:rPr>
          <w:rFonts w:ascii="Arial Narrow" w:hAnsi="Arial Narrow"/>
          <w:sz w:val="18"/>
        </w:rPr>
        <w:t>de</w:t>
      </w:r>
      <w:r>
        <w:rPr>
          <w:rFonts w:ascii="Arial Narrow" w:hAnsi="Arial Narrow"/>
          <w:spacing w:val="-1"/>
          <w:sz w:val="18"/>
        </w:rPr>
        <w:t> </w:t>
      </w:r>
      <w:r>
        <w:rPr>
          <w:rFonts w:ascii="Arial Narrow" w:hAnsi="Arial Narrow"/>
          <w:sz w:val="18"/>
        </w:rPr>
        <w:t>Cuentas</w:t>
      </w:r>
      <w:r>
        <w:rPr>
          <w:rFonts w:ascii="Arial Narrow" w:hAnsi="Arial Narrow"/>
          <w:spacing w:val="-2"/>
          <w:sz w:val="18"/>
        </w:rPr>
        <w:t> </w:t>
      </w:r>
      <w:r>
        <w:rPr>
          <w:rFonts w:ascii="Arial Narrow" w:hAnsi="Arial Narrow"/>
          <w:sz w:val="18"/>
        </w:rPr>
        <w:t>de</w:t>
      </w:r>
      <w:r>
        <w:rPr>
          <w:rFonts w:ascii="Arial Narrow" w:hAnsi="Arial Narrow"/>
          <w:spacing w:val="-3"/>
          <w:sz w:val="18"/>
        </w:rPr>
        <w:t> </w:t>
      </w:r>
      <w:r>
        <w:rPr>
          <w:rFonts w:ascii="Arial Narrow" w:hAnsi="Arial Narrow"/>
          <w:sz w:val="18"/>
        </w:rPr>
        <w:t>las</w:t>
      </w:r>
      <w:r>
        <w:rPr>
          <w:rFonts w:ascii="Arial Narrow" w:hAnsi="Arial Narrow"/>
          <w:spacing w:val="-3"/>
          <w:sz w:val="18"/>
        </w:rPr>
        <w:t> </w:t>
      </w:r>
      <w:r>
        <w:rPr>
          <w:rFonts w:ascii="Arial Narrow" w:hAnsi="Arial Narrow"/>
          <w:sz w:val="18"/>
        </w:rPr>
        <w:t>Entidades</w:t>
      </w:r>
      <w:r>
        <w:rPr>
          <w:rFonts w:ascii="Arial Narrow" w:hAnsi="Arial Narrow"/>
          <w:spacing w:val="-1"/>
          <w:sz w:val="18"/>
        </w:rPr>
        <w:t> </w:t>
      </w:r>
      <w:r>
        <w:rPr>
          <w:rFonts w:ascii="Arial Narrow" w:hAnsi="Arial Narrow"/>
          <w:spacing w:val="-2"/>
          <w:sz w:val="18"/>
        </w:rPr>
        <w:t>Locales.</w:t>
      </w:r>
    </w:p>
    <w:p>
      <w:pPr>
        <w:pStyle w:val="ListParagraph"/>
        <w:numPr>
          <w:ilvl w:val="0"/>
          <w:numId w:val="11"/>
        </w:numPr>
        <w:tabs>
          <w:tab w:pos="1584" w:val="left" w:leader="none"/>
        </w:tabs>
        <w:spacing w:line="319" w:lineRule="exact" w:before="3" w:after="0"/>
        <w:ind w:left="1584" w:right="0" w:hanging="410"/>
        <w:jc w:val="left"/>
        <w:rPr>
          <w:rFonts w:ascii="Arial Narrow" w:hAnsi="Arial Narrow"/>
          <w:sz w:val="18"/>
        </w:rPr>
      </w:pPr>
      <w:r>
        <w:rPr>
          <w:rFonts w:ascii="Arial Narrow" w:hAnsi="Arial Narrow"/>
          <w:sz w:val="18"/>
        </w:rPr>
        <w:t>Información</w:t>
      </w:r>
      <w:r>
        <w:rPr>
          <w:rFonts w:ascii="Arial Narrow" w:hAnsi="Arial Narrow"/>
          <w:spacing w:val="-7"/>
          <w:sz w:val="18"/>
        </w:rPr>
        <w:t> </w:t>
      </w:r>
      <w:r>
        <w:rPr>
          <w:rFonts w:ascii="Arial Narrow" w:hAnsi="Arial Narrow"/>
          <w:spacing w:val="-2"/>
          <w:sz w:val="18"/>
        </w:rPr>
        <w:t>remitida</w:t>
      </w:r>
    </w:p>
    <w:p>
      <w:pPr>
        <w:spacing w:line="349" w:lineRule="exact" w:before="0"/>
        <w:ind w:left="1174" w:right="0" w:firstLine="0"/>
        <w:jc w:val="left"/>
        <w:rPr>
          <w:rFonts w:ascii="Arial Narrow" w:hAnsi="Arial Narrow"/>
          <w:sz w:val="18"/>
        </w:rPr>
      </w:pPr>
      <w:r>
        <w:rPr>
          <w:rFonts w:ascii="Bradley Hand ITC" w:hAnsi="Bradley Hand ITC"/>
          <w:b/>
          <w:color w:val="FF0000"/>
          <w:sz w:val="28"/>
        </w:rPr>
        <w:t>X</w:t>
      </w:r>
      <w:r>
        <w:rPr>
          <w:rFonts w:ascii="Bradley Hand ITC" w:hAnsi="Bradley Hand ITC"/>
          <w:b/>
          <w:color w:val="FF0000"/>
          <w:spacing w:val="24"/>
          <w:sz w:val="28"/>
        </w:rPr>
        <w:t>  </w:t>
      </w:r>
      <w:r>
        <w:rPr>
          <w:rFonts w:ascii="Arial Narrow" w:hAnsi="Arial Narrow"/>
          <w:sz w:val="18"/>
        </w:rPr>
        <w:t>Información</w:t>
      </w:r>
      <w:r>
        <w:rPr>
          <w:rFonts w:ascii="Arial Narrow" w:hAnsi="Arial Narrow"/>
          <w:spacing w:val="-1"/>
          <w:sz w:val="18"/>
        </w:rPr>
        <w:t> </w:t>
      </w:r>
      <w:r>
        <w:rPr>
          <w:rFonts w:ascii="Arial Narrow" w:hAnsi="Arial Narrow"/>
          <w:sz w:val="18"/>
        </w:rPr>
        <w:t>no</w:t>
      </w:r>
      <w:r>
        <w:rPr>
          <w:rFonts w:ascii="Arial Narrow" w:hAnsi="Arial Narrow"/>
          <w:spacing w:val="-2"/>
          <w:sz w:val="18"/>
        </w:rPr>
        <w:t> remitida.</w:t>
      </w:r>
    </w:p>
    <w:p>
      <w:pPr>
        <w:spacing w:before="1"/>
        <w:ind w:left="1174" w:right="907" w:firstLine="0"/>
        <w:jc w:val="left"/>
        <w:rPr>
          <w:rFonts w:ascii="Arial Narrow" w:hAnsi="Arial Narrow"/>
          <w:sz w:val="18"/>
        </w:rPr>
      </w:pPr>
      <w:r>
        <w:rPr>
          <w:rFonts w:ascii="Arial Narrow" w:hAnsi="Arial Narrow"/>
          <w:sz w:val="18"/>
        </w:rPr>
        <w:t>Los</w:t>
      </w:r>
      <w:r>
        <w:rPr>
          <w:rFonts w:ascii="Arial Narrow" w:hAnsi="Arial Narrow"/>
          <w:spacing w:val="-2"/>
          <w:sz w:val="18"/>
        </w:rPr>
        <w:t> </w:t>
      </w:r>
      <w:r>
        <w:rPr>
          <w:rFonts w:ascii="Arial Narrow" w:hAnsi="Arial Narrow"/>
          <w:sz w:val="18"/>
        </w:rPr>
        <w:t>datos</w:t>
      </w:r>
      <w:r>
        <w:rPr>
          <w:rFonts w:ascii="Arial Narrow" w:hAnsi="Arial Narrow"/>
          <w:spacing w:val="-3"/>
          <w:sz w:val="18"/>
        </w:rPr>
        <w:t> </w:t>
      </w:r>
      <w:r>
        <w:rPr>
          <w:rFonts w:ascii="Arial Narrow" w:hAnsi="Arial Narrow"/>
          <w:sz w:val="18"/>
        </w:rPr>
        <w:t>numéricos</w:t>
      </w:r>
      <w:r>
        <w:rPr>
          <w:rFonts w:ascii="Arial Narrow" w:hAnsi="Arial Narrow"/>
          <w:spacing w:val="-3"/>
          <w:sz w:val="18"/>
        </w:rPr>
        <w:t> </w:t>
      </w:r>
      <w:r>
        <w:rPr>
          <w:rFonts w:ascii="Arial Narrow" w:hAnsi="Arial Narrow"/>
          <w:sz w:val="18"/>
        </w:rPr>
        <w:t>indican</w:t>
      </w:r>
      <w:r>
        <w:rPr>
          <w:rFonts w:ascii="Arial Narrow" w:hAnsi="Arial Narrow"/>
          <w:spacing w:val="-3"/>
          <w:sz w:val="18"/>
        </w:rPr>
        <w:t> </w:t>
      </w:r>
      <w:r>
        <w:rPr>
          <w:rFonts w:ascii="Arial Narrow" w:hAnsi="Arial Narrow"/>
          <w:sz w:val="18"/>
        </w:rPr>
        <w:t>el</w:t>
      </w:r>
      <w:r>
        <w:rPr>
          <w:rFonts w:ascii="Arial Narrow" w:hAnsi="Arial Narrow"/>
          <w:spacing w:val="-2"/>
          <w:sz w:val="18"/>
        </w:rPr>
        <w:t> </w:t>
      </w:r>
      <w:r>
        <w:rPr>
          <w:rFonts w:ascii="Arial Narrow" w:hAnsi="Arial Narrow"/>
          <w:sz w:val="18"/>
        </w:rPr>
        <w:t>número</w:t>
      </w:r>
      <w:r>
        <w:rPr>
          <w:rFonts w:ascii="Arial Narrow" w:hAnsi="Arial Narrow"/>
          <w:spacing w:val="-3"/>
          <w:sz w:val="18"/>
        </w:rPr>
        <w:t> </w:t>
      </w:r>
      <w:r>
        <w:rPr>
          <w:rFonts w:ascii="Arial Narrow" w:hAnsi="Arial Narrow"/>
          <w:sz w:val="18"/>
        </w:rPr>
        <w:t>de</w:t>
      </w:r>
      <w:r>
        <w:rPr>
          <w:rFonts w:ascii="Arial Narrow" w:hAnsi="Arial Narrow"/>
          <w:spacing w:val="-1"/>
          <w:sz w:val="18"/>
        </w:rPr>
        <w:t> </w:t>
      </w:r>
      <w:r>
        <w:rPr>
          <w:rFonts w:ascii="Arial Narrow" w:hAnsi="Arial Narrow"/>
          <w:sz w:val="18"/>
        </w:rPr>
        <w:t>días</w:t>
      </w:r>
      <w:r>
        <w:rPr>
          <w:rFonts w:ascii="Arial Narrow" w:hAnsi="Arial Narrow"/>
          <w:spacing w:val="-3"/>
          <w:sz w:val="18"/>
        </w:rPr>
        <w:t> </w:t>
      </w:r>
      <w:r>
        <w:rPr>
          <w:rFonts w:ascii="Arial Narrow" w:hAnsi="Arial Narrow"/>
          <w:sz w:val="18"/>
        </w:rPr>
        <w:t>que</w:t>
      </w:r>
      <w:r>
        <w:rPr>
          <w:rFonts w:ascii="Arial Narrow" w:hAnsi="Arial Narrow"/>
          <w:spacing w:val="-1"/>
          <w:sz w:val="18"/>
        </w:rPr>
        <w:t> </w:t>
      </w:r>
      <w:r>
        <w:rPr>
          <w:rFonts w:ascii="Arial Narrow" w:hAnsi="Arial Narrow"/>
          <w:sz w:val="18"/>
        </w:rPr>
        <w:t>exceden</w:t>
      </w:r>
      <w:r>
        <w:rPr>
          <w:rFonts w:ascii="Arial Narrow" w:hAnsi="Arial Narrow"/>
          <w:spacing w:val="-3"/>
          <w:sz w:val="18"/>
        </w:rPr>
        <w:t> </w:t>
      </w:r>
      <w:r>
        <w:rPr>
          <w:rFonts w:ascii="Arial Narrow" w:hAnsi="Arial Narrow"/>
          <w:sz w:val="18"/>
        </w:rPr>
        <w:t>de</w:t>
      </w:r>
      <w:r>
        <w:rPr>
          <w:rFonts w:ascii="Arial Narrow" w:hAnsi="Arial Narrow"/>
          <w:spacing w:val="-1"/>
          <w:sz w:val="18"/>
        </w:rPr>
        <w:t> </w:t>
      </w:r>
      <w:r>
        <w:rPr>
          <w:rFonts w:ascii="Arial Narrow" w:hAnsi="Arial Narrow"/>
          <w:sz w:val="18"/>
        </w:rPr>
        <w:t>la</w:t>
      </w:r>
      <w:r>
        <w:rPr>
          <w:rFonts w:ascii="Arial Narrow" w:hAnsi="Arial Narrow"/>
          <w:spacing w:val="-3"/>
          <w:sz w:val="18"/>
        </w:rPr>
        <w:t> </w:t>
      </w:r>
      <w:r>
        <w:rPr>
          <w:rFonts w:ascii="Arial Narrow" w:hAnsi="Arial Narrow"/>
          <w:sz w:val="18"/>
        </w:rPr>
        <w:t>fecha</w:t>
      </w:r>
      <w:r>
        <w:rPr>
          <w:rFonts w:ascii="Arial Narrow" w:hAnsi="Arial Narrow"/>
          <w:spacing w:val="-3"/>
          <w:sz w:val="18"/>
        </w:rPr>
        <w:t> </w:t>
      </w:r>
      <w:r>
        <w:rPr>
          <w:rFonts w:ascii="Arial Narrow" w:hAnsi="Arial Narrow"/>
          <w:sz w:val="18"/>
        </w:rPr>
        <w:t>límite</w:t>
      </w:r>
      <w:r>
        <w:rPr>
          <w:rFonts w:ascii="Arial Narrow" w:hAnsi="Arial Narrow"/>
          <w:spacing w:val="-3"/>
          <w:sz w:val="18"/>
        </w:rPr>
        <w:t> </w:t>
      </w:r>
      <w:r>
        <w:rPr>
          <w:rFonts w:ascii="Arial Narrow" w:hAnsi="Arial Narrow"/>
          <w:sz w:val="18"/>
        </w:rPr>
        <w:t>de</w:t>
      </w:r>
      <w:r>
        <w:rPr>
          <w:rFonts w:ascii="Arial Narrow" w:hAnsi="Arial Narrow"/>
          <w:spacing w:val="-3"/>
          <w:sz w:val="18"/>
        </w:rPr>
        <w:t> </w:t>
      </w:r>
      <w:r>
        <w:rPr>
          <w:rFonts w:ascii="Arial Narrow" w:hAnsi="Arial Narrow"/>
          <w:sz w:val="18"/>
        </w:rPr>
        <w:t>cada</w:t>
      </w:r>
      <w:r>
        <w:rPr>
          <w:rFonts w:ascii="Arial Narrow" w:hAnsi="Arial Narrow"/>
          <w:spacing w:val="-1"/>
          <w:sz w:val="18"/>
        </w:rPr>
        <w:t> </w:t>
      </w:r>
      <w:r>
        <w:rPr>
          <w:rFonts w:ascii="Arial Narrow" w:hAnsi="Arial Narrow"/>
          <w:sz w:val="18"/>
        </w:rPr>
        <w:t>ejercicio</w:t>
      </w:r>
      <w:r>
        <w:rPr>
          <w:rFonts w:ascii="Arial Narrow" w:hAnsi="Arial Narrow"/>
          <w:spacing w:val="-3"/>
          <w:sz w:val="18"/>
        </w:rPr>
        <w:t> </w:t>
      </w:r>
      <w:r>
        <w:rPr>
          <w:rFonts w:ascii="Arial Narrow" w:hAnsi="Arial Narrow"/>
          <w:sz w:val="18"/>
        </w:rPr>
        <w:t>para</w:t>
      </w:r>
      <w:r>
        <w:rPr>
          <w:rFonts w:ascii="Arial Narrow" w:hAnsi="Arial Narrow"/>
          <w:spacing w:val="-3"/>
          <w:sz w:val="18"/>
        </w:rPr>
        <w:t> </w:t>
      </w:r>
      <w:r>
        <w:rPr>
          <w:rFonts w:ascii="Arial Narrow" w:hAnsi="Arial Narrow"/>
          <w:sz w:val="18"/>
        </w:rPr>
        <w:t>la</w:t>
      </w:r>
      <w:r>
        <w:rPr>
          <w:rFonts w:ascii="Arial Narrow" w:hAnsi="Arial Narrow"/>
          <w:spacing w:val="-1"/>
          <w:sz w:val="18"/>
        </w:rPr>
        <w:t> </w:t>
      </w:r>
      <w:r>
        <w:rPr>
          <w:rFonts w:ascii="Arial Narrow" w:hAnsi="Arial Narrow"/>
          <w:sz w:val="18"/>
        </w:rPr>
        <w:t>rendición</w:t>
      </w:r>
      <w:r>
        <w:rPr>
          <w:rFonts w:ascii="Arial Narrow" w:hAnsi="Arial Narrow"/>
          <w:spacing w:val="-3"/>
          <w:sz w:val="18"/>
        </w:rPr>
        <w:t> </w:t>
      </w:r>
      <w:r>
        <w:rPr>
          <w:rFonts w:ascii="Arial Narrow" w:hAnsi="Arial Narrow"/>
          <w:sz w:val="18"/>
        </w:rPr>
        <w:t>de</w:t>
      </w:r>
      <w:r>
        <w:rPr>
          <w:rFonts w:ascii="Arial Narrow" w:hAnsi="Arial Narrow"/>
          <w:spacing w:val="-3"/>
          <w:sz w:val="18"/>
        </w:rPr>
        <w:t> </w:t>
      </w:r>
      <w:r>
        <w:rPr>
          <w:rFonts w:ascii="Arial Narrow" w:hAnsi="Arial Narrow"/>
          <w:sz w:val="18"/>
        </w:rPr>
        <w:t>cuentas</w:t>
      </w:r>
      <w:r>
        <w:rPr>
          <w:rFonts w:ascii="Arial Narrow" w:hAnsi="Arial Narrow"/>
          <w:spacing w:val="-2"/>
          <w:sz w:val="18"/>
        </w:rPr>
        <w:t> </w:t>
      </w:r>
      <w:r>
        <w:rPr>
          <w:rFonts w:ascii="Arial Narrow" w:hAnsi="Arial Narrow"/>
          <w:sz w:val="18"/>
        </w:rPr>
        <w:t>o la</w:t>
      </w:r>
      <w:r>
        <w:rPr>
          <w:rFonts w:ascii="Arial Narrow" w:hAnsi="Arial Narrow"/>
          <w:spacing w:val="-3"/>
          <w:sz w:val="18"/>
        </w:rPr>
        <w:t> </w:t>
      </w:r>
      <w:r>
        <w:rPr>
          <w:rFonts w:ascii="Arial Narrow" w:hAnsi="Arial Narrow"/>
          <w:sz w:val="18"/>
        </w:rPr>
        <w:t>remisión</w:t>
      </w:r>
      <w:r>
        <w:rPr>
          <w:rFonts w:ascii="Arial Narrow" w:hAnsi="Arial Narrow"/>
          <w:spacing w:val="-3"/>
          <w:sz w:val="18"/>
        </w:rPr>
        <w:t> </w:t>
      </w:r>
      <w:r>
        <w:rPr>
          <w:rFonts w:ascii="Arial Narrow" w:hAnsi="Arial Narrow"/>
          <w:sz w:val="18"/>
        </w:rPr>
        <w:t>del resto de la información obligatoria en plazo.</w:t>
      </w:r>
    </w:p>
    <w:p>
      <w:pPr>
        <w:spacing w:after="0"/>
        <w:jc w:val="left"/>
        <w:rPr>
          <w:rFonts w:ascii="Arial Narrow" w:hAnsi="Arial Narrow"/>
          <w:sz w:val="18"/>
        </w:rPr>
        <w:sectPr>
          <w:headerReference w:type="default" r:id="rId85"/>
          <w:headerReference w:type="even" r:id="rId86"/>
          <w:footerReference w:type="default" r:id="rId87"/>
          <w:footerReference w:type="even" r:id="rId88"/>
          <w:pgSz w:w="11910" w:h="16840"/>
          <w:pgMar w:header="1270" w:footer="683" w:top="2800" w:bottom="880" w:left="141" w:right="141"/>
          <w:pgNumType w:start="115"/>
        </w:sectPr>
      </w:pPr>
    </w:p>
    <w:p>
      <w:pPr>
        <w:pStyle w:val="BodyText"/>
        <w:spacing w:before="125"/>
        <w:rPr>
          <w:rFonts w:ascii="Arial Narrow"/>
        </w:rPr>
      </w:pPr>
    </w:p>
    <w:p>
      <w:pPr>
        <w:pStyle w:val="Heading4"/>
        <w:ind w:left="1"/>
      </w:pPr>
      <w:r>
        <w:rPr/>
        <mc:AlternateContent>
          <mc:Choice Requires="wps">
            <w:drawing>
              <wp:anchor distT="0" distB="0" distL="0" distR="0" allowOverlap="1" layoutInCell="1" locked="0" behindDoc="1" simplePos="0" relativeHeight="474309120">
                <wp:simplePos x="0" y="0"/>
                <wp:positionH relativeFrom="page">
                  <wp:posOffset>365759</wp:posOffset>
                </wp:positionH>
                <wp:positionV relativeFrom="paragraph">
                  <wp:posOffset>312780</wp:posOffset>
                </wp:positionV>
                <wp:extent cx="6830695" cy="848994"/>
                <wp:effectExtent l="0" t="0" r="0" b="0"/>
                <wp:wrapNone/>
                <wp:docPr id="315" name="Group 315"/>
                <wp:cNvGraphicFramePr>
                  <a:graphicFrameLocks/>
                </wp:cNvGraphicFramePr>
                <a:graphic>
                  <a:graphicData uri="http://schemas.microsoft.com/office/word/2010/wordprocessingGroup">
                    <wpg:wgp>
                      <wpg:cNvPr id="315" name="Group 315"/>
                      <wpg:cNvGrpSpPr/>
                      <wpg:grpSpPr>
                        <a:xfrm>
                          <a:off x="0" y="0"/>
                          <a:ext cx="6830695" cy="848994"/>
                          <a:chExt cx="6830695" cy="848994"/>
                        </a:xfrm>
                      </wpg:grpSpPr>
                      <wps:wsp>
                        <wps:cNvPr id="316" name="Graphic 316"/>
                        <wps:cNvSpPr/>
                        <wps:spPr>
                          <a:xfrm>
                            <a:off x="0" y="0"/>
                            <a:ext cx="6830695" cy="848994"/>
                          </a:xfrm>
                          <a:custGeom>
                            <a:avLst/>
                            <a:gdLst/>
                            <a:ahLst/>
                            <a:cxnLst/>
                            <a:rect l="l" t="t" r="r" b="b"/>
                            <a:pathLst>
                              <a:path w="6830695" h="848994">
                                <a:moveTo>
                                  <a:pt x="1791309" y="0"/>
                                </a:moveTo>
                                <a:lnTo>
                                  <a:pt x="783640" y="0"/>
                                </a:lnTo>
                                <a:lnTo>
                                  <a:pt x="0" y="0"/>
                                </a:lnTo>
                                <a:lnTo>
                                  <a:pt x="0" y="848868"/>
                                </a:lnTo>
                                <a:lnTo>
                                  <a:pt x="783640" y="848868"/>
                                </a:lnTo>
                                <a:lnTo>
                                  <a:pt x="1791309" y="848868"/>
                                </a:lnTo>
                                <a:lnTo>
                                  <a:pt x="1791309" y="0"/>
                                </a:lnTo>
                                <a:close/>
                              </a:path>
                              <a:path w="6830695" h="848994">
                                <a:moveTo>
                                  <a:pt x="4408284" y="0"/>
                                </a:moveTo>
                                <a:lnTo>
                                  <a:pt x="1791335" y="0"/>
                                </a:lnTo>
                                <a:lnTo>
                                  <a:pt x="1791335" y="358140"/>
                                </a:lnTo>
                                <a:lnTo>
                                  <a:pt x="4408284" y="358140"/>
                                </a:lnTo>
                                <a:lnTo>
                                  <a:pt x="4408284" y="0"/>
                                </a:lnTo>
                                <a:close/>
                              </a:path>
                              <a:path w="6830695" h="848994">
                                <a:moveTo>
                                  <a:pt x="4513758" y="0"/>
                                </a:moveTo>
                                <a:lnTo>
                                  <a:pt x="4467733" y="0"/>
                                </a:lnTo>
                                <a:lnTo>
                                  <a:pt x="4452493" y="0"/>
                                </a:lnTo>
                                <a:lnTo>
                                  <a:pt x="4408297" y="0"/>
                                </a:lnTo>
                                <a:lnTo>
                                  <a:pt x="4408297" y="358140"/>
                                </a:lnTo>
                                <a:lnTo>
                                  <a:pt x="4513758" y="358140"/>
                                </a:lnTo>
                                <a:lnTo>
                                  <a:pt x="4513758" y="0"/>
                                </a:lnTo>
                                <a:close/>
                              </a:path>
                              <a:path w="6830695" h="848994">
                                <a:moveTo>
                                  <a:pt x="6830568" y="0"/>
                                </a:moveTo>
                                <a:lnTo>
                                  <a:pt x="4513834" y="0"/>
                                </a:lnTo>
                                <a:lnTo>
                                  <a:pt x="4513834" y="358140"/>
                                </a:lnTo>
                                <a:lnTo>
                                  <a:pt x="6830568" y="358140"/>
                                </a:lnTo>
                                <a:lnTo>
                                  <a:pt x="6830568" y="0"/>
                                </a:lnTo>
                                <a:close/>
                              </a:path>
                            </a:pathLst>
                          </a:custGeom>
                          <a:solidFill>
                            <a:srgbClr val="002D5D"/>
                          </a:solidFill>
                        </wps:spPr>
                        <wps:bodyPr wrap="square" lIns="0" tIns="0" rIns="0" bIns="0" rtlCol="0">
                          <a:prstTxWarp prst="textNoShape">
                            <a:avLst/>
                          </a:prstTxWarp>
                          <a:noAutofit/>
                        </wps:bodyPr>
                      </wps:wsp>
                      <wps:wsp>
                        <wps:cNvPr id="317" name="Textbox 317"/>
                        <wps:cNvSpPr txBox="1"/>
                        <wps:spPr>
                          <a:xfrm>
                            <a:off x="1969642" y="114046"/>
                            <a:ext cx="2270760" cy="131445"/>
                          </a:xfrm>
                          <a:prstGeom prst="rect">
                            <a:avLst/>
                          </a:prstGeom>
                        </wps:spPr>
                        <wps:txbx>
                          <w:txbxContent>
                            <w:p>
                              <w:pPr>
                                <w:spacing w:line="206" w:lineRule="exact" w:before="0"/>
                                <w:ind w:left="0" w:right="0" w:firstLine="0"/>
                                <w:jc w:val="left"/>
                                <w:rPr>
                                  <w:rFonts w:ascii="Arial Narrow" w:hAnsi="Arial Narrow"/>
                                  <w:b/>
                                  <w:sz w:val="18"/>
                                </w:rPr>
                              </w:pPr>
                              <w:r>
                                <w:rPr>
                                  <w:rFonts w:ascii="Arial Narrow" w:hAnsi="Arial Narrow"/>
                                  <w:b/>
                                  <w:color w:val="FFFFFF"/>
                                  <w:sz w:val="18"/>
                                </w:rPr>
                                <w:t>CARACTERÍSTICAS</w:t>
                              </w:r>
                              <w:r>
                                <w:rPr>
                                  <w:rFonts w:ascii="Arial Narrow" w:hAnsi="Arial Narrow"/>
                                  <w:b/>
                                  <w:color w:val="FFFFFF"/>
                                  <w:spacing w:val="-3"/>
                                  <w:sz w:val="18"/>
                                </w:rPr>
                                <w:t> </w:t>
                              </w:r>
                              <w:r>
                                <w:rPr>
                                  <w:rFonts w:ascii="Arial Narrow" w:hAnsi="Arial Narrow"/>
                                  <w:b/>
                                  <w:color w:val="FFFFFF"/>
                                  <w:sz w:val="18"/>
                                </w:rPr>
                                <w:t>DE</w:t>
                              </w:r>
                              <w:r>
                                <w:rPr>
                                  <w:rFonts w:ascii="Arial Narrow" w:hAnsi="Arial Narrow"/>
                                  <w:b/>
                                  <w:color w:val="FFFFFF"/>
                                  <w:spacing w:val="-2"/>
                                  <w:sz w:val="18"/>
                                </w:rPr>
                                <w:t> </w:t>
                              </w:r>
                              <w:r>
                                <w:rPr>
                                  <w:rFonts w:ascii="Arial Narrow" w:hAnsi="Arial Narrow"/>
                                  <w:b/>
                                  <w:color w:val="FFFFFF"/>
                                  <w:sz w:val="18"/>
                                </w:rPr>
                                <w:t>LAS REDES</w:t>
                              </w:r>
                              <w:r>
                                <w:rPr>
                                  <w:rFonts w:ascii="Arial Narrow" w:hAnsi="Arial Narrow"/>
                                  <w:b/>
                                  <w:color w:val="FFFFFF"/>
                                  <w:spacing w:val="-2"/>
                                  <w:sz w:val="18"/>
                                </w:rPr>
                                <w:t> </w:t>
                              </w:r>
                              <w:r>
                                <w:rPr>
                                  <w:rFonts w:ascii="Arial Narrow" w:hAnsi="Arial Narrow"/>
                                  <w:b/>
                                  <w:color w:val="FFFFFF"/>
                                  <w:sz w:val="18"/>
                                </w:rPr>
                                <w:t>DE</w:t>
                              </w:r>
                              <w:r>
                                <w:rPr>
                                  <w:rFonts w:ascii="Arial Narrow" w:hAnsi="Arial Narrow"/>
                                  <w:b/>
                                  <w:color w:val="FFFFFF"/>
                                  <w:spacing w:val="-2"/>
                                  <w:sz w:val="18"/>
                                </w:rPr>
                                <w:t> AUTOBÚS</w:t>
                              </w:r>
                            </w:p>
                          </w:txbxContent>
                        </wps:txbx>
                        <wps:bodyPr wrap="square" lIns="0" tIns="0" rIns="0" bIns="0" rtlCol="0">
                          <a:noAutofit/>
                        </wps:bodyPr>
                      </wps:wsp>
                      <wps:wsp>
                        <wps:cNvPr id="318" name="Textbox 318"/>
                        <wps:cNvSpPr txBox="1"/>
                        <wps:spPr>
                          <a:xfrm>
                            <a:off x="4565650" y="114046"/>
                            <a:ext cx="2224405" cy="131445"/>
                          </a:xfrm>
                          <a:prstGeom prst="rect">
                            <a:avLst/>
                          </a:prstGeom>
                        </wps:spPr>
                        <wps:txbx>
                          <w:txbxContent>
                            <w:p>
                              <w:pPr>
                                <w:spacing w:line="206" w:lineRule="exact" w:before="0"/>
                                <w:ind w:left="0" w:right="0" w:firstLine="0"/>
                                <w:jc w:val="left"/>
                                <w:rPr>
                                  <w:rFonts w:ascii="Arial Narrow" w:hAnsi="Arial Narrow"/>
                                  <w:b/>
                                  <w:sz w:val="18"/>
                                </w:rPr>
                              </w:pPr>
                              <w:r>
                                <w:rPr>
                                  <w:rFonts w:ascii="Arial Narrow" w:hAnsi="Arial Narrow"/>
                                  <w:b/>
                                  <w:color w:val="FFFFFF"/>
                                  <w:sz w:val="18"/>
                                </w:rPr>
                                <w:t>CARÁCTERÍSTICAS</w:t>
                              </w:r>
                              <w:r>
                                <w:rPr>
                                  <w:rFonts w:ascii="Arial Narrow" w:hAnsi="Arial Narrow"/>
                                  <w:b/>
                                  <w:color w:val="FFFFFF"/>
                                  <w:spacing w:val="-3"/>
                                  <w:sz w:val="18"/>
                                </w:rPr>
                                <w:t> </w:t>
                              </w:r>
                              <w:r>
                                <w:rPr>
                                  <w:rFonts w:ascii="Arial Narrow" w:hAnsi="Arial Narrow"/>
                                  <w:b/>
                                  <w:color w:val="FFFFFF"/>
                                  <w:sz w:val="18"/>
                                </w:rPr>
                                <w:t>DE</w:t>
                              </w:r>
                              <w:r>
                                <w:rPr>
                                  <w:rFonts w:ascii="Arial Narrow" w:hAnsi="Arial Narrow"/>
                                  <w:b/>
                                  <w:color w:val="FFFFFF"/>
                                  <w:spacing w:val="-2"/>
                                  <w:sz w:val="18"/>
                                </w:rPr>
                                <w:t> </w:t>
                              </w:r>
                              <w:r>
                                <w:rPr>
                                  <w:rFonts w:ascii="Arial Narrow" w:hAnsi="Arial Narrow"/>
                                  <w:b/>
                                  <w:color w:val="FFFFFF"/>
                                  <w:sz w:val="18"/>
                                </w:rPr>
                                <w:t>LAS REDES</w:t>
                              </w:r>
                              <w:r>
                                <w:rPr>
                                  <w:rFonts w:ascii="Arial Narrow" w:hAnsi="Arial Narrow"/>
                                  <w:b/>
                                  <w:color w:val="FFFFFF"/>
                                  <w:spacing w:val="-2"/>
                                  <w:sz w:val="18"/>
                                </w:rPr>
                                <w:t> </w:t>
                              </w:r>
                              <w:r>
                                <w:rPr>
                                  <w:rFonts w:ascii="Arial Narrow" w:hAnsi="Arial Narrow"/>
                                  <w:b/>
                                  <w:color w:val="FFFFFF"/>
                                  <w:sz w:val="18"/>
                                </w:rPr>
                                <w:t>DE</w:t>
                              </w:r>
                              <w:r>
                                <w:rPr>
                                  <w:rFonts w:ascii="Arial Narrow" w:hAnsi="Arial Narrow"/>
                                  <w:b/>
                                  <w:color w:val="FFFFFF"/>
                                  <w:spacing w:val="-2"/>
                                  <w:sz w:val="18"/>
                                </w:rPr>
                                <w:t> TRANVÍA</w:t>
                              </w:r>
                            </w:p>
                          </w:txbxContent>
                        </wps:txbx>
                        <wps:bodyPr wrap="square" lIns="0" tIns="0" rIns="0" bIns="0" rtlCol="0">
                          <a:noAutofit/>
                        </wps:bodyPr>
                      </wps:wsp>
                    </wpg:wgp>
                  </a:graphicData>
                </a:graphic>
              </wp:anchor>
            </w:drawing>
          </mc:Choice>
          <mc:Fallback>
            <w:pict>
              <v:group style="position:absolute;margin-left:28.799999pt;margin-top:24.628399pt;width:537.85pt;height:66.850pt;mso-position-horizontal-relative:page;mso-position-vertical-relative:paragraph;z-index:-29007360" id="docshapegroup268" coordorigin="576,493" coordsize="10757,1337">
                <v:shape style="position:absolute;left:576;top:492;width:10757;height:1337" id="docshape269" coordorigin="576,493" coordsize="10757,1337" path="m3397,493l1810,493,576,493,576,1829,1810,1829,3397,1829,3397,493xm7518,493l3397,493,3397,1057,7518,1057,7518,493xm7684,493l7612,493,7588,493,7518,493,7518,1057,7684,1057,7684,493xm11333,493l7684,493,7684,1057,11333,1057,11333,493xe" filled="true" fillcolor="#002d5d" stroked="false">
                  <v:path arrowok="t"/>
                  <v:fill type="solid"/>
                </v:shape>
                <v:shape style="position:absolute;left:3677;top:672;width:3576;height:207" type="#_x0000_t202" id="docshape270" filled="false" stroked="false">
                  <v:textbox inset="0,0,0,0">
                    <w:txbxContent>
                      <w:p>
                        <w:pPr>
                          <w:spacing w:line="206" w:lineRule="exact" w:before="0"/>
                          <w:ind w:left="0" w:right="0" w:firstLine="0"/>
                          <w:jc w:val="left"/>
                          <w:rPr>
                            <w:rFonts w:ascii="Arial Narrow" w:hAnsi="Arial Narrow"/>
                            <w:b/>
                            <w:sz w:val="18"/>
                          </w:rPr>
                        </w:pPr>
                        <w:r>
                          <w:rPr>
                            <w:rFonts w:ascii="Arial Narrow" w:hAnsi="Arial Narrow"/>
                            <w:b/>
                            <w:color w:val="FFFFFF"/>
                            <w:sz w:val="18"/>
                          </w:rPr>
                          <w:t>CARACTERÍSTICAS</w:t>
                        </w:r>
                        <w:r>
                          <w:rPr>
                            <w:rFonts w:ascii="Arial Narrow" w:hAnsi="Arial Narrow"/>
                            <w:b/>
                            <w:color w:val="FFFFFF"/>
                            <w:spacing w:val="-3"/>
                            <w:sz w:val="18"/>
                          </w:rPr>
                          <w:t> </w:t>
                        </w:r>
                        <w:r>
                          <w:rPr>
                            <w:rFonts w:ascii="Arial Narrow" w:hAnsi="Arial Narrow"/>
                            <w:b/>
                            <w:color w:val="FFFFFF"/>
                            <w:sz w:val="18"/>
                          </w:rPr>
                          <w:t>DE</w:t>
                        </w:r>
                        <w:r>
                          <w:rPr>
                            <w:rFonts w:ascii="Arial Narrow" w:hAnsi="Arial Narrow"/>
                            <w:b/>
                            <w:color w:val="FFFFFF"/>
                            <w:spacing w:val="-2"/>
                            <w:sz w:val="18"/>
                          </w:rPr>
                          <w:t> </w:t>
                        </w:r>
                        <w:r>
                          <w:rPr>
                            <w:rFonts w:ascii="Arial Narrow" w:hAnsi="Arial Narrow"/>
                            <w:b/>
                            <w:color w:val="FFFFFF"/>
                            <w:sz w:val="18"/>
                          </w:rPr>
                          <w:t>LAS REDES</w:t>
                        </w:r>
                        <w:r>
                          <w:rPr>
                            <w:rFonts w:ascii="Arial Narrow" w:hAnsi="Arial Narrow"/>
                            <w:b/>
                            <w:color w:val="FFFFFF"/>
                            <w:spacing w:val="-2"/>
                            <w:sz w:val="18"/>
                          </w:rPr>
                          <w:t> </w:t>
                        </w:r>
                        <w:r>
                          <w:rPr>
                            <w:rFonts w:ascii="Arial Narrow" w:hAnsi="Arial Narrow"/>
                            <w:b/>
                            <w:color w:val="FFFFFF"/>
                            <w:sz w:val="18"/>
                          </w:rPr>
                          <w:t>DE</w:t>
                        </w:r>
                        <w:r>
                          <w:rPr>
                            <w:rFonts w:ascii="Arial Narrow" w:hAnsi="Arial Narrow"/>
                            <w:b/>
                            <w:color w:val="FFFFFF"/>
                            <w:spacing w:val="-2"/>
                            <w:sz w:val="18"/>
                          </w:rPr>
                          <w:t> AUTOBÚS</w:t>
                        </w:r>
                      </w:p>
                    </w:txbxContent>
                  </v:textbox>
                  <w10:wrap type="none"/>
                </v:shape>
                <v:shape style="position:absolute;left:7766;top:672;width:3503;height:207" type="#_x0000_t202" id="docshape271" filled="false" stroked="false">
                  <v:textbox inset="0,0,0,0">
                    <w:txbxContent>
                      <w:p>
                        <w:pPr>
                          <w:spacing w:line="206" w:lineRule="exact" w:before="0"/>
                          <w:ind w:left="0" w:right="0" w:firstLine="0"/>
                          <w:jc w:val="left"/>
                          <w:rPr>
                            <w:rFonts w:ascii="Arial Narrow" w:hAnsi="Arial Narrow"/>
                            <w:b/>
                            <w:sz w:val="18"/>
                          </w:rPr>
                        </w:pPr>
                        <w:r>
                          <w:rPr>
                            <w:rFonts w:ascii="Arial Narrow" w:hAnsi="Arial Narrow"/>
                            <w:b/>
                            <w:color w:val="FFFFFF"/>
                            <w:sz w:val="18"/>
                          </w:rPr>
                          <w:t>CARÁCTERÍSTICAS</w:t>
                        </w:r>
                        <w:r>
                          <w:rPr>
                            <w:rFonts w:ascii="Arial Narrow" w:hAnsi="Arial Narrow"/>
                            <w:b/>
                            <w:color w:val="FFFFFF"/>
                            <w:spacing w:val="-3"/>
                            <w:sz w:val="18"/>
                          </w:rPr>
                          <w:t> </w:t>
                        </w:r>
                        <w:r>
                          <w:rPr>
                            <w:rFonts w:ascii="Arial Narrow" w:hAnsi="Arial Narrow"/>
                            <w:b/>
                            <w:color w:val="FFFFFF"/>
                            <w:sz w:val="18"/>
                          </w:rPr>
                          <w:t>DE</w:t>
                        </w:r>
                        <w:r>
                          <w:rPr>
                            <w:rFonts w:ascii="Arial Narrow" w:hAnsi="Arial Narrow"/>
                            <w:b/>
                            <w:color w:val="FFFFFF"/>
                            <w:spacing w:val="-2"/>
                            <w:sz w:val="18"/>
                          </w:rPr>
                          <w:t> </w:t>
                        </w:r>
                        <w:r>
                          <w:rPr>
                            <w:rFonts w:ascii="Arial Narrow" w:hAnsi="Arial Narrow"/>
                            <w:b/>
                            <w:color w:val="FFFFFF"/>
                            <w:sz w:val="18"/>
                          </w:rPr>
                          <w:t>LAS REDES</w:t>
                        </w:r>
                        <w:r>
                          <w:rPr>
                            <w:rFonts w:ascii="Arial Narrow" w:hAnsi="Arial Narrow"/>
                            <w:b/>
                            <w:color w:val="FFFFFF"/>
                            <w:spacing w:val="-2"/>
                            <w:sz w:val="18"/>
                          </w:rPr>
                          <w:t> </w:t>
                        </w:r>
                        <w:r>
                          <w:rPr>
                            <w:rFonts w:ascii="Arial Narrow" w:hAnsi="Arial Narrow"/>
                            <w:b/>
                            <w:color w:val="FFFFFF"/>
                            <w:sz w:val="18"/>
                          </w:rPr>
                          <w:t>DE</w:t>
                        </w:r>
                        <w:r>
                          <w:rPr>
                            <w:rFonts w:ascii="Arial Narrow" w:hAnsi="Arial Narrow"/>
                            <w:b/>
                            <w:color w:val="FFFFFF"/>
                            <w:spacing w:val="-2"/>
                            <w:sz w:val="18"/>
                          </w:rPr>
                          <w:t> TRANVÍA</w:t>
                        </w:r>
                      </w:p>
                    </w:txbxContent>
                  </v:textbox>
                  <w10:wrap type="none"/>
                </v:shape>
                <w10:wrap type="none"/>
              </v:group>
            </w:pict>
          </mc:Fallback>
        </mc:AlternateContent>
      </w:r>
      <w:bookmarkStart w:name="_bookmark130" w:id="132"/>
      <w:bookmarkEnd w:id="132"/>
      <w:r>
        <w:rPr>
          <w:b w:val="0"/>
        </w:rPr>
      </w:r>
      <w:bookmarkStart w:name="_bookmark131" w:id="133"/>
      <w:bookmarkEnd w:id="133"/>
      <w:r>
        <w:rPr>
          <w:b w:val="0"/>
        </w:rPr>
      </w:r>
      <w:r>
        <w:rPr/>
        <w:t>CARACTERÍSTICAS</w:t>
      </w:r>
      <w:r>
        <w:rPr>
          <w:spacing w:val="-7"/>
        </w:rPr>
        <w:t> </w:t>
      </w:r>
      <w:r>
        <w:rPr/>
        <w:t>DE</w:t>
      </w:r>
      <w:r>
        <w:rPr>
          <w:spacing w:val="-6"/>
        </w:rPr>
        <w:t> </w:t>
      </w:r>
      <w:r>
        <w:rPr/>
        <w:t>LA</w:t>
      </w:r>
      <w:r>
        <w:rPr>
          <w:spacing w:val="-6"/>
        </w:rPr>
        <w:t> </w:t>
      </w:r>
      <w:r>
        <w:rPr>
          <w:spacing w:val="-4"/>
        </w:rPr>
        <w:t>FLOTA</w:t>
      </w:r>
    </w:p>
    <w:p>
      <w:pPr>
        <w:pStyle w:val="BodyText"/>
        <w:rPr>
          <w:b/>
          <w:sz w:val="20"/>
        </w:rPr>
      </w:pPr>
    </w:p>
    <w:p>
      <w:pPr>
        <w:pStyle w:val="BodyText"/>
        <w:rPr>
          <w:b/>
          <w:sz w:val="20"/>
        </w:rPr>
      </w:pPr>
    </w:p>
    <w:p>
      <w:pPr>
        <w:pStyle w:val="BodyText"/>
        <w:spacing w:before="115"/>
        <w:rPr>
          <w:b/>
          <w:sz w:val="20"/>
        </w:rPr>
      </w:pPr>
    </w:p>
    <w:tbl>
      <w:tblPr>
        <w:tblW w:w="0" w:type="auto"/>
        <w:jc w:val="left"/>
        <w:tblInd w:w="4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34"/>
        <w:gridCol w:w="1485"/>
        <w:gridCol w:w="736"/>
        <w:gridCol w:w="817"/>
        <w:gridCol w:w="796"/>
        <w:gridCol w:w="908"/>
        <w:gridCol w:w="1028"/>
        <w:gridCol w:w="784"/>
        <w:gridCol w:w="1027"/>
        <w:gridCol w:w="810"/>
        <w:gridCol w:w="1122"/>
      </w:tblGrid>
      <w:tr>
        <w:trPr>
          <w:trHeight w:val="1099" w:hRule="atLeast"/>
        </w:trPr>
        <w:tc>
          <w:tcPr>
            <w:tcW w:w="1234" w:type="dxa"/>
          </w:tcPr>
          <w:p>
            <w:pPr>
              <w:pStyle w:val="TableParagraph"/>
              <w:spacing w:line="206" w:lineRule="exact"/>
              <w:ind w:right="3"/>
              <w:jc w:val="center"/>
              <w:rPr>
                <w:b/>
                <w:sz w:val="18"/>
              </w:rPr>
            </w:pPr>
            <w:r>
              <w:rPr>
                <w:b/>
                <w:color w:val="FFFFFF"/>
                <w:spacing w:val="-2"/>
                <w:sz w:val="18"/>
              </w:rPr>
              <w:t>MUNICIPIO</w:t>
            </w:r>
          </w:p>
        </w:tc>
        <w:tc>
          <w:tcPr>
            <w:tcW w:w="1485" w:type="dxa"/>
            <w:tcBorders>
              <w:bottom w:val="single" w:sz="4" w:space="0" w:color="002B5D"/>
            </w:tcBorders>
          </w:tcPr>
          <w:p>
            <w:pPr>
              <w:pStyle w:val="TableParagraph"/>
              <w:spacing w:line="206" w:lineRule="exact"/>
              <w:ind w:left="97"/>
              <w:jc w:val="center"/>
              <w:rPr>
                <w:b/>
                <w:sz w:val="18"/>
              </w:rPr>
            </w:pPr>
            <w:r>
              <w:rPr>
                <w:b/>
                <w:color w:val="FFFFFF"/>
                <w:sz w:val="18"/>
              </w:rPr>
              <w:t>SITUACIÓN</w:t>
            </w:r>
            <w:r>
              <w:rPr>
                <w:b/>
                <w:color w:val="FFFFFF"/>
                <w:spacing w:val="-2"/>
                <w:sz w:val="18"/>
              </w:rPr>
              <w:t> </w:t>
            </w:r>
            <w:r>
              <w:rPr>
                <w:b/>
                <w:color w:val="FFFFFF"/>
                <w:spacing w:val="-10"/>
                <w:sz w:val="18"/>
              </w:rPr>
              <w:t>A</w:t>
            </w:r>
          </w:p>
          <w:p>
            <w:pPr>
              <w:pStyle w:val="TableParagraph"/>
              <w:rPr>
                <w:rFonts w:ascii="Arial"/>
                <w:b/>
                <w:sz w:val="18"/>
              </w:rPr>
            </w:pPr>
          </w:p>
          <w:p>
            <w:pPr>
              <w:pStyle w:val="TableParagraph"/>
              <w:rPr>
                <w:rFonts w:ascii="Arial"/>
                <w:b/>
                <w:sz w:val="18"/>
              </w:rPr>
            </w:pPr>
          </w:p>
          <w:p>
            <w:pPr>
              <w:pStyle w:val="TableParagraph"/>
              <w:spacing w:before="3"/>
              <w:rPr>
                <w:rFonts w:ascii="Arial"/>
                <w:b/>
                <w:sz w:val="18"/>
              </w:rPr>
            </w:pPr>
          </w:p>
          <w:p>
            <w:pPr>
              <w:pStyle w:val="TableParagraph"/>
              <w:ind w:left="97"/>
              <w:jc w:val="center"/>
              <w:rPr>
                <w:sz w:val="18"/>
              </w:rPr>
            </w:pPr>
            <w:r>
              <w:rPr>
                <w:spacing w:val="-2"/>
                <w:sz w:val="18"/>
              </w:rPr>
              <w:t>31/12/2022</w:t>
            </w:r>
          </w:p>
        </w:tc>
        <w:tc>
          <w:tcPr>
            <w:tcW w:w="736" w:type="dxa"/>
            <w:tcBorders>
              <w:bottom w:val="single" w:sz="4" w:space="0" w:color="002B5D"/>
            </w:tcBorders>
          </w:tcPr>
          <w:p>
            <w:pPr>
              <w:pStyle w:val="TableParagraph"/>
              <w:spacing w:before="182"/>
              <w:ind w:left="166" w:right="78"/>
              <w:jc w:val="center"/>
              <w:rPr>
                <w:sz w:val="18"/>
              </w:rPr>
            </w:pPr>
            <w:r>
              <w:rPr>
                <w:sz w:val="18"/>
              </w:rPr>
              <mc:AlternateContent>
                <mc:Choice Requires="wps">
                  <w:drawing>
                    <wp:anchor distT="0" distB="0" distL="0" distR="0" allowOverlap="1" layoutInCell="1" locked="0" behindDoc="1" simplePos="0" relativeHeight="474309632">
                      <wp:simplePos x="0" y="0"/>
                      <wp:positionH relativeFrom="column">
                        <wp:posOffset>64711</wp:posOffset>
                      </wp:positionH>
                      <wp:positionV relativeFrom="paragraph">
                        <wp:posOffset>-1358</wp:posOffset>
                      </wp:positionV>
                      <wp:extent cx="5039360" cy="490855"/>
                      <wp:effectExtent l="0" t="0" r="0" b="0"/>
                      <wp:wrapNone/>
                      <wp:docPr id="319" name="Group 319"/>
                      <wp:cNvGraphicFramePr>
                        <a:graphicFrameLocks/>
                      </wp:cNvGraphicFramePr>
                      <a:graphic>
                        <a:graphicData uri="http://schemas.microsoft.com/office/word/2010/wordprocessingGroup">
                          <wpg:wgp>
                            <wpg:cNvPr id="319" name="Group 319"/>
                            <wpg:cNvGrpSpPr/>
                            <wpg:grpSpPr>
                              <a:xfrm>
                                <a:off x="0" y="0"/>
                                <a:ext cx="5039360" cy="490855"/>
                                <a:chExt cx="5039360" cy="490855"/>
                              </a:xfrm>
                            </wpg:grpSpPr>
                            <wps:wsp>
                              <wps:cNvPr id="320" name="Graphic 320"/>
                              <wps:cNvSpPr/>
                              <wps:spPr>
                                <a:xfrm>
                                  <a:off x="0" y="0"/>
                                  <a:ext cx="5039360" cy="490855"/>
                                </a:xfrm>
                                <a:custGeom>
                                  <a:avLst/>
                                  <a:gdLst/>
                                  <a:ahLst/>
                                  <a:cxnLst/>
                                  <a:rect l="l" t="t" r="r" b="b"/>
                                  <a:pathLst>
                                    <a:path w="5039360" h="490855">
                                      <a:moveTo>
                                        <a:pt x="2616949" y="6096"/>
                                      </a:moveTo>
                                      <a:lnTo>
                                        <a:pt x="2616949" y="6096"/>
                                      </a:lnTo>
                                      <a:lnTo>
                                        <a:pt x="0" y="6096"/>
                                      </a:lnTo>
                                      <a:lnTo>
                                        <a:pt x="0" y="490728"/>
                                      </a:lnTo>
                                      <a:lnTo>
                                        <a:pt x="2616949" y="490728"/>
                                      </a:lnTo>
                                      <a:lnTo>
                                        <a:pt x="2616949" y="6096"/>
                                      </a:lnTo>
                                      <a:close/>
                                    </a:path>
                                    <a:path w="5039360" h="490855">
                                      <a:moveTo>
                                        <a:pt x="2722422" y="0"/>
                                      </a:moveTo>
                                      <a:lnTo>
                                        <a:pt x="2618486" y="0"/>
                                      </a:lnTo>
                                      <a:lnTo>
                                        <a:pt x="2618486" y="6096"/>
                                      </a:lnTo>
                                      <a:lnTo>
                                        <a:pt x="2616962" y="6096"/>
                                      </a:lnTo>
                                      <a:lnTo>
                                        <a:pt x="2616962" y="490728"/>
                                      </a:lnTo>
                                      <a:lnTo>
                                        <a:pt x="2722422" y="490728"/>
                                      </a:lnTo>
                                      <a:lnTo>
                                        <a:pt x="2722422" y="6096"/>
                                      </a:lnTo>
                                      <a:lnTo>
                                        <a:pt x="2722422" y="0"/>
                                      </a:lnTo>
                                      <a:close/>
                                    </a:path>
                                    <a:path w="5039360" h="490855">
                                      <a:moveTo>
                                        <a:pt x="5039233" y="6096"/>
                                      </a:moveTo>
                                      <a:lnTo>
                                        <a:pt x="5039233" y="6096"/>
                                      </a:lnTo>
                                      <a:lnTo>
                                        <a:pt x="2722499" y="6096"/>
                                      </a:lnTo>
                                      <a:lnTo>
                                        <a:pt x="2722499" y="490728"/>
                                      </a:lnTo>
                                      <a:lnTo>
                                        <a:pt x="5039233" y="490728"/>
                                      </a:lnTo>
                                      <a:lnTo>
                                        <a:pt x="5039233" y="6096"/>
                                      </a:lnTo>
                                      <a:close/>
                                    </a:path>
                                  </a:pathLst>
                                </a:custGeom>
                                <a:solidFill>
                                  <a:srgbClr val="002D5D"/>
                                </a:solidFill>
                              </wps:spPr>
                              <wps:bodyPr wrap="square" lIns="0" tIns="0" rIns="0" bIns="0" rtlCol="0">
                                <a:prstTxWarp prst="textNoShape">
                                  <a:avLst/>
                                </a:prstTxWarp>
                                <a:noAutofit/>
                              </wps:bodyPr>
                            </wps:wsp>
                          </wpg:wgp>
                        </a:graphicData>
                      </a:graphic>
                    </wp:anchor>
                  </w:drawing>
                </mc:Choice>
                <mc:Fallback>
                  <w:pict>
                    <v:group style="position:absolute;margin-left:5.095364pt;margin-top:-.106934pt;width:396.8pt;height:38.65pt;mso-position-horizontal-relative:column;mso-position-vertical-relative:paragraph;z-index:-29006848" id="docshapegroup272" coordorigin="102,-2" coordsize="7936,773">
                      <v:shape style="position:absolute;left:101;top:-3;width:7936;height:773" id="docshape273" coordorigin="102,-2" coordsize="7936,773" path="m4223,7l3220,7,2349,7,2349,7,1556,7,724,7,102,7,102,771,724,771,1556,771,2349,771,2349,771,3220,771,4223,771,4223,7xm4389,-2l4226,-2,4226,7,4223,7,4223,771,4389,771,4389,7,4389,-2xm8038,7l6905,7,6905,7,6053,7,5090,7,4389,7,4389,771,5090,771,6053,771,6905,771,6905,771,8038,771,8038,7xe" filled="true" fillcolor="#002d5d" stroked="false">
                        <v:path arrowok="t"/>
                        <v:fill type="solid"/>
                      </v:shape>
                      <w10:wrap type="none"/>
                    </v:group>
                  </w:pict>
                </mc:Fallback>
              </mc:AlternateContent>
            </w:r>
            <w:r>
              <w:rPr>
                <w:color w:val="FFFFFF"/>
                <w:spacing w:val="-6"/>
                <w:sz w:val="18"/>
              </w:rPr>
              <w:t>Nº</w:t>
            </w:r>
            <w:r>
              <w:rPr>
                <w:color w:val="FFFFFF"/>
                <w:sz w:val="18"/>
              </w:rPr>
              <w:t> </w:t>
            </w:r>
            <w:r>
              <w:rPr>
                <w:color w:val="FFFFFF"/>
                <w:spacing w:val="-2"/>
                <w:sz w:val="18"/>
              </w:rPr>
              <w:t>líneas</w:t>
            </w:r>
          </w:p>
          <w:p>
            <w:pPr>
              <w:pStyle w:val="TableParagraph"/>
              <w:spacing w:before="28"/>
              <w:rPr>
                <w:rFonts w:ascii="Arial"/>
                <w:b/>
                <w:sz w:val="18"/>
              </w:rPr>
            </w:pPr>
          </w:p>
          <w:p>
            <w:pPr>
              <w:pStyle w:val="TableParagraph"/>
              <w:ind w:left="166" w:right="79"/>
              <w:jc w:val="center"/>
              <w:rPr>
                <w:sz w:val="18"/>
              </w:rPr>
            </w:pPr>
            <w:r>
              <w:rPr>
                <w:spacing w:val="-5"/>
                <w:sz w:val="18"/>
              </w:rPr>
              <w:t>26</w:t>
            </w:r>
          </w:p>
        </w:tc>
        <w:tc>
          <w:tcPr>
            <w:tcW w:w="817" w:type="dxa"/>
            <w:tcBorders>
              <w:bottom w:val="single" w:sz="4" w:space="0" w:color="002B5D"/>
            </w:tcBorders>
          </w:tcPr>
          <w:p>
            <w:pPr>
              <w:pStyle w:val="TableParagraph"/>
              <w:spacing w:before="79"/>
              <w:ind w:left="94" w:right="101"/>
              <w:jc w:val="center"/>
              <w:rPr>
                <w:sz w:val="18"/>
              </w:rPr>
            </w:pPr>
            <w:r>
              <w:rPr>
                <w:color w:val="FFFFFF"/>
                <w:spacing w:val="-2"/>
                <w:sz w:val="18"/>
              </w:rPr>
              <w:t>Longitud</w:t>
            </w:r>
            <w:r>
              <w:rPr>
                <w:color w:val="FFFFFF"/>
                <w:sz w:val="18"/>
              </w:rPr>
              <w:t> </w:t>
            </w:r>
            <w:r>
              <w:rPr>
                <w:color w:val="FFFFFF"/>
                <w:spacing w:val="-2"/>
                <w:sz w:val="18"/>
              </w:rPr>
              <w:t>líneas</w:t>
            </w:r>
            <w:r>
              <w:rPr>
                <w:color w:val="FFFFFF"/>
                <w:sz w:val="18"/>
              </w:rPr>
              <w:t> </w:t>
            </w:r>
            <w:r>
              <w:rPr>
                <w:color w:val="FFFFFF"/>
                <w:spacing w:val="-4"/>
                <w:sz w:val="18"/>
              </w:rPr>
              <w:t>(km)</w:t>
            </w:r>
          </w:p>
          <w:p>
            <w:pPr>
              <w:pStyle w:val="TableParagraph"/>
              <w:spacing w:before="132"/>
              <w:ind w:left="333"/>
              <w:rPr>
                <w:sz w:val="18"/>
              </w:rPr>
            </w:pPr>
            <w:r>
              <w:rPr>
                <w:spacing w:val="-5"/>
                <w:sz w:val="18"/>
              </w:rPr>
              <w:t>204</w:t>
            </w:r>
          </w:p>
        </w:tc>
        <w:tc>
          <w:tcPr>
            <w:tcW w:w="796" w:type="dxa"/>
            <w:tcBorders>
              <w:bottom w:val="single" w:sz="4" w:space="0" w:color="002B5D"/>
            </w:tcBorders>
          </w:tcPr>
          <w:p>
            <w:pPr>
              <w:pStyle w:val="TableParagraph"/>
              <w:spacing w:before="182"/>
              <w:ind w:left="133" w:right="123" w:firstLine="187"/>
              <w:rPr>
                <w:sz w:val="18"/>
              </w:rPr>
            </w:pPr>
            <w:r>
              <w:rPr>
                <w:color w:val="FFFFFF"/>
                <w:spacing w:val="-6"/>
                <w:sz w:val="18"/>
              </w:rPr>
              <w:t>Nº</w:t>
            </w:r>
            <w:r>
              <w:rPr>
                <w:color w:val="FFFFFF"/>
                <w:sz w:val="18"/>
              </w:rPr>
              <w:t> </w:t>
            </w:r>
            <w:r>
              <w:rPr>
                <w:color w:val="FFFFFF"/>
                <w:spacing w:val="-2"/>
                <w:sz w:val="18"/>
              </w:rPr>
              <w:t>paradas</w:t>
            </w:r>
          </w:p>
          <w:p>
            <w:pPr>
              <w:pStyle w:val="TableParagraph"/>
              <w:spacing w:before="28"/>
              <w:rPr>
                <w:rFonts w:ascii="Arial"/>
                <w:b/>
                <w:sz w:val="18"/>
              </w:rPr>
            </w:pPr>
          </w:p>
          <w:p>
            <w:pPr>
              <w:pStyle w:val="TableParagraph"/>
              <w:ind w:left="420"/>
              <w:rPr>
                <w:sz w:val="18"/>
              </w:rPr>
            </w:pPr>
            <w:r>
              <w:rPr>
                <w:spacing w:val="-5"/>
                <w:sz w:val="18"/>
              </w:rPr>
              <w:t>812</w:t>
            </w:r>
          </w:p>
        </w:tc>
        <w:tc>
          <w:tcPr>
            <w:tcW w:w="908" w:type="dxa"/>
            <w:tcBorders>
              <w:bottom w:val="single" w:sz="4" w:space="0" w:color="002B5D"/>
            </w:tcBorders>
          </w:tcPr>
          <w:p>
            <w:pPr>
              <w:pStyle w:val="TableParagraph"/>
              <w:spacing w:before="182"/>
              <w:ind w:left="134" w:right="171" w:firstLine="81"/>
              <w:rPr>
                <w:sz w:val="18"/>
              </w:rPr>
            </w:pPr>
            <w:r>
              <w:rPr>
                <w:color w:val="FFFFFF"/>
                <w:sz w:val="18"/>
              </w:rPr>
              <w:t>Nº</w:t>
            </w:r>
            <w:r>
              <w:rPr>
                <w:color w:val="FFFFFF"/>
                <w:spacing w:val="-4"/>
                <w:sz w:val="18"/>
              </w:rPr>
              <w:t> </w:t>
            </w:r>
            <w:r>
              <w:rPr>
                <w:color w:val="FFFFFF"/>
                <w:sz w:val="18"/>
              </w:rPr>
              <w:t>km. carril</w:t>
            </w:r>
            <w:r>
              <w:rPr>
                <w:color w:val="FFFFFF"/>
                <w:spacing w:val="-1"/>
                <w:sz w:val="18"/>
              </w:rPr>
              <w:t> </w:t>
            </w:r>
            <w:r>
              <w:rPr>
                <w:color w:val="FFFFFF"/>
                <w:spacing w:val="-5"/>
                <w:sz w:val="18"/>
              </w:rPr>
              <w:t>bus</w:t>
            </w:r>
          </w:p>
          <w:p>
            <w:pPr>
              <w:pStyle w:val="TableParagraph"/>
              <w:spacing w:before="28"/>
              <w:rPr>
                <w:rFonts w:ascii="Arial"/>
                <w:b/>
                <w:sz w:val="18"/>
              </w:rPr>
            </w:pPr>
          </w:p>
          <w:p>
            <w:pPr>
              <w:pStyle w:val="TableParagraph"/>
              <w:ind w:left="400"/>
              <w:rPr>
                <w:sz w:val="18"/>
              </w:rPr>
            </w:pPr>
            <w:r>
              <w:rPr>
                <w:spacing w:val="-4"/>
                <w:sz w:val="18"/>
              </w:rPr>
              <w:t>7,15</w:t>
            </w:r>
          </w:p>
        </w:tc>
        <w:tc>
          <w:tcPr>
            <w:tcW w:w="1028" w:type="dxa"/>
            <w:tcBorders>
              <w:bottom w:val="single" w:sz="4" w:space="0" w:color="002B5D"/>
            </w:tcBorders>
          </w:tcPr>
          <w:p>
            <w:pPr>
              <w:pStyle w:val="TableParagraph"/>
              <w:spacing w:before="182"/>
              <w:ind w:left="114" w:right="206" w:hanging="1"/>
              <w:jc w:val="center"/>
              <w:rPr>
                <w:sz w:val="18"/>
              </w:rPr>
            </w:pPr>
            <w:r>
              <w:rPr>
                <w:color w:val="FFFFFF"/>
                <w:sz w:val="18"/>
              </w:rPr>
              <w:t>Nº</w:t>
            </w:r>
            <w:r>
              <w:rPr>
                <w:color w:val="FFFFFF"/>
                <w:spacing w:val="-4"/>
                <w:sz w:val="18"/>
              </w:rPr>
              <w:t> </w:t>
            </w:r>
            <w:r>
              <w:rPr>
                <w:color w:val="FFFFFF"/>
                <w:sz w:val="18"/>
              </w:rPr>
              <w:t>total </w:t>
            </w:r>
            <w:r>
              <w:rPr>
                <w:color w:val="FFFFFF"/>
                <w:spacing w:val="-2"/>
                <w:sz w:val="18"/>
              </w:rPr>
              <w:t>estaciones</w:t>
            </w:r>
          </w:p>
          <w:p>
            <w:pPr>
              <w:pStyle w:val="TableParagraph"/>
              <w:spacing w:before="28"/>
              <w:rPr>
                <w:rFonts w:ascii="Arial"/>
                <w:b/>
                <w:sz w:val="18"/>
              </w:rPr>
            </w:pPr>
          </w:p>
          <w:p>
            <w:pPr>
              <w:pStyle w:val="TableParagraph"/>
              <w:ind w:right="91"/>
              <w:jc w:val="center"/>
              <w:rPr>
                <w:sz w:val="18"/>
              </w:rPr>
            </w:pPr>
            <w:r>
              <w:rPr>
                <w:spacing w:val="-10"/>
                <w:sz w:val="18"/>
              </w:rPr>
              <w:t>1</w:t>
            </w:r>
          </w:p>
        </w:tc>
        <w:tc>
          <w:tcPr>
            <w:tcW w:w="784" w:type="dxa"/>
            <w:tcBorders>
              <w:bottom w:val="single" w:sz="4" w:space="0" w:color="002B5D"/>
            </w:tcBorders>
          </w:tcPr>
          <w:p>
            <w:pPr>
              <w:pStyle w:val="TableParagraph"/>
              <w:spacing w:before="182"/>
              <w:ind w:left="258" w:right="124" w:firstLine="117"/>
              <w:rPr>
                <w:sz w:val="18"/>
              </w:rPr>
            </w:pPr>
            <w:r>
              <w:rPr>
                <w:color w:val="FFFFFF"/>
                <w:spacing w:val="-6"/>
                <w:sz w:val="18"/>
              </w:rPr>
              <w:t>Nº</w:t>
            </w:r>
            <w:r>
              <w:rPr>
                <w:color w:val="FFFFFF"/>
                <w:sz w:val="18"/>
              </w:rPr>
              <w:t> </w:t>
            </w:r>
            <w:r>
              <w:rPr>
                <w:color w:val="FFFFFF"/>
                <w:spacing w:val="-2"/>
                <w:sz w:val="18"/>
              </w:rPr>
              <w:t>líneas</w:t>
            </w:r>
          </w:p>
          <w:p>
            <w:pPr>
              <w:pStyle w:val="TableParagraph"/>
              <w:spacing w:before="28"/>
              <w:rPr>
                <w:rFonts w:ascii="Arial"/>
                <w:b/>
                <w:sz w:val="18"/>
              </w:rPr>
            </w:pPr>
          </w:p>
          <w:p>
            <w:pPr>
              <w:pStyle w:val="TableParagraph"/>
              <w:ind w:left="330"/>
              <w:rPr>
                <w:sz w:val="18"/>
              </w:rPr>
            </w:pPr>
            <w:r>
              <w:rPr>
                <w:spacing w:val="-5"/>
                <w:sz w:val="18"/>
              </w:rPr>
              <w:t>N/A</w:t>
            </w:r>
          </w:p>
        </w:tc>
        <w:tc>
          <w:tcPr>
            <w:tcW w:w="1027" w:type="dxa"/>
            <w:tcBorders>
              <w:bottom w:val="single" w:sz="4" w:space="0" w:color="002B5D"/>
            </w:tcBorders>
          </w:tcPr>
          <w:p>
            <w:pPr>
              <w:pStyle w:val="TableParagraph"/>
              <w:spacing w:before="182"/>
              <w:ind w:left="136" w:right="158" w:firstLine="2"/>
              <w:jc w:val="center"/>
              <w:rPr>
                <w:sz w:val="18"/>
              </w:rPr>
            </w:pPr>
            <w:r>
              <w:rPr>
                <w:color w:val="FFFFFF"/>
                <w:spacing w:val="-2"/>
                <w:sz w:val="18"/>
              </w:rPr>
              <w:t>Longitud</w:t>
            </w:r>
            <w:r>
              <w:rPr>
                <w:color w:val="FFFFFF"/>
                <w:sz w:val="18"/>
              </w:rPr>
              <w:t> líneas</w:t>
            </w:r>
            <w:r>
              <w:rPr>
                <w:color w:val="FFFFFF"/>
                <w:spacing w:val="-11"/>
                <w:sz w:val="18"/>
              </w:rPr>
              <w:t> </w:t>
            </w:r>
            <w:r>
              <w:rPr>
                <w:color w:val="FFFFFF"/>
                <w:sz w:val="18"/>
              </w:rPr>
              <w:t>(km)</w:t>
            </w:r>
          </w:p>
          <w:p>
            <w:pPr>
              <w:pStyle w:val="TableParagraph"/>
              <w:spacing w:before="28"/>
              <w:rPr>
                <w:rFonts w:ascii="Arial"/>
                <w:b/>
                <w:sz w:val="18"/>
              </w:rPr>
            </w:pPr>
          </w:p>
          <w:p>
            <w:pPr>
              <w:pStyle w:val="TableParagraph"/>
              <w:ind w:right="22"/>
              <w:jc w:val="center"/>
              <w:rPr>
                <w:sz w:val="18"/>
              </w:rPr>
            </w:pPr>
            <w:r>
              <w:rPr>
                <w:spacing w:val="-5"/>
                <w:sz w:val="18"/>
              </w:rPr>
              <w:t>N/A</w:t>
            </w:r>
          </w:p>
        </w:tc>
        <w:tc>
          <w:tcPr>
            <w:tcW w:w="810" w:type="dxa"/>
            <w:tcBorders>
              <w:bottom w:val="single" w:sz="4" w:space="0" w:color="002B5D"/>
            </w:tcBorders>
          </w:tcPr>
          <w:p>
            <w:pPr>
              <w:pStyle w:val="TableParagraph"/>
              <w:spacing w:before="182"/>
              <w:ind w:left="68" w:right="113"/>
              <w:jc w:val="center"/>
              <w:rPr>
                <w:sz w:val="18"/>
              </w:rPr>
            </w:pPr>
            <w:r>
              <w:rPr>
                <w:color w:val="FFFFFF"/>
                <w:spacing w:val="-6"/>
                <w:sz w:val="18"/>
              </w:rPr>
              <w:t>Nº</w:t>
            </w:r>
            <w:r>
              <w:rPr>
                <w:color w:val="FFFFFF"/>
                <w:sz w:val="18"/>
              </w:rPr>
              <w:t> </w:t>
            </w:r>
            <w:r>
              <w:rPr>
                <w:color w:val="FFFFFF"/>
                <w:spacing w:val="-2"/>
                <w:sz w:val="18"/>
              </w:rPr>
              <w:t>paradas</w:t>
            </w:r>
          </w:p>
          <w:p>
            <w:pPr>
              <w:pStyle w:val="TableParagraph"/>
              <w:spacing w:before="28"/>
              <w:rPr>
                <w:rFonts w:ascii="Arial"/>
                <w:b/>
                <w:sz w:val="18"/>
              </w:rPr>
            </w:pPr>
          </w:p>
          <w:p>
            <w:pPr>
              <w:pStyle w:val="TableParagraph"/>
              <w:ind w:left="68" w:right="117"/>
              <w:jc w:val="center"/>
              <w:rPr>
                <w:sz w:val="18"/>
              </w:rPr>
            </w:pPr>
            <w:r>
              <w:rPr>
                <w:spacing w:val="-5"/>
                <w:sz w:val="18"/>
              </w:rPr>
              <w:t>N/A</w:t>
            </w:r>
          </w:p>
        </w:tc>
        <w:tc>
          <w:tcPr>
            <w:tcW w:w="1122" w:type="dxa"/>
            <w:tcBorders>
              <w:bottom w:val="single" w:sz="4" w:space="0" w:color="002B5D"/>
            </w:tcBorders>
          </w:tcPr>
          <w:p>
            <w:pPr>
              <w:pStyle w:val="TableParagraph"/>
              <w:spacing w:before="182"/>
              <w:ind w:left="212" w:right="202" w:hanging="1"/>
              <w:jc w:val="center"/>
              <w:rPr>
                <w:sz w:val="18"/>
              </w:rPr>
            </w:pPr>
            <w:r>
              <w:rPr>
                <w:color w:val="FFFFFF"/>
                <w:sz w:val="18"/>
              </w:rPr>
              <w:t>Nº</w:t>
            </w:r>
            <w:r>
              <w:rPr>
                <w:color w:val="FFFFFF"/>
                <w:spacing w:val="-4"/>
                <w:sz w:val="18"/>
              </w:rPr>
              <w:t> </w:t>
            </w:r>
            <w:r>
              <w:rPr>
                <w:color w:val="FFFFFF"/>
                <w:sz w:val="18"/>
              </w:rPr>
              <w:t>total </w:t>
            </w:r>
            <w:r>
              <w:rPr>
                <w:color w:val="FFFFFF"/>
                <w:spacing w:val="-2"/>
                <w:sz w:val="18"/>
              </w:rPr>
              <w:t>estaciones</w:t>
            </w:r>
          </w:p>
          <w:p>
            <w:pPr>
              <w:pStyle w:val="TableParagraph"/>
              <w:spacing w:before="28"/>
              <w:rPr>
                <w:rFonts w:ascii="Arial"/>
                <w:b/>
                <w:sz w:val="18"/>
              </w:rPr>
            </w:pPr>
          </w:p>
          <w:p>
            <w:pPr>
              <w:pStyle w:val="TableParagraph"/>
              <w:ind w:left="9" w:right="5"/>
              <w:jc w:val="center"/>
              <w:rPr>
                <w:sz w:val="18"/>
              </w:rPr>
            </w:pPr>
            <w:r>
              <w:rPr>
                <w:spacing w:val="-5"/>
                <w:sz w:val="18"/>
              </w:rPr>
              <w:t>N/A</w:t>
            </w:r>
          </w:p>
        </w:tc>
      </w:tr>
      <w:tr>
        <w:trPr>
          <w:trHeight w:val="347" w:hRule="atLeast"/>
        </w:trPr>
        <w:tc>
          <w:tcPr>
            <w:tcW w:w="1234" w:type="dxa"/>
          </w:tcPr>
          <w:p>
            <w:pPr>
              <w:pStyle w:val="TableParagraph"/>
              <w:spacing w:before="88"/>
              <w:ind w:right="3"/>
              <w:jc w:val="center"/>
              <w:rPr>
                <w:b/>
                <w:sz w:val="18"/>
              </w:rPr>
            </w:pPr>
            <w:r>
              <w:rPr>
                <w:b/>
                <w:spacing w:val="-2"/>
                <w:sz w:val="18"/>
              </w:rPr>
              <w:t>ALICANTE</w:t>
            </w:r>
          </w:p>
        </w:tc>
        <w:tc>
          <w:tcPr>
            <w:tcW w:w="1485" w:type="dxa"/>
            <w:tcBorders>
              <w:top w:val="single" w:sz="4" w:space="0" w:color="002B5D"/>
              <w:bottom w:val="single" w:sz="4" w:space="0" w:color="002B5D"/>
            </w:tcBorders>
          </w:tcPr>
          <w:p>
            <w:pPr>
              <w:pStyle w:val="TableParagraph"/>
              <w:spacing w:before="80"/>
              <w:ind w:left="97"/>
              <w:jc w:val="center"/>
              <w:rPr>
                <w:sz w:val="18"/>
              </w:rPr>
            </w:pPr>
            <w:r>
              <w:rPr>
                <w:spacing w:val="-2"/>
                <w:sz w:val="18"/>
              </w:rPr>
              <w:t>31/12/2023</w:t>
            </w:r>
          </w:p>
        </w:tc>
        <w:tc>
          <w:tcPr>
            <w:tcW w:w="736" w:type="dxa"/>
            <w:tcBorders>
              <w:top w:val="single" w:sz="4" w:space="0" w:color="002B5D"/>
              <w:bottom w:val="single" w:sz="4" w:space="0" w:color="002B5D"/>
            </w:tcBorders>
          </w:tcPr>
          <w:p>
            <w:pPr>
              <w:pStyle w:val="TableParagraph"/>
              <w:spacing w:before="80"/>
              <w:ind w:left="166" w:right="79"/>
              <w:jc w:val="center"/>
              <w:rPr>
                <w:sz w:val="18"/>
              </w:rPr>
            </w:pPr>
            <w:r>
              <w:rPr>
                <w:spacing w:val="-5"/>
                <w:sz w:val="18"/>
              </w:rPr>
              <w:t>38</w:t>
            </w:r>
          </w:p>
        </w:tc>
        <w:tc>
          <w:tcPr>
            <w:tcW w:w="817" w:type="dxa"/>
            <w:tcBorders>
              <w:top w:val="single" w:sz="4" w:space="0" w:color="002B5D"/>
              <w:bottom w:val="single" w:sz="4" w:space="0" w:color="002B5D"/>
            </w:tcBorders>
          </w:tcPr>
          <w:p>
            <w:pPr>
              <w:pStyle w:val="TableParagraph"/>
              <w:spacing w:before="80"/>
              <w:ind w:right="238"/>
              <w:jc w:val="right"/>
              <w:rPr>
                <w:sz w:val="18"/>
              </w:rPr>
            </w:pPr>
            <w:r>
              <w:rPr>
                <w:spacing w:val="-5"/>
                <w:sz w:val="18"/>
              </w:rPr>
              <w:t>369</w:t>
            </w:r>
          </w:p>
        </w:tc>
        <w:tc>
          <w:tcPr>
            <w:tcW w:w="796" w:type="dxa"/>
            <w:tcBorders>
              <w:top w:val="single" w:sz="4" w:space="0" w:color="002B5D"/>
              <w:bottom w:val="single" w:sz="4" w:space="0" w:color="002B5D"/>
            </w:tcBorders>
          </w:tcPr>
          <w:p>
            <w:pPr>
              <w:pStyle w:val="TableParagraph"/>
              <w:spacing w:before="80"/>
              <w:ind w:right="128"/>
              <w:jc w:val="right"/>
              <w:rPr>
                <w:sz w:val="18"/>
              </w:rPr>
            </w:pPr>
            <w:r>
              <w:rPr>
                <w:spacing w:val="-4"/>
                <w:sz w:val="18"/>
              </w:rPr>
              <w:t>1038</w:t>
            </w:r>
          </w:p>
        </w:tc>
        <w:tc>
          <w:tcPr>
            <w:tcW w:w="908" w:type="dxa"/>
            <w:tcBorders>
              <w:top w:val="single" w:sz="4" w:space="0" w:color="002B5D"/>
              <w:bottom w:val="single" w:sz="4" w:space="0" w:color="002B5D"/>
            </w:tcBorders>
          </w:tcPr>
          <w:p>
            <w:pPr>
              <w:pStyle w:val="TableParagraph"/>
              <w:spacing w:before="80"/>
              <w:ind w:left="179"/>
              <w:jc w:val="center"/>
              <w:rPr>
                <w:sz w:val="18"/>
              </w:rPr>
            </w:pPr>
            <w:r>
              <w:rPr>
                <w:spacing w:val="-4"/>
                <w:sz w:val="18"/>
              </w:rPr>
              <w:t>7,15</w:t>
            </w:r>
          </w:p>
        </w:tc>
        <w:tc>
          <w:tcPr>
            <w:tcW w:w="1028" w:type="dxa"/>
            <w:tcBorders>
              <w:top w:val="single" w:sz="4" w:space="0" w:color="002B5D"/>
              <w:bottom w:val="single" w:sz="4" w:space="0" w:color="002B5D"/>
            </w:tcBorders>
          </w:tcPr>
          <w:p>
            <w:pPr>
              <w:pStyle w:val="TableParagraph"/>
              <w:spacing w:before="80"/>
              <w:ind w:left="426"/>
              <w:rPr>
                <w:sz w:val="18"/>
              </w:rPr>
            </w:pPr>
            <w:r>
              <w:rPr>
                <w:spacing w:val="-10"/>
                <w:sz w:val="18"/>
              </w:rPr>
              <w:t>1</w:t>
            </w:r>
          </w:p>
        </w:tc>
        <w:tc>
          <w:tcPr>
            <w:tcW w:w="784" w:type="dxa"/>
            <w:tcBorders>
              <w:top w:val="single" w:sz="4" w:space="0" w:color="002B5D"/>
              <w:bottom w:val="single" w:sz="4" w:space="0" w:color="002B5D"/>
            </w:tcBorders>
          </w:tcPr>
          <w:p>
            <w:pPr>
              <w:pStyle w:val="TableParagraph"/>
              <w:spacing w:before="80"/>
              <w:ind w:left="126" w:right="5"/>
              <w:jc w:val="center"/>
              <w:rPr>
                <w:sz w:val="18"/>
              </w:rPr>
            </w:pPr>
            <w:r>
              <w:rPr>
                <w:spacing w:val="-5"/>
                <w:sz w:val="18"/>
              </w:rPr>
              <w:t>N/A</w:t>
            </w:r>
          </w:p>
        </w:tc>
        <w:tc>
          <w:tcPr>
            <w:tcW w:w="1027" w:type="dxa"/>
            <w:tcBorders>
              <w:top w:val="single" w:sz="4" w:space="0" w:color="002B5D"/>
              <w:bottom w:val="single" w:sz="4" w:space="0" w:color="002B5D"/>
            </w:tcBorders>
          </w:tcPr>
          <w:p>
            <w:pPr>
              <w:pStyle w:val="TableParagraph"/>
              <w:spacing w:before="80"/>
              <w:ind w:right="22"/>
              <w:jc w:val="center"/>
              <w:rPr>
                <w:sz w:val="18"/>
              </w:rPr>
            </w:pPr>
            <w:r>
              <w:rPr>
                <w:spacing w:val="-5"/>
                <w:sz w:val="18"/>
              </w:rPr>
              <w:t>N/A</w:t>
            </w:r>
          </w:p>
        </w:tc>
        <w:tc>
          <w:tcPr>
            <w:tcW w:w="810" w:type="dxa"/>
            <w:tcBorders>
              <w:top w:val="single" w:sz="4" w:space="0" w:color="002B5D"/>
              <w:bottom w:val="single" w:sz="4" w:space="0" w:color="002B5D"/>
            </w:tcBorders>
          </w:tcPr>
          <w:p>
            <w:pPr>
              <w:pStyle w:val="TableParagraph"/>
              <w:spacing w:before="80"/>
              <w:ind w:left="68" w:right="117"/>
              <w:jc w:val="center"/>
              <w:rPr>
                <w:sz w:val="18"/>
              </w:rPr>
            </w:pPr>
            <w:r>
              <w:rPr>
                <w:spacing w:val="-5"/>
                <w:sz w:val="18"/>
              </w:rPr>
              <w:t>N/A</w:t>
            </w:r>
          </w:p>
        </w:tc>
        <w:tc>
          <w:tcPr>
            <w:tcW w:w="1122" w:type="dxa"/>
            <w:tcBorders>
              <w:top w:val="single" w:sz="4" w:space="0" w:color="002B5D"/>
              <w:bottom w:val="single" w:sz="4" w:space="0" w:color="002B5D"/>
            </w:tcBorders>
          </w:tcPr>
          <w:p>
            <w:pPr>
              <w:pStyle w:val="TableParagraph"/>
              <w:spacing w:before="80"/>
              <w:ind w:left="9" w:right="5"/>
              <w:jc w:val="center"/>
              <w:rPr>
                <w:sz w:val="18"/>
              </w:rPr>
            </w:pPr>
            <w:r>
              <w:rPr>
                <w:spacing w:val="-5"/>
                <w:sz w:val="18"/>
              </w:rPr>
              <w:t>N/A</w:t>
            </w:r>
          </w:p>
        </w:tc>
      </w:tr>
      <w:tr>
        <w:trPr>
          <w:trHeight w:val="364" w:hRule="atLeast"/>
        </w:trPr>
        <w:tc>
          <w:tcPr>
            <w:tcW w:w="1234" w:type="dxa"/>
            <w:tcBorders>
              <w:bottom w:val="single" w:sz="12" w:space="0" w:color="002B5D"/>
            </w:tcBorders>
          </w:tcPr>
          <w:p>
            <w:pPr>
              <w:pStyle w:val="TableParagraph"/>
              <w:rPr>
                <w:rFonts w:ascii="Times New Roman"/>
                <w:sz w:val="16"/>
              </w:rPr>
            </w:pPr>
          </w:p>
        </w:tc>
        <w:tc>
          <w:tcPr>
            <w:tcW w:w="1485" w:type="dxa"/>
            <w:tcBorders>
              <w:top w:val="single" w:sz="4" w:space="0" w:color="002B5D"/>
              <w:bottom w:val="single" w:sz="12" w:space="0" w:color="002B5D"/>
            </w:tcBorders>
          </w:tcPr>
          <w:p>
            <w:pPr>
              <w:pStyle w:val="TableParagraph"/>
              <w:spacing w:before="90"/>
              <w:ind w:left="97"/>
              <w:jc w:val="center"/>
              <w:rPr>
                <w:sz w:val="18"/>
              </w:rPr>
            </w:pPr>
            <w:r>
              <w:rPr>
                <w:spacing w:val="-2"/>
                <w:sz w:val="18"/>
              </w:rPr>
              <w:t>31/12/2024</w:t>
            </w:r>
          </w:p>
        </w:tc>
        <w:tc>
          <w:tcPr>
            <w:tcW w:w="736" w:type="dxa"/>
            <w:tcBorders>
              <w:top w:val="single" w:sz="4" w:space="0" w:color="002B5D"/>
              <w:bottom w:val="single" w:sz="12" w:space="0" w:color="002B5D"/>
            </w:tcBorders>
          </w:tcPr>
          <w:p>
            <w:pPr>
              <w:pStyle w:val="TableParagraph"/>
              <w:spacing w:before="90"/>
              <w:ind w:left="166" w:right="79"/>
              <w:jc w:val="center"/>
              <w:rPr>
                <w:sz w:val="18"/>
              </w:rPr>
            </w:pPr>
            <w:r>
              <w:rPr>
                <w:spacing w:val="-5"/>
                <w:sz w:val="18"/>
              </w:rPr>
              <w:t>35</w:t>
            </w:r>
          </w:p>
        </w:tc>
        <w:tc>
          <w:tcPr>
            <w:tcW w:w="817" w:type="dxa"/>
            <w:tcBorders>
              <w:top w:val="single" w:sz="4" w:space="0" w:color="002B5D"/>
              <w:bottom w:val="single" w:sz="12" w:space="0" w:color="002B5D"/>
            </w:tcBorders>
          </w:tcPr>
          <w:p>
            <w:pPr>
              <w:pStyle w:val="TableParagraph"/>
              <w:spacing w:before="90"/>
              <w:ind w:right="238"/>
              <w:jc w:val="right"/>
              <w:rPr>
                <w:sz w:val="18"/>
              </w:rPr>
            </w:pPr>
            <w:r>
              <w:rPr>
                <w:spacing w:val="-5"/>
                <w:sz w:val="18"/>
              </w:rPr>
              <w:t>351</w:t>
            </w:r>
          </w:p>
        </w:tc>
        <w:tc>
          <w:tcPr>
            <w:tcW w:w="796" w:type="dxa"/>
            <w:tcBorders>
              <w:top w:val="single" w:sz="4" w:space="0" w:color="002B5D"/>
              <w:bottom w:val="single" w:sz="12" w:space="0" w:color="002B5D"/>
            </w:tcBorders>
          </w:tcPr>
          <w:p>
            <w:pPr>
              <w:pStyle w:val="TableParagraph"/>
              <w:spacing w:before="90"/>
              <w:ind w:right="128"/>
              <w:jc w:val="right"/>
              <w:rPr>
                <w:sz w:val="18"/>
              </w:rPr>
            </w:pPr>
            <w:r>
              <w:rPr>
                <w:spacing w:val="-4"/>
                <w:sz w:val="18"/>
              </w:rPr>
              <w:t>1038</w:t>
            </w:r>
          </w:p>
        </w:tc>
        <w:tc>
          <w:tcPr>
            <w:tcW w:w="908" w:type="dxa"/>
            <w:tcBorders>
              <w:top w:val="single" w:sz="4" w:space="0" w:color="002B5D"/>
              <w:bottom w:val="single" w:sz="12" w:space="0" w:color="002B5D"/>
            </w:tcBorders>
          </w:tcPr>
          <w:p>
            <w:pPr>
              <w:pStyle w:val="TableParagraph"/>
              <w:spacing w:before="90"/>
              <w:ind w:left="179"/>
              <w:jc w:val="center"/>
              <w:rPr>
                <w:sz w:val="18"/>
              </w:rPr>
            </w:pPr>
            <w:r>
              <w:rPr>
                <w:spacing w:val="-4"/>
                <w:sz w:val="18"/>
              </w:rPr>
              <w:t>7,15</w:t>
            </w:r>
          </w:p>
        </w:tc>
        <w:tc>
          <w:tcPr>
            <w:tcW w:w="1028" w:type="dxa"/>
            <w:tcBorders>
              <w:top w:val="single" w:sz="4" w:space="0" w:color="002B5D"/>
              <w:bottom w:val="single" w:sz="12" w:space="0" w:color="002B5D"/>
            </w:tcBorders>
          </w:tcPr>
          <w:p>
            <w:pPr>
              <w:pStyle w:val="TableParagraph"/>
              <w:spacing w:before="90"/>
              <w:ind w:left="426"/>
              <w:rPr>
                <w:sz w:val="18"/>
              </w:rPr>
            </w:pPr>
            <w:r>
              <w:rPr>
                <w:spacing w:val="-10"/>
                <w:sz w:val="18"/>
              </w:rPr>
              <w:t>1</w:t>
            </w:r>
          </w:p>
        </w:tc>
        <w:tc>
          <w:tcPr>
            <w:tcW w:w="784" w:type="dxa"/>
            <w:tcBorders>
              <w:top w:val="single" w:sz="4" w:space="0" w:color="002B5D"/>
              <w:bottom w:val="single" w:sz="12" w:space="0" w:color="002B5D"/>
            </w:tcBorders>
          </w:tcPr>
          <w:p>
            <w:pPr>
              <w:pStyle w:val="TableParagraph"/>
              <w:spacing w:before="90"/>
              <w:ind w:left="126" w:right="5"/>
              <w:jc w:val="center"/>
              <w:rPr>
                <w:sz w:val="18"/>
              </w:rPr>
            </w:pPr>
            <w:r>
              <w:rPr>
                <w:spacing w:val="-5"/>
                <w:sz w:val="18"/>
              </w:rPr>
              <w:t>N/A</w:t>
            </w:r>
          </w:p>
        </w:tc>
        <w:tc>
          <w:tcPr>
            <w:tcW w:w="1027" w:type="dxa"/>
            <w:tcBorders>
              <w:top w:val="single" w:sz="4" w:space="0" w:color="002B5D"/>
              <w:bottom w:val="single" w:sz="12" w:space="0" w:color="002B5D"/>
            </w:tcBorders>
          </w:tcPr>
          <w:p>
            <w:pPr>
              <w:pStyle w:val="TableParagraph"/>
              <w:spacing w:before="90"/>
              <w:ind w:right="22"/>
              <w:jc w:val="center"/>
              <w:rPr>
                <w:sz w:val="18"/>
              </w:rPr>
            </w:pPr>
            <w:r>
              <w:rPr>
                <w:spacing w:val="-5"/>
                <w:sz w:val="18"/>
              </w:rPr>
              <w:t>N/A</w:t>
            </w:r>
          </w:p>
        </w:tc>
        <w:tc>
          <w:tcPr>
            <w:tcW w:w="810" w:type="dxa"/>
            <w:tcBorders>
              <w:top w:val="single" w:sz="4" w:space="0" w:color="002B5D"/>
              <w:bottom w:val="single" w:sz="12" w:space="0" w:color="002B5D"/>
            </w:tcBorders>
          </w:tcPr>
          <w:p>
            <w:pPr>
              <w:pStyle w:val="TableParagraph"/>
              <w:spacing w:before="90"/>
              <w:ind w:left="68" w:right="117"/>
              <w:jc w:val="center"/>
              <w:rPr>
                <w:sz w:val="18"/>
              </w:rPr>
            </w:pPr>
            <w:r>
              <w:rPr>
                <w:spacing w:val="-5"/>
                <w:sz w:val="18"/>
              </w:rPr>
              <w:t>N/A</w:t>
            </w:r>
          </w:p>
        </w:tc>
        <w:tc>
          <w:tcPr>
            <w:tcW w:w="1122" w:type="dxa"/>
            <w:tcBorders>
              <w:top w:val="single" w:sz="4" w:space="0" w:color="002B5D"/>
              <w:bottom w:val="single" w:sz="12" w:space="0" w:color="002B5D"/>
            </w:tcBorders>
          </w:tcPr>
          <w:p>
            <w:pPr>
              <w:pStyle w:val="TableParagraph"/>
              <w:spacing w:before="90"/>
              <w:ind w:left="9" w:right="5"/>
              <w:jc w:val="center"/>
              <w:rPr>
                <w:sz w:val="18"/>
              </w:rPr>
            </w:pPr>
            <w:r>
              <w:rPr>
                <w:spacing w:val="-5"/>
                <w:sz w:val="18"/>
              </w:rPr>
              <w:t>N/A</w:t>
            </w:r>
          </w:p>
        </w:tc>
      </w:tr>
      <w:tr>
        <w:trPr>
          <w:trHeight w:val="330" w:hRule="atLeast"/>
        </w:trPr>
        <w:tc>
          <w:tcPr>
            <w:tcW w:w="1234" w:type="dxa"/>
            <w:tcBorders>
              <w:top w:val="single" w:sz="12" w:space="0" w:color="002B5D"/>
            </w:tcBorders>
          </w:tcPr>
          <w:p>
            <w:pPr>
              <w:pStyle w:val="TableParagraph"/>
              <w:rPr>
                <w:rFonts w:ascii="Times New Roman"/>
                <w:sz w:val="16"/>
              </w:rPr>
            </w:pPr>
          </w:p>
        </w:tc>
        <w:tc>
          <w:tcPr>
            <w:tcW w:w="1485" w:type="dxa"/>
            <w:tcBorders>
              <w:top w:val="single" w:sz="12" w:space="0" w:color="002B5D"/>
              <w:bottom w:val="single" w:sz="4" w:space="0" w:color="002B5D"/>
            </w:tcBorders>
          </w:tcPr>
          <w:p>
            <w:pPr>
              <w:pStyle w:val="TableParagraph"/>
              <w:spacing w:before="61"/>
              <w:ind w:left="97"/>
              <w:jc w:val="center"/>
              <w:rPr>
                <w:sz w:val="18"/>
              </w:rPr>
            </w:pPr>
            <w:r>
              <w:rPr>
                <w:spacing w:val="-2"/>
                <w:sz w:val="18"/>
              </w:rPr>
              <w:t>31/12/2022</w:t>
            </w:r>
          </w:p>
        </w:tc>
        <w:tc>
          <w:tcPr>
            <w:tcW w:w="736" w:type="dxa"/>
            <w:tcBorders>
              <w:top w:val="single" w:sz="12" w:space="0" w:color="002B5D"/>
              <w:bottom w:val="single" w:sz="4" w:space="0" w:color="002B5D"/>
            </w:tcBorders>
          </w:tcPr>
          <w:p>
            <w:pPr>
              <w:pStyle w:val="TableParagraph"/>
              <w:spacing w:before="61"/>
              <w:ind w:left="166" w:right="79"/>
              <w:jc w:val="center"/>
              <w:rPr>
                <w:sz w:val="18"/>
              </w:rPr>
            </w:pPr>
            <w:r>
              <w:rPr>
                <w:spacing w:val="-5"/>
                <w:sz w:val="18"/>
              </w:rPr>
              <w:t>44</w:t>
            </w:r>
          </w:p>
        </w:tc>
        <w:tc>
          <w:tcPr>
            <w:tcW w:w="817" w:type="dxa"/>
            <w:tcBorders>
              <w:top w:val="single" w:sz="12" w:space="0" w:color="002B5D"/>
              <w:bottom w:val="single" w:sz="4" w:space="0" w:color="002B5D"/>
            </w:tcBorders>
          </w:tcPr>
          <w:p>
            <w:pPr>
              <w:pStyle w:val="TableParagraph"/>
              <w:spacing w:before="61"/>
              <w:ind w:right="238"/>
              <w:jc w:val="right"/>
              <w:rPr>
                <w:sz w:val="18"/>
              </w:rPr>
            </w:pPr>
            <w:r>
              <w:rPr>
                <w:spacing w:val="-5"/>
                <w:sz w:val="18"/>
              </w:rPr>
              <w:t>636</w:t>
            </w:r>
          </w:p>
        </w:tc>
        <w:tc>
          <w:tcPr>
            <w:tcW w:w="796" w:type="dxa"/>
            <w:tcBorders>
              <w:top w:val="single" w:sz="12" w:space="0" w:color="002B5D"/>
              <w:bottom w:val="single" w:sz="4" w:space="0" w:color="002B5D"/>
            </w:tcBorders>
          </w:tcPr>
          <w:p>
            <w:pPr>
              <w:pStyle w:val="TableParagraph"/>
              <w:spacing w:before="61"/>
              <w:ind w:right="128"/>
              <w:jc w:val="right"/>
              <w:rPr>
                <w:sz w:val="18"/>
              </w:rPr>
            </w:pPr>
            <w:r>
              <w:rPr>
                <w:spacing w:val="-5"/>
                <w:sz w:val="18"/>
              </w:rPr>
              <w:t>548</w:t>
            </w:r>
          </w:p>
        </w:tc>
        <w:tc>
          <w:tcPr>
            <w:tcW w:w="908" w:type="dxa"/>
            <w:tcBorders>
              <w:top w:val="single" w:sz="12" w:space="0" w:color="002B5D"/>
              <w:bottom w:val="single" w:sz="4" w:space="0" w:color="002B5D"/>
            </w:tcBorders>
          </w:tcPr>
          <w:p>
            <w:pPr>
              <w:pStyle w:val="TableParagraph"/>
              <w:spacing w:before="61"/>
              <w:ind w:left="179"/>
              <w:jc w:val="center"/>
              <w:rPr>
                <w:sz w:val="18"/>
              </w:rPr>
            </w:pPr>
            <w:r>
              <w:rPr>
                <w:spacing w:val="-4"/>
                <w:sz w:val="18"/>
              </w:rPr>
              <w:t>7,00</w:t>
            </w:r>
          </w:p>
        </w:tc>
        <w:tc>
          <w:tcPr>
            <w:tcW w:w="1028" w:type="dxa"/>
            <w:tcBorders>
              <w:top w:val="single" w:sz="12" w:space="0" w:color="002B5D"/>
              <w:bottom w:val="single" w:sz="4" w:space="0" w:color="002B5D"/>
            </w:tcBorders>
          </w:tcPr>
          <w:p>
            <w:pPr>
              <w:pStyle w:val="TableParagraph"/>
              <w:spacing w:before="61"/>
              <w:ind w:left="426"/>
              <w:rPr>
                <w:sz w:val="18"/>
              </w:rPr>
            </w:pPr>
            <w:r>
              <w:rPr>
                <w:spacing w:val="-10"/>
                <w:sz w:val="18"/>
              </w:rPr>
              <w:t>1</w:t>
            </w:r>
          </w:p>
        </w:tc>
        <w:tc>
          <w:tcPr>
            <w:tcW w:w="784" w:type="dxa"/>
            <w:tcBorders>
              <w:top w:val="single" w:sz="12" w:space="0" w:color="002B5D"/>
              <w:bottom w:val="single" w:sz="4" w:space="0" w:color="002B5D"/>
            </w:tcBorders>
          </w:tcPr>
          <w:p>
            <w:pPr>
              <w:pStyle w:val="TableParagraph"/>
              <w:spacing w:before="61"/>
              <w:ind w:left="126" w:right="5"/>
              <w:jc w:val="center"/>
              <w:rPr>
                <w:sz w:val="18"/>
              </w:rPr>
            </w:pPr>
            <w:r>
              <w:rPr>
                <w:spacing w:val="-5"/>
                <w:sz w:val="18"/>
              </w:rPr>
              <w:t>N/A</w:t>
            </w:r>
          </w:p>
        </w:tc>
        <w:tc>
          <w:tcPr>
            <w:tcW w:w="1027" w:type="dxa"/>
            <w:tcBorders>
              <w:top w:val="single" w:sz="12" w:space="0" w:color="002B5D"/>
              <w:bottom w:val="single" w:sz="4" w:space="0" w:color="002B5D"/>
            </w:tcBorders>
          </w:tcPr>
          <w:p>
            <w:pPr>
              <w:pStyle w:val="TableParagraph"/>
              <w:spacing w:before="61"/>
              <w:ind w:right="22"/>
              <w:jc w:val="center"/>
              <w:rPr>
                <w:sz w:val="18"/>
              </w:rPr>
            </w:pPr>
            <w:r>
              <w:rPr>
                <w:spacing w:val="-5"/>
                <w:sz w:val="18"/>
              </w:rPr>
              <w:t>N/A</w:t>
            </w:r>
          </w:p>
        </w:tc>
        <w:tc>
          <w:tcPr>
            <w:tcW w:w="810" w:type="dxa"/>
            <w:tcBorders>
              <w:top w:val="single" w:sz="12" w:space="0" w:color="002B5D"/>
              <w:bottom w:val="single" w:sz="4" w:space="0" w:color="002B5D"/>
            </w:tcBorders>
          </w:tcPr>
          <w:p>
            <w:pPr>
              <w:pStyle w:val="TableParagraph"/>
              <w:spacing w:before="61"/>
              <w:ind w:left="68" w:right="117"/>
              <w:jc w:val="center"/>
              <w:rPr>
                <w:sz w:val="18"/>
              </w:rPr>
            </w:pPr>
            <w:r>
              <w:rPr>
                <w:spacing w:val="-5"/>
                <w:sz w:val="18"/>
              </w:rPr>
              <w:t>N/A</w:t>
            </w:r>
          </w:p>
        </w:tc>
        <w:tc>
          <w:tcPr>
            <w:tcW w:w="1122" w:type="dxa"/>
            <w:tcBorders>
              <w:top w:val="single" w:sz="12" w:space="0" w:color="002B5D"/>
              <w:bottom w:val="single" w:sz="4" w:space="0" w:color="002B5D"/>
            </w:tcBorders>
          </w:tcPr>
          <w:p>
            <w:pPr>
              <w:pStyle w:val="TableParagraph"/>
              <w:spacing w:before="61"/>
              <w:ind w:left="9" w:right="5"/>
              <w:jc w:val="center"/>
              <w:rPr>
                <w:sz w:val="18"/>
              </w:rPr>
            </w:pPr>
            <w:r>
              <w:rPr>
                <w:spacing w:val="-5"/>
                <w:sz w:val="18"/>
              </w:rPr>
              <w:t>N/A</w:t>
            </w:r>
          </w:p>
        </w:tc>
      </w:tr>
      <w:tr>
        <w:trPr>
          <w:trHeight w:val="347" w:hRule="atLeast"/>
        </w:trPr>
        <w:tc>
          <w:tcPr>
            <w:tcW w:w="1234" w:type="dxa"/>
          </w:tcPr>
          <w:p>
            <w:pPr>
              <w:pStyle w:val="TableParagraph"/>
              <w:spacing w:before="88"/>
              <w:ind w:left="2" w:right="3"/>
              <w:jc w:val="center"/>
              <w:rPr>
                <w:b/>
                <w:sz w:val="18"/>
              </w:rPr>
            </w:pPr>
            <w:r>
              <w:rPr>
                <w:b/>
                <w:spacing w:val="-2"/>
                <w:sz w:val="18"/>
              </w:rPr>
              <w:t>BILBAO</w:t>
            </w:r>
          </w:p>
        </w:tc>
        <w:tc>
          <w:tcPr>
            <w:tcW w:w="1485" w:type="dxa"/>
            <w:tcBorders>
              <w:top w:val="single" w:sz="4" w:space="0" w:color="002B5D"/>
              <w:bottom w:val="single" w:sz="4" w:space="0" w:color="002B5D"/>
            </w:tcBorders>
          </w:tcPr>
          <w:p>
            <w:pPr>
              <w:pStyle w:val="TableParagraph"/>
              <w:spacing w:before="80"/>
              <w:ind w:left="97"/>
              <w:jc w:val="center"/>
              <w:rPr>
                <w:sz w:val="18"/>
              </w:rPr>
            </w:pPr>
            <w:r>
              <w:rPr>
                <w:spacing w:val="-2"/>
                <w:sz w:val="18"/>
              </w:rPr>
              <w:t>31/12/2023</w:t>
            </w:r>
          </w:p>
        </w:tc>
        <w:tc>
          <w:tcPr>
            <w:tcW w:w="736" w:type="dxa"/>
            <w:tcBorders>
              <w:top w:val="single" w:sz="4" w:space="0" w:color="002B5D"/>
              <w:bottom w:val="single" w:sz="4" w:space="0" w:color="002B5D"/>
            </w:tcBorders>
          </w:tcPr>
          <w:p>
            <w:pPr>
              <w:pStyle w:val="TableParagraph"/>
              <w:spacing w:before="80"/>
              <w:ind w:left="166" w:right="79"/>
              <w:jc w:val="center"/>
              <w:rPr>
                <w:sz w:val="18"/>
              </w:rPr>
            </w:pPr>
            <w:r>
              <w:rPr>
                <w:spacing w:val="-5"/>
                <w:sz w:val="18"/>
              </w:rPr>
              <w:t>45</w:t>
            </w:r>
          </w:p>
        </w:tc>
        <w:tc>
          <w:tcPr>
            <w:tcW w:w="817" w:type="dxa"/>
            <w:tcBorders>
              <w:top w:val="single" w:sz="4" w:space="0" w:color="002B5D"/>
              <w:bottom w:val="single" w:sz="4" w:space="0" w:color="002B5D"/>
            </w:tcBorders>
          </w:tcPr>
          <w:p>
            <w:pPr>
              <w:pStyle w:val="TableParagraph"/>
              <w:spacing w:before="80"/>
              <w:ind w:right="238"/>
              <w:jc w:val="right"/>
              <w:rPr>
                <w:sz w:val="18"/>
              </w:rPr>
            </w:pPr>
            <w:r>
              <w:rPr>
                <w:spacing w:val="-5"/>
                <w:sz w:val="18"/>
              </w:rPr>
              <w:t>637</w:t>
            </w:r>
          </w:p>
        </w:tc>
        <w:tc>
          <w:tcPr>
            <w:tcW w:w="796" w:type="dxa"/>
            <w:tcBorders>
              <w:top w:val="single" w:sz="4" w:space="0" w:color="002B5D"/>
              <w:bottom w:val="single" w:sz="4" w:space="0" w:color="002B5D"/>
            </w:tcBorders>
          </w:tcPr>
          <w:p>
            <w:pPr>
              <w:pStyle w:val="TableParagraph"/>
              <w:spacing w:before="80"/>
              <w:ind w:right="128"/>
              <w:jc w:val="right"/>
              <w:rPr>
                <w:sz w:val="18"/>
              </w:rPr>
            </w:pPr>
            <w:r>
              <w:rPr>
                <w:spacing w:val="-5"/>
                <w:sz w:val="18"/>
              </w:rPr>
              <w:t>544</w:t>
            </w:r>
          </w:p>
        </w:tc>
        <w:tc>
          <w:tcPr>
            <w:tcW w:w="908" w:type="dxa"/>
            <w:tcBorders>
              <w:top w:val="single" w:sz="4" w:space="0" w:color="002B5D"/>
              <w:bottom w:val="single" w:sz="4" w:space="0" w:color="002B5D"/>
            </w:tcBorders>
          </w:tcPr>
          <w:p>
            <w:pPr>
              <w:pStyle w:val="TableParagraph"/>
              <w:spacing w:before="80"/>
              <w:ind w:left="179"/>
              <w:jc w:val="center"/>
              <w:rPr>
                <w:sz w:val="18"/>
              </w:rPr>
            </w:pPr>
            <w:r>
              <w:rPr>
                <w:spacing w:val="-4"/>
                <w:sz w:val="18"/>
              </w:rPr>
              <w:t>7,00</w:t>
            </w:r>
          </w:p>
        </w:tc>
        <w:tc>
          <w:tcPr>
            <w:tcW w:w="1028" w:type="dxa"/>
            <w:tcBorders>
              <w:top w:val="single" w:sz="4" w:space="0" w:color="002B5D"/>
              <w:bottom w:val="single" w:sz="4" w:space="0" w:color="002B5D"/>
            </w:tcBorders>
          </w:tcPr>
          <w:p>
            <w:pPr>
              <w:pStyle w:val="TableParagraph"/>
              <w:spacing w:before="80"/>
              <w:ind w:left="426"/>
              <w:rPr>
                <w:sz w:val="18"/>
              </w:rPr>
            </w:pPr>
            <w:r>
              <w:rPr>
                <w:spacing w:val="-10"/>
                <w:sz w:val="18"/>
              </w:rPr>
              <w:t>1</w:t>
            </w:r>
          </w:p>
        </w:tc>
        <w:tc>
          <w:tcPr>
            <w:tcW w:w="784" w:type="dxa"/>
            <w:tcBorders>
              <w:top w:val="single" w:sz="4" w:space="0" w:color="002B5D"/>
              <w:bottom w:val="single" w:sz="4" w:space="0" w:color="002B5D"/>
            </w:tcBorders>
          </w:tcPr>
          <w:p>
            <w:pPr>
              <w:pStyle w:val="TableParagraph"/>
              <w:spacing w:before="80"/>
              <w:ind w:left="126" w:right="5"/>
              <w:jc w:val="center"/>
              <w:rPr>
                <w:sz w:val="18"/>
              </w:rPr>
            </w:pPr>
            <w:r>
              <w:rPr>
                <w:spacing w:val="-5"/>
                <w:sz w:val="18"/>
              </w:rPr>
              <w:t>N/A</w:t>
            </w:r>
          </w:p>
        </w:tc>
        <w:tc>
          <w:tcPr>
            <w:tcW w:w="1027" w:type="dxa"/>
            <w:tcBorders>
              <w:top w:val="single" w:sz="4" w:space="0" w:color="002B5D"/>
              <w:bottom w:val="single" w:sz="4" w:space="0" w:color="002B5D"/>
            </w:tcBorders>
          </w:tcPr>
          <w:p>
            <w:pPr>
              <w:pStyle w:val="TableParagraph"/>
              <w:spacing w:before="80"/>
              <w:ind w:right="22"/>
              <w:jc w:val="center"/>
              <w:rPr>
                <w:sz w:val="18"/>
              </w:rPr>
            </w:pPr>
            <w:r>
              <w:rPr>
                <w:spacing w:val="-5"/>
                <w:sz w:val="18"/>
              </w:rPr>
              <w:t>N/A</w:t>
            </w:r>
          </w:p>
        </w:tc>
        <w:tc>
          <w:tcPr>
            <w:tcW w:w="810" w:type="dxa"/>
            <w:tcBorders>
              <w:top w:val="single" w:sz="4" w:space="0" w:color="002B5D"/>
              <w:bottom w:val="single" w:sz="4" w:space="0" w:color="002B5D"/>
            </w:tcBorders>
          </w:tcPr>
          <w:p>
            <w:pPr>
              <w:pStyle w:val="TableParagraph"/>
              <w:spacing w:before="80"/>
              <w:ind w:left="68" w:right="117"/>
              <w:jc w:val="center"/>
              <w:rPr>
                <w:sz w:val="18"/>
              </w:rPr>
            </w:pPr>
            <w:r>
              <w:rPr>
                <w:spacing w:val="-5"/>
                <w:sz w:val="18"/>
              </w:rPr>
              <w:t>N/A</w:t>
            </w:r>
          </w:p>
        </w:tc>
        <w:tc>
          <w:tcPr>
            <w:tcW w:w="1122" w:type="dxa"/>
            <w:tcBorders>
              <w:top w:val="single" w:sz="4" w:space="0" w:color="002B5D"/>
              <w:bottom w:val="single" w:sz="4" w:space="0" w:color="002B5D"/>
            </w:tcBorders>
          </w:tcPr>
          <w:p>
            <w:pPr>
              <w:pStyle w:val="TableParagraph"/>
              <w:spacing w:before="80"/>
              <w:ind w:left="9" w:right="5"/>
              <w:jc w:val="center"/>
              <w:rPr>
                <w:sz w:val="18"/>
              </w:rPr>
            </w:pPr>
            <w:r>
              <w:rPr>
                <w:spacing w:val="-5"/>
                <w:sz w:val="18"/>
              </w:rPr>
              <w:t>N/A</w:t>
            </w:r>
          </w:p>
        </w:tc>
      </w:tr>
      <w:tr>
        <w:trPr>
          <w:trHeight w:val="363" w:hRule="atLeast"/>
        </w:trPr>
        <w:tc>
          <w:tcPr>
            <w:tcW w:w="1234" w:type="dxa"/>
            <w:tcBorders>
              <w:bottom w:val="single" w:sz="12" w:space="0" w:color="002B5D"/>
            </w:tcBorders>
          </w:tcPr>
          <w:p>
            <w:pPr>
              <w:pStyle w:val="TableParagraph"/>
              <w:rPr>
                <w:rFonts w:ascii="Times New Roman"/>
                <w:sz w:val="16"/>
              </w:rPr>
            </w:pPr>
          </w:p>
        </w:tc>
        <w:tc>
          <w:tcPr>
            <w:tcW w:w="1485" w:type="dxa"/>
            <w:tcBorders>
              <w:top w:val="single" w:sz="4" w:space="0" w:color="002B5D"/>
              <w:bottom w:val="single" w:sz="12" w:space="0" w:color="002B5D"/>
            </w:tcBorders>
          </w:tcPr>
          <w:p>
            <w:pPr>
              <w:pStyle w:val="TableParagraph"/>
              <w:spacing w:before="90"/>
              <w:ind w:left="97"/>
              <w:jc w:val="center"/>
              <w:rPr>
                <w:sz w:val="18"/>
              </w:rPr>
            </w:pPr>
            <w:r>
              <w:rPr>
                <w:spacing w:val="-2"/>
                <w:sz w:val="18"/>
              </w:rPr>
              <w:t>31/12/2024</w:t>
            </w:r>
          </w:p>
        </w:tc>
        <w:tc>
          <w:tcPr>
            <w:tcW w:w="736" w:type="dxa"/>
            <w:tcBorders>
              <w:top w:val="single" w:sz="4" w:space="0" w:color="002B5D"/>
              <w:bottom w:val="single" w:sz="12" w:space="0" w:color="002B5D"/>
            </w:tcBorders>
          </w:tcPr>
          <w:p>
            <w:pPr>
              <w:pStyle w:val="TableParagraph"/>
              <w:spacing w:before="90"/>
              <w:ind w:left="166" w:right="79"/>
              <w:jc w:val="center"/>
              <w:rPr>
                <w:sz w:val="18"/>
              </w:rPr>
            </w:pPr>
            <w:r>
              <w:rPr>
                <w:spacing w:val="-5"/>
                <w:sz w:val="18"/>
              </w:rPr>
              <w:t>45</w:t>
            </w:r>
          </w:p>
        </w:tc>
        <w:tc>
          <w:tcPr>
            <w:tcW w:w="817" w:type="dxa"/>
            <w:tcBorders>
              <w:top w:val="single" w:sz="4" w:space="0" w:color="002B5D"/>
              <w:bottom w:val="single" w:sz="12" w:space="0" w:color="002B5D"/>
            </w:tcBorders>
          </w:tcPr>
          <w:p>
            <w:pPr>
              <w:pStyle w:val="TableParagraph"/>
              <w:spacing w:before="90"/>
              <w:ind w:right="238"/>
              <w:jc w:val="right"/>
              <w:rPr>
                <w:sz w:val="18"/>
              </w:rPr>
            </w:pPr>
            <w:r>
              <w:rPr>
                <w:spacing w:val="-5"/>
                <w:sz w:val="18"/>
              </w:rPr>
              <w:t>651</w:t>
            </w:r>
          </w:p>
        </w:tc>
        <w:tc>
          <w:tcPr>
            <w:tcW w:w="796" w:type="dxa"/>
            <w:tcBorders>
              <w:top w:val="single" w:sz="4" w:space="0" w:color="002B5D"/>
              <w:bottom w:val="single" w:sz="12" w:space="0" w:color="002B5D"/>
            </w:tcBorders>
          </w:tcPr>
          <w:p>
            <w:pPr>
              <w:pStyle w:val="TableParagraph"/>
              <w:spacing w:before="90"/>
              <w:ind w:right="128"/>
              <w:jc w:val="right"/>
              <w:rPr>
                <w:sz w:val="18"/>
              </w:rPr>
            </w:pPr>
            <w:r>
              <w:rPr>
                <w:spacing w:val="-5"/>
                <w:sz w:val="18"/>
              </w:rPr>
              <w:t>542</w:t>
            </w:r>
          </w:p>
        </w:tc>
        <w:tc>
          <w:tcPr>
            <w:tcW w:w="908" w:type="dxa"/>
            <w:tcBorders>
              <w:top w:val="single" w:sz="4" w:space="0" w:color="002B5D"/>
              <w:bottom w:val="single" w:sz="12" w:space="0" w:color="002B5D"/>
            </w:tcBorders>
          </w:tcPr>
          <w:p>
            <w:pPr>
              <w:pStyle w:val="TableParagraph"/>
              <w:spacing w:before="90"/>
              <w:ind w:left="179"/>
              <w:jc w:val="center"/>
              <w:rPr>
                <w:sz w:val="18"/>
              </w:rPr>
            </w:pPr>
            <w:r>
              <w:rPr>
                <w:spacing w:val="-4"/>
                <w:sz w:val="18"/>
              </w:rPr>
              <w:t>6,00</w:t>
            </w:r>
          </w:p>
        </w:tc>
        <w:tc>
          <w:tcPr>
            <w:tcW w:w="1028" w:type="dxa"/>
            <w:tcBorders>
              <w:top w:val="single" w:sz="4" w:space="0" w:color="002B5D"/>
              <w:bottom w:val="single" w:sz="12" w:space="0" w:color="002B5D"/>
            </w:tcBorders>
          </w:tcPr>
          <w:p>
            <w:pPr>
              <w:pStyle w:val="TableParagraph"/>
              <w:spacing w:before="90"/>
              <w:ind w:left="426"/>
              <w:rPr>
                <w:sz w:val="18"/>
              </w:rPr>
            </w:pPr>
            <w:r>
              <w:rPr>
                <w:spacing w:val="-10"/>
                <w:sz w:val="18"/>
              </w:rPr>
              <w:t>1</w:t>
            </w:r>
          </w:p>
        </w:tc>
        <w:tc>
          <w:tcPr>
            <w:tcW w:w="784" w:type="dxa"/>
            <w:tcBorders>
              <w:top w:val="single" w:sz="4" w:space="0" w:color="002B5D"/>
              <w:bottom w:val="single" w:sz="12" w:space="0" w:color="002B5D"/>
            </w:tcBorders>
          </w:tcPr>
          <w:p>
            <w:pPr>
              <w:pStyle w:val="TableParagraph"/>
              <w:spacing w:before="90"/>
              <w:ind w:left="126" w:right="5"/>
              <w:jc w:val="center"/>
              <w:rPr>
                <w:sz w:val="18"/>
              </w:rPr>
            </w:pPr>
            <w:r>
              <w:rPr>
                <w:spacing w:val="-5"/>
                <w:sz w:val="18"/>
              </w:rPr>
              <w:t>N/A</w:t>
            </w:r>
          </w:p>
        </w:tc>
        <w:tc>
          <w:tcPr>
            <w:tcW w:w="1027" w:type="dxa"/>
            <w:tcBorders>
              <w:top w:val="single" w:sz="4" w:space="0" w:color="002B5D"/>
              <w:bottom w:val="single" w:sz="12" w:space="0" w:color="002B5D"/>
            </w:tcBorders>
          </w:tcPr>
          <w:p>
            <w:pPr>
              <w:pStyle w:val="TableParagraph"/>
              <w:spacing w:before="90"/>
              <w:ind w:right="22"/>
              <w:jc w:val="center"/>
              <w:rPr>
                <w:sz w:val="18"/>
              </w:rPr>
            </w:pPr>
            <w:r>
              <w:rPr>
                <w:spacing w:val="-5"/>
                <w:sz w:val="18"/>
              </w:rPr>
              <w:t>N/A</w:t>
            </w:r>
          </w:p>
        </w:tc>
        <w:tc>
          <w:tcPr>
            <w:tcW w:w="810" w:type="dxa"/>
            <w:tcBorders>
              <w:top w:val="single" w:sz="4" w:space="0" w:color="002B5D"/>
              <w:bottom w:val="single" w:sz="12" w:space="0" w:color="002B5D"/>
            </w:tcBorders>
          </w:tcPr>
          <w:p>
            <w:pPr>
              <w:pStyle w:val="TableParagraph"/>
              <w:spacing w:before="90"/>
              <w:ind w:left="68" w:right="117"/>
              <w:jc w:val="center"/>
              <w:rPr>
                <w:sz w:val="18"/>
              </w:rPr>
            </w:pPr>
            <w:r>
              <w:rPr>
                <w:spacing w:val="-5"/>
                <w:sz w:val="18"/>
              </w:rPr>
              <w:t>N/A</w:t>
            </w:r>
          </w:p>
        </w:tc>
        <w:tc>
          <w:tcPr>
            <w:tcW w:w="1122" w:type="dxa"/>
            <w:tcBorders>
              <w:top w:val="single" w:sz="4" w:space="0" w:color="002B5D"/>
              <w:bottom w:val="single" w:sz="12" w:space="0" w:color="002B5D"/>
            </w:tcBorders>
          </w:tcPr>
          <w:p>
            <w:pPr>
              <w:pStyle w:val="TableParagraph"/>
              <w:spacing w:before="90"/>
              <w:ind w:left="9" w:right="5"/>
              <w:jc w:val="center"/>
              <w:rPr>
                <w:sz w:val="18"/>
              </w:rPr>
            </w:pPr>
            <w:r>
              <w:rPr>
                <w:spacing w:val="-5"/>
                <w:sz w:val="18"/>
              </w:rPr>
              <w:t>N/A</w:t>
            </w:r>
          </w:p>
        </w:tc>
      </w:tr>
      <w:tr>
        <w:trPr>
          <w:trHeight w:val="330" w:hRule="atLeast"/>
        </w:trPr>
        <w:tc>
          <w:tcPr>
            <w:tcW w:w="1234" w:type="dxa"/>
            <w:tcBorders>
              <w:top w:val="single" w:sz="12" w:space="0" w:color="002B5D"/>
            </w:tcBorders>
          </w:tcPr>
          <w:p>
            <w:pPr>
              <w:pStyle w:val="TableParagraph"/>
              <w:rPr>
                <w:rFonts w:ascii="Times New Roman"/>
                <w:sz w:val="16"/>
              </w:rPr>
            </w:pPr>
          </w:p>
        </w:tc>
        <w:tc>
          <w:tcPr>
            <w:tcW w:w="1485" w:type="dxa"/>
            <w:tcBorders>
              <w:top w:val="single" w:sz="12" w:space="0" w:color="002B5D"/>
              <w:bottom w:val="single" w:sz="4" w:space="0" w:color="002B5D"/>
            </w:tcBorders>
          </w:tcPr>
          <w:p>
            <w:pPr>
              <w:pStyle w:val="TableParagraph"/>
              <w:spacing w:before="61"/>
              <w:ind w:left="97"/>
              <w:jc w:val="center"/>
              <w:rPr>
                <w:sz w:val="18"/>
              </w:rPr>
            </w:pPr>
            <w:r>
              <w:rPr>
                <w:spacing w:val="-2"/>
                <w:sz w:val="18"/>
              </w:rPr>
              <w:t>31/12/2022</w:t>
            </w:r>
          </w:p>
        </w:tc>
        <w:tc>
          <w:tcPr>
            <w:tcW w:w="736" w:type="dxa"/>
            <w:tcBorders>
              <w:top w:val="single" w:sz="12" w:space="0" w:color="002B5D"/>
              <w:bottom w:val="single" w:sz="4" w:space="0" w:color="002B5D"/>
            </w:tcBorders>
          </w:tcPr>
          <w:p>
            <w:pPr>
              <w:pStyle w:val="TableParagraph"/>
              <w:spacing w:before="61"/>
              <w:ind w:left="166" w:right="79"/>
              <w:jc w:val="center"/>
              <w:rPr>
                <w:sz w:val="18"/>
              </w:rPr>
            </w:pPr>
            <w:r>
              <w:rPr>
                <w:spacing w:val="-5"/>
                <w:sz w:val="18"/>
              </w:rPr>
              <w:t>24</w:t>
            </w:r>
          </w:p>
        </w:tc>
        <w:tc>
          <w:tcPr>
            <w:tcW w:w="817" w:type="dxa"/>
            <w:tcBorders>
              <w:top w:val="single" w:sz="12" w:space="0" w:color="002B5D"/>
              <w:bottom w:val="single" w:sz="4" w:space="0" w:color="002B5D"/>
            </w:tcBorders>
          </w:tcPr>
          <w:p>
            <w:pPr>
              <w:pStyle w:val="TableParagraph"/>
              <w:spacing w:before="61"/>
              <w:ind w:right="235"/>
              <w:jc w:val="right"/>
              <w:rPr>
                <w:sz w:val="18"/>
              </w:rPr>
            </w:pPr>
            <w:r>
              <w:rPr>
                <w:spacing w:val="-2"/>
                <w:sz w:val="18"/>
              </w:rPr>
              <w:t>509,72</w:t>
            </w:r>
          </w:p>
        </w:tc>
        <w:tc>
          <w:tcPr>
            <w:tcW w:w="796" w:type="dxa"/>
            <w:tcBorders>
              <w:top w:val="single" w:sz="12" w:space="0" w:color="002B5D"/>
              <w:bottom w:val="single" w:sz="4" w:space="0" w:color="002B5D"/>
            </w:tcBorders>
          </w:tcPr>
          <w:p>
            <w:pPr>
              <w:pStyle w:val="TableParagraph"/>
              <w:spacing w:before="61"/>
              <w:ind w:right="128"/>
              <w:jc w:val="right"/>
              <w:rPr>
                <w:sz w:val="18"/>
              </w:rPr>
            </w:pPr>
            <w:r>
              <w:rPr>
                <w:spacing w:val="-5"/>
                <w:sz w:val="18"/>
              </w:rPr>
              <w:t>648</w:t>
            </w:r>
          </w:p>
        </w:tc>
        <w:tc>
          <w:tcPr>
            <w:tcW w:w="908" w:type="dxa"/>
            <w:tcBorders>
              <w:top w:val="single" w:sz="12" w:space="0" w:color="002B5D"/>
              <w:bottom w:val="single" w:sz="4" w:space="0" w:color="002B5D"/>
            </w:tcBorders>
          </w:tcPr>
          <w:p>
            <w:pPr>
              <w:pStyle w:val="TableParagraph"/>
              <w:spacing w:before="61"/>
              <w:ind w:left="179"/>
              <w:jc w:val="center"/>
              <w:rPr>
                <w:sz w:val="18"/>
              </w:rPr>
            </w:pPr>
            <w:r>
              <w:rPr>
                <w:spacing w:val="-4"/>
                <w:sz w:val="18"/>
              </w:rPr>
              <w:t>7,90</w:t>
            </w:r>
          </w:p>
        </w:tc>
        <w:tc>
          <w:tcPr>
            <w:tcW w:w="1028" w:type="dxa"/>
            <w:tcBorders>
              <w:top w:val="single" w:sz="12" w:space="0" w:color="002B5D"/>
              <w:bottom w:val="single" w:sz="4" w:space="0" w:color="002B5D"/>
            </w:tcBorders>
          </w:tcPr>
          <w:p>
            <w:pPr>
              <w:pStyle w:val="TableParagraph"/>
              <w:spacing w:before="61"/>
              <w:ind w:left="426"/>
              <w:rPr>
                <w:sz w:val="18"/>
              </w:rPr>
            </w:pPr>
            <w:r>
              <w:rPr>
                <w:spacing w:val="-10"/>
                <w:sz w:val="18"/>
              </w:rPr>
              <w:t>1</w:t>
            </w:r>
          </w:p>
        </w:tc>
        <w:tc>
          <w:tcPr>
            <w:tcW w:w="784" w:type="dxa"/>
            <w:tcBorders>
              <w:top w:val="single" w:sz="12" w:space="0" w:color="002B5D"/>
              <w:bottom w:val="single" w:sz="4" w:space="0" w:color="002B5D"/>
            </w:tcBorders>
          </w:tcPr>
          <w:p>
            <w:pPr>
              <w:pStyle w:val="TableParagraph"/>
              <w:spacing w:before="61"/>
              <w:ind w:left="126" w:right="5"/>
              <w:jc w:val="center"/>
              <w:rPr>
                <w:sz w:val="18"/>
              </w:rPr>
            </w:pPr>
            <w:r>
              <w:rPr>
                <w:spacing w:val="-5"/>
                <w:sz w:val="18"/>
              </w:rPr>
              <w:t>N/A</w:t>
            </w:r>
          </w:p>
        </w:tc>
        <w:tc>
          <w:tcPr>
            <w:tcW w:w="1027" w:type="dxa"/>
            <w:tcBorders>
              <w:top w:val="single" w:sz="12" w:space="0" w:color="002B5D"/>
              <w:bottom w:val="single" w:sz="4" w:space="0" w:color="002B5D"/>
            </w:tcBorders>
          </w:tcPr>
          <w:p>
            <w:pPr>
              <w:pStyle w:val="TableParagraph"/>
              <w:spacing w:before="61"/>
              <w:ind w:right="22"/>
              <w:jc w:val="center"/>
              <w:rPr>
                <w:sz w:val="18"/>
              </w:rPr>
            </w:pPr>
            <w:r>
              <w:rPr>
                <w:spacing w:val="-5"/>
                <w:sz w:val="18"/>
              </w:rPr>
              <w:t>N/A</w:t>
            </w:r>
          </w:p>
        </w:tc>
        <w:tc>
          <w:tcPr>
            <w:tcW w:w="810" w:type="dxa"/>
            <w:tcBorders>
              <w:top w:val="single" w:sz="12" w:space="0" w:color="002B5D"/>
              <w:bottom w:val="single" w:sz="4" w:space="0" w:color="002B5D"/>
            </w:tcBorders>
          </w:tcPr>
          <w:p>
            <w:pPr>
              <w:pStyle w:val="TableParagraph"/>
              <w:spacing w:before="61"/>
              <w:ind w:left="68" w:right="117"/>
              <w:jc w:val="center"/>
              <w:rPr>
                <w:sz w:val="18"/>
              </w:rPr>
            </w:pPr>
            <w:r>
              <w:rPr>
                <w:spacing w:val="-5"/>
                <w:sz w:val="18"/>
              </w:rPr>
              <w:t>N/A</w:t>
            </w:r>
          </w:p>
        </w:tc>
        <w:tc>
          <w:tcPr>
            <w:tcW w:w="1122" w:type="dxa"/>
            <w:tcBorders>
              <w:top w:val="single" w:sz="12" w:space="0" w:color="002B5D"/>
              <w:bottom w:val="single" w:sz="4" w:space="0" w:color="002B5D"/>
            </w:tcBorders>
          </w:tcPr>
          <w:p>
            <w:pPr>
              <w:pStyle w:val="TableParagraph"/>
              <w:spacing w:before="61"/>
              <w:ind w:left="9" w:right="5"/>
              <w:jc w:val="center"/>
              <w:rPr>
                <w:sz w:val="18"/>
              </w:rPr>
            </w:pPr>
            <w:r>
              <w:rPr>
                <w:spacing w:val="-5"/>
                <w:sz w:val="18"/>
              </w:rPr>
              <w:t>N/A</w:t>
            </w:r>
          </w:p>
        </w:tc>
      </w:tr>
      <w:tr>
        <w:trPr>
          <w:trHeight w:val="347" w:hRule="atLeast"/>
        </w:trPr>
        <w:tc>
          <w:tcPr>
            <w:tcW w:w="1234" w:type="dxa"/>
          </w:tcPr>
          <w:p>
            <w:pPr>
              <w:pStyle w:val="TableParagraph"/>
              <w:spacing w:before="88"/>
              <w:ind w:left="2" w:right="3"/>
              <w:jc w:val="center"/>
              <w:rPr>
                <w:b/>
                <w:sz w:val="18"/>
              </w:rPr>
            </w:pPr>
            <w:r>
              <w:rPr>
                <w:b/>
                <w:spacing w:val="-2"/>
                <w:sz w:val="18"/>
              </w:rPr>
              <w:t>CÓRDOBA</w:t>
            </w:r>
          </w:p>
        </w:tc>
        <w:tc>
          <w:tcPr>
            <w:tcW w:w="1485" w:type="dxa"/>
            <w:tcBorders>
              <w:top w:val="single" w:sz="4" w:space="0" w:color="002B5D"/>
              <w:bottom w:val="single" w:sz="4" w:space="0" w:color="002B5D"/>
            </w:tcBorders>
          </w:tcPr>
          <w:p>
            <w:pPr>
              <w:pStyle w:val="TableParagraph"/>
              <w:spacing w:before="80"/>
              <w:ind w:left="97"/>
              <w:jc w:val="center"/>
              <w:rPr>
                <w:sz w:val="18"/>
              </w:rPr>
            </w:pPr>
            <w:r>
              <w:rPr>
                <w:spacing w:val="-2"/>
                <w:sz w:val="18"/>
              </w:rPr>
              <w:t>31/12/2023</w:t>
            </w:r>
          </w:p>
        </w:tc>
        <w:tc>
          <w:tcPr>
            <w:tcW w:w="736" w:type="dxa"/>
            <w:tcBorders>
              <w:top w:val="single" w:sz="4" w:space="0" w:color="002B5D"/>
              <w:bottom w:val="single" w:sz="4" w:space="0" w:color="002B5D"/>
            </w:tcBorders>
          </w:tcPr>
          <w:p>
            <w:pPr>
              <w:pStyle w:val="TableParagraph"/>
              <w:spacing w:before="80"/>
              <w:ind w:left="166" w:right="79"/>
              <w:jc w:val="center"/>
              <w:rPr>
                <w:sz w:val="18"/>
              </w:rPr>
            </w:pPr>
            <w:r>
              <w:rPr>
                <w:spacing w:val="-5"/>
                <w:sz w:val="18"/>
              </w:rPr>
              <w:t>23</w:t>
            </w:r>
          </w:p>
        </w:tc>
        <w:tc>
          <w:tcPr>
            <w:tcW w:w="817" w:type="dxa"/>
            <w:tcBorders>
              <w:top w:val="single" w:sz="4" w:space="0" w:color="002B5D"/>
              <w:bottom w:val="single" w:sz="4" w:space="0" w:color="002B5D"/>
            </w:tcBorders>
          </w:tcPr>
          <w:p>
            <w:pPr>
              <w:pStyle w:val="TableParagraph"/>
              <w:spacing w:before="80"/>
              <w:ind w:right="235"/>
              <w:jc w:val="right"/>
              <w:rPr>
                <w:sz w:val="18"/>
              </w:rPr>
            </w:pPr>
            <w:r>
              <w:rPr>
                <w:spacing w:val="-2"/>
                <w:sz w:val="18"/>
              </w:rPr>
              <w:t>515,06</w:t>
            </w:r>
          </w:p>
        </w:tc>
        <w:tc>
          <w:tcPr>
            <w:tcW w:w="796" w:type="dxa"/>
            <w:tcBorders>
              <w:top w:val="single" w:sz="4" w:space="0" w:color="002B5D"/>
              <w:bottom w:val="single" w:sz="4" w:space="0" w:color="002B5D"/>
            </w:tcBorders>
          </w:tcPr>
          <w:p>
            <w:pPr>
              <w:pStyle w:val="TableParagraph"/>
              <w:spacing w:before="80"/>
              <w:ind w:right="128"/>
              <w:jc w:val="right"/>
              <w:rPr>
                <w:sz w:val="18"/>
              </w:rPr>
            </w:pPr>
            <w:r>
              <w:rPr>
                <w:spacing w:val="-5"/>
                <w:sz w:val="18"/>
              </w:rPr>
              <w:t>643</w:t>
            </w:r>
          </w:p>
        </w:tc>
        <w:tc>
          <w:tcPr>
            <w:tcW w:w="908" w:type="dxa"/>
            <w:tcBorders>
              <w:top w:val="single" w:sz="4" w:space="0" w:color="002B5D"/>
              <w:bottom w:val="single" w:sz="4" w:space="0" w:color="002B5D"/>
            </w:tcBorders>
          </w:tcPr>
          <w:p>
            <w:pPr>
              <w:pStyle w:val="TableParagraph"/>
              <w:spacing w:before="80"/>
              <w:ind w:left="179"/>
              <w:jc w:val="center"/>
              <w:rPr>
                <w:sz w:val="18"/>
              </w:rPr>
            </w:pPr>
            <w:r>
              <w:rPr>
                <w:spacing w:val="-4"/>
                <w:sz w:val="18"/>
              </w:rPr>
              <w:t>7,90</w:t>
            </w:r>
          </w:p>
        </w:tc>
        <w:tc>
          <w:tcPr>
            <w:tcW w:w="1028" w:type="dxa"/>
            <w:tcBorders>
              <w:top w:val="single" w:sz="4" w:space="0" w:color="002B5D"/>
              <w:bottom w:val="single" w:sz="4" w:space="0" w:color="002B5D"/>
            </w:tcBorders>
          </w:tcPr>
          <w:p>
            <w:pPr>
              <w:pStyle w:val="TableParagraph"/>
              <w:spacing w:before="80"/>
              <w:ind w:left="426"/>
              <w:rPr>
                <w:sz w:val="18"/>
              </w:rPr>
            </w:pPr>
            <w:r>
              <w:rPr>
                <w:spacing w:val="-10"/>
                <w:sz w:val="18"/>
              </w:rPr>
              <w:t>1</w:t>
            </w:r>
          </w:p>
        </w:tc>
        <w:tc>
          <w:tcPr>
            <w:tcW w:w="784" w:type="dxa"/>
            <w:tcBorders>
              <w:top w:val="single" w:sz="4" w:space="0" w:color="002B5D"/>
              <w:bottom w:val="single" w:sz="4" w:space="0" w:color="002B5D"/>
            </w:tcBorders>
          </w:tcPr>
          <w:p>
            <w:pPr>
              <w:pStyle w:val="TableParagraph"/>
              <w:spacing w:before="80"/>
              <w:ind w:left="126" w:right="5"/>
              <w:jc w:val="center"/>
              <w:rPr>
                <w:sz w:val="18"/>
              </w:rPr>
            </w:pPr>
            <w:r>
              <w:rPr>
                <w:spacing w:val="-5"/>
                <w:sz w:val="18"/>
              </w:rPr>
              <w:t>N/A</w:t>
            </w:r>
          </w:p>
        </w:tc>
        <w:tc>
          <w:tcPr>
            <w:tcW w:w="1027" w:type="dxa"/>
            <w:tcBorders>
              <w:top w:val="single" w:sz="4" w:space="0" w:color="002B5D"/>
              <w:bottom w:val="single" w:sz="4" w:space="0" w:color="002B5D"/>
            </w:tcBorders>
          </w:tcPr>
          <w:p>
            <w:pPr>
              <w:pStyle w:val="TableParagraph"/>
              <w:spacing w:before="80"/>
              <w:ind w:right="22"/>
              <w:jc w:val="center"/>
              <w:rPr>
                <w:sz w:val="18"/>
              </w:rPr>
            </w:pPr>
            <w:r>
              <w:rPr>
                <w:spacing w:val="-5"/>
                <w:sz w:val="18"/>
              </w:rPr>
              <w:t>N/A</w:t>
            </w:r>
          </w:p>
        </w:tc>
        <w:tc>
          <w:tcPr>
            <w:tcW w:w="810" w:type="dxa"/>
            <w:tcBorders>
              <w:top w:val="single" w:sz="4" w:space="0" w:color="002B5D"/>
              <w:bottom w:val="single" w:sz="4" w:space="0" w:color="002B5D"/>
            </w:tcBorders>
          </w:tcPr>
          <w:p>
            <w:pPr>
              <w:pStyle w:val="TableParagraph"/>
              <w:spacing w:before="80"/>
              <w:ind w:left="68" w:right="117"/>
              <w:jc w:val="center"/>
              <w:rPr>
                <w:sz w:val="18"/>
              </w:rPr>
            </w:pPr>
            <w:r>
              <w:rPr>
                <w:spacing w:val="-5"/>
                <w:sz w:val="18"/>
              </w:rPr>
              <w:t>N/A</w:t>
            </w:r>
          </w:p>
        </w:tc>
        <w:tc>
          <w:tcPr>
            <w:tcW w:w="1122" w:type="dxa"/>
            <w:tcBorders>
              <w:top w:val="single" w:sz="4" w:space="0" w:color="002B5D"/>
              <w:bottom w:val="single" w:sz="4" w:space="0" w:color="002B5D"/>
            </w:tcBorders>
          </w:tcPr>
          <w:p>
            <w:pPr>
              <w:pStyle w:val="TableParagraph"/>
              <w:spacing w:before="80"/>
              <w:ind w:left="9" w:right="5"/>
              <w:jc w:val="center"/>
              <w:rPr>
                <w:sz w:val="18"/>
              </w:rPr>
            </w:pPr>
            <w:r>
              <w:rPr>
                <w:spacing w:val="-5"/>
                <w:sz w:val="18"/>
              </w:rPr>
              <w:t>N/A</w:t>
            </w:r>
          </w:p>
        </w:tc>
      </w:tr>
      <w:tr>
        <w:trPr>
          <w:trHeight w:val="363" w:hRule="atLeast"/>
        </w:trPr>
        <w:tc>
          <w:tcPr>
            <w:tcW w:w="1234" w:type="dxa"/>
            <w:tcBorders>
              <w:bottom w:val="single" w:sz="12" w:space="0" w:color="002B5D"/>
            </w:tcBorders>
          </w:tcPr>
          <w:p>
            <w:pPr>
              <w:pStyle w:val="TableParagraph"/>
              <w:rPr>
                <w:rFonts w:ascii="Times New Roman"/>
                <w:sz w:val="16"/>
              </w:rPr>
            </w:pPr>
          </w:p>
        </w:tc>
        <w:tc>
          <w:tcPr>
            <w:tcW w:w="1485" w:type="dxa"/>
            <w:tcBorders>
              <w:top w:val="single" w:sz="4" w:space="0" w:color="002B5D"/>
              <w:bottom w:val="single" w:sz="12" w:space="0" w:color="002B5D"/>
            </w:tcBorders>
          </w:tcPr>
          <w:p>
            <w:pPr>
              <w:pStyle w:val="TableParagraph"/>
              <w:spacing w:before="90"/>
              <w:ind w:left="97"/>
              <w:jc w:val="center"/>
              <w:rPr>
                <w:sz w:val="18"/>
              </w:rPr>
            </w:pPr>
            <w:r>
              <w:rPr>
                <w:spacing w:val="-2"/>
                <w:sz w:val="18"/>
              </w:rPr>
              <w:t>31/12/2024</w:t>
            </w:r>
          </w:p>
        </w:tc>
        <w:tc>
          <w:tcPr>
            <w:tcW w:w="736" w:type="dxa"/>
            <w:tcBorders>
              <w:top w:val="single" w:sz="4" w:space="0" w:color="002B5D"/>
              <w:bottom w:val="single" w:sz="12" w:space="0" w:color="002B5D"/>
            </w:tcBorders>
          </w:tcPr>
          <w:p>
            <w:pPr>
              <w:pStyle w:val="TableParagraph"/>
              <w:spacing w:before="90"/>
              <w:ind w:left="166" w:right="79"/>
              <w:jc w:val="center"/>
              <w:rPr>
                <w:sz w:val="18"/>
              </w:rPr>
            </w:pPr>
            <w:r>
              <w:rPr>
                <w:spacing w:val="-5"/>
                <w:sz w:val="18"/>
              </w:rPr>
              <w:t>25</w:t>
            </w:r>
          </w:p>
        </w:tc>
        <w:tc>
          <w:tcPr>
            <w:tcW w:w="817" w:type="dxa"/>
            <w:tcBorders>
              <w:top w:val="single" w:sz="4" w:space="0" w:color="002B5D"/>
              <w:bottom w:val="single" w:sz="12" w:space="0" w:color="002B5D"/>
            </w:tcBorders>
          </w:tcPr>
          <w:p>
            <w:pPr>
              <w:pStyle w:val="TableParagraph"/>
              <w:spacing w:before="90"/>
              <w:ind w:right="235"/>
              <w:jc w:val="right"/>
              <w:rPr>
                <w:sz w:val="18"/>
              </w:rPr>
            </w:pPr>
            <w:r>
              <w:rPr>
                <w:spacing w:val="-2"/>
                <w:sz w:val="18"/>
              </w:rPr>
              <w:t>520,91</w:t>
            </w:r>
          </w:p>
        </w:tc>
        <w:tc>
          <w:tcPr>
            <w:tcW w:w="796" w:type="dxa"/>
            <w:tcBorders>
              <w:top w:val="single" w:sz="4" w:space="0" w:color="002B5D"/>
              <w:bottom w:val="single" w:sz="12" w:space="0" w:color="002B5D"/>
            </w:tcBorders>
          </w:tcPr>
          <w:p>
            <w:pPr>
              <w:pStyle w:val="TableParagraph"/>
              <w:spacing w:before="90"/>
              <w:ind w:right="128"/>
              <w:jc w:val="right"/>
              <w:rPr>
                <w:sz w:val="18"/>
              </w:rPr>
            </w:pPr>
            <w:r>
              <w:rPr>
                <w:spacing w:val="-5"/>
                <w:sz w:val="18"/>
              </w:rPr>
              <w:t>645</w:t>
            </w:r>
          </w:p>
        </w:tc>
        <w:tc>
          <w:tcPr>
            <w:tcW w:w="908" w:type="dxa"/>
            <w:tcBorders>
              <w:top w:val="single" w:sz="4" w:space="0" w:color="002B5D"/>
              <w:bottom w:val="single" w:sz="12" w:space="0" w:color="002B5D"/>
            </w:tcBorders>
          </w:tcPr>
          <w:p>
            <w:pPr>
              <w:pStyle w:val="TableParagraph"/>
              <w:spacing w:before="90"/>
              <w:ind w:left="179"/>
              <w:jc w:val="center"/>
              <w:rPr>
                <w:sz w:val="18"/>
              </w:rPr>
            </w:pPr>
            <w:r>
              <w:rPr>
                <w:spacing w:val="-4"/>
                <w:sz w:val="18"/>
              </w:rPr>
              <w:t>7,90</w:t>
            </w:r>
          </w:p>
        </w:tc>
        <w:tc>
          <w:tcPr>
            <w:tcW w:w="1028" w:type="dxa"/>
            <w:tcBorders>
              <w:top w:val="single" w:sz="4" w:space="0" w:color="002B5D"/>
              <w:bottom w:val="single" w:sz="12" w:space="0" w:color="002B5D"/>
            </w:tcBorders>
          </w:tcPr>
          <w:p>
            <w:pPr>
              <w:pStyle w:val="TableParagraph"/>
              <w:spacing w:before="90"/>
              <w:ind w:left="426"/>
              <w:rPr>
                <w:sz w:val="18"/>
              </w:rPr>
            </w:pPr>
            <w:r>
              <w:rPr>
                <w:spacing w:val="-10"/>
                <w:sz w:val="18"/>
              </w:rPr>
              <w:t>1</w:t>
            </w:r>
          </w:p>
        </w:tc>
        <w:tc>
          <w:tcPr>
            <w:tcW w:w="784" w:type="dxa"/>
            <w:tcBorders>
              <w:top w:val="single" w:sz="4" w:space="0" w:color="002B5D"/>
              <w:bottom w:val="single" w:sz="12" w:space="0" w:color="002B5D"/>
            </w:tcBorders>
          </w:tcPr>
          <w:p>
            <w:pPr>
              <w:pStyle w:val="TableParagraph"/>
              <w:spacing w:before="90"/>
              <w:ind w:left="126" w:right="5"/>
              <w:jc w:val="center"/>
              <w:rPr>
                <w:sz w:val="18"/>
              </w:rPr>
            </w:pPr>
            <w:r>
              <w:rPr>
                <w:spacing w:val="-5"/>
                <w:sz w:val="18"/>
              </w:rPr>
              <w:t>N/A</w:t>
            </w:r>
          </w:p>
        </w:tc>
        <w:tc>
          <w:tcPr>
            <w:tcW w:w="1027" w:type="dxa"/>
            <w:tcBorders>
              <w:top w:val="single" w:sz="4" w:space="0" w:color="002B5D"/>
              <w:bottom w:val="single" w:sz="12" w:space="0" w:color="002B5D"/>
            </w:tcBorders>
          </w:tcPr>
          <w:p>
            <w:pPr>
              <w:pStyle w:val="TableParagraph"/>
              <w:spacing w:before="90"/>
              <w:ind w:right="22"/>
              <w:jc w:val="center"/>
              <w:rPr>
                <w:sz w:val="18"/>
              </w:rPr>
            </w:pPr>
            <w:r>
              <w:rPr>
                <w:spacing w:val="-5"/>
                <w:sz w:val="18"/>
              </w:rPr>
              <w:t>N/A</w:t>
            </w:r>
          </w:p>
        </w:tc>
        <w:tc>
          <w:tcPr>
            <w:tcW w:w="810" w:type="dxa"/>
            <w:tcBorders>
              <w:top w:val="single" w:sz="4" w:space="0" w:color="002B5D"/>
              <w:bottom w:val="single" w:sz="12" w:space="0" w:color="002B5D"/>
            </w:tcBorders>
          </w:tcPr>
          <w:p>
            <w:pPr>
              <w:pStyle w:val="TableParagraph"/>
              <w:spacing w:before="90"/>
              <w:ind w:left="68" w:right="117"/>
              <w:jc w:val="center"/>
              <w:rPr>
                <w:sz w:val="18"/>
              </w:rPr>
            </w:pPr>
            <w:r>
              <w:rPr>
                <w:spacing w:val="-5"/>
                <w:sz w:val="18"/>
              </w:rPr>
              <w:t>N/A</w:t>
            </w:r>
          </w:p>
        </w:tc>
        <w:tc>
          <w:tcPr>
            <w:tcW w:w="1122" w:type="dxa"/>
            <w:tcBorders>
              <w:top w:val="single" w:sz="4" w:space="0" w:color="002B5D"/>
              <w:bottom w:val="single" w:sz="12" w:space="0" w:color="002B5D"/>
            </w:tcBorders>
          </w:tcPr>
          <w:p>
            <w:pPr>
              <w:pStyle w:val="TableParagraph"/>
              <w:spacing w:before="90"/>
              <w:ind w:left="9" w:right="5"/>
              <w:jc w:val="center"/>
              <w:rPr>
                <w:sz w:val="18"/>
              </w:rPr>
            </w:pPr>
            <w:r>
              <w:rPr>
                <w:spacing w:val="-5"/>
                <w:sz w:val="18"/>
              </w:rPr>
              <w:t>N/A</w:t>
            </w:r>
          </w:p>
        </w:tc>
      </w:tr>
      <w:tr>
        <w:trPr>
          <w:trHeight w:val="425" w:hRule="atLeast"/>
        </w:trPr>
        <w:tc>
          <w:tcPr>
            <w:tcW w:w="1234" w:type="dxa"/>
          </w:tcPr>
          <w:p>
            <w:pPr>
              <w:pStyle w:val="TableParagraph"/>
              <w:spacing w:before="14"/>
              <w:rPr>
                <w:rFonts w:ascii="Arial"/>
                <w:b/>
                <w:sz w:val="18"/>
              </w:rPr>
            </w:pPr>
          </w:p>
          <w:p>
            <w:pPr>
              <w:pStyle w:val="TableParagraph"/>
              <w:spacing w:line="183" w:lineRule="exact" w:before="1"/>
              <w:ind w:left="3" w:right="3"/>
              <w:jc w:val="center"/>
              <w:rPr>
                <w:b/>
                <w:sz w:val="18"/>
              </w:rPr>
            </w:pPr>
            <w:r>
              <w:rPr>
                <w:b/>
                <w:sz w:val="18"/>
              </w:rPr>
              <w:t>LAS</w:t>
            </w:r>
            <w:r>
              <w:rPr>
                <w:b/>
                <w:spacing w:val="-1"/>
                <w:sz w:val="18"/>
              </w:rPr>
              <w:t> </w:t>
            </w:r>
            <w:r>
              <w:rPr>
                <w:b/>
                <w:spacing w:val="-2"/>
                <w:sz w:val="18"/>
              </w:rPr>
              <w:t>PALMAS</w:t>
            </w:r>
          </w:p>
        </w:tc>
        <w:tc>
          <w:tcPr>
            <w:tcW w:w="1485" w:type="dxa"/>
          </w:tcPr>
          <w:p>
            <w:pPr>
              <w:pStyle w:val="TableParagraph"/>
              <w:spacing w:before="61"/>
              <w:ind w:left="97"/>
              <w:jc w:val="center"/>
              <w:rPr>
                <w:sz w:val="18"/>
              </w:rPr>
            </w:pPr>
            <w:r>
              <w:rPr>
                <w:spacing w:val="-2"/>
                <w:sz w:val="18"/>
              </w:rPr>
              <w:t>31/12/2022</w:t>
            </w:r>
          </w:p>
        </w:tc>
        <w:tc>
          <w:tcPr>
            <w:tcW w:w="736" w:type="dxa"/>
          </w:tcPr>
          <w:p>
            <w:pPr>
              <w:pStyle w:val="TableParagraph"/>
              <w:spacing w:before="61"/>
              <w:ind w:left="166" w:right="79"/>
              <w:jc w:val="center"/>
              <w:rPr>
                <w:sz w:val="18"/>
              </w:rPr>
            </w:pPr>
            <w:r>
              <w:rPr>
                <w:spacing w:val="-5"/>
                <w:sz w:val="18"/>
              </w:rPr>
              <w:t>46</w:t>
            </w:r>
          </w:p>
        </w:tc>
        <w:tc>
          <w:tcPr>
            <w:tcW w:w="817" w:type="dxa"/>
          </w:tcPr>
          <w:p>
            <w:pPr>
              <w:pStyle w:val="TableParagraph"/>
              <w:spacing w:before="61"/>
              <w:ind w:right="238"/>
              <w:jc w:val="right"/>
              <w:rPr>
                <w:sz w:val="18"/>
              </w:rPr>
            </w:pPr>
            <w:r>
              <w:rPr>
                <w:spacing w:val="-5"/>
                <w:sz w:val="18"/>
              </w:rPr>
              <w:t>857</w:t>
            </w:r>
          </w:p>
        </w:tc>
        <w:tc>
          <w:tcPr>
            <w:tcW w:w="796" w:type="dxa"/>
          </w:tcPr>
          <w:p>
            <w:pPr>
              <w:pStyle w:val="TableParagraph"/>
              <w:spacing w:before="61"/>
              <w:ind w:right="128"/>
              <w:jc w:val="right"/>
              <w:rPr>
                <w:sz w:val="18"/>
              </w:rPr>
            </w:pPr>
            <w:r>
              <w:rPr>
                <w:spacing w:val="-5"/>
                <w:sz w:val="18"/>
              </w:rPr>
              <w:t>833</w:t>
            </w:r>
          </w:p>
        </w:tc>
        <w:tc>
          <w:tcPr>
            <w:tcW w:w="908" w:type="dxa"/>
          </w:tcPr>
          <w:p>
            <w:pPr>
              <w:pStyle w:val="TableParagraph"/>
              <w:spacing w:before="61"/>
              <w:ind w:left="179"/>
              <w:jc w:val="center"/>
              <w:rPr>
                <w:sz w:val="18"/>
              </w:rPr>
            </w:pPr>
            <w:r>
              <w:rPr>
                <w:spacing w:val="-4"/>
                <w:sz w:val="18"/>
              </w:rPr>
              <w:t>18,9</w:t>
            </w:r>
          </w:p>
        </w:tc>
        <w:tc>
          <w:tcPr>
            <w:tcW w:w="1028" w:type="dxa"/>
          </w:tcPr>
          <w:p>
            <w:pPr>
              <w:pStyle w:val="TableParagraph"/>
              <w:spacing w:before="61"/>
              <w:ind w:left="426"/>
              <w:rPr>
                <w:sz w:val="18"/>
              </w:rPr>
            </w:pPr>
            <w:r>
              <w:rPr>
                <w:spacing w:val="-10"/>
                <w:sz w:val="18"/>
              </w:rPr>
              <w:t>5</w:t>
            </w:r>
          </w:p>
        </w:tc>
        <w:tc>
          <w:tcPr>
            <w:tcW w:w="784" w:type="dxa"/>
          </w:tcPr>
          <w:p>
            <w:pPr>
              <w:pStyle w:val="TableParagraph"/>
              <w:spacing w:before="61"/>
              <w:ind w:left="126" w:right="5"/>
              <w:jc w:val="center"/>
              <w:rPr>
                <w:sz w:val="18"/>
              </w:rPr>
            </w:pPr>
            <w:r>
              <w:rPr>
                <w:spacing w:val="-5"/>
                <w:sz w:val="18"/>
              </w:rPr>
              <w:t>N/A</w:t>
            </w:r>
          </w:p>
        </w:tc>
        <w:tc>
          <w:tcPr>
            <w:tcW w:w="1027" w:type="dxa"/>
          </w:tcPr>
          <w:p>
            <w:pPr>
              <w:pStyle w:val="TableParagraph"/>
              <w:spacing w:before="61"/>
              <w:ind w:right="22"/>
              <w:jc w:val="center"/>
              <w:rPr>
                <w:sz w:val="18"/>
              </w:rPr>
            </w:pPr>
            <w:r>
              <w:rPr>
                <w:spacing w:val="-5"/>
                <w:sz w:val="18"/>
              </w:rPr>
              <w:t>N/A</w:t>
            </w:r>
          </w:p>
        </w:tc>
        <w:tc>
          <w:tcPr>
            <w:tcW w:w="810" w:type="dxa"/>
          </w:tcPr>
          <w:p>
            <w:pPr>
              <w:pStyle w:val="TableParagraph"/>
              <w:spacing w:before="61"/>
              <w:ind w:left="68" w:right="117"/>
              <w:jc w:val="center"/>
              <w:rPr>
                <w:sz w:val="18"/>
              </w:rPr>
            </w:pPr>
            <w:r>
              <w:rPr>
                <w:spacing w:val="-5"/>
                <w:sz w:val="18"/>
              </w:rPr>
              <w:t>N/A</w:t>
            </w:r>
          </w:p>
        </w:tc>
        <w:tc>
          <w:tcPr>
            <w:tcW w:w="1122" w:type="dxa"/>
          </w:tcPr>
          <w:p>
            <w:pPr>
              <w:pStyle w:val="TableParagraph"/>
              <w:spacing w:before="61"/>
              <w:ind w:left="9" w:right="5"/>
              <w:jc w:val="center"/>
              <w:rPr>
                <w:sz w:val="18"/>
              </w:rPr>
            </w:pPr>
            <w:r>
              <w:rPr>
                <w:spacing w:val="-5"/>
                <w:sz w:val="18"/>
              </w:rPr>
              <w:t>N/A</w:t>
            </w:r>
          </w:p>
        </w:tc>
      </w:tr>
      <w:tr>
        <w:trPr>
          <w:trHeight w:val="268" w:hRule="atLeast"/>
        </w:trPr>
        <w:tc>
          <w:tcPr>
            <w:tcW w:w="1234" w:type="dxa"/>
          </w:tcPr>
          <w:p>
            <w:pPr>
              <w:pStyle w:val="TableParagraph"/>
              <w:spacing w:before="3"/>
              <w:ind w:left="2" w:right="3"/>
              <w:jc w:val="center"/>
              <w:rPr>
                <w:b/>
                <w:sz w:val="18"/>
              </w:rPr>
            </w:pPr>
            <w:r>
              <w:rPr>
                <w:b/>
                <w:sz w:val="18"/>
              </w:rPr>
              <w:t>DE</w:t>
            </w:r>
            <w:r>
              <w:rPr>
                <w:b/>
                <w:spacing w:val="-1"/>
                <w:sz w:val="18"/>
              </w:rPr>
              <w:t> </w:t>
            </w:r>
            <w:r>
              <w:rPr>
                <w:b/>
                <w:spacing w:val="-4"/>
                <w:sz w:val="18"/>
              </w:rPr>
              <w:t>GRAN</w:t>
            </w:r>
          </w:p>
        </w:tc>
        <w:tc>
          <w:tcPr>
            <w:tcW w:w="1485" w:type="dxa"/>
          </w:tcPr>
          <w:p>
            <w:pPr>
              <w:pStyle w:val="TableParagraph"/>
              <w:spacing w:line="203" w:lineRule="exact"/>
              <w:ind w:left="97"/>
              <w:jc w:val="center"/>
              <w:rPr>
                <w:sz w:val="18"/>
              </w:rPr>
            </w:pPr>
            <w:r>
              <w:rPr>
                <w:sz w:val="18"/>
              </w:rPr>
              <mc:AlternateContent>
                <mc:Choice Requires="wps">
                  <w:drawing>
                    <wp:anchor distT="0" distB="0" distL="0" distR="0" allowOverlap="1" layoutInCell="1" locked="0" behindDoc="1" simplePos="0" relativeHeight="474310144">
                      <wp:simplePos x="0" y="0"/>
                      <wp:positionH relativeFrom="column">
                        <wp:posOffset>0</wp:posOffset>
                      </wp:positionH>
                      <wp:positionV relativeFrom="paragraph">
                        <wp:posOffset>-60117</wp:posOffset>
                      </wp:positionV>
                      <wp:extent cx="6047105" cy="6350"/>
                      <wp:effectExtent l="0" t="0" r="0" b="0"/>
                      <wp:wrapNone/>
                      <wp:docPr id="321" name="Group 321"/>
                      <wp:cNvGraphicFramePr>
                        <a:graphicFrameLocks/>
                      </wp:cNvGraphicFramePr>
                      <a:graphic>
                        <a:graphicData uri="http://schemas.microsoft.com/office/word/2010/wordprocessingGroup">
                          <wpg:wgp>
                            <wpg:cNvPr id="321" name="Group 321"/>
                            <wpg:cNvGrpSpPr/>
                            <wpg:grpSpPr>
                              <a:xfrm>
                                <a:off x="0" y="0"/>
                                <a:ext cx="6047105" cy="6350"/>
                                <a:chExt cx="6047105" cy="6350"/>
                              </a:xfrm>
                            </wpg:grpSpPr>
                            <wps:wsp>
                              <wps:cNvPr id="322" name="Graphic 322"/>
                              <wps:cNvSpPr/>
                              <wps:spPr>
                                <a:xfrm>
                                  <a:off x="0" y="12"/>
                                  <a:ext cx="6047105" cy="6350"/>
                                </a:xfrm>
                                <a:custGeom>
                                  <a:avLst/>
                                  <a:gdLst/>
                                  <a:ahLst/>
                                  <a:cxnLst/>
                                  <a:rect l="l" t="t" r="r" b="b"/>
                                  <a:pathLst>
                                    <a:path w="6047105" h="6350">
                                      <a:moveTo>
                                        <a:pt x="1007668" y="0"/>
                                      </a:moveTo>
                                      <a:lnTo>
                                        <a:pt x="0" y="0"/>
                                      </a:lnTo>
                                      <a:lnTo>
                                        <a:pt x="0" y="6083"/>
                                      </a:lnTo>
                                      <a:lnTo>
                                        <a:pt x="1007668" y="6083"/>
                                      </a:lnTo>
                                      <a:lnTo>
                                        <a:pt x="1007668" y="0"/>
                                      </a:lnTo>
                                      <a:close/>
                                    </a:path>
                                    <a:path w="6047105" h="6350">
                                      <a:moveTo>
                                        <a:pt x="1013777" y="0"/>
                                      </a:moveTo>
                                      <a:lnTo>
                                        <a:pt x="1007694" y="0"/>
                                      </a:lnTo>
                                      <a:lnTo>
                                        <a:pt x="1007694" y="6083"/>
                                      </a:lnTo>
                                      <a:lnTo>
                                        <a:pt x="1013777" y="6083"/>
                                      </a:lnTo>
                                      <a:lnTo>
                                        <a:pt x="1013777" y="0"/>
                                      </a:lnTo>
                                      <a:close/>
                                    </a:path>
                                    <a:path w="6047105" h="6350">
                                      <a:moveTo>
                                        <a:pt x="1937321" y="0"/>
                                      </a:moveTo>
                                      <a:lnTo>
                                        <a:pt x="1931238" y="0"/>
                                      </a:lnTo>
                                      <a:lnTo>
                                        <a:pt x="1408506" y="0"/>
                                      </a:lnTo>
                                      <a:lnTo>
                                        <a:pt x="1402410" y="0"/>
                                      </a:lnTo>
                                      <a:lnTo>
                                        <a:pt x="1013790" y="0"/>
                                      </a:lnTo>
                                      <a:lnTo>
                                        <a:pt x="1013790" y="6083"/>
                                      </a:lnTo>
                                      <a:lnTo>
                                        <a:pt x="1402410" y="6083"/>
                                      </a:lnTo>
                                      <a:lnTo>
                                        <a:pt x="1408506" y="6083"/>
                                      </a:lnTo>
                                      <a:lnTo>
                                        <a:pt x="1931238" y="6083"/>
                                      </a:lnTo>
                                      <a:lnTo>
                                        <a:pt x="1937321" y="6083"/>
                                      </a:lnTo>
                                      <a:lnTo>
                                        <a:pt x="1937321" y="0"/>
                                      </a:lnTo>
                                      <a:close/>
                                    </a:path>
                                    <a:path w="6047105" h="6350">
                                      <a:moveTo>
                                        <a:pt x="2440495" y="0"/>
                                      </a:moveTo>
                                      <a:lnTo>
                                        <a:pt x="2434463" y="0"/>
                                      </a:lnTo>
                                      <a:lnTo>
                                        <a:pt x="1937334" y="0"/>
                                      </a:lnTo>
                                      <a:lnTo>
                                        <a:pt x="1937334" y="6083"/>
                                      </a:lnTo>
                                      <a:lnTo>
                                        <a:pt x="2434412" y="6083"/>
                                      </a:lnTo>
                                      <a:lnTo>
                                        <a:pt x="2440495" y="6083"/>
                                      </a:lnTo>
                                      <a:lnTo>
                                        <a:pt x="2440495" y="0"/>
                                      </a:lnTo>
                                      <a:close/>
                                    </a:path>
                                    <a:path w="6047105" h="6350">
                                      <a:moveTo>
                                        <a:pt x="2995231" y="0"/>
                                      </a:moveTo>
                                      <a:lnTo>
                                        <a:pt x="2989148" y="0"/>
                                      </a:lnTo>
                                      <a:lnTo>
                                        <a:pt x="2440508" y="0"/>
                                      </a:lnTo>
                                      <a:lnTo>
                                        <a:pt x="2440508" y="6083"/>
                                      </a:lnTo>
                                      <a:lnTo>
                                        <a:pt x="2989148" y="6083"/>
                                      </a:lnTo>
                                      <a:lnTo>
                                        <a:pt x="2995231" y="6083"/>
                                      </a:lnTo>
                                      <a:lnTo>
                                        <a:pt x="2995231" y="0"/>
                                      </a:lnTo>
                                      <a:close/>
                                    </a:path>
                                    <a:path w="6047105" h="6350">
                                      <a:moveTo>
                                        <a:pt x="3632263" y="0"/>
                                      </a:moveTo>
                                      <a:lnTo>
                                        <a:pt x="3626180" y="0"/>
                                      </a:lnTo>
                                      <a:lnTo>
                                        <a:pt x="2995244" y="0"/>
                                      </a:lnTo>
                                      <a:lnTo>
                                        <a:pt x="2995244" y="6083"/>
                                      </a:lnTo>
                                      <a:lnTo>
                                        <a:pt x="3626180" y="6083"/>
                                      </a:lnTo>
                                      <a:lnTo>
                                        <a:pt x="3632263" y="6083"/>
                                      </a:lnTo>
                                      <a:lnTo>
                                        <a:pt x="3632263" y="0"/>
                                      </a:lnTo>
                                      <a:close/>
                                    </a:path>
                                    <a:path w="6047105" h="6350">
                                      <a:moveTo>
                                        <a:pt x="3730117" y="0"/>
                                      </a:moveTo>
                                      <a:lnTo>
                                        <a:pt x="3632276" y="0"/>
                                      </a:lnTo>
                                      <a:lnTo>
                                        <a:pt x="3632276" y="6083"/>
                                      </a:lnTo>
                                      <a:lnTo>
                                        <a:pt x="3730117" y="6083"/>
                                      </a:lnTo>
                                      <a:lnTo>
                                        <a:pt x="3730117" y="0"/>
                                      </a:lnTo>
                                      <a:close/>
                                    </a:path>
                                    <a:path w="6047105" h="6350">
                                      <a:moveTo>
                                        <a:pt x="4181284" y="0"/>
                                      </a:moveTo>
                                      <a:lnTo>
                                        <a:pt x="4175201" y="0"/>
                                      </a:lnTo>
                                      <a:lnTo>
                                        <a:pt x="3736289" y="0"/>
                                      </a:lnTo>
                                      <a:lnTo>
                                        <a:pt x="3730193" y="0"/>
                                      </a:lnTo>
                                      <a:lnTo>
                                        <a:pt x="3730193" y="6083"/>
                                      </a:lnTo>
                                      <a:lnTo>
                                        <a:pt x="3736289" y="6083"/>
                                      </a:lnTo>
                                      <a:lnTo>
                                        <a:pt x="4175201" y="6083"/>
                                      </a:lnTo>
                                      <a:lnTo>
                                        <a:pt x="4181284" y="6083"/>
                                      </a:lnTo>
                                      <a:lnTo>
                                        <a:pt x="4181284" y="0"/>
                                      </a:lnTo>
                                      <a:close/>
                                    </a:path>
                                    <a:path w="6047105" h="6350">
                                      <a:moveTo>
                                        <a:pt x="6046927" y="0"/>
                                      </a:moveTo>
                                      <a:lnTo>
                                        <a:pt x="6046927" y="0"/>
                                      </a:lnTo>
                                      <a:lnTo>
                                        <a:pt x="4181297" y="0"/>
                                      </a:lnTo>
                                      <a:lnTo>
                                        <a:pt x="4181297" y="6083"/>
                                      </a:lnTo>
                                      <a:lnTo>
                                        <a:pt x="6046927" y="6083"/>
                                      </a:lnTo>
                                      <a:lnTo>
                                        <a:pt x="6046927" y="0"/>
                                      </a:lnTo>
                                      <a:close/>
                                    </a:path>
                                  </a:pathLst>
                                </a:custGeom>
                                <a:solidFill>
                                  <a:srgbClr val="002B5D"/>
                                </a:solidFill>
                              </wps:spPr>
                              <wps:bodyPr wrap="square" lIns="0" tIns="0" rIns="0" bIns="0" rtlCol="0">
                                <a:prstTxWarp prst="textNoShape">
                                  <a:avLst/>
                                </a:prstTxWarp>
                                <a:noAutofit/>
                              </wps:bodyPr>
                            </wps:wsp>
                          </wpg:wgp>
                        </a:graphicData>
                      </a:graphic>
                    </wp:anchor>
                  </w:drawing>
                </mc:Choice>
                <mc:Fallback>
                  <w:pict>
                    <v:group style="position:absolute;margin-left:0pt;margin-top:-4.733633pt;width:476.15pt;height:.5pt;mso-position-horizontal-relative:column;mso-position-vertical-relative:paragraph;z-index:-29006336" id="docshapegroup274" coordorigin="0,-95" coordsize="9523,10">
                      <v:shape style="position:absolute;left:0;top:-95;width:9523;height:10" id="docshape275" coordorigin="0,-95" coordsize="9523,10" path="m1587,-95l0,-95,0,-85,1587,-85,1587,-95xm1597,-95l1587,-95,1587,-85,1597,-85,1597,-95xm3051,-95l3041,-95,2218,-95,2209,-95,1597,-95,1597,-85,2209,-85,2218,-85,3041,-85,3051,-85,3051,-95xm3843,-95l3834,-95,3834,-95,3051,-95,3051,-85,3834,-85,3834,-85,3843,-85,3843,-95xm4717,-95l4707,-95,3843,-95,3843,-85,4707,-85,4717,-85,4717,-95xm5720,-95l5711,-95,4717,-95,4717,-85,5711,-85,5720,-85,5720,-95xm5874,-95l5720,-95,5720,-85,5874,-85,5874,-95xm6585,-95l6575,-95,5884,-95,5874,-95,5874,-85,5884,-85,6575,-85,6585,-85,6585,-95xm9523,-95l8400,-95,8390,-95,8390,-95,7547,-95,7538,-95,6585,-95,6585,-85,7538,-85,7547,-85,8390,-85,8390,-85,8400,-85,9523,-85,9523,-95xe" filled="true" fillcolor="#002b5d" stroked="false">
                        <v:path arrowok="t"/>
                        <v:fill type="solid"/>
                      </v:shape>
                      <w10:wrap type="none"/>
                    </v:group>
                  </w:pict>
                </mc:Fallback>
              </mc:AlternateContent>
            </w:r>
            <w:r>
              <w:rPr>
                <w:spacing w:val="-2"/>
                <w:sz w:val="18"/>
              </w:rPr>
              <w:t>31/12/2023</w:t>
            </w:r>
          </w:p>
        </w:tc>
        <w:tc>
          <w:tcPr>
            <w:tcW w:w="736" w:type="dxa"/>
          </w:tcPr>
          <w:p>
            <w:pPr>
              <w:pStyle w:val="TableParagraph"/>
              <w:spacing w:line="203" w:lineRule="exact"/>
              <w:ind w:left="166" w:right="79"/>
              <w:jc w:val="center"/>
              <w:rPr>
                <w:sz w:val="18"/>
              </w:rPr>
            </w:pPr>
            <w:r>
              <w:rPr>
                <w:spacing w:val="-5"/>
                <w:sz w:val="18"/>
              </w:rPr>
              <w:t>46</w:t>
            </w:r>
          </w:p>
        </w:tc>
        <w:tc>
          <w:tcPr>
            <w:tcW w:w="817" w:type="dxa"/>
          </w:tcPr>
          <w:p>
            <w:pPr>
              <w:pStyle w:val="TableParagraph"/>
              <w:spacing w:line="203" w:lineRule="exact"/>
              <w:ind w:right="238"/>
              <w:jc w:val="right"/>
              <w:rPr>
                <w:sz w:val="18"/>
              </w:rPr>
            </w:pPr>
            <w:r>
              <w:rPr>
                <w:spacing w:val="-5"/>
                <w:sz w:val="18"/>
              </w:rPr>
              <w:t>810</w:t>
            </w:r>
          </w:p>
        </w:tc>
        <w:tc>
          <w:tcPr>
            <w:tcW w:w="796" w:type="dxa"/>
          </w:tcPr>
          <w:p>
            <w:pPr>
              <w:pStyle w:val="TableParagraph"/>
              <w:spacing w:line="203" w:lineRule="exact"/>
              <w:ind w:right="128"/>
              <w:jc w:val="right"/>
              <w:rPr>
                <w:sz w:val="18"/>
              </w:rPr>
            </w:pPr>
            <w:r>
              <w:rPr>
                <w:spacing w:val="-5"/>
                <w:sz w:val="18"/>
              </w:rPr>
              <w:t>832</w:t>
            </w:r>
          </w:p>
        </w:tc>
        <w:tc>
          <w:tcPr>
            <w:tcW w:w="908" w:type="dxa"/>
          </w:tcPr>
          <w:p>
            <w:pPr>
              <w:pStyle w:val="TableParagraph"/>
              <w:spacing w:line="203" w:lineRule="exact"/>
              <w:ind w:left="179"/>
              <w:jc w:val="center"/>
              <w:rPr>
                <w:sz w:val="18"/>
              </w:rPr>
            </w:pPr>
            <w:r>
              <w:rPr>
                <w:spacing w:val="-4"/>
                <w:sz w:val="18"/>
              </w:rPr>
              <w:t>21,5</w:t>
            </w:r>
          </w:p>
        </w:tc>
        <w:tc>
          <w:tcPr>
            <w:tcW w:w="1028" w:type="dxa"/>
          </w:tcPr>
          <w:p>
            <w:pPr>
              <w:pStyle w:val="TableParagraph"/>
              <w:spacing w:line="203" w:lineRule="exact"/>
              <w:ind w:left="426"/>
              <w:rPr>
                <w:sz w:val="18"/>
              </w:rPr>
            </w:pPr>
            <w:r>
              <w:rPr>
                <w:spacing w:val="-10"/>
                <w:sz w:val="18"/>
              </w:rPr>
              <w:t>5</w:t>
            </w:r>
          </w:p>
        </w:tc>
        <w:tc>
          <w:tcPr>
            <w:tcW w:w="784" w:type="dxa"/>
          </w:tcPr>
          <w:p>
            <w:pPr>
              <w:pStyle w:val="TableParagraph"/>
              <w:spacing w:line="203" w:lineRule="exact"/>
              <w:ind w:left="126" w:right="5"/>
              <w:jc w:val="center"/>
              <w:rPr>
                <w:sz w:val="18"/>
              </w:rPr>
            </w:pPr>
            <w:r>
              <w:rPr>
                <w:spacing w:val="-5"/>
                <w:sz w:val="18"/>
              </w:rPr>
              <w:t>N/A</w:t>
            </w:r>
          </w:p>
        </w:tc>
        <w:tc>
          <w:tcPr>
            <w:tcW w:w="1027" w:type="dxa"/>
          </w:tcPr>
          <w:p>
            <w:pPr>
              <w:pStyle w:val="TableParagraph"/>
              <w:spacing w:line="203" w:lineRule="exact"/>
              <w:ind w:right="22"/>
              <w:jc w:val="center"/>
              <w:rPr>
                <w:sz w:val="18"/>
              </w:rPr>
            </w:pPr>
            <w:r>
              <w:rPr>
                <w:spacing w:val="-5"/>
                <w:sz w:val="18"/>
              </w:rPr>
              <w:t>N/A</w:t>
            </w:r>
          </w:p>
        </w:tc>
        <w:tc>
          <w:tcPr>
            <w:tcW w:w="810" w:type="dxa"/>
          </w:tcPr>
          <w:p>
            <w:pPr>
              <w:pStyle w:val="TableParagraph"/>
              <w:spacing w:line="203" w:lineRule="exact"/>
              <w:ind w:left="68" w:right="117"/>
              <w:jc w:val="center"/>
              <w:rPr>
                <w:sz w:val="18"/>
              </w:rPr>
            </w:pPr>
            <w:r>
              <w:rPr>
                <w:spacing w:val="-5"/>
                <w:sz w:val="18"/>
              </w:rPr>
              <w:t>N/A</w:t>
            </w:r>
          </w:p>
        </w:tc>
        <w:tc>
          <w:tcPr>
            <w:tcW w:w="1122" w:type="dxa"/>
          </w:tcPr>
          <w:p>
            <w:pPr>
              <w:pStyle w:val="TableParagraph"/>
              <w:spacing w:line="203" w:lineRule="exact"/>
              <w:ind w:left="9" w:right="5"/>
              <w:jc w:val="center"/>
              <w:rPr>
                <w:sz w:val="18"/>
              </w:rPr>
            </w:pPr>
            <w:r>
              <w:rPr>
                <w:spacing w:val="-5"/>
                <w:sz w:val="18"/>
              </w:rPr>
              <w:t>N/A</w:t>
            </w:r>
          </w:p>
        </w:tc>
      </w:tr>
      <w:tr>
        <w:trPr>
          <w:trHeight w:val="122" w:hRule="atLeast"/>
        </w:trPr>
        <w:tc>
          <w:tcPr>
            <w:tcW w:w="10747" w:type="dxa"/>
            <w:gridSpan w:val="11"/>
          </w:tcPr>
          <w:p>
            <w:pPr>
              <w:pStyle w:val="TableParagraph"/>
              <w:spacing w:line="102" w:lineRule="exact"/>
              <w:ind w:left="276"/>
              <w:rPr>
                <w:b/>
                <w:sz w:val="18"/>
              </w:rPr>
            </w:pPr>
            <w:r>
              <w:rPr>
                <w:b/>
                <w:sz w:val="18"/>
              </w:rPr>
              <mc:AlternateContent>
                <mc:Choice Requires="wps">
                  <w:drawing>
                    <wp:anchor distT="0" distB="0" distL="0" distR="0" allowOverlap="1" layoutInCell="1" locked="0" behindDoc="1" simplePos="0" relativeHeight="474310656">
                      <wp:simplePos x="0" y="0"/>
                      <wp:positionH relativeFrom="column">
                        <wp:posOffset>783640</wp:posOffset>
                      </wp:positionH>
                      <wp:positionV relativeFrom="paragraph">
                        <wp:posOffset>-3047</wp:posOffset>
                      </wp:positionV>
                      <wp:extent cx="6047105" cy="6350"/>
                      <wp:effectExtent l="0" t="0" r="0" b="0"/>
                      <wp:wrapNone/>
                      <wp:docPr id="323" name="Group 323"/>
                      <wp:cNvGraphicFramePr>
                        <a:graphicFrameLocks/>
                      </wp:cNvGraphicFramePr>
                      <a:graphic>
                        <a:graphicData uri="http://schemas.microsoft.com/office/word/2010/wordprocessingGroup">
                          <wpg:wgp>
                            <wpg:cNvPr id="323" name="Group 323"/>
                            <wpg:cNvGrpSpPr/>
                            <wpg:grpSpPr>
                              <a:xfrm>
                                <a:off x="0" y="0"/>
                                <a:ext cx="6047105" cy="6350"/>
                                <a:chExt cx="6047105" cy="6350"/>
                              </a:xfrm>
                            </wpg:grpSpPr>
                            <wps:wsp>
                              <wps:cNvPr id="324" name="Graphic 324"/>
                              <wps:cNvSpPr/>
                              <wps:spPr>
                                <a:xfrm>
                                  <a:off x="0" y="12"/>
                                  <a:ext cx="6047105" cy="6350"/>
                                </a:xfrm>
                                <a:custGeom>
                                  <a:avLst/>
                                  <a:gdLst/>
                                  <a:ahLst/>
                                  <a:cxnLst/>
                                  <a:rect l="l" t="t" r="r" b="b"/>
                                  <a:pathLst>
                                    <a:path w="6047105" h="6350">
                                      <a:moveTo>
                                        <a:pt x="1007668" y="0"/>
                                      </a:moveTo>
                                      <a:lnTo>
                                        <a:pt x="0" y="0"/>
                                      </a:lnTo>
                                      <a:lnTo>
                                        <a:pt x="0" y="6083"/>
                                      </a:lnTo>
                                      <a:lnTo>
                                        <a:pt x="1007668" y="6083"/>
                                      </a:lnTo>
                                      <a:lnTo>
                                        <a:pt x="1007668" y="0"/>
                                      </a:lnTo>
                                      <a:close/>
                                    </a:path>
                                    <a:path w="6047105" h="6350">
                                      <a:moveTo>
                                        <a:pt x="1013777" y="0"/>
                                      </a:moveTo>
                                      <a:lnTo>
                                        <a:pt x="1007694" y="0"/>
                                      </a:lnTo>
                                      <a:lnTo>
                                        <a:pt x="1007694" y="6083"/>
                                      </a:lnTo>
                                      <a:lnTo>
                                        <a:pt x="1013777" y="6083"/>
                                      </a:lnTo>
                                      <a:lnTo>
                                        <a:pt x="1013777" y="0"/>
                                      </a:lnTo>
                                      <a:close/>
                                    </a:path>
                                    <a:path w="6047105" h="6350">
                                      <a:moveTo>
                                        <a:pt x="1937321" y="0"/>
                                      </a:moveTo>
                                      <a:lnTo>
                                        <a:pt x="1931238" y="0"/>
                                      </a:lnTo>
                                      <a:lnTo>
                                        <a:pt x="1408506" y="0"/>
                                      </a:lnTo>
                                      <a:lnTo>
                                        <a:pt x="1402410" y="0"/>
                                      </a:lnTo>
                                      <a:lnTo>
                                        <a:pt x="1013790" y="0"/>
                                      </a:lnTo>
                                      <a:lnTo>
                                        <a:pt x="1013790" y="6083"/>
                                      </a:lnTo>
                                      <a:lnTo>
                                        <a:pt x="1402410" y="6083"/>
                                      </a:lnTo>
                                      <a:lnTo>
                                        <a:pt x="1408506" y="6083"/>
                                      </a:lnTo>
                                      <a:lnTo>
                                        <a:pt x="1931238" y="6083"/>
                                      </a:lnTo>
                                      <a:lnTo>
                                        <a:pt x="1937321" y="6083"/>
                                      </a:lnTo>
                                      <a:lnTo>
                                        <a:pt x="1937321" y="0"/>
                                      </a:lnTo>
                                      <a:close/>
                                    </a:path>
                                    <a:path w="6047105" h="6350">
                                      <a:moveTo>
                                        <a:pt x="2440495" y="0"/>
                                      </a:moveTo>
                                      <a:lnTo>
                                        <a:pt x="2434463" y="0"/>
                                      </a:lnTo>
                                      <a:lnTo>
                                        <a:pt x="1937334" y="0"/>
                                      </a:lnTo>
                                      <a:lnTo>
                                        <a:pt x="1937334" y="6083"/>
                                      </a:lnTo>
                                      <a:lnTo>
                                        <a:pt x="2434412" y="6083"/>
                                      </a:lnTo>
                                      <a:lnTo>
                                        <a:pt x="2440495" y="6083"/>
                                      </a:lnTo>
                                      <a:lnTo>
                                        <a:pt x="2440495" y="0"/>
                                      </a:lnTo>
                                      <a:close/>
                                    </a:path>
                                    <a:path w="6047105" h="6350">
                                      <a:moveTo>
                                        <a:pt x="2995231" y="0"/>
                                      </a:moveTo>
                                      <a:lnTo>
                                        <a:pt x="2989148" y="0"/>
                                      </a:lnTo>
                                      <a:lnTo>
                                        <a:pt x="2440508" y="0"/>
                                      </a:lnTo>
                                      <a:lnTo>
                                        <a:pt x="2440508" y="6083"/>
                                      </a:lnTo>
                                      <a:lnTo>
                                        <a:pt x="2989148" y="6083"/>
                                      </a:lnTo>
                                      <a:lnTo>
                                        <a:pt x="2995231" y="6083"/>
                                      </a:lnTo>
                                      <a:lnTo>
                                        <a:pt x="2995231" y="0"/>
                                      </a:lnTo>
                                      <a:close/>
                                    </a:path>
                                    <a:path w="6047105" h="6350">
                                      <a:moveTo>
                                        <a:pt x="3632263" y="0"/>
                                      </a:moveTo>
                                      <a:lnTo>
                                        <a:pt x="3626180" y="0"/>
                                      </a:lnTo>
                                      <a:lnTo>
                                        <a:pt x="2995244" y="0"/>
                                      </a:lnTo>
                                      <a:lnTo>
                                        <a:pt x="2995244" y="6083"/>
                                      </a:lnTo>
                                      <a:lnTo>
                                        <a:pt x="3626180" y="6083"/>
                                      </a:lnTo>
                                      <a:lnTo>
                                        <a:pt x="3632263" y="6083"/>
                                      </a:lnTo>
                                      <a:lnTo>
                                        <a:pt x="3632263" y="0"/>
                                      </a:lnTo>
                                      <a:close/>
                                    </a:path>
                                    <a:path w="6047105" h="6350">
                                      <a:moveTo>
                                        <a:pt x="3730117" y="0"/>
                                      </a:moveTo>
                                      <a:lnTo>
                                        <a:pt x="3632276" y="0"/>
                                      </a:lnTo>
                                      <a:lnTo>
                                        <a:pt x="3632276" y="6083"/>
                                      </a:lnTo>
                                      <a:lnTo>
                                        <a:pt x="3730117" y="6083"/>
                                      </a:lnTo>
                                      <a:lnTo>
                                        <a:pt x="3730117" y="0"/>
                                      </a:lnTo>
                                      <a:close/>
                                    </a:path>
                                    <a:path w="6047105" h="6350">
                                      <a:moveTo>
                                        <a:pt x="4181284" y="0"/>
                                      </a:moveTo>
                                      <a:lnTo>
                                        <a:pt x="4175201" y="0"/>
                                      </a:lnTo>
                                      <a:lnTo>
                                        <a:pt x="3736289" y="0"/>
                                      </a:lnTo>
                                      <a:lnTo>
                                        <a:pt x="3730193" y="0"/>
                                      </a:lnTo>
                                      <a:lnTo>
                                        <a:pt x="3730193" y="6083"/>
                                      </a:lnTo>
                                      <a:lnTo>
                                        <a:pt x="3736289" y="6083"/>
                                      </a:lnTo>
                                      <a:lnTo>
                                        <a:pt x="4175201" y="6083"/>
                                      </a:lnTo>
                                      <a:lnTo>
                                        <a:pt x="4181284" y="6083"/>
                                      </a:lnTo>
                                      <a:lnTo>
                                        <a:pt x="4181284" y="0"/>
                                      </a:lnTo>
                                      <a:close/>
                                    </a:path>
                                    <a:path w="6047105" h="6350">
                                      <a:moveTo>
                                        <a:pt x="6046927" y="0"/>
                                      </a:moveTo>
                                      <a:lnTo>
                                        <a:pt x="6046927" y="0"/>
                                      </a:lnTo>
                                      <a:lnTo>
                                        <a:pt x="4181297" y="0"/>
                                      </a:lnTo>
                                      <a:lnTo>
                                        <a:pt x="4181297" y="6083"/>
                                      </a:lnTo>
                                      <a:lnTo>
                                        <a:pt x="6046927" y="6083"/>
                                      </a:lnTo>
                                      <a:lnTo>
                                        <a:pt x="6046927" y="0"/>
                                      </a:lnTo>
                                      <a:close/>
                                    </a:path>
                                  </a:pathLst>
                                </a:custGeom>
                                <a:solidFill>
                                  <a:srgbClr val="002B5D"/>
                                </a:solidFill>
                              </wps:spPr>
                              <wps:bodyPr wrap="square" lIns="0" tIns="0" rIns="0" bIns="0" rtlCol="0">
                                <a:prstTxWarp prst="textNoShape">
                                  <a:avLst/>
                                </a:prstTxWarp>
                                <a:noAutofit/>
                              </wps:bodyPr>
                            </wps:wsp>
                          </wpg:wgp>
                        </a:graphicData>
                      </a:graphic>
                    </wp:anchor>
                  </w:drawing>
                </mc:Choice>
                <mc:Fallback>
                  <w:pict>
                    <v:group style="position:absolute;margin-left:61.703999pt;margin-top:-.23999pt;width:476.15pt;height:.5pt;mso-position-horizontal-relative:column;mso-position-vertical-relative:paragraph;z-index:-29005824" id="docshapegroup276" coordorigin="1234,-5" coordsize="9523,10">
                      <v:shape style="position:absolute;left:1234;top:-5;width:9523;height:10" id="docshape277" coordorigin="1234,-5" coordsize="9523,10" path="m2821,-5l1234,-5,1234,5,2821,5,2821,-5xm2831,-5l2821,-5,2821,5,2831,5,2831,-5xm4285,-5l4275,-5,3452,-5,3443,-5,2831,-5,2831,5,3443,5,3452,5,4275,5,4285,5,4285,-5xm5077,-5l5068,-5,5068,-5,4285,-5,4285,5,5068,5,5068,5,5077,5,5077,-5xm5951,-5l5941,-5,5077,-5,5077,5,5941,5,5951,5,5951,-5xm6954,-5l6945,-5,5951,-5,5951,5,6945,5,6954,5,6954,-5xm7108,-5l6954,-5,6954,5,7108,5,7108,-5xm7819,-5l7809,-5,7118,-5,7108,-5,7108,5,7118,5,7809,5,7819,5,7819,-5xm10757,-5l9634,-5,9624,-5,9624,-5,8781,-5,8772,-5,7819,-5,7819,5,8772,5,8781,5,9624,5,9624,5,9634,5,10757,5,10757,-5xe" filled="true" fillcolor="#002b5d" stroked="false">
                        <v:path arrowok="t"/>
                        <v:fill type="solid"/>
                      </v:shape>
                      <w10:wrap type="none"/>
                    </v:group>
                  </w:pict>
                </mc:Fallback>
              </mc:AlternateContent>
            </w:r>
            <w:r>
              <w:rPr>
                <w:b/>
                <w:spacing w:val="-2"/>
                <w:sz w:val="18"/>
              </w:rPr>
              <w:t>CANARIA</w:t>
            </w:r>
          </w:p>
        </w:tc>
      </w:tr>
      <w:tr>
        <w:trPr>
          <w:trHeight w:val="246" w:hRule="atLeast"/>
        </w:trPr>
        <w:tc>
          <w:tcPr>
            <w:tcW w:w="1234" w:type="dxa"/>
            <w:tcBorders>
              <w:bottom w:val="single" w:sz="12" w:space="0" w:color="002B5D"/>
            </w:tcBorders>
          </w:tcPr>
          <w:p>
            <w:pPr>
              <w:pStyle w:val="TableParagraph"/>
              <w:rPr>
                <w:rFonts w:ascii="Times New Roman"/>
                <w:sz w:val="16"/>
              </w:rPr>
            </w:pPr>
          </w:p>
        </w:tc>
        <w:tc>
          <w:tcPr>
            <w:tcW w:w="1485" w:type="dxa"/>
            <w:tcBorders>
              <w:bottom w:val="single" w:sz="12" w:space="0" w:color="002B5D"/>
            </w:tcBorders>
          </w:tcPr>
          <w:p>
            <w:pPr>
              <w:pStyle w:val="TableParagraph"/>
              <w:spacing w:line="180" w:lineRule="exact"/>
              <w:ind w:left="97"/>
              <w:jc w:val="center"/>
              <w:rPr>
                <w:sz w:val="18"/>
              </w:rPr>
            </w:pPr>
            <w:r>
              <w:rPr>
                <w:spacing w:val="-2"/>
                <w:sz w:val="18"/>
              </w:rPr>
              <w:t>31/12/2024</w:t>
            </w:r>
          </w:p>
        </w:tc>
        <w:tc>
          <w:tcPr>
            <w:tcW w:w="736" w:type="dxa"/>
            <w:tcBorders>
              <w:bottom w:val="single" w:sz="12" w:space="0" w:color="002B5D"/>
            </w:tcBorders>
          </w:tcPr>
          <w:p>
            <w:pPr>
              <w:pStyle w:val="TableParagraph"/>
              <w:spacing w:line="180" w:lineRule="exact"/>
              <w:ind w:left="166" w:right="79"/>
              <w:jc w:val="center"/>
              <w:rPr>
                <w:sz w:val="18"/>
              </w:rPr>
            </w:pPr>
            <w:r>
              <w:rPr>
                <w:spacing w:val="-5"/>
                <w:sz w:val="18"/>
              </w:rPr>
              <w:t>46</w:t>
            </w:r>
          </w:p>
        </w:tc>
        <w:tc>
          <w:tcPr>
            <w:tcW w:w="817" w:type="dxa"/>
            <w:tcBorders>
              <w:bottom w:val="single" w:sz="12" w:space="0" w:color="002B5D"/>
            </w:tcBorders>
          </w:tcPr>
          <w:p>
            <w:pPr>
              <w:pStyle w:val="TableParagraph"/>
              <w:spacing w:line="180" w:lineRule="exact"/>
              <w:ind w:right="238"/>
              <w:jc w:val="right"/>
              <w:rPr>
                <w:sz w:val="18"/>
              </w:rPr>
            </w:pPr>
            <w:r>
              <w:rPr>
                <w:spacing w:val="-5"/>
                <w:sz w:val="18"/>
              </w:rPr>
              <w:t>810</w:t>
            </w:r>
          </w:p>
        </w:tc>
        <w:tc>
          <w:tcPr>
            <w:tcW w:w="796" w:type="dxa"/>
            <w:tcBorders>
              <w:bottom w:val="single" w:sz="12" w:space="0" w:color="002B5D"/>
            </w:tcBorders>
          </w:tcPr>
          <w:p>
            <w:pPr>
              <w:pStyle w:val="TableParagraph"/>
              <w:spacing w:line="180" w:lineRule="exact"/>
              <w:ind w:right="128"/>
              <w:jc w:val="right"/>
              <w:rPr>
                <w:sz w:val="18"/>
              </w:rPr>
            </w:pPr>
            <w:r>
              <w:rPr>
                <w:spacing w:val="-5"/>
                <w:sz w:val="18"/>
              </w:rPr>
              <w:t>836</w:t>
            </w:r>
          </w:p>
        </w:tc>
        <w:tc>
          <w:tcPr>
            <w:tcW w:w="908" w:type="dxa"/>
            <w:tcBorders>
              <w:bottom w:val="single" w:sz="12" w:space="0" w:color="002B5D"/>
            </w:tcBorders>
          </w:tcPr>
          <w:p>
            <w:pPr>
              <w:pStyle w:val="TableParagraph"/>
              <w:spacing w:line="180" w:lineRule="exact"/>
              <w:ind w:left="179"/>
              <w:jc w:val="center"/>
              <w:rPr>
                <w:sz w:val="18"/>
              </w:rPr>
            </w:pPr>
            <w:r>
              <w:rPr>
                <w:spacing w:val="-4"/>
                <w:sz w:val="18"/>
              </w:rPr>
              <w:t>22,2</w:t>
            </w:r>
          </w:p>
        </w:tc>
        <w:tc>
          <w:tcPr>
            <w:tcW w:w="1028" w:type="dxa"/>
            <w:tcBorders>
              <w:bottom w:val="single" w:sz="12" w:space="0" w:color="002B5D"/>
            </w:tcBorders>
          </w:tcPr>
          <w:p>
            <w:pPr>
              <w:pStyle w:val="TableParagraph"/>
              <w:spacing w:line="180" w:lineRule="exact"/>
              <w:ind w:left="426"/>
              <w:rPr>
                <w:sz w:val="18"/>
              </w:rPr>
            </w:pPr>
            <w:r>
              <w:rPr>
                <w:spacing w:val="-10"/>
                <w:sz w:val="18"/>
              </w:rPr>
              <w:t>5</w:t>
            </w:r>
          </w:p>
        </w:tc>
        <w:tc>
          <w:tcPr>
            <w:tcW w:w="784" w:type="dxa"/>
            <w:tcBorders>
              <w:bottom w:val="single" w:sz="12" w:space="0" w:color="002B5D"/>
            </w:tcBorders>
          </w:tcPr>
          <w:p>
            <w:pPr>
              <w:pStyle w:val="TableParagraph"/>
              <w:spacing w:line="180" w:lineRule="exact"/>
              <w:ind w:left="126" w:right="5"/>
              <w:jc w:val="center"/>
              <w:rPr>
                <w:sz w:val="18"/>
              </w:rPr>
            </w:pPr>
            <w:r>
              <w:rPr>
                <w:spacing w:val="-5"/>
                <w:sz w:val="18"/>
              </w:rPr>
              <w:t>N/A</w:t>
            </w:r>
          </w:p>
        </w:tc>
        <w:tc>
          <w:tcPr>
            <w:tcW w:w="1027" w:type="dxa"/>
            <w:tcBorders>
              <w:bottom w:val="single" w:sz="12" w:space="0" w:color="002B5D"/>
            </w:tcBorders>
          </w:tcPr>
          <w:p>
            <w:pPr>
              <w:pStyle w:val="TableParagraph"/>
              <w:spacing w:line="180" w:lineRule="exact"/>
              <w:ind w:right="22"/>
              <w:jc w:val="center"/>
              <w:rPr>
                <w:sz w:val="18"/>
              </w:rPr>
            </w:pPr>
            <w:r>
              <w:rPr>
                <w:spacing w:val="-5"/>
                <w:sz w:val="18"/>
              </w:rPr>
              <w:t>N/A</w:t>
            </w:r>
          </w:p>
        </w:tc>
        <w:tc>
          <w:tcPr>
            <w:tcW w:w="810" w:type="dxa"/>
            <w:tcBorders>
              <w:bottom w:val="single" w:sz="12" w:space="0" w:color="002B5D"/>
            </w:tcBorders>
          </w:tcPr>
          <w:p>
            <w:pPr>
              <w:pStyle w:val="TableParagraph"/>
              <w:spacing w:line="180" w:lineRule="exact"/>
              <w:ind w:left="68" w:right="117"/>
              <w:jc w:val="center"/>
              <w:rPr>
                <w:sz w:val="18"/>
              </w:rPr>
            </w:pPr>
            <w:r>
              <w:rPr>
                <w:spacing w:val="-5"/>
                <w:sz w:val="18"/>
              </w:rPr>
              <w:t>N/A</w:t>
            </w:r>
          </w:p>
        </w:tc>
        <w:tc>
          <w:tcPr>
            <w:tcW w:w="1122" w:type="dxa"/>
            <w:tcBorders>
              <w:bottom w:val="single" w:sz="12" w:space="0" w:color="002B5D"/>
            </w:tcBorders>
          </w:tcPr>
          <w:p>
            <w:pPr>
              <w:pStyle w:val="TableParagraph"/>
              <w:spacing w:line="180" w:lineRule="exact"/>
              <w:ind w:left="9" w:right="5"/>
              <w:jc w:val="center"/>
              <w:rPr>
                <w:sz w:val="18"/>
              </w:rPr>
            </w:pPr>
            <w:r>
              <w:rPr>
                <w:spacing w:val="-5"/>
                <w:sz w:val="18"/>
              </w:rPr>
              <w:t>N/A</w:t>
            </w:r>
          </w:p>
        </w:tc>
      </w:tr>
      <w:tr>
        <w:trPr>
          <w:trHeight w:val="330" w:hRule="atLeast"/>
        </w:trPr>
        <w:tc>
          <w:tcPr>
            <w:tcW w:w="1234" w:type="dxa"/>
            <w:tcBorders>
              <w:top w:val="single" w:sz="12" w:space="0" w:color="002B5D"/>
            </w:tcBorders>
          </w:tcPr>
          <w:p>
            <w:pPr>
              <w:pStyle w:val="TableParagraph"/>
              <w:rPr>
                <w:rFonts w:ascii="Times New Roman"/>
                <w:sz w:val="16"/>
              </w:rPr>
            </w:pPr>
          </w:p>
        </w:tc>
        <w:tc>
          <w:tcPr>
            <w:tcW w:w="1485" w:type="dxa"/>
            <w:tcBorders>
              <w:top w:val="single" w:sz="12" w:space="0" w:color="002B5D"/>
              <w:bottom w:val="single" w:sz="4" w:space="0" w:color="002B5D"/>
            </w:tcBorders>
          </w:tcPr>
          <w:p>
            <w:pPr>
              <w:pStyle w:val="TableParagraph"/>
              <w:spacing w:before="61"/>
              <w:ind w:left="97"/>
              <w:jc w:val="center"/>
              <w:rPr>
                <w:sz w:val="18"/>
              </w:rPr>
            </w:pPr>
            <w:r>
              <w:rPr>
                <w:spacing w:val="-2"/>
                <w:sz w:val="18"/>
              </w:rPr>
              <w:t>31/12/2022</w:t>
            </w:r>
          </w:p>
        </w:tc>
        <w:tc>
          <w:tcPr>
            <w:tcW w:w="736" w:type="dxa"/>
            <w:tcBorders>
              <w:top w:val="single" w:sz="12" w:space="0" w:color="002B5D"/>
              <w:bottom w:val="single" w:sz="4" w:space="0" w:color="002B5D"/>
            </w:tcBorders>
          </w:tcPr>
          <w:p>
            <w:pPr>
              <w:pStyle w:val="TableParagraph"/>
              <w:spacing w:before="61"/>
              <w:ind w:left="166" w:right="79"/>
              <w:jc w:val="center"/>
              <w:rPr>
                <w:sz w:val="18"/>
              </w:rPr>
            </w:pPr>
            <w:r>
              <w:rPr>
                <w:spacing w:val="-5"/>
                <w:sz w:val="18"/>
              </w:rPr>
              <w:t>49</w:t>
            </w:r>
          </w:p>
        </w:tc>
        <w:tc>
          <w:tcPr>
            <w:tcW w:w="817" w:type="dxa"/>
            <w:tcBorders>
              <w:top w:val="single" w:sz="12" w:space="0" w:color="002B5D"/>
              <w:bottom w:val="single" w:sz="4" w:space="0" w:color="002B5D"/>
            </w:tcBorders>
          </w:tcPr>
          <w:p>
            <w:pPr>
              <w:pStyle w:val="TableParagraph"/>
              <w:spacing w:before="61"/>
              <w:ind w:right="238"/>
              <w:jc w:val="right"/>
              <w:rPr>
                <w:sz w:val="18"/>
              </w:rPr>
            </w:pPr>
            <w:r>
              <w:rPr>
                <w:spacing w:val="-5"/>
                <w:sz w:val="18"/>
              </w:rPr>
              <w:t>921</w:t>
            </w:r>
          </w:p>
        </w:tc>
        <w:tc>
          <w:tcPr>
            <w:tcW w:w="796" w:type="dxa"/>
            <w:tcBorders>
              <w:top w:val="single" w:sz="12" w:space="0" w:color="002B5D"/>
              <w:bottom w:val="single" w:sz="4" w:space="0" w:color="002B5D"/>
            </w:tcBorders>
          </w:tcPr>
          <w:p>
            <w:pPr>
              <w:pStyle w:val="TableParagraph"/>
              <w:spacing w:before="61"/>
              <w:ind w:right="128"/>
              <w:jc w:val="right"/>
              <w:rPr>
                <w:sz w:val="18"/>
              </w:rPr>
            </w:pPr>
            <w:r>
              <w:rPr>
                <w:spacing w:val="-4"/>
                <w:sz w:val="18"/>
              </w:rPr>
              <w:t>1108</w:t>
            </w:r>
          </w:p>
        </w:tc>
        <w:tc>
          <w:tcPr>
            <w:tcW w:w="908" w:type="dxa"/>
            <w:tcBorders>
              <w:top w:val="single" w:sz="12" w:space="0" w:color="002B5D"/>
              <w:bottom w:val="single" w:sz="4" w:space="0" w:color="002B5D"/>
            </w:tcBorders>
          </w:tcPr>
          <w:p>
            <w:pPr>
              <w:pStyle w:val="TableParagraph"/>
              <w:spacing w:before="61"/>
              <w:ind w:left="179" w:right="82"/>
              <w:jc w:val="center"/>
              <w:rPr>
                <w:sz w:val="18"/>
              </w:rPr>
            </w:pPr>
            <w:r>
              <w:rPr>
                <w:spacing w:val="-2"/>
                <w:sz w:val="18"/>
              </w:rPr>
              <w:t>19,15</w:t>
            </w:r>
          </w:p>
        </w:tc>
        <w:tc>
          <w:tcPr>
            <w:tcW w:w="1028" w:type="dxa"/>
            <w:tcBorders>
              <w:top w:val="single" w:sz="12" w:space="0" w:color="002B5D"/>
              <w:bottom w:val="single" w:sz="4" w:space="0" w:color="002B5D"/>
            </w:tcBorders>
          </w:tcPr>
          <w:p>
            <w:pPr>
              <w:pStyle w:val="TableParagraph"/>
              <w:spacing w:before="61"/>
              <w:ind w:left="426"/>
              <w:rPr>
                <w:sz w:val="18"/>
              </w:rPr>
            </w:pPr>
            <w:r>
              <w:rPr>
                <w:spacing w:val="-10"/>
                <w:sz w:val="18"/>
              </w:rPr>
              <w:t>1</w:t>
            </w:r>
          </w:p>
        </w:tc>
        <w:tc>
          <w:tcPr>
            <w:tcW w:w="784" w:type="dxa"/>
            <w:tcBorders>
              <w:top w:val="single" w:sz="12" w:space="0" w:color="002B5D"/>
              <w:bottom w:val="single" w:sz="4" w:space="0" w:color="002B5D"/>
            </w:tcBorders>
          </w:tcPr>
          <w:p>
            <w:pPr>
              <w:pStyle w:val="TableParagraph"/>
              <w:spacing w:before="61"/>
              <w:ind w:left="126" w:right="5"/>
              <w:jc w:val="center"/>
              <w:rPr>
                <w:sz w:val="18"/>
              </w:rPr>
            </w:pPr>
            <w:r>
              <w:rPr>
                <w:spacing w:val="-5"/>
                <w:sz w:val="18"/>
              </w:rPr>
              <w:t>N/A</w:t>
            </w:r>
          </w:p>
        </w:tc>
        <w:tc>
          <w:tcPr>
            <w:tcW w:w="1027" w:type="dxa"/>
            <w:tcBorders>
              <w:top w:val="single" w:sz="12" w:space="0" w:color="002B5D"/>
              <w:bottom w:val="single" w:sz="4" w:space="0" w:color="002B5D"/>
            </w:tcBorders>
          </w:tcPr>
          <w:p>
            <w:pPr>
              <w:pStyle w:val="TableParagraph"/>
              <w:spacing w:before="61"/>
              <w:ind w:right="22"/>
              <w:jc w:val="center"/>
              <w:rPr>
                <w:sz w:val="18"/>
              </w:rPr>
            </w:pPr>
            <w:r>
              <w:rPr>
                <w:spacing w:val="-5"/>
                <w:sz w:val="18"/>
              </w:rPr>
              <w:t>N/A</w:t>
            </w:r>
          </w:p>
        </w:tc>
        <w:tc>
          <w:tcPr>
            <w:tcW w:w="810" w:type="dxa"/>
            <w:tcBorders>
              <w:top w:val="single" w:sz="12" w:space="0" w:color="002B5D"/>
              <w:bottom w:val="single" w:sz="4" w:space="0" w:color="002B5D"/>
            </w:tcBorders>
          </w:tcPr>
          <w:p>
            <w:pPr>
              <w:pStyle w:val="TableParagraph"/>
              <w:spacing w:before="61"/>
              <w:ind w:left="68" w:right="117"/>
              <w:jc w:val="center"/>
              <w:rPr>
                <w:sz w:val="18"/>
              </w:rPr>
            </w:pPr>
            <w:r>
              <w:rPr>
                <w:spacing w:val="-5"/>
                <w:sz w:val="18"/>
              </w:rPr>
              <w:t>N/A</w:t>
            </w:r>
          </w:p>
        </w:tc>
        <w:tc>
          <w:tcPr>
            <w:tcW w:w="1122" w:type="dxa"/>
            <w:tcBorders>
              <w:top w:val="single" w:sz="12" w:space="0" w:color="002B5D"/>
              <w:bottom w:val="single" w:sz="4" w:space="0" w:color="002B5D"/>
            </w:tcBorders>
          </w:tcPr>
          <w:p>
            <w:pPr>
              <w:pStyle w:val="TableParagraph"/>
              <w:spacing w:before="61"/>
              <w:ind w:left="9" w:right="5"/>
              <w:jc w:val="center"/>
              <w:rPr>
                <w:sz w:val="18"/>
              </w:rPr>
            </w:pPr>
            <w:r>
              <w:rPr>
                <w:spacing w:val="-5"/>
                <w:sz w:val="18"/>
              </w:rPr>
              <w:t>N/A</w:t>
            </w:r>
          </w:p>
        </w:tc>
      </w:tr>
      <w:tr>
        <w:trPr>
          <w:trHeight w:val="347" w:hRule="atLeast"/>
        </w:trPr>
        <w:tc>
          <w:tcPr>
            <w:tcW w:w="1234" w:type="dxa"/>
          </w:tcPr>
          <w:p>
            <w:pPr>
              <w:pStyle w:val="TableParagraph"/>
              <w:spacing w:before="88"/>
              <w:ind w:left="3" w:right="3"/>
              <w:jc w:val="center"/>
              <w:rPr>
                <w:b/>
                <w:sz w:val="18"/>
              </w:rPr>
            </w:pPr>
            <w:r>
              <w:rPr>
                <w:b/>
                <w:spacing w:val="-2"/>
                <w:sz w:val="18"/>
              </w:rPr>
              <w:t>MÁLAGA</w:t>
            </w:r>
          </w:p>
        </w:tc>
        <w:tc>
          <w:tcPr>
            <w:tcW w:w="1485" w:type="dxa"/>
            <w:tcBorders>
              <w:top w:val="single" w:sz="4" w:space="0" w:color="002B5D"/>
              <w:bottom w:val="single" w:sz="4" w:space="0" w:color="002B5D"/>
            </w:tcBorders>
          </w:tcPr>
          <w:p>
            <w:pPr>
              <w:pStyle w:val="TableParagraph"/>
              <w:spacing w:before="80"/>
              <w:ind w:left="97"/>
              <w:jc w:val="center"/>
              <w:rPr>
                <w:sz w:val="18"/>
              </w:rPr>
            </w:pPr>
            <w:r>
              <w:rPr>
                <w:spacing w:val="-2"/>
                <w:sz w:val="18"/>
              </w:rPr>
              <w:t>31/12/2023</w:t>
            </w:r>
          </w:p>
        </w:tc>
        <w:tc>
          <w:tcPr>
            <w:tcW w:w="736" w:type="dxa"/>
            <w:tcBorders>
              <w:top w:val="single" w:sz="4" w:space="0" w:color="002B5D"/>
              <w:bottom w:val="single" w:sz="4" w:space="0" w:color="002B5D"/>
            </w:tcBorders>
          </w:tcPr>
          <w:p>
            <w:pPr>
              <w:pStyle w:val="TableParagraph"/>
              <w:spacing w:before="80"/>
              <w:ind w:left="166" w:right="79"/>
              <w:jc w:val="center"/>
              <w:rPr>
                <w:sz w:val="18"/>
              </w:rPr>
            </w:pPr>
            <w:r>
              <w:rPr>
                <w:spacing w:val="-5"/>
                <w:sz w:val="18"/>
              </w:rPr>
              <w:t>49</w:t>
            </w:r>
          </w:p>
        </w:tc>
        <w:tc>
          <w:tcPr>
            <w:tcW w:w="817" w:type="dxa"/>
            <w:tcBorders>
              <w:top w:val="single" w:sz="4" w:space="0" w:color="002B5D"/>
              <w:bottom w:val="single" w:sz="4" w:space="0" w:color="002B5D"/>
            </w:tcBorders>
          </w:tcPr>
          <w:p>
            <w:pPr>
              <w:pStyle w:val="TableParagraph"/>
              <w:spacing w:before="80"/>
              <w:ind w:right="238"/>
              <w:jc w:val="right"/>
              <w:rPr>
                <w:sz w:val="18"/>
              </w:rPr>
            </w:pPr>
            <w:r>
              <w:rPr>
                <w:spacing w:val="-5"/>
                <w:sz w:val="18"/>
              </w:rPr>
              <w:t>920</w:t>
            </w:r>
          </w:p>
        </w:tc>
        <w:tc>
          <w:tcPr>
            <w:tcW w:w="796" w:type="dxa"/>
            <w:tcBorders>
              <w:top w:val="single" w:sz="4" w:space="0" w:color="002B5D"/>
              <w:bottom w:val="single" w:sz="4" w:space="0" w:color="002B5D"/>
            </w:tcBorders>
          </w:tcPr>
          <w:p>
            <w:pPr>
              <w:pStyle w:val="TableParagraph"/>
              <w:spacing w:before="80"/>
              <w:ind w:right="128"/>
              <w:jc w:val="right"/>
              <w:rPr>
                <w:sz w:val="18"/>
              </w:rPr>
            </w:pPr>
            <w:r>
              <w:rPr>
                <w:spacing w:val="-4"/>
                <w:sz w:val="18"/>
              </w:rPr>
              <w:t>1115</w:t>
            </w:r>
          </w:p>
        </w:tc>
        <w:tc>
          <w:tcPr>
            <w:tcW w:w="908" w:type="dxa"/>
            <w:tcBorders>
              <w:top w:val="single" w:sz="4" w:space="0" w:color="002B5D"/>
              <w:bottom w:val="single" w:sz="4" w:space="0" w:color="002B5D"/>
            </w:tcBorders>
          </w:tcPr>
          <w:p>
            <w:pPr>
              <w:pStyle w:val="TableParagraph"/>
              <w:spacing w:before="80"/>
              <w:ind w:left="179" w:right="82"/>
              <w:jc w:val="center"/>
              <w:rPr>
                <w:sz w:val="18"/>
              </w:rPr>
            </w:pPr>
            <w:r>
              <w:rPr>
                <w:spacing w:val="-2"/>
                <w:sz w:val="18"/>
              </w:rPr>
              <w:t>19,15</w:t>
            </w:r>
          </w:p>
        </w:tc>
        <w:tc>
          <w:tcPr>
            <w:tcW w:w="1028" w:type="dxa"/>
            <w:tcBorders>
              <w:top w:val="single" w:sz="4" w:space="0" w:color="002B5D"/>
              <w:bottom w:val="single" w:sz="4" w:space="0" w:color="002B5D"/>
            </w:tcBorders>
          </w:tcPr>
          <w:p>
            <w:pPr>
              <w:pStyle w:val="TableParagraph"/>
              <w:spacing w:before="80"/>
              <w:ind w:left="426"/>
              <w:rPr>
                <w:sz w:val="18"/>
              </w:rPr>
            </w:pPr>
            <w:r>
              <w:rPr>
                <w:spacing w:val="-10"/>
                <w:sz w:val="18"/>
              </w:rPr>
              <w:t>1</w:t>
            </w:r>
          </w:p>
        </w:tc>
        <w:tc>
          <w:tcPr>
            <w:tcW w:w="784" w:type="dxa"/>
            <w:tcBorders>
              <w:top w:val="single" w:sz="4" w:space="0" w:color="002B5D"/>
              <w:bottom w:val="single" w:sz="4" w:space="0" w:color="002B5D"/>
            </w:tcBorders>
          </w:tcPr>
          <w:p>
            <w:pPr>
              <w:pStyle w:val="TableParagraph"/>
              <w:spacing w:before="80"/>
              <w:ind w:left="126" w:right="5"/>
              <w:jc w:val="center"/>
              <w:rPr>
                <w:sz w:val="18"/>
              </w:rPr>
            </w:pPr>
            <w:r>
              <w:rPr>
                <w:spacing w:val="-5"/>
                <w:sz w:val="18"/>
              </w:rPr>
              <w:t>N/A</w:t>
            </w:r>
          </w:p>
        </w:tc>
        <w:tc>
          <w:tcPr>
            <w:tcW w:w="1027" w:type="dxa"/>
            <w:tcBorders>
              <w:top w:val="single" w:sz="4" w:space="0" w:color="002B5D"/>
              <w:bottom w:val="single" w:sz="4" w:space="0" w:color="002B5D"/>
            </w:tcBorders>
          </w:tcPr>
          <w:p>
            <w:pPr>
              <w:pStyle w:val="TableParagraph"/>
              <w:spacing w:before="80"/>
              <w:ind w:right="22"/>
              <w:jc w:val="center"/>
              <w:rPr>
                <w:sz w:val="18"/>
              </w:rPr>
            </w:pPr>
            <w:r>
              <w:rPr>
                <w:spacing w:val="-5"/>
                <w:sz w:val="18"/>
              </w:rPr>
              <w:t>N/A</w:t>
            </w:r>
          </w:p>
        </w:tc>
        <w:tc>
          <w:tcPr>
            <w:tcW w:w="810" w:type="dxa"/>
            <w:tcBorders>
              <w:top w:val="single" w:sz="4" w:space="0" w:color="002B5D"/>
              <w:bottom w:val="single" w:sz="4" w:space="0" w:color="002B5D"/>
            </w:tcBorders>
          </w:tcPr>
          <w:p>
            <w:pPr>
              <w:pStyle w:val="TableParagraph"/>
              <w:spacing w:before="80"/>
              <w:ind w:left="68" w:right="117"/>
              <w:jc w:val="center"/>
              <w:rPr>
                <w:sz w:val="18"/>
              </w:rPr>
            </w:pPr>
            <w:r>
              <w:rPr>
                <w:spacing w:val="-5"/>
                <w:sz w:val="18"/>
              </w:rPr>
              <w:t>N/A</w:t>
            </w:r>
          </w:p>
        </w:tc>
        <w:tc>
          <w:tcPr>
            <w:tcW w:w="1122" w:type="dxa"/>
            <w:tcBorders>
              <w:top w:val="single" w:sz="4" w:space="0" w:color="002B5D"/>
              <w:bottom w:val="single" w:sz="4" w:space="0" w:color="002B5D"/>
            </w:tcBorders>
          </w:tcPr>
          <w:p>
            <w:pPr>
              <w:pStyle w:val="TableParagraph"/>
              <w:spacing w:before="80"/>
              <w:ind w:left="9" w:right="5"/>
              <w:jc w:val="center"/>
              <w:rPr>
                <w:sz w:val="18"/>
              </w:rPr>
            </w:pPr>
            <w:r>
              <w:rPr>
                <w:spacing w:val="-5"/>
                <w:sz w:val="18"/>
              </w:rPr>
              <w:t>N/A</w:t>
            </w:r>
          </w:p>
        </w:tc>
      </w:tr>
      <w:tr>
        <w:trPr>
          <w:trHeight w:val="363" w:hRule="atLeast"/>
        </w:trPr>
        <w:tc>
          <w:tcPr>
            <w:tcW w:w="1234" w:type="dxa"/>
            <w:tcBorders>
              <w:bottom w:val="single" w:sz="12" w:space="0" w:color="002B5D"/>
            </w:tcBorders>
          </w:tcPr>
          <w:p>
            <w:pPr>
              <w:pStyle w:val="TableParagraph"/>
              <w:rPr>
                <w:rFonts w:ascii="Times New Roman"/>
                <w:sz w:val="16"/>
              </w:rPr>
            </w:pPr>
          </w:p>
        </w:tc>
        <w:tc>
          <w:tcPr>
            <w:tcW w:w="1485" w:type="dxa"/>
            <w:tcBorders>
              <w:top w:val="single" w:sz="4" w:space="0" w:color="002B5D"/>
              <w:bottom w:val="single" w:sz="12" w:space="0" w:color="002B5D"/>
            </w:tcBorders>
          </w:tcPr>
          <w:p>
            <w:pPr>
              <w:pStyle w:val="TableParagraph"/>
              <w:spacing w:before="90"/>
              <w:ind w:left="97"/>
              <w:jc w:val="center"/>
              <w:rPr>
                <w:sz w:val="18"/>
              </w:rPr>
            </w:pPr>
            <w:r>
              <w:rPr>
                <w:spacing w:val="-2"/>
                <w:sz w:val="18"/>
              </w:rPr>
              <w:t>31/12/2024</w:t>
            </w:r>
          </w:p>
        </w:tc>
        <w:tc>
          <w:tcPr>
            <w:tcW w:w="736" w:type="dxa"/>
            <w:tcBorders>
              <w:top w:val="single" w:sz="4" w:space="0" w:color="002B5D"/>
              <w:bottom w:val="single" w:sz="12" w:space="0" w:color="002B5D"/>
            </w:tcBorders>
          </w:tcPr>
          <w:p>
            <w:pPr>
              <w:pStyle w:val="TableParagraph"/>
              <w:spacing w:before="90"/>
              <w:ind w:left="166" w:right="79"/>
              <w:jc w:val="center"/>
              <w:rPr>
                <w:sz w:val="18"/>
              </w:rPr>
            </w:pPr>
            <w:r>
              <w:rPr>
                <w:spacing w:val="-5"/>
                <w:sz w:val="18"/>
              </w:rPr>
              <w:t>50</w:t>
            </w:r>
          </w:p>
        </w:tc>
        <w:tc>
          <w:tcPr>
            <w:tcW w:w="817" w:type="dxa"/>
            <w:tcBorders>
              <w:top w:val="single" w:sz="4" w:space="0" w:color="002B5D"/>
              <w:bottom w:val="single" w:sz="12" w:space="0" w:color="002B5D"/>
            </w:tcBorders>
          </w:tcPr>
          <w:p>
            <w:pPr>
              <w:pStyle w:val="TableParagraph"/>
              <w:spacing w:before="90"/>
              <w:ind w:right="238"/>
              <w:jc w:val="right"/>
              <w:rPr>
                <w:sz w:val="18"/>
              </w:rPr>
            </w:pPr>
            <w:r>
              <w:rPr>
                <w:spacing w:val="-5"/>
                <w:sz w:val="18"/>
              </w:rPr>
              <w:t>922</w:t>
            </w:r>
          </w:p>
        </w:tc>
        <w:tc>
          <w:tcPr>
            <w:tcW w:w="796" w:type="dxa"/>
            <w:tcBorders>
              <w:top w:val="single" w:sz="4" w:space="0" w:color="002B5D"/>
              <w:bottom w:val="single" w:sz="12" w:space="0" w:color="002B5D"/>
            </w:tcBorders>
          </w:tcPr>
          <w:p>
            <w:pPr>
              <w:pStyle w:val="TableParagraph"/>
              <w:spacing w:before="90"/>
              <w:ind w:right="128"/>
              <w:jc w:val="right"/>
              <w:rPr>
                <w:sz w:val="18"/>
              </w:rPr>
            </w:pPr>
            <w:r>
              <w:rPr>
                <w:spacing w:val="-4"/>
                <w:sz w:val="18"/>
              </w:rPr>
              <w:t>1147</w:t>
            </w:r>
          </w:p>
        </w:tc>
        <w:tc>
          <w:tcPr>
            <w:tcW w:w="908" w:type="dxa"/>
            <w:tcBorders>
              <w:top w:val="single" w:sz="4" w:space="0" w:color="002B5D"/>
              <w:bottom w:val="single" w:sz="12" w:space="0" w:color="002B5D"/>
            </w:tcBorders>
          </w:tcPr>
          <w:p>
            <w:pPr>
              <w:pStyle w:val="TableParagraph"/>
              <w:spacing w:before="90"/>
              <w:ind w:left="179" w:right="82"/>
              <w:jc w:val="center"/>
              <w:rPr>
                <w:sz w:val="18"/>
              </w:rPr>
            </w:pPr>
            <w:r>
              <w:rPr>
                <w:spacing w:val="-2"/>
                <w:sz w:val="18"/>
              </w:rPr>
              <w:t>19,26</w:t>
            </w:r>
          </w:p>
        </w:tc>
        <w:tc>
          <w:tcPr>
            <w:tcW w:w="1028" w:type="dxa"/>
            <w:tcBorders>
              <w:top w:val="single" w:sz="4" w:space="0" w:color="002B5D"/>
              <w:bottom w:val="single" w:sz="12" w:space="0" w:color="002B5D"/>
            </w:tcBorders>
          </w:tcPr>
          <w:p>
            <w:pPr>
              <w:pStyle w:val="TableParagraph"/>
              <w:spacing w:before="90"/>
              <w:ind w:left="426"/>
              <w:rPr>
                <w:sz w:val="18"/>
              </w:rPr>
            </w:pPr>
            <w:r>
              <w:rPr>
                <w:spacing w:val="-10"/>
                <w:sz w:val="18"/>
              </w:rPr>
              <w:t>1</w:t>
            </w:r>
          </w:p>
        </w:tc>
        <w:tc>
          <w:tcPr>
            <w:tcW w:w="784" w:type="dxa"/>
            <w:tcBorders>
              <w:top w:val="single" w:sz="4" w:space="0" w:color="002B5D"/>
              <w:bottom w:val="single" w:sz="12" w:space="0" w:color="002B5D"/>
            </w:tcBorders>
          </w:tcPr>
          <w:p>
            <w:pPr>
              <w:pStyle w:val="TableParagraph"/>
              <w:spacing w:before="90"/>
              <w:ind w:left="126" w:right="5"/>
              <w:jc w:val="center"/>
              <w:rPr>
                <w:sz w:val="18"/>
              </w:rPr>
            </w:pPr>
            <w:r>
              <w:rPr>
                <w:spacing w:val="-5"/>
                <w:sz w:val="18"/>
              </w:rPr>
              <w:t>N/A</w:t>
            </w:r>
          </w:p>
        </w:tc>
        <w:tc>
          <w:tcPr>
            <w:tcW w:w="1027" w:type="dxa"/>
            <w:tcBorders>
              <w:top w:val="single" w:sz="4" w:space="0" w:color="002B5D"/>
              <w:bottom w:val="single" w:sz="12" w:space="0" w:color="002B5D"/>
            </w:tcBorders>
          </w:tcPr>
          <w:p>
            <w:pPr>
              <w:pStyle w:val="TableParagraph"/>
              <w:spacing w:before="90"/>
              <w:ind w:right="22"/>
              <w:jc w:val="center"/>
              <w:rPr>
                <w:sz w:val="18"/>
              </w:rPr>
            </w:pPr>
            <w:r>
              <w:rPr>
                <w:spacing w:val="-5"/>
                <w:sz w:val="18"/>
              </w:rPr>
              <w:t>N/A</w:t>
            </w:r>
          </w:p>
        </w:tc>
        <w:tc>
          <w:tcPr>
            <w:tcW w:w="810" w:type="dxa"/>
            <w:tcBorders>
              <w:top w:val="single" w:sz="4" w:space="0" w:color="002B5D"/>
              <w:bottom w:val="single" w:sz="12" w:space="0" w:color="002B5D"/>
            </w:tcBorders>
          </w:tcPr>
          <w:p>
            <w:pPr>
              <w:pStyle w:val="TableParagraph"/>
              <w:spacing w:before="90"/>
              <w:ind w:left="68" w:right="117"/>
              <w:jc w:val="center"/>
              <w:rPr>
                <w:sz w:val="18"/>
              </w:rPr>
            </w:pPr>
            <w:r>
              <w:rPr>
                <w:spacing w:val="-5"/>
                <w:sz w:val="18"/>
              </w:rPr>
              <w:t>N/A</w:t>
            </w:r>
          </w:p>
        </w:tc>
        <w:tc>
          <w:tcPr>
            <w:tcW w:w="1122" w:type="dxa"/>
            <w:tcBorders>
              <w:top w:val="single" w:sz="4" w:space="0" w:color="002B5D"/>
              <w:bottom w:val="single" w:sz="12" w:space="0" w:color="002B5D"/>
            </w:tcBorders>
          </w:tcPr>
          <w:p>
            <w:pPr>
              <w:pStyle w:val="TableParagraph"/>
              <w:spacing w:before="90"/>
              <w:ind w:left="9" w:right="5"/>
              <w:jc w:val="center"/>
              <w:rPr>
                <w:sz w:val="18"/>
              </w:rPr>
            </w:pPr>
            <w:r>
              <w:rPr>
                <w:spacing w:val="-5"/>
                <w:sz w:val="18"/>
              </w:rPr>
              <w:t>N/A</w:t>
            </w:r>
          </w:p>
        </w:tc>
      </w:tr>
      <w:tr>
        <w:trPr>
          <w:trHeight w:val="330" w:hRule="atLeast"/>
        </w:trPr>
        <w:tc>
          <w:tcPr>
            <w:tcW w:w="1234" w:type="dxa"/>
            <w:tcBorders>
              <w:top w:val="single" w:sz="12" w:space="0" w:color="002B5D"/>
            </w:tcBorders>
          </w:tcPr>
          <w:p>
            <w:pPr>
              <w:pStyle w:val="TableParagraph"/>
              <w:rPr>
                <w:rFonts w:ascii="Times New Roman"/>
                <w:sz w:val="16"/>
              </w:rPr>
            </w:pPr>
          </w:p>
        </w:tc>
        <w:tc>
          <w:tcPr>
            <w:tcW w:w="1485" w:type="dxa"/>
            <w:tcBorders>
              <w:top w:val="single" w:sz="12" w:space="0" w:color="002B5D"/>
              <w:bottom w:val="single" w:sz="4" w:space="0" w:color="002B5D"/>
            </w:tcBorders>
          </w:tcPr>
          <w:p>
            <w:pPr>
              <w:pStyle w:val="TableParagraph"/>
              <w:spacing w:before="61"/>
              <w:ind w:left="97"/>
              <w:jc w:val="center"/>
              <w:rPr>
                <w:sz w:val="18"/>
              </w:rPr>
            </w:pPr>
            <w:r>
              <w:rPr>
                <w:spacing w:val="-2"/>
                <w:sz w:val="18"/>
              </w:rPr>
              <w:t>31/12/2022</w:t>
            </w:r>
          </w:p>
        </w:tc>
        <w:tc>
          <w:tcPr>
            <w:tcW w:w="736" w:type="dxa"/>
            <w:tcBorders>
              <w:top w:val="single" w:sz="12" w:space="0" w:color="002B5D"/>
              <w:bottom w:val="single" w:sz="4" w:space="0" w:color="002B5D"/>
            </w:tcBorders>
          </w:tcPr>
          <w:p>
            <w:pPr>
              <w:pStyle w:val="TableParagraph"/>
              <w:spacing w:before="61"/>
              <w:ind w:left="166" w:right="79"/>
              <w:jc w:val="center"/>
              <w:rPr>
                <w:sz w:val="18"/>
              </w:rPr>
            </w:pPr>
            <w:r>
              <w:rPr>
                <w:spacing w:val="-5"/>
                <w:sz w:val="18"/>
              </w:rPr>
              <w:t>35</w:t>
            </w:r>
          </w:p>
        </w:tc>
        <w:tc>
          <w:tcPr>
            <w:tcW w:w="817" w:type="dxa"/>
            <w:tcBorders>
              <w:top w:val="single" w:sz="12" w:space="0" w:color="002B5D"/>
              <w:bottom w:val="single" w:sz="4" w:space="0" w:color="002B5D"/>
            </w:tcBorders>
          </w:tcPr>
          <w:p>
            <w:pPr>
              <w:pStyle w:val="TableParagraph"/>
              <w:spacing w:before="61"/>
              <w:ind w:right="235"/>
              <w:jc w:val="right"/>
              <w:rPr>
                <w:sz w:val="18"/>
              </w:rPr>
            </w:pPr>
            <w:r>
              <w:rPr>
                <w:spacing w:val="-2"/>
                <w:sz w:val="18"/>
              </w:rPr>
              <w:t>516,73</w:t>
            </w:r>
          </w:p>
        </w:tc>
        <w:tc>
          <w:tcPr>
            <w:tcW w:w="796" w:type="dxa"/>
            <w:tcBorders>
              <w:top w:val="single" w:sz="12" w:space="0" w:color="002B5D"/>
              <w:bottom w:val="single" w:sz="4" w:space="0" w:color="002B5D"/>
            </w:tcBorders>
          </w:tcPr>
          <w:p>
            <w:pPr>
              <w:pStyle w:val="TableParagraph"/>
              <w:spacing w:before="61"/>
              <w:ind w:right="128"/>
              <w:jc w:val="right"/>
              <w:rPr>
                <w:sz w:val="18"/>
              </w:rPr>
            </w:pPr>
            <w:r>
              <w:rPr>
                <w:spacing w:val="-4"/>
                <w:sz w:val="18"/>
              </w:rPr>
              <w:t>1595</w:t>
            </w:r>
          </w:p>
        </w:tc>
        <w:tc>
          <w:tcPr>
            <w:tcW w:w="908" w:type="dxa"/>
            <w:tcBorders>
              <w:top w:val="single" w:sz="12" w:space="0" w:color="002B5D"/>
              <w:bottom w:val="single" w:sz="4" w:space="0" w:color="002B5D"/>
            </w:tcBorders>
          </w:tcPr>
          <w:p>
            <w:pPr>
              <w:pStyle w:val="TableParagraph"/>
              <w:spacing w:before="61"/>
              <w:ind w:left="179" w:right="82"/>
              <w:jc w:val="center"/>
              <w:rPr>
                <w:sz w:val="18"/>
              </w:rPr>
            </w:pPr>
            <w:r>
              <w:rPr>
                <w:spacing w:val="-2"/>
                <w:sz w:val="18"/>
              </w:rPr>
              <w:t>49,50</w:t>
            </w:r>
          </w:p>
        </w:tc>
        <w:tc>
          <w:tcPr>
            <w:tcW w:w="1028" w:type="dxa"/>
            <w:tcBorders>
              <w:top w:val="single" w:sz="12" w:space="0" w:color="002B5D"/>
              <w:bottom w:val="single" w:sz="4" w:space="0" w:color="002B5D"/>
            </w:tcBorders>
          </w:tcPr>
          <w:p>
            <w:pPr>
              <w:pStyle w:val="TableParagraph"/>
              <w:spacing w:before="61"/>
              <w:ind w:left="426"/>
              <w:rPr>
                <w:sz w:val="18"/>
              </w:rPr>
            </w:pPr>
            <w:r>
              <w:rPr>
                <w:spacing w:val="-10"/>
                <w:sz w:val="18"/>
              </w:rPr>
              <w:t>1</w:t>
            </w:r>
          </w:p>
        </w:tc>
        <w:tc>
          <w:tcPr>
            <w:tcW w:w="784" w:type="dxa"/>
            <w:tcBorders>
              <w:top w:val="single" w:sz="12" w:space="0" w:color="002B5D"/>
              <w:bottom w:val="single" w:sz="4" w:space="0" w:color="002B5D"/>
            </w:tcBorders>
          </w:tcPr>
          <w:p>
            <w:pPr>
              <w:pStyle w:val="TableParagraph"/>
              <w:spacing w:before="61"/>
              <w:ind w:left="126"/>
              <w:jc w:val="center"/>
              <w:rPr>
                <w:sz w:val="18"/>
              </w:rPr>
            </w:pPr>
            <w:r>
              <w:rPr>
                <w:spacing w:val="-10"/>
                <w:sz w:val="18"/>
              </w:rPr>
              <w:t>1</w:t>
            </w:r>
          </w:p>
        </w:tc>
        <w:tc>
          <w:tcPr>
            <w:tcW w:w="1027" w:type="dxa"/>
            <w:tcBorders>
              <w:top w:val="single" w:sz="12" w:space="0" w:color="002B5D"/>
              <w:bottom w:val="single" w:sz="4" w:space="0" w:color="002B5D"/>
            </w:tcBorders>
          </w:tcPr>
          <w:p>
            <w:pPr>
              <w:pStyle w:val="TableParagraph"/>
              <w:spacing w:before="61"/>
              <w:ind w:right="22"/>
              <w:jc w:val="center"/>
              <w:rPr>
                <w:sz w:val="18"/>
              </w:rPr>
            </w:pPr>
            <w:r>
              <w:rPr>
                <w:spacing w:val="-5"/>
                <w:sz w:val="18"/>
              </w:rPr>
              <w:t>29</w:t>
            </w:r>
          </w:p>
        </w:tc>
        <w:tc>
          <w:tcPr>
            <w:tcW w:w="810" w:type="dxa"/>
            <w:tcBorders>
              <w:top w:val="single" w:sz="12" w:space="0" w:color="002B5D"/>
              <w:bottom w:val="single" w:sz="4" w:space="0" w:color="002B5D"/>
            </w:tcBorders>
          </w:tcPr>
          <w:p>
            <w:pPr>
              <w:pStyle w:val="TableParagraph"/>
              <w:spacing w:before="61"/>
              <w:ind w:left="68" w:right="113"/>
              <w:jc w:val="center"/>
              <w:rPr>
                <w:sz w:val="18"/>
              </w:rPr>
            </w:pPr>
            <w:r>
              <w:rPr>
                <w:spacing w:val="-5"/>
                <w:sz w:val="18"/>
              </w:rPr>
              <w:t>28</w:t>
            </w:r>
          </w:p>
        </w:tc>
        <w:tc>
          <w:tcPr>
            <w:tcW w:w="1122" w:type="dxa"/>
            <w:tcBorders>
              <w:top w:val="single" w:sz="12" w:space="0" w:color="002B5D"/>
              <w:bottom w:val="single" w:sz="4" w:space="0" w:color="002B5D"/>
            </w:tcBorders>
          </w:tcPr>
          <w:p>
            <w:pPr>
              <w:pStyle w:val="TableParagraph"/>
              <w:spacing w:before="61"/>
              <w:ind w:left="9"/>
              <w:jc w:val="center"/>
              <w:rPr>
                <w:sz w:val="18"/>
              </w:rPr>
            </w:pPr>
            <w:r>
              <w:rPr>
                <w:spacing w:val="-10"/>
                <w:sz w:val="18"/>
              </w:rPr>
              <w:t>1</w:t>
            </w:r>
          </w:p>
        </w:tc>
      </w:tr>
      <w:tr>
        <w:trPr>
          <w:trHeight w:val="347" w:hRule="atLeast"/>
        </w:trPr>
        <w:tc>
          <w:tcPr>
            <w:tcW w:w="1234" w:type="dxa"/>
          </w:tcPr>
          <w:p>
            <w:pPr>
              <w:pStyle w:val="TableParagraph"/>
              <w:spacing w:before="88"/>
              <w:ind w:left="2" w:right="3"/>
              <w:jc w:val="center"/>
              <w:rPr>
                <w:b/>
                <w:sz w:val="18"/>
              </w:rPr>
            </w:pPr>
            <w:r>
              <w:rPr>
                <w:b/>
                <w:spacing w:val="-2"/>
                <w:sz w:val="18"/>
              </w:rPr>
              <w:t>MURCIA</w:t>
            </w:r>
          </w:p>
        </w:tc>
        <w:tc>
          <w:tcPr>
            <w:tcW w:w="1485" w:type="dxa"/>
            <w:tcBorders>
              <w:top w:val="single" w:sz="4" w:space="0" w:color="002B5D"/>
              <w:bottom w:val="single" w:sz="4" w:space="0" w:color="002B5D"/>
            </w:tcBorders>
          </w:tcPr>
          <w:p>
            <w:pPr>
              <w:pStyle w:val="TableParagraph"/>
              <w:spacing w:before="80"/>
              <w:ind w:left="97"/>
              <w:jc w:val="center"/>
              <w:rPr>
                <w:sz w:val="18"/>
              </w:rPr>
            </w:pPr>
            <w:r>
              <w:rPr>
                <w:spacing w:val="-2"/>
                <w:sz w:val="18"/>
              </w:rPr>
              <w:t>31/12/2023</w:t>
            </w:r>
          </w:p>
        </w:tc>
        <w:tc>
          <w:tcPr>
            <w:tcW w:w="736" w:type="dxa"/>
            <w:tcBorders>
              <w:top w:val="single" w:sz="4" w:space="0" w:color="002B5D"/>
              <w:bottom w:val="single" w:sz="4" w:space="0" w:color="002B5D"/>
            </w:tcBorders>
          </w:tcPr>
          <w:p>
            <w:pPr>
              <w:pStyle w:val="TableParagraph"/>
              <w:spacing w:before="80"/>
              <w:ind w:left="166" w:right="79"/>
              <w:jc w:val="center"/>
              <w:rPr>
                <w:sz w:val="18"/>
              </w:rPr>
            </w:pPr>
            <w:r>
              <w:rPr>
                <w:spacing w:val="-5"/>
                <w:sz w:val="18"/>
              </w:rPr>
              <w:t>35</w:t>
            </w:r>
          </w:p>
        </w:tc>
        <w:tc>
          <w:tcPr>
            <w:tcW w:w="817" w:type="dxa"/>
            <w:tcBorders>
              <w:top w:val="single" w:sz="4" w:space="0" w:color="002B5D"/>
              <w:bottom w:val="single" w:sz="4" w:space="0" w:color="002B5D"/>
            </w:tcBorders>
          </w:tcPr>
          <w:p>
            <w:pPr>
              <w:pStyle w:val="TableParagraph"/>
              <w:spacing w:before="80"/>
              <w:ind w:right="235"/>
              <w:jc w:val="right"/>
              <w:rPr>
                <w:sz w:val="18"/>
              </w:rPr>
            </w:pPr>
            <w:r>
              <w:rPr>
                <w:spacing w:val="-2"/>
                <w:sz w:val="18"/>
              </w:rPr>
              <w:t>516,73</w:t>
            </w:r>
          </w:p>
        </w:tc>
        <w:tc>
          <w:tcPr>
            <w:tcW w:w="796" w:type="dxa"/>
            <w:tcBorders>
              <w:top w:val="single" w:sz="4" w:space="0" w:color="002B5D"/>
              <w:bottom w:val="single" w:sz="4" w:space="0" w:color="002B5D"/>
            </w:tcBorders>
          </w:tcPr>
          <w:p>
            <w:pPr>
              <w:pStyle w:val="TableParagraph"/>
              <w:spacing w:before="80"/>
              <w:ind w:right="128"/>
              <w:jc w:val="right"/>
              <w:rPr>
                <w:sz w:val="18"/>
              </w:rPr>
            </w:pPr>
            <w:r>
              <w:rPr>
                <w:spacing w:val="-4"/>
                <w:sz w:val="18"/>
              </w:rPr>
              <w:t>1595</w:t>
            </w:r>
          </w:p>
        </w:tc>
        <w:tc>
          <w:tcPr>
            <w:tcW w:w="908" w:type="dxa"/>
            <w:tcBorders>
              <w:top w:val="single" w:sz="4" w:space="0" w:color="002B5D"/>
              <w:bottom w:val="single" w:sz="4" w:space="0" w:color="002B5D"/>
            </w:tcBorders>
          </w:tcPr>
          <w:p>
            <w:pPr>
              <w:pStyle w:val="TableParagraph"/>
              <w:spacing w:before="80"/>
              <w:ind w:left="179" w:right="82"/>
              <w:jc w:val="center"/>
              <w:rPr>
                <w:sz w:val="18"/>
              </w:rPr>
            </w:pPr>
            <w:r>
              <w:rPr>
                <w:spacing w:val="-2"/>
                <w:sz w:val="18"/>
              </w:rPr>
              <w:t>49,50</w:t>
            </w:r>
          </w:p>
        </w:tc>
        <w:tc>
          <w:tcPr>
            <w:tcW w:w="1028" w:type="dxa"/>
            <w:tcBorders>
              <w:top w:val="single" w:sz="4" w:space="0" w:color="002B5D"/>
              <w:bottom w:val="single" w:sz="4" w:space="0" w:color="002B5D"/>
            </w:tcBorders>
          </w:tcPr>
          <w:p>
            <w:pPr>
              <w:pStyle w:val="TableParagraph"/>
              <w:spacing w:before="80"/>
              <w:ind w:left="426"/>
              <w:rPr>
                <w:sz w:val="18"/>
              </w:rPr>
            </w:pPr>
            <w:r>
              <w:rPr>
                <w:spacing w:val="-10"/>
                <w:sz w:val="18"/>
              </w:rPr>
              <w:t>1</w:t>
            </w:r>
          </w:p>
        </w:tc>
        <w:tc>
          <w:tcPr>
            <w:tcW w:w="784" w:type="dxa"/>
            <w:tcBorders>
              <w:top w:val="single" w:sz="4" w:space="0" w:color="002B5D"/>
              <w:bottom w:val="single" w:sz="4" w:space="0" w:color="002B5D"/>
            </w:tcBorders>
          </w:tcPr>
          <w:p>
            <w:pPr>
              <w:pStyle w:val="TableParagraph"/>
              <w:spacing w:before="80"/>
              <w:ind w:left="126"/>
              <w:jc w:val="center"/>
              <w:rPr>
                <w:sz w:val="18"/>
              </w:rPr>
            </w:pPr>
            <w:r>
              <w:rPr>
                <w:spacing w:val="-10"/>
                <w:sz w:val="18"/>
              </w:rPr>
              <w:t>1</w:t>
            </w:r>
          </w:p>
        </w:tc>
        <w:tc>
          <w:tcPr>
            <w:tcW w:w="1027" w:type="dxa"/>
            <w:tcBorders>
              <w:top w:val="single" w:sz="4" w:space="0" w:color="002B5D"/>
              <w:bottom w:val="single" w:sz="4" w:space="0" w:color="002B5D"/>
            </w:tcBorders>
          </w:tcPr>
          <w:p>
            <w:pPr>
              <w:pStyle w:val="TableParagraph"/>
              <w:spacing w:before="80"/>
              <w:ind w:right="22"/>
              <w:jc w:val="center"/>
              <w:rPr>
                <w:sz w:val="18"/>
              </w:rPr>
            </w:pPr>
            <w:r>
              <w:rPr>
                <w:spacing w:val="-5"/>
                <w:sz w:val="18"/>
              </w:rPr>
              <w:t>29</w:t>
            </w:r>
          </w:p>
        </w:tc>
        <w:tc>
          <w:tcPr>
            <w:tcW w:w="810" w:type="dxa"/>
            <w:tcBorders>
              <w:top w:val="single" w:sz="4" w:space="0" w:color="002B5D"/>
              <w:bottom w:val="single" w:sz="4" w:space="0" w:color="002B5D"/>
            </w:tcBorders>
          </w:tcPr>
          <w:p>
            <w:pPr>
              <w:pStyle w:val="TableParagraph"/>
              <w:spacing w:before="80"/>
              <w:ind w:left="68" w:right="113"/>
              <w:jc w:val="center"/>
              <w:rPr>
                <w:sz w:val="18"/>
              </w:rPr>
            </w:pPr>
            <w:r>
              <w:rPr>
                <w:spacing w:val="-5"/>
                <w:sz w:val="18"/>
              </w:rPr>
              <w:t>28</w:t>
            </w:r>
          </w:p>
        </w:tc>
        <w:tc>
          <w:tcPr>
            <w:tcW w:w="1122" w:type="dxa"/>
            <w:tcBorders>
              <w:top w:val="single" w:sz="4" w:space="0" w:color="002B5D"/>
              <w:bottom w:val="single" w:sz="4" w:space="0" w:color="002B5D"/>
            </w:tcBorders>
          </w:tcPr>
          <w:p>
            <w:pPr>
              <w:pStyle w:val="TableParagraph"/>
              <w:spacing w:before="80"/>
              <w:ind w:left="9"/>
              <w:jc w:val="center"/>
              <w:rPr>
                <w:sz w:val="18"/>
              </w:rPr>
            </w:pPr>
            <w:r>
              <w:rPr>
                <w:spacing w:val="-10"/>
                <w:sz w:val="18"/>
              </w:rPr>
              <w:t>1</w:t>
            </w:r>
          </w:p>
        </w:tc>
      </w:tr>
      <w:tr>
        <w:trPr>
          <w:trHeight w:val="363" w:hRule="atLeast"/>
        </w:trPr>
        <w:tc>
          <w:tcPr>
            <w:tcW w:w="1234" w:type="dxa"/>
            <w:tcBorders>
              <w:bottom w:val="single" w:sz="12" w:space="0" w:color="002B5D"/>
            </w:tcBorders>
          </w:tcPr>
          <w:p>
            <w:pPr>
              <w:pStyle w:val="TableParagraph"/>
              <w:rPr>
                <w:rFonts w:ascii="Times New Roman"/>
                <w:sz w:val="16"/>
              </w:rPr>
            </w:pPr>
          </w:p>
        </w:tc>
        <w:tc>
          <w:tcPr>
            <w:tcW w:w="1485" w:type="dxa"/>
            <w:tcBorders>
              <w:top w:val="single" w:sz="4" w:space="0" w:color="002B5D"/>
              <w:bottom w:val="single" w:sz="12" w:space="0" w:color="002B5D"/>
            </w:tcBorders>
          </w:tcPr>
          <w:p>
            <w:pPr>
              <w:pStyle w:val="TableParagraph"/>
              <w:spacing w:before="90"/>
              <w:ind w:left="97"/>
              <w:jc w:val="center"/>
              <w:rPr>
                <w:sz w:val="18"/>
              </w:rPr>
            </w:pPr>
            <w:r>
              <w:rPr>
                <w:spacing w:val="-2"/>
                <w:sz w:val="18"/>
              </w:rPr>
              <w:t>31/12/2024</w:t>
            </w:r>
          </w:p>
        </w:tc>
        <w:tc>
          <w:tcPr>
            <w:tcW w:w="736" w:type="dxa"/>
            <w:tcBorders>
              <w:top w:val="single" w:sz="4" w:space="0" w:color="002B5D"/>
              <w:bottom w:val="single" w:sz="12" w:space="0" w:color="002B5D"/>
            </w:tcBorders>
          </w:tcPr>
          <w:p>
            <w:pPr>
              <w:pStyle w:val="TableParagraph"/>
              <w:spacing w:before="90"/>
              <w:ind w:left="166" w:right="79"/>
              <w:jc w:val="center"/>
              <w:rPr>
                <w:sz w:val="18"/>
              </w:rPr>
            </w:pPr>
            <w:r>
              <w:rPr>
                <w:spacing w:val="-5"/>
                <w:sz w:val="18"/>
              </w:rPr>
              <w:t>35</w:t>
            </w:r>
          </w:p>
        </w:tc>
        <w:tc>
          <w:tcPr>
            <w:tcW w:w="817" w:type="dxa"/>
            <w:tcBorders>
              <w:top w:val="single" w:sz="4" w:space="0" w:color="002B5D"/>
              <w:bottom w:val="single" w:sz="12" w:space="0" w:color="002B5D"/>
            </w:tcBorders>
          </w:tcPr>
          <w:p>
            <w:pPr>
              <w:pStyle w:val="TableParagraph"/>
              <w:spacing w:before="90"/>
              <w:ind w:right="235"/>
              <w:jc w:val="right"/>
              <w:rPr>
                <w:sz w:val="18"/>
              </w:rPr>
            </w:pPr>
            <w:r>
              <w:rPr>
                <w:spacing w:val="-2"/>
                <w:sz w:val="18"/>
              </w:rPr>
              <w:t>516,73</w:t>
            </w:r>
          </w:p>
        </w:tc>
        <w:tc>
          <w:tcPr>
            <w:tcW w:w="796" w:type="dxa"/>
            <w:tcBorders>
              <w:top w:val="single" w:sz="4" w:space="0" w:color="002B5D"/>
              <w:bottom w:val="single" w:sz="12" w:space="0" w:color="002B5D"/>
            </w:tcBorders>
          </w:tcPr>
          <w:p>
            <w:pPr>
              <w:pStyle w:val="TableParagraph"/>
              <w:spacing w:before="90"/>
              <w:ind w:right="128"/>
              <w:jc w:val="right"/>
              <w:rPr>
                <w:sz w:val="18"/>
              </w:rPr>
            </w:pPr>
            <w:r>
              <w:rPr>
                <w:spacing w:val="-4"/>
                <w:sz w:val="18"/>
              </w:rPr>
              <w:t>1595</w:t>
            </w:r>
          </w:p>
        </w:tc>
        <w:tc>
          <w:tcPr>
            <w:tcW w:w="908" w:type="dxa"/>
            <w:tcBorders>
              <w:top w:val="single" w:sz="4" w:space="0" w:color="002B5D"/>
              <w:bottom w:val="single" w:sz="12" w:space="0" w:color="002B5D"/>
            </w:tcBorders>
          </w:tcPr>
          <w:p>
            <w:pPr>
              <w:pStyle w:val="TableParagraph"/>
              <w:spacing w:before="90"/>
              <w:ind w:left="179" w:right="82"/>
              <w:jc w:val="center"/>
              <w:rPr>
                <w:sz w:val="18"/>
              </w:rPr>
            </w:pPr>
            <w:r>
              <w:rPr>
                <w:spacing w:val="-2"/>
                <w:sz w:val="18"/>
              </w:rPr>
              <w:t>49,50</w:t>
            </w:r>
          </w:p>
        </w:tc>
        <w:tc>
          <w:tcPr>
            <w:tcW w:w="1028" w:type="dxa"/>
            <w:tcBorders>
              <w:top w:val="single" w:sz="4" w:space="0" w:color="002B5D"/>
              <w:bottom w:val="single" w:sz="12" w:space="0" w:color="002B5D"/>
            </w:tcBorders>
          </w:tcPr>
          <w:p>
            <w:pPr>
              <w:pStyle w:val="TableParagraph"/>
              <w:spacing w:before="90"/>
              <w:ind w:left="426"/>
              <w:rPr>
                <w:sz w:val="18"/>
              </w:rPr>
            </w:pPr>
            <w:r>
              <w:rPr>
                <w:spacing w:val="-10"/>
                <w:sz w:val="18"/>
              </w:rPr>
              <w:t>1</w:t>
            </w:r>
          </w:p>
        </w:tc>
        <w:tc>
          <w:tcPr>
            <w:tcW w:w="784" w:type="dxa"/>
            <w:tcBorders>
              <w:top w:val="single" w:sz="4" w:space="0" w:color="002B5D"/>
              <w:bottom w:val="single" w:sz="12" w:space="0" w:color="002B5D"/>
            </w:tcBorders>
          </w:tcPr>
          <w:p>
            <w:pPr>
              <w:pStyle w:val="TableParagraph"/>
              <w:spacing w:before="90"/>
              <w:ind w:left="126"/>
              <w:jc w:val="center"/>
              <w:rPr>
                <w:sz w:val="18"/>
              </w:rPr>
            </w:pPr>
            <w:r>
              <w:rPr>
                <w:spacing w:val="-10"/>
                <w:sz w:val="18"/>
              </w:rPr>
              <w:t>1</w:t>
            </w:r>
          </w:p>
        </w:tc>
        <w:tc>
          <w:tcPr>
            <w:tcW w:w="1027" w:type="dxa"/>
            <w:tcBorders>
              <w:top w:val="single" w:sz="4" w:space="0" w:color="002B5D"/>
              <w:bottom w:val="single" w:sz="12" w:space="0" w:color="002B5D"/>
            </w:tcBorders>
          </w:tcPr>
          <w:p>
            <w:pPr>
              <w:pStyle w:val="TableParagraph"/>
              <w:spacing w:before="90"/>
              <w:ind w:right="22"/>
              <w:jc w:val="center"/>
              <w:rPr>
                <w:sz w:val="18"/>
              </w:rPr>
            </w:pPr>
            <w:r>
              <w:rPr>
                <w:spacing w:val="-5"/>
                <w:sz w:val="18"/>
              </w:rPr>
              <w:t>29</w:t>
            </w:r>
          </w:p>
        </w:tc>
        <w:tc>
          <w:tcPr>
            <w:tcW w:w="810" w:type="dxa"/>
            <w:tcBorders>
              <w:top w:val="single" w:sz="4" w:space="0" w:color="002B5D"/>
              <w:bottom w:val="single" w:sz="12" w:space="0" w:color="002B5D"/>
            </w:tcBorders>
          </w:tcPr>
          <w:p>
            <w:pPr>
              <w:pStyle w:val="TableParagraph"/>
              <w:spacing w:before="90"/>
              <w:ind w:left="68" w:right="113"/>
              <w:jc w:val="center"/>
              <w:rPr>
                <w:sz w:val="18"/>
              </w:rPr>
            </w:pPr>
            <w:r>
              <w:rPr>
                <w:spacing w:val="-5"/>
                <w:sz w:val="18"/>
              </w:rPr>
              <w:t>28</w:t>
            </w:r>
          </w:p>
        </w:tc>
        <w:tc>
          <w:tcPr>
            <w:tcW w:w="1122" w:type="dxa"/>
            <w:tcBorders>
              <w:top w:val="single" w:sz="4" w:space="0" w:color="002B5D"/>
              <w:bottom w:val="single" w:sz="12" w:space="0" w:color="002B5D"/>
            </w:tcBorders>
          </w:tcPr>
          <w:p>
            <w:pPr>
              <w:pStyle w:val="TableParagraph"/>
              <w:spacing w:before="90"/>
              <w:ind w:left="9"/>
              <w:jc w:val="center"/>
              <w:rPr>
                <w:sz w:val="18"/>
              </w:rPr>
            </w:pPr>
            <w:r>
              <w:rPr>
                <w:spacing w:val="-10"/>
                <w:sz w:val="18"/>
              </w:rPr>
              <w:t>1</w:t>
            </w:r>
          </w:p>
        </w:tc>
      </w:tr>
      <w:tr>
        <w:trPr>
          <w:trHeight w:val="330" w:hRule="atLeast"/>
        </w:trPr>
        <w:tc>
          <w:tcPr>
            <w:tcW w:w="1234" w:type="dxa"/>
            <w:tcBorders>
              <w:top w:val="single" w:sz="12" w:space="0" w:color="002B5D"/>
            </w:tcBorders>
          </w:tcPr>
          <w:p>
            <w:pPr>
              <w:pStyle w:val="TableParagraph"/>
              <w:rPr>
                <w:rFonts w:ascii="Times New Roman"/>
                <w:sz w:val="16"/>
              </w:rPr>
            </w:pPr>
          </w:p>
        </w:tc>
        <w:tc>
          <w:tcPr>
            <w:tcW w:w="1485" w:type="dxa"/>
            <w:tcBorders>
              <w:top w:val="single" w:sz="12" w:space="0" w:color="002B5D"/>
              <w:bottom w:val="single" w:sz="4" w:space="0" w:color="002B5D"/>
            </w:tcBorders>
          </w:tcPr>
          <w:p>
            <w:pPr>
              <w:pStyle w:val="TableParagraph"/>
              <w:spacing w:before="61"/>
              <w:ind w:left="97"/>
              <w:jc w:val="center"/>
              <w:rPr>
                <w:sz w:val="18"/>
              </w:rPr>
            </w:pPr>
            <w:r>
              <w:rPr>
                <w:spacing w:val="-2"/>
                <w:sz w:val="18"/>
              </w:rPr>
              <w:t>31/12/2022</w:t>
            </w:r>
          </w:p>
        </w:tc>
        <w:tc>
          <w:tcPr>
            <w:tcW w:w="736" w:type="dxa"/>
            <w:tcBorders>
              <w:top w:val="single" w:sz="12" w:space="0" w:color="002B5D"/>
              <w:bottom w:val="single" w:sz="4" w:space="0" w:color="002B5D"/>
            </w:tcBorders>
          </w:tcPr>
          <w:p>
            <w:pPr>
              <w:pStyle w:val="TableParagraph"/>
              <w:spacing w:before="61"/>
              <w:ind w:left="166" w:right="79"/>
              <w:jc w:val="center"/>
              <w:rPr>
                <w:sz w:val="18"/>
              </w:rPr>
            </w:pPr>
            <w:r>
              <w:rPr>
                <w:spacing w:val="-5"/>
                <w:sz w:val="18"/>
              </w:rPr>
              <w:t>39</w:t>
            </w:r>
          </w:p>
        </w:tc>
        <w:tc>
          <w:tcPr>
            <w:tcW w:w="817" w:type="dxa"/>
            <w:tcBorders>
              <w:top w:val="single" w:sz="12" w:space="0" w:color="002B5D"/>
              <w:bottom w:val="single" w:sz="4" w:space="0" w:color="002B5D"/>
            </w:tcBorders>
          </w:tcPr>
          <w:p>
            <w:pPr>
              <w:pStyle w:val="TableParagraph"/>
              <w:spacing w:before="61"/>
              <w:ind w:right="238"/>
              <w:jc w:val="right"/>
              <w:rPr>
                <w:sz w:val="18"/>
              </w:rPr>
            </w:pPr>
            <w:r>
              <w:rPr>
                <w:spacing w:val="-5"/>
                <w:sz w:val="18"/>
              </w:rPr>
              <w:t>469</w:t>
            </w:r>
          </w:p>
        </w:tc>
        <w:tc>
          <w:tcPr>
            <w:tcW w:w="796" w:type="dxa"/>
            <w:tcBorders>
              <w:top w:val="single" w:sz="12" w:space="0" w:color="002B5D"/>
              <w:bottom w:val="single" w:sz="4" w:space="0" w:color="002B5D"/>
            </w:tcBorders>
          </w:tcPr>
          <w:p>
            <w:pPr>
              <w:pStyle w:val="TableParagraph"/>
              <w:spacing w:before="61"/>
              <w:ind w:right="128"/>
              <w:jc w:val="right"/>
              <w:rPr>
                <w:sz w:val="18"/>
              </w:rPr>
            </w:pPr>
            <w:r>
              <w:rPr>
                <w:spacing w:val="-5"/>
                <w:sz w:val="18"/>
              </w:rPr>
              <w:t>917</w:t>
            </w:r>
          </w:p>
        </w:tc>
        <w:tc>
          <w:tcPr>
            <w:tcW w:w="908" w:type="dxa"/>
            <w:tcBorders>
              <w:top w:val="single" w:sz="12" w:space="0" w:color="002B5D"/>
              <w:bottom w:val="single" w:sz="4" w:space="0" w:color="002B5D"/>
            </w:tcBorders>
          </w:tcPr>
          <w:p>
            <w:pPr>
              <w:pStyle w:val="TableParagraph"/>
              <w:spacing w:before="61"/>
              <w:ind w:left="179"/>
              <w:jc w:val="center"/>
              <w:rPr>
                <w:sz w:val="18"/>
              </w:rPr>
            </w:pPr>
            <w:r>
              <w:rPr>
                <w:spacing w:val="-4"/>
                <w:sz w:val="18"/>
              </w:rPr>
              <w:t>8,00</w:t>
            </w:r>
          </w:p>
        </w:tc>
        <w:tc>
          <w:tcPr>
            <w:tcW w:w="1028" w:type="dxa"/>
            <w:tcBorders>
              <w:top w:val="single" w:sz="12" w:space="0" w:color="002B5D"/>
              <w:bottom w:val="single" w:sz="4" w:space="0" w:color="002B5D"/>
            </w:tcBorders>
          </w:tcPr>
          <w:p>
            <w:pPr>
              <w:pStyle w:val="TableParagraph"/>
              <w:spacing w:before="61"/>
              <w:ind w:left="426"/>
              <w:rPr>
                <w:sz w:val="18"/>
              </w:rPr>
            </w:pPr>
            <w:r>
              <w:rPr>
                <w:spacing w:val="-10"/>
                <w:sz w:val="18"/>
              </w:rPr>
              <w:t>0</w:t>
            </w:r>
          </w:p>
        </w:tc>
        <w:tc>
          <w:tcPr>
            <w:tcW w:w="784" w:type="dxa"/>
            <w:tcBorders>
              <w:top w:val="single" w:sz="12" w:space="0" w:color="002B5D"/>
              <w:bottom w:val="single" w:sz="4" w:space="0" w:color="002B5D"/>
            </w:tcBorders>
          </w:tcPr>
          <w:p>
            <w:pPr>
              <w:pStyle w:val="TableParagraph"/>
              <w:spacing w:before="61"/>
              <w:ind w:left="126" w:right="5"/>
              <w:jc w:val="center"/>
              <w:rPr>
                <w:sz w:val="18"/>
              </w:rPr>
            </w:pPr>
            <w:r>
              <w:rPr>
                <w:spacing w:val="-5"/>
                <w:sz w:val="18"/>
              </w:rPr>
              <w:t>N/A</w:t>
            </w:r>
          </w:p>
        </w:tc>
        <w:tc>
          <w:tcPr>
            <w:tcW w:w="1027" w:type="dxa"/>
            <w:tcBorders>
              <w:top w:val="single" w:sz="12" w:space="0" w:color="002B5D"/>
              <w:bottom w:val="single" w:sz="4" w:space="0" w:color="002B5D"/>
            </w:tcBorders>
          </w:tcPr>
          <w:p>
            <w:pPr>
              <w:pStyle w:val="TableParagraph"/>
              <w:spacing w:before="61"/>
              <w:ind w:right="22"/>
              <w:jc w:val="center"/>
              <w:rPr>
                <w:sz w:val="18"/>
              </w:rPr>
            </w:pPr>
            <w:r>
              <w:rPr>
                <w:spacing w:val="-5"/>
                <w:sz w:val="18"/>
              </w:rPr>
              <w:t>N/A</w:t>
            </w:r>
          </w:p>
        </w:tc>
        <w:tc>
          <w:tcPr>
            <w:tcW w:w="810" w:type="dxa"/>
            <w:tcBorders>
              <w:top w:val="single" w:sz="12" w:space="0" w:color="002B5D"/>
              <w:bottom w:val="single" w:sz="4" w:space="0" w:color="002B5D"/>
            </w:tcBorders>
          </w:tcPr>
          <w:p>
            <w:pPr>
              <w:pStyle w:val="TableParagraph"/>
              <w:spacing w:before="61"/>
              <w:ind w:left="68" w:right="117"/>
              <w:jc w:val="center"/>
              <w:rPr>
                <w:sz w:val="18"/>
              </w:rPr>
            </w:pPr>
            <w:r>
              <w:rPr>
                <w:spacing w:val="-5"/>
                <w:sz w:val="18"/>
              </w:rPr>
              <w:t>N/A</w:t>
            </w:r>
          </w:p>
        </w:tc>
        <w:tc>
          <w:tcPr>
            <w:tcW w:w="1122" w:type="dxa"/>
            <w:tcBorders>
              <w:top w:val="single" w:sz="12" w:space="0" w:color="002B5D"/>
              <w:bottom w:val="single" w:sz="4" w:space="0" w:color="002B5D"/>
            </w:tcBorders>
          </w:tcPr>
          <w:p>
            <w:pPr>
              <w:pStyle w:val="TableParagraph"/>
              <w:spacing w:before="61"/>
              <w:ind w:left="9" w:right="5"/>
              <w:jc w:val="center"/>
              <w:rPr>
                <w:sz w:val="18"/>
              </w:rPr>
            </w:pPr>
            <w:r>
              <w:rPr>
                <w:spacing w:val="-5"/>
                <w:sz w:val="18"/>
              </w:rPr>
              <w:t>N/A</w:t>
            </w:r>
          </w:p>
        </w:tc>
      </w:tr>
      <w:tr>
        <w:trPr>
          <w:trHeight w:val="347" w:hRule="atLeast"/>
        </w:trPr>
        <w:tc>
          <w:tcPr>
            <w:tcW w:w="1234" w:type="dxa"/>
          </w:tcPr>
          <w:p>
            <w:pPr>
              <w:pStyle w:val="TableParagraph"/>
              <w:spacing w:before="88"/>
              <w:ind w:left="1" w:right="3"/>
              <w:jc w:val="center"/>
              <w:rPr>
                <w:b/>
                <w:sz w:val="18"/>
              </w:rPr>
            </w:pPr>
            <w:r>
              <w:rPr>
                <w:b/>
                <w:spacing w:val="-2"/>
                <w:sz w:val="18"/>
              </w:rPr>
              <w:t>PALMA</w:t>
            </w:r>
          </w:p>
        </w:tc>
        <w:tc>
          <w:tcPr>
            <w:tcW w:w="1485" w:type="dxa"/>
            <w:tcBorders>
              <w:top w:val="single" w:sz="4" w:space="0" w:color="002B5D"/>
              <w:bottom w:val="single" w:sz="4" w:space="0" w:color="002B5D"/>
            </w:tcBorders>
          </w:tcPr>
          <w:p>
            <w:pPr>
              <w:pStyle w:val="TableParagraph"/>
              <w:spacing w:before="80"/>
              <w:ind w:left="97"/>
              <w:jc w:val="center"/>
              <w:rPr>
                <w:sz w:val="18"/>
              </w:rPr>
            </w:pPr>
            <w:r>
              <w:rPr>
                <w:spacing w:val="-2"/>
                <w:sz w:val="18"/>
              </w:rPr>
              <w:t>31/12/2023</w:t>
            </w:r>
          </w:p>
        </w:tc>
        <w:tc>
          <w:tcPr>
            <w:tcW w:w="736" w:type="dxa"/>
            <w:tcBorders>
              <w:top w:val="single" w:sz="4" w:space="0" w:color="002B5D"/>
              <w:bottom w:val="single" w:sz="4" w:space="0" w:color="002B5D"/>
            </w:tcBorders>
          </w:tcPr>
          <w:p>
            <w:pPr>
              <w:pStyle w:val="TableParagraph"/>
              <w:spacing w:before="80"/>
              <w:ind w:left="166" w:right="79"/>
              <w:jc w:val="center"/>
              <w:rPr>
                <w:sz w:val="18"/>
              </w:rPr>
            </w:pPr>
            <w:r>
              <w:rPr>
                <w:spacing w:val="-5"/>
                <w:sz w:val="18"/>
              </w:rPr>
              <w:t>39</w:t>
            </w:r>
          </w:p>
        </w:tc>
        <w:tc>
          <w:tcPr>
            <w:tcW w:w="817" w:type="dxa"/>
            <w:tcBorders>
              <w:top w:val="single" w:sz="4" w:space="0" w:color="002B5D"/>
              <w:bottom w:val="single" w:sz="4" w:space="0" w:color="002B5D"/>
            </w:tcBorders>
          </w:tcPr>
          <w:p>
            <w:pPr>
              <w:pStyle w:val="TableParagraph"/>
              <w:spacing w:before="80"/>
              <w:ind w:right="238"/>
              <w:jc w:val="right"/>
              <w:rPr>
                <w:sz w:val="18"/>
              </w:rPr>
            </w:pPr>
            <w:r>
              <w:rPr>
                <w:spacing w:val="-5"/>
                <w:sz w:val="18"/>
              </w:rPr>
              <w:t>554</w:t>
            </w:r>
          </w:p>
        </w:tc>
        <w:tc>
          <w:tcPr>
            <w:tcW w:w="796" w:type="dxa"/>
            <w:tcBorders>
              <w:top w:val="single" w:sz="4" w:space="0" w:color="002B5D"/>
              <w:bottom w:val="single" w:sz="4" w:space="0" w:color="002B5D"/>
            </w:tcBorders>
          </w:tcPr>
          <w:p>
            <w:pPr>
              <w:pStyle w:val="TableParagraph"/>
              <w:spacing w:before="80"/>
              <w:ind w:right="128"/>
              <w:jc w:val="right"/>
              <w:rPr>
                <w:sz w:val="18"/>
              </w:rPr>
            </w:pPr>
            <w:r>
              <w:rPr>
                <w:spacing w:val="-5"/>
                <w:sz w:val="18"/>
              </w:rPr>
              <w:t>875</w:t>
            </w:r>
          </w:p>
        </w:tc>
        <w:tc>
          <w:tcPr>
            <w:tcW w:w="908" w:type="dxa"/>
            <w:tcBorders>
              <w:top w:val="single" w:sz="4" w:space="0" w:color="002B5D"/>
              <w:bottom w:val="single" w:sz="4" w:space="0" w:color="002B5D"/>
            </w:tcBorders>
          </w:tcPr>
          <w:p>
            <w:pPr>
              <w:pStyle w:val="TableParagraph"/>
              <w:spacing w:before="80"/>
              <w:ind w:left="179"/>
              <w:jc w:val="center"/>
              <w:rPr>
                <w:sz w:val="18"/>
              </w:rPr>
            </w:pPr>
            <w:r>
              <w:rPr>
                <w:spacing w:val="-4"/>
                <w:sz w:val="18"/>
              </w:rPr>
              <w:t>8,00</w:t>
            </w:r>
          </w:p>
        </w:tc>
        <w:tc>
          <w:tcPr>
            <w:tcW w:w="1028" w:type="dxa"/>
            <w:tcBorders>
              <w:top w:val="single" w:sz="4" w:space="0" w:color="002B5D"/>
              <w:bottom w:val="single" w:sz="4" w:space="0" w:color="002B5D"/>
            </w:tcBorders>
          </w:tcPr>
          <w:p>
            <w:pPr>
              <w:pStyle w:val="TableParagraph"/>
              <w:spacing w:before="80"/>
              <w:ind w:left="426"/>
              <w:rPr>
                <w:sz w:val="18"/>
              </w:rPr>
            </w:pPr>
            <w:r>
              <w:rPr>
                <w:spacing w:val="-10"/>
                <w:sz w:val="18"/>
              </w:rPr>
              <w:t>0</w:t>
            </w:r>
          </w:p>
        </w:tc>
        <w:tc>
          <w:tcPr>
            <w:tcW w:w="784" w:type="dxa"/>
            <w:tcBorders>
              <w:top w:val="single" w:sz="4" w:space="0" w:color="002B5D"/>
              <w:bottom w:val="single" w:sz="4" w:space="0" w:color="002B5D"/>
            </w:tcBorders>
          </w:tcPr>
          <w:p>
            <w:pPr>
              <w:pStyle w:val="TableParagraph"/>
              <w:spacing w:before="80"/>
              <w:ind w:left="126" w:right="5"/>
              <w:jc w:val="center"/>
              <w:rPr>
                <w:sz w:val="18"/>
              </w:rPr>
            </w:pPr>
            <w:r>
              <w:rPr>
                <w:spacing w:val="-5"/>
                <w:sz w:val="18"/>
              </w:rPr>
              <w:t>N/A</w:t>
            </w:r>
          </w:p>
        </w:tc>
        <w:tc>
          <w:tcPr>
            <w:tcW w:w="1027" w:type="dxa"/>
            <w:tcBorders>
              <w:top w:val="single" w:sz="4" w:space="0" w:color="002B5D"/>
              <w:bottom w:val="single" w:sz="4" w:space="0" w:color="002B5D"/>
            </w:tcBorders>
          </w:tcPr>
          <w:p>
            <w:pPr>
              <w:pStyle w:val="TableParagraph"/>
              <w:spacing w:before="80"/>
              <w:ind w:right="22"/>
              <w:jc w:val="center"/>
              <w:rPr>
                <w:sz w:val="18"/>
              </w:rPr>
            </w:pPr>
            <w:r>
              <w:rPr>
                <w:spacing w:val="-5"/>
                <w:sz w:val="18"/>
              </w:rPr>
              <w:t>N/A</w:t>
            </w:r>
          </w:p>
        </w:tc>
        <w:tc>
          <w:tcPr>
            <w:tcW w:w="810" w:type="dxa"/>
            <w:tcBorders>
              <w:top w:val="single" w:sz="4" w:space="0" w:color="002B5D"/>
              <w:bottom w:val="single" w:sz="4" w:space="0" w:color="002B5D"/>
            </w:tcBorders>
          </w:tcPr>
          <w:p>
            <w:pPr>
              <w:pStyle w:val="TableParagraph"/>
              <w:spacing w:before="80"/>
              <w:ind w:left="68" w:right="117"/>
              <w:jc w:val="center"/>
              <w:rPr>
                <w:sz w:val="18"/>
              </w:rPr>
            </w:pPr>
            <w:r>
              <w:rPr>
                <w:spacing w:val="-5"/>
                <w:sz w:val="18"/>
              </w:rPr>
              <w:t>N/A</w:t>
            </w:r>
          </w:p>
        </w:tc>
        <w:tc>
          <w:tcPr>
            <w:tcW w:w="1122" w:type="dxa"/>
            <w:tcBorders>
              <w:top w:val="single" w:sz="4" w:space="0" w:color="002B5D"/>
              <w:bottom w:val="single" w:sz="4" w:space="0" w:color="002B5D"/>
            </w:tcBorders>
          </w:tcPr>
          <w:p>
            <w:pPr>
              <w:pStyle w:val="TableParagraph"/>
              <w:spacing w:before="80"/>
              <w:ind w:left="9" w:right="5"/>
              <w:jc w:val="center"/>
              <w:rPr>
                <w:sz w:val="18"/>
              </w:rPr>
            </w:pPr>
            <w:r>
              <w:rPr>
                <w:spacing w:val="-5"/>
                <w:sz w:val="18"/>
              </w:rPr>
              <w:t>N/A</w:t>
            </w:r>
          </w:p>
        </w:tc>
      </w:tr>
      <w:tr>
        <w:trPr>
          <w:trHeight w:val="364" w:hRule="atLeast"/>
        </w:trPr>
        <w:tc>
          <w:tcPr>
            <w:tcW w:w="1234" w:type="dxa"/>
            <w:tcBorders>
              <w:bottom w:val="single" w:sz="12" w:space="0" w:color="002B5D"/>
            </w:tcBorders>
          </w:tcPr>
          <w:p>
            <w:pPr>
              <w:pStyle w:val="TableParagraph"/>
              <w:rPr>
                <w:rFonts w:ascii="Times New Roman"/>
                <w:sz w:val="16"/>
              </w:rPr>
            </w:pPr>
          </w:p>
        </w:tc>
        <w:tc>
          <w:tcPr>
            <w:tcW w:w="1485" w:type="dxa"/>
            <w:tcBorders>
              <w:top w:val="single" w:sz="4" w:space="0" w:color="002B5D"/>
              <w:bottom w:val="single" w:sz="12" w:space="0" w:color="002B5D"/>
            </w:tcBorders>
          </w:tcPr>
          <w:p>
            <w:pPr>
              <w:pStyle w:val="TableParagraph"/>
              <w:spacing w:before="91"/>
              <w:ind w:left="97"/>
              <w:jc w:val="center"/>
              <w:rPr>
                <w:sz w:val="18"/>
              </w:rPr>
            </w:pPr>
            <w:r>
              <w:rPr>
                <w:spacing w:val="-2"/>
                <w:sz w:val="18"/>
              </w:rPr>
              <w:t>31/12/2024</w:t>
            </w:r>
          </w:p>
        </w:tc>
        <w:tc>
          <w:tcPr>
            <w:tcW w:w="736" w:type="dxa"/>
            <w:tcBorders>
              <w:top w:val="single" w:sz="4" w:space="0" w:color="002B5D"/>
              <w:bottom w:val="single" w:sz="12" w:space="0" w:color="002B5D"/>
            </w:tcBorders>
          </w:tcPr>
          <w:p>
            <w:pPr>
              <w:pStyle w:val="TableParagraph"/>
              <w:spacing w:before="91"/>
              <w:ind w:left="166" w:right="79"/>
              <w:jc w:val="center"/>
              <w:rPr>
                <w:sz w:val="18"/>
              </w:rPr>
            </w:pPr>
            <w:r>
              <w:rPr>
                <w:spacing w:val="-5"/>
                <w:sz w:val="18"/>
              </w:rPr>
              <w:t>40</w:t>
            </w:r>
          </w:p>
        </w:tc>
        <w:tc>
          <w:tcPr>
            <w:tcW w:w="817" w:type="dxa"/>
            <w:tcBorders>
              <w:top w:val="single" w:sz="4" w:space="0" w:color="002B5D"/>
              <w:bottom w:val="single" w:sz="12" w:space="0" w:color="002B5D"/>
            </w:tcBorders>
          </w:tcPr>
          <w:p>
            <w:pPr>
              <w:pStyle w:val="TableParagraph"/>
              <w:spacing w:before="91"/>
              <w:ind w:right="238"/>
              <w:jc w:val="right"/>
              <w:rPr>
                <w:sz w:val="18"/>
              </w:rPr>
            </w:pPr>
            <w:r>
              <w:rPr>
                <w:spacing w:val="-5"/>
                <w:sz w:val="18"/>
              </w:rPr>
              <w:t>550</w:t>
            </w:r>
          </w:p>
        </w:tc>
        <w:tc>
          <w:tcPr>
            <w:tcW w:w="796" w:type="dxa"/>
            <w:tcBorders>
              <w:top w:val="single" w:sz="4" w:space="0" w:color="002B5D"/>
              <w:bottom w:val="single" w:sz="12" w:space="0" w:color="002B5D"/>
            </w:tcBorders>
          </w:tcPr>
          <w:p>
            <w:pPr>
              <w:pStyle w:val="TableParagraph"/>
              <w:spacing w:before="91"/>
              <w:ind w:right="128"/>
              <w:jc w:val="right"/>
              <w:rPr>
                <w:sz w:val="18"/>
              </w:rPr>
            </w:pPr>
            <w:r>
              <w:rPr>
                <w:spacing w:val="-5"/>
                <w:sz w:val="18"/>
              </w:rPr>
              <w:t>878</w:t>
            </w:r>
          </w:p>
        </w:tc>
        <w:tc>
          <w:tcPr>
            <w:tcW w:w="908" w:type="dxa"/>
            <w:tcBorders>
              <w:top w:val="single" w:sz="4" w:space="0" w:color="002B5D"/>
              <w:bottom w:val="single" w:sz="12" w:space="0" w:color="002B5D"/>
            </w:tcBorders>
          </w:tcPr>
          <w:p>
            <w:pPr>
              <w:pStyle w:val="TableParagraph"/>
              <w:spacing w:before="91"/>
              <w:ind w:left="179"/>
              <w:jc w:val="center"/>
              <w:rPr>
                <w:sz w:val="18"/>
              </w:rPr>
            </w:pPr>
            <w:r>
              <w:rPr>
                <w:spacing w:val="-4"/>
                <w:sz w:val="18"/>
              </w:rPr>
              <w:t>8,00</w:t>
            </w:r>
          </w:p>
        </w:tc>
        <w:tc>
          <w:tcPr>
            <w:tcW w:w="1028" w:type="dxa"/>
            <w:tcBorders>
              <w:top w:val="single" w:sz="4" w:space="0" w:color="002B5D"/>
              <w:bottom w:val="single" w:sz="12" w:space="0" w:color="002B5D"/>
            </w:tcBorders>
          </w:tcPr>
          <w:p>
            <w:pPr>
              <w:pStyle w:val="TableParagraph"/>
              <w:spacing w:before="91"/>
              <w:ind w:left="426"/>
              <w:rPr>
                <w:sz w:val="18"/>
              </w:rPr>
            </w:pPr>
            <w:r>
              <w:rPr>
                <w:spacing w:val="-10"/>
                <w:sz w:val="18"/>
              </w:rPr>
              <w:t>0</w:t>
            </w:r>
          </w:p>
        </w:tc>
        <w:tc>
          <w:tcPr>
            <w:tcW w:w="784" w:type="dxa"/>
            <w:tcBorders>
              <w:top w:val="single" w:sz="4" w:space="0" w:color="002B5D"/>
              <w:bottom w:val="single" w:sz="12" w:space="0" w:color="002B5D"/>
            </w:tcBorders>
          </w:tcPr>
          <w:p>
            <w:pPr>
              <w:pStyle w:val="TableParagraph"/>
              <w:spacing w:before="91"/>
              <w:ind w:left="126" w:right="5"/>
              <w:jc w:val="center"/>
              <w:rPr>
                <w:sz w:val="18"/>
              </w:rPr>
            </w:pPr>
            <w:r>
              <w:rPr>
                <w:spacing w:val="-5"/>
                <w:sz w:val="18"/>
              </w:rPr>
              <w:t>N/A</w:t>
            </w:r>
          </w:p>
        </w:tc>
        <w:tc>
          <w:tcPr>
            <w:tcW w:w="1027" w:type="dxa"/>
            <w:tcBorders>
              <w:top w:val="single" w:sz="4" w:space="0" w:color="002B5D"/>
              <w:bottom w:val="single" w:sz="12" w:space="0" w:color="002B5D"/>
            </w:tcBorders>
          </w:tcPr>
          <w:p>
            <w:pPr>
              <w:pStyle w:val="TableParagraph"/>
              <w:spacing w:before="91"/>
              <w:ind w:right="22"/>
              <w:jc w:val="center"/>
              <w:rPr>
                <w:sz w:val="18"/>
              </w:rPr>
            </w:pPr>
            <w:r>
              <w:rPr>
                <w:spacing w:val="-5"/>
                <w:sz w:val="18"/>
              </w:rPr>
              <w:t>N/A</w:t>
            </w:r>
          </w:p>
        </w:tc>
        <w:tc>
          <w:tcPr>
            <w:tcW w:w="810" w:type="dxa"/>
            <w:tcBorders>
              <w:top w:val="single" w:sz="4" w:space="0" w:color="002B5D"/>
              <w:bottom w:val="single" w:sz="12" w:space="0" w:color="002B5D"/>
            </w:tcBorders>
          </w:tcPr>
          <w:p>
            <w:pPr>
              <w:pStyle w:val="TableParagraph"/>
              <w:spacing w:before="91"/>
              <w:ind w:left="68" w:right="117"/>
              <w:jc w:val="center"/>
              <w:rPr>
                <w:sz w:val="18"/>
              </w:rPr>
            </w:pPr>
            <w:r>
              <w:rPr>
                <w:spacing w:val="-5"/>
                <w:sz w:val="18"/>
              </w:rPr>
              <w:t>N/A</w:t>
            </w:r>
          </w:p>
        </w:tc>
        <w:tc>
          <w:tcPr>
            <w:tcW w:w="1122" w:type="dxa"/>
            <w:tcBorders>
              <w:top w:val="single" w:sz="4" w:space="0" w:color="002B5D"/>
              <w:bottom w:val="single" w:sz="12" w:space="0" w:color="002B5D"/>
            </w:tcBorders>
          </w:tcPr>
          <w:p>
            <w:pPr>
              <w:pStyle w:val="TableParagraph"/>
              <w:spacing w:before="91"/>
              <w:ind w:left="9" w:right="5"/>
              <w:jc w:val="center"/>
              <w:rPr>
                <w:sz w:val="18"/>
              </w:rPr>
            </w:pPr>
            <w:r>
              <w:rPr>
                <w:spacing w:val="-5"/>
                <w:sz w:val="18"/>
              </w:rPr>
              <w:t>N/A</w:t>
            </w:r>
          </w:p>
        </w:tc>
      </w:tr>
      <w:tr>
        <w:trPr>
          <w:trHeight w:val="330" w:hRule="atLeast"/>
        </w:trPr>
        <w:tc>
          <w:tcPr>
            <w:tcW w:w="1234" w:type="dxa"/>
            <w:tcBorders>
              <w:top w:val="single" w:sz="12" w:space="0" w:color="002B5D"/>
            </w:tcBorders>
          </w:tcPr>
          <w:p>
            <w:pPr>
              <w:pStyle w:val="TableParagraph"/>
              <w:rPr>
                <w:rFonts w:ascii="Times New Roman"/>
                <w:sz w:val="16"/>
              </w:rPr>
            </w:pPr>
          </w:p>
        </w:tc>
        <w:tc>
          <w:tcPr>
            <w:tcW w:w="1485" w:type="dxa"/>
            <w:tcBorders>
              <w:top w:val="single" w:sz="12" w:space="0" w:color="002B5D"/>
              <w:bottom w:val="single" w:sz="4" w:space="0" w:color="002B5D"/>
            </w:tcBorders>
          </w:tcPr>
          <w:p>
            <w:pPr>
              <w:pStyle w:val="TableParagraph"/>
              <w:spacing w:before="61"/>
              <w:ind w:left="97"/>
              <w:jc w:val="center"/>
              <w:rPr>
                <w:sz w:val="18"/>
              </w:rPr>
            </w:pPr>
            <w:r>
              <w:rPr>
                <w:spacing w:val="-2"/>
                <w:sz w:val="18"/>
              </w:rPr>
              <w:t>31/12/2022</w:t>
            </w:r>
          </w:p>
        </w:tc>
        <w:tc>
          <w:tcPr>
            <w:tcW w:w="736" w:type="dxa"/>
            <w:tcBorders>
              <w:top w:val="single" w:sz="12" w:space="0" w:color="002B5D"/>
              <w:bottom w:val="single" w:sz="4" w:space="0" w:color="002B5D"/>
            </w:tcBorders>
          </w:tcPr>
          <w:p>
            <w:pPr>
              <w:pStyle w:val="TableParagraph"/>
              <w:spacing w:before="61"/>
              <w:ind w:left="166" w:right="79"/>
              <w:jc w:val="center"/>
              <w:rPr>
                <w:sz w:val="18"/>
              </w:rPr>
            </w:pPr>
            <w:r>
              <w:rPr>
                <w:spacing w:val="-5"/>
                <w:sz w:val="18"/>
              </w:rPr>
              <w:t>44</w:t>
            </w:r>
          </w:p>
        </w:tc>
        <w:tc>
          <w:tcPr>
            <w:tcW w:w="817" w:type="dxa"/>
            <w:tcBorders>
              <w:top w:val="single" w:sz="12" w:space="0" w:color="002B5D"/>
              <w:bottom w:val="single" w:sz="4" w:space="0" w:color="002B5D"/>
            </w:tcBorders>
          </w:tcPr>
          <w:p>
            <w:pPr>
              <w:pStyle w:val="TableParagraph"/>
              <w:spacing w:before="61"/>
              <w:ind w:right="238"/>
              <w:jc w:val="right"/>
              <w:rPr>
                <w:sz w:val="18"/>
              </w:rPr>
            </w:pPr>
            <w:r>
              <w:rPr>
                <w:spacing w:val="-5"/>
                <w:sz w:val="18"/>
              </w:rPr>
              <w:t>693</w:t>
            </w:r>
          </w:p>
        </w:tc>
        <w:tc>
          <w:tcPr>
            <w:tcW w:w="796" w:type="dxa"/>
            <w:tcBorders>
              <w:top w:val="single" w:sz="12" w:space="0" w:color="002B5D"/>
              <w:bottom w:val="single" w:sz="4" w:space="0" w:color="002B5D"/>
            </w:tcBorders>
          </w:tcPr>
          <w:p>
            <w:pPr>
              <w:pStyle w:val="TableParagraph"/>
              <w:spacing w:before="61"/>
              <w:ind w:right="128"/>
              <w:jc w:val="right"/>
              <w:rPr>
                <w:sz w:val="18"/>
              </w:rPr>
            </w:pPr>
            <w:r>
              <w:rPr>
                <w:spacing w:val="-4"/>
                <w:sz w:val="18"/>
              </w:rPr>
              <w:t>1013</w:t>
            </w:r>
          </w:p>
        </w:tc>
        <w:tc>
          <w:tcPr>
            <w:tcW w:w="908" w:type="dxa"/>
            <w:tcBorders>
              <w:top w:val="single" w:sz="12" w:space="0" w:color="002B5D"/>
              <w:bottom w:val="single" w:sz="4" w:space="0" w:color="002B5D"/>
            </w:tcBorders>
          </w:tcPr>
          <w:p>
            <w:pPr>
              <w:pStyle w:val="TableParagraph"/>
              <w:spacing w:before="61"/>
              <w:ind w:left="179" w:right="82"/>
              <w:jc w:val="center"/>
              <w:rPr>
                <w:sz w:val="18"/>
              </w:rPr>
            </w:pPr>
            <w:r>
              <w:rPr>
                <w:spacing w:val="-2"/>
                <w:sz w:val="18"/>
              </w:rPr>
              <w:t>47,00</w:t>
            </w:r>
          </w:p>
        </w:tc>
        <w:tc>
          <w:tcPr>
            <w:tcW w:w="1028" w:type="dxa"/>
            <w:tcBorders>
              <w:top w:val="single" w:sz="12" w:space="0" w:color="002B5D"/>
              <w:bottom w:val="single" w:sz="4" w:space="0" w:color="002B5D"/>
            </w:tcBorders>
          </w:tcPr>
          <w:p>
            <w:pPr>
              <w:pStyle w:val="TableParagraph"/>
              <w:spacing w:before="61"/>
              <w:ind w:left="426"/>
              <w:rPr>
                <w:sz w:val="18"/>
              </w:rPr>
            </w:pPr>
            <w:r>
              <w:rPr>
                <w:spacing w:val="-10"/>
                <w:sz w:val="18"/>
              </w:rPr>
              <w:t>1</w:t>
            </w:r>
          </w:p>
        </w:tc>
        <w:tc>
          <w:tcPr>
            <w:tcW w:w="784" w:type="dxa"/>
            <w:tcBorders>
              <w:top w:val="single" w:sz="12" w:space="0" w:color="002B5D"/>
              <w:bottom w:val="single" w:sz="4" w:space="0" w:color="002B5D"/>
            </w:tcBorders>
          </w:tcPr>
          <w:p>
            <w:pPr>
              <w:pStyle w:val="TableParagraph"/>
              <w:spacing w:before="61"/>
              <w:ind w:left="126"/>
              <w:jc w:val="center"/>
              <w:rPr>
                <w:sz w:val="18"/>
              </w:rPr>
            </w:pPr>
            <w:r>
              <w:rPr>
                <w:spacing w:val="-10"/>
                <w:sz w:val="18"/>
              </w:rPr>
              <w:t>1</w:t>
            </w:r>
          </w:p>
        </w:tc>
        <w:tc>
          <w:tcPr>
            <w:tcW w:w="1027" w:type="dxa"/>
            <w:tcBorders>
              <w:top w:val="single" w:sz="12" w:space="0" w:color="002B5D"/>
              <w:bottom w:val="single" w:sz="4" w:space="0" w:color="002B5D"/>
            </w:tcBorders>
          </w:tcPr>
          <w:p>
            <w:pPr>
              <w:pStyle w:val="TableParagraph"/>
              <w:spacing w:before="61"/>
              <w:ind w:right="22"/>
              <w:jc w:val="center"/>
              <w:rPr>
                <w:sz w:val="18"/>
              </w:rPr>
            </w:pPr>
            <w:r>
              <w:rPr>
                <w:spacing w:val="-10"/>
                <w:sz w:val="18"/>
              </w:rPr>
              <w:t>4</w:t>
            </w:r>
          </w:p>
        </w:tc>
        <w:tc>
          <w:tcPr>
            <w:tcW w:w="810" w:type="dxa"/>
            <w:tcBorders>
              <w:top w:val="single" w:sz="12" w:space="0" w:color="002B5D"/>
              <w:bottom w:val="single" w:sz="4" w:space="0" w:color="002B5D"/>
            </w:tcBorders>
          </w:tcPr>
          <w:p>
            <w:pPr>
              <w:pStyle w:val="TableParagraph"/>
              <w:spacing w:before="61"/>
              <w:ind w:left="68" w:right="113"/>
              <w:jc w:val="center"/>
              <w:rPr>
                <w:sz w:val="18"/>
              </w:rPr>
            </w:pPr>
            <w:r>
              <w:rPr>
                <w:spacing w:val="-5"/>
                <w:sz w:val="18"/>
              </w:rPr>
              <w:t>10</w:t>
            </w:r>
          </w:p>
        </w:tc>
        <w:tc>
          <w:tcPr>
            <w:tcW w:w="1122" w:type="dxa"/>
            <w:tcBorders>
              <w:top w:val="single" w:sz="12" w:space="0" w:color="002B5D"/>
              <w:bottom w:val="single" w:sz="4" w:space="0" w:color="002B5D"/>
            </w:tcBorders>
          </w:tcPr>
          <w:p>
            <w:pPr>
              <w:pStyle w:val="TableParagraph"/>
              <w:spacing w:before="61"/>
              <w:ind w:left="9"/>
              <w:jc w:val="center"/>
              <w:rPr>
                <w:sz w:val="18"/>
              </w:rPr>
            </w:pPr>
            <w:r>
              <w:rPr>
                <w:spacing w:val="-10"/>
                <w:sz w:val="18"/>
              </w:rPr>
              <w:t>1</w:t>
            </w:r>
          </w:p>
        </w:tc>
      </w:tr>
      <w:tr>
        <w:trPr>
          <w:trHeight w:val="347" w:hRule="atLeast"/>
        </w:trPr>
        <w:tc>
          <w:tcPr>
            <w:tcW w:w="1234" w:type="dxa"/>
          </w:tcPr>
          <w:p>
            <w:pPr>
              <w:pStyle w:val="TableParagraph"/>
              <w:spacing w:before="88"/>
              <w:ind w:left="3" w:right="3"/>
              <w:jc w:val="center"/>
              <w:rPr>
                <w:b/>
                <w:sz w:val="18"/>
              </w:rPr>
            </w:pPr>
            <w:r>
              <w:rPr>
                <w:b/>
                <w:spacing w:val="-2"/>
                <w:sz w:val="18"/>
              </w:rPr>
              <w:t>SEVILLA</w:t>
            </w:r>
          </w:p>
        </w:tc>
        <w:tc>
          <w:tcPr>
            <w:tcW w:w="1485" w:type="dxa"/>
            <w:tcBorders>
              <w:top w:val="single" w:sz="4" w:space="0" w:color="002B5D"/>
              <w:bottom w:val="single" w:sz="4" w:space="0" w:color="002B5D"/>
            </w:tcBorders>
          </w:tcPr>
          <w:p>
            <w:pPr>
              <w:pStyle w:val="TableParagraph"/>
              <w:spacing w:before="80"/>
              <w:ind w:left="97"/>
              <w:jc w:val="center"/>
              <w:rPr>
                <w:sz w:val="18"/>
              </w:rPr>
            </w:pPr>
            <w:r>
              <w:rPr>
                <w:spacing w:val="-2"/>
                <w:sz w:val="18"/>
              </w:rPr>
              <w:t>31/12/2023</w:t>
            </w:r>
          </w:p>
        </w:tc>
        <w:tc>
          <w:tcPr>
            <w:tcW w:w="736" w:type="dxa"/>
            <w:tcBorders>
              <w:top w:val="single" w:sz="4" w:space="0" w:color="002B5D"/>
              <w:bottom w:val="single" w:sz="4" w:space="0" w:color="002B5D"/>
            </w:tcBorders>
          </w:tcPr>
          <w:p>
            <w:pPr>
              <w:pStyle w:val="TableParagraph"/>
              <w:spacing w:before="80"/>
              <w:ind w:left="166" w:right="79"/>
              <w:jc w:val="center"/>
              <w:rPr>
                <w:sz w:val="18"/>
              </w:rPr>
            </w:pPr>
            <w:r>
              <w:rPr>
                <w:spacing w:val="-5"/>
                <w:sz w:val="18"/>
              </w:rPr>
              <w:t>44</w:t>
            </w:r>
          </w:p>
        </w:tc>
        <w:tc>
          <w:tcPr>
            <w:tcW w:w="817" w:type="dxa"/>
            <w:tcBorders>
              <w:top w:val="single" w:sz="4" w:space="0" w:color="002B5D"/>
              <w:bottom w:val="single" w:sz="4" w:space="0" w:color="002B5D"/>
            </w:tcBorders>
          </w:tcPr>
          <w:p>
            <w:pPr>
              <w:pStyle w:val="TableParagraph"/>
              <w:spacing w:before="80"/>
              <w:ind w:right="238"/>
              <w:jc w:val="right"/>
              <w:rPr>
                <w:sz w:val="18"/>
              </w:rPr>
            </w:pPr>
            <w:r>
              <w:rPr>
                <w:spacing w:val="-5"/>
                <w:sz w:val="18"/>
              </w:rPr>
              <w:t>701</w:t>
            </w:r>
          </w:p>
        </w:tc>
        <w:tc>
          <w:tcPr>
            <w:tcW w:w="796" w:type="dxa"/>
            <w:tcBorders>
              <w:top w:val="single" w:sz="4" w:space="0" w:color="002B5D"/>
              <w:bottom w:val="single" w:sz="4" w:space="0" w:color="002B5D"/>
            </w:tcBorders>
          </w:tcPr>
          <w:p>
            <w:pPr>
              <w:pStyle w:val="TableParagraph"/>
              <w:spacing w:before="80"/>
              <w:ind w:right="128"/>
              <w:jc w:val="right"/>
              <w:rPr>
                <w:sz w:val="18"/>
              </w:rPr>
            </w:pPr>
            <w:r>
              <w:rPr>
                <w:spacing w:val="-4"/>
                <w:sz w:val="18"/>
              </w:rPr>
              <w:t>1009</w:t>
            </w:r>
          </w:p>
        </w:tc>
        <w:tc>
          <w:tcPr>
            <w:tcW w:w="908" w:type="dxa"/>
            <w:tcBorders>
              <w:top w:val="single" w:sz="4" w:space="0" w:color="002B5D"/>
              <w:bottom w:val="single" w:sz="4" w:space="0" w:color="002B5D"/>
            </w:tcBorders>
          </w:tcPr>
          <w:p>
            <w:pPr>
              <w:pStyle w:val="TableParagraph"/>
              <w:spacing w:before="80"/>
              <w:ind w:left="179" w:right="82"/>
              <w:jc w:val="center"/>
              <w:rPr>
                <w:sz w:val="18"/>
              </w:rPr>
            </w:pPr>
            <w:r>
              <w:rPr>
                <w:spacing w:val="-2"/>
                <w:sz w:val="18"/>
              </w:rPr>
              <w:t>47,00</w:t>
            </w:r>
          </w:p>
        </w:tc>
        <w:tc>
          <w:tcPr>
            <w:tcW w:w="1028" w:type="dxa"/>
            <w:tcBorders>
              <w:top w:val="single" w:sz="4" w:space="0" w:color="002B5D"/>
              <w:bottom w:val="single" w:sz="4" w:space="0" w:color="002B5D"/>
            </w:tcBorders>
          </w:tcPr>
          <w:p>
            <w:pPr>
              <w:pStyle w:val="TableParagraph"/>
              <w:spacing w:before="80"/>
              <w:ind w:left="426"/>
              <w:rPr>
                <w:sz w:val="18"/>
              </w:rPr>
            </w:pPr>
            <w:r>
              <w:rPr>
                <w:spacing w:val="-10"/>
                <w:sz w:val="18"/>
              </w:rPr>
              <w:t>1</w:t>
            </w:r>
          </w:p>
        </w:tc>
        <w:tc>
          <w:tcPr>
            <w:tcW w:w="784" w:type="dxa"/>
            <w:tcBorders>
              <w:top w:val="single" w:sz="4" w:space="0" w:color="002B5D"/>
              <w:bottom w:val="single" w:sz="4" w:space="0" w:color="002B5D"/>
            </w:tcBorders>
          </w:tcPr>
          <w:p>
            <w:pPr>
              <w:pStyle w:val="TableParagraph"/>
              <w:spacing w:before="80"/>
              <w:ind w:left="126"/>
              <w:jc w:val="center"/>
              <w:rPr>
                <w:sz w:val="18"/>
              </w:rPr>
            </w:pPr>
            <w:r>
              <w:rPr>
                <w:spacing w:val="-10"/>
                <w:sz w:val="18"/>
              </w:rPr>
              <w:t>1</w:t>
            </w:r>
          </w:p>
        </w:tc>
        <w:tc>
          <w:tcPr>
            <w:tcW w:w="1027" w:type="dxa"/>
            <w:tcBorders>
              <w:top w:val="single" w:sz="4" w:space="0" w:color="002B5D"/>
              <w:bottom w:val="single" w:sz="4" w:space="0" w:color="002B5D"/>
            </w:tcBorders>
          </w:tcPr>
          <w:p>
            <w:pPr>
              <w:pStyle w:val="TableParagraph"/>
              <w:spacing w:before="80"/>
              <w:ind w:right="22"/>
              <w:jc w:val="center"/>
              <w:rPr>
                <w:sz w:val="18"/>
              </w:rPr>
            </w:pPr>
            <w:r>
              <w:rPr>
                <w:spacing w:val="-10"/>
                <w:sz w:val="18"/>
              </w:rPr>
              <w:t>4</w:t>
            </w:r>
          </w:p>
        </w:tc>
        <w:tc>
          <w:tcPr>
            <w:tcW w:w="810" w:type="dxa"/>
            <w:tcBorders>
              <w:top w:val="single" w:sz="4" w:space="0" w:color="002B5D"/>
              <w:bottom w:val="single" w:sz="4" w:space="0" w:color="002B5D"/>
            </w:tcBorders>
          </w:tcPr>
          <w:p>
            <w:pPr>
              <w:pStyle w:val="TableParagraph"/>
              <w:spacing w:before="80"/>
              <w:ind w:left="68" w:right="113"/>
              <w:jc w:val="center"/>
              <w:rPr>
                <w:sz w:val="18"/>
              </w:rPr>
            </w:pPr>
            <w:r>
              <w:rPr>
                <w:spacing w:val="-5"/>
                <w:sz w:val="18"/>
              </w:rPr>
              <w:t>10</w:t>
            </w:r>
          </w:p>
        </w:tc>
        <w:tc>
          <w:tcPr>
            <w:tcW w:w="1122" w:type="dxa"/>
            <w:tcBorders>
              <w:top w:val="single" w:sz="4" w:space="0" w:color="002B5D"/>
              <w:bottom w:val="single" w:sz="4" w:space="0" w:color="002B5D"/>
            </w:tcBorders>
          </w:tcPr>
          <w:p>
            <w:pPr>
              <w:pStyle w:val="TableParagraph"/>
              <w:spacing w:before="80"/>
              <w:ind w:left="9"/>
              <w:jc w:val="center"/>
              <w:rPr>
                <w:sz w:val="18"/>
              </w:rPr>
            </w:pPr>
            <w:r>
              <w:rPr>
                <w:spacing w:val="-10"/>
                <w:sz w:val="18"/>
              </w:rPr>
              <w:t>1</w:t>
            </w:r>
          </w:p>
        </w:tc>
      </w:tr>
      <w:tr>
        <w:trPr>
          <w:trHeight w:val="363" w:hRule="atLeast"/>
        </w:trPr>
        <w:tc>
          <w:tcPr>
            <w:tcW w:w="1234" w:type="dxa"/>
            <w:tcBorders>
              <w:bottom w:val="single" w:sz="12" w:space="0" w:color="002B5D"/>
            </w:tcBorders>
          </w:tcPr>
          <w:p>
            <w:pPr>
              <w:pStyle w:val="TableParagraph"/>
              <w:rPr>
                <w:rFonts w:ascii="Times New Roman"/>
                <w:sz w:val="16"/>
              </w:rPr>
            </w:pPr>
          </w:p>
        </w:tc>
        <w:tc>
          <w:tcPr>
            <w:tcW w:w="1485" w:type="dxa"/>
            <w:tcBorders>
              <w:top w:val="single" w:sz="4" w:space="0" w:color="002B5D"/>
              <w:bottom w:val="single" w:sz="12" w:space="0" w:color="002B5D"/>
            </w:tcBorders>
          </w:tcPr>
          <w:p>
            <w:pPr>
              <w:pStyle w:val="TableParagraph"/>
              <w:spacing w:before="90"/>
              <w:ind w:left="97"/>
              <w:jc w:val="center"/>
              <w:rPr>
                <w:sz w:val="18"/>
              </w:rPr>
            </w:pPr>
            <w:r>
              <w:rPr>
                <w:spacing w:val="-2"/>
                <w:sz w:val="18"/>
              </w:rPr>
              <w:t>31/12/2024</w:t>
            </w:r>
          </w:p>
        </w:tc>
        <w:tc>
          <w:tcPr>
            <w:tcW w:w="736" w:type="dxa"/>
            <w:tcBorders>
              <w:top w:val="single" w:sz="4" w:space="0" w:color="002B5D"/>
              <w:bottom w:val="single" w:sz="12" w:space="0" w:color="002B5D"/>
            </w:tcBorders>
          </w:tcPr>
          <w:p>
            <w:pPr>
              <w:pStyle w:val="TableParagraph"/>
              <w:spacing w:before="90"/>
              <w:ind w:left="166" w:right="79"/>
              <w:jc w:val="center"/>
              <w:rPr>
                <w:sz w:val="18"/>
              </w:rPr>
            </w:pPr>
            <w:r>
              <w:rPr>
                <w:spacing w:val="-5"/>
                <w:sz w:val="18"/>
              </w:rPr>
              <w:t>44</w:t>
            </w:r>
          </w:p>
        </w:tc>
        <w:tc>
          <w:tcPr>
            <w:tcW w:w="817" w:type="dxa"/>
            <w:tcBorders>
              <w:top w:val="single" w:sz="4" w:space="0" w:color="002B5D"/>
              <w:bottom w:val="single" w:sz="12" w:space="0" w:color="002B5D"/>
            </w:tcBorders>
          </w:tcPr>
          <w:p>
            <w:pPr>
              <w:pStyle w:val="TableParagraph"/>
              <w:spacing w:before="90"/>
              <w:ind w:right="238"/>
              <w:jc w:val="right"/>
              <w:rPr>
                <w:sz w:val="18"/>
              </w:rPr>
            </w:pPr>
            <w:r>
              <w:rPr>
                <w:spacing w:val="-5"/>
                <w:sz w:val="18"/>
              </w:rPr>
              <w:t>704</w:t>
            </w:r>
          </w:p>
        </w:tc>
        <w:tc>
          <w:tcPr>
            <w:tcW w:w="796" w:type="dxa"/>
            <w:tcBorders>
              <w:top w:val="single" w:sz="4" w:space="0" w:color="002B5D"/>
              <w:bottom w:val="single" w:sz="12" w:space="0" w:color="002B5D"/>
            </w:tcBorders>
          </w:tcPr>
          <w:p>
            <w:pPr>
              <w:pStyle w:val="TableParagraph"/>
              <w:spacing w:before="90"/>
              <w:ind w:right="128"/>
              <w:jc w:val="right"/>
              <w:rPr>
                <w:sz w:val="18"/>
              </w:rPr>
            </w:pPr>
            <w:r>
              <w:rPr>
                <w:spacing w:val="-4"/>
                <w:sz w:val="18"/>
              </w:rPr>
              <w:t>1022</w:t>
            </w:r>
          </w:p>
        </w:tc>
        <w:tc>
          <w:tcPr>
            <w:tcW w:w="908" w:type="dxa"/>
            <w:tcBorders>
              <w:top w:val="single" w:sz="4" w:space="0" w:color="002B5D"/>
              <w:bottom w:val="single" w:sz="12" w:space="0" w:color="002B5D"/>
            </w:tcBorders>
          </w:tcPr>
          <w:p>
            <w:pPr>
              <w:pStyle w:val="TableParagraph"/>
              <w:spacing w:before="90"/>
              <w:ind w:left="179" w:right="82"/>
              <w:jc w:val="center"/>
              <w:rPr>
                <w:sz w:val="18"/>
              </w:rPr>
            </w:pPr>
            <w:r>
              <w:rPr>
                <w:spacing w:val="-2"/>
                <w:sz w:val="18"/>
              </w:rPr>
              <w:t>47,00</w:t>
            </w:r>
          </w:p>
        </w:tc>
        <w:tc>
          <w:tcPr>
            <w:tcW w:w="1028" w:type="dxa"/>
            <w:tcBorders>
              <w:top w:val="single" w:sz="4" w:space="0" w:color="002B5D"/>
              <w:bottom w:val="single" w:sz="12" w:space="0" w:color="002B5D"/>
            </w:tcBorders>
          </w:tcPr>
          <w:p>
            <w:pPr>
              <w:pStyle w:val="TableParagraph"/>
              <w:spacing w:before="90"/>
              <w:ind w:left="426"/>
              <w:rPr>
                <w:sz w:val="18"/>
              </w:rPr>
            </w:pPr>
            <w:r>
              <w:rPr>
                <w:spacing w:val="-10"/>
                <w:sz w:val="18"/>
              </w:rPr>
              <w:t>1</w:t>
            </w:r>
          </w:p>
        </w:tc>
        <w:tc>
          <w:tcPr>
            <w:tcW w:w="784" w:type="dxa"/>
            <w:tcBorders>
              <w:top w:val="single" w:sz="4" w:space="0" w:color="002B5D"/>
              <w:bottom w:val="single" w:sz="12" w:space="0" w:color="002B5D"/>
            </w:tcBorders>
          </w:tcPr>
          <w:p>
            <w:pPr>
              <w:pStyle w:val="TableParagraph"/>
              <w:spacing w:before="90"/>
              <w:ind w:left="126"/>
              <w:jc w:val="center"/>
              <w:rPr>
                <w:sz w:val="18"/>
              </w:rPr>
            </w:pPr>
            <w:r>
              <w:rPr>
                <w:spacing w:val="-10"/>
                <w:sz w:val="18"/>
              </w:rPr>
              <w:t>1</w:t>
            </w:r>
          </w:p>
        </w:tc>
        <w:tc>
          <w:tcPr>
            <w:tcW w:w="1027" w:type="dxa"/>
            <w:tcBorders>
              <w:top w:val="single" w:sz="4" w:space="0" w:color="002B5D"/>
              <w:bottom w:val="single" w:sz="12" w:space="0" w:color="002B5D"/>
            </w:tcBorders>
          </w:tcPr>
          <w:p>
            <w:pPr>
              <w:pStyle w:val="TableParagraph"/>
              <w:spacing w:before="90"/>
              <w:ind w:right="22"/>
              <w:jc w:val="center"/>
              <w:rPr>
                <w:sz w:val="18"/>
              </w:rPr>
            </w:pPr>
            <w:r>
              <w:rPr>
                <w:spacing w:val="-10"/>
                <w:sz w:val="18"/>
              </w:rPr>
              <w:t>7</w:t>
            </w:r>
          </w:p>
        </w:tc>
        <w:tc>
          <w:tcPr>
            <w:tcW w:w="810" w:type="dxa"/>
            <w:tcBorders>
              <w:top w:val="single" w:sz="4" w:space="0" w:color="002B5D"/>
              <w:bottom w:val="single" w:sz="12" w:space="0" w:color="002B5D"/>
            </w:tcBorders>
          </w:tcPr>
          <w:p>
            <w:pPr>
              <w:pStyle w:val="TableParagraph"/>
              <w:spacing w:before="90"/>
              <w:ind w:left="68" w:right="113"/>
              <w:jc w:val="center"/>
              <w:rPr>
                <w:sz w:val="18"/>
              </w:rPr>
            </w:pPr>
            <w:r>
              <w:rPr>
                <w:spacing w:val="-5"/>
                <w:sz w:val="18"/>
              </w:rPr>
              <w:t>15</w:t>
            </w:r>
          </w:p>
        </w:tc>
        <w:tc>
          <w:tcPr>
            <w:tcW w:w="1122" w:type="dxa"/>
            <w:tcBorders>
              <w:top w:val="single" w:sz="4" w:space="0" w:color="002B5D"/>
              <w:bottom w:val="single" w:sz="12" w:space="0" w:color="002B5D"/>
            </w:tcBorders>
          </w:tcPr>
          <w:p>
            <w:pPr>
              <w:pStyle w:val="TableParagraph"/>
              <w:spacing w:before="90"/>
              <w:ind w:left="9"/>
              <w:jc w:val="center"/>
              <w:rPr>
                <w:sz w:val="18"/>
              </w:rPr>
            </w:pPr>
            <w:r>
              <w:rPr>
                <w:spacing w:val="-10"/>
                <w:sz w:val="18"/>
              </w:rPr>
              <w:t>1</w:t>
            </w:r>
          </w:p>
        </w:tc>
      </w:tr>
      <w:tr>
        <w:trPr>
          <w:trHeight w:val="330" w:hRule="atLeast"/>
        </w:trPr>
        <w:tc>
          <w:tcPr>
            <w:tcW w:w="1234" w:type="dxa"/>
            <w:tcBorders>
              <w:top w:val="single" w:sz="12" w:space="0" w:color="002B5D"/>
            </w:tcBorders>
          </w:tcPr>
          <w:p>
            <w:pPr>
              <w:pStyle w:val="TableParagraph"/>
              <w:rPr>
                <w:rFonts w:ascii="Times New Roman"/>
                <w:sz w:val="16"/>
              </w:rPr>
            </w:pPr>
          </w:p>
        </w:tc>
        <w:tc>
          <w:tcPr>
            <w:tcW w:w="1485" w:type="dxa"/>
            <w:tcBorders>
              <w:top w:val="single" w:sz="12" w:space="0" w:color="002B5D"/>
              <w:bottom w:val="single" w:sz="4" w:space="0" w:color="002B5D"/>
            </w:tcBorders>
          </w:tcPr>
          <w:p>
            <w:pPr>
              <w:pStyle w:val="TableParagraph"/>
              <w:spacing w:before="61"/>
              <w:ind w:left="97"/>
              <w:jc w:val="center"/>
              <w:rPr>
                <w:sz w:val="18"/>
              </w:rPr>
            </w:pPr>
            <w:r>
              <w:rPr>
                <w:spacing w:val="-2"/>
                <w:sz w:val="18"/>
              </w:rPr>
              <w:t>31/12/2022</w:t>
            </w:r>
          </w:p>
        </w:tc>
        <w:tc>
          <w:tcPr>
            <w:tcW w:w="736" w:type="dxa"/>
            <w:tcBorders>
              <w:top w:val="single" w:sz="12" w:space="0" w:color="002B5D"/>
              <w:bottom w:val="single" w:sz="4" w:space="0" w:color="002B5D"/>
            </w:tcBorders>
          </w:tcPr>
          <w:p>
            <w:pPr>
              <w:pStyle w:val="TableParagraph"/>
              <w:spacing w:before="61"/>
              <w:ind w:left="166" w:right="79"/>
              <w:jc w:val="center"/>
              <w:rPr>
                <w:sz w:val="18"/>
              </w:rPr>
            </w:pPr>
            <w:r>
              <w:rPr>
                <w:spacing w:val="-5"/>
                <w:sz w:val="18"/>
              </w:rPr>
              <w:t>43</w:t>
            </w:r>
          </w:p>
        </w:tc>
        <w:tc>
          <w:tcPr>
            <w:tcW w:w="817" w:type="dxa"/>
            <w:tcBorders>
              <w:top w:val="single" w:sz="12" w:space="0" w:color="002B5D"/>
              <w:bottom w:val="single" w:sz="4" w:space="0" w:color="002B5D"/>
            </w:tcBorders>
          </w:tcPr>
          <w:p>
            <w:pPr>
              <w:pStyle w:val="TableParagraph"/>
              <w:spacing w:before="61"/>
              <w:ind w:right="235"/>
              <w:jc w:val="right"/>
              <w:rPr>
                <w:sz w:val="18"/>
              </w:rPr>
            </w:pPr>
            <w:r>
              <w:rPr>
                <w:spacing w:val="-2"/>
                <w:sz w:val="18"/>
              </w:rPr>
              <w:t>669,32</w:t>
            </w:r>
          </w:p>
        </w:tc>
        <w:tc>
          <w:tcPr>
            <w:tcW w:w="796" w:type="dxa"/>
            <w:tcBorders>
              <w:top w:val="single" w:sz="12" w:space="0" w:color="002B5D"/>
              <w:bottom w:val="single" w:sz="4" w:space="0" w:color="002B5D"/>
            </w:tcBorders>
          </w:tcPr>
          <w:p>
            <w:pPr>
              <w:pStyle w:val="TableParagraph"/>
              <w:spacing w:before="61"/>
              <w:ind w:right="128"/>
              <w:jc w:val="right"/>
              <w:rPr>
                <w:sz w:val="18"/>
              </w:rPr>
            </w:pPr>
            <w:r>
              <w:rPr>
                <w:spacing w:val="-5"/>
                <w:sz w:val="18"/>
              </w:rPr>
              <w:t>915</w:t>
            </w:r>
          </w:p>
        </w:tc>
        <w:tc>
          <w:tcPr>
            <w:tcW w:w="908" w:type="dxa"/>
            <w:tcBorders>
              <w:top w:val="single" w:sz="12" w:space="0" w:color="002B5D"/>
              <w:bottom w:val="single" w:sz="4" w:space="0" w:color="002B5D"/>
            </w:tcBorders>
          </w:tcPr>
          <w:p>
            <w:pPr>
              <w:pStyle w:val="TableParagraph"/>
              <w:spacing w:before="61"/>
              <w:ind w:left="179" w:right="82"/>
              <w:jc w:val="center"/>
              <w:rPr>
                <w:sz w:val="18"/>
              </w:rPr>
            </w:pPr>
            <w:r>
              <w:rPr>
                <w:spacing w:val="-2"/>
                <w:sz w:val="18"/>
              </w:rPr>
              <w:t>15,49</w:t>
            </w:r>
          </w:p>
        </w:tc>
        <w:tc>
          <w:tcPr>
            <w:tcW w:w="1028" w:type="dxa"/>
            <w:tcBorders>
              <w:top w:val="single" w:sz="12" w:space="0" w:color="002B5D"/>
              <w:bottom w:val="single" w:sz="4" w:space="0" w:color="002B5D"/>
            </w:tcBorders>
          </w:tcPr>
          <w:p>
            <w:pPr>
              <w:pStyle w:val="TableParagraph"/>
              <w:spacing w:before="61"/>
              <w:ind w:left="426"/>
              <w:rPr>
                <w:sz w:val="18"/>
              </w:rPr>
            </w:pPr>
            <w:r>
              <w:rPr>
                <w:spacing w:val="-10"/>
                <w:sz w:val="18"/>
              </w:rPr>
              <w:t>0</w:t>
            </w:r>
          </w:p>
        </w:tc>
        <w:tc>
          <w:tcPr>
            <w:tcW w:w="784" w:type="dxa"/>
            <w:tcBorders>
              <w:top w:val="single" w:sz="12" w:space="0" w:color="002B5D"/>
              <w:bottom w:val="single" w:sz="4" w:space="0" w:color="002B5D"/>
            </w:tcBorders>
          </w:tcPr>
          <w:p>
            <w:pPr>
              <w:pStyle w:val="TableParagraph"/>
              <w:spacing w:before="61"/>
              <w:ind w:left="126"/>
              <w:jc w:val="center"/>
              <w:rPr>
                <w:sz w:val="18"/>
              </w:rPr>
            </w:pPr>
            <w:r>
              <w:rPr>
                <w:spacing w:val="-10"/>
                <w:sz w:val="18"/>
              </w:rPr>
              <w:t>1</w:t>
            </w:r>
          </w:p>
        </w:tc>
        <w:tc>
          <w:tcPr>
            <w:tcW w:w="1027" w:type="dxa"/>
            <w:tcBorders>
              <w:top w:val="single" w:sz="12" w:space="0" w:color="002B5D"/>
              <w:bottom w:val="single" w:sz="4" w:space="0" w:color="002B5D"/>
            </w:tcBorders>
          </w:tcPr>
          <w:p>
            <w:pPr>
              <w:pStyle w:val="TableParagraph"/>
              <w:spacing w:before="61"/>
              <w:ind w:right="22"/>
              <w:jc w:val="center"/>
              <w:rPr>
                <w:sz w:val="18"/>
              </w:rPr>
            </w:pPr>
            <w:r>
              <w:rPr>
                <w:spacing w:val="-5"/>
                <w:sz w:val="18"/>
              </w:rPr>
              <w:t>25</w:t>
            </w:r>
          </w:p>
        </w:tc>
        <w:tc>
          <w:tcPr>
            <w:tcW w:w="810" w:type="dxa"/>
            <w:tcBorders>
              <w:top w:val="single" w:sz="12" w:space="0" w:color="002B5D"/>
              <w:bottom w:val="single" w:sz="4" w:space="0" w:color="002B5D"/>
            </w:tcBorders>
          </w:tcPr>
          <w:p>
            <w:pPr>
              <w:pStyle w:val="TableParagraph"/>
              <w:spacing w:before="61"/>
              <w:ind w:left="68" w:right="113"/>
              <w:jc w:val="center"/>
              <w:rPr>
                <w:sz w:val="18"/>
              </w:rPr>
            </w:pPr>
            <w:r>
              <w:rPr>
                <w:spacing w:val="-5"/>
                <w:sz w:val="18"/>
              </w:rPr>
              <w:t>50</w:t>
            </w:r>
          </w:p>
        </w:tc>
        <w:tc>
          <w:tcPr>
            <w:tcW w:w="1122" w:type="dxa"/>
            <w:tcBorders>
              <w:top w:val="single" w:sz="12" w:space="0" w:color="002B5D"/>
              <w:bottom w:val="single" w:sz="4" w:space="0" w:color="002B5D"/>
            </w:tcBorders>
          </w:tcPr>
          <w:p>
            <w:pPr>
              <w:pStyle w:val="TableParagraph"/>
              <w:spacing w:before="61"/>
              <w:ind w:left="9"/>
              <w:jc w:val="center"/>
              <w:rPr>
                <w:sz w:val="18"/>
              </w:rPr>
            </w:pPr>
            <w:r>
              <w:rPr>
                <w:spacing w:val="-10"/>
                <w:sz w:val="18"/>
              </w:rPr>
              <w:t>0</w:t>
            </w:r>
          </w:p>
        </w:tc>
      </w:tr>
      <w:tr>
        <w:trPr>
          <w:trHeight w:val="347" w:hRule="atLeast"/>
        </w:trPr>
        <w:tc>
          <w:tcPr>
            <w:tcW w:w="1234" w:type="dxa"/>
          </w:tcPr>
          <w:p>
            <w:pPr>
              <w:pStyle w:val="TableParagraph"/>
              <w:spacing w:before="88"/>
              <w:ind w:left="3" w:right="3"/>
              <w:jc w:val="center"/>
              <w:rPr>
                <w:b/>
                <w:sz w:val="18"/>
              </w:rPr>
            </w:pPr>
            <w:r>
              <w:rPr>
                <w:b/>
                <w:spacing w:val="-2"/>
                <w:sz w:val="18"/>
              </w:rPr>
              <w:t>ZARAGOZA</w:t>
            </w:r>
          </w:p>
        </w:tc>
        <w:tc>
          <w:tcPr>
            <w:tcW w:w="1485" w:type="dxa"/>
            <w:tcBorders>
              <w:top w:val="single" w:sz="4" w:space="0" w:color="002B5D"/>
              <w:bottom w:val="single" w:sz="4" w:space="0" w:color="002B5D"/>
            </w:tcBorders>
          </w:tcPr>
          <w:p>
            <w:pPr>
              <w:pStyle w:val="TableParagraph"/>
              <w:spacing w:before="80"/>
              <w:ind w:left="97"/>
              <w:jc w:val="center"/>
              <w:rPr>
                <w:sz w:val="18"/>
              </w:rPr>
            </w:pPr>
            <w:r>
              <w:rPr>
                <w:spacing w:val="-2"/>
                <w:sz w:val="18"/>
              </w:rPr>
              <w:t>31/12/2023</w:t>
            </w:r>
          </w:p>
        </w:tc>
        <w:tc>
          <w:tcPr>
            <w:tcW w:w="736" w:type="dxa"/>
            <w:tcBorders>
              <w:top w:val="single" w:sz="4" w:space="0" w:color="002B5D"/>
              <w:bottom w:val="single" w:sz="4" w:space="0" w:color="002B5D"/>
            </w:tcBorders>
          </w:tcPr>
          <w:p>
            <w:pPr>
              <w:pStyle w:val="TableParagraph"/>
              <w:spacing w:before="80"/>
              <w:ind w:left="166" w:right="79"/>
              <w:jc w:val="center"/>
              <w:rPr>
                <w:sz w:val="18"/>
              </w:rPr>
            </w:pPr>
            <w:r>
              <w:rPr>
                <w:spacing w:val="-5"/>
                <w:sz w:val="18"/>
              </w:rPr>
              <w:t>43</w:t>
            </w:r>
          </w:p>
        </w:tc>
        <w:tc>
          <w:tcPr>
            <w:tcW w:w="817" w:type="dxa"/>
            <w:tcBorders>
              <w:top w:val="single" w:sz="4" w:space="0" w:color="002B5D"/>
              <w:bottom w:val="single" w:sz="4" w:space="0" w:color="002B5D"/>
            </w:tcBorders>
          </w:tcPr>
          <w:p>
            <w:pPr>
              <w:pStyle w:val="TableParagraph"/>
              <w:spacing w:before="80"/>
              <w:ind w:right="235"/>
              <w:jc w:val="right"/>
              <w:rPr>
                <w:sz w:val="18"/>
              </w:rPr>
            </w:pPr>
            <w:r>
              <w:rPr>
                <w:spacing w:val="-2"/>
                <w:sz w:val="18"/>
              </w:rPr>
              <w:t>675,98</w:t>
            </w:r>
          </w:p>
        </w:tc>
        <w:tc>
          <w:tcPr>
            <w:tcW w:w="796" w:type="dxa"/>
            <w:tcBorders>
              <w:top w:val="single" w:sz="4" w:space="0" w:color="002B5D"/>
              <w:bottom w:val="single" w:sz="4" w:space="0" w:color="002B5D"/>
            </w:tcBorders>
          </w:tcPr>
          <w:p>
            <w:pPr>
              <w:pStyle w:val="TableParagraph"/>
              <w:spacing w:before="80"/>
              <w:ind w:right="128"/>
              <w:jc w:val="right"/>
              <w:rPr>
                <w:sz w:val="18"/>
              </w:rPr>
            </w:pPr>
            <w:r>
              <w:rPr>
                <w:spacing w:val="-5"/>
                <w:sz w:val="18"/>
              </w:rPr>
              <w:t>919</w:t>
            </w:r>
          </w:p>
        </w:tc>
        <w:tc>
          <w:tcPr>
            <w:tcW w:w="908" w:type="dxa"/>
            <w:tcBorders>
              <w:top w:val="single" w:sz="4" w:space="0" w:color="002B5D"/>
              <w:bottom w:val="single" w:sz="4" w:space="0" w:color="002B5D"/>
            </w:tcBorders>
          </w:tcPr>
          <w:p>
            <w:pPr>
              <w:pStyle w:val="TableParagraph"/>
              <w:spacing w:before="80"/>
              <w:ind w:left="179" w:right="82"/>
              <w:jc w:val="center"/>
              <w:rPr>
                <w:sz w:val="18"/>
              </w:rPr>
            </w:pPr>
            <w:r>
              <w:rPr>
                <w:spacing w:val="-2"/>
                <w:sz w:val="18"/>
              </w:rPr>
              <w:t>15,49</w:t>
            </w:r>
          </w:p>
        </w:tc>
        <w:tc>
          <w:tcPr>
            <w:tcW w:w="1028" w:type="dxa"/>
            <w:tcBorders>
              <w:top w:val="single" w:sz="4" w:space="0" w:color="002B5D"/>
              <w:bottom w:val="single" w:sz="4" w:space="0" w:color="002B5D"/>
            </w:tcBorders>
          </w:tcPr>
          <w:p>
            <w:pPr>
              <w:pStyle w:val="TableParagraph"/>
              <w:spacing w:before="80"/>
              <w:ind w:left="426"/>
              <w:rPr>
                <w:sz w:val="18"/>
              </w:rPr>
            </w:pPr>
            <w:r>
              <w:rPr>
                <w:spacing w:val="-10"/>
                <w:sz w:val="18"/>
              </w:rPr>
              <w:t>0</w:t>
            </w:r>
          </w:p>
        </w:tc>
        <w:tc>
          <w:tcPr>
            <w:tcW w:w="784" w:type="dxa"/>
            <w:tcBorders>
              <w:top w:val="single" w:sz="4" w:space="0" w:color="002B5D"/>
              <w:bottom w:val="single" w:sz="4" w:space="0" w:color="002B5D"/>
            </w:tcBorders>
          </w:tcPr>
          <w:p>
            <w:pPr>
              <w:pStyle w:val="TableParagraph"/>
              <w:spacing w:before="80"/>
              <w:ind w:left="126"/>
              <w:jc w:val="center"/>
              <w:rPr>
                <w:sz w:val="18"/>
              </w:rPr>
            </w:pPr>
            <w:r>
              <w:rPr>
                <w:spacing w:val="-10"/>
                <w:sz w:val="18"/>
              </w:rPr>
              <w:t>1</w:t>
            </w:r>
          </w:p>
        </w:tc>
        <w:tc>
          <w:tcPr>
            <w:tcW w:w="1027" w:type="dxa"/>
            <w:tcBorders>
              <w:top w:val="single" w:sz="4" w:space="0" w:color="002B5D"/>
              <w:bottom w:val="single" w:sz="4" w:space="0" w:color="002B5D"/>
            </w:tcBorders>
          </w:tcPr>
          <w:p>
            <w:pPr>
              <w:pStyle w:val="TableParagraph"/>
              <w:spacing w:before="80"/>
              <w:ind w:right="22"/>
              <w:jc w:val="center"/>
              <w:rPr>
                <w:sz w:val="18"/>
              </w:rPr>
            </w:pPr>
            <w:r>
              <w:rPr>
                <w:spacing w:val="-5"/>
                <w:sz w:val="18"/>
              </w:rPr>
              <w:t>25</w:t>
            </w:r>
          </w:p>
        </w:tc>
        <w:tc>
          <w:tcPr>
            <w:tcW w:w="810" w:type="dxa"/>
            <w:tcBorders>
              <w:top w:val="single" w:sz="4" w:space="0" w:color="002B5D"/>
              <w:bottom w:val="single" w:sz="4" w:space="0" w:color="002B5D"/>
            </w:tcBorders>
          </w:tcPr>
          <w:p>
            <w:pPr>
              <w:pStyle w:val="TableParagraph"/>
              <w:spacing w:before="80"/>
              <w:ind w:left="68" w:right="113"/>
              <w:jc w:val="center"/>
              <w:rPr>
                <w:sz w:val="18"/>
              </w:rPr>
            </w:pPr>
            <w:r>
              <w:rPr>
                <w:spacing w:val="-5"/>
                <w:sz w:val="18"/>
              </w:rPr>
              <w:t>50</w:t>
            </w:r>
          </w:p>
        </w:tc>
        <w:tc>
          <w:tcPr>
            <w:tcW w:w="1122" w:type="dxa"/>
            <w:tcBorders>
              <w:top w:val="single" w:sz="4" w:space="0" w:color="002B5D"/>
              <w:bottom w:val="single" w:sz="4" w:space="0" w:color="002B5D"/>
            </w:tcBorders>
          </w:tcPr>
          <w:p>
            <w:pPr>
              <w:pStyle w:val="TableParagraph"/>
              <w:spacing w:before="80"/>
              <w:ind w:left="9"/>
              <w:jc w:val="center"/>
              <w:rPr>
                <w:sz w:val="18"/>
              </w:rPr>
            </w:pPr>
            <w:r>
              <w:rPr>
                <w:spacing w:val="-10"/>
                <w:sz w:val="18"/>
              </w:rPr>
              <w:t>0</w:t>
            </w:r>
          </w:p>
        </w:tc>
      </w:tr>
      <w:tr>
        <w:trPr>
          <w:trHeight w:val="366" w:hRule="atLeast"/>
        </w:trPr>
        <w:tc>
          <w:tcPr>
            <w:tcW w:w="1234" w:type="dxa"/>
            <w:tcBorders>
              <w:bottom w:val="single" w:sz="12" w:space="0" w:color="002B5D"/>
            </w:tcBorders>
          </w:tcPr>
          <w:p>
            <w:pPr>
              <w:pStyle w:val="TableParagraph"/>
              <w:rPr>
                <w:rFonts w:ascii="Times New Roman"/>
                <w:sz w:val="16"/>
              </w:rPr>
            </w:pPr>
          </w:p>
        </w:tc>
        <w:tc>
          <w:tcPr>
            <w:tcW w:w="1485" w:type="dxa"/>
            <w:tcBorders>
              <w:top w:val="single" w:sz="4" w:space="0" w:color="002B5D"/>
              <w:bottom w:val="single" w:sz="12" w:space="0" w:color="002B5D"/>
            </w:tcBorders>
          </w:tcPr>
          <w:p>
            <w:pPr>
              <w:pStyle w:val="TableParagraph"/>
              <w:spacing w:before="90"/>
              <w:ind w:left="97"/>
              <w:jc w:val="center"/>
              <w:rPr>
                <w:sz w:val="18"/>
              </w:rPr>
            </w:pPr>
            <w:r>
              <w:rPr>
                <w:spacing w:val="-2"/>
                <w:sz w:val="18"/>
              </w:rPr>
              <w:t>31/12/2024</w:t>
            </w:r>
          </w:p>
        </w:tc>
        <w:tc>
          <w:tcPr>
            <w:tcW w:w="736" w:type="dxa"/>
            <w:tcBorders>
              <w:top w:val="single" w:sz="4" w:space="0" w:color="002B5D"/>
              <w:bottom w:val="single" w:sz="12" w:space="0" w:color="002B5D"/>
            </w:tcBorders>
          </w:tcPr>
          <w:p>
            <w:pPr>
              <w:pStyle w:val="TableParagraph"/>
              <w:spacing w:before="90"/>
              <w:ind w:left="166" w:right="79"/>
              <w:jc w:val="center"/>
              <w:rPr>
                <w:sz w:val="18"/>
              </w:rPr>
            </w:pPr>
            <w:r>
              <w:rPr>
                <w:spacing w:val="-5"/>
                <w:sz w:val="18"/>
              </w:rPr>
              <w:t>43</w:t>
            </w:r>
          </w:p>
        </w:tc>
        <w:tc>
          <w:tcPr>
            <w:tcW w:w="817" w:type="dxa"/>
            <w:tcBorders>
              <w:top w:val="single" w:sz="4" w:space="0" w:color="002B5D"/>
              <w:bottom w:val="single" w:sz="12" w:space="0" w:color="002B5D"/>
            </w:tcBorders>
          </w:tcPr>
          <w:p>
            <w:pPr>
              <w:pStyle w:val="TableParagraph"/>
              <w:spacing w:before="90"/>
              <w:ind w:right="235"/>
              <w:jc w:val="right"/>
              <w:rPr>
                <w:sz w:val="18"/>
              </w:rPr>
            </w:pPr>
            <w:r>
              <w:rPr>
                <w:spacing w:val="-2"/>
                <w:sz w:val="18"/>
              </w:rPr>
              <w:t>678,88</w:t>
            </w:r>
          </w:p>
        </w:tc>
        <w:tc>
          <w:tcPr>
            <w:tcW w:w="796" w:type="dxa"/>
            <w:tcBorders>
              <w:top w:val="single" w:sz="4" w:space="0" w:color="002B5D"/>
              <w:bottom w:val="single" w:sz="12" w:space="0" w:color="002B5D"/>
            </w:tcBorders>
          </w:tcPr>
          <w:p>
            <w:pPr>
              <w:pStyle w:val="TableParagraph"/>
              <w:spacing w:before="90"/>
              <w:ind w:right="128"/>
              <w:jc w:val="right"/>
              <w:rPr>
                <w:sz w:val="18"/>
              </w:rPr>
            </w:pPr>
            <w:r>
              <w:rPr>
                <w:spacing w:val="-5"/>
                <w:sz w:val="18"/>
              </w:rPr>
              <w:t>924</w:t>
            </w:r>
          </w:p>
        </w:tc>
        <w:tc>
          <w:tcPr>
            <w:tcW w:w="908" w:type="dxa"/>
            <w:tcBorders>
              <w:top w:val="single" w:sz="4" w:space="0" w:color="002B5D"/>
              <w:bottom w:val="single" w:sz="12" w:space="0" w:color="002B5D"/>
            </w:tcBorders>
          </w:tcPr>
          <w:p>
            <w:pPr>
              <w:pStyle w:val="TableParagraph"/>
              <w:spacing w:before="90"/>
              <w:ind w:left="179" w:right="82"/>
              <w:jc w:val="center"/>
              <w:rPr>
                <w:sz w:val="18"/>
              </w:rPr>
            </w:pPr>
            <w:r>
              <w:rPr>
                <w:spacing w:val="-2"/>
                <w:sz w:val="18"/>
              </w:rPr>
              <w:t>15,49</w:t>
            </w:r>
          </w:p>
        </w:tc>
        <w:tc>
          <w:tcPr>
            <w:tcW w:w="1028" w:type="dxa"/>
            <w:tcBorders>
              <w:top w:val="single" w:sz="4" w:space="0" w:color="002B5D"/>
              <w:bottom w:val="single" w:sz="12" w:space="0" w:color="002B5D"/>
            </w:tcBorders>
          </w:tcPr>
          <w:p>
            <w:pPr>
              <w:pStyle w:val="TableParagraph"/>
              <w:spacing w:before="90"/>
              <w:ind w:left="426"/>
              <w:rPr>
                <w:sz w:val="18"/>
              </w:rPr>
            </w:pPr>
            <w:r>
              <w:rPr>
                <w:spacing w:val="-10"/>
                <w:sz w:val="18"/>
              </w:rPr>
              <w:t>0</w:t>
            </w:r>
          </w:p>
        </w:tc>
        <w:tc>
          <w:tcPr>
            <w:tcW w:w="784" w:type="dxa"/>
            <w:tcBorders>
              <w:top w:val="single" w:sz="4" w:space="0" w:color="002B5D"/>
              <w:bottom w:val="single" w:sz="12" w:space="0" w:color="002B5D"/>
            </w:tcBorders>
          </w:tcPr>
          <w:p>
            <w:pPr>
              <w:pStyle w:val="TableParagraph"/>
              <w:spacing w:before="90"/>
              <w:ind w:left="126"/>
              <w:jc w:val="center"/>
              <w:rPr>
                <w:sz w:val="18"/>
              </w:rPr>
            </w:pPr>
            <w:r>
              <w:rPr>
                <w:spacing w:val="-10"/>
                <w:sz w:val="18"/>
              </w:rPr>
              <w:t>1</w:t>
            </w:r>
          </w:p>
        </w:tc>
        <w:tc>
          <w:tcPr>
            <w:tcW w:w="1027" w:type="dxa"/>
            <w:tcBorders>
              <w:top w:val="single" w:sz="4" w:space="0" w:color="002B5D"/>
              <w:bottom w:val="single" w:sz="12" w:space="0" w:color="002B5D"/>
            </w:tcBorders>
          </w:tcPr>
          <w:p>
            <w:pPr>
              <w:pStyle w:val="TableParagraph"/>
              <w:spacing w:before="90"/>
              <w:ind w:right="22"/>
              <w:jc w:val="center"/>
              <w:rPr>
                <w:sz w:val="18"/>
              </w:rPr>
            </w:pPr>
            <w:r>
              <w:rPr>
                <w:spacing w:val="-5"/>
                <w:sz w:val="18"/>
              </w:rPr>
              <w:t>25</w:t>
            </w:r>
          </w:p>
        </w:tc>
        <w:tc>
          <w:tcPr>
            <w:tcW w:w="810" w:type="dxa"/>
            <w:tcBorders>
              <w:top w:val="single" w:sz="4" w:space="0" w:color="002B5D"/>
              <w:bottom w:val="single" w:sz="12" w:space="0" w:color="002B5D"/>
            </w:tcBorders>
          </w:tcPr>
          <w:p>
            <w:pPr>
              <w:pStyle w:val="TableParagraph"/>
              <w:spacing w:before="90"/>
              <w:ind w:left="68" w:right="113"/>
              <w:jc w:val="center"/>
              <w:rPr>
                <w:sz w:val="18"/>
              </w:rPr>
            </w:pPr>
            <w:r>
              <w:rPr>
                <w:spacing w:val="-5"/>
                <w:sz w:val="18"/>
              </w:rPr>
              <w:t>50</w:t>
            </w:r>
          </w:p>
        </w:tc>
        <w:tc>
          <w:tcPr>
            <w:tcW w:w="1122" w:type="dxa"/>
            <w:tcBorders>
              <w:top w:val="single" w:sz="4" w:space="0" w:color="002B5D"/>
              <w:bottom w:val="single" w:sz="12" w:space="0" w:color="002B5D"/>
            </w:tcBorders>
          </w:tcPr>
          <w:p>
            <w:pPr>
              <w:pStyle w:val="TableParagraph"/>
              <w:spacing w:before="90"/>
              <w:ind w:left="9"/>
              <w:jc w:val="center"/>
              <w:rPr>
                <w:sz w:val="18"/>
              </w:rPr>
            </w:pPr>
            <w:r>
              <w:rPr>
                <w:spacing w:val="-10"/>
                <w:sz w:val="18"/>
              </w:rPr>
              <w:t>0</w:t>
            </w:r>
          </w:p>
        </w:tc>
      </w:tr>
    </w:tbl>
    <w:p>
      <w:pPr>
        <w:spacing w:line="309" w:lineRule="auto" w:before="134"/>
        <w:ind w:left="1275" w:right="4308" w:firstLine="0"/>
        <w:jc w:val="left"/>
        <w:rPr>
          <w:rFonts w:ascii="Arial Narrow" w:hAnsi="Arial Narrow"/>
          <w:sz w:val="18"/>
        </w:rPr>
      </w:pPr>
      <w:r>
        <w:rPr>
          <w:rFonts w:ascii="Arial Narrow" w:hAnsi="Arial Narrow"/>
          <w:sz w:val="18"/>
        </w:rPr>
        <w:t>Fuente:</w:t>
      </w:r>
      <w:r>
        <w:rPr>
          <w:rFonts w:ascii="Arial Narrow" w:hAnsi="Arial Narrow"/>
          <w:spacing w:val="-4"/>
          <w:sz w:val="18"/>
        </w:rPr>
        <w:t> </w:t>
      </w:r>
      <w:r>
        <w:rPr>
          <w:rFonts w:ascii="Arial Narrow" w:hAnsi="Arial Narrow"/>
          <w:sz w:val="18"/>
        </w:rPr>
        <w:t>Elaboración</w:t>
      </w:r>
      <w:r>
        <w:rPr>
          <w:rFonts w:ascii="Arial Narrow" w:hAnsi="Arial Narrow"/>
          <w:spacing w:val="-4"/>
          <w:sz w:val="18"/>
        </w:rPr>
        <w:t> </w:t>
      </w:r>
      <w:r>
        <w:rPr>
          <w:rFonts w:ascii="Arial Narrow" w:hAnsi="Arial Narrow"/>
          <w:sz w:val="18"/>
        </w:rPr>
        <w:t>propia</w:t>
      </w:r>
      <w:r>
        <w:rPr>
          <w:rFonts w:ascii="Arial Narrow" w:hAnsi="Arial Narrow"/>
          <w:spacing w:val="-4"/>
          <w:sz w:val="18"/>
        </w:rPr>
        <w:t> </w:t>
      </w:r>
      <w:r>
        <w:rPr>
          <w:rFonts w:ascii="Arial Narrow" w:hAnsi="Arial Narrow"/>
          <w:sz w:val="18"/>
        </w:rPr>
        <w:t>a</w:t>
      </w:r>
      <w:r>
        <w:rPr>
          <w:rFonts w:ascii="Arial Narrow" w:hAnsi="Arial Narrow"/>
          <w:spacing w:val="-4"/>
          <w:sz w:val="18"/>
        </w:rPr>
        <w:t> </w:t>
      </w:r>
      <w:r>
        <w:rPr>
          <w:rFonts w:ascii="Arial Narrow" w:hAnsi="Arial Narrow"/>
          <w:sz w:val="18"/>
        </w:rPr>
        <w:t>partir</w:t>
      </w:r>
      <w:r>
        <w:rPr>
          <w:rFonts w:ascii="Arial Narrow" w:hAnsi="Arial Narrow"/>
          <w:spacing w:val="-2"/>
          <w:sz w:val="18"/>
        </w:rPr>
        <w:t> </w:t>
      </w:r>
      <w:r>
        <w:rPr>
          <w:rFonts w:ascii="Arial Narrow" w:hAnsi="Arial Narrow"/>
          <w:sz w:val="18"/>
        </w:rPr>
        <w:t>de</w:t>
      </w:r>
      <w:r>
        <w:rPr>
          <w:rFonts w:ascii="Arial Narrow" w:hAnsi="Arial Narrow"/>
          <w:spacing w:val="-4"/>
          <w:sz w:val="18"/>
        </w:rPr>
        <w:t> </w:t>
      </w:r>
      <w:r>
        <w:rPr>
          <w:rFonts w:ascii="Arial Narrow" w:hAnsi="Arial Narrow"/>
          <w:sz w:val="18"/>
        </w:rPr>
        <w:t>los</w:t>
      </w:r>
      <w:r>
        <w:rPr>
          <w:rFonts w:ascii="Arial Narrow" w:hAnsi="Arial Narrow"/>
          <w:spacing w:val="-4"/>
          <w:sz w:val="18"/>
        </w:rPr>
        <w:t> </w:t>
      </w:r>
      <w:r>
        <w:rPr>
          <w:rFonts w:ascii="Arial Narrow" w:hAnsi="Arial Narrow"/>
          <w:sz w:val="18"/>
        </w:rPr>
        <w:t>datos</w:t>
      </w:r>
      <w:r>
        <w:rPr>
          <w:rFonts w:ascii="Arial Narrow" w:hAnsi="Arial Narrow"/>
          <w:spacing w:val="-2"/>
          <w:sz w:val="18"/>
        </w:rPr>
        <w:t> </w:t>
      </w:r>
      <w:r>
        <w:rPr>
          <w:rFonts w:ascii="Arial Narrow" w:hAnsi="Arial Narrow"/>
          <w:sz w:val="18"/>
        </w:rPr>
        <w:t>facilitados</w:t>
      </w:r>
      <w:r>
        <w:rPr>
          <w:rFonts w:ascii="Arial Narrow" w:hAnsi="Arial Narrow"/>
          <w:spacing w:val="-3"/>
          <w:sz w:val="18"/>
        </w:rPr>
        <w:t> </w:t>
      </w:r>
      <w:r>
        <w:rPr>
          <w:rFonts w:ascii="Arial Narrow" w:hAnsi="Arial Narrow"/>
          <w:sz w:val="18"/>
        </w:rPr>
        <w:t>por</w:t>
      </w:r>
      <w:r>
        <w:rPr>
          <w:rFonts w:ascii="Arial Narrow" w:hAnsi="Arial Narrow"/>
          <w:spacing w:val="-2"/>
          <w:sz w:val="18"/>
        </w:rPr>
        <w:t> </w:t>
      </w:r>
      <w:r>
        <w:rPr>
          <w:rFonts w:ascii="Arial Narrow" w:hAnsi="Arial Narrow"/>
          <w:sz w:val="18"/>
        </w:rPr>
        <w:t>las</w:t>
      </w:r>
      <w:r>
        <w:rPr>
          <w:rFonts w:ascii="Arial Narrow" w:hAnsi="Arial Narrow"/>
          <w:spacing w:val="-4"/>
          <w:sz w:val="18"/>
        </w:rPr>
        <w:t> </w:t>
      </w:r>
      <w:r>
        <w:rPr>
          <w:rFonts w:ascii="Arial Narrow" w:hAnsi="Arial Narrow"/>
          <w:sz w:val="18"/>
        </w:rPr>
        <w:t>entidades</w:t>
      </w:r>
      <w:r>
        <w:rPr>
          <w:rFonts w:ascii="Arial Narrow" w:hAnsi="Arial Narrow"/>
          <w:spacing w:val="-4"/>
          <w:sz w:val="18"/>
        </w:rPr>
        <w:t> </w:t>
      </w:r>
      <w:r>
        <w:rPr>
          <w:rFonts w:ascii="Arial Narrow" w:hAnsi="Arial Narrow"/>
          <w:sz w:val="18"/>
        </w:rPr>
        <w:t>fiscalizadas. N/A: No aplicable</w:t>
      </w:r>
    </w:p>
    <w:p>
      <w:pPr>
        <w:spacing w:after="0" w:line="309" w:lineRule="auto"/>
        <w:jc w:val="left"/>
        <w:rPr>
          <w:rFonts w:ascii="Arial Narrow" w:hAnsi="Arial Narrow"/>
          <w:sz w:val="18"/>
        </w:rPr>
        <w:sectPr>
          <w:pgSz w:w="11910" w:h="16840"/>
          <w:pgMar w:header="1270" w:footer="683" w:top="2800" w:bottom="880" w:left="141" w:right="141"/>
        </w:sectPr>
      </w:pPr>
    </w:p>
    <w:p>
      <w:pPr>
        <w:pStyle w:val="BodyText"/>
        <w:spacing w:before="125"/>
        <w:rPr>
          <w:rFonts w:ascii="Arial Narrow"/>
        </w:rPr>
      </w:pPr>
    </w:p>
    <w:p>
      <w:pPr>
        <w:pStyle w:val="Heading4"/>
        <w:ind w:left="1"/>
      </w:pPr>
      <w:bookmarkStart w:name="_bookmark132" w:id="134"/>
      <w:bookmarkEnd w:id="134"/>
      <w:r>
        <w:rPr>
          <w:b w:val="0"/>
        </w:rPr>
      </w:r>
      <w:bookmarkStart w:name="_bookmark133" w:id="135"/>
      <w:bookmarkEnd w:id="135"/>
      <w:r>
        <w:rPr>
          <w:b w:val="0"/>
        </w:rPr>
      </w:r>
      <w:r>
        <w:rPr>
          <w:spacing w:val="-2"/>
        </w:rPr>
        <w:t>FLOTA</w:t>
      </w:r>
    </w:p>
    <w:p>
      <w:pPr>
        <w:pStyle w:val="BodyText"/>
        <w:spacing w:before="129"/>
        <w:rPr>
          <w:b/>
          <w:sz w:val="20"/>
        </w:rPr>
      </w:pPr>
    </w:p>
    <w:tbl>
      <w:tblPr>
        <w:tblW w:w="0" w:type="auto"/>
        <w:jc w:val="left"/>
        <w:tblInd w:w="14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30"/>
        <w:gridCol w:w="1181"/>
        <w:gridCol w:w="1208"/>
        <w:gridCol w:w="838"/>
        <w:gridCol w:w="1111"/>
        <w:gridCol w:w="759"/>
        <w:gridCol w:w="880"/>
        <w:gridCol w:w="1249"/>
      </w:tblGrid>
      <w:tr>
        <w:trPr>
          <w:trHeight w:val="974" w:hRule="atLeast"/>
        </w:trPr>
        <w:tc>
          <w:tcPr>
            <w:tcW w:w="1430" w:type="dxa"/>
            <w:shd w:val="clear" w:color="auto" w:fill="002D5D"/>
          </w:tcPr>
          <w:p>
            <w:pPr>
              <w:pStyle w:val="TableParagraph"/>
              <w:rPr>
                <w:rFonts w:ascii="Arial"/>
                <w:b/>
                <w:sz w:val="18"/>
              </w:rPr>
            </w:pPr>
          </w:p>
          <w:p>
            <w:pPr>
              <w:pStyle w:val="TableParagraph"/>
              <w:spacing w:before="77"/>
              <w:rPr>
                <w:rFonts w:ascii="Arial"/>
                <w:b/>
                <w:sz w:val="18"/>
              </w:rPr>
            </w:pPr>
          </w:p>
          <w:p>
            <w:pPr>
              <w:pStyle w:val="TableParagraph"/>
              <w:ind w:left="1" w:right="3"/>
              <w:jc w:val="center"/>
              <w:rPr>
                <w:b/>
                <w:sz w:val="18"/>
              </w:rPr>
            </w:pPr>
            <w:r>
              <w:rPr>
                <w:b/>
                <w:color w:val="FFFFFF"/>
                <w:spacing w:val="-2"/>
                <w:sz w:val="18"/>
              </w:rPr>
              <w:t>MUNICIPIO</w:t>
            </w:r>
          </w:p>
        </w:tc>
        <w:tc>
          <w:tcPr>
            <w:tcW w:w="1181" w:type="dxa"/>
            <w:shd w:val="clear" w:color="auto" w:fill="002D5D"/>
          </w:tcPr>
          <w:p>
            <w:pPr>
              <w:pStyle w:val="TableParagraph"/>
              <w:rPr>
                <w:rFonts w:ascii="Arial"/>
                <w:b/>
                <w:sz w:val="18"/>
              </w:rPr>
            </w:pPr>
          </w:p>
          <w:p>
            <w:pPr>
              <w:pStyle w:val="TableParagraph"/>
              <w:spacing w:before="77"/>
              <w:rPr>
                <w:rFonts w:ascii="Arial"/>
                <w:b/>
                <w:sz w:val="18"/>
              </w:rPr>
            </w:pPr>
          </w:p>
          <w:p>
            <w:pPr>
              <w:pStyle w:val="TableParagraph"/>
              <w:ind w:right="56"/>
              <w:jc w:val="center"/>
              <w:rPr>
                <w:b/>
                <w:sz w:val="18"/>
              </w:rPr>
            </w:pPr>
            <w:r>
              <w:rPr>
                <w:b/>
                <w:color w:val="FFFFFF"/>
                <w:sz w:val="18"/>
              </w:rPr>
              <w:t>SITUACIÓN</w:t>
            </w:r>
            <w:r>
              <w:rPr>
                <w:b/>
                <w:color w:val="FFFFFF"/>
                <w:spacing w:val="-2"/>
                <w:sz w:val="18"/>
              </w:rPr>
              <w:t> </w:t>
            </w:r>
            <w:r>
              <w:rPr>
                <w:b/>
                <w:color w:val="FFFFFF"/>
                <w:spacing w:val="-10"/>
                <w:sz w:val="18"/>
              </w:rPr>
              <w:t>A</w:t>
            </w:r>
          </w:p>
        </w:tc>
        <w:tc>
          <w:tcPr>
            <w:tcW w:w="1208" w:type="dxa"/>
            <w:shd w:val="clear" w:color="auto" w:fill="002D5D"/>
          </w:tcPr>
          <w:p>
            <w:pPr>
              <w:pStyle w:val="TableParagraph"/>
              <w:spacing w:before="181"/>
              <w:rPr>
                <w:rFonts w:ascii="Arial"/>
                <w:b/>
                <w:sz w:val="18"/>
              </w:rPr>
            </w:pPr>
          </w:p>
          <w:p>
            <w:pPr>
              <w:pStyle w:val="TableParagraph"/>
              <w:ind w:left="142" w:right="137" w:firstLine="115"/>
              <w:rPr>
                <w:b/>
                <w:sz w:val="18"/>
              </w:rPr>
            </w:pPr>
            <w:r>
              <w:rPr>
                <w:b/>
                <w:color w:val="FFFFFF"/>
                <w:sz w:val="18"/>
              </w:rPr>
              <w:t>Nº</w:t>
            </w:r>
            <w:r>
              <w:rPr>
                <w:b/>
                <w:color w:val="FFFFFF"/>
                <w:spacing w:val="-4"/>
                <w:sz w:val="18"/>
              </w:rPr>
              <w:t> </w:t>
            </w:r>
            <w:r>
              <w:rPr>
                <w:b/>
                <w:color w:val="FFFFFF"/>
                <w:sz w:val="18"/>
              </w:rPr>
              <w:t>TOTAL </w:t>
            </w:r>
            <w:r>
              <w:rPr>
                <w:b/>
                <w:color w:val="FFFFFF"/>
                <w:spacing w:val="-2"/>
                <w:sz w:val="18"/>
              </w:rPr>
              <w:t>AUTOBUSES</w:t>
            </w:r>
          </w:p>
        </w:tc>
        <w:tc>
          <w:tcPr>
            <w:tcW w:w="1949" w:type="dxa"/>
            <w:gridSpan w:val="2"/>
            <w:shd w:val="clear" w:color="auto" w:fill="002D5D"/>
          </w:tcPr>
          <w:p>
            <w:pPr>
              <w:pStyle w:val="TableParagraph"/>
              <w:spacing w:before="165"/>
              <w:ind w:left="144"/>
              <w:rPr>
                <w:b/>
                <w:sz w:val="18"/>
              </w:rPr>
            </w:pPr>
            <w:r>
              <w:rPr>
                <w:b/>
                <w:color w:val="FFFFFF"/>
                <w:sz w:val="18"/>
              </w:rPr>
              <w:t>VEHÍCULOS</w:t>
            </w:r>
            <w:r>
              <w:rPr>
                <w:b/>
                <w:color w:val="FFFFFF"/>
                <w:spacing w:val="-5"/>
                <w:sz w:val="18"/>
              </w:rPr>
              <w:t> </w:t>
            </w:r>
            <w:r>
              <w:rPr>
                <w:b/>
                <w:color w:val="FFFFFF"/>
                <w:spacing w:val="-2"/>
                <w:sz w:val="18"/>
              </w:rPr>
              <w:t>LIMPIOS</w:t>
            </w:r>
          </w:p>
          <w:p>
            <w:pPr>
              <w:pStyle w:val="TableParagraph"/>
              <w:spacing w:before="189"/>
              <w:ind w:right="345"/>
              <w:jc w:val="right"/>
              <w:rPr>
                <w:b/>
                <w:sz w:val="18"/>
              </w:rPr>
            </w:pPr>
            <w:r>
              <w:rPr>
                <w:b/>
                <w:color w:val="FFFFFF"/>
                <w:sz w:val="18"/>
              </w:rPr>
              <w:t>% </w:t>
            </w:r>
            <w:r>
              <w:rPr>
                <w:b/>
                <w:color w:val="FFFFFF"/>
                <w:spacing w:val="-4"/>
                <w:sz w:val="18"/>
              </w:rPr>
              <w:t>sobre</w:t>
            </w:r>
          </w:p>
          <w:p>
            <w:pPr>
              <w:pStyle w:val="TableParagraph"/>
              <w:tabs>
                <w:tab w:pos="683" w:val="left" w:leader="none"/>
              </w:tabs>
              <w:spacing w:line="187" w:lineRule="exact"/>
              <w:ind w:right="393"/>
              <w:jc w:val="right"/>
              <w:rPr>
                <w:b/>
                <w:sz w:val="18"/>
              </w:rPr>
            </w:pPr>
            <w:r>
              <w:rPr>
                <w:b/>
                <w:color w:val="FFFFFF"/>
                <w:spacing w:val="-5"/>
                <w:sz w:val="18"/>
              </w:rPr>
              <w:t>Nº</w:t>
            </w:r>
            <w:r>
              <w:rPr>
                <w:b/>
                <w:color w:val="FFFFFF"/>
                <w:sz w:val="18"/>
              </w:rPr>
              <w:tab/>
              <w:t>el</w:t>
            </w:r>
            <w:r>
              <w:rPr>
                <w:b/>
                <w:color w:val="FFFFFF"/>
                <w:spacing w:val="-1"/>
                <w:sz w:val="18"/>
              </w:rPr>
              <w:t> </w:t>
            </w:r>
            <w:r>
              <w:rPr>
                <w:b/>
                <w:color w:val="FFFFFF"/>
                <w:spacing w:val="-4"/>
                <w:sz w:val="18"/>
              </w:rPr>
              <w:t>total</w:t>
            </w:r>
          </w:p>
        </w:tc>
        <w:tc>
          <w:tcPr>
            <w:tcW w:w="1639" w:type="dxa"/>
            <w:gridSpan w:val="2"/>
            <w:shd w:val="clear" w:color="auto" w:fill="002D5D"/>
          </w:tcPr>
          <w:p>
            <w:pPr>
              <w:pStyle w:val="TableParagraph"/>
              <w:spacing w:line="242" w:lineRule="auto" w:before="59"/>
              <w:ind w:left="336" w:firstLine="45"/>
              <w:rPr>
                <w:b/>
                <w:sz w:val="18"/>
              </w:rPr>
            </w:pPr>
            <w:r>
              <w:rPr>
                <w:b/>
                <w:color w:val="FFFFFF"/>
                <w:spacing w:val="-2"/>
                <w:sz w:val="18"/>
              </w:rPr>
              <w:t>VEHÍCULOS</w:t>
            </w:r>
            <w:r>
              <w:rPr>
                <w:b/>
                <w:color w:val="FFFFFF"/>
                <w:sz w:val="18"/>
              </w:rPr>
              <w:t> </w:t>
            </w:r>
            <w:r>
              <w:rPr>
                <w:b/>
                <w:color w:val="FFFFFF"/>
                <w:spacing w:val="-2"/>
                <w:sz w:val="18"/>
              </w:rPr>
              <w:t>ELÉCTRICOS</w:t>
            </w:r>
          </w:p>
          <w:p>
            <w:pPr>
              <w:pStyle w:val="TableParagraph"/>
              <w:spacing w:before="84"/>
              <w:ind w:right="104"/>
              <w:jc w:val="right"/>
              <w:rPr>
                <w:b/>
                <w:sz w:val="18"/>
              </w:rPr>
            </w:pPr>
            <w:r>
              <w:rPr>
                <w:b/>
                <w:color w:val="FFFFFF"/>
                <w:sz w:val="18"/>
              </w:rPr>
              <w:t>% </w:t>
            </w:r>
            <w:r>
              <w:rPr>
                <w:b/>
                <w:color w:val="FFFFFF"/>
                <w:spacing w:val="-4"/>
                <w:sz w:val="18"/>
              </w:rPr>
              <w:t>sobre</w:t>
            </w:r>
          </w:p>
          <w:p>
            <w:pPr>
              <w:pStyle w:val="TableParagraph"/>
              <w:tabs>
                <w:tab w:pos="698" w:val="left" w:leader="none"/>
              </w:tabs>
              <w:spacing w:line="187" w:lineRule="exact"/>
              <w:ind w:right="155"/>
              <w:jc w:val="right"/>
              <w:rPr>
                <w:b/>
                <w:sz w:val="18"/>
              </w:rPr>
            </w:pPr>
            <w:r>
              <w:rPr>
                <w:b/>
                <w:color w:val="FFFFFF"/>
                <w:spacing w:val="-5"/>
                <w:sz w:val="18"/>
              </w:rPr>
              <w:t>Nº</w:t>
            </w:r>
            <w:r>
              <w:rPr>
                <w:b/>
                <w:color w:val="FFFFFF"/>
                <w:sz w:val="18"/>
              </w:rPr>
              <w:tab/>
              <w:t>el</w:t>
            </w:r>
            <w:r>
              <w:rPr>
                <w:b/>
                <w:color w:val="FFFFFF"/>
                <w:spacing w:val="-1"/>
                <w:sz w:val="18"/>
              </w:rPr>
              <w:t> </w:t>
            </w:r>
            <w:r>
              <w:rPr>
                <w:b/>
                <w:color w:val="FFFFFF"/>
                <w:spacing w:val="-4"/>
                <w:sz w:val="18"/>
              </w:rPr>
              <w:t>total</w:t>
            </w:r>
          </w:p>
        </w:tc>
        <w:tc>
          <w:tcPr>
            <w:tcW w:w="1249" w:type="dxa"/>
            <w:shd w:val="clear" w:color="auto" w:fill="002D5D"/>
          </w:tcPr>
          <w:p>
            <w:pPr>
              <w:pStyle w:val="TableParagraph"/>
              <w:spacing w:before="77"/>
              <w:rPr>
                <w:rFonts w:ascii="Arial"/>
                <w:b/>
                <w:sz w:val="18"/>
              </w:rPr>
            </w:pPr>
          </w:p>
          <w:p>
            <w:pPr>
              <w:pStyle w:val="TableParagraph"/>
              <w:spacing w:before="1"/>
              <w:ind w:left="116" w:right="71" w:firstLine="36"/>
              <w:jc w:val="both"/>
              <w:rPr>
                <w:b/>
                <w:sz w:val="18"/>
              </w:rPr>
            </w:pPr>
            <w:r>
              <w:rPr>
                <w:b/>
                <w:color w:val="FFFFFF"/>
                <w:spacing w:val="-2"/>
                <w:sz w:val="18"/>
              </w:rPr>
              <w:t>ANTIGÜEDAD</w:t>
            </w:r>
            <w:r>
              <w:rPr>
                <w:b/>
                <w:color w:val="FFFFFF"/>
                <w:sz w:val="18"/>
              </w:rPr>
              <w:t> MEDIA DE LA FLOTA </w:t>
            </w:r>
            <w:r>
              <w:rPr>
                <w:b/>
                <w:color w:val="FFFFFF"/>
                <w:spacing w:val="-2"/>
                <w:sz w:val="18"/>
              </w:rPr>
              <w:t>(AÑOS)</w:t>
            </w:r>
          </w:p>
        </w:tc>
      </w:tr>
      <w:tr>
        <w:trPr>
          <w:trHeight w:val="213" w:hRule="atLeast"/>
        </w:trPr>
        <w:tc>
          <w:tcPr>
            <w:tcW w:w="1430" w:type="dxa"/>
            <w:shd w:val="clear" w:color="auto" w:fill="002D5D"/>
          </w:tcPr>
          <w:p>
            <w:pPr>
              <w:pStyle w:val="TableParagraph"/>
              <w:rPr>
                <w:rFonts w:ascii="Times New Roman"/>
                <w:sz w:val="14"/>
              </w:rPr>
            </w:pPr>
          </w:p>
        </w:tc>
        <w:tc>
          <w:tcPr>
            <w:tcW w:w="1181" w:type="dxa"/>
            <w:shd w:val="clear" w:color="auto" w:fill="002D5D"/>
          </w:tcPr>
          <w:p>
            <w:pPr>
              <w:pStyle w:val="TableParagraph"/>
              <w:rPr>
                <w:rFonts w:ascii="Times New Roman"/>
                <w:sz w:val="14"/>
              </w:rPr>
            </w:pPr>
          </w:p>
        </w:tc>
        <w:tc>
          <w:tcPr>
            <w:tcW w:w="1208" w:type="dxa"/>
            <w:shd w:val="clear" w:color="auto" w:fill="002D5D"/>
          </w:tcPr>
          <w:p>
            <w:pPr>
              <w:pStyle w:val="TableParagraph"/>
              <w:rPr>
                <w:rFonts w:ascii="Times New Roman"/>
                <w:sz w:val="14"/>
              </w:rPr>
            </w:pPr>
          </w:p>
        </w:tc>
        <w:tc>
          <w:tcPr>
            <w:tcW w:w="838" w:type="dxa"/>
            <w:shd w:val="clear" w:color="auto" w:fill="002D5D"/>
          </w:tcPr>
          <w:p>
            <w:pPr>
              <w:pStyle w:val="TableParagraph"/>
              <w:rPr>
                <w:rFonts w:ascii="Times New Roman"/>
                <w:sz w:val="14"/>
              </w:rPr>
            </w:pPr>
          </w:p>
        </w:tc>
        <w:tc>
          <w:tcPr>
            <w:tcW w:w="1111" w:type="dxa"/>
            <w:shd w:val="clear" w:color="auto" w:fill="002D5D"/>
          </w:tcPr>
          <w:p>
            <w:pPr>
              <w:pStyle w:val="TableParagraph"/>
              <w:spacing w:line="194" w:lineRule="exact"/>
              <w:ind w:left="319"/>
              <w:rPr>
                <w:b/>
                <w:sz w:val="18"/>
              </w:rPr>
            </w:pPr>
            <w:r>
              <w:rPr>
                <w:b/>
                <w:color w:val="FFFFFF"/>
                <w:spacing w:val="-4"/>
                <w:sz w:val="18"/>
              </w:rPr>
              <w:t>flota</w:t>
            </w:r>
          </w:p>
        </w:tc>
        <w:tc>
          <w:tcPr>
            <w:tcW w:w="759" w:type="dxa"/>
            <w:shd w:val="clear" w:color="auto" w:fill="002D5D"/>
          </w:tcPr>
          <w:p>
            <w:pPr>
              <w:pStyle w:val="TableParagraph"/>
              <w:rPr>
                <w:rFonts w:ascii="Times New Roman"/>
                <w:sz w:val="14"/>
              </w:rPr>
            </w:pPr>
          </w:p>
        </w:tc>
        <w:tc>
          <w:tcPr>
            <w:tcW w:w="880" w:type="dxa"/>
            <w:shd w:val="clear" w:color="auto" w:fill="002D5D"/>
          </w:tcPr>
          <w:p>
            <w:pPr>
              <w:pStyle w:val="TableParagraph"/>
              <w:spacing w:line="194" w:lineRule="exact"/>
              <w:ind w:left="92"/>
              <w:jc w:val="center"/>
              <w:rPr>
                <w:b/>
                <w:sz w:val="18"/>
              </w:rPr>
            </w:pPr>
            <w:r>
              <w:rPr>
                <w:b/>
                <w:color w:val="FFFFFF"/>
                <w:spacing w:val="-4"/>
                <w:sz w:val="18"/>
              </w:rPr>
              <w:t>flota</w:t>
            </w:r>
          </w:p>
        </w:tc>
        <w:tc>
          <w:tcPr>
            <w:tcW w:w="1249" w:type="dxa"/>
            <w:shd w:val="clear" w:color="auto" w:fill="002D5D"/>
          </w:tcPr>
          <w:p>
            <w:pPr>
              <w:pStyle w:val="TableParagraph"/>
              <w:rPr>
                <w:rFonts w:ascii="Times New Roman"/>
                <w:sz w:val="14"/>
              </w:rPr>
            </w:pPr>
          </w:p>
        </w:tc>
      </w:tr>
      <w:tr>
        <w:trPr>
          <w:trHeight w:val="329" w:hRule="atLeast"/>
        </w:trPr>
        <w:tc>
          <w:tcPr>
            <w:tcW w:w="1430" w:type="dxa"/>
          </w:tcPr>
          <w:p>
            <w:pPr>
              <w:pStyle w:val="TableParagraph"/>
              <w:rPr>
                <w:rFonts w:ascii="Times New Roman"/>
                <w:sz w:val="16"/>
              </w:rPr>
            </w:pPr>
          </w:p>
        </w:tc>
        <w:tc>
          <w:tcPr>
            <w:tcW w:w="1181" w:type="dxa"/>
            <w:tcBorders>
              <w:bottom w:val="single" w:sz="4" w:space="0" w:color="1F3763"/>
            </w:tcBorders>
          </w:tcPr>
          <w:p>
            <w:pPr>
              <w:pStyle w:val="TableParagraph"/>
              <w:spacing w:before="59"/>
              <w:ind w:right="56"/>
              <w:jc w:val="center"/>
              <w:rPr>
                <w:sz w:val="18"/>
              </w:rPr>
            </w:pPr>
            <w:r>
              <w:rPr>
                <w:spacing w:val="-2"/>
                <w:sz w:val="18"/>
              </w:rPr>
              <w:t>31/12/2022</w:t>
            </w:r>
          </w:p>
        </w:tc>
        <w:tc>
          <w:tcPr>
            <w:tcW w:w="1208" w:type="dxa"/>
            <w:tcBorders>
              <w:bottom w:val="single" w:sz="4" w:space="0" w:color="002D5D"/>
            </w:tcBorders>
          </w:tcPr>
          <w:p>
            <w:pPr>
              <w:pStyle w:val="TableParagraph"/>
              <w:spacing w:before="59"/>
              <w:ind w:left="4" w:right="1"/>
              <w:jc w:val="center"/>
              <w:rPr>
                <w:sz w:val="18"/>
              </w:rPr>
            </w:pPr>
            <w:r>
              <w:rPr>
                <w:spacing w:val="-5"/>
                <w:sz w:val="18"/>
              </w:rPr>
              <w:t>97</w:t>
            </w:r>
          </w:p>
        </w:tc>
        <w:tc>
          <w:tcPr>
            <w:tcW w:w="838" w:type="dxa"/>
            <w:tcBorders>
              <w:bottom w:val="single" w:sz="4" w:space="0" w:color="002D5D"/>
            </w:tcBorders>
          </w:tcPr>
          <w:p>
            <w:pPr>
              <w:pStyle w:val="TableParagraph"/>
              <w:spacing w:before="59"/>
              <w:ind w:left="103"/>
              <w:jc w:val="center"/>
              <w:rPr>
                <w:sz w:val="18"/>
              </w:rPr>
            </w:pPr>
            <w:r>
              <w:rPr>
                <w:spacing w:val="-10"/>
                <w:sz w:val="18"/>
              </w:rPr>
              <w:t>5</w:t>
            </w:r>
          </w:p>
        </w:tc>
        <w:tc>
          <w:tcPr>
            <w:tcW w:w="1111" w:type="dxa"/>
            <w:tcBorders>
              <w:bottom w:val="single" w:sz="4" w:space="0" w:color="002D5D"/>
            </w:tcBorders>
          </w:tcPr>
          <w:p>
            <w:pPr>
              <w:pStyle w:val="TableParagraph"/>
              <w:spacing w:before="59"/>
              <w:ind w:left="331"/>
              <w:rPr>
                <w:sz w:val="18"/>
              </w:rPr>
            </w:pPr>
            <w:r>
              <w:rPr>
                <w:spacing w:val="-4"/>
                <w:sz w:val="18"/>
              </w:rPr>
              <w:t>5,15</w:t>
            </w:r>
          </w:p>
        </w:tc>
        <w:tc>
          <w:tcPr>
            <w:tcW w:w="759" w:type="dxa"/>
            <w:tcBorders>
              <w:bottom w:val="single" w:sz="4" w:space="0" w:color="002D5D"/>
            </w:tcBorders>
          </w:tcPr>
          <w:p>
            <w:pPr>
              <w:pStyle w:val="TableParagraph"/>
              <w:spacing w:before="59"/>
              <w:ind w:left="10"/>
              <w:jc w:val="center"/>
              <w:rPr>
                <w:sz w:val="18"/>
              </w:rPr>
            </w:pPr>
            <w:r>
              <w:rPr>
                <w:spacing w:val="-10"/>
                <w:sz w:val="18"/>
              </w:rPr>
              <w:t>0</w:t>
            </w:r>
          </w:p>
        </w:tc>
        <w:tc>
          <w:tcPr>
            <w:tcW w:w="880" w:type="dxa"/>
            <w:tcBorders>
              <w:bottom w:val="single" w:sz="4" w:space="0" w:color="002D5D"/>
            </w:tcBorders>
          </w:tcPr>
          <w:p>
            <w:pPr>
              <w:pStyle w:val="TableParagraph"/>
              <w:spacing w:before="59"/>
              <w:ind w:left="92" w:right="4"/>
              <w:jc w:val="center"/>
              <w:rPr>
                <w:sz w:val="18"/>
              </w:rPr>
            </w:pPr>
            <w:r>
              <w:rPr>
                <w:spacing w:val="-4"/>
                <w:sz w:val="18"/>
              </w:rPr>
              <w:t>0,00</w:t>
            </w:r>
          </w:p>
        </w:tc>
        <w:tc>
          <w:tcPr>
            <w:tcW w:w="1249" w:type="dxa"/>
            <w:tcBorders>
              <w:bottom w:val="single" w:sz="4" w:space="0" w:color="002D5D"/>
            </w:tcBorders>
          </w:tcPr>
          <w:p>
            <w:pPr>
              <w:pStyle w:val="TableParagraph"/>
              <w:spacing w:before="59"/>
              <w:ind w:left="37"/>
              <w:jc w:val="center"/>
              <w:rPr>
                <w:sz w:val="18"/>
              </w:rPr>
            </w:pPr>
            <w:r>
              <w:rPr>
                <w:spacing w:val="-2"/>
                <w:sz w:val="18"/>
              </w:rPr>
              <w:t>12,23</w:t>
            </w:r>
          </w:p>
        </w:tc>
      </w:tr>
      <w:tr>
        <w:trPr>
          <w:trHeight w:val="350" w:hRule="atLeast"/>
        </w:trPr>
        <w:tc>
          <w:tcPr>
            <w:tcW w:w="1430" w:type="dxa"/>
          </w:tcPr>
          <w:p>
            <w:pPr>
              <w:pStyle w:val="TableParagraph"/>
              <w:spacing w:before="90"/>
              <w:ind w:left="1" w:right="3"/>
              <w:jc w:val="center"/>
              <w:rPr>
                <w:b/>
                <w:sz w:val="18"/>
              </w:rPr>
            </w:pPr>
            <w:r>
              <w:rPr>
                <w:b/>
                <w:spacing w:val="-2"/>
                <w:sz w:val="18"/>
              </w:rPr>
              <w:t>ALICANTE</w:t>
            </w:r>
          </w:p>
        </w:tc>
        <w:tc>
          <w:tcPr>
            <w:tcW w:w="1181" w:type="dxa"/>
            <w:tcBorders>
              <w:top w:val="single" w:sz="4" w:space="0" w:color="1F3763"/>
              <w:bottom w:val="single" w:sz="4" w:space="0" w:color="1F3763"/>
            </w:tcBorders>
          </w:tcPr>
          <w:p>
            <w:pPr>
              <w:pStyle w:val="TableParagraph"/>
              <w:spacing w:before="80"/>
              <w:ind w:right="56"/>
              <w:jc w:val="center"/>
              <w:rPr>
                <w:sz w:val="18"/>
              </w:rPr>
            </w:pPr>
            <w:r>
              <w:rPr>
                <w:spacing w:val="-2"/>
                <w:sz w:val="18"/>
              </w:rPr>
              <w:t>31/12/2023</w:t>
            </w:r>
          </w:p>
        </w:tc>
        <w:tc>
          <w:tcPr>
            <w:tcW w:w="1208" w:type="dxa"/>
            <w:tcBorders>
              <w:top w:val="single" w:sz="4" w:space="0" w:color="002D5D"/>
              <w:bottom w:val="single" w:sz="4" w:space="0" w:color="002D5D"/>
            </w:tcBorders>
          </w:tcPr>
          <w:p>
            <w:pPr>
              <w:pStyle w:val="TableParagraph"/>
              <w:spacing w:before="80"/>
              <w:ind w:left="3" w:right="4"/>
              <w:jc w:val="center"/>
              <w:rPr>
                <w:sz w:val="18"/>
              </w:rPr>
            </w:pPr>
            <w:r>
              <w:rPr>
                <w:spacing w:val="-5"/>
                <w:sz w:val="18"/>
              </w:rPr>
              <w:t>101</w:t>
            </w:r>
          </w:p>
        </w:tc>
        <w:tc>
          <w:tcPr>
            <w:tcW w:w="838" w:type="dxa"/>
            <w:tcBorders>
              <w:top w:val="single" w:sz="4" w:space="0" w:color="002D5D"/>
              <w:bottom w:val="single" w:sz="4" w:space="0" w:color="002D5D"/>
            </w:tcBorders>
          </w:tcPr>
          <w:p>
            <w:pPr>
              <w:pStyle w:val="TableParagraph"/>
              <w:spacing w:before="80"/>
              <w:ind w:left="103"/>
              <w:jc w:val="center"/>
              <w:rPr>
                <w:sz w:val="18"/>
              </w:rPr>
            </w:pPr>
            <w:r>
              <w:rPr>
                <w:spacing w:val="-5"/>
                <w:sz w:val="18"/>
              </w:rPr>
              <w:t>26</w:t>
            </w:r>
          </w:p>
        </w:tc>
        <w:tc>
          <w:tcPr>
            <w:tcW w:w="1111" w:type="dxa"/>
            <w:tcBorders>
              <w:top w:val="single" w:sz="4" w:space="0" w:color="002D5D"/>
              <w:bottom w:val="single" w:sz="4" w:space="0" w:color="002D5D"/>
            </w:tcBorders>
          </w:tcPr>
          <w:p>
            <w:pPr>
              <w:pStyle w:val="TableParagraph"/>
              <w:spacing w:before="80"/>
              <w:ind w:left="290"/>
              <w:rPr>
                <w:sz w:val="18"/>
              </w:rPr>
            </w:pPr>
            <w:r>
              <w:rPr>
                <w:spacing w:val="-2"/>
                <w:sz w:val="18"/>
              </w:rPr>
              <w:t>25,74</w:t>
            </w:r>
          </w:p>
        </w:tc>
        <w:tc>
          <w:tcPr>
            <w:tcW w:w="759" w:type="dxa"/>
            <w:tcBorders>
              <w:top w:val="single" w:sz="4" w:space="0" w:color="002D5D"/>
              <w:bottom w:val="single" w:sz="4" w:space="0" w:color="002D5D"/>
            </w:tcBorders>
          </w:tcPr>
          <w:p>
            <w:pPr>
              <w:pStyle w:val="TableParagraph"/>
              <w:spacing w:before="80"/>
              <w:ind w:left="10"/>
              <w:jc w:val="center"/>
              <w:rPr>
                <w:sz w:val="18"/>
              </w:rPr>
            </w:pPr>
            <w:r>
              <w:rPr>
                <w:spacing w:val="-10"/>
                <w:sz w:val="18"/>
              </w:rPr>
              <w:t>1</w:t>
            </w:r>
          </w:p>
        </w:tc>
        <w:tc>
          <w:tcPr>
            <w:tcW w:w="880" w:type="dxa"/>
            <w:tcBorders>
              <w:top w:val="single" w:sz="4" w:space="0" w:color="002D5D"/>
              <w:bottom w:val="single" w:sz="4" w:space="0" w:color="002D5D"/>
            </w:tcBorders>
          </w:tcPr>
          <w:p>
            <w:pPr>
              <w:pStyle w:val="TableParagraph"/>
              <w:spacing w:before="80"/>
              <w:ind w:left="92" w:right="4"/>
              <w:jc w:val="center"/>
              <w:rPr>
                <w:sz w:val="18"/>
              </w:rPr>
            </w:pPr>
            <w:r>
              <w:rPr>
                <w:spacing w:val="-4"/>
                <w:sz w:val="18"/>
              </w:rPr>
              <w:t>0,99</w:t>
            </w:r>
          </w:p>
        </w:tc>
        <w:tc>
          <w:tcPr>
            <w:tcW w:w="1249" w:type="dxa"/>
            <w:tcBorders>
              <w:top w:val="single" w:sz="4" w:space="0" w:color="002D5D"/>
              <w:bottom w:val="single" w:sz="4" w:space="0" w:color="002D5D"/>
            </w:tcBorders>
          </w:tcPr>
          <w:p>
            <w:pPr>
              <w:pStyle w:val="TableParagraph"/>
              <w:spacing w:before="80"/>
              <w:ind w:left="37"/>
              <w:jc w:val="center"/>
              <w:rPr>
                <w:sz w:val="18"/>
              </w:rPr>
            </w:pPr>
            <w:r>
              <w:rPr>
                <w:spacing w:val="-4"/>
                <w:sz w:val="18"/>
              </w:rPr>
              <w:t>9,38</w:t>
            </w:r>
          </w:p>
        </w:tc>
      </w:tr>
      <w:tr>
        <w:trPr>
          <w:trHeight w:val="364" w:hRule="atLeast"/>
        </w:trPr>
        <w:tc>
          <w:tcPr>
            <w:tcW w:w="1430" w:type="dxa"/>
            <w:tcBorders>
              <w:bottom w:val="single" w:sz="12" w:space="0" w:color="002D5D"/>
            </w:tcBorders>
          </w:tcPr>
          <w:p>
            <w:pPr>
              <w:pStyle w:val="TableParagraph"/>
              <w:rPr>
                <w:rFonts w:ascii="Times New Roman"/>
                <w:sz w:val="16"/>
              </w:rPr>
            </w:pPr>
          </w:p>
        </w:tc>
        <w:tc>
          <w:tcPr>
            <w:tcW w:w="1181" w:type="dxa"/>
            <w:tcBorders>
              <w:top w:val="single" w:sz="4" w:space="0" w:color="1F3763"/>
              <w:bottom w:val="single" w:sz="12" w:space="0" w:color="1F3763"/>
            </w:tcBorders>
          </w:tcPr>
          <w:p>
            <w:pPr>
              <w:pStyle w:val="TableParagraph"/>
              <w:spacing w:before="90"/>
              <w:ind w:right="56"/>
              <w:jc w:val="center"/>
              <w:rPr>
                <w:sz w:val="18"/>
              </w:rPr>
            </w:pPr>
            <w:r>
              <w:rPr>
                <w:spacing w:val="-2"/>
                <w:sz w:val="18"/>
              </w:rPr>
              <w:t>31/12/2024</w:t>
            </w:r>
          </w:p>
        </w:tc>
        <w:tc>
          <w:tcPr>
            <w:tcW w:w="1208" w:type="dxa"/>
            <w:tcBorders>
              <w:top w:val="single" w:sz="4" w:space="0" w:color="002D5D"/>
              <w:bottom w:val="single" w:sz="12" w:space="0" w:color="002D5D"/>
            </w:tcBorders>
          </w:tcPr>
          <w:p>
            <w:pPr>
              <w:pStyle w:val="TableParagraph"/>
              <w:spacing w:before="90"/>
              <w:ind w:left="3" w:right="4"/>
              <w:jc w:val="center"/>
              <w:rPr>
                <w:sz w:val="18"/>
              </w:rPr>
            </w:pPr>
            <w:r>
              <w:rPr>
                <w:spacing w:val="-5"/>
                <w:sz w:val="18"/>
              </w:rPr>
              <w:t>107</w:t>
            </w:r>
          </w:p>
        </w:tc>
        <w:tc>
          <w:tcPr>
            <w:tcW w:w="838" w:type="dxa"/>
            <w:tcBorders>
              <w:top w:val="single" w:sz="4" w:space="0" w:color="002D5D"/>
              <w:bottom w:val="single" w:sz="12" w:space="0" w:color="002D5D"/>
            </w:tcBorders>
          </w:tcPr>
          <w:p>
            <w:pPr>
              <w:pStyle w:val="TableParagraph"/>
              <w:spacing w:before="90"/>
              <w:ind w:left="103"/>
              <w:jc w:val="center"/>
              <w:rPr>
                <w:sz w:val="18"/>
              </w:rPr>
            </w:pPr>
            <w:r>
              <w:rPr>
                <w:spacing w:val="-5"/>
                <w:sz w:val="18"/>
              </w:rPr>
              <w:t>48</w:t>
            </w:r>
          </w:p>
        </w:tc>
        <w:tc>
          <w:tcPr>
            <w:tcW w:w="1111" w:type="dxa"/>
            <w:tcBorders>
              <w:top w:val="single" w:sz="4" w:space="0" w:color="002D5D"/>
              <w:bottom w:val="single" w:sz="12" w:space="0" w:color="002D5D"/>
            </w:tcBorders>
          </w:tcPr>
          <w:p>
            <w:pPr>
              <w:pStyle w:val="TableParagraph"/>
              <w:spacing w:before="90"/>
              <w:ind w:left="290"/>
              <w:rPr>
                <w:sz w:val="18"/>
              </w:rPr>
            </w:pPr>
            <w:r>
              <w:rPr>
                <w:spacing w:val="-2"/>
                <w:sz w:val="18"/>
              </w:rPr>
              <w:t>44,86</w:t>
            </w:r>
          </w:p>
        </w:tc>
        <w:tc>
          <w:tcPr>
            <w:tcW w:w="759" w:type="dxa"/>
            <w:tcBorders>
              <w:top w:val="single" w:sz="4" w:space="0" w:color="002D5D"/>
              <w:bottom w:val="single" w:sz="12" w:space="0" w:color="002D5D"/>
            </w:tcBorders>
          </w:tcPr>
          <w:p>
            <w:pPr>
              <w:pStyle w:val="TableParagraph"/>
              <w:spacing w:before="90"/>
              <w:ind w:left="10"/>
              <w:jc w:val="center"/>
              <w:rPr>
                <w:sz w:val="18"/>
              </w:rPr>
            </w:pPr>
            <w:r>
              <w:rPr>
                <w:spacing w:val="-5"/>
                <w:sz w:val="18"/>
              </w:rPr>
              <w:t>23</w:t>
            </w:r>
          </w:p>
        </w:tc>
        <w:tc>
          <w:tcPr>
            <w:tcW w:w="880" w:type="dxa"/>
            <w:tcBorders>
              <w:top w:val="single" w:sz="4" w:space="0" w:color="002D5D"/>
              <w:bottom w:val="single" w:sz="12" w:space="0" w:color="002D5D"/>
            </w:tcBorders>
          </w:tcPr>
          <w:p>
            <w:pPr>
              <w:pStyle w:val="TableParagraph"/>
              <w:spacing w:before="90"/>
              <w:ind w:left="92" w:right="5"/>
              <w:jc w:val="center"/>
              <w:rPr>
                <w:sz w:val="18"/>
              </w:rPr>
            </w:pPr>
            <w:r>
              <w:rPr>
                <w:spacing w:val="-2"/>
                <w:sz w:val="18"/>
              </w:rPr>
              <w:t>21,50</w:t>
            </w:r>
          </w:p>
        </w:tc>
        <w:tc>
          <w:tcPr>
            <w:tcW w:w="1249" w:type="dxa"/>
            <w:tcBorders>
              <w:top w:val="single" w:sz="4" w:space="0" w:color="002D5D"/>
              <w:bottom w:val="single" w:sz="12" w:space="0" w:color="002D5D"/>
            </w:tcBorders>
          </w:tcPr>
          <w:p>
            <w:pPr>
              <w:pStyle w:val="TableParagraph"/>
              <w:spacing w:before="90"/>
              <w:ind w:left="37"/>
              <w:jc w:val="center"/>
              <w:rPr>
                <w:sz w:val="18"/>
              </w:rPr>
            </w:pPr>
            <w:r>
              <w:rPr>
                <w:spacing w:val="-4"/>
                <w:sz w:val="18"/>
              </w:rPr>
              <w:t>6,81</w:t>
            </w:r>
          </w:p>
        </w:tc>
      </w:tr>
      <w:tr>
        <w:trPr>
          <w:trHeight w:val="330" w:hRule="atLeast"/>
        </w:trPr>
        <w:tc>
          <w:tcPr>
            <w:tcW w:w="1430" w:type="dxa"/>
            <w:tcBorders>
              <w:top w:val="single" w:sz="12" w:space="0" w:color="002D5D"/>
            </w:tcBorders>
          </w:tcPr>
          <w:p>
            <w:pPr>
              <w:pStyle w:val="TableParagraph"/>
              <w:rPr>
                <w:rFonts w:ascii="Times New Roman"/>
                <w:sz w:val="16"/>
              </w:rPr>
            </w:pPr>
          </w:p>
        </w:tc>
        <w:tc>
          <w:tcPr>
            <w:tcW w:w="1181" w:type="dxa"/>
            <w:tcBorders>
              <w:top w:val="single" w:sz="12" w:space="0" w:color="1F3763"/>
              <w:bottom w:val="single" w:sz="4" w:space="0" w:color="1F3763"/>
            </w:tcBorders>
          </w:tcPr>
          <w:p>
            <w:pPr>
              <w:pStyle w:val="TableParagraph"/>
              <w:spacing w:before="63"/>
              <w:ind w:right="56"/>
              <w:jc w:val="center"/>
              <w:rPr>
                <w:sz w:val="18"/>
              </w:rPr>
            </w:pPr>
            <w:r>
              <w:rPr>
                <w:spacing w:val="-2"/>
                <w:sz w:val="18"/>
              </w:rPr>
              <w:t>31/12/2022</w:t>
            </w:r>
          </w:p>
        </w:tc>
        <w:tc>
          <w:tcPr>
            <w:tcW w:w="1208" w:type="dxa"/>
            <w:tcBorders>
              <w:top w:val="single" w:sz="12" w:space="0" w:color="002D5D"/>
              <w:bottom w:val="single" w:sz="4" w:space="0" w:color="002D5D"/>
            </w:tcBorders>
          </w:tcPr>
          <w:p>
            <w:pPr>
              <w:pStyle w:val="TableParagraph"/>
              <w:spacing w:before="63"/>
              <w:ind w:left="3" w:right="4"/>
              <w:jc w:val="center"/>
              <w:rPr>
                <w:sz w:val="18"/>
              </w:rPr>
            </w:pPr>
            <w:r>
              <w:rPr>
                <w:spacing w:val="-5"/>
                <w:sz w:val="18"/>
              </w:rPr>
              <w:t>141</w:t>
            </w:r>
          </w:p>
        </w:tc>
        <w:tc>
          <w:tcPr>
            <w:tcW w:w="838" w:type="dxa"/>
            <w:tcBorders>
              <w:top w:val="single" w:sz="12" w:space="0" w:color="002D5D"/>
              <w:bottom w:val="single" w:sz="4" w:space="0" w:color="002D5D"/>
            </w:tcBorders>
          </w:tcPr>
          <w:p>
            <w:pPr>
              <w:pStyle w:val="TableParagraph"/>
              <w:spacing w:before="63"/>
              <w:ind w:left="103"/>
              <w:jc w:val="center"/>
              <w:rPr>
                <w:sz w:val="18"/>
              </w:rPr>
            </w:pPr>
            <w:r>
              <w:rPr>
                <w:spacing w:val="-5"/>
                <w:sz w:val="18"/>
              </w:rPr>
              <w:t>107</w:t>
            </w:r>
          </w:p>
        </w:tc>
        <w:tc>
          <w:tcPr>
            <w:tcW w:w="1111" w:type="dxa"/>
            <w:tcBorders>
              <w:top w:val="single" w:sz="12" w:space="0" w:color="002D5D"/>
              <w:bottom w:val="single" w:sz="4" w:space="0" w:color="002D5D"/>
            </w:tcBorders>
          </w:tcPr>
          <w:p>
            <w:pPr>
              <w:pStyle w:val="TableParagraph"/>
              <w:spacing w:before="63"/>
              <w:ind w:left="290"/>
              <w:rPr>
                <w:sz w:val="18"/>
              </w:rPr>
            </w:pPr>
            <w:r>
              <w:rPr>
                <w:spacing w:val="-2"/>
                <w:sz w:val="18"/>
              </w:rPr>
              <w:t>75,89</w:t>
            </w:r>
          </w:p>
        </w:tc>
        <w:tc>
          <w:tcPr>
            <w:tcW w:w="759" w:type="dxa"/>
            <w:tcBorders>
              <w:top w:val="single" w:sz="12" w:space="0" w:color="002D5D"/>
              <w:bottom w:val="single" w:sz="4" w:space="0" w:color="002D5D"/>
            </w:tcBorders>
          </w:tcPr>
          <w:p>
            <w:pPr>
              <w:pStyle w:val="TableParagraph"/>
              <w:spacing w:before="63"/>
              <w:ind w:left="10"/>
              <w:jc w:val="center"/>
              <w:rPr>
                <w:sz w:val="18"/>
              </w:rPr>
            </w:pPr>
            <w:r>
              <w:rPr>
                <w:spacing w:val="-5"/>
                <w:sz w:val="18"/>
              </w:rPr>
              <w:t>13</w:t>
            </w:r>
          </w:p>
        </w:tc>
        <w:tc>
          <w:tcPr>
            <w:tcW w:w="880" w:type="dxa"/>
            <w:tcBorders>
              <w:top w:val="single" w:sz="12" w:space="0" w:color="002D5D"/>
              <w:bottom w:val="single" w:sz="4" w:space="0" w:color="002D5D"/>
            </w:tcBorders>
          </w:tcPr>
          <w:p>
            <w:pPr>
              <w:pStyle w:val="TableParagraph"/>
              <w:spacing w:before="63"/>
              <w:ind w:left="92" w:right="4"/>
              <w:jc w:val="center"/>
              <w:rPr>
                <w:sz w:val="18"/>
              </w:rPr>
            </w:pPr>
            <w:r>
              <w:rPr>
                <w:spacing w:val="-4"/>
                <w:sz w:val="18"/>
              </w:rPr>
              <w:t>9,22</w:t>
            </w:r>
          </w:p>
        </w:tc>
        <w:tc>
          <w:tcPr>
            <w:tcW w:w="1249" w:type="dxa"/>
            <w:tcBorders>
              <w:top w:val="single" w:sz="12" w:space="0" w:color="002D5D"/>
              <w:bottom w:val="single" w:sz="4" w:space="0" w:color="002D5D"/>
            </w:tcBorders>
          </w:tcPr>
          <w:p>
            <w:pPr>
              <w:pStyle w:val="TableParagraph"/>
              <w:spacing w:before="63"/>
              <w:ind w:left="37"/>
              <w:jc w:val="center"/>
              <w:rPr>
                <w:sz w:val="18"/>
              </w:rPr>
            </w:pPr>
            <w:r>
              <w:rPr>
                <w:spacing w:val="-4"/>
                <w:sz w:val="18"/>
              </w:rPr>
              <w:t>3,60</w:t>
            </w:r>
          </w:p>
        </w:tc>
      </w:tr>
      <w:tr>
        <w:trPr>
          <w:trHeight w:val="350" w:hRule="atLeast"/>
        </w:trPr>
        <w:tc>
          <w:tcPr>
            <w:tcW w:w="1430" w:type="dxa"/>
          </w:tcPr>
          <w:p>
            <w:pPr>
              <w:pStyle w:val="TableParagraph"/>
              <w:spacing w:before="90"/>
              <w:ind w:left="2" w:right="2"/>
              <w:jc w:val="center"/>
              <w:rPr>
                <w:b/>
                <w:sz w:val="18"/>
              </w:rPr>
            </w:pPr>
            <w:r>
              <w:rPr>
                <w:b/>
                <w:spacing w:val="-2"/>
                <w:sz w:val="18"/>
              </w:rPr>
              <w:t>BILBAO</w:t>
            </w:r>
          </w:p>
        </w:tc>
        <w:tc>
          <w:tcPr>
            <w:tcW w:w="1181" w:type="dxa"/>
            <w:tcBorders>
              <w:top w:val="single" w:sz="4" w:space="0" w:color="1F3763"/>
              <w:bottom w:val="single" w:sz="4" w:space="0" w:color="1F3763"/>
            </w:tcBorders>
          </w:tcPr>
          <w:p>
            <w:pPr>
              <w:pStyle w:val="TableParagraph"/>
              <w:spacing w:before="83"/>
              <w:ind w:right="56"/>
              <w:jc w:val="center"/>
              <w:rPr>
                <w:sz w:val="18"/>
              </w:rPr>
            </w:pPr>
            <w:r>
              <w:rPr>
                <w:spacing w:val="-2"/>
                <w:sz w:val="18"/>
              </w:rPr>
              <w:t>31/12/2023</w:t>
            </w:r>
          </w:p>
        </w:tc>
        <w:tc>
          <w:tcPr>
            <w:tcW w:w="1208" w:type="dxa"/>
            <w:tcBorders>
              <w:top w:val="single" w:sz="4" w:space="0" w:color="002D5D"/>
              <w:bottom w:val="single" w:sz="4" w:space="0" w:color="002D5D"/>
            </w:tcBorders>
          </w:tcPr>
          <w:p>
            <w:pPr>
              <w:pStyle w:val="TableParagraph"/>
              <w:spacing w:before="83"/>
              <w:ind w:left="3" w:right="4"/>
              <w:jc w:val="center"/>
              <w:rPr>
                <w:sz w:val="18"/>
              </w:rPr>
            </w:pPr>
            <w:r>
              <w:rPr>
                <w:spacing w:val="-5"/>
                <w:sz w:val="18"/>
              </w:rPr>
              <w:t>141</w:t>
            </w:r>
          </w:p>
        </w:tc>
        <w:tc>
          <w:tcPr>
            <w:tcW w:w="838" w:type="dxa"/>
            <w:tcBorders>
              <w:top w:val="single" w:sz="4" w:space="0" w:color="002D5D"/>
              <w:bottom w:val="single" w:sz="4" w:space="0" w:color="002D5D"/>
            </w:tcBorders>
          </w:tcPr>
          <w:p>
            <w:pPr>
              <w:pStyle w:val="TableParagraph"/>
              <w:spacing w:before="83"/>
              <w:ind w:left="103"/>
              <w:jc w:val="center"/>
              <w:rPr>
                <w:sz w:val="18"/>
              </w:rPr>
            </w:pPr>
            <w:r>
              <w:rPr>
                <w:spacing w:val="-5"/>
                <w:sz w:val="18"/>
              </w:rPr>
              <w:t>114</w:t>
            </w:r>
          </w:p>
        </w:tc>
        <w:tc>
          <w:tcPr>
            <w:tcW w:w="1111" w:type="dxa"/>
            <w:tcBorders>
              <w:top w:val="single" w:sz="4" w:space="0" w:color="002D5D"/>
              <w:bottom w:val="single" w:sz="4" w:space="0" w:color="002D5D"/>
            </w:tcBorders>
          </w:tcPr>
          <w:p>
            <w:pPr>
              <w:pStyle w:val="TableParagraph"/>
              <w:spacing w:before="83"/>
              <w:ind w:left="290"/>
              <w:rPr>
                <w:sz w:val="18"/>
              </w:rPr>
            </w:pPr>
            <w:r>
              <w:rPr>
                <w:spacing w:val="-2"/>
                <w:sz w:val="18"/>
              </w:rPr>
              <w:t>80,85</w:t>
            </w:r>
          </w:p>
        </w:tc>
        <w:tc>
          <w:tcPr>
            <w:tcW w:w="759" w:type="dxa"/>
            <w:tcBorders>
              <w:top w:val="single" w:sz="4" w:space="0" w:color="002D5D"/>
              <w:bottom w:val="single" w:sz="4" w:space="0" w:color="002D5D"/>
            </w:tcBorders>
          </w:tcPr>
          <w:p>
            <w:pPr>
              <w:pStyle w:val="TableParagraph"/>
              <w:spacing w:before="83"/>
              <w:ind w:left="10"/>
              <w:jc w:val="center"/>
              <w:rPr>
                <w:sz w:val="18"/>
              </w:rPr>
            </w:pPr>
            <w:r>
              <w:rPr>
                <w:spacing w:val="-5"/>
                <w:sz w:val="18"/>
              </w:rPr>
              <w:t>20</w:t>
            </w:r>
          </w:p>
        </w:tc>
        <w:tc>
          <w:tcPr>
            <w:tcW w:w="880" w:type="dxa"/>
            <w:tcBorders>
              <w:top w:val="single" w:sz="4" w:space="0" w:color="002D5D"/>
              <w:bottom w:val="single" w:sz="4" w:space="0" w:color="002D5D"/>
            </w:tcBorders>
          </w:tcPr>
          <w:p>
            <w:pPr>
              <w:pStyle w:val="TableParagraph"/>
              <w:spacing w:before="83"/>
              <w:ind w:left="92" w:right="5"/>
              <w:jc w:val="center"/>
              <w:rPr>
                <w:sz w:val="18"/>
              </w:rPr>
            </w:pPr>
            <w:r>
              <w:rPr>
                <w:spacing w:val="-2"/>
                <w:sz w:val="18"/>
              </w:rPr>
              <w:t>14,18</w:t>
            </w:r>
          </w:p>
        </w:tc>
        <w:tc>
          <w:tcPr>
            <w:tcW w:w="1249" w:type="dxa"/>
            <w:tcBorders>
              <w:top w:val="single" w:sz="4" w:space="0" w:color="002D5D"/>
              <w:bottom w:val="single" w:sz="4" w:space="0" w:color="002D5D"/>
            </w:tcBorders>
          </w:tcPr>
          <w:p>
            <w:pPr>
              <w:pStyle w:val="TableParagraph"/>
              <w:spacing w:before="83"/>
              <w:ind w:left="37"/>
              <w:jc w:val="center"/>
              <w:rPr>
                <w:sz w:val="18"/>
              </w:rPr>
            </w:pPr>
            <w:r>
              <w:rPr>
                <w:spacing w:val="-4"/>
                <w:sz w:val="18"/>
              </w:rPr>
              <w:t>4,10</w:t>
            </w:r>
          </w:p>
        </w:tc>
      </w:tr>
      <w:tr>
        <w:trPr>
          <w:trHeight w:val="366" w:hRule="atLeast"/>
        </w:trPr>
        <w:tc>
          <w:tcPr>
            <w:tcW w:w="1430" w:type="dxa"/>
            <w:tcBorders>
              <w:bottom w:val="single" w:sz="12" w:space="0" w:color="002D5D"/>
            </w:tcBorders>
          </w:tcPr>
          <w:p>
            <w:pPr>
              <w:pStyle w:val="TableParagraph"/>
              <w:rPr>
                <w:rFonts w:ascii="Times New Roman"/>
                <w:sz w:val="16"/>
              </w:rPr>
            </w:pPr>
          </w:p>
        </w:tc>
        <w:tc>
          <w:tcPr>
            <w:tcW w:w="1181" w:type="dxa"/>
            <w:tcBorders>
              <w:top w:val="single" w:sz="4" w:space="0" w:color="1F3763"/>
              <w:bottom w:val="single" w:sz="12" w:space="0" w:color="000000"/>
            </w:tcBorders>
          </w:tcPr>
          <w:p>
            <w:pPr>
              <w:pStyle w:val="TableParagraph"/>
              <w:spacing w:before="90"/>
              <w:ind w:right="56"/>
              <w:jc w:val="center"/>
              <w:rPr>
                <w:sz w:val="18"/>
              </w:rPr>
            </w:pPr>
            <w:r>
              <w:rPr>
                <w:spacing w:val="-2"/>
                <w:sz w:val="18"/>
              </w:rPr>
              <w:t>31/12/2024</w:t>
            </w:r>
          </w:p>
        </w:tc>
        <w:tc>
          <w:tcPr>
            <w:tcW w:w="1208" w:type="dxa"/>
            <w:tcBorders>
              <w:top w:val="single" w:sz="4" w:space="0" w:color="002D5D"/>
              <w:bottom w:val="single" w:sz="12" w:space="0" w:color="002D5D"/>
            </w:tcBorders>
          </w:tcPr>
          <w:p>
            <w:pPr>
              <w:pStyle w:val="TableParagraph"/>
              <w:spacing w:before="90"/>
              <w:ind w:left="3" w:right="4"/>
              <w:jc w:val="center"/>
              <w:rPr>
                <w:sz w:val="18"/>
              </w:rPr>
            </w:pPr>
            <w:r>
              <w:rPr>
                <w:spacing w:val="-5"/>
                <w:sz w:val="18"/>
              </w:rPr>
              <w:t>141</w:t>
            </w:r>
          </w:p>
        </w:tc>
        <w:tc>
          <w:tcPr>
            <w:tcW w:w="838" w:type="dxa"/>
            <w:tcBorders>
              <w:top w:val="single" w:sz="4" w:space="0" w:color="002D5D"/>
              <w:bottom w:val="single" w:sz="12" w:space="0" w:color="002D5D"/>
            </w:tcBorders>
          </w:tcPr>
          <w:p>
            <w:pPr>
              <w:pStyle w:val="TableParagraph"/>
              <w:spacing w:before="90"/>
              <w:ind w:left="103"/>
              <w:jc w:val="center"/>
              <w:rPr>
                <w:sz w:val="18"/>
              </w:rPr>
            </w:pPr>
            <w:r>
              <w:rPr>
                <w:spacing w:val="-5"/>
                <w:sz w:val="18"/>
              </w:rPr>
              <w:t>116</w:t>
            </w:r>
          </w:p>
        </w:tc>
        <w:tc>
          <w:tcPr>
            <w:tcW w:w="1111" w:type="dxa"/>
            <w:tcBorders>
              <w:top w:val="single" w:sz="4" w:space="0" w:color="002D5D"/>
              <w:bottom w:val="single" w:sz="12" w:space="0" w:color="002D5D"/>
            </w:tcBorders>
          </w:tcPr>
          <w:p>
            <w:pPr>
              <w:pStyle w:val="TableParagraph"/>
              <w:spacing w:before="90"/>
              <w:ind w:left="290"/>
              <w:rPr>
                <w:sz w:val="18"/>
              </w:rPr>
            </w:pPr>
            <w:r>
              <w:rPr>
                <w:spacing w:val="-2"/>
                <w:sz w:val="18"/>
              </w:rPr>
              <w:t>82,27</w:t>
            </w:r>
          </w:p>
        </w:tc>
        <w:tc>
          <w:tcPr>
            <w:tcW w:w="759" w:type="dxa"/>
            <w:tcBorders>
              <w:top w:val="single" w:sz="4" w:space="0" w:color="002D5D"/>
              <w:bottom w:val="single" w:sz="12" w:space="0" w:color="002D5D"/>
            </w:tcBorders>
          </w:tcPr>
          <w:p>
            <w:pPr>
              <w:pStyle w:val="TableParagraph"/>
              <w:spacing w:before="90"/>
              <w:ind w:left="10"/>
              <w:jc w:val="center"/>
              <w:rPr>
                <w:sz w:val="18"/>
              </w:rPr>
            </w:pPr>
            <w:r>
              <w:rPr>
                <w:spacing w:val="-5"/>
                <w:sz w:val="18"/>
              </w:rPr>
              <w:t>22</w:t>
            </w:r>
          </w:p>
        </w:tc>
        <w:tc>
          <w:tcPr>
            <w:tcW w:w="880" w:type="dxa"/>
            <w:tcBorders>
              <w:top w:val="single" w:sz="4" w:space="0" w:color="002D5D"/>
              <w:bottom w:val="single" w:sz="12" w:space="0" w:color="002D5D"/>
            </w:tcBorders>
          </w:tcPr>
          <w:p>
            <w:pPr>
              <w:pStyle w:val="TableParagraph"/>
              <w:spacing w:before="90"/>
              <w:ind w:left="92" w:right="5"/>
              <w:jc w:val="center"/>
              <w:rPr>
                <w:sz w:val="18"/>
              </w:rPr>
            </w:pPr>
            <w:r>
              <w:rPr>
                <w:spacing w:val="-2"/>
                <w:sz w:val="18"/>
              </w:rPr>
              <w:t>15,60</w:t>
            </w:r>
          </w:p>
        </w:tc>
        <w:tc>
          <w:tcPr>
            <w:tcW w:w="1249" w:type="dxa"/>
            <w:tcBorders>
              <w:top w:val="single" w:sz="4" w:space="0" w:color="002D5D"/>
              <w:bottom w:val="single" w:sz="12" w:space="0" w:color="002D5D"/>
            </w:tcBorders>
          </w:tcPr>
          <w:p>
            <w:pPr>
              <w:pStyle w:val="TableParagraph"/>
              <w:spacing w:before="90"/>
              <w:ind w:left="37"/>
              <w:jc w:val="center"/>
              <w:rPr>
                <w:sz w:val="18"/>
              </w:rPr>
            </w:pPr>
            <w:r>
              <w:rPr>
                <w:spacing w:val="-4"/>
                <w:sz w:val="18"/>
              </w:rPr>
              <w:t>5,03</w:t>
            </w:r>
          </w:p>
        </w:tc>
      </w:tr>
      <w:tr>
        <w:trPr>
          <w:trHeight w:val="330" w:hRule="atLeast"/>
        </w:trPr>
        <w:tc>
          <w:tcPr>
            <w:tcW w:w="1430" w:type="dxa"/>
            <w:tcBorders>
              <w:top w:val="single" w:sz="12" w:space="0" w:color="002D5D"/>
            </w:tcBorders>
          </w:tcPr>
          <w:p>
            <w:pPr>
              <w:pStyle w:val="TableParagraph"/>
              <w:rPr>
                <w:rFonts w:ascii="Times New Roman"/>
                <w:sz w:val="16"/>
              </w:rPr>
            </w:pPr>
          </w:p>
        </w:tc>
        <w:tc>
          <w:tcPr>
            <w:tcW w:w="1181" w:type="dxa"/>
            <w:tcBorders>
              <w:top w:val="single" w:sz="12" w:space="0" w:color="000000"/>
              <w:bottom w:val="single" w:sz="4" w:space="0" w:color="1F3763"/>
            </w:tcBorders>
          </w:tcPr>
          <w:p>
            <w:pPr>
              <w:pStyle w:val="TableParagraph"/>
              <w:spacing w:before="61"/>
              <w:ind w:right="56"/>
              <w:jc w:val="center"/>
              <w:rPr>
                <w:sz w:val="18"/>
              </w:rPr>
            </w:pPr>
            <w:r>
              <w:rPr>
                <w:spacing w:val="-2"/>
                <w:sz w:val="18"/>
              </w:rPr>
              <w:t>31/12/2022</w:t>
            </w:r>
          </w:p>
        </w:tc>
        <w:tc>
          <w:tcPr>
            <w:tcW w:w="1208" w:type="dxa"/>
            <w:tcBorders>
              <w:top w:val="single" w:sz="12" w:space="0" w:color="002D5D"/>
              <w:bottom w:val="single" w:sz="4" w:space="0" w:color="002D5D"/>
            </w:tcBorders>
          </w:tcPr>
          <w:p>
            <w:pPr>
              <w:pStyle w:val="TableParagraph"/>
              <w:spacing w:before="61"/>
              <w:ind w:left="3" w:right="4"/>
              <w:jc w:val="center"/>
              <w:rPr>
                <w:sz w:val="18"/>
              </w:rPr>
            </w:pPr>
            <w:r>
              <w:rPr>
                <w:spacing w:val="-5"/>
                <w:sz w:val="18"/>
              </w:rPr>
              <w:t>116</w:t>
            </w:r>
          </w:p>
        </w:tc>
        <w:tc>
          <w:tcPr>
            <w:tcW w:w="838" w:type="dxa"/>
            <w:tcBorders>
              <w:top w:val="single" w:sz="12" w:space="0" w:color="002D5D"/>
              <w:bottom w:val="single" w:sz="4" w:space="0" w:color="002D5D"/>
            </w:tcBorders>
          </w:tcPr>
          <w:p>
            <w:pPr>
              <w:pStyle w:val="TableParagraph"/>
              <w:spacing w:before="61"/>
              <w:ind w:left="103"/>
              <w:jc w:val="center"/>
              <w:rPr>
                <w:sz w:val="18"/>
              </w:rPr>
            </w:pPr>
            <w:r>
              <w:rPr>
                <w:spacing w:val="-5"/>
                <w:sz w:val="18"/>
              </w:rPr>
              <w:t>67</w:t>
            </w:r>
          </w:p>
        </w:tc>
        <w:tc>
          <w:tcPr>
            <w:tcW w:w="1111" w:type="dxa"/>
            <w:tcBorders>
              <w:top w:val="single" w:sz="12" w:space="0" w:color="002D5D"/>
              <w:bottom w:val="single" w:sz="4" w:space="0" w:color="002D5D"/>
            </w:tcBorders>
          </w:tcPr>
          <w:p>
            <w:pPr>
              <w:pStyle w:val="TableParagraph"/>
              <w:spacing w:before="61"/>
              <w:ind w:left="290"/>
              <w:rPr>
                <w:sz w:val="18"/>
              </w:rPr>
            </w:pPr>
            <w:r>
              <w:rPr>
                <w:spacing w:val="-2"/>
                <w:sz w:val="18"/>
              </w:rPr>
              <w:t>57,76</w:t>
            </w:r>
          </w:p>
        </w:tc>
        <w:tc>
          <w:tcPr>
            <w:tcW w:w="759" w:type="dxa"/>
            <w:tcBorders>
              <w:top w:val="single" w:sz="12" w:space="0" w:color="002D5D"/>
              <w:bottom w:val="single" w:sz="4" w:space="0" w:color="002D5D"/>
            </w:tcBorders>
          </w:tcPr>
          <w:p>
            <w:pPr>
              <w:pStyle w:val="TableParagraph"/>
              <w:spacing w:before="61"/>
              <w:ind w:left="10"/>
              <w:jc w:val="center"/>
              <w:rPr>
                <w:sz w:val="18"/>
              </w:rPr>
            </w:pPr>
            <w:r>
              <w:rPr>
                <w:spacing w:val="-10"/>
                <w:sz w:val="18"/>
              </w:rPr>
              <w:t>1</w:t>
            </w:r>
          </w:p>
        </w:tc>
        <w:tc>
          <w:tcPr>
            <w:tcW w:w="880" w:type="dxa"/>
            <w:tcBorders>
              <w:top w:val="single" w:sz="12" w:space="0" w:color="002D5D"/>
              <w:bottom w:val="single" w:sz="4" w:space="0" w:color="002D5D"/>
            </w:tcBorders>
          </w:tcPr>
          <w:p>
            <w:pPr>
              <w:pStyle w:val="TableParagraph"/>
              <w:spacing w:before="61"/>
              <w:ind w:left="92" w:right="4"/>
              <w:jc w:val="center"/>
              <w:rPr>
                <w:sz w:val="18"/>
              </w:rPr>
            </w:pPr>
            <w:r>
              <w:rPr>
                <w:spacing w:val="-4"/>
                <w:sz w:val="18"/>
              </w:rPr>
              <w:t>0,86</w:t>
            </w:r>
          </w:p>
        </w:tc>
        <w:tc>
          <w:tcPr>
            <w:tcW w:w="1249" w:type="dxa"/>
            <w:tcBorders>
              <w:top w:val="single" w:sz="12" w:space="0" w:color="002D5D"/>
              <w:bottom w:val="single" w:sz="4" w:space="0" w:color="002D5D"/>
            </w:tcBorders>
          </w:tcPr>
          <w:p>
            <w:pPr>
              <w:pStyle w:val="TableParagraph"/>
              <w:spacing w:before="61"/>
              <w:ind w:left="37"/>
              <w:jc w:val="center"/>
              <w:rPr>
                <w:sz w:val="18"/>
              </w:rPr>
            </w:pPr>
            <w:r>
              <w:rPr>
                <w:spacing w:val="-2"/>
                <w:sz w:val="18"/>
              </w:rPr>
              <w:t>10,00</w:t>
            </w:r>
          </w:p>
        </w:tc>
      </w:tr>
      <w:tr>
        <w:trPr>
          <w:trHeight w:val="350" w:hRule="atLeast"/>
        </w:trPr>
        <w:tc>
          <w:tcPr>
            <w:tcW w:w="1430" w:type="dxa"/>
          </w:tcPr>
          <w:p>
            <w:pPr>
              <w:pStyle w:val="TableParagraph"/>
              <w:spacing w:before="88"/>
              <w:ind w:left="2" w:right="2"/>
              <w:jc w:val="center"/>
              <w:rPr>
                <w:b/>
                <w:sz w:val="18"/>
              </w:rPr>
            </w:pPr>
            <w:r>
              <w:rPr>
                <w:b/>
                <w:spacing w:val="-2"/>
                <w:sz w:val="18"/>
              </w:rPr>
              <w:t>CÓRDOBA</w:t>
            </w:r>
          </w:p>
        </w:tc>
        <w:tc>
          <w:tcPr>
            <w:tcW w:w="1181" w:type="dxa"/>
            <w:tcBorders>
              <w:top w:val="single" w:sz="4" w:space="0" w:color="1F3763"/>
              <w:bottom w:val="single" w:sz="4" w:space="0" w:color="1F3763"/>
            </w:tcBorders>
          </w:tcPr>
          <w:p>
            <w:pPr>
              <w:pStyle w:val="TableParagraph"/>
              <w:spacing w:before="80"/>
              <w:ind w:right="56"/>
              <w:jc w:val="center"/>
              <w:rPr>
                <w:sz w:val="18"/>
              </w:rPr>
            </w:pPr>
            <w:r>
              <w:rPr>
                <w:spacing w:val="-2"/>
                <w:sz w:val="18"/>
              </w:rPr>
              <w:t>31/12/2023</w:t>
            </w:r>
          </w:p>
        </w:tc>
        <w:tc>
          <w:tcPr>
            <w:tcW w:w="1208" w:type="dxa"/>
            <w:tcBorders>
              <w:top w:val="single" w:sz="4" w:space="0" w:color="002D5D"/>
              <w:bottom w:val="single" w:sz="4" w:space="0" w:color="002D5D"/>
            </w:tcBorders>
          </w:tcPr>
          <w:p>
            <w:pPr>
              <w:pStyle w:val="TableParagraph"/>
              <w:spacing w:before="80"/>
              <w:ind w:left="3" w:right="4"/>
              <w:jc w:val="center"/>
              <w:rPr>
                <w:sz w:val="18"/>
              </w:rPr>
            </w:pPr>
            <w:r>
              <w:rPr>
                <w:spacing w:val="-5"/>
                <w:sz w:val="18"/>
              </w:rPr>
              <w:t>121</w:t>
            </w:r>
          </w:p>
        </w:tc>
        <w:tc>
          <w:tcPr>
            <w:tcW w:w="838" w:type="dxa"/>
            <w:tcBorders>
              <w:top w:val="single" w:sz="4" w:space="0" w:color="002D5D"/>
              <w:bottom w:val="single" w:sz="4" w:space="0" w:color="002D5D"/>
            </w:tcBorders>
          </w:tcPr>
          <w:p>
            <w:pPr>
              <w:pStyle w:val="TableParagraph"/>
              <w:spacing w:before="80"/>
              <w:ind w:left="103"/>
              <w:jc w:val="center"/>
              <w:rPr>
                <w:sz w:val="18"/>
              </w:rPr>
            </w:pPr>
            <w:r>
              <w:rPr>
                <w:spacing w:val="-5"/>
                <w:sz w:val="18"/>
              </w:rPr>
              <w:t>82</w:t>
            </w:r>
          </w:p>
        </w:tc>
        <w:tc>
          <w:tcPr>
            <w:tcW w:w="1111" w:type="dxa"/>
            <w:tcBorders>
              <w:top w:val="single" w:sz="4" w:space="0" w:color="002D5D"/>
              <w:bottom w:val="single" w:sz="4" w:space="0" w:color="002D5D"/>
            </w:tcBorders>
          </w:tcPr>
          <w:p>
            <w:pPr>
              <w:pStyle w:val="TableParagraph"/>
              <w:spacing w:before="80"/>
              <w:ind w:left="290"/>
              <w:rPr>
                <w:sz w:val="18"/>
              </w:rPr>
            </w:pPr>
            <w:r>
              <w:rPr>
                <w:spacing w:val="-2"/>
                <w:sz w:val="18"/>
              </w:rPr>
              <w:t>67,77</w:t>
            </w:r>
          </w:p>
        </w:tc>
        <w:tc>
          <w:tcPr>
            <w:tcW w:w="759" w:type="dxa"/>
            <w:tcBorders>
              <w:top w:val="single" w:sz="4" w:space="0" w:color="002D5D"/>
              <w:bottom w:val="single" w:sz="4" w:space="0" w:color="002D5D"/>
            </w:tcBorders>
          </w:tcPr>
          <w:p>
            <w:pPr>
              <w:pStyle w:val="TableParagraph"/>
              <w:spacing w:before="80"/>
              <w:ind w:left="10"/>
              <w:jc w:val="center"/>
              <w:rPr>
                <w:sz w:val="18"/>
              </w:rPr>
            </w:pPr>
            <w:r>
              <w:rPr>
                <w:spacing w:val="-10"/>
                <w:sz w:val="18"/>
              </w:rPr>
              <w:t>0</w:t>
            </w:r>
          </w:p>
        </w:tc>
        <w:tc>
          <w:tcPr>
            <w:tcW w:w="880" w:type="dxa"/>
            <w:tcBorders>
              <w:top w:val="single" w:sz="4" w:space="0" w:color="002D5D"/>
              <w:bottom w:val="single" w:sz="4" w:space="0" w:color="002D5D"/>
            </w:tcBorders>
          </w:tcPr>
          <w:p>
            <w:pPr>
              <w:pStyle w:val="TableParagraph"/>
              <w:spacing w:before="80"/>
              <w:ind w:left="92" w:right="4"/>
              <w:jc w:val="center"/>
              <w:rPr>
                <w:sz w:val="18"/>
              </w:rPr>
            </w:pPr>
            <w:r>
              <w:rPr>
                <w:spacing w:val="-4"/>
                <w:sz w:val="18"/>
              </w:rPr>
              <w:t>0,00</w:t>
            </w:r>
          </w:p>
        </w:tc>
        <w:tc>
          <w:tcPr>
            <w:tcW w:w="1249" w:type="dxa"/>
            <w:tcBorders>
              <w:top w:val="single" w:sz="4" w:space="0" w:color="002D5D"/>
              <w:bottom w:val="single" w:sz="4" w:space="0" w:color="002D5D"/>
            </w:tcBorders>
          </w:tcPr>
          <w:p>
            <w:pPr>
              <w:pStyle w:val="TableParagraph"/>
              <w:spacing w:before="80"/>
              <w:ind w:left="37"/>
              <w:jc w:val="center"/>
              <w:rPr>
                <w:sz w:val="18"/>
              </w:rPr>
            </w:pPr>
            <w:r>
              <w:rPr>
                <w:spacing w:val="-2"/>
                <w:sz w:val="18"/>
              </w:rPr>
              <w:t>10,15</w:t>
            </w:r>
          </w:p>
        </w:tc>
      </w:tr>
      <w:tr>
        <w:trPr>
          <w:trHeight w:val="364" w:hRule="atLeast"/>
        </w:trPr>
        <w:tc>
          <w:tcPr>
            <w:tcW w:w="1430" w:type="dxa"/>
            <w:tcBorders>
              <w:bottom w:val="single" w:sz="12" w:space="0" w:color="002D5D"/>
            </w:tcBorders>
          </w:tcPr>
          <w:p>
            <w:pPr>
              <w:pStyle w:val="TableParagraph"/>
              <w:rPr>
                <w:rFonts w:ascii="Times New Roman"/>
                <w:sz w:val="16"/>
              </w:rPr>
            </w:pPr>
          </w:p>
        </w:tc>
        <w:tc>
          <w:tcPr>
            <w:tcW w:w="1181" w:type="dxa"/>
            <w:tcBorders>
              <w:top w:val="single" w:sz="4" w:space="0" w:color="1F3763"/>
              <w:bottom w:val="single" w:sz="12" w:space="0" w:color="000000"/>
            </w:tcBorders>
          </w:tcPr>
          <w:p>
            <w:pPr>
              <w:pStyle w:val="TableParagraph"/>
              <w:spacing w:before="88"/>
              <w:ind w:right="56"/>
              <w:jc w:val="center"/>
              <w:rPr>
                <w:sz w:val="18"/>
              </w:rPr>
            </w:pPr>
            <w:r>
              <w:rPr>
                <w:spacing w:val="-2"/>
                <w:sz w:val="18"/>
              </w:rPr>
              <w:t>31/12/2024</w:t>
            </w:r>
          </w:p>
        </w:tc>
        <w:tc>
          <w:tcPr>
            <w:tcW w:w="1208" w:type="dxa"/>
            <w:tcBorders>
              <w:top w:val="single" w:sz="4" w:space="0" w:color="002D5D"/>
              <w:bottom w:val="single" w:sz="12" w:space="0" w:color="002D5D"/>
            </w:tcBorders>
          </w:tcPr>
          <w:p>
            <w:pPr>
              <w:pStyle w:val="TableParagraph"/>
              <w:spacing w:before="88"/>
              <w:ind w:left="3" w:right="4"/>
              <w:jc w:val="center"/>
              <w:rPr>
                <w:sz w:val="18"/>
              </w:rPr>
            </w:pPr>
            <w:r>
              <w:rPr>
                <w:spacing w:val="-5"/>
                <w:sz w:val="18"/>
              </w:rPr>
              <w:t>120</w:t>
            </w:r>
          </w:p>
        </w:tc>
        <w:tc>
          <w:tcPr>
            <w:tcW w:w="838" w:type="dxa"/>
            <w:tcBorders>
              <w:top w:val="single" w:sz="4" w:space="0" w:color="002D5D"/>
              <w:bottom w:val="single" w:sz="12" w:space="0" w:color="002D5D"/>
            </w:tcBorders>
          </w:tcPr>
          <w:p>
            <w:pPr>
              <w:pStyle w:val="TableParagraph"/>
              <w:spacing w:before="88"/>
              <w:ind w:left="103"/>
              <w:jc w:val="center"/>
              <w:rPr>
                <w:sz w:val="18"/>
              </w:rPr>
            </w:pPr>
            <w:r>
              <w:rPr>
                <w:spacing w:val="-5"/>
                <w:sz w:val="18"/>
              </w:rPr>
              <w:t>82</w:t>
            </w:r>
          </w:p>
        </w:tc>
        <w:tc>
          <w:tcPr>
            <w:tcW w:w="1111" w:type="dxa"/>
            <w:tcBorders>
              <w:top w:val="single" w:sz="4" w:space="0" w:color="002D5D"/>
              <w:bottom w:val="single" w:sz="12" w:space="0" w:color="002D5D"/>
            </w:tcBorders>
          </w:tcPr>
          <w:p>
            <w:pPr>
              <w:pStyle w:val="TableParagraph"/>
              <w:spacing w:before="88"/>
              <w:ind w:left="290"/>
              <w:rPr>
                <w:sz w:val="18"/>
              </w:rPr>
            </w:pPr>
            <w:r>
              <w:rPr>
                <w:spacing w:val="-2"/>
                <w:sz w:val="18"/>
              </w:rPr>
              <w:t>68,33</w:t>
            </w:r>
          </w:p>
        </w:tc>
        <w:tc>
          <w:tcPr>
            <w:tcW w:w="759" w:type="dxa"/>
            <w:tcBorders>
              <w:top w:val="single" w:sz="4" w:space="0" w:color="002D5D"/>
              <w:bottom w:val="single" w:sz="12" w:space="0" w:color="002D5D"/>
            </w:tcBorders>
          </w:tcPr>
          <w:p>
            <w:pPr>
              <w:pStyle w:val="TableParagraph"/>
              <w:spacing w:before="88"/>
              <w:ind w:left="10"/>
              <w:jc w:val="center"/>
              <w:rPr>
                <w:sz w:val="18"/>
              </w:rPr>
            </w:pPr>
            <w:r>
              <w:rPr>
                <w:spacing w:val="-10"/>
                <w:sz w:val="18"/>
              </w:rPr>
              <w:t>0</w:t>
            </w:r>
          </w:p>
        </w:tc>
        <w:tc>
          <w:tcPr>
            <w:tcW w:w="880" w:type="dxa"/>
            <w:tcBorders>
              <w:top w:val="single" w:sz="4" w:space="0" w:color="002D5D"/>
              <w:bottom w:val="single" w:sz="12" w:space="0" w:color="002D5D"/>
            </w:tcBorders>
          </w:tcPr>
          <w:p>
            <w:pPr>
              <w:pStyle w:val="TableParagraph"/>
              <w:spacing w:before="88"/>
              <w:ind w:left="92" w:right="4"/>
              <w:jc w:val="center"/>
              <w:rPr>
                <w:sz w:val="18"/>
              </w:rPr>
            </w:pPr>
            <w:r>
              <w:rPr>
                <w:spacing w:val="-4"/>
                <w:sz w:val="18"/>
              </w:rPr>
              <w:t>0,00</w:t>
            </w:r>
          </w:p>
        </w:tc>
        <w:tc>
          <w:tcPr>
            <w:tcW w:w="1249" w:type="dxa"/>
            <w:tcBorders>
              <w:top w:val="single" w:sz="4" w:space="0" w:color="002D5D"/>
              <w:bottom w:val="single" w:sz="12" w:space="0" w:color="002D5D"/>
            </w:tcBorders>
          </w:tcPr>
          <w:p>
            <w:pPr>
              <w:pStyle w:val="TableParagraph"/>
              <w:spacing w:before="88"/>
              <w:ind w:left="37"/>
              <w:jc w:val="center"/>
              <w:rPr>
                <w:sz w:val="18"/>
              </w:rPr>
            </w:pPr>
            <w:r>
              <w:rPr>
                <w:spacing w:val="-2"/>
                <w:sz w:val="18"/>
              </w:rPr>
              <w:t>11,06</w:t>
            </w:r>
          </w:p>
        </w:tc>
      </w:tr>
      <w:tr>
        <w:trPr>
          <w:trHeight w:val="344" w:hRule="atLeast"/>
        </w:trPr>
        <w:tc>
          <w:tcPr>
            <w:tcW w:w="1430" w:type="dxa"/>
            <w:tcBorders>
              <w:top w:val="single" w:sz="12" w:space="0" w:color="002D5D"/>
            </w:tcBorders>
          </w:tcPr>
          <w:p>
            <w:pPr>
              <w:pStyle w:val="TableParagraph"/>
              <w:rPr>
                <w:rFonts w:ascii="Times New Roman"/>
                <w:sz w:val="16"/>
              </w:rPr>
            </w:pPr>
          </w:p>
        </w:tc>
        <w:tc>
          <w:tcPr>
            <w:tcW w:w="1181" w:type="dxa"/>
            <w:tcBorders>
              <w:top w:val="single" w:sz="12" w:space="0" w:color="000000"/>
              <w:bottom w:val="single" w:sz="4" w:space="0" w:color="1F3763"/>
            </w:tcBorders>
          </w:tcPr>
          <w:p>
            <w:pPr>
              <w:pStyle w:val="TableParagraph"/>
              <w:spacing w:before="68"/>
              <w:ind w:right="56"/>
              <w:jc w:val="center"/>
              <w:rPr>
                <w:sz w:val="18"/>
              </w:rPr>
            </w:pPr>
            <w:r>
              <w:rPr>
                <w:spacing w:val="-2"/>
                <w:sz w:val="18"/>
              </w:rPr>
              <w:t>31/12/2022</w:t>
            </w:r>
          </w:p>
        </w:tc>
        <w:tc>
          <w:tcPr>
            <w:tcW w:w="1208" w:type="dxa"/>
            <w:tcBorders>
              <w:top w:val="single" w:sz="12" w:space="0" w:color="002D5D"/>
              <w:bottom w:val="single" w:sz="4" w:space="0" w:color="002D5D"/>
            </w:tcBorders>
          </w:tcPr>
          <w:p>
            <w:pPr>
              <w:pStyle w:val="TableParagraph"/>
              <w:spacing w:before="68"/>
              <w:ind w:left="3" w:right="4"/>
              <w:jc w:val="center"/>
              <w:rPr>
                <w:sz w:val="18"/>
              </w:rPr>
            </w:pPr>
            <w:r>
              <w:rPr>
                <w:spacing w:val="-5"/>
                <w:sz w:val="18"/>
              </w:rPr>
              <w:t>254</w:t>
            </w:r>
          </w:p>
        </w:tc>
        <w:tc>
          <w:tcPr>
            <w:tcW w:w="838" w:type="dxa"/>
            <w:tcBorders>
              <w:top w:val="single" w:sz="12" w:space="0" w:color="002D5D"/>
              <w:bottom w:val="single" w:sz="4" w:space="0" w:color="002D5D"/>
            </w:tcBorders>
          </w:tcPr>
          <w:p>
            <w:pPr>
              <w:pStyle w:val="TableParagraph"/>
              <w:spacing w:before="68"/>
              <w:ind w:left="103"/>
              <w:jc w:val="center"/>
              <w:rPr>
                <w:sz w:val="18"/>
              </w:rPr>
            </w:pPr>
            <w:r>
              <w:rPr>
                <w:spacing w:val="-5"/>
                <w:sz w:val="18"/>
              </w:rPr>
              <w:t>14</w:t>
            </w:r>
          </w:p>
        </w:tc>
        <w:tc>
          <w:tcPr>
            <w:tcW w:w="1111" w:type="dxa"/>
            <w:tcBorders>
              <w:top w:val="single" w:sz="12" w:space="0" w:color="002D5D"/>
              <w:bottom w:val="single" w:sz="4" w:space="0" w:color="002D5D"/>
            </w:tcBorders>
          </w:tcPr>
          <w:p>
            <w:pPr>
              <w:pStyle w:val="TableParagraph"/>
              <w:spacing w:before="68"/>
              <w:ind w:left="331"/>
              <w:rPr>
                <w:sz w:val="18"/>
              </w:rPr>
            </w:pPr>
            <w:r>
              <w:rPr>
                <w:spacing w:val="-4"/>
                <w:sz w:val="18"/>
              </w:rPr>
              <w:t>5,51</w:t>
            </w:r>
          </w:p>
        </w:tc>
        <w:tc>
          <w:tcPr>
            <w:tcW w:w="759" w:type="dxa"/>
            <w:tcBorders>
              <w:top w:val="single" w:sz="12" w:space="0" w:color="002D5D"/>
              <w:bottom w:val="single" w:sz="4" w:space="0" w:color="002D5D"/>
            </w:tcBorders>
          </w:tcPr>
          <w:p>
            <w:pPr>
              <w:pStyle w:val="TableParagraph"/>
              <w:spacing w:before="68"/>
              <w:ind w:left="10"/>
              <w:jc w:val="center"/>
              <w:rPr>
                <w:sz w:val="18"/>
              </w:rPr>
            </w:pPr>
            <w:r>
              <w:rPr>
                <w:spacing w:val="-10"/>
                <w:sz w:val="18"/>
              </w:rPr>
              <w:t>1</w:t>
            </w:r>
          </w:p>
        </w:tc>
        <w:tc>
          <w:tcPr>
            <w:tcW w:w="880" w:type="dxa"/>
            <w:tcBorders>
              <w:top w:val="single" w:sz="12" w:space="0" w:color="002D5D"/>
              <w:bottom w:val="single" w:sz="4" w:space="0" w:color="002D5D"/>
            </w:tcBorders>
          </w:tcPr>
          <w:p>
            <w:pPr>
              <w:pStyle w:val="TableParagraph"/>
              <w:spacing w:before="68"/>
              <w:ind w:left="92" w:right="4"/>
              <w:jc w:val="center"/>
              <w:rPr>
                <w:sz w:val="18"/>
              </w:rPr>
            </w:pPr>
            <w:r>
              <w:rPr>
                <w:spacing w:val="-4"/>
                <w:sz w:val="18"/>
              </w:rPr>
              <w:t>0,39</w:t>
            </w:r>
          </w:p>
        </w:tc>
        <w:tc>
          <w:tcPr>
            <w:tcW w:w="1249" w:type="dxa"/>
            <w:tcBorders>
              <w:top w:val="single" w:sz="12" w:space="0" w:color="002D5D"/>
              <w:bottom w:val="single" w:sz="4" w:space="0" w:color="002D5D"/>
            </w:tcBorders>
          </w:tcPr>
          <w:p>
            <w:pPr>
              <w:pStyle w:val="TableParagraph"/>
              <w:spacing w:before="68"/>
              <w:ind w:left="37"/>
              <w:jc w:val="center"/>
              <w:rPr>
                <w:sz w:val="18"/>
              </w:rPr>
            </w:pPr>
            <w:r>
              <w:rPr>
                <w:spacing w:val="-4"/>
                <w:sz w:val="18"/>
              </w:rPr>
              <w:t>9,27</w:t>
            </w:r>
          </w:p>
        </w:tc>
      </w:tr>
      <w:tr>
        <w:trPr>
          <w:trHeight w:val="364" w:hRule="atLeast"/>
        </w:trPr>
        <w:tc>
          <w:tcPr>
            <w:tcW w:w="1430" w:type="dxa"/>
          </w:tcPr>
          <w:p>
            <w:pPr>
              <w:pStyle w:val="TableParagraph"/>
              <w:spacing w:line="194" w:lineRule="exact"/>
              <w:ind w:left="112"/>
              <w:rPr>
                <w:b/>
                <w:sz w:val="18"/>
              </w:rPr>
            </w:pPr>
            <w:r>
              <w:rPr>
                <w:b/>
                <w:sz w:val="18"/>
              </w:rPr>
              <w:t>LAS</w:t>
            </w:r>
            <w:r>
              <w:rPr>
                <w:b/>
                <w:spacing w:val="-3"/>
                <w:sz w:val="18"/>
              </w:rPr>
              <w:t> </w:t>
            </w:r>
            <w:r>
              <w:rPr>
                <w:b/>
                <w:sz w:val="18"/>
              </w:rPr>
              <w:t>PALMAS</w:t>
            </w:r>
            <w:r>
              <w:rPr>
                <w:b/>
                <w:spacing w:val="-2"/>
                <w:sz w:val="18"/>
              </w:rPr>
              <w:t> </w:t>
            </w:r>
            <w:r>
              <w:rPr>
                <w:b/>
                <w:spacing w:val="-5"/>
                <w:sz w:val="18"/>
              </w:rPr>
              <w:t>DE</w:t>
            </w:r>
          </w:p>
          <w:p>
            <w:pPr>
              <w:pStyle w:val="TableParagraph"/>
              <w:spacing w:line="151" w:lineRule="exact"/>
              <w:ind w:left="136"/>
              <w:rPr>
                <w:b/>
                <w:sz w:val="18"/>
              </w:rPr>
            </w:pPr>
            <w:r>
              <w:rPr>
                <w:b/>
                <w:sz w:val="18"/>
              </w:rPr>
              <w:t>GRAN</w:t>
            </w:r>
            <w:r>
              <w:rPr>
                <w:b/>
                <w:spacing w:val="-1"/>
                <w:sz w:val="18"/>
              </w:rPr>
              <w:t> </w:t>
            </w:r>
            <w:r>
              <w:rPr>
                <w:b/>
                <w:spacing w:val="-2"/>
                <w:sz w:val="18"/>
              </w:rPr>
              <w:t>CANARIA</w:t>
            </w:r>
          </w:p>
        </w:tc>
        <w:tc>
          <w:tcPr>
            <w:tcW w:w="1181" w:type="dxa"/>
            <w:tcBorders>
              <w:top w:val="single" w:sz="4" w:space="0" w:color="1F3763"/>
              <w:bottom w:val="single" w:sz="4" w:space="0" w:color="1F3763"/>
            </w:tcBorders>
          </w:tcPr>
          <w:p>
            <w:pPr>
              <w:pStyle w:val="TableParagraph"/>
              <w:spacing w:before="90"/>
              <w:ind w:right="56"/>
              <w:jc w:val="center"/>
              <w:rPr>
                <w:sz w:val="18"/>
              </w:rPr>
            </w:pPr>
            <w:r>
              <w:rPr>
                <w:spacing w:val="-2"/>
                <w:sz w:val="18"/>
              </w:rPr>
              <w:t>31/12/2023</w:t>
            </w:r>
          </w:p>
        </w:tc>
        <w:tc>
          <w:tcPr>
            <w:tcW w:w="1208" w:type="dxa"/>
            <w:tcBorders>
              <w:top w:val="single" w:sz="4" w:space="0" w:color="002D5D"/>
              <w:bottom w:val="single" w:sz="4" w:space="0" w:color="002D5D"/>
            </w:tcBorders>
          </w:tcPr>
          <w:p>
            <w:pPr>
              <w:pStyle w:val="TableParagraph"/>
              <w:spacing w:before="90"/>
              <w:ind w:left="3" w:right="4"/>
              <w:jc w:val="center"/>
              <w:rPr>
                <w:sz w:val="18"/>
              </w:rPr>
            </w:pPr>
            <w:r>
              <w:rPr>
                <w:spacing w:val="-5"/>
                <w:sz w:val="18"/>
              </w:rPr>
              <w:t>265</w:t>
            </w:r>
          </w:p>
        </w:tc>
        <w:tc>
          <w:tcPr>
            <w:tcW w:w="838" w:type="dxa"/>
            <w:tcBorders>
              <w:top w:val="single" w:sz="4" w:space="0" w:color="002D5D"/>
              <w:bottom w:val="single" w:sz="4" w:space="0" w:color="002D5D"/>
            </w:tcBorders>
          </w:tcPr>
          <w:p>
            <w:pPr>
              <w:pStyle w:val="TableParagraph"/>
              <w:spacing w:before="90"/>
              <w:ind w:left="103"/>
              <w:jc w:val="center"/>
              <w:rPr>
                <w:sz w:val="18"/>
              </w:rPr>
            </w:pPr>
            <w:r>
              <w:rPr>
                <w:spacing w:val="-5"/>
                <w:sz w:val="18"/>
              </w:rPr>
              <w:t>18</w:t>
            </w:r>
          </w:p>
        </w:tc>
        <w:tc>
          <w:tcPr>
            <w:tcW w:w="1111" w:type="dxa"/>
            <w:tcBorders>
              <w:top w:val="single" w:sz="4" w:space="0" w:color="002D5D"/>
              <w:bottom w:val="single" w:sz="4" w:space="0" w:color="002D5D"/>
            </w:tcBorders>
          </w:tcPr>
          <w:p>
            <w:pPr>
              <w:pStyle w:val="TableParagraph"/>
              <w:spacing w:before="90"/>
              <w:ind w:left="331"/>
              <w:rPr>
                <w:sz w:val="18"/>
              </w:rPr>
            </w:pPr>
            <w:r>
              <w:rPr>
                <w:spacing w:val="-4"/>
                <w:sz w:val="18"/>
              </w:rPr>
              <w:t>6,79</w:t>
            </w:r>
          </w:p>
        </w:tc>
        <w:tc>
          <w:tcPr>
            <w:tcW w:w="759" w:type="dxa"/>
            <w:tcBorders>
              <w:top w:val="single" w:sz="4" w:space="0" w:color="002D5D"/>
              <w:bottom w:val="single" w:sz="4" w:space="0" w:color="002D5D"/>
            </w:tcBorders>
          </w:tcPr>
          <w:p>
            <w:pPr>
              <w:pStyle w:val="TableParagraph"/>
              <w:spacing w:before="90"/>
              <w:ind w:left="10"/>
              <w:jc w:val="center"/>
              <w:rPr>
                <w:sz w:val="18"/>
              </w:rPr>
            </w:pPr>
            <w:r>
              <w:rPr>
                <w:spacing w:val="-10"/>
                <w:sz w:val="18"/>
              </w:rPr>
              <w:t>5</w:t>
            </w:r>
          </w:p>
        </w:tc>
        <w:tc>
          <w:tcPr>
            <w:tcW w:w="880" w:type="dxa"/>
            <w:tcBorders>
              <w:top w:val="single" w:sz="4" w:space="0" w:color="002D5D"/>
              <w:bottom w:val="single" w:sz="4" w:space="0" w:color="002D5D"/>
            </w:tcBorders>
          </w:tcPr>
          <w:p>
            <w:pPr>
              <w:pStyle w:val="TableParagraph"/>
              <w:spacing w:before="90"/>
              <w:ind w:left="92" w:right="4"/>
              <w:jc w:val="center"/>
              <w:rPr>
                <w:sz w:val="18"/>
              </w:rPr>
            </w:pPr>
            <w:r>
              <w:rPr>
                <w:spacing w:val="-4"/>
                <w:sz w:val="18"/>
              </w:rPr>
              <w:t>1,89</w:t>
            </w:r>
          </w:p>
        </w:tc>
        <w:tc>
          <w:tcPr>
            <w:tcW w:w="1249" w:type="dxa"/>
            <w:tcBorders>
              <w:top w:val="single" w:sz="4" w:space="0" w:color="002D5D"/>
              <w:bottom w:val="single" w:sz="4" w:space="0" w:color="002D5D"/>
            </w:tcBorders>
          </w:tcPr>
          <w:p>
            <w:pPr>
              <w:pStyle w:val="TableParagraph"/>
              <w:spacing w:before="90"/>
              <w:ind w:left="37"/>
              <w:jc w:val="center"/>
              <w:rPr>
                <w:sz w:val="18"/>
              </w:rPr>
            </w:pPr>
            <w:r>
              <w:rPr>
                <w:spacing w:val="-4"/>
                <w:sz w:val="18"/>
              </w:rPr>
              <w:t>9,23</w:t>
            </w:r>
          </w:p>
        </w:tc>
      </w:tr>
      <w:tr>
        <w:trPr>
          <w:trHeight w:val="366" w:hRule="atLeast"/>
        </w:trPr>
        <w:tc>
          <w:tcPr>
            <w:tcW w:w="1430" w:type="dxa"/>
            <w:tcBorders>
              <w:bottom w:val="single" w:sz="12" w:space="0" w:color="002D5D"/>
            </w:tcBorders>
          </w:tcPr>
          <w:p>
            <w:pPr>
              <w:pStyle w:val="TableParagraph"/>
              <w:rPr>
                <w:rFonts w:ascii="Times New Roman"/>
                <w:sz w:val="16"/>
              </w:rPr>
            </w:pPr>
          </w:p>
        </w:tc>
        <w:tc>
          <w:tcPr>
            <w:tcW w:w="1181" w:type="dxa"/>
            <w:tcBorders>
              <w:top w:val="single" w:sz="4" w:space="0" w:color="1F3763"/>
              <w:bottom w:val="single" w:sz="12" w:space="0" w:color="000000"/>
            </w:tcBorders>
          </w:tcPr>
          <w:p>
            <w:pPr>
              <w:pStyle w:val="TableParagraph"/>
              <w:spacing w:before="90"/>
              <w:ind w:right="56"/>
              <w:jc w:val="center"/>
              <w:rPr>
                <w:sz w:val="18"/>
              </w:rPr>
            </w:pPr>
            <w:r>
              <w:rPr>
                <w:spacing w:val="-2"/>
                <w:sz w:val="18"/>
              </w:rPr>
              <w:t>31/12/2024</w:t>
            </w:r>
          </w:p>
        </w:tc>
        <w:tc>
          <w:tcPr>
            <w:tcW w:w="1208" w:type="dxa"/>
            <w:tcBorders>
              <w:top w:val="single" w:sz="4" w:space="0" w:color="002D5D"/>
              <w:bottom w:val="single" w:sz="12" w:space="0" w:color="002D5D"/>
            </w:tcBorders>
          </w:tcPr>
          <w:p>
            <w:pPr>
              <w:pStyle w:val="TableParagraph"/>
              <w:spacing w:before="90"/>
              <w:ind w:left="3" w:right="4"/>
              <w:jc w:val="center"/>
              <w:rPr>
                <w:sz w:val="18"/>
              </w:rPr>
            </w:pPr>
            <w:r>
              <w:rPr>
                <w:spacing w:val="-5"/>
                <w:sz w:val="18"/>
              </w:rPr>
              <w:t>275</w:t>
            </w:r>
          </w:p>
        </w:tc>
        <w:tc>
          <w:tcPr>
            <w:tcW w:w="838" w:type="dxa"/>
            <w:tcBorders>
              <w:top w:val="single" w:sz="4" w:space="0" w:color="002D5D"/>
              <w:bottom w:val="single" w:sz="12" w:space="0" w:color="002D5D"/>
            </w:tcBorders>
          </w:tcPr>
          <w:p>
            <w:pPr>
              <w:pStyle w:val="TableParagraph"/>
              <w:spacing w:before="90"/>
              <w:ind w:left="103"/>
              <w:jc w:val="center"/>
              <w:rPr>
                <w:sz w:val="18"/>
              </w:rPr>
            </w:pPr>
            <w:r>
              <w:rPr>
                <w:spacing w:val="-5"/>
                <w:sz w:val="18"/>
              </w:rPr>
              <w:t>19</w:t>
            </w:r>
          </w:p>
        </w:tc>
        <w:tc>
          <w:tcPr>
            <w:tcW w:w="1111" w:type="dxa"/>
            <w:tcBorders>
              <w:top w:val="single" w:sz="4" w:space="0" w:color="002D5D"/>
              <w:bottom w:val="single" w:sz="12" w:space="0" w:color="002D5D"/>
            </w:tcBorders>
          </w:tcPr>
          <w:p>
            <w:pPr>
              <w:pStyle w:val="TableParagraph"/>
              <w:spacing w:before="90"/>
              <w:ind w:left="331"/>
              <w:rPr>
                <w:sz w:val="18"/>
              </w:rPr>
            </w:pPr>
            <w:r>
              <w:rPr>
                <w:spacing w:val="-4"/>
                <w:sz w:val="18"/>
              </w:rPr>
              <w:t>6,91</w:t>
            </w:r>
          </w:p>
        </w:tc>
        <w:tc>
          <w:tcPr>
            <w:tcW w:w="759" w:type="dxa"/>
            <w:tcBorders>
              <w:top w:val="single" w:sz="4" w:space="0" w:color="002D5D"/>
              <w:bottom w:val="single" w:sz="12" w:space="0" w:color="002D5D"/>
            </w:tcBorders>
          </w:tcPr>
          <w:p>
            <w:pPr>
              <w:pStyle w:val="TableParagraph"/>
              <w:spacing w:before="90"/>
              <w:ind w:left="10"/>
              <w:jc w:val="center"/>
              <w:rPr>
                <w:sz w:val="18"/>
              </w:rPr>
            </w:pPr>
            <w:r>
              <w:rPr>
                <w:spacing w:val="-10"/>
                <w:sz w:val="18"/>
              </w:rPr>
              <w:t>5</w:t>
            </w:r>
          </w:p>
        </w:tc>
        <w:tc>
          <w:tcPr>
            <w:tcW w:w="880" w:type="dxa"/>
            <w:tcBorders>
              <w:top w:val="single" w:sz="4" w:space="0" w:color="002D5D"/>
              <w:bottom w:val="single" w:sz="12" w:space="0" w:color="002D5D"/>
            </w:tcBorders>
          </w:tcPr>
          <w:p>
            <w:pPr>
              <w:pStyle w:val="TableParagraph"/>
              <w:spacing w:before="90"/>
              <w:ind w:left="92" w:right="4"/>
              <w:jc w:val="center"/>
              <w:rPr>
                <w:sz w:val="18"/>
              </w:rPr>
            </w:pPr>
            <w:r>
              <w:rPr>
                <w:spacing w:val="-4"/>
                <w:sz w:val="18"/>
              </w:rPr>
              <w:t>1,82</w:t>
            </w:r>
          </w:p>
        </w:tc>
        <w:tc>
          <w:tcPr>
            <w:tcW w:w="1249" w:type="dxa"/>
            <w:tcBorders>
              <w:top w:val="single" w:sz="4" w:space="0" w:color="002D5D"/>
              <w:bottom w:val="single" w:sz="12" w:space="0" w:color="002D5D"/>
            </w:tcBorders>
          </w:tcPr>
          <w:p>
            <w:pPr>
              <w:pStyle w:val="TableParagraph"/>
              <w:spacing w:before="90"/>
              <w:ind w:left="37"/>
              <w:jc w:val="center"/>
              <w:rPr>
                <w:sz w:val="18"/>
              </w:rPr>
            </w:pPr>
            <w:r>
              <w:rPr>
                <w:spacing w:val="-4"/>
                <w:sz w:val="18"/>
              </w:rPr>
              <w:t>8,77</w:t>
            </w:r>
          </w:p>
        </w:tc>
      </w:tr>
      <w:tr>
        <w:trPr>
          <w:trHeight w:val="330" w:hRule="atLeast"/>
        </w:trPr>
        <w:tc>
          <w:tcPr>
            <w:tcW w:w="1430" w:type="dxa"/>
            <w:tcBorders>
              <w:top w:val="single" w:sz="12" w:space="0" w:color="002D5D"/>
            </w:tcBorders>
          </w:tcPr>
          <w:p>
            <w:pPr>
              <w:pStyle w:val="TableParagraph"/>
              <w:rPr>
                <w:rFonts w:ascii="Times New Roman"/>
                <w:sz w:val="16"/>
              </w:rPr>
            </w:pPr>
          </w:p>
        </w:tc>
        <w:tc>
          <w:tcPr>
            <w:tcW w:w="1181" w:type="dxa"/>
            <w:tcBorders>
              <w:top w:val="single" w:sz="12" w:space="0" w:color="000000"/>
              <w:bottom w:val="single" w:sz="4" w:space="0" w:color="1F3763"/>
            </w:tcBorders>
          </w:tcPr>
          <w:p>
            <w:pPr>
              <w:pStyle w:val="TableParagraph"/>
              <w:spacing w:before="61"/>
              <w:ind w:right="56"/>
              <w:jc w:val="center"/>
              <w:rPr>
                <w:sz w:val="18"/>
              </w:rPr>
            </w:pPr>
            <w:r>
              <w:rPr>
                <w:spacing w:val="-2"/>
                <w:sz w:val="18"/>
              </w:rPr>
              <w:t>31/12/2022</w:t>
            </w:r>
          </w:p>
        </w:tc>
        <w:tc>
          <w:tcPr>
            <w:tcW w:w="1208" w:type="dxa"/>
            <w:tcBorders>
              <w:top w:val="single" w:sz="12" w:space="0" w:color="002D5D"/>
              <w:bottom w:val="single" w:sz="4" w:space="0" w:color="002D5D"/>
            </w:tcBorders>
          </w:tcPr>
          <w:p>
            <w:pPr>
              <w:pStyle w:val="TableParagraph"/>
              <w:spacing w:before="61"/>
              <w:ind w:left="3" w:right="4"/>
              <w:jc w:val="center"/>
              <w:rPr>
                <w:sz w:val="18"/>
              </w:rPr>
            </w:pPr>
            <w:r>
              <w:rPr>
                <w:spacing w:val="-5"/>
                <w:sz w:val="18"/>
              </w:rPr>
              <w:t>249</w:t>
            </w:r>
          </w:p>
        </w:tc>
        <w:tc>
          <w:tcPr>
            <w:tcW w:w="838" w:type="dxa"/>
            <w:tcBorders>
              <w:top w:val="single" w:sz="12" w:space="0" w:color="002D5D"/>
              <w:bottom w:val="single" w:sz="4" w:space="0" w:color="002D5D"/>
            </w:tcBorders>
          </w:tcPr>
          <w:p>
            <w:pPr>
              <w:pStyle w:val="TableParagraph"/>
              <w:spacing w:before="61"/>
              <w:ind w:left="103"/>
              <w:jc w:val="center"/>
              <w:rPr>
                <w:sz w:val="18"/>
              </w:rPr>
            </w:pPr>
            <w:r>
              <w:rPr>
                <w:spacing w:val="-5"/>
                <w:sz w:val="18"/>
              </w:rPr>
              <w:t>249</w:t>
            </w:r>
          </w:p>
        </w:tc>
        <w:tc>
          <w:tcPr>
            <w:tcW w:w="1111" w:type="dxa"/>
            <w:tcBorders>
              <w:top w:val="single" w:sz="12" w:space="0" w:color="002D5D"/>
              <w:bottom w:val="single" w:sz="4" w:space="0" w:color="002D5D"/>
            </w:tcBorders>
          </w:tcPr>
          <w:p>
            <w:pPr>
              <w:pStyle w:val="TableParagraph"/>
              <w:spacing w:before="61"/>
              <w:ind w:left="249"/>
              <w:rPr>
                <w:sz w:val="18"/>
              </w:rPr>
            </w:pPr>
            <w:r>
              <w:rPr>
                <w:spacing w:val="-2"/>
                <w:sz w:val="18"/>
              </w:rPr>
              <w:t>100,00</w:t>
            </w:r>
          </w:p>
        </w:tc>
        <w:tc>
          <w:tcPr>
            <w:tcW w:w="759" w:type="dxa"/>
            <w:tcBorders>
              <w:top w:val="single" w:sz="12" w:space="0" w:color="002D5D"/>
              <w:bottom w:val="single" w:sz="4" w:space="0" w:color="002D5D"/>
            </w:tcBorders>
          </w:tcPr>
          <w:p>
            <w:pPr>
              <w:pStyle w:val="TableParagraph"/>
              <w:spacing w:before="61"/>
              <w:ind w:left="10"/>
              <w:jc w:val="center"/>
              <w:rPr>
                <w:sz w:val="18"/>
              </w:rPr>
            </w:pPr>
            <w:r>
              <w:rPr>
                <w:spacing w:val="-10"/>
                <w:sz w:val="18"/>
              </w:rPr>
              <w:t>0</w:t>
            </w:r>
          </w:p>
        </w:tc>
        <w:tc>
          <w:tcPr>
            <w:tcW w:w="880" w:type="dxa"/>
            <w:tcBorders>
              <w:top w:val="single" w:sz="12" w:space="0" w:color="002D5D"/>
              <w:bottom w:val="single" w:sz="4" w:space="0" w:color="002D5D"/>
            </w:tcBorders>
          </w:tcPr>
          <w:p>
            <w:pPr>
              <w:pStyle w:val="TableParagraph"/>
              <w:spacing w:before="61"/>
              <w:ind w:left="92" w:right="4"/>
              <w:jc w:val="center"/>
              <w:rPr>
                <w:sz w:val="18"/>
              </w:rPr>
            </w:pPr>
            <w:r>
              <w:rPr>
                <w:spacing w:val="-4"/>
                <w:sz w:val="18"/>
              </w:rPr>
              <w:t>0,00</w:t>
            </w:r>
          </w:p>
        </w:tc>
        <w:tc>
          <w:tcPr>
            <w:tcW w:w="1249" w:type="dxa"/>
            <w:tcBorders>
              <w:top w:val="single" w:sz="12" w:space="0" w:color="002D5D"/>
              <w:bottom w:val="single" w:sz="4" w:space="0" w:color="002D5D"/>
            </w:tcBorders>
          </w:tcPr>
          <w:p>
            <w:pPr>
              <w:pStyle w:val="TableParagraph"/>
              <w:spacing w:before="61"/>
              <w:ind w:left="37"/>
              <w:jc w:val="center"/>
              <w:rPr>
                <w:sz w:val="18"/>
              </w:rPr>
            </w:pPr>
            <w:r>
              <w:rPr>
                <w:spacing w:val="-2"/>
                <w:sz w:val="18"/>
              </w:rPr>
              <w:t>10,80</w:t>
            </w:r>
          </w:p>
        </w:tc>
      </w:tr>
      <w:tr>
        <w:trPr>
          <w:trHeight w:val="350" w:hRule="atLeast"/>
        </w:trPr>
        <w:tc>
          <w:tcPr>
            <w:tcW w:w="1430" w:type="dxa"/>
          </w:tcPr>
          <w:p>
            <w:pPr>
              <w:pStyle w:val="TableParagraph"/>
              <w:spacing w:before="88"/>
              <w:ind w:left="1" w:right="2"/>
              <w:jc w:val="center"/>
              <w:rPr>
                <w:b/>
                <w:sz w:val="18"/>
              </w:rPr>
            </w:pPr>
            <w:r>
              <w:rPr>
                <w:b/>
                <w:spacing w:val="-2"/>
                <w:sz w:val="18"/>
              </w:rPr>
              <w:t>MÁLAGA</w:t>
            </w:r>
          </w:p>
        </w:tc>
        <w:tc>
          <w:tcPr>
            <w:tcW w:w="1181" w:type="dxa"/>
            <w:tcBorders>
              <w:top w:val="single" w:sz="4" w:space="0" w:color="1F3763"/>
              <w:bottom w:val="single" w:sz="4" w:space="0" w:color="1F3763"/>
            </w:tcBorders>
          </w:tcPr>
          <w:p>
            <w:pPr>
              <w:pStyle w:val="TableParagraph"/>
              <w:spacing w:before="80"/>
              <w:ind w:right="56"/>
              <w:jc w:val="center"/>
              <w:rPr>
                <w:sz w:val="18"/>
              </w:rPr>
            </w:pPr>
            <w:r>
              <w:rPr>
                <w:spacing w:val="-2"/>
                <w:sz w:val="18"/>
              </w:rPr>
              <w:t>31/12/2023</w:t>
            </w:r>
          </w:p>
        </w:tc>
        <w:tc>
          <w:tcPr>
            <w:tcW w:w="1208" w:type="dxa"/>
            <w:tcBorders>
              <w:top w:val="single" w:sz="4" w:space="0" w:color="002D5D"/>
              <w:bottom w:val="single" w:sz="4" w:space="0" w:color="002D5D"/>
            </w:tcBorders>
          </w:tcPr>
          <w:p>
            <w:pPr>
              <w:pStyle w:val="TableParagraph"/>
              <w:spacing w:before="80"/>
              <w:ind w:left="3" w:right="4"/>
              <w:jc w:val="center"/>
              <w:rPr>
                <w:sz w:val="18"/>
              </w:rPr>
            </w:pPr>
            <w:r>
              <w:rPr>
                <w:spacing w:val="-5"/>
                <w:sz w:val="18"/>
              </w:rPr>
              <w:t>277</w:t>
            </w:r>
          </w:p>
        </w:tc>
        <w:tc>
          <w:tcPr>
            <w:tcW w:w="838" w:type="dxa"/>
            <w:tcBorders>
              <w:top w:val="single" w:sz="4" w:space="0" w:color="002D5D"/>
              <w:bottom w:val="single" w:sz="4" w:space="0" w:color="002D5D"/>
            </w:tcBorders>
          </w:tcPr>
          <w:p>
            <w:pPr>
              <w:pStyle w:val="TableParagraph"/>
              <w:spacing w:before="80"/>
              <w:ind w:left="103"/>
              <w:jc w:val="center"/>
              <w:rPr>
                <w:sz w:val="18"/>
              </w:rPr>
            </w:pPr>
            <w:r>
              <w:rPr>
                <w:spacing w:val="-5"/>
                <w:sz w:val="18"/>
              </w:rPr>
              <w:t>277</w:t>
            </w:r>
          </w:p>
        </w:tc>
        <w:tc>
          <w:tcPr>
            <w:tcW w:w="1111" w:type="dxa"/>
            <w:tcBorders>
              <w:top w:val="single" w:sz="4" w:space="0" w:color="002D5D"/>
              <w:bottom w:val="single" w:sz="4" w:space="0" w:color="002D5D"/>
            </w:tcBorders>
          </w:tcPr>
          <w:p>
            <w:pPr>
              <w:pStyle w:val="TableParagraph"/>
              <w:spacing w:before="80"/>
              <w:ind w:left="249"/>
              <w:rPr>
                <w:sz w:val="18"/>
              </w:rPr>
            </w:pPr>
            <w:r>
              <w:rPr>
                <w:spacing w:val="-2"/>
                <w:sz w:val="18"/>
              </w:rPr>
              <w:t>100,00</w:t>
            </w:r>
          </w:p>
        </w:tc>
        <w:tc>
          <w:tcPr>
            <w:tcW w:w="759" w:type="dxa"/>
            <w:tcBorders>
              <w:top w:val="single" w:sz="4" w:space="0" w:color="002D5D"/>
              <w:bottom w:val="single" w:sz="4" w:space="0" w:color="002D5D"/>
            </w:tcBorders>
          </w:tcPr>
          <w:p>
            <w:pPr>
              <w:pStyle w:val="TableParagraph"/>
              <w:spacing w:before="80"/>
              <w:ind w:left="10"/>
              <w:jc w:val="center"/>
              <w:rPr>
                <w:sz w:val="18"/>
              </w:rPr>
            </w:pPr>
            <w:r>
              <w:rPr>
                <w:spacing w:val="-5"/>
                <w:sz w:val="18"/>
              </w:rPr>
              <w:t>20</w:t>
            </w:r>
          </w:p>
        </w:tc>
        <w:tc>
          <w:tcPr>
            <w:tcW w:w="880" w:type="dxa"/>
            <w:tcBorders>
              <w:top w:val="single" w:sz="4" w:space="0" w:color="002D5D"/>
              <w:bottom w:val="single" w:sz="4" w:space="0" w:color="002D5D"/>
            </w:tcBorders>
          </w:tcPr>
          <w:p>
            <w:pPr>
              <w:pStyle w:val="TableParagraph"/>
              <w:spacing w:before="80"/>
              <w:ind w:left="92" w:right="4"/>
              <w:jc w:val="center"/>
              <w:rPr>
                <w:sz w:val="18"/>
              </w:rPr>
            </w:pPr>
            <w:r>
              <w:rPr>
                <w:spacing w:val="-4"/>
                <w:sz w:val="18"/>
              </w:rPr>
              <w:t>7,22</w:t>
            </w:r>
          </w:p>
        </w:tc>
        <w:tc>
          <w:tcPr>
            <w:tcW w:w="1249" w:type="dxa"/>
            <w:tcBorders>
              <w:top w:val="single" w:sz="4" w:space="0" w:color="002D5D"/>
              <w:bottom w:val="single" w:sz="4" w:space="0" w:color="002D5D"/>
            </w:tcBorders>
          </w:tcPr>
          <w:p>
            <w:pPr>
              <w:pStyle w:val="TableParagraph"/>
              <w:spacing w:before="80"/>
              <w:ind w:left="37"/>
              <w:jc w:val="center"/>
              <w:rPr>
                <w:sz w:val="18"/>
              </w:rPr>
            </w:pPr>
            <w:r>
              <w:rPr>
                <w:spacing w:val="-2"/>
                <w:sz w:val="18"/>
              </w:rPr>
              <w:t>10,50</w:t>
            </w:r>
          </w:p>
        </w:tc>
      </w:tr>
      <w:tr>
        <w:trPr>
          <w:trHeight w:val="363" w:hRule="atLeast"/>
        </w:trPr>
        <w:tc>
          <w:tcPr>
            <w:tcW w:w="1430" w:type="dxa"/>
            <w:tcBorders>
              <w:bottom w:val="single" w:sz="12" w:space="0" w:color="002D5D"/>
            </w:tcBorders>
          </w:tcPr>
          <w:p>
            <w:pPr>
              <w:pStyle w:val="TableParagraph"/>
              <w:rPr>
                <w:rFonts w:ascii="Times New Roman"/>
                <w:sz w:val="16"/>
              </w:rPr>
            </w:pPr>
          </w:p>
        </w:tc>
        <w:tc>
          <w:tcPr>
            <w:tcW w:w="1181" w:type="dxa"/>
            <w:tcBorders>
              <w:top w:val="single" w:sz="4" w:space="0" w:color="1F3763"/>
              <w:bottom w:val="single" w:sz="12" w:space="0" w:color="000000"/>
            </w:tcBorders>
          </w:tcPr>
          <w:p>
            <w:pPr>
              <w:pStyle w:val="TableParagraph"/>
              <w:spacing w:before="88"/>
              <w:ind w:right="56"/>
              <w:jc w:val="center"/>
              <w:rPr>
                <w:sz w:val="18"/>
              </w:rPr>
            </w:pPr>
            <w:r>
              <w:rPr>
                <w:spacing w:val="-2"/>
                <w:sz w:val="18"/>
              </w:rPr>
              <w:t>31/12/2024</w:t>
            </w:r>
          </w:p>
        </w:tc>
        <w:tc>
          <w:tcPr>
            <w:tcW w:w="1208" w:type="dxa"/>
            <w:tcBorders>
              <w:top w:val="single" w:sz="4" w:space="0" w:color="002D5D"/>
              <w:bottom w:val="single" w:sz="12" w:space="0" w:color="002D5D"/>
            </w:tcBorders>
          </w:tcPr>
          <w:p>
            <w:pPr>
              <w:pStyle w:val="TableParagraph"/>
              <w:spacing w:before="88"/>
              <w:ind w:left="3" w:right="4"/>
              <w:jc w:val="center"/>
              <w:rPr>
                <w:sz w:val="18"/>
              </w:rPr>
            </w:pPr>
            <w:r>
              <w:rPr>
                <w:spacing w:val="-5"/>
                <w:sz w:val="18"/>
              </w:rPr>
              <w:t>276</w:t>
            </w:r>
          </w:p>
        </w:tc>
        <w:tc>
          <w:tcPr>
            <w:tcW w:w="838" w:type="dxa"/>
            <w:tcBorders>
              <w:top w:val="single" w:sz="4" w:space="0" w:color="002D5D"/>
              <w:bottom w:val="single" w:sz="12" w:space="0" w:color="002D5D"/>
            </w:tcBorders>
          </w:tcPr>
          <w:p>
            <w:pPr>
              <w:pStyle w:val="TableParagraph"/>
              <w:spacing w:before="88"/>
              <w:ind w:left="103"/>
              <w:jc w:val="center"/>
              <w:rPr>
                <w:sz w:val="18"/>
              </w:rPr>
            </w:pPr>
            <w:r>
              <w:rPr>
                <w:spacing w:val="-5"/>
                <w:sz w:val="18"/>
              </w:rPr>
              <w:t>276</w:t>
            </w:r>
          </w:p>
        </w:tc>
        <w:tc>
          <w:tcPr>
            <w:tcW w:w="1111" w:type="dxa"/>
            <w:tcBorders>
              <w:top w:val="single" w:sz="4" w:space="0" w:color="002D5D"/>
              <w:bottom w:val="single" w:sz="12" w:space="0" w:color="002D5D"/>
            </w:tcBorders>
          </w:tcPr>
          <w:p>
            <w:pPr>
              <w:pStyle w:val="TableParagraph"/>
              <w:spacing w:before="88"/>
              <w:ind w:left="249"/>
              <w:rPr>
                <w:sz w:val="18"/>
              </w:rPr>
            </w:pPr>
            <w:r>
              <w:rPr>
                <w:spacing w:val="-2"/>
                <w:sz w:val="18"/>
              </w:rPr>
              <w:t>100,00</w:t>
            </w:r>
          </w:p>
        </w:tc>
        <w:tc>
          <w:tcPr>
            <w:tcW w:w="759" w:type="dxa"/>
            <w:tcBorders>
              <w:top w:val="single" w:sz="4" w:space="0" w:color="002D5D"/>
              <w:bottom w:val="single" w:sz="12" w:space="0" w:color="002D5D"/>
            </w:tcBorders>
          </w:tcPr>
          <w:p>
            <w:pPr>
              <w:pStyle w:val="TableParagraph"/>
              <w:spacing w:before="88"/>
              <w:ind w:left="10"/>
              <w:jc w:val="center"/>
              <w:rPr>
                <w:sz w:val="18"/>
              </w:rPr>
            </w:pPr>
            <w:r>
              <w:rPr>
                <w:spacing w:val="-5"/>
                <w:sz w:val="18"/>
              </w:rPr>
              <w:t>20</w:t>
            </w:r>
          </w:p>
        </w:tc>
        <w:tc>
          <w:tcPr>
            <w:tcW w:w="880" w:type="dxa"/>
            <w:tcBorders>
              <w:top w:val="single" w:sz="4" w:space="0" w:color="002D5D"/>
              <w:bottom w:val="single" w:sz="12" w:space="0" w:color="002D5D"/>
            </w:tcBorders>
          </w:tcPr>
          <w:p>
            <w:pPr>
              <w:pStyle w:val="TableParagraph"/>
              <w:spacing w:before="88"/>
              <w:ind w:left="92" w:right="4"/>
              <w:jc w:val="center"/>
              <w:rPr>
                <w:sz w:val="18"/>
              </w:rPr>
            </w:pPr>
            <w:r>
              <w:rPr>
                <w:spacing w:val="-4"/>
                <w:sz w:val="18"/>
              </w:rPr>
              <w:t>7,25</w:t>
            </w:r>
          </w:p>
        </w:tc>
        <w:tc>
          <w:tcPr>
            <w:tcW w:w="1249" w:type="dxa"/>
            <w:tcBorders>
              <w:top w:val="single" w:sz="4" w:space="0" w:color="002D5D"/>
              <w:bottom w:val="single" w:sz="12" w:space="0" w:color="002D5D"/>
            </w:tcBorders>
          </w:tcPr>
          <w:p>
            <w:pPr>
              <w:pStyle w:val="TableParagraph"/>
              <w:spacing w:before="88"/>
              <w:ind w:left="37"/>
              <w:jc w:val="center"/>
              <w:rPr>
                <w:sz w:val="18"/>
              </w:rPr>
            </w:pPr>
            <w:r>
              <w:rPr>
                <w:spacing w:val="-2"/>
                <w:sz w:val="18"/>
              </w:rPr>
              <w:t>11,40</w:t>
            </w:r>
          </w:p>
        </w:tc>
      </w:tr>
      <w:tr>
        <w:trPr>
          <w:trHeight w:val="330" w:hRule="atLeast"/>
        </w:trPr>
        <w:tc>
          <w:tcPr>
            <w:tcW w:w="1430" w:type="dxa"/>
            <w:tcBorders>
              <w:top w:val="single" w:sz="12" w:space="0" w:color="002D5D"/>
            </w:tcBorders>
          </w:tcPr>
          <w:p>
            <w:pPr>
              <w:pStyle w:val="TableParagraph"/>
              <w:rPr>
                <w:rFonts w:ascii="Times New Roman"/>
                <w:sz w:val="16"/>
              </w:rPr>
            </w:pPr>
          </w:p>
        </w:tc>
        <w:tc>
          <w:tcPr>
            <w:tcW w:w="1181" w:type="dxa"/>
            <w:tcBorders>
              <w:top w:val="single" w:sz="12" w:space="0" w:color="000000"/>
              <w:bottom w:val="single" w:sz="4" w:space="0" w:color="1F3763"/>
            </w:tcBorders>
          </w:tcPr>
          <w:p>
            <w:pPr>
              <w:pStyle w:val="TableParagraph"/>
              <w:spacing w:before="61"/>
              <w:ind w:right="56"/>
              <w:jc w:val="center"/>
              <w:rPr>
                <w:sz w:val="18"/>
              </w:rPr>
            </w:pPr>
            <w:r>
              <w:rPr>
                <w:spacing w:val="-2"/>
                <w:sz w:val="18"/>
              </w:rPr>
              <w:t>31/12/2022</w:t>
            </w:r>
          </w:p>
        </w:tc>
        <w:tc>
          <w:tcPr>
            <w:tcW w:w="1208" w:type="dxa"/>
            <w:tcBorders>
              <w:top w:val="single" w:sz="12" w:space="0" w:color="002D5D"/>
              <w:bottom w:val="single" w:sz="4" w:space="0" w:color="002D5D"/>
            </w:tcBorders>
          </w:tcPr>
          <w:p>
            <w:pPr>
              <w:pStyle w:val="TableParagraph"/>
              <w:spacing w:before="61"/>
              <w:ind w:left="3" w:right="4"/>
              <w:jc w:val="center"/>
              <w:rPr>
                <w:sz w:val="18"/>
              </w:rPr>
            </w:pPr>
            <w:r>
              <w:rPr>
                <w:spacing w:val="-5"/>
                <w:sz w:val="18"/>
              </w:rPr>
              <w:t>125</w:t>
            </w:r>
          </w:p>
        </w:tc>
        <w:tc>
          <w:tcPr>
            <w:tcW w:w="838" w:type="dxa"/>
            <w:tcBorders>
              <w:top w:val="single" w:sz="12" w:space="0" w:color="002D5D"/>
              <w:bottom w:val="single" w:sz="4" w:space="0" w:color="002D5D"/>
            </w:tcBorders>
          </w:tcPr>
          <w:p>
            <w:pPr>
              <w:pStyle w:val="TableParagraph"/>
              <w:spacing w:before="61"/>
              <w:ind w:left="103"/>
              <w:jc w:val="center"/>
              <w:rPr>
                <w:sz w:val="18"/>
              </w:rPr>
            </w:pPr>
            <w:r>
              <w:rPr>
                <w:spacing w:val="-5"/>
                <w:sz w:val="18"/>
              </w:rPr>
              <w:t>31</w:t>
            </w:r>
          </w:p>
        </w:tc>
        <w:tc>
          <w:tcPr>
            <w:tcW w:w="1111" w:type="dxa"/>
            <w:tcBorders>
              <w:top w:val="single" w:sz="12" w:space="0" w:color="002D5D"/>
              <w:bottom w:val="single" w:sz="4" w:space="0" w:color="002D5D"/>
            </w:tcBorders>
          </w:tcPr>
          <w:p>
            <w:pPr>
              <w:pStyle w:val="TableParagraph"/>
              <w:spacing w:before="61"/>
              <w:ind w:left="290"/>
              <w:rPr>
                <w:sz w:val="18"/>
              </w:rPr>
            </w:pPr>
            <w:r>
              <w:rPr>
                <w:spacing w:val="-2"/>
                <w:sz w:val="18"/>
              </w:rPr>
              <w:t>24,80</w:t>
            </w:r>
          </w:p>
        </w:tc>
        <w:tc>
          <w:tcPr>
            <w:tcW w:w="759" w:type="dxa"/>
            <w:tcBorders>
              <w:top w:val="single" w:sz="12" w:space="0" w:color="002D5D"/>
              <w:bottom w:val="single" w:sz="4" w:space="0" w:color="002D5D"/>
            </w:tcBorders>
          </w:tcPr>
          <w:p>
            <w:pPr>
              <w:pStyle w:val="TableParagraph"/>
              <w:spacing w:before="61"/>
              <w:ind w:left="10"/>
              <w:jc w:val="center"/>
              <w:rPr>
                <w:sz w:val="18"/>
              </w:rPr>
            </w:pPr>
            <w:r>
              <w:rPr>
                <w:spacing w:val="-10"/>
                <w:sz w:val="18"/>
              </w:rPr>
              <w:t>0</w:t>
            </w:r>
          </w:p>
        </w:tc>
        <w:tc>
          <w:tcPr>
            <w:tcW w:w="880" w:type="dxa"/>
            <w:tcBorders>
              <w:top w:val="single" w:sz="12" w:space="0" w:color="002D5D"/>
              <w:bottom w:val="single" w:sz="4" w:space="0" w:color="002D5D"/>
            </w:tcBorders>
          </w:tcPr>
          <w:p>
            <w:pPr>
              <w:pStyle w:val="TableParagraph"/>
              <w:spacing w:before="61"/>
              <w:ind w:left="92" w:right="4"/>
              <w:jc w:val="center"/>
              <w:rPr>
                <w:sz w:val="18"/>
              </w:rPr>
            </w:pPr>
            <w:r>
              <w:rPr>
                <w:spacing w:val="-4"/>
                <w:sz w:val="18"/>
              </w:rPr>
              <w:t>0,00</w:t>
            </w:r>
          </w:p>
        </w:tc>
        <w:tc>
          <w:tcPr>
            <w:tcW w:w="1249" w:type="dxa"/>
            <w:tcBorders>
              <w:top w:val="single" w:sz="12" w:space="0" w:color="002D5D"/>
              <w:bottom w:val="single" w:sz="4" w:space="0" w:color="002D5D"/>
            </w:tcBorders>
          </w:tcPr>
          <w:p>
            <w:pPr>
              <w:pStyle w:val="TableParagraph"/>
              <w:spacing w:before="61"/>
              <w:ind w:left="37"/>
              <w:jc w:val="center"/>
              <w:rPr>
                <w:sz w:val="18"/>
              </w:rPr>
            </w:pPr>
            <w:r>
              <w:rPr>
                <w:spacing w:val="-2"/>
                <w:sz w:val="18"/>
              </w:rPr>
              <w:t>10,68</w:t>
            </w:r>
          </w:p>
        </w:tc>
      </w:tr>
      <w:tr>
        <w:trPr>
          <w:trHeight w:val="350" w:hRule="atLeast"/>
        </w:trPr>
        <w:tc>
          <w:tcPr>
            <w:tcW w:w="1430" w:type="dxa"/>
          </w:tcPr>
          <w:p>
            <w:pPr>
              <w:pStyle w:val="TableParagraph"/>
              <w:spacing w:before="88"/>
              <w:ind w:left="2" w:right="2"/>
              <w:jc w:val="center"/>
              <w:rPr>
                <w:b/>
                <w:sz w:val="18"/>
              </w:rPr>
            </w:pPr>
            <w:r>
              <w:rPr>
                <w:b/>
                <w:spacing w:val="-2"/>
                <w:sz w:val="18"/>
              </w:rPr>
              <w:t>MURCIA</w:t>
            </w:r>
          </w:p>
        </w:tc>
        <w:tc>
          <w:tcPr>
            <w:tcW w:w="1181" w:type="dxa"/>
            <w:tcBorders>
              <w:top w:val="single" w:sz="4" w:space="0" w:color="1F3763"/>
              <w:bottom w:val="single" w:sz="4" w:space="0" w:color="1F3763"/>
            </w:tcBorders>
          </w:tcPr>
          <w:p>
            <w:pPr>
              <w:pStyle w:val="TableParagraph"/>
              <w:spacing w:before="80"/>
              <w:ind w:right="56"/>
              <w:jc w:val="center"/>
              <w:rPr>
                <w:sz w:val="18"/>
              </w:rPr>
            </w:pPr>
            <w:r>
              <w:rPr>
                <w:spacing w:val="-2"/>
                <w:sz w:val="18"/>
              </w:rPr>
              <w:t>31/12/2023</w:t>
            </w:r>
          </w:p>
        </w:tc>
        <w:tc>
          <w:tcPr>
            <w:tcW w:w="1208" w:type="dxa"/>
            <w:tcBorders>
              <w:top w:val="single" w:sz="4" w:space="0" w:color="002D5D"/>
              <w:bottom w:val="single" w:sz="4" w:space="0" w:color="002D5D"/>
            </w:tcBorders>
          </w:tcPr>
          <w:p>
            <w:pPr>
              <w:pStyle w:val="TableParagraph"/>
              <w:spacing w:before="80"/>
              <w:ind w:left="3" w:right="4"/>
              <w:jc w:val="center"/>
              <w:rPr>
                <w:sz w:val="18"/>
              </w:rPr>
            </w:pPr>
            <w:r>
              <w:rPr>
                <w:spacing w:val="-5"/>
                <w:sz w:val="18"/>
              </w:rPr>
              <w:t>131</w:t>
            </w:r>
          </w:p>
        </w:tc>
        <w:tc>
          <w:tcPr>
            <w:tcW w:w="838" w:type="dxa"/>
            <w:tcBorders>
              <w:top w:val="single" w:sz="4" w:space="0" w:color="002D5D"/>
              <w:bottom w:val="single" w:sz="4" w:space="0" w:color="002D5D"/>
            </w:tcBorders>
          </w:tcPr>
          <w:p>
            <w:pPr>
              <w:pStyle w:val="TableParagraph"/>
              <w:spacing w:before="80"/>
              <w:ind w:left="103"/>
              <w:jc w:val="center"/>
              <w:rPr>
                <w:sz w:val="18"/>
              </w:rPr>
            </w:pPr>
            <w:r>
              <w:rPr>
                <w:spacing w:val="-5"/>
                <w:sz w:val="18"/>
              </w:rPr>
              <w:t>31</w:t>
            </w:r>
          </w:p>
        </w:tc>
        <w:tc>
          <w:tcPr>
            <w:tcW w:w="1111" w:type="dxa"/>
            <w:tcBorders>
              <w:top w:val="single" w:sz="4" w:space="0" w:color="002D5D"/>
              <w:bottom w:val="single" w:sz="4" w:space="0" w:color="002D5D"/>
            </w:tcBorders>
          </w:tcPr>
          <w:p>
            <w:pPr>
              <w:pStyle w:val="TableParagraph"/>
              <w:spacing w:before="80"/>
              <w:ind w:left="290"/>
              <w:rPr>
                <w:sz w:val="18"/>
              </w:rPr>
            </w:pPr>
            <w:r>
              <w:rPr>
                <w:spacing w:val="-2"/>
                <w:sz w:val="18"/>
              </w:rPr>
              <w:t>23,66</w:t>
            </w:r>
          </w:p>
        </w:tc>
        <w:tc>
          <w:tcPr>
            <w:tcW w:w="759" w:type="dxa"/>
            <w:tcBorders>
              <w:top w:val="single" w:sz="4" w:space="0" w:color="002D5D"/>
              <w:bottom w:val="single" w:sz="4" w:space="0" w:color="002D5D"/>
            </w:tcBorders>
          </w:tcPr>
          <w:p>
            <w:pPr>
              <w:pStyle w:val="TableParagraph"/>
              <w:spacing w:before="80"/>
              <w:ind w:left="10"/>
              <w:jc w:val="center"/>
              <w:rPr>
                <w:sz w:val="18"/>
              </w:rPr>
            </w:pPr>
            <w:r>
              <w:rPr>
                <w:spacing w:val="-10"/>
                <w:sz w:val="18"/>
              </w:rPr>
              <w:t>0</w:t>
            </w:r>
          </w:p>
        </w:tc>
        <w:tc>
          <w:tcPr>
            <w:tcW w:w="880" w:type="dxa"/>
            <w:tcBorders>
              <w:top w:val="single" w:sz="4" w:space="0" w:color="002D5D"/>
              <w:bottom w:val="single" w:sz="4" w:space="0" w:color="002D5D"/>
            </w:tcBorders>
          </w:tcPr>
          <w:p>
            <w:pPr>
              <w:pStyle w:val="TableParagraph"/>
              <w:spacing w:before="80"/>
              <w:ind w:left="92" w:right="4"/>
              <w:jc w:val="center"/>
              <w:rPr>
                <w:sz w:val="18"/>
              </w:rPr>
            </w:pPr>
            <w:r>
              <w:rPr>
                <w:spacing w:val="-4"/>
                <w:sz w:val="18"/>
              </w:rPr>
              <w:t>0,00</w:t>
            </w:r>
          </w:p>
        </w:tc>
        <w:tc>
          <w:tcPr>
            <w:tcW w:w="1249" w:type="dxa"/>
            <w:tcBorders>
              <w:top w:val="single" w:sz="4" w:space="0" w:color="002D5D"/>
              <w:bottom w:val="single" w:sz="4" w:space="0" w:color="002D5D"/>
            </w:tcBorders>
          </w:tcPr>
          <w:p>
            <w:pPr>
              <w:pStyle w:val="TableParagraph"/>
              <w:spacing w:before="80"/>
              <w:ind w:left="37"/>
              <w:jc w:val="center"/>
              <w:rPr>
                <w:sz w:val="18"/>
              </w:rPr>
            </w:pPr>
            <w:r>
              <w:rPr>
                <w:spacing w:val="-2"/>
                <w:sz w:val="18"/>
              </w:rPr>
              <w:t>11,46</w:t>
            </w:r>
          </w:p>
        </w:tc>
      </w:tr>
      <w:tr>
        <w:trPr>
          <w:trHeight w:val="364" w:hRule="atLeast"/>
        </w:trPr>
        <w:tc>
          <w:tcPr>
            <w:tcW w:w="1430" w:type="dxa"/>
            <w:tcBorders>
              <w:bottom w:val="single" w:sz="12" w:space="0" w:color="002D5D"/>
            </w:tcBorders>
          </w:tcPr>
          <w:p>
            <w:pPr>
              <w:pStyle w:val="TableParagraph"/>
              <w:rPr>
                <w:rFonts w:ascii="Times New Roman"/>
                <w:sz w:val="16"/>
              </w:rPr>
            </w:pPr>
          </w:p>
        </w:tc>
        <w:tc>
          <w:tcPr>
            <w:tcW w:w="1181" w:type="dxa"/>
            <w:tcBorders>
              <w:top w:val="single" w:sz="4" w:space="0" w:color="1F3763"/>
              <w:bottom w:val="single" w:sz="12" w:space="0" w:color="000000"/>
            </w:tcBorders>
          </w:tcPr>
          <w:p>
            <w:pPr>
              <w:pStyle w:val="TableParagraph"/>
              <w:spacing w:before="88"/>
              <w:ind w:right="56"/>
              <w:jc w:val="center"/>
              <w:rPr>
                <w:sz w:val="18"/>
              </w:rPr>
            </w:pPr>
            <w:r>
              <w:rPr>
                <w:spacing w:val="-2"/>
                <w:sz w:val="18"/>
              </w:rPr>
              <w:t>31/12/2024</w:t>
            </w:r>
          </w:p>
        </w:tc>
        <w:tc>
          <w:tcPr>
            <w:tcW w:w="1208" w:type="dxa"/>
            <w:tcBorders>
              <w:top w:val="single" w:sz="4" w:space="0" w:color="002D5D"/>
              <w:bottom w:val="single" w:sz="12" w:space="0" w:color="002D5D"/>
            </w:tcBorders>
          </w:tcPr>
          <w:p>
            <w:pPr>
              <w:pStyle w:val="TableParagraph"/>
              <w:spacing w:before="88"/>
              <w:ind w:left="3" w:right="4"/>
              <w:jc w:val="center"/>
              <w:rPr>
                <w:sz w:val="18"/>
              </w:rPr>
            </w:pPr>
            <w:r>
              <w:rPr>
                <w:spacing w:val="-5"/>
                <w:sz w:val="18"/>
              </w:rPr>
              <w:t>131</w:t>
            </w:r>
          </w:p>
        </w:tc>
        <w:tc>
          <w:tcPr>
            <w:tcW w:w="838" w:type="dxa"/>
            <w:tcBorders>
              <w:top w:val="single" w:sz="4" w:space="0" w:color="002D5D"/>
              <w:bottom w:val="single" w:sz="12" w:space="0" w:color="002D5D"/>
            </w:tcBorders>
          </w:tcPr>
          <w:p>
            <w:pPr>
              <w:pStyle w:val="TableParagraph"/>
              <w:spacing w:before="88"/>
              <w:ind w:left="103"/>
              <w:jc w:val="center"/>
              <w:rPr>
                <w:sz w:val="18"/>
              </w:rPr>
            </w:pPr>
            <w:r>
              <w:rPr>
                <w:spacing w:val="-5"/>
                <w:sz w:val="18"/>
              </w:rPr>
              <w:t>31</w:t>
            </w:r>
          </w:p>
        </w:tc>
        <w:tc>
          <w:tcPr>
            <w:tcW w:w="1111" w:type="dxa"/>
            <w:tcBorders>
              <w:top w:val="single" w:sz="4" w:space="0" w:color="002D5D"/>
              <w:bottom w:val="single" w:sz="12" w:space="0" w:color="002D5D"/>
            </w:tcBorders>
          </w:tcPr>
          <w:p>
            <w:pPr>
              <w:pStyle w:val="TableParagraph"/>
              <w:spacing w:before="88"/>
              <w:ind w:left="290"/>
              <w:rPr>
                <w:sz w:val="18"/>
              </w:rPr>
            </w:pPr>
            <w:r>
              <w:rPr>
                <w:spacing w:val="-2"/>
                <w:sz w:val="18"/>
              </w:rPr>
              <w:t>23,66</w:t>
            </w:r>
          </w:p>
        </w:tc>
        <w:tc>
          <w:tcPr>
            <w:tcW w:w="759" w:type="dxa"/>
            <w:tcBorders>
              <w:top w:val="single" w:sz="4" w:space="0" w:color="002D5D"/>
              <w:bottom w:val="single" w:sz="12" w:space="0" w:color="002D5D"/>
            </w:tcBorders>
          </w:tcPr>
          <w:p>
            <w:pPr>
              <w:pStyle w:val="TableParagraph"/>
              <w:spacing w:before="88"/>
              <w:ind w:left="10"/>
              <w:jc w:val="center"/>
              <w:rPr>
                <w:sz w:val="18"/>
              </w:rPr>
            </w:pPr>
            <w:r>
              <w:rPr>
                <w:spacing w:val="-10"/>
                <w:sz w:val="18"/>
              </w:rPr>
              <w:t>0</w:t>
            </w:r>
          </w:p>
        </w:tc>
        <w:tc>
          <w:tcPr>
            <w:tcW w:w="880" w:type="dxa"/>
            <w:tcBorders>
              <w:top w:val="single" w:sz="4" w:space="0" w:color="002D5D"/>
              <w:bottom w:val="single" w:sz="12" w:space="0" w:color="002D5D"/>
            </w:tcBorders>
          </w:tcPr>
          <w:p>
            <w:pPr>
              <w:pStyle w:val="TableParagraph"/>
              <w:spacing w:before="88"/>
              <w:ind w:left="92" w:right="4"/>
              <w:jc w:val="center"/>
              <w:rPr>
                <w:sz w:val="18"/>
              </w:rPr>
            </w:pPr>
            <w:r>
              <w:rPr>
                <w:spacing w:val="-4"/>
                <w:sz w:val="18"/>
              </w:rPr>
              <w:t>0,00</w:t>
            </w:r>
          </w:p>
        </w:tc>
        <w:tc>
          <w:tcPr>
            <w:tcW w:w="1249" w:type="dxa"/>
            <w:tcBorders>
              <w:top w:val="single" w:sz="4" w:space="0" w:color="002D5D"/>
              <w:bottom w:val="single" w:sz="12" w:space="0" w:color="002D5D"/>
            </w:tcBorders>
          </w:tcPr>
          <w:p>
            <w:pPr>
              <w:pStyle w:val="TableParagraph"/>
              <w:spacing w:before="88"/>
              <w:ind w:left="37"/>
              <w:jc w:val="center"/>
              <w:rPr>
                <w:sz w:val="18"/>
              </w:rPr>
            </w:pPr>
            <w:r>
              <w:rPr>
                <w:spacing w:val="-2"/>
                <w:sz w:val="18"/>
              </w:rPr>
              <w:t>12,33</w:t>
            </w:r>
          </w:p>
        </w:tc>
      </w:tr>
      <w:tr>
        <w:trPr>
          <w:trHeight w:val="330" w:hRule="atLeast"/>
        </w:trPr>
        <w:tc>
          <w:tcPr>
            <w:tcW w:w="1430" w:type="dxa"/>
            <w:tcBorders>
              <w:top w:val="single" w:sz="12" w:space="0" w:color="002D5D"/>
            </w:tcBorders>
          </w:tcPr>
          <w:p>
            <w:pPr>
              <w:pStyle w:val="TableParagraph"/>
              <w:rPr>
                <w:rFonts w:ascii="Times New Roman"/>
                <w:sz w:val="16"/>
              </w:rPr>
            </w:pPr>
          </w:p>
        </w:tc>
        <w:tc>
          <w:tcPr>
            <w:tcW w:w="1181" w:type="dxa"/>
            <w:tcBorders>
              <w:top w:val="single" w:sz="12" w:space="0" w:color="000000"/>
              <w:bottom w:val="single" w:sz="4" w:space="0" w:color="1F3763"/>
            </w:tcBorders>
          </w:tcPr>
          <w:p>
            <w:pPr>
              <w:pStyle w:val="TableParagraph"/>
              <w:spacing w:before="61"/>
              <w:ind w:right="56"/>
              <w:jc w:val="center"/>
              <w:rPr>
                <w:sz w:val="18"/>
              </w:rPr>
            </w:pPr>
            <w:r>
              <w:rPr>
                <w:spacing w:val="-2"/>
                <w:sz w:val="18"/>
              </w:rPr>
              <w:t>31/12/2022</w:t>
            </w:r>
          </w:p>
        </w:tc>
        <w:tc>
          <w:tcPr>
            <w:tcW w:w="1208" w:type="dxa"/>
            <w:tcBorders>
              <w:top w:val="single" w:sz="12" w:space="0" w:color="002D5D"/>
              <w:bottom w:val="single" w:sz="4" w:space="0" w:color="002D5D"/>
            </w:tcBorders>
          </w:tcPr>
          <w:p>
            <w:pPr>
              <w:pStyle w:val="TableParagraph"/>
              <w:spacing w:before="61"/>
              <w:ind w:left="3" w:right="4"/>
              <w:jc w:val="center"/>
              <w:rPr>
                <w:sz w:val="18"/>
              </w:rPr>
            </w:pPr>
            <w:r>
              <w:rPr>
                <w:spacing w:val="-5"/>
                <w:sz w:val="18"/>
              </w:rPr>
              <w:t>262</w:t>
            </w:r>
          </w:p>
        </w:tc>
        <w:tc>
          <w:tcPr>
            <w:tcW w:w="838" w:type="dxa"/>
            <w:tcBorders>
              <w:top w:val="single" w:sz="12" w:space="0" w:color="002D5D"/>
              <w:bottom w:val="single" w:sz="4" w:space="0" w:color="002D5D"/>
            </w:tcBorders>
          </w:tcPr>
          <w:p>
            <w:pPr>
              <w:pStyle w:val="TableParagraph"/>
              <w:spacing w:before="61"/>
              <w:ind w:left="103"/>
              <w:jc w:val="center"/>
              <w:rPr>
                <w:sz w:val="18"/>
              </w:rPr>
            </w:pPr>
            <w:r>
              <w:rPr>
                <w:spacing w:val="-5"/>
                <w:sz w:val="18"/>
              </w:rPr>
              <w:t>129</w:t>
            </w:r>
          </w:p>
        </w:tc>
        <w:tc>
          <w:tcPr>
            <w:tcW w:w="1111" w:type="dxa"/>
            <w:tcBorders>
              <w:top w:val="single" w:sz="12" w:space="0" w:color="002D5D"/>
              <w:bottom w:val="single" w:sz="4" w:space="0" w:color="002D5D"/>
            </w:tcBorders>
          </w:tcPr>
          <w:p>
            <w:pPr>
              <w:pStyle w:val="TableParagraph"/>
              <w:spacing w:before="61"/>
              <w:ind w:left="290"/>
              <w:rPr>
                <w:sz w:val="18"/>
              </w:rPr>
            </w:pPr>
            <w:r>
              <w:rPr>
                <w:spacing w:val="-2"/>
                <w:sz w:val="18"/>
              </w:rPr>
              <w:t>49,24</w:t>
            </w:r>
          </w:p>
        </w:tc>
        <w:tc>
          <w:tcPr>
            <w:tcW w:w="759" w:type="dxa"/>
            <w:tcBorders>
              <w:top w:val="single" w:sz="12" w:space="0" w:color="002D5D"/>
              <w:bottom w:val="single" w:sz="4" w:space="0" w:color="002D5D"/>
            </w:tcBorders>
          </w:tcPr>
          <w:p>
            <w:pPr>
              <w:pStyle w:val="TableParagraph"/>
              <w:spacing w:before="61"/>
              <w:ind w:left="10"/>
              <w:jc w:val="center"/>
              <w:rPr>
                <w:sz w:val="18"/>
              </w:rPr>
            </w:pPr>
            <w:r>
              <w:rPr>
                <w:spacing w:val="-10"/>
                <w:sz w:val="18"/>
              </w:rPr>
              <w:t>0</w:t>
            </w:r>
          </w:p>
        </w:tc>
        <w:tc>
          <w:tcPr>
            <w:tcW w:w="880" w:type="dxa"/>
            <w:tcBorders>
              <w:top w:val="single" w:sz="12" w:space="0" w:color="002D5D"/>
              <w:bottom w:val="single" w:sz="4" w:space="0" w:color="002D5D"/>
            </w:tcBorders>
          </w:tcPr>
          <w:p>
            <w:pPr>
              <w:pStyle w:val="TableParagraph"/>
              <w:spacing w:before="61"/>
              <w:ind w:left="92" w:right="4"/>
              <w:jc w:val="center"/>
              <w:rPr>
                <w:sz w:val="18"/>
              </w:rPr>
            </w:pPr>
            <w:r>
              <w:rPr>
                <w:spacing w:val="-4"/>
                <w:sz w:val="18"/>
              </w:rPr>
              <w:t>0,00</w:t>
            </w:r>
          </w:p>
        </w:tc>
        <w:tc>
          <w:tcPr>
            <w:tcW w:w="1249" w:type="dxa"/>
            <w:tcBorders>
              <w:top w:val="single" w:sz="12" w:space="0" w:color="002D5D"/>
              <w:bottom w:val="single" w:sz="4" w:space="0" w:color="002D5D"/>
            </w:tcBorders>
          </w:tcPr>
          <w:p>
            <w:pPr>
              <w:pStyle w:val="TableParagraph"/>
              <w:spacing w:before="61"/>
              <w:ind w:left="37"/>
              <w:jc w:val="center"/>
              <w:rPr>
                <w:sz w:val="18"/>
              </w:rPr>
            </w:pPr>
            <w:r>
              <w:rPr>
                <w:spacing w:val="-4"/>
                <w:sz w:val="18"/>
              </w:rPr>
              <w:t>9,78</w:t>
            </w:r>
          </w:p>
        </w:tc>
      </w:tr>
      <w:tr>
        <w:trPr>
          <w:trHeight w:val="350" w:hRule="atLeast"/>
        </w:trPr>
        <w:tc>
          <w:tcPr>
            <w:tcW w:w="1430" w:type="dxa"/>
          </w:tcPr>
          <w:p>
            <w:pPr>
              <w:pStyle w:val="TableParagraph"/>
              <w:spacing w:before="90"/>
              <w:ind w:left="1" w:right="2"/>
              <w:jc w:val="center"/>
              <w:rPr>
                <w:b/>
                <w:sz w:val="18"/>
              </w:rPr>
            </w:pPr>
            <w:r>
              <w:rPr>
                <w:b/>
                <w:spacing w:val="-2"/>
                <w:sz w:val="18"/>
              </w:rPr>
              <w:t>PALMA</w:t>
            </w:r>
          </w:p>
        </w:tc>
        <w:tc>
          <w:tcPr>
            <w:tcW w:w="1181" w:type="dxa"/>
            <w:tcBorders>
              <w:top w:val="single" w:sz="4" w:space="0" w:color="1F3763"/>
              <w:bottom w:val="single" w:sz="4" w:space="0" w:color="1F3763"/>
            </w:tcBorders>
          </w:tcPr>
          <w:p>
            <w:pPr>
              <w:pStyle w:val="TableParagraph"/>
              <w:spacing w:before="80"/>
              <w:ind w:right="56"/>
              <w:jc w:val="center"/>
              <w:rPr>
                <w:sz w:val="18"/>
              </w:rPr>
            </w:pPr>
            <w:r>
              <w:rPr>
                <w:spacing w:val="-2"/>
                <w:sz w:val="18"/>
              </w:rPr>
              <w:t>31/12/2023</w:t>
            </w:r>
          </w:p>
        </w:tc>
        <w:tc>
          <w:tcPr>
            <w:tcW w:w="1208" w:type="dxa"/>
            <w:tcBorders>
              <w:top w:val="single" w:sz="4" w:space="0" w:color="002D5D"/>
              <w:bottom w:val="single" w:sz="4" w:space="0" w:color="002D5D"/>
            </w:tcBorders>
          </w:tcPr>
          <w:p>
            <w:pPr>
              <w:pStyle w:val="TableParagraph"/>
              <w:spacing w:before="80"/>
              <w:ind w:left="3" w:right="4"/>
              <w:jc w:val="center"/>
              <w:rPr>
                <w:sz w:val="18"/>
              </w:rPr>
            </w:pPr>
            <w:r>
              <w:rPr>
                <w:spacing w:val="-5"/>
                <w:sz w:val="18"/>
              </w:rPr>
              <w:t>259</w:t>
            </w:r>
          </w:p>
        </w:tc>
        <w:tc>
          <w:tcPr>
            <w:tcW w:w="838" w:type="dxa"/>
            <w:tcBorders>
              <w:top w:val="single" w:sz="4" w:space="0" w:color="002D5D"/>
              <w:bottom w:val="single" w:sz="4" w:space="0" w:color="002D5D"/>
            </w:tcBorders>
          </w:tcPr>
          <w:p>
            <w:pPr>
              <w:pStyle w:val="TableParagraph"/>
              <w:spacing w:before="80"/>
              <w:ind w:left="103"/>
              <w:jc w:val="center"/>
              <w:rPr>
                <w:sz w:val="18"/>
              </w:rPr>
            </w:pPr>
            <w:r>
              <w:rPr>
                <w:spacing w:val="-5"/>
                <w:sz w:val="18"/>
              </w:rPr>
              <w:t>171</w:t>
            </w:r>
          </w:p>
        </w:tc>
        <w:tc>
          <w:tcPr>
            <w:tcW w:w="1111" w:type="dxa"/>
            <w:tcBorders>
              <w:top w:val="single" w:sz="4" w:space="0" w:color="002D5D"/>
              <w:bottom w:val="single" w:sz="4" w:space="0" w:color="002D5D"/>
            </w:tcBorders>
          </w:tcPr>
          <w:p>
            <w:pPr>
              <w:pStyle w:val="TableParagraph"/>
              <w:spacing w:before="80"/>
              <w:ind w:left="290"/>
              <w:rPr>
                <w:sz w:val="18"/>
              </w:rPr>
            </w:pPr>
            <w:r>
              <w:rPr>
                <w:spacing w:val="-2"/>
                <w:sz w:val="18"/>
              </w:rPr>
              <w:t>66,02</w:t>
            </w:r>
          </w:p>
        </w:tc>
        <w:tc>
          <w:tcPr>
            <w:tcW w:w="759" w:type="dxa"/>
            <w:tcBorders>
              <w:top w:val="single" w:sz="4" w:space="0" w:color="002D5D"/>
              <w:bottom w:val="single" w:sz="4" w:space="0" w:color="002D5D"/>
            </w:tcBorders>
          </w:tcPr>
          <w:p>
            <w:pPr>
              <w:pStyle w:val="TableParagraph"/>
              <w:spacing w:before="80"/>
              <w:ind w:left="10"/>
              <w:jc w:val="center"/>
              <w:rPr>
                <w:sz w:val="18"/>
              </w:rPr>
            </w:pPr>
            <w:r>
              <w:rPr>
                <w:spacing w:val="-5"/>
                <w:sz w:val="18"/>
              </w:rPr>
              <w:t>15</w:t>
            </w:r>
          </w:p>
        </w:tc>
        <w:tc>
          <w:tcPr>
            <w:tcW w:w="880" w:type="dxa"/>
            <w:tcBorders>
              <w:top w:val="single" w:sz="4" w:space="0" w:color="002D5D"/>
              <w:bottom w:val="single" w:sz="4" w:space="0" w:color="002D5D"/>
            </w:tcBorders>
          </w:tcPr>
          <w:p>
            <w:pPr>
              <w:pStyle w:val="TableParagraph"/>
              <w:spacing w:before="80"/>
              <w:ind w:left="92" w:right="4"/>
              <w:jc w:val="center"/>
              <w:rPr>
                <w:sz w:val="18"/>
              </w:rPr>
            </w:pPr>
            <w:r>
              <w:rPr>
                <w:spacing w:val="-4"/>
                <w:sz w:val="18"/>
              </w:rPr>
              <w:t>5,79</w:t>
            </w:r>
          </w:p>
        </w:tc>
        <w:tc>
          <w:tcPr>
            <w:tcW w:w="1249" w:type="dxa"/>
            <w:tcBorders>
              <w:top w:val="single" w:sz="4" w:space="0" w:color="002D5D"/>
              <w:bottom w:val="single" w:sz="4" w:space="0" w:color="002D5D"/>
            </w:tcBorders>
          </w:tcPr>
          <w:p>
            <w:pPr>
              <w:pStyle w:val="TableParagraph"/>
              <w:spacing w:before="80"/>
              <w:ind w:left="37"/>
              <w:jc w:val="center"/>
              <w:rPr>
                <w:sz w:val="18"/>
              </w:rPr>
            </w:pPr>
            <w:r>
              <w:rPr>
                <w:spacing w:val="-4"/>
                <w:sz w:val="18"/>
              </w:rPr>
              <w:t>8,11</w:t>
            </w:r>
          </w:p>
        </w:tc>
      </w:tr>
      <w:tr>
        <w:trPr>
          <w:trHeight w:val="364" w:hRule="atLeast"/>
        </w:trPr>
        <w:tc>
          <w:tcPr>
            <w:tcW w:w="1430" w:type="dxa"/>
            <w:tcBorders>
              <w:bottom w:val="single" w:sz="12" w:space="0" w:color="002D5D"/>
            </w:tcBorders>
          </w:tcPr>
          <w:p>
            <w:pPr>
              <w:pStyle w:val="TableParagraph"/>
              <w:rPr>
                <w:rFonts w:ascii="Times New Roman"/>
                <w:sz w:val="16"/>
              </w:rPr>
            </w:pPr>
          </w:p>
        </w:tc>
        <w:tc>
          <w:tcPr>
            <w:tcW w:w="1181" w:type="dxa"/>
            <w:tcBorders>
              <w:top w:val="single" w:sz="4" w:space="0" w:color="1F3763"/>
              <w:bottom w:val="single" w:sz="12" w:space="0" w:color="000000"/>
            </w:tcBorders>
          </w:tcPr>
          <w:p>
            <w:pPr>
              <w:pStyle w:val="TableParagraph"/>
              <w:spacing w:before="91"/>
              <w:ind w:right="56"/>
              <w:jc w:val="center"/>
              <w:rPr>
                <w:sz w:val="18"/>
              </w:rPr>
            </w:pPr>
            <w:r>
              <w:rPr>
                <w:spacing w:val="-2"/>
                <w:sz w:val="18"/>
              </w:rPr>
              <w:t>31/12/2024</w:t>
            </w:r>
          </w:p>
        </w:tc>
        <w:tc>
          <w:tcPr>
            <w:tcW w:w="1208" w:type="dxa"/>
            <w:tcBorders>
              <w:top w:val="single" w:sz="4" w:space="0" w:color="002D5D"/>
              <w:bottom w:val="single" w:sz="12" w:space="0" w:color="002D5D"/>
            </w:tcBorders>
          </w:tcPr>
          <w:p>
            <w:pPr>
              <w:pStyle w:val="TableParagraph"/>
              <w:spacing w:before="91"/>
              <w:ind w:left="3" w:right="4"/>
              <w:jc w:val="center"/>
              <w:rPr>
                <w:sz w:val="18"/>
              </w:rPr>
            </w:pPr>
            <w:r>
              <w:rPr>
                <w:spacing w:val="-5"/>
                <w:sz w:val="18"/>
              </w:rPr>
              <w:t>254</w:t>
            </w:r>
          </w:p>
        </w:tc>
        <w:tc>
          <w:tcPr>
            <w:tcW w:w="838" w:type="dxa"/>
            <w:tcBorders>
              <w:top w:val="single" w:sz="4" w:space="0" w:color="002D5D"/>
              <w:bottom w:val="single" w:sz="12" w:space="0" w:color="002D5D"/>
            </w:tcBorders>
          </w:tcPr>
          <w:p>
            <w:pPr>
              <w:pStyle w:val="TableParagraph"/>
              <w:spacing w:before="91"/>
              <w:ind w:left="103"/>
              <w:jc w:val="center"/>
              <w:rPr>
                <w:sz w:val="18"/>
              </w:rPr>
            </w:pPr>
            <w:r>
              <w:rPr>
                <w:spacing w:val="-5"/>
                <w:sz w:val="18"/>
              </w:rPr>
              <w:t>172</w:t>
            </w:r>
          </w:p>
        </w:tc>
        <w:tc>
          <w:tcPr>
            <w:tcW w:w="1111" w:type="dxa"/>
            <w:tcBorders>
              <w:top w:val="single" w:sz="4" w:space="0" w:color="002D5D"/>
              <w:bottom w:val="single" w:sz="12" w:space="0" w:color="002D5D"/>
            </w:tcBorders>
          </w:tcPr>
          <w:p>
            <w:pPr>
              <w:pStyle w:val="TableParagraph"/>
              <w:spacing w:before="91"/>
              <w:ind w:left="290"/>
              <w:rPr>
                <w:sz w:val="18"/>
              </w:rPr>
            </w:pPr>
            <w:r>
              <w:rPr>
                <w:spacing w:val="-2"/>
                <w:sz w:val="18"/>
              </w:rPr>
              <w:t>67,72</w:t>
            </w:r>
          </w:p>
        </w:tc>
        <w:tc>
          <w:tcPr>
            <w:tcW w:w="759" w:type="dxa"/>
            <w:tcBorders>
              <w:top w:val="single" w:sz="4" w:space="0" w:color="002D5D"/>
              <w:bottom w:val="single" w:sz="12" w:space="0" w:color="002D5D"/>
            </w:tcBorders>
          </w:tcPr>
          <w:p>
            <w:pPr>
              <w:pStyle w:val="TableParagraph"/>
              <w:spacing w:before="91"/>
              <w:ind w:left="10"/>
              <w:jc w:val="center"/>
              <w:rPr>
                <w:sz w:val="18"/>
              </w:rPr>
            </w:pPr>
            <w:r>
              <w:rPr>
                <w:spacing w:val="-5"/>
                <w:sz w:val="18"/>
              </w:rPr>
              <w:t>17</w:t>
            </w:r>
          </w:p>
        </w:tc>
        <w:tc>
          <w:tcPr>
            <w:tcW w:w="880" w:type="dxa"/>
            <w:tcBorders>
              <w:top w:val="single" w:sz="4" w:space="0" w:color="002D5D"/>
              <w:bottom w:val="single" w:sz="12" w:space="0" w:color="002D5D"/>
            </w:tcBorders>
          </w:tcPr>
          <w:p>
            <w:pPr>
              <w:pStyle w:val="TableParagraph"/>
              <w:spacing w:before="91"/>
              <w:ind w:left="92" w:right="4"/>
              <w:jc w:val="center"/>
              <w:rPr>
                <w:sz w:val="18"/>
              </w:rPr>
            </w:pPr>
            <w:r>
              <w:rPr>
                <w:spacing w:val="-4"/>
                <w:sz w:val="18"/>
              </w:rPr>
              <w:t>6,69</w:t>
            </w:r>
          </w:p>
        </w:tc>
        <w:tc>
          <w:tcPr>
            <w:tcW w:w="1249" w:type="dxa"/>
            <w:tcBorders>
              <w:top w:val="single" w:sz="4" w:space="0" w:color="002D5D"/>
              <w:bottom w:val="single" w:sz="12" w:space="0" w:color="002D5D"/>
            </w:tcBorders>
          </w:tcPr>
          <w:p>
            <w:pPr>
              <w:pStyle w:val="TableParagraph"/>
              <w:spacing w:before="91"/>
              <w:ind w:left="37"/>
              <w:jc w:val="center"/>
              <w:rPr>
                <w:sz w:val="18"/>
              </w:rPr>
            </w:pPr>
            <w:r>
              <w:rPr>
                <w:spacing w:val="-4"/>
                <w:sz w:val="18"/>
              </w:rPr>
              <w:t>8,87</w:t>
            </w:r>
          </w:p>
        </w:tc>
      </w:tr>
      <w:tr>
        <w:trPr>
          <w:trHeight w:val="330" w:hRule="atLeast"/>
        </w:trPr>
        <w:tc>
          <w:tcPr>
            <w:tcW w:w="1430" w:type="dxa"/>
            <w:tcBorders>
              <w:top w:val="single" w:sz="12" w:space="0" w:color="002D5D"/>
            </w:tcBorders>
          </w:tcPr>
          <w:p>
            <w:pPr>
              <w:pStyle w:val="TableParagraph"/>
              <w:rPr>
                <w:rFonts w:ascii="Times New Roman"/>
                <w:sz w:val="16"/>
              </w:rPr>
            </w:pPr>
          </w:p>
        </w:tc>
        <w:tc>
          <w:tcPr>
            <w:tcW w:w="1181" w:type="dxa"/>
            <w:tcBorders>
              <w:top w:val="single" w:sz="12" w:space="0" w:color="000000"/>
              <w:bottom w:val="single" w:sz="4" w:space="0" w:color="1F3763"/>
            </w:tcBorders>
          </w:tcPr>
          <w:p>
            <w:pPr>
              <w:pStyle w:val="TableParagraph"/>
              <w:spacing w:before="63"/>
              <w:ind w:right="56"/>
              <w:jc w:val="center"/>
              <w:rPr>
                <w:sz w:val="18"/>
              </w:rPr>
            </w:pPr>
            <w:r>
              <w:rPr>
                <w:spacing w:val="-2"/>
                <w:sz w:val="18"/>
              </w:rPr>
              <w:t>31/12/2022</w:t>
            </w:r>
          </w:p>
        </w:tc>
        <w:tc>
          <w:tcPr>
            <w:tcW w:w="1208" w:type="dxa"/>
            <w:tcBorders>
              <w:top w:val="single" w:sz="12" w:space="0" w:color="002D5D"/>
              <w:bottom w:val="single" w:sz="4" w:space="0" w:color="002D5D"/>
            </w:tcBorders>
          </w:tcPr>
          <w:p>
            <w:pPr>
              <w:pStyle w:val="TableParagraph"/>
              <w:spacing w:before="63"/>
              <w:ind w:left="3" w:right="4"/>
              <w:jc w:val="center"/>
              <w:rPr>
                <w:sz w:val="18"/>
              </w:rPr>
            </w:pPr>
            <w:r>
              <w:rPr>
                <w:spacing w:val="-5"/>
                <w:sz w:val="18"/>
              </w:rPr>
              <w:t>425</w:t>
            </w:r>
          </w:p>
        </w:tc>
        <w:tc>
          <w:tcPr>
            <w:tcW w:w="838" w:type="dxa"/>
            <w:tcBorders>
              <w:top w:val="single" w:sz="12" w:space="0" w:color="002D5D"/>
              <w:bottom w:val="single" w:sz="4" w:space="0" w:color="002D5D"/>
            </w:tcBorders>
          </w:tcPr>
          <w:p>
            <w:pPr>
              <w:pStyle w:val="TableParagraph"/>
              <w:spacing w:before="63"/>
              <w:ind w:left="103"/>
              <w:jc w:val="center"/>
              <w:rPr>
                <w:sz w:val="18"/>
              </w:rPr>
            </w:pPr>
            <w:r>
              <w:rPr>
                <w:spacing w:val="-5"/>
                <w:sz w:val="18"/>
              </w:rPr>
              <w:t>315</w:t>
            </w:r>
          </w:p>
        </w:tc>
        <w:tc>
          <w:tcPr>
            <w:tcW w:w="1111" w:type="dxa"/>
            <w:tcBorders>
              <w:top w:val="single" w:sz="12" w:space="0" w:color="002D5D"/>
              <w:bottom w:val="single" w:sz="4" w:space="0" w:color="002D5D"/>
            </w:tcBorders>
          </w:tcPr>
          <w:p>
            <w:pPr>
              <w:pStyle w:val="TableParagraph"/>
              <w:spacing w:before="63"/>
              <w:ind w:left="290"/>
              <w:rPr>
                <w:sz w:val="18"/>
              </w:rPr>
            </w:pPr>
            <w:r>
              <w:rPr>
                <w:spacing w:val="-2"/>
                <w:sz w:val="18"/>
              </w:rPr>
              <w:t>74,12</w:t>
            </w:r>
          </w:p>
        </w:tc>
        <w:tc>
          <w:tcPr>
            <w:tcW w:w="759" w:type="dxa"/>
            <w:tcBorders>
              <w:top w:val="single" w:sz="12" w:space="0" w:color="002D5D"/>
              <w:bottom w:val="single" w:sz="4" w:space="0" w:color="002D5D"/>
            </w:tcBorders>
          </w:tcPr>
          <w:p>
            <w:pPr>
              <w:pStyle w:val="TableParagraph"/>
              <w:spacing w:before="63"/>
              <w:ind w:left="10"/>
              <w:jc w:val="center"/>
              <w:rPr>
                <w:sz w:val="18"/>
              </w:rPr>
            </w:pPr>
            <w:r>
              <w:rPr>
                <w:spacing w:val="-10"/>
                <w:sz w:val="18"/>
              </w:rPr>
              <w:t>0</w:t>
            </w:r>
          </w:p>
        </w:tc>
        <w:tc>
          <w:tcPr>
            <w:tcW w:w="880" w:type="dxa"/>
            <w:tcBorders>
              <w:top w:val="single" w:sz="12" w:space="0" w:color="002D5D"/>
              <w:bottom w:val="single" w:sz="4" w:space="0" w:color="002D5D"/>
            </w:tcBorders>
          </w:tcPr>
          <w:p>
            <w:pPr>
              <w:pStyle w:val="TableParagraph"/>
              <w:spacing w:before="63"/>
              <w:ind w:left="92" w:right="4"/>
              <w:jc w:val="center"/>
              <w:rPr>
                <w:sz w:val="18"/>
              </w:rPr>
            </w:pPr>
            <w:r>
              <w:rPr>
                <w:spacing w:val="-4"/>
                <w:sz w:val="18"/>
              </w:rPr>
              <w:t>0,00</w:t>
            </w:r>
          </w:p>
        </w:tc>
        <w:tc>
          <w:tcPr>
            <w:tcW w:w="1249" w:type="dxa"/>
            <w:tcBorders>
              <w:top w:val="single" w:sz="12" w:space="0" w:color="002D5D"/>
              <w:bottom w:val="single" w:sz="4" w:space="0" w:color="002D5D"/>
            </w:tcBorders>
          </w:tcPr>
          <w:p>
            <w:pPr>
              <w:pStyle w:val="TableParagraph"/>
              <w:spacing w:before="63"/>
              <w:ind w:left="37"/>
              <w:jc w:val="center"/>
              <w:rPr>
                <w:sz w:val="18"/>
              </w:rPr>
            </w:pPr>
            <w:r>
              <w:rPr>
                <w:spacing w:val="-2"/>
                <w:sz w:val="18"/>
              </w:rPr>
              <w:t>10,53</w:t>
            </w:r>
          </w:p>
        </w:tc>
      </w:tr>
      <w:tr>
        <w:trPr>
          <w:trHeight w:val="350" w:hRule="atLeast"/>
        </w:trPr>
        <w:tc>
          <w:tcPr>
            <w:tcW w:w="1430" w:type="dxa"/>
          </w:tcPr>
          <w:p>
            <w:pPr>
              <w:pStyle w:val="TableParagraph"/>
              <w:spacing w:before="90"/>
              <w:ind w:left="2" w:right="2"/>
              <w:jc w:val="center"/>
              <w:rPr>
                <w:b/>
                <w:sz w:val="18"/>
              </w:rPr>
            </w:pPr>
            <w:r>
              <w:rPr>
                <w:b/>
                <w:spacing w:val="-2"/>
                <w:sz w:val="18"/>
              </w:rPr>
              <w:t>SEVILLA</w:t>
            </w:r>
          </w:p>
        </w:tc>
        <w:tc>
          <w:tcPr>
            <w:tcW w:w="1181" w:type="dxa"/>
            <w:tcBorders>
              <w:top w:val="single" w:sz="4" w:space="0" w:color="1F3763"/>
              <w:bottom w:val="single" w:sz="4" w:space="0" w:color="1F3763"/>
            </w:tcBorders>
          </w:tcPr>
          <w:p>
            <w:pPr>
              <w:pStyle w:val="TableParagraph"/>
              <w:spacing w:before="83"/>
              <w:ind w:right="56"/>
              <w:jc w:val="center"/>
              <w:rPr>
                <w:sz w:val="18"/>
              </w:rPr>
            </w:pPr>
            <w:r>
              <w:rPr>
                <w:spacing w:val="-2"/>
                <w:sz w:val="18"/>
              </w:rPr>
              <w:t>31/12/2023</w:t>
            </w:r>
          </w:p>
        </w:tc>
        <w:tc>
          <w:tcPr>
            <w:tcW w:w="1208" w:type="dxa"/>
            <w:tcBorders>
              <w:top w:val="single" w:sz="4" w:space="0" w:color="002D5D"/>
              <w:bottom w:val="single" w:sz="4" w:space="0" w:color="002D5D"/>
            </w:tcBorders>
          </w:tcPr>
          <w:p>
            <w:pPr>
              <w:pStyle w:val="TableParagraph"/>
              <w:spacing w:before="83"/>
              <w:ind w:left="3" w:right="4"/>
              <w:jc w:val="center"/>
              <w:rPr>
                <w:sz w:val="18"/>
              </w:rPr>
            </w:pPr>
            <w:r>
              <w:rPr>
                <w:spacing w:val="-5"/>
                <w:sz w:val="18"/>
              </w:rPr>
              <w:t>408</w:t>
            </w:r>
          </w:p>
        </w:tc>
        <w:tc>
          <w:tcPr>
            <w:tcW w:w="838" w:type="dxa"/>
            <w:tcBorders>
              <w:top w:val="single" w:sz="4" w:space="0" w:color="002D5D"/>
              <w:bottom w:val="single" w:sz="4" w:space="0" w:color="002D5D"/>
            </w:tcBorders>
          </w:tcPr>
          <w:p>
            <w:pPr>
              <w:pStyle w:val="TableParagraph"/>
              <w:spacing w:before="83"/>
              <w:ind w:left="103"/>
              <w:jc w:val="center"/>
              <w:rPr>
                <w:sz w:val="18"/>
              </w:rPr>
            </w:pPr>
            <w:r>
              <w:rPr>
                <w:spacing w:val="-5"/>
                <w:sz w:val="18"/>
              </w:rPr>
              <w:t>317</w:t>
            </w:r>
          </w:p>
        </w:tc>
        <w:tc>
          <w:tcPr>
            <w:tcW w:w="1111" w:type="dxa"/>
            <w:tcBorders>
              <w:top w:val="single" w:sz="4" w:space="0" w:color="002D5D"/>
              <w:bottom w:val="single" w:sz="4" w:space="0" w:color="002D5D"/>
            </w:tcBorders>
          </w:tcPr>
          <w:p>
            <w:pPr>
              <w:pStyle w:val="TableParagraph"/>
              <w:spacing w:before="83"/>
              <w:ind w:left="290"/>
              <w:rPr>
                <w:sz w:val="18"/>
              </w:rPr>
            </w:pPr>
            <w:r>
              <w:rPr>
                <w:spacing w:val="-2"/>
                <w:sz w:val="18"/>
              </w:rPr>
              <w:t>77,70</w:t>
            </w:r>
          </w:p>
        </w:tc>
        <w:tc>
          <w:tcPr>
            <w:tcW w:w="759" w:type="dxa"/>
            <w:tcBorders>
              <w:top w:val="single" w:sz="4" w:space="0" w:color="002D5D"/>
              <w:bottom w:val="single" w:sz="4" w:space="0" w:color="002D5D"/>
            </w:tcBorders>
          </w:tcPr>
          <w:p>
            <w:pPr>
              <w:pStyle w:val="TableParagraph"/>
              <w:spacing w:before="83"/>
              <w:ind w:left="10"/>
              <w:jc w:val="center"/>
              <w:rPr>
                <w:sz w:val="18"/>
              </w:rPr>
            </w:pPr>
            <w:r>
              <w:rPr>
                <w:spacing w:val="-5"/>
                <w:sz w:val="18"/>
              </w:rPr>
              <w:t>10</w:t>
            </w:r>
          </w:p>
        </w:tc>
        <w:tc>
          <w:tcPr>
            <w:tcW w:w="880" w:type="dxa"/>
            <w:tcBorders>
              <w:top w:val="single" w:sz="4" w:space="0" w:color="002D5D"/>
              <w:bottom w:val="single" w:sz="4" w:space="0" w:color="002D5D"/>
            </w:tcBorders>
          </w:tcPr>
          <w:p>
            <w:pPr>
              <w:pStyle w:val="TableParagraph"/>
              <w:spacing w:before="83"/>
              <w:ind w:left="92" w:right="4"/>
              <w:jc w:val="center"/>
              <w:rPr>
                <w:sz w:val="18"/>
              </w:rPr>
            </w:pPr>
            <w:r>
              <w:rPr>
                <w:spacing w:val="-4"/>
                <w:sz w:val="18"/>
              </w:rPr>
              <w:t>2,45</w:t>
            </w:r>
          </w:p>
        </w:tc>
        <w:tc>
          <w:tcPr>
            <w:tcW w:w="1249" w:type="dxa"/>
            <w:tcBorders>
              <w:top w:val="single" w:sz="4" w:space="0" w:color="002D5D"/>
              <w:bottom w:val="single" w:sz="4" w:space="0" w:color="002D5D"/>
            </w:tcBorders>
          </w:tcPr>
          <w:p>
            <w:pPr>
              <w:pStyle w:val="TableParagraph"/>
              <w:spacing w:before="83"/>
              <w:ind w:left="37"/>
              <w:jc w:val="center"/>
              <w:rPr>
                <w:sz w:val="18"/>
              </w:rPr>
            </w:pPr>
            <w:r>
              <w:rPr>
                <w:spacing w:val="-2"/>
                <w:sz w:val="18"/>
              </w:rPr>
              <w:t>11,25</w:t>
            </w:r>
          </w:p>
        </w:tc>
      </w:tr>
      <w:tr>
        <w:trPr>
          <w:trHeight w:val="366" w:hRule="atLeast"/>
        </w:trPr>
        <w:tc>
          <w:tcPr>
            <w:tcW w:w="1430" w:type="dxa"/>
            <w:tcBorders>
              <w:bottom w:val="single" w:sz="12" w:space="0" w:color="002D5D"/>
            </w:tcBorders>
          </w:tcPr>
          <w:p>
            <w:pPr>
              <w:pStyle w:val="TableParagraph"/>
              <w:rPr>
                <w:rFonts w:ascii="Times New Roman"/>
                <w:sz w:val="16"/>
              </w:rPr>
            </w:pPr>
          </w:p>
        </w:tc>
        <w:tc>
          <w:tcPr>
            <w:tcW w:w="1181" w:type="dxa"/>
            <w:tcBorders>
              <w:top w:val="single" w:sz="4" w:space="0" w:color="1F3763"/>
              <w:bottom w:val="single" w:sz="12" w:space="0" w:color="000000"/>
            </w:tcBorders>
          </w:tcPr>
          <w:p>
            <w:pPr>
              <w:pStyle w:val="TableParagraph"/>
              <w:spacing w:before="90"/>
              <w:ind w:right="56"/>
              <w:jc w:val="center"/>
              <w:rPr>
                <w:sz w:val="18"/>
              </w:rPr>
            </w:pPr>
            <w:r>
              <w:rPr>
                <w:spacing w:val="-2"/>
                <w:sz w:val="18"/>
              </w:rPr>
              <w:t>31/12/2024</w:t>
            </w:r>
          </w:p>
        </w:tc>
        <w:tc>
          <w:tcPr>
            <w:tcW w:w="1208" w:type="dxa"/>
            <w:tcBorders>
              <w:top w:val="single" w:sz="4" w:space="0" w:color="002D5D"/>
              <w:bottom w:val="single" w:sz="12" w:space="0" w:color="002D5D"/>
            </w:tcBorders>
          </w:tcPr>
          <w:p>
            <w:pPr>
              <w:pStyle w:val="TableParagraph"/>
              <w:spacing w:before="90"/>
              <w:ind w:left="3" w:right="4"/>
              <w:jc w:val="center"/>
              <w:rPr>
                <w:sz w:val="18"/>
              </w:rPr>
            </w:pPr>
            <w:r>
              <w:rPr>
                <w:spacing w:val="-5"/>
                <w:sz w:val="18"/>
              </w:rPr>
              <w:t>430</w:t>
            </w:r>
          </w:p>
        </w:tc>
        <w:tc>
          <w:tcPr>
            <w:tcW w:w="838" w:type="dxa"/>
            <w:tcBorders>
              <w:top w:val="single" w:sz="4" w:space="0" w:color="002D5D"/>
              <w:bottom w:val="single" w:sz="12" w:space="0" w:color="002D5D"/>
            </w:tcBorders>
          </w:tcPr>
          <w:p>
            <w:pPr>
              <w:pStyle w:val="TableParagraph"/>
              <w:spacing w:before="90"/>
              <w:ind w:left="103"/>
              <w:jc w:val="center"/>
              <w:rPr>
                <w:sz w:val="18"/>
              </w:rPr>
            </w:pPr>
            <w:r>
              <w:rPr>
                <w:spacing w:val="-5"/>
                <w:sz w:val="18"/>
              </w:rPr>
              <w:t>339</w:t>
            </w:r>
          </w:p>
        </w:tc>
        <w:tc>
          <w:tcPr>
            <w:tcW w:w="1111" w:type="dxa"/>
            <w:tcBorders>
              <w:top w:val="single" w:sz="4" w:space="0" w:color="002D5D"/>
              <w:bottom w:val="single" w:sz="12" w:space="0" w:color="002D5D"/>
            </w:tcBorders>
          </w:tcPr>
          <w:p>
            <w:pPr>
              <w:pStyle w:val="TableParagraph"/>
              <w:spacing w:before="90"/>
              <w:ind w:left="290"/>
              <w:rPr>
                <w:sz w:val="18"/>
              </w:rPr>
            </w:pPr>
            <w:r>
              <w:rPr>
                <w:spacing w:val="-2"/>
                <w:sz w:val="18"/>
              </w:rPr>
              <w:t>78,84</w:t>
            </w:r>
          </w:p>
        </w:tc>
        <w:tc>
          <w:tcPr>
            <w:tcW w:w="759" w:type="dxa"/>
            <w:tcBorders>
              <w:top w:val="single" w:sz="4" w:space="0" w:color="002D5D"/>
              <w:bottom w:val="single" w:sz="12" w:space="0" w:color="002D5D"/>
            </w:tcBorders>
          </w:tcPr>
          <w:p>
            <w:pPr>
              <w:pStyle w:val="TableParagraph"/>
              <w:spacing w:before="90"/>
              <w:ind w:left="10"/>
              <w:jc w:val="center"/>
              <w:rPr>
                <w:sz w:val="18"/>
              </w:rPr>
            </w:pPr>
            <w:r>
              <w:rPr>
                <w:spacing w:val="-5"/>
                <w:sz w:val="18"/>
              </w:rPr>
              <w:t>33</w:t>
            </w:r>
          </w:p>
        </w:tc>
        <w:tc>
          <w:tcPr>
            <w:tcW w:w="880" w:type="dxa"/>
            <w:tcBorders>
              <w:top w:val="single" w:sz="4" w:space="0" w:color="002D5D"/>
              <w:bottom w:val="single" w:sz="12" w:space="0" w:color="002D5D"/>
            </w:tcBorders>
          </w:tcPr>
          <w:p>
            <w:pPr>
              <w:pStyle w:val="TableParagraph"/>
              <w:spacing w:before="90"/>
              <w:ind w:left="92" w:right="4"/>
              <w:jc w:val="center"/>
              <w:rPr>
                <w:sz w:val="18"/>
              </w:rPr>
            </w:pPr>
            <w:r>
              <w:rPr>
                <w:spacing w:val="-4"/>
                <w:sz w:val="18"/>
              </w:rPr>
              <w:t>7,67</w:t>
            </w:r>
          </w:p>
        </w:tc>
        <w:tc>
          <w:tcPr>
            <w:tcW w:w="1249" w:type="dxa"/>
            <w:tcBorders>
              <w:top w:val="single" w:sz="4" w:space="0" w:color="002D5D"/>
              <w:bottom w:val="single" w:sz="12" w:space="0" w:color="002D5D"/>
            </w:tcBorders>
          </w:tcPr>
          <w:p>
            <w:pPr>
              <w:pStyle w:val="TableParagraph"/>
              <w:spacing w:before="90"/>
              <w:ind w:left="37"/>
              <w:jc w:val="center"/>
              <w:rPr>
                <w:sz w:val="18"/>
              </w:rPr>
            </w:pPr>
            <w:r>
              <w:rPr>
                <w:spacing w:val="-2"/>
                <w:sz w:val="18"/>
              </w:rPr>
              <w:t>10,66</w:t>
            </w:r>
          </w:p>
        </w:tc>
      </w:tr>
      <w:tr>
        <w:trPr>
          <w:trHeight w:val="330" w:hRule="atLeast"/>
        </w:trPr>
        <w:tc>
          <w:tcPr>
            <w:tcW w:w="1430" w:type="dxa"/>
            <w:tcBorders>
              <w:top w:val="single" w:sz="12" w:space="0" w:color="002D5D"/>
            </w:tcBorders>
          </w:tcPr>
          <w:p>
            <w:pPr>
              <w:pStyle w:val="TableParagraph"/>
              <w:rPr>
                <w:rFonts w:ascii="Times New Roman"/>
                <w:sz w:val="16"/>
              </w:rPr>
            </w:pPr>
          </w:p>
        </w:tc>
        <w:tc>
          <w:tcPr>
            <w:tcW w:w="1181" w:type="dxa"/>
            <w:tcBorders>
              <w:top w:val="single" w:sz="12" w:space="0" w:color="000000"/>
              <w:bottom w:val="single" w:sz="4" w:space="0" w:color="1F3763"/>
            </w:tcBorders>
          </w:tcPr>
          <w:p>
            <w:pPr>
              <w:pStyle w:val="TableParagraph"/>
              <w:spacing w:before="61"/>
              <w:ind w:right="56"/>
              <w:jc w:val="center"/>
              <w:rPr>
                <w:sz w:val="18"/>
              </w:rPr>
            </w:pPr>
            <w:r>
              <w:rPr>
                <w:spacing w:val="-2"/>
                <w:sz w:val="18"/>
              </w:rPr>
              <w:t>31/12/2022</w:t>
            </w:r>
          </w:p>
        </w:tc>
        <w:tc>
          <w:tcPr>
            <w:tcW w:w="1208" w:type="dxa"/>
            <w:tcBorders>
              <w:top w:val="single" w:sz="12" w:space="0" w:color="002D5D"/>
              <w:bottom w:val="single" w:sz="4" w:space="0" w:color="002D5D"/>
            </w:tcBorders>
          </w:tcPr>
          <w:p>
            <w:pPr>
              <w:pStyle w:val="TableParagraph"/>
              <w:spacing w:before="61"/>
              <w:ind w:left="3" w:right="4"/>
              <w:jc w:val="center"/>
              <w:rPr>
                <w:sz w:val="18"/>
              </w:rPr>
            </w:pPr>
            <w:r>
              <w:rPr>
                <w:spacing w:val="-5"/>
                <w:sz w:val="18"/>
              </w:rPr>
              <w:t>352</w:t>
            </w:r>
          </w:p>
        </w:tc>
        <w:tc>
          <w:tcPr>
            <w:tcW w:w="838" w:type="dxa"/>
            <w:tcBorders>
              <w:top w:val="single" w:sz="12" w:space="0" w:color="002D5D"/>
              <w:bottom w:val="single" w:sz="4" w:space="0" w:color="002D5D"/>
            </w:tcBorders>
          </w:tcPr>
          <w:p>
            <w:pPr>
              <w:pStyle w:val="TableParagraph"/>
              <w:spacing w:before="61"/>
              <w:ind w:left="103"/>
              <w:jc w:val="center"/>
              <w:rPr>
                <w:sz w:val="18"/>
              </w:rPr>
            </w:pPr>
            <w:r>
              <w:rPr>
                <w:spacing w:val="-5"/>
                <w:sz w:val="18"/>
              </w:rPr>
              <w:t>128</w:t>
            </w:r>
          </w:p>
        </w:tc>
        <w:tc>
          <w:tcPr>
            <w:tcW w:w="1111" w:type="dxa"/>
            <w:tcBorders>
              <w:top w:val="single" w:sz="12" w:space="0" w:color="002D5D"/>
              <w:bottom w:val="single" w:sz="4" w:space="0" w:color="002D5D"/>
            </w:tcBorders>
          </w:tcPr>
          <w:p>
            <w:pPr>
              <w:pStyle w:val="TableParagraph"/>
              <w:spacing w:before="61"/>
              <w:ind w:left="290"/>
              <w:rPr>
                <w:sz w:val="18"/>
              </w:rPr>
            </w:pPr>
            <w:r>
              <w:rPr>
                <w:spacing w:val="-2"/>
                <w:sz w:val="18"/>
              </w:rPr>
              <w:t>36,36</w:t>
            </w:r>
          </w:p>
        </w:tc>
        <w:tc>
          <w:tcPr>
            <w:tcW w:w="759" w:type="dxa"/>
            <w:tcBorders>
              <w:top w:val="single" w:sz="12" w:space="0" w:color="002D5D"/>
              <w:bottom w:val="single" w:sz="4" w:space="0" w:color="002D5D"/>
            </w:tcBorders>
          </w:tcPr>
          <w:p>
            <w:pPr>
              <w:pStyle w:val="TableParagraph"/>
              <w:spacing w:before="61"/>
              <w:ind w:left="10"/>
              <w:jc w:val="center"/>
              <w:rPr>
                <w:sz w:val="18"/>
              </w:rPr>
            </w:pPr>
            <w:r>
              <w:rPr>
                <w:spacing w:val="-5"/>
                <w:sz w:val="18"/>
              </w:rPr>
              <w:t>17</w:t>
            </w:r>
          </w:p>
        </w:tc>
        <w:tc>
          <w:tcPr>
            <w:tcW w:w="880" w:type="dxa"/>
            <w:tcBorders>
              <w:top w:val="single" w:sz="12" w:space="0" w:color="002D5D"/>
              <w:bottom w:val="single" w:sz="4" w:space="0" w:color="002D5D"/>
            </w:tcBorders>
          </w:tcPr>
          <w:p>
            <w:pPr>
              <w:pStyle w:val="TableParagraph"/>
              <w:spacing w:before="61"/>
              <w:ind w:left="92" w:right="4"/>
              <w:jc w:val="center"/>
              <w:rPr>
                <w:sz w:val="18"/>
              </w:rPr>
            </w:pPr>
            <w:r>
              <w:rPr>
                <w:spacing w:val="-4"/>
                <w:sz w:val="18"/>
              </w:rPr>
              <w:t>4,83</w:t>
            </w:r>
          </w:p>
        </w:tc>
        <w:tc>
          <w:tcPr>
            <w:tcW w:w="1249" w:type="dxa"/>
            <w:tcBorders>
              <w:top w:val="single" w:sz="12" w:space="0" w:color="002D5D"/>
              <w:bottom w:val="single" w:sz="4" w:space="0" w:color="002D5D"/>
            </w:tcBorders>
          </w:tcPr>
          <w:p>
            <w:pPr>
              <w:pStyle w:val="TableParagraph"/>
              <w:spacing w:before="61"/>
              <w:ind w:left="37" w:right="1"/>
              <w:jc w:val="center"/>
              <w:rPr>
                <w:sz w:val="18"/>
              </w:rPr>
            </w:pPr>
            <w:r>
              <w:rPr>
                <w:spacing w:val="-4"/>
                <w:sz w:val="18"/>
              </w:rPr>
              <w:t>9,41</w:t>
            </w:r>
          </w:p>
        </w:tc>
      </w:tr>
      <w:tr>
        <w:trPr>
          <w:trHeight w:val="350" w:hRule="atLeast"/>
        </w:trPr>
        <w:tc>
          <w:tcPr>
            <w:tcW w:w="1430" w:type="dxa"/>
          </w:tcPr>
          <w:p>
            <w:pPr>
              <w:pStyle w:val="TableParagraph"/>
              <w:spacing w:before="88"/>
              <w:ind w:left="3" w:right="2"/>
              <w:jc w:val="center"/>
              <w:rPr>
                <w:b/>
                <w:sz w:val="18"/>
              </w:rPr>
            </w:pPr>
            <w:r>
              <w:rPr>
                <w:b/>
                <w:spacing w:val="-2"/>
                <w:sz w:val="18"/>
              </w:rPr>
              <w:t>ZARAGOZA</w:t>
            </w:r>
          </w:p>
        </w:tc>
        <w:tc>
          <w:tcPr>
            <w:tcW w:w="1181" w:type="dxa"/>
            <w:tcBorders>
              <w:top w:val="single" w:sz="4" w:space="0" w:color="1F3763"/>
              <w:bottom w:val="single" w:sz="4" w:space="0" w:color="1F3763"/>
            </w:tcBorders>
          </w:tcPr>
          <w:p>
            <w:pPr>
              <w:pStyle w:val="TableParagraph"/>
              <w:spacing w:before="80"/>
              <w:ind w:right="56"/>
              <w:jc w:val="center"/>
              <w:rPr>
                <w:sz w:val="18"/>
              </w:rPr>
            </w:pPr>
            <w:r>
              <w:rPr>
                <w:spacing w:val="-2"/>
                <w:sz w:val="18"/>
              </w:rPr>
              <w:t>31/12/2023</w:t>
            </w:r>
          </w:p>
        </w:tc>
        <w:tc>
          <w:tcPr>
            <w:tcW w:w="1208" w:type="dxa"/>
            <w:tcBorders>
              <w:top w:val="single" w:sz="4" w:space="0" w:color="002D5D"/>
              <w:bottom w:val="single" w:sz="4" w:space="0" w:color="002D5D"/>
            </w:tcBorders>
          </w:tcPr>
          <w:p>
            <w:pPr>
              <w:pStyle w:val="TableParagraph"/>
              <w:spacing w:before="80"/>
              <w:ind w:left="3" w:right="4"/>
              <w:jc w:val="center"/>
              <w:rPr>
                <w:sz w:val="18"/>
              </w:rPr>
            </w:pPr>
            <w:r>
              <w:rPr>
                <w:spacing w:val="-5"/>
                <w:sz w:val="18"/>
              </w:rPr>
              <w:t>352</w:t>
            </w:r>
          </w:p>
        </w:tc>
        <w:tc>
          <w:tcPr>
            <w:tcW w:w="838" w:type="dxa"/>
            <w:tcBorders>
              <w:top w:val="single" w:sz="4" w:space="0" w:color="002D5D"/>
              <w:bottom w:val="single" w:sz="4" w:space="0" w:color="002D5D"/>
            </w:tcBorders>
          </w:tcPr>
          <w:p>
            <w:pPr>
              <w:pStyle w:val="TableParagraph"/>
              <w:spacing w:before="80"/>
              <w:ind w:left="103"/>
              <w:jc w:val="center"/>
              <w:rPr>
                <w:sz w:val="18"/>
              </w:rPr>
            </w:pPr>
            <w:r>
              <w:rPr>
                <w:spacing w:val="-5"/>
                <w:sz w:val="18"/>
              </w:rPr>
              <w:t>170</w:t>
            </w:r>
          </w:p>
        </w:tc>
        <w:tc>
          <w:tcPr>
            <w:tcW w:w="1111" w:type="dxa"/>
            <w:tcBorders>
              <w:top w:val="single" w:sz="4" w:space="0" w:color="002D5D"/>
              <w:bottom w:val="single" w:sz="4" w:space="0" w:color="002D5D"/>
            </w:tcBorders>
          </w:tcPr>
          <w:p>
            <w:pPr>
              <w:pStyle w:val="TableParagraph"/>
              <w:spacing w:before="80"/>
              <w:ind w:left="290"/>
              <w:rPr>
                <w:sz w:val="18"/>
              </w:rPr>
            </w:pPr>
            <w:r>
              <w:rPr>
                <w:spacing w:val="-2"/>
                <w:sz w:val="18"/>
              </w:rPr>
              <w:t>48,30</w:t>
            </w:r>
          </w:p>
        </w:tc>
        <w:tc>
          <w:tcPr>
            <w:tcW w:w="759" w:type="dxa"/>
            <w:tcBorders>
              <w:top w:val="single" w:sz="4" w:space="0" w:color="002D5D"/>
              <w:bottom w:val="single" w:sz="4" w:space="0" w:color="002D5D"/>
            </w:tcBorders>
          </w:tcPr>
          <w:p>
            <w:pPr>
              <w:pStyle w:val="TableParagraph"/>
              <w:spacing w:before="80"/>
              <w:ind w:left="10"/>
              <w:jc w:val="center"/>
              <w:rPr>
                <w:sz w:val="18"/>
              </w:rPr>
            </w:pPr>
            <w:r>
              <w:rPr>
                <w:spacing w:val="-5"/>
                <w:sz w:val="18"/>
              </w:rPr>
              <w:t>59</w:t>
            </w:r>
          </w:p>
        </w:tc>
        <w:tc>
          <w:tcPr>
            <w:tcW w:w="880" w:type="dxa"/>
            <w:tcBorders>
              <w:top w:val="single" w:sz="4" w:space="0" w:color="002D5D"/>
              <w:bottom w:val="single" w:sz="4" w:space="0" w:color="002D5D"/>
            </w:tcBorders>
          </w:tcPr>
          <w:p>
            <w:pPr>
              <w:pStyle w:val="TableParagraph"/>
              <w:spacing w:before="80"/>
              <w:ind w:left="92" w:right="5"/>
              <w:jc w:val="center"/>
              <w:rPr>
                <w:sz w:val="18"/>
              </w:rPr>
            </w:pPr>
            <w:r>
              <w:rPr>
                <w:spacing w:val="-2"/>
                <w:sz w:val="18"/>
              </w:rPr>
              <w:t>16,76</w:t>
            </w:r>
          </w:p>
        </w:tc>
        <w:tc>
          <w:tcPr>
            <w:tcW w:w="1249" w:type="dxa"/>
            <w:tcBorders>
              <w:top w:val="single" w:sz="4" w:space="0" w:color="002D5D"/>
              <w:bottom w:val="single" w:sz="4" w:space="0" w:color="002D5D"/>
            </w:tcBorders>
          </w:tcPr>
          <w:p>
            <w:pPr>
              <w:pStyle w:val="TableParagraph"/>
              <w:spacing w:before="80"/>
              <w:ind w:left="37"/>
              <w:jc w:val="center"/>
              <w:rPr>
                <w:sz w:val="18"/>
              </w:rPr>
            </w:pPr>
            <w:r>
              <w:rPr>
                <w:spacing w:val="-4"/>
                <w:sz w:val="18"/>
              </w:rPr>
              <w:t>8,39</w:t>
            </w:r>
          </w:p>
        </w:tc>
      </w:tr>
      <w:tr>
        <w:trPr>
          <w:trHeight w:val="363" w:hRule="atLeast"/>
        </w:trPr>
        <w:tc>
          <w:tcPr>
            <w:tcW w:w="1430" w:type="dxa"/>
            <w:tcBorders>
              <w:bottom w:val="single" w:sz="12" w:space="0" w:color="002D5D"/>
            </w:tcBorders>
          </w:tcPr>
          <w:p>
            <w:pPr>
              <w:pStyle w:val="TableParagraph"/>
              <w:rPr>
                <w:rFonts w:ascii="Times New Roman"/>
                <w:sz w:val="16"/>
              </w:rPr>
            </w:pPr>
          </w:p>
        </w:tc>
        <w:tc>
          <w:tcPr>
            <w:tcW w:w="1181" w:type="dxa"/>
            <w:tcBorders>
              <w:top w:val="single" w:sz="4" w:space="0" w:color="1F3763"/>
              <w:bottom w:val="single" w:sz="12" w:space="0" w:color="000000"/>
            </w:tcBorders>
          </w:tcPr>
          <w:p>
            <w:pPr>
              <w:pStyle w:val="TableParagraph"/>
              <w:spacing w:before="88"/>
              <w:ind w:right="56"/>
              <w:jc w:val="center"/>
              <w:rPr>
                <w:sz w:val="18"/>
              </w:rPr>
            </w:pPr>
            <w:r>
              <w:rPr>
                <w:spacing w:val="-2"/>
                <w:sz w:val="18"/>
              </w:rPr>
              <w:t>31/12/2024</w:t>
            </w:r>
          </w:p>
        </w:tc>
        <w:tc>
          <w:tcPr>
            <w:tcW w:w="1208" w:type="dxa"/>
            <w:tcBorders>
              <w:top w:val="single" w:sz="4" w:space="0" w:color="002D5D"/>
              <w:bottom w:val="single" w:sz="12" w:space="0" w:color="002D5D"/>
            </w:tcBorders>
          </w:tcPr>
          <w:p>
            <w:pPr>
              <w:pStyle w:val="TableParagraph"/>
              <w:spacing w:before="88"/>
              <w:ind w:left="3" w:right="4"/>
              <w:jc w:val="center"/>
              <w:rPr>
                <w:sz w:val="18"/>
              </w:rPr>
            </w:pPr>
            <w:r>
              <w:rPr>
                <w:spacing w:val="-5"/>
                <w:sz w:val="18"/>
              </w:rPr>
              <w:t>359</w:t>
            </w:r>
          </w:p>
        </w:tc>
        <w:tc>
          <w:tcPr>
            <w:tcW w:w="838" w:type="dxa"/>
            <w:tcBorders>
              <w:top w:val="single" w:sz="4" w:space="0" w:color="002D5D"/>
              <w:bottom w:val="single" w:sz="12" w:space="0" w:color="002D5D"/>
            </w:tcBorders>
          </w:tcPr>
          <w:p>
            <w:pPr>
              <w:pStyle w:val="TableParagraph"/>
              <w:spacing w:before="88"/>
              <w:ind w:left="103"/>
              <w:jc w:val="center"/>
              <w:rPr>
                <w:sz w:val="18"/>
              </w:rPr>
            </w:pPr>
            <w:r>
              <w:rPr>
                <w:spacing w:val="-5"/>
                <w:sz w:val="18"/>
              </w:rPr>
              <w:t>183</w:t>
            </w:r>
          </w:p>
        </w:tc>
        <w:tc>
          <w:tcPr>
            <w:tcW w:w="1111" w:type="dxa"/>
            <w:tcBorders>
              <w:top w:val="single" w:sz="4" w:space="0" w:color="002D5D"/>
              <w:bottom w:val="single" w:sz="12" w:space="0" w:color="002D5D"/>
            </w:tcBorders>
          </w:tcPr>
          <w:p>
            <w:pPr>
              <w:pStyle w:val="TableParagraph"/>
              <w:spacing w:before="88"/>
              <w:ind w:left="290"/>
              <w:rPr>
                <w:sz w:val="18"/>
              </w:rPr>
            </w:pPr>
            <w:r>
              <w:rPr>
                <w:spacing w:val="-2"/>
                <w:sz w:val="18"/>
              </w:rPr>
              <w:t>50,97</w:t>
            </w:r>
          </w:p>
        </w:tc>
        <w:tc>
          <w:tcPr>
            <w:tcW w:w="759" w:type="dxa"/>
            <w:tcBorders>
              <w:top w:val="single" w:sz="4" w:space="0" w:color="002D5D"/>
              <w:bottom w:val="single" w:sz="12" w:space="0" w:color="002D5D"/>
            </w:tcBorders>
          </w:tcPr>
          <w:p>
            <w:pPr>
              <w:pStyle w:val="TableParagraph"/>
              <w:spacing w:before="88"/>
              <w:ind w:left="10"/>
              <w:jc w:val="center"/>
              <w:rPr>
                <w:sz w:val="18"/>
              </w:rPr>
            </w:pPr>
            <w:r>
              <w:rPr>
                <w:spacing w:val="-5"/>
                <w:sz w:val="18"/>
              </w:rPr>
              <w:t>72</w:t>
            </w:r>
          </w:p>
        </w:tc>
        <w:tc>
          <w:tcPr>
            <w:tcW w:w="880" w:type="dxa"/>
            <w:tcBorders>
              <w:top w:val="single" w:sz="4" w:space="0" w:color="002D5D"/>
              <w:bottom w:val="single" w:sz="12" w:space="0" w:color="002D5D"/>
            </w:tcBorders>
          </w:tcPr>
          <w:p>
            <w:pPr>
              <w:pStyle w:val="TableParagraph"/>
              <w:spacing w:before="88"/>
              <w:ind w:left="92" w:right="5"/>
              <w:jc w:val="center"/>
              <w:rPr>
                <w:sz w:val="18"/>
              </w:rPr>
            </w:pPr>
            <w:r>
              <w:rPr>
                <w:spacing w:val="-2"/>
                <w:sz w:val="18"/>
              </w:rPr>
              <w:t>20,06</w:t>
            </w:r>
          </w:p>
        </w:tc>
        <w:tc>
          <w:tcPr>
            <w:tcW w:w="1249" w:type="dxa"/>
            <w:tcBorders>
              <w:top w:val="single" w:sz="4" w:space="0" w:color="002D5D"/>
              <w:bottom w:val="single" w:sz="12" w:space="0" w:color="002D5D"/>
            </w:tcBorders>
          </w:tcPr>
          <w:p>
            <w:pPr>
              <w:pStyle w:val="TableParagraph"/>
              <w:spacing w:before="88"/>
              <w:ind w:left="37"/>
              <w:jc w:val="center"/>
              <w:rPr>
                <w:sz w:val="18"/>
              </w:rPr>
            </w:pPr>
            <w:r>
              <w:rPr>
                <w:spacing w:val="-4"/>
                <w:sz w:val="18"/>
              </w:rPr>
              <w:t>8,92</w:t>
            </w:r>
          </w:p>
        </w:tc>
      </w:tr>
    </w:tbl>
    <w:p>
      <w:pPr>
        <w:spacing w:before="128"/>
        <w:ind w:left="1503"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3"/>
          <w:sz w:val="18"/>
        </w:rPr>
        <w:t> </w:t>
      </w:r>
      <w:r>
        <w:rPr>
          <w:rFonts w:ascii="Arial Narrow" w:hAnsi="Arial Narrow"/>
          <w:sz w:val="18"/>
        </w:rPr>
        <w:t>a</w:t>
      </w:r>
      <w:r>
        <w:rPr>
          <w:rFonts w:ascii="Arial Narrow" w:hAnsi="Arial Narrow"/>
          <w:spacing w:val="-3"/>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2"/>
          <w:sz w:val="18"/>
        </w:rPr>
        <w:t> </w:t>
      </w:r>
      <w:r>
        <w:rPr>
          <w:rFonts w:ascii="Arial Narrow" w:hAnsi="Arial Narrow"/>
          <w:sz w:val="18"/>
        </w:rPr>
        <w:t>los</w:t>
      </w:r>
      <w:r>
        <w:rPr>
          <w:rFonts w:ascii="Arial Narrow" w:hAnsi="Arial Narrow"/>
          <w:spacing w:val="-3"/>
          <w:sz w:val="18"/>
        </w:rPr>
        <w:t> </w:t>
      </w:r>
      <w:r>
        <w:rPr>
          <w:rFonts w:ascii="Arial Narrow" w:hAnsi="Arial Narrow"/>
          <w:sz w:val="18"/>
        </w:rPr>
        <w:t>datos</w:t>
      </w:r>
      <w:r>
        <w:rPr>
          <w:rFonts w:ascii="Arial Narrow" w:hAnsi="Arial Narrow"/>
          <w:spacing w:val="-1"/>
          <w:sz w:val="18"/>
        </w:rPr>
        <w:t> </w:t>
      </w:r>
      <w:r>
        <w:rPr>
          <w:rFonts w:ascii="Arial Narrow" w:hAnsi="Arial Narrow"/>
          <w:sz w:val="18"/>
        </w:rPr>
        <w:t>facilitados</w:t>
      </w:r>
      <w:r>
        <w:rPr>
          <w:rFonts w:ascii="Arial Narrow" w:hAnsi="Arial Narrow"/>
          <w:spacing w:val="-1"/>
          <w:sz w:val="18"/>
        </w:rPr>
        <w:t> </w:t>
      </w:r>
      <w:r>
        <w:rPr>
          <w:rFonts w:ascii="Arial Narrow" w:hAnsi="Arial Narrow"/>
          <w:sz w:val="18"/>
        </w:rPr>
        <w:t>por</w:t>
      </w:r>
      <w:r>
        <w:rPr>
          <w:rFonts w:ascii="Arial Narrow" w:hAnsi="Arial Narrow"/>
          <w:spacing w:val="-2"/>
          <w:sz w:val="18"/>
        </w:rPr>
        <w:t> </w:t>
      </w:r>
      <w:r>
        <w:rPr>
          <w:rFonts w:ascii="Arial Narrow" w:hAnsi="Arial Narrow"/>
          <w:sz w:val="18"/>
        </w:rPr>
        <w:t>las</w:t>
      </w:r>
      <w:r>
        <w:rPr>
          <w:rFonts w:ascii="Arial Narrow" w:hAnsi="Arial Narrow"/>
          <w:spacing w:val="-3"/>
          <w:sz w:val="18"/>
        </w:rPr>
        <w:t> </w:t>
      </w:r>
      <w:r>
        <w:rPr>
          <w:rFonts w:ascii="Arial Narrow" w:hAnsi="Arial Narrow"/>
          <w:sz w:val="18"/>
        </w:rPr>
        <w:t>entidades</w:t>
      </w:r>
      <w:r>
        <w:rPr>
          <w:rFonts w:ascii="Arial Narrow" w:hAnsi="Arial Narrow"/>
          <w:spacing w:val="-2"/>
          <w:sz w:val="18"/>
        </w:rPr>
        <w:t> fiscalizadas.</w:t>
      </w:r>
    </w:p>
    <w:p>
      <w:pPr>
        <w:spacing w:after="0"/>
        <w:jc w:val="left"/>
        <w:rPr>
          <w:rFonts w:ascii="Arial Narrow" w:hAnsi="Arial Narrow"/>
          <w:sz w:val="18"/>
        </w:rPr>
        <w:sectPr>
          <w:headerReference w:type="default" r:id="rId101"/>
          <w:headerReference w:type="even" r:id="rId102"/>
          <w:footerReference w:type="default" r:id="rId103"/>
          <w:footerReference w:type="even" r:id="rId104"/>
          <w:pgSz w:w="11910" w:h="16840"/>
          <w:pgMar w:header="1270" w:footer="683" w:top="2800" w:bottom="880" w:left="141" w:right="141"/>
          <w:pgNumType w:start="117"/>
        </w:sectPr>
      </w:pPr>
    </w:p>
    <w:p>
      <w:pPr>
        <w:pStyle w:val="BodyText"/>
        <w:spacing w:before="125"/>
        <w:rPr>
          <w:rFonts w:ascii="Arial Narrow"/>
        </w:rPr>
      </w:pPr>
    </w:p>
    <w:p>
      <w:pPr>
        <w:pStyle w:val="Heading4"/>
        <w:ind w:left="0" w:right="1"/>
      </w:pPr>
      <w:bookmarkStart w:name="_bookmark134" w:id="136"/>
      <w:bookmarkEnd w:id="136"/>
      <w:r>
        <w:rPr>
          <w:b w:val="0"/>
        </w:rPr>
      </w:r>
      <w:bookmarkStart w:name="_bookmark135" w:id="137"/>
      <w:bookmarkEnd w:id="137"/>
      <w:r>
        <w:rPr>
          <w:b w:val="0"/>
        </w:rPr>
      </w:r>
      <w:r>
        <w:rPr/>
        <w:t>USUARIOS</w:t>
      </w:r>
      <w:r>
        <w:rPr>
          <w:spacing w:val="-9"/>
        </w:rPr>
        <w:t> </w:t>
      </w:r>
      <w:r>
        <w:rPr>
          <w:spacing w:val="-2"/>
        </w:rPr>
        <w:t>AUTOBUSES</w:t>
      </w:r>
    </w:p>
    <w:p>
      <w:pPr>
        <w:pStyle w:val="BodyText"/>
        <w:spacing w:before="6"/>
        <w:rPr>
          <w:b/>
          <w:sz w:val="19"/>
        </w:rPr>
      </w:pPr>
    </w:p>
    <w:tbl>
      <w:tblPr>
        <w:tblW w:w="0" w:type="auto"/>
        <w:jc w:val="left"/>
        <w:tblInd w:w="12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00"/>
        <w:gridCol w:w="1610"/>
        <w:gridCol w:w="1689"/>
        <w:gridCol w:w="1365"/>
        <w:gridCol w:w="1549"/>
        <w:gridCol w:w="1805"/>
      </w:tblGrid>
      <w:tr>
        <w:trPr>
          <w:trHeight w:val="370" w:hRule="atLeast"/>
        </w:trPr>
        <w:tc>
          <w:tcPr>
            <w:tcW w:w="9218" w:type="dxa"/>
            <w:gridSpan w:val="6"/>
            <w:shd w:val="clear" w:color="auto" w:fill="1F3763"/>
          </w:tcPr>
          <w:p>
            <w:pPr>
              <w:pStyle w:val="TableParagraph"/>
              <w:spacing w:before="61"/>
              <w:ind w:left="5451"/>
              <w:rPr>
                <w:b/>
                <w:sz w:val="18"/>
              </w:rPr>
            </w:pPr>
            <w:r>
              <w:rPr>
                <w:b/>
                <w:color w:val="FFFFFF"/>
                <w:spacing w:val="-2"/>
                <w:sz w:val="18"/>
              </w:rPr>
              <w:t>AUTOBUSES</w:t>
            </w:r>
          </w:p>
        </w:tc>
      </w:tr>
      <w:tr>
        <w:trPr>
          <w:trHeight w:val="644" w:hRule="atLeast"/>
        </w:trPr>
        <w:tc>
          <w:tcPr>
            <w:tcW w:w="1200" w:type="dxa"/>
            <w:shd w:val="clear" w:color="auto" w:fill="1F3763"/>
          </w:tcPr>
          <w:p>
            <w:pPr>
              <w:pStyle w:val="TableParagraph"/>
              <w:spacing w:before="34"/>
              <w:ind w:right="3"/>
              <w:jc w:val="center"/>
              <w:rPr>
                <w:b/>
                <w:sz w:val="18"/>
              </w:rPr>
            </w:pPr>
            <w:r>
              <w:rPr>
                <w:b/>
                <w:color w:val="FFFFFF"/>
                <w:spacing w:val="-2"/>
                <w:sz w:val="18"/>
              </w:rPr>
              <w:t>MUNICIPIO</w:t>
            </w:r>
          </w:p>
        </w:tc>
        <w:tc>
          <w:tcPr>
            <w:tcW w:w="1610" w:type="dxa"/>
            <w:shd w:val="clear" w:color="auto" w:fill="1F3763"/>
          </w:tcPr>
          <w:p>
            <w:pPr>
              <w:pStyle w:val="TableParagraph"/>
              <w:spacing w:before="34"/>
              <w:ind w:left="87"/>
              <w:jc w:val="center"/>
              <w:rPr>
                <w:b/>
                <w:sz w:val="18"/>
              </w:rPr>
            </w:pPr>
            <w:r>
              <w:rPr>
                <w:b/>
                <w:color w:val="FFFFFF"/>
                <w:sz w:val="18"/>
              </w:rPr>
              <w:t>SITUACIÓN</w:t>
            </w:r>
            <w:r>
              <w:rPr>
                <w:b/>
                <w:color w:val="FFFFFF"/>
                <w:spacing w:val="-2"/>
                <w:sz w:val="18"/>
              </w:rPr>
              <w:t> </w:t>
            </w:r>
            <w:r>
              <w:rPr>
                <w:b/>
                <w:color w:val="FFFFFF"/>
                <w:spacing w:val="-10"/>
                <w:sz w:val="18"/>
              </w:rPr>
              <w:t>A</w:t>
            </w:r>
          </w:p>
        </w:tc>
        <w:tc>
          <w:tcPr>
            <w:tcW w:w="1689" w:type="dxa"/>
            <w:shd w:val="clear" w:color="auto" w:fill="1F3763"/>
          </w:tcPr>
          <w:p>
            <w:pPr>
              <w:pStyle w:val="TableParagraph"/>
              <w:spacing w:before="101"/>
              <w:ind w:left="718" w:right="71" w:hanging="437"/>
              <w:rPr>
                <w:b/>
                <w:sz w:val="18"/>
              </w:rPr>
            </w:pPr>
            <w:r>
              <w:rPr>
                <w:b/>
                <w:color w:val="FFFFFF"/>
                <w:sz w:val="18"/>
              </w:rPr>
              <w:t>Nº</w:t>
            </w:r>
            <w:r>
              <w:rPr>
                <w:b/>
                <w:color w:val="FFFFFF"/>
                <w:spacing w:val="-11"/>
                <w:sz w:val="18"/>
              </w:rPr>
              <w:t> </w:t>
            </w:r>
            <w:r>
              <w:rPr>
                <w:b/>
                <w:color w:val="FFFFFF"/>
                <w:sz w:val="18"/>
              </w:rPr>
              <w:t>de</w:t>
            </w:r>
            <w:r>
              <w:rPr>
                <w:b/>
                <w:color w:val="FFFFFF"/>
                <w:spacing w:val="-10"/>
                <w:sz w:val="18"/>
              </w:rPr>
              <w:t> </w:t>
            </w:r>
            <w:r>
              <w:rPr>
                <w:b/>
                <w:color w:val="FFFFFF"/>
                <w:sz w:val="18"/>
              </w:rPr>
              <w:t>viajeros</w:t>
            </w:r>
            <w:r>
              <w:rPr>
                <w:b/>
                <w:color w:val="FFFFFF"/>
                <w:spacing w:val="-10"/>
                <w:sz w:val="18"/>
              </w:rPr>
              <w:t> </w:t>
            </w:r>
            <w:r>
              <w:rPr>
                <w:b/>
                <w:color w:val="FFFFFF"/>
                <w:sz w:val="18"/>
              </w:rPr>
              <w:t>al </w:t>
            </w:r>
            <w:r>
              <w:rPr>
                <w:b/>
                <w:color w:val="FFFFFF"/>
                <w:spacing w:val="-4"/>
                <w:sz w:val="18"/>
              </w:rPr>
              <w:t>año</w:t>
            </w:r>
          </w:p>
        </w:tc>
        <w:tc>
          <w:tcPr>
            <w:tcW w:w="1365" w:type="dxa"/>
            <w:shd w:val="clear" w:color="auto" w:fill="1F3763"/>
          </w:tcPr>
          <w:p>
            <w:pPr>
              <w:pStyle w:val="TableParagraph"/>
              <w:spacing w:before="101"/>
              <w:ind w:left="321" w:hanging="51"/>
              <w:rPr>
                <w:b/>
                <w:sz w:val="18"/>
              </w:rPr>
            </w:pPr>
            <w:r>
              <w:rPr>
                <w:b/>
                <w:color w:val="FFFFFF"/>
                <w:sz w:val="18"/>
              </w:rPr>
              <w:t>Nº</w:t>
            </w:r>
            <w:r>
              <w:rPr>
                <w:b/>
                <w:color w:val="FFFFFF"/>
                <w:spacing w:val="-11"/>
                <w:sz w:val="18"/>
              </w:rPr>
              <w:t> </w:t>
            </w:r>
            <w:r>
              <w:rPr>
                <w:b/>
                <w:color w:val="FFFFFF"/>
                <w:sz w:val="18"/>
              </w:rPr>
              <w:t>de</w:t>
            </w:r>
            <w:r>
              <w:rPr>
                <w:b/>
                <w:color w:val="FFFFFF"/>
                <w:spacing w:val="-10"/>
                <w:sz w:val="18"/>
              </w:rPr>
              <w:t> </w:t>
            </w:r>
            <w:r>
              <w:rPr>
                <w:b/>
                <w:color w:val="FFFFFF"/>
                <w:sz w:val="18"/>
              </w:rPr>
              <w:t>viajes </w:t>
            </w:r>
            <w:r>
              <w:rPr>
                <w:b/>
                <w:color w:val="FFFFFF"/>
                <w:spacing w:val="-2"/>
                <w:sz w:val="18"/>
              </w:rPr>
              <w:t>realizados</w:t>
            </w:r>
          </w:p>
        </w:tc>
        <w:tc>
          <w:tcPr>
            <w:tcW w:w="1549" w:type="dxa"/>
            <w:shd w:val="clear" w:color="auto" w:fill="1F3763"/>
          </w:tcPr>
          <w:p>
            <w:pPr>
              <w:pStyle w:val="TableParagraph"/>
              <w:spacing w:before="101"/>
              <w:ind w:left="268" w:firstLine="134"/>
              <w:rPr>
                <w:b/>
                <w:sz w:val="18"/>
              </w:rPr>
            </w:pPr>
            <w:r>
              <w:rPr>
                <w:b/>
                <w:color w:val="FFFFFF"/>
                <w:sz w:val="18"/>
              </w:rPr>
              <w:t>Nº de plazas ofertadas</w:t>
            </w:r>
            <w:r>
              <w:rPr>
                <w:b/>
                <w:color w:val="FFFFFF"/>
                <w:spacing w:val="-11"/>
                <w:sz w:val="18"/>
              </w:rPr>
              <w:t> </w:t>
            </w:r>
            <w:r>
              <w:rPr>
                <w:b/>
                <w:color w:val="FFFFFF"/>
                <w:sz w:val="18"/>
              </w:rPr>
              <w:t>al</w:t>
            </w:r>
            <w:r>
              <w:rPr>
                <w:b/>
                <w:color w:val="FFFFFF"/>
                <w:spacing w:val="-10"/>
                <w:sz w:val="18"/>
              </w:rPr>
              <w:t> </w:t>
            </w:r>
            <w:r>
              <w:rPr>
                <w:b/>
                <w:color w:val="FFFFFF"/>
                <w:sz w:val="18"/>
              </w:rPr>
              <w:t>año</w:t>
            </w:r>
          </w:p>
        </w:tc>
        <w:tc>
          <w:tcPr>
            <w:tcW w:w="1805" w:type="dxa"/>
            <w:shd w:val="clear" w:color="auto" w:fill="1F3763"/>
          </w:tcPr>
          <w:p>
            <w:pPr>
              <w:pStyle w:val="TableParagraph"/>
              <w:spacing w:before="101"/>
              <w:ind w:left="791" w:hanging="646"/>
              <w:rPr>
                <w:b/>
                <w:sz w:val="18"/>
              </w:rPr>
            </w:pPr>
            <w:r>
              <w:rPr>
                <w:b/>
                <w:color w:val="FFFFFF"/>
                <w:sz w:val="18"/>
              </w:rPr>
              <w:t>Nº</w:t>
            </w:r>
            <w:r>
              <w:rPr>
                <w:b/>
                <w:color w:val="FFFFFF"/>
                <w:spacing w:val="-11"/>
                <w:sz w:val="18"/>
              </w:rPr>
              <w:t> </w:t>
            </w:r>
            <w:r>
              <w:rPr>
                <w:b/>
                <w:color w:val="FFFFFF"/>
                <w:sz w:val="18"/>
              </w:rPr>
              <w:t>de</w:t>
            </w:r>
            <w:r>
              <w:rPr>
                <w:b/>
                <w:color w:val="FFFFFF"/>
                <w:spacing w:val="-9"/>
                <w:sz w:val="18"/>
              </w:rPr>
              <w:t> </w:t>
            </w:r>
            <w:r>
              <w:rPr>
                <w:b/>
                <w:color w:val="FFFFFF"/>
                <w:sz w:val="18"/>
              </w:rPr>
              <w:t>km</w:t>
            </w:r>
            <w:r>
              <w:rPr>
                <w:b/>
                <w:color w:val="FFFFFF"/>
                <w:spacing w:val="-9"/>
                <w:sz w:val="18"/>
              </w:rPr>
              <w:t> </w:t>
            </w:r>
            <w:r>
              <w:rPr>
                <w:b/>
                <w:color w:val="FFFFFF"/>
                <w:sz w:val="18"/>
              </w:rPr>
              <w:t>realizados</w:t>
            </w:r>
            <w:r>
              <w:rPr>
                <w:b/>
                <w:color w:val="FFFFFF"/>
                <w:spacing w:val="-10"/>
                <w:sz w:val="18"/>
              </w:rPr>
              <w:t> </w:t>
            </w:r>
            <w:r>
              <w:rPr>
                <w:b/>
                <w:color w:val="FFFFFF"/>
                <w:sz w:val="18"/>
              </w:rPr>
              <w:t>al </w:t>
            </w:r>
            <w:r>
              <w:rPr>
                <w:b/>
                <w:color w:val="FFFFFF"/>
                <w:spacing w:val="-4"/>
                <w:sz w:val="18"/>
              </w:rPr>
              <w:t>año</w:t>
            </w:r>
          </w:p>
        </w:tc>
      </w:tr>
      <w:tr>
        <w:trPr>
          <w:trHeight w:val="340" w:hRule="atLeast"/>
        </w:trPr>
        <w:tc>
          <w:tcPr>
            <w:tcW w:w="1200" w:type="dxa"/>
          </w:tcPr>
          <w:p>
            <w:pPr>
              <w:pStyle w:val="TableParagraph"/>
              <w:rPr>
                <w:rFonts w:ascii="Times New Roman"/>
                <w:sz w:val="16"/>
              </w:rPr>
            </w:pPr>
          </w:p>
        </w:tc>
        <w:tc>
          <w:tcPr>
            <w:tcW w:w="1610" w:type="dxa"/>
            <w:tcBorders>
              <w:bottom w:val="single" w:sz="4" w:space="0" w:color="1F3763"/>
            </w:tcBorders>
          </w:tcPr>
          <w:p>
            <w:pPr>
              <w:pStyle w:val="TableParagraph"/>
              <w:spacing w:before="66"/>
              <w:ind w:left="87"/>
              <w:jc w:val="center"/>
              <w:rPr>
                <w:sz w:val="18"/>
              </w:rPr>
            </w:pPr>
            <w:r>
              <w:rPr>
                <w:spacing w:val="-2"/>
                <w:sz w:val="18"/>
              </w:rPr>
              <w:t>31/12/2022</w:t>
            </w:r>
          </w:p>
        </w:tc>
        <w:tc>
          <w:tcPr>
            <w:tcW w:w="1689" w:type="dxa"/>
            <w:tcBorders>
              <w:bottom w:val="single" w:sz="4" w:space="0" w:color="1F3763"/>
            </w:tcBorders>
          </w:tcPr>
          <w:p>
            <w:pPr>
              <w:pStyle w:val="TableParagraph"/>
              <w:spacing w:before="66"/>
              <w:ind w:left="6" w:right="1"/>
              <w:jc w:val="center"/>
              <w:rPr>
                <w:sz w:val="18"/>
              </w:rPr>
            </w:pPr>
            <w:r>
              <w:rPr>
                <w:spacing w:val="-2"/>
                <w:sz w:val="18"/>
              </w:rPr>
              <w:t>15.145.301</w:t>
            </w:r>
          </w:p>
        </w:tc>
        <w:tc>
          <w:tcPr>
            <w:tcW w:w="1365" w:type="dxa"/>
            <w:tcBorders>
              <w:bottom w:val="single" w:sz="4" w:space="0" w:color="1F3763"/>
            </w:tcBorders>
          </w:tcPr>
          <w:p>
            <w:pPr>
              <w:pStyle w:val="TableParagraph"/>
              <w:spacing w:before="66"/>
              <w:ind w:left="39" w:right="41"/>
              <w:jc w:val="center"/>
              <w:rPr>
                <w:sz w:val="18"/>
              </w:rPr>
            </w:pPr>
            <w:r>
              <w:rPr>
                <w:spacing w:val="-2"/>
                <w:sz w:val="18"/>
              </w:rPr>
              <w:t>581.205</w:t>
            </w:r>
          </w:p>
        </w:tc>
        <w:tc>
          <w:tcPr>
            <w:tcW w:w="1549" w:type="dxa"/>
            <w:tcBorders>
              <w:bottom w:val="single" w:sz="4" w:space="0" w:color="1F3763"/>
            </w:tcBorders>
          </w:tcPr>
          <w:p>
            <w:pPr>
              <w:pStyle w:val="TableParagraph"/>
              <w:spacing w:before="66"/>
              <w:ind w:left="122" w:right="2"/>
              <w:jc w:val="center"/>
              <w:rPr>
                <w:sz w:val="18"/>
              </w:rPr>
            </w:pPr>
            <w:r>
              <w:rPr>
                <w:spacing w:val="-2"/>
                <w:sz w:val="18"/>
              </w:rPr>
              <w:t>52.198.168</w:t>
            </w:r>
          </w:p>
        </w:tc>
        <w:tc>
          <w:tcPr>
            <w:tcW w:w="1805" w:type="dxa"/>
            <w:tcBorders>
              <w:bottom w:val="single" w:sz="4" w:space="0" w:color="1F3763"/>
            </w:tcBorders>
          </w:tcPr>
          <w:p>
            <w:pPr>
              <w:pStyle w:val="TableParagraph"/>
              <w:spacing w:before="66"/>
              <w:ind w:left="40"/>
              <w:jc w:val="center"/>
              <w:rPr>
                <w:sz w:val="18"/>
              </w:rPr>
            </w:pPr>
            <w:r>
              <w:rPr>
                <w:spacing w:val="-2"/>
                <w:sz w:val="18"/>
              </w:rPr>
              <w:t>4.690.231</w:t>
            </w:r>
          </w:p>
        </w:tc>
      </w:tr>
      <w:tr>
        <w:trPr>
          <w:trHeight w:val="331" w:hRule="atLeast"/>
        </w:trPr>
        <w:tc>
          <w:tcPr>
            <w:tcW w:w="1200" w:type="dxa"/>
          </w:tcPr>
          <w:p>
            <w:pPr>
              <w:pStyle w:val="TableParagraph"/>
              <w:spacing w:before="57"/>
              <w:ind w:left="1" w:right="3"/>
              <w:jc w:val="center"/>
              <w:rPr>
                <w:b/>
                <w:sz w:val="18"/>
              </w:rPr>
            </w:pPr>
            <w:r>
              <w:rPr>
                <w:b/>
                <w:spacing w:val="-2"/>
                <w:sz w:val="18"/>
              </w:rPr>
              <w:t>ALICANTE</w:t>
            </w:r>
          </w:p>
        </w:tc>
        <w:tc>
          <w:tcPr>
            <w:tcW w:w="1610" w:type="dxa"/>
            <w:tcBorders>
              <w:top w:val="single" w:sz="4" w:space="0" w:color="1F3763"/>
              <w:bottom w:val="single" w:sz="4" w:space="0" w:color="1F3763"/>
            </w:tcBorders>
          </w:tcPr>
          <w:p>
            <w:pPr>
              <w:pStyle w:val="TableParagraph"/>
              <w:spacing w:before="71"/>
              <w:ind w:left="87"/>
              <w:jc w:val="center"/>
              <w:rPr>
                <w:sz w:val="18"/>
              </w:rPr>
            </w:pPr>
            <w:r>
              <w:rPr>
                <w:spacing w:val="-2"/>
                <w:sz w:val="18"/>
              </w:rPr>
              <w:t>31/12/2023</w:t>
            </w:r>
          </w:p>
        </w:tc>
        <w:tc>
          <w:tcPr>
            <w:tcW w:w="1689" w:type="dxa"/>
            <w:tcBorders>
              <w:top w:val="single" w:sz="4" w:space="0" w:color="1F3763"/>
              <w:bottom w:val="single" w:sz="4" w:space="0" w:color="1F3763"/>
            </w:tcBorders>
          </w:tcPr>
          <w:p>
            <w:pPr>
              <w:pStyle w:val="TableParagraph"/>
              <w:spacing w:before="71"/>
              <w:ind w:left="6" w:right="1"/>
              <w:jc w:val="center"/>
              <w:rPr>
                <w:sz w:val="18"/>
              </w:rPr>
            </w:pPr>
            <w:r>
              <w:rPr>
                <w:spacing w:val="-2"/>
                <w:sz w:val="18"/>
              </w:rPr>
              <w:t>19.769.799</w:t>
            </w:r>
          </w:p>
        </w:tc>
        <w:tc>
          <w:tcPr>
            <w:tcW w:w="1365" w:type="dxa"/>
            <w:tcBorders>
              <w:top w:val="single" w:sz="4" w:space="0" w:color="1F3763"/>
              <w:bottom w:val="single" w:sz="4" w:space="0" w:color="1F3763"/>
            </w:tcBorders>
          </w:tcPr>
          <w:p>
            <w:pPr>
              <w:pStyle w:val="TableParagraph"/>
              <w:spacing w:before="71"/>
              <w:ind w:left="39" w:right="41"/>
              <w:jc w:val="center"/>
              <w:rPr>
                <w:sz w:val="18"/>
              </w:rPr>
            </w:pPr>
            <w:r>
              <w:rPr>
                <w:spacing w:val="-2"/>
                <w:sz w:val="18"/>
              </w:rPr>
              <w:t>676.950</w:t>
            </w:r>
          </w:p>
        </w:tc>
        <w:tc>
          <w:tcPr>
            <w:tcW w:w="1549" w:type="dxa"/>
            <w:tcBorders>
              <w:top w:val="single" w:sz="4" w:space="0" w:color="1F3763"/>
              <w:bottom w:val="single" w:sz="4" w:space="0" w:color="1F3763"/>
            </w:tcBorders>
          </w:tcPr>
          <w:p>
            <w:pPr>
              <w:pStyle w:val="TableParagraph"/>
              <w:spacing w:before="71"/>
              <w:ind w:left="122" w:right="2"/>
              <w:jc w:val="center"/>
              <w:rPr>
                <w:sz w:val="18"/>
              </w:rPr>
            </w:pPr>
            <w:r>
              <w:rPr>
                <w:spacing w:val="-2"/>
                <w:sz w:val="18"/>
              </w:rPr>
              <w:t>61.138.210</w:t>
            </w:r>
          </w:p>
        </w:tc>
        <w:tc>
          <w:tcPr>
            <w:tcW w:w="1805" w:type="dxa"/>
            <w:tcBorders>
              <w:top w:val="single" w:sz="4" w:space="0" w:color="1F3763"/>
              <w:bottom w:val="single" w:sz="4" w:space="0" w:color="1F3763"/>
            </w:tcBorders>
          </w:tcPr>
          <w:p>
            <w:pPr>
              <w:pStyle w:val="TableParagraph"/>
              <w:spacing w:before="71"/>
              <w:ind w:left="40"/>
              <w:jc w:val="center"/>
              <w:rPr>
                <w:sz w:val="18"/>
              </w:rPr>
            </w:pPr>
            <w:r>
              <w:rPr>
                <w:spacing w:val="-2"/>
                <w:sz w:val="18"/>
              </w:rPr>
              <w:t>5.453.873</w:t>
            </w:r>
          </w:p>
        </w:tc>
      </w:tr>
      <w:tr>
        <w:trPr>
          <w:trHeight w:val="328" w:hRule="atLeast"/>
        </w:trPr>
        <w:tc>
          <w:tcPr>
            <w:tcW w:w="1200" w:type="dxa"/>
            <w:tcBorders>
              <w:bottom w:val="single" w:sz="12" w:space="0" w:color="000000"/>
            </w:tcBorders>
          </w:tcPr>
          <w:p>
            <w:pPr>
              <w:pStyle w:val="TableParagraph"/>
              <w:rPr>
                <w:rFonts w:ascii="Times New Roman"/>
                <w:sz w:val="16"/>
              </w:rPr>
            </w:pPr>
          </w:p>
        </w:tc>
        <w:tc>
          <w:tcPr>
            <w:tcW w:w="1610" w:type="dxa"/>
            <w:tcBorders>
              <w:top w:val="single" w:sz="4" w:space="0" w:color="1F3763"/>
              <w:bottom w:val="single" w:sz="12" w:space="0" w:color="1F3763"/>
            </w:tcBorders>
          </w:tcPr>
          <w:p>
            <w:pPr>
              <w:pStyle w:val="TableParagraph"/>
              <w:spacing w:before="71"/>
              <w:ind w:left="87"/>
              <w:jc w:val="center"/>
              <w:rPr>
                <w:sz w:val="18"/>
              </w:rPr>
            </w:pPr>
            <w:r>
              <w:rPr>
                <w:spacing w:val="-2"/>
                <w:sz w:val="18"/>
              </w:rPr>
              <w:t>31/12/2024</w:t>
            </w:r>
          </w:p>
        </w:tc>
        <w:tc>
          <w:tcPr>
            <w:tcW w:w="1689" w:type="dxa"/>
            <w:tcBorders>
              <w:top w:val="single" w:sz="4" w:space="0" w:color="1F3763"/>
              <w:bottom w:val="single" w:sz="12" w:space="0" w:color="1F3763"/>
            </w:tcBorders>
          </w:tcPr>
          <w:p>
            <w:pPr>
              <w:pStyle w:val="TableParagraph"/>
              <w:spacing w:before="71"/>
              <w:ind w:left="6" w:right="1"/>
              <w:jc w:val="center"/>
              <w:rPr>
                <w:sz w:val="18"/>
              </w:rPr>
            </w:pPr>
            <w:r>
              <w:rPr>
                <w:spacing w:val="-2"/>
                <w:sz w:val="18"/>
              </w:rPr>
              <w:t>23.577.961</w:t>
            </w:r>
          </w:p>
        </w:tc>
        <w:tc>
          <w:tcPr>
            <w:tcW w:w="1365" w:type="dxa"/>
            <w:tcBorders>
              <w:top w:val="single" w:sz="4" w:space="0" w:color="1F3763"/>
              <w:bottom w:val="single" w:sz="12" w:space="0" w:color="1F3763"/>
            </w:tcBorders>
          </w:tcPr>
          <w:p>
            <w:pPr>
              <w:pStyle w:val="TableParagraph"/>
              <w:spacing w:before="71"/>
              <w:ind w:left="39" w:right="41"/>
              <w:jc w:val="center"/>
              <w:rPr>
                <w:sz w:val="18"/>
              </w:rPr>
            </w:pPr>
            <w:r>
              <w:rPr>
                <w:spacing w:val="-2"/>
                <w:sz w:val="18"/>
              </w:rPr>
              <w:t>681.248</w:t>
            </w:r>
          </w:p>
        </w:tc>
        <w:tc>
          <w:tcPr>
            <w:tcW w:w="1549" w:type="dxa"/>
            <w:tcBorders>
              <w:top w:val="single" w:sz="4" w:space="0" w:color="1F3763"/>
              <w:bottom w:val="single" w:sz="12" w:space="0" w:color="1F3763"/>
            </w:tcBorders>
          </w:tcPr>
          <w:p>
            <w:pPr>
              <w:pStyle w:val="TableParagraph"/>
              <w:spacing w:before="71"/>
              <w:ind w:left="122" w:right="2"/>
              <w:jc w:val="center"/>
              <w:rPr>
                <w:sz w:val="18"/>
              </w:rPr>
            </w:pPr>
            <w:r>
              <w:rPr>
                <w:spacing w:val="-2"/>
                <w:sz w:val="18"/>
              </w:rPr>
              <w:t>60.907.921</w:t>
            </w:r>
          </w:p>
        </w:tc>
        <w:tc>
          <w:tcPr>
            <w:tcW w:w="1805" w:type="dxa"/>
            <w:tcBorders>
              <w:top w:val="single" w:sz="4" w:space="0" w:color="1F3763"/>
              <w:bottom w:val="single" w:sz="12" w:space="0" w:color="1F3763"/>
            </w:tcBorders>
          </w:tcPr>
          <w:p>
            <w:pPr>
              <w:pStyle w:val="TableParagraph"/>
              <w:spacing w:before="71"/>
              <w:ind w:left="40"/>
              <w:jc w:val="center"/>
              <w:rPr>
                <w:sz w:val="18"/>
              </w:rPr>
            </w:pPr>
            <w:r>
              <w:rPr>
                <w:spacing w:val="-2"/>
                <w:sz w:val="18"/>
              </w:rPr>
              <w:t>5.672.529</w:t>
            </w:r>
          </w:p>
        </w:tc>
      </w:tr>
      <w:tr>
        <w:trPr>
          <w:trHeight w:val="311" w:hRule="atLeast"/>
        </w:trPr>
        <w:tc>
          <w:tcPr>
            <w:tcW w:w="1200" w:type="dxa"/>
            <w:tcBorders>
              <w:top w:val="single" w:sz="12" w:space="0" w:color="000000"/>
            </w:tcBorders>
          </w:tcPr>
          <w:p>
            <w:pPr>
              <w:pStyle w:val="TableParagraph"/>
              <w:rPr>
                <w:rFonts w:ascii="Times New Roman"/>
                <w:sz w:val="16"/>
              </w:rPr>
            </w:pPr>
          </w:p>
        </w:tc>
        <w:tc>
          <w:tcPr>
            <w:tcW w:w="1610" w:type="dxa"/>
            <w:tcBorders>
              <w:top w:val="single" w:sz="12" w:space="0" w:color="1F3763"/>
              <w:bottom w:val="single" w:sz="4" w:space="0" w:color="1F3763"/>
            </w:tcBorders>
          </w:tcPr>
          <w:p>
            <w:pPr>
              <w:pStyle w:val="TableParagraph"/>
              <w:spacing w:before="51"/>
              <w:ind w:left="87"/>
              <w:jc w:val="center"/>
              <w:rPr>
                <w:sz w:val="18"/>
              </w:rPr>
            </w:pPr>
            <w:r>
              <w:rPr>
                <w:spacing w:val="-2"/>
                <w:sz w:val="18"/>
              </w:rPr>
              <w:t>31/12/2022</w:t>
            </w:r>
          </w:p>
        </w:tc>
        <w:tc>
          <w:tcPr>
            <w:tcW w:w="1689" w:type="dxa"/>
            <w:tcBorders>
              <w:top w:val="single" w:sz="12" w:space="0" w:color="1F3763"/>
              <w:bottom w:val="single" w:sz="4" w:space="0" w:color="1F3763"/>
            </w:tcBorders>
          </w:tcPr>
          <w:p>
            <w:pPr>
              <w:pStyle w:val="TableParagraph"/>
              <w:spacing w:before="51"/>
              <w:ind w:left="6"/>
              <w:jc w:val="center"/>
              <w:rPr>
                <w:sz w:val="18"/>
              </w:rPr>
            </w:pPr>
            <w:r>
              <w:rPr>
                <w:spacing w:val="-5"/>
                <w:sz w:val="18"/>
              </w:rPr>
              <w:t>N/D</w:t>
            </w:r>
          </w:p>
        </w:tc>
        <w:tc>
          <w:tcPr>
            <w:tcW w:w="1365" w:type="dxa"/>
            <w:tcBorders>
              <w:top w:val="single" w:sz="12" w:space="0" w:color="1F3763"/>
              <w:bottom w:val="single" w:sz="4" w:space="0" w:color="1F3763"/>
            </w:tcBorders>
          </w:tcPr>
          <w:p>
            <w:pPr>
              <w:pStyle w:val="TableParagraph"/>
              <w:spacing w:before="51"/>
              <w:ind w:left="39" w:right="41"/>
              <w:jc w:val="center"/>
              <w:rPr>
                <w:sz w:val="18"/>
              </w:rPr>
            </w:pPr>
            <w:r>
              <w:rPr>
                <w:spacing w:val="-2"/>
                <w:sz w:val="18"/>
              </w:rPr>
              <w:t>20.369.868</w:t>
            </w:r>
          </w:p>
        </w:tc>
        <w:tc>
          <w:tcPr>
            <w:tcW w:w="1549" w:type="dxa"/>
            <w:tcBorders>
              <w:top w:val="single" w:sz="12" w:space="0" w:color="1F3763"/>
              <w:bottom w:val="single" w:sz="4" w:space="0" w:color="1F3763"/>
            </w:tcBorders>
          </w:tcPr>
          <w:p>
            <w:pPr>
              <w:pStyle w:val="TableParagraph"/>
              <w:spacing w:before="51"/>
              <w:ind w:left="122" w:right="2"/>
              <w:jc w:val="center"/>
              <w:rPr>
                <w:sz w:val="18"/>
              </w:rPr>
            </w:pPr>
            <w:r>
              <w:rPr>
                <w:spacing w:val="-2"/>
                <w:sz w:val="18"/>
              </w:rPr>
              <w:t>97.347.677</w:t>
            </w:r>
          </w:p>
        </w:tc>
        <w:tc>
          <w:tcPr>
            <w:tcW w:w="1805" w:type="dxa"/>
            <w:tcBorders>
              <w:top w:val="single" w:sz="12" w:space="0" w:color="1F3763"/>
              <w:bottom w:val="single" w:sz="4" w:space="0" w:color="1F3763"/>
            </w:tcBorders>
          </w:tcPr>
          <w:p>
            <w:pPr>
              <w:pStyle w:val="TableParagraph"/>
              <w:spacing w:before="51"/>
              <w:ind w:left="40"/>
              <w:jc w:val="center"/>
              <w:rPr>
                <w:sz w:val="18"/>
              </w:rPr>
            </w:pPr>
            <w:r>
              <w:rPr>
                <w:spacing w:val="-2"/>
                <w:sz w:val="18"/>
              </w:rPr>
              <w:t>6.469.628</w:t>
            </w:r>
          </w:p>
        </w:tc>
      </w:tr>
      <w:tr>
        <w:trPr>
          <w:trHeight w:val="330" w:hRule="atLeast"/>
        </w:trPr>
        <w:tc>
          <w:tcPr>
            <w:tcW w:w="1200" w:type="dxa"/>
          </w:tcPr>
          <w:p>
            <w:pPr>
              <w:pStyle w:val="TableParagraph"/>
              <w:spacing w:before="71"/>
              <w:ind w:left="3" w:right="3"/>
              <w:jc w:val="center"/>
              <w:rPr>
                <w:b/>
                <w:sz w:val="18"/>
              </w:rPr>
            </w:pPr>
            <w:r>
              <w:rPr>
                <w:b/>
                <w:spacing w:val="-2"/>
                <w:sz w:val="18"/>
              </w:rPr>
              <w:t>BILBAO</w:t>
            </w:r>
          </w:p>
        </w:tc>
        <w:tc>
          <w:tcPr>
            <w:tcW w:w="1610" w:type="dxa"/>
            <w:tcBorders>
              <w:top w:val="single" w:sz="4" w:space="0" w:color="1F3763"/>
              <w:bottom w:val="single" w:sz="4" w:space="0" w:color="1F3763"/>
            </w:tcBorders>
          </w:tcPr>
          <w:p>
            <w:pPr>
              <w:pStyle w:val="TableParagraph"/>
              <w:spacing w:before="71"/>
              <w:ind w:left="87"/>
              <w:jc w:val="center"/>
              <w:rPr>
                <w:sz w:val="18"/>
              </w:rPr>
            </w:pPr>
            <w:r>
              <w:rPr>
                <w:spacing w:val="-2"/>
                <w:sz w:val="18"/>
              </w:rPr>
              <w:t>31/12/2023</w:t>
            </w:r>
          </w:p>
        </w:tc>
        <w:tc>
          <w:tcPr>
            <w:tcW w:w="1689" w:type="dxa"/>
            <w:tcBorders>
              <w:top w:val="single" w:sz="4" w:space="0" w:color="1F3763"/>
              <w:bottom w:val="single" w:sz="4" w:space="0" w:color="1F3763"/>
            </w:tcBorders>
          </w:tcPr>
          <w:p>
            <w:pPr>
              <w:pStyle w:val="TableParagraph"/>
              <w:spacing w:before="71"/>
              <w:ind w:left="6"/>
              <w:jc w:val="center"/>
              <w:rPr>
                <w:sz w:val="18"/>
              </w:rPr>
            </w:pPr>
            <w:r>
              <w:rPr>
                <w:spacing w:val="-5"/>
                <w:sz w:val="18"/>
              </w:rPr>
              <w:t>N/D</w:t>
            </w:r>
          </w:p>
        </w:tc>
        <w:tc>
          <w:tcPr>
            <w:tcW w:w="1365" w:type="dxa"/>
            <w:tcBorders>
              <w:top w:val="single" w:sz="4" w:space="0" w:color="1F3763"/>
              <w:bottom w:val="single" w:sz="4" w:space="0" w:color="1F3763"/>
            </w:tcBorders>
          </w:tcPr>
          <w:p>
            <w:pPr>
              <w:pStyle w:val="TableParagraph"/>
              <w:spacing w:before="71"/>
              <w:ind w:left="39" w:right="41"/>
              <w:jc w:val="center"/>
              <w:rPr>
                <w:sz w:val="18"/>
              </w:rPr>
            </w:pPr>
            <w:r>
              <w:rPr>
                <w:spacing w:val="-2"/>
                <w:sz w:val="18"/>
              </w:rPr>
              <w:t>25.210.911</w:t>
            </w:r>
          </w:p>
        </w:tc>
        <w:tc>
          <w:tcPr>
            <w:tcW w:w="1549" w:type="dxa"/>
            <w:tcBorders>
              <w:top w:val="single" w:sz="4" w:space="0" w:color="1F3763"/>
              <w:bottom w:val="single" w:sz="4" w:space="0" w:color="1F3763"/>
            </w:tcBorders>
          </w:tcPr>
          <w:p>
            <w:pPr>
              <w:pStyle w:val="TableParagraph"/>
              <w:spacing w:before="71"/>
              <w:ind w:left="122" w:right="2"/>
              <w:jc w:val="center"/>
              <w:rPr>
                <w:sz w:val="18"/>
              </w:rPr>
            </w:pPr>
            <w:r>
              <w:rPr>
                <w:spacing w:val="-2"/>
                <w:sz w:val="18"/>
              </w:rPr>
              <w:t>96.918.330</w:t>
            </w:r>
          </w:p>
        </w:tc>
        <w:tc>
          <w:tcPr>
            <w:tcW w:w="1805" w:type="dxa"/>
            <w:tcBorders>
              <w:top w:val="single" w:sz="4" w:space="0" w:color="1F3763"/>
              <w:bottom w:val="single" w:sz="4" w:space="0" w:color="1F3763"/>
            </w:tcBorders>
          </w:tcPr>
          <w:p>
            <w:pPr>
              <w:pStyle w:val="TableParagraph"/>
              <w:spacing w:before="71"/>
              <w:ind w:left="40"/>
              <w:jc w:val="center"/>
              <w:rPr>
                <w:sz w:val="18"/>
              </w:rPr>
            </w:pPr>
            <w:r>
              <w:rPr>
                <w:spacing w:val="-2"/>
                <w:sz w:val="18"/>
              </w:rPr>
              <w:t>6.394.589</w:t>
            </w:r>
          </w:p>
        </w:tc>
      </w:tr>
      <w:tr>
        <w:trPr>
          <w:trHeight w:val="328" w:hRule="atLeast"/>
        </w:trPr>
        <w:tc>
          <w:tcPr>
            <w:tcW w:w="1200" w:type="dxa"/>
            <w:tcBorders>
              <w:bottom w:val="single" w:sz="12" w:space="0" w:color="000000"/>
            </w:tcBorders>
          </w:tcPr>
          <w:p>
            <w:pPr>
              <w:pStyle w:val="TableParagraph"/>
              <w:rPr>
                <w:rFonts w:ascii="Times New Roman"/>
                <w:sz w:val="16"/>
              </w:rPr>
            </w:pPr>
          </w:p>
        </w:tc>
        <w:tc>
          <w:tcPr>
            <w:tcW w:w="1610" w:type="dxa"/>
            <w:tcBorders>
              <w:top w:val="single" w:sz="4" w:space="0" w:color="1F3763"/>
              <w:bottom w:val="single" w:sz="12" w:space="0" w:color="000000"/>
            </w:tcBorders>
          </w:tcPr>
          <w:p>
            <w:pPr>
              <w:pStyle w:val="TableParagraph"/>
              <w:spacing w:before="71"/>
              <w:ind w:left="87"/>
              <w:jc w:val="center"/>
              <w:rPr>
                <w:sz w:val="18"/>
              </w:rPr>
            </w:pPr>
            <w:r>
              <w:rPr>
                <w:spacing w:val="-2"/>
                <w:sz w:val="18"/>
              </w:rPr>
              <w:t>31/12/2024</w:t>
            </w:r>
          </w:p>
        </w:tc>
        <w:tc>
          <w:tcPr>
            <w:tcW w:w="1689" w:type="dxa"/>
            <w:tcBorders>
              <w:top w:val="single" w:sz="4" w:space="0" w:color="1F3763"/>
              <w:bottom w:val="single" w:sz="12" w:space="0" w:color="000000"/>
            </w:tcBorders>
          </w:tcPr>
          <w:p>
            <w:pPr>
              <w:pStyle w:val="TableParagraph"/>
              <w:spacing w:before="71"/>
              <w:ind w:left="6"/>
              <w:jc w:val="center"/>
              <w:rPr>
                <w:sz w:val="18"/>
              </w:rPr>
            </w:pPr>
            <w:r>
              <w:rPr>
                <w:spacing w:val="-5"/>
                <w:sz w:val="18"/>
              </w:rPr>
              <w:t>N/D</w:t>
            </w:r>
          </w:p>
        </w:tc>
        <w:tc>
          <w:tcPr>
            <w:tcW w:w="1365" w:type="dxa"/>
            <w:tcBorders>
              <w:top w:val="single" w:sz="4" w:space="0" w:color="1F3763"/>
              <w:bottom w:val="single" w:sz="12" w:space="0" w:color="000000"/>
            </w:tcBorders>
          </w:tcPr>
          <w:p>
            <w:pPr>
              <w:pStyle w:val="TableParagraph"/>
              <w:spacing w:before="71"/>
              <w:ind w:left="39" w:right="41"/>
              <w:jc w:val="center"/>
              <w:rPr>
                <w:sz w:val="18"/>
              </w:rPr>
            </w:pPr>
            <w:r>
              <w:rPr>
                <w:spacing w:val="-2"/>
                <w:sz w:val="18"/>
              </w:rPr>
              <w:t>22.971.773</w:t>
            </w:r>
          </w:p>
        </w:tc>
        <w:tc>
          <w:tcPr>
            <w:tcW w:w="1549" w:type="dxa"/>
            <w:tcBorders>
              <w:top w:val="single" w:sz="4" w:space="0" w:color="1F3763"/>
              <w:bottom w:val="single" w:sz="12" w:space="0" w:color="000000"/>
            </w:tcBorders>
          </w:tcPr>
          <w:p>
            <w:pPr>
              <w:pStyle w:val="TableParagraph"/>
              <w:spacing w:before="71"/>
              <w:ind w:left="122" w:right="2"/>
              <w:jc w:val="center"/>
              <w:rPr>
                <w:sz w:val="18"/>
              </w:rPr>
            </w:pPr>
            <w:r>
              <w:rPr>
                <w:spacing w:val="-2"/>
                <w:sz w:val="18"/>
              </w:rPr>
              <w:t>84.435.142</w:t>
            </w:r>
          </w:p>
        </w:tc>
        <w:tc>
          <w:tcPr>
            <w:tcW w:w="1805" w:type="dxa"/>
            <w:tcBorders>
              <w:top w:val="single" w:sz="4" w:space="0" w:color="1F3763"/>
              <w:bottom w:val="single" w:sz="12" w:space="0" w:color="000000"/>
            </w:tcBorders>
          </w:tcPr>
          <w:p>
            <w:pPr>
              <w:pStyle w:val="TableParagraph"/>
              <w:spacing w:before="71"/>
              <w:ind w:left="40"/>
              <w:jc w:val="center"/>
              <w:rPr>
                <w:sz w:val="18"/>
              </w:rPr>
            </w:pPr>
            <w:r>
              <w:rPr>
                <w:spacing w:val="-2"/>
                <w:sz w:val="18"/>
              </w:rPr>
              <w:t>5.548.267</w:t>
            </w:r>
          </w:p>
        </w:tc>
      </w:tr>
      <w:tr>
        <w:trPr>
          <w:trHeight w:val="311" w:hRule="atLeast"/>
        </w:trPr>
        <w:tc>
          <w:tcPr>
            <w:tcW w:w="1200" w:type="dxa"/>
            <w:tcBorders>
              <w:top w:val="single" w:sz="12" w:space="0" w:color="000000"/>
            </w:tcBorders>
          </w:tcPr>
          <w:p>
            <w:pPr>
              <w:pStyle w:val="TableParagraph"/>
              <w:rPr>
                <w:rFonts w:ascii="Times New Roman"/>
                <w:sz w:val="16"/>
              </w:rPr>
            </w:pPr>
          </w:p>
        </w:tc>
        <w:tc>
          <w:tcPr>
            <w:tcW w:w="1610" w:type="dxa"/>
            <w:tcBorders>
              <w:top w:val="single" w:sz="12" w:space="0" w:color="000000"/>
              <w:bottom w:val="single" w:sz="4" w:space="0" w:color="1F3763"/>
            </w:tcBorders>
          </w:tcPr>
          <w:p>
            <w:pPr>
              <w:pStyle w:val="TableParagraph"/>
              <w:spacing w:before="51"/>
              <w:ind w:left="87"/>
              <w:jc w:val="center"/>
              <w:rPr>
                <w:sz w:val="18"/>
              </w:rPr>
            </w:pPr>
            <w:r>
              <w:rPr>
                <w:spacing w:val="-2"/>
                <w:sz w:val="18"/>
              </w:rPr>
              <w:t>31/12/2022</w:t>
            </w:r>
          </w:p>
        </w:tc>
        <w:tc>
          <w:tcPr>
            <w:tcW w:w="1689" w:type="dxa"/>
            <w:tcBorders>
              <w:top w:val="single" w:sz="12" w:space="0" w:color="000000"/>
              <w:bottom w:val="single" w:sz="4" w:space="0" w:color="1F3763"/>
            </w:tcBorders>
          </w:tcPr>
          <w:p>
            <w:pPr>
              <w:pStyle w:val="TableParagraph"/>
              <w:spacing w:before="51"/>
              <w:ind w:left="6" w:right="1"/>
              <w:jc w:val="center"/>
              <w:rPr>
                <w:sz w:val="18"/>
              </w:rPr>
            </w:pPr>
            <w:r>
              <w:rPr>
                <w:spacing w:val="-2"/>
                <w:sz w:val="18"/>
              </w:rPr>
              <w:t>16.428.285</w:t>
            </w:r>
          </w:p>
        </w:tc>
        <w:tc>
          <w:tcPr>
            <w:tcW w:w="1365" w:type="dxa"/>
            <w:tcBorders>
              <w:top w:val="single" w:sz="12" w:space="0" w:color="000000"/>
              <w:bottom w:val="single" w:sz="4" w:space="0" w:color="1F3763"/>
            </w:tcBorders>
          </w:tcPr>
          <w:p>
            <w:pPr>
              <w:pStyle w:val="TableParagraph"/>
              <w:spacing w:before="51"/>
              <w:ind w:left="39" w:right="41"/>
              <w:jc w:val="center"/>
              <w:rPr>
                <w:sz w:val="18"/>
              </w:rPr>
            </w:pPr>
            <w:r>
              <w:rPr>
                <w:spacing w:val="-2"/>
                <w:sz w:val="18"/>
              </w:rPr>
              <w:t>337.738</w:t>
            </w:r>
          </w:p>
        </w:tc>
        <w:tc>
          <w:tcPr>
            <w:tcW w:w="1549" w:type="dxa"/>
            <w:tcBorders>
              <w:top w:val="single" w:sz="12" w:space="0" w:color="000000"/>
              <w:bottom w:val="single" w:sz="4" w:space="0" w:color="1F3763"/>
            </w:tcBorders>
          </w:tcPr>
          <w:p>
            <w:pPr>
              <w:pStyle w:val="TableParagraph"/>
              <w:spacing w:before="51"/>
              <w:ind w:left="122" w:right="2"/>
              <w:jc w:val="center"/>
              <w:rPr>
                <w:sz w:val="18"/>
              </w:rPr>
            </w:pPr>
            <w:r>
              <w:rPr>
                <w:spacing w:val="-2"/>
                <w:sz w:val="18"/>
              </w:rPr>
              <w:t>61.015.724</w:t>
            </w:r>
          </w:p>
        </w:tc>
        <w:tc>
          <w:tcPr>
            <w:tcW w:w="1805" w:type="dxa"/>
            <w:tcBorders>
              <w:top w:val="single" w:sz="12" w:space="0" w:color="000000"/>
              <w:bottom w:val="single" w:sz="4" w:space="0" w:color="1F3763"/>
            </w:tcBorders>
          </w:tcPr>
          <w:p>
            <w:pPr>
              <w:pStyle w:val="TableParagraph"/>
              <w:spacing w:before="51"/>
              <w:ind w:left="40"/>
              <w:jc w:val="center"/>
              <w:rPr>
                <w:sz w:val="18"/>
              </w:rPr>
            </w:pPr>
            <w:r>
              <w:rPr>
                <w:spacing w:val="-2"/>
                <w:sz w:val="18"/>
              </w:rPr>
              <w:t>5.924.093</w:t>
            </w:r>
          </w:p>
        </w:tc>
      </w:tr>
      <w:tr>
        <w:trPr>
          <w:trHeight w:val="330" w:hRule="atLeast"/>
        </w:trPr>
        <w:tc>
          <w:tcPr>
            <w:tcW w:w="1200" w:type="dxa"/>
          </w:tcPr>
          <w:p>
            <w:pPr>
              <w:pStyle w:val="TableParagraph"/>
              <w:spacing w:before="71"/>
              <w:ind w:left="2" w:right="3"/>
              <w:jc w:val="center"/>
              <w:rPr>
                <w:b/>
                <w:sz w:val="18"/>
              </w:rPr>
            </w:pPr>
            <w:r>
              <w:rPr>
                <w:b/>
                <w:spacing w:val="-2"/>
                <w:sz w:val="18"/>
              </w:rPr>
              <w:t>CÓRDOBA</w:t>
            </w:r>
          </w:p>
        </w:tc>
        <w:tc>
          <w:tcPr>
            <w:tcW w:w="1610" w:type="dxa"/>
            <w:tcBorders>
              <w:top w:val="single" w:sz="4" w:space="0" w:color="1F3763"/>
              <w:bottom w:val="single" w:sz="4" w:space="0" w:color="1F3763"/>
            </w:tcBorders>
          </w:tcPr>
          <w:p>
            <w:pPr>
              <w:pStyle w:val="TableParagraph"/>
              <w:spacing w:before="71"/>
              <w:ind w:left="87"/>
              <w:jc w:val="center"/>
              <w:rPr>
                <w:sz w:val="18"/>
              </w:rPr>
            </w:pPr>
            <w:r>
              <w:rPr>
                <w:spacing w:val="-2"/>
                <w:sz w:val="18"/>
              </w:rPr>
              <w:t>31/12/2023</w:t>
            </w:r>
          </w:p>
        </w:tc>
        <w:tc>
          <w:tcPr>
            <w:tcW w:w="1689" w:type="dxa"/>
            <w:tcBorders>
              <w:top w:val="single" w:sz="4" w:space="0" w:color="1F3763"/>
              <w:bottom w:val="single" w:sz="4" w:space="0" w:color="1F3763"/>
            </w:tcBorders>
          </w:tcPr>
          <w:p>
            <w:pPr>
              <w:pStyle w:val="TableParagraph"/>
              <w:spacing w:before="71"/>
              <w:ind w:left="6" w:right="1"/>
              <w:jc w:val="center"/>
              <w:rPr>
                <w:sz w:val="18"/>
              </w:rPr>
            </w:pPr>
            <w:r>
              <w:rPr>
                <w:spacing w:val="-2"/>
                <w:sz w:val="18"/>
              </w:rPr>
              <w:t>20.119.686</w:t>
            </w:r>
          </w:p>
        </w:tc>
        <w:tc>
          <w:tcPr>
            <w:tcW w:w="1365" w:type="dxa"/>
            <w:tcBorders>
              <w:top w:val="single" w:sz="4" w:space="0" w:color="1F3763"/>
              <w:bottom w:val="single" w:sz="4" w:space="0" w:color="1F3763"/>
            </w:tcBorders>
          </w:tcPr>
          <w:p>
            <w:pPr>
              <w:pStyle w:val="TableParagraph"/>
              <w:spacing w:before="71"/>
              <w:ind w:left="39" w:right="41"/>
              <w:jc w:val="center"/>
              <w:rPr>
                <w:sz w:val="18"/>
              </w:rPr>
            </w:pPr>
            <w:r>
              <w:rPr>
                <w:spacing w:val="-2"/>
                <w:sz w:val="18"/>
              </w:rPr>
              <w:t>338.119</w:t>
            </w:r>
          </w:p>
        </w:tc>
        <w:tc>
          <w:tcPr>
            <w:tcW w:w="1549" w:type="dxa"/>
            <w:tcBorders>
              <w:top w:val="single" w:sz="4" w:space="0" w:color="1F3763"/>
              <w:bottom w:val="single" w:sz="4" w:space="0" w:color="1F3763"/>
            </w:tcBorders>
          </w:tcPr>
          <w:p>
            <w:pPr>
              <w:pStyle w:val="TableParagraph"/>
              <w:spacing w:before="71"/>
              <w:ind w:left="122" w:right="2"/>
              <w:jc w:val="center"/>
              <w:rPr>
                <w:sz w:val="18"/>
              </w:rPr>
            </w:pPr>
            <w:r>
              <w:rPr>
                <w:spacing w:val="-2"/>
                <w:sz w:val="18"/>
              </w:rPr>
              <w:t>61.352.710</w:t>
            </w:r>
          </w:p>
        </w:tc>
        <w:tc>
          <w:tcPr>
            <w:tcW w:w="1805" w:type="dxa"/>
            <w:tcBorders>
              <w:top w:val="single" w:sz="4" w:space="0" w:color="1F3763"/>
              <w:bottom w:val="single" w:sz="4" w:space="0" w:color="1F3763"/>
            </w:tcBorders>
          </w:tcPr>
          <w:p>
            <w:pPr>
              <w:pStyle w:val="TableParagraph"/>
              <w:spacing w:before="71"/>
              <w:ind w:left="40"/>
              <w:jc w:val="center"/>
              <w:rPr>
                <w:sz w:val="18"/>
              </w:rPr>
            </w:pPr>
            <w:r>
              <w:rPr>
                <w:spacing w:val="-2"/>
                <w:sz w:val="18"/>
              </w:rPr>
              <w:t>5.971.669</w:t>
            </w:r>
          </w:p>
        </w:tc>
      </w:tr>
      <w:tr>
        <w:trPr>
          <w:trHeight w:val="328" w:hRule="atLeast"/>
        </w:trPr>
        <w:tc>
          <w:tcPr>
            <w:tcW w:w="1200" w:type="dxa"/>
            <w:tcBorders>
              <w:bottom w:val="single" w:sz="12" w:space="0" w:color="000000"/>
            </w:tcBorders>
          </w:tcPr>
          <w:p>
            <w:pPr>
              <w:pStyle w:val="TableParagraph"/>
              <w:rPr>
                <w:rFonts w:ascii="Times New Roman"/>
                <w:sz w:val="16"/>
              </w:rPr>
            </w:pPr>
          </w:p>
        </w:tc>
        <w:tc>
          <w:tcPr>
            <w:tcW w:w="1610" w:type="dxa"/>
            <w:tcBorders>
              <w:top w:val="single" w:sz="4" w:space="0" w:color="1F3763"/>
              <w:bottom w:val="single" w:sz="12" w:space="0" w:color="000000"/>
            </w:tcBorders>
          </w:tcPr>
          <w:p>
            <w:pPr>
              <w:pStyle w:val="TableParagraph"/>
              <w:spacing w:before="71"/>
              <w:ind w:left="87"/>
              <w:jc w:val="center"/>
              <w:rPr>
                <w:sz w:val="18"/>
              </w:rPr>
            </w:pPr>
            <w:r>
              <w:rPr>
                <w:spacing w:val="-2"/>
                <w:sz w:val="18"/>
              </w:rPr>
              <w:t>31/12/2024</w:t>
            </w:r>
          </w:p>
        </w:tc>
        <w:tc>
          <w:tcPr>
            <w:tcW w:w="1689" w:type="dxa"/>
            <w:tcBorders>
              <w:top w:val="single" w:sz="4" w:space="0" w:color="1F3763"/>
              <w:bottom w:val="single" w:sz="12" w:space="0" w:color="000000"/>
            </w:tcBorders>
          </w:tcPr>
          <w:p>
            <w:pPr>
              <w:pStyle w:val="TableParagraph"/>
              <w:spacing w:before="71"/>
              <w:ind w:left="6" w:right="1"/>
              <w:jc w:val="center"/>
              <w:rPr>
                <w:sz w:val="18"/>
              </w:rPr>
            </w:pPr>
            <w:r>
              <w:rPr>
                <w:spacing w:val="-2"/>
                <w:sz w:val="18"/>
              </w:rPr>
              <w:t>22.065.145</w:t>
            </w:r>
          </w:p>
        </w:tc>
        <w:tc>
          <w:tcPr>
            <w:tcW w:w="1365" w:type="dxa"/>
            <w:tcBorders>
              <w:top w:val="single" w:sz="4" w:space="0" w:color="1F3763"/>
              <w:bottom w:val="single" w:sz="12" w:space="0" w:color="000000"/>
            </w:tcBorders>
          </w:tcPr>
          <w:p>
            <w:pPr>
              <w:pStyle w:val="TableParagraph"/>
              <w:spacing w:before="71"/>
              <w:ind w:left="39" w:right="41"/>
              <w:jc w:val="center"/>
              <w:rPr>
                <w:sz w:val="18"/>
              </w:rPr>
            </w:pPr>
            <w:r>
              <w:rPr>
                <w:spacing w:val="-2"/>
                <w:sz w:val="18"/>
              </w:rPr>
              <w:t>339.908</w:t>
            </w:r>
          </w:p>
        </w:tc>
        <w:tc>
          <w:tcPr>
            <w:tcW w:w="1549" w:type="dxa"/>
            <w:tcBorders>
              <w:top w:val="single" w:sz="4" w:space="0" w:color="1F3763"/>
              <w:bottom w:val="single" w:sz="12" w:space="0" w:color="000000"/>
            </w:tcBorders>
          </w:tcPr>
          <w:p>
            <w:pPr>
              <w:pStyle w:val="TableParagraph"/>
              <w:spacing w:before="71"/>
              <w:ind w:left="122" w:right="2"/>
              <w:jc w:val="center"/>
              <w:rPr>
                <w:sz w:val="18"/>
              </w:rPr>
            </w:pPr>
            <w:r>
              <w:rPr>
                <w:spacing w:val="-2"/>
                <w:sz w:val="18"/>
              </w:rPr>
              <w:t>61.727.293</w:t>
            </w:r>
          </w:p>
        </w:tc>
        <w:tc>
          <w:tcPr>
            <w:tcW w:w="1805" w:type="dxa"/>
            <w:tcBorders>
              <w:top w:val="single" w:sz="4" w:space="0" w:color="1F3763"/>
              <w:bottom w:val="single" w:sz="12" w:space="0" w:color="000000"/>
            </w:tcBorders>
          </w:tcPr>
          <w:p>
            <w:pPr>
              <w:pStyle w:val="TableParagraph"/>
              <w:spacing w:before="71"/>
              <w:ind w:left="40"/>
              <w:jc w:val="center"/>
              <w:rPr>
                <w:sz w:val="18"/>
              </w:rPr>
            </w:pPr>
            <w:r>
              <w:rPr>
                <w:spacing w:val="-2"/>
                <w:sz w:val="18"/>
              </w:rPr>
              <w:t>6.008.876</w:t>
            </w:r>
          </w:p>
        </w:tc>
      </w:tr>
      <w:tr>
        <w:trPr>
          <w:trHeight w:val="301" w:hRule="atLeast"/>
        </w:trPr>
        <w:tc>
          <w:tcPr>
            <w:tcW w:w="1200" w:type="dxa"/>
            <w:vMerge w:val="restart"/>
            <w:tcBorders>
              <w:top w:val="single" w:sz="12" w:space="0" w:color="000000"/>
              <w:bottom w:val="single" w:sz="12" w:space="0" w:color="000000"/>
            </w:tcBorders>
          </w:tcPr>
          <w:p>
            <w:pPr>
              <w:pStyle w:val="TableParagraph"/>
              <w:spacing w:before="186"/>
              <w:ind w:left="259" w:right="112" w:hanging="140"/>
              <w:rPr>
                <w:b/>
                <w:sz w:val="18"/>
              </w:rPr>
            </w:pPr>
            <w:r>
              <w:rPr>
                <w:b/>
                <w:sz w:val="18"/>
              </w:rPr>
              <w:t>LAS</w:t>
            </w:r>
            <w:r>
              <w:rPr>
                <w:b/>
                <w:spacing w:val="-11"/>
                <w:sz w:val="18"/>
              </w:rPr>
              <w:t> </w:t>
            </w:r>
            <w:r>
              <w:rPr>
                <w:b/>
                <w:sz w:val="18"/>
              </w:rPr>
              <w:t>PALMAS DE GRAN </w:t>
            </w:r>
            <w:r>
              <w:rPr>
                <w:b/>
                <w:spacing w:val="-2"/>
                <w:sz w:val="18"/>
              </w:rPr>
              <w:t>CANARIA</w:t>
            </w:r>
          </w:p>
        </w:tc>
        <w:tc>
          <w:tcPr>
            <w:tcW w:w="1610" w:type="dxa"/>
            <w:tcBorders>
              <w:top w:val="single" w:sz="12" w:space="0" w:color="000000"/>
              <w:bottom w:val="single" w:sz="4" w:space="0" w:color="1F3763"/>
            </w:tcBorders>
          </w:tcPr>
          <w:p>
            <w:pPr>
              <w:pStyle w:val="TableParagraph"/>
              <w:spacing w:before="51"/>
              <w:ind w:left="87"/>
              <w:jc w:val="center"/>
              <w:rPr>
                <w:sz w:val="18"/>
              </w:rPr>
            </w:pPr>
            <w:r>
              <w:rPr>
                <w:spacing w:val="-2"/>
                <w:sz w:val="18"/>
              </w:rPr>
              <w:t>31/12/2022</w:t>
            </w:r>
          </w:p>
        </w:tc>
        <w:tc>
          <w:tcPr>
            <w:tcW w:w="1689" w:type="dxa"/>
            <w:tcBorders>
              <w:top w:val="single" w:sz="12" w:space="0" w:color="000000"/>
              <w:bottom w:val="single" w:sz="4" w:space="0" w:color="1F3763"/>
            </w:tcBorders>
          </w:tcPr>
          <w:p>
            <w:pPr>
              <w:pStyle w:val="TableParagraph"/>
              <w:spacing w:before="51"/>
              <w:ind w:left="6" w:right="1"/>
              <w:jc w:val="center"/>
              <w:rPr>
                <w:sz w:val="18"/>
              </w:rPr>
            </w:pPr>
            <w:r>
              <w:rPr>
                <w:spacing w:val="-2"/>
                <w:sz w:val="18"/>
              </w:rPr>
              <w:t>35.225.423</w:t>
            </w:r>
          </w:p>
        </w:tc>
        <w:tc>
          <w:tcPr>
            <w:tcW w:w="1365" w:type="dxa"/>
            <w:tcBorders>
              <w:top w:val="single" w:sz="12" w:space="0" w:color="000000"/>
              <w:bottom w:val="single" w:sz="4" w:space="0" w:color="1F3763"/>
            </w:tcBorders>
          </w:tcPr>
          <w:p>
            <w:pPr>
              <w:pStyle w:val="TableParagraph"/>
              <w:spacing w:before="51"/>
              <w:ind w:left="39" w:right="41"/>
              <w:jc w:val="center"/>
              <w:rPr>
                <w:sz w:val="18"/>
              </w:rPr>
            </w:pPr>
            <w:r>
              <w:rPr>
                <w:spacing w:val="-2"/>
                <w:sz w:val="18"/>
              </w:rPr>
              <w:t>1.132.902</w:t>
            </w:r>
          </w:p>
        </w:tc>
        <w:tc>
          <w:tcPr>
            <w:tcW w:w="1549" w:type="dxa"/>
            <w:tcBorders>
              <w:top w:val="single" w:sz="12" w:space="0" w:color="000000"/>
              <w:bottom w:val="single" w:sz="4" w:space="0" w:color="1F3763"/>
            </w:tcBorders>
          </w:tcPr>
          <w:p>
            <w:pPr>
              <w:pStyle w:val="TableParagraph"/>
              <w:spacing w:before="51"/>
              <w:ind w:left="122" w:right="3"/>
              <w:jc w:val="center"/>
              <w:rPr>
                <w:sz w:val="18"/>
              </w:rPr>
            </w:pPr>
            <w:r>
              <w:rPr>
                <w:spacing w:val="-2"/>
                <w:sz w:val="18"/>
              </w:rPr>
              <w:t>111.925.078</w:t>
            </w:r>
          </w:p>
        </w:tc>
        <w:tc>
          <w:tcPr>
            <w:tcW w:w="1805" w:type="dxa"/>
            <w:tcBorders>
              <w:top w:val="single" w:sz="12" w:space="0" w:color="000000"/>
              <w:bottom w:val="single" w:sz="4" w:space="0" w:color="1F3763"/>
            </w:tcBorders>
          </w:tcPr>
          <w:p>
            <w:pPr>
              <w:pStyle w:val="TableParagraph"/>
              <w:spacing w:before="51"/>
              <w:ind w:left="40"/>
              <w:jc w:val="center"/>
              <w:rPr>
                <w:sz w:val="18"/>
              </w:rPr>
            </w:pPr>
            <w:r>
              <w:rPr>
                <w:spacing w:val="-2"/>
                <w:sz w:val="18"/>
              </w:rPr>
              <w:t>11.045.703</w:t>
            </w:r>
          </w:p>
        </w:tc>
      </w:tr>
      <w:tr>
        <w:trPr>
          <w:trHeight w:val="310" w:hRule="atLeast"/>
        </w:trPr>
        <w:tc>
          <w:tcPr>
            <w:tcW w:w="1200" w:type="dxa"/>
            <w:vMerge/>
            <w:tcBorders>
              <w:top w:val="nil"/>
              <w:bottom w:val="single" w:sz="12" w:space="0" w:color="000000"/>
            </w:tcBorders>
          </w:tcPr>
          <w:p>
            <w:pPr>
              <w:rPr>
                <w:sz w:val="2"/>
                <w:szCs w:val="2"/>
              </w:rPr>
            </w:pPr>
          </w:p>
        </w:tc>
        <w:tc>
          <w:tcPr>
            <w:tcW w:w="1610" w:type="dxa"/>
            <w:tcBorders>
              <w:top w:val="single" w:sz="4" w:space="0" w:color="1F3763"/>
              <w:bottom w:val="single" w:sz="4" w:space="0" w:color="1F3763"/>
            </w:tcBorders>
          </w:tcPr>
          <w:p>
            <w:pPr>
              <w:pStyle w:val="TableParagraph"/>
              <w:spacing w:before="61"/>
              <w:ind w:left="87"/>
              <w:jc w:val="center"/>
              <w:rPr>
                <w:sz w:val="18"/>
              </w:rPr>
            </w:pPr>
            <w:r>
              <w:rPr>
                <w:spacing w:val="-2"/>
                <w:sz w:val="18"/>
              </w:rPr>
              <w:t>31/12/2023</w:t>
            </w:r>
          </w:p>
        </w:tc>
        <w:tc>
          <w:tcPr>
            <w:tcW w:w="1689" w:type="dxa"/>
            <w:tcBorders>
              <w:top w:val="single" w:sz="4" w:space="0" w:color="1F3763"/>
              <w:bottom w:val="single" w:sz="4" w:space="0" w:color="1F3763"/>
            </w:tcBorders>
          </w:tcPr>
          <w:p>
            <w:pPr>
              <w:pStyle w:val="TableParagraph"/>
              <w:spacing w:before="61"/>
              <w:ind w:left="6" w:right="1"/>
              <w:jc w:val="center"/>
              <w:rPr>
                <w:sz w:val="18"/>
              </w:rPr>
            </w:pPr>
            <w:r>
              <w:rPr>
                <w:spacing w:val="-2"/>
                <w:sz w:val="18"/>
              </w:rPr>
              <w:t>47.975.942</w:t>
            </w:r>
          </w:p>
        </w:tc>
        <w:tc>
          <w:tcPr>
            <w:tcW w:w="1365" w:type="dxa"/>
            <w:tcBorders>
              <w:top w:val="single" w:sz="4" w:space="0" w:color="1F3763"/>
              <w:bottom w:val="single" w:sz="4" w:space="0" w:color="1F3763"/>
            </w:tcBorders>
          </w:tcPr>
          <w:p>
            <w:pPr>
              <w:pStyle w:val="TableParagraph"/>
              <w:spacing w:before="61"/>
              <w:ind w:left="39" w:right="41"/>
              <w:jc w:val="center"/>
              <w:rPr>
                <w:sz w:val="18"/>
              </w:rPr>
            </w:pPr>
            <w:r>
              <w:rPr>
                <w:spacing w:val="-2"/>
                <w:sz w:val="18"/>
              </w:rPr>
              <w:t>1.129.349</w:t>
            </w:r>
          </w:p>
        </w:tc>
        <w:tc>
          <w:tcPr>
            <w:tcW w:w="1549" w:type="dxa"/>
            <w:tcBorders>
              <w:top w:val="single" w:sz="4" w:space="0" w:color="1F3763"/>
              <w:bottom w:val="single" w:sz="4" w:space="0" w:color="1F3763"/>
            </w:tcBorders>
          </w:tcPr>
          <w:p>
            <w:pPr>
              <w:pStyle w:val="TableParagraph"/>
              <w:spacing w:before="61"/>
              <w:ind w:left="122" w:right="3"/>
              <w:jc w:val="center"/>
              <w:rPr>
                <w:sz w:val="18"/>
              </w:rPr>
            </w:pPr>
            <w:r>
              <w:rPr>
                <w:spacing w:val="-2"/>
                <w:sz w:val="18"/>
              </w:rPr>
              <w:t>112.022.074</w:t>
            </w:r>
          </w:p>
        </w:tc>
        <w:tc>
          <w:tcPr>
            <w:tcW w:w="1805" w:type="dxa"/>
            <w:tcBorders>
              <w:top w:val="single" w:sz="4" w:space="0" w:color="1F3763"/>
              <w:bottom w:val="single" w:sz="4" w:space="0" w:color="1F3763"/>
            </w:tcBorders>
          </w:tcPr>
          <w:p>
            <w:pPr>
              <w:pStyle w:val="TableParagraph"/>
              <w:spacing w:before="61"/>
              <w:ind w:left="40"/>
              <w:jc w:val="center"/>
              <w:rPr>
                <w:sz w:val="18"/>
              </w:rPr>
            </w:pPr>
            <w:r>
              <w:rPr>
                <w:spacing w:val="-2"/>
                <w:sz w:val="18"/>
              </w:rPr>
              <w:t>11.190.693</w:t>
            </w:r>
          </w:p>
        </w:tc>
      </w:tr>
      <w:tr>
        <w:trPr>
          <w:trHeight w:val="318" w:hRule="atLeast"/>
        </w:trPr>
        <w:tc>
          <w:tcPr>
            <w:tcW w:w="1200" w:type="dxa"/>
            <w:vMerge/>
            <w:tcBorders>
              <w:top w:val="nil"/>
              <w:bottom w:val="single" w:sz="12" w:space="0" w:color="000000"/>
            </w:tcBorders>
          </w:tcPr>
          <w:p>
            <w:pPr>
              <w:rPr>
                <w:sz w:val="2"/>
                <w:szCs w:val="2"/>
              </w:rPr>
            </w:pPr>
          </w:p>
        </w:tc>
        <w:tc>
          <w:tcPr>
            <w:tcW w:w="1610" w:type="dxa"/>
            <w:tcBorders>
              <w:top w:val="single" w:sz="4" w:space="0" w:color="1F3763"/>
              <w:bottom w:val="single" w:sz="12" w:space="0" w:color="000000"/>
            </w:tcBorders>
          </w:tcPr>
          <w:p>
            <w:pPr>
              <w:pStyle w:val="TableParagraph"/>
              <w:spacing w:before="61"/>
              <w:ind w:left="87"/>
              <w:jc w:val="center"/>
              <w:rPr>
                <w:sz w:val="18"/>
              </w:rPr>
            </w:pPr>
            <w:r>
              <w:rPr>
                <w:spacing w:val="-2"/>
                <w:sz w:val="18"/>
              </w:rPr>
              <w:t>31/12/2024</w:t>
            </w:r>
          </w:p>
        </w:tc>
        <w:tc>
          <w:tcPr>
            <w:tcW w:w="1689" w:type="dxa"/>
            <w:tcBorders>
              <w:top w:val="single" w:sz="4" w:space="0" w:color="1F3763"/>
              <w:bottom w:val="single" w:sz="12" w:space="0" w:color="000000"/>
            </w:tcBorders>
          </w:tcPr>
          <w:p>
            <w:pPr>
              <w:pStyle w:val="TableParagraph"/>
              <w:spacing w:before="61"/>
              <w:ind w:left="6" w:right="1"/>
              <w:jc w:val="center"/>
              <w:rPr>
                <w:sz w:val="18"/>
              </w:rPr>
            </w:pPr>
            <w:r>
              <w:rPr>
                <w:spacing w:val="-2"/>
                <w:sz w:val="18"/>
              </w:rPr>
              <w:t>54.832.505</w:t>
            </w:r>
          </w:p>
        </w:tc>
        <w:tc>
          <w:tcPr>
            <w:tcW w:w="1365" w:type="dxa"/>
            <w:tcBorders>
              <w:top w:val="single" w:sz="4" w:space="0" w:color="1F3763"/>
              <w:bottom w:val="single" w:sz="12" w:space="0" w:color="000000"/>
            </w:tcBorders>
          </w:tcPr>
          <w:p>
            <w:pPr>
              <w:pStyle w:val="TableParagraph"/>
              <w:spacing w:before="61"/>
              <w:ind w:left="39" w:right="41"/>
              <w:jc w:val="center"/>
              <w:rPr>
                <w:sz w:val="18"/>
              </w:rPr>
            </w:pPr>
            <w:r>
              <w:rPr>
                <w:spacing w:val="-2"/>
                <w:sz w:val="18"/>
              </w:rPr>
              <w:t>1.164.141</w:t>
            </w:r>
          </w:p>
        </w:tc>
        <w:tc>
          <w:tcPr>
            <w:tcW w:w="1549" w:type="dxa"/>
            <w:tcBorders>
              <w:top w:val="single" w:sz="4" w:space="0" w:color="1F3763"/>
              <w:bottom w:val="single" w:sz="12" w:space="0" w:color="000000"/>
            </w:tcBorders>
          </w:tcPr>
          <w:p>
            <w:pPr>
              <w:pStyle w:val="TableParagraph"/>
              <w:spacing w:before="61"/>
              <w:ind w:left="122" w:right="3"/>
              <w:jc w:val="center"/>
              <w:rPr>
                <w:sz w:val="18"/>
              </w:rPr>
            </w:pPr>
            <w:r>
              <w:rPr>
                <w:spacing w:val="-2"/>
                <w:sz w:val="18"/>
              </w:rPr>
              <w:t>113.730.432</w:t>
            </w:r>
          </w:p>
        </w:tc>
        <w:tc>
          <w:tcPr>
            <w:tcW w:w="1805" w:type="dxa"/>
            <w:tcBorders>
              <w:top w:val="single" w:sz="4" w:space="0" w:color="1F3763"/>
              <w:bottom w:val="single" w:sz="12" w:space="0" w:color="000000"/>
            </w:tcBorders>
          </w:tcPr>
          <w:p>
            <w:pPr>
              <w:pStyle w:val="TableParagraph"/>
              <w:spacing w:before="61"/>
              <w:ind w:left="40"/>
              <w:jc w:val="center"/>
              <w:rPr>
                <w:sz w:val="18"/>
              </w:rPr>
            </w:pPr>
            <w:r>
              <w:rPr>
                <w:spacing w:val="-2"/>
                <w:sz w:val="18"/>
              </w:rPr>
              <w:t>11.432.021</w:t>
            </w:r>
          </w:p>
        </w:tc>
      </w:tr>
      <w:tr>
        <w:trPr>
          <w:trHeight w:val="311" w:hRule="atLeast"/>
        </w:trPr>
        <w:tc>
          <w:tcPr>
            <w:tcW w:w="1200" w:type="dxa"/>
            <w:tcBorders>
              <w:top w:val="single" w:sz="12" w:space="0" w:color="000000"/>
            </w:tcBorders>
          </w:tcPr>
          <w:p>
            <w:pPr>
              <w:pStyle w:val="TableParagraph"/>
              <w:rPr>
                <w:rFonts w:ascii="Times New Roman"/>
                <w:sz w:val="16"/>
              </w:rPr>
            </w:pPr>
          </w:p>
        </w:tc>
        <w:tc>
          <w:tcPr>
            <w:tcW w:w="1610" w:type="dxa"/>
            <w:tcBorders>
              <w:top w:val="single" w:sz="12" w:space="0" w:color="000000"/>
              <w:bottom w:val="single" w:sz="4" w:space="0" w:color="1F3763"/>
            </w:tcBorders>
          </w:tcPr>
          <w:p>
            <w:pPr>
              <w:pStyle w:val="TableParagraph"/>
              <w:spacing w:before="51"/>
              <w:ind w:left="87"/>
              <w:jc w:val="center"/>
              <w:rPr>
                <w:sz w:val="18"/>
              </w:rPr>
            </w:pPr>
            <w:r>
              <w:rPr>
                <w:spacing w:val="-2"/>
                <w:sz w:val="18"/>
              </w:rPr>
              <w:t>31/12/2022</w:t>
            </w:r>
          </w:p>
        </w:tc>
        <w:tc>
          <w:tcPr>
            <w:tcW w:w="1689" w:type="dxa"/>
            <w:tcBorders>
              <w:top w:val="single" w:sz="12" w:space="0" w:color="000000"/>
              <w:bottom w:val="single" w:sz="4" w:space="0" w:color="1F3763"/>
            </w:tcBorders>
          </w:tcPr>
          <w:p>
            <w:pPr>
              <w:pStyle w:val="TableParagraph"/>
              <w:spacing w:before="51"/>
              <w:ind w:left="6" w:right="1"/>
              <w:jc w:val="center"/>
              <w:rPr>
                <w:sz w:val="18"/>
              </w:rPr>
            </w:pPr>
            <w:r>
              <w:rPr>
                <w:spacing w:val="-2"/>
                <w:sz w:val="18"/>
              </w:rPr>
              <w:t>39.576.660</w:t>
            </w:r>
          </w:p>
        </w:tc>
        <w:tc>
          <w:tcPr>
            <w:tcW w:w="1365" w:type="dxa"/>
            <w:tcBorders>
              <w:top w:val="single" w:sz="12" w:space="0" w:color="000000"/>
              <w:bottom w:val="single" w:sz="4" w:space="0" w:color="1F3763"/>
            </w:tcBorders>
          </w:tcPr>
          <w:p>
            <w:pPr>
              <w:pStyle w:val="TableParagraph"/>
              <w:spacing w:before="51"/>
              <w:ind w:left="39" w:right="41"/>
              <w:jc w:val="center"/>
              <w:rPr>
                <w:sz w:val="18"/>
              </w:rPr>
            </w:pPr>
            <w:r>
              <w:rPr>
                <w:spacing w:val="-2"/>
                <w:sz w:val="18"/>
              </w:rPr>
              <w:t>1.263.264</w:t>
            </w:r>
          </w:p>
        </w:tc>
        <w:tc>
          <w:tcPr>
            <w:tcW w:w="1549" w:type="dxa"/>
            <w:tcBorders>
              <w:top w:val="single" w:sz="12" w:space="0" w:color="000000"/>
              <w:bottom w:val="single" w:sz="4" w:space="0" w:color="1F3763"/>
            </w:tcBorders>
          </w:tcPr>
          <w:p>
            <w:pPr>
              <w:pStyle w:val="TableParagraph"/>
              <w:spacing w:before="51"/>
              <w:ind w:left="122"/>
              <w:jc w:val="center"/>
              <w:rPr>
                <w:sz w:val="18"/>
              </w:rPr>
            </w:pPr>
            <w:r>
              <w:rPr>
                <w:spacing w:val="-2"/>
                <w:sz w:val="18"/>
              </w:rPr>
              <w:t>1.378.265.025</w:t>
            </w:r>
          </w:p>
        </w:tc>
        <w:tc>
          <w:tcPr>
            <w:tcW w:w="1805" w:type="dxa"/>
            <w:tcBorders>
              <w:top w:val="single" w:sz="12" w:space="0" w:color="000000"/>
              <w:bottom w:val="single" w:sz="4" w:space="0" w:color="1F3763"/>
            </w:tcBorders>
          </w:tcPr>
          <w:p>
            <w:pPr>
              <w:pStyle w:val="TableParagraph"/>
              <w:spacing w:before="51"/>
              <w:ind w:left="40"/>
              <w:jc w:val="center"/>
              <w:rPr>
                <w:sz w:val="18"/>
              </w:rPr>
            </w:pPr>
            <w:r>
              <w:rPr>
                <w:spacing w:val="-2"/>
                <w:sz w:val="18"/>
              </w:rPr>
              <w:t>12.564.929</w:t>
            </w:r>
          </w:p>
        </w:tc>
      </w:tr>
      <w:tr>
        <w:trPr>
          <w:trHeight w:val="330" w:hRule="atLeast"/>
        </w:trPr>
        <w:tc>
          <w:tcPr>
            <w:tcW w:w="1200" w:type="dxa"/>
          </w:tcPr>
          <w:p>
            <w:pPr>
              <w:pStyle w:val="TableParagraph"/>
              <w:spacing w:before="71"/>
              <w:ind w:left="2" w:right="3"/>
              <w:jc w:val="center"/>
              <w:rPr>
                <w:b/>
                <w:sz w:val="18"/>
              </w:rPr>
            </w:pPr>
            <w:r>
              <w:rPr>
                <w:b/>
                <w:spacing w:val="-2"/>
                <w:sz w:val="18"/>
              </w:rPr>
              <w:t>MÁLAGA</w:t>
            </w:r>
          </w:p>
        </w:tc>
        <w:tc>
          <w:tcPr>
            <w:tcW w:w="1610" w:type="dxa"/>
            <w:tcBorders>
              <w:top w:val="single" w:sz="4" w:space="0" w:color="1F3763"/>
              <w:bottom w:val="single" w:sz="4" w:space="0" w:color="1F3763"/>
            </w:tcBorders>
          </w:tcPr>
          <w:p>
            <w:pPr>
              <w:pStyle w:val="TableParagraph"/>
              <w:spacing w:before="71"/>
              <w:ind w:left="87"/>
              <w:jc w:val="center"/>
              <w:rPr>
                <w:sz w:val="18"/>
              </w:rPr>
            </w:pPr>
            <w:r>
              <w:rPr>
                <w:spacing w:val="-2"/>
                <w:sz w:val="18"/>
              </w:rPr>
              <w:t>31/12/2023</w:t>
            </w:r>
          </w:p>
        </w:tc>
        <w:tc>
          <w:tcPr>
            <w:tcW w:w="1689" w:type="dxa"/>
            <w:tcBorders>
              <w:top w:val="single" w:sz="4" w:space="0" w:color="1F3763"/>
              <w:bottom w:val="single" w:sz="4" w:space="0" w:color="1F3763"/>
            </w:tcBorders>
          </w:tcPr>
          <w:p>
            <w:pPr>
              <w:pStyle w:val="TableParagraph"/>
              <w:spacing w:before="71"/>
              <w:ind w:left="6" w:right="1"/>
              <w:jc w:val="center"/>
              <w:rPr>
                <w:sz w:val="18"/>
              </w:rPr>
            </w:pPr>
            <w:r>
              <w:rPr>
                <w:spacing w:val="-2"/>
                <w:sz w:val="18"/>
              </w:rPr>
              <w:t>46.780.874</w:t>
            </w:r>
          </w:p>
        </w:tc>
        <w:tc>
          <w:tcPr>
            <w:tcW w:w="1365" w:type="dxa"/>
            <w:tcBorders>
              <w:top w:val="single" w:sz="4" w:space="0" w:color="1F3763"/>
              <w:bottom w:val="single" w:sz="4" w:space="0" w:color="1F3763"/>
            </w:tcBorders>
          </w:tcPr>
          <w:p>
            <w:pPr>
              <w:pStyle w:val="TableParagraph"/>
              <w:spacing w:before="71"/>
              <w:ind w:left="39" w:right="41"/>
              <w:jc w:val="center"/>
              <w:rPr>
                <w:sz w:val="18"/>
              </w:rPr>
            </w:pPr>
            <w:r>
              <w:rPr>
                <w:spacing w:val="-2"/>
                <w:sz w:val="18"/>
              </w:rPr>
              <w:t>1.362.432</w:t>
            </w:r>
          </w:p>
        </w:tc>
        <w:tc>
          <w:tcPr>
            <w:tcW w:w="1549" w:type="dxa"/>
            <w:tcBorders>
              <w:top w:val="single" w:sz="4" w:space="0" w:color="1F3763"/>
              <w:bottom w:val="single" w:sz="4" w:space="0" w:color="1F3763"/>
            </w:tcBorders>
          </w:tcPr>
          <w:p>
            <w:pPr>
              <w:pStyle w:val="TableParagraph"/>
              <w:spacing w:before="71"/>
              <w:ind w:left="122"/>
              <w:jc w:val="center"/>
              <w:rPr>
                <w:sz w:val="18"/>
              </w:rPr>
            </w:pPr>
            <w:r>
              <w:rPr>
                <w:spacing w:val="-2"/>
                <w:sz w:val="18"/>
              </w:rPr>
              <w:t>1.526.470.108</w:t>
            </w:r>
          </w:p>
        </w:tc>
        <w:tc>
          <w:tcPr>
            <w:tcW w:w="1805" w:type="dxa"/>
            <w:tcBorders>
              <w:top w:val="single" w:sz="4" w:space="0" w:color="1F3763"/>
              <w:bottom w:val="single" w:sz="4" w:space="0" w:color="1F3763"/>
            </w:tcBorders>
          </w:tcPr>
          <w:p>
            <w:pPr>
              <w:pStyle w:val="TableParagraph"/>
              <w:spacing w:before="71"/>
              <w:ind w:left="40"/>
              <w:jc w:val="center"/>
              <w:rPr>
                <w:sz w:val="18"/>
              </w:rPr>
            </w:pPr>
            <w:r>
              <w:rPr>
                <w:spacing w:val="-2"/>
                <w:sz w:val="18"/>
              </w:rPr>
              <w:t>11.972.190</w:t>
            </w:r>
          </w:p>
        </w:tc>
      </w:tr>
      <w:tr>
        <w:trPr>
          <w:trHeight w:val="327" w:hRule="atLeast"/>
        </w:trPr>
        <w:tc>
          <w:tcPr>
            <w:tcW w:w="1200" w:type="dxa"/>
            <w:tcBorders>
              <w:bottom w:val="single" w:sz="12" w:space="0" w:color="000000"/>
            </w:tcBorders>
          </w:tcPr>
          <w:p>
            <w:pPr>
              <w:pStyle w:val="TableParagraph"/>
              <w:rPr>
                <w:rFonts w:ascii="Times New Roman"/>
                <w:sz w:val="16"/>
              </w:rPr>
            </w:pPr>
          </w:p>
        </w:tc>
        <w:tc>
          <w:tcPr>
            <w:tcW w:w="1610" w:type="dxa"/>
            <w:tcBorders>
              <w:top w:val="single" w:sz="4" w:space="0" w:color="1F3763"/>
              <w:bottom w:val="single" w:sz="12" w:space="0" w:color="000000"/>
            </w:tcBorders>
          </w:tcPr>
          <w:p>
            <w:pPr>
              <w:pStyle w:val="TableParagraph"/>
              <w:spacing w:before="71"/>
              <w:ind w:left="87"/>
              <w:jc w:val="center"/>
              <w:rPr>
                <w:sz w:val="18"/>
              </w:rPr>
            </w:pPr>
            <w:r>
              <w:rPr>
                <w:spacing w:val="-2"/>
                <w:sz w:val="18"/>
              </w:rPr>
              <w:t>31/12/2024</w:t>
            </w:r>
          </w:p>
        </w:tc>
        <w:tc>
          <w:tcPr>
            <w:tcW w:w="1689" w:type="dxa"/>
            <w:tcBorders>
              <w:top w:val="single" w:sz="4" w:space="0" w:color="1F3763"/>
              <w:bottom w:val="single" w:sz="12" w:space="0" w:color="000000"/>
            </w:tcBorders>
          </w:tcPr>
          <w:p>
            <w:pPr>
              <w:pStyle w:val="TableParagraph"/>
              <w:spacing w:before="71"/>
              <w:ind w:left="6" w:right="1"/>
              <w:jc w:val="center"/>
              <w:rPr>
                <w:sz w:val="18"/>
              </w:rPr>
            </w:pPr>
            <w:r>
              <w:rPr>
                <w:spacing w:val="-2"/>
                <w:sz w:val="18"/>
              </w:rPr>
              <w:t>50.612.435</w:t>
            </w:r>
          </w:p>
        </w:tc>
        <w:tc>
          <w:tcPr>
            <w:tcW w:w="1365" w:type="dxa"/>
            <w:tcBorders>
              <w:top w:val="single" w:sz="4" w:space="0" w:color="1F3763"/>
              <w:bottom w:val="single" w:sz="12" w:space="0" w:color="000000"/>
            </w:tcBorders>
          </w:tcPr>
          <w:p>
            <w:pPr>
              <w:pStyle w:val="TableParagraph"/>
              <w:spacing w:before="71"/>
              <w:ind w:right="41"/>
              <w:jc w:val="center"/>
              <w:rPr>
                <w:sz w:val="18"/>
              </w:rPr>
            </w:pPr>
            <w:r>
              <w:rPr>
                <w:spacing w:val="-2"/>
                <w:sz w:val="18"/>
              </w:rPr>
              <w:t>1.380.690</w:t>
            </w:r>
          </w:p>
        </w:tc>
        <w:tc>
          <w:tcPr>
            <w:tcW w:w="1549" w:type="dxa"/>
            <w:tcBorders>
              <w:top w:val="single" w:sz="4" w:space="0" w:color="1F3763"/>
              <w:bottom w:val="single" w:sz="12" w:space="0" w:color="000000"/>
            </w:tcBorders>
          </w:tcPr>
          <w:p>
            <w:pPr>
              <w:pStyle w:val="TableParagraph"/>
              <w:spacing w:before="71"/>
              <w:ind w:left="122" w:right="44"/>
              <w:jc w:val="center"/>
              <w:rPr>
                <w:sz w:val="18"/>
              </w:rPr>
            </w:pPr>
            <w:r>
              <w:rPr>
                <w:spacing w:val="-2"/>
                <w:sz w:val="18"/>
              </w:rPr>
              <w:t>1.350.603.881</w:t>
            </w:r>
          </w:p>
        </w:tc>
        <w:tc>
          <w:tcPr>
            <w:tcW w:w="1805" w:type="dxa"/>
            <w:tcBorders>
              <w:top w:val="single" w:sz="4" w:space="0" w:color="1F3763"/>
              <w:bottom w:val="single" w:sz="12" w:space="0" w:color="000000"/>
            </w:tcBorders>
          </w:tcPr>
          <w:p>
            <w:pPr>
              <w:pStyle w:val="TableParagraph"/>
              <w:spacing w:before="71"/>
              <w:ind w:left="40"/>
              <w:jc w:val="center"/>
              <w:rPr>
                <w:sz w:val="18"/>
              </w:rPr>
            </w:pPr>
            <w:r>
              <w:rPr>
                <w:spacing w:val="-2"/>
                <w:sz w:val="18"/>
              </w:rPr>
              <w:t>12.298.034</w:t>
            </w:r>
          </w:p>
        </w:tc>
      </w:tr>
      <w:tr>
        <w:trPr>
          <w:trHeight w:val="311" w:hRule="atLeast"/>
        </w:trPr>
        <w:tc>
          <w:tcPr>
            <w:tcW w:w="1200" w:type="dxa"/>
            <w:tcBorders>
              <w:top w:val="single" w:sz="12" w:space="0" w:color="000000"/>
            </w:tcBorders>
          </w:tcPr>
          <w:p>
            <w:pPr>
              <w:pStyle w:val="TableParagraph"/>
              <w:rPr>
                <w:rFonts w:ascii="Times New Roman"/>
                <w:sz w:val="16"/>
              </w:rPr>
            </w:pPr>
          </w:p>
        </w:tc>
        <w:tc>
          <w:tcPr>
            <w:tcW w:w="1610" w:type="dxa"/>
            <w:tcBorders>
              <w:top w:val="single" w:sz="12" w:space="0" w:color="000000"/>
              <w:bottom w:val="single" w:sz="4" w:space="0" w:color="1F3763"/>
            </w:tcBorders>
          </w:tcPr>
          <w:p>
            <w:pPr>
              <w:pStyle w:val="TableParagraph"/>
              <w:spacing w:before="51"/>
              <w:ind w:left="87"/>
              <w:jc w:val="center"/>
              <w:rPr>
                <w:sz w:val="18"/>
              </w:rPr>
            </w:pPr>
            <w:r>
              <w:rPr>
                <w:spacing w:val="-2"/>
                <w:sz w:val="18"/>
              </w:rPr>
              <w:t>31/12/2022</w:t>
            </w:r>
          </w:p>
        </w:tc>
        <w:tc>
          <w:tcPr>
            <w:tcW w:w="1689" w:type="dxa"/>
            <w:tcBorders>
              <w:top w:val="single" w:sz="12" w:space="0" w:color="000000"/>
              <w:bottom w:val="single" w:sz="4" w:space="0" w:color="1F3763"/>
            </w:tcBorders>
          </w:tcPr>
          <w:p>
            <w:pPr>
              <w:pStyle w:val="TableParagraph"/>
              <w:spacing w:before="51"/>
              <w:ind w:left="6" w:right="1"/>
              <w:jc w:val="center"/>
              <w:rPr>
                <w:sz w:val="18"/>
              </w:rPr>
            </w:pPr>
            <w:r>
              <w:rPr>
                <w:spacing w:val="-2"/>
                <w:sz w:val="18"/>
              </w:rPr>
              <w:t>8.247.752</w:t>
            </w:r>
          </w:p>
        </w:tc>
        <w:tc>
          <w:tcPr>
            <w:tcW w:w="1365" w:type="dxa"/>
            <w:tcBorders>
              <w:top w:val="single" w:sz="12" w:space="0" w:color="000000"/>
              <w:bottom w:val="single" w:sz="4" w:space="0" w:color="1F3763"/>
            </w:tcBorders>
          </w:tcPr>
          <w:p>
            <w:pPr>
              <w:pStyle w:val="TableParagraph"/>
              <w:spacing w:before="51"/>
              <w:ind w:left="39" w:right="41"/>
              <w:jc w:val="center"/>
              <w:rPr>
                <w:sz w:val="18"/>
              </w:rPr>
            </w:pPr>
            <w:r>
              <w:rPr>
                <w:spacing w:val="-2"/>
                <w:sz w:val="18"/>
              </w:rPr>
              <w:t>524.602</w:t>
            </w:r>
          </w:p>
        </w:tc>
        <w:tc>
          <w:tcPr>
            <w:tcW w:w="1549" w:type="dxa"/>
            <w:tcBorders>
              <w:top w:val="single" w:sz="12" w:space="0" w:color="000000"/>
              <w:bottom w:val="single" w:sz="4" w:space="0" w:color="1F3763"/>
            </w:tcBorders>
          </w:tcPr>
          <w:p>
            <w:pPr>
              <w:pStyle w:val="TableParagraph"/>
              <w:spacing w:before="51"/>
              <w:ind w:left="122" w:right="1"/>
              <w:jc w:val="center"/>
              <w:rPr>
                <w:sz w:val="18"/>
              </w:rPr>
            </w:pPr>
            <w:r>
              <w:rPr>
                <w:spacing w:val="-2"/>
                <w:sz w:val="18"/>
              </w:rPr>
              <w:t>64.326</w:t>
            </w:r>
          </w:p>
        </w:tc>
        <w:tc>
          <w:tcPr>
            <w:tcW w:w="1805" w:type="dxa"/>
            <w:tcBorders>
              <w:top w:val="single" w:sz="12" w:space="0" w:color="000000"/>
              <w:bottom w:val="single" w:sz="4" w:space="0" w:color="1F3763"/>
            </w:tcBorders>
          </w:tcPr>
          <w:p>
            <w:pPr>
              <w:pStyle w:val="TableParagraph"/>
              <w:spacing w:before="51"/>
              <w:ind w:left="40"/>
              <w:jc w:val="center"/>
              <w:rPr>
                <w:sz w:val="18"/>
              </w:rPr>
            </w:pPr>
            <w:r>
              <w:rPr>
                <w:spacing w:val="-2"/>
                <w:sz w:val="18"/>
              </w:rPr>
              <w:t>5.378.971</w:t>
            </w:r>
          </w:p>
        </w:tc>
      </w:tr>
      <w:tr>
        <w:trPr>
          <w:trHeight w:val="330" w:hRule="atLeast"/>
        </w:trPr>
        <w:tc>
          <w:tcPr>
            <w:tcW w:w="1200" w:type="dxa"/>
          </w:tcPr>
          <w:p>
            <w:pPr>
              <w:pStyle w:val="TableParagraph"/>
              <w:spacing w:before="71"/>
              <w:ind w:left="2" w:right="3"/>
              <w:jc w:val="center"/>
              <w:rPr>
                <w:b/>
                <w:sz w:val="18"/>
              </w:rPr>
            </w:pPr>
            <w:r>
              <w:rPr>
                <w:b/>
                <w:spacing w:val="-2"/>
                <w:sz w:val="18"/>
              </w:rPr>
              <w:t>MURCIA</w:t>
            </w:r>
          </w:p>
        </w:tc>
        <w:tc>
          <w:tcPr>
            <w:tcW w:w="1610" w:type="dxa"/>
            <w:tcBorders>
              <w:top w:val="single" w:sz="4" w:space="0" w:color="1F3763"/>
              <w:bottom w:val="single" w:sz="4" w:space="0" w:color="1F3763"/>
            </w:tcBorders>
          </w:tcPr>
          <w:p>
            <w:pPr>
              <w:pStyle w:val="TableParagraph"/>
              <w:spacing w:before="71"/>
              <w:ind w:left="87"/>
              <w:jc w:val="center"/>
              <w:rPr>
                <w:sz w:val="18"/>
              </w:rPr>
            </w:pPr>
            <w:r>
              <w:rPr>
                <w:spacing w:val="-2"/>
                <w:sz w:val="18"/>
              </w:rPr>
              <w:t>31/12/2023</w:t>
            </w:r>
          </w:p>
        </w:tc>
        <w:tc>
          <w:tcPr>
            <w:tcW w:w="1689" w:type="dxa"/>
            <w:tcBorders>
              <w:top w:val="single" w:sz="4" w:space="0" w:color="1F3763"/>
              <w:bottom w:val="single" w:sz="4" w:space="0" w:color="1F3763"/>
            </w:tcBorders>
          </w:tcPr>
          <w:p>
            <w:pPr>
              <w:pStyle w:val="TableParagraph"/>
              <w:spacing w:before="71"/>
              <w:ind w:left="6" w:right="1"/>
              <w:jc w:val="center"/>
              <w:rPr>
                <w:sz w:val="18"/>
              </w:rPr>
            </w:pPr>
            <w:r>
              <w:rPr>
                <w:spacing w:val="-2"/>
                <w:sz w:val="18"/>
              </w:rPr>
              <w:t>10.827.135</w:t>
            </w:r>
          </w:p>
        </w:tc>
        <w:tc>
          <w:tcPr>
            <w:tcW w:w="1365" w:type="dxa"/>
            <w:tcBorders>
              <w:top w:val="single" w:sz="4" w:space="0" w:color="1F3763"/>
              <w:bottom w:val="single" w:sz="4" w:space="0" w:color="1F3763"/>
            </w:tcBorders>
          </w:tcPr>
          <w:p>
            <w:pPr>
              <w:pStyle w:val="TableParagraph"/>
              <w:spacing w:before="71"/>
              <w:ind w:left="39" w:right="41"/>
              <w:jc w:val="center"/>
              <w:rPr>
                <w:sz w:val="18"/>
              </w:rPr>
            </w:pPr>
            <w:r>
              <w:rPr>
                <w:spacing w:val="-2"/>
                <w:sz w:val="18"/>
              </w:rPr>
              <w:t>536.917</w:t>
            </w:r>
          </w:p>
        </w:tc>
        <w:tc>
          <w:tcPr>
            <w:tcW w:w="1549" w:type="dxa"/>
            <w:tcBorders>
              <w:top w:val="single" w:sz="4" w:space="0" w:color="1F3763"/>
              <w:bottom w:val="single" w:sz="4" w:space="0" w:color="1F3763"/>
            </w:tcBorders>
          </w:tcPr>
          <w:p>
            <w:pPr>
              <w:pStyle w:val="TableParagraph"/>
              <w:spacing w:before="71"/>
              <w:ind w:left="122" w:right="1"/>
              <w:jc w:val="center"/>
              <w:rPr>
                <w:sz w:val="18"/>
              </w:rPr>
            </w:pPr>
            <w:r>
              <w:rPr>
                <w:spacing w:val="-5"/>
                <w:sz w:val="18"/>
              </w:rPr>
              <w:t>N/D</w:t>
            </w:r>
          </w:p>
        </w:tc>
        <w:tc>
          <w:tcPr>
            <w:tcW w:w="1805" w:type="dxa"/>
            <w:tcBorders>
              <w:top w:val="single" w:sz="4" w:space="0" w:color="1F3763"/>
              <w:bottom w:val="single" w:sz="4" w:space="0" w:color="1F3763"/>
            </w:tcBorders>
          </w:tcPr>
          <w:p>
            <w:pPr>
              <w:pStyle w:val="TableParagraph"/>
              <w:spacing w:before="71"/>
              <w:ind w:left="40"/>
              <w:jc w:val="center"/>
              <w:rPr>
                <w:sz w:val="18"/>
              </w:rPr>
            </w:pPr>
            <w:r>
              <w:rPr>
                <w:spacing w:val="-2"/>
                <w:sz w:val="18"/>
              </w:rPr>
              <w:t>5.605.952</w:t>
            </w:r>
          </w:p>
        </w:tc>
      </w:tr>
      <w:tr>
        <w:trPr>
          <w:trHeight w:val="327" w:hRule="atLeast"/>
        </w:trPr>
        <w:tc>
          <w:tcPr>
            <w:tcW w:w="1200" w:type="dxa"/>
            <w:tcBorders>
              <w:bottom w:val="single" w:sz="12" w:space="0" w:color="000000"/>
            </w:tcBorders>
          </w:tcPr>
          <w:p>
            <w:pPr>
              <w:pStyle w:val="TableParagraph"/>
              <w:rPr>
                <w:rFonts w:ascii="Times New Roman"/>
                <w:sz w:val="16"/>
              </w:rPr>
            </w:pPr>
          </w:p>
        </w:tc>
        <w:tc>
          <w:tcPr>
            <w:tcW w:w="1610" w:type="dxa"/>
            <w:tcBorders>
              <w:top w:val="single" w:sz="4" w:space="0" w:color="1F3763"/>
              <w:bottom w:val="single" w:sz="12" w:space="0" w:color="000000"/>
            </w:tcBorders>
          </w:tcPr>
          <w:p>
            <w:pPr>
              <w:pStyle w:val="TableParagraph"/>
              <w:spacing w:before="71"/>
              <w:ind w:left="87"/>
              <w:jc w:val="center"/>
              <w:rPr>
                <w:sz w:val="18"/>
              </w:rPr>
            </w:pPr>
            <w:r>
              <w:rPr>
                <w:spacing w:val="-2"/>
                <w:sz w:val="18"/>
              </w:rPr>
              <w:t>31/12/2024</w:t>
            </w:r>
          </w:p>
        </w:tc>
        <w:tc>
          <w:tcPr>
            <w:tcW w:w="1689" w:type="dxa"/>
            <w:tcBorders>
              <w:top w:val="single" w:sz="4" w:space="0" w:color="1F3763"/>
              <w:bottom w:val="single" w:sz="12" w:space="0" w:color="000000"/>
            </w:tcBorders>
          </w:tcPr>
          <w:p>
            <w:pPr>
              <w:pStyle w:val="TableParagraph"/>
              <w:spacing w:before="71"/>
              <w:ind w:left="6" w:right="1"/>
              <w:jc w:val="center"/>
              <w:rPr>
                <w:sz w:val="18"/>
              </w:rPr>
            </w:pPr>
            <w:r>
              <w:rPr>
                <w:spacing w:val="-2"/>
                <w:sz w:val="18"/>
              </w:rPr>
              <w:t>13.261.507</w:t>
            </w:r>
          </w:p>
        </w:tc>
        <w:tc>
          <w:tcPr>
            <w:tcW w:w="1365" w:type="dxa"/>
            <w:tcBorders>
              <w:top w:val="single" w:sz="4" w:space="0" w:color="1F3763"/>
              <w:bottom w:val="single" w:sz="12" w:space="0" w:color="000000"/>
            </w:tcBorders>
          </w:tcPr>
          <w:p>
            <w:pPr>
              <w:pStyle w:val="TableParagraph"/>
              <w:spacing w:before="71"/>
              <w:ind w:left="39" w:right="41"/>
              <w:jc w:val="center"/>
              <w:rPr>
                <w:sz w:val="18"/>
              </w:rPr>
            </w:pPr>
            <w:r>
              <w:rPr>
                <w:spacing w:val="-2"/>
                <w:sz w:val="18"/>
              </w:rPr>
              <w:t>536.917</w:t>
            </w:r>
          </w:p>
        </w:tc>
        <w:tc>
          <w:tcPr>
            <w:tcW w:w="1549" w:type="dxa"/>
            <w:tcBorders>
              <w:top w:val="single" w:sz="4" w:space="0" w:color="1F3763"/>
              <w:bottom w:val="single" w:sz="12" w:space="0" w:color="000000"/>
            </w:tcBorders>
          </w:tcPr>
          <w:p>
            <w:pPr>
              <w:pStyle w:val="TableParagraph"/>
              <w:spacing w:before="71"/>
              <w:ind w:left="122" w:right="1"/>
              <w:jc w:val="center"/>
              <w:rPr>
                <w:sz w:val="18"/>
              </w:rPr>
            </w:pPr>
            <w:r>
              <w:rPr>
                <w:spacing w:val="-5"/>
                <w:sz w:val="18"/>
              </w:rPr>
              <w:t>N/D</w:t>
            </w:r>
          </w:p>
        </w:tc>
        <w:tc>
          <w:tcPr>
            <w:tcW w:w="1805" w:type="dxa"/>
            <w:tcBorders>
              <w:top w:val="single" w:sz="4" w:space="0" w:color="1F3763"/>
              <w:bottom w:val="single" w:sz="12" w:space="0" w:color="000000"/>
            </w:tcBorders>
          </w:tcPr>
          <w:p>
            <w:pPr>
              <w:pStyle w:val="TableParagraph"/>
              <w:spacing w:before="71"/>
              <w:ind w:left="40"/>
              <w:jc w:val="center"/>
              <w:rPr>
                <w:sz w:val="18"/>
              </w:rPr>
            </w:pPr>
            <w:r>
              <w:rPr>
                <w:spacing w:val="-2"/>
                <w:sz w:val="18"/>
              </w:rPr>
              <w:t>5.995.608</w:t>
            </w:r>
          </w:p>
        </w:tc>
      </w:tr>
      <w:tr>
        <w:trPr>
          <w:trHeight w:val="311" w:hRule="atLeast"/>
        </w:trPr>
        <w:tc>
          <w:tcPr>
            <w:tcW w:w="1200" w:type="dxa"/>
            <w:tcBorders>
              <w:top w:val="single" w:sz="12" w:space="0" w:color="000000"/>
            </w:tcBorders>
          </w:tcPr>
          <w:p>
            <w:pPr>
              <w:pStyle w:val="TableParagraph"/>
              <w:rPr>
                <w:rFonts w:ascii="Times New Roman"/>
                <w:sz w:val="16"/>
              </w:rPr>
            </w:pPr>
          </w:p>
        </w:tc>
        <w:tc>
          <w:tcPr>
            <w:tcW w:w="1610" w:type="dxa"/>
            <w:tcBorders>
              <w:top w:val="single" w:sz="12" w:space="0" w:color="000000"/>
              <w:bottom w:val="single" w:sz="4" w:space="0" w:color="1F3763"/>
            </w:tcBorders>
          </w:tcPr>
          <w:p>
            <w:pPr>
              <w:pStyle w:val="TableParagraph"/>
              <w:spacing w:before="51"/>
              <w:ind w:left="87"/>
              <w:jc w:val="center"/>
              <w:rPr>
                <w:sz w:val="18"/>
              </w:rPr>
            </w:pPr>
            <w:r>
              <w:rPr>
                <w:spacing w:val="-2"/>
                <w:sz w:val="18"/>
              </w:rPr>
              <w:t>31/12/2022</w:t>
            </w:r>
          </w:p>
        </w:tc>
        <w:tc>
          <w:tcPr>
            <w:tcW w:w="1689" w:type="dxa"/>
            <w:tcBorders>
              <w:top w:val="single" w:sz="12" w:space="0" w:color="000000"/>
              <w:bottom w:val="single" w:sz="4" w:space="0" w:color="1F3763"/>
            </w:tcBorders>
          </w:tcPr>
          <w:p>
            <w:pPr>
              <w:pStyle w:val="TableParagraph"/>
              <w:spacing w:before="51"/>
              <w:ind w:left="6" w:right="1"/>
              <w:jc w:val="center"/>
              <w:rPr>
                <w:sz w:val="18"/>
              </w:rPr>
            </w:pPr>
            <w:r>
              <w:rPr>
                <w:spacing w:val="-2"/>
                <w:sz w:val="18"/>
              </w:rPr>
              <w:t>36.272.394</w:t>
            </w:r>
          </w:p>
        </w:tc>
        <w:tc>
          <w:tcPr>
            <w:tcW w:w="1365" w:type="dxa"/>
            <w:tcBorders>
              <w:top w:val="single" w:sz="12" w:space="0" w:color="000000"/>
              <w:bottom w:val="single" w:sz="4" w:space="0" w:color="1F3763"/>
            </w:tcBorders>
          </w:tcPr>
          <w:p>
            <w:pPr>
              <w:pStyle w:val="TableParagraph"/>
              <w:spacing w:before="51"/>
              <w:ind w:left="39" w:right="41"/>
              <w:jc w:val="center"/>
              <w:rPr>
                <w:sz w:val="18"/>
              </w:rPr>
            </w:pPr>
            <w:r>
              <w:rPr>
                <w:spacing w:val="-2"/>
                <w:sz w:val="18"/>
              </w:rPr>
              <w:t>1.076.238</w:t>
            </w:r>
          </w:p>
        </w:tc>
        <w:tc>
          <w:tcPr>
            <w:tcW w:w="1549" w:type="dxa"/>
            <w:tcBorders>
              <w:top w:val="single" w:sz="12" w:space="0" w:color="000000"/>
              <w:bottom w:val="single" w:sz="4" w:space="0" w:color="1F3763"/>
            </w:tcBorders>
          </w:tcPr>
          <w:p>
            <w:pPr>
              <w:pStyle w:val="TableParagraph"/>
              <w:spacing w:before="51"/>
              <w:ind w:left="122" w:right="3"/>
              <w:jc w:val="center"/>
              <w:rPr>
                <w:sz w:val="18"/>
              </w:rPr>
            </w:pPr>
            <w:r>
              <w:rPr>
                <w:spacing w:val="-2"/>
                <w:sz w:val="18"/>
              </w:rPr>
              <w:t>111.826.014</w:t>
            </w:r>
          </w:p>
        </w:tc>
        <w:tc>
          <w:tcPr>
            <w:tcW w:w="1805" w:type="dxa"/>
            <w:tcBorders>
              <w:top w:val="single" w:sz="12" w:space="0" w:color="000000"/>
              <w:bottom w:val="single" w:sz="4" w:space="0" w:color="1F3763"/>
            </w:tcBorders>
          </w:tcPr>
          <w:p>
            <w:pPr>
              <w:pStyle w:val="TableParagraph"/>
              <w:spacing w:before="51"/>
              <w:ind w:left="40"/>
              <w:jc w:val="center"/>
              <w:rPr>
                <w:sz w:val="18"/>
              </w:rPr>
            </w:pPr>
            <w:r>
              <w:rPr>
                <w:spacing w:val="-2"/>
                <w:sz w:val="18"/>
              </w:rPr>
              <w:t>12.099.368</w:t>
            </w:r>
          </w:p>
        </w:tc>
      </w:tr>
      <w:tr>
        <w:trPr>
          <w:trHeight w:val="330" w:hRule="atLeast"/>
        </w:trPr>
        <w:tc>
          <w:tcPr>
            <w:tcW w:w="1200" w:type="dxa"/>
          </w:tcPr>
          <w:p>
            <w:pPr>
              <w:pStyle w:val="TableParagraph"/>
              <w:spacing w:before="71"/>
              <w:ind w:left="1" w:right="3"/>
              <w:jc w:val="center"/>
              <w:rPr>
                <w:b/>
                <w:sz w:val="18"/>
              </w:rPr>
            </w:pPr>
            <w:r>
              <w:rPr>
                <w:b/>
                <w:spacing w:val="-2"/>
                <w:sz w:val="18"/>
              </w:rPr>
              <w:t>PALMA</w:t>
            </w:r>
          </w:p>
        </w:tc>
        <w:tc>
          <w:tcPr>
            <w:tcW w:w="1610" w:type="dxa"/>
            <w:tcBorders>
              <w:top w:val="single" w:sz="4" w:space="0" w:color="1F3763"/>
              <w:bottom w:val="single" w:sz="4" w:space="0" w:color="1F3763"/>
            </w:tcBorders>
          </w:tcPr>
          <w:p>
            <w:pPr>
              <w:pStyle w:val="TableParagraph"/>
              <w:spacing w:before="71"/>
              <w:ind w:left="87"/>
              <w:jc w:val="center"/>
              <w:rPr>
                <w:sz w:val="18"/>
              </w:rPr>
            </w:pPr>
            <w:r>
              <w:rPr>
                <w:spacing w:val="-2"/>
                <w:sz w:val="18"/>
              </w:rPr>
              <w:t>31/12/2023</w:t>
            </w:r>
          </w:p>
        </w:tc>
        <w:tc>
          <w:tcPr>
            <w:tcW w:w="1689" w:type="dxa"/>
            <w:tcBorders>
              <w:top w:val="single" w:sz="4" w:space="0" w:color="1F3763"/>
              <w:bottom w:val="single" w:sz="4" w:space="0" w:color="1F3763"/>
            </w:tcBorders>
          </w:tcPr>
          <w:p>
            <w:pPr>
              <w:pStyle w:val="TableParagraph"/>
              <w:spacing w:before="71"/>
              <w:ind w:left="6" w:right="1"/>
              <w:jc w:val="center"/>
              <w:rPr>
                <w:sz w:val="18"/>
              </w:rPr>
            </w:pPr>
            <w:r>
              <w:rPr>
                <w:spacing w:val="-2"/>
                <w:sz w:val="18"/>
              </w:rPr>
              <w:t>52.655.743</w:t>
            </w:r>
          </w:p>
        </w:tc>
        <w:tc>
          <w:tcPr>
            <w:tcW w:w="1365" w:type="dxa"/>
            <w:tcBorders>
              <w:top w:val="single" w:sz="4" w:space="0" w:color="1F3763"/>
              <w:bottom w:val="single" w:sz="4" w:space="0" w:color="1F3763"/>
            </w:tcBorders>
          </w:tcPr>
          <w:p>
            <w:pPr>
              <w:pStyle w:val="TableParagraph"/>
              <w:spacing w:before="71"/>
              <w:ind w:left="39" w:right="41"/>
              <w:jc w:val="center"/>
              <w:rPr>
                <w:sz w:val="18"/>
              </w:rPr>
            </w:pPr>
            <w:r>
              <w:rPr>
                <w:spacing w:val="-2"/>
                <w:sz w:val="18"/>
              </w:rPr>
              <w:t>1.111.154</w:t>
            </w:r>
          </w:p>
        </w:tc>
        <w:tc>
          <w:tcPr>
            <w:tcW w:w="1549" w:type="dxa"/>
            <w:tcBorders>
              <w:top w:val="single" w:sz="4" w:space="0" w:color="1F3763"/>
              <w:bottom w:val="single" w:sz="4" w:space="0" w:color="1F3763"/>
            </w:tcBorders>
          </w:tcPr>
          <w:p>
            <w:pPr>
              <w:pStyle w:val="TableParagraph"/>
              <w:spacing w:before="71"/>
              <w:ind w:left="122" w:right="3"/>
              <w:jc w:val="center"/>
              <w:rPr>
                <w:sz w:val="18"/>
              </w:rPr>
            </w:pPr>
            <w:r>
              <w:rPr>
                <w:spacing w:val="-2"/>
                <w:sz w:val="18"/>
              </w:rPr>
              <w:t>115.453.945</w:t>
            </w:r>
          </w:p>
        </w:tc>
        <w:tc>
          <w:tcPr>
            <w:tcW w:w="1805" w:type="dxa"/>
            <w:tcBorders>
              <w:top w:val="single" w:sz="4" w:space="0" w:color="1F3763"/>
              <w:bottom w:val="single" w:sz="4" w:space="0" w:color="1F3763"/>
            </w:tcBorders>
          </w:tcPr>
          <w:p>
            <w:pPr>
              <w:pStyle w:val="TableParagraph"/>
              <w:spacing w:before="71"/>
              <w:ind w:left="40"/>
              <w:jc w:val="center"/>
              <w:rPr>
                <w:sz w:val="18"/>
              </w:rPr>
            </w:pPr>
            <w:r>
              <w:rPr>
                <w:spacing w:val="-2"/>
                <w:sz w:val="18"/>
              </w:rPr>
              <w:t>12.334.675</w:t>
            </w:r>
          </w:p>
        </w:tc>
      </w:tr>
      <w:tr>
        <w:trPr>
          <w:trHeight w:val="327" w:hRule="atLeast"/>
        </w:trPr>
        <w:tc>
          <w:tcPr>
            <w:tcW w:w="1200" w:type="dxa"/>
            <w:tcBorders>
              <w:bottom w:val="single" w:sz="12" w:space="0" w:color="000000"/>
            </w:tcBorders>
          </w:tcPr>
          <w:p>
            <w:pPr>
              <w:pStyle w:val="TableParagraph"/>
              <w:rPr>
                <w:rFonts w:ascii="Times New Roman"/>
                <w:sz w:val="16"/>
              </w:rPr>
            </w:pPr>
          </w:p>
        </w:tc>
        <w:tc>
          <w:tcPr>
            <w:tcW w:w="1610" w:type="dxa"/>
            <w:tcBorders>
              <w:top w:val="single" w:sz="4" w:space="0" w:color="1F3763"/>
              <w:bottom w:val="single" w:sz="12" w:space="0" w:color="000000"/>
            </w:tcBorders>
          </w:tcPr>
          <w:p>
            <w:pPr>
              <w:pStyle w:val="TableParagraph"/>
              <w:spacing w:before="71"/>
              <w:ind w:left="87"/>
              <w:jc w:val="center"/>
              <w:rPr>
                <w:sz w:val="18"/>
              </w:rPr>
            </w:pPr>
            <w:r>
              <w:rPr>
                <w:spacing w:val="-2"/>
                <w:sz w:val="18"/>
              </w:rPr>
              <w:t>31/12/2024</w:t>
            </w:r>
          </w:p>
        </w:tc>
        <w:tc>
          <w:tcPr>
            <w:tcW w:w="1689" w:type="dxa"/>
            <w:tcBorders>
              <w:top w:val="single" w:sz="4" w:space="0" w:color="1F3763"/>
              <w:bottom w:val="single" w:sz="12" w:space="0" w:color="000000"/>
            </w:tcBorders>
          </w:tcPr>
          <w:p>
            <w:pPr>
              <w:pStyle w:val="TableParagraph"/>
              <w:spacing w:before="71"/>
              <w:ind w:left="6" w:right="1"/>
              <w:jc w:val="center"/>
              <w:rPr>
                <w:sz w:val="18"/>
              </w:rPr>
            </w:pPr>
            <w:r>
              <w:rPr>
                <w:spacing w:val="-2"/>
                <w:sz w:val="18"/>
              </w:rPr>
              <w:t>60.392.181</w:t>
            </w:r>
          </w:p>
        </w:tc>
        <w:tc>
          <w:tcPr>
            <w:tcW w:w="1365" w:type="dxa"/>
            <w:tcBorders>
              <w:top w:val="single" w:sz="4" w:space="0" w:color="1F3763"/>
              <w:bottom w:val="single" w:sz="12" w:space="0" w:color="000000"/>
            </w:tcBorders>
          </w:tcPr>
          <w:p>
            <w:pPr>
              <w:pStyle w:val="TableParagraph"/>
              <w:spacing w:before="71"/>
              <w:ind w:left="39" w:right="41"/>
              <w:jc w:val="center"/>
              <w:rPr>
                <w:sz w:val="18"/>
              </w:rPr>
            </w:pPr>
            <w:r>
              <w:rPr>
                <w:spacing w:val="-2"/>
                <w:sz w:val="18"/>
              </w:rPr>
              <w:t>1.184.721</w:t>
            </w:r>
          </w:p>
        </w:tc>
        <w:tc>
          <w:tcPr>
            <w:tcW w:w="1549" w:type="dxa"/>
            <w:tcBorders>
              <w:top w:val="single" w:sz="4" w:space="0" w:color="1F3763"/>
              <w:bottom w:val="single" w:sz="12" w:space="0" w:color="000000"/>
            </w:tcBorders>
          </w:tcPr>
          <w:p>
            <w:pPr>
              <w:pStyle w:val="TableParagraph"/>
              <w:spacing w:before="71"/>
              <w:ind w:left="122" w:right="3"/>
              <w:jc w:val="center"/>
              <w:rPr>
                <w:sz w:val="18"/>
              </w:rPr>
            </w:pPr>
            <w:r>
              <w:rPr>
                <w:spacing w:val="-2"/>
                <w:sz w:val="18"/>
              </w:rPr>
              <w:t>122.618.624</w:t>
            </w:r>
          </w:p>
        </w:tc>
        <w:tc>
          <w:tcPr>
            <w:tcW w:w="1805" w:type="dxa"/>
            <w:tcBorders>
              <w:top w:val="single" w:sz="4" w:space="0" w:color="1F3763"/>
              <w:bottom w:val="single" w:sz="12" w:space="0" w:color="000000"/>
            </w:tcBorders>
          </w:tcPr>
          <w:p>
            <w:pPr>
              <w:pStyle w:val="TableParagraph"/>
              <w:spacing w:before="71"/>
              <w:ind w:left="40"/>
              <w:jc w:val="center"/>
              <w:rPr>
                <w:sz w:val="18"/>
              </w:rPr>
            </w:pPr>
            <w:r>
              <w:rPr>
                <w:spacing w:val="-2"/>
                <w:sz w:val="18"/>
              </w:rPr>
              <w:t>13.335.159</w:t>
            </w:r>
          </w:p>
        </w:tc>
      </w:tr>
      <w:tr>
        <w:trPr>
          <w:trHeight w:val="311" w:hRule="atLeast"/>
        </w:trPr>
        <w:tc>
          <w:tcPr>
            <w:tcW w:w="1200" w:type="dxa"/>
            <w:tcBorders>
              <w:top w:val="single" w:sz="12" w:space="0" w:color="000000"/>
            </w:tcBorders>
          </w:tcPr>
          <w:p>
            <w:pPr>
              <w:pStyle w:val="TableParagraph"/>
              <w:rPr>
                <w:rFonts w:ascii="Times New Roman"/>
                <w:sz w:val="16"/>
              </w:rPr>
            </w:pPr>
          </w:p>
        </w:tc>
        <w:tc>
          <w:tcPr>
            <w:tcW w:w="1610" w:type="dxa"/>
            <w:tcBorders>
              <w:top w:val="single" w:sz="12" w:space="0" w:color="000000"/>
              <w:bottom w:val="single" w:sz="4" w:space="0" w:color="1F3763"/>
            </w:tcBorders>
          </w:tcPr>
          <w:p>
            <w:pPr>
              <w:pStyle w:val="TableParagraph"/>
              <w:spacing w:before="51"/>
              <w:ind w:left="87"/>
              <w:jc w:val="center"/>
              <w:rPr>
                <w:sz w:val="18"/>
              </w:rPr>
            </w:pPr>
            <w:r>
              <w:rPr>
                <w:spacing w:val="-2"/>
                <w:sz w:val="18"/>
              </w:rPr>
              <w:t>31/12/2022</w:t>
            </w:r>
          </w:p>
        </w:tc>
        <w:tc>
          <w:tcPr>
            <w:tcW w:w="1689" w:type="dxa"/>
            <w:tcBorders>
              <w:top w:val="single" w:sz="12" w:space="0" w:color="000000"/>
              <w:bottom w:val="single" w:sz="4" w:space="0" w:color="1F3763"/>
            </w:tcBorders>
          </w:tcPr>
          <w:p>
            <w:pPr>
              <w:pStyle w:val="TableParagraph"/>
              <w:spacing w:before="51"/>
              <w:ind w:left="6" w:right="1"/>
              <w:jc w:val="center"/>
              <w:rPr>
                <w:sz w:val="18"/>
              </w:rPr>
            </w:pPr>
            <w:r>
              <w:rPr>
                <w:spacing w:val="-2"/>
                <w:sz w:val="18"/>
              </w:rPr>
              <w:t>64.109.490</w:t>
            </w:r>
          </w:p>
        </w:tc>
        <w:tc>
          <w:tcPr>
            <w:tcW w:w="1365" w:type="dxa"/>
            <w:tcBorders>
              <w:top w:val="single" w:sz="12" w:space="0" w:color="000000"/>
              <w:bottom w:val="single" w:sz="4" w:space="0" w:color="1F3763"/>
            </w:tcBorders>
          </w:tcPr>
          <w:p>
            <w:pPr>
              <w:pStyle w:val="TableParagraph"/>
              <w:spacing w:before="51"/>
              <w:ind w:left="39" w:right="41"/>
              <w:jc w:val="center"/>
              <w:rPr>
                <w:sz w:val="18"/>
              </w:rPr>
            </w:pPr>
            <w:r>
              <w:rPr>
                <w:spacing w:val="-2"/>
                <w:sz w:val="18"/>
              </w:rPr>
              <w:t>56.906.508</w:t>
            </w:r>
          </w:p>
        </w:tc>
        <w:tc>
          <w:tcPr>
            <w:tcW w:w="1549" w:type="dxa"/>
            <w:tcBorders>
              <w:top w:val="single" w:sz="12" w:space="0" w:color="000000"/>
              <w:bottom w:val="single" w:sz="4" w:space="0" w:color="1F3763"/>
            </w:tcBorders>
          </w:tcPr>
          <w:p>
            <w:pPr>
              <w:pStyle w:val="TableParagraph"/>
              <w:spacing w:before="51"/>
              <w:ind w:left="122"/>
              <w:jc w:val="center"/>
              <w:rPr>
                <w:sz w:val="18"/>
              </w:rPr>
            </w:pPr>
            <w:r>
              <w:rPr>
                <w:spacing w:val="-2"/>
                <w:sz w:val="18"/>
              </w:rPr>
              <w:t>1.743.135.226</w:t>
            </w:r>
          </w:p>
        </w:tc>
        <w:tc>
          <w:tcPr>
            <w:tcW w:w="1805" w:type="dxa"/>
            <w:tcBorders>
              <w:top w:val="single" w:sz="12" w:space="0" w:color="000000"/>
              <w:bottom w:val="single" w:sz="4" w:space="0" w:color="1F3763"/>
            </w:tcBorders>
          </w:tcPr>
          <w:p>
            <w:pPr>
              <w:pStyle w:val="TableParagraph"/>
              <w:spacing w:before="51"/>
              <w:ind w:left="40"/>
              <w:jc w:val="center"/>
              <w:rPr>
                <w:sz w:val="18"/>
              </w:rPr>
            </w:pPr>
            <w:r>
              <w:rPr>
                <w:spacing w:val="-2"/>
                <w:sz w:val="18"/>
              </w:rPr>
              <w:t>19.235.971</w:t>
            </w:r>
          </w:p>
        </w:tc>
      </w:tr>
      <w:tr>
        <w:trPr>
          <w:trHeight w:val="331" w:hRule="atLeast"/>
        </w:trPr>
        <w:tc>
          <w:tcPr>
            <w:tcW w:w="1200" w:type="dxa"/>
          </w:tcPr>
          <w:p>
            <w:pPr>
              <w:pStyle w:val="TableParagraph"/>
              <w:spacing w:before="71"/>
              <w:ind w:left="3" w:right="3"/>
              <w:jc w:val="center"/>
              <w:rPr>
                <w:b/>
                <w:sz w:val="18"/>
              </w:rPr>
            </w:pPr>
            <w:r>
              <w:rPr>
                <w:b/>
                <w:spacing w:val="-2"/>
                <w:sz w:val="18"/>
              </w:rPr>
              <w:t>SEVILLA</w:t>
            </w:r>
          </w:p>
        </w:tc>
        <w:tc>
          <w:tcPr>
            <w:tcW w:w="1610" w:type="dxa"/>
            <w:tcBorders>
              <w:top w:val="single" w:sz="4" w:space="0" w:color="1F3763"/>
              <w:bottom w:val="single" w:sz="4" w:space="0" w:color="1F3763"/>
            </w:tcBorders>
          </w:tcPr>
          <w:p>
            <w:pPr>
              <w:pStyle w:val="TableParagraph"/>
              <w:spacing w:before="71"/>
              <w:ind w:left="87"/>
              <w:jc w:val="center"/>
              <w:rPr>
                <w:sz w:val="18"/>
              </w:rPr>
            </w:pPr>
            <w:r>
              <w:rPr>
                <w:spacing w:val="-2"/>
                <w:sz w:val="18"/>
              </w:rPr>
              <w:t>31/12/2023</w:t>
            </w:r>
          </w:p>
        </w:tc>
        <w:tc>
          <w:tcPr>
            <w:tcW w:w="1689" w:type="dxa"/>
            <w:tcBorders>
              <w:top w:val="single" w:sz="4" w:space="0" w:color="1F3763"/>
              <w:bottom w:val="single" w:sz="4" w:space="0" w:color="1F3763"/>
            </w:tcBorders>
          </w:tcPr>
          <w:p>
            <w:pPr>
              <w:pStyle w:val="TableParagraph"/>
              <w:spacing w:before="71"/>
              <w:ind w:left="6" w:right="1"/>
              <w:jc w:val="center"/>
              <w:rPr>
                <w:sz w:val="18"/>
              </w:rPr>
            </w:pPr>
            <w:r>
              <w:rPr>
                <w:spacing w:val="-2"/>
                <w:sz w:val="18"/>
              </w:rPr>
              <w:t>74.564.519</w:t>
            </w:r>
          </w:p>
        </w:tc>
        <w:tc>
          <w:tcPr>
            <w:tcW w:w="1365" w:type="dxa"/>
            <w:tcBorders>
              <w:top w:val="single" w:sz="4" w:space="0" w:color="1F3763"/>
              <w:bottom w:val="single" w:sz="4" w:space="0" w:color="1F3763"/>
            </w:tcBorders>
          </w:tcPr>
          <w:p>
            <w:pPr>
              <w:pStyle w:val="TableParagraph"/>
              <w:spacing w:before="71"/>
              <w:ind w:left="39" w:right="41"/>
              <w:jc w:val="center"/>
              <w:rPr>
                <w:sz w:val="18"/>
              </w:rPr>
            </w:pPr>
            <w:r>
              <w:rPr>
                <w:spacing w:val="-2"/>
                <w:sz w:val="18"/>
              </w:rPr>
              <w:t>67.122.094</w:t>
            </w:r>
          </w:p>
        </w:tc>
        <w:tc>
          <w:tcPr>
            <w:tcW w:w="1549" w:type="dxa"/>
            <w:tcBorders>
              <w:top w:val="single" w:sz="4" w:space="0" w:color="1F3763"/>
              <w:bottom w:val="single" w:sz="4" w:space="0" w:color="1F3763"/>
            </w:tcBorders>
          </w:tcPr>
          <w:p>
            <w:pPr>
              <w:pStyle w:val="TableParagraph"/>
              <w:spacing w:before="71"/>
              <w:ind w:left="122"/>
              <w:jc w:val="center"/>
              <w:rPr>
                <w:sz w:val="18"/>
              </w:rPr>
            </w:pPr>
            <w:r>
              <w:rPr>
                <w:spacing w:val="-2"/>
                <w:sz w:val="18"/>
              </w:rPr>
              <w:t>1.791.550.043</w:t>
            </w:r>
          </w:p>
        </w:tc>
        <w:tc>
          <w:tcPr>
            <w:tcW w:w="1805" w:type="dxa"/>
            <w:tcBorders>
              <w:top w:val="single" w:sz="4" w:space="0" w:color="1F3763"/>
              <w:bottom w:val="single" w:sz="4" w:space="0" w:color="1F3763"/>
            </w:tcBorders>
          </w:tcPr>
          <w:p>
            <w:pPr>
              <w:pStyle w:val="TableParagraph"/>
              <w:spacing w:before="71"/>
              <w:ind w:left="40"/>
              <w:jc w:val="center"/>
              <w:rPr>
                <w:sz w:val="18"/>
              </w:rPr>
            </w:pPr>
            <w:r>
              <w:rPr>
                <w:spacing w:val="-2"/>
                <w:sz w:val="18"/>
              </w:rPr>
              <w:t>19.663.211</w:t>
            </w:r>
          </w:p>
        </w:tc>
      </w:tr>
      <w:tr>
        <w:trPr>
          <w:trHeight w:val="327" w:hRule="atLeast"/>
        </w:trPr>
        <w:tc>
          <w:tcPr>
            <w:tcW w:w="1200" w:type="dxa"/>
            <w:tcBorders>
              <w:bottom w:val="single" w:sz="12" w:space="0" w:color="000000"/>
            </w:tcBorders>
          </w:tcPr>
          <w:p>
            <w:pPr>
              <w:pStyle w:val="TableParagraph"/>
              <w:rPr>
                <w:rFonts w:ascii="Times New Roman"/>
                <w:sz w:val="16"/>
              </w:rPr>
            </w:pPr>
          </w:p>
        </w:tc>
        <w:tc>
          <w:tcPr>
            <w:tcW w:w="1610" w:type="dxa"/>
            <w:tcBorders>
              <w:top w:val="single" w:sz="4" w:space="0" w:color="1F3763"/>
              <w:bottom w:val="single" w:sz="12" w:space="0" w:color="000000"/>
            </w:tcBorders>
          </w:tcPr>
          <w:p>
            <w:pPr>
              <w:pStyle w:val="TableParagraph"/>
              <w:spacing w:before="71"/>
              <w:ind w:left="87"/>
              <w:jc w:val="center"/>
              <w:rPr>
                <w:sz w:val="18"/>
              </w:rPr>
            </w:pPr>
            <w:r>
              <w:rPr>
                <w:spacing w:val="-2"/>
                <w:sz w:val="18"/>
              </w:rPr>
              <w:t>31/12/2024</w:t>
            </w:r>
          </w:p>
        </w:tc>
        <w:tc>
          <w:tcPr>
            <w:tcW w:w="1689" w:type="dxa"/>
            <w:tcBorders>
              <w:top w:val="single" w:sz="4" w:space="0" w:color="1F3763"/>
              <w:bottom w:val="single" w:sz="12" w:space="0" w:color="000000"/>
            </w:tcBorders>
          </w:tcPr>
          <w:p>
            <w:pPr>
              <w:pStyle w:val="TableParagraph"/>
              <w:spacing w:before="71"/>
              <w:ind w:left="6" w:right="1"/>
              <w:jc w:val="center"/>
              <w:rPr>
                <w:sz w:val="18"/>
              </w:rPr>
            </w:pPr>
            <w:r>
              <w:rPr>
                <w:spacing w:val="-2"/>
                <w:sz w:val="18"/>
              </w:rPr>
              <w:t>83.274.846</w:t>
            </w:r>
          </w:p>
        </w:tc>
        <w:tc>
          <w:tcPr>
            <w:tcW w:w="1365" w:type="dxa"/>
            <w:tcBorders>
              <w:top w:val="single" w:sz="4" w:space="0" w:color="1F3763"/>
              <w:bottom w:val="single" w:sz="12" w:space="0" w:color="000000"/>
            </w:tcBorders>
          </w:tcPr>
          <w:p>
            <w:pPr>
              <w:pStyle w:val="TableParagraph"/>
              <w:spacing w:before="71"/>
              <w:ind w:left="39" w:right="41"/>
              <w:jc w:val="center"/>
              <w:rPr>
                <w:sz w:val="18"/>
              </w:rPr>
            </w:pPr>
            <w:r>
              <w:rPr>
                <w:spacing w:val="-2"/>
                <w:sz w:val="18"/>
              </w:rPr>
              <w:t>76.591.928</w:t>
            </w:r>
          </w:p>
        </w:tc>
        <w:tc>
          <w:tcPr>
            <w:tcW w:w="1549" w:type="dxa"/>
            <w:tcBorders>
              <w:top w:val="single" w:sz="4" w:space="0" w:color="1F3763"/>
              <w:bottom w:val="single" w:sz="12" w:space="0" w:color="000000"/>
            </w:tcBorders>
          </w:tcPr>
          <w:p>
            <w:pPr>
              <w:pStyle w:val="TableParagraph"/>
              <w:spacing w:before="71"/>
              <w:ind w:left="122"/>
              <w:jc w:val="center"/>
              <w:rPr>
                <w:sz w:val="18"/>
              </w:rPr>
            </w:pPr>
            <w:r>
              <w:rPr>
                <w:spacing w:val="-2"/>
                <w:sz w:val="18"/>
              </w:rPr>
              <w:t>1.838.184.073</w:t>
            </w:r>
          </w:p>
        </w:tc>
        <w:tc>
          <w:tcPr>
            <w:tcW w:w="1805" w:type="dxa"/>
            <w:tcBorders>
              <w:top w:val="single" w:sz="4" w:space="0" w:color="1F3763"/>
              <w:bottom w:val="single" w:sz="12" w:space="0" w:color="000000"/>
            </w:tcBorders>
          </w:tcPr>
          <w:p>
            <w:pPr>
              <w:pStyle w:val="TableParagraph"/>
              <w:spacing w:before="71"/>
              <w:ind w:left="40"/>
              <w:jc w:val="center"/>
              <w:rPr>
                <w:sz w:val="18"/>
              </w:rPr>
            </w:pPr>
            <w:r>
              <w:rPr>
                <w:spacing w:val="-2"/>
                <w:sz w:val="18"/>
              </w:rPr>
              <w:t>20.077.965</w:t>
            </w:r>
          </w:p>
        </w:tc>
      </w:tr>
      <w:tr>
        <w:trPr>
          <w:trHeight w:val="311" w:hRule="atLeast"/>
        </w:trPr>
        <w:tc>
          <w:tcPr>
            <w:tcW w:w="1200" w:type="dxa"/>
            <w:tcBorders>
              <w:top w:val="single" w:sz="12" w:space="0" w:color="000000"/>
            </w:tcBorders>
          </w:tcPr>
          <w:p>
            <w:pPr>
              <w:pStyle w:val="TableParagraph"/>
              <w:rPr>
                <w:rFonts w:ascii="Times New Roman"/>
                <w:sz w:val="16"/>
              </w:rPr>
            </w:pPr>
          </w:p>
        </w:tc>
        <w:tc>
          <w:tcPr>
            <w:tcW w:w="1610" w:type="dxa"/>
            <w:tcBorders>
              <w:top w:val="single" w:sz="12" w:space="0" w:color="000000"/>
              <w:bottom w:val="single" w:sz="4" w:space="0" w:color="1F3763"/>
            </w:tcBorders>
          </w:tcPr>
          <w:p>
            <w:pPr>
              <w:pStyle w:val="TableParagraph"/>
              <w:spacing w:before="51"/>
              <w:ind w:left="87"/>
              <w:jc w:val="center"/>
              <w:rPr>
                <w:sz w:val="18"/>
              </w:rPr>
            </w:pPr>
            <w:r>
              <w:rPr>
                <w:spacing w:val="-2"/>
                <w:sz w:val="18"/>
              </w:rPr>
              <w:t>31/12/2022</w:t>
            </w:r>
          </w:p>
        </w:tc>
        <w:tc>
          <w:tcPr>
            <w:tcW w:w="1689" w:type="dxa"/>
            <w:tcBorders>
              <w:top w:val="single" w:sz="12" w:space="0" w:color="000000"/>
              <w:bottom w:val="single" w:sz="4" w:space="0" w:color="1F3763"/>
            </w:tcBorders>
          </w:tcPr>
          <w:p>
            <w:pPr>
              <w:pStyle w:val="TableParagraph"/>
              <w:spacing w:before="51"/>
              <w:ind w:left="6" w:right="1"/>
              <w:jc w:val="center"/>
              <w:rPr>
                <w:sz w:val="18"/>
              </w:rPr>
            </w:pPr>
            <w:r>
              <w:rPr>
                <w:spacing w:val="-2"/>
                <w:sz w:val="18"/>
              </w:rPr>
              <w:t>73.864.810</w:t>
            </w:r>
          </w:p>
        </w:tc>
        <w:tc>
          <w:tcPr>
            <w:tcW w:w="1365" w:type="dxa"/>
            <w:tcBorders>
              <w:top w:val="single" w:sz="12" w:space="0" w:color="000000"/>
              <w:bottom w:val="single" w:sz="4" w:space="0" w:color="1F3763"/>
            </w:tcBorders>
          </w:tcPr>
          <w:p>
            <w:pPr>
              <w:pStyle w:val="TableParagraph"/>
              <w:spacing w:before="51"/>
              <w:ind w:left="39" w:right="41"/>
              <w:jc w:val="center"/>
              <w:rPr>
                <w:sz w:val="18"/>
              </w:rPr>
            </w:pPr>
            <w:r>
              <w:rPr>
                <w:spacing w:val="-2"/>
                <w:sz w:val="18"/>
              </w:rPr>
              <w:t>2.423.360</w:t>
            </w:r>
          </w:p>
        </w:tc>
        <w:tc>
          <w:tcPr>
            <w:tcW w:w="1549" w:type="dxa"/>
            <w:tcBorders>
              <w:top w:val="single" w:sz="12" w:space="0" w:color="000000"/>
              <w:bottom w:val="single" w:sz="4" w:space="0" w:color="1F3763"/>
            </w:tcBorders>
          </w:tcPr>
          <w:p>
            <w:pPr>
              <w:pStyle w:val="TableParagraph"/>
              <w:spacing w:before="51"/>
              <w:ind w:left="122" w:right="3"/>
              <w:jc w:val="center"/>
              <w:rPr>
                <w:sz w:val="18"/>
              </w:rPr>
            </w:pPr>
            <w:r>
              <w:rPr>
                <w:spacing w:val="-2"/>
                <w:sz w:val="18"/>
              </w:rPr>
              <w:t>257.509.538</w:t>
            </w:r>
          </w:p>
        </w:tc>
        <w:tc>
          <w:tcPr>
            <w:tcW w:w="1805" w:type="dxa"/>
            <w:tcBorders>
              <w:top w:val="single" w:sz="12" w:space="0" w:color="000000"/>
              <w:bottom w:val="single" w:sz="4" w:space="0" w:color="1F3763"/>
            </w:tcBorders>
          </w:tcPr>
          <w:p>
            <w:pPr>
              <w:pStyle w:val="TableParagraph"/>
              <w:spacing w:before="51"/>
              <w:ind w:left="40"/>
              <w:jc w:val="center"/>
              <w:rPr>
                <w:sz w:val="18"/>
              </w:rPr>
            </w:pPr>
            <w:r>
              <w:rPr>
                <w:spacing w:val="-2"/>
                <w:sz w:val="18"/>
              </w:rPr>
              <w:t>17.983.306</w:t>
            </w:r>
          </w:p>
        </w:tc>
      </w:tr>
      <w:tr>
        <w:trPr>
          <w:trHeight w:val="330" w:hRule="atLeast"/>
        </w:trPr>
        <w:tc>
          <w:tcPr>
            <w:tcW w:w="1200" w:type="dxa"/>
          </w:tcPr>
          <w:p>
            <w:pPr>
              <w:pStyle w:val="TableParagraph"/>
              <w:spacing w:before="71"/>
              <w:ind w:left="3" w:right="3"/>
              <w:jc w:val="center"/>
              <w:rPr>
                <w:b/>
                <w:sz w:val="18"/>
              </w:rPr>
            </w:pPr>
            <w:r>
              <w:rPr>
                <w:b/>
                <w:spacing w:val="-2"/>
                <w:sz w:val="18"/>
              </w:rPr>
              <w:t>ZARAGOZA</w:t>
            </w:r>
          </w:p>
        </w:tc>
        <w:tc>
          <w:tcPr>
            <w:tcW w:w="1610" w:type="dxa"/>
            <w:tcBorders>
              <w:top w:val="single" w:sz="4" w:space="0" w:color="1F3763"/>
              <w:bottom w:val="single" w:sz="4" w:space="0" w:color="1F3763"/>
            </w:tcBorders>
          </w:tcPr>
          <w:p>
            <w:pPr>
              <w:pStyle w:val="TableParagraph"/>
              <w:spacing w:before="71"/>
              <w:ind w:left="87"/>
              <w:jc w:val="center"/>
              <w:rPr>
                <w:sz w:val="18"/>
              </w:rPr>
            </w:pPr>
            <w:r>
              <w:rPr>
                <w:spacing w:val="-2"/>
                <w:sz w:val="18"/>
              </w:rPr>
              <w:t>31/12/2023</w:t>
            </w:r>
          </w:p>
        </w:tc>
        <w:tc>
          <w:tcPr>
            <w:tcW w:w="1689" w:type="dxa"/>
            <w:tcBorders>
              <w:top w:val="single" w:sz="4" w:space="0" w:color="1F3763"/>
              <w:bottom w:val="single" w:sz="4" w:space="0" w:color="1F3763"/>
            </w:tcBorders>
          </w:tcPr>
          <w:p>
            <w:pPr>
              <w:pStyle w:val="TableParagraph"/>
              <w:spacing w:before="71"/>
              <w:ind w:left="6" w:right="1"/>
              <w:jc w:val="center"/>
              <w:rPr>
                <w:sz w:val="18"/>
              </w:rPr>
            </w:pPr>
            <w:r>
              <w:rPr>
                <w:spacing w:val="-2"/>
                <w:sz w:val="18"/>
              </w:rPr>
              <w:t>87.613.979</w:t>
            </w:r>
          </w:p>
        </w:tc>
        <w:tc>
          <w:tcPr>
            <w:tcW w:w="1365" w:type="dxa"/>
            <w:tcBorders>
              <w:top w:val="single" w:sz="4" w:space="0" w:color="1F3763"/>
              <w:bottom w:val="single" w:sz="4" w:space="0" w:color="1F3763"/>
            </w:tcBorders>
          </w:tcPr>
          <w:p>
            <w:pPr>
              <w:pStyle w:val="TableParagraph"/>
              <w:spacing w:before="71"/>
              <w:ind w:left="39" w:right="41"/>
              <w:jc w:val="center"/>
              <w:rPr>
                <w:sz w:val="18"/>
              </w:rPr>
            </w:pPr>
            <w:r>
              <w:rPr>
                <w:spacing w:val="-2"/>
                <w:sz w:val="18"/>
              </w:rPr>
              <w:t>2.399.493</w:t>
            </w:r>
          </w:p>
        </w:tc>
        <w:tc>
          <w:tcPr>
            <w:tcW w:w="1549" w:type="dxa"/>
            <w:tcBorders>
              <w:top w:val="single" w:sz="4" w:space="0" w:color="1F3763"/>
              <w:bottom w:val="single" w:sz="4" w:space="0" w:color="1F3763"/>
            </w:tcBorders>
          </w:tcPr>
          <w:p>
            <w:pPr>
              <w:pStyle w:val="TableParagraph"/>
              <w:spacing w:before="71"/>
              <w:ind w:left="122" w:right="3"/>
              <w:jc w:val="center"/>
              <w:rPr>
                <w:sz w:val="18"/>
              </w:rPr>
            </w:pPr>
            <w:r>
              <w:rPr>
                <w:spacing w:val="-2"/>
                <w:sz w:val="18"/>
              </w:rPr>
              <w:t>251.169.656</w:t>
            </w:r>
          </w:p>
        </w:tc>
        <w:tc>
          <w:tcPr>
            <w:tcW w:w="1805" w:type="dxa"/>
            <w:tcBorders>
              <w:top w:val="single" w:sz="4" w:space="0" w:color="1F3763"/>
              <w:bottom w:val="single" w:sz="4" w:space="0" w:color="1F3763"/>
            </w:tcBorders>
          </w:tcPr>
          <w:p>
            <w:pPr>
              <w:pStyle w:val="TableParagraph"/>
              <w:spacing w:before="71"/>
              <w:ind w:left="40"/>
              <w:jc w:val="center"/>
              <w:rPr>
                <w:sz w:val="18"/>
              </w:rPr>
            </w:pPr>
            <w:r>
              <w:rPr>
                <w:spacing w:val="-2"/>
                <w:sz w:val="18"/>
              </w:rPr>
              <w:t>18.433.410</w:t>
            </w:r>
          </w:p>
        </w:tc>
      </w:tr>
      <w:tr>
        <w:trPr>
          <w:trHeight w:val="330" w:hRule="atLeast"/>
        </w:trPr>
        <w:tc>
          <w:tcPr>
            <w:tcW w:w="1200" w:type="dxa"/>
            <w:tcBorders>
              <w:bottom w:val="single" w:sz="12" w:space="0" w:color="000000"/>
            </w:tcBorders>
          </w:tcPr>
          <w:p>
            <w:pPr>
              <w:pStyle w:val="TableParagraph"/>
              <w:rPr>
                <w:rFonts w:ascii="Times New Roman"/>
                <w:sz w:val="16"/>
              </w:rPr>
            </w:pPr>
          </w:p>
        </w:tc>
        <w:tc>
          <w:tcPr>
            <w:tcW w:w="1610" w:type="dxa"/>
            <w:tcBorders>
              <w:top w:val="single" w:sz="4" w:space="0" w:color="1F3763"/>
              <w:bottom w:val="single" w:sz="12" w:space="0" w:color="000000"/>
            </w:tcBorders>
          </w:tcPr>
          <w:p>
            <w:pPr>
              <w:pStyle w:val="TableParagraph"/>
              <w:spacing w:before="71"/>
              <w:ind w:left="87"/>
              <w:jc w:val="center"/>
              <w:rPr>
                <w:sz w:val="18"/>
              </w:rPr>
            </w:pPr>
            <w:r>
              <w:rPr>
                <w:spacing w:val="-2"/>
                <w:sz w:val="18"/>
              </w:rPr>
              <w:t>31/12/2024</w:t>
            </w:r>
          </w:p>
        </w:tc>
        <w:tc>
          <w:tcPr>
            <w:tcW w:w="1689" w:type="dxa"/>
            <w:tcBorders>
              <w:top w:val="single" w:sz="4" w:space="0" w:color="1F3763"/>
              <w:bottom w:val="single" w:sz="12" w:space="0" w:color="000000"/>
            </w:tcBorders>
          </w:tcPr>
          <w:p>
            <w:pPr>
              <w:pStyle w:val="TableParagraph"/>
              <w:spacing w:before="71"/>
              <w:ind w:left="6" w:right="1"/>
              <w:jc w:val="center"/>
              <w:rPr>
                <w:sz w:val="18"/>
              </w:rPr>
            </w:pPr>
            <w:r>
              <w:rPr>
                <w:spacing w:val="-2"/>
                <w:sz w:val="18"/>
              </w:rPr>
              <w:t>94.450.219</w:t>
            </w:r>
          </w:p>
        </w:tc>
        <w:tc>
          <w:tcPr>
            <w:tcW w:w="1365" w:type="dxa"/>
            <w:tcBorders>
              <w:top w:val="single" w:sz="4" w:space="0" w:color="1F3763"/>
              <w:bottom w:val="single" w:sz="12" w:space="0" w:color="000000"/>
            </w:tcBorders>
          </w:tcPr>
          <w:p>
            <w:pPr>
              <w:pStyle w:val="TableParagraph"/>
              <w:spacing w:before="71"/>
              <w:ind w:left="39" w:right="41"/>
              <w:jc w:val="center"/>
              <w:rPr>
                <w:sz w:val="18"/>
              </w:rPr>
            </w:pPr>
            <w:r>
              <w:rPr>
                <w:spacing w:val="-2"/>
                <w:sz w:val="18"/>
              </w:rPr>
              <w:t>2.342.460</w:t>
            </w:r>
          </w:p>
        </w:tc>
        <w:tc>
          <w:tcPr>
            <w:tcW w:w="1549" w:type="dxa"/>
            <w:tcBorders>
              <w:top w:val="single" w:sz="4" w:space="0" w:color="1F3763"/>
              <w:bottom w:val="single" w:sz="12" w:space="0" w:color="000000"/>
            </w:tcBorders>
          </w:tcPr>
          <w:p>
            <w:pPr>
              <w:pStyle w:val="TableParagraph"/>
              <w:spacing w:before="71"/>
              <w:ind w:left="122" w:right="3"/>
              <w:jc w:val="center"/>
              <w:rPr>
                <w:sz w:val="18"/>
              </w:rPr>
            </w:pPr>
            <w:r>
              <w:rPr>
                <w:spacing w:val="-2"/>
                <w:sz w:val="18"/>
              </w:rPr>
              <w:t>247.397.801</w:t>
            </w:r>
          </w:p>
        </w:tc>
        <w:tc>
          <w:tcPr>
            <w:tcW w:w="1805" w:type="dxa"/>
            <w:tcBorders>
              <w:top w:val="single" w:sz="4" w:space="0" w:color="1F3763"/>
              <w:bottom w:val="single" w:sz="12" w:space="0" w:color="000000"/>
            </w:tcBorders>
          </w:tcPr>
          <w:p>
            <w:pPr>
              <w:pStyle w:val="TableParagraph"/>
              <w:spacing w:before="71"/>
              <w:ind w:left="40"/>
              <w:jc w:val="center"/>
              <w:rPr>
                <w:sz w:val="18"/>
              </w:rPr>
            </w:pPr>
            <w:r>
              <w:rPr>
                <w:spacing w:val="-2"/>
                <w:sz w:val="18"/>
              </w:rPr>
              <w:t>18.332.774</w:t>
            </w:r>
          </w:p>
        </w:tc>
      </w:tr>
    </w:tbl>
    <w:p>
      <w:pPr>
        <w:spacing w:line="379" w:lineRule="auto" w:before="147"/>
        <w:ind w:left="1275" w:right="4308" w:firstLine="0"/>
        <w:jc w:val="left"/>
        <w:rPr>
          <w:rFonts w:ascii="Arial Narrow" w:hAnsi="Arial Narrow"/>
          <w:sz w:val="18"/>
        </w:rPr>
      </w:pPr>
      <w:r>
        <w:rPr>
          <w:rFonts w:ascii="Arial Narrow" w:hAnsi="Arial Narrow"/>
          <w:sz w:val="18"/>
        </w:rPr>
        <w:t>Fuente:</w:t>
      </w:r>
      <w:r>
        <w:rPr>
          <w:rFonts w:ascii="Arial Narrow" w:hAnsi="Arial Narrow"/>
          <w:spacing w:val="-4"/>
          <w:sz w:val="18"/>
        </w:rPr>
        <w:t> </w:t>
      </w:r>
      <w:r>
        <w:rPr>
          <w:rFonts w:ascii="Arial Narrow" w:hAnsi="Arial Narrow"/>
          <w:sz w:val="18"/>
        </w:rPr>
        <w:t>Elaboración</w:t>
      </w:r>
      <w:r>
        <w:rPr>
          <w:rFonts w:ascii="Arial Narrow" w:hAnsi="Arial Narrow"/>
          <w:spacing w:val="-4"/>
          <w:sz w:val="18"/>
        </w:rPr>
        <w:t> </w:t>
      </w:r>
      <w:r>
        <w:rPr>
          <w:rFonts w:ascii="Arial Narrow" w:hAnsi="Arial Narrow"/>
          <w:sz w:val="18"/>
        </w:rPr>
        <w:t>propia</w:t>
      </w:r>
      <w:r>
        <w:rPr>
          <w:rFonts w:ascii="Arial Narrow" w:hAnsi="Arial Narrow"/>
          <w:spacing w:val="-4"/>
          <w:sz w:val="18"/>
        </w:rPr>
        <w:t> </w:t>
      </w:r>
      <w:r>
        <w:rPr>
          <w:rFonts w:ascii="Arial Narrow" w:hAnsi="Arial Narrow"/>
          <w:sz w:val="18"/>
        </w:rPr>
        <w:t>a</w:t>
      </w:r>
      <w:r>
        <w:rPr>
          <w:rFonts w:ascii="Arial Narrow" w:hAnsi="Arial Narrow"/>
          <w:spacing w:val="-4"/>
          <w:sz w:val="18"/>
        </w:rPr>
        <w:t> </w:t>
      </w:r>
      <w:r>
        <w:rPr>
          <w:rFonts w:ascii="Arial Narrow" w:hAnsi="Arial Narrow"/>
          <w:sz w:val="18"/>
        </w:rPr>
        <w:t>partir</w:t>
      </w:r>
      <w:r>
        <w:rPr>
          <w:rFonts w:ascii="Arial Narrow" w:hAnsi="Arial Narrow"/>
          <w:spacing w:val="-2"/>
          <w:sz w:val="18"/>
        </w:rPr>
        <w:t> </w:t>
      </w:r>
      <w:r>
        <w:rPr>
          <w:rFonts w:ascii="Arial Narrow" w:hAnsi="Arial Narrow"/>
          <w:sz w:val="18"/>
        </w:rPr>
        <w:t>de</w:t>
      </w:r>
      <w:r>
        <w:rPr>
          <w:rFonts w:ascii="Arial Narrow" w:hAnsi="Arial Narrow"/>
          <w:spacing w:val="-4"/>
          <w:sz w:val="18"/>
        </w:rPr>
        <w:t> </w:t>
      </w:r>
      <w:r>
        <w:rPr>
          <w:rFonts w:ascii="Arial Narrow" w:hAnsi="Arial Narrow"/>
          <w:sz w:val="18"/>
        </w:rPr>
        <w:t>los</w:t>
      </w:r>
      <w:r>
        <w:rPr>
          <w:rFonts w:ascii="Arial Narrow" w:hAnsi="Arial Narrow"/>
          <w:spacing w:val="-4"/>
          <w:sz w:val="18"/>
        </w:rPr>
        <w:t> </w:t>
      </w:r>
      <w:r>
        <w:rPr>
          <w:rFonts w:ascii="Arial Narrow" w:hAnsi="Arial Narrow"/>
          <w:sz w:val="18"/>
        </w:rPr>
        <w:t>datos</w:t>
      </w:r>
      <w:r>
        <w:rPr>
          <w:rFonts w:ascii="Arial Narrow" w:hAnsi="Arial Narrow"/>
          <w:spacing w:val="-2"/>
          <w:sz w:val="18"/>
        </w:rPr>
        <w:t> </w:t>
      </w:r>
      <w:r>
        <w:rPr>
          <w:rFonts w:ascii="Arial Narrow" w:hAnsi="Arial Narrow"/>
          <w:sz w:val="18"/>
        </w:rPr>
        <w:t>facilitados</w:t>
      </w:r>
      <w:r>
        <w:rPr>
          <w:rFonts w:ascii="Arial Narrow" w:hAnsi="Arial Narrow"/>
          <w:spacing w:val="-3"/>
          <w:sz w:val="18"/>
        </w:rPr>
        <w:t> </w:t>
      </w:r>
      <w:r>
        <w:rPr>
          <w:rFonts w:ascii="Arial Narrow" w:hAnsi="Arial Narrow"/>
          <w:sz w:val="18"/>
        </w:rPr>
        <w:t>por</w:t>
      </w:r>
      <w:r>
        <w:rPr>
          <w:rFonts w:ascii="Arial Narrow" w:hAnsi="Arial Narrow"/>
          <w:spacing w:val="-2"/>
          <w:sz w:val="18"/>
        </w:rPr>
        <w:t> </w:t>
      </w:r>
      <w:r>
        <w:rPr>
          <w:rFonts w:ascii="Arial Narrow" w:hAnsi="Arial Narrow"/>
          <w:sz w:val="18"/>
        </w:rPr>
        <w:t>las</w:t>
      </w:r>
      <w:r>
        <w:rPr>
          <w:rFonts w:ascii="Arial Narrow" w:hAnsi="Arial Narrow"/>
          <w:spacing w:val="-4"/>
          <w:sz w:val="18"/>
        </w:rPr>
        <w:t> </w:t>
      </w:r>
      <w:r>
        <w:rPr>
          <w:rFonts w:ascii="Arial Narrow" w:hAnsi="Arial Narrow"/>
          <w:sz w:val="18"/>
        </w:rPr>
        <w:t>entidades</w:t>
      </w:r>
      <w:r>
        <w:rPr>
          <w:rFonts w:ascii="Arial Narrow" w:hAnsi="Arial Narrow"/>
          <w:spacing w:val="-4"/>
          <w:sz w:val="18"/>
        </w:rPr>
        <w:t> </w:t>
      </w:r>
      <w:r>
        <w:rPr>
          <w:rFonts w:ascii="Arial Narrow" w:hAnsi="Arial Narrow"/>
          <w:sz w:val="18"/>
        </w:rPr>
        <w:t>fiscalizadas. N/D: No disponible.</w:t>
      </w:r>
    </w:p>
    <w:p>
      <w:pPr>
        <w:spacing w:after="0" w:line="379" w:lineRule="auto"/>
        <w:jc w:val="left"/>
        <w:rPr>
          <w:rFonts w:ascii="Arial Narrow" w:hAnsi="Arial Narrow"/>
          <w:sz w:val="18"/>
        </w:rPr>
        <w:sectPr>
          <w:pgSz w:w="11910" w:h="16840"/>
          <w:pgMar w:header="1270" w:footer="661" w:top="2800" w:bottom="860" w:left="141" w:right="141"/>
        </w:sectPr>
      </w:pPr>
    </w:p>
    <w:p>
      <w:pPr>
        <w:pStyle w:val="BodyText"/>
        <w:spacing w:before="125"/>
        <w:rPr>
          <w:rFonts w:ascii="Arial Narrow"/>
        </w:rPr>
      </w:pPr>
    </w:p>
    <w:p>
      <w:pPr>
        <w:pStyle w:val="Heading4"/>
        <w:ind w:right="3"/>
      </w:pPr>
      <w:bookmarkStart w:name="_bookmark136" w:id="138"/>
      <w:bookmarkEnd w:id="138"/>
      <w:r>
        <w:rPr>
          <w:b w:val="0"/>
        </w:rPr>
      </w:r>
      <w:bookmarkStart w:name="_bookmark137" w:id="139"/>
      <w:bookmarkEnd w:id="139"/>
      <w:r>
        <w:rPr>
          <w:b w:val="0"/>
        </w:rPr>
      </w:r>
      <w:r>
        <w:rPr/>
        <w:t>ACTUACIONES</w:t>
      </w:r>
      <w:r>
        <w:rPr>
          <w:spacing w:val="-8"/>
        </w:rPr>
        <w:t> </w:t>
      </w:r>
      <w:r>
        <w:rPr/>
        <w:t>REALIZADAS</w:t>
      </w:r>
      <w:r>
        <w:rPr>
          <w:spacing w:val="-9"/>
        </w:rPr>
        <w:t> </w:t>
      </w:r>
      <w:r>
        <w:rPr/>
        <w:t>POR</w:t>
      </w:r>
      <w:r>
        <w:rPr>
          <w:spacing w:val="-8"/>
        </w:rPr>
        <w:t> </w:t>
      </w:r>
      <w:r>
        <w:rPr/>
        <w:t>EL</w:t>
      </w:r>
      <w:r>
        <w:rPr>
          <w:spacing w:val="-8"/>
        </w:rPr>
        <w:t> </w:t>
      </w:r>
      <w:r>
        <w:rPr/>
        <w:t>AYUNTAMIENTO</w:t>
      </w:r>
      <w:r>
        <w:rPr>
          <w:spacing w:val="-7"/>
        </w:rPr>
        <w:t> </w:t>
      </w:r>
      <w:r>
        <w:rPr/>
        <w:t>DE</w:t>
      </w:r>
      <w:r>
        <w:rPr>
          <w:spacing w:val="-7"/>
        </w:rPr>
        <w:t> </w:t>
      </w:r>
      <w:r>
        <w:rPr>
          <w:spacing w:val="-2"/>
        </w:rPr>
        <w:t>ALICANTE</w:t>
      </w:r>
    </w:p>
    <w:p>
      <w:pPr>
        <w:pStyle w:val="BodyText"/>
        <w:spacing w:before="9"/>
        <w:rPr>
          <w:b/>
          <w:sz w:val="20"/>
        </w:rPr>
      </w:pPr>
    </w:p>
    <w:tbl>
      <w:tblPr>
        <w:tblW w:w="0" w:type="auto"/>
        <w:jc w:val="left"/>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64"/>
        <w:gridCol w:w="1702"/>
        <w:gridCol w:w="1348"/>
        <w:gridCol w:w="502"/>
        <w:gridCol w:w="1332"/>
        <w:gridCol w:w="785"/>
        <w:gridCol w:w="1213"/>
        <w:gridCol w:w="599"/>
        <w:gridCol w:w="1168"/>
      </w:tblGrid>
      <w:tr>
        <w:trPr>
          <w:trHeight w:val="420" w:hRule="atLeast"/>
        </w:trPr>
        <w:tc>
          <w:tcPr>
            <w:tcW w:w="2264" w:type="dxa"/>
            <w:shd w:val="clear" w:color="auto" w:fill="002D5D"/>
          </w:tcPr>
          <w:p>
            <w:pPr>
              <w:pStyle w:val="TableParagraph"/>
              <w:rPr>
                <w:rFonts w:ascii="Times New Roman"/>
                <w:sz w:val="16"/>
              </w:rPr>
            </w:pPr>
          </w:p>
        </w:tc>
        <w:tc>
          <w:tcPr>
            <w:tcW w:w="1702" w:type="dxa"/>
            <w:shd w:val="clear" w:color="auto" w:fill="002D5D"/>
          </w:tcPr>
          <w:p>
            <w:pPr>
              <w:pStyle w:val="TableParagraph"/>
              <w:rPr>
                <w:rFonts w:ascii="Times New Roman"/>
                <w:sz w:val="16"/>
              </w:rPr>
            </w:pPr>
          </w:p>
        </w:tc>
        <w:tc>
          <w:tcPr>
            <w:tcW w:w="1348" w:type="dxa"/>
            <w:shd w:val="clear" w:color="auto" w:fill="002D5D"/>
          </w:tcPr>
          <w:p>
            <w:pPr>
              <w:pStyle w:val="TableParagraph"/>
              <w:spacing w:line="208" w:lineRule="exact"/>
              <w:ind w:left="482" w:right="-29" w:firstLine="105"/>
              <w:rPr>
                <w:b/>
                <w:sz w:val="18"/>
              </w:rPr>
            </w:pPr>
            <w:r>
              <w:rPr>
                <w:b/>
                <w:color w:val="FFFFFF"/>
                <w:spacing w:val="-2"/>
                <w:sz w:val="18"/>
              </w:rPr>
              <w:t>IMPORTE</w:t>
            </w:r>
            <w:r>
              <w:rPr>
                <w:b/>
                <w:color w:val="FFFFFF"/>
                <w:sz w:val="18"/>
              </w:rPr>
              <w:t> </w:t>
            </w:r>
            <w:r>
              <w:rPr>
                <w:b/>
                <w:color w:val="FFFFFF"/>
                <w:spacing w:val="-2"/>
                <w:sz w:val="18"/>
              </w:rPr>
              <w:t>ACTUACIÓN</w:t>
            </w:r>
          </w:p>
        </w:tc>
        <w:tc>
          <w:tcPr>
            <w:tcW w:w="502" w:type="dxa"/>
            <w:shd w:val="clear" w:color="auto" w:fill="002D5D"/>
          </w:tcPr>
          <w:p>
            <w:pPr>
              <w:pStyle w:val="TableParagraph"/>
              <w:rPr>
                <w:rFonts w:ascii="Times New Roman"/>
                <w:sz w:val="16"/>
              </w:rPr>
            </w:pPr>
          </w:p>
        </w:tc>
        <w:tc>
          <w:tcPr>
            <w:tcW w:w="1332" w:type="dxa"/>
            <w:shd w:val="clear" w:color="auto" w:fill="002D5D"/>
          </w:tcPr>
          <w:p>
            <w:pPr>
              <w:pStyle w:val="TableParagraph"/>
              <w:rPr>
                <w:rFonts w:ascii="Times New Roman"/>
                <w:sz w:val="16"/>
              </w:rPr>
            </w:pPr>
          </w:p>
        </w:tc>
        <w:tc>
          <w:tcPr>
            <w:tcW w:w="1998" w:type="dxa"/>
            <w:gridSpan w:val="2"/>
            <w:shd w:val="clear" w:color="auto" w:fill="002D5D"/>
          </w:tcPr>
          <w:p>
            <w:pPr>
              <w:pStyle w:val="TableParagraph"/>
              <w:spacing w:before="133"/>
              <w:ind w:left="178"/>
              <w:rPr>
                <w:b/>
                <w:sz w:val="18"/>
              </w:rPr>
            </w:pPr>
            <w:r>
              <w:rPr>
                <w:b/>
                <w:color w:val="FFFFFF"/>
                <w:spacing w:val="-2"/>
                <w:sz w:val="18"/>
              </w:rPr>
              <w:t>FINANCIACIÓN</w:t>
            </w:r>
          </w:p>
        </w:tc>
        <w:tc>
          <w:tcPr>
            <w:tcW w:w="599" w:type="dxa"/>
            <w:shd w:val="clear" w:color="auto" w:fill="002D5D"/>
          </w:tcPr>
          <w:p>
            <w:pPr>
              <w:pStyle w:val="TableParagraph"/>
              <w:rPr>
                <w:rFonts w:ascii="Times New Roman"/>
                <w:sz w:val="16"/>
              </w:rPr>
            </w:pPr>
          </w:p>
        </w:tc>
        <w:tc>
          <w:tcPr>
            <w:tcW w:w="1168" w:type="dxa"/>
            <w:vMerge w:val="restart"/>
            <w:shd w:val="clear" w:color="auto" w:fill="002D5D"/>
          </w:tcPr>
          <w:p>
            <w:pPr>
              <w:pStyle w:val="TableParagraph"/>
              <w:spacing w:before="138"/>
              <w:ind w:left="145" w:right="136" w:hanging="2"/>
              <w:jc w:val="center"/>
              <w:rPr>
                <w:b/>
                <w:sz w:val="18"/>
              </w:rPr>
            </w:pPr>
            <w:r>
              <w:rPr>
                <w:b/>
                <w:color w:val="FFFFFF"/>
                <w:sz w:val="18"/>
              </w:rPr>
              <w:t>ESTADO</w:t>
            </w:r>
            <w:r>
              <w:rPr>
                <w:b/>
                <w:color w:val="FFFFFF"/>
                <w:spacing w:val="-11"/>
                <w:sz w:val="18"/>
              </w:rPr>
              <w:t> </w:t>
            </w:r>
            <w:r>
              <w:rPr>
                <w:b/>
                <w:color w:val="FFFFFF"/>
                <w:sz w:val="18"/>
              </w:rPr>
              <w:t>DE </w:t>
            </w:r>
            <w:r>
              <w:rPr>
                <w:b/>
                <w:color w:val="FFFFFF"/>
                <w:spacing w:val="-6"/>
                <w:sz w:val="18"/>
              </w:rPr>
              <w:t>LA</w:t>
            </w:r>
            <w:r>
              <w:rPr>
                <w:b/>
                <w:color w:val="FFFFFF"/>
                <w:sz w:val="18"/>
              </w:rPr>
              <w:t> </w:t>
            </w:r>
            <w:r>
              <w:rPr>
                <w:b/>
                <w:color w:val="FFFFFF"/>
                <w:spacing w:val="-2"/>
                <w:sz w:val="18"/>
              </w:rPr>
              <w:t>ACTUACIÓN</w:t>
            </w:r>
            <w:r>
              <w:rPr>
                <w:b/>
                <w:color w:val="FFFFFF"/>
                <w:sz w:val="18"/>
              </w:rPr>
              <w:t> </w:t>
            </w:r>
            <w:r>
              <w:rPr>
                <w:b/>
                <w:color w:val="FFFFFF"/>
                <w:spacing w:val="-2"/>
                <w:sz w:val="18"/>
              </w:rPr>
              <w:t>31/12/2024</w:t>
            </w:r>
          </w:p>
        </w:tc>
      </w:tr>
      <w:tr>
        <w:trPr>
          <w:trHeight w:val="261" w:hRule="atLeast"/>
        </w:trPr>
        <w:tc>
          <w:tcPr>
            <w:tcW w:w="2264" w:type="dxa"/>
            <w:shd w:val="clear" w:color="auto" w:fill="002D5D"/>
          </w:tcPr>
          <w:p>
            <w:pPr>
              <w:pStyle w:val="TableParagraph"/>
              <w:spacing w:before="28"/>
              <w:ind w:left="86"/>
              <w:rPr>
                <w:b/>
                <w:sz w:val="18"/>
              </w:rPr>
            </w:pPr>
            <w:r>
              <w:rPr>
                <w:b/>
                <w:color w:val="FFFFFF"/>
                <w:sz w:val="18"/>
              </w:rPr>
              <w:t>DENOMINACIÓN</w:t>
            </w:r>
            <w:r>
              <w:rPr>
                <w:b/>
                <w:color w:val="FFFFFF"/>
                <w:spacing w:val="-5"/>
                <w:sz w:val="18"/>
              </w:rPr>
              <w:t> </w:t>
            </w:r>
            <w:r>
              <w:rPr>
                <w:b/>
                <w:color w:val="FFFFFF"/>
                <w:spacing w:val="-2"/>
                <w:sz w:val="18"/>
              </w:rPr>
              <w:t>ACTUACIÓN</w:t>
            </w:r>
          </w:p>
        </w:tc>
        <w:tc>
          <w:tcPr>
            <w:tcW w:w="3050" w:type="dxa"/>
            <w:gridSpan w:val="2"/>
            <w:shd w:val="clear" w:color="auto" w:fill="002D5D"/>
          </w:tcPr>
          <w:p>
            <w:pPr>
              <w:pStyle w:val="TableParagraph"/>
              <w:spacing w:before="28"/>
              <w:ind w:left="448"/>
              <w:rPr>
                <w:b/>
                <w:sz w:val="18"/>
              </w:rPr>
            </w:pPr>
            <w:r>
              <w:rPr>
                <w:b/>
                <w:color w:val="FFFFFF"/>
                <w:spacing w:val="-2"/>
                <w:sz w:val="18"/>
              </w:rPr>
              <w:t>TIPOLOGÍA</w:t>
            </w:r>
          </w:p>
        </w:tc>
        <w:tc>
          <w:tcPr>
            <w:tcW w:w="502" w:type="dxa"/>
            <w:shd w:val="clear" w:color="auto" w:fill="002D5D"/>
          </w:tcPr>
          <w:p>
            <w:pPr>
              <w:pStyle w:val="TableParagraph"/>
              <w:rPr>
                <w:rFonts w:ascii="Times New Roman"/>
                <w:sz w:val="16"/>
              </w:rPr>
            </w:pPr>
          </w:p>
        </w:tc>
        <w:tc>
          <w:tcPr>
            <w:tcW w:w="2117" w:type="dxa"/>
            <w:gridSpan w:val="2"/>
          </w:tcPr>
          <w:p>
            <w:pPr>
              <w:pStyle w:val="TableParagraph"/>
              <w:spacing w:line="175" w:lineRule="exact" w:before="66"/>
              <w:ind w:left="578"/>
              <w:rPr>
                <w:b/>
                <w:sz w:val="18"/>
              </w:rPr>
            </w:pPr>
            <w:r>
              <w:rPr>
                <w:b/>
                <w:color w:val="FFFFFF"/>
                <w:spacing w:val="-2"/>
                <w:sz w:val="18"/>
              </w:rPr>
              <w:t>Ayuntamiento</w:t>
            </w:r>
          </w:p>
        </w:tc>
        <w:tc>
          <w:tcPr>
            <w:tcW w:w="1213" w:type="dxa"/>
          </w:tcPr>
          <w:p>
            <w:pPr>
              <w:pStyle w:val="TableParagraph"/>
              <w:spacing w:line="170" w:lineRule="exact" w:before="71"/>
              <w:ind w:right="98"/>
              <w:jc w:val="right"/>
              <w:rPr>
                <w:b/>
                <w:sz w:val="17"/>
              </w:rPr>
            </w:pPr>
            <w:r>
              <w:rPr>
                <w:b/>
                <w:color w:val="FFFFFF"/>
                <w:spacing w:val="-4"/>
                <w:sz w:val="17"/>
              </w:rPr>
              <w:t>PRTR</w:t>
            </w:r>
          </w:p>
        </w:tc>
        <w:tc>
          <w:tcPr>
            <w:tcW w:w="599" w:type="dxa"/>
          </w:tcPr>
          <w:p>
            <w:pPr>
              <w:pStyle w:val="TableParagraph"/>
              <w:rPr>
                <w:rFonts w:ascii="Times New Roman"/>
                <w:sz w:val="16"/>
              </w:rPr>
            </w:pPr>
          </w:p>
        </w:tc>
        <w:tc>
          <w:tcPr>
            <w:tcW w:w="1168" w:type="dxa"/>
            <w:vMerge/>
            <w:tcBorders>
              <w:top w:val="nil"/>
            </w:tcBorders>
            <w:shd w:val="clear" w:color="auto" w:fill="002D5D"/>
          </w:tcPr>
          <w:p>
            <w:pPr>
              <w:rPr>
                <w:sz w:val="2"/>
                <w:szCs w:val="2"/>
              </w:rPr>
            </w:pPr>
          </w:p>
        </w:tc>
      </w:tr>
      <w:tr>
        <w:trPr>
          <w:trHeight w:val="166" w:hRule="atLeast"/>
        </w:trPr>
        <w:tc>
          <w:tcPr>
            <w:tcW w:w="2264" w:type="dxa"/>
            <w:shd w:val="clear" w:color="auto" w:fill="002D5D"/>
          </w:tcPr>
          <w:p>
            <w:pPr>
              <w:pStyle w:val="TableParagraph"/>
              <w:rPr>
                <w:rFonts w:ascii="Times New Roman"/>
                <w:sz w:val="10"/>
              </w:rPr>
            </w:pPr>
          </w:p>
        </w:tc>
        <w:tc>
          <w:tcPr>
            <w:tcW w:w="1702" w:type="dxa"/>
            <w:shd w:val="clear" w:color="auto" w:fill="002D5D"/>
          </w:tcPr>
          <w:p>
            <w:pPr>
              <w:pStyle w:val="TableParagraph"/>
              <w:rPr>
                <w:rFonts w:ascii="Times New Roman"/>
                <w:sz w:val="10"/>
              </w:rPr>
            </w:pPr>
          </w:p>
        </w:tc>
        <w:tc>
          <w:tcPr>
            <w:tcW w:w="1348" w:type="dxa"/>
            <w:shd w:val="clear" w:color="auto" w:fill="002D5D"/>
          </w:tcPr>
          <w:p>
            <w:pPr>
              <w:pStyle w:val="TableParagraph"/>
              <w:spacing w:line="147" w:lineRule="exact"/>
              <w:ind w:right="171"/>
              <w:jc w:val="center"/>
              <w:rPr>
                <w:b/>
                <w:sz w:val="18"/>
              </w:rPr>
            </w:pPr>
            <w:r>
              <w:rPr>
                <w:b/>
                <w:color w:val="FFFFFF"/>
                <w:spacing w:val="-5"/>
                <w:sz w:val="18"/>
              </w:rPr>
              <w:t>(€)</w:t>
            </w:r>
          </w:p>
        </w:tc>
        <w:tc>
          <w:tcPr>
            <w:tcW w:w="1834" w:type="dxa"/>
            <w:gridSpan w:val="2"/>
            <w:shd w:val="clear" w:color="auto" w:fill="002D5D"/>
          </w:tcPr>
          <w:p>
            <w:pPr>
              <w:pStyle w:val="TableParagraph"/>
              <w:spacing w:line="147" w:lineRule="exact"/>
              <w:ind w:left="48"/>
              <w:rPr>
                <w:b/>
                <w:sz w:val="12"/>
              </w:rPr>
            </w:pPr>
            <w:r>
              <w:rPr>
                <w:b/>
                <w:sz w:val="12"/>
              </w:rPr>
              <mc:AlternateContent>
                <mc:Choice Requires="wps">
                  <w:drawing>
                    <wp:anchor distT="0" distB="0" distL="0" distR="0" allowOverlap="1" layoutInCell="1" locked="0" behindDoc="1" simplePos="0" relativeHeight="474311168">
                      <wp:simplePos x="0" y="0"/>
                      <wp:positionH relativeFrom="column">
                        <wp:posOffset>319122</wp:posOffset>
                      </wp:positionH>
                      <wp:positionV relativeFrom="paragraph">
                        <wp:posOffset>-169095</wp:posOffset>
                      </wp:positionV>
                      <wp:extent cx="2497455" cy="215265"/>
                      <wp:effectExtent l="0" t="0" r="0" b="0"/>
                      <wp:wrapNone/>
                      <wp:docPr id="345" name="Group 345"/>
                      <wp:cNvGraphicFramePr>
                        <a:graphicFrameLocks/>
                      </wp:cNvGraphicFramePr>
                      <a:graphic>
                        <a:graphicData uri="http://schemas.microsoft.com/office/word/2010/wordprocessingGroup">
                          <wpg:wgp>
                            <wpg:cNvPr id="345" name="Group 345"/>
                            <wpg:cNvGrpSpPr/>
                            <wpg:grpSpPr>
                              <a:xfrm>
                                <a:off x="0" y="0"/>
                                <a:ext cx="2497455" cy="215265"/>
                                <a:chExt cx="2497455" cy="215265"/>
                              </a:xfrm>
                            </wpg:grpSpPr>
                            <wps:wsp>
                              <wps:cNvPr id="346" name="Graphic 346"/>
                              <wps:cNvSpPr/>
                              <wps:spPr>
                                <a:xfrm>
                                  <a:off x="0" y="0"/>
                                  <a:ext cx="2497455" cy="215265"/>
                                </a:xfrm>
                                <a:custGeom>
                                  <a:avLst/>
                                  <a:gdLst/>
                                  <a:ahLst/>
                                  <a:cxnLst/>
                                  <a:rect l="l" t="t" r="r" b="b"/>
                                  <a:pathLst>
                                    <a:path w="2497455" h="215265">
                                      <a:moveTo>
                                        <a:pt x="1259116" y="6096"/>
                                      </a:moveTo>
                                      <a:lnTo>
                                        <a:pt x="103632" y="6096"/>
                                      </a:lnTo>
                                      <a:lnTo>
                                        <a:pt x="103632" y="0"/>
                                      </a:lnTo>
                                      <a:lnTo>
                                        <a:pt x="0" y="0"/>
                                      </a:lnTo>
                                      <a:lnTo>
                                        <a:pt x="0" y="6096"/>
                                      </a:lnTo>
                                      <a:lnTo>
                                        <a:pt x="0" y="214884"/>
                                      </a:lnTo>
                                      <a:lnTo>
                                        <a:pt x="103632" y="214884"/>
                                      </a:lnTo>
                                      <a:lnTo>
                                        <a:pt x="1259116" y="214884"/>
                                      </a:lnTo>
                                      <a:lnTo>
                                        <a:pt x="1259116" y="6096"/>
                                      </a:lnTo>
                                      <a:close/>
                                    </a:path>
                                    <a:path w="2497455" h="215265">
                                      <a:moveTo>
                                        <a:pt x="2496997" y="6096"/>
                                      </a:moveTo>
                                      <a:lnTo>
                                        <a:pt x="1361313" y="6096"/>
                                      </a:lnTo>
                                      <a:lnTo>
                                        <a:pt x="1317117" y="6096"/>
                                      </a:lnTo>
                                      <a:lnTo>
                                        <a:pt x="1303401" y="6096"/>
                                      </a:lnTo>
                                      <a:lnTo>
                                        <a:pt x="1259205" y="6096"/>
                                      </a:lnTo>
                                      <a:lnTo>
                                        <a:pt x="1259205" y="214884"/>
                                      </a:lnTo>
                                      <a:lnTo>
                                        <a:pt x="1361313" y="214884"/>
                                      </a:lnTo>
                                      <a:lnTo>
                                        <a:pt x="2496997" y="214884"/>
                                      </a:lnTo>
                                      <a:lnTo>
                                        <a:pt x="2496997" y="6096"/>
                                      </a:lnTo>
                                      <a:close/>
                                    </a:path>
                                  </a:pathLst>
                                </a:custGeom>
                                <a:solidFill>
                                  <a:srgbClr val="002D5D"/>
                                </a:solidFill>
                              </wps:spPr>
                              <wps:bodyPr wrap="square" lIns="0" tIns="0" rIns="0" bIns="0" rtlCol="0">
                                <a:prstTxWarp prst="textNoShape">
                                  <a:avLst/>
                                </a:prstTxWarp>
                                <a:noAutofit/>
                              </wps:bodyPr>
                            </wps:wsp>
                          </wpg:wgp>
                        </a:graphicData>
                      </a:graphic>
                    </wp:anchor>
                  </w:drawing>
                </mc:Choice>
                <mc:Fallback>
                  <w:pict>
                    <v:group style="position:absolute;margin-left:25.127722pt;margin-top:-13.31458pt;width:196.65pt;height:16.95pt;mso-position-horizontal-relative:column;mso-position-vertical-relative:paragraph;z-index:-29005312" id="docshapegroup294" coordorigin="503,-266" coordsize="3933,339">
                      <v:shape style="position:absolute;left:502;top:-267;width:3933;height:339" id="docshape295" coordorigin="503,-266" coordsize="3933,339" path="m2485,-257l666,-257,666,-266,503,-266,503,-257,503,72,666,72,2485,72,2485,-257xm4435,-257l2646,-257,2577,-257,2555,-257,2486,-257,2486,72,2646,72,4435,72,4435,-257xe" filled="true" fillcolor="#002d5d" stroked="false">
                        <v:path arrowok="t"/>
                        <v:fill type="solid"/>
                      </v:shape>
                      <w10:wrap type="none"/>
                    </v:group>
                  </w:pict>
                </mc:Fallback>
              </mc:AlternateContent>
            </w:r>
            <w:r>
              <w:rPr>
                <w:b/>
                <w:color w:val="FFFFFF"/>
                <w:spacing w:val="-4"/>
                <w:position w:val="-4"/>
                <w:sz w:val="18"/>
              </w:rPr>
              <w:t>%</w:t>
            </w:r>
            <w:r>
              <w:rPr>
                <w:b/>
                <w:color w:val="FFFFFF"/>
                <w:spacing w:val="-4"/>
                <w:sz w:val="12"/>
              </w:rPr>
              <w:t>(*)</w:t>
            </w:r>
          </w:p>
        </w:tc>
        <w:tc>
          <w:tcPr>
            <w:tcW w:w="785" w:type="dxa"/>
            <w:shd w:val="clear" w:color="auto" w:fill="002D5D"/>
          </w:tcPr>
          <w:p>
            <w:pPr>
              <w:pStyle w:val="TableParagraph"/>
              <w:rPr>
                <w:rFonts w:ascii="Times New Roman"/>
                <w:sz w:val="10"/>
              </w:rPr>
            </w:pPr>
          </w:p>
        </w:tc>
        <w:tc>
          <w:tcPr>
            <w:tcW w:w="1213" w:type="dxa"/>
            <w:shd w:val="clear" w:color="auto" w:fill="002D5D"/>
          </w:tcPr>
          <w:p>
            <w:pPr>
              <w:pStyle w:val="TableParagraph"/>
              <w:rPr>
                <w:rFonts w:ascii="Times New Roman"/>
                <w:sz w:val="10"/>
              </w:rPr>
            </w:pPr>
          </w:p>
        </w:tc>
        <w:tc>
          <w:tcPr>
            <w:tcW w:w="599" w:type="dxa"/>
            <w:shd w:val="clear" w:color="auto" w:fill="002D5D"/>
          </w:tcPr>
          <w:p>
            <w:pPr>
              <w:pStyle w:val="TableParagraph"/>
              <w:rPr>
                <w:rFonts w:ascii="Times New Roman"/>
                <w:sz w:val="10"/>
              </w:rPr>
            </w:pPr>
          </w:p>
        </w:tc>
        <w:tc>
          <w:tcPr>
            <w:tcW w:w="1168" w:type="dxa"/>
            <w:vMerge/>
            <w:tcBorders>
              <w:top w:val="nil"/>
            </w:tcBorders>
            <w:shd w:val="clear" w:color="auto" w:fill="002D5D"/>
          </w:tcPr>
          <w:p>
            <w:pPr>
              <w:rPr>
                <w:sz w:val="2"/>
                <w:szCs w:val="2"/>
              </w:rPr>
            </w:pPr>
          </w:p>
        </w:tc>
      </w:tr>
      <w:tr>
        <w:trPr>
          <w:trHeight w:val="255" w:hRule="atLeast"/>
        </w:trPr>
        <w:tc>
          <w:tcPr>
            <w:tcW w:w="2264" w:type="dxa"/>
            <w:shd w:val="clear" w:color="auto" w:fill="002D5D"/>
          </w:tcPr>
          <w:p>
            <w:pPr>
              <w:pStyle w:val="TableParagraph"/>
              <w:rPr>
                <w:rFonts w:ascii="Times New Roman"/>
                <w:sz w:val="16"/>
              </w:rPr>
            </w:pPr>
          </w:p>
        </w:tc>
        <w:tc>
          <w:tcPr>
            <w:tcW w:w="1702" w:type="dxa"/>
            <w:shd w:val="clear" w:color="auto" w:fill="002D5D"/>
          </w:tcPr>
          <w:p>
            <w:pPr>
              <w:pStyle w:val="TableParagraph"/>
              <w:rPr>
                <w:rFonts w:ascii="Times New Roman"/>
                <w:sz w:val="16"/>
              </w:rPr>
            </w:pPr>
          </w:p>
        </w:tc>
        <w:tc>
          <w:tcPr>
            <w:tcW w:w="1348" w:type="dxa"/>
            <w:shd w:val="clear" w:color="auto" w:fill="002D5D"/>
          </w:tcPr>
          <w:p>
            <w:pPr>
              <w:pStyle w:val="TableParagraph"/>
              <w:rPr>
                <w:rFonts w:ascii="Times New Roman"/>
                <w:sz w:val="16"/>
              </w:rPr>
            </w:pPr>
          </w:p>
        </w:tc>
        <w:tc>
          <w:tcPr>
            <w:tcW w:w="502" w:type="dxa"/>
            <w:shd w:val="clear" w:color="auto" w:fill="002D5D"/>
          </w:tcPr>
          <w:p>
            <w:pPr>
              <w:pStyle w:val="TableParagraph"/>
              <w:rPr>
                <w:rFonts w:ascii="Times New Roman"/>
                <w:sz w:val="16"/>
              </w:rPr>
            </w:pPr>
          </w:p>
        </w:tc>
        <w:tc>
          <w:tcPr>
            <w:tcW w:w="1332" w:type="dxa"/>
            <w:shd w:val="clear" w:color="auto" w:fill="002D5D"/>
          </w:tcPr>
          <w:p>
            <w:pPr>
              <w:pStyle w:val="TableParagraph"/>
              <w:spacing w:line="188" w:lineRule="exact"/>
              <w:ind w:left="108"/>
              <w:jc w:val="center"/>
              <w:rPr>
                <w:b/>
                <w:sz w:val="18"/>
              </w:rPr>
            </w:pPr>
            <w:r>
              <w:rPr>
                <w:b/>
                <w:color w:val="FFFFFF"/>
                <w:spacing w:val="-5"/>
                <w:sz w:val="18"/>
              </w:rPr>
              <w:t>(€)</w:t>
            </w:r>
          </w:p>
        </w:tc>
        <w:tc>
          <w:tcPr>
            <w:tcW w:w="785" w:type="dxa"/>
            <w:shd w:val="clear" w:color="auto" w:fill="002D5D"/>
          </w:tcPr>
          <w:p>
            <w:pPr>
              <w:pStyle w:val="TableParagraph"/>
              <w:spacing w:line="188" w:lineRule="exact"/>
              <w:ind w:left="140"/>
              <w:rPr>
                <w:b/>
                <w:sz w:val="12"/>
              </w:rPr>
            </w:pPr>
            <w:r>
              <w:rPr>
                <w:b/>
                <w:color w:val="FFFFFF"/>
                <w:position w:val="-4"/>
                <w:sz w:val="18"/>
              </w:rPr>
              <w:t>% </w:t>
            </w:r>
            <w:r>
              <w:rPr>
                <w:b/>
                <w:color w:val="FFFFFF"/>
                <w:spacing w:val="-4"/>
                <w:sz w:val="12"/>
              </w:rPr>
              <w:t>(**)</w:t>
            </w:r>
          </w:p>
        </w:tc>
        <w:tc>
          <w:tcPr>
            <w:tcW w:w="1213" w:type="dxa"/>
            <w:shd w:val="clear" w:color="auto" w:fill="002D5D"/>
          </w:tcPr>
          <w:p>
            <w:pPr>
              <w:pStyle w:val="TableParagraph"/>
              <w:spacing w:line="188" w:lineRule="exact"/>
              <w:ind w:right="43"/>
              <w:jc w:val="center"/>
              <w:rPr>
                <w:b/>
                <w:sz w:val="18"/>
              </w:rPr>
            </w:pPr>
            <w:r>
              <w:rPr>
                <w:b/>
                <w:color w:val="FFFFFF"/>
                <w:spacing w:val="-5"/>
                <w:sz w:val="18"/>
              </w:rPr>
              <w:t>(€)</w:t>
            </w:r>
          </w:p>
        </w:tc>
        <w:tc>
          <w:tcPr>
            <w:tcW w:w="599" w:type="dxa"/>
            <w:shd w:val="clear" w:color="auto" w:fill="002D5D"/>
          </w:tcPr>
          <w:p>
            <w:pPr>
              <w:pStyle w:val="TableParagraph"/>
              <w:spacing w:line="188" w:lineRule="exact"/>
              <w:ind w:left="108"/>
              <w:rPr>
                <w:b/>
                <w:sz w:val="12"/>
              </w:rPr>
            </w:pPr>
            <w:r>
              <w:rPr>
                <w:b/>
                <w:color w:val="FFFFFF"/>
                <w:position w:val="-4"/>
                <w:sz w:val="18"/>
              </w:rPr>
              <w:t>% </w:t>
            </w:r>
            <w:r>
              <w:rPr>
                <w:b/>
                <w:color w:val="FFFFFF"/>
                <w:spacing w:val="-4"/>
                <w:sz w:val="12"/>
              </w:rPr>
              <w:t>(**)</w:t>
            </w:r>
          </w:p>
        </w:tc>
        <w:tc>
          <w:tcPr>
            <w:tcW w:w="1168" w:type="dxa"/>
            <w:vMerge/>
            <w:tcBorders>
              <w:top w:val="nil"/>
            </w:tcBorders>
            <w:shd w:val="clear" w:color="auto" w:fill="002D5D"/>
          </w:tcPr>
          <w:p>
            <w:pPr>
              <w:rPr>
                <w:sz w:val="2"/>
                <w:szCs w:val="2"/>
              </w:rPr>
            </w:pPr>
          </w:p>
        </w:tc>
      </w:tr>
      <w:tr>
        <w:trPr>
          <w:trHeight w:val="619" w:hRule="atLeast"/>
        </w:trPr>
        <w:tc>
          <w:tcPr>
            <w:tcW w:w="2264" w:type="dxa"/>
            <w:tcBorders>
              <w:bottom w:val="single" w:sz="4" w:space="0" w:color="002D5D"/>
            </w:tcBorders>
          </w:tcPr>
          <w:p>
            <w:pPr>
              <w:pStyle w:val="TableParagraph"/>
              <w:spacing w:before="102"/>
              <w:ind w:left="72" w:right="510"/>
              <w:rPr>
                <w:sz w:val="18"/>
              </w:rPr>
            </w:pPr>
            <w:r>
              <w:rPr>
                <w:sz w:val="18"/>
              </w:rPr>
              <w:t>Adquisición</w:t>
            </w:r>
            <w:r>
              <w:rPr>
                <w:spacing w:val="-11"/>
                <w:sz w:val="18"/>
              </w:rPr>
              <w:t> </w:t>
            </w:r>
            <w:r>
              <w:rPr>
                <w:sz w:val="18"/>
              </w:rPr>
              <w:t>23</w:t>
            </w:r>
            <w:r>
              <w:rPr>
                <w:spacing w:val="-10"/>
                <w:sz w:val="18"/>
              </w:rPr>
              <w:t> </w:t>
            </w:r>
            <w:r>
              <w:rPr>
                <w:sz w:val="18"/>
              </w:rPr>
              <w:t>autobuses eléctricos</w:t>
            </w:r>
            <w:r>
              <w:rPr>
                <w:spacing w:val="-2"/>
                <w:sz w:val="18"/>
              </w:rPr>
              <w:t> </w:t>
            </w:r>
            <w:r>
              <w:rPr>
                <w:sz w:val="18"/>
              </w:rPr>
              <w:t>accesibles</w:t>
            </w:r>
          </w:p>
        </w:tc>
        <w:tc>
          <w:tcPr>
            <w:tcW w:w="1702" w:type="dxa"/>
            <w:tcBorders>
              <w:bottom w:val="single" w:sz="4" w:space="0" w:color="002D5D"/>
            </w:tcBorders>
          </w:tcPr>
          <w:p>
            <w:pPr>
              <w:pStyle w:val="TableParagraph"/>
              <w:ind w:left="78"/>
              <w:rPr>
                <w:sz w:val="18"/>
              </w:rPr>
            </w:pPr>
            <w:r>
              <w:rPr>
                <w:sz w:val="18"/>
              </w:rPr>
              <w:t>Adquisición</w:t>
            </w:r>
            <w:r>
              <w:rPr>
                <w:spacing w:val="-2"/>
                <w:sz w:val="18"/>
              </w:rPr>
              <w:t> </w:t>
            </w:r>
            <w:r>
              <w:rPr>
                <w:sz w:val="18"/>
              </w:rPr>
              <w:t>material móvil</w:t>
            </w:r>
            <w:r>
              <w:rPr>
                <w:spacing w:val="-11"/>
                <w:sz w:val="18"/>
              </w:rPr>
              <w:t> </w:t>
            </w:r>
            <w:r>
              <w:rPr>
                <w:sz w:val="18"/>
              </w:rPr>
              <w:t>e</w:t>
            </w:r>
            <w:r>
              <w:rPr>
                <w:spacing w:val="-10"/>
                <w:sz w:val="18"/>
              </w:rPr>
              <w:t> </w:t>
            </w:r>
            <w:r>
              <w:rPr>
                <w:sz w:val="18"/>
              </w:rPr>
              <w:t>infraestructuras</w:t>
            </w:r>
          </w:p>
          <w:p>
            <w:pPr>
              <w:pStyle w:val="TableParagraph"/>
              <w:spacing w:line="187" w:lineRule="exact"/>
              <w:ind w:left="78"/>
              <w:rPr>
                <w:sz w:val="18"/>
              </w:rPr>
            </w:pPr>
            <w:r>
              <w:rPr>
                <w:sz w:val="18"/>
              </w:rPr>
              <w:t>de</w:t>
            </w:r>
            <w:r>
              <w:rPr>
                <w:spacing w:val="-1"/>
                <w:sz w:val="18"/>
              </w:rPr>
              <w:t> </w:t>
            </w:r>
            <w:r>
              <w:rPr>
                <w:spacing w:val="-2"/>
                <w:sz w:val="18"/>
              </w:rPr>
              <w:t>recarga</w:t>
            </w:r>
          </w:p>
        </w:tc>
        <w:tc>
          <w:tcPr>
            <w:tcW w:w="1348" w:type="dxa"/>
            <w:tcBorders>
              <w:bottom w:val="single" w:sz="4" w:space="0" w:color="002D5D"/>
            </w:tcBorders>
          </w:tcPr>
          <w:p>
            <w:pPr>
              <w:pStyle w:val="TableParagraph"/>
              <w:spacing w:before="205"/>
              <w:ind w:right="270"/>
              <w:jc w:val="right"/>
              <w:rPr>
                <w:sz w:val="18"/>
              </w:rPr>
            </w:pPr>
            <w:r>
              <w:rPr>
                <w:spacing w:val="-2"/>
                <w:sz w:val="18"/>
              </w:rPr>
              <w:t>11.042.012,00</w:t>
            </w:r>
          </w:p>
        </w:tc>
        <w:tc>
          <w:tcPr>
            <w:tcW w:w="502" w:type="dxa"/>
            <w:tcBorders>
              <w:bottom w:val="single" w:sz="4" w:space="0" w:color="002D5D"/>
            </w:tcBorders>
          </w:tcPr>
          <w:p>
            <w:pPr>
              <w:pStyle w:val="TableParagraph"/>
              <w:spacing w:before="205"/>
              <w:ind w:left="-19" w:right="68"/>
              <w:jc w:val="right"/>
              <w:rPr>
                <w:sz w:val="18"/>
              </w:rPr>
            </w:pPr>
            <w:r>
              <w:rPr>
                <w:spacing w:val="-2"/>
                <w:sz w:val="18"/>
              </w:rPr>
              <w:t>49,26</w:t>
            </w:r>
          </w:p>
        </w:tc>
        <w:tc>
          <w:tcPr>
            <w:tcW w:w="1332" w:type="dxa"/>
            <w:tcBorders>
              <w:bottom w:val="single" w:sz="4" w:space="0" w:color="002D5D"/>
            </w:tcBorders>
          </w:tcPr>
          <w:p>
            <w:pPr>
              <w:pStyle w:val="TableParagraph"/>
              <w:spacing w:before="205"/>
              <w:ind w:right="126"/>
              <w:jc w:val="right"/>
              <w:rPr>
                <w:sz w:val="18"/>
              </w:rPr>
            </w:pPr>
            <w:r>
              <w:rPr>
                <w:spacing w:val="-2"/>
                <w:sz w:val="18"/>
              </w:rPr>
              <w:t>8.512.012,00</w:t>
            </w:r>
          </w:p>
        </w:tc>
        <w:tc>
          <w:tcPr>
            <w:tcW w:w="785" w:type="dxa"/>
            <w:tcBorders>
              <w:bottom w:val="single" w:sz="4" w:space="0" w:color="002D5D"/>
            </w:tcBorders>
          </w:tcPr>
          <w:p>
            <w:pPr>
              <w:pStyle w:val="TableParagraph"/>
              <w:spacing w:before="205"/>
              <w:ind w:right="202"/>
              <w:jc w:val="right"/>
              <w:rPr>
                <w:sz w:val="18"/>
              </w:rPr>
            </w:pPr>
            <w:r>
              <w:rPr>
                <w:spacing w:val="-2"/>
                <w:sz w:val="18"/>
              </w:rPr>
              <w:t>77,09</w:t>
            </w:r>
          </w:p>
        </w:tc>
        <w:tc>
          <w:tcPr>
            <w:tcW w:w="1213" w:type="dxa"/>
            <w:tcBorders>
              <w:bottom w:val="single" w:sz="4" w:space="0" w:color="002D5D"/>
            </w:tcBorders>
          </w:tcPr>
          <w:p>
            <w:pPr>
              <w:pStyle w:val="TableParagraph"/>
              <w:spacing w:before="205"/>
              <w:ind w:right="141"/>
              <w:jc w:val="right"/>
              <w:rPr>
                <w:sz w:val="18"/>
              </w:rPr>
            </w:pPr>
            <w:r>
              <w:rPr>
                <w:spacing w:val="-2"/>
                <w:sz w:val="18"/>
              </w:rPr>
              <w:t>2.530.000,00</w:t>
            </w:r>
          </w:p>
        </w:tc>
        <w:tc>
          <w:tcPr>
            <w:tcW w:w="599" w:type="dxa"/>
            <w:tcBorders>
              <w:bottom w:val="single" w:sz="4" w:space="0" w:color="002D5D"/>
            </w:tcBorders>
          </w:tcPr>
          <w:p>
            <w:pPr>
              <w:pStyle w:val="TableParagraph"/>
              <w:spacing w:before="205"/>
              <w:ind w:right="66"/>
              <w:jc w:val="right"/>
              <w:rPr>
                <w:sz w:val="18"/>
              </w:rPr>
            </w:pPr>
            <w:r>
              <w:rPr>
                <w:spacing w:val="-2"/>
                <w:sz w:val="18"/>
              </w:rPr>
              <w:t>22,91</w:t>
            </w:r>
          </w:p>
        </w:tc>
        <w:tc>
          <w:tcPr>
            <w:tcW w:w="1168" w:type="dxa"/>
            <w:tcBorders>
              <w:bottom w:val="single" w:sz="4" w:space="0" w:color="002D5D"/>
            </w:tcBorders>
          </w:tcPr>
          <w:p>
            <w:pPr>
              <w:pStyle w:val="TableParagraph"/>
              <w:spacing w:before="205"/>
              <w:ind w:left="8"/>
              <w:jc w:val="center"/>
              <w:rPr>
                <w:sz w:val="18"/>
              </w:rPr>
            </w:pPr>
            <w:r>
              <w:rPr>
                <w:spacing w:val="-2"/>
                <w:sz w:val="18"/>
              </w:rPr>
              <w:t>Finalizada</w:t>
            </w:r>
          </w:p>
        </w:tc>
      </w:tr>
      <w:tr>
        <w:trPr>
          <w:trHeight w:val="621" w:hRule="atLeast"/>
        </w:trPr>
        <w:tc>
          <w:tcPr>
            <w:tcW w:w="2264" w:type="dxa"/>
            <w:tcBorders>
              <w:top w:val="single" w:sz="4" w:space="0" w:color="002D5D"/>
              <w:bottom w:val="single" w:sz="4" w:space="0" w:color="002D5D"/>
            </w:tcBorders>
          </w:tcPr>
          <w:p>
            <w:pPr>
              <w:pStyle w:val="TableParagraph"/>
              <w:spacing w:line="242" w:lineRule="auto" w:before="102"/>
              <w:ind w:left="72" w:right="689"/>
              <w:rPr>
                <w:sz w:val="18"/>
              </w:rPr>
            </w:pPr>
            <w:r>
              <w:rPr>
                <w:sz w:val="18"/>
              </w:rPr>
              <w:t>Infraestructura</w:t>
            </w:r>
            <w:r>
              <w:rPr>
                <w:spacing w:val="-11"/>
                <w:sz w:val="18"/>
              </w:rPr>
              <w:t> </w:t>
            </w:r>
            <w:r>
              <w:rPr>
                <w:sz w:val="18"/>
              </w:rPr>
              <w:t>recarga autobuses</w:t>
            </w:r>
            <w:r>
              <w:rPr>
                <w:spacing w:val="-2"/>
                <w:sz w:val="18"/>
              </w:rPr>
              <w:t> </w:t>
            </w:r>
            <w:r>
              <w:rPr>
                <w:sz w:val="18"/>
              </w:rPr>
              <w:t>eléctricos</w:t>
            </w:r>
          </w:p>
        </w:tc>
        <w:tc>
          <w:tcPr>
            <w:tcW w:w="1702" w:type="dxa"/>
            <w:tcBorders>
              <w:top w:val="single" w:sz="4" w:space="0" w:color="002D5D"/>
              <w:bottom w:val="single" w:sz="4" w:space="0" w:color="002D5D"/>
            </w:tcBorders>
          </w:tcPr>
          <w:p>
            <w:pPr>
              <w:pStyle w:val="TableParagraph"/>
              <w:spacing w:line="206" w:lineRule="exact"/>
              <w:ind w:left="78"/>
              <w:rPr>
                <w:sz w:val="18"/>
              </w:rPr>
            </w:pPr>
            <w:r>
              <w:rPr>
                <w:sz w:val="18"/>
              </w:rPr>
              <w:t>Adquisición</w:t>
            </w:r>
            <w:r>
              <w:rPr>
                <w:spacing w:val="-3"/>
                <w:sz w:val="18"/>
              </w:rPr>
              <w:t> </w:t>
            </w:r>
            <w:r>
              <w:rPr>
                <w:spacing w:val="-2"/>
                <w:sz w:val="18"/>
              </w:rPr>
              <w:t>material</w:t>
            </w:r>
          </w:p>
          <w:p>
            <w:pPr>
              <w:pStyle w:val="TableParagraph"/>
              <w:spacing w:line="200" w:lineRule="atLeast"/>
              <w:ind w:left="78"/>
              <w:rPr>
                <w:sz w:val="18"/>
              </w:rPr>
            </w:pPr>
            <w:r>
              <w:rPr>
                <w:sz w:val="18"/>
              </w:rPr>
              <w:t>móvil</w:t>
            </w:r>
            <w:r>
              <w:rPr>
                <w:spacing w:val="-11"/>
                <w:sz w:val="18"/>
              </w:rPr>
              <w:t> </w:t>
            </w:r>
            <w:r>
              <w:rPr>
                <w:sz w:val="18"/>
              </w:rPr>
              <w:t>e</w:t>
            </w:r>
            <w:r>
              <w:rPr>
                <w:spacing w:val="-10"/>
                <w:sz w:val="18"/>
              </w:rPr>
              <w:t> </w:t>
            </w:r>
            <w:r>
              <w:rPr>
                <w:sz w:val="18"/>
              </w:rPr>
              <w:t>infraestructuras de</w:t>
            </w:r>
            <w:r>
              <w:rPr>
                <w:spacing w:val="-2"/>
                <w:sz w:val="18"/>
              </w:rPr>
              <w:t> </w:t>
            </w:r>
            <w:r>
              <w:rPr>
                <w:sz w:val="18"/>
              </w:rPr>
              <w:t>recarga</w:t>
            </w:r>
          </w:p>
        </w:tc>
        <w:tc>
          <w:tcPr>
            <w:tcW w:w="1348" w:type="dxa"/>
            <w:tcBorders>
              <w:top w:val="single" w:sz="4" w:space="0" w:color="002D5D"/>
              <w:bottom w:val="single" w:sz="4" w:space="0" w:color="002D5D"/>
            </w:tcBorders>
          </w:tcPr>
          <w:p>
            <w:pPr>
              <w:pStyle w:val="TableParagraph"/>
              <w:rPr>
                <w:rFonts w:ascii="Arial"/>
                <w:b/>
                <w:sz w:val="18"/>
              </w:rPr>
            </w:pPr>
          </w:p>
          <w:p>
            <w:pPr>
              <w:pStyle w:val="TableParagraph"/>
              <w:spacing w:before="1"/>
              <w:ind w:right="270"/>
              <w:jc w:val="right"/>
              <w:rPr>
                <w:sz w:val="18"/>
              </w:rPr>
            </w:pPr>
            <w:r>
              <w:rPr>
                <w:spacing w:val="-2"/>
                <w:sz w:val="18"/>
              </w:rPr>
              <w:t>4.220.176,98</w:t>
            </w:r>
          </w:p>
        </w:tc>
        <w:tc>
          <w:tcPr>
            <w:tcW w:w="502" w:type="dxa"/>
            <w:tcBorders>
              <w:top w:val="single" w:sz="4" w:space="0" w:color="002D5D"/>
              <w:bottom w:val="single" w:sz="4" w:space="0" w:color="002D5D"/>
            </w:tcBorders>
          </w:tcPr>
          <w:p>
            <w:pPr>
              <w:pStyle w:val="TableParagraph"/>
              <w:rPr>
                <w:rFonts w:ascii="Arial"/>
                <w:b/>
                <w:sz w:val="18"/>
              </w:rPr>
            </w:pPr>
          </w:p>
          <w:p>
            <w:pPr>
              <w:pStyle w:val="TableParagraph"/>
              <w:spacing w:before="1"/>
              <w:ind w:left="-19" w:right="68"/>
              <w:jc w:val="right"/>
              <w:rPr>
                <w:sz w:val="18"/>
              </w:rPr>
            </w:pPr>
            <w:r>
              <w:rPr>
                <w:spacing w:val="-2"/>
                <w:sz w:val="18"/>
              </w:rPr>
              <w:t>18,83</w:t>
            </w:r>
          </w:p>
        </w:tc>
        <w:tc>
          <w:tcPr>
            <w:tcW w:w="1332" w:type="dxa"/>
            <w:tcBorders>
              <w:top w:val="single" w:sz="4" w:space="0" w:color="002D5D"/>
              <w:bottom w:val="single" w:sz="4" w:space="0" w:color="002D5D"/>
            </w:tcBorders>
          </w:tcPr>
          <w:p>
            <w:pPr>
              <w:pStyle w:val="TableParagraph"/>
              <w:rPr>
                <w:rFonts w:ascii="Arial"/>
                <w:b/>
                <w:sz w:val="18"/>
              </w:rPr>
            </w:pPr>
          </w:p>
          <w:p>
            <w:pPr>
              <w:pStyle w:val="TableParagraph"/>
              <w:spacing w:before="1"/>
              <w:ind w:right="126"/>
              <w:jc w:val="right"/>
              <w:rPr>
                <w:sz w:val="18"/>
              </w:rPr>
            </w:pPr>
            <w:r>
              <w:rPr>
                <w:spacing w:val="-2"/>
                <w:sz w:val="18"/>
              </w:rPr>
              <w:t>2.659.798,98</w:t>
            </w:r>
          </w:p>
        </w:tc>
        <w:tc>
          <w:tcPr>
            <w:tcW w:w="785" w:type="dxa"/>
            <w:tcBorders>
              <w:top w:val="single" w:sz="4" w:space="0" w:color="002D5D"/>
              <w:bottom w:val="single" w:sz="4" w:space="0" w:color="002D5D"/>
            </w:tcBorders>
          </w:tcPr>
          <w:p>
            <w:pPr>
              <w:pStyle w:val="TableParagraph"/>
              <w:rPr>
                <w:rFonts w:ascii="Arial"/>
                <w:b/>
                <w:sz w:val="18"/>
              </w:rPr>
            </w:pPr>
          </w:p>
          <w:p>
            <w:pPr>
              <w:pStyle w:val="TableParagraph"/>
              <w:spacing w:before="1"/>
              <w:ind w:right="202"/>
              <w:jc w:val="right"/>
              <w:rPr>
                <w:sz w:val="18"/>
              </w:rPr>
            </w:pPr>
            <w:r>
              <w:rPr>
                <w:spacing w:val="-2"/>
                <w:sz w:val="18"/>
              </w:rPr>
              <w:t>63,03</w:t>
            </w:r>
          </w:p>
        </w:tc>
        <w:tc>
          <w:tcPr>
            <w:tcW w:w="1213" w:type="dxa"/>
            <w:tcBorders>
              <w:top w:val="single" w:sz="4" w:space="0" w:color="002D5D"/>
              <w:bottom w:val="single" w:sz="4" w:space="0" w:color="002D5D"/>
            </w:tcBorders>
          </w:tcPr>
          <w:p>
            <w:pPr>
              <w:pStyle w:val="TableParagraph"/>
              <w:rPr>
                <w:rFonts w:ascii="Arial"/>
                <w:b/>
                <w:sz w:val="18"/>
              </w:rPr>
            </w:pPr>
          </w:p>
          <w:p>
            <w:pPr>
              <w:pStyle w:val="TableParagraph"/>
              <w:spacing w:before="1"/>
              <w:ind w:right="141"/>
              <w:jc w:val="right"/>
              <w:rPr>
                <w:sz w:val="18"/>
              </w:rPr>
            </w:pPr>
            <w:r>
              <w:rPr>
                <w:spacing w:val="-2"/>
                <w:sz w:val="18"/>
              </w:rPr>
              <w:t>1.560.378,00</w:t>
            </w:r>
          </w:p>
        </w:tc>
        <w:tc>
          <w:tcPr>
            <w:tcW w:w="599" w:type="dxa"/>
            <w:tcBorders>
              <w:top w:val="single" w:sz="4" w:space="0" w:color="002D5D"/>
              <w:bottom w:val="single" w:sz="4" w:space="0" w:color="002D5D"/>
            </w:tcBorders>
          </w:tcPr>
          <w:p>
            <w:pPr>
              <w:pStyle w:val="TableParagraph"/>
              <w:rPr>
                <w:rFonts w:ascii="Arial"/>
                <w:b/>
                <w:sz w:val="18"/>
              </w:rPr>
            </w:pPr>
          </w:p>
          <w:p>
            <w:pPr>
              <w:pStyle w:val="TableParagraph"/>
              <w:spacing w:before="1"/>
              <w:ind w:right="66"/>
              <w:jc w:val="right"/>
              <w:rPr>
                <w:sz w:val="18"/>
              </w:rPr>
            </w:pPr>
            <w:r>
              <w:rPr>
                <w:spacing w:val="-2"/>
                <w:sz w:val="18"/>
              </w:rPr>
              <w:t>36,97</w:t>
            </w:r>
          </w:p>
        </w:tc>
        <w:tc>
          <w:tcPr>
            <w:tcW w:w="1168" w:type="dxa"/>
            <w:tcBorders>
              <w:top w:val="single" w:sz="4" w:space="0" w:color="002D5D"/>
              <w:bottom w:val="single" w:sz="4" w:space="0" w:color="002D5D"/>
            </w:tcBorders>
          </w:tcPr>
          <w:p>
            <w:pPr>
              <w:pStyle w:val="TableParagraph"/>
              <w:rPr>
                <w:rFonts w:ascii="Arial"/>
                <w:b/>
                <w:sz w:val="18"/>
              </w:rPr>
            </w:pPr>
          </w:p>
          <w:p>
            <w:pPr>
              <w:pStyle w:val="TableParagraph"/>
              <w:spacing w:before="1"/>
              <w:ind w:left="8"/>
              <w:jc w:val="center"/>
              <w:rPr>
                <w:sz w:val="18"/>
              </w:rPr>
            </w:pPr>
            <w:r>
              <w:rPr>
                <w:spacing w:val="-2"/>
                <w:sz w:val="18"/>
              </w:rPr>
              <w:t>Finalizada</w:t>
            </w:r>
          </w:p>
        </w:tc>
      </w:tr>
      <w:tr>
        <w:trPr>
          <w:trHeight w:val="825" w:hRule="atLeast"/>
        </w:trPr>
        <w:tc>
          <w:tcPr>
            <w:tcW w:w="2264" w:type="dxa"/>
            <w:tcBorders>
              <w:top w:val="single" w:sz="4" w:space="0" w:color="002D5D"/>
              <w:bottom w:val="single" w:sz="4" w:space="0" w:color="002D5D"/>
            </w:tcBorders>
          </w:tcPr>
          <w:p>
            <w:pPr>
              <w:pStyle w:val="TableParagraph"/>
              <w:spacing w:line="206" w:lineRule="exact"/>
              <w:ind w:left="72" w:right="78"/>
              <w:rPr>
                <w:position w:val="5"/>
                <w:sz w:val="12"/>
              </w:rPr>
            </w:pPr>
            <w:r>
              <w:rPr>
                <w:sz w:val="18"/>
              </w:rPr>
              <w:t>Obras para la implantación de un</w:t>
            </w:r>
            <w:r>
              <w:rPr>
                <w:spacing w:val="-9"/>
                <w:sz w:val="18"/>
              </w:rPr>
              <w:t> </w:t>
            </w:r>
            <w:r>
              <w:rPr>
                <w:sz w:val="18"/>
              </w:rPr>
              <w:t>carril</w:t>
            </w:r>
            <w:r>
              <w:rPr>
                <w:spacing w:val="-8"/>
                <w:sz w:val="18"/>
              </w:rPr>
              <w:t> </w:t>
            </w:r>
            <w:r>
              <w:rPr>
                <w:sz w:val="18"/>
              </w:rPr>
              <w:t>bus</w:t>
            </w:r>
            <w:r>
              <w:rPr>
                <w:spacing w:val="-9"/>
                <w:sz w:val="18"/>
              </w:rPr>
              <w:t> </w:t>
            </w:r>
            <w:r>
              <w:rPr>
                <w:sz w:val="18"/>
              </w:rPr>
              <w:t>en</w:t>
            </w:r>
            <w:r>
              <w:rPr>
                <w:spacing w:val="-9"/>
                <w:sz w:val="18"/>
              </w:rPr>
              <w:t> </w:t>
            </w:r>
            <w:r>
              <w:rPr>
                <w:sz w:val="18"/>
              </w:rPr>
              <w:t>ambos</w:t>
            </w:r>
            <w:r>
              <w:rPr>
                <w:spacing w:val="-8"/>
                <w:sz w:val="18"/>
              </w:rPr>
              <w:t> </w:t>
            </w:r>
            <w:r>
              <w:rPr>
                <w:sz w:val="18"/>
              </w:rPr>
              <w:t>sentidos en la Avenida de Aguilera de Alicante</w:t>
            </w:r>
            <w:r>
              <w:rPr>
                <w:spacing w:val="-15"/>
                <w:sz w:val="18"/>
              </w:rPr>
              <w:t> </w:t>
            </w:r>
            <w:r>
              <w:rPr>
                <w:position w:val="5"/>
                <w:sz w:val="12"/>
              </w:rPr>
              <w:t>(1)</w:t>
            </w:r>
          </w:p>
        </w:tc>
        <w:tc>
          <w:tcPr>
            <w:tcW w:w="1702" w:type="dxa"/>
            <w:tcBorders>
              <w:top w:val="single" w:sz="4" w:space="0" w:color="002D5D"/>
              <w:bottom w:val="single" w:sz="4" w:space="0" w:color="002D5D"/>
            </w:tcBorders>
          </w:tcPr>
          <w:p>
            <w:pPr>
              <w:pStyle w:val="TableParagraph"/>
              <w:spacing w:before="205"/>
              <w:ind w:left="78"/>
              <w:rPr>
                <w:sz w:val="18"/>
              </w:rPr>
            </w:pPr>
            <w:r>
              <w:rPr>
                <w:sz w:val="18"/>
              </w:rPr>
              <w:t>Obras</w:t>
            </w:r>
            <w:r>
              <w:rPr>
                <w:spacing w:val="-11"/>
                <w:sz w:val="18"/>
              </w:rPr>
              <w:t> </w:t>
            </w:r>
            <w:r>
              <w:rPr>
                <w:sz w:val="18"/>
              </w:rPr>
              <w:t>y</w:t>
            </w:r>
            <w:r>
              <w:rPr>
                <w:spacing w:val="-10"/>
                <w:sz w:val="18"/>
              </w:rPr>
              <w:t> </w:t>
            </w:r>
            <w:r>
              <w:rPr>
                <w:sz w:val="18"/>
              </w:rPr>
              <w:t>estructuras</w:t>
            </w:r>
            <w:r>
              <w:rPr>
                <w:spacing w:val="-10"/>
                <w:sz w:val="18"/>
              </w:rPr>
              <w:t> </w:t>
            </w:r>
            <w:r>
              <w:rPr>
                <w:sz w:val="18"/>
              </w:rPr>
              <w:t>en vía</w:t>
            </w:r>
            <w:r>
              <w:rPr>
                <w:spacing w:val="-2"/>
                <w:sz w:val="18"/>
              </w:rPr>
              <w:t> </w:t>
            </w:r>
            <w:r>
              <w:rPr>
                <w:sz w:val="18"/>
              </w:rPr>
              <w:t>pública</w:t>
            </w:r>
          </w:p>
        </w:tc>
        <w:tc>
          <w:tcPr>
            <w:tcW w:w="1348" w:type="dxa"/>
            <w:tcBorders>
              <w:top w:val="single" w:sz="4" w:space="0" w:color="002D5D"/>
              <w:bottom w:val="single" w:sz="4" w:space="0" w:color="002D5D"/>
            </w:tcBorders>
          </w:tcPr>
          <w:p>
            <w:pPr>
              <w:pStyle w:val="TableParagraph"/>
              <w:spacing w:before="101"/>
              <w:rPr>
                <w:rFonts w:ascii="Arial"/>
                <w:b/>
                <w:sz w:val="18"/>
              </w:rPr>
            </w:pPr>
          </w:p>
          <w:p>
            <w:pPr>
              <w:pStyle w:val="TableParagraph"/>
              <w:ind w:right="270"/>
              <w:jc w:val="right"/>
              <w:rPr>
                <w:sz w:val="18"/>
              </w:rPr>
            </w:pPr>
            <w:r>
              <w:rPr>
                <w:spacing w:val="-4"/>
                <w:sz w:val="18"/>
              </w:rPr>
              <w:t>0,00</w:t>
            </w:r>
          </w:p>
        </w:tc>
        <w:tc>
          <w:tcPr>
            <w:tcW w:w="502" w:type="dxa"/>
            <w:tcBorders>
              <w:top w:val="single" w:sz="4" w:space="0" w:color="002D5D"/>
              <w:bottom w:val="single" w:sz="4" w:space="0" w:color="002D5D"/>
            </w:tcBorders>
          </w:tcPr>
          <w:p>
            <w:pPr>
              <w:pStyle w:val="TableParagraph"/>
              <w:spacing w:before="101"/>
              <w:rPr>
                <w:rFonts w:ascii="Arial"/>
                <w:b/>
                <w:sz w:val="18"/>
              </w:rPr>
            </w:pPr>
          </w:p>
          <w:p>
            <w:pPr>
              <w:pStyle w:val="TableParagraph"/>
              <w:ind w:left="-19" w:right="68"/>
              <w:jc w:val="right"/>
              <w:rPr>
                <w:sz w:val="18"/>
              </w:rPr>
            </w:pPr>
            <w:r>
              <w:rPr>
                <w:spacing w:val="-4"/>
                <w:sz w:val="18"/>
              </w:rPr>
              <w:t>0,00</w:t>
            </w:r>
          </w:p>
        </w:tc>
        <w:tc>
          <w:tcPr>
            <w:tcW w:w="1332" w:type="dxa"/>
            <w:tcBorders>
              <w:top w:val="single" w:sz="4" w:space="0" w:color="002D5D"/>
              <w:bottom w:val="single" w:sz="4" w:space="0" w:color="002D5D"/>
            </w:tcBorders>
          </w:tcPr>
          <w:p>
            <w:pPr>
              <w:pStyle w:val="TableParagraph"/>
              <w:spacing w:before="101"/>
              <w:rPr>
                <w:rFonts w:ascii="Arial"/>
                <w:b/>
                <w:sz w:val="18"/>
              </w:rPr>
            </w:pPr>
          </w:p>
          <w:p>
            <w:pPr>
              <w:pStyle w:val="TableParagraph"/>
              <w:ind w:right="126"/>
              <w:jc w:val="right"/>
              <w:rPr>
                <w:sz w:val="18"/>
              </w:rPr>
            </w:pPr>
            <w:r>
              <w:rPr>
                <w:spacing w:val="-4"/>
                <w:sz w:val="18"/>
              </w:rPr>
              <w:t>0,00</w:t>
            </w:r>
          </w:p>
        </w:tc>
        <w:tc>
          <w:tcPr>
            <w:tcW w:w="785" w:type="dxa"/>
            <w:tcBorders>
              <w:top w:val="single" w:sz="4" w:space="0" w:color="002D5D"/>
              <w:bottom w:val="single" w:sz="4" w:space="0" w:color="002D5D"/>
            </w:tcBorders>
          </w:tcPr>
          <w:p>
            <w:pPr>
              <w:pStyle w:val="TableParagraph"/>
              <w:spacing w:before="101"/>
              <w:rPr>
                <w:rFonts w:ascii="Arial"/>
                <w:b/>
                <w:sz w:val="18"/>
              </w:rPr>
            </w:pPr>
          </w:p>
          <w:p>
            <w:pPr>
              <w:pStyle w:val="TableParagraph"/>
              <w:ind w:right="202"/>
              <w:jc w:val="right"/>
              <w:rPr>
                <w:sz w:val="18"/>
              </w:rPr>
            </w:pPr>
            <w:r>
              <w:rPr>
                <w:spacing w:val="-4"/>
                <w:sz w:val="18"/>
              </w:rPr>
              <w:t>0,00</w:t>
            </w:r>
          </w:p>
        </w:tc>
        <w:tc>
          <w:tcPr>
            <w:tcW w:w="1213" w:type="dxa"/>
            <w:tcBorders>
              <w:top w:val="single" w:sz="4" w:space="0" w:color="002D5D"/>
              <w:bottom w:val="single" w:sz="4" w:space="0" w:color="002D5D"/>
            </w:tcBorders>
          </w:tcPr>
          <w:p>
            <w:pPr>
              <w:pStyle w:val="TableParagraph"/>
              <w:spacing w:before="101"/>
              <w:rPr>
                <w:rFonts w:ascii="Arial"/>
                <w:b/>
                <w:sz w:val="18"/>
              </w:rPr>
            </w:pPr>
          </w:p>
          <w:p>
            <w:pPr>
              <w:pStyle w:val="TableParagraph"/>
              <w:ind w:right="141"/>
              <w:jc w:val="right"/>
              <w:rPr>
                <w:sz w:val="18"/>
              </w:rPr>
            </w:pPr>
            <w:r>
              <w:rPr>
                <w:spacing w:val="-4"/>
                <w:sz w:val="18"/>
              </w:rPr>
              <w:t>0,00</w:t>
            </w:r>
          </w:p>
        </w:tc>
        <w:tc>
          <w:tcPr>
            <w:tcW w:w="599" w:type="dxa"/>
            <w:tcBorders>
              <w:top w:val="single" w:sz="4" w:space="0" w:color="002D5D"/>
              <w:bottom w:val="single" w:sz="4" w:space="0" w:color="002D5D"/>
            </w:tcBorders>
          </w:tcPr>
          <w:p>
            <w:pPr>
              <w:pStyle w:val="TableParagraph"/>
              <w:spacing w:before="101"/>
              <w:rPr>
                <w:rFonts w:ascii="Arial"/>
                <w:b/>
                <w:sz w:val="18"/>
              </w:rPr>
            </w:pPr>
          </w:p>
          <w:p>
            <w:pPr>
              <w:pStyle w:val="TableParagraph"/>
              <w:ind w:right="65"/>
              <w:jc w:val="right"/>
              <w:rPr>
                <w:sz w:val="18"/>
              </w:rPr>
            </w:pPr>
            <w:r>
              <w:rPr>
                <w:spacing w:val="-4"/>
                <w:sz w:val="18"/>
              </w:rPr>
              <w:t>0,00</w:t>
            </w:r>
          </w:p>
        </w:tc>
        <w:tc>
          <w:tcPr>
            <w:tcW w:w="1168" w:type="dxa"/>
            <w:tcBorders>
              <w:top w:val="single" w:sz="4" w:space="0" w:color="002D5D"/>
              <w:bottom w:val="single" w:sz="4" w:space="0" w:color="002D5D"/>
            </w:tcBorders>
          </w:tcPr>
          <w:p>
            <w:pPr>
              <w:pStyle w:val="TableParagraph"/>
              <w:spacing w:before="101"/>
              <w:rPr>
                <w:rFonts w:ascii="Arial"/>
                <w:b/>
                <w:sz w:val="18"/>
              </w:rPr>
            </w:pPr>
          </w:p>
          <w:p>
            <w:pPr>
              <w:pStyle w:val="TableParagraph"/>
              <w:ind w:left="8" w:right="4"/>
              <w:jc w:val="center"/>
              <w:rPr>
                <w:sz w:val="18"/>
              </w:rPr>
            </w:pPr>
            <w:r>
              <w:rPr>
                <w:spacing w:val="-2"/>
                <w:sz w:val="18"/>
              </w:rPr>
              <w:t>Cancelada</w:t>
            </w:r>
          </w:p>
        </w:tc>
      </w:tr>
      <w:tr>
        <w:trPr>
          <w:trHeight w:val="412" w:hRule="atLeast"/>
        </w:trPr>
        <w:tc>
          <w:tcPr>
            <w:tcW w:w="2264" w:type="dxa"/>
            <w:tcBorders>
              <w:top w:val="single" w:sz="4" w:space="0" w:color="002D5D"/>
              <w:bottom w:val="single" w:sz="4" w:space="0" w:color="002D5D"/>
            </w:tcBorders>
          </w:tcPr>
          <w:p>
            <w:pPr>
              <w:pStyle w:val="TableParagraph"/>
              <w:spacing w:line="206" w:lineRule="exact"/>
              <w:ind w:left="72" w:right="78"/>
              <w:rPr>
                <w:sz w:val="18"/>
              </w:rPr>
            </w:pPr>
            <w:r>
              <w:rPr>
                <w:sz w:val="18"/>
              </w:rPr>
              <w:t>Proyecto</w:t>
            </w:r>
            <w:r>
              <w:rPr>
                <w:spacing w:val="-2"/>
                <w:sz w:val="18"/>
              </w:rPr>
              <w:t> </w:t>
            </w:r>
            <w:r>
              <w:rPr>
                <w:sz w:val="18"/>
              </w:rPr>
              <w:t>Digitalización Transporte</w:t>
            </w:r>
            <w:r>
              <w:rPr>
                <w:spacing w:val="-11"/>
                <w:sz w:val="18"/>
              </w:rPr>
              <w:t> </w:t>
            </w:r>
            <w:r>
              <w:rPr>
                <w:sz w:val="18"/>
              </w:rPr>
              <w:t>Público</w:t>
            </w:r>
            <w:r>
              <w:rPr>
                <w:spacing w:val="-10"/>
                <w:sz w:val="18"/>
              </w:rPr>
              <w:t> </w:t>
            </w:r>
            <w:r>
              <w:rPr>
                <w:sz w:val="18"/>
              </w:rPr>
              <w:t>de</w:t>
            </w:r>
            <w:r>
              <w:rPr>
                <w:spacing w:val="-10"/>
                <w:sz w:val="18"/>
              </w:rPr>
              <w:t> </w:t>
            </w:r>
            <w:r>
              <w:rPr>
                <w:sz w:val="18"/>
              </w:rPr>
              <w:t>Alicante</w:t>
            </w:r>
          </w:p>
        </w:tc>
        <w:tc>
          <w:tcPr>
            <w:tcW w:w="1702" w:type="dxa"/>
            <w:tcBorders>
              <w:top w:val="single" w:sz="4" w:space="0" w:color="002D5D"/>
              <w:bottom w:val="single" w:sz="4" w:space="0" w:color="002D5D"/>
            </w:tcBorders>
          </w:tcPr>
          <w:p>
            <w:pPr>
              <w:pStyle w:val="TableParagraph"/>
              <w:spacing w:before="102"/>
              <w:ind w:left="78"/>
              <w:rPr>
                <w:sz w:val="18"/>
              </w:rPr>
            </w:pPr>
            <w:r>
              <w:rPr>
                <w:spacing w:val="-2"/>
                <w:sz w:val="18"/>
              </w:rPr>
              <w:t>Digitalización</w:t>
            </w:r>
          </w:p>
        </w:tc>
        <w:tc>
          <w:tcPr>
            <w:tcW w:w="1348" w:type="dxa"/>
            <w:tcBorders>
              <w:top w:val="single" w:sz="4" w:space="0" w:color="002D5D"/>
              <w:bottom w:val="single" w:sz="4" w:space="0" w:color="002D5D"/>
            </w:tcBorders>
          </w:tcPr>
          <w:p>
            <w:pPr>
              <w:pStyle w:val="TableParagraph"/>
              <w:spacing w:before="102"/>
              <w:ind w:right="270"/>
              <w:jc w:val="right"/>
              <w:rPr>
                <w:sz w:val="18"/>
              </w:rPr>
            </w:pPr>
            <w:r>
              <w:rPr>
                <w:spacing w:val="-2"/>
                <w:sz w:val="18"/>
              </w:rPr>
              <w:t>3.257.077,51</w:t>
            </w:r>
          </w:p>
        </w:tc>
        <w:tc>
          <w:tcPr>
            <w:tcW w:w="502" w:type="dxa"/>
            <w:tcBorders>
              <w:top w:val="single" w:sz="4" w:space="0" w:color="002D5D"/>
              <w:bottom w:val="single" w:sz="4" w:space="0" w:color="002D5D"/>
            </w:tcBorders>
          </w:tcPr>
          <w:p>
            <w:pPr>
              <w:pStyle w:val="TableParagraph"/>
              <w:spacing w:before="102"/>
              <w:ind w:left="-19" w:right="68"/>
              <w:jc w:val="right"/>
              <w:rPr>
                <w:sz w:val="18"/>
              </w:rPr>
            </w:pPr>
            <w:r>
              <w:rPr>
                <w:spacing w:val="-2"/>
                <w:sz w:val="18"/>
              </w:rPr>
              <w:t>14,53</w:t>
            </w:r>
          </w:p>
        </w:tc>
        <w:tc>
          <w:tcPr>
            <w:tcW w:w="1332" w:type="dxa"/>
            <w:tcBorders>
              <w:top w:val="single" w:sz="4" w:space="0" w:color="002D5D"/>
              <w:bottom w:val="single" w:sz="4" w:space="0" w:color="002D5D"/>
            </w:tcBorders>
          </w:tcPr>
          <w:p>
            <w:pPr>
              <w:pStyle w:val="TableParagraph"/>
              <w:spacing w:before="102"/>
              <w:ind w:right="126"/>
              <w:jc w:val="right"/>
              <w:rPr>
                <w:sz w:val="18"/>
              </w:rPr>
            </w:pPr>
            <w:r>
              <w:rPr>
                <w:spacing w:val="-2"/>
                <w:sz w:val="18"/>
              </w:rPr>
              <w:t>1.498.959,28</w:t>
            </w:r>
          </w:p>
        </w:tc>
        <w:tc>
          <w:tcPr>
            <w:tcW w:w="785" w:type="dxa"/>
            <w:tcBorders>
              <w:top w:val="single" w:sz="4" w:space="0" w:color="002D5D"/>
              <w:bottom w:val="single" w:sz="4" w:space="0" w:color="002D5D"/>
            </w:tcBorders>
          </w:tcPr>
          <w:p>
            <w:pPr>
              <w:pStyle w:val="TableParagraph"/>
              <w:spacing w:before="102"/>
              <w:ind w:right="202"/>
              <w:jc w:val="right"/>
              <w:rPr>
                <w:sz w:val="18"/>
              </w:rPr>
            </w:pPr>
            <w:r>
              <w:rPr>
                <w:spacing w:val="-2"/>
                <w:sz w:val="18"/>
              </w:rPr>
              <w:t>46,02</w:t>
            </w:r>
          </w:p>
        </w:tc>
        <w:tc>
          <w:tcPr>
            <w:tcW w:w="1213" w:type="dxa"/>
            <w:tcBorders>
              <w:top w:val="single" w:sz="4" w:space="0" w:color="002D5D"/>
              <w:bottom w:val="single" w:sz="4" w:space="0" w:color="002D5D"/>
            </w:tcBorders>
          </w:tcPr>
          <w:p>
            <w:pPr>
              <w:pStyle w:val="TableParagraph"/>
              <w:spacing w:before="102"/>
              <w:ind w:right="141"/>
              <w:jc w:val="right"/>
              <w:rPr>
                <w:sz w:val="18"/>
              </w:rPr>
            </w:pPr>
            <w:r>
              <w:rPr>
                <w:spacing w:val="-2"/>
                <w:sz w:val="18"/>
              </w:rPr>
              <w:t>1.758.118,23</w:t>
            </w:r>
          </w:p>
        </w:tc>
        <w:tc>
          <w:tcPr>
            <w:tcW w:w="599" w:type="dxa"/>
            <w:tcBorders>
              <w:top w:val="single" w:sz="4" w:space="0" w:color="002D5D"/>
              <w:bottom w:val="single" w:sz="4" w:space="0" w:color="002D5D"/>
            </w:tcBorders>
          </w:tcPr>
          <w:p>
            <w:pPr>
              <w:pStyle w:val="TableParagraph"/>
              <w:spacing w:before="102"/>
              <w:ind w:right="66"/>
              <w:jc w:val="right"/>
              <w:rPr>
                <w:sz w:val="18"/>
              </w:rPr>
            </w:pPr>
            <w:r>
              <w:rPr>
                <w:spacing w:val="-2"/>
                <w:sz w:val="18"/>
              </w:rPr>
              <w:t>53,98</w:t>
            </w:r>
          </w:p>
        </w:tc>
        <w:tc>
          <w:tcPr>
            <w:tcW w:w="1168" w:type="dxa"/>
            <w:tcBorders>
              <w:top w:val="single" w:sz="4" w:space="0" w:color="002D5D"/>
              <w:bottom w:val="single" w:sz="4" w:space="0" w:color="002D5D"/>
            </w:tcBorders>
          </w:tcPr>
          <w:p>
            <w:pPr>
              <w:pStyle w:val="TableParagraph"/>
              <w:spacing w:before="102"/>
              <w:ind w:left="8"/>
              <w:jc w:val="center"/>
              <w:rPr>
                <w:sz w:val="18"/>
              </w:rPr>
            </w:pPr>
            <w:r>
              <w:rPr>
                <w:spacing w:val="-2"/>
                <w:sz w:val="18"/>
              </w:rPr>
              <w:t>Finalizada</w:t>
            </w:r>
          </w:p>
        </w:tc>
      </w:tr>
      <w:tr>
        <w:trPr>
          <w:trHeight w:val="827" w:hRule="atLeast"/>
        </w:trPr>
        <w:tc>
          <w:tcPr>
            <w:tcW w:w="2264" w:type="dxa"/>
            <w:tcBorders>
              <w:top w:val="single" w:sz="4" w:space="0" w:color="002D5D"/>
              <w:bottom w:val="single" w:sz="4" w:space="0" w:color="002D5D"/>
            </w:tcBorders>
          </w:tcPr>
          <w:p>
            <w:pPr>
              <w:pStyle w:val="TableParagraph"/>
              <w:spacing w:line="242" w:lineRule="auto"/>
              <w:ind w:left="72"/>
              <w:rPr>
                <w:sz w:val="18"/>
              </w:rPr>
            </w:pPr>
            <w:r>
              <w:rPr>
                <w:sz w:val="18"/>
              </w:rPr>
              <w:t>Campañas</w:t>
            </w:r>
            <w:r>
              <w:rPr>
                <w:spacing w:val="-3"/>
                <w:sz w:val="18"/>
              </w:rPr>
              <w:t> </w:t>
            </w:r>
            <w:r>
              <w:rPr>
                <w:sz w:val="18"/>
              </w:rPr>
              <w:t>de</w:t>
            </w:r>
            <w:r>
              <w:rPr>
                <w:spacing w:val="-3"/>
                <w:sz w:val="18"/>
              </w:rPr>
              <w:t> </w:t>
            </w:r>
            <w:r>
              <w:rPr>
                <w:sz w:val="18"/>
              </w:rPr>
              <w:t>promoción</w:t>
            </w:r>
            <w:r>
              <w:rPr>
                <w:spacing w:val="-1"/>
                <w:sz w:val="18"/>
              </w:rPr>
              <w:t> </w:t>
            </w:r>
            <w:r>
              <w:rPr>
                <w:sz w:val="18"/>
              </w:rPr>
              <w:t>del transporte</w:t>
            </w:r>
            <w:r>
              <w:rPr>
                <w:spacing w:val="-3"/>
                <w:sz w:val="18"/>
              </w:rPr>
              <w:t> </w:t>
            </w:r>
            <w:r>
              <w:rPr>
                <w:sz w:val="18"/>
              </w:rPr>
              <w:t>público</w:t>
            </w:r>
            <w:r>
              <w:rPr>
                <w:spacing w:val="-2"/>
                <w:sz w:val="18"/>
              </w:rPr>
              <w:t> </w:t>
            </w:r>
            <w:r>
              <w:rPr>
                <w:sz w:val="18"/>
              </w:rPr>
              <w:t>urbano</w:t>
            </w:r>
            <w:r>
              <w:rPr>
                <w:spacing w:val="-2"/>
                <w:sz w:val="18"/>
              </w:rPr>
              <w:t> </w:t>
            </w:r>
            <w:r>
              <w:rPr>
                <w:spacing w:val="-5"/>
                <w:sz w:val="18"/>
              </w:rPr>
              <w:t>en</w:t>
            </w:r>
          </w:p>
          <w:p>
            <w:pPr>
              <w:pStyle w:val="TableParagraph"/>
              <w:spacing w:line="206" w:lineRule="exact"/>
              <w:ind w:left="72"/>
              <w:rPr>
                <w:sz w:val="18"/>
              </w:rPr>
            </w:pPr>
            <w:r>
              <w:rPr>
                <w:sz w:val="18"/>
              </w:rPr>
              <w:t>fechas señaladas (Fiestas de Hogueras</w:t>
            </w:r>
            <w:r>
              <w:rPr>
                <w:spacing w:val="-11"/>
                <w:sz w:val="18"/>
              </w:rPr>
              <w:t> </w:t>
            </w:r>
            <w:r>
              <w:rPr>
                <w:sz w:val="18"/>
              </w:rPr>
              <w:t>y</w:t>
            </w:r>
            <w:r>
              <w:rPr>
                <w:spacing w:val="-10"/>
                <w:sz w:val="18"/>
              </w:rPr>
              <w:t> </w:t>
            </w:r>
            <w:r>
              <w:rPr>
                <w:sz w:val="18"/>
              </w:rPr>
              <w:t>Fiestas</w:t>
            </w:r>
            <w:r>
              <w:rPr>
                <w:spacing w:val="-10"/>
                <w:sz w:val="18"/>
              </w:rPr>
              <w:t> </w:t>
            </w:r>
            <w:r>
              <w:rPr>
                <w:sz w:val="18"/>
              </w:rPr>
              <w:t>de</w:t>
            </w:r>
            <w:r>
              <w:rPr>
                <w:spacing w:val="-10"/>
                <w:sz w:val="18"/>
              </w:rPr>
              <w:t> </w:t>
            </w:r>
            <w:r>
              <w:rPr>
                <w:sz w:val="18"/>
              </w:rPr>
              <w:t>Navidad)</w:t>
            </w:r>
          </w:p>
        </w:tc>
        <w:tc>
          <w:tcPr>
            <w:tcW w:w="1702" w:type="dxa"/>
            <w:tcBorders>
              <w:top w:val="single" w:sz="4" w:space="0" w:color="002D5D"/>
              <w:bottom w:val="single" w:sz="4" w:space="0" w:color="002D5D"/>
            </w:tcBorders>
          </w:tcPr>
          <w:p>
            <w:pPr>
              <w:pStyle w:val="TableParagraph"/>
              <w:spacing w:before="104"/>
              <w:rPr>
                <w:rFonts w:ascii="Arial"/>
                <w:b/>
                <w:sz w:val="18"/>
              </w:rPr>
            </w:pPr>
          </w:p>
          <w:p>
            <w:pPr>
              <w:pStyle w:val="TableParagraph"/>
              <w:ind w:left="78"/>
              <w:rPr>
                <w:sz w:val="18"/>
              </w:rPr>
            </w:pPr>
            <w:r>
              <w:rPr>
                <w:sz w:val="18"/>
              </w:rPr>
              <w:t>Información</w:t>
            </w:r>
            <w:r>
              <w:rPr>
                <w:spacing w:val="-3"/>
                <w:sz w:val="18"/>
              </w:rPr>
              <w:t> </w:t>
            </w:r>
            <w:r>
              <w:rPr>
                <w:sz w:val="18"/>
              </w:rPr>
              <w:t>y</w:t>
            </w:r>
            <w:r>
              <w:rPr>
                <w:spacing w:val="-3"/>
                <w:sz w:val="18"/>
              </w:rPr>
              <w:t> </w:t>
            </w:r>
            <w:r>
              <w:rPr>
                <w:spacing w:val="-2"/>
                <w:sz w:val="18"/>
              </w:rPr>
              <w:t>difusión</w:t>
            </w:r>
          </w:p>
        </w:tc>
        <w:tc>
          <w:tcPr>
            <w:tcW w:w="1348" w:type="dxa"/>
            <w:tcBorders>
              <w:top w:val="single" w:sz="4" w:space="0" w:color="002D5D"/>
              <w:bottom w:val="single" w:sz="4" w:space="0" w:color="002D5D"/>
            </w:tcBorders>
          </w:tcPr>
          <w:p>
            <w:pPr>
              <w:pStyle w:val="TableParagraph"/>
              <w:spacing w:before="104"/>
              <w:rPr>
                <w:rFonts w:ascii="Arial"/>
                <w:b/>
                <w:sz w:val="18"/>
              </w:rPr>
            </w:pPr>
          </w:p>
          <w:p>
            <w:pPr>
              <w:pStyle w:val="TableParagraph"/>
              <w:ind w:right="270"/>
              <w:jc w:val="right"/>
              <w:rPr>
                <w:sz w:val="18"/>
              </w:rPr>
            </w:pPr>
            <w:r>
              <w:rPr>
                <w:spacing w:val="-2"/>
                <w:sz w:val="18"/>
              </w:rPr>
              <w:t>59.195,03</w:t>
            </w:r>
          </w:p>
        </w:tc>
        <w:tc>
          <w:tcPr>
            <w:tcW w:w="502" w:type="dxa"/>
            <w:tcBorders>
              <w:top w:val="single" w:sz="4" w:space="0" w:color="002D5D"/>
              <w:bottom w:val="single" w:sz="4" w:space="0" w:color="002D5D"/>
            </w:tcBorders>
          </w:tcPr>
          <w:p>
            <w:pPr>
              <w:pStyle w:val="TableParagraph"/>
              <w:spacing w:before="104"/>
              <w:rPr>
                <w:rFonts w:ascii="Arial"/>
                <w:b/>
                <w:sz w:val="18"/>
              </w:rPr>
            </w:pPr>
          </w:p>
          <w:p>
            <w:pPr>
              <w:pStyle w:val="TableParagraph"/>
              <w:ind w:left="-19" w:right="68"/>
              <w:jc w:val="right"/>
              <w:rPr>
                <w:sz w:val="18"/>
              </w:rPr>
            </w:pPr>
            <w:r>
              <w:rPr>
                <w:spacing w:val="-4"/>
                <w:sz w:val="18"/>
              </w:rPr>
              <w:t>0,26</w:t>
            </w:r>
          </w:p>
        </w:tc>
        <w:tc>
          <w:tcPr>
            <w:tcW w:w="1332" w:type="dxa"/>
            <w:tcBorders>
              <w:top w:val="single" w:sz="4" w:space="0" w:color="002D5D"/>
              <w:bottom w:val="single" w:sz="4" w:space="0" w:color="002D5D"/>
            </w:tcBorders>
          </w:tcPr>
          <w:p>
            <w:pPr>
              <w:pStyle w:val="TableParagraph"/>
              <w:spacing w:before="104"/>
              <w:rPr>
                <w:rFonts w:ascii="Arial"/>
                <w:b/>
                <w:sz w:val="18"/>
              </w:rPr>
            </w:pPr>
          </w:p>
          <w:p>
            <w:pPr>
              <w:pStyle w:val="TableParagraph"/>
              <w:ind w:right="126"/>
              <w:jc w:val="right"/>
              <w:rPr>
                <w:sz w:val="18"/>
              </w:rPr>
            </w:pPr>
            <w:r>
              <w:rPr>
                <w:spacing w:val="-2"/>
                <w:sz w:val="18"/>
              </w:rPr>
              <w:t>59.195,03</w:t>
            </w:r>
          </w:p>
        </w:tc>
        <w:tc>
          <w:tcPr>
            <w:tcW w:w="785" w:type="dxa"/>
            <w:tcBorders>
              <w:top w:val="single" w:sz="4" w:space="0" w:color="002D5D"/>
              <w:bottom w:val="single" w:sz="4" w:space="0" w:color="002D5D"/>
            </w:tcBorders>
          </w:tcPr>
          <w:p>
            <w:pPr>
              <w:pStyle w:val="TableParagraph"/>
              <w:spacing w:before="104"/>
              <w:rPr>
                <w:rFonts w:ascii="Arial"/>
                <w:b/>
                <w:sz w:val="18"/>
              </w:rPr>
            </w:pPr>
          </w:p>
          <w:p>
            <w:pPr>
              <w:pStyle w:val="TableParagraph"/>
              <w:ind w:left="130"/>
              <w:rPr>
                <w:sz w:val="18"/>
              </w:rPr>
            </w:pPr>
            <w:r>
              <w:rPr>
                <w:spacing w:val="-2"/>
                <w:sz w:val="18"/>
              </w:rPr>
              <w:t>100,00</w:t>
            </w:r>
          </w:p>
        </w:tc>
        <w:tc>
          <w:tcPr>
            <w:tcW w:w="1213" w:type="dxa"/>
            <w:tcBorders>
              <w:top w:val="single" w:sz="4" w:space="0" w:color="002D5D"/>
              <w:bottom w:val="single" w:sz="4" w:space="0" w:color="002D5D"/>
            </w:tcBorders>
          </w:tcPr>
          <w:p>
            <w:pPr>
              <w:pStyle w:val="TableParagraph"/>
              <w:spacing w:before="104"/>
              <w:rPr>
                <w:rFonts w:ascii="Arial"/>
                <w:b/>
                <w:sz w:val="18"/>
              </w:rPr>
            </w:pPr>
          </w:p>
          <w:p>
            <w:pPr>
              <w:pStyle w:val="TableParagraph"/>
              <w:ind w:right="141"/>
              <w:jc w:val="right"/>
              <w:rPr>
                <w:sz w:val="18"/>
              </w:rPr>
            </w:pPr>
            <w:r>
              <w:rPr>
                <w:spacing w:val="-4"/>
                <w:sz w:val="18"/>
              </w:rPr>
              <w:t>0,00</w:t>
            </w:r>
          </w:p>
        </w:tc>
        <w:tc>
          <w:tcPr>
            <w:tcW w:w="599" w:type="dxa"/>
            <w:tcBorders>
              <w:top w:val="single" w:sz="4" w:space="0" w:color="002D5D"/>
              <w:bottom w:val="single" w:sz="4" w:space="0" w:color="002D5D"/>
            </w:tcBorders>
          </w:tcPr>
          <w:p>
            <w:pPr>
              <w:pStyle w:val="TableParagraph"/>
              <w:spacing w:before="104"/>
              <w:rPr>
                <w:rFonts w:ascii="Arial"/>
                <w:b/>
                <w:sz w:val="18"/>
              </w:rPr>
            </w:pPr>
          </w:p>
          <w:p>
            <w:pPr>
              <w:pStyle w:val="TableParagraph"/>
              <w:ind w:right="65"/>
              <w:jc w:val="right"/>
              <w:rPr>
                <w:sz w:val="18"/>
              </w:rPr>
            </w:pPr>
            <w:r>
              <w:rPr>
                <w:spacing w:val="-4"/>
                <w:sz w:val="18"/>
              </w:rPr>
              <w:t>0,00</w:t>
            </w:r>
          </w:p>
        </w:tc>
        <w:tc>
          <w:tcPr>
            <w:tcW w:w="1168" w:type="dxa"/>
            <w:tcBorders>
              <w:top w:val="single" w:sz="4" w:space="0" w:color="002D5D"/>
              <w:bottom w:val="single" w:sz="4" w:space="0" w:color="002D5D"/>
            </w:tcBorders>
          </w:tcPr>
          <w:p>
            <w:pPr>
              <w:pStyle w:val="TableParagraph"/>
              <w:spacing w:before="104"/>
              <w:rPr>
                <w:rFonts w:ascii="Arial"/>
                <w:b/>
                <w:sz w:val="18"/>
              </w:rPr>
            </w:pPr>
          </w:p>
          <w:p>
            <w:pPr>
              <w:pStyle w:val="TableParagraph"/>
              <w:ind w:left="8"/>
              <w:jc w:val="center"/>
              <w:rPr>
                <w:sz w:val="18"/>
              </w:rPr>
            </w:pPr>
            <w:r>
              <w:rPr>
                <w:spacing w:val="-2"/>
                <w:sz w:val="18"/>
              </w:rPr>
              <w:t>Finalizada</w:t>
            </w:r>
          </w:p>
        </w:tc>
      </w:tr>
      <w:tr>
        <w:trPr>
          <w:trHeight w:val="616" w:hRule="atLeast"/>
        </w:trPr>
        <w:tc>
          <w:tcPr>
            <w:tcW w:w="2264" w:type="dxa"/>
            <w:tcBorders>
              <w:top w:val="single" w:sz="4" w:space="0" w:color="002D5D"/>
              <w:bottom w:val="single" w:sz="4" w:space="0" w:color="002D5D"/>
            </w:tcBorders>
          </w:tcPr>
          <w:p>
            <w:pPr>
              <w:pStyle w:val="TableParagraph"/>
              <w:spacing w:line="206" w:lineRule="exact"/>
              <w:ind w:left="72"/>
              <w:rPr>
                <w:sz w:val="18"/>
              </w:rPr>
            </w:pPr>
            <w:r>
              <w:rPr>
                <w:sz w:val="18"/>
              </w:rPr>
              <w:t>Implantación Sistema Gestión Ambiental</w:t>
            </w:r>
            <w:r>
              <w:rPr>
                <w:spacing w:val="-10"/>
                <w:sz w:val="18"/>
              </w:rPr>
              <w:t> </w:t>
            </w:r>
            <w:r>
              <w:rPr>
                <w:sz w:val="18"/>
              </w:rPr>
              <w:t>conforme</w:t>
            </w:r>
            <w:r>
              <w:rPr>
                <w:spacing w:val="-11"/>
                <w:sz w:val="18"/>
              </w:rPr>
              <w:t> </w:t>
            </w:r>
            <w:r>
              <w:rPr>
                <w:sz w:val="18"/>
              </w:rPr>
              <w:t>a</w:t>
            </w:r>
            <w:r>
              <w:rPr>
                <w:spacing w:val="-10"/>
                <w:sz w:val="18"/>
              </w:rPr>
              <w:t> </w:t>
            </w:r>
            <w:r>
              <w:rPr>
                <w:sz w:val="18"/>
              </w:rPr>
              <w:t>la</w:t>
            </w:r>
            <w:r>
              <w:rPr>
                <w:spacing w:val="-9"/>
                <w:sz w:val="18"/>
              </w:rPr>
              <w:t> </w:t>
            </w:r>
            <w:r>
              <w:rPr>
                <w:sz w:val="18"/>
              </w:rPr>
              <w:t>norma ISO</w:t>
            </w:r>
            <w:r>
              <w:rPr>
                <w:spacing w:val="-2"/>
                <w:sz w:val="18"/>
              </w:rPr>
              <w:t> </w:t>
            </w:r>
            <w:r>
              <w:rPr>
                <w:sz w:val="18"/>
              </w:rPr>
              <w:t>14001</w:t>
            </w:r>
          </w:p>
        </w:tc>
        <w:tc>
          <w:tcPr>
            <w:tcW w:w="1702" w:type="dxa"/>
            <w:tcBorders>
              <w:top w:val="single" w:sz="4" w:space="0" w:color="002D5D"/>
              <w:bottom w:val="single" w:sz="4" w:space="0" w:color="002D5D"/>
            </w:tcBorders>
          </w:tcPr>
          <w:p>
            <w:pPr>
              <w:pStyle w:val="TableParagraph"/>
              <w:spacing w:before="204"/>
              <w:ind w:left="78"/>
              <w:rPr>
                <w:sz w:val="18"/>
              </w:rPr>
            </w:pPr>
            <w:r>
              <w:rPr>
                <w:spacing w:val="-2"/>
                <w:sz w:val="18"/>
              </w:rPr>
              <w:t>Otras</w:t>
            </w:r>
          </w:p>
        </w:tc>
        <w:tc>
          <w:tcPr>
            <w:tcW w:w="1348" w:type="dxa"/>
            <w:tcBorders>
              <w:top w:val="single" w:sz="4" w:space="0" w:color="002D5D"/>
              <w:bottom w:val="single" w:sz="4" w:space="0" w:color="002D5D"/>
            </w:tcBorders>
          </w:tcPr>
          <w:p>
            <w:pPr>
              <w:pStyle w:val="TableParagraph"/>
              <w:spacing w:before="204"/>
              <w:ind w:right="270"/>
              <w:jc w:val="right"/>
              <w:rPr>
                <w:sz w:val="18"/>
              </w:rPr>
            </w:pPr>
            <w:r>
              <w:rPr>
                <w:spacing w:val="-2"/>
                <w:sz w:val="18"/>
              </w:rPr>
              <w:t>9.213,00</w:t>
            </w:r>
          </w:p>
        </w:tc>
        <w:tc>
          <w:tcPr>
            <w:tcW w:w="502" w:type="dxa"/>
            <w:tcBorders>
              <w:top w:val="single" w:sz="4" w:space="0" w:color="002D5D"/>
              <w:bottom w:val="single" w:sz="4" w:space="0" w:color="002D5D"/>
            </w:tcBorders>
          </w:tcPr>
          <w:p>
            <w:pPr>
              <w:pStyle w:val="TableParagraph"/>
              <w:spacing w:before="204"/>
              <w:ind w:left="-19" w:right="68"/>
              <w:jc w:val="right"/>
              <w:rPr>
                <w:sz w:val="18"/>
              </w:rPr>
            </w:pPr>
            <w:r>
              <w:rPr>
                <w:spacing w:val="-4"/>
                <w:sz w:val="18"/>
              </w:rPr>
              <w:t>0,04</w:t>
            </w:r>
          </w:p>
        </w:tc>
        <w:tc>
          <w:tcPr>
            <w:tcW w:w="1332" w:type="dxa"/>
            <w:tcBorders>
              <w:top w:val="single" w:sz="4" w:space="0" w:color="002D5D"/>
              <w:bottom w:val="single" w:sz="4" w:space="0" w:color="002D5D"/>
            </w:tcBorders>
          </w:tcPr>
          <w:p>
            <w:pPr>
              <w:pStyle w:val="TableParagraph"/>
              <w:spacing w:before="204"/>
              <w:ind w:right="125"/>
              <w:jc w:val="right"/>
              <w:rPr>
                <w:sz w:val="18"/>
              </w:rPr>
            </w:pPr>
            <w:r>
              <w:rPr>
                <w:spacing w:val="-2"/>
                <w:sz w:val="18"/>
              </w:rPr>
              <w:t>9.213,00</w:t>
            </w:r>
          </w:p>
        </w:tc>
        <w:tc>
          <w:tcPr>
            <w:tcW w:w="785" w:type="dxa"/>
            <w:tcBorders>
              <w:top w:val="single" w:sz="4" w:space="0" w:color="002D5D"/>
              <w:bottom w:val="single" w:sz="4" w:space="0" w:color="002D5D"/>
            </w:tcBorders>
          </w:tcPr>
          <w:p>
            <w:pPr>
              <w:pStyle w:val="TableParagraph"/>
              <w:spacing w:before="204"/>
              <w:ind w:left="130"/>
              <w:rPr>
                <w:sz w:val="18"/>
              </w:rPr>
            </w:pPr>
            <w:r>
              <w:rPr>
                <w:spacing w:val="-2"/>
                <w:sz w:val="18"/>
              </w:rPr>
              <w:t>100,00</w:t>
            </w:r>
          </w:p>
        </w:tc>
        <w:tc>
          <w:tcPr>
            <w:tcW w:w="1213" w:type="dxa"/>
            <w:tcBorders>
              <w:top w:val="single" w:sz="4" w:space="0" w:color="002D5D"/>
              <w:bottom w:val="single" w:sz="4" w:space="0" w:color="002D5D"/>
            </w:tcBorders>
          </w:tcPr>
          <w:p>
            <w:pPr>
              <w:pStyle w:val="TableParagraph"/>
              <w:spacing w:before="204"/>
              <w:ind w:right="141"/>
              <w:jc w:val="right"/>
              <w:rPr>
                <w:sz w:val="18"/>
              </w:rPr>
            </w:pPr>
            <w:r>
              <w:rPr>
                <w:spacing w:val="-4"/>
                <w:sz w:val="18"/>
              </w:rPr>
              <w:t>0,00</w:t>
            </w:r>
          </w:p>
        </w:tc>
        <w:tc>
          <w:tcPr>
            <w:tcW w:w="599" w:type="dxa"/>
            <w:tcBorders>
              <w:top w:val="single" w:sz="4" w:space="0" w:color="002D5D"/>
              <w:bottom w:val="single" w:sz="4" w:space="0" w:color="002D5D"/>
            </w:tcBorders>
          </w:tcPr>
          <w:p>
            <w:pPr>
              <w:pStyle w:val="TableParagraph"/>
              <w:spacing w:before="204"/>
              <w:ind w:right="65"/>
              <w:jc w:val="right"/>
              <w:rPr>
                <w:sz w:val="18"/>
              </w:rPr>
            </w:pPr>
            <w:r>
              <w:rPr>
                <w:spacing w:val="-4"/>
                <w:sz w:val="18"/>
              </w:rPr>
              <w:t>0,00</w:t>
            </w:r>
          </w:p>
        </w:tc>
        <w:tc>
          <w:tcPr>
            <w:tcW w:w="1168" w:type="dxa"/>
            <w:tcBorders>
              <w:top w:val="single" w:sz="4" w:space="0" w:color="002D5D"/>
              <w:bottom w:val="single" w:sz="4" w:space="0" w:color="002D5D"/>
            </w:tcBorders>
          </w:tcPr>
          <w:p>
            <w:pPr>
              <w:pStyle w:val="TableParagraph"/>
              <w:spacing w:before="204"/>
              <w:ind w:left="8"/>
              <w:jc w:val="center"/>
              <w:rPr>
                <w:sz w:val="18"/>
              </w:rPr>
            </w:pPr>
            <w:r>
              <w:rPr>
                <w:spacing w:val="-2"/>
                <w:sz w:val="18"/>
              </w:rPr>
              <w:t>Finalizada</w:t>
            </w:r>
          </w:p>
        </w:tc>
      </w:tr>
      <w:tr>
        <w:trPr>
          <w:trHeight w:val="618" w:hRule="atLeast"/>
        </w:trPr>
        <w:tc>
          <w:tcPr>
            <w:tcW w:w="2264" w:type="dxa"/>
            <w:tcBorders>
              <w:top w:val="single" w:sz="4" w:space="0" w:color="002D5D"/>
              <w:bottom w:val="single" w:sz="4" w:space="0" w:color="002D5D"/>
            </w:tcBorders>
          </w:tcPr>
          <w:p>
            <w:pPr>
              <w:pStyle w:val="TableParagraph"/>
              <w:spacing w:line="206" w:lineRule="exact"/>
              <w:ind w:left="72" w:right="114"/>
              <w:jc w:val="both"/>
              <w:rPr>
                <w:sz w:val="18"/>
              </w:rPr>
            </w:pPr>
            <w:r>
              <w:rPr>
                <w:sz w:val="18"/>
              </w:rPr>
              <w:t>Puesta</w:t>
            </w:r>
            <w:r>
              <w:rPr>
                <w:spacing w:val="-10"/>
                <w:sz w:val="18"/>
              </w:rPr>
              <w:t> </w:t>
            </w:r>
            <w:r>
              <w:rPr>
                <w:sz w:val="18"/>
              </w:rPr>
              <w:t>en</w:t>
            </w:r>
            <w:r>
              <w:rPr>
                <w:spacing w:val="-10"/>
                <w:sz w:val="18"/>
              </w:rPr>
              <w:t> </w:t>
            </w:r>
            <w:r>
              <w:rPr>
                <w:sz w:val="18"/>
              </w:rPr>
              <w:t>marcha</w:t>
            </w:r>
            <w:r>
              <w:rPr>
                <w:spacing w:val="-10"/>
                <w:sz w:val="18"/>
              </w:rPr>
              <w:t> </w:t>
            </w:r>
            <w:r>
              <w:rPr>
                <w:sz w:val="18"/>
              </w:rPr>
              <w:t>Transporte</w:t>
            </w:r>
            <w:r>
              <w:rPr>
                <w:spacing w:val="-10"/>
                <w:sz w:val="18"/>
              </w:rPr>
              <w:t> </w:t>
            </w:r>
            <w:r>
              <w:rPr>
                <w:sz w:val="18"/>
              </w:rPr>
              <w:t>a la</w:t>
            </w:r>
            <w:r>
              <w:rPr>
                <w:spacing w:val="-6"/>
                <w:sz w:val="18"/>
              </w:rPr>
              <w:t> </w:t>
            </w:r>
            <w:r>
              <w:rPr>
                <w:sz w:val="18"/>
              </w:rPr>
              <w:t>Demanda</w:t>
            </w:r>
            <w:r>
              <w:rPr>
                <w:spacing w:val="-6"/>
                <w:sz w:val="18"/>
              </w:rPr>
              <w:t> </w:t>
            </w:r>
            <w:r>
              <w:rPr>
                <w:sz w:val="18"/>
              </w:rPr>
              <w:t>en</w:t>
            </w:r>
            <w:r>
              <w:rPr>
                <w:spacing w:val="-6"/>
                <w:sz w:val="18"/>
              </w:rPr>
              <w:t> </w:t>
            </w:r>
            <w:r>
              <w:rPr>
                <w:sz w:val="18"/>
              </w:rPr>
              <w:t>partidas</w:t>
            </w:r>
            <w:r>
              <w:rPr>
                <w:spacing w:val="-5"/>
                <w:sz w:val="18"/>
              </w:rPr>
              <w:t> </w:t>
            </w:r>
            <w:r>
              <w:rPr>
                <w:sz w:val="18"/>
              </w:rPr>
              <w:t>rurales de</w:t>
            </w:r>
            <w:r>
              <w:rPr>
                <w:spacing w:val="-2"/>
                <w:sz w:val="18"/>
              </w:rPr>
              <w:t> </w:t>
            </w:r>
            <w:r>
              <w:rPr>
                <w:sz w:val="18"/>
              </w:rPr>
              <w:t>Alicante</w:t>
            </w:r>
          </w:p>
        </w:tc>
        <w:tc>
          <w:tcPr>
            <w:tcW w:w="1702" w:type="dxa"/>
            <w:tcBorders>
              <w:top w:val="single" w:sz="4" w:space="0" w:color="002D5D"/>
              <w:bottom w:val="single" w:sz="4" w:space="0" w:color="002D5D"/>
            </w:tcBorders>
          </w:tcPr>
          <w:p>
            <w:pPr>
              <w:pStyle w:val="TableParagraph"/>
              <w:spacing w:before="205"/>
              <w:ind w:left="78"/>
              <w:rPr>
                <w:sz w:val="18"/>
              </w:rPr>
            </w:pPr>
            <w:r>
              <w:rPr>
                <w:spacing w:val="-2"/>
                <w:sz w:val="18"/>
              </w:rPr>
              <w:t>Otras</w:t>
            </w:r>
          </w:p>
        </w:tc>
        <w:tc>
          <w:tcPr>
            <w:tcW w:w="1348" w:type="dxa"/>
            <w:tcBorders>
              <w:top w:val="single" w:sz="4" w:space="0" w:color="002D5D"/>
              <w:bottom w:val="single" w:sz="4" w:space="0" w:color="002D5D"/>
            </w:tcBorders>
          </w:tcPr>
          <w:p>
            <w:pPr>
              <w:pStyle w:val="TableParagraph"/>
              <w:spacing w:before="205"/>
              <w:ind w:right="270"/>
              <w:jc w:val="right"/>
              <w:rPr>
                <w:sz w:val="18"/>
              </w:rPr>
            </w:pPr>
            <w:r>
              <w:rPr>
                <w:spacing w:val="-2"/>
                <w:sz w:val="18"/>
              </w:rPr>
              <w:t>408.397,49</w:t>
            </w:r>
          </w:p>
        </w:tc>
        <w:tc>
          <w:tcPr>
            <w:tcW w:w="502" w:type="dxa"/>
            <w:tcBorders>
              <w:top w:val="single" w:sz="4" w:space="0" w:color="002D5D"/>
              <w:bottom w:val="single" w:sz="4" w:space="0" w:color="002D5D"/>
            </w:tcBorders>
          </w:tcPr>
          <w:p>
            <w:pPr>
              <w:pStyle w:val="TableParagraph"/>
              <w:spacing w:before="205"/>
              <w:ind w:left="-19" w:right="69"/>
              <w:jc w:val="right"/>
              <w:rPr>
                <w:sz w:val="18"/>
              </w:rPr>
            </w:pPr>
            <w:r>
              <w:rPr>
                <w:spacing w:val="-4"/>
                <w:sz w:val="18"/>
              </w:rPr>
              <w:t>1,82</w:t>
            </w:r>
          </w:p>
        </w:tc>
        <w:tc>
          <w:tcPr>
            <w:tcW w:w="1332" w:type="dxa"/>
            <w:tcBorders>
              <w:top w:val="single" w:sz="4" w:space="0" w:color="002D5D"/>
              <w:bottom w:val="single" w:sz="4" w:space="0" w:color="002D5D"/>
            </w:tcBorders>
          </w:tcPr>
          <w:p>
            <w:pPr>
              <w:pStyle w:val="TableParagraph"/>
              <w:spacing w:before="205"/>
              <w:ind w:right="126"/>
              <w:jc w:val="right"/>
              <w:rPr>
                <w:sz w:val="18"/>
              </w:rPr>
            </w:pPr>
            <w:r>
              <w:rPr>
                <w:spacing w:val="-2"/>
                <w:sz w:val="18"/>
              </w:rPr>
              <w:t>408.397,49</w:t>
            </w:r>
          </w:p>
        </w:tc>
        <w:tc>
          <w:tcPr>
            <w:tcW w:w="785" w:type="dxa"/>
            <w:tcBorders>
              <w:top w:val="single" w:sz="4" w:space="0" w:color="002D5D"/>
              <w:bottom w:val="single" w:sz="4" w:space="0" w:color="002D5D"/>
            </w:tcBorders>
          </w:tcPr>
          <w:p>
            <w:pPr>
              <w:pStyle w:val="TableParagraph"/>
              <w:spacing w:before="205"/>
              <w:ind w:left="130"/>
              <w:rPr>
                <w:sz w:val="18"/>
              </w:rPr>
            </w:pPr>
            <w:r>
              <w:rPr>
                <w:spacing w:val="-2"/>
                <w:sz w:val="18"/>
              </w:rPr>
              <w:t>100,00</w:t>
            </w:r>
          </w:p>
        </w:tc>
        <w:tc>
          <w:tcPr>
            <w:tcW w:w="1213" w:type="dxa"/>
            <w:tcBorders>
              <w:top w:val="single" w:sz="4" w:space="0" w:color="002D5D"/>
              <w:bottom w:val="single" w:sz="4" w:space="0" w:color="002D5D"/>
            </w:tcBorders>
          </w:tcPr>
          <w:p>
            <w:pPr>
              <w:pStyle w:val="TableParagraph"/>
              <w:spacing w:before="205"/>
              <w:ind w:right="141"/>
              <w:jc w:val="right"/>
              <w:rPr>
                <w:sz w:val="18"/>
              </w:rPr>
            </w:pPr>
            <w:r>
              <w:rPr>
                <w:spacing w:val="-4"/>
                <w:sz w:val="18"/>
              </w:rPr>
              <w:t>0,00</w:t>
            </w:r>
          </w:p>
        </w:tc>
        <w:tc>
          <w:tcPr>
            <w:tcW w:w="599" w:type="dxa"/>
            <w:tcBorders>
              <w:top w:val="single" w:sz="4" w:space="0" w:color="002D5D"/>
              <w:bottom w:val="single" w:sz="4" w:space="0" w:color="002D5D"/>
            </w:tcBorders>
          </w:tcPr>
          <w:p>
            <w:pPr>
              <w:pStyle w:val="TableParagraph"/>
              <w:spacing w:before="205"/>
              <w:ind w:right="65"/>
              <w:jc w:val="right"/>
              <w:rPr>
                <w:sz w:val="18"/>
              </w:rPr>
            </w:pPr>
            <w:r>
              <w:rPr>
                <w:spacing w:val="-4"/>
                <w:sz w:val="18"/>
              </w:rPr>
              <w:t>0,00</w:t>
            </w:r>
          </w:p>
        </w:tc>
        <w:tc>
          <w:tcPr>
            <w:tcW w:w="1168" w:type="dxa"/>
            <w:tcBorders>
              <w:top w:val="single" w:sz="4" w:space="0" w:color="002D5D"/>
              <w:bottom w:val="single" w:sz="4" w:space="0" w:color="002D5D"/>
            </w:tcBorders>
          </w:tcPr>
          <w:p>
            <w:pPr>
              <w:pStyle w:val="TableParagraph"/>
              <w:spacing w:before="205"/>
              <w:ind w:left="8"/>
              <w:jc w:val="center"/>
              <w:rPr>
                <w:sz w:val="18"/>
              </w:rPr>
            </w:pPr>
            <w:r>
              <w:rPr>
                <w:spacing w:val="-2"/>
                <w:sz w:val="18"/>
              </w:rPr>
              <w:t>Finalizada</w:t>
            </w:r>
          </w:p>
        </w:tc>
      </w:tr>
      <w:tr>
        <w:trPr>
          <w:trHeight w:val="415" w:hRule="atLeast"/>
        </w:trPr>
        <w:tc>
          <w:tcPr>
            <w:tcW w:w="2264" w:type="dxa"/>
            <w:tcBorders>
              <w:top w:val="single" w:sz="4" w:space="0" w:color="002D5D"/>
            </w:tcBorders>
          </w:tcPr>
          <w:p>
            <w:pPr>
              <w:pStyle w:val="TableParagraph"/>
              <w:spacing w:line="200" w:lineRule="atLeast"/>
              <w:ind w:left="72" w:right="78"/>
              <w:rPr>
                <w:sz w:val="18"/>
              </w:rPr>
            </w:pPr>
            <w:r>
              <w:rPr>
                <w:sz w:val="18"/>
              </w:rPr>
              <w:t>Aumento</w:t>
            </w:r>
            <w:r>
              <w:rPr>
                <w:spacing w:val="-8"/>
                <w:sz w:val="18"/>
              </w:rPr>
              <w:t> </w:t>
            </w:r>
            <w:r>
              <w:rPr>
                <w:sz w:val="18"/>
              </w:rPr>
              <w:t>de</w:t>
            </w:r>
            <w:r>
              <w:rPr>
                <w:spacing w:val="-8"/>
                <w:sz w:val="18"/>
              </w:rPr>
              <w:t> </w:t>
            </w:r>
            <w:r>
              <w:rPr>
                <w:sz w:val="18"/>
              </w:rPr>
              <w:t>la</w:t>
            </w:r>
            <w:r>
              <w:rPr>
                <w:spacing w:val="-8"/>
                <w:sz w:val="18"/>
              </w:rPr>
              <w:t> </w:t>
            </w:r>
            <w:r>
              <w:rPr>
                <w:sz w:val="18"/>
              </w:rPr>
              <w:t>extensión</w:t>
            </w:r>
            <w:r>
              <w:rPr>
                <w:spacing w:val="-8"/>
                <w:sz w:val="18"/>
              </w:rPr>
              <w:t> </w:t>
            </w:r>
            <w:r>
              <w:rPr>
                <w:sz w:val="18"/>
              </w:rPr>
              <w:t>de</w:t>
            </w:r>
            <w:r>
              <w:rPr>
                <w:spacing w:val="-8"/>
                <w:sz w:val="18"/>
              </w:rPr>
              <w:t> </w:t>
            </w:r>
            <w:r>
              <w:rPr>
                <w:sz w:val="18"/>
              </w:rPr>
              <w:t>la red de transporte urbano</w:t>
            </w:r>
          </w:p>
        </w:tc>
        <w:tc>
          <w:tcPr>
            <w:tcW w:w="1702" w:type="dxa"/>
            <w:tcBorders>
              <w:top w:val="single" w:sz="4" w:space="0" w:color="002D5D"/>
            </w:tcBorders>
          </w:tcPr>
          <w:p>
            <w:pPr>
              <w:pStyle w:val="TableParagraph"/>
              <w:spacing w:before="104"/>
              <w:ind w:left="78"/>
              <w:rPr>
                <w:sz w:val="18"/>
              </w:rPr>
            </w:pPr>
            <w:r>
              <w:rPr>
                <w:spacing w:val="-2"/>
                <w:sz w:val="18"/>
              </w:rPr>
              <w:t>Otras</w:t>
            </w:r>
          </w:p>
        </w:tc>
        <w:tc>
          <w:tcPr>
            <w:tcW w:w="1348" w:type="dxa"/>
            <w:tcBorders>
              <w:top w:val="single" w:sz="4" w:space="0" w:color="002D5D"/>
            </w:tcBorders>
          </w:tcPr>
          <w:p>
            <w:pPr>
              <w:pStyle w:val="TableParagraph"/>
              <w:spacing w:before="104"/>
              <w:ind w:right="270"/>
              <w:jc w:val="right"/>
              <w:rPr>
                <w:sz w:val="18"/>
              </w:rPr>
            </w:pPr>
            <w:r>
              <w:rPr>
                <w:spacing w:val="-2"/>
                <w:sz w:val="18"/>
              </w:rPr>
              <w:t>3.420.248,31</w:t>
            </w:r>
          </w:p>
        </w:tc>
        <w:tc>
          <w:tcPr>
            <w:tcW w:w="502" w:type="dxa"/>
            <w:tcBorders>
              <w:top w:val="single" w:sz="4" w:space="0" w:color="002D5D"/>
            </w:tcBorders>
          </w:tcPr>
          <w:p>
            <w:pPr>
              <w:pStyle w:val="TableParagraph"/>
              <w:spacing w:before="104"/>
              <w:ind w:left="-19" w:right="68"/>
              <w:jc w:val="right"/>
              <w:rPr>
                <w:sz w:val="18"/>
              </w:rPr>
            </w:pPr>
            <w:r>
              <w:rPr>
                <w:spacing w:val="-2"/>
                <w:sz w:val="18"/>
              </w:rPr>
              <w:t>15,26</w:t>
            </w:r>
          </w:p>
        </w:tc>
        <w:tc>
          <w:tcPr>
            <w:tcW w:w="1332" w:type="dxa"/>
            <w:tcBorders>
              <w:top w:val="single" w:sz="4" w:space="0" w:color="002D5D"/>
            </w:tcBorders>
          </w:tcPr>
          <w:p>
            <w:pPr>
              <w:pStyle w:val="TableParagraph"/>
              <w:spacing w:before="104"/>
              <w:ind w:right="126"/>
              <w:jc w:val="right"/>
              <w:rPr>
                <w:sz w:val="18"/>
              </w:rPr>
            </w:pPr>
            <w:r>
              <w:rPr>
                <w:spacing w:val="-2"/>
                <w:sz w:val="18"/>
              </w:rPr>
              <w:t>3.420.248,31</w:t>
            </w:r>
          </w:p>
        </w:tc>
        <w:tc>
          <w:tcPr>
            <w:tcW w:w="785" w:type="dxa"/>
            <w:tcBorders>
              <w:top w:val="single" w:sz="4" w:space="0" w:color="002D5D"/>
            </w:tcBorders>
          </w:tcPr>
          <w:p>
            <w:pPr>
              <w:pStyle w:val="TableParagraph"/>
              <w:spacing w:before="104"/>
              <w:ind w:left="130"/>
              <w:rPr>
                <w:sz w:val="18"/>
              </w:rPr>
            </w:pPr>
            <w:r>
              <w:rPr>
                <w:spacing w:val="-2"/>
                <w:sz w:val="18"/>
              </w:rPr>
              <w:t>100,00</w:t>
            </w:r>
          </w:p>
        </w:tc>
        <w:tc>
          <w:tcPr>
            <w:tcW w:w="1213" w:type="dxa"/>
            <w:tcBorders>
              <w:top w:val="single" w:sz="4" w:space="0" w:color="002D5D"/>
            </w:tcBorders>
          </w:tcPr>
          <w:p>
            <w:pPr>
              <w:pStyle w:val="TableParagraph"/>
              <w:spacing w:before="104"/>
              <w:ind w:right="141"/>
              <w:jc w:val="right"/>
              <w:rPr>
                <w:sz w:val="18"/>
              </w:rPr>
            </w:pPr>
            <w:r>
              <w:rPr>
                <w:spacing w:val="-4"/>
                <w:sz w:val="18"/>
              </w:rPr>
              <w:t>0,00</w:t>
            </w:r>
          </w:p>
        </w:tc>
        <w:tc>
          <w:tcPr>
            <w:tcW w:w="599" w:type="dxa"/>
            <w:tcBorders>
              <w:top w:val="single" w:sz="4" w:space="0" w:color="002D5D"/>
            </w:tcBorders>
          </w:tcPr>
          <w:p>
            <w:pPr>
              <w:pStyle w:val="TableParagraph"/>
              <w:spacing w:before="104"/>
              <w:ind w:right="65"/>
              <w:jc w:val="right"/>
              <w:rPr>
                <w:sz w:val="18"/>
              </w:rPr>
            </w:pPr>
            <w:r>
              <w:rPr>
                <w:spacing w:val="-4"/>
                <w:sz w:val="18"/>
              </w:rPr>
              <w:t>0,00</w:t>
            </w:r>
          </w:p>
        </w:tc>
        <w:tc>
          <w:tcPr>
            <w:tcW w:w="1168" w:type="dxa"/>
            <w:tcBorders>
              <w:top w:val="single" w:sz="4" w:space="0" w:color="002D5D"/>
            </w:tcBorders>
          </w:tcPr>
          <w:p>
            <w:pPr>
              <w:pStyle w:val="TableParagraph"/>
              <w:spacing w:before="104"/>
              <w:ind w:left="8"/>
              <w:jc w:val="center"/>
              <w:rPr>
                <w:sz w:val="18"/>
              </w:rPr>
            </w:pPr>
            <w:r>
              <w:rPr>
                <w:spacing w:val="-2"/>
                <w:sz w:val="18"/>
              </w:rPr>
              <w:t>Finalizada</w:t>
            </w:r>
          </w:p>
        </w:tc>
      </w:tr>
      <w:tr>
        <w:trPr>
          <w:trHeight w:val="338" w:hRule="atLeast"/>
        </w:trPr>
        <w:tc>
          <w:tcPr>
            <w:tcW w:w="2264" w:type="dxa"/>
            <w:shd w:val="clear" w:color="auto" w:fill="002D5D"/>
          </w:tcPr>
          <w:p>
            <w:pPr>
              <w:pStyle w:val="TableParagraph"/>
              <w:spacing w:before="66"/>
              <w:ind w:left="72"/>
              <w:rPr>
                <w:b/>
                <w:sz w:val="18"/>
              </w:rPr>
            </w:pPr>
            <w:r>
              <w:rPr>
                <w:b/>
                <w:color w:val="FFFFFF"/>
                <w:spacing w:val="-2"/>
                <w:sz w:val="18"/>
              </w:rPr>
              <w:t>TOTAL</w:t>
            </w:r>
          </w:p>
        </w:tc>
        <w:tc>
          <w:tcPr>
            <w:tcW w:w="1702" w:type="dxa"/>
            <w:shd w:val="clear" w:color="auto" w:fill="002D5D"/>
          </w:tcPr>
          <w:p>
            <w:pPr>
              <w:pStyle w:val="TableParagraph"/>
              <w:rPr>
                <w:rFonts w:ascii="Times New Roman"/>
                <w:sz w:val="16"/>
              </w:rPr>
            </w:pPr>
          </w:p>
        </w:tc>
        <w:tc>
          <w:tcPr>
            <w:tcW w:w="1348" w:type="dxa"/>
            <w:shd w:val="clear" w:color="auto" w:fill="002D5D"/>
          </w:tcPr>
          <w:p>
            <w:pPr>
              <w:pStyle w:val="TableParagraph"/>
              <w:spacing w:before="66"/>
              <w:ind w:right="270"/>
              <w:jc w:val="right"/>
              <w:rPr>
                <w:b/>
                <w:sz w:val="18"/>
              </w:rPr>
            </w:pPr>
            <w:r>
              <w:rPr>
                <w:b/>
                <w:color w:val="FFFFFF"/>
                <w:spacing w:val="-2"/>
                <w:sz w:val="18"/>
              </w:rPr>
              <w:t>22.416.320,32</w:t>
            </w:r>
          </w:p>
        </w:tc>
        <w:tc>
          <w:tcPr>
            <w:tcW w:w="502" w:type="dxa"/>
            <w:shd w:val="clear" w:color="auto" w:fill="002D5D"/>
          </w:tcPr>
          <w:p>
            <w:pPr>
              <w:pStyle w:val="TableParagraph"/>
              <w:spacing w:before="66"/>
              <w:ind w:left="-19" w:right="68"/>
              <w:jc w:val="right"/>
              <w:rPr>
                <w:b/>
                <w:sz w:val="18"/>
              </w:rPr>
            </w:pPr>
            <w:r>
              <w:rPr>
                <w:b/>
                <w:color w:val="FFFFFF"/>
                <w:spacing w:val="-2"/>
                <w:sz w:val="18"/>
              </w:rPr>
              <w:t>100,00</w:t>
            </w:r>
          </w:p>
        </w:tc>
        <w:tc>
          <w:tcPr>
            <w:tcW w:w="1332" w:type="dxa"/>
            <w:shd w:val="clear" w:color="auto" w:fill="002D5D"/>
          </w:tcPr>
          <w:p>
            <w:pPr>
              <w:pStyle w:val="TableParagraph"/>
              <w:spacing w:before="66"/>
              <w:ind w:right="126"/>
              <w:jc w:val="right"/>
              <w:rPr>
                <w:b/>
                <w:sz w:val="18"/>
              </w:rPr>
            </w:pPr>
            <w:r>
              <w:rPr>
                <w:b/>
                <w:color w:val="FFFFFF"/>
                <w:spacing w:val="-2"/>
                <w:sz w:val="18"/>
              </w:rPr>
              <w:t>16.567.824,09</w:t>
            </w:r>
          </w:p>
        </w:tc>
        <w:tc>
          <w:tcPr>
            <w:tcW w:w="785" w:type="dxa"/>
            <w:shd w:val="clear" w:color="auto" w:fill="002D5D"/>
          </w:tcPr>
          <w:p>
            <w:pPr>
              <w:pStyle w:val="TableParagraph"/>
              <w:rPr>
                <w:rFonts w:ascii="Times New Roman"/>
                <w:sz w:val="16"/>
              </w:rPr>
            </w:pPr>
          </w:p>
        </w:tc>
        <w:tc>
          <w:tcPr>
            <w:tcW w:w="1213" w:type="dxa"/>
            <w:shd w:val="clear" w:color="auto" w:fill="002D5D"/>
          </w:tcPr>
          <w:p>
            <w:pPr>
              <w:pStyle w:val="TableParagraph"/>
              <w:spacing w:before="66"/>
              <w:ind w:right="141"/>
              <w:jc w:val="right"/>
              <w:rPr>
                <w:b/>
                <w:sz w:val="18"/>
              </w:rPr>
            </w:pPr>
            <w:r>
              <w:rPr>
                <w:b/>
                <w:color w:val="FFFFFF"/>
                <w:spacing w:val="-2"/>
                <w:sz w:val="18"/>
              </w:rPr>
              <w:t>5.848.496,23</w:t>
            </w:r>
          </w:p>
        </w:tc>
        <w:tc>
          <w:tcPr>
            <w:tcW w:w="599" w:type="dxa"/>
            <w:shd w:val="clear" w:color="auto" w:fill="002D5D"/>
          </w:tcPr>
          <w:p>
            <w:pPr>
              <w:pStyle w:val="TableParagraph"/>
              <w:rPr>
                <w:rFonts w:ascii="Times New Roman"/>
                <w:sz w:val="16"/>
              </w:rPr>
            </w:pPr>
          </w:p>
        </w:tc>
        <w:tc>
          <w:tcPr>
            <w:tcW w:w="1168" w:type="dxa"/>
            <w:shd w:val="clear" w:color="auto" w:fill="002D5D"/>
          </w:tcPr>
          <w:p>
            <w:pPr>
              <w:pStyle w:val="TableParagraph"/>
              <w:rPr>
                <w:rFonts w:ascii="Times New Roman"/>
                <w:sz w:val="16"/>
              </w:rPr>
            </w:pPr>
          </w:p>
        </w:tc>
      </w:tr>
      <w:tr>
        <w:trPr>
          <w:trHeight w:val="712" w:hRule="atLeast"/>
        </w:trPr>
        <w:tc>
          <w:tcPr>
            <w:tcW w:w="10913" w:type="dxa"/>
            <w:gridSpan w:val="9"/>
          </w:tcPr>
          <w:p>
            <w:pPr>
              <w:pStyle w:val="TableParagraph"/>
              <w:spacing w:line="206" w:lineRule="exact"/>
              <w:ind w:left="72"/>
              <w:rPr>
                <w:sz w:val="18"/>
              </w:rPr>
            </w:pPr>
            <w:r>
              <w:rPr>
                <w:sz w:val="18"/>
              </w:rPr>
              <w:t>Fuente:</w:t>
            </w:r>
            <w:r>
              <w:rPr>
                <w:spacing w:val="-5"/>
                <w:sz w:val="18"/>
              </w:rPr>
              <w:t> </w:t>
            </w:r>
            <w:r>
              <w:rPr>
                <w:sz w:val="18"/>
              </w:rPr>
              <w:t>Elaboración</w:t>
            </w:r>
            <w:r>
              <w:rPr>
                <w:spacing w:val="-3"/>
                <w:sz w:val="18"/>
              </w:rPr>
              <w:t> </w:t>
            </w:r>
            <w:r>
              <w:rPr>
                <w:sz w:val="18"/>
              </w:rPr>
              <w:t>propia</w:t>
            </w:r>
            <w:r>
              <w:rPr>
                <w:spacing w:val="-2"/>
                <w:sz w:val="18"/>
              </w:rPr>
              <w:t> </w:t>
            </w:r>
            <w:r>
              <w:rPr>
                <w:sz w:val="18"/>
              </w:rPr>
              <w:t>a</w:t>
            </w:r>
            <w:r>
              <w:rPr>
                <w:spacing w:val="-3"/>
                <w:sz w:val="18"/>
              </w:rPr>
              <w:t> </w:t>
            </w:r>
            <w:r>
              <w:rPr>
                <w:sz w:val="18"/>
              </w:rPr>
              <w:t>partir</w:t>
            </w:r>
            <w:r>
              <w:rPr>
                <w:spacing w:val="-1"/>
                <w:sz w:val="18"/>
              </w:rPr>
              <w:t> </w:t>
            </w:r>
            <w:r>
              <w:rPr>
                <w:sz w:val="18"/>
              </w:rPr>
              <w:t>de</w:t>
            </w:r>
            <w:r>
              <w:rPr>
                <w:spacing w:val="-2"/>
                <w:sz w:val="18"/>
              </w:rPr>
              <w:t> </w:t>
            </w:r>
            <w:r>
              <w:rPr>
                <w:sz w:val="18"/>
              </w:rPr>
              <w:t>los</w:t>
            </w:r>
            <w:r>
              <w:rPr>
                <w:spacing w:val="-3"/>
                <w:sz w:val="18"/>
              </w:rPr>
              <w:t> </w:t>
            </w:r>
            <w:r>
              <w:rPr>
                <w:sz w:val="18"/>
              </w:rPr>
              <w:t>datos</w:t>
            </w:r>
            <w:r>
              <w:rPr>
                <w:spacing w:val="-2"/>
                <w:sz w:val="18"/>
              </w:rPr>
              <w:t> </w:t>
            </w:r>
            <w:r>
              <w:rPr>
                <w:sz w:val="18"/>
              </w:rPr>
              <w:t>facilitados</w:t>
            </w:r>
            <w:r>
              <w:rPr>
                <w:spacing w:val="-2"/>
                <w:sz w:val="18"/>
              </w:rPr>
              <w:t> </w:t>
            </w:r>
            <w:r>
              <w:rPr>
                <w:sz w:val="18"/>
              </w:rPr>
              <w:t>por</w:t>
            </w:r>
            <w:r>
              <w:rPr>
                <w:spacing w:val="-2"/>
                <w:sz w:val="18"/>
              </w:rPr>
              <w:t> </w:t>
            </w:r>
            <w:r>
              <w:rPr>
                <w:sz w:val="18"/>
              </w:rPr>
              <w:t>el</w:t>
            </w:r>
            <w:r>
              <w:rPr>
                <w:spacing w:val="-1"/>
                <w:sz w:val="18"/>
              </w:rPr>
              <w:t> </w:t>
            </w:r>
            <w:r>
              <w:rPr>
                <w:sz w:val="18"/>
              </w:rPr>
              <w:t>Ayuntamiento</w:t>
            </w:r>
            <w:r>
              <w:rPr>
                <w:spacing w:val="-3"/>
                <w:sz w:val="18"/>
              </w:rPr>
              <w:t> </w:t>
            </w:r>
            <w:r>
              <w:rPr>
                <w:sz w:val="18"/>
              </w:rPr>
              <w:t>de</w:t>
            </w:r>
            <w:r>
              <w:rPr>
                <w:spacing w:val="-2"/>
                <w:sz w:val="18"/>
              </w:rPr>
              <w:t> Alicante.</w:t>
            </w:r>
          </w:p>
          <w:p>
            <w:pPr>
              <w:pStyle w:val="TableParagraph"/>
              <w:spacing w:before="60"/>
              <w:ind w:left="72" w:right="62"/>
              <w:rPr>
                <w:sz w:val="18"/>
              </w:rPr>
            </w:pPr>
            <w:r>
              <w:rPr>
                <w:position w:val="5"/>
                <w:sz w:val="12"/>
              </w:rPr>
              <w:t>(1)</w:t>
            </w:r>
            <w:r>
              <w:rPr>
                <w:spacing w:val="13"/>
                <w:position w:val="5"/>
                <w:sz w:val="12"/>
              </w:rPr>
              <w:t> </w:t>
            </w:r>
            <w:r>
              <w:rPr>
                <w:sz w:val="18"/>
              </w:rPr>
              <w:t>Las</w:t>
            </w:r>
            <w:r>
              <w:rPr>
                <w:spacing w:val="-1"/>
                <w:sz w:val="18"/>
              </w:rPr>
              <w:t> </w:t>
            </w:r>
            <w:r>
              <w:rPr>
                <w:sz w:val="18"/>
              </w:rPr>
              <w:t>obras</w:t>
            </w:r>
            <w:r>
              <w:rPr>
                <w:spacing w:val="-2"/>
                <w:sz w:val="18"/>
              </w:rPr>
              <w:t> </w:t>
            </w:r>
            <w:r>
              <w:rPr>
                <w:sz w:val="18"/>
              </w:rPr>
              <w:t>tuvieron</w:t>
            </w:r>
            <w:r>
              <w:rPr>
                <w:spacing w:val="-2"/>
                <w:sz w:val="18"/>
              </w:rPr>
              <w:t> </w:t>
            </w:r>
            <w:r>
              <w:rPr>
                <w:sz w:val="18"/>
              </w:rPr>
              <w:t>que</w:t>
            </w:r>
            <w:r>
              <w:rPr>
                <w:spacing w:val="-2"/>
                <w:sz w:val="18"/>
              </w:rPr>
              <w:t> </w:t>
            </w:r>
            <w:r>
              <w:rPr>
                <w:sz w:val="18"/>
              </w:rPr>
              <w:t>cancelarse</w:t>
            </w:r>
            <w:r>
              <w:rPr>
                <w:spacing w:val="-2"/>
                <w:sz w:val="18"/>
              </w:rPr>
              <w:t> </w:t>
            </w:r>
            <w:r>
              <w:rPr>
                <w:sz w:val="18"/>
              </w:rPr>
              <w:t>por incompatibilidad</w:t>
            </w:r>
            <w:r>
              <w:rPr>
                <w:spacing w:val="-2"/>
                <w:sz w:val="18"/>
              </w:rPr>
              <w:t> </w:t>
            </w:r>
            <w:r>
              <w:rPr>
                <w:sz w:val="18"/>
              </w:rPr>
              <w:t>con</w:t>
            </w:r>
            <w:r>
              <w:rPr>
                <w:spacing w:val="-2"/>
                <w:sz w:val="18"/>
              </w:rPr>
              <w:t> </w:t>
            </w:r>
            <w:r>
              <w:rPr>
                <w:sz w:val="18"/>
              </w:rPr>
              <w:t>otra</w:t>
            </w:r>
            <w:r>
              <w:rPr>
                <w:spacing w:val="-2"/>
                <w:sz w:val="18"/>
              </w:rPr>
              <w:t> </w:t>
            </w:r>
            <w:r>
              <w:rPr>
                <w:sz w:val="18"/>
              </w:rPr>
              <w:t>obra</w:t>
            </w:r>
            <w:r>
              <w:rPr>
                <w:spacing w:val="-2"/>
                <w:sz w:val="18"/>
              </w:rPr>
              <w:t> </w:t>
            </w:r>
            <w:r>
              <w:rPr>
                <w:sz w:val="18"/>
              </w:rPr>
              <w:t>(estación</w:t>
            </w:r>
            <w:r>
              <w:rPr>
                <w:spacing w:val="-2"/>
                <w:sz w:val="18"/>
              </w:rPr>
              <w:t> </w:t>
            </w:r>
            <w:r>
              <w:rPr>
                <w:sz w:val="18"/>
              </w:rPr>
              <w:t>intermodal),</w:t>
            </w:r>
            <w:r>
              <w:rPr>
                <w:spacing w:val="-1"/>
                <w:sz w:val="18"/>
              </w:rPr>
              <w:t> </w:t>
            </w:r>
            <w:r>
              <w:rPr>
                <w:sz w:val="18"/>
              </w:rPr>
              <w:t>lo</w:t>
            </w:r>
            <w:r>
              <w:rPr>
                <w:spacing w:val="-2"/>
                <w:sz w:val="18"/>
              </w:rPr>
              <w:t> </w:t>
            </w:r>
            <w:r>
              <w:rPr>
                <w:sz w:val="18"/>
              </w:rPr>
              <w:t>que</w:t>
            </w:r>
            <w:r>
              <w:rPr>
                <w:spacing w:val="-2"/>
                <w:sz w:val="18"/>
              </w:rPr>
              <w:t> </w:t>
            </w:r>
            <w:r>
              <w:rPr>
                <w:sz w:val="18"/>
              </w:rPr>
              <w:t>implicó</w:t>
            </w:r>
            <w:r>
              <w:rPr>
                <w:spacing w:val="-2"/>
                <w:sz w:val="18"/>
              </w:rPr>
              <w:t> </w:t>
            </w:r>
            <w:r>
              <w:rPr>
                <w:sz w:val="18"/>
              </w:rPr>
              <w:t>que</w:t>
            </w:r>
            <w:r>
              <w:rPr>
                <w:spacing w:val="-2"/>
                <w:sz w:val="18"/>
              </w:rPr>
              <w:t> </w:t>
            </w:r>
            <w:r>
              <w:rPr>
                <w:sz w:val="18"/>
              </w:rPr>
              <w:t>la</w:t>
            </w:r>
            <w:r>
              <w:rPr>
                <w:spacing w:val="-2"/>
                <w:sz w:val="18"/>
              </w:rPr>
              <w:t> </w:t>
            </w:r>
            <w:r>
              <w:rPr>
                <w:sz w:val="18"/>
              </w:rPr>
              <w:t>entidad</w:t>
            </w:r>
            <w:r>
              <w:rPr>
                <w:spacing w:val="-2"/>
                <w:sz w:val="18"/>
              </w:rPr>
              <w:t> </w:t>
            </w:r>
            <w:r>
              <w:rPr>
                <w:sz w:val="18"/>
              </w:rPr>
              <w:t>tuviera</w:t>
            </w:r>
            <w:r>
              <w:rPr>
                <w:spacing w:val="-2"/>
                <w:sz w:val="18"/>
              </w:rPr>
              <w:t> </w:t>
            </w:r>
            <w:r>
              <w:rPr>
                <w:sz w:val="18"/>
              </w:rPr>
              <w:t>que</w:t>
            </w:r>
            <w:r>
              <w:rPr>
                <w:spacing w:val="-2"/>
                <w:sz w:val="18"/>
              </w:rPr>
              <w:t> </w:t>
            </w:r>
            <w:r>
              <w:rPr>
                <w:sz w:val="18"/>
              </w:rPr>
              <w:t>indemnizar</w:t>
            </w:r>
            <w:r>
              <w:rPr>
                <w:spacing w:val="-1"/>
                <w:sz w:val="18"/>
              </w:rPr>
              <w:t> </w:t>
            </w:r>
            <w:r>
              <w:rPr>
                <w:sz w:val="18"/>
              </w:rPr>
              <w:t>al</w:t>
            </w:r>
            <w:r>
              <w:rPr>
                <w:spacing w:val="-1"/>
                <w:sz w:val="18"/>
              </w:rPr>
              <w:t> </w:t>
            </w:r>
            <w:r>
              <w:rPr>
                <w:sz w:val="18"/>
              </w:rPr>
              <w:t>adjudicatario por importe de 12.000 euros, IVA no incluido.</w:t>
            </w:r>
          </w:p>
        </w:tc>
      </w:tr>
      <w:tr>
        <w:trPr>
          <w:trHeight w:val="307" w:hRule="atLeast"/>
        </w:trPr>
        <w:tc>
          <w:tcPr>
            <w:tcW w:w="10913" w:type="dxa"/>
            <w:gridSpan w:val="9"/>
          </w:tcPr>
          <w:p>
            <w:pPr>
              <w:pStyle w:val="TableParagraph"/>
              <w:spacing w:before="33"/>
              <w:ind w:left="72"/>
              <w:rPr>
                <w:sz w:val="18"/>
              </w:rPr>
            </w:pPr>
            <w:r>
              <w:rPr>
                <w:position w:val="5"/>
                <w:sz w:val="12"/>
              </w:rPr>
              <w:t>(*)</w:t>
            </w:r>
            <w:r>
              <w:rPr>
                <w:spacing w:val="-3"/>
                <w:position w:val="5"/>
                <w:sz w:val="12"/>
              </w:rPr>
              <w:t> </w:t>
            </w:r>
            <w:r>
              <w:rPr>
                <w:sz w:val="18"/>
              </w:rPr>
              <w:t>Porcentaje</w:t>
            </w:r>
            <w:r>
              <w:rPr>
                <w:spacing w:val="-2"/>
                <w:sz w:val="18"/>
              </w:rPr>
              <w:t> </w:t>
            </w:r>
            <w:r>
              <w:rPr>
                <w:sz w:val="18"/>
              </w:rPr>
              <w:t>sobre</w:t>
            </w:r>
            <w:r>
              <w:rPr>
                <w:spacing w:val="-2"/>
                <w:sz w:val="18"/>
              </w:rPr>
              <w:t> </w:t>
            </w:r>
            <w:r>
              <w:rPr>
                <w:sz w:val="18"/>
              </w:rPr>
              <w:t>el</w:t>
            </w:r>
            <w:r>
              <w:rPr>
                <w:spacing w:val="-2"/>
                <w:sz w:val="18"/>
              </w:rPr>
              <w:t> </w:t>
            </w:r>
            <w:r>
              <w:rPr>
                <w:sz w:val="18"/>
              </w:rPr>
              <w:t>importe</w:t>
            </w:r>
            <w:r>
              <w:rPr>
                <w:spacing w:val="-2"/>
                <w:sz w:val="18"/>
              </w:rPr>
              <w:t> </w:t>
            </w:r>
            <w:r>
              <w:rPr>
                <w:sz w:val="18"/>
              </w:rPr>
              <w:t>de</w:t>
            </w:r>
            <w:r>
              <w:rPr>
                <w:spacing w:val="-2"/>
                <w:sz w:val="18"/>
              </w:rPr>
              <w:t> </w:t>
            </w:r>
            <w:r>
              <w:rPr>
                <w:sz w:val="18"/>
              </w:rPr>
              <w:t>todas</w:t>
            </w:r>
            <w:r>
              <w:rPr>
                <w:spacing w:val="-2"/>
                <w:sz w:val="18"/>
              </w:rPr>
              <w:t> </w:t>
            </w:r>
            <w:r>
              <w:rPr>
                <w:sz w:val="18"/>
              </w:rPr>
              <w:t>las</w:t>
            </w:r>
            <w:r>
              <w:rPr>
                <w:spacing w:val="-1"/>
                <w:sz w:val="18"/>
              </w:rPr>
              <w:t> </w:t>
            </w:r>
            <w:r>
              <w:rPr>
                <w:spacing w:val="-2"/>
                <w:sz w:val="18"/>
              </w:rPr>
              <w:t>actuaciones</w:t>
            </w:r>
          </w:p>
        </w:tc>
      </w:tr>
      <w:tr>
        <w:trPr>
          <w:trHeight w:val="273" w:hRule="atLeast"/>
        </w:trPr>
        <w:tc>
          <w:tcPr>
            <w:tcW w:w="10913" w:type="dxa"/>
            <w:gridSpan w:val="9"/>
          </w:tcPr>
          <w:p>
            <w:pPr>
              <w:pStyle w:val="TableParagraph"/>
              <w:spacing w:line="187" w:lineRule="exact" w:before="67"/>
              <w:ind w:left="72"/>
              <w:rPr>
                <w:sz w:val="18"/>
              </w:rPr>
            </w:pPr>
            <w:r>
              <w:rPr>
                <w:position w:val="5"/>
                <w:sz w:val="12"/>
              </w:rPr>
              <w:t>(**)</w:t>
            </w:r>
            <w:r>
              <w:rPr>
                <w:spacing w:val="-1"/>
                <w:position w:val="5"/>
                <w:sz w:val="12"/>
              </w:rPr>
              <w:t> </w:t>
            </w:r>
            <w:r>
              <w:rPr>
                <w:sz w:val="18"/>
              </w:rPr>
              <w:t>Porcentaje</w:t>
            </w:r>
            <w:r>
              <w:rPr>
                <w:spacing w:val="-2"/>
                <w:sz w:val="18"/>
              </w:rPr>
              <w:t> </w:t>
            </w:r>
            <w:r>
              <w:rPr>
                <w:sz w:val="18"/>
              </w:rPr>
              <w:t>sobre</w:t>
            </w:r>
            <w:r>
              <w:rPr>
                <w:spacing w:val="-2"/>
                <w:sz w:val="18"/>
              </w:rPr>
              <w:t> </w:t>
            </w:r>
            <w:r>
              <w:rPr>
                <w:sz w:val="18"/>
              </w:rPr>
              <w:t>el</w:t>
            </w:r>
            <w:r>
              <w:rPr>
                <w:spacing w:val="-2"/>
                <w:sz w:val="18"/>
              </w:rPr>
              <w:t> </w:t>
            </w:r>
            <w:r>
              <w:rPr>
                <w:sz w:val="18"/>
              </w:rPr>
              <w:t>importe</w:t>
            </w:r>
            <w:r>
              <w:rPr>
                <w:spacing w:val="-2"/>
                <w:sz w:val="18"/>
              </w:rPr>
              <w:t> </w:t>
            </w:r>
            <w:r>
              <w:rPr>
                <w:sz w:val="18"/>
              </w:rPr>
              <w:t>de</w:t>
            </w:r>
            <w:r>
              <w:rPr>
                <w:spacing w:val="-2"/>
                <w:sz w:val="18"/>
              </w:rPr>
              <w:t> </w:t>
            </w:r>
            <w:r>
              <w:rPr>
                <w:sz w:val="18"/>
              </w:rPr>
              <w:t>cada</w:t>
            </w:r>
            <w:r>
              <w:rPr>
                <w:spacing w:val="-1"/>
                <w:sz w:val="18"/>
              </w:rPr>
              <w:t> </w:t>
            </w:r>
            <w:r>
              <w:rPr>
                <w:spacing w:val="-2"/>
                <w:sz w:val="18"/>
              </w:rPr>
              <w:t>actuación</w:t>
            </w:r>
          </w:p>
        </w:tc>
      </w:tr>
    </w:tbl>
    <w:p>
      <w:pPr>
        <w:pStyle w:val="TableParagraph"/>
        <w:spacing w:after="0" w:line="187" w:lineRule="exact"/>
        <w:rPr>
          <w:sz w:val="18"/>
        </w:rPr>
        <w:sectPr>
          <w:headerReference w:type="default" r:id="rId105"/>
          <w:headerReference w:type="even" r:id="rId106"/>
          <w:footerReference w:type="default" r:id="rId107"/>
          <w:footerReference w:type="even" r:id="rId108"/>
          <w:pgSz w:w="11910" w:h="16840"/>
          <w:pgMar w:header="1270" w:footer="661" w:top="2800" w:bottom="860" w:left="141" w:right="141"/>
          <w:pgNumType w:start="119"/>
        </w:sectPr>
      </w:pPr>
    </w:p>
    <w:p>
      <w:pPr>
        <w:pStyle w:val="BodyText"/>
        <w:spacing w:before="125"/>
        <w:rPr>
          <w:b/>
        </w:rPr>
      </w:pPr>
    </w:p>
    <w:p>
      <w:pPr>
        <w:spacing w:before="0"/>
        <w:ind w:left="-1" w:right="4" w:firstLine="0"/>
        <w:jc w:val="center"/>
        <w:rPr>
          <w:b/>
          <w:sz w:val="22"/>
        </w:rPr>
      </w:pPr>
      <w:bookmarkStart w:name="_bookmark138" w:id="140"/>
      <w:bookmarkEnd w:id="140"/>
      <w:r>
        <w:rPr/>
      </w:r>
      <w:bookmarkStart w:name="_bookmark139" w:id="141"/>
      <w:bookmarkEnd w:id="141"/>
      <w:r>
        <w:rPr/>
      </w:r>
      <w:r>
        <w:rPr>
          <w:b/>
          <w:sz w:val="22"/>
        </w:rPr>
        <w:t>ACTUACIONES</w:t>
      </w:r>
      <w:r>
        <w:rPr>
          <w:b/>
          <w:spacing w:val="-8"/>
          <w:sz w:val="22"/>
        </w:rPr>
        <w:t> </w:t>
      </w:r>
      <w:r>
        <w:rPr>
          <w:b/>
          <w:sz w:val="22"/>
        </w:rPr>
        <w:t>REALIZADAS</w:t>
      </w:r>
      <w:r>
        <w:rPr>
          <w:b/>
          <w:spacing w:val="-9"/>
          <w:sz w:val="22"/>
        </w:rPr>
        <w:t> </w:t>
      </w:r>
      <w:r>
        <w:rPr>
          <w:b/>
          <w:sz w:val="22"/>
        </w:rPr>
        <w:t>POR</w:t>
      </w:r>
      <w:r>
        <w:rPr>
          <w:b/>
          <w:spacing w:val="-8"/>
          <w:sz w:val="22"/>
        </w:rPr>
        <w:t> </w:t>
      </w:r>
      <w:r>
        <w:rPr>
          <w:b/>
          <w:sz w:val="22"/>
        </w:rPr>
        <w:t>EL</w:t>
      </w:r>
      <w:r>
        <w:rPr>
          <w:b/>
          <w:spacing w:val="-8"/>
          <w:sz w:val="22"/>
        </w:rPr>
        <w:t> </w:t>
      </w:r>
      <w:r>
        <w:rPr>
          <w:b/>
          <w:sz w:val="22"/>
        </w:rPr>
        <w:t>AYUNTAMIENTO</w:t>
      </w:r>
      <w:r>
        <w:rPr>
          <w:b/>
          <w:spacing w:val="-7"/>
          <w:sz w:val="22"/>
        </w:rPr>
        <w:t> </w:t>
      </w:r>
      <w:r>
        <w:rPr>
          <w:b/>
          <w:sz w:val="22"/>
        </w:rPr>
        <w:t>DE</w:t>
      </w:r>
      <w:r>
        <w:rPr>
          <w:b/>
          <w:spacing w:val="-5"/>
          <w:sz w:val="22"/>
        </w:rPr>
        <w:t> </w:t>
      </w:r>
      <w:r>
        <w:rPr>
          <w:b/>
          <w:spacing w:val="-2"/>
          <w:sz w:val="22"/>
        </w:rPr>
        <w:t>BILBAO</w:t>
      </w:r>
    </w:p>
    <w:p>
      <w:pPr>
        <w:pStyle w:val="BodyText"/>
        <w:spacing w:before="8"/>
        <w:rPr>
          <w:b/>
          <w:sz w:val="18"/>
        </w:rPr>
      </w:pPr>
      <w:r>
        <w:rPr>
          <w:b/>
          <w:sz w:val="18"/>
        </w:rPr>
        <mc:AlternateContent>
          <mc:Choice Requires="wps">
            <w:drawing>
              <wp:anchor distT="0" distB="0" distL="0" distR="0" allowOverlap="1" layoutInCell="1" locked="0" behindDoc="1" simplePos="0" relativeHeight="487632896">
                <wp:simplePos x="0" y="0"/>
                <wp:positionH relativeFrom="page">
                  <wp:posOffset>198120</wp:posOffset>
                </wp:positionH>
                <wp:positionV relativeFrom="paragraph">
                  <wp:posOffset>151798</wp:posOffset>
                </wp:positionV>
                <wp:extent cx="7134225" cy="807720"/>
                <wp:effectExtent l="0" t="0" r="0" b="0"/>
                <wp:wrapTopAndBottom/>
                <wp:docPr id="347" name="Group 347"/>
                <wp:cNvGraphicFramePr>
                  <a:graphicFrameLocks/>
                </wp:cNvGraphicFramePr>
                <a:graphic>
                  <a:graphicData uri="http://schemas.microsoft.com/office/word/2010/wordprocessingGroup">
                    <wpg:wgp>
                      <wpg:cNvPr id="347" name="Group 347"/>
                      <wpg:cNvGrpSpPr/>
                      <wpg:grpSpPr>
                        <a:xfrm>
                          <a:off x="0" y="0"/>
                          <a:ext cx="7134225" cy="807720"/>
                          <a:chExt cx="7134225" cy="807720"/>
                        </a:xfrm>
                      </wpg:grpSpPr>
                      <wps:wsp>
                        <wps:cNvPr id="348" name="Graphic 348"/>
                        <wps:cNvSpPr/>
                        <wps:spPr>
                          <a:xfrm>
                            <a:off x="0" y="0"/>
                            <a:ext cx="7134225" cy="807720"/>
                          </a:xfrm>
                          <a:custGeom>
                            <a:avLst/>
                            <a:gdLst/>
                            <a:ahLst/>
                            <a:cxnLst/>
                            <a:rect l="l" t="t" r="r" b="b"/>
                            <a:pathLst>
                              <a:path w="7134225" h="807720">
                                <a:moveTo>
                                  <a:pt x="1887270" y="0"/>
                                </a:moveTo>
                                <a:lnTo>
                                  <a:pt x="1079284" y="0"/>
                                </a:lnTo>
                                <a:lnTo>
                                  <a:pt x="0" y="0"/>
                                </a:lnTo>
                                <a:lnTo>
                                  <a:pt x="0" y="807720"/>
                                </a:lnTo>
                                <a:lnTo>
                                  <a:pt x="1079246" y="807720"/>
                                </a:lnTo>
                                <a:lnTo>
                                  <a:pt x="1887270" y="807720"/>
                                </a:lnTo>
                                <a:lnTo>
                                  <a:pt x="1887270" y="0"/>
                                </a:lnTo>
                                <a:close/>
                              </a:path>
                              <a:path w="7134225" h="807720">
                                <a:moveTo>
                                  <a:pt x="2981579" y="335280"/>
                                </a:moveTo>
                                <a:lnTo>
                                  <a:pt x="2981566" y="0"/>
                                </a:lnTo>
                                <a:lnTo>
                                  <a:pt x="2880995" y="0"/>
                                </a:lnTo>
                                <a:lnTo>
                                  <a:pt x="1887347" y="0"/>
                                </a:lnTo>
                                <a:lnTo>
                                  <a:pt x="1887347" y="335280"/>
                                </a:lnTo>
                                <a:lnTo>
                                  <a:pt x="2879471" y="335280"/>
                                </a:lnTo>
                                <a:lnTo>
                                  <a:pt x="2879471" y="344424"/>
                                </a:lnTo>
                                <a:lnTo>
                                  <a:pt x="2981579" y="344424"/>
                                </a:lnTo>
                                <a:lnTo>
                                  <a:pt x="2981579" y="335280"/>
                                </a:lnTo>
                                <a:close/>
                              </a:path>
                              <a:path w="7134225" h="807720">
                                <a:moveTo>
                                  <a:pt x="5184305" y="345948"/>
                                </a:moveTo>
                                <a:lnTo>
                                  <a:pt x="5184305" y="345948"/>
                                </a:lnTo>
                                <a:lnTo>
                                  <a:pt x="1887347" y="345948"/>
                                </a:lnTo>
                                <a:lnTo>
                                  <a:pt x="1887347" y="807720"/>
                                </a:lnTo>
                                <a:lnTo>
                                  <a:pt x="4803318" y="807720"/>
                                </a:lnTo>
                                <a:lnTo>
                                  <a:pt x="4803318" y="591312"/>
                                </a:lnTo>
                                <a:lnTo>
                                  <a:pt x="4147693" y="591312"/>
                                </a:lnTo>
                                <a:lnTo>
                                  <a:pt x="4146169" y="591312"/>
                                </a:lnTo>
                                <a:lnTo>
                                  <a:pt x="4146169" y="579132"/>
                                </a:lnTo>
                                <a:lnTo>
                                  <a:pt x="4045585" y="579132"/>
                                </a:lnTo>
                                <a:lnTo>
                                  <a:pt x="4045585" y="591312"/>
                                </a:lnTo>
                                <a:lnTo>
                                  <a:pt x="3666159" y="591312"/>
                                </a:lnTo>
                                <a:lnTo>
                                  <a:pt x="2987675" y="591312"/>
                                </a:lnTo>
                                <a:lnTo>
                                  <a:pt x="2986151" y="591312"/>
                                </a:lnTo>
                                <a:lnTo>
                                  <a:pt x="2986151" y="579132"/>
                                </a:lnTo>
                                <a:lnTo>
                                  <a:pt x="2880995" y="579132"/>
                                </a:lnTo>
                                <a:lnTo>
                                  <a:pt x="2987675" y="579120"/>
                                </a:lnTo>
                                <a:lnTo>
                                  <a:pt x="4045585" y="579120"/>
                                </a:lnTo>
                                <a:lnTo>
                                  <a:pt x="4147693" y="579120"/>
                                </a:lnTo>
                                <a:lnTo>
                                  <a:pt x="5184305" y="579120"/>
                                </a:lnTo>
                                <a:lnTo>
                                  <a:pt x="5184305" y="345948"/>
                                </a:lnTo>
                                <a:close/>
                              </a:path>
                              <a:path w="7134225" h="807720">
                                <a:moveTo>
                                  <a:pt x="7133831" y="0"/>
                                </a:moveTo>
                                <a:lnTo>
                                  <a:pt x="6352032" y="0"/>
                                </a:lnTo>
                                <a:lnTo>
                                  <a:pt x="2981579" y="0"/>
                                </a:lnTo>
                                <a:lnTo>
                                  <a:pt x="2981579" y="335280"/>
                                </a:lnTo>
                                <a:lnTo>
                                  <a:pt x="6352032" y="335280"/>
                                </a:lnTo>
                                <a:lnTo>
                                  <a:pt x="6352032" y="345948"/>
                                </a:lnTo>
                                <a:lnTo>
                                  <a:pt x="5286502" y="345948"/>
                                </a:lnTo>
                                <a:lnTo>
                                  <a:pt x="5184394" y="345948"/>
                                </a:lnTo>
                                <a:lnTo>
                                  <a:pt x="5184394" y="579120"/>
                                </a:lnTo>
                                <a:lnTo>
                                  <a:pt x="5286502" y="579120"/>
                                </a:lnTo>
                                <a:lnTo>
                                  <a:pt x="6352032" y="579120"/>
                                </a:lnTo>
                                <a:lnTo>
                                  <a:pt x="6352032" y="591312"/>
                                </a:lnTo>
                                <a:lnTo>
                                  <a:pt x="5941822" y="591312"/>
                                </a:lnTo>
                                <a:lnTo>
                                  <a:pt x="5286502" y="591312"/>
                                </a:lnTo>
                                <a:lnTo>
                                  <a:pt x="5286502" y="579132"/>
                                </a:lnTo>
                                <a:lnTo>
                                  <a:pt x="5184394" y="579132"/>
                                </a:lnTo>
                                <a:lnTo>
                                  <a:pt x="5184394" y="591312"/>
                                </a:lnTo>
                                <a:lnTo>
                                  <a:pt x="4803394" y="591312"/>
                                </a:lnTo>
                                <a:lnTo>
                                  <a:pt x="4803394" y="807720"/>
                                </a:lnTo>
                                <a:lnTo>
                                  <a:pt x="5184394" y="807720"/>
                                </a:lnTo>
                                <a:lnTo>
                                  <a:pt x="5286502" y="807720"/>
                                </a:lnTo>
                                <a:lnTo>
                                  <a:pt x="5941822" y="807720"/>
                                </a:lnTo>
                                <a:lnTo>
                                  <a:pt x="6352032" y="807720"/>
                                </a:lnTo>
                                <a:lnTo>
                                  <a:pt x="7133831" y="807720"/>
                                </a:lnTo>
                                <a:lnTo>
                                  <a:pt x="7133831" y="0"/>
                                </a:lnTo>
                                <a:close/>
                              </a:path>
                            </a:pathLst>
                          </a:custGeom>
                          <a:solidFill>
                            <a:srgbClr val="002D5D"/>
                          </a:solidFill>
                        </wps:spPr>
                        <wps:bodyPr wrap="square" lIns="0" tIns="0" rIns="0" bIns="0" rtlCol="0">
                          <a:prstTxWarp prst="textNoShape">
                            <a:avLst/>
                          </a:prstTxWarp>
                          <a:noAutofit/>
                        </wps:bodyPr>
                      </wps:wsp>
                      <wps:wsp>
                        <wps:cNvPr id="349" name="Textbox 349"/>
                        <wps:cNvSpPr txBox="1"/>
                        <wps:spPr>
                          <a:xfrm>
                            <a:off x="2132710" y="50777"/>
                            <a:ext cx="513080" cy="233045"/>
                          </a:xfrm>
                          <a:prstGeom prst="rect">
                            <a:avLst/>
                          </a:prstGeom>
                        </wps:spPr>
                        <wps:txbx>
                          <w:txbxContent>
                            <w:p>
                              <w:pPr>
                                <w:spacing w:before="0"/>
                                <w:ind w:left="0" w:right="0" w:firstLine="93"/>
                                <w:jc w:val="left"/>
                                <w:rPr>
                                  <w:rFonts w:ascii="Arial Narrow" w:hAnsi="Arial Narrow"/>
                                  <w:b/>
                                  <w:sz w:val="16"/>
                                </w:rPr>
                              </w:pPr>
                              <w:r>
                                <w:rPr>
                                  <w:rFonts w:ascii="Arial Narrow" w:hAnsi="Arial Narrow"/>
                                  <w:b/>
                                  <w:color w:val="FFFFFF"/>
                                  <w:spacing w:val="-2"/>
                                  <w:sz w:val="16"/>
                                </w:rPr>
                                <w:t>IMPORTE</w:t>
                              </w:r>
                              <w:r>
                                <w:rPr>
                                  <w:rFonts w:ascii="Arial Narrow" w:hAnsi="Arial Narrow"/>
                                  <w:b/>
                                  <w:color w:val="FFFFFF"/>
                                  <w:spacing w:val="40"/>
                                  <w:sz w:val="16"/>
                                </w:rPr>
                                <w:t> </w:t>
                              </w:r>
                              <w:r>
                                <w:rPr>
                                  <w:rFonts w:ascii="Arial Narrow" w:hAnsi="Arial Narrow"/>
                                  <w:b/>
                                  <w:color w:val="FFFFFF"/>
                                  <w:spacing w:val="-2"/>
                                  <w:sz w:val="16"/>
                                </w:rPr>
                                <w:t>ACTUACIÓN</w:t>
                              </w:r>
                            </w:p>
                          </w:txbxContent>
                        </wps:txbx>
                        <wps:bodyPr wrap="square" lIns="0" tIns="0" rIns="0" bIns="0" rtlCol="0">
                          <a:noAutofit/>
                        </wps:bodyPr>
                      </wps:wsp>
                      <wps:wsp>
                        <wps:cNvPr id="350" name="Textbox 350"/>
                        <wps:cNvSpPr txBox="1"/>
                        <wps:spPr>
                          <a:xfrm>
                            <a:off x="4362577" y="108689"/>
                            <a:ext cx="61976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2"/>
                                  <w:sz w:val="16"/>
                                </w:rPr>
                                <w:t>FINANCIACIÓN</w:t>
                              </w:r>
                            </w:p>
                          </w:txbxContent>
                        </wps:txbx>
                        <wps:bodyPr wrap="square" lIns="0" tIns="0" rIns="0" bIns="0" rtlCol="0">
                          <a:noAutofit/>
                        </wps:bodyPr>
                      </wps:wsp>
                      <wps:wsp>
                        <wps:cNvPr id="351" name="Textbox 351"/>
                        <wps:cNvSpPr txBox="1"/>
                        <wps:spPr>
                          <a:xfrm>
                            <a:off x="208788" y="286997"/>
                            <a:ext cx="675005" cy="233045"/>
                          </a:xfrm>
                          <a:prstGeom prst="rect">
                            <a:avLst/>
                          </a:prstGeom>
                        </wps:spPr>
                        <wps:txbx>
                          <w:txbxContent>
                            <w:p>
                              <w:pPr>
                                <w:spacing w:before="0"/>
                                <w:ind w:left="129" w:right="0" w:hanging="130"/>
                                <w:jc w:val="left"/>
                                <w:rPr>
                                  <w:rFonts w:ascii="Arial Narrow" w:hAnsi="Arial Narrow"/>
                                  <w:b/>
                                  <w:sz w:val="16"/>
                                </w:rPr>
                              </w:pPr>
                              <w:r>
                                <w:rPr>
                                  <w:rFonts w:ascii="Arial Narrow" w:hAnsi="Arial Narrow"/>
                                  <w:b/>
                                  <w:color w:val="FFFFFF"/>
                                  <w:spacing w:val="-2"/>
                                  <w:sz w:val="16"/>
                                </w:rPr>
                                <w:t>DENOMINACIÓN</w:t>
                              </w:r>
                              <w:r>
                                <w:rPr>
                                  <w:rFonts w:ascii="Arial Narrow" w:hAnsi="Arial Narrow"/>
                                  <w:b/>
                                  <w:color w:val="FFFFFF"/>
                                  <w:spacing w:val="40"/>
                                  <w:sz w:val="16"/>
                                </w:rPr>
                                <w:t> </w:t>
                              </w:r>
                              <w:r>
                                <w:rPr>
                                  <w:rFonts w:ascii="Arial Narrow" w:hAnsi="Arial Narrow"/>
                                  <w:b/>
                                  <w:color w:val="FFFFFF"/>
                                  <w:spacing w:val="-2"/>
                                  <w:sz w:val="16"/>
                                </w:rPr>
                                <w:t>ACTUACIÓN</w:t>
                              </w:r>
                            </w:p>
                          </w:txbxContent>
                        </wps:txbx>
                        <wps:bodyPr wrap="square" lIns="0" tIns="0" rIns="0" bIns="0" rtlCol="0">
                          <a:noAutofit/>
                        </wps:bodyPr>
                      </wps:wsp>
                      <wps:wsp>
                        <wps:cNvPr id="352" name="Textbox 352"/>
                        <wps:cNvSpPr txBox="1"/>
                        <wps:spPr>
                          <a:xfrm>
                            <a:off x="1252982" y="344909"/>
                            <a:ext cx="47244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2"/>
                                  <w:sz w:val="16"/>
                                </w:rPr>
                                <w:t>TIPOLOGÍA</w:t>
                              </w:r>
                            </w:p>
                          </w:txbxContent>
                        </wps:txbx>
                        <wps:bodyPr wrap="square" lIns="0" tIns="0" rIns="0" bIns="0" rtlCol="0">
                          <a:noAutofit/>
                        </wps:bodyPr>
                      </wps:wsp>
                      <wps:wsp>
                        <wps:cNvPr id="353" name="Textbox 353"/>
                        <wps:cNvSpPr txBox="1"/>
                        <wps:spPr>
                          <a:xfrm>
                            <a:off x="3237610" y="402821"/>
                            <a:ext cx="567690" cy="117475"/>
                          </a:xfrm>
                          <a:prstGeom prst="rect">
                            <a:avLst/>
                          </a:prstGeom>
                        </wps:spPr>
                        <wps:txbx>
                          <w:txbxContent>
                            <w:p>
                              <w:pPr>
                                <w:spacing w:before="0"/>
                                <w:ind w:left="0" w:right="0" w:firstLine="0"/>
                                <w:jc w:val="left"/>
                                <w:rPr>
                                  <w:rFonts w:ascii="Arial Narrow"/>
                                  <w:b/>
                                  <w:sz w:val="16"/>
                                </w:rPr>
                              </w:pPr>
                              <w:r>
                                <w:rPr>
                                  <w:rFonts w:ascii="Arial Narrow"/>
                                  <w:b/>
                                  <w:color w:val="FFFFFF"/>
                                  <w:spacing w:val="-2"/>
                                  <w:sz w:val="16"/>
                                </w:rPr>
                                <w:t>Ayuntamiento</w:t>
                              </w:r>
                            </w:p>
                          </w:txbxContent>
                        </wps:txbx>
                        <wps:bodyPr wrap="square" lIns="0" tIns="0" rIns="0" bIns="0" rtlCol="0">
                          <a:noAutofit/>
                        </wps:bodyPr>
                      </wps:wsp>
                      <wps:wsp>
                        <wps:cNvPr id="354" name="Textbox 354"/>
                        <wps:cNvSpPr txBox="1"/>
                        <wps:spPr>
                          <a:xfrm>
                            <a:off x="4545457" y="400166"/>
                            <a:ext cx="255270" cy="124460"/>
                          </a:xfrm>
                          <a:prstGeom prst="rect">
                            <a:avLst/>
                          </a:prstGeom>
                        </wps:spPr>
                        <wps:txbx>
                          <w:txbxContent>
                            <w:p>
                              <w:pPr>
                                <w:spacing w:before="0"/>
                                <w:ind w:left="0" w:right="0" w:firstLine="0"/>
                                <w:jc w:val="left"/>
                                <w:rPr>
                                  <w:rFonts w:ascii="Arial Narrow"/>
                                  <w:b/>
                                  <w:sz w:val="17"/>
                                </w:rPr>
                              </w:pPr>
                              <w:r>
                                <w:rPr>
                                  <w:rFonts w:ascii="Arial Narrow"/>
                                  <w:b/>
                                  <w:color w:val="FFFFFF"/>
                                  <w:spacing w:val="-4"/>
                                  <w:sz w:val="17"/>
                                </w:rPr>
                                <w:t>PRTR</w:t>
                              </w:r>
                            </w:p>
                          </w:txbxContent>
                        </wps:txbx>
                        <wps:bodyPr wrap="square" lIns="0" tIns="0" rIns="0" bIns="0" rtlCol="0">
                          <a:noAutofit/>
                        </wps:bodyPr>
                      </wps:wsp>
                      <wps:wsp>
                        <wps:cNvPr id="355" name="Textbox 355"/>
                        <wps:cNvSpPr txBox="1"/>
                        <wps:spPr>
                          <a:xfrm>
                            <a:off x="2141854" y="517121"/>
                            <a:ext cx="11557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wps:txbx>
                        <wps:bodyPr wrap="square" lIns="0" tIns="0" rIns="0" bIns="0" rtlCol="0">
                          <a:noAutofit/>
                        </wps:bodyPr>
                      </wps:wsp>
                      <wps:wsp>
                        <wps:cNvPr id="356" name="Textbox 356"/>
                        <wps:cNvSpPr txBox="1"/>
                        <wps:spPr>
                          <a:xfrm>
                            <a:off x="2612770" y="517121"/>
                            <a:ext cx="87630" cy="117475"/>
                          </a:xfrm>
                          <a:prstGeom prst="rect">
                            <a:avLst/>
                          </a:prstGeom>
                        </wps:spPr>
                        <wps:txbx>
                          <w:txbxContent>
                            <w:p>
                              <w:pPr>
                                <w:spacing w:before="0"/>
                                <w:ind w:left="0" w:right="0" w:firstLine="0"/>
                                <w:jc w:val="left"/>
                                <w:rPr>
                                  <w:rFonts w:ascii="Arial Narrow"/>
                                  <w:b/>
                                  <w:sz w:val="16"/>
                                </w:rPr>
                              </w:pPr>
                              <w:r>
                                <w:rPr>
                                  <w:rFonts w:ascii="Arial Narrow"/>
                                  <w:b/>
                                  <w:color w:val="FFFFFF"/>
                                  <w:spacing w:val="-10"/>
                                  <w:sz w:val="16"/>
                                </w:rPr>
                                <w:t>%</w:t>
                              </w:r>
                            </w:p>
                          </w:txbxContent>
                        </wps:txbx>
                        <wps:bodyPr wrap="square" lIns="0" tIns="0" rIns="0" bIns="0" rtlCol="0">
                          <a:noAutofit/>
                        </wps:bodyPr>
                      </wps:wsp>
                      <wps:wsp>
                        <wps:cNvPr id="357" name="Textbox 357"/>
                        <wps:cNvSpPr txBox="1"/>
                        <wps:spPr>
                          <a:xfrm>
                            <a:off x="2710307" y="526857"/>
                            <a:ext cx="68580" cy="73660"/>
                          </a:xfrm>
                          <a:prstGeom prst="rect">
                            <a:avLst/>
                          </a:prstGeom>
                        </wps:spPr>
                        <wps:txbx>
                          <w:txbxContent>
                            <w:p>
                              <w:pPr>
                                <w:spacing w:before="0"/>
                                <w:ind w:left="0" w:right="0" w:firstLine="0"/>
                                <w:jc w:val="left"/>
                                <w:rPr>
                                  <w:rFonts w:ascii="Arial Narrow"/>
                                  <w:b/>
                                  <w:sz w:val="10"/>
                                </w:rPr>
                              </w:pPr>
                              <w:r>
                                <w:rPr>
                                  <w:rFonts w:ascii="Arial Narrow"/>
                                  <w:b/>
                                  <w:color w:val="FFFFFF"/>
                                  <w:spacing w:val="-5"/>
                                  <w:sz w:val="10"/>
                                </w:rPr>
                                <w:t>(*)</w:t>
                              </w:r>
                            </w:p>
                          </w:txbxContent>
                        </wps:txbx>
                        <wps:bodyPr wrap="square" lIns="0" tIns="0" rIns="0" bIns="0" rtlCol="0">
                          <a:noAutofit/>
                        </wps:bodyPr>
                      </wps:wsp>
                      <wps:wsp>
                        <wps:cNvPr id="358" name="Textbox 358"/>
                        <wps:cNvSpPr txBox="1"/>
                        <wps:spPr>
                          <a:xfrm>
                            <a:off x="5507482" y="344909"/>
                            <a:ext cx="633730" cy="233045"/>
                          </a:xfrm>
                          <a:prstGeom prst="rect">
                            <a:avLst/>
                          </a:prstGeom>
                        </wps:spPr>
                        <wps:txbx>
                          <w:txbxContent>
                            <w:p>
                              <w:pPr>
                                <w:spacing w:before="0"/>
                                <w:ind w:left="26" w:right="18" w:hanging="27"/>
                                <w:jc w:val="left"/>
                                <w:rPr>
                                  <w:rFonts w:ascii="Arial Narrow"/>
                                  <w:b/>
                                  <w:sz w:val="16"/>
                                </w:rPr>
                              </w:pPr>
                              <w:r>
                                <w:rPr>
                                  <w:rFonts w:ascii="Arial Narrow"/>
                                  <w:b/>
                                  <w:color w:val="FFFFFF"/>
                                  <w:sz w:val="16"/>
                                </w:rPr>
                                <w:t>Otras</w:t>
                              </w:r>
                              <w:r>
                                <w:rPr>
                                  <w:rFonts w:ascii="Arial Narrow"/>
                                  <w:b/>
                                  <w:color w:val="FFFFFF"/>
                                  <w:spacing w:val="-10"/>
                                  <w:sz w:val="16"/>
                                </w:rPr>
                                <w:t> </w:t>
                              </w:r>
                              <w:r>
                                <w:rPr>
                                  <w:rFonts w:ascii="Arial Narrow"/>
                                  <w:b/>
                                  <w:color w:val="FFFFFF"/>
                                  <w:sz w:val="16"/>
                                </w:rPr>
                                <w:t>(Empresa</w:t>
                              </w:r>
                              <w:r>
                                <w:rPr>
                                  <w:rFonts w:ascii="Arial Narrow"/>
                                  <w:b/>
                                  <w:color w:val="FFFFFF"/>
                                  <w:spacing w:val="40"/>
                                  <w:sz w:val="16"/>
                                </w:rPr>
                                <w:t> </w:t>
                              </w:r>
                              <w:r>
                                <w:rPr>
                                  <w:rFonts w:ascii="Arial Narrow"/>
                                  <w:b/>
                                  <w:color w:val="FFFFFF"/>
                                  <w:spacing w:val="-2"/>
                                  <w:sz w:val="16"/>
                                </w:rPr>
                                <w:t>concesionaria)</w:t>
                              </w:r>
                            </w:p>
                          </w:txbxContent>
                        </wps:txbx>
                        <wps:bodyPr wrap="square" lIns="0" tIns="0" rIns="0" bIns="0" rtlCol="0">
                          <a:noAutofit/>
                        </wps:bodyPr>
                      </wps:wsp>
                      <wps:wsp>
                        <wps:cNvPr id="359" name="Textbox 359"/>
                        <wps:cNvSpPr txBox="1"/>
                        <wps:spPr>
                          <a:xfrm>
                            <a:off x="6431279" y="227561"/>
                            <a:ext cx="633730" cy="350520"/>
                          </a:xfrm>
                          <a:prstGeom prst="rect">
                            <a:avLst/>
                          </a:prstGeom>
                        </wps:spPr>
                        <wps:txbx>
                          <w:txbxContent>
                            <w:p>
                              <w:pPr>
                                <w:spacing w:before="0"/>
                                <w:ind w:left="0" w:right="18" w:firstLine="0"/>
                                <w:jc w:val="center"/>
                                <w:rPr>
                                  <w:rFonts w:ascii="Arial Narrow" w:hAnsi="Arial Narrow"/>
                                  <w:b/>
                                  <w:sz w:val="16"/>
                                </w:rPr>
                              </w:pPr>
                              <w:r>
                                <w:rPr>
                                  <w:rFonts w:ascii="Arial Narrow" w:hAnsi="Arial Narrow"/>
                                  <w:b/>
                                  <w:color w:val="FFFFFF"/>
                                  <w:sz w:val="16"/>
                                </w:rPr>
                                <w:t>ESTADO</w:t>
                              </w:r>
                              <w:r>
                                <w:rPr>
                                  <w:rFonts w:ascii="Arial Narrow" w:hAnsi="Arial Narrow"/>
                                  <w:b/>
                                  <w:color w:val="FFFFFF"/>
                                  <w:spacing w:val="-10"/>
                                  <w:sz w:val="16"/>
                                </w:rPr>
                                <w:t> </w:t>
                              </w:r>
                              <w:r>
                                <w:rPr>
                                  <w:rFonts w:ascii="Arial Narrow" w:hAnsi="Arial Narrow"/>
                                  <w:b/>
                                  <w:color w:val="FFFFFF"/>
                                  <w:sz w:val="16"/>
                                </w:rPr>
                                <w:t>DE</w:t>
                              </w:r>
                              <w:r>
                                <w:rPr>
                                  <w:rFonts w:ascii="Arial Narrow" w:hAnsi="Arial Narrow"/>
                                  <w:b/>
                                  <w:color w:val="FFFFFF"/>
                                  <w:spacing w:val="-9"/>
                                  <w:sz w:val="16"/>
                                </w:rPr>
                                <w:t> </w:t>
                              </w:r>
                              <w:r>
                                <w:rPr>
                                  <w:rFonts w:ascii="Arial Narrow" w:hAnsi="Arial Narrow"/>
                                  <w:b/>
                                  <w:color w:val="FFFFFF"/>
                                  <w:sz w:val="16"/>
                                </w:rPr>
                                <w:t>LA</w:t>
                              </w:r>
                              <w:r>
                                <w:rPr>
                                  <w:rFonts w:ascii="Arial Narrow" w:hAnsi="Arial Narrow"/>
                                  <w:b/>
                                  <w:color w:val="FFFFFF"/>
                                  <w:spacing w:val="40"/>
                                  <w:sz w:val="16"/>
                                </w:rPr>
                                <w:t> </w:t>
                              </w:r>
                              <w:r>
                                <w:rPr>
                                  <w:rFonts w:ascii="Arial Narrow" w:hAnsi="Arial Narrow"/>
                                  <w:b/>
                                  <w:color w:val="FFFFFF"/>
                                  <w:spacing w:val="-2"/>
                                  <w:sz w:val="16"/>
                                </w:rPr>
                                <w:t>ACTUACIÓN</w:t>
                              </w:r>
                              <w:r>
                                <w:rPr>
                                  <w:rFonts w:ascii="Arial Narrow" w:hAnsi="Arial Narrow"/>
                                  <w:b/>
                                  <w:color w:val="FFFFFF"/>
                                  <w:spacing w:val="40"/>
                                  <w:sz w:val="16"/>
                                </w:rPr>
                                <w:t> </w:t>
                              </w:r>
                              <w:r>
                                <w:rPr>
                                  <w:rFonts w:ascii="Arial Narrow" w:hAnsi="Arial Narrow"/>
                                  <w:b/>
                                  <w:color w:val="FFFFFF"/>
                                  <w:spacing w:val="-2"/>
                                  <w:sz w:val="16"/>
                                </w:rPr>
                                <w:t>31/12/2024</w:t>
                              </w:r>
                            </w:p>
                          </w:txbxContent>
                        </wps:txbx>
                        <wps:bodyPr wrap="square" lIns="0" tIns="0" rIns="0" bIns="0" rtlCol="0">
                          <a:noAutofit/>
                        </wps:bodyPr>
                      </wps:wsp>
                      <wps:wsp>
                        <wps:cNvPr id="360" name="Textbox 360"/>
                        <wps:cNvSpPr txBox="1"/>
                        <wps:spPr>
                          <a:xfrm>
                            <a:off x="3275965" y="640565"/>
                            <a:ext cx="11557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wps:txbx>
                        <wps:bodyPr wrap="square" lIns="0" tIns="0" rIns="0" bIns="0" rtlCol="0">
                          <a:noAutofit/>
                        </wps:bodyPr>
                      </wps:wsp>
                      <wps:wsp>
                        <wps:cNvPr id="361" name="Textbox 361"/>
                        <wps:cNvSpPr txBox="1"/>
                        <wps:spPr>
                          <a:xfrm>
                            <a:off x="3769740" y="640565"/>
                            <a:ext cx="186055" cy="117475"/>
                          </a:xfrm>
                          <a:prstGeom prst="rect">
                            <a:avLst/>
                          </a:prstGeom>
                        </wps:spPr>
                        <wps:txbx>
                          <w:txbxContent>
                            <w:p>
                              <w:pPr>
                                <w:spacing w:line="183" w:lineRule="exact" w:before="0"/>
                                <w:ind w:left="0" w:right="0" w:firstLine="0"/>
                                <w:jc w:val="left"/>
                                <w:rPr>
                                  <w:rFonts w:ascii="Arial Narrow"/>
                                  <w:b/>
                                  <w:sz w:val="10"/>
                                </w:rPr>
                              </w:pPr>
                              <w:r>
                                <w:rPr>
                                  <w:rFonts w:ascii="Arial Narrow"/>
                                  <w:b/>
                                  <w:color w:val="FFFFFF"/>
                                  <w:position w:val="-3"/>
                                  <w:sz w:val="16"/>
                                </w:rPr>
                                <w:t>%</w:t>
                              </w:r>
                              <w:r>
                                <w:rPr>
                                  <w:rFonts w:ascii="Arial Narrow"/>
                                  <w:b/>
                                  <w:color w:val="FFFFFF"/>
                                  <w:spacing w:val="-1"/>
                                  <w:position w:val="-3"/>
                                  <w:sz w:val="16"/>
                                </w:rPr>
                                <w:t> </w:t>
                              </w:r>
                              <w:r>
                                <w:rPr>
                                  <w:rFonts w:ascii="Arial Narrow"/>
                                  <w:b/>
                                  <w:color w:val="FFFFFF"/>
                                  <w:spacing w:val="-4"/>
                                  <w:sz w:val="10"/>
                                </w:rPr>
                                <w:t>(**)</w:t>
                              </w:r>
                            </w:p>
                          </w:txbxContent>
                        </wps:txbx>
                        <wps:bodyPr wrap="square" lIns="0" tIns="0" rIns="0" bIns="0" rtlCol="0">
                          <a:noAutofit/>
                        </wps:bodyPr>
                      </wps:wsp>
                      <wps:wsp>
                        <wps:cNvPr id="362" name="Textbox 362"/>
                        <wps:cNvSpPr txBox="1"/>
                        <wps:spPr>
                          <a:xfrm>
                            <a:off x="4423536" y="640565"/>
                            <a:ext cx="11557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wps:txbx>
                        <wps:bodyPr wrap="square" lIns="0" tIns="0" rIns="0" bIns="0" rtlCol="0">
                          <a:noAutofit/>
                        </wps:bodyPr>
                      </wps:wsp>
                      <wps:wsp>
                        <wps:cNvPr id="363" name="Textbox 363"/>
                        <wps:cNvSpPr txBox="1"/>
                        <wps:spPr>
                          <a:xfrm>
                            <a:off x="4907026" y="640565"/>
                            <a:ext cx="186055" cy="117475"/>
                          </a:xfrm>
                          <a:prstGeom prst="rect">
                            <a:avLst/>
                          </a:prstGeom>
                        </wps:spPr>
                        <wps:txbx>
                          <w:txbxContent>
                            <w:p>
                              <w:pPr>
                                <w:spacing w:line="183" w:lineRule="exact" w:before="0"/>
                                <w:ind w:left="0" w:right="0" w:firstLine="0"/>
                                <w:jc w:val="left"/>
                                <w:rPr>
                                  <w:rFonts w:ascii="Arial Narrow"/>
                                  <w:b/>
                                  <w:sz w:val="10"/>
                                </w:rPr>
                              </w:pPr>
                              <w:r>
                                <w:rPr>
                                  <w:rFonts w:ascii="Arial Narrow"/>
                                  <w:b/>
                                  <w:color w:val="FFFFFF"/>
                                  <w:position w:val="-3"/>
                                  <w:sz w:val="16"/>
                                </w:rPr>
                                <w:t>%</w:t>
                              </w:r>
                              <w:r>
                                <w:rPr>
                                  <w:rFonts w:ascii="Arial Narrow"/>
                                  <w:b/>
                                  <w:color w:val="FFFFFF"/>
                                  <w:spacing w:val="-1"/>
                                  <w:position w:val="-3"/>
                                  <w:sz w:val="16"/>
                                </w:rPr>
                                <w:t> </w:t>
                              </w:r>
                              <w:r>
                                <w:rPr>
                                  <w:rFonts w:ascii="Arial Narrow"/>
                                  <w:b/>
                                  <w:color w:val="FFFFFF"/>
                                  <w:spacing w:val="-4"/>
                                  <w:sz w:val="10"/>
                                </w:rPr>
                                <w:t>(**)</w:t>
                              </w:r>
                            </w:p>
                          </w:txbxContent>
                        </wps:txbx>
                        <wps:bodyPr wrap="square" lIns="0" tIns="0" rIns="0" bIns="0" rtlCol="0">
                          <a:noAutofit/>
                        </wps:bodyPr>
                      </wps:wsp>
                      <wps:wsp>
                        <wps:cNvPr id="364" name="Textbox 364"/>
                        <wps:cNvSpPr txBox="1"/>
                        <wps:spPr>
                          <a:xfrm>
                            <a:off x="5562346" y="640565"/>
                            <a:ext cx="11557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wps:txbx>
                        <wps:bodyPr wrap="square" lIns="0" tIns="0" rIns="0" bIns="0" rtlCol="0">
                          <a:noAutofit/>
                        </wps:bodyPr>
                      </wps:wsp>
                      <wps:wsp>
                        <wps:cNvPr id="365" name="Textbox 365"/>
                        <wps:cNvSpPr txBox="1"/>
                        <wps:spPr>
                          <a:xfrm>
                            <a:off x="6060694" y="640565"/>
                            <a:ext cx="186055" cy="117475"/>
                          </a:xfrm>
                          <a:prstGeom prst="rect">
                            <a:avLst/>
                          </a:prstGeom>
                        </wps:spPr>
                        <wps:txbx>
                          <w:txbxContent>
                            <w:p>
                              <w:pPr>
                                <w:spacing w:line="183" w:lineRule="exact" w:before="0"/>
                                <w:ind w:left="0" w:right="0" w:firstLine="0"/>
                                <w:jc w:val="left"/>
                                <w:rPr>
                                  <w:rFonts w:ascii="Arial Narrow"/>
                                  <w:b/>
                                  <w:sz w:val="10"/>
                                </w:rPr>
                              </w:pPr>
                              <w:r>
                                <w:rPr>
                                  <w:rFonts w:ascii="Arial Narrow"/>
                                  <w:b/>
                                  <w:color w:val="FFFFFF"/>
                                  <w:position w:val="-3"/>
                                  <w:sz w:val="16"/>
                                </w:rPr>
                                <w:t>% </w:t>
                              </w:r>
                              <w:r>
                                <w:rPr>
                                  <w:rFonts w:ascii="Arial Narrow"/>
                                  <w:b/>
                                  <w:color w:val="FFFFFF"/>
                                  <w:spacing w:val="-4"/>
                                  <w:sz w:val="10"/>
                                </w:rPr>
                                <w:t>(**)</w:t>
                              </w:r>
                            </w:p>
                          </w:txbxContent>
                        </wps:txbx>
                        <wps:bodyPr wrap="square" lIns="0" tIns="0" rIns="0" bIns="0" rtlCol="0">
                          <a:noAutofit/>
                        </wps:bodyPr>
                      </wps:wsp>
                    </wpg:wgp>
                  </a:graphicData>
                </a:graphic>
              </wp:anchor>
            </w:drawing>
          </mc:Choice>
          <mc:Fallback>
            <w:pict>
              <v:group style="position:absolute;margin-left:15.6pt;margin-top:11.952618pt;width:561.75pt;height:63.6pt;mso-position-horizontal-relative:page;mso-position-vertical-relative:paragraph;z-index:-15683584;mso-wrap-distance-left:0;mso-wrap-distance-right:0" id="docshapegroup296" coordorigin="312,239" coordsize="11235,1272">
                <v:shape style="position:absolute;left:312;top:239;width:11235;height:1272" id="docshape297" coordorigin="312,239" coordsize="11235,1272" path="m3284,239l2012,239,2012,239,312,239,312,1511,2012,1511,2012,1511,3284,1511,3284,239xm5007,767l5007,767,5007,239,4849,239,3284,239,3284,767,4847,767,4847,781,5007,781,5007,767xm8476,784l6844,784,6683,784,6683,784,5017,784,4849,784,4249,784,3284,784,3284,1511,4249,1511,4849,1511,5017,1511,6085,1511,6085,1511,6683,1511,6844,1511,7876,1511,7876,1170,6844,1170,6841,1170,6841,1151,6683,1151,6683,1170,6085,1170,6085,1170,5017,1170,5015,1170,5015,1151,4849,1151,4849,1151,5017,1151,6683,1151,6683,1151,6844,1151,8476,1151,8476,784xm11546,239l10315,239,5007,239,5007,767,10315,767,10315,784,8637,784,8476,784,8476,1151,8637,1151,10315,1151,10315,1170,9669,1170,8637,1170,8637,1151,8476,1151,8476,1170,7876,1170,7876,1511,8476,1511,8637,1511,9669,1511,10315,1511,10315,1511,11546,1511,11546,239xe" filled="true" fillcolor="#002d5d" stroked="false">
                  <v:path arrowok="t"/>
                  <v:fill type="solid"/>
                </v:shape>
                <v:shape style="position:absolute;left:3670;top:319;width:808;height:367" type="#_x0000_t202" id="docshape298" filled="false" stroked="false">
                  <v:textbox inset="0,0,0,0">
                    <w:txbxContent>
                      <w:p>
                        <w:pPr>
                          <w:spacing w:before="0"/>
                          <w:ind w:left="0" w:right="0" w:firstLine="93"/>
                          <w:jc w:val="left"/>
                          <w:rPr>
                            <w:rFonts w:ascii="Arial Narrow" w:hAnsi="Arial Narrow"/>
                            <w:b/>
                            <w:sz w:val="16"/>
                          </w:rPr>
                        </w:pPr>
                        <w:r>
                          <w:rPr>
                            <w:rFonts w:ascii="Arial Narrow" w:hAnsi="Arial Narrow"/>
                            <w:b/>
                            <w:color w:val="FFFFFF"/>
                            <w:spacing w:val="-2"/>
                            <w:sz w:val="16"/>
                          </w:rPr>
                          <w:t>IMPORTE</w:t>
                        </w:r>
                        <w:r>
                          <w:rPr>
                            <w:rFonts w:ascii="Arial Narrow" w:hAnsi="Arial Narrow"/>
                            <w:b/>
                            <w:color w:val="FFFFFF"/>
                            <w:spacing w:val="40"/>
                            <w:sz w:val="16"/>
                          </w:rPr>
                          <w:t> </w:t>
                        </w:r>
                        <w:r>
                          <w:rPr>
                            <w:rFonts w:ascii="Arial Narrow" w:hAnsi="Arial Narrow"/>
                            <w:b/>
                            <w:color w:val="FFFFFF"/>
                            <w:spacing w:val="-2"/>
                            <w:sz w:val="16"/>
                          </w:rPr>
                          <w:t>ACTUACIÓN</w:t>
                        </w:r>
                      </w:p>
                    </w:txbxContent>
                  </v:textbox>
                  <w10:wrap type="none"/>
                </v:shape>
                <v:shape style="position:absolute;left:7182;top:410;width:976;height:185" type="#_x0000_t202" id="docshape299"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2"/>
                            <w:sz w:val="16"/>
                          </w:rPr>
                          <w:t>FINANCIACIÓN</w:t>
                        </w:r>
                      </w:p>
                    </w:txbxContent>
                  </v:textbox>
                  <w10:wrap type="none"/>
                </v:shape>
                <v:shape style="position:absolute;left:640;top:691;width:1063;height:367" type="#_x0000_t202" id="docshape300" filled="false" stroked="false">
                  <v:textbox inset="0,0,0,0">
                    <w:txbxContent>
                      <w:p>
                        <w:pPr>
                          <w:spacing w:before="0"/>
                          <w:ind w:left="129" w:right="0" w:hanging="130"/>
                          <w:jc w:val="left"/>
                          <w:rPr>
                            <w:rFonts w:ascii="Arial Narrow" w:hAnsi="Arial Narrow"/>
                            <w:b/>
                            <w:sz w:val="16"/>
                          </w:rPr>
                        </w:pPr>
                        <w:r>
                          <w:rPr>
                            <w:rFonts w:ascii="Arial Narrow" w:hAnsi="Arial Narrow"/>
                            <w:b/>
                            <w:color w:val="FFFFFF"/>
                            <w:spacing w:val="-2"/>
                            <w:sz w:val="16"/>
                          </w:rPr>
                          <w:t>DENOMINACIÓN</w:t>
                        </w:r>
                        <w:r>
                          <w:rPr>
                            <w:rFonts w:ascii="Arial Narrow" w:hAnsi="Arial Narrow"/>
                            <w:b/>
                            <w:color w:val="FFFFFF"/>
                            <w:spacing w:val="40"/>
                            <w:sz w:val="16"/>
                          </w:rPr>
                          <w:t> </w:t>
                        </w:r>
                        <w:r>
                          <w:rPr>
                            <w:rFonts w:ascii="Arial Narrow" w:hAnsi="Arial Narrow"/>
                            <w:b/>
                            <w:color w:val="FFFFFF"/>
                            <w:spacing w:val="-2"/>
                            <w:sz w:val="16"/>
                          </w:rPr>
                          <w:t>ACTUACIÓN</w:t>
                        </w:r>
                      </w:p>
                    </w:txbxContent>
                  </v:textbox>
                  <w10:wrap type="none"/>
                </v:shape>
                <v:shape style="position:absolute;left:2285;top:782;width:744;height:185" type="#_x0000_t202" id="docshape301"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2"/>
                            <w:sz w:val="16"/>
                          </w:rPr>
                          <w:t>TIPOLOGÍA</w:t>
                        </w:r>
                      </w:p>
                    </w:txbxContent>
                  </v:textbox>
                  <w10:wrap type="none"/>
                </v:shape>
                <v:shape style="position:absolute;left:5410;top:873;width:894;height:185" type="#_x0000_t202" id="docshape302" filled="false" stroked="false">
                  <v:textbox inset="0,0,0,0">
                    <w:txbxContent>
                      <w:p>
                        <w:pPr>
                          <w:spacing w:before="0"/>
                          <w:ind w:left="0" w:right="0" w:firstLine="0"/>
                          <w:jc w:val="left"/>
                          <w:rPr>
                            <w:rFonts w:ascii="Arial Narrow"/>
                            <w:b/>
                            <w:sz w:val="16"/>
                          </w:rPr>
                        </w:pPr>
                        <w:r>
                          <w:rPr>
                            <w:rFonts w:ascii="Arial Narrow"/>
                            <w:b/>
                            <w:color w:val="FFFFFF"/>
                            <w:spacing w:val="-2"/>
                            <w:sz w:val="16"/>
                          </w:rPr>
                          <w:t>Ayuntamiento</w:t>
                        </w:r>
                      </w:p>
                    </w:txbxContent>
                  </v:textbox>
                  <w10:wrap type="none"/>
                </v:shape>
                <v:shape style="position:absolute;left:7470;top:869;width:402;height:196" type="#_x0000_t202" id="docshape303" filled="false" stroked="false">
                  <v:textbox inset="0,0,0,0">
                    <w:txbxContent>
                      <w:p>
                        <w:pPr>
                          <w:spacing w:before="0"/>
                          <w:ind w:left="0" w:right="0" w:firstLine="0"/>
                          <w:jc w:val="left"/>
                          <w:rPr>
                            <w:rFonts w:ascii="Arial Narrow"/>
                            <w:b/>
                            <w:sz w:val="17"/>
                          </w:rPr>
                        </w:pPr>
                        <w:r>
                          <w:rPr>
                            <w:rFonts w:ascii="Arial Narrow"/>
                            <w:b/>
                            <w:color w:val="FFFFFF"/>
                            <w:spacing w:val="-4"/>
                            <w:sz w:val="17"/>
                          </w:rPr>
                          <w:t>PRTR</w:t>
                        </w:r>
                      </w:p>
                    </w:txbxContent>
                  </v:textbox>
                  <w10:wrap type="none"/>
                </v:shape>
                <v:shape style="position:absolute;left:3685;top:1053;width:182;height:185" type="#_x0000_t202" id="docshape304"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v:textbox>
                  <w10:wrap type="none"/>
                </v:shape>
                <v:shape style="position:absolute;left:4426;top:1053;width:138;height:185" type="#_x0000_t202" id="docshape305" filled="false" stroked="false">
                  <v:textbox inset="0,0,0,0">
                    <w:txbxContent>
                      <w:p>
                        <w:pPr>
                          <w:spacing w:before="0"/>
                          <w:ind w:left="0" w:right="0" w:firstLine="0"/>
                          <w:jc w:val="left"/>
                          <w:rPr>
                            <w:rFonts w:ascii="Arial Narrow"/>
                            <w:b/>
                            <w:sz w:val="16"/>
                          </w:rPr>
                        </w:pPr>
                        <w:r>
                          <w:rPr>
                            <w:rFonts w:ascii="Arial Narrow"/>
                            <w:b/>
                            <w:color w:val="FFFFFF"/>
                            <w:spacing w:val="-10"/>
                            <w:sz w:val="16"/>
                          </w:rPr>
                          <w:t>%</w:t>
                        </w:r>
                      </w:p>
                    </w:txbxContent>
                  </v:textbox>
                  <w10:wrap type="none"/>
                </v:shape>
                <v:shape style="position:absolute;left:4580;top:1068;width:108;height:116" type="#_x0000_t202" id="docshape306" filled="false" stroked="false">
                  <v:textbox inset="0,0,0,0">
                    <w:txbxContent>
                      <w:p>
                        <w:pPr>
                          <w:spacing w:before="0"/>
                          <w:ind w:left="0" w:right="0" w:firstLine="0"/>
                          <w:jc w:val="left"/>
                          <w:rPr>
                            <w:rFonts w:ascii="Arial Narrow"/>
                            <w:b/>
                            <w:sz w:val="10"/>
                          </w:rPr>
                        </w:pPr>
                        <w:r>
                          <w:rPr>
                            <w:rFonts w:ascii="Arial Narrow"/>
                            <w:b/>
                            <w:color w:val="FFFFFF"/>
                            <w:spacing w:val="-5"/>
                            <w:sz w:val="10"/>
                          </w:rPr>
                          <w:t>(*)</w:t>
                        </w:r>
                      </w:p>
                    </w:txbxContent>
                  </v:textbox>
                  <w10:wrap type="none"/>
                </v:shape>
                <v:shape style="position:absolute;left:8985;top:782;width:998;height:367" type="#_x0000_t202" id="docshape307" filled="false" stroked="false">
                  <v:textbox inset="0,0,0,0">
                    <w:txbxContent>
                      <w:p>
                        <w:pPr>
                          <w:spacing w:before="0"/>
                          <w:ind w:left="26" w:right="18" w:hanging="27"/>
                          <w:jc w:val="left"/>
                          <w:rPr>
                            <w:rFonts w:ascii="Arial Narrow"/>
                            <w:b/>
                            <w:sz w:val="16"/>
                          </w:rPr>
                        </w:pPr>
                        <w:r>
                          <w:rPr>
                            <w:rFonts w:ascii="Arial Narrow"/>
                            <w:b/>
                            <w:color w:val="FFFFFF"/>
                            <w:sz w:val="16"/>
                          </w:rPr>
                          <w:t>Otras</w:t>
                        </w:r>
                        <w:r>
                          <w:rPr>
                            <w:rFonts w:ascii="Arial Narrow"/>
                            <w:b/>
                            <w:color w:val="FFFFFF"/>
                            <w:spacing w:val="-10"/>
                            <w:sz w:val="16"/>
                          </w:rPr>
                          <w:t> </w:t>
                        </w:r>
                        <w:r>
                          <w:rPr>
                            <w:rFonts w:ascii="Arial Narrow"/>
                            <w:b/>
                            <w:color w:val="FFFFFF"/>
                            <w:sz w:val="16"/>
                          </w:rPr>
                          <w:t>(Empresa</w:t>
                        </w:r>
                        <w:r>
                          <w:rPr>
                            <w:rFonts w:ascii="Arial Narrow"/>
                            <w:b/>
                            <w:color w:val="FFFFFF"/>
                            <w:spacing w:val="40"/>
                            <w:sz w:val="16"/>
                          </w:rPr>
                          <w:t> </w:t>
                        </w:r>
                        <w:r>
                          <w:rPr>
                            <w:rFonts w:ascii="Arial Narrow"/>
                            <w:b/>
                            <w:color w:val="FFFFFF"/>
                            <w:spacing w:val="-2"/>
                            <w:sz w:val="16"/>
                          </w:rPr>
                          <w:t>concesionaria)</w:t>
                        </w:r>
                      </w:p>
                    </w:txbxContent>
                  </v:textbox>
                  <w10:wrap type="none"/>
                </v:shape>
                <v:shape style="position:absolute;left:10440;top:597;width:998;height:552" type="#_x0000_t202" id="docshape308" filled="false" stroked="false">
                  <v:textbox inset="0,0,0,0">
                    <w:txbxContent>
                      <w:p>
                        <w:pPr>
                          <w:spacing w:before="0"/>
                          <w:ind w:left="0" w:right="18" w:firstLine="0"/>
                          <w:jc w:val="center"/>
                          <w:rPr>
                            <w:rFonts w:ascii="Arial Narrow" w:hAnsi="Arial Narrow"/>
                            <w:b/>
                            <w:sz w:val="16"/>
                          </w:rPr>
                        </w:pPr>
                        <w:r>
                          <w:rPr>
                            <w:rFonts w:ascii="Arial Narrow" w:hAnsi="Arial Narrow"/>
                            <w:b/>
                            <w:color w:val="FFFFFF"/>
                            <w:sz w:val="16"/>
                          </w:rPr>
                          <w:t>ESTADO</w:t>
                        </w:r>
                        <w:r>
                          <w:rPr>
                            <w:rFonts w:ascii="Arial Narrow" w:hAnsi="Arial Narrow"/>
                            <w:b/>
                            <w:color w:val="FFFFFF"/>
                            <w:spacing w:val="-10"/>
                            <w:sz w:val="16"/>
                          </w:rPr>
                          <w:t> </w:t>
                        </w:r>
                        <w:r>
                          <w:rPr>
                            <w:rFonts w:ascii="Arial Narrow" w:hAnsi="Arial Narrow"/>
                            <w:b/>
                            <w:color w:val="FFFFFF"/>
                            <w:sz w:val="16"/>
                          </w:rPr>
                          <w:t>DE</w:t>
                        </w:r>
                        <w:r>
                          <w:rPr>
                            <w:rFonts w:ascii="Arial Narrow" w:hAnsi="Arial Narrow"/>
                            <w:b/>
                            <w:color w:val="FFFFFF"/>
                            <w:spacing w:val="-9"/>
                            <w:sz w:val="16"/>
                          </w:rPr>
                          <w:t> </w:t>
                        </w:r>
                        <w:r>
                          <w:rPr>
                            <w:rFonts w:ascii="Arial Narrow" w:hAnsi="Arial Narrow"/>
                            <w:b/>
                            <w:color w:val="FFFFFF"/>
                            <w:sz w:val="16"/>
                          </w:rPr>
                          <w:t>LA</w:t>
                        </w:r>
                        <w:r>
                          <w:rPr>
                            <w:rFonts w:ascii="Arial Narrow" w:hAnsi="Arial Narrow"/>
                            <w:b/>
                            <w:color w:val="FFFFFF"/>
                            <w:spacing w:val="40"/>
                            <w:sz w:val="16"/>
                          </w:rPr>
                          <w:t> </w:t>
                        </w:r>
                        <w:r>
                          <w:rPr>
                            <w:rFonts w:ascii="Arial Narrow" w:hAnsi="Arial Narrow"/>
                            <w:b/>
                            <w:color w:val="FFFFFF"/>
                            <w:spacing w:val="-2"/>
                            <w:sz w:val="16"/>
                          </w:rPr>
                          <w:t>ACTUACIÓN</w:t>
                        </w:r>
                        <w:r>
                          <w:rPr>
                            <w:rFonts w:ascii="Arial Narrow" w:hAnsi="Arial Narrow"/>
                            <w:b/>
                            <w:color w:val="FFFFFF"/>
                            <w:spacing w:val="40"/>
                            <w:sz w:val="16"/>
                          </w:rPr>
                          <w:t> </w:t>
                        </w:r>
                        <w:r>
                          <w:rPr>
                            <w:rFonts w:ascii="Arial Narrow" w:hAnsi="Arial Narrow"/>
                            <w:b/>
                            <w:color w:val="FFFFFF"/>
                            <w:spacing w:val="-2"/>
                            <w:sz w:val="16"/>
                          </w:rPr>
                          <w:t>31/12/2024</w:t>
                        </w:r>
                      </w:p>
                    </w:txbxContent>
                  </v:textbox>
                  <w10:wrap type="none"/>
                </v:shape>
                <v:shape style="position:absolute;left:5471;top:1247;width:182;height:185" type="#_x0000_t202" id="docshape309"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v:textbox>
                  <w10:wrap type="none"/>
                </v:shape>
                <v:shape style="position:absolute;left:6248;top:1247;width:293;height:185" type="#_x0000_t202" id="docshape310" filled="false" stroked="false">
                  <v:textbox inset="0,0,0,0">
                    <w:txbxContent>
                      <w:p>
                        <w:pPr>
                          <w:spacing w:line="183" w:lineRule="exact" w:before="0"/>
                          <w:ind w:left="0" w:right="0" w:firstLine="0"/>
                          <w:jc w:val="left"/>
                          <w:rPr>
                            <w:rFonts w:ascii="Arial Narrow"/>
                            <w:b/>
                            <w:sz w:val="10"/>
                          </w:rPr>
                        </w:pPr>
                        <w:r>
                          <w:rPr>
                            <w:rFonts w:ascii="Arial Narrow"/>
                            <w:b/>
                            <w:color w:val="FFFFFF"/>
                            <w:position w:val="-3"/>
                            <w:sz w:val="16"/>
                          </w:rPr>
                          <w:t>%</w:t>
                        </w:r>
                        <w:r>
                          <w:rPr>
                            <w:rFonts w:ascii="Arial Narrow"/>
                            <w:b/>
                            <w:color w:val="FFFFFF"/>
                            <w:spacing w:val="-1"/>
                            <w:position w:val="-3"/>
                            <w:sz w:val="16"/>
                          </w:rPr>
                          <w:t> </w:t>
                        </w:r>
                        <w:r>
                          <w:rPr>
                            <w:rFonts w:ascii="Arial Narrow"/>
                            <w:b/>
                            <w:color w:val="FFFFFF"/>
                            <w:spacing w:val="-4"/>
                            <w:sz w:val="10"/>
                          </w:rPr>
                          <w:t>(**)</w:t>
                        </w:r>
                      </w:p>
                    </w:txbxContent>
                  </v:textbox>
                  <w10:wrap type="none"/>
                </v:shape>
                <v:shape style="position:absolute;left:7278;top:1247;width:182;height:185" type="#_x0000_t202" id="docshape311"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v:textbox>
                  <w10:wrap type="none"/>
                </v:shape>
                <v:shape style="position:absolute;left:8039;top:1247;width:293;height:185" type="#_x0000_t202" id="docshape312" filled="false" stroked="false">
                  <v:textbox inset="0,0,0,0">
                    <w:txbxContent>
                      <w:p>
                        <w:pPr>
                          <w:spacing w:line="183" w:lineRule="exact" w:before="0"/>
                          <w:ind w:left="0" w:right="0" w:firstLine="0"/>
                          <w:jc w:val="left"/>
                          <w:rPr>
                            <w:rFonts w:ascii="Arial Narrow"/>
                            <w:b/>
                            <w:sz w:val="10"/>
                          </w:rPr>
                        </w:pPr>
                        <w:r>
                          <w:rPr>
                            <w:rFonts w:ascii="Arial Narrow"/>
                            <w:b/>
                            <w:color w:val="FFFFFF"/>
                            <w:position w:val="-3"/>
                            <w:sz w:val="16"/>
                          </w:rPr>
                          <w:t>%</w:t>
                        </w:r>
                        <w:r>
                          <w:rPr>
                            <w:rFonts w:ascii="Arial Narrow"/>
                            <w:b/>
                            <w:color w:val="FFFFFF"/>
                            <w:spacing w:val="-1"/>
                            <w:position w:val="-3"/>
                            <w:sz w:val="16"/>
                          </w:rPr>
                          <w:t> </w:t>
                        </w:r>
                        <w:r>
                          <w:rPr>
                            <w:rFonts w:ascii="Arial Narrow"/>
                            <w:b/>
                            <w:color w:val="FFFFFF"/>
                            <w:spacing w:val="-4"/>
                            <w:sz w:val="10"/>
                          </w:rPr>
                          <w:t>(**)</w:t>
                        </w:r>
                      </w:p>
                    </w:txbxContent>
                  </v:textbox>
                  <w10:wrap type="none"/>
                </v:shape>
                <v:shape style="position:absolute;left:9071;top:1247;width:182;height:185" type="#_x0000_t202" id="docshape313"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v:textbox>
                  <w10:wrap type="none"/>
                </v:shape>
                <v:shape style="position:absolute;left:9856;top:1247;width:293;height:185" type="#_x0000_t202" id="docshape314" filled="false" stroked="false">
                  <v:textbox inset="0,0,0,0">
                    <w:txbxContent>
                      <w:p>
                        <w:pPr>
                          <w:spacing w:line="183" w:lineRule="exact" w:before="0"/>
                          <w:ind w:left="0" w:right="0" w:firstLine="0"/>
                          <w:jc w:val="left"/>
                          <w:rPr>
                            <w:rFonts w:ascii="Arial Narrow"/>
                            <w:b/>
                            <w:sz w:val="10"/>
                          </w:rPr>
                        </w:pPr>
                        <w:r>
                          <w:rPr>
                            <w:rFonts w:ascii="Arial Narrow"/>
                            <w:b/>
                            <w:color w:val="FFFFFF"/>
                            <w:position w:val="-3"/>
                            <w:sz w:val="16"/>
                          </w:rPr>
                          <w:t>% </w:t>
                        </w:r>
                        <w:r>
                          <w:rPr>
                            <w:rFonts w:ascii="Arial Narrow"/>
                            <w:b/>
                            <w:color w:val="FFFFFF"/>
                            <w:spacing w:val="-4"/>
                            <w:sz w:val="10"/>
                          </w:rPr>
                          <w:t>(**)</w:t>
                        </w:r>
                      </w:p>
                    </w:txbxContent>
                  </v:textbox>
                  <w10:wrap type="none"/>
                </v:shape>
                <w10:wrap type="topAndBottom"/>
              </v:group>
            </w:pict>
          </mc:Fallback>
        </mc:AlternateContent>
      </w: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spacing w:before="44"/>
        <w:rPr>
          <w:b/>
          <w:sz w:val="17"/>
        </w:rPr>
      </w:pPr>
    </w:p>
    <w:p>
      <w:pPr>
        <w:spacing w:before="0"/>
        <w:ind w:left="242" w:right="0" w:firstLine="0"/>
        <w:jc w:val="left"/>
        <w:rPr>
          <w:rFonts w:ascii="Arial Narrow"/>
          <w:sz w:val="17"/>
        </w:rPr>
      </w:pPr>
      <w:r>
        <w:rPr>
          <w:rFonts w:ascii="Arial Narrow"/>
          <w:sz w:val="17"/>
        </w:rPr>
        <mc:AlternateContent>
          <mc:Choice Requires="wps">
            <w:drawing>
              <wp:anchor distT="0" distB="0" distL="0" distR="0" allowOverlap="1" layoutInCell="1" locked="0" behindDoc="0" simplePos="0" relativeHeight="15774208">
                <wp:simplePos x="0" y="0"/>
                <wp:positionH relativeFrom="page">
                  <wp:posOffset>160020</wp:posOffset>
                </wp:positionH>
                <wp:positionV relativeFrom="paragraph">
                  <wp:posOffset>-1207421</wp:posOffset>
                </wp:positionV>
                <wp:extent cx="7210425" cy="2404110"/>
                <wp:effectExtent l="0" t="0" r="0" b="0"/>
                <wp:wrapNone/>
                <wp:docPr id="366" name="Textbox 366"/>
                <wp:cNvGraphicFramePr>
                  <a:graphicFrameLocks/>
                </wp:cNvGraphicFramePr>
                <a:graphic>
                  <a:graphicData uri="http://schemas.microsoft.com/office/word/2010/wordprocessingShape">
                    <wps:wsp>
                      <wps:cNvPr id="366" name="Textbox 366"/>
                      <wps:cNvSpPr txBox="1"/>
                      <wps:spPr>
                        <a:xfrm>
                          <a:off x="0" y="0"/>
                          <a:ext cx="7210425" cy="240411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99"/>
                              <w:gridCol w:w="1052"/>
                              <w:gridCol w:w="724"/>
                              <w:gridCol w:w="1125"/>
                              <w:gridCol w:w="688"/>
                              <w:gridCol w:w="1127"/>
                              <w:gridCol w:w="663"/>
                              <w:gridCol w:w="1162"/>
                              <w:gridCol w:w="641"/>
                              <w:gridCol w:w="1144"/>
                            </w:tblGrid>
                            <w:tr>
                              <w:trPr>
                                <w:trHeight w:val="391" w:hRule="atLeast"/>
                              </w:trPr>
                              <w:tc>
                                <w:tcPr>
                                  <w:tcW w:w="2899" w:type="dxa"/>
                                </w:tcPr>
                                <w:p>
                                  <w:pPr>
                                    <w:pStyle w:val="TableParagraph"/>
                                    <w:spacing w:line="190" w:lineRule="atLeast"/>
                                    <w:ind w:left="71" w:right="176"/>
                                    <w:rPr>
                                      <w:sz w:val="17"/>
                                    </w:rPr>
                                  </w:pPr>
                                  <w:r>
                                    <w:rPr>
                                      <w:sz w:val="17"/>
                                    </w:rPr>
                                    <w:t>Instalación electrolineras</w:t>
                                  </w:r>
                                  <w:r>
                                    <w:rPr>
                                      <w:spacing w:val="80"/>
                                      <w:sz w:val="17"/>
                                    </w:rPr>
                                    <w:t> </w:t>
                                  </w:r>
                                  <w:r>
                                    <w:rPr>
                                      <w:sz w:val="17"/>
                                    </w:rPr>
                                    <w:t>Adquisición</w:t>
                                  </w:r>
                                  <w:r>
                                    <w:rPr>
                                      <w:spacing w:val="40"/>
                                      <w:sz w:val="17"/>
                                    </w:rPr>
                                    <w:t> </w:t>
                                  </w:r>
                                  <w:r>
                                    <w:rPr>
                                      <w:sz w:val="17"/>
                                    </w:rPr>
                                    <w:t>para</w:t>
                                  </w:r>
                                  <w:r>
                                    <w:rPr>
                                      <w:spacing w:val="-6"/>
                                      <w:sz w:val="17"/>
                                    </w:rPr>
                                    <w:t> </w:t>
                                  </w:r>
                                  <w:r>
                                    <w:rPr>
                                      <w:sz w:val="17"/>
                                    </w:rPr>
                                    <w:t>carga</w:t>
                                  </w:r>
                                  <w:r>
                                    <w:rPr>
                                      <w:spacing w:val="-6"/>
                                      <w:sz w:val="17"/>
                                    </w:rPr>
                                    <w:t> </w:t>
                                  </w:r>
                                  <w:r>
                                    <w:rPr>
                                      <w:sz w:val="17"/>
                                    </w:rPr>
                                    <w:t>de</w:t>
                                  </w:r>
                                  <w:r>
                                    <w:rPr>
                                      <w:spacing w:val="-4"/>
                                      <w:sz w:val="17"/>
                                    </w:rPr>
                                    <w:t> </w:t>
                                  </w:r>
                                  <w:r>
                                    <w:rPr>
                                      <w:sz w:val="17"/>
                                    </w:rPr>
                                    <w:t>autobuses</w:t>
                                  </w:r>
                                  <w:r>
                                    <w:rPr>
                                      <w:spacing w:val="80"/>
                                      <w:sz w:val="17"/>
                                    </w:rPr>
                                    <w:t> </w:t>
                                  </w:r>
                                  <w:r>
                                    <w:rPr>
                                      <w:sz w:val="17"/>
                                    </w:rPr>
                                    <w:t>material</w:t>
                                  </w:r>
                                  <w:r>
                                    <w:rPr>
                                      <w:spacing w:val="-5"/>
                                      <w:sz w:val="17"/>
                                    </w:rPr>
                                    <w:t> </w:t>
                                  </w:r>
                                  <w:r>
                                    <w:rPr>
                                      <w:sz w:val="17"/>
                                    </w:rPr>
                                    <w:t>móvil</w:t>
                                  </w:r>
                                  <w:r>
                                    <w:rPr>
                                      <w:spacing w:val="-5"/>
                                      <w:sz w:val="17"/>
                                    </w:rPr>
                                    <w:t> </w:t>
                                  </w:r>
                                  <w:r>
                                    <w:rPr>
                                      <w:sz w:val="17"/>
                                    </w:rPr>
                                    <w:t>e</w:t>
                                  </w:r>
                                </w:p>
                              </w:tc>
                              <w:tc>
                                <w:tcPr>
                                  <w:tcW w:w="1052" w:type="dxa"/>
                                </w:tcPr>
                                <w:p>
                                  <w:pPr>
                                    <w:pStyle w:val="TableParagraph"/>
                                    <w:rPr>
                                      <w:sz w:val="17"/>
                                    </w:rPr>
                                  </w:pPr>
                                </w:p>
                                <w:p>
                                  <w:pPr>
                                    <w:pStyle w:val="TableParagraph"/>
                                    <w:spacing w:line="176" w:lineRule="exact"/>
                                    <w:ind w:right="83"/>
                                    <w:jc w:val="right"/>
                                    <w:rPr>
                                      <w:sz w:val="17"/>
                                    </w:rPr>
                                  </w:pPr>
                                  <w:r>
                                    <w:rPr>
                                      <w:spacing w:val="-2"/>
                                      <w:sz w:val="17"/>
                                    </w:rPr>
                                    <w:t>387.000,00</w:t>
                                  </w:r>
                                </w:p>
                              </w:tc>
                              <w:tc>
                                <w:tcPr>
                                  <w:tcW w:w="724" w:type="dxa"/>
                                </w:tcPr>
                                <w:p>
                                  <w:pPr>
                                    <w:pStyle w:val="TableParagraph"/>
                                    <w:rPr>
                                      <w:sz w:val="17"/>
                                    </w:rPr>
                                  </w:pPr>
                                </w:p>
                                <w:p>
                                  <w:pPr>
                                    <w:pStyle w:val="TableParagraph"/>
                                    <w:spacing w:line="176" w:lineRule="exact"/>
                                    <w:ind w:right="209"/>
                                    <w:jc w:val="right"/>
                                    <w:rPr>
                                      <w:sz w:val="17"/>
                                    </w:rPr>
                                  </w:pPr>
                                  <w:r>
                                    <w:rPr>
                                      <w:spacing w:val="-4"/>
                                      <w:sz w:val="17"/>
                                    </w:rPr>
                                    <w:t>5,12</w:t>
                                  </w:r>
                                </w:p>
                              </w:tc>
                              <w:tc>
                                <w:tcPr>
                                  <w:tcW w:w="1125" w:type="dxa"/>
                                </w:tcPr>
                                <w:p>
                                  <w:pPr>
                                    <w:pStyle w:val="TableParagraph"/>
                                    <w:spacing w:before="18"/>
                                    <w:rPr>
                                      <w:sz w:val="16"/>
                                    </w:rPr>
                                  </w:pPr>
                                </w:p>
                                <w:p>
                                  <w:pPr>
                                    <w:pStyle w:val="TableParagraph"/>
                                    <w:spacing w:line="169" w:lineRule="exact"/>
                                    <w:ind w:right="92"/>
                                    <w:jc w:val="right"/>
                                    <w:rPr>
                                      <w:sz w:val="16"/>
                                    </w:rPr>
                                  </w:pPr>
                                  <w:r>
                                    <w:rPr>
                                      <w:spacing w:val="-4"/>
                                      <w:sz w:val="16"/>
                                    </w:rPr>
                                    <w:t>0,00</w:t>
                                  </w:r>
                                </w:p>
                              </w:tc>
                              <w:tc>
                                <w:tcPr>
                                  <w:tcW w:w="688" w:type="dxa"/>
                                </w:tcPr>
                                <w:p>
                                  <w:pPr>
                                    <w:pStyle w:val="TableParagraph"/>
                                    <w:rPr>
                                      <w:sz w:val="17"/>
                                    </w:rPr>
                                  </w:pPr>
                                </w:p>
                                <w:p>
                                  <w:pPr>
                                    <w:pStyle w:val="TableParagraph"/>
                                    <w:spacing w:line="176" w:lineRule="exact"/>
                                    <w:ind w:left="42"/>
                                    <w:jc w:val="center"/>
                                    <w:rPr>
                                      <w:sz w:val="17"/>
                                    </w:rPr>
                                  </w:pPr>
                                  <w:r>
                                    <w:rPr>
                                      <w:spacing w:val="-4"/>
                                      <w:sz w:val="17"/>
                                    </w:rPr>
                                    <w:t>0,00</w:t>
                                  </w:r>
                                </w:p>
                              </w:tc>
                              <w:tc>
                                <w:tcPr>
                                  <w:tcW w:w="1127" w:type="dxa"/>
                                </w:tcPr>
                                <w:p>
                                  <w:pPr>
                                    <w:pStyle w:val="TableParagraph"/>
                                    <w:rPr>
                                      <w:sz w:val="17"/>
                                    </w:rPr>
                                  </w:pPr>
                                </w:p>
                                <w:p>
                                  <w:pPr>
                                    <w:pStyle w:val="TableParagraph"/>
                                    <w:spacing w:line="176" w:lineRule="exact"/>
                                    <w:ind w:right="120"/>
                                    <w:jc w:val="right"/>
                                    <w:rPr>
                                      <w:sz w:val="17"/>
                                    </w:rPr>
                                  </w:pPr>
                                  <w:r>
                                    <w:rPr>
                                      <w:spacing w:val="-2"/>
                                      <w:sz w:val="17"/>
                                    </w:rPr>
                                    <w:t>348.300,00</w:t>
                                  </w:r>
                                </w:p>
                              </w:tc>
                              <w:tc>
                                <w:tcPr>
                                  <w:tcW w:w="663" w:type="dxa"/>
                                </w:tcPr>
                                <w:p>
                                  <w:pPr>
                                    <w:pStyle w:val="TableParagraph"/>
                                    <w:rPr>
                                      <w:sz w:val="17"/>
                                    </w:rPr>
                                  </w:pPr>
                                </w:p>
                                <w:p>
                                  <w:pPr>
                                    <w:pStyle w:val="TableParagraph"/>
                                    <w:spacing w:line="176" w:lineRule="exact"/>
                                    <w:ind w:left="23" w:right="73"/>
                                    <w:jc w:val="center"/>
                                    <w:rPr>
                                      <w:sz w:val="17"/>
                                    </w:rPr>
                                  </w:pPr>
                                  <w:r>
                                    <w:rPr>
                                      <w:spacing w:val="-2"/>
                                      <w:sz w:val="17"/>
                                    </w:rPr>
                                    <w:t>90,00</w:t>
                                  </w:r>
                                </w:p>
                              </w:tc>
                              <w:tc>
                                <w:tcPr>
                                  <w:tcW w:w="1162" w:type="dxa"/>
                                </w:tcPr>
                                <w:p>
                                  <w:pPr>
                                    <w:pStyle w:val="TableParagraph"/>
                                    <w:spacing w:before="18"/>
                                    <w:rPr>
                                      <w:sz w:val="16"/>
                                    </w:rPr>
                                  </w:pPr>
                                </w:p>
                                <w:p>
                                  <w:pPr>
                                    <w:pStyle w:val="TableParagraph"/>
                                    <w:spacing w:line="169" w:lineRule="exact"/>
                                    <w:ind w:right="149"/>
                                    <w:jc w:val="right"/>
                                    <w:rPr>
                                      <w:sz w:val="16"/>
                                    </w:rPr>
                                  </w:pPr>
                                  <w:r>
                                    <w:rPr>
                                      <w:spacing w:val="-2"/>
                                      <w:sz w:val="16"/>
                                    </w:rPr>
                                    <w:t>38.700,00</w:t>
                                  </w:r>
                                </w:p>
                              </w:tc>
                              <w:tc>
                                <w:tcPr>
                                  <w:tcW w:w="641" w:type="dxa"/>
                                </w:tcPr>
                                <w:p>
                                  <w:pPr>
                                    <w:pStyle w:val="TableParagraph"/>
                                    <w:spacing w:before="18"/>
                                    <w:rPr>
                                      <w:sz w:val="16"/>
                                    </w:rPr>
                                  </w:pPr>
                                </w:p>
                                <w:p>
                                  <w:pPr>
                                    <w:pStyle w:val="TableParagraph"/>
                                    <w:spacing w:line="169" w:lineRule="exact"/>
                                    <w:ind w:left="93" w:right="75"/>
                                    <w:jc w:val="center"/>
                                    <w:rPr>
                                      <w:sz w:val="16"/>
                                    </w:rPr>
                                  </w:pPr>
                                  <w:r>
                                    <w:rPr>
                                      <w:spacing w:val="-2"/>
                                      <w:sz w:val="16"/>
                                    </w:rPr>
                                    <w:t>10,00</w:t>
                                  </w:r>
                                </w:p>
                              </w:tc>
                              <w:tc>
                                <w:tcPr>
                                  <w:tcW w:w="1144" w:type="dxa"/>
                                </w:tcPr>
                                <w:p>
                                  <w:pPr>
                                    <w:pStyle w:val="TableParagraph"/>
                                    <w:spacing w:before="18"/>
                                    <w:rPr>
                                      <w:sz w:val="16"/>
                                    </w:rPr>
                                  </w:pPr>
                                </w:p>
                                <w:p>
                                  <w:pPr>
                                    <w:pStyle w:val="TableParagraph"/>
                                    <w:spacing w:line="169" w:lineRule="exact"/>
                                    <w:ind w:left="9" w:right="74"/>
                                    <w:jc w:val="center"/>
                                    <w:rPr>
                                      <w:sz w:val="16"/>
                                    </w:rPr>
                                  </w:pPr>
                                  <w:r>
                                    <w:rPr>
                                      <w:spacing w:val="-2"/>
                                      <w:sz w:val="16"/>
                                    </w:rPr>
                                    <w:t>Finalizada</w:t>
                                  </w:r>
                                </w:p>
                              </w:tc>
                            </w:tr>
                            <w:tr>
                              <w:trPr>
                                <w:trHeight w:val="294" w:hRule="atLeast"/>
                              </w:trPr>
                              <w:tc>
                                <w:tcPr>
                                  <w:tcW w:w="2899" w:type="dxa"/>
                                  <w:tcBorders>
                                    <w:bottom w:val="single" w:sz="8" w:space="0" w:color="002D5D"/>
                                  </w:tcBorders>
                                </w:tcPr>
                                <w:p>
                                  <w:pPr>
                                    <w:pStyle w:val="TableParagraph"/>
                                    <w:tabs>
                                      <w:tab w:pos="1769" w:val="left" w:leader="none"/>
                                    </w:tabs>
                                    <w:ind w:left="71"/>
                                    <w:rPr>
                                      <w:sz w:val="17"/>
                                    </w:rPr>
                                  </w:pPr>
                                  <w:r>
                                    <w:rPr>
                                      <w:spacing w:val="-2"/>
                                      <w:sz w:val="17"/>
                                    </w:rPr>
                                    <w:t>eléctricos</w:t>
                                  </w:r>
                                  <w:r>
                                    <w:rPr>
                                      <w:sz w:val="17"/>
                                    </w:rPr>
                                    <w:tab/>
                                  </w:r>
                                  <w:r>
                                    <w:rPr>
                                      <w:spacing w:val="-2"/>
                                      <w:sz w:val="17"/>
                                    </w:rPr>
                                    <w:t>infraestructuras</w:t>
                                  </w:r>
                                </w:p>
                              </w:tc>
                              <w:tc>
                                <w:tcPr>
                                  <w:tcW w:w="1052" w:type="dxa"/>
                                  <w:tcBorders>
                                    <w:bottom w:val="single" w:sz="8" w:space="0" w:color="002D5D"/>
                                  </w:tcBorders>
                                </w:tcPr>
                                <w:p>
                                  <w:pPr>
                                    <w:pStyle w:val="TableParagraph"/>
                                    <w:rPr>
                                      <w:rFonts w:ascii="Times New Roman"/>
                                      <w:sz w:val="16"/>
                                    </w:rPr>
                                  </w:pPr>
                                </w:p>
                              </w:tc>
                              <w:tc>
                                <w:tcPr>
                                  <w:tcW w:w="724" w:type="dxa"/>
                                  <w:tcBorders>
                                    <w:bottom w:val="single" w:sz="8" w:space="0" w:color="002D5D"/>
                                  </w:tcBorders>
                                </w:tcPr>
                                <w:p>
                                  <w:pPr>
                                    <w:pStyle w:val="TableParagraph"/>
                                    <w:rPr>
                                      <w:rFonts w:ascii="Times New Roman"/>
                                      <w:sz w:val="16"/>
                                    </w:rPr>
                                  </w:pPr>
                                </w:p>
                              </w:tc>
                              <w:tc>
                                <w:tcPr>
                                  <w:tcW w:w="1125" w:type="dxa"/>
                                  <w:tcBorders>
                                    <w:bottom w:val="single" w:sz="8" w:space="0" w:color="002D5D"/>
                                  </w:tcBorders>
                                </w:tcPr>
                                <w:p>
                                  <w:pPr>
                                    <w:pStyle w:val="TableParagraph"/>
                                    <w:rPr>
                                      <w:rFonts w:ascii="Times New Roman"/>
                                      <w:sz w:val="16"/>
                                    </w:rPr>
                                  </w:pPr>
                                </w:p>
                              </w:tc>
                              <w:tc>
                                <w:tcPr>
                                  <w:tcW w:w="688" w:type="dxa"/>
                                  <w:tcBorders>
                                    <w:bottom w:val="single" w:sz="8" w:space="0" w:color="002D5D"/>
                                  </w:tcBorders>
                                </w:tcPr>
                                <w:p>
                                  <w:pPr>
                                    <w:pStyle w:val="TableParagraph"/>
                                    <w:rPr>
                                      <w:rFonts w:ascii="Times New Roman"/>
                                      <w:sz w:val="16"/>
                                    </w:rPr>
                                  </w:pPr>
                                </w:p>
                              </w:tc>
                              <w:tc>
                                <w:tcPr>
                                  <w:tcW w:w="1127" w:type="dxa"/>
                                  <w:tcBorders>
                                    <w:bottom w:val="single" w:sz="8" w:space="0" w:color="002D5D"/>
                                  </w:tcBorders>
                                </w:tcPr>
                                <w:p>
                                  <w:pPr>
                                    <w:pStyle w:val="TableParagraph"/>
                                    <w:rPr>
                                      <w:rFonts w:ascii="Times New Roman"/>
                                      <w:sz w:val="16"/>
                                    </w:rPr>
                                  </w:pPr>
                                </w:p>
                              </w:tc>
                              <w:tc>
                                <w:tcPr>
                                  <w:tcW w:w="663" w:type="dxa"/>
                                  <w:tcBorders>
                                    <w:bottom w:val="single" w:sz="8" w:space="0" w:color="002D5D"/>
                                  </w:tcBorders>
                                </w:tcPr>
                                <w:p>
                                  <w:pPr>
                                    <w:pStyle w:val="TableParagraph"/>
                                    <w:rPr>
                                      <w:rFonts w:ascii="Times New Roman"/>
                                      <w:sz w:val="16"/>
                                    </w:rPr>
                                  </w:pPr>
                                </w:p>
                              </w:tc>
                              <w:tc>
                                <w:tcPr>
                                  <w:tcW w:w="1162" w:type="dxa"/>
                                  <w:tcBorders>
                                    <w:bottom w:val="single" w:sz="8" w:space="0" w:color="002D5D"/>
                                  </w:tcBorders>
                                </w:tcPr>
                                <w:p>
                                  <w:pPr>
                                    <w:pStyle w:val="TableParagraph"/>
                                    <w:rPr>
                                      <w:rFonts w:ascii="Times New Roman"/>
                                      <w:sz w:val="16"/>
                                    </w:rPr>
                                  </w:pPr>
                                </w:p>
                              </w:tc>
                              <w:tc>
                                <w:tcPr>
                                  <w:tcW w:w="641" w:type="dxa"/>
                                  <w:tcBorders>
                                    <w:bottom w:val="single" w:sz="8" w:space="0" w:color="002D5D"/>
                                  </w:tcBorders>
                                </w:tcPr>
                                <w:p>
                                  <w:pPr>
                                    <w:pStyle w:val="TableParagraph"/>
                                    <w:rPr>
                                      <w:rFonts w:ascii="Times New Roman"/>
                                      <w:sz w:val="16"/>
                                    </w:rPr>
                                  </w:pPr>
                                </w:p>
                              </w:tc>
                              <w:tc>
                                <w:tcPr>
                                  <w:tcW w:w="1144" w:type="dxa"/>
                                  <w:tcBorders>
                                    <w:bottom w:val="single" w:sz="8" w:space="0" w:color="002D5D"/>
                                  </w:tcBorders>
                                </w:tcPr>
                                <w:p>
                                  <w:pPr>
                                    <w:pStyle w:val="TableParagraph"/>
                                    <w:rPr>
                                      <w:rFonts w:ascii="Times New Roman"/>
                                      <w:sz w:val="16"/>
                                    </w:rPr>
                                  </w:pPr>
                                </w:p>
                              </w:tc>
                            </w:tr>
                            <w:tr>
                              <w:trPr>
                                <w:trHeight w:val="489" w:hRule="atLeast"/>
                              </w:trPr>
                              <w:tc>
                                <w:tcPr>
                                  <w:tcW w:w="2899" w:type="dxa"/>
                                  <w:tcBorders>
                                    <w:top w:val="single" w:sz="8" w:space="0" w:color="002D5D"/>
                                  </w:tcBorders>
                                </w:tcPr>
                                <w:p>
                                  <w:pPr>
                                    <w:pStyle w:val="TableParagraph"/>
                                    <w:tabs>
                                      <w:tab w:pos="1769" w:val="left" w:leader="none"/>
                                    </w:tabs>
                                    <w:spacing w:line="194" w:lineRule="exact" w:before="82"/>
                                    <w:ind w:left="71" w:right="152"/>
                                    <w:rPr>
                                      <w:sz w:val="17"/>
                                    </w:rPr>
                                  </w:pPr>
                                  <w:r>
                                    <w:rPr>
                                      <w:sz w:val="17"/>
                                    </w:rPr>
                                    <w:t>Renovación</w:t>
                                  </w:r>
                                  <w:r>
                                    <w:rPr>
                                      <w:spacing w:val="-4"/>
                                      <w:sz w:val="17"/>
                                    </w:rPr>
                                    <w:t> </w:t>
                                  </w:r>
                                  <w:r>
                                    <w:rPr>
                                      <w:sz w:val="17"/>
                                    </w:rPr>
                                    <w:t>flota</w:t>
                                    <w:tab/>
                                  </w:r>
                                  <w:r>
                                    <w:rPr>
                                      <w:spacing w:val="-2"/>
                                      <w:sz w:val="17"/>
                                    </w:rPr>
                                    <w:t>Adquisición</w:t>
                                  </w:r>
                                  <w:r>
                                    <w:rPr>
                                      <w:spacing w:val="40"/>
                                      <w:sz w:val="17"/>
                                    </w:rPr>
                                    <w:t> </w:t>
                                  </w:r>
                                  <w:r>
                                    <w:rPr>
                                      <w:sz w:val="17"/>
                                    </w:rPr>
                                    <w:t>incorporando</w:t>
                                  </w:r>
                                  <w:r>
                                    <w:rPr>
                                      <w:spacing w:val="-2"/>
                                      <w:sz w:val="17"/>
                                    </w:rPr>
                                    <w:t> </w:t>
                                  </w:r>
                                  <w:r>
                                    <w:rPr>
                                      <w:sz w:val="17"/>
                                    </w:rPr>
                                    <w:t>unidades</w:t>
                                    <w:tab/>
                                    <w:t>material</w:t>
                                  </w:r>
                                  <w:r>
                                    <w:rPr>
                                      <w:spacing w:val="-10"/>
                                      <w:sz w:val="17"/>
                                    </w:rPr>
                                    <w:t> </w:t>
                                  </w:r>
                                  <w:r>
                                    <w:rPr>
                                      <w:sz w:val="17"/>
                                    </w:rPr>
                                    <w:t>móvil</w:t>
                                  </w:r>
                                  <w:r>
                                    <w:rPr>
                                      <w:spacing w:val="-10"/>
                                      <w:sz w:val="17"/>
                                    </w:rPr>
                                    <w:t> </w:t>
                                  </w:r>
                                  <w:r>
                                    <w:rPr>
                                      <w:sz w:val="17"/>
                                    </w:rPr>
                                    <w:t>e</w:t>
                                  </w:r>
                                </w:p>
                              </w:tc>
                              <w:tc>
                                <w:tcPr>
                                  <w:tcW w:w="1052" w:type="dxa"/>
                                  <w:tcBorders>
                                    <w:top w:val="single" w:sz="8" w:space="0" w:color="002D5D"/>
                                  </w:tcBorders>
                                </w:tcPr>
                                <w:p>
                                  <w:pPr>
                                    <w:pStyle w:val="TableParagraph"/>
                                    <w:spacing w:before="98"/>
                                    <w:rPr>
                                      <w:sz w:val="17"/>
                                    </w:rPr>
                                  </w:pPr>
                                </w:p>
                                <w:p>
                                  <w:pPr>
                                    <w:pStyle w:val="TableParagraph"/>
                                    <w:spacing w:line="176" w:lineRule="exact" w:before="1"/>
                                    <w:ind w:right="83"/>
                                    <w:jc w:val="right"/>
                                    <w:rPr>
                                      <w:sz w:val="17"/>
                                    </w:rPr>
                                  </w:pPr>
                                  <w:r>
                                    <w:rPr>
                                      <w:spacing w:val="-2"/>
                                      <w:sz w:val="17"/>
                                    </w:rPr>
                                    <w:t>6.580.883,58</w:t>
                                  </w:r>
                                </w:p>
                              </w:tc>
                              <w:tc>
                                <w:tcPr>
                                  <w:tcW w:w="724" w:type="dxa"/>
                                  <w:tcBorders>
                                    <w:top w:val="single" w:sz="8" w:space="0" w:color="002D5D"/>
                                  </w:tcBorders>
                                </w:tcPr>
                                <w:p>
                                  <w:pPr>
                                    <w:pStyle w:val="TableParagraph"/>
                                    <w:spacing w:before="98"/>
                                    <w:rPr>
                                      <w:sz w:val="17"/>
                                    </w:rPr>
                                  </w:pPr>
                                </w:p>
                                <w:p>
                                  <w:pPr>
                                    <w:pStyle w:val="TableParagraph"/>
                                    <w:spacing w:line="176" w:lineRule="exact" w:before="1"/>
                                    <w:ind w:right="209"/>
                                    <w:jc w:val="right"/>
                                    <w:rPr>
                                      <w:sz w:val="17"/>
                                    </w:rPr>
                                  </w:pPr>
                                  <w:r>
                                    <w:rPr>
                                      <w:spacing w:val="-2"/>
                                      <w:sz w:val="17"/>
                                    </w:rPr>
                                    <w:t>86,99</w:t>
                                  </w:r>
                                </w:p>
                              </w:tc>
                              <w:tc>
                                <w:tcPr>
                                  <w:tcW w:w="1125" w:type="dxa"/>
                                  <w:tcBorders>
                                    <w:top w:val="single" w:sz="8" w:space="0" w:color="002D5D"/>
                                  </w:tcBorders>
                                </w:tcPr>
                                <w:p>
                                  <w:pPr>
                                    <w:pStyle w:val="TableParagraph"/>
                                    <w:spacing w:before="117"/>
                                    <w:rPr>
                                      <w:sz w:val="16"/>
                                    </w:rPr>
                                  </w:pPr>
                                </w:p>
                                <w:p>
                                  <w:pPr>
                                    <w:pStyle w:val="TableParagraph"/>
                                    <w:spacing w:line="169" w:lineRule="exact"/>
                                    <w:ind w:right="93"/>
                                    <w:jc w:val="right"/>
                                    <w:rPr>
                                      <w:sz w:val="16"/>
                                    </w:rPr>
                                  </w:pPr>
                                  <w:r>
                                    <w:rPr>
                                      <w:spacing w:val="-2"/>
                                      <w:sz w:val="16"/>
                                    </w:rPr>
                                    <w:t>447.234,59</w:t>
                                  </w:r>
                                </w:p>
                              </w:tc>
                              <w:tc>
                                <w:tcPr>
                                  <w:tcW w:w="688" w:type="dxa"/>
                                  <w:tcBorders>
                                    <w:top w:val="single" w:sz="8" w:space="0" w:color="002D5D"/>
                                  </w:tcBorders>
                                </w:tcPr>
                                <w:p>
                                  <w:pPr>
                                    <w:pStyle w:val="TableParagraph"/>
                                    <w:spacing w:before="98"/>
                                    <w:rPr>
                                      <w:sz w:val="17"/>
                                    </w:rPr>
                                  </w:pPr>
                                </w:p>
                                <w:p>
                                  <w:pPr>
                                    <w:pStyle w:val="TableParagraph"/>
                                    <w:spacing w:line="176" w:lineRule="exact" w:before="1"/>
                                    <w:ind w:left="50" w:right="82"/>
                                    <w:jc w:val="center"/>
                                    <w:rPr>
                                      <w:sz w:val="17"/>
                                    </w:rPr>
                                  </w:pPr>
                                  <w:r>
                                    <w:rPr>
                                      <w:spacing w:val="-4"/>
                                      <w:sz w:val="17"/>
                                    </w:rPr>
                                    <w:t>6,80</w:t>
                                  </w:r>
                                </w:p>
                              </w:tc>
                              <w:tc>
                                <w:tcPr>
                                  <w:tcW w:w="1127" w:type="dxa"/>
                                  <w:tcBorders>
                                    <w:top w:val="single" w:sz="8" w:space="0" w:color="002D5D"/>
                                  </w:tcBorders>
                                </w:tcPr>
                                <w:p>
                                  <w:pPr>
                                    <w:pStyle w:val="TableParagraph"/>
                                    <w:spacing w:before="98"/>
                                    <w:rPr>
                                      <w:sz w:val="17"/>
                                    </w:rPr>
                                  </w:pPr>
                                </w:p>
                                <w:p>
                                  <w:pPr>
                                    <w:pStyle w:val="TableParagraph"/>
                                    <w:spacing w:line="176" w:lineRule="exact" w:before="1"/>
                                    <w:ind w:right="120"/>
                                    <w:jc w:val="right"/>
                                    <w:rPr>
                                      <w:sz w:val="17"/>
                                    </w:rPr>
                                  </w:pPr>
                                  <w:r>
                                    <w:rPr>
                                      <w:spacing w:val="-2"/>
                                      <w:sz w:val="17"/>
                                    </w:rPr>
                                    <w:t>2.680.000,00</w:t>
                                  </w:r>
                                </w:p>
                              </w:tc>
                              <w:tc>
                                <w:tcPr>
                                  <w:tcW w:w="663" w:type="dxa"/>
                                  <w:tcBorders>
                                    <w:top w:val="single" w:sz="8" w:space="0" w:color="002D5D"/>
                                  </w:tcBorders>
                                </w:tcPr>
                                <w:p>
                                  <w:pPr>
                                    <w:pStyle w:val="TableParagraph"/>
                                    <w:spacing w:before="98"/>
                                    <w:rPr>
                                      <w:sz w:val="17"/>
                                    </w:rPr>
                                  </w:pPr>
                                </w:p>
                                <w:p>
                                  <w:pPr>
                                    <w:pStyle w:val="TableParagraph"/>
                                    <w:spacing w:line="176" w:lineRule="exact" w:before="1"/>
                                    <w:ind w:left="23" w:right="73"/>
                                    <w:jc w:val="center"/>
                                    <w:rPr>
                                      <w:sz w:val="17"/>
                                    </w:rPr>
                                  </w:pPr>
                                  <w:r>
                                    <w:rPr>
                                      <w:spacing w:val="-2"/>
                                      <w:sz w:val="17"/>
                                    </w:rPr>
                                    <w:t>40,72</w:t>
                                  </w:r>
                                </w:p>
                              </w:tc>
                              <w:tc>
                                <w:tcPr>
                                  <w:tcW w:w="1162" w:type="dxa"/>
                                  <w:tcBorders>
                                    <w:top w:val="single" w:sz="8" w:space="0" w:color="002D5D"/>
                                  </w:tcBorders>
                                </w:tcPr>
                                <w:p>
                                  <w:pPr>
                                    <w:pStyle w:val="TableParagraph"/>
                                    <w:spacing w:before="117"/>
                                    <w:rPr>
                                      <w:sz w:val="16"/>
                                    </w:rPr>
                                  </w:pPr>
                                </w:p>
                                <w:p>
                                  <w:pPr>
                                    <w:pStyle w:val="TableParagraph"/>
                                    <w:spacing w:line="169" w:lineRule="exact"/>
                                    <w:ind w:right="149"/>
                                    <w:jc w:val="right"/>
                                    <w:rPr>
                                      <w:sz w:val="16"/>
                                    </w:rPr>
                                  </w:pPr>
                                  <w:r>
                                    <w:rPr>
                                      <w:spacing w:val="-2"/>
                                      <w:sz w:val="16"/>
                                    </w:rPr>
                                    <w:t>3.453.648,99</w:t>
                                  </w:r>
                                </w:p>
                              </w:tc>
                              <w:tc>
                                <w:tcPr>
                                  <w:tcW w:w="641" w:type="dxa"/>
                                  <w:tcBorders>
                                    <w:top w:val="single" w:sz="8" w:space="0" w:color="002D5D"/>
                                  </w:tcBorders>
                                </w:tcPr>
                                <w:p>
                                  <w:pPr>
                                    <w:pStyle w:val="TableParagraph"/>
                                    <w:spacing w:before="117"/>
                                    <w:rPr>
                                      <w:sz w:val="16"/>
                                    </w:rPr>
                                  </w:pPr>
                                </w:p>
                                <w:p>
                                  <w:pPr>
                                    <w:pStyle w:val="TableParagraph"/>
                                    <w:spacing w:line="169" w:lineRule="exact"/>
                                    <w:ind w:left="93" w:right="75"/>
                                    <w:jc w:val="center"/>
                                    <w:rPr>
                                      <w:sz w:val="16"/>
                                    </w:rPr>
                                  </w:pPr>
                                  <w:r>
                                    <w:rPr>
                                      <w:spacing w:val="-2"/>
                                      <w:sz w:val="16"/>
                                    </w:rPr>
                                    <w:t>52,48</w:t>
                                  </w:r>
                                </w:p>
                              </w:tc>
                              <w:tc>
                                <w:tcPr>
                                  <w:tcW w:w="1144" w:type="dxa"/>
                                  <w:tcBorders>
                                    <w:top w:val="single" w:sz="8" w:space="0" w:color="002D5D"/>
                                  </w:tcBorders>
                                </w:tcPr>
                                <w:p>
                                  <w:pPr>
                                    <w:pStyle w:val="TableParagraph"/>
                                    <w:spacing w:before="117"/>
                                    <w:rPr>
                                      <w:sz w:val="16"/>
                                    </w:rPr>
                                  </w:pPr>
                                </w:p>
                                <w:p>
                                  <w:pPr>
                                    <w:pStyle w:val="TableParagraph"/>
                                    <w:spacing w:line="169" w:lineRule="exact"/>
                                    <w:ind w:left="9" w:right="74"/>
                                    <w:jc w:val="center"/>
                                    <w:rPr>
                                      <w:sz w:val="16"/>
                                    </w:rPr>
                                  </w:pPr>
                                  <w:r>
                                    <w:rPr>
                                      <w:sz w:val="16"/>
                                    </w:rPr>
                                    <w:t>En</w:t>
                                  </w:r>
                                  <w:r>
                                    <w:rPr>
                                      <w:spacing w:val="-2"/>
                                      <w:sz w:val="16"/>
                                    </w:rPr>
                                    <w:t> ejecución</w:t>
                                  </w:r>
                                </w:p>
                              </w:tc>
                            </w:tr>
                            <w:tr>
                              <w:trPr>
                                <w:trHeight w:val="294" w:hRule="atLeast"/>
                              </w:trPr>
                              <w:tc>
                                <w:tcPr>
                                  <w:tcW w:w="2899" w:type="dxa"/>
                                  <w:tcBorders>
                                    <w:bottom w:val="single" w:sz="8" w:space="0" w:color="002D5D"/>
                                  </w:tcBorders>
                                </w:tcPr>
                                <w:p>
                                  <w:pPr>
                                    <w:pStyle w:val="TableParagraph"/>
                                    <w:tabs>
                                      <w:tab w:pos="1769" w:val="left" w:leader="none"/>
                                    </w:tabs>
                                    <w:ind w:left="71"/>
                                    <w:rPr>
                                      <w:sz w:val="17"/>
                                    </w:rPr>
                                  </w:pPr>
                                  <w:r>
                                    <w:rPr>
                                      <w:sz w:val="17"/>
                                    </w:rPr>
                                    <w:t>100%</w:t>
                                  </w:r>
                                  <w:r>
                                    <w:rPr>
                                      <w:spacing w:val="-5"/>
                                      <w:sz w:val="17"/>
                                    </w:rPr>
                                    <w:t> </w:t>
                                  </w:r>
                                  <w:r>
                                    <w:rPr>
                                      <w:spacing w:val="-2"/>
                                      <w:sz w:val="17"/>
                                    </w:rPr>
                                    <w:t>eléctricas</w:t>
                                  </w:r>
                                  <w:r>
                                    <w:rPr>
                                      <w:sz w:val="17"/>
                                    </w:rPr>
                                    <w:tab/>
                                  </w:r>
                                  <w:r>
                                    <w:rPr>
                                      <w:spacing w:val="-2"/>
                                      <w:sz w:val="17"/>
                                    </w:rPr>
                                    <w:t>infraestructuras</w:t>
                                  </w:r>
                                </w:p>
                              </w:tc>
                              <w:tc>
                                <w:tcPr>
                                  <w:tcW w:w="1052" w:type="dxa"/>
                                  <w:tcBorders>
                                    <w:bottom w:val="single" w:sz="8" w:space="0" w:color="002D5D"/>
                                  </w:tcBorders>
                                </w:tcPr>
                                <w:p>
                                  <w:pPr>
                                    <w:pStyle w:val="TableParagraph"/>
                                    <w:rPr>
                                      <w:rFonts w:ascii="Times New Roman"/>
                                      <w:sz w:val="16"/>
                                    </w:rPr>
                                  </w:pPr>
                                </w:p>
                              </w:tc>
                              <w:tc>
                                <w:tcPr>
                                  <w:tcW w:w="724" w:type="dxa"/>
                                  <w:tcBorders>
                                    <w:bottom w:val="single" w:sz="8" w:space="0" w:color="002D5D"/>
                                  </w:tcBorders>
                                </w:tcPr>
                                <w:p>
                                  <w:pPr>
                                    <w:pStyle w:val="TableParagraph"/>
                                    <w:rPr>
                                      <w:rFonts w:ascii="Times New Roman"/>
                                      <w:sz w:val="16"/>
                                    </w:rPr>
                                  </w:pPr>
                                </w:p>
                              </w:tc>
                              <w:tc>
                                <w:tcPr>
                                  <w:tcW w:w="1125" w:type="dxa"/>
                                  <w:tcBorders>
                                    <w:bottom w:val="single" w:sz="8" w:space="0" w:color="002D5D"/>
                                  </w:tcBorders>
                                </w:tcPr>
                                <w:p>
                                  <w:pPr>
                                    <w:pStyle w:val="TableParagraph"/>
                                    <w:rPr>
                                      <w:rFonts w:ascii="Times New Roman"/>
                                      <w:sz w:val="16"/>
                                    </w:rPr>
                                  </w:pPr>
                                </w:p>
                              </w:tc>
                              <w:tc>
                                <w:tcPr>
                                  <w:tcW w:w="688" w:type="dxa"/>
                                  <w:tcBorders>
                                    <w:bottom w:val="single" w:sz="8" w:space="0" w:color="002D5D"/>
                                  </w:tcBorders>
                                </w:tcPr>
                                <w:p>
                                  <w:pPr>
                                    <w:pStyle w:val="TableParagraph"/>
                                    <w:rPr>
                                      <w:rFonts w:ascii="Times New Roman"/>
                                      <w:sz w:val="16"/>
                                    </w:rPr>
                                  </w:pPr>
                                </w:p>
                              </w:tc>
                              <w:tc>
                                <w:tcPr>
                                  <w:tcW w:w="1127" w:type="dxa"/>
                                  <w:tcBorders>
                                    <w:bottom w:val="single" w:sz="8" w:space="0" w:color="002D5D"/>
                                  </w:tcBorders>
                                </w:tcPr>
                                <w:p>
                                  <w:pPr>
                                    <w:pStyle w:val="TableParagraph"/>
                                    <w:rPr>
                                      <w:rFonts w:ascii="Times New Roman"/>
                                      <w:sz w:val="16"/>
                                    </w:rPr>
                                  </w:pPr>
                                </w:p>
                              </w:tc>
                              <w:tc>
                                <w:tcPr>
                                  <w:tcW w:w="663" w:type="dxa"/>
                                  <w:tcBorders>
                                    <w:bottom w:val="single" w:sz="8" w:space="0" w:color="002D5D"/>
                                  </w:tcBorders>
                                </w:tcPr>
                                <w:p>
                                  <w:pPr>
                                    <w:pStyle w:val="TableParagraph"/>
                                    <w:rPr>
                                      <w:rFonts w:ascii="Times New Roman"/>
                                      <w:sz w:val="16"/>
                                    </w:rPr>
                                  </w:pPr>
                                </w:p>
                              </w:tc>
                              <w:tc>
                                <w:tcPr>
                                  <w:tcW w:w="1162" w:type="dxa"/>
                                  <w:tcBorders>
                                    <w:bottom w:val="single" w:sz="8" w:space="0" w:color="002D5D"/>
                                  </w:tcBorders>
                                </w:tcPr>
                                <w:p>
                                  <w:pPr>
                                    <w:pStyle w:val="TableParagraph"/>
                                    <w:rPr>
                                      <w:rFonts w:ascii="Times New Roman"/>
                                      <w:sz w:val="16"/>
                                    </w:rPr>
                                  </w:pPr>
                                </w:p>
                              </w:tc>
                              <w:tc>
                                <w:tcPr>
                                  <w:tcW w:w="641" w:type="dxa"/>
                                  <w:tcBorders>
                                    <w:bottom w:val="single" w:sz="8" w:space="0" w:color="002D5D"/>
                                  </w:tcBorders>
                                </w:tcPr>
                                <w:p>
                                  <w:pPr>
                                    <w:pStyle w:val="TableParagraph"/>
                                    <w:rPr>
                                      <w:rFonts w:ascii="Times New Roman"/>
                                      <w:sz w:val="16"/>
                                    </w:rPr>
                                  </w:pPr>
                                </w:p>
                              </w:tc>
                              <w:tc>
                                <w:tcPr>
                                  <w:tcW w:w="1144" w:type="dxa"/>
                                  <w:tcBorders>
                                    <w:bottom w:val="single" w:sz="8" w:space="0" w:color="002D5D"/>
                                  </w:tcBorders>
                                </w:tcPr>
                                <w:p>
                                  <w:pPr>
                                    <w:pStyle w:val="TableParagraph"/>
                                    <w:rPr>
                                      <w:rFonts w:ascii="Times New Roman"/>
                                      <w:sz w:val="16"/>
                                    </w:rPr>
                                  </w:pPr>
                                </w:p>
                              </w:tc>
                            </w:tr>
                            <w:tr>
                              <w:trPr>
                                <w:trHeight w:val="783" w:hRule="atLeast"/>
                              </w:trPr>
                              <w:tc>
                                <w:tcPr>
                                  <w:tcW w:w="2899" w:type="dxa"/>
                                  <w:tcBorders>
                                    <w:top w:val="single" w:sz="8" w:space="0" w:color="002D5D"/>
                                    <w:bottom w:val="single" w:sz="8" w:space="0" w:color="002D5D"/>
                                  </w:tcBorders>
                                </w:tcPr>
                                <w:p>
                                  <w:pPr>
                                    <w:pStyle w:val="TableParagraph"/>
                                    <w:spacing w:line="195" w:lineRule="exact" w:before="3"/>
                                    <w:ind w:left="71"/>
                                    <w:rPr>
                                      <w:sz w:val="17"/>
                                    </w:rPr>
                                  </w:pPr>
                                  <w:r>
                                    <w:rPr>
                                      <w:sz w:val="17"/>
                                    </w:rPr>
                                    <w:t>Obras</w:t>
                                  </w:r>
                                  <w:r>
                                    <w:rPr>
                                      <w:spacing w:val="-3"/>
                                      <w:sz w:val="17"/>
                                    </w:rPr>
                                    <w:t> </w:t>
                                  </w:r>
                                  <w:r>
                                    <w:rPr>
                                      <w:sz w:val="17"/>
                                    </w:rPr>
                                    <w:t>para</w:t>
                                  </w:r>
                                  <w:r>
                                    <w:rPr>
                                      <w:spacing w:val="-3"/>
                                      <w:sz w:val="17"/>
                                    </w:rPr>
                                    <w:t> </w:t>
                                  </w:r>
                                  <w:r>
                                    <w:rPr>
                                      <w:sz w:val="17"/>
                                    </w:rPr>
                                    <w:t>la</w:t>
                                  </w:r>
                                  <w:r>
                                    <w:rPr>
                                      <w:spacing w:val="-3"/>
                                      <w:sz w:val="17"/>
                                    </w:rPr>
                                    <w:t> </w:t>
                                  </w:r>
                                  <w:r>
                                    <w:rPr>
                                      <w:sz w:val="17"/>
                                    </w:rPr>
                                    <w:t>mejora</w:t>
                                  </w:r>
                                  <w:r>
                                    <w:rPr>
                                      <w:spacing w:val="-2"/>
                                      <w:sz w:val="17"/>
                                    </w:rPr>
                                    <w:t> </w:t>
                                  </w:r>
                                  <w:r>
                                    <w:rPr>
                                      <w:spacing w:val="-5"/>
                                      <w:sz w:val="17"/>
                                    </w:rPr>
                                    <w:t>de</w:t>
                                  </w:r>
                                </w:p>
                                <w:p>
                                  <w:pPr>
                                    <w:pStyle w:val="TableParagraph"/>
                                    <w:tabs>
                                      <w:tab w:pos="1769" w:val="left" w:leader="none"/>
                                    </w:tabs>
                                    <w:ind w:left="71"/>
                                    <w:rPr>
                                      <w:position w:val="-9"/>
                                      <w:sz w:val="17"/>
                                    </w:rPr>
                                  </w:pPr>
                                  <w:r>
                                    <w:rPr>
                                      <w:sz w:val="17"/>
                                    </w:rPr>
                                    <w:t>la</w:t>
                                  </w:r>
                                  <w:r>
                                    <w:rPr>
                                      <w:spacing w:val="-4"/>
                                      <w:sz w:val="17"/>
                                    </w:rPr>
                                    <w:t> </w:t>
                                  </w:r>
                                  <w:r>
                                    <w:rPr>
                                      <w:sz w:val="17"/>
                                    </w:rPr>
                                    <w:t>accesibilidad</w:t>
                                  </w:r>
                                  <w:r>
                                    <w:rPr>
                                      <w:spacing w:val="-4"/>
                                      <w:sz w:val="17"/>
                                    </w:rPr>
                                    <w:t> </w:t>
                                  </w:r>
                                  <w:r>
                                    <w:rPr>
                                      <w:sz w:val="17"/>
                                    </w:rPr>
                                    <w:t>de</w:t>
                                  </w:r>
                                  <w:r>
                                    <w:rPr>
                                      <w:spacing w:val="-4"/>
                                      <w:sz w:val="17"/>
                                    </w:rPr>
                                    <w:t> </w:t>
                                  </w:r>
                                  <w:r>
                                    <w:rPr>
                                      <w:spacing w:val="-5"/>
                                      <w:sz w:val="17"/>
                                    </w:rPr>
                                    <w:t>los</w:t>
                                  </w:r>
                                  <w:r>
                                    <w:rPr>
                                      <w:sz w:val="17"/>
                                    </w:rPr>
                                    <w:tab/>
                                  </w:r>
                                  <w:r>
                                    <w:rPr>
                                      <w:spacing w:val="-2"/>
                                      <w:position w:val="-9"/>
                                      <w:sz w:val="17"/>
                                    </w:rPr>
                                    <w:t>Obras</w:t>
                                  </w:r>
                                </w:p>
                                <w:p>
                                  <w:pPr>
                                    <w:pStyle w:val="TableParagraph"/>
                                    <w:spacing w:line="177" w:lineRule="exact" w:before="94"/>
                                    <w:ind w:left="71"/>
                                    <w:rPr>
                                      <w:sz w:val="17"/>
                                    </w:rPr>
                                  </w:pPr>
                                  <w:r>
                                    <w:rPr>
                                      <w:spacing w:val="-2"/>
                                      <w:sz w:val="17"/>
                                    </w:rPr>
                                    <w:t>paradas</w:t>
                                  </w:r>
                                </w:p>
                              </w:tc>
                              <w:tc>
                                <w:tcPr>
                                  <w:tcW w:w="1052" w:type="dxa"/>
                                  <w:tcBorders>
                                    <w:top w:val="single" w:sz="8" w:space="0" w:color="002D5D"/>
                                    <w:bottom w:val="single" w:sz="8" w:space="0" w:color="002D5D"/>
                                  </w:tcBorders>
                                </w:tcPr>
                                <w:p>
                                  <w:pPr>
                                    <w:pStyle w:val="TableParagraph"/>
                                    <w:spacing w:before="98"/>
                                    <w:rPr>
                                      <w:sz w:val="17"/>
                                    </w:rPr>
                                  </w:pPr>
                                </w:p>
                                <w:p>
                                  <w:pPr>
                                    <w:pStyle w:val="TableParagraph"/>
                                    <w:spacing w:before="1"/>
                                    <w:ind w:right="83"/>
                                    <w:jc w:val="right"/>
                                    <w:rPr>
                                      <w:sz w:val="17"/>
                                    </w:rPr>
                                  </w:pPr>
                                  <w:r>
                                    <w:rPr>
                                      <w:spacing w:val="-2"/>
                                      <w:sz w:val="17"/>
                                    </w:rPr>
                                    <w:t>493.443,59</w:t>
                                  </w:r>
                                </w:p>
                              </w:tc>
                              <w:tc>
                                <w:tcPr>
                                  <w:tcW w:w="724" w:type="dxa"/>
                                  <w:tcBorders>
                                    <w:top w:val="single" w:sz="8" w:space="0" w:color="002D5D"/>
                                    <w:bottom w:val="single" w:sz="8" w:space="0" w:color="002D5D"/>
                                  </w:tcBorders>
                                </w:tcPr>
                                <w:p>
                                  <w:pPr>
                                    <w:pStyle w:val="TableParagraph"/>
                                    <w:spacing w:before="98"/>
                                    <w:rPr>
                                      <w:sz w:val="17"/>
                                    </w:rPr>
                                  </w:pPr>
                                </w:p>
                                <w:p>
                                  <w:pPr>
                                    <w:pStyle w:val="TableParagraph"/>
                                    <w:spacing w:before="1"/>
                                    <w:ind w:right="209"/>
                                    <w:jc w:val="right"/>
                                    <w:rPr>
                                      <w:sz w:val="17"/>
                                    </w:rPr>
                                  </w:pPr>
                                  <w:r>
                                    <w:rPr>
                                      <w:spacing w:val="-4"/>
                                      <w:sz w:val="17"/>
                                    </w:rPr>
                                    <w:t>6,52</w:t>
                                  </w:r>
                                </w:p>
                              </w:tc>
                              <w:tc>
                                <w:tcPr>
                                  <w:tcW w:w="1125" w:type="dxa"/>
                                  <w:tcBorders>
                                    <w:top w:val="single" w:sz="8" w:space="0" w:color="002D5D"/>
                                    <w:bottom w:val="single" w:sz="8" w:space="0" w:color="002D5D"/>
                                  </w:tcBorders>
                                </w:tcPr>
                                <w:p>
                                  <w:pPr>
                                    <w:pStyle w:val="TableParagraph"/>
                                    <w:spacing w:before="98"/>
                                    <w:rPr>
                                      <w:sz w:val="17"/>
                                    </w:rPr>
                                  </w:pPr>
                                </w:p>
                                <w:p>
                                  <w:pPr>
                                    <w:pStyle w:val="TableParagraph"/>
                                    <w:spacing w:before="1"/>
                                    <w:ind w:right="96"/>
                                    <w:jc w:val="right"/>
                                    <w:rPr>
                                      <w:sz w:val="17"/>
                                    </w:rPr>
                                  </w:pPr>
                                  <w:r>
                                    <w:rPr>
                                      <w:spacing w:val="-2"/>
                                      <w:sz w:val="17"/>
                                    </w:rPr>
                                    <w:t>493.443,59</w:t>
                                  </w:r>
                                </w:p>
                              </w:tc>
                              <w:tc>
                                <w:tcPr>
                                  <w:tcW w:w="688" w:type="dxa"/>
                                  <w:tcBorders>
                                    <w:top w:val="single" w:sz="8" w:space="0" w:color="002D5D"/>
                                    <w:bottom w:val="single" w:sz="8" w:space="0" w:color="002D5D"/>
                                  </w:tcBorders>
                                </w:tcPr>
                                <w:p>
                                  <w:pPr>
                                    <w:pStyle w:val="TableParagraph"/>
                                    <w:spacing w:before="117"/>
                                    <w:rPr>
                                      <w:sz w:val="16"/>
                                    </w:rPr>
                                  </w:pPr>
                                </w:p>
                                <w:p>
                                  <w:pPr>
                                    <w:pStyle w:val="TableParagraph"/>
                                    <w:ind w:left="42" w:right="124"/>
                                    <w:jc w:val="center"/>
                                    <w:rPr>
                                      <w:sz w:val="16"/>
                                    </w:rPr>
                                  </w:pPr>
                                  <w:r>
                                    <w:rPr>
                                      <w:spacing w:val="-2"/>
                                      <w:sz w:val="16"/>
                                    </w:rPr>
                                    <w:t>100,00</w:t>
                                  </w:r>
                                </w:p>
                              </w:tc>
                              <w:tc>
                                <w:tcPr>
                                  <w:tcW w:w="1127" w:type="dxa"/>
                                  <w:tcBorders>
                                    <w:top w:val="single" w:sz="8" w:space="0" w:color="002D5D"/>
                                    <w:bottom w:val="single" w:sz="8" w:space="0" w:color="002D5D"/>
                                  </w:tcBorders>
                                </w:tcPr>
                                <w:p>
                                  <w:pPr>
                                    <w:pStyle w:val="TableParagraph"/>
                                    <w:spacing w:before="98"/>
                                    <w:rPr>
                                      <w:sz w:val="17"/>
                                    </w:rPr>
                                  </w:pPr>
                                </w:p>
                                <w:p>
                                  <w:pPr>
                                    <w:pStyle w:val="TableParagraph"/>
                                    <w:spacing w:before="1"/>
                                    <w:ind w:right="120"/>
                                    <w:jc w:val="right"/>
                                    <w:rPr>
                                      <w:sz w:val="17"/>
                                    </w:rPr>
                                  </w:pPr>
                                  <w:r>
                                    <w:rPr>
                                      <w:spacing w:val="-4"/>
                                      <w:sz w:val="17"/>
                                    </w:rPr>
                                    <w:t>0,00</w:t>
                                  </w:r>
                                </w:p>
                              </w:tc>
                              <w:tc>
                                <w:tcPr>
                                  <w:tcW w:w="663" w:type="dxa"/>
                                  <w:tcBorders>
                                    <w:top w:val="single" w:sz="8" w:space="0" w:color="002D5D"/>
                                    <w:bottom w:val="single" w:sz="8" w:space="0" w:color="002D5D"/>
                                  </w:tcBorders>
                                </w:tcPr>
                                <w:p>
                                  <w:pPr>
                                    <w:pStyle w:val="TableParagraph"/>
                                    <w:spacing w:before="98"/>
                                    <w:rPr>
                                      <w:sz w:val="17"/>
                                    </w:rPr>
                                  </w:pPr>
                                </w:p>
                                <w:p>
                                  <w:pPr>
                                    <w:pStyle w:val="TableParagraph"/>
                                    <w:spacing w:before="1"/>
                                    <w:ind w:left="73" w:right="50"/>
                                    <w:jc w:val="center"/>
                                    <w:rPr>
                                      <w:sz w:val="17"/>
                                    </w:rPr>
                                  </w:pPr>
                                  <w:r>
                                    <w:rPr>
                                      <w:spacing w:val="-4"/>
                                      <w:sz w:val="17"/>
                                    </w:rPr>
                                    <w:t>0,00</w:t>
                                  </w:r>
                                </w:p>
                              </w:tc>
                              <w:tc>
                                <w:tcPr>
                                  <w:tcW w:w="1162" w:type="dxa"/>
                                  <w:tcBorders>
                                    <w:top w:val="single" w:sz="8" w:space="0" w:color="002D5D"/>
                                    <w:bottom w:val="single" w:sz="8" w:space="0" w:color="002D5D"/>
                                  </w:tcBorders>
                                </w:tcPr>
                                <w:p>
                                  <w:pPr>
                                    <w:pStyle w:val="TableParagraph"/>
                                    <w:spacing w:before="117"/>
                                    <w:rPr>
                                      <w:sz w:val="16"/>
                                    </w:rPr>
                                  </w:pPr>
                                </w:p>
                                <w:p>
                                  <w:pPr>
                                    <w:pStyle w:val="TableParagraph"/>
                                    <w:ind w:right="149"/>
                                    <w:jc w:val="right"/>
                                    <w:rPr>
                                      <w:sz w:val="16"/>
                                    </w:rPr>
                                  </w:pPr>
                                  <w:r>
                                    <w:rPr>
                                      <w:spacing w:val="-4"/>
                                      <w:sz w:val="16"/>
                                    </w:rPr>
                                    <w:t>0,00</w:t>
                                  </w:r>
                                </w:p>
                              </w:tc>
                              <w:tc>
                                <w:tcPr>
                                  <w:tcW w:w="641" w:type="dxa"/>
                                  <w:tcBorders>
                                    <w:top w:val="single" w:sz="8" w:space="0" w:color="002D5D"/>
                                    <w:bottom w:val="single" w:sz="8" w:space="0" w:color="002D5D"/>
                                  </w:tcBorders>
                                </w:tcPr>
                                <w:p>
                                  <w:pPr>
                                    <w:pStyle w:val="TableParagraph"/>
                                    <w:spacing w:before="117"/>
                                    <w:rPr>
                                      <w:sz w:val="16"/>
                                    </w:rPr>
                                  </w:pPr>
                                </w:p>
                                <w:p>
                                  <w:pPr>
                                    <w:pStyle w:val="TableParagraph"/>
                                    <w:ind w:left="93"/>
                                    <w:jc w:val="center"/>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117"/>
                                    <w:rPr>
                                      <w:sz w:val="16"/>
                                    </w:rPr>
                                  </w:pPr>
                                </w:p>
                                <w:p>
                                  <w:pPr>
                                    <w:pStyle w:val="TableParagraph"/>
                                    <w:ind w:left="9" w:right="74"/>
                                    <w:jc w:val="center"/>
                                    <w:rPr>
                                      <w:sz w:val="16"/>
                                    </w:rPr>
                                  </w:pPr>
                                  <w:r>
                                    <w:rPr>
                                      <w:spacing w:val="-2"/>
                                      <w:sz w:val="16"/>
                                    </w:rPr>
                                    <w:t>Finalizada</w:t>
                                  </w:r>
                                </w:p>
                              </w:tc>
                            </w:tr>
                            <w:tr>
                              <w:trPr>
                                <w:trHeight w:val="529" w:hRule="atLeast"/>
                              </w:trPr>
                              <w:tc>
                                <w:tcPr>
                                  <w:tcW w:w="2899" w:type="dxa"/>
                                  <w:tcBorders>
                                    <w:top w:val="single" w:sz="8" w:space="0" w:color="002D5D"/>
                                    <w:bottom w:val="single" w:sz="8" w:space="0" w:color="002D5D"/>
                                  </w:tcBorders>
                                </w:tcPr>
                                <w:p>
                                  <w:pPr>
                                    <w:pStyle w:val="TableParagraph"/>
                                    <w:tabs>
                                      <w:tab w:pos="1769" w:val="left" w:leader="none"/>
                                    </w:tabs>
                                    <w:spacing w:before="66"/>
                                    <w:ind w:left="71"/>
                                    <w:rPr>
                                      <w:sz w:val="17"/>
                                    </w:rPr>
                                  </w:pPr>
                                  <w:r>
                                    <w:rPr>
                                      <w:position w:val="10"/>
                                      <w:sz w:val="17"/>
                                    </w:rPr>
                                    <w:t>Renovación</w:t>
                                  </w:r>
                                  <w:r>
                                    <w:rPr>
                                      <w:spacing w:val="-6"/>
                                      <w:position w:val="10"/>
                                      <w:sz w:val="17"/>
                                    </w:rPr>
                                    <w:t> </w:t>
                                  </w:r>
                                  <w:r>
                                    <w:rPr>
                                      <w:spacing w:val="-5"/>
                                      <w:position w:val="10"/>
                                      <w:sz w:val="17"/>
                                    </w:rPr>
                                    <w:t>App</w:t>
                                  </w:r>
                                  <w:r>
                                    <w:rPr>
                                      <w:position w:val="10"/>
                                      <w:sz w:val="17"/>
                                    </w:rPr>
                                    <w:tab/>
                                  </w:r>
                                  <w:r>
                                    <w:rPr>
                                      <w:spacing w:val="-2"/>
                                      <w:sz w:val="17"/>
                                    </w:rPr>
                                    <w:t>Digitalización</w:t>
                                  </w:r>
                                </w:p>
                              </w:tc>
                              <w:tc>
                                <w:tcPr>
                                  <w:tcW w:w="1052" w:type="dxa"/>
                                  <w:tcBorders>
                                    <w:top w:val="single" w:sz="8" w:space="0" w:color="002D5D"/>
                                    <w:bottom w:val="single" w:sz="8" w:space="0" w:color="002D5D"/>
                                  </w:tcBorders>
                                </w:tcPr>
                                <w:p>
                                  <w:pPr>
                                    <w:pStyle w:val="TableParagraph"/>
                                    <w:spacing w:before="166"/>
                                    <w:ind w:right="83"/>
                                    <w:jc w:val="right"/>
                                    <w:rPr>
                                      <w:sz w:val="17"/>
                                    </w:rPr>
                                  </w:pPr>
                                  <w:r>
                                    <w:rPr>
                                      <w:spacing w:val="-2"/>
                                      <w:sz w:val="17"/>
                                    </w:rPr>
                                    <w:t>29.895,00</w:t>
                                  </w:r>
                                </w:p>
                              </w:tc>
                              <w:tc>
                                <w:tcPr>
                                  <w:tcW w:w="724" w:type="dxa"/>
                                  <w:tcBorders>
                                    <w:top w:val="single" w:sz="8" w:space="0" w:color="002D5D"/>
                                    <w:bottom w:val="single" w:sz="8" w:space="0" w:color="002D5D"/>
                                  </w:tcBorders>
                                </w:tcPr>
                                <w:p>
                                  <w:pPr>
                                    <w:pStyle w:val="TableParagraph"/>
                                    <w:spacing w:before="166"/>
                                    <w:ind w:right="209"/>
                                    <w:jc w:val="right"/>
                                    <w:rPr>
                                      <w:sz w:val="17"/>
                                    </w:rPr>
                                  </w:pPr>
                                  <w:r>
                                    <w:rPr>
                                      <w:spacing w:val="-4"/>
                                      <w:sz w:val="17"/>
                                    </w:rPr>
                                    <w:t>0,40</w:t>
                                  </w:r>
                                </w:p>
                              </w:tc>
                              <w:tc>
                                <w:tcPr>
                                  <w:tcW w:w="1125" w:type="dxa"/>
                                  <w:tcBorders>
                                    <w:top w:val="single" w:sz="8" w:space="0" w:color="002D5D"/>
                                    <w:bottom w:val="single" w:sz="8" w:space="0" w:color="002D5D"/>
                                  </w:tcBorders>
                                </w:tcPr>
                                <w:p>
                                  <w:pPr>
                                    <w:pStyle w:val="TableParagraph"/>
                                    <w:spacing w:before="166"/>
                                    <w:ind w:right="96"/>
                                    <w:jc w:val="right"/>
                                    <w:rPr>
                                      <w:sz w:val="17"/>
                                    </w:rPr>
                                  </w:pPr>
                                  <w:r>
                                    <w:rPr>
                                      <w:spacing w:val="-2"/>
                                      <w:sz w:val="17"/>
                                    </w:rPr>
                                    <w:t>29.895,00</w:t>
                                  </w:r>
                                </w:p>
                              </w:tc>
                              <w:tc>
                                <w:tcPr>
                                  <w:tcW w:w="688" w:type="dxa"/>
                                  <w:tcBorders>
                                    <w:top w:val="single" w:sz="8" w:space="0" w:color="002D5D"/>
                                    <w:bottom w:val="single" w:sz="8" w:space="0" w:color="002D5D"/>
                                  </w:tcBorders>
                                </w:tcPr>
                                <w:p>
                                  <w:pPr>
                                    <w:pStyle w:val="TableParagraph"/>
                                    <w:spacing w:before="171"/>
                                    <w:ind w:left="42" w:right="124"/>
                                    <w:jc w:val="center"/>
                                    <w:rPr>
                                      <w:sz w:val="16"/>
                                    </w:rPr>
                                  </w:pPr>
                                  <w:r>
                                    <w:rPr>
                                      <w:spacing w:val="-2"/>
                                      <w:sz w:val="16"/>
                                    </w:rPr>
                                    <w:t>100,00</w:t>
                                  </w:r>
                                </w:p>
                              </w:tc>
                              <w:tc>
                                <w:tcPr>
                                  <w:tcW w:w="1127" w:type="dxa"/>
                                  <w:tcBorders>
                                    <w:top w:val="single" w:sz="8" w:space="0" w:color="002D5D"/>
                                    <w:bottom w:val="single" w:sz="8" w:space="0" w:color="002D5D"/>
                                  </w:tcBorders>
                                </w:tcPr>
                                <w:p>
                                  <w:pPr>
                                    <w:pStyle w:val="TableParagraph"/>
                                    <w:spacing w:before="166"/>
                                    <w:ind w:right="120"/>
                                    <w:jc w:val="right"/>
                                    <w:rPr>
                                      <w:sz w:val="17"/>
                                    </w:rPr>
                                  </w:pPr>
                                  <w:r>
                                    <w:rPr>
                                      <w:spacing w:val="-4"/>
                                      <w:sz w:val="17"/>
                                    </w:rPr>
                                    <w:t>0,00</w:t>
                                  </w:r>
                                </w:p>
                              </w:tc>
                              <w:tc>
                                <w:tcPr>
                                  <w:tcW w:w="663" w:type="dxa"/>
                                  <w:tcBorders>
                                    <w:top w:val="single" w:sz="8" w:space="0" w:color="002D5D"/>
                                    <w:bottom w:val="single" w:sz="8" w:space="0" w:color="002D5D"/>
                                  </w:tcBorders>
                                </w:tcPr>
                                <w:p>
                                  <w:pPr>
                                    <w:pStyle w:val="TableParagraph"/>
                                    <w:spacing w:before="166"/>
                                    <w:ind w:left="73" w:right="50"/>
                                    <w:jc w:val="center"/>
                                    <w:rPr>
                                      <w:sz w:val="17"/>
                                    </w:rPr>
                                  </w:pPr>
                                  <w:r>
                                    <w:rPr>
                                      <w:spacing w:val="-4"/>
                                      <w:sz w:val="17"/>
                                    </w:rPr>
                                    <w:t>0,00</w:t>
                                  </w:r>
                                </w:p>
                              </w:tc>
                              <w:tc>
                                <w:tcPr>
                                  <w:tcW w:w="1162" w:type="dxa"/>
                                  <w:tcBorders>
                                    <w:top w:val="single" w:sz="8" w:space="0" w:color="002D5D"/>
                                    <w:bottom w:val="single" w:sz="8" w:space="0" w:color="002D5D"/>
                                  </w:tcBorders>
                                </w:tcPr>
                                <w:p>
                                  <w:pPr>
                                    <w:pStyle w:val="TableParagraph"/>
                                    <w:spacing w:before="171"/>
                                    <w:ind w:right="149"/>
                                    <w:jc w:val="right"/>
                                    <w:rPr>
                                      <w:sz w:val="16"/>
                                    </w:rPr>
                                  </w:pPr>
                                  <w:r>
                                    <w:rPr>
                                      <w:spacing w:val="-4"/>
                                      <w:sz w:val="16"/>
                                    </w:rPr>
                                    <w:t>0,00</w:t>
                                  </w:r>
                                </w:p>
                              </w:tc>
                              <w:tc>
                                <w:tcPr>
                                  <w:tcW w:w="641" w:type="dxa"/>
                                  <w:tcBorders>
                                    <w:top w:val="single" w:sz="8" w:space="0" w:color="002D5D"/>
                                    <w:bottom w:val="single" w:sz="8" w:space="0" w:color="002D5D"/>
                                  </w:tcBorders>
                                </w:tcPr>
                                <w:p>
                                  <w:pPr>
                                    <w:pStyle w:val="TableParagraph"/>
                                    <w:spacing w:before="171"/>
                                    <w:ind w:left="93"/>
                                    <w:jc w:val="center"/>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171"/>
                                    <w:ind w:left="9" w:right="74"/>
                                    <w:jc w:val="center"/>
                                    <w:rPr>
                                      <w:sz w:val="16"/>
                                    </w:rPr>
                                  </w:pPr>
                                  <w:r>
                                    <w:rPr>
                                      <w:spacing w:val="-2"/>
                                      <w:sz w:val="16"/>
                                    </w:rPr>
                                    <w:t>Finalizada</w:t>
                                  </w:r>
                                </w:p>
                              </w:tc>
                            </w:tr>
                            <w:tr>
                              <w:trPr>
                                <w:trHeight w:val="585" w:hRule="atLeast"/>
                              </w:trPr>
                              <w:tc>
                                <w:tcPr>
                                  <w:tcW w:w="2899" w:type="dxa"/>
                                  <w:tcBorders>
                                    <w:top w:val="single" w:sz="8" w:space="0" w:color="002D5D"/>
                                  </w:tcBorders>
                                </w:tcPr>
                                <w:p>
                                  <w:pPr>
                                    <w:pStyle w:val="TableParagraph"/>
                                    <w:spacing w:line="193" w:lineRule="exact"/>
                                    <w:ind w:left="71"/>
                                    <w:rPr>
                                      <w:sz w:val="17"/>
                                    </w:rPr>
                                  </w:pPr>
                                  <w:r>
                                    <w:rPr>
                                      <w:sz w:val="17"/>
                                    </w:rPr>
                                    <w:t>Equipamiento</w:t>
                                  </w:r>
                                  <w:r>
                                    <w:rPr>
                                      <w:spacing w:val="-5"/>
                                      <w:sz w:val="17"/>
                                    </w:rPr>
                                    <w:t> de</w:t>
                                  </w:r>
                                </w:p>
                                <w:p>
                                  <w:pPr>
                                    <w:pStyle w:val="TableParagraph"/>
                                    <w:tabs>
                                      <w:tab w:pos="1769" w:val="left" w:leader="none"/>
                                    </w:tabs>
                                    <w:spacing w:line="196" w:lineRule="exact"/>
                                    <w:ind w:left="71" w:right="308"/>
                                    <w:rPr>
                                      <w:sz w:val="17"/>
                                    </w:rPr>
                                  </w:pPr>
                                  <w:r>
                                    <w:rPr>
                                      <w:sz w:val="17"/>
                                    </w:rPr>
                                    <w:t>paradas (adquisición y</w:t>
                                    <w:tab/>
                                  </w:r>
                                  <w:r>
                                    <w:rPr>
                                      <w:spacing w:val="-2"/>
                                      <w:sz w:val="17"/>
                                    </w:rPr>
                                    <w:t>Digitalización</w:t>
                                  </w:r>
                                  <w:r>
                                    <w:rPr>
                                      <w:spacing w:val="40"/>
                                      <w:sz w:val="17"/>
                                    </w:rPr>
                                    <w:t> </w:t>
                                  </w:r>
                                  <w:r>
                                    <w:rPr>
                                      <w:spacing w:val="-2"/>
                                      <w:sz w:val="17"/>
                                    </w:rPr>
                                    <w:t>renovación)</w:t>
                                  </w:r>
                                </w:p>
                              </w:tc>
                              <w:tc>
                                <w:tcPr>
                                  <w:tcW w:w="1052" w:type="dxa"/>
                                  <w:tcBorders>
                                    <w:top w:val="single" w:sz="8" w:space="0" w:color="002D5D"/>
                                  </w:tcBorders>
                                </w:tcPr>
                                <w:p>
                                  <w:pPr>
                                    <w:pStyle w:val="TableParagraph"/>
                                    <w:spacing w:before="193"/>
                                    <w:ind w:right="83"/>
                                    <w:jc w:val="right"/>
                                    <w:rPr>
                                      <w:sz w:val="17"/>
                                    </w:rPr>
                                  </w:pPr>
                                  <w:r>
                                    <w:rPr>
                                      <w:spacing w:val="-2"/>
                                      <w:sz w:val="17"/>
                                    </w:rPr>
                                    <w:t>73.766,17</w:t>
                                  </w:r>
                                </w:p>
                              </w:tc>
                              <w:tc>
                                <w:tcPr>
                                  <w:tcW w:w="724" w:type="dxa"/>
                                  <w:tcBorders>
                                    <w:top w:val="single" w:sz="8" w:space="0" w:color="002D5D"/>
                                  </w:tcBorders>
                                </w:tcPr>
                                <w:p>
                                  <w:pPr>
                                    <w:pStyle w:val="TableParagraph"/>
                                    <w:spacing w:before="193"/>
                                    <w:ind w:right="209"/>
                                    <w:jc w:val="right"/>
                                    <w:rPr>
                                      <w:sz w:val="17"/>
                                    </w:rPr>
                                  </w:pPr>
                                  <w:r>
                                    <w:rPr>
                                      <w:spacing w:val="-4"/>
                                      <w:sz w:val="17"/>
                                    </w:rPr>
                                    <w:t>0,97</w:t>
                                  </w:r>
                                </w:p>
                              </w:tc>
                              <w:tc>
                                <w:tcPr>
                                  <w:tcW w:w="1125" w:type="dxa"/>
                                  <w:tcBorders>
                                    <w:top w:val="single" w:sz="8" w:space="0" w:color="002D5D"/>
                                  </w:tcBorders>
                                </w:tcPr>
                                <w:p>
                                  <w:pPr>
                                    <w:pStyle w:val="TableParagraph"/>
                                    <w:spacing w:before="193"/>
                                    <w:ind w:right="96"/>
                                    <w:jc w:val="right"/>
                                    <w:rPr>
                                      <w:sz w:val="17"/>
                                    </w:rPr>
                                  </w:pPr>
                                  <w:r>
                                    <w:rPr>
                                      <w:spacing w:val="-2"/>
                                      <w:sz w:val="17"/>
                                    </w:rPr>
                                    <w:t>73.766,17</w:t>
                                  </w:r>
                                </w:p>
                              </w:tc>
                              <w:tc>
                                <w:tcPr>
                                  <w:tcW w:w="688" w:type="dxa"/>
                                  <w:tcBorders>
                                    <w:top w:val="single" w:sz="8" w:space="0" w:color="002D5D"/>
                                  </w:tcBorders>
                                </w:tcPr>
                                <w:p>
                                  <w:pPr>
                                    <w:pStyle w:val="TableParagraph"/>
                                    <w:spacing w:before="16"/>
                                    <w:rPr>
                                      <w:sz w:val="16"/>
                                    </w:rPr>
                                  </w:pPr>
                                </w:p>
                                <w:p>
                                  <w:pPr>
                                    <w:pStyle w:val="TableParagraph"/>
                                    <w:ind w:left="42" w:right="124"/>
                                    <w:jc w:val="center"/>
                                    <w:rPr>
                                      <w:sz w:val="16"/>
                                    </w:rPr>
                                  </w:pPr>
                                  <w:r>
                                    <w:rPr>
                                      <w:spacing w:val="-2"/>
                                      <w:sz w:val="16"/>
                                    </w:rPr>
                                    <w:t>100,00</w:t>
                                  </w:r>
                                </w:p>
                              </w:tc>
                              <w:tc>
                                <w:tcPr>
                                  <w:tcW w:w="1127" w:type="dxa"/>
                                  <w:tcBorders>
                                    <w:top w:val="single" w:sz="8" w:space="0" w:color="002D5D"/>
                                  </w:tcBorders>
                                </w:tcPr>
                                <w:p>
                                  <w:pPr>
                                    <w:pStyle w:val="TableParagraph"/>
                                    <w:spacing w:before="193"/>
                                    <w:ind w:right="158"/>
                                    <w:jc w:val="right"/>
                                    <w:rPr>
                                      <w:sz w:val="17"/>
                                    </w:rPr>
                                  </w:pPr>
                                  <w:r>
                                    <w:rPr>
                                      <w:spacing w:val="-4"/>
                                      <w:sz w:val="17"/>
                                    </w:rPr>
                                    <w:t>0,00</w:t>
                                  </w:r>
                                </w:p>
                              </w:tc>
                              <w:tc>
                                <w:tcPr>
                                  <w:tcW w:w="663" w:type="dxa"/>
                                  <w:tcBorders>
                                    <w:top w:val="single" w:sz="8" w:space="0" w:color="002D5D"/>
                                  </w:tcBorders>
                                </w:tcPr>
                                <w:p>
                                  <w:pPr>
                                    <w:pStyle w:val="TableParagraph"/>
                                    <w:spacing w:before="193"/>
                                    <w:ind w:left="73" w:right="50"/>
                                    <w:jc w:val="center"/>
                                    <w:rPr>
                                      <w:sz w:val="17"/>
                                    </w:rPr>
                                  </w:pPr>
                                  <w:r>
                                    <w:rPr>
                                      <w:spacing w:val="-4"/>
                                      <w:sz w:val="17"/>
                                    </w:rPr>
                                    <w:t>0,00</w:t>
                                  </w:r>
                                </w:p>
                              </w:tc>
                              <w:tc>
                                <w:tcPr>
                                  <w:tcW w:w="1162" w:type="dxa"/>
                                  <w:tcBorders>
                                    <w:top w:val="single" w:sz="8" w:space="0" w:color="002D5D"/>
                                  </w:tcBorders>
                                </w:tcPr>
                                <w:p>
                                  <w:pPr>
                                    <w:pStyle w:val="TableParagraph"/>
                                    <w:spacing w:before="16"/>
                                    <w:rPr>
                                      <w:sz w:val="16"/>
                                    </w:rPr>
                                  </w:pPr>
                                </w:p>
                                <w:p>
                                  <w:pPr>
                                    <w:pStyle w:val="TableParagraph"/>
                                    <w:ind w:right="149"/>
                                    <w:jc w:val="right"/>
                                    <w:rPr>
                                      <w:sz w:val="16"/>
                                    </w:rPr>
                                  </w:pPr>
                                  <w:r>
                                    <w:rPr>
                                      <w:spacing w:val="-4"/>
                                      <w:sz w:val="16"/>
                                    </w:rPr>
                                    <w:t>0,00</w:t>
                                  </w:r>
                                </w:p>
                              </w:tc>
                              <w:tc>
                                <w:tcPr>
                                  <w:tcW w:w="641" w:type="dxa"/>
                                  <w:tcBorders>
                                    <w:top w:val="single" w:sz="8" w:space="0" w:color="002D5D"/>
                                  </w:tcBorders>
                                </w:tcPr>
                                <w:p>
                                  <w:pPr>
                                    <w:pStyle w:val="TableParagraph"/>
                                    <w:spacing w:before="16"/>
                                    <w:rPr>
                                      <w:sz w:val="16"/>
                                    </w:rPr>
                                  </w:pPr>
                                </w:p>
                                <w:p>
                                  <w:pPr>
                                    <w:pStyle w:val="TableParagraph"/>
                                    <w:ind w:left="93"/>
                                    <w:jc w:val="center"/>
                                    <w:rPr>
                                      <w:sz w:val="16"/>
                                    </w:rPr>
                                  </w:pPr>
                                  <w:r>
                                    <w:rPr>
                                      <w:spacing w:val="-4"/>
                                      <w:sz w:val="16"/>
                                    </w:rPr>
                                    <w:t>0,00</w:t>
                                  </w:r>
                                </w:p>
                              </w:tc>
                              <w:tc>
                                <w:tcPr>
                                  <w:tcW w:w="1144" w:type="dxa"/>
                                  <w:tcBorders>
                                    <w:top w:val="single" w:sz="8" w:space="0" w:color="002D5D"/>
                                  </w:tcBorders>
                                </w:tcPr>
                                <w:p>
                                  <w:pPr>
                                    <w:pStyle w:val="TableParagraph"/>
                                    <w:spacing w:before="16"/>
                                    <w:rPr>
                                      <w:sz w:val="16"/>
                                    </w:rPr>
                                  </w:pPr>
                                </w:p>
                                <w:p>
                                  <w:pPr>
                                    <w:pStyle w:val="TableParagraph"/>
                                    <w:ind w:left="9" w:right="74"/>
                                    <w:jc w:val="center"/>
                                    <w:rPr>
                                      <w:sz w:val="16"/>
                                    </w:rPr>
                                  </w:pPr>
                                  <w:r>
                                    <w:rPr>
                                      <w:spacing w:val="-2"/>
                                      <w:sz w:val="16"/>
                                    </w:rPr>
                                    <w:t>Finalizada</w:t>
                                  </w:r>
                                </w:p>
                              </w:tc>
                            </w:tr>
                            <w:tr>
                              <w:trPr>
                                <w:trHeight w:val="341" w:hRule="atLeast"/>
                              </w:trPr>
                              <w:tc>
                                <w:tcPr>
                                  <w:tcW w:w="2899" w:type="dxa"/>
                                  <w:shd w:val="clear" w:color="auto" w:fill="002D5D"/>
                                </w:tcPr>
                                <w:p>
                                  <w:pPr>
                                    <w:pStyle w:val="TableParagraph"/>
                                    <w:spacing w:before="71"/>
                                    <w:ind w:left="71"/>
                                    <w:rPr>
                                      <w:b/>
                                      <w:sz w:val="17"/>
                                    </w:rPr>
                                  </w:pPr>
                                  <w:r>
                                    <w:rPr>
                                      <w:b/>
                                      <w:color w:val="FFFFFF"/>
                                      <w:spacing w:val="-2"/>
                                      <w:sz w:val="17"/>
                                    </w:rPr>
                                    <w:t>TOTAL</w:t>
                                  </w:r>
                                </w:p>
                              </w:tc>
                              <w:tc>
                                <w:tcPr>
                                  <w:tcW w:w="1052" w:type="dxa"/>
                                  <w:shd w:val="clear" w:color="auto" w:fill="002D5D"/>
                                </w:tcPr>
                                <w:p>
                                  <w:pPr>
                                    <w:pStyle w:val="TableParagraph"/>
                                    <w:spacing w:before="71"/>
                                    <w:ind w:right="83"/>
                                    <w:jc w:val="right"/>
                                    <w:rPr>
                                      <w:b/>
                                      <w:sz w:val="17"/>
                                    </w:rPr>
                                  </w:pPr>
                                  <w:r>
                                    <w:rPr>
                                      <w:b/>
                                      <w:color w:val="FFFFFF"/>
                                      <w:spacing w:val="-2"/>
                                      <w:sz w:val="17"/>
                                    </w:rPr>
                                    <w:t>7.564.988,34</w:t>
                                  </w:r>
                                </w:p>
                              </w:tc>
                              <w:tc>
                                <w:tcPr>
                                  <w:tcW w:w="724" w:type="dxa"/>
                                  <w:shd w:val="clear" w:color="auto" w:fill="002D5D"/>
                                </w:tcPr>
                                <w:p>
                                  <w:pPr>
                                    <w:pStyle w:val="TableParagraph"/>
                                    <w:spacing w:before="71"/>
                                    <w:ind w:right="209"/>
                                    <w:jc w:val="right"/>
                                    <w:rPr>
                                      <w:b/>
                                      <w:sz w:val="17"/>
                                    </w:rPr>
                                  </w:pPr>
                                  <w:r>
                                    <w:rPr>
                                      <w:b/>
                                      <w:color w:val="FFFFFF"/>
                                      <w:spacing w:val="-2"/>
                                      <w:sz w:val="17"/>
                                    </w:rPr>
                                    <w:t>100,00</w:t>
                                  </w:r>
                                </w:p>
                              </w:tc>
                              <w:tc>
                                <w:tcPr>
                                  <w:tcW w:w="1125" w:type="dxa"/>
                                  <w:shd w:val="clear" w:color="auto" w:fill="002D5D"/>
                                </w:tcPr>
                                <w:p>
                                  <w:pPr>
                                    <w:pStyle w:val="TableParagraph"/>
                                    <w:spacing w:before="71"/>
                                    <w:ind w:right="96"/>
                                    <w:jc w:val="right"/>
                                    <w:rPr>
                                      <w:b/>
                                      <w:sz w:val="17"/>
                                    </w:rPr>
                                  </w:pPr>
                                  <w:r>
                                    <w:rPr>
                                      <w:b/>
                                      <w:color w:val="FFFFFF"/>
                                      <w:spacing w:val="-2"/>
                                      <w:sz w:val="17"/>
                                    </w:rPr>
                                    <w:t>1.044.339,35</w:t>
                                  </w:r>
                                </w:p>
                              </w:tc>
                              <w:tc>
                                <w:tcPr>
                                  <w:tcW w:w="688" w:type="dxa"/>
                                  <w:shd w:val="clear" w:color="auto" w:fill="002D5D"/>
                                </w:tcPr>
                                <w:p>
                                  <w:pPr>
                                    <w:pStyle w:val="TableParagraph"/>
                                    <w:rPr>
                                      <w:rFonts w:ascii="Times New Roman"/>
                                      <w:sz w:val="16"/>
                                    </w:rPr>
                                  </w:pPr>
                                </w:p>
                              </w:tc>
                              <w:tc>
                                <w:tcPr>
                                  <w:tcW w:w="1127" w:type="dxa"/>
                                  <w:shd w:val="clear" w:color="auto" w:fill="002D5D"/>
                                </w:tcPr>
                                <w:p>
                                  <w:pPr>
                                    <w:pStyle w:val="TableParagraph"/>
                                    <w:spacing w:before="71"/>
                                    <w:ind w:right="120"/>
                                    <w:jc w:val="right"/>
                                    <w:rPr>
                                      <w:b/>
                                      <w:sz w:val="17"/>
                                    </w:rPr>
                                  </w:pPr>
                                  <w:r>
                                    <w:rPr>
                                      <w:b/>
                                      <w:color w:val="FFFFFF"/>
                                      <w:spacing w:val="-2"/>
                                      <w:sz w:val="17"/>
                                    </w:rPr>
                                    <w:t>3.028.300,00</w:t>
                                  </w:r>
                                </w:p>
                              </w:tc>
                              <w:tc>
                                <w:tcPr>
                                  <w:tcW w:w="663" w:type="dxa"/>
                                  <w:shd w:val="clear" w:color="auto" w:fill="002D5D"/>
                                </w:tcPr>
                                <w:p>
                                  <w:pPr>
                                    <w:pStyle w:val="TableParagraph"/>
                                    <w:rPr>
                                      <w:rFonts w:ascii="Times New Roman"/>
                                      <w:sz w:val="16"/>
                                    </w:rPr>
                                  </w:pPr>
                                </w:p>
                              </w:tc>
                              <w:tc>
                                <w:tcPr>
                                  <w:tcW w:w="1162" w:type="dxa"/>
                                  <w:shd w:val="clear" w:color="auto" w:fill="002D5D"/>
                                </w:tcPr>
                                <w:p>
                                  <w:pPr>
                                    <w:pStyle w:val="TableParagraph"/>
                                    <w:spacing w:before="71"/>
                                    <w:ind w:right="152"/>
                                    <w:jc w:val="right"/>
                                    <w:rPr>
                                      <w:b/>
                                      <w:sz w:val="17"/>
                                    </w:rPr>
                                  </w:pPr>
                                  <w:r>
                                    <w:rPr>
                                      <w:b/>
                                      <w:color w:val="FFFFFF"/>
                                      <w:spacing w:val="-2"/>
                                      <w:sz w:val="17"/>
                                    </w:rPr>
                                    <w:t>3.492.348,99</w:t>
                                  </w:r>
                                </w:p>
                              </w:tc>
                              <w:tc>
                                <w:tcPr>
                                  <w:tcW w:w="641" w:type="dxa"/>
                                  <w:shd w:val="clear" w:color="auto" w:fill="002D5D"/>
                                </w:tcPr>
                                <w:p>
                                  <w:pPr>
                                    <w:pStyle w:val="TableParagraph"/>
                                    <w:rPr>
                                      <w:rFonts w:ascii="Times New Roman"/>
                                      <w:sz w:val="16"/>
                                    </w:rPr>
                                  </w:pPr>
                                </w:p>
                              </w:tc>
                              <w:tc>
                                <w:tcPr>
                                  <w:tcW w:w="1144" w:type="dxa"/>
                                  <w:shd w:val="clear" w:color="auto" w:fill="002D5D"/>
                                </w:tcPr>
                                <w:p>
                                  <w:pPr>
                                    <w:pStyle w:val="TableParagraph"/>
                                    <w:rPr>
                                      <w:rFonts w:ascii="Times New Roman"/>
                                      <w:sz w:val="16"/>
                                    </w:rPr>
                                  </w:pPr>
                                </w:p>
                              </w:tc>
                            </w:tr>
                          </w:tbl>
                          <w:p>
                            <w:pPr>
                              <w:pStyle w:val="BodyText"/>
                            </w:pPr>
                          </w:p>
                        </w:txbxContent>
                      </wps:txbx>
                      <wps:bodyPr wrap="square" lIns="0" tIns="0" rIns="0" bIns="0" rtlCol="0">
                        <a:noAutofit/>
                      </wps:bodyPr>
                    </wps:wsp>
                  </a:graphicData>
                </a:graphic>
              </wp:anchor>
            </w:drawing>
          </mc:Choice>
          <mc:Fallback>
            <w:pict>
              <v:shape style="position:absolute;margin-left:12.6pt;margin-top:-95.072556pt;width:567.75pt;height:189.3pt;mso-position-horizontal-relative:page;mso-position-vertical-relative:paragraph;z-index:15774208" type="#_x0000_t202" id="docshape315"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99"/>
                        <w:gridCol w:w="1052"/>
                        <w:gridCol w:w="724"/>
                        <w:gridCol w:w="1125"/>
                        <w:gridCol w:w="688"/>
                        <w:gridCol w:w="1127"/>
                        <w:gridCol w:w="663"/>
                        <w:gridCol w:w="1162"/>
                        <w:gridCol w:w="641"/>
                        <w:gridCol w:w="1144"/>
                      </w:tblGrid>
                      <w:tr>
                        <w:trPr>
                          <w:trHeight w:val="391" w:hRule="atLeast"/>
                        </w:trPr>
                        <w:tc>
                          <w:tcPr>
                            <w:tcW w:w="2899" w:type="dxa"/>
                          </w:tcPr>
                          <w:p>
                            <w:pPr>
                              <w:pStyle w:val="TableParagraph"/>
                              <w:spacing w:line="190" w:lineRule="atLeast"/>
                              <w:ind w:left="71" w:right="176"/>
                              <w:rPr>
                                <w:sz w:val="17"/>
                              </w:rPr>
                            </w:pPr>
                            <w:r>
                              <w:rPr>
                                <w:sz w:val="17"/>
                              </w:rPr>
                              <w:t>Instalación electrolineras</w:t>
                            </w:r>
                            <w:r>
                              <w:rPr>
                                <w:spacing w:val="80"/>
                                <w:sz w:val="17"/>
                              </w:rPr>
                              <w:t> </w:t>
                            </w:r>
                            <w:r>
                              <w:rPr>
                                <w:sz w:val="17"/>
                              </w:rPr>
                              <w:t>Adquisición</w:t>
                            </w:r>
                            <w:r>
                              <w:rPr>
                                <w:spacing w:val="40"/>
                                <w:sz w:val="17"/>
                              </w:rPr>
                              <w:t> </w:t>
                            </w:r>
                            <w:r>
                              <w:rPr>
                                <w:sz w:val="17"/>
                              </w:rPr>
                              <w:t>para</w:t>
                            </w:r>
                            <w:r>
                              <w:rPr>
                                <w:spacing w:val="-6"/>
                                <w:sz w:val="17"/>
                              </w:rPr>
                              <w:t> </w:t>
                            </w:r>
                            <w:r>
                              <w:rPr>
                                <w:sz w:val="17"/>
                              </w:rPr>
                              <w:t>carga</w:t>
                            </w:r>
                            <w:r>
                              <w:rPr>
                                <w:spacing w:val="-6"/>
                                <w:sz w:val="17"/>
                              </w:rPr>
                              <w:t> </w:t>
                            </w:r>
                            <w:r>
                              <w:rPr>
                                <w:sz w:val="17"/>
                              </w:rPr>
                              <w:t>de</w:t>
                            </w:r>
                            <w:r>
                              <w:rPr>
                                <w:spacing w:val="-4"/>
                                <w:sz w:val="17"/>
                              </w:rPr>
                              <w:t> </w:t>
                            </w:r>
                            <w:r>
                              <w:rPr>
                                <w:sz w:val="17"/>
                              </w:rPr>
                              <w:t>autobuses</w:t>
                            </w:r>
                            <w:r>
                              <w:rPr>
                                <w:spacing w:val="80"/>
                                <w:sz w:val="17"/>
                              </w:rPr>
                              <w:t> </w:t>
                            </w:r>
                            <w:r>
                              <w:rPr>
                                <w:sz w:val="17"/>
                              </w:rPr>
                              <w:t>material</w:t>
                            </w:r>
                            <w:r>
                              <w:rPr>
                                <w:spacing w:val="-5"/>
                                <w:sz w:val="17"/>
                              </w:rPr>
                              <w:t> </w:t>
                            </w:r>
                            <w:r>
                              <w:rPr>
                                <w:sz w:val="17"/>
                              </w:rPr>
                              <w:t>móvil</w:t>
                            </w:r>
                            <w:r>
                              <w:rPr>
                                <w:spacing w:val="-5"/>
                                <w:sz w:val="17"/>
                              </w:rPr>
                              <w:t> </w:t>
                            </w:r>
                            <w:r>
                              <w:rPr>
                                <w:sz w:val="17"/>
                              </w:rPr>
                              <w:t>e</w:t>
                            </w:r>
                          </w:p>
                        </w:tc>
                        <w:tc>
                          <w:tcPr>
                            <w:tcW w:w="1052" w:type="dxa"/>
                          </w:tcPr>
                          <w:p>
                            <w:pPr>
                              <w:pStyle w:val="TableParagraph"/>
                              <w:rPr>
                                <w:sz w:val="17"/>
                              </w:rPr>
                            </w:pPr>
                          </w:p>
                          <w:p>
                            <w:pPr>
                              <w:pStyle w:val="TableParagraph"/>
                              <w:spacing w:line="176" w:lineRule="exact"/>
                              <w:ind w:right="83"/>
                              <w:jc w:val="right"/>
                              <w:rPr>
                                <w:sz w:val="17"/>
                              </w:rPr>
                            </w:pPr>
                            <w:r>
                              <w:rPr>
                                <w:spacing w:val="-2"/>
                                <w:sz w:val="17"/>
                              </w:rPr>
                              <w:t>387.000,00</w:t>
                            </w:r>
                          </w:p>
                        </w:tc>
                        <w:tc>
                          <w:tcPr>
                            <w:tcW w:w="724" w:type="dxa"/>
                          </w:tcPr>
                          <w:p>
                            <w:pPr>
                              <w:pStyle w:val="TableParagraph"/>
                              <w:rPr>
                                <w:sz w:val="17"/>
                              </w:rPr>
                            </w:pPr>
                          </w:p>
                          <w:p>
                            <w:pPr>
                              <w:pStyle w:val="TableParagraph"/>
                              <w:spacing w:line="176" w:lineRule="exact"/>
                              <w:ind w:right="209"/>
                              <w:jc w:val="right"/>
                              <w:rPr>
                                <w:sz w:val="17"/>
                              </w:rPr>
                            </w:pPr>
                            <w:r>
                              <w:rPr>
                                <w:spacing w:val="-4"/>
                                <w:sz w:val="17"/>
                              </w:rPr>
                              <w:t>5,12</w:t>
                            </w:r>
                          </w:p>
                        </w:tc>
                        <w:tc>
                          <w:tcPr>
                            <w:tcW w:w="1125" w:type="dxa"/>
                          </w:tcPr>
                          <w:p>
                            <w:pPr>
                              <w:pStyle w:val="TableParagraph"/>
                              <w:spacing w:before="18"/>
                              <w:rPr>
                                <w:sz w:val="16"/>
                              </w:rPr>
                            </w:pPr>
                          </w:p>
                          <w:p>
                            <w:pPr>
                              <w:pStyle w:val="TableParagraph"/>
                              <w:spacing w:line="169" w:lineRule="exact"/>
                              <w:ind w:right="92"/>
                              <w:jc w:val="right"/>
                              <w:rPr>
                                <w:sz w:val="16"/>
                              </w:rPr>
                            </w:pPr>
                            <w:r>
                              <w:rPr>
                                <w:spacing w:val="-4"/>
                                <w:sz w:val="16"/>
                              </w:rPr>
                              <w:t>0,00</w:t>
                            </w:r>
                          </w:p>
                        </w:tc>
                        <w:tc>
                          <w:tcPr>
                            <w:tcW w:w="688" w:type="dxa"/>
                          </w:tcPr>
                          <w:p>
                            <w:pPr>
                              <w:pStyle w:val="TableParagraph"/>
                              <w:rPr>
                                <w:sz w:val="17"/>
                              </w:rPr>
                            </w:pPr>
                          </w:p>
                          <w:p>
                            <w:pPr>
                              <w:pStyle w:val="TableParagraph"/>
                              <w:spacing w:line="176" w:lineRule="exact"/>
                              <w:ind w:left="42"/>
                              <w:jc w:val="center"/>
                              <w:rPr>
                                <w:sz w:val="17"/>
                              </w:rPr>
                            </w:pPr>
                            <w:r>
                              <w:rPr>
                                <w:spacing w:val="-4"/>
                                <w:sz w:val="17"/>
                              </w:rPr>
                              <w:t>0,00</w:t>
                            </w:r>
                          </w:p>
                        </w:tc>
                        <w:tc>
                          <w:tcPr>
                            <w:tcW w:w="1127" w:type="dxa"/>
                          </w:tcPr>
                          <w:p>
                            <w:pPr>
                              <w:pStyle w:val="TableParagraph"/>
                              <w:rPr>
                                <w:sz w:val="17"/>
                              </w:rPr>
                            </w:pPr>
                          </w:p>
                          <w:p>
                            <w:pPr>
                              <w:pStyle w:val="TableParagraph"/>
                              <w:spacing w:line="176" w:lineRule="exact"/>
                              <w:ind w:right="120"/>
                              <w:jc w:val="right"/>
                              <w:rPr>
                                <w:sz w:val="17"/>
                              </w:rPr>
                            </w:pPr>
                            <w:r>
                              <w:rPr>
                                <w:spacing w:val="-2"/>
                                <w:sz w:val="17"/>
                              </w:rPr>
                              <w:t>348.300,00</w:t>
                            </w:r>
                          </w:p>
                        </w:tc>
                        <w:tc>
                          <w:tcPr>
                            <w:tcW w:w="663" w:type="dxa"/>
                          </w:tcPr>
                          <w:p>
                            <w:pPr>
                              <w:pStyle w:val="TableParagraph"/>
                              <w:rPr>
                                <w:sz w:val="17"/>
                              </w:rPr>
                            </w:pPr>
                          </w:p>
                          <w:p>
                            <w:pPr>
                              <w:pStyle w:val="TableParagraph"/>
                              <w:spacing w:line="176" w:lineRule="exact"/>
                              <w:ind w:left="23" w:right="73"/>
                              <w:jc w:val="center"/>
                              <w:rPr>
                                <w:sz w:val="17"/>
                              </w:rPr>
                            </w:pPr>
                            <w:r>
                              <w:rPr>
                                <w:spacing w:val="-2"/>
                                <w:sz w:val="17"/>
                              </w:rPr>
                              <w:t>90,00</w:t>
                            </w:r>
                          </w:p>
                        </w:tc>
                        <w:tc>
                          <w:tcPr>
                            <w:tcW w:w="1162" w:type="dxa"/>
                          </w:tcPr>
                          <w:p>
                            <w:pPr>
                              <w:pStyle w:val="TableParagraph"/>
                              <w:spacing w:before="18"/>
                              <w:rPr>
                                <w:sz w:val="16"/>
                              </w:rPr>
                            </w:pPr>
                          </w:p>
                          <w:p>
                            <w:pPr>
                              <w:pStyle w:val="TableParagraph"/>
                              <w:spacing w:line="169" w:lineRule="exact"/>
                              <w:ind w:right="149"/>
                              <w:jc w:val="right"/>
                              <w:rPr>
                                <w:sz w:val="16"/>
                              </w:rPr>
                            </w:pPr>
                            <w:r>
                              <w:rPr>
                                <w:spacing w:val="-2"/>
                                <w:sz w:val="16"/>
                              </w:rPr>
                              <w:t>38.700,00</w:t>
                            </w:r>
                          </w:p>
                        </w:tc>
                        <w:tc>
                          <w:tcPr>
                            <w:tcW w:w="641" w:type="dxa"/>
                          </w:tcPr>
                          <w:p>
                            <w:pPr>
                              <w:pStyle w:val="TableParagraph"/>
                              <w:spacing w:before="18"/>
                              <w:rPr>
                                <w:sz w:val="16"/>
                              </w:rPr>
                            </w:pPr>
                          </w:p>
                          <w:p>
                            <w:pPr>
                              <w:pStyle w:val="TableParagraph"/>
                              <w:spacing w:line="169" w:lineRule="exact"/>
                              <w:ind w:left="93" w:right="75"/>
                              <w:jc w:val="center"/>
                              <w:rPr>
                                <w:sz w:val="16"/>
                              </w:rPr>
                            </w:pPr>
                            <w:r>
                              <w:rPr>
                                <w:spacing w:val="-2"/>
                                <w:sz w:val="16"/>
                              </w:rPr>
                              <w:t>10,00</w:t>
                            </w:r>
                          </w:p>
                        </w:tc>
                        <w:tc>
                          <w:tcPr>
                            <w:tcW w:w="1144" w:type="dxa"/>
                          </w:tcPr>
                          <w:p>
                            <w:pPr>
                              <w:pStyle w:val="TableParagraph"/>
                              <w:spacing w:before="18"/>
                              <w:rPr>
                                <w:sz w:val="16"/>
                              </w:rPr>
                            </w:pPr>
                          </w:p>
                          <w:p>
                            <w:pPr>
                              <w:pStyle w:val="TableParagraph"/>
                              <w:spacing w:line="169" w:lineRule="exact"/>
                              <w:ind w:left="9" w:right="74"/>
                              <w:jc w:val="center"/>
                              <w:rPr>
                                <w:sz w:val="16"/>
                              </w:rPr>
                            </w:pPr>
                            <w:r>
                              <w:rPr>
                                <w:spacing w:val="-2"/>
                                <w:sz w:val="16"/>
                              </w:rPr>
                              <w:t>Finalizada</w:t>
                            </w:r>
                          </w:p>
                        </w:tc>
                      </w:tr>
                      <w:tr>
                        <w:trPr>
                          <w:trHeight w:val="294" w:hRule="atLeast"/>
                        </w:trPr>
                        <w:tc>
                          <w:tcPr>
                            <w:tcW w:w="2899" w:type="dxa"/>
                            <w:tcBorders>
                              <w:bottom w:val="single" w:sz="8" w:space="0" w:color="002D5D"/>
                            </w:tcBorders>
                          </w:tcPr>
                          <w:p>
                            <w:pPr>
                              <w:pStyle w:val="TableParagraph"/>
                              <w:tabs>
                                <w:tab w:pos="1769" w:val="left" w:leader="none"/>
                              </w:tabs>
                              <w:ind w:left="71"/>
                              <w:rPr>
                                <w:sz w:val="17"/>
                              </w:rPr>
                            </w:pPr>
                            <w:r>
                              <w:rPr>
                                <w:spacing w:val="-2"/>
                                <w:sz w:val="17"/>
                              </w:rPr>
                              <w:t>eléctricos</w:t>
                            </w:r>
                            <w:r>
                              <w:rPr>
                                <w:sz w:val="17"/>
                              </w:rPr>
                              <w:tab/>
                            </w:r>
                            <w:r>
                              <w:rPr>
                                <w:spacing w:val="-2"/>
                                <w:sz w:val="17"/>
                              </w:rPr>
                              <w:t>infraestructuras</w:t>
                            </w:r>
                          </w:p>
                        </w:tc>
                        <w:tc>
                          <w:tcPr>
                            <w:tcW w:w="1052" w:type="dxa"/>
                            <w:tcBorders>
                              <w:bottom w:val="single" w:sz="8" w:space="0" w:color="002D5D"/>
                            </w:tcBorders>
                          </w:tcPr>
                          <w:p>
                            <w:pPr>
                              <w:pStyle w:val="TableParagraph"/>
                              <w:rPr>
                                <w:rFonts w:ascii="Times New Roman"/>
                                <w:sz w:val="16"/>
                              </w:rPr>
                            </w:pPr>
                          </w:p>
                        </w:tc>
                        <w:tc>
                          <w:tcPr>
                            <w:tcW w:w="724" w:type="dxa"/>
                            <w:tcBorders>
                              <w:bottom w:val="single" w:sz="8" w:space="0" w:color="002D5D"/>
                            </w:tcBorders>
                          </w:tcPr>
                          <w:p>
                            <w:pPr>
                              <w:pStyle w:val="TableParagraph"/>
                              <w:rPr>
                                <w:rFonts w:ascii="Times New Roman"/>
                                <w:sz w:val="16"/>
                              </w:rPr>
                            </w:pPr>
                          </w:p>
                        </w:tc>
                        <w:tc>
                          <w:tcPr>
                            <w:tcW w:w="1125" w:type="dxa"/>
                            <w:tcBorders>
                              <w:bottom w:val="single" w:sz="8" w:space="0" w:color="002D5D"/>
                            </w:tcBorders>
                          </w:tcPr>
                          <w:p>
                            <w:pPr>
                              <w:pStyle w:val="TableParagraph"/>
                              <w:rPr>
                                <w:rFonts w:ascii="Times New Roman"/>
                                <w:sz w:val="16"/>
                              </w:rPr>
                            </w:pPr>
                          </w:p>
                        </w:tc>
                        <w:tc>
                          <w:tcPr>
                            <w:tcW w:w="688" w:type="dxa"/>
                            <w:tcBorders>
                              <w:bottom w:val="single" w:sz="8" w:space="0" w:color="002D5D"/>
                            </w:tcBorders>
                          </w:tcPr>
                          <w:p>
                            <w:pPr>
                              <w:pStyle w:val="TableParagraph"/>
                              <w:rPr>
                                <w:rFonts w:ascii="Times New Roman"/>
                                <w:sz w:val="16"/>
                              </w:rPr>
                            </w:pPr>
                          </w:p>
                        </w:tc>
                        <w:tc>
                          <w:tcPr>
                            <w:tcW w:w="1127" w:type="dxa"/>
                            <w:tcBorders>
                              <w:bottom w:val="single" w:sz="8" w:space="0" w:color="002D5D"/>
                            </w:tcBorders>
                          </w:tcPr>
                          <w:p>
                            <w:pPr>
                              <w:pStyle w:val="TableParagraph"/>
                              <w:rPr>
                                <w:rFonts w:ascii="Times New Roman"/>
                                <w:sz w:val="16"/>
                              </w:rPr>
                            </w:pPr>
                          </w:p>
                        </w:tc>
                        <w:tc>
                          <w:tcPr>
                            <w:tcW w:w="663" w:type="dxa"/>
                            <w:tcBorders>
                              <w:bottom w:val="single" w:sz="8" w:space="0" w:color="002D5D"/>
                            </w:tcBorders>
                          </w:tcPr>
                          <w:p>
                            <w:pPr>
                              <w:pStyle w:val="TableParagraph"/>
                              <w:rPr>
                                <w:rFonts w:ascii="Times New Roman"/>
                                <w:sz w:val="16"/>
                              </w:rPr>
                            </w:pPr>
                          </w:p>
                        </w:tc>
                        <w:tc>
                          <w:tcPr>
                            <w:tcW w:w="1162" w:type="dxa"/>
                            <w:tcBorders>
                              <w:bottom w:val="single" w:sz="8" w:space="0" w:color="002D5D"/>
                            </w:tcBorders>
                          </w:tcPr>
                          <w:p>
                            <w:pPr>
                              <w:pStyle w:val="TableParagraph"/>
                              <w:rPr>
                                <w:rFonts w:ascii="Times New Roman"/>
                                <w:sz w:val="16"/>
                              </w:rPr>
                            </w:pPr>
                          </w:p>
                        </w:tc>
                        <w:tc>
                          <w:tcPr>
                            <w:tcW w:w="641" w:type="dxa"/>
                            <w:tcBorders>
                              <w:bottom w:val="single" w:sz="8" w:space="0" w:color="002D5D"/>
                            </w:tcBorders>
                          </w:tcPr>
                          <w:p>
                            <w:pPr>
                              <w:pStyle w:val="TableParagraph"/>
                              <w:rPr>
                                <w:rFonts w:ascii="Times New Roman"/>
                                <w:sz w:val="16"/>
                              </w:rPr>
                            </w:pPr>
                          </w:p>
                        </w:tc>
                        <w:tc>
                          <w:tcPr>
                            <w:tcW w:w="1144" w:type="dxa"/>
                            <w:tcBorders>
                              <w:bottom w:val="single" w:sz="8" w:space="0" w:color="002D5D"/>
                            </w:tcBorders>
                          </w:tcPr>
                          <w:p>
                            <w:pPr>
                              <w:pStyle w:val="TableParagraph"/>
                              <w:rPr>
                                <w:rFonts w:ascii="Times New Roman"/>
                                <w:sz w:val="16"/>
                              </w:rPr>
                            </w:pPr>
                          </w:p>
                        </w:tc>
                      </w:tr>
                      <w:tr>
                        <w:trPr>
                          <w:trHeight w:val="489" w:hRule="atLeast"/>
                        </w:trPr>
                        <w:tc>
                          <w:tcPr>
                            <w:tcW w:w="2899" w:type="dxa"/>
                            <w:tcBorders>
                              <w:top w:val="single" w:sz="8" w:space="0" w:color="002D5D"/>
                            </w:tcBorders>
                          </w:tcPr>
                          <w:p>
                            <w:pPr>
                              <w:pStyle w:val="TableParagraph"/>
                              <w:tabs>
                                <w:tab w:pos="1769" w:val="left" w:leader="none"/>
                              </w:tabs>
                              <w:spacing w:line="194" w:lineRule="exact" w:before="82"/>
                              <w:ind w:left="71" w:right="152"/>
                              <w:rPr>
                                <w:sz w:val="17"/>
                              </w:rPr>
                            </w:pPr>
                            <w:r>
                              <w:rPr>
                                <w:sz w:val="17"/>
                              </w:rPr>
                              <w:t>Renovación</w:t>
                            </w:r>
                            <w:r>
                              <w:rPr>
                                <w:spacing w:val="-4"/>
                                <w:sz w:val="17"/>
                              </w:rPr>
                              <w:t> </w:t>
                            </w:r>
                            <w:r>
                              <w:rPr>
                                <w:sz w:val="17"/>
                              </w:rPr>
                              <w:t>flota</w:t>
                              <w:tab/>
                            </w:r>
                            <w:r>
                              <w:rPr>
                                <w:spacing w:val="-2"/>
                                <w:sz w:val="17"/>
                              </w:rPr>
                              <w:t>Adquisición</w:t>
                            </w:r>
                            <w:r>
                              <w:rPr>
                                <w:spacing w:val="40"/>
                                <w:sz w:val="17"/>
                              </w:rPr>
                              <w:t> </w:t>
                            </w:r>
                            <w:r>
                              <w:rPr>
                                <w:sz w:val="17"/>
                              </w:rPr>
                              <w:t>incorporando</w:t>
                            </w:r>
                            <w:r>
                              <w:rPr>
                                <w:spacing w:val="-2"/>
                                <w:sz w:val="17"/>
                              </w:rPr>
                              <w:t> </w:t>
                            </w:r>
                            <w:r>
                              <w:rPr>
                                <w:sz w:val="17"/>
                              </w:rPr>
                              <w:t>unidades</w:t>
                              <w:tab/>
                              <w:t>material</w:t>
                            </w:r>
                            <w:r>
                              <w:rPr>
                                <w:spacing w:val="-10"/>
                                <w:sz w:val="17"/>
                              </w:rPr>
                              <w:t> </w:t>
                            </w:r>
                            <w:r>
                              <w:rPr>
                                <w:sz w:val="17"/>
                              </w:rPr>
                              <w:t>móvil</w:t>
                            </w:r>
                            <w:r>
                              <w:rPr>
                                <w:spacing w:val="-10"/>
                                <w:sz w:val="17"/>
                              </w:rPr>
                              <w:t> </w:t>
                            </w:r>
                            <w:r>
                              <w:rPr>
                                <w:sz w:val="17"/>
                              </w:rPr>
                              <w:t>e</w:t>
                            </w:r>
                          </w:p>
                        </w:tc>
                        <w:tc>
                          <w:tcPr>
                            <w:tcW w:w="1052" w:type="dxa"/>
                            <w:tcBorders>
                              <w:top w:val="single" w:sz="8" w:space="0" w:color="002D5D"/>
                            </w:tcBorders>
                          </w:tcPr>
                          <w:p>
                            <w:pPr>
                              <w:pStyle w:val="TableParagraph"/>
                              <w:spacing w:before="98"/>
                              <w:rPr>
                                <w:sz w:val="17"/>
                              </w:rPr>
                            </w:pPr>
                          </w:p>
                          <w:p>
                            <w:pPr>
                              <w:pStyle w:val="TableParagraph"/>
                              <w:spacing w:line="176" w:lineRule="exact" w:before="1"/>
                              <w:ind w:right="83"/>
                              <w:jc w:val="right"/>
                              <w:rPr>
                                <w:sz w:val="17"/>
                              </w:rPr>
                            </w:pPr>
                            <w:r>
                              <w:rPr>
                                <w:spacing w:val="-2"/>
                                <w:sz w:val="17"/>
                              </w:rPr>
                              <w:t>6.580.883,58</w:t>
                            </w:r>
                          </w:p>
                        </w:tc>
                        <w:tc>
                          <w:tcPr>
                            <w:tcW w:w="724" w:type="dxa"/>
                            <w:tcBorders>
                              <w:top w:val="single" w:sz="8" w:space="0" w:color="002D5D"/>
                            </w:tcBorders>
                          </w:tcPr>
                          <w:p>
                            <w:pPr>
                              <w:pStyle w:val="TableParagraph"/>
                              <w:spacing w:before="98"/>
                              <w:rPr>
                                <w:sz w:val="17"/>
                              </w:rPr>
                            </w:pPr>
                          </w:p>
                          <w:p>
                            <w:pPr>
                              <w:pStyle w:val="TableParagraph"/>
                              <w:spacing w:line="176" w:lineRule="exact" w:before="1"/>
                              <w:ind w:right="209"/>
                              <w:jc w:val="right"/>
                              <w:rPr>
                                <w:sz w:val="17"/>
                              </w:rPr>
                            </w:pPr>
                            <w:r>
                              <w:rPr>
                                <w:spacing w:val="-2"/>
                                <w:sz w:val="17"/>
                              </w:rPr>
                              <w:t>86,99</w:t>
                            </w:r>
                          </w:p>
                        </w:tc>
                        <w:tc>
                          <w:tcPr>
                            <w:tcW w:w="1125" w:type="dxa"/>
                            <w:tcBorders>
                              <w:top w:val="single" w:sz="8" w:space="0" w:color="002D5D"/>
                            </w:tcBorders>
                          </w:tcPr>
                          <w:p>
                            <w:pPr>
                              <w:pStyle w:val="TableParagraph"/>
                              <w:spacing w:before="117"/>
                              <w:rPr>
                                <w:sz w:val="16"/>
                              </w:rPr>
                            </w:pPr>
                          </w:p>
                          <w:p>
                            <w:pPr>
                              <w:pStyle w:val="TableParagraph"/>
                              <w:spacing w:line="169" w:lineRule="exact"/>
                              <w:ind w:right="93"/>
                              <w:jc w:val="right"/>
                              <w:rPr>
                                <w:sz w:val="16"/>
                              </w:rPr>
                            </w:pPr>
                            <w:r>
                              <w:rPr>
                                <w:spacing w:val="-2"/>
                                <w:sz w:val="16"/>
                              </w:rPr>
                              <w:t>447.234,59</w:t>
                            </w:r>
                          </w:p>
                        </w:tc>
                        <w:tc>
                          <w:tcPr>
                            <w:tcW w:w="688" w:type="dxa"/>
                            <w:tcBorders>
                              <w:top w:val="single" w:sz="8" w:space="0" w:color="002D5D"/>
                            </w:tcBorders>
                          </w:tcPr>
                          <w:p>
                            <w:pPr>
                              <w:pStyle w:val="TableParagraph"/>
                              <w:spacing w:before="98"/>
                              <w:rPr>
                                <w:sz w:val="17"/>
                              </w:rPr>
                            </w:pPr>
                          </w:p>
                          <w:p>
                            <w:pPr>
                              <w:pStyle w:val="TableParagraph"/>
                              <w:spacing w:line="176" w:lineRule="exact" w:before="1"/>
                              <w:ind w:left="50" w:right="82"/>
                              <w:jc w:val="center"/>
                              <w:rPr>
                                <w:sz w:val="17"/>
                              </w:rPr>
                            </w:pPr>
                            <w:r>
                              <w:rPr>
                                <w:spacing w:val="-4"/>
                                <w:sz w:val="17"/>
                              </w:rPr>
                              <w:t>6,80</w:t>
                            </w:r>
                          </w:p>
                        </w:tc>
                        <w:tc>
                          <w:tcPr>
                            <w:tcW w:w="1127" w:type="dxa"/>
                            <w:tcBorders>
                              <w:top w:val="single" w:sz="8" w:space="0" w:color="002D5D"/>
                            </w:tcBorders>
                          </w:tcPr>
                          <w:p>
                            <w:pPr>
                              <w:pStyle w:val="TableParagraph"/>
                              <w:spacing w:before="98"/>
                              <w:rPr>
                                <w:sz w:val="17"/>
                              </w:rPr>
                            </w:pPr>
                          </w:p>
                          <w:p>
                            <w:pPr>
                              <w:pStyle w:val="TableParagraph"/>
                              <w:spacing w:line="176" w:lineRule="exact" w:before="1"/>
                              <w:ind w:right="120"/>
                              <w:jc w:val="right"/>
                              <w:rPr>
                                <w:sz w:val="17"/>
                              </w:rPr>
                            </w:pPr>
                            <w:r>
                              <w:rPr>
                                <w:spacing w:val="-2"/>
                                <w:sz w:val="17"/>
                              </w:rPr>
                              <w:t>2.680.000,00</w:t>
                            </w:r>
                          </w:p>
                        </w:tc>
                        <w:tc>
                          <w:tcPr>
                            <w:tcW w:w="663" w:type="dxa"/>
                            <w:tcBorders>
                              <w:top w:val="single" w:sz="8" w:space="0" w:color="002D5D"/>
                            </w:tcBorders>
                          </w:tcPr>
                          <w:p>
                            <w:pPr>
                              <w:pStyle w:val="TableParagraph"/>
                              <w:spacing w:before="98"/>
                              <w:rPr>
                                <w:sz w:val="17"/>
                              </w:rPr>
                            </w:pPr>
                          </w:p>
                          <w:p>
                            <w:pPr>
                              <w:pStyle w:val="TableParagraph"/>
                              <w:spacing w:line="176" w:lineRule="exact" w:before="1"/>
                              <w:ind w:left="23" w:right="73"/>
                              <w:jc w:val="center"/>
                              <w:rPr>
                                <w:sz w:val="17"/>
                              </w:rPr>
                            </w:pPr>
                            <w:r>
                              <w:rPr>
                                <w:spacing w:val="-2"/>
                                <w:sz w:val="17"/>
                              </w:rPr>
                              <w:t>40,72</w:t>
                            </w:r>
                          </w:p>
                        </w:tc>
                        <w:tc>
                          <w:tcPr>
                            <w:tcW w:w="1162" w:type="dxa"/>
                            <w:tcBorders>
                              <w:top w:val="single" w:sz="8" w:space="0" w:color="002D5D"/>
                            </w:tcBorders>
                          </w:tcPr>
                          <w:p>
                            <w:pPr>
                              <w:pStyle w:val="TableParagraph"/>
                              <w:spacing w:before="117"/>
                              <w:rPr>
                                <w:sz w:val="16"/>
                              </w:rPr>
                            </w:pPr>
                          </w:p>
                          <w:p>
                            <w:pPr>
                              <w:pStyle w:val="TableParagraph"/>
                              <w:spacing w:line="169" w:lineRule="exact"/>
                              <w:ind w:right="149"/>
                              <w:jc w:val="right"/>
                              <w:rPr>
                                <w:sz w:val="16"/>
                              </w:rPr>
                            </w:pPr>
                            <w:r>
                              <w:rPr>
                                <w:spacing w:val="-2"/>
                                <w:sz w:val="16"/>
                              </w:rPr>
                              <w:t>3.453.648,99</w:t>
                            </w:r>
                          </w:p>
                        </w:tc>
                        <w:tc>
                          <w:tcPr>
                            <w:tcW w:w="641" w:type="dxa"/>
                            <w:tcBorders>
                              <w:top w:val="single" w:sz="8" w:space="0" w:color="002D5D"/>
                            </w:tcBorders>
                          </w:tcPr>
                          <w:p>
                            <w:pPr>
                              <w:pStyle w:val="TableParagraph"/>
                              <w:spacing w:before="117"/>
                              <w:rPr>
                                <w:sz w:val="16"/>
                              </w:rPr>
                            </w:pPr>
                          </w:p>
                          <w:p>
                            <w:pPr>
                              <w:pStyle w:val="TableParagraph"/>
                              <w:spacing w:line="169" w:lineRule="exact"/>
                              <w:ind w:left="93" w:right="75"/>
                              <w:jc w:val="center"/>
                              <w:rPr>
                                <w:sz w:val="16"/>
                              </w:rPr>
                            </w:pPr>
                            <w:r>
                              <w:rPr>
                                <w:spacing w:val="-2"/>
                                <w:sz w:val="16"/>
                              </w:rPr>
                              <w:t>52,48</w:t>
                            </w:r>
                          </w:p>
                        </w:tc>
                        <w:tc>
                          <w:tcPr>
                            <w:tcW w:w="1144" w:type="dxa"/>
                            <w:tcBorders>
                              <w:top w:val="single" w:sz="8" w:space="0" w:color="002D5D"/>
                            </w:tcBorders>
                          </w:tcPr>
                          <w:p>
                            <w:pPr>
                              <w:pStyle w:val="TableParagraph"/>
                              <w:spacing w:before="117"/>
                              <w:rPr>
                                <w:sz w:val="16"/>
                              </w:rPr>
                            </w:pPr>
                          </w:p>
                          <w:p>
                            <w:pPr>
                              <w:pStyle w:val="TableParagraph"/>
                              <w:spacing w:line="169" w:lineRule="exact"/>
                              <w:ind w:left="9" w:right="74"/>
                              <w:jc w:val="center"/>
                              <w:rPr>
                                <w:sz w:val="16"/>
                              </w:rPr>
                            </w:pPr>
                            <w:r>
                              <w:rPr>
                                <w:sz w:val="16"/>
                              </w:rPr>
                              <w:t>En</w:t>
                            </w:r>
                            <w:r>
                              <w:rPr>
                                <w:spacing w:val="-2"/>
                                <w:sz w:val="16"/>
                              </w:rPr>
                              <w:t> ejecución</w:t>
                            </w:r>
                          </w:p>
                        </w:tc>
                      </w:tr>
                      <w:tr>
                        <w:trPr>
                          <w:trHeight w:val="294" w:hRule="atLeast"/>
                        </w:trPr>
                        <w:tc>
                          <w:tcPr>
                            <w:tcW w:w="2899" w:type="dxa"/>
                            <w:tcBorders>
                              <w:bottom w:val="single" w:sz="8" w:space="0" w:color="002D5D"/>
                            </w:tcBorders>
                          </w:tcPr>
                          <w:p>
                            <w:pPr>
                              <w:pStyle w:val="TableParagraph"/>
                              <w:tabs>
                                <w:tab w:pos="1769" w:val="left" w:leader="none"/>
                              </w:tabs>
                              <w:ind w:left="71"/>
                              <w:rPr>
                                <w:sz w:val="17"/>
                              </w:rPr>
                            </w:pPr>
                            <w:r>
                              <w:rPr>
                                <w:sz w:val="17"/>
                              </w:rPr>
                              <w:t>100%</w:t>
                            </w:r>
                            <w:r>
                              <w:rPr>
                                <w:spacing w:val="-5"/>
                                <w:sz w:val="17"/>
                              </w:rPr>
                              <w:t> </w:t>
                            </w:r>
                            <w:r>
                              <w:rPr>
                                <w:spacing w:val="-2"/>
                                <w:sz w:val="17"/>
                              </w:rPr>
                              <w:t>eléctricas</w:t>
                            </w:r>
                            <w:r>
                              <w:rPr>
                                <w:sz w:val="17"/>
                              </w:rPr>
                              <w:tab/>
                            </w:r>
                            <w:r>
                              <w:rPr>
                                <w:spacing w:val="-2"/>
                                <w:sz w:val="17"/>
                              </w:rPr>
                              <w:t>infraestructuras</w:t>
                            </w:r>
                          </w:p>
                        </w:tc>
                        <w:tc>
                          <w:tcPr>
                            <w:tcW w:w="1052" w:type="dxa"/>
                            <w:tcBorders>
                              <w:bottom w:val="single" w:sz="8" w:space="0" w:color="002D5D"/>
                            </w:tcBorders>
                          </w:tcPr>
                          <w:p>
                            <w:pPr>
                              <w:pStyle w:val="TableParagraph"/>
                              <w:rPr>
                                <w:rFonts w:ascii="Times New Roman"/>
                                <w:sz w:val="16"/>
                              </w:rPr>
                            </w:pPr>
                          </w:p>
                        </w:tc>
                        <w:tc>
                          <w:tcPr>
                            <w:tcW w:w="724" w:type="dxa"/>
                            <w:tcBorders>
                              <w:bottom w:val="single" w:sz="8" w:space="0" w:color="002D5D"/>
                            </w:tcBorders>
                          </w:tcPr>
                          <w:p>
                            <w:pPr>
                              <w:pStyle w:val="TableParagraph"/>
                              <w:rPr>
                                <w:rFonts w:ascii="Times New Roman"/>
                                <w:sz w:val="16"/>
                              </w:rPr>
                            </w:pPr>
                          </w:p>
                        </w:tc>
                        <w:tc>
                          <w:tcPr>
                            <w:tcW w:w="1125" w:type="dxa"/>
                            <w:tcBorders>
                              <w:bottom w:val="single" w:sz="8" w:space="0" w:color="002D5D"/>
                            </w:tcBorders>
                          </w:tcPr>
                          <w:p>
                            <w:pPr>
                              <w:pStyle w:val="TableParagraph"/>
                              <w:rPr>
                                <w:rFonts w:ascii="Times New Roman"/>
                                <w:sz w:val="16"/>
                              </w:rPr>
                            </w:pPr>
                          </w:p>
                        </w:tc>
                        <w:tc>
                          <w:tcPr>
                            <w:tcW w:w="688" w:type="dxa"/>
                            <w:tcBorders>
                              <w:bottom w:val="single" w:sz="8" w:space="0" w:color="002D5D"/>
                            </w:tcBorders>
                          </w:tcPr>
                          <w:p>
                            <w:pPr>
                              <w:pStyle w:val="TableParagraph"/>
                              <w:rPr>
                                <w:rFonts w:ascii="Times New Roman"/>
                                <w:sz w:val="16"/>
                              </w:rPr>
                            </w:pPr>
                          </w:p>
                        </w:tc>
                        <w:tc>
                          <w:tcPr>
                            <w:tcW w:w="1127" w:type="dxa"/>
                            <w:tcBorders>
                              <w:bottom w:val="single" w:sz="8" w:space="0" w:color="002D5D"/>
                            </w:tcBorders>
                          </w:tcPr>
                          <w:p>
                            <w:pPr>
                              <w:pStyle w:val="TableParagraph"/>
                              <w:rPr>
                                <w:rFonts w:ascii="Times New Roman"/>
                                <w:sz w:val="16"/>
                              </w:rPr>
                            </w:pPr>
                          </w:p>
                        </w:tc>
                        <w:tc>
                          <w:tcPr>
                            <w:tcW w:w="663" w:type="dxa"/>
                            <w:tcBorders>
                              <w:bottom w:val="single" w:sz="8" w:space="0" w:color="002D5D"/>
                            </w:tcBorders>
                          </w:tcPr>
                          <w:p>
                            <w:pPr>
                              <w:pStyle w:val="TableParagraph"/>
                              <w:rPr>
                                <w:rFonts w:ascii="Times New Roman"/>
                                <w:sz w:val="16"/>
                              </w:rPr>
                            </w:pPr>
                          </w:p>
                        </w:tc>
                        <w:tc>
                          <w:tcPr>
                            <w:tcW w:w="1162" w:type="dxa"/>
                            <w:tcBorders>
                              <w:bottom w:val="single" w:sz="8" w:space="0" w:color="002D5D"/>
                            </w:tcBorders>
                          </w:tcPr>
                          <w:p>
                            <w:pPr>
                              <w:pStyle w:val="TableParagraph"/>
                              <w:rPr>
                                <w:rFonts w:ascii="Times New Roman"/>
                                <w:sz w:val="16"/>
                              </w:rPr>
                            </w:pPr>
                          </w:p>
                        </w:tc>
                        <w:tc>
                          <w:tcPr>
                            <w:tcW w:w="641" w:type="dxa"/>
                            <w:tcBorders>
                              <w:bottom w:val="single" w:sz="8" w:space="0" w:color="002D5D"/>
                            </w:tcBorders>
                          </w:tcPr>
                          <w:p>
                            <w:pPr>
                              <w:pStyle w:val="TableParagraph"/>
                              <w:rPr>
                                <w:rFonts w:ascii="Times New Roman"/>
                                <w:sz w:val="16"/>
                              </w:rPr>
                            </w:pPr>
                          </w:p>
                        </w:tc>
                        <w:tc>
                          <w:tcPr>
                            <w:tcW w:w="1144" w:type="dxa"/>
                            <w:tcBorders>
                              <w:bottom w:val="single" w:sz="8" w:space="0" w:color="002D5D"/>
                            </w:tcBorders>
                          </w:tcPr>
                          <w:p>
                            <w:pPr>
                              <w:pStyle w:val="TableParagraph"/>
                              <w:rPr>
                                <w:rFonts w:ascii="Times New Roman"/>
                                <w:sz w:val="16"/>
                              </w:rPr>
                            </w:pPr>
                          </w:p>
                        </w:tc>
                      </w:tr>
                      <w:tr>
                        <w:trPr>
                          <w:trHeight w:val="783" w:hRule="atLeast"/>
                        </w:trPr>
                        <w:tc>
                          <w:tcPr>
                            <w:tcW w:w="2899" w:type="dxa"/>
                            <w:tcBorders>
                              <w:top w:val="single" w:sz="8" w:space="0" w:color="002D5D"/>
                              <w:bottom w:val="single" w:sz="8" w:space="0" w:color="002D5D"/>
                            </w:tcBorders>
                          </w:tcPr>
                          <w:p>
                            <w:pPr>
                              <w:pStyle w:val="TableParagraph"/>
                              <w:spacing w:line="195" w:lineRule="exact" w:before="3"/>
                              <w:ind w:left="71"/>
                              <w:rPr>
                                <w:sz w:val="17"/>
                              </w:rPr>
                            </w:pPr>
                            <w:r>
                              <w:rPr>
                                <w:sz w:val="17"/>
                              </w:rPr>
                              <w:t>Obras</w:t>
                            </w:r>
                            <w:r>
                              <w:rPr>
                                <w:spacing w:val="-3"/>
                                <w:sz w:val="17"/>
                              </w:rPr>
                              <w:t> </w:t>
                            </w:r>
                            <w:r>
                              <w:rPr>
                                <w:sz w:val="17"/>
                              </w:rPr>
                              <w:t>para</w:t>
                            </w:r>
                            <w:r>
                              <w:rPr>
                                <w:spacing w:val="-3"/>
                                <w:sz w:val="17"/>
                              </w:rPr>
                              <w:t> </w:t>
                            </w:r>
                            <w:r>
                              <w:rPr>
                                <w:sz w:val="17"/>
                              </w:rPr>
                              <w:t>la</w:t>
                            </w:r>
                            <w:r>
                              <w:rPr>
                                <w:spacing w:val="-3"/>
                                <w:sz w:val="17"/>
                              </w:rPr>
                              <w:t> </w:t>
                            </w:r>
                            <w:r>
                              <w:rPr>
                                <w:sz w:val="17"/>
                              </w:rPr>
                              <w:t>mejora</w:t>
                            </w:r>
                            <w:r>
                              <w:rPr>
                                <w:spacing w:val="-2"/>
                                <w:sz w:val="17"/>
                              </w:rPr>
                              <w:t> </w:t>
                            </w:r>
                            <w:r>
                              <w:rPr>
                                <w:spacing w:val="-5"/>
                                <w:sz w:val="17"/>
                              </w:rPr>
                              <w:t>de</w:t>
                            </w:r>
                          </w:p>
                          <w:p>
                            <w:pPr>
                              <w:pStyle w:val="TableParagraph"/>
                              <w:tabs>
                                <w:tab w:pos="1769" w:val="left" w:leader="none"/>
                              </w:tabs>
                              <w:ind w:left="71"/>
                              <w:rPr>
                                <w:position w:val="-9"/>
                                <w:sz w:val="17"/>
                              </w:rPr>
                            </w:pPr>
                            <w:r>
                              <w:rPr>
                                <w:sz w:val="17"/>
                              </w:rPr>
                              <w:t>la</w:t>
                            </w:r>
                            <w:r>
                              <w:rPr>
                                <w:spacing w:val="-4"/>
                                <w:sz w:val="17"/>
                              </w:rPr>
                              <w:t> </w:t>
                            </w:r>
                            <w:r>
                              <w:rPr>
                                <w:sz w:val="17"/>
                              </w:rPr>
                              <w:t>accesibilidad</w:t>
                            </w:r>
                            <w:r>
                              <w:rPr>
                                <w:spacing w:val="-4"/>
                                <w:sz w:val="17"/>
                              </w:rPr>
                              <w:t> </w:t>
                            </w:r>
                            <w:r>
                              <w:rPr>
                                <w:sz w:val="17"/>
                              </w:rPr>
                              <w:t>de</w:t>
                            </w:r>
                            <w:r>
                              <w:rPr>
                                <w:spacing w:val="-4"/>
                                <w:sz w:val="17"/>
                              </w:rPr>
                              <w:t> </w:t>
                            </w:r>
                            <w:r>
                              <w:rPr>
                                <w:spacing w:val="-5"/>
                                <w:sz w:val="17"/>
                              </w:rPr>
                              <w:t>los</w:t>
                            </w:r>
                            <w:r>
                              <w:rPr>
                                <w:sz w:val="17"/>
                              </w:rPr>
                              <w:tab/>
                            </w:r>
                            <w:r>
                              <w:rPr>
                                <w:spacing w:val="-2"/>
                                <w:position w:val="-9"/>
                                <w:sz w:val="17"/>
                              </w:rPr>
                              <w:t>Obras</w:t>
                            </w:r>
                          </w:p>
                          <w:p>
                            <w:pPr>
                              <w:pStyle w:val="TableParagraph"/>
                              <w:spacing w:line="177" w:lineRule="exact" w:before="94"/>
                              <w:ind w:left="71"/>
                              <w:rPr>
                                <w:sz w:val="17"/>
                              </w:rPr>
                            </w:pPr>
                            <w:r>
                              <w:rPr>
                                <w:spacing w:val="-2"/>
                                <w:sz w:val="17"/>
                              </w:rPr>
                              <w:t>paradas</w:t>
                            </w:r>
                          </w:p>
                        </w:tc>
                        <w:tc>
                          <w:tcPr>
                            <w:tcW w:w="1052" w:type="dxa"/>
                            <w:tcBorders>
                              <w:top w:val="single" w:sz="8" w:space="0" w:color="002D5D"/>
                              <w:bottom w:val="single" w:sz="8" w:space="0" w:color="002D5D"/>
                            </w:tcBorders>
                          </w:tcPr>
                          <w:p>
                            <w:pPr>
                              <w:pStyle w:val="TableParagraph"/>
                              <w:spacing w:before="98"/>
                              <w:rPr>
                                <w:sz w:val="17"/>
                              </w:rPr>
                            </w:pPr>
                          </w:p>
                          <w:p>
                            <w:pPr>
                              <w:pStyle w:val="TableParagraph"/>
                              <w:spacing w:before="1"/>
                              <w:ind w:right="83"/>
                              <w:jc w:val="right"/>
                              <w:rPr>
                                <w:sz w:val="17"/>
                              </w:rPr>
                            </w:pPr>
                            <w:r>
                              <w:rPr>
                                <w:spacing w:val="-2"/>
                                <w:sz w:val="17"/>
                              </w:rPr>
                              <w:t>493.443,59</w:t>
                            </w:r>
                          </w:p>
                        </w:tc>
                        <w:tc>
                          <w:tcPr>
                            <w:tcW w:w="724" w:type="dxa"/>
                            <w:tcBorders>
                              <w:top w:val="single" w:sz="8" w:space="0" w:color="002D5D"/>
                              <w:bottom w:val="single" w:sz="8" w:space="0" w:color="002D5D"/>
                            </w:tcBorders>
                          </w:tcPr>
                          <w:p>
                            <w:pPr>
                              <w:pStyle w:val="TableParagraph"/>
                              <w:spacing w:before="98"/>
                              <w:rPr>
                                <w:sz w:val="17"/>
                              </w:rPr>
                            </w:pPr>
                          </w:p>
                          <w:p>
                            <w:pPr>
                              <w:pStyle w:val="TableParagraph"/>
                              <w:spacing w:before="1"/>
                              <w:ind w:right="209"/>
                              <w:jc w:val="right"/>
                              <w:rPr>
                                <w:sz w:val="17"/>
                              </w:rPr>
                            </w:pPr>
                            <w:r>
                              <w:rPr>
                                <w:spacing w:val="-4"/>
                                <w:sz w:val="17"/>
                              </w:rPr>
                              <w:t>6,52</w:t>
                            </w:r>
                          </w:p>
                        </w:tc>
                        <w:tc>
                          <w:tcPr>
                            <w:tcW w:w="1125" w:type="dxa"/>
                            <w:tcBorders>
                              <w:top w:val="single" w:sz="8" w:space="0" w:color="002D5D"/>
                              <w:bottom w:val="single" w:sz="8" w:space="0" w:color="002D5D"/>
                            </w:tcBorders>
                          </w:tcPr>
                          <w:p>
                            <w:pPr>
                              <w:pStyle w:val="TableParagraph"/>
                              <w:spacing w:before="98"/>
                              <w:rPr>
                                <w:sz w:val="17"/>
                              </w:rPr>
                            </w:pPr>
                          </w:p>
                          <w:p>
                            <w:pPr>
                              <w:pStyle w:val="TableParagraph"/>
                              <w:spacing w:before="1"/>
                              <w:ind w:right="96"/>
                              <w:jc w:val="right"/>
                              <w:rPr>
                                <w:sz w:val="17"/>
                              </w:rPr>
                            </w:pPr>
                            <w:r>
                              <w:rPr>
                                <w:spacing w:val="-2"/>
                                <w:sz w:val="17"/>
                              </w:rPr>
                              <w:t>493.443,59</w:t>
                            </w:r>
                          </w:p>
                        </w:tc>
                        <w:tc>
                          <w:tcPr>
                            <w:tcW w:w="688" w:type="dxa"/>
                            <w:tcBorders>
                              <w:top w:val="single" w:sz="8" w:space="0" w:color="002D5D"/>
                              <w:bottom w:val="single" w:sz="8" w:space="0" w:color="002D5D"/>
                            </w:tcBorders>
                          </w:tcPr>
                          <w:p>
                            <w:pPr>
                              <w:pStyle w:val="TableParagraph"/>
                              <w:spacing w:before="117"/>
                              <w:rPr>
                                <w:sz w:val="16"/>
                              </w:rPr>
                            </w:pPr>
                          </w:p>
                          <w:p>
                            <w:pPr>
                              <w:pStyle w:val="TableParagraph"/>
                              <w:ind w:left="42" w:right="124"/>
                              <w:jc w:val="center"/>
                              <w:rPr>
                                <w:sz w:val="16"/>
                              </w:rPr>
                            </w:pPr>
                            <w:r>
                              <w:rPr>
                                <w:spacing w:val="-2"/>
                                <w:sz w:val="16"/>
                              </w:rPr>
                              <w:t>100,00</w:t>
                            </w:r>
                          </w:p>
                        </w:tc>
                        <w:tc>
                          <w:tcPr>
                            <w:tcW w:w="1127" w:type="dxa"/>
                            <w:tcBorders>
                              <w:top w:val="single" w:sz="8" w:space="0" w:color="002D5D"/>
                              <w:bottom w:val="single" w:sz="8" w:space="0" w:color="002D5D"/>
                            </w:tcBorders>
                          </w:tcPr>
                          <w:p>
                            <w:pPr>
                              <w:pStyle w:val="TableParagraph"/>
                              <w:spacing w:before="98"/>
                              <w:rPr>
                                <w:sz w:val="17"/>
                              </w:rPr>
                            </w:pPr>
                          </w:p>
                          <w:p>
                            <w:pPr>
                              <w:pStyle w:val="TableParagraph"/>
                              <w:spacing w:before="1"/>
                              <w:ind w:right="120"/>
                              <w:jc w:val="right"/>
                              <w:rPr>
                                <w:sz w:val="17"/>
                              </w:rPr>
                            </w:pPr>
                            <w:r>
                              <w:rPr>
                                <w:spacing w:val="-4"/>
                                <w:sz w:val="17"/>
                              </w:rPr>
                              <w:t>0,00</w:t>
                            </w:r>
                          </w:p>
                        </w:tc>
                        <w:tc>
                          <w:tcPr>
                            <w:tcW w:w="663" w:type="dxa"/>
                            <w:tcBorders>
                              <w:top w:val="single" w:sz="8" w:space="0" w:color="002D5D"/>
                              <w:bottom w:val="single" w:sz="8" w:space="0" w:color="002D5D"/>
                            </w:tcBorders>
                          </w:tcPr>
                          <w:p>
                            <w:pPr>
                              <w:pStyle w:val="TableParagraph"/>
                              <w:spacing w:before="98"/>
                              <w:rPr>
                                <w:sz w:val="17"/>
                              </w:rPr>
                            </w:pPr>
                          </w:p>
                          <w:p>
                            <w:pPr>
                              <w:pStyle w:val="TableParagraph"/>
                              <w:spacing w:before="1"/>
                              <w:ind w:left="73" w:right="50"/>
                              <w:jc w:val="center"/>
                              <w:rPr>
                                <w:sz w:val="17"/>
                              </w:rPr>
                            </w:pPr>
                            <w:r>
                              <w:rPr>
                                <w:spacing w:val="-4"/>
                                <w:sz w:val="17"/>
                              </w:rPr>
                              <w:t>0,00</w:t>
                            </w:r>
                          </w:p>
                        </w:tc>
                        <w:tc>
                          <w:tcPr>
                            <w:tcW w:w="1162" w:type="dxa"/>
                            <w:tcBorders>
                              <w:top w:val="single" w:sz="8" w:space="0" w:color="002D5D"/>
                              <w:bottom w:val="single" w:sz="8" w:space="0" w:color="002D5D"/>
                            </w:tcBorders>
                          </w:tcPr>
                          <w:p>
                            <w:pPr>
                              <w:pStyle w:val="TableParagraph"/>
                              <w:spacing w:before="117"/>
                              <w:rPr>
                                <w:sz w:val="16"/>
                              </w:rPr>
                            </w:pPr>
                          </w:p>
                          <w:p>
                            <w:pPr>
                              <w:pStyle w:val="TableParagraph"/>
                              <w:ind w:right="149"/>
                              <w:jc w:val="right"/>
                              <w:rPr>
                                <w:sz w:val="16"/>
                              </w:rPr>
                            </w:pPr>
                            <w:r>
                              <w:rPr>
                                <w:spacing w:val="-4"/>
                                <w:sz w:val="16"/>
                              </w:rPr>
                              <w:t>0,00</w:t>
                            </w:r>
                          </w:p>
                        </w:tc>
                        <w:tc>
                          <w:tcPr>
                            <w:tcW w:w="641" w:type="dxa"/>
                            <w:tcBorders>
                              <w:top w:val="single" w:sz="8" w:space="0" w:color="002D5D"/>
                              <w:bottom w:val="single" w:sz="8" w:space="0" w:color="002D5D"/>
                            </w:tcBorders>
                          </w:tcPr>
                          <w:p>
                            <w:pPr>
                              <w:pStyle w:val="TableParagraph"/>
                              <w:spacing w:before="117"/>
                              <w:rPr>
                                <w:sz w:val="16"/>
                              </w:rPr>
                            </w:pPr>
                          </w:p>
                          <w:p>
                            <w:pPr>
                              <w:pStyle w:val="TableParagraph"/>
                              <w:ind w:left="93"/>
                              <w:jc w:val="center"/>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117"/>
                              <w:rPr>
                                <w:sz w:val="16"/>
                              </w:rPr>
                            </w:pPr>
                          </w:p>
                          <w:p>
                            <w:pPr>
                              <w:pStyle w:val="TableParagraph"/>
                              <w:ind w:left="9" w:right="74"/>
                              <w:jc w:val="center"/>
                              <w:rPr>
                                <w:sz w:val="16"/>
                              </w:rPr>
                            </w:pPr>
                            <w:r>
                              <w:rPr>
                                <w:spacing w:val="-2"/>
                                <w:sz w:val="16"/>
                              </w:rPr>
                              <w:t>Finalizada</w:t>
                            </w:r>
                          </w:p>
                        </w:tc>
                      </w:tr>
                      <w:tr>
                        <w:trPr>
                          <w:trHeight w:val="529" w:hRule="atLeast"/>
                        </w:trPr>
                        <w:tc>
                          <w:tcPr>
                            <w:tcW w:w="2899" w:type="dxa"/>
                            <w:tcBorders>
                              <w:top w:val="single" w:sz="8" w:space="0" w:color="002D5D"/>
                              <w:bottom w:val="single" w:sz="8" w:space="0" w:color="002D5D"/>
                            </w:tcBorders>
                          </w:tcPr>
                          <w:p>
                            <w:pPr>
                              <w:pStyle w:val="TableParagraph"/>
                              <w:tabs>
                                <w:tab w:pos="1769" w:val="left" w:leader="none"/>
                              </w:tabs>
                              <w:spacing w:before="66"/>
                              <w:ind w:left="71"/>
                              <w:rPr>
                                <w:sz w:val="17"/>
                              </w:rPr>
                            </w:pPr>
                            <w:r>
                              <w:rPr>
                                <w:position w:val="10"/>
                                <w:sz w:val="17"/>
                              </w:rPr>
                              <w:t>Renovación</w:t>
                            </w:r>
                            <w:r>
                              <w:rPr>
                                <w:spacing w:val="-6"/>
                                <w:position w:val="10"/>
                                <w:sz w:val="17"/>
                              </w:rPr>
                              <w:t> </w:t>
                            </w:r>
                            <w:r>
                              <w:rPr>
                                <w:spacing w:val="-5"/>
                                <w:position w:val="10"/>
                                <w:sz w:val="17"/>
                              </w:rPr>
                              <w:t>App</w:t>
                            </w:r>
                            <w:r>
                              <w:rPr>
                                <w:position w:val="10"/>
                                <w:sz w:val="17"/>
                              </w:rPr>
                              <w:tab/>
                            </w:r>
                            <w:r>
                              <w:rPr>
                                <w:spacing w:val="-2"/>
                                <w:sz w:val="17"/>
                              </w:rPr>
                              <w:t>Digitalización</w:t>
                            </w:r>
                          </w:p>
                        </w:tc>
                        <w:tc>
                          <w:tcPr>
                            <w:tcW w:w="1052" w:type="dxa"/>
                            <w:tcBorders>
                              <w:top w:val="single" w:sz="8" w:space="0" w:color="002D5D"/>
                              <w:bottom w:val="single" w:sz="8" w:space="0" w:color="002D5D"/>
                            </w:tcBorders>
                          </w:tcPr>
                          <w:p>
                            <w:pPr>
                              <w:pStyle w:val="TableParagraph"/>
                              <w:spacing w:before="166"/>
                              <w:ind w:right="83"/>
                              <w:jc w:val="right"/>
                              <w:rPr>
                                <w:sz w:val="17"/>
                              </w:rPr>
                            </w:pPr>
                            <w:r>
                              <w:rPr>
                                <w:spacing w:val="-2"/>
                                <w:sz w:val="17"/>
                              </w:rPr>
                              <w:t>29.895,00</w:t>
                            </w:r>
                          </w:p>
                        </w:tc>
                        <w:tc>
                          <w:tcPr>
                            <w:tcW w:w="724" w:type="dxa"/>
                            <w:tcBorders>
                              <w:top w:val="single" w:sz="8" w:space="0" w:color="002D5D"/>
                              <w:bottom w:val="single" w:sz="8" w:space="0" w:color="002D5D"/>
                            </w:tcBorders>
                          </w:tcPr>
                          <w:p>
                            <w:pPr>
                              <w:pStyle w:val="TableParagraph"/>
                              <w:spacing w:before="166"/>
                              <w:ind w:right="209"/>
                              <w:jc w:val="right"/>
                              <w:rPr>
                                <w:sz w:val="17"/>
                              </w:rPr>
                            </w:pPr>
                            <w:r>
                              <w:rPr>
                                <w:spacing w:val="-4"/>
                                <w:sz w:val="17"/>
                              </w:rPr>
                              <w:t>0,40</w:t>
                            </w:r>
                          </w:p>
                        </w:tc>
                        <w:tc>
                          <w:tcPr>
                            <w:tcW w:w="1125" w:type="dxa"/>
                            <w:tcBorders>
                              <w:top w:val="single" w:sz="8" w:space="0" w:color="002D5D"/>
                              <w:bottom w:val="single" w:sz="8" w:space="0" w:color="002D5D"/>
                            </w:tcBorders>
                          </w:tcPr>
                          <w:p>
                            <w:pPr>
                              <w:pStyle w:val="TableParagraph"/>
                              <w:spacing w:before="166"/>
                              <w:ind w:right="96"/>
                              <w:jc w:val="right"/>
                              <w:rPr>
                                <w:sz w:val="17"/>
                              </w:rPr>
                            </w:pPr>
                            <w:r>
                              <w:rPr>
                                <w:spacing w:val="-2"/>
                                <w:sz w:val="17"/>
                              </w:rPr>
                              <w:t>29.895,00</w:t>
                            </w:r>
                          </w:p>
                        </w:tc>
                        <w:tc>
                          <w:tcPr>
                            <w:tcW w:w="688" w:type="dxa"/>
                            <w:tcBorders>
                              <w:top w:val="single" w:sz="8" w:space="0" w:color="002D5D"/>
                              <w:bottom w:val="single" w:sz="8" w:space="0" w:color="002D5D"/>
                            </w:tcBorders>
                          </w:tcPr>
                          <w:p>
                            <w:pPr>
                              <w:pStyle w:val="TableParagraph"/>
                              <w:spacing w:before="171"/>
                              <w:ind w:left="42" w:right="124"/>
                              <w:jc w:val="center"/>
                              <w:rPr>
                                <w:sz w:val="16"/>
                              </w:rPr>
                            </w:pPr>
                            <w:r>
                              <w:rPr>
                                <w:spacing w:val="-2"/>
                                <w:sz w:val="16"/>
                              </w:rPr>
                              <w:t>100,00</w:t>
                            </w:r>
                          </w:p>
                        </w:tc>
                        <w:tc>
                          <w:tcPr>
                            <w:tcW w:w="1127" w:type="dxa"/>
                            <w:tcBorders>
                              <w:top w:val="single" w:sz="8" w:space="0" w:color="002D5D"/>
                              <w:bottom w:val="single" w:sz="8" w:space="0" w:color="002D5D"/>
                            </w:tcBorders>
                          </w:tcPr>
                          <w:p>
                            <w:pPr>
                              <w:pStyle w:val="TableParagraph"/>
                              <w:spacing w:before="166"/>
                              <w:ind w:right="120"/>
                              <w:jc w:val="right"/>
                              <w:rPr>
                                <w:sz w:val="17"/>
                              </w:rPr>
                            </w:pPr>
                            <w:r>
                              <w:rPr>
                                <w:spacing w:val="-4"/>
                                <w:sz w:val="17"/>
                              </w:rPr>
                              <w:t>0,00</w:t>
                            </w:r>
                          </w:p>
                        </w:tc>
                        <w:tc>
                          <w:tcPr>
                            <w:tcW w:w="663" w:type="dxa"/>
                            <w:tcBorders>
                              <w:top w:val="single" w:sz="8" w:space="0" w:color="002D5D"/>
                              <w:bottom w:val="single" w:sz="8" w:space="0" w:color="002D5D"/>
                            </w:tcBorders>
                          </w:tcPr>
                          <w:p>
                            <w:pPr>
                              <w:pStyle w:val="TableParagraph"/>
                              <w:spacing w:before="166"/>
                              <w:ind w:left="73" w:right="50"/>
                              <w:jc w:val="center"/>
                              <w:rPr>
                                <w:sz w:val="17"/>
                              </w:rPr>
                            </w:pPr>
                            <w:r>
                              <w:rPr>
                                <w:spacing w:val="-4"/>
                                <w:sz w:val="17"/>
                              </w:rPr>
                              <w:t>0,00</w:t>
                            </w:r>
                          </w:p>
                        </w:tc>
                        <w:tc>
                          <w:tcPr>
                            <w:tcW w:w="1162" w:type="dxa"/>
                            <w:tcBorders>
                              <w:top w:val="single" w:sz="8" w:space="0" w:color="002D5D"/>
                              <w:bottom w:val="single" w:sz="8" w:space="0" w:color="002D5D"/>
                            </w:tcBorders>
                          </w:tcPr>
                          <w:p>
                            <w:pPr>
                              <w:pStyle w:val="TableParagraph"/>
                              <w:spacing w:before="171"/>
                              <w:ind w:right="149"/>
                              <w:jc w:val="right"/>
                              <w:rPr>
                                <w:sz w:val="16"/>
                              </w:rPr>
                            </w:pPr>
                            <w:r>
                              <w:rPr>
                                <w:spacing w:val="-4"/>
                                <w:sz w:val="16"/>
                              </w:rPr>
                              <w:t>0,00</w:t>
                            </w:r>
                          </w:p>
                        </w:tc>
                        <w:tc>
                          <w:tcPr>
                            <w:tcW w:w="641" w:type="dxa"/>
                            <w:tcBorders>
                              <w:top w:val="single" w:sz="8" w:space="0" w:color="002D5D"/>
                              <w:bottom w:val="single" w:sz="8" w:space="0" w:color="002D5D"/>
                            </w:tcBorders>
                          </w:tcPr>
                          <w:p>
                            <w:pPr>
                              <w:pStyle w:val="TableParagraph"/>
                              <w:spacing w:before="171"/>
                              <w:ind w:left="93"/>
                              <w:jc w:val="center"/>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171"/>
                              <w:ind w:left="9" w:right="74"/>
                              <w:jc w:val="center"/>
                              <w:rPr>
                                <w:sz w:val="16"/>
                              </w:rPr>
                            </w:pPr>
                            <w:r>
                              <w:rPr>
                                <w:spacing w:val="-2"/>
                                <w:sz w:val="16"/>
                              </w:rPr>
                              <w:t>Finalizada</w:t>
                            </w:r>
                          </w:p>
                        </w:tc>
                      </w:tr>
                      <w:tr>
                        <w:trPr>
                          <w:trHeight w:val="585" w:hRule="atLeast"/>
                        </w:trPr>
                        <w:tc>
                          <w:tcPr>
                            <w:tcW w:w="2899" w:type="dxa"/>
                            <w:tcBorders>
                              <w:top w:val="single" w:sz="8" w:space="0" w:color="002D5D"/>
                            </w:tcBorders>
                          </w:tcPr>
                          <w:p>
                            <w:pPr>
                              <w:pStyle w:val="TableParagraph"/>
                              <w:spacing w:line="193" w:lineRule="exact"/>
                              <w:ind w:left="71"/>
                              <w:rPr>
                                <w:sz w:val="17"/>
                              </w:rPr>
                            </w:pPr>
                            <w:r>
                              <w:rPr>
                                <w:sz w:val="17"/>
                              </w:rPr>
                              <w:t>Equipamiento</w:t>
                            </w:r>
                            <w:r>
                              <w:rPr>
                                <w:spacing w:val="-5"/>
                                <w:sz w:val="17"/>
                              </w:rPr>
                              <w:t> de</w:t>
                            </w:r>
                          </w:p>
                          <w:p>
                            <w:pPr>
                              <w:pStyle w:val="TableParagraph"/>
                              <w:tabs>
                                <w:tab w:pos="1769" w:val="left" w:leader="none"/>
                              </w:tabs>
                              <w:spacing w:line="196" w:lineRule="exact"/>
                              <w:ind w:left="71" w:right="308"/>
                              <w:rPr>
                                <w:sz w:val="17"/>
                              </w:rPr>
                            </w:pPr>
                            <w:r>
                              <w:rPr>
                                <w:sz w:val="17"/>
                              </w:rPr>
                              <w:t>paradas (adquisición y</w:t>
                              <w:tab/>
                            </w:r>
                            <w:r>
                              <w:rPr>
                                <w:spacing w:val="-2"/>
                                <w:sz w:val="17"/>
                              </w:rPr>
                              <w:t>Digitalización</w:t>
                            </w:r>
                            <w:r>
                              <w:rPr>
                                <w:spacing w:val="40"/>
                                <w:sz w:val="17"/>
                              </w:rPr>
                              <w:t> </w:t>
                            </w:r>
                            <w:r>
                              <w:rPr>
                                <w:spacing w:val="-2"/>
                                <w:sz w:val="17"/>
                              </w:rPr>
                              <w:t>renovación)</w:t>
                            </w:r>
                          </w:p>
                        </w:tc>
                        <w:tc>
                          <w:tcPr>
                            <w:tcW w:w="1052" w:type="dxa"/>
                            <w:tcBorders>
                              <w:top w:val="single" w:sz="8" w:space="0" w:color="002D5D"/>
                            </w:tcBorders>
                          </w:tcPr>
                          <w:p>
                            <w:pPr>
                              <w:pStyle w:val="TableParagraph"/>
                              <w:spacing w:before="193"/>
                              <w:ind w:right="83"/>
                              <w:jc w:val="right"/>
                              <w:rPr>
                                <w:sz w:val="17"/>
                              </w:rPr>
                            </w:pPr>
                            <w:r>
                              <w:rPr>
                                <w:spacing w:val="-2"/>
                                <w:sz w:val="17"/>
                              </w:rPr>
                              <w:t>73.766,17</w:t>
                            </w:r>
                          </w:p>
                        </w:tc>
                        <w:tc>
                          <w:tcPr>
                            <w:tcW w:w="724" w:type="dxa"/>
                            <w:tcBorders>
                              <w:top w:val="single" w:sz="8" w:space="0" w:color="002D5D"/>
                            </w:tcBorders>
                          </w:tcPr>
                          <w:p>
                            <w:pPr>
                              <w:pStyle w:val="TableParagraph"/>
                              <w:spacing w:before="193"/>
                              <w:ind w:right="209"/>
                              <w:jc w:val="right"/>
                              <w:rPr>
                                <w:sz w:val="17"/>
                              </w:rPr>
                            </w:pPr>
                            <w:r>
                              <w:rPr>
                                <w:spacing w:val="-4"/>
                                <w:sz w:val="17"/>
                              </w:rPr>
                              <w:t>0,97</w:t>
                            </w:r>
                          </w:p>
                        </w:tc>
                        <w:tc>
                          <w:tcPr>
                            <w:tcW w:w="1125" w:type="dxa"/>
                            <w:tcBorders>
                              <w:top w:val="single" w:sz="8" w:space="0" w:color="002D5D"/>
                            </w:tcBorders>
                          </w:tcPr>
                          <w:p>
                            <w:pPr>
                              <w:pStyle w:val="TableParagraph"/>
                              <w:spacing w:before="193"/>
                              <w:ind w:right="96"/>
                              <w:jc w:val="right"/>
                              <w:rPr>
                                <w:sz w:val="17"/>
                              </w:rPr>
                            </w:pPr>
                            <w:r>
                              <w:rPr>
                                <w:spacing w:val="-2"/>
                                <w:sz w:val="17"/>
                              </w:rPr>
                              <w:t>73.766,17</w:t>
                            </w:r>
                          </w:p>
                        </w:tc>
                        <w:tc>
                          <w:tcPr>
                            <w:tcW w:w="688" w:type="dxa"/>
                            <w:tcBorders>
                              <w:top w:val="single" w:sz="8" w:space="0" w:color="002D5D"/>
                            </w:tcBorders>
                          </w:tcPr>
                          <w:p>
                            <w:pPr>
                              <w:pStyle w:val="TableParagraph"/>
                              <w:spacing w:before="16"/>
                              <w:rPr>
                                <w:sz w:val="16"/>
                              </w:rPr>
                            </w:pPr>
                          </w:p>
                          <w:p>
                            <w:pPr>
                              <w:pStyle w:val="TableParagraph"/>
                              <w:ind w:left="42" w:right="124"/>
                              <w:jc w:val="center"/>
                              <w:rPr>
                                <w:sz w:val="16"/>
                              </w:rPr>
                            </w:pPr>
                            <w:r>
                              <w:rPr>
                                <w:spacing w:val="-2"/>
                                <w:sz w:val="16"/>
                              </w:rPr>
                              <w:t>100,00</w:t>
                            </w:r>
                          </w:p>
                        </w:tc>
                        <w:tc>
                          <w:tcPr>
                            <w:tcW w:w="1127" w:type="dxa"/>
                            <w:tcBorders>
                              <w:top w:val="single" w:sz="8" w:space="0" w:color="002D5D"/>
                            </w:tcBorders>
                          </w:tcPr>
                          <w:p>
                            <w:pPr>
                              <w:pStyle w:val="TableParagraph"/>
                              <w:spacing w:before="193"/>
                              <w:ind w:right="158"/>
                              <w:jc w:val="right"/>
                              <w:rPr>
                                <w:sz w:val="17"/>
                              </w:rPr>
                            </w:pPr>
                            <w:r>
                              <w:rPr>
                                <w:spacing w:val="-4"/>
                                <w:sz w:val="17"/>
                              </w:rPr>
                              <w:t>0,00</w:t>
                            </w:r>
                          </w:p>
                        </w:tc>
                        <w:tc>
                          <w:tcPr>
                            <w:tcW w:w="663" w:type="dxa"/>
                            <w:tcBorders>
                              <w:top w:val="single" w:sz="8" w:space="0" w:color="002D5D"/>
                            </w:tcBorders>
                          </w:tcPr>
                          <w:p>
                            <w:pPr>
                              <w:pStyle w:val="TableParagraph"/>
                              <w:spacing w:before="193"/>
                              <w:ind w:left="73" w:right="50"/>
                              <w:jc w:val="center"/>
                              <w:rPr>
                                <w:sz w:val="17"/>
                              </w:rPr>
                            </w:pPr>
                            <w:r>
                              <w:rPr>
                                <w:spacing w:val="-4"/>
                                <w:sz w:val="17"/>
                              </w:rPr>
                              <w:t>0,00</w:t>
                            </w:r>
                          </w:p>
                        </w:tc>
                        <w:tc>
                          <w:tcPr>
                            <w:tcW w:w="1162" w:type="dxa"/>
                            <w:tcBorders>
                              <w:top w:val="single" w:sz="8" w:space="0" w:color="002D5D"/>
                            </w:tcBorders>
                          </w:tcPr>
                          <w:p>
                            <w:pPr>
                              <w:pStyle w:val="TableParagraph"/>
                              <w:spacing w:before="16"/>
                              <w:rPr>
                                <w:sz w:val="16"/>
                              </w:rPr>
                            </w:pPr>
                          </w:p>
                          <w:p>
                            <w:pPr>
                              <w:pStyle w:val="TableParagraph"/>
                              <w:ind w:right="149"/>
                              <w:jc w:val="right"/>
                              <w:rPr>
                                <w:sz w:val="16"/>
                              </w:rPr>
                            </w:pPr>
                            <w:r>
                              <w:rPr>
                                <w:spacing w:val="-4"/>
                                <w:sz w:val="16"/>
                              </w:rPr>
                              <w:t>0,00</w:t>
                            </w:r>
                          </w:p>
                        </w:tc>
                        <w:tc>
                          <w:tcPr>
                            <w:tcW w:w="641" w:type="dxa"/>
                            <w:tcBorders>
                              <w:top w:val="single" w:sz="8" w:space="0" w:color="002D5D"/>
                            </w:tcBorders>
                          </w:tcPr>
                          <w:p>
                            <w:pPr>
                              <w:pStyle w:val="TableParagraph"/>
                              <w:spacing w:before="16"/>
                              <w:rPr>
                                <w:sz w:val="16"/>
                              </w:rPr>
                            </w:pPr>
                          </w:p>
                          <w:p>
                            <w:pPr>
                              <w:pStyle w:val="TableParagraph"/>
                              <w:ind w:left="93"/>
                              <w:jc w:val="center"/>
                              <w:rPr>
                                <w:sz w:val="16"/>
                              </w:rPr>
                            </w:pPr>
                            <w:r>
                              <w:rPr>
                                <w:spacing w:val="-4"/>
                                <w:sz w:val="16"/>
                              </w:rPr>
                              <w:t>0,00</w:t>
                            </w:r>
                          </w:p>
                        </w:tc>
                        <w:tc>
                          <w:tcPr>
                            <w:tcW w:w="1144" w:type="dxa"/>
                            <w:tcBorders>
                              <w:top w:val="single" w:sz="8" w:space="0" w:color="002D5D"/>
                            </w:tcBorders>
                          </w:tcPr>
                          <w:p>
                            <w:pPr>
                              <w:pStyle w:val="TableParagraph"/>
                              <w:spacing w:before="16"/>
                              <w:rPr>
                                <w:sz w:val="16"/>
                              </w:rPr>
                            </w:pPr>
                          </w:p>
                          <w:p>
                            <w:pPr>
                              <w:pStyle w:val="TableParagraph"/>
                              <w:ind w:left="9" w:right="74"/>
                              <w:jc w:val="center"/>
                              <w:rPr>
                                <w:sz w:val="16"/>
                              </w:rPr>
                            </w:pPr>
                            <w:r>
                              <w:rPr>
                                <w:spacing w:val="-2"/>
                                <w:sz w:val="16"/>
                              </w:rPr>
                              <w:t>Finalizada</w:t>
                            </w:r>
                          </w:p>
                        </w:tc>
                      </w:tr>
                      <w:tr>
                        <w:trPr>
                          <w:trHeight w:val="341" w:hRule="atLeast"/>
                        </w:trPr>
                        <w:tc>
                          <w:tcPr>
                            <w:tcW w:w="2899" w:type="dxa"/>
                            <w:shd w:val="clear" w:color="auto" w:fill="002D5D"/>
                          </w:tcPr>
                          <w:p>
                            <w:pPr>
                              <w:pStyle w:val="TableParagraph"/>
                              <w:spacing w:before="71"/>
                              <w:ind w:left="71"/>
                              <w:rPr>
                                <w:b/>
                                <w:sz w:val="17"/>
                              </w:rPr>
                            </w:pPr>
                            <w:r>
                              <w:rPr>
                                <w:b/>
                                <w:color w:val="FFFFFF"/>
                                <w:spacing w:val="-2"/>
                                <w:sz w:val="17"/>
                              </w:rPr>
                              <w:t>TOTAL</w:t>
                            </w:r>
                          </w:p>
                        </w:tc>
                        <w:tc>
                          <w:tcPr>
                            <w:tcW w:w="1052" w:type="dxa"/>
                            <w:shd w:val="clear" w:color="auto" w:fill="002D5D"/>
                          </w:tcPr>
                          <w:p>
                            <w:pPr>
                              <w:pStyle w:val="TableParagraph"/>
                              <w:spacing w:before="71"/>
                              <w:ind w:right="83"/>
                              <w:jc w:val="right"/>
                              <w:rPr>
                                <w:b/>
                                <w:sz w:val="17"/>
                              </w:rPr>
                            </w:pPr>
                            <w:r>
                              <w:rPr>
                                <w:b/>
                                <w:color w:val="FFFFFF"/>
                                <w:spacing w:val="-2"/>
                                <w:sz w:val="17"/>
                              </w:rPr>
                              <w:t>7.564.988,34</w:t>
                            </w:r>
                          </w:p>
                        </w:tc>
                        <w:tc>
                          <w:tcPr>
                            <w:tcW w:w="724" w:type="dxa"/>
                            <w:shd w:val="clear" w:color="auto" w:fill="002D5D"/>
                          </w:tcPr>
                          <w:p>
                            <w:pPr>
                              <w:pStyle w:val="TableParagraph"/>
                              <w:spacing w:before="71"/>
                              <w:ind w:right="209"/>
                              <w:jc w:val="right"/>
                              <w:rPr>
                                <w:b/>
                                <w:sz w:val="17"/>
                              </w:rPr>
                            </w:pPr>
                            <w:r>
                              <w:rPr>
                                <w:b/>
                                <w:color w:val="FFFFFF"/>
                                <w:spacing w:val="-2"/>
                                <w:sz w:val="17"/>
                              </w:rPr>
                              <w:t>100,00</w:t>
                            </w:r>
                          </w:p>
                        </w:tc>
                        <w:tc>
                          <w:tcPr>
                            <w:tcW w:w="1125" w:type="dxa"/>
                            <w:shd w:val="clear" w:color="auto" w:fill="002D5D"/>
                          </w:tcPr>
                          <w:p>
                            <w:pPr>
                              <w:pStyle w:val="TableParagraph"/>
                              <w:spacing w:before="71"/>
                              <w:ind w:right="96"/>
                              <w:jc w:val="right"/>
                              <w:rPr>
                                <w:b/>
                                <w:sz w:val="17"/>
                              </w:rPr>
                            </w:pPr>
                            <w:r>
                              <w:rPr>
                                <w:b/>
                                <w:color w:val="FFFFFF"/>
                                <w:spacing w:val="-2"/>
                                <w:sz w:val="17"/>
                              </w:rPr>
                              <w:t>1.044.339,35</w:t>
                            </w:r>
                          </w:p>
                        </w:tc>
                        <w:tc>
                          <w:tcPr>
                            <w:tcW w:w="688" w:type="dxa"/>
                            <w:shd w:val="clear" w:color="auto" w:fill="002D5D"/>
                          </w:tcPr>
                          <w:p>
                            <w:pPr>
                              <w:pStyle w:val="TableParagraph"/>
                              <w:rPr>
                                <w:rFonts w:ascii="Times New Roman"/>
                                <w:sz w:val="16"/>
                              </w:rPr>
                            </w:pPr>
                          </w:p>
                        </w:tc>
                        <w:tc>
                          <w:tcPr>
                            <w:tcW w:w="1127" w:type="dxa"/>
                            <w:shd w:val="clear" w:color="auto" w:fill="002D5D"/>
                          </w:tcPr>
                          <w:p>
                            <w:pPr>
                              <w:pStyle w:val="TableParagraph"/>
                              <w:spacing w:before="71"/>
                              <w:ind w:right="120"/>
                              <w:jc w:val="right"/>
                              <w:rPr>
                                <w:b/>
                                <w:sz w:val="17"/>
                              </w:rPr>
                            </w:pPr>
                            <w:r>
                              <w:rPr>
                                <w:b/>
                                <w:color w:val="FFFFFF"/>
                                <w:spacing w:val="-2"/>
                                <w:sz w:val="17"/>
                              </w:rPr>
                              <w:t>3.028.300,00</w:t>
                            </w:r>
                          </w:p>
                        </w:tc>
                        <w:tc>
                          <w:tcPr>
                            <w:tcW w:w="663" w:type="dxa"/>
                            <w:shd w:val="clear" w:color="auto" w:fill="002D5D"/>
                          </w:tcPr>
                          <w:p>
                            <w:pPr>
                              <w:pStyle w:val="TableParagraph"/>
                              <w:rPr>
                                <w:rFonts w:ascii="Times New Roman"/>
                                <w:sz w:val="16"/>
                              </w:rPr>
                            </w:pPr>
                          </w:p>
                        </w:tc>
                        <w:tc>
                          <w:tcPr>
                            <w:tcW w:w="1162" w:type="dxa"/>
                            <w:shd w:val="clear" w:color="auto" w:fill="002D5D"/>
                          </w:tcPr>
                          <w:p>
                            <w:pPr>
                              <w:pStyle w:val="TableParagraph"/>
                              <w:spacing w:before="71"/>
                              <w:ind w:right="152"/>
                              <w:jc w:val="right"/>
                              <w:rPr>
                                <w:b/>
                                <w:sz w:val="17"/>
                              </w:rPr>
                            </w:pPr>
                            <w:r>
                              <w:rPr>
                                <w:b/>
                                <w:color w:val="FFFFFF"/>
                                <w:spacing w:val="-2"/>
                                <w:sz w:val="17"/>
                              </w:rPr>
                              <w:t>3.492.348,99</w:t>
                            </w:r>
                          </w:p>
                        </w:tc>
                        <w:tc>
                          <w:tcPr>
                            <w:tcW w:w="641" w:type="dxa"/>
                            <w:shd w:val="clear" w:color="auto" w:fill="002D5D"/>
                          </w:tcPr>
                          <w:p>
                            <w:pPr>
                              <w:pStyle w:val="TableParagraph"/>
                              <w:rPr>
                                <w:rFonts w:ascii="Times New Roman"/>
                                <w:sz w:val="16"/>
                              </w:rPr>
                            </w:pPr>
                          </w:p>
                        </w:tc>
                        <w:tc>
                          <w:tcPr>
                            <w:tcW w:w="1144" w:type="dxa"/>
                            <w:shd w:val="clear" w:color="auto" w:fill="002D5D"/>
                          </w:tcPr>
                          <w:p>
                            <w:pPr>
                              <w:pStyle w:val="TableParagraph"/>
                              <w:rPr>
                                <w:rFonts w:ascii="Times New Roman"/>
                                <w:sz w:val="16"/>
                              </w:rPr>
                            </w:pPr>
                          </w:p>
                        </w:tc>
                      </w:tr>
                    </w:tbl>
                    <w:p>
                      <w:pPr>
                        <w:pStyle w:val="BodyText"/>
                      </w:pPr>
                    </w:p>
                  </w:txbxContent>
                </v:textbox>
                <w10:wrap type="none"/>
              </v:shape>
            </w:pict>
          </mc:Fallback>
        </mc:AlternateContent>
      </w:r>
      <w:r>
        <w:rPr>
          <w:rFonts w:ascii="Arial Narrow"/>
          <w:sz w:val="17"/>
        </w:rPr>
        <w:t>espacios</w:t>
      </w:r>
      <w:r>
        <w:rPr>
          <w:rFonts w:ascii="Arial Narrow"/>
          <w:spacing w:val="-5"/>
          <w:sz w:val="17"/>
        </w:rPr>
        <w:t> </w:t>
      </w:r>
      <w:r>
        <w:rPr>
          <w:rFonts w:ascii="Arial Narrow"/>
          <w:sz w:val="17"/>
        </w:rPr>
        <w:t>destinados</w:t>
      </w:r>
      <w:r>
        <w:rPr>
          <w:rFonts w:ascii="Arial Narrow"/>
          <w:spacing w:val="-3"/>
          <w:sz w:val="17"/>
        </w:rPr>
        <w:t> </w:t>
      </w:r>
      <w:r>
        <w:rPr>
          <w:rFonts w:ascii="Arial Narrow"/>
          <w:spacing w:val="-10"/>
          <w:sz w:val="17"/>
        </w:rPr>
        <w:t>a</w:t>
      </w:r>
    </w:p>
    <w:p>
      <w:pPr>
        <w:pStyle w:val="BodyText"/>
        <w:rPr>
          <w:rFonts w:ascii="Arial Narrow"/>
          <w:sz w:val="17"/>
        </w:rPr>
      </w:pPr>
    </w:p>
    <w:p>
      <w:pPr>
        <w:pStyle w:val="BodyText"/>
        <w:spacing w:before="91"/>
        <w:rPr>
          <w:rFonts w:ascii="Arial Narrow"/>
          <w:sz w:val="17"/>
        </w:rPr>
      </w:pPr>
    </w:p>
    <w:p>
      <w:pPr>
        <w:spacing w:before="0"/>
        <w:ind w:left="242" w:right="0" w:firstLine="0"/>
        <w:jc w:val="left"/>
        <w:rPr>
          <w:rFonts w:ascii="Arial Narrow"/>
          <w:sz w:val="17"/>
        </w:rPr>
      </w:pPr>
      <w:r>
        <w:rPr>
          <w:rFonts w:ascii="Arial Narrow"/>
          <w:spacing w:val="-2"/>
          <w:sz w:val="17"/>
        </w:rPr>
        <w:t>Bilbobus</w:t>
      </w: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spacing w:before="64"/>
        <w:rPr>
          <w:rFonts w:ascii="Arial Narrow"/>
          <w:sz w:val="17"/>
        </w:rPr>
      </w:pPr>
    </w:p>
    <w:p>
      <w:pPr>
        <w:spacing w:before="0"/>
        <w:ind w:left="242"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2"/>
          <w:sz w:val="18"/>
        </w:rPr>
        <w:t> </w:t>
      </w:r>
      <w:r>
        <w:rPr>
          <w:rFonts w:ascii="Arial Narrow" w:hAnsi="Arial Narrow"/>
          <w:sz w:val="18"/>
        </w:rPr>
        <w:t>a</w:t>
      </w:r>
      <w:r>
        <w:rPr>
          <w:rFonts w:ascii="Arial Narrow" w:hAnsi="Arial Narrow"/>
          <w:spacing w:val="-3"/>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2"/>
          <w:sz w:val="18"/>
        </w:rPr>
        <w:t> </w:t>
      </w:r>
      <w:r>
        <w:rPr>
          <w:rFonts w:ascii="Arial Narrow" w:hAnsi="Arial Narrow"/>
          <w:sz w:val="18"/>
        </w:rPr>
        <w:t>los</w:t>
      </w:r>
      <w:r>
        <w:rPr>
          <w:rFonts w:ascii="Arial Narrow" w:hAnsi="Arial Narrow"/>
          <w:spacing w:val="-3"/>
          <w:sz w:val="18"/>
        </w:rPr>
        <w:t> </w:t>
      </w:r>
      <w:r>
        <w:rPr>
          <w:rFonts w:ascii="Arial Narrow" w:hAnsi="Arial Narrow"/>
          <w:sz w:val="18"/>
        </w:rPr>
        <w:t>datos</w:t>
      </w:r>
      <w:r>
        <w:rPr>
          <w:rFonts w:ascii="Arial Narrow" w:hAnsi="Arial Narrow"/>
          <w:spacing w:val="-2"/>
          <w:sz w:val="18"/>
        </w:rPr>
        <w:t> </w:t>
      </w:r>
      <w:r>
        <w:rPr>
          <w:rFonts w:ascii="Arial Narrow" w:hAnsi="Arial Narrow"/>
          <w:sz w:val="18"/>
        </w:rPr>
        <w:t>facilitados</w:t>
      </w:r>
      <w:r>
        <w:rPr>
          <w:rFonts w:ascii="Arial Narrow" w:hAnsi="Arial Narrow"/>
          <w:spacing w:val="-2"/>
          <w:sz w:val="18"/>
        </w:rPr>
        <w:t> </w:t>
      </w:r>
      <w:r>
        <w:rPr>
          <w:rFonts w:ascii="Arial Narrow" w:hAnsi="Arial Narrow"/>
          <w:sz w:val="18"/>
        </w:rPr>
        <w:t>por</w:t>
      </w:r>
      <w:r>
        <w:rPr>
          <w:rFonts w:ascii="Arial Narrow" w:hAnsi="Arial Narrow"/>
          <w:spacing w:val="-2"/>
          <w:sz w:val="18"/>
        </w:rPr>
        <w:t> </w:t>
      </w:r>
      <w:r>
        <w:rPr>
          <w:rFonts w:ascii="Arial Narrow" w:hAnsi="Arial Narrow"/>
          <w:sz w:val="18"/>
        </w:rPr>
        <w:t>el</w:t>
      </w:r>
      <w:r>
        <w:rPr>
          <w:rFonts w:ascii="Arial Narrow" w:hAnsi="Arial Narrow"/>
          <w:spacing w:val="-1"/>
          <w:sz w:val="18"/>
        </w:rPr>
        <w:t> </w:t>
      </w:r>
      <w:r>
        <w:rPr>
          <w:rFonts w:ascii="Arial Narrow" w:hAnsi="Arial Narrow"/>
          <w:sz w:val="18"/>
        </w:rPr>
        <w:t>Ayuntamiento</w:t>
      </w:r>
      <w:r>
        <w:rPr>
          <w:rFonts w:ascii="Arial Narrow" w:hAnsi="Arial Narrow"/>
          <w:spacing w:val="-3"/>
          <w:sz w:val="18"/>
        </w:rPr>
        <w:t> </w:t>
      </w:r>
      <w:r>
        <w:rPr>
          <w:rFonts w:ascii="Arial Narrow" w:hAnsi="Arial Narrow"/>
          <w:sz w:val="18"/>
        </w:rPr>
        <w:t>de</w:t>
      </w:r>
      <w:r>
        <w:rPr>
          <w:rFonts w:ascii="Arial Narrow" w:hAnsi="Arial Narrow"/>
          <w:spacing w:val="-2"/>
          <w:sz w:val="18"/>
        </w:rPr>
        <w:t> Bilbao</w:t>
      </w:r>
    </w:p>
    <w:p>
      <w:pPr>
        <w:spacing w:before="50"/>
        <w:ind w:left="242" w:right="0" w:firstLine="0"/>
        <w:jc w:val="left"/>
        <w:rPr>
          <w:rFonts w:ascii="Arial Narrow"/>
          <w:sz w:val="18"/>
        </w:rPr>
      </w:pPr>
      <w:r>
        <w:rPr>
          <w:rFonts w:ascii="Arial Narrow"/>
          <w:position w:val="5"/>
          <w:sz w:val="12"/>
        </w:rPr>
        <w:t>(*)</w:t>
      </w:r>
      <w:r>
        <w:rPr>
          <w:rFonts w:ascii="Arial Narrow"/>
          <w:spacing w:val="-3"/>
          <w:position w:val="5"/>
          <w:sz w:val="12"/>
        </w:rPr>
        <w:t> </w:t>
      </w:r>
      <w:r>
        <w:rPr>
          <w:rFonts w:ascii="Arial Narrow"/>
          <w:sz w:val="18"/>
        </w:rPr>
        <w:t>Porcentaje</w:t>
      </w:r>
      <w:r>
        <w:rPr>
          <w:rFonts w:ascii="Arial Narrow"/>
          <w:spacing w:val="-2"/>
          <w:sz w:val="18"/>
        </w:rPr>
        <w:t> </w:t>
      </w:r>
      <w:r>
        <w:rPr>
          <w:rFonts w:ascii="Arial Narrow"/>
          <w:sz w:val="18"/>
        </w:rPr>
        <w:t>sobre</w:t>
      </w:r>
      <w:r>
        <w:rPr>
          <w:rFonts w:ascii="Arial Narrow"/>
          <w:spacing w:val="-2"/>
          <w:sz w:val="18"/>
        </w:rPr>
        <w:t> </w:t>
      </w:r>
      <w:r>
        <w:rPr>
          <w:rFonts w:ascii="Arial Narrow"/>
          <w:sz w:val="18"/>
        </w:rPr>
        <w:t>el</w:t>
      </w:r>
      <w:r>
        <w:rPr>
          <w:rFonts w:ascii="Arial Narrow"/>
          <w:spacing w:val="-2"/>
          <w:sz w:val="18"/>
        </w:rPr>
        <w:t> </w:t>
      </w:r>
      <w:r>
        <w:rPr>
          <w:rFonts w:ascii="Arial Narrow"/>
          <w:sz w:val="18"/>
        </w:rPr>
        <w:t>importe</w:t>
      </w:r>
      <w:r>
        <w:rPr>
          <w:rFonts w:ascii="Arial Narrow"/>
          <w:spacing w:val="-2"/>
          <w:sz w:val="18"/>
        </w:rPr>
        <w:t> </w:t>
      </w:r>
      <w:r>
        <w:rPr>
          <w:rFonts w:ascii="Arial Narrow"/>
          <w:sz w:val="18"/>
        </w:rPr>
        <w:t>de</w:t>
      </w:r>
      <w:r>
        <w:rPr>
          <w:rFonts w:ascii="Arial Narrow"/>
          <w:spacing w:val="-2"/>
          <w:sz w:val="18"/>
        </w:rPr>
        <w:t> </w:t>
      </w:r>
      <w:r>
        <w:rPr>
          <w:rFonts w:ascii="Arial Narrow"/>
          <w:sz w:val="18"/>
        </w:rPr>
        <w:t>todas</w:t>
      </w:r>
      <w:r>
        <w:rPr>
          <w:rFonts w:ascii="Arial Narrow"/>
          <w:spacing w:val="-2"/>
          <w:sz w:val="18"/>
        </w:rPr>
        <w:t> </w:t>
      </w:r>
      <w:r>
        <w:rPr>
          <w:rFonts w:ascii="Arial Narrow"/>
          <w:sz w:val="18"/>
        </w:rPr>
        <w:t>las</w:t>
      </w:r>
      <w:r>
        <w:rPr>
          <w:rFonts w:ascii="Arial Narrow"/>
          <w:spacing w:val="-1"/>
          <w:sz w:val="18"/>
        </w:rPr>
        <w:t> </w:t>
      </w:r>
      <w:r>
        <w:rPr>
          <w:rFonts w:ascii="Arial Narrow"/>
          <w:spacing w:val="-2"/>
          <w:sz w:val="18"/>
        </w:rPr>
        <w:t>actuaciones</w:t>
      </w:r>
    </w:p>
    <w:p>
      <w:pPr>
        <w:spacing w:before="48"/>
        <w:ind w:left="242" w:right="0" w:firstLine="0"/>
        <w:jc w:val="left"/>
        <w:rPr>
          <w:rFonts w:ascii="Arial Narrow" w:hAnsi="Arial Narrow"/>
          <w:sz w:val="18"/>
        </w:rPr>
      </w:pPr>
      <w:r>
        <w:rPr>
          <w:rFonts w:ascii="Arial Narrow" w:hAnsi="Arial Narrow"/>
          <w:position w:val="5"/>
          <w:sz w:val="12"/>
        </w:rPr>
        <w:t>(**)</w:t>
      </w:r>
      <w:r>
        <w:rPr>
          <w:rFonts w:ascii="Arial Narrow" w:hAnsi="Arial Narrow"/>
          <w:spacing w:val="-1"/>
          <w:position w:val="5"/>
          <w:sz w:val="12"/>
        </w:rPr>
        <w:t> </w:t>
      </w:r>
      <w:r>
        <w:rPr>
          <w:rFonts w:ascii="Arial Narrow" w:hAnsi="Arial Narrow"/>
          <w:sz w:val="18"/>
        </w:rPr>
        <w:t>Porcentaje</w:t>
      </w:r>
      <w:r>
        <w:rPr>
          <w:rFonts w:ascii="Arial Narrow" w:hAnsi="Arial Narrow"/>
          <w:spacing w:val="-2"/>
          <w:sz w:val="18"/>
        </w:rPr>
        <w:t> </w:t>
      </w:r>
      <w:r>
        <w:rPr>
          <w:rFonts w:ascii="Arial Narrow" w:hAnsi="Arial Narrow"/>
          <w:sz w:val="18"/>
        </w:rPr>
        <w:t>sobre</w:t>
      </w:r>
      <w:r>
        <w:rPr>
          <w:rFonts w:ascii="Arial Narrow" w:hAnsi="Arial Narrow"/>
          <w:spacing w:val="-2"/>
          <w:sz w:val="18"/>
        </w:rPr>
        <w:t> </w:t>
      </w:r>
      <w:r>
        <w:rPr>
          <w:rFonts w:ascii="Arial Narrow" w:hAnsi="Arial Narrow"/>
          <w:sz w:val="18"/>
        </w:rPr>
        <w:t>el</w:t>
      </w:r>
      <w:r>
        <w:rPr>
          <w:rFonts w:ascii="Arial Narrow" w:hAnsi="Arial Narrow"/>
          <w:spacing w:val="-2"/>
          <w:sz w:val="18"/>
        </w:rPr>
        <w:t> </w:t>
      </w:r>
      <w:r>
        <w:rPr>
          <w:rFonts w:ascii="Arial Narrow" w:hAnsi="Arial Narrow"/>
          <w:sz w:val="18"/>
        </w:rPr>
        <w:t>importe</w:t>
      </w:r>
      <w:r>
        <w:rPr>
          <w:rFonts w:ascii="Arial Narrow" w:hAnsi="Arial Narrow"/>
          <w:spacing w:val="-2"/>
          <w:sz w:val="18"/>
        </w:rPr>
        <w:t> </w:t>
      </w:r>
      <w:r>
        <w:rPr>
          <w:rFonts w:ascii="Arial Narrow" w:hAnsi="Arial Narrow"/>
          <w:sz w:val="18"/>
        </w:rPr>
        <w:t>de</w:t>
      </w:r>
      <w:r>
        <w:rPr>
          <w:rFonts w:ascii="Arial Narrow" w:hAnsi="Arial Narrow"/>
          <w:spacing w:val="-2"/>
          <w:sz w:val="18"/>
        </w:rPr>
        <w:t> </w:t>
      </w:r>
      <w:r>
        <w:rPr>
          <w:rFonts w:ascii="Arial Narrow" w:hAnsi="Arial Narrow"/>
          <w:sz w:val="18"/>
        </w:rPr>
        <w:t>cada</w:t>
      </w:r>
      <w:r>
        <w:rPr>
          <w:rFonts w:ascii="Arial Narrow" w:hAnsi="Arial Narrow"/>
          <w:spacing w:val="-1"/>
          <w:sz w:val="18"/>
        </w:rPr>
        <w:t> </w:t>
      </w:r>
      <w:r>
        <w:rPr>
          <w:rFonts w:ascii="Arial Narrow" w:hAnsi="Arial Narrow"/>
          <w:spacing w:val="-2"/>
          <w:sz w:val="18"/>
        </w:rPr>
        <w:t>actuación</w:t>
      </w:r>
    </w:p>
    <w:p>
      <w:pPr>
        <w:spacing w:after="0"/>
        <w:jc w:val="left"/>
        <w:rPr>
          <w:rFonts w:ascii="Arial Narrow" w:hAnsi="Arial Narrow"/>
          <w:sz w:val="18"/>
        </w:rPr>
        <w:sectPr>
          <w:pgSz w:w="11910" w:h="16840"/>
          <w:pgMar w:header="1270" w:footer="661" w:top="2800" w:bottom="860" w:left="141" w:right="141"/>
        </w:sectPr>
      </w:pPr>
    </w:p>
    <w:p>
      <w:pPr>
        <w:pStyle w:val="BodyText"/>
        <w:spacing w:before="125"/>
        <w:rPr>
          <w:rFonts w:ascii="Arial Narrow"/>
        </w:rPr>
      </w:pPr>
    </w:p>
    <w:p>
      <w:pPr>
        <w:pStyle w:val="Heading4"/>
        <w:ind w:right="1"/>
      </w:pPr>
      <w:bookmarkStart w:name="_bookmark140" w:id="142"/>
      <w:bookmarkEnd w:id="142"/>
      <w:r>
        <w:rPr>
          <w:b w:val="0"/>
        </w:rPr>
      </w:r>
      <w:bookmarkStart w:name="_bookmark141" w:id="143"/>
      <w:bookmarkEnd w:id="143"/>
      <w:r>
        <w:rPr>
          <w:b w:val="0"/>
        </w:rPr>
      </w:r>
      <w:r>
        <w:rPr/>
        <w:t>ACTUACIONES</w:t>
      </w:r>
      <w:r>
        <w:rPr>
          <w:spacing w:val="-6"/>
        </w:rPr>
        <w:t> </w:t>
      </w:r>
      <w:r>
        <w:rPr/>
        <w:t>REALIZADAS</w:t>
      </w:r>
      <w:r>
        <w:rPr>
          <w:spacing w:val="-9"/>
        </w:rPr>
        <w:t> </w:t>
      </w:r>
      <w:r>
        <w:rPr/>
        <w:t>POR</w:t>
      </w:r>
      <w:r>
        <w:rPr>
          <w:spacing w:val="-8"/>
        </w:rPr>
        <w:t> </w:t>
      </w:r>
      <w:r>
        <w:rPr/>
        <w:t>EL</w:t>
      </w:r>
      <w:r>
        <w:rPr>
          <w:spacing w:val="-8"/>
        </w:rPr>
        <w:t> </w:t>
      </w:r>
      <w:r>
        <w:rPr/>
        <w:t>AYUNTAMIENTO</w:t>
      </w:r>
      <w:r>
        <w:rPr>
          <w:spacing w:val="-6"/>
        </w:rPr>
        <w:t> </w:t>
      </w:r>
      <w:r>
        <w:rPr/>
        <w:t>DE</w:t>
      </w:r>
      <w:r>
        <w:rPr>
          <w:spacing w:val="-1"/>
        </w:rPr>
        <w:t> </w:t>
      </w:r>
      <w:r>
        <w:rPr>
          <w:spacing w:val="-2"/>
        </w:rPr>
        <w:t>CÓRDOBA</w:t>
      </w:r>
    </w:p>
    <w:p>
      <w:pPr>
        <w:pStyle w:val="BodyText"/>
        <w:spacing w:before="8"/>
        <w:rPr>
          <w:b/>
          <w:sz w:val="18"/>
        </w:rPr>
      </w:pPr>
      <w:r>
        <w:rPr>
          <w:b/>
          <w:sz w:val="18"/>
        </w:rPr>
        <mc:AlternateContent>
          <mc:Choice Requires="wps">
            <w:drawing>
              <wp:anchor distT="0" distB="0" distL="0" distR="0" allowOverlap="1" layoutInCell="1" locked="0" behindDoc="1" simplePos="0" relativeHeight="487633920">
                <wp:simplePos x="0" y="0"/>
                <wp:positionH relativeFrom="page">
                  <wp:posOffset>178307</wp:posOffset>
                </wp:positionH>
                <wp:positionV relativeFrom="paragraph">
                  <wp:posOffset>152139</wp:posOffset>
                </wp:positionV>
                <wp:extent cx="7205980" cy="622300"/>
                <wp:effectExtent l="0" t="0" r="0" b="0"/>
                <wp:wrapTopAndBottom/>
                <wp:docPr id="377" name="Group 377"/>
                <wp:cNvGraphicFramePr>
                  <a:graphicFrameLocks/>
                </wp:cNvGraphicFramePr>
                <a:graphic>
                  <a:graphicData uri="http://schemas.microsoft.com/office/word/2010/wordprocessingGroup">
                    <wpg:wgp>
                      <wpg:cNvPr id="377" name="Group 377"/>
                      <wpg:cNvGrpSpPr/>
                      <wpg:grpSpPr>
                        <a:xfrm>
                          <a:off x="0" y="0"/>
                          <a:ext cx="7205980" cy="622300"/>
                          <a:chExt cx="7205980" cy="622300"/>
                        </a:xfrm>
                      </wpg:grpSpPr>
                      <wps:wsp>
                        <wps:cNvPr id="378" name="Graphic 378"/>
                        <wps:cNvSpPr/>
                        <wps:spPr>
                          <a:xfrm>
                            <a:off x="0" y="0"/>
                            <a:ext cx="7205980" cy="622300"/>
                          </a:xfrm>
                          <a:custGeom>
                            <a:avLst/>
                            <a:gdLst/>
                            <a:ahLst/>
                            <a:cxnLst/>
                            <a:rect l="l" t="t" r="r" b="b"/>
                            <a:pathLst>
                              <a:path w="7205980" h="622300">
                                <a:moveTo>
                                  <a:pt x="2915970" y="0"/>
                                </a:moveTo>
                                <a:lnTo>
                                  <a:pt x="1800098" y="0"/>
                                </a:lnTo>
                                <a:lnTo>
                                  <a:pt x="0" y="0"/>
                                </a:lnTo>
                                <a:lnTo>
                                  <a:pt x="0" y="621792"/>
                                </a:lnTo>
                                <a:lnTo>
                                  <a:pt x="1800098" y="621792"/>
                                </a:lnTo>
                                <a:lnTo>
                                  <a:pt x="2915970" y="621792"/>
                                </a:lnTo>
                                <a:lnTo>
                                  <a:pt x="2915970" y="0"/>
                                </a:lnTo>
                                <a:close/>
                              </a:path>
                              <a:path w="7205980" h="622300">
                                <a:moveTo>
                                  <a:pt x="6391643" y="0"/>
                                </a:moveTo>
                                <a:lnTo>
                                  <a:pt x="4130929" y="0"/>
                                </a:lnTo>
                                <a:lnTo>
                                  <a:pt x="4016679" y="0"/>
                                </a:lnTo>
                                <a:lnTo>
                                  <a:pt x="2916047" y="0"/>
                                </a:lnTo>
                                <a:lnTo>
                                  <a:pt x="2916047" y="176784"/>
                                </a:lnTo>
                                <a:lnTo>
                                  <a:pt x="4016629" y="176784"/>
                                </a:lnTo>
                                <a:lnTo>
                                  <a:pt x="4016629" y="182880"/>
                                </a:lnTo>
                                <a:lnTo>
                                  <a:pt x="3571671" y="182880"/>
                                </a:lnTo>
                                <a:lnTo>
                                  <a:pt x="2916047" y="182880"/>
                                </a:lnTo>
                                <a:lnTo>
                                  <a:pt x="2916047" y="621792"/>
                                </a:lnTo>
                                <a:lnTo>
                                  <a:pt x="3571621" y="621792"/>
                                </a:lnTo>
                                <a:lnTo>
                                  <a:pt x="4016629" y="621792"/>
                                </a:lnTo>
                                <a:lnTo>
                                  <a:pt x="4130929" y="621792"/>
                                </a:lnTo>
                                <a:lnTo>
                                  <a:pt x="4786554" y="621792"/>
                                </a:lnTo>
                                <a:lnTo>
                                  <a:pt x="4786554" y="405384"/>
                                </a:lnTo>
                                <a:lnTo>
                                  <a:pt x="4130929" y="405384"/>
                                </a:lnTo>
                                <a:lnTo>
                                  <a:pt x="4130929" y="399288"/>
                                </a:lnTo>
                                <a:lnTo>
                                  <a:pt x="5220894" y="399288"/>
                                </a:lnTo>
                                <a:lnTo>
                                  <a:pt x="5220894" y="182880"/>
                                </a:lnTo>
                                <a:lnTo>
                                  <a:pt x="4130929" y="182880"/>
                                </a:lnTo>
                                <a:lnTo>
                                  <a:pt x="4130929" y="176784"/>
                                </a:lnTo>
                                <a:lnTo>
                                  <a:pt x="6391643" y="176784"/>
                                </a:lnTo>
                                <a:lnTo>
                                  <a:pt x="6391643" y="0"/>
                                </a:lnTo>
                                <a:close/>
                              </a:path>
                              <a:path w="7205980" h="622300">
                                <a:moveTo>
                                  <a:pt x="7205472" y="0"/>
                                </a:moveTo>
                                <a:lnTo>
                                  <a:pt x="6391656" y="0"/>
                                </a:lnTo>
                                <a:lnTo>
                                  <a:pt x="6391656" y="182880"/>
                                </a:lnTo>
                                <a:lnTo>
                                  <a:pt x="5323078" y="182880"/>
                                </a:lnTo>
                                <a:lnTo>
                                  <a:pt x="5220970" y="182880"/>
                                </a:lnTo>
                                <a:lnTo>
                                  <a:pt x="5220970" y="399288"/>
                                </a:lnTo>
                                <a:lnTo>
                                  <a:pt x="5323078" y="399288"/>
                                </a:lnTo>
                                <a:lnTo>
                                  <a:pt x="6391656" y="399288"/>
                                </a:lnTo>
                                <a:lnTo>
                                  <a:pt x="6391656" y="405384"/>
                                </a:lnTo>
                                <a:lnTo>
                                  <a:pt x="5941822" y="405384"/>
                                </a:lnTo>
                                <a:lnTo>
                                  <a:pt x="5323078" y="405384"/>
                                </a:lnTo>
                                <a:lnTo>
                                  <a:pt x="5220970" y="405384"/>
                                </a:lnTo>
                                <a:lnTo>
                                  <a:pt x="4786630" y="405384"/>
                                </a:lnTo>
                                <a:lnTo>
                                  <a:pt x="4786630" y="621792"/>
                                </a:lnTo>
                                <a:lnTo>
                                  <a:pt x="7205472" y="621792"/>
                                </a:lnTo>
                                <a:lnTo>
                                  <a:pt x="7205472" y="0"/>
                                </a:lnTo>
                                <a:close/>
                              </a:path>
                            </a:pathLst>
                          </a:custGeom>
                          <a:solidFill>
                            <a:srgbClr val="002D5D"/>
                          </a:solidFill>
                        </wps:spPr>
                        <wps:bodyPr wrap="square" lIns="0" tIns="0" rIns="0" bIns="0" rtlCol="0">
                          <a:prstTxWarp prst="textNoShape">
                            <a:avLst/>
                          </a:prstTxWarp>
                          <a:noAutofit/>
                        </wps:bodyPr>
                      </wps:wsp>
                      <wps:wsp>
                        <wps:cNvPr id="379" name="Textbox 379"/>
                        <wps:cNvSpPr txBox="1"/>
                        <wps:spPr>
                          <a:xfrm>
                            <a:off x="2986151" y="26786"/>
                            <a:ext cx="972819"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z w:val="17"/>
                                </w:rPr>
                                <w:t>IMPORTE</w:t>
                              </w:r>
                              <w:r>
                                <w:rPr>
                                  <w:rFonts w:ascii="Arial Narrow" w:hAnsi="Arial Narrow"/>
                                  <w:b/>
                                  <w:color w:val="FFFFFF"/>
                                  <w:spacing w:val="-1"/>
                                  <w:sz w:val="17"/>
                                </w:rPr>
                                <w:t> </w:t>
                              </w:r>
                              <w:r>
                                <w:rPr>
                                  <w:rFonts w:ascii="Arial Narrow" w:hAnsi="Arial Narrow"/>
                                  <w:b/>
                                  <w:color w:val="FFFFFF"/>
                                  <w:spacing w:val="-2"/>
                                  <w:sz w:val="17"/>
                                </w:rPr>
                                <w:t>ACTUACIÓN</w:t>
                              </w:r>
                            </w:p>
                          </w:txbxContent>
                        </wps:txbx>
                        <wps:bodyPr wrap="square" lIns="0" tIns="0" rIns="0" bIns="0" rtlCol="0">
                          <a:noAutofit/>
                        </wps:bodyPr>
                      </wps:wsp>
                      <wps:wsp>
                        <wps:cNvPr id="380" name="Textbox 380"/>
                        <wps:cNvSpPr txBox="1"/>
                        <wps:spPr>
                          <a:xfrm>
                            <a:off x="4939029" y="26786"/>
                            <a:ext cx="657225"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2"/>
                                  <w:sz w:val="17"/>
                                </w:rPr>
                                <w:t>FINANCIACIÓN</w:t>
                              </w:r>
                            </w:p>
                          </w:txbxContent>
                        </wps:txbx>
                        <wps:bodyPr wrap="square" lIns="0" tIns="0" rIns="0" bIns="0" rtlCol="0">
                          <a:noAutofit/>
                        </wps:bodyPr>
                      </wps:wsp>
                      <wps:wsp>
                        <wps:cNvPr id="381" name="Textbox 381"/>
                        <wps:cNvSpPr txBox="1"/>
                        <wps:spPr>
                          <a:xfrm>
                            <a:off x="269747" y="247766"/>
                            <a:ext cx="1273175"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z w:val="17"/>
                                </w:rPr>
                                <w:t>DENOMINACIÓN</w:t>
                              </w:r>
                              <w:r>
                                <w:rPr>
                                  <w:rFonts w:ascii="Arial Narrow" w:hAnsi="Arial Narrow"/>
                                  <w:b/>
                                  <w:color w:val="FFFFFF"/>
                                  <w:spacing w:val="-8"/>
                                  <w:sz w:val="17"/>
                                </w:rPr>
                                <w:t> </w:t>
                              </w:r>
                              <w:r>
                                <w:rPr>
                                  <w:rFonts w:ascii="Arial Narrow" w:hAnsi="Arial Narrow"/>
                                  <w:b/>
                                  <w:color w:val="FFFFFF"/>
                                  <w:spacing w:val="-2"/>
                                  <w:sz w:val="17"/>
                                </w:rPr>
                                <w:t>ACTUACIÓN</w:t>
                              </w:r>
                            </w:p>
                          </w:txbxContent>
                        </wps:txbx>
                        <wps:bodyPr wrap="square" lIns="0" tIns="0" rIns="0" bIns="0" rtlCol="0">
                          <a:noAutofit/>
                        </wps:bodyPr>
                      </wps:wsp>
                      <wps:wsp>
                        <wps:cNvPr id="382" name="Textbox 382"/>
                        <wps:cNvSpPr txBox="1"/>
                        <wps:spPr>
                          <a:xfrm>
                            <a:off x="2112898" y="247766"/>
                            <a:ext cx="501015"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2"/>
                                  <w:sz w:val="17"/>
                                </w:rPr>
                                <w:t>TIPOLOGÍA</w:t>
                              </w:r>
                            </w:p>
                          </w:txbxContent>
                        </wps:txbx>
                        <wps:bodyPr wrap="square" lIns="0" tIns="0" rIns="0" bIns="0" rtlCol="0">
                          <a:noAutofit/>
                        </wps:bodyPr>
                      </wps:wsp>
                      <wps:wsp>
                        <wps:cNvPr id="383" name="Textbox 383"/>
                        <wps:cNvSpPr txBox="1"/>
                        <wps:spPr>
                          <a:xfrm>
                            <a:off x="4379340" y="227954"/>
                            <a:ext cx="603250" cy="124460"/>
                          </a:xfrm>
                          <a:prstGeom prst="rect">
                            <a:avLst/>
                          </a:prstGeom>
                        </wps:spPr>
                        <wps:txbx>
                          <w:txbxContent>
                            <w:p>
                              <w:pPr>
                                <w:spacing w:before="0"/>
                                <w:ind w:left="0" w:right="0" w:firstLine="0"/>
                                <w:jc w:val="left"/>
                                <w:rPr>
                                  <w:rFonts w:ascii="Arial Narrow"/>
                                  <w:b/>
                                  <w:sz w:val="17"/>
                                </w:rPr>
                              </w:pPr>
                              <w:r>
                                <w:rPr>
                                  <w:rFonts w:ascii="Arial Narrow"/>
                                  <w:b/>
                                  <w:color w:val="FFFFFF"/>
                                  <w:spacing w:val="-2"/>
                                  <w:sz w:val="17"/>
                                </w:rPr>
                                <w:t>Ayuntamiento</w:t>
                              </w:r>
                            </w:p>
                          </w:txbxContent>
                        </wps:txbx>
                        <wps:bodyPr wrap="square" lIns="0" tIns="0" rIns="0" bIns="0" rtlCol="0">
                          <a:noAutofit/>
                        </wps:bodyPr>
                      </wps:wsp>
                      <wps:wsp>
                        <wps:cNvPr id="384" name="Textbox 384"/>
                        <wps:cNvSpPr txBox="1"/>
                        <wps:spPr>
                          <a:xfrm>
                            <a:off x="5382514" y="227954"/>
                            <a:ext cx="962025"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z w:val="17"/>
                                </w:rPr>
                                <w:t>Comunidad</w:t>
                              </w:r>
                              <w:r>
                                <w:rPr>
                                  <w:rFonts w:ascii="Arial Narrow" w:hAnsi="Arial Narrow"/>
                                  <w:b/>
                                  <w:color w:val="FFFFFF"/>
                                  <w:spacing w:val="-8"/>
                                  <w:sz w:val="17"/>
                                </w:rPr>
                                <w:t> </w:t>
                              </w:r>
                              <w:r>
                                <w:rPr>
                                  <w:rFonts w:ascii="Arial Narrow" w:hAnsi="Arial Narrow"/>
                                  <w:b/>
                                  <w:color w:val="FFFFFF"/>
                                  <w:spacing w:val="-2"/>
                                  <w:sz w:val="17"/>
                                </w:rPr>
                                <w:t>Autónoma</w:t>
                              </w:r>
                            </w:p>
                          </w:txbxContent>
                        </wps:txbx>
                        <wps:bodyPr wrap="square" lIns="0" tIns="0" rIns="0" bIns="0" rtlCol="0">
                          <a:noAutofit/>
                        </wps:bodyPr>
                      </wps:wsp>
                      <wps:wsp>
                        <wps:cNvPr id="385" name="Textbox 385"/>
                        <wps:cNvSpPr txBox="1"/>
                        <wps:spPr>
                          <a:xfrm>
                            <a:off x="3188842" y="339206"/>
                            <a:ext cx="119380"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wps:txbx>
                        <wps:bodyPr wrap="square" lIns="0" tIns="0" rIns="0" bIns="0" rtlCol="0">
                          <a:noAutofit/>
                        </wps:bodyPr>
                      </wps:wsp>
                      <wps:wsp>
                        <wps:cNvPr id="386" name="Textbox 386"/>
                        <wps:cNvSpPr txBox="1"/>
                        <wps:spPr>
                          <a:xfrm>
                            <a:off x="3711828" y="339206"/>
                            <a:ext cx="177165" cy="124460"/>
                          </a:xfrm>
                          <a:prstGeom prst="rect">
                            <a:avLst/>
                          </a:prstGeom>
                        </wps:spPr>
                        <wps:txbx>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5"/>
                                  <w:sz w:val="11"/>
                                </w:rPr>
                                <w:t>(*)</w:t>
                              </w:r>
                            </w:p>
                          </w:txbxContent>
                        </wps:txbx>
                        <wps:bodyPr wrap="square" lIns="0" tIns="0" rIns="0" bIns="0" rtlCol="0">
                          <a:noAutofit/>
                        </wps:bodyPr>
                      </wps:wsp>
                      <wps:wsp>
                        <wps:cNvPr id="387" name="Textbox 387"/>
                        <wps:cNvSpPr txBox="1"/>
                        <wps:spPr>
                          <a:xfrm>
                            <a:off x="4403725" y="450458"/>
                            <a:ext cx="119380"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wps:txbx>
                        <wps:bodyPr wrap="square" lIns="0" tIns="0" rIns="0" bIns="0" rtlCol="0">
                          <a:noAutofit/>
                        </wps:bodyPr>
                      </wps:wsp>
                      <wps:wsp>
                        <wps:cNvPr id="388" name="Textbox 388"/>
                        <wps:cNvSpPr txBox="1"/>
                        <wps:spPr>
                          <a:xfrm>
                            <a:off x="4910073" y="450458"/>
                            <a:ext cx="199390" cy="124460"/>
                          </a:xfrm>
                          <a:prstGeom prst="rect">
                            <a:avLst/>
                          </a:prstGeom>
                        </wps:spPr>
                        <wps:txbx>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4"/>
                                  <w:sz w:val="11"/>
                                </w:rPr>
                                <w:t>(**)</w:t>
                              </w:r>
                            </w:p>
                          </w:txbxContent>
                        </wps:txbx>
                        <wps:bodyPr wrap="square" lIns="0" tIns="0" rIns="0" bIns="0" rtlCol="0">
                          <a:noAutofit/>
                        </wps:bodyPr>
                      </wps:wsp>
                      <wps:wsp>
                        <wps:cNvPr id="389" name="Textbox 389"/>
                        <wps:cNvSpPr txBox="1"/>
                        <wps:spPr>
                          <a:xfrm>
                            <a:off x="5577585" y="450458"/>
                            <a:ext cx="119380"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wps:txbx>
                        <wps:bodyPr wrap="square" lIns="0" tIns="0" rIns="0" bIns="0" rtlCol="0">
                          <a:noAutofit/>
                        </wps:bodyPr>
                      </wps:wsp>
                      <wps:wsp>
                        <wps:cNvPr id="390" name="Textbox 390"/>
                        <wps:cNvSpPr txBox="1"/>
                        <wps:spPr>
                          <a:xfrm>
                            <a:off x="6074409" y="450458"/>
                            <a:ext cx="200025" cy="124460"/>
                          </a:xfrm>
                          <a:prstGeom prst="rect">
                            <a:avLst/>
                          </a:prstGeom>
                        </wps:spPr>
                        <wps:txbx>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4"/>
                                  <w:sz w:val="11"/>
                                </w:rPr>
                                <w:t>(**)</w:t>
                              </w:r>
                            </w:p>
                          </w:txbxContent>
                        </wps:txbx>
                        <wps:bodyPr wrap="square" lIns="0" tIns="0" rIns="0" bIns="0" rtlCol="0">
                          <a:noAutofit/>
                        </wps:bodyPr>
                      </wps:wsp>
                      <wps:wsp>
                        <wps:cNvPr id="391" name="Textbox 391"/>
                        <wps:cNvSpPr txBox="1"/>
                        <wps:spPr>
                          <a:xfrm>
                            <a:off x="6469379" y="124322"/>
                            <a:ext cx="672465" cy="372745"/>
                          </a:xfrm>
                          <a:prstGeom prst="rect">
                            <a:avLst/>
                          </a:prstGeom>
                        </wps:spPr>
                        <wps:txbx>
                          <w:txbxContent>
                            <w:p>
                              <w:pPr>
                                <w:spacing w:before="0"/>
                                <w:ind w:left="0" w:right="18" w:firstLine="0"/>
                                <w:jc w:val="center"/>
                                <w:rPr>
                                  <w:rFonts w:ascii="Arial Narrow" w:hAnsi="Arial Narrow"/>
                                  <w:b/>
                                  <w:sz w:val="17"/>
                                </w:rPr>
                              </w:pPr>
                              <w:r>
                                <w:rPr>
                                  <w:rFonts w:ascii="Arial Narrow" w:hAnsi="Arial Narrow"/>
                                  <w:b/>
                                  <w:color w:val="FFFFFF"/>
                                  <w:sz w:val="17"/>
                                </w:rPr>
                                <w:t>ESTADO</w:t>
                              </w:r>
                              <w:r>
                                <w:rPr>
                                  <w:rFonts w:ascii="Arial Narrow" w:hAnsi="Arial Narrow"/>
                                  <w:b/>
                                  <w:color w:val="FFFFFF"/>
                                  <w:spacing w:val="-10"/>
                                  <w:sz w:val="17"/>
                                </w:rPr>
                                <w:t> </w:t>
                              </w:r>
                              <w:r>
                                <w:rPr>
                                  <w:rFonts w:ascii="Arial Narrow" w:hAnsi="Arial Narrow"/>
                                  <w:b/>
                                  <w:color w:val="FFFFFF"/>
                                  <w:sz w:val="17"/>
                                </w:rPr>
                                <w:t>DE</w:t>
                              </w:r>
                              <w:r>
                                <w:rPr>
                                  <w:rFonts w:ascii="Arial Narrow" w:hAnsi="Arial Narrow"/>
                                  <w:b/>
                                  <w:color w:val="FFFFFF"/>
                                  <w:spacing w:val="-10"/>
                                  <w:sz w:val="17"/>
                                </w:rPr>
                                <w:t> </w:t>
                              </w:r>
                              <w:r>
                                <w:rPr>
                                  <w:rFonts w:ascii="Arial Narrow" w:hAnsi="Arial Narrow"/>
                                  <w:b/>
                                  <w:color w:val="FFFFFF"/>
                                  <w:sz w:val="17"/>
                                </w:rPr>
                                <w:t>LA</w:t>
                              </w:r>
                              <w:r>
                                <w:rPr>
                                  <w:rFonts w:ascii="Arial Narrow" w:hAnsi="Arial Narrow"/>
                                  <w:b/>
                                  <w:color w:val="FFFFFF"/>
                                  <w:spacing w:val="40"/>
                                  <w:sz w:val="17"/>
                                </w:rPr>
                                <w:t> </w:t>
                              </w:r>
                              <w:r>
                                <w:rPr>
                                  <w:rFonts w:ascii="Arial Narrow" w:hAnsi="Arial Narrow"/>
                                  <w:b/>
                                  <w:color w:val="FFFFFF"/>
                                  <w:spacing w:val="-2"/>
                                  <w:sz w:val="17"/>
                                </w:rPr>
                                <w:t>ACTUACIÓN</w:t>
                              </w:r>
                              <w:r>
                                <w:rPr>
                                  <w:rFonts w:ascii="Arial Narrow" w:hAnsi="Arial Narrow"/>
                                  <w:b/>
                                  <w:color w:val="FFFFFF"/>
                                  <w:spacing w:val="40"/>
                                  <w:sz w:val="17"/>
                                </w:rPr>
                                <w:t> </w:t>
                              </w:r>
                              <w:r>
                                <w:rPr>
                                  <w:rFonts w:ascii="Arial Narrow" w:hAnsi="Arial Narrow"/>
                                  <w:b/>
                                  <w:color w:val="FFFFFF"/>
                                  <w:spacing w:val="-2"/>
                                  <w:sz w:val="17"/>
                                </w:rPr>
                                <w:t>31/12/2024</w:t>
                              </w:r>
                            </w:p>
                          </w:txbxContent>
                        </wps:txbx>
                        <wps:bodyPr wrap="square" lIns="0" tIns="0" rIns="0" bIns="0" rtlCol="0">
                          <a:noAutofit/>
                        </wps:bodyPr>
                      </wps:wsp>
                    </wpg:wgp>
                  </a:graphicData>
                </a:graphic>
              </wp:anchor>
            </w:drawing>
          </mc:Choice>
          <mc:Fallback>
            <w:pict>
              <v:group style="position:absolute;margin-left:14.04pt;margin-top:11.979473pt;width:567.4pt;height:49pt;mso-position-horizontal-relative:page;mso-position-vertical-relative:paragraph;z-index:-15682560;mso-wrap-distance-left:0;mso-wrap-distance-right:0" id="docshapegroup324" coordorigin="281,240" coordsize="11348,980">
                <v:shape style="position:absolute;left:280;top:239;width:11348;height:980" id="docshape325" coordorigin="281,240" coordsize="11348,980" path="m4873,240l3116,240,281,240,281,1219,3116,1219,4873,1219,4873,240xm10346,240l6786,240,6606,240,6606,240,4873,240,4873,518,6606,518,6606,528,5905,528,5905,528,4873,528,4873,1219,5905,1219,5905,1219,6606,1219,6786,1219,7819,1219,7819,878,6786,878,6786,868,8503,868,8503,528,6786,528,6786,518,10346,518,10346,240xm11628,240l10346,240,10346,528,8664,528,8503,528,8503,868,8664,868,10346,868,10346,878,9638,878,8664,878,8503,878,7819,878,7819,1219,8503,1219,8664,1219,9638,1219,10346,1219,10346,1219,11628,1219,11628,240xe" filled="true" fillcolor="#002d5d" stroked="false">
                  <v:path arrowok="t"/>
                  <v:fill type="solid"/>
                </v:shape>
                <v:shape style="position:absolute;left:4983;top:281;width:1532;height:196" type="#_x0000_t202" id="docshape326"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z w:val="17"/>
                          </w:rPr>
                          <w:t>IMPORTE</w:t>
                        </w:r>
                        <w:r>
                          <w:rPr>
                            <w:rFonts w:ascii="Arial Narrow" w:hAnsi="Arial Narrow"/>
                            <w:b/>
                            <w:color w:val="FFFFFF"/>
                            <w:spacing w:val="-1"/>
                            <w:sz w:val="17"/>
                          </w:rPr>
                          <w:t> </w:t>
                        </w:r>
                        <w:r>
                          <w:rPr>
                            <w:rFonts w:ascii="Arial Narrow" w:hAnsi="Arial Narrow"/>
                            <w:b/>
                            <w:color w:val="FFFFFF"/>
                            <w:spacing w:val="-2"/>
                            <w:sz w:val="17"/>
                          </w:rPr>
                          <w:t>ACTUACIÓN</w:t>
                        </w:r>
                      </w:p>
                    </w:txbxContent>
                  </v:textbox>
                  <w10:wrap type="none"/>
                </v:shape>
                <v:shape style="position:absolute;left:8058;top:281;width:1035;height:196" type="#_x0000_t202" id="docshape327"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2"/>
                            <w:sz w:val="17"/>
                          </w:rPr>
                          <w:t>FINANCIACIÓN</w:t>
                        </w:r>
                      </w:p>
                    </w:txbxContent>
                  </v:textbox>
                  <w10:wrap type="none"/>
                </v:shape>
                <v:shape style="position:absolute;left:705;top:629;width:2005;height:196" type="#_x0000_t202" id="docshape328"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z w:val="17"/>
                          </w:rPr>
                          <w:t>DENOMINACIÓN</w:t>
                        </w:r>
                        <w:r>
                          <w:rPr>
                            <w:rFonts w:ascii="Arial Narrow" w:hAnsi="Arial Narrow"/>
                            <w:b/>
                            <w:color w:val="FFFFFF"/>
                            <w:spacing w:val="-8"/>
                            <w:sz w:val="17"/>
                          </w:rPr>
                          <w:t> </w:t>
                        </w:r>
                        <w:r>
                          <w:rPr>
                            <w:rFonts w:ascii="Arial Narrow" w:hAnsi="Arial Narrow"/>
                            <w:b/>
                            <w:color w:val="FFFFFF"/>
                            <w:spacing w:val="-2"/>
                            <w:sz w:val="17"/>
                          </w:rPr>
                          <w:t>ACTUACIÓN</w:t>
                        </w:r>
                      </w:p>
                    </w:txbxContent>
                  </v:textbox>
                  <w10:wrap type="none"/>
                </v:shape>
                <v:shape style="position:absolute;left:3608;top:629;width:789;height:196" type="#_x0000_t202" id="docshape329"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2"/>
                            <w:sz w:val="17"/>
                          </w:rPr>
                          <w:t>TIPOLOGÍA</w:t>
                        </w:r>
                      </w:p>
                    </w:txbxContent>
                  </v:textbox>
                  <w10:wrap type="none"/>
                </v:shape>
                <v:shape style="position:absolute;left:7177;top:598;width:950;height:196" type="#_x0000_t202" id="docshape330" filled="false" stroked="false">
                  <v:textbox inset="0,0,0,0">
                    <w:txbxContent>
                      <w:p>
                        <w:pPr>
                          <w:spacing w:before="0"/>
                          <w:ind w:left="0" w:right="0" w:firstLine="0"/>
                          <w:jc w:val="left"/>
                          <w:rPr>
                            <w:rFonts w:ascii="Arial Narrow"/>
                            <w:b/>
                            <w:sz w:val="17"/>
                          </w:rPr>
                        </w:pPr>
                        <w:r>
                          <w:rPr>
                            <w:rFonts w:ascii="Arial Narrow"/>
                            <w:b/>
                            <w:color w:val="FFFFFF"/>
                            <w:spacing w:val="-2"/>
                            <w:sz w:val="17"/>
                          </w:rPr>
                          <w:t>Ayuntamiento</w:t>
                        </w:r>
                      </w:p>
                    </w:txbxContent>
                  </v:textbox>
                  <w10:wrap type="none"/>
                </v:shape>
                <v:shape style="position:absolute;left:8757;top:598;width:1515;height:196" type="#_x0000_t202" id="docshape331"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z w:val="17"/>
                          </w:rPr>
                          <w:t>Comunidad</w:t>
                        </w:r>
                        <w:r>
                          <w:rPr>
                            <w:rFonts w:ascii="Arial Narrow" w:hAnsi="Arial Narrow"/>
                            <w:b/>
                            <w:color w:val="FFFFFF"/>
                            <w:spacing w:val="-8"/>
                            <w:sz w:val="17"/>
                          </w:rPr>
                          <w:t> </w:t>
                        </w:r>
                        <w:r>
                          <w:rPr>
                            <w:rFonts w:ascii="Arial Narrow" w:hAnsi="Arial Narrow"/>
                            <w:b/>
                            <w:color w:val="FFFFFF"/>
                            <w:spacing w:val="-2"/>
                            <w:sz w:val="17"/>
                          </w:rPr>
                          <w:t>Autónoma</w:t>
                        </w:r>
                      </w:p>
                    </w:txbxContent>
                  </v:textbox>
                  <w10:wrap type="none"/>
                </v:shape>
                <v:shape style="position:absolute;left:5302;top:773;width:188;height:196" type="#_x0000_t202" id="docshape332"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v:textbox>
                  <w10:wrap type="none"/>
                </v:shape>
                <v:shape style="position:absolute;left:6126;top:773;width:279;height:196" type="#_x0000_t202" id="docshape333" filled="false" stroked="false">
                  <v:textbox inset="0,0,0,0">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5"/>
                            <w:sz w:val="11"/>
                          </w:rPr>
                          <w:t>(*)</w:t>
                        </w:r>
                      </w:p>
                    </w:txbxContent>
                  </v:textbox>
                  <w10:wrap type="none"/>
                </v:shape>
                <v:shape style="position:absolute;left:7215;top:948;width:188;height:196" type="#_x0000_t202" id="docshape334"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v:textbox>
                  <w10:wrap type="none"/>
                </v:shape>
                <v:shape style="position:absolute;left:8013;top:948;width:314;height:196" type="#_x0000_t202" id="docshape335" filled="false" stroked="false">
                  <v:textbox inset="0,0,0,0">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4"/>
                            <w:sz w:val="11"/>
                          </w:rPr>
                          <w:t>(**)</w:t>
                        </w:r>
                      </w:p>
                    </w:txbxContent>
                  </v:textbox>
                  <w10:wrap type="none"/>
                </v:shape>
                <v:shape style="position:absolute;left:9064;top:948;width:188;height:196" type="#_x0000_t202" id="docshape336"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v:textbox>
                  <w10:wrap type="none"/>
                </v:shape>
                <v:shape style="position:absolute;left:9846;top:948;width:315;height:196" type="#_x0000_t202" id="docshape337" filled="false" stroked="false">
                  <v:textbox inset="0,0,0,0">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4"/>
                            <w:sz w:val="11"/>
                          </w:rPr>
                          <w:t>(**)</w:t>
                        </w:r>
                      </w:p>
                    </w:txbxContent>
                  </v:textbox>
                  <w10:wrap type="none"/>
                </v:shape>
                <v:shape style="position:absolute;left:10468;top:435;width:1059;height:587" type="#_x0000_t202" id="docshape338" filled="false" stroked="false">
                  <v:textbox inset="0,0,0,0">
                    <w:txbxContent>
                      <w:p>
                        <w:pPr>
                          <w:spacing w:before="0"/>
                          <w:ind w:left="0" w:right="18" w:firstLine="0"/>
                          <w:jc w:val="center"/>
                          <w:rPr>
                            <w:rFonts w:ascii="Arial Narrow" w:hAnsi="Arial Narrow"/>
                            <w:b/>
                            <w:sz w:val="17"/>
                          </w:rPr>
                        </w:pPr>
                        <w:r>
                          <w:rPr>
                            <w:rFonts w:ascii="Arial Narrow" w:hAnsi="Arial Narrow"/>
                            <w:b/>
                            <w:color w:val="FFFFFF"/>
                            <w:sz w:val="17"/>
                          </w:rPr>
                          <w:t>ESTADO</w:t>
                        </w:r>
                        <w:r>
                          <w:rPr>
                            <w:rFonts w:ascii="Arial Narrow" w:hAnsi="Arial Narrow"/>
                            <w:b/>
                            <w:color w:val="FFFFFF"/>
                            <w:spacing w:val="-10"/>
                            <w:sz w:val="17"/>
                          </w:rPr>
                          <w:t> </w:t>
                        </w:r>
                        <w:r>
                          <w:rPr>
                            <w:rFonts w:ascii="Arial Narrow" w:hAnsi="Arial Narrow"/>
                            <w:b/>
                            <w:color w:val="FFFFFF"/>
                            <w:sz w:val="17"/>
                          </w:rPr>
                          <w:t>DE</w:t>
                        </w:r>
                        <w:r>
                          <w:rPr>
                            <w:rFonts w:ascii="Arial Narrow" w:hAnsi="Arial Narrow"/>
                            <w:b/>
                            <w:color w:val="FFFFFF"/>
                            <w:spacing w:val="-10"/>
                            <w:sz w:val="17"/>
                          </w:rPr>
                          <w:t> </w:t>
                        </w:r>
                        <w:r>
                          <w:rPr>
                            <w:rFonts w:ascii="Arial Narrow" w:hAnsi="Arial Narrow"/>
                            <w:b/>
                            <w:color w:val="FFFFFF"/>
                            <w:sz w:val="17"/>
                          </w:rPr>
                          <w:t>LA</w:t>
                        </w:r>
                        <w:r>
                          <w:rPr>
                            <w:rFonts w:ascii="Arial Narrow" w:hAnsi="Arial Narrow"/>
                            <w:b/>
                            <w:color w:val="FFFFFF"/>
                            <w:spacing w:val="40"/>
                            <w:sz w:val="17"/>
                          </w:rPr>
                          <w:t> </w:t>
                        </w:r>
                        <w:r>
                          <w:rPr>
                            <w:rFonts w:ascii="Arial Narrow" w:hAnsi="Arial Narrow"/>
                            <w:b/>
                            <w:color w:val="FFFFFF"/>
                            <w:spacing w:val="-2"/>
                            <w:sz w:val="17"/>
                          </w:rPr>
                          <w:t>ACTUACIÓN</w:t>
                        </w:r>
                        <w:r>
                          <w:rPr>
                            <w:rFonts w:ascii="Arial Narrow" w:hAnsi="Arial Narrow"/>
                            <w:b/>
                            <w:color w:val="FFFFFF"/>
                            <w:spacing w:val="40"/>
                            <w:sz w:val="17"/>
                          </w:rPr>
                          <w:t> </w:t>
                        </w:r>
                        <w:r>
                          <w:rPr>
                            <w:rFonts w:ascii="Arial Narrow" w:hAnsi="Arial Narrow"/>
                            <w:b/>
                            <w:color w:val="FFFFFF"/>
                            <w:spacing w:val="-2"/>
                            <w:sz w:val="17"/>
                          </w:rPr>
                          <w:t>31/12/2024</w:t>
                        </w:r>
                      </w:p>
                    </w:txbxContent>
                  </v:textbox>
                  <w10:wrap type="none"/>
                </v:shape>
                <w10:wrap type="topAndBottom"/>
              </v:group>
            </w:pict>
          </mc:Fallback>
        </mc:AlternateContent>
      </w:r>
    </w:p>
    <w:p>
      <w:pPr>
        <w:pStyle w:val="BodyText"/>
        <w:rPr>
          <w:b/>
          <w:sz w:val="17"/>
        </w:rPr>
      </w:pPr>
    </w:p>
    <w:p>
      <w:pPr>
        <w:pStyle w:val="BodyText"/>
        <w:rPr>
          <w:b/>
          <w:sz w:val="17"/>
        </w:rPr>
      </w:pPr>
    </w:p>
    <w:p>
      <w:pPr>
        <w:pStyle w:val="BodyText"/>
        <w:rPr>
          <w:b/>
          <w:sz w:val="17"/>
        </w:rPr>
      </w:pPr>
    </w:p>
    <w:p>
      <w:pPr>
        <w:pStyle w:val="BodyText"/>
        <w:rPr>
          <w:b/>
          <w:sz w:val="17"/>
        </w:rPr>
      </w:pPr>
    </w:p>
    <w:p>
      <w:pPr>
        <w:pStyle w:val="BodyText"/>
        <w:spacing w:before="15"/>
        <w:rPr>
          <w:b/>
          <w:sz w:val="17"/>
        </w:rPr>
      </w:pPr>
    </w:p>
    <w:p>
      <w:pPr>
        <w:spacing w:before="1"/>
        <w:ind w:left="209" w:right="0" w:firstLine="0"/>
        <w:jc w:val="left"/>
        <w:rPr>
          <w:rFonts w:ascii="Arial Narrow" w:hAnsi="Arial Narrow"/>
          <w:sz w:val="17"/>
        </w:rPr>
      </w:pPr>
      <w:r>
        <w:rPr>
          <w:rFonts w:ascii="Arial Narrow" w:hAnsi="Arial Narrow"/>
          <w:sz w:val="17"/>
        </w:rPr>
        <mc:AlternateContent>
          <mc:Choice Requires="wps">
            <w:drawing>
              <wp:anchor distT="0" distB="0" distL="0" distR="0" allowOverlap="1" layoutInCell="1" locked="0" behindDoc="0" simplePos="0" relativeHeight="15775232">
                <wp:simplePos x="0" y="0"/>
                <wp:positionH relativeFrom="page">
                  <wp:posOffset>140207</wp:posOffset>
                </wp:positionH>
                <wp:positionV relativeFrom="paragraph">
                  <wp:posOffset>-630830</wp:posOffset>
                </wp:positionV>
                <wp:extent cx="7283450" cy="4238625"/>
                <wp:effectExtent l="0" t="0" r="0" b="0"/>
                <wp:wrapNone/>
                <wp:docPr id="392" name="Textbox 392"/>
                <wp:cNvGraphicFramePr>
                  <a:graphicFrameLocks/>
                </wp:cNvGraphicFramePr>
                <a:graphic>
                  <a:graphicData uri="http://schemas.microsoft.com/office/word/2010/wordprocessingShape">
                    <wps:wsp>
                      <wps:cNvPr id="392" name="Textbox 392"/>
                      <wps:cNvSpPr txBox="1"/>
                      <wps:spPr>
                        <a:xfrm>
                          <a:off x="0" y="0"/>
                          <a:ext cx="7283450" cy="423862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460"/>
                              <w:gridCol w:w="1231"/>
                              <w:gridCol w:w="724"/>
                              <w:gridCol w:w="1181"/>
                              <w:gridCol w:w="773"/>
                              <w:gridCol w:w="1058"/>
                              <w:gridCol w:w="725"/>
                              <w:gridCol w:w="1197"/>
                            </w:tblGrid>
                            <w:tr>
                              <w:trPr>
                                <w:trHeight w:val="194" w:hRule="atLeast"/>
                              </w:trPr>
                              <w:tc>
                                <w:tcPr>
                                  <w:tcW w:w="4460" w:type="dxa"/>
                                </w:tcPr>
                                <w:p>
                                  <w:pPr>
                                    <w:pStyle w:val="TableParagraph"/>
                                    <w:spacing w:line="174" w:lineRule="exact"/>
                                    <w:ind w:left="2904" w:right="-58"/>
                                    <w:rPr>
                                      <w:sz w:val="17"/>
                                    </w:rPr>
                                  </w:pPr>
                                  <w:r>
                                    <w:rPr>
                                      <w:sz w:val="17"/>
                                    </w:rPr>
                                    <w:t>Adquisición</w:t>
                                  </w:r>
                                  <w:r>
                                    <w:rPr>
                                      <w:spacing w:val="-5"/>
                                      <w:sz w:val="17"/>
                                    </w:rPr>
                                    <w:t> </w:t>
                                  </w:r>
                                  <w:r>
                                    <w:rPr>
                                      <w:sz w:val="17"/>
                                    </w:rPr>
                                    <w:t>material</w:t>
                                  </w:r>
                                  <w:r>
                                    <w:rPr>
                                      <w:spacing w:val="-3"/>
                                      <w:sz w:val="17"/>
                                    </w:rPr>
                                    <w:t> </w:t>
                                  </w:r>
                                  <w:r>
                                    <w:rPr>
                                      <w:spacing w:val="-2"/>
                                      <w:sz w:val="17"/>
                                    </w:rPr>
                                    <w:t>móvil</w:t>
                                  </w:r>
                                </w:p>
                              </w:tc>
                              <w:tc>
                                <w:tcPr>
                                  <w:tcW w:w="6889" w:type="dxa"/>
                                  <w:gridSpan w:val="7"/>
                                </w:tcPr>
                                <w:p>
                                  <w:pPr>
                                    <w:pStyle w:val="TableParagraph"/>
                                    <w:rPr>
                                      <w:rFonts w:ascii="Times New Roman"/>
                                      <w:sz w:val="12"/>
                                    </w:rPr>
                                  </w:pPr>
                                </w:p>
                              </w:tc>
                            </w:tr>
                            <w:tr>
                              <w:trPr>
                                <w:trHeight w:val="390" w:hRule="atLeast"/>
                              </w:trPr>
                              <w:tc>
                                <w:tcPr>
                                  <w:tcW w:w="5691" w:type="dxa"/>
                                  <w:gridSpan w:val="2"/>
                                  <w:tcBorders>
                                    <w:bottom w:val="single" w:sz="8" w:space="0" w:color="002D5D"/>
                                  </w:tcBorders>
                                </w:tcPr>
                                <w:p>
                                  <w:pPr>
                                    <w:pStyle w:val="TableParagraph"/>
                                    <w:tabs>
                                      <w:tab w:pos="2834" w:val="left" w:leader="none"/>
                                      <w:tab w:pos="4671" w:val="left" w:leader="none"/>
                                    </w:tabs>
                                    <w:spacing w:line="195" w:lineRule="exact"/>
                                    <w:ind w:right="66"/>
                                    <w:jc w:val="center"/>
                                    <w:rPr>
                                      <w:sz w:val="17"/>
                                    </w:rPr>
                                  </w:pPr>
                                  <w:r>
                                    <w:rPr>
                                      <w:sz w:val="17"/>
                                    </w:rPr>
                                    <w:t>Adquisición</w:t>
                                  </w:r>
                                  <w:r>
                                    <w:rPr>
                                      <w:spacing w:val="-4"/>
                                      <w:sz w:val="17"/>
                                    </w:rPr>
                                    <w:t> </w:t>
                                  </w:r>
                                  <w:r>
                                    <w:rPr>
                                      <w:sz w:val="17"/>
                                    </w:rPr>
                                    <w:t>23</w:t>
                                  </w:r>
                                  <w:r>
                                    <w:rPr>
                                      <w:spacing w:val="-4"/>
                                      <w:sz w:val="17"/>
                                    </w:rPr>
                                    <w:t> </w:t>
                                  </w:r>
                                  <w:r>
                                    <w:rPr>
                                      <w:sz w:val="17"/>
                                    </w:rPr>
                                    <w:t>autobuses</w:t>
                                  </w:r>
                                  <w:r>
                                    <w:rPr>
                                      <w:spacing w:val="-4"/>
                                      <w:sz w:val="17"/>
                                    </w:rPr>
                                    <w:t> </w:t>
                                  </w:r>
                                  <w:r>
                                    <w:rPr>
                                      <w:sz w:val="17"/>
                                    </w:rPr>
                                    <w:t>GNC-</w:t>
                                  </w:r>
                                  <w:r>
                                    <w:rPr>
                                      <w:spacing w:val="-2"/>
                                      <w:sz w:val="17"/>
                                    </w:rPr>
                                    <w:t>híbrido</w:t>
                                  </w:r>
                                  <w:r>
                                    <w:rPr>
                                      <w:sz w:val="17"/>
                                    </w:rPr>
                                    <w:tab/>
                                    <w:t>e</w:t>
                                  </w:r>
                                  <w:r>
                                    <w:rPr>
                                      <w:spacing w:val="-7"/>
                                      <w:sz w:val="17"/>
                                    </w:rPr>
                                    <w:t> </w:t>
                                  </w:r>
                                  <w:r>
                                    <w:rPr>
                                      <w:sz w:val="17"/>
                                    </w:rPr>
                                    <w:t>infraestructuras</w:t>
                                  </w:r>
                                  <w:r>
                                    <w:rPr>
                                      <w:spacing w:val="-4"/>
                                      <w:sz w:val="17"/>
                                    </w:rPr>
                                    <w:t> </w:t>
                                  </w:r>
                                  <w:r>
                                    <w:rPr>
                                      <w:spacing w:val="-5"/>
                                      <w:sz w:val="17"/>
                                    </w:rPr>
                                    <w:t>de</w:t>
                                  </w:r>
                                  <w:r>
                                    <w:rPr>
                                      <w:sz w:val="17"/>
                                    </w:rPr>
                                    <w:tab/>
                                  </w:r>
                                  <w:r>
                                    <w:rPr>
                                      <w:spacing w:val="-2"/>
                                      <w:sz w:val="17"/>
                                    </w:rPr>
                                    <w:t>7.755.000,00</w:t>
                                  </w:r>
                                </w:p>
                                <w:p>
                                  <w:pPr>
                                    <w:pStyle w:val="TableParagraph"/>
                                    <w:spacing w:line="175" w:lineRule="exact"/>
                                    <w:ind w:left="655" w:right="66"/>
                                    <w:jc w:val="center"/>
                                    <w:rPr>
                                      <w:sz w:val="17"/>
                                    </w:rPr>
                                  </w:pPr>
                                  <w:r>
                                    <w:rPr>
                                      <w:spacing w:val="-2"/>
                                      <w:sz w:val="17"/>
                                    </w:rPr>
                                    <w:t>recarga</w:t>
                                  </w:r>
                                </w:p>
                              </w:tc>
                              <w:tc>
                                <w:tcPr>
                                  <w:tcW w:w="724" w:type="dxa"/>
                                  <w:tcBorders>
                                    <w:bottom w:val="single" w:sz="8" w:space="0" w:color="002D5D"/>
                                  </w:tcBorders>
                                </w:tcPr>
                                <w:p>
                                  <w:pPr>
                                    <w:pStyle w:val="TableParagraph"/>
                                    <w:ind w:right="158"/>
                                    <w:jc w:val="right"/>
                                    <w:rPr>
                                      <w:sz w:val="17"/>
                                    </w:rPr>
                                  </w:pPr>
                                  <w:r>
                                    <w:rPr>
                                      <w:spacing w:val="-2"/>
                                      <w:sz w:val="17"/>
                                    </w:rPr>
                                    <w:t>60,80</w:t>
                                  </w:r>
                                </w:p>
                              </w:tc>
                              <w:tc>
                                <w:tcPr>
                                  <w:tcW w:w="1181" w:type="dxa"/>
                                  <w:tcBorders>
                                    <w:bottom w:val="single" w:sz="8" w:space="0" w:color="002D5D"/>
                                  </w:tcBorders>
                                </w:tcPr>
                                <w:p>
                                  <w:pPr>
                                    <w:pStyle w:val="TableParagraph"/>
                                    <w:ind w:right="127"/>
                                    <w:jc w:val="right"/>
                                    <w:rPr>
                                      <w:sz w:val="17"/>
                                    </w:rPr>
                                  </w:pPr>
                                  <w:r>
                                    <w:rPr>
                                      <w:spacing w:val="-2"/>
                                      <w:sz w:val="17"/>
                                    </w:rPr>
                                    <w:t>7.755.000,00</w:t>
                                  </w:r>
                                </w:p>
                              </w:tc>
                              <w:tc>
                                <w:tcPr>
                                  <w:tcW w:w="773" w:type="dxa"/>
                                  <w:tcBorders>
                                    <w:bottom w:val="single" w:sz="8" w:space="0" w:color="002D5D"/>
                                  </w:tcBorders>
                                </w:tcPr>
                                <w:p>
                                  <w:pPr>
                                    <w:pStyle w:val="TableParagraph"/>
                                    <w:ind w:left="67" w:right="153"/>
                                    <w:jc w:val="center"/>
                                    <w:rPr>
                                      <w:sz w:val="17"/>
                                    </w:rPr>
                                  </w:pPr>
                                  <w:r>
                                    <w:rPr>
                                      <w:spacing w:val="-2"/>
                                      <w:sz w:val="17"/>
                                    </w:rPr>
                                    <w:t>100,00</w:t>
                                  </w:r>
                                </w:p>
                              </w:tc>
                              <w:tc>
                                <w:tcPr>
                                  <w:tcW w:w="1058" w:type="dxa"/>
                                  <w:tcBorders>
                                    <w:bottom w:val="single" w:sz="8" w:space="0" w:color="002D5D"/>
                                  </w:tcBorders>
                                </w:tcPr>
                                <w:p>
                                  <w:pPr>
                                    <w:pStyle w:val="TableParagraph"/>
                                    <w:ind w:right="141"/>
                                    <w:jc w:val="right"/>
                                    <w:rPr>
                                      <w:sz w:val="17"/>
                                    </w:rPr>
                                  </w:pPr>
                                  <w:r>
                                    <w:rPr>
                                      <w:spacing w:val="-4"/>
                                      <w:sz w:val="17"/>
                                    </w:rPr>
                                    <w:t>0,00</w:t>
                                  </w:r>
                                </w:p>
                              </w:tc>
                              <w:tc>
                                <w:tcPr>
                                  <w:tcW w:w="725" w:type="dxa"/>
                                  <w:tcBorders>
                                    <w:bottom w:val="single" w:sz="8" w:space="0" w:color="002D5D"/>
                                  </w:tcBorders>
                                </w:tcPr>
                                <w:p>
                                  <w:pPr>
                                    <w:pStyle w:val="TableParagraph"/>
                                    <w:ind w:right="153"/>
                                    <w:jc w:val="right"/>
                                    <w:rPr>
                                      <w:sz w:val="17"/>
                                    </w:rPr>
                                  </w:pPr>
                                  <w:r>
                                    <w:rPr>
                                      <w:spacing w:val="-4"/>
                                      <w:sz w:val="17"/>
                                    </w:rPr>
                                    <w:t>0,00</w:t>
                                  </w:r>
                                </w:p>
                              </w:tc>
                              <w:tc>
                                <w:tcPr>
                                  <w:tcW w:w="1197" w:type="dxa"/>
                                  <w:tcBorders>
                                    <w:bottom w:val="single" w:sz="8" w:space="0" w:color="002D5D"/>
                                  </w:tcBorders>
                                </w:tcPr>
                                <w:p>
                                  <w:pPr>
                                    <w:pStyle w:val="TableParagraph"/>
                                    <w:ind w:left="58" w:right="85"/>
                                    <w:jc w:val="center"/>
                                    <w:rPr>
                                      <w:sz w:val="17"/>
                                    </w:rPr>
                                  </w:pPr>
                                  <w:r>
                                    <w:rPr>
                                      <w:sz w:val="17"/>
                                    </w:rPr>
                                    <w:t>En</w:t>
                                  </w:r>
                                  <w:r>
                                    <w:rPr>
                                      <w:spacing w:val="-1"/>
                                      <w:sz w:val="17"/>
                                    </w:rPr>
                                    <w:t> </w:t>
                                  </w:r>
                                  <w:r>
                                    <w:rPr>
                                      <w:spacing w:val="-2"/>
                                      <w:sz w:val="17"/>
                                    </w:rPr>
                                    <w:t>ejecución</w:t>
                                  </w:r>
                                </w:p>
                              </w:tc>
                            </w:tr>
                            <w:tr>
                              <w:trPr>
                                <w:trHeight w:val="587" w:hRule="atLeast"/>
                              </w:trPr>
                              <w:tc>
                                <w:tcPr>
                                  <w:tcW w:w="5691" w:type="dxa"/>
                                  <w:gridSpan w:val="2"/>
                                  <w:tcBorders>
                                    <w:top w:val="single" w:sz="8" w:space="0" w:color="002D5D"/>
                                    <w:bottom w:val="single" w:sz="8" w:space="0" w:color="002D5D"/>
                                  </w:tcBorders>
                                </w:tcPr>
                                <w:p>
                                  <w:pPr>
                                    <w:pStyle w:val="TableParagraph"/>
                                    <w:tabs>
                                      <w:tab w:pos="2904" w:val="left" w:leader="none"/>
                                    </w:tabs>
                                    <w:spacing w:line="148" w:lineRule="auto" w:before="23"/>
                                    <w:ind w:left="69"/>
                                    <w:rPr>
                                      <w:position w:val="-9"/>
                                      <w:sz w:val="17"/>
                                    </w:rPr>
                                  </w:pPr>
                                  <w:r>
                                    <w:rPr>
                                      <w:sz w:val="17"/>
                                    </w:rPr>
                                    <w:t>Instalación</w:t>
                                  </w:r>
                                  <w:r>
                                    <w:rPr>
                                      <w:spacing w:val="-5"/>
                                      <w:sz w:val="17"/>
                                    </w:rPr>
                                    <w:t> </w:t>
                                  </w:r>
                                  <w:r>
                                    <w:rPr>
                                      <w:sz w:val="17"/>
                                    </w:rPr>
                                    <w:t>de</w:t>
                                  </w:r>
                                  <w:r>
                                    <w:rPr>
                                      <w:spacing w:val="-4"/>
                                      <w:sz w:val="17"/>
                                    </w:rPr>
                                    <w:t> </w:t>
                                  </w:r>
                                  <w:r>
                                    <w:rPr>
                                      <w:sz w:val="17"/>
                                    </w:rPr>
                                    <w:t>pavimento</w:t>
                                  </w:r>
                                  <w:r>
                                    <w:rPr>
                                      <w:spacing w:val="-5"/>
                                      <w:sz w:val="17"/>
                                    </w:rPr>
                                    <w:t> </w:t>
                                  </w:r>
                                  <w:r>
                                    <w:rPr>
                                      <w:sz w:val="17"/>
                                    </w:rPr>
                                    <w:t>podotáctil</w:t>
                                  </w:r>
                                  <w:r>
                                    <w:rPr>
                                      <w:spacing w:val="-3"/>
                                      <w:sz w:val="17"/>
                                    </w:rPr>
                                    <w:t> </w:t>
                                  </w:r>
                                  <w:r>
                                    <w:rPr>
                                      <w:spacing w:val="-5"/>
                                      <w:sz w:val="17"/>
                                    </w:rPr>
                                    <w:t>en</w:t>
                                  </w:r>
                                  <w:r>
                                    <w:rPr>
                                      <w:sz w:val="17"/>
                                    </w:rPr>
                                    <w:tab/>
                                  </w:r>
                                  <w:r>
                                    <w:rPr>
                                      <w:position w:val="-9"/>
                                      <w:sz w:val="17"/>
                                    </w:rPr>
                                    <w:t>Obras</w:t>
                                  </w:r>
                                  <w:r>
                                    <w:rPr>
                                      <w:spacing w:val="-6"/>
                                      <w:position w:val="-9"/>
                                      <w:sz w:val="17"/>
                                    </w:rPr>
                                    <w:t> </w:t>
                                  </w:r>
                                  <w:r>
                                    <w:rPr>
                                      <w:position w:val="-9"/>
                                      <w:sz w:val="17"/>
                                    </w:rPr>
                                    <w:t>y</w:t>
                                  </w:r>
                                  <w:r>
                                    <w:rPr>
                                      <w:spacing w:val="-2"/>
                                      <w:position w:val="-9"/>
                                      <w:sz w:val="17"/>
                                    </w:rPr>
                                    <w:t> </w:t>
                                  </w:r>
                                  <w:r>
                                    <w:rPr>
                                      <w:position w:val="-9"/>
                                      <w:sz w:val="17"/>
                                    </w:rPr>
                                    <w:t>estructuras</w:t>
                                  </w:r>
                                  <w:r>
                                    <w:rPr>
                                      <w:spacing w:val="-3"/>
                                      <w:position w:val="-9"/>
                                      <w:sz w:val="17"/>
                                    </w:rPr>
                                    <w:t> </w:t>
                                  </w:r>
                                  <w:r>
                                    <w:rPr>
                                      <w:spacing w:val="-5"/>
                                      <w:position w:val="-9"/>
                                      <w:sz w:val="17"/>
                                    </w:rPr>
                                    <w:t>en</w:t>
                                  </w:r>
                                </w:p>
                                <w:p>
                                  <w:pPr>
                                    <w:pStyle w:val="TableParagraph"/>
                                    <w:tabs>
                                      <w:tab w:pos="2904" w:val="left" w:leader="none"/>
                                      <w:tab w:pos="5012" w:val="left" w:leader="none"/>
                                    </w:tabs>
                                    <w:spacing w:line="163" w:lineRule="auto"/>
                                    <w:ind w:left="69"/>
                                    <w:rPr>
                                      <w:sz w:val="17"/>
                                    </w:rPr>
                                  </w:pPr>
                                  <w:r>
                                    <w:rPr>
                                      <w:sz w:val="17"/>
                                    </w:rPr>
                                    <w:t>paradas</w:t>
                                  </w:r>
                                  <w:r>
                                    <w:rPr>
                                      <w:spacing w:val="-3"/>
                                      <w:sz w:val="17"/>
                                    </w:rPr>
                                    <w:t> </w:t>
                                  </w:r>
                                  <w:r>
                                    <w:rPr>
                                      <w:sz w:val="17"/>
                                    </w:rPr>
                                    <w:t>de</w:t>
                                  </w:r>
                                  <w:r>
                                    <w:rPr>
                                      <w:spacing w:val="-3"/>
                                      <w:sz w:val="17"/>
                                    </w:rPr>
                                    <w:t> </w:t>
                                  </w:r>
                                  <w:r>
                                    <w:rPr>
                                      <w:sz w:val="17"/>
                                    </w:rPr>
                                    <w:t>bus</w:t>
                                  </w:r>
                                  <w:r>
                                    <w:rPr>
                                      <w:spacing w:val="-3"/>
                                      <w:sz w:val="17"/>
                                    </w:rPr>
                                    <w:t> </w:t>
                                  </w:r>
                                  <w:r>
                                    <w:rPr>
                                      <w:sz w:val="17"/>
                                    </w:rPr>
                                    <w:t>Avda.</w:t>
                                  </w:r>
                                  <w:r>
                                    <w:rPr>
                                      <w:spacing w:val="-3"/>
                                      <w:sz w:val="17"/>
                                    </w:rPr>
                                    <w:t> </w:t>
                                  </w:r>
                                  <w:r>
                                    <w:rPr>
                                      <w:sz w:val="17"/>
                                    </w:rPr>
                                    <w:t>Aeropuerto,</w:t>
                                  </w:r>
                                  <w:r>
                                    <w:rPr>
                                      <w:spacing w:val="-2"/>
                                      <w:sz w:val="17"/>
                                    </w:rPr>
                                    <w:t> </w:t>
                                  </w:r>
                                  <w:r>
                                    <w:rPr>
                                      <w:spacing w:val="-5"/>
                                      <w:sz w:val="17"/>
                                    </w:rPr>
                                    <w:t>c/</w:t>
                                  </w:r>
                                  <w:r>
                                    <w:rPr>
                                      <w:sz w:val="17"/>
                                    </w:rPr>
                                    <w:tab/>
                                  </w:r>
                                  <w:r>
                                    <w:rPr>
                                      <w:position w:val="-9"/>
                                      <w:sz w:val="17"/>
                                    </w:rPr>
                                    <w:t>vía</w:t>
                                  </w:r>
                                  <w:r>
                                    <w:rPr>
                                      <w:spacing w:val="-4"/>
                                      <w:position w:val="-9"/>
                                      <w:sz w:val="17"/>
                                    </w:rPr>
                                    <w:t> </w:t>
                                  </w:r>
                                  <w:r>
                                    <w:rPr>
                                      <w:spacing w:val="-2"/>
                                      <w:position w:val="-9"/>
                                      <w:sz w:val="17"/>
                                    </w:rPr>
                                    <w:t>pública</w:t>
                                  </w:r>
                                  <w:r>
                                    <w:rPr>
                                      <w:position w:val="-9"/>
                                      <w:sz w:val="17"/>
                                    </w:rPr>
                                    <w:tab/>
                                  </w:r>
                                  <w:r>
                                    <w:rPr>
                                      <w:spacing w:val="-2"/>
                                      <w:sz w:val="17"/>
                                    </w:rPr>
                                    <w:t>2.553,62</w:t>
                                  </w:r>
                                </w:p>
                              </w:tc>
                              <w:tc>
                                <w:tcPr>
                                  <w:tcW w:w="724" w:type="dxa"/>
                                  <w:tcBorders>
                                    <w:top w:val="single" w:sz="8" w:space="0" w:color="002D5D"/>
                                    <w:bottom w:val="single" w:sz="8" w:space="0" w:color="002D5D"/>
                                  </w:tcBorders>
                                </w:tcPr>
                                <w:p>
                                  <w:pPr>
                                    <w:pStyle w:val="TableParagraph"/>
                                    <w:rPr>
                                      <w:sz w:val="17"/>
                                    </w:rPr>
                                  </w:pPr>
                                </w:p>
                                <w:p>
                                  <w:pPr>
                                    <w:pStyle w:val="TableParagraph"/>
                                    <w:ind w:right="158"/>
                                    <w:jc w:val="right"/>
                                    <w:rPr>
                                      <w:sz w:val="17"/>
                                    </w:rPr>
                                  </w:pPr>
                                  <w:r>
                                    <w:rPr>
                                      <w:spacing w:val="-4"/>
                                      <w:sz w:val="17"/>
                                    </w:rPr>
                                    <w:t>0,02</w:t>
                                  </w:r>
                                </w:p>
                              </w:tc>
                              <w:tc>
                                <w:tcPr>
                                  <w:tcW w:w="1181" w:type="dxa"/>
                                  <w:tcBorders>
                                    <w:top w:val="single" w:sz="8" w:space="0" w:color="002D5D"/>
                                    <w:bottom w:val="single" w:sz="8" w:space="0" w:color="002D5D"/>
                                  </w:tcBorders>
                                </w:tcPr>
                                <w:p>
                                  <w:pPr>
                                    <w:pStyle w:val="TableParagraph"/>
                                    <w:rPr>
                                      <w:sz w:val="17"/>
                                    </w:rPr>
                                  </w:pPr>
                                </w:p>
                                <w:p>
                                  <w:pPr>
                                    <w:pStyle w:val="TableParagraph"/>
                                    <w:ind w:right="127"/>
                                    <w:jc w:val="right"/>
                                    <w:rPr>
                                      <w:sz w:val="17"/>
                                    </w:rPr>
                                  </w:pPr>
                                  <w:r>
                                    <w:rPr>
                                      <w:spacing w:val="-2"/>
                                      <w:sz w:val="17"/>
                                    </w:rPr>
                                    <w:t>2.553,62</w:t>
                                  </w:r>
                                </w:p>
                              </w:tc>
                              <w:tc>
                                <w:tcPr>
                                  <w:tcW w:w="773" w:type="dxa"/>
                                  <w:tcBorders>
                                    <w:top w:val="single" w:sz="8" w:space="0" w:color="002D5D"/>
                                    <w:bottom w:val="single" w:sz="8" w:space="0" w:color="002D5D"/>
                                  </w:tcBorders>
                                </w:tcPr>
                                <w:p>
                                  <w:pPr>
                                    <w:pStyle w:val="TableParagraph"/>
                                    <w:rPr>
                                      <w:sz w:val="17"/>
                                    </w:rPr>
                                  </w:pPr>
                                </w:p>
                                <w:p>
                                  <w:pPr>
                                    <w:pStyle w:val="TableParagraph"/>
                                    <w:ind w:left="67" w:right="153"/>
                                    <w:jc w:val="center"/>
                                    <w:rPr>
                                      <w:sz w:val="17"/>
                                    </w:rPr>
                                  </w:pPr>
                                  <w:r>
                                    <w:rPr>
                                      <w:spacing w:val="-2"/>
                                      <w:sz w:val="17"/>
                                    </w:rPr>
                                    <w:t>100,00</w:t>
                                  </w:r>
                                </w:p>
                              </w:tc>
                              <w:tc>
                                <w:tcPr>
                                  <w:tcW w:w="1058" w:type="dxa"/>
                                  <w:tcBorders>
                                    <w:top w:val="single" w:sz="8" w:space="0" w:color="002D5D"/>
                                    <w:bottom w:val="single" w:sz="8" w:space="0" w:color="002D5D"/>
                                  </w:tcBorders>
                                </w:tcPr>
                                <w:p>
                                  <w:pPr>
                                    <w:pStyle w:val="TableParagraph"/>
                                    <w:rPr>
                                      <w:sz w:val="17"/>
                                    </w:rPr>
                                  </w:pPr>
                                </w:p>
                                <w:p>
                                  <w:pPr>
                                    <w:pStyle w:val="TableParagraph"/>
                                    <w:ind w:right="141"/>
                                    <w:jc w:val="right"/>
                                    <w:rPr>
                                      <w:sz w:val="17"/>
                                    </w:rPr>
                                  </w:pPr>
                                  <w:r>
                                    <w:rPr>
                                      <w:spacing w:val="-4"/>
                                      <w:sz w:val="17"/>
                                    </w:rPr>
                                    <w:t>0,00</w:t>
                                  </w:r>
                                </w:p>
                              </w:tc>
                              <w:tc>
                                <w:tcPr>
                                  <w:tcW w:w="725" w:type="dxa"/>
                                  <w:tcBorders>
                                    <w:top w:val="single" w:sz="8" w:space="0" w:color="002D5D"/>
                                    <w:bottom w:val="single" w:sz="8" w:space="0" w:color="002D5D"/>
                                  </w:tcBorders>
                                </w:tcPr>
                                <w:p>
                                  <w:pPr>
                                    <w:pStyle w:val="TableParagraph"/>
                                    <w:rPr>
                                      <w:sz w:val="17"/>
                                    </w:rPr>
                                  </w:pPr>
                                </w:p>
                                <w:p>
                                  <w:pPr>
                                    <w:pStyle w:val="TableParagraph"/>
                                    <w:ind w:right="153"/>
                                    <w:jc w:val="right"/>
                                    <w:rPr>
                                      <w:sz w:val="17"/>
                                    </w:rPr>
                                  </w:pPr>
                                  <w:r>
                                    <w:rPr>
                                      <w:spacing w:val="-4"/>
                                      <w:sz w:val="17"/>
                                    </w:rPr>
                                    <w:t>0,00</w:t>
                                  </w:r>
                                </w:p>
                              </w:tc>
                              <w:tc>
                                <w:tcPr>
                                  <w:tcW w:w="1197" w:type="dxa"/>
                                  <w:tcBorders>
                                    <w:top w:val="single" w:sz="8" w:space="0" w:color="002D5D"/>
                                    <w:bottom w:val="single" w:sz="8" w:space="0" w:color="002D5D"/>
                                  </w:tcBorders>
                                </w:tcPr>
                                <w:p>
                                  <w:pPr>
                                    <w:pStyle w:val="TableParagraph"/>
                                    <w:rPr>
                                      <w:sz w:val="17"/>
                                    </w:rPr>
                                  </w:pPr>
                                </w:p>
                                <w:p>
                                  <w:pPr>
                                    <w:pStyle w:val="TableParagraph"/>
                                    <w:ind w:right="85"/>
                                    <w:jc w:val="center"/>
                                    <w:rPr>
                                      <w:sz w:val="17"/>
                                    </w:rPr>
                                  </w:pPr>
                                  <w:r>
                                    <w:rPr>
                                      <w:spacing w:val="-2"/>
                                      <w:sz w:val="17"/>
                                    </w:rPr>
                                    <w:t>Finalizada</w:t>
                                  </w:r>
                                </w:p>
                              </w:tc>
                            </w:tr>
                            <w:tr>
                              <w:trPr>
                                <w:trHeight w:val="536" w:hRule="atLeast"/>
                              </w:trPr>
                              <w:tc>
                                <w:tcPr>
                                  <w:tcW w:w="5691" w:type="dxa"/>
                                  <w:gridSpan w:val="2"/>
                                  <w:tcBorders>
                                    <w:top w:val="single" w:sz="8" w:space="0" w:color="002D5D"/>
                                    <w:bottom w:val="single" w:sz="8" w:space="0" w:color="002D5D"/>
                                  </w:tcBorders>
                                </w:tcPr>
                                <w:p>
                                  <w:pPr>
                                    <w:pStyle w:val="TableParagraph"/>
                                    <w:tabs>
                                      <w:tab w:pos="2904" w:val="left" w:leader="none"/>
                                      <w:tab w:pos="4935" w:val="left" w:leader="none"/>
                                    </w:tabs>
                                    <w:spacing w:before="73"/>
                                    <w:ind w:left="69"/>
                                    <w:rPr>
                                      <w:position w:val="-9"/>
                                      <w:sz w:val="17"/>
                                    </w:rPr>
                                  </w:pPr>
                                  <w:r>
                                    <w:rPr>
                                      <w:sz w:val="17"/>
                                    </w:rPr>
                                    <w:t>Suministro</w:t>
                                  </w:r>
                                  <w:r>
                                    <w:rPr>
                                      <w:spacing w:val="-3"/>
                                      <w:sz w:val="17"/>
                                    </w:rPr>
                                    <w:t> </w:t>
                                  </w:r>
                                  <w:r>
                                    <w:rPr>
                                      <w:sz w:val="17"/>
                                    </w:rPr>
                                    <w:t>e</w:t>
                                  </w:r>
                                  <w:r>
                                    <w:rPr>
                                      <w:spacing w:val="-4"/>
                                      <w:sz w:val="17"/>
                                    </w:rPr>
                                    <w:t> </w:t>
                                  </w:r>
                                  <w:r>
                                    <w:rPr>
                                      <w:sz w:val="17"/>
                                    </w:rPr>
                                    <w:t>instalación</w:t>
                                  </w:r>
                                  <w:r>
                                    <w:rPr>
                                      <w:spacing w:val="-3"/>
                                      <w:sz w:val="17"/>
                                    </w:rPr>
                                    <w:t> </w:t>
                                  </w:r>
                                  <w:r>
                                    <w:rPr>
                                      <w:sz w:val="17"/>
                                    </w:rPr>
                                    <w:t>de</w:t>
                                  </w:r>
                                  <w:r>
                                    <w:rPr>
                                      <w:spacing w:val="-2"/>
                                      <w:sz w:val="17"/>
                                    </w:rPr>
                                    <w:t> marquesinas</w:t>
                                  </w:r>
                                  <w:r>
                                    <w:rPr>
                                      <w:sz w:val="17"/>
                                    </w:rPr>
                                    <w:tab/>
                                    <w:t>Obras</w:t>
                                  </w:r>
                                  <w:r>
                                    <w:rPr>
                                      <w:spacing w:val="-6"/>
                                      <w:sz w:val="17"/>
                                    </w:rPr>
                                    <w:t> </w:t>
                                  </w:r>
                                  <w:r>
                                    <w:rPr>
                                      <w:sz w:val="17"/>
                                    </w:rPr>
                                    <w:t>y</w:t>
                                  </w:r>
                                  <w:r>
                                    <w:rPr>
                                      <w:spacing w:val="-2"/>
                                      <w:sz w:val="17"/>
                                    </w:rPr>
                                    <w:t> </w:t>
                                  </w:r>
                                  <w:r>
                                    <w:rPr>
                                      <w:sz w:val="17"/>
                                    </w:rPr>
                                    <w:t>estructuras</w:t>
                                  </w:r>
                                  <w:r>
                                    <w:rPr>
                                      <w:spacing w:val="-3"/>
                                      <w:sz w:val="17"/>
                                    </w:rPr>
                                    <w:t> </w:t>
                                  </w:r>
                                  <w:r>
                                    <w:rPr>
                                      <w:spacing w:val="-5"/>
                                      <w:sz w:val="17"/>
                                    </w:rPr>
                                    <w:t>en</w:t>
                                  </w:r>
                                  <w:r>
                                    <w:rPr>
                                      <w:sz w:val="17"/>
                                    </w:rPr>
                                    <w:tab/>
                                  </w:r>
                                  <w:r>
                                    <w:rPr>
                                      <w:spacing w:val="-2"/>
                                      <w:position w:val="-9"/>
                                      <w:sz w:val="17"/>
                                    </w:rPr>
                                    <w:t>14.750,00</w:t>
                                  </w:r>
                                </w:p>
                              </w:tc>
                              <w:tc>
                                <w:tcPr>
                                  <w:tcW w:w="724" w:type="dxa"/>
                                  <w:tcBorders>
                                    <w:top w:val="single" w:sz="8" w:space="0" w:color="002D5D"/>
                                    <w:bottom w:val="single" w:sz="8" w:space="0" w:color="002D5D"/>
                                  </w:tcBorders>
                                </w:tcPr>
                                <w:p>
                                  <w:pPr>
                                    <w:pStyle w:val="TableParagraph"/>
                                    <w:spacing w:before="169"/>
                                    <w:ind w:right="158"/>
                                    <w:jc w:val="right"/>
                                    <w:rPr>
                                      <w:sz w:val="17"/>
                                    </w:rPr>
                                  </w:pPr>
                                  <w:r>
                                    <w:rPr>
                                      <w:spacing w:val="-4"/>
                                      <w:sz w:val="17"/>
                                    </w:rPr>
                                    <w:t>0,12</w:t>
                                  </w:r>
                                </w:p>
                              </w:tc>
                              <w:tc>
                                <w:tcPr>
                                  <w:tcW w:w="1181" w:type="dxa"/>
                                  <w:tcBorders>
                                    <w:top w:val="single" w:sz="8" w:space="0" w:color="002D5D"/>
                                    <w:bottom w:val="single" w:sz="8" w:space="0" w:color="002D5D"/>
                                  </w:tcBorders>
                                </w:tcPr>
                                <w:p>
                                  <w:pPr>
                                    <w:pStyle w:val="TableParagraph"/>
                                    <w:spacing w:before="169"/>
                                    <w:ind w:right="127"/>
                                    <w:jc w:val="right"/>
                                    <w:rPr>
                                      <w:sz w:val="17"/>
                                    </w:rPr>
                                  </w:pPr>
                                  <w:r>
                                    <w:rPr>
                                      <w:spacing w:val="-4"/>
                                      <w:sz w:val="17"/>
                                    </w:rPr>
                                    <w:t>0,00</w:t>
                                  </w:r>
                                </w:p>
                              </w:tc>
                              <w:tc>
                                <w:tcPr>
                                  <w:tcW w:w="773" w:type="dxa"/>
                                  <w:tcBorders>
                                    <w:top w:val="single" w:sz="8" w:space="0" w:color="002D5D"/>
                                    <w:bottom w:val="single" w:sz="8" w:space="0" w:color="002D5D"/>
                                  </w:tcBorders>
                                </w:tcPr>
                                <w:p>
                                  <w:pPr>
                                    <w:pStyle w:val="TableParagraph"/>
                                    <w:spacing w:before="169"/>
                                    <w:ind w:left="67"/>
                                    <w:jc w:val="center"/>
                                    <w:rPr>
                                      <w:sz w:val="17"/>
                                    </w:rPr>
                                  </w:pPr>
                                  <w:r>
                                    <w:rPr>
                                      <w:spacing w:val="-4"/>
                                      <w:sz w:val="17"/>
                                    </w:rPr>
                                    <w:t>0,00</w:t>
                                  </w:r>
                                </w:p>
                              </w:tc>
                              <w:tc>
                                <w:tcPr>
                                  <w:tcW w:w="1058" w:type="dxa"/>
                                  <w:tcBorders>
                                    <w:top w:val="single" w:sz="8" w:space="0" w:color="002D5D"/>
                                    <w:bottom w:val="single" w:sz="8" w:space="0" w:color="002D5D"/>
                                  </w:tcBorders>
                                </w:tcPr>
                                <w:p>
                                  <w:pPr>
                                    <w:pStyle w:val="TableParagraph"/>
                                    <w:spacing w:before="169"/>
                                    <w:ind w:right="141"/>
                                    <w:jc w:val="right"/>
                                    <w:rPr>
                                      <w:sz w:val="17"/>
                                    </w:rPr>
                                  </w:pPr>
                                  <w:r>
                                    <w:rPr>
                                      <w:spacing w:val="-2"/>
                                      <w:sz w:val="17"/>
                                    </w:rPr>
                                    <w:t>14.750,00</w:t>
                                  </w:r>
                                </w:p>
                              </w:tc>
                              <w:tc>
                                <w:tcPr>
                                  <w:tcW w:w="725" w:type="dxa"/>
                                  <w:tcBorders>
                                    <w:top w:val="single" w:sz="8" w:space="0" w:color="002D5D"/>
                                    <w:bottom w:val="single" w:sz="8" w:space="0" w:color="002D5D"/>
                                  </w:tcBorders>
                                </w:tcPr>
                                <w:p>
                                  <w:pPr>
                                    <w:pStyle w:val="TableParagraph"/>
                                    <w:spacing w:before="169"/>
                                    <w:ind w:right="153"/>
                                    <w:jc w:val="right"/>
                                    <w:rPr>
                                      <w:sz w:val="17"/>
                                    </w:rPr>
                                  </w:pPr>
                                  <w:r>
                                    <w:rPr>
                                      <w:spacing w:val="-2"/>
                                      <w:sz w:val="17"/>
                                    </w:rPr>
                                    <w:t>100,00</w:t>
                                  </w:r>
                                </w:p>
                              </w:tc>
                              <w:tc>
                                <w:tcPr>
                                  <w:tcW w:w="1197" w:type="dxa"/>
                                  <w:tcBorders>
                                    <w:top w:val="single" w:sz="8" w:space="0" w:color="002D5D"/>
                                    <w:bottom w:val="single" w:sz="8" w:space="0" w:color="002D5D"/>
                                  </w:tcBorders>
                                </w:tcPr>
                                <w:p>
                                  <w:pPr>
                                    <w:pStyle w:val="TableParagraph"/>
                                    <w:spacing w:before="169"/>
                                    <w:ind w:right="85"/>
                                    <w:jc w:val="center"/>
                                    <w:rPr>
                                      <w:sz w:val="17"/>
                                    </w:rPr>
                                  </w:pPr>
                                  <w:r>
                                    <w:rPr>
                                      <w:spacing w:val="-2"/>
                                      <w:sz w:val="17"/>
                                    </w:rPr>
                                    <w:t>Finalizada</w:t>
                                  </w:r>
                                </w:p>
                              </w:tc>
                            </w:tr>
                            <w:tr>
                              <w:trPr>
                                <w:trHeight w:val="630" w:hRule="atLeast"/>
                              </w:trPr>
                              <w:tc>
                                <w:tcPr>
                                  <w:tcW w:w="5691" w:type="dxa"/>
                                  <w:gridSpan w:val="2"/>
                                  <w:tcBorders>
                                    <w:top w:val="single" w:sz="8" w:space="0" w:color="002D5D"/>
                                    <w:bottom w:val="single" w:sz="8" w:space="0" w:color="002D5D"/>
                                  </w:tcBorders>
                                </w:tcPr>
                                <w:p>
                                  <w:pPr>
                                    <w:pStyle w:val="TableParagraph"/>
                                    <w:tabs>
                                      <w:tab w:pos="2904" w:val="left" w:leader="none"/>
                                      <w:tab w:pos="4740" w:val="left" w:leader="none"/>
                                    </w:tabs>
                                    <w:spacing w:before="118"/>
                                    <w:ind w:left="69"/>
                                    <w:rPr>
                                      <w:position w:val="-9"/>
                                      <w:sz w:val="17"/>
                                    </w:rPr>
                                  </w:pPr>
                                  <w:r>
                                    <w:rPr>
                                      <w:sz w:val="17"/>
                                    </w:rPr>
                                    <w:t>Renovación</w:t>
                                  </w:r>
                                  <w:r>
                                    <w:rPr>
                                      <w:spacing w:val="-3"/>
                                      <w:sz w:val="17"/>
                                    </w:rPr>
                                    <w:t> </w:t>
                                  </w:r>
                                  <w:r>
                                    <w:rPr>
                                      <w:sz w:val="17"/>
                                    </w:rPr>
                                    <w:t>del</w:t>
                                  </w:r>
                                  <w:r>
                                    <w:rPr>
                                      <w:spacing w:val="-2"/>
                                      <w:sz w:val="17"/>
                                    </w:rPr>
                                    <w:t> </w:t>
                                  </w:r>
                                  <w:r>
                                    <w:rPr>
                                      <w:sz w:val="17"/>
                                    </w:rPr>
                                    <w:t>sistema</w:t>
                                  </w:r>
                                  <w:r>
                                    <w:rPr>
                                      <w:spacing w:val="-2"/>
                                      <w:sz w:val="17"/>
                                    </w:rPr>
                                    <w:t> </w:t>
                                  </w:r>
                                  <w:r>
                                    <w:rPr>
                                      <w:sz w:val="17"/>
                                    </w:rPr>
                                    <w:t>de</w:t>
                                  </w:r>
                                  <w:r>
                                    <w:rPr>
                                      <w:spacing w:val="-3"/>
                                      <w:sz w:val="17"/>
                                    </w:rPr>
                                    <w:t> </w:t>
                                  </w:r>
                                  <w:r>
                                    <w:rPr>
                                      <w:sz w:val="17"/>
                                    </w:rPr>
                                    <w:t>ayuda</w:t>
                                  </w:r>
                                  <w:r>
                                    <w:rPr>
                                      <w:spacing w:val="-3"/>
                                      <w:sz w:val="17"/>
                                    </w:rPr>
                                    <w:t> </w:t>
                                  </w:r>
                                  <w:r>
                                    <w:rPr>
                                      <w:sz w:val="17"/>
                                    </w:rPr>
                                    <w:t>a</w:t>
                                  </w:r>
                                  <w:r>
                                    <w:rPr>
                                      <w:spacing w:val="-1"/>
                                      <w:sz w:val="17"/>
                                    </w:rPr>
                                    <w:t> </w:t>
                                  </w:r>
                                  <w:r>
                                    <w:rPr>
                                      <w:spacing w:val="-5"/>
                                      <w:sz w:val="17"/>
                                    </w:rPr>
                                    <w:t>la</w:t>
                                  </w:r>
                                  <w:r>
                                    <w:rPr>
                                      <w:sz w:val="17"/>
                                    </w:rPr>
                                    <w:tab/>
                                  </w:r>
                                  <w:r>
                                    <w:rPr>
                                      <w:spacing w:val="-2"/>
                                      <w:position w:val="-9"/>
                                      <w:sz w:val="17"/>
                                    </w:rPr>
                                    <w:t>Digitalización</w:t>
                                  </w:r>
                                  <w:r>
                                    <w:rPr>
                                      <w:position w:val="-9"/>
                                      <w:sz w:val="17"/>
                                    </w:rPr>
                                    <w:tab/>
                                  </w:r>
                                  <w:r>
                                    <w:rPr>
                                      <w:spacing w:val="-2"/>
                                      <w:position w:val="-9"/>
                                      <w:sz w:val="17"/>
                                    </w:rPr>
                                    <w:t>4.895.388,20</w:t>
                                  </w:r>
                                </w:p>
                              </w:tc>
                              <w:tc>
                                <w:tcPr>
                                  <w:tcW w:w="724" w:type="dxa"/>
                                  <w:tcBorders>
                                    <w:top w:val="single" w:sz="8" w:space="0" w:color="002D5D"/>
                                    <w:bottom w:val="single" w:sz="8" w:space="0" w:color="002D5D"/>
                                  </w:tcBorders>
                                </w:tcPr>
                                <w:p>
                                  <w:pPr>
                                    <w:pStyle w:val="TableParagraph"/>
                                    <w:spacing w:before="22"/>
                                    <w:rPr>
                                      <w:sz w:val="17"/>
                                    </w:rPr>
                                  </w:pPr>
                                </w:p>
                                <w:p>
                                  <w:pPr>
                                    <w:pStyle w:val="TableParagraph"/>
                                    <w:ind w:right="158"/>
                                    <w:jc w:val="right"/>
                                    <w:rPr>
                                      <w:sz w:val="17"/>
                                    </w:rPr>
                                  </w:pPr>
                                  <w:r>
                                    <w:rPr>
                                      <w:spacing w:val="-2"/>
                                      <w:sz w:val="17"/>
                                    </w:rPr>
                                    <w:t>38,38</w:t>
                                  </w:r>
                                </w:p>
                              </w:tc>
                              <w:tc>
                                <w:tcPr>
                                  <w:tcW w:w="1181" w:type="dxa"/>
                                  <w:tcBorders>
                                    <w:top w:val="single" w:sz="8" w:space="0" w:color="002D5D"/>
                                    <w:bottom w:val="single" w:sz="8" w:space="0" w:color="002D5D"/>
                                  </w:tcBorders>
                                </w:tcPr>
                                <w:p>
                                  <w:pPr>
                                    <w:pStyle w:val="TableParagraph"/>
                                    <w:spacing w:before="22"/>
                                    <w:rPr>
                                      <w:sz w:val="17"/>
                                    </w:rPr>
                                  </w:pPr>
                                </w:p>
                                <w:p>
                                  <w:pPr>
                                    <w:pStyle w:val="TableParagraph"/>
                                    <w:ind w:right="127"/>
                                    <w:jc w:val="right"/>
                                    <w:rPr>
                                      <w:sz w:val="17"/>
                                    </w:rPr>
                                  </w:pPr>
                                  <w:r>
                                    <w:rPr>
                                      <w:spacing w:val="-2"/>
                                      <w:sz w:val="17"/>
                                    </w:rPr>
                                    <w:t>4.794.502,65</w:t>
                                  </w:r>
                                </w:p>
                              </w:tc>
                              <w:tc>
                                <w:tcPr>
                                  <w:tcW w:w="773" w:type="dxa"/>
                                  <w:tcBorders>
                                    <w:top w:val="single" w:sz="8" w:space="0" w:color="002D5D"/>
                                    <w:bottom w:val="single" w:sz="8" w:space="0" w:color="002D5D"/>
                                  </w:tcBorders>
                                </w:tcPr>
                                <w:p>
                                  <w:pPr>
                                    <w:pStyle w:val="TableParagraph"/>
                                    <w:spacing w:before="22"/>
                                    <w:rPr>
                                      <w:sz w:val="17"/>
                                    </w:rPr>
                                  </w:pPr>
                                </w:p>
                                <w:p>
                                  <w:pPr>
                                    <w:pStyle w:val="TableParagraph"/>
                                    <w:ind w:left="79" w:right="86"/>
                                    <w:jc w:val="center"/>
                                    <w:rPr>
                                      <w:sz w:val="17"/>
                                    </w:rPr>
                                  </w:pPr>
                                  <w:r>
                                    <w:rPr>
                                      <w:spacing w:val="-2"/>
                                      <w:sz w:val="17"/>
                                    </w:rPr>
                                    <w:t>97,94</w:t>
                                  </w:r>
                                </w:p>
                              </w:tc>
                              <w:tc>
                                <w:tcPr>
                                  <w:tcW w:w="1058" w:type="dxa"/>
                                  <w:tcBorders>
                                    <w:top w:val="single" w:sz="8" w:space="0" w:color="002D5D"/>
                                    <w:bottom w:val="single" w:sz="8" w:space="0" w:color="002D5D"/>
                                  </w:tcBorders>
                                </w:tcPr>
                                <w:p>
                                  <w:pPr>
                                    <w:pStyle w:val="TableParagraph"/>
                                    <w:spacing w:before="22"/>
                                    <w:rPr>
                                      <w:sz w:val="17"/>
                                    </w:rPr>
                                  </w:pPr>
                                </w:p>
                                <w:p>
                                  <w:pPr>
                                    <w:pStyle w:val="TableParagraph"/>
                                    <w:ind w:right="141"/>
                                    <w:jc w:val="right"/>
                                    <w:rPr>
                                      <w:sz w:val="17"/>
                                    </w:rPr>
                                  </w:pPr>
                                  <w:r>
                                    <w:rPr>
                                      <w:spacing w:val="-2"/>
                                      <w:sz w:val="17"/>
                                    </w:rPr>
                                    <w:t>100.885,55</w:t>
                                  </w:r>
                                </w:p>
                              </w:tc>
                              <w:tc>
                                <w:tcPr>
                                  <w:tcW w:w="725" w:type="dxa"/>
                                  <w:tcBorders>
                                    <w:top w:val="single" w:sz="8" w:space="0" w:color="002D5D"/>
                                    <w:bottom w:val="single" w:sz="8" w:space="0" w:color="002D5D"/>
                                  </w:tcBorders>
                                </w:tcPr>
                                <w:p>
                                  <w:pPr>
                                    <w:pStyle w:val="TableParagraph"/>
                                    <w:spacing w:before="22"/>
                                    <w:rPr>
                                      <w:sz w:val="17"/>
                                    </w:rPr>
                                  </w:pPr>
                                </w:p>
                                <w:p>
                                  <w:pPr>
                                    <w:pStyle w:val="TableParagraph"/>
                                    <w:ind w:right="153"/>
                                    <w:jc w:val="right"/>
                                    <w:rPr>
                                      <w:sz w:val="17"/>
                                    </w:rPr>
                                  </w:pPr>
                                  <w:r>
                                    <w:rPr>
                                      <w:spacing w:val="-4"/>
                                      <w:sz w:val="17"/>
                                    </w:rPr>
                                    <w:t>2,06</w:t>
                                  </w:r>
                                </w:p>
                              </w:tc>
                              <w:tc>
                                <w:tcPr>
                                  <w:tcW w:w="1197" w:type="dxa"/>
                                  <w:tcBorders>
                                    <w:top w:val="single" w:sz="8" w:space="0" w:color="002D5D"/>
                                    <w:bottom w:val="single" w:sz="8" w:space="0" w:color="002D5D"/>
                                  </w:tcBorders>
                                </w:tcPr>
                                <w:p>
                                  <w:pPr>
                                    <w:pStyle w:val="TableParagraph"/>
                                    <w:spacing w:before="22"/>
                                    <w:rPr>
                                      <w:sz w:val="17"/>
                                    </w:rPr>
                                  </w:pPr>
                                </w:p>
                                <w:p>
                                  <w:pPr>
                                    <w:pStyle w:val="TableParagraph"/>
                                    <w:ind w:right="85"/>
                                    <w:jc w:val="center"/>
                                    <w:rPr>
                                      <w:sz w:val="17"/>
                                    </w:rPr>
                                  </w:pPr>
                                  <w:r>
                                    <w:rPr>
                                      <w:sz w:val="17"/>
                                    </w:rPr>
                                    <w:t>En</w:t>
                                  </w:r>
                                  <w:r>
                                    <w:rPr>
                                      <w:spacing w:val="-1"/>
                                      <w:sz w:val="17"/>
                                    </w:rPr>
                                    <w:t> </w:t>
                                  </w:r>
                                  <w:r>
                                    <w:rPr>
                                      <w:spacing w:val="-2"/>
                                      <w:sz w:val="17"/>
                                    </w:rPr>
                                    <w:t>ejecución</w:t>
                                  </w:r>
                                </w:p>
                              </w:tc>
                            </w:tr>
                            <w:tr>
                              <w:trPr>
                                <w:trHeight w:val="400" w:hRule="atLeast"/>
                              </w:trPr>
                              <w:tc>
                                <w:tcPr>
                                  <w:tcW w:w="5691" w:type="dxa"/>
                                  <w:gridSpan w:val="2"/>
                                  <w:tcBorders>
                                    <w:top w:val="single" w:sz="8" w:space="0" w:color="002D5D"/>
                                    <w:bottom w:val="single" w:sz="8" w:space="0" w:color="002D5D"/>
                                  </w:tcBorders>
                                </w:tcPr>
                                <w:p>
                                  <w:pPr>
                                    <w:pStyle w:val="TableParagraph"/>
                                    <w:tabs>
                                      <w:tab w:pos="2904" w:val="left" w:leader="none"/>
                                      <w:tab w:pos="4935" w:val="left" w:leader="none"/>
                                    </w:tabs>
                                    <w:spacing w:before="102"/>
                                    <w:ind w:left="69"/>
                                    <w:rPr>
                                      <w:sz w:val="17"/>
                                    </w:rPr>
                                  </w:pPr>
                                  <w:r>
                                    <w:rPr>
                                      <w:sz w:val="17"/>
                                    </w:rPr>
                                    <w:t>Nueva</w:t>
                                  </w:r>
                                  <w:r>
                                    <w:rPr>
                                      <w:spacing w:val="-4"/>
                                      <w:sz w:val="17"/>
                                    </w:rPr>
                                    <w:t> </w:t>
                                  </w:r>
                                  <w:r>
                                    <w:rPr>
                                      <w:sz w:val="17"/>
                                    </w:rPr>
                                    <w:t>página</w:t>
                                  </w:r>
                                  <w:r>
                                    <w:rPr>
                                      <w:spacing w:val="-1"/>
                                      <w:sz w:val="17"/>
                                    </w:rPr>
                                    <w:t> </w:t>
                                  </w:r>
                                  <w:r>
                                    <w:rPr>
                                      <w:sz w:val="17"/>
                                    </w:rPr>
                                    <w:t>Web</w:t>
                                  </w:r>
                                  <w:r>
                                    <w:rPr>
                                      <w:spacing w:val="-3"/>
                                      <w:sz w:val="17"/>
                                    </w:rPr>
                                    <w:t> </w:t>
                                  </w:r>
                                  <w:r>
                                    <w:rPr>
                                      <w:sz w:val="17"/>
                                    </w:rPr>
                                    <w:t>y</w:t>
                                  </w:r>
                                  <w:r>
                                    <w:rPr>
                                      <w:spacing w:val="-2"/>
                                      <w:sz w:val="17"/>
                                    </w:rPr>
                                    <w:t> </w:t>
                                  </w:r>
                                  <w:r>
                                    <w:rPr>
                                      <w:sz w:val="17"/>
                                    </w:rPr>
                                    <w:t>aplicación</w:t>
                                  </w:r>
                                  <w:r>
                                    <w:rPr>
                                      <w:spacing w:val="-2"/>
                                      <w:sz w:val="17"/>
                                    </w:rPr>
                                    <w:t> </w:t>
                                  </w:r>
                                  <w:r>
                                    <w:rPr>
                                      <w:spacing w:val="-4"/>
                                      <w:sz w:val="17"/>
                                    </w:rPr>
                                    <w:t>móvil</w:t>
                                  </w:r>
                                  <w:r>
                                    <w:rPr>
                                      <w:sz w:val="17"/>
                                    </w:rPr>
                                    <w:tab/>
                                  </w:r>
                                  <w:r>
                                    <w:rPr>
                                      <w:spacing w:val="-2"/>
                                      <w:sz w:val="17"/>
                                    </w:rPr>
                                    <w:t>Digitalización</w:t>
                                  </w:r>
                                  <w:r>
                                    <w:rPr>
                                      <w:sz w:val="17"/>
                                    </w:rPr>
                                    <w:tab/>
                                  </w:r>
                                  <w:r>
                                    <w:rPr>
                                      <w:spacing w:val="-2"/>
                                      <w:sz w:val="17"/>
                                    </w:rPr>
                                    <w:t>49.650,00</w:t>
                                  </w:r>
                                </w:p>
                              </w:tc>
                              <w:tc>
                                <w:tcPr>
                                  <w:tcW w:w="724" w:type="dxa"/>
                                  <w:tcBorders>
                                    <w:top w:val="single" w:sz="8" w:space="0" w:color="002D5D"/>
                                    <w:bottom w:val="single" w:sz="8" w:space="0" w:color="002D5D"/>
                                  </w:tcBorders>
                                </w:tcPr>
                                <w:p>
                                  <w:pPr>
                                    <w:pStyle w:val="TableParagraph"/>
                                    <w:spacing w:before="102"/>
                                    <w:ind w:right="158"/>
                                    <w:jc w:val="right"/>
                                    <w:rPr>
                                      <w:sz w:val="17"/>
                                    </w:rPr>
                                  </w:pPr>
                                  <w:r>
                                    <w:rPr>
                                      <w:spacing w:val="-4"/>
                                      <w:sz w:val="17"/>
                                    </w:rPr>
                                    <w:t>0,39</w:t>
                                  </w:r>
                                </w:p>
                              </w:tc>
                              <w:tc>
                                <w:tcPr>
                                  <w:tcW w:w="1181" w:type="dxa"/>
                                  <w:tcBorders>
                                    <w:top w:val="single" w:sz="8" w:space="0" w:color="002D5D"/>
                                    <w:bottom w:val="single" w:sz="8" w:space="0" w:color="002D5D"/>
                                  </w:tcBorders>
                                </w:tcPr>
                                <w:p>
                                  <w:pPr>
                                    <w:pStyle w:val="TableParagraph"/>
                                    <w:spacing w:before="102"/>
                                    <w:ind w:right="127"/>
                                    <w:jc w:val="right"/>
                                    <w:rPr>
                                      <w:sz w:val="17"/>
                                    </w:rPr>
                                  </w:pPr>
                                  <w:r>
                                    <w:rPr>
                                      <w:spacing w:val="-2"/>
                                      <w:sz w:val="17"/>
                                    </w:rPr>
                                    <w:t>49.650,00</w:t>
                                  </w:r>
                                </w:p>
                              </w:tc>
                              <w:tc>
                                <w:tcPr>
                                  <w:tcW w:w="773" w:type="dxa"/>
                                  <w:tcBorders>
                                    <w:top w:val="single" w:sz="8" w:space="0" w:color="002D5D"/>
                                    <w:bottom w:val="single" w:sz="8" w:space="0" w:color="002D5D"/>
                                  </w:tcBorders>
                                </w:tcPr>
                                <w:p>
                                  <w:pPr>
                                    <w:pStyle w:val="TableParagraph"/>
                                    <w:spacing w:before="102"/>
                                    <w:ind w:left="67" w:right="153"/>
                                    <w:jc w:val="center"/>
                                    <w:rPr>
                                      <w:sz w:val="17"/>
                                    </w:rPr>
                                  </w:pPr>
                                  <w:r>
                                    <w:rPr>
                                      <w:spacing w:val="-2"/>
                                      <w:sz w:val="17"/>
                                    </w:rPr>
                                    <w:t>100,00</w:t>
                                  </w:r>
                                </w:p>
                              </w:tc>
                              <w:tc>
                                <w:tcPr>
                                  <w:tcW w:w="1058" w:type="dxa"/>
                                  <w:tcBorders>
                                    <w:top w:val="single" w:sz="8" w:space="0" w:color="002D5D"/>
                                    <w:bottom w:val="single" w:sz="8" w:space="0" w:color="002D5D"/>
                                  </w:tcBorders>
                                </w:tcPr>
                                <w:p>
                                  <w:pPr>
                                    <w:pStyle w:val="TableParagraph"/>
                                    <w:spacing w:before="102"/>
                                    <w:ind w:right="141"/>
                                    <w:jc w:val="right"/>
                                    <w:rPr>
                                      <w:sz w:val="17"/>
                                    </w:rPr>
                                  </w:pPr>
                                  <w:r>
                                    <w:rPr>
                                      <w:spacing w:val="-4"/>
                                      <w:sz w:val="17"/>
                                    </w:rPr>
                                    <w:t>0,00</w:t>
                                  </w:r>
                                </w:p>
                              </w:tc>
                              <w:tc>
                                <w:tcPr>
                                  <w:tcW w:w="725" w:type="dxa"/>
                                  <w:tcBorders>
                                    <w:top w:val="single" w:sz="8" w:space="0" w:color="002D5D"/>
                                    <w:bottom w:val="single" w:sz="8" w:space="0" w:color="002D5D"/>
                                  </w:tcBorders>
                                </w:tcPr>
                                <w:p>
                                  <w:pPr>
                                    <w:pStyle w:val="TableParagraph"/>
                                    <w:spacing w:before="102"/>
                                    <w:ind w:right="153"/>
                                    <w:jc w:val="right"/>
                                    <w:rPr>
                                      <w:sz w:val="17"/>
                                    </w:rPr>
                                  </w:pPr>
                                  <w:r>
                                    <w:rPr>
                                      <w:spacing w:val="-4"/>
                                      <w:sz w:val="17"/>
                                    </w:rPr>
                                    <w:t>0,00</w:t>
                                  </w:r>
                                </w:p>
                              </w:tc>
                              <w:tc>
                                <w:tcPr>
                                  <w:tcW w:w="1197" w:type="dxa"/>
                                  <w:tcBorders>
                                    <w:top w:val="single" w:sz="8" w:space="0" w:color="002D5D"/>
                                    <w:bottom w:val="single" w:sz="8" w:space="0" w:color="002D5D"/>
                                  </w:tcBorders>
                                </w:tcPr>
                                <w:p>
                                  <w:pPr>
                                    <w:pStyle w:val="TableParagraph"/>
                                    <w:spacing w:before="102"/>
                                    <w:ind w:right="85"/>
                                    <w:jc w:val="center"/>
                                    <w:rPr>
                                      <w:sz w:val="17"/>
                                    </w:rPr>
                                  </w:pPr>
                                  <w:r>
                                    <w:rPr>
                                      <w:sz w:val="17"/>
                                    </w:rPr>
                                    <w:t>En</w:t>
                                  </w:r>
                                  <w:r>
                                    <w:rPr>
                                      <w:spacing w:val="-1"/>
                                      <w:sz w:val="17"/>
                                    </w:rPr>
                                    <w:t> </w:t>
                                  </w:r>
                                  <w:r>
                                    <w:rPr>
                                      <w:spacing w:val="-2"/>
                                      <w:sz w:val="17"/>
                                    </w:rPr>
                                    <w:t>ejecución</w:t>
                                  </w:r>
                                </w:p>
                              </w:tc>
                            </w:tr>
                            <w:tr>
                              <w:trPr>
                                <w:trHeight w:val="548" w:hRule="atLeast"/>
                              </w:trPr>
                              <w:tc>
                                <w:tcPr>
                                  <w:tcW w:w="5691" w:type="dxa"/>
                                  <w:gridSpan w:val="2"/>
                                  <w:tcBorders>
                                    <w:top w:val="single" w:sz="8" w:space="0" w:color="002D5D"/>
                                    <w:bottom w:val="single" w:sz="8" w:space="0" w:color="002D5D"/>
                                  </w:tcBorders>
                                </w:tcPr>
                                <w:p>
                                  <w:pPr>
                                    <w:pStyle w:val="TableParagraph"/>
                                    <w:tabs>
                                      <w:tab w:pos="2904" w:val="left" w:leader="none"/>
                                      <w:tab w:pos="5127" w:val="left" w:leader="none"/>
                                    </w:tabs>
                                    <w:spacing w:before="80"/>
                                    <w:ind w:left="69"/>
                                    <w:rPr>
                                      <w:position w:val="-9"/>
                                      <w:sz w:val="17"/>
                                    </w:rPr>
                                  </w:pPr>
                                  <w:r>
                                    <w:rPr>
                                      <w:sz w:val="17"/>
                                    </w:rPr>
                                    <w:t>Servicio</w:t>
                                  </w:r>
                                  <w:r>
                                    <w:rPr>
                                      <w:spacing w:val="-3"/>
                                      <w:sz w:val="17"/>
                                    </w:rPr>
                                    <w:t> </w:t>
                                  </w:r>
                                  <w:r>
                                    <w:rPr>
                                      <w:sz w:val="17"/>
                                    </w:rPr>
                                    <w:t>de</w:t>
                                  </w:r>
                                  <w:r>
                                    <w:rPr>
                                      <w:spacing w:val="-2"/>
                                      <w:sz w:val="17"/>
                                    </w:rPr>
                                    <w:t> </w:t>
                                  </w:r>
                                  <w:r>
                                    <w:rPr>
                                      <w:sz w:val="17"/>
                                    </w:rPr>
                                    <w:t>venta</w:t>
                                  </w:r>
                                  <w:r>
                                    <w:rPr>
                                      <w:spacing w:val="-2"/>
                                      <w:sz w:val="17"/>
                                    </w:rPr>
                                    <w:t> </w:t>
                                  </w:r>
                                  <w:r>
                                    <w:rPr>
                                      <w:sz w:val="17"/>
                                    </w:rPr>
                                    <w:t>y</w:t>
                                  </w:r>
                                  <w:r>
                                    <w:rPr>
                                      <w:spacing w:val="-3"/>
                                      <w:sz w:val="17"/>
                                    </w:rPr>
                                    <w:t> </w:t>
                                  </w:r>
                                  <w:r>
                                    <w:rPr>
                                      <w:sz w:val="17"/>
                                    </w:rPr>
                                    <w:t>validación</w:t>
                                  </w:r>
                                  <w:r>
                                    <w:rPr>
                                      <w:spacing w:val="-1"/>
                                      <w:sz w:val="17"/>
                                    </w:rPr>
                                    <w:t> </w:t>
                                  </w:r>
                                  <w:r>
                                    <w:rPr>
                                      <w:sz w:val="17"/>
                                    </w:rPr>
                                    <w:t>de</w:t>
                                  </w:r>
                                  <w:r>
                                    <w:rPr>
                                      <w:spacing w:val="-2"/>
                                      <w:sz w:val="17"/>
                                    </w:rPr>
                                    <w:t> billete</w:t>
                                  </w:r>
                                  <w:r>
                                    <w:rPr>
                                      <w:sz w:val="17"/>
                                    </w:rPr>
                                    <w:tab/>
                                  </w:r>
                                  <w:r>
                                    <w:rPr>
                                      <w:spacing w:val="-2"/>
                                      <w:position w:val="-9"/>
                                      <w:sz w:val="17"/>
                                    </w:rPr>
                                    <w:t>Digitalización</w:t>
                                  </w:r>
                                  <w:r>
                                    <w:rPr>
                                      <w:position w:val="-9"/>
                                      <w:sz w:val="17"/>
                                    </w:rPr>
                                    <w:tab/>
                                  </w:r>
                                  <w:r>
                                    <w:rPr>
                                      <w:spacing w:val="-2"/>
                                      <w:position w:val="-9"/>
                                      <w:sz w:val="17"/>
                                    </w:rPr>
                                    <w:t>247,93</w:t>
                                  </w:r>
                                </w:p>
                              </w:tc>
                              <w:tc>
                                <w:tcPr>
                                  <w:tcW w:w="724" w:type="dxa"/>
                                  <w:tcBorders>
                                    <w:top w:val="single" w:sz="8" w:space="0" w:color="002D5D"/>
                                    <w:bottom w:val="single" w:sz="8" w:space="0" w:color="002D5D"/>
                                  </w:tcBorders>
                                </w:tcPr>
                                <w:p>
                                  <w:pPr>
                                    <w:pStyle w:val="TableParagraph"/>
                                    <w:spacing w:before="176"/>
                                    <w:ind w:right="158"/>
                                    <w:jc w:val="right"/>
                                    <w:rPr>
                                      <w:sz w:val="17"/>
                                    </w:rPr>
                                  </w:pPr>
                                  <w:r>
                                    <w:rPr>
                                      <w:spacing w:val="-4"/>
                                      <w:sz w:val="17"/>
                                    </w:rPr>
                                    <w:t>0,00</w:t>
                                  </w:r>
                                </w:p>
                              </w:tc>
                              <w:tc>
                                <w:tcPr>
                                  <w:tcW w:w="1181" w:type="dxa"/>
                                  <w:tcBorders>
                                    <w:top w:val="single" w:sz="8" w:space="0" w:color="002D5D"/>
                                    <w:bottom w:val="single" w:sz="8" w:space="0" w:color="002D5D"/>
                                  </w:tcBorders>
                                </w:tcPr>
                                <w:p>
                                  <w:pPr>
                                    <w:pStyle w:val="TableParagraph"/>
                                    <w:spacing w:before="176"/>
                                    <w:ind w:right="127"/>
                                    <w:jc w:val="right"/>
                                    <w:rPr>
                                      <w:sz w:val="17"/>
                                    </w:rPr>
                                  </w:pPr>
                                  <w:r>
                                    <w:rPr>
                                      <w:spacing w:val="-2"/>
                                      <w:sz w:val="17"/>
                                    </w:rPr>
                                    <w:t>247,93</w:t>
                                  </w:r>
                                </w:p>
                              </w:tc>
                              <w:tc>
                                <w:tcPr>
                                  <w:tcW w:w="773" w:type="dxa"/>
                                  <w:tcBorders>
                                    <w:top w:val="single" w:sz="8" w:space="0" w:color="002D5D"/>
                                    <w:bottom w:val="single" w:sz="8" w:space="0" w:color="002D5D"/>
                                  </w:tcBorders>
                                </w:tcPr>
                                <w:p>
                                  <w:pPr>
                                    <w:pStyle w:val="TableParagraph"/>
                                    <w:spacing w:before="176"/>
                                    <w:ind w:left="67" w:right="153"/>
                                    <w:jc w:val="center"/>
                                    <w:rPr>
                                      <w:sz w:val="17"/>
                                    </w:rPr>
                                  </w:pPr>
                                  <w:r>
                                    <w:rPr>
                                      <w:spacing w:val="-2"/>
                                      <w:sz w:val="17"/>
                                    </w:rPr>
                                    <w:t>100,00</w:t>
                                  </w:r>
                                </w:p>
                              </w:tc>
                              <w:tc>
                                <w:tcPr>
                                  <w:tcW w:w="1058" w:type="dxa"/>
                                  <w:tcBorders>
                                    <w:top w:val="single" w:sz="8" w:space="0" w:color="002D5D"/>
                                    <w:bottom w:val="single" w:sz="8" w:space="0" w:color="002D5D"/>
                                  </w:tcBorders>
                                </w:tcPr>
                                <w:p>
                                  <w:pPr>
                                    <w:pStyle w:val="TableParagraph"/>
                                    <w:spacing w:before="176"/>
                                    <w:ind w:right="141"/>
                                    <w:jc w:val="right"/>
                                    <w:rPr>
                                      <w:sz w:val="17"/>
                                    </w:rPr>
                                  </w:pPr>
                                  <w:r>
                                    <w:rPr>
                                      <w:spacing w:val="-4"/>
                                      <w:sz w:val="17"/>
                                    </w:rPr>
                                    <w:t>0,00</w:t>
                                  </w:r>
                                </w:p>
                              </w:tc>
                              <w:tc>
                                <w:tcPr>
                                  <w:tcW w:w="725" w:type="dxa"/>
                                  <w:tcBorders>
                                    <w:top w:val="single" w:sz="8" w:space="0" w:color="002D5D"/>
                                    <w:bottom w:val="single" w:sz="8" w:space="0" w:color="002D5D"/>
                                  </w:tcBorders>
                                </w:tcPr>
                                <w:p>
                                  <w:pPr>
                                    <w:pStyle w:val="TableParagraph"/>
                                    <w:spacing w:before="176"/>
                                    <w:ind w:right="153"/>
                                    <w:jc w:val="right"/>
                                    <w:rPr>
                                      <w:sz w:val="17"/>
                                    </w:rPr>
                                  </w:pPr>
                                  <w:r>
                                    <w:rPr>
                                      <w:spacing w:val="-4"/>
                                      <w:sz w:val="17"/>
                                    </w:rPr>
                                    <w:t>0,00</w:t>
                                  </w:r>
                                </w:p>
                              </w:tc>
                              <w:tc>
                                <w:tcPr>
                                  <w:tcW w:w="1197" w:type="dxa"/>
                                  <w:tcBorders>
                                    <w:top w:val="single" w:sz="8" w:space="0" w:color="002D5D"/>
                                    <w:bottom w:val="single" w:sz="8" w:space="0" w:color="002D5D"/>
                                  </w:tcBorders>
                                </w:tcPr>
                                <w:p>
                                  <w:pPr>
                                    <w:pStyle w:val="TableParagraph"/>
                                    <w:spacing w:before="176"/>
                                    <w:ind w:right="85"/>
                                    <w:jc w:val="center"/>
                                    <w:rPr>
                                      <w:sz w:val="17"/>
                                    </w:rPr>
                                  </w:pPr>
                                  <w:r>
                                    <w:rPr>
                                      <w:sz w:val="17"/>
                                    </w:rPr>
                                    <w:t>En</w:t>
                                  </w:r>
                                  <w:r>
                                    <w:rPr>
                                      <w:spacing w:val="-1"/>
                                      <w:sz w:val="17"/>
                                    </w:rPr>
                                    <w:t> </w:t>
                                  </w:r>
                                  <w:r>
                                    <w:rPr>
                                      <w:spacing w:val="-2"/>
                                      <w:sz w:val="17"/>
                                    </w:rPr>
                                    <w:t>ejecución</w:t>
                                  </w:r>
                                </w:p>
                              </w:tc>
                            </w:tr>
                            <w:tr>
                              <w:trPr>
                                <w:trHeight w:val="390" w:hRule="atLeast"/>
                              </w:trPr>
                              <w:tc>
                                <w:tcPr>
                                  <w:tcW w:w="5691" w:type="dxa"/>
                                  <w:gridSpan w:val="2"/>
                                </w:tcPr>
                                <w:p>
                                  <w:pPr>
                                    <w:pStyle w:val="TableParagraph"/>
                                    <w:spacing w:line="194" w:lineRule="exact"/>
                                    <w:ind w:left="69" w:right="2808"/>
                                    <w:rPr>
                                      <w:sz w:val="17"/>
                                    </w:rPr>
                                  </w:pPr>
                                  <w:r>
                                    <w:rPr>
                                      <w:sz w:val="17"/>
                                    </w:rPr>
                                    <w:t>Campañas</w:t>
                                  </w:r>
                                  <w:r>
                                    <w:rPr>
                                      <w:spacing w:val="-4"/>
                                      <w:sz w:val="17"/>
                                    </w:rPr>
                                    <w:t> </w:t>
                                  </w:r>
                                  <w:r>
                                    <w:rPr>
                                      <w:sz w:val="17"/>
                                    </w:rPr>
                                    <w:t>de</w:t>
                                  </w:r>
                                  <w:r>
                                    <w:rPr>
                                      <w:spacing w:val="-4"/>
                                      <w:sz w:val="17"/>
                                    </w:rPr>
                                    <w:t> </w:t>
                                  </w:r>
                                  <w:r>
                                    <w:rPr>
                                      <w:sz w:val="17"/>
                                    </w:rPr>
                                    <w:t>publicidad:</w:t>
                                  </w:r>
                                  <w:r>
                                    <w:rPr>
                                      <w:spacing w:val="-4"/>
                                      <w:sz w:val="17"/>
                                    </w:rPr>
                                    <w:t> </w:t>
                                  </w:r>
                                  <w:r>
                                    <w:rPr>
                                      <w:sz w:val="17"/>
                                    </w:rPr>
                                    <w:t>feria,</w:t>
                                  </w:r>
                                  <w:r>
                                    <w:rPr>
                                      <w:spacing w:val="-4"/>
                                      <w:sz w:val="17"/>
                                    </w:rPr>
                                    <w:t> </w:t>
                                  </w:r>
                                  <w:r>
                                    <w:rPr>
                                      <w:sz w:val="17"/>
                                    </w:rPr>
                                    <w:t>inicio</w:t>
                                  </w:r>
                                  <w:r>
                                    <w:rPr>
                                      <w:spacing w:val="-2"/>
                                      <w:sz w:val="17"/>
                                    </w:rPr>
                                    <w:t> </w:t>
                                  </w:r>
                                  <w:r>
                                    <w:rPr>
                                      <w:sz w:val="17"/>
                                    </w:rPr>
                                    <w:t>de</w:t>
                                  </w:r>
                                  <w:r>
                                    <w:rPr>
                                      <w:spacing w:val="40"/>
                                      <w:sz w:val="17"/>
                                    </w:rPr>
                                    <w:t> </w:t>
                                  </w:r>
                                  <w:r>
                                    <w:rPr>
                                      <w:sz w:val="17"/>
                                    </w:rPr>
                                    <w:t>curso,</w:t>
                                  </w:r>
                                  <w:r>
                                    <w:rPr>
                                      <w:spacing w:val="-3"/>
                                      <w:sz w:val="17"/>
                                    </w:rPr>
                                    <w:t> </w:t>
                                  </w:r>
                                  <w:r>
                                    <w:rPr>
                                      <w:sz w:val="17"/>
                                    </w:rPr>
                                    <w:t>Semana</w:t>
                                  </w:r>
                                  <w:r>
                                    <w:rPr>
                                      <w:spacing w:val="-3"/>
                                      <w:sz w:val="17"/>
                                    </w:rPr>
                                    <w:t> </w:t>
                                  </w:r>
                                  <w:r>
                                    <w:rPr>
                                      <w:sz w:val="17"/>
                                    </w:rPr>
                                    <w:t>europea</w:t>
                                  </w:r>
                                  <w:r>
                                    <w:rPr>
                                      <w:spacing w:val="-2"/>
                                      <w:sz w:val="17"/>
                                    </w:rPr>
                                    <w:t> </w:t>
                                  </w:r>
                                  <w:r>
                                    <w:rPr>
                                      <w:sz w:val="17"/>
                                    </w:rPr>
                                    <w:t>de</w:t>
                                  </w:r>
                                  <w:r>
                                    <w:rPr>
                                      <w:spacing w:val="-3"/>
                                      <w:sz w:val="17"/>
                                    </w:rPr>
                                    <w:t> </w:t>
                                  </w:r>
                                  <w:r>
                                    <w:rPr>
                                      <w:sz w:val="17"/>
                                    </w:rPr>
                                    <w:t>la</w:t>
                                  </w:r>
                                  <w:r>
                                    <w:rPr>
                                      <w:spacing w:val="-3"/>
                                      <w:sz w:val="17"/>
                                    </w:rPr>
                                    <w:t> </w:t>
                                  </w:r>
                                  <w:r>
                                    <w:rPr>
                                      <w:spacing w:val="-2"/>
                                      <w:sz w:val="17"/>
                                    </w:rPr>
                                    <w:t>movilidad,</w:t>
                                  </w:r>
                                </w:p>
                              </w:tc>
                              <w:tc>
                                <w:tcPr>
                                  <w:tcW w:w="724" w:type="dxa"/>
                                </w:tcPr>
                                <w:p>
                                  <w:pPr>
                                    <w:pStyle w:val="TableParagraph"/>
                                    <w:rPr>
                                      <w:rFonts w:ascii="Times New Roman"/>
                                      <w:sz w:val="16"/>
                                    </w:rPr>
                                  </w:pPr>
                                </w:p>
                              </w:tc>
                              <w:tc>
                                <w:tcPr>
                                  <w:tcW w:w="1181" w:type="dxa"/>
                                </w:tcPr>
                                <w:p>
                                  <w:pPr>
                                    <w:pStyle w:val="TableParagraph"/>
                                    <w:rPr>
                                      <w:rFonts w:ascii="Times New Roman"/>
                                      <w:sz w:val="16"/>
                                    </w:rPr>
                                  </w:pPr>
                                </w:p>
                              </w:tc>
                              <w:tc>
                                <w:tcPr>
                                  <w:tcW w:w="773" w:type="dxa"/>
                                </w:tcPr>
                                <w:p>
                                  <w:pPr>
                                    <w:pStyle w:val="TableParagraph"/>
                                    <w:rPr>
                                      <w:rFonts w:ascii="Times New Roman"/>
                                      <w:sz w:val="16"/>
                                    </w:rPr>
                                  </w:pPr>
                                </w:p>
                              </w:tc>
                              <w:tc>
                                <w:tcPr>
                                  <w:tcW w:w="1058" w:type="dxa"/>
                                </w:tcPr>
                                <w:p>
                                  <w:pPr>
                                    <w:pStyle w:val="TableParagraph"/>
                                    <w:rPr>
                                      <w:rFonts w:ascii="Times New Roman"/>
                                      <w:sz w:val="16"/>
                                    </w:rPr>
                                  </w:pPr>
                                </w:p>
                              </w:tc>
                              <w:tc>
                                <w:tcPr>
                                  <w:tcW w:w="725" w:type="dxa"/>
                                </w:tcPr>
                                <w:p>
                                  <w:pPr>
                                    <w:pStyle w:val="TableParagraph"/>
                                    <w:rPr>
                                      <w:rFonts w:ascii="Times New Roman"/>
                                      <w:sz w:val="16"/>
                                    </w:rPr>
                                  </w:pPr>
                                </w:p>
                              </w:tc>
                              <w:tc>
                                <w:tcPr>
                                  <w:tcW w:w="1197" w:type="dxa"/>
                                </w:tcPr>
                                <w:p>
                                  <w:pPr>
                                    <w:pStyle w:val="TableParagraph"/>
                                    <w:rPr>
                                      <w:rFonts w:ascii="Times New Roman"/>
                                      <w:sz w:val="16"/>
                                    </w:rPr>
                                  </w:pPr>
                                </w:p>
                              </w:tc>
                            </w:tr>
                            <w:tr>
                              <w:trPr>
                                <w:trHeight w:val="585" w:hRule="atLeast"/>
                              </w:trPr>
                              <w:tc>
                                <w:tcPr>
                                  <w:tcW w:w="4460" w:type="dxa"/>
                                  <w:tcBorders>
                                    <w:bottom w:val="single" w:sz="8" w:space="0" w:color="002D5D"/>
                                  </w:tcBorders>
                                </w:tcPr>
                                <w:p>
                                  <w:pPr>
                                    <w:pStyle w:val="TableParagraph"/>
                                    <w:tabs>
                                      <w:tab w:pos="2904" w:val="left" w:leader="none"/>
                                    </w:tabs>
                                    <w:spacing w:line="242" w:lineRule="auto"/>
                                    <w:ind w:left="69" w:right="199"/>
                                    <w:rPr>
                                      <w:sz w:val="17"/>
                                    </w:rPr>
                                  </w:pPr>
                                  <w:r>
                                    <w:rPr>
                                      <w:sz w:val="17"/>
                                    </w:rPr>
                                    <w:t>campaña de Navidad, servicios especiales</w:t>
                                    <w:tab/>
                                    <w:t>Información</w:t>
                                  </w:r>
                                  <w:r>
                                    <w:rPr>
                                      <w:spacing w:val="-10"/>
                                      <w:sz w:val="17"/>
                                    </w:rPr>
                                    <w:t> </w:t>
                                  </w:r>
                                  <w:r>
                                    <w:rPr>
                                      <w:sz w:val="17"/>
                                    </w:rPr>
                                    <w:t>y</w:t>
                                  </w:r>
                                  <w:r>
                                    <w:rPr>
                                      <w:spacing w:val="-10"/>
                                      <w:sz w:val="17"/>
                                    </w:rPr>
                                    <w:t> </w:t>
                                  </w:r>
                                  <w:r>
                                    <w:rPr>
                                      <w:sz w:val="17"/>
                                    </w:rPr>
                                    <w:t>difusión</w:t>
                                  </w:r>
                                  <w:r>
                                    <w:rPr>
                                      <w:spacing w:val="40"/>
                                      <w:sz w:val="17"/>
                                    </w:rPr>
                                    <w:t> </w:t>
                                  </w:r>
                                  <w:r>
                                    <w:rPr>
                                      <w:sz w:val="17"/>
                                    </w:rPr>
                                    <w:t>fútbol, aeropuerto y centro de</w:t>
                                  </w:r>
                                </w:p>
                                <w:p>
                                  <w:pPr>
                                    <w:pStyle w:val="TableParagraph"/>
                                    <w:spacing w:line="172" w:lineRule="exact"/>
                                    <w:ind w:left="69"/>
                                    <w:rPr>
                                      <w:sz w:val="17"/>
                                    </w:rPr>
                                  </w:pPr>
                                  <w:r>
                                    <w:rPr>
                                      <w:sz w:val="17"/>
                                    </w:rPr>
                                    <w:t>convenciones</w:t>
                                  </w:r>
                                  <w:r>
                                    <w:rPr>
                                      <w:spacing w:val="-5"/>
                                      <w:sz w:val="17"/>
                                    </w:rPr>
                                    <w:t> </w:t>
                                  </w:r>
                                  <w:r>
                                    <w:rPr>
                                      <w:sz w:val="17"/>
                                    </w:rPr>
                                    <w:t>y</w:t>
                                  </w:r>
                                  <w:r>
                                    <w:rPr>
                                      <w:spacing w:val="-2"/>
                                      <w:sz w:val="17"/>
                                    </w:rPr>
                                    <w:t> congresos</w:t>
                                  </w:r>
                                </w:p>
                              </w:tc>
                              <w:tc>
                                <w:tcPr>
                                  <w:tcW w:w="1231" w:type="dxa"/>
                                  <w:tcBorders>
                                    <w:bottom w:val="single" w:sz="8" w:space="0" w:color="002D5D"/>
                                  </w:tcBorders>
                                </w:tcPr>
                                <w:p>
                                  <w:pPr>
                                    <w:pStyle w:val="TableParagraph"/>
                                    <w:ind w:right="135"/>
                                    <w:jc w:val="right"/>
                                    <w:rPr>
                                      <w:sz w:val="17"/>
                                    </w:rPr>
                                  </w:pPr>
                                  <w:r>
                                    <w:rPr>
                                      <w:spacing w:val="-2"/>
                                      <w:sz w:val="17"/>
                                    </w:rPr>
                                    <w:t>10.000,00</w:t>
                                  </w:r>
                                </w:p>
                              </w:tc>
                              <w:tc>
                                <w:tcPr>
                                  <w:tcW w:w="724" w:type="dxa"/>
                                  <w:tcBorders>
                                    <w:bottom w:val="single" w:sz="8" w:space="0" w:color="002D5D"/>
                                  </w:tcBorders>
                                </w:tcPr>
                                <w:p>
                                  <w:pPr>
                                    <w:pStyle w:val="TableParagraph"/>
                                    <w:ind w:right="158"/>
                                    <w:jc w:val="right"/>
                                    <w:rPr>
                                      <w:sz w:val="17"/>
                                    </w:rPr>
                                  </w:pPr>
                                  <w:r>
                                    <w:rPr>
                                      <w:spacing w:val="-4"/>
                                      <w:sz w:val="17"/>
                                    </w:rPr>
                                    <w:t>0,08</w:t>
                                  </w:r>
                                </w:p>
                              </w:tc>
                              <w:tc>
                                <w:tcPr>
                                  <w:tcW w:w="1181" w:type="dxa"/>
                                  <w:tcBorders>
                                    <w:bottom w:val="single" w:sz="8" w:space="0" w:color="002D5D"/>
                                  </w:tcBorders>
                                </w:tcPr>
                                <w:p>
                                  <w:pPr>
                                    <w:pStyle w:val="TableParagraph"/>
                                    <w:ind w:right="127"/>
                                    <w:jc w:val="right"/>
                                    <w:rPr>
                                      <w:sz w:val="17"/>
                                    </w:rPr>
                                  </w:pPr>
                                  <w:r>
                                    <w:rPr>
                                      <w:spacing w:val="-2"/>
                                      <w:sz w:val="17"/>
                                    </w:rPr>
                                    <w:t>10.000,00</w:t>
                                  </w:r>
                                </w:p>
                              </w:tc>
                              <w:tc>
                                <w:tcPr>
                                  <w:tcW w:w="773" w:type="dxa"/>
                                  <w:tcBorders>
                                    <w:bottom w:val="single" w:sz="8" w:space="0" w:color="002D5D"/>
                                  </w:tcBorders>
                                </w:tcPr>
                                <w:p>
                                  <w:pPr>
                                    <w:pStyle w:val="TableParagraph"/>
                                    <w:ind w:left="67" w:right="153"/>
                                    <w:jc w:val="center"/>
                                    <w:rPr>
                                      <w:sz w:val="17"/>
                                    </w:rPr>
                                  </w:pPr>
                                  <w:r>
                                    <w:rPr>
                                      <w:spacing w:val="-2"/>
                                      <w:sz w:val="17"/>
                                    </w:rPr>
                                    <w:t>100,00</w:t>
                                  </w:r>
                                </w:p>
                              </w:tc>
                              <w:tc>
                                <w:tcPr>
                                  <w:tcW w:w="1058" w:type="dxa"/>
                                  <w:tcBorders>
                                    <w:bottom w:val="single" w:sz="8" w:space="0" w:color="002D5D"/>
                                  </w:tcBorders>
                                </w:tcPr>
                                <w:p>
                                  <w:pPr>
                                    <w:pStyle w:val="TableParagraph"/>
                                    <w:ind w:right="141"/>
                                    <w:jc w:val="right"/>
                                    <w:rPr>
                                      <w:sz w:val="17"/>
                                    </w:rPr>
                                  </w:pPr>
                                  <w:r>
                                    <w:rPr>
                                      <w:spacing w:val="-4"/>
                                      <w:sz w:val="17"/>
                                    </w:rPr>
                                    <w:t>0,00</w:t>
                                  </w:r>
                                </w:p>
                              </w:tc>
                              <w:tc>
                                <w:tcPr>
                                  <w:tcW w:w="725" w:type="dxa"/>
                                  <w:tcBorders>
                                    <w:bottom w:val="single" w:sz="8" w:space="0" w:color="002D5D"/>
                                  </w:tcBorders>
                                </w:tcPr>
                                <w:p>
                                  <w:pPr>
                                    <w:pStyle w:val="TableParagraph"/>
                                    <w:ind w:right="153"/>
                                    <w:jc w:val="right"/>
                                    <w:rPr>
                                      <w:sz w:val="17"/>
                                    </w:rPr>
                                  </w:pPr>
                                  <w:r>
                                    <w:rPr>
                                      <w:spacing w:val="-4"/>
                                      <w:sz w:val="17"/>
                                    </w:rPr>
                                    <w:t>0,00</w:t>
                                  </w:r>
                                </w:p>
                              </w:tc>
                              <w:tc>
                                <w:tcPr>
                                  <w:tcW w:w="1197" w:type="dxa"/>
                                  <w:tcBorders>
                                    <w:bottom w:val="single" w:sz="8" w:space="0" w:color="002D5D"/>
                                  </w:tcBorders>
                                </w:tcPr>
                                <w:p>
                                  <w:pPr>
                                    <w:pStyle w:val="TableParagraph"/>
                                    <w:ind w:right="85"/>
                                    <w:jc w:val="center"/>
                                    <w:rPr>
                                      <w:sz w:val="17"/>
                                    </w:rPr>
                                  </w:pPr>
                                  <w:r>
                                    <w:rPr>
                                      <w:spacing w:val="-2"/>
                                      <w:sz w:val="17"/>
                                    </w:rPr>
                                    <w:t>Finalizada</w:t>
                                  </w:r>
                                </w:p>
                              </w:tc>
                            </w:tr>
                            <w:tr>
                              <w:trPr>
                                <w:trHeight w:val="508" w:hRule="atLeast"/>
                              </w:trPr>
                              <w:tc>
                                <w:tcPr>
                                  <w:tcW w:w="4460" w:type="dxa"/>
                                  <w:tcBorders>
                                    <w:top w:val="single" w:sz="8" w:space="0" w:color="002D5D"/>
                                    <w:bottom w:val="single" w:sz="8" w:space="0" w:color="002D5D"/>
                                  </w:tcBorders>
                                </w:tcPr>
                                <w:p>
                                  <w:pPr>
                                    <w:pStyle w:val="TableParagraph"/>
                                    <w:tabs>
                                      <w:tab w:pos="2904" w:val="left" w:leader="none"/>
                                    </w:tabs>
                                    <w:spacing w:before="58"/>
                                    <w:ind w:left="69"/>
                                    <w:rPr>
                                      <w:position w:val="-9"/>
                                      <w:sz w:val="17"/>
                                    </w:rPr>
                                  </w:pPr>
                                  <w:r>
                                    <w:rPr>
                                      <w:sz w:val="17"/>
                                    </w:rPr>
                                    <w:t>Servicio</w:t>
                                  </w:r>
                                  <w:r>
                                    <w:rPr>
                                      <w:spacing w:val="-4"/>
                                      <w:sz w:val="17"/>
                                    </w:rPr>
                                    <w:t> </w:t>
                                  </w:r>
                                  <w:r>
                                    <w:rPr>
                                      <w:sz w:val="17"/>
                                    </w:rPr>
                                    <w:t>de</w:t>
                                  </w:r>
                                  <w:r>
                                    <w:rPr>
                                      <w:spacing w:val="-2"/>
                                      <w:sz w:val="17"/>
                                    </w:rPr>
                                    <w:t> </w:t>
                                  </w:r>
                                  <w:r>
                                    <w:rPr>
                                      <w:sz w:val="17"/>
                                    </w:rPr>
                                    <w:t>azafatas</w:t>
                                  </w:r>
                                  <w:r>
                                    <w:rPr>
                                      <w:spacing w:val="-2"/>
                                      <w:sz w:val="17"/>
                                    </w:rPr>
                                    <w:t> </w:t>
                                  </w:r>
                                  <w:r>
                                    <w:rPr>
                                      <w:sz w:val="17"/>
                                    </w:rPr>
                                    <w:t>para</w:t>
                                  </w:r>
                                  <w:r>
                                    <w:rPr>
                                      <w:spacing w:val="-3"/>
                                      <w:sz w:val="17"/>
                                    </w:rPr>
                                    <w:t> </w:t>
                                  </w:r>
                                  <w:r>
                                    <w:rPr>
                                      <w:spacing w:val="-2"/>
                                      <w:sz w:val="17"/>
                                    </w:rPr>
                                    <w:t>información</w:t>
                                  </w:r>
                                  <w:r>
                                    <w:rPr>
                                      <w:sz w:val="17"/>
                                    </w:rPr>
                                    <w:tab/>
                                  </w:r>
                                  <w:r>
                                    <w:rPr>
                                      <w:position w:val="-9"/>
                                      <w:sz w:val="17"/>
                                    </w:rPr>
                                    <w:t>Información</w:t>
                                  </w:r>
                                  <w:r>
                                    <w:rPr>
                                      <w:spacing w:val="-3"/>
                                      <w:position w:val="-9"/>
                                      <w:sz w:val="17"/>
                                    </w:rPr>
                                    <w:t> </w:t>
                                  </w:r>
                                  <w:r>
                                    <w:rPr>
                                      <w:position w:val="-9"/>
                                      <w:sz w:val="17"/>
                                    </w:rPr>
                                    <w:t>y</w:t>
                                  </w:r>
                                  <w:r>
                                    <w:rPr>
                                      <w:spacing w:val="-3"/>
                                      <w:position w:val="-9"/>
                                      <w:sz w:val="17"/>
                                    </w:rPr>
                                    <w:t> </w:t>
                                  </w:r>
                                  <w:r>
                                    <w:rPr>
                                      <w:spacing w:val="-2"/>
                                      <w:position w:val="-9"/>
                                      <w:sz w:val="17"/>
                                    </w:rPr>
                                    <w:t>difusión</w:t>
                                  </w:r>
                                </w:p>
                              </w:tc>
                              <w:tc>
                                <w:tcPr>
                                  <w:tcW w:w="1231" w:type="dxa"/>
                                  <w:tcBorders>
                                    <w:top w:val="single" w:sz="8" w:space="0" w:color="002D5D"/>
                                    <w:bottom w:val="single" w:sz="8" w:space="0" w:color="002D5D"/>
                                  </w:tcBorders>
                                </w:tcPr>
                                <w:p>
                                  <w:pPr>
                                    <w:pStyle w:val="TableParagraph"/>
                                    <w:spacing w:before="157"/>
                                    <w:ind w:right="135"/>
                                    <w:jc w:val="right"/>
                                    <w:rPr>
                                      <w:sz w:val="17"/>
                                    </w:rPr>
                                  </w:pPr>
                                  <w:r>
                                    <w:rPr>
                                      <w:spacing w:val="-2"/>
                                      <w:sz w:val="17"/>
                                    </w:rPr>
                                    <w:t>11.970,00</w:t>
                                  </w:r>
                                </w:p>
                              </w:tc>
                              <w:tc>
                                <w:tcPr>
                                  <w:tcW w:w="724" w:type="dxa"/>
                                  <w:tcBorders>
                                    <w:top w:val="single" w:sz="8" w:space="0" w:color="002D5D"/>
                                    <w:bottom w:val="single" w:sz="8" w:space="0" w:color="002D5D"/>
                                  </w:tcBorders>
                                </w:tcPr>
                                <w:p>
                                  <w:pPr>
                                    <w:pStyle w:val="TableParagraph"/>
                                    <w:spacing w:before="157"/>
                                    <w:ind w:right="158"/>
                                    <w:jc w:val="right"/>
                                    <w:rPr>
                                      <w:sz w:val="17"/>
                                    </w:rPr>
                                  </w:pPr>
                                  <w:r>
                                    <w:rPr>
                                      <w:spacing w:val="-4"/>
                                      <w:sz w:val="17"/>
                                    </w:rPr>
                                    <w:t>0,09</w:t>
                                  </w:r>
                                </w:p>
                              </w:tc>
                              <w:tc>
                                <w:tcPr>
                                  <w:tcW w:w="1181" w:type="dxa"/>
                                  <w:tcBorders>
                                    <w:top w:val="single" w:sz="8" w:space="0" w:color="002D5D"/>
                                    <w:bottom w:val="single" w:sz="8" w:space="0" w:color="002D5D"/>
                                  </w:tcBorders>
                                </w:tcPr>
                                <w:p>
                                  <w:pPr>
                                    <w:pStyle w:val="TableParagraph"/>
                                    <w:spacing w:before="157"/>
                                    <w:ind w:right="127"/>
                                    <w:jc w:val="right"/>
                                    <w:rPr>
                                      <w:sz w:val="17"/>
                                    </w:rPr>
                                  </w:pPr>
                                  <w:r>
                                    <w:rPr>
                                      <w:spacing w:val="-4"/>
                                      <w:sz w:val="17"/>
                                    </w:rPr>
                                    <w:t>0,00</w:t>
                                  </w:r>
                                </w:p>
                              </w:tc>
                              <w:tc>
                                <w:tcPr>
                                  <w:tcW w:w="773" w:type="dxa"/>
                                  <w:tcBorders>
                                    <w:top w:val="single" w:sz="8" w:space="0" w:color="002D5D"/>
                                    <w:bottom w:val="single" w:sz="8" w:space="0" w:color="002D5D"/>
                                  </w:tcBorders>
                                </w:tcPr>
                                <w:p>
                                  <w:pPr>
                                    <w:pStyle w:val="TableParagraph"/>
                                    <w:spacing w:before="157"/>
                                    <w:ind w:left="67"/>
                                    <w:jc w:val="center"/>
                                    <w:rPr>
                                      <w:sz w:val="17"/>
                                    </w:rPr>
                                  </w:pPr>
                                  <w:r>
                                    <w:rPr>
                                      <w:spacing w:val="-4"/>
                                      <w:sz w:val="17"/>
                                    </w:rPr>
                                    <w:t>0,00</w:t>
                                  </w:r>
                                </w:p>
                              </w:tc>
                              <w:tc>
                                <w:tcPr>
                                  <w:tcW w:w="1058" w:type="dxa"/>
                                  <w:tcBorders>
                                    <w:top w:val="single" w:sz="8" w:space="0" w:color="002D5D"/>
                                    <w:bottom w:val="single" w:sz="8" w:space="0" w:color="002D5D"/>
                                  </w:tcBorders>
                                </w:tcPr>
                                <w:p>
                                  <w:pPr>
                                    <w:pStyle w:val="TableParagraph"/>
                                    <w:spacing w:before="157"/>
                                    <w:ind w:right="141"/>
                                    <w:jc w:val="right"/>
                                    <w:rPr>
                                      <w:sz w:val="17"/>
                                    </w:rPr>
                                  </w:pPr>
                                  <w:r>
                                    <w:rPr>
                                      <w:spacing w:val="-2"/>
                                      <w:sz w:val="17"/>
                                    </w:rPr>
                                    <w:t>11.970,00</w:t>
                                  </w:r>
                                </w:p>
                              </w:tc>
                              <w:tc>
                                <w:tcPr>
                                  <w:tcW w:w="725" w:type="dxa"/>
                                  <w:tcBorders>
                                    <w:top w:val="single" w:sz="8" w:space="0" w:color="002D5D"/>
                                    <w:bottom w:val="single" w:sz="8" w:space="0" w:color="002D5D"/>
                                  </w:tcBorders>
                                </w:tcPr>
                                <w:p>
                                  <w:pPr>
                                    <w:pStyle w:val="TableParagraph"/>
                                    <w:spacing w:before="157"/>
                                    <w:ind w:right="153"/>
                                    <w:jc w:val="right"/>
                                    <w:rPr>
                                      <w:sz w:val="17"/>
                                    </w:rPr>
                                  </w:pPr>
                                  <w:r>
                                    <w:rPr>
                                      <w:spacing w:val="-2"/>
                                      <w:sz w:val="17"/>
                                    </w:rPr>
                                    <w:t>100,00</w:t>
                                  </w:r>
                                </w:p>
                              </w:tc>
                              <w:tc>
                                <w:tcPr>
                                  <w:tcW w:w="1197" w:type="dxa"/>
                                  <w:tcBorders>
                                    <w:top w:val="single" w:sz="8" w:space="0" w:color="002D5D"/>
                                    <w:bottom w:val="single" w:sz="8" w:space="0" w:color="002D5D"/>
                                  </w:tcBorders>
                                </w:tcPr>
                                <w:p>
                                  <w:pPr>
                                    <w:pStyle w:val="TableParagraph"/>
                                    <w:spacing w:before="157"/>
                                    <w:ind w:right="85"/>
                                    <w:jc w:val="center"/>
                                    <w:rPr>
                                      <w:sz w:val="17"/>
                                    </w:rPr>
                                  </w:pPr>
                                  <w:r>
                                    <w:rPr>
                                      <w:spacing w:val="-2"/>
                                      <w:sz w:val="17"/>
                                    </w:rPr>
                                    <w:t>Finalizada</w:t>
                                  </w:r>
                                </w:p>
                              </w:tc>
                            </w:tr>
                            <w:tr>
                              <w:trPr>
                                <w:trHeight w:val="584" w:hRule="atLeast"/>
                              </w:trPr>
                              <w:tc>
                                <w:tcPr>
                                  <w:tcW w:w="4460" w:type="dxa"/>
                                  <w:tcBorders>
                                    <w:top w:val="single" w:sz="8" w:space="0" w:color="002D5D"/>
                                    <w:bottom w:val="single" w:sz="8" w:space="0" w:color="002D5D"/>
                                  </w:tcBorders>
                                </w:tcPr>
                                <w:p>
                                  <w:pPr>
                                    <w:pStyle w:val="TableParagraph"/>
                                    <w:spacing w:line="194" w:lineRule="exact"/>
                                    <w:ind w:left="69"/>
                                    <w:rPr>
                                      <w:sz w:val="17"/>
                                    </w:rPr>
                                  </w:pPr>
                                  <w:r>
                                    <w:rPr>
                                      <w:sz w:val="17"/>
                                    </w:rPr>
                                    <w:t>Campañas</w:t>
                                  </w:r>
                                  <w:r>
                                    <w:rPr>
                                      <w:spacing w:val="-5"/>
                                      <w:sz w:val="17"/>
                                    </w:rPr>
                                    <w:t> </w:t>
                                  </w:r>
                                  <w:r>
                                    <w:rPr>
                                      <w:sz w:val="17"/>
                                    </w:rPr>
                                    <w:t>de</w:t>
                                  </w:r>
                                  <w:r>
                                    <w:rPr>
                                      <w:spacing w:val="-4"/>
                                      <w:sz w:val="17"/>
                                    </w:rPr>
                                    <w:t> </w:t>
                                  </w:r>
                                  <w:r>
                                    <w:rPr>
                                      <w:sz w:val="17"/>
                                    </w:rPr>
                                    <w:t>publicidad</w:t>
                                  </w:r>
                                  <w:r>
                                    <w:rPr>
                                      <w:spacing w:val="-3"/>
                                      <w:sz w:val="17"/>
                                    </w:rPr>
                                    <w:t> </w:t>
                                  </w:r>
                                  <w:r>
                                    <w:rPr>
                                      <w:sz w:val="17"/>
                                    </w:rPr>
                                    <w:t>relativas</w:t>
                                  </w:r>
                                  <w:r>
                                    <w:rPr>
                                      <w:spacing w:val="-4"/>
                                      <w:sz w:val="17"/>
                                    </w:rPr>
                                    <w:t> </w:t>
                                  </w:r>
                                  <w:r>
                                    <w:rPr>
                                      <w:spacing w:val="-10"/>
                                      <w:sz w:val="17"/>
                                    </w:rPr>
                                    <w:t>a</w:t>
                                  </w:r>
                                </w:p>
                                <w:p>
                                  <w:pPr>
                                    <w:pStyle w:val="TableParagraph"/>
                                    <w:tabs>
                                      <w:tab w:pos="2904" w:val="left" w:leader="none"/>
                                    </w:tabs>
                                    <w:spacing w:line="194" w:lineRule="exact"/>
                                    <w:ind w:left="69" w:right="199"/>
                                    <w:rPr>
                                      <w:sz w:val="17"/>
                                    </w:rPr>
                                  </w:pPr>
                                  <w:r>
                                    <w:rPr>
                                      <w:sz w:val="17"/>
                                    </w:rPr>
                                    <w:t>fomento de la recarga online y uso del</w:t>
                                    <w:tab/>
                                    <w:t>Información</w:t>
                                  </w:r>
                                  <w:r>
                                    <w:rPr>
                                      <w:spacing w:val="-10"/>
                                      <w:sz w:val="17"/>
                                    </w:rPr>
                                    <w:t> </w:t>
                                  </w:r>
                                  <w:r>
                                    <w:rPr>
                                      <w:sz w:val="17"/>
                                    </w:rPr>
                                    <w:t>y</w:t>
                                  </w:r>
                                  <w:r>
                                    <w:rPr>
                                      <w:spacing w:val="-10"/>
                                      <w:sz w:val="17"/>
                                    </w:rPr>
                                    <w:t> </w:t>
                                  </w:r>
                                  <w:r>
                                    <w:rPr>
                                      <w:sz w:val="17"/>
                                    </w:rPr>
                                    <w:t>difusión</w:t>
                                  </w:r>
                                  <w:r>
                                    <w:rPr>
                                      <w:spacing w:val="40"/>
                                      <w:sz w:val="17"/>
                                    </w:rPr>
                                    <w:t> </w:t>
                                  </w:r>
                                  <w:r>
                                    <w:rPr>
                                      <w:spacing w:val="-2"/>
                                      <w:sz w:val="17"/>
                                    </w:rPr>
                                    <w:t>autobús</w:t>
                                  </w:r>
                                </w:p>
                              </w:tc>
                              <w:tc>
                                <w:tcPr>
                                  <w:tcW w:w="1231" w:type="dxa"/>
                                  <w:tcBorders>
                                    <w:top w:val="single" w:sz="8" w:space="0" w:color="002D5D"/>
                                    <w:bottom w:val="single" w:sz="8" w:space="0" w:color="002D5D"/>
                                  </w:tcBorders>
                                </w:tcPr>
                                <w:p>
                                  <w:pPr>
                                    <w:pStyle w:val="TableParagraph"/>
                                    <w:rPr>
                                      <w:sz w:val="17"/>
                                    </w:rPr>
                                  </w:pPr>
                                </w:p>
                                <w:p>
                                  <w:pPr>
                                    <w:pStyle w:val="TableParagraph"/>
                                    <w:ind w:right="135"/>
                                    <w:jc w:val="right"/>
                                    <w:rPr>
                                      <w:sz w:val="17"/>
                                    </w:rPr>
                                  </w:pPr>
                                  <w:r>
                                    <w:rPr>
                                      <w:spacing w:val="-2"/>
                                      <w:sz w:val="17"/>
                                    </w:rPr>
                                    <w:t>14.973,52</w:t>
                                  </w:r>
                                </w:p>
                              </w:tc>
                              <w:tc>
                                <w:tcPr>
                                  <w:tcW w:w="724" w:type="dxa"/>
                                  <w:tcBorders>
                                    <w:top w:val="single" w:sz="8" w:space="0" w:color="002D5D"/>
                                    <w:bottom w:val="single" w:sz="8" w:space="0" w:color="002D5D"/>
                                  </w:tcBorders>
                                </w:tcPr>
                                <w:p>
                                  <w:pPr>
                                    <w:pStyle w:val="TableParagraph"/>
                                    <w:rPr>
                                      <w:sz w:val="17"/>
                                    </w:rPr>
                                  </w:pPr>
                                </w:p>
                                <w:p>
                                  <w:pPr>
                                    <w:pStyle w:val="TableParagraph"/>
                                    <w:ind w:right="158"/>
                                    <w:jc w:val="right"/>
                                    <w:rPr>
                                      <w:sz w:val="17"/>
                                    </w:rPr>
                                  </w:pPr>
                                  <w:r>
                                    <w:rPr>
                                      <w:spacing w:val="-4"/>
                                      <w:sz w:val="17"/>
                                    </w:rPr>
                                    <w:t>0,12</w:t>
                                  </w:r>
                                </w:p>
                              </w:tc>
                              <w:tc>
                                <w:tcPr>
                                  <w:tcW w:w="1181" w:type="dxa"/>
                                  <w:tcBorders>
                                    <w:top w:val="single" w:sz="8" w:space="0" w:color="002D5D"/>
                                    <w:bottom w:val="single" w:sz="8" w:space="0" w:color="002D5D"/>
                                  </w:tcBorders>
                                </w:tcPr>
                                <w:p>
                                  <w:pPr>
                                    <w:pStyle w:val="TableParagraph"/>
                                    <w:rPr>
                                      <w:sz w:val="17"/>
                                    </w:rPr>
                                  </w:pPr>
                                </w:p>
                                <w:p>
                                  <w:pPr>
                                    <w:pStyle w:val="TableParagraph"/>
                                    <w:ind w:right="127"/>
                                    <w:jc w:val="right"/>
                                    <w:rPr>
                                      <w:sz w:val="17"/>
                                    </w:rPr>
                                  </w:pPr>
                                  <w:r>
                                    <w:rPr>
                                      <w:spacing w:val="-4"/>
                                      <w:sz w:val="17"/>
                                    </w:rPr>
                                    <w:t>0,00</w:t>
                                  </w:r>
                                </w:p>
                              </w:tc>
                              <w:tc>
                                <w:tcPr>
                                  <w:tcW w:w="773" w:type="dxa"/>
                                  <w:tcBorders>
                                    <w:top w:val="single" w:sz="8" w:space="0" w:color="002D5D"/>
                                    <w:bottom w:val="single" w:sz="8" w:space="0" w:color="002D5D"/>
                                  </w:tcBorders>
                                </w:tcPr>
                                <w:p>
                                  <w:pPr>
                                    <w:pStyle w:val="TableParagraph"/>
                                    <w:rPr>
                                      <w:sz w:val="17"/>
                                    </w:rPr>
                                  </w:pPr>
                                </w:p>
                                <w:p>
                                  <w:pPr>
                                    <w:pStyle w:val="TableParagraph"/>
                                    <w:ind w:left="67"/>
                                    <w:jc w:val="center"/>
                                    <w:rPr>
                                      <w:sz w:val="17"/>
                                    </w:rPr>
                                  </w:pPr>
                                  <w:r>
                                    <w:rPr>
                                      <w:spacing w:val="-4"/>
                                      <w:sz w:val="17"/>
                                    </w:rPr>
                                    <w:t>0,00</w:t>
                                  </w:r>
                                </w:p>
                              </w:tc>
                              <w:tc>
                                <w:tcPr>
                                  <w:tcW w:w="1058" w:type="dxa"/>
                                  <w:tcBorders>
                                    <w:top w:val="single" w:sz="8" w:space="0" w:color="002D5D"/>
                                    <w:bottom w:val="single" w:sz="8" w:space="0" w:color="002D5D"/>
                                  </w:tcBorders>
                                </w:tcPr>
                                <w:p>
                                  <w:pPr>
                                    <w:pStyle w:val="TableParagraph"/>
                                    <w:rPr>
                                      <w:sz w:val="17"/>
                                    </w:rPr>
                                  </w:pPr>
                                </w:p>
                                <w:p>
                                  <w:pPr>
                                    <w:pStyle w:val="TableParagraph"/>
                                    <w:ind w:right="141"/>
                                    <w:jc w:val="right"/>
                                    <w:rPr>
                                      <w:sz w:val="17"/>
                                    </w:rPr>
                                  </w:pPr>
                                  <w:r>
                                    <w:rPr>
                                      <w:spacing w:val="-2"/>
                                      <w:sz w:val="17"/>
                                    </w:rPr>
                                    <w:t>14.973,52</w:t>
                                  </w:r>
                                </w:p>
                              </w:tc>
                              <w:tc>
                                <w:tcPr>
                                  <w:tcW w:w="725" w:type="dxa"/>
                                  <w:tcBorders>
                                    <w:top w:val="single" w:sz="8" w:space="0" w:color="002D5D"/>
                                    <w:bottom w:val="single" w:sz="8" w:space="0" w:color="002D5D"/>
                                  </w:tcBorders>
                                </w:tcPr>
                                <w:p>
                                  <w:pPr>
                                    <w:pStyle w:val="TableParagraph"/>
                                    <w:rPr>
                                      <w:sz w:val="17"/>
                                    </w:rPr>
                                  </w:pPr>
                                </w:p>
                                <w:p>
                                  <w:pPr>
                                    <w:pStyle w:val="TableParagraph"/>
                                    <w:ind w:right="153"/>
                                    <w:jc w:val="right"/>
                                    <w:rPr>
                                      <w:sz w:val="17"/>
                                    </w:rPr>
                                  </w:pPr>
                                  <w:r>
                                    <w:rPr>
                                      <w:spacing w:val="-2"/>
                                      <w:sz w:val="17"/>
                                    </w:rPr>
                                    <w:t>100,00</w:t>
                                  </w:r>
                                </w:p>
                              </w:tc>
                              <w:tc>
                                <w:tcPr>
                                  <w:tcW w:w="1197" w:type="dxa"/>
                                  <w:tcBorders>
                                    <w:top w:val="single" w:sz="8" w:space="0" w:color="002D5D"/>
                                    <w:bottom w:val="single" w:sz="8" w:space="0" w:color="002D5D"/>
                                  </w:tcBorders>
                                </w:tcPr>
                                <w:p>
                                  <w:pPr>
                                    <w:pStyle w:val="TableParagraph"/>
                                    <w:rPr>
                                      <w:sz w:val="17"/>
                                    </w:rPr>
                                  </w:pPr>
                                </w:p>
                                <w:p>
                                  <w:pPr>
                                    <w:pStyle w:val="TableParagraph"/>
                                    <w:ind w:right="85"/>
                                    <w:jc w:val="center"/>
                                    <w:rPr>
                                      <w:sz w:val="17"/>
                                    </w:rPr>
                                  </w:pPr>
                                  <w:r>
                                    <w:rPr>
                                      <w:spacing w:val="-2"/>
                                      <w:sz w:val="17"/>
                                    </w:rPr>
                                    <w:t>Finalizada</w:t>
                                  </w:r>
                                </w:p>
                              </w:tc>
                            </w:tr>
                            <w:tr>
                              <w:trPr>
                                <w:trHeight w:val="771" w:hRule="atLeast"/>
                              </w:trPr>
                              <w:tc>
                                <w:tcPr>
                                  <w:tcW w:w="4460" w:type="dxa"/>
                                  <w:tcBorders>
                                    <w:top w:val="single" w:sz="8" w:space="0" w:color="002D5D"/>
                                    <w:bottom w:val="single" w:sz="8" w:space="0" w:color="002D5D"/>
                                  </w:tcBorders>
                                </w:tcPr>
                                <w:p>
                                  <w:pPr>
                                    <w:pStyle w:val="TableParagraph"/>
                                    <w:spacing w:line="195" w:lineRule="exact" w:before="1"/>
                                    <w:ind w:left="69"/>
                                    <w:rPr>
                                      <w:sz w:val="17"/>
                                    </w:rPr>
                                  </w:pPr>
                                  <w:r>
                                    <w:rPr>
                                      <w:sz w:val="17"/>
                                    </w:rPr>
                                    <w:t>Campañas</w:t>
                                  </w:r>
                                  <w:r>
                                    <w:rPr>
                                      <w:spacing w:val="-5"/>
                                      <w:sz w:val="17"/>
                                    </w:rPr>
                                    <w:t> </w:t>
                                  </w:r>
                                  <w:r>
                                    <w:rPr>
                                      <w:sz w:val="17"/>
                                    </w:rPr>
                                    <w:t>informativas</w:t>
                                  </w:r>
                                  <w:r>
                                    <w:rPr>
                                      <w:spacing w:val="-4"/>
                                      <w:sz w:val="17"/>
                                    </w:rPr>
                                    <w:t> </w:t>
                                  </w:r>
                                  <w:r>
                                    <w:rPr>
                                      <w:sz w:val="17"/>
                                    </w:rPr>
                                    <w:t>en</w:t>
                                  </w:r>
                                  <w:r>
                                    <w:rPr>
                                      <w:spacing w:val="-4"/>
                                      <w:sz w:val="17"/>
                                    </w:rPr>
                                    <w:t> </w:t>
                                  </w:r>
                                  <w:r>
                                    <w:rPr>
                                      <w:spacing w:val="-2"/>
                                      <w:sz w:val="17"/>
                                    </w:rPr>
                                    <w:t>centros</w:t>
                                  </w:r>
                                </w:p>
                                <w:p>
                                  <w:pPr>
                                    <w:pStyle w:val="TableParagraph"/>
                                    <w:tabs>
                                      <w:tab w:pos="2904" w:val="left" w:leader="none"/>
                                    </w:tabs>
                                    <w:ind w:left="69"/>
                                    <w:rPr>
                                      <w:position w:val="-9"/>
                                      <w:sz w:val="17"/>
                                    </w:rPr>
                                  </w:pPr>
                                  <w:r>
                                    <w:rPr>
                                      <w:sz w:val="17"/>
                                    </w:rPr>
                                    <w:t>educativos,</w:t>
                                  </w:r>
                                  <w:r>
                                    <w:rPr>
                                      <w:spacing w:val="-6"/>
                                      <w:sz w:val="17"/>
                                    </w:rPr>
                                    <w:t> </w:t>
                                  </w:r>
                                  <w:r>
                                    <w:rPr>
                                      <w:sz w:val="17"/>
                                    </w:rPr>
                                    <w:t>universitarios,</w:t>
                                  </w:r>
                                  <w:r>
                                    <w:rPr>
                                      <w:spacing w:val="-3"/>
                                      <w:sz w:val="17"/>
                                    </w:rPr>
                                    <w:t> </w:t>
                                  </w:r>
                                  <w:r>
                                    <w:rPr>
                                      <w:sz w:val="17"/>
                                    </w:rPr>
                                    <w:t>cívicos</w:t>
                                  </w:r>
                                  <w:r>
                                    <w:rPr>
                                      <w:spacing w:val="-6"/>
                                      <w:sz w:val="17"/>
                                    </w:rPr>
                                    <w:t> </w:t>
                                  </w:r>
                                  <w:r>
                                    <w:rPr>
                                      <w:sz w:val="17"/>
                                    </w:rPr>
                                    <w:t>y</w:t>
                                  </w:r>
                                  <w:r>
                                    <w:rPr>
                                      <w:spacing w:val="-2"/>
                                      <w:sz w:val="17"/>
                                    </w:rPr>
                                    <w:t> </w:t>
                                  </w:r>
                                  <w:r>
                                    <w:rPr>
                                      <w:spacing w:val="-5"/>
                                      <w:sz w:val="17"/>
                                    </w:rPr>
                                    <w:t>de</w:t>
                                  </w:r>
                                  <w:r>
                                    <w:rPr>
                                      <w:sz w:val="17"/>
                                    </w:rPr>
                                    <w:tab/>
                                  </w:r>
                                  <w:r>
                                    <w:rPr>
                                      <w:position w:val="-9"/>
                                      <w:sz w:val="17"/>
                                    </w:rPr>
                                    <w:t>Información</w:t>
                                  </w:r>
                                  <w:r>
                                    <w:rPr>
                                      <w:spacing w:val="-3"/>
                                      <w:position w:val="-9"/>
                                      <w:sz w:val="17"/>
                                    </w:rPr>
                                    <w:t> </w:t>
                                  </w:r>
                                  <w:r>
                                    <w:rPr>
                                      <w:position w:val="-9"/>
                                      <w:sz w:val="17"/>
                                    </w:rPr>
                                    <w:t>y</w:t>
                                  </w:r>
                                  <w:r>
                                    <w:rPr>
                                      <w:spacing w:val="-3"/>
                                      <w:position w:val="-9"/>
                                      <w:sz w:val="17"/>
                                    </w:rPr>
                                    <w:t> </w:t>
                                  </w:r>
                                  <w:r>
                                    <w:rPr>
                                      <w:spacing w:val="-2"/>
                                      <w:position w:val="-9"/>
                                      <w:sz w:val="17"/>
                                    </w:rPr>
                                    <w:t>difusión</w:t>
                                  </w:r>
                                </w:p>
                                <w:p>
                                  <w:pPr>
                                    <w:pStyle w:val="TableParagraph"/>
                                    <w:spacing w:line="168" w:lineRule="exact" w:before="93"/>
                                    <w:ind w:left="69"/>
                                    <w:rPr>
                                      <w:sz w:val="17"/>
                                    </w:rPr>
                                  </w:pPr>
                                  <w:r>
                                    <w:rPr>
                                      <w:spacing w:val="-2"/>
                                      <w:sz w:val="17"/>
                                    </w:rPr>
                                    <w:t>(WhatsApp)</w:t>
                                  </w:r>
                                </w:p>
                              </w:tc>
                              <w:tc>
                                <w:tcPr>
                                  <w:tcW w:w="1231" w:type="dxa"/>
                                  <w:tcBorders>
                                    <w:top w:val="single" w:sz="8" w:space="0" w:color="002D5D"/>
                                    <w:bottom w:val="single" w:sz="8" w:space="0" w:color="002D5D"/>
                                  </w:tcBorders>
                                </w:tcPr>
                                <w:p>
                                  <w:pPr>
                                    <w:pStyle w:val="TableParagraph"/>
                                    <w:spacing w:before="98"/>
                                    <w:rPr>
                                      <w:sz w:val="17"/>
                                    </w:rPr>
                                  </w:pPr>
                                </w:p>
                                <w:p>
                                  <w:pPr>
                                    <w:pStyle w:val="TableParagraph"/>
                                    <w:spacing w:before="1"/>
                                    <w:ind w:right="135"/>
                                    <w:jc w:val="right"/>
                                    <w:rPr>
                                      <w:sz w:val="17"/>
                                    </w:rPr>
                                  </w:pPr>
                                  <w:r>
                                    <w:rPr>
                                      <w:spacing w:val="-4"/>
                                      <w:sz w:val="17"/>
                                    </w:rPr>
                                    <w:t>0,00</w:t>
                                  </w:r>
                                </w:p>
                              </w:tc>
                              <w:tc>
                                <w:tcPr>
                                  <w:tcW w:w="724" w:type="dxa"/>
                                  <w:tcBorders>
                                    <w:top w:val="single" w:sz="8" w:space="0" w:color="002D5D"/>
                                    <w:bottom w:val="single" w:sz="8" w:space="0" w:color="002D5D"/>
                                  </w:tcBorders>
                                </w:tcPr>
                                <w:p>
                                  <w:pPr>
                                    <w:pStyle w:val="TableParagraph"/>
                                    <w:spacing w:before="98"/>
                                    <w:rPr>
                                      <w:sz w:val="17"/>
                                    </w:rPr>
                                  </w:pPr>
                                </w:p>
                                <w:p>
                                  <w:pPr>
                                    <w:pStyle w:val="TableParagraph"/>
                                    <w:spacing w:before="1"/>
                                    <w:ind w:right="158"/>
                                    <w:jc w:val="right"/>
                                    <w:rPr>
                                      <w:sz w:val="17"/>
                                    </w:rPr>
                                  </w:pPr>
                                  <w:r>
                                    <w:rPr>
                                      <w:spacing w:val="-4"/>
                                      <w:sz w:val="17"/>
                                    </w:rPr>
                                    <w:t>0,00</w:t>
                                  </w:r>
                                </w:p>
                              </w:tc>
                              <w:tc>
                                <w:tcPr>
                                  <w:tcW w:w="1181" w:type="dxa"/>
                                  <w:tcBorders>
                                    <w:top w:val="single" w:sz="8" w:space="0" w:color="002D5D"/>
                                    <w:bottom w:val="single" w:sz="8" w:space="0" w:color="002D5D"/>
                                  </w:tcBorders>
                                </w:tcPr>
                                <w:p>
                                  <w:pPr>
                                    <w:pStyle w:val="TableParagraph"/>
                                    <w:spacing w:before="98"/>
                                    <w:rPr>
                                      <w:sz w:val="17"/>
                                    </w:rPr>
                                  </w:pPr>
                                </w:p>
                                <w:p>
                                  <w:pPr>
                                    <w:pStyle w:val="TableParagraph"/>
                                    <w:spacing w:before="1"/>
                                    <w:ind w:right="127"/>
                                    <w:jc w:val="right"/>
                                    <w:rPr>
                                      <w:sz w:val="17"/>
                                    </w:rPr>
                                  </w:pPr>
                                  <w:r>
                                    <w:rPr>
                                      <w:spacing w:val="-4"/>
                                      <w:sz w:val="17"/>
                                    </w:rPr>
                                    <w:t>0,00</w:t>
                                  </w:r>
                                </w:p>
                              </w:tc>
                              <w:tc>
                                <w:tcPr>
                                  <w:tcW w:w="773" w:type="dxa"/>
                                  <w:tcBorders>
                                    <w:top w:val="single" w:sz="8" w:space="0" w:color="002D5D"/>
                                    <w:bottom w:val="single" w:sz="8" w:space="0" w:color="002D5D"/>
                                  </w:tcBorders>
                                </w:tcPr>
                                <w:p>
                                  <w:pPr>
                                    <w:pStyle w:val="TableParagraph"/>
                                    <w:spacing w:before="98"/>
                                    <w:rPr>
                                      <w:sz w:val="17"/>
                                    </w:rPr>
                                  </w:pPr>
                                </w:p>
                                <w:p>
                                  <w:pPr>
                                    <w:pStyle w:val="TableParagraph"/>
                                    <w:spacing w:before="1"/>
                                    <w:ind w:left="67"/>
                                    <w:jc w:val="center"/>
                                    <w:rPr>
                                      <w:sz w:val="17"/>
                                    </w:rPr>
                                  </w:pPr>
                                  <w:r>
                                    <w:rPr>
                                      <w:spacing w:val="-4"/>
                                      <w:sz w:val="17"/>
                                    </w:rPr>
                                    <w:t>0,00</w:t>
                                  </w:r>
                                </w:p>
                              </w:tc>
                              <w:tc>
                                <w:tcPr>
                                  <w:tcW w:w="1058" w:type="dxa"/>
                                  <w:tcBorders>
                                    <w:top w:val="single" w:sz="8" w:space="0" w:color="002D5D"/>
                                    <w:bottom w:val="single" w:sz="8" w:space="0" w:color="002D5D"/>
                                  </w:tcBorders>
                                </w:tcPr>
                                <w:p>
                                  <w:pPr>
                                    <w:pStyle w:val="TableParagraph"/>
                                    <w:spacing w:before="98"/>
                                    <w:rPr>
                                      <w:sz w:val="17"/>
                                    </w:rPr>
                                  </w:pPr>
                                </w:p>
                                <w:p>
                                  <w:pPr>
                                    <w:pStyle w:val="TableParagraph"/>
                                    <w:spacing w:before="1"/>
                                    <w:ind w:right="141"/>
                                    <w:jc w:val="right"/>
                                    <w:rPr>
                                      <w:sz w:val="17"/>
                                    </w:rPr>
                                  </w:pPr>
                                  <w:r>
                                    <w:rPr>
                                      <w:spacing w:val="-4"/>
                                      <w:sz w:val="17"/>
                                    </w:rPr>
                                    <w:t>0,00</w:t>
                                  </w:r>
                                </w:p>
                              </w:tc>
                              <w:tc>
                                <w:tcPr>
                                  <w:tcW w:w="725" w:type="dxa"/>
                                  <w:tcBorders>
                                    <w:top w:val="single" w:sz="8" w:space="0" w:color="002D5D"/>
                                    <w:bottom w:val="single" w:sz="8" w:space="0" w:color="002D5D"/>
                                  </w:tcBorders>
                                </w:tcPr>
                                <w:p>
                                  <w:pPr>
                                    <w:pStyle w:val="TableParagraph"/>
                                    <w:spacing w:before="98"/>
                                    <w:rPr>
                                      <w:sz w:val="17"/>
                                    </w:rPr>
                                  </w:pPr>
                                </w:p>
                                <w:p>
                                  <w:pPr>
                                    <w:pStyle w:val="TableParagraph"/>
                                    <w:spacing w:before="1"/>
                                    <w:ind w:right="153"/>
                                    <w:jc w:val="right"/>
                                    <w:rPr>
                                      <w:sz w:val="17"/>
                                    </w:rPr>
                                  </w:pPr>
                                  <w:r>
                                    <w:rPr>
                                      <w:spacing w:val="-4"/>
                                      <w:sz w:val="17"/>
                                    </w:rPr>
                                    <w:t>0,00</w:t>
                                  </w:r>
                                </w:p>
                              </w:tc>
                              <w:tc>
                                <w:tcPr>
                                  <w:tcW w:w="1197" w:type="dxa"/>
                                  <w:tcBorders>
                                    <w:top w:val="single" w:sz="8" w:space="0" w:color="002D5D"/>
                                    <w:bottom w:val="single" w:sz="8" w:space="0" w:color="002D5D"/>
                                  </w:tcBorders>
                                </w:tcPr>
                                <w:p>
                                  <w:pPr>
                                    <w:pStyle w:val="TableParagraph"/>
                                    <w:spacing w:before="98"/>
                                    <w:rPr>
                                      <w:sz w:val="17"/>
                                    </w:rPr>
                                  </w:pPr>
                                </w:p>
                                <w:p>
                                  <w:pPr>
                                    <w:pStyle w:val="TableParagraph"/>
                                    <w:spacing w:before="1"/>
                                    <w:ind w:right="85"/>
                                    <w:jc w:val="center"/>
                                    <w:rPr>
                                      <w:sz w:val="17"/>
                                    </w:rPr>
                                  </w:pPr>
                                  <w:r>
                                    <w:rPr>
                                      <w:spacing w:val="-2"/>
                                      <w:sz w:val="17"/>
                                    </w:rPr>
                                    <w:t>Finalizada</w:t>
                                  </w:r>
                                </w:p>
                              </w:tc>
                            </w:tr>
                            <w:tr>
                              <w:trPr>
                                <w:trHeight w:val="352" w:hRule="atLeast"/>
                              </w:trPr>
                              <w:tc>
                                <w:tcPr>
                                  <w:tcW w:w="4460" w:type="dxa"/>
                                  <w:shd w:val="clear" w:color="auto" w:fill="002D5D"/>
                                </w:tcPr>
                                <w:p>
                                  <w:pPr>
                                    <w:pStyle w:val="TableParagraph"/>
                                    <w:spacing w:before="82"/>
                                    <w:ind w:left="69"/>
                                    <w:rPr>
                                      <w:b/>
                                      <w:sz w:val="17"/>
                                    </w:rPr>
                                  </w:pPr>
                                  <w:r>
                                    <w:rPr>
                                      <w:b/>
                                      <w:color w:val="FFFFFF"/>
                                      <w:spacing w:val="-2"/>
                                      <w:sz w:val="17"/>
                                    </w:rPr>
                                    <w:t>TOTAL</w:t>
                                  </w:r>
                                </w:p>
                              </w:tc>
                              <w:tc>
                                <w:tcPr>
                                  <w:tcW w:w="1231" w:type="dxa"/>
                                  <w:shd w:val="clear" w:color="auto" w:fill="002D5D"/>
                                </w:tcPr>
                                <w:p>
                                  <w:pPr>
                                    <w:pStyle w:val="TableParagraph"/>
                                    <w:spacing w:before="82"/>
                                    <w:ind w:right="136"/>
                                    <w:jc w:val="right"/>
                                    <w:rPr>
                                      <w:b/>
                                      <w:sz w:val="17"/>
                                    </w:rPr>
                                  </w:pPr>
                                  <w:r>
                                    <w:rPr>
                                      <w:b/>
                                      <w:color w:val="FFFFFF"/>
                                      <w:spacing w:val="-2"/>
                                      <w:sz w:val="17"/>
                                    </w:rPr>
                                    <w:t>12.754.533,27</w:t>
                                  </w:r>
                                </w:p>
                              </w:tc>
                              <w:tc>
                                <w:tcPr>
                                  <w:tcW w:w="724" w:type="dxa"/>
                                  <w:shd w:val="clear" w:color="auto" w:fill="002D5D"/>
                                </w:tcPr>
                                <w:p>
                                  <w:pPr>
                                    <w:pStyle w:val="TableParagraph"/>
                                    <w:spacing w:before="82"/>
                                    <w:ind w:right="158"/>
                                    <w:jc w:val="right"/>
                                    <w:rPr>
                                      <w:b/>
                                      <w:sz w:val="17"/>
                                    </w:rPr>
                                  </w:pPr>
                                  <w:r>
                                    <w:rPr>
                                      <w:b/>
                                      <w:color w:val="FFFFFF"/>
                                      <w:spacing w:val="-2"/>
                                      <w:sz w:val="17"/>
                                    </w:rPr>
                                    <w:t>100,00</w:t>
                                  </w:r>
                                </w:p>
                              </w:tc>
                              <w:tc>
                                <w:tcPr>
                                  <w:tcW w:w="1181" w:type="dxa"/>
                                  <w:shd w:val="clear" w:color="auto" w:fill="002D5D"/>
                                </w:tcPr>
                                <w:p>
                                  <w:pPr>
                                    <w:pStyle w:val="TableParagraph"/>
                                    <w:spacing w:before="82"/>
                                    <w:ind w:right="127"/>
                                    <w:jc w:val="right"/>
                                    <w:rPr>
                                      <w:b/>
                                      <w:sz w:val="17"/>
                                    </w:rPr>
                                  </w:pPr>
                                  <w:r>
                                    <w:rPr>
                                      <w:b/>
                                      <w:color w:val="FFFFFF"/>
                                      <w:spacing w:val="-2"/>
                                      <w:sz w:val="17"/>
                                    </w:rPr>
                                    <w:t>12.611.954,20</w:t>
                                  </w:r>
                                </w:p>
                              </w:tc>
                              <w:tc>
                                <w:tcPr>
                                  <w:tcW w:w="773" w:type="dxa"/>
                                  <w:shd w:val="clear" w:color="auto" w:fill="002D5D"/>
                                </w:tcPr>
                                <w:p>
                                  <w:pPr>
                                    <w:pStyle w:val="TableParagraph"/>
                                    <w:rPr>
                                      <w:rFonts w:ascii="Times New Roman"/>
                                      <w:sz w:val="16"/>
                                    </w:rPr>
                                  </w:pPr>
                                </w:p>
                              </w:tc>
                              <w:tc>
                                <w:tcPr>
                                  <w:tcW w:w="1058" w:type="dxa"/>
                                  <w:shd w:val="clear" w:color="auto" w:fill="002D5D"/>
                                </w:tcPr>
                                <w:p>
                                  <w:pPr>
                                    <w:pStyle w:val="TableParagraph"/>
                                    <w:spacing w:before="82"/>
                                    <w:ind w:right="141"/>
                                    <w:jc w:val="right"/>
                                    <w:rPr>
                                      <w:b/>
                                      <w:sz w:val="17"/>
                                    </w:rPr>
                                  </w:pPr>
                                  <w:r>
                                    <w:rPr>
                                      <w:b/>
                                      <w:color w:val="FFFFFF"/>
                                      <w:spacing w:val="-2"/>
                                      <w:sz w:val="17"/>
                                    </w:rPr>
                                    <w:t>142.579,07</w:t>
                                  </w:r>
                                </w:p>
                              </w:tc>
                              <w:tc>
                                <w:tcPr>
                                  <w:tcW w:w="725" w:type="dxa"/>
                                  <w:shd w:val="clear" w:color="auto" w:fill="002D5D"/>
                                </w:tcPr>
                                <w:p>
                                  <w:pPr>
                                    <w:pStyle w:val="TableParagraph"/>
                                    <w:rPr>
                                      <w:rFonts w:ascii="Times New Roman"/>
                                      <w:sz w:val="16"/>
                                    </w:rPr>
                                  </w:pPr>
                                </w:p>
                              </w:tc>
                              <w:tc>
                                <w:tcPr>
                                  <w:tcW w:w="1197" w:type="dxa"/>
                                  <w:shd w:val="clear" w:color="auto" w:fill="002D5D"/>
                                </w:tcPr>
                                <w:p>
                                  <w:pPr>
                                    <w:pStyle w:val="TableParagraph"/>
                                    <w:rPr>
                                      <w:rFonts w:ascii="Times New Roman"/>
                                      <w:sz w:val="16"/>
                                    </w:rPr>
                                  </w:pPr>
                                </w:p>
                              </w:tc>
                            </w:tr>
                          </w:tbl>
                          <w:p>
                            <w:pPr>
                              <w:pStyle w:val="BodyText"/>
                            </w:pPr>
                          </w:p>
                        </w:txbxContent>
                      </wps:txbx>
                      <wps:bodyPr wrap="square" lIns="0" tIns="0" rIns="0" bIns="0" rtlCol="0">
                        <a:noAutofit/>
                      </wps:bodyPr>
                    </wps:wsp>
                  </a:graphicData>
                </a:graphic>
              </wp:anchor>
            </w:drawing>
          </mc:Choice>
          <mc:Fallback>
            <w:pict>
              <v:shape style="position:absolute;margin-left:11.04pt;margin-top:-49.671707pt;width:573.5pt;height:333.75pt;mso-position-horizontal-relative:page;mso-position-vertical-relative:paragraph;z-index:15775232" type="#_x0000_t202" id="docshape339"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460"/>
                        <w:gridCol w:w="1231"/>
                        <w:gridCol w:w="724"/>
                        <w:gridCol w:w="1181"/>
                        <w:gridCol w:w="773"/>
                        <w:gridCol w:w="1058"/>
                        <w:gridCol w:w="725"/>
                        <w:gridCol w:w="1197"/>
                      </w:tblGrid>
                      <w:tr>
                        <w:trPr>
                          <w:trHeight w:val="194" w:hRule="atLeast"/>
                        </w:trPr>
                        <w:tc>
                          <w:tcPr>
                            <w:tcW w:w="4460" w:type="dxa"/>
                          </w:tcPr>
                          <w:p>
                            <w:pPr>
                              <w:pStyle w:val="TableParagraph"/>
                              <w:spacing w:line="174" w:lineRule="exact"/>
                              <w:ind w:left="2904" w:right="-58"/>
                              <w:rPr>
                                <w:sz w:val="17"/>
                              </w:rPr>
                            </w:pPr>
                            <w:r>
                              <w:rPr>
                                <w:sz w:val="17"/>
                              </w:rPr>
                              <w:t>Adquisición</w:t>
                            </w:r>
                            <w:r>
                              <w:rPr>
                                <w:spacing w:val="-5"/>
                                <w:sz w:val="17"/>
                              </w:rPr>
                              <w:t> </w:t>
                            </w:r>
                            <w:r>
                              <w:rPr>
                                <w:sz w:val="17"/>
                              </w:rPr>
                              <w:t>material</w:t>
                            </w:r>
                            <w:r>
                              <w:rPr>
                                <w:spacing w:val="-3"/>
                                <w:sz w:val="17"/>
                              </w:rPr>
                              <w:t> </w:t>
                            </w:r>
                            <w:r>
                              <w:rPr>
                                <w:spacing w:val="-2"/>
                                <w:sz w:val="17"/>
                              </w:rPr>
                              <w:t>móvil</w:t>
                            </w:r>
                          </w:p>
                        </w:tc>
                        <w:tc>
                          <w:tcPr>
                            <w:tcW w:w="6889" w:type="dxa"/>
                            <w:gridSpan w:val="7"/>
                          </w:tcPr>
                          <w:p>
                            <w:pPr>
                              <w:pStyle w:val="TableParagraph"/>
                              <w:rPr>
                                <w:rFonts w:ascii="Times New Roman"/>
                                <w:sz w:val="12"/>
                              </w:rPr>
                            </w:pPr>
                          </w:p>
                        </w:tc>
                      </w:tr>
                      <w:tr>
                        <w:trPr>
                          <w:trHeight w:val="390" w:hRule="atLeast"/>
                        </w:trPr>
                        <w:tc>
                          <w:tcPr>
                            <w:tcW w:w="5691" w:type="dxa"/>
                            <w:gridSpan w:val="2"/>
                            <w:tcBorders>
                              <w:bottom w:val="single" w:sz="8" w:space="0" w:color="002D5D"/>
                            </w:tcBorders>
                          </w:tcPr>
                          <w:p>
                            <w:pPr>
                              <w:pStyle w:val="TableParagraph"/>
                              <w:tabs>
                                <w:tab w:pos="2834" w:val="left" w:leader="none"/>
                                <w:tab w:pos="4671" w:val="left" w:leader="none"/>
                              </w:tabs>
                              <w:spacing w:line="195" w:lineRule="exact"/>
                              <w:ind w:right="66"/>
                              <w:jc w:val="center"/>
                              <w:rPr>
                                <w:sz w:val="17"/>
                              </w:rPr>
                            </w:pPr>
                            <w:r>
                              <w:rPr>
                                <w:sz w:val="17"/>
                              </w:rPr>
                              <w:t>Adquisición</w:t>
                            </w:r>
                            <w:r>
                              <w:rPr>
                                <w:spacing w:val="-4"/>
                                <w:sz w:val="17"/>
                              </w:rPr>
                              <w:t> </w:t>
                            </w:r>
                            <w:r>
                              <w:rPr>
                                <w:sz w:val="17"/>
                              </w:rPr>
                              <w:t>23</w:t>
                            </w:r>
                            <w:r>
                              <w:rPr>
                                <w:spacing w:val="-4"/>
                                <w:sz w:val="17"/>
                              </w:rPr>
                              <w:t> </w:t>
                            </w:r>
                            <w:r>
                              <w:rPr>
                                <w:sz w:val="17"/>
                              </w:rPr>
                              <w:t>autobuses</w:t>
                            </w:r>
                            <w:r>
                              <w:rPr>
                                <w:spacing w:val="-4"/>
                                <w:sz w:val="17"/>
                              </w:rPr>
                              <w:t> </w:t>
                            </w:r>
                            <w:r>
                              <w:rPr>
                                <w:sz w:val="17"/>
                              </w:rPr>
                              <w:t>GNC-</w:t>
                            </w:r>
                            <w:r>
                              <w:rPr>
                                <w:spacing w:val="-2"/>
                                <w:sz w:val="17"/>
                              </w:rPr>
                              <w:t>híbrido</w:t>
                            </w:r>
                            <w:r>
                              <w:rPr>
                                <w:sz w:val="17"/>
                              </w:rPr>
                              <w:tab/>
                              <w:t>e</w:t>
                            </w:r>
                            <w:r>
                              <w:rPr>
                                <w:spacing w:val="-7"/>
                                <w:sz w:val="17"/>
                              </w:rPr>
                              <w:t> </w:t>
                            </w:r>
                            <w:r>
                              <w:rPr>
                                <w:sz w:val="17"/>
                              </w:rPr>
                              <w:t>infraestructuras</w:t>
                            </w:r>
                            <w:r>
                              <w:rPr>
                                <w:spacing w:val="-4"/>
                                <w:sz w:val="17"/>
                              </w:rPr>
                              <w:t> </w:t>
                            </w:r>
                            <w:r>
                              <w:rPr>
                                <w:spacing w:val="-5"/>
                                <w:sz w:val="17"/>
                              </w:rPr>
                              <w:t>de</w:t>
                            </w:r>
                            <w:r>
                              <w:rPr>
                                <w:sz w:val="17"/>
                              </w:rPr>
                              <w:tab/>
                            </w:r>
                            <w:r>
                              <w:rPr>
                                <w:spacing w:val="-2"/>
                                <w:sz w:val="17"/>
                              </w:rPr>
                              <w:t>7.755.000,00</w:t>
                            </w:r>
                          </w:p>
                          <w:p>
                            <w:pPr>
                              <w:pStyle w:val="TableParagraph"/>
                              <w:spacing w:line="175" w:lineRule="exact"/>
                              <w:ind w:left="655" w:right="66"/>
                              <w:jc w:val="center"/>
                              <w:rPr>
                                <w:sz w:val="17"/>
                              </w:rPr>
                            </w:pPr>
                            <w:r>
                              <w:rPr>
                                <w:spacing w:val="-2"/>
                                <w:sz w:val="17"/>
                              </w:rPr>
                              <w:t>recarga</w:t>
                            </w:r>
                          </w:p>
                        </w:tc>
                        <w:tc>
                          <w:tcPr>
                            <w:tcW w:w="724" w:type="dxa"/>
                            <w:tcBorders>
                              <w:bottom w:val="single" w:sz="8" w:space="0" w:color="002D5D"/>
                            </w:tcBorders>
                          </w:tcPr>
                          <w:p>
                            <w:pPr>
                              <w:pStyle w:val="TableParagraph"/>
                              <w:ind w:right="158"/>
                              <w:jc w:val="right"/>
                              <w:rPr>
                                <w:sz w:val="17"/>
                              </w:rPr>
                            </w:pPr>
                            <w:r>
                              <w:rPr>
                                <w:spacing w:val="-2"/>
                                <w:sz w:val="17"/>
                              </w:rPr>
                              <w:t>60,80</w:t>
                            </w:r>
                          </w:p>
                        </w:tc>
                        <w:tc>
                          <w:tcPr>
                            <w:tcW w:w="1181" w:type="dxa"/>
                            <w:tcBorders>
                              <w:bottom w:val="single" w:sz="8" w:space="0" w:color="002D5D"/>
                            </w:tcBorders>
                          </w:tcPr>
                          <w:p>
                            <w:pPr>
                              <w:pStyle w:val="TableParagraph"/>
                              <w:ind w:right="127"/>
                              <w:jc w:val="right"/>
                              <w:rPr>
                                <w:sz w:val="17"/>
                              </w:rPr>
                            </w:pPr>
                            <w:r>
                              <w:rPr>
                                <w:spacing w:val="-2"/>
                                <w:sz w:val="17"/>
                              </w:rPr>
                              <w:t>7.755.000,00</w:t>
                            </w:r>
                          </w:p>
                        </w:tc>
                        <w:tc>
                          <w:tcPr>
                            <w:tcW w:w="773" w:type="dxa"/>
                            <w:tcBorders>
                              <w:bottom w:val="single" w:sz="8" w:space="0" w:color="002D5D"/>
                            </w:tcBorders>
                          </w:tcPr>
                          <w:p>
                            <w:pPr>
                              <w:pStyle w:val="TableParagraph"/>
                              <w:ind w:left="67" w:right="153"/>
                              <w:jc w:val="center"/>
                              <w:rPr>
                                <w:sz w:val="17"/>
                              </w:rPr>
                            </w:pPr>
                            <w:r>
                              <w:rPr>
                                <w:spacing w:val="-2"/>
                                <w:sz w:val="17"/>
                              </w:rPr>
                              <w:t>100,00</w:t>
                            </w:r>
                          </w:p>
                        </w:tc>
                        <w:tc>
                          <w:tcPr>
                            <w:tcW w:w="1058" w:type="dxa"/>
                            <w:tcBorders>
                              <w:bottom w:val="single" w:sz="8" w:space="0" w:color="002D5D"/>
                            </w:tcBorders>
                          </w:tcPr>
                          <w:p>
                            <w:pPr>
                              <w:pStyle w:val="TableParagraph"/>
                              <w:ind w:right="141"/>
                              <w:jc w:val="right"/>
                              <w:rPr>
                                <w:sz w:val="17"/>
                              </w:rPr>
                            </w:pPr>
                            <w:r>
                              <w:rPr>
                                <w:spacing w:val="-4"/>
                                <w:sz w:val="17"/>
                              </w:rPr>
                              <w:t>0,00</w:t>
                            </w:r>
                          </w:p>
                        </w:tc>
                        <w:tc>
                          <w:tcPr>
                            <w:tcW w:w="725" w:type="dxa"/>
                            <w:tcBorders>
                              <w:bottom w:val="single" w:sz="8" w:space="0" w:color="002D5D"/>
                            </w:tcBorders>
                          </w:tcPr>
                          <w:p>
                            <w:pPr>
                              <w:pStyle w:val="TableParagraph"/>
                              <w:ind w:right="153"/>
                              <w:jc w:val="right"/>
                              <w:rPr>
                                <w:sz w:val="17"/>
                              </w:rPr>
                            </w:pPr>
                            <w:r>
                              <w:rPr>
                                <w:spacing w:val="-4"/>
                                <w:sz w:val="17"/>
                              </w:rPr>
                              <w:t>0,00</w:t>
                            </w:r>
                          </w:p>
                        </w:tc>
                        <w:tc>
                          <w:tcPr>
                            <w:tcW w:w="1197" w:type="dxa"/>
                            <w:tcBorders>
                              <w:bottom w:val="single" w:sz="8" w:space="0" w:color="002D5D"/>
                            </w:tcBorders>
                          </w:tcPr>
                          <w:p>
                            <w:pPr>
                              <w:pStyle w:val="TableParagraph"/>
                              <w:ind w:left="58" w:right="85"/>
                              <w:jc w:val="center"/>
                              <w:rPr>
                                <w:sz w:val="17"/>
                              </w:rPr>
                            </w:pPr>
                            <w:r>
                              <w:rPr>
                                <w:sz w:val="17"/>
                              </w:rPr>
                              <w:t>En</w:t>
                            </w:r>
                            <w:r>
                              <w:rPr>
                                <w:spacing w:val="-1"/>
                                <w:sz w:val="17"/>
                              </w:rPr>
                              <w:t> </w:t>
                            </w:r>
                            <w:r>
                              <w:rPr>
                                <w:spacing w:val="-2"/>
                                <w:sz w:val="17"/>
                              </w:rPr>
                              <w:t>ejecución</w:t>
                            </w:r>
                          </w:p>
                        </w:tc>
                      </w:tr>
                      <w:tr>
                        <w:trPr>
                          <w:trHeight w:val="587" w:hRule="atLeast"/>
                        </w:trPr>
                        <w:tc>
                          <w:tcPr>
                            <w:tcW w:w="5691" w:type="dxa"/>
                            <w:gridSpan w:val="2"/>
                            <w:tcBorders>
                              <w:top w:val="single" w:sz="8" w:space="0" w:color="002D5D"/>
                              <w:bottom w:val="single" w:sz="8" w:space="0" w:color="002D5D"/>
                            </w:tcBorders>
                          </w:tcPr>
                          <w:p>
                            <w:pPr>
                              <w:pStyle w:val="TableParagraph"/>
                              <w:tabs>
                                <w:tab w:pos="2904" w:val="left" w:leader="none"/>
                              </w:tabs>
                              <w:spacing w:line="148" w:lineRule="auto" w:before="23"/>
                              <w:ind w:left="69"/>
                              <w:rPr>
                                <w:position w:val="-9"/>
                                <w:sz w:val="17"/>
                              </w:rPr>
                            </w:pPr>
                            <w:r>
                              <w:rPr>
                                <w:sz w:val="17"/>
                              </w:rPr>
                              <w:t>Instalación</w:t>
                            </w:r>
                            <w:r>
                              <w:rPr>
                                <w:spacing w:val="-5"/>
                                <w:sz w:val="17"/>
                              </w:rPr>
                              <w:t> </w:t>
                            </w:r>
                            <w:r>
                              <w:rPr>
                                <w:sz w:val="17"/>
                              </w:rPr>
                              <w:t>de</w:t>
                            </w:r>
                            <w:r>
                              <w:rPr>
                                <w:spacing w:val="-4"/>
                                <w:sz w:val="17"/>
                              </w:rPr>
                              <w:t> </w:t>
                            </w:r>
                            <w:r>
                              <w:rPr>
                                <w:sz w:val="17"/>
                              </w:rPr>
                              <w:t>pavimento</w:t>
                            </w:r>
                            <w:r>
                              <w:rPr>
                                <w:spacing w:val="-5"/>
                                <w:sz w:val="17"/>
                              </w:rPr>
                              <w:t> </w:t>
                            </w:r>
                            <w:r>
                              <w:rPr>
                                <w:sz w:val="17"/>
                              </w:rPr>
                              <w:t>podotáctil</w:t>
                            </w:r>
                            <w:r>
                              <w:rPr>
                                <w:spacing w:val="-3"/>
                                <w:sz w:val="17"/>
                              </w:rPr>
                              <w:t> </w:t>
                            </w:r>
                            <w:r>
                              <w:rPr>
                                <w:spacing w:val="-5"/>
                                <w:sz w:val="17"/>
                              </w:rPr>
                              <w:t>en</w:t>
                            </w:r>
                            <w:r>
                              <w:rPr>
                                <w:sz w:val="17"/>
                              </w:rPr>
                              <w:tab/>
                            </w:r>
                            <w:r>
                              <w:rPr>
                                <w:position w:val="-9"/>
                                <w:sz w:val="17"/>
                              </w:rPr>
                              <w:t>Obras</w:t>
                            </w:r>
                            <w:r>
                              <w:rPr>
                                <w:spacing w:val="-6"/>
                                <w:position w:val="-9"/>
                                <w:sz w:val="17"/>
                              </w:rPr>
                              <w:t> </w:t>
                            </w:r>
                            <w:r>
                              <w:rPr>
                                <w:position w:val="-9"/>
                                <w:sz w:val="17"/>
                              </w:rPr>
                              <w:t>y</w:t>
                            </w:r>
                            <w:r>
                              <w:rPr>
                                <w:spacing w:val="-2"/>
                                <w:position w:val="-9"/>
                                <w:sz w:val="17"/>
                              </w:rPr>
                              <w:t> </w:t>
                            </w:r>
                            <w:r>
                              <w:rPr>
                                <w:position w:val="-9"/>
                                <w:sz w:val="17"/>
                              </w:rPr>
                              <w:t>estructuras</w:t>
                            </w:r>
                            <w:r>
                              <w:rPr>
                                <w:spacing w:val="-3"/>
                                <w:position w:val="-9"/>
                                <w:sz w:val="17"/>
                              </w:rPr>
                              <w:t> </w:t>
                            </w:r>
                            <w:r>
                              <w:rPr>
                                <w:spacing w:val="-5"/>
                                <w:position w:val="-9"/>
                                <w:sz w:val="17"/>
                              </w:rPr>
                              <w:t>en</w:t>
                            </w:r>
                          </w:p>
                          <w:p>
                            <w:pPr>
                              <w:pStyle w:val="TableParagraph"/>
                              <w:tabs>
                                <w:tab w:pos="2904" w:val="left" w:leader="none"/>
                                <w:tab w:pos="5012" w:val="left" w:leader="none"/>
                              </w:tabs>
                              <w:spacing w:line="163" w:lineRule="auto"/>
                              <w:ind w:left="69"/>
                              <w:rPr>
                                <w:sz w:val="17"/>
                              </w:rPr>
                            </w:pPr>
                            <w:r>
                              <w:rPr>
                                <w:sz w:val="17"/>
                              </w:rPr>
                              <w:t>paradas</w:t>
                            </w:r>
                            <w:r>
                              <w:rPr>
                                <w:spacing w:val="-3"/>
                                <w:sz w:val="17"/>
                              </w:rPr>
                              <w:t> </w:t>
                            </w:r>
                            <w:r>
                              <w:rPr>
                                <w:sz w:val="17"/>
                              </w:rPr>
                              <w:t>de</w:t>
                            </w:r>
                            <w:r>
                              <w:rPr>
                                <w:spacing w:val="-3"/>
                                <w:sz w:val="17"/>
                              </w:rPr>
                              <w:t> </w:t>
                            </w:r>
                            <w:r>
                              <w:rPr>
                                <w:sz w:val="17"/>
                              </w:rPr>
                              <w:t>bus</w:t>
                            </w:r>
                            <w:r>
                              <w:rPr>
                                <w:spacing w:val="-3"/>
                                <w:sz w:val="17"/>
                              </w:rPr>
                              <w:t> </w:t>
                            </w:r>
                            <w:r>
                              <w:rPr>
                                <w:sz w:val="17"/>
                              </w:rPr>
                              <w:t>Avda.</w:t>
                            </w:r>
                            <w:r>
                              <w:rPr>
                                <w:spacing w:val="-3"/>
                                <w:sz w:val="17"/>
                              </w:rPr>
                              <w:t> </w:t>
                            </w:r>
                            <w:r>
                              <w:rPr>
                                <w:sz w:val="17"/>
                              </w:rPr>
                              <w:t>Aeropuerto,</w:t>
                            </w:r>
                            <w:r>
                              <w:rPr>
                                <w:spacing w:val="-2"/>
                                <w:sz w:val="17"/>
                              </w:rPr>
                              <w:t> </w:t>
                            </w:r>
                            <w:r>
                              <w:rPr>
                                <w:spacing w:val="-5"/>
                                <w:sz w:val="17"/>
                              </w:rPr>
                              <w:t>c/</w:t>
                            </w:r>
                            <w:r>
                              <w:rPr>
                                <w:sz w:val="17"/>
                              </w:rPr>
                              <w:tab/>
                            </w:r>
                            <w:r>
                              <w:rPr>
                                <w:position w:val="-9"/>
                                <w:sz w:val="17"/>
                              </w:rPr>
                              <w:t>vía</w:t>
                            </w:r>
                            <w:r>
                              <w:rPr>
                                <w:spacing w:val="-4"/>
                                <w:position w:val="-9"/>
                                <w:sz w:val="17"/>
                              </w:rPr>
                              <w:t> </w:t>
                            </w:r>
                            <w:r>
                              <w:rPr>
                                <w:spacing w:val="-2"/>
                                <w:position w:val="-9"/>
                                <w:sz w:val="17"/>
                              </w:rPr>
                              <w:t>pública</w:t>
                            </w:r>
                            <w:r>
                              <w:rPr>
                                <w:position w:val="-9"/>
                                <w:sz w:val="17"/>
                              </w:rPr>
                              <w:tab/>
                            </w:r>
                            <w:r>
                              <w:rPr>
                                <w:spacing w:val="-2"/>
                                <w:sz w:val="17"/>
                              </w:rPr>
                              <w:t>2.553,62</w:t>
                            </w:r>
                          </w:p>
                        </w:tc>
                        <w:tc>
                          <w:tcPr>
                            <w:tcW w:w="724" w:type="dxa"/>
                            <w:tcBorders>
                              <w:top w:val="single" w:sz="8" w:space="0" w:color="002D5D"/>
                              <w:bottom w:val="single" w:sz="8" w:space="0" w:color="002D5D"/>
                            </w:tcBorders>
                          </w:tcPr>
                          <w:p>
                            <w:pPr>
                              <w:pStyle w:val="TableParagraph"/>
                              <w:rPr>
                                <w:sz w:val="17"/>
                              </w:rPr>
                            </w:pPr>
                          </w:p>
                          <w:p>
                            <w:pPr>
                              <w:pStyle w:val="TableParagraph"/>
                              <w:ind w:right="158"/>
                              <w:jc w:val="right"/>
                              <w:rPr>
                                <w:sz w:val="17"/>
                              </w:rPr>
                            </w:pPr>
                            <w:r>
                              <w:rPr>
                                <w:spacing w:val="-4"/>
                                <w:sz w:val="17"/>
                              </w:rPr>
                              <w:t>0,02</w:t>
                            </w:r>
                          </w:p>
                        </w:tc>
                        <w:tc>
                          <w:tcPr>
                            <w:tcW w:w="1181" w:type="dxa"/>
                            <w:tcBorders>
                              <w:top w:val="single" w:sz="8" w:space="0" w:color="002D5D"/>
                              <w:bottom w:val="single" w:sz="8" w:space="0" w:color="002D5D"/>
                            </w:tcBorders>
                          </w:tcPr>
                          <w:p>
                            <w:pPr>
                              <w:pStyle w:val="TableParagraph"/>
                              <w:rPr>
                                <w:sz w:val="17"/>
                              </w:rPr>
                            </w:pPr>
                          </w:p>
                          <w:p>
                            <w:pPr>
                              <w:pStyle w:val="TableParagraph"/>
                              <w:ind w:right="127"/>
                              <w:jc w:val="right"/>
                              <w:rPr>
                                <w:sz w:val="17"/>
                              </w:rPr>
                            </w:pPr>
                            <w:r>
                              <w:rPr>
                                <w:spacing w:val="-2"/>
                                <w:sz w:val="17"/>
                              </w:rPr>
                              <w:t>2.553,62</w:t>
                            </w:r>
                          </w:p>
                        </w:tc>
                        <w:tc>
                          <w:tcPr>
                            <w:tcW w:w="773" w:type="dxa"/>
                            <w:tcBorders>
                              <w:top w:val="single" w:sz="8" w:space="0" w:color="002D5D"/>
                              <w:bottom w:val="single" w:sz="8" w:space="0" w:color="002D5D"/>
                            </w:tcBorders>
                          </w:tcPr>
                          <w:p>
                            <w:pPr>
                              <w:pStyle w:val="TableParagraph"/>
                              <w:rPr>
                                <w:sz w:val="17"/>
                              </w:rPr>
                            </w:pPr>
                          </w:p>
                          <w:p>
                            <w:pPr>
                              <w:pStyle w:val="TableParagraph"/>
                              <w:ind w:left="67" w:right="153"/>
                              <w:jc w:val="center"/>
                              <w:rPr>
                                <w:sz w:val="17"/>
                              </w:rPr>
                            </w:pPr>
                            <w:r>
                              <w:rPr>
                                <w:spacing w:val="-2"/>
                                <w:sz w:val="17"/>
                              </w:rPr>
                              <w:t>100,00</w:t>
                            </w:r>
                          </w:p>
                        </w:tc>
                        <w:tc>
                          <w:tcPr>
                            <w:tcW w:w="1058" w:type="dxa"/>
                            <w:tcBorders>
                              <w:top w:val="single" w:sz="8" w:space="0" w:color="002D5D"/>
                              <w:bottom w:val="single" w:sz="8" w:space="0" w:color="002D5D"/>
                            </w:tcBorders>
                          </w:tcPr>
                          <w:p>
                            <w:pPr>
                              <w:pStyle w:val="TableParagraph"/>
                              <w:rPr>
                                <w:sz w:val="17"/>
                              </w:rPr>
                            </w:pPr>
                          </w:p>
                          <w:p>
                            <w:pPr>
                              <w:pStyle w:val="TableParagraph"/>
                              <w:ind w:right="141"/>
                              <w:jc w:val="right"/>
                              <w:rPr>
                                <w:sz w:val="17"/>
                              </w:rPr>
                            </w:pPr>
                            <w:r>
                              <w:rPr>
                                <w:spacing w:val="-4"/>
                                <w:sz w:val="17"/>
                              </w:rPr>
                              <w:t>0,00</w:t>
                            </w:r>
                          </w:p>
                        </w:tc>
                        <w:tc>
                          <w:tcPr>
                            <w:tcW w:w="725" w:type="dxa"/>
                            <w:tcBorders>
                              <w:top w:val="single" w:sz="8" w:space="0" w:color="002D5D"/>
                              <w:bottom w:val="single" w:sz="8" w:space="0" w:color="002D5D"/>
                            </w:tcBorders>
                          </w:tcPr>
                          <w:p>
                            <w:pPr>
                              <w:pStyle w:val="TableParagraph"/>
                              <w:rPr>
                                <w:sz w:val="17"/>
                              </w:rPr>
                            </w:pPr>
                          </w:p>
                          <w:p>
                            <w:pPr>
                              <w:pStyle w:val="TableParagraph"/>
                              <w:ind w:right="153"/>
                              <w:jc w:val="right"/>
                              <w:rPr>
                                <w:sz w:val="17"/>
                              </w:rPr>
                            </w:pPr>
                            <w:r>
                              <w:rPr>
                                <w:spacing w:val="-4"/>
                                <w:sz w:val="17"/>
                              </w:rPr>
                              <w:t>0,00</w:t>
                            </w:r>
                          </w:p>
                        </w:tc>
                        <w:tc>
                          <w:tcPr>
                            <w:tcW w:w="1197" w:type="dxa"/>
                            <w:tcBorders>
                              <w:top w:val="single" w:sz="8" w:space="0" w:color="002D5D"/>
                              <w:bottom w:val="single" w:sz="8" w:space="0" w:color="002D5D"/>
                            </w:tcBorders>
                          </w:tcPr>
                          <w:p>
                            <w:pPr>
                              <w:pStyle w:val="TableParagraph"/>
                              <w:rPr>
                                <w:sz w:val="17"/>
                              </w:rPr>
                            </w:pPr>
                          </w:p>
                          <w:p>
                            <w:pPr>
                              <w:pStyle w:val="TableParagraph"/>
                              <w:ind w:right="85"/>
                              <w:jc w:val="center"/>
                              <w:rPr>
                                <w:sz w:val="17"/>
                              </w:rPr>
                            </w:pPr>
                            <w:r>
                              <w:rPr>
                                <w:spacing w:val="-2"/>
                                <w:sz w:val="17"/>
                              </w:rPr>
                              <w:t>Finalizada</w:t>
                            </w:r>
                          </w:p>
                        </w:tc>
                      </w:tr>
                      <w:tr>
                        <w:trPr>
                          <w:trHeight w:val="536" w:hRule="atLeast"/>
                        </w:trPr>
                        <w:tc>
                          <w:tcPr>
                            <w:tcW w:w="5691" w:type="dxa"/>
                            <w:gridSpan w:val="2"/>
                            <w:tcBorders>
                              <w:top w:val="single" w:sz="8" w:space="0" w:color="002D5D"/>
                              <w:bottom w:val="single" w:sz="8" w:space="0" w:color="002D5D"/>
                            </w:tcBorders>
                          </w:tcPr>
                          <w:p>
                            <w:pPr>
                              <w:pStyle w:val="TableParagraph"/>
                              <w:tabs>
                                <w:tab w:pos="2904" w:val="left" w:leader="none"/>
                                <w:tab w:pos="4935" w:val="left" w:leader="none"/>
                              </w:tabs>
                              <w:spacing w:before="73"/>
                              <w:ind w:left="69"/>
                              <w:rPr>
                                <w:position w:val="-9"/>
                                <w:sz w:val="17"/>
                              </w:rPr>
                            </w:pPr>
                            <w:r>
                              <w:rPr>
                                <w:sz w:val="17"/>
                              </w:rPr>
                              <w:t>Suministro</w:t>
                            </w:r>
                            <w:r>
                              <w:rPr>
                                <w:spacing w:val="-3"/>
                                <w:sz w:val="17"/>
                              </w:rPr>
                              <w:t> </w:t>
                            </w:r>
                            <w:r>
                              <w:rPr>
                                <w:sz w:val="17"/>
                              </w:rPr>
                              <w:t>e</w:t>
                            </w:r>
                            <w:r>
                              <w:rPr>
                                <w:spacing w:val="-4"/>
                                <w:sz w:val="17"/>
                              </w:rPr>
                              <w:t> </w:t>
                            </w:r>
                            <w:r>
                              <w:rPr>
                                <w:sz w:val="17"/>
                              </w:rPr>
                              <w:t>instalación</w:t>
                            </w:r>
                            <w:r>
                              <w:rPr>
                                <w:spacing w:val="-3"/>
                                <w:sz w:val="17"/>
                              </w:rPr>
                              <w:t> </w:t>
                            </w:r>
                            <w:r>
                              <w:rPr>
                                <w:sz w:val="17"/>
                              </w:rPr>
                              <w:t>de</w:t>
                            </w:r>
                            <w:r>
                              <w:rPr>
                                <w:spacing w:val="-2"/>
                                <w:sz w:val="17"/>
                              </w:rPr>
                              <w:t> marquesinas</w:t>
                            </w:r>
                            <w:r>
                              <w:rPr>
                                <w:sz w:val="17"/>
                              </w:rPr>
                              <w:tab/>
                              <w:t>Obras</w:t>
                            </w:r>
                            <w:r>
                              <w:rPr>
                                <w:spacing w:val="-6"/>
                                <w:sz w:val="17"/>
                              </w:rPr>
                              <w:t> </w:t>
                            </w:r>
                            <w:r>
                              <w:rPr>
                                <w:sz w:val="17"/>
                              </w:rPr>
                              <w:t>y</w:t>
                            </w:r>
                            <w:r>
                              <w:rPr>
                                <w:spacing w:val="-2"/>
                                <w:sz w:val="17"/>
                              </w:rPr>
                              <w:t> </w:t>
                            </w:r>
                            <w:r>
                              <w:rPr>
                                <w:sz w:val="17"/>
                              </w:rPr>
                              <w:t>estructuras</w:t>
                            </w:r>
                            <w:r>
                              <w:rPr>
                                <w:spacing w:val="-3"/>
                                <w:sz w:val="17"/>
                              </w:rPr>
                              <w:t> </w:t>
                            </w:r>
                            <w:r>
                              <w:rPr>
                                <w:spacing w:val="-5"/>
                                <w:sz w:val="17"/>
                              </w:rPr>
                              <w:t>en</w:t>
                            </w:r>
                            <w:r>
                              <w:rPr>
                                <w:sz w:val="17"/>
                              </w:rPr>
                              <w:tab/>
                            </w:r>
                            <w:r>
                              <w:rPr>
                                <w:spacing w:val="-2"/>
                                <w:position w:val="-9"/>
                                <w:sz w:val="17"/>
                              </w:rPr>
                              <w:t>14.750,00</w:t>
                            </w:r>
                          </w:p>
                        </w:tc>
                        <w:tc>
                          <w:tcPr>
                            <w:tcW w:w="724" w:type="dxa"/>
                            <w:tcBorders>
                              <w:top w:val="single" w:sz="8" w:space="0" w:color="002D5D"/>
                              <w:bottom w:val="single" w:sz="8" w:space="0" w:color="002D5D"/>
                            </w:tcBorders>
                          </w:tcPr>
                          <w:p>
                            <w:pPr>
                              <w:pStyle w:val="TableParagraph"/>
                              <w:spacing w:before="169"/>
                              <w:ind w:right="158"/>
                              <w:jc w:val="right"/>
                              <w:rPr>
                                <w:sz w:val="17"/>
                              </w:rPr>
                            </w:pPr>
                            <w:r>
                              <w:rPr>
                                <w:spacing w:val="-4"/>
                                <w:sz w:val="17"/>
                              </w:rPr>
                              <w:t>0,12</w:t>
                            </w:r>
                          </w:p>
                        </w:tc>
                        <w:tc>
                          <w:tcPr>
                            <w:tcW w:w="1181" w:type="dxa"/>
                            <w:tcBorders>
                              <w:top w:val="single" w:sz="8" w:space="0" w:color="002D5D"/>
                              <w:bottom w:val="single" w:sz="8" w:space="0" w:color="002D5D"/>
                            </w:tcBorders>
                          </w:tcPr>
                          <w:p>
                            <w:pPr>
                              <w:pStyle w:val="TableParagraph"/>
                              <w:spacing w:before="169"/>
                              <w:ind w:right="127"/>
                              <w:jc w:val="right"/>
                              <w:rPr>
                                <w:sz w:val="17"/>
                              </w:rPr>
                            </w:pPr>
                            <w:r>
                              <w:rPr>
                                <w:spacing w:val="-4"/>
                                <w:sz w:val="17"/>
                              </w:rPr>
                              <w:t>0,00</w:t>
                            </w:r>
                          </w:p>
                        </w:tc>
                        <w:tc>
                          <w:tcPr>
                            <w:tcW w:w="773" w:type="dxa"/>
                            <w:tcBorders>
                              <w:top w:val="single" w:sz="8" w:space="0" w:color="002D5D"/>
                              <w:bottom w:val="single" w:sz="8" w:space="0" w:color="002D5D"/>
                            </w:tcBorders>
                          </w:tcPr>
                          <w:p>
                            <w:pPr>
                              <w:pStyle w:val="TableParagraph"/>
                              <w:spacing w:before="169"/>
                              <w:ind w:left="67"/>
                              <w:jc w:val="center"/>
                              <w:rPr>
                                <w:sz w:val="17"/>
                              </w:rPr>
                            </w:pPr>
                            <w:r>
                              <w:rPr>
                                <w:spacing w:val="-4"/>
                                <w:sz w:val="17"/>
                              </w:rPr>
                              <w:t>0,00</w:t>
                            </w:r>
                          </w:p>
                        </w:tc>
                        <w:tc>
                          <w:tcPr>
                            <w:tcW w:w="1058" w:type="dxa"/>
                            <w:tcBorders>
                              <w:top w:val="single" w:sz="8" w:space="0" w:color="002D5D"/>
                              <w:bottom w:val="single" w:sz="8" w:space="0" w:color="002D5D"/>
                            </w:tcBorders>
                          </w:tcPr>
                          <w:p>
                            <w:pPr>
                              <w:pStyle w:val="TableParagraph"/>
                              <w:spacing w:before="169"/>
                              <w:ind w:right="141"/>
                              <w:jc w:val="right"/>
                              <w:rPr>
                                <w:sz w:val="17"/>
                              </w:rPr>
                            </w:pPr>
                            <w:r>
                              <w:rPr>
                                <w:spacing w:val="-2"/>
                                <w:sz w:val="17"/>
                              </w:rPr>
                              <w:t>14.750,00</w:t>
                            </w:r>
                          </w:p>
                        </w:tc>
                        <w:tc>
                          <w:tcPr>
                            <w:tcW w:w="725" w:type="dxa"/>
                            <w:tcBorders>
                              <w:top w:val="single" w:sz="8" w:space="0" w:color="002D5D"/>
                              <w:bottom w:val="single" w:sz="8" w:space="0" w:color="002D5D"/>
                            </w:tcBorders>
                          </w:tcPr>
                          <w:p>
                            <w:pPr>
                              <w:pStyle w:val="TableParagraph"/>
                              <w:spacing w:before="169"/>
                              <w:ind w:right="153"/>
                              <w:jc w:val="right"/>
                              <w:rPr>
                                <w:sz w:val="17"/>
                              </w:rPr>
                            </w:pPr>
                            <w:r>
                              <w:rPr>
                                <w:spacing w:val="-2"/>
                                <w:sz w:val="17"/>
                              </w:rPr>
                              <w:t>100,00</w:t>
                            </w:r>
                          </w:p>
                        </w:tc>
                        <w:tc>
                          <w:tcPr>
                            <w:tcW w:w="1197" w:type="dxa"/>
                            <w:tcBorders>
                              <w:top w:val="single" w:sz="8" w:space="0" w:color="002D5D"/>
                              <w:bottom w:val="single" w:sz="8" w:space="0" w:color="002D5D"/>
                            </w:tcBorders>
                          </w:tcPr>
                          <w:p>
                            <w:pPr>
                              <w:pStyle w:val="TableParagraph"/>
                              <w:spacing w:before="169"/>
                              <w:ind w:right="85"/>
                              <w:jc w:val="center"/>
                              <w:rPr>
                                <w:sz w:val="17"/>
                              </w:rPr>
                            </w:pPr>
                            <w:r>
                              <w:rPr>
                                <w:spacing w:val="-2"/>
                                <w:sz w:val="17"/>
                              </w:rPr>
                              <w:t>Finalizada</w:t>
                            </w:r>
                          </w:p>
                        </w:tc>
                      </w:tr>
                      <w:tr>
                        <w:trPr>
                          <w:trHeight w:val="630" w:hRule="atLeast"/>
                        </w:trPr>
                        <w:tc>
                          <w:tcPr>
                            <w:tcW w:w="5691" w:type="dxa"/>
                            <w:gridSpan w:val="2"/>
                            <w:tcBorders>
                              <w:top w:val="single" w:sz="8" w:space="0" w:color="002D5D"/>
                              <w:bottom w:val="single" w:sz="8" w:space="0" w:color="002D5D"/>
                            </w:tcBorders>
                          </w:tcPr>
                          <w:p>
                            <w:pPr>
                              <w:pStyle w:val="TableParagraph"/>
                              <w:tabs>
                                <w:tab w:pos="2904" w:val="left" w:leader="none"/>
                                <w:tab w:pos="4740" w:val="left" w:leader="none"/>
                              </w:tabs>
                              <w:spacing w:before="118"/>
                              <w:ind w:left="69"/>
                              <w:rPr>
                                <w:position w:val="-9"/>
                                <w:sz w:val="17"/>
                              </w:rPr>
                            </w:pPr>
                            <w:r>
                              <w:rPr>
                                <w:sz w:val="17"/>
                              </w:rPr>
                              <w:t>Renovación</w:t>
                            </w:r>
                            <w:r>
                              <w:rPr>
                                <w:spacing w:val="-3"/>
                                <w:sz w:val="17"/>
                              </w:rPr>
                              <w:t> </w:t>
                            </w:r>
                            <w:r>
                              <w:rPr>
                                <w:sz w:val="17"/>
                              </w:rPr>
                              <w:t>del</w:t>
                            </w:r>
                            <w:r>
                              <w:rPr>
                                <w:spacing w:val="-2"/>
                                <w:sz w:val="17"/>
                              </w:rPr>
                              <w:t> </w:t>
                            </w:r>
                            <w:r>
                              <w:rPr>
                                <w:sz w:val="17"/>
                              </w:rPr>
                              <w:t>sistema</w:t>
                            </w:r>
                            <w:r>
                              <w:rPr>
                                <w:spacing w:val="-2"/>
                                <w:sz w:val="17"/>
                              </w:rPr>
                              <w:t> </w:t>
                            </w:r>
                            <w:r>
                              <w:rPr>
                                <w:sz w:val="17"/>
                              </w:rPr>
                              <w:t>de</w:t>
                            </w:r>
                            <w:r>
                              <w:rPr>
                                <w:spacing w:val="-3"/>
                                <w:sz w:val="17"/>
                              </w:rPr>
                              <w:t> </w:t>
                            </w:r>
                            <w:r>
                              <w:rPr>
                                <w:sz w:val="17"/>
                              </w:rPr>
                              <w:t>ayuda</w:t>
                            </w:r>
                            <w:r>
                              <w:rPr>
                                <w:spacing w:val="-3"/>
                                <w:sz w:val="17"/>
                              </w:rPr>
                              <w:t> </w:t>
                            </w:r>
                            <w:r>
                              <w:rPr>
                                <w:sz w:val="17"/>
                              </w:rPr>
                              <w:t>a</w:t>
                            </w:r>
                            <w:r>
                              <w:rPr>
                                <w:spacing w:val="-1"/>
                                <w:sz w:val="17"/>
                              </w:rPr>
                              <w:t> </w:t>
                            </w:r>
                            <w:r>
                              <w:rPr>
                                <w:spacing w:val="-5"/>
                                <w:sz w:val="17"/>
                              </w:rPr>
                              <w:t>la</w:t>
                            </w:r>
                            <w:r>
                              <w:rPr>
                                <w:sz w:val="17"/>
                              </w:rPr>
                              <w:tab/>
                            </w:r>
                            <w:r>
                              <w:rPr>
                                <w:spacing w:val="-2"/>
                                <w:position w:val="-9"/>
                                <w:sz w:val="17"/>
                              </w:rPr>
                              <w:t>Digitalización</w:t>
                            </w:r>
                            <w:r>
                              <w:rPr>
                                <w:position w:val="-9"/>
                                <w:sz w:val="17"/>
                              </w:rPr>
                              <w:tab/>
                            </w:r>
                            <w:r>
                              <w:rPr>
                                <w:spacing w:val="-2"/>
                                <w:position w:val="-9"/>
                                <w:sz w:val="17"/>
                              </w:rPr>
                              <w:t>4.895.388,20</w:t>
                            </w:r>
                          </w:p>
                        </w:tc>
                        <w:tc>
                          <w:tcPr>
                            <w:tcW w:w="724" w:type="dxa"/>
                            <w:tcBorders>
                              <w:top w:val="single" w:sz="8" w:space="0" w:color="002D5D"/>
                              <w:bottom w:val="single" w:sz="8" w:space="0" w:color="002D5D"/>
                            </w:tcBorders>
                          </w:tcPr>
                          <w:p>
                            <w:pPr>
                              <w:pStyle w:val="TableParagraph"/>
                              <w:spacing w:before="22"/>
                              <w:rPr>
                                <w:sz w:val="17"/>
                              </w:rPr>
                            </w:pPr>
                          </w:p>
                          <w:p>
                            <w:pPr>
                              <w:pStyle w:val="TableParagraph"/>
                              <w:ind w:right="158"/>
                              <w:jc w:val="right"/>
                              <w:rPr>
                                <w:sz w:val="17"/>
                              </w:rPr>
                            </w:pPr>
                            <w:r>
                              <w:rPr>
                                <w:spacing w:val="-2"/>
                                <w:sz w:val="17"/>
                              </w:rPr>
                              <w:t>38,38</w:t>
                            </w:r>
                          </w:p>
                        </w:tc>
                        <w:tc>
                          <w:tcPr>
                            <w:tcW w:w="1181" w:type="dxa"/>
                            <w:tcBorders>
                              <w:top w:val="single" w:sz="8" w:space="0" w:color="002D5D"/>
                              <w:bottom w:val="single" w:sz="8" w:space="0" w:color="002D5D"/>
                            </w:tcBorders>
                          </w:tcPr>
                          <w:p>
                            <w:pPr>
                              <w:pStyle w:val="TableParagraph"/>
                              <w:spacing w:before="22"/>
                              <w:rPr>
                                <w:sz w:val="17"/>
                              </w:rPr>
                            </w:pPr>
                          </w:p>
                          <w:p>
                            <w:pPr>
                              <w:pStyle w:val="TableParagraph"/>
                              <w:ind w:right="127"/>
                              <w:jc w:val="right"/>
                              <w:rPr>
                                <w:sz w:val="17"/>
                              </w:rPr>
                            </w:pPr>
                            <w:r>
                              <w:rPr>
                                <w:spacing w:val="-2"/>
                                <w:sz w:val="17"/>
                              </w:rPr>
                              <w:t>4.794.502,65</w:t>
                            </w:r>
                          </w:p>
                        </w:tc>
                        <w:tc>
                          <w:tcPr>
                            <w:tcW w:w="773" w:type="dxa"/>
                            <w:tcBorders>
                              <w:top w:val="single" w:sz="8" w:space="0" w:color="002D5D"/>
                              <w:bottom w:val="single" w:sz="8" w:space="0" w:color="002D5D"/>
                            </w:tcBorders>
                          </w:tcPr>
                          <w:p>
                            <w:pPr>
                              <w:pStyle w:val="TableParagraph"/>
                              <w:spacing w:before="22"/>
                              <w:rPr>
                                <w:sz w:val="17"/>
                              </w:rPr>
                            </w:pPr>
                          </w:p>
                          <w:p>
                            <w:pPr>
                              <w:pStyle w:val="TableParagraph"/>
                              <w:ind w:left="79" w:right="86"/>
                              <w:jc w:val="center"/>
                              <w:rPr>
                                <w:sz w:val="17"/>
                              </w:rPr>
                            </w:pPr>
                            <w:r>
                              <w:rPr>
                                <w:spacing w:val="-2"/>
                                <w:sz w:val="17"/>
                              </w:rPr>
                              <w:t>97,94</w:t>
                            </w:r>
                          </w:p>
                        </w:tc>
                        <w:tc>
                          <w:tcPr>
                            <w:tcW w:w="1058" w:type="dxa"/>
                            <w:tcBorders>
                              <w:top w:val="single" w:sz="8" w:space="0" w:color="002D5D"/>
                              <w:bottom w:val="single" w:sz="8" w:space="0" w:color="002D5D"/>
                            </w:tcBorders>
                          </w:tcPr>
                          <w:p>
                            <w:pPr>
                              <w:pStyle w:val="TableParagraph"/>
                              <w:spacing w:before="22"/>
                              <w:rPr>
                                <w:sz w:val="17"/>
                              </w:rPr>
                            </w:pPr>
                          </w:p>
                          <w:p>
                            <w:pPr>
                              <w:pStyle w:val="TableParagraph"/>
                              <w:ind w:right="141"/>
                              <w:jc w:val="right"/>
                              <w:rPr>
                                <w:sz w:val="17"/>
                              </w:rPr>
                            </w:pPr>
                            <w:r>
                              <w:rPr>
                                <w:spacing w:val="-2"/>
                                <w:sz w:val="17"/>
                              </w:rPr>
                              <w:t>100.885,55</w:t>
                            </w:r>
                          </w:p>
                        </w:tc>
                        <w:tc>
                          <w:tcPr>
                            <w:tcW w:w="725" w:type="dxa"/>
                            <w:tcBorders>
                              <w:top w:val="single" w:sz="8" w:space="0" w:color="002D5D"/>
                              <w:bottom w:val="single" w:sz="8" w:space="0" w:color="002D5D"/>
                            </w:tcBorders>
                          </w:tcPr>
                          <w:p>
                            <w:pPr>
                              <w:pStyle w:val="TableParagraph"/>
                              <w:spacing w:before="22"/>
                              <w:rPr>
                                <w:sz w:val="17"/>
                              </w:rPr>
                            </w:pPr>
                          </w:p>
                          <w:p>
                            <w:pPr>
                              <w:pStyle w:val="TableParagraph"/>
                              <w:ind w:right="153"/>
                              <w:jc w:val="right"/>
                              <w:rPr>
                                <w:sz w:val="17"/>
                              </w:rPr>
                            </w:pPr>
                            <w:r>
                              <w:rPr>
                                <w:spacing w:val="-4"/>
                                <w:sz w:val="17"/>
                              </w:rPr>
                              <w:t>2,06</w:t>
                            </w:r>
                          </w:p>
                        </w:tc>
                        <w:tc>
                          <w:tcPr>
                            <w:tcW w:w="1197" w:type="dxa"/>
                            <w:tcBorders>
                              <w:top w:val="single" w:sz="8" w:space="0" w:color="002D5D"/>
                              <w:bottom w:val="single" w:sz="8" w:space="0" w:color="002D5D"/>
                            </w:tcBorders>
                          </w:tcPr>
                          <w:p>
                            <w:pPr>
                              <w:pStyle w:val="TableParagraph"/>
                              <w:spacing w:before="22"/>
                              <w:rPr>
                                <w:sz w:val="17"/>
                              </w:rPr>
                            </w:pPr>
                          </w:p>
                          <w:p>
                            <w:pPr>
                              <w:pStyle w:val="TableParagraph"/>
                              <w:ind w:right="85"/>
                              <w:jc w:val="center"/>
                              <w:rPr>
                                <w:sz w:val="17"/>
                              </w:rPr>
                            </w:pPr>
                            <w:r>
                              <w:rPr>
                                <w:sz w:val="17"/>
                              </w:rPr>
                              <w:t>En</w:t>
                            </w:r>
                            <w:r>
                              <w:rPr>
                                <w:spacing w:val="-1"/>
                                <w:sz w:val="17"/>
                              </w:rPr>
                              <w:t> </w:t>
                            </w:r>
                            <w:r>
                              <w:rPr>
                                <w:spacing w:val="-2"/>
                                <w:sz w:val="17"/>
                              </w:rPr>
                              <w:t>ejecución</w:t>
                            </w:r>
                          </w:p>
                        </w:tc>
                      </w:tr>
                      <w:tr>
                        <w:trPr>
                          <w:trHeight w:val="400" w:hRule="atLeast"/>
                        </w:trPr>
                        <w:tc>
                          <w:tcPr>
                            <w:tcW w:w="5691" w:type="dxa"/>
                            <w:gridSpan w:val="2"/>
                            <w:tcBorders>
                              <w:top w:val="single" w:sz="8" w:space="0" w:color="002D5D"/>
                              <w:bottom w:val="single" w:sz="8" w:space="0" w:color="002D5D"/>
                            </w:tcBorders>
                          </w:tcPr>
                          <w:p>
                            <w:pPr>
                              <w:pStyle w:val="TableParagraph"/>
                              <w:tabs>
                                <w:tab w:pos="2904" w:val="left" w:leader="none"/>
                                <w:tab w:pos="4935" w:val="left" w:leader="none"/>
                              </w:tabs>
                              <w:spacing w:before="102"/>
                              <w:ind w:left="69"/>
                              <w:rPr>
                                <w:sz w:val="17"/>
                              </w:rPr>
                            </w:pPr>
                            <w:r>
                              <w:rPr>
                                <w:sz w:val="17"/>
                              </w:rPr>
                              <w:t>Nueva</w:t>
                            </w:r>
                            <w:r>
                              <w:rPr>
                                <w:spacing w:val="-4"/>
                                <w:sz w:val="17"/>
                              </w:rPr>
                              <w:t> </w:t>
                            </w:r>
                            <w:r>
                              <w:rPr>
                                <w:sz w:val="17"/>
                              </w:rPr>
                              <w:t>página</w:t>
                            </w:r>
                            <w:r>
                              <w:rPr>
                                <w:spacing w:val="-1"/>
                                <w:sz w:val="17"/>
                              </w:rPr>
                              <w:t> </w:t>
                            </w:r>
                            <w:r>
                              <w:rPr>
                                <w:sz w:val="17"/>
                              </w:rPr>
                              <w:t>Web</w:t>
                            </w:r>
                            <w:r>
                              <w:rPr>
                                <w:spacing w:val="-3"/>
                                <w:sz w:val="17"/>
                              </w:rPr>
                              <w:t> </w:t>
                            </w:r>
                            <w:r>
                              <w:rPr>
                                <w:sz w:val="17"/>
                              </w:rPr>
                              <w:t>y</w:t>
                            </w:r>
                            <w:r>
                              <w:rPr>
                                <w:spacing w:val="-2"/>
                                <w:sz w:val="17"/>
                              </w:rPr>
                              <w:t> </w:t>
                            </w:r>
                            <w:r>
                              <w:rPr>
                                <w:sz w:val="17"/>
                              </w:rPr>
                              <w:t>aplicación</w:t>
                            </w:r>
                            <w:r>
                              <w:rPr>
                                <w:spacing w:val="-2"/>
                                <w:sz w:val="17"/>
                              </w:rPr>
                              <w:t> </w:t>
                            </w:r>
                            <w:r>
                              <w:rPr>
                                <w:spacing w:val="-4"/>
                                <w:sz w:val="17"/>
                              </w:rPr>
                              <w:t>móvil</w:t>
                            </w:r>
                            <w:r>
                              <w:rPr>
                                <w:sz w:val="17"/>
                              </w:rPr>
                              <w:tab/>
                            </w:r>
                            <w:r>
                              <w:rPr>
                                <w:spacing w:val="-2"/>
                                <w:sz w:val="17"/>
                              </w:rPr>
                              <w:t>Digitalización</w:t>
                            </w:r>
                            <w:r>
                              <w:rPr>
                                <w:sz w:val="17"/>
                              </w:rPr>
                              <w:tab/>
                            </w:r>
                            <w:r>
                              <w:rPr>
                                <w:spacing w:val="-2"/>
                                <w:sz w:val="17"/>
                              </w:rPr>
                              <w:t>49.650,00</w:t>
                            </w:r>
                          </w:p>
                        </w:tc>
                        <w:tc>
                          <w:tcPr>
                            <w:tcW w:w="724" w:type="dxa"/>
                            <w:tcBorders>
                              <w:top w:val="single" w:sz="8" w:space="0" w:color="002D5D"/>
                              <w:bottom w:val="single" w:sz="8" w:space="0" w:color="002D5D"/>
                            </w:tcBorders>
                          </w:tcPr>
                          <w:p>
                            <w:pPr>
                              <w:pStyle w:val="TableParagraph"/>
                              <w:spacing w:before="102"/>
                              <w:ind w:right="158"/>
                              <w:jc w:val="right"/>
                              <w:rPr>
                                <w:sz w:val="17"/>
                              </w:rPr>
                            </w:pPr>
                            <w:r>
                              <w:rPr>
                                <w:spacing w:val="-4"/>
                                <w:sz w:val="17"/>
                              </w:rPr>
                              <w:t>0,39</w:t>
                            </w:r>
                          </w:p>
                        </w:tc>
                        <w:tc>
                          <w:tcPr>
                            <w:tcW w:w="1181" w:type="dxa"/>
                            <w:tcBorders>
                              <w:top w:val="single" w:sz="8" w:space="0" w:color="002D5D"/>
                              <w:bottom w:val="single" w:sz="8" w:space="0" w:color="002D5D"/>
                            </w:tcBorders>
                          </w:tcPr>
                          <w:p>
                            <w:pPr>
                              <w:pStyle w:val="TableParagraph"/>
                              <w:spacing w:before="102"/>
                              <w:ind w:right="127"/>
                              <w:jc w:val="right"/>
                              <w:rPr>
                                <w:sz w:val="17"/>
                              </w:rPr>
                            </w:pPr>
                            <w:r>
                              <w:rPr>
                                <w:spacing w:val="-2"/>
                                <w:sz w:val="17"/>
                              </w:rPr>
                              <w:t>49.650,00</w:t>
                            </w:r>
                          </w:p>
                        </w:tc>
                        <w:tc>
                          <w:tcPr>
                            <w:tcW w:w="773" w:type="dxa"/>
                            <w:tcBorders>
                              <w:top w:val="single" w:sz="8" w:space="0" w:color="002D5D"/>
                              <w:bottom w:val="single" w:sz="8" w:space="0" w:color="002D5D"/>
                            </w:tcBorders>
                          </w:tcPr>
                          <w:p>
                            <w:pPr>
                              <w:pStyle w:val="TableParagraph"/>
                              <w:spacing w:before="102"/>
                              <w:ind w:left="67" w:right="153"/>
                              <w:jc w:val="center"/>
                              <w:rPr>
                                <w:sz w:val="17"/>
                              </w:rPr>
                            </w:pPr>
                            <w:r>
                              <w:rPr>
                                <w:spacing w:val="-2"/>
                                <w:sz w:val="17"/>
                              </w:rPr>
                              <w:t>100,00</w:t>
                            </w:r>
                          </w:p>
                        </w:tc>
                        <w:tc>
                          <w:tcPr>
                            <w:tcW w:w="1058" w:type="dxa"/>
                            <w:tcBorders>
                              <w:top w:val="single" w:sz="8" w:space="0" w:color="002D5D"/>
                              <w:bottom w:val="single" w:sz="8" w:space="0" w:color="002D5D"/>
                            </w:tcBorders>
                          </w:tcPr>
                          <w:p>
                            <w:pPr>
                              <w:pStyle w:val="TableParagraph"/>
                              <w:spacing w:before="102"/>
                              <w:ind w:right="141"/>
                              <w:jc w:val="right"/>
                              <w:rPr>
                                <w:sz w:val="17"/>
                              </w:rPr>
                            </w:pPr>
                            <w:r>
                              <w:rPr>
                                <w:spacing w:val="-4"/>
                                <w:sz w:val="17"/>
                              </w:rPr>
                              <w:t>0,00</w:t>
                            </w:r>
                          </w:p>
                        </w:tc>
                        <w:tc>
                          <w:tcPr>
                            <w:tcW w:w="725" w:type="dxa"/>
                            <w:tcBorders>
                              <w:top w:val="single" w:sz="8" w:space="0" w:color="002D5D"/>
                              <w:bottom w:val="single" w:sz="8" w:space="0" w:color="002D5D"/>
                            </w:tcBorders>
                          </w:tcPr>
                          <w:p>
                            <w:pPr>
                              <w:pStyle w:val="TableParagraph"/>
                              <w:spacing w:before="102"/>
                              <w:ind w:right="153"/>
                              <w:jc w:val="right"/>
                              <w:rPr>
                                <w:sz w:val="17"/>
                              </w:rPr>
                            </w:pPr>
                            <w:r>
                              <w:rPr>
                                <w:spacing w:val="-4"/>
                                <w:sz w:val="17"/>
                              </w:rPr>
                              <w:t>0,00</w:t>
                            </w:r>
                          </w:p>
                        </w:tc>
                        <w:tc>
                          <w:tcPr>
                            <w:tcW w:w="1197" w:type="dxa"/>
                            <w:tcBorders>
                              <w:top w:val="single" w:sz="8" w:space="0" w:color="002D5D"/>
                              <w:bottom w:val="single" w:sz="8" w:space="0" w:color="002D5D"/>
                            </w:tcBorders>
                          </w:tcPr>
                          <w:p>
                            <w:pPr>
                              <w:pStyle w:val="TableParagraph"/>
                              <w:spacing w:before="102"/>
                              <w:ind w:right="85"/>
                              <w:jc w:val="center"/>
                              <w:rPr>
                                <w:sz w:val="17"/>
                              </w:rPr>
                            </w:pPr>
                            <w:r>
                              <w:rPr>
                                <w:sz w:val="17"/>
                              </w:rPr>
                              <w:t>En</w:t>
                            </w:r>
                            <w:r>
                              <w:rPr>
                                <w:spacing w:val="-1"/>
                                <w:sz w:val="17"/>
                              </w:rPr>
                              <w:t> </w:t>
                            </w:r>
                            <w:r>
                              <w:rPr>
                                <w:spacing w:val="-2"/>
                                <w:sz w:val="17"/>
                              </w:rPr>
                              <w:t>ejecución</w:t>
                            </w:r>
                          </w:p>
                        </w:tc>
                      </w:tr>
                      <w:tr>
                        <w:trPr>
                          <w:trHeight w:val="548" w:hRule="atLeast"/>
                        </w:trPr>
                        <w:tc>
                          <w:tcPr>
                            <w:tcW w:w="5691" w:type="dxa"/>
                            <w:gridSpan w:val="2"/>
                            <w:tcBorders>
                              <w:top w:val="single" w:sz="8" w:space="0" w:color="002D5D"/>
                              <w:bottom w:val="single" w:sz="8" w:space="0" w:color="002D5D"/>
                            </w:tcBorders>
                          </w:tcPr>
                          <w:p>
                            <w:pPr>
                              <w:pStyle w:val="TableParagraph"/>
                              <w:tabs>
                                <w:tab w:pos="2904" w:val="left" w:leader="none"/>
                                <w:tab w:pos="5127" w:val="left" w:leader="none"/>
                              </w:tabs>
                              <w:spacing w:before="80"/>
                              <w:ind w:left="69"/>
                              <w:rPr>
                                <w:position w:val="-9"/>
                                <w:sz w:val="17"/>
                              </w:rPr>
                            </w:pPr>
                            <w:r>
                              <w:rPr>
                                <w:sz w:val="17"/>
                              </w:rPr>
                              <w:t>Servicio</w:t>
                            </w:r>
                            <w:r>
                              <w:rPr>
                                <w:spacing w:val="-3"/>
                                <w:sz w:val="17"/>
                              </w:rPr>
                              <w:t> </w:t>
                            </w:r>
                            <w:r>
                              <w:rPr>
                                <w:sz w:val="17"/>
                              </w:rPr>
                              <w:t>de</w:t>
                            </w:r>
                            <w:r>
                              <w:rPr>
                                <w:spacing w:val="-2"/>
                                <w:sz w:val="17"/>
                              </w:rPr>
                              <w:t> </w:t>
                            </w:r>
                            <w:r>
                              <w:rPr>
                                <w:sz w:val="17"/>
                              </w:rPr>
                              <w:t>venta</w:t>
                            </w:r>
                            <w:r>
                              <w:rPr>
                                <w:spacing w:val="-2"/>
                                <w:sz w:val="17"/>
                              </w:rPr>
                              <w:t> </w:t>
                            </w:r>
                            <w:r>
                              <w:rPr>
                                <w:sz w:val="17"/>
                              </w:rPr>
                              <w:t>y</w:t>
                            </w:r>
                            <w:r>
                              <w:rPr>
                                <w:spacing w:val="-3"/>
                                <w:sz w:val="17"/>
                              </w:rPr>
                              <w:t> </w:t>
                            </w:r>
                            <w:r>
                              <w:rPr>
                                <w:sz w:val="17"/>
                              </w:rPr>
                              <w:t>validación</w:t>
                            </w:r>
                            <w:r>
                              <w:rPr>
                                <w:spacing w:val="-1"/>
                                <w:sz w:val="17"/>
                              </w:rPr>
                              <w:t> </w:t>
                            </w:r>
                            <w:r>
                              <w:rPr>
                                <w:sz w:val="17"/>
                              </w:rPr>
                              <w:t>de</w:t>
                            </w:r>
                            <w:r>
                              <w:rPr>
                                <w:spacing w:val="-2"/>
                                <w:sz w:val="17"/>
                              </w:rPr>
                              <w:t> billete</w:t>
                            </w:r>
                            <w:r>
                              <w:rPr>
                                <w:sz w:val="17"/>
                              </w:rPr>
                              <w:tab/>
                            </w:r>
                            <w:r>
                              <w:rPr>
                                <w:spacing w:val="-2"/>
                                <w:position w:val="-9"/>
                                <w:sz w:val="17"/>
                              </w:rPr>
                              <w:t>Digitalización</w:t>
                            </w:r>
                            <w:r>
                              <w:rPr>
                                <w:position w:val="-9"/>
                                <w:sz w:val="17"/>
                              </w:rPr>
                              <w:tab/>
                            </w:r>
                            <w:r>
                              <w:rPr>
                                <w:spacing w:val="-2"/>
                                <w:position w:val="-9"/>
                                <w:sz w:val="17"/>
                              </w:rPr>
                              <w:t>247,93</w:t>
                            </w:r>
                          </w:p>
                        </w:tc>
                        <w:tc>
                          <w:tcPr>
                            <w:tcW w:w="724" w:type="dxa"/>
                            <w:tcBorders>
                              <w:top w:val="single" w:sz="8" w:space="0" w:color="002D5D"/>
                              <w:bottom w:val="single" w:sz="8" w:space="0" w:color="002D5D"/>
                            </w:tcBorders>
                          </w:tcPr>
                          <w:p>
                            <w:pPr>
                              <w:pStyle w:val="TableParagraph"/>
                              <w:spacing w:before="176"/>
                              <w:ind w:right="158"/>
                              <w:jc w:val="right"/>
                              <w:rPr>
                                <w:sz w:val="17"/>
                              </w:rPr>
                            </w:pPr>
                            <w:r>
                              <w:rPr>
                                <w:spacing w:val="-4"/>
                                <w:sz w:val="17"/>
                              </w:rPr>
                              <w:t>0,00</w:t>
                            </w:r>
                          </w:p>
                        </w:tc>
                        <w:tc>
                          <w:tcPr>
                            <w:tcW w:w="1181" w:type="dxa"/>
                            <w:tcBorders>
                              <w:top w:val="single" w:sz="8" w:space="0" w:color="002D5D"/>
                              <w:bottom w:val="single" w:sz="8" w:space="0" w:color="002D5D"/>
                            </w:tcBorders>
                          </w:tcPr>
                          <w:p>
                            <w:pPr>
                              <w:pStyle w:val="TableParagraph"/>
                              <w:spacing w:before="176"/>
                              <w:ind w:right="127"/>
                              <w:jc w:val="right"/>
                              <w:rPr>
                                <w:sz w:val="17"/>
                              </w:rPr>
                            </w:pPr>
                            <w:r>
                              <w:rPr>
                                <w:spacing w:val="-2"/>
                                <w:sz w:val="17"/>
                              </w:rPr>
                              <w:t>247,93</w:t>
                            </w:r>
                          </w:p>
                        </w:tc>
                        <w:tc>
                          <w:tcPr>
                            <w:tcW w:w="773" w:type="dxa"/>
                            <w:tcBorders>
                              <w:top w:val="single" w:sz="8" w:space="0" w:color="002D5D"/>
                              <w:bottom w:val="single" w:sz="8" w:space="0" w:color="002D5D"/>
                            </w:tcBorders>
                          </w:tcPr>
                          <w:p>
                            <w:pPr>
                              <w:pStyle w:val="TableParagraph"/>
                              <w:spacing w:before="176"/>
                              <w:ind w:left="67" w:right="153"/>
                              <w:jc w:val="center"/>
                              <w:rPr>
                                <w:sz w:val="17"/>
                              </w:rPr>
                            </w:pPr>
                            <w:r>
                              <w:rPr>
                                <w:spacing w:val="-2"/>
                                <w:sz w:val="17"/>
                              </w:rPr>
                              <w:t>100,00</w:t>
                            </w:r>
                          </w:p>
                        </w:tc>
                        <w:tc>
                          <w:tcPr>
                            <w:tcW w:w="1058" w:type="dxa"/>
                            <w:tcBorders>
                              <w:top w:val="single" w:sz="8" w:space="0" w:color="002D5D"/>
                              <w:bottom w:val="single" w:sz="8" w:space="0" w:color="002D5D"/>
                            </w:tcBorders>
                          </w:tcPr>
                          <w:p>
                            <w:pPr>
                              <w:pStyle w:val="TableParagraph"/>
                              <w:spacing w:before="176"/>
                              <w:ind w:right="141"/>
                              <w:jc w:val="right"/>
                              <w:rPr>
                                <w:sz w:val="17"/>
                              </w:rPr>
                            </w:pPr>
                            <w:r>
                              <w:rPr>
                                <w:spacing w:val="-4"/>
                                <w:sz w:val="17"/>
                              </w:rPr>
                              <w:t>0,00</w:t>
                            </w:r>
                          </w:p>
                        </w:tc>
                        <w:tc>
                          <w:tcPr>
                            <w:tcW w:w="725" w:type="dxa"/>
                            <w:tcBorders>
                              <w:top w:val="single" w:sz="8" w:space="0" w:color="002D5D"/>
                              <w:bottom w:val="single" w:sz="8" w:space="0" w:color="002D5D"/>
                            </w:tcBorders>
                          </w:tcPr>
                          <w:p>
                            <w:pPr>
                              <w:pStyle w:val="TableParagraph"/>
                              <w:spacing w:before="176"/>
                              <w:ind w:right="153"/>
                              <w:jc w:val="right"/>
                              <w:rPr>
                                <w:sz w:val="17"/>
                              </w:rPr>
                            </w:pPr>
                            <w:r>
                              <w:rPr>
                                <w:spacing w:val="-4"/>
                                <w:sz w:val="17"/>
                              </w:rPr>
                              <w:t>0,00</w:t>
                            </w:r>
                          </w:p>
                        </w:tc>
                        <w:tc>
                          <w:tcPr>
                            <w:tcW w:w="1197" w:type="dxa"/>
                            <w:tcBorders>
                              <w:top w:val="single" w:sz="8" w:space="0" w:color="002D5D"/>
                              <w:bottom w:val="single" w:sz="8" w:space="0" w:color="002D5D"/>
                            </w:tcBorders>
                          </w:tcPr>
                          <w:p>
                            <w:pPr>
                              <w:pStyle w:val="TableParagraph"/>
                              <w:spacing w:before="176"/>
                              <w:ind w:right="85"/>
                              <w:jc w:val="center"/>
                              <w:rPr>
                                <w:sz w:val="17"/>
                              </w:rPr>
                            </w:pPr>
                            <w:r>
                              <w:rPr>
                                <w:sz w:val="17"/>
                              </w:rPr>
                              <w:t>En</w:t>
                            </w:r>
                            <w:r>
                              <w:rPr>
                                <w:spacing w:val="-1"/>
                                <w:sz w:val="17"/>
                              </w:rPr>
                              <w:t> </w:t>
                            </w:r>
                            <w:r>
                              <w:rPr>
                                <w:spacing w:val="-2"/>
                                <w:sz w:val="17"/>
                              </w:rPr>
                              <w:t>ejecución</w:t>
                            </w:r>
                          </w:p>
                        </w:tc>
                      </w:tr>
                      <w:tr>
                        <w:trPr>
                          <w:trHeight w:val="390" w:hRule="atLeast"/>
                        </w:trPr>
                        <w:tc>
                          <w:tcPr>
                            <w:tcW w:w="5691" w:type="dxa"/>
                            <w:gridSpan w:val="2"/>
                          </w:tcPr>
                          <w:p>
                            <w:pPr>
                              <w:pStyle w:val="TableParagraph"/>
                              <w:spacing w:line="194" w:lineRule="exact"/>
                              <w:ind w:left="69" w:right="2808"/>
                              <w:rPr>
                                <w:sz w:val="17"/>
                              </w:rPr>
                            </w:pPr>
                            <w:r>
                              <w:rPr>
                                <w:sz w:val="17"/>
                              </w:rPr>
                              <w:t>Campañas</w:t>
                            </w:r>
                            <w:r>
                              <w:rPr>
                                <w:spacing w:val="-4"/>
                                <w:sz w:val="17"/>
                              </w:rPr>
                              <w:t> </w:t>
                            </w:r>
                            <w:r>
                              <w:rPr>
                                <w:sz w:val="17"/>
                              </w:rPr>
                              <w:t>de</w:t>
                            </w:r>
                            <w:r>
                              <w:rPr>
                                <w:spacing w:val="-4"/>
                                <w:sz w:val="17"/>
                              </w:rPr>
                              <w:t> </w:t>
                            </w:r>
                            <w:r>
                              <w:rPr>
                                <w:sz w:val="17"/>
                              </w:rPr>
                              <w:t>publicidad:</w:t>
                            </w:r>
                            <w:r>
                              <w:rPr>
                                <w:spacing w:val="-4"/>
                                <w:sz w:val="17"/>
                              </w:rPr>
                              <w:t> </w:t>
                            </w:r>
                            <w:r>
                              <w:rPr>
                                <w:sz w:val="17"/>
                              </w:rPr>
                              <w:t>feria,</w:t>
                            </w:r>
                            <w:r>
                              <w:rPr>
                                <w:spacing w:val="-4"/>
                                <w:sz w:val="17"/>
                              </w:rPr>
                              <w:t> </w:t>
                            </w:r>
                            <w:r>
                              <w:rPr>
                                <w:sz w:val="17"/>
                              </w:rPr>
                              <w:t>inicio</w:t>
                            </w:r>
                            <w:r>
                              <w:rPr>
                                <w:spacing w:val="-2"/>
                                <w:sz w:val="17"/>
                              </w:rPr>
                              <w:t> </w:t>
                            </w:r>
                            <w:r>
                              <w:rPr>
                                <w:sz w:val="17"/>
                              </w:rPr>
                              <w:t>de</w:t>
                            </w:r>
                            <w:r>
                              <w:rPr>
                                <w:spacing w:val="40"/>
                                <w:sz w:val="17"/>
                              </w:rPr>
                              <w:t> </w:t>
                            </w:r>
                            <w:r>
                              <w:rPr>
                                <w:sz w:val="17"/>
                              </w:rPr>
                              <w:t>curso,</w:t>
                            </w:r>
                            <w:r>
                              <w:rPr>
                                <w:spacing w:val="-3"/>
                                <w:sz w:val="17"/>
                              </w:rPr>
                              <w:t> </w:t>
                            </w:r>
                            <w:r>
                              <w:rPr>
                                <w:sz w:val="17"/>
                              </w:rPr>
                              <w:t>Semana</w:t>
                            </w:r>
                            <w:r>
                              <w:rPr>
                                <w:spacing w:val="-3"/>
                                <w:sz w:val="17"/>
                              </w:rPr>
                              <w:t> </w:t>
                            </w:r>
                            <w:r>
                              <w:rPr>
                                <w:sz w:val="17"/>
                              </w:rPr>
                              <w:t>europea</w:t>
                            </w:r>
                            <w:r>
                              <w:rPr>
                                <w:spacing w:val="-2"/>
                                <w:sz w:val="17"/>
                              </w:rPr>
                              <w:t> </w:t>
                            </w:r>
                            <w:r>
                              <w:rPr>
                                <w:sz w:val="17"/>
                              </w:rPr>
                              <w:t>de</w:t>
                            </w:r>
                            <w:r>
                              <w:rPr>
                                <w:spacing w:val="-3"/>
                                <w:sz w:val="17"/>
                              </w:rPr>
                              <w:t> </w:t>
                            </w:r>
                            <w:r>
                              <w:rPr>
                                <w:sz w:val="17"/>
                              </w:rPr>
                              <w:t>la</w:t>
                            </w:r>
                            <w:r>
                              <w:rPr>
                                <w:spacing w:val="-3"/>
                                <w:sz w:val="17"/>
                              </w:rPr>
                              <w:t> </w:t>
                            </w:r>
                            <w:r>
                              <w:rPr>
                                <w:spacing w:val="-2"/>
                                <w:sz w:val="17"/>
                              </w:rPr>
                              <w:t>movilidad,</w:t>
                            </w:r>
                          </w:p>
                        </w:tc>
                        <w:tc>
                          <w:tcPr>
                            <w:tcW w:w="724" w:type="dxa"/>
                          </w:tcPr>
                          <w:p>
                            <w:pPr>
                              <w:pStyle w:val="TableParagraph"/>
                              <w:rPr>
                                <w:rFonts w:ascii="Times New Roman"/>
                                <w:sz w:val="16"/>
                              </w:rPr>
                            </w:pPr>
                          </w:p>
                        </w:tc>
                        <w:tc>
                          <w:tcPr>
                            <w:tcW w:w="1181" w:type="dxa"/>
                          </w:tcPr>
                          <w:p>
                            <w:pPr>
                              <w:pStyle w:val="TableParagraph"/>
                              <w:rPr>
                                <w:rFonts w:ascii="Times New Roman"/>
                                <w:sz w:val="16"/>
                              </w:rPr>
                            </w:pPr>
                          </w:p>
                        </w:tc>
                        <w:tc>
                          <w:tcPr>
                            <w:tcW w:w="773" w:type="dxa"/>
                          </w:tcPr>
                          <w:p>
                            <w:pPr>
                              <w:pStyle w:val="TableParagraph"/>
                              <w:rPr>
                                <w:rFonts w:ascii="Times New Roman"/>
                                <w:sz w:val="16"/>
                              </w:rPr>
                            </w:pPr>
                          </w:p>
                        </w:tc>
                        <w:tc>
                          <w:tcPr>
                            <w:tcW w:w="1058" w:type="dxa"/>
                          </w:tcPr>
                          <w:p>
                            <w:pPr>
                              <w:pStyle w:val="TableParagraph"/>
                              <w:rPr>
                                <w:rFonts w:ascii="Times New Roman"/>
                                <w:sz w:val="16"/>
                              </w:rPr>
                            </w:pPr>
                          </w:p>
                        </w:tc>
                        <w:tc>
                          <w:tcPr>
                            <w:tcW w:w="725" w:type="dxa"/>
                          </w:tcPr>
                          <w:p>
                            <w:pPr>
                              <w:pStyle w:val="TableParagraph"/>
                              <w:rPr>
                                <w:rFonts w:ascii="Times New Roman"/>
                                <w:sz w:val="16"/>
                              </w:rPr>
                            </w:pPr>
                          </w:p>
                        </w:tc>
                        <w:tc>
                          <w:tcPr>
                            <w:tcW w:w="1197" w:type="dxa"/>
                          </w:tcPr>
                          <w:p>
                            <w:pPr>
                              <w:pStyle w:val="TableParagraph"/>
                              <w:rPr>
                                <w:rFonts w:ascii="Times New Roman"/>
                                <w:sz w:val="16"/>
                              </w:rPr>
                            </w:pPr>
                          </w:p>
                        </w:tc>
                      </w:tr>
                      <w:tr>
                        <w:trPr>
                          <w:trHeight w:val="585" w:hRule="atLeast"/>
                        </w:trPr>
                        <w:tc>
                          <w:tcPr>
                            <w:tcW w:w="4460" w:type="dxa"/>
                            <w:tcBorders>
                              <w:bottom w:val="single" w:sz="8" w:space="0" w:color="002D5D"/>
                            </w:tcBorders>
                          </w:tcPr>
                          <w:p>
                            <w:pPr>
                              <w:pStyle w:val="TableParagraph"/>
                              <w:tabs>
                                <w:tab w:pos="2904" w:val="left" w:leader="none"/>
                              </w:tabs>
                              <w:spacing w:line="242" w:lineRule="auto"/>
                              <w:ind w:left="69" w:right="199"/>
                              <w:rPr>
                                <w:sz w:val="17"/>
                              </w:rPr>
                            </w:pPr>
                            <w:r>
                              <w:rPr>
                                <w:sz w:val="17"/>
                              </w:rPr>
                              <w:t>campaña de Navidad, servicios especiales</w:t>
                              <w:tab/>
                              <w:t>Información</w:t>
                            </w:r>
                            <w:r>
                              <w:rPr>
                                <w:spacing w:val="-10"/>
                                <w:sz w:val="17"/>
                              </w:rPr>
                              <w:t> </w:t>
                            </w:r>
                            <w:r>
                              <w:rPr>
                                <w:sz w:val="17"/>
                              </w:rPr>
                              <w:t>y</w:t>
                            </w:r>
                            <w:r>
                              <w:rPr>
                                <w:spacing w:val="-10"/>
                                <w:sz w:val="17"/>
                              </w:rPr>
                              <w:t> </w:t>
                            </w:r>
                            <w:r>
                              <w:rPr>
                                <w:sz w:val="17"/>
                              </w:rPr>
                              <w:t>difusión</w:t>
                            </w:r>
                            <w:r>
                              <w:rPr>
                                <w:spacing w:val="40"/>
                                <w:sz w:val="17"/>
                              </w:rPr>
                              <w:t> </w:t>
                            </w:r>
                            <w:r>
                              <w:rPr>
                                <w:sz w:val="17"/>
                              </w:rPr>
                              <w:t>fútbol, aeropuerto y centro de</w:t>
                            </w:r>
                          </w:p>
                          <w:p>
                            <w:pPr>
                              <w:pStyle w:val="TableParagraph"/>
                              <w:spacing w:line="172" w:lineRule="exact"/>
                              <w:ind w:left="69"/>
                              <w:rPr>
                                <w:sz w:val="17"/>
                              </w:rPr>
                            </w:pPr>
                            <w:r>
                              <w:rPr>
                                <w:sz w:val="17"/>
                              </w:rPr>
                              <w:t>convenciones</w:t>
                            </w:r>
                            <w:r>
                              <w:rPr>
                                <w:spacing w:val="-5"/>
                                <w:sz w:val="17"/>
                              </w:rPr>
                              <w:t> </w:t>
                            </w:r>
                            <w:r>
                              <w:rPr>
                                <w:sz w:val="17"/>
                              </w:rPr>
                              <w:t>y</w:t>
                            </w:r>
                            <w:r>
                              <w:rPr>
                                <w:spacing w:val="-2"/>
                                <w:sz w:val="17"/>
                              </w:rPr>
                              <w:t> congresos</w:t>
                            </w:r>
                          </w:p>
                        </w:tc>
                        <w:tc>
                          <w:tcPr>
                            <w:tcW w:w="1231" w:type="dxa"/>
                            <w:tcBorders>
                              <w:bottom w:val="single" w:sz="8" w:space="0" w:color="002D5D"/>
                            </w:tcBorders>
                          </w:tcPr>
                          <w:p>
                            <w:pPr>
                              <w:pStyle w:val="TableParagraph"/>
                              <w:ind w:right="135"/>
                              <w:jc w:val="right"/>
                              <w:rPr>
                                <w:sz w:val="17"/>
                              </w:rPr>
                            </w:pPr>
                            <w:r>
                              <w:rPr>
                                <w:spacing w:val="-2"/>
                                <w:sz w:val="17"/>
                              </w:rPr>
                              <w:t>10.000,00</w:t>
                            </w:r>
                          </w:p>
                        </w:tc>
                        <w:tc>
                          <w:tcPr>
                            <w:tcW w:w="724" w:type="dxa"/>
                            <w:tcBorders>
                              <w:bottom w:val="single" w:sz="8" w:space="0" w:color="002D5D"/>
                            </w:tcBorders>
                          </w:tcPr>
                          <w:p>
                            <w:pPr>
                              <w:pStyle w:val="TableParagraph"/>
                              <w:ind w:right="158"/>
                              <w:jc w:val="right"/>
                              <w:rPr>
                                <w:sz w:val="17"/>
                              </w:rPr>
                            </w:pPr>
                            <w:r>
                              <w:rPr>
                                <w:spacing w:val="-4"/>
                                <w:sz w:val="17"/>
                              </w:rPr>
                              <w:t>0,08</w:t>
                            </w:r>
                          </w:p>
                        </w:tc>
                        <w:tc>
                          <w:tcPr>
                            <w:tcW w:w="1181" w:type="dxa"/>
                            <w:tcBorders>
                              <w:bottom w:val="single" w:sz="8" w:space="0" w:color="002D5D"/>
                            </w:tcBorders>
                          </w:tcPr>
                          <w:p>
                            <w:pPr>
                              <w:pStyle w:val="TableParagraph"/>
                              <w:ind w:right="127"/>
                              <w:jc w:val="right"/>
                              <w:rPr>
                                <w:sz w:val="17"/>
                              </w:rPr>
                            </w:pPr>
                            <w:r>
                              <w:rPr>
                                <w:spacing w:val="-2"/>
                                <w:sz w:val="17"/>
                              </w:rPr>
                              <w:t>10.000,00</w:t>
                            </w:r>
                          </w:p>
                        </w:tc>
                        <w:tc>
                          <w:tcPr>
                            <w:tcW w:w="773" w:type="dxa"/>
                            <w:tcBorders>
                              <w:bottom w:val="single" w:sz="8" w:space="0" w:color="002D5D"/>
                            </w:tcBorders>
                          </w:tcPr>
                          <w:p>
                            <w:pPr>
                              <w:pStyle w:val="TableParagraph"/>
                              <w:ind w:left="67" w:right="153"/>
                              <w:jc w:val="center"/>
                              <w:rPr>
                                <w:sz w:val="17"/>
                              </w:rPr>
                            </w:pPr>
                            <w:r>
                              <w:rPr>
                                <w:spacing w:val="-2"/>
                                <w:sz w:val="17"/>
                              </w:rPr>
                              <w:t>100,00</w:t>
                            </w:r>
                          </w:p>
                        </w:tc>
                        <w:tc>
                          <w:tcPr>
                            <w:tcW w:w="1058" w:type="dxa"/>
                            <w:tcBorders>
                              <w:bottom w:val="single" w:sz="8" w:space="0" w:color="002D5D"/>
                            </w:tcBorders>
                          </w:tcPr>
                          <w:p>
                            <w:pPr>
                              <w:pStyle w:val="TableParagraph"/>
                              <w:ind w:right="141"/>
                              <w:jc w:val="right"/>
                              <w:rPr>
                                <w:sz w:val="17"/>
                              </w:rPr>
                            </w:pPr>
                            <w:r>
                              <w:rPr>
                                <w:spacing w:val="-4"/>
                                <w:sz w:val="17"/>
                              </w:rPr>
                              <w:t>0,00</w:t>
                            </w:r>
                          </w:p>
                        </w:tc>
                        <w:tc>
                          <w:tcPr>
                            <w:tcW w:w="725" w:type="dxa"/>
                            <w:tcBorders>
                              <w:bottom w:val="single" w:sz="8" w:space="0" w:color="002D5D"/>
                            </w:tcBorders>
                          </w:tcPr>
                          <w:p>
                            <w:pPr>
                              <w:pStyle w:val="TableParagraph"/>
                              <w:ind w:right="153"/>
                              <w:jc w:val="right"/>
                              <w:rPr>
                                <w:sz w:val="17"/>
                              </w:rPr>
                            </w:pPr>
                            <w:r>
                              <w:rPr>
                                <w:spacing w:val="-4"/>
                                <w:sz w:val="17"/>
                              </w:rPr>
                              <w:t>0,00</w:t>
                            </w:r>
                          </w:p>
                        </w:tc>
                        <w:tc>
                          <w:tcPr>
                            <w:tcW w:w="1197" w:type="dxa"/>
                            <w:tcBorders>
                              <w:bottom w:val="single" w:sz="8" w:space="0" w:color="002D5D"/>
                            </w:tcBorders>
                          </w:tcPr>
                          <w:p>
                            <w:pPr>
                              <w:pStyle w:val="TableParagraph"/>
                              <w:ind w:right="85"/>
                              <w:jc w:val="center"/>
                              <w:rPr>
                                <w:sz w:val="17"/>
                              </w:rPr>
                            </w:pPr>
                            <w:r>
                              <w:rPr>
                                <w:spacing w:val="-2"/>
                                <w:sz w:val="17"/>
                              </w:rPr>
                              <w:t>Finalizada</w:t>
                            </w:r>
                          </w:p>
                        </w:tc>
                      </w:tr>
                      <w:tr>
                        <w:trPr>
                          <w:trHeight w:val="508" w:hRule="atLeast"/>
                        </w:trPr>
                        <w:tc>
                          <w:tcPr>
                            <w:tcW w:w="4460" w:type="dxa"/>
                            <w:tcBorders>
                              <w:top w:val="single" w:sz="8" w:space="0" w:color="002D5D"/>
                              <w:bottom w:val="single" w:sz="8" w:space="0" w:color="002D5D"/>
                            </w:tcBorders>
                          </w:tcPr>
                          <w:p>
                            <w:pPr>
                              <w:pStyle w:val="TableParagraph"/>
                              <w:tabs>
                                <w:tab w:pos="2904" w:val="left" w:leader="none"/>
                              </w:tabs>
                              <w:spacing w:before="58"/>
                              <w:ind w:left="69"/>
                              <w:rPr>
                                <w:position w:val="-9"/>
                                <w:sz w:val="17"/>
                              </w:rPr>
                            </w:pPr>
                            <w:r>
                              <w:rPr>
                                <w:sz w:val="17"/>
                              </w:rPr>
                              <w:t>Servicio</w:t>
                            </w:r>
                            <w:r>
                              <w:rPr>
                                <w:spacing w:val="-4"/>
                                <w:sz w:val="17"/>
                              </w:rPr>
                              <w:t> </w:t>
                            </w:r>
                            <w:r>
                              <w:rPr>
                                <w:sz w:val="17"/>
                              </w:rPr>
                              <w:t>de</w:t>
                            </w:r>
                            <w:r>
                              <w:rPr>
                                <w:spacing w:val="-2"/>
                                <w:sz w:val="17"/>
                              </w:rPr>
                              <w:t> </w:t>
                            </w:r>
                            <w:r>
                              <w:rPr>
                                <w:sz w:val="17"/>
                              </w:rPr>
                              <w:t>azafatas</w:t>
                            </w:r>
                            <w:r>
                              <w:rPr>
                                <w:spacing w:val="-2"/>
                                <w:sz w:val="17"/>
                              </w:rPr>
                              <w:t> </w:t>
                            </w:r>
                            <w:r>
                              <w:rPr>
                                <w:sz w:val="17"/>
                              </w:rPr>
                              <w:t>para</w:t>
                            </w:r>
                            <w:r>
                              <w:rPr>
                                <w:spacing w:val="-3"/>
                                <w:sz w:val="17"/>
                              </w:rPr>
                              <w:t> </w:t>
                            </w:r>
                            <w:r>
                              <w:rPr>
                                <w:spacing w:val="-2"/>
                                <w:sz w:val="17"/>
                              </w:rPr>
                              <w:t>información</w:t>
                            </w:r>
                            <w:r>
                              <w:rPr>
                                <w:sz w:val="17"/>
                              </w:rPr>
                              <w:tab/>
                            </w:r>
                            <w:r>
                              <w:rPr>
                                <w:position w:val="-9"/>
                                <w:sz w:val="17"/>
                              </w:rPr>
                              <w:t>Información</w:t>
                            </w:r>
                            <w:r>
                              <w:rPr>
                                <w:spacing w:val="-3"/>
                                <w:position w:val="-9"/>
                                <w:sz w:val="17"/>
                              </w:rPr>
                              <w:t> </w:t>
                            </w:r>
                            <w:r>
                              <w:rPr>
                                <w:position w:val="-9"/>
                                <w:sz w:val="17"/>
                              </w:rPr>
                              <w:t>y</w:t>
                            </w:r>
                            <w:r>
                              <w:rPr>
                                <w:spacing w:val="-3"/>
                                <w:position w:val="-9"/>
                                <w:sz w:val="17"/>
                              </w:rPr>
                              <w:t> </w:t>
                            </w:r>
                            <w:r>
                              <w:rPr>
                                <w:spacing w:val="-2"/>
                                <w:position w:val="-9"/>
                                <w:sz w:val="17"/>
                              </w:rPr>
                              <w:t>difusión</w:t>
                            </w:r>
                          </w:p>
                        </w:tc>
                        <w:tc>
                          <w:tcPr>
                            <w:tcW w:w="1231" w:type="dxa"/>
                            <w:tcBorders>
                              <w:top w:val="single" w:sz="8" w:space="0" w:color="002D5D"/>
                              <w:bottom w:val="single" w:sz="8" w:space="0" w:color="002D5D"/>
                            </w:tcBorders>
                          </w:tcPr>
                          <w:p>
                            <w:pPr>
                              <w:pStyle w:val="TableParagraph"/>
                              <w:spacing w:before="157"/>
                              <w:ind w:right="135"/>
                              <w:jc w:val="right"/>
                              <w:rPr>
                                <w:sz w:val="17"/>
                              </w:rPr>
                            </w:pPr>
                            <w:r>
                              <w:rPr>
                                <w:spacing w:val="-2"/>
                                <w:sz w:val="17"/>
                              </w:rPr>
                              <w:t>11.970,00</w:t>
                            </w:r>
                          </w:p>
                        </w:tc>
                        <w:tc>
                          <w:tcPr>
                            <w:tcW w:w="724" w:type="dxa"/>
                            <w:tcBorders>
                              <w:top w:val="single" w:sz="8" w:space="0" w:color="002D5D"/>
                              <w:bottom w:val="single" w:sz="8" w:space="0" w:color="002D5D"/>
                            </w:tcBorders>
                          </w:tcPr>
                          <w:p>
                            <w:pPr>
                              <w:pStyle w:val="TableParagraph"/>
                              <w:spacing w:before="157"/>
                              <w:ind w:right="158"/>
                              <w:jc w:val="right"/>
                              <w:rPr>
                                <w:sz w:val="17"/>
                              </w:rPr>
                            </w:pPr>
                            <w:r>
                              <w:rPr>
                                <w:spacing w:val="-4"/>
                                <w:sz w:val="17"/>
                              </w:rPr>
                              <w:t>0,09</w:t>
                            </w:r>
                          </w:p>
                        </w:tc>
                        <w:tc>
                          <w:tcPr>
                            <w:tcW w:w="1181" w:type="dxa"/>
                            <w:tcBorders>
                              <w:top w:val="single" w:sz="8" w:space="0" w:color="002D5D"/>
                              <w:bottom w:val="single" w:sz="8" w:space="0" w:color="002D5D"/>
                            </w:tcBorders>
                          </w:tcPr>
                          <w:p>
                            <w:pPr>
                              <w:pStyle w:val="TableParagraph"/>
                              <w:spacing w:before="157"/>
                              <w:ind w:right="127"/>
                              <w:jc w:val="right"/>
                              <w:rPr>
                                <w:sz w:val="17"/>
                              </w:rPr>
                            </w:pPr>
                            <w:r>
                              <w:rPr>
                                <w:spacing w:val="-4"/>
                                <w:sz w:val="17"/>
                              </w:rPr>
                              <w:t>0,00</w:t>
                            </w:r>
                          </w:p>
                        </w:tc>
                        <w:tc>
                          <w:tcPr>
                            <w:tcW w:w="773" w:type="dxa"/>
                            <w:tcBorders>
                              <w:top w:val="single" w:sz="8" w:space="0" w:color="002D5D"/>
                              <w:bottom w:val="single" w:sz="8" w:space="0" w:color="002D5D"/>
                            </w:tcBorders>
                          </w:tcPr>
                          <w:p>
                            <w:pPr>
                              <w:pStyle w:val="TableParagraph"/>
                              <w:spacing w:before="157"/>
                              <w:ind w:left="67"/>
                              <w:jc w:val="center"/>
                              <w:rPr>
                                <w:sz w:val="17"/>
                              </w:rPr>
                            </w:pPr>
                            <w:r>
                              <w:rPr>
                                <w:spacing w:val="-4"/>
                                <w:sz w:val="17"/>
                              </w:rPr>
                              <w:t>0,00</w:t>
                            </w:r>
                          </w:p>
                        </w:tc>
                        <w:tc>
                          <w:tcPr>
                            <w:tcW w:w="1058" w:type="dxa"/>
                            <w:tcBorders>
                              <w:top w:val="single" w:sz="8" w:space="0" w:color="002D5D"/>
                              <w:bottom w:val="single" w:sz="8" w:space="0" w:color="002D5D"/>
                            </w:tcBorders>
                          </w:tcPr>
                          <w:p>
                            <w:pPr>
                              <w:pStyle w:val="TableParagraph"/>
                              <w:spacing w:before="157"/>
                              <w:ind w:right="141"/>
                              <w:jc w:val="right"/>
                              <w:rPr>
                                <w:sz w:val="17"/>
                              </w:rPr>
                            </w:pPr>
                            <w:r>
                              <w:rPr>
                                <w:spacing w:val="-2"/>
                                <w:sz w:val="17"/>
                              </w:rPr>
                              <w:t>11.970,00</w:t>
                            </w:r>
                          </w:p>
                        </w:tc>
                        <w:tc>
                          <w:tcPr>
                            <w:tcW w:w="725" w:type="dxa"/>
                            <w:tcBorders>
                              <w:top w:val="single" w:sz="8" w:space="0" w:color="002D5D"/>
                              <w:bottom w:val="single" w:sz="8" w:space="0" w:color="002D5D"/>
                            </w:tcBorders>
                          </w:tcPr>
                          <w:p>
                            <w:pPr>
                              <w:pStyle w:val="TableParagraph"/>
                              <w:spacing w:before="157"/>
                              <w:ind w:right="153"/>
                              <w:jc w:val="right"/>
                              <w:rPr>
                                <w:sz w:val="17"/>
                              </w:rPr>
                            </w:pPr>
                            <w:r>
                              <w:rPr>
                                <w:spacing w:val="-2"/>
                                <w:sz w:val="17"/>
                              </w:rPr>
                              <w:t>100,00</w:t>
                            </w:r>
                          </w:p>
                        </w:tc>
                        <w:tc>
                          <w:tcPr>
                            <w:tcW w:w="1197" w:type="dxa"/>
                            <w:tcBorders>
                              <w:top w:val="single" w:sz="8" w:space="0" w:color="002D5D"/>
                              <w:bottom w:val="single" w:sz="8" w:space="0" w:color="002D5D"/>
                            </w:tcBorders>
                          </w:tcPr>
                          <w:p>
                            <w:pPr>
                              <w:pStyle w:val="TableParagraph"/>
                              <w:spacing w:before="157"/>
                              <w:ind w:right="85"/>
                              <w:jc w:val="center"/>
                              <w:rPr>
                                <w:sz w:val="17"/>
                              </w:rPr>
                            </w:pPr>
                            <w:r>
                              <w:rPr>
                                <w:spacing w:val="-2"/>
                                <w:sz w:val="17"/>
                              </w:rPr>
                              <w:t>Finalizada</w:t>
                            </w:r>
                          </w:p>
                        </w:tc>
                      </w:tr>
                      <w:tr>
                        <w:trPr>
                          <w:trHeight w:val="584" w:hRule="atLeast"/>
                        </w:trPr>
                        <w:tc>
                          <w:tcPr>
                            <w:tcW w:w="4460" w:type="dxa"/>
                            <w:tcBorders>
                              <w:top w:val="single" w:sz="8" w:space="0" w:color="002D5D"/>
                              <w:bottom w:val="single" w:sz="8" w:space="0" w:color="002D5D"/>
                            </w:tcBorders>
                          </w:tcPr>
                          <w:p>
                            <w:pPr>
                              <w:pStyle w:val="TableParagraph"/>
                              <w:spacing w:line="194" w:lineRule="exact"/>
                              <w:ind w:left="69"/>
                              <w:rPr>
                                <w:sz w:val="17"/>
                              </w:rPr>
                            </w:pPr>
                            <w:r>
                              <w:rPr>
                                <w:sz w:val="17"/>
                              </w:rPr>
                              <w:t>Campañas</w:t>
                            </w:r>
                            <w:r>
                              <w:rPr>
                                <w:spacing w:val="-5"/>
                                <w:sz w:val="17"/>
                              </w:rPr>
                              <w:t> </w:t>
                            </w:r>
                            <w:r>
                              <w:rPr>
                                <w:sz w:val="17"/>
                              </w:rPr>
                              <w:t>de</w:t>
                            </w:r>
                            <w:r>
                              <w:rPr>
                                <w:spacing w:val="-4"/>
                                <w:sz w:val="17"/>
                              </w:rPr>
                              <w:t> </w:t>
                            </w:r>
                            <w:r>
                              <w:rPr>
                                <w:sz w:val="17"/>
                              </w:rPr>
                              <w:t>publicidad</w:t>
                            </w:r>
                            <w:r>
                              <w:rPr>
                                <w:spacing w:val="-3"/>
                                <w:sz w:val="17"/>
                              </w:rPr>
                              <w:t> </w:t>
                            </w:r>
                            <w:r>
                              <w:rPr>
                                <w:sz w:val="17"/>
                              </w:rPr>
                              <w:t>relativas</w:t>
                            </w:r>
                            <w:r>
                              <w:rPr>
                                <w:spacing w:val="-4"/>
                                <w:sz w:val="17"/>
                              </w:rPr>
                              <w:t> </w:t>
                            </w:r>
                            <w:r>
                              <w:rPr>
                                <w:spacing w:val="-10"/>
                                <w:sz w:val="17"/>
                              </w:rPr>
                              <w:t>a</w:t>
                            </w:r>
                          </w:p>
                          <w:p>
                            <w:pPr>
                              <w:pStyle w:val="TableParagraph"/>
                              <w:tabs>
                                <w:tab w:pos="2904" w:val="left" w:leader="none"/>
                              </w:tabs>
                              <w:spacing w:line="194" w:lineRule="exact"/>
                              <w:ind w:left="69" w:right="199"/>
                              <w:rPr>
                                <w:sz w:val="17"/>
                              </w:rPr>
                            </w:pPr>
                            <w:r>
                              <w:rPr>
                                <w:sz w:val="17"/>
                              </w:rPr>
                              <w:t>fomento de la recarga online y uso del</w:t>
                              <w:tab/>
                              <w:t>Información</w:t>
                            </w:r>
                            <w:r>
                              <w:rPr>
                                <w:spacing w:val="-10"/>
                                <w:sz w:val="17"/>
                              </w:rPr>
                              <w:t> </w:t>
                            </w:r>
                            <w:r>
                              <w:rPr>
                                <w:sz w:val="17"/>
                              </w:rPr>
                              <w:t>y</w:t>
                            </w:r>
                            <w:r>
                              <w:rPr>
                                <w:spacing w:val="-10"/>
                                <w:sz w:val="17"/>
                              </w:rPr>
                              <w:t> </w:t>
                            </w:r>
                            <w:r>
                              <w:rPr>
                                <w:sz w:val="17"/>
                              </w:rPr>
                              <w:t>difusión</w:t>
                            </w:r>
                            <w:r>
                              <w:rPr>
                                <w:spacing w:val="40"/>
                                <w:sz w:val="17"/>
                              </w:rPr>
                              <w:t> </w:t>
                            </w:r>
                            <w:r>
                              <w:rPr>
                                <w:spacing w:val="-2"/>
                                <w:sz w:val="17"/>
                              </w:rPr>
                              <w:t>autobús</w:t>
                            </w:r>
                          </w:p>
                        </w:tc>
                        <w:tc>
                          <w:tcPr>
                            <w:tcW w:w="1231" w:type="dxa"/>
                            <w:tcBorders>
                              <w:top w:val="single" w:sz="8" w:space="0" w:color="002D5D"/>
                              <w:bottom w:val="single" w:sz="8" w:space="0" w:color="002D5D"/>
                            </w:tcBorders>
                          </w:tcPr>
                          <w:p>
                            <w:pPr>
                              <w:pStyle w:val="TableParagraph"/>
                              <w:rPr>
                                <w:sz w:val="17"/>
                              </w:rPr>
                            </w:pPr>
                          </w:p>
                          <w:p>
                            <w:pPr>
                              <w:pStyle w:val="TableParagraph"/>
                              <w:ind w:right="135"/>
                              <w:jc w:val="right"/>
                              <w:rPr>
                                <w:sz w:val="17"/>
                              </w:rPr>
                            </w:pPr>
                            <w:r>
                              <w:rPr>
                                <w:spacing w:val="-2"/>
                                <w:sz w:val="17"/>
                              </w:rPr>
                              <w:t>14.973,52</w:t>
                            </w:r>
                          </w:p>
                        </w:tc>
                        <w:tc>
                          <w:tcPr>
                            <w:tcW w:w="724" w:type="dxa"/>
                            <w:tcBorders>
                              <w:top w:val="single" w:sz="8" w:space="0" w:color="002D5D"/>
                              <w:bottom w:val="single" w:sz="8" w:space="0" w:color="002D5D"/>
                            </w:tcBorders>
                          </w:tcPr>
                          <w:p>
                            <w:pPr>
                              <w:pStyle w:val="TableParagraph"/>
                              <w:rPr>
                                <w:sz w:val="17"/>
                              </w:rPr>
                            </w:pPr>
                          </w:p>
                          <w:p>
                            <w:pPr>
                              <w:pStyle w:val="TableParagraph"/>
                              <w:ind w:right="158"/>
                              <w:jc w:val="right"/>
                              <w:rPr>
                                <w:sz w:val="17"/>
                              </w:rPr>
                            </w:pPr>
                            <w:r>
                              <w:rPr>
                                <w:spacing w:val="-4"/>
                                <w:sz w:val="17"/>
                              </w:rPr>
                              <w:t>0,12</w:t>
                            </w:r>
                          </w:p>
                        </w:tc>
                        <w:tc>
                          <w:tcPr>
                            <w:tcW w:w="1181" w:type="dxa"/>
                            <w:tcBorders>
                              <w:top w:val="single" w:sz="8" w:space="0" w:color="002D5D"/>
                              <w:bottom w:val="single" w:sz="8" w:space="0" w:color="002D5D"/>
                            </w:tcBorders>
                          </w:tcPr>
                          <w:p>
                            <w:pPr>
                              <w:pStyle w:val="TableParagraph"/>
                              <w:rPr>
                                <w:sz w:val="17"/>
                              </w:rPr>
                            </w:pPr>
                          </w:p>
                          <w:p>
                            <w:pPr>
                              <w:pStyle w:val="TableParagraph"/>
                              <w:ind w:right="127"/>
                              <w:jc w:val="right"/>
                              <w:rPr>
                                <w:sz w:val="17"/>
                              </w:rPr>
                            </w:pPr>
                            <w:r>
                              <w:rPr>
                                <w:spacing w:val="-4"/>
                                <w:sz w:val="17"/>
                              </w:rPr>
                              <w:t>0,00</w:t>
                            </w:r>
                          </w:p>
                        </w:tc>
                        <w:tc>
                          <w:tcPr>
                            <w:tcW w:w="773" w:type="dxa"/>
                            <w:tcBorders>
                              <w:top w:val="single" w:sz="8" w:space="0" w:color="002D5D"/>
                              <w:bottom w:val="single" w:sz="8" w:space="0" w:color="002D5D"/>
                            </w:tcBorders>
                          </w:tcPr>
                          <w:p>
                            <w:pPr>
                              <w:pStyle w:val="TableParagraph"/>
                              <w:rPr>
                                <w:sz w:val="17"/>
                              </w:rPr>
                            </w:pPr>
                          </w:p>
                          <w:p>
                            <w:pPr>
                              <w:pStyle w:val="TableParagraph"/>
                              <w:ind w:left="67"/>
                              <w:jc w:val="center"/>
                              <w:rPr>
                                <w:sz w:val="17"/>
                              </w:rPr>
                            </w:pPr>
                            <w:r>
                              <w:rPr>
                                <w:spacing w:val="-4"/>
                                <w:sz w:val="17"/>
                              </w:rPr>
                              <w:t>0,00</w:t>
                            </w:r>
                          </w:p>
                        </w:tc>
                        <w:tc>
                          <w:tcPr>
                            <w:tcW w:w="1058" w:type="dxa"/>
                            <w:tcBorders>
                              <w:top w:val="single" w:sz="8" w:space="0" w:color="002D5D"/>
                              <w:bottom w:val="single" w:sz="8" w:space="0" w:color="002D5D"/>
                            </w:tcBorders>
                          </w:tcPr>
                          <w:p>
                            <w:pPr>
                              <w:pStyle w:val="TableParagraph"/>
                              <w:rPr>
                                <w:sz w:val="17"/>
                              </w:rPr>
                            </w:pPr>
                          </w:p>
                          <w:p>
                            <w:pPr>
                              <w:pStyle w:val="TableParagraph"/>
                              <w:ind w:right="141"/>
                              <w:jc w:val="right"/>
                              <w:rPr>
                                <w:sz w:val="17"/>
                              </w:rPr>
                            </w:pPr>
                            <w:r>
                              <w:rPr>
                                <w:spacing w:val="-2"/>
                                <w:sz w:val="17"/>
                              </w:rPr>
                              <w:t>14.973,52</w:t>
                            </w:r>
                          </w:p>
                        </w:tc>
                        <w:tc>
                          <w:tcPr>
                            <w:tcW w:w="725" w:type="dxa"/>
                            <w:tcBorders>
                              <w:top w:val="single" w:sz="8" w:space="0" w:color="002D5D"/>
                              <w:bottom w:val="single" w:sz="8" w:space="0" w:color="002D5D"/>
                            </w:tcBorders>
                          </w:tcPr>
                          <w:p>
                            <w:pPr>
                              <w:pStyle w:val="TableParagraph"/>
                              <w:rPr>
                                <w:sz w:val="17"/>
                              </w:rPr>
                            </w:pPr>
                          </w:p>
                          <w:p>
                            <w:pPr>
                              <w:pStyle w:val="TableParagraph"/>
                              <w:ind w:right="153"/>
                              <w:jc w:val="right"/>
                              <w:rPr>
                                <w:sz w:val="17"/>
                              </w:rPr>
                            </w:pPr>
                            <w:r>
                              <w:rPr>
                                <w:spacing w:val="-2"/>
                                <w:sz w:val="17"/>
                              </w:rPr>
                              <w:t>100,00</w:t>
                            </w:r>
                          </w:p>
                        </w:tc>
                        <w:tc>
                          <w:tcPr>
                            <w:tcW w:w="1197" w:type="dxa"/>
                            <w:tcBorders>
                              <w:top w:val="single" w:sz="8" w:space="0" w:color="002D5D"/>
                              <w:bottom w:val="single" w:sz="8" w:space="0" w:color="002D5D"/>
                            </w:tcBorders>
                          </w:tcPr>
                          <w:p>
                            <w:pPr>
                              <w:pStyle w:val="TableParagraph"/>
                              <w:rPr>
                                <w:sz w:val="17"/>
                              </w:rPr>
                            </w:pPr>
                          </w:p>
                          <w:p>
                            <w:pPr>
                              <w:pStyle w:val="TableParagraph"/>
                              <w:ind w:right="85"/>
                              <w:jc w:val="center"/>
                              <w:rPr>
                                <w:sz w:val="17"/>
                              </w:rPr>
                            </w:pPr>
                            <w:r>
                              <w:rPr>
                                <w:spacing w:val="-2"/>
                                <w:sz w:val="17"/>
                              </w:rPr>
                              <w:t>Finalizada</w:t>
                            </w:r>
                          </w:p>
                        </w:tc>
                      </w:tr>
                      <w:tr>
                        <w:trPr>
                          <w:trHeight w:val="771" w:hRule="atLeast"/>
                        </w:trPr>
                        <w:tc>
                          <w:tcPr>
                            <w:tcW w:w="4460" w:type="dxa"/>
                            <w:tcBorders>
                              <w:top w:val="single" w:sz="8" w:space="0" w:color="002D5D"/>
                              <w:bottom w:val="single" w:sz="8" w:space="0" w:color="002D5D"/>
                            </w:tcBorders>
                          </w:tcPr>
                          <w:p>
                            <w:pPr>
                              <w:pStyle w:val="TableParagraph"/>
                              <w:spacing w:line="195" w:lineRule="exact" w:before="1"/>
                              <w:ind w:left="69"/>
                              <w:rPr>
                                <w:sz w:val="17"/>
                              </w:rPr>
                            </w:pPr>
                            <w:r>
                              <w:rPr>
                                <w:sz w:val="17"/>
                              </w:rPr>
                              <w:t>Campañas</w:t>
                            </w:r>
                            <w:r>
                              <w:rPr>
                                <w:spacing w:val="-5"/>
                                <w:sz w:val="17"/>
                              </w:rPr>
                              <w:t> </w:t>
                            </w:r>
                            <w:r>
                              <w:rPr>
                                <w:sz w:val="17"/>
                              </w:rPr>
                              <w:t>informativas</w:t>
                            </w:r>
                            <w:r>
                              <w:rPr>
                                <w:spacing w:val="-4"/>
                                <w:sz w:val="17"/>
                              </w:rPr>
                              <w:t> </w:t>
                            </w:r>
                            <w:r>
                              <w:rPr>
                                <w:sz w:val="17"/>
                              </w:rPr>
                              <w:t>en</w:t>
                            </w:r>
                            <w:r>
                              <w:rPr>
                                <w:spacing w:val="-4"/>
                                <w:sz w:val="17"/>
                              </w:rPr>
                              <w:t> </w:t>
                            </w:r>
                            <w:r>
                              <w:rPr>
                                <w:spacing w:val="-2"/>
                                <w:sz w:val="17"/>
                              </w:rPr>
                              <w:t>centros</w:t>
                            </w:r>
                          </w:p>
                          <w:p>
                            <w:pPr>
                              <w:pStyle w:val="TableParagraph"/>
                              <w:tabs>
                                <w:tab w:pos="2904" w:val="left" w:leader="none"/>
                              </w:tabs>
                              <w:ind w:left="69"/>
                              <w:rPr>
                                <w:position w:val="-9"/>
                                <w:sz w:val="17"/>
                              </w:rPr>
                            </w:pPr>
                            <w:r>
                              <w:rPr>
                                <w:sz w:val="17"/>
                              </w:rPr>
                              <w:t>educativos,</w:t>
                            </w:r>
                            <w:r>
                              <w:rPr>
                                <w:spacing w:val="-6"/>
                                <w:sz w:val="17"/>
                              </w:rPr>
                              <w:t> </w:t>
                            </w:r>
                            <w:r>
                              <w:rPr>
                                <w:sz w:val="17"/>
                              </w:rPr>
                              <w:t>universitarios,</w:t>
                            </w:r>
                            <w:r>
                              <w:rPr>
                                <w:spacing w:val="-3"/>
                                <w:sz w:val="17"/>
                              </w:rPr>
                              <w:t> </w:t>
                            </w:r>
                            <w:r>
                              <w:rPr>
                                <w:sz w:val="17"/>
                              </w:rPr>
                              <w:t>cívicos</w:t>
                            </w:r>
                            <w:r>
                              <w:rPr>
                                <w:spacing w:val="-6"/>
                                <w:sz w:val="17"/>
                              </w:rPr>
                              <w:t> </w:t>
                            </w:r>
                            <w:r>
                              <w:rPr>
                                <w:sz w:val="17"/>
                              </w:rPr>
                              <w:t>y</w:t>
                            </w:r>
                            <w:r>
                              <w:rPr>
                                <w:spacing w:val="-2"/>
                                <w:sz w:val="17"/>
                              </w:rPr>
                              <w:t> </w:t>
                            </w:r>
                            <w:r>
                              <w:rPr>
                                <w:spacing w:val="-5"/>
                                <w:sz w:val="17"/>
                              </w:rPr>
                              <w:t>de</w:t>
                            </w:r>
                            <w:r>
                              <w:rPr>
                                <w:sz w:val="17"/>
                              </w:rPr>
                              <w:tab/>
                            </w:r>
                            <w:r>
                              <w:rPr>
                                <w:position w:val="-9"/>
                                <w:sz w:val="17"/>
                              </w:rPr>
                              <w:t>Información</w:t>
                            </w:r>
                            <w:r>
                              <w:rPr>
                                <w:spacing w:val="-3"/>
                                <w:position w:val="-9"/>
                                <w:sz w:val="17"/>
                              </w:rPr>
                              <w:t> </w:t>
                            </w:r>
                            <w:r>
                              <w:rPr>
                                <w:position w:val="-9"/>
                                <w:sz w:val="17"/>
                              </w:rPr>
                              <w:t>y</w:t>
                            </w:r>
                            <w:r>
                              <w:rPr>
                                <w:spacing w:val="-3"/>
                                <w:position w:val="-9"/>
                                <w:sz w:val="17"/>
                              </w:rPr>
                              <w:t> </w:t>
                            </w:r>
                            <w:r>
                              <w:rPr>
                                <w:spacing w:val="-2"/>
                                <w:position w:val="-9"/>
                                <w:sz w:val="17"/>
                              </w:rPr>
                              <w:t>difusión</w:t>
                            </w:r>
                          </w:p>
                          <w:p>
                            <w:pPr>
                              <w:pStyle w:val="TableParagraph"/>
                              <w:spacing w:line="168" w:lineRule="exact" w:before="93"/>
                              <w:ind w:left="69"/>
                              <w:rPr>
                                <w:sz w:val="17"/>
                              </w:rPr>
                            </w:pPr>
                            <w:r>
                              <w:rPr>
                                <w:spacing w:val="-2"/>
                                <w:sz w:val="17"/>
                              </w:rPr>
                              <w:t>(WhatsApp)</w:t>
                            </w:r>
                          </w:p>
                        </w:tc>
                        <w:tc>
                          <w:tcPr>
                            <w:tcW w:w="1231" w:type="dxa"/>
                            <w:tcBorders>
                              <w:top w:val="single" w:sz="8" w:space="0" w:color="002D5D"/>
                              <w:bottom w:val="single" w:sz="8" w:space="0" w:color="002D5D"/>
                            </w:tcBorders>
                          </w:tcPr>
                          <w:p>
                            <w:pPr>
                              <w:pStyle w:val="TableParagraph"/>
                              <w:spacing w:before="98"/>
                              <w:rPr>
                                <w:sz w:val="17"/>
                              </w:rPr>
                            </w:pPr>
                          </w:p>
                          <w:p>
                            <w:pPr>
                              <w:pStyle w:val="TableParagraph"/>
                              <w:spacing w:before="1"/>
                              <w:ind w:right="135"/>
                              <w:jc w:val="right"/>
                              <w:rPr>
                                <w:sz w:val="17"/>
                              </w:rPr>
                            </w:pPr>
                            <w:r>
                              <w:rPr>
                                <w:spacing w:val="-4"/>
                                <w:sz w:val="17"/>
                              </w:rPr>
                              <w:t>0,00</w:t>
                            </w:r>
                          </w:p>
                        </w:tc>
                        <w:tc>
                          <w:tcPr>
                            <w:tcW w:w="724" w:type="dxa"/>
                            <w:tcBorders>
                              <w:top w:val="single" w:sz="8" w:space="0" w:color="002D5D"/>
                              <w:bottom w:val="single" w:sz="8" w:space="0" w:color="002D5D"/>
                            </w:tcBorders>
                          </w:tcPr>
                          <w:p>
                            <w:pPr>
                              <w:pStyle w:val="TableParagraph"/>
                              <w:spacing w:before="98"/>
                              <w:rPr>
                                <w:sz w:val="17"/>
                              </w:rPr>
                            </w:pPr>
                          </w:p>
                          <w:p>
                            <w:pPr>
                              <w:pStyle w:val="TableParagraph"/>
                              <w:spacing w:before="1"/>
                              <w:ind w:right="158"/>
                              <w:jc w:val="right"/>
                              <w:rPr>
                                <w:sz w:val="17"/>
                              </w:rPr>
                            </w:pPr>
                            <w:r>
                              <w:rPr>
                                <w:spacing w:val="-4"/>
                                <w:sz w:val="17"/>
                              </w:rPr>
                              <w:t>0,00</w:t>
                            </w:r>
                          </w:p>
                        </w:tc>
                        <w:tc>
                          <w:tcPr>
                            <w:tcW w:w="1181" w:type="dxa"/>
                            <w:tcBorders>
                              <w:top w:val="single" w:sz="8" w:space="0" w:color="002D5D"/>
                              <w:bottom w:val="single" w:sz="8" w:space="0" w:color="002D5D"/>
                            </w:tcBorders>
                          </w:tcPr>
                          <w:p>
                            <w:pPr>
                              <w:pStyle w:val="TableParagraph"/>
                              <w:spacing w:before="98"/>
                              <w:rPr>
                                <w:sz w:val="17"/>
                              </w:rPr>
                            </w:pPr>
                          </w:p>
                          <w:p>
                            <w:pPr>
                              <w:pStyle w:val="TableParagraph"/>
                              <w:spacing w:before="1"/>
                              <w:ind w:right="127"/>
                              <w:jc w:val="right"/>
                              <w:rPr>
                                <w:sz w:val="17"/>
                              </w:rPr>
                            </w:pPr>
                            <w:r>
                              <w:rPr>
                                <w:spacing w:val="-4"/>
                                <w:sz w:val="17"/>
                              </w:rPr>
                              <w:t>0,00</w:t>
                            </w:r>
                          </w:p>
                        </w:tc>
                        <w:tc>
                          <w:tcPr>
                            <w:tcW w:w="773" w:type="dxa"/>
                            <w:tcBorders>
                              <w:top w:val="single" w:sz="8" w:space="0" w:color="002D5D"/>
                              <w:bottom w:val="single" w:sz="8" w:space="0" w:color="002D5D"/>
                            </w:tcBorders>
                          </w:tcPr>
                          <w:p>
                            <w:pPr>
                              <w:pStyle w:val="TableParagraph"/>
                              <w:spacing w:before="98"/>
                              <w:rPr>
                                <w:sz w:val="17"/>
                              </w:rPr>
                            </w:pPr>
                          </w:p>
                          <w:p>
                            <w:pPr>
                              <w:pStyle w:val="TableParagraph"/>
                              <w:spacing w:before="1"/>
                              <w:ind w:left="67"/>
                              <w:jc w:val="center"/>
                              <w:rPr>
                                <w:sz w:val="17"/>
                              </w:rPr>
                            </w:pPr>
                            <w:r>
                              <w:rPr>
                                <w:spacing w:val="-4"/>
                                <w:sz w:val="17"/>
                              </w:rPr>
                              <w:t>0,00</w:t>
                            </w:r>
                          </w:p>
                        </w:tc>
                        <w:tc>
                          <w:tcPr>
                            <w:tcW w:w="1058" w:type="dxa"/>
                            <w:tcBorders>
                              <w:top w:val="single" w:sz="8" w:space="0" w:color="002D5D"/>
                              <w:bottom w:val="single" w:sz="8" w:space="0" w:color="002D5D"/>
                            </w:tcBorders>
                          </w:tcPr>
                          <w:p>
                            <w:pPr>
                              <w:pStyle w:val="TableParagraph"/>
                              <w:spacing w:before="98"/>
                              <w:rPr>
                                <w:sz w:val="17"/>
                              </w:rPr>
                            </w:pPr>
                          </w:p>
                          <w:p>
                            <w:pPr>
                              <w:pStyle w:val="TableParagraph"/>
                              <w:spacing w:before="1"/>
                              <w:ind w:right="141"/>
                              <w:jc w:val="right"/>
                              <w:rPr>
                                <w:sz w:val="17"/>
                              </w:rPr>
                            </w:pPr>
                            <w:r>
                              <w:rPr>
                                <w:spacing w:val="-4"/>
                                <w:sz w:val="17"/>
                              </w:rPr>
                              <w:t>0,00</w:t>
                            </w:r>
                          </w:p>
                        </w:tc>
                        <w:tc>
                          <w:tcPr>
                            <w:tcW w:w="725" w:type="dxa"/>
                            <w:tcBorders>
                              <w:top w:val="single" w:sz="8" w:space="0" w:color="002D5D"/>
                              <w:bottom w:val="single" w:sz="8" w:space="0" w:color="002D5D"/>
                            </w:tcBorders>
                          </w:tcPr>
                          <w:p>
                            <w:pPr>
                              <w:pStyle w:val="TableParagraph"/>
                              <w:spacing w:before="98"/>
                              <w:rPr>
                                <w:sz w:val="17"/>
                              </w:rPr>
                            </w:pPr>
                          </w:p>
                          <w:p>
                            <w:pPr>
                              <w:pStyle w:val="TableParagraph"/>
                              <w:spacing w:before="1"/>
                              <w:ind w:right="153"/>
                              <w:jc w:val="right"/>
                              <w:rPr>
                                <w:sz w:val="17"/>
                              </w:rPr>
                            </w:pPr>
                            <w:r>
                              <w:rPr>
                                <w:spacing w:val="-4"/>
                                <w:sz w:val="17"/>
                              </w:rPr>
                              <w:t>0,00</w:t>
                            </w:r>
                          </w:p>
                        </w:tc>
                        <w:tc>
                          <w:tcPr>
                            <w:tcW w:w="1197" w:type="dxa"/>
                            <w:tcBorders>
                              <w:top w:val="single" w:sz="8" w:space="0" w:color="002D5D"/>
                              <w:bottom w:val="single" w:sz="8" w:space="0" w:color="002D5D"/>
                            </w:tcBorders>
                          </w:tcPr>
                          <w:p>
                            <w:pPr>
                              <w:pStyle w:val="TableParagraph"/>
                              <w:spacing w:before="98"/>
                              <w:rPr>
                                <w:sz w:val="17"/>
                              </w:rPr>
                            </w:pPr>
                          </w:p>
                          <w:p>
                            <w:pPr>
                              <w:pStyle w:val="TableParagraph"/>
                              <w:spacing w:before="1"/>
                              <w:ind w:right="85"/>
                              <w:jc w:val="center"/>
                              <w:rPr>
                                <w:sz w:val="17"/>
                              </w:rPr>
                            </w:pPr>
                            <w:r>
                              <w:rPr>
                                <w:spacing w:val="-2"/>
                                <w:sz w:val="17"/>
                              </w:rPr>
                              <w:t>Finalizada</w:t>
                            </w:r>
                          </w:p>
                        </w:tc>
                      </w:tr>
                      <w:tr>
                        <w:trPr>
                          <w:trHeight w:val="352" w:hRule="atLeast"/>
                        </w:trPr>
                        <w:tc>
                          <w:tcPr>
                            <w:tcW w:w="4460" w:type="dxa"/>
                            <w:shd w:val="clear" w:color="auto" w:fill="002D5D"/>
                          </w:tcPr>
                          <w:p>
                            <w:pPr>
                              <w:pStyle w:val="TableParagraph"/>
                              <w:spacing w:before="82"/>
                              <w:ind w:left="69"/>
                              <w:rPr>
                                <w:b/>
                                <w:sz w:val="17"/>
                              </w:rPr>
                            </w:pPr>
                            <w:r>
                              <w:rPr>
                                <w:b/>
                                <w:color w:val="FFFFFF"/>
                                <w:spacing w:val="-2"/>
                                <w:sz w:val="17"/>
                              </w:rPr>
                              <w:t>TOTAL</w:t>
                            </w:r>
                          </w:p>
                        </w:tc>
                        <w:tc>
                          <w:tcPr>
                            <w:tcW w:w="1231" w:type="dxa"/>
                            <w:shd w:val="clear" w:color="auto" w:fill="002D5D"/>
                          </w:tcPr>
                          <w:p>
                            <w:pPr>
                              <w:pStyle w:val="TableParagraph"/>
                              <w:spacing w:before="82"/>
                              <w:ind w:right="136"/>
                              <w:jc w:val="right"/>
                              <w:rPr>
                                <w:b/>
                                <w:sz w:val="17"/>
                              </w:rPr>
                            </w:pPr>
                            <w:r>
                              <w:rPr>
                                <w:b/>
                                <w:color w:val="FFFFFF"/>
                                <w:spacing w:val="-2"/>
                                <w:sz w:val="17"/>
                              </w:rPr>
                              <w:t>12.754.533,27</w:t>
                            </w:r>
                          </w:p>
                        </w:tc>
                        <w:tc>
                          <w:tcPr>
                            <w:tcW w:w="724" w:type="dxa"/>
                            <w:shd w:val="clear" w:color="auto" w:fill="002D5D"/>
                          </w:tcPr>
                          <w:p>
                            <w:pPr>
                              <w:pStyle w:val="TableParagraph"/>
                              <w:spacing w:before="82"/>
                              <w:ind w:right="158"/>
                              <w:jc w:val="right"/>
                              <w:rPr>
                                <w:b/>
                                <w:sz w:val="17"/>
                              </w:rPr>
                            </w:pPr>
                            <w:r>
                              <w:rPr>
                                <w:b/>
                                <w:color w:val="FFFFFF"/>
                                <w:spacing w:val="-2"/>
                                <w:sz w:val="17"/>
                              </w:rPr>
                              <w:t>100,00</w:t>
                            </w:r>
                          </w:p>
                        </w:tc>
                        <w:tc>
                          <w:tcPr>
                            <w:tcW w:w="1181" w:type="dxa"/>
                            <w:shd w:val="clear" w:color="auto" w:fill="002D5D"/>
                          </w:tcPr>
                          <w:p>
                            <w:pPr>
                              <w:pStyle w:val="TableParagraph"/>
                              <w:spacing w:before="82"/>
                              <w:ind w:right="127"/>
                              <w:jc w:val="right"/>
                              <w:rPr>
                                <w:b/>
                                <w:sz w:val="17"/>
                              </w:rPr>
                            </w:pPr>
                            <w:r>
                              <w:rPr>
                                <w:b/>
                                <w:color w:val="FFFFFF"/>
                                <w:spacing w:val="-2"/>
                                <w:sz w:val="17"/>
                              </w:rPr>
                              <w:t>12.611.954,20</w:t>
                            </w:r>
                          </w:p>
                        </w:tc>
                        <w:tc>
                          <w:tcPr>
                            <w:tcW w:w="773" w:type="dxa"/>
                            <w:shd w:val="clear" w:color="auto" w:fill="002D5D"/>
                          </w:tcPr>
                          <w:p>
                            <w:pPr>
                              <w:pStyle w:val="TableParagraph"/>
                              <w:rPr>
                                <w:rFonts w:ascii="Times New Roman"/>
                                <w:sz w:val="16"/>
                              </w:rPr>
                            </w:pPr>
                          </w:p>
                        </w:tc>
                        <w:tc>
                          <w:tcPr>
                            <w:tcW w:w="1058" w:type="dxa"/>
                            <w:shd w:val="clear" w:color="auto" w:fill="002D5D"/>
                          </w:tcPr>
                          <w:p>
                            <w:pPr>
                              <w:pStyle w:val="TableParagraph"/>
                              <w:spacing w:before="82"/>
                              <w:ind w:right="141"/>
                              <w:jc w:val="right"/>
                              <w:rPr>
                                <w:b/>
                                <w:sz w:val="17"/>
                              </w:rPr>
                            </w:pPr>
                            <w:r>
                              <w:rPr>
                                <w:b/>
                                <w:color w:val="FFFFFF"/>
                                <w:spacing w:val="-2"/>
                                <w:sz w:val="17"/>
                              </w:rPr>
                              <w:t>142.579,07</w:t>
                            </w:r>
                          </w:p>
                        </w:tc>
                        <w:tc>
                          <w:tcPr>
                            <w:tcW w:w="725" w:type="dxa"/>
                            <w:shd w:val="clear" w:color="auto" w:fill="002D5D"/>
                          </w:tcPr>
                          <w:p>
                            <w:pPr>
                              <w:pStyle w:val="TableParagraph"/>
                              <w:rPr>
                                <w:rFonts w:ascii="Times New Roman"/>
                                <w:sz w:val="16"/>
                              </w:rPr>
                            </w:pPr>
                          </w:p>
                        </w:tc>
                        <w:tc>
                          <w:tcPr>
                            <w:tcW w:w="1197" w:type="dxa"/>
                            <w:shd w:val="clear" w:color="auto" w:fill="002D5D"/>
                          </w:tcPr>
                          <w:p>
                            <w:pPr>
                              <w:pStyle w:val="TableParagraph"/>
                              <w:rPr>
                                <w:rFonts w:ascii="Times New Roman"/>
                                <w:sz w:val="16"/>
                              </w:rPr>
                            </w:pPr>
                          </w:p>
                        </w:tc>
                      </w:tr>
                    </w:tbl>
                    <w:p>
                      <w:pPr>
                        <w:pStyle w:val="BodyText"/>
                      </w:pPr>
                    </w:p>
                  </w:txbxContent>
                </v:textbox>
                <w10:wrap type="none"/>
              </v:shape>
            </w:pict>
          </mc:Fallback>
        </mc:AlternateContent>
      </w:r>
      <w:r>
        <w:rPr>
          <w:rFonts w:ascii="Arial Narrow" w:hAnsi="Arial Narrow"/>
          <w:sz w:val="17"/>
        </w:rPr>
        <w:t>Úbeda</w:t>
      </w:r>
      <w:r>
        <w:rPr>
          <w:rFonts w:ascii="Arial Narrow" w:hAnsi="Arial Narrow"/>
          <w:spacing w:val="-3"/>
          <w:sz w:val="17"/>
        </w:rPr>
        <w:t> </w:t>
      </w:r>
      <w:r>
        <w:rPr>
          <w:rFonts w:ascii="Arial Narrow" w:hAnsi="Arial Narrow"/>
          <w:sz w:val="17"/>
        </w:rPr>
        <w:t>y</w:t>
      </w:r>
      <w:r>
        <w:rPr>
          <w:rFonts w:ascii="Arial Narrow" w:hAnsi="Arial Narrow"/>
          <w:spacing w:val="-1"/>
          <w:sz w:val="17"/>
        </w:rPr>
        <w:t> </w:t>
      </w:r>
      <w:r>
        <w:rPr>
          <w:rFonts w:ascii="Arial Narrow" w:hAnsi="Arial Narrow"/>
          <w:sz w:val="17"/>
        </w:rPr>
        <w:t>c/</w:t>
      </w:r>
      <w:r>
        <w:rPr>
          <w:rFonts w:ascii="Arial Narrow" w:hAnsi="Arial Narrow"/>
          <w:spacing w:val="-2"/>
          <w:sz w:val="17"/>
        </w:rPr>
        <w:t> Cartago</w:t>
      </w:r>
    </w:p>
    <w:p>
      <w:pPr>
        <w:pStyle w:val="BodyText"/>
        <w:spacing w:before="94"/>
        <w:rPr>
          <w:rFonts w:ascii="Arial Narrow"/>
          <w:sz w:val="17"/>
        </w:rPr>
      </w:pPr>
    </w:p>
    <w:p>
      <w:pPr>
        <w:tabs>
          <w:tab w:pos="3044" w:val="left" w:leader="none"/>
        </w:tabs>
        <w:spacing w:before="0"/>
        <w:ind w:left="209" w:right="0" w:firstLine="0"/>
        <w:jc w:val="left"/>
        <w:rPr>
          <w:rFonts w:ascii="Arial Narrow" w:hAnsi="Arial Narrow"/>
          <w:sz w:val="17"/>
        </w:rPr>
      </w:pPr>
      <w:r>
        <w:rPr>
          <w:rFonts w:ascii="Arial Narrow" w:hAnsi="Arial Narrow"/>
          <w:sz w:val="17"/>
        </w:rPr>
        <w:t>en</w:t>
      </w:r>
      <w:r>
        <w:rPr>
          <w:rFonts w:ascii="Arial Narrow" w:hAnsi="Arial Narrow"/>
          <w:spacing w:val="-4"/>
          <w:sz w:val="17"/>
        </w:rPr>
        <w:t> </w:t>
      </w:r>
      <w:r>
        <w:rPr>
          <w:rFonts w:ascii="Arial Narrow" w:hAnsi="Arial Narrow"/>
          <w:sz w:val="17"/>
        </w:rPr>
        <w:t>barriadas</w:t>
      </w:r>
      <w:r>
        <w:rPr>
          <w:rFonts w:ascii="Arial Narrow" w:hAnsi="Arial Narrow"/>
          <w:spacing w:val="-3"/>
          <w:sz w:val="17"/>
        </w:rPr>
        <w:t> </w:t>
      </w:r>
      <w:r>
        <w:rPr>
          <w:rFonts w:ascii="Arial Narrow" w:hAnsi="Arial Narrow"/>
          <w:spacing w:val="-2"/>
          <w:sz w:val="17"/>
        </w:rPr>
        <w:t>periféricas</w:t>
      </w:r>
      <w:r>
        <w:rPr>
          <w:rFonts w:ascii="Arial Narrow" w:hAnsi="Arial Narrow"/>
          <w:sz w:val="17"/>
        </w:rPr>
        <w:tab/>
        <w:t>vía</w:t>
      </w:r>
      <w:r>
        <w:rPr>
          <w:rFonts w:ascii="Arial Narrow" w:hAnsi="Arial Narrow"/>
          <w:spacing w:val="-4"/>
          <w:sz w:val="17"/>
        </w:rPr>
        <w:t> </w:t>
      </w:r>
      <w:r>
        <w:rPr>
          <w:rFonts w:ascii="Arial Narrow" w:hAnsi="Arial Narrow"/>
          <w:spacing w:val="-2"/>
          <w:sz w:val="17"/>
        </w:rPr>
        <w:t>pública</w:t>
      </w:r>
    </w:p>
    <w:p>
      <w:pPr>
        <w:pStyle w:val="BodyText"/>
        <w:rPr>
          <w:rFonts w:ascii="Arial Narrow"/>
          <w:sz w:val="17"/>
        </w:rPr>
      </w:pPr>
    </w:p>
    <w:p>
      <w:pPr>
        <w:pStyle w:val="BodyText"/>
        <w:spacing w:before="17"/>
        <w:rPr>
          <w:rFonts w:ascii="Arial Narrow"/>
          <w:sz w:val="17"/>
        </w:rPr>
      </w:pPr>
    </w:p>
    <w:p>
      <w:pPr>
        <w:spacing w:before="0"/>
        <w:ind w:left="209" w:right="0" w:firstLine="0"/>
        <w:jc w:val="left"/>
        <w:rPr>
          <w:rFonts w:ascii="Arial Narrow" w:hAnsi="Arial Narrow"/>
          <w:sz w:val="17"/>
        </w:rPr>
      </w:pPr>
      <w:r>
        <w:rPr>
          <w:rFonts w:ascii="Arial Narrow" w:hAnsi="Arial Narrow"/>
          <w:sz w:val="17"/>
        </w:rPr>
        <w:t>explotación</w:t>
      </w:r>
      <w:r>
        <w:rPr>
          <w:rFonts w:ascii="Arial Narrow" w:hAnsi="Arial Narrow"/>
          <w:spacing w:val="-4"/>
          <w:sz w:val="17"/>
        </w:rPr>
        <w:t> </w:t>
      </w:r>
      <w:r>
        <w:rPr>
          <w:rFonts w:ascii="Arial Narrow" w:hAnsi="Arial Narrow"/>
          <w:sz w:val="17"/>
        </w:rPr>
        <w:t>y</w:t>
      </w:r>
      <w:r>
        <w:rPr>
          <w:rFonts w:ascii="Arial Narrow" w:hAnsi="Arial Narrow"/>
          <w:spacing w:val="-4"/>
          <w:sz w:val="17"/>
        </w:rPr>
        <w:t> </w:t>
      </w:r>
      <w:r>
        <w:rPr>
          <w:rFonts w:ascii="Arial Narrow" w:hAnsi="Arial Narrow"/>
          <w:spacing w:val="-2"/>
          <w:sz w:val="17"/>
        </w:rPr>
        <w:t>ticketing</w:t>
      </w: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spacing w:before="57"/>
        <w:rPr>
          <w:rFonts w:ascii="Arial Narrow"/>
          <w:sz w:val="17"/>
        </w:rPr>
      </w:pPr>
    </w:p>
    <w:p>
      <w:pPr>
        <w:spacing w:before="0"/>
        <w:ind w:left="209" w:right="0" w:firstLine="0"/>
        <w:jc w:val="left"/>
        <w:rPr>
          <w:rFonts w:ascii="Arial Narrow" w:hAnsi="Arial Narrow"/>
          <w:sz w:val="17"/>
        </w:rPr>
      </w:pPr>
      <w:r>
        <w:rPr>
          <w:rFonts w:ascii="Arial Narrow" w:hAnsi="Arial Narrow"/>
          <w:spacing w:val="-2"/>
          <w:sz w:val="17"/>
        </w:rPr>
        <w:t>electrónico</w:t>
      </w: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spacing w:before="178"/>
        <w:rPr>
          <w:rFonts w:ascii="Arial Narrow"/>
          <w:sz w:val="17"/>
        </w:rPr>
      </w:pPr>
    </w:p>
    <w:p>
      <w:pPr>
        <w:spacing w:before="0"/>
        <w:ind w:left="209" w:right="0" w:firstLine="0"/>
        <w:jc w:val="left"/>
        <w:rPr>
          <w:rFonts w:ascii="Arial Narrow"/>
          <w:sz w:val="17"/>
        </w:rPr>
      </w:pPr>
      <w:r>
        <w:rPr>
          <w:rFonts w:ascii="Arial Narrow"/>
          <w:sz w:val="17"/>
        </w:rPr>
        <w:t>sobre</w:t>
      </w:r>
      <w:r>
        <w:rPr>
          <w:rFonts w:ascii="Arial Narrow"/>
          <w:spacing w:val="-4"/>
          <w:sz w:val="17"/>
        </w:rPr>
        <w:t> </w:t>
      </w:r>
      <w:r>
        <w:rPr>
          <w:rFonts w:ascii="Arial Narrow"/>
          <w:sz w:val="17"/>
        </w:rPr>
        <w:t>recargas</w:t>
      </w:r>
      <w:r>
        <w:rPr>
          <w:rFonts w:ascii="Arial Narrow"/>
          <w:spacing w:val="-2"/>
          <w:sz w:val="17"/>
        </w:rPr>
        <w:t> online</w:t>
      </w: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spacing w:before="99"/>
        <w:rPr>
          <w:rFonts w:ascii="Arial Narrow"/>
          <w:sz w:val="17"/>
        </w:rPr>
      </w:pPr>
    </w:p>
    <w:p>
      <w:pPr>
        <w:spacing w:before="0"/>
        <w:ind w:left="209" w:right="0" w:firstLine="0"/>
        <w:jc w:val="left"/>
        <w:rPr>
          <w:rFonts w:ascii="Arial Narrow" w:hAnsi="Arial Narrow"/>
          <w:sz w:val="17"/>
        </w:rPr>
      </w:pPr>
      <w:r>
        <w:rPr>
          <w:rFonts w:ascii="Arial Narrow" w:hAnsi="Arial Narrow"/>
          <w:sz w:val="17"/>
        </w:rPr>
        <w:t>mayores;</w:t>
      </w:r>
      <w:r>
        <w:rPr>
          <w:rFonts w:ascii="Arial Narrow" w:hAnsi="Arial Narrow"/>
          <w:spacing w:val="-4"/>
          <w:sz w:val="17"/>
        </w:rPr>
        <w:t> </w:t>
      </w:r>
      <w:r>
        <w:rPr>
          <w:rFonts w:ascii="Arial Narrow" w:hAnsi="Arial Narrow"/>
          <w:sz w:val="17"/>
        </w:rPr>
        <w:t>nuevos</w:t>
      </w:r>
      <w:r>
        <w:rPr>
          <w:rFonts w:ascii="Arial Narrow" w:hAnsi="Arial Narrow"/>
          <w:spacing w:val="-1"/>
          <w:sz w:val="17"/>
        </w:rPr>
        <w:t> </w:t>
      </w:r>
      <w:r>
        <w:rPr>
          <w:rFonts w:ascii="Arial Narrow" w:hAnsi="Arial Narrow"/>
          <w:sz w:val="17"/>
        </w:rPr>
        <w:t>canales</w:t>
      </w:r>
      <w:r>
        <w:rPr>
          <w:rFonts w:ascii="Arial Narrow" w:hAnsi="Arial Narrow"/>
          <w:spacing w:val="-3"/>
          <w:sz w:val="17"/>
        </w:rPr>
        <w:t> </w:t>
      </w:r>
      <w:r>
        <w:rPr>
          <w:rFonts w:ascii="Arial Narrow" w:hAnsi="Arial Narrow"/>
          <w:sz w:val="17"/>
        </w:rPr>
        <w:t>de</w:t>
      </w:r>
      <w:r>
        <w:rPr>
          <w:rFonts w:ascii="Arial Narrow" w:hAnsi="Arial Narrow"/>
          <w:spacing w:val="-3"/>
          <w:sz w:val="17"/>
        </w:rPr>
        <w:t> </w:t>
      </w:r>
      <w:r>
        <w:rPr>
          <w:rFonts w:ascii="Arial Narrow" w:hAnsi="Arial Narrow"/>
          <w:spacing w:val="-2"/>
          <w:sz w:val="17"/>
        </w:rPr>
        <w:t>difusión</w:t>
      </w:r>
    </w:p>
    <w:p>
      <w:pPr>
        <w:pStyle w:val="BodyText"/>
        <w:rPr>
          <w:rFonts w:ascii="Arial Narrow"/>
          <w:sz w:val="17"/>
        </w:rPr>
      </w:pPr>
    </w:p>
    <w:p>
      <w:pPr>
        <w:pStyle w:val="BodyText"/>
        <w:spacing w:before="193"/>
        <w:rPr>
          <w:rFonts w:ascii="Arial Narrow"/>
          <w:sz w:val="17"/>
        </w:rPr>
      </w:pPr>
    </w:p>
    <w:p>
      <w:pPr>
        <w:spacing w:before="0"/>
        <w:ind w:left="209"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2"/>
          <w:sz w:val="18"/>
        </w:rPr>
        <w:t> </w:t>
      </w:r>
      <w:r>
        <w:rPr>
          <w:rFonts w:ascii="Arial Narrow" w:hAnsi="Arial Narrow"/>
          <w:sz w:val="18"/>
        </w:rPr>
        <w:t>a</w:t>
      </w:r>
      <w:r>
        <w:rPr>
          <w:rFonts w:ascii="Arial Narrow" w:hAnsi="Arial Narrow"/>
          <w:spacing w:val="-3"/>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2"/>
          <w:sz w:val="18"/>
        </w:rPr>
        <w:t> </w:t>
      </w:r>
      <w:r>
        <w:rPr>
          <w:rFonts w:ascii="Arial Narrow" w:hAnsi="Arial Narrow"/>
          <w:sz w:val="18"/>
        </w:rPr>
        <w:t>los</w:t>
      </w:r>
      <w:r>
        <w:rPr>
          <w:rFonts w:ascii="Arial Narrow" w:hAnsi="Arial Narrow"/>
          <w:spacing w:val="-3"/>
          <w:sz w:val="18"/>
        </w:rPr>
        <w:t> </w:t>
      </w:r>
      <w:r>
        <w:rPr>
          <w:rFonts w:ascii="Arial Narrow" w:hAnsi="Arial Narrow"/>
          <w:sz w:val="18"/>
        </w:rPr>
        <w:t>datos</w:t>
      </w:r>
      <w:r>
        <w:rPr>
          <w:rFonts w:ascii="Arial Narrow" w:hAnsi="Arial Narrow"/>
          <w:spacing w:val="-2"/>
          <w:sz w:val="18"/>
        </w:rPr>
        <w:t> </w:t>
      </w:r>
      <w:r>
        <w:rPr>
          <w:rFonts w:ascii="Arial Narrow" w:hAnsi="Arial Narrow"/>
          <w:sz w:val="18"/>
        </w:rPr>
        <w:t>facilitados</w:t>
      </w:r>
      <w:r>
        <w:rPr>
          <w:rFonts w:ascii="Arial Narrow" w:hAnsi="Arial Narrow"/>
          <w:spacing w:val="-2"/>
          <w:sz w:val="18"/>
        </w:rPr>
        <w:t> </w:t>
      </w:r>
      <w:r>
        <w:rPr>
          <w:rFonts w:ascii="Arial Narrow" w:hAnsi="Arial Narrow"/>
          <w:sz w:val="18"/>
        </w:rPr>
        <w:t>por</w:t>
      </w:r>
      <w:r>
        <w:rPr>
          <w:rFonts w:ascii="Arial Narrow" w:hAnsi="Arial Narrow"/>
          <w:spacing w:val="-2"/>
          <w:sz w:val="18"/>
        </w:rPr>
        <w:t> </w:t>
      </w:r>
      <w:r>
        <w:rPr>
          <w:rFonts w:ascii="Arial Narrow" w:hAnsi="Arial Narrow"/>
          <w:sz w:val="18"/>
        </w:rPr>
        <w:t>el</w:t>
      </w:r>
      <w:r>
        <w:rPr>
          <w:rFonts w:ascii="Arial Narrow" w:hAnsi="Arial Narrow"/>
          <w:spacing w:val="-1"/>
          <w:sz w:val="18"/>
        </w:rPr>
        <w:t> </w:t>
      </w:r>
      <w:r>
        <w:rPr>
          <w:rFonts w:ascii="Arial Narrow" w:hAnsi="Arial Narrow"/>
          <w:sz w:val="18"/>
        </w:rPr>
        <w:t>Ayuntamiento</w:t>
      </w:r>
      <w:r>
        <w:rPr>
          <w:rFonts w:ascii="Arial Narrow" w:hAnsi="Arial Narrow"/>
          <w:spacing w:val="-3"/>
          <w:sz w:val="18"/>
        </w:rPr>
        <w:t> </w:t>
      </w:r>
      <w:r>
        <w:rPr>
          <w:rFonts w:ascii="Arial Narrow" w:hAnsi="Arial Narrow"/>
          <w:sz w:val="18"/>
        </w:rPr>
        <w:t>de</w:t>
      </w:r>
      <w:r>
        <w:rPr>
          <w:rFonts w:ascii="Arial Narrow" w:hAnsi="Arial Narrow"/>
          <w:spacing w:val="-2"/>
          <w:sz w:val="18"/>
        </w:rPr>
        <w:t> Córdoba</w:t>
      </w:r>
    </w:p>
    <w:p>
      <w:pPr>
        <w:spacing w:before="48"/>
        <w:ind w:left="209" w:right="0" w:firstLine="0"/>
        <w:jc w:val="left"/>
        <w:rPr>
          <w:rFonts w:ascii="Arial Narrow"/>
          <w:sz w:val="18"/>
        </w:rPr>
      </w:pPr>
      <w:r>
        <w:rPr>
          <w:rFonts w:ascii="Arial Narrow"/>
          <w:position w:val="5"/>
          <w:sz w:val="12"/>
        </w:rPr>
        <w:t>(*)</w:t>
      </w:r>
      <w:r>
        <w:rPr>
          <w:rFonts w:ascii="Arial Narrow"/>
          <w:spacing w:val="-3"/>
          <w:position w:val="5"/>
          <w:sz w:val="12"/>
        </w:rPr>
        <w:t> </w:t>
      </w:r>
      <w:r>
        <w:rPr>
          <w:rFonts w:ascii="Arial Narrow"/>
          <w:sz w:val="18"/>
        </w:rPr>
        <w:t>Porcentaje</w:t>
      </w:r>
      <w:r>
        <w:rPr>
          <w:rFonts w:ascii="Arial Narrow"/>
          <w:spacing w:val="-2"/>
          <w:sz w:val="18"/>
        </w:rPr>
        <w:t> </w:t>
      </w:r>
      <w:r>
        <w:rPr>
          <w:rFonts w:ascii="Arial Narrow"/>
          <w:sz w:val="18"/>
        </w:rPr>
        <w:t>sobre</w:t>
      </w:r>
      <w:r>
        <w:rPr>
          <w:rFonts w:ascii="Arial Narrow"/>
          <w:spacing w:val="-2"/>
          <w:sz w:val="18"/>
        </w:rPr>
        <w:t> </w:t>
      </w:r>
      <w:r>
        <w:rPr>
          <w:rFonts w:ascii="Arial Narrow"/>
          <w:sz w:val="18"/>
        </w:rPr>
        <w:t>el</w:t>
      </w:r>
      <w:r>
        <w:rPr>
          <w:rFonts w:ascii="Arial Narrow"/>
          <w:spacing w:val="-2"/>
          <w:sz w:val="18"/>
        </w:rPr>
        <w:t> </w:t>
      </w:r>
      <w:r>
        <w:rPr>
          <w:rFonts w:ascii="Arial Narrow"/>
          <w:sz w:val="18"/>
        </w:rPr>
        <w:t>importe</w:t>
      </w:r>
      <w:r>
        <w:rPr>
          <w:rFonts w:ascii="Arial Narrow"/>
          <w:spacing w:val="-2"/>
          <w:sz w:val="18"/>
        </w:rPr>
        <w:t> </w:t>
      </w:r>
      <w:r>
        <w:rPr>
          <w:rFonts w:ascii="Arial Narrow"/>
          <w:sz w:val="18"/>
        </w:rPr>
        <w:t>de</w:t>
      </w:r>
      <w:r>
        <w:rPr>
          <w:rFonts w:ascii="Arial Narrow"/>
          <w:spacing w:val="-2"/>
          <w:sz w:val="18"/>
        </w:rPr>
        <w:t> </w:t>
      </w:r>
      <w:r>
        <w:rPr>
          <w:rFonts w:ascii="Arial Narrow"/>
          <w:sz w:val="18"/>
        </w:rPr>
        <w:t>todas</w:t>
      </w:r>
      <w:r>
        <w:rPr>
          <w:rFonts w:ascii="Arial Narrow"/>
          <w:spacing w:val="-2"/>
          <w:sz w:val="18"/>
        </w:rPr>
        <w:t> </w:t>
      </w:r>
      <w:r>
        <w:rPr>
          <w:rFonts w:ascii="Arial Narrow"/>
          <w:sz w:val="18"/>
        </w:rPr>
        <w:t>las</w:t>
      </w:r>
      <w:r>
        <w:rPr>
          <w:rFonts w:ascii="Arial Narrow"/>
          <w:spacing w:val="-1"/>
          <w:sz w:val="18"/>
        </w:rPr>
        <w:t> </w:t>
      </w:r>
      <w:r>
        <w:rPr>
          <w:rFonts w:ascii="Arial Narrow"/>
          <w:spacing w:val="-2"/>
          <w:sz w:val="18"/>
        </w:rPr>
        <w:t>actuaciones</w:t>
      </w:r>
    </w:p>
    <w:p>
      <w:pPr>
        <w:spacing w:before="48"/>
        <w:ind w:left="209" w:right="0" w:firstLine="0"/>
        <w:jc w:val="left"/>
        <w:rPr>
          <w:rFonts w:ascii="Arial Narrow" w:hAnsi="Arial Narrow"/>
          <w:sz w:val="18"/>
        </w:rPr>
      </w:pPr>
      <w:r>
        <w:rPr>
          <w:rFonts w:ascii="Arial Narrow" w:hAnsi="Arial Narrow"/>
          <w:position w:val="5"/>
          <w:sz w:val="12"/>
        </w:rPr>
        <w:t>(**)</w:t>
      </w:r>
      <w:r>
        <w:rPr>
          <w:rFonts w:ascii="Arial Narrow" w:hAnsi="Arial Narrow"/>
          <w:spacing w:val="-1"/>
          <w:position w:val="5"/>
          <w:sz w:val="12"/>
        </w:rPr>
        <w:t> </w:t>
      </w:r>
      <w:r>
        <w:rPr>
          <w:rFonts w:ascii="Arial Narrow" w:hAnsi="Arial Narrow"/>
          <w:sz w:val="18"/>
        </w:rPr>
        <w:t>Porcentaje</w:t>
      </w:r>
      <w:r>
        <w:rPr>
          <w:rFonts w:ascii="Arial Narrow" w:hAnsi="Arial Narrow"/>
          <w:spacing w:val="-2"/>
          <w:sz w:val="18"/>
        </w:rPr>
        <w:t> </w:t>
      </w:r>
      <w:r>
        <w:rPr>
          <w:rFonts w:ascii="Arial Narrow" w:hAnsi="Arial Narrow"/>
          <w:sz w:val="18"/>
        </w:rPr>
        <w:t>sobre</w:t>
      </w:r>
      <w:r>
        <w:rPr>
          <w:rFonts w:ascii="Arial Narrow" w:hAnsi="Arial Narrow"/>
          <w:spacing w:val="-2"/>
          <w:sz w:val="18"/>
        </w:rPr>
        <w:t> </w:t>
      </w:r>
      <w:r>
        <w:rPr>
          <w:rFonts w:ascii="Arial Narrow" w:hAnsi="Arial Narrow"/>
          <w:sz w:val="18"/>
        </w:rPr>
        <w:t>el</w:t>
      </w:r>
      <w:r>
        <w:rPr>
          <w:rFonts w:ascii="Arial Narrow" w:hAnsi="Arial Narrow"/>
          <w:spacing w:val="-2"/>
          <w:sz w:val="18"/>
        </w:rPr>
        <w:t> </w:t>
      </w:r>
      <w:r>
        <w:rPr>
          <w:rFonts w:ascii="Arial Narrow" w:hAnsi="Arial Narrow"/>
          <w:sz w:val="18"/>
        </w:rPr>
        <w:t>importe</w:t>
      </w:r>
      <w:r>
        <w:rPr>
          <w:rFonts w:ascii="Arial Narrow" w:hAnsi="Arial Narrow"/>
          <w:spacing w:val="-2"/>
          <w:sz w:val="18"/>
        </w:rPr>
        <w:t> </w:t>
      </w:r>
      <w:r>
        <w:rPr>
          <w:rFonts w:ascii="Arial Narrow" w:hAnsi="Arial Narrow"/>
          <w:sz w:val="18"/>
        </w:rPr>
        <w:t>de</w:t>
      </w:r>
      <w:r>
        <w:rPr>
          <w:rFonts w:ascii="Arial Narrow" w:hAnsi="Arial Narrow"/>
          <w:spacing w:val="-2"/>
          <w:sz w:val="18"/>
        </w:rPr>
        <w:t> </w:t>
      </w:r>
      <w:r>
        <w:rPr>
          <w:rFonts w:ascii="Arial Narrow" w:hAnsi="Arial Narrow"/>
          <w:sz w:val="18"/>
        </w:rPr>
        <w:t>cada</w:t>
      </w:r>
      <w:r>
        <w:rPr>
          <w:rFonts w:ascii="Arial Narrow" w:hAnsi="Arial Narrow"/>
          <w:spacing w:val="-1"/>
          <w:sz w:val="18"/>
        </w:rPr>
        <w:t> </w:t>
      </w:r>
      <w:r>
        <w:rPr>
          <w:rFonts w:ascii="Arial Narrow" w:hAnsi="Arial Narrow"/>
          <w:spacing w:val="-2"/>
          <w:sz w:val="18"/>
        </w:rPr>
        <w:t>actuación</w:t>
      </w:r>
    </w:p>
    <w:p>
      <w:pPr>
        <w:spacing w:after="0"/>
        <w:jc w:val="left"/>
        <w:rPr>
          <w:rFonts w:ascii="Arial Narrow" w:hAnsi="Arial Narrow"/>
          <w:sz w:val="18"/>
        </w:rPr>
        <w:sectPr>
          <w:headerReference w:type="default" r:id="rId109"/>
          <w:headerReference w:type="even" r:id="rId110"/>
          <w:footerReference w:type="default" r:id="rId111"/>
          <w:footerReference w:type="even" r:id="rId112"/>
          <w:pgSz w:w="11910" w:h="16840"/>
          <w:pgMar w:header="1270" w:footer="661" w:top="2800" w:bottom="860" w:left="141" w:right="141"/>
          <w:pgNumType w:start="121"/>
        </w:sectPr>
      </w:pPr>
    </w:p>
    <w:p>
      <w:pPr>
        <w:pStyle w:val="BodyText"/>
        <w:spacing w:before="125"/>
        <w:rPr>
          <w:rFonts w:ascii="Arial Narrow"/>
        </w:rPr>
      </w:pPr>
    </w:p>
    <w:p>
      <w:pPr>
        <w:pStyle w:val="Heading4"/>
        <w:ind w:left="5303" w:right="1279" w:hanging="3863"/>
        <w:jc w:val="left"/>
      </w:pPr>
      <w:bookmarkStart w:name="_bookmark142" w:id="144"/>
      <w:bookmarkEnd w:id="144"/>
      <w:r>
        <w:rPr>
          <w:b w:val="0"/>
        </w:rPr>
      </w:r>
      <w:bookmarkStart w:name="_bookmark143" w:id="145"/>
      <w:bookmarkEnd w:id="145"/>
      <w:r>
        <w:rPr>
          <w:b w:val="0"/>
        </w:rPr>
      </w:r>
      <w:r>
        <w:rPr/>
        <w:t>ACTUACIONES</w:t>
      </w:r>
      <w:r>
        <w:rPr>
          <w:spacing w:val="-3"/>
        </w:rPr>
        <w:t> </w:t>
      </w:r>
      <w:r>
        <w:rPr/>
        <w:t>REALIZADAS</w:t>
      </w:r>
      <w:r>
        <w:rPr>
          <w:spacing w:val="-6"/>
        </w:rPr>
        <w:t> </w:t>
      </w:r>
      <w:r>
        <w:rPr/>
        <w:t>POR</w:t>
      </w:r>
      <w:r>
        <w:rPr>
          <w:spacing w:val="-6"/>
        </w:rPr>
        <w:t> </w:t>
      </w:r>
      <w:r>
        <w:rPr/>
        <w:t>EL</w:t>
      </w:r>
      <w:r>
        <w:rPr>
          <w:spacing w:val="-5"/>
        </w:rPr>
        <w:t> </w:t>
      </w:r>
      <w:r>
        <w:rPr/>
        <w:t>AYUNTAMIENTO</w:t>
      </w:r>
      <w:r>
        <w:rPr>
          <w:spacing w:val="-4"/>
        </w:rPr>
        <w:t> </w:t>
      </w:r>
      <w:r>
        <w:rPr/>
        <w:t>DE</w:t>
      </w:r>
      <w:r>
        <w:rPr>
          <w:spacing w:val="-3"/>
        </w:rPr>
        <w:t> </w:t>
      </w:r>
      <w:r>
        <w:rPr/>
        <w:t>LAS</w:t>
      </w:r>
      <w:r>
        <w:rPr>
          <w:spacing w:val="-3"/>
        </w:rPr>
        <w:t> </w:t>
      </w:r>
      <w:r>
        <w:rPr/>
        <w:t>PALMAS</w:t>
      </w:r>
      <w:r>
        <w:rPr>
          <w:spacing w:val="-6"/>
        </w:rPr>
        <w:t> </w:t>
      </w:r>
      <w:r>
        <w:rPr/>
        <w:t>DE</w:t>
      </w:r>
      <w:r>
        <w:rPr>
          <w:spacing w:val="-5"/>
        </w:rPr>
        <w:t> </w:t>
      </w:r>
      <w:r>
        <w:rPr/>
        <w:t>GRAN </w:t>
      </w:r>
      <w:r>
        <w:rPr>
          <w:spacing w:val="-2"/>
        </w:rPr>
        <w:t>CANARIA</w:t>
      </w:r>
    </w:p>
    <w:p>
      <w:pPr>
        <w:pStyle w:val="BodyText"/>
        <w:spacing w:before="6"/>
        <w:rPr>
          <w:b/>
          <w:sz w:val="20"/>
        </w:rPr>
      </w:pPr>
    </w:p>
    <w:tbl>
      <w:tblPr>
        <w:tblW w:w="0" w:type="auto"/>
        <w:jc w:val="left"/>
        <w:tblInd w:w="5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07"/>
        <w:gridCol w:w="1610"/>
        <w:gridCol w:w="1293"/>
        <w:gridCol w:w="694"/>
        <w:gridCol w:w="1416"/>
        <w:gridCol w:w="605"/>
        <w:gridCol w:w="1113"/>
        <w:gridCol w:w="523"/>
        <w:gridCol w:w="984"/>
      </w:tblGrid>
      <w:tr>
        <w:trPr>
          <w:trHeight w:val="579" w:hRule="atLeast"/>
        </w:trPr>
        <w:tc>
          <w:tcPr>
            <w:tcW w:w="2407" w:type="dxa"/>
            <w:shd w:val="clear" w:color="auto" w:fill="002D5D"/>
          </w:tcPr>
          <w:p>
            <w:pPr>
              <w:pStyle w:val="TableParagraph"/>
              <w:rPr>
                <w:rFonts w:ascii="Times New Roman"/>
                <w:sz w:val="16"/>
              </w:rPr>
            </w:pPr>
          </w:p>
        </w:tc>
        <w:tc>
          <w:tcPr>
            <w:tcW w:w="1610" w:type="dxa"/>
            <w:shd w:val="clear" w:color="auto" w:fill="002D5D"/>
          </w:tcPr>
          <w:p>
            <w:pPr>
              <w:pStyle w:val="TableParagraph"/>
              <w:rPr>
                <w:rFonts w:ascii="Times New Roman"/>
                <w:sz w:val="16"/>
              </w:rPr>
            </w:pPr>
          </w:p>
        </w:tc>
        <w:tc>
          <w:tcPr>
            <w:tcW w:w="1293" w:type="dxa"/>
            <w:shd w:val="clear" w:color="auto" w:fill="002D5D"/>
          </w:tcPr>
          <w:p>
            <w:pPr>
              <w:pStyle w:val="TableParagraph"/>
              <w:spacing w:before="100"/>
              <w:ind w:left="450" w:firstLine="98"/>
              <w:rPr>
                <w:b/>
                <w:sz w:val="17"/>
              </w:rPr>
            </w:pPr>
            <w:r>
              <w:rPr>
                <w:b/>
                <w:color w:val="FFFFFF"/>
                <w:spacing w:val="-2"/>
                <w:sz w:val="17"/>
              </w:rPr>
              <w:t>IMPORTE</w:t>
            </w:r>
            <w:r>
              <w:rPr>
                <w:b/>
                <w:color w:val="FFFFFF"/>
                <w:spacing w:val="40"/>
                <w:sz w:val="17"/>
              </w:rPr>
              <w:t> </w:t>
            </w:r>
            <w:r>
              <w:rPr>
                <w:b/>
                <w:color w:val="FFFFFF"/>
                <w:spacing w:val="-2"/>
                <w:sz w:val="17"/>
              </w:rPr>
              <w:t>ACTUACIÓN</w:t>
            </w:r>
          </w:p>
        </w:tc>
        <w:tc>
          <w:tcPr>
            <w:tcW w:w="694" w:type="dxa"/>
            <w:shd w:val="clear" w:color="auto" w:fill="002D5D"/>
          </w:tcPr>
          <w:p>
            <w:pPr>
              <w:pStyle w:val="TableParagraph"/>
              <w:rPr>
                <w:rFonts w:ascii="Times New Roman"/>
                <w:sz w:val="16"/>
              </w:rPr>
            </w:pPr>
          </w:p>
        </w:tc>
        <w:tc>
          <w:tcPr>
            <w:tcW w:w="3134" w:type="dxa"/>
            <w:gridSpan w:val="3"/>
            <w:shd w:val="clear" w:color="auto" w:fill="002D5D"/>
          </w:tcPr>
          <w:p>
            <w:pPr>
              <w:pStyle w:val="TableParagraph"/>
              <w:spacing w:before="31"/>
              <w:rPr>
                <w:rFonts w:ascii="Arial"/>
                <w:b/>
                <w:sz w:val="17"/>
              </w:rPr>
            </w:pPr>
          </w:p>
          <w:p>
            <w:pPr>
              <w:pStyle w:val="TableParagraph"/>
              <w:ind w:left="1291"/>
              <w:rPr>
                <w:b/>
                <w:sz w:val="17"/>
              </w:rPr>
            </w:pPr>
            <w:r>
              <w:rPr>
                <w:b/>
                <w:color w:val="FFFFFF"/>
                <w:spacing w:val="-2"/>
                <w:sz w:val="17"/>
              </w:rPr>
              <w:t>FINANCIACIÓN</w:t>
            </w:r>
          </w:p>
        </w:tc>
        <w:tc>
          <w:tcPr>
            <w:tcW w:w="523" w:type="dxa"/>
            <w:vMerge w:val="restart"/>
            <w:shd w:val="clear" w:color="auto" w:fill="002D5D"/>
          </w:tcPr>
          <w:p>
            <w:pPr>
              <w:pStyle w:val="TableParagraph"/>
              <w:rPr>
                <w:rFonts w:ascii="Times New Roman"/>
                <w:sz w:val="16"/>
              </w:rPr>
            </w:pPr>
          </w:p>
        </w:tc>
        <w:tc>
          <w:tcPr>
            <w:tcW w:w="984" w:type="dxa"/>
            <w:vMerge w:val="restart"/>
            <w:shd w:val="clear" w:color="auto" w:fill="002D5D"/>
          </w:tcPr>
          <w:p>
            <w:pPr>
              <w:pStyle w:val="TableParagraph"/>
              <w:spacing w:before="53"/>
              <w:rPr>
                <w:rFonts w:ascii="Arial"/>
                <w:b/>
                <w:sz w:val="17"/>
              </w:rPr>
            </w:pPr>
          </w:p>
          <w:p>
            <w:pPr>
              <w:pStyle w:val="TableParagraph"/>
              <w:ind w:left="58" w:right="85" w:hanging="3"/>
              <w:jc w:val="center"/>
              <w:rPr>
                <w:b/>
                <w:sz w:val="17"/>
              </w:rPr>
            </w:pPr>
            <w:r>
              <w:rPr>
                <w:b/>
                <w:color w:val="FFFFFF"/>
                <w:sz w:val="17"/>
              </w:rPr>
              <w:t>ESTADO</w:t>
            </w:r>
            <w:r>
              <w:rPr>
                <w:b/>
                <w:color w:val="FFFFFF"/>
                <w:spacing w:val="-10"/>
                <w:sz w:val="17"/>
              </w:rPr>
              <w:t> </w:t>
            </w:r>
            <w:r>
              <w:rPr>
                <w:b/>
                <w:color w:val="FFFFFF"/>
                <w:sz w:val="17"/>
              </w:rPr>
              <w:t>DE</w:t>
            </w:r>
            <w:r>
              <w:rPr>
                <w:b/>
                <w:color w:val="FFFFFF"/>
                <w:spacing w:val="40"/>
                <w:sz w:val="17"/>
              </w:rPr>
              <w:t> </w:t>
            </w:r>
            <w:r>
              <w:rPr>
                <w:b/>
                <w:color w:val="FFFFFF"/>
                <w:spacing w:val="-6"/>
                <w:sz w:val="17"/>
              </w:rPr>
              <w:t>LA</w:t>
            </w:r>
          </w:p>
          <w:p>
            <w:pPr>
              <w:pStyle w:val="TableParagraph"/>
              <w:spacing w:line="194" w:lineRule="exact"/>
              <w:ind w:left="1" w:right="28"/>
              <w:jc w:val="center"/>
              <w:rPr>
                <w:b/>
                <w:sz w:val="17"/>
              </w:rPr>
            </w:pPr>
            <w:r>
              <w:rPr>
                <w:b/>
                <w:color w:val="FFFFFF"/>
                <w:spacing w:val="-2"/>
                <w:sz w:val="17"/>
              </w:rPr>
              <w:t>ACTUACIÓN</w:t>
            </w:r>
            <w:r>
              <w:rPr>
                <w:b/>
                <w:color w:val="FFFFFF"/>
                <w:spacing w:val="40"/>
                <w:sz w:val="17"/>
              </w:rPr>
              <w:t> </w:t>
            </w:r>
            <w:r>
              <w:rPr>
                <w:b/>
                <w:color w:val="FFFFFF"/>
                <w:spacing w:val="-2"/>
                <w:sz w:val="17"/>
              </w:rPr>
              <w:t>31/12/2024</w:t>
            </w:r>
          </w:p>
        </w:tc>
      </w:tr>
      <w:tr>
        <w:trPr>
          <w:trHeight w:val="274" w:hRule="atLeast"/>
        </w:trPr>
        <w:tc>
          <w:tcPr>
            <w:tcW w:w="2407" w:type="dxa"/>
            <w:shd w:val="clear" w:color="auto" w:fill="002D5D"/>
          </w:tcPr>
          <w:p>
            <w:pPr>
              <w:pStyle w:val="TableParagraph"/>
              <w:spacing w:line="157" w:lineRule="exact"/>
              <w:ind w:left="213"/>
              <w:rPr>
                <w:b/>
                <w:sz w:val="17"/>
              </w:rPr>
            </w:pPr>
            <w:r>
              <w:rPr>
                <w:b/>
                <w:color w:val="FFFFFF"/>
                <w:sz w:val="17"/>
              </w:rPr>
              <w:t>DENOMINACIÓN</w:t>
            </w:r>
            <w:r>
              <w:rPr>
                <w:b/>
                <w:color w:val="FFFFFF"/>
                <w:spacing w:val="-8"/>
                <w:sz w:val="17"/>
              </w:rPr>
              <w:t> </w:t>
            </w:r>
            <w:r>
              <w:rPr>
                <w:b/>
                <w:color w:val="FFFFFF"/>
                <w:spacing w:val="-2"/>
                <w:sz w:val="17"/>
              </w:rPr>
              <w:t>ACTUACIÓN</w:t>
            </w:r>
          </w:p>
        </w:tc>
        <w:tc>
          <w:tcPr>
            <w:tcW w:w="2903" w:type="dxa"/>
            <w:gridSpan w:val="2"/>
            <w:shd w:val="clear" w:color="auto" w:fill="002D5D"/>
          </w:tcPr>
          <w:p>
            <w:pPr>
              <w:pStyle w:val="TableParagraph"/>
              <w:spacing w:line="157" w:lineRule="exact"/>
              <w:ind w:left="399"/>
              <w:rPr>
                <w:b/>
                <w:sz w:val="17"/>
              </w:rPr>
            </w:pPr>
            <w:r>
              <w:rPr>
                <w:b/>
                <w:color w:val="FFFFFF"/>
                <w:spacing w:val="-2"/>
                <w:sz w:val="17"/>
              </w:rPr>
              <w:t>TIPOLOGÍA</w:t>
            </w:r>
          </w:p>
        </w:tc>
        <w:tc>
          <w:tcPr>
            <w:tcW w:w="694" w:type="dxa"/>
            <w:shd w:val="clear" w:color="auto" w:fill="002D5D"/>
          </w:tcPr>
          <w:p>
            <w:pPr>
              <w:pStyle w:val="TableParagraph"/>
              <w:rPr>
                <w:rFonts w:ascii="Times New Roman"/>
                <w:sz w:val="16"/>
              </w:rPr>
            </w:pPr>
          </w:p>
        </w:tc>
        <w:tc>
          <w:tcPr>
            <w:tcW w:w="1416" w:type="dxa"/>
            <w:shd w:val="clear" w:color="auto" w:fill="002D5D"/>
          </w:tcPr>
          <w:p>
            <w:pPr>
              <w:pStyle w:val="TableParagraph"/>
              <w:spacing w:line="165" w:lineRule="exact" w:before="89"/>
              <w:ind w:left="475"/>
              <w:rPr>
                <w:b/>
                <w:sz w:val="17"/>
              </w:rPr>
            </w:pPr>
            <w:r>
              <w:rPr>
                <w:b/>
                <w:color w:val="FFFFFF"/>
                <w:spacing w:val="-2"/>
                <w:sz w:val="17"/>
              </w:rPr>
              <w:t>Ayuntamiento</w:t>
            </w:r>
          </w:p>
        </w:tc>
        <w:tc>
          <w:tcPr>
            <w:tcW w:w="605" w:type="dxa"/>
            <w:shd w:val="clear" w:color="auto" w:fill="002D5D"/>
          </w:tcPr>
          <w:p>
            <w:pPr>
              <w:pStyle w:val="TableParagraph"/>
              <w:rPr>
                <w:rFonts w:ascii="Times New Roman"/>
                <w:sz w:val="16"/>
              </w:rPr>
            </w:pPr>
          </w:p>
        </w:tc>
        <w:tc>
          <w:tcPr>
            <w:tcW w:w="1113" w:type="dxa"/>
            <w:shd w:val="clear" w:color="auto" w:fill="002D5D"/>
          </w:tcPr>
          <w:p>
            <w:pPr>
              <w:pStyle w:val="TableParagraph"/>
              <w:spacing w:line="165" w:lineRule="exact" w:before="89"/>
              <w:ind w:right="81"/>
              <w:jc w:val="right"/>
              <w:rPr>
                <w:b/>
                <w:sz w:val="17"/>
              </w:rPr>
            </w:pPr>
            <w:r>
              <w:rPr>
                <w:b/>
                <w:color w:val="FFFFFF"/>
                <w:spacing w:val="-4"/>
                <w:sz w:val="17"/>
              </w:rPr>
              <w:t>PRTR</w:t>
            </w:r>
          </w:p>
        </w:tc>
        <w:tc>
          <w:tcPr>
            <w:tcW w:w="523" w:type="dxa"/>
            <w:vMerge/>
            <w:tcBorders>
              <w:top w:val="nil"/>
            </w:tcBorders>
            <w:shd w:val="clear" w:color="auto" w:fill="002D5D"/>
          </w:tcPr>
          <w:p>
            <w:pPr>
              <w:rPr>
                <w:sz w:val="2"/>
                <w:szCs w:val="2"/>
              </w:rPr>
            </w:pPr>
          </w:p>
        </w:tc>
        <w:tc>
          <w:tcPr>
            <w:tcW w:w="984" w:type="dxa"/>
            <w:vMerge/>
            <w:tcBorders>
              <w:top w:val="nil"/>
            </w:tcBorders>
            <w:shd w:val="clear" w:color="auto" w:fill="002D5D"/>
          </w:tcPr>
          <w:p>
            <w:pPr>
              <w:rPr>
                <w:sz w:val="2"/>
                <w:szCs w:val="2"/>
              </w:rPr>
            </w:pPr>
          </w:p>
        </w:tc>
      </w:tr>
      <w:tr>
        <w:trPr>
          <w:trHeight w:val="170" w:hRule="atLeast"/>
        </w:trPr>
        <w:tc>
          <w:tcPr>
            <w:tcW w:w="2407" w:type="dxa"/>
            <w:shd w:val="clear" w:color="auto" w:fill="002D5D"/>
          </w:tcPr>
          <w:p>
            <w:pPr>
              <w:pStyle w:val="TableParagraph"/>
              <w:rPr>
                <w:rFonts w:ascii="Times New Roman"/>
                <w:sz w:val="10"/>
              </w:rPr>
            </w:pPr>
          </w:p>
        </w:tc>
        <w:tc>
          <w:tcPr>
            <w:tcW w:w="1610" w:type="dxa"/>
            <w:shd w:val="clear" w:color="auto" w:fill="002D5D"/>
          </w:tcPr>
          <w:p>
            <w:pPr>
              <w:pStyle w:val="TableParagraph"/>
              <w:rPr>
                <w:rFonts w:ascii="Times New Roman"/>
                <w:sz w:val="10"/>
              </w:rPr>
            </w:pPr>
          </w:p>
        </w:tc>
        <w:tc>
          <w:tcPr>
            <w:tcW w:w="1293" w:type="dxa"/>
            <w:shd w:val="clear" w:color="auto" w:fill="002D5D"/>
          </w:tcPr>
          <w:p>
            <w:pPr>
              <w:pStyle w:val="TableParagraph"/>
              <w:spacing w:line="150" w:lineRule="exact"/>
              <w:ind w:right="255"/>
              <w:jc w:val="center"/>
              <w:rPr>
                <w:b/>
                <w:sz w:val="17"/>
              </w:rPr>
            </w:pPr>
            <w:r>
              <w:rPr>
                <w:b/>
                <w:color w:val="FFFFFF"/>
                <w:spacing w:val="-5"/>
                <w:sz w:val="17"/>
              </w:rPr>
              <w:t>(€)</w:t>
            </w:r>
          </w:p>
        </w:tc>
        <w:tc>
          <w:tcPr>
            <w:tcW w:w="2110" w:type="dxa"/>
            <w:gridSpan w:val="2"/>
            <w:shd w:val="clear" w:color="auto" w:fill="002D5D"/>
          </w:tcPr>
          <w:p>
            <w:pPr>
              <w:pStyle w:val="TableParagraph"/>
              <w:spacing w:line="150" w:lineRule="exact"/>
              <w:ind w:left="2"/>
              <w:rPr>
                <w:b/>
                <w:sz w:val="11"/>
              </w:rPr>
            </w:pPr>
            <w:r>
              <w:rPr>
                <w:b/>
                <w:color w:val="FFFFFF"/>
                <w:position w:val="-3"/>
                <w:sz w:val="17"/>
              </w:rPr>
              <w:t>% </w:t>
            </w:r>
            <w:r>
              <w:rPr>
                <w:b/>
                <w:color w:val="FFFFFF"/>
                <w:spacing w:val="-5"/>
                <w:sz w:val="11"/>
              </w:rPr>
              <w:t>(*)</w:t>
            </w:r>
          </w:p>
        </w:tc>
        <w:tc>
          <w:tcPr>
            <w:tcW w:w="605" w:type="dxa"/>
            <w:shd w:val="clear" w:color="auto" w:fill="002D5D"/>
          </w:tcPr>
          <w:p>
            <w:pPr>
              <w:pStyle w:val="TableParagraph"/>
              <w:rPr>
                <w:rFonts w:ascii="Times New Roman"/>
                <w:sz w:val="10"/>
              </w:rPr>
            </w:pPr>
          </w:p>
        </w:tc>
        <w:tc>
          <w:tcPr>
            <w:tcW w:w="1113" w:type="dxa"/>
            <w:shd w:val="clear" w:color="auto" w:fill="002D5D"/>
          </w:tcPr>
          <w:p>
            <w:pPr>
              <w:pStyle w:val="TableParagraph"/>
              <w:rPr>
                <w:rFonts w:ascii="Times New Roman"/>
                <w:sz w:val="10"/>
              </w:rPr>
            </w:pPr>
          </w:p>
        </w:tc>
        <w:tc>
          <w:tcPr>
            <w:tcW w:w="523" w:type="dxa"/>
            <w:vMerge/>
            <w:tcBorders>
              <w:top w:val="nil"/>
            </w:tcBorders>
            <w:shd w:val="clear" w:color="auto" w:fill="002D5D"/>
          </w:tcPr>
          <w:p>
            <w:pPr>
              <w:rPr>
                <w:sz w:val="2"/>
                <w:szCs w:val="2"/>
              </w:rPr>
            </w:pPr>
          </w:p>
        </w:tc>
        <w:tc>
          <w:tcPr>
            <w:tcW w:w="984" w:type="dxa"/>
            <w:vMerge/>
            <w:tcBorders>
              <w:top w:val="nil"/>
            </w:tcBorders>
            <w:shd w:val="clear" w:color="auto" w:fill="002D5D"/>
          </w:tcPr>
          <w:p>
            <w:pPr>
              <w:rPr>
                <w:sz w:val="2"/>
                <w:szCs w:val="2"/>
              </w:rPr>
            </w:pPr>
          </w:p>
        </w:tc>
      </w:tr>
      <w:tr>
        <w:trPr>
          <w:trHeight w:val="259" w:hRule="atLeast"/>
        </w:trPr>
        <w:tc>
          <w:tcPr>
            <w:tcW w:w="2407" w:type="dxa"/>
            <w:shd w:val="clear" w:color="auto" w:fill="002D5D"/>
          </w:tcPr>
          <w:p>
            <w:pPr>
              <w:pStyle w:val="TableParagraph"/>
              <w:rPr>
                <w:rFonts w:ascii="Times New Roman"/>
                <w:sz w:val="16"/>
              </w:rPr>
            </w:pPr>
          </w:p>
        </w:tc>
        <w:tc>
          <w:tcPr>
            <w:tcW w:w="1610" w:type="dxa"/>
            <w:shd w:val="clear" w:color="auto" w:fill="002D5D"/>
          </w:tcPr>
          <w:p>
            <w:pPr>
              <w:pStyle w:val="TableParagraph"/>
              <w:rPr>
                <w:rFonts w:ascii="Times New Roman"/>
                <w:sz w:val="16"/>
              </w:rPr>
            </w:pPr>
          </w:p>
        </w:tc>
        <w:tc>
          <w:tcPr>
            <w:tcW w:w="1293" w:type="dxa"/>
            <w:shd w:val="clear" w:color="auto" w:fill="002D5D"/>
          </w:tcPr>
          <w:p>
            <w:pPr>
              <w:pStyle w:val="TableParagraph"/>
              <w:rPr>
                <w:rFonts w:ascii="Times New Roman"/>
                <w:sz w:val="16"/>
              </w:rPr>
            </w:pPr>
          </w:p>
        </w:tc>
        <w:tc>
          <w:tcPr>
            <w:tcW w:w="694" w:type="dxa"/>
            <w:shd w:val="clear" w:color="auto" w:fill="002D5D"/>
          </w:tcPr>
          <w:p>
            <w:pPr>
              <w:pStyle w:val="TableParagraph"/>
              <w:rPr>
                <w:rFonts w:ascii="Times New Roman"/>
                <w:sz w:val="16"/>
              </w:rPr>
            </w:pPr>
          </w:p>
        </w:tc>
        <w:tc>
          <w:tcPr>
            <w:tcW w:w="1416" w:type="dxa"/>
            <w:shd w:val="clear" w:color="auto" w:fill="002D5D"/>
          </w:tcPr>
          <w:p>
            <w:pPr>
              <w:pStyle w:val="TableParagraph"/>
              <w:spacing w:line="183" w:lineRule="exact"/>
              <w:ind w:right="228"/>
              <w:jc w:val="center"/>
              <w:rPr>
                <w:b/>
                <w:sz w:val="17"/>
              </w:rPr>
            </w:pPr>
            <w:r>
              <w:rPr>
                <w:b/>
                <w:color w:val="FFFFFF"/>
                <w:spacing w:val="-5"/>
                <w:sz w:val="17"/>
              </w:rPr>
              <w:t>(€)</w:t>
            </w:r>
          </w:p>
        </w:tc>
        <w:tc>
          <w:tcPr>
            <w:tcW w:w="605" w:type="dxa"/>
            <w:shd w:val="clear" w:color="auto" w:fill="002D5D"/>
          </w:tcPr>
          <w:p>
            <w:pPr>
              <w:pStyle w:val="TableParagraph"/>
              <w:spacing w:line="182" w:lineRule="exact"/>
              <w:ind w:left="10"/>
              <w:rPr>
                <w:b/>
                <w:sz w:val="11"/>
              </w:rPr>
            </w:pPr>
            <w:r>
              <w:rPr>
                <w:b/>
                <w:color w:val="FFFFFF"/>
                <w:position w:val="-3"/>
                <w:sz w:val="17"/>
              </w:rPr>
              <w:t>% </w:t>
            </w:r>
            <w:r>
              <w:rPr>
                <w:b/>
                <w:color w:val="FFFFFF"/>
                <w:spacing w:val="-4"/>
                <w:sz w:val="11"/>
              </w:rPr>
              <w:t>(**)</w:t>
            </w:r>
          </w:p>
        </w:tc>
        <w:tc>
          <w:tcPr>
            <w:tcW w:w="1113" w:type="dxa"/>
            <w:shd w:val="clear" w:color="auto" w:fill="002D5D"/>
          </w:tcPr>
          <w:p>
            <w:pPr>
              <w:pStyle w:val="TableParagraph"/>
              <w:spacing w:line="183" w:lineRule="exact"/>
              <w:ind w:right="6"/>
              <w:jc w:val="center"/>
              <w:rPr>
                <w:b/>
                <w:sz w:val="17"/>
              </w:rPr>
            </w:pPr>
            <w:r>
              <w:rPr>
                <w:b/>
                <w:color w:val="FFFFFF"/>
                <w:spacing w:val="-5"/>
                <w:sz w:val="17"/>
              </w:rPr>
              <w:t>(€)</w:t>
            </w:r>
          </w:p>
        </w:tc>
        <w:tc>
          <w:tcPr>
            <w:tcW w:w="523" w:type="dxa"/>
            <w:shd w:val="clear" w:color="auto" w:fill="002D5D"/>
          </w:tcPr>
          <w:p>
            <w:pPr>
              <w:pStyle w:val="TableParagraph"/>
              <w:spacing w:line="182" w:lineRule="exact"/>
              <w:ind w:right="81"/>
              <w:jc w:val="center"/>
              <w:rPr>
                <w:b/>
                <w:sz w:val="11"/>
              </w:rPr>
            </w:pPr>
            <w:r>
              <w:rPr>
                <w:b/>
                <w:color w:val="FFFFFF"/>
                <w:position w:val="-3"/>
                <w:sz w:val="17"/>
              </w:rPr>
              <w:t>% </w:t>
            </w:r>
            <w:r>
              <w:rPr>
                <w:b/>
                <w:color w:val="FFFFFF"/>
                <w:spacing w:val="-4"/>
                <w:sz w:val="11"/>
              </w:rPr>
              <w:t>(**)</w:t>
            </w:r>
          </w:p>
        </w:tc>
        <w:tc>
          <w:tcPr>
            <w:tcW w:w="984" w:type="dxa"/>
            <w:shd w:val="clear" w:color="auto" w:fill="002D5D"/>
          </w:tcPr>
          <w:p>
            <w:pPr>
              <w:pStyle w:val="TableParagraph"/>
              <w:rPr>
                <w:rFonts w:ascii="Times New Roman"/>
                <w:sz w:val="16"/>
              </w:rPr>
            </w:pPr>
          </w:p>
        </w:tc>
      </w:tr>
      <w:tr>
        <w:trPr>
          <w:trHeight w:val="972" w:hRule="atLeast"/>
        </w:trPr>
        <w:tc>
          <w:tcPr>
            <w:tcW w:w="2407" w:type="dxa"/>
            <w:tcBorders>
              <w:top w:val="single" w:sz="4" w:space="0" w:color="002D5D"/>
              <w:bottom w:val="single" w:sz="4" w:space="0" w:color="002D5D"/>
            </w:tcBorders>
          </w:tcPr>
          <w:p>
            <w:pPr>
              <w:pStyle w:val="TableParagraph"/>
              <w:spacing w:before="92"/>
              <w:rPr>
                <w:rFonts w:ascii="Arial"/>
                <w:b/>
                <w:sz w:val="17"/>
              </w:rPr>
            </w:pPr>
          </w:p>
          <w:p>
            <w:pPr>
              <w:pStyle w:val="TableParagraph"/>
              <w:ind w:left="69"/>
              <w:rPr>
                <w:sz w:val="17"/>
              </w:rPr>
            </w:pPr>
            <w:r>
              <w:rPr>
                <w:sz w:val="17"/>
              </w:rPr>
              <w:t>Adquisición de 15 autobuses (14</w:t>
            </w:r>
            <w:r>
              <w:rPr>
                <w:spacing w:val="40"/>
                <w:sz w:val="17"/>
              </w:rPr>
              <w:t> </w:t>
            </w:r>
            <w:r>
              <w:rPr>
                <w:sz w:val="17"/>
              </w:rPr>
              <w:t>eléctricos</w:t>
            </w:r>
            <w:r>
              <w:rPr>
                <w:spacing w:val="-5"/>
                <w:sz w:val="17"/>
              </w:rPr>
              <w:t> </w:t>
            </w:r>
            <w:r>
              <w:rPr>
                <w:sz w:val="17"/>
              </w:rPr>
              <w:t>y</w:t>
            </w:r>
            <w:r>
              <w:rPr>
                <w:spacing w:val="-8"/>
                <w:sz w:val="17"/>
              </w:rPr>
              <w:t> </w:t>
            </w:r>
            <w:r>
              <w:rPr>
                <w:sz w:val="17"/>
              </w:rPr>
              <w:t>1</w:t>
            </w:r>
            <w:r>
              <w:rPr>
                <w:spacing w:val="-7"/>
                <w:sz w:val="17"/>
              </w:rPr>
              <w:t> </w:t>
            </w:r>
            <w:r>
              <w:rPr>
                <w:sz w:val="17"/>
              </w:rPr>
              <w:t>de</w:t>
            </w:r>
            <w:r>
              <w:rPr>
                <w:spacing w:val="-8"/>
                <w:sz w:val="17"/>
              </w:rPr>
              <w:t> </w:t>
            </w:r>
            <w:r>
              <w:rPr>
                <w:sz w:val="17"/>
              </w:rPr>
              <w:t>pila</w:t>
            </w:r>
            <w:r>
              <w:rPr>
                <w:spacing w:val="-6"/>
                <w:sz w:val="17"/>
              </w:rPr>
              <w:t> </w:t>
            </w:r>
            <w:r>
              <w:rPr>
                <w:sz w:val="17"/>
              </w:rPr>
              <w:t>de</w:t>
            </w:r>
            <w:r>
              <w:rPr>
                <w:spacing w:val="-7"/>
                <w:sz w:val="17"/>
              </w:rPr>
              <w:t> </w:t>
            </w:r>
            <w:r>
              <w:rPr>
                <w:sz w:val="17"/>
              </w:rPr>
              <w:t>hidrógeno)</w:t>
            </w:r>
          </w:p>
        </w:tc>
        <w:tc>
          <w:tcPr>
            <w:tcW w:w="1610" w:type="dxa"/>
            <w:tcBorders>
              <w:top w:val="single" w:sz="4" w:space="0" w:color="002D5D"/>
              <w:bottom w:val="single" w:sz="4" w:space="0" w:color="002D5D"/>
            </w:tcBorders>
          </w:tcPr>
          <w:p>
            <w:pPr>
              <w:pStyle w:val="TableParagraph"/>
              <w:ind w:left="75" w:right="246"/>
              <w:rPr>
                <w:sz w:val="17"/>
              </w:rPr>
            </w:pPr>
            <w:r>
              <w:rPr>
                <w:sz w:val="17"/>
              </w:rPr>
              <w:t>Adquisición</w:t>
            </w:r>
            <w:r>
              <w:rPr>
                <w:spacing w:val="-8"/>
                <w:sz w:val="17"/>
              </w:rPr>
              <w:t> </w:t>
            </w:r>
            <w:r>
              <w:rPr>
                <w:sz w:val="17"/>
              </w:rPr>
              <w:t>material</w:t>
            </w:r>
            <w:r>
              <w:rPr>
                <w:spacing w:val="40"/>
                <w:sz w:val="17"/>
              </w:rPr>
              <w:t> </w:t>
            </w:r>
            <w:r>
              <w:rPr>
                <w:sz w:val="17"/>
              </w:rPr>
              <w:t>móvil</w:t>
            </w:r>
            <w:r>
              <w:rPr>
                <w:spacing w:val="-2"/>
                <w:sz w:val="17"/>
              </w:rPr>
              <w:t> </w:t>
            </w:r>
            <w:r>
              <w:rPr>
                <w:sz w:val="17"/>
              </w:rPr>
              <w:t>e</w:t>
            </w:r>
            <w:r>
              <w:rPr>
                <w:spacing w:val="40"/>
                <w:sz w:val="17"/>
              </w:rPr>
              <w:t> </w:t>
            </w:r>
            <w:r>
              <w:rPr>
                <w:sz w:val="17"/>
              </w:rPr>
              <w:t>infraestructuras</w:t>
            </w:r>
            <w:r>
              <w:rPr>
                <w:spacing w:val="-10"/>
                <w:sz w:val="17"/>
              </w:rPr>
              <w:t> </w:t>
            </w:r>
            <w:r>
              <w:rPr>
                <w:sz w:val="17"/>
              </w:rPr>
              <w:t>para</w:t>
            </w:r>
          </w:p>
          <w:p>
            <w:pPr>
              <w:pStyle w:val="TableParagraph"/>
              <w:spacing w:line="194" w:lineRule="exact"/>
              <w:ind w:left="75" w:right="246"/>
              <w:rPr>
                <w:sz w:val="17"/>
              </w:rPr>
            </w:pPr>
            <w:r>
              <w:rPr>
                <w:sz w:val="17"/>
              </w:rPr>
              <w:t>la</w:t>
            </w:r>
            <w:r>
              <w:rPr>
                <w:spacing w:val="-10"/>
                <w:sz w:val="17"/>
              </w:rPr>
              <w:t> </w:t>
            </w:r>
            <w:r>
              <w:rPr>
                <w:sz w:val="17"/>
              </w:rPr>
              <w:t>recarga</w:t>
            </w:r>
            <w:r>
              <w:rPr>
                <w:spacing w:val="-10"/>
                <w:sz w:val="17"/>
              </w:rPr>
              <w:t> </w:t>
            </w:r>
            <w:r>
              <w:rPr>
                <w:sz w:val="17"/>
              </w:rPr>
              <w:t>de</w:t>
            </w:r>
            <w:r>
              <w:rPr>
                <w:spacing w:val="40"/>
                <w:sz w:val="17"/>
              </w:rPr>
              <w:t> </w:t>
            </w:r>
            <w:r>
              <w:rPr>
                <w:spacing w:val="-2"/>
                <w:sz w:val="17"/>
              </w:rPr>
              <w:t>vehículos</w:t>
            </w:r>
          </w:p>
        </w:tc>
        <w:tc>
          <w:tcPr>
            <w:tcW w:w="1293" w:type="dxa"/>
            <w:tcBorders>
              <w:top w:val="single" w:sz="4" w:space="0" w:color="002D5D"/>
              <w:bottom w:val="single" w:sz="4" w:space="0" w:color="002D5D"/>
            </w:tcBorders>
          </w:tcPr>
          <w:p>
            <w:pPr>
              <w:pStyle w:val="TableParagraph"/>
              <w:spacing w:before="190"/>
              <w:rPr>
                <w:rFonts w:ascii="Arial"/>
                <w:b/>
                <w:sz w:val="17"/>
              </w:rPr>
            </w:pPr>
          </w:p>
          <w:p>
            <w:pPr>
              <w:pStyle w:val="TableParagraph"/>
              <w:ind w:right="275"/>
              <w:jc w:val="right"/>
              <w:rPr>
                <w:sz w:val="17"/>
              </w:rPr>
            </w:pPr>
            <w:r>
              <w:rPr>
                <w:spacing w:val="-2"/>
                <w:sz w:val="17"/>
              </w:rPr>
              <w:t>8.399.000,00</w:t>
            </w:r>
          </w:p>
        </w:tc>
        <w:tc>
          <w:tcPr>
            <w:tcW w:w="694" w:type="dxa"/>
            <w:tcBorders>
              <w:top w:val="single" w:sz="4" w:space="0" w:color="002D5D"/>
              <w:bottom w:val="single" w:sz="4" w:space="0" w:color="002D5D"/>
            </w:tcBorders>
          </w:tcPr>
          <w:p>
            <w:pPr>
              <w:pStyle w:val="TableParagraph"/>
              <w:spacing w:before="190"/>
              <w:rPr>
                <w:rFonts w:ascii="Arial"/>
                <w:b/>
                <w:sz w:val="17"/>
              </w:rPr>
            </w:pPr>
          </w:p>
          <w:p>
            <w:pPr>
              <w:pStyle w:val="TableParagraph"/>
              <w:ind w:right="268"/>
              <w:jc w:val="right"/>
              <w:rPr>
                <w:sz w:val="17"/>
              </w:rPr>
            </w:pPr>
            <w:r>
              <w:rPr>
                <w:spacing w:val="-2"/>
                <w:sz w:val="17"/>
              </w:rPr>
              <w:t>16,06</w:t>
            </w:r>
          </w:p>
        </w:tc>
        <w:tc>
          <w:tcPr>
            <w:tcW w:w="1416" w:type="dxa"/>
            <w:tcBorders>
              <w:top w:val="single" w:sz="4" w:space="0" w:color="002D5D"/>
              <w:bottom w:val="single" w:sz="4" w:space="0" w:color="002D5D"/>
            </w:tcBorders>
          </w:tcPr>
          <w:p>
            <w:pPr>
              <w:pStyle w:val="TableParagraph"/>
              <w:spacing w:before="190"/>
              <w:rPr>
                <w:rFonts w:ascii="Arial"/>
                <w:b/>
                <w:sz w:val="17"/>
              </w:rPr>
            </w:pPr>
          </w:p>
          <w:p>
            <w:pPr>
              <w:pStyle w:val="TableParagraph"/>
              <w:ind w:left="345"/>
              <w:rPr>
                <w:sz w:val="17"/>
              </w:rPr>
            </w:pPr>
            <w:r>
              <w:rPr>
                <w:spacing w:val="-2"/>
                <w:sz w:val="17"/>
              </w:rPr>
              <w:t>5.924.900,00</w:t>
            </w:r>
          </w:p>
        </w:tc>
        <w:tc>
          <w:tcPr>
            <w:tcW w:w="605" w:type="dxa"/>
            <w:tcBorders>
              <w:top w:val="single" w:sz="4" w:space="0" w:color="002D5D"/>
              <w:bottom w:val="single" w:sz="4" w:space="0" w:color="002D5D"/>
            </w:tcBorders>
          </w:tcPr>
          <w:p>
            <w:pPr>
              <w:pStyle w:val="TableParagraph"/>
              <w:spacing w:before="190"/>
              <w:rPr>
                <w:rFonts w:ascii="Arial"/>
                <w:b/>
                <w:sz w:val="17"/>
              </w:rPr>
            </w:pPr>
          </w:p>
          <w:p>
            <w:pPr>
              <w:pStyle w:val="TableParagraph"/>
              <w:ind w:right="172"/>
              <w:jc w:val="right"/>
              <w:rPr>
                <w:sz w:val="17"/>
              </w:rPr>
            </w:pPr>
            <w:r>
              <w:rPr>
                <w:spacing w:val="-2"/>
                <w:sz w:val="17"/>
              </w:rPr>
              <w:t>70,54</w:t>
            </w:r>
          </w:p>
        </w:tc>
        <w:tc>
          <w:tcPr>
            <w:tcW w:w="1113" w:type="dxa"/>
            <w:tcBorders>
              <w:top w:val="single" w:sz="4" w:space="0" w:color="002D5D"/>
              <w:bottom w:val="single" w:sz="4" w:space="0" w:color="002D5D"/>
            </w:tcBorders>
          </w:tcPr>
          <w:p>
            <w:pPr>
              <w:pStyle w:val="TableParagraph"/>
              <w:spacing w:before="190"/>
              <w:rPr>
                <w:rFonts w:ascii="Arial"/>
                <w:b/>
                <w:sz w:val="17"/>
              </w:rPr>
            </w:pPr>
          </w:p>
          <w:p>
            <w:pPr>
              <w:pStyle w:val="TableParagraph"/>
              <w:ind w:left="165"/>
              <w:rPr>
                <w:sz w:val="17"/>
              </w:rPr>
            </w:pPr>
            <w:r>
              <w:rPr>
                <w:spacing w:val="-2"/>
                <w:sz w:val="17"/>
              </w:rPr>
              <w:t>2.474.100,00</w:t>
            </w:r>
          </w:p>
        </w:tc>
        <w:tc>
          <w:tcPr>
            <w:tcW w:w="523" w:type="dxa"/>
            <w:tcBorders>
              <w:top w:val="single" w:sz="4" w:space="0" w:color="002D5D"/>
              <w:bottom w:val="single" w:sz="4" w:space="0" w:color="002D5D"/>
            </w:tcBorders>
          </w:tcPr>
          <w:p>
            <w:pPr>
              <w:pStyle w:val="TableParagraph"/>
              <w:spacing w:before="190"/>
              <w:rPr>
                <w:rFonts w:ascii="Arial"/>
                <w:b/>
                <w:sz w:val="17"/>
              </w:rPr>
            </w:pPr>
          </w:p>
          <w:p>
            <w:pPr>
              <w:pStyle w:val="TableParagraph"/>
              <w:ind w:right="4"/>
              <w:jc w:val="center"/>
              <w:rPr>
                <w:sz w:val="17"/>
              </w:rPr>
            </w:pPr>
            <w:r>
              <w:rPr>
                <w:spacing w:val="-2"/>
                <w:sz w:val="17"/>
              </w:rPr>
              <w:t>29,46</w:t>
            </w:r>
          </w:p>
        </w:tc>
        <w:tc>
          <w:tcPr>
            <w:tcW w:w="984" w:type="dxa"/>
            <w:tcBorders>
              <w:bottom w:val="single" w:sz="4" w:space="0" w:color="002D5D"/>
            </w:tcBorders>
          </w:tcPr>
          <w:p>
            <w:pPr>
              <w:pStyle w:val="TableParagraph"/>
              <w:spacing w:before="190"/>
              <w:rPr>
                <w:rFonts w:ascii="Arial"/>
                <w:b/>
                <w:sz w:val="17"/>
              </w:rPr>
            </w:pPr>
          </w:p>
          <w:p>
            <w:pPr>
              <w:pStyle w:val="TableParagraph"/>
              <w:ind w:right="28"/>
              <w:jc w:val="center"/>
              <w:rPr>
                <w:sz w:val="17"/>
              </w:rPr>
            </w:pPr>
            <w:r>
              <w:rPr>
                <w:sz w:val="17"/>
              </w:rPr>
              <w:t>En</w:t>
            </w:r>
            <w:r>
              <w:rPr>
                <w:spacing w:val="-1"/>
                <w:sz w:val="17"/>
              </w:rPr>
              <w:t> </w:t>
            </w:r>
            <w:r>
              <w:rPr>
                <w:spacing w:val="-2"/>
                <w:sz w:val="17"/>
              </w:rPr>
              <w:t>ejecución</w:t>
            </w:r>
          </w:p>
        </w:tc>
      </w:tr>
      <w:tr>
        <w:trPr>
          <w:trHeight w:val="973" w:hRule="atLeast"/>
        </w:trPr>
        <w:tc>
          <w:tcPr>
            <w:tcW w:w="2407" w:type="dxa"/>
            <w:tcBorders>
              <w:top w:val="single" w:sz="4" w:space="0" w:color="002D5D"/>
              <w:bottom w:val="single" w:sz="4" w:space="0" w:color="002D5D"/>
            </w:tcBorders>
          </w:tcPr>
          <w:p>
            <w:pPr>
              <w:pStyle w:val="TableParagraph"/>
              <w:ind w:left="69"/>
              <w:rPr>
                <w:sz w:val="17"/>
              </w:rPr>
            </w:pPr>
            <w:r>
              <w:rPr>
                <w:sz w:val="17"/>
              </w:rPr>
              <w:t>Obra,</w:t>
            </w:r>
            <w:r>
              <w:rPr>
                <w:spacing w:val="-10"/>
                <w:sz w:val="17"/>
              </w:rPr>
              <w:t> </w:t>
            </w:r>
            <w:r>
              <w:rPr>
                <w:sz w:val="17"/>
              </w:rPr>
              <w:t>suministro,</w:t>
            </w:r>
            <w:r>
              <w:rPr>
                <w:spacing w:val="-10"/>
                <w:sz w:val="17"/>
              </w:rPr>
              <w:t> </w:t>
            </w:r>
            <w:r>
              <w:rPr>
                <w:sz w:val="17"/>
              </w:rPr>
              <w:t>instalación,</w:t>
            </w:r>
            <w:r>
              <w:rPr>
                <w:spacing w:val="-10"/>
                <w:sz w:val="17"/>
              </w:rPr>
              <w:t> </w:t>
            </w:r>
            <w:r>
              <w:rPr>
                <w:sz w:val="17"/>
              </w:rPr>
              <w:t>puesta</w:t>
            </w:r>
            <w:r>
              <w:rPr>
                <w:spacing w:val="40"/>
                <w:sz w:val="17"/>
              </w:rPr>
              <w:t> </w:t>
            </w:r>
            <w:r>
              <w:rPr>
                <w:sz w:val="17"/>
              </w:rPr>
              <w:t>en servicio y legalización de la</w:t>
            </w:r>
            <w:r>
              <w:rPr>
                <w:spacing w:val="40"/>
                <w:sz w:val="17"/>
              </w:rPr>
              <w:t> </w:t>
            </w:r>
            <w:r>
              <w:rPr>
                <w:sz w:val="17"/>
              </w:rPr>
              <w:t>infraestructura eléctrica necesaria</w:t>
            </w:r>
          </w:p>
          <w:p>
            <w:pPr>
              <w:pStyle w:val="TableParagraph"/>
              <w:spacing w:line="194" w:lineRule="exact"/>
              <w:ind w:left="69" w:right="383"/>
              <w:rPr>
                <w:sz w:val="17"/>
              </w:rPr>
            </w:pPr>
            <w:r>
              <w:rPr>
                <w:sz w:val="17"/>
              </w:rPr>
              <w:t>para</w:t>
            </w:r>
            <w:r>
              <w:rPr>
                <w:spacing w:val="-10"/>
                <w:sz w:val="17"/>
              </w:rPr>
              <w:t> </w:t>
            </w:r>
            <w:r>
              <w:rPr>
                <w:sz w:val="17"/>
              </w:rPr>
              <w:t>la</w:t>
            </w:r>
            <w:r>
              <w:rPr>
                <w:spacing w:val="-10"/>
                <w:sz w:val="17"/>
              </w:rPr>
              <w:t> </w:t>
            </w:r>
            <w:r>
              <w:rPr>
                <w:sz w:val="17"/>
              </w:rPr>
              <w:t>recarga</w:t>
            </w:r>
            <w:r>
              <w:rPr>
                <w:spacing w:val="-10"/>
                <w:sz w:val="17"/>
              </w:rPr>
              <w:t> </w:t>
            </w:r>
            <w:r>
              <w:rPr>
                <w:sz w:val="17"/>
              </w:rPr>
              <w:t>de</w:t>
            </w:r>
            <w:r>
              <w:rPr>
                <w:spacing w:val="-9"/>
                <w:sz w:val="17"/>
              </w:rPr>
              <w:t> </w:t>
            </w:r>
            <w:r>
              <w:rPr>
                <w:sz w:val="17"/>
              </w:rPr>
              <w:t>vehículos</w:t>
            </w:r>
            <w:r>
              <w:rPr>
                <w:spacing w:val="40"/>
                <w:sz w:val="17"/>
              </w:rPr>
              <w:t> </w:t>
            </w:r>
            <w:r>
              <w:rPr>
                <w:spacing w:val="-2"/>
                <w:sz w:val="17"/>
              </w:rPr>
              <w:t>eléctricos</w:t>
            </w:r>
          </w:p>
        </w:tc>
        <w:tc>
          <w:tcPr>
            <w:tcW w:w="1610" w:type="dxa"/>
            <w:tcBorders>
              <w:top w:val="single" w:sz="4" w:space="0" w:color="002D5D"/>
              <w:bottom w:val="single" w:sz="4" w:space="0" w:color="002D5D"/>
            </w:tcBorders>
          </w:tcPr>
          <w:p>
            <w:pPr>
              <w:pStyle w:val="TableParagraph"/>
              <w:ind w:left="75" w:right="246"/>
              <w:rPr>
                <w:sz w:val="17"/>
              </w:rPr>
            </w:pPr>
            <w:r>
              <w:rPr>
                <w:sz w:val="17"/>
              </w:rPr>
              <w:t>Adquisición</w:t>
            </w:r>
            <w:r>
              <w:rPr>
                <w:spacing w:val="-8"/>
                <w:sz w:val="17"/>
              </w:rPr>
              <w:t> </w:t>
            </w:r>
            <w:r>
              <w:rPr>
                <w:sz w:val="17"/>
              </w:rPr>
              <w:t>material</w:t>
            </w:r>
            <w:r>
              <w:rPr>
                <w:spacing w:val="40"/>
                <w:sz w:val="17"/>
              </w:rPr>
              <w:t> </w:t>
            </w:r>
            <w:r>
              <w:rPr>
                <w:sz w:val="17"/>
              </w:rPr>
              <w:t>móvil</w:t>
            </w:r>
            <w:r>
              <w:rPr>
                <w:spacing w:val="-2"/>
                <w:sz w:val="17"/>
              </w:rPr>
              <w:t> </w:t>
            </w:r>
            <w:r>
              <w:rPr>
                <w:sz w:val="17"/>
              </w:rPr>
              <w:t>e</w:t>
            </w:r>
            <w:r>
              <w:rPr>
                <w:spacing w:val="40"/>
                <w:sz w:val="17"/>
              </w:rPr>
              <w:t> </w:t>
            </w:r>
            <w:r>
              <w:rPr>
                <w:sz w:val="17"/>
              </w:rPr>
              <w:t>infraestructuras</w:t>
            </w:r>
            <w:r>
              <w:rPr>
                <w:spacing w:val="-10"/>
                <w:sz w:val="17"/>
              </w:rPr>
              <w:t> </w:t>
            </w:r>
            <w:r>
              <w:rPr>
                <w:sz w:val="17"/>
              </w:rPr>
              <w:t>para</w:t>
            </w:r>
          </w:p>
          <w:p>
            <w:pPr>
              <w:pStyle w:val="TableParagraph"/>
              <w:spacing w:line="194" w:lineRule="exact"/>
              <w:ind w:left="75" w:right="246"/>
              <w:rPr>
                <w:sz w:val="17"/>
              </w:rPr>
            </w:pPr>
            <w:r>
              <w:rPr>
                <w:sz w:val="17"/>
              </w:rPr>
              <w:t>la</w:t>
            </w:r>
            <w:r>
              <w:rPr>
                <w:spacing w:val="-10"/>
                <w:sz w:val="17"/>
              </w:rPr>
              <w:t> </w:t>
            </w:r>
            <w:r>
              <w:rPr>
                <w:sz w:val="17"/>
              </w:rPr>
              <w:t>recarga</w:t>
            </w:r>
            <w:r>
              <w:rPr>
                <w:spacing w:val="-10"/>
                <w:sz w:val="17"/>
              </w:rPr>
              <w:t> </w:t>
            </w:r>
            <w:r>
              <w:rPr>
                <w:sz w:val="17"/>
              </w:rPr>
              <w:t>de</w:t>
            </w:r>
            <w:r>
              <w:rPr>
                <w:spacing w:val="40"/>
                <w:sz w:val="17"/>
              </w:rPr>
              <w:t> </w:t>
            </w:r>
            <w:r>
              <w:rPr>
                <w:spacing w:val="-2"/>
                <w:sz w:val="17"/>
              </w:rPr>
              <w:t>vehículos</w:t>
            </w:r>
          </w:p>
        </w:tc>
        <w:tc>
          <w:tcPr>
            <w:tcW w:w="1293" w:type="dxa"/>
            <w:tcBorders>
              <w:top w:val="single" w:sz="4" w:space="0" w:color="002D5D"/>
              <w:bottom w:val="single" w:sz="4" w:space="0" w:color="002D5D"/>
            </w:tcBorders>
          </w:tcPr>
          <w:p>
            <w:pPr>
              <w:pStyle w:val="TableParagraph"/>
              <w:spacing w:before="191"/>
              <w:rPr>
                <w:rFonts w:ascii="Arial"/>
                <w:b/>
                <w:sz w:val="17"/>
              </w:rPr>
            </w:pPr>
          </w:p>
          <w:p>
            <w:pPr>
              <w:pStyle w:val="TableParagraph"/>
              <w:ind w:right="275"/>
              <w:jc w:val="right"/>
              <w:rPr>
                <w:sz w:val="17"/>
              </w:rPr>
            </w:pPr>
            <w:r>
              <w:rPr>
                <w:spacing w:val="-2"/>
                <w:sz w:val="17"/>
              </w:rPr>
              <w:t>1.597.888,46</w:t>
            </w:r>
          </w:p>
        </w:tc>
        <w:tc>
          <w:tcPr>
            <w:tcW w:w="694" w:type="dxa"/>
            <w:tcBorders>
              <w:top w:val="single" w:sz="4" w:space="0" w:color="002D5D"/>
              <w:bottom w:val="single" w:sz="4" w:space="0" w:color="002D5D"/>
            </w:tcBorders>
          </w:tcPr>
          <w:p>
            <w:pPr>
              <w:pStyle w:val="TableParagraph"/>
              <w:spacing w:before="191"/>
              <w:rPr>
                <w:rFonts w:ascii="Arial"/>
                <w:b/>
                <w:sz w:val="17"/>
              </w:rPr>
            </w:pPr>
          </w:p>
          <w:p>
            <w:pPr>
              <w:pStyle w:val="TableParagraph"/>
              <w:ind w:right="268"/>
              <w:jc w:val="right"/>
              <w:rPr>
                <w:sz w:val="17"/>
              </w:rPr>
            </w:pPr>
            <w:r>
              <w:rPr>
                <w:spacing w:val="-4"/>
                <w:sz w:val="17"/>
              </w:rPr>
              <w:t>3,05</w:t>
            </w:r>
          </w:p>
        </w:tc>
        <w:tc>
          <w:tcPr>
            <w:tcW w:w="1416" w:type="dxa"/>
            <w:tcBorders>
              <w:top w:val="single" w:sz="4" w:space="0" w:color="002D5D"/>
              <w:bottom w:val="single" w:sz="4" w:space="0" w:color="002D5D"/>
            </w:tcBorders>
          </w:tcPr>
          <w:p>
            <w:pPr>
              <w:pStyle w:val="TableParagraph"/>
              <w:spacing w:before="191"/>
              <w:rPr>
                <w:rFonts w:ascii="Arial"/>
                <w:b/>
                <w:sz w:val="17"/>
              </w:rPr>
            </w:pPr>
          </w:p>
          <w:p>
            <w:pPr>
              <w:pStyle w:val="TableParagraph"/>
              <w:ind w:left="345"/>
              <w:rPr>
                <w:sz w:val="17"/>
              </w:rPr>
            </w:pPr>
            <w:r>
              <w:rPr>
                <w:spacing w:val="-2"/>
                <w:sz w:val="17"/>
              </w:rPr>
              <w:t>1.597.888,46</w:t>
            </w:r>
          </w:p>
        </w:tc>
        <w:tc>
          <w:tcPr>
            <w:tcW w:w="605" w:type="dxa"/>
            <w:tcBorders>
              <w:top w:val="single" w:sz="4" w:space="0" w:color="002D5D"/>
              <w:bottom w:val="single" w:sz="4" w:space="0" w:color="002D5D"/>
            </w:tcBorders>
          </w:tcPr>
          <w:p>
            <w:pPr>
              <w:pStyle w:val="TableParagraph"/>
              <w:spacing w:before="191"/>
              <w:rPr>
                <w:rFonts w:ascii="Arial"/>
                <w:b/>
                <w:sz w:val="17"/>
              </w:rPr>
            </w:pPr>
          </w:p>
          <w:p>
            <w:pPr>
              <w:pStyle w:val="TableParagraph"/>
              <w:ind w:left="5"/>
              <w:rPr>
                <w:sz w:val="17"/>
              </w:rPr>
            </w:pPr>
            <w:r>
              <w:rPr>
                <w:spacing w:val="-2"/>
                <w:sz w:val="17"/>
              </w:rPr>
              <w:t>100,00</w:t>
            </w:r>
          </w:p>
        </w:tc>
        <w:tc>
          <w:tcPr>
            <w:tcW w:w="1113" w:type="dxa"/>
            <w:tcBorders>
              <w:top w:val="single" w:sz="4" w:space="0" w:color="002D5D"/>
              <w:bottom w:val="single" w:sz="4" w:space="0" w:color="002D5D"/>
            </w:tcBorders>
          </w:tcPr>
          <w:p>
            <w:pPr>
              <w:pStyle w:val="TableParagraph"/>
              <w:spacing w:before="191"/>
              <w:rPr>
                <w:rFonts w:ascii="Arial"/>
                <w:b/>
                <w:sz w:val="17"/>
              </w:rPr>
            </w:pPr>
          </w:p>
          <w:p>
            <w:pPr>
              <w:pStyle w:val="TableParagraph"/>
              <w:ind w:right="133"/>
              <w:jc w:val="right"/>
              <w:rPr>
                <w:sz w:val="17"/>
              </w:rPr>
            </w:pPr>
            <w:r>
              <w:rPr>
                <w:spacing w:val="-4"/>
                <w:sz w:val="17"/>
              </w:rPr>
              <w:t>0,00</w:t>
            </w:r>
          </w:p>
        </w:tc>
        <w:tc>
          <w:tcPr>
            <w:tcW w:w="523" w:type="dxa"/>
            <w:tcBorders>
              <w:top w:val="single" w:sz="4" w:space="0" w:color="002D5D"/>
              <w:bottom w:val="single" w:sz="4" w:space="0" w:color="002D5D"/>
            </w:tcBorders>
          </w:tcPr>
          <w:p>
            <w:pPr>
              <w:pStyle w:val="TableParagraph"/>
              <w:spacing w:before="191"/>
              <w:rPr>
                <w:rFonts w:ascii="Arial"/>
                <w:b/>
                <w:sz w:val="17"/>
              </w:rPr>
            </w:pPr>
          </w:p>
          <w:p>
            <w:pPr>
              <w:pStyle w:val="TableParagraph"/>
              <w:ind w:left="74" w:right="4"/>
              <w:jc w:val="center"/>
              <w:rPr>
                <w:sz w:val="17"/>
              </w:rPr>
            </w:pPr>
            <w:r>
              <w:rPr>
                <w:spacing w:val="-4"/>
                <w:sz w:val="17"/>
              </w:rPr>
              <w:t>0,00</w:t>
            </w:r>
          </w:p>
        </w:tc>
        <w:tc>
          <w:tcPr>
            <w:tcW w:w="984" w:type="dxa"/>
            <w:tcBorders>
              <w:top w:val="single" w:sz="4" w:space="0" w:color="002D5D"/>
              <w:bottom w:val="single" w:sz="4" w:space="0" w:color="002D5D"/>
            </w:tcBorders>
          </w:tcPr>
          <w:p>
            <w:pPr>
              <w:pStyle w:val="TableParagraph"/>
              <w:spacing w:before="191"/>
              <w:rPr>
                <w:rFonts w:ascii="Arial"/>
                <w:b/>
                <w:sz w:val="17"/>
              </w:rPr>
            </w:pPr>
          </w:p>
          <w:p>
            <w:pPr>
              <w:pStyle w:val="TableParagraph"/>
              <w:ind w:right="28"/>
              <w:jc w:val="center"/>
              <w:rPr>
                <w:sz w:val="17"/>
              </w:rPr>
            </w:pPr>
            <w:r>
              <w:rPr>
                <w:sz w:val="17"/>
              </w:rPr>
              <w:t>En</w:t>
            </w:r>
            <w:r>
              <w:rPr>
                <w:spacing w:val="-1"/>
                <w:sz w:val="17"/>
              </w:rPr>
              <w:t> </w:t>
            </w:r>
            <w:r>
              <w:rPr>
                <w:spacing w:val="-2"/>
                <w:sz w:val="17"/>
              </w:rPr>
              <w:t>ejecución</w:t>
            </w:r>
          </w:p>
        </w:tc>
      </w:tr>
      <w:tr>
        <w:trPr>
          <w:trHeight w:val="390" w:hRule="atLeast"/>
        </w:trPr>
        <w:tc>
          <w:tcPr>
            <w:tcW w:w="2407" w:type="dxa"/>
            <w:tcBorders>
              <w:top w:val="single" w:sz="4" w:space="0" w:color="002D5D"/>
              <w:bottom w:val="single" w:sz="4" w:space="0" w:color="002D5D"/>
            </w:tcBorders>
          </w:tcPr>
          <w:p>
            <w:pPr>
              <w:pStyle w:val="TableParagraph"/>
              <w:spacing w:line="196" w:lineRule="exact"/>
              <w:ind w:left="69" w:right="383"/>
              <w:rPr>
                <w:sz w:val="17"/>
              </w:rPr>
            </w:pPr>
            <w:r>
              <w:rPr>
                <w:sz w:val="17"/>
              </w:rPr>
              <w:t>Implantación de línea de alta</w:t>
            </w:r>
            <w:r>
              <w:rPr>
                <w:spacing w:val="40"/>
                <w:sz w:val="17"/>
              </w:rPr>
              <w:t> </w:t>
            </w:r>
            <w:r>
              <w:rPr>
                <w:sz w:val="17"/>
              </w:rPr>
              <w:t>capacidad</w:t>
            </w:r>
            <w:r>
              <w:rPr>
                <w:spacing w:val="-10"/>
                <w:sz w:val="17"/>
              </w:rPr>
              <w:t> </w:t>
            </w:r>
            <w:r>
              <w:rPr>
                <w:sz w:val="17"/>
              </w:rPr>
              <w:t>(BRT-</w:t>
            </w:r>
            <w:r>
              <w:rPr>
                <w:sz w:val="17"/>
              </w:rPr>
              <w:t>MetroGuagua)</w:t>
            </w:r>
          </w:p>
        </w:tc>
        <w:tc>
          <w:tcPr>
            <w:tcW w:w="1610" w:type="dxa"/>
            <w:tcBorders>
              <w:top w:val="single" w:sz="4" w:space="0" w:color="002D5D"/>
              <w:bottom w:val="single" w:sz="4" w:space="0" w:color="002D5D"/>
            </w:tcBorders>
          </w:tcPr>
          <w:p>
            <w:pPr>
              <w:pStyle w:val="TableParagraph"/>
              <w:spacing w:line="196" w:lineRule="exact"/>
              <w:ind w:left="75"/>
              <w:rPr>
                <w:sz w:val="17"/>
              </w:rPr>
            </w:pPr>
            <w:r>
              <w:rPr>
                <w:sz w:val="17"/>
              </w:rPr>
              <w:t>Obras</w:t>
            </w:r>
            <w:r>
              <w:rPr>
                <w:spacing w:val="-10"/>
                <w:sz w:val="17"/>
              </w:rPr>
              <w:t> </w:t>
            </w:r>
            <w:r>
              <w:rPr>
                <w:sz w:val="17"/>
              </w:rPr>
              <w:t>y</w:t>
            </w:r>
            <w:r>
              <w:rPr>
                <w:spacing w:val="-10"/>
                <w:sz w:val="17"/>
              </w:rPr>
              <w:t> </w:t>
            </w:r>
            <w:r>
              <w:rPr>
                <w:sz w:val="17"/>
              </w:rPr>
              <w:t>estructuras</w:t>
            </w:r>
            <w:r>
              <w:rPr>
                <w:spacing w:val="-10"/>
                <w:sz w:val="17"/>
              </w:rPr>
              <w:t> </w:t>
            </w:r>
            <w:r>
              <w:rPr>
                <w:sz w:val="17"/>
              </w:rPr>
              <w:t>en</w:t>
            </w:r>
            <w:r>
              <w:rPr>
                <w:spacing w:val="40"/>
                <w:sz w:val="17"/>
              </w:rPr>
              <w:t> </w:t>
            </w:r>
            <w:r>
              <w:rPr>
                <w:sz w:val="17"/>
              </w:rPr>
              <w:t>vía</w:t>
            </w:r>
            <w:r>
              <w:rPr>
                <w:spacing w:val="-4"/>
                <w:sz w:val="17"/>
              </w:rPr>
              <w:t> </w:t>
            </w:r>
            <w:r>
              <w:rPr>
                <w:sz w:val="17"/>
              </w:rPr>
              <w:t>pública</w:t>
            </w:r>
          </w:p>
        </w:tc>
        <w:tc>
          <w:tcPr>
            <w:tcW w:w="1293" w:type="dxa"/>
            <w:tcBorders>
              <w:top w:val="single" w:sz="4" w:space="0" w:color="002D5D"/>
              <w:bottom w:val="single" w:sz="4" w:space="0" w:color="002D5D"/>
            </w:tcBorders>
          </w:tcPr>
          <w:p>
            <w:pPr>
              <w:pStyle w:val="TableParagraph"/>
              <w:spacing w:before="97"/>
              <w:ind w:right="275"/>
              <w:jc w:val="right"/>
              <w:rPr>
                <w:sz w:val="17"/>
              </w:rPr>
            </w:pPr>
            <w:r>
              <w:rPr>
                <w:spacing w:val="-2"/>
                <w:sz w:val="17"/>
              </w:rPr>
              <w:t>34.544.516,48</w:t>
            </w:r>
          </w:p>
        </w:tc>
        <w:tc>
          <w:tcPr>
            <w:tcW w:w="694" w:type="dxa"/>
            <w:tcBorders>
              <w:top w:val="single" w:sz="4" w:space="0" w:color="002D5D"/>
              <w:bottom w:val="single" w:sz="4" w:space="0" w:color="002D5D"/>
            </w:tcBorders>
          </w:tcPr>
          <w:p>
            <w:pPr>
              <w:pStyle w:val="TableParagraph"/>
              <w:spacing w:before="97"/>
              <w:ind w:right="268"/>
              <w:jc w:val="right"/>
              <w:rPr>
                <w:sz w:val="17"/>
              </w:rPr>
            </w:pPr>
            <w:r>
              <w:rPr>
                <w:spacing w:val="-2"/>
                <w:sz w:val="17"/>
              </w:rPr>
              <w:t>66,03</w:t>
            </w:r>
          </w:p>
        </w:tc>
        <w:tc>
          <w:tcPr>
            <w:tcW w:w="1416" w:type="dxa"/>
            <w:tcBorders>
              <w:top w:val="single" w:sz="4" w:space="0" w:color="002D5D"/>
              <w:bottom w:val="single" w:sz="4" w:space="0" w:color="002D5D"/>
            </w:tcBorders>
          </w:tcPr>
          <w:p>
            <w:pPr>
              <w:pStyle w:val="TableParagraph"/>
              <w:spacing w:before="97"/>
              <w:ind w:left="266"/>
              <w:rPr>
                <w:sz w:val="17"/>
              </w:rPr>
            </w:pPr>
            <w:r>
              <w:rPr>
                <w:spacing w:val="-2"/>
                <w:sz w:val="17"/>
              </w:rPr>
              <w:t>34.544.516,48</w:t>
            </w:r>
          </w:p>
        </w:tc>
        <w:tc>
          <w:tcPr>
            <w:tcW w:w="605" w:type="dxa"/>
            <w:tcBorders>
              <w:top w:val="single" w:sz="4" w:space="0" w:color="002D5D"/>
              <w:bottom w:val="single" w:sz="4" w:space="0" w:color="002D5D"/>
            </w:tcBorders>
          </w:tcPr>
          <w:p>
            <w:pPr>
              <w:pStyle w:val="TableParagraph"/>
              <w:spacing w:before="97"/>
              <w:ind w:left="5"/>
              <w:rPr>
                <w:sz w:val="17"/>
              </w:rPr>
            </w:pPr>
            <w:r>
              <w:rPr>
                <w:spacing w:val="-2"/>
                <w:sz w:val="17"/>
              </w:rPr>
              <w:t>100,00</w:t>
            </w:r>
          </w:p>
        </w:tc>
        <w:tc>
          <w:tcPr>
            <w:tcW w:w="1113" w:type="dxa"/>
            <w:tcBorders>
              <w:top w:val="single" w:sz="4" w:space="0" w:color="002D5D"/>
              <w:bottom w:val="single" w:sz="4" w:space="0" w:color="002D5D"/>
            </w:tcBorders>
          </w:tcPr>
          <w:p>
            <w:pPr>
              <w:pStyle w:val="TableParagraph"/>
              <w:spacing w:before="97"/>
              <w:ind w:right="133"/>
              <w:jc w:val="right"/>
              <w:rPr>
                <w:sz w:val="17"/>
              </w:rPr>
            </w:pPr>
            <w:r>
              <w:rPr>
                <w:spacing w:val="-4"/>
                <w:sz w:val="17"/>
              </w:rPr>
              <w:t>0,00</w:t>
            </w:r>
          </w:p>
        </w:tc>
        <w:tc>
          <w:tcPr>
            <w:tcW w:w="523" w:type="dxa"/>
            <w:tcBorders>
              <w:top w:val="single" w:sz="4" w:space="0" w:color="002D5D"/>
              <w:bottom w:val="single" w:sz="4" w:space="0" w:color="002D5D"/>
            </w:tcBorders>
          </w:tcPr>
          <w:p>
            <w:pPr>
              <w:pStyle w:val="TableParagraph"/>
              <w:spacing w:before="97"/>
              <w:ind w:left="74" w:right="4"/>
              <w:jc w:val="center"/>
              <w:rPr>
                <w:sz w:val="17"/>
              </w:rPr>
            </w:pPr>
            <w:r>
              <w:rPr>
                <w:spacing w:val="-4"/>
                <w:sz w:val="17"/>
              </w:rPr>
              <w:t>0,00</w:t>
            </w:r>
          </w:p>
        </w:tc>
        <w:tc>
          <w:tcPr>
            <w:tcW w:w="984" w:type="dxa"/>
            <w:tcBorders>
              <w:top w:val="single" w:sz="4" w:space="0" w:color="002D5D"/>
              <w:bottom w:val="single" w:sz="4" w:space="0" w:color="002D5D"/>
            </w:tcBorders>
          </w:tcPr>
          <w:p>
            <w:pPr>
              <w:pStyle w:val="TableParagraph"/>
              <w:spacing w:before="97"/>
              <w:ind w:right="28"/>
              <w:jc w:val="center"/>
              <w:rPr>
                <w:sz w:val="17"/>
              </w:rPr>
            </w:pPr>
            <w:r>
              <w:rPr>
                <w:sz w:val="17"/>
              </w:rPr>
              <w:t>En</w:t>
            </w:r>
            <w:r>
              <w:rPr>
                <w:spacing w:val="-1"/>
                <w:sz w:val="17"/>
              </w:rPr>
              <w:t> </w:t>
            </w:r>
            <w:r>
              <w:rPr>
                <w:spacing w:val="-2"/>
                <w:sz w:val="17"/>
              </w:rPr>
              <w:t>ejecución</w:t>
            </w:r>
          </w:p>
        </w:tc>
      </w:tr>
      <w:tr>
        <w:trPr>
          <w:trHeight w:val="584" w:hRule="atLeast"/>
        </w:trPr>
        <w:tc>
          <w:tcPr>
            <w:tcW w:w="2407" w:type="dxa"/>
            <w:tcBorders>
              <w:top w:val="single" w:sz="4" w:space="0" w:color="002D5D"/>
              <w:bottom w:val="single" w:sz="4" w:space="0" w:color="002D5D"/>
            </w:tcBorders>
          </w:tcPr>
          <w:p>
            <w:pPr>
              <w:pStyle w:val="TableParagraph"/>
              <w:ind w:left="69" w:right="67"/>
              <w:rPr>
                <w:sz w:val="17"/>
              </w:rPr>
            </w:pPr>
            <w:r>
              <w:rPr>
                <w:sz w:val="17"/>
              </w:rPr>
              <w:t>Digitalización</w:t>
            </w:r>
            <w:r>
              <w:rPr>
                <w:spacing w:val="-8"/>
                <w:sz w:val="17"/>
              </w:rPr>
              <w:t> </w:t>
            </w:r>
            <w:r>
              <w:rPr>
                <w:sz w:val="17"/>
              </w:rPr>
              <w:t>de</w:t>
            </w:r>
            <w:r>
              <w:rPr>
                <w:spacing w:val="-9"/>
                <w:sz w:val="17"/>
              </w:rPr>
              <w:t> </w:t>
            </w:r>
            <w:r>
              <w:rPr>
                <w:sz w:val="17"/>
              </w:rPr>
              <w:t>los</w:t>
            </w:r>
            <w:r>
              <w:rPr>
                <w:spacing w:val="-7"/>
                <w:sz w:val="17"/>
              </w:rPr>
              <w:t> </w:t>
            </w:r>
            <w:r>
              <w:rPr>
                <w:sz w:val="17"/>
              </w:rPr>
              <w:t>medios</w:t>
            </w:r>
            <w:r>
              <w:rPr>
                <w:spacing w:val="-9"/>
                <w:sz w:val="17"/>
              </w:rPr>
              <w:t> </w:t>
            </w:r>
            <w:r>
              <w:rPr>
                <w:sz w:val="17"/>
              </w:rPr>
              <w:t>de</w:t>
            </w:r>
            <w:r>
              <w:rPr>
                <w:spacing w:val="-9"/>
                <w:sz w:val="17"/>
              </w:rPr>
              <w:t> </w:t>
            </w:r>
            <w:r>
              <w:rPr>
                <w:sz w:val="17"/>
              </w:rPr>
              <w:t>pago</w:t>
            </w:r>
            <w:r>
              <w:rPr>
                <w:spacing w:val="40"/>
                <w:sz w:val="17"/>
              </w:rPr>
              <w:t> </w:t>
            </w:r>
            <w:r>
              <w:rPr>
                <w:sz w:val="17"/>
              </w:rPr>
              <w:t>y eliminación/reducción del pago en</w:t>
            </w:r>
          </w:p>
          <w:p>
            <w:pPr>
              <w:pStyle w:val="TableParagraph"/>
              <w:spacing w:line="175" w:lineRule="exact"/>
              <w:ind w:left="69"/>
              <w:rPr>
                <w:sz w:val="17"/>
              </w:rPr>
            </w:pPr>
            <w:r>
              <w:rPr>
                <w:spacing w:val="-2"/>
                <w:sz w:val="17"/>
              </w:rPr>
              <w:t>efectivo</w:t>
            </w:r>
          </w:p>
        </w:tc>
        <w:tc>
          <w:tcPr>
            <w:tcW w:w="1610" w:type="dxa"/>
            <w:tcBorders>
              <w:top w:val="single" w:sz="4" w:space="0" w:color="002D5D"/>
              <w:bottom w:val="single" w:sz="4" w:space="0" w:color="002D5D"/>
            </w:tcBorders>
          </w:tcPr>
          <w:p>
            <w:pPr>
              <w:pStyle w:val="TableParagraph"/>
              <w:spacing w:before="192"/>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spacing w:before="192"/>
              <w:ind w:right="275"/>
              <w:jc w:val="right"/>
              <w:rPr>
                <w:sz w:val="17"/>
              </w:rPr>
            </w:pPr>
            <w:r>
              <w:rPr>
                <w:spacing w:val="-2"/>
                <w:sz w:val="17"/>
              </w:rPr>
              <w:t>1.571.990,00</w:t>
            </w:r>
          </w:p>
        </w:tc>
        <w:tc>
          <w:tcPr>
            <w:tcW w:w="694" w:type="dxa"/>
            <w:tcBorders>
              <w:top w:val="single" w:sz="4" w:space="0" w:color="002D5D"/>
              <w:bottom w:val="single" w:sz="4" w:space="0" w:color="002D5D"/>
            </w:tcBorders>
          </w:tcPr>
          <w:p>
            <w:pPr>
              <w:pStyle w:val="TableParagraph"/>
              <w:spacing w:before="192"/>
              <w:ind w:right="268"/>
              <w:jc w:val="right"/>
              <w:rPr>
                <w:sz w:val="17"/>
              </w:rPr>
            </w:pPr>
            <w:r>
              <w:rPr>
                <w:spacing w:val="-4"/>
                <w:sz w:val="17"/>
              </w:rPr>
              <w:t>3,00</w:t>
            </w:r>
          </w:p>
        </w:tc>
        <w:tc>
          <w:tcPr>
            <w:tcW w:w="1416" w:type="dxa"/>
            <w:tcBorders>
              <w:top w:val="single" w:sz="4" w:space="0" w:color="002D5D"/>
              <w:bottom w:val="single" w:sz="4" w:space="0" w:color="002D5D"/>
            </w:tcBorders>
          </w:tcPr>
          <w:p>
            <w:pPr>
              <w:pStyle w:val="TableParagraph"/>
              <w:spacing w:before="192"/>
              <w:ind w:left="460"/>
              <w:rPr>
                <w:sz w:val="17"/>
              </w:rPr>
            </w:pPr>
            <w:r>
              <w:rPr>
                <w:spacing w:val="-2"/>
                <w:sz w:val="17"/>
              </w:rPr>
              <w:t>229.670,02</w:t>
            </w:r>
          </w:p>
        </w:tc>
        <w:tc>
          <w:tcPr>
            <w:tcW w:w="605" w:type="dxa"/>
            <w:tcBorders>
              <w:top w:val="single" w:sz="4" w:space="0" w:color="002D5D"/>
              <w:bottom w:val="single" w:sz="4" w:space="0" w:color="002D5D"/>
            </w:tcBorders>
          </w:tcPr>
          <w:p>
            <w:pPr>
              <w:pStyle w:val="TableParagraph"/>
              <w:spacing w:before="192"/>
              <w:ind w:right="172"/>
              <w:jc w:val="right"/>
              <w:rPr>
                <w:sz w:val="17"/>
              </w:rPr>
            </w:pPr>
            <w:r>
              <w:rPr>
                <w:spacing w:val="-2"/>
                <w:sz w:val="17"/>
              </w:rPr>
              <w:t>14,61</w:t>
            </w:r>
          </w:p>
        </w:tc>
        <w:tc>
          <w:tcPr>
            <w:tcW w:w="1113" w:type="dxa"/>
            <w:tcBorders>
              <w:top w:val="single" w:sz="4" w:space="0" w:color="002D5D"/>
              <w:bottom w:val="single" w:sz="4" w:space="0" w:color="002D5D"/>
            </w:tcBorders>
          </w:tcPr>
          <w:p>
            <w:pPr>
              <w:pStyle w:val="TableParagraph"/>
              <w:spacing w:before="192"/>
              <w:ind w:left="165"/>
              <w:rPr>
                <w:sz w:val="17"/>
              </w:rPr>
            </w:pPr>
            <w:r>
              <w:rPr>
                <w:spacing w:val="-2"/>
                <w:sz w:val="17"/>
              </w:rPr>
              <w:t>1.342.319,98</w:t>
            </w:r>
          </w:p>
        </w:tc>
        <w:tc>
          <w:tcPr>
            <w:tcW w:w="523" w:type="dxa"/>
            <w:tcBorders>
              <w:top w:val="single" w:sz="4" w:space="0" w:color="002D5D"/>
              <w:bottom w:val="single" w:sz="4" w:space="0" w:color="002D5D"/>
            </w:tcBorders>
          </w:tcPr>
          <w:p>
            <w:pPr>
              <w:pStyle w:val="TableParagraph"/>
              <w:spacing w:before="192"/>
              <w:ind w:right="4"/>
              <w:jc w:val="center"/>
              <w:rPr>
                <w:sz w:val="17"/>
              </w:rPr>
            </w:pPr>
            <w:r>
              <w:rPr>
                <w:spacing w:val="-2"/>
                <w:sz w:val="17"/>
              </w:rPr>
              <w:t>85,39</w:t>
            </w:r>
          </w:p>
        </w:tc>
        <w:tc>
          <w:tcPr>
            <w:tcW w:w="984" w:type="dxa"/>
            <w:tcBorders>
              <w:top w:val="single" w:sz="4" w:space="0" w:color="002D5D"/>
              <w:bottom w:val="single" w:sz="4" w:space="0" w:color="002D5D"/>
            </w:tcBorders>
          </w:tcPr>
          <w:p>
            <w:pPr>
              <w:pStyle w:val="TableParagraph"/>
              <w:spacing w:before="192"/>
              <w:ind w:right="28"/>
              <w:jc w:val="center"/>
              <w:rPr>
                <w:sz w:val="17"/>
              </w:rPr>
            </w:pPr>
            <w:r>
              <w:rPr>
                <w:sz w:val="17"/>
              </w:rPr>
              <w:t>En</w:t>
            </w:r>
            <w:r>
              <w:rPr>
                <w:spacing w:val="-1"/>
                <w:sz w:val="17"/>
              </w:rPr>
              <w:t> </w:t>
            </w:r>
            <w:r>
              <w:rPr>
                <w:spacing w:val="-2"/>
                <w:sz w:val="17"/>
              </w:rPr>
              <w:t>ejecución</w:t>
            </w:r>
          </w:p>
        </w:tc>
      </w:tr>
      <w:tr>
        <w:trPr>
          <w:trHeight w:val="780" w:hRule="atLeast"/>
        </w:trPr>
        <w:tc>
          <w:tcPr>
            <w:tcW w:w="2407" w:type="dxa"/>
            <w:tcBorders>
              <w:top w:val="single" w:sz="4" w:space="0" w:color="002D5D"/>
              <w:bottom w:val="single" w:sz="4" w:space="0" w:color="002D5D"/>
            </w:tcBorders>
          </w:tcPr>
          <w:p>
            <w:pPr>
              <w:pStyle w:val="TableParagraph"/>
              <w:ind w:left="69"/>
              <w:rPr>
                <w:sz w:val="17"/>
              </w:rPr>
            </w:pPr>
            <w:r>
              <w:rPr>
                <w:sz w:val="17"/>
              </w:rPr>
              <w:t>Digitalización de los sistemas de</w:t>
            </w:r>
            <w:r>
              <w:rPr>
                <w:spacing w:val="40"/>
                <w:sz w:val="17"/>
              </w:rPr>
              <w:t> </w:t>
            </w:r>
            <w:r>
              <w:rPr>
                <w:sz w:val="17"/>
              </w:rPr>
              <w:t>comunicación</w:t>
            </w:r>
            <w:r>
              <w:rPr>
                <w:spacing w:val="-10"/>
                <w:sz w:val="17"/>
              </w:rPr>
              <w:t> </w:t>
            </w:r>
            <w:r>
              <w:rPr>
                <w:sz w:val="17"/>
              </w:rPr>
              <w:t>e</w:t>
            </w:r>
            <w:r>
              <w:rPr>
                <w:spacing w:val="-10"/>
                <w:sz w:val="17"/>
              </w:rPr>
              <w:t> </w:t>
            </w:r>
            <w:r>
              <w:rPr>
                <w:sz w:val="17"/>
              </w:rPr>
              <w:t>información</w:t>
            </w:r>
            <w:r>
              <w:rPr>
                <w:spacing w:val="-10"/>
                <w:sz w:val="17"/>
              </w:rPr>
              <w:t> </w:t>
            </w:r>
            <w:r>
              <w:rPr>
                <w:sz w:val="17"/>
              </w:rPr>
              <w:t>(SAE,</w:t>
            </w:r>
            <w:r>
              <w:rPr>
                <w:spacing w:val="40"/>
                <w:sz w:val="17"/>
              </w:rPr>
              <w:t> </w:t>
            </w:r>
            <w:r>
              <w:rPr>
                <w:sz w:val="17"/>
              </w:rPr>
              <w:t>equipos embarcados, paneles</w:t>
            </w:r>
          </w:p>
          <w:p>
            <w:pPr>
              <w:pStyle w:val="TableParagraph"/>
              <w:spacing w:line="175" w:lineRule="exact"/>
              <w:ind w:left="69"/>
              <w:rPr>
                <w:sz w:val="17"/>
              </w:rPr>
            </w:pPr>
            <w:r>
              <w:rPr>
                <w:spacing w:val="-2"/>
                <w:sz w:val="17"/>
              </w:rPr>
              <w:t>electrónicos)</w:t>
            </w:r>
          </w:p>
        </w:tc>
        <w:tc>
          <w:tcPr>
            <w:tcW w:w="1610" w:type="dxa"/>
            <w:tcBorders>
              <w:top w:val="single" w:sz="4" w:space="0" w:color="002D5D"/>
              <w:bottom w:val="single" w:sz="4" w:space="0" w:color="002D5D"/>
            </w:tcBorders>
          </w:tcPr>
          <w:p>
            <w:pPr>
              <w:pStyle w:val="TableParagraph"/>
              <w:spacing w:before="96"/>
              <w:rPr>
                <w:rFonts w:ascii="Arial"/>
                <w:b/>
                <w:sz w:val="17"/>
              </w:rPr>
            </w:pPr>
          </w:p>
          <w:p>
            <w:pPr>
              <w:pStyle w:val="TableParagraph"/>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spacing w:before="96"/>
              <w:rPr>
                <w:rFonts w:ascii="Arial"/>
                <w:b/>
                <w:sz w:val="17"/>
              </w:rPr>
            </w:pPr>
          </w:p>
          <w:p>
            <w:pPr>
              <w:pStyle w:val="TableParagraph"/>
              <w:ind w:right="275"/>
              <w:jc w:val="right"/>
              <w:rPr>
                <w:sz w:val="17"/>
              </w:rPr>
            </w:pPr>
            <w:r>
              <w:rPr>
                <w:spacing w:val="-2"/>
                <w:sz w:val="17"/>
              </w:rPr>
              <w:t>1.332.137,54</w:t>
            </w:r>
          </w:p>
        </w:tc>
        <w:tc>
          <w:tcPr>
            <w:tcW w:w="694" w:type="dxa"/>
            <w:tcBorders>
              <w:top w:val="single" w:sz="4" w:space="0" w:color="002D5D"/>
              <w:bottom w:val="single" w:sz="4" w:space="0" w:color="002D5D"/>
            </w:tcBorders>
          </w:tcPr>
          <w:p>
            <w:pPr>
              <w:pStyle w:val="TableParagraph"/>
              <w:spacing w:before="96"/>
              <w:rPr>
                <w:rFonts w:ascii="Arial"/>
                <w:b/>
                <w:sz w:val="17"/>
              </w:rPr>
            </w:pPr>
          </w:p>
          <w:p>
            <w:pPr>
              <w:pStyle w:val="TableParagraph"/>
              <w:ind w:right="268"/>
              <w:jc w:val="right"/>
              <w:rPr>
                <w:sz w:val="17"/>
              </w:rPr>
            </w:pPr>
            <w:r>
              <w:rPr>
                <w:spacing w:val="-4"/>
                <w:sz w:val="17"/>
              </w:rPr>
              <w:t>2,55</w:t>
            </w:r>
          </w:p>
        </w:tc>
        <w:tc>
          <w:tcPr>
            <w:tcW w:w="1416" w:type="dxa"/>
            <w:tcBorders>
              <w:top w:val="single" w:sz="4" w:space="0" w:color="002D5D"/>
              <w:bottom w:val="single" w:sz="4" w:space="0" w:color="002D5D"/>
            </w:tcBorders>
          </w:tcPr>
          <w:p>
            <w:pPr>
              <w:pStyle w:val="TableParagraph"/>
              <w:spacing w:before="96"/>
              <w:rPr>
                <w:rFonts w:ascii="Arial"/>
                <w:b/>
                <w:sz w:val="17"/>
              </w:rPr>
            </w:pPr>
          </w:p>
          <w:p>
            <w:pPr>
              <w:pStyle w:val="TableParagraph"/>
              <w:ind w:left="460"/>
              <w:rPr>
                <w:sz w:val="17"/>
              </w:rPr>
            </w:pPr>
            <w:r>
              <w:rPr>
                <w:spacing w:val="-2"/>
                <w:sz w:val="17"/>
              </w:rPr>
              <w:t>189.433,28</w:t>
            </w:r>
          </w:p>
        </w:tc>
        <w:tc>
          <w:tcPr>
            <w:tcW w:w="605" w:type="dxa"/>
            <w:tcBorders>
              <w:top w:val="single" w:sz="4" w:space="0" w:color="002D5D"/>
              <w:bottom w:val="single" w:sz="4" w:space="0" w:color="002D5D"/>
            </w:tcBorders>
          </w:tcPr>
          <w:p>
            <w:pPr>
              <w:pStyle w:val="TableParagraph"/>
              <w:spacing w:before="96"/>
              <w:rPr>
                <w:rFonts w:ascii="Arial"/>
                <w:b/>
                <w:sz w:val="17"/>
              </w:rPr>
            </w:pPr>
          </w:p>
          <w:p>
            <w:pPr>
              <w:pStyle w:val="TableParagraph"/>
              <w:ind w:right="172"/>
              <w:jc w:val="right"/>
              <w:rPr>
                <w:sz w:val="17"/>
              </w:rPr>
            </w:pPr>
            <w:r>
              <w:rPr>
                <w:spacing w:val="-2"/>
                <w:sz w:val="17"/>
              </w:rPr>
              <w:t>14,22</w:t>
            </w:r>
          </w:p>
        </w:tc>
        <w:tc>
          <w:tcPr>
            <w:tcW w:w="1113" w:type="dxa"/>
            <w:tcBorders>
              <w:top w:val="single" w:sz="4" w:space="0" w:color="002D5D"/>
              <w:bottom w:val="single" w:sz="4" w:space="0" w:color="002D5D"/>
            </w:tcBorders>
          </w:tcPr>
          <w:p>
            <w:pPr>
              <w:pStyle w:val="TableParagraph"/>
              <w:spacing w:before="96"/>
              <w:rPr>
                <w:rFonts w:ascii="Arial"/>
                <w:b/>
                <w:sz w:val="17"/>
              </w:rPr>
            </w:pPr>
          </w:p>
          <w:p>
            <w:pPr>
              <w:pStyle w:val="TableParagraph"/>
              <w:ind w:left="165"/>
              <w:rPr>
                <w:sz w:val="17"/>
              </w:rPr>
            </w:pPr>
            <w:r>
              <w:rPr>
                <w:spacing w:val="-2"/>
                <w:sz w:val="17"/>
              </w:rPr>
              <w:t>1.142.704,26</w:t>
            </w:r>
          </w:p>
        </w:tc>
        <w:tc>
          <w:tcPr>
            <w:tcW w:w="523" w:type="dxa"/>
            <w:tcBorders>
              <w:top w:val="single" w:sz="4" w:space="0" w:color="002D5D"/>
              <w:bottom w:val="single" w:sz="4" w:space="0" w:color="002D5D"/>
            </w:tcBorders>
          </w:tcPr>
          <w:p>
            <w:pPr>
              <w:pStyle w:val="TableParagraph"/>
              <w:spacing w:before="96"/>
              <w:rPr>
                <w:rFonts w:ascii="Arial"/>
                <w:b/>
                <w:sz w:val="17"/>
              </w:rPr>
            </w:pPr>
          </w:p>
          <w:p>
            <w:pPr>
              <w:pStyle w:val="TableParagraph"/>
              <w:ind w:right="4"/>
              <w:jc w:val="center"/>
              <w:rPr>
                <w:sz w:val="17"/>
              </w:rPr>
            </w:pPr>
            <w:r>
              <w:rPr>
                <w:spacing w:val="-2"/>
                <w:sz w:val="17"/>
              </w:rPr>
              <w:t>85,78</w:t>
            </w:r>
          </w:p>
        </w:tc>
        <w:tc>
          <w:tcPr>
            <w:tcW w:w="984" w:type="dxa"/>
            <w:tcBorders>
              <w:top w:val="single" w:sz="4" w:space="0" w:color="002D5D"/>
              <w:bottom w:val="single" w:sz="4" w:space="0" w:color="002D5D"/>
            </w:tcBorders>
          </w:tcPr>
          <w:p>
            <w:pPr>
              <w:pStyle w:val="TableParagraph"/>
              <w:spacing w:before="96"/>
              <w:rPr>
                <w:rFonts w:ascii="Arial"/>
                <w:b/>
                <w:sz w:val="17"/>
              </w:rPr>
            </w:pPr>
          </w:p>
          <w:p>
            <w:pPr>
              <w:pStyle w:val="TableParagraph"/>
              <w:ind w:right="28"/>
              <w:jc w:val="center"/>
              <w:rPr>
                <w:sz w:val="17"/>
              </w:rPr>
            </w:pPr>
            <w:r>
              <w:rPr>
                <w:sz w:val="17"/>
              </w:rPr>
              <w:t>En</w:t>
            </w:r>
            <w:r>
              <w:rPr>
                <w:spacing w:val="-1"/>
                <w:sz w:val="17"/>
              </w:rPr>
              <w:t> </w:t>
            </w:r>
            <w:r>
              <w:rPr>
                <w:spacing w:val="-2"/>
                <w:sz w:val="17"/>
              </w:rPr>
              <w:t>ejecución</w:t>
            </w:r>
          </w:p>
        </w:tc>
      </w:tr>
      <w:tr>
        <w:trPr>
          <w:trHeight w:val="340" w:hRule="atLeast"/>
        </w:trPr>
        <w:tc>
          <w:tcPr>
            <w:tcW w:w="2407" w:type="dxa"/>
            <w:tcBorders>
              <w:top w:val="single" w:sz="4" w:space="0" w:color="002D5D"/>
              <w:bottom w:val="single" w:sz="4" w:space="0" w:color="002D5D"/>
            </w:tcBorders>
          </w:tcPr>
          <w:p>
            <w:pPr>
              <w:pStyle w:val="TableParagraph"/>
              <w:spacing w:before="73"/>
              <w:ind w:left="69"/>
              <w:rPr>
                <w:sz w:val="17"/>
              </w:rPr>
            </w:pPr>
            <w:r>
              <w:rPr>
                <w:sz w:val="17"/>
              </w:rPr>
              <w:t>Marquesinas</w:t>
            </w:r>
            <w:r>
              <w:rPr>
                <w:spacing w:val="-5"/>
                <w:sz w:val="17"/>
              </w:rPr>
              <w:t> </w:t>
            </w:r>
            <w:r>
              <w:rPr>
                <w:spacing w:val="-2"/>
                <w:sz w:val="17"/>
              </w:rPr>
              <w:t>inteligentes</w:t>
            </w:r>
          </w:p>
        </w:tc>
        <w:tc>
          <w:tcPr>
            <w:tcW w:w="1610" w:type="dxa"/>
            <w:tcBorders>
              <w:top w:val="single" w:sz="4" w:space="0" w:color="002D5D"/>
              <w:bottom w:val="single" w:sz="4" w:space="0" w:color="002D5D"/>
            </w:tcBorders>
          </w:tcPr>
          <w:p>
            <w:pPr>
              <w:pStyle w:val="TableParagraph"/>
              <w:spacing w:before="73"/>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spacing w:before="73"/>
              <w:ind w:right="275"/>
              <w:jc w:val="right"/>
              <w:rPr>
                <w:sz w:val="17"/>
              </w:rPr>
            </w:pPr>
            <w:r>
              <w:rPr>
                <w:spacing w:val="-2"/>
                <w:sz w:val="17"/>
              </w:rPr>
              <w:t>1.171.385,00</w:t>
            </w:r>
          </w:p>
        </w:tc>
        <w:tc>
          <w:tcPr>
            <w:tcW w:w="694" w:type="dxa"/>
            <w:tcBorders>
              <w:top w:val="single" w:sz="4" w:space="0" w:color="002D5D"/>
              <w:bottom w:val="single" w:sz="4" w:space="0" w:color="002D5D"/>
            </w:tcBorders>
          </w:tcPr>
          <w:p>
            <w:pPr>
              <w:pStyle w:val="TableParagraph"/>
              <w:spacing w:before="73"/>
              <w:ind w:right="268"/>
              <w:jc w:val="right"/>
              <w:rPr>
                <w:sz w:val="17"/>
              </w:rPr>
            </w:pPr>
            <w:r>
              <w:rPr>
                <w:spacing w:val="-4"/>
                <w:sz w:val="17"/>
              </w:rPr>
              <w:t>2,24</w:t>
            </w:r>
          </w:p>
        </w:tc>
        <w:tc>
          <w:tcPr>
            <w:tcW w:w="1416" w:type="dxa"/>
            <w:tcBorders>
              <w:top w:val="single" w:sz="4" w:space="0" w:color="002D5D"/>
              <w:bottom w:val="single" w:sz="4" w:space="0" w:color="002D5D"/>
            </w:tcBorders>
          </w:tcPr>
          <w:p>
            <w:pPr>
              <w:pStyle w:val="TableParagraph"/>
              <w:spacing w:before="73"/>
              <w:ind w:left="460"/>
              <w:rPr>
                <w:sz w:val="17"/>
              </w:rPr>
            </w:pPr>
            <w:r>
              <w:rPr>
                <w:spacing w:val="-2"/>
                <w:sz w:val="17"/>
              </w:rPr>
              <w:t>117.138,50</w:t>
            </w:r>
          </w:p>
        </w:tc>
        <w:tc>
          <w:tcPr>
            <w:tcW w:w="605" w:type="dxa"/>
            <w:tcBorders>
              <w:top w:val="single" w:sz="4" w:space="0" w:color="002D5D"/>
              <w:bottom w:val="single" w:sz="4" w:space="0" w:color="002D5D"/>
            </w:tcBorders>
          </w:tcPr>
          <w:p>
            <w:pPr>
              <w:pStyle w:val="TableParagraph"/>
              <w:spacing w:before="73"/>
              <w:ind w:right="172"/>
              <w:jc w:val="right"/>
              <w:rPr>
                <w:sz w:val="17"/>
              </w:rPr>
            </w:pPr>
            <w:r>
              <w:rPr>
                <w:spacing w:val="-2"/>
                <w:sz w:val="17"/>
              </w:rPr>
              <w:t>10,00</w:t>
            </w:r>
          </w:p>
        </w:tc>
        <w:tc>
          <w:tcPr>
            <w:tcW w:w="1113" w:type="dxa"/>
            <w:tcBorders>
              <w:top w:val="single" w:sz="4" w:space="0" w:color="002D5D"/>
              <w:bottom w:val="single" w:sz="4" w:space="0" w:color="002D5D"/>
            </w:tcBorders>
          </w:tcPr>
          <w:p>
            <w:pPr>
              <w:pStyle w:val="TableParagraph"/>
              <w:spacing w:before="73"/>
              <w:ind w:left="165"/>
              <w:rPr>
                <w:sz w:val="17"/>
              </w:rPr>
            </w:pPr>
            <w:r>
              <w:rPr>
                <w:spacing w:val="-2"/>
                <w:sz w:val="17"/>
              </w:rPr>
              <w:t>1.054.246,50</w:t>
            </w:r>
          </w:p>
        </w:tc>
        <w:tc>
          <w:tcPr>
            <w:tcW w:w="523" w:type="dxa"/>
            <w:tcBorders>
              <w:top w:val="single" w:sz="4" w:space="0" w:color="002D5D"/>
              <w:bottom w:val="single" w:sz="4" w:space="0" w:color="002D5D"/>
            </w:tcBorders>
          </w:tcPr>
          <w:p>
            <w:pPr>
              <w:pStyle w:val="TableParagraph"/>
              <w:spacing w:before="73"/>
              <w:ind w:right="4"/>
              <w:jc w:val="center"/>
              <w:rPr>
                <w:sz w:val="17"/>
              </w:rPr>
            </w:pPr>
            <w:r>
              <w:rPr>
                <w:spacing w:val="-2"/>
                <w:sz w:val="17"/>
              </w:rPr>
              <w:t>90,00</w:t>
            </w:r>
          </w:p>
        </w:tc>
        <w:tc>
          <w:tcPr>
            <w:tcW w:w="984" w:type="dxa"/>
            <w:tcBorders>
              <w:top w:val="single" w:sz="4" w:space="0" w:color="002D5D"/>
              <w:bottom w:val="single" w:sz="4" w:space="0" w:color="002D5D"/>
            </w:tcBorders>
          </w:tcPr>
          <w:p>
            <w:pPr>
              <w:pStyle w:val="TableParagraph"/>
              <w:spacing w:before="73"/>
              <w:ind w:left="1" w:right="28"/>
              <w:jc w:val="center"/>
              <w:rPr>
                <w:sz w:val="17"/>
              </w:rPr>
            </w:pPr>
            <w:r>
              <w:rPr>
                <w:spacing w:val="-2"/>
                <w:sz w:val="17"/>
              </w:rPr>
              <w:t>Finalizada</w:t>
            </w:r>
          </w:p>
        </w:tc>
      </w:tr>
      <w:tr>
        <w:trPr>
          <w:trHeight w:val="585" w:hRule="atLeast"/>
        </w:trPr>
        <w:tc>
          <w:tcPr>
            <w:tcW w:w="2407" w:type="dxa"/>
            <w:tcBorders>
              <w:top w:val="single" w:sz="4" w:space="0" w:color="002D5D"/>
              <w:bottom w:val="single" w:sz="4" w:space="0" w:color="002D5D"/>
            </w:tcBorders>
          </w:tcPr>
          <w:p>
            <w:pPr>
              <w:pStyle w:val="TableParagraph"/>
              <w:ind w:left="69"/>
              <w:rPr>
                <w:sz w:val="17"/>
              </w:rPr>
            </w:pPr>
            <w:r>
              <w:rPr>
                <w:sz w:val="17"/>
              </w:rPr>
              <w:t>Digitalización</w:t>
            </w:r>
            <w:r>
              <w:rPr>
                <w:spacing w:val="-10"/>
                <w:sz w:val="17"/>
              </w:rPr>
              <w:t> </w:t>
            </w:r>
            <w:r>
              <w:rPr>
                <w:sz w:val="17"/>
              </w:rPr>
              <w:t>de</w:t>
            </w:r>
            <w:r>
              <w:rPr>
                <w:spacing w:val="-10"/>
                <w:sz w:val="17"/>
              </w:rPr>
              <w:t> </w:t>
            </w:r>
            <w:r>
              <w:rPr>
                <w:sz w:val="17"/>
              </w:rPr>
              <w:t>las</w:t>
            </w:r>
            <w:r>
              <w:rPr>
                <w:spacing w:val="-10"/>
                <w:sz w:val="17"/>
              </w:rPr>
              <w:t> </w:t>
            </w:r>
            <w:r>
              <w:rPr>
                <w:sz w:val="17"/>
              </w:rPr>
              <w:t>actividades</w:t>
            </w:r>
            <w:r>
              <w:rPr>
                <w:spacing w:val="-9"/>
                <w:sz w:val="17"/>
              </w:rPr>
              <w:t> </w:t>
            </w:r>
            <w:r>
              <w:rPr>
                <w:sz w:val="17"/>
              </w:rPr>
              <w:t>del</w:t>
            </w:r>
            <w:r>
              <w:rPr>
                <w:spacing w:val="40"/>
                <w:sz w:val="17"/>
              </w:rPr>
              <w:t> </w:t>
            </w:r>
            <w:r>
              <w:rPr>
                <w:sz w:val="17"/>
              </w:rPr>
              <w:t>taller y auxiliares para una flota</w:t>
            </w:r>
          </w:p>
          <w:p>
            <w:pPr>
              <w:pStyle w:val="TableParagraph"/>
              <w:spacing w:line="175" w:lineRule="exact"/>
              <w:ind w:left="69"/>
              <w:rPr>
                <w:sz w:val="17"/>
              </w:rPr>
            </w:pPr>
            <w:r>
              <w:rPr>
                <w:spacing w:val="-2"/>
                <w:sz w:val="17"/>
              </w:rPr>
              <w:t>sostenible</w:t>
            </w:r>
          </w:p>
        </w:tc>
        <w:tc>
          <w:tcPr>
            <w:tcW w:w="1610" w:type="dxa"/>
            <w:tcBorders>
              <w:top w:val="single" w:sz="4" w:space="0" w:color="002D5D"/>
              <w:bottom w:val="single" w:sz="4" w:space="0" w:color="002D5D"/>
            </w:tcBorders>
          </w:tcPr>
          <w:p>
            <w:pPr>
              <w:pStyle w:val="TableParagraph"/>
              <w:spacing w:before="193"/>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spacing w:before="193"/>
              <w:ind w:right="275"/>
              <w:jc w:val="right"/>
              <w:rPr>
                <w:sz w:val="17"/>
              </w:rPr>
            </w:pPr>
            <w:r>
              <w:rPr>
                <w:spacing w:val="-2"/>
                <w:sz w:val="17"/>
              </w:rPr>
              <w:t>154.286,44</w:t>
            </w:r>
          </w:p>
        </w:tc>
        <w:tc>
          <w:tcPr>
            <w:tcW w:w="694" w:type="dxa"/>
            <w:tcBorders>
              <w:top w:val="single" w:sz="4" w:space="0" w:color="002D5D"/>
              <w:bottom w:val="single" w:sz="4" w:space="0" w:color="002D5D"/>
            </w:tcBorders>
          </w:tcPr>
          <w:p>
            <w:pPr>
              <w:pStyle w:val="TableParagraph"/>
              <w:spacing w:before="193"/>
              <w:ind w:right="269"/>
              <w:jc w:val="right"/>
              <w:rPr>
                <w:sz w:val="17"/>
              </w:rPr>
            </w:pPr>
            <w:r>
              <w:rPr>
                <w:spacing w:val="-4"/>
                <w:sz w:val="17"/>
              </w:rPr>
              <w:t>0,29</w:t>
            </w:r>
          </w:p>
        </w:tc>
        <w:tc>
          <w:tcPr>
            <w:tcW w:w="1416" w:type="dxa"/>
            <w:tcBorders>
              <w:top w:val="single" w:sz="4" w:space="0" w:color="002D5D"/>
              <w:bottom w:val="single" w:sz="4" w:space="0" w:color="002D5D"/>
            </w:tcBorders>
          </w:tcPr>
          <w:p>
            <w:pPr>
              <w:pStyle w:val="TableParagraph"/>
              <w:spacing w:before="193"/>
              <w:ind w:left="539"/>
              <w:rPr>
                <w:sz w:val="17"/>
              </w:rPr>
            </w:pPr>
            <w:r>
              <w:rPr>
                <w:spacing w:val="-2"/>
                <w:sz w:val="17"/>
              </w:rPr>
              <w:t>15.428,82</w:t>
            </w:r>
          </w:p>
        </w:tc>
        <w:tc>
          <w:tcPr>
            <w:tcW w:w="605" w:type="dxa"/>
            <w:tcBorders>
              <w:top w:val="single" w:sz="4" w:space="0" w:color="002D5D"/>
              <w:bottom w:val="single" w:sz="4" w:space="0" w:color="002D5D"/>
            </w:tcBorders>
          </w:tcPr>
          <w:p>
            <w:pPr>
              <w:pStyle w:val="TableParagraph"/>
              <w:spacing w:before="193"/>
              <w:ind w:right="172"/>
              <w:jc w:val="right"/>
              <w:rPr>
                <w:sz w:val="17"/>
              </w:rPr>
            </w:pPr>
            <w:r>
              <w:rPr>
                <w:spacing w:val="-2"/>
                <w:sz w:val="17"/>
              </w:rPr>
              <w:t>10,00</w:t>
            </w:r>
          </w:p>
        </w:tc>
        <w:tc>
          <w:tcPr>
            <w:tcW w:w="1113" w:type="dxa"/>
            <w:tcBorders>
              <w:top w:val="single" w:sz="4" w:space="0" w:color="002D5D"/>
              <w:bottom w:val="single" w:sz="4" w:space="0" w:color="002D5D"/>
            </w:tcBorders>
          </w:tcPr>
          <w:p>
            <w:pPr>
              <w:pStyle w:val="TableParagraph"/>
              <w:spacing w:before="193"/>
              <w:ind w:left="281"/>
              <w:rPr>
                <w:sz w:val="17"/>
              </w:rPr>
            </w:pPr>
            <w:r>
              <w:rPr>
                <w:spacing w:val="-2"/>
                <w:sz w:val="17"/>
              </w:rPr>
              <w:t>138.857,62</w:t>
            </w:r>
          </w:p>
        </w:tc>
        <w:tc>
          <w:tcPr>
            <w:tcW w:w="523" w:type="dxa"/>
            <w:tcBorders>
              <w:top w:val="single" w:sz="4" w:space="0" w:color="002D5D"/>
              <w:bottom w:val="single" w:sz="4" w:space="0" w:color="002D5D"/>
            </w:tcBorders>
          </w:tcPr>
          <w:p>
            <w:pPr>
              <w:pStyle w:val="TableParagraph"/>
              <w:spacing w:before="193"/>
              <w:ind w:right="4"/>
              <w:jc w:val="center"/>
              <w:rPr>
                <w:sz w:val="17"/>
              </w:rPr>
            </w:pPr>
            <w:r>
              <w:rPr>
                <w:spacing w:val="-2"/>
                <w:sz w:val="17"/>
              </w:rPr>
              <w:t>90,00</w:t>
            </w:r>
          </w:p>
        </w:tc>
        <w:tc>
          <w:tcPr>
            <w:tcW w:w="984" w:type="dxa"/>
            <w:tcBorders>
              <w:top w:val="single" w:sz="4" w:space="0" w:color="002D5D"/>
              <w:bottom w:val="single" w:sz="4" w:space="0" w:color="002D5D"/>
            </w:tcBorders>
          </w:tcPr>
          <w:p>
            <w:pPr>
              <w:pStyle w:val="TableParagraph"/>
              <w:spacing w:before="193"/>
              <w:ind w:left="1" w:right="28"/>
              <w:jc w:val="center"/>
              <w:rPr>
                <w:sz w:val="17"/>
              </w:rPr>
            </w:pPr>
            <w:r>
              <w:rPr>
                <w:spacing w:val="-2"/>
                <w:sz w:val="17"/>
              </w:rPr>
              <w:t>Finalizada</w:t>
            </w:r>
          </w:p>
        </w:tc>
      </w:tr>
      <w:tr>
        <w:trPr>
          <w:trHeight w:val="1365" w:hRule="atLeast"/>
        </w:trPr>
        <w:tc>
          <w:tcPr>
            <w:tcW w:w="2407" w:type="dxa"/>
            <w:tcBorders>
              <w:top w:val="single" w:sz="4" w:space="0" w:color="002D5D"/>
              <w:bottom w:val="single" w:sz="4" w:space="0" w:color="002D5D"/>
            </w:tcBorders>
          </w:tcPr>
          <w:p>
            <w:pPr>
              <w:pStyle w:val="TableParagraph"/>
              <w:ind w:left="69" w:right="67"/>
              <w:rPr>
                <w:sz w:val="17"/>
              </w:rPr>
            </w:pPr>
            <w:r>
              <w:rPr>
                <w:sz w:val="17"/>
              </w:rPr>
              <w:t>Desarrollo e implementación de</w:t>
            </w:r>
            <w:r>
              <w:rPr>
                <w:spacing w:val="40"/>
                <w:sz w:val="17"/>
              </w:rPr>
              <w:t> </w:t>
            </w:r>
            <w:r>
              <w:rPr>
                <w:sz w:val="17"/>
              </w:rPr>
              <w:t>softwares</w:t>
            </w:r>
            <w:r>
              <w:rPr>
                <w:spacing w:val="-10"/>
                <w:sz w:val="17"/>
              </w:rPr>
              <w:t> </w:t>
            </w:r>
            <w:r>
              <w:rPr>
                <w:sz w:val="17"/>
              </w:rPr>
              <w:t>de</w:t>
            </w:r>
            <w:r>
              <w:rPr>
                <w:spacing w:val="-9"/>
                <w:sz w:val="17"/>
              </w:rPr>
              <w:t> </w:t>
            </w:r>
            <w:r>
              <w:rPr>
                <w:sz w:val="17"/>
              </w:rPr>
              <w:t>visionado</w:t>
            </w:r>
            <w:r>
              <w:rPr>
                <w:spacing w:val="-10"/>
                <w:sz w:val="17"/>
              </w:rPr>
              <w:t> </w:t>
            </w:r>
            <w:r>
              <w:rPr>
                <w:sz w:val="17"/>
              </w:rPr>
              <w:t>y</w:t>
            </w:r>
            <w:r>
              <w:rPr>
                <w:spacing w:val="-10"/>
                <w:sz w:val="17"/>
              </w:rPr>
              <w:t> </w:t>
            </w:r>
            <w:r>
              <w:rPr>
                <w:sz w:val="17"/>
              </w:rPr>
              <w:t>tratamiento</w:t>
            </w:r>
            <w:r>
              <w:rPr>
                <w:spacing w:val="40"/>
                <w:sz w:val="17"/>
              </w:rPr>
              <w:t> </w:t>
            </w:r>
            <w:r>
              <w:rPr>
                <w:sz w:val="17"/>
              </w:rPr>
              <w:t>inteligente de imágenes para el</w:t>
            </w:r>
            <w:r>
              <w:rPr>
                <w:spacing w:val="40"/>
                <w:sz w:val="17"/>
              </w:rPr>
              <w:t> </w:t>
            </w:r>
            <w:r>
              <w:rPr>
                <w:sz w:val="17"/>
              </w:rPr>
              <w:t>control del cumplimiento de las</w:t>
            </w:r>
            <w:r>
              <w:rPr>
                <w:spacing w:val="40"/>
                <w:sz w:val="17"/>
              </w:rPr>
              <w:t> </w:t>
            </w:r>
            <w:r>
              <w:rPr>
                <w:sz w:val="17"/>
              </w:rPr>
              <w:t>normativas legales que afectan al</w:t>
            </w:r>
            <w:r>
              <w:rPr>
                <w:spacing w:val="40"/>
                <w:sz w:val="17"/>
              </w:rPr>
              <w:t> </w:t>
            </w:r>
            <w:r>
              <w:rPr>
                <w:sz w:val="17"/>
              </w:rPr>
              <w:t>servicio (vigilancia carril bus,</w:t>
            </w:r>
          </w:p>
          <w:p>
            <w:pPr>
              <w:pStyle w:val="TableParagraph"/>
              <w:spacing w:line="175" w:lineRule="exact"/>
              <w:ind w:left="69"/>
              <w:rPr>
                <w:sz w:val="17"/>
              </w:rPr>
            </w:pPr>
            <w:r>
              <w:rPr>
                <w:sz w:val="17"/>
              </w:rPr>
              <w:t>ocupación</w:t>
            </w:r>
            <w:r>
              <w:rPr>
                <w:spacing w:val="-6"/>
                <w:sz w:val="17"/>
              </w:rPr>
              <w:t> </w:t>
            </w:r>
            <w:r>
              <w:rPr>
                <w:sz w:val="17"/>
              </w:rPr>
              <w:t>de</w:t>
            </w:r>
            <w:r>
              <w:rPr>
                <w:spacing w:val="-3"/>
                <w:sz w:val="17"/>
              </w:rPr>
              <w:t> </w:t>
            </w:r>
            <w:r>
              <w:rPr>
                <w:sz w:val="17"/>
              </w:rPr>
              <w:t>las</w:t>
            </w:r>
            <w:r>
              <w:rPr>
                <w:spacing w:val="-3"/>
                <w:sz w:val="17"/>
              </w:rPr>
              <w:t> </w:t>
            </w:r>
            <w:r>
              <w:rPr>
                <w:spacing w:val="-2"/>
                <w:sz w:val="17"/>
              </w:rPr>
              <w:t>paradas)</w:t>
            </w:r>
          </w:p>
        </w:tc>
        <w:tc>
          <w:tcPr>
            <w:tcW w:w="1610" w:type="dxa"/>
            <w:tcBorders>
              <w:top w:val="single" w:sz="4"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right="275"/>
              <w:jc w:val="right"/>
              <w:rPr>
                <w:sz w:val="17"/>
              </w:rPr>
            </w:pPr>
            <w:r>
              <w:rPr>
                <w:spacing w:val="-2"/>
                <w:sz w:val="17"/>
              </w:rPr>
              <w:t>424.348,87</w:t>
            </w:r>
          </w:p>
        </w:tc>
        <w:tc>
          <w:tcPr>
            <w:tcW w:w="694" w:type="dxa"/>
            <w:tcBorders>
              <w:top w:val="single" w:sz="4"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right="268"/>
              <w:jc w:val="right"/>
              <w:rPr>
                <w:sz w:val="17"/>
              </w:rPr>
            </w:pPr>
            <w:r>
              <w:rPr>
                <w:spacing w:val="-4"/>
                <w:sz w:val="17"/>
              </w:rPr>
              <w:t>0,81</w:t>
            </w:r>
          </w:p>
        </w:tc>
        <w:tc>
          <w:tcPr>
            <w:tcW w:w="1416" w:type="dxa"/>
            <w:tcBorders>
              <w:top w:val="single" w:sz="4"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left="460"/>
              <w:rPr>
                <w:sz w:val="17"/>
              </w:rPr>
            </w:pPr>
            <w:r>
              <w:rPr>
                <w:spacing w:val="-2"/>
                <w:sz w:val="17"/>
              </w:rPr>
              <w:t>106.649,98</w:t>
            </w:r>
          </w:p>
        </w:tc>
        <w:tc>
          <w:tcPr>
            <w:tcW w:w="605" w:type="dxa"/>
            <w:tcBorders>
              <w:top w:val="single" w:sz="4"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right="172"/>
              <w:jc w:val="right"/>
              <w:rPr>
                <w:sz w:val="17"/>
              </w:rPr>
            </w:pPr>
            <w:r>
              <w:rPr>
                <w:spacing w:val="-2"/>
                <w:sz w:val="17"/>
              </w:rPr>
              <w:t>25,13</w:t>
            </w:r>
          </w:p>
        </w:tc>
        <w:tc>
          <w:tcPr>
            <w:tcW w:w="1113" w:type="dxa"/>
            <w:tcBorders>
              <w:top w:val="single" w:sz="4"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left="281"/>
              <w:rPr>
                <w:sz w:val="17"/>
              </w:rPr>
            </w:pPr>
            <w:r>
              <w:rPr>
                <w:spacing w:val="-2"/>
                <w:sz w:val="17"/>
              </w:rPr>
              <w:t>317.698,89</w:t>
            </w:r>
          </w:p>
        </w:tc>
        <w:tc>
          <w:tcPr>
            <w:tcW w:w="523" w:type="dxa"/>
            <w:tcBorders>
              <w:top w:val="single" w:sz="4"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right="4"/>
              <w:jc w:val="center"/>
              <w:rPr>
                <w:sz w:val="17"/>
              </w:rPr>
            </w:pPr>
            <w:r>
              <w:rPr>
                <w:spacing w:val="-2"/>
                <w:sz w:val="17"/>
              </w:rPr>
              <w:t>74,87</w:t>
            </w:r>
          </w:p>
        </w:tc>
        <w:tc>
          <w:tcPr>
            <w:tcW w:w="984" w:type="dxa"/>
            <w:tcBorders>
              <w:top w:val="single" w:sz="4"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right="28"/>
              <w:jc w:val="center"/>
              <w:rPr>
                <w:sz w:val="17"/>
              </w:rPr>
            </w:pPr>
            <w:r>
              <w:rPr>
                <w:sz w:val="17"/>
              </w:rPr>
              <w:t>En</w:t>
            </w:r>
            <w:r>
              <w:rPr>
                <w:spacing w:val="-1"/>
                <w:sz w:val="17"/>
              </w:rPr>
              <w:t> </w:t>
            </w:r>
            <w:r>
              <w:rPr>
                <w:spacing w:val="-2"/>
                <w:sz w:val="17"/>
              </w:rPr>
              <w:t>ejecución</w:t>
            </w:r>
          </w:p>
        </w:tc>
      </w:tr>
      <w:tr>
        <w:trPr>
          <w:trHeight w:val="585" w:hRule="atLeast"/>
        </w:trPr>
        <w:tc>
          <w:tcPr>
            <w:tcW w:w="2407" w:type="dxa"/>
            <w:tcBorders>
              <w:top w:val="single" w:sz="4" w:space="0" w:color="002D5D"/>
              <w:bottom w:val="single" w:sz="4" w:space="0" w:color="002D5D"/>
            </w:tcBorders>
          </w:tcPr>
          <w:p>
            <w:pPr>
              <w:pStyle w:val="TableParagraph"/>
              <w:spacing w:line="194" w:lineRule="exact"/>
              <w:ind w:left="69"/>
              <w:rPr>
                <w:sz w:val="17"/>
              </w:rPr>
            </w:pPr>
            <w:r>
              <w:rPr>
                <w:sz w:val="17"/>
              </w:rPr>
              <w:t>Sistema</w:t>
            </w:r>
            <w:r>
              <w:rPr>
                <w:spacing w:val="-4"/>
                <w:sz w:val="17"/>
              </w:rPr>
              <w:t> </w:t>
            </w:r>
            <w:r>
              <w:rPr>
                <w:sz w:val="17"/>
              </w:rPr>
              <w:t>de</w:t>
            </w:r>
            <w:r>
              <w:rPr>
                <w:spacing w:val="-3"/>
                <w:sz w:val="17"/>
              </w:rPr>
              <w:t> </w:t>
            </w:r>
            <w:r>
              <w:rPr>
                <w:sz w:val="17"/>
              </w:rPr>
              <w:t>control de</w:t>
            </w:r>
            <w:r>
              <w:rPr>
                <w:spacing w:val="-3"/>
                <w:sz w:val="17"/>
              </w:rPr>
              <w:t> </w:t>
            </w:r>
            <w:r>
              <w:rPr>
                <w:sz w:val="17"/>
              </w:rPr>
              <w:t>aforos</w:t>
            </w:r>
            <w:r>
              <w:rPr>
                <w:spacing w:val="-3"/>
                <w:sz w:val="17"/>
              </w:rPr>
              <w:t> </w:t>
            </w:r>
            <w:r>
              <w:rPr>
                <w:spacing w:val="-10"/>
                <w:sz w:val="17"/>
              </w:rPr>
              <w:t>y</w:t>
            </w:r>
          </w:p>
          <w:p>
            <w:pPr>
              <w:pStyle w:val="TableParagraph"/>
              <w:spacing w:line="194" w:lineRule="exact"/>
              <w:ind w:left="69"/>
              <w:rPr>
                <w:sz w:val="17"/>
              </w:rPr>
            </w:pPr>
            <w:r>
              <w:rPr>
                <w:sz w:val="17"/>
              </w:rPr>
              <w:t>cálculo</w:t>
            </w:r>
            <w:r>
              <w:rPr>
                <w:spacing w:val="-10"/>
                <w:sz w:val="17"/>
              </w:rPr>
              <w:t> </w:t>
            </w:r>
            <w:r>
              <w:rPr>
                <w:sz w:val="17"/>
              </w:rPr>
              <w:t>de</w:t>
            </w:r>
            <w:r>
              <w:rPr>
                <w:spacing w:val="-10"/>
                <w:sz w:val="17"/>
              </w:rPr>
              <w:t> </w:t>
            </w:r>
            <w:r>
              <w:rPr>
                <w:sz w:val="17"/>
              </w:rPr>
              <w:t>matrices</w:t>
            </w:r>
            <w:r>
              <w:rPr>
                <w:spacing w:val="-10"/>
                <w:sz w:val="17"/>
              </w:rPr>
              <w:t> </w:t>
            </w:r>
            <w:r>
              <w:rPr>
                <w:sz w:val="17"/>
              </w:rPr>
              <w:t>origen-destino</w:t>
            </w:r>
            <w:r>
              <w:rPr>
                <w:spacing w:val="40"/>
                <w:sz w:val="17"/>
              </w:rPr>
              <w:t> </w:t>
            </w:r>
            <w:r>
              <w:rPr>
                <w:sz w:val="17"/>
              </w:rPr>
              <w:t>mediante</w:t>
            </w:r>
            <w:r>
              <w:rPr>
                <w:spacing w:val="-5"/>
                <w:sz w:val="17"/>
              </w:rPr>
              <w:t> </w:t>
            </w:r>
            <w:r>
              <w:rPr>
                <w:sz w:val="17"/>
              </w:rPr>
              <w:t>algoritmo</w:t>
            </w:r>
            <w:r>
              <w:rPr>
                <w:spacing w:val="-4"/>
                <w:sz w:val="17"/>
              </w:rPr>
              <w:t> </w:t>
            </w:r>
            <w:r>
              <w:rPr>
                <w:sz w:val="17"/>
              </w:rPr>
              <w:t>de</w:t>
            </w:r>
            <w:r>
              <w:rPr>
                <w:spacing w:val="-3"/>
                <w:sz w:val="17"/>
              </w:rPr>
              <w:t> </w:t>
            </w:r>
            <w:r>
              <w:rPr>
                <w:spacing w:val="-2"/>
                <w:sz w:val="17"/>
              </w:rPr>
              <w:t>estimación</w:t>
            </w:r>
          </w:p>
        </w:tc>
        <w:tc>
          <w:tcPr>
            <w:tcW w:w="1610" w:type="dxa"/>
            <w:tcBorders>
              <w:top w:val="single" w:sz="4" w:space="0" w:color="002D5D"/>
              <w:bottom w:val="single" w:sz="4" w:space="0" w:color="002D5D"/>
            </w:tcBorders>
          </w:tcPr>
          <w:p>
            <w:pPr>
              <w:pStyle w:val="TableParagraph"/>
              <w:rPr>
                <w:rFonts w:ascii="Arial"/>
                <w:b/>
                <w:sz w:val="17"/>
              </w:rPr>
            </w:pPr>
          </w:p>
          <w:p>
            <w:pPr>
              <w:pStyle w:val="TableParagraph"/>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rPr>
                <w:rFonts w:ascii="Arial"/>
                <w:b/>
                <w:sz w:val="17"/>
              </w:rPr>
            </w:pPr>
          </w:p>
          <w:p>
            <w:pPr>
              <w:pStyle w:val="TableParagraph"/>
              <w:ind w:right="275"/>
              <w:jc w:val="right"/>
              <w:rPr>
                <w:sz w:val="17"/>
              </w:rPr>
            </w:pPr>
            <w:r>
              <w:rPr>
                <w:spacing w:val="-2"/>
                <w:sz w:val="17"/>
              </w:rPr>
              <w:t>152.953,00</w:t>
            </w:r>
          </w:p>
        </w:tc>
        <w:tc>
          <w:tcPr>
            <w:tcW w:w="694" w:type="dxa"/>
            <w:tcBorders>
              <w:top w:val="single" w:sz="4" w:space="0" w:color="002D5D"/>
              <w:bottom w:val="single" w:sz="4" w:space="0" w:color="002D5D"/>
            </w:tcBorders>
          </w:tcPr>
          <w:p>
            <w:pPr>
              <w:pStyle w:val="TableParagraph"/>
              <w:rPr>
                <w:rFonts w:ascii="Arial"/>
                <w:b/>
                <w:sz w:val="17"/>
              </w:rPr>
            </w:pPr>
          </w:p>
          <w:p>
            <w:pPr>
              <w:pStyle w:val="TableParagraph"/>
              <w:ind w:right="268"/>
              <w:jc w:val="right"/>
              <w:rPr>
                <w:sz w:val="17"/>
              </w:rPr>
            </w:pPr>
            <w:r>
              <w:rPr>
                <w:spacing w:val="-4"/>
                <w:sz w:val="17"/>
              </w:rPr>
              <w:t>0,30</w:t>
            </w:r>
          </w:p>
        </w:tc>
        <w:tc>
          <w:tcPr>
            <w:tcW w:w="1416" w:type="dxa"/>
            <w:tcBorders>
              <w:top w:val="single" w:sz="4" w:space="0" w:color="002D5D"/>
              <w:bottom w:val="single" w:sz="4" w:space="0" w:color="002D5D"/>
            </w:tcBorders>
          </w:tcPr>
          <w:p>
            <w:pPr>
              <w:pStyle w:val="TableParagraph"/>
              <w:rPr>
                <w:rFonts w:ascii="Arial"/>
                <w:b/>
                <w:sz w:val="17"/>
              </w:rPr>
            </w:pPr>
          </w:p>
          <w:p>
            <w:pPr>
              <w:pStyle w:val="TableParagraph"/>
              <w:ind w:left="539"/>
              <w:rPr>
                <w:sz w:val="17"/>
              </w:rPr>
            </w:pPr>
            <w:r>
              <w:rPr>
                <w:spacing w:val="-2"/>
                <w:sz w:val="17"/>
              </w:rPr>
              <w:t>15.295,30</w:t>
            </w:r>
          </w:p>
        </w:tc>
        <w:tc>
          <w:tcPr>
            <w:tcW w:w="605" w:type="dxa"/>
            <w:tcBorders>
              <w:top w:val="single" w:sz="4" w:space="0" w:color="002D5D"/>
              <w:bottom w:val="single" w:sz="4" w:space="0" w:color="002D5D"/>
            </w:tcBorders>
          </w:tcPr>
          <w:p>
            <w:pPr>
              <w:pStyle w:val="TableParagraph"/>
              <w:rPr>
                <w:rFonts w:ascii="Arial"/>
                <w:b/>
                <w:sz w:val="17"/>
              </w:rPr>
            </w:pPr>
          </w:p>
          <w:p>
            <w:pPr>
              <w:pStyle w:val="TableParagraph"/>
              <w:ind w:right="172"/>
              <w:jc w:val="right"/>
              <w:rPr>
                <w:sz w:val="17"/>
              </w:rPr>
            </w:pPr>
            <w:r>
              <w:rPr>
                <w:spacing w:val="-2"/>
                <w:sz w:val="17"/>
              </w:rPr>
              <w:t>10,00</w:t>
            </w:r>
          </w:p>
        </w:tc>
        <w:tc>
          <w:tcPr>
            <w:tcW w:w="1113" w:type="dxa"/>
            <w:tcBorders>
              <w:top w:val="single" w:sz="4" w:space="0" w:color="002D5D"/>
              <w:bottom w:val="single" w:sz="4" w:space="0" w:color="002D5D"/>
            </w:tcBorders>
          </w:tcPr>
          <w:p>
            <w:pPr>
              <w:pStyle w:val="TableParagraph"/>
              <w:rPr>
                <w:rFonts w:ascii="Arial"/>
                <w:b/>
                <w:sz w:val="17"/>
              </w:rPr>
            </w:pPr>
          </w:p>
          <w:p>
            <w:pPr>
              <w:pStyle w:val="TableParagraph"/>
              <w:ind w:left="281"/>
              <w:rPr>
                <w:sz w:val="17"/>
              </w:rPr>
            </w:pPr>
            <w:r>
              <w:rPr>
                <w:spacing w:val="-2"/>
                <w:sz w:val="17"/>
              </w:rPr>
              <w:t>137.657,70</w:t>
            </w:r>
          </w:p>
        </w:tc>
        <w:tc>
          <w:tcPr>
            <w:tcW w:w="523" w:type="dxa"/>
            <w:tcBorders>
              <w:top w:val="single" w:sz="4" w:space="0" w:color="002D5D"/>
              <w:bottom w:val="single" w:sz="4" w:space="0" w:color="002D5D"/>
            </w:tcBorders>
          </w:tcPr>
          <w:p>
            <w:pPr>
              <w:pStyle w:val="TableParagraph"/>
              <w:rPr>
                <w:rFonts w:ascii="Arial"/>
                <w:b/>
                <w:sz w:val="17"/>
              </w:rPr>
            </w:pPr>
          </w:p>
          <w:p>
            <w:pPr>
              <w:pStyle w:val="TableParagraph"/>
              <w:ind w:right="4"/>
              <w:jc w:val="center"/>
              <w:rPr>
                <w:sz w:val="17"/>
              </w:rPr>
            </w:pPr>
            <w:r>
              <w:rPr>
                <w:spacing w:val="-2"/>
                <w:sz w:val="17"/>
              </w:rPr>
              <w:t>90,00</w:t>
            </w:r>
          </w:p>
        </w:tc>
        <w:tc>
          <w:tcPr>
            <w:tcW w:w="984" w:type="dxa"/>
            <w:tcBorders>
              <w:top w:val="single" w:sz="4" w:space="0" w:color="002D5D"/>
              <w:bottom w:val="single" w:sz="4" w:space="0" w:color="002D5D"/>
            </w:tcBorders>
          </w:tcPr>
          <w:p>
            <w:pPr>
              <w:pStyle w:val="TableParagraph"/>
              <w:rPr>
                <w:rFonts w:ascii="Arial"/>
                <w:b/>
                <w:sz w:val="17"/>
              </w:rPr>
            </w:pPr>
          </w:p>
          <w:p>
            <w:pPr>
              <w:pStyle w:val="TableParagraph"/>
              <w:ind w:left="1" w:right="28"/>
              <w:jc w:val="center"/>
              <w:rPr>
                <w:sz w:val="17"/>
              </w:rPr>
            </w:pPr>
            <w:r>
              <w:rPr>
                <w:spacing w:val="-2"/>
                <w:sz w:val="17"/>
              </w:rPr>
              <w:t>Finalizada</w:t>
            </w:r>
          </w:p>
        </w:tc>
      </w:tr>
      <w:tr>
        <w:trPr>
          <w:trHeight w:val="390" w:hRule="atLeast"/>
        </w:trPr>
        <w:tc>
          <w:tcPr>
            <w:tcW w:w="2407" w:type="dxa"/>
            <w:tcBorders>
              <w:top w:val="single" w:sz="4" w:space="0" w:color="002D5D"/>
              <w:bottom w:val="single" w:sz="4" w:space="0" w:color="002D5D"/>
            </w:tcBorders>
          </w:tcPr>
          <w:p>
            <w:pPr>
              <w:pStyle w:val="TableParagraph"/>
              <w:spacing w:line="196" w:lineRule="exact"/>
              <w:ind w:left="69"/>
              <w:rPr>
                <w:sz w:val="17"/>
              </w:rPr>
            </w:pPr>
            <w:r>
              <w:rPr>
                <w:sz w:val="17"/>
              </w:rPr>
              <w:t>Sistema de sensorización y</w:t>
            </w:r>
            <w:r>
              <w:rPr>
                <w:spacing w:val="40"/>
                <w:sz w:val="17"/>
              </w:rPr>
              <w:t> </w:t>
            </w:r>
            <w:r>
              <w:rPr>
                <w:sz w:val="17"/>
              </w:rPr>
              <w:t>monitorización</w:t>
            </w:r>
            <w:r>
              <w:rPr>
                <w:spacing w:val="-10"/>
                <w:sz w:val="17"/>
              </w:rPr>
              <w:t> </w:t>
            </w:r>
            <w:r>
              <w:rPr>
                <w:sz w:val="17"/>
              </w:rPr>
              <w:t>de</w:t>
            </w:r>
            <w:r>
              <w:rPr>
                <w:spacing w:val="-10"/>
                <w:sz w:val="17"/>
              </w:rPr>
              <w:t> </w:t>
            </w:r>
            <w:r>
              <w:rPr>
                <w:sz w:val="17"/>
              </w:rPr>
              <w:t>los</w:t>
            </w:r>
            <w:r>
              <w:rPr>
                <w:spacing w:val="-10"/>
                <w:sz w:val="17"/>
              </w:rPr>
              <w:t> </w:t>
            </w:r>
            <w:r>
              <w:rPr>
                <w:sz w:val="17"/>
              </w:rPr>
              <w:t>autobuses</w:t>
            </w:r>
          </w:p>
        </w:tc>
        <w:tc>
          <w:tcPr>
            <w:tcW w:w="1610" w:type="dxa"/>
            <w:tcBorders>
              <w:top w:val="single" w:sz="4" w:space="0" w:color="002D5D"/>
              <w:bottom w:val="single" w:sz="4" w:space="0" w:color="002D5D"/>
            </w:tcBorders>
          </w:tcPr>
          <w:p>
            <w:pPr>
              <w:pStyle w:val="TableParagraph"/>
              <w:spacing w:before="97"/>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spacing w:before="97"/>
              <w:ind w:right="275"/>
              <w:jc w:val="right"/>
              <w:rPr>
                <w:sz w:val="17"/>
              </w:rPr>
            </w:pPr>
            <w:r>
              <w:rPr>
                <w:spacing w:val="-2"/>
                <w:sz w:val="17"/>
              </w:rPr>
              <w:t>300.625,00</w:t>
            </w:r>
          </w:p>
        </w:tc>
        <w:tc>
          <w:tcPr>
            <w:tcW w:w="694" w:type="dxa"/>
            <w:tcBorders>
              <w:top w:val="single" w:sz="4" w:space="0" w:color="002D5D"/>
              <w:bottom w:val="single" w:sz="4" w:space="0" w:color="002D5D"/>
            </w:tcBorders>
          </w:tcPr>
          <w:p>
            <w:pPr>
              <w:pStyle w:val="TableParagraph"/>
              <w:spacing w:before="97"/>
              <w:ind w:right="269"/>
              <w:jc w:val="right"/>
              <w:rPr>
                <w:sz w:val="17"/>
              </w:rPr>
            </w:pPr>
            <w:r>
              <w:rPr>
                <w:spacing w:val="-4"/>
                <w:sz w:val="17"/>
              </w:rPr>
              <w:t>0,57</w:t>
            </w:r>
          </w:p>
        </w:tc>
        <w:tc>
          <w:tcPr>
            <w:tcW w:w="1416" w:type="dxa"/>
            <w:tcBorders>
              <w:top w:val="single" w:sz="4" w:space="0" w:color="002D5D"/>
              <w:bottom w:val="single" w:sz="4" w:space="0" w:color="002D5D"/>
            </w:tcBorders>
          </w:tcPr>
          <w:p>
            <w:pPr>
              <w:pStyle w:val="TableParagraph"/>
              <w:spacing w:before="97"/>
              <w:ind w:left="460"/>
              <w:rPr>
                <w:sz w:val="17"/>
              </w:rPr>
            </w:pPr>
            <w:r>
              <w:rPr>
                <w:spacing w:val="-2"/>
                <w:sz w:val="17"/>
              </w:rPr>
              <w:t>144.889,00</w:t>
            </w:r>
          </w:p>
        </w:tc>
        <w:tc>
          <w:tcPr>
            <w:tcW w:w="605" w:type="dxa"/>
            <w:tcBorders>
              <w:top w:val="single" w:sz="4" w:space="0" w:color="002D5D"/>
              <w:bottom w:val="single" w:sz="4" w:space="0" w:color="002D5D"/>
            </w:tcBorders>
          </w:tcPr>
          <w:p>
            <w:pPr>
              <w:pStyle w:val="TableParagraph"/>
              <w:spacing w:before="97"/>
              <w:ind w:right="172"/>
              <w:jc w:val="right"/>
              <w:rPr>
                <w:sz w:val="17"/>
              </w:rPr>
            </w:pPr>
            <w:r>
              <w:rPr>
                <w:spacing w:val="-2"/>
                <w:sz w:val="17"/>
              </w:rPr>
              <w:t>48,20</w:t>
            </w:r>
          </w:p>
        </w:tc>
        <w:tc>
          <w:tcPr>
            <w:tcW w:w="1113" w:type="dxa"/>
            <w:tcBorders>
              <w:top w:val="single" w:sz="4" w:space="0" w:color="002D5D"/>
              <w:bottom w:val="single" w:sz="4" w:space="0" w:color="002D5D"/>
            </w:tcBorders>
          </w:tcPr>
          <w:p>
            <w:pPr>
              <w:pStyle w:val="TableParagraph"/>
              <w:spacing w:before="97"/>
              <w:ind w:left="281"/>
              <w:rPr>
                <w:sz w:val="17"/>
              </w:rPr>
            </w:pPr>
            <w:r>
              <w:rPr>
                <w:spacing w:val="-2"/>
                <w:sz w:val="17"/>
              </w:rPr>
              <w:t>155.736,00</w:t>
            </w:r>
          </w:p>
        </w:tc>
        <w:tc>
          <w:tcPr>
            <w:tcW w:w="523" w:type="dxa"/>
            <w:tcBorders>
              <w:top w:val="single" w:sz="4" w:space="0" w:color="002D5D"/>
              <w:bottom w:val="single" w:sz="4" w:space="0" w:color="002D5D"/>
            </w:tcBorders>
          </w:tcPr>
          <w:p>
            <w:pPr>
              <w:pStyle w:val="TableParagraph"/>
              <w:spacing w:before="97"/>
              <w:ind w:right="4"/>
              <w:jc w:val="center"/>
              <w:rPr>
                <w:sz w:val="17"/>
              </w:rPr>
            </w:pPr>
            <w:r>
              <w:rPr>
                <w:spacing w:val="-2"/>
                <w:sz w:val="17"/>
              </w:rPr>
              <w:t>51,80</w:t>
            </w:r>
          </w:p>
        </w:tc>
        <w:tc>
          <w:tcPr>
            <w:tcW w:w="984" w:type="dxa"/>
            <w:tcBorders>
              <w:top w:val="single" w:sz="4" w:space="0" w:color="002D5D"/>
              <w:bottom w:val="single" w:sz="4" w:space="0" w:color="002D5D"/>
            </w:tcBorders>
          </w:tcPr>
          <w:p>
            <w:pPr>
              <w:pStyle w:val="TableParagraph"/>
              <w:spacing w:before="97"/>
              <w:ind w:right="28"/>
              <w:jc w:val="center"/>
              <w:rPr>
                <w:sz w:val="17"/>
              </w:rPr>
            </w:pPr>
            <w:r>
              <w:rPr>
                <w:sz w:val="17"/>
              </w:rPr>
              <w:t>En</w:t>
            </w:r>
            <w:r>
              <w:rPr>
                <w:spacing w:val="-1"/>
                <w:sz w:val="17"/>
              </w:rPr>
              <w:t> </w:t>
            </w:r>
            <w:r>
              <w:rPr>
                <w:spacing w:val="-2"/>
                <w:sz w:val="17"/>
              </w:rPr>
              <w:t>ejecución</w:t>
            </w:r>
          </w:p>
        </w:tc>
      </w:tr>
      <w:tr>
        <w:trPr>
          <w:trHeight w:val="779" w:hRule="atLeast"/>
        </w:trPr>
        <w:tc>
          <w:tcPr>
            <w:tcW w:w="2407" w:type="dxa"/>
            <w:tcBorders>
              <w:top w:val="single" w:sz="4" w:space="0" w:color="002D5D"/>
              <w:bottom w:val="single" w:sz="4" w:space="0" w:color="002D5D"/>
            </w:tcBorders>
          </w:tcPr>
          <w:p>
            <w:pPr>
              <w:pStyle w:val="TableParagraph"/>
              <w:ind w:left="69" w:right="79"/>
              <w:rPr>
                <w:sz w:val="17"/>
              </w:rPr>
            </w:pPr>
            <w:r>
              <w:rPr>
                <w:sz w:val="17"/>
              </w:rPr>
              <w:t>Sistemas de predicción a la</w:t>
            </w:r>
            <w:r>
              <w:rPr>
                <w:spacing w:val="40"/>
                <w:sz w:val="17"/>
              </w:rPr>
              <w:t> </w:t>
            </w:r>
            <w:r>
              <w:rPr>
                <w:sz w:val="17"/>
              </w:rPr>
              <w:t>demanda y sensorización de</w:t>
            </w:r>
            <w:r>
              <w:rPr>
                <w:spacing w:val="40"/>
                <w:sz w:val="17"/>
              </w:rPr>
              <w:t> </w:t>
            </w:r>
            <w:r>
              <w:rPr>
                <w:sz w:val="17"/>
              </w:rPr>
              <w:t>paradas</w:t>
            </w:r>
            <w:r>
              <w:rPr>
                <w:spacing w:val="-10"/>
                <w:sz w:val="17"/>
              </w:rPr>
              <w:t> </w:t>
            </w:r>
            <w:r>
              <w:rPr>
                <w:sz w:val="17"/>
              </w:rPr>
              <w:t>con</w:t>
            </w:r>
            <w:r>
              <w:rPr>
                <w:spacing w:val="-10"/>
                <w:sz w:val="17"/>
              </w:rPr>
              <w:t> </w:t>
            </w:r>
            <w:r>
              <w:rPr>
                <w:sz w:val="17"/>
              </w:rPr>
              <w:t>información</w:t>
            </w:r>
            <w:r>
              <w:rPr>
                <w:spacing w:val="-10"/>
                <w:sz w:val="17"/>
              </w:rPr>
              <w:t> </w:t>
            </w:r>
            <w:r>
              <w:rPr>
                <w:sz w:val="17"/>
              </w:rPr>
              <w:t>en</w:t>
            </w:r>
            <w:r>
              <w:rPr>
                <w:spacing w:val="-9"/>
                <w:sz w:val="17"/>
              </w:rPr>
              <w:t> </w:t>
            </w:r>
            <w:r>
              <w:rPr>
                <w:sz w:val="17"/>
              </w:rPr>
              <w:t>tiempo</w:t>
            </w:r>
          </w:p>
          <w:p>
            <w:pPr>
              <w:pStyle w:val="TableParagraph"/>
              <w:spacing w:line="175" w:lineRule="exact"/>
              <w:ind w:left="69"/>
              <w:rPr>
                <w:sz w:val="17"/>
              </w:rPr>
            </w:pPr>
            <w:r>
              <w:rPr>
                <w:spacing w:val="-4"/>
                <w:sz w:val="17"/>
              </w:rPr>
              <w:t>real</w:t>
            </w:r>
          </w:p>
        </w:tc>
        <w:tc>
          <w:tcPr>
            <w:tcW w:w="1610" w:type="dxa"/>
            <w:tcBorders>
              <w:top w:val="single" w:sz="4" w:space="0" w:color="002D5D"/>
              <w:bottom w:val="single" w:sz="4" w:space="0" w:color="002D5D"/>
            </w:tcBorders>
          </w:tcPr>
          <w:p>
            <w:pPr>
              <w:pStyle w:val="TableParagraph"/>
              <w:spacing w:before="95"/>
              <w:rPr>
                <w:rFonts w:ascii="Arial"/>
                <w:b/>
                <w:sz w:val="17"/>
              </w:rPr>
            </w:pPr>
          </w:p>
          <w:p>
            <w:pPr>
              <w:pStyle w:val="TableParagraph"/>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spacing w:before="95"/>
              <w:rPr>
                <w:rFonts w:ascii="Arial"/>
                <w:b/>
                <w:sz w:val="17"/>
              </w:rPr>
            </w:pPr>
          </w:p>
          <w:p>
            <w:pPr>
              <w:pStyle w:val="TableParagraph"/>
              <w:ind w:right="275"/>
              <w:jc w:val="right"/>
              <w:rPr>
                <w:sz w:val="17"/>
              </w:rPr>
            </w:pPr>
            <w:r>
              <w:rPr>
                <w:spacing w:val="-2"/>
                <w:sz w:val="17"/>
              </w:rPr>
              <w:t>49.840,00</w:t>
            </w:r>
          </w:p>
        </w:tc>
        <w:tc>
          <w:tcPr>
            <w:tcW w:w="694" w:type="dxa"/>
            <w:tcBorders>
              <w:top w:val="single" w:sz="4" w:space="0" w:color="002D5D"/>
              <w:bottom w:val="single" w:sz="4" w:space="0" w:color="002D5D"/>
            </w:tcBorders>
          </w:tcPr>
          <w:p>
            <w:pPr>
              <w:pStyle w:val="TableParagraph"/>
              <w:spacing w:before="95"/>
              <w:rPr>
                <w:rFonts w:ascii="Arial"/>
                <w:b/>
                <w:sz w:val="17"/>
              </w:rPr>
            </w:pPr>
          </w:p>
          <w:p>
            <w:pPr>
              <w:pStyle w:val="TableParagraph"/>
              <w:ind w:right="268"/>
              <w:jc w:val="right"/>
              <w:rPr>
                <w:sz w:val="17"/>
              </w:rPr>
            </w:pPr>
            <w:r>
              <w:rPr>
                <w:spacing w:val="-4"/>
                <w:sz w:val="17"/>
              </w:rPr>
              <w:t>0,10</w:t>
            </w:r>
          </w:p>
        </w:tc>
        <w:tc>
          <w:tcPr>
            <w:tcW w:w="1416" w:type="dxa"/>
            <w:tcBorders>
              <w:top w:val="single" w:sz="4" w:space="0" w:color="002D5D"/>
              <w:bottom w:val="single" w:sz="4" w:space="0" w:color="002D5D"/>
            </w:tcBorders>
          </w:tcPr>
          <w:p>
            <w:pPr>
              <w:pStyle w:val="TableParagraph"/>
              <w:spacing w:before="95"/>
              <w:rPr>
                <w:rFonts w:ascii="Arial"/>
                <w:b/>
                <w:sz w:val="17"/>
              </w:rPr>
            </w:pPr>
          </w:p>
          <w:p>
            <w:pPr>
              <w:pStyle w:val="TableParagraph"/>
              <w:ind w:left="616"/>
              <w:rPr>
                <w:sz w:val="17"/>
              </w:rPr>
            </w:pPr>
            <w:r>
              <w:rPr>
                <w:spacing w:val="-2"/>
                <w:sz w:val="17"/>
              </w:rPr>
              <w:t>4.984,00</w:t>
            </w:r>
          </w:p>
        </w:tc>
        <w:tc>
          <w:tcPr>
            <w:tcW w:w="605" w:type="dxa"/>
            <w:tcBorders>
              <w:top w:val="single" w:sz="4" w:space="0" w:color="002D5D"/>
              <w:bottom w:val="single" w:sz="4" w:space="0" w:color="002D5D"/>
            </w:tcBorders>
          </w:tcPr>
          <w:p>
            <w:pPr>
              <w:pStyle w:val="TableParagraph"/>
              <w:spacing w:before="95"/>
              <w:rPr>
                <w:rFonts w:ascii="Arial"/>
                <w:b/>
                <w:sz w:val="17"/>
              </w:rPr>
            </w:pPr>
          </w:p>
          <w:p>
            <w:pPr>
              <w:pStyle w:val="TableParagraph"/>
              <w:ind w:right="172"/>
              <w:jc w:val="right"/>
              <w:rPr>
                <w:sz w:val="17"/>
              </w:rPr>
            </w:pPr>
            <w:r>
              <w:rPr>
                <w:spacing w:val="-2"/>
                <w:sz w:val="17"/>
              </w:rPr>
              <w:t>10,00</w:t>
            </w:r>
          </w:p>
        </w:tc>
        <w:tc>
          <w:tcPr>
            <w:tcW w:w="1113" w:type="dxa"/>
            <w:tcBorders>
              <w:top w:val="single" w:sz="4" w:space="0" w:color="002D5D"/>
              <w:bottom w:val="single" w:sz="4" w:space="0" w:color="002D5D"/>
            </w:tcBorders>
          </w:tcPr>
          <w:p>
            <w:pPr>
              <w:pStyle w:val="TableParagraph"/>
              <w:spacing w:before="95"/>
              <w:rPr>
                <w:rFonts w:ascii="Arial"/>
                <w:b/>
                <w:sz w:val="17"/>
              </w:rPr>
            </w:pPr>
          </w:p>
          <w:p>
            <w:pPr>
              <w:pStyle w:val="TableParagraph"/>
              <w:ind w:left="360"/>
              <w:rPr>
                <w:sz w:val="17"/>
              </w:rPr>
            </w:pPr>
            <w:r>
              <w:rPr>
                <w:spacing w:val="-2"/>
                <w:sz w:val="17"/>
              </w:rPr>
              <w:t>44.856,00</w:t>
            </w:r>
          </w:p>
        </w:tc>
        <w:tc>
          <w:tcPr>
            <w:tcW w:w="523" w:type="dxa"/>
            <w:tcBorders>
              <w:top w:val="single" w:sz="4" w:space="0" w:color="002D5D"/>
              <w:bottom w:val="single" w:sz="4" w:space="0" w:color="002D5D"/>
            </w:tcBorders>
          </w:tcPr>
          <w:p>
            <w:pPr>
              <w:pStyle w:val="TableParagraph"/>
              <w:spacing w:before="95"/>
              <w:rPr>
                <w:rFonts w:ascii="Arial"/>
                <w:b/>
                <w:sz w:val="17"/>
              </w:rPr>
            </w:pPr>
          </w:p>
          <w:p>
            <w:pPr>
              <w:pStyle w:val="TableParagraph"/>
              <w:ind w:right="4"/>
              <w:jc w:val="center"/>
              <w:rPr>
                <w:sz w:val="17"/>
              </w:rPr>
            </w:pPr>
            <w:r>
              <w:rPr>
                <w:spacing w:val="-2"/>
                <w:sz w:val="17"/>
              </w:rPr>
              <w:t>90,00</w:t>
            </w:r>
          </w:p>
        </w:tc>
        <w:tc>
          <w:tcPr>
            <w:tcW w:w="984" w:type="dxa"/>
            <w:tcBorders>
              <w:top w:val="single" w:sz="4" w:space="0" w:color="002D5D"/>
              <w:bottom w:val="single" w:sz="4" w:space="0" w:color="002D5D"/>
            </w:tcBorders>
          </w:tcPr>
          <w:p>
            <w:pPr>
              <w:pStyle w:val="TableParagraph"/>
              <w:spacing w:before="95"/>
              <w:rPr>
                <w:rFonts w:ascii="Arial"/>
                <w:b/>
                <w:sz w:val="17"/>
              </w:rPr>
            </w:pPr>
          </w:p>
          <w:p>
            <w:pPr>
              <w:pStyle w:val="TableParagraph"/>
              <w:ind w:left="1" w:right="28"/>
              <w:jc w:val="center"/>
              <w:rPr>
                <w:sz w:val="17"/>
              </w:rPr>
            </w:pPr>
            <w:r>
              <w:rPr>
                <w:spacing w:val="-2"/>
                <w:sz w:val="17"/>
              </w:rPr>
              <w:t>Finalizada</w:t>
            </w:r>
          </w:p>
        </w:tc>
      </w:tr>
      <w:tr>
        <w:trPr>
          <w:trHeight w:val="585" w:hRule="atLeast"/>
        </w:trPr>
        <w:tc>
          <w:tcPr>
            <w:tcW w:w="2407" w:type="dxa"/>
            <w:tcBorders>
              <w:top w:val="single" w:sz="4" w:space="0" w:color="002D5D"/>
              <w:bottom w:val="single" w:sz="4" w:space="0" w:color="002D5D"/>
            </w:tcBorders>
          </w:tcPr>
          <w:p>
            <w:pPr>
              <w:pStyle w:val="TableParagraph"/>
              <w:spacing w:line="194" w:lineRule="exact"/>
              <w:ind w:left="69"/>
              <w:rPr>
                <w:sz w:val="17"/>
              </w:rPr>
            </w:pPr>
            <w:r>
              <w:rPr>
                <w:sz w:val="17"/>
              </w:rPr>
              <w:t>Sistemas</w:t>
            </w:r>
            <w:r>
              <w:rPr>
                <w:spacing w:val="-4"/>
                <w:sz w:val="17"/>
              </w:rPr>
              <w:t> </w:t>
            </w:r>
            <w:r>
              <w:rPr>
                <w:sz w:val="17"/>
              </w:rPr>
              <w:t>expertos</w:t>
            </w:r>
            <w:r>
              <w:rPr>
                <w:spacing w:val="-3"/>
                <w:sz w:val="17"/>
              </w:rPr>
              <w:t> </w:t>
            </w:r>
            <w:r>
              <w:rPr>
                <w:sz w:val="17"/>
              </w:rPr>
              <w:t>de</w:t>
            </w:r>
            <w:r>
              <w:rPr>
                <w:spacing w:val="-3"/>
                <w:sz w:val="17"/>
              </w:rPr>
              <w:t> </w:t>
            </w:r>
            <w:r>
              <w:rPr>
                <w:spacing w:val="-2"/>
                <w:sz w:val="17"/>
              </w:rPr>
              <w:t>planificación</w:t>
            </w:r>
          </w:p>
          <w:p>
            <w:pPr>
              <w:pStyle w:val="TableParagraph"/>
              <w:spacing w:line="194" w:lineRule="exact"/>
              <w:ind w:left="69"/>
              <w:rPr>
                <w:sz w:val="17"/>
              </w:rPr>
            </w:pPr>
            <w:r>
              <w:rPr>
                <w:sz w:val="17"/>
              </w:rPr>
              <w:t>para</w:t>
            </w:r>
            <w:r>
              <w:rPr>
                <w:spacing w:val="-10"/>
                <w:sz w:val="17"/>
              </w:rPr>
              <w:t> </w:t>
            </w:r>
            <w:r>
              <w:rPr>
                <w:sz w:val="17"/>
              </w:rPr>
              <w:t>optimización</w:t>
            </w:r>
            <w:r>
              <w:rPr>
                <w:spacing w:val="-10"/>
                <w:sz w:val="17"/>
              </w:rPr>
              <w:t> </w:t>
            </w:r>
            <w:r>
              <w:rPr>
                <w:sz w:val="17"/>
              </w:rPr>
              <w:t>de</w:t>
            </w:r>
            <w:r>
              <w:rPr>
                <w:spacing w:val="-10"/>
                <w:sz w:val="17"/>
              </w:rPr>
              <w:t> </w:t>
            </w:r>
            <w:r>
              <w:rPr>
                <w:sz w:val="17"/>
              </w:rPr>
              <w:t>recursos</w:t>
            </w:r>
            <w:r>
              <w:rPr>
                <w:spacing w:val="40"/>
                <w:sz w:val="17"/>
              </w:rPr>
              <w:t> </w:t>
            </w:r>
            <w:r>
              <w:rPr>
                <w:sz w:val="17"/>
              </w:rPr>
              <w:t>humanos y material móvil</w:t>
            </w:r>
          </w:p>
        </w:tc>
        <w:tc>
          <w:tcPr>
            <w:tcW w:w="1610" w:type="dxa"/>
            <w:tcBorders>
              <w:top w:val="single" w:sz="4" w:space="0" w:color="002D5D"/>
              <w:bottom w:val="single" w:sz="4" w:space="0" w:color="002D5D"/>
            </w:tcBorders>
          </w:tcPr>
          <w:p>
            <w:pPr>
              <w:pStyle w:val="TableParagraph"/>
              <w:rPr>
                <w:rFonts w:ascii="Arial"/>
                <w:b/>
                <w:sz w:val="17"/>
              </w:rPr>
            </w:pPr>
          </w:p>
          <w:p>
            <w:pPr>
              <w:pStyle w:val="TableParagraph"/>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rPr>
                <w:rFonts w:ascii="Arial"/>
                <w:b/>
                <w:sz w:val="17"/>
              </w:rPr>
            </w:pPr>
          </w:p>
          <w:p>
            <w:pPr>
              <w:pStyle w:val="TableParagraph"/>
              <w:ind w:right="275"/>
              <w:jc w:val="right"/>
              <w:rPr>
                <w:sz w:val="17"/>
              </w:rPr>
            </w:pPr>
            <w:r>
              <w:rPr>
                <w:spacing w:val="-2"/>
                <w:sz w:val="17"/>
              </w:rPr>
              <w:t>364.992,00</w:t>
            </w:r>
          </w:p>
        </w:tc>
        <w:tc>
          <w:tcPr>
            <w:tcW w:w="694" w:type="dxa"/>
            <w:tcBorders>
              <w:top w:val="single" w:sz="4" w:space="0" w:color="002D5D"/>
              <w:bottom w:val="single" w:sz="4" w:space="0" w:color="002D5D"/>
            </w:tcBorders>
          </w:tcPr>
          <w:p>
            <w:pPr>
              <w:pStyle w:val="TableParagraph"/>
              <w:rPr>
                <w:rFonts w:ascii="Arial"/>
                <w:b/>
                <w:sz w:val="17"/>
              </w:rPr>
            </w:pPr>
          </w:p>
          <w:p>
            <w:pPr>
              <w:pStyle w:val="TableParagraph"/>
              <w:ind w:right="268"/>
              <w:jc w:val="right"/>
              <w:rPr>
                <w:sz w:val="17"/>
              </w:rPr>
            </w:pPr>
            <w:r>
              <w:rPr>
                <w:spacing w:val="-4"/>
                <w:sz w:val="17"/>
              </w:rPr>
              <w:t>0,70</w:t>
            </w:r>
          </w:p>
        </w:tc>
        <w:tc>
          <w:tcPr>
            <w:tcW w:w="1416" w:type="dxa"/>
            <w:tcBorders>
              <w:top w:val="single" w:sz="4" w:space="0" w:color="002D5D"/>
              <w:bottom w:val="single" w:sz="4" w:space="0" w:color="002D5D"/>
            </w:tcBorders>
          </w:tcPr>
          <w:p>
            <w:pPr>
              <w:pStyle w:val="TableParagraph"/>
              <w:rPr>
                <w:rFonts w:ascii="Arial"/>
                <w:b/>
                <w:sz w:val="17"/>
              </w:rPr>
            </w:pPr>
          </w:p>
          <w:p>
            <w:pPr>
              <w:pStyle w:val="TableParagraph"/>
              <w:ind w:left="539"/>
              <w:rPr>
                <w:sz w:val="17"/>
              </w:rPr>
            </w:pPr>
            <w:r>
              <w:rPr>
                <w:spacing w:val="-2"/>
                <w:sz w:val="17"/>
              </w:rPr>
              <w:t>36.499,20</w:t>
            </w:r>
          </w:p>
        </w:tc>
        <w:tc>
          <w:tcPr>
            <w:tcW w:w="605" w:type="dxa"/>
            <w:tcBorders>
              <w:top w:val="single" w:sz="4" w:space="0" w:color="002D5D"/>
              <w:bottom w:val="single" w:sz="4" w:space="0" w:color="002D5D"/>
            </w:tcBorders>
          </w:tcPr>
          <w:p>
            <w:pPr>
              <w:pStyle w:val="TableParagraph"/>
              <w:rPr>
                <w:rFonts w:ascii="Arial"/>
                <w:b/>
                <w:sz w:val="17"/>
              </w:rPr>
            </w:pPr>
          </w:p>
          <w:p>
            <w:pPr>
              <w:pStyle w:val="TableParagraph"/>
              <w:ind w:right="172"/>
              <w:jc w:val="right"/>
              <w:rPr>
                <w:sz w:val="17"/>
              </w:rPr>
            </w:pPr>
            <w:r>
              <w:rPr>
                <w:spacing w:val="-2"/>
                <w:sz w:val="17"/>
              </w:rPr>
              <w:t>10,00</w:t>
            </w:r>
          </w:p>
        </w:tc>
        <w:tc>
          <w:tcPr>
            <w:tcW w:w="1113" w:type="dxa"/>
            <w:tcBorders>
              <w:top w:val="single" w:sz="4" w:space="0" w:color="002D5D"/>
              <w:bottom w:val="single" w:sz="4" w:space="0" w:color="002D5D"/>
            </w:tcBorders>
          </w:tcPr>
          <w:p>
            <w:pPr>
              <w:pStyle w:val="TableParagraph"/>
              <w:rPr>
                <w:rFonts w:ascii="Arial"/>
                <w:b/>
                <w:sz w:val="17"/>
              </w:rPr>
            </w:pPr>
          </w:p>
          <w:p>
            <w:pPr>
              <w:pStyle w:val="TableParagraph"/>
              <w:ind w:left="281"/>
              <w:rPr>
                <w:sz w:val="17"/>
              </w:rPr>
            </w:pPr>
            <w:r>
              <w:rPr>
                <w:spacing w:val="-2"/>
                <w:sz w:val="17"/>
              </w:rPr>
              <w:t>328.492,80</w:t>
            </w:r>
          </w:p>
        </w:tc>
        <w:tc>
          <w:tcPr>
            <w:tcW w:w="523" w:type="dxa"/>
            <w:tcBorders>
              <w:top w:val="single" w:sz="4" w:space="0" w:color="002D5D"/>
              <w:bottom w:val="single" w:sz="4" w:space="0" w:color="002D5D"/>
            </w:tcBorders>
          </w:tcPr>
          <w:p>
            <w:pPr>
              <w:pStyle w:val="TableParagraph"/>
              <w:rPr>
                <w:rFonts w:ascii="Arial"/>
                <w:b/>
                <w:sz w:val="17"/>
              </w:rPr>
            </w:pPr>
          </w:p>
          <w:p>
            <w:pPr>
              <w:pStyle w:val="TableParagraph"/>
              <w:ind w:right="4"/>
              <w:jc w:val="center"/>
              <w:rPr>
                <w:sz w:val="17"/>
              </w:rPr>
            </w:pPr>
            <w:r>
              <w:rPr>
                <w:spacing w:val="-2"/>
                <w:sz w:val="17"/>
              </w:rPr>
              <w:t>90,00</w:t>
            </w:r>
          </w:p>
        </w:tc>
        <w:tc>
          <w:tcPr>
            <w:tcW w:w="984" w:type="dxa"/>
            <w:tcBorders>
              <w:top w:val="single" w:sz="4" w:space="0" w:color="002D5D"/>
              <w:bottom w:val="single" w:sz="4" w:space="0" w:color="002D5D"/>
            </w:tcBorders>
          </w:tcPr>
          <w:p>
            <w:pPr>
              <w:pStyle w:val="TableParagraph"/>
              <w:rPr>
                <w:rFonts w:ascii="Arial"/>
                <w:b/>
                <w:sz w:val="17"/>
              </w:rPr>
            </w:pPr>
          </w:p>
          <w:p>
            <w:pPr>
              <w:pStyle w:val="TableParagraph"/>
              <w:ind w:left="1" w:right="28"/>
              <w:jc w:val="center"/>
              <w:rPr>
                <w:sz w:val="17"/>
              </w:rPr>
            </w:pPr>
            <w:r>
              <w:rPr>
                <w:spacing w:val="-2"/>
                <w:sz w:val="17"/>
              </w:rPr>
              <w:t>Finalizada</w:t>
            </w:r>
          </w:p>
        </w:tc>
      </w:tr>
      <w:tr>
        <w:trPr>
          <w:trHeight w:val="467" w:hRule="atLeast"/>
        </w:trPr>
        <w:tc>
          <w:tcPr>
            <w:tcW w:w="2407" w:type="dxa"/>
            <w:tcBorders>
              <w:top w:val="single" w:sz="4" w:space="0" w:color="002D5D"/>
              <w:bottom w:val="single" w:sz="4" w:space="0" w:color="002D5D"/>
            </w:tcBorders>
          </w:tcPr>
          <w:p>
            <w:pPr>
              <w:pStyle w:val="TableParagraph"/>
              <w:spacing w:before="37"/>
              <w:ind w:left="69"/>
              <w:rPr>
                <w:sz w:val="17"/>
              </w:rPr>
            </w:pPr>
            <w:r>
              <w:rPr>
                <w:sz w:val="17"/>
              </w:rPr>
              <w:t>Actualización</w:t>
            </w:r>
            <w:r>
              <w:rPr>
                <w:spacing w:val="-8"/>
                <w:sz w:val="17"/>
              </w:rPr>
              <w:t> </w:t>
            </w:r>
            <w:r>
              <w:rPr>
                <w:sz w:val="17"/>
              </w:rPr>
              <w:t>de</w:t>
            </w:r>
            <w:r>
              <w:rPr>
                <w:spacing w:val="-9"/>
                <w:sz w:val="17"/>
              </w:rPr>
              <w:t> </w:t>
            </w:r>
            <w:r>
              <w:rPr>
                <w:sz w:val="17"/>
              </w:rPr>
              <w:t>la</w:t>
            </w:r>
            <w:r>
              <w:rPr>
                <w:spacing w:val="-7"/>
                <w:sz w:val="17"/>
              </w:rPr>
              <w:t> </w:t>
            </w:r>
            <w:r>
              <w:rPr>
                <w:sz w:val="17"/>
              </w:rPr>
              <w:t>página</w:t>
            </w:r>
            <w:r>
              <w:rPr>
                <w:spacing w:val="-9"/>
                <w:sz w:val="17"/>
              </w:rPr>
              <w:t> </w:t>
            </w:r>
            <w:r>
              <w:rPr>
                <w:sz w:val="17"/>
              </w:rPr>
              <w:t>web</w:t>
            </w:r>
            <w:r>
              <w:rPr>
                <w:spacing w:val="-9"/>
                <w:sz w:val="17"/>
              </w:rPr>
              <w:t> </w:t>
            </w:r>
            <w:r>
              <w:rPr>
                <w:sz w:val="17"/>
              </w:rPr>
              <w:t>de</w:t>
            </w:r>
            <w:r>
              <w:rPr>
                <w:spacing w:val="40"/>
                <w:sz w:val="17"/>
              </w:rPr>
              <w:t> </w:t>
            </w:r>
            <w:r>
              <w:rPr>
                <w:sz w:val="17"/>
              </w:rPr>
              <w:t>Guaguas Municipales, SA.</w:t>
            </w:r>
          </w:p>
        </w:tc>
        <w:tc>
          <w:tcPr>
            <w:tcW w:w="1610" w:type="dxa"/>
            <w:tcBorders>
              <w:top w:val="single" w:sz="4" w:space="0" w:color="002D5D"/>
              <w:bottom w:val="single" w:sz="4" w:space="0" w:color="002D5D"/>
            </w:tcBorders>
          </w:tcPr>
          <w:p>
            <w:pPr>
              <w:pStyle w:val="TableParagraph"/>
              <w:spacing w:before="135"/>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spacing w:before="135"/>
              <w:ind w:right="275"/>
              <w:jc w:val="right"/>
              <w:rPr>
                <w:sz w:val="17"/>
              </w:rPr>
            </w:pPr>
            <w:r>
              <w:rPr>
                <w:spacing w:val="-2"/>
                <w:sz w:val="17"/>
              </w:rPr>
              <w:t>14.015,00</w:t>
            </w:r>
          </w:p>
        </w:tc>
        <w:tc>
          <w:tcPr>
            <w:tcW w:w="694" w:type="dxa"/>
            <w:tcBorders>
              <w:top w:val="single" w:sz="4" w:space="0" w:color="002D5D"/>
              <w:bottom w:val="single" w:sz="4" w:space="0" w:color="002D5D"/>
            </w:tcBorders>
          </w:tcPr>
          <w:p>
            <w:pPr>
              <w:pStyle w:val="TableParagraph"/>
              <w:spacing w:before="135"/>
              <w:ind w:right="268"/>
              <w:jc w:val="right"/>
              <w:rPr>
                <w:sz w:val="17"/>
              </w:rPr>
            </w:pPr>
            <w:r>
              <w:rPr>
                <w:spacing w:val="-4"/>
                <w:sz w:val="17"/>
              </w:rPr>
              <w:t>0,03</w:t>
            </w:r>
          </w:p>
        </w:tc>
        <w:tc>
          <w:tcPr>
            <w:tcW w:w="1416" w:type="dxa"/>
            <w:tcBorders>
              <w:top w:val="single" w:sz="4" w:space="0" w:color="002D5D"/>
              <w:bottom w:val="single" w:sz="4" w:space="0" w:color="002D5D"/>
            </w:tcBorders>
          </w:tcPr>
          <w:p>
            <w:pPr>
              <w:pStyle w:val="TableParagraph"/>
              <w:spacing w:before="135"/>
              <w:ind w:left="539"/>
              <w:rPr>
                <w:sz w:val="17"/>
              </w:rPr>
            </w:pPr>
            <w:r>
              <w:rPr>
                <w:spacing w:val="-2"/>
                <w:sz w:val="17"/>
              </w:rPr>
              <w:t>14.015,00</w:t>
            </w:r>
          </w:p>
        </w:tc>
        <w:tc>
          <w:tcPr>
            <w:tcW w:w="605" w:type="dxa"/>
            <w:tcBorders>
              <w:top w:val="single" w:sz="4" w:space="0" w:color="002D5D"/>
              <w:bottom w:val="single" w:sz="4" w:space="0" w:color="002D5D"/>
            </w:tcBorders>
          </w:tcPr>
          <w:p>
            <w:pPr>
              <w:pStyle w:val="TableParagraph"/>
              <w:spacing w:before="135"/>
              <w:ind w:left="5"/>
              <w:rPr>
                <w:sz w:val="17"/>
              </w:rPr>
            </w:pPr>
            <w:r>
              <w:rPr>
                <w:spacing w:val="-2"/>
                <w:sz w:val="17"/>
              </w:rPr>
              <w:t>100,00</w:t>
            </w:r>
          </w:p>
        </w:tc>
        <w:tc>
          <w:tcPr>
            <w:tcW w:w="1113" w:type="dxa"/>
            <w:tcBorders>
              <w:top w:val="single" w:sz="4" w:space="0" w:color="002D5D"/>
              <w:bottom w:val="single" w:sz="4" w:space="0" w:color="002D5D"/>
            </w:tcBorders>
          </w:tcPr>
          <w:p>
            <w:pPr>
              <w:pStyle w:val="TableParagraph"/>
              <w:spacing w:before="135"/>
              <w:ind w:right="133"/>
              <w:jc w:val="right"/>
              <w:rPr>
                <w:sz w:val="17"/>
              </w:rPr>
            </w:pPr>
            <w:r>
              <w:rPr>
                <w:spacing w:val="-4"/>
                <w:sz w:val="17"/>
              </w:rPr>
              <w:t>0,00</w:t>
            </w:r>
          </w:p>
        </w:tc>
        <w:tc>
          <w:tcPr>
            <w:tcW w:w="523" w:type="dxa"/>
            <w:tcBorders>
              <w:top w:val="single" w:sz="4" w:space="0" w:color="002D5D"/>
              <w:bottom w:val="single" w:sz="4" w:space="0" w:color="002D5D"/>
            </w:tcBorders>
          </w:tcPr>
          <w:p>
            <w:pPr>
              <w:pStyle w:val="TableParagraph"/>
              <w:spacing w:before="135"/>
              <w:ind w:left="74" w:right="4"/>
              <w:jc w:val="center"/>
              <w:rPr>
                <w:sz w:val="17"/>
              </w:rPr>
            </w:pPr>
            <w:r>
              <w:rPr>
                <w:spacing w:val="-4"/>
                <w:sz w:val="17"/>
              </w:rPr>
              <w:t>0,00</w:t>
            </w:r>
          </w:p>
        </w:tc>
        <w:tc>
          <w:tcPr>
            <w:tcW w:w="984" w:type="dxa"/>
            <w:tcBorders>
              <w:top w:val="single" w:sz="4" w:space="0" w:color="002D5D"/>
              <w:bottom w:val="single" w:sz="4" w:space="0" w:color="002D5D"/>
            </w:tcBorders>
          </w:tcPr>
          <w:p>
            <w:pPr>
              <w:pStyle w:val="TableParagraph"/>
              <w:spacing w:before="135"/>
              <w:ind w:left="1" w:right="28"/>
              <w:jc w:val="center"/>
              <w:rPr>
                <w:sz w:val="17"/>
              </w:rPr>
            </w:pPr>
            <w:r>
              <w:rPr>
                <w:spacing w:val="-2"/>
                <w:sz w:val="17"/>
              </w:rPr>
              <w:t>Finalizada</w:t>
            </w:r>
          </w:p>
        </w:tc>
      </w:tr>
      <w:tr>
        <w:trPr>
          <w:trHeight w:val="467" w:hRule="atLeast"/>
        </w:trPr>
        <w:tc>
          <w:tcPr>
            <w:tcW w:w="2407" w:type="dxa"/>
            <w:tcBorders>
              <w:top w:val="single" w:sz="4" w:space="0" w:color="002D5D"/>
              <w:bottom w:val="single" w:sz="4" w:space="0" w:color="002D5D"/>
            </w:tcBorders>
          </w:tcPr>
          <w:p>
            <w:pPr>
              <w:pStyle w:val="TableParagraph"/>
              <w:spacing w:before="37"/>
              <w:ind w:left="69" w:right="383"/>
              <w:rPr>
                <w:sz w:val="17"/>
              </w:rPr>
            </w:pPr>
            <w:r>
              <w:rPr>
                <w:sz w:val="17"/>
              </w:rPr>
              <w:t>Mantenimiento</w:t>
            </w:r>
            <w:r>
              <w:rPr>
                <w:spacing w:val="-10"/>
                <w:sz w:val="17"/>
              </w:rPr>
              <w:t> </w:t>
            </w:r>
            <w:r>
              <w:rPr>
                <w:sz w:val="17"/>
              </w:rPr>
              <w:t>de</w:t>
            </w:r>
            <w:r>
              <w:rPr>
                <w:spacing w:val="-10"/>
                <w:sz w:val="17"/>
              </w:rPr>
              <w:t> </w:t>
            </w:r>
            <w:r>
              <w:rPr>
                <w:sz w:val="17"/>
              </w:rPr>
              <w:t>software</w:t>
            </w:r>
            <w:r>
              <w:rPr>
                <w:spacing w:val="40"/>
                <w:sz w:val="17"/>
              </w:rPr>
              <w:t> </w:t>
            </w:r>
            <w:r>
              <w:rPr>
                <w:sz w:val="17"/>
              </w:rPr>
              <w:t>Goaldriver y Goalbus</w:t>
            </w:r>
          </w:p>
        </w:tc>
        <w:tc>
          <w:tcPr>
            <w:tcW w:w="1610" w:type="dxa"/>
            <w:tcBorders>
              <w:top w:val="single" w:sz="4" w:space="0" w:color="002D5D"/>
              <w:bottom w:val="single" w:sz="4" w:space="0" w:color="002D5D"/>
            </w:tcBorders>
          </w:tcPr>
          <w:p>
            <w:pPr>
              <w:pStyle w:val="TableParagraph"/>
              <w:spacing w:before="135"/>
              <w:ind w:left="75"/>
              <w:rPr>
                <w:sz w:val="17"/>
              </w:rPr>
            </w:pPr>
            <w:r>
              <w:rPr>
                <w:spacing w:val="-2"/>
                <w:sz w:val="17"/>
              </w:rPr>
              <w:t>Digitalización</w:t>
            </w:r>
          </w:p>
        </w:tc>
        <w:tc>
          <w:tcPr>
            <w:tcW w:w="1293" w:type="dxa"/>
            <w:tcBorders>
              <w:top w:val="single" w:sz="4" w:space="0" w:color="002D5D"/>
              <w:bottom w:val="single" w:sz="4" w:space="0" w:color="002D5D"/>
            </w:tcBorders>
          </w:tcPr>
          <w:p>
            <w:pPr>
              <w:pStyle w:val="TableParagraph"/>
              <w:spacing w:before="135"/>
              <w:ind w:right="275"/>
              <w:jc w:val="right"/>
              <w:rPr>
                <w:sz w:val="17"/>
              </w:rPr>
            </w:pPr>
            <w:r>
              <w:rPr>
                <w:spacing w:val="-2"/>
                <w:sz w:val="17"/>
              </w:rPr>
              <w:t>71.381,16</w:t>
            </w:r>
          </w:p>
        </w:tc>
        <w:tc>
          <w:tcPr>
            <w:tcW w:w="694" w:type="dxa"/>
            <w:tcBorders>
              <w:top w:val="single" w:sz="4" w:space="0" w:color="002D5D"/>
              <w:bottom w:val="single" w:sz="4" w:space="0" w:color="002D5D"/>
            </w:tcBorders>
          </w:tcPr>
          <w:p>
            <w:pPr>
              <w:pStyle w:val="TableParagraph"/>
              <w:spacing w:before="135"/>
              <w:ind w:right="268"/>
              <w:jc w:val="right"/>
              <w:rPr>
                <w:sz w:val="17"/>
              </w:rPr>
            </w:pPr>
            <w:r>
              <w:rPr>
                <w:spacing w:val="-4"/>
                <w:sz w:val="17"/>
              </w:rPr>
              <w:t>0,14</w:t>
            </w:r>
          </w:p>
        </w:tc>
        <w:tc>
          <w:tcPr>
            <w:tcW w:w="1416" w:type="dxa"/>
            <w:tcBorders>
              <w:top w:val="single" w:sz="4" w:space="0" w:color="002D5D"/>
              <w:bottom w:val="single" w:sz="4" w:space="0" w:color="002D5D"/>
            </w:tcBorders>
          </w:tcPr>
          <w:p>
            <w:pPr>
              <w:pStyle w:val="TableParagraph"/>
              <w:spacing w:before="135"/>
              <w:ind w:left="539"/>
              <w:rPr>
                <w:sz w:val="17"/>
              </w:rPr>
            </w:pPr>
            <w:r>
              <w:rPr>
                <w:spacing w:val="-2"/>
                <w:sz w:val="17"/>
              </w:rPr>
              <w:t>71.381,16</w:t>
            </w:r>
          </w:p>
        </w:tc>
        <w:tc>
          <w:tcPr>
            <w:tcW w:w="605" w:type="dxa"/>
            <w:tcBorders>
              <w:top w:val="single" w:sz="4" w:space="0" w:color="002D5D"/>
              <w:bottom w:val="single" w:sz="4" w:space="0" w:color="002D5D"/>
            </w:tcBorders>
          </w:tcPr>
          <w:p>
            <w:pPr>
              <w:pStyle w:val="TableParagraph"/>
              <w:spacing w:before="135"/>
              <w:ind w:left="5"/>
              <w:rPr>
                <w:sz w:val="17"/>
              </w:rPr>
            </w:pPr>
            <w:r>
              <w:rPr>
                <w:spacing w:val="-2"/>
                <w:sz w:val="17"/>
              </w:rPr>
              <w:t>100,00</w:t>
            </w:r>
          </w:p>
        </w:tc>
        <w:tc>
          <w:tcPr>
            <w:tcW w:w="1113" w:type="dxa"/>
            <w:tcBorders>
              <w:top w:val="single" w:sz="4" w:space="0" w:color="002D5D"/>
              <w:bottom w:val="single" w:sz="4" w:space="0" w:color="002D5D"/>
            </w:tcBorders>
          </w:tcPr>
          <w:p>
            <w:pPr>
              <w:pStyle w:val="TableParagraph"/>
              <w:spacing w:before="135"/>
              <w:ind w:right="133"/>
              <w:jc w:val="right"/>
              <w:rPr>
                <w:sz w:val="17"/>
              </w:rPr>
            </w:pPr>
            <w:r>
              <w:rPr>
                <w:spacing w:val="-4"/>
                <w:sz w:val="17"/>
              </w:rPr>
              <w:t>0,00</w:t>
            </w:r>
          </w:p>
        </w:tc>
        <w:tc>
          <w:tcPr>
            <w:tcW w:w="523" w:type="dxa"/>
            <w:tcBorders>
              <w:top w:val="single" w:sz="4" w:space="0" w:color="002D5D"/>
              <w:bottom w:val="single" w:sz="4" w:space="0" w:color="002D5D"/>
            </w:tcBorders>
          </w:tcPr>
          <w:p>
            <w:pPr>
              <w:pStyle w:val="TableParagraph"/>
              <w:spacing w:before="135"/>
              <w:ind w:left="74" w:right="4"/>
              <w:jc w:val="center"/>
              <w:rPr>
                <w:sz w:val="17"/>
              </w:rPr>
            </w:pPr>
            <w:r>
              <w:rPr>
                <w:spacing w:val="-4"/>
                <w:sz w:val="17"/>
              </w:rPr>
              <w:t>0,00</w:t>
            </w:r>
          </w:p>
        </w:tc>
        <w:tc>
          <w:tcPr>
            <w:tcW w:w="984" w:type="dxa"/>
            <w:tcBorders>
              <w:top w:val="single" w:sz="4" w:space="0" w:color="002D5D"/>
              <w:bottom w:val="single" w:sz="4" w:space="0" w:color="002D5D"/>
            </w:tcBorders>
          </w:tcPr>
          <w:p>
            <w:pPr>
              <w:pStyle w:val="TableParagraph"/>
              <w:spacing w:before="135"/>
              <w:ind w:right="28"/>
              <w:jc w:val="center"/>
              <w:rPr>
                <w:sz w:val="17"/>
              </w:rPr>
            </w:pPr>
            <w:r>
              <w:rPr>
                <w:sz w:val="17"/>
              </w:rPr>
              <w:t>En</w:t>
            </w:r>
            <w:r>
              <w:rPr>
                <w:spacing w:val="-1"/>
                <w:sz w:val="17"/>
              </w:rPr>
              <w:t> </w:t>
            </w:r>
            <w:r>
              <w:rPr>
                <w:spacing w:val="-2"/>
                <w:sz w:val="17"/>
              </w:rPr>
              <w:t>ejecución</w:t>
            </w:r>
          </w:p>
        </w:tc>
      </w:tr>
    </w:tbl>
    <w:p>
      <w:pPr>
        <w:pStyle w:val="TableParagraph"/>
        <w:spacing w:after="0"/>
        <w:jc w:val="center"/>
        <w:rPr>
          <w:sz w:val="17"/>
        </w:rPr>
        <w:sectPr>
          <w:pgSz w:w="11910" w:h="16840"/>
          <w:pgMar w:header="1270" w:footer="661" w:top="2800" w:bottom="860" w:left="141" w:right="141"/>
        </w:sectPr>
      </w:pPr>
    </w:p>
    <w:p>
      <w:pPr>
        <w:pStyle w:val="BodyText"/>
        <w:rPr>
          <w:b/>
          <w:sz w:val="20"/>
        </w:rPr>
      </w:pPr>
    </w:p>
    <w:p>
      <w:pPr>
        <w:pStyle w:val="BodyText"/>
        <w:spacing w:before="220"/>
        <w:rPr>
          <w:b/>
          <w:sz w:val="20"/>
        </w:rPr>
      </w:pPr>
    </w:p>
    <w:p>
      <w:pPr>
        <w:spacing w:line="240" w:lineRule="auto"/>
        <w:ind w:left="495" w:right="0" w:firstLine="0"/>
        <w:rPr>
          <w:sz w:val="20"/>
        </w:rPr>
      </w:pPr>
      <w:r>
        <w:rPr>
          <w:sz w:val="20"/>
        </w:rPr>
        <mc:AlternateContent>
          <mc:Choice Requires="wps">
            <w:drawing>
              <wp:inline distT="0" distB="0" distL="0" distR="0">
                <wp:extent cx="6754495" cy="746760"/>
                <wp:effectExtent l="0" t="0" r="0" b="5715"/>
                <wp:docPr id="403" name="Group 403"/>
                <wp:cNvGraphicFramePr>
                  <a:graphicFrameLocks/>
                </wp:cNvGraphicFramePr>
                <a:graphic>
                  <a:graphicData uri="http://schemas.microsoft.com/office/word/2010/wordprocessingGroup">
                    <wpg:wgp>
                      <wpg:cNvPr id="403" name="Group 403"/>
                      <wpg:cNvGrpSpPr/>
                      <wpg:grpSpPr>
                        <a:xfrm>
                          <a:off x="0" y="0"/>
                          <a:ext cx="6754495" cy="746760"/>
                          <a:chExt cx="6754495" cy="746760"/>
                        </a:xfrm>
                      </wpg:grpSpPr>
                      <wps:wsp>
                        <wps:cNvPr id="404" name="Graphic 404"/>
                        <wps:cNvSpPr/>
                        <wps:spPr>
                          <a:xfrm>
                            <a:off x="0" y="0"/>
                            <a:ext cx="6754495" cy="746760"/>
                          </a:xfrm>
                          <a:custGeom>
                            <a:avLst/>
                            <a:gdLst/>
                            <a:ahLst/>
                            <a:cxnLst/>
                            <a:rect l="l" t="t" r="r" b="b"/>
                            <a:pathLst>
                              <a:path w="6754495" h="746760">
                                <a:moveTo>
                                  <a:pt x="2519730" y="0"/>
                                </a:moveTo>
                                <a:lnTo>
                                  <a:pt x="1530350" y="0"/>
                                </a:lnTo>
                                <a:lnTo>
                                  <a:pt x="0" y="0"/>
                                </a:lnTo>
                                <a:lnTo>
                                  <a:pt x="0" y="740664"/>
                                </a:lnTo>
                                <a:lnTo>
                                  <a:pt x="0" y="746760"/>
                                </a:lnTo>
                                <a:lnTo>
                                  <a:pt x="1531874" y="746760"/>
                                </a:lnTo>
                                <a:lnTo>
                                  <a:pt x="1537970" y="746760"/>
                                </a:lnTo>
                                <a:lnTo>
                                  <a:pt x="2519730" y="746760"/>
                                </a:lnTo>
                                <a:lnTo>
                                  <a:pt x="2519730" y="740664"/>
                                </a:lnTo>
                                <a:lnTo>
                                  <a:pt x="2519730" y="0"/>
                                </a:lnTo>
                                <a:close/>
                              </a:path>
                              <a:path w="6754495" h="746760">
                                <a:moveTo>
                                  <a:pt x="6754368" y="0"/>
                                </a:moveTo>
                                <a:lnTo>
                                  <a:pt x="6121908" y="0"/>
                                </a:lnTo>
                                <a:lnTo>
                                  <a:pt x="6121908" y="303276"/>
                                </a:lnTo>
                                <a:lnTo>
                                  <a:pt x="6121908" y="518160"/>
                                </a:lnTo>
                                <a:lnTo>
                                  <a:pt x="6121908" y="525780"/>
                                </a:lnTo>
                                <a:lnTo>
                                  <a:pt x="5761990" y="525780"/>
                                </a:lnTo>
                                <a:lnTo>
                                  <a:pt x="5134102" y="525780"/>
                                </a:lnTo>
                                <a:lnTo>
                                  <a:pt x="5134102" y="518160"/>
                                </a:lnTo>
                                <a:lnTo>
                                  <a:pt x="6121908" y="518160"/>
                                </a:lnTo>
                                <a:lnTo>
                                  <a:pt x="6121908" y="303276"/>
                                </a:lnTo>
                                <a:lnTo>
                                  <a:pt x="5134102" y="303276"/>
                                </a:lnTo>
                                <a:lnTo>
                                  <a:pt x="5134102" y="297180"/>
                                </a:lnTo>
                                <a:lnTo>
                                  <a:pt x="6121895" y="297180"/>
                                </a:lnTo>
                                <a:lnTo>
                                  <a:pt x="6121895" y="0"/>
                                </a:lnTo>
                                <a:lnTo>
                                  <a:pt x="5031994" y="0"/>
                                </a:lnTo>
                                <a:lnTo>
                                  <a:pt x="5031994" y="297180"/>
                                </a:lnTo>
                                <a:lnTo>
                                  <a:pt x="5031994" y="303276"/>
                                </a:lnTo>
                                <a:lnTo>
                                  <a:pt x="5031994" y="525780"/>
                                </a:lnTo>
                                <a:lnTo>
                                  <a:pt x="4591558" y="525780"/>
                                </a:lnTo>
                                <a:lnTo>
                                  <a:pt x="4591558" y="740664"/>
                                </a:lnTo>
                                <a:lnTo>
                                  <a:pt x="4591482" y="525780"/>
                                </a:lnTo>
                                <a:lnTo>
                                  <a:pt x="3786505" y="525780"/>
                                </a:lnTo>
                                <a:lnTo>
                                  <a:pt x="3786505" y="518160"/>
                                </a:lnTo>
                                <a:lnTo>
                                  <a:pt x="5031918" y="518160"/>
                                </a:lnTo>
                                <a:lnTo>
                                  <a:pt x="5031918" y="303276"/>
                                </a:lnTo>
                                <a:lnTo>
                                  <a:pt x="3788029" y="303276"/>
                                </a:lnTo>
                                <a:lnTo>
                                  <a:pt x="3788029" y="297180"/>
                                </a:lnTo>
                                <a:lnTo>
                                  <a:pt x="5031994" y="297180"/>
                                </a:lnTo>
                                <a:lnTo>
                                  <a:pt x="5031994" y="0"/>
                                </a:lnTo>
                                <a:lnTo>
                                  <a:pt x="3786505" y="0"/>
                                </a:lnTo>
                                <a:lnTo>
                                  <a:pt x="3685971" y="0"/>
                                </a:lnTo>
                                <a:lnTo>
                                  <a:pt x="2519807" y="0"/>
                                </a:lnTo>
                                <a:lnTo>
                                  <a:pt x="2519807" y="297180"/>
                                </a:lnTo>
                                <a:lnTo>
                                  <a:pt x="3685921" y="297180"/>
                                </a:lnTo>
                                <a:lnTo>
                                  <a:pt x="3685921" y="303276"/>
                                </a:lnTo>
                                <a:lnTo>
                                  <a:pt x="3240963" y="303276"/>
                                </a:lnTo>
                                <a:lnTo>
                                  <a:pt x="2519807" y="303276"/>
                                </a:lnTo>
                                <a:lnTo>
                                  <a:pt x="2519807" y="740664"/>
                                </a:lnTo>
                                <a:lnTo>
                                  <a:pt x="2519807" y="746760"/>
                                </a:lnTo>
                                <a:lnTo>
                                  <a:pt x="3692004" y="746760"/>
                                </a:lnTo>
                                <a:lnTo>
                                  <a:pt x="3692004" y="740664"/>
                                </a:lnTo>
                                <a:lnTo>
                                  <a:pt x="3692017" y="746760"/>
                                </a:lnTo>
                                <a:lnTo>
                                  <a:pt x="3788029" y="746760"/>
                                </a:lnTo>
                                <a:lnTo>
                                  <a:pt x="3794125" y="746760"/>
                                </a:lnTo>
                                <a:lnTo>
                                  <a:pt x="4593006" y="746760"/>
                                </a:lnTo>
                                <a:lnTo>
                                  <a:pt x="4593006" y="740664"/>
                                </a:lnTo>
                                <a:lnTo>
                                  <a:pt x="4593082" y="746760"/>
                                </a:lnTo>
                                <a:lnTo>
                                  <a:pt x="4599178" y="746760"/>
                                </a:lnTo>
                                <a:lnTo>
                                  <a:pt x="6127991" y="746760"/>
                                </a:lnTo>
                                <a:lnTo>
                                  <a:pt x="6127991" y="740664"/>
                                </a:lnTo>
                                <a:lnTo>
                                  <a:pt x="6128004" y="746760"/>
                                </a:lnTo>
                                <a:lnTo>
                                  <a:pt x="6754368" y="746760"/>
                                </a:lnTo>
                                <a:lnTo>
                                  <a:pt x="6754368" y="740664"/>
                                </a:lnTo>
                                <a:lnTo>
                                  <a:pt x="6754368" y="0"/>
                                </a:lnTo>
                                <a:close/>
                              </a:path>
                            </a:pathLst>
                          </a:custGeom>
                          <a:solidFill>
                            <a:srgbClr val="002D5D"/>
                          </a:solidFill>
                        </wps:spPr>
                        <wps:bodyPr wrap="square" lIns="0" tIns="0" rIns="0" bIns="0" rtlCol="0">
                          <a:prstTxWarp prst="textNoShape">
                            <a:avLst/>
                          </a:prstTxWarp>
                          <a:noAutofit/>
                        </wps:bodyPr>
                      </wps:wsp>
                      <wps:wsp>
                        <wps:cNvPr id="405" name="Textbox 405"/>
                        <wps:cNvSpPr txBox="1"/>
                        <wps:spPr>
                          <a:xfrm>
                            <a:off x="2836798" y="23738"/>
                            <a:ext cx="544830" cy="247650"/>
                          </a:xfrm>
                          <a:prstGeom prst="rect">
                            <a:avLst/>
                          </a:prstGeom>
                        </wps:spPr>
                        <wps:txbx>
                          <w:txbxContent>
                            <w:p>
                              <w:pPr>
                                <w:spacing w:before="0"/>
                                <w:ind w:left="0" w:right="0" w:firstLine="98"/>
                                <w:jc w:val="left"/>
                                <w:rPr>
                                  <w:rFonts w:ascii="Arial Narrow" w:hAnsi="Arial Narrow"/>
                                  <w:b/>
                                  <w:sz w:val="17"/>
                                </w:rPr>
                              </w:pPr>
                              <w:r>
                                <w:rPr>
                                  <w:rFonts w:ascii="Arial Narrow" w:hAnsi="Arial Narrow"/>
                                  <w:b/>
                                  <w:color w:val="FFFFFF"/>
                                  <w:spacing w:val="-2"/>
                                  <w:sz w:val="17"/>
                                </w:rPr>
                                <w:t>IMPORTE</w:t>
                              </w:r>
                              <w:r>
                                <w:rPr>
                                  <w:rFonts w:ascii="Arial Narrow" w:hAnsi="Arial Narrow"/>
                                  <w:b/>
                                  <w:color w:val="FFFFFF"/>
                                  <w:spacing w:val="40"/>
                                  <w:sz w:val="17"/>
                                </w:rPr>
                                <w:t> </w:t>
                              </w:r>
                              <w:r>
                                <w:rPr>
                                  <w:rFonts w:ascii="Arial Narrow" w:hAnsi="Arial Narrow"/>
                                  <w:b/>
                                  <w:color w:val="FFFFFF"/>
                                  <w:spacing w:val="-2"/>
                                  <w:sz w:val="17"/>
                                </w:rPr>
                                <w:t>ACTUACIÓN</w:t>
                              </w:r>
                            </w:p>
                          </w:txbxContent>
                        </wps:txbx>
                        <wps:bodyPr wrap="square" lIns="0" tIns="0" rIns="0" bIns="0" rtlCol="0">
                          <a:noAutofit/>
                        </wps:bodyPr>
                      </wps:wsp>
                      <wps:wsp>
                        <wps:cNvPr id="406" name="Textbox 406"/>
                        <wps:cNvSpPr txBox="1"/>
                        <wps:spPr>
                          <a:xfrm>
                            <a:off x="4632705" y="86222"/>
                            <a:ext cx="657225"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2"/>
                                  <w:sz w:val="17"/>
                                </w:rPr>
                                <w:t>FINANCIACIÓN</w:t>
                              </w:r>
                            </w:p>
                          </w:txbxContent>
                        </wps:txbx>
                        <wps:bodyPr wrap="square" lIns="0" tIns="0" rIns="0" bIns="0" rtlCol="0">
                          <a:noAutofit/>
                        </wps:bodyPr>
                      </wps:wsp>
                      <wps:wsp>
                        <wps:cNvPr id="407" name="Textbox 407"/>
                        <wps:cNvSpPr txBox="1"/>
                        <wps:spPr>
                          <a:xfrm>
                            <a:off x="6178296" y="122798"/>
                            <a:ext cx="530860" cy="124460"/>
                          </a:xfrm>
                          <a:prstGeom prst="rect">
                            <a:avLst/>
                          </a:prstGeom>
                        </wps:spPr>
                        <wps:txbx>
                          <w:txbxContent>
                            <w:p>
                              <w:pPr>
                                <w:spacing w:before="0"/>
                                <w:ind w:left="0" w:right="0" w:firstLine="0"/>
                                <w:jc w:val="left"/>
                                <w:rPr>
                                  <w:rFonts w:ascii="Arial Narrow"/>
                                  <w:b/>
                                  <w:sz w:val="17"/>
                                </w:rPr>
                              </w:pPr>
                              <w:r>
                                <w:rPr>
                                  <w:rFonts w:ascii="Arial Narrow"/>
                                  <w:b/>
                                  <w:color w:val="FFFFFF"/>
                                  <w:sz w:val="17"/>
                                </w:rPr>
                                <w:t>ESTADO</w:t>
                              </w:r>
                              <w:r>
                                <w:rPr>
                                  <w:rFonts w:ascii="Arial Narrow"/>
                                  <w:b/>
                                  <w:color w:val="FFFFFF"/>
                                  <w:spacing w:val="-5"/>
                                  <w:sz w:val="17"/>
                                </w:rPr>
                                <w:t> DE</w:t>
                              </w:r>
                            </w:p>
                          </w:txbxContent>
                        </wps:txbx>
                        <wps:bodyPr wrap="square" lIns="0" tIns="0" rIns="0" bIns="0" rtlCol="0">
                          <a:noAutofit/>
                        </wps:bodyPr>
                      </wps:wsp>
                      <wps:wsp>
                        <wps:cNvPr id="408" name="Textbox 408"/>
                        <wps:cNvSpPr txBox="1"/>
                        <wps:spPr>
                          <a:xfrm>
                            <a:off x="44196" y="307202"/>
                            <a:ext cx="1273175"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z w:val="17"/>
                                </w:rPr>
                                <w:t>DENOMINACIÓN</w:t>
                              </w:r>
                              <w:r>
                                <w:rPr>
                                  <w:rFonts w:ascii="Arial Narrow" w:hAnsi="Arial Narrow"/>
                                  <w:b/>
                                  <w:color w:val="FFFFFF"/>
                                  <w:spacing w:val="-8"/>
                                  <w:sz w:val="17"/>
                                </w:rPr>
                                <w:t> </w:t>
                              </w:r>
                              <w:r>
                                <w:rPr>
                                  <w:rFonts w:ascii="Arial Narrow" w:hAnsi="Arial Narrow"/>
                                  <w:b/>
                                  <w:color w:val="FFFFFF"/>
                                  <w:spacing w:val="-2"/>
                                  <w:sz w:val="17"/>
                                </w:rPr>
                                <w:t>ACTUACIÓN</w:t>
                              </w:r>
                            </w:p>
                          </w:txbxContent>
                        </wps:txbx>
                        <wps:bodyPr wrap="square" lIns="0" tIns="0" rIns="0" bIns="0" rtlCol="0">
                          <a:noAutofit/>
                        </wps:bodyPr>
                      </wps:wsp>
                      <wps:wsp>
                        <wps:cNvPr id="409" name="Textbox 409"/>
                        <wps:cNvSpPr txBox="1"/>
                        <wps:spPr>
                          <a:xfrm>
                            <a:off x="1576069" y="307202"/>
                            <a:ext cx="501015"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2"/>
                                  <w:sz w:val="17"/>
                                </w:rPr>
                                <w:t>TIPOLOGÍA</w:t>
                              </w:r>
                            </w:p>
                          </w:txbxContent>
                        </wps:txbx>
                        <wps:bodyPr wrap="square" lIns="0" tIns="0" rIns="0" bIns="0" rtlCol="0">
                          <a:noAutofit/>
                        </wps:bodyPr>
                      </wps:wsp>
                      <wps:wsp>
                        <wps:cNvPr id="410" name="Textbox 410"/>
                        <wps:cNvSpPr txBox="1"/>
                        <wps:spPr>
                          <a:xfrm>
                            <a:off x="4114165" y="348350"/>
                            <a:ext cx="603250" cy="346710"/>
                          </a:xfrm>
                          <a:prstGeom prst="rect">
                            <a:avLst/>
                          </a:prstGeom>
                        </wps:spPr>
                        <wps:txbx>
                          <w:txbxContent>
                            <w:p>
                              <w:pPr>
                                <w:spacing w:before="0"/>
                                <w:ind w:left="0" w:right="0" w:firstLine="0"/>
                                <w:jc w:val="left"/>
                                <w:rPr>
                                  <w:rFonts w:ascii="Arial Narrow"/>
                                  <w:b/>
                                  <w:sz w:val="17"/>
                                </w:rPr>
                              </w:pPr>
                              <w:r>
                                <w:rPr>
                                  <w:rFonts w:ascii="Arial Narrow"/>
                                  <w:b/>
                                  <w:color w:val="FFFFFF"/>
                                  <w:spacing w:val="-2"/>
                                  <w:sz w:val="17"/>
                                </w:rPr>
                                <w:t>Ayuntamiento</w:t>
                              </w:r>
                            </w:p>
                            <w:p>
                              <w:pPr>
                                <w:spacing w:before="155"/>
                                <w:ind w:left="33" w:right="0" w:firstLine="0"/>
                                <w:jc w:val="left"/>
                                <w:rPr>
                                  <w:rFonts w:ascii="Arial Narrow" w:hAnsi="Arial Narrow"/>
                                  <w:b/>
                                  <w:sz w:val="17"/>
                                </w:rPr>
                              </w:pPr>
                              <w:r>
                                <w:rPr>
                                  <w:rFonts w:ascii="Arial Narrow" w:hAnsi="Arial Narrow"/>
                                  <w:b/>
                                  <w:color w:val="FFFFFF"/>
                                  <w:spacing w:val="-5"/>
                                  <w:sz w:val="17"/>
                                </w:rPr>
                                <w:t>(€)</w:t>
                              </w:r>
                            </w:p>
                          </w:txbxContent>
                        </wps:txbx>
                        <wps:bodyPr wrap="square" lIns="0" tIns="0" rIns="0" bIns="0" rtlCol="0">
                          <a:noAutofit/>
                        </wps:bodyPr>
                      </wps:wsp>
                      <wps:wsp>
                        <wps:cNvPr id="411" name="Textbox 411"/>
                        <wps:cNvSpPr txBox="1"/>
                        <wps:spPr>
                          <a:xfrm>
                            <a:off x="5505958" y="348350"/>
                            <a:ext cx="255270" cy="124460"/>
                          </a:xfrm>
                          <a:prstGeom prst="rect">
                            <a:avLst/>
                          </a:prstGeom>
                        </wps:spPr>
                        <wps:txbx>
                          <w:txbxContent>
                            <w:p>
                              <w:pPr>
                                <w:spacing w:before="0"/>
                                <w:ind w:left="0" w:right="0" w:firstLine="0"/>
                                <w:jc w:val="left"/>
                                <w:rPr>
                                  <w:rFonts w:ascii="Arial Narrow"/>
                                  <w:b/>
                                  <w:sz w:val="17"/>
                                </w:rPr>
                              </w:pPr>
                              <w:r>
                                <w:rPr>
                                  <w:rFonts w:ascii="Arial Narrow"/>
                                  <w:b/>
                                  <w:color w:val="FFFFFF"/>
                                  <w:spacing w:val="-4"/>
                                  <w:sz w:val="17"/>
                                </w:rPr>
                                <w:t>PRTR</w:t>
                              </w:r>
                            </w:p>
                          </w:txbxContent>
                        </wps:txbx>
                        <wps:bodyPr wrap="square" lIns="0" tIns="0" rIns="0" bIns="0" rtlCol="0">
                          <a:noAutofit/>
                        </wps:bodyPr>
                      </wps:wsp>
                      <wps:wsp>
                        <wps:cNvPr id="412" name="Textbox 412"/>
                        <wps:cNvSpPr txBox="1"/>
                        <wps:spPr>
                          <a:xfrm>
                            <a:off x="2826130" y="459602"/>
                            <a:ext cx="119380"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wps:txbx>
                        <wps:bodyPr wrap="square" lIns="0" tIns="0" rIns="0" bIns="0" rtlCol="0">
                          <a:noAutofit/>
                        </wps:bodyPr>
                      </wps:wsp>
                      <wps:wsp>
                        <wps:cNvPr id="413" name="Textbox 413"/>
                        <wps:cNvSpPr txBox="1"/>
                        <wps:spPr>
                          <a:xfrm>
                            <a:off x="3382645" y="459602"/>
                            <a:ext cx="177165" cy="124460"/>
                          </a:xfrm>
                          <a:prstGeom prst="rect">
                            <a:avLst/>
                          </a:prstGeom>
                        </wps:spPr>
                        <wps:txbx>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5"/>
                                  <w:sz w:val="11"/>
                                </w:rPr>
                                <w:t>(*)</w:t>
                              </w:r>
                            </w:p>
                          </w:txbxContent>
                        </wps:txbx>
                        <wps:bodyPr wrap="square" lIns="0" tIns="0" rIns="0" bIns="0" rtlCol="0">
                          <a:noAutofit/>
                        </wps:bodyPr>
                      </wps:wsp>
                      <wps:wsp>
                        <wps:cNvPr id="414" name="Textbox 414"/>
                        <wps:cNvSpPr txBox="1"/>
                        <wps:spPr>
                          <a:xfrm>
                            <a:off x="6172200" y="246242"/>
                            <a:ext cx="544830" cy="247650"/>
                          </a:xfrm>
                          <a:prstGeom prst="rect">
                            <a:avLst/>
                          </a:prstGeom>
                        </wps:spPr>
                        <wps:txbx>
                          <w:txbxContent>
                            <w:p>
                              <w:pPr>
                                <w:spacing w:line="195" w:lineRule="exact" w:before="0"/>
                                <w:ind w:left="0" w:right="20" w:firstLine="0"/>
                                <w:jc w:val="center"/>
                                <w:rPr>
                                  <w:rFonts w:ascii="Arial Narrow"/>
                                  <w:b/>
                                  <w:sz w:val="17"/>
                                </w:rPr>
                              </w:pPr>
                              <w:r>
                                <w:rPr>
                                  <w:rFonts w:ascii="Arial Narrow"/>
                                  <w:b/>
                                  <w:color w:val="FFFFFF"/>
                                  <w:spacing w:val="-5"/>
                                  <w:sz w:val="17"/>
                                </w:rPr>
                                <w:t>LA</w:t>
                              </w:r>
                            </w:p>
                            <w:p>
                              <w:pPr>
                                <w:tabs>
                                  <w:tab w:pos="628" w:val="left" w:leader="none"/>
                                </w:tabs>
                                <w:spacing w:line="195" w:lineRule="exact" w:before="0"/>
                                <w:ind w:left="-1" w:right="18" w:firstLine="0"/>
                                <w:jc w:val="center"/>
                                <w:rPr>
                                  <w:rFonts w:ascii="Arial Narrow" w:hAnsi="Arial Narrow"/>
                                  <w:b/>
                                  <w:sz w:val="17"/>
                                </w:rPr>
                              </w:pPr>
                              <w:r>
                                <w:rPr>
                                  <w:rFonts w:ascii="Arial Narrow" w:hAnsi="Arial Narrow"/>
                                  <w:b/>
                                  <w:color w:val="FFFFFF"/>
                                  <w:spacing w:val="-5"/>
                                  <w:sz w:val="17"/>
                                </w:rPr>
                                <w:t>ACT</w:t>
                              </w:r>
                              <w:r>
                                <w:rPr>
                                  <w:rFonts w:ascii="Arial Narrow" w:hAnsi="Arial Narrow"/>
                                  <w:b/>
                                  <w:color w:val="FFFFFF"/>
                                  <w:sz w:val="17"/>
                                </w:rPr>
                                <w:tab/>
                              </w:r>
                              <w:r>
                                <w:rPr>
                                  <w:rFonts w:ascii="Arial Narrow" w:hAnsi="Arial Narrow"/>
                                  <w:b/>
                                  <w:color w:val="FFFFFF"/>
                                  <w:spacing w:val="-5"/>
                                  <w:sz w:val="17"/>
                                </w:rPr>
                                <w:t>ÓN</w:t>
                              </w:r>
                            </w:p>
                          </w:txbxContent>
                        </wps:txbx>
                        <wps:bodyPr wrap="square" lIns="0" tIns="0" rIns="0" bIns="0" rtlCol="0">
                          <a:noAutofit/>
                        </wps:bodyPr>
                      </wps:wsp>
                      <wps:wsp>
                        <wps:cNvPr id="415" name="Textbox 415"/>
                        <wps:cNvSpPr txBox="1"/>
                        <wps:spPr>
                          <a:xfrm>
                            <a:off x="6354917" y="369686"/>
                            <a:ext cx="229870" cy="124460"/>
                          </a:xfrm>
                          <a:prstGeom prst="rect">
                            <a:avLst/>
                          </a:prstGeom>
                        </wps:spPr>
                        <wps:txbx>
                          <w:txbxContent>
                            <w:p>
                              <w:pPr>
                                <w:spacing w:before="0"/>
                                <w:ind w:left="0" w:right="0" w:firstLine="0"/>
                                <w:jc w:val="left"/>
                                <w:rPr>
                                  <w:rFonts w:ascii="Arial Narrow"/>
                                  <w:b/>
                                  <w:sz w:val="17"/>
                                </w:rPr>
                              </w:pPr>
                              <w:r>
                                <w:rPr>
                                  <w:rFonts w:ascii="Arial Narrow"/>
                                  <w:b/>
                                  <w:color w:val="FFFFFF"/>
                                  <w:spacing w:val="-4"/>
                                  <w:sz w:val="17"/>
                                </w:rPr>
                                <w:t>UACI</w:t>
                              </w:r>
                            </w:p>
                          </w:txbxContent>
                        </wps:txbx>
                        <wps:bodyPr wrap="square" lIns="0" tIns="0" rIns="0" bIns="0" rtlCol="0">
                          <a:noAutofit/>
                        </wps:bodyPr>
                      </wps:wsp>
                      <wps:wsp>
                        <wps:cNvPr id="416" name="Textbox 416"/>
                        <wps:cNvSpPr txBox="1"/>
                        <wps:spPr>
                          <a:xfrm>
                            <a:off x="4718050" y="570854"/>
                            <a:ext cx="199390" cy="124460"/>
                          </a:xfrm>
                          <a:prstGeom prst="rect">
                            <a:avLst/>
                          </a:prstGeom>
                        </wps:spPr>
                        <wps:txbx>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4"/>
                                  <w:sz w:val="11"/>
                                </w:rPr>
                                <w:t>(**)</w:t>
                              </w:r>
                            </w:p>
                          </w:txbxContent>
                        </wps:txbx>
                        <wps:bodyPr wrap="square" lIns="0" tIns="0" rIns="0" bIns="0" rtlCol="0">
                          <a:noAutofit/>
                        </wps:bodyPr>
                      </wps:wsp>
                      <wps:wsp>
                        <wps:cNvPr id="417" name="Textbox 417"/>
                        <wps:cNvSpPr txBox="1"/>
                        <wps:spPr>
                          <a:xfrm>
                            <a:off x="5393182" y="570854"/>
                            <a:ext cx="119380"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wps:txbx>
                        <wps:bodyPr wrap="square" lIns="0" tIns="0" rIns="0" bIns="0" rtlCol="0">
                          <a:noAutofit/>
                        </wps:bodyPr>
                      </wps:wsp>
                      <wps:wsp>
                        <wps:cNvPr id="418" name="Textbox 418"/>
                        <wps:cNvSpPr txBox="1"/>
                        <wps:spPr>
                          <a:xfrm>
                            <a:off x="5848858" y="570854"/>
                            <a:ext cx="200025" cy="124460"/>
                          </a:xfrm>
                          <a:prstGeom prst="rect">
                            <a:avLst/>
                          </a:prstGeom>
                        </wps:spPr>
                        <wps:txbx>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4"/>
                                  <w:sz w:val="11"/>
                                </w:rPr>
                                <w:t>(**)</w:t>
                              </w:r>
                            </w:p>
                          </w:txbxContent>
                        </wps:txbx>
                        <wps:bodyPr wrap="square" lIns="0" tIns="0" rIns="0" bIns="0" rtlCol="0">
                          <a:noAutofit/>
                        </wps:bodyPr>
                      </wps:wsp>
                      <wps:wsp>
                        <wps:cNvPr id="419" name="Textbox 419"/>
                        <wps:cNvSpPr txBox="1"/>
                        <wps:spPr>
                          <a:xfrm>
                            <a:off x="6216396" y="493130"/>
                            <a:ext cx="455295" cy="124460"/>
                          </a:xfrm>
                          <a:prstGeom prst="rect">
                            <a:avLst/>
                          </a:prstGeom>
                        </wps:spPr>
                        <wps:txbx>
                          <w:txbxContent>
                            <w:p>
                              <w:pPr>
                                <w:spacing w:before="0"/>
                                <w:ind w:left="0" w:right="0" w:firstLine="0"/>
                                <w:jc w:val="left"/>
                                <w:rPr>
                                  <w:rFonts w:ascii="Arial Narrow"/>
                                  <w:b/>
                                  <w:sz w:val="17"/>
                                </w:rPr>
                              </w:pPr>
                              <w:r>
                                <w:rPr>
                                  <w:rFonts w:ascii="Arial Narrow"/>
                                  <w:b/>
                                  <w:color w:val="FFFFFF"/>
                                  <w:spacing w:val="-2"/>
                                  <w:sz w:val="17"/>
                                </w:rPr>
                                <w:t>31/12/2024</w:t>
                              </w:r>
                            </w:p>
                          </w:txbxContent>
                        </wps:txbx>
                        <wps:bodyPr wrap="square" lIns="0" tIns="0" rIns="0" bIns="0" rtlCol="0">
                          <a:noAutofit/>
                        </wps:bodyPr>
                      </wps:wsp>
                    </wpg:wgp>
                  </a:graphicData>
                </a:graphic>
              </wp:inline>
            </w:drawing>
          </mc:Choice>
          <mc:Fallback>
            <w:pict>
              <v:group style="width:531.85pt;height:58.8pt;mso-position-horizontal-relative:char;mso-position-vertical-relative:line" id="docshapegroup348" coordorigin="0,0" coordsize="10637,1176">
                <v:shape style="position:absolute;left:0;top:0;width:10637;height:1176" id="docshape349" coordorigin="0,0" coordsize="10637,1176" path="m3968,0l2410,0,0,0,0,1166,0,1176,2412,1176,2422,1176,3968,1176,3968,1166,3968,0xm10637,0l9641,0,9641,478,9641,816,9641,828,9074,828,8085,828,8085,816,9641,816,9641,478,8085,478,8085,468,9641,468,9641,0,7924,0,7924,468,7924,478,7924,828,7231,828,7231,1166,7231,1166,7231,828,5963,828,5963,816,7924,816,7924,478,5965,478,5965,468,7924,468,7924,0,5963,0,5805,0,5805,0,3968,0,3968,468,5805,468,5805,478,5104,478,5104,478,3968,478,3968,1166,3968,1176,3978,1176,5106,1176,5106,1176,5116,1176,5805,1176,5814,1176,5814,1166,5814,1166,5814,1176,5965,1176,5975,1176,7233,1176,7233,1166,7233,1166,7233,1176,7243,1176,7924,1176,7934,1176,8085,1176,8095,1176,9074,1176,9084,1176,9641,1176,9641,1176,9650,1176,9650,1166,9650,1166,9650,1176,10637,1176,10637,1166,10637,0xe" filled="true" fillcolor="#002d5d" stroked="false">
                  <v:path arrowok="t"/>
                  <v:fill type="solid"/>
                </v:shape>
                <v:shape style="position:absolute;left:4467;top:37;width:858;height:390" type="#_x0000_t202" id="docshape350" filled="false" stroked="false">
                  <v:textbox inset="0,0,0,0">
                    <w:txbxContent>
                      <w:p>
                        <w:pPr>
                          <w:spacing w:before="0"/>
                          <w:ind w:left="0" w:right="0" w:firstLine="98"/>
                          <w:jc w:val="left"/>
                          <w:rPr>
                            <w:rFonts w:ascii="Arial Narrow" w:hAnsi="Arial Narrow"/>
                            <w:b/>
                            <w:sz w:val="17"/>
                          </w:rPr>
                        </w:pPr>
                        <w:r>
                          <w:rPr>
                            <w:rFonts w:ascii="Arial Narrow" w:hAnsi="Arial Narrow"/>
                            <w:b/>
                            <w:color w:val="FFFFFF"/>
                            <w:spacing w:val="-2"/>
                            <w:sz w:val="17"/>
                          </w:rPr>
                          <w:t>IMPORTE</w:t>
                        </w:r>
                        <w:r>
                          <w:rPr>
                            <w:rFonts w:ascii="Arial Narrow" w:hAnsi="Arial Narrow"/>
                            <w:b/>
                            <w:color w:val="FFFFFF"/>
                            <w:spacing w:val="40"/>
                            <w:sz w:val="17"/>
                          </w:rPr>
                          <w:t> </w:t>
                        </w:r>
                        <w:r>
                          <w:rPr>
                            <w:rFonts w:ascii="Arial Narrow" w:hAnsi="Arial Narrow"/>
                            <w:b/>
                            <w:color w:val="FFFFFF"/>
                            <w:spacing w:val="-2"/>
                            <w:sz w:val="17"/>
                          </w:rPr>
                          <w:t>ACTUACIÓN</w:t>
                        </w:r>
                      </w:p>
                    </w:txbxContent>
                  </v:textbox>
                  <w10:wrap type="none"/>
                </v:shape>
                <v:shape style="position:absolute;left:7295;top:135;width:1035;height:196" type="#_x0000_t202" id="docshape351"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2"/>
                            <w:sz w:val="17"/>
                          </w:rPr>
                          <w:t>FINANCIACIÓN</w:t>
                        </w:r>
                      </w:p>
                    </w:txbxContent>
                  </v:textbox>
                  <w10:wrap type="none"/>
                </v:shape>
                <v:shape style="position:absolute;left:9729;top:193;width:836;height:196" type="#_x0000_t202" id="docshape352" filled="false" stroked="false">
                  <v:textbox inset="0,0,0,0">
                    <w:txbxContent>
                      <w:p>
                        <w:pPr>
                          <w:spacing w:before="0"/>
                          <w:ind w:left="0" w:right="0" w:firstLine="0"/>
                          <w:jc w:val="left"/>
                          <w:rPr>
                            <w:rFonts w:ascii="Arial Narrow"/>
                            <w:b/>
                            <w:sz w:val="17"/>
                          </w:rPr>
                        </w:pPr>
                        <w:r>
                          <w:rPr>
                            <w:rFonts w:ascii="Arial Narrow"/>
                            <w:b/>
                            <w:color w:val="FFFFFF"/>
                            <w:sz w:val="17"/>
                          </w:rPr>
                          <w:t>ESTADO</w:t>
                        </w:r>
                        <w:r>
                          <w:rPr>
                            <w:rFonts w:ascii="Arial Narrow"/>
                            <w:b/>
                            <w:color w:val="FFFFFF"/>
                            <w:spacing w:val="-5"/>
                            <w:sz w:val="17"/>
                          </w:rPr>
                          <w:t> DE</w:t>
                        </w:r>
                      </w:p>
                    </w:txbxContent>
                  </v:textbox>
                  <w10:wrap type="none"/>
                </v:shape>
                <v:shape style="position:absolute;left:69;top:483;width:2005;height:196" type="#_x0000_t202" id="docshape353"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z w:val="17"/>
                          </w:rPr>
                          <w:t>DENOMINACIÓN</w:t>
                        </w:r>
                        <w:r>
                          <w:rPr>
                            <w:rFonts w:ascii="Arial Narrow" w:hAnsi="Arial Narrow"/>
                            <w:b/>
                            <w:color w:val="FFFFFF"/>
                            <w:spacing w:val="-8"/>
                            <w:sz w:val="17"/>
                          </w:rPr>
                          <w:t> </w:t>
                        </w:r>
                        <w:r>
                          <w:rPr>
                            <w:rFonts w:ascii="Arial Narrow" w:hAnsi="Arial Narrow"/>
                            <w:b/>
                            <w:color w:val="FFFFFF"/>
                            <w:spacing w:val="-2"/>
                            <w:sz w:val="17"/>
                          </w:rPr>
                          <w:t>ACTUACIÓN</w:t>
                        </w:r>
                      </w:p>
                    </w:txbxContent>
                  </v:textbox>
                  <w10:wrap type="none"/>
                </v:shape>
                <v:shape style="position:absolute;left:2482;top:483;width:789;height:196" type="#_x0000_t202" id="docshape354"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2"/>
                            <w:sz w:val="17"/>
                          </w:rPr>
                          <w:t>TIPOLOGÍA</w:t>
                        </w:r>
                      </w:p>
                    </w:txbxContent>
                  </v:textbox>
                  <w10:wrap type="none"/>
                </v:shape>
                <v:shape style="position:absolute;left:6479;top:548;width:950;height:546" type="#_x0000_t202" id="docshape355" filled="false" stroked="false">
                  <v:textbox inset="0,0,0,0">
                    <w:txbxContent>
                      <w:p>
                        <w:pPr>
                          <w:spacing w:before="0"/>
                          <w:ind w:left="0" w:right="0" w:firstLine="0"/>
                          <w:jc w:val="left"/>
                          <w:rPr>
                            <w:rFonts w:ascii="Arial Narrow"/>
                            <w:b/>
                            <w:sz w:val="17"/>
                          </w:rPr>
                        </w:pPr>
                        <w:r>
                          <w:rPr>
                            <w:rFonts w:ascii="Arial Narrow"/>
                            <w:b/>
                            <w:color w:val="FFFFFF"/>
                            <w:spacing w:val="-2"/>
                            <w:sz w:val="17"/>
                          </w:rPr>
                          <w:t>Ayuntamiento</w:t>
                        </w:r>
                      </w:p>
                      <w:p>
                        <w:pPr>
                          <w:spacing w:before="155"/>
                          <w:ind w:left="33" w:right="0" w:firstLine="0"/>
                          <w:jc w:val="left"/>
                          <w:rPr>
                            <w:rFonts w:ascii="Arial Narrow" w:hAnsi="Arial Narrow"/>
                            <w:b/>
                            <w:sz w:val="17"/>
                          </w:rPr>
                        </w:pPr>
                        <w:r>
                          <w:rPr>
                            <w:rFonts w:ascii="Arial Narrow" w:hAnsi="Arial Narrow"/>
                            <w:b/>
                            <w:color w:val="FFFFFF"/>
                            <w:spacing w:val="-5"/>
                            <w:sz w:val="17"/>
                          </w:rPr>
                          <w:t>(€)</w:t>
                        </w:r>
                      </w:p>
                    </w:txbxContent>
                  </v:textbox>
                  <w10:wrap type="none"/>
                </v:shape>
                <v:shape style="position:absolute;left:8670;top:548;width:402;height:196" type="#_x0000_t202" id="docshape356" filled="false" stroked="false">
                  <v:textbox inset="0,0,0,0">
                    <w:txbxContent>
                      <w:p>
                        <w:pPr>
                          <w:spacing w:before="0"/>
                          <w:ind w:left="0" w:right="0" w:firstLine="0"/>
                          <w:jc w:val="left"/>
                          <w:rPr>
                            <w:rFonts w:ascii="Arial Narrow"/>
                            <w:b/>
                            <w:sz w:val="17"/>
                          </w:rPr>
                        </w:pPr>
                        <w:r>
                          <w:rPr>
                            <w:rFonts w:ascii="Arial Narrow"/>
                            <w:b/>
                            <w:color w:val="FFFFFF"/>
                            <w:spacing w:val="-4"/>
                            <w:sz w:val="17"/>
                          </w:rPr>
                          <w:t>PRTR</w:t>
                        </w:r>
                      </w:p>
                    </w:txbxContent>
                  </v:textbox>
                  <w10:wrap type="none"/>
                </v:shape>
                <v:shape style="position:absolute;left:4450;top:723;width:188;height:196" type="#_x0000_t202" id="docshape357"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v:textbox>
                  <w10:wrap type="none"/>
                </v:shape>
                <v:shape style="position:absolute;left:5327;top:723;width:279;height:196" type="#_x0000_t202" id="docshape358" filled="false" stroked="false">
                  <v:textbox inset="0,0,0,0">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5"/>
                            <w:sz w:val="11"/>
                          </w:rPr>
                          <w:t>(*)</w:t>
                        </w:r>
                      </w:p>
                    </w:txbxContent>
                  </v:textbox>
                  <w10:wrap type="none"/>
                </v:shape>
                <v:shape style="position:absolute;left:9720;top:387;width:858;height:390" type="#_x0000_t202" id="docshape359" filled="false" stroked="false">
                  <v:textbox inset="0,0,0,0">
                    <w:txbxContent>
                      <w:p>
                        <w:pPr>
                          <w:spacing w:line="195" w:lineRule="exact" w:before="0"/>
                          <w:ind w:left="0" w:right="20" w:firstLine="0"/>
                          <w:jc w:val="center"/>
                          <w:rPr>
                            <w:rFonts w:ascii="Arial Narrow"/>
                            <w:b/>
                            <w:sz w:val="17"/>
                          </w:rPr>
                        </w:pPr>
                        <w:r>
                          <w:rPr>
                            <w:rFonts w:ascii="Arial Narrow"/>
                            <w:b/>
                            <w:color w:val="FFFFFF"/>
                            <w:spacing w:val="-5"/>
                            <w:sz w:val="17"/>
                          </w:rPr>
                          <w:t>LA</w:t>
                        </w:r>
                      </w:p>
                      <w:p>
                        <w:pPr>
                          <w:tabs>
                            <w:tab w:pos="628" w:val="left" w:leader="none"/>
                          </w:tabs>
                          <w:spacing w:line="195" w:lineRule="exact" w:before="0"/>
                          <w:ind w:left="-1" w:right="18" w:firstLine="0"/>
                          <w:jc w:val="center"/>
                          <w:rPr>
                            <w:rFonts w:ascii="Arial Narrow" w:hAnsi="Arial Narrow"/>
                            <w:b/>
                            <w:sz w:val="17"/>
                          </w:rPr>
                        </w:pPr>
                        <w:r>
                          <w:rPr>
                            <w:rFonts w:ascii="Arial Narrow" w:hAnsi="Arial Narrow"/>
                            <w:b/>
                            <w:color w:val="FFFFFF"/>
                            <w:spacing w:val="-5"/>
                            <w:sz w:val="17"/>
                          </w:rPr>
                          <w:t>ACT</w:t>
                        </w:r>
                        <w:r>
                          <w:rPr>
                            <w:rFonts w:ascii="Arial Narrow" w:hAnsi="Arial Narrow"/>
                            <w:b/>
                            <w:color w:val="FFFFFF"/>
                            <w:sz w:val="17"/>
                          </w:rPr>
                          <w:tab/>
                        </w:r>
                        <w:r>
                          <w:rPr>
                            <w:rFonts w:ascii="Arial Narrow" w:hAnsi="Arial Narrow"/>
                            <w:b/>
                            <w:color w:val="FFFFFF"/>
                            <w:spacing w:val="-5"/>
                            <w:sz w:val="17"/>
                          </w:rPr>
                          <w:t>ÓN</w:t>
                        </w:r>
                      </w:p>
                    </w:txbxContent>
                  </v:textbox>
                  <w10:wrap type="none"/>
                </v:shape>
                <v:shape style="position:absolute;left:10007;top:582;width:362;height:196" type="#_x0000_t202" id="docshape360" filled="false" stroked="false">
                  <v:textbox inset="0,0,0,0">
                    <w:txbxContent>
                      <w:p>
                        <w:pPr>
                          <w:spacing w:before="0"/>
                          <w:ind w:left="0" w:right="0" w:firstLine="0"/>
                          <w:jc w:val="left"/>
                          <w:rPr>
                            <w:rFonts w:ascii="Arial Narrow"/>
                            <w:b/>
                            <w:sz w:val="17"/>
                          </w:rPr>
                        </w:pPr>
                        <w:r>
                          <w:rPr>
                            <w:rFonts w:ascii="Arial Narrow"/>
                            <w:b/>
                            <w:color w:val="FFFFFF"/>
                            <w:spacing w:val="-4"/>
                            <w:sz w:val="17"/>
                          </w:rPr>
                          <w:t>UACI</w:t>
                        </w:r>
                      </w:p>
                    </w:txbxContent>
                  </v:textbox>
                  <w10:wrap type="none"/>
                </v:shape>
                <v:shape style="position:absolute;left:7430;top:898;width:314;height:196" type="#_x0000_t202" id="docshape361" filled="false" stroked="false">
                  <v:textbox inset="0,0,0,0">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4"/>
                            <w:sz w:val="11"/>
                          </w:rPr>
                          <w:t>(**)</w:t>
                        </w:r>
                      </w:p>
                    </w:txbxContent>
                  </v:textbox>
                  <w10:wrap type="none"/>
                </v:shape>
                <v:shape style="position:absolute;left:8493;top:898;width:188;height:196" type="#_x0000_t202" id="docshape362"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5"/>
                            <w:sz w:val="17"/>
                          </w:rPr>
                          <w:t>(€)</w:t>
                        </w:r>
                      </w:p>
                    </w:txbxContent>
                  </v:textbox>
                  <w10:wrap type="none"/>
                </v:shape>
                <v:shape style="position:absolute;left:9210;top:898;width:315;height:196" type="#_x0000_t202" id="docshape363" filled="false" stroked="false">
                  <v:textbox inset="0,0,0,0">
                    <w:txbxContent>
                      <w:p>
                        <w:pPr>
                          <w:spacing w:line="194" w:lineRule="exact" w:before="0"/>
                          <w:ind w:left="0" w:right="0" w:firstLine="0"/>
                          <w:jc w:val="left"/>
                          <w:rPr>
                            <w:rFonts w:ascii="Arial Narrow"/>
                            <w:b/>
                            <w:sz w:val="11"/>
                          </w:rPr>
                        </w:pPr>
                        <w:r>
                          <w:rPr>
                            <w:rFonts w:ascii="Arial Narrow"/>
                            <w:b/>
                            <w:color w:val="FFFFFF"/>
                            <w:position w:val="-3"/>
                            <w:sz w:val="17"/>
                          </w:rPr>
                          <w:t>% </w:t>
                        </w:r>
                        <w:r>
                          <w:rPr>
                            <w:rFonts w:ascii="Arial Narrow"/>
                            <w:b/>
                            <w:color w:val="FFFFFF"/>
                            <w:spacing w:val="-4"/>
                            <w:sz w:val="11"/>
                          </w:rPr>
                          <w:t>(**)</w:t>
                        </w:r>
                      </w:p>
                    </w:txbxContent>
                  </v:textbox>
                  <w10:wrap type="none"/>
                </v:shape>
                <v:shape style="position:absolute;left:9789;top:776;width:717;height:196" type="#_x0000_t202" id="docshape364" filled="false" stroked="false">
                  <v:textbox inset="0,0,0,0">
                    <w:txbxContent>
                      <w:p>
                        <w:pPr>
                          <w:spacing w:before="0"/>
                          <w:ind w:left="0" w:right="0" w:firstLine="0"/>
                          <w:jc w:val="left"/>
                          <w:rPr>
                            <w:rFonts w:ascii="Arial Narrow"/>
                            <w:b/>
                            <w:sz w:val="17"/>
                          </w:rPr>
                        </w:pPr>
                        <w:r>
                          <w:rPr>
                            <w:rFonts w:ascii="Arial Narrow"/>
                            <w:b/>
                            <w:color w:val="FFFFFF"/>
                            <w:spacing w:val="-2"/>
                            <w:sz w:val="17"/>
                          </w:rPr>
                          <w:t>31/12/2024</w:t>
                        </w:r>
                      </w:p>
                    </w:txbxContent>
                  </v:textbox>
                  <w10:wrap type="none"/>
                </v:shape>
              </v:group>
            </w:pict>
          </mc:Fallback>
        </mc:AlternateContent>
      </w:r>
      <w:r>
        <w:rPr>
          <w:sz w:val="20"/>
        </w:rPr>
      </w:r>
    </w:p>
    <w:p>
      <w:pPr>
        <w:spacing w:after="0" w:line="240" w:lineRule="auto"/>
        <w:rPr>
          <w:sz w:val="20"/>
        </w:rPr>
        <w:sectPr>
          <w:headerReference w:type="default" r:id="rId113"/>
          <w:headerReference w:type="even" r:id="rId114"/>
          <w:footerReference w:type="default" r:id="rId115"/>
          <w:footerReference w:type="even" r:id="rId116"/>
          <w:pgSz w:w="11910" w:h="16840"/>
          <w:pgMar w:header="1270" w:footer="661" w:top="2800" w:bottom="860" w:left="141" w:right="141"/>
          <w:pgNumType w:start="123"/>
        </w:sectPr>
      </w:pPr>
    </w:p>
    <w:p>
      <w:pPr>
        <w:spacing w:line="160" w:lineRule="exact" w:before="0"/>
        <w:ind w:left="564" w:right="0" w:firstLine="0"/>
        <w:jc w:val="left"/>
        <w:rPr>
          <w:rFonts w:ascii="Arial Narrow"/>
          <w:sz w:val="17"/>
        </w:rPr>
      </w:pPr>
      <w:r>
        <w:rPr>
          <w:rFonts w:ascii="Arial Narrow"/>
          <w:sz w:val="17"/>
        </w:rPr>
        <w:t>Soporte</w:t>
      </w:r>
      <w:r>
        <w:rPr>
          <w:rFonts w:ascii="Arial Narrow"/>
          <w:spacing w:val="-4"/>
          <w:sz w:val="17"/>
        </w:rPr>
        <w:t> </w:t>
      </w:r>
      <w:r>
        <w:rPr>
          <w:rFonts w:ascii="Arial Narrow"/>
          <w:sz w:val="17"/>
        </w:rPr>
        <w:t>y</w:t>
      </w:r>
      <w:r>
        <w:rPr>
          <w:rFonts w:ascii="Arial Narrow"/>
          <w:spacing w:val="-4"/>
          <w:sz w:val="17"/>
        </w:rPr>
        <w:t> </w:t>
      </w:r>
      <w:r>
        <w:rPr>
          <w:rFonts w:ascii="Arial Narrow"/>
          <w:sz w:val="17"/>
        </w:rPr>
        <w:t>mantenimiento</w:t>
      </w:r>
      <w:r>
        <w:rPr>
          <w:rFonts w:ascii="Arial Narrow"/>
          <w:spacing w:val="-4"/>
          <w:sz w:val="17"/>
        </w:rPr>
        <w:t> </w:t>
      </w:r>
      <w:r>
        <w:rPr>
          <w:rFonts w:ascii="Arial Narrow"/>
          <w:spacing w:val="-5"/>
          <w:sz w:val="17"/>
        </w:rPr>
        <w:t>del</w:t>
      </w:r>
    </w:p>
    <w:p>
      <w:pPr>
        <w:spacing w:before="1"/>
        <w:ind w:left="564" w:right="13" w:firstLine="0"/>
        <w:jc w:val="left"/>
        <w:rPr>
          <w:rFonts w:ascii="Arial Narrow" w:hAnsi="Arial Narrow"/>
          <w:sz w:val="17"/>
        </w:rPr>
      </w:pPr>
      <w:r>
        <w:rPr>
          <w:rFonts w:ascii="Arial Narrow" w:hAnsi="Arial Narrow"/>
          <w:sz w:val="17"/>
        </w:rPr>
        <mc:AlternateContent>
          <mc:Choice Requires="wps">
            <w:drawing>
              <wp:anchor distT="0" distB="0" distL="0" distR="0" allowOverlap="1" layoutInCell="1" locked="0" behindDoc="0" simplePos="0" relativeHeight="15776768">
                <wp:simplePos x="0" y="0"/>
                <wp:positionH relativeFrom="page">
                  <wp:posOffset>403860</wp:posOffset>
                </wp:positionH>
                <wp:positionV relativeFrom="paragraph">
                  <wp:posOffset>620790</wp:posOffset>
                </wp:positionV>
                <wp:extent cx="6754495" cy="6350"/>
                <wp:effectExtent l="0" t="0" r="0" b="0"/>
                <wp:wrapNone/>
                <wp:docPr id="420" name="Graphic 420"/>
                <wp:cNvGraphicFramePr>
                  <a:graphicFrameLocks/>
                </wp:cNvGraphicFramePr>
                <a:graphic>
                  <a:graphicData uri="http://schemas.microsoft.com/office/word/2010/wordprocessingShape">
                    <wps:wsp>
                      <wps:cNvPr id="420" name="Graphic 420"/>
                      <wps:cNvSpPr/>
                      <wps:spPr>
                        <a:xfrm>
                          <a:off x="0" y="0"/>
                          <a:ext cx="6754495" cy="6350"/>
                        </a:xfrm>
                        <a:custGeom>
                          <a:avLst/>
                          <a:gdLst/>
                          <a:ahLst/>
                          <a:cxnLst/>
                          <a:rect l="l" t="t" r="r" b="b"/>
                          <a:pathLst>
                            <a:path w="6754495" h="6350">
                              <a:moveTo>
                                <a:pt x="2519730" y="0"/>
                              </a:moveTo>
                              <a:lnTo>
                                <a:pt x="1537970" y="0"/>
                              </a:lnTo>
                              <a:lnTo>
                                <a:pt x="1531874" y="0"/>
                              </a:lnTo>
                              <a:lnTo>
                                <a:pt x="0" y="0"/>
                              </a:lnTo>
                              <a:lnTo>
                                <a:pt x="0" y="6096"/>
                              </a:lnTo>
                              <a:lnTo>
                                <a:pt x="1531874" y="6096"/>
                              </a:lnTo>
                              <a:lnTo>
                                <a:pt x="1537970" y="6096"/>
                              </a:lnTo>
                              <a:lnTo>
                                <a:pt x="2519730" y="6096"/>
                              </a:lnTo>
                              <a:lnTo>
                                <a:pt x="2519730" y="0"/>
                              </a:lnTo>
                              <a:close/>
                            </a:path>
                            <a:path w="6754495" h="6350">
                              <a:moveTo>
                                <a:pt x="3692004" y="0"/>
                              </a:moveTo>
                              <a:lnTo>
                                <a:pt x="3692004" y="0"/>
                              </a:lnTo>
                              <a:lnTo>
                                <a:pt x="2519807" y="0"/>
                              </a:lnTo>
                              <a:lnTo>
                                <a:pt x="2519807" y="6096"/>
                              </a:lnTo>
                              <a:lnTo>
                                <a:pt x="3692004" y="6096"/>
                              </a:lnTo>
                              <a:lnTo>
                                <a:pt x="3692004" y="0"/>
                              </a:lnTo>
                              <a:close/>
                            </a:path>
                            <a:path w="6754495" h="6350">
                              <a:moveTo>
                                <a:pt x="4593006" y="0"/>
                              </a:moveTo>
                              <a:lnTo>
                                <a:pt x="3794125" y="0"/>
                              </a:lnTo>
                              <a:lnTo>
                                <a:pt x="3788029" y="0"/>
                              </a:lnTo>
                              <a:lnTo>
                                <a:pt x="3692017" y="0"/>
                              </a:lnTo>
                              <a:lnTo>
                                <a:pt x="3692017" y="6096"/>
                              </a:lnTo>
                              <a:lnTo>
                                <a:pt x="3788029" y="6096"/>
                              </a:lnTo>
                              <a:lnTo>
                                <a:pt x="3794125" y="6096"/>
                              </a:lnTo>
                              <a:lnTo>
                                <a:pt x="4593006" y="6096"/>
                              </a:lnTo>
                              <a:lnTo>
                                <a:pt x="4593006" y="0"/>
                              </a:lnTo>
                              <a:close/>
                            </a:path>
                            <a:path w="6754495" h="6350">
                              <a:moveTo>
                                <a:pt x="6127991" y="0"/>
                              </a:moveTo>
                              <a:lnTo>
                                <a:pt x="6127991" y="0"/>
                              </a:lnTo>
                              <a:lnTo>
                                <a:pt x="4593082" y="0"/>
                              </a:lnTo>
                              <a:lnTo>
                                <a:pt x="4593082" y="6096"/>
                              </a:lnTo>
                              <a:lnTo>
                                <a:pt x="6127991" y="6096"/>
                              </a:lnTo>
                              <a:lnTo>
                                <a:pt x="6127991" y="0"/>
                              </a:lnTo>
                              <a:close/>
                            </a:path>
                            <a:path w="6754495" h="6350">
                              <a:moveTo>
                                <a:pt x="6754368" y="0"/>
                              </a:moveTo>
                              <a:lnTo>
                                <a:pt x="6128004" y="0"/>
                              </a:lnTo>
                              <a:lnTo>
                                <a:pt x="6128004" y="6096"/>
                              </a:lnTo>
                              <a:lnTo>
                                <a:pt x="6754368" y="6096"/>
                              </a:lnTo>
                              <a:lnTo>
                                <a:pt x="6754368"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shape style="position:absolute;margin-left:31.800001pt;margin-top:48.881165pt;width:531.85pt;height:.5pt;mso-position-horizontal-relative:page;mso-position-vertical-relative:paragraph;z-index:15776768" id="docshape365" coordorigin="636,978" coordsize="10637,10" path="m4604,978l3058,978,3048,978,636,978,636,987,3048,987,3058,987,4604,987,4604,978xm6450,978l6441,978,5752,978,5742,978,5742,978,4614,978,4604,978,4604,987,4614,987,5742,987,5742,987,5752,987,6441,987,6450,987,6450,978xm7869,978l6611,978,6601,978,6450,978,6450,987,6601,987,6611,987,7869,987,7869,978xm10286,978l10277,978,10277,978,9720,978,9710,978,8731,978,8721,978,8570,978,8560,978,7879,978,7869,978,7869,987,7879,987,8560,987,8570,987,8721,987,8731,987,9710,987,9720,987,10277,987,10277,987,10286,987,10286,978xm11273,978l10286,978,10286,987,11273,987,11273,978xe" filled="true" fillcolor="#002d5d" stroked="false">
                <v:path arrowok="t"/>
                <v:fill type="solid"/>
                <w10:wrap type="none"/>
              </v:shape>
            </w:pict>
          </mc:Fallback>
        </mc:AlternateContent>
      </w:r>
      <w:r>
        <w:rPr>
          <w:rFonts w:ascii="Arial Narrow" w:hAnsi="Arial Narrow"/>
          <w:sz w:val="17"/>
        </w:rPr>
        <w:t>sistema</w:t>
      </w:r>
      <w:r>
        <w:rPr>
          <w:rFonts w:ascii="Arial Narrow" w:hAnsi="Arial Narrow"/>
          <w:spacing w:val="-8"/>
          <w:sz w:val="17"/>
        </w:rPr>
        <w:t> </w:t>
      </w:r>
      <w:r>
        <w:rPr>
          <w:rFonts w:ascii="Arial Narrow" w:hAnsi="Arial Narrow"/>
          <w:sz w:val="17"/>
        </w:rPr>
        <w:t>de</w:t>
      </w:r>
      <w:r>
        <w:rPr>
          <w:rFonts w:ascii="Arial Narrow" w:hAnsi="Arial Narrow"/>
          <w:spacing w:val="-8"/>
          <w:sz w:val="17"/>
        </w:rPr>
        <w:t> </w:t>
      </w:r>
      <w:r>
        <w:rPr>
          <w:rFonts w:ascii="Arial Narrow" w:hAnsi="Arial Narrow"/>
          <w:sz w:val="17"/>
        </w:rPr>
        <w:t>control</w:t>
      </w:r>
      <w:r>
        <w:rPr>
          <w:rFonts w:ascii="Arial Narrow" w:hAnsi="Arial Narrow"/>
          <w:spacing w:val="-8"/>
          <w:sz w:val="17"/>
        </w:rPr>
        <w:t> </w:t>
      </w:r>
      <w:r>
        <w:rPr>
          <w:rFonts w:ascii="Arial Narrow" w:hAnsi="Arial Narrow"/>
          <w:sz w:val="17"/>
        </w:rPr>
        <w:t>de</w:t>
      </w:r>
      <w:r>
        <w:rPr>
          <w:rFonts w:ascii="Arial Narrow" w:hAnsi="Arial Narrow"/>
          <w:spacing w:val="-8"/>
          <w:sz w:val="17"/>
        </w:rPr>
        <w:t> </w:t>
      </w:r>
      <w:r>
        <w:rPr>
          <w:rFonts w:ascii="Arial Narrow" w:hAnsi="Arial Narrow"/>
          <w:sz w:val="17"/>
        </w:rPr>
        <w:t>la</w:t>
      </w:r>
      <w:r>
        <w:rPr>
          <w:rFonts w:ascii="Arial Narrow" w:hAnsi="Arial Narrow"/>
          <w:spacing w:val="-8"/>
          <w:sz w:val="17"/>
        </w:rPr>
        <w:t> </w:t>
      </w:r>
      <w:r>
        <w:rPr>
          <w:rFonts w:ascii="Arial Narrow" w:hAnsi="Arial Narrow"/>
          <w:sz w:val="17"/>
        </w:rPr>
        <w:t>producción</w:t>
      </w:r>
      <w:r>
        <w:rPr>
          <w:rFonts w:ascii="Arial Narrow" w:hAnsi="Arial Narrow"/>
          <w:spacing w:val="40"/>
          <w:sz w:val="17"/>
        </w:rPr>
        <w:t> </w:t>
      </w:r>
      <w:r>
        <w:rPr>
          <w:rFonts w:ascii="Arial Narrow" w:hAnsi="Arial Narrow"/>
          <w:sz w:val="17"/>
        </w:rPr>
        <w:t>al transporte de viajeros en los</w:t>
      </w:r>
      <w:r>
        <w:rPr>
          <w:rFonts w:ascii="Arial Narrow" w:hAnsi="Arial Narrow"/>
          <w:spacing w:val="40"/>
          <w:sz w:val="17"/>
        </w:rPr>
        <w:t> </w:t>
      </w:r>
      <w:r>
        <w:rPr>
          <w:rFonts w:ascii="Arial Narrow" w:hAnsi="Arial Narrow"/>
          <w:sz w:val="17"/>
        </w:rPr>
        <w:t>servicios asociados al software</w:t>
      </w:r>
      <w:r>
        <w:rPr>
          <w:rFonts w:ascii="Arial Narrow" w:hAnsi="Arial Narrow"/>
          <w:spacing w:val="40"/>
          <w:sz w:val="17"/>
        </w:rPr>
        <w:t> </w:t>
      </w:r>
      <w:r>
        <w:rPr>
          <w:rFonts w:ascii="Arial Narrow" w:hAnsi="Arial Narrow"/>
          <w:sz w:val="17"/>
        </w:rPr>
        <w:t>embarcado de gestión y control de</w:t>
      </w:r>
      <w:r>
        <w:rPr>
          <w:rFonts w:ascii="Arial Narrow" w:hAnsi="Arial Narrow"/>
          <w:spacing w:val="40"/>
          <w:sz w:val="17"/>
        </w:rPr>
        <w:t> </w:t>
      </w:r>
      <w:r>
        <w:rPr>
          <w:rFonts w:ascii="Arial Narrow" w:hAnsi="Arial Narrow"/>
          <w:spacing w:val="-2"/>
          <w:sz w:val="17"/>
        </w:rPr>
        <w:t>explotación</w:t>
      </w:r>
    </w:p>
    <w:p>
      <w:pPr>
        <w:spacing w:line="242" w:lineRule="auto" w:before="10"/>
        <w:ind w:left="564" w:right="0" w:firstLine="0"/>
        <w:jc w:val="left"/>
        <w:rPr>
          <w:rFonts w:ascii="Arial Narrow" w:hAnsi="Arial Narrow"/>
          <w:sz w:val="17"/>
        </w:rPr>
      </w:pPr>
      <w:r>
        <w:rPr>
          <w:rFonts w:ascii="Arial Narrow" w:hAnsi="Arial Narrow"/>
          <w:sz w:val="17"/>
        </w:rPr>
        <mc:AlternateContent>
          <mc:Choice Requires="wps">
            <w:drawing>
              <wp:anchor distT="0" distB="0" distL="0" distR="0" allowOverlap="1" layoutInCell="1" locked="0" behindDoc="0" simplePos="0" relativeHeight="15777280">
                <wp:simplePos x="0" y="0"/>
                <wp:positionH relativeFrom="page">
                  <wp:posOffset>403860</wp:posOffset>
                </wp:positionH>
                <wp:positionV relativeFrom="paragraph">
                  <wp:posOffset>627190</wp:posOffset>
                </wp:positionV>
                <wp:extent cx="6754495" cy="6350"/>
                <wp:effectExtent l="0" t="0" r="0" b="0"/>
                <wp:wrapNone/>
                <wp:docPr id="421" name="Graphic 421"/>
                <wp:cNvGraphicFramePr>
                  <a:graphicFrameLocks/>
                </wp:cNvGraphicFramePr>
                <a:graphic>
                  <a:graphicData uri="http://schemas.microsoft.com/office/word/2010/wordprocessingShape">
                    <wps:wsp>
                      <wps:cNvPr id="421" name="Graphic 421"/>
                      <wps:cNvSpPr/>
                      <wps:spPr>
                        <a:xfrm>
                          <a:off x="0" y="0"/>
                          <a:ext cx="6754495" cy="6350"/>
                        </a:xfrm>
                        <a:custGeom>
                          <a:avLst/>
                          <a:gdLst/>
                          <a:ahLst/>
                          <a:cxnLst/>
                          <a:rect l="l" t="t" r="r" b="b"/>
                          <a:pathLst>
                            <a:path w="6754495" h="6350">
                              <a:moveTo>
                                <a:pt x="2519730" y="0"/>
                              </a:moveTo>
                              <a:lnTo>
                                <a:pt x="1537970" y="0"/>
                              </a:lnTo>
                              <a:lnTo>
                                <a:pt x="1531874" y="0"/>
                              </a:lnTo>
                              <a:lnTo>
                                <a:pt x="0" y="0"/>
                              </a:lnTo>
                              <a:lnTo>
                                <a:pt x="0" y="6083"/>
                              </a:lnTo>
                              <a:lnTo>
                                <a:pt x="1531874" y="6083"/>
                              </a:lnTo>
                              <a:lnTo>
                                <a:pt x="1537970" y="6083"/>
                              </a:lnTo>
                              <a:lnTo>
                                <a:pt x="2519730" y="6083"/>
                              </a:lnTo>
                              <a:lnTo>
                                <a:pt x="2519730" y="0"/>
                              </a:lnTo>
                              <a:close/>
                            </a:path>
                            <a:path w="6754495" h="6350">
                              <a:moveTo>
                                <a:pt x="3692004" y="0"/>
                              </a:moveTo>
                              <a:lnTo>
                                <a:pt x="3692004" y="0"/>
                              </a:lnTo>
                              <a:lnTo>
                                <a:pt x="2519807" y="0"/>
                              </a:lnTo>
                              <a:lnTo>
                                <a:pt x="2519807" y="6083"/>
                              </a:lnTo>
                              <a:lnTo>
                                <a:pt x="3692004" y="6083"/>
                              </a:lnTo>
                              <a:lnTo>
                                <a:pt x="3692004" y="0"/>
                              </a:lnTo>
                              <a:close/>
                            </a:path>
                            <a:path w="6754495" h="6350">
                              <a:moveTo>
                                <a:pt x="4593006" y="0"/>
                              </a:moveTo>
                              <a:lnTo>
                                <a:pt x="3794125" y="0"/>
                              </a:lnTo>
                              <a:lnTo>
                                <a:pt x="3788029" y="0"/>
                              </a:lnTo>
                              <a:lnTo>
                                <a:pt x="3692017" y="0"/>
                              </a:lnTo>
                              <a:lnTo>
                                <a:pt x="3692017" y="6083"/>
                              </a:lnTo>
                              <a:lnTo>
                                <a:pt x="3788029" y="6083"/>
                              </a:lnTo>
                              <a:lnTo>
                                <a:pt x="3794125" y="6083"/>
                              </a:lnTo>
                              <a:lnTo>
                                <a:pt x="4593006" y="6083"/>
                              </a:lnTo>
                              <a:lnTo>
                                <a:pt x="4593006" y="0"/>
                              </a:lnTo>
                              <a:close/>
                            </a:path>
                            <a:path w="6754495" h="6350">
                              <a:moveTo>
                                <a:pt x="6127991" y="0"/>
                              </a:moveTo>
                              <a:lnTo>
                                <a:pt x="6127991" y="0"/>
                              </a:lnTo>
                              <a:lnTo>
                                <a:pt x="4593082" y="0"/>
                              </a:lnTo>
                              <a:lnTo>
                                <a:pt x="4593082" y="6083"/>
                              </a:lnTo>
                              <a:lnTo>
                                <a:pt x="6127991" y="6083"/>
                              </a:lnTo>
                              <a:lnTo>
                                <a:pt x="6127991" y="0"/>
                              </a:lnTo>
                              <a:close/>
                            </a:path>
                            <a:path w="6754495" h="6350">
                              <a:moveTo>
                                <a:pt x="6754368" y="0"/>
                              </a:moveTo>
                              <a:lnTo>
                                <a:pt x="6128004" y="0"/>
                              </a:lnTo>
                              <a:lnTo>
                                <a:pt x="6128004" y="6083"/>
                              </a:lnTo>
                              <a:lnTo>
                                <a:pt x="6754368" y="6083"/>
                              </a:lnTo>
                              <a:lnTo>
                                <a:pt x="6754368"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shape style="position:absolute;margin-left:31.800001pt;margin-top:49.385075pt;width:531.85pt;height:.5pt;mso-position-horizontal-relative:page;mso-position-vertical-relative:paragraph;z-index:15777280" id="docshape366" coordorigin="636,988" coordsize="10637,10" path="m4604,988l3058,988,3048,988,636,988,636,997,3048,997,3058,997,4604,997,4604,988xm6450,988l6441,988,5752,988,5742,988,5742,988,4614,988,4604,988,4604,997,4614,997,5742,997,5742,997,5752,997,6441,997,6450,997,6450,988xm7869,988l6611,988,6601,988,6450,988,6450,997,6601,997,6611,997,7869,997,7869,988xm10286,988l10277,988,10277,988,9720,988,9710,988,8731,988,8721,988,8570,988,8560,988,7879,988,7869,988,7869,997,7879,997,8560,997,8570,997,8721,997,8731,997,9710,997,9720,997,10277,997,10277,997,10286,997,10286,988xm11273,988l10286,988,10286,997,11273,997,11273,988xe" filled="true" fillcolor="#002d5d" stroked="false">
                <v:path arrowok="t"/>
                <v:fill type="solid"/>
                <w10:wrap type="none"/>
              </v:shape>
            </w:pict>
          </mc:Fallback>
        </mc:AlternateContent>
      </w:r>
      <w:r>
        <w:rPr>
          <w:rFonts w:ascii="Arial Narrow" w:hAnsi="Arial Narrow"/>
          <w:sz w:val="17"/>
        </w:rPr>
        <mc:AlternateContent>
          <mc:Choice Requires="wps">
            <w:drawing>
              <wp:anchor distT="0" distB="0" distL="0" distR="0" allowOverlap="1" layoutInCell="1" locked="0" behindDoc="0" simplePos="0" relativeHeight="15777792">
                <wp:simplePos x="0" y="0"/>
                <wp:positionH relativeFrom="page">
                  <wp:posOffset>403860</wp:posOffset>
                </wp:positionH>
                <wp:positionV relativeFrom="paragraph">
                  <wp:posOffset>1005129</wp:posOffset>
                </wp:positionV>
                <wp:extent cx="6754495" cy="6350"/>
                <wp:effectExtent l="0" t="0" r="0" b="0"/>
                <wp:wrapNone/>
                <wp:docPr id="422" name="Graphic 422"/>
                <wp:cNvGraphicFramePr>
                  <a:graphicFrameLocks/>
                </wp:cNvGraphicFramePr>
                <a:graphic>
                  <a:graphicData uri="http://schemas.microsoft.com/office/word/2010/wordprocessingShape">
                    <wps:wsp>
                      <wps:cNvPr id="422" name="Graphic 422"/>
                      <wps:cNvSpPr/>
                      <wps:spPr>
                        <a:xfrm>
                          <a:off x="0" y="0"/>
                          <a:ext cx="6754495" cy="6350"/>
                        </a:xfrm>
                        <a:custGeom>
                          <a:avLst/>
                          <a:gdLst/>
                          <a:ahLst/>
                          <a:cxnLst/>
                          <a:rect l="l" t="t" r="r" b="b"/>
                          <a:pathLst>
                            <a:path w="6754495" h="6350">
                              <a:moveTo>
                                <a:pt x="2519730" y="0"/>
                              </a:moveTo>
                              <a:lnTo>
                                <a:pt x="1537970" y="0"/>
                              </a:lnTo>
                              <a:lnTo>
                                <a:pt x="1531874" y="0"/>
                              </a:lnTo>
                              <a:lnTo>
                                <a:pt x="0" y="0"/>
                              </a:lnTo>
                              <a:lnTo>
                                <a:pt x="0" y="6096"/>
                              </a:lnTo>
                              <a:lnTo>
                                <a:pt x="1531874" y="6096"/>
                              </a:lnTo>
                              <a:lnTo>
                                <a:pt x="1537970" y="6096"/>
                              </a:lnTo>
                              <a:lnTo>
                                <a:pt x="2519730" y="6096"/>
                              </a:lnTo>
                              <a:lnTo>
                                <a:pt x="2519730" y="0"/>
                              </a:lnTo>
                              <a:close/>
                            </a:path>
                            <a:path w="6754495" h="6350">
                              <a:moveTo>
                                <a:pt x="3692004" y="0"/>
                              </a:moveTo>
                              <a:lnTo>
                                <a:pt x="3692004" y="0"/>
                              </a:lnTo>
                              <a:lnTo>
                                <a:pt x="2519807" y="0"/>
                              </a:lnTo>
                              <a:lnTo>
                                <a:pt x="2519807" y="6096"/>
                              </a:lnTo>
                              <a:lnTo>
                                <a:pt x="3692004" y="6096"/>
                              </a:lnTo>
                              <a:lnTo>
                                <a:pt x="3692004" y="0"/>
                              </a:lnTo>
                              <a:close/>
                            </a:path>
                            <a:path w="6754495" h="6350">
                              <a:moveTo>
                                <a:pt x="4593006" y="0"/>
                              </a:moveTo>
                              <a:lnTo>
                                <a:pt x="3794125" y="0"/>
                              </a:lnTo>
                              <a:lnTo>
                                <a:pt x="3788029" y="0"/>
                              </a:lnTo>
                              <a:lnTo>
                                <a:pt x="3692017" y="0"/>
                              </a:lnTo>
                              <a:lnTo>
                                <a:pt x="3692017" y="6096"/>
                              </a:lnTo>
                              <a:lnTo>
                                <a:pt x="3788029" y="6096"/>
                              </a:lnTo>
                              <a:lnTo>
                                <a:pt x="3794125" y="6096"/>
                              </a:lnTo>
                              <a:lnTo>
                                <a:pt x="4593006" y="6096"/>
                              </a:lnTo>
                              <a:lnTo>
                                <a:pt x="4593006" y="0"/>
                              </a:lnTo>
                              <a:close/>
                            </a:path>
                            <a:path w="6754495" h="6350">
                              <a:moveTo>
                                <a:pt x="6127991" y="0"/>
                              </a:moveTo>
                              <a:lnTo>
                                <a:pt x="6127991" y="0"/>
                              </a:lnTo>
                              <a:lnTo>
                                <a:pt x="4593082" y="0"/>
                              </a:lnTo>
                              <a:lnTo>
                                <a:pt x="4593082" y="6096"/>
                              </a:lnTo>
                              <a:lnTo>
                                <a:pt x="6127991" y="6096"/>
                              </a:lnTo>
                              <a:lnTo>
                                <a:pt x="6127991" y="0"/>
                              </a:lnTo>
                              <a:close/>
                            </a:path>
                            <a:path w="6754495" h="6350">
                              <a:moveTo>
                                <a:pt x="6754368" y="0"/>
                              </a:moveTo>
                              <a:lnTo>
                                <a:pt x="6128004" y="0"/>
                              </a:lnTo>
                              <a:lnTo>
                                <a:pt x="6128004" y="6096"/>
                              </a:lnTo>
                              <a:lnTo>
                                <a:pt x="6754368" y="6096"/>
                              </a:lnTo>
                              <a:lnTo>
                                <a:pt x="6754368"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shape style="position:absolute;margin-left:31.800001pt;margin-top:79.144073pt;width:531.85pt;height:.5pt;mso-position-horizontal-relative:page;mso-position-vertical-relative:paragraph;z-index:15777792" id="docshape367" coordorigin="636,1583" coordsize="10637,10" path="m4604,1583l3058,1583,3048,1583,636,1583,636,1592,3048,1592,3058,1592,4604,1592,4604,1583xm6450,1583l6441,1583,5752,1583,5742,1583,5742,1583,4614,1583,4604,1583,4604,1592,4614,1592,5742,1592,5742,1592,5752,1592,6441,1592,6450,1592,6450,1583xm7869,1583l6611,1583,6601,1583,6450,1583,6450,1592,6601,1592,6611,1592,7869,1592,7869,1583xm10286,1583l10277,1583,10277,1583,9720,1583,9710,1583,8731,1583,8721,1583,8570,1583,8560,1583,7879,1583,7869,1583,7869,1592,7879,1592,8560,1592,8570,1592,8721,1592,8731,1592,9710,1592,9720,1592,10277,1592,10277,1592,10286,1592,10286,1583xm11273,1583l10286,1583,10286,1592,11273,1592,11273,1583xe" filled="true" fillcolor="#002d5d" stroked="false">
                <v:path arrowok="t"/>
                <v:fill type="solid"/>
                <w10:wrap type="none"/>
              </v:shape>
            </w:pict>
          </mc:Fallback>
        </mc:AlternateContent>
      </w:r>
      <w:r>
        <w:rPr>
          <w:rFonts w:ascii="Arial Narrow" w:hAnsi="Arial Narrow"/>
          <w:sz w:val="17"/>
        </w:rPr>
        <w:t>Diversas actuaciones para la</w:t>
      </w:r>
      <w:r>
        <w:rPr>
          <w:rFonts w:ascii="Arial Narrow" w:hAnsi="Arial Narrow"/>
          <w:spacing w:val="40"/>
          <w:sz w:val="17"/>
        </w:rPr>
        <w:t> </w:t>
      </w:r>
      <w:r>
        <w:rPr>
          <w:rFonts w:ascii="Arial Narrow" w:hAnsi="Arial Narrow"/>
          <w:sz w:val="17"/>
        </w:rPr>
        <w:t>difusión y promoción del transporte</w:t>
      </w:r>
      <w:r>
        <w:rPr>
          <w:rFonts w:ascii="Arial Narrow" w:hAnsi="Arial Narrow"/>
          <w:spacing w:val="40"/>
          <w:sz w:val="17"/>
        </w:rPr>
        <w:t> </w:t>
      </w:r>
      <w:r>
        <w:rPr>
          <w:rFonts w:ascii="Arial Narrow" w:hAnsi="Arial Narrow"/>
          <w:sz w:val="17"/>
        </w:rPr>
        <w:t>público</w:t>
      </w:r>
      <w:r>
        <w:rPr>
          <w:rFonts w:ascii="Arial Narrow" w:hAnsi="Arial Narrow"/>
          <w:spacing w:val="-10"/>
          <w:sz w:val="17"/>
        </w:rPr>
        <w:t> </w:t>
      </w:r>
      <w:r>
        <w:rPr>
          <w:rFonts w:ascii="Arial Narrow" w:hAnsi="Arial Narrow"/>
          <w:sz w:val="17"/>
        </w:rPr>
        <w:t>colectivo</w:t>
      </w:r>
      <w:r>
        <w:rPr>
          <w:rFonts w:ascii="Arial Narrow" w:hAnsi="Arial Narrow"/>
          <w:spacing w:val="-10"/>
          <w:sz w:val="17"/>
        </w:rPr>
        <w:t> </w:t>
      </w:r>
      <w:r>
        <w:rPr>
          <w:rFonts w:ascii="Arial Narrow" w:hAnsi="Arial Narrow"/>
          <w:sz w:val="17"/>
        </w:rPr>
        <w:t>de</w:t>
      </w:r>
      <w:r>
        <w:rPr>
          <w:rFonts w:ascii="Arial Narrow" w:hAnsi="Arial Narrow"/>
          <w:spacing w:val="-10"/>
          <w:sz w:val="17"/>
        </w:rPr>
        <w:t> </w:t>
      </w:r>
      <w:r>
        <w:rPr>
          <w:rFonts w:ascii="Arial Narrow" w:hAnsi="Arial Narrow"/>
          <w:sz w:val="17"/>
        </w:rPr>
        <w:t>la</w:t>
      </w:r>
      <w:r>
        <w:rPr>
          <w:rFonts w:ascii="Arial Narrow" w:hAnsi="Arial Narrow"/>
          <w:spacing w:val="-9"/>
          <w:sz w:val="17"/>
        </w:rPr>
        <w:t> </w:t>
      </w:r>
      <w:r>
        <w:rPr>
          <w:rFonts w:ascii="Arial Narrow" w:hAnsi="Arial Narrow"/>
          <w:sz w:val="17"/>
        </w:rPr>
        <w:t>MetroGuagua</w:t>
      </w:r>
      <w:r>
        <w:rPr>
          <w:rFonts w:ascii="Arial Narrow" w:hAnsi="Arial Narrow"/>
          <w:spacing w:val="40"/>
          <w:sz w:val="17"/>
        </w:rPr>
        <w:t> </w:t>
      </w:r>
      <w:r>
        <w:rPr>
          <w:rFonts w:ascii="Arial Narrow" w:hAnsi="Arial Narrow"/>
          <w:sz w:val="17"/>
        </w:rPr>
        <w:t>(difusión en cadenas televisivas,</w:t>
      </w:r>
      <w:r>
        <w:rPr>
          <w:rFonts w:ascii="Arial Narrow" w:hAnsi="Arial Narrow"/>
          <w:spacing w:val="40"/>
          <w:sz w:val="17"/>
        </w:rPr>
        <w:t> </w:t>
      </w:r>
      <w:r>
        <w:rPr>
          <w:rFonts w:ascii="Arial Narrow" w:hAnsi="Arial Narrow"/>
          <w:sz w:val="17"/>
        </w:rPr>
        <w:t>medios radiofónicos y digitales)</w:t>
      </w:r>
      <w:r>
        <w:rPr>
          <w:rFonts w:ascii="Arial Narrow" w:hAnsi="Arial Narrow"/>
          <w:spacing w:val="40"/>
          <w:sz w:val="17"/>
        </w:rPr>
        <w:t> </w:t>
      </w:r>
      <w:r>
        <w:rPr>
          <w:rFonts w:ascii="Arial Narrow" w:hAnsi="Arial Narrow"/>
          <w:sz w:val="17"/>
        </w:rPr>
        <w:t>Asesoramiento, planificación y</w:t>
      </w:r>
      <w:r>
        <w:rPr>
          <w:rFonts w:ascii="Arial Narrow" w:hAnsi="Arial Narrow"/>
          <w:spacing w:val="40"/>
          <w:sz w:val="17"/>
        </w:rPr>
        <w:t> </w:t>
      </w:r>
      <w:r>
        <w:rPr>
          <w:rFonts w:ascii="Arial Narrow" w:hAnsi="Arial Narrow"/>
          <w:sz w:val="17"/>
        </w:rPr>
        <w:t>compra de espacios en medios de</w:t>
      </w:r>
      <w:r>
        <w:rPr>
          <w:rFonts w:ascii="Arial Narrow" w:hAnsi="Arial Narrow"/>
          <w:spacing w:val="40"/>
          <w:sz w:val="17"/>
        </w:rPr>
        <w:t> </w:t>
      </w:r>
      <w:r>
        <w:rPr>
          <w:rFonts w:ascii="Arial Narrow" w:hAnsi="Arial Narrow"/>
          <w:spacing w:val="-2"/>
          <w:sz w:val="17"/>
        </w:rPr>
        <w:t>comunicación</w:t>
      </w:r>
    </w:p>
    <w:p>
      <w:pPr>
        <w:spacing w:before="5"/>
        <w:ind w:left="564" w:right="0" w:firstLine="0"/>
        <w:jc w:val="left"/>
        <w:rPr>
          <w:rFonts w:ascii="Arial Narrow" w:hAnsi="Arial Narrow"/>
          <w:sz w:val="17"/>
        </w:rPr>
      </w:pPr>
      <w:r>
        <w:rPr>
          <w:rFonts w:ascii="Arial Narrow" w:hAnsi="Arial Narrow"/>
          <w:sz w:val="17"/>
        </w:rPr>
        <w:t>Mantenimiento de puntos o postes</w:t>
      </w:r>
      <w:r>
        <w:rPr>
          <w:rFonts w:ascii="Arial Narrow" w:hAnsi="Arial Narrow"/>
          <w:spacing w:val="40"/>
          <w:sz w:val="17"/>
        </w:rPr>
        <w:t> </w:t>
      </w:r>
      <w:r>
        <w:rPr>
          <w:rFonts w:ascii="Arial Narrow" w:hAnsi="Arial Narrow"/>
          <w:sz w:val="17"/>
        </w:rPr>
        <w:t>de</w:t>
      </w:r>
      <w:r>
        <w:rPr>
          <w:rFonts w:ascii="Arial Narrow" w:hAnsi="Arial Narrow"/>
          <w:spacing w:val="-10"/>
          <w:sz w:val="17"/>
        </w:rPr>
        <w:t> </w:t>
      </w:r>
      <w:r>
        <w:rPr>
          <w:rFonts w:ascii="Arial Narrow" w:hAnsi="Arial Narrow"/>
          <w:sz w:val="17"/>
        </w:rPr>
        <w:t>información</w:t>
      </w:r>
      <w:r>
        <w:rPr>
          <w:rFonts w:ascii="Arial Narrow" w:hAnsi="Arial Narrow"/>
          <w:spacing w:val="-10"/>
          <w:sz w:val="17"/>
        </w:rPr>
        <w:t> </w:t>
      </w:r>
      <w:r>
        <w:rPr>
          <w:rFonts w:ascii="Arial Narrow" w:hAnsi="Arial Narrow"/>
          <w:sz w:val="17"/>
        </w:rPr>
        <w:t>al</w:t>
      </w:r>
      <w:r>
        <w:rPr>
          <w:rFonts w:ascii="Arial Narrow" w:hAnsi="Arial Narrow"/>
          <w:spacing w:val="-9"/>
          <w:sz w:val="17"/>
        </w:rPr>
        <w:t> </w:t>
      </w:r>
      <w:r>
        <w:rPr>
          <w:rFonts w:ascii="Arial Narrow" w:hAnsi="Arial Narrow"/>
          <w:sz w:val="17"/>
        </w:rPr>
        <w:t>viajero</w:t>
      </w:r>
      <w:r>
        <w:rPr>
          <w:rFonts w:ascii="Arial Narrow" w:hAnsi="Arial Narrow"/>
          <w:spacing w:val="-10"/>
          <w:sz w:val="17"/>
        </w:rPr>
        <w:t> </w:t>
      </w:r>
      <w:r>
        <w:rPr>
          <w:rFonts w:ascii="Arial Narrow" w:hAnsi="Arial Narrow"/>
          <w:sz w:val="17"/>
        </w:rPr>
        <w:t>/suministro</w:t>
      </w:r>
      <w:r>
        <w:rPr>
          <w:rFonts w:ascii="Arial Narrow" w:hAnsi="Arial Narrow"/>
          <w:spacing w:val="40"/>
          <w:sz w:val="17"/>
        </w:rPr>
        <w:t> </w:t>
      </w:r>
      <w:r>
        <w:rPr>
          <w:rFonts w:ascii="Arial Narrow" w:hAnsi="Arial Narrow"/>
          <w:sz w:val="17"/>
        </w:rPr>
        <w:t>tarjetas inteligentes/venta títulos</w:t>
      </w:r>
      <w:r>
        <w:rPr>
          <w:rFonts w:ascii="Arial Narrow" w:hAnsi="Arial Narrow"/>
          <w:spacing w:val="40"/>
          <w:sz w:val="17"/>
        </w:rPr>
        <w:t> </w:t>
      </w:r>
      <w:r>
        <w:rPr>
          <w:rFonts w:ascii="Arial Narrow" w:hAnsi="Arial Narrow"/>
          <w:spacing w:val="-2"/>
          <w:sz w:val="17"/>
        </w:rPr>
        <w:t>transporte</w:t>
      </w:r>
    </w:p>
    <w:p>
      <w:pPr>
        <w:pStyle w:val="BodyText"/>
        <w:rPr>
          <w:rFonts w:ascii="Arial Narrow"/>
          <w:sz w:val="17"/>
        </w:rPr>
      </w:pPr>
      <w:r>
        <w:rPr/>
        <w:br w:type="column"/>
      </w:r>
      <w:r>
        <w:rPr>
          <w:rFonts w:ascii="Arial Narrow"/>
          <w:sz w:val="17"/>
        </w:rPr>
      </w:r>
    </w:p>
    <w:p>
      <w:pPr>
        <w:pStyle w:val="BodyText"/>
        <w:spacing w:before="65"/>
        <w:rPr>
          <w:rFonts w:ascii="Arial Narrow"/>
          <w:sz w:val="17"/>
        </w:rPr>
      </w:pPr>
    </w:p>
    <w:p>
      <w:pPr>
        <w:tabs>
          <w:tab w:pos="1971" w:val="left" w:leader="none"/>
          <w:tab w:pos="3100" w:val="left" w:leader="none"/>
          <w:tab w:pos="4100" w:val="left" w:leader="none"/>
          <w:tab w:pos="5061" w:val="left" w:leader="none"/>
          <w:tab w:pos="6369" w:val="left" w:leader="none"/>
          <w:tab w:pos="6936" w:val="left" w:leader="none"/>
        </w:tabs>
        <w:spacing w:before="0"/>
        <w:ind w:left="118" w:right="0" w:firstLine="0"/>
        <w:jc w:val="left"/>
        <w:rPr>
          <w:rFonts w:ascii="Arial Narrow" w:hAnsi="Arial Narrow"/>
          <w:sz w:val="17"/>
        </w:rPr>
      </w:pPr>
      <w:r>
        <w:rPr>
          <w:rFonts w:ascii="Arial Narrow" w:hAnsi="Arial Narrow"/>
          <w:spacing w:val="-2"/>
          <w:sz w:val="17"/>
        </w:rPr>
        <w:t>Digitalización</w:t>
      </w:r>
      <w:r>
        <w:rPr>
          <w:rFonts w:ascii="Arial Narrow" w:hAnsi="Arial Narrow"/>
          <w:sz w:val="17"/>
        </w:rPr>
        <w:tab/>
      </w:r>
      <w:r>
        <w:rPr>
          <w:rFonts w:ascii="Arial Narrow" w:hAnsi="Arial Narrow"/>
          <w:spacing w:val="-2"/>
          <w:sz w:val="17"/>
        </w:rPr>
        <w:t>153.328,92</w:t>
      </w:r>
      <w:r>
        <w:rPr>
          <w:rFonts w:ascii="Arial Narrow" w:hAnsi="Arial Narrow"/>
          <w:sz w:val="17"/>
        </w:rPr>
        <w:tab/>
      </w:r>
      <w:r>
        <w:rPr>
          <w:rFonts w:ascii="Arial Narrow" w:hAnsi="Arial Narrow"/>
          <w:spacing w:val="-4"/>
          <w:sz w:val="17"/>
        </w:rPr>
        <w:t>0,29</w:t>
      </w:r>
      <w:r>
        <w:rPr>
          <w:rFonts w:ascii="Arial Narrow" w:hAnsi="Arial Narrow"/>
          <w:sz w:val="17"/>
        </w:rPr>
        <w:tab/>
      </w:r>
      <w:r>
        <w:rPr>
          <w:rFonts w:ascii="Arial Narrow" w:hAnsi="Arial Narrow"/>
          <w:spacing w:val="-2"/>
          <w:sz w:val="17"/>
        </w:rPr>
        <w:t>153.328,92</w:t>
      </w:r>
      <w:r>
        <w:rPr>
          <w:rFonts w:ascii="Arial Narrow" w:hAnsi="Arial Narrow"/>
          <w:sz w:val="17"/>
        </w:rPr>
        <w:tab/>
      </w:r>
      <w:r>
        <w:rPr>
          <w:rFonts w:ascii="Arial Narrow" w:hAnsi="Arial Narrow"/>
          <w:spacing w:val="-2"/>
          <w:sz w:val="17"/>
        </w:rPr>
        <w:t>100,00</w:t>
      </w:r>
      <w:r>
        <w:rPr>
          <w:rFonts w:ascii="Arial Narrow" w:hAnsi="Arial Narrow"/>
          <w:sz w:val="17"/>
        </w:rPr>
        <w:tab/>
      </w:r>
      <w:r>
        <w:rPr>
          <w:rFonts w:ascii="Arial Narrow" w:hAnsi="Arial Narrow"/>
          <w:spacing w:val="-4"/>
          <w:sz w:val="17"/>
        </w:rPr>
        <w:t>0,00</w:t>
      </w:r>
      <w:r>
        <w:rPr>
          <w:rFonts w:ascii="Arial Narrow" w:hAnsi="Arial Narrow"/>
          <w:sz w:val="17"/>
        </w:rPr>
        <w:tab/>
        <w:t>0,00</w:t>
      </w:r>
      <w:r>
        <w:rPr>
          <w:rFonts w:ascii="Arial Narrow" w:hAnsi="Arial Narrow"/>
          <w:spacing w:val="44"/>
          <w:sz w:val="17"/>
        </w:rPr>
        <w:t>  </w:t>
      </w:r>
      <w:r>
        <w:rPr>
          <w:rFonts w:ascii="Arial Narrow" w:hAnsi="Arial Narrow"/>
          <w:sz w:val="17"/>
        </w:rPr>
        <w:t>En</w:t>
      </w:r>
      <w:r>
        <w:rPr>
          <w:rFonts w:ascii="Arial Narrow" w:hAnsi="Arial Narrow"/>
          <w:spacing w:val="-1"/>
          <w:sz w:val="17"/>
        </w:rPr>
        <w:t> </w:t>
      </w:r>
      <w:r>
        <w:rPr>
          <w:rFonts w:ascii="Arial Narrow" w:hAnsi="Arial Narrow"/>
          <w:spacing w:val="-2"/>
          <w:sz w:val="17"/>
        </w:rPr>
        <w:t>ejecución</w:t>
      </w: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spacing w:before="107"/>
        <w:rPr>
          <w:rFonts w:ascii="Arial Narrow"/>
          <w:sz w:val="17"/>
        </w:rPr>
      </w:pPr>
    </w:p>
    <w:p>
      <w:pPr>
        <w:tabs>
          <w:tab w:pos="1971" w:val="left" w:leader="none"/>
          <w:tab w:pos="3100" w:val="left" w:leader="none"/>
          <w:tab w:pos="4100" w:val="left" w:leader="none"/>
          <w:tab w:pos="5061" w:val="left" w:leader="none"/>
          <w:tab w:pos="6369" w:val="left" w:leader="none"/>
          <w:tab w:pos="6936" w:val="left" w:leader="none"/>
        </w:tabs>
        <w:spacing w:before="0"/>
        <w:ind w:left="118" w:right="0" w:firstLine="0"/>
        <w:jc w:val="left"/>
        <w:rPr>
          <w:rFonts w:ascii="Arial Narrow" w:hAnsi="Arial Narrow"/>
          <w:sz w:val="17"/>
        </w:rPr>
      </w:pPr>
      <w:r>
        <w:rPr>
          <w:rFonts w:ascii="Arial Narrow" w:hAnsi="Arial Narrow"/>
          <w:sz w:val="17"/>
        </w:rPr>
        <w:t>Información</w:t>
      </w:r>
      <w:r>
        <w:rPr>
          <w:rFonts w:ascii="Arial Narrow" w:hAnsi="Arial Narrow"/>
          <w:spacing w:val="-5"/>
          <w:sz w:val="17"/>
        </w:rPr>
        <w:t> </w:t>
      </w:r>
      <w:r>
        <w:rPr>
          <w:rFonts w:ascii="Arial Narrow" w:hAnsi="Arial Narrow"/>
          <w:sz w:val="17"/>
        </w:rPr>
        <w:t>y</w:t>
      </w:r>
      <w:r>
        <w:rPr>
          <w:rFonts w:ascii="Arial Narrow" w:hAnsi="Arial Narrow"/>
          <w:spacing w:val="-3"/>
          <w:sz w:val="17"/>
        </w:rPr>
        <w:t> </w:t>
      </w:r>
      <w:r>
        <w:rPr>
          <w:rFonts w:ascii="Arial Narrow" w:hAnsi="Arial Narrow"/>
          <w:spacing w:val="-2"/>
          <w:sz w:val="17"/>
        </w:rPr>
        <w:t>difusión</w:t>
      </w:r>
      <w:r>
        <w:rPr>
          <w:rFonts w:ascii="Arial Narrow" w:hAnsi="Arial Narrow"/>
          <w:sz w:val="17"/>
        </w:rPr>
        <w:tab/>
      </w:r>
      <w:r>
        <w:rPr>
          <w:rFonts w:ascii="Arial Narrow" w:hAnsi="Arial Narrow"/>
          <w:spacing w:val="-2"/>
          <w:sz w:val="17"/>
        </w:rPr>
        <w:t>108.716,86</w:t>
      </w:r>
      <w:r>
        <w:rPr>
          <w:rFonts w:ascii="Arial Narrow" w:hAnsi="Arial Narrow"/>
          <w:sz w:val="17"/>
        </w:rPr>
        <w:tab/>
      </w:r>
      <w:r>
        <w:rPr>
          <w:rFonts w:ascii="Arial Narrow" w:hAnsi="Arial Narrow"/>
          <w:spacing w:val="-4"/>
          <w:sz w:val="17"/>
        </w:rPr>
        <w:t>0,21</w:t>
      </w:r>
      <w:r>
        <w:rPr>
          <w:rFonts w:ascii="Arial Narrow" w:hAnsi="Arial Narrow"/>
          <w:sz w:val="17"/>
        </w:rPr>
        <w:tab/>
      </w:r>
      <w:r>
        <w:rPr>
          <w:rFonts w:ascii="Arial Narrow" w:hAnsi="Arial Narrow"/>
          <w:spacing w:val="-2"/>
          <w:sz w:val="17"/>
        </w:rPr>
        <w:t>108.716,86</w:t>
      </w:r>
      <w:r>
        <w:rPr>
          <w:rFonts w:ascii="Arial Narrow" w:hAnsi="Arial Narrow"/>
          <w:sz w:val="17"/>
        </w:rPr>
        <w:tab/>
      </w:r>
      <w:r>
        <w:rPr>
          <w:rFonts w:ascii="Arial Narrow" w:hAnsi="Arial Narrow"/>
          <w:spacing w:val="-2"/>
          <w:sz w:val="17"/>
        </w:rPr>
        <w:t>100,00</w:t>
      </w:r>
      <w:r>
        <w:rPr>
          <w:rFonts w:ascii="Arial Narrow" w:hAnsi="Arial Narrow"/>
          <w:sz w:val="17"/>
        </w:rPr>
        <w:tab/>
      </w:r>
      <w:r>
        <w:rPr>
          <w:rFonts w:ascii="Arial Narrow" w:hAnsi="Arial Narrow"/>
          <w:spacing w:val="-4"/>
          <w:sz w:val="17"/>
        </w:rPr>
        <w:t>0,00</w:t>
      </w:r>
      <w:r>
        <w:rPr>
          <w:rFonts w:ascii="Arial Narrow" w:hAnsi="Arial Narrow"/>
          <w:sz w:val="17"/>
        </w:rPr>
        <w:tab/>
        <w:t>0,00</w:t>
      </w:r>
      <w:r>
        <w:rPr>
          <w:rFonts w:ascii="Arial Narrow" w:hAnsi="Arial Narrow"/>
          <w:spacing w:val="44"/>
          <w:sz w:val="17"/>
        </w:rPr>
        <w:t>  </w:t>
      </w:r>
      <w:r>
        <w:rPr>
          <w:rFonts w:ascii="Arial Narrow" w:hAnsi="Arial Narrow"/>
          <w:sz w:val="17"/>
        </w:rPr>
        <w:t>En</w:t>
      </w:r>
      <w:r>
        <w:rPr>
          <w:rFonts w:ascii="Arial Narrow" w:hAnsi="Arial Narrow"/>
          <w:spacing w:val="-1"/>
          <w:sz w:val="17"/>
        </w:rPr>
        <w:t> </w:t>
      </w:r>
      <w:r>
        <w:rPr>
          <w:rFonts w:ascii="Arial Narrow" w:hAnsi="Arial Narrow"/>
          <w:spacing w:val="-2"/>
          <w:sz w:val="17"/>
        </w:rPr>
        <w:t>ejecución</w:t>
      </w:r>
    </w:p>
    <w:p>
      <w:pPr>
        <w:pStyle w:val="BodyText"/>
        <w:rPr>
          <w:rFonts w:ascii="Arial Narrow"/>
          <w:sz w:val="17"/>
        </w:rPr>
      </w:pPr>
    </w:p>
    <w:p>
      <w:pPr>
        <w:pStyle w:val="BodyText"/>
        <w:rPr>
          <w:rFonts w:ascii="Arial Narrow"/>
          <w:sz w:val="17"/>
        </w:rPr>
      </w:pPr>
    </w:p>
    <w:p>
      <w:pPr>
        <w:pStyle w:val="BodyText"/>
        <w:spacing w:before="9"/>
        <w:rPr>
          <w:rFonts w:ascii="Arial Narrow"/>
          <w:sz w:val="17"/>
        </w:rPr>
      </w:pPr>
    </w:p>
    <w:p>
      <w:pPr>
        <w:tabs>
          <w:tab w:pos="2050" w:val="left" w:leader="none"/>
          <w:tab w:pos="3100" w:val="left" w:leader="none"/>
          <w:tab w:pos="4180" w:val="left" w:leader="none"/>
          <w:tab w:pos="5061" w:val="left" w:leader="none"/>
          <w:tab w:pos="6369" w:val="left" w:leader="none"/>
          <w:tab w:pos="6936" w:val="left" w:leader="none"/>
        </w:tabs>
        <w:spacing w:before="0"/>
        <w:ind w:left="118" w:right="0" w:firstLine="0"/>
        <w:jc w:val="left"/>
        <w:rPr>
          <w:rFonts w:ascii="Arial Narrow" w:hAnsi="Arial Narrow"/>
          <w:sz w:val="17"/>
        </w:rPr>
      </w:pPr>
      <w:r>
        <w:rPr>
          <w:rFonts w:ascii="Arial Narrow" w:hAnsi="Arial Narrow"/>
          <w:sz w:val="17"/>
        </w:rPr>
        <w:t>Información</w:t>
      </w:r>
      <w:r>
        <w:rPr>
          <w:rFonts w:ascii="Arial Narrow" w:hAnsi="Arial Narrow"/>
          <w:spacing w:val="-5"/>
          <w:sz w:val="17"/>
        </w:rPr>
        <w:t> </w:t>
      </w:r>
      <w:r>
        <w:rPr>
          <w:rFonts w:ascii="Arial Narrow" w:hAnsi="Arial Narrow"/>
          <w:sz w:val="17"/>
        </w:rPr>
        <w:t>y</w:t>
      </w:r>
      <w:r>
        <w:rPr>
          <w:rFonts w:ascii="Arial Narrow" w:hAnsi="Arial Narrow"/>
          <w:spacing w:val="-3"/>
          <w:sz w:val="17"/>
        </w:rPr>
        <w:t> </w:t>
      </w:r>
      <w:r>
        <w:rPr>
          <w:rFonts w:ascii="Arial Narrow" w:hAnsi="Arial Narrow"/>
          <w:spacing w:val="-2"/>
          <w:sz w:val="17"/>
        </w:rPr>
        <w:t>difusión</w:t>
      </w:r>
      <w:r>
        <w:rPr>
          <w:rFonts w:ascii="Arial Narrow" w:hAnsi="Arial Narrow"/>
          <w:sz w:val="17"/>
        </w:rPr>
        <w:tab/>
      </w:r>
      <w:r>
        <w:rPr>
          <w:rFonts w:ascii="Arial Narrow" w:hAnsi="Arial Narrow"/>
          <w:spacing w:val="-2"/>
          <w:sz w:val="17"/>
        </w:rPr>
        <w:t>90.000,00</w:t>
      </w:r>
      <w:r>
        <w:rPr>
          <w:rFonts w:ascii="Arial Narrow" w:hAnsi="Arial Narrow"/>
          <w:sz w:val="17"/>
        </w:rPr>
        <w:tab/>
      </w:r>
      <w:r>
        <w:rPr>
          <w:rFonts w:ascii="Arial Narrow" w:hAnsi="Arial Narrow"/>
          <w:spacing w:val="-4"/>
          <w:sz w:val="17"/>
        </w:rPr>
        <w:t>0,17</w:t>
      </w:r>
      <w:r>
        <w:rPr>
          <w:rFonts w:ascii="Arial Narrow" w:hAnsi="Arial Narrow"/>
          <w:sz w:val="17"/>
        </w:rPr>
        <w:tab/>
      </w:r>
      <w:r>
        <w:rPr>
          <w:rFonts w:ascii="Arial Narrow" w:hAnsi="Arial Narrow"/>
          <w:spacing w:val="-2"/>
          <w:sz w:val="17"/>
        </w:rPr>
        <w:t>90.000,00</w:t>
      </w:r>
      <w:r>
        <w:rPr>
          <w:rFonts w:ascii="Arial Narrow" w:hAnsi="Arial Narrow"/>
          <w:sz w:val="17"/>
        </w:rPr>
        <w:tab/>
      </w:r>
      <w:r>
        <w:rPr>
          <w:rFonts w:ascii="Arial Narrow" w:hAnsi="Arial Narrow"/>
          <w:spacing w:val="-2"/>
          <w:sz w:val="17"/>
        </w:rPr>
        <w:t>100,00</w:t>
      </w:r>
      <w:r>
        <w:rPr>
          <w:rFonts w:ascii="Arial Narrow" w:hAnsi="Arial Narrow"/>
          <w:sz w:val="17"/>
        </w:rPr>
        <w:tab/>
      </w:r>
      <w:r>
        <w:rPr>
          <w:rFonts w:ascii="Arial Narrow" w:hAnsi="Arial Narrow"/>
          <w:spacing w:val="-4"/>
          <w:sz w:val="17"/>
        </w:rPr>
        <w:t>0,00</w:t>
      </w:r>
      <w:r>
        <w:rPr>
          <w:rFonts w:ascii="Arial Narrow" w:hAnsi="Arial Narrow"/>
          <w:sz w:val="17"/>
        </w:rPr>
        <w:tab/>
        <w:t>0,00</w:t>
      </w:r>
      <w:r>
        <w:rPr>
          <w:rFonts w:ascii="Arial Narrow" w:hAnsi="Arial Narrow"/>
          <w:spacing w:val="44"/>
          <w:sz w:val="17"/>
        </w:rPr>
        <w:t>  </w:t>
      </w:r>
      <w:r>
        <w:rPr>
          <w:rFonts w:ascii="Arial Narrow" w:hAnsi="Arial Narrow"/>
          <w:sz w:val="17"/>
        </w:rPr>
        <w:t>En</w:t>
      </w:r>
      <w:r>
        <w:rPr>
          <w:rFonts w:ascii="Arial Narrow" w:hAnsi="Arial Narrow"/>
          <w:spacing w:val="-1"/>
          <w:sz w:val="17"/>
        </w:rPr>
        <w:t> </w:t>
      </w:r>
      <w:r>
        <w:rPr>
          <w:rFonts w:ascii="Arial Narrow" w:hAnsi="Arial Narrow"/>
          <w:spacing w:val="-2"/>
          <w:sz w:val="17"/>
        </w:rPr>
        <w:t>ejecución</w:t>
      </w:r>
    </w:p>
    <w:p>
      <w:pPr>
        <w:pStyle w:val="BodyText"/>
        <w:rPr>
          <w:rFonts w:ascii="Arial Narrow"/>
          <w:sz w:val="17"/>
        </w:rPr>
      </w:pPr>
    </w:p>
    <w:p>
      <w:pPr>
        <w:pStyle w:val="BodyText"/>
        <w:spacing w:before="108"/>
        <w:rPr>
          <w:rFonts w:ascii="Arial Narrow"/>
          <w:sz w:val="17"/>
        </w:rPr>
      </w:pPr>
    </w:p>
    <w:p>
      <w:pPr>
        <w:tabs>
          <w:tab w:pos="1856" w:val="left" w:leader="none"/>
          <w:tab w:pos="3100" w:val="left" w:leader="none"/>
          <w:tab w:pos="3985" w:val="left" w:leader="none"/>
          <w:tab w:pos="5061" w:val="left" w:leader="none"/>
          <w:tab w:pos="6369" w:val="left" w:leader="none"/>
          <w:tab w:pos="6936" w:val="left" w:leader="none"/>
        </w:tabs>
        <w:spacing w:before="1"/>
        <w:ind w:left="118" w:right="0" w:firstLine="0"/>
        <w:jc w:val="left"/>
        <w:rPr>
          <w:rFonts w:ascii="Arial Narrow" w:hAnsi="Arial Narrow"/>
          <w:sz w:val="17"/>
        </w:rPr>
      </w:pPr>
      <w:r>
        <w:rPr>
          <w:rFonts w:ascii="Arial Narrow" w:hAnsi="Arial Narrow"/>
          <w:spacing w:val="-2"/>
          <w:sz w:val="17"/>
        </w:rPr>
        <w:t>Otras</w:t>
      </w:r>
      <w:r>
        <w:rPr>
          <w:rFonts w:ascii="Arial Narrow" w:hAnsi="Arial Narrow"/>
          <w:sz w:val="17"/>
        </w:rPr>
        <w:tab/>
      </w:r>
      <w:r>
        <w:rPr>
          <w:rFonts w:ascii="Arial Narrow" w:hAnsi="Arial Narrow"/>
          <w:spacing w:val="-2"/>
          <w:sz w:val="17"/>
        </w:rPr>
        <w:t>1.812.038,00</w:t>
      </w:r>
      <w:r>
        <w:rPr>
          <w:rFonts w:ascii="Arial Narrow" w:hAnsi="Arial Narrow"/>
          <w:sz w:val="17"/>
        </w:rPr>
        <w:tab/>
      </w:r>
      <w:r>
        <w:rPr>
          <w:rFonts w:ascii="Arial Narrow" w:hAnsi="Arial Narrow"/>
          <w:spacing w:val="-4"/>
          <w:sz w:val="17"/>
        </w:rPr>
        <w:t>3,46</w:t>
      </w:r>
      <w:r>
        <w:rPr>
          <w:rFonts w:ascii="Arial Narrow" w:hAnsi="Arial Narrow"/>
          <w:sz w:val="17"/>
        </w:rPr>
        <w:tab/>
      </w:r>
      <w:r>
        <w:rPr>
          <w:rFonts w:ascii="Arial Narrow" w:hAnsi="Arial Narrow"/>
          <w:spacing w:val="-2"/>
          <w:sz w:val="17"/>
        </w:rPr>
        <w:t>1.812.038,00</w:t>
      </w:r>
      <w:r>
        <w:rPr>
          <w:rFonts w:ascii="Arial Narrow" w:hAnsi="Arial Narrow"/>
          <w:sz w:val="17"/>
        </w:rPr>
        <w:tab/>
      </w:r>
      <w:r>
        <w:rPr>
          <w:rFonts w:ascii="Arial Narrow" w:hAnsi="Arial Narrow"/>
          <w:spacing w:val="-2"/>
          <w:sz w:val="17"/>
        </w:rPr>
        <w:t>100,00</w:t>
      </w:r>
      <w:r>
        <w:rPr>
          <w:rFonts w:ascii="Arial Narrow" w:hAnsi="Arial Narrow"/>
          <w:sz w:val="17"/>
        </w:rPr>
        <w:tab/>
      </w:r>
      <w:r>
        <w:rPr>
          <w:rFonts w:ascii="Arial Narrow" w:hAnsi="Arial Narrow"/>
          <w:spacing w:val="-4"/>
          <w:sz w:val="17"/>
        </w:rPr>
        <w:t>0,00</w:t>
      </w:r>
      <w:r>
        <w:rPr>
          <w:rFonts w:ascii="Arial Narrow" w:hAnsi="Arial Narrow"/>
          <w:sz w:val="17"/>
        </w:rPr>
        <w:tab/>
        <w:t>0,00</w:t>
      </w:r>
      <w:r>
        <w:rPr>
          <w:rFonts w:ascii="Arial Narrow" w:hAnsi="Arial Narrow"/>
          <w:spacing w:val="44"/>
          <w:sz w:val="17"/>
        </w:rPr>
        <w:t>  </w:t>
      </w:r>
      <w:r>
        <w:rPr>
          <w:rFonts w:ascii="Arial Narrow" w:hAnsi="Arial Narrow"/>
          <w:sz w:val="17"/>
        </w:rPr>
        <w:t>En</w:t>
      </w:r>
      <w:r>
        <w:rPr>
          <w:rFonts w:ascii="Arial Narrow" w:hAnsi="Arial Narrow"/>
          <w:spacing w:val="-1"/>
          <w:sz w:val="17"/>
        </w:rPr>
        <w:t> </w:t>
      </w:r>
      <w:r>
        <w:rPr>
          <w:rFonts w:ascii="Arial Narrow" w:hAnsi="Arial Narrow"/>
          <w:spacing w:val="-2"/>
          <w:sz w:val="17"/>
        </w:rPr>
        <w:t>ejecución</w:t>
      </w:r>
    </w:p>
    <w:p>
      <w:pPr>
        <w:spacing w:after="0"/>
        <w:jc w:val="left"/>
        <w:rPr>
          <w:rFonts w:ascii="Arial Narrow" w:hAnsi="Arial Narrow"/>
          <w:sz w:val="17"/>
        </w:rPr>
        <w:sectPr>
          <w:type w:val="continuous"/>
          <w:pgSz w:w="11910" w:h="16840"/>
          <w:pgMar w:header="1270" w:footer="661" w:top="1680" w:bottom="280" w:left="141" w:right="141"/>
          <w:cols w:num="2" w:equalWidth="0">
            <w:col w:w="2819" w:space="40"/>
            <w:col w:w="8769"/>
          </w:cols>
        </w:sectPr>
      </w:pPr>
    </w:p>
    <w:p>
      <w:pPr>
        <w:spacing w:line="240" w:lineRule="auto"/>
        <w:ind w:left="495" w:right="0" w:firstLine="0"/>
        <w:rPr>
          <w:rFonts w:ascii="Arial Narrow"/>
          <w:sz w:val="20"/>
        </w:rPr>
      </w:pPr>
      <w:r>
        <w:rPr>
          <w:rFonts w:ascii="Arial Narrow"/>
          <w:sz w:val="20"/>
        </w:rPr>
        <mc:AlternateContent>
          <mc:Choice Requires="wps">
            <w:drawing>
              <wp:inline distT="0" distB="0" distL="0" distR="0">
                <wp:extent cx="6754495" cy="222885"/>
                <wp:effectExtent l="0" t="0" r="0" b="5714"/>
                <wp:docPr id="423" name="Group 423"/>
                <wp:cNvGraphicFramePr>
                  <a:graphicFrameLocks/>
                </wp:cNvGraphicFramePr>
                <a:graphic>
                  <a:graphicData uri="http://schemas.microsoft.com/office/word/2010/wordprocessingGroup">
                    <wpg:wgp>
                      <wpg:cNvPr id="423" name="Group 423"/>
                      <wpg:cNvGrpSpPr/>
                      <wpg:grpSpPr>
                        <a:xfrm>
                          <a:off x="0" y="0"/>
                          <a:ext cx="6754495" cy="222885"/>
                          <a:chExt cx="6754495" cy="222885"/>
                        </a:xfrm>
                      </wpg:grpSpPr>
                      <wps:wsp>
                        <wps:cNvPr id="424" name="Graphic 424"/>
                        <wps:cNvSpPr/>
                        <wps:spPr>
                          <a:xfrm>
                            <a:off x="0" y="0"/>
                            <a:ext cx="6754495" cy="222885"/>
                          </a:xfrm>
                          <a:custGeom>
                            <a:avLst/>
                            <a:gdLst/>
                            <a:ahLst/>
                            <a:cxnLst/>
                            <a:rect l="l" t="t" r="r" b="b"/>
                            <a:pathLst>
                              <a:path w="6754495" h="222885">
                                <a:moveTo>
                                  <a:pt x="2519730" y="0"/>
                                </a:moveTo>
                                <a:lnTo>
                                  <a:pt x="1537970" y="0"/>
                                </a:lnTo>
                                <a:lnTo>
                                  <a:pt x="1531874" y="0"/>
                                </a:lnTo>
                                <a:lnTo>
                                  <a:pt x="0" y="0"/>
                                </a:lnTo>
                                <a:lnTo>
                                  <a:pt x="0" y="6096"/>
                                </a:lnTo>
                                <a:lnTo>
                                  <a:pt x="0" y="222504"/>
                                </a:lnTo>
                                <a:lnTo>
                                  <a:pt x="1530350" y="222504"/>
                                </a:lnTo>
                                <a:lnTo>
                                  <a:pt x="2519730" y="222504"/>
                                </a:lnTo>
                                <a:lnTo>
                                  <a:pt x="2519730" y="6096"/>
                                </a:lnTo>
                                <a:lnTo>
                                  <a:pt x="2519730" y="0"/>
                                </a:lnTo>
                                <a:close/>
                              </a:path>
                              <a:path w="6754495" h="222885">
                                <a:moveTo>
                                  <a:pt x="6754368" y="0"/>
                                </a:moveTo>
                                <a:lnTo>
                                  <a:pt x="6128004" y="0"/>
                                </a:lnTo>
                                <a:lnTo>
                                  <a:pt x="6128004" y="6096"/>
                                </a:lnTo>
                                <a:lnTo>
                                  <a:pt x="6127991" y="0"/>
                                </a:lnTo>
                                <a:lnTo>
                                  <a:pt x="6121959" y="0"/>
                                </a:lnTo>
                                <a:lnTo>
                                  <a:pt x="6121908" y="0"/>
                                </a:lnTo>
                                <a:lnTo>
                                  <a:pt x="4593082" y="0"/>
                                </a:lnTo>
                                <a:lnTo>
                                  <a:pt x="4593082" y="6096"/>
                                </a:lnTo>
                                <a:lnTo>
                                  <a:pt x="4593006" y="0"/>
                                </a:lnTo>
                                <a:lnTo>
                                  <a:pt x="3794125" y="0"/>
                                </a:lnTo>
                                <a:lnTo>
                                  <a:pt x="3788029" y="0"/>
                                </a:lnTo>
                                <a:lnTo>
                                  <a:pt x="3692017" y="0"/>
                                </a:lnTo>
                                <a:lnTo>
                                  <a:pt x="3692017" y="6096"/>
                                </a:lnTo>
                                <a:lnTo>
                                  <a:pt x="3692004" y="0"/>
                                </a:lnTo>
                                <a:lnTo>
                                  <a:pt x="3685921" y="0"/>
                                </a:lnTo>
                                <a:lnTo>
                                  <a:pt x="2519807" y="0"/>
                                </a:lnTo>
                                <a:lnTo>
                                  <a:pt x="2519807" y="6096"/>
                                </a:lnTo>
                                <a:lnTo>
                                  <a:pt x="2519807" y="222504"/>
                                </a:lnTo>
                                <a:lnTo>
                                  <a:pt x="3240913" y="222504"/>
                                </a:lnTo>
                                <a:lnTo>
                                  <a:pt x="3685921" y="222504"/>
                                </a:lnTo>
                                <a:lnTo>
                                  <a:pt x="3786505" y="222504"/>
                                </a:lnTo>
                                <a:lnTo>
                                  <a:pt x="4591482" y="222504"/>
                                </a:lnTo>
                                <a:lnTo>
                                  <a:pt x="4591482" y="6096"/>
                                </a:lnTo>
                                <a:lnTo>
                                  <a:pt x="4591558" y="222504"/>
                                </a:lnTo>
                                <a:lnTo>
                                  <a:pt x="5031994" y="222504"/>
                                </a:lnTo>
                                <a:lnTo>
                                  <a:pt x="6754368" y="222504"/>
                                </a:lnTo>
                                <a:lnTo>
                                  <a:pt x="6754368" y="6096"/>
                                </a:lnTo>
                                <a:lnTo>
                                  <a:pt x="6754368" y="0"/>
                                </a:lnTo>
                                <a:close/>
                              </a:path>
                            </a:pathLst>
                          </a:custGeom>
                          <a:solidFill>
                            <a:srgbClr val="002D5D"/>
                          </a:solidFill>
                        </wps:spPr>
                        <wps:bodyPr wrap="square" lIns="0" tIns="0" rIns="0" bIns="0" rtlCol="0">
                          <a:prstTxWarp prst="textNoShape">
                            <a:avLst/>
                          </a:prstTxWarp>
                          <a:noAutofit/>
                        </wps:bodyPr>
                      </wps:wsp>
                      <wps:wsp>
                        <wps:cNvPr id="425" name="Textbox 425"/>
                        <wps:cNvSpPr txBox="1"/>
                        <wps:spPr>
                          <a:xfrm>
                            <a:off x="0" y="0"/>
                            <a:ext cx="6754495" cy="222885"/>
                          </a:xfrm>
                          <a:prstGeom prst="rect">
                            <a:avLst/>
                          </a:prstGeom>
                        </wps:spPr>
                        <wps:txbx>
                          <w:txbxContent>
                            <w:p>
                              <w:pPr>
                                <w:tabs>
                                  <w:tab w:pos="4088" w:val="left" w:leader="none"/>
                                  <w:tab w:pos="5307" w:val="left" w:leader="none"/>
                                  <w:tab w:pos="6270" w:val="left" w:leader="none"/>
                                  <w:tab w:pos="8190" w:val="left" w:leader="none"/>
                                </w:tabs>
                                <w:spacing w:before="80"/>
                                <w:ind w:left="69" w:right="0" w:firstLine="0"/>
                                <w:jc w:val="left"/>
                                <w:rPr>
                                  <w:rFonts w:ascii="Arial Narrow"/>
                                  <w:b/>
                                  <w:sz w:val="17"/>
                                </w:rPr>
                              </w:pPr>
                              <w:r>
                                <w:rPr>
                                  <w:rFonts w:ascii="Arial Narrow"/>
                                  <w:b/>
                                  <w:color w:val="FFFFFF"/>
                                  <w:spacing w:val="-2"/>
                                  <w:sz w:val="17"/>
                                </w:rPr>
                                <w:t>TOTAL</w:t>
                              </w:r>
                              <w:r>
                                <w:rPr>
                                  <w:rFonts w:ascii="Arial Narrow"/>
                                  <w:b/>
                                  <w:color w:val="FFFFFF"/>
                                  <w:sz w:val="17"/>
                                </w:rPr>
                                <w:tab/>
                              </w:r>
                              <w:r>
                                <w:rPr>
                                  <w:rFonts w:ascii="Arial Narrow"/>
                                  <w:b/>
                                  <w:color w:val="FFFFFF"/>
                                  <w:spacing w:val="-2"/>
                                  <w:sz w:val="17"/>
                                </w:rPr>
                                <w:t>52.313.442,73</w:t>
                              </w:r>
                              <w:r>
                                <w:rPr>
                                  <w:rFonts w:ascii="Arial Narrow"/>
                                  <w:b/>
                                  <w:color w:val="FFFFFF"/>
                                  <w:sz w:val="17"/>
                                </w:rPr>
                                <w:tab/>
                              </w:r>
                              <w:r>
                                <w:rPr>
                                  <w:rFonts w:ascii="Arial Narrow"/>
                                  <w:b/>
                                  <w:color w:val="FFFFFF"/>
                                  <w:spacing w:val="-2"/>
                                  <w:sz w:val="17"/>
                                </w:rPr>
                                <w:t>100,00</w:t>
                              </w:r>
                              <w:r>
                                <w:rPr>
                                  <w:rFonts w:ascii="Arial Narrow"/>
                                  <w:b/>
                                  <w:color w:val="FFFFFF"/>
                                  <w:sz w:val="17"/>
                                </w:rPr>
                                <w:tab/>
                              </w:r>
                              <w:r>
                                <w:rPr>
                                  <w:rFonts w:ascii="Arial Narrow"/>
                                  <w:b/>
                                  <w:color w:val="FFFFFF"/>
                                  <w:spacing w:val="-2"/>
                                  <w:sz w:val="17"/>
                                </w:rPr>
                                <w:t>45.176.772,98</w:t>
                              </w:r>
                              <w:r>
                                <w:rPr>
                                  <w:rFonts w:ascii="Arial Narrow"/>
                                  <w:b/>
                                  <w:color w:val="FFFFFF"/>
                                  <w:sz w:val="17"/>
                                </w:rPr>
                                <w:tab/>
                              </w:r>
                              <w:r>
                                <w:rPr>
                                  <w:rFonts w:ascii="Arial Narrow"/>
                                  <w:b/>
                                  <w:color w:val="FFFFFF"/>
                                  <w:spacing w:val="-2"/>
                                  <w:sz w:val="17"/>
                                </w:rPr>
                                <w:t>7.136.669,75</w:t>
                              </w:r>
                            </w:p>
                          </w:txbxContent>
                        </wps:txbx>
                        <wps:bodyPr wrap="square" lIns="0" tIns="0" rIns="0" bIns="0" rtlCol="0">
                          <a:noAutofit/>
                        </wps:bodyPr>
                      </wps:wsp>
                    </wpg:wgp>
                  </a:graphicData>
                </a:graphic>
              </wp:inline>
            </w:drawing>
          </mc:Choice>
          <mc:Fallback>
            <w:pict>
              <v:group style="width:531.85pt;height:17.55pt;mso-position-horizontal-relative:char;mso-position-vertical-relative:line" id="docshapegroup368" coordorigin="0,0" coordsize="10637,351">
                <v:shape style="position:absolute;left:0;top:0;width:10637;height:351" id="docshape369" coordorigin="0,0" coordsize="10637,351" path="m3968,0l2422,0,2412,0,0,0,0,10,0,350,2410,350,3968,350,3968,10,3968,0xm10637,0l9650,0,9650,10,9650,10,9650,0,9641,0,9641,0,9084,0,9074,0,8095,0,8085,0,7934,0,7924,0,7243,0,7233,0,7233,10,7233,10,7233,0,5975,0,5965,0,5814,0,5814,10,5814,10,5814,0,5805,0,5116,0,5106,0,5106,0,3978,0,3968,0,3968,10,3968,350,5104,350,5104,350,5805,350,5963,350,7231,350,7231,10,7231,10,7231,350,7924,350,8085,350,9074,350,9641,350,9641,350,10637,350,10637,10,10637,0xe" filled="true" fillcolor="#002d5d" stroked="false">
                  <v:path arrowok="t"/>
                  <v:fill type="solid"/>
                </v:shape>
                <v:shape style="position:absolute;left:0;top:0;width:10637;height:351" type="#_x0000_t202" id="docshape370" filled="false" stroked="false">
                  <v:textbox inset="0,0,0,0">
                    <w:txbxContent>
                      <w:p>
                        <w:pPr>
                          <w:tabs>
                            <w:tab w:pos="4088" w:val="left" w:leader="none"/>
                            <w:tab w:pos="5307" w:val="left" w:leader="none"/>
                            <w:tab w:pos="6270" w:val="left" w:leader="none"/>
                            <w:tab w:pos="8190" w:val="left" w:leader="none"/>
                          </w:tabs>
                          <w:spacing w:before="80"/>
                          <w:ind w:left="69" w:right="0" w:firstLine="0"/>
                          <w:jc w:val="left"/>
                          <w:rPr>
                            <w:rFonts w:ascii="Arial Narrow"/>
                            <w:b/>
                            <w:sz w:val="17"/>
                          </w:rPr>
                        </w:pPr>
                        <w:r>
                          <w:rPr>
                            <w:rFonts w:ascii="Arial Narrow"/>
                            <w:b/>
                            <w:color w:val="FFFFFF"/>
                            <w:spacing w:val="-2"/>
                            <w:sz w:val="17"/>
                          </w:rPr>
                          <w:t>TOTAL</w:t>
                        </w:r>
                        <w:r>
                          <w:rPr>
                            <w:rFonts w:ascii="Arial Narrow"/>
                            <w:b/>
                            <w:color w:val="FFFFFF"/>
                            <w:sz w:val="17"/>
                          </w:rPr>
                          <w:tab/>
                        </w:r>
                        <w:r>
                          <w:rPr>
                            <w:rFonts w:ascii="Arial Narrow"/>
                            <w:b/>
                            <w:color w:val="FFFFFF"/>
                            <w:spacing w:val="-2"/>
                            <w:sz w:val="17"/>
                          </w:rPr>
                          <w:t>52.313.442,73</w:t>
                        </w:r>
                        <w:r>
                          <w:rPr>
                            <w:rFonts w:ascii="Arial Narrow"/>
                            <w:b/>
                            <w:color w:val="FFFFFF"/>
                            <w:sz w:val="17"/>
                          </w:rPr>
                          <w:tab/>
                        </w:r>
                        <w:r>
                          <w:rPr>
                            <w:rFonts w:ascii="Arial Narrow"/>
                            <w:b/>
                            <w:color w:val="FFFFFF"/>
                            <w:spacing w:val="-2"/>
                            <w:sz w:val="17"/>
                          </w:rPr>
                          <w:t>100,00</w:t>
                        </w:r>
                        <w:r>
                          <w:rPr>
                            <w:rFonts w:ascii="Arial Narrow"/>
                            <w:b/>
                            <w:color w:val="FFFFFF"/>
                            <w:sz w:val="17"/>
                          </w:rPr>
                          <w:tab/>
                        </w:r>
                        <w:r>
                          <w:rPr>
                            <w:rFonts w:ascii="Arial Narrow"/>
                            <w:b/>
                            <w:color w:val="FFFFFF"/>
                            <w:spacing w:val="-2"/>
                            <w:sz w:val="17"/>
                          </w:rPr>
                          <w:t>45.176.772,98</w:t>
                        </w:r>
                        <w:r>
                          <w:rPr>
                            <w:rFonts w:ascii="Arial Narrow"/>
                            <w:b/>
                            <w:color w:val="FFFFFF"/>
                            <w:sz w:val="17"/>
                          </w:rPr>
                          <w:tab/>
                        </w:r>
                        <w:r>
                          <w:rPr>
                            <w:rFonts w:ascii="Arial Narrow"/>
                            <w:b/>
                            <w:color w:val="FFFFFF"/>
                            <w:spacing w:val="-2"/>
                            <w:sz w:val="17"/>
                          </w:rPr>
                          <w:t>7.136.669,75</w:t>
                        </w:r>
                      </w:p>
                    </w:txbxContent>
                  </v:textbox>
                  <w10:wrap type="none"/>
                </v:shape>
              </v:group>
            </w:pict>
          </mc:Fallback>
        </mc:AlternateContent>
      </w:r>
      <w:r>
        <w:rPr>
          <w:rFonts w:ascii="Arial Narrow"/>
          <w:sz w:val="20"/>
        </w:rPr>
      </w:r>
    </w:p>
    <w:p>
      <w:pPr>
        <w:spacing w:before="32"/>
        <w:ind w:left="564"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2"/>
          <w:sz w:val="18"/>
        </w:rPr>
        <w:t> </w:t>
      </w:r>
      <w:r>
        <w:rPr>
          <w:rFonts w:ascii="Arial Narrow" w:hAnsi="Arial Narrow"/>
          <w:sz w:val="18"/>
        </w:rPr>
        <w:t>propia</w:t>
      </w:r>
      <w:r>
        <w:rPr>
          <w:rFonts w:ascii="Arial Narrow" w:hAnsi="Arial Narrow"/>
          <w:spacing w:val="-2"/>
          <w:sz w:val="18"/>
        </w:rPr>
        <w:t> </w:t>
      </w:r>
      <w:r>
        <w:rPr>
          <w:rFonts w:ascii="Arial Narrow" w:hAnsi="Arial Narrow"/>
          <w:sz w:val="18"/>
        </w:rPr>
        <w:t>a</w:t>
      </w:r>
      <w:r>
        <w:rPr>
          <w:rFonts w:ascii="Arial Narrow" w:hAnsi="Arial Narrow"/>
          <w:spacing w:val="-2"/>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2"/>
          <w:sz w:val="18"/>
        </w:rPr>
        <w:t> </w:t>
      </w:r>
      <w:r>
        <w:rPr>
          <w:rFonts w:ascii="Arial Narrow" w:hAnsi="Arial Narrow"/>
          <w:sz w:val="18"/>
        </w:rPr>
        <w:t>los</w:t>
      </w:r>
      <w:r>
        <w:rPr>
          <w:rFonts w:ascii="Arial Narrow" w:hAnsi="Arial Narrow"/>
          <w:spacing w:val="-2"/>
          <w:sz w:val="18"/>
        </w:rPr>
        <w:t> </w:t>
      </w:r>
      <w:r>
        <w:rPr>
          <w:rFonts w:ascii="Arial Narrow" w:hAnsi="Arial Narrow"/>
          <w:sz w:val="18"/>
        </w:rPr>
        <w:t>datos</w:t>
      </w:r>
      <w:r>
        <w:rPr>
          <w:rFonts w:ascii="Arial Narrow" w:hAnsi="Arial Narrow"/>
          <w:spacing w:val="-2"/>
          <w:sz w:val="18"/>
        </w:rPr>
        <w:t> </w:t>
      </w:r>
      <w:r>
        <w:rPr>
          <w:rFonts w:ascii="Arial Narrow" w:hAnsi="Arial Narrow"/>
          <w:sz w:val="18"/>
        </w:rPr>
        <w:t>facilitados</w:t>
      </w:r>
      <w:r>
        <w:rPr>
          <w:rFonts w:ascii="Arial Narrow" w:hAnsi="Arial Narrow"/>
          <w:spacing w:val="-2"/>
          <w:sz w:val="18"/>
        </w:rPr>
        <w:t> </w:t>
      </w:r>
      <w:r>
        <w:rPr>
          <w:rFonts w:ascii="Arial Narrow" w:hAnsi="Arial Narrow"/>
          <w:sz w:val="18"/>
        </w:rPr>
        <w:t>por</w:t>
      </w:r>
      <w:r>
        <w:rPr>
          <w:rFonts w:ascii="Arial Narrow" w:hAnsi="Arial Narrow"/>
          <w:spacing w:val="-1"/>
          <w:sz w:val="18"/>
        </w:rPr>
        <w:t> </w:t>
      </w:r>
      <w:r>
        <w:rPr>
          <w:rFonts w:ascii="Arial Narrow" w:hAnsi="Arial Narrow"/>
          <w:sz w:val="18"/>
        </w:rPr>
        <w:t>el</w:t>
      </w:r>
      <w:r>
        <w:rPr>
          <w:rFonts w:ascii="Arial Narrow" w:hAnsi="Arial Narrow"/>
          <w:spacing w:val="-1"/>
          <w:sz w:val="18"/>
        </w:rPr>
        <w:t> </w:t>
      </w:r>
      <w:r>
        <w:rPr>
          <w:rFonts w:ascii="Arial Narrow" w:hAnsi="Arial Narrow"/>
          <w:sz w:val="18"/>
        </w:rPr>
        <w:t>Ayuntamiento</w:t>
      </w:r>
      <w:r>
        <w:rPr>
          <w:rFonts w:ascii="Arial Narrow" w:hAnsi="Arial Narrow"/>
          <w:spacing w:val="-2"/>
          <w:sz w:val="18"/>
        </w:rPr>
        <w:t> </w:t>
      </w:r>
      <w:r>
        <w:rPr>
          <w:rFonts w:ascii="Arial Narrow" w:hAnsi="Arial Narrow"/>
          <w:sz w:val="18"/>
        </w:rPr>
        <w:t>de</w:t>
      </w:r>
      <w:r>
        <w:rPr>
          <w:rFonts w:ascii="Arial Narrow" w:hAnsi="Arial Narrow"/>
          <w:spacing w:val="1"/>
          <w:sz w:val="18"/>
        </w:rPr>
        <w:t> </w:t>
      </w:r>
      <w:r>
        <w:rPr>
          <w:rFonts w:ascii="Arial Narrow" w:hAnsi="Arial Narrow"/>
          <w:sz w:val="18"/>
        </w:rPr>
        <w:t>Las</w:t>
      </w:r>
      <w:r>
        <w:rPr>
          <w:rFonts w:ascii="Arial Narrow" w:hAnsi="Arial Narrow"/>
          <w:spacing w:val="-1"/>
          <w:sz w:val="18"/>
        </w:rPr>
        <w:t> </w:t>
      </w:r>
      <w:r>
        <w:rPr>
          <w:rFonts w:ascii="Arial Narrow" w:hAnsi="Arial Narrow"/>
          <w:sz w:val="18"/>
        </w:rPr>
        <w:t>Palmas</w:t>
      </w:r>
      <w:r>
        <w:rPr>
          <w:rFonts w:ascii="Arial Narrow" w:hAnsi="Arial Narrow"/>
          <w:spacing w:val="-1"/>
          <w:sz w:val="18"/>
        </w:rPr>
        <w:t> </w:t>
      </w:r>
      <w:r>
        <w:rPr>
          <w:rFonts w:ascii="Arial Narrow" w:hAnsi="Arial Narrow"/>
          <w:sz w:val="18"/>
        </w:rPr>
        <w:t>de</w:t>
      </w:r>
      <w:r>
        <w:rPr>
          <w:rFonts w:ascii="Arial Narrow" w:hAnsi="Arial Narrow"/>
          <w:spacing w:val="-2"/>
          <w:sz w:val="18"/>
        </w:rPr>
        <w:t> </w:t>
      </w:r>
      <w:r>
        <w:rPr>
          <w:rFonts w:ascii="Arial Narrow" w:hAnsi="Arial Narrow"/>
          <w:sz w:val="18"/>
        </w:rPr>
        <w:t>Gran</w:t>
      </w:r>
      <w:r>
        <w:rPr>
          <w:rFonts w:ascii="Arial Narrow" w:hAnsi="Arial Narrow"/>
          <w:spacing w:val="-2"/>
          <w:sz w:val="18"/>
        </w:rPr>
        <w:t> Canaria</w:t>
      </w:r>
    </w:p>
    <w:p>
      <w:pPr>
        <w:spacing w:before="132"/>
        <w:ind w:left="564" w:right="0" w:firstLine="0"/>
        <w:jc w:val="left"/>
        <w:rPr>
          <w:rFonts w:ascii="Arial Narrow"/>
          <w:sz w:val="18"/>
        </w:rPr>
      </w:pPr>
      <w:r>
        <w:rPr>
          <w:rFonts w:ascii="Arial Narrow"/>
          <w:position w:val="5"/>
          <w:sz w:val="12"/>
        </w:rPr>
        <w:t>(*)</w:t>
      </w:r>
      <w:r>
        <w:rPr>
          <w:rFonts w:ascii="Arial Narrow"/>
          <w:spacing w:val="-3"/>
          <w:position w:val="5"/>
          <w:sz w:val="12"/>
        </w:rPr>
        <w:t> </w:t>
      </w:r>
      <w:r>
        <w:rPr>
          <w:rFonts w:ascii="Arial Narrow"/>
          <w:sz w:val="18"/>
        </w:rPr>
        <w:t>Porcentaje</w:t>
      </w:r>
      <w:r>
        <w:rPr>
          <w:rFonts w:ascii="Arial Narrow"/>
          <w:spacing w:val="-2"/>
          <w:sz w:val="18"/>
        </w:rPr>
        <w:t> </w:t>
      </w:r>
      <w:r>
        <w:rPr>
          <w:rFonts w:ascii="Arial Narrow"/>
          <w:sz w:val="18"/>
        </w:rPr>
        <w:t>sobre</w:t>
      </w:r>
      <w:r>
        <w:rPr>
          <w:rFonts w:ascii="Arial Narrow"/>
          <w:spacing w:val="-2"/>
          <w:sz w:val="18"/>
        </w:rPr>
        <w:t> </w:t>
      </w:r>
      <w:r>
        <w:rPr>
          <w:rFonts w:ascii="Arial Narrow"/>
          <w:sz w:val="18"/>
        </w:rPr>
        <w:t>el</w:t>
      </w:r>
      <w:r>
        <w:rPr>
          <w:rFonts w:ascii="Arial Narrow"/>
          <w:spacing w:val="-2"/>
          <w:sz w:val="18"/>
        </w:rPr>
        <w:t> </w:t>
      </w:r>
      <w:r>
        <w:rPr>
          <w:rFonts w:ascii="Arial Narrow"/>
          <w:sz w:val="18"/>
        </w:rPr>
        <w:t>importe</w:t>
      </w:r>
      <w:r>
        <w:rPr>
          <w:rFonts w:ascii="Arial Narrow"/>
          <w:spacing w:val="-2"/>
          <w:sz w:val="18"/>
        </w:rPr>
        <w:t> </w:t>
      </w:r>
      <w:r>
        <w:rPr>
          <w:rFonts w:ascii="Arial Narrow"/>
          <w:sz w:val="18"/>
        </w:rPr>
        <w:t>de</w:t>
      </w:r>
      <w:r>
        <w:rPr>
          <w:rFonts w:ascii="Arial Narrow"/>
          <w:spacing w:val="-2"/>
          <w:sz w:val="18"/>
        </w:rPr>
        <w:t> </w:t>
      </w:r>
      <w:r>
        <w:rPr>
          <w:rFonts w:ascii="Arial Narrow"/>
          <w:sz w:val="18"/>
        </w:rPr>
        <w:t>todas</w:t>
      </w:r>
      <w:r>
        <w:rPr>
          <w:rFonts w:ascii="Arial Narrow"/>
          <w:spacing w:val="-2"/>
          <w:sz w:val="18"/>
        </w:rPr>
        <w:t> </w:t>
      </w:r>
      <w:r>
        <w:rPr>
          <w:rFonts w:ascii="Arial Narrow"/>
          <w:sz w:val="18"/>
        </w:rPr>
        <w:t>las</w:t>
      </w:r>
      <w:r>
        <w:rPr>
          <w:rFonts w:ascii="Arial Narrow"/>
          <w:spacing w:val="-1"/>
          <w:sz w:val="18"/>
        </w:rPr>
        <w:t> </w:t>
      </w:r>
      <w:r>
        <w:rPr>
          <w:rFonts w:ascii="Arial Narrow"/>
          <w:spacing w:val="-2"/>
          <w:sz w:val="18"/>
        </w:rPr>
        <w:t>actuaciones</w:t>
      </w:r>
    </w:p>
    <w:p>
      <w:pPr>
        <w:spacing w:before="134"/>
        <w:ind w:left="564" w:right="0" w:firstLine="0"/>
        <w:jc w:val="left"/>
        <w:rPr>
          <w:rFonts w:ascii="Arial Narrow" w:hAnsi="Arial Narrow"/>
          <w:sz w:val="18"/>
        </w:rPr>
      </w:pPr>
      <w:r>
        <w:rPr>
          <w:rFonts w:ascii="Arial Narrow" w:hAnsi="Arial Narrow"/>
          <w:position w:val="5"/>
          <w:sz w:val="12"/>
        </w:rPr>
        <w:t>(**)</w:t>
      </w:r>
      <w:r>
        <w:rPr>
          <w:rFonts w:ascii="Arial Narrow" w:hAnsi="Arial Narrow"/>
          <w:spacing w:val="-1"/>
          <w:position w:val="5"/>
          <w:sz w:val="12"/>
        </w:rPr>
        <w:t> </w:t>
      </w:r>
      <w:r>
        <w:rPr>
          <w:rFonts w:ascii="Arial Narrow" w:hAnsi="Arial Narrow"/>
          <w:sz w:val="18"/>
        </w:rPr>
        <w:t>Porcentaje</w:t>
      </w:r>
      <w:r>
        <w:rPr>
          <w:rFonts w:ascii="Arial Narrow" w:hAnsi="Arial Narrow"/>
          <w:spacing w:val="-2"/>
          <w:sz w:val="18"/>
        </w:rPr>
        <w:t> </w:t>
      </w:r>
      <w:r>
        <w:rPr>
          <w:rFonts w:ascii="Arial Narrow" w:hAnsi="Arial Narrow"/>
          <w:sz w:val="18"/>
        </w:rPr>
        <w:t>sobre</w:t>
      </w:r>
      <w:r>
        <w:rPr>
          <w:rFonts w:ascii="Arial Narrow" w:hAnsi="Arial Narrow"/>
          <w:spacing w:val="-2"/>
          <w:sz w:val="18"/>
        </w:rPr>
        <w:t> </w:t>
      </w:r>
      <w:r>
        <w:rPr>
          <w:rFonts w:ascii="Arial Narrow" w:hAnsi="Arial Narrow"/>
          <w:sz w:val="18"/>
        </w:rPr>
        <w:t>el</w:t>
      </w:r>
      <w:r>
        <w:rPr>
          <w:rFonts w:ascii="Arial Narrow" w:hAnsi="Arial Narrow"/>
          <w:spacing w:val="-2"/>
          <w:sz w:val="18"/>
        </w:rPr>
        <w:t> </w:t>
      </w:r>
      <w:r>
        <w:rPr>
          <w:rFonts w:ascii="Arial Narrow" w:hAnsi="Arial Narrow"/>
          <w:sz w:val="18"/>
        </w:rPr>
        <w:t>importe</w:t>
      </w:r>
      <w:r>
        <w:rPr>
          <w:rFonts w:ascii="Arial Narrow" w:hAnsi="Arial Narrow"/>
          <w:spacing w:val="-2"/>
          <w:sz w:val="18"/>
        </w:rPr>
        <w:t> </w:t>
      </w:r>
      <w:r>
        <w:rPr>
          <w:rFonts w:ascii="Arial Narrow" w:hAnsi="Arial Narrow"/>
          <w:sz w:val="18"/>
        </w:rPr>
        <w:t>de</w:t>
      </w:r>
      <w:r>
        <w:rPr>
          <w:rFonts w:ascii="Arial Narrow" w:hAnsi="Arial Narrow"/>
          <w:spacing w:val="-2"/>
          <w:sz w:val="18"/>
        </w:rPr>
        <w:t> </w:t>
      </w:r>
      <w:r>
        <w:rPr>
          <w:rFonts w:ascii="Arial Narrow" w:hAnsi="Arial Narrow"/>
          <w:sz w:val="18"/>
        </w:rPr>
        <w:t>cada</w:t>
      </w:r>
      <w:r>
        <w:rPr>
          <w:rFonts w:ascii="Arial Narrow" w:hAnsi="Arial Narrow"/>
          <w:spacing w:val="-1"/>
          <w:sz w:val="18"/>
        </w:rPr>
        <w:t> </w:t>
      </w:r>
      <w:r>
        <w:rPr>
          <w:rFonts w:ascii="Arial Narrow" w:hAnsi="Arial Narrow"/>
          <w:spacing w:val="-2"/>
          <w:sz w:val="18"/>
        </w:rPr>
        <w:t>actuación</w:t>
      </w:r>
    </w:p>
    <w:p>
      <w:pPr>
        <w:spacing w:after="0"/>
        <w:jc w:val="left"/>
        <w:rPr>
          <w:rFonts w:ascii="Arial Narrow" w:hAnsi="Arial Narrow"/>
          <w:sz w:val="18"/>
        </w:rPr>
        <w:sectPr>
          <w:type w:val="continuous"/>
          <w:pgSz w:w="11910" w:h="16840"/>
          <w:pgMar w:header="1270" w:footer="661" w:top="1680" w:bottom="280" w:left="141" w:right="141"/>
        </w:sectPr>
      </w:pPr>
    </w:p>
    <w:p>
      <w:pPr>
        <w:pStyle w:val="BodyText"/>
        <w:spacing w:before="125"/>
        <w:rPr>
          <w:rFonts w:ascii="Arial Narrow"/>
        </w:rPr>
      </w:pPr>
    </w:p>
    <w:p>
      <w:pPr>
        <w:pStyle w:val="Heading4"/>
        <w:ind w:right="2"/>
      </w:pPr>
      <w:bookmarkStart w:name="_bookmark144" w:id="146"/>
      <w:bookmarkEnd w:id="146"/>
      <w:r>
        <w:rPr>
          <w:b w:val="0"/>
        </w:rPr>
      </w:r>
      <w:bookmarkStart w:name="_bookmark145" w:id="147"/>
      <w:bookmarkEnd w:id="147"/>
      <w:r>
        <w:rPr>
          <w:b w:val="0"/>
        </w:rPr>
      </w:r>
      <w:r>
        <w:rPr/>
        <w:t>ACTUACIONES</w:t>
      </w:r>
      <w:r>
        <w:rPr>
          <w:spacing w:val="-6"/>
        </w:rPr>
        <w:t> </w:t>
      </w:r>
      <w:r>
        <w:rPr/>
        <w:t>REALIZADAS</w:t>
      </w:r>
      <w:r>
        <w:rPr>
          <w:spacing w:val="-9"/>
        </w:rPr>
        <w:t> </w:t>
      </w:r>
      <w:r>
        <w:rPr/>
        <w:t>POR</w:t>
      </w:r>
      <w:r>
        <w:rPr>
          <w:spacing w:val="-8"/>
        </w:rPr>
        <w:t> </w:t>
      </w:r>
      <w:r>
        <w:rPr/>
        <w:t>EL</w:t>
      </w:r>
      <w:r>
        <w:rPr>
          <w:spacing w:val="-8"/>
        </w:rPr>
        <w:t> </w:t>
      </w:r>
      <w:r>
        <w:rPr/>
        <w:t>AYUNTAMIENTO</w:t>
      </w:r>
      <w:r>
        <w:rPr>
          <w:spacing w:val="-7"/>
        </w:rPr>
        <w:t> </w:t>
      </w:r>
      <w:r>
        <w:rPr/>
        <w:t>DE</w:t>
      </w:r>
      <w:r>
        <w:rPr>
          <w:spacing w:val="-7"/>
        </w:rPr>
        <w:t> </w:t>
      </w:r>
      <w:r>
        <w:rPr>
          <w:spacing w:val="-2"/>
        </w:rPr>
        <w:t>MÁLAGA</w:t>
      </w:r>
    </w:p>
    <w:p>
      <w:pPr>
        <w:pStyle w:val="BodyText"/>
        <w:spacing w:before="4" w:after="1"/>
        <w:rPr>
          <w:b/>
          <w:sz w:val="20"/>
        </w:rPr>
      </w:pPr>
    </w:p>
    <w:tbl>
      <w:tblPr>
        <w:tblW w:w="0" w:type="auto"/>
        <w:jc w:val="left"/>
        <w:tblInd w:w="2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35"/>
        <w:gridCol w:w="1454"/>
        <w:gridCol w:w="1233"/>
        <w:gridCol w:w="586"/>
        <w:gridCol w:w="1301"/>
        <w:gridCol w:w="496"/>
        <w:gridCol w:w="1189"/>
        <w:gridCol w:w="530"/>
        <w:gridCol w:w="892"/>
        <w:gridCol w:w="552"/>
        <w:gridCol w:w="995"/>
      </w:tblGrid>
      <w:tr>
        <w:trPr>
          <w:trHeight w:val="492" w:hRule="atLeast"/>
        </w:trPr>
        <w:tc>
          <w:tcPr>
            <w:tcW w:w="1835" w:type="dxa"/>
            <w:shd w:val="clear" w:color="auto" w:fill="002D5D"/>
          </w:tcPr>
          <w:p>
            <w:pPr>
              <w:pStyle w:val="TableParagraph"/>
              <w:rPr>
                <w:rFonts w:ascii="Times New Roman"/>
                <w:sz w:val="16"/>
              </w:rPr>
            </w:pPr>
          </w:p>
        </w:tc>
        <w:tc>
          <w:tcPr>
            <w:tcW w:w="1454" w:type="dxa"/>
            <w:shd w:val="clear" w:color="auto" w:fill="002D5D"/>
          </w:tcPr>
          <w:p>
            <w:pPr>
              <w:pStyle w:val="TableParagraph"/>
              <w:rPr>
                <w:rFonts w:ascii="Times New Roman"/>
                <w:sz w:val="16"/>
              </w:rPr>
            </w:pPr>
          </w:p>
        </w:tc>
        <w:tc>
          <w:tcPr>
            <w:tcW w:w="1233" w:type="dxa"/>
            <w:shd w:val="clear" w:color="auto" w:fill="002D5D"/>
          </w:tcPr>
          <w:p>
            <w:pPr>
              <w:pStyle w:val="TableParagraph"/>
              <w:spacing w:before="78"/>
              <w:ind w:left="424" w:firstLine="93"/>
              <w:rPr>
                <w:b/>
                <w:sz w:val="16"/>
              </w:rPr>
            </w:pPr>
            <w:r>
              <w:rPr>
                <w:b/>
                <w:color w:val="FFFFFF"/>
                <w:spacing w:val="-2"/>
                <w:sz w:val="16"/>
              </w:rPr>
              <w:t>IMPORTE</w:t>
            </w:r>
            <w:r>
              <w:rPr>
                <w:b/>
                <w:color w:val="FFFFFF"/>
                <w:spacing w:val="40"/>
                <w:sz w:val="16"/>
              </w:rPr>
              <w:t> </w:t>
            </w:r>
            <w:r>
              <w:rPr>
                <w:b/>
                <w:color w:val="FFFFFF"/>
                <w:spacing w:val="-2"/>
                <w:sz w:val="16"/>
              </w:rPr>
              <w:t>ACTUACIÓN</w:t>
            </w:r>
          </w:p>
        </w:tc>
        <w:tc>
          <w:tcPr>
            <w:tcW w:w="586" w:type="dxa"/>
            <w:shd w:val="clear" w:color="auto" w:fill="002D5D"/>
          </w:tcPr>
          <w:p>
            <w:pPr>
              <w:pStyle w:val="TableParagraph"/>
              <w:rPr>
                <w:rFonts w:ascii="Times New Roman"/>
                <w:sz w:val="16"/>
              </w:rPr>
            </w:pPr>
          </w:p>
        </w:tc>
        <w:tc>
          <w:tcPr>
            <w:tcW w:w="1301" w:type="dxa"/>
            <w:shd w:val="clear" w:color="auto" w:fill="002D5D"/>
          </w:tcPr>
          <w:p>
            <w:pPr>
              <w:pStyle w:val="TableParagraph"/>
              <w:rPr>
                <w:rFonts w:ascii="Times New Roman"/>
                <w:sz w:val="16"/>
              </w:rPr>
            </w:pPr>
          </w:p>
        </w:tc>
        <w:tc>
          <w:tcPr>
            <w:tcW w:w="496" w:type="dxa"/>
            <w:shd w:val="clear" w:color="auto" w:fill="002D5D"/>
          </w:tcPr>
          <w:p>
            <w:pPr>
              <w:pStyle w:val="TableParagraph"/>
              <w:rPr>
                <w:rFonts w:ascii="Times New Roman"/>
                <w:sz w:val="16"/>
              </w:rPr>
            </w:pPr>
          </w:p>
        </w:tc>
        <w:tc>
          <w:tcPr>
            <w:tcW w:w="1189" w:type="dxa"/>
            <w:shd w:val="clear" w:color="auto" w:fill="002D5D"/>
          </w:tcPr>
          <w:p>
            <w:pPr>
              <w:pStyle w:val="TableParagraph"/>
              <w:spacing w:before="171"/>
              <w:ind w:left="210"/>
              <w:rPr>
                <w:b/>
                <w:sz w:val="16"/>
              </w:rPr>
            </w:pPr>
            <w:r>
              <w:rPr>
                <w:b/>
                <w:color w:val="FFFFFF"/>
                <w:spacing w:val="-2"/>
                <w:sz w:val="16"/>
              </w:rPr>
              <w:t>FINANCIACIÓN</w:t>
            </w:r>
          </w:p>
        </w:tc>
        <w:tc>
          <w:tcPr>
            <w:tcW w:w="530" w:type="dxa"/>
            <w:shd w:val="clear" w:color="auto" w:fill="002D5D"/>
          </w:tcPr>
          <w:p>
            <w:pPr>
              <w:pStyle w:val="TableParagraph"/>
              <w:rPr>
                <w:rFonts w:ascii="Times New Roman"/>
                <w:sz w:val="16"/>
              </w:rPr>
            </w:pPr>
          </w:p>
        </w:tc>
        <w:tc>
          <w:tcPr>
            <w:tcW w:w="1444" w:type="dxa"/>
            <w:gridSpan w:val="2"/>
            <w:shd w:val="clear" w:color="auto" w:fill="002D5D"/>
          </w:tcPr>
          <w:p>
            <w:pPr>
              <w:pStyle w:val="TableParagraph"/>
              <w:rPr>
                <w:rFonts w:ascii="Times New Roman"/>
                <w:sz w:val="16"/>
              </w:rPr>
            </w:pPr>
          </w:p>
        </w:tc>
        <w:tc>
          <w:tcPr>
            <w:tcW w:w="995" w:type="dxa"/>
            <w:vMerge w:val="restart"/>
            <w:shd w:val="clear" w:color="auto" w:fill="002D5D"/>
          </w:tcPr>
          <w:p>
            <w:pPr>
              <w:pStyle w:val="TableParagraph"/>
              <w:spacing w:before="81"/>
              <w:rPr>
                <w:rFonts w:ascii="Arial"/>
                <w:b/>
                <w:sz w:val="16"/>
              </w:rPr>
            </w:pPr>
          </w:p>
          <w:p>
            <w:pPr>
              <w:pStyle w:val="TableParagraph"/>
              <w:ind w:left="98" w:right="106" w:firstLine="4"/>
              <w:jc w:val="center"/>
              <w:rPr>
                <w:b/>
                <w:sz w:val="16"/>
              </w:rPr>
            </w:pPr>
            <w:r>
              <w:rPr>
                <w:b/>
                <w:color w:val="FFFFFF"/>
                <w:sz w:val="16"/>
              </w:rPr>
              <w:t>ESTADO</w:t>
            </w:r>
            <w:r>
              <w:rPr>
                <w:b/>
                <w:color w:val="FFFFFF"/>
                <w:spacing w:val="-10"/>
                <w:sz w:val="16"/>
              </w:rPr>
              <w:t> </w:t>
            </w:r>
            <w:r>
              <w:rPr>
                <w:b/>
                <w:color w:val="FFFFFF"/>
                <w:sz w:val="16"/>
              </w:rPr>
              <w:t>DE</w:t>
            </w:r>
            <w:r>
              <w:rPr>
                <w:b/>
                <w:color w:val="FFFFFF"/>
                <w:spacing w:val="40"/>
                <w:sz w:val="16"/>
              </w:rPr>
              <w:t> </w:t>
            </w:r>
            <w:r>
              <w:rPr>
                <w:b/>
                <w:color w:val="FFFFFF"/>
                <w:spacing w:val="-6"/>
                <w:sz w:val="16"/>
              </w:rPr>
              <w:t>LA</w:t>
            </w:r>
            <w:r>
              <w:rPr>
                <w:b/>
                <w:color w:val="FFFFFF"/>
                <w:spacing w:val="40"/>
                <w:sz w:val="16"/>
              </w:rPr>
              <w:t> </w:t>
            </w:r>
            <w:r>
              <w:rPr>
                <w:b/>
                <w:color w:val="FFFFFF"/>
                <w:spacing w:val="-2"/>
                <w:sz w:val="16"/>
              </w:rPr>
              <w:t>ACTUACIÓN</w:t>
            </w:r>
          </w:p>
          <w:p>
            <w:pPr>
              <w:pStyle w:val="TableParagraph"/>
              <w:spacing w:line="165" w:lineRule="exact" w:before="1"/>
              <w:ind w:right="3"/>
              <w:jc w:val="center"/>
              <w:rPr>
                <w:b/>
                <w:sz w:val="16"/>
              </w:rPr>
            </w:pPr>
            <w:r>
              <w:rPr>
                <w:b/>
                <w:color w:val="FFFFFF"/>
                <w:spacing w:val="-2"/>
                <w:sz w:val="16"/>
              </w:rPr>
              <w:t>31/12/2024</w:t>
            </w:r>
          </w:p>
        </w:tc>
      </w:tr>
      <w:tr>
        <w:trPr>
          <w:trHeight w:val="324" w:hRule="atLeast"/>
        </w:trPr>
        <w:tc>
          <w:tcPr>
            <w:tcW w:w="1835" w:type="dxa"/>
            <w:shd w:val="clear" w:color="auto" w:fill="002D5D"/>
          </w:tcPr>
          <w:p>
            <w:pPr>
              <w:pStyle w:val="TableParagraph"/>
              <w:spacing w:line="140" w:lineRule="exact"/>
              <w:ind w:left="398"/>
              <w:rPr>
                <w:b/>
                <w:sz w:val="16"/>
              </w:rPr>
            </w:pPr>
            <w:r>
              <w:rPr>
                <w:b/>
                <w:color w:val="FFFFFF"/>
                <w:spacing w:val="-2"/>
                <w:sz w:val="16"/>
              </w:rPr>
              <w:t>DENOMINACIÓN</w:t>
            </w:r>
          </w:p>
          <w:p>
            <w:pPr>
              <w:pStyle w:val="TableParagraph"/>
              <w:spacing w:line="164" w:lineRule="exact"/>
              <w:ind w:left="492"/>
              <w:rPr>
                <w:b/>
                <w:sz w:val="16"/>
              </w:rPr>
            </w:pPr>
            <w:r>
              <w:rPr>
                <w:b/>
                <w:color w:val="FFFFFF"/>
                <w:spacing w:val="-2"/>
                <w:sz w:val="16"/>
              </w:rPr>
              <w:t>ACTUACIÓN</w:t>
            </w:r>
          </w:p>
        </w:tc>
        <w:tc>
          <w:tcPr>
            <w:tcW w:w="2687" w:type="dxa"/>
            <w:gridSpan w:val="2"/>
            <w:shd w:val="clear" w:color="auto" w:fill="002D5D"/>
          </w:tcPr>
          <w:p>
            <w:pPr>
              <w:pStyle w:val="TableParagraph"/>
              <w:spacing w:before="48"/>
              <w:ind w:left="349"/>
              <w:rPr>
                <w:b/>
                <w:sz w:val="16"/>
              </w:rPr>
            </w:pPr>
            <w:r>
              <w:rPr>
                <w:b/>
                <w:color w:val="FFFFFF"/>
                <w:spacing w:val="-2"/>
                <w:sz w:val="16"/>
              </w:rPr>
              <w:t>TIPOLOGÍA</w:t>
            </w:r>
          </w:p>
        </w:tc>
        <w:tc>
          <w:tcPr>
            <w:tcW w:w="586" w:type="dxa"/>
            <w:shd w:val="clear" w:color="auto" w:fill="002D5D"/>
          </w:tcPr>
          <w:p>
            <w:pPr>
              <w:pStyle w:val="TableParagraph"/>
              <w:rPr>
                <w:rFonts w:ascii="Times New Roman"/>
                <w:sz w:val="16"/>
              </w:rPr>
            </w:pPr>
          </w:p>
        </w:tc>
        <w:tc>
          <w:tcPr>
            <w:tcW w:w="1301" w:type="dxa"/>
            <w:shd w:val="clear" w:color="auto" w:fill="002D5D"/>
          </w:tcPr>
          <w:p>
            <w:pPr>
              <w:pStyle w:val="TableParagraph"/>
              <w:spacing w:line="164" w:lineRule="exact" w:before="140"/>
              <w:ind w:left="432" w:right="-15"/>
              <w:rPr>
                <w:b/>
                <w:sz w:val="16"/>
              </w:rPr>
            </w:pPr>
            <w:r>
              <w:rPr>
                <w:b/>
                <w:color w:val="FFFFFF"/>
                <w:spacing w:val="-2"/>
                <w:sz w:val="16"/>
              </w:rPr>
              <w:t>Ayuntamiento</w:t>
            </w:r>
          </w:p>
        </w:tc>
        <w:tc>
          <w:tcPr>
            <w:tcW w:w="496" w:type="dxa"/>
            <w:tcBorders>
              <w:right w:val="single" w:sz="12" w:space="0" w:color="002D5D"/>
            </w:tcBorders>
            <w:shd w:val="clear" w:color="auto" w:fill="002D5D"/>
          </w:tcPr>
          <w:p>
            <w:pPr>
              <w:pStyle w:val="TableParagraph"/>
              <w:rPr>
                <w:rFonts w:ascii="Times New Roman"/>
                <w:sz w:val="16"/>
              </w:rPr>
            </w:pPr>
          </w:p>
        </w:tc>
        <w:tc>
          <w:tcPr>
            <w:tcW w:w="1189" w:type="dxa"/>
            <w:tcBorders>
              <w:left w:val="single" w:sz="12" w:space="0" w:color="002D5D"/>
            </w:tcBorders>
            <w:shd w:val="clear" w:color="auto" w:fill="002D5D"/>
          </w:tcPr>
          <w:p>
            <w:pPr>
              <w:pStyle w:val="TableParagraph"/>
              <w:spacing w:line="171" w:lineRule="exact" w:before="133"/>
              <w:ind w:left="653"/>
              <w:rPr>
                <w:b/>
                <w:sz w:val="17"/>
              </w:rPr>
            </w:pPr>
            <w:r>
              <w:rPr>
                <w:b/>
                <w:color w:val="FFFFFF"/>
                <w:spacing w:val="-4"/>
                <w:sz w:val="17"/>
              </w:rPr>
              <w:t>PRTR</w:t>
            </w:r>
          </w:p>
        </w:tc>
        <w:tc>
          <w:tcPr>
            <w:tcW w:w="530" w:type="dxa"/>
            <w:vMerge w:val="restart"/>
            <w:shd w:val="clear" w:color="auto" w:fill="002D5D"/>
          </w:tcPr>
          <w:p>
            <w:pPr>
              <w:pStyle w:val="TableParagraph"/>
              <w:rPr>
                <w:rFonts w:ascii="Times New Roman"/>
                <w:sz w:val="16"/>
              </w:rPr>
            </w:pPr>
          </w:p>
        </w:tc>
        <w:tc>
          <w:tcPr>
            <w:tcW w:w="1444" w:type="dxa"/>
            <w:gridSpan w:val="2"/>
            <w:vMerge w:val="restart"/>
            <w:shd w:val="clear" w:color="auto" w:fill="002D5D"/>
          </w:tcPr>
          <w:p>
            <w:pPr>
              <w:pStyle w:val="TableParagraph"/>
              <w:spacing w:before="46"/>
              <w:ind w:left="420" w:right="321" w:hanging="39"/>
              <w:rPr>
                <w:b/>
                <w:sz w:val="16"/>
              </w:rPr>
            </w:pPr>
            <w:r>
              <w:rPr>
                <w:b/>
                <w:color w:val="FFFFFF"/>
                <w:spacing w:val="-2"/>
                <w:sz w:val="16"/>
              </w:rPr>
              <w:t>Comunidad</w:t>
            </w:r>
            <w:r>
              <w:rPr>
                <w:b/>
                <w:color w:val="FFFFFF"/>
                <w:spacing w:val="40"/>
                <w:sz w:val="16"/>
              </w:rPr>
              <w:t> </w:t>
            </w:r>
            <w:r>
              <w:rPr>
                <w:b/>
                <w:color w:val="FFFFFF"/>
                <w:spacing w:val="-2"/>
                <w:sz w:val="16"/>
              </w:rPr>
              <w:t>Autónoma</w:t>
            </w:r>
          </w:p>
        </w:tc>
        <w:tc>
          <w:tcPr>
            <w:tcW w:w="995" w:type="dxa"/>
            <w:vMerge/>
            <w:tcBorders>
              <w:top w:val="nil"/>
            </w:tcBorders>
            <w:shd w:val="clear" w:color="auto" w:fill="002D5D"/>
          </w:tcPr>
          <w:p>
            <w:pPr>
              <w:rPr>
                <w:sz w:val="2"/>
                <w:szCs w:val="2"/>
              </w:rPr>
            </w:pPr>
          </w:p>
        </w:tc>
      </w:tr>
      <w:tr>
        <w:trPr>
          <w:trHeight w:val="185" w:hRule="atLeast"/>
        </w:trPr>
        <w:tc>
          <w:tcPr>
            <w:tcW w:w="1835" w:type="dxa"/>
            <w:shd w:val="clear" w:color="auto" w:fill="002D5D"/>
          </w:tcPr>
          <w:p>
            <w:pPr>
              <w:pStyle w:val="TableParagraph"/>
              <w:rPr>
                <w:rFonts w:ascii="Times New Roman"/>
                <w:sz w:val="12"/>
              </w:rPr>
            </w:pPr>
          </w:p>
        </w:tc>
        <w:tc>
          <w:tcPr>
            <w:tcW w:w="1454" w:type="dxa"/>
            <w:shd w:val="clear" w:color="auto" w:fill="002D5D"/>
          </w:tcPr>
          <w:p>
            <w:pPr>
              <w:pStyle w:val="TableParagraph"/>
              <w:rPr>
                <w:rFonts w:ascii="Times New Roman"/>
                <w:sz w:val="12"/>
              </w:rPr>
            </w:pPr>
          </w:p>
        </w:tc>
        <w:tc>
          <w:tcPr>
            <w:tcW w:w="1233" w:type="dxa"/>
            <w:shd w:val="clear" w:color="auto" w:fill="002D5D"/>
          </w:tcPr>
          <w:p>
            <w:pPr>
              <w:pStyle w:val="TableParagraph"/>
              <w:spacing w:line="165" w:lineRule="exact"/>
              <w:ind w:right="176"/>
              <w:jc w:val="center"/>
              <w:rPr>
                <w:b/>
                <w:sz w:val="16"/>
              </w:rPr>
            </w:pPr>
            <w:r>
              <w:rPr>
                <w:b/>
                <w:color w:val="FFFFFF"/>
                <w:spacing w:val="-5"/>
                <w:sz w:val="16"/>
              </w:rPr>
              <w:t>(€)</w:t>
            </w:r>
          </w:p>
        </w:tc>
        <w:tc>
          <w:tcPr>
            <w:tcW w:w="1887" w:type="dxa"/>
            <w:gridSpan w:val="2"/>
            <w:shd w:val="clear" w:color="auto" w:fill="002D5D"/>
          </w:tcPr>
          <w:p>
            <w:pPr>
              <w:pStyle w:val="TableParagraph"/>
              <w:spacing w:line="163" w:lineRule="auto" w:before="22"/>
              <w:ind w:left="22"/>
              <w:rPr>
                <w:b/>
                <w:sz w:val="12"/>
              </w:rPr>
            </w:pPr>
            <w:r>
              <w:rPr>
                <w:b/>
                <w:color w:val="FFFFFF"/>
                <w:position w:val="-4"/>
                <w:sz w:val="16"/>
              </w:rPr>
              <w:t>%</w:t>
            </w:r>
            <w:r>
              <w:rPr>
                <w:b/>
                <w:color w:val="FFFFFF"/>
                <w:spacing w:val="-1"/>
                <w:position w:val="-4"/>
                <w:sz w:val="16"/>
              </w:rPr>
              <w:t> </w:t>
            </w:r>
            <w:r>
              <w:rPr>
                <w:b/>
                <w:color w:val="FFFFFF"/>
                <w:spacing w:val="-5"/>
                <w:sz w:val="12"/>
              </w:rPr>
              <w:t>(*)</w:t>
            </w:r>
          </w:p>
        </w:tc>
        <w:tc>
          <w:tcPr>
            <w:tcW w:w="496" w:type="dxa"/>
            <w:shd w:val="clear" w:color="auto" w:fill="002D5D"/>
          </w:tcPr>
          <w:p>
            <w:pPr>
              <w:pStyle w:val="TableParagraph"/>
              <w:rPr>
                <w:rFonts w:ascii="Times New Roman"/>
                <w:sz w:val="12"/>
              </w:rPr>
            </w:pPr>
          </w:p>
        </w:tc>
        <w:tc>
          <w:tcPr>
            <w:tcW w:w="1189" w:type="dxa"/>
            <w:shd w:val="clear" w:color="auto" w:fill="002D5D"/>
          </w:tcPr>
          <w:p>
            <w:pPr>
              <w:pStyle w:val="TableParagraph"/>
              <w:rPr>
                <w:rFonts w:ascii="Times New Roman"/>
                <w:sz w:val="12"/>
              </w:rPr>
            </w:pPr>
          </w:p>
        </w:tc>
        <w:tc>
          <w:tcPr>
            <w:tcW w:w="530" w:type="dxa"/>
            <w:vMerge/>
            <w:tcBorders>
              <w:top w:val="nil"/>
            </w:tcBorders>
            <w:shd w:val="clear" w:color="auto" w:fill="002D5D"/>
          </w:tcPr>
          <w:p>
            <w:pPr>
              <w:rPr>
                <w:sz w:val="2"/>
                <w:szCs w:val="2"/>
              </w:rPr>
            </w:pPr>
          </w:p>
        </w:tc>
        <w:tc>
          <w:tcPr>
            <w:tcW w:w="1444" w:type="dxa"/>
            <w:gridSpan w:val="2"/>
            <w:vMerge/>
            <w:tcBorders>
              <w:top w:val="nil"/>
            </w:tcBorders>
            <w:shd w:val="clear" w:color="auto" w:fill="002D5D"/>
          </w:tcPr>
          <w:p>
            <w:pPr>
              <w:rPr>
                <w:sz w:val="2"/>
                <w:szCs w:val="2"/>
              </w:rPr>
            </w:pPr>
          </w:p>
        </w:tc>
        <w:tc>
          <w:tcPr>
            <w:tcW w:w="995" w:type="dxa"/>
            <w:vMerge/>
            <w:tcBorders>
              <w:top w:val="nil"/>
            </w:tcBorders>
            <w:shd w:val="clear" w:color="auto" w:fill="002D5D"/>
          </w:tcPr>
          <w:p>
            <w:pPr>
              <w:rPr>
                <w:sz w:val="2"/>
                <w:szCs w:val="2"/>
              </w:rPr>
            </w:pPr>
          </w:p>
        </w:tc>
      </w:tr>
      <w:tr>
        <w:trPr>
          <w:trHeight w:val="264" w:hRule="atLeast"/>
        </w:trPr>
        <w:tc>
          <w:tcPr>
            <w:tcW w:w="1835" w:type="dxa"/>
            <w:shd w:val="clear" w:color="auto" w:fill="002D5D"/>
          </w:tcPr>
          <w:p>
            <w:pPr>
              <w:pStyle w:val="TableParagraph"/>
              <w:rPr>
                <w:rFonts w:ascii="Times New Roman"/>
                <w:sz w:val="16"/>
              </w:rPr>
            </w:pPr>
          </w:p>
        </w:tc>
        <w:tc>
          <w:tcPr>
            <w:tcW w:w="1454" w:type="dxa"/>
            <w:shd w:val="clear" w:color="auto" w:fill="002D5D"/>
          </w:tcPr>
          <w:p>
            <w:pPr>
              <w:pStyle w:val="TableParagraph"/>
              <w:rPr>
                <w:rFonts w:ascii="Times New Roman"/>
                <w:sz w:val="16"/>
              </w:rPr>
            </w:pPr>
          </w:p>
        </w:tc>
        <w:tc>
          <w:tcPr>
            <w:tcW w:w="1233" w:type="dxa"/>
            <w:shd w:val="clear" w:color="auto" w:fill="002D5D"/>
          </w:tcPr>
          <w:p>
            <w:pPr>
              <w:pStyle w:val="TableParagraph"/>
              <w:rPr>
                <w:rFonts w:ascii="Times New Roman"/>
                <w:sz w:val="16"/>
              </w:rPr>
            </w:pPr>
          </w:p>
        </w:tc>
        <w:tc>
          <w:tcPr>
            <w:tcW w:w="586" w:type="dxa"/>
            <w:shd w:val="clear" w:color="auto" w:fill="002D5D"/>
          </w:tcPr>
          <w:p>
            <w:pPr>
              <w:pStyle w:val="TableParagraph"/>
              <w:rPr>
                <w:rFonts w:ascii="Times New Roman"/>
                <w:sz w:val="16"/>
              </w:rPr>
            </w:pPr>
          </w:p>
        </w:tc>
        <w:tc>
          <w:tcPr>
            <w:tcW w:w="1301" w:type="dxa"/>
            <w:shd w:val="clear" w:color="auto" w:fill="002D5D"/>
          </w:tcPr>
          <w:p>
            <w:pPr>
              <w:pStyle w:val="TableParagraph"/>
              <w:spacing w:before="2"/>
              <w:ind w:right="94"/>
              <w:jc w:val="center"/>
              <w:rPr>
                <w:b/>
                <w:sz w:val="16"/>
              </w:rPr>
            </w:pPr>
            <w:r>
              <w:rPr>
                <w:b/>
                <w:color w:val="FFFFFF"/>
                <w:spacing w:val="-5"/>
                <w:sz w:val="16"/>
              </w:rPr>
              <w:t>(€)</w:t>
            </w:r>
          </w:p>
        </w:tc>
        <w:tc>
          <w:tcPr>
            <w:tcW w:w="496" w:type="dxa"/>
            <w:shd w:val="clear" w:color="auto" w:fill="002D5D"/>
          </w:tcPr>
          <w:p>
            <w:pPr>
              <w:pStyle w:val="TableParagraph"/>
              <w:spacing w:line="195" w:lineRule="exact"/>
              <w:ind w:left="-3"/>
              <w:rPr>
                <w:b/>
                <w:sz w:val="12"/>
              </w:rPr>
            </w:pPr>
            <w:r>
              <w:rPr>
                <w:b/>
                <w:color w:val="FFFFFF"/>
                <w:position w:val="-4"/>
                <w:sz w:val="16"/>
              </w:rPr>
              <w:t>%</w:t>
            </w:r>
            <w:r>
              <w:rPr>
                <w:b/>
                <w:color w:val="FFFFFF"/>
                <w:spacing w:val="-3"/>
                <w:position w:val="-4"/>
                <w:sz w:val="16"/>
              </w:rPr>
              <w:t> </w:t>
            </w:r>
            <w:r>
              <w:rPr>
                <w:b/>
                <w:color w:val="FFFFFF"/>
                <w:spacing w:val="-4"/>
                <w:sz w:val="12"/>
              </w:rPr>
              <w:t>(**)</w:t>
            </w:r>
          </w:p>
        </w:tc>
        <w:tc>
          <w:tcPr>
            <w:tcW w:w="1189" w:type="dxa"/>
            <w:shd w:val="clear" w:color="auto" w:fill="002D5D"/>
          </w:tcPr>
          <w:p>
            <w:pPr>
              <w:pStyle w:val="TableParagraph"/>
              <w:spacing w:before="2"/>
              <w:ind w:right="23"/>
              <w:jc w:val="center"/>
              <w:rPr>
                <w:b/>
                <w:sz w:val="16"/>
              </w:rPr>
            </w:pPr>
            <w:r>
              <w:rPr>
                <w:b/>
                <w:color w:val="FFFFFF"/>
                <w:spacing w:val="-5"/>
                <w:sz w:val="16"/>
              </w:rPr>
              <w:t>(€)</w:t>
            </w:r>
          </w:p>
        </w:tc>
        <w:tc>
          <w:tcPr>
            <w:tcW w:w="530" w:type="dxa"/>
            <w:shd w:val="clear" w:color="auto" w:fill="002D5D"/>
          </w:tcPr>
          <w:p>
            <w:pPr>
              <w:pStyle w:val="TableParagraph"/>
              <w:spacing w:line="195" w:lineRule="exact"/>
              <w:ind w:right="186"/>
              <w:jc w:val="center"/>
              <w:rPr>
                <w:b/>
                <w:sz w:val="12"/>
              </w:rPr>
            </w:pPr>
            <w:r>
              <w:rPr>
                <w:b/>
                <w:color w:val="FFFFFF"/>
                <w:position w:val="-4"/>
                <w:sz w:val="16"/>
              </w:rPr>
              <w:t>%</w:t>
            </w:r>
            <w:r>
              <w:rPr>
                <w:b/>
                <w:color w:val="FFFFFF"/>
                <w:spacing w:val="-3"/>
                <w:position w:val="-4"/>
                <w:sz w:val="16"/>
              </w:rPr>
              <w:t> </w:t>
            </w:r>
            <w:r>
              <w:rPr>
                <w:b/>
                <w:color w:val="FFFFFF"/>
                <w:spacing w:val="-4"/>
                <w:sz w:val="12"/>
              </w:rPr>
              <w:t>(**)</w:t>
            </w:r>
          </w:p>
        </w:tc>
        <w:tc>
          <w:tcPr>
            <w:tcW w:w="892" w:type="dxa"/>
            <w:shd w:val="clear" w:color="auto" w:fill="002D5D"/>
          </w:tcPr>
          <w:p>
            <w:pPr>
              <w:pStyle w:val="TableParagraph"/>
              <w:spacing w:before="2"/>
              <w:ind w:left="30"/>
              <w:jc w:val="center"/>
              <w:rPr>
                <w:b/>
                <w:sz w:val="16"/>
              </w:rPr>
            </w:pPr>
            <w:r>
              <w:rPr>
                <w:b/>
                <w:color w:val="FFFFFF"/>
                <w:spacing w:val="-5"/>
                <w:sz w:val="16"/>
              </w:rPr>
              <w:t>(€)</w:t>
            </w:r>
          </w:p>
        </w:tc>
        <w:tc>
          <w:tcPr>
            <w:tcW w:w="552" w:type="dxa"/>
            <w:shd w:val="clear" w:color="auto" w:fill="002D5D"/>
          </w:tcPr>
          <w:p>
            <w:pPr>
              <w:pStyle w:val="TableParagraph"/>
              <w:spacing w:line="195" w:lineRule="exact"/>
              <w:ind w:left="103"/>
              <w:rPr>
                <w:b/>
                <w:sz w:val="12"/>
              </w:rPr>
            </w:pPr>
            <w:r>
              <w:rPr>
                <w:b/>
                <w:color w:val="FFFFFF"/>
                <w:position w:val="-4"/>
                <w:sz w:val="16"/>
              </w:rPr>
              <w:t>%</w:t>
            </w:r>
            <w:r>
              <w:rPr>
                <w:b/>
                <w:color w:val="FFFFFF"/>
                <w:spacing w:val="-3"/>
                <w:position w:val="-4"/>
                <w:sz w:val="16"/>
              </w:rPr>
              <w:t> </w:t>
            </w:r>
            <w:r>
              <w:rPr>
                <w:b/>
                <w:color w:val="FFFFFF"/>
                <w:spacing w:val="-4"/>
                <w:sz w:val="12"/>
              </w:rPr>
              <w:t>(**)</w:t>
            </w:r>
          </w:p>
        </w:tc>
        <w:tc>
          <w:tcPr>
            <w:tcW w:w="995" w:type="dxa"/>
            <w:shd w:val="clear" w:color="auto" w:fill="002D5D"/>
          </w:tcPr>
          <w:p>
            <w:pPr>
              <w:pStyle w:val="TableParagraph"/>
              <w:rPr>
                <w:rFonts w:ascii="Times New Roman"/>
                <w:sz w:val="16"/>
              </w:rPr>
            </w:pPr>
          </w:p>
        </w:tc>
      </w:tr>
      <w:tr>
        <w:trPr>
          <w:trHeight w:val="978" w:hRule="atLeast"/>
        </w:trPr>
        <w:tc>
          <w:tcPr>
            <w:tcW w:w="1835" w:type="dxa"/>
            <w:tcBorders>
              <w:bottom w:val="single" w:sz="8" w:space="0" w:color="002D5D"/>
            </w:tcBorders>
          </w:tcPr>
          <w:p>
            <w:pPr>
              <w:pStyle w:val="TableParagraph"/>
              <w:spacing w:before="1"/>
              <w:rPr>
                <w:rFonts w:ascii="Arial"/>
                <w:b/>
                <w:sz w:val="17"/>
              </w:rPr>
            </w:pPr>
          </w:p>
          <w:p>
            <w:pPr>
              <w:pStyle w:val="TableParagraph"/>
              <w:ind w:left="69" w:right="136"/>
              <w:rPr>
                <w:sz w:val="17"/>
              </w:rPr>
            </w:pPr>
            <w:r>
              <w:rPr>
                <w:sz w:val="17"/>
              </w:rPr>
              <w:t>Adquisición de 66</w:t>
            </w:r>
            <w:r>
              <w:rPr>
                <w:spacing w:val="40"/>
                <w:sz w:val="17"/>
              </w:rPr>
              <w:t> </w:t>
            </w:r>
            <w:r>
              <w:rPr>
                <w:spacing w:val="-2"/>
                <w:sz w:val="17"/>
              </w:rPr>
              <w:t>autobuses</w:t>
            </w:r>
            <w:r>
              <w:rPr>
                <w:spacing w:val="40"/>
                <w:sz w:val="17"/>
              </w:rPr>
              <w:t> </w:t>
            </w:r>
            <w:r>
              <w:rPr>
                <w:sz w:val="17"/>
              </w:rPr>
              <w:t>(eléctricos/híbridos</w:t>
            </w:r>
            <w:r>
              <w:rPr>
                <w:spacing w:val="-10"/>
                <w:sz w:val="17"/>
              </w:rPr>
              <w:t> </w:t>
            </w:r>
            <w:r>
              <w:rPr>
                <w:sz w:val="17"/>
              </w:rPr>
              <w:t>diésel)</w:t>
            </w:r>
          </w:p>
        </w:tc>
        <w:tc>
          <w:tcPr>
            <w:tcW w:w="1454" w:type="dxa"/>
            <w:tcBorders>
              <w:bottom w:val="single" w:sz="8" w:space="0" w:color="002D5D"/>
            </w:tcBorders>
          </w:tcPr>
          <w:p>
            <w:pPr>
              <w:pStyle w:val="TableParagraph"/>
              <w:ind w:left="78" w:right="118"/>
              <w:rPr>
                <w:sz w:val="17"/>
              </w:rPr>
            </w:pPr>
            <w:r>
              <w:rPr>
                <w:sz w:val="17"/>
              </w:rPr>
              <w:t>Adquisición</w:t>
            </w:r>
            <w:r>
              <w:rPr>
                <w:spacing w:val="-10"/>
                <w:sz w:val="17"/>
              </w:rPr>
              <w:t> </w:t>
            </w:r>
            <w:r>
              <w:rPr>
                <w:sz w:val="17"/>
              </w:rPr>
              <w:t>material</w:t>
            </w:r>
            <w:r>
              <w:rPr>
                <w:spacing w:val="40"/>
                <w:sz w:val="17"/>
              </w:rPr>
              <w:t> </w:t>
            </w:r>
            <w:r>
              <w:rPr>
                <w:sz w:val="17"/>
              </w:rPr>
              <w:t>móvil</w:t>
            </w:r>
            <w:r>
              <w:rPr>
                <w:spacing w:val="-2"/>
                <w:sz w:val="17"/>
              </w:rPr>
              <w:t> </w:t>
            </w:r>
            <w:r>
              <w:rPr>
                <w:sz w:val="17"/>
              </w:rPr>
              <w:t>e</w:t>
            </w:r>
            <w:r>
              <w:rPr>
                <w:spacing w:val="40"/>
                <w:sz w:val="17"/>
              </w:rPr>
              <w:t> </w:t>
            </w:r>
            <w:r>
              <w:rPr>
                <w:spacing w:val="-2"/>
                <w:sz w:val="17"/>
              </w:rPr>
              <w:t>infraestructuras</w:t>
            </w:r>
          </w:p>
          <w:p>
            <w:pPr>
              <w:pStyle w:val="TableParagraph"/>
              <w:spacing w:line="196" w:lineRule="exact"/>
              <w:ind w:left="78" w:right="575"/>
              <w:rPr>
                <w:sz w:val="17"/>
              </w:rPr>
            </w:pPr>
            <w:r>
              <w:rPr>
                <w:sz w:val="17"/>
              </w:rPr>
              <w:t>para</w:t>
            </w:r>
            <w:r>
              <w:rPr>
                <w:spacing w:val="-10"/>
                <w:sz w:val="17"/>
              </w:rPr>
              <w:t> </w:t>
            </w:r>
            <w:r>
              <w:rPr>
                <w:sz w:val="17"/>
              </w:rPr>
              <w:t>recarga</w:t>
            </w:r>
            <w:r>
              <w:rPr>
                <w:spacing w:val="40"/>
                <w:sz w:val="17"/>
              </w:rPr>
              <w:t> </w:t>
            </w:r>
            <w:r>
              <w:rPr>
                <w:spacing w:val="-2"/>
                <w:sz w:val="17"/>
              </w:rPr>
              <w:t>vehículos</w:t>
            </w:r>
          </w:p>
        </w:tc>
        <w:tc>
          <w:tcPr>
            <w:tcW w:w="1233" w:type="dxa"/>
            <w:tcBorders>
              <w:bottom w:val="single" w:sz="8" w:space="0" w:color="002D5D"/>
            </w:tcBorders>
          </w:tcPr>
          <w:p>
            <w:pPr>
              <w:pStyle w:val="TableParagraph"/>
              <w:spacing w:before="195"/>
              <w:rPr>
                <w:rFonts w:ascii="Arial"/>
                <w:b/>
                <w:sz w:val="17"/>
              </w:rPr>
            </w:pPr>
          </w:p>
          <w:p>
            <w:pPr>
              <w:pStyle w:val="TableParagraph"/>
              <w:ind w:right="207"/>
              <w:jc w:val="right"/>
              <w:rPr>
                <w:sz w:val="17"/>
              </w:rPr>
            </w:pPr>
            <w:r>
              <w:rPr>
                <w:spacing w:val="-2"/>
                <w:sz w:val="17"/>
              </w:rPr>
              <w:t>34.680.870,00</w:t>
            </w:r>
          </w:p>
        </w:tc>
        <w:tc>
          <w:tcPr>
            <w:tcW w:w="586" w:type="dxa"/>
            <w:tcBorders>
              <w:bottom w:val="single" w:sz="8" w:space="0" w:color="002D5D"/>
            </w:tcBorders>
          </w:tcPr>
          <w:p>
            <w:pPr>
              <w:pStyle w:val="TableParagraph"/>
              <w:spacing w:before="195"/>
              <w:rPr>
                <w:rFonts w:ascii="Arial"/>
                <w:b/>
                <w:sz w:val="17"/>
              </w:rPr>
            </w:pPr>
          </w:p>
          <w:p>
            <w:pPr>
              <w:pStyle w:val="TableParagraph"/>
              <w:ind w:right="213"/>
              <w:jc w:val="right"/>
              <w:rPr>
                <w:sz w:val="17"/>
              </w:rPr>
            </w:pPr>
            <w:r>
              <w:rPr>
                <w:spacing w:val="-2"/>
                <w:sz w:val="17"/>
              </w:rPr>
              <w:t>70,52</w:t>
            </w:r>
          </w:p>
        </w:tc>
        <w:tc>
          <w:tcPr>
            <w:tcW w:w="1301" w:type="dxa"/>
            <w:tcBorders>
              <w:bottom w:val="single" w:sz="8" w:space="0" w:color="002D5D"/>
            </w:tcBorders>
          </w:tcPr>
          <w:p>
            <w:pPr>
              <w:pStyle w:val="TableParagraph"/>
              <w:spacing w:before="195"/>
              <w:rPr>
                <w:rFonts w:ascii="Arial"/>
                <w:b/>
                <w:sz w:val="17"/>
              </w:rPr>
            </w:pPr>
          </w:p>
          <w:p>
            <w:pPr>
              <w:pStyle w:val="TableParagraph"/>
              <w:ind w:left="216"/>
              <w:rPr>
                <w:sz w:val="17"/>
              </w:rPr>
            </w:pPr>
            <w:r>
              <w:rPr>
                <w:spacing w:val="-2"/>
                <w:sz w:val="17"/>
              </w:rPr>
              <w:t>27.180.870,00</w:t>
            </w:r>
          </w:p>
        </w:tc>
        <w:tc>
          <w:tcPr>
            <w:tcW w:w="496" w:type="dxa"/>
            <w:tcBorders>
              <w:bottom w:val="single" w:sz="8" w:space="0" w:color="002D5D"/>
            </w:tcBorders>
          </w:tcPr>
          <w:p>
            <w:pPr>
              <w:pStyle w:val="TableParagraph"/>
              <w:spacing w:before="195"/>
              <w:rPr>
                <w:rFonts w:ascii="Arial"/>
                <w:b/>
                <w:sz w:val="17"/>
              </w:rPr>
            </w:pPr>
          </w:p>
          <w:p>
            <w:pPr>
              <w:pStyle w:val="TableParagraph"/>
              <w:ind w:left="-5"/>
              <w:rPr>
                <w:sz w:val="17"/>
              </w:rPr>
            </w:pPr>
            <w:r>
              <w:rPr>
                <w:spacing w:val="-2"/>
                <w:sz w:val="17"/>
              </w:rPr>
              <w:t>78,37</w:t>
            </w:r>
          </w:p>
        </w:tc>
        <w:tc>
          <w:tcPr>
            <w:tcW w:w="1189" w:type="dxa"/>
            <w:tcBorders>
              <w:bottom w:val="single" w:sz="8" w:space="0" w:color="002D5D"/>
            </w:tcBorders>
          </w:tcPr>
          <w:p>
            <w:pPr>
              <w:pStyle w:val="TableParagraph"/>
              <w:spacing w:before="195"/>
              <w:rPr>
                <w:rFonts w:ascii="Arial"/>
                <w:b/>
                <w:sz w:val="17"/>
              </w:rPr>
            </w:pPr>
          </w:p>
          <w:p>
            <w:pPr>
              <w:pStyle w:val="TableParagraph"/>
              <w:ind w:left="197"/>
              <w:rPr>
                <w:sz w:val="17"/>
              </w:rPr>
            </w:pPr>
            <w:r>
              <w:rPr>
                <w:spacing w:val="-2"/>
                <w:sz w:val="17"/>
              </w:rPr>
              <w:t>7.500.000,00</w:t>
            </w:r>
          </w:p>
        </w:tc>
        <w:tc>
          <w:tcPr>
            <w:tcW w:w="530" w:type="dxa"/>
            <w:tcBorders>
              <w:bottom w:val="single" w:sz="8" w:space="0" w:color="002D5D"/>
            </w:tcBorders>
          </w:tcPr>
          <w:p>
            <w:pPr>
              <w:pStyle w:val="TableParagraph"/>
              <w:spacing w:before="195"/>
              <w:rPr>
                <w:rFonts w:ascii="Arial"/>
                <w:b/>
                <w:sz w:val="17"/>
              </w:rPr>
            </w:pPr>
          </w:p>
          <w:p>
            <w:pPr>
              <w:pStyle w:val="TableParagraph"/>
              <w:ind w:right="123"/>
              <w:jc w:val="center"/>
              <w:rPr>
                <w:sz w:val="17"/>
              </w:rPr>
            </w:pPr>
            <w:r>
              <w:rPr>
                <w:spacing w:val="-2"/>
                <w:sz w:val="17"/>
              </w:rPr>
              <w:t>21,63</w:t>
            </w:r>
          </w:p>
        </w:tc>
        <w:tc>
          <w:tcPr>
            <w:tcW w:w="892" w:type="dxa"/>
            <w:tcBorders>
              <w:bottom w:val="single" w:sz="8" w:space="0" w:color="002D5D"/>
            </w:tcBorders>
          </w:tcPr>
          <w:p>
            <w:pPr>
              <w:pStyle w:val="TableParagraph"/>
              <w:spacing w:before="195"/>
              <w:rPr>
                <w:rFonts w:ascii="Arial"/>
                <w:b/>
                <w:sz w:val="17"/>
              </w:rPr>
            </w:pPr>
          </w:p>
          <w:p>
            <w:pPr>
              <w:pStyle w:val="TableParagraph"/>
              <w:ind w:right="117"/>
              <w:jc w:val="right"/>
              <w:rPr>
                <w:sz w:val="17"/>
              </w:rPr>
            </w:pPr>
            <w:r>
              <w:rPr>
                <w:spacing w:val="-4"/>
                <w:sz w:val="17"/>
              </w:rPr>
              <w:t>0,00</w:t>
            </w:r>
          </w:p>
        </w:tc>
        <w:tc>
          <w:tcPr>
            <w:tcW w:w="552" w:type="dxa"/>
            <w:tcBorders>
              <w:bottom w:val="single" w:sz="8" w:space="0" w:color="002D5D"/>
            </w:tcBorders>
          </w:tcPr>
          <w:p>
            <w:pPr>
              <w:pStyle w:val="TableParagraph"/>
              <w:spacing w:before="195"/>
              <w:rPr>
                <w:rFonts w:ascii="Arial"/>
                <w:b/>
                <w:sz w:val="17"/>
              </w:rPr>
            </w:pPr>
          </w:p>
          <w:p>
            <w:pPr>
              <w:pStyle w:val="TableParagraph"/>
              <w:ind w:right="71"/>
              <w:jc w:val="right"/>
              <w:rPr>
                <w:sz w:val="17"/>
              </w:rPr>
            </w:pPr>
            <w:r>
              <w:rPr>
                <w:spacing w:val="-4"/>
                <w:sz w:val="17"/>
              </w:rPr>
              <w:t>0,00</w:t>
            </w:r>
          </w:p>
        </w:tc>
        <w:tc>
          <w:tcPr>
            <w:tcW w:w="995" w:type="dxa"/>
            <w:tcBorders>
              <w:bottom w:val="single" w:sz="8" w:space="0" w:color="002D5D"/>
            </w:tcBorders>
          </w:tcPr>
          <w:p>
            <w:pPr>
              <w:pStyle w:val="TableParagraph"/>
              <w:spacing w:before="195"/>
              <w:rPr>
                <w:rFonts w:ascii="Arial"/>
                <w:b/>
                <w:sz w:val="17"/>
              </w:rPr>
            </w:pPr>
          </w:p>
          <w:p>
            <w:pPr>
              <w:pStyle w:val="TableParagraph"/>
              <w:ind w:left="67"/>
              <w:rPr>
                <w:sz w:val="17"/>
              </w:rPr>
            </w:pPr>
            <w:r>
              <w:rPr>
                <w:sz w:val="17"/>
              </w:rPr>
              <w:t>En</w:t>
            </w:r>
            <w:r>
              <w:rPr>
                <w:spacing w:val="-1"/>
                <w:sz w:val="17"/>
              </w:rPr>
              <w:t> </w:t>
            </w:r>
            <w:r>
              <w:rPr>
                <w:spacing w:val="-2"/>
                <w:sz w:val="17"/>
              </w:rPr>
              <w:t>ejecución</w:t>
            </w:r>
          </w:p>
        </w:tc>
      </w:tr>
      <w:tr>
        <w:trPr>
          <w:trHeight w:val="976" w:hRule="atLeast"/>
        </w:trPr>
        <w:tc>
          <w:tcPr>
            <w:tcW w:w="1835" w:type="dxa"/>
            <w:tcBorders>
              <w:top w:val="single" w:sz="8" w:space="0" w:color="002D5D"/>
              <w:bottom w:val="single" w:sz="8" w:space="0" w:color="002D5D"/>
            </w:tcBorders>
          </w:tcPr>
          <w:p>
            <w:pPr>
              <w:pStyle w:val="TableParagraph"/>
              <w:spacing w:before="193"/>
              <w:ind w:left="69"/>
              <w:rPr>
                <w:sz w:val="17"/>
              </w:rPr>
            </w:pPr>
            <w:r>
              <w:rPr>
                <w:sz w:val="17"/>
              </w:rPr>
              <w:t>Adquisición de 30</w:t>
            </w:r>
            <w:r>
              <w:rPr>
                <w:spacing w:val="40"/>
                <w:sz w:val="17"/>
              </w:rPr>
              <w:t> </w:t>
            </w:r>
            <w:r>
              <w:rPr>
                <w:sz w:val="17"/>
              </w:rPr>
              <w:t>cargadores</w:t>
            </w:r>
            <w:r>
              <w:rPr>
                <w:spacing w:val="-10"/>
                <w:sz w:val="17"/>
              </w:rPr>
              <w:t> </w:t>
            </w:r>
            <w:r>
              <w:rPr>
                <w:sz w:val="17"/>
              </w:rPr>
              <w:t>para</w:t>
            </w:r>
            <w:r>
              <w:rPr>
                <w:spacing w:val="-10"/>
                <w:sz w:val="17"/>
              </w:rPr>
              <w:t> </w:t>
            </w:r>
            <w:r>
              <w:rPr>
                <w:sz w:val="17"/>
              </w:rPr>
              <w:t>la</w:t>
            </w:r>
            <w:r>
              <w:rPr>
                <w:spacing w:val="-10"/>
                <w:sz w:val="17"/>
              </w:rPr>
              <w:t> </w:t>
            </w:r>
            <w:r>
              <w:rPr>
                <w:sz w:val="17"/>
              </w:rPr>
              <w:t>recarga</w:t>
            </w:r>
            <w:r>
              <w:rPr>
                <w:spacing w:val="40"/>
                <w:sz w:val="17"/>
              </w:rPr>
              <w:t> </w:t>
            </w:r>
            <w:r>
              <w:rPr>
                <w:sz w:val="17"/>
              </w:rPr>
              <w:t>de autobús eléctrico.</w:t>
            </w:r>
          </w:p>
        </w:tc>
        <w:tc>
          <w:tcPr>
            <w:tcW w:w="1454" w:type="dxa"/>
            <w:tcBorders>
              <w:top w:val="single" w:sz="8" w:space="0" w:color="002D5D"/>
              <w:bottom w:val="single" w:sz="8" w:space="0" w:color="002D5D"/>
            </w:tcBorders>
          </w:tcPr>
          <w:p>
            <w:pPr>
              <w:pStyle w:val="TableParagraph"/>
              <w:ind w:left="78" w:right="118"/>
              <w:rPr>
                <w:sz w:val="17"/>
              </w:rPr>
            </w:pPr>
            <w:r>
              <w:rPr>
                <w:sz w:val="17"/>
              </w:rPr>
              <w:t>Adquisición</w:t>
            </w:r>
            <w:r>
              <w:rPr>
                <w:spacing w:val="-10"/>
                <w:sz w:val="17"/>
              </w:rPr>
              <w:t> </w:t>
            </w:r>
            <w:r>
              <w:rPr>
                <w:sz w:val="17"/>
              </w:rPr>
              <w:t>material</w:t>
            </w:r>
            <w:r>
              <w:rPr>
                <w:spacing w:val="40"/>
                <w:sz w:val="17"/>
              </w:rPr>
              <w:t> </w:t>
            </w:r>
            <w:r>
              <w:rPr>
                <w:sz w:val="17"/>
              </w:rPr>
              <w:t>móvil</w:t>
            </w:r>
            <w:r>
              <w:rPr>
                <w:spacing w:val="-2"/>
                <w:sz w:val="17"/>
              </w:rPr>
              <w:t> </w:t>
            </w:r>
            <w:r>
              <w:rPr>
                <w:sz w:val="17"/>
              </w:rPr>
              <w:t>e</w:t>
            </w:r>
            <w:r>
              <w:rPr>
                <w:spacing w:val="40"/>
                <w:sz w:val="17"/>
              </w:rPr>
              <w:t> </w:t>
            </w:r>
            <w:r>
              <w:rPr>
                <w:spacing w:val="-2"/>
                <w:sz w:val="17"/>
              </w:rPr>
              <w:t>infraestructuras</w:t>
            </w:r>
          </w:p>
          <w:p>
            <w:pPr>
              <w:pStyle w:val="TableParagraph"/>
              <w:spacing w:line="194" w:lineRule="exact"/>
              <w:ind w:left="78" w:right="575"/>
              <w:rPr>
                <w:sz w:val="17"/>
              </w:rPr>
            </w:pPr>
            <w:r>
              <w:rPr>
                <w:sz w:val="17"/>
              </w:rPr>
              <w:t>para</w:t>
            </w:r>
            <w:r>
              <w:rPr>
                <w:spacing w:val="-10"/>
                <w:sz w:val="17"/>
              </w:rPr>
              <w:t> </w:t>
            </w:r>
            <w:r>
              <w:rPr>
                <w:sz w:val="17"/>
              </w:rPr>
              <w:t>recarga</w:t>
            </w:r>
            <w:r>
              <w:rPr>
                <w:spacing w:val="40"/>
                <w:sz w:val="17"/>
              </w:rPr>
              <w:t> </w:t>
            </w:r>
            <w:r>
              <w:rPr>
                <w:spacing w:val="-2"/>
                <w:sz w:val="17"/>
              </w:rPr>
              <w:t>vehículos</w:t>
            </w:r>
          </w:p>
        </w:tc>
        <w:tc>
          <w:tcPr>
            <w:tcW w:w="1233" w:type="dxa"/>
            <w:tcBorders>
              <w:top w:val="single" w:sz="8" w:space="0" w:color="002D5D"/>
              <w:bottom w:val="single" w:sz="8" w:space="0" w:color="002D5D"/>
            </w:tcBorders>
          </w:tcPr>
          <w:p>
            <w:pPr>
              <w:pStyle w:val="TableParagraph"/>
              <w:spacing w:before="194"/>
              <w:rPr>
                <w:rFonts w:ascii="Arial"/>
                <w:b/>
                <w:sz w:val="17"/>
              </w:rPr>
            </w:pPr>
          </w:p>
          <w:p>
            <w:pPr>
              <w:pStyle w:val="TableParagraph"/>
              <w:ind w:right="207"/>
              <w:jc w:val="right"/>
              <w:rPr>
                <w:sz w:val="17"/>
              </w:rPr>
            </w:pPr>
            <w:r>
              <w:rPr>
                <w:spacing w:val="-2"/>
                <w:sz w:val="17"/>
              </w:rPr>
              <w:t>6.116.932,94</w:t>
            </w:r>
          </w:p>
        </w:tc>
        <w:tc>
          <w:tcPr>
            <w:tcW w:w="586" w:type="dxa"/>
            <w:tcBorders>
              <w:top w:val="single" w:sz="8" w:space="0" w:color="002D5D"/>
              <w:bottom w:val="single" w:sz="8" w:space="0" w:color="002D5D"/>
            </w:tcBorders>
          </w:tcPr>
          <w:p>
            <w:pPr>
              <w:pStyle w:val="TableParagraph"/>
              <w:spacing w:before="194"/>
              <w:rPr>
                <w:rFonts w:ascii="Arial"/>
                <w:b/>
                <w:sz w:val="17"/>
              </w:rPr>
            </w:pPr>
          </w:p>
          <w:p>
            <w:pPr>
              <w:pStyle w:val="TableParagraph"/>
              <w:ind w:right="213"/>
              <w:jc w:val="right"/>
              <w:rPr>
                <w:sz w:val="17"/>
              </w:rPr>
            </w:pPr>
            <w:r>
              <w:rPr>
                <w:spacing w:val="-2"/>
                <w:sz w:val="17"/>
              </w:rPr>
              <w:t>12,44</w:t>
            </w:r>
          </w:p>
        </w:tc>
        <w:tc>
          <w:tcPr>
            <w:tcW w:w="1301" w:type="dxa"/>
            <w:tcBorders>
              <w:top w:val="single" w:sz="8" w:space="0" w:color="002D5D"/>
              <w:bottom w:val="single" w:sz="8" w:space="0" w:color="002D5D"/>
            </w:tcBorders>
          </w:tcPr>
          <w:p>
            <w:pPr>
              <w:pStyle w:val="TableParagraph"/>
              <w:spacing w:before="194"/>
              <w:rPr>
                <w:rFonts w:ascii="Arial"/>
                <w:b/>
                <w:sz w:val="17"/>
              </w:rPr>
            </w:pPr>
          </w:p>
          <w:p>
            <w:pPr>
              <w:pStyle w:val="TableParagraph"/>
              <w:ind w:left="295"/>
              <w:rPr>
                <w:sz w:val="17"/>
              </w:rPr>
            </w:pPr>
            <w:r>
              <w:rPr>
                <w:spacing w:val="-2"/>
                <w:sz w:val="17"/>
              </w:rPr>
              <w:t>1.050.415,81</w:t>
            </w:r>
          </w:p>
        </w:tc>
        <w:tc>
          <w:tcPr>
            <w:tcW w:w="496" w:type="dxa"/>
            <w:tcBorders>
              <w:top w:val="single" w:sz="8" w:space="0" w:color="002D5D"/>
              <w:bottom w:val="single" w:sz="8" w:space="0" w:color="002D5D"/>
            </w:tcBorders>
          </w:tcPr>
          <w:p>
            <w:pPr>
              <w:pStyle w:val="TableParagraph"/>
              <w:spacing w:before="194"/>
              <w:rPr>
                <w:rFonts w:ascii="Arial"/>
                <w:b/>
                <w:sz w:val="17"/>
              </w:rPr>
            </w:pPr>
          </w:p>
          <w:p>
            <w:pPr>
              <w:pStyle w:val="TableParagraph"/>
              <w:ind w:left="-5"/>
              <w:rPr>
                <w:sz w:val="17"/>
              </w:rPr>
            </w:pPr>
            <w:r>
              <w:rPr>
                <w:spacing w:val="-2"/>
                <w:sz w:val="17"/>
              </w:rPr>
              <w:t>14,18</w:t>
            </w:r>
          </w:p>
        </w:tc>
        <w:tc>
          <w:tcPr>
            <w:tcW w:w="1189" w:type="dxa"/>
            <w:tcBorders>
              <w:top w:val="single" w:sz="8" w:space="0" w:color="002D5D"/>
              <w:bottom w:val="single" w:sz="8" w:space="0" w:color="002D5D"/>
            </w:tcBorders>
          </w:tcPr>
          <w:p>
            <w:pPr>
              <w:pStyle w:val="TableParagraph"/>
              <w:spacing w:before="194"/>
              <w:rPr>
                <w:rFonts w:ascii="Arial"/>
                <w:b/>
                <w:sz w:val="17"/>
              </w:rPr>
            </w:pPr>
          </w:p>
          <w:p>
            <w:pPr>
              <w:pStyle w:val="TableParagraph"/>
              <w:ind w:left="197"/>
              <w:rPr>
                <w:sz w:val="17"/>
              </w:rPr>
            </w:pPr>
            <w:r>
              <w:rPr>
                <w:spacing w:val="-2"/>
                <w:sz w:val="17"/>
              </w:rPr>
              <w:t>5.066.517,13</w:t>
            </w:r>
          </w:p>
        </w:tc>
        <w:tc>
          <w:tcPr>
            <w:tcW w:w="530" w:type="dxa"/>
            <w:tcBorders>
              <w:top w:val="single" w:sz="8" w:space="0" w:color="002D5D"/>
              <w:bottom w:val="single" w:sz="8" w:space="0" w:color="002D5D"/>
            </w:tcBorders>
          </w:tcPr>
          <w:p>
            <w:pPr>
              <w:pStyle w:val="TableParagraph"/>
              <w:spacing w:before="194"/>
              <w:rPr>
                <w:rFonts w:ascii="Arial"/>
                <w:b/>
                <w:sz w:val="17"/>
              </w:rPr>
            </w:pPr>
          </w:p>
          <w:p>
            <w:pPr>
              <w:pStyle w:val="TableParagraph"/>
              <w:ind w:left="1" w:right="123"/>
              <w:jc w:val="center"/>
              <w:rPr>
                <w:sz w:val="17"/>
              </w:rPr>
            </w:pPr>
            <w:r>
              <w:rPr>
                <w:spacing w:val="-2"/>
                <w:sz w:val="17"/>
              </w:rPr>
              <w:t>82,83</w:t>
            </w:r>
          </w:p>
        </w:tc>
        <w:tc>
          <w:tcPr>
            <w:tcW w:w="892" w:type="dxa"/>
            <w:tcBorders>
              <w:top w:val="single" w:sz="8" w:space="0" w:color="002D5D"/>
              <w:bottom w:val="single" w:sz="8" w:space="0" w:color="002D5D"/>
            </w:tcBorders>
          </w:tcPr>
          <w:p>
            <w:pPr>
              <w:pStyle w:val="TableParagraph"/>
              <w:spacing w:before="194"/>
              <w:rPr>
                <w:rFonts w:ascii="Arial"/>
                <w:b/>
                <w:sz w:val="17"/>
              </w:rPr>
            </w:pPr>
          </w:p>
          <w:p>
            <w:pPr>
              <w:pStyle w:val="TableParagraph"/>
              <w:ind w:right="105"/>
              <w:jc w:val="right"/>
              <w:rPr>
                <w:sz w:val="17"/>
              </w:rPr>
            </w:pPr>
            <w:r>
              <w:rPr>
                <w:spacing w:val="-4"/>
                <w:sz w:val="17"/>
              </w:rPr>
              <w:t>0,00</w:t>
            </w:r>
          </w:p>
        </w:tc>
        <w:tc>
          <w:tcPr>
            <w:tcW w:w="552" w:type="dxa"/>
            <w:tcBorders>
              <w:top w:val="single" w:sz="8" w:space="0" w:color="002D5D"/>
              <w:bottom w:val="single" w:sz="8" w:space="0" w:color="002D5D"/>
            </w:tcBorders>
          </w:tcPr>
          <w:p>
            <w:pPr>
              <w:pStyle w:val="TableParagraph"/>
              <w:spacing w:before="194"/>
              <w:rPr>
                <w:rFonts w:ascii="Arial"/>
                <w:b/>
                <w:sz w:val="17"/>
              </w:rPr>
            </w:pPr>
          </w:p>
          <w:p>
            <w:pPr>
              <w:pStyle w:val="TableParagraph"/>
              <w:ind w:right="71"/>
              <w:jc w:val="right"/>
              <w:rPr>
                <w:sz w:val="17"/>
              </w:rPr>
            </w:pPr>
            <w:r>
              <w:rPr>
                <w:spacing w:val="-4"/>
                <w:sz w:val="17"/>
              </w:rPr>
              <w:t>0,00</w:t>
            </w:r>
          </w:p>
        </w:tc>
        <w:tc>
          <w:tcPr>
            <w:tcW w:w="995" w:type="dxa"/>
            <w:tcBorders>
              <w:top w:val="single" w:sz="8" w:space="0" w:color="002D5D"/>
              <w:bottom w:val="single" w:sz="8" w:space="0" w:color="002D5D"/>
            </w:tcBorders>
          </w:tcPr>
          <w:p>
            <w:pPr>
              <w:pStyle w:val="TableParagraph"/>
              <w:spacing w:before="194"/>
              <w:rPr>
                <w:rFonts w:ascii="Arial"/>
                <w:b/>
                <w:sz w:val="17"/>
              </w:rPr>
            </w:pPr>
          </w:p>
          <w:p>
            <w:pPr>
              <w:pStyle w:val="TableParagraph"/>
              <w:ind w:left="67"/>
              <w:rPr>
                <w:sz w:val="17"/>
              </w:rPr>
            </w:pPr>
            <w:r>
              <w:rPr>
                <w:sz w:val="17"/>
              </w:rPr>
              <w:t>En</w:t>
            </w:r>
            <w:r>
              <w:rPr>
                <w:spacing w:val="-1"/>
                <w:sz w:val="17"/>
              </w:rPr>
              <w:t> </w:t>
            </w:r>
            <w:r>
              <w:rPr>
                <w:spacing w:val="-2"/>
                <w:sz w:val="17"/>
              </w:rPr>
              <w:t>ejecución</w:t>
            </w:r>
          </w:p>
        </w:tc>
      </w:tr>
      <w:tr>
        <w:trPr>
          <w:trHeight w:val="779" w:hRule="atLeast"/>
        </w:trPr>
        <w:tc>
          <w:tcPr>
            <w:tcW w:w="1835" w:type="dxa"/>
            <w:tcBorders>
              <w:top w:val="single" w:sz="8" w:space="0" w:color="002D5D"/>
              <w:bottom w:val="single" w:sz="8" w:space="0" w:color="002D5D"/>
            </w:tcBorders>
          </w:tcPr>
          <w:p>
            <w:pPr>
              <w:pStyle w:val="TableParagraph"/>
              <w:ind w:left="69"/>
              <w:rPr>
                <w:sz w:val="17"/>
              </w:rPr>
            </w:pPr>
            <w:r>
              <w:rPr>
                <w:sz w:val="17"/>
              </w:rPr>
              <w:t>Construcción</w:t>
            </w:r>
            <w:r>
              <w:rPr>
                <w:spacing w:val="-10"/>
                <w:sz w:val="17"/>
              </w:rPr>
              <w:t> </w:t>
            </w:r>
            <w:r>
              <w:rPr>
                <w:sz w:val="17"/>
              </w:rPr>
              <w:t>y</w:t>
            </w:r>
            <w:r>
              <w:rPr>
                <w:spacing w:val="-10"/>
                <w:sz w:val="17"/>
              </w:rPr>
              <w:t> </w:t>
            </w:r>
            <w:r>
              <w:rPr>
                <w:sz w:val="17"/>
              </w:rPr>
              <w:t>puesta</w:t>
            </w:r>
            <w:r>
              <w:rPr>
                <w:spacing w:val="-10"/>
                <w:sz w:val="17"/>
              </w:rPr>
              <w:t> </w:t>
            </w:r>
            <w:r>
              <w:rPr>
                <w:sz w:val="17"/>
              </w:rPr>
              <w:t>en</w:t>
            </w:r>
            <w:r>
              <w:rPr>
                <w:spacing w:val="40"/>
                <w:sz w:val="17"/>
              </w:rPr>
              <w:t> </w:t>
            </w:r>
            <w:r>
              <w:rPr>
                <w:sz w:val="17"/>
              </w:rPr>
              <w:t>servicio de carril bus</w:t>
            </w:r>
            <w:r>
              <w:rPr>
                <w:spacing w:val="40"/>
                <w:sz w:val="17"/>
              </w:rPr>
              <w:t> </w:t>
            </w:r>
            <w:r>
              <w:rPr>
                <w:sz w:val="17"/>
              </w:rPr>
              <w:t>exclusivo para conexión</w:t>
            </w:r>
          </w:p>
          <w:p>
            <w:pPr>
              <w:pStyle w:val="TableParagraph"/>
              <w:spacing w:line="175" w:lineRule="exact"/>
              <w:ind w:left="69"/>
              <w:rPr>
                <w:sz w:val="17"/>
              </w:rPr>
            </w:pPr>
            <w:r>
              <w:rPr>
                <w:sz w:val="17"/>
              </w:rPr>
              <w:t>campus</w:t>
            </w:r>
            <w:r>
              <w:rPr>
                <w:spacing w:val="-6"/>
                <w:sz w:val="17"/>
              </w:rPr>
              <w:t> </w:t>
            </w:r>
            <w:r>
              <w:rPr>
                <w:spacing w:val="-2"/>
                <w:sz w:val="17"/>
              </w:rPr>
              <w:t>universitario</w:t>
            </w:r>
          </w:p>
        </w:tc>
        <w:tc>
          <w:tcPr>
            <w:tcW w:w="1454" w:type="dxa"/>
            <w:tcBorders>
              <w:top w:val="single" w:sz="8" w:space="0" w:color="002D5D"/>
              <w:bottom w:val="single" w:sz="8" w:space="0" w:color="002D5D"/>
            </w:tcBorders>
          </w:tcPr>
          <w:p>
            <w:pPr>
              <w:pStyle w:val="TableParagraph"/>
              <w:spacing w:before="193"/>
              <w:ind w:left="78" w:right="118"/>
              <w:rPr>
                <w:sz w:val="17"/>
              </w:rPr>
            </w:pPr>
            <w:r>
              <w:rPr>
                <w:sz w:val="17"/>
              </w:rPr>
              <w:t>Obras</w:t>
            </w:r>
            <w:r>
              <w:rPr>
                <w:spacing w:val="-10"/>
                <w:sz w:val="17"/>
              </w:rPr>
              <w:t> </w:t>
            </w:r>
            <w:r>
              <w:rPr>
                <w:sz w:val="17"/>
              </w:rPr>
              <w:t>y</w:t>
            </w:r>
            <w:r>
              <w:rPr>
                <w:spacing w:val="-10"/>
                <w:sz w:val="17"/>
              </w:rPr>
              <w:t> </w:t>
            </w:r>
            <w:r>
              <w:rPr>
                <w:sz w:val="17"/>
              </w:rPr>
              <w:t>estructuras</w:t>
            </w:r>
            <w:r>
              <w:rPr>
                <w:spacing w:val="40"/>
                <w:sz w:val="17"/>
              </w:rPr>
              <w:t> </w:t>
            </w:r>
            <w:r>
              <w:rPr>
                <w:sz w:val="17"/>
              </w:rPr>
              <w:t>en vía pública</w:t>
            </w:r>
          </w:p>
        </w:tc>
        <w:tc>
          <w:tcPr>
            <w:tcW w:w="1233" w:type="dxa"/>
            <w:tcBorders>
              <w:top w:val="single" w:sz="8" w:space="0" w:color="002D5D"/>
              <w:bottom w:val="single" w:sz="8" w:space="0" w:color="002D5D"/>
            </w:tcBorders>
          </w:tcPr>
          <w:p>
            <w:pPr>
              <w:pStyle w:val="TableParagraph"/>
              <w:spacing w:before="96"/>
              <w:rPr>
                <w:rFonts w:ascii="Arial"/>
                <w:b/>
                <w:sz w:val="17"/>
              </w:rPr>
            </w:pPr>
          </w:p>
          <w:p>
            <w:pPr>
              <w:pStyle w:val="TableParagraph"/>
              <w:ind w:right="207"/>
              <w:jc w:val="right"/>
              <w:rPr>
                <w:sz w:val="17"/>
              </w:rPr>
            </w:pPr>
            <w:r>
              <w:rPr>
                <w:spacing w:val="-2"/>
                <w:sz w:val="17"/>
              </w:rPr>
              <w:t>713.939,83</w:t>
            </w:r>
          </w:p>
        </w:tc>
        <w:tc>
          <w:tcPr>
            <w:tcW w:w="586" w:type="dxa"/>
            <w:tcBorders>
              <w:top w:val="single" w:sz="8" w:space="0" w:color="002D5D"/>
              <w:bottom w:val="single" w:sz="8" w:space="0" w:color="002D5D"/>
            </w:tcBorders>
          </w:tcPr>
          <w:p>
            <w:pPr>
              <w:pStyle w:val="TableParagraph"/>
              <w:spacing w:before="96"/>
              <w:rPr>
                <w:rFonts w:ascii="Arial"/>
                <w:b/>
                <w:sz w:val="17"/>
              </w:rPr>
            </w:pPr>
          </w:p>
          <w:p>
            <w:pPr>
              <w:pStyle w:val="TableParagraph"/>
              <w:ind w:right="212"/>
              <w:jc w:val="right"/>
              <w:rPr>
                <w:sz w:val="17"/>
              </w:rPr>
            </w:pPr>
            <w:r>
              <w:rPr>
                <w:spacing w:val="-4"/>
                <w:sz w:val="17"/>
              </w:rPr>
              <w:t>1,45</w:t>
            </w:r>
          </w:p>
        </w:tc>
        <w:tc>
          <w:tcPr>
            <w:tcW w:w="1301" w:type="dxa"/>
            <w:tcBorders>
              <w:top w:val="single" w:sz="8" w:space="0" w:color="002D5D"/>
              <w:bottom w:val="single" w:sz="8" w:space="0" w:color="002D5D"/>
            </w:tcBorders>
          </w:tcPr>
          <w:p>
            <w:pPr>
              <w:pStyle w:val="TableParagraph"/>
              <w:spacing w:before="96"/>
              <w:rPr>
                <w:rFonts w:ascii="Arial"/>
                <w:b/>
                <w:sz w:val="17"/>
              </w:rPr>
            </w:pPr>
          </w:p>
          <w:p>
            <w:pPr>
              <w:pStyle w:val="TableParagraph"/>
              <w:ind w:left="490"/>
              <w:rPr>
                <w:sz w:val="17"/>
              </w:rPr>
            </w:pPr>
            <w:r>
              <w:rPr>
                <w:spacing w:val="-2"/>
                <w:sz w:val="17"/>
              </w:rPr>
              <w:t>92.812,76</w:t>
            </w:r>
          </w:p>
        </w:tc>
        <w:tc>
          <w:tcPr>
            <w:tcW w:w="496" w:type="dxa"/>
            <w:tcBorders>
              <w:top w:val="single" w:sz="8" w:space="0" w:color="002D5D"/>
              <w:bottom w:val="single" w:sz="8" w:space="0" w:color="002D5D"/>
            </w:tcBorders>
          </w:tcPr>
          <w:p>
            <w:pPr>
              <w:pStyle w:val="TableParagraph"/>
              <w:spacing w:before="96"/>
              <w:rPr>
                <w:rFonts w:ascii="Arial"/>
                <w:b/>
                <w:sz w:val="17"/>
              </w:rPr>
            </w:pPr>
          </w:p>
          <w:p>
            <w:pPr>
              <w:pStyle w:val="TableParagraph"/>
              <w:ind w:left="-5"/>
              <w:rPr>
                <w:sz w:val="17"/>
              </w:rPr>
            </w:pPr>
            <w:r>
              <w:rPr>
                <w:spacing w:val="-2"/>
                <w:sz w:val="17"/>
              </w:rPr>
              <w:t>13,00</w:t>
            </w:r>
          </w:p>
        </w:tc>
        <w:tc>
          <w:tcPr>
            <w:tcW w:w="1189" w:type="dxa"/>
            <w:tcBorders>
              <w:top w:val="single" w:sz="8" w:space="0" w:color="002D5D"/>
              <w:bottom w:val="single" w:sz="8" w:space="0" w:color="002D5D"/>
            </w:tcBorders>
          </w:tcPr>
          <w:p>
            <w:pPr>
              <w:pStyle w:val="TableParagraph"/>
              <w:spacing w:before="96"/>
              <w:rPr>
                <w:rFonts w:ascii="Arial"/>
                <w:b/>
                <w:sz w:val="17"/>
              </w:rPr>
            </w:pPr>
          </w:p>
          <w:p>
            <w:pPr>
              <w:pStyle w:val="TableParagraph"/>
              <w:ind w:left="313"/>
              <w:rPr>
                <w:sz w:val="17"/>
              </w:rPr>
            </w:pPr>
            <w:r>
              <w:rPr>
                <w:spacing w:val="-2"/>
                <w:sz w:val="17"/>
              </w:rPr>
              <w:t>621.127,07</w:t>
            </w:r>
          </w:p>
        </w:tc>
        <w:tc>
          <w:tcPr>
            <w:tcW w:w="530" w:type="dxa"/>
            <w:tcBorders>
              <w:top w:val="single" w:sz="8" w:space="0" w:color="002D5D"/>
              <w:bottom w:val="single" w:sz="8" w:space="0" w:color="002D5D"/>
            </w:tcBorders>
          </w:tcPr>
          <w:p>
            <w:pPr>
              <w:pStyle w:val="TableParagraph"/>
              <w:spacing w:before="96"/>
              <w:rPr>
                <w:rFonts w:ascii="Arial"/>
                <w:b/>
                <w:sz w:val="17"/>
              </w:rPr>
            </w:pPr>
          </w:p>
          <w:p>
            <w:pPr>
              <w:pStyle w:val="TableParagraph"/>
              <w:ind w:left="1" w:right="123"/>
              <w:jc w:val="center"/>
              <w:rPr>
                <w:sz w:val="17"/>
              </w:rPr>
            </w:pPr>
            <w:r>
              <w:rPr>
                <w:spacing w:val="-2"/>
                <w:sz w:val="17"/>
              </w:rPr>
              <w:t>87,00</w:t>
            </w:r>
          </w:p>
        </w:tc>
        <w:tc>
          <w:tcPr>
            <w:tcW w:w="892" w:type="dxa"/>
            <w:tcBorders>
              <w:top w:val="single" w:sz="8" w:space="0" w:color="002D5D"/>
              <w:bottom w:val="single" w:sz="8" w:space="0" w:color="002D5D"/>
            </w:tcBorders>
          </w:tcPr>
          <w:p>
            <w:pPr>
              <w:pStyle w:val="TableParagraph"/>
              <w:spacing w:before="96"/>
              <w:rPr>
                <w:rFonts w:ascii="Arial"/>
                <w:b/>
                <w:sz w:val="17"/>
              </w:rPr>
            </w:pPr>
          </w:p>
          <w:p>
            <w:pPr>
              <w:pStyle w:val="TableParagraph"/>
              <w:ind w:right="105"/>
              <w:jc w:val="right"/>
              <w:rPr>
                <w:sz w:val="17"/>
              </w:rPr>
            </w:pPr>
            <w:r>
              <w:rPr>
                <w:spacing w:val="-4"/>
                <w:sz w:val="17"/>
              </w:rPr>
              <w:t>0,00</w:t>
            </w:r>
          </w:p>
        </w:tc>
        <w:tc>
          <w:tcPr>
            <w:tcW w:w="552" w:type="dxa"/>
            <w:tcBorders>
              <w:top w:val="single" w:sz="8" w:space="0" w:color="002D5D"/>
              <w:bottom w:val="single" w:sz="8" w:space="0" w:color="002D5D"/>
            </w:tcBorders>
          </w:tcPr>
          <w:p>
            <w:pPr>
              <w:pStyle w:val="TableParagraph"/>
              <w:spacing w:before="96"/>
              <w:rPr>
                <w:rFonts w:ascii="Arial"/>
                <w:b/>
                <w:sz w:val="17"/>
              </w:rPr>
            </w:pPr>
          </w:p>
          <w:p>
            <w:pPr>
              <w:pStyle w:val="TableParagraph"/>
              <w:ind w:right="71"/>
              <w:jc w:val="right"/>
              <w:rPr>
                <w:sz w:val="17"/>
              </w:rPr>
            </w:pPr>
            <w:r>
              <w:rPr>
                <w:spacing w:val="-4"/>
                <w:sz w:val="17"/>
              </w:rPr>
              <w:t>0,00</w:t>
            </w:r>
          </w:p>
        </w:tc>
        <w:tc>
          <w:tcPr>
            <w:tcW w:w="995" w:type="dxa"/>
            <w:tcBorders>
              <w:top w:val="single" w:sz="8" w:space="0" w:color="002D5D"/>
              <w:bottom w:val="single" w:sz="8" w:space="0" w:color="002D5D"/>
            </w:tcBorders>
          </w:tcPr>
          <w:p>
            <w:pPr>
              <w:pStyle w:val="TableParagraph"/>
              <w:spacing w:before="96"/>
              <w:rPr>
                <w:rFonts w:ascii="Arial"/>
                <w:b/>
                <w:sz w:val="17"/>
              </w:rPr>
            </w:pPr>
          </w:p>
          <w:p>
            <w:pPr>
              <w:pStyle w:val="TableParagraph"/>
              <w:ind w:left="67"/>
              <w:rPr>
                <w:sz w:val="17"/>
              </w:rPr>
            </w:pPr>
            <w:r>
              <w:rPr>
                <w:sz w:val="17"/>
              </w:rPr>
              <w:t>En</w:t>
            </w:r>
            <w:r>
              <w:rPr>
                <w:spacing w:val="-1"/>
                <w:sz w:val="17"/>
              </w:rPr>
              <w:t> </w:t>
            </w:r>
            <w:r>
              <w:rPr>
                <w:spacing w:val="-2"/>
                <w:sz w:val="17"/>
              </w:rPr>
              <w:t>ejecución</w:t>
            </w:r>
          </w:p>
        </w:tc>
      </w:tr>
      <w:tr>
        <w:trPr>
          <w:trHeight w:val="784" w:hRule="atLeast"/>
        </w:trPr>
        <w:tc>
          <w:tcPr>
            <w:tcW w:w="1835" w:type="dxa"/>
            <w:tcBorders>
              <w:top w:val="single" w:sz="8" w:space="0" w:color="002D5D"/>
              <w:bottom w:val="single" w:sz="8" w:space="0" w:color="002D5D"/>
            </w:tcBorders>
          </w:tcPr>
          <w:p>
            <w:pPr>
              <w:pStyle w:val="TableParagraph"/>
              <w:ind w:left="69" w:right="214"/>
              <w:jc w:val="both"/>
              <w:rPr>
                <w:sz w:val="17"/>
              </w:rPr>
            </w:pPr>
            <w:r>
              <w:rPr>
                <w:sz w:val="17"/>
              </w:rPr>
              <w:t>Priorización</w:t>
            </w:r>
            <w:r>
              <w:rPr>
                <w:spacing w:val="-10"/>
                <w:sz w:val="17"/>
              </w:rPr>
              <w:t> </w:t>
            </w:r>
            <w:r>
              <w:rPr>
                <w:sz w:val="17"/>
              </w:rPr>
              <w:t>en</w:t>
            </w:r>
            <w:r>
              <w:rPr>
                <w:spacing w:val="-9"/>
                <w:sz w:val="17"/>
              </w:rPr>
              <w:t> </w:t>
            </w:r>
            <w:r>
              <w:rPr>
                <w:sz w:val="17"/>
              </w:rPr>
              <w:t>el</w:t>
            </w:r>
            <w:r>
              <w:rPr>
                <w:spacing w:val="-10"/>
                <w:sz w:val="17"/>
              </w:rPr>
              <w:t> </w:t>
            </w:r>
            <w:r>
              <w:rPr>
                <w:sz w:val="17"/>
              </w:rPr>
              <w:t>viario</w:t>
            </w:r>
            <w:r>
              <w:rPr>
                <w:spacing w:val="-10"/>
                <w:sz w:val="17"/>
              </w:rPr>
              <w:t> </w:t>
            </w:r>
            <w:r>
              <w:rPr>
                <w:sz w:val="17"/>
              </w:rPr>
              <w:t>y</w:t>
            </w:r>
            <w:r>
              <w:rPr>
                <w:spacing w:val="40"/>
                <w:sz w:val="17"/>
              </w:rPr>
              <w:t> </w:t>
            </w:r>
            <w:r>
              <w:rPr>
                <w:sz w:val="17"/>
              </w:rPr>
              <w:t>construcción</w:t>
            </w:r>
            <w:r>
              <w:rPr>
                <w:spacing w:val="-4"/>
                <w:sz w:val="17"/>
              </w:rPr>
              <w:t> </w:t>
            </w:r>
            <w:r>
              <w:rPr>
                <w:sz w:val="17"/>
              </w:rPr>
              <w:t>de</w:t>
            </w:r>
            <w:r>
              <w:rPr>
                <w:spacing w:val="-5"/>
                <w:sz w:val="17"/>
              </w:rPr>
              <w:t> </w:t>
            </w:r>
            <w:r>
              <w:rPr>
                <w:sz w:val="17"/>
              </w:rPr>
              <w:t>paradas</w:t>
            </w:r>
            <w:r>
              <w:rPr>
                <w:spacing w:val="40"/>
                <w:sz w:val="17"/>
              </w:rPr>
              <w:t> </w:t>
            </w:r>
            <w:r>
              <w:rPr>
                <w:sz w:val="17"/>
              </w:rPr>
              <w:t>accesibles en la Zona</w:t>
            </w:r>
          </w:p>
          <w:p>
            <w:pPr>
              <w:pStyle w:val="TableParagraph"/>
              <w:spacing w:line="180" w:lineRule="exact"/>
              <w:ind w:left="69"/>
              <w:jc w:val="both"/>
              <w:rPr>
                <w:sz w:val="17"/>
              </w:rPr>
            </w:pPr>
            <w:r>
              <w:rPr>
                <w:sz w:val="17"/>
              </w:rPr>
              <w:t>Este</w:t>
            </w:r>
            <w:r>
              <w:rPr>
                <w:rFonts w:ascii="Cambria Math"/>
                <w:sz w:val="17"/>
              </w:rPr>
              <w:t>-</w:t>
            </w:r>
            <w:r>
              <w:rPr>
                <w:sz w:val="17"/>
              </w:rPr>
              <w:t>Norte</w:t>
            </w:r>
            <w:r>
              <w:rPr>
                <w:spacing w:val="-4"/>
                <w:sz w:val="17"/>
              </w:rPr>
              <w:t> </w:t>
            </w:r>
            <w:r>
              <w:rPr>
                <w:sz w:val="17"/>
              </w:rPr>
              <w:t>y</w:t>
            </w:r>
            <w:r>
              <w:rPr>
                <w:spacing w:val="-3"/>
                <w:sz w:val="17"/>
              </w:rPr>
              <w:t> </w:t>
            </w:r>
            <w:r>
              <w:rPr>
                <w:spacing w:val="-2"/>
                <w:sz w:val="17"/>
              </w:rPr>
              <w:t>Teatinos.</w:t>
            </w:r>
          </w:p>
        </w:tc>
        <w:tc>
          <w:tcPr>
            <w:tcW w:w="1454" w:type="dxa"/>
            <w:tcBorders>
              <w:top w:val="single" w:sz="8" w:space="0" w:color="002D5D"/>
              <w:bottom w:val="single" w:sz="8" w:space="0" w:color="002D5D"/>
            </w:tcBorders>
          </w:tcPr>
          <w:p>
            <w:pPr>
              <w:pStyle w:val="TableParagraph"/>
              <w:spacing w:before="2"/>
              <w:rPr>
                <w:rFonts w:ascii="Arial"/>
                <w:b/>
                <w:sz w:val="17"/>
              </w:rPr>
            </w:pPr>
          </w:p>
          <w:p>
            <w:pPr>
              <w:pStyle w:val="TableParagraph"/>
              <w:ind w:left="78" w:right="118"/>
              <w:rPr>
                <w:sz w:val="17"/>
              </w:rPr>
            </w:pPr>
            <w:r>
              <w:rPr>
                <w:sz w:val="17"/>
              </w:rPr>
              <w:t>Obras</w:t>
            </w:r>
            <w:r>
              <w:rPr>
                <w:spacing w:val="-10"/>
                <w:sz w:val="17"/>
              </w:rPr>
              <w:t> </w:t>
            </w:r>
            <w:r>
              <w:rPr>
                <w:sz w:val="17"/>
              </w:rPr>
              <w:t>y</w:t>
            </w:r>
            <w:r>
              <w:rPr>
                <w:spacing w:val="-10"/>
                <w:sz w:val="17"/>
              </w:rPr>
              <w:t> </w:t>
            </w:r>
            <w:r>
              <w:rPr>
                <w:sz w:val="17"/>
              </w:rPr>
              <w:t>estructuras</w:t>
            </w:r>
            <w:r>
              <w:rPr>
                <w:spacing w:val="40"/>
                <w:sz w:val="17"/>
              </w:rPr>
              <w:t> </w:t>
            </w:r>
            <w:r>
              <w:rPr>
                <w:sz w:val="17"/>
              </w:rPr>
              <w:t>en vía pública</w:t>
            </w:r>
          </w:p>
        </w:tc>
        <w:tc>
          <w:tcPr>
            <w:tcW w:w="1233" w:type="dxa"/>
            <w:tcBorders>
              <w:top w:val="single" w:sz="8" w:space="0" w:color="002D5D"/>
              <w:bottom w:val="single" w:sz="8" w:space="0" w:color="002D5D"/>
            </w:tcBorders>
          </w:tcPr>
          <w:p>
            <w:pPr>
              <w:pStyle w:val="TableParagraph"/>
              <w:spacing w:before="98"/>
              <w:rPr>
                <w:rFonts w:ascii="Arial"/>
                <w:b/>
                <w:sz w:val="17"/>
              </w:rPr>
            </w:pPr>
          </w:p>
          <w:p>
            <w:pPr>
              <w:pStyle w:val="TableParagraph"/>
              <w:ind w:right="207"/>
              <w:jc w:val="right"/>
              <w:rPr>
                <w:sz w:val="17"/>
              </w:rPr>
            </w:pPr>
            <w:r>
              <w:rPr>
                <w:spacing w:val="-2"/>
                <w:sz w:val="17"/>
              </w:rPr>
              <w:t>584.224,83</w:t>
            </w:r>
          </w:p>
        </w:tc>
        <w:tc>
          <w:tcPr>
            <w:tcW w:w="586" w:type="dxa"/>
            <w:tcBorders>
              <w:top w:val="single" w:sz="8" w:space="0" w:color="002D5D"/>
              <w:bottom w:val="single" w:sz="8" w:space="0" w:color="002D5D"/>
            </w:tcBorders>
          </w:tcPr>
          <w:p>
            <w:pPr>
              <w:pStyle w:val="TableParagraph"/>
              <w:spacing w:before="98"/>
              <w:rPr>
                <w:rFonts w:ascii="Arial"/>
                <w:b/>
                <w:sz w:val="17"/>
              </w:rPr>
            </w:pPr>
          </w:p>
          <w:p>
            <w:pPr>
              <w:pStyle w:val="TableParagraph"/>
              <w:ind w:right="213"/>
              <w:jc w:val="right"/>
              <w:rPr>
                <w:sz w:val="17"/>
              </w:rPr>
            </w:pPr>
            <w:r>
              <w:rPr>
                <w:spacing w:val="-4"/>
                <w:sz w:val="17"/>
              </w:rPr>
              <w:t>1,19</w:t>
            </w:r>
          </w:p>
        </w:tc>
        <w:tc>
          <w:tcPr>
            <w:tcW w:w="1301" w:type="dxa"/>
            <w:tcBorders>
              <w:top w:val="single" w:sz="8" w:space="0" w:color="002D5D"/>
              <w:bottom w:val="single" w:sz="8" w:space="0" w:color="002D5D"/>
            </w:tcBorders>
          </w:tcPr>
          <w:p>
            <w:pPr>
              <w:pStyle w:val="TableParagraph"/>
              <w:spacing w:before="98"/>
              <w:rPr>
                <w:rFonts w:ascii="Arial"/>
                <w:b/>
                <w:sz w:val="17"/>
              </w:rPr>
            </w:pPr>
          </w:p>
          <w:p>
            <w:pPr>
              <w:pStyle w:val="TableParagraph"/>
              <w:ind w:left="490"/>
              <w:rPr>
                <w:sz w:val="17"/>
              </w:rPr>
            </w:pPr>
            <w:r>
              <w:rPr>
                <w:spacing w:val="-2"/>
                <w:sz w:val="17"/>
              </w:rPr>
              <w:t>58.422,48</w:t>
            </w:r>
          </w:p>
        </w:tc>
        <w:tc>
          <w:tcPr>
            <w:tcW w:w="496" w:type="dxa"/>
            <w:tcBorders>
              <w:top w:val="single" w:sz="8" w:space="0" w:color="002D5D"/>
              <w:bottom w:val="single" w:sz="8" w:space="0" w:color="002D5D"/>
            </w:tcBorders>
          </w:tcPr>
          <w:p>
            <w:pPr>
              <w:pStyle w:val="TableParagraph"/>
              <w:spacing w:before="98"/>
              <w:rPr>
                <w:rFonts w:ascii="Arial"/>
                <w:b/>
                <w:sz w:val="17"/>
              </w:rPr>
            </w:pPr>
          </w:p>
          <w:p>
            <w:pPr>
              <w:pStyle w:val="TableParagraph"/>
              <w:ind w:left="-5"/>
              <w:rPr>
                <w:sz w:val="17"/>
              </w:rPr>
            </w:pPr>
            <w:r>
              <w:rPr>
                <w:spacing w:val="-2"/>
                <w:sz w:val="17"/>
              </w:rPr>
              <w:t>10,00</w:t>
            </w:r>
          </w:p>
        </w:tc>
        <w:tc>
          <w:tcPr>
            <w:tcW w:w="1189" w:type="dxa"/>
            <w:tcBorders>
              <w:top w:val="single" w:sz="8" w:space="0" w:color="002D5D"/>
              <w:bottom w:val="single" w:sz="8" w:space="0" w:color="002D5D"/>
            </w:tcBorders>
          </w:tcPr>
          <w:p>
            <w:pPr>
              <w:pStyle w:val="TableParagraph"/>
              <w:spacing w:before="98"/>
              <w:rPr>
                <w:rFonts w:ascii="Arial"/>
                <w:b/>
                <w:sz w:val="17"/>
              </w:rPr>
            </w:pPr>
          </w:p>
          <w:p>
            <w:pPr>
              <w:pStyle w:val="TableParagraph"/>
              <w:ind w:left="313"/>
              <w:rPr>
                <w:sz w:val="17"/>
              </w:rPr>
            </w:pPr>
            <w:r>
              <w:rPr>
                <w:spacing w:val="-2"/>
                <w:sz w:val="17"/>
              </w:rPr>
              <w:t>525.802,35</w:t>
            </w:r>
          </w:p>
        </w:tc>
        <w:tc>
          <w:tcPr>
            <w:tcW w:w="530" w:type="dxa"/>
            <w:tcBorders>
              <w:top w:val="single" w:sz="8" w:space="0" w:color="002D5D"/>
              <w:bottom w:val="single" w:sz="8" w:space="0" w:color="002D5D"/>
            </w:tcBorders>
          </w:tcPr>
          <w:p>
            <w:pPr>
              <w:pStyle w:val="TableParagraph"/>
              <w:spacing w:before="98"/>
              <w:rPr>
                <w:rFonts w:ascii="Arial"/>
                <w:b/>
                <w:sz w:val="17"/>
              </w:rPr>
            </w:pPr>
          </w:p>
          <w:p>
            <w:pPr>
              <w:pStyle w:val="TableParagraph"/>
              <w:ind w:left="1" w:right="123"/>
              <w:jc w:val="center"/>
              <w:rPr>
                <w:sz w:val="17"/>
              </w:rPr>
            </w:pPr>
            <w:r>
              <w:rPr>
                <w:spacing w:val="-2"/>
                <w:sz w:val="17"/>
              </w:rPr>
              <w:t>90,00</w:t>
            </w:r>
          </w:p>
        </w:tc>
        <w:tc>
          <w:tcPr>
            <w:tcW w:w="892" w:type="dxa"/>
            <w:tcBorders>
              <w:top w:val="single" w:sz="8" w:space="0" w:color="002D5D"/>
              <w:bottom w:val="single" w:sz="8" w:space="0" w:color="002D5D"/>
            </w:tcBorders>
          </w:tcPr>
          <w:p>
            <w:pPr>
              <w:pStyle w:val="TableParagraph"/>
              <w:spacing w:before="98"/>
              <w:rPr>
                <w:rFonts w:ascii="Arial"/>
                <w:b/>
                <w:sz w:val="17"/>
              </w:rPr>
            </w:pPr>
          </w:p>
          <w:p>
            <w:pPr>
              <w:pStyle w:val="TableParagraph"/>
              <w:ind w:right="105"/>
              <w:jc w:val="right"/>
              <w:rPr>
                <w:sz w:val="17"/>
              </w:rPr>
            </w:pPr>
            <w:r>
              <w:rPr>
                <w:spacing w:val="-4"/>
                <w:sz w:val="17"/>
              </w:rPr>
              <w:t>0,00</w:t>
            </w:r>
          </w:p>
        </w:tc>
        <w:tc>
          <w:tcPr>
            <w:tcW w:w="552" w:type="dxa"/>
            <w:tcBorders>
              <w:top w:val="single" w:sz="8" w:space="0" w:color="002D5D"/>
              <w:bottom w:val="single" w:sz="8" w:space="0" w:color="002D5D"/>
            </w:tcBorders>
          </w:tcPr>
          <w:p>
            <w:pPr>
              <w:pStyle w:val="TableParagraph"/>
              <w:spacing w:before="98"/>
              <w:rPr>
                <w:rFonts w:ascii="Arial"/>
                <w:b/>
                <w:sz w:val="17"/>
              </w:rPr>
            </w:pPr>
          </w:p>
          <w:p>
            <w:pPr>
              <w:pStyle w:val="TableParagraph"/>
              <w:ind w:right="71"/>
              <w:jc w:val="right"/>
              <w:rPr>
                <w:sz w:val="17"/>
              </w:rPr>
            </w:pPr>
            <w:r>
              <w:rPr>
                <w:spacing w:val="-4"/>
                <w:sz w:val="17"/>
              </w:rPr>
              <w:t>0,00</w:t>
            </w:r>
          </w:p>
        </w:tc>
        <w:tc>
          <w:tcPr>
            <w:tcW w:w="995" w:type="dxa"/>
            <w:tcBorders>
              <w:top w:val="single" w:sz="8" w:space="0" w:color="002D5D"/>
              <w:bottom w:val="single" w:sz="8" w:space="0" w:color="002D5D"/>
            </w:tcBorders>
          </w:tcPr>
          <w:p>
            <w:pPr>
              <w:pStyle w:val="TableParagraph"/>
              <w:spacing w:before="98"/>
              <w:rPr>
                <w:rFonts w:ascii="Arial"/>
                <w:b/>
                <w:sz w:val="17"/>
              </w:rPr>
            </w:pPr>
          </w:p>
          <w:p>
            <w:pPr>
              <w:pStyle w:val="TableParagraph"/>
              <w:ind w:left="67"/>
              <w:rPr>
                <w:sz w:val="17"/>
              </w:rPr>
            </w:pPr>
            <w:r>
              <w:rPr>
                <w:spacing w:val="-2"/>
                <w:sz w:val="17"/>
              </w:rPr>
              <w:t>Finalizada</w:t>
            </w:r>
          </w:p>
        </w:tc>
      </w:tr>
      <w:tr>
        <w:trPr>
          <w:trHeight w:val="630" w:hRule="atLeast"/>
        </w:trPr>
        <w:tc>
          <w:tcPr>
            <w:tcW w:w="1835" w:type="dxa"/>
            <w:tcBorders>
              <w:top w:val="single" w:sz="8" w:space="0" w:color="002D5D"/>
              <w:bottom w:val="single" w:sz="8" w:space="0" w:color="002D5D"/>
            </w:tcBorders>
          </w:tcPr>
          <w:p>
            <w:pPr>
              <w:pStyle w:val="TableParagraph"/>
              <w:spacing w:before="121"/>
              <w:ind w:left="69"/>
              <w:rPr>
                <w:sz w:val="17"/>
              </w:rPr>
            </w:pPr>
            <w:r>
              <w:rPr>
                <w:sz w:val="17"/>
              </w:rPr>
              <w:t>Mejora</w:t>
            </w:r>
            <w:r>
              <w:rPr>
                <w:spacing w:val="-10"/>
                <w:sz w:val="17"/>
              </w:rPr>
              <w:t> </w:t>
            </w:r>
            <w:r>
              <w:rPr>
                <w:sz w:val="17"/>
              </w:rPr>
              <w:t>de</w:t>
            </w:r>
            <w:r>
              <w:rPr>
                <w:spacing w:val="-10"/>
                <w:sz w:val="17"/>
              </w:rPr>
              <w:t> </w:t>
            </w:r>
            <w:r>
              <w:rPr>
                <w:sz w:val="17"/>
              </w:rPr>
              <w:t>la</w:t>
            </w:r>
            <w:r>
              <w:rPr>
                <w:spacing w:val="-10"/>
                <w:sz w:val="17"/>
              </w:rPr>
              <w:t> </w:t>
            </w:r>
            <w:r>
              <w:rPr>
                <w:sz w:val="17"/>
              </w:rPr>
              <w:t>accesibilidad</w:t>
            </w:r>
            <w:r>
              <w:rPr>
                <w:spacing w:val="40"/>
                <w:sz w:val="17"/>
              </w:rPr>
              <w:t> </w:t>
            </w:r>
            <w:r>
              <w:rPr>
                <w:sz w:val="17"/>
              </w:rPr>
              <w:t>física de las paradas.</w:t>
            </w:r>
          </w:p>
        </w:tc>
        <w:tc>
          <w:tcPr>
            <w:tcW w:w="1454" w:type="dxa"/>
            <w:tcBorders>
              <w:top w:val="single" w:sz="8" w:space="0" w:color="002D5D"/>
              <w:bottom w:val="single" w:sz="8" w:space="0" w:color="002D5D"/>
            </w:tcBorders>
          </w:tcPr>
          <w:p>
            <w:pPr>
              <w:pStyle w:val="TableParagraph"/>
              <w:spacing w:before="121"/>
              <w:ind w:left="78" w:right="118"/>
              <w:rPr>
                <w:sz w:val="17"/>
              </w:rPr>
            </w:pPr>
            <w:r>
              <w:rPr>
                <w:sz w:val="17"/>
              </w:rPr>
              <w:t>Obras</w:t>
            </w:r>
            <w:r>
              <w:rPr>
                <w:spacing w:val="-10"/>
                <w:sz w:val="17"/>
              </w:rPr>
              <w:t> </w:t>
            </w:r>
            <w:r>
              <w:rPr>
                <w:sz w:val="17"/>
              </w:rPr>
              <w:t>y</w:t>
            </w:r>
            <w:r>
              <w:rPr>
                <w:spacing w:val="-10"/>
                <w:sz w:val="17"/>
              </w:rPr>
              <w:t> </w:t>
            </w:r>
            <w:r>
              <w:rPr>
                <w:sz w:val="17"/>
              </w:rPr>
              <w:t>estructuras</w:t>
            </w:r>
            <w:r>
              <w:rPr>
                <w:spacing w:val="40"/>
                <w:sz w:val="17"/>
              </w:rPr>
              <w:t> </w:t>
            </w:r>
            <w:r>
              <w:rPr>
                <w:sz w:val="17"/>
              </w:rPr>
              <w:t>en vía pública</w:t>
            </w:r>
          </w:p>
        </w:tc>
        <w:tc>
          <w:tcPr>
            <w:tcW w:w="1233" w:type="dxa"/>
            <w:tcBorders>
              <w:top w:val="single" w:sz="8" w:space="0" w:color="002D5D"/>
              <w:bottom w:val="single" w:sz="8" w:space="0" w:color="002D5D"/>
            </w:tcBorders>
          </w:tcPr>
          <w:p>
            <w:pPr>
              <w:pStyle w:val="TableParagraph"/>
              <w:spacing w:before="22"/>
              <w:rPr>
                <w:rFonts w:ascii="Arial"/>
                <w:b/>
                <w:sz w:val="17"/>
              </w:rPr>
            </w:pPr>
          </w:p>
          <w:p>
            <w:pPr>
              <w:pStyle w:val="TableParagraph"/>
              <w:ind w:right="207"/>
              <w:jc w:val="right"/>
              <w:rPr>
                <w:sz w:val="17"/>
              </w:rPr>
            </w:pPr>
            <w:r>
              <w:rPr>
                <w:spacing w:val="-2"/>
                <w:sz w:val="17"/>
              </w:rPr>
              <w:t>303.418,74</w:t>
            </w:r>
          </w:p>
        </w:tc>
        <w:tc>
          <w:tcPr>
            <w:tcW w:w="586" w:type="dxa"/>
            <w:tcBorders>
              <w:top w:val="single" w:sz="8" w:space="0" w:color="002D5D"/>
              <w:bottom w:val="single" w:sz="8" w:space="0" w:color="002D5D"/>
            </w:tcBorders>
          </w:tcPr>
          <w:p>
            <w:pPr>
              <w:pStyle w:val="TableParagraph"/>
              <w:spacing w:before="22"/>
              <w:rPr>
                <w:rFonts w:ascii="Arial"/>
                <w:b/>
                <w:sz w:val="17"/>
              </w:rPr>
            </w:pPr>
          </w:p>
          <w:p>
            <w:pPr>
              <w:pStyle w:val="TableParagraph"/>
              <w:ind w:right="212"/>
              <w:jc w:val="right"/>
              <w:rPr>
                <w:sz w:val="17"/>
              </w:rPr>
            </w:pPr>
            <w:r>
              <w:rPr>
                <w:spacing w:val="-4"/>
                <w:sz w:val="17"/>
              </w:rPr>
              <w:t>0,62</w:t>
            </w:r>
          </w:p>
        </w:tc>
        <w:tc>
          <w:tcPr>
            <w:tcW w:w="1301" w:type="dxa"/>
            <w:tcBorders>
              <w:top w:val="single" w:sz="8" w:space="0" w:color="002D5D"/>
              <w:bottom w:val="single" w:sz="8" w:space="0" w:color="002D5D"/>
            </w:tcBorders>
          </w:tcPr>
          <w:p>
            <w:pPr>
              <w:pStyle w:val="TableParagraph"/>
              <w:spacing w:before="22"/>
              <w:rPr>
                <w:rFonts w:ascii="Arial"/>
                <w:b/>
                <w:sz w:val="17"/>
              </w:rPr>
            </w:pPr>
          </w:p>
          <w:p>
            <w:pPr>
              <w:pStyle w:val="TableParagraph"/>
              <w:ind w:left="490"/>
              <w:rPr>
                <w:sz w:val="17"/>
              </w:rPr>
            </w:pPr>
            <w:r>
              <w:rPr>
                <w:spacing w:val="-2"/>
                <w:sz w:val="17"/>
              </w:rPr>
              <w:t>30.341,87</w:t>
            </w:r>
          </w:p>
        </w:tc>
        <w:tc>
          <w:tcPr>
            <w:tcW w:w="496" w:type="dxa"/>
            <w:tcBorders>
              <w:top w:val="single" w:sz="8" w:space="0" w:color="002D5D"/>
              <w:bottom w:val="single" w:sz="8" w:space="0" w:color="002D5D"/>
            </w:tcBorders>
          </w:tcPr>
          <w:p>
            <w:pPr>
              <w:pStyle w:val="TableParagraph"/>
              <w:spacing w:before="22"/>
              <w:rPr>
                <w:rFonts w:ascii="Arial"/>
                <w:b/>
                <w:sz w:val="17"/>
              </w:rPr>
            </w:pPr>
          </w:p>
          <w:p>
            <w:pPr>
              <w:pStyle w:val="TableParagraph"/>
              <w:ind w:left="-5"/>
              <w:rPr>
                <w:sz w:val="17"/>
              </w:rPr>
            </w:pPr>
            <w:r>
              <w:rPr>
                <w:spacing w:val="-2"/>
                <w:sz w:val="17"/>
              </w:rPr>
              <w:t>10,00</w:t>
            </w:r>
          </w:p>
        </w:tc>
        <w:tc>
          <w:tcPr>
            <w:tcW w:w="1189" w:type="dxa"/>
            <w:tcBorders>
              <w:top w:val="single" w:sz="8" w:space="0" w:color="002D5D"/>
              <w:bottom w:val="single" w:sz="8" w:space="0" w:color="002D5D"/>
            </w:tcBorders>
          </w:tcPr>
          <w:p>
            <w:pPr>
              <w:pStyle w:val="TableParagraph"/>
              <w:spacing w:before="22"/>
              <w:rPr>
                <w:rFonts w:ascii="Arial"/>
                <w:b/>
                <w:sz w:val="17"/>
              </w:rPr>
            </w:pPr>
          </w:p>
          <w:p>
            <w:pPr>
              <w:pStyle w:val="TableParagraph"/>
              <w:ind w:left="313"/>
              <w:rPr>
                <w:sz w:val="17"/>
              </w:rPr>
            </w:pPr>
            <w:r>
              <w:rPr>
                <w:spacing w:val="-2"/>
                <w:sz w:val="17"/>
              </w:rPr>
              <w:t>273.076,87</w:t>
            </w:r>
          </w:p>
        </w:tc>
        <w:tc>
          <w:tcPr>
            <w:tcW w:w="530" w:type="dxa"/>
            <w:tcBorders>
              <w:top w:val="single" w:sz="8" w:space="0" w:color="002D5D"/>
              <w:bottom w:val="single" w:sz="8" w:space="0" w:color="002D5D"/>
            </w:tcBorders>
          </w:tcPr>
          <w:p>
            <w:pPr>
              <w:pStyle w:val="TableParagraph"/>
              <w:spacing w:before="22"/>
              <w:rPr>
                <w:rFonts w:ascii="Arial"/>
                <w:b/>
                <w:sz w:val="17"/>
              </w:rPr>
            </w:pPr>
          </w:p>
          <w:p>
            <w:pPr>
              <w:pStyle w:val="TableParagraph"/>
              <w:ind w:left="1" w:right="123"/>
              <w:jc w:val="center"/>
              <w:rPr>
                <w:sz w:val="17"/>
              </w:rPr>
            </w:pPr>
            <w:r>
              <w:rPr>
                <w:spacing w:val="-2"/>
                <w:sz w:val="17"/>
              </w:rPr>
              <w:t>90,00</w:t>
            </w:r>
          </w:p>
        </w:tc>
        <w:tc>
          <w:tcPr>
            <w:tcW w:w="892" w:type="dxa"/>
            <w:tcBorders>
              <w:top w:val="single" w:sz="8" w:space="0" w:color="002D5D"/>
              <w:bottom w:val="single" w:sz="8" w:space="0" w:color="002D5D"/>
            </w:tcBorders>
          </w:tcPr>
          <w:p>
            <w:pPr>
              <w:pStyle w:val="TableParagraph"/>
              <w:spacing w:before="22"/>
              <w:rPr>
                <w:rFonts w:ascii="Arial"/>
                <w:b/>
                <w:sz w:val="17"/>
              </w:rPr>
            </w:pPr>
          </w:p>
          <w:p>
            <w:pPr>
              <w:pStyle w:val="TableParagraph"/>
              <w:ind w:right="105"/>
              <w:jc w:val="right"/>
              <w:rPr>
                <w:sz w:val="17"/>
              </w:rPr>
            </w:pPr>
            <w:r>
              <w:rPr>
                <w:spacing w:val="-4"/>
                <w:sz w:val="17"/>
              </w:rPr>
              <w:t>0,00</w:t>
            </w:r>
          </w:p>
        </w:tc>
        <w:tc>
          <w:tcPr>
            <w:tcW w:w="552" w:type="dxa"/>
            <w:tcBorders>
              <w:top w:val="single" w:sz="8" w:space="0" w:color="002D5D"/>
              <w:bottom w:val="single" w:sz="8" w:space="0" w:color="002D5D"/>
            </w:tcBorders>
          </w:tcPr>
          <w:p>
            <w:pPr>
              <w:pStyle w:val="TableParagraph"/>
              <w:spacing w:before="22"/>
              <w:rPr>
                <w:rFonts w:ascii="Arial"/>
                <w:b/>
                <w:sz w:val="17"/>
              </w:rPr>
            </w:pPr>
          </w:p>
          <w:p>
            <w:pPr>
              <w:pStyle w:val="TableParagraph"/>
              <w:ind w:right="71"/>
              <w:jc w:val="right"/>
              <w:rPr>
                <w:sz w:val="17"/>
              </w:rPr>
            </w:pPr>
            <w:r>
              <w:rPr>
                <w:spacing w:val="-4"/>
                <w:sz w:val="17"/>
              </w:rPr>
              <w:t>0,00</w:t>
            </w:r>
          </w:p>
        </w:tc>
        <w:tc>
          <w:tcPr>
            <w:tcW w:w="995" w:type="dxa"/>
            <w:tcBorders>
              <w:top w:val="single" w:sz="8" w:space="0" w:color="002D5D"/>
              <w:bottom w:val="single" w:sz="8" w:space="0" w:color="002D5D"/>
            </w:tcBorders>
          </w:tcPr>
          <w:p>
            <w:pPr>
              <w:pStyle w:val="TableParagraph"/>
              <w:spacing w:before="22"/>
              <w:rPr>
                <w:rFonts w:ascii="Arial"/>
                <w:b/>
                <w:sz w:val="17"/>
              </w:rPr>
            </w:pPr>
          </w:p>
          <w:p>
            <w:pPr>
              <w:pStyle w:val="TableParagraph"/>
              <w:ind w:left="67"/>
              <w:rPr>
                <w:sz w:val="17"/>
              </w:rPr>
            </w:pPr>
            <w:r>
              <w:rPr>
                <w:sz w:val="17"/>
              </w:rPr>
              <w:t>En</w:t>
            </w:r>
            <w:r>
              <w:rPr>
                <w:spacing w:val="-1"/>
                <w:sz w:val="17"/>
              </w:rPr>
              <w:t> </w:t>
            </w:r>
            <w:r>
              <w:rPr>
                <w:spacing w:val="-2"/>
                <w:sz w:val="17"/>
              </w:rPr>
              <w:t>ejecución</w:t>
            </w:r>
          </w:p>
        </w:tc>
      </w:tr>
      <w:tr>
        <w:trPr>
          <w:trHeight w:val="543" w:hRule="atLeast"/>
        </w:trPr>
        <w:tc>
          <w:tcPr>
            <w:tcW w:w="1835" w:type="dxa"/>
            <w:tcBorders>
              <w:top w:val="single" w:sz="8" w:space="0" w:color="002D5D"/>
              <w:bottom w:val="single" w:sz="8" w:space="0" w:color="002D5D"/>
            </w:tcBorders>
          </w:tcPr>
          <w:p>
            <w:pPr>
              <w:pStyle w:val="TableParagraph"/>
              <w:spacing w:before="174"/>
              <w:ind w:left="69"/>
              <w:rPr>
                <w:sz w:val="17"/>
              </w:rPr>
            </w:pPr>
            <w:r>
              <w:rPr>
                <w:sz w:val="17"/>
              </w:rPr>
              <w:t>Placas</w:t>
            </w:r>
            <w:r>
              <w:rPr>
                <w:spacing w:val="-7"/>
                <w:sz w:val="17"/>
              </w:rPr>
              <w:t> </w:t>
            </w:r>
            <w:r>
              <w:rPr>
                <w:sz w:val="17"/>
              </w:rPr>
              <w:t>fotovoltaicas</w:t>
            </w:r>
            <w:r>
              <w:rPr>
                <w:spacing w:val="-3"/>
                <w:sz w:val="17"/>
              </w:rPr>
              <w:t> </w:t>
            </w:r>
            <w:r>
              <w:rPr>
                <w:spacing w:val="-5"/>
                <w:sz w:val="17"/>
              </w:rPr>
              <w:t>EA</w:t>
            </w:r>
          </w:p>
        </w:tc>
        <w:tc>
          <w:tcPr>
            <w:tcW w:w="1454" w:type="dxa"/>
            <w:tcBorders>
              <w:top w:val="single" w:sz="8" w:space="0" w:color="002D5D"/>
              <w:bottom w:val="single" w:sz="8" w:space="0" w:color="002D5D"/>
            </w:tcBorders>
          </w:tcPr>
          <w:p>
            <w:pPr>
              <w:pStyle w:val="TableParagraph"/>
              <w:spacing w:before="75"/>
              <w:ind w:left="78" w:right="118"/>
              <w:rPr>
                <w:sz w:val="17"/>
              </w:rPr>
            </w:pPr>
            <w:r>
              <w:rPr>
                <w:sz w:val="17"/>
              </w:rPr>
              <w:t>Obras</w:t>
            </w:r>
            <w:r>
              <w:rPr>
                <w:spacing w:val="-10"/>
                <w:sz w:val="17"/>
              </w:rPr>
              <w:t> </w:t>
            </w:r>
            <w:r>
              <w:rPr>
                <w:sz w:val="17"/>
              </w:rPr>
              <w:t>y</w:t>
            </w:r>
            <w:r>
              <w:rPr>
                <w:spacing w:val="-10"/>
                <w:sz w:val="17"/>
              </w:rPr>
              <w:t> </w:t>
            </w:r>
            <w:r>
              <w:rPr>
                <w:sz w:val="17"/>
              </w:rPr>
              <w:t>estructuras</w:t>
            </w:r>
            <w:r>
              <w:rPr>
                <w:spacing w:val="40"/>
                <w:sz w:val="17"/>
              </w:rPr>
              <w:t> </w:t>
            </w:r>
            <w:r>
              <w:rPr>
                <w:sz w:val="17"/>
              </w:rPr>
              <w:t>en vía pública</w:t>
            </w:r>
          </w:p>
        </w:tc>
        <w:tc>
          <w:tcPr>
            <w:tcW w:w="1233" w:type="dxa"/>
            <w:tcBorders>
              <w:top w:val="single" w:sz="8" w:space="0" w:color="002D5D"/>
              <w:bottom w:val="single" w:sz="8" w:space="0" w:color="002D5D"/>
            </w:tcBorders>
          </w:tcPr>
          <w:p>
            <w:pPr>
              <w:pStyle w:val="TableParagraph"/>
              <w:spacing w:before="174"/>
              <w:ind w:right="207"/>
              <w:jc w:val="right"/>
              <w:rPr>
                <w:sz w:val="17"/>
              </w:rPr>
            </w:pPr>
            <w:r>
              <w:rPr>
                <w:spacing w:val="-2"/>
                <w:sz w:val="17"/>
              </w:rPr>
              <w:t>29.747,25</w:t>
            </w:r>
          </w:p>
        </w:tc>
        <w:tc>
          <w:tcPr>
            <w:tcW w:w="586" w:type="dxa"/>
            <w:tcBorders>
              <w:top w:val="single" w:sz="8" w:space="0" w:color="002D5D"/>
              <w:bottom w:val="single" w:sz="8" w:space="0" w:color="002D5D"/>
            </w:tcBorders>
          </w:tcPr>
          <w:p>
            <w:pPr>
              <w:pStyle w:val="TableParagraph"/>
              <w:spacing w:before="174"/>
              <w:ind w:right="212"/>
              <w:jc w:val="right"/>
              <w:rPr>
                <w:sz w:val="17"/>
              </w:rPr>
            </w:pPr>
            <w:r>
              <w:rPr>
                <w:spacing w:val="-4"/>
                <w:sz w:val="17"/>
              </w:rPr>
              <w:t>0,06</w:t>
            </w:r>
          </w:p>
        </w:tc>
        <w:tc>
          <w:tcPr>
            <w:tcW w:w="1301" w:type="dxa"/>
            <w:tcBorders>
              <w:top w:val="single" w:sz="8" w:space="0" w:color="002D5D"/>
              <w:bottom w:val="single" w:sz="8" w:space="0" w:color="002D5D"/>
            </w:tcBorders>
          </w:tcPr>
          <w:p>
            <w:pPr>
              <w:pStyle w:val="TableParagraph"/>
              <w:spacing w:before="174"/>
              <w:ind w:left="567"/>
              <w:rPr>
                <w:sz w:val="17"/>
              </w:rPr>
            </w:pPr>
            <w:r>
              <w:rPr>
                <w:spacing w:val="-2"/>
                <w:sz w:val="17"/>
              </w:rPr>
              <w:t>3.422,25</w:t>
            </w:r>
          </w:p>
        </w:tc>
        <w:tc>
          <w:tcPr>
            <w:tcW w:w="496" w:type="dxa"/>
            <w:tcBorders>
              <w:top w:val="single" w:sz="8" w:space="0" w:color="002D5D"/>
              <w:bottom w:val="single" w:sz="8" w:space="0" w:color="002D5D"/>
            </w:tcBorders>
          </w:tcPr>
          <w:p>
            <w:pPr>
              <w:pStyle w:val="TableParagraph"/>
              <w:spacing w:before="174"/>
              <w:ind w:left="-5"/>
              <w:rPr>
                <w:sz w:val="17"/>
              </w:rPr>
            </w:pPr>
            <w:r>
              <w:rPr>
                <w:spacing w:val="-2"/>
                <w:sz w:val="17"/>
              </w:rPr>
              <w:t>11,50</w:t>
            </w:r>
          </w:p>
        </w:tc>
        <w:tc>
          <w:tcPr>
            <w:tcW w:w="1189" w:type="dxa"/>
            <w:tcBorders>
              <w:top w:val="single" w:sz="8" w:space="0" w:color="002D5D"/>
              <w:bottom w:val="single" w:sz="8" w:space="0" w:color="002D5D"/>
            </w:tcBorders>
          </w:tcPr>
          <w:p>
            <w:pPr>
              <w:pStyle w:val="TableParagraph"/>
              <w:spacing w:before="174"/>
              <w:ind w:left="741"/>
              <w:rPr>
                <w:sz w:val="17"/>
              </w:rPr>
            </w:pPr>
            <w:r>
              <w:rPr>
                <w:spacing w:val="-4"/>
                <w:sz w:val="17"/>
              </w:rPr>
              <w:t>0,00</w:t>
            </w:r>
          </w:p>
        </w:tc>
        <w:tc>
          <w:tcPr>
            <w:tcW w:w="530" w:type="dxa"/>
            <w:tcBorders>
              <w:top w:val="single" w:sz="8" w:space="0" w:color="002D5D"/>
              <w:bottom w:val="single" w:sz="8" w:space="0" w:color="002D5D"/>
            </w:tcBorders>
          </w:tcPr>
          <w:p>
            <w:pPr>
              <w:pStyle w:val="TableParagraph"/>
              <w:spacing w:before="174"/>
              <w:ind w:right="45"/>
              <w:jc w:val="center"/>
              <w:rPr>
                <w:sz w:val="17"/>
              </w:rPr>
            </w:pPr>
            <w:r>
              <w:rPr>
                <w:spacing w:val="-4"/>
                <w:sz w:val="17"/>
              </w:rPr>
              <w:t>0,00</w:t>
            </w:r>
          </w:p>
        </w:tc>
        <w:tc>
          <w:tcPr>
            <w:tcW w:w="892" w:type="dxa"/>
            <w:tcBorders>
              <w:top w:val="single" w:sz="8" w:space="0" w:color="002D5D"/>
              <w:bottom w:val="single" w:sz="8" w:space="0" w:color="002D5D"/>
            </w:tcBorders>
          </w:tcPr>
          <w:p>
            <w:pPr>
              <w:pStyle w:val="TableParagraph"/>
              <w:spacing w:before="174"/>
              <w:ind w:right="105"/>
              <w:jc w:val="right"/>
              <w:rPr>
                <w:sz w:val="17"/>
              </w:rPr>
            </w:pPr>
            <w:r>
              <w:rPr>
                <w:spacing w:val="-2"/>
                <w:sz w:val="17"/>
              </w:rPr>
              <w:t>26.325,00</w:t>
            </w:r>
          </w:p>
        </w:tc>
        <w:tc>
          <w:tcPr>
            <w:tcW w:w="552" w:type="dxa"/>
            <w:tcBorders>
              <w:top w:val="single" w:sz="8" w:space="0" w:color="002D5D"/>
              <w:bottom w:val="single" w:sz="8" w:space="0" w:color="002D5D"/>
            </w:tcBorders>
          </w:tcPr>
          <w:p>
            <w:pPr>
              <w:pStyle w:val="TableParagraph"/>
              <w:spacing w:before="174"/>
              <w:ind w:right="71"/>
              <w:jc w:val="right"/>
              <w:rPr>
                <w:sz w:val="17"/>
              </w:rPr>
            </w:pPr>
            <w:r>
              <w:rPr>
                <w:spacing w:val="-2"/>
                <w:sz w:val="17"/>
              </w:rPr>
              <w:t>88,50</w:t>
            </w:r>
          </w:p>
        </w:tc>
        <w:tc>
          <w:tcPr>
            <w:tcW w:w="995" w:type="dxa"/>
            <w:tcBorders>
              <w:top w:val="single" w:sz="8" w:space="0" w:color="002D5D"/>
              <w:bottom w:val="single" w:sz="8" w:space="0" w:color="002D5D"/>
            </w:tcBorders>
          </w:tcPr>
          <w:p>
            <w:pPr>
              <w:pStyle w:val="TableParagraph"/>
              <w:spacing w:before="174"/>
              <w:ind w:left="67"/>
              <w:rPr>
                <w:sz w:val="17"/>
              </w:rPr>
            </w:pPr>
            <w:r>
              <w:rPr>
                <w:sz w:val="17"/>
              </w:rPr>
              <w:t>En</w:t>
            </w:r>
            <w:r>
              <w:rPr>
                <w:spacing w:val="-1"/>
                <w:sz w:val="17"/>
              </w:rPr>
              <w:t> </w:t>
            </w:r>
            <w:r>
              <w:rPr>
                <w:spacing w:val="-2"/>
                <w:sz w:val="17"/>
              </w:rPr>
              <w:t>ejecución</w:t>
            </w:r>
          </w:p>
        </w:tc>
      </w:tr>
      <w:tr>
        <w:trPr>
          <w:trHeight w:val="779" w:hRule="atLeast"/>
        </w:trPr>
        <w:tc>
          <w:tcPr>
            <w:tcW w:w="1835" w:type="dxa"/>
            <w:tcBorders>
              <w:top w:val="single" w:sz="8" w:space="0" w:color="002D5D"/>
              <w:bottom w:val="single" w:sz="8" w:space="0" w:color="002D5D"/>
            </w:tcBorders>
          </w:tcPr>
          <w:p>
            <w:pPr>
              <w:pStyle w:val="TableParagraph"/>
              <w:ind w:left="69" w:right="136"/>
              <w:rPr>
                <w:sz w:val="17"/>
              </w:rPr>
            </w:pPr>
            <w:r>
              <w:rPr>
                <w:sz w:val="17"/>
              </w:rPr>
              <w:t>Digitalización de los</w:t>
            </w:r>
            <w:r>
              <w:rPr>
                <w:spacing w:val="40"/>
                <w:sz w:val="17"/>
              </w:rPr>
              <w:t> </w:t>
            </w:r>
            <w:r>
              <w:rPr>
                <w:sz w:val="17"/>
              </w:rPr>
              <w:t>medios de pago y</w:t>
            </w:r>
            <w:r>
              <w:rPr>
                <w:spacing w:val="40"/>
                <w:sz w:val="17"/>
              </w:rPr>
              <w:t> </w:t>
            </w:r>
            <w:r>
              <w:rPr>
                <w:sz w:val="17"/>
              </w:rPr>
              <w:t>eliminación</w:t>
            </w:r>
            <w:r>
              <w:rPr>
                <w:spacing w:val="-10"/>
                <w:sz w:val="17"/>
              </w:rPr>
              <w:t> </w:t>
            </w:r>
            <w:r>
              <w:rPr>
                <w:sz w:val="17"/>
              </w:rPr>
              <w:t>del</w:t>
            </w:r>
            <w:r>
              <w:rPr>
                <w:spacing w:val="-10"/>
                <w:sz w:val="17"/>
              </w:rPr>
              <w:t> </w:t>
            </w:r>
            <w:r>
              <w:rPr>
                <w:sz w:val="17"/>
              </w:rPr>
              <w:t>pago</w:t>
            </w:r>
            <w:r>
              <w:rPr>
                <w:spacing w:val="-10"/>
                <w:sz w:val="17"/>
              </w:rPr>
              <w:t> </w:t>
            </w:r>
            <w:r>
              <w:rPr>
                <w:sz w:val="17"/>
              </w:rPr>
              <w:t>en</w:t>
            </w:r>
          </w:p>
          <w:p>
            <w:pPr>
              <w:pStyle w:val="TableParagraph"/>
              <w:spacing w:line="175" w:lineRule="exact"/>
              <w:ind w:left="69"/>
              <w:rPr>
                <w:sz w:val="17"/>
              </w:rPr>
            </w:pPr>
            <w:r>
              <w:rPr>
                <w:spacing w:val="-2"/>
                <w:sz w:val="17"/>
              </w:rPr>
              <w:t>efectivo</w:t>
            </w:r>
          </w:p>
        </w:tc>
        <w:tc>
          <w:tcPr>
            <w:tcW w:w="1454" w:type="dxa"/>
            <w:tcBorders>
              <w:top w:val="single" w:sz="8" w:space="0" w:color="002D5D"/>
              <w:bottom w:val="single" w:sz="8" w:space="0" w:color="002D5D"/>
            </w:tcBorders>
          </w:tcPr>
          <w:p>
            <w:pPr>
              <w:pStyle w:val="TableParagraph"/>
              <w:spacing w:before="96"/>
              <w:rPr>
                <w:rFonts w:ascii="Arial"/>
                <w:b/>
                <w:sz w:val="17"/>
              </w:rPr>
            </w:pPr>
          </w:p>
          <w:p>
            <w:pPr>
              <w:pStyle w:val="TableParagraph"/>
              <w:ind w:left="78"/>
              <w:rPr>
                <w:sz w:val="17"/>
              </w:rPr>
            </w:pPr>
            <w:r>
              <w:rPr>
                <w:spacing w:val="-2"/>
                <w:sz w:val="17"/>
              </w:rPr>
              <w:t>Digitalización</w:t>
            </w:r>
          </w:p>
        </w:tc>
        <w:tc>
          <w:tcPr>
            <w:tcW w:w="1233" w:type="dxa"/>
            <w:tcBorders>
              <w:top w:val="single" w:sz="8" w:space="0" w:color="002D5D"/>
              <w:bottom w:val="single" w:sz="8" w:space="0" w:color="002D5D"/>
            </w:tcBorders>
          </w:tcPr>
          <w:p>
            <w:pPr>
              <w:pStyle w:val="TableParagraph"/>
              <w:spacing w:before="96"/>
              <w:rPr>
                <w:rFonts w:ascii="Arial"/>
                <w:b/>
                <w:sz w:val="17"/>
              </w:rPr>
            </w:pPr>
          </w:p>
          <w:p>
            <w:pPr>
              <w:pStyle w:val="TableParagraph"/>
              <w:ind w:right="207"/>
              <w:jc w:val="right"/>
              <w:rPr>
                <w:sz w:val="17"/>
              </w:rPr>
            </w:pPr>
            <w:r>
              <w:rPr>
                <w:spacing w:val="-2"/>
                <w:sz w:val="17"/>
              </w:rPr>
              <w:t>698.057,48</w:t>
            </w:r>
          </w:p>
        </w:tc>
        <w:tc>
          <w:tcPr>
            <w:tcW w:w="586" w:type="dxa"/>
            <w:tcBorders>
              <w:top w:val="single" w:sz="8" w:space="0" w:color="002D5D"/>
              <w:bottom w:val="single" w:sz="8" w:space="0" w:color="002D5D"/>
            </w:tcBorders>
          </w:tcPr>
          <w:p>
            <w:pPr>
              <w:pStyle w:val="TableParagraph"/>
              <w:spacing w:before="96"/>
              <w:rPr>
                <w:rFonts w:ascii="Arial"/>
                <w:b/>
                <w:sz w:val="17"/>
              </w:rPr>
            </w:pPr>
          </w:p>
          <w:p>
            <w:pPr>
              <w:pStyle w:val="TableParagraph"/>
              <w:ind w:right="212"/>
              <w:jc w:val="right"/>
              <w:rPr>
                <w:sz w:val="17"/>
              </w:rPr>
            </w:pPr>
            <w:r>
              <w:rPr>
                <w:spacing w:val="-4"/>
                <w:sz w:val="17"/>
              </w:rPr>
              <w:t>1,42</w:t>
            </w:r>
          </w:p>
        </w:tc>
        <w:tc>
          <w:tcPr>
            <w:tcW w:w="1301" w:type="dxa"/>
            <w:tcBorders>
              <w:top w:val="single" w:sz="8" w:space="0" w:color="002D5D"/>
              <w:bottom w:val="single" w:sz="8" w:space="0" w:color="002D5D"/>
            </w:tcBorders>
          </w:tcPr>
          <w:p>
            <w:pPr>
              <w:pStyle w:val="TableParagraph"/>
              <w:spacing w:before="96"/>
              <w:rPr>
                <w:rFonts w:ascii="Arial"/>
                <w:b/>
                <w:sz w:val="17"/>
              </w:rPr>
            </w:pPr>
          </w:p>
          <w:p>
            <w:pPr>
              <w:pStyle w:val="TableParagraph"/>
              <w:ind w:left="411"/>
              <w:rPr>
                <w:sz w:val="17"/>
              </w:rPr>
            </w:pPr>
            <w:r>
              <w:rPr>
                <w:spacing w:val="-2"/>
                <w:sz w:val="17"/>
              </w:rPr>
              <w:t>193.119,91</w:t>
            </w:r>
          </w:p>
        </w:tc>
        <w:tc>
          <w:tcPr>
            <w:tcW w:w="496" w:type="dxa"/>
            <w:tcBorders>
              <w:top w:val="single" w:sz="8" w:space="0" w:color="002D5D"/>
              <w:bottom w:val="single" w:sz="8" w:space="0" w:color="002D5D"/>
            </w:tcBorders>
          </w:tcPr>
          <w:p>
            <w:pPr>
              <w:pStyle w:val="TableParagraph"/>
              <w:spacing w:before="96"/>
              <w:rPr>
                <w:rFonts w:ascii="Arial"/>
                <w:b/>
                <w:sz w:val="17"/>
              </w:rPr>
            </w:pPr>
          </w:p>
          <w:p>
            <w:pPr>
              <w:pStyle w:val="TableParagraph"/>
              <w:ind w:left="-5"/>
              <w:rPr>
                <w:sz w:val="17"/>
              </w:rPr>
            </w:pPr>
            <w:r>
              <w:rPr>
                <w:spacing w:val="-2"/>
                <w:sz w:val="17"/>
              </w:rPr>
              <w:t>27,67</w:t>
            </w:r>
          </w:p>
        </w:tc>
        <w:tc>
          <w:tcPr>
            <w:tcW w:w="1189" w:type="dxa"/>
            <w:tcBorders>
              <w:top w:val="single" w:sz="8" w:space="0" w:color="002D5D"/>
              <w:bottom w:val="single" w:sz="8" w:space="0" w:color="002D5D"/>
            </w:tcBorders>
          </w:tcPr>
          <w:p>
            <w:pPr>
              <w:pStyle w:val="TableParagraph"/>
              <w:spacing w:before="96"/>
              <w:rPr>
                <w:rFonts w:ascii="Arial"/>
                <w:b/>
                <w:sz w:val="17"/>
              </w:rPr>
            </w:pPr>
          </w:p>
          <w:p>
            <w:pPr>
              <w:pStyle w:val="TableParagraph"/>
              <w:ind w:left="313"/>
              <w:rPr>
                <w:sz w:val="17"/>
              </w:rPr>
            </w:pPr>
            <w:r>
              <w:rPr>
                <w:spacing w:val="-2"/>
                <w:sz w:val="17"/>
              </w:rPr>
              <w:t>504.937,57</w:t>
            </w:r>
          </w:p>
        </w:tc>
        <w:tc>
          <w:tcPr>
            <w:tcW w:w="530" w:type="dxa"/>
            <w:tcBorders>
              <w:top w:val="single" w:sz="8" w:space="0" w:color="002D5D"/>
              <w:bottom w:val="single" w:sz="8" w:space="0" w:color="002D5D"/>
            </w:tcBorders>
          </w:tcPr>
          <w:p>
            <w:pPr>
              <w:pStyle w:val="TableParagraph"/>
              <w:spacing w:before="96"/>
              <w:rPr>
                <w:rFonts w:ascii="Arial"/>
                <w:b/>
                <w:sz w:val="17"/>
              </w:rPr>
            </w:pPr>
          </w:p>
          <w:p>
            <w:pPr>
              <w:pStyle w:val="TableParagraph"/>
              <w:ind w:left="1" w:right="123"/>
              <w:jc w:val="center"/>
              <w:rPr>
                <w:sz w:val="17"/>
              </w:rPr>
            </w:pPr>
            <w:r>
              <w:rPr>
                <w:spacing w:val="-2"/>
                <w:sz w:val="17"/>
              </w:rPr>
              <w:t>72,33</w:t>
            </w:r>
          </w:p>
        </w:tc>
        <w:tc>
          <w:tcPr>
            <w:tcW w:w="892" w:type="dxa"/>
            <w:tcBorders>
              <w:top w:val="single" w:sz="8" w:space="0" w:color="002D5D"/>
              <w:bottom w:val="single" w:sz="8" w:space="0" w:color="002D5D"/>
            </w:tcBorders>
          </w:tcPr>
          <w:p>
            <w:pPr>
              <w:pStyle w:val="TableParagraph"/>
              <w:spacing w:before="96"/>
              <w:rPr>
                <w:rFonts w:ascii="Arial"/>
                <w:b/>
                <w:sz w:val="17"/>
              </w:rPr>
            </w:pPr>
          </w:p>
          <w:p>
            <w:pPr>
              <w:pStyle w:val="TableParagraph"/>
              <w:ind w:right="105"/>
              <w:jc w:val="right"/>
              <w:rPr>
                <w:sz w:val="17"/>
              </w:rPr>
            </w:pPr>
            <w:r>
              <w:rPr>
                <w:spacing w:val="-4"/>
                <w:sz w:val="17"/>
              </w:rPr>
              <w:t>0,00</w:t>
            </w:r>
          </w:p>
        </w:tc>
        <w:tc>
          <w:tcPr>
            <w:tcW w:w="552" w:type="dxa"/>
            <w:tcBorders>
              <w:top w:val="single" w:sz="8" w:space="0" w:color="002D5D"/>
              <w:bottom w:val="single" w:sz="8" w:space="0" w:color="002D5D"/>
            </w:tcBorders>
          </w:tcPr>
          <w:p>
            <w:pPr>
              <w:pStyle w:val="TableParagraph"/>
              <w:spacing w:before="96"/>
              <w:rPr>
                <w:rFonts w:ascii="Arial"/>
                <w:b/>
                <w:sz w:val="17"/>
              </w:rPr>
            </w:pPr>
          </w:p>
          <w:p>
            <w:pPr>
              <w:pStyle w:val="TableParagraph"/>
              <w:ind w:right="71"/>
              <w:jc w:val="right"/>
              <w:rPr>
                <w:sz w:val="17"/>
              </w:rPr>
            </w:pPr>
            <w:r>
              <w:rPr>
                <w:spacing w:val="-4"/>
                <w:sz w:val="17"/>
              </w:rPr>
              <w:t>0,00</w:t>
            </w:r>
          </w:p>
        </w:tc>
        <w:tc>
          <w:tcPr>
            <w:tcW w:w="995" w:type="dxa"/>
            <w:tcBorders>
              <w:top w:val="single" w:sz="8" w:space="0" w:color="002D5D"/>
              <w:bottom w:val="single" w:sz="8" w:space="0" w:color="002D5D"/>
            </w:tcBorders>
          </w:tcPr>
          <w:p>
            <w:pPr>
              <w:pStyle w:val="TableParagraph"/>
              <w:spacing w:before="96"/>
              <w:rPr>
                <w:rFonts w:ascii="Arial"/>
                <w:b/>
                <w:sz w:val="17"/>
              </w:rPr>
            </w:pPr>
          </w:p>
          <w:p>
            <w:pPr>
              <w:pStyle w:val="TableParagraph"/>
              <w:ind w:left="67"/>
              <w:rPr>
                <w:sz w:val="17"/>
              </w:rPr>
            </w:pPr>
            <w:r>
              <w:rPr>
                <w:spacing w:val="-2"/>
                <w:sz w:val="17"/>
              </w:rPr>
              <w:t>Finalizada</w:t>
            </w:r>
          </w:p>
        </w:tc>
      </w:tr>
      <w:tr>
        <w:trPr>
          <w:trHeight w:val="1170" w:hRule="atLeast"/>
        </w:trPr>
        <w:tc>
          <w:tcPr>
            <w:tcW w:w="1835" w:type="dxa"/>
            <w:tcBorders>
              <w:top w:val="single" w:sz="8" w:space="0" w:color="002D5D"/>
              <w:bottom w:val="single" w:sz="8" w:space="0" w:color="002D5D"/>
            </w:tcBorders>
          </w:tcPr>
          <w:p>
            <w:pPr>
              <w:pStyle w:val="TableParagraph"/>
              <w:ind w:left="69" w:right="93"/>
              <w:rPr>
                <w:sz w:val="17"/>
              </w:rPr>
            </w:pPr>
            <w:r>
              <w:rPr>
                <w:sz w:val="17"/>
              </w:rPr>
              <w:t>Digitalización de los</w:t>
            </w:r>
            <w:r>
              <w:rPr>
                <w:spacing w:val="40"/>
                <w:sz w:val="17"/>
              </w:rPr>
              <w:t> </w:t>
            </w:r>
            <w:r>
              <w:rPr>
                <w:sz w:val="17"/>
              </w:rPr>
              <w:t>sistemas</w:t>
            </w:r>
            <w:r>
              <w:rPr>
                <w:spacing w:val="-10"/>
                <w:sz w:val="17"/>
              </w:rPr>
              <w:t> </w:t>
            </w:r>
            <w:r>
              <w:rPr>
                <w:sz w:val="17"/>
              </w:rPr>
              <w:t>de</w:t>
            </w:r>
            <w:r>
              <w:rPr>
                <w:spacing w:val="-10"/>
                <w:sz w:val="17"/>
              </w:rPr>
              <w:t> </w:t>
            </w:r>
            <w:r>
              <w:rPr>
                <w:sz w:val="17"/>
              </w:rPr>
              <w:t>comunicación</w:t>
            </w:r>
            <w:r>
              <w:rPr>
                <w:spacing w:val="40"/>
                <w:sz w:val="17"/>
              </w:rPr>
              <w:t> </w:t>
            </w:r>
            <w:r>
              <w:rPr>
                <w:sz w:val="17"/>
              </w:rPr>
              <w:t>e información (mejoras</w:t>
            </w:r>
            <w:r>
              <w:rPr>
                <w:spacing w:val="40"/>
                <w:sz w:val="17"/>
              </w:rPr>
              <w:t> </w:t>
            </w:r>
            <w:r>
              <w:rPr>
                <w:sz w:val="17"/>
              </w:rPr>
              <w:t>SAE, App, equipos</w:t>
            </w:r>
          </w:p>
          <w:p>
            <w:pPr>
              <w:pStyle w:val="TableParagraph"/>
              <w:spacing w:line="194" w:lineRule="exact"/>
              <w:ind w:left="69"/>
              <w:rPr>
                <w:sz w:val="17"/>
              </w:rPr>
            </w:pPr>
            <w:r>
              <w:rPr>
                <w:sz w:val="17"/>
              </w:rPr>
              <w:t>embarcados</w:t>
            </w:r>
            <w:r>
              <w:rPr>
                <w:spacing w:val="-10"/>
                <w:sz w:val="17"/>
              </w:rPr>
              <w:t> </w:t>
            </w:r>
            <w:r>
              <w:rPr>
                <w:sz w:val="17"/>
              </w:rPr>
              <w:t>y</w:t>
            </w:r>
            <w:r>
              <w:rPr>
                <w:spacing w:val="-10"/>
                <w:sz w:val="17"/>
              </w:rPr>
              <w:t> </w:t>
            </w:r>
            <w:r>
              <w:rPr>
                <w:sz w:val="17"/>
              </w:rPr>
              <w:t>paneles</w:t>
            </w:r>
            <w:r>
              <w:rPr>
                <w:spacing w:val="40"/>
                <w:sz w:val="17"/>
              </w:rPr>
              <w:t> </w:t>
            </w:r>
            <w:r>
              <w:rPr>
                <w:spacing w:val="-2"/>
                <w:sz w:val="17"/>
              </w:rPr>
              <w:t>electrónicos)</w:t>
            </w:r>
          </w:p>
        </w:tc>
        <w:tc>
          <w:tcPr>
            <w:tcW w:w="1454"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78"/>
              <w:rPr>
                <w:sz w:val="17"/>
              </w:rPr>
            </w:pPr>
            <w:r>
              <w:rPr>
                <w:spacing w:val="-2"/>
                <w:sz w:val="17"/>
              </w:rPr>
              <w:t>Digitalización</w:t>
            </w:r>
          </w:p>
        </w:tc>
        <w:tc>
          <w:tcPr>
            <w:tcW w:w="1233"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207"/>
              <w:jc w:val="right"/>
              <w:rPr>
                <w:sz w:val="17"/>
              </w:rPr>
            </w:pPr>
            <w:r>
              <w:rPr>
                <w:spacing w:val="-2"/>
                <w:sz w:val="17"/>
              </w:rPr>
              <w:t>184.375,99</w:t>
            </w:r>
          </w:p>
        </w:tc>
        <w:tc>
          <w:tcPr>
            <w:tcW w:w="586"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212"/>
              <w:jc w:val="right"/>
              <w:rPr>
                <w:sz w:val="17"/>
              </w:rPr>
            </w:pPr>
            <w:r>
              <w:rPr>
                <w:spacing w:val="-4"/>
                <w:sz w:val="17"/>
              </w:rPr>
              <w:t>0,37</w:t>
            </w:r>
          </w:p>
        </w:tc>
        <w:tc>
          <w:tcPr>
            <w:tcW w:w="1301"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490"/>
              <w:rPr>
                <w:sz w:val="17"/>
              </w:rPr>
            </w:pPr>
            <w:r>
              <w:rPr>
                <w:spacing w:val="-2"/>
                <w:sz w:val="17"/>
              </w:rPr>
              <w:t>18.437,60</w:t>
            </w:r>
          </w:p>
        </w:tc>
        <w:tc>
          <w:tcPr>
            <w:tcW w:w="496"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5"/>
              <w:rPr>
                <w:sz w:val="17"/>
              </w:rPr>
            </w:pPr>
            <w:r>
              <w:rPr>
                <w:spacing w:val="-2"/>
                <w:sz w:val="17"/>
              </w:rPr>
              <w:t>10,22</w:t>
            </w:r>
          </w:p>
        </w:tc>
        <w:tc>
          <w:tcPr>
            <w:tcW w:w="1189"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313"/>
              <w:rPr>
                <w:sz w:val="17"/>
              </w:rPr>
            </w:pPr>
            <w:r>
              <w:rPr>
                <w:spacing w:val="-2"/>
                <w:sz w:val="17"/>
              </w:rPr>
              <w:t>165.938,39</w:t>
            </w:r>
          </w:p>
        </w:tc>
        <w:tc>
          <w:tcPr>
            <w:tcW w:w="530"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1" w:right="123"/>
              <w:jc w:val="center"/>
              <w:rPr>
                <w:sz w:val="17"/>
              </w:rPr>
            </w:pPr>
            <w:r>
              <w:rPr>
                <w:spacing w:val="-2"/>
                <w:sz w:val="17"/>
              </w:rPr>
              <w:t>89,78</w:t>
            </w:r>
          </w:p>
        </w:tc>
        <w:tc>
          <w:tcPr>
            <w:tcW w:w="892"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105"/>
              <w:jc w:val="right"/>
              <w:rPr>
                <w:sz w:val="17"/>
              </w:rPr>
            </w:pPr>
            <w:r>
              <w:rPr>
                <w:spacing w:val="-4"/>
                <w:sz w:val="17"/>
              </w:rPr>
              <w:t>0,00</w:t>
            </w:r>
          </w:p>
        </w:tc>
        <w:tc>
          <w:tcPr>
            <w:tcW w:w="552"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71"/>
              <w:jc w:val="right"/>
              <w:rPr>
                <w:sz w:val="17"/>
              </w:rPr>
            </w:pPr>
            <w:r>
              <w:rPr>
                <w:spacing w:val="-4"/>
                <w:sz w:val="17"/>
              </w:rPr>
              <w:t>0,00</w:t>
            </w:r>
          </w:p>
        </w:tc>
        <w:tc>
          <w:tcPr>
            <w:tcW w:w="995"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67"/>
              <w:rPr>
                <w:sz w:val="17"/>
              </w:rPr>
            </w:pPr>
            <w:r>
              <w:rPr>
                <w:spacing w:val="-2"/>
                <w:sz w:val="17"/>
              </w:rPr>
              <w:t>Finalizada</w:t>
            </w:r>
          </w:p>
        </w:tc>
      </w:tr>
      <w:tr>
        <w:trPr>
          <w:trHeight w:val="387" w:hRule="atLeast"/>
        </w:trPr>
        <w:tc>
          <w:tcPr>
            <w:tcW w:w="1835" w:type="dxa"/>
            <w:tcBorders>
              <w:top w:val="single" w:sz="8" w:space="0" w:color="002D5D"/>
              <w:bottom w:val="single" w:sz="8" w:space="0" w:color="002D5D"/>
            </w:tcBorders>
          </w:tcPr>
          <w:p>
            <w:pPr>
              <w:pStyle w:val="TableParagraph"/>
              <w:spacing w:before="94"/>
              <w:ind w:left="69"/>
              <w:rPr>
                <w:sz w:val="17"/>
              </w:rPr>
            </w:pPr>
            <w:r>
              <w:rPr>
                <w:sz w:val="17"/>
              </w:rPr>
              <w:t>Marquesinas</w:t>
            </w:r>
            <w:r>
              <w:rPr>
                <w:spacing w:val="-5"/>
                <w:sz w:val="17"/>
              </w:rPr>
              <w:t> </w:t>
            </w:r>
            <w:r>
              <w:rPr>
                <w:spacing w:val="-2"/>
                <w:sz w:val="17"/>
              </w:rPr>
              <w:t>inteligentes</w:t>
            </w:r>
          </w:p>
        </w:tc>
        <w:tc>
          <w:tcPr>
            <w:tcW w:w="1454" w:type="dxa"/>
            <w:tcBorders>
              <w:top w:val="single" w:sz="8" w:space="0" w:color="002D5D"/>
              <w:bottom w:val="single" w:sz="8" w:space="0" w:color="002D5D"/>
            </w:tcBorders>
          </w:tcPr>
          <w:p>
            <w:pPr>
              <w:pStyle w:val="TableParagraph"/>
              <w:spacing w:before="94"/>
              <w:ind w:left="78"/>
              <w:rPr>
                <w:sz w:val="17"/>
              </w:rPr>
            </w:pPr>
            <w:r>
              <w:rPr>
                <w:spacing w:val="-2"/>
                <w:sz w:val="17"/>
              </w:rPr>
              <w:t>Digitalización</w:t>
            </w:r>
          </w:p>
        </w:tc>
        <w:tc>
          <w:tcPr>
            <w:tcW w:w="1233" w:type="dxa"/>
            <w:tcBorders>
              <w:top w:val="single" w:sz="8" w:space="0" w:color="002D5D"/>
              <w:bottom w:val="single" w:sz="8" w:space="0" w:color="002D5D"/>
            </w:tcBorders>
          </w:tcPr>
          <w:p>
            <w:pPr>
              <w:pStyle w:val="TableParagraph"/>
              <w:spacing w:before="101"/>
              <w:ind w:right="205"/>
              <w:jc w:val="right"/>
              <w:rPr>
                <w:sz w:val="16"/>
              </w:rPr>
            </w:pPr>
            <w:r>
              <w:rPr>
                <w:spacing w:val="-2"/>
                <w:sz w:val="16"/>
              </w:rPr>
              <w:t>3.552.012,62</w:t>
            </w:r>
          </w:p>
        </w:tc>
        <w:tc>
          <w:tcPr>
            <w:tcW w:w="586" w:type="dxa"/>
            <w:tcBorders>
              <w:top w:val="single" w:sz="8" w:space="0" w:color="002D5D"/>
              <w:bottom w:val="single" w:sz="8" w:space="0" w:color="002D5D"/>
            </w:tcBorders>
          </w:tcPr>
          <w:p>
            <w:pPr>
              <w:pStyle w:val="TableParagraph"/>
              <w:spacing w:before="94"/>
              <w:ind w:right="212"/>
              <w:jc w:val="right"/>
              <w:rPr>
                <w:sz w:val="17"/>
              </w:rPr>
            </w:pPr>
            <w:r>
              <w:rPr>
                <w:spacing w:val="-4"/>
                <w:sz w:val="17"/>
              </w:rPr>
              <w:t>7,22</w:t>
            </w:r>
          </w:p>
        </w:tc>
        <w:tc>
          <w:tcPr>
            <w:tcW w:w="1301" w:type="dxa"/>
            <w:tcBorders>
              <w:top w:val="single" w:sz="8" w:space="0" w:color="002D5D"/>
              <w:bottom w:val="single" w:sz="8" w:space="0" w:color="002D5D"/>
            </w:tcBorders>
          </w:tcPr>
          <w:p>
            <w:pPr>
              <w:pStyle w:val="TableParagraph"/>
              <w:spacing w:before="101"/>
              <w:ind w:left="451"/>
              <w:rPr>
                <w:sz w:val="16"/>
              </w:rPr>
            </w:pPr>
            <w:r>
              <w:rPr>
                <w:spacing w:val="-2"/>
                <w:sz w:val="16"/>
              </w:rPr>
              <w:t>363.173,16</w:t>
            </w:r>
          </w:p>
        </w:tc>
        <w:tc>
          <w:tcPr>
            <w:tcW w:w="496" w:type="dxa"/>
            <w:tcBorders>
              <w:top w:val="single" w:sz="8" w:space="0" w:color="002D5D"/>
              <w:bottom w:val="single" w:sz="8" w:space="0" w:color="002D5D"/>
            </w:tcBorders>
          </w:tcPr>
          <w:p>
            <w:pPr>
              <w:pStyle w:val="TableParagraph"/>
              <w:spacing w:before="94"/>
              <w:ind w:left="-5"/>
              <w:rPr>
                <w:sz w:val="17"/>
              </w:rPr>
            </w:pPr>
            <w:r>
              <w:rPr>
                <w:spacing w:val="-2"/>
                <w:sz w:val="17"/>
              </w:rPr>
              <w:t>10,00</w:t>
            </w:r>
          </w:p>
        </w:tc>
        <w:tc>
          <w:tcPr>
            <w:tcW w:w="1189" w:type="dxa"/>
            <w:tcBorders>
              <w:top w:val="single" w:sz="8" w:space="0" w:color="002D5D"/>
              <w:bottom w:val="single" w:sz="8" w:space="0" w:color="002D5D"/>
            </w:tcBorders>
          </w:tcPr>
          <w:p>
            <w:pPr>
              <w:pStyle w:val="TableParagraph"/>
              <w:spacing w:before="101"/>
              <w:ind w:left="246"/>
              <w:rPr>
                <w:sz w:val="16"/>
              </w:rPr>
            </w:pPr>
            <w:r>
              <w:rPr>
                <w:spacing w:val="-2"/>
                <w:sz w:val="16"/>
              </w:rPr>
              <w:t>3.188.839,46</w:t>
            </w:r>
          </w:p>
        </w:tc>
        <w:tc>
          <w:tcPr>
            <w:tcW w:w="530" w:type="dxa"/>
            <w:tcBorders>
              <w:top w:val="single" w:sz="8" w:space="0" w:color="002D5D"/>
              <w:bottom w:val="single" w:sz="8" w:space="0" w:color="002D5D"/>
            </w:tcBorders>
          </w:tcPr>
          <w:p>
            <w:pPr>
              <w:pStyle w:val="TableParagraph"/>
              <w:spacing w:before="94"/>
              <w:ind w:left="1" w:right="123"/>
              <w:jc w:val="center"/>
              <w:rPr>
                <w:sz w:val="17"/>
              </w:rPr>
            </w:pPr>
            <w:r>
              <w:rPr>
                <w:spacing w:val="-2"/>
                <w:sz w:val="17"/>
              </w:rPr>
              <w:t>90,00</w:t>
            </w:r>
          </w:p>
        </w:tc>
        <w:tc>
          <w:tcPr>
            <w:tcW w:w="892" w:type="dxa"/>
            <w:tcBorders>
              <w:top w:val="single" w:sz="8" w:space="0" w:color="002D5D"/>
              <w:bottom w:val="single" w:sz="8" w:space="0" w:color="002D5D"/>
            </w:tcBorders>
          </w:tcPr>
          <w:p>
            <w:pPr>
              <w:pStyle w:val="TableParagraph"/>
              <w:spacing w:before="94"/>
              <w:ind w:right="105"/>
              <w:jc w:val="right"/>
              <w:rPr>
                <w:sz w:val="17"/>
              </w:rPr>
            </w:pPr>
            <w:r>
              <w:rPr>
                <w:spacing w:val="-4"/>
                <w:sz w:val="17"/>
              </w:rPr>
              <w:t>0,00</w:t>
            </w:r>
          </w:p>
        </w:tc>
        <w:tc>
          <w:tcPr>
            <w:tcW w:w="552" w:type="dxa"/>
            <w:tcBorders>
              <w:top w:val="single" w:sz="8" w:space="0" w:color="002D5D"/>
              <w:bottom w:val="single" w:sz="8" w:space="0" w:color="002D5D"/>
            </w:tcBorders>
          </w:tcPr>
          <w:p>
            <w:pPr>
              <w:pStyle w:val="TableParagraph"/>
              <w:spacing w:before="94"/>
              <w:ind w:right="71"/>
              <w:jc w:val="right"/>
              <w:rPr>
                <w:sz w:val="17"/>
              </w:rPr>
            </w:pPr>
            <w:r>
              <w:rPr>
                <w:spacing w:val="-4"/>
                <w:sz w:val="17"/>
              </w:rPr>
              <w:t>0,00</w:t>
            </w:r>
          </w:p>
        </w:tc>
        <w:tc>
          <w:tcPr>
            <w:tcW w:w="995" w:type="dxa"/>
            <w:tcBorders>
              <w:top w:val="single" w:sz="8" w:space="0" w:color="002D5D"/>
              <w:bottom w:val="single" w:sz="8" w:space="0" w:color="002D5D"/>
            </w:tcBorders>
          </w:tcPr>
          <w:p>
            <w:pPr>
              <w:pStyle w:val="TableParagraph"/>
              <w:spacing w:before="94"/>
              <w:ind w:left="67"/>
              <w:rPr>
                <w:sz w:val="17"/>
              </w:rPr>
            </w:pPr>
            <w:r>
              <w:rPr>
                <w:spacing w:val="-2"/>
                <w:sz w:val="17"/>
              </w:rPr>
              <w:t>Finalizada</w:t>
            </w:r>
          </w:p>
        </w:tc>
      </w:tr>
      <w:tr>
        <w:trPr>
          <w:trHeight w:val="779" w:hRule="atLeast"/>
        </w:trPr>
        <w:tc>
          <w:tcPr>
            <w:tcW w:w="1835" w:type="dxa"/>
            <w:tcBorders>
              <w:top w:val="single" w:sz="8" w:space="0" w:color="002D5D"/>
              <w:bottom w:val="single" w:sz="8" w:space="0" w:color="002D5D"/>
            </w:tcBorders>
          </w:tcPr>
          <w:p>
            <w:pPr>
              <w:pStyle w:val="TableParagraph"/>
              <w:ind w:left="69"/>
              <w:rPr>
                <w:sz w:val="17"/>
              </w:rPr>
            </w:pPr>
            <w:r>
              <w:rPr>
                <w:sz w:val="17"/>
              </w:rPr>
              <w:t>Digitalización de las</w:t>
            </w:r>
            <w:r>
              <w:rPr>
                <w:spacing w:val="40"/>
                <w:sz w:val="17"/>
              </w:rPr>
              <w:t> </w:t>
            </w:r>
            <w:r>
              <w:rPr>
                <w:sz w:val="17"/>
              </w:rPr>
              <w:t>actividades del taller y</w:t>
            </w:r>
          </w:p>
          <w:p>
            <w:pPr>
              <w:pStyle w:val="TableParagraph"/>
              <w:spacing w:line="194" w:lineRule="exact"/>
              <w:ind w:left="69"/>
              <w:rPr>
                <w:sz w:val="17"/>
              </w:rPr>
            </w:pPr>
            <w:r>
              <w:rPr>
                <w:sz w:val="17"/>
              </w:rPr>
              <w:t>auxiliares</w:t>
            </w:r>
            <w:r>
              <w:rPr>
                <w:spacing w:val="-10"/>
                <w:sz w:val="17"/>
              </w:rPr>
              <w:t> </w:t>
            </w:r>
            <w:r>
              <w:rPr>
                <w:sz w:val="17"/>
              </w:rPr>
              <w:t>para</w:t>
            </w:r>
            <w:r>
              <w:rPr>
                <w:spacing w:val="-10"/>
                <w:sz w:val="17"/>
              </w:rPr>
              <w:t> </w:t>
            </w:r>
            <w:r>
              <w:rPr>
                <w:sz w:val="17"/>
              </w:rPr>
              <w:t>una</w:t>
            </w:r>
            <w:r>
              <w:rPr>
                <w:spacing w:val="-10"/>
                <w:sz w:val="17"/>
              </w:rPr>
              <w:t> </w:t>
            </w:r>
            <w:r>
              <w:rPr>
                <w:sz w:val="17"/>
              </w:rPr>
              <w:t>flota</w:t>
            </w:r>
            <w:r>
              <w:rPr>
                <w:spacing w:val="40"/>
                <w:sz w:val="17"/>
              </w:rPr>
              <w:t> </w:t>
            </w:r>
            <w:r>
              <w:rPr>
                <w:spacing w:val="-2"/>
                <w:sz w:val="17"/>
              </w:rPr>
              <w:t>sostenible</w:t>
            </w:r>
          </w:p>
        </w:tc>
        <w:tc>
          <w:tcPr>
            <w:tcW w:w="1454" w:type="dxa"/>
            <w:tcBorders>
              <w:top w:val="single" w:sz="8" w:space="0" w:color="002D5D"/>
              <w:bottom w:val="single" w:sz="8" w:space="0" w:color="002D5D"/>
            </w:tcBorders>
          </w:tcPr>
          <w:p>
            <w:pPr>
              <w:pStyle w:val="TableParagraph"/>
              <w:spacing w:before="96"/>
              <w:rPr>
                <w:rFonts w:ascii="Arial"/>
                <w:b/>
                <w:sz w:val="17"/>
              </w:rPr>
            </w:pPr>
          </w:p>
          <w:p>
            <w:pPr>
              <w:pStyle w:val="TableParagraph"/>
              <w:ind w:left="78"/>
              <w:rPr>
                <w:sz w:val="17"/>
              </w:rPr>
            </w:pPr>
            <w:r>
              <w:rPr>
                <w:spacing w:val="-2"/>
                <w:sz w:val="17"/>
              </w:rPr>
              <w:t>Digitalización</w:t>
            </w:r>
          </w:p>
        </w:tc>
        <w:tc>
          <w:tcPr>
            <w:tcW w:w="1233" w:type="dxa"/>
            <w:tcBorders>
              <w:top w:val="single" w:sz="8" w:space="0" w:color="002D5D"/>
              <w:bottom w:val="single" w:sz="8" w:space="0" w:color="002D5D"/>
            </w:tcBorders>
          </w:tcPr>
          <w:p>
            <w:pPr>
              <w:pStyle w:val="TableParagraph"/>
              <w:spacing w:before="96"/>
              <w:rPr>
                <w:rFonts w:ascii="Arial"/>
                <w:b/>
                <w:sz w:val="17"/>
              </w:rPr>
            </w:pPr>
          </w:p>
          <w:p>
            <w:pPr>
              <w:pStyle w:val="TableParagraph"/>
              <w:ind w:right="207"/>
              <w:jc w:val="right"/>
              <w:rPr>
                <w:sz w:val="17"/>
              </w:rPr>
            </w:pPr>
            <w:r>
              <w:rPr>
                <w:spacing w:val="-2"/>
                <w:sz w:val="17"/>
              </w:rPr>
              <w:t>26.510,78</w:t>
            </w:r>
          </w:p>
        </w:tc>
        <w:tc>
          <w:tcPr>
            <w:tcW w:w="586" w:type="dxa"/>
            <w:tcBorders>
              <w:top w:val="single" w:sz="8" w:space="0" w:color="002D5D"/>
              <w:bottom w:val="single" w:sz="8" w:space="0" w:color="002D5D"/>
            </w:tcBorders>
          </w:tcPr>
          <w:p>
            <w:pPr>
              <w:pStyle w:val="TableParagraph"/>
              <w:spacing w:before="96"/>
              <w:rPr>
                <w:rFonts w:ascii="Arial"/>
                <w:b/>
                <w:sz w:val="17"/>
              </w:rPr>
            </w:pPr>
          </w:p>
          <w:p>
            <w:pPr>
              <w:pStyle w:val="TableParagraph"/>
              <w:ind w:right="212"/>
              <w:jc w:val="right"/>
              <w:rPr>
                <w:sz w:val="17"/>
              </w:rPr>
            </w:pPr>
            <w:r>
              <w:rPr>
                <w:spacing w:val="-4"/>
                <w:sz w:val="17"/>
              </w:rPr>
              <w:t>0,05</w:t>
            </w:r>
          </w:p>
        </w:tc>
        <w:tc>
          <w:tcPr>
            <w:tcW w:w="1301" w:type="dxa"/>
            <w:tcBorders>
              <w:top w:val="single" w:sz="8" w:space="0" w:color="002D5D"/>
              <w:bottom w:val="single" w:sz="8" w:space="0" w:color="002D5D"/>
            </w:tcBorders>
          </w:tcPr>
          <w:p>
            <w:pPr>
              <w:pStyle w:val="TableParagraph"/>
              <w:spacing w:before="96"/>
              <w:rPr>
                <w:rFonts w:ascii="Arial"/>
                <w:b/>
                <w:sz w:val="17"/>
              </w:rPr>
            </w:pPr>
          </w:p>
          <w:p>
            <w:pPr>
              <w:pStyle w:val="TableParagraph"/>
              <w:ind w:left="567"/>
              <w:rPr>
                <w:sz w:val="17"/>
              </w:rPr>
            </w:pPr>
            <w:r>
              <w:rPr>
                <w:spacing w:val="-2"/>
                <w:sz w:val="17"/>
              </w:rPr>
              <w:t>2.651,08</w:t>
            </w:r>
          </w:p>
        </w:tc>
        <w:tc>
          <w:tcPr>
            <w:tcW w:w="496" w:type="dxa"/>
            <w:tcBorders>
              <w:top w:val="single" w:sz="8" w:space="0" w:color="002D5D"/>
              <w:bottom w:val="single" w:sz="8" w:space="0" w:color="002D5D"/>
            </w:tcBorders>
          </w:tcPr>
          <w:p>
            <w:pPr>
              <w:pStyle w:val="TableParagraph"/>
              <w:spacing w:before="96"/>
              <w:rPr>
                <w:rFonts w:ascii="Arial"/>
                <w:b/>
                <w:sz w:val="17"/>
              </w:rPr>
            </w:pPr>
          </w:p>
          <w:p>
            <w:pPr>
              <w:pStyle w:val="TableParagraph"/>
              <w:ind w:left="-5"/>
              <w:rPr>
                <w:sz w:val="17"/>
              </w:rPr>
            </w:pPr>
            <w:r>
              <w:rPr>
                <w:spacing w:val="-2"/>
                <w:sz w:val="17"/>
              </w:rPr>
              <w:t>10,00</w:t>
            </w:r>
          </w:p>
        </w:tc>
        <w:tc>
          <w:tcPr>
            <w:tcW w:w="1189" w:type="dxa"/>
            <w:tcBorders>
              <w:top w:val="single" w:sz="8" w:space="0" w:color="002D5D"/>
              <w:bottom w:val="single" w:sz="8" w:space="0" w:color="002D5D"/>
            </w:tcBorders>
          </w:tcPr>
          <w:p>
            <w:pPr>
              <w:pStyle w:val="TableParagraph"/>
              <w:spacing w:before="96"/>
              <w:rPr>
                <w:rFonts w:ascii="Arial"/>
                <w:b/>
                <w:sz w:val="17"/>
              </w:rPr>
            </w:pPr>
          </w:p>
          <w:p>
            <w:pPr>
              <w:pStyle w:val="TableParagraph"/>
              <w:ind w:left="392"/>
              <w:rPr>
                <w:sz w:val="17"/>
              </w:rPr>
            </w:pPr>
            <w:r>
              <w:rPr>
                <w:spacing w:val="-2"/>
                <w:sz w:val="17"/>
              </w:rPr>
              <w:t>23.859,70</w:t>
            </w:r>
          </w:p>
        </w:tc>
        <w:tc>
          <w:tcPr>
            <w:tcW w:w="530" w:type="dxa"/>
            <w:tcBorders>
              <w:top w:val="single" w:sz="8" w:space="0" w:color="002D5D"/>
              <w:bottom w:val="single" w:sz="8" w:space="0" w:color="002D5D"/>
            </w:tcBorders>
          </w:tcPr>
          <w:p>
            <w:pPr>
              <w:pStyle w:val="TableParagraph"/>
              <w:spacing w:before="96"/>
              <w:rPr>
                <w:rFonts w:ascii="Arial"/>
                <w:b/>
                <w:sz w:val="17"/>
              </w:rPr>
            </w:pPr>
          </w:p>
          <w:p>
            <w:pPr>
              <w:pStyle w:val="TableParagraph"/>
              <w:ind w:left="1" w:right="123"/>
              <w:jc w:val="center"/>
              <w:rPr>
                <w:sz w:val="17"/>
              </w:rPr>
            </w:pPr>
            <w:r>
              <w:rPr>
                <w:spacing w:val="-2"/>
                <w:sz w:val="17"/>
              </w:rPr>
              <w:t>90,00</w:t>
            </w:r>
          </w:p>
        </w:tc>
        <w:tc>
          <w:tcPr>
            <w:tcW w:w="892" w:type="dxa"/>
            <w:tcBorders>
              <w:top w:val="single" w:sz="8" w:space="0" w:color="002D5D"/>
              <w:bottom w:val="single" w:sz="8" w:space="0" w:color="002D5D"/>
            </w:tcBorders>
          </w:tcPr>
          <w:p>
            <w:pPr>
              <w:pStyle w:val="TableParagraph"/>
              <w:spacing w:before="96"/>
              <w:rPr>
                <w:rFonts w:ascii="Arial"/>
                <w:b/>
                <w:sz w:val="17"/>
              </w:rPr>
            </w:pPr>
          </w:p>
          <w:p>
            <w:pPr>
              <w:pStyle w:val="TableParagraph"/>
              <w:ind w:right="105"/>
              <w:jc w:val="right"/>
              <w:rPr>
                <w:sz w:val="17"/>
              </w:rPr>
            </w:pPr>
            <w:r>
              <w:rPr>
                <w:spacing w:val="-4"/>
                <w:sz w:val="17"/>
              </w:rPr>
              <w:t>0,00</w:t>
            </w:r>
          </w:p>
        </w:tc>
        <w:tc>
          <w:tcPr>
            <w:tcW w:w="552" w:type="dxa"/>
            <w:tcBorders>
              <w:top w:val="single" w:sz="8" w:space="0" w:color="002D5D"/>
              <w:bottom w:val="single" w:sz="8" w:space="0" w:color="002D5D"/>
            </w:tcBorders>
          </w:tcPr>
          <w:p>
            <w:pPr>
              <w:pStyle w:val="TableParagraph"/>
              <w:spacing w:before="96"/>
              <w:rPr>
                <w:rFonts w:ascii="Arial"/>
                <w:b/>
                <w:sz w:val="17"/>
              </w:rPr>
            </w:pPr>
          </w:p>
          <w:p>
            <w:pPr>
              <w:pStyle w:val="TableParagraph"/>
              <w:ind w:right="71"/>
              <w:jc w:val="right"/>
              <w:rPr>
                <w:sz w:val="17"/>
              </w:rPr>
            </w:pPr>
            <w:r>
              <w:rPr>
                <w:spacing w:val="-4"/>
                <w:sz w:val="17"/>
              </w:rPr>
              <w:t>0,00</w:t>
            </w:r>
          </w:p>
        </w:tc>
        <w:tc>
          <w:tcPr>
            <w:tcW w:w="995" w:type="dxa"/>
            <w:tcBorders>
              <w:top w:val="single" w:sz="8" w:space="0" w:color="002D5D"/>
              <w:bottom w:val="single" w:sz="8" w:space="0" w:color="002D5D"/>
            </w:tcBorders>
          </w:tcPr>
          <w:p>
            <w:pPr>
              <w:pStyle w:val="TableParagraph"/>
              <w:spacing w:before="96"/>
              <w:rPr>
                <w:rFonts w:ascii="Arial"/>
                <w:b/>
                <w:sz w:val="17"/>
              </w:rPr>
            </w:pPr>
          </w:p>
          <w:p>
            <w:pPr>
              <w:pStyle w:val="TableParagraph"/>
              <w:ind w:left="67"/>
              <w:rPr>
                <w:sz w:val="17"/>
              </w:rPr>
            </w:pPr>
            <w:r>
              <w:rPr>
                <w:spacing w:val="-2"/>
                <w:sz w:val="17"/>
              </w:rPr>
              <w:t>Finalizada</w:t>
            </w:r>
          </w:p>
        </w:tc>
      </w:tr>
      <w:tr>
        <w:trPr>
          <w:trHeight w:val="781" w:hRule="atLeast"/>
        </w:trPr>
        <w:tc>
          <w:tcPr>
            <w:tcW w:w="1835" w:type="dxa"/>
            <w:tcBorders>
              <w:top w:val="single" w:sz="8" w:space="0" w:color="002D5D"/>
              <w:bottom w:val="single" w:sz="8" w:space="0" w:color="002D5D"/>
            </w:tcBorders>
          </w:tcPr>
          <w:p>
            <w:pPr>
              <w:pStyle w:val="TableParagraph"/>
              <w:ind w:left="69"/>
              <w:rPr>
                <w:sz w:val="17"/>
              </w:rPr>
            </w:pPr>
            <w:r>
              <w:rPr>
                <w:sz w:val="17"/>
              </w:rPr>
              <w:t>Sistema</w:t>
            </w:r>
            <w:r>
              <w:rPr>
                <w:spacing w:val="-4"/>
                <w:sz w:val="17"/>
              </w:rPr>
              <w:t> </w:t>
            </w:r>
            <w:r>
              <w:rPr>
                <w:sz w:val="17"/>
              </w:rPr>
              <w:t>de</w:t>
            </w:r>
            <w:r>
              <w:rPr>
                <w:spacing w:val="40"/>
                <w:sz w:val="17"/>
              </w:rPr>
              <w:t> </w:t>
            </w:r>
            <w:r>
              <w:rPr>
                <w:sz w:val="17"/>
              </w:rPr>
              <w:t>antiemparejamiento de</w:t>
            </w:r>
          </w:p>
          <w:p>
            <w:pPr>
              <w:pStyle w:val="TableParagraph"/>
              <w:spacing w:line="194" w:lineRule="exact"/>
              <w:ind w:left="69"/>
              <w:rPr>
                <w:sz w:val="17"/>
              </w:rPr>
            </w:pPr>
            <w:r>
              <w:rPr>
                <w:sz w:val="17"/>
              </w:rPr>
              <w:t>autobuses</w:t>
            </w:r>
            <w:r>
              <w:rPr>
                <w:spacing w:val="-10"/>
                <w:sz w:val="17"/>
              </w:rPr>
              <w:t> </w:t>
            </w:r>
            <w:r>
              <w:rPr>
                <w:sz w:val="17"/>
              </w:rPr>
              <w:t>y</w:t>
            </w:r>
            <w:r>
              <w:rPr>
                <w:spacing w:val="-10"/>
                <w:sz w:val="17"/>
              </w:rPr>
              <w:t> </w:t>
            </w:r>
            <w:r>
              <w:rPr>
                <w:sz w:val="17"/>
              </w:rPr>
              <w:t>de</w:t>
            </w:r>
            <w:r>
              <w:rPr>
                <w:spacing w:val="-10"/>
                <w:sz w:val="17"/>
              </w:rPr>
              <w:t> </w:t>
            </w:r>
            <w:r>
              <w:rPr>
                <w:sz w:val="17"/>
              </w:rPr>
              <w:t>conducción</w:t>
            </w:r>
            <w:r>
              <w:rPr>
                <w:spacing w:val="40"/>
                <w:sz w:val="17"/>
              </w:rPr>
              <w:t> </w:t>
            </w:r>
            <w:r>
              <w:rPr>
                <w:spacing w:val="-2"/>
                <w:sz w:val="17"/>
              </w:rPr>
              <w:t>eficiente</w:t>
            </w:r>
          </w:p>
        </w:tc>
        <w:tc>
          <w:tcPr>
            <w:tcW w:w="1454" w:type="dxa"/>
            <w:tcBorders>
              <w:top w:val="single" w:sz="8" w:space="0" w:color="002D5D"/>
              <w:bottom w:val="single" w:sz="8" w:space="0" w:color="002D5D"/>
            </w:tcBorders>
          </w:tcPr>
          <w:p>
            <w:pPr>
              <w:pStyle w:val="TableParagraph"/>
              <w:spacing w:before="96"/>
              <w:rPr>
                <w:rFonts w:ascii="Arial"/>
                <w:b/>
                <w:sz w:val="17"/>
              </w:rPr>
            </w:pPr>
          </w:p>
          <w:p>
            <w:pPr>
              <w:pStyle w:val="TableParagraph"/>
              <w:ind w:left="78"/>
              <w:rPr>
                <w:sz w:val="17"/>
              </w:rPr>
            </w:pPr>
            <w:r>
              <w:rPr>
                <w:spacing w:val="-2"/>
                <w:sz w:val="17"/>
              </w:rPr>
              <w:t>Digitalización</w:t>
            </w:r>
          </w:p>
        </w:tc>
        <w:tc>
          <w:tcPr>
            <w:tcW w:w="1233" w:type="dxa"/>
            <w:tcBorders>
              <w:top w:val="single" w:sz="8" w:space="0" w:color="002D5D"/>
              <w:bottom w:val="single" w:sz="8" w:space="0" w:color="002D5D"/>
            </w:tcBorders>
          </w:tcPr>
          <w:p>
            <w:pPr>
              <w:pStyle w:val="TableParagraph"/>
              <w:spacing w:before="96"/>
              <w:rPr>
                <w:rFonts w:ascii="Arial"/>
                <w:b/>
                <w:sz w:val="17"/>
              </w:rPr>
            </w:pPr>
          </w:p>
          <w:p>
            <w:pPr>
              <w:pStyle w:val="TableParagraph"/>
              <w:ind w:right="207"/>
              <w:jc w:val="right"/>
              <w:rPr>
                <w:sz w:val="17"/>
              </w:rPr>
            </w:pPr>
            <w:r>
              <w:rPr>
                <w:spacing w:val="-2"/>
                <w:sz w:val="17"/>
              </w:rPr>
              <w:t>40.000,00</w:t>
            </w:r>
          </w:p>
        </w:tc>
        <w:tc>
          <w:tcPr>
            <w:tcW w:w="586" w:type="dxa"/>
            <w:tcBorders>
              <w:top w:val="single" w:sz="8" w:space="0" w:color="002D5D"/>
              <w:bottom w:val="single" w:sz="8" w:space="0" w:color="002D5D"/>
            </w:tcBorders>
          </w:tcPr>
          <w:p>
            <w:pPr>
              <w:pStyle w:val="TableParagraph"/>
              <w:spacing w:before="96"/>
              <w:rPr>
                <w:rFonts w:ascii="Arial"/>
                <w:b/>
                <w:sz w:val="17"/>
              </w:rPr>
            </w:pPr>
          </w:p>
          <w:p>
            <w:pPr>
              <w:pStyle w:val="TableParagraph"/>
              <w:ind w:right="212"/>
              <w:jc w:val="right"/>
              <w:rPr>
                <w:sz w:val="17"/>
              </w:rPr>
            </w:pPr>
            <w:r>
              <w:rPr>
                <w:spacing w:val="-4"/>
                <w:sz w:val="17"/>
              </w:rPr>
              <w:t>0,08</w:t>
            </w:r>
          </w:p>
        </w:tc>
        <w:tc>
          <w:tcPr>
            <w:tcW w:w="1301" w:type="dxa"/>
            <w:tcBorders>
              <w:top w:val="single" w:sz="8" w:space="0" w:color="002D5D"/>
              <w:bottom w:val="single" w:sz="8" w:space="0" w:color="002D5D"/>
            </w:tcBorders>
          </w:tcPr>
          <w:p>
            <w:pPr>
              <w:pStyle w:val="TableParagraph"/>
              <w:spacing w:before="96"/>
              <w:rPr>
                <w:rFonts w:ascii="Arial"/>
                <w:b/>
                <w:sz w:val="17"/>
              </w:rPr>
            </w:pPr>
          </w:p>
          <w:p>
            <w:pPr>
              <w:pStyle w:val="TableParagraph"/>
              <w:ind w:left="567"/>
              <w:rPr>
                <w:sz w:val="17"/>
              </w:rPr>
            </w:pPr>
            <w:r>
              <w:rPr>
                <w:spacing w:val="-2"/>
                <w:sz w:val="17"/>
              </w:rPr>
              <w:t>4.000,00</w:t>
            </w:r>
          </w:p>
        </w:tc>
        <w:tc>
          <w:tcPr>
            <w:tcW w:w="496" w:type="dxa"/>
            <w:tcBorders>
              <w:top w:val="single" w:sz="8" w:space="0" w:color="002D5D"/>
              <w:bottom w:val="single" w:sz="8" w:space="0" w:color="002D5D"/>
            </w:tcBorders>
          </w:tcPr>
          <w:p>
            <w:pPr>
              <w:pStyle w:val="TableParagraph"/>
              <w:spacing w:before="96"/>
              <w:rPr>
                <w:rFonts w:ascii="Arial"/>
                <w:b/>
                <w:sz w:val="17"/>
              </w:rPr>
            </w:pPr>
          </w:p>
          <w:p>
            <w:pPr>
              <w:pStyle w:val="TableParagraph"/>
              <w:ind w:left="-5"/>
              <w:rPr>
                <w:sz w:val="17"/>
              </w:rPr>
            </w:pPr>
            <w:r>
              <w:rPr>
                <w:spacing w:val="-2"/>
                <w:sz w:val="17"/>
              </w:rPr>
              <w:t>10,00</w:t>
            </w:r>
          </w:p>
        </w:tc>
        <w:tc>
          <w:tcPr>
            <w:tcW w:w="1189" w:type="dxa"/>
            <w:tcBorders>
              <w:top w:val="single" w:sz="8" w:space="0" w:color="002D5D"/>
              <w:bottom w:val="single" w:sz="8" w:space="0" w:color="002D5D"/>
            </w:tcBorders>
          </w:tcPr>
          <w:p>
            <w:pPr>
              <w:pStyle w:val="TableParagraph"/>
              <w:spacing w:before="96"/>
              <w:rPr>
                <w:rFonts w:ascii="Arial"/>
                <w:b/>
                <w:sz w:val="17"/>
              </w:rPr>
            </w:pPr>
          </w:p>
          <w:p>
            <w:pPr>
              <w:pStyle w:val="TableParagraph"/>
              <w:ind w:left="392"/>
              <w:rPr>
                <w:sz w:val="17"/>
              </w:rPr>
            </w:pPr>
            <w:r>
              <w:rPr>
                <w:spacing w:val="-2"/>
                <w:sz w:val="17"/>
              </w:rPr>
              <w:t>36.000,00</w:t>
            </w:r>
          </w:p>
        </w:tc>
        <w:tc>
          <w:tcPr>
            <w:tcW w:w="530" w:type="dxa"/>
            <w:tcBorders>
              <w:top w:val="single" w:sz="8" w:space="0" w:color="002D5D"/>
              <w:bottom w:val="single" w:sz="8" w:space="0" w:color="002D5D"/>
            </w:tcBorders>
          </w:tcPr>
          <w:p>
            <w:pPr>
              <w:pStyle w:val="TableParagraph"/>
              <w:spacing w:before="96"/>
              <w:rPr>
                <w:rFonts w:ascii="Arial"/>
                <w:b/>
                <w:sz w:val="17"/>
              </w:rPr>
            </w:pPr>
          </w:p>
          <w:p>
            <w:pPr>
              <w:pStyle w:val="TableParagraph"/>
              <w:ind w:left="1" w:right="123"/>
              <w:jc w:val="center"/>
              <w:rPr>
                <w:sz w:val="17"/>
              </w:rPr>
            </w:pPr>
            <w:r>
              <w:rPr>
                <w:spacing w:val="-2"/>
                <w:sz w:val="17"/>
              </w:rPr>
              <w:t>90,00</w:t>
            </w:r>
          </w:p>
        </w:tc>
        <w:tc>
          <w:tcPr>
            <w:tcW w:w="892" w:type="dxa"/>
            <w:tcBorders>
              <w:top w:val="single" w:sz="8" w:space="0" w:color="002D5D"/>
              <w:bottom w:val="single" w:sz="8" w:space="0" w:color="002D5D"/>
            </w:tcBorders>
          </w:tcPr>
          <w:p>
            <w:pPr>
              <w:pStyle w:val="TableParagraph"/>
              <w:spacing w:before="96"/>
              <w:rPr>
                <w:rFonts w:ascii="Arial"/>
                <w:b/>
                <w:sz w:val="17"/>
              </w:rPr>
            </w:pPr>
          </w:p>
          <w:p>
            <w:pPr>
              <w:pStyle w:val="TableParagraph"/>
              <w:ind w:right="105"/>
              <w:jc w:val="right"/>
              <w:rPr>
                <w:sz w:val="17"/>
              </w:rPr>
            </w:pPr>
            <w:r>
              <w:rPr>
                <w:spacing w:val="-4"/>
                <w:sz w:val="17"/>
              </w:rPr>
              <w:t>0,00</w:t>
            </w:r>
          </w:p>
        </w:tc>
        <w:tc>
          <w:tcPr>
            <w:tcW w:w="552" w:type="dxa"/>
            <w:tcBorders>
              <w:top w:val="single" w:sz="8" w:space="0" w:color="002D5D"/>
              <w:bottom w:val="single" w:sz="8" w:space="0" w:color="002D5D"/>
            </w:tcBorders>
          </w:tcPr>
          <w:p>
            <w:pPr>
              <w:pStyle w:val="TableParagraph"/>
              <w:spacing w:before="96"/>
              <w:rPr>
                <w:rFonts w:ascii="Arial"/>
                <w:b/>
                <w:sz w:val="17"/>
              </w:rPr>
            </w:pPr>
          </w:p>
          <w:p>
            <w:pPr>
              <w:pStyle w:val="TableParagraph"/>
              <w:ind w:right="71"/>
              <w:jc w:val="right"/>
              <w:rPr>
                <w:sz w:val="17"/>
              </w:rPr>
            </w:pPr>
            <w:r>
              <w:rPr>
                <w:spacing w:val="-4"/>
                <w:sz w:val="17"/>
              </w:rPr>
              <w:t>0,00</w:t>
            </w:r>
          </w:p>
        </w:tc>
        <w:tc>
          <w:tcPr>
            <w:tcW w:w="995" w:type="dxa"/>
            <w:tcBorders>
              <w:top w:val="single" w:sz="8" w:space="0" w:color="002D5D"/>
              <w:bottom w:val="single" w:sz="8" w:space="0" w:color="002D5D"/>
            </w:tcBorders>
          </w:tcPr>
          <w:p>
            <w:pPr>
              <w:pStyle w:val="TableParagraph"/>
              <w:spacing w:before="96"/>
              <w:rPr>
                <w:rFonts w:ascii="Arial"/>
                <w:b/>
                <w:sz w:val="17"/>
              </w:rPr>
            </w:pPr>
          </w:p>
          <w:p>
            <w:pPr>
              <w:pStyle w:val="TableParagraph"/>
              <w:ind w:left="67"/>
              <w:rPr>
                <w:sz w:val="17"/>
              </w:rPr>
            </w:pPr>
            <w:r>
              <w:rPr>
                <w:spacing w:val="-2"/>
                <w:sz w:val="17"/>
              </w:rPr>
              <w:t>Finalizada</w:t>
            </w:r>
          </w:p>
        </w:tc>
      </w:tr>
      <w:tr>
        <w:trPr>
          <w:trHeight w:val="1364" w:hRule="atLeast"/>
        </w:trPr>
        <w:tc>
          <w:tcPr>
            <w:tcW w:w="1835" w:type="dxa"/>
            <w:tcBorders>
              <w:top w:val="single" w:sz="8" w:space="0" w:color="002D5D"/>
              <w:bottom w:val="single" w:sz="4" w:space="0" w:color="002D5D"/>
            </w:tcBorders>
          </w:tcPr>
          <w:p>
            <w:pPr>
              <w:pStyle w:val="TableParagraph"/>
              <w:ind w:left="69" w:right="93"/>
              <w:rPr>
                <w:sz w:val="17"/>
              </w:rPr>
            </w:pPr>
            <w:r>
              <w:rPr>
                <w:sz w:val="17"/>
              </w:rPr>
              <w:t>Sistemas</w:t>
            </w:r>
            <w:r>
              <w:rPr>
                <w:spacing w:val="-10"/>
                <w:sz w:val="17"/>
              </w:rPr>
              <w:t> </w:t>
            </w:r>
            <w:r>
              <w:rPr>
                <w:sz w:val="17"/>
              </w:rPr>
              <w:t>de</w:t>
            </w:r>
            <w:r>
              <w:rPr>
                <w:spacing w:val="-10"/>
                <w:sz w:val="17"/>
              </w:rPr>
              <w:t> </w:t>
            </w:r>
            <w:r>
              <w:rPr>
                <w:sz w:val="17"/>
              </w:rPr>
              <w:t>sensorización</w:t>
            </w:r>
            <w:r>
              <w:rPr>
                <w:spacing w:val="40"/>
                <w:sz w:val="17"/>
              </w:rPr>
              <w:t> </w:t>
            </w:r>
            <w:r>
              <w:rPr>
                <w:sz w:val="17"/>
              </w:rPr>
              <w:t>y monitorización de los</w:t>
            </w:r>
            <w:r>
              <w:rPr>
                <w:spacing w:val="40"/>
                <w:sz w:val="17"/>
              </w:rPr>
              <w:t> </w:t>
            </w:r>
            <w:r>
              <w:rPr>
                <w:sz w:val="17"/>
              </w:rPr>
              <w:t>autobuses (rampas</w:t>
            </w:r>
            <w:r>
              <w:rPr>
                <w:spacing w:val="40"/>
                <w:sz w:val="17"/>
              </w:rPr>
              <w:t> </w:t>
            </w:r>
            <w:r>
              <w:rPr>
                <w:sz w:val="17"/>
              </w:rPr>
              <w:t>inteligentes,</w:t>
            </w:r>
            <w:r>
              <w:rPr>
                <w:spacing w:val="-4"/>
                <w:sz w:val="17"/>
              </w:rPr>
              <w:t> </w:t>
            </w:r>
            <w:r>
              <w:rPr>
                <w:sz w:val="17"/>
              </w:rPr>
              <w:t>contaje</w:t>
            </w:r>
            <w:r>
              <w:rPr>
                <w:spacing w:val="40"/>
                <w:sz w:val="17"/>
              </w:rPr>
              <w:t> </w:t>
            </w:r>
            <w:r>
              <w:rPr>
                <w:sz w:val="17"/>
              </w:rPr>
              <w:t>viajeros, presión</w:t>
            </w:r>
            <w:r>
              <w:rPr>
                <w:spacing w:val="40"/>
                <w:sz w:val="17"/>
              </w:rPr>
              <w:t> </w:t>
            </w:r>
            <w:r>
              <w:rPr>
                <w:sz w:val="17"/>
              </w:rPr>
              <w:t>neumáticos, aire</w:t>
            </w:r>
          </w:p>
          <w:p>
            <w:pPr>
              <w:pStyle w:val="TableParagraph"/>
              <w:spacing w:line="175" w:lineRule="exact"/>
              <w:ind w:left="69"/>
              <w:rPr>
                <w:sz w:val="17"/>
              </w:rPr>
            </w:pPr>
            <w:r>
              <w:rPr>
                <w:spacing w:val="-2"/>
                <w:sz w:val="17"/>
              </w:rPr>
              <w:t>acondicionado)</w:t>
            </w:r>
          </w:p>
        </w:tc>
        <w:tc>
          <w:tcPr>
            <w:tcW w:w="1454"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left="78"/>
              <w:rPr>
                <w:sz w:val="17"/>
              </w:rPr>
            </w:pPr>
            <w:r>
              <w:rPr>
                <w:spacing w:val="-2"/>
                <w:sz w:val="17"/>
              </w:rPr>
              <w:t>Digitalización</w:t>
            </w:r>
          </w:p>
        </w:tc>
        <w:tc>
          <w:tcPr>
            <w:tcW w:w="1233"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right="207"/>
              <w:jc w:val="right"/>
              <w:rPr>
                <w:sz w:val="17"/>
              </w:rPr>
            </w:pPr>
            <w:r>
              <w:rPr>
                <w:spacing w:val="-2"/>
                <w:sz w:val="17"/>
              </w:rPr>
              <w:t>409.667,98</w:t>
            </w:r>
          </w:p>
        </w:tc>
        <w:tc>
          <w:tcPr>
            <w:tcW w:w="586"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right="212"/>
              <w:jc w:val="right"/>
              <w:rPr>
                <w:sz w:val="17"/>
              </w:rPr>
            </w:pPr>
            <w:r>
              <w:rPr>
                <w:spacing w:val="-4"/>
                <w:sz w:val="17"/>
              </w:rPr>
              <w:t>0,83</w:t>
            </w:r>
          </w:p>
        </w:tc>
        <w:tc>
          <w:tcPr>
            <w:tcW w:w="1301"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left="490"/>
              <w:rPr>
                <w:sz w:val="17"/>
              </w:rPr>
            </w:pPr>
            <w:r>
              <w:rPr>
                <w:spacing w:val="-2"/>
                <w:sz w:val="17"/>
              </w:rPr>
              <w:t>40.966,80</w:t>
            </w:r>
          </w:p>
        </w:tc>
        <w:tc>
          <w:tcPr>
            <w:tcW w:w="496"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left="-5"/>
              <w:rPr>
                <w:sz w:val="17"/>
              </w:rPr>
            </w:pPr>
            <w:r>
              <w:rPr>
                <w:spacing w:val="-2"/>
                <w:sz w:val="17"/>
              </w:rPr>
              <w:t>10,00</w:t>
            </w:r>
          </w:p>
        </w:tc>
        <w:tc>
          <w:tcPr>
            <w:tcW w:w="1189"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left="313"/>
              <w:rPr>
                <w:sz w:val="17"/>
              </w:rPr>
            </w:pPr>
            <w:r>
              <w:rPr>
                <w:spacing w:val="-2"/>
                <w:sz w:val="17"/>
              </w:rPr>
              <w:t>368.701,18</w:t>
            </w:r>
          </w:p>
        </w:tc>
        <w:tc>
          <w:tcPr>
            <w:tcW w:w="530"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left="1" w:right="123"/>
              <w:jc w:val="center"/>
              <w:rPr>
                <w:sz w:val="17"/>
              </w:rPr>
            </w:pPr>
            <w:r>
              <w:rPr>
                <w:spacing w:val="-2"/>
                <w:sz w:val="17"/>
              </w:rPr>
              <w:t>90,00</w:t>
            </w:r>
          </w:p>
        </w:tc>
        <w:tc>
          <w:tcPr>
            <w:tcW w:w="892"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right="105"/>
              <w:jc w:val="right"/>
              <w:rPr>
                <w:sz w:val="17"/>
              </w:rPr>
            </w:pPr>
            <w:r>
              <w:rPr>
                <w:spacing w:val="-4"/>
                <w:sz w:val="17"/>
              </w:rPr>
              <w:t>0,00</w:t>
            </w:r>
          </w:p>
        </w:tc>
        <w:tc>
          <w:tcPr>
            <w:tcW w:w="552"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right="71"/>
              <w:jc w:val="right"/>
              <w:rPr>
                <w:sz w:val="17"/>
              </w:rPr>
            </w:pPr>
            <w:r>
              <w:rPr>
                <w:spacing w:val="-4"/>
                <w:sz w:val="17"/>
              </w:rPr>
              <w:t>0,00</w:t>
            </w:r>
          </w:p>
        </w:tc>
        <w:tc>
          <w:tcPr>
            <w:tcW w:w="995" w:type="dxa"/>
            <w:tcBorders>
              <w:top w:val="single" w:sz="8" w:space="0" w:color="002D5D"/>
              <w:bottom w:val="single" w:sz="4" w:space="0" w:color="002D5D"/>
            </w:tcBorders>
          </w:tcPr>
          <w:p>
            <w:pPr>
              <w:pStyle w:val="TableParagraph"/>
              <w:rPr>
                <w:rFonts w:ascii="Arial"/>
                <w:b/>
                <w:sz w:val="17"/>
              </w:rPr>
            </w:pPr>
          </w:p>
          <w:p>
            <w:pPr>
              <w:pStyle w:val="TableParagraph"/>
              <w:spacing w:before="193"/>
              <w:rPr>
                <w:rFonts w:ascii="Arial"/>
                <w:b/>
                <w:sz w:val="17"/>
              </w:rPr>
            </w:pPr>
          </w:p>
          <w:p>
            <w:pPr>
              <w:pStyle w:val="TableParagraph"/>
              <w:ind w:left="67"/>
              <w:rPr>
                <w:sz w:val="17"/>
              </w:rPr>
            </w:pPr>
            <w:r>
              <w:rPr>
                <w:spacing w:val="-2"/>
                <w:sz w:val="17"/>
              </w:rPr>
              <w:t>Finalizada</w:t>
            </w:r>
          </w:p>
        </w:tc>
      </w:tr>
    </w:tbl>
    <w:p>
      <w:pPr>
        <w:pStyle w:val="TableParagraph"/>
        <w:spacing w:after="0"/>
        <w:rPr>
          <w:sz w:val="17"/>
        </w:rPr>
        <w:sectPr>
          <w:pgSz w:w="11910" w:h="16840"/>
          <w:pgMar w:header="1270" w:footer="661" w:top="2800" w:bottom="860" w:left="141" w:right="141"/>
        </w:sectPr>
      </w:pPr>
    </w:p>
    <w:p>
      <w:pPr>
        <w:pStyle w:val="BodyText"/>
        <w:rPr>
          <w:b/>
          <w:sz w:val="20"/>
        </w:rPr>
      </w:pPr>
    </w:p>
    <w:p>
      <w:pPr>
        <w:pStyle w:val="BodyText"/>
        <w:rPr>
          <w:b/>
          <w:sz w:val="20"/>
        </w:rPr>
      </w:pPr>
    </w:p>
    <w:p>
      <w:pPr>
        <w:pStyle w:val="BodyText"/>
        <w:spacing w:before="76" w:after="1"/>
        <w:rPr>
          <w:b/>
          <w:sz w:val="20"/>
        </w:rPr>
      </w:pPr>
    </w:p>
    <w:tbl>
      <w:tblPr>
        <w:tblW w:w="0" w:type="auto"/>
        <w:jc w:val="left"/>
        <w:tblInd w:w="2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13"/>
        <w:gridCol w:w="1438"/>
        <w:gridCol w:w="1264"/>
        <w:gridCol w:w="621"/>
        <w:gridCol w:w="952"/>
        <w:gridCol w:w="735"/>
        <w:gridCol w:w="165"/>
        <w:gridCol w:w="1096"/>
        <w:gridCol w:w="455"/>
        <w:gridCol w:w="166"/>
        <w:gridCol w:w="685"/>
        <w:gridCol w:w="677"/>
        <w:gridCol w:w="994"/>
      </w:tblGrid>
      <w:tr>
        <w:trPr>
          <w:trHeight w:val="306" w:hRule="atLeast"/>
        </w:trPr>
        <w:tc>
          <w:tcPr>
            <w:tcW w:w="1813" w:type="dxa"/>
            <w:shd w:val="clear" w:color="auto" w:fill="002D5D"/>
          </w:tcPr>
          <w:p>
            <w:pPr>
              <w:pStyle w:val="TableParagraph"/>
              <w:rPr>
                <w:rFonts w:ascii="Times New Roman"/>
                <w:sz w:val="16"/>
              </w:rPr>
            </w:pPr>
          </w:p>
        </w:tc>
        <w:tc>
          <w:tcPr>
            <w:tcW w:w="1438" w:type="dxa"/>
            <w:shd w:val="clear" w:color="auto" w:fill="002D5D"/>
          </w:tcPr>
          <w:p>
            <w:pPr>
              <w:pStyle w:val="TableParagraph"/>
              <w:rPr>
                <w:rFonts w:ascii="Times New Roman"/>
                <w:sz w:val="16"/>
              </w:rPr>
            </w:pPr>
          </w:p>
        </w:tc>
        <w:tc>
          <w:tcPr>
            <w:tcW w:w="1264" w:type="dxa"/>
            <w:shd w:val="clear" w:color="auto" w:fill="002D5D"/>
          </w:tcPr>
          <w:p>
            <w:pPr>
              <w:pStyle w:val="TableParagraph"/>
              <w:spacing w:before="78"/>
              <w:ind w:left="449" w:right="2"/>
              <w:jc w:val="center"/>
              <w:rPr>
                <w:b/>
                <w:sz w:val="16"/>
              </w:rPr>
            </w:pPr>
            <w:r>
              <w:rPr>
                <w:b/>
                <w:color w:val="FFFFFF"/>
                <w:spacing w:val="-2"/>
                <w:sz w:val="16"/>
              </w:rPr>
              <w:t>IMPORTE</w:t>
            </w:r>
          </w:p>
        </w:tc>
        <w:tc>
          <w:tcPr>
            <w:tcW w:w="621" w:type="dxa"/>
            <w:shd w:val="clear" w:color="auto" w:fill="002D5D"/>
          </w:tcPr>
          <w:p>
            <w:pPr>
              <w:pStyle w:val="TableParagraph"/>
              <w:rPr>
                <w:rFonts w:ascii="Times New Roman"/>
                <w:sz w:val="16"/>
              </w:rPr>
            </w:pPr>
          </w:p>
        </w:tc>
        <w:tc>
          <w:tcPr>
            <w:tcW w:w="952" w:type="dxa"/>
            <w:shd w:val="clear" w:color="auto" w:fill="002D5D"/>
          </w:tcPr>
          <w:p>
            <w:pPr>
              <w:pStyle w:val="TableParagraph"/>
              <w:rPr>
                <w:rFonts w:ascii="Times New Roman"/>
                <w:sz w:val="16"/>
              </w:rPr>
            </w:pPr>
          </w:p>
        </w:tc>
        <w:tc>
          <w:tcPr>
            <w:tcW w:w="735" w:type="dxa"/>
            <w:shd w:val="clear" w:color="auto" w:fill="002D5D"/>
          </w:tcPr>
          <w:p>
            <w:pPr>
              <w:pStyle w:val="TableParagraph"/>
              <w:rPr>
                <w:rFonts w:ascii="Times New Roman"/>
                <w:sz w:val="16"/>
              </w:rPr>
            </w:pPr>
          </w:p>
        </w:tc>
        <w:tc>
          <w:tcPr>
            <w:tcW w:w="165" w:type="dxa"/>
            <w:shd w:val="clear" w:color="auto" w:fill="002D5D"/>
          </w:tcPr>
          <w:p>
            <w:pPr>
              <w:pStyle w:val="TableParagraph"/>
              <w:rPr>
                <w:rFonts w:ascii="Times New Roman"/>
                <w:sz w:val="16"/>
              </w:rPr>
            </w:pPr>
          </w:p>
        </w:tc>
        <w:tc>
          <w:tcPr>
            <w:tcW w:w="1096" w:type="dxa"/>
            <w:shd w:val="clear" w:color="auto" w:fill="002D5D"/>
          </w:tcPr>
          <w:p>
            <w:pPr>
              <w:pStyle w:val="TableParagraph"/>
              <w:spacing w:line="117" w:lineRule="exact" w:before="169"/>
              <w:ind w:left="131"/>
              <w:rPr>
                <w:b/>
                <w:sz w:val="16"/>
              </w:rPr>
            </w:pPr>
            <w:r>
              <w:rPr>
                <w:b/>
                <w:color w:val="FFFFFF"/>
                <w:spacing w:val="-2"/>
                <w:sz w:val="16"/>
              </w:rPr>
              <w:t>FINANCIACIÓN</w:t>
            </w:r>
          </w:p>
        </w:tc>
        <w:tc>
          <w:tcPr>
            <w:tcW w:w="455" w:type="dxa"/>
            <w:shd w:val="clear" w:color="auto" w:fill="002D5D"/>
          </w:tcPr>
          <w:p>
            <w:pPr>
              <w:pStyle w:val="TableParagraph"/>
              <w:rPr>
                <w:rFonts w:ascii="Times New Roman"/>
                <w:sz w:val="16"/>
              </w:rPr>
            </w:pPr>
          </w:p>
        </w:tc>
        <w:tc>
          <w:tcPr>
            <w:tcW w:w="166" w:type="dxa"/>
            <w:shd w:val="clear" w:color="auto" w:fill="002D5D"/>
          </w:tcPr>
          <w:p>
            <w:pPr>
              <w:pStyle w:val="TableParagraph"/>
              <w:rPr>
                <w:rFonts w:ascii="Times New Roman"/>
                <w:sz w:val="16"/>
              </w:rPr>
            </w:pPr>
          </w:p>
        </w:tc>
        <w:tc>
          <w:tcPr>
            <w:tcW w:w="685" w:type="dxa"/>
            <w:shd w:val="clear" w:color="auto" w:fill="002D5D"/>
          </w:tcPr>
          <w:p>
            <w:pPr>
              <w:pStyle w:val="TableParagraph"/>
              <w:rPr>
                <w:rFonts w:ascii="Times New Roman"/>
                <w:sz w:val="16"/>
              </w:rPr>
            </w:pPr>
          </w:p>
        </w:tc>
        <w:tc>
          <w:tcPr>
            <w:tcW w:w="677" w:type="dxa"/>
            <w:shd w:val="clear" w:color="auto" w:fill="002D5D"/>
          </w:tcPr>
          <w:p>
            <w:pPr>
              <w:pStyle w:val="TableParagraph"/>
              <w:rPr>
                <w:rFonts w:ascii="Times New Roman"/>
                <w:sz w:val="16"/>
              </w:rPr>
            </w:pPr>
          </w:p>
        </w:tc>
        <w:tc>
          <w:tcPr>
            <w:tcW w:w="994" w:type="dxa"/>
            <w:vMerge w:val="restart"/>
            <w:shd w:val="clear" w:color="auto" w:fill="002D5D"/>
          </w:tcPr>
          <w:p>
            <w:pPr>
              <w:pStyle w:val="TableParagraph"/>
              <w:spacing w:before="81"/>
              <w:rPr>
                <w:rFonts w:ascii="Arial"/>
                <w:b/>
                <w:sz w:val="16"/>
              </w:rPr>
            </w:pPr>
          </w:p>
          <w:p>
            <w:pPr>
              <w:pStyle w:val="TableParagraph"/>
              <w:ind w:left="99" w:right="104" w:firstLine="2"/>
              <w:jc w:val="center"/>
              <w:rPr>
                <w:b/>
                <w:sz w:val="16"/>
              </w:rPr>
            </w:pPr>
            <w:r>
              <w:rPr>
                <w:b/>
                <w:color w:val="FFFFFF"/>
                <w:sz w:val="16"/>
              </w:rPr>
              <w:t>ESTADO</w:t>
            </w:r>
            <w:r>
              <w:rPr>
                <w:b/>
                <w:color w:val="FFFFFF"/>
                <w:spacing w:val="-10"/>
                <w:sz w:val="16"/>
              </w:rPr>
              <w:t> </w:t>
            </w:r>
            <w:r>
              <w:rPr>
                <w:b/>
                <w:color w:val="FFFFFF"/>
                <w:sz w:val="16"/>
              </w:rPr>
              <w:t>DE</w:t>
            </w:r>
            <w:r>
              <w:rPr>
                <w:b/>
                <w:color w:val="FFFFFF"/>
                <w:spacing w:val="40"/>
                <w:sz w:val="16"/>
              </w:rPr>
              <w:t> </w:t>
            </w:r>
            <w:r>
              <w:rPr>
                <w:b/>
                <w:color w:val="FFFFFF"/>
                <w:spacing w:val="-6"/>
                <w:sz w:val="16"/>
              </w:rPr>
              <w:t>LA</w:t>
            </w:r>
            <w:r>
              <w:rPr>
                <w:b/>
                <w:color w:val="FFFFFF"/>
                <w:spacing w:val="40"/>
                <w:sz w:val="16"/>
              </w:rPr>
              <w:t> </w:t>
            </w:r>
            <w:r>
              <w:rPr>
                <w:b/>
                <w:color w:val="FFFFFF"/>
                <w:spacing w:val="-2"/>
                <w:sz w:val="16"/>
              </w:rPr>
              <w:t>ACTUACIÓN</w:t>
            </w:r>
            <w:r>
              <w:rPr>
                <w:b/>
                <w:color w:val="FFFFFF"/>
                <w:spacing w:val="40"/>
                <w:sz w:val="16"/>
              </w:rPr>
              <w:t> </w:t>
            </w:r>
            <w:r>
              <w:rPr>
                <w:b/>
                <w:color w:val="FFFFFF"/>
                <w:spacing w:val="-2"/>
                <w:sz w:val="16"/>
              </w:rPr>
              <w:t>31/12/2024</w:t>
            </w:r>
          </w:p>
        </w:tc>
      </w:tr>
      <w:tr>
        <w:trPr>
          <w:trHeight w:val="139" w:hRule="atLeast"/>
        </w:trPr>
        <w:tc>
          <w:tcPr>
            <w:tcW w:w="1813" w:type="dxa"/>
            <w:shd w:val="clear" w:color="auto" w:fill="002D5D"/>
          </w:tcPr>
          <w:p>
            <w:pPr>
              <w:pStyle w:val="TableParagraph"/>
              <w:rPr>
                <w:rFonts w:ascii="Times New Roman"/>
                <w:sz w:val="8"/>
              </w:rPr>
            </w:pPr>
          </w:p>
        </w:tc>
        <w:tc>
          <w:tcPr>
            <w:tcW w:w="1438" w:type="dxa"/>
            <w:shd w:val="clear" w:color="auto" w:fill="002D5D"/>
          </w:tcPr>
          <w:p>
            <w:pPr>
              <w:pStyle w:val="TableParagraph"/>
              <w:rPr>
                <w:rFonts w:ascii="Times New Roman"/>
                <w:sz w:val="8"/>
              </w:rPr>
            </w:pPr>
          </w:p>
        </w:tc>
        <w:tc>
          <w:tcPr>
            <w:tcW w:w="1264" w:type="dxa"/>
            <w:shd w:val="clear" w:color="auto" w:fill="002D5D"/>
          </w:tcPr>
          <w:p>
            <w:pPr>
              <w:pStyle w:val="TableParagraph"/>
              <w:spacing w:line="119" w:lineRule="exact"/>
              <w:ind w:left="449"/>
              <w:jc w:val="center"/>
              <w:rPr>
                <w:b/>
                <w:sz w:val="16"/>
              </w:rPr>
            </w:pPr>
            <w:r>
              <w:rPr>
                <w:b/>
                <w:color w:val="FFFFFF"/>
                <w:spacing w:val="-2"/>
                <w:sz w:val="16"/>
              </w:rPr>
              <w:t>ACTUACIÓN</w:t>
            </w:r>
          </w:p>
        </w:tc>
        <w:tc>
          <w:tcPr>
            <w:tcW w:w="621" w:type="dxa"/>
            <w:shd w:val="clear" w:color="auto" w:fill="002D5D"/>
          </w:tcPr>
          <w:p>
            <w:pPr>
              <w:pStyle w:val="TableParagraph"/>
              <w:rPr>
                <w:rFonts w:ascii="Times New Roman"/>
                <w:sz w:val="8"/>
              </w:rPr>
            </w:pPr>
          </w:p>
        </w:tc>
        <w:tc>
          <w:tcPr>
            <w:tcW w:w="952" w:type="dxa"/>
            <w:shd w:val="clear" w:color="auto" w:fill="002D5D"/>
          </w:tcPr>
          <w:p>
            <w:pPr>
              <w:pStyle w:val="TableParagraph"/>
              <w:rPr>
                <w:rFonts w:ascii="Times New Roman"/>
                <w:sz w:val="8"/>
              </w:rPr>
            </w:pPr>
          </w:p>
        </w:tc>
        <w:tc>
          <w:tcPr>
            <w:tcW w:w="735" w:type="dxa"/>
            <w:shd w:val="clear" w:color="auto" w:fill="002D5D"/>
          </w:tcPr>
          <w:p>
            <w:pPr>
              <w:pStyle w:val="TableParagraph"/>
              <w:rPr>
                <w:rFonts w:ascii="Times New Roman"/>
                <w:sz w:val="8"/>
              </w:rPr>
            </w:pPr>
          </w:p>
        </w:tc>
        <w:tc>
          <w:tcPr>
            <w:tcW w:w="165" w:type="dxa"/>
            <w:shd w:val="clear" w:color="auto" w:fill="002D5D"/>
          </w:tcPr>
          <w:p>
            <w:pPr>
              <w:pStyle w:val="TableParagraph"/>
              <w:rPr>
                <w:rFonts w:ascii="Times New Roman"/>
                <w:sz w:val="8"/>
              </w:rPr>
            </w:pPr>
          </w:p>
        </w:tc>
        <w:tc>
          <w:tcPr>
            <w:tcW w:w="1096" w:type="dxa"/>
            <w:shd w:val="clear" w:color="auto" w:fill="002D5D"/>
          </w:tcPr>
          <w:p>
            <w:pPr>
              <w:pStyle w:val="TableParagraph"/>
              <w:rPr>
                <w:rFonts w:ascii="Times New Roman"/>
                <w:sz w:val="8"/>
              </w:rPr>
            </w:pPr>
          </w:p>
        </w:tc>
        <w:tc>
          <w:tcPr>
            <w:tcW w:w="455" w:type="dxa"/>
            <w:shd w:val="clear" w:color="auto" w:fill="002D5D"/>
          </w:tcPr>
          <w:p>
            <w:pPr>
              <w:pStyle w:val="TableParagraph"/>
              <w:rPr>
                <w:rFonts w:ascii="Times New Roman"/>
                <w:sz w:val="8"/>
              </w:rPr>
            </w:pPr>
          </w:p>
        </w:tc>
        <w:tc>
          <w:tcPr>
            <w:tcW w:w="166" w:type="dxa"/>
            <w:shd w:val="clear" w:color="auto" w:fill="002D5D"/>
          </w:tcPr>
          <w:p>
            <w:pPr>
              <w:pStyle w:val="TableParagraph"/>
              <w:rPr>
                <w:rFonts w:ascii="Times New Roman"/>
                <w:sz w:val="8"/>
              </w:rPr>
            </w:pPr>
          </w:p>
        </w:tc>
        <w:tc>
          <w:tcPr>
            <w:tcW w:w="685" w:type="dxa"/>
            <w:shd w:val="clear" w:color="auto" w:fill="002D5D"/>
          </w:tcPr>
          <w:p>
            <w:pPr>
              <w:pStyle w:val="TableParagraph"/>
              <w:rPr>
                <w:rFonts w:ascii="Times New Roman"/>
                <w:sz w:val="8"/>
              </w:rPr>
            </w:pPr>
          </w:p>
        </w:tc>
        <w:tc>
          <w:tcPr>
            <w:tcW w:w="677" w:type="dxa"/>
            <w:shd w:val="clear" w:color="auto" w:fill="002D5D"/>
          </w:tcPr>
          <w:p>
            <w:pPr>
              <w:pStyle w:val="TableParagraph"/>
              <w:rPr>
                <w:rFonts w:ascii="Times New Roman"/>
                <w:sz w:val="8"/>
              </w:rPr>
            </w:pPr>
          </w:p>
        </w:tc>
        <w:tc>
          <w:tcPr>
            <w:tcW w:w="994" w:type="dxa"/>
            <w:vMerge/>
            <w:tcBorders>
              <w:top w:val="nil"/>
            </w:tcBorders>
            <w:shd w:val="clear" w:color="auto" w:fill="002D5D"/>
          </w:tcPr>
          <w:p>
            <w:pPr>
              <w:rPr>
                <w:sz w:val="2"/>
                <w:szCs w:val="2"/>
              </w:rPr>
            </w:pPr>
          </w:p>
        </w:tc>
      </w:tr>
      <w:tr>
        <w:trPr>
          <w:trHeight w:val="79" w:hRule="atLeast"/>
        </w:trPr>
        <w:tc>
          <w:tcPr>
            <w:tcW w:w="1813" w:type="dxa"/>
            <w:vMerge w:val="restart"/>
            <w:shd w:val="clear" w:color="auto" w:fill="002D5D"/>
          </w:tcPr>
          <w:p>
            <w:pPr>
              <w:pStyle w:val="TableParagraph"/>
              <w:spacing w:before="2"/>
              <w:ind w:left="525" w:hanging="128"/>
              <w:rPr>
                <w:b/>
                <w:sz w:val="16"/>
              </w:rPr>
            </w:pPr>
            <w:r>
              <w:rPr>
                <w:b/>
                <w:color w:val="FFFFFF"/>
                <w:spacing w:val="-2"/>
                <w:sz w:val="16"/>
              </w:rPr>
              <w:t>DENOMINACIÓN</w:t>
            </w:r>
            <w:r>
              <w:rPr>
                <w:b/>
                <w:color w:val="FFFFFF"/>
                <w:spacing w:val="40"/>
                <w:sz w:val="16"/>
              </w:rPr>
              <w:t> </w:t>
            </w:r>
            <w:r>
              <w:rPr>
                <w:b/>
                <w:color w:val="FFFFFF"/>
                <w:spacing w:val="-2"/>
                <w:sz w:val="16"/>
              </w:rPr>
              <w:t>ACTUACIÓN</w:t>
            </w:r>
          </w:p>
        </w:tc>
        <w:tc>
          <w:tcPr>
            <w:tcW w:w="1438" w:type="dxa"/>
            <w:vMerge w:val="restart"/>
            <w:shd w:val="clear" w:color="auto" w:fill="002D5D"/>
          </w:tcPr>
          <w:p>
            <w:pPr>
              <w:pStyle w:val="TableParagraph"/>
              <w:spacing w:before="95"/>
              <w:ind w:left="371"/>
              <w:rPr>
                <w:b/>
                <w:sz w:val="16"/>
              </w:rPr>
            </w:pPr>
            <w:r>
              <w:rPr>
                <w:b/>
                <w:color w:val="FFFFFF"/>
                <w:spacing w:val="-2"/>
                <w:sz w:val="16"/>
              </w:rPr>
              <w:t>TIPOLOGÍA</w:t>
            </w:r>
          </w:p>
        </w:tc>
        <w:tc>
          <w:tcPr>
            <w:tcW w:w="1264" w:type="dxa"/>
            <w:tcBorders>
              <w:bottom w:val="single" w:sz="6" w:space="0" w:color="FFFFFF"/>
            </w:tcBorders>
            <w:shd w:val="clear" w:color="auto" w:fill="002D5D"/>
          </w:tcPr>
          <w:p>
            <w:pPr>
              <w:pStyle w:val="TableParagraph"/>
              <w:rPr>
                <w:rFonts w:ascii="Times New Roman"/>
                <w:sz w:val="2"/>
              </w:rPr>
            </w:pPr>
          </w:p>
        </w:tc>
        <w:tc>
          <w:tcPr>
            <w:tcW w:w="621" w:type="dxa"/>
            <w:tcBorders>
              <w:bottom w:val="single" w:sz="6" w:space="0" w:color="FFFFFF"/>
            </w:tcBorders>
            <w:shd w:val="clear" w:color="auto" w:fill="002D5D"/>
          </w:tcPr>
          <w:p>
            <w:pPr>
              <w:pStyle w:val="TableParagraph"/>
              <w:rPr>
                <w:rFonts w:ascii="Times New Roman"/>
                <w:sz w:val="2"/>
              </w:rPr>
            </w:pPr>
          </w:p>
        </w:tc>
        <w:tc>
          <w:tcPr>
            <w:tcW w:w="952" w:type="dxa"/>
            <w:tcBorders>
              <w:bottom w:val="single" w:sz="6" w:space="0" w:color="FFFFFF"/>
            </w:tcBorders>
            <w:shd w:val="clear" w:color="auto" w:fill="002D5D"/>
          </w:tcPr>
          <w:p>
            <w:pPr>
              <w:pStyle w:val="TableParagraph"/>
              <w:rPr>
                <w:rFonts w:ascii="Times New Roman"/>
                <w:sz w:val="2"/>
              </w:rPr>
            </w:pPr>
          </w:p>
        </w:tc>
        <w:tc>
          <w:tcPr>
            <w:tcW w:w="735" w:type="dxa"/>
            <w:tcBorders>
              <w:bottom w:val="single" w:sz="6" w:space="0" w:color="FFFFFF"/>
            </w:tcBorders>
            <w:shd w:val="clear" w:color="auto" w:fill="002D5D"/>
          </w:tcPr>
          <w:p>
            <w:pPr>
              <w:pStyle w:val="TableParagraph"/>
              <w:rPr>
                <w:rFonts w:ascii="Times New Roman"/>
                <w:sz w:val="2"/>
              </w:rPr>
            </w:pPr>
          </w:p>
        </w:tc>
        <w:tc>
          <w:tcPr>
            <w:tcW w:w="165" w:type="dxa"/>
            <w:tcBorders>
              <w:bottom w:val="single" w:sz="6" w:space="0" w:color="FFFFFF"/>
            </w:tcBorders>
            <w:shd w:val="clear" w:color="auto" w:fill="002D5D"/>
          </w:tcPr>
          <w:p>
            <w:pPr>
              <w:pStyle w:val="TableParagraph"/>
              <w:rPr>
                <w:rFonts w:ascii="Times New Roman"/>
                <w:sz w:val="2"/>
              </w:rPr>
            </w:pPr>
          </w:p>
        </w:tc>
        <w:tc>
          <w:tcPr>
            <w:tcW w:w="1096" w:type="dxa"/>
            <w:tcBorders>
              <w:bottom w:val="single" w:sz="6" w:space="0" w:color="FFFFFF"/>
            </w:tcBorders>
            <w:shd w:val="clear" w:color="auto" w:fill="002D5D"/>
          </w:tcPr>
          <w:p>
            <w:pPr>
              <w:pStyle w:val="TableParagraph"/>
              <w:rPr>
                <w:rFonts w:ascii="Times New Roman"/>
                <w:sz w:val="2"/>
              </w:rPr>
            </w:pPr>
          </w:p>
        </w:tc>
        <w:tc>
          <w:tcPr>
            <w:tcW w:w="455" w:type="dxa"/>
            <w:tcBorders>
              <w:bottom w:val="single" w:sz="6" w:space="0" w:color="FFFFFF"/>
            </w:tcBorders>
            <w:shd w:val="clear" w:color="auto" w:fill="002D5D"/>
          </w:tcPr>
          <w:p>
            <w:pPr>
              <w:pStyle w:val="TableParagraph"/>
              <w:rPr>
                <w:rFonts w:ascii="Times New Roman"/>
                <w:sz w:val="2"/>
              </w:rPr>
            </w:pPr>
          </w:p>
        </w:tc>
        <w:tc>
          <w:tcPr>
            <w:tcW w:w="166" w:type="dxa"/>
            <w:tcBorders>
              <w:bottom w:val="single" w:sz="6" w:space="0" w:color="FFFFFF"/>
            </w:tcBorders>
            <w:shd w:val="clear" w:color="auto" w:fill="002D5D"/>
          </w:tcPr>
          <w:p>
            <w:pPr>
              <w:pStyle w:val="TableParagraph"/>
              <w:rPr>
                <w:rFonts w:ascii="Times New Roman"/>
                <w:sz w:val="2"/>
              </w:rPr>
            </w:pPr>
          </w:p>
        </w:tc>
        <w:tc>
          <w:tcPr>
            <w:tcW w:w="685" w:type="dxa"/>
            <w:tcBorders>
              <w:bottom w:val="single" w:sz="6" w:space="0" w:color="FFFFFF"/>
            </w:tcBorders>
            <w:shd w:val="clear" w:color="auto" w:fill="002D5D"/>
          </w:tcPr>
          <w:p>
            <w:pPr>
              <w:pStyle w:val="TableParagraph"/>
              <w:rPr>
                <w:rFonts w:ascii="Times New Roman"/>
                <w:sz w:val="2"/>
              </w:rPr>
            </w:pPr>
          </w:p>
        </w:tc>
        <w:tc>
          <w:tcPr>
            <w:tcW w:w="677" w:type="dxa"/>
            <w:tcBorders>
              <w:bottom w:val="single" w:sz="6" w:space="0" w:color="FFFFFF"/>
            </w:tcBorders>
            <w:shd w:val="clear" w:color="auto" w:fill="002D5D"/>
          </w:tcPr>
          <w:p>
            <w:pPr>
              <w:pStyle w:val="TableParagraph"/>
              <w:rPr>
                <w:rFonts w:ascii="Times New Roman"/>
                <w:sz w:val="2"/>
              </w:rPr>
            </w:pPr>
          </w:p>
        </w:tc>
        <w:tc>
          <w:tcPr>
            <w:tcW w:w="994" w:type="dxa"/>
            <w:vMerge/>
            <w:tcBorders>
              <w:top w:val="nil"/>
            </w:tcBorders>
            <w:shd w:val="clear" w:color="auto" w:fill="002D5D"/>
          </w:tcPr>
          <w:p>
            <w:pPr>
              <w:rPr>
                <w:sz w:val="2"/>
                <w:szCs w:val="2"/>
              </w:rPr>
            </w:pPr>
          </w:p>
        </w:tc>
      </w:tr>
      <w:tr>
        <w:trPr>
          <w:trHeight w:val="366" w:hRule="atLeast"/>
        </w:trPr>
        <w:tc>
          <w:tcPr>
            <w:tcW w:w="1813" w:type="dxa"/>
            <w:vMerge/>
            <w:tcBorders>
              <w:top w:val="nil"/>
            </w:tcBorders>
            <w:shd w:val="clear" w:color="auto" w:fill="002D5D"/>
          </w:tcPr>
          <w:p>
            <w:pPr>
              <w:rPr>
                <w:sz w:val="2"/>
                <w:szCs w:val="2"/>
              </w:rPr>
            </w:pPr>
          </w:p>
        </w:tc>
        <w:tc>
          <w:tcPr>
            <w:tcW w:w="1438" w:type="dxa"/>
            <w:vMerge/>
            <w:tcBorders>
              <w:top w:val="nil"/>
            </w:tcBorders>
            <w:shd w:val="clear" w:color="auto" w:fill="002D5D"/>
          </w:tcPr>
          <w:p>
            <w:pPr>
              <w:rPr>
                <w:sz w:val="2"/>
                <w:szCs w:val="2"/>
              </w:rPr>
            </w:pPr>
          </w:p>
        </w:tc>
        <w:tc>
          <w:tcPr>
            <w:tcW w:w="1885" w:type="dxa"/>
            <w:gridSpan w:val="2"/>
            <w:vMerge w:val="restart"/>
            <w:tcBorders>
              <w:top w:val="single" w:sz="6" w:space="0" w:color="FFFFFF"/>
            </w:tcBorders>
            <w:shd w:val="clear" w:color="auto" w:fill="002D5D"/>
          </w:tcPr>
          <w:p>
            <w:pPr>
              <w:pStyle w:val="TableParagraph"/>
              <w:spacing w:before="85"/>
              <w:rPr>
                <w:rFonts w:ascii="Arial"/>
                <w:b/>
                <w:sz w:val="16"/>
              </w:rPr>
            </w:pPr>
          </w:p>
          <w:p>
            <w:pPr>
              <w:pStyle w:val="TableParagraph"/>
              <w:tabs>
                <w:tab w:pos="1276" w:val="left" w:leader="none"/>
              </w:tabs>
              <w:ind w:left="484"/>
              <w:rPr>
                <w:b/>
                <w:sz w:val="16"/>
              </w:rPr>
            </w:pPr>
            <w:r>
              <w:rPr>
                <w:b/>
                <w:color w:val="FFFFFF"/>
                <w:spacing w:val="-5"/>
                <w:sz w:val="16"/>
              </w:rPr>
              <w:t>(€)</w:t>
            </w:r>
            <w:r>
              <w:rPr>
                <w:b/>
                <w:color w:val="FFFFFF"/>
                <w:sz w:val="16"/>
              </w:rPr>
              <w:tab/>
              <w:t>%</w:t>
            </w:r>
            <w:r>
              <w:rPr>
                <w:b/>
                <w:color w:val="FFFFFF"/>
                <w:spacing w:val="-1"/>
                <w:sz w:val="16"/>
              </w:rPr>
              <w:t> </w:t>
            </w:r>
            <w:r>
              <w:rPr>
                <w:b/>
                <w:color w:val="FFFFFF"/>
                <w:spacing w:val="-5"/>
                <w:sz w:val="16"/>
              </w:rPr>
              <w:t>(*)</w:t>
            </w:r>
          </w:p>
        </w:tc>
        <w:tc>
          <w:tcPr>
            <w:tcW w:w="1687" w:type="dxa"/>
            <w:gridSpan w:val="2"/>
            <w:tcBorders>
              <w:top w:val="single" w:sz="6" w:space="0" w:color="FFFFFF"/>
              <w:bottom w:val="single" w:sz="8" w:space="0" w:color="FFFFFF"/>
            </w:tcBorders>
            <w:shd w:val="clear" w:color="auto" w:fill="002D5D"/>
          </w:tcPr>
          <w:p>
            <w:pPr>
              <w:pStyle w:val="TableParagraph"/>
              <w:spacing w:before="89"/>
              <w:ind w:left="404"/>
              <w:rPr>
                <w:b/>
                <w:sz w:val="16"/>
              </w:rPr>
            </w:pPr>
            <w:r>
              <w:rPr>
                <w:b/>
                <w:color w:val="FFFFFF"/>
                <w:spacing w:val="-2"/>
                <w:sz w:val="16"/>
              </w:rPr>
              <w:t>Ayuntamiento</w:t>
            </w:r>
          </w:p>
        </w:tc>
        <w:tc>
          <w:tcPr>
            <w:tcW w:w="165" w:type="dxa"/>
            <w:vMerge w:val="restart"/>
            <w:tcBorders>
              <w:top w:val="single" w:sz="6" w:space="0" w:color="FFFFFF"/>
            </w:tcBorders>
            <w:shd w:val="clear" w:color="auto" w:fill="002D5D"/>
          </w:tcPr>
          <w:p>
            <w:pPr>
              <w:pStyle w:val="TableParagraph"/>
              <w:rPr>
                <w:rFonts w:ascii="Times New Roman"/>
                <w:sz w:val="16"/>
              </w:rPr>
            </w:pPr>
          </w:p>
        </w:tc>
        <w:tc>
          <w:tcPr>
            <w:tcW w:w="1551" w:type="dxa"/>
            <w:gridSpan w:val="2"/>
            <w:tcBorders>
              <w:top w:val="single" w:sz="6" w:space="0" w:color="FFFFFF"/>
              <w:bottom w:val="single" w:sz="8" w:space="0" w:color="FFFFFF"/>
            </w:tcBorders>
            <w:shd w:val="clear" w:color="auto" w:fill="002D5D"/>
          </w:tcPr>
          <w:p>
            <w:pPr>
              <w:pStyle w:val="TableParagraph"/>
              <w:spacing w:before="85"/>
              <w:ind w:left="2"/>
              <w:jc w:val="center"/>
              <w:rPr>
                <w:b/>
                <w:sz w:val="17"/>
              </w:rPr>
            </w:pPr>
            <w:r>
              <w:rPr>
                <w:b/>
                <w:color w:val="FFFFFF"/>
                <w:spacing w:val="-4"/>
                <w:sz w:val="17"/>
              </w:rPr>
              <w:t>PRTR</w:t>
            </w:r>
          </w:p>
        </w:tc>
        <w:tc>
          <w:tcPr>
            <w:tcW w:w="166" w:type="dxa"/>
            <w:vMerge w:val="restart"/>
            <w:tcBorders>
              <w:top w:val="single" w:sz="6" w:space="0" w:color="FFFFFF"/>
            </w:tcBorders>
            <w:shd w:val="clear" w:color="auto" w:fill="002D5D"/>
          </w:tcPr>
          <w:p>
            <w:pPr>
              <w:pStyle w:val="TableParagraph"/>
              <w:rPr>
                <w:rFonts w:ascii="Times New Roman"/>
                <w:sz w:val="16"/>
              </w:rPr>
            </w:pPr>
          </w:p>
        </w:tc>
        <w:tc>
          <w:tcPr>
            <w:tcW w:w="1362" w:type="dxa"/>
            <w:gridSpan w:val="2"/>
            <w:tcBorders>
              <w:top w:val="single" w:sz="6" w:space="0" w:color="FFFFFF"/>
              <w:bottom w:val="single" w:sz="8" w:space="0" w:color="FFFFFF"/>
            </w:tcBorders>
            <w:shd w:val="clear" w:color="auto" w:fill="002D5D"/>
          </w:tcPr>
          <w:p>
            <w:pPr>
              <w:pStyle w:val="TableParagraph"/>
              <w:spacing w:line="182" w:lineRule="exact"/>
              <w:ind w:left="354" w:right="320" w:hanging="39"/>
              <w:rPr>
                <w:b/>
                <w:sz w:val="16"/>
              </w:rPr>
            </w:pPr>
            <w:r>
              <w:rPr>
                <w:b/>
                <w:color w:val="FFFFFF"/>
                <w:spacing w:val="-2"/>
                <w:sz w:val="16"/>
              </w:rPr>
              <w:t>Comunidad</w:t>
            </w:r>
            <w:r>
              <w:rPr>
                <w:b/>
                <w:color w:val="FFFFFF"/>
                <w:spacing w:val="40"/>
                <w:sz w:val="16"/>
              </w:rPr>
              <w:t> </w:t>
            </w:r>
            <w:r>
              <w:rPr>
                <w:b/>
                <w:color w:val="FFFFFF"/>
                <w:spacing w:val="-2"/>
                <w:sz w:val="16"/>
              </w:rPr>
              <w:t>Autónoma</w:t>
            </w:r>
          </w:p>
        </w:tc>
        <w:tc>
          <w:tcPr>
            <w:tcW w:w="994" w:type="dxa"/>
            <w:vMerge/>
            <w:tcBorders>
              <w:top w:val="nil"/>
            </w:tcBorders>
            <w:shd w:val="clear" w:color="auto" w:fill="002D5D"/>
          </w:tcPr>
          <w:p>
            <w:pPr>
              <w:rPr>
                <w:sz w:val="2"/>
                <w:szCs w:val="2"/>
              </w:rPr>
            </w:pPr>
          </w:p>
        </w:tc>
      </w:tr>
      <w:tr>
        <w:trPr>
          <w:trHeight w:val="340" w:hRule="atLeast"/>
        </w:trPr>
        <w:tc>
          <w:tcPr>
            <w:tcW w:w="1813" w:type="dxa"/>
            <w:vMerge/>
            <w:tcBorders>
              <w:top w:val="nil"/>
            </w:tcBorders>
            <w:shd w:val="clear" w:color="auto" w:fill="002D5D"/>
          </w:tcPr>
          <w:p>
            <w:pPr>
              <w:rPr>
                <w:sz w:val="2"/>
                <w:szCs w:val="2"/>
              </w:rPr>
            </w:pPr>
          </w:p>
        </w:tc>
        <w:tc>
          <w:tcPr>
            <w:tcW w:w="1438" w:type="dxa"/>
            <w:vMerge/>
            <w:tcBorders>
              <w:top w:val="nil"/>
            </w:tcBorders>
            <w:shd w:val="clear" w:color="auto" w:fill="002D5D"/>
          </w:tcPr>
          <w:p>
            <w:pPr>
              <w:rPr>
                <w:sz w:val="2"/>
                <w:szCs w:val="2"/>
              </w:rPr>
            </w:pPr>
          </w:p>
        </w:tc>
        <w:tc>
          <w:tcPr>
            <w:tcW w:w="1885" w:type="dxa"/>
            <w:gridSpan w:val="2"/>
            <w:vMerge/>
            <w:tcBorders>
              <w:top w:val="nil"/>
            </w:tcBorders>
            <w:shd w:val="clear" w:color="auto" w:fill="002D5D"/>
          </w:tcPr>
          <w:p>
            <w:pPr>
              <w:rPr>
                <w:sz w:val="2"/>
                <w:szCs w:val="2"/>
              </w:rPr>
            </w:pPr>
          </w:p>
        </w:tc>
        <w:tc>
          <w:tcPr>
            <w:tcW w:w="952" w:type="dxa"/>
            <w:tcBorders>
              <w:top w:val="single" w:sz="8" w:space="0" w:color="FFFFFF"/>
            </w:tcBorders>
            <w:shd w:val="clear" w:color="auto" w:fill="002D5D"/>
          </w:tcPr>
          <w:p>
            <w:pPr>
              <w:pStyle w:val="TableParagraph"/>
              <w:spacing w:before="77"/>
              <w:ind w:left="493"/>
              <w:rPr>
                <w:b/>
                <w:sz w:val="16"/>
              </w:rPr>
            </w:pPr>
            <w:r>
              <w:rPr>
                <w:b/>
                <w:color w:val="FFFFFF"/>
                <w:spacing w:val="-5"/>
                <w:sz w:val="16"/>
              </w:rPr>
              <w:t>(€)</w:t>
            </w:r>
          </w:p>
        </w:tc>
        <w:tc>
          <w:tcPr>
            <w:tcW w:w="735" w:type="dxa"/>
            <w:tcBorders>
              <w:top w:val="single" w:sz="8" w:space="0" w:color="FFFFFF"/>
            </w:tcBorders>
            <w:shd w:val="clear" w:color="auto" w:fill="002D5D"/>
          </w:tcPr>
          <w:p>
            <w:pPr>
              <w:pStyle w:val="TableParagraph"/>
              <w:spacing w:before="77"/>
              <w:ind w:left="294"/>
              <w:rPr>
                <w:b/>
                <w:sz w:val="16"/>
              </w:rPr>
            </w:pPr>
            <w:r>
              <w:rPr>
                <w:b/>
                <w:color w:val="FFFFFF"/>
                <w:sz w:val="16"/>
              </w:rPr>
              <w:t>%</w:t>
            </w:r>
            <w:r>
              <w:rPr>
                <w:b/>
                <w:color w:val="FFFFFF"/>
                <w:spacing w:val="-1"/>
                <w:sz w:val="16"/>
              </w:rPr>
              <w:t> </w:t>
            </w:r>
            <w:r>
              <w:rPr>
                <w:b/>
                <w:color w:val="FFFFFF"/>
                <w:spacing w:val="-4"/>
                <w:sz w:val="16"/>
              </w:rPr>
              <w:t>(**)</w:t>
            </w:r>
          </w:p>
        </w:tc>
        <w:tc>
          <w:tcPr>
            <w:tcW w:w="165" w:type="dxa"/>
            <w:vMerge/>
            <w:tcBorders>
              <w:top w:val="nil"/>
            </w:tcBorders>
            <w:shd w:val="clear" w:color="auto" w:fill="002D5D"/>
          </w:tcPr>
          <w:p>
            <w:pPr>
              <w:rPr>
                <w:sz w:val="2"/>
                <w:szCs w:val="2"/>
              </w:rPr>
            </w:pPr>
          </w:p>
        </w:tc>
        <w:tc>
          <w:tcPr>
            <w:tcW w:w="1551" w:type="dxa"/>
            <w:gridSpan w:val="2"/>
            <w:tcBorders>
              <w:top w:val="single" w:sz="8" w:space="0" w:color="FFFFFF"/>
            </w:tcBorders>
            <w:shd w:val="clear" w:color="auto" w:fill="002D5D"/>
          </w:tcPr>
          <w:p>
            <w:pPr>
              <w:pStyle w:val="TableParagraph"/>
              <w:tabs>
                <w:tab w:pos="1104" w:val="left" w:leader="none"/>
              </w:tabs>
              <w:spacing w:before="77"/>
              <w:ind w:left="417"/>
              <w:rPr>
                <w:b/>
                <w:sz w:val="16"/>
              </w:rPr>
            </w:pPr>
            <w:r>
              <w:rPr>
                <w:b/>
                <w:color w:val="FFFFFF"/>
                <w:spacing w:val="-5"/>
                <w:sz w:val="16"/>
              </w:rPr>
              <w:t>(€)</w:t>
            </w:r>
            <w:r>
              <w:rPr>
                <w:b/>
                <w:color w:val="FFFFFF"/>
                <w:sz w:val="16"/>
              </w:rPr>
              <w:tab/>
              <w:t>%</w:t>
            </w:r>
            <w:r>
              <w:rPr>
                <w:b/>
                <w:color w:val="FFFFFF"/>
                <w:spacing w:val="-1"/>
                <w:sz w:val="16"/>
              </w:rPr>
              <w:t> </w:t>
            </w:r>
            <w:r>
              <w:rPr>
                <w:b/>
                <w:color w:val="FFFFFF"/>
                <w:spacing w:val="-4"/>
                <w:sz w:val="16"/>
              </w:rPr>
              <w:t>(**)</w:t>
            </w:r>
          </w:p>
        </w:tc>
        <w:tc>
          <w:tcPr>
            <w:tcW w:w="166" w:type="dxa"/>
            <w:vMerge/>
            <w:tcBorders>
              <w:top w:val="nil"/>
            </w:tcBorders>
            <w:shd w:val="clear" w:color="auto" w:fill="002D5D"/>
          </w:tcPr>
          <w:p>
            <w:pPr>
              <w:rPr>
                <w:sz w:val="2"/>
                <w:szCs w:val="2"/>
              </w:rPr>
            </w:pPr>
          </w:p>
        </w:tc>
        <w:tc>
          <w:tcPr>
            <w:tcW w:w="685" w:type="dxa"/>
            <w:tcBorders>
              <w:top w:val="single" w:sz="8" w:space="0" w:color="FFFFFF"/>
            </w:tcBorders>
            <w:shd w:val="clear" w:color="auto" w:fill="002D5D"/>
          </w:tcPr>
          <w:p>
            <w:pPr>
              <w:pStyle w:val="TableParagraph"/>
              <w:spacing w:before="70"/>
              <w:ind w:left="301"/>
              <w:rPr>
                <w:b/>
                <w:sz w:val="17"/>
              </w:rPr>
            </w:pPr>
            <w:r>
              <w:rPr>
                <w:b/>
                <w:color w:val="FFFFFF"/>
                <w:spacing w:val="-5"/>
                <w:sz w:val="17"/>
              </w:rPr>
              <w:t>(€)</w:t>
            </w:r>
          </w:p>
        </w:tc>
        <w:tc>
          <w:tcPr>
            <w:tcW w:w="677" w:type="dxa"/>
            <w:tcBorders>
              <w:top w:val="single" w:sz="8" w:space="0" w:color="FFFFFF"/>
            </w:tcBorders>
            <w:shd w:val="clear" w:color="auto" w:fill="002D5D"/>
          </w:tcPr>
          <w:p>
            <w:pPr>
              <w:pStyle w:val="TableParagraph"/>
              <w:spacing w:before="77"/>
              <w:ind w:left="212"/>
              <w:rPr>
                <w:b/>
                <w:sz w:val="16"/>
              </w:rPr>
            </w:pPr>
            <w:r>
              <w:rPr>
                <w:b/>
                <w:color w:val="FFFFFF"/>
                <w:sz w:val="16"/>
              </w:rPr>
              <w:t>%</w:t>
            </w:r>
            <w:r>
              <w:rPr>
                <w:b/>
                <w:color w:val="FFFFFF"/>
                <w:spacing w:val="-1"/>
                <w:sz w:val="16"/>
              </w:rPr>
              <w:t> </w:t>
            </w:r>
            <w:r>
              <w:rPr>
                <w:b/>
                <w:color w:val="FFFFFF"/>
                <w:spacing w:val="-4"/>
                <w:sz w:val="16"/>
              </w:rPr>
              <w:t>(**)</w:t>
            </w:r>
          </w:p>
        </w:tc>
        <w:tc>
          <w:tcPr>
            <w:tcW w:w="994" w:type="dxa"/>
            <w:vMerge/>
            <w:tcBorders>
              <w:top w:val="nil"/>
            </w:tcBorders>
            <w:shd w:val="clear" w:color="auto" w:fill="002D5D"/>
          </w:tcPr>
          <w:p>
            <w:pPr>
              <w:rPr>
                <w:sz w:val="2"/>
                <w:szCs w:val="2"/>
              </w:rPr>
            </w:pPr>
          </w:p>
        </w:tc>
      </w:tr>
    </w:tbl>
    <w:p>
      <w:pPr>
        <w:spacing w:before="1"/>
        <w:ind w:left="353" w:right="0" w:firstLine="0"/>
        <w:jc w:val="left"/>
        <w:rPr>
          <w:rFonts w:ascii="Arial Narrow"/>
          <w:sz w:val="17"/>
        </w:rPr>
      </w:pPr>
      <w:r>
        <w:rPr>
          <w:rFonts w:ascii="Arial Narrow"/>
          <w:sz w:val="17"/>
        </w:rPr>
        <w:t>Desarrollo</w:t>
      </w:r>
      <w:r>
        <w:rPr>
          <w:rFonts w:ascii="Arial Narrow"/>
          <w:spacing w:val="-4"/>
          <w:sz w:val="17"/>
        </w:rPr>
        <w:t> </w:t>
      </w:r>
      <w:r>
        <w:rPr>
          <w:rFonts w:ascii="Arial Narrow"/>
          <w:sz w:val="17"/>
        </w:rPr>
        <w:t>y</w:t>
      </w:r>
      <w:r>
        <w:rPr>
          <w:rFonts w:ascii="Arial Narrow"/>
          <w:spacing w:val="-4"/>
          <w:sz w:val="17"/>
        </w:rPr>
        <w:t> </w:t>
      </w:r>
      <w:r>
        <w:rPr>
          <w:rFonts w:ascii="Arial Narrow"/>
          <w:sz w:val="17"/>
        </w:rPr>
        <w:t>puesta</w:t>
      </w:r>
      <w:r>
        <w:rPr>
          <w:rFonts w:ascii="Arial Narrow"/>
          <w:spacing w:val="-1"/>
          <w:sz w:val="17"/>
        </w:rPr>
        <w:t> </w:t>
      </w:r>
      <w:r>
        <w:rPr>
          <w:rFonts w:ascii="Arial Narrow"/>
          <w:spacing w:val="-5"/>
          <w:sz w:val="17"/>
        </w:rPr>
        <w:t>en</w:t>
      </w:r>
    </w:p>
    <w:tbl>
      <w:tblPr>
        <w:tblW w:w="0" w:type="auto"/>
        <w:jc w:val="left"/>
        <w:tblInd w:w="2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12"/>
        <w:gridCol w:w="1290"/>
        <w:gridCol w:w="1290"/>
        <w:gridCol w:w="741"/>
        <w:gridCol w:w="1175"/>
        <w:gridCol w:w="601"/>
        <w:gridCol w:w="1105"/>
        <w:gridCol w:w="609"/>
        <w:gridCol w:w="935"/>
        <w:gridCol w:w="1491"/>
      </w:tblGrid>
      <w:tr>
        <w:trPr>
          <w:trHeight w:val="586" w:hRule="atLeast"/>
        </w:trPr>
        <w:tc>
          <w:tcPr>
            <w:tcW w:w="1812" w:type="dxa"/>
            <w:tcBorders>
              <w:bottom w:val="single" w:sz="8" w:space="0" w:color="002D5D"/>
            </w:tcBorders>
          </w:tcPr>
          <w:p>
            <w:pPr>
              <w:pStyle w:val="TableParagraph"/>
              <w:ind w:left="69" w:right="138"/>
              <w:rPr>
                <w:sz w:val="17"/>
              </w:rPr>
            </w:pPr>
            <w:r>
              <w:rPr>
                <w:sz w:val="17"/>
              </w:rPr>
              <w:t>servicio</w:t>
            </w:r>
            <w:r>
              <w:rPr>
                <w:spacing w:val="-10"/>
                <w:sz w:val="17"/>
              </w:rPr>
              <w:t> </w:t>
            </w:r>
            <w:r>
              <w:rPr>
                <w:sz w:val="17"/>
              </w:rPr>
              <w:t>de</w:t>
            </w:r>
            <w:r>
              <w:rPr>
                <w:spacing w:val="-10"/>
                <w:sz w:val="17"/>
              </w:rPr>
              <w:t> </w:t>
            </w:r>
            <w:r>
              <w:rPr>
                <w:sz w:val="17"/>
              </w:rPr>
              <w:t>sistema</w:t>
            </w:r>
            <w:r>
              <w:rPr>
                <w:spacing w:val="-10"/>
                <w:sz w:val="17"/>
              </w:rPr>
              <w:t> </w:t>
            </w:r>
            <w:r>
              <w:rPr>
                <w:sz w:val="17"/>
              </w:rPr>
              <w:t>digital</w:t>
            </w:r>
            <w:r>
              <w:rPr>
                <w:spacing w:val="40"/>
                <w:sz w:val="17"/>
              </w:rPr>
              <w:t> </w:t>
            </w:r>
            <w:r>
              <w:rPr>
                <w:sz w:val="17"/>
              </w:rPr>
              <w:t>de</w:t>
            </w:r>
            <w:r>
              <w:rPr>
                <w:spacing w:val="-3"/>
                <w:sz w:val="17"/>
              </w:rPr>
              <w:t> </w:t>
            </w:r>
            <w:r>
              <w:rPr>
                <w:sz w:val="17"/>
              </w:rPr>
              <w:t>información</w:t>
            </w:r>
            <w:r>
              <w:rPr>
                <w:spacing w:val="-3"/>
                <w:sz w:val="17"/>
              </w:rPr>
              <w:t> </w:t>
            </w:r>
            <w:r>
              <w:rPr>
                <w:sz w:val="17"/>
              </w:rPr>
              <w:t>a</w:t>
            </w:r>
            <w:r>
              <w:rPr>
                <w:spacing w:val="-2"/>
                <w:sz w:val="17"/>
              </w:rPr>
              <w:t> </w:t>
            </w:r>
            <w:r>
              <w:rPr>
                <w:spacing w:val="-2"/>
                <w:sz w:val="17"/>
              </w:rPr>
              <w:t>usuarios</w:t>
            </w:r>
          </w:p>
          <w:p>
            <w:pPr>
              <w:pStyle w:val="TableParagraph"/>
              <w:spacing w:line="175" w:lineRule="exact" w:before="1"/>
              <w:ind w:left="69"/>
              <w:rPr>
                <w:sz w:val="17"/>
              </w:rPr>
            </w:pPr>
            <w:r>
              <w:rPr>
                <w:sz w:val="17"/>
              </w:rPr>
              <w:t>del</w:t>
            </w:r>
            <w:r>
              <w:rPr>
                <w:spacing w:val="-3"/>
                <w:sz w:val="17"/>
              </w:rPr>
              <w:t> </w:t>
            </w:r>
            <w:r>
              <w:rPr>
                <w:sz w:val="17"/>
              </w:rPr>
              <w:t>transporte</w:t>
            </w:r>
            <w:r>
              <w:rPr>
                <w:spacing w:val="-3"/>
                <w:sz w:val="17"/>
              </w:rPr>
              <w:t> </w:t>
            </w:r>
            <w:r>
              <w:rPr>
                <w:spacing w:val="-2"/>
                <w:sz w:val="17"/>
              </w:rPr>
              <w:t>público.</w:t>
            </w:r>
          </w:p>
        </w:tc>
        <w:tc>
          <w:tcPr>
            <w:tcW w:w="1290" w:type="dxa"/>
            <w:tcBorders>
              <w:bottom w:val="single" w:sz="8" w:space="0" w:color="002D5D"/>
            </w:tcBorders>
          </w:tcPr>
          <w:p>
            <w:pPr>
              <w:pStyle w:val="TableParagraph"/>
              <w:spacing w:before="99"/>
              <w:ind w:left="101"/>
              <w:rPr>
                <w:sz w:val="17"/>
              </w:rPr>
            </w:pPr>
            <w:r>
              <w:rPr>
                <w:spacing w:val="-2"/>
                <w:sz w:val="17"/>
              </w:rPr>
              <w:t>Digitalización</w:t>
            </w:r>
          </w:p>
        </w:tc>
        <w:tc>
          <w:tcPr>
            <w:tcW w:w="1290" w:type="dxa"/>
            <w:tcBorders>
              <w:bottom w:val="single" w:sz="8" w:space="0" w:color="002D5D"/>
            </w:tcBorders>
          </w:tcPr>
          <w:p>
            <w:pPr>
              <w:pStyle w:val="TableParagraph"/>
              <w:spacing w:before="99"/>
              <w:ind w:right="77"/>
              <w:jc w:val="right"/>
              <w:rPr>
                <w:sz w:val="17"/>
              </w:rPr>
            </w:pPr>
            <w:r>
              <w:rPr>
                <w:spacing w:val="-2"/>
                <w:sz w:val="17"/>
              </w:rPr>
              <w:t>1.778.388,59</w:t>
            </w:r>
          </w:p>
        </w:tc>
        <w:tc>
          <w:tcPr>
            <w:tcW w:w="741" w:type="dxa"/>
            <w:tcBorders>
              <w:bottom w:val="single" w:sz="8" w:space="0" w:color="002D5D"/>
            </w:tcBorders>
          </w:tcPr>
          <w:p>
            <w:pPr>
              <w:pStyle w:val="TableParagraph"/>
              <w:spacing w:before="99"/>
              <w:ind w:right="237"/>
              <w:jc w:val="right"/>
              <w:rPr>
                <w:sz w:val="17"/>
              </w:rPr>
            </w:pPr>
            <w:r>
              <w:rPr>
                <w:spacing w:val="-4"/>
                <w:sz w:val="17"/>
              </w:rPr>
              <w:t>3,62</w:t>
            </w:r>
          </w:p>
        </w:tc>
        <w:tc>
          <w:tcPr>
            <w:tcW w:w="1175" w:type="dxa"/>
            <w:tcBorders>
              <w:bottom w:val="single" w:sz="8" w:space="0" w:color="002D5D"/>
            </w:tcBorders>
          </w:tcPr>
          <w:p>
            <w:pPr>
              <w:pStyle w:val="TableParagraph"/>
              <w:spacing w:before="99"/>
              <w:ind w:right="90"/>
              <w:jc w:val="right"/>
              <w:rPr>
                <w:sz w:val="17"/>
              </w:rPr>
            </w:pPr>
            <w:r>
              <w:rPr>
                <w:spacing w:val="-2"/>
                <w:sz w:val="17"/>
              </w:rPr>
              <w:t>177.838,86</w:t>
            </w:r>
          </w:p>
        </w:tc>
        <w:tc>
          <w:tcPr>
            <w:tcW w:w="601" w:type="dxa"/>
            <w:tcBorders>
              <w:bottom w:val="single" w:sz="8" w:space="0" w:color="002D5D"/>
            </w:tcBorders>
          </w:tcPr>
          <w:p>
            <w:pPr>
              <w:pStyle w:val="TableParagraph"/>
              <w:spacing w:before="99"/>
              <w:ind w:right="59"/>
              <w:jc w:val="center"/>
              <w:rPr>
                <w:sz w:val="17"/>
              </w:rPr>
            </w:pPr>
            <w:r>
              <w:rPr>
                <w:spacing w:val="-2"/>
                <w:sz w:val="17"/>
              </w:rPr>
              <w:t>10,00</w:t>
            </w:r>
          </w:p>
        </w:tc>
        <w:tc>
          <w:tcPr>
            <w:tcW w:w="1105" w:type="dxa"/>
            <w:tcBorders>
              <w:bottom w:val="single" w:sz="8" w:space="0" w:color="002D5D"/>
            </w:tcBorders>
          </w:tcPr>
          <w:p>
            <w:pPr>
              <w:pStyle w:val="TableParagraph"/>
              <w:spacing w:before="99"/>
              <w:ind w:right="97"/>
              <w:jc w:val="right"/>
              <w:rPr>
                <w:sz w:val="17"/>
              </w:rPr>
            </w:pPr>
            <w:r>
              <w:rPr>
                <w:spacing w:val="-2"/>
                <w:sz w:val="17"/>
              </w:rPr>
              <w:t>1.600.549,73</w:t>
            </w:r>
          </w:p>
        </w:tc>
        <w:tc>
          <w:tcPr>
            <w:tcW w:w="609" w:type="dxa"/>
            <w:tcBorders>
              <w:bottom w:val="single" w:sz="8" w:space="0" w:color="002D5D"/>
            </w:tcBorders>
          </w:tcPr>
          <w:p>
            <w:pPr>
              <w:pStyle w:val="TableParagraph"/>
              <w:spacing w:before="99"/>
              <w:ind w:right="41"/>
              <w:jc w:val="center"/>
              <w:rPr>
                <w:sz w:val="17"/>
              </w:rPr>
            </w:pPr>
            <w:r>
              <w:rPr>
                <w:spacing w:val="-2"/>
                <w:sz w:val="17"/>
              </w:rPr>
              <w:t>90,00</w:t>
            </w:r>
          </w:p>
        </w:tc>
        <w:tc>
          <w:tcPr>
            <w:tcW w:w="935" w:type="dxa"/>
            <w:tcBorders>
              <w:bottom w:val="single" w:sz="8" w:space="0" w:color="002D5D"/>
            </w:tcBorders>
          </w:tcPr>
          <w:p>
            <w:pPr>
              <w:pStyle w:val="TableParagraph"/>
              <w:spacing w:before="99"/>
              <w:ind w:right="147"/>
              <w:jc w:val="right"/>
              <w:rPr>
                <w:sz w:val="17"/>
              </w:rPr>
            </w:pPr>
            <w:r>
              <w:rPr>
                <w:spacing w:val="-4"/>
                <w:sz w:val="17"/>
              </w:rPr>
              <w:t>0,00</w:t>
            </w:r>
          </w:p>
        </w:tc>
        <w:tc>
          <w:tcPr>
            <w:tcW w:w="1491" w:type="dxa"/>
            <w:tcBorders>
              <w:bottom w:val="single" w:sz="8" w:space="0" w:color="002D5D"/>
            </w:tcBorders>
          </w:tcPr>
          <w:p>
            <w:pPr>
              <w:pStyle w:val="TableParagraph"/>
              <w:spacing w:before="99"/>
              <w:ind w:left="166"/>
              <w:rPr>
                <w:sz w:val="17"/>
              </w:rPr>
            </w:pPr>
            <w:r>
              <w:rPr>
                <w:sz w:val="17"/>
              </w:rPr>
              <w:t>0,00</w:t>
            </w:r>
            <w:r>
              <w:rPr>
                <w:spacing w:val="78"/>
                <w:w w:val="150"/>
                <w:sz w:val="17"/>
              </w:rPr>
              <w:t> </w:t>
            </w:r>
            <w:r>
              <w:rPr>
                <w:spacing w:val="-2"/>
                <w:sz w:val="17"/>
              </w:rPr>
              <w:t>Finalizada</w:t>
            </w:r>
          </w:p>
        </w:tc>
      </w:tr>
      <w:tr>
        <w:trPr>
          <w:trHeight w:val="584" w:hRule="atLeast"/>
        </w:trPr>
        <w:tc>
          <w:tcPr>
            <w:tcW w:w="1812" w:type="dxa"/>
            <w:tcBorders>
              <w:top w:val="single" w:sz="8" w:space="0" w:color="002D5D"/>
            </w:tcBorders>
          </w:tcPr>
          <w:p>
            <w:pPr>
              <w:pStyle w:val="TableParagraph"/>
              <w:spacing w:line="194" w:lineRule="exact"/>
              <w:ind w:left="69"/>
              <w:rPr>
                <w:sz w:val="17"/>
              </w:rPr>
            </w:pPr>
            <w:r>
              <w:rPr>
                <w:sz w:val="17"/>
              </w:rPr>
              <w:t>Implantación</w:t>
            </w:r>
            <w:r>
              <w:rPr>
                <w:spacing w:val="-2"/>
                <w:sz w:val="17"/>
              </w:rPr>
              <w:t> </w:t>
            </w:r>
            <w:r>
              <w:rPr>
                <w:sz w:val="17"/>
              </w:rPr>
              <w:t>en</w:t>
            </w:r>
            <w:r>
              <w:rPr>
                <w:spacing w:val="-3"/>
                <w:sz w:val="17"/>
              </w:rPr>
              <w:t> </w:t>
            </w:r>
            <w:r>
              <w:rPr>
                <w:sz w:val="17"/>
              </w:rPr>
              <w:t>la</w:t>
            </w:r>
            <w:r>
              <w:rPr>
                <w:spacing w:val="-2"/>
                <w:sz w:val="17"/>
              </w:rPr>
              <w:t> </w:t>
            </w:r>
            <w:r>
              <w:rPr>
                <w:sz w:val="17"/>
              </w:rPr>
              <w:t>APP</w:t>
            </w:r>
            <w:r>
              <w:rPr>
                <w:spacing w:val="-2"/>
                <w:sz w:val="17"/>
              </w:rPr>
              <w:t> </w:t>
            </w:r>
            <w:r>
              <w:rPr>
                <w:spacing w:val="-5"/>
                <w:sz w:val="17"/>
              </w:rPr>
              <w:t>de</w:t>
            </w:r>
          </w:p>
          <w:p>
            <w:pPr>
              <w:pStyle w:val="TableParagraph"/>
              <w:spacing w:line="194" w:lineRule="exact"/>
              <w:ind w:left="69" w:right="138"/>
              <w:rPr>
                <w:sz w:val="17"/>
              </w:rPr>
            </w:pPr>
            <w:r>
              <w:rPr>
                <w:sz w:val="17"/>
              </w:rPr>
              <w:t>la EMT de sistema de</w:t>
            </w:r>
            <w:r>
              <w:rPr>
                <w:spacing w:val="40"/>
                <w:sz w:val="17"/>
              </w:rPr>
              <w:t> </w:t>
            </w:r>
            <w:r>
              <w:rPr>
                <w:sz w:val="17"/>
              </w:rPr>
              <w:t>información</w:t>
            </w:r>
            <w:r>
              <w:rPr>
                <w:spacing w:val="-10"/>
                <w:sz w:val="17"/>
              </w:rPr>
              <w:t> </w:t>
            </w:r>
            <w:r>
              <w:rPr>
                <w:sz w:val="17"/>
              </w:rPr>
              <w:t>para</w:t>
            </w:r>
            <w:r>
              <w:rPr>
                <w:spacing w:val="-10"/>
                <w:sz w:val="17"/>
              </w:rPr>
              <w:t> </w:t>
            </w:r>
            <w:r>
              <w:rPr>
                <w:sz w:val="17"/>
              </w:rPr>
              <w:t>usuarios</w:t>
            </w:r>
          </w:p>
        </w:tc>
        <w:tc>
          <w:tcPr>
            <w:tcW w:w="1290" w:type="dxa"/>
            <w:tcBorders>
              <w:top w:val="single" w:sz="8" w:space="0" w:color="002D5D"/>
            </w:tcBorders>
          </w:tcPr>
          <w:p>
            <w:pPr>
              <w:pStyle w:val="TableParagraph"/>
              <w:spacing w:before="194"/>
              <w:rPr>
                <w:sz w:val="17"/>
              </w:rPr>
            </w:pPr>
          </w:p>
          <w:p>
            <w:pPr>
              <w:pStyle w:val="TableParagraph"/>
              <w:spacing w:line="175" w:lineRule="exact" w:before="1"/>
              <w:ind w:left="101"/>
              <w:rPr>
                <w:sz w:val="17"/>
              </w:rPr>
            </w:pPr>
            <w:r>
              <w:rPr>
                <w:spacing w:val="-2"/>
                <w:sz w:val="17"/>
              </w:rPr>
              <w:t>Digitalización</w:t>
            </w:r>
          </w:p>
        </w:tc>
        <w:tc>
          <w:tcPr>
            <w:tcW w:w="1290" w:type="dxa"/>
            <w:tcBorders>
              <w:top w:val="single" w:sz="8" w:space="0" w:color="002D5D"/>
            </w:tcBorders>
          </w:tcPr>
          <w:p>
            <w:pPr>
              <w:pStyle w:val="TableParagraph"/>
              <w:spacing w:before="194"/>
              <w:rPr>
                <w:sz w:val="17"/>
              </w:rPr>
            </w:pPr>
          </w:p>
          <w:p>
            <w:pPr>
              <w:pStyle w:val="TableParagraph"/>
              <w:spacing w:line="175" w:lineRule="exact" w:before="1"/>
              <w:ind w:right="77"/>
              <w:jc w:val="right"/>
              <w:rPr>
                <w:sz w:val="17"/>
              </w:rPr>
            </w:pPr>
            <w:r>
              <w:rPr>
                <w:spacing w:val="-2"/>
                <w:sz w:val="17"/>
              </w:rPr>
              <w:t>57.655,00</w:t>
            </w:r>
          </w:p>
        </w:tc>
        <w:tc>
          <w:tcPr>
            <w:tcW w:w="741" w:type="dxa"/>
            <w:tcBorders>
              <w:top w:val="single" w:sz="8" w:space="0" w:color="002D5D"/>
            </w:tcBorders>
          </w:tcPr>
          <w:p>
            <w:pPr>
              <w:pStyle w:val="TableParagraph"/>
              <w:spacing w:before="194"/>
              <w:rPr>
                <w:sz w:val="17"/>
              </w:rPr>
            </w:pPr>
          </w:p>
          <w:p>
            <w:pPr>
              <w:pStyle w:val="TableParagraph"/>
              <w:spacing w:line="175" w:lineRule="exact" w:before="1"/>
              <w:ind w:right="237"/>
              <w:jc w:val="right"/>
              <w:rPr>
                <w:sz w:val="17"/>
              </w:rPr>
            </w:pPr>
            <w:r>
              <w:rPr>
                <w:spacing w:val="-4"/>
                <w:sz w:val="17"/>
              </w:rPr>
              <w:t>0,12</w:t>
            </w:r>
          </w:p>
        </w:tc>
        <w:tc>
          <w:tcPr>
            <w:tcW w:w="1175" w:type="dxa"/>
            <w:tcBorders>
              <w:top w:val="single" w:sz="8" w:space="0" w:color="002D5D"/>
            </w:tcBorders>
          </w:tcPr>
          <w:p>
            <w:pPr>
              <w:pStyle w:val="TableParagraph"/>
              <w:spacing w:before="194"/>
              <w:rPr>
                <w:sz w:val="17"/>
              </w:rPr>
            </w:pPr>
          </w:p>
          <w:p>
            <w:pPr>
              <w:pStyle w:val="TableParagraph"/>
              <w:spacing w:line="175" w:lineRule="exact" w:before="1"/>
              <w:ind w:right="90"/>
              <w:jc w:val="right"/>
              <w:rPr>
                <w:sz w:val="17"/>
              </w:rPr>
            </w:pPr>
            <w:r>
              <w:rPr>
                <w:spacing w:val="-2"/>
                <w:sz w:val="17"/>
              </w:rPr>
              <w:t>5.765,50</w:t>
            </w:r>
          </w:p>
        </w:tc>
        <w:tc>
          <w:tcPr>
            <w:tcW w:w="601" w:type="dxa"/>
            <w:tcBorders>
              <w:top w:val="single" w:sz="8" w:space="0" w:color="002D5D"/>
            </w:tcBorders>
          </w:tcPr>
          <w:p>
            <w:pPr>
              <w:pStyle w:val="TableParagraph"/>
              <w:spacing w:before="194"/>
              <w:rPr>
                <w:sz w:val="17"/>
              </w:rPr>
            </w:pPr>
          </w:p>
          <w:p>
            <w:pPr>
              <w:pStyle w:val="TableParagraph"/>
              <w:spacing w:line="175" w:lineRule="exact" w:before="1"/>
              <w:ind w:right="59"/>
              <w:jc w:val="center"/>
              <w:rPr>
                <w:sz w:val="17"/>
              </w:rPr>
            </w:pPr>
            <w:r>
              <w:rPr>
                <w:spacing w:val="-2"/>
                <w:sz w:val="17"/>
              </w:rPr>
              <w:t>10,00</w:t>
            </w:r>
          </w:p>
        </w:tc>
        <w:tc>
          <w:tcPr>
            <w:tcW w:w="1105" w:type="dxa"/>
            <w:tcBorders>
              <w:top w:val="single" w:sz="8" w:space="0" w:color="002D5D"/>
            </w:tcBorders>
          </w:tcPr>
          <w:p>
            <w:pPr>
              <w:pStyle w:val="TableParagraph"/>
              <w:spacing w:before="194"/>
              <w:rPr>
                <w:sz w:val="17"/>
              </w:rPr>
            </w:pPr>
          </w:p>
          <w:p>
            <w:pPr>
              <w:pStyle w:val="TableParagraph"/>
              <w:spacing w:line="175" w:lineRule="exact" w:before="1"/>
              <w:ind w:right="96"/>
              <w:jc w:val="right"/>
              <w:rPr>
                <w:sz w:val="17"/>
              </w:rPr>
            </w:pPr>
            <w:r>
              <w:rPr>
                <w:spacing w:val="-2"/>
                <w:sz w:val="17"/>
              </w:rPr>
              <w:t>51.889,50</w:t>
            </w:r>
          </w:p>
        </w:tc>
        <w:tc>
          <w:tcPr>
            <w:tcW w:w="609" w:type="dxa"/>
            <w:tcBorders>
              <w:top w:val="single" w:sz="8" w:space="0" w:color="002D5D"/>
            </w:tcBorders>
          </w:tcPr>
          <w:p>
            <w:pPr>
              <w:pStyle w:val="TableParagraph"/>
              <w:spacing w:before="194"/>
              <w:rPr>
                <w:sz w:val="17"/>
              </w:rPr>
            </w:pPr>
          </w:p>
          <w:p>
            <w:pPr>
              <w:pStyle w:val="TableParagraph"/>
              <w:spacing w:line="175" w:lineRule="exact" w:before="1"/>
              <w:ind w:right="41"/>
              <w:jc w:val="center"/>
              <w:rPr>
                <w:sz w:val="17"/>
              </w:rPr>
            </w:pPr>
            <w:r>
              <w:rPr>
                <w:spacing w:val="-2"/>
                <w:sz w:val="17"/>
              </w:rPr>
              <w:t>90,00</w:t>
            </w:r>
          </w:p>
        </w:tc>
        <w:tc>
          <w:tcPr>
            <w:tcW w:w="935" w:type="dxa"/>
            <w:tcBorders>
              <w:top w:val="single" w:sz="8" w:space="0" w:color="002D5D"/>
            </w:tcBorders>
          </w:tcPr>
          <w:p>
            <w:pPr>
              <w:pStyle w:val="TableParagraph"/>
              <w:spacing w:before="194"/>
              <w:rPr>
                <w:sz w:val="17"/>
              </w:rPr>
            </w:pPr>
          </w:p>
          <w:p>
            <w:pPr>
              <w:pStyle w:val="TableParagraph"/>
              <w:spacing w:line="175" w:lineRule="exact" w:before="1"/>
              <w:ind w:right="147"/>
              <w:jc w:val="right"/>
              <w:rPr>
                <w:sz w:val="17"/>
              </w:rPr>
            </w:pPr>
            <w:r>
              <w:rPr>
                <w:spacing w:val="-4"/>
                <w:sz w:val="17"/>
              </w:rPr>
              <w:t>0,00</w:t>
            </w:r>
          </w:p>
        </w:tc>
        <w:tc>
          <w:tcPr>
            <w:tcW w:w="1491" w:type="dxa"/>
            <w:tcBorders>
              <w:top w:val="single" w:sz="8" w:space="0" w:color="002D5D"/>
            </w:tcBorders>
          </w:tcPr>
          <w:p>
            <w:pPr>
              <w:pStyle w:val="TableParagraph"/>
              <w:spacing w:before="194"/>
              <w:rPr>
                <w:sz w:val="17"/>
              </w:rPr>
            </w:pPr>
          </w:p>
          <w:p>
            <w:pPr>
              <w:pStyle w:val="TableParagraph"/>
              <w:spacing w:line="175" w:lineRule="exact" w:before="1"/>
              <w:ind w:left="166"/>
              <w:rPr>
                <w:sz w:val="17"/>
              </w:rPr>
            </w:pPr>
            <w:r>
              <w:rPr>
                <w:sz w:val="17"/>
              </w:rPr>
              <w:t>0,00</w:t>
            </w:r>
            <w:r>
              <w:rPr>
                <w:spacing w:val="79"/>
                <w:w w:val="150"/>
                <w:sz w:val="17"/>
              </w:rPr>
              <w:t> </w:t>
            </w:r>
            <w:r>
              <w:rPr>
                <w:sz w:val="17"/>
              </w:rPr>
              <w:t>En</w:t>
            </w:r>
            <w:r>
              <w:rPr>
                <w:spacing w:val="-2"/>
                <w:sz w:val="17"/>
              </w:rPr>
              <w:t> ejecución</w:t>
            </w:r>
          </w:p>
        </w:tc>
      </w:tr>
      <w:tr>
        <w:trPr>
          <w:trHeight w:val="381" w:hRule="atLeast"/>
        </w:trPr>
        <w:tc>
          <w:tcPr>
            <w:tcW w:w="1812" w:type="dxa"/>
            <w:tcBorders>
              <w:bottom w:val="single" w:sz="8" w:space="0" w:color="002D5D"/>
            </w:tcBorders>
          </w:tcPr>
          <w:p>
            <w:pPr>
              <w:pStyle w:val="TableParagraph"/>
              <w:spacing w:line="194" w:lineRule="exact"/>
              <w:ind w:left="69" w:right="686"/>
              <w:rPr>
                <w:sz w:val="17"/>
              </w:rPr>
            </w:pPr>
            <w:r>
              <w:rPr>
                <w:sz w:val="17"/>
              </w:rPr>
              <w:t>con</w:t>
            </w:r>
            <w:r>
              <w:rPr>
                <w:spacing w:val="-10"/>
                <w:sz w:val="17"/>
              </w:rPr>
              <w:t> </w:t>
            </w:r>
            <w:r>
              <w:rPr>
                <w:sz w:val="17"/>
              </w:rPr>
              <w:t>necesidades</w:t>
            </w:r>
            <w:r>
              <w:rPr>
                <w:spacing w:val="40"/>
                <w:sz w:val="17"/>
              </w:rPr>
              <w:t> </w:t>
            </w:r>
            <w:r>
              <w:rPr>
                <w:spacing w:val="-2"/>
                <w:sz w:val="17"/>
              </w:rPr>
              <w:t>específicas</w:t>
            </w:r>
          </w:p>
        </w:tc>
        <w:tc>
          <w:tcPr>
            <w:tcW w:w="1290" w:type="dxa"/>
            <w:tcBorders>
              <w:bottom w:val="single" w:sz="8" w:space="0" w:color="002D5D"/>
            </w:tcBorders>
          </w:tcPr>
          <w:p>
            <w:pPr>
              <w:pStyle w:val="TableParagraph"/>
              <w:rPr>
                <w:rFonts w:ascii="Times New Roman"/>
                <w:sz w:val="16"/>
              </w:rPr>
            </w:pPr>
          </w:p>
        </w:tc>
        <w:tc>
          <w:tcPr>
            <w:tcW w:w="1290" w:type="dxa"/>
            <w:tcBorders>
              <w:bottom w:val="single" w:sz="8" w:space="0" w:color="002D5D"/>
            </w:tcBorders>
          </w:tcPr>
          <w:p>
            <w:pPr>
              <w:pStyle w:val="TableParagraph"/>
              <w:rPr>
                <w:rFonts w:ascii="Times New Roman"/>
                <w:sz w:val="16"/>
              </w:rPr>
            </w:pPr>
          </w:p>
        </w:tc>
        <w:tc>
          <w:tcPr>
            <w:tcW w:w="741" w:type="dxa"/>
            <w:tcBorders>
              <w:bottom w:val="single" w:sz="8" w:space="0" w:color="002D5D"/>
            </w:tcBorders>
          </w:tcPr>
          <w:p>
            <w:pPr>
              <w:pStyle w:val="TableParagraph"/>
              <w:rPr>
                <w:rFonts w:ascii="Times New Roman"/>
                <w:sz w:val="16"/>
              </w:rPr>
            </w:pPr>
          </w:p>
        </w:tc>
        <w:tc>
          <w:tcPr>
            <w:tcW w:w="1175" w:type="dxa"/>
            <w:tcBorders>
              <w:bottom w:val="single" w:sz="8" w:space="0" w:color="002D5D"/>
            </w:tcBorders>
          </w:tcPr>
          <w:p>
            <w:pPr>
              <w:pStyle w:val="TableParagraph"/>
              <w:rPr>
                <w:rFonts w:ascii="Times New Roman"/>
                <w:sz w:val="16"/>
              </w:rPr>
            </w:pPr>
          </w:p>
        </w:tc>
        <w:tc>
          <w:tcPr>
            <w:tcW w:w="601" w:type="dxa"/>
            <w:tcBorders>
              <w:bottom w:val="single" w:sz="8" w:space="0" w:color="002D5D"/>
            </w:tcBorders>
          </w:tcPr>
          <w:p>
            <w:pPr>
              <w:pStyle w:val="TableParagraph"/>
              <w:rPr>
                <w:rFonts w:ascii="Times New Roman"/>
                <w:sz w:val="16"/>
              </w:rPr>
            </w:pPr>
          </w:p>
        </w:tc>
        <w:tc>
          <w:tcPr>
            <w:tcW w:w="1105" w:type="dxa"/>
            <w:tcBorders>
              <w:bottom w:val="single" w:sz="8" w:space="0" w:color="002D5D"/>
            </w:tcBorders>
          </w:tcPr>
          <w:p>
            <w:pPr>
              <w:pStyle w:val="TableParagraph"/>
              <w:rPr>
                <w:rFonts w:ascii="Times New Roman"/>
                <w:sz w:val="16"/>
              </w:rPr>
            </w:pPr>
          </w:p>
        </w:tc>
        <w:tc>
          <w:tcPr>
            <w:tcW w:w="609" w:type="dxa"/>
            <w:tcBorders>
              <w:bottom w:val="single" w:sz="8" w:space="0" w:color="002D5D"/>
            </w:tcBorders>
          </w:tcPr>
          <w:p>
            <w:pPr>
              <w:pStyle w:val="TableParagraph"/>
              <w:rPr>
                <w:rFonts w:ascii="Times New Roman"/>
                <w:sz w:val="16"/>
              </w:rPr>
            </w:pPr>
          </w:p>
        </w:tc>
        <w:tc>
          <w:tcPr>
            <w:tcW w:w="935" w:type="dxa"/>
            <w:tcBorders>
              <w:bottom w:val="single" w:sz="8" w:space="0" w:color="002D5D"/>
            </w:tcBorders>
          </w:tcPr>
          <w:p>
            <w:pPr>
              <w:pStyle w:val="TableParagraph"/>
              <w:rPr>
                <w:rFonts w:ascii="Times New Roman"/>
                <w:sz w:val="16"/>
              </w:rPr>
            </w:pPr>
          </w:p>
        </w:tc>
        <w:tc>
          <w:tcPr>
            <w:tcW w:w="1491" w:type="dxa"/>
            <w:tcBorders>
              <w:bottom w:val="single" w:sz="8" w:space="0" w:color="002D5D"/>
            </w:tcBorders>
          </w:tcPr>
          <w:p>
            <w:pPr>
              <w:pStyle w:val="TableParagraph"/>
              <w:rPr>
                <w:rFonts w:ascii="Times New Roman"/>
                <w:sz w:val="16"/>
              </w:rPr>
            </w:pPr>
          </w:p>
        </w:tc>
      </w:tr>
      <w:tr>
        <w:trPr>
          <w:trHeight w:val="257" w:hRule="atLeast"/>
        </w:trPr>
        <w:tc>
          <w:tcPr>
            <w:tcW w:w="1812" w:type="dxa"/>
            <w:shd w:val="clear" w:color="auto" w:fill="002D5D"/>
          </w:tcPr>
          <w:p>
            <w:pPr>
              <w:pStyle w:val="TableParagraph"/>
              <w:spacing w:before="37"/>
              <w:ind w:left="69"/>
              <w:rPr>
                <w:b/>
                <w:sz w:val="16"/>
              </w:rPr>
            </w:pPr>
            <w:r>
              <w:rPr>
                <w:b/>
                <w:color w:val="FFFFFF"/>
                <w:spacing w:val="-2"/>
                <w:sz w:val="16"/>
              </w:rPr>
              <w:t>TOTAL</w:t>
            </w:r>
          </w:p>
        </w:tc>
        <w:tc>
          <w:tcPr>
            <w:tcW w:w="1290" w:type="dxa"/>
            <w:shd w:val="clear" w:color="auto" w:fill="002D5D"/>
          </w:tcPr>
          <w:p>
            <w:pPr>
              <w:pStyle w:val="TableParagraph"/>
              <w:rPr>
                <w:rFonts w:ascii="Times New Roman"/>
                <w:sz w:val="16"/>
              </w:rPr>
            </w:pPr>
          </w:p>
        </w:tc>
        <w:tc>
          <w:tcPr>
            <w:tcW w:w="1290" w:type="dxa"/>
            <w:shd w:val="clear" w:color="auto" w:fill="002D5D"/>
          </w:tcPr>
          <w:p>
            <w:pPr>
              <w:pStyle w:val="TableParagraph"/>
              <w:spacing w:before="37"/>
              <w:ind w:right="75"/>
              <w:jc w:val="right"/>
              <w:rPr>
                <w:b/>
                <w:sz w:val="16"/>
              </w:rPr>
            </w:pPr>
            <w:r>
              <w:rPr>
                <w:b/>
                <w:color w:val="FFFFFF"/>
                <w:spacing w:val="-2"/>
                <w:sz w:val="16"/>
              </w:rPr>
              <w:t>49.175.802,03</w:t>
            </w:r>
          </w:p>
        </w:tc>
        <w:tc>
          <w:tcPr>
            <w:tcW w:w="741" w:type="dxa"/>
            <w:shd w:val="clear" w:color="auto" w:fill="002D5D"/>
          </w:tcPr>
          <w:p>
            <w:pPr>
              <w:pStyle w:val="TableParagraph"/>
              <w:spacing w:before="37"/>
              <w:ind w:right="256"/>
              <w:jc w:val="right"/>
              <w:rPr>
                <w:b/>
                <w:sz w:val="16"/>
              </w:rPr>
            </w:pPr>
            <w:r>
              <w:rPr>
                <w:b/>
                <w:color w:val="FFFFFF"/>
                <w:spacing w:val="-2"/>
                <w:sz w:val="16"/>
              </w:rPr>
              <w:t>100,00</w:t>
            </w:r>
          </w:p>
        </w:tc>
        <w:tc>
          <w:tcPr>
            <w:tcW w:w="1175" w:type="dxa"/>
            <w:shd w:val="clear" w:color="auto" w:fill="002D5D"/>
          </w:tcPr>
          <w:p>
            <w:pPr>
              <w:pStyle w:val="TableParagraph"/>
              <w:spacing w:before="37"/>
              <w:ind w:right="87"/>
              <w:jc w:val="right"/>
              <w:rPr>
                <w:b/>
                <w:sz w:val="16"/>
              </w:rPr>
            </w:pPr>
            <w:r>
              <w:rPr>
                <w:b/>
                <w:color w:val="FFFFFF"/>
                <w:spacing w:val="-2"/>
                <w:sz w:val="16"/>
              </w:rPr>
              <w:t>29.222.238,08</w:t>
            </w:r>
          </w:p>
        </w:tc>
        <w:tc>
          <w:tcPr>
            <w:tcW w:w="601" w:type="dxa"/>
            <w:shd w:val="clear" w:color="auto" w:fill="002D5D"/>
          </w:tcPr>
          <w:p>
            <w:pPr>
              <w:pStyle w:val="TableParagraph"/>
              <w:rPr>
                <w:rFonts w:ascii="Times New Roman"/>
                <w:sz w:val="16"/>
              </w:rPr>
            </w:pPr>
          </w:p>
        </w:tc>
        <w:tc>
          <w:tcPr>
            <w:tcW w:w="1105" w:type="dxa"/>
            <w:shd w:val="clear" w:color="auto" w:fill="002D5D"/>
          </w:tcPr>
          <w:p>
            <w:pPr>
              <w:pStyle w:val="TableParagraph"/>
              <w:spacing w:before="37"/>
              <w:ind w:right="94"/>
              <w:jc w:val="right"/>
              <w:rPr>
                <w:b/>
                <w:sz w:val="16"/>
              </w:rPr>
            </w:pPr>
            <w:r>
              <w:rPr>
                <w:b/>
                <w:color w:val="FFFFFF"/>
                <w:spacing w:val="-2"/>
                <w:sz w:val="16"/>
              </w:rPr>
              <w:t>19.927.238,95</w:t>
            </w:r>
          </w:p>
        </w:tc>
        <w:tc>
          <w:tcPr>
            <w:tcW w:w="609" w:type="dxa"/>
            <w:shd w:val="clear" w:color="auto" w:fill="002D5D"/>
          </w:tcPr>
          <w:p>
            <w:pPr>
              <w:pStyle w:val="TableParagraph"/>
              <w:rPr>
                <w:rFonts w:ascii="Times New Roman"/>
                <w:sz w:val="16"/>
              </w:rPr>
            </w:pPr>
          </w:p>
        </w:tc>
        <w:tc>
          <w:tcPr>
            <w:tcW w:w="935" w:type="dxa"/>
            <w:shd w:val="clear" w:color="auto" w:fill="002D5D"/>
          </w:tcPr>
          <w:p>
            <w:pPr>
              <w:pStyle w:val="TableParagraph"/>
              <w:spacing w:before="30"/>
              <w:ind w:right="147"/>
              <w:jc w:val="right"/>
              <w:rPr>
                <w:b/>
                <w:sz w:val="17"/>
              </w:rPr>
            </w:pPr>
            <w:r>
              <w:rPr>
                <w:b/>
                <w:color w:val="FFFFFF"/>
                <w:spacing w:val="-2"/>
                <w:sz w:val="17"/>
              </w:rPr>
              <w:t>26.325,00</w:t>
            </w:r>
          </w:p>
        </w:tc>
        <w:tc>
          <w:tcPr>
            <w:tcW w:w="1491" w:type="dxa"/>
            <w:shd w:val="clear" w:color="auto" w:fill="002D5D"/>
          </w:tcPr>
          <w:p>
            <w:pPr>
              <w:pStyle w:val="TableParagraph"/>
              <w:rPr>
                <w:rFonts w:ascii="Times New Roman"/>
                <w:sz w:val="16"/>
              </w:rPr>
            </w:pPr>
          </w:p>
        </w:tc>
      </w:tr>
    </w:tbl>
    <w:p>
      <w:pPr>
        <w:spacing w:before="25"/>
        <w:ind w:left="353"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2"/>
          <w:sz w:val="18"/>
        </w:rPr>
        <w:t> </w:t>
      </w:r>
      <w:r>
        <w:rPr>
          <w:rFonts w:ascii="Arial Narrow" w:hAnsi="Arial Narrow"/>
          <w:sz w:val="18"/>
        </w:rPr>
        <w:t>a</w:t>
      </w:r>
      <w:r>
        <w:rPr>
          <w:rFonts w:ascii="Arial Narrow" w:hAnsi="Arial Narrow"/>
          <w:spacing w:val="-3"/>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2"/>
          <w:sz w:val="18"/>
        </w:rPr>
        <w:t> </w:t>
      </w:r>
      <w:r>
        <w:rPr>
          <w:rFonts w:ascii="Arial Narrow" w:hAnsi="Arial Narrow"/>
          <w:sz w:val="18"/>
        </w:rPr>
        <w:t>los</w:t>
      </w:r>
      <w:r>
        <w:rPr>
          <w:rFonts w:ascii="Arial Narrow" w:hAnsi="Arial Narrow"/>
          <w:spacing w:val="-3"/>
          <w:sz w:val="18"/>
        </w:rPr>
        <w:t> </w:t>
      </w:r>
      <w:r>
        <w:rPr>
          <w:rFonts w:ascii="Arial Narrow" w:hAnsi="Arial Narrow"/>
          <w:sz w:val="18"/>
        </w:rPr>
        <w:t>datos</w:t>
      </w:r>
      <w:r>
        <w:rPr>
          <w:rFonts w:ascii="Arial Narrow" w:hAnsi="Arial Narrow"/>
          <w:spacing w:val="-2"/>
          <w:sz w:val="18"/>
        </w:rPr>
        <w:t> </w:t>
      </w:r>
      <w:r>
        <w:rPr>
          <w:rFonts w:ascii="Arial Narrow" w:hAnsi="Arial Narrow"/>
          <w:sz w:val="18"/>
        </w:rPr>
        <w:t>facilitados</w:t>
      </w:r>
      <w:r>
        <w:rPr>
          <w:rFonts w:ascii="Arial Narrow" w:hAnsi="Arial Narrow"/>
          <w:spacing w:val="-2"/>
          <w:sz w:val="18"/>
        </w:rPr>
        <w:t> </w:t>
      </w:r>
      <w:r>
        <w:rPr>
          <w:rFonts w:ascii="Arial Narrow" w:hAnsi="Arial Narrow"/>
          <w:sz w:val="18"/>
        </w:rPr>
        <w:t>por</w:t>
      </w:r>
      <w:r>
        <w:rPr>
          <w:rFonts w:ascii="Arial Narrow" w:hAnsi="Arial Narrow"/>
          <w:spacing w:val="-2"/>
          <w:sz w:val="18"/>
        </w:rPr>
        <w:t> </w:t>
      </w:r>
      <w:r>
        <w:rPr>
          <w:rFonts w:ascii="Arial Narrow" w:hAnsi="Arial Narrow"/>
          <w:sz w:val="18"/>
        </w:rPr>
        <w:t>el</w:t>
      </w:r>
      <w:r>
        <w:rPr>
          <w:rFonts w:ascii="Arial Narrow" w:hAnsi="Arial Narrow"/>
          <w:spacing w:val="-1"/>
          <w:sz w:val="18"/>
        </w:rPr>
        <w:t> </w:t>
      </w:r>
      <w:r>
        <w:rPr>
          <w:rFonts w:ascii="Arial Narrow" w:hAnsi="Arial Narrow"/>
          <w:sz w:val="18"/>
        </w:rPr>
        <w:t>Ayuntamiento</w:t>
      </w:r>
      <w:r>
        <w:rPr>
          <w:rFonts w:ascii="Arial Narrow" w:hAnsi="Arial Narrow"/>
          <w:spacing w:val="-3"/>
          <w:sz w:val="18"/>
        </w:rPr>
        <w:t> </w:t>
      </w:r>
      <w:r>
        <w:rPr>
          <w:rFonts w:ascii="Arial Narrow" w:hAnsi="Arial Narrow"/>
          <w:sz w:val="18"/>
        </w:rPr>
        <w:t>de</w:t>
      </w:r>
      <w:r>
        <w:rPr>
          <w:rFonts w:ascii="Arial Narrow" w:hAnsi="Arial Narrow"/>
          <w:spacing w:val="-2"/>
          <w:sz w:val="18"/>
        </w:rPr>
        <w:t> Málaga</w:t>
      </w:r>
    </w:p>
    <w:p>
      <w:pPr>
        <w:spacing w:before="51"/>
        <w:ind w:left="353" w:right="0" w:firstLine="0"/>
        <w:jc w:val="left"/>
        <w:rPr>
          <w:rFonts w:ascii="Arial Narrow"/>
          <w:sz w:val="18"/>
        </w:rPr>
      </w:pPr>
      <w:r>
        <w:rPr>
          <w:rFonts w:ascii="Arial Narrow"/>
          <w:position w:val="5"/>
          <w:sz w:val="12"/>
        </w:rPr>
        <w:t>(*)</w:t>
      </w:r>
      <w:r>
        <w:rPr>
          <w:rFonts w:ascii="Arial Narrow"/>
          <w:spacing w:val="-3"/>
          <w:position w:val="5"/>
          <w:sz w:val="12"/>
        </w:rPr>
        <w:t> </w:t>
      </w:r>
      <w:r>
        <w:rPr>
          <w:rFonts w:ascii="Arial Narrow"/>
          <w:sz w:val="18"/>
        </w:rPr>
        <w:t>Porcentaje</w:t>
      </w:r>
      <w:r>
        <w:rPr>
          <w:rFonts w:ascii="Arial Narrow"/>
          <w:spacing w:val="-2"/>
          <w:sz w:val="18"/>
        </w:rPr>
        <w:t> </w:t>
      </w:r>
      <w:r>
        <w:rPr>
          <w:rFonts w:ascii="Arial Narrow"/>
          <w:sz w:val="18"/>
        </w:rPr>
        <w:t>sobre</w:t>
      </w:r>
      <w:r>
        <w:rPr>
          <w:rFonts w:ascii="Arial Narrow"/>
          <w:spacing w:val="-2"/>
          <w:sz w:val="18"/>
        </w:rPr>
        <w:t> </w:t>
      </w:r>
      <w:r>
        <w:rPr>
          <w:rFonts w:ascii="Arial Narrow"/>
          <w:sz w:val="18"/>
        </w:rPr>
        <w:t>el</w:t>
      </w:r>
      <w:r>
        <w:rPr>
          <w:rFonts w:ascii="Arial Narrow"/>
          <w:spacing w:val="-2"/>
          <w:sz w:val="18"/>
        </w:rPr>
        <w:t> </w:t>
      </w:r>
      <w:r>
        <w:rPr>
          <w:rFonts w:ascii="Arial Narrow"/>
          <w:sz w:val="18"/>
        </w:rPr>
        <w:t>importe</w:t>
      </w:r>
      <w:r>
        <w:rPr>
          <w:rFonts w:ascii="Arial Narrow"/>
          <w:spacing w:val="-2"/>
          <w:sz w:val="18"/>
        </w:rPr>
        <w:t> </w:t>
      </w:r>
      <w:r>
        <w:rPr>
          <w:rFonts w:ascii="Arial Narrow"/>
          <w:sz w:val="18"/>
        </w:rPr>
        <w:t>de</w:t>
      </w:r>
      <w:r>
        <w:rPr>
          <w:rFonts w:ascii="Arial Narrow"/>
          <w:spacing w:val="-2"/>
          <w:sz w:val="18"/>
        </w:rPr>
        <w:t> </w:t>
      </w:r>
      <w:r>
        <w:rPr>
          <w:rFonts w:ascii="Arial Narrow"/>
          <w:sz w:val="18"/>
        </w:rPr>
        <w:t>todas</w:t>
      </w:r>
      <w:r>
        <w:rPr>
          <w:rFonts w:ascii="Arial Narrow"/>
          <w:spacing w:val="-2"/>
          <w:sz w:val="18"/>
        </w:rPr>
        <w:t> </w:t>
      </w:r>
      <w:r>
        <w:rPr>
          <w:rFonts w:ascii="Arial Narrow"/>
          <w:sz w:val="18"/>
        </w:rPr>
        <w:t>las</w:t>
      </w:r>
      <w:r>
        <w:rPr>
          <w:rFonts w:ascii="Arial Narrow"/>
          <w:spacing w:val="-1"/>
          <w:sz w:val="18"/>
        </w:rPr>
        <w:t> </w:t>
      </w:r>
      <w:r>
        <w:rPr>
          <w:rFonts w:ascii="Arial Narrow"/>
          <w:spacing w:val="-2"/>
          <w:sz w:val="18"/>
        </w:rPr>
        <w:t>actuaciones</w:t>
      </w:r>
    </w:p>
    <w:p>
      <w:pPr>
        <w:spacing w:before="47"/>
        <w:ind w:left="353" w:right="0" w:firstLine="0"/>
        <w:jc w:val="left"/>
        <w:rPr>
          <w:rFonts w:ascii="Arial Narrow" w:hAnsi="Arial Narrow"/>
          <w:sz w:val="18"/>
        </w:rPr>
      </w:pPr>
      <w:r>
        <w:rPr>
          <w:rFonts w:ascii="Arial Narrow" w:hAnsi="Arial Narrow"/>
          <w:position w:val="5"/>
          <w:sz w:val="12"/>
        </w:rPr>
        <w:t>(**)</w:t>
      </w:r>
      <w:r>
        <w:rPr>
          <w:rFonts w:ascii="Arial Narrow" w:hAnsi="Arial Narrow"/>
          <w:spacing w:val="-1"/>
          <w:position w:val="5"/>
          <w:sz w:val="12"/>
        </w:rPr>
        <w:t> </w:t>
      </w:r>
      <w:r>
        <w:rPr>
          <w:rFonts w:ascii="Arial Narrow" w:hAnsi="Arial Narrow"/>
          <w:sz w:val="18"/>
        </w:rPr>
        <w:t>Porcentaje</w:t>
      </w:r>
      <w:r>
        <w:rPr>
          <w:rFonts w:ascii="Arial Narrow" w:hAnsi="Arial Narrow"/>
          <w:spacing w:val="-2"/>
          <w:sz w:val="18"/>
        </w:rPr>
        <w:t> </w:t>
      </w:r>
      <w:r>
        <w:rPr>
          <w:rFonts w:ascii="Arial Narrow" w:hAnsi="Arial Narrow"/>
          <w:sz w:val="18"/>
        </w:rPr>
        <w:t>sobre</w:t>
      </w:r>
      <w:r>
        <w:rPr>
          <w:rFonts w:ascii="Arial Narrow" w:hAnsi="Arial Narrow"/>
          <w:spacing w:val="-2"/>
          <w:sz w:val="18"/>
        </w:rPr>
        <w:t> </w:t>
      </w:r>
      <w:r>
        <w:rPr>
          <w:rFonts w:ascii="Arial Narrow" w:hAnsi="Arial Narrow"/>
          <w:sz w:val="18"/>
        </w:rPr>
        <w:t>el</w:t>
      </w:r>
      <w:r>
        <w:rPr>
          <w:rFonts w:ascii="Arial Narrow" w:hAnsi="Arial Narrow"/>
          <w:spacing w:val="-2"/>
          <w:sz w:val="18"/>
        </w:rPr>
        <w:t> </w:t>
      </w:r>
      <w:r>
        <w:rPr>
          <w:rFonts w:ascii="Arial Narrow" w:hAnsi="Arial Narrow"/>
          <w:sz w:val="18"/>
        </w:rPr>
        <w:t>importe</w:t>
      </w:r>
      <w:r>
        <w:rPr>
          <w:rFonts w:ascii="Arial Narrow" w:hAnsi="Arial Narrow"/>
          <w:spacing w:val="-2"/>
          <w:sz w:val="18"/>
        </w:rPr>
        <w:t> </w:t>
      </w:r>
      <w:r>
        <w:rPr>
          <w:rFonts w:ascii="Arial Narrow" w:hAnsi="Arial Narrow"/>
          <w:sz w:val="18"/>
        </w:rPr>
        <w:t>de</w:t>
      </w:r>
      <w:r>
        <w:rPr>
          <w:rFonts w:ascii="Arial Narrow" w:hAnsi="Arial Narrow"/>
          <w:spacing w:val="-2"/>
          <w:sz w:val="18"/>
        </w:rPr>
        <w:t> </w:t>
      </w:r>
      <w:r>
        <w:rPr>
          <w:rFonts w:ascii="Arial Narrow" w:hAnsi="Arial Narrow"/>
          <w:sz w:val="18"/>
        </w:rPr>
        <w:t>cada</w:t>
      </w:r>
      <w:r>
        <w:rPr>
          <w:rFonts w:ascii="Arial Narrow" w:hAnsi="Arial Narrow"/>
          <w:spacing w:val="-1"/>
          <w:sz w:val="18"/>
        </w:rPr>
        <w:t> </w:t>
      </w:r>
      <w:r>
        <w:rPr>
          <w:rFonts w:ascii="Arial Narrow" w:hAnsi="Arial Narrow"/>
          <w:spacing w:val="-2"/>
          <w:sz w:val="18"/>
        </w:rPr>
        <w:t>actuación</w:t>
      </w:r>
    </w:p>
    <w:p>
      <w:pPr>
        <w:spacing w:after="0"/>
        <w:jc w:val="left"/>
        <w:rPr>
          <w:rFonts w:ascii="Arial Narrow" w:hAnsi="Arial Narrow"/>
          <w:sz w:val="18"/>
        </w:rPr>
        <w:sectPr>
          <w:headerReference w:type="default" r:id="rId117"/>
          <w:headerReference w:type="even" r:id="rId118"/>
          <w:footerReference w:type="default" r:id="rId119"/>
          <w:footerReference w:type="even" r:id="rId120"/>
          <w:pgSz w:w="11910" w:h="16840"/>
          <w:pgMar w:header="1270" w:footer="661" w:top="2820" w:bottom="860" w:left="141" w:right="141"/>
          <w:pgNumType w:start="125"/>
        </w:sectPr>
      </w:pPr>
    </w:p>
    <w:p>
      <w:pPr>
        <w:pStyle w:val="BodyText"/>
        <w:spacing w:before="125"/>
        <w:rPr>
          <w:rFonts w:ascii="Arial Narrow"/>
        </w:rPr>
      </w:pPr>
    </w:p>
    <w:p>
      <w:pPr>
        <w:pStyle w:val="Heading4"/>
        <w:ind w:right="2"/>
      </w:pPr>
      <w:bookmarkStart w:name="_bookmark146" w:id="148"/>
      <w:bookmarkEnd w:id="148"/>
      <w:r>
        <w:rPr>
          <w:b w:val="0"/>
        </w:rPr>
      </w:r>
      <w:bookmarkStart w:name="_bookmark147" w:id="149"/>
      <w:bookmarkEnd w:id="149"/>
      <w:r>
        <w:rPr>
          <w:b w:val="0"/>
        </w:rPr>
      </w:r>
      <w:r>
        <w:rPr/>
        <w:t>ACTUACIONES</w:t>
      </w:r>
      <w:r>
        <w:rPr>
          <w:spacing w:val="-6"/>
        </w:rPr>
        <w:t> </w:t>
      </w:r>
      <w:r>
        <w:rPr/>
        <w:t>REALIZADAS</w:t>
      </w:r>
      <w:r>
        <w:rPr>
          <w:spacing w:val="-9"/>
        </w:rPr>
        <w:t> </w:t>
      </w:r>
      <w:r>
        <w:rPr/>
        <w:t>POR</w:t>
      </w:r>
      <w:r>
        <w:rPr>
          <w:spacing w:val="-8"/>
        </w:rPr>
        <w:t> </w:t>
      </w:r>
      <w:r>
        <w:rPr/>
        <w:t>EL</w:t>
      </w:r>
      <w:r>
        <w:rPr>
          <w:spacing w:val="-8"/>
        </w:rPr>
        <w:t> </w:t>
      </w:r>
      <w:r>
        <w:rPr/>
        <w:t>AYUNTAMIENTO</w:t>
      </w:r>
      <w:r>
        <w:rPr>
          <w:spacing w:val="-7"/>
        </w:rPr>
        <w:t> </w:t>
      </w:r>
      <w:r>
        <w:rPr/>
        <w:t>DE</w:t>
      </w:r>
      <w:r>
        <w:rPr>
          <w:spacing w:val="-7"/>
        </w:rPr>
        <w:t> </w:t>
      </w:r>
      <w:r>
        <w:rPr>
          <w:spacing w:val="-2"/>
        </w:rPr>
        <w:t>MURCIA</w:t>
      </w:r>
    </w:p>
    <w:p>
      <w:pPr>
        <w:pStyle w:val="BodyText"/>
        <w:spacing w:before="9"/>
        <w:rPr>
          <w:b/>
          <w:sz w:val="20"/>
        </w:rPr>
      </w:pPr>
    </w:p>
    <w:tbl>
      <w:tblPr>
        <w:tblW w:w="0" w:type="auto"/>
        <w:jc w:val="left"/>
        <w:tblInd w:w="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57"/>
        <w:gridCol w:w="1144"/>
        <w:gridCol w:w="1165"/>
        <w:gridCol w:w="794"/>
        <w:gridCol w:w="1192"/>
        <w:gridCol w:w="753"/>
        <w:gridCol w:w="1388"/>
        <w:gridCol w:w="562"/>
        <w:gridCol w:w="1221"/>
      </w:tblGrid>
      <w:tr>
        <w:trPr>
          <w:trHeight w:val="450" w:hRule="atLeast"/>
        </w:trPr>
        <w:tc>
          <w:tcPr>
            <w:tcW w:w="3257" w:type="dxa"/>
            <w:shd w:val="clear" w:color="auto" w:fill="002D5D"/>
          </w:tcPr>
          <w:p>
            <w:pPr>
              <w:pStyle w:val="TableParagraph"/>
              <w:rPr>
                <w:rFonts w:ascii="Times New Roman"/>
                <w:sz w:val="16"/>
              </w:rPr>
            </w:pPr>
          </w:p>
        </w:tc>
        <w:tc>
          <w:tcPr>
            <w:tcW w:w="1144" w:type="dxa"/>
            <w:shd w:val="clear" w:color="auto" w:fill="002D5D"/>
          </w:tcPr>
          <w:p>
            <w:pPr>
              <w:pStyle w:val="TableParagraph"/>
              <w:rPr>
                <w:rFonts w:ascii="Times New Roman"/>
                <w:sz w:val="16"/>
              </w:rPr>
            </w:pPr>
          </w:p>
        </w:tc>
        <w:tc>
          <w:tcPr>
            <w:tcW w:w="1959" w:type="dxa"/>
            <w:gridSpan w:val="2"/>
            <w:shd w:val="clear" w:color="auto" w:fill="002D5D"/>
          </w:tcPr>
          <w:p>
            <w:pPr>
              <w:pStyle w:val="TableParagraph"/>
              <w:spacing w:line="242" w:lineRule="auto"/>
              <w:ind w:left="469" w:right="603" w:firstLine="105"/>
              <w:rPr>
                <w:b/>
                <w:sz w:val="18"/>
              </w:rPr>
            </w:pPr>
            <w:r>
              <w:rPr>
                <w:b/>
                <w:color w:val="FFFFFF"/>
                <w:spacing w:val="-2"/>
                <w:sz w:val="18"/>
              </w:rPr>
              <w:t>IMPORTE</w:t>
            </w:r>
            <w:r>
              <w:rPr>
                <w:b/>
                <w:color w:val="FFFFFF"/>
                <w:sz w:val="18"/>
              </w:rPr>
              <w:t> </w:t>
            </w:r>
            <w:r>
              <w:rPr>
                <w:b/>
                <w:color w:val="FFFFFF"/>
                <w:spacing w:val="-2"/>
                <w:sz w:val="18"/>
              </w:rPr>
              <w:t>ACTUACIÓN</w:t>
            </w:r>
          </w:p>
        </w:tc>
        <w:tc>
          <w:tcPr>
            <w:tcW w:w="1192" w:type="dxa"/>
            <w:shd w:val="clear" w:color="auto" w:fill="002D5D"/>
          </w:tcPr>
          <w:p>
            <w:pPr>
              <w:pStyle w:val="TableParagraph"/>
              <w:rPr>
                <w:rFonts w:ascii="Times New Roman"/>
                <w:sz w:val="16"/>
              </w:rPr>
            </w:pPr>
          </w:p>
        </w:tc>
        <w:tc>
          <w:tcPr>
            <w:tcW w:w="2141" w:type="dxa"/>
            <w:gridSpan w:val="2"/>
            <w:shd w:val="clear" w:color="auto" w:fill="002D5D"/>
          </w:tcPr>
          <w:p>
            <w:pPr>
              <w:pStyle w:val="TableParagraph"/>
              <w:spacing w:before="133"/>
              <w:ind w:left="211"/>
              <w:rPr>
                <w:b/>
                <w:sz w:val="18"/>
              </w:rPr>
            </w:pPr>
            <w:r>
              <w:rPr>
                <w:b/>
                <w:color w:val="FFFFFF"/>
                <w:spacing w:val="-2"/>
                <w:sz w:val="18"/>
              </w:rPr>
              <w:t>FINANCIACIÓN</w:t>
            </w:r>
          </w:p>
        </w:tc>
        <w:tc>
          <w:tcPr>
            <w:tcW w:w="562" w:type="dxa"/>
            <w:vMerge w:val="restart"/>
            <w:shd w:val="clear" w:color="auto" w:fill="002D5D"/>
          </w:tcPr>
          <w:p>
            <w:pPr>
              <w:pStyle w:val="TableParagraph"/>
              <w:rPr>
                <w:rFonts w:ascii="Times New Roman"/>
                <w:sz w:val="16"/>
              </w:rPr>
            </w:pPr>
          </w:p>
        </w:tc>
        <w:tc>
          <w:tcPr>
            <w:tcW w:w="1221" w:type="dxa"/>
            <w:vMerge w:val="restart"/>
            <w:shd w:val="clear" w:color="auto" w:fill="002D5D"/>
          </w:tcPr>
          <w:p>
            <w:pPr>
              <w:pStyle w:val="TableParagraph"/>
              <w:rPr>
                <w:rFonts w:ascii="Arial"/>
                <w:b/>
                <w:sz w:val="18"/>
              </w:rPr>
            </w:pPr>
          </w:p>
          <w:p>
            <w:pPr>
              <w:pStyle w:val="TableParagraph"/>
              <w:spacing w:line="200" w:lineRule="atLeast"/>
              <w:ind w:left="40" w:right="80"/>
              <w:jc w:val="center"/>
              <w:rPr>
                <w:b/>
                <w:sz w:val="18"/>
              </w:rPr>
            </w:pPr>
            <w:r>
              <w:rPr>
                <w:b/>
                <w:color w:val="FFFFFF"/>
                <w:sz w:val="18"/>
              </w:rPr>
              <w:t>ESTADO</w:t>
            </w:r>
            <w:r>
              <w:rPr>
                <w:b/>
                <w:color w:val="FFFFFF"/>
                <w:spacing w:val="-11"/>
                <w:sz w:val="18"/>
              </w:rPr>
              <w:t> </w:t>
            </w:r>
            <w:r>
              <w:rPr>
                <w:b/>
                <w:color w:val="FFFFFF"/>
                <w:sz w:val="18"/>
              </w:rPr>
              <w:t>DE</w:t>
            </w:r>
            <w:r>
              <w:rPr>
                <w:b/>
                <w:color w:val="FFFFFF"/>
                <w:spacing w:val="-10"/>
                <w:sz w:val="18"/>
              </w:rPr>
              <w:t> </w:t>
            </w:r>
            <w:r>
              <w:rPr>
                <w:b/>
                <w:color w:val="FFFFFF"/>
                <w:sz w:val="18"/>
              </w:rPr>
              <w:t>LA </w:t>
            </w:r>
            <w:r>
              <w:rPr>
                <w:b/>
                <w:color w:val="FFFFFF"/>
                <w:spacing w:val="-2"/>
                <w:sz w:val="18"/>
              </w:rPr>
              <w:t>ACTUACIÓN</w:t>
            </w:r>
            <w:r>
              <w:rPr>
                <w:b/>
                <w:color w:val="FFFFFF"/>
                <w:sz w:val="18"/>
              </w:rPr>
              <w:t> </w:t>
            </w:r>
            <w:r>
              <w:rPr>
                <w:b/>
                <w:color w:val="FFFFFF"/>
                <w:spacing w:val="-2"/>
                <w:sz w:val="18"/>
              </w:rPr>
              <w:t>31/12/2024</w:t>
            </w:r>
          </w:p>
        </w:tc>
      </w:tr>
      <w:tr>
        <w:trPr>
          <w:trHeight w:val="230" w:hRule="atLeast"/>
        </w:trPr>
        <w:tc>
          <w:tcPr>
            <w:tcW w:w="3257" w:type="dxa"/>
            <w:shd w:val="clear" w:color="auto" w:fill="002D5D"/>
          </w:tcPr>
          <w:p>
            <w:pPr>
              <w:pStyle w:val="TableParagraph"/>
              <w:spacing w:line="204" w:lineRule="exact"/>
              <w:ind w:left="578"/>
              <w:rPr>
                <w:b/>
                <w:sz w:val="18"/>
              </w:rPr>
            </w:pPr>
            <w:r>
              <w:rPr>
                <w:b/>
                <w:color w:val="FFFFFF"/>
                <w:sz w:val="18"/>
              </w:rPr>
              <w:t>DENOMINACIÓN</w:t>
            </w:r>
            <w:r>
              <w:rPr>
                <w:b/>
                <w:color w:val="FFFFFF"/>
                <w:spacing w:val="-5"/>
                <w:sz w:val="18"/>
              </w:rPr>
              <w:t> </w:t>
            </w:r>
            <w:r>
              <w:rPr>
                <w:b/>
                <w:color w:val="FFFFFF"/>
                <w:spacing w:val="-2"/>
                <w:sz w:val="18"/>
              </w:rPr>
              <w:t>ACTUACIÓN</w:t>
            </w:r>
          </w:p>
        </w:tc>
        <w:tc>
          <w:tcPr>
            <w:tcW w:w="2309" w:type="dxa"/>
            <w:gridSpan w:val="2"/>
            <w:shd w:val="clear" w:color="auto" w:fill="002D5D"/>
          </w:tcPr>
          <w:p>
            <w:pPr>
              <w:pStyle w:val="TableParagraph"/>
              <w:spacing w:line="204" w:lineRule="exact"/>
              <w:ind w:left="163"/>
              <w:rPr>
                <w:b/>
                <w:sz w:val="18"/>
              </w:rPr>
            </w:pPr>
            <w:r>
              <w:rPr>
                <w:b/>
                <w:color w:val="FFFFFF"/>
                <w:spacing w:val="-2"/>
                <w:sz w:val="18"/>
              </w:rPr>
              <w:t>TIPOLOGÍA</w:t>
            </w:r>
          </w:p>
        </w:tc>
        <w:tc>
          <w:tcPr>
            <w:tcW w:w="794" w:type="dxa"/>
            <w:shd w:val="clear" w:color="auto" w:fill="002D5D"/>
          </w:tcPr>
          <w:p>
            <w:pPr>
              <w:pStyle w:val="TableParagraph"/>
              <w:rPr>
                <w:rFonts w:ascii="Times New Roman"/>
                <w:sz w:val="16"/>
              </w:rPr>
            </w:pPr>
          </w:p>
        </w:tc>
        <w:tc>
          <w:tcPr>
            <w:tcW w:w="1945" w:type="dxa"/>
            <w:gridSpan w:val="2"/>
            <w:shd w:val="clear" w:color="auto" w:fill="002D5D"/>
          </w:tcPr>
          <w:p>
            <w:pPr>
              <w:pStyle w:val="TableParagraph"/>
              <w:spacing w:line="175" w:lineRule="exact" w:before="35"/>
              <w:ind w:left="435"/>
              <w:rPr>
                <w:b/>
                <w:sz w:val="18"/>
              </w:rPr>
            </w:pPr>
            <w:r>
              <w:rPr>
                <w:b/>
                <w:color w:val="FFFFFF"/>
                <w:spacing w:val="-2"/>
                <w:sz w:val="18"/>
              </w:rPr>
              <w:t>Ayuntamiento</w:t>
            </w:r>
          </w:p>
        </w:tc>
        <w:tc>
          <w:tcPr>
            <w:tcW w:w="1388" w:type="dxa"/>
            <w:shd w:val="clear" w:color="auto" w:fill="002D5D"/>
          </w:tcPr>
          <w:p>
            <w:pPr>
              <w:pStyle w:val="TableParagraph"/>
              <w:spacing w:line="170" w:lineRule="exact" w:before="40"/>
              <w:ind w:left="528" w:right="-29"/>
              <w:rPr>
                <w:b/>
                <w:sz w:val="17"/>
              </w:rPr>
            </w:pPr>
            <w:r>
              <w:rPr>
                <w:b/>
                <w:color w:val="FFFFFF"/>
                <w:sz w:val="17"/>
              </w:rPr>
              <w:t>PRTR</w:t>
            </w:r>
            <w:r>
              <w:rPr>
                <w:b/>
                <w:color w:val="FFFFFF"/>
                <w:spacing w:val="-3"/>
                <w:sz w:val="17"/>
              </w:rPr>
              <w:t> </w:t>
            </w:r>
            <w:r>
              <w:rPr>
                <w:b/>
                <w:color w:val="FFFFFF"/>
                <w:sz w:val="17"/>
              </w:rPr>
              <w:t>y </w:t>
            </w:r>
            <w:r>
              <w:rPr>
                <w:b/>
                <w:color w:val="FFFFFF"/>
                <w:spacing w:val="-2"/>
                <w:sz w:val="17"/>
              </w:rPr>
              <w:t>otros</w:t>
            </w:r>
          </w:p>
        </w:tc>
        <w:tc>
          <w:tcPr>
            <w:tcW w:w="562" w:type="dxa"/>
            <w:vMerge/>
            <w:tcBorders>
              <w:top w:val="nil"/>
            </w:tcBorders>
            <w:shd w:val="clear" w:color="auto" w:fill="002D5D"/>
          </w:tcPr>
          <w:p>
            <w:pPr>
              <w:rPr>
                <w:sz w:val="2"/>
                <w:szCs w:val="2"/>
              </w:rPr>
            </w:pPr>
          </w:p>
        </w:tc>
        <w:tc>
          <w:tcPr>
            <w:tcW w:w="1221" w:type="dxa"/>
            <w:vMerge/>
            <w:tcBorders>
              <w:top w:val="nil"/>
            </w:tcBorders>
            <w:shd w:val="clear" w:color="auto" w:fill="002D5D"/>
          </w:tcPr>
          <w:p>
            <w:pPr>
              <w:rPr>
                <w:sz w:val="2"/>
                <w:szCs w:val="2"/>
              </w:rPr>
            </w:pPr>
          </w:p>
        </w:tc>
      </w:tr>
      <w:tr>
        <w:trPr>
          <w:trHeight w:val="165" w:hRule="atLeast"/>
        </w:trPr>
        <w:tc>
          <w:tcPr>
            <w:tcW w:w="3257" w:type="dxa"/>
            <w:shd w:val="clear" w:color="auto" w:fill="002D5D"/>
          </w:tcPr>
          <w:p>
            <w:pPr>
              <w:pStyle w:val="TableParagraph"/>
              <w:rPr>
                <w:rFonts w:ascii="Times New Roman"/>
                <w:sz w:val="10"/>
              </w:rPr>
            </w:pPr>
          </w:p>
        </w:tc>
        <w:tc>
          <w:tcPr>
            <w:tcW w:w="1144" w:type="dxa"/>
            <w:shd w:val="clear" w:color="auto" w:fill="002D5D"/>
          </w:tcPr>
          <w:p>
            <w:pPr>
              <w:pStyle w:val="TableParagraph"/>
              <w:rPr>
                <w:rFonts w:ascii="Times New Roman"/>
                <w:sz w:val="10"/>
              </w:rPr>
            </w:pPr>
          </w:p>
        </w:tc>
        <w:tc>
          <w:tcPr>
            <w:tcW w:w="1165" w:type="dxa"/>
            <w:shd w:val="clear" w:color="auto" w:fill="002D5D"/>
          </w:tcPr>
          <w:p>
            <w:pPr>
              <w:pStyle w:val="TableParagraph"/>
              <w:spacing w:line="145" w:lineRule="exact"/>
              <w:ind w:left="19" w:right="56"/>
              <w:jc w:val="center"/>
              <w:rPr>
                <w:b/>
                <w:sz w:val="18"/>
              </w:rPr>
            </w:pPr>
            <w:r>
              <w:rPr>
                <w:b/>
                <w:color w:val="FFFFFF"/>
                <w:spacing w:val="-5"/>
                <w:sz w:val="18"/>
              </w:rPr>
              <w:t>(€)</w:t>
            </w:r>
          </w:p>
        </w:tc>
        <w:tc>
          <w:tcPr>
            <w:tcW w:w="1986" w:type="dxa"/>
            <w:gridSpan w:val="2"/>
            <w:shd w:val="clear" w:color="auto" w:fill="002D5D"/>
          </w:tcPr>
          <w:p>
            <w:pPr>
              <w:pStyle w:val="TableParagraph"/>
              <w:spacing w:line="145" w:lineRule="exact"/>
              <w:ind w:left="180"/>
              <w:rPr>
                <w:b/>
                <w:sz w:val="12"/>
              </w:rPr>
            </w:pPr>
            <w:r>
              <w:rPr>
                <w:b/>
                <w:color w:val="FFFFFF"/>
                <w:spacing w:val="-4"/>
                <w:position w:val="-4"/>
                <w:sz w:val="18"/>
              </w:rPr>
              <w:t>%</w:t>
            </w:r>
            <w:r>
              <w:rPr>
                <w:b/>
                <w:color w:val="FFFFFF"/>
                <w:spacing w:val="-4"/>
                <w:sz w:val="12"/>
              </w:rPr>
              <w:t>(*)</w:t>
            </w:r>
          </w:p>
        </w:tc>
        <w:tc>
          <w:tcPr>
            <w:tcW w:w="753" w:type="dxa"/>
            <w:shd w:val="clear" w:color="auto" w:fill="002D5D"/>
          </w:tcPr>
          <w:p>
            <w:pPr>
              <w:pStyle w:val="TableParagraph"/>
              <w:rPr>
                <w:rFonts w:ascii="Times New Roman"/>
                <w:sz w:val="10"/>
              </w:rPr>
            </w:pPr>
          </w:p>
        </w:tc>
        <w:tc>
          <w:tcPr>
            <w:tcW w:w="1388" w:type="dxa"/>
            <w:shd w:val="clear" w:color="auto" w:fill="002D5D"/>
          </w:tcPr>
          <w:p>
            <w:pPr>
              <w:pStyle w:val="TableParagraph"/>
              <w:rPr>
                <w:rFonts w:ascii="Times New Roman"/>
                <w:sz w:val="10"/>
              </w:rPr>
            </w:pPr>
          </w:p>
        </w:tc>
        <w:tc>
          <w:tcPr>
            <w:tcW w:w="562" w:type="dxa"/>
            <w:vMerge/>
            <w:tcBorders>
              <w:top w:val="nil"/>
            </w:tcBorders>
            <w:shd w:val="clear" w:color="auto" w:fill="002D5D"/>
          </w:tcPr>
          <w:p>
            <w:pPr>
              <w:rPr>
                <w:sz w:val="2"/>
                <w:szCs w:val="2"/>
              </w:rPr>
            </w:pPr>
          </w:p>
        </w:tc>
        <w:tc>
          <w:tcPr>
            <w:tcW w:w="1221" w:type="dxa"/>
            <w:vMerge/>
            <w:tcBorders>
              <w:top w:val="nil"/>
            </w:tcBorders>
            <w:shd w:val="clear" w:color="auto" w:fill="002D5D"/>
          </w:tcPr>
          <w:p>
            <w:pPr>
              <w:rPr>
                <w:sz w:val="2"/>
                <w:szCs w:val="2"/>
              </w:rPr>
            </w:pPr>
          </w:p>
        </w:tc>
      </w:tr>
      <w:tr>
        <w:trPr>
          <w:trHeight w:val="256" w:hRule="atLeast"/>
        </w:trPr>
        <w:tc>
          <w:tcPr>
            <w:tcW w:w="3257" w:type="dxa"/>
            <w:shd w:val="clear" w:color="auto" w:fill="002D5D"/>
          </w:tcPr>
          <w:p>
            <w:pPr>
              <w:pStyle w:val="TableParagraph"/>
              <w:rPr>
                <w:rFonts w:ascii="Times New Roman"/>
                <w:sz w:val="16"/>
              </w:rPr>
            </w:pPr>
          </w:p>
        </w:tc>
        <w:tc>
          <w:tcPr>
            <w:tcW w:w="1144" w:type="dxa"/>
            <w:shd w:val="clear" w:color="auto" w:fill="002D5D"/>
          </w:tcPr>
          <w:p>
            <w:pPr>
              <w:pStyle w:val="TableParagraph"/>
              <w:rPr>
                <w:rFonts w:ascii="Times New Roman"/>
                <w:sz w:val="16"/>
              </w:rPr>
            </w:pPr>
          </w:p>
        </w:tc>
        <w:tc>
          <w:tcPr>
            <w:tcW w:w="1165" w:type="dxa"/>
            <w:shd w:val="clear" w:color="auto" w:fill="002D5D"/>
          </w:tcPr>
          <w:p>
            <w:pPr>
              <w:pStyle w:val="TableParagraph"/>
              <w:rPr>
                <w:rFonts w:ascii="Times New Roman"/>
                <w:sz w:val="16"/>
              </w:rPr>
            </w:pPr>
          </w:p>
        </w:tc>
        <w:tc>
          <w:tcPr>
            <w:tcW w:w="794" w:type="dxa"/>
            <w:shd w:val="clear" w:color="auto" w:fill="002D5D"/>
          </w:tcPr>
          <w:p>
            <w:pPr>
              <w:pStyle w:val="TableParagraph"/>
              <w:rPr>
                <w:rFonts w:ascii="Times New Roman"/>
                <w:sz w:val="16"/>
              </w:rPr>
            </w:pPr>
          </w:p>
        </w:tc>
        <w:tc>
          <w:tcPr>
            <w:tcW w:w="1192" w:type="dxa"/>
            <w:shd w:val="clear" w:color="auto" w:fill="002D5D"/>
          </w:tcPr>
          <w:p>
            <w:pPr>
              <w:pStyle w:val="TableParagraph"/>
              <w:spacing w:line="189" w:lineRule="exact"/>
              <w:ind w:right="36"/>
              <w:jc w:val="center"/>
              <w:rPr>
                <w:b/>
                <w:sz w:val="18"/>
              </w:rPr>
            </w:pPr>
            <w:r>
              <w:rPr>
                <w:b/>
                <w:color w:val="FFFFFF"/>
                <w:spacing w:val="-5"/>
                <w:sz w:val="18"/>
              </w:rPr>
              <w:t>(€)</w:t>
            </w:r>
          </w:p>
        </w:tc>
        <w:tc>
          <w:tcPr>
            <w:tcW w:w="753" w:type="dxa"/>
            <w:shd w:val="clear" w:color="auto" w:fill="002D5D"/>
          </w:tcPr>
          <w:p>
            <w:pPr>
              <w:pStyle w:val="TableParagraph"/>
              <w:spacing w:line="189" w:lineRule="exact"/>
              <w:ind w:left="122"/>
              <w:rPr>
                <w:b/>
                <w:sz w:val="12"/>
              </w:rPr>
            </w:pPr>
            <w:r>
              <w:rPr>
                <w:b/>
                <w:color w:val="FFFFFF"/>
                <w:position w:val="-4"/>
                <w:sz w:val="18"/>
              </w:rPr>
              <w:t>% </w:t>
            </w:r>
            <w:r>
              <w:rPr>
                <w:b/>
                <w:color w:val="FFFFFF"/>
                <w:spacing w:val="-4"/>
                <w:sz w:val="12"/>
              </w:rPr>
              <w:t>(**)</w:t>
            </w:r>
          </w:p>
        </w:tc>
        <w:tc>
          <w:tcPr>
            <w:tcW w:w="1388" w:type="dxa"/>
            <w:shd w:val="clear" w:color="auto" w:fill="002D5D"/>
          </w:tcPr>
          <w:p>
            <w:pPr>
              <w:pStyle w:val="TableParagraph"/>
              <w:spacing w:line="189" w:lineRule="exact"/>
              <w:ind w:right="189"/>
              <w:jc w:val="center"/>
              <w:rPr>
                <w:b/>
                <w:sz w:val="18"/>
              </w:rPr>
            </w:pPr>
            <w:r>
              <w:rPr>
                <w:b/>
                <w:color w:val="FFFFFF"/>
                <w:spacing w:val="-5"/>
                <w:sz w:val="18"/>
              </w:rPr>
              <w:t>(€)</w:t>
            </w:r>
          </w:p>
        </w:tc>
        <w:tc>
          <w:tcPr>
            <w:tcW w:w="562" w:type="dxa"/>
            <w:shd w:val="clear" w:color="auto" w:fill="002D5D"/>
          </w:tcPr>
          <w:p>
            <w:pPr>
              <w:pStyle w:val="TableParagraph"/>
              <w:spacing w:line="189" w:lineRule="exact"/>
              <w:ind w:left="-17"/>
              <w:rPr>
                <w:b/>
                <w:sz w:val="12"/>
              </w:rPr>
            </w:pPr>
            <w:r>
              <w:rPr>
                <w:b/>
                <w:color w:val="FFFFFF"/>
                <w:position w:val="-4"/>
                <w:sz w:val="18"/>
              </w:rPr>
              <w:t>% </w:t>
            </w:r>
            <w:r>
              <w:rPr>
                <w:b/>
                <w:color w:val="FFFFFF"/>
                <w:spacing w:val="-4"/>
                <w:sz w:val="12"/>
              </w:rPr>
              <w:t>(**)</w:t>
            </w:r>
          </w:p>
        </w:tc>
        <w:tc>
          <w:tcPr>
            <w:tcW w:w="1221" w:type="dxa"/>
            <w:shd w:val="clear" w:color="auto" w:fill="002D5D"/>
          </w:tcPr>
          <w:p>
            <w:pPr>
              <w:pStyle w:val="TableParagraph"/>
              <w:rPr>
                <w:rFonts w:ascii="Times New Roman"/>
                <w:sz w:val="16"/>
              </w:rPr>
            </w:pPr>
          </w:p>
        </w:tc>
      </w:tr>
      <w:tr>
        <w:trPr>
          <w:trHeight w:val="781" w:hRule="atLeast"/>
        </w:trPr>
        <w:tc>
          <w:tcPr>
            <w:tcW w:w="3257" w:type="dxa"/>
            <w:tcBorders>
              <w:bottom w:val="single" w:sz="8" w:space="0" w:color="002D5D"/>
            </w:tcBorders>
          </w:tcPr>
          <w:p>
            <w:pPr>
              <w:pStyle w:val="TableParagraph"/>
              <w:ind w:left="69"/>
              <w:rPr>
                <w:sz w:val="17"/>
              </w:rPr>
            </w:pPr>
            <w:r>
              <w:rPr>
                <w:sz w:val="17"/>
              </w:rPr>
              <w:t>Implantación</w:t>
            </w:r>
            <w:r>
              <w:rPr>
                <w:spacing w:val="-7"/>
                <w:sz w:val="17"/>
              </w:rPr>
              <w:t> </w:t>
            </w:r>
            <w:r>
              <w:rPr>
                <w:sz w:val="17"/>
              </w:rPr>
              <w:t>de</w:t>
            </w:r>
            <w:r>
              <w:rPr>
                <w:spacing w:val="-8"/>
                <w:sz w:val="17"/>
              </w:rPr>
              <w:t> </w:t>
            </w:r>
            <w:r>
              <w:rPr>
                <w:sz w:val="17"/>
              </w:rPr>
              <w:t>nodos</w:t>
            </w:r>
            <w:r>
              <w:rPr>
                <w:spacing w:val="-9"/>
                <w:sz w:val="17"/>
              </w:rPr>
              <w:t> </w:t>
            </w:r>
            <w:r>
              <w:rPr>
                <w:sz w:val="17"/>
              </w:rPr>
              <w:t>de</w:t>
            </w:r>
            <w:r>
              <w:rPr>
                <w:spacing w:val="-7"/>
                <w:sz w:val="17"/>
              </w:rPr>
              <w:t> </w:t>
            </w:r>
            <w:r>
              <w:rPr>
                <w:sz w:val="17"/>
              </w:rPr>
              <w:t>transporte</w:t>
            </w:r>
            <w:r>
              <w:rPr>
                <w:spacing w:val="-10"/>
                <w:sz w:val="17"/>
              </w:rPr>
              <w:t> </w:t>
            </w:r>
            <w:r>
              <w:rPr>
                <w:sz w:val="17"/>
              </w:rPr>
              <w:t>intermodales</w:t>
            </w:r>
            <w:r>
              <w:rPr>
                <w:spacing w:val="40"/>
                <w:sz w:val="17"/>
              </w:rPr>
              <w:t> </w:t>
            </w:r>
            <w:r>
              <w:rPr>
                <w:sz w:val="17"/>
              </w:rPr>
              <w:t>para la movilidad colectiva con combustibles</w:t>
            </w:r>
          </w:p>
          <w:p>
            <w:pPr>
              <w:pStyle w:val="TableParagraph"/>
              <w:spacing w:line="194" w:lineRule="exact"/>
              <w:ind w:left="69" w:right="139"/>
              <w:rPr>
                <w:sz w:val="17"/>
              </w:rPr>
            </w:pPr>
            <w:r>
              <w:rPr>
                <w:sz w:val="17"/>
              </w:rPr>
              <w:t>alternativos,</w:t>
            </w:r>
            <w:r>
              <w:rPr>
                <w:spacing w:val="-9"/>
                <w:sz w:val="17"/>
              </w:rPr>
              <w:t> </w:t>
            </w:r>
            <w:r>
              <w:rPr>
                <w:sz w:val="17"/>
              </w:rPr>
              <w:t>movilidad</w:t>
            </w:r>
            <w:r>
              <w:rPr>
                <w:spacing w:val="-9"/>
                <w:sz w:val="17"/>
              </w:rPr>
              <w:t> </w:t>
            </w:r>
            <w:r>
              <w:rPr>
                <w:sz w:val="17"/>
              </w:rPr>
              <w:t>eléctrica</w:t>
            </w:r>
            <w:r>
              <w:rPr>
                <w:spacing w:val="-9"/>
                <w:sz w:val="17"/>
              </w:rPr>
              <w:t> </w:t>
            </w:r>
            <w:r>
              <w:rPr>
                <w:sz w:val="17"/>
              </w:rPr>
              <w:t>y</w:t>
            </w:r>
            <w:r>
              <w:rPr>
                <w:spacing w:val="-7"/>
                <w:sz w:val="17"/>
              </w:rPr>
              <w:t> </w:t>
            </w:r>
            <w:r>
              <w:rPr>
                <w:sz w:val="17"/>
              </w:rPr>
              <w:t>movilidad</w:t>
            </w:r>
            <w:r>
              <w:rPr>
                <w:spacing w:val="-9"/>
                <w:sz w:val="17"/>
              </w:rPr>
              <w:t> </w:t>
            </w:r>
            <w:r>
              <w:rPr>
                <w:sz w:val="17"/>
              </w:rPr>
              <w:t>física</w:t>
            </w:r>
            <w:r>
              <w:rPr>
                <w:spacing w:val="40"/>
                <w:sz w:val="17"/>
              </w:rPr>
              <w:t> </w:t>
            </w:r>
            <w:r>
              <w:rPr>
                <w:sz w:val="17"/>
              </w:rPr>
              <w:t>en el municipio de Murcia.</w:t>
            </w:r>
          </w:p>
        </w:tc>
        <w:tc>
          <w:tcPr>
            <w:tcW w:w="1144" w:type="dxa"/>
            <w:tcBorders>
              <w:bottom w:val="single" w:sz="8" w:space="0" w:color="002D5D"/>
            </w:tcBorders>
          </w:tcPr>
          <w:p>
            <w:pPr>
              <w:pStyle w:val="TableParagraph"/>
              <w:spacing w:before="97"/>
              <w:rPr>
                <w:rFonts w:ascii="Arial"/>
                <w:b/>
                <w:sz w:val="17"/>
              </w:rPr>
            </w:pPr>
          </w:p>
          <w:p>
            <w:pPr>
              <w:pStyle w:val="TableParagraph"/>
              <w:ind w:left="72"/>
              <w:rPr>
                <w:sz w:val="17"/>
              </w:rPr>
            </w:pPr>
            <w:r>
              <w:rPr>
                <w:spacing w:val="-2"/>
                <w:sz w:val="17"/>
              </w:rPr>
              <w:t>Obras</w:t>
            </w:r>
          </w:p>
        </w:tc>
        <w:tc>
          <w:tcPr>
            <w:tcW w:w="1165" w:type="dxa"/>
            <w:tcBorders>
              <w:bottom w:val="single" w:sz="8" w:space="0" w:color="002D5D"/>
            </w:tcBorders>
          </w:tcPr>
          <w:p>
            <w:pPr>
              <w:pStyle w:val="TableParagraph"/>
              <w:spacing w:before="97"/>
              <w:rPr>
                <w:rFonts w:ascii="Arial"/>
                <w:b/>
                <w:sz w:val="17"/>
              </w:rPr>
            </w:pPr>
          </w:p>
          <w:p>
            <w:pPr>
              <w:pStyle w:val="TableParagraph"/>
              <w:ind w:right="104"/>
              <w:jc w:val="right"/>
              <w:rPr>
                <w:sz w:val="17"/>
              </w:rPr>
            </w:pPr>
            <w:r>
              <w:rPr>
                <w:spacing w:val="-2"/>
                <w:sz w:val="17"/>
              </w:rPr>
              <w:t>3.392.836,29</w:t>
            </w:r>
          </w:p>
        </w:tc>
        <w:tc>
          <w:tcPr>
            <w:tcW w:w="794" w:type="dxa"/>
            <w:tcBorders>
              <w:bottom w:val="single" w:sz="8" w:space="0" w:color="002D5D"/>
            </w:tcBorders>
          </w:tcPr>
          <w:p>
            <w:pPr>
              <w:pStyle w:val="TableParagraph"/>
              <w:spacing w:before="97"/>
              <w:rPr>
                <w:rFonts w:ascii="Arial"/>
                <w:b/>
                <w:sz w:val="17"/>
              </w:rPr>
            </w:pPr>
          </w:p>
          <w:p>
            <w:pPr>
              <w:pStyle w:val="TableParagraph"/>
              <w:ind w:right="257"/>
              <w:jc w:val="right"/>
              <w:rPr>
                <w:sz w:val="17"/>
              </w:rPr>
            </w:pPr>
            <w:r>
              <w:rPr>
                <w:spacing w:val="-4"/>
                <w:sz w:val="17"/>
              </w:rPr>
              <w:t>9,71</w:t>
            </w:r>
          </w:p>
        </w:tc>
        <w:tc>
          <w:tcPr>
            <w:tcW w:w="1192" w:type="dxa"/>
            <w:tcBorders>
              <w:bottom w:val="single" w:sz="8" w:space="0" w:color="002D5D"/>
            </w:tcBorders>
          </w:tcPr>
          <w:p>
            <w:pPr>
              <w:pStyle w:val="TableParagraph"/>
              <w:spacing w:before="97"/>
              <w:rPr>
                <w:rFonts w:ascii="Arial"/>
                <w:b/>
                <w:sz w:val="17"/>
              </w:rPr>
            </w:pPr>
          </w:p>
          <w:p>
            <w:pPr>
              <w:pStyle w:val="TableParagraph"/>
              <w:ind w:right="115"/>
              <w:jc w:val="right"/>
              <w:rPr>
                <w:sz w:val="17"/>
              </w:rPr>
            </w:pPr>
            <w:r>
              <w:rPr>
                <w:spacing w:val="-2"/>
                <w:sz w:val="17"/>
              </w:rPr>
              <w:t>678.567,26</w:t>
            </w:r>
          </w:p>
        </w:tc>
        <w:tc>
          <w:tcPr>
            <w:tcW w:w="753" w:type="dxa"/>
            <w:tcBorders>
              <w:bottom w:val="single" w:sz="8" w:space="0" w:color="002D5D"/>
            </w:tcBorders>
          </w:tcPr>
          <w:p>
            <w:pPr>
              <w:pStyle w:val="TableParagraph"/>
              <w:spacing w:before="97"/>
              <w:rPr>
                <w:rFonts w:ascii="Arial"/>
                <w:b/>
                <w:sz w:val="17"/>
              </w:rPr>
            </w:pPr>
          </w:p>
          <w:p>
            <w:pPr>
              <w:pStyle w:val="TableParagraph"/>
              <w:ind w:right="159"/>
              <w:jc w:val="right"/>
              <w:rPr>
                <w:sz w:val="17"/>
              </w:rPr>
            </w:pPr>
            <w:r>
              <w:rPr>
                <w:spacing w:val="-2"/>
                <w:sz w:val="17"/>
              </w:rPr>
              <w:t>20,00</w:t>
            </w:r>
          </w:p>
        </w:tc>
        <w:tc>
          <w:tcPr>
            <w:tcW w:w="1388" w:type="dxa"/>
            <w:tcBorders>
              <w:bottom w:val="single" w:sz="8" w:space="0" w:color="002D5D"/>
            </w:tcBorders>
          </w:tcPr>
          <w:p>
            <w:pPr>
              <w:pStyle w:val="TableParagraph"/>
              <w:spacing w:before="97"/>
              <w:rPr>
                <w:rFonts w:ascii="Arial"/>
                <w:b/>
                <w:sz w:val="17"/>
              </w:rPr>
            </w:pPr>
          </w:p>
          <w:p>
            <w:pPr>
              <w:pStyle w:val="TableParagraph"/>
              <w:ind w:left="298"/>
              <w:rPr>
                <w:sz w:val="17"/>
              </w:rPr>
            </w:pPr>
            <w:r>
              <w:rPr>
                <w:spacing w:val="-2"/>
                <w:sz w:val="17"/>
              </w:rPr>
              <w:t>2.714.269,03</w:t>
            </w:r>
          </w:p>
        </w:tc>
        <w:tc>
          <w:tcPr>
            <w:tcW w:w="562" w:type="dxa"/>
            <w:tcBorders>
              <w:bottom w:val="single" w:sz="8" w:space="0" w:color="002D5D"/>
            </w:tcBorders>
          </w:tcPr>
          <w:p>
            <w:pPr>
              <w:pStyle w:val="TableParagraph"/>
              <w:spacing w:before="97"/>
              <w:rPr>
                <w:rFonts w:ascii="Arial"/>
                <w:b/>
                <w:sz w:val="17"/>
              </w:rPr>
            </w:pPr>
          </w:p>
          <w:p>
            <w:pPr>
              <w:pStyle w:val="TableParagraph"/>
              <w:ind w:left="38"/>
              <w:rPr>
                <w:sz w:val="17"/>
              </w:rPr>
            </w:pPr>
            <w:r>
              <w:rPr>
                <w:spacing w:val="-2"/>
                <w:sz w:val="17"/>
              </w:rPr>
              <w:t>80,00</w:t>
            </w:r>
          </w:p>
        </w:tc>
        <w:tc>
          <w:tcPr>
            <w:tcW w:w="1221" w:type="dxa"/>
            <w:tcBorders>
              <w:bottom w:val="single" w:sz="8" w:space="0" w:color="002D5D"/>
            </w:tcBorders>
          </w:tcPr>
          <w:p>
            <w:pPr>
              <w:pStyle w:val="TableParagraph"/>
              <w:spacing w:before="97"/>
              <w:rPr>
                <w:rFonts w:ascii="Arial"/>
                <w:b/>
                <w:sz w:val="17"/>
              </w:rPr>
            </w:pPr>
          </w:p>
          <w:p>
            <w:pPr>
              <w:pStyle w:val="TableParagraph"/>
              <w:ind w:right="41"/>
              <w:jc w:val="center"/>
              <w:rPr>
                <w:sz w:val="17"/>
              </w:rPr>
            </w:pPr>
            <w:r>
              <w:rPr>
                <w:spacing w:val="-2"/>
                <w:sz w:val="17"/>
              </w:rPr>
              <w:t>Finalizada</w:t>
            </w:r>
          </w:p>
        </w:tc>
      </w:tr>
      <w:tr>
        <w:trPr>
          <w:trHeight w:val="1170" w:hRule="atLeast"/>
        </w:trPr>
        <w:tc>
          <w:tcPr>
            <w:tcW w:w="3257" w:type="dxa"/>
            <w:tcBorders>
              <w:top w:val="single" w:sz="8" w:space="0" w:color="002D5D"/>
              <w:bottom w:val="single" w:sz="8" w:space="0" w:color="002D5D"/>
            </w:tcBorders>
          </w:tcPr>
          <w:p>
            <w:pPr>
              <w:pStyle w:val="TableParagraph"/>
              <w:spacing w:before="1"/>
              <w:ind w:left="69"/>
              <w:rPr>
                <w:sz w:val="17"/>
              </w:rPr>
            </w:pPr>
            <w:r>
              <w:rPr>
                <w:sz w:val="17"/>
              </w:rPr>
              <w:t>Ampliación de la red de plataformas reservadas</w:t>
            </w:r>
            <w:r>
              <w:rPr>
                <w:spacing w:val="40"/>
                <w:sz w:val="17"/>
              </w:rPr>
              <w:t> </w:t>
            </w:r>
            <w:r>
              <w:rPr>
                <w:sz w:val="17"/>
              </w:rPr>
              <w:t>destinadas a carriles bici y bus en el término</w:t>
            </w:r>
            <w:r>
              <w:rPr>
                <w:spacing w:val="40"/>
                <w:sz w:val="17"/>
              </w:rPr>
              <w:t> </w:t>
            </w:r>
            <w:r>
              <w:rPr>
                <w:sz w:val="17"/>
              </w:rPr>
              <w:t>municipal</w:t>
            </w:r>
            <w:r>
              <w:rPr>
                <w:spacing w:val="-6"/>
                <w:sz w:val="17"/>
              </w:rPr>
              <w:t> </w:t>
            </w:r>
            <w:r>
              <w:rPr>
                <w:sz w:val="17"/>
              </w:rPr>
              <w:t>de</w:t>
            </w:r>
            <w:r>
              <w:rPr>
                <w:spacing w:val="-7"/>
                <w:sz w:val="17"/>
              </w:rPr>
              <w:t> </w:t>
            </w:r>
            <w:r>
              <w:rPr>
                <w:sz w:val="17"/>
              </w:rPr>
              <w:t>Murcia,</w:t>
            </w:r>
            <w:r>
              <w:rPr>
                <w:spacing w:val="-7"/>
                <w:sz w:val="17"/>
              </w:rPr>
              <w:t> </w:t>
            </w:r>
            <w:r>
              <w:rPr>
                <w:sz w:val="17"/>
              </w:rPr>
              <w:t>e</w:t>
            </w:r>
            <w:r>
              <w:rPr>
                <w:spacing w:val="-7"/>
                <w:sz w:val="17"/>
              </w:rPr>
              <w:t> </w:t>
            </w:r>
            <w:r>
              <w:rPr>
                <w:sz w:val="17"/>
              </w:rPr>
              <w:t>implantación</w:t>
            </w:r>
            <w:r>
              <w:rPr>
                <w:spacing w:val="-5"/>
                <w:sz w:val="17"/>
              </w:rPr>
              <w:t> </w:t>
            </w:r>
            <w:r>
              <w:rPr>
                <w:sz w:val="17"/>
              </w:rPr>
              <w:t>de</w:t>
            </w:r>
            <w:r>
              <w:rPr>
                <w:spacing w:val="-6"/>
                <w:sz w:val="17"/>
              </w:rPr>
              <w:t> </w:t>
            </w:r>
            <w:r>
              <w:rPr>
                <w:sz w:val="17"/>
              </w:rPr>
              <w:t>líneas</w:t>
            </w:r>
            <w:r>
              <w:rPr>
                <w:spacing w:val="-7"/>
                <w:sz w:val="17"/>
              </w:rPr>
              <w:t> </w:t>
            </w:r>
            <w:r>
              <w:rPr>
                <w:sz w:val="17"/>
              </w:rPr>
              <w:t>Bus</w:t>
            </w:r>
            <w:r>
              <w:rPr>
                <w:spacing w:val="40"/>
                <w:sz w:val="17"/>
              </w:rPr>
              <w:t> </w:t>
            </w:r>
            <w:r>
              <w:rPr>
                <w:sz w:val="17"/>
              </w:rPr>
              <w:t>de Tránsito Rápido (BTR) a través de la</w:t>
            </w:r>
            <w:r>
              <w:rPr>
                <w:spacing w:val="40"/>
                <w:sz w:val="17"/>
              </w:rPr>
              <w:t> </w:t>
            </w:r>
            <w:r>
              <w:rPr>
                <w:sz w:val="17"/>
              </w:rPr>
              <w:t>reordenación del tráfico y viales en accesos a la</w:t>
            </w:r>
          </w:p>
          <w:p>
            <w:pPr>
              <w:pStyle w:val="TableParagraph"/>
              <w:spacing w:line="174" w:lineRule="exact"/>
              <w:ind w:left="69"/>
              <w:rPr>
                <w:sz w:val="17"/>
              </w:rPr>
            </w:pPr>
            <w:r>
              <w:rPr>
                <w:sz w:val="17"/>
              </w:rPr>
              <w:t>ciudad</w:t>
            </w:r>
            <w:r>
              <w:rPr>
                <w:spacing w:val="-5"/>
                <w:sz w:val="17"/>
              </w:rPr>
              <w:t> </w:t>
            </w:r>
            <w:r>
              <w:rPr>
                <w:sz w:val="17"/>
              </w:rPr>
              <w:t>de</w:t>
            </w:r>
            <w:r>
              <w:rPr>
                <w:spacing w:val="-3"/>
                <w:sz w:val="17"/>
              </w:rPr>
              <w:t> </w:t>
            </w:r>
            <w:r>
              <w:rPr>
                <w:spacing w:val="-2"/>
                <w:sz w:val="17"/>
              </w:rPr>
              <w:t>Murcia</w:t>
            </w:r>
          </w:p>
        </w:tc>
        <w:tc>
          <w:tcPr>
            <w:tcW w:w="1144"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72"/>
              <w:rPr>
                <w:sz w:val="17"/>
              </w:rPr>
            </w:pPr>
            <w:r>
              <w:rPr>
                <w:spacing w:val="-2"/>
                <w:sz w:val="17"/>
              </w:rPr>
              <w:t>Obras</w:t>
            </w:r>
          </w:p>
        </w:tc>
        <w:tc>
          <w:tcPr>
            <w:tcW w:w="1165"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104"/>
              <w:jc w:val="right"/>
              <w:rPr>
                <w:sz w:val="17"/>
              </w:rPr>
            </w:pPr>
            <w:r>
              <w:rPr>
                <w:spacing w:val="-2"/>
                <w:sz w:val="17"/>
              </w:rPr>
              <w:t>25.587.555,29</w:t>
            </w:r>
          </w:p>
        </w:tc>
        <w:tc>
          <w:tcPr>
            <w:tcW w:w="794"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257"/>
              <w:jc w:val="right"/>
              <w:rPr>
                <w:sz w:val="17"/>
              </w:rPr>
            </w:pPr>
            <w:r>
              <w:rPr>
                <w:spacing w:val="-2"/>
                <w:sz w:val="17"/>
              </w:rPr>
              <w:t>73,22</w:t>
            </w:r>
          </w:p>
        </w:tc>
        <w:tc>
          <w:tcPr>
            <w:tcW w:w="1192"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153"/>
              <w:jc w:val="right"/>
              <w:rPr>
                <w:sz w:val="17"/>
              </w:rPr>
            </w:pPr>
            <w:r>
              <w:rPr>
                <w:spacing w:val="-2"/>
                <w:sz w:val="17"/>
              </w:rPr>
              <w:t>5.404156,72</w:t>
            </w:r>
          </w:p>
        </w:tc>
        <w:tc>
          <w:tcPr>
            <w:tcW w:w="753"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159"/>
              <w:jc w:val="right"/>
              <w:rPr>
                <w:sz w:val="17"/>
              </w:rPr>
            </w:pPr>
            <w:r>
              <w:rPr>
                <w:spacing w:val="-2"/>
                <w:sz w:val="17"/>
              </w:rPr>
              <w:t>21,12</w:t>
            </w:r>
          </w:p>
        </w:tc>
        <w:tc>
          <w:tcPr>
            <w:tcW w:w="1388" w:type="dxa"/>
            <w:tcBorders>
              <w:top w:val="single" w:sz="8" w:space="0" w:color="002D5D"/>
              <w:bottom w:val="single" w:sz="8" w:space="0" w:color="002D5D"/>
            </w:tcBorders>
          </w:tcPr>
          <w:p>
            <w:pPr>
              <w:pStyle w:val="TableParagraph"/>
              <w:rPr>
                <w:rFonts w:ascii="Arial"/>
                <w:b/>
                <w:sz w:val="18"/>
              </w:rPr>
            </w:pPr>
          </w:p>
          <w:p>
            <w:pPr>
              <w:pStyle w:val="TableParagraph"/>
              <w:spacing w:before="67"/>
              <w:rPr>
                <w:rFonts w:ascii="Arial"/>
                <w:b/>
                <w:sz w:val="18"/>
              </w:rPr>
            </w:pPr>
          </w:p>
          <w:p>
            <w:pPr>
              <w:pStyle w:val="TableParagraph"/>
              <w:ind w:left="168"/>
              <w:rPr>
                <w:sz w:val="18"/>
              </w:rPr>
            </w:pPr>
            <w:r>
              <w:rPr>
                <w:spacing w:val="-2"/>
                <w:sz w:val="18"/>
              </w:rPr>
              <w:t>20.183.398,57</w:t>
            </w:r>
          </w:p>
        </w:tc>
        <w:tc>
          <w:tcPr>
            <w:tcW w:w="562"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38"/>
              <w:rPr>
                <w:sz w:val="17"/>
              </w:rPr>
            </w:pPr>
            <w:r>
              <w:rPr>
                <w:spacing w:val="-2"/>
                <w:sz w:val="17"/>
              </w:rPr>
              <w:t>78,88</w:t>
            </w:r>
          </w:p>
        </w:tc>
        <w:tc>
          <w:tcPr>
            <w:tcW w:w="1221"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41"/>
              <w:jc w:val="center"/>
              <w:rPr>
                <w:sz w:val="17"/>
              </w:rPr>
            </w:pPr>
            <w:r>
              <w:rPr>
                <w:spacing w:val="-2"/>
                <w:sz w:val="17"/>
              </w:rPr>
              <w:t>Finalizada</w:t>
            </w:r>
          </w:p>
        </w:tc>
      </w:tr>
      <w:tr>
        <w:trPr>
          <w:trHeight w:val="584" w:hRule="atLeast"/>
        </w:trPr>
        <w:tc>
          <w:tcPr>
            <w:tcW w:w="3257" w:type="dxa"/>
            <w:tcBorders>
              <w:top w:val="single" w:sz="8" w:space="0" w:color="002D5D"/>
              <w:bottom w:val="single" w:sz="8" w:space="0" w:color="002D5D"/>
            </w:tcBorders>
          </w:tcPr>
          <w:p>
            <w:pPr>
              <w:pStyle w:val="TableParagraph"/>
              <w:spacing w:line="194" w:lineRule="exact"/>
              <w:ind w:left="69" w:right="139"/>
              <w:rPr>
                <w:sz w:val="17"/>
              </w:rPr>
            </w:pPr>
            <w:r>
              <w:rPr>
                <w:sz w:val="17"/>
              </w:rPr>
              <w:t>Encargo</w:t>
            </w:r>
            <w:r>
              <w:rPr>
                <w:spacing w:val="-7"/>
                <w:sz w:val="17"/>
              </w:rPr>
              <w:t> </w:t>
            </w:r>
            <w:r>
              <w:rPr>
                <w:sz w:val="17"/>
              </w:rPr>
              <w:t>a</w:t>
            </w:r>
            <w:r>
              <w:rPr>
                <w:spacing w:val="-10"/>
                <w:sz w:val="17"/>
              </w:rPr>
              <w:t> </w:t>
            </w:r>
            <w:r>
              <w:rPr>
                <w:sz w:val="17"/>
              </w:rPr>
              <w:t>URBAMUSA</w:t>
            </w:r>
            <w:r>
              <w:rPr>
                <w:spacing w:val="-8"/>
                <w:sz w:val="17"/>
              </w:rPr>
              <w:t> </w:t>
            </w:r>
            <w:r>
              <w:rPr>
                <w:sz w:val="17"/>
              </w:rPr>
              <w:t>Redacción</w:t>
            </w:r>
            <w:r>
              <w:rPr>
                <w:spacing w:val="-9"/>
                <w:sz w:val="17"/>
              </w:rPr>
              <w:t> </w:t>
            </w:r>
            <w:r>
              <w:rPr>
                <w:sz w:val="17"/>
              </w:rPr>
              <w:t>de</w:t>
            </w:r>
            <w:r>
              <w:rPr>
                <w:spacing w:val="-6"/>
                <w:sz w:val="17"/>
              </w:rPr>
              <w:t> </w:t>
            </w:r>
            <w:r>
              <w:rPr>
                <w:sz w:val="17"/>
              </w:rPr>
              <w:t>proyecto</w:t>
            </w:r>
            <w:r>
              <w:rPr>
                <w:spacing w:val="40"/>
                <w:sz w:val="17"/>
              </w:rPr>
              <w:t> </w:t>
            </w:r>
            <w:r>
              <w:rPr>
                <w:sz w:val="17"/>
              </w:rPr>
              <w:t>para implantación de tres líneas de transporte</w:t>
            </w:r>
            <w:r>
              <w:rPr>
                <w:spacing w:val="40"/>
                <w:sz w:val="17"/>
              </w:rPr>
              <w:t> </w:t>
            </w:r>
            <w:r>
              <w:rPr>
                <w:sz w:val="17"/>
              </w:rPr>
              <w:t>público colectivo de la tipología de BTR</w:t>
            </w:r>
          </w:p>
        </w:tc>
        <w:tc>
          <w:tcPr>
            <w:tcW w:w="1144" w:type="dxa"/>
            <w:tcBorders>
              <w:top w:val="single" w:sz="8" w:space="0" w:color="002D5D"/>
              <w:bottom w:val="single" w:sz="8" w:space="0" w:color="002D5D"/>
            </w:tcBorders>
          </w:tcPr>
          <w:p>
            <w:pPr>
              <w:pStyle w:val="TableParagraph"/>
              <w:rPr>
                <w:rFonts w:ascii="Arial"/>
                <w:b/>
                <w:sz w:val="17"/>
              </w:rPr>
            </w:pPr>
          </w:p>
          <w:p>
            <w:pPr>
              <w:pStyle w:val="TableParagraph"/>
              <w:ind w:left="72"/>
              <w:rPr>
                <w:sz w:val="17"/>
              </w:rPr>
            </w:pPr>
            <w:r>
              <w:rPr>
                <w:spacing w:val="-2"/>
                <w:sz w:val="17"/>
              </w:rPr>
              <w:t>Obras</w:t>
            </w:r>
          </w:p>
        </w:tc>
        <w:tc>
          <w:tcPr>
            <w:tcW w:w="1165" w:type="dxa"/>
            <w:tcBorders>
              <w:top w:val="single" w:sz="8" w:space="0" w:color="002D5D"/>
              <w:bottom w:val="single" w:sz="8" w:space="0" w:color="002D5D"/>
            </w:tcBorders>
          </w:tcPr>
          <w:p>
            <w:pPr>
              <w:pStyle w:val="TableParagraph"/>
              <w:rPr>
                <w:rFonts w:ascii="Arial"/>
                <w:b/>
                <w:sz w:val="17"/>
              </w:rPr>
            </w:pPr>
          </w:p>
          <w:p>
            <w:pPr>
              <w:pStyle w:val="TableParagraph"/>
              <w:ind w:right="104"/>
              <w:jc w:val="right"/>
              <w:rPr>
                <w:sz w:val="17"/>
              </w:rPr>
            </w:pPr>
            <w:r>
              <w:rPr>
                <w:spacing w:val="-2"/>
                <w:sz w:val="17"/>
              </w:rPr>
              <w:t>595.125,70</w:t>
            </w:r>
          </w:p>
        </w:tc>
        <w:tc>
          <w:tcPr>
            <w:tcW w:w="794" w:type="dxa"/>
            <w:tcBorders>
              <w:top w:val="single" w:sz="8" w:space="0" w:color="002D5D"/>
              <w:bottom w:val="single" w:sz="8" w:space="0" w:color="002D5D"/>
            </w:tcBorders>
          </w:tcPr>
          <w:p>
            <w:pPr>
              <w:pStyle w:val="TableParagraph"/>
              <w:rPr>
                <w:rFonts w:ascii="Arial"/>
                <w:b/>
                <w:sz w:val="17"/>
              </w:rPr>
            </w:pPr>
          </w:p>
          <w:p>
            <w:pPr>
              <w:pStyle w:val="TableParagraph"/>
              <w:ind w:right="257"/>
              <w:jc w:val="right"/>
              <w:rPr>
                <w:sz w:val="17"/>
              </w:rPr>
            </w:pPr>
            <w:r>
              <w:rPr>
                <w:spacing w:val="-4"/>
                <w:sz w:val="17"/>
              </w:rPr>
              <w:t>1,70</w:t>
            </w:r>
          </w:p>
        </w:tc>
        <w:tc>
          <w:tcPr>
            <w:tcW w:w="1192" w:type="dxa"/>
            <w:tcBorders>
              <w:top w:val="single" w:sz="8" w:space="0" w:color="002D5D"/>
              <w:bottom w:val="single" w:sz="8" w:space="0" w:color="002D5D"/>
            </w:tcBorders>
          </w:tcPr>
          <w:p>
            <w:pPr>
              <w:pStyle w:val="TableParagraph"/>
              <w:rPr>
                <w:rFonts w:ascii="Arial"/>
                <w:b/>
                <w:sz w:val="17"/>
              </w:rPr>
            </w:pPr>
          </w:p>
          <w:p>
            <w:pPr>
              <w:pStyle w:val="TableParagraph"/>
              <w:ind w:right="115"/>
              <w:jc w:val="right"/>
              <w:rPr>
                <w:sz w:val="17"/>
              </w:rPr>
            </w:pPr>
            <w:r>
              <w:rPr>
                <w:spacing w:val="-2"/>
                <w:sz w:val="17"/>
              </w:rPr>
              <w:t>595.125,70</w:t>
            </w:r>
          </w:p>
        </w:tc>
        <w:tc>
          <w:tcPr>
            <w:tcW w:w="753" w:type="dxa"/>
            <w:tcBorders>
              <w:top w:val="single" w:sz="8" w:space="0" w:color="002D5D"/>
              <w:bottom w:val="single" w:sz="8" w:space="0" w:color="002D5D"/>
            </w:tcBorders>
          </w:tcPr>
          <w:p>
            <w:pPr>
              <w:pStyle w:val="TableParagraph"/>
              <w:rPr>
                <w:rFonts w:ascii="Arial"/>
                <w:b/>
                <w:sz w:val="17"/>
              </w:rPr>
            </w:pPr>
          </w:p>
          <w:p>
            <w:pPr>
              <w:pStyle w:val="TableParagraph"/>
              <w:ind w:left="165"/>
              <w:rPr>
                <w:sz w:val="17"/>
              </w:rPr>
            </w:pPr>
            <w:r>
              <w:rPr>
                <w:spacing w:val="-2"/>
                <w:sz w:val="17"/>
              </w:rPr>
              <w:t>100,00</w:t>
            </w:r>
          </w:p>
        </w:tc>
        <w:tc>
          <w:tcPr>
            <w:tcW w:w="1388" w:type="dxa"/>
            <w:tcBorders>
              <w:top w:val="single" w:sz="8" w:space="0" w:color="002D5D"/>
              <w:bottom w:val="single" w:sz="8" w:space="0" w:color="002D5D"/>
            </w:tcBorders>
          </w:tcPr>
          <w:p>
            <w:pPr>
              <w:pStyle w:val="TableParagraph"/>
              <w:rPr>
                <w:rFonts w:ascii="Arial"/>
                <w:b/>
                <w:sz w:val="17"/>
              </w:rPr>
            </w:pPr>
          </w:p>
          <w:p>
            <w:pPr>
              <w:pStyle w:val="TableParagraph"/>
              <w:ind w:left="802"/>
              <w:rPr>
                <w:sz w:val="17"/>
              </w:rPr>
            </w:pPr>
            <w:r>
              <w:rPr>
                <w:spacing w:val="-4"/>
                <w:sz w:val="17"/>
              </w:rPr>
              <w:t>0,00</w:t>
            </w:r>
          </w:p>
        </w:tc>
        <w:tc>
          <w:tcPr>
            <w:tcW w:w="562" w:type="dxa"/>
            <w:tcBorders>
              <w:top w:val="single" w:sz="8" w:space="0" w:color="002D5D"/>
              <w:bottom w:val="single" w:sz="8" w:space="0" w:color="002D5D"/>
            </w:tcBorders>
          </w:tcPr>
          <w:p>
            <w:pPr>
              <w:pStyle w:val="TableParagraph"/>
              <w:rPr>
                <w:rFonts w:ascii="Arial"/>
                <w:b/>
                <w:sz w:val="17"/>
              </w:rPr>
            </w:pPr>
          </w:p>
          <w:p>
            <w:pPr>
              <w:pStyle w:val="TableParagraph"/>
              <w:ind w:right="174"/>
              <w:jc w:val="right"/>
              <w:rPr>
                <w:sz w:val="17"/>
              </w:rPr>
            </w:pPr>
            <w:r>
              <w:rPr>
                <w:spacing w:val="-4"/>
                <w:sz w:val="17"/>
              </w:rPr>
              <w:t>0,00</w:t>
            </w:r>
          </w:p>
        </w:tc>
        <w:tc>
          <w:tcPr>
            <w:tcW w:w="1221" w:type="dxa"/>
            <w:tcBorders>
              <w:top w:val="single" w:sz="8" w:space="0" w:color="002D5D"/>
              <w:bottom w:val="single" w:sz="8" w:space="0" w:color="002D5D"/>
            </w:tcBorders>
          </w:tcPr>
          <w:p>
            <w:pPr>
              <w:pStyle w:val="TableParagraph"/>
              <w:rPr>
                <w:rFonts w:ascii="Arial"/>
                <w:b/>
                <w:sz w:val="17"/>
              </w:rPr>
            </w:pPr>
          </w:p>
          <w:p>
            <w:pPr>
              <w:pStyle w:val="TableParagraph"/>
              <w:ind w:right="41"/>
              <w:jc w:val="center"/>
              <w:rPr>
                <w:sz w:val="17"/>
              </w:rPr>
            </w:pPr>
            <w:r>
              <w:rPr>
                <w:sz w:val="17"/>
              </w:rPr>
              <w:t>En</w:t>
            </w:r>
            <w:r>
              <w:rPr>
                <w:spacing w:val="-1"/>
                <w:sz w:val="17"/>
              </w:rPr>
              <w:t> </w:t>
            </w:r>
            <w:r>
              <w:rPr>
                <w:spacing w:val="-2"/>
                <w:sz w:val="17"/>
              </w:rPr>
              <w:t>ejecución</w:t>
            </w:r>
          </w:p>
        </w:tc>
      </w:tr>
      <w:tr>
        <w:trPr>
          <w:trHeight w:val="1170" w:hRule="atLeast"/>
        </w:trPr>
        <w:tc>
          <w:tcPr>
            <w:tcW w:w="3257" w:type="dxa"/>
            <w:tcBorders>
              <w:top w:val="single" w:sz="8" w:space="0" w:color="002D5D"/>
              <w:bottom w:val="single" w:sz="8" w:space="0" w:color="002D5D"/>
            </w:tcBorders>
          </w:tcPr>
          <w:p>
            <w:pPr>
              <w:pStyle w:val="TableParagraph"/>
              <w:spacing w:before="1"/>
              <w:ind w:left="69" w:right="139"/>
              <w:rPr>
                <w:sz w:val="17"/>
              </w:rPr>
            </w:pPr>
            <w:r>
              <w:rPr>
                <w:sz w:val="17"/>
              </w:rPr>
              <w:t>Suministro, instalación, integración y puesta en</w:t>
            </w:r>
            <w:r>
              <w:rPr>
                <w:spacing w:val="40"/>
                <w:sz w:val="17"/>
              </w:rPr>
              <w:t> </w:t>
            </w:r>
            <w:r>
              <w:rPr>
                <w:sz w:val="17"/>
              </w:rPr>
              <w:t>marcha del sistema central de gestión ITS del</w:t>
            </w:r>
            <w:r>
              <w:rPr>
                <w:spacing w:val="40"/>
                <w:sz w:val="17"/>
              </w:rPr>
              <w:t> </w:t>
            </w:r>
            <w:r>
              <w:rPr>
                <w:sz w:val="17"/>
              </w:rPr>
              <w:t>Ayuntamiento de Murcia (SCGIAM) y de los</w:t>
            </w:r>
            <w:r>
              <w:rPr>
                <w:spacing w:val="40"/>
                <w:sz w:val="17"/>
              </w:rPr>
              <w:t> </w:t>
            </w:r>
            <w:r>
              <w:rPr>
                <w:sz w:val="17"/>
              </w:rPr>
              <w:t>distintos componentes que conforman los</w:t>
            </w:r>
            <w:r>
              <w:rPr>
                <w:spacing w:val="40"/>
                <w:sz w:val="17"/>
              </w:rPr>
              <w:t> </w:t>
            </w:r>
            <w:r>
              <w:rPr>
                <w:sz w:val="17"/>
              </w:rPr>
              <w:t>sistemas</w:t>
            </w:r>
            <w:r>
              <w:rPr>
                <w:spacing w:val="-9"/>
                <w:sz w:val="17"/>
              </w:rPr>
              <w:t> </w:t>
            </w:r>
            <w:r>
              <w:rPr>
                <w:sz w:val="17"/>
              </w:rPr>
              <w:t>inteligentes</w:t>
            </w:r>
            <w:r>
              <w:rPr>
                <w:spacing w:val="-7"/>
                <w:sz w:val="17"/>
              </w:rPr>
              <w:t> </w:t>
            </w:r>
            <w:r>
              <w:rPr>
                <w:sz w:val="17"/>
              </w:rPr>
              <w:t>de</w:t>
            </w:r>
            <w:r>
              <w:rPr>
                <w:spacing w:val="-9"/>
                <w:sz w:val="17"/>
              </w:rPr>
              <w:t> </w:t>
            </w:r>
            <w:r>
              <w:rPr>
                <w:sz w:val="17"/>
              </w:rPr>
              <w:t>transporte</w:t>
            </w:r>
            <w:r>
              <w:rPr>
                <w:spacing w:val="-9"/>
                <w:sz w:val="17"/>
              </w:rPr>
              <w:t> </w:t>
            </w:r>
            <w:r>
              <w:rPr>
                <w:sz w:val="17"/>
              </w:rPr>
              <w:t>del</w:t>
            </w:r>
            <w:r>
              <w:rPr>
                <w:spacing w:val="-6"/>
                <w:sz w:val="17"/>
              </w:rPr>
              <w:t> </w:t>
            </w:r>
            <w:r>
              <w:rPr>
                <w:sz w:val="17"/>
              </w:rPr>
              <w:t>operador</w:t>
            </w:r>
          </w:p>
          <w:p>
            <w:pPr>
              <w:pStyle w:val="TableParagraph"/>
              <w:spacing w:line="174" w:lineRule="exact"/>
              <w:ind w:left="69"/>
              <w:rPr>
                <w:sz w:val="17"/>
              </w:rPr>
            </w:pPr>
            <w:r>
              <w:rPr>
                <w:sz w:val="17"/>
              </w:rPr>
              <w:t>del</w:t>
            </w:r>
            <w:r>
              <w:rPr>
                <w:spacing w:val="-4"/>
                <w:sz w:val="17"/>
              </w:rPr>
              <w:t> </w:t>
            </w:r>
            <w:r>
              <w:rPr>
                <w:sz w:val="17"/>
              </w:rPr>
              <w:t>transporte</w:t>
            </w:r>
            <w:r>
              <w:rPr>
                <w:spacing w:val="-3"/>
                <w:sz w:val="17"/>
              </w:rPr>
              <w:t> </w:t>
            </w:r>
            <w:r>
              <w:rPr>
                <w:sz w:val="17"/>
              </w:rPr>
              <w:t>público</w:t>
            </w:r>
            <w:r>
              <w:rPr>
                <w:spacing w:val="-2"/>
                <w:sz w:val="17"/>
              </w:rPr>
              <w:t> </w:t>
            </w:r>
            <w:r>
              <w:rPr>
                <w:sz w:val="17"/>
              </w:rPr>
              <w:t>colectivo</w:t>
            </w:r>
            <w:r>
              <w:rPr>
                <w:spacing w:val="-4"/>
                <w:sz w:val="17"/>
              </w:rPr>
              <w:t> </w:t>
            </w:r>
            <w:r>
              <w:rPr>
                <w:sz w:val="17"/>
              </w:rPr>
              <w:t>mediante</w:t>
            </w:r>
            <w:r>
              <w:rPr>
                <w:spacing w:val="-3"/>
                <w:sz w:val="17"/>
              </w:rPr>
              <w:t> </w:t>
            </w:r>
            <w:r>
              <w:rPr>
                <w:spacing w:val="-2"/>
                <w:sz w:val="17"/>
              </w:rPr>
              <w:t>autobús.</w:t>
            </w:r>
          </w:p>
        </w:tc>
        <w:tc>
          <w:tcPr>
            <w:tcW w:w="1144"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72"/>
              <w:rPr>
                <w:sz w:val="17"/>
              </w:rPr>
            </w:pPr>
            <w:r>
              <w:rPr>
                <w:spacing w:val="-2"/>
                <w:sz w:val="17"/>
              </w:rPr>
              <w:t>Digitalización</w:t>
            </w:r>
          </w:p>
        </w:tc>
        <w:tc>
          <w:tcPr>
            <w:tcW w:w="1165"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104"/>
              <w:jc w:val="right"/>
              <w:rPr>
                <w:sz w:val="17"/>
              </w:rPr>
            </w:pPr>
            <w:r>
              <w:rPr>
                <w:spacing w:val="-2"/>
                <w:sz w:val="17"/>
              </w:rPr>
              <w:t>5.066.952,09</w:t>
            </w:r>
          </w:p>
        </w:tc>
        <w:tc>
          <w:tcPr>
            <w:tcW w:w="794"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257"/>
              <w:jc w:val="right"/>
              <w:rPr>
                <w:sz w:val="17"/>
              </w:rPr>
            </w:pPr>
            <w:r>
              <w:rPr>
                <w:spacing w:val="-2"/>
                <w:sz w:val="17"/>
              </w:rPr>
              <w:t>14,50</w:t>
            </w:r>
          </w:p>
        </w:tc>
        <w:tc>
          <w:tcPr>
            <w:tcW w:w="1192"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115"/>
              <w:jc w:val="right"/>
              <w:rPr>
                <w:sz w:val="17"/>
              </w:rPr>
            </w:pPr>
            <w:r>
              <w:rPr>
                <w:spacing w:val="-2"/>
                <w:sz w:val="17"/>
              </w:rPr>
              <w:t>506.695,21</w:t>
            </w:r>
          </w:p>
        </w:tc>
        <w:tc>
          <w:tcPr>
            <w:tcW w:w="753"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159"/>
              <w:jc w:val="right"/>
              <w:rPr>
                <w:sz w:val="17"/>
              </w:rPr>
            </w:pPr>
            <w:r>
              <w:rPr>
                <w:spacing w:val="-2"/>
                <w:sz w:val="17"/>
              </w:rPr>
              <w:t>10,00</w:t>
            </w:r>
          </w:p>
        </w:tc>
        <w:tc>
          <w:tcPr>
            <w:tcW w:w="1388"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298"/>
              <w:rPr>
                <w:sz w:val="17"/>
              </w:rPr>
            </w:pPr>
            <w:r>
              <w:rPr>
                <w:spacing w:val="-2"/>
                <w:sz w:val="17"/>
              </w:rPr>
              <w:t>4.560.256,88</w:t>
            </w:r>
          </w:p>
        </w:tc>
        <w:tc>
          <w:tcPr>
            <w:tcW w:w="562"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left="38"/>
              <w:rPr>
                <w:sz w:val="17"/>
              </w:rPr>
            </w:pPr>
            <w:r>
              <w:rPr>
                <w:spacing w:val="-2"/>
                <w:sz w:val="17"/>
              </w:rPr>
              <w:t>90,00</w:t>
            </w:r>
          </w:p>
        </w:tc>
        <w:tc>
          <w:tcPr>
            <w:tcW w:w="1221" w:type="dxa"/>
            <w:tcBorders>
              <w:top w:val="single" w:sz="8" w:space="0" w:color="002D5D"/>
              <w:bottom w:val="single" w:sz="8" w:space="0" w:color="002D5D"/>
            </w:tcBorders>
          </w:tcPr>
          <w:p>
            <w:pPr>
              <w:pStyle w:val="TableParagraph"/>
              <w:rPr>
                <w:rFonts w:ascii="Arial"/>
                <w:b/>
                <w:sz w:val="17"/>
              </w:rPr>
            </w:pPr>
          </w:p>
          <w:p>
            <w:pPr>
              <w:pStyle w:val="TableParagraph"/>
              <w:spacing w:before="97"/>
              <w:rPr>
                <w:rFonts w:ascii="Arial"/>
                <w:b/>
                <w:sz w:val="17"/>
              </w:rPr>
            </w:pPr>
          </w:p>
          <w:p>
            <w:pPr>
              <w:pStyle w:val="TableParagraph"/>
              <w:ind w:right="41"/>
              <w:jc w:val="center"/>
              <w:rPr>
                <w:sz w:val="17"/>
              </w:rPr>
            </w:pPr>
            <w:r>
              <w:rPr>
                <w:sz w:val="17"/>
              </w:rPr>
              <w:t>En</w:t>
            </w:r>
            <w:r>
              <w:rPr>
                <w:spacing w:val="-1"/>
                <w:sz w:val="17"/>
              </w:rPr>
              <w:t> </w:t>
            </w:r>
            <w:r>
              <w:rPr>
                <w:spacing w:val="-2"/>
                <w:sz w:val="17"/>
              </w:rPr>
              <w:t>ejecución</w:t>
            </w:r>
          </w:p>
        </w:tc>
      </w:tr>
      <w:tr>
        <w:trPr>
          <w:trHeight w:val="587" w:hRule="atLeast"/>
        </w:trPr>
        <w:tc>
          <w:tcPr>
            <w:tcW w:w="3257" w:type="dxa"/>
            <w:tcBorders>
              <w:top w:val="single" w:sz="8" w:space="0" w:color="002D5D"/>
              <w:bottom w:val="single" w:sz="8" w:space="0" w:color="002D5D"/>
            </w:tcBorders>
          </w:tcPr>
          <w:p>
            <w:pPr>
              <w:pStyle w:val="TableParagraph"/>
              <w:spacing w:line="194" w:lineRule="exact"/>
              <w:ind w:left="69" w:right="139"/>
              <w:rPr>
                <w:sz w:val="17"/>
              </w:rPr>
            </w:pPr>
            <w:r>
              <w:rPr>
                <w:sz w:val="17"/>
              </w:rPr>
              <w:t>Diseño,</w:t>
            </w:r>
            <w:r>
              <w:rPr>
                <w:spacing w:val="-9"/>
                <w:sz w:val="17"/>
              </w:rPr>
              <w:t> </w:t>
            </w:r>
            <w:r>
              <w:rPr>
                <w:sz w:val="17"/>
              </w:rPr>
              <w:t>desarrollo,</w:t>
            </w:r>
            <w:r>
              <w:rPr>
                <w:spacing w:val="-7"/>
                <w:sz w:val="17"/>
              </w:rPr>
              <w:t> </w:t>
            </w:r>
            <w:r>
              <w:rPr>
                <w:sz w:val="17"/>
              </w:rPr>
              <w:t>suministro</w:t>
            </w:r>
            <w:r>
              <w:rPr>
                <w:spacing w:val="-8"/>
                <w:sz w:val="17"/>
              </w:rPr>
              <w:t> </w:t>
            </w:r>
            <w:r>
              <w:rPr>
                <w:sz w:val="17"/>
              </w:rPr>
              <w:t>e</w:t>
            </w:r>
            <w:r>
              <w:rPr>
                <w:spacing w:val="-9"/>
                <w:sz w:val="17"/>
              </w:rPr>
              <w:t> </w:t>
            </w:r>
            <w:r>
              <w:rPr>
                <w:sz w:val="17"/>
              </w:rPr>
              <w:t>implantación</w:t>
            </w:r>
            <w:r>
              <w:rPr>
                <w:spacing w:val="-9"/>
                <w:sz w:val="17"/>
              </w:rPr>
              <w:t> </w:t>
            </w:r>
            <w:r>
              <w:rPr>
                <w:sz w:val="17"/>
              </w:rPr>
              <w:t>de</w:t>
            </w:r>
            <w:r>
              <w:rPr>
                <w:spacing w:val="40"/>
                <w:sz w:val="17"/>
              </w:rPr>
              <w:t> </w:t>
            </w:r>
            <w:r>
              <w:rPr>
                <w:sz w:val="17"/>
              </w:rPr>
              <w:t>los nuevos medios de pago, tarjeta inteligente,</w:t>
            </w:r>
            <w:r>
              <w:rPr>
                <w:spacing w:val="40"/>
                <w:sz w:val="17"/>
              </w:rPr>
              <w:t> </w:t>
            </w:r>
            <w:r>
              <w:rPr>
                <w:sz w:val="17"/>
              </w:rPr>
              <w:t>QR y ABT en el transporte público municipal.</w:t>
            </w:r>
          </w:p>
        </w:tc>
        <w:tc>
          <w:tcPr>
            <w:tcW w:w="1144" w:type="dxa"/>
            <w:tcBorders>
              <w:top w:val="single" w:sz="8" w:space="0" w:color="002D5D"/>
              <w:bottom w:val="single" w:sz="8" w:space="0" w:color="002D5D"/>
            </w:tcBorders>
          </w:tcPr>
          <w:p>
            <w:pPr>
              <w:pStyle w:val="TableParagraph"/>
              <w:rPr>
                <w:rFonts w:ascii="Arial"/>
                <w:b/>
                <w:sz w:val="17"/>
              </w:rPr>
            </w:pPr>
          </w:p>
          <w:p>
            <w:pPr>
              <w:pStyle w:val="TableParagraph"/>
              <w:ind w:left="72"/>
              <w:rPr>
                <w:sz w:val="17"/>
              </w:rPr>
            </w:pPr>
            <w:r>
              <w:rPr>
                <w:spacing w:val="-2"/>
                <w:sz w:val="17"/>
              </w:rPr>
              <w:t>Digitalización</w:t>
            </w:r>
          </w:p>
        </w:tc>
        <w:tc>
          <w:tcPr>
            <w:tcW w:w="1165" w:type="dxa"/>
            <w:tcBorders>
              <w:top w:val="single" w:sz="8" w:space="0" w:color="002D5D"/>
              <w:bottom w:val="single" w:sz="8" w:space="0" w:color="002D5D"/>
            </w:tcBorders>
          </w:tcPr>
          <w:p>
            <w:pPr>
              <w:pStyle w:val="TableParagraph"/>
              <w:rPr>
                <w:rFonts w:ascii="Arial"/>
                <w:b/>
                <w:sz w:val="17"/>
              </w:rPr>
            </w:pPr>
          </w:p>
          <w:p>
            <w:pPr>
              <w:pStyle w:val="TableParagraph"/>
              <w:ind w:right="104"/>
              <w:jc w:val="right"/>
              <w:rPr>
                <w:sz w:val="17"/>
              </w:rPr>
            </w:pPr>
            <w:r>
              <w:rPr>
                <w:spacing w:val="-2"/>
                <w:sz w:val="17"/>
              </w:rPr>
              <w:t>167.443,00</w:t>
            </w:r>
          </w:p>
        </w:tc>
        <w:tc>
          <w:tcPr>
            <w:tcW w:w="794" w:type="dxa"/>
            <w:tcBorders>
              <w:top w:val="single" w:sz="8" w:space="0" w:color="002D5D"/>
              <w:bottom w:val="single" w:sz="8" w:space="0" w:color="002D5D"/>
            </w:tcBorders>
          </w:tcPr>
          <w:p>
            <w:pPr>
              <w:pStyle w:val="TableParagraph"/>
              <w:rPr>
                <w:rFonts w:ascii="Arial"/>
                <w:b/>
                <w:sz w:val="17"/>
              </w:rPr>
            </w:pPr>
          </w:p>
          <w:p>
            <w:pPr>
              <w:pStyle w:val="TableParagraph"/>
              <w:ind w:right="257"/>
              <w:jc w:val="right"/>
              <w:rPr>
                <w:sz w:val="17"/>
              </w:rPr>
            </w:pPr>
            <w:r>
              <w:rPr>
                <w:spacing w:val="-4"/>
                <w:sz w:val="17"/>
              </w:rPr>
              <w:t>0,48</w:t>
            </w:r>
          </w:p>
        </w:tc>
        <w:tc>
          <w:tcPr>
            <w:tcW w:w="1192" w:type="dxa"/>
            <w:tcBorders>
              <w:top w:val="single" w:sz="8" w:space="0" w:color="002D5D"/>
              <w:bottom w:val="single" w:sz="8" w:space="0" w:color="002D5D"/>
            </w:tcBorders>
          </w:tcPr>
          <w:p>
            <w:pPr>
              <w:pStyle w:val="TableParagraph"/>
              <w:rPr>
                <w:rFonts w:ascii="Arial"/>
                <w:b/>
                <w:sz w:val="17"/>
              </w:rPr>
            </w:pPr>
          </w:p>
          <w:p>
            <w:pPr>
              <w:pStyle w:val="TableParagraph"/>
              <w:ind w:right="114"/>
              <w:jc w:val="right"/>
              <w:rPr>
                <w:sz w:val="17"/>
              </w:rPr>
            </w:pPr>
            <w:r>
              <w:rPr>
                <w:spacing w:val="-2"/>
                <w:sz w:val="17"/>
              </w:rPr>
              <w:t>16.744,30</w:t>
            </w:r>
          </w:p>
        </w:tc>
        <w:tc>
          <w:tcPr>
            <w:tcW w:w="753" w:type="dxa"/>
            <w:tcBorders>
              <w:top w:val="single" w:sz="8" w:space="0" w:color="002D5D"/>
              <w:bottom w:val="single" w:sz="8" w:space="0" w:color="002D5D"/>
            </w:tcBorders>
          </w:tcPr>
          <w:p>
            <w:pPr>
              <w:pStyle w:val="TableParagraph"/>
              <w:rPr>
                <w:rFonts w:ascii="Arial"/>
                <w:b/>
                <w:sz w:val="17"/>
              </w:rPr>
            </w:pPr>
          </w:p>
          <w:p>
            <w:pPr>
              <w:pStyle w:val="TableParagraph"/>
              <w:ind w:right="159"/>
              <w:jc w:val="right"/>
              <w:rPr>
                <w:sz w:val="17"/>
              </w:rPr>
            </w:pPr>
            <w:r>
              <w:rPr>
                <w:spacing w:val="-2"/>
                <w:sz w:val="17"/>
              </w:rPr>
              <w:t>10,00</w:t>
            </w:r>
          </w:p>
        </w:tc>
        <w:tc>
          <w:tcPr>
            <w:tcW w:w="1388" w:type="dxa"/>
            <w:tcBorders>
              <w:top w:val="single" w:sz="8" w:space="0" w:color="002D5D"/>
              <w:bottom w:val="single" w:sz="8" w:space="0" w:color="002D5D"/>
            </w:tcBorders>
          </w:tcPr>
          <w:p>
            <w:pPr>
              <w:pStyle w:val="TableParagraph"/>
              <w:rPr>
                <w:rFonts w:ascii="Arial"/>
                <w:b/>
                <w:sz w:val="17"/>
              </w:rPr>
            </w:pPr>
          </w:p>
          <w:p>
            <w:pPr>
              <w:pStyle w:val="TableParagraph"/>
              <w:ind w:left="413"/>
              <w:rPr>
                <w:sz w:val="17"/>
              </w:rPr>
            </w:pPr>
            <w:r>
              <w:rPr>
                <w:spacing w:val="-2"/>
                <w:sz w:val="17"/>
              </w:rPr>
              <w:t>150.698,70</w:t>
            </w:r>
          </w:p>
        </w:tc>
        <w:tc>
          <w:tcPr>
            <w:tcW w:w="562" w:type="dxa"/>
            <w:tcBorders>
              <w:top w:val="single" w:sz="8" w:space="0" w:color="002D5D"/>
              <w:bottom w:val="single" w:sz="8" w:space="0" w:color="002D5D"/>
            </w:tcBorders>
          </w:tcPr>
          <w:p>
            <w:pPr>
              <w:pStyle w:val="TableParagraph"/>
              <w:rPr>
                <w:rFonts w:ascii="Arial"/>
                <w:b/>
                <w:sz w:val="17"/>
              </w:rPr>
            </w:pPr>
          </w:p>
          <w:p>
            <w:pPr>
              <w:pStyle w:val="TableParagraph"/>
              <w:ind w:left="38"/>
              <w:rPr>
                <w:sz w:val="17"/>
              </w:rPr>
            </w:pPr>
            <w:r>
              <w:rPr>
                <w:spacing w:val="-2"/>
                <w:sz w:val="17"/>
              </w:rPr>
              <w:t>90,00</w:t>
            </w:r>
          </w:p>
        </w:tc>
        <w:tc>
          <w:tcPr>
            <w:tcW w:w="1221" w:type="dxa"/>
            <w:tcBorders>
              <w:top w:val="single" w:sz="8" w:space="0" w:color="002D5D"/>
              <w:bottom w:val="single" w:sz="8" w:space="0" w:color="002D5D"/>
            </w:tcBorders>
          </w:tcPr>
          <w:p>
            <w:pPr>
              <w:pStyle w:val="TableParagraph"/>
              <w:rPr>
                <w:rFonts w:ascii="Arial"/>
                <w:b/>
                <w:sz w:val="17"/>
              </w:rPr>
            </w:pPr>
          </w:p>
          <w:p>
            <w:pPr>
              <w:pStyle w:val="TableParagraph"/>
              <w:ind w:right="41"/>
              <w:jc w:val="center"/>
              <w:rPr>
                <w:sz w:val="17"/>
              </w:rPr>
            </w:pPr>
            <w:r>
              <w:rPr>
                <w:sz w:val="17"/>
              </w:rPr>
              <w:t>En</w:t>
            </w:r>
            <w:r>
              <w:rPr>
                <w:spacing w:val="-1"/>
                <w:sz w:val="17"/>
              </w:rPr>
              <w:t> </w:t>
            </w:r>
            <w:r>
              <w:rPr>
                <w:spacing w:val="-2"/>
                <w:sz w:val="17"/>
              </w:rPr>
              <w:t>ejecución</w:t>
            </w:r>
          </w:p>
        </w:tc>
      </w:tr>
      <w:tr>
        <w:trPr>
          <w:trHeight w:val="1170" w:hRule="atLeast"/>
        </w:trPr>
        <w:tc>
          <w:tcPr>
            <w:tcW w:w="3257" w:type="dxa"/>
            <w:tcBorders>
              <w:top w:val="single" w:sz="8" w:space="0" w:color="002D5D"/>
              <w:bottom w:val="single" w:sz="8" w:space="0" w:color="002D5D"/>
            </w:tcBorders>
          </w:tcPr>
          <w:p>
            <w:pPr>
              <w:pStyle w:val="TableParagraph"/>
              <w:ind w:left="69" w:right="15"/>
              <w:rPr>
                <w:sz w:val="17"/>
              </w:rPr>
            </w:pPr>
            <w:r>
              <w:rPr>
                <w:sz w:val="17"/>
              </w:rPr>
              <w:t>Asistencia técnica para la actualización del</w:t>
            </w:r>
            <w:r>
              <w:rPr>
                <w:spacing w:val="40"/>
                <w:sz w:val="17"/>
              </w:rPr>
              <w:t> </w:t>
            </w:r>
            <w:r>
              <w:rPr>
                <w:sz w:val="17"/>
              </w:rPr>
              <w:t>Proyecto</w:t>
            </w:r>
            <w:r>
              <w:rPr>
                <w:spacing w:val="-5"/>
                <w:sz w:val="17"/>
              </w:rPr>
              <w:t> </w:t>
            </w:r>
            <w:r>
              <w:rPr>
                <w:sz w:val="17"/>
              </w:rPr>
              <w:t>de</w:t>
            </w:r>
            <w:r>
              <w:rPr>
                <w:spacing w:val="-6"/>
                <w:sz w:val="17"/>
              </w:rPr>
              <w:t> </w:t>
            </w:r>
            <w:r>
              <w:rPr>
                <w:sz w:val="17"/>
              </w:rPr>
              <w:t>servicio</w:t>
            </w:r>
            <w:r>
              <w:rPr>
                <w:spacing w:val="-5"/>
                <w:sz w:val="17"/>
              </w:rPr>
              <w:t> </w:t>
            </w:r>
            <w:r>
              <w:rPr>
                <w:sz w:val="17"/>
              </w:rPr>
              <w:t>de</w:t>
            </w:r>
            <w:r>
              <w:rPr>
                <w:spacing w:val="-6"/>
                <w:sz w:val="17"/>
              </w:rPr>
              <w:t> </w:t>
            </w:r>
            <w:r>
              <w:rPr>
                <w:sz w:val="17"/>
              </w:rPr>
              <w:t>la</w:t>
            </w:r>
            <w:r>
              <w:rPr>
                <w:spacing w:val="-5"/>
                <w:sz w:val="17"/>
              </w:rPr>
              <w:t> </w:t>
            </w:r>
            <w:r>
              <w:rPr>
                <w:sz w:val="17"/>
              </w:rPr>
              <w:t>nueva</w:t>
            </w:r>
            <w:r>
              <w:rPr>
                <w:spacing w:val="-6"/>
                <w:sz w:val="17"/>
              </w:rPr>
              <w:t> </w:t>
            </w:r>
            <w:r>
              <w:rPr>
                <w:sz w:val="17"/>
              </w:rPr>
              <w:t>red</w:t>
            </w:r>
            <w:r>
              <w:rPr>
                <w:spacing w:val="-6"/>
                <w:sz w:val="17"/>
              </w:rPr>
              <w:t> </w:t>
            </w:r>
            <w:r>
              <w:rPr>
                <w:sz w:val="17"/>
              </w:rPr>
              <w:t>de</w:t>
            </w:r>
            <w:r>
              <w:rPr>
                <w:spacing w:val="-4"/>
                <w:sz w:val="17"/>
              </w:rPr>
              <w:t> </w:t>
            </w:r>
            <w:r>
              <w:rPr>
                <w:sz w:val="17"/>
              </w:rPr>
              <w:t>transporte</w:t>
            </w:r>
            <w:r>
              <w:rPr>
                <w:spacing w:val="40"/>
                <w:sz w:val="17"/>
              </w:rPr>
              <w:t> </w:t>
            </w:r>
            <w:r>
              <w:rPr>
                <w:sz w:val="17"/>
              </w:rPr>
              <w:t>público colectivo mediante autobús urbano en el</w:t>
            </w:r>
            <w:r>
              <w:rPr>
                <w:spacing w:val="40"/>
                <w:sz w:val="17"/>
              </w:rPr>
              <w:t> </w:t>
            </w:r>
            <w:r>
              <w:rPr>
                <w:sz w:val="17"/>
              </w:rPr>
              <w:t>término municipal de Murcia para la coordinación</w:t>
            </w:r>
            <w:r>
              <w:rPr>
                <w:spacing w:val="40"/>
                <w:sz w:val="17"/>
              </w:rPr>
              <w:t> </w:t>
            </w:r>
            <w:r>
              <w:rPr>
                <w:sz w:val="17"/>
              </w:rPr>
              <w:t>de servicios con las líneas metropolitanas de la</w:t>
            </w:r>
          </w:p>
          <w:p>
            <w:pPr>
              <w:pStyle w:val="TableParagraph"/>
              <w:spacing w:line="176" w:lineRule="exact"/>
              <w:ind w:left="69"/>
              <w:rPr>
                <w:sz w:val="17"/>
              </w:rPr>
            </w:pPr>
            <w:r>
              <w:rPr>
                <w:spacing w:val="-4"/>
                <w:sz w:val="17"/>
              </w:rPr>
              <w:t>CARM</w:t>
            </w:r>
          </w:p>
        </w:tc>
        <w:tc>
          <w:tcPr>
            <w:tcW w:w="1144" w:type="dxa"/>
            <w:tcBorders>
              <w:top w:val="single" w:sz="8" w:space="0" w:color="002D5D"/>
              <w:bottom w:val="single" w:sz="8" w:space="0" w:color="002D5D"/>
            </w:tcBorders>
          </w:tcPr>
          <w:p>
            <w:pPr>
              <w:pStyle w:val="TableParagraph"/>
              <w:rPr>
                <w:rFonts w:ascii="Arial"/>
                <w:b/>
                <w:sz w:val="17"/>
              </w:rPr>
            </w:pPr>
          </w:p>
          <w:p>
            <w:pPr>
              <w:pStyle w:val="TableParagraph"/>
              <w:spacing w:before="94"/>
              <w:rPr>
                <w:rFonts w:ascii="Arial"/>
                <w:b/>
                <w:sz w:val="17"/>
              </w:rPr>
            </w:pPr>
          </w:p>
          <w:p>
            <w:pPr>
              <w:pStyle w:val="TableParagraph"/>
              <w:spacing w:before="1"/>
              <w:ind w:left="72"/>
              <w:rPr>
                <w:sz w:val="17"/>
              </w:rPr>
            </w:pPr>
            <w:r>
              <w:rPr>
                <w:spacing w:val="-2"/>
                <w:sz w:val="17"/>
              </w:rPr>
              <w:t>Digitalización</w:t>
            </w:r>
          </w:p>
        </w:tc>
        <w:tc>
          <w:tcPr>
            <w:tcW w:w="1165" w:type="dxa"/>
            <w:tcBorders>
              <w:top w:val="single" w:sz="8" w:space="0" w:color="002D5D"/>
              <w:bottom w:val="single" w:sz="8" w:space="0" w:color="002D5D"/>
            </w:tcBorders>
          </w:tcPr>
          <w:p>
            <w:pPr>
              <w:pStyle w:val="TableParagraph"/>
              <w:rPr>
                <w:rFonts w:ascii="Arial"/>
                <w:b/>
                <w:sz w:val="17"/>
              </w:rPr>
            </w:pPr>
          </w:p>
          <w:p>
            <w:pPr>
              <w:pStyle w:val="TableParagraph"/>
              <w:spacing w:before="94"/>
              <w:rPr>
                <w:rFonts w:ascii="Arial"/>
                <w:b/>
                <w:sz w:val="17"/>
              </w:rPr>
            </w:pPr>
          </w:p>
          <w:p>
            <w:pPr>
              <w:pStyle w:val="TableParagraph"/>
              <w:spacing w:before="1"/>
              <w:ind w:right="104"/>
              <w:jc w:val="right"/>
              <w:rPr>
                <w:sz w:val="17"/>
              </w:rPr>
            </w:pPr>
            <w:r>
              <w:rPr>
                <w:spacing w:val="-2"/>
                <w:sz w:val="17"/>
              </w:rPr>
              <w:t>33.250,00</w:t>
            </w:r>
          </w:p>
        </w:tc>
        <w:tc>
          <w:tcPr>
            <w:tcW w:w="794" w:type="dxa"/>
            <w:tcBorders>
              <w:top w:val="single" w:sz="8" w:space="0" w:color="002D5D"/>
              <w:bottom w:val="single" w:sz="8" w:space="0" w:color="002D5D"/>
            </w:tcBorders>
          </w:tcPr>
          <w:p>
            <w:pPr>
              <w:pStyle w:val="TableParagraph"/>
              <w:rPr>
                <w:rFonts w:ascii="Arial"/>
                <w:b/>
                <w:sz w:val="17"/>
              </w:rPr>
            </w:pPr>
          </w:p>
          <w:p>
            <w:pPr>
              <w:pStyle w:val="TableParagraph"/>
              <w:spacing w:before="94"/>
              <w:rPr>
                <w:rFonts w:ascii="Arial"/>
                <w:b/>
                <w:sz w:val="17"/>
              </w:rPr>
            </w:pPr>
          </w:p>
          <w:p>
            <w:pPr>
              <w:pStyle w:val="TableParagraph"/>
              <w:spacing w:before="1"/>
              <w:ind w:right="257"/>
              <w:jc w:val="right"/>
              <w:rPr>
                <w:sz w:val="17"/>
              </w:rPr>
            </w:pPr>
            <w:r>
              <w:rPr>
                <w:spacing w:val="-4"/>
                <w:sz w:val="17"/>
              </w:rPr>
              <w:t>0,10</w:t>
            </w:r>
          </w:p>
        </w:tc>
        <w:tc>
          <w:tcPr>
            <w:tcW w:w="1192" w:type="dxa"/>
            <w:tcBorders>
              <w:top w:val="single" w:sz="8" w:space="0" w:color="002D5D"/>
              <w:bottom w:val="single" w:sz="8" w:space="0" w:color="002D5D"/>
            </w:tcBorders>
          </w:tcPr>
          <w:p>
            <w:pPr>
              <w:pStyle w:val="TableParagraph"/>
              <w:rPr>
                <w:rFonts w:ascii="Arial"/>
                <w:b/>
                <w:sz w:val="17"/>
              </w:rPr>
            </w:pPr>
          </w:p>
          <w:p>
            <w:pPr>
              <w:pStyle w:val="TableParagraph"/>
              <w:spacing w:before="94"/>
              <w:rPr>
                <w:rFonts w:ascii="Arial"/>
                <w:b/>
                <w:sz w:val="17"/>
              </w:rPr>
            </w:pPr>
          </w:p>
          <w:p>
            <w:pPr>
              <w:pStyle w:val="TableParagraph"/>
              <w:spacing w:before="1"/>
              <w:ind w:right="114"/>
              <w:jc w:val="right"/>
              <w:rPr>
                <w:sz w:val="17"/>
              </w:rPr>
            </w:pPr>
            <w:r>
              <w:rPr>
                <w:spacing w:val="-2"/>
                <w:sz w:val="17"/>
              </w:rPr>
              <w:t>33.250,00</w:t>
            </w:r>
          </w:p>
        </w:tc>
        <w:tc>
          <w:tcPr>
            <w:tcW w:w="753" w:type="dxa"/>
            <w:tcBorders>
              <w:top w:val="single" w:sz="8" w:space="0" w:color="002D5D"/>
              <w:bottom w:val="single" w:sz="8" w:space="0" w:color="002D5D"/>
            </w:tcBorders>
          </w:tcPr>
          <w:p>
            <w:pPr>
              <w:pStyle w:val="TableParagraph"/>
              <w:rPr>
                <w:rFonts w:ascii="Arial"/>
                <w:b/>
                <w:sz w:val="17"/>
              </w:rPr>
            </w:pPr>
          </w:p>
          <w:p>
            <w:pPr>
              <w:pStyle w:val="TableParagraph"/>
              <w:spacing w:before="94"/>
              <w:rPr>
                <w:rFonts w:ascii="Arial"/>
                <w:b/>
                <w:sz w:val="17"/>
              </w:rPr>
            </w:pPr>
          </w:p>
          <w:p>
            <w:pPr>
              <w:pStyle w:val="TableParagraph"/>
              <w:spacing w:before="1"/>
              <w:ind w:left="165"/>
              <w:rPr>
                <w:sz w:val="17"/>
              </w:rPr>
            </w:pPr>
            <w:r>
              <w:rPr>
                <w:spacing w:val="-2"/>
                <w:sz w:val="17"/>
              </w:rPr>
              <w:t>100,00</w:t>
            </w:r>
          </w:p>
        </w:tc>
        <w:tc>
          <w:tcPr>
            <w:tcW w:w="1388" w:type="dxa"/>
            <w:tcBorders>
              <w:top w:val="single" w:sz="8" w:space="0" w:color="002D5D"/>
              <w:bottom w:val="single" w:sz="8" w:space="0" w:color="002D5D"/>
            </w:tcBorders>
          </w:tcPr>
          <w:p>
            <w:pPr>
              <w:pStyle w:val="TableParagraph"/>
              <w:rPr>
                <w:rFonts w:ascii="Arial"/>
                <w:b/>
                <w:sz w:val="17"/>
              </w:rPr>
            </w:pPr>
          </w:p>
          <w:p>
            <w:pPr>
              <w:pStyle w:val="TableParagraph"/>
              <w:spacing w:before="94"/>
              <w:rPr>
                <w:rFonts w:ascii="Arial"/>
                <w:b/>
                <w:sz w:val="17"/>
              </w:rPr>
            </w:pPr>
          </w:p>
          <w:p>
            <w:pPr>
              <w:pStyle w:val="TableParagraph"/>
              <w:spacing w:before="1"/>
              <w:ind w:left="802"/>
              <w:rPr>
                <w:sz w:val="17"/>
              </w:rPr>
            </w:pPr>
            <w:r>
              <w:rPr>
                <w:spacing w:val="-4"/>
                <w:sz w:val="17"/>
              </w:rPr>
              <w:t>0,00</w:t>
            </w:r>
          </w:p>
        </w:tc>
        <w:tc>
          <w:tcPr>
            <w:tcW w:w="562" w:type="dxa"/>
            <w:tcBorders>
              <w:top w:val="single" w:sz="8" w:space="0" w:color="002D5D"/>
              <w:bottom w:val="single" w:sz="8" w:space="0" w:color="002D5D"/>
            </w:tcBorders>
          </w:tcPr>
          <w:p>
            <w:pPr>
              <w:pStyle w:val="TableParagraph"/>
              <w:rPr>
                <w:rFonts w:ascii="Arial"/>
                <w:b/>
                <w:sz w:val="17"/>
              </w:rPr>
            </w:pPr>
          </w:p>
          <w:p>
            <w:pPr>
              <w:pStyle w:val="TableParagraph"/>
              <w:spacing w:before="94"/>
              <w:rPr>
                <w:rFonts w:ascii="Arial"/>
                <w:b/>
                <w:sz w:val="17"/>
              </w:rPr>
            </w:pPr>
          </w:p>
          <w:p>
            <w:pPr>
              <w:pStyle w:val="TableParagraph"/>
              <w:spacing w:before="1"/>
              <w:ind w:right="174"/>
              <w:jc w:val="right"/>
              <w:rPr>
                <w:sz w:val="17"/>
              </w:rPr>
            </w:pPr>
            <w:r>
              <w:rPr>
                <w:spacing w:val="-4"/>
                <w:sz w:val="17"/>
              </w:rPr>
              <w:t>0,00</w:t>
            </w:r>
          </w:p>
        </w:tc>
        <w:tc>
          <w:tcPr>
            <w:tcW w:w="1221" w:type="dxa"/>
            <w:tcBorders>
              <w:top w:val="single" w:sz="8" w:space="0" w:color="002D5D"/>
              <w:bottom w:val="single" w:sz="8" w:space="0" w:color="002D5D"/>
            </w:tcBorders>
          </w:tcPr>
          <w:p>
            <w:pPr>
              <w:pStyle w:val="TableParagraph"/>
              <w:rPr>
                <w:rFonts w:ascii="Arial"/>
                <w:b/>
                <w:sz w:val="17"/>
              </w:rPr>
            </w:pPr>
          </w:p>
          <w:p>
            <w:pPr>
              <w:pStyle w:val="TableParagraph"/>
              <w:spacing w:before="94"/>
              <w:rPr>
                <w:rFonts w:ascii="Arial"/>
                <w:b/>
                <w:sz w:val="17"/>
              </w:rPr>
            </w:pPr>
          </w:p>
          <w:p>
            <w:pPr>
              <w:pStyle w:val="TableParagraph"/>
              <w:spacing w:before="1"/>
              <w:ind w:right="41"/>
              <w:jc w:val="center"/>
              <w:rPr>
                <w:sz w:val="17"/>
              </w:rPr>
            </w:pPr>
            <w:r>
              <w:rPr>
                <w:spacing w:val="-2"/>
                <w:sz w:val="17"/>
              </w:rPr>
              <w:t>Finalizada</w:t>
            </w:r>
          </w:p>
        </w:tc>
      </w:tr>
      <w:tr>
        <w:trPr>
          <w:trHeight w:val="380" w:hRule="atLeast"/>
        </w:trPr>
        <w:tc>
          <w:tcPr>
            <w:tcW w:w="3257" w:type="dxa"/>
            <w:tcBorders>
              <w:top w:val="single" w:sz="8" w:space="0" w:color="002D5D"/>
              <w:bottom w:val="single" w:sz="8" w:space="0" w:color="002D5D"/>
            </w:tcBorders>
          </w:tcPr>
          <w:p>
            <w:pPr>
              <w:pStyle w:val="TableParagraph"/>
              <w:spacing w:line="196" w:lineRule="exact"/>
              <w:ind w:left="69" w:right="139"/>
              <w:rPr>
                <w:sz w:val="17"/>
              </w:rPr>
            </w:pPr>
            <w:r>
              <w:rPr>
                <w:sz w:val="17"/>
              </w:rPr>
              <w:t>Convenio</w:t>
            </w:r>
            <w:r>
              <w:rPr>
                <w:spacing w:val="-10"/>
                <w:sz w:val="17"/>
              </w:rPr>
              <w:t> </w:t>
            </w:r>
            <w:r>
              <w:rPr>
                <w:sz w:val="17"/>
              </w:rPr>
              <w:t>Laboratorio</w:t>
            </w:r>
            <w:r>
              <w:rPr>
                <w:spacing w:val="-10"/>
                <w:sz w:val="17"/>
              </w:rPr>
              <w:t> </w:t>
            </w:r>
            <w:r>
              <w:rPr>
                <w:sz w:val="17"/>
              </w:rPr>
              <w:t>Movilidad</w:t>
            </w:r>
            <w:r>
              <w:rPr>
                <w:spacing w:val="-9"/>
                <w:sz w:val="17"/>
              </w:rPr>
              <w:t> </w:t>
            </w:r>
            <w:r>
              <w:rPr>
                <w:sz w:val="17"/>
              </w:rPr>
              <w:t>con</w:t>
            </w:r>
            <w:r>
              <w:rPr>
                <w:spacing w:val="-10"/>
                <w:sz w:val="17"/>
              </w:rPr>
              <w:t> </w:t>
            </w:r>
            <w:r>
              <w:rPr>
                <w:sz w:val="17"/>
              </w:rPr>
              <w:t>la</w:t>
            </w:r>
            <w:r>
              <w:rPr>
                <w:spacing w:val="40"/>
                <w:sz w:val="17"/>
              </w:rPr>
              <w:t> </w:t>
            </w:r>
            <w:r>
              <w:rPr>
                <w:sz w:val="17"/>
              </w:rPr>
              <w:t>Universidad</w:t>
            </w:r>
            <w:r>
              <w:rPr>
                <w:spacing w:val="-4"/>
                <w:sz w:val="17"/>
              </w:rPr>
              <w:t> </w:t>
            </w:r>
            <w:r>
              <w:rPr>
                <w:sz w:val="17"/>
              </w:rPr>
              <w:t>Politécnica</w:t>
            </w:r>
            <w:r>
              <w:rPr>
                <w:spacing w:val="-4"/>
                <w:sz w:val="17"/>
              </w:rPr>
              <w:t> </w:t>
            </w:r>
            <w:r>
              <w:rPr>
                <w:sz w:val="17"/>
              </w:rPr>
              <w:t>de</w:t>
            </w:r>
            <w:r>
              <w:rPr>
                <w:spacing w:val="-4"/>
                <w:sz w:val="17"/>
              </w:rPr>
              <w:t> </w:t>
            </w:r>
            <w:r>
              <w:rPr>
                <w:spacing w:val="-2"/>
                <w:sz w:val="17"/>
              </w:rPr>
              <w:t>Cartagena</w:t>
            </w:r>
          </w:p>
        </w:tc>
        <w:tc>
          <w:tcPr>
            <w:tcW w:w="1144" w:type="dxa"/>
            <w:tcBorders>
              <w:top w:val="single" w:sz="8" w:space="0" w:color="002D5D"/>
              <w:bottom w:val="single" w:sz="8" w:space="0" w:color="002D5D"/>
            </w:tcBorders>
          </w:tcPr>
          <w:p>
            <w:pPr>
              <w:pStyle w:val="TableParagraph"/>
              <w:spacing w:before="97"/>
              <w:ind w:left="72"/>
              <w:rPr>
                <w:sz w:val="17"/>
              </w:rPr>
            </w:pPr>
            <w:r>
              <w:rPr>
                <w:spacing w:val="-2"/>
                <w:sz w:val="17"/>
              </w:rPr>
              <w:t>Otras</w:t>
            </w:r>
          </w:p>
        </w:tc>
        <w:tc>
          <w:tcPr>
            <w:tcW w:w="1165" w:type="dxa"/>
            <w:tcBorders>
              <w:top w:val="single" w:sz="8" w:space="0" w:color="002D5D"/>
              <w:bottom w:val="single" w:sz="8" w:space="0" w:color="002D5D"/>
            </w:tcBorders>
          </w:tcPr>
          <w:p>
            <w:pPr>
              <w:pStyle w:val="TableParagraph"/>
              <w:spacing w:before="97"/>
              <w:ind w:right="104"/>
              <w:jc w:val="right"/>
              <w:rPr>
                <w:sz w:val="17"/>
              </w:rPr>
            </w:pPr>
            <w:r>
              <w:rPr>
                <w:spacing w:val="-2"/>
                <w:sz w:val="17"/>
              </w:rPr>
              <w:t>102.045,64</w:t>
            </w:r>
          </w:p>
        </w:tc>
        <w:tc>
          <w:tcPr>
            <w:tcW w:w="794" w:type="dxa"/>
            <w:tcBorders>
              <w:top w:val="single" w:sz="8" w:space="0" w:color="002D5D"/>
              <w:bottom w:val="single" w:sz="8" w:space="0" w:color="002D5D"/>
            </w:tcBorders>
          </w:tcPr>
          <w:p>
            <w:pPr>
              <w:pStyle w:val="TableParagraph"/>
              <w:spacing w:before="97"/>
              <w:ind w:right="257"/>
              <w:jc w:val="right"/>
              <w:rPr>
                <w:sz w:val="17"/>
              </w:rPr>
            </w:pPr>
            <w:r>
              <w:rPr>
                <w:spacing w:val="-4"/>
                <w:sz w:val="17"/>
              </w:rPr>
              <w:t>0,29</w:t>
            </w:r>
          </w:p>
        </w:tc>
        <w:tc>
          <w:tcPr>
            <w:tcW w:w="1192" w:type="dxa"/>
            <w:tcBorders>
              <w:top w:val="single" w:sz="8" w:space="0" w:color="002D5D"/>
              <w:bottom w:val="single" w:sz="8" w:space="0" w:color="002D5D"/>
            </w:tcBorders>
          </w:tcPr>
          <w:p>
            <w:pPr>
              <w:pStyle w:val="TableParagraph"/>
              <w:spacing w:before="97"/>
              <w:ind w:right="115"/>
              <w:jc w:val="right"/>
              <w:rPr>
                <w:sz w:val="17"/>
              </w:rPr>
            </w:pPr>
            <w:r>
              <w:rPr>
                <w:spacing w:val="-2"/>
                <w:sz w:val="17"/>
              </w:rPr>
              <w:t>102.045,64</w:t>
            </w:r>
          </w:p>
        </w:tc>
        <w:tc>
          <w:tcPr>
            <w:tcW w:w="753" w:type="dxa"/>
            <w:tcBorders>
              <w:top w:val="single" w:sz="8" w:space="0" w:color="002D5D"/>
              <w:bottom w:val="single" w:sz="8" w:space="0" w:color="002D5D"/>
            </w:tcBorders>
          </w:tcPr>
          <w:p>
            <w:pPr>
              <w:pStyle w:val="TableParagraph"/>
              <w:spacing w:before="97"/>
              <w:ind w:left="165"/>
              <w:rPr>
                <w:sz w:val="17"/>
              </w:rPr>
            </w:pPr>
            <w:r>
              <w:rPr>
                <w:spacing w:val="-2"/>
                <w:sz w:val="17"/>
              </w:rPr>
              <w:t>100,00</w:t>
            </w:r>
          </w:p>
        </w:tc>
        <w:tc>
          <w:tcPr>
            <w:tcW w:w="1388" w:type="dxa"/>
            <w:tcBorders>
              <w:top w:val="single" w:sz="8" w:space="0" w:color="002D5D"/>
              <w:bottom w:val="single" w:sz="8" w:space="0" w:color="002D5D"/>
            </w:tcBorders>
          </w:tcPr>
          <w:p>
            <w:pPr>
              <w:pStyle w:val="TableParagraph"/>
              <w:spacing w:before="97"/>
              <w:ind w:left="802"/>
              <w:rPr>
                <w:sz w:val="17"/>
              </w:rPr>
            </w:pPr>
            <w:r>
              <w:rPr>
                <w:spacing w:val="-4"/>
                <w:sz w:val="17"/>
              </w:rPr>
              <w:t>0,00</w:t>
            </w:r>
          </w:p>
        </w:tc>
        <w:tc>
          <w:tcPr>
            <w:tcW w:w="562" w:type="dxa"/>
            <w:tcBorders>
              <w:top w:val="single" w:sz="8" w:space="0" w:color="002D5D"/>
              <w:bottom w:val="single" w:sz="8" w:space="0" w:color="002D5D"/>
            </w:tcBorders>
          </w:tcPr>
          <w:p>
            <w:pPr>
              <w:pStyle w:val="TableParagraph"/>
              <w:spacing w:before="97"/>
              <w:ind w:right="174"/>
              <w:jc w:val="right"/>
              <w:rPr>
                <w:sz w:val="17"/>
              </w:rPr>
            </w:pPr>
            <w:r>
              <w:rPr>
                <w:spacing w:val="-4"/>
                <w:sz w:val="17"/>
              </w:rPr>
              <w:t>0,00</w:t>
            </w:r>
          </w:p>
        </w:tc>
        <w:tc>
          <w:tcPr>
            <w:tcW w:w="1221" w:type="dxa"/>
            <w:tcBorders>
              <w:top w:val="single" w:sz="8" w:space="0" w:color="002D5D"/>
              <w:bottom w:val="single" w:sz="8" w:space="0" w:color="002D5D"/>
            </w:tcBorders>
          </w:tcPr>
          <w:p>
            <w:pPr>
              <w:pStyle w:val="TableParagraph"/>
              <w:spacing w:before="97"/>
              <w:ind w:right="41"/>
              <w:jc w:val="center"/>
              <w:rPr>
                <w:sz w:val="17"/>
              </w:rPr>
            </w:pPr>
            <w:r>
              <w:rPr>
                <w:sz w:val="17"/>
              </w:rPr>
              <w:t>En</w:t>
            </w:r>
            <w:r>
              <w:rPr>
                <w:spacing w:val="-1"/>
                <w:sz w:val="17"/>
              </w:rPr>
              <w:t> </w:t>
            </w:r>
            <w:r>
              <w:rPr>
                <w:spacing w:val="-2"/>
                <w:sz w:val="17"/>
              </w:rPr>
              <w:t>ejecución</w:t>
            </w:r>
          </w:p>
        </w:tc>
      </w:tr>
      <w:tr>
        <w:trPr>
          <w:trHeight w:val="338" w:hRule="atLeast"/>
        </w:trPr>
        <w:tc>
          <w:tcPr>
            <w:tcW w:w="3257" w:type="dxa"/>
            <w:tcBorders>
              <w:top w:val="single" w:sz="8" w:space="0" w:color="002D5D"/>
            </w:tcBorders>
            <w:shd w:val="clear" w:color="auto" w:fill="002D5D"/>
          </w:tcPr>
          <w:p>
            <w:pPr>
              <w:pStyle w:val="TableParagraph"/>
              <w:spacing w:before="64"/>
              <w:ind w:left="69"/>
              <w:rPr>
                <w:b/>
                <w:sz w:val="18"/>
              </w:rPr>
            </w:pPr>
            <w:r>
              <w:rPr>
                <w:b/>
                <w:color w:val="FFFFFF"/>
                <w:spacing w:val="-2"/>
                <w:sz w:val="18"/>
              </w:rPr>
              <w:t>TOTAL</w:t>
            </w:r>
          </w:p>
        </w:tc>
        <w:tc>
          <w:tcPr>
            <w:tcW w:w="1144" w:type="dxa"/>
            <w:tcBorders>
              <w:top w:val="single" w:sz="8" w:space="0" w:color="002D5D"/>
            </w:tcBorders>
            <w:shd w:val="clear" w:color="auto" w:fill="002D5D"/>
          </w:tcPr>
          <w:p>
            <w:pPr>
              <w:pStyle w:val="TableParagraph"/>
              <w:rPr>
                <w:rFonts w:ascii="Times New Roman"/>
                <w:sz w:val="16"/>
              </w:rPr>
            </w:pPr>
          </w:p>
        </w:tc>
        <w:tc>
          <w:tcPr>
            <w:tcW w:w="1165" w:type="dxa"/>
            <w:tcBorders>
              <w:top w:val="single" w:sz="8" w:space="0" w:color="002D5D"/>
            </w:tcBorders>
            <w:shd w:val="clear" w:color="auto" w:fill="002D5D"/>
          </w:tcPr>
          <w:p>
            <w:pPr>
              <w:pStyle w:val="TableParagraph"/>
              <w:spacing w:before="71"/>
              <w:ind w:right="104"/>
              <w:jc w:val="right"/>
              <w:rPr>
                <w:b/>
                <w:sz w:val="17"/>
              </w:rPr>
            </w:pPr>
            <w:r>
              <w:rPr>
                <w:b/>
                <w:color w:val="FFFFFF"/>
                <w:spacing w:val="-2"/>
                <w:sz w:val="17"/>
              </w:rPr>
              <w:t>34.945.208,01</w:t>
            </w:r>
          </w:p>
        </w:tc>
        <w:tc>
          <w:tcPr>
            <w:tcW w:w="794" w:type="dxa"/>
            <w:tcBorders>
              <w:top w:val="single" w:sz="8" w:space="0" w:color="002D5D"/>
            </w:tcBorders>
            <w:shd w:val="clear" w:color="auto" w:fill="002D5D"/>
          </w:tcPr>
          <w:p>
            <w:pPr>
              <w:pStyle w:val="TableParagraph"/>
              <w:spacing w:before="71"/>
              <w:ind w:right="257"/>
              <w:jc w:val="right"/>
              <w:rPr>
                <w:b/>
                <w:sz w:val="17"/>
              </w:rPr>
            </w:pPr>
            <w:r>
              <w:rPr>
                <w:b/>
                <w:color w:val="FFFFFF"/>
                <w:spacing w:val="-2"/>
                <w:sz w:val="17"/>
              </w:rPr>
              <w:t>100,00</w:t>
            </w:r>
          </w:p>
        </w:tc>
        <w:tc>
          <w:tcPr>
            <w:tcW w:w="1192" w:type="dxa"/>
            <w:tcBorders>
              <w:top w:val="single" w:sz="8" w:space="0" w:color="002D5D"/>
            </w:tcBorders>
            <w:shd w:val="clear" w:color="auto" w:fill="002D5D"/>
          </w:tcPr>
          <w:p>
            <w:pPr>
              <w:pStyle w:val="TableParagraph"/>
              <w:spacing w:before="71"/>
              <w:ind w:right="115"/>
              <w:jc w:val="right"/>
              <w:rPr>
                <w:b/>
                <w:sz w:val="17"/>
              </w:rPr>
            </w:pPr>
            <w:r>
              <w:rPr>
                <w:b/>
                <w:color w:val="FFFFFF"/>
                <w:spacing w:val="-2"/>
                <w:sz w:val="17"/>
              </w:rPr>
              <w:t>7.336.584,83</w:t>
            </w:r>
          </w:p>
        </w:tc>
        <w:tc>
          <w:tcPr>
            <w:tcW w:w="753" w:type="dxa"/>
            <w:tcBorders>
              <w:top w:val="single" w:sz="8" w:space="0" w:color="002D5D"/>
            </w:tcBorders>
            <w:shd w:val="clear" w:color="auto" w:fill="002D5D"/>
          </w:tcPr>
          <w:p>
            <w:pPr>
              <w:pStyle w:val="TableParagraph"/>
              <w:rPr>
                <w:rFonts w:ascii="Times New Roman"/>
                <w:sz w:val="16"/>
              </w:rPr>
            </w:pPr>
          </w:p>
        </w:tc>
        <w:tc>
          <w:tcPr>
            <w:tcW w:w="1388" w:type="dxa"/>
            <w:tcBorders>
              <w:top w:val="single" w:sz="8" w:space="0" w:color="002D5D"/>
            </w:tcBorders>
            <w:shd w:val="clear" w:color="auto" w:fill="002D5D"/>
          </w:tcPr>
          <w:p>
            <w:pPr>
              <w:pStyle w:val="TableParagraph"/>
              <w:spacing w:before="71"/>
              <w:ind w:left="219"/>
              <w:rPr>
                <w:b/>
                <w:sz w:val="17"/>
              </w:rPr>
            </w:pPr>
            <w:r>
              <w:rPr>
                <w:b/>
                <w:color w:val="FFFFFF"/>
                <w:spacing w:val="-2"/>
                <w:sz w:val="17"/>
              </w:rPr>
              <w:t>27.608.623,18</w:t>
            </w:r>
          </w:p>
        </w:tc>
        <w:tc>
          <w:tcPr>
            <w:tcW w:w="562" w:type="dxa"/>
            <w:tcBorders>
              <w:top w:val="single" w:sz="8" w:space="0" w:color="002D5D"/>
            </w:tcBorders>
            <w:shd w:val="clear" w:color="auto" w:fill="002D5D"/>
          </w:tcPr>
          <w:p>
            <w:pPr>
              <w:pStyle w:val="TableParagraph"/>
              <w:rPr>
                <w:rFonts w:ascii="Times New Roman"/>
                <w:sz w:val="16"/>
              </w:rPr>
            </w:pPr>
          </w:p>
        </w:tc>
        <w:tc>
          <w:tcPr>
            <w:tcW w:w="1221" w:type="dxa"/>
            <w:tcBorders>
              <w:top w:val="single" w:sz="8" w:space="0" w:color="002D5D"/>
            </w:tcBorders>
            <w:shd w:val="clear" w:color="auto" w:fill="002D5D"/>
          </w:tcPr>
          <w:p>
            <w:pPr>
              <w:pStyle w:val="TableParagraph"/>
              <w:rPr>
                <w:rFonts w:ascii="Times New Roman"/>
                <w:sz w:val="16"/>
              </w:rPr>
            </w:pPr>
          </w:p>
        </w:tc>
      </w:tr>
      <w:tr>
        <w:trPr>
          <w:trHeight w:val="212" w:hRule="atLeast"/>
        </w:trPr>
        <w:tc>
          <w:tcPr>
            <w:tcW w:w="6360" w:type="dxa"/>
            <w:gridSpan w:val="4"/>
          </w:tcPr>
          <w:p>
            <w:pPr>
              <w:pStyle w:val="TableParagraph"/>
              <w:spacing w:line="192" w:lineRule="exact"/>
              <w:ind w:left="69"/>
              <w:rPr>
                <w:sz w:val="18"/>
              </w:rPr>
            </w:pPr>
            <w:r>
              <w:rPr>
                <w:sz w:val="18"/>
              </w:rPr>
              <w:t>Fuente:</w:t>
            </w:r>
            <w:r>
              <w:rPr>
                <w:spacing w:val="-5"/>
                <w:sz w:val="18"/>
              </w:rPr>
              <w:t> </w:t>
            </w:r>
            <w:r>
              <w:rPr>
                <w:sz w:val="18"/>
              </w:rPr>
              <w:t>Elaboración</w:t>
            </w:r>
            <w:r>
              <w:rPr>
                <w:spacing w:val="-3"/>
                <w:sz w:val="18"/>
              </w:rPr>
              <w:t> </w:t>
            </w:r>
            <w:r>
              <w:rPr>
                <w:sz w:val="18"/>
              </w:rPr>
              <w:t>propia</w:t>
            </w:r>
            <w:r>
              <w:rPr>
                <w:spacing w:val="-2"/>
                <w:sz w:val="18"/>
              </w:rPr>
              <w:t> </w:t>
            </w:r>
            <w:r>
              <w:rPr>
                <w:sz w:val="18"/>
              </w:rPr>
              <w:t>a</w:t>
            </w:r>
            <w:r>
              <w:rPr>
                <w:spacing w:val="-3"/>
                <w:sz w:val="18"/>
              </w:rPr>
              <w:t> </w:t>
            </w:r>
            <w:r>
              <w:rPr>
                <w:sz w:val="18"/>
              </w:rPr>
              <w:t>partir</w:t>
            </w:r>
            <w:r>
              <w:rPr>
                <w:spacing w:val="-1"/>
                <w:sz w:val="18"/>
              </w:rPr>
              <w:t> </w:t>
            </w:r>
            <w:r>
              <w:rPr>
                <w:sz w:val="18"/>
              </w:rPr>
              <w:t>de</w:t>
            </w:r>
            <w:r>
              <w:rPr>
                <w:spacing w:val="-2"/>
                <w:sz w:val="18"/>
              </w:rPr>
              <w:t> </w:t>
            </w:r>
            <w:r>
              <w:rPr>
                <w:sz w:val="18"/>
              </w:rPr>
              <w:t>los</w:t>
            </w:r>
            <w:r>
              <w:rPr>
                <w:spacing w:val="-3"/>
                <w:sz w:val="18"/>
              </w:rPr>
              <w:t> </w:t>
            </w:r>
            <w:r>
              <w:rPr>
                <w:sz w:val="18"/>
              </w:rPr>
              <w:t>datos</w:t>
            </w:r>
            <w:r>
              <w:rPr>
                <w:spacing w:val="-2"/>
                <w:sz w:val="18"/>
              </w:rPr>
              <w:t> </w:t>
            </w:r>
            <w:r>
              <w:rPr>
                <w:sz w:val="18"/>
              </w:rPr>
              <w:t>facilitados</w:t>
            </w:r>
            <w:r>
              <w:rPr>
                <w:spacing w:val="-2"/>
                <w:sz w:val="18"/>
              </w:rPr>
              <w:t> </w:t>
            </w:r>
            <w:r>
              <w:rPr>
                <w:sz w:val="18"/>
              </w:rPr>
              <w:t>por</w:t>
            </w:r>
            <w:r>
              <w:rPr>
                <w:spacing w:val="-2"/>
                <w:sz w:val="18"/>
              </w:rPr>
              <w:t> </w:t>
            </w:r>
            <w:r>
              <w:rPr>
                <w:sz w:val="18"/>
              </w:rPr>
              <w:t>el</w:t>
            </w:r>
            <w:r>
              <w:rPr>
                <w:spacing w:val="-1"/>
                <w:sz w:val="18"/>
              </w:rPr>
              <w:t> </w:t>
            </w:r>
            <w:r>
              <w:rPr>
                <w:sz w:val="18"/>
              </w:rPr>
              <w:t>Ayuntamiento</w:t>
            </w:r>
            <w:r>
              <w:rPr>
                <w:spacing w:val="-3"/>
                <w:sz w:val="18"/>
              </w:rPr>
              <w:t> </w:t>
            </w:r>
            <w:r>
              <w:rPr>
                <w:sz w:val="18"/>
              </w:rPr>
              <w:t>de</w:t>
            </w:r>
            <w:r>
              <w:rPr>
                <w:spacing w:val="2"/>
                <w:sz w:val="18"/>
              </w:rPr>
              <w:t> </w:t>
            </w:r>
            <w:r>
              <w:rPr>
                <w:spacing w:val="-2"/>
                <w:sz w:val="18"/>
              </w:rPr>
              <w:t>Murcia</w:t>
            </w:r>
          </w:p>
        </w:tc>
        <w:tc>
          <w:tcPr>
            <w:tcW w:w="1192" w:type="dxa"/>
          </w:tcPr>
          <w:p>
            <w:pPr>
              <w:pStyle w:val="TableParagraph"/>
              <w:rPr>
                <w:rFonts w:ascii="Times New Roman"/>
                <w:sz w:val="14"/>
              </w:rPr>
            </w:pPr>
          </w:p>
        </w:tc>
        <w:tc>
          <w:tcPr>
            <w:tcW w:w="753" w:type="dxa"/>
          </w:tcPr>
          <w:p>
            <w:pPr>
              <w:pStyle w:val="TableParagraph"/>
              <w:rPr>
                <w:rFonts w:ascii="Times New Roman"/>
                <w:sz w:val="14"/>
              </w:rPr>
            </w:pPr>
          </w:p>
        </w:tc>
        <w:tc>
          <w:tcPr>
            <w:tcW w:w="1388" w:type="dxa"/>
          </w:tcPr>
          <w:p>
            <w:pPr>
              <w:pStyle w:val="TableParagraph"/>
              <w:rPr>
                <w:rFonts w:ascii="Times New Roman"/>
                <w:sz w:val="14"/>
              </w:rPr>
            </w:pPr>
          </w:p>
        </w:tc>
        <w:tc>
          <w:tcPr>
            <w:tcW w:w="562" w:type="dxa"/>
          </w:tcPr>
          <w:p>
            <w:pPr>
              <w:pStyle w:val="TableParagraph"/>
              <w:rPr>
                <w:rFonts w:ascii="Times New Roman"/>
                <w:sz w:val="14"/>
              </w:rPr>
            </w:pPr>
          </w:p>
        </w:tc>
        <w:tc>
          <w:tcPr>
            <w:tcW w:w="1221" w:type="dxa"/>
          </w:tcPr>
          <w:p>
            <w:pPr>
              <w:pStyle w:val="TableParagraph"/>
              <w:rPr>
                <w:rFonts w:ascii="Times New Roman"/>
                <w:sz w:val="14"/>
              </w:rPr>
            </w:pPr>
          </w:p>
        </w:tc>
      </w:tr>
      <w:tr>
        <w:trPr>
          <w:trHeight w:val="222" w:hRule="atLeast"/>
        </w:trPr>
        <w:tc>
          <w:tcPr>
            <w:tcW w:w="6360" w:type="dxa"/>
            <w:gridSpan w:val="4"/>
          </w:tcPr>
          <w:p>
            <w:pPr>
              <w:pStyle w:val="TableParagraph"/>
              <w:spacing w:line="196" w:lineRule="exact" w:before="5"/>
              <w:ind w:left="69"/>
              <w:rPr>
                <w:sz w:val="18"/>
              </w:rPr>
            </w:pPr>
            <w:r>
              <w:rPr>
                <w:position w:val="5"/>
                <w:sz w:val="12"/>
              </w:rPr>
              <w:t>(*)</w:t>
            </w:r>
            <w:r>
              <w:rPr>
                <w:spacing w:val="-3"/>
                <w:position w:val="5"/>
                <w:sz w:val="12"/>
              </w:rPr>
              <w:t> </w:t>
            </w:r>
            <w:r>
              <w:rPr>
                <w:sz w:val="18"/>
              </w:rPr>
              <w:t>Porcentaje</w:t>
            </w:r>
            <w:r>
              <w:rPr>
                <w:spacing w:val="-2"/>
                <w:sz w:val="18"/>
              </w:rPr>
              <w:t> </w:t>
            </w:r>
            <w:r>
              <w:rPr>
                <w:sz w:val="18"/>
              </w:rPr>
              <w:t>sobre</w:t>
            </w:r>
            <w:r>
              <w:rPr>
                <w:spacing w:val="-2"/>
                <w:sz w:val="18"/>
              </w:rPr>
              <w:t> </w:t>
            </w:r>
            <w:r>
              <w:rPr>
                <w:sz w:val="18"/>
              </w:rPr>
              <w:t>el</w:t>
            </w:r>
            <w:r>
              <w:rPr>
                <w:spacing w:val="-2"/>
                <w:sz w:val="18"/>
              </w:rPr>
              <w:t> </w:t>
            </w:r>
            <w:r>
              <w:rPr>
                <w:sz w:val="18"/>
              </w:rPr>
              <w:t>importe</w:t>
            </w:r>
            <w:r>
              <w:rPr>
                <w:spacing w:val="-2"/>
                <w:sz w:val="18"/>
              </w:rPr>
              <w:t> </w:t>
            </w:r>
            <w:r>
              <w:rPr>
                <w:sz w:val="18"/>
              </w:rPr>
              <w:t>de</w:t>
            </w:r>
            <w:r>
              <w:rPr>
                <w:spacing w:val="-2"/>
                <w:sz w:val="18"/>
              </w:rPr>
              <w:t> </w:t>
            </w:r>
            <w:r>
              <w:rPr>
                <w:sz w:val="18"/>
              </w:rPr>
              <w:t>todas</w:t>
            </w:r>
            <w:r>
              <w:rPr>
                <w:spacing w:val="-2"/>
                <w:sz w:val="18"/>
              </w:rPr>
              <w:t> </w:t>
            </w:r>
            <w:r>
              <w:rPr>
                <w:sz w:val="18"/>
              </w:rPr>
              <w:t>las</w:t>
            </w:r>
            <w:r>
              <w:rPr>
                <w:spacing w:val="-1"/>
                <w:sz w:val="18"/>
              </w:rPr>
              <w:t> </w:t>
            </w:r>
            <w:r>
              <w:rPr>
                <w:spacing w:val="-2"/>
                <w:sz w:val="18"/>
              </w:rPr>
              <w:t>actuaciones</w:t>
            </w:r>
          </w:p>
        </w:tc>
        <w:tc>
          <w:tcPr>
            <w:tcW w:w="1192" w:type="dxa"/>
          </w:tcPr>
          <w:p>
            <w:pPr>
              <w:pStyle w:val="TableParagraph"/>
              <w:rPr>
                <w:rFonts w:ascii="Times New Roman"/>
                <w:sz w:val="14"/>
              </w:rPr>
            </w:pPr>
          </w:p>
        </w:tc>
        <w:tc>
          <w:tcPr>
            <w:tcW w:w="753" w:type="dxa"/>
          </w:tcPr>
          <w:p>
            <w:pPr>
              <w:pStyle w:val="TableParagraph"/>
              <w:rPr>
                <w:rFonts w:ascii="Times New Roman"/>
                <w:sz w:val="14"/>
              </w:rPr>
            </w:pPr>
          </w:p>
        </w:tc>
        <w:tc>
          <w:tcPr>
            <w:tcW w:w="1388" w:type="dxa"/>
          </w:tcPr>
          <w:p>
            <w:pPr>
              <w:pStyle w:val="TableParagraph"/>
              <w:rPr>
                <w:rFonts w:ascii="Times New Roman"/>
                <w:sz w:val="14"/>
              </w:rPr>
            </w:pPr>
          </w:p>
        </w:tc>
        <w:tc>
          <w:tcPr>
            <w:tcW w:w="562" w:type="dxa"/>
          </w:tcPr>
          <w:p>
            <w:pPr>
              <w:pStyle w:val="TableParagraph"/>
              <w:rPr>
                <w:rFonts w:ascii="Times New Roman"/>
                <w:sz w:val="14"/>
              </w:rPr>
            </w:pPr>
          </w:p>
        </w:tc>
        <w:tc>
          <w:tcPr>
            <w:tcW w:w="1221" w:type="dxa"/>
          </w:tcPr>
          <w:p>
            <w:pPr>
              <w:pStyle w:val="TableParagraph"/>
              <w:rPr>
                <w:rFonts w:ascii="Times New Roman"/>
                <w:sz w:val="14"/>
              </w:rPr>
            </w:pPr>
          </w:p>
        </w:tc>
      </w:tr>
      <w:tr>
        <w:trPr>
          <w:trHeight w:val="216" w:hRule="atLeast"/>
        </w:trPr>
        <w:tc>
          <w:tcPr>
            <w:tcW w:w="6360" w:type="dxa"/>
            <w:gridSpan w:val="4"/>
          </w:tcPr>
          <w:p>
            <w:pPr>
              <w:pStyle w:val="TableParagraph"/>
              <w:spacing w:line="187" w:lineRule="exact" w:before="9"/>
              <w:ind w:left="69"/>
              <w:rPr>
                <w:sz w:val="18"/>
              </w:rPr>
            </w:pPr>
            <w:r>
              <w:rPr>
                <w:position w:val="5"/>
                <w:sz w:val="12"/>
              </w:rPr>
              <w:t>(**)</w:t>
            </w:r>
            <w:r>
              <w:rPr>
                <w:spacing w:val="-1"/>
                <w:position w:val="5"/>
                <w:sz w:val="12"/>
              </w:rPr>
              <w:t> </w:t>
            </w:r>
            <w:r>
              <w:rPr>
                <w:sz w:val="18"/>
              </w:rPr>
              <w:t>Porcentaje</w:t>
            </w:r>
            <w:r>
              <w:rPr>
                <w:spacing w:val="-2"/>
                <w:sz w:val="18"/>
              </w:rPr>
              <w:t> </w:t>
            </w:r>
            <w:r>
              <w:rPr>
                <w:sz w:val="18"/>
              </w:rPr>
              <w:t>sobre</w:t>
            </w:r>
            <w:r>
              <w:rPr>
                <w:spacing w:val="-2"/>
                <w:sz w:val="18"/>
              </w:rPr>
              <w:t> </w:t>
            </w:r>
            <w:r>
              <w:rPr>
                <w:sz w:val="18"/>
              </w:rPr>
              <w:t>el</w:t>
            </w:r>
            <w:r>
              <w:rPr>
                <w:spacing w:val="-2"/>
                <w:sz w:val="18"/>
              </w:rPr>
              <w:t> </w:t>
            </w:r>
            <w:r>
              <w:rPr>
                <w:sz w:val="18"/>
              </w:rPr>
              <w:t>importe</w:t>
            </w:r>
            <w:r>
              <w:rPr>
                <w:spacing w:val="-2"/>
                <w:sz w:val="18"/>
              </w:rPr>
              <w:t> </w:t>
            </w:r>
            <w:r>
              <w:rPr>
                <w:sz w:val="18"/>
              </w:rPr>
              <w:t>de</w:t>
            </w:r>
            <w:r>
              <w:rPr>
                <w:spacing w:val="-2"/>
                <w:sz w:val="18"/>
              </w:rPr>
              <w:t> </w:t>
            </w:r>
            <w:r>
              <w:rPr>
                <w:sz w:val="18"/>
              </w:rPr>
              <w:t>cada</w:t>
            </w:r>
            <w:r>
              <w:rPr>
                <w:spacing w:val="-1"/>
                <w:sz w:val="18"/>
              </w:rPr>
              <w:t> </w:t>
            </w:r>
            <w:r>
              <w:rPr>
                <w:spacing w:val="-2"/>
                <w:sz w:val="18"/>
              </w:rPr>
              <w:t>actuación</w:t>
            </w:r>
          </w:p>
        </w:tc>
        <w:tc>
          <w:tcPr>
            <w:tcW w:w="1192" w:type="dxa"/>
          </w:tcPr>
          <w:p>
            <w:pPr>
              <w:pStyle w:val="TableParagraph"/>
              <w:rPr>
                <w:rFonts w:ascii="Times New Roman"/>
                <w:sz w:val="14"/>
              </w:rPr>
            </w:pPr>
          </w:p>
        </w:tc>
        <w:tc>
          <w:tcPr>
            <w:tcW w:w="753" w:type="dxa"/>
          </w:tcPr>
          <w:p>
            <w:pPr>
              <w:pStyle w:val="TableParagraph"/>
              <w:rPr>
                <w:rFonts w:ascii="Times New Roman"/>
                <w:sz w:val="14"/>
              </w:rPr>
            </w:pPr>
          </w:p>
        </w:tc>
        <w:tc>
          <w:tcPr>
            <w:tcW w:w="1388" w:type="dxa"/>
          </w:tcPr>
          <w:p>
            <w:pPr>
              <w:pStyle w:val="TableParagraph"/>
              <w:rPr>
                <w:rFonts w:ascii="Times New Roman"/>
                <w:sz w:val="14"/>
              </w:rPr>
            </w:pPr>
          </w:p>
        </w:tc>
        <w:tc>
          <w:tcPr>
            <w:tcW w:w="562" w:type="dxa"/>
          </w:tcPr>
          <w:p>
            <w:pPr>
              <w:pStyle w:val="TableParagraph"/>
              <w:rPr>
                <w:rFonts w:ascii="Times New Roman"/>
                <w:sz w:val="14"/>
              </w:rPr>
            </w:pPr>
          </w:p>
        </w:tc>
        <w:tc>
          <w:tcPr>
            <w:tcW w:w="1221" w:type="dxa"/>
          </w:tcPr>
          <w:p>
            <w:pPr>
              <w:pStyle w:val="TableParagraph"/>
              <w:rPr>
                <w:rFonts w:ascii="Times New Roman"/>
                <w:sz w:val="14"/>
              </w:rPr>
            </w:pPr>
          </w:p>
        </w:tc>
      </w:tr>
    </w:tbl>
    <w:p>
      <w:pPr>
        <w:pStyle w:val="TableParagraph"/>
        <w:spacing w:after="0"/>
        <w:rPr>
          <w:rFonts w:ascii="Times New Roman"/>
          <w:sz w:val="14"/>
        </w:rPr>
        <w:sectPr>
          <w:pgSz w:w="11910" w:h="16840"/>
          <w:pgMar w:header="1270" w:footer="661" w:top="2800" w:bottom="860" w:left="141" w:right="141"/>
        </w:sectPr>
      </w:pPr>
    </w:p>
    <w:p>
      <w:pPr>
        <w:pStyle w:val="BodyText"/>
        <w:spacing w:before="125"/>
        <w:rPr>
          <w:b/>
        </w:rPr>
      </w:pPr>
      <w:r>
        <w:rPr>
          <w:b/>
        </w:rPr>
        <mc:AlternateContent>
          <mc:Choice Requires="wps">
            <w:drawing>
              <wp:anchor distT="0" distB="0" distL="0" distR="0" allowOverlap="1" layoutInCell="1" locked="0" behindDoc="0" simplePos="0" relativeHeight="15779840">
                <wp:simplePos x="0" y="0"/>
                <wp:positionH relativeFrom="page">
                  <wp:posOffset>128015</wp:posOffset>
                </wp:positionH>
                <wp:positionV relativeFrom="page">
                  <wp:posOffset>2335021</wp:posOffset>
                </wp:positionV>
                <wp:extent cx="7305040" cy="7364095"/>
                <wp:effectExtent l="0" t="0" r="0" b="0"/>
                <wp:wrapNone/>
                <wp:docPr id="446" name="Textbox 446"/>
                <wp:cNvGraphicFramePr>
                  <a:graphicFrameLocks/>
                </wp:cNvGraphicFramePr>
                <a:graphic>
                  <a:graphicData uri="http://schemas.microsoft.com/office/word/2010/wordprocessingShape">
                    <wps:wsp>
                      <wps:cNvPr id="446" name="Textbox 446"/>
                      <wps:cNvSpPr txBox="1"/>
                      <wps:spPr>
                        <a:xfrm>
                          <a:off x="0" y="0"/>
                          <a:ext cx="7305040" cy="736409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81"/>
                              <w:gridCol w:w="1146"/>
                              <w:gridCol w:w="1172"/>
                              <w:gridCol w:w="697"/>
                              <w:gridCol w:w="1224"/>
                              <w:gridCol w:w="731"/>
                              <w:gridCol w:w="1077"/>
                              <w:gridCol w:w="687"/>
                              <w:gridCol w:w="1143"/>
                              <w:gridCol w:w="531"/>
                              <w:gridCol w:w="1007"/>
                            </w:tblGrid>
                            <w:tr>
                              <w:trPr>
                                <w:trHeight w:val="1087" w:hRule="atLeast"/>
                              </w:trPr>
                              <w:tc>
                                <w:tcPr>
                                  <w:tcW w:w="11396" w:type="dxa"/>
                                  <w:gridSpan w:val="11"/>
                                  <w:shd w:val="clear" w:color="auto" w:fill="002D5D"/>
                                </w:tcPr>
                                <w:p>
                                  <w:pPr>
                                    <w:pStyle w:val="TableParagraph"/>
                                    <w:tabs>
                                      <w:tab w:pos="3591" w:val="left" w:leader="none"/>
                                      <w:tab w:pos="7215" w:val="left" w:leader="none"/>
                                      <w:tab w:pos="10497" w:val="left" w:leader="none"/>
                                      <w:tab w:pos="10792" w:val="left" w:leader="none"/>
                                    </w:tabs>
                                    <w:spacing w:line="153" w:lineRule="auto" w:before="130"/>
                                    <w:ind w:left="470" w:right="128" w:firstLine="3214"/>
                                    <w:rPr>
                                      <w:b/>
                                      <w:sz w:val="16"/>
                                    </w:rPr>
                                  </w:pPr>
                                  <w:r>
                                    <w:rPr>
                                      <w:b/>
                                      <w:color w:val="FFFFFF"/>
                                      <w:spacing w:val="-2"/>
                                      <w:position w:val="10"/>
                                      <w:sz w:val="16"/>
                                    </w:rPr>
                                    <w:t>IMPORTE</w:t>
                                  </w:r>
                                  <w:r>
                                    <w:rPr>
                                      <w:b/>
                                      <w:color w:val="FFFFFF"/>
                                      <w:position w:val="10"/>
                                      <w:sz w:val="16"/>
                                    </w:rPr>
                                    <w:tab/>
                                  </w:r>
                                  <w:r>
                                    <w:rPr>
                                      <w:b/>
                                      <w:color w:val="FFFFFF"/>
                                      <w:spacing w:val="-2"/>
                                      <w:sz w:val="16"/>
                                    </w:rPr>
                                    <w:t>FINANCIACIÓN</w:t>
                                  </w:r>
                                  <w:r>
                                    <w:rPr>
                                      <w:b/>
                                      <w:color w:val="FFFFFF"/>
                                      <w:sz w:val="16"/>
                                    </w:rPr>
                                    <w:tab/>
                                    <w:t>ESTADO</w:t>
                                  </w:r>
                                  <w:r>
                                    <w:rPr>
                                      <w:b/>
                                      <w:color w:val="FFFFFF"/>
                                      <w:spacing w:val="-10"/>
                                      <w:sz w:val="16"/>
                                    </w:rPr>
                                    <w:t> </w:t>
                                  </w:r>
                                  <w:r>
                                    <w:rPr>
                                      <w:b/>
                                      <w:color w:val="FFFFFF"/>
                                      <w:sz w:val="16"/>
                                    </w:rPr>
                                    <w:t>DE</w:t>
                                  </w:r>
                                  <w:r>
                                    <w:rPr>
                                      <w:b/>
                                      <w:color w:val="FFFFFF"/>
                                      <w:spacing w:val="40"/>
                                      <w:sz w:val="16"/>
                                    </w:rPr>
                                    <w:t> </w:t>
                                  </w:r>
                                  <w:r>
                                    <w:rPr>
                                      <w:b/>
                                      <w:color w:val="FFFFFF"/>
                                      <w:spacing w:val="-2"/>
                                      <w:sz w:val="16"/>
                                    </w:rPr>
                                    <w:t>DENOMINACIÓN</w:t>
                                  </w:r>
                                  <w:r>
                                    <w:rPr>
                                      <w:b/>
                                      <w:color w:val="FFFFFF"/>
                                      <w:sz w:val="16"/>
                                    </w:rPr>
                                    <w:tab/>
                                  </w:r>
                                  <w:r>
                                    <w:rPr>
                                      <w:b/>
                                      <w:color w:val="FFFFFF"/>
                                      <w:spacing w:val="-2"/>
                                      <w:position w:val="10"/>
                                      <w:sz w:val="16"/>
                                    </w:rPr>
                                    <w:t>ACTUACIÓN</w:t>
                                  </w:r>
                                  <w:r>
                                    <w:rPr>
                                      <w:b/>
                                      <w:color w:val="FFFFFF"/>
                                      <w:position w:val="10"/>
                                      <w:sz w:val="16"/>
                                    </w:rPr>
                                    <w:tab/>
                                    <w:tab/>
                                    <w:tab/>
                                  </w:r>
                                  <w:r>
                                    <w:rPr>
                                      <w:b/>
                                      <w:color w:val="FFFFFF"/>
                                      <w:spacing w:val="-6"/>
                                      <w:sz w:val="16"/>
                                    </w:rPr>
                                    <w:t>LA</w:t>
                                  </w:r>
                                </w:p>
                                <w:p>
                                  <w:pPr>
                                    <w:pStyle w:val="TableParagraph"/>
                                    <w:tabs>
                                      <w:tab w:pos="2191" w:val="left" w:leader="none"/>
                                      <w:tab w:pos="5492" w:val="left" w:leader="none"/>
                                      <w:tab w:pos="7602" w:val="left" w:leader="none"/>
                                      <w:tab w:pos="8845" w:val="left" w:leader="none"/>
                                      <w:tab w:pos="10485" w:val="left" w:leader="none"/>
                                    </w:tabs>
                                    <w:spacing w:line="62" w:lineRule="auto"/>
                                    <w:ind w:left="566"/>
                                    <w:rPr>
                                      <w:b/>
                                      <w:position w:val="4"/>
                                      <w:sz w:val="16"/>
                                    </w:rPr>
                                  </w:pPr>
                                  <w:r>
                                    <w:rPr>
                                      <w:b/>
                                      <w:color w:val="FFFFFF"/>
                                      <w:spacing w:val="-2"/>
                                      <w:position w:val="4"/>
                                      <w:sz w:val="16"/>
                                    </w:rPr>
                                    <w:t>ACTUACIÓN</w:t>
                                  </w:r>
                                  <w:r>
                                    <w:rPr>
                                      <w:b/>
                                      <w:color w:val="FFFFFF"/>
                                      <w:position w:val="4"/>
                                      <w:sz w:val="16"/>
                                    </w:rPr>
                                    <w:tab/>
                                  </w:r>
                                  <w:r>
                                    <w:rPr>
                                      <w:b/>
                                      <w:color w:val="FFFFFF"/>
                                      <w:spacing w:val="-2"/>
                                      <w:position w:val="13"/>
                                      <w:sz w:val="16"/>
                                    </w:rPr>
                                    <w:t>TIPOLOGÍA</w:t>
                                  </w:r>
                                  <w:r>
                                    <w:rPr>
                                      <w:b/>
                                      <w:color w:val="FFFFFF"/>
                                      <w:position w:val="13"/>
                                      <w:sz w:val="16"/>
                                    </w:rPr>
                                    <w:tab/>
                                  </w:r>
                                  <w:r>
                                    <w:rPr>
                                      <w:b/>
                                      <w:color w:val="FFFFFF"/>
                                      <w:spacing w:val="-2"/>
                                      <w:sz w:val="16"/>
                                    </w:rPr>
                                    <w:t>Ayuntamiento</w:t>
                                  </w:r>
                                  <w:r>
                                    <w:rPr>
                                      <w:b/>
                                      <w:color w:val="FFFFFF"/>
                                      <w:sz w:val="16"/>
                                    </w:rPr>
                                    <w:tab/>
                                  </w:r>
                                  <w:r>
                                    <w:rPr>
                                      <w:b/>
                                      <w:color w:val="FFFFFF"/>
                                      <w:spacing w:val="-4"/>
                                      <w:sz w:val="16"/>
                                    </w:rPr>
                                    <w:t>PRTR</w:t>
                                  </w:r>
                                  <w:r>
                                    <w:rPr>
                                      <w:b/>
                                      <w:color w:val="FFFFFF"/>
                                      <w:sz w:val="16"/>
                                    </w:rPr>
                                    <w:tab/>
                                    <w:t>Comunidad</w:t>
                                  </w:r>
                                  <w:r>
                                    <w:rPr>
                                      <w:b/>
                                      <w:color w:val="FFFFFF"/>
                                      <w:spacing w:val="-11"/>
                                      <w:sz w:val="16"/>
                                    </w:rPr>
                                    <w:t> </w:t>
                                  </w:r>
                                  <w:r>
                                    <w:rPr>
                                      <w:b/>
                                      <w:color w:val="FFFFFF"/>
                                      <w:spacing w:val="-2"/>
                                      <w:sz w:val="16"/>
                                    </w:rPr>
                                    <w:t>Autónoma</w:t>
                                  </w:r>
                                  <w:r>
                                    <w:rPr>
                                      <w:b/>
                                      <w:color w:val="FFFFFF"/>
                                      <w:sz w:val="16"/>
                                    </w:rPr>
                                    <w:tab/>
                                  </w:r>
                                  <w:r>
                                    <w:rPr>
                                      <w:b/>
                                      <w:color w:val="FFFFFF"/>
                                      <w:spacing w:val="-2"/>
                                      <w:position w:val="4"/>
                                      <w:sz w:val="16"/>
                                    </w:rPr>
                                    <w:t>ACTUACIÓN</w:t>
                                  </w:r>
                                </w:p>
                                <w:p>
                                  <w:pPr>
                                    <w:pStyle w:val="TableParagraph"/>
                                    <w:tabs>
                                      <w:tab w:pos="4412" w:val="left" w:leader="none"/>
                                      <w:tab w:pos="10552" w:val="left" w:leader="none"/>
                                    </w:tabs>
                                    <w:spacing w:line="145" w:lineRule="exact"/>
                                    <w:ind w:left="3596"/>
                                    <w:rPr>
                                      <w:b/>
                                      <w:sz w:val="16"/>
                                    </w:rPr>
                                  </w:pPr>
                                  <w:r>
                                    <w:rPr>
                                      <w:b/>
                                      <w:color w:val="FFFFFF"/>
                                      <w:spacing w:val="-5"/>
                                      <w:position w:val="1"/>
                                      <w:sz w:val="16"/>
                                    </w:rPr>
                                    <w:t>(€)</w:t>
                                  </w:r>
                                  <w:r>
                                    <w:rPr>
                                      <w:b/>
                                      <w:color w:val="FFFFFF"/>
                                      <w:position w:val="1"/>
                                      <w:sz w:val="16"/>
                                    </w:rPr>
                                    <w:tab/>
                                  </w:r>
                                  <w:r>
                                    <w:rPr>
                                      <w:b/>
                                      <w:color w:val="FFFFFF"/>
                                      <w:sz w:val="16"/>
                                    </w:rPr>
                                    <w:t>%</w:t>
                                  </w:r>
                                  <w:r>
                                    <w:rPr>
                                      <w:b/>
                                      <w:color w:val="FFFFFF"/>
                                      <w:spacing w:val="-1"/>
                                      <w:sz w:val="16"/>
                                    </w:rPr>
                                    <w:t> </w:t>
                                  </w:r>
                                  <w:r>
                                    <w:rPr>
                                      <w:b/>
                                      <w:color w:val="FFFFFF"/>
                                      <w:spacing w:val="-5"/>
                                      <w:position w:val="5"/>
                                      <w:sz w:val="12"/>
                                    </w:rPr>
                                    <w:t>(*)</w:t>
                                  </w:r>
                                  <w:r>
                                    <w:rPr>
                                      <w:b/>
                                      <w:color w:val="FFFFFF"/>
                                      <w:position w:val="5"/>
                                      <w:sz w:val="12"/>
                                    </w:rPr>
                                    <w:tab/>
                                  </w:r>
                                  <w:r>
                                    <w:rPr>
                                      <w:b/>
                                      <w:color w:val="FFFFFF"/>
                                      <w:spacing w:val="-2"/>
                                      <w:sz w:val="16"/>
                                    </w:rPr>
                                    <w:t>31/12/2024</w:t>
                                  </w:r>
                                </w:p>
                                <w:p>
                                  <w:pPr>
                                    <w:pStyle w:val="TableParagraph"/>
                                    <w:tabs>
                                      <w:tab w:pos="6358" w:val="left" w:leader="none"/>
                                      <w:tab w:pos="7425" w:val="left" w:leader="none"/>
                                      <w:tab w:pos="8135" w:val="left" w:leader="none"/>
                                      <w:tab w:pos="9184" w:val="left" w:leader="none"/>
                                      <w:tab w:pos="9945" w:val="left" w:leader="none"/>
                                    </w:tabs>
                                    <w:spacing w:line="136" w:lineRule="auto" w:before="14"/>
                                    <w:ind w:left="5514"/>
                                    <w:rPr>
                                      <w:b/>
                                      <w:sz w:val="12"/>
                                    </w:rPr>
                                  </w:pPr>
                                  <w:r>
                                    <w:rPr>
                                      <w:b/>
                                      <w:color w:val="FFFFFF"/>
                                      <w:spacing w:val="-5"/>
                                      <w:position w:val="-3"/>
                                      <w:sz w:val="16"/>
                                    </w:rPr>
                                    <w:t>(€)</w:t>
                                  </w:r>
                                  <w:r>
                                    <w:rPr>
                                      <w:b/>
                                      <w:color w:val="FFFFFF"/>
                                      <w:position w:val="-3"/>
                                      <w:sz w:val="16"/>
                                    </w:rPr>
                                    <w:tab/>
                                  </w:r>
                                  <w:r>
                                    <w:rPr>
                                      <w:b/>
                                      <w:color w:val="FFFFFF"/>
                                      <w:position w:val="-4"/>
                                      <w:sz w:val="16"/>
                                    </w:rPr>
                                    <w:t>%</w:t>
                                  </w:r>
                                  <w:r>
                                    <w:rPr>
                                      <w:b/>
                                      <w:color w:val="FFFFFF"/>
                                      <w:spacing w:val="-1"/>
                                      <w:position w:val="-4"/>
                                      <w:sz w:val="16"/>
                                    </w:rPr>
                                    <w:t> </w:t>
                                  </w:r>
                                  <w:r>
                                    <w:rPr>
                                      <w:b/>
                                      <w:color w:val="FFFFFF"/>
                                      <w:spacing w:val="-4"/>
                                      <w:sz w:val="12"/>
                                    </w:rPr>
                                    <w:t>(**)</w:t>
                                  </w:r>
                                  <w:r>
                                    <w:rPr>
                                      <w:b/>
                                      <w:color w:val="FFFFFF"/>
                                      <w:sz w:val="12"/>
                                    </w:rPr>
                                    <w:tab/>
                                  </w:r>
                                  <w:r>
                                    <w:rPr>
                                      <w:b/>
                                      <w:color w:val="FFFFFF"/>
                                      <w:spacing w:val="-5"/>
                                      <w:position w:val="-3"/>
                                      <w:sz w:val="16"/>
                                    </w:rPr>
                                    <w:t>(€)</w:t>
                                  </w:r>
                                  <w:r>
                                    <w:rPr>
                                      <w:b/>
                                      <w:color w:val="FFFFFF"/>
                                      <w:position w:val="-3"/>
                                      <w:sz w:val="16"/>
                                    </w:rPr>
                                    <w:tab/>
                                  </w:r>
                                  <w:r>
                                    <w:rPr>
                                      <w:b/>
                                      <w:color w:val="FFFFFF"/>
                                      <w:position w:val="-4"/>
                                      <w:sz w:val="16"/>
                                    </w:rPr>
                                    <w:t>%</w:t>
                                  </w:r>
                                  <w:r>
                                    <w:rPr>
                                      <w:b/>
                                      <w:color w:val="FFFFFF"/>
                                      <w:spacing w:val="-3"/>
                                      <w:position w:val="-4"/>
                                      <w:sz w:val="16"/>
                                    </w:rPr>
                                    <w:t> </w:t>
                                  </w:r>
                                  <w:r>
                                    <w:rPr>
                                      <w:b/>
                                      <w:color w:val="FFFFFF"/>
                                      <w:spacing w:val="-4"/>
                                      <w:sz w:val="12"/>
                                    </w:rPr>
                                    <w:t>(**)</w:t>
                                  </w:r>
                                  <w:r>
                                    <w:rPr>
                                      <w:b/>
                                      <w:color w:val="FFFFFF"/>
                                      <w:sz w:val="12"/>
                                    </w:rPr>
                                    <w:tab/>
                                  </w:r>
                                  <w:r>
                                    <w:rPr>
                                      <w:b/>
                                      <w:color w:val="FFFFFF"/>
                                      <w:spacing w:val="-5"/>
                                      <w:position w:val="-3"/>
                                      <w:sz w:val="16"/>
                                    </w:rPr>
                                    <w:t>(€)</w:t>
                                  </w:r>
                                  <w:r>
                                    <w:rPr>
                                      <w:b/>
                                      <w:color w:val="FFFFFF"/>
                                      <w:position w:val="-3"/>
                                      <w:sz w:val="16"/>
                                    </w:rPr>
                                    <w:tab/>
                                  </w:r>
                                  <w:r>
                                    <w:rPr>
                                      <w:b/>
                                      <w:color w:val="FFFFFF"/>
                                      <w:position w:val="-4"/>
                                      <w:sz w:val="16"/>
                                    </w:rPr>
                                    <w:t>%</w:t>
                                  </w:r>
                                  <w:r>
                                    <w:rPr>
                                      <w:b/>
                                      <w:color w:val="FFFFFF"/>
                                      <w:spacing w:val="-3"/>
                                      <w:position w:val="-4"/>
                                      <w:sz w:val="16"/>
                                    </w:rPr>
                                    <w:t> </w:t>
                                  </w:r>
                                  <w:r>
                                    <w:rPr>
                                      <w:b/>
                                      <w:color w:val="FFFFFF"/>
                                      <w:spacing w:val="-4"/>
                                      <w:sz w:val="12"/>
                                    </w:rPr>
                                    <w:t>(**)</w:t>
                                  </w:r>
                                </w:p>
                              </w:tc>
                            </w:tr>
                            <w:tr>
                              <w:trPr>
                                <w:trHeight w:val="390" w:hRule="atLeast"/>
                              </w:trPr>
                              <w:tc>
                                <w:tcPr>
                                  <w:tcW w:w="3127" w:type="dxa"/>
                                  <w:gridSpan w:val="2"/>
                                </w:tcPr>
                                <w:p>
                                  <w:pPr>
                                    <w:pStyle w:val="TableParagraph"/>
                                    <w:tabs>
                                      <w:tab w:pos="2054" w:val="left" w:leader="none"/>
                                    </w:tabs>
                                    <w:spacing w:line="240" w:lineRule="exact"/>
                                    <w:ind w:left="71"/>
                                    <w:rPr>
                                      <w:position w:val="10"/>
                                      <w:sz w:val="17"/>
                                    </w:rPr>
                                  </w:pPr>
                                  <w:r>
                                    <w:rPr>
                                      <w:sz w:val="17"/>
                                    </w:rPr>
                                    <w:t>Adquisición</w:t>
                                  </w:r>
                                  <w:r>
                                    <w:rPr>
                                      <w:spacing w:val="-2"/>
                                      <w:sz w:val="17"/>
                                    </w:rPr>
                                    <w:t> </w:t>
                                  </w:r>
                                  <w:r>
                                    <w:rPr>
                                      <w:sz w:val="17"/>
                                    </w:rPr>
                                    <w:t>de</w:t>
                                  </w:r>
                                  <w:r>
                                    <w:rPr>
                                      <w:spacing w:val="-3"/>
                                      <w:sz w:val="17"/>
                                    </w:rPr>
                                    <w:t> </w:t>
                                  </w:r>
                                  <w:r>
                                    <w:rPr>
                                      <w:sz w:val="17"/>
                                    </w:rPr>
                                    <w:t>61</w:t>
                                  </w:r>
                                  <w:r>
                                    <w:rPr>
                                      <w:spacing w:val="-2"/>
                                      <w:sz w:val="17"/>
                                    </w:rPr>
                                    <w:t> autobuses</w:t>
                                  </w:r>
                                  <w:r>
                                    <w:rPr>
                                      <w:sz w:val="17"/>
                                    </w:rPr>
                                    <w:tab/>
                                  </w:r>
                                  <w:r>
                                    <w:rPr>
                                      <w:spacing w:val="-2"/>
                                      <w:position w:val="10"/>
                                      <w:sz w:val="17"/>
                                    </w:rPr>
                                    <w:t>Adquisición</w:t>
                                  </w:r>
                                </w:p>
                                <w:p>
                                  <w:pPr>
                                    <w:pStyle w:val="TableParagraph"/>
                                    <w:tabs>
                                      <w:tab w:pos="2054" w:val="left" w:leader="none"/>
                                    </w:tabs>
                                    <w:spacing w:line="131" w:lineRule="exact"/>
                                    <w:ind w:left="71"/>
                                    <w:rPr>
                                      <w:position w:val="10"/>
                                      <w:sz w:val="17"/>
                                    </w:rPr>
                                  </w:pPr>
                                  <w:r>
                                    <w:rPr>
                                      <w:sz w:val="17"/>
                                    </w:rPr>
                                    <w:t>(17</w:t>
                                  </w:r>
                                  <w:r>
                                    <w:rPr>
                                      <w:spacing w:val="-5"/>
                                      <w:sz w:val="17"/>
                                    </w:rPr>
                                    <w:t> </w:t>
                                  </w:r>
                                  <w:r>
                                    <w:rPr>
                                      <w:sz w:val="17"/>
                                    </w:rPr>
                                    <w:t>eléctricos/</w:t>
                                  </w:r>
                                  <w:r>
                                    <w:rPr>
                                      <w:spacing w:val="-3"/>
                                      <w:sz w:val="17"/>
                                    </w:rPr>
                                    <w:t> </w:t>
                                  </w:r>
                                  <w:r>
                                    <w:rPr>
                                      <w:sz w:val="17"/>
                                    </w:rPr>
                                    <w:t>44</w:t>
                                  </w:r>
                                  <w:r>
                                    <w:rPr>
                                      <w:spacing w:val="-1"/>
                                      <w:sz w:val="17"/>
                                    </w:rPr>
                                    <w:t> </w:t>
                                  </w:r>
                                  <w:r>
                                    <w:rPr>
                                      <w:spacing w:val="-4"/>
                                      <w:sz w:val="17"/>
                                    </w:rPr>
                                    <w:t>GNC)</w:t>
                                  </w:r>
                                  <w:r>
                                    <w:rPr>
                                      <w:sz w:val="17"/>
                                    </w:rPr>
                                    <w:tab/>
                                  </w:r>
                                  <w:r>
                                    <w:rPr>
                                      <w:position w:val="10"/>
                                      <w:sz w:val="17"/>
                                    </w:rPr>
                                    <w:t>material</w:t>
                                  </w:r>
                                  <w:r>
                                    <w:rPr>
                                      <w:spacing w:val="-4"/>
                                      <w:position w:val="10"/>
                                      <w:sz w:val="17"/>
                                    </w:rPr>
                                    <w:t> </w:t>
                                  </w:r>
                                  <w:r>
                                    <w:rPr>
                                      <w:position w:val="10"/>
                                      <w:sz w:val="17"/>
                                    </w:rPr>
                                    <w:t>móvil</w:t>
                                  </w:r>
                                  <w:r>
                                    <w:rPr>
                                      <w:spacing w:val="-3"/>
                                      <w:position w:val="10"/>
                                      <w:sz w:val="17"/>
                                    </w:rPr>
                                    <w:t> </w:t>
                                  </w:r>
                                  <w:r>
                                    <w:rPr>
                                      <w:spacing w:val="-10"/>
                                      <w:position w:val="10"/>
                                      <w:sz w:val="17"/>
                                    </w:rPr>
                                    <w:t>e</w:t>
                                  </w:r>
                                </w:p>
                              </w:tc>
                              <w:tc>
                                <w:tcPr>
                                  <w:tcW w:w="1172" w:type="dxa"/>
                                </w:tcPr>
                                <w:p>
                                  <w:pPr>
                                    <w:pStyle w:val="TableParagraph"/>
                                    <w:spacing w:line="184" w:lineRule="exact" w:before="186"/>
                                    <w:ind w:right="133"/>
                                    <w:jc w:val="right"/>
                                    <w:rPr>
                                      <w:sz w:val="18"/>
                                    </w:rPr>
                                  </w:pPr>
                                  <w:r>
                                    <w:rPr>
                                      <w:spacing w:val="-2"/>
                                      <w:sz w:val="18"/>
                                    </w:rPr>
                                    <w:t>29.236.600,00</w:t>
                                  </w:r>
                                </w:p>
                              </w:tc>
                              <w:tc>
                                <w:tcPr>
                                  <w:tcW w:w="697" w:type="dxa"/>
                                </w:tcPr>
                                <w:p>
                                  <w:pPr>
                                    <w:pStyle w:val="TableParagraph"/>
                                    <w:spacing w:line="177" w:lineRule="exact" w:before="193"/>
                                    <w:ind w:right="83"/>
                                    <w:jc w:val="center"/>
                                    <w:rPr>
                                      <w:sz w:val="17"/>
                                    </w:rPr>
                                  </w:pPr>
                                  <w:r>
                                    <w:rPr>
                                      <w:spacing w:val="-2"/>
                                      <w:sz w:val="17"/>
                                    </w:rPr>
                                    <w:t>67,77</w:t>
                                  </w:r>
                                </w:p>
                              </w:tc>
                              <w:tc>
                                <w:tcPr>
                                  <w:tcW w:w="1224" w:type="dxa"/>
                                </w:tcPr>
                                <w:p>
                                  <w:pPr>
                                    <w:pStyle w:val="TableParagraph"/>
                                    <w:spacing w:line="177" w:lineRule="exact" w:before="193"/>
                                    <w:ind w:right="117"/>
                                    <w:jc w:val="right"/>
                                    <w:rPr>
                                      <w:sz w:val="17"/>
                                    </w:rPr>
                                  </w:pPr>
                                  <w:r>
                                    <w:rPr>
                                      <w:spacing w:val="-2"/>
                                      <w:sz w:val="17"/>
                                    </w:rPr>
                                    <w:t>22.363.240,00</w:t>
                                  </w:r>
                                </w:p>
                              </w:tc>
                              <w:tc>
                                <w:tcPr>
                                  <w:tcW w:w="731" w:type="dxa"/>
                                </w:tcPr>
                                <w:p>
                                  <w:pPr>
                                    <w:pStyle w:val="TableParagraph"/>
                                    <w:spacing w:line="177" w:lineRule="exact" w:before="193"/>
                                    <w:ind w:right="178"/>
                                    <w:jc w:val="right"/>
                                    <w:rPr>
                                      <w:sz w:val="17"/>
                                    </w:rPr>
                                  </w:pPr>
                                  <w:r>
                                    <w:rPr>
                                      <w:spacing w:val="-2"/>
                                      <w:sz w:val="17"/>
                                    </w:rPr>
                                    <w:t>76,49</w:t>
                                  </w:r>
                                </w:p>
                              </w:tc>
                              <w:tc>
                                <w:tcPr>
                                  <w:tcW w:w="1077" w:type="dxa"/>
                                </w:tcPr>
                                <w:p>
                                  <w:pPr>
                                    <w:pStyle w:val="TableParagraph"/>
                                    <w:spacing w:line="177" w:lineRule="exact" w:before="193"/>
                                    <w:ind w:left="171"/>
                                    <w:rPr>
                                      <w:sz w:val="17"/>
                                    </w:rPr>
                                  </w:pPr>
                                  <w:r>
                                    <w:rPr>
                                      <w:spacing w:val="-2"/>
                                      <w:sz w:val="17"/>
                                    </w:rPr>
                                    <w:t>3.123.360,00</w:t>
                                  </w:r>
                                </w:p>
                              </w:tc>
                              <w:tc>
                                <w:tcPr>
                                  <w:tcW w:w="687" w:type="dxa"/>
                                </w:tcPr>
                                <w:p>
                                  <w:pPr>
                                    <w:pStyle w:val="TableParagraph"/>
                                    <w:spacing w:line="177" w:lineRule="exact" w:before="193"/>
                                    <w:ind w:left="114"/>
                                    <w:rPr>
                                      <w:sz w:val="17"/>
                                    </w:rPr>
                                  </w:pPr>
                                  <w:r>
                                    <w:rPr>
                                      <w:spacing w:val="-2"/>
                                      <w:sz w:val="17"/>
                                    </w:rPr>
                                    <w:t>10,68</w:t>
                                  </w:r>
                                </w:p>
                              </w:tc>
                              <w:tc>
                                <w:tcPr>
                                  <w:tcW w:w="1143" w:type="dxa"/>
                                </w:tcPr>
                                <w:p>
                                  <w:pPr>
                                    <w:pStyle w:val="TableParagraph"/>
                                    <w:spacing w:line="177" w:lineRule="exact" w:before="193"/>
                                    <w:ind w:right="118"/>
                                    <w:jc w:val="right"/>
                                    <w:rPr>
                                      <w:sz w:val="17"/>
                                    </w:rPr>
                                  </w:pPr>
                                  <w:r>
                                    <w:rPr>
                                      <w:spacing w:val="-2"/>
                                      <w:sz w:val="17"/>
                                    </w:rPr>
                                    <w:t>3.750.000,00</w:t>
                                  </w:r>
                                </w:p>
                              </w:tc>
                              <w:tc>
                                <w:tcPr>
                                  <w:tcW w:w="531" w:type="dxa"/>
                                </w:tcPr>
                                <w:p>
                                  <w:pPr>
                                    <w:pStyle w:val="TableParagraph"/>
                                    <w:spacing w:line="177" w:lineRule="exact" w:before="193"/>
                                    <w:ind w:left="19"/>
                                    <w:jc w:val="center"/>
                                    <w:rPr>
                                      <w:sz w:val="17"/>
                                    </w:rPr>
                                  </w:pPr>
                                  <w:r>
                                    <w:rPr>
                                      <w:spacing w:val="-2"/>
                                      <w:sz w:val="17"/>
                                    </w:rPr>
                                    <w:t>12,83</w:t>
                                  </w:r>
                                </w:p>
                              </w:tc>
                              <w:tc>
                                <w:tcPr>
                                  <w:tcW w:w="1007" w:type="dxa"/>
                                </w:tcPr>
                                <w:p>
                                  <w:pPr>
                                    <w:pStyle w:val="TableParagraph"/>
                                    <w:spacing w:line="177" w:lineRule="exact" w:before="193"/>
                                    <w:ind w:left="60"/>
                                    <w:rPr>
                                      <w:sz w:val="17"/>
                                    </w:rPr>
                                  </w:pPr>
                                  <w:r>
                                    <w:rPr>
                                      <w:spacing w:val="-2"/>
                                      <w:sz w:val="17"/>
                                    </w:rPr>
                                    <w:t>Finalizada</w:t>
                                  </w:r>
                                </w:p>
                              </w:tc>
                            </w:tr>
                            <w:tr>
                              <w:trPr>
                                <w:trHeight w:val="192" w:hRule="atLeast"/>
                              </w:trPr>
                              <w:tc>
                                <w:tcPr>
                                  <w:tcW w:w="3127" w:type="dxa"/>
                                  <w:gridSpan w:val="2"/>
                                  <w:tcBorders>
                                    <w:bottom w:val="single" w:sz="8" w:space="0" w:color="001F5F"/>
                                  </w:tcBorders>
                                </w:tcPr>
                                <w:p>
                                  <w:pPr>
                                    <w:pStyle w:val="TableParagraph"/>
                                    <w:spacing w:line="173" w:lineRule="exact"/>
                                    <w:ind w:left="2054"/>
                                    <w:rPr>
                                      <w:sz w:val="17"/>
                                    </w:rPr>
                                  </w:pPr>
                                  <w:r>
                                    <w:rPr>
                                      <w:spacing w:val="-2"/>
                                      <w:sz w:val="17"/>
                                    </w:rPr>
                                    <w:t>infraestructuras</w:t>
                                  </w:r>
                                </w:p>
                              </w:tc>
                              <w:tc>
                                <w:tcPr>
                                  <w:tcW w:w="1172" w:type="dxa"/>
                                  <w:tcBorders>
                                    <w:bottom w:val="single" w:sz="8" w:space="0" w:color="001F5F"/>
                                  </w:tcBorders>
                                </w:tcPr>
                                <w:p>
                                  <w:pPr>
                                    <w:pStyle w:val="TableParagraph"/>
                                    <w:rPr>
                                      <w:rFonts w:ascii="Times New Roman"/>
                                      <w:sz w:val="12"/>
                                    </w:rPr>
                                  </w:pPr>
                                </w:p>
                              </w:tc>
                              <w:tc>
                                <w:tcPr>
                                  <w:tcW w:w="697" w:type="dxa"/>
                                  <w:tcBorders>
                                    <w:bottom w:val="single" w:sz="8" w:space="0" w:color="001F5F"/>
                                  </w:tcBorders>
                                </w:tcPr>
                                <w:p>
                                  <w:pPr>
                                    <w:pStyle w:val="TableParagraph"/>
                                    <w:rPr>
                                      <w:rFonts w:ascii="Times New Roman"/>
                                      <w:sz w:val="12"/>
                                    </w:rPr>
                                  </w:pPr>
                                </w:p>
                              </w:tc>
                              <w:tc>
                                <w:tcPr>
                                  <w:tcW w:w="1224" w:type="dxa"/>
                                  <w:tcBorders>
                                    <w:bottom w:val="single" w:sz="8" w:space="0" w:color="001F5F"/>
                                  </w:tcBorders>
                                </w:tcPr>
                                <w:p>
                                  <w:pPr>
                                    <w:pStyle w:val="TableParagraph"/>
                                    <w:rPr>
                                      <w:rFonts w:ascii="Times New Roman"/>
                                      <w:sz w:val="12"/>
                                    </w:rPr>
                                  </w:pPr>
                                </w:p>
                              </w:tc>
                              <w:tc>
                                <w:tcPr>
                                  <w:tcW w:w="731" w:type="dxa"/>
                                  <w:tcBorders>
                                    <w:bottom w:val="single" w:sz="8" w:space="0" w:color="001F5F"/>
                                  </w:tcBorders>
                                </w:tcPr>
                                <w:p>
                                  <w:pPr>
                                    <w:pStyle w:val="TableParagraph"/>
                                    <w:rPr>
                                      <w:rFonts w:ascii="Times New Roman"/>
                                      <w:sz w:val="12"/>
                                    </w:rPr>
                                  </w:pPr>
                                </w:p>
                              </w:tc>
                              <w:tc>
                                <w:tcPr>
                                  <w:tcW w:w="1077" w:type="dxa"/>
                                  <w:tcBorders>
                                    <w:bottom w:val="single" w:sz="8" w:space="0" w:color="001F5F"/>
                                  </w:tcBorders>
                                </w:tcPr>
                                <w:p>
                                  <w:pPr>
                                    <w:pStyle w:val="TableParagraph"/>
                                    <w:rPr>
                                      <w:rFonts w:ascii="Times New Roman"/>
                                      <w:sz w:val="12"/>
                                    </w:rPr>
                                  </w:pPr>
                                </w:p>
                              </w:tc>
                              <w:tc>
                                <w:tcPr>
                                  <w:tcW w:w="687" w:type="dxa"/>
                                  <w:tcBorders>
                                    <w:bottom w:val="single" w:sz="8" w:space="0" w:color="001F5F"/>
                                  </w:tcBorders>
                                </w:tcPr>
                                <w:p>
                                  <w:pPr>
                                    <w:pStyle w:val="TableParagraph"/>
                                    <w:rPr>
                                      <w:rFonts w:ascii="Times New Roman"/>
                                      <w:sz w:val="12"/>
                                    </w:rPr>
                                  </w:pPr>
                                </w:p>
                              </w:tc>
                              <w:tc>
                                <w:tcPr>
                                  <w:tcW w:w="1143" w:type="dxa"/>
                                  <w:tcBorders>
                                    <w:bottom w:val="single" w:sz="8" w:space="0" w:color="001F5F"/>
                                  </w:tcBorders>
                                </w:tcPr>
                                <w:p>
                                  <w:pPr>
                                    <w:pStyle w:val="TableParagraph"/>
                                    <w:rPr>
                                      <w:rFonts w:ascii="Times New Roman"/>
                                      <w:sz w:val="12"/>
                                    </w:rPr>
                                  </w:pPr>
                                </w:p>
                              </w:tc>
                              <w:tc>
                                <w:tcPr>
                                  <w:tcW w:w="531" w:type="dxa"/>
                                  <w:tcBorders>
                                    <w:bottom w:val="single" w:sz="8" w:space="0" w:color="001F5F"/>
                                  </w:tcBorders>
                                </w:tcPr>
                                <w:p>
                                  <w:pPr>
                                    <w:pStyle w:val="TableParagraph"/>
                                    <w:rPr>
                                      <w:rFonts w:ascii="Times New Roman"/>
                                      <w:sz w:val="12"/>
                                    </w:rPr>
                                  </w:pPr>
                                </w:p>
                              </w:tc>
                              <w:tc>
                                <w:tcPr>
                                  <w:tcW w:w="1007" w:type="dxa"/>
                                  <w:tcBorders>
                                    <w:bottom w:val="single" w:sz="8" w:space="0" w:color="001F5F"/>
                                  </w:tcBorders>
                                </w:tcPr>
                                <w:p>
                                  <w:pPr>
                                    <w:pStyle w:val="TableParagraph"/>
                                    <w:rPr>
                                      <w:rFonts w:ascii="Times New Roman"/>
                                      <w:sz w:val="12"/>
                                    </w:rPr>
                                  </w:pPr>
                                </w:p>
                              </w:tc>
                            </w:tr>
                            <w:tr>
                              <w:trPr>
                                <w:trHeight w:val="393" w:hRule="atLeast"/>
                              </w:trPr>
                              <w:tc>
                                <w:tcPr>
                                  <w:tcW w:w="3127" w:type="dxa"/>
                                  <w:gridSpan w:val="2"/>
                                  <w:tcBorders>
                                    <w:top w:val="single" w:sz="8" w:space="0" w:color="001F5F"/>
                                  </w:tcBorders>
                                </w:tcPr>
                                <w:p>
                                  <w:pPr>
                                    <w:pStyle w:val="TableParagraph"/>
                                    <w:tabs>
                                      <w:tab w:pos="2054" w:val="left" w:leader="none"/>
                                    </w:tabs>
                                    <w:spacing w:line="243" w:lineRule="exact"/>
                                    <w:ind w:left="71"/>
                                    <w:rPr>
                                      <w:position w:val="10"/>
                                      <w:sz w:val="17"/>
                                    </w:rPr>
                                  </w:pPr>
                                  <w:r>
                                    <w:rPr>
                                      <w:sz w:val="17"/>
                                    </w:rPr>
                                    <w:t>Infraestructura</w:t>
                                  </w:r>
                                  <w:r>
                                    <w:rPr>
                                      <w:spacing w:val="-5"/>
                                      <w:sz w:val="17"/>
                                    </w:rPr>
                                    <w:t> </w:t>
                                  </w:r>
                                  <w:r>
                                    <w:rPr>
                                      <w:sz w:val="17"/>
                                    </w:rPr>
                                    <w:t>para</w:t>
                                  </w:r>
                                  <w:r>
                                    <w:rPr>
                                      <w:spacing w:val="-5"/>
                                      <w:sz w:val="17"/>
                                    </w:rPr>
                                    <w:t> la</w:t>
                                  </w:r>
                                  <w:r>
                                    <w:rPr>
                                      <w:sz w:val="17"/>
                                    </w:rPr>
                                    <w:tab/>
                                  </w:r>
                                  <w:r>
                                    <w:rPr>
                                      <w:spacing w:val="-2"/>
                                      <w:position w:val="10"/>
                                      <w:sz w:val="17"/>
                                    </w:rPr>
                                    <w:t>Adquisición</w:t>
                                  </w:r>
                                </w:p>
                                <w:p>
                                  <w:pPr>
                                    <w:pStyle w:val="TableParagraph"/>
                                    <w:tabs>
                                      <w:tab w:pos="2054" w:val="left" w:leader="none"/>
                                    </w:tabs>
                                    <w:spacing w:line="131" w:lineRule="exact"/>
                                    <w:ind w:left="71"/>
                                    <w:rPr>
                                      <w:position w:val="10"/>
                                      <w:sz w:val="17"/>
                                    </w:rPr>
                                  </w:pPr>
                                  <w:r>
                                    <w:rPr>
                                      <w:sz w:val="17"/>
                                    </w:rPr>
                                    <w:t>recarga</w:t>
                                  </w:r>
                                  <w:r>
                                    <w:rPr>
                                      <w:spacing w:val="-3"/>
                                      <w:sz w:val="17"/>
                                    </w:rPr>
                                    <w:t> </w:t>
                                  </w:r>
                                  <w:r>
                                    <w:rPr>
                                      <w:sz w:val="17"/>
                                    </w:rPr>
                                    <w:t>de</w:t>
                                  </w:r>
                                  <w:r>
                                    <w:rPr>
                                      <w:spacing w:val="-3"/>
                                      <w:sz w:val="17"/>
                                    </w:rPr>
                                    <w:t> </w:t>
                                  </w:r>
                                  <w:r>
                                    <w:rPr>
                                      <w:sz w:val="17"/>
                                    </w:rPr>
                                    <w:t>12</w:t>
                                  </w:r>
                                  <w:r>
                                    <w:rPr>
                                      <w:spacing w:val="-1"/>
                                      <w:sz w:val="17"/>
                                    </w:rPr>
                                    <w:t> </w:t>
                                  </w:r>
                                  <w:r>
                                    <w:rPr>
                                      <w:spacing w:val="-2"/>
                                      <w:sz w:val="17"/>
                                    </w:rPr>
                                    <w:t>autobuses</w:t>
                                  </w:r>
                                  <w:r>
                                    <w:rPr>
                                      <w:sz w:val="17"/>
                                    </w:rPr>
                                    <w:tab/>
                                  </w:r>
                                  <w:r>
                                    <w:rPr>
                                      <w:position w:val="10"/>
                                      <w:sz w:val="17"/>
                                    </w:rPr>
                                    <w:t>material</w:t>
                                  </w:r>
                                  <w:r>
                                    <w:rPr>
                                      <w:spacing w:val="-4"/>
                                      <w:position w:val="10"/>
                                      <w:sz w:val="17"/>
                                    </w:rPr>
                                    <w:t> </w:t>
                                  </w:r>
                                  <w:r>
                                    <w:rPr>
                                      <w:position w:val="10"/>
                                      <w:sz w:val="17"/>
                                    </w:rPr>
                                    <w:t>móvil</w:t>
                                  </w:r>
                                  <w:r>
                                    <w:rPr>
                                      <w:spacing w:val="-3"/>
                                      <w:position w:val="10"/>
                                      <w:sz w:val="17"/>
                                    </w:rPr>
                                    <w:t> </w:t>
                                  </w:r>
                                  <w:r>
                                    <w:rPr>
                                      <w:spacing w:val="-10"/>
                                      <w:position w:val="10"/>
                                      <w:sz w:val="17"/>
                                    </w:rPr>
                                    <w:t>e</w:t>
                                  </w:r>
                                </w:p>
                              </w:tc>
                              <w:tc>
                                <w:tcPr>
                                  <w:tcW w:w="1172" w:type="dxa"/>
                                  <w:tcBorders>
                                    <w:top w:val="single" w:sz="8" w:space="0" w:color="001F5F"/>
                                  </w:tcBorders>
                                </w:tcPr>
                                <w:p>
                                  <w:pPr>
                                    <w:pStyle w:val="TableParagraph"/>
                                    <w:spacing w:line="183" w:lineRule="exact" w:before="191"/>
                                    <w:ind w:right="133"/>
                                    <w:jc w:val="right"/>
                                    <w:rPr>
                                      <w:sz w:val="18"/>
                                    </w:rPr>
                                  </w:pPr>
                                  <w:r>
                                    <w:rPr>
                                      <w:spacing w:val="-2"/>
                                      <w:sz w:val="18"/>
                                    </w:rPr>
                                    <w:t>504.000,00</w:t>
                                  </w:r>
                                </w:p>
                              </w:tc>
                              <w:tc>
                                <w:tcPr>
                                  <w:tcW w:w="697" w:type="dxa"/>
                                  <w:tcBorders>
                                    <w:top w:val="single" w:sz="8" w:space="0" w:color="001F5F"/>
                                  </w:tcBorders>
                                </w:tcPr>
                                <w:p>
                                  <w:pPr>
                                    <w:pStyle w:val="TableParagraph"/>
                                    <w:rPr>
                                      <w:sz w:val="17"/>
                                    </w:rPr>
                                  </w:pPr>
                                </w:p>
                                <w:p>
                                  <w:pPr>
                                    <w:pStyle w:val="TableParagraph"/>
                                    <w:spacing w:line="178" w:lineRule="exact"/>
                                    <w:ind w:left="77" w:right="83"/>
                                    <w:jc w:val="center"/>
                                    <w:rPr>
                                      <w:sz w:val="17"/>
                                    </w:rPr>
                                  </w:pPr>
                                  <w:r>
                                    <w:rPr>
                                      <w:spacing w:val="-4"/>
                                      <w:sz w:val="17"/>
                                    </w:rPr>
                                    <w:t>1,17</w:t>
                                  </w:r>
                                </w:p>
                              </w:tc>
                              <w:tc>
                                <w:tcPr>
                                  <w:tcW w:w="1224" w:type="dxa"/>
                                  <w:tcBorders>
                                    <w:top w:val="single" w:sz="8" w:space="0" w:color="001F5F"/>
                                  </w:tcBorders>
                                </w:tcPr>
                                <w:p>
                                  <w:pPr>
                                    <w:pStyle w:val="TableParagraph"/>
                                    <w:rPr>
                                      <w:sz w:val="17"/>
                                    </w:rPr>
                                  </w:pPr>
                                </w:p>
                                <w:p>
                                  <w:pPr>
                                    <w:pStyle w:val="TableParagraph"/>
                                    <w:spacing w:line="178" w:lineRule="exact"/>
                                    <w:ind w:right="117"/>
                                    <w:jc w:val="right"/>
                                    <w:rPr>
                                      <w:sz w:val="17"/>
                                    </w:rPr>
                                  </w:pPr>
                                  <w:r>
                                    <w:rPr>
                                      <w:spacing w:val="-2"/>
                                      <w:sz w:val="17"/>
                                    </w:rPr>
                                    <w:t>52.000,00</w:t>
                                  </w:r>
                                </w:p>
                              </w:tc>
                              <w:tc>
                                <w:tcPr>
                                  <w:tcW w:w="731" w:type="dxa"/>
                                  <w:tcBorders>
                                    <w:top w:val="single" w:sz="8" w:space="0" w:color="001F5F"/>
                                  </w:tcBorders>
                                </w:tcPr>
                                <w:p>
                                  <w:pPr>
                                    <w:pStyle w:val="TableParagraph"/>
                                    <w:rPr>
                                      <w:sz w:val="17"/>
                                    </w:rPr>
                                  </w:pPr>
                                </w:p>
                                <w:p>
                                  <w:pPr>
                                    <w:pStyle w:val="TableParagraph"/>
                                    <w:spacing w:line="178" w:lineRule="exact"/>
                                    <w:ind w:right="178"/>
                                    <w:jc w:val="right"/>
                                    <w:rPr>
                                      <w:sz w:val="17"/>
                                    </w:rPr>
                                  </w:pPr>
                                  <w:r>
                                    <w:rPr>
                                      <w:spacing w:val="-2"/>
                                      <w:sz w:val="17"/>
                                    </w:rPr>
                                    <w:t>10,32</w:t>
                                  </w:r>
                                </w:p>
                              </w:tc>
                              <w:tc>
                                <w:tcPr>
                                  <w:tcW w:w="1077" w:type="dxa"/>
                                  <w:tcBorders>
                                    <w:top w:val="single" w:sz="8" w:space="0" w:color="001F5F"/>
                                  </w:tcBorders>
                                </w:tcPr>
                                <w:p>
                                  <w:pPr>
                                    <w:pStyle w:val="TableParagraph"/>
                                    <w:rPr>
                                      <w:sz w:val="17"/>
                                    </w:rPr>
                                  </w:pPr>
                                </w:p>
                                <w:p>
                                  <w:pPr>
                                    <w:pStyle w:val="TableParagraph"/>
                                    <w:spacing w:line="178" w:lineRule="exact"/>
                                    <w:ind w:right="91"/>
                                    <w:jc w:val="right"/>
                                    <w:rPr>
                                      <w:sz w:val="17"/>
                                    </w:rPr>
                                  </w:pPr>
                                  <w:r>
                                    <w:rPr>
                                      <w:spacing w:val="-2"/>
                                      <w:sz w:val="17"/>
                                    </w:rPr>
                                    <w:t>452.000,00</w:t>
                                  </w:r>
                                </w:p>
                              </w:tc>
                              <w:tc>
                                <w:tcPr>
                                  <w:tcW w:w="687" w:type="dxa"/>
                                  <w:tcBorders>
                                    <w:top w:val="single" w:sz="8" w:space="0" w:color="001F5F"/>
                                  </w:tcBorders>
                                </w:tcPr>
                                <w:p>
                                  <w:pPr>
                                    <w:pStyle w:val="TableParagraph"/>
                                    <w:rPr>
                                      <w:sz w:val="17"/>
                                    </w:rPr>
                                  </w:pPr>
                                </w:p>
                                <w:p>
                                  <w:pPr>
                                    <w:pStyle w:val="TableParagraph"/>
                                    <w:spacing w:line="178" w:lineRule="exact"/>
                                    <w:ind w:left="114"/>
                                    <w:rPr>
                                      <w:sz w:val="17"/>
                                    </w:rPr>
                                  </w:pPr>
                                  <w:r>
                                    <w:rPr>
                                      <w:spacing w:val="-2"/>
                                      <w:sz w:val="17"/>
                                    </w:rPr>
                                    <w:t>89,68</w:t>
                                  </w:r>
                                </w:p>
                              </w:tc>
                              <w:tc>
                                <w:tcPr>
                                  <w:tcW w:w="1143" w:type="dxa"/>
                                  <w:tcBorders>
                                    <w:top w:val="single" w:sz="8" w:space="0" w:color="001F5F"/>
                                  </w:tcBorders>
                                </w:tcPr>
                                <w:p>
                                  <w:pPr>
                                    <w:pStyle w:val="TableParagraph"/>
                                    <w:rPr>
                                      <w:sz w:val="17"/>
                                    </w:rPr>
                                  </w:pPr>
                                </w:p>
                                <w:p>
                                  <w:pPr>
                                    <w:pStyle w:val="TableParagraph"/>
                                    <w:spacing w:line="178" w:lineRule="exact"/>
                                    <w:ind w:right="118"/>
                                    <w:jc w:val="right"/>
                                    <w:rPr>
                                      <w:sz w:val="17"/>
                                    </w:rPr>
                                  </w:pPr>
                                  <w:r>
                                    <w:rPr>
                                      <w:spacing w:val="-4"/>
                                      <w:sz w:val="17"/>
                                    </w:rPr>
                                    <w:t>0,00</w:t>
                                  </w:r>
                                </w:p>
                              </w:tc>
                              <w:tc>
                                <w:tcPr>
                                  <w:tcW w:w="531" w:type="dxa"/>
                                  <w:tcBorders>
                                    <w:top w:val="single" w:sz="8" w:space="0" w:color="001F5F"/>
                                  </w:tcBorders>
                                </w:tcPr>
                                <w:p>
                                  <w:pPr>
                                    <w:pStyle w:val="TableParagraph"/>
                                    <w:rPr>
                                      <w:sz w:val="17"/>
                                    </w:rPr>
                                  </w:pPr>
                                </w:p>
                                <w:p>
                                  <w:pPr>
                                    <w:pStyle w:val="TableParagraph"/>
                                    <w:spacing w:line="178" w:lineRule="exact"/>
                                    <w:ind w:left="96"/>
                                    <w:jc w:val="center"/>
                                    <w:rPr>
                                      <w:sz w:val="17"/>
                                    </w:rPr>
                                  </w:pPr>
                                  <w:r>
                                    <w:rPr>
                                      <w:spacing w:val="-4"/>
                                      <w:sz w:val="17"/>
                                    </w:rPr>
                                    <w:t>0,00</w:t>
                                  </w:r>
                                </w:p>
                              </w:tc>
                              <w:tc>
                                <w:tcPr>
                                  <w:tcW w:w="1007" w:type="dxa"/>
                                  <w:tcBorders>
                                    <w:top w:val="single" w:sz="8" w:space="0" w:color="001F5F"/>
                                  </w:tcBorders>
                                </w:tcPr>
                                <w:p>
                                  <w:pPr>
                                    <w:pStyle w:val="TableParagraph"/>
                                    <w:rPr>
                                      <w:sz w:val="17"/>
                                    </w:rPr>
                                  </w:pPr>
                                </w:p>
                                <w:p>
                                  <w:pPr>
                                    <w:pStyle w:val="TableParagraph"/>
                                    <w:spacing w:line="178" w:lineRule="exact"/>
                                    <w:ind w:left="60"/>
                                    <w:rPr>
                                      <w:sz w:val="17"/>
                                    </w:rPr>
                                  </w:pPr>
                                  <w:r>
                                    <w:rPr>
                                      <w:spacing w:val="-2"/>
                                      <w:sz w:val="17"/>
                                    </w:rPr>
                                    <w:t>Finalizada</w:t>
                                  </w:r>
                                </w:p>
                              </w:tc>
                            </w:tr>
                            <w:tr>
                              <w:trPr>
                                <w:trHeight w:val="193" w:hRule="atLeast"/>
                              </w:trPr>
                              <w:tc>
                                <w:tcPr>
                                  <w:tcW w:w="3127" w:type="dxa"/>
                                  <w:gridSpan w:val="2"/>
                                  <w:tcBorders>
                                    <w:bottom w:val="single" w:sz="8" w:space="0" w:color="001F5F"/>
                                  </w:tcBorders>
                                </w:tcPr>
                                <w:p>
                                  <w:pPr>
                                    <w:pStyle w:val="TableParagraph"/>
                                    <w:spacing w:line="173" w:lineRule="exact"/>
                                    <w:ind w:left="2054"/>
                                    <w:rPr>
                                      <w:sz w:val="17"/>
                                    </w:rPr>
                                  </w:pPr>
                                  <w:r>
                                    <w:rPr>
                                      <w:spacing w:val="-2"/>
                                      <w:sz w:val="17"/>
                                    </w:rPr>
                                    <w:t>infraestructuras</w:t>
                                  </w:r>
                                </w:p>
                              </w:tc>
                              <w:tc>
                                <w:tcPr>
                                  <w:tcW w:w="1172" w:type="dxa"/>
                                  <w:tcBorders>
                                    <w:bottom w:val="single" w:sz="8" w:space="0" w:color="001F5F"/>
                                  </w:tcBorders>
                                </w:tcPr>
                                <w:p>
                                  <w:pPr>
                                    <w:pStyle w:val="TableParagraph"/>
                                    <w:rPr>
                                      <w:rFonts w:ascii="Times New Roman"/>
                                      <w:sz w:val="12"/>
                                    </w:rPr>
                                  </w:pPr>
                                </w:p>
                              </w:tc>
                              <w:tc>
                                <w:tcPr>
                                  <w:tcW w:w="697" w:type="dxa"/>
                                  <w:tcBorders>
                                    <w:bottom w:val="single" w:sz="8" w:space="0" w:color="001F5F"/>
                                  </w:tcBorders>
                                </w:tcPr>
                                <w:p>
                                  <w:pPr>
                                    <w:pStyle w:val="TableParagraph"/>
                                    <w:rPr>
                                      <w:rFonts w:ascii="Times New Roman"/>
                                      <w:sz w:val="12"/>
                                    </w:rPr>
                                  </w:pPr>
                                </w:p>
                              </w:tc>
                              <w:tc>
                                <w:tcPr>
                                  <w:tcW w:w="1224" w:type="dxa"/>
                                  <w:tcBorders>
                                    <w:bottom w:val="single" w:sz="8" w:space="0" w:color="001F5F"/>
                                  </w:tcBorders>
                                </w:tcPr>
                                <w:p>
                                  <w:pPr>
                                    <w:pStyle w:val="TableParagraph"/>
                                    <w:rPr>
                                      <w:rFonts w:ascii="Times New Roman"/>
                                      <w:sz w:val="12"/>
                                    </w:rPr>
                                  </w:pPr>
                                </w:p>
                              </w:tc>
                              <w:tc>
                                <w:tcPr>
                                  <w:tcW w:w="731" w:type="dxa"/>
                                  <w:tcBorders>
                                    <w:bottom w:val="single" w:sz="8" w:space="0" w:color="001F5F"/>
                                  </w:tcBorders>
                                </w:tcPr>
                                <w:p>
                                  <w:pPr>
                                    <w:pStyle w:val="TableParagraph"/>
                                    <w:rPr>
                                      <w:rFonts w:ascii="Times New Roman"/>
                                      <w:sz w:val="12"/>
                                    </w:rPr>
                                  </w:pPr>
                                </w:p>
                              </w:tc>
                              <w:tc>
                                <w:tcPr>
                                  <w:tcW w:w="1077" w:type="dxa"/>
                                  <w:tcBorders>
                                    <w:bottom w:val="single" w:sz="8" w:space="0" w:color="001F5F"/>
                                  </w:tcBorders>
                                </w:tcPr>
                                <w:p>
                                  <w:pPr>
                                    <w:pStyle w:val="TableParagraph"/>
                                    <w:rPr>
                                      <w:rFonts w:ascii="Times New Roman"/>
                                      <w:sz w:val="12"/>
                                    </w:rPr>
                                  </w:pPr>
                                </w:p>
                              </w:tc>
                              <w:tc>
                                <w:tcPr>
                                  <w:tcW w:w="687" w:type="dxa"/>
                                  <w:tcBorders>
                                    <w:bottom w:val="single" w:sz="8" w:space="0" w:color="001F5F"/>
                                  </w:tcBorders>
                                </w:tcPr>
                                <w:p>
                                  <w:pPr>
                                    <w:pStyle w:val="TableParagraph"/>
                                    <w:rPr>
                                      <w:rFonts w:ascii="Times New Roman"/>
                                      <w:sz w:val="12"/>
                                    </w:rPr>
                                  </w:pPr>
                                </w:p>
                              </w:tc>
                              <w:tc>
                                <w:tcPr>
                                  <w:tcW w:w="1143" w:type="dxa"/>
                                  <w:tcBorders>
                                    <w:bottom w:val="single" w:sz="8" w:space="0" w:color="001F5F"/>
                                  </w:tcBorders>
                                </w:tcPr>
                                <w:p>
                                  <w:pPr>
                                    <w:pStyle w:val="TableParagraph"/>
                                    <w:rPr>
                                      <w:rFonts w:ascii="Times New Roman"/>
                                      <w:sz w:val="12"/>
                                    </w:rPr>
                                  </w:pPr>
                                </w:p>
                              </w:tc>
                              <w:tc>
                                <w:tcPr>
                                  <w:tcW w:w="531" w:type="dxa"/>
                                  <w:tcBorders>
                                    <w:bottom w:val="single" w:sz="8" w:space="0" w:color="001F5F"/>
                                  </w:tcBorders>
                                </w:tcPr>
                                <w:p>
                                  <w:pPr>
                                    <w:pStyle w:val="TableParagraph"/>
                                    <w:rPr>
                                      <w:rFonts w:ascii="Times New Roman"/>
                                      <w:sz w:val="12"/>
                                    </w:rPr>
                                  </w:pPr>
                                </w:p>
                              </w:tc>
                              <w:tc>
                                <w:tcPr>
                                  <w:tcW w:w="1007" w:type="dxa"/>
                                  <w:tcBorders>
                                    <w:bottom w:val="single" w:sz="8" w:space="0" w:color="001F5F"/>
                                  </w:tcBorders>
                                </w:tcPr>
                                <w:p>
                                  <w:pPr>
                                    <w:pStyle w:val="TableParagraph"/>
                                    <w:rPr>
                                      <w:rFonts w:ascii="Times New Roman"/>
                                      <w:sz w:val="12"/>
                                    </w:rPr>
                                  </w:pPr>
                                </w:p>
                              </w:tc>
                            </w:tr>
                            <w:tr>
                              <w:trPr>
                                <w:trHeight w:val="340" w:hRule="atLeast"/>
                              </w:trPr>
                              <w:tc>
                                <w:tcPr>
                                  <w:tcW w:w="3127" w:type="dxa"/>
                                  <w:gridSpan w:val="2"/>
                                  <w:tcBorders>
                                    <w:top w:val="single" w:sz="8" w:space="0" w:color="001F5F"/>
                                    <w:bottom w:val="single" w:sz="8" w:space="0" w:color="001F5F"/>
                                  </w:tcBorders>
                                </w:tcPr>
                                <w:p>
                                  <w:pPr>
                                    <w:pStyle w:val="TableParagraph"/>
                                    <w:spacing w:before="70"/>
                                    <w:ind w:left="71"/>
                                    <w:rPr>
                                      <w:sz w:val="17"/>
                                    </w:rPr>
                                  </w:pPr>
                                  <w:r>
                                    <w:rPr>
                                      <w:sz w:val="17"/>
                                    </w:rPr>
                                    <w:t>Mejora</w:t>
                                  </w:r>
                                  <w:r>
                                    <w:rPr>
                                      <w:spacing w:val="-4"/>
                                      <w:sz w:val="17"/>
                                    </w:rPr>
                                    <w:t> </w:t>
                                  </w:r>
                                  <w:r>
                                    <w:rPr>
                                      <w:sz w:val="17"/>
                                    </w:rPr>
                                    <w:t>accesibilidad</w:t>
                                  </w:r>
                                  <w:r>
                                    <w:rPr>
                                      <w:spacing w:val="-2"/>
                                      <w:sz w:val="17"/>
                                    </w:rPr>
                                    <w:t> </w:t>
                                  </w:r>
                                  <w:r>
                                    <w:rPr>
                                      <w:sz w:val="17"/>
                                    </w:rPr>
                                    <w:t>paradas</w:t>
                                  </w:r>
                                  <w:r>
                                    <w:rPr>
                                      <w:spacing w:val="46"/>
                                      <w:sz w:val="17"/>
                                    </w:rPr>
                                    <w:t>  </w:t>
                                  </w:r>
                                  <w:r>
                                    <w:rPr>
                                      <w:spacing w:val="-2"/>
                                      <w:sz w:val="17"/>
                                    </w:rPr>
                                    <w:t>Obras</w:t>
                                  </w:r>
                                </w:p>
                              </w:tc>
                              <w:tc>
                                <w:tcPr>
                                  <w:tcW w:w="1172" w:type="dxa"/>
                                  <w:tcBorders>
                                    <w:top w:val="single" w:sz="8" w:space="0" w:color="001F5F"/>
                                    <w:bottom w:val="single" w:sz="8" w:space="0" w:color="001F5F"/>
                                  </w:tcBorders>
                                </w:tcPr>
                                <w:p>
                                  <w:pPr>
                                    <w:pStyle w:val="TableParagraph"/>
                                    <w:spacing w:before="66"/>
                                    <w:ind w:right="133"/>
                                    <w:jc w:val="right"/>
                                    <w:rPr>
                                      <w:sz w:val="18"/>
                                    </w:rPr>
                                  </w:pPr>
                                  <w:r>
                                    <w:rPr>
                                      <w:spacing w:val="-2"/>
                                      <w:sz w:val="18"/>
                                    </w:rPr>
                                    <w:t>5.427.480,63</w:t>
                                  </w:r>
                                </w:p>
                              </w:tc>
                              <w:tc>
                                <w:tcPr>
                                  <w:tcW w:w="697" w:type="dxa"/>
                                  <w:tcBorders>
                                    <w:top w:val="single" w:sz="8" w:space="0" w:color="001F5F"/>
                                    <w:bottom w:val="single" w:sz="8" w:space="0" w:color="001F5F"/>
                                  </w:tcBorders>
                                </w:tcPr>
                                <w:p>
                                  <w:pPr>
                                    <w:pStyle w:val="TableParagraph"/>
                                    <w:spacing w:before="70"/>
                                    <w:ind w:right="83"/>
                                    <w:jc w:val="center"/>
                                    <w:rPr>
                                      <w:sz w:val="17"/>
                                    </w:rPr>
                                  </w:pPr>
                                  <w:r>
                                    <w:rPr>
                                      <w:spacing w:val="-2"/>
                                      <w:sz w:val="17"/>
                                    </w:rPr>
                                    <w:t>12,58</w:t>
                                  </w:r>
                                </w:p>
                              </w:tc>
                              <w:tc>
                                <w:tcPr>
                                  <w:tcW w:w="1224" w:type="dxa"/>
                                  <w:tcBorders>
                                    <w:top w:val="single" w:sz="8" w:space="0" w:color="001F5F"/>
                                    <w:bottom w:val="single" w:sz="8" w:space="0" w:color="001F5F"/>
                                  </w:tcBorders>
                                </w:tcPr>
                                <w:p>
                                  <w:pPr>
                                    <w:pStyle w:val="TableParagraph"/>
                                    <w:spacing w:before="70"/>
                                    <w:ind w:right="117"/>
                                    <w:jc w:val="right"/>
                                    <w:rPr>
                                      <w:sz w:val="17"/>
                                    </w:rPr>
                                  </w:pPr>
                                  <w:r>
                                    <w:rPr>
                                      <w:spacing w:val="-2"/>
                                      <w:sz w:val="17"/>
                                    </w:rPr>
                                    <w:t>2.670.729,80</w:t>
                                  </w:r>
                                </w:p>
                              </w:tc>
                              <w:tc>
                                <w:tcPr>
                                  <w:tcW w:w="731" w:type="dxa"/>
                                  <w:tcBorders>
                                    <w:top w:val="single" w:sz="8" w:space="0" w:color="001F5F"/>
                                    <w:bottom w:val="single" w:sz="8" w:space="0" w:color="001F5F"/>
                                  </w:tcBorders>
                                </w:tcPr>
                                <w:p>
                                  <w:pPr>
                                    <w:pStyle w:val="TableParagraph"/>
                                    <w:spacing w:before="70"/>
                                    <w:ind w:right="178"/>
                                    <w:jc w:val="right"/>
                                    <w:rPr>
                                      <w:sz w:val="17"/>
                                    </w:rPr>
                                  </w:pPr>
                                  <w:r>
                                    <w:rPr>
                                      <w:spacing w:val="-2"/>
                                      <w:sz w:val="17"/>
                                    </w:rPr>
                                    <w:t>49,21</w:t>
                                  </w:r>
                                </w:p>
                              </w:tc>
                              <w:tc>
                                <w:tcPr>
                                  <w:tcW w:w="1077" w:type="dxa"/>
                                  <w:tcBorders>
                                    <w:top w:val="single" w:sz="8" w:space="0" w:color="001F5F"/>
                                    <w:bottom w:val="single" w:sz="8" w:space="0" w:color="001F5F"/>
                                  </w:tcBorders>
                                </w:tcPr>
                                <w:p>
                                  <w:pPr>
                                    <w:pStyle w:val="TableParagraph"/>
                                    <w:spacing w:before="70"/>
                                    <w:ind w:left="171"/>
                                    <w:rPr>
                                      <w:sz w:val="17"/>
                                    </w:rPr>
                                  </w:pPr>
                                  <w:r>
                                    <w:rPr>
                                      <w:spacing w:val="-2"/>
                                      <w:sz w:val="17"/>
                                    </w:rPr>
                                    <w:t>2.756.750,83</w:t>
                                  </w:r>
                                </w:p>
                              </w:tc>
                              <w:tc>
                                <w:tcPr>
                                  <w:tcW w:w="687" w:type="dxa"/>
                                  <w:tcBorders>
                                    <w:top w:val="single" w:sz="8" w:space="0" w:color="001F5F"/>
                                    <w:bottom w:val="single" w:sz="8" w:space="0" w:color="001F5F"/>
                                  </w:tcBorders>
                                </w:tcPr>
                                <w:p>
                                  <w:pPr>
                                    <w:pStyle w:val="TableParagraph"/>
                                    <w:spacing w:before="70"/>
                                    <w:ind w:left="114"/>
                                    <w:rPr>
                                      <w:sz w:val="17"/>
                                    </w:rPr>
                                  </w:pPr>
                                  <w:r>
                                    <w:rPr>
                                      <w:spacing w:val="-2"/>
                                      <w:sz w:val="17"/>
                                    </w:rPr>
                                    <w:t>50,79</w:t>
                                  </w:r>
                                </w:p>
                              </w:tc>
                              <w:tc>
                                <w:tcPr>
                                  <w:tcW w:w="1143" w:type="dxa"/>
                                  <w:tcBorders>
                                    <w:top w:val="single" w:sz="8" w:space="0" w:color="001F5F"/>
                                    <w:bottom w:val="single" w:sz="8" w:space="0" w:color="001F5F"/>
                                  </w:tcBorders>
                                </w:tcPr>
                                <w:p>
                                  <w:pPr>
                                    <w:pStyle w:val="TableParagraph"/>
                                    <w:spacing w:before="70"/>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70"/>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70"/>
                                    <w:ind w:left="60"/>
                                    <w:rPr>
                                      <w:sz w:val="17"/>
                                    </w:rPr>
                                  </w:pPr>
                                  <w:r>
                                    <w:rPr>
                                      <w:sz w:val="17"/>
                                    </w:rPr>
                                    <w:t>En</w:t>
                                  </w:r>
                                  <w:r>
                                    <w:rPr>
                                      <w:spacing w:val="-1"/>
                                      <w:sz w:val="17"/>
                                    </w:rPr>
                                    <w:t> </w:t>
                                  </w:r>
                                  <w:r>
                                    <w:rPr>
                                      <w:spacing w:val="-2"/>
                                      <w:sz w:val="17"/>
                                    </w:rPr>
                                    <w:t>ejecución</w:t>
                                  </w:r>
                                </w:p>
                              </w:tc>
                            </w:tr>
                            <w:tr>
                              <w:trPr>
                                <w:trHeight w:val="391" w:hRule="atLeast"/>
                              </w:trPr>
                              <w:tc>
                                <w:tcPr>
                                  <w:tcW w:w="1981" w:type="dxa"/>
                                  <w:tcBorders>
                                    <w:top w:val="single" w:sz="8" w:space="0" w:color="001F5F"/>
                                  </w:tcBorders>
                                </w:tcPr>
                                <w:p>
                                  <w:pPr>
                                    <w:pStyle w:val="TableParagraph"/>
                                    <w:spacing w:line="194" w:lineRule="exact"/>
                                    <w:ind w:left="71" w:right="101"/>
                                    <w:rPr>
                                      <w:sz w:val="17"/>
                                    </w:rPr>
                                  </w:pPr>
                                  <w:r>
                                    <w:rPr>
                                      <w:sz w:val="17"/>
                                    </w:rPr>
                                    <w:t>Digitalización</w:t>
                                  </w:r>
                                  <w:r>
                                    <w:rPr>
                                      <w:spacing w:val="-10"/>
                                      <w:sz w:val="17"/>
                                    </w:rPr>
                                    <w:t> </w:t>
                                  </w:r>
                                  <w:r>
                                    <w:rPr>
                                      <w:sz w:val="17"/>
                                    </w:rPr>
                                    <w:t>de</w:t>
                                  </w:r>
                                  <w:r>
                                    <w:rPr>
                                      <w:spacing w:val="-10"/>
                                      <w:sz w:val="17"/>
                                    </w:rPr>
                                    <w:t> </w:t>
                                  </w:r>
                                  <w:r>
                                    <w:rPr>
                                      <w:sz w:val="17"/>
                                    </w:rPr>
                                    <w:t>los</w:t>
                                  </w:r>
                                  <w:r>
                                    <w:rPr>
                                      <w:spacing w:val="-10"/>
                                      <w:sz w:val="17"/>
                                    </w:rPr>
                                    <w:t> </w:t>
                                  </w:r>
                                  <w:r>
                                    <w:rPr>
                                      <w:sz w:val="17"/>
                                    </w:rPr>
                                    <w:t>medios</w:t>
                                  </w:r>
                                  <w:r>
                                    <w:rPr>
                                      <w:spacing w:val="40"/>
                                      <w:sz w:val="17"/>
                                    </w:rPr>
                                    <w:t> </w:t>
                                  </w:r>
                                  <w:r>
                                    <w:rPr>
                                      <w:sz w:val="17"/>
                                    </w:rPr>
                                    <w:t>de pago y eliminación del</w:t>
                                  </w:r>
                                </w:p>
                              </w:tc>
                              <w:tc>
                                <w:tcPr>
                                  <w:tcW w:w="1146" w:type="dxa"/>
                                  <w:tcBorders>
                                    <w:top w:val="single" w:sz="8" w:space="0" w:color="001F5F"/>
                                  </w:tcBorders>
                                </w:tcPr>
                                <w:p>
                                  <w:pPr>
                                    <w:pStyle w:val="TableParagraph"/>
                                    <w:spacing w:line="178" w:lineRule="exact" w:before="193"/>
                                    <w:ind w:left="73"/>
                                    <w:rPr>
                                      <w:sz w:val="17"/>
                                    </w:rPr>
                                  </w:pPr>
                                  <w:r>
                                    <w:rPr>
                                      <w:spacing w:val="-2"/>
                                      <w:sz w:val="17"/>
                                    </w:rPr>
                                    <w:t>Digitalización</w:t>
                                  </w:r>
                                </w:p>
                              </w:tc>
                              <w:tc>
                                <w:tcPr>
                                  <w:tcW w:w="1172" w:type="dxa"/>
                                  <w:tcBorders>
                                    <w:top w:val="single" w:sz="8" w:space="0" w:color="001F5F"/>
                                  </w:tcBorders>
                                </w:tcPr>
                                <w:p>
                                  <w:pPr>
                                    <w:pStyle w:val="TableParagraph"/>
                                    <w:spacing w:line="183" w:lineRule="exact" w:before="188"/>
                                    <w:ind w:right="191"/>
                                    <w:jc w:val="right"/>
                                    <w:rPr>
                                      <w:sz w:val="18"/>
                                    </w:rPr>
                                  </w:pPr>
                                  <w:r>
                                    <w:rPr>
                                      <w:spacing w:val="-2"/>
                                      <w:sz w:val="18"/>
                                    </w:rPr>
                                    <w:t>1.023.644,89</w:t>
                                  </w:r>
                                </w:p>
                              </w:tc>
                              <w:tc>
                                <w:tcPr>
                                  <w:tcW w:w="697" w:type="dxa"/>
                                  <w:tcBorders>
                                    <w:top w:val="single" w:sz="8" w:space="0" w:color="001F5F"/>
                                  </w:tcBorders>
                                </w:tcPr>
                                <w:p>
                                  <w:pPr>
                                    <w:pStyle w:val="TableParagraph"/>
                                    <w:spacing w:line="178" w:lineRule="exact" w:before="193"/>
                                    <w:ind w:left="77" w:right="83"/>
                                    <w:jc w:val="center"/>
                                    <w:rPr>
                                      <w:sz w:val="17"/>
                                    </w:rPr>
                                  </w:pPr>
                                  <w:r>
                                    <w:rPr>
                                      <w:spacing w:val="-4"/>
                                      <w:sz w:val="17"/>
                                    </w:rPr>
                                    <w:t>2,37</w:t>
                                  </w:r>
                                </w:p>
                              </w:tc>
                              <w:tc>
                                <w:tcPr>
                                  <w:tcW w:w="1224" w:type="dxa"/>
                                  <w:tcBorders>
                                    <w:top w:val="single" w:sz="8" w:space="0" w:color="001F5F"/>
                                  </w:tcBorders>
                                </w:tcPr>
                                <w:p>
                                  <w:pPr>
                                    <w:pStyle w:val="TableParagraph"/>
                                    <w:spacing w:line="178" w:lineRule="exact" w:before="193"/>
                                    <w:ind w:left="249"/>
                                    <w:rPr>
                                      <w:sz w:val="17"/>
                                    </w:rPr>
                                  </w:pPr>
                                  <w:r>
                                    <w:rPr>
                                      <w:spacing w:val="-2"/>
                                      <w:sz w:val="17"/>
                                    </w:rPr>
                                    <w:t>126.065,39</w:t>
                                  </w:r>
                                </w:p>
                              </w:tc>
                              <w:tc>
                                <w:tcPr>
                                  <w:tcW w:w="731" w:type="dxa"/>
                                  <w:tcBorders>
                                    <w:top w:val="single" w:sz="8" w:space="0" w:color="001F5F"/>
                                  </w:tcBorders>
                                </w:tcPr>
                                <w:p>
                                  <w:pPr>
                                    <w:pStyle w:val="TableParagraph"/>
                                    <w:spacing w:line="178" w:lineRule="exact" w:before="193"/>
                                    <w:ind w:left="112"/>
                                    <w:rPr>
                                      <w:sz w:val="17"/>
                                    </w:rPr>
                                  </w:pPr>
                                  <w:r>
                                    <w:rPr>
                                      <w:spacing w:val="-2"/>
                                      <w:sz w:val="17"/>
                                    </w:rPr>
                                    <w:t>12,32</w:t>
                                  </w:r>
                                </w:p>
                              </w:tc>
                              <w:tc>
                                <w:tcPr>
                                  <w:tcW w:w="1077" w:type="dxa"/>
                                  <w:tcBorders>
                                    <w:top w:val="single" w:sz="8" w:space="0" w:color="001F5F"/>
                                  </w:tcBorders>
                                </w:tcPr>
                                <w:p>
                                  <w:pPr>
                                    <w:pStyle w:val="TableParagraph"/>
                                    <w:spacing w:line="178" w:lineRule="exact" w:before="193"/>
                                    <w:ind w:left="204"/>
                                    <w:rPr>
                                      <w:sz w:val="17"/>
                                    </w:rPr>
                                  </w:pPr>
                                  <w:r>
                                    <w:rPr>
                                      <w:spacing w:val="-2"/>
                                      <w:sz w:val="17"/>
                                    </w:rPr>
                                    <w:t>897.579,50</w:t>
                                  </w:r>
                                </w:p>
                              </w:tc>
                              <w:tc>
                                <w:tcPr>
                                  <w:tcW w:w="687" w:type="dxa"/>
                                  <w:tcBorders>
                                    <w:top w:val="single" w:sz="8" w:space="0" w:color="001F5F"/>
                                  </w:tcBorders>
                                </w:tcPr>
                                <w:p>
                                  <w:pPr>
                                    <w:pStyle w:val="TableParagraph"/>
                                    <w:spacing w:line="178" w:lineRule="exact" w:before="193"/>
                                    <w:ind w:left="81"/>
                                    <w:rPr>
                                      <w:sz w:val="17"/>
                                    </w:rPr>
                                  </w:pPr>
                                  <w:r>
                                    <w:rPr>
                                      <w:spacing w:val="-2"/>
                                      <w:sz w:val="17"/>
                                    </w:rPr>
                                    <w:t>87,68</w:t>
                                  </w:r>
                                </w:p>
                              </w:tc>
                              <w:tc>
                                <w:tcPr>
                                  <w:tcW w:w="2681" w:type="dxa"/>
                                  <w:gridSpan w:val="3"/>
                                  <w:tcBorders>
                                    <w:top w:val="single" w:sz="8" w:space="0" w:color="001F5F"/>
                                  </w:tcBorders>
                                </w:tcPr>
                                <w:p>
                                  <w:pPr>
                                    <w:pStyle w:val="TableParagraph"/>
                                    <w:tabs>
                                      <w:tab w:pos="1242" w:val="left" w:leader="none"/>
                                      <w:tab w:pos="1765" w:val="left" w:leader="none"/>
                                    </w:tabs>
                                    <w:spacing w:line="178" w:lineRule="exact" w:before="193"/>
                                    <w:ind w:left="752"/>
                                    <w:rPr>
                                      <w:sz w:val="17"/>
                                    </w:rPr>
                                  </w:pPr>
                                  <w:r>
                                    <w:rPr>
                                      <w:spacing w:val="-4"/>
                                      <w:sz w:val="17"/>
                                    </w:rPr>
                                    <w:t>0,00</w:t>
                                  </w:r>
                                  <w:r>
                                    <w:rPr>
                                      <w:sz w:val="17"/>
                                    </w:rPr>
                                    <w:tab/>
                                  </w:r>
                                  <w:r>
                                    <w:rPr>
                                      <w:spacing w:val="-4"/>
                                      <w:sz w:val="17"/>
                                    </w:rPr>
                                    <w:t>0,00</w:t>
                                  </w:r>
                                  <w:r>
                                    <w:rPr>
                                      <w:sz w:val="17"/>
                                    </w:rPr>
                                    <w:tab/>
                                    <w:t>En</w:t>
                                  </w:r>
                                  <w:r>
                                    <w:rPr>
                                      <w:spacing w:val="-1"/>
                                      <w:sz w:val="17"/>
                                    </w:rPr>
                                    <w:t> </w:t>
                                  </w:r>
                                  <w:r>
                                    <w:rPr>
                                      <w:spacing w:val="-2"/>
                                      <w:sz w:val="17"/>
                                    </w:rPr>
                                    <w:t>ejecución</w:t>
                                  </w:r>
                                </w:p>
                              </w:tc>
                            </w:tr>
                            <w:tr>
                              <w:trPr>
                                <w:trHeight w:val="193" w:hRule="atLeast"/>
                              </w:trPr>
                              <w:tc>
                                <w:tcPr>
                                  <w:tcW w:w="1981" w:type="dxa"/>
                                  <w:tcBorders>
                                    <w:bottom w:val="single" w:sz="8" w:space="0" w:color="001F5F"/>
                                  </w:tcBorders>
                                </w:tcPr>
                                <w:p>
                                  <w:pPr>
                                    <w:pStyle w:val="TableParagraph"/>
                                    <w:spacing w:line="173" w:lineRule="exact"/>
                                    <w:ind w:left="71"/>
                                    <w:rPr>
                                      <w:sz w:val="17"/>
                                    </w:rPr>
                                  </w:pPr>
                                  <w:r>
                                    <w:rPr>
                                      <w:sz w:val="17"/>
                                    </w:rPr>
                                    <w:t>pago</w:t>
                                  </w:r>
                                  <w:r>
                                    <w:rPr>
                                      <w:spacing w:val="-3"/>
                                      <w:sz w:val="17"/>
                                    </w:rPr>
                                    <w:t> </w:t>
                                  </w:r>
                                  <w:r>
                                    <w:rPr>
                                      <w:sz w:val="17"/>
                                    </w:rPr>
                                    <w:t>en</w:t>
                                  </w:r>
                                  <w:r>
                                    <w:rPr>
                                      <w:spacing w:val="-2"/>
                                      <w:sz w:val="17"/>
                                    </w:rPr>
                                    <w:t> efectivo</w:t>
                                  </w:r>
                                </w:p>
                              </w:tc>
                              <w:tc>
                                <w:tcPr>
                                  <w:tcW w:w="1146" w:type="dxa"/>
                                  <w:tcBorders>
                                    <w:bottom w:val="single" w:sz="8" w:space="0" w:color="001F5F"/>
                                  </w:tcBorders>
                                </w:tcPr>
                                <w:p>
                                  <w:pPr>
                                    <w:pStyle w:val="TableParagraph"/>
                                    <w:rPr>
                                      <w:rFonts w:ascii="Times New Roman"/>
                                      <w:sz w:val="12"/>
                                    </w:rPr>
                                  </w:pPr>
                                </w:p>
                              </w:tc>
                              <w:tc>
                                <w:tcPr>
                                  <w:tcW w:w="1172" w:type="dxa"/>
                                  <w:tcBorders>
                                    <w:bottom w:val="single" w:sz="8" w:space="0" w:color="001F5F"/>
                                  </w:tcBorders>
                                </w:tcPr>
                                <w:p>
                                  <w:pPr>
                                    <w:pStyle w:val="TableParagraph"/>
                                    <w:rPr>
                                      <w:rFonts w:ascii="Times New Roman"/>
                                      <w:sz w:val="12"/>
                                    </w:rPr>
                                  </w:pPr>
                                </w:p>
                              </w:tc>
                              <w:tc>
                                <w:tcPr>
                                  <w:tcW w:w="697" w:type="dxa"/>
                                  <w:tcBorders>
                                    <w:bottom w:val="single" w:sz="8" w:space="0" w:color="001F5F"/>
                                  </w:tcBorders>
                                </w:tcPr>
                                <w:p>
                                  <w:pPr>
                                    <w:pStyle w:val="TableParagraph"/>
                                    <w:rPr>
                                      <w:rFonts w:ascii="Times New Roman"/>
                                      <w:sz w:val="12"/>
                                    </w:rPr>
                                  </w:pPr>
                                </w:p>
                              </w:tc>
                              <w:tc>
                                <w:tcPr>
                                  <w:tcW w:w="1224" w:type="dxa"/>
                                  <w:tcBorders>
                                    <w:bottom w:val="single" w:sz="8" w:space="0" w:color="001F5F"/>
                                  </w:tcBorders>
                                </w:tcPr>
                                <w:p>
                                  <w:pPr>
                                    <w:pStyle w:val="TableParagraph"/>
                                    <w:rPr>
                                      <w:rFonts w:ascii="Times New Roman"/>
                                      <w:sz w:val="12"/>
                                    </w:rPr>
                                  </w:pPr>
                                </w:p>
                              </w:tc>
                              <w:tc>
                                <w:tcPr>
                                  <w:tcW w:w="731" w:type="dxa"/>
                                  <w:tcBorders>
                                    <w:bottom w:val="single" w:sz="8" w:space="0" w:color="001F5F"/>
                                  </w:tcBorders>
                                </w:tcPr>
                                <w:p>
                                  <w:pPr>
                                    <w:pStyle w:val="TableParagraph"/>
                                    <w:rPr>
                                      <w:rFonts w:ascii="Times New Roman"/>
                                      <w:sz w:val="12"/>
                                    </w:rPr>
                                  </w:pPr>
                                </w:p>
                              </w:tc>
                              <w:tc>
                                <w:tcPr>
                                  <w:tcW w:w="1077" w:type="dxa"/>
                                  <w:tcBorders>
                                    <w:bottom w:val="single" w:sz="8" w:space="0" w:color="001F5F"/>
                                  </w:tcBorders>
                                </w:tcPr>
                                <w:p>
                                  <w:pPr>
                                    <w:pStyle w:val="TableParagraph"/>
                                    <w:rPr>
                                      <w:rFonts w:ascii="Times New Roman"/>
                                      <w:sz w:val="12"/>
                                    </w:rPr>
                                  </w:pPr>
                                </w:p>
                              </w:tc>
                              <w:tc>
                                <w:tcPr>
                                  <w:tcW w:w="687" w:type="dxa"/>
                                  <w:tcBorders>
                                    <w:bottom w:val="single" w:sz="8" w:space="0" w:color="001F5F"/>
                                  </w:tcBorders>
                                </w:tcPr>
                                <w:p>
                                  <w:pPr>
                                    <w:pStyle w:val="TableParagraph"/>
                                    <w:rPr>
                                      <w:rFonts w:ascii="Times New Roman"/>
                                      <w:sz w:val="12"/>
                                    </w:rPr>
                                  </w:pPr>
                                </w:p>
                              </w:tc>
                              <w:tc>
                                <w:tcPr>
                                  <w:tcW w:w="2681" w:type="dxa"/>
                                  <w:gridSpan w:val="3"/>
                                  <w:tcBorders>
                                    <w:bottom w:val="single" w:sz="8" w:space="0" w:color="001F5F"/>
                                  </w:tcBorders>
                                </w:tcPr>
                                <w:p>
                                  <w:pPr>
                                    <w:pStyle w:val="TableParagraph"/>
                                    <w:rPr>
                                      <w:rFonts w:ascii="Times New Roman"/>
                                      <w:sz w:val="12"/>
                                    </w:rPr>
                                  </w:pPr>
                                </w:p>
                              </w:tc>
                            </w:tr>
                            <w:tr>
                              <w:trPr>
                                <w:trHeight w:val="191" w:hRule="atLeast"/>
                              </w:trPr>
                              <w:tc>
                                <w:tcPr>
                                  <w:tcW w:w="1981" w:type="dxa"/>
                                  <w:tcBorders>
                                    <w:top w:val="single" w:sz="8" w:space="0" w:color="001F5F"/>
                                  </w:tcBorders>
                                </w:tcPr>
                                <w:p>
                                  <w:pPr>
                                    <w:pStyle w:val="TableParagraph"/>
                                    <w:spacing w:line="171" w:lineRule="exact"/>
                                    <w:ind w:left="71"/>
                                    <w:rPr>
                                      <w:sz w:val="17"/>
                                    </w:rPr>
                                  </w:pPr>
                                  <w:r>
                                    <w:rPr>
                                      <w:sz w:val="17"/>
                                    </w:rPr>
                                    <w:t>Digitalización</w:t>
                                  </w:r>
                                  <w:r>
                                    <w:rPr>
                                      <w:spacing w:val="-3"/>
                                      <w:sz w:val="17"/>
                                    </w:rPr>
                                    <w:t> </w:t>
                                  </w:r>
                                  <w:r>
                                    <w:rPr>
                                      <w:sz w:val="17"/>
                                    </w:rPr>
                                    <w:t>de</w:t>
                                  </w:r>
                                  <w:r>
                                    <w:rPr>
                                      <w:spacing w:val="-4"/>
                                      <w:sz w:val="17"/>
                                    </w:rPr>
                                    <w:t> </w:t>
                                  </w:r>
                                  <w:r>
                                    <w:rPr>
                                      <w:sz w:val="17"/>
                                    </w:rPr>
                                    <w:t>los</w:t>
                                  </w:r>
                                  <w:r>
                                    <w:rPr>
                                      <w:spacing w:val="-1"/>
                                      <w:sz w:val="17"/>
                                    </w:rPr>
                                    <w:t> </w:t>
                                  </w:r>
                                  <w:r>
                                    <w:rPr>
                                      <w:spacing w:val="-2"/>
                                      <w:sz w:val="17"/>
                                    </w:rPr>
                                    <w:t>sistemas</w:t>
                                  </w:r>
                                </w:p>
                              </w:tc>
                              <w:tc>
                                <w:tcPr>
                                  <w:tcW w:w="1146" w:type="dxa"/>
                                  <w:tcBorders>
                                    <w:top w:val="single" w:sz="8" w:space="0" w:color="001F5F"/>
                                  </w:tcBorders>
                                </w:tcPr>
                                <w:p>
                                  <w:pPr>
                                    <w:pStyle w:val="TableParagraph"/>
                                    <w:rPr>
                                      <w:rFonts w:ascii="Times New Roman"/>
                                      <w:sz w:val="12"/>
                                    </w:rPr>
                                  </w:pPr>
                                </w:p>
                              </w:tc>
                              <w:tc>
                                <w:tcPr>
                                  <w:tcW w:w="1172" w:type="dxa"/>
                                  <w:tcBorders>
                                    <w:top w:val="single" w:sz="8" w:space="0" w:color="001F5F"/>
                                  </w:tcBorders>
                                </w:tcPr>
                                <w:p>
                                  <w:pPr>
                                    <w:pStyle w:val="TableParagraph"/>
                                    <w:rPr>
                                      <w:rFonts w:ascii="Times New Roman"/>
                                      <w:sz w:val="12"/>
                                    </w:rPr>
                                  </w:pPr>
                                </w:p>
                              </w:tc>
                              <w:tc>
                                <w:tcPr>
                                  <w:tcW w:w="697" w:type="dxa"/>
                                  <w:tcBorders>
                                    <w:top w:val="single" w:sz="8" w:space="0" w:color="001F5F"/>
                                  </w:tcBorders>
                                </w:tcPr>
                                <w:p>
                                  <w:pPr>
                                    <w:pStyle w:val="TableParagraph"/>
                                    <w:rPr>
                                      <w:rFonts w:ascii="Times New Roman"/>
                                      <w:sz w:val="12"/>
                                    </w:rPr>
                                  </w:pPr>
                                </w:p>
                              </w:tc>
                              <w:tc>
                                <w:tcPr>
                                  <w:tcW w:w="1224" w:type="dxa"/>
                                  <w:tcBorders>
                                    <w:top w:val="single" w:sz="8" w:space="0" w:color="001F5F"/>
                                  </w:tcBorders>
                                </w:tcPr>
                                <w:p>
                                  <w:pPr>
                                    <w:pStyle w:val="TableParagraph"/>
                                    <w:rPr>
                                      <w:rFonts w:ascii="Times New Roman"/>
                                      <w:sz w:val="12"/>
                                    </w:rPr>
                                  </w:pPr>
                                </w:p>
                              </w:tc>
                              <w:tc>
                                <w:tcPr>
                                  <w:tcW w:w="731" w:type="dxa"/>
                                  <w:tcBorders>
                                    <w:top w:val="single" w:sz="8" w:space="0" w:color="001F5F"/>
                                  </w:tcBorders>
                                </w:tcPr>
                                <w:p>
                                  <w:pPr>
                                    <w:pStyle w:val="TableParagraph"/>
                                    <w:rPr>
                                      <w:rFonts w:ascii="Times New Roman"/>
                                      <w:sz w:val="12"/>
                                    </w:rPr>
                                  </w:pPr>
                                </w:p>
                              </w:tc>
                              <w:tc>
                                <w:tcPr>
                                  <w:tcW w:w="1077" w:type="dxa"/>
                                  <w:tcBorders>
                                    <w:top w:val="single" w:sz="8" w:space="0" w:color="001F5F"/>
                                  </w:tcBorders>
                                </w:tcPr>
                                <w:p>
                                  <w:pPr>
                                    <w:pStyle w:val="TableParagraph"/>
                                    <w:rPr>
                                      <w:rFonts w:ascii="Times New Roman"/>
                                      <w:sz w:val="12"/>
                                    </w:rPr>
                                  </w:pPr>
                                </w:p>
                              </w:tc>
                              <w:tc>
                                <w:tcPr>
                                  <w:tcW w:w="687" w:type="dxa"/>
                                  <w:tcBorders>
                                    <w:top w:val="single" w:sz="8" w:space="0" w:color="001F5F"/>
                                  </w:tcBorders>
                                </w:tcPr>
                                <w:p>
                                  <w:pPr>
                                    <w:pStyle w:val="TableParagraph"/>
                                    <w:rPr>
                                      <w:rFonts w:ascii="Times New Roman"/>
                                      <w:sz w:val="12"/>
                                    </w:rPr>
                                  </w:pPr>
                                </w:p>
                              </w:tc>
                              <w:tc>
                                <w:tcPr>
                                  <w:tcW w:w="2681" w:type="dxa"/>
                                  <w:gridSpan w:val="3"/>
                                  <w:tcBorders>
                                    <w:top w:val="single" w:sz="8" w:space="0" w:color="001F5F"/>
                                  </w:tcBorders>
                                </w:tcPr>
                                <w:p>
                                  <w:pPr>
                                    <w:pStyle w:val="TableParagraph"/>
                                    <w:rPr>
                                      <w:rFonts w:ascii="Times New Roman"/>
                                      <w:sz w:val="12"/>
                                    </w:rPr>
                                  </w:pPr>
                                </w:p>
                              </w:tc>
                            </w:tr>
                            <w:tr>
                              <w:trPr>
                                <w:trHeight w:val="393" w:hRule="atLeast"/>
                              </w:trPr>
                              <w:tc>
                                <w:tcPr>
                                  <w:tcW w:w="3127" w:type="dxa"/>
                                  <w:gridSpan w:val="2"/>
                                  <w:tcBorders>
                                    <w:bottom w:val="single" w:sz="8" w:space="0" w:color="001F5F"/>
                                  </w:tcBorders>
                                </w:tcPr>
                                <w:p>
                                  <w:pPr>
                                    <w:pStyle w:val="TableParagraph"/>
                                    <w:tabs>
                                      <w:tab w:pos="2054" w:val="left" w:leader="none"/>
                                    </w:tabs>
                                    <w:spacing w:line="190" w:lineRule="atLeast"/>
                                    <w:ind w:left="71" w:right="251"/>
                                    <w:rPr>
                                      <w:sz w:val="17"/>
                                    </w:rPr>
                                  </w:pPr>
                                  <w:r>
                                    <w:rPr>
                                      <w:sz w:val="17"/>
                                    </w:rPr>
                                    <w:t>de comunicación de</w:t>
                                    <w:tab/>
                                  </w:r>
                                  <w:r>
                                    <w:rPr>
                                      <w:spacing w:val="-2"/>
                                      <w:sz w:val="17"/>
                                    </w:rPr>
                                    <w:t>Digitalización</w:t>
                                  </w:r>
                                  <w:r>
                                    <w:rPr>
                                      <w:spacing w:val="40"/>
                                      <w:sz w:val="17"/>
                                    </w:rPr>
                                    <w:t> </w:t>
                                  </w:r>
                                  <w:r>
                                    <w:rPr>
                                      <w:sz w:val="17"/>
                                    </w:rPr>
                                    <w:t>información (SAE, Apps,)</w:t>
                                  </w:r>
                                </w:p>
                              </w:tc>
                              <w:tc>
                                <w:tcPr>
                                  <w:tcW w:w="1172" w:type="dxa"/>
                                  <w:tcBorders>
                                    <w:bottom w:val="single" w:sz="8" w:space="0" w:color="001F5F"/>
                                  </w:tcBorders>
                                </w:tcPr>
                                <w:p>
                                  <w:pPr>
                                    <w:pStyle w:val="TableParagraph"/>
                                    <w:spacing w:line="204" w:lineRule="exact"/>
                                    <w:ind w:right="133"/>
                                    <w:jc w:val="right"/>
                                    <w:rPr>
                                      <w:sz w:val="18"/>
                                    </w:rPr>
                                  </w:pPr>
                                  <w:r>
                                    <w:rPr>
                                      <w:spacing w:val="-2"/>
                                      <w:sz w:val="18"/>
                                    </w:rPr>
                                    <w:t>771.664,67</w:t>
                                  </w:r>
                                </w:p>
                              </w:tc>
                              <w:tc>
                                <w:tcPr>
                                  <w:tcW w:w="697" w:type="dxa"/>
                                  <w:tcBorders>
                                    <w:bottom w:val="single" w:sz="8" w:space="0" w:color="001F5F"/>
                                  </w:tcBorders>
                                </w:tcPr>
                                <w:p>
                                  <w:pPr>
                                    <w:pStyle w:val="TableParagraph"/>
                                    <w:spacing w:before="1"/>
                                    <w:ind w:left="77" w:right="83"/>
                                    <w:jc w:val="center"/>
                                    <w:rPr>
                                      <w:sz w:val="17"/>
                                    </w:rPr>
                                  </w:pPr>
                                  <w:r>
                                    <w:rPr>
                                      <w:spacing w:val="-4"/>
                                      <w:sz w:val="17"/>
                                    </w:rPr>
                                    <w:t>1,79</w:t>
                                  </w:r>
                                </w:p>
                              </w:tc>
                              <w:tc>
                                <w:tcPr>
                                  <w:tcW w:w="1224" w:type="dxa"/>
                                  <w:tcBorders>
                                    <w:bottom w:val="single" w:sz="8" w:space="0" w:color="001F5F"/>
                                  </w:tcBorders>
                                </w:tcPr>
                                <w:p>
                                  <w:pPr>
                                    <w:pStyle w:val="TableParagraph"/>
                                    <w:spacing w:before="1"/>
                                    <w:ind w:right="117"/>
                                    <w:jc w:val="right"/>
                                    <w:rPr>
                                      <w:sz w:val="17"/>
                                    </w:rPr>
                                  </w:pPr>
                                  <w:r>
                                    <w:rPr>
                                      <w:spacing w:val="-2"/>
                                      <w:sz w:val="17"/>
                                    </w:rPr>
                                    <w:t>80.643,73</w:t>
                                  </w:r>
                                </w:p>
                              </w:tc>
                              <w:tc>
                                <w:tcPr>
                                  <w:tcW w:w="731" w:type="dxa"/>
                                  <w:tcBorders>
                                    <w:bottom w:val="single" w:sz="8" w:space="0" w:color="001F5F"/>
                                  </w:tcBorders>
                                </w:tcPr>
                                <w:p>
                                  <w:pPr>
                                    <w:pStyle w:val="TableParagraph"/>
                                    <w:spacing w:before="1"/>
                                    <w:ind w:right="178"/>
                                    <w:jc w:val="right"/>
                                    <w:rPr>
                                      <w:sz w:val="17"/>
                                    </w:rPr>
                                  </w:pPr>
                                  <w:r>
                                    <w:rPr>
                                      <w:spacing w:val="-2"/>
                                      <w:sz w:val="17"/>
                                    </w:rPr>
                                    <w:t>10,45</w:t>
                                  </w:r>
                                </w:p>
                              </w:tc>
                              <w:tc>
                                <w:tcPr>
                                  <w:tcW w:w="1077" w:type="dxa"/>
                                  <w:tcBorders>
                                    <w:bottom w:val="single" w:sz="8" w:space="0" w:color="001F5F"/>
                                  </w:tcBorders>
                                </w:tcPr>
                                <w:p>
                                  <w:pPr>
                                    <w:pStyle w:val="TableParagraph"/>
                                    <w:spacing w:before="1"/>
                                    <w:ind w:right="91"/>
                                    <w:jc w:val="right"/>
                                    <w:rPr>
                                      <w:sz w:val="17"/>
                                    </w:rPr>
                                  </w:pPr>
                                  <w:r>
                                    <w:rPr>
                                      <w:spacing w:val="-2"/>
                                      <w:sz w:val="17"/>
                                    </w:rPr>
                                    <w:t>691.020,94</w:t>
                                  </w:r>
                                </w:p>
                              </w:tc>
                              <w:tc>
                                <w:tcPr>
                                  <w:tcW w:w="687" w:type="dxa"/>
                                  <w:tcBorders>
                                    <w:bottom w:val="single" w:sz="8" w:space="0" w:color="001F5F"/>
                                  </w:tcBorders>
                                </w:tcPr>
                                <w:p>
                                  <w:pPr>
                                    <w:pStyle w:val="TableParagraph"/>
                                    <w:spacing w:before="1"/>
                                    <w:ind w:left="114"/>
                                    <w:rPr>
                                      <w:sz w:val="17"/>
                                    </w:rPr>
                                  </w:pPr>
                                  <w:r>
                                    <w:rPr>
                                      <w:spacing w:val="-2"/>
                                      <w:sz w:val="17"/>
                                    </w:rPr>
                                    <w:t>89,55</w:t>
                                  </w:r>
                                </w:p>
                              </w:tc>
                              <w:tc>
                                <w:tcPr>
                                  <w:tcW w:w="1143" w:type="dxa"/>
                                  <w:tcBorders>
                                    <w:bottom w:val="single" w:sz="8" w:space="0" w:color="001F5F"/>
                                  </w:tcBorders>
                                </w:tcPr>
                                <w:p>
                                  <w:pPr>
                                    <w:pStyle w:val="TableParagraph"/>
                                    <w:spacing w:before="1"/>
                                    <w:ind w:right="118"/>
                                    <w:jc w:val="right"/>
                                    <w:rPr>
                                      <w:sz w:val="17"/>
                                    </w:rPr>
                                  </w:pPr>
                                  <w:r>
                                    <w:rPr>
                                      <w:spacing w:val="-4"/>
                                      <w:sz w:val="17"/>
                                    </w:rPr>
                                    <w:t>0,00</w:t>
                                  </w:r>
                                </w:p>
                              </w:tc>
                              <w:tc>
                                <w:tcPr>
                                  <w:tcW w:w="531" w:type="dxa"/>
                                  <w:tcBorders>
                                    <w:bottom w:val="single" w:sz="8" w:space="0" w:color="001F5F"/>
                                  </w:tcBorders>
                                </w:tcPr>
                                <w:p>
                                  <w:pPr>
                                    <w:pStyle w:val="TableParagraph"/>
                                    <w:spacing w:before="1"/>
                                    <w:ind w:left="96"/>
                                    <w:jc w:val="center"/>
                                    <w:rPr>
                                      <w:sz w:val="17"/>
                                    </w:rPr>
                                  </w:pPr>
                                  <w:r>
                                    <w:rPr>
                                      <w:spacing w:val="-4"/>
                                      <w:sz w:val="17"/>
                                    </w:rPr>
                                    <w:t>0,00</w:t>
                                  </w:r>
                                </w:p>
                              </w:tc>
                              <w:tc>
                                <w:tcPr>
                                  <w:tcW w:w="1007" w:type="dxa"/>
                                  <w:tcBorders>
                                    <w:bottom w:val="single" w:sz="8" w:space="0" w:color="001F5F"/>
                                  </w:tcBorders>
                                </w:tcPr>
                                <w:p>
                                  <w:pPr>
                                    <w:pStyle w:val="TableParagraph"/>
                                    <w:spacing w:before="1"/>
                                    <w:ind w:left="60"/>
                                    <w:rPr>
                                      <w:sz w:val="17"/>
                                    </w:rPr>
                                  </w:pPr>
                                  <w:r>
                                    <w:rPr>
                                      <w:sz w:val="17"/>
                                    </w:rPr>
                                    <w:t>En</w:t>
                                  </w:r>
                                  <w:r>
                                    <w:rPr>
                                      <w:spacing w:val="-1"/>
                                      <w:sz w:val="17"/>
                                    </w:rPr>
                                    <w:t> </w:t>
                                  </w:r>
                                  <w:r>
                                    <w:rPr>
                                      <w:spacing w:val="-2"/>
                                      <w:sz w:val="17"/>
                                    </w:rPr>
                                    <w:t>ejecución</w:t>
                                  </w:r>
                                </w:p>
                              </w:tc>
                            </w:tr>
                            <w:tr>
                              <w:trPr>
                                <w:trHeight w:val="340" w:hRule="atLeast"/>
                              </w:trPr>
                              <w:tc>
                                <w:tcPr>
                                  <w:tcW w:w="3127" w:type="dxa"/>
                                  <w:gridSpan w:val="2"/>
                                  <w:tcBorders>
                                    <w:top w:val="single" w:sz="8" w:space="0" w:color="001F5F"/>
                                    <w:bottom w:val="single" w:sz="8" w:space="0" w:color="001F5F"/>
                                  </w:tcBorders>
                                </w:tcPr>
                                <w:p>
                                  <w:pPr>
                                    <w:pStyle w:val="TableParagraph"/>
                                    <w:tabs>
                                      <w:tab w:pos="2054" w:val="left" w:leader="none"/>
                                    </w:tabs>
                                    <w:spacing w:before="70"/>
                                    <w:ind w:left="71"/>
                                    <w:rPr>
                                      <w:sz w:val="17"/>
                                    </w:rPr>
                                  </w:pPr>
                                  <w:r>
                                    <w:rPr>
                                      <w:sz w:val="17"/>
                                    </w:rPr>
                                    <w:t>Marquesinas</w:t>
                                  </w:r>
                                  <w:r>
                                    <w:rPr>
                                      <w:spacing w:val="-5"/>
                                      <w:sz w:val="17"/>
                                    </w:rPr>
                                    <w:t> </w:t>
                                  </w:r>
                                  <w:r>
                                    <w:rPr>
                                      <w:spacing w:val="-2"/>
                                      <w:sz w:val="17"/>
                                    </w:rPr>
                                    <w:t>inteligentes</w:t>
                                  </w:r>
                                  <w:r>
                                    <w:rPr>
                                      <w:sz w:val="17"/>
                                    </w:rPr>
                                    <w:tab/>
                                  </w:r>
                                  <w:r>
                                    <w:rPr>
                                      <w:spacing w:val="-2"/>
                                      <w:sz w:val="17"/>
                                    </w:rPr>
                                    <w:t>Digitalización</w:t>
                                  </w:r>
                                </w:p>
                              </w:tc>
                              <w:tc>
                                <w:tcPr>
                                  <w:tcW w:w="1172" w:type="dxa"/>
                                  <w:tcBorders>
                                    <w:top w:val="single" w:sz="8" w:space="0" w:color="001F5F"/>
                                    <w:bottom w:val="single" w:sz="8" w:space="0" w:color="001F5F"/>
                                  </w:tcBorders>
                                </w:tcPr>
                                <w:p>
                                  <w:pPr>
                                    <w:pStyle w:val="TableParagraph"/>
                                    <w:spacing w:before="66"/>
                                    <w:ind w:right="133"/>
                                    <w:jc w:val="right"/>
                                    <w:rPr>
                                      <w:sz w:val="18"/>
                                    </w:rPr>
                                  </w:pPr>
                                  <w:r>
                                    <w:rPr>
                                      <w:spacing w:val="-2"/>
                                      <w:sz w:val="18"/>
                                    </w:rPr>
                                    <w:t>730.765,00</w:t>
                                  </w:r>
                                </w:p>
                              </w:tc>
                              <w:tc>
                                <w:tcPr>
                                  <w:tcW w:w="697" w:type="dxa"/>
                                  <w:tcBorders>
                                    <w:top w:val="single" w:sz="8" w:space="0" w:color="001F5F"/>
                                    <w:bottom w:val="single" w:sz="8" w:space="0" w:color="001F5F"/>
                                  </w:tcBorders>
                                </w:tcPr>
                                <w:p>
                                  <w:pPr>
                                    <w:pStyle w:val="TableParagraph"/>
                                    <w:spacing w:before="70"/>
                                    <w:ind w:left="77" w:right="83"/>
                                    <w:jc w:val="center"/>
                                    <w:rPr>
                                      <w:sz w:val="17"/>
                                    </w:rPr>
                                  </w:pPr>
                                  <w:r>
                                    <w:rPr>
                                      <w:spacing w:val="-4"/>
                                      <w:sz w:val="17"/>
                                    </w:rPr>
                                    <w:t>1,69</w:t>
                                  </w:r>
                                </w:p>
                              </w:tc>
                              <w:tc>
                                <w:tcPr>
                                  <w:tcW w:w="1224" w:type="dxa"/>
                                  <w:tcBorders>
                                    <w:top w:val="single" w:sz="8" w:space="0" w:color="001F5F"/>
                                    <w:bottom w:val="single" w:sz="8" w:space="0" w:color="001F5F"/>
                                  </w:tcBorders>
                                </w:tcPr>
                                <w:p>
                                  <w:pPr>
                                    <w:pStyle w:val="TableParagraph"/>
                                    <w:spacing w:before="70"/>
                                    <w:ind w:right="117"/>
                                    <w:jc w:val="right"/>
                                    <w:rPr>
                                      <w:sz w:val="17"/>
                                    </w:rPr>
                                  </w:pPr>
                                  <w:r>
                                    <w:rPr>
                                      <w:spacing w:val="-2"/>
                                      <w:sz w:val="17"/>
                                    </w:rPr>
                                    <w:t>82.233,47</w:t>
                                  </w:r>
                                </w:p>
                              </w:tc>
                              <w:tc>
                                <w:tcPr>
                                  <w:tcW w:w="731" w:type="dxa"/>
                                  <w:tcBorders>
                                    <w:top w:val="single" w:sz="8" w:space="0" w:color="001F5F"/>
                                    <w:bottom w:val="single" w:sz="8" w:space="0" w:color="001F5F"/>
                                  </w:tcBorders>
                                </w:tcPr>
                                <w:p>
                                  <w:pPr>
                                    <w:pStyle w:val="TableParagraph"/>
                                    <w:spacing w:before="70"/>
                                    <w:ind w:right="178"/>
                                    <w:jc w:val="right"/>
                                    <w:rPr>
                                      <w:sz w:val="17"/>
                                    </w:rPr>
                                  </w:pPr>
                                  <w:r>
                                    <w:rPr>
                                      <w:spacing w:val="-2"/>
                                      <w:sz w:val="17"/>
                                    </w:rPr>
                                    <w:t>11,25</w:t>
                                  </w:r>
                                </w:p>
                              </w:tc>
                              <w:tc>
                                <w:tcPr>
                                  <w:tcW w:w="1077" w:type="dxa"/>
                                  <w:tcBorders>
                                    <w:top w:val="single" w:sz="8" w:space="0" w:color="001F5F"/>
                                    <w:bottom w:val="single" w:sz="8" w:space="0" w:color="001F5F"/>
                                  </w:tcBorders>
                                </w:tcPr>
                                <w:p>
                                  <w:pPr>
                                    <w:pStyle w:val="TableParagraph"/>
                                    <w:spacing w:before="70"/>
                                    <w:ind w:right="91"/>
                                    <w:jc w:val="right"/>
                                    <w:rPr>
                                      <w:sz w:val="17"/>
                                    </w:rPr>
                                  </w:pPr>
                                  <w:r>
                                    <w:rPr>
                                      <w:spacing w:val="-2"/>
                                      <w:sz w:val="17"/>
                                    </w:rPr>
                                    <w:t>648.531,53</w:t>
                                  </w:r>
                                </w:p>
                              </w:tc>
                              <w:tc>
                                <w:tcPr>
                                  <w:tcW w:w="687" w:type="dxa"/>
                                  <w:tcBorders>
                                    <w:top w:val="single" w:sz="8" w:space="0" w:color="001F5F"/>
                                    <w:bottom w:val="single" w:sz="8" w:space="0" w:color="001F5F"/>
                                  </w:tcBorders>
                                </w:tcPr>
                                <w:p>
                                  <w:pPr>
                                    <w:pStyle w:val="TableParagraph"/>
                                    <w:spacing w:before="70"/>
                                    <w:ind w:left="114"/>
                                    <w:rPr>
                                      <w:sz w:val="17"/>
                                    </w:rPr>
                                  </w:pPr>
                                  <w:r>
                                    <w:rPr>
                                      <w:spacing w:val="-2"/>
                                      <w:sz w:val="17"/>
                                    </w:rPr>
                                    <w:t>88,75</w:t>
                                  </w:r>
                                </w:p>
                              </w:tc>
                              <w:tc>
                                <w:tcPr>
                                  <w:tcW w:w="1143" w:type="dxa"/>
                                  <w:tcBorders>
                                    <w:top w:val="single" w:sz="8" w:space="0" w:color="001F5F"/>
                                    <w:bottom w:val="single" w:sz="8" w:space="0" w:color="001F5F"/>
                                  </w:tcBorders>
                                </w:tcPr>
                                <w:p>
                                  <w:pPr>
                                    <w:pStyle w:val="TableParagraph"/>
                                    <w:spacing w:before="70"/>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70"/>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70"/>
                                    <w:ind w:left="60"/>
                                    <w:rPr>
                                      <w:sz w:val="17"/>
                                    </w:rPr>
                                  </w:pPr>
                                  <w:r>
                                    <w:rPr>
                                      <w:sz w:val="17"/>
                                    </w:rPr>
                                    <w:t>En</w:t>
                                  </w:r>
                                  <w:r>
                                    <w:rPr>
                                      <w:spacing w:val="-1"/>
                                      <w:sz w:val="17"/>
                                    </w:rPr>
                                    <w:t> </w:t>
                                  </w:r>
                                  <w:r>
                                    <w:rPr>
                                      <w:spacing w:val="-2"/>
                                      <w:sz w:val="17"/>
                                    </w:rPr>
                                    <w:t>ejecución</w:t>
                                  </w:r>
                                </w:p>
                              </w:tc>
                            </w:tr>
                            <w:tr>
                              <w:trPr>
                                <w:trHeight w:val="584" w:hRule="atLeast"/>
                              </w:trPr>
                              <w:tc>
                                <w:tcPr>
                                  <w:tcW w:w="3127" w:type="dxa"/>
                                  <w:gridSpan w:val="2"/>
                                  <w:tcBorders>
                                    <w:top w:val="single" w:sz="8" w:space="0" w:color="001F5F"/>
                                    <w:bottom w:val="single" w:sz="8" w:space="0" w:color="001F5F"/>
                                  </w:tcBorders>
                                </w:tcPr>
                                <w:p>
                                  <w:pPr>
                                    <w:pStyle w:val="TableParagraph"/>
                                    <w:spacing w:line="194" w:lineRule="exact"/>
                                    <w:ind w:left="71"/>
                                    <w:rPr>
                                      <w:sz w:val="17"/>
                                    </w:rPr>
                                  </w:pPr>
                                  <w:r>
                                    <w:rPr>
                                      <w:sz w:val="17"/>
                                    </w:rPr>
                                    <w:t>Digitalización</w:t>
                                  </w:r>
                                  <w:r>
                                    <w:rPr>
                                      <w:spacing w:val="-6"/>
                                      <w:sz w:val="17"/>
                                    </w:rPr>
                                    <w:t> </w:t>
                                  </w:r>
                                  <w:r>
                                    <w:rPr>
                                      <w:sz w:val="17"/>
                                    </w:rPr>
                                    <w:t>actividades</w:t>
                                  </w:r>
                                  <w:r>
                                    <w:rPr>
                                      <w:spacing w:val="-5"/>
                                      <w:sz w:val="17"/>
                                    </w:rPr>
                                    <w:t> de</w:t>
                                  </w:r>
                                </w:p>
                                <w:p>
                                  <w:pPr>
                                    <w:pStyle w:val="TableParagraph"/>
                                    <w:tabs>
                                      <w:tab w:pos="2054" w:val="left" w:leader="none"/>
                                    </w:tabs>
                                    <w:spacing w:line="194" w:lineRule="exact"/>
                                    <w:ind w:left="71" w:right="251"/>
                                    <w:rPr>
                                      <w:sz w:val="17"/>
                                    </w:rPr>
                                  </w:pPr>
                                  <w:r>
                                    <w:rPr>
                                      <w:sz w:val="17"/>
                                    </w:rPr>
                                    <w:t>taller y auxiliares para una</w:t>
                                    <w:tab/>
                                  </w:r>
                                  <w:r>
                                    <w:rPr>
                                      <w:spacing w:val="-2"/>
                                      <w:sz w:val="17"/>
                                    </w:rPr>
                                    <w:t>Digitalización</w:t>
                                  </w:r>
                                  <w:r>
                                    <w:rPr>
                                      <w:spacing w:val="40"/>
                                      <w:sz w:val="17"/>
                                    </w:rPr>
                                    <w:t> </w:t>
                                  </w:r>
                                  <w:r>
                                    <w:rPr>
                                      <w:sz w:val="17"/>
                                    </w:rPr>
                                    <w:t>flota</w:t>
                                  </w:r>
                                  <w:r>
                                    <w:rPr>
                                      <w:spacing w:val="-6"/>
                                      <w:sz w:val="17"/>
                                    </w:rPr>
                                    <w:t> </w:t>
                                  </w:r>
                                  <w:r>
                                    <w:rPr>
                                      <w:sz w:val="17"/>
                                    </w:rPr>
                                    <w:t>sostenible</w:t>
                                  </w:r>
                                </w:p>
                              </w:tc>
                              <w:tc>
                                <w:tcPr>
                                  <w:tcW w:w="1172" w:type="dxa"/>
                                  <w:tcBorders>
                                    <w:top w:val="single" w:sz="8" w:space="0" w:color="001F5F"/>
                                    <w:bottom w:val="single" w:sz="8" w:space="0" w:color="001F5F"/>
                                  </w:tcBorders>
                                </w:tcPr>
                                <w:p>
                                  <w:pPr>
                                    <w:pStyle w:val="TableParagraph"/>
                                    <w:spacing w:before="188"/>
                                    <w:ind w:right="134"/>
                                    <w:jc w:val="right"/>
                                    <w:rPr>
                                      <w:sz w:val="18"/>
                                    </w:rPr>
                                  </w:pPr>
                                  <w:r>
                                    <w:rPr>
                                      <w:spacing w:val="-2"/>
                                      <w:sz w:val="18"/>
                                    </w:rPr>
                                    <w:t>85.142,01</w:t>
                                  </w:r>
                                </w:p>
                              </w:tc>
                              <w:tc>
                                <w:tcPr>
                                  <w:tcW w:w="697" w:type="dxa"/>
                                  <w:tcBorders>
                                    <w:top w:val="single" w:sz="8" w:space="0" w:color="001F5F"/>
                                    <w:bottom w:val="single" w:sz="8" w:space="0" w:color="001F5F"/>
                                  </w:tcBorders>
                                </w:tcPr>
                                <w:p>
                                  <w:pPr>
                                    <w:pStyle w:val="TableParagraph"/>
                                    <w:rPr>
                                      <w:sz w:val="17"/>
                                    </w:rPr>
                                  </w:pPr>
                                </w:p>
                                <w:p>
                                  <w:pPr>
                                    <w:pStyle w:val="TableParagraph"/>
                                    <w:ind w:left="77" w:right="83"/>
                                    <w:jc w:val="center"/>
                                    <w:rPr>
                                      <w:sz w:val="17"/>
                                    </w:rPr>
                                  </w:pPr>
                                  <w:r>
                                    <w:rPr>
                                      <w:spacing w:val="-4"/>
                                      <w:sz w:val="17"/>
                                    </w:rPr>
                                    <w:t>0,20</w:t>
                                  </w:r>
                                </w:p>
                              </w:tc>
                              <w:tc>
                                <w:tcPr>
                                  <w:tcW w:w="1224" w:type="dxa"/>
                                  <w:tcBorders>
                                    <w:top w:val="single" w:sz="8" w:space="0" w:color="001F5F"/>
                                    <w:bottom w:val="single" w:sz="8" w:space="0" w:color="001F5F"/>
                                  </w:tcBorders>
                                </w:tcPr>
                                <w:p>
                                  <w:pPr>
                                    <w:pStyle w:val="TableParagraph"/>
                                    <w:rPr>
                                      <w:sz w:val="17"/>
                                    </w:rPr>
                                  </w:pPr>
                                </w:p>
                                <w:p>
                                  <w:pPr>
                                    <w:pStyle w:val="TableParagraph"/>
                                    <w:ind w:right="117"/>
                                    <w:jc w:val="right"/>
                                    <w:rPr>
                                      <w:sz w:val="17"/>
                                    </w:rPr>
                                  </w:pPr>
                                  <w:r>
                                    <w:rPr>
                                      <w:spacing w:val="-2"/>
                                      <w:sz w:val="17"/>
                                    </w:rPr>
                                    <w:t>8.514,20</w:t>
                                  </w:r>
                                </w:p>
                              </w:tc>
                              <w:tc>
                                <w:tcPr>
                                  <w:tcW w:w="731" w:type="dxa"/>
                                  <w:tcBorders>
                                    <w:top w:val="single" w:sz="8" w:space="0" w:color="001F5F"/>
                                    <w:bottom w:val="single" w:sz="8" w:space="0" w:color="001F5F"/>
                                  </w:tcBorders>
                                </w:tcPr>
                                <w:p>
                                  <w:pPr>
                                    <w:pStyle w:val="TableParagraph"/>
                                    <w:rPr>
                                      <w:sz w:val="17"/>
                                    </w:rPr>
                                  </w:pPr>
                                </w:p>
                                <w:p>
                                  <w:pPr>
                                    <w:pStyle w:val="TableParagraph"/>
                                    <w:ind w:right="178"/>
                                    <w:jc w:val="right"/>
                                    <w:rPr>
                                      <w:sz w:val="17"/>
                                    </w:rPr>
                                  </w:pPr>
                                  <w:r>
                                    <w:rPr>
                                      <w:spacing w:val="-2"/>
                                      <w:sz w:val="17"/>
                                    </w:rPr>
                                    <w:t>10,00</w:t>
                                  </w:r>
                                </w:p>
                              </w:tc>
                              <w:tc>
                                <w:tcPr>
                                  <w:tcW w:w="1077" w:type="dxa"/>
                                  <w:tcBorders>
                                    <w:top w:val="single" w:sz="8" w:space="0" w:color="001F5F"/>
                                    <w:bottom w:val="single" w:sz="8" w:space="0" w:color="001F5F"/>
                                  </w:tcBorders>
                                </w:tcPr>
                                <w:p>
                                  <w:pPr>
                                    <w:pStyle w:val="TableParagraph"/>
                                    <w:rPr>
                                      <w:sz w:val="17"/>
                                    </w:rPr>
                                  </w:pPr>
                                </w:p>
                                <w:p>
                                  <w:pPr>
                                    <w:pStyle w:val="TableParagraph"/>
                                    <w:ind w:right="91"/>
                                    <w:jc w:val="right"/>
                                    <w:rPr>
                                      <w:sz w:val="17"/>
                                    </w:rPr>
                                  </w:pPr>
                                  <w:r>
                                    <w:rPr>
                                      <w:spacing w:val="-2"/>
                                      <w:sz w:val="17"/>
                                    </w:rPr>
                                    <w:t>76.627,81</w:t>
                                  </w:r>
                                </w:p>
                              </w:tc>
                              <w:tc>
                                <w:tcPr>
                                  <w:tcW w:w="687" w:type="dxa"/>
                                  <w:tcBorders>
                                    <w:top w:val="single" w:sz="8" w:space="0" w:color="001F5F"/>
                                    <w:bottom w:val="single" w:sz="8" w:space="0" w:color="001F5F"/>
                                  </w:tcBorders>
                                </w:tcPr>
                                <w:p>
                                  <w:pPr>
                                    <w:pStyle w:val="TableParagraph"/>
                                    <w:rPr>
                                      <w:sz w:val="17"/>
                                    </w:rPr>
                                  </w:pPr>
                                </w:p>
                                <w:p>
                                  <w:pPr>
                                    <w:pStyle w:val="TableParagraph"/>
                                    <w:ind w:left="114"/>
                                    <w:rPr>
                                      <w:sz w:val="17"/>
                                    </w:rPr>
                                  </w:pPr>
                                  <w:r>
                                    <w:rPr>
                                      <w:spacing w:val="-2"/>
                                      <w:sz w:val="17"/>
                                    </w:rPr>
                                    <w:t>90,00</w:t>
                                  </w:r>
                                </w:p>
                              </w:tc>
                              <w:tc>
                                <w:tcPr>
                                  <w:tcW w:w="1143" w:type="dxa"/>
                                  <w:tcBorders>
                                    <w:top w:val="single" w:sz="8" w:space="0" w:color="001F5F"/>
                                    <w:bottom w:val="single" w:sz="8" w:space="0" w:color="001F5F"/>
                                  </w:tcBorders>
                                </w:tcPr>
                                <w:p>
                                  <w:pPr>
                                    <w:pStyle w:val="TableParagraph"/>
                                    <w:rPr>
                                      <w:sz w:val="17"/>
                                    </w:rPr>
                                  </w:pPr>
                                </w:p>
                                <w:p>
                                  <w:pPr>
                                    <w:pStyle w:val="TableParagraph"/>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rPr>
                                      <w:sz w:val="17"/>
                                    </w:rPr>
                                  </w:pPr>
                                </w:p>
                                <w:p>
                                  <w:pPr>
                                    <w:pStyle w:val="TableParagraph"/>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rPr>
                                      <w:sz w:val="17"/>
                                    </w:rPr>
                                  </w:pPr>
                                </w:p>
                                <w:p>
                                  <w:pPr>
                                    <w:pStyle w:val="TableParagraph"/>
                                    <w:ind w:left="60"/>
                                    <w:rPr>
                                      <w:sz w:val="17"/>
                                    </w:rPr>
                                  </w:pPr>
                                  <w:r>
                                    <w:rPr>
                                      <w:sz w:val="17"/>
                                    </w:rPr>
                                    <w:t>En</w:t>
                                  </w:r>
                                  <w:r>
                                    <w:rPr>
                                      <w:spacing w:val="-1"/>
                                      <w:sz w:val="17"/>
                                    </w:rPr>
                                    <w:t> </w:t>
                                  </w:r>
                                  <w:r>
                                    <w:rPr>
                                      <w:spacing w:val="-2"/>
                                      <w:sz w:val="17"/>
                                    </w:rPr>
                                    <w:t>ejecución</w:t>
                                  </w:r>
                                </w:p>
                              </w:tc>
                            </w:tr>
                            <w:tr>
                              <w:trPr>
                                <w:trHeight w:val="782" w:hRule="atLeast"/>
                              </w:trPr>
                              <w:tc>
                                <w:tcPr>
                                  <w:tcW w:w="3127" w:type="dxa"/>
                                  <w:gridSpan w:val="2"/>
                                  <w:tcBorders>
                                    <w:top w:val="single" w:sz="8" w:space="0" w:color="001F5F"/>
                                    <w:bottom w:val="single" w:sz="8" w:space="0" w:color="001F5F"/>
                                  </w:tcBorders>
                                </w:tcPr>
                                <w:p>
                                  <w:pPr>
                                    <w:pStyle w:val="TableParagraph"/>
                                    <w:spacing w:line="194" w:lineRule="exact"/>
                                    <w:ind w:left="71"/>
                                    <w:rPr>
                                      <w:sz w:val="17"/>
                                    </w:rPr>
                                  </w:pPr>
                                  <w:r>
                                    <w:rPr>
                                      <w:sz w:val="17"/>
                                    </w:rPr>
                                    <w:t>Sistema</w:t>
                                  </w:r>
                                  <w:r>
                                    <w:rPr>
                                      <w:spacing w:val="-5"/>
                                      <w:sz w:val="17"/>
                                    </w:rPr>
                                    <w:t> de</w:t>
                                  </w:r>
                                </w:p>
                                <w:p>
                                  <w:pPr>
                                    <w:pStyle w:val="TableParagraph"/>
                                    <w:tabs>
                                      <w:tab w:pos="2054" w:val="left" w:leader="none"/>
                                    </w:tabs>
                                    <w:spacing w:line="290" w:lineRule="atLeast"/>
                                    <w:ind w:left="71" w:right="251"/>
                                    <w:rPr>
                                      <w:sz w:val="17"/>
                                    </w:rPr>
                                  </w:pPr>
                                  <w:r>
                                    <w:rPr>
                                      <w:sz w:val="17"/>
                                    </w:rPr>
                                    <w:t>antiemparejamiento de</w:t>
                                    <w:tab/>
                                  </w:r>
                                  <w:r>
                                    <w:rPr>
                                      <w:spacing w:val="-2"/>
                                      <w:position w:val="-9"/>
                                      <w:sz w:val="17"/>
                                    </w:rPr>
                                    <w:t>Digitalización</w:t>
                                  </w:r>
                                  <w:r>
                                    <w:rPr>
                                      <w:spacing w:val="40"/>
                                      <w:position w:val="-9"/>
                                      <w:sz w:val="17"/>
                                    </w:rPr>
                                    <w:t> </w:t>
                                  </w:r>
                                  <w:r>
                                    <w:rPr>
                                      <w:spacing w:val="-2"/>
                                      <w:sz w:val="17"/>
                                    </w:rPr>
                                    <w:t>eficiente</w:t>
                                  </w:r>
                                </w:p>
                              </w:tc>
                              <w:tc>
                                <w:tcPr>
                                  <w:tcW w:w="1172" w:type="dxa"/>
                                  <w:tcBorders>
                                    <w:top w:val="single" w:sz="8" w:space="0" w:color="001F5F"/>
                                    <w:bottom w:val="single" w:sz="8" w:space="0" w:color="001F5F"/>
                                  </w:tcBorders>
                                </w:tcPr>
                                <w:p>
                                  <w:pPr>
                                    <w:pStyle w:val="TableParagraph"/>
                                    <w:spacing w:before="80"/>
                                    <w:rPr>
                                      <w:sz w:val="18"/>
                                    </w:rPr>
                                  </w:pPr>
                                </w:p>
                                <w:p>
                                  <w:pPr>
                                    <w:pStyle w:val="TableParagraph"/>
                                    <w:ind w:right="133"/>
                                    <w:jc w:val="right"/>
                                    <w:rPr>
                                      <w:sz w:val="18"/>
                                    </w:rPr>
                                  </w:pPr>
                                  <w:r>
                                    <w:rPr>
                                      <w:spacing w:val="-2"/>
                                      <w:sz w:val="18"/>
                                    </w:rPr>
                                    <w:t>197.452,93</w:t>
                                  </w:r>
                                </w:p>
                              </w:tc>
                              <w:tc>
                                <w:tcPr>
                                  <w:tcW w:w="697" w:type="dxa"/>
                                  <w:tcBorders>
                                    <w:top w:val="single" w:sz="8" w:space="0" w:color="001F5F"/>
                                    <w:bottom w:val="single" w:sz="8" w:space="0" w:color="001F5F"/>
                                  </w:tcBorders>
                                </w:tcPr>
                                <w:p>
                                  <w:pPr>
                                    <w:pStyle w:val="TableParagraph"/>
                                    <w:spacing w:before="96"/>
                                    <w:rPr>
                                      <w:sz w:val="17"/>
                                    </w:rPr>
                                  </w:pPr>
                                </w:p>
                                <w:p>
                                  <w:pPr>
                                    <w:pStyle w:val="TableParagraph"/>
                                    <w:spacing w:before="1"/>
                                    <w:ind w:left="77" w:right="83"/>
                                    <w:jc w:val="center"/>
                                    <w:rPr>
                                      <w:sz w:val="17"/>
                                    </w:rPr>
                                  </w:pPr>
                                  <w:r>
                                    <w:rPr>
                                      <w:spacing w:val="-4"/>
                                      <w:sz w:val="17"/>
                                    </w:rPr>
                                    <w:t>0,46</w:t>
                                  </w:r>
                                </w:p>
                              </w:tc>
                              <w:tc>
                                <w:tcPr>
                                  <w:tcW w:w="1224" w:type="dxa"/>
                                  <w:tcBorders>
                                    <w:top w:val="single" w:sz="8" w:space="0" w:color="001F5F"/>
                                    <w:bottom w:val="single" w:sz="8" w:space="0" w:color="001F5F"/>
                                  </w:tcBorders>
                                </w:tcPr>
                                <w:p>
                                  <w:pPr>
                                    <w:pStyle w:val="TableParagraph"/>
                                    <w:spacing w:before="96"/>
                                    <w:rPr>
                                      <w:sz w:val="17"/>
                                    </w:rPr>
                                  </w:pPr>
                                </w:p>
                                <w:p>
                                  <w:pPr>
                                    <w:pStyle w:val="TableParagraph"/>
                                    <w:spacing w:before="1"/>
                                    <w:ind w:right="117"/>
                                    <w:jc w:val="right"/>
                                    <w:rPr>
                                      <w:sz w:val="17"/>
                                    </w:rPr>
                                  </w:pPr>
                                  <w:r>
                                    <w:rPr>
                                      <w:spacing w:val="-2"/>
                                      <w:sz w:val="17"/>
                                    </w:rPr>
                                    <w:t>21.161,38</w:t>
                                  </w:r>
                                </w:p>
                              </w:tc>
                              <w:tc>
                                <w:tcPr>
                                  <w:tcW w:w="731" w:type="dxa"/>
                                  <w:tcBorders>
                                    <w:top w:val="single" w:sz="8" w:space="0" w:color="001F5F"/>
                                    <w:bottom w:val="single" w:sz="8" w:space="0" w:color="001F5F"/>
                                  </w:tcBorders>
                                </w:tcPr>
                                <w:p>
                                  <w:pPr>
                                    <w:pStyle w:val="TableParagraph"/>
                                    <w:spacing w:before="96"/>
                                    <w:rPr>
                                      <w:sz w:val="17"/>
                                    </w:rPr>
                                  </w:pPr>
                                </w:p>
                                <w:p>
                                  <w:pPr>
                                    <w:pStyle w:val="TableParagraph"/>
                                    <w:spacing w:before="1"/>
                                    <w:ind w:right="178"/>
                                    <w:jc w:val="right"/>
                                    <w:rPr>
                                      <w:sz w:val="17"/>
                                    </w:rPr>
                                  </w:pPr>
                                  <w:r>
                                    <w:rPr>
                                      <w:spacing w:val="-2"/>
                                      <w:sz w:val="17"/>
                                    </w:rPr>
                                    <w:t>10,72</w:t>
                                  </w:r>
                                </w:p>
                              </w:tc>
                              <w:tc>
                                <w:tcPr>
                                  <w:tcW w:w="1077" w:type="dxa"/>
                                  <w:tcBorders>
                                    <w:top w:val="single" w:sz="8" w:space="0" w:color="001F5F"/>
                                    <w:bottom w:val="single" w:sz="8" w:space="0" w:color="001F5F"/>
                                  </w:tcBorders>
                                </w:tcPr>
                                <w:p>
                                  <w:pPr>
                                    <w:pStyle w:val="TableParagraph"/>
                                    <w:spacing w:before="96"/>
                                    <w:rPr>
                                      <w:sz w:val="17"/>
                                    </w:rPr>
                                  </w:pPr>
                                </w:p>
                                <w:p>
                                  <w:pPr>
                                    <w:pStyle w:val="TableParagraph"/>
                                    <w:spacing w:before="1"/>
                                    <w:ind w:right="91"/>
                                    <w:jc w:val="right"/>
                                    <w:rPr>
                                      <w:sz w:val="17"/>
                                    </w:rPr>
                                  </w:pPr>
                                  <w:r>
                                    <w:rPr>
                                      <w:spacing w:val="-2"/>
                                      <w:sz w:val="17"/>
                                    </w:rPr>
                                    <w:t>176.291,55</w:t>
                                  </w:r>
                                </w:p>
                              </w:tc>
                              <w:tc>
                                <w:tcPr>
                                  <w:tcW w:w="687" w:type="dxa"/>
                                  <w:tcBorders>
                                    <w:top w:val="single" w:sz="8" w:space="0" w:color="001F5F"/>
                                    <w:bottom w:val="single" w:sz="8" w:space="0" w:color="001F5F"/>
                                  </w:tcBorders>
                                </w:tcPr>
                                <w:p>
                                  <w:pPr>
                                    <w:pStyle w:val="TableParagraph"/>
                                    <w:spacing w:before="96"/>
                                    <w:rPr>
                                      <w:sz w:val="17"/>
                                    </w:rPr>
                                  </w:pPr>
                                </w:p>
                                <w:p>
                                  <w:pPr>
                                    <w:pStyle w:val="TableParagraph"/>
                                    <w:spacing w:before="1"/>
                                    <w:ind w:left="114"/>
                                    <w:rPr>
                                      <w:sz w:val="17"/>
                                    </w:rPr>
                                  </w:pPr>
                                  <w:r>
                                    <w:rPr>
                                      <w:spacing w:val="-2"/>
                                      <w:sz w:val="17"/>
                                    </w:rPr>
                                    <w:t>89,28</w:t>
                                  </w:r>
                                </w:p>
                              </w:tc>
                              <w:tc>
                                <w:tcPr>
                                  <w:tcW w:w="1143" w:type="dxa"/>
                                  <w:tcBorders>
                                    <w:top w:val="single" w:sz="8" w:space="0" w:color="001F5F"/>
                                    <w:bottom w:val="single" w:sz="8" w:space="0" w:color="001F5F"/>
                                  </w:tcBorders>
                                </w:tcPr>
                                <w:p>
                                  <w:pPr>
                                    <w:pStyle w:val="TableParagraph"/>
                                    <w:spacing w:before="96"/>
                                    <w:rPr>
                                      <w:sz w:val="17"/>
                                    </w:rPr>
                                  </w:pPr>
                                </w:p>
                                <w:p>
                                  <w:pPr>
                                    <w:pStyle w:val="TableParagraph"/>
                                    <w:spacing w:before="1"/>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96"/>
                                    <w:rPr>
                                      <w:sz w:val="17"/>
                                    </w:rPr>
                                  </w:pPr>
                                </w:p>
                                <w:p>
                                  <w:pPr>
                                    <w:pStyle w:val="TableParagraph"/>
                                    <w:spacing w:before="1"/>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96"/>
                                    <w:rPr>
                                      <w:sz w:val="17"/>
                                    </w:rPr>
                                  </w:pPr>
                                </w:p>
                                <w:p>
                                  <w:pPr>
                                    <w:pStyle w:val="TableParagraph"/>
                                    <w:spacing w:before="1"/>
                                    <w:ind w:left="60"/>
                                    <w:rPr>
                                      <w:sz w:val="17"/>
                                    </w:rPr>
                                  </w:pPr>
                                  <w:r>
                                    <w:rPr>
                                      <w:sz w:val="17"/>
                                    </w:rPr>
                                    <w:t>En</w:t>
                                  </w:r>
                                  <w:r>
                                    <w:rPr>
                                      <w:spacing w:val="-1"/>
                                      <w:sz w:val="17"/>
                                    </w:rPr>
                                    <w:t> </w:t>
                                  </w:r>
                                  <w:r>
                                    <w:rPr>
                                      <w:spacing w:val="-2"/>
                                      <w:sz w:val="17"/>
                                    </w:rPr>
                                    <w:t>ejecución</w:t>
                                  </w:r>
                                </w:p>
                              </w:tc>
                            </w:tr>
                            <w:tr>
                              <w:trPr>
                                <w:trHeight w:val="491" w:hRule="atLeast"/>
                              </w:trPr>
                              <w:tc>
                                <w:tcPr>
                                  <w:tcW w:w="3127" w:type="dxa"/>
                                  <w:gridSpan w:val="2"/>
                                  <w:tcBorders>
                                    <w:top w:val="single" w:sz="8" w:space="0" w:color="001F5F"/>
                                  </w:tcBorders>
                                </w:tcPr>
                                <w:p>
                                  <w:pPr>
                                    <w:pStyle w:val="TableParagraph"/>
                                    <w:spacing w:line="193" w:lineRule="exact"/>
                                    <w:ind w:left="71"/>
                                    <w:rPr>
                                      <w:sz w:val="17"/>
                                    </w:rPr>
                                  </w:pPr>
                                  <w:r>
                                    <w:rPr>
                                      <w:sz w:val="17"/>
                                    </w:rPr>
                                    <w:t>Sistema</w:t>
                                  </w:r>
                                  <w:r>
                                    <w:rPr>
                                      <w:spacing w:val="-4"/>
                                      <w:sz w:val="17"/>
                                    </w:rPr>
                                    <w:t> </w:t>
                                  </w:r>
                                  <w:r>
                                    <w:rPr>
                                      <w:sz w:val="17"/>
                                    </w:rPr>
                                    <w:t>de</w:t>
                                  </w:r>
                                  <w:r>
                                    <w:rPr>
                                      <w:spacing w:val="-3"/>
                                      <w:sz w:val="17"/>
                                    </w:rPr>
                                    <w:t> </w:t>
                                  </w:r>
                                  <w:r>
                                    <w:rPr>
                                      <w:sz w:val="17"/>
                                    </w:rPr>
                                    <w:t>control de</w:t>
                                  </w:r>
                                  <w:r>
                                    <w:rPr>
                                      <w:spacing w:val="-3"/>
                                      <w:sz w:val="17"/>
                                    </w:rPr>
                                    <w:t> </w:t>
                                  </w:r>
                                  <w:r>
                                    <w:rPr>
                                      <w:spacing w:val="-2"/>
                                      <w:sz w:val="17"/>
                                    </w:rPr>
                                    <w:t>aforos</w:t>
                                  </w:r>
                                </w:p>
                                <w:p>
                                  <w:pPr>
                                    <w:pStyle w:val="TableParagraph"/>
                                    <w:tabs>
                                      <w:tab w:pos="2054" w:val="left" w:leader="none"/>
                                    </w:tabs>
                                    <w:spacing w:line="208" w:lineRule="auto" w:before="6"/>
                                    <w:ind w:left="71"/>
                                    <w:rPr>
                                      <w:position w:val="-9"/>
                                      <w:sz w:val="17"/>
                                    </w:rPr>
                                  </w:pPr>
                                  <w:r>
                                    <w:rPr>
                                      <w:sz w:val="17"/>
                                    </w:rPr>
                                    <w:t>y</w:t>
                                  </w:r>
                                  <w:r>
                                    <w:rPr>
                                      <w:spacing w:val="-4"/>
                                      <w:sz w:val="17"/>
                                    </w:rPr>
                                    <w:t> </w:t>
                                  </w:r>
                                  <w:r>
                                    <w:rPr>
                                      <w:sz w:val="17"/>
                                    </w:rPr>
                                    <w:t>cálculo</w:t>
                                  </w:r>
                                  <w:r>
                                    <w:rPr>
                                      <w:spacing w:val="-1"/>
                                      <w:sz w:val="17"/>
                                    </w:rPr>
                                    <w:t> </w:t>
                                  </w:r>
                                  <w:r>
                                    <w:rPr>
                                      <w:sz w:val="17"/>
                                    </w:rPr>
                                    <w:t>de</w:t>
                                  </w:r>
                                  <w:r>
                                    <w:rPr>
                                      <w:spacing w:val="-4"/>
                                      <w:sz w:val="17"/>
                                    </w:rPr>
                                    <w:t> </w:t>
                                  </w:r>
                                  <w:r>
                                    <w:rPr>
                                      <w:sz w:val="17"/>
                                    </w:rPr>
                                    <w:t>matrices </w:t>
                                  </w:r>
                                  <w:r>
                                    <w:rPr>
                                      <w:spacing w:val="-2"/>
                                      <w:sz w:val="17"/>
                                    </w:rPr>
                                    <w:t>origen-</w:t>
                                  </w:r>
                                  <w:r>
                                    <w:rPr>
                                      <w:sz w:val="17"/>
                                    </w:rPr>
                                    <w:tab/>
                                  </w:r>
                                  <w:r>
                                    <w:rPr>
                                      <w:spacing w:val="-2"/>
                                      <w:position w:val="-9"/>
                                      <w:sz w:val="17"/>
                                    </w:rPr>
                                    <w:t>Digitalización</w:t>
                                  </w:r>
                                </w:p>
                              </w:tc>
                              <w:tc>
                                <w:tcPr>
                                  <w:tcW w:w="1172" w:type="dxa"/>
                                  <w:tcBorders>
                                    <w:top w:val="single" w:sz="8" w:space="0" w:color="001F5F"/>
                                  </w:tcBorders>
                                </w:tcPr>
                                <w:p>
                                  <w:pPr>
                                    <w:pStyle w:val="TableParagraph"/>
                                    <w:spacing w:before="78"/>
                                    <w:rPr>
                                      <w:sz w:val="18"/>
                                    </w:rPr>
                                  </w:pPr>
                                </w:p>
                                <w:p>
                                  <w:pPr>
                                    <w:pStyle w:val="TableParagraph"/>
                                    <w:spacing w:line="187" w:lineRule="exact"/>
                                    <w:ind w:right="133"/>
                                    <w:jc w:val="right"/>
                                    <w:rPr>
                                      <w:sz w:val="18"/>
                                    </w:rPr>
                                  </w:pPr>
                                  <w:r>
                                    <w:rPr>
                                      <w:spacing w:val="-2"/>
                                      <w:sz w:val="18"/>
                                    </w:rPr>
                                    <w:t>126.758,43</w:t>
                                  </w:r>
                                </w:p>
                              </w:tc>
                              <w:tc>
                                <w:tcPr>
                                  <w:tcW w:w="697" w:type="dxa"/>
                                  <w:tcBorders>
                                    <w:top w:val="single" w:sz="8" w:space="0" w:color="001F5F"/>
                                  </w:tcBorders>
                                </w:tcPr>
                                <w:p>
                                  <w:pPr>
                                    <w:pStyle w:val="TableParagraph"/>
                                    <w:spacing w:before="96"/>
                                    <w:rPr>
                                      <w:sz w:val="17"/>
                                    </w:rPr>
                                  </w:pPr>
                                </w:p>
                                <w:p>
                                  <w:pPr>
                                    <w:pStyle w:val="TableParagraph"/>
                                    <w:spacing w:line="180" w:lineRule="exact"/>
                                    <w:ind w:left="77" w:right="83"/>
                                    <w:jc w:val="center"/>
                                    <w:rPr>
                                      <w:sz w:val="17"/>
                                    </w:rPr>
                                  </w:pPr>
                                  <w:r>
                                    <w:rPr>
                                      <w:spacing w:val="-4"/>
                                      <w:sz w:val="17"/>
                                    </w:rPr>
                                    <w:t>0,29</w:t>
                                  </w:r>
                                </w:p>
                              </w:tc>
                              <w:tc>
                                <w:tcPr>
                                  <w:tcW w:w="1224" w:type="dxa"/>
                                  <w:tcBorders>
                                    <w:top w:val="single" w:sz="8" w:space="0" w:color="001F5F"/>
                                  </w:tcBorders>
                                </w:tcPr>
                                <w:p>
                                  <w:pPr>
                                    <w:pStyle w:val="TableParagraph"/>
                                    <w:spacing w:before="96"/>
                                    <w:rPr>
                                      <w:sz w:val="17"/>
                                    </w:rPr>
                                  </w:pPr>
                                </w:p>
                                <w:p>
                                  <w:pPr>
                                    <w:pStyle w:val="TableParagraph"/>
                                    <w:spacing w:line="180" w:lineRule="exact"/>
                                    <w:ind w:right="117"/>
                                    <w:jc w:val="right"/>
                                    <w:rPr>
                                      <w:sz w:val="17"/>
                                    </w:rPr>
                                  </w:pPr>
                                  <w:r>
                                    <w:rPr>
                                      <w:spacing w:val="-2"/>
                                      <w:sz w:val="17"/>
                                    </w:rPr>
                                    <w:t>37.072,67</w:t>
                                  </w:r>
                                </w:p>
                              </w:tc>
                              <w:tc>
                                <w:tcPr>
                                  <w:tcW w:w="731" w:type="dxa"/>
                                  <w:tcBorders>
                                    <w:top w:val="single" w:sz="8" w:space="0" w:color="001F5F"/>
                                  </w:tcBorders>
                                </w:tcPr>
                                <w:p>
                                  <w:pPr>
                                    <w:pStyle w:val="TableParagraph"/>
                                    <w:spacing w:before="96"/>
                                    <w:rPr>
                                      <w:sz w:val="17"/>
                                    </w:rPr>
                                  </w:pPr>
                                </w:p>
                                <w:p>
                                  <w:pPr>
                                    <w:pStyle w:val="TableParagraph"/>
                                    <w:spacing w:line="180" w:lineRule="exact"/>
                                    <w:ind w:right="178"/>
                                    <w:jc w:val="right"/>
                                    <w:rPr>
                                      <w:sz w:val="17"/>
                                    </w:rPr>
                                  </w:pPr>
                                  <w:r>
                                    <w:rPr>
                                      <w:spacing w:val="-2"/>
                                      <w:sz w:val="17"/>
                                    </w:rPr>
                                    <w:t>29,25</w:t>
                                  </w:r>
                                </w:p>
                              </w:tc>
                              <w:tc>
                                <w:tcPr>
                                  <w:tcW w:w="1077" w:type="dxa"/>
                                  <w:tcBorders>
                                    <w:top w:val="single" w:sz="8" w:space="0" w:color="001F5F"/>
                                  </w:tcBorders>
                                </w:tcPr>
                                <w:p>
                                  <w:pPr>
                                    <w:pStyle w:val="TableParagraph"/>
                                    <w:spacing w:before="96"/>
                                    <w:rPr>
                                      <w:sz w:val="17"/>
                                    </w:rPr>
                                  </w:pPr>
                                </w:p>
                                <w:p>
                                  <w:pPr>
                                    <w:pStyle w:val="TableParagraph"/>
                                    <w:spacing w:line="180" w:lineRule="exact"/>
                                    <w:ind w:right="91"/>
                                    <w:jc w:val="right"/>
                                    <w:rPr>
                                      <w:sz w:val="17"/>
                                    </w:rPr>
                                  </w:pPr>
                                  <w:r>
                                    <w:rPr>
                                      <w:spacing w:val="-2"/>
                                      <w:sz w:val="17"/>
                                    </w:rPr>
                                    <w:t>89.685,76</w:t>
                                  </w:r>
                                </w:p>
                              </w:tc>
                              <w:tc>
                                <w:tcPr>
                                  <w:tcW w:w="687" w:type="dxa"/>
                                  <w:tcBorders>
                                    <w:top w:val="single" w:sz="8" w:space="0" w:color="001F5F"/>
                                  </w:tcBorders>
                                </w:tcPr>
                                <w:p>
                                  <w:pPr>
                                    <w:pStyle w:val="TableParagraph"/>
                                    <w:spacing w:before="96"/>
                                    <w:rPr>
                                      <w:sz w:val="17"/>
                                    </w:rPr>
                                  </w:pPr>
                                </w:p>
                                <w:p>
                                  <w:pPr>
                                    <w:pStyle w:val="TableParagraph"/>
                                    <w:spacing w:line="180" w:lineRule="exact"/>
                                    <w:ind w:left="114"/>
                                    <w:rPr>
                                      <w:sz w:val="17"/>
                                    </w:rPr>
                                  </w:pPr>
                                  <w:r>
                                    <w:rPr>
                                      <w:spacing w:val="-2"/>
                                      <w:sz w:val="17"/>
                                    </w:rPr>
                                    <w:t>70,75</w:t>
                                  </w:r>
                                </w:p>
                              </w:tc>
                              <w:tc>
                                <w:tcPr>
                                  <w:tcW w:w="1143" w:type="dxa"/>
                                  <w:tcBorders>
                                    <w:top w:val="single" w:sz="8" w:space="0" w:color="001F5F"/>
                                  </w:tcBorders>
                                </w:tcPr>
                                <w:p>
                                  <w:pPr>
                                    <w:pStyle w:val="TableParagraph"/>
                                    <w:spacing w:before="96"/>
                                    <w:rPr>
                                      <w:sz w:val="17"/>
                                    </w:rPr>
                                  </w:pPr>
                                </w:p>
                                <w:p>
                                  <w:pPr>
                                    <w:pStyle w:val="TableParagraph"/>
                                    <w:spacing w:line="180" w:lineRule="exact"/>
                                    <w:ind w:right="118"/>
                                    <w:jc w:val="right"/>
                                    <w:rPr>
                                      <w:sz w:val="17"/>
                                    </w:rPr>
                                  </w:pPr>
                                  <w:r>
                                    <w:rPr>
                                      <w:spacing w:val="-4"/>
                                      <w:sz w:val="17"/>
                                    </w:rPr>
                                    <w:t>0,00</w:t>
                                  </w:r>
                                </w:p>
                              </w:tc>
                              <w:tc>
                                <w:tcPr>
                                  <w:tcW w:w="531" w:type="dxa"/>
                                  <w:tcBorders>
                                    <w:top w:val="single" w:sz="8" w:space="0" w:color="001F5F"/>
                                  </w:tcBorders>
                                </w:tcPr>
                                <w:p>
                                  <w:pPr>
                                    <w:pStyle w:val="TableParagraph"/>
                                    <w:spacing w:before="96"/>
                                    <w:rPr>
                                      <w:sz w:val="17"/>
                                    </w:rPr>
                                  </w:pPr>
                                </w:p>
                                <w:p>
                                  <w:pPr>
                                    <w:pStyle w:val="TableParagraph"/>
                                    <w:spacing w:line="180" w:lineRule="exact"/>
                                    <w:ind w:left="96"/>
                                    <w:jc w:val="center"/>
                                    <w:rPr>
                                      <w:sz w:val="17"/>
                                    </w:rPr>
                                  </w:pPr>
                                  <w:r>
                                    <w:rPr>
                                      <w:spacing w:val="-4"/>
                                      <w:sz w:val="17"/>
                                    </w:rPr>
                                    <w:t>0,00</w:t>
                                  </w:r>
                                </w:p>
                              </w:tc>
                              <w:tc>
                                <w:tcPr>
                                  <w:tcW w:w="1007" w:type="dxa"/>
                                  <w:tcBorders>
                                    <w:top w:val="single" w:sz="8" w:space="0" w:color="001F5F"/>
                                  </w:tcBorders>
                                </w:tcPr>
                                <w:p>
                                  <w:pPr>
                                    <w:pStyle w:val="TableParagraph"/>
                                    <w:spacing w:before="96"/>
                                    <w:rPr>
                                      <w:sz w:val="17"/>
                                    </w:rPr>
                                  </w:pPr>
                                </w:p>
                                <w:p>
                                  <w:pPr>
                                    <w:pStyle w:val="TableParagraph"/>
                                    <w:spacing w:line="180" w:lineRule="exact"/>
                                    <w:ind w:left="60"/>
                                    <w:rPr>
                                      <w:sz w:val="17"/>
                                    </w:rPr>
                                  </w:pPr>
                                  <w:r>
                                    <w:rPr>
                                      <w:sz w:val="17"/>
                                    </w:rPr>
                                    <w:t>En</w:t>
                                  </w:r>
                                  <w:r>
                                    <w:rPr>
                                      <w:spacing w:val="-1"/>
                                      <w:sz w:val="17"/>
                                    </w:rPr>
                                    <w:t> </w:t>
                                  </w:r>
                                  <w:r>
                                    <w:rPr>
                                      <w:spacing w:val="-2"/>
                                      <w:sz w:val="17"/>
                                    </w:rPr>
                                    <w:t>ejecución</w:t>
                                  </w:r>
                                </w:p>
                              </w:tc>
                            </w:tr>
                            <w:tr>
                              <w:trPr>
                                <w:trHeight w:val="694" w:hRule="atLeast"/>
                              </w:trPr>
                              <w:tc>
                                <w:tcPr>
                                  <w:tcW w:w="1981" w:type="dxa"/>
                                </w:tcPr>
                                <w:p>
                                  <w:pPr>
                                    <w:pStyle w:val="TableParagraph"/>
                                    <w:spacing w:before="93"/>
                                    <w:ind w:left="71"/>
                                    <w:rPr>
                                      <w:sz w:val="17"/>
                                    </w:rPr>
                                  </w:pPr>
                                  <w:r>
                                    <w:rPr>
                                      <w:spacing w:val="-2"/>
                                      <w:sz w:val="17"/>
                                    </w:rPr>
                                    <w:t>estimación</w:t>
                                  </w:r>
                                </w:p>
                                <w:p>
                                  <w:pPr>
                                    <w:pStyle w:val="TableParagraph"/>
                                    <w:spacing w:line="190" w:lineRule="atLeast"/>
                                    <w:ind w:left="71" w:right="101"/>
                                    <w:rPr>
                                      <w:sz w:val="17"/>
                                    </w:rPr>
                                  </w:pPr>
                                  <w:r>
                                    <w:rPr>
                                      <w:sz w:val="17"/>
                                    </w:rPr>
                                    <w:t>Sistemas</w:t>
                                  </w:r>
                                  <w:r>
                                    <w:rPr>
                                      <w:spacing w:val="-10"/>
                                      <w:sz w:val="17"/>
                                    </w:rPr>
                                    <w:t> </w:t>
                                  </w:r>
                                  <w:r>
                                    <w:rPr>
                                      <w:sz w:val="17"/>
                                    </w:rPr>
                                    <w:t>de</w:t>
                                  </w:r>
                                  <w:r>
                                    <w:rPr>
                                      <w:spacing w:val="-10"/>
                                      <w:sz w:val="17"/>
                                    </w:rPr>
                                    <w:t> </w:t>
                                  </w:r>
                                  <w:r>
                                    <w:rPr>
                                      <w:sz w:val="17"/>
                                    </w:rPr>
                                    <w:t>sensorización</w:t>
                                  </w:r>
                                  <w:r>
                                    <w:rPr>
                                      <w:spacing w:val="-10"/>
                                      <w:sz w:val="17"/>
                                    </w:rPr>
                                    <w:t> </w:t>
                                  </w:r>
                                  <w:r>
                                    <w:rPr>
                                      <w:sz w:val="17"/>
                                    </w:rPr>
                                    <w:t>y</w:t>
                                  </w:r>
                                  <w:r>
                                    <w:rPr>
                                      <w:spacing w:val="40"/>
                                      <w:sz w:val="17"/>
                                    </w:rPr>
                                    <w:t> </w:t>
                                  </w:r>
                                  <w:r>
                                    <w:rPr>
                                      <w:sz w:val="17"/>
                                    </w:rPr>
                                    <w:t>monitorización de los</w:t>
                                  </w:r>
                                </w:p>
                              </w:tc>
                              <w:tc>
                                <w:tcPr>
                                  <w:tcW w:w="1146" w:type="dxa"/>
                                </w:tcPr>
                                <w:p>
                                  <w:pPr>
                                    <w:pStyle w:val="TableParagraph"/>
                                    <w:rPr>
                                      <w:rFonts w:ascii="Times New Roman"/>
                                      <w:sz w:val="16"/>
                                    </w:rPr>
                                  </w:pPr>
                                </w:p>
                              </w:tc>
                              <w:tc>
                                <w:tcPr>
                                  <w:tcW w:w="1172" w:type="dxa"/>
                                </w:tcPr>
                                <w:p>
                                  <w:pPr>
                                    <w:pStyle w:val="TableParagraph"/>
                                    <w:rPr>
                                      <w:rFonts w:ascii="Times New Roman"/>
                                      <w:sz w:val="16"/>
                                    </w:rPr>
                                  </w:pPr>
                                </w:p>
                              </w:tc>
                              <w:tc>
                                <w:tcPr>
                                  <w:tcW w:w="697" w:type="dxa"/>
                                </w:tcPr>
                                <w:p>
                                  <w:pPr>
                                    <w:pStyle w:val="TableParagraph"/>
                                    <w:rPr>
                                      <w:rFonts w:ascii="Times New Roman"/>
                                      <w:sz w:val="16"/>
                                    </w:rPr>
                                  </w:pPr>
                                </w:p>
                              </w:tc>
                              <w:tc>
                                <w:tcPr>
                                  <w:tcW w:w="1224" w:type="dxa"/>
                                </w:tcPr>
                                <w:p>
                                  <w:pPr>
                                    <w:pStyle w:val="TableParagraph"/>
                                    <w:rPr>
                                      <w:rFonts w:ascii="Times New Roman"/>
                                      <w:sz w:val="16"/>
                                    </w:rPr>
                                  </w:pPr>
                                </w:p>
                              </w:tc>
                              <w:tc>
                                <w:tcPr>
                                  <w:tcW w:w="731" w:type="dxa"/>
                                </w:tcPr>
                                <w:p>
                                  <w:pPr>
                                    <w:pStyle w:val="TableParagraph"/>
                                    <w:rPr>
                                      <w:rFonts w:ascii="Times New Roman"/>
                                      <w:sz w:val="16"/>
                                    </w:rPr>
                                  </w:pPr>
                                </w:p>
                              </w:tc>
                              <w:tc>
                                <w:tcPr>
                                  <w:tcW w:w="1077" w:type="dxa"/>
                                </w:tcPr>
                                <w:p>
                                  <w:pPr>
                                    <w:pStyle w:val="TableParagraph"/>
                                    <w:rPr>
                                      <w:rFonts w:ascii="Times New Roman"/>
                                      <w:sz w:val="16"/>
                                    </w:rPr>
                                  </w:pPr>
                                </w:p>
                              </w:tc>
                              <w:tc>
                                <w:tcPr>
                                  <w:tcW w:w="687" w:type="dxa"/>
                                </w:tcPr>
                                <w:p>
                                  <w:pPr>
                                    <w:pStyle w:val="TableParagraph"/>
                                    <w:rPr>
                                      <w:rFonts w:ascii="Times New Roman"/>
                                      <w:sz w:val="16"/>
                                    </w:rPr>
                                  </w:pPr>
                                </w:p>
                              </w:tc>
                              <w:tc>
                                <w:tcPr>
                                  <w:tcW w:w="1143" w:type="dxa"/>
                                </w:tcPr>
                                <w:p>
                                  <w:pPr>
                                    <w:pStyle w:val="TableParagraph"/>
                                    <w:rPr>
                                      <w:rFonts w:ascii="Times New Roman"/>
                                      <w:sz w:val="16"/>
                                    </w:rPr>
                                  </w:pPr>
                                </w:p>
                              </w:tc>
                              <w:tc>
                                <w:tcPr>
                                  <w:tcW w:w="531" w:type="dxa"/>
                                </w:tcPr>
                                <w:p>
                                  <w:pPr>
                                    <w:pStyle w:val="TableParagraph"/>
                                    <w:rPr>
                                      <w:rFonts w:ascii="Times New Roman"/>
                                      <w:sz w:val="16"/>
                                    </w:rPr>
                                  </w:pPr>
                                </w:p>
                              </w:tc>
                              <w:tc>
                                <w:tcPr>
                                  <w:tcW w:w="1007" w:type="dxa"/>
                                </w:tcPr>
                                <w:p>
                                  <w:pPr>
                                    <w:pStyle w:val="TableParagraph"/>
                                    <w:rPr>
                                      <w:rFonts w:ascii="Times New Roman"/>
                                      <w:sz w:val="16"/>
                                    </w:rPr>
                                  </w:pPr>
                                </w:p>
                              </w:tc>
                            </w:tr>
                            <w:tr>
                              <w:trPr>
                                <w:trHeight w:val="588" w:hRule="atLeast"/>
                              </w:trPr>
                              <w:tc>
                                <w:tcPr>
                                  <w:tcW w:w="3127" w:type="dxa"/>
                                  <w:gridSpan w:val="2"/>
                                  <w:tcBorders>
                                    <w:bottom w:val="single" w:sz="8" w:space="0" w:color="001F5F"/>
                                  </w:tcBorders>
                                </w:tcPr>
                                <w:p>
                                  <w:pPr>
                                    <w:pStyle w:val="TableParagraph"/>
                                    <w:tabs>
                                      <w:tab w:pos="2054" w:val="left" w:leader="none"/>
                                    </w:tabs>
                                    <w:spacing w:before="3"/>
                                    <w:ind w:left="71" w:right="251"/>
                                    <w:rPr>
                                      <w:sz w:val="17"/>
                                    </w:rPr>
                                  </w:pPr>
                                  <w:r>
                                    <w:rPr>
                                      <w:sz w:val="17"/>
                                    </w:rPr>
                                    <w:t>autobuses (rampas</w:t>
                                    <w:tab/>
                                  </w:r>
                                  <w:r>
                                    <w:rPr>
                                      <w:spacing w:val="-2"/>
                                      <w:sz w:val="17"/>
                                    </w:rPr>
                                    <w:t>Digitalización</w:t>
                                  </w:r>
                                  <w:r>
                                    <w:rPr>
                                      <w:spacing w:val="40"/>
                                      <w:sz w:val="17"/>
                                    </w:rPr>
                                    <w:t> </w:t>
                                  </w:r>
                                  <w:r>
                                    <w:rPr>
                                      <w:sz w:val="17"/>
                                    </w:rPr>
                                    <w:t>inteligentes, contaje viajeros,</w:t>
                                  </w:r>
                                </w:p>
                                <w:p>
                                  <w:pPr>
                                    <w:pStyle w:val="TableParagraph"/>
                                    <w:spacing w:line="176" w:lineRule="exact"/>
                                    <w:ind w:left="71"/>
                                    <w:rPr>
                                      <w:sz w:val="17"/>
                                    </w:rPr>
                                  </w:pPr>
                                  <w:r>
                                    <w:rPr>
                                      <w:sz w:val="17"/>
                                    </w:rPr>
                                    <w:t>presión</w:t>
                                  </w:r>
                                  <w:r>
                                    <w:rPr>
                                      <w:spacing w:val="-5"/>
                                      <w:sz w:val="17"/>
                                    </w:rPr>
                                    <w:t> </w:t>
                                  </w:r>
                                  <w:r>
                                    <w:rPr>
                                      <w:sz w:val="17"/>
                                    </w:rPr>
                                    <w:t>neumáticos,</w:t>
                                  </w:r>
                                  <w:r>
                                    <w:rPr>
                                      <w:spacing w:val="-5"/>
                                      <w:sz w:val="17"/>
                                    </w:rPr>
                                    <w:t> AC)</w:t>
                                  </w:r>
                                </w:p>
                              </w:tc>
                              <w:tc>
                                <w:tcPr>
                                  <w:tcW w:w="1172" w:type="dxa"/>
                                  <w:tcBorders>
                                    <w:bottom w:val="single" w:sz="8" w:space="0" w:color="001F5F"/>
                                  </w:tcBorders>
                                </w:tcPr>
                                <w:p>
                                  <w:pPr>
                                    <w:pStyle w:val="TableParagraph"/>
                                    <w:spacing w:line="202" w:lineRule="exact"/>
                                    <w:ind w:right="133"/>
                                    <w:jc w:val="right"/>
                                    <w:rPr>
                                      <w:sz w:val="18"/>
                                    </w:rPr>
                                  </w:pPr>
                                  <w:r>
                                    <w:rPr>
                                      <w:spacing w:val="-2"/>
                                      <w:sz w:val="18"/>
                                    </w:rPr>
                                    <w:t>237.595,00</w:t>
                                  </w:r>
                                </w:p>
                              </w:tc>
                              <w:tc>
                                <w:tcPr>
                                  <w:tcW w:w="697" w:type="dxa"/>
                                  <w:tcBorders>
                                    <w:bottom w:val="single" w:sz="8" w:space="0" w:color="001F5F"/>
                                  </w:tcBorders>
                                </w:tcPr>
                                <w:p>
                                  <w:pPr>
                                    <w:pStyle w:val="TableParagraph"/>
                                    <w:spacing w:before="3"/>
                                    <w:ind w:left="77" w:right="83"/>
                                    <w:jc w:val="center"/>
                                    <w:rPr>
                                      <w:sz w:val="17"/>
                                    </w:rPr>
                                  </w:pPr>
                                  <w:r>
                                    <w:rPr>
                                      <w:spacing w:val="-4"/>
                                      <w:sz w:val="17"/>
                                    </w:rPr>
                                    <w:t>0,55</w:t>
                                  </w:r>
                                </w:p>
                              </w:tc>
                              <w:tc>
                                <w:tcPr>
                                  <w:tcW w:w="1224" w:type="dxa"/>
                                  <w:tcBorders>
                                    <w:bottom w:val="single" w:sz="8" w:space="0" w:color="001F5F"/>
                                  </w:tcBorders>
                                </w:tcPr>
                                <w:p>
                                  <w:pPr>
                                    <w:pStyle w:val="TableParagraph"/>
                                    <w:spacing w:before="3"/>
                                    <w:ind w:right="117"/>
                                    <w:jc w:val="right"/>
                                    <w:rPr>
                                      <w:sz w:val="17"/>
                                    </w:rPr>
                                  </w:pPr>
                                  <w:r>
                                    <w:rPr>
                                      <w:spacing w:val="-2"/>
                                      <w:sz w:val="17"/>
                                    </w:rPr>
                                    <w:t>23.759,50</w:t>
                                  </w:r>
                                </w:p>
                              </w:tc>
                              <w:tc>
                                <w:tcPr>
                                  <w:tcW w:w="731" w:type="dxa"/>
                                  <w:tcBorders>
                                    <w:bottom w:val="single" w:sz="8" w:space="0" w:color="001F5F"/>
                                  </w:tcBorders>
                                </w:tcPr>
                                <w:p>
                                  <w:pPr>
                                    <w:pStyle w:val="TableParagraph"/>
                                    <w:spacing w:before="3"/>
                                    <w:ind w:right="178"/>
                                    <w:jc w:val="right"/>
                                    <w:rPr>
                                      <w:sz w:val="17"/>
                                    </w:rPr>
                                  </w:pPr>
                                  <w:r>
                                    <w:rPr>
                                      <w:spacing w:val="-2"/>
                                      <w:sz w:val="17"/>
                                    </w:rPr>
                                    <w:t>10,00</w:t>
                                  </w:r>
                                </w:p>
                              </w:tc>
                              <w:tc>
                                <w:tcPr>
                                  <w:tcW w:w="1077" w:type="dxa"/>
                                  <w:tcBorders>
                                    <w:bottom w:val="single" w:sz="8" w:space="0" w:color="001F5F"/>
                                  </w:tcBorders>
                                </w:tcPr>
                                <w:p>
                                  <w:pPr>
                                    <w:pStyle w:val="TableParagraph"/>
                                    <w:spacing w:before="3"/>
                                    <w:ind w:right="91"/>
                                    <w:jc w:val="right"/>
                                    <w:rPr>
                                      <w:sz w:val="17"/>
                                    </w:rPr>
                                  </w:pPr>
                                  <w:r>
                                    <w:rPr>
                                      <w:spacing w:val="-2"/>
                                      <w:sz w:val="17"/>
                                    </w:rPr>
                                    <w:t>213.835,50</w:t>
                                  </w:r>
                                </w:p>
                              </w:tc>
                              <w:tc>
                                <w:tcPr>
                                  <w:tcW w:w="687" w:type="dxa"/>
                                  <w:tcBorders>
                                    <w:bottom w:val="single" w:sz="8" w:space="0" w:color="001F5F"/>
                                  </w:tcBorders>
                                </w:tcPr>
                                <w:p>
                                  <w:pPr>
                                    <w:pStyle w:val="TableParagraph"/>
                                    <w:spacing w:before="3"/>
                                    <w:ind w:left="114"/>
                                    <w:rPr>
                                      <w:sz w:val="17"/>
                                    </w:rPr>
                                  </w:pPr>
                                  <w:r>
                                    <w:rPr>
                                      <w:spacing w:val="-2"/>
                                      <w:sz w:val="17"/>
                                    </w:rPr>
                                    <w:t>90,00</w:t>
                                  </w:r>
                                </w:p>
                              </w:tc>
                              <w:tc>
                                <w:tcPr>
                                  <w:tcW w:w="1143" w:type="dxa"/>
                                  <w:tcBorders>
                                    <w:bottom w:val="single" w:sz="8" w:space="0" w:color="001F5F"/>
                                  </w:tcBorders>
                                </w:tcPr>
                                <w:p>
                                  <w:pPr>
                                    <w:pStyle w:val="TableParagraph"/>
                                    <w:spacing w:before="3"/>
                                    <w:ind w:right="118"/>
                                    <w:jc w:val="right"/>
                                    <w:rPr>
                                      <w:sz w:val="17"/>
                                    </w:rPr>
                                  </w:pPr>
                                  <w:r>
                                    <w:rPr>
                                      <w:spacing w:val="-4"/>
                                      <w:sz w:val="17"/>
                                    </w:rPr>
                                    <w:t>0,00</w:t>
                                  </w:r>
                                </w:p>
                              </w:tc>
                              <w:tc>
                                <w:tcPr>
                                  <w:tcW w:w="531" w:type="dxa"/>
                                  <w:tcBorders>
                                    <w:bottom w:val="single" w:sz="8" w:space="0" w:color="001F5F"/>
                                  </w:tcBorders>
                                </w:tcPr>
                                <w:p>
                                  <w:pPr>
                                    <w:pStyle w:val="TableParagraph"/>
                                    <w:spacing w:before="3"/>
                                    <w:ind w:left="96"/>
                                    <w:jc w:val="center"/>
                                    <w:rPr>
                                      <w:sz w:val="17"/>
                                    </w:rPr>
                                  </w:pPr>
                                  <w:r>
                                    <w:rPr>
                                      <w:spacing w:val="-4"/>
                                      <w:sz w:val="17"/>
                                    </w:rPr>
                                    <w:t>0,00</w:t>
                                  </w:r>
                                </w:p>
                              </w:tc>
                              <w:tc>
                                <w:tcPr>
                                  <w:tcW w:w="1007" w:type="dxa"/>
                                  <w:tcBorders>
                                    <w:bottom w:val="single" w:sz="8" w:space="0" w:color="001F5F"/>
                                  </w:tcBorders>
                                </w:tcPr>
                                <w:p>
                                  <w:pPr>
                                    <w:pStyle w:val="TableParagraph"/>
                                    <w:spacing w:before="3"/>
                                    <w:ind w:left="60"/>
                                    <w:rPr>
                                      <w:sz w:val="17"/>
                                    </w:rPr>
                                  </w:pPr>
                                  <w:r>
                                    <w:rPr>
                                      <w:sz w:val="17"/>
                                    </w:rPr>
                                    <w:t>En</w:t>
                                  </w:r>
                                  <w:r>
                                    <w:rPr>
                                      <w:spacing w:val="-1"/>
                                      <w:sz w:val="17"/>
                                    </w:rPr>
                                    <w:t> </w:t>
                                  </w:r>
                                  <w:r>
                                    <w:rPr>
                                      <w:spacing w:val="-2"/>
                                      <w:sz w:val="17"/>
                                    </w:rPr>
                                    <w:t>ejecución</w:t>
                                  </w:r>
                                </w:p>
                              </w:tc>
                            </w:tr>
                            <w:tr>
                              <w:trPr>
                                <w:trHeight w:val="779" w:hRule="atLeast"/>
                              </w:trPr>
                              <w:tc>
                                <w:tcPr>
                                  <w:tcW w:w="3127" w:type="dxa"/>
                                  <w:gridSpan w:val="2"/>
                                  <w:tcBorders>
                                    <w:top w:val="single" w:sz="8" w:space="0" w:color="001F5F"/>
                                    <w:bottom w:val="single" w:sz="8" w:space="0" w:color="001F5F"/>
                                  </w:tcBorders>
                                </w:tcPr>
                                <w:p>
                                  <w:pPr>
                                    <w:pStyle w:val="TableParagraph"/>
                                    <w:spacing w:line="193" w:lineRule="exact"/>
                                    <w:ind w:left="71"/>
                                    <w:rPr>
                                      <w:sz w:val="17"/>
                                    </w:rPr>
                                  </w:pPr>
                                  <w:r>
                                    <w:rPr>
                                      <w:sz w:val="17"/>
                                    </w:rPr>
                                    <w:t>Sistemas</w:t>
                                  </w:r>
                                  <w:r>
                                    <w:rPr>
                                      <w:spacing w:val="-3"/>
                                      <w:sz w:val="17"/>
                                    </w:rPr>
                                    <w:t> </w:t>
                                  </w:r>
                                  <w:r>
                                    <w:rPr>
                                      <w:sz w:val="17"/>
                                    </w:rPr>
                                    <w:t>de</w:t>
                                  </w:r>
                                  <w:r>
                                    <w:rPr>
                                      <w:spacing w:val="-3"/>
                                      <w:sz w:val="17"/>
                                    </w:rPr>
                                    <w:t> </w:t>
                                  </w:r>
                                  <w:r>
                                    <w:rPr>
                                      <w:sz w:val="17"/>
                                    </w:rPr>
                                    <w:t>predicción</w:t>
                                  </w:r>
                                  <w:r>
                                    <w:rPr>
                                      <w:spacing w:val="-2"/>
                                      <w:sz w:val="17"/>
                                    </w:rPr>
                                    <w:t> </w:t>
                                  </w:r>
                                  <w:r>
                                    <w:rPr>
                                      <w:sz w:val="17"/>
                                    </w:rPr>
                                    <w:t>a</w:t>
                                  </w:r>
                                  <w:r>
                                    <w:rPr>
                                      <w:spacing w:val="-3"/>
                                      <w:sz w:val="17"/>
                                    </w:rPr>
                                    <w:t> </w:t>
                                  </w:r>
                                  <w:r>
                                    <w:rPr>
                                      <w:spacing w:val="-5"/>
                                      <w:sz w:val="17"/>
                                    </w:rPr>
                                    <w:t>la</w:t>
                                  </w:r>
                                </w:p>
                                <w:p>
                                  <w:pPr>
                                    <w:pStyle w:val="TableParagraph"/>
                                    <w:tabs>
                                      <w:tab w:pos="2054" w:val="left" w:leader="none"/>
                                    </w:tabs>
                                    <w:ind w:left="71"/>
                                    <w:rPr>
                                      <w:position w:val="-9"/>
                                      <w:sz w:val="17"/>
                                    </w:rPr>
                                  </w:pPr>
                                  <w:r>
                                    <w:rPr>
                                      <w:sz w:val="17"/>
                                    </w:rPr>
                                    <w:t>demanda</w:t>
                                  </w:r>
                                  <w:r>
                                    <w:rPr>
                                      <w:spacing w:val="-4"/>
                                      <w:sz w:val="17"/>
                                    </w:rPr>
                                    <w:t> </w:t>
                                  </w:r>
                                  <w:r>
                                    <w:rPr>
                                      <w:sz w:val="17"/>
                                    </w:rPr>
                                    <w:t>y</w:t>
                                  </w:r>
                                  <w:r>
                                    <w:rPr>
                                      <w:spacing w:val="-2"/>
                                      <w:sz w:val="17"/>
                                    </w:rPr>
                                    <w:t> </w:t>
                                  </w:r>
                                  <w:r>
                                    <w:rPr>
                                      <w:sz w:val="17"/>
                                    </w:rPr>
                                    <w:t>sensorización</w:t>
                                  </w:r>
                                  <w:r>
                                    <w:rPr>
                                      <w:spacing w:val="-3"/>
                                      <w:sz w:val="17"/>
                                    </w:rPr>
                                    <w:t> </w:t>
                                  </w:r>
                                  <w:r>
                                    <w:rPr>
                                      <w:spacing w:val="-5"/>
                                      <w:sz w:val="17"/>
                                    </w:rPr>
                                    <w:t>de</w:t>
                                  </w:r>
                                  <w:r>
                                    <w:rPr>
                                      <w:sz w:val="17"/>
                                    </w:rPr>
                                    <w:tab/>
                                  </w:r>
                                  <w:r>
                                    <w:rPr>
                                      <w:spacing w:val="-2"/>
                                      <w:position w:val="-9"/>
                                      <w:sz w:val="17"/>
                                    </w:rPr>
                                    <w:t>Digitalización</w:t>
                                  </w:r>
                                </w:p>
                                <w:p>
                                  <w:pPr>
                                    <w:pStyle w:val="TableParagraph"/>
                                    <w:spacing w:line="175" w:lineRule="exact" w:before="95"/>
                                    <w:ind w:left="71"/>
                                    <w:rPr>
                                      <w:sz w:val="17"/>
                                    </w:rPr>
                                  </w:pPr>
                                  <w:r>
                                    <w:rPr>
                                      <w:sz w:val="17"/>
                                    </w:rPr>
                                    <w:t>tiempo</w:t>
                                  </w:r>
                                  <w:r>
                                    <w:rPr>
                                      <w:spacing w:val="-3"/>
                                      <w:sz w:val="17"/>
                                    </w:rPr>
                                    <w:t> </w:t>
                                  </w:r>
                                  <w:r>
                                    <w:rPr>
                                      <w:spacing w:val="-4"/>
                                      <w:sz w:val="17"/>
                                    </w:rPr>
                                    <w:t>real</w:t>
                                  </w:r>
                                </w:p>
                              </w:tc>
                              <w:tc>
                                <w:tcPr>
                                  <w:tcW w:w="1172" w:type="dxa"/>
                                  <w:tcBorders>
                                    <w:top w:val="single" w:sz="8" w:space="0" w:color="001F5F"/>
                                    <w:bottom w:val="single" w:sz="8" w:space="0" w:color="001F5F"/>
                                  </w:tcBorders>
                                </w:tcPr>
                                <w:p>
                                  <w:pPr>
                                    <w:pStyle w:val="TableParagraph"/>
                                    <w:spacing w:before="80"/>
                                    <w:rPr>
                                      <w:sz w:val="18"/>
                                    </w:rPr>
                                  </w:pPr>
                                </w:p>
                                <w:p>
                                  <w:pPr>
                                    <w:pStyle w:val="TableParagraph"/>
                                    <w:ind w:right="133"/>
                                    <w:jc w:val="right"/>
                                    <w:rPr>
                                      <w:sz w:val="18"/>
                                    </w:rPr>
                                  </w:pPr>
                                  <w:r>
                                    <w:rPr>
                                      <w:spacing w:val="-2"/>
                                      <w:sz w:val="18"/>
                                    </w:rPr>
                                    <w:t>122.759,75</w:t>
                                  </w:r>
                                </w:p>
                              </w:tc>
                              <w:tc>
                                <w:tcPr>
                                  <w:tcW w:w="697" w:type="dxa"/>
                                  <w:tcBorders>
                                    <w:top w:val="single" w:sz="8" w:space="0" w:color="001F5F"/>
                                    <w:bottom w:val="single" w:sz="8" w:space="0" w:color="001F5F"/>
                                  </w:tcBorders>
                                </w:tcPr>
                                <w:p>
                                  <w:pPr>
                                    <w:pStyle w:val="TableParagraph"/>
                                    <w:spacing w:before="96"/>
                                    <w:rPr>
                                      <w:sz w:val="17"/>
                                    </w:rPr>
                                  </w:pPr>
                                </w:p>
                                <w:p>
                                  <w:pPr>
                                    <w:pStyle w:val="TableParagraph"/>
                                    <w:ind w:left="77" w:right="83"/>
                                    <w:jc w:val="center"/>
                                    <w:rPr>
                                      <w:sz w:val="17"/>
                                    </w:rPr>
                                  </w:pPr>
                                  <w:r>
                                    <w:rPr>
                                      <w:spacing w:val="-4"/>
                                      <w:sz w:val="17"/>
                                    </w:rPr>
                                    <w:t>0,28</w:t>
                                  </w:r>
                                </w:p>
                              </w:tc>
                              <w:tc>
                                <w:tcPr>
                                  <w:tcW w:w="1224" w:type="dxa"/>
                                  <w:tcBorders>
                                    <w:top w:val="single" w:sz="8" w:space="0" w:color="001F5F"/>
                                    <w:bottom w:val="single" w:sz="8" w:space="0" w:color="001F5F"/>
                                  </w:tcBorders>
                                </w:tcPr>
                                <w:p>
                                  <w:pPr>
                                    <w:pStyle w:val="TableParagraph"/>
                                    <w:spacing w:before="96"/>
                                    <w:rPr>
                                      <w:sz w:val="17"/>
                                    </w:rPr>
                                  </w:pPr>
                                </w:p>
                                <w:p>
                                  <w:pPr>
                                    <w:pStyle w:val="TableParagraph"/>
                                    <w:ind w:right="117"/>
                                    <w:jc w:val="right"/>
                                    <w:rPr>
                                      <w:sz w:val="17"/>
                                    </w:rPr>
                                  </w:pPr>
                                  <w:r>
                                    <w:rPr>
                                      <w:spacing w:val="-2"/>
                                      <w:sz w:val="17"/>
                                    </w:rPr>
                                    <w:t>12.275,97</w:t>
                                  </w:r>
                                </w:p>
                              </w:tc>
                              <w:tc>
                                <w:tcPr>
                                  <w:tcW w:w="731" w:type="dxa"/>
                                  <w:tcBorders>
                                    <w:top w:val="single" w:sz="8" w:space="0" w:color="001F5F"/>
                                    <w:bottom w:val="single" w:sz="8" w:space="0" w:color="001F5F"/>
                                  </w:tcBorders>
                                </w:tcPr>
                                <w:p>
                                  <w:pPr>
                                    <w:pStyle w:val="TableParagraph"/>
                                    <w:spacing w:before="96"/>
                                    <w:rPr>
                                      <w:sz w:val="17"/>
                                    </w:rPr>
                                  </w:pPr>
                                </w:p>
                                <w:p>
                                  <w:pPr>
                                    <w:pStyle w:val="TableParagraph"/>
                                    <w:ind w:right="178"/>
                                    <w:jc w:val="right"/>
                                    <w:rPr>
                                      <w:sz w:val="17"/>
                                    </w:rPr>
                                  </w:pPr>
                                  <w:r>
                                    <w:rPr>
                                      <w:spacing w:val="-2"/>
                                      <w:sz w:val="17"/>
                                    </w:rPr>
                                    <w:t>10,00</w:t>
                                  </w:r>
                                </w:p>
                              </w:tc>
                              <w:tc>
                                <w:tcPr>
                                  <w:tcW w:w="1077" w:type="dxa"/>
                                  <w:tcBorders>
                                    <w:top w:val="single" w:sz="8" w:space="0" w:color="001F5F"/>
                                    <w:bottom w:val="single" w:sz="8" w:space="0" w:color="001F5F"/>
                                  </w:tcBorders>
                                </w:tcPr>
                                <w:p>
                                  <w:pPr>
                                    <w:pStyle w:val="TableParagraph"/>
                                    <w:spacing w:before="96"/>
                                    <w:rPr>
                                      <w:sz w:val="17"/>
                                    </w:rPr>
                                  </w:pPr>
                                </w:p>
                                <w:p>
                                  <w:pPr>
                                    <w:pStyle w:val="TableParagraph"/>
                                    <w:ind w:right="91"/>
                                    <w:jc w:val="right"/>
                                    <w:rPr>
                                      <w:sz w:val="17"/>
                                    </w:rPr>
                                  </w:pPr>
                                  <w:r>
                                    <w:rPr>
                                      <w:spacing w:val="-2"/>
                                      <w:sz w:val="17"/>
                                    </w:rPr>
                                    <w:t>110.483,78</w:t>
                                  </w:r>
                                </w:p>
                              </w:tc>
                              <w:tc>
                                <w:tcPr>
                                  <w:tcW w:w="687" w:type="dxa"/>
                                  <w:tcBorders>
                                    <w:top w:val="single" w:sz="8" w:space="0" w:color="001F5F"/>
                                    <w:bottom w:val="single" w:sz="8" w:space="0" w:color="001F5F"/>
                                  </w:tcBorders>
                                </w:tcPr>
                                <w:p>
                                  <w:pPr>
                                    <w:pStyle w:val="TableParagraph"/>
                                    <w:spacing w:before="96"/>
                                    <w:rPr>
                                      <w:sz w:val="17"/>
                                    </w:rPr>
                                  </w:pPr>
                                </w:p>
                                <w:p>
                                  <w:pPr>
                                    <w:pStyle w:val="TableParagraph"/>
                                    <w:ind w:left="114"/>
                                    <w:rPr>
                                      <w:sz w:val="17"/>
                                    </w:rPr>
                                  </w:pPr>
                                  <w:r>
                                    <w:rPr>
                                      <w:spacing w:val="-2"/>
                                      <w:sz w:val="17"/>
                                    </w:rPr>
                                    <w:t>90,00</w:t>
                                  </w:r>
                                </w:p>
                              </w:tc>
                              <w:tc>
                                <w:tcPr>
                                  <w:tcW w:w="1143" w:type="dxa"/>
                                  <w:tcBorders>
                                    <w:top w:val="single" w:sz="8" w:space="0" w:color="001F5F"/>
                                    <w:bottom w:val="single" w:sz="8" w:space="0" w:color="001F5F"/>
                                  </w:tcBorders>
                                </w:tcPr>
                                <w:p>
                                  <w:pPr>
                                    <w:pStyle w:val="TableParagraph"/>
                                    <w:spacing w:before="96"/>
                                    <w:rPr>
                                      <w:sz w:val="17"/>
                                    </w:rPr>
                                  </w:pPr>
                                </w:p>
                                <w:p>
                                  <w:pPr>
                                    <w:pStyle w:val="TableParagraph"/>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96"/>
                                    <w:rPr>
                                      <w:sz w:val="17"/>
                                    </w:rPr>
                                  </w:pPr>
                                </w:p>
                                <w:p>
                                  <w:pPr>
                                    <w:pStyle w:val="TableParagraph"/>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96"/>
                                    <w:rPr>
                                      <w:sz w:val="17"/>
                                    </w:rPr>
                                  </w:pPr>
                                </w:p>
                                <w:p>
                                  <w:pPr>
                                    <w:pStyle w:val="TableParagraph"/>
                                    <w:ind w:left="60"/>
                                    <w:rPr>
                                      <w:sz w:val="17"/>
                                    </w:rPr>
                                  </w:pPr>
                                  <w:r>
                                    <w:rPr>
                                      <w:sz w:val="17"/>
                                    </w:rPr>
                                    <w:t>En</w:t>
                                  </w:r>
                                  <w:r>
                                    <w:rPr>
                                      <w:spacing w:val="-1"/>
                                      <w:sz w:val="17"/>
                                    </w:rPr>
                                    <w:t> </w:t>
                                  </w:r>
                                  <w:r>
                                    <w:rPr>
                                      <w:spacing w:val="-2"/>
                                      <w:sz w:val="17"/>
                                    </w:rPr>
                                    <w:t>ejecución</w:t>
                                  </w:r>
                                </w:p>
                              </w:tc>
                            </w:tr>
                            <w:tr>
                              <w:trPr>
                                <w:trHeight w:val="782" w:hRule="atLeast"/>
                              </w:trPr>
                              <w:tc>
                                <w:tcPr>
                                  <w:tcW w:w="3127" w:type="dxa"/>
                                  <w:gridSpan w:val="2"/>
                                  <w:tcBorders>
                                    <w:top w:val="single" w:sz="8" w:space="0" w:color="001F5F"/>
                                    <w:bottom w:val="single" w:sz="8" w:space="0" w:color="001F5F"/>
                                  </w:tcBorders>
                                </w:tcPr>
                                <w:p>
                                  <w:pPr>
                                    <w:pStyle w:val="TableParagraph"/>
                                    <w:spacing w:line="194" w:lineRule="exact"/>
                                    <w:ind w:left="71"/>
                                    <w:rPr>
                                      <w:sz w:val="17"/>
                                    </w:rPr>
                                  </w:pPr>
                                  <w:r>
                                    <w:rPr>
                                      <w:sz w:val="17"/>
                                    </w:rPr>
                                    <w:t>Sistemas</w:t>
                                  </w:r>
                                  <w:r>
                                    <w:rPr>
                                      <w:spacing w:val="-4"/>
                                      <w:sz w:val="17"/>
                                    </w:rPr>
                                    <w:t> </w:t>
                                  </w:r>
                                  <w:r>
                                    <w:rPr>
                                      <w:sz w:val="17"/>
                                    </w:rPr>
                                    <w:t>de</w:t>
                                  </w:r>
                                  <w:r>
                                    <w:rPr>
                                      <w:spacing w:val="-3"/>
                                      <w:sz w:val="17"/>
                                    </w:rPr>
                                    <w:t> </w:t>
                                  </w:r>
                                  <w:r>
                                    <w:rPr>
                                      <w:sz w:val="17"/>
                                    </w:rPr>
                                    <w:t>expertos</w:t>
                                  </w:r>
                                  <w:r>
                                    <w:rPr>
                                      <w:spacing w:val="-3"/>
                                      <w:sz w:val="17"/>
                                    </w:rPr>
                                    <w:t> </w:t>
                                  </w:r>
                                  <w:r>
                                    <w:rPr>
                                      <w:spacing w:val="-5"/>
                                      <w:sz w:val="17"/>
                                    </w:rPr>
                                    <w:t>de</w:t>
                                  </w:r>
                                </w:p>
                                <w:p>
                                  <w:pPr>
                                    <w:pStyle w:val="TableParagraph"/>
                                    <w:tabs>
                                      <w:tab w:pos="2054" w:val="left" w:leader="none"/>
                                    </w:tabs>
                                    <w:spacing w:line="290" w:lineRule="atLeast"/>
                                    <w:ind w:left="71" w:right="251"/>
                                    <w:rPr>
                                      <w:sz w:val="17"/>
                                    </w:rPr>
                                  </w:pPr>
                                  <w:r>
                                    <w:rPr>
                                      <w:sz w:val="17"/>
                                    </w:rPr>
                                    <w:t>planificación</w:t>
                                  </w:r>
                                  <w:r>
                                    <w:rPr>
                                      <w:spacing w:val="-4"/>
                                      <w:sz w:val="17"/>
                                    </w:rPr>
                                    <w:t> </w:t>
                                  </w:r>
                                  <w:r>
                                    <w:rPr>
                                      <w:sz w:val="17"/>
                                    </w:rPr>
                                    <w:t>para</w:t>
                                    <w:tab/>
                                  </w:r>
                                  <w:r>
                                    <w:rPr>
                                      <w:spacing w:val="-2"/>
                                      <w:position w:val="-9"/>
                                      <w:sz w:val="17"/>
                                    </w:rPr>
                                    <w:t>Digitalización</w:t>
                                  </w:r>
                                  <w:r>
                                    <w:rPr>
                                      <w:spacing w:val="40"/>
                                      <w:position w:val="-9"/>
                                      <w:sz w:val="17"/>
                                    </w:rPr>
                                    <w:t> </w:t>
                                  </w:r>
                                  <w:r>
                                    <w:rPr>
                                      <w:sz w:val="17"/>
                                    </w:rPr>
                                    <w:t>humanos y material móvil</w:t>
                                  </w:r>
                                </w:p>
                              </w:tc>
                              <w:tc>
                                <w:tcPr>
                                  <w:tcW w:w="1172" w:type="dxa"/>
                                  <w:tcBorders>
                                    <w:top w:val="single" w:sz="8" w:space="0" w:color="001F5F"/>
                                    <w:bottom w:val="single" w:sz="8" w:space="0" w:color="001F5F"/>
                                  </w:tcBorders>
                                </w:tcPr>
                                <w:p>
                                  <w:pPr>
                                    <w:pStyle w:val="TableParagraph"/>
                                    <w:spacing w:before="81"/>
                                    <w:rPr>
                                      <w:sz w:val="18"/>
                                    </w:rPr>
                                  </w:pPr>
                                </w:p>
                                <w:p>
                                  <w:pPr>
                                    <w:pStyle w:val="TableParagraph"/>
                                    <w:ind w:right="133"/>
                                    <w:jc w:val="right"/>
                                    <w:rPr>
                                      <w:sz w:val="18"/>
                                    </w:rPr>
                                  </w:pPr>
                                  <w:r>
                                    <w:rPr>
                                      <w:spacing w:val="-2"/>
                                      <w:sz w:val="18"/>
                                    </w:rPr>
                                    <w:t>2.791.204,00</w:t>
                                  </w:r>
                                </w:p>
                              </w:tc>
                              <w:tc>
                                <w:tcPr>
                                  <w:tcW w:w="697" w:type="dxa"/>
                                  <w:tcBorders>
                                    <w:top w:val="single" w:sz="8" w:space="0" w:color="001F5F"/>
                                    <w:bottom w:val="single" w:sz="8" w:space="0" w:color="001F5F"/>
                                  </w:tcBorders>
                                </w:tcPr>
                                <w:p>
                                  <w:pPr>
                                    <w:pStyle w:val="TableParagraph"/>
                                    <w:spacing w:before="97"/>
                                    <w:rPr>
                                      <w:sz w:val="17"/>
                                    </w:rPr>
                                  </w:pPr>
                                </w:p>
                                <w:p>
                                  <w:pPr>
                                    <w:pStyle w:val="TableParagraph"/>
                                    <w:ind w:left="77" w:right="83"/>
                                    <w:jc w:val="center"/>
                                    <w:rPr>
                                      <w:sz w:val="17"/>
                                    </w:rPr>
                                  </w:pPr>
                                  <w:r>
                                    <w:rPr>
                                      <w:spacing w:val="-4"/>
                                      <w:sz w:val="17"/>
                                    </w:rPr>
                                    <w:t>6,47</w:t>
                                  </w:r>
                                </w:p>
                              </w:tc>
                              <w:tc>
                                <w:tcPr>
                                  <w:tcW w:w="1224" w:type="dxa"/>
                                  <w:tcBorders>
                                    <w:top w:val="single" w:sz="8" w:space="0" w:color="001F5F"/>
                                    <w:bottom w:val="single" w:sz="8" w:space="0" w:color="001F5F"/>
                                  </w:tcBorders>
                                </w:tcPr>
                                <w:p>
                                  <w:pPr>
                                    <w:pStyle w:val="TableParagraph"/>
                                    <w:spacing w:before="97"/>
                                    <w:rPr>
                                      <w:sz w:val="17"/>
                                    </w:rPr>
                                  </w:pPr>
                                </w:p>
                                <w:p>
                                  <w:pPr>
                                    <w:pStyle w:val="TableParagraph"/>
                                    <w:ind w:right="117"/>
                                    <w:jc w:val="right"/>
                                    <w:rPr>
                                      <w:sz w:val="17"/>
                                    </w:rPr>
                                  </w:pPr>
                                  <w:r>
                                    <w:rPr>
                                      <w:spacing w:val="-2"/>
                                      <w:sz w:val="17"/>
                                    </w:rPr>
                                    <w:t>1.145.370,40</w:t>
                                  </w:r>
                                </w:p>
                              </w:tc>
                              <w:tc>
                                <w:tcPr>
                                  <w:tcW w:w="731" w:type="dxa"/>
                                  <w:tcBorders>
                                    <w:top w:val="single" w:sz="8" w:space="0" w:color="001F5F"/>
                                    <w:bottom w:val="single" w:sz="8" w:space="0" w:color="001F5F"/>
                                  </w:tcBorders>
                                </w:tcPr>
                                <w:p>
                                  <w:pPr>
                                    <w:pStyle w:val="TableParagraph"/>
                                    <w:spacing w:before="97"/>
                                    <w:rPr>
                                      <w:sz w:val="17"/>
                                    </w:rPr>
                                  </w:pPr>
                                </w:p>
                                <w:p>
                                  <w:pPr>
                                    <w:pStyle w:val="TableParagraph"/>
                                    <w:ind w:right="178"/>
                                    <w:jc w:val="right"/>
                                    <w:rPr>
                                      <w:sz w:val="17"/>
                                    </w:rPr>
                                  </w:pPr>
                                  <w:r>
                                    <w:rPr>
                                      <w:spacing w:val="-2"/>
                                      <w:sz w:val="17"/>
                                    </w:rPr>
                                    <w:t>41,03</w:t>
                                  </w:r>
                                </w:p>
                              </w:tc>
                              <w:tc>
                                <w:tcPr>
                                  <w:tcW w:w="1077" w:type="dxa"/>
                                  <w:tcBorders>
                                    <w:top w:val="single" w:sz="8" w:space="0" w:color="001F5F"/>
                                    <w:bottom w:val="single" w:sz="8" w:space="0" w:color="001F5F"/>
                                  </w:tcBorders>
                                </w:tcPr>
                                <w:p>
                                  <w:pPr>
                                    <w:pStyle w:val="TableParagraph"/>
                                    <w:spacing w:before="97"/>
                                    <w:rPr>
                                      <w:sz w:val="17"/>
                                    </w:rPr>
                                  </w:pPr>
                                </w:p>
                                <w:p>
                                  <w:pPr>
                                    <w:pStyle w:val="TableParagraph"/>
                                    <w:ind w:left="171"/>
                                    <w:rPr>
                                      <w:sz w:val="17"/>
                                    </w:rPr>
                                  </w:pPr>
                                  <w:r>
                                    <w:rPr>
                                      <w:spacing w:val="-2"/>
                                      <w:sz w:val="17"/>
                                    </w:rPr>
                                    <w:t>1.645.833,60</w:t>
                                  </w:r>
                                </w:p>
                              </w:tc>
                              <w:tc>
                                <w:tcPr>
                                  <w:tcW w:w="687" w:type="dxa"/>
                                  <w:tcBorders>
                                    <w:top w:val="single" w:sz="8" w:space="0" w:color="001F5F"/>
                                    <w:bottom w:val="single" w:sz="8" w:space="0" w:color="001F5F"/>
                                  </w:tcBorders>
                                </w:tcPr>
                                <w:p>
                                  <w:pPr>
                                    <w:pStyle w:val="TableParagraph"/>
                                    <w:spacing w:before="97"/>
                                    <w:rPr>
                                      <w:sz w:val="17"/>
                                    </w:rPr>
                                  </w:pPr>
                                </w:p>
                                <w:p>
                                  <w:pPr>
                                    <w:pStyle w:val="TableParagraph"/>
                                    <w:ind w:left="114"/>
                                    <w:rPr>
                                      <w:sz w:val="17"/>
                                    </w:rPr>
                                  </w:pPr>
                                  <w:r>
                                    <w:rPr>
                                      <w:spacing w:val="-2"/>
                                      <w:sz w:val="17"/>
                                    </w:rPr>
                                    <w:t>58,97</w:t>
                                  </w:r>
                                </w:p>
                              </w:tc>
                              <w:tc>
                                <w:tcPr>
                                  <w:tcW w:w="1143" w:type="dxa"/>
                                  <w:tcBorders>
                                    <w:top w:val="single" w:sz="8" w:space="0" w:color="001F5F"/>
                                    <w:bottom w:val="single" w:sz="8" w:space="0" w:color="001F5F"/>
                                  </w:tcBorders>
                                </w:tcPr>
                                <w:p>
                                  <w:pPr>
                                    <w:pStyle w:val="TableParagraph"/>
                                    <w:spacing w:before="97"/>
                                    <w:rPr>
                                      <w:sz w:val="17"/>
                                    </w:rPr>
                                  </w:pPr>
                                </w:p>
                                <w:p>
                                  <w:pPr>
                                    <w:pStyle w:val="TableParagraph"/>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97"/>
                                    <w:rPr>
                                      <w:sz w:val="17"/>
                                    </w:rPr>
                                  </w:pPr>
                                </w:p>
                                <w:p>
                                  <w:pPr>
                                    <w:pStyle w:val="TableParagraph"/>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97"/>
                                    <w:rPr>
                                      <w:sz w:val="17"/>
                                    </w:rPr>
                                  </w:pPr>
                                </w:p>
                                <w:p>
                                  <w:pPr>
                                    <w:pStyle w:val="TableParagraph"/>
                                    <w:ind w:left="60"/>
                                    <w:rPr>
                                      <w:sz w:val="17"/>
                                    </w:rPr>
                                  </w:pPr>
                                  <w:r>
                                    <w:rPr>
                                      <w:sz w:val="17"/>
                                    </w:rPr>
                                    <w:t>En</w:t>
                                  </w:r>
                                  <w:r>
                                    <w:rPr>
                                      <w:spacing w:val="-1"/>
                                      <w:sz w:val="17"/>
                                    </w:rPr>
                                    <w:t> </w:t>
                                  </w:r>
                                  <w:r>
                                    <w:rPr>
                                      <w:spacing w:val="-2"/>
                                      <w:sz w:val="17"/>
                                    </w:rPr>
                                    <w:t>ejecución</w:t>
                                  </w:r>
                                </w:p>
                              </w:tc>
                            </w:tr>
                            <w:tr>
                              <w:trPr>
                                <w:trHeight w:val="688" w:hRule="atLeast"/>
                              </w:trPr>
                              <w:tc>
                                <w:tcPr>
                                  <w:tcW w:w="3127" w:type="dxa"/>
                                  <w:gridSpan w:val="2"/>
                                  <w:tcBorders>
                                    <w:top w:val="single" w:sz="8" w:space="0" w:color="001F5F"/>
                                  </w:tcBorders>
                                </w:tcPr>
                                <w:p>
                                  <w:pPr>
                                    <w:pStyle w:val="TableParagraph"/>
                                    <w:ind w:left="71" w:right="738"/>
                                    <w:rPr>
                                      <w:sz w:val="17"/>
                                    </w:rPr>
                                  </w:pPr>
                                  <w:r>
                                    <w:rPr>
                                      <w:sz w:val="17"/>
                                    </w:rPr>
                                    <w:t>Suministro</w:t>
                                  </w:r>
                                  <w:r>
                                    <w:rPr>
                                      <w:spacing w:val="-9"/>
                                      <w:sz w:val="17"/>
                                    </w:rPr>
                                    <w:t> </w:t>
                                  </w:r>
                                  <w:r>
                                    <w:rPr>
                                      <w:sz w:val="17"/>
                                    </w:rPr>
                                    <w:t>de</w:t>
                                  </w:r>
                                  <w:r>
                                    <w:rPr>
                                      <w:spacing w:val="-8"/>
                                      <w:sz w:val="17"/>
                                    </w:rPr>
                                    <w:t> </w:t>
                                  </w:r>
                                  <w:r>
                                    <w:rPr>
                                      <w:sz w:val="17"/>
                                    </w:rPr>
                                    <w:t>pantallas</w:t>
                                  </w:r>
                                  <w:r>
                                    <w:rPr>
                                      <w:spacing w:val="-9"/>
                                      <w:sz w:val="17"/>
                                    </w:rPr>
                                    <w:t> </w:t>
                                  </w:r>
                                  <w:r>
                                    <w:rPr>
                                      <w:sz w:val="17"/>
                                    </w:rPr>
                                    <w:t>de</w:t>
                                  </w:r>
                                  <w:r>
                                    <w:rPr>
                                      <w:spacing w:val="40"/>
                                      <w:sz w:val="17"/>
                                    </w:rPr>
                                    <w:t> </w:t>
                                  </w:r>
                                  <w:r>
                                    <w:rPr>
                                      <w:sz w:val="17"/>
                                    </w:rPr>
                                    <w:t>información</w:t>
                                  </w:r>
                                  <w:r>
                                    <w:rPr>
                                      <w:spacing w:val="-3"/>
                                      <w:sz w:val="17"/>
                                    </w:rPr>
                                    <w:t> </w:t>
                                  </w:r>
                                  <w:r>
                                    <w:rPr>
                                      <w:sz w:val="17"/>
                                    </w:rPr>
                                    <w:t>al</w:t>
                                  </w:r>
                                  <w:r>
                                    <w:rPr>
                                      <w:spacing w:val="-2"/>
                                      <w:sz w:val="17"/>
                                    </w:rPr>
                                    <w:t> </w:t>
                                  </w:r>
                                  <w:r>
                                    <w:rPr>
                                      <w:sz w:val="17"/>
                                    </w:rPr>
                                    <w:t>viajero</w:t>
                                  </w:r>
                                  <w:r>
                                    <w:rPr>
                                      <w:spacing w:val="-3"/>
                                      <w:sz w:val="17"/>
                                    </w:rPr>
                                    <w:t> </w:t>
                                  </w:r>
                                  <w:r>
                                    <w:rPr>
                                      <w:sz w:val="17"/>
                                    </w:rPr>
                                    <w:t>en</w:t>
                                  </w:r>
                                  <w:r>
                                    <w:rPr>
                                      <w:spacing w:val="-3"/>
                                      <w:sz w:val="17"/>
                                    </w:rPr>
                                    <w:t> </w:t>
                                  </w:r>
                                  <w:r>
                                    <w:rPr>
                                      <w:spacing w:val="-5"/>
                                      <w:sz w:val="17"/>
                                    </w:rPr>
                                    <w:t>el</w:t>
                                  </w:r>
                                </w:p>
                                <w:p>
                                  <w:pPr>
                                    <w:pStyle w:val="TableParagraph"/>
                                    <w:tabs>
                                      <w:tab w:pos="2054" w:val="left" w:leader="none"/>
                                    </w:tabs>
                                    <w:spacing w:line="213" w:lineRule="auto" w:before="4"/>
                                    <w:ind w:left="71"/>
                                    <w:rPr>
                                      <w:position w:val="-9"/>
                                      <w:sz w:val="17"/>
                                    </w:rPr>
                                  </w:pPr>
                                  <w:r>
                                    <w:rPr>
                                      <w:sz w:val="17"/>
                                    </w:rPr>
                                    <w:t>interior</w:t>
                                  </w:r>
                                  <w:r>
                                    <w:rPr>
                                      <w:spacing w:val="-3"/>
                                      <w:sz w:val="17"/>
                                    </w:rPr>
                                    <w:t> </w:t>
                                  </w:r>
                                  <w:r>
                                    <w:rPr>
                                      <w:sz w:val="17"/>
                                    </w:rPr>
                                    <w:t>de</w:t>
                                  </w:r>
                                  <w:r>
                                    <w:rPr>
                                      <w:spacing w:val="-3"/>
                                      <w:sz w:val="17"/>
                                    </w:rPr>
                                    <w:t> </w:t>
                                  </w:r>
                                  <w:r>
                                    <w:rPr>
                                      <w:sz w:val="17"/>
                                    </w:rPr>
                                    <w:t>los</w:t>
                                  </w:r>
                                  <w:r>
                                    <w:rPr>
                                      <w:spacing w:val="-3"/>
                                      <w:sz w:val="17"/>
                                    </w:rPr>
                                    <w:t> </w:t>
                                  </w:r>
                                  <w:r>
                                    <w:rPr>
                                      <w:sz w:val="17"/>
                                    </w:rPr>
                                    <w:t>autobuses</w:t>
                                  </w:r>
                                  <w:r>
                                    <w:rPr>
                                      <w:spacing w:val="-3"/>
                                      <w:sz w:val="17"/>
                                    </w:rPr>
                                    <w:t> </w:t>
                                  </w:r>
                                  <w:r>
                                    <w:rPr>
                                      <w:spacing w:val="-5"/>
                                      <w:sz w:val="17"/>
                                    </w:rPr>
                                    <w:t>de</w:t>
                                  </w:r>
                                  <w:r>
                                    <w:rPr>
                                      <w:sz w:val="17"/>
                                    </w:rPr>
                                    <w:tab/>
                                  </w:r>
                                  <w:r>
                                    <w:rPr>
                                      <w:spacing w:val="-2"/>
                                      <w:position w:val="-9"/>
                                      <w:sz w:val="17"/>
                                    </w:rPr>
                                    <w:t>Digitalización</w:t>
                                  </w:r>
                                </w:p>
                              </w:tc>
                              <w:tc>
                                <w:tcPr>
                                  <w:tcW w:w="1172" w:type="dxa"/>
                                  <w:tcBorders>
                                    <w:top w:val="single" w:sz="8" w:space="0" w:color="001F5F"/>
                                  </w:tcBorders>
                                </w:tcPr>
                                <w:p>
                                  <w:pPr>
                                    <w:pStyle w:val="TableParagraph"/>
                                    <w:rPr>
                                      <w:sz w:val="18"/>
                                    </w:rPr>
                                  </w:pPr>
                                </w:p>
                                <w:p>
                                  <w:pPr>
                                    <w:pStyle w:val="TableParagraph"/>
                                    <w:spacing w:before="68"/>
                                    <w:rPr>
                                      <w:sz w:val="18"/>
                                    </w:rPr>
                                  </w:pPr>
                                </w:p>
                                <w:p>
                                  <w:pPr>
                                    <w:pStyle w:val="TableParagraph"/>
                                    <w:spacing w:line="187" w:lineRule="exact"/>
                                    <w:ind w:right="133"/>
                                    <w:jc w:val="right"/>
                                    <w:rPr>
                                      <w:sz w:val="18"/>
                                    </w:rPr>
                                  </w:pPr>
                                  <w:r>
                                    <w:rPr>
                                      <w:spacing w:val="-2"/>
                                      <w:sz w:val="18"/>
                                    </w:rPr>
                                    <w:t>1.242.000,00</w:t>
                                  </w:r>
                                </w:p>
                              </w:tc>
                              <w:tc>
                                <w:tcPr>
                                  <w:tcW w:w="697"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left="77" w:right="83"/>
                                    <w:jc w:val="center"/>
                                    <w:rPr>
                                      <w:sz w:val="17"/>
                                    </w:rPr>
                                  </w:pPr>
                                  <w:r>
                                    <w:rPr>
                                      <w:spacing w:val="-4"/>
                                      <w:sz w:val="17"/>
                                    </w:rPr>
                                    <w:t>2,88</w:t>
                                  </w:r>
                                </w:p>
                              </w:tc>
                              <w:tc>
                                <w:tcPr>
                                  <w:tcW w:w="1224"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right="117"/>
                                    <w:jc w:val="right"/>
                                    <w:rPr>
                                      <w:sz w:val="17"/>
                                    </w:rPr>
                                  </w:pPr>
                                  <w:r>
                                    <w:rPr>
                                      <w:spacing w:val="-2"/>
                                      <w:sz w:val="17"/>
                                    </w:rPr>
                                    <w:t>260.709,46</w:t>
                                  </w:r>
                                </w:p>
                              </w:tc>
                              <w:tc>
                                <w:tcPr>
                                  <w:tcW w:w="731"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right="178"/>
                                    <w:jc w:val="right"/>
                                    <w:rPr>
                                      <w:sz w:val="17"/>
                                    </w:rPr>
                                  </w:pPr>
                                  <w:r>
                                    <w:rPr>
                                      <w:spacing w:val="-2"/>
                                      <w:sz w:val="17"/>
                                    </w:rPr>
                                    <w:t>20,99</w:t>
                                  </w:r>
                                </w:p>
                              </w:tc>
                              <w:tc>
                                <w:tcPr>
                                  <w:tcW w:w="1077"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right="91"/>
                                    <w:jc w:val="right"/>
                                    <w:rPr>
                                      <w:sz w:val="17"/>
                                    </w:rPr>
                                  </w:pPr>
                                  <w:r>
                                    <w:rPr>
                                      <w:spacing w:val="-2"/>
                                      <w:sz w:val="17"/>
                                    </w:rPr>
                                    <w:t>981.290,54</w:t>
                                  </w:r>
                                </w:p>
                              </w:tc>
                              <w:tc>
                                <w:tcPr>
                                  <w:tcW w:w="687"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left="114"/>
                                    <w:rPr>
                                      <w:sz w:val="17"/>
                                    </w:rPr>
                                  </w:pPr>
                                  <w:r>
                                    <w:rPr>
                                      <w:spacing w:val="-2"/>
                                      <w:sz w:val="17"/>
                                    </w:rPr>
                                    <w:t>79,01</w:t>
                                  </w:r>
                                </w:p>
                              </w:tc>
                              <w:tc>
                                <w:tcPr>
                                  <w:tcW w:w="1143"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right="118"/>
                                    <w:jc w:val="right"/>
                                    <w:rPr>
                                      <w:sz w:val="17"/>
                                    </w:rPr>
                                  </w:pPr>
                                  <w:r>
                                    <w:rPr>
                                      <w:spacing w:val="-4"/>
                                      <w:sz w:val="17"/>
                                    </w:rPr>
                                    <w:t>0,00</w:t>
                                  </w:r>
                                </w:p>
                              </w:tc>
                              <w:tc>
                                <w:tcPr>
                                  <w:tcW w:w="531"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left="96"/>
                                    <w:jc w:val="center"/>
                                    <w:rPr>
                                      <w:sz w:val="17"/>
                                    </w:rPr>
                                  </w:pPr>
                                  <w:r>
                                    <w:rPr>
                                      <w:spacing w:val="-4"/>
                                      <w:sz w:val="17"/>
                                    </w:rPr>
                                    <w:t>0,00</w:t>
                                  </w:r>
                                </w:p>
                              </w:tc>
                              <w:tc>
                                <w:tcPr>
                                  <w:tcW w:w="1007"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left="60"/>
                                    <w:rPr>
                                      <w:sz w:val="17"/>
                                    </w:rPr>
                                  </w:pPr>
                                  <w:r>
                                    <w:rPr>
                                      <w:spacing w:val="-2"/>
                                      <w:sz w:val="17"/>
                                    </w:rPr>
                                    <w:t>Finalizada</w:t>
                                  </w:r>
                                </w:p>
                              </w:tc>
                            </w:tr>
                            <w:tr>
                              <w:trPr>
                                <w:trHeight w:val="482" w:hRule="atLeast"/>
                              </w:trPr>
                              <w:tc>
                                <w:tcPr>
                                  <w:tcW w:w="1981" w:type="dxa"/>
                                  <w:tcBorders>
                                    <w:bottom w:val="single" w:sz="8" w:space="0" w:color="001F5F"/>
                                  </w:tcBorders>
                                </w:tcPr>
                                <w:p>
                                  <w:pPr>
                                    <w:pStyle w:val="TableParagraph"/>
                                    <w:spacing w:line="194" w:lineRule="exact" w:before="74"/>
                                    <w:ind w:left="71"/>
                                    <w:rPr>
                                      <w:sz w:val="17"/>
                                    </w:rPr>
                                  </w:pPr>
                                  <w:r>
                                    <w:rPr>
                                      <w:sz w:val="17"/>
                                    </w:rPr>
                                    <w:t>de</w:t>
                                  </w:r>
                                  <w:r>
                                    <w:rPr>
                                      <w:spacing w:val="-7"/>
                                      <w:sz w:val="17"/>
                                    </w:rPr>
                                    <w:t> </w:t>
                                  </w:r>
                                  <w:r>
                                    <w:rPr>
                                      <w:sz w:val="17"/>
                                    </w:rPr>
                                    <w:t>las</w:t>
                                  </w:r>
                                  <w:r>
                                    <w:rPr>
                                      <w:spacing w:val="-7"/>
                                      <w:sz w:val="17"/>
                                    </w:rPr>
                                    <w:t> </w:t>
                                  </w:r>
                                  <w:r>
                                    <w:rPr>
                                      <w:sz w:val="17"/>
                                    </w:rPr>
                                    <w:t>paradas</w:t>
                                  </w:r>
                                  <w:r>
                                    <w:rPr>
                                      <w:spacing w:val="-5"/>
                                      <w:sz w:val="17"/>
                                    </w:rPr>
                                    <w:t> </w:t>
                                  </w:r>
                                  <w:r>
                                    <w:rPr>
                                      <w:sz w:val="17"/>
                                    </w:rPr>
                                    <w:t>de</w:t>
                                  </w:r>
                                  <w:r>
                                    <w:rPr>
                                      <w:spacing w:val="-7"/>
                                      <w:sz w:val="17"/>
                                    </w:rPr>
                                    <w:t> </w:t>
                                  </w:r>
                                  <w:r>
                                    <w:rPr>
                                      <w:sz w:val="17"/>
                                    </w:rPr>
                                    <w:t>la</w:t>
                                  </w:r>
                                  <w:r>
                                    <w:rPr>
                                      <w:spacing w:val="-6"/>
                                      <w:sz w:val="17"/>
                                    </w:rPr>
                                    <w:t> </w:t>
                                  </w:r>
                                  <w:r>
                                    <w:rPr>
                                      <w:sz w:val="17"/>
                                    </w:rPr>
                                    <w:t>red</w:t>
                                  </w:r>
                                  <w:r>
                                    <w:rPr>
                                      <w:spacing w:val="-6"/>
                                      <w:sz w:val="17"/>
                                    </w:rPr>
                                    <w:t> </w:t>
                                  </w:r>
                                  <w:r>
                                    <w:rPr>
                                      <w:sz w:val="17"/>
                                    </w:rPr>
                                    <w:t>de</w:t>
                                  </w:r>
                                  <w:r>
                                    <w:rPr>
                                      <w:spacing w:val="-7"/>
                                      <w:sz w:val="17"/>
                                    </w:rPr>
                                    <w:t> </w:t>
                                  </w:r>
                                  <w:r>
                                    <w:rPr>
                                      <w:sz w:val="17"/>
                                    </w:rPr>
                                    <w:t>la</w:t>
                                  </w:r>
                                  <w:r>
                                    <w:rPr>
                                      <w:spacing w:val="40"/>
                                      <w:sz w:val="17"/>
                                    </w:rPr>
                                    <w:t> </w:t>
                                  </w:r>
                                  <w:r>
                                    <w:rPr>
                                      <w:sz w:val="17"/>
                                    </w:rPr>
                                    <w:t>EMT</w:t>
                                  </w:r>
                                  <w:r>
                                    <w:rPr>
                                      <w:spacing w:val="-2"/>
                                      <w:sz w:val="17"/>
                                    </w:rPr>
                                    <w:t> </w:t>
                                  </w:r>
                                  <w:r>
                                    <w:rPr>
                                      <w:sz w:val="17"/>
                                    </w:rPr>
                                    <w:t>Palma</w:t>
                                  </w:r>
                                </w:p>
                              </w:tc>
                              <w:tc>
                                <w:tcPr>
                                  <w:tcW w:w="1146" w:type="dxa"/>
                                  <w:tcBorders>
                                    <w:bottom w:val="single" w:sz="8" w:space="0" w:color="001F5F"/>
                                  </w:tcBorders>
                                </w:tcPr>
                                <w:p>
                                  <w:pPr>
                                    <w:pStyle w:val="TableParagraph"/>
                                    <w:rPr>
                                      <w:rFonts w:ascii="Times New Roman"/>
                                      <w:sz w:val="16"/>
                                    </w:rPr>
                                  </w:pPr>
                                </w:p>
                              </w:tc>
                              <w:tc>
                                <w:tcPr>
                                  <w:tcW w:w="1172" w:type="dxa"/>
                                  <w:tcBorders>
                                    <w:bottom w:val="single" w:sz="8" w:space="0" w:color="001F5F"/>
                                  </w:tcBorders>
                                </w:tcPr>
                                <w:p>
                                  <w:pPr>
                                    <w:pStyle w:val="TableParagraph"/>
                                    <w:rPr>
                                      <w:rFonts w:ascii="Times New Roman"/>
                                      <w:sz w:val="16"/>
                                    </w:rPr>
                                  </w:pPr>
                                </w:p>
                              </w:tc>
                              <w:tc>
                                <w:tcPr>
                                  <w:tcW w:w="697" w:type="dxa"/>
                                  <w:tcBorders>
                                    <w:bottom w:val="single" w:sz="8" w:space="0" w:color="001F5F"/>
                                  </w:tcBorders>
                                </w:tcPr>
                                <w:p>
                                  <w:pPr>
                                    <w:pStyle w:val="TableParagraph"/>
                                    <w:rPr>
                                      <w:rFonts w:ascii="Times New Roman"/>
                                      <w:sz w:val="16"/>
                                    </w:rPr>
                                  </w:pPr>
                                </w:p>
                              </w:tc>
                              <w:tc>
                                <w:tcPr>
                                  <w:tcW w:w="1224" w:type="dxa"/>
                                  <w:tcBorders>
                                    <w:bottom w:val="single" w:sz="8" w:space="0" w:color="001F5F"/>
                                  </w:tcBorders>
                                </w:tcPr>
                                <w:p>
                                  <w:pPr>
                                    <w:pStyle w:val="TableParagraph"/>
                                    <w:rPr>
                                      <w:rFonts w:ascii="Times New Roman"/>
                                      <w:sz w:val="16"/>
                                    </w:rPr>
                                  </w:pPr>
                                </w:p>
                              </w:tc>
                              <w:tc>
                                <w:tcPr>
                                  <w:tcW w:w="731" w:type="dxa"/>
                                  <w:tcBorders>
                                    <w:bottom w:val="single" w:sz="8" w:space="0" w:color="001F5F"/>
                                  </w:tcBorders>
                                </w:tcPr>
                                <w:p>
                                  <w:pPr>
                                    <w:pStyle w:val="TableParagraph"/>
                                    <w:rPr>
                                      <w:rFonts w:ascii="Times New Roman"/>
                                      <w:sz w:val="16"/>
                                    </w:rPr>
                                  </w:pPr>
                                </w:p>
                              </w:tc>
                              <w:tc>
                                <w:tcPr>
                                  <w:tcW w:w="1077" w:type="dxa"/>
                                  <w:tcBorders>
                                    <w:bottom w:val="single" w:sz="8" w:space="0" w:color="001F5F"/>
                                  </w:tcBorders>
                                </w:tcPr>
                                <w:p>
                                  <w:pPr>
                                    <w:pStyle w:val="TableParagraph"/>
                                    <w:rPr>
                                      <w:rFonts w:ascii="Times New Roman"/>
                                      <w:sz w:val="16"/>
                                    </w:rPr>
                                  </w:pPr>
                                </w:p>
                              </w:tc>
                              <w:tc>
                                <w:tcPr>
                                  <w:tcW w:w="687" w:type="dxa"/>
                                  <w:tcBorders>
                                    <w:bottom w:val="single" w:sz="8" w:space="0" w:color="001F5F"/>
                                  </w:tcBorders>
                                </w:tcPr>
                                <w:p>
                                  <w:pPr>
                                    <w:pStyle w:val="TableParagraph"/>
                                    <w:rPr>
                                      <w:rFonts w:ascii="Times New Roman"/>
                                      <w:sz w:val="16"/>
                                    </w:rPr>
                                  </w:pPr>
                                </w:p>
                              </w:tc>
                              <w:tc>
                                <w:tcPr>
                                  <w:tcW w:w="1143" w:type="dxa"/>
                                  <w:tcBorders>
                                    <w:bottom w:val="single" w:sz="8" w:space="0" w:color="001F5F"/>
                                  </w:tcBorders>
                                </w:tcPr>
                                <w:p>
                                  <w:pPr>
                                    <w:pStyle w:val="TableParagraph"/>
                                    <w:rPr>
                                      <w:rFonts w:ascii="Times New Roman"/>
                                      <w:sz w:val="16"/>
                                    </w:rPr>
                                  </w:pPr>
                                </w:p>
                              </w:tc>
                              <w:tc>
                                <w:tcPr>
                                  <w:tcW w:w="531" w:type="dxa"/>
                                  <w:tcBorders>
                                    <w:bottom w:val="single" w:sz="8" w:space="0" w:color="001F5F"/>
                                  </w:tcBorders>
                                </w:tcPr>
                                <w:p>
                                  <w:pPr>
                                    <w:pStyle w:val="TableParagraph"/>
                                    <w:rPr>
                                      <w:rFonts w:ascii="Times New Roman"/>
                                      <w:sz w:val="16"/>
                                    </w:rPr>
                                  </w:pPr>
                                </w:p>
                              </w:tc>
                              <w:tc>
                                <w:tcPr>
                                  <w:tcW w:w="1007" w:type="dxa"/>
                                  <w:tcBorders>
                                    <w:bottom w:val="single" w:sz="8" w:space="0" w:color="001F5F"/>
                                  </w:tcBorders>
                                </w:tcPr>
                                <w:p>
                                  <w:pPr>
                                    <w:pStyle w:val="TableParagraph"/>
                                    <w:rPr>
                                      <w:rFonts w:ascii="Times New Roman"/>
                                      <w:sz w:val="16"/>
                                    </w:rPr>
                                  </w:pPr>
                                </w:p>
                              </w:tc>
                            </w:tr>
                            <w:tr>
                              <w:trPr>
                                <w:trHeight w:val="781" w:hRule="atLeast"/>
                              </w:trPr>
                              <w:tc>
                                <w:tcPr>
                                  <w:tcW w:w="1981" w:type="dxa"/>
                                  <w:tcBorders>
                                    <w:top w:val="single" w:sz="8" w:space="0" w:color="001F5F"/>
                                  </w:tcBorders>
                                </w:tcPr>
                                <w:p>
                                  <w:pPr>
                                    <w:pStyle w:val="TableParagraph"/>
                                    <w:ind w:left="71" w:right="101"/>
                                    <w:rPr>
                                      <w:sz w:val="17"/>
                                    </w:rPr>
                                  </w:pPr>
                                  <w:r>
                                    <w:rPr>
                                      <w:sz w:val="17"/>
                                    </w:rPr>
                                    <w:t>Servicio</w:t>
                                  </w:r>
                                  <w:r>
                                    <w:rPr>
                                      <w:spacing w:val="-10"/>
                                      <w:sz w:val="17"/>
                                    </w:rPr>
                                    <w:t> </w:t>
                                  </w:r>
                                  <w:r>
                                    <w:rPr>
                                      <w:sz w:val="17"/>
                                    </w:rPr>
                                    <w:t>para</w:t>
                                  </w:r>
                                  <w:r>
                                    <w:rPr>
                                      <w:spacing w:val="-10"/>
                                      <w:sz w:val="17"/>
                                    </w:rPr>
                                    <w:t> </w:t>
                                  </w:r>
                                  <w:r>
                                    <w:rPr>
                                      <w:sz w:val="17"/>
                                    </w:rPr>
                                    <w:t>el</w:t>
                                  </w:r>
                                  <w:r>
                                    <w:rPr>
                                      <w:spacing w:val="-10"/>
                                      <w:sz w:val="17"/>
                                    </w:rPr>
                                    <w:t> </w:t>
                                  </w:r>
                                  <w:r>
                                    <w:rPr>
                                      <w:sz w:val="17"/>
                                    </w:rPr>
                                    <w:t>desarrollo</w:t>
                                  </w:r>
                                  <w:r>
                                    <w:rPr>
                                      <w:spacing w:val="-9"/>
                                      <w:sz w:val="17"/>
                                    </w:rPr>
                                    <w:t> </w:t>
                                  </w:r>
                                  <w:r>
                                    <w:rPr>
                                      <w:sz w:val="17"/>
                                    </w:rPr>
                                    <w:t>de</w:t>
                                  </w:r>
                                  <w:r>
                                    <w:rPr>
                                      <w:spacing w:val="40"/>
                                      <w:sz w:val="17"/>
                                    </w:rPr>
                                    <w:t> </w:t>
                                  </w:r>
                                  <w:r>
                                    <w:rPr>
                                      <w:sz w:val="17"/>
                                    </w:rPr>
                                    <w:t>la plataforma SIG (Sistema</w:t>
                                  </w:r>
                                  <w:r>
                                    <w:rPr>
                                      <w:spacing w:val="40"/>
                                      <w:sz w:val="17"/>
                                    </w:rPr>
                                    <w:t> </w:t>
                                  </w:r>
                                  <w:r>
                                    <w:rPr>
                                      <w:sz w:val="17"/>
                                    </w:rPr>
                                    <w:t>de Información Geográfica)</w:t>
                                  </w:r>
                                </w:p>
                                <w:p>
                                  <w:pPr>
                                    <w:pStyle w:val="TableParagraph"/>
                                    <w:spacing w:line="177" w:lineRule="exact"/>
                                    <w:ind w:left="71"/>
                                    <w:rPr>
                                      <w:sz w:val="17"/>
                                    </w:rPr>
                                  </w:pPr>
                                  <w:r>
                                    <w:rPr>
                                      <w:sz w:val="17"/>
                                    </w:rPr>
                                    <w:t>de</w:t>
                                  </w:r>
                                  <w:r>
                                    <w:rPr>
                                      <w:spacing w:val="-2"/>
                                      <w:sz w:val="17"/>
                                    </w:rPr>
                                    <w:t> </w:t>
                                  </w:r>
                                  <w:r>
                                    <w:rPr>
                                      <w:sz w:val="17"/>
                                    </w:rPr>
                                    <w:t>la</w:t>
                                  </w:r>
                                  <w:r>
                                    <w:rPr>
                                      <w:spacing w:val="-3"/>
                                      <w:sz w:val="17"/>
                                    </w:rPr>
                                    <w:t> </w:t>
                                  </w:r>
                                  <w:r>
                                    <w:rPr>
                                      <w:sz w:val="17"/>
                                    </w:rPr>
                                    <w:t>EMT-Palma</w:t>
                                  </w:r>
                                  <w:r>
                                    <w:rPr>
                                      <w:spacing w:val="-1"/>
                                      <w:sz w:val="17"/>
                                    </w:rPr>
                                    <w:t> </w:t>
                                  </w:r>
                                  <w:r>
                                    <w:rPr>
                                      <w:spacing w:val="-10"/>
                                      <w:sz w:val="17"/>
                                    </w:rPr>
                                    <w:t>-</w:t>
                                  </w:r>
                                </w:p>
                              </w:tc>
                              <w:tc>
                                <w:tcPr>
                                  <w:tcW w:w="1146"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73"/>
                                    <w:rPr>
                                      <w:sz w:val="17"/>
                                    </w:rPr>
                                  </w:pPr>
                                  <w:r>
                                    <w:rPr>
                                      <w:spacing w:val="-2"/>
                                      <w:sz w:val="17"/>
                                    </w:rPr>
                                    <w:t>Digitalización</w:t>
                                  </w:r>
                                </w:p>
                              </w:tc>
                              <w:tc>
                                <w:tcPr>
                                  <w:tcW w:w="1172" w:type="dxa"/>
                                  <w:tcBorders>
                                    <w:top w:val="single" w:sz="8" w:space="0" w:color="001F5F"/>
                                  </w:tcBorders>
                                </w:tcPr>
                                <w:p>
                                  <w:pPr>
                                    <w:pStyle w:val="TableParagraph"/>
                                    <w:rPr>
                                      <w:sz w:val="18"/>
                                    </w:rPr>
                                  </w:pPr>
                                </w:p>
                                <w:p>
                                  <w:pPr>
                                    <w:pStyle w:val="TableParagraph"/>
                                    <w:spacing w:before="164"/>
                                    <w:rPr>
                                      <w:sz w:val="18"/>
                                    </w:rPr>
                                  </w:pPr>
                                </w:p>
                                <w:p>
                                  <w:pPr>
                                    <w:pStyle w:val="TableParagraph"/>
                                    <w:spacing w:line="184" w:lineRule="exact"/>
                                    <w:ind w:right="133"/>
                                    <w:jc w:val="right"/>
                                    <w:rPr>
                                      <w:sz w:val="18"/>
                                    </w:rPr>
                                  </w:pPr>
                                  <w:r>
                                    <w:rPr>
                                      <w:spacing w:val="-2"/>
                                      <w:sz w:val="18"/>
                                    </w:rPr>
                                    <w:t>126.505,84</w:t>
                                  </w:r>
                                </w:p>
                              </w:tc>
                              <w:tc>
                                <w:tcPr>
                                  <w:tcW w:w="697"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77" w:right="83"/>
                                    <w:jc w:val="center"/>
                                    <w:rPr>
                                      <w:sz w:val="17"/>
                                    </w:rPr>
                                  </w:pPr>
                                  <w:r>
                                    <w:rPr>
                                      <w:spacing w:val="-4"/>
                                      <w:sz w:val="17"/>
                                    </w:rPr>
                                    <w:t>0,29</w:t>
                                  </w:r>
                                </w:p>
                              </w:tc>
                              <w:tc>
                                <w:tcPr>
                                  <w:tcW w:w="1224"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right="117"/>
                                    <w:jc w:val="right"/>
                                    <w:rPr>
                                      <w:sz w:val="17"/>
                                    </w:rPr>
                                  </w:pPr>
                                  <w:r>
                                    <w:rPr>
                                      <w:spacing w:val="-2"/>
                                      <w:sz w:val="17"/>
                                    </w:rPr>
                                    <w:t>80.963,77</w:t>
                                  </w:r>
                                </w:p>
                              </w:tc>
                              <w:tc>
                                <w:tcPr>
                                  <w:tcW w:w="731"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right="178"/>
                                    <w:jc w:val="right"/>
                                    <w:rPr>
                                      <w:sz w:val="17"/>
                                    </w:rPr>
                                  </w:pPr>
                                  <w:r>
                                    <w:rPr>
                                      <w:spacing w:val="-2"/>
                                      <w:sz w:val="17"/>
                                    </w:rPr>
                                    <w:t>64,00</w:t>
                                  </w:r>
                                </w:p>
                              </w:tc>
                              <w:tc>
                                <w:tcPr>
                                  <w:tcW w:w="1077"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right="91"/>
                                    <w:jc w:val="right"/>
                                    <w:rPr>
                                      <w:sz w:val="17"/>
                                    </w:rPr>
                                  </w:pPr>
                                  <w:r>
                                    <w:rPr>
                                      <w:spacing w:val="-2"/>
                                      <w:sz w:val="17"/>
                                    </w:rPr>
                                    <w:t>45.542,07</w:t>
                                  </w:r>
                                </w:p>
                              </w:tc>
                              <w:tc>
                                <w:tcPr>
                                  <w:tcW w:w="687"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114"/>
                                    <w:rPr>
                                      <w:sz w:val="17"/>
                                    </w:rPr>
                                  </w:pPr>
                                  <w:r>
                                    <w:rPr>
                                      <w:spacing w:val="-2"/>
                                      <w:sz w:val="17"/>
                                    </w:rPr>
                                    <w:t>36,00</w:t>
                                  </w:r>
                                </w:p>
                              </w:tc>
                              <w:tc>
                                <w:tcPr>
                                  <w:tcW w:w="1143"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right="118"/>
                                    <w:jc w:val="right"/>
                                    <w:rPr>
                                      <w:sz w:val="17"/>
                                    </w:rPr>
                                  </w:pPr>
                                  <w:r>
                                    <w:rPr>
                                      <w:spacing w:val="-4"/>
                                      <w:sz w:val="17"/>
                                    </w:rPr>
                                    <w:t>0,00</w:t>
                                  </w:r>
                                </w:p>
                              </w:tc>
                              <w:tc>
                                <w:tcPr>
                                  <w:tcW w:w="531"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96"/>
                                    <w:jc w:val="center"/>
                                    <w:rPr>
                                      <w:sz w:val="17"/>
                                    </w:rPr>
                                  </w:pPr>
                                  <w:r>
                                    <w:rPr>
                                      <w:spacing w:val="-4"/>
                                      <w:sz w:val="17"/>
                                    </w:rPr>
                                    <w:t>0,00</w:t>
                                  </w:r>
                                </w:p>
                              </w:tc>
                              <w:tc>
                                <w:tcPr>
                                  <w:tcW w:w="1007"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60"/>
                                    <w:rPr>
                                      <w:sz w:val="17"/>
                                    </w:rPr>
                                  </w:pPr>
                                  <w:r>
                                    <w:rPr>
                                      <w:spacing w:val="-2"/>
                                      <w:sz w:val="17"/>
                                    </w:rPr>
                                    <w:t>Finalizada</w:t>
                                  </w:r>
                                </w:p>
                              </w:tc>
                            </w:tr>
                            <w:tr>
                              <w:trPr>
                                <w:trHeight w:val="583" w:hRule="atLeast"/>
                              </w:trPr>
                              <w:tc>
                                <w:tcPr>
                                  <w:tcW w:w="1981" w:type="dxa"/>
                                  <w:tcBorders>
                                    <w:bottom w:val="single" w:sz="8" w:space="0" w:color="001F5F"/>
                                  </w:tcBorders>
                                </w:tcPr>
                                <w:p>
                                  <w:pPr>
                                    <w:pStyle w:val="TableParagraph"/>
                                    <w:ind w:left="71" w:right="63"/>
                                    <w:rPr>
                                      <w:sz w:val="17"/>
                                    </w:rPr>
                                  </w:pPr>
                                  <w:r>
                                    <w:rPr>
                                      <w:sz w:val="17"/>
                                    </w:rPr>
                                    <w:t>Implementación</w:t>
                                  </w:r>
                                  <w:r>
                                    <w:rPr>
                                      <w:spacing w:val="-10"/>
                                      <w:sz w:val="17"/>
                                    </w:rPr>
                                    <w:t> </w:t>
                                  </w:r>
                                  <w:r>
                                    <w:rPr>
                                      <w:sz w:val="17"/>
                                    </w:rPr>
                                    <w:t>herramientas</w:t>
                                  </w:r>
                                  <w:r>
                                    <w:rPr>
                                      <w:spacing w:val="40"/>
                                      <w:sz w:val="17"/>
                                    </w:rPr>
                                    <w:t> </w:t>
                                  </w:r>
                                  <w:r>
                                    <w:rPr>
                                      <w:sz w:val="17"/>
                                    </w:rPr>
                                    <w:t>visualización y tratamiento</w:t>
                                  </w:r>
                                </w:p>
                                <w:p>
                                  <w:pPr>
                                    <w:pStyle w:val="TableParagraph"/>
                                    <w:spacing w:line="175" w:lineRule="exact"/>
                                    <w:ind w:left="71"/>
                                    <w:rPr>
                                      <w:sz w:val="17"/>
                                    </w:rPr>
                                  </w:pPr>
                                  <w:r>
                                    <w:rPr>
                                      <w:sz w:val="17"/>
                                    </w:rPr>
                                    <w:t>datos</w:t>
                                  </w:r>
                                  <w:r>
                                    <w:rPr>
                                      <w:spacing w:val="-5"/>
                                      <w:sz w:val="17"/>
                                    </w:rPr>
                                    <w:t> </w:t>
                                  </w:r>
                                  <w:r>
                                    <w:rPr>
                                      <w:sz w:val="17"/>
                                    </w:rPr>
                                    <w:t>geoespaciales</w:t>
                                  </w:r>
                                  <w:r>
                                    <w:rPr>
                                      <w:spacing w:val="-5"/>
                                      <w:sz w:val="17"/>
                                    </w:rPr>
                                    <w:t> </w:t>
                                  </w:r>
                                  <w:r>
                                    <w:rPr>
                                      <w:spacing w:val="-4"/>
                                      <w:sz w:val="17"/>
                                    </w:rPr>
                                    <w:t>(GIS)</w:t>
                                  </w:r>
                                </w:p>
                              </w:tc>
                              <w:tc>
                                <w:tcPr>
                                  <w:tcW w:w="1146" w:type="dxa"/>
                                  <w:tcBorders>
                                    <w:bottom w:val="single" w:sz="8" w:space="0" w:color="001F5F"/>
                                  </w:tcBorders>
                                </w:tcPr>
                                <w:p>
                                  <w:pPr>
                                    <w:pStyle w:val="TableParagraph"/>
                                    <w:rPr>
                                      <w:rFonts w:ascii="Times New Roman"/>
                                      <w:sz w:val="16"/>
                                    </w:rPr>
                                  </w:pPr>
                                </w:p>
                              </w:tc>
                              <w:tc>
                                <w:tcPr>
                                  <w:tcW w:w="1172" w:type="dxa"/>
                                  <w:tcBorders>
                                    <w:bottom w:val="single" w:sz="8" w:space="0" w:color="001F5F"/>
                                  </w:tcBorders>
                                </w:tcPr>
                                <w:p>
                                  <w:pPr>
                                    <w:pStyle w:val="TableParagraph"/>
                                    <w:rPr>
                                      <w:rFonts w:ascii="Times New Roman"/>
                                      <w:sz w:val="16"/>
                                    </w:rPr>
                                  </w:pPr>
                                </w:p>
                              </w:tc>
                              <w:tc>
                                <w:tcPr>
                                  <w:tcW w:w="697" w:type="dxa"/>
                                  <w:tcBorders>
                                    <w:bottom w:val="single" w:sz="8" w:space="0" w:color="001F5F"/>
                                  </w:tcBorders>
                                </w:tcPr>
                                <w:p>
                                  <w:pPr>
                                    <w:pStyle w:val="TableParagraph"/>
                                    <w:rPr>
                                      <w:rFonts w:ascii="Times New Roman"/>
                                      <w:sz w:val="16"/>
                                    </w:rPr>
                                  </w:pPr>
                                </w:p>
                              </w:tc>
                              <w:tc>
                                <w:tcPr>
                                  <w:tcW w:w="1224" w:type="dxa"/>
                                  <w:tcBorders>
                                    <w:bottom w:val="single" w:sz="8" w:space="0" w:color="001F5F"/>
                                  </w:tcBorders>
                                </w:tcPr>
                                <w:p>
                                  <w:pPr>
                                    <w:pStyle w:val="TableParagraph"/>
                                    <w:rPr>
                                      <w:rFonts w:ascii="Times New Roman"/>
                                      <w:sz w:val="16"/>
                                    </w:rPr>
                                  </w:pPr>
                                </w:p>
                              </w:tc>
                              <w:tc>
                                <w:tcPr>
                                  <w:tcW w:w="731" w:type="dxa"/>
                                  <w:tcBorders>
                                    <w:bottom w:val="single" w:sz="8" w:space="0" w:color="001F5F"/>
                                  </w:tcBorders>
                                </w:tcPr>
                                <w:p>
                                  <w:pPr>
                                    <w:pStyle w:val="TableParagraph"/>
                                    <w:rPr>
                                      <w:rFonts w:ascii="Times New Roman"/>
                                      <w:sz w:val="16"/>
                                    </w:rPr>
                                  </w:pPr>
                                </w:p>
                              </w:tc>
                              <w:tc>
                                <w:tcPr>
                                  <w:tcW w:w="1077" w:type="dxa"/>
                                  <w:tcBorders>
                                    <w:bottom w:val="single" w:sz="8" w:space="0" w:color="001F5F"/>
                                  </w:tcBorders>
                                </w:tcPr>
                                <w:p>
                                  <w:pPr>
                                    <w:pStyle w:val="TableParagraph"/>
                                    <w:rPr>
                                      <w:rFonts w:ascii="Times New Roman"/>
                                      <w:sz w:val="16"/>
                                    </w:rPr>
                                  </w:pPr>
                                </w:p>
                              </w:tc>
                              <w:tc>
                                <w:tcPr>
                                  <w:tcW w:w="687" w:type="dxa"/>
                                  <w:tcBorders>
                                    <w:bottom w:val="single" w:sz="8" w:space="0" w:color="001F5F"/>
                                  </w:tcBorders>
                                </w:tcPr>
                                <w:p>
                                  <w:pPr>
                                    <w:pStyle w:val="TableParagraph"/>
                                    <w:rPr>
                                      <w:rFonts w:ascii="Times New Roman"/>
                                      <w:sz w:val="16"/>
                                    </w:rPr>
                                  </w:pPr>
                                </w:p>
                              </w:tc>
                              <w:tc>
                                <w:tcPr>
                                  <w:tcW w:w="1143" w:type="dxa"/>
                                  <w:tcBorders>
                                    <w:bottom w:val="single" w:sz="8" w:space="0" w:color="001F5F"/>
                                  </w:tcBorders>
                                </w:tcPr>
                                <w:p>
                                  <w:pPr>
                                    <w:pStyle w:val="TableParagraph"/>
                                    <w:rPr>
                                      <w:rFonts w:ascii="Times New Roman"/>
                                      <w:sz w:val="16"/>
                                    </w:rPr>
                                  </w:pPr>
                                </w:p>
                              </w:tc>
                              <w:tc>
                                <w:tcPr>
                                  <w:tcW w:w="531" w:type="dxa"/>
                                  <w:tcBorders>
                                    <w:bottom w:val="single" w:sz="8" w:space="0" w:color="001F5F"/>
                                  </w:tcBorders>
                                </w:tcPr>
                                <w:p>
                                  <w:pPr>
                                    <w:pStyle w:val="TableParagraph"/>
                                    <w:rPr>
                                      <w:rFonts w:ascii="Times New Roman"/>
                                      <w:sz w:val="16"/>
                                    </w:rPr>
                                  </w:pPr>
                                </w:p>
                              </w:tc>
                              <w:tc>
                                <w:tcPr>
                                  <w:tcW w:w="1007" w:type="dxa"/>
                                  <w:tcBorders>
                                    <w:bottom w:val="single" w:sz="8" w:space="0" w:color="001F5F"/>
                                  </w:tcBorders>
                                </w:tcPr>
                                <w:p>
                                  <w:pPr>
                                    <w:pStyle w:val="TableParagraph"/>
                                    <w:rPr>
                                      <w:rFonts w:ascii="Times New Roman"/>
                                      <w:sz w:val="16"/>
                                    </w:rPr>
                                  </w:pPr>
                                </w:p>
                              </w:tc>
                            </w:tr>
                          </w:tbl>
                          <w:p>
                            <w:pPr>
                              <w:pStyle w:val="BodyText"/>
                            </w:pPr>
                          </w:p>
                        </w:txbxContent>
                      </wps:txbx>
                      <wps:bodyPr wrap="square" lIns="0" tIns="0" rIns="0" bIns="0" rtlCol="0">
                        <a:noAutofit/>
                      </wps:bodyPr>
                    </wps:wsp>
                  </a:graphicData>
                </a:graphic>
              </wp:anchor>
            </w:drawing>
          </mc:Choice>
          <mc:Fallback>
            <w:pict>
              <v:shape style="position:absolute;margin-left:10.08pt;margin-top:183.859985pt;width:575.2pt;height:579.85pt;mso-position-horizontal-relative:page;mso-position-vertical-relative:page;z-index:15779840" type="#_x0000_t202" id="docshape387"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81"/>
                        <w:gridCol w:w="1146"/>
                        <w:gridCol w:w="1172"/>
                        <w:gridCol w:w="697"/>
                        <w:gridCol w:w="1224"/>
                        <w:gridCol w:w="731"/>
                        <w:gridCol w:w="1077"/>
                        <w:gridCol w:w="687"/>
                        <w:gridCol w:w="1143"/>
                        <w:gridCol w:w="531"/>
                        <w:gridCol w:w="1007"/>
                      </w:tblGrid>
                      <w:tr>
                        <w:trPr>
                          <w:trHeight w:val="1087" w:hRule="atLeast"/>
                        </w:trPr>
                        <w:tc>
                          <w:tcPr>
                            <w:tcW w:w="11396" w:type="dxa"/>
                            <w:gridSpan w:val="11"/>
                            <w:shd w:val="clear" w:color="auto" w:fill="002D5D"/>
                          </w:tcPr>
                          <w:p>
                            <w:pPr>
                              <w:pStyle w:val="TableParagraph"/>
                              <w:tabs>
                                <w:tab w:pos="3591" w:val="left" w:leader="none"/>
                                <w:tab w:pos="7215" w:val="left" w:leader="none"/>
                                <w:tab w:pos="10497" w:val="left" w:leader="none"/>
                                <w:tab w:pos="10792" w:val="left" w:leader="none"/>
                              </w:tabs>
                              <w:spacing w:line="153" w:lineRule="auto" w:before="130"/>
                              <w:ind w:left="470" w:right="128" w:firstLine="3214"/>
                              <w:rPr>
                                <w:b/>
                                <w:sz w:val="16"/>
                              </w:rPr>
                            </w:pPr>
                            <w:r>
                              <w:rPr>
                                <w:b/>
                                <w:color w:val="FFFFFF"/>
                                <w:spacing w:val="-2"/>
                                <w:position w:val="10"/>
                                <w:sz w:val="16"/>
                              </w:rPr>
                              <w:t>IMPORTE</w:t>
                            </w:r>
                            <w:r>
                              <w:rPr>
                                <w:b/>
                                <w:color w:val="FFFFFF"/>
                                <w:position w:val="10"/>
                                <w:sz w:val="16"/>
                              </w:rPr>
                              <w:tab/>
                            </w:r>
                            <w:r>
                              <w:rPr>
                                <w:b/>
                                <w:color w:val="FFFFFF"/>
                                <w:spacing w:val="-2"/>
                                <w:sz w:val="16"/>
                              </w:rPr>
                              <w:t>FINANCIACIÓN</w:t>
                            </w:r>
                            <w:r>
                              <w:rPr>
                                <w:b/>
                                <w:color w:val="FFFFFF"/>
                                <w:sz w:val="16"/>
                              </w:rPr>
                              <w:tab/>
                              <w:t>ESTADO</w:t>
                            </w:r>
                            <w:r>
                              <w:rPr>
                                <w:b/>
                                <w:color w:val="FFFFFF"/>
                                <w:spacing w:val="-10"/>
                                <w:sz w:val="16"/>
                              </w:rPr>
                              <w:t> </w:t>
                            </w:r>
                            <w:r>
                              <w:rPr>
                                <w:b/>
                                <w:color w:val="FFFFFF"/>
                                <w:sz w:val="16"/>
                              </w:rPr>
                              <w:t>DE</w:t>
                            </w:r>
                            <w:r>
                              <w:rPr>
                                <w:b/>
                                <w:color w:val="FFFFFF"/>
                                <w:spacing w:val="40"/>
                                <w:sz w:val="16"/>
                              </w:rPr>
                              <w:t> </w:t>
                            </w:r>
                            <w:r>
                              <w:rPr>
                                <w:b/>
                                <w:color w:val="FFFFFF"/>
                                <w:spacing w:val="-2"/>
                                <w:sz w:val="16"/>
                              </w:rPr>
                              <w:t>DENOMINACIÓN</w:t>
                            </w:r>
                            <w:r>
                              <w:rPr>
                                <w:b/>
                                <w:color w:val="FFFFFF"/>
                                <w:sz w:val="16"/>
                              </w:rPr>
                              <w:tab/>
                            </w:r>
                            <w:r>
                              <w:rPr>
                                <w:b/>
                                <w:color w:val="FFFFFF"/>
                                <w:spacing w:val="-2"/>
                                <w:position w:val="10"/>
                                <w:sz w:val="16"/>
                              </w:rPr>
                              <w:t>ACTUACIÓN</w:t>
                            </w:r>
                            <w:r>
                              <w:rPr>
                                <w:b/>
                                <w:color w:val="FFFFFF"/>
                                <w:position w:val="10"/>
                                <w:sz w:val="16"/>
                              </w:rPr>
                              <w:tab/>
                              <w:tab/>
                              <w:tab/>
                            </w:r>
                            <w:r>
                              <w:rPr>
                                <w:b/>
                                <w:color w:val="FFFFFF"/>
                                <w:spacing w:val="-6"/>
                                <w:sz w:val="16"/>
                              </w:rPr>
                              <w:t>LA</w:t>
                            </w:r>
                          </w:p>
                          <w:p>
                            <w:pPr>
                              <w:pStyle w:val="TableParagraph"/>
                              <w:tabs>
                                <w:tab w:pos="2191" w:val="left" w:leader="none"/>
                                <w:tab w:pos="5492" w:val="left" w:leader="none"/>
                                <w:tab w:pos="7602" w:val="left" w:leader="none"/>
                                <w:tab w:pos="8845" w:val="left" w:leader="none"/>
                                <w:tab w:pos="10485" w:val="left" w:leader="none"/>
                              </w:tabs>
                              <w:spacing w:line="62" w:lineRule="auto"/>
                              <w:ind w:left="566"/>
                              <w:rPr>
                                <w:b/>
                                <w:position w:val="4"/>
                                <w:sz w:val="16"/>
                              </w:rPr>
                            </w:pPr>
                            <w:r>
                              <w:rPr>
                                <w:b/>
                                <w:color w:val="FFFFFF"/>
                                <w:spacing w:val="-2"/>
                                <w:position w:val="4"/>
                                <w:sz w:val="16"/>
                              </w:rPr>
                              <w:t>ACTUACIÓN</w:t>
                            </w:r>
                            <w:r>
                              <w:rPr>
                                <w:b/>
                                <w:color w:val="FFFFFF"/>
                                <w:position w:val="4"/>
                                <w:sz w:val="16"/>
                              </w:rPr>
                              <w:tab/>
                            </w:r>
                            <w:r>
                              <w:rPr>
                                <w:b/>
                                <w:color w:val="FFFFFF"/>
                                <w:spacing w:val="-2"/>
                                <w:position w:val="13"/>
                                <w:sz w:val="16"/>
                              </w:rPr>
                              <w:t>TIPOLOGÍA</w:t>
                            </w:r>
                            <w:r>
                              <w:rPr>
                                <w:b/>
                                <w:color w:val="FFFFFF"/>
                                <w:position w:val="13"/>
                                <w:sz w:val="16"/>
                              </w:rPr>
                              <w:tab/>
                            </w:r>
                            <w:r>
                              <w:rPr>
                                <w:b/>
                                <w:color w:val="FFFFFF"/>
                                <w:spacing w:val="-2"/>
                                <w:sz w:val="16"/>
                              </w:rPr>
                              <w:t>Ayuntamiento</w:t>
                            </w:r>
                            <w:r>
                              <w:rPr>
                                <w:b/>
                                <w:color w:val="FFFFFF"/>
                                <w:sz w:val="16"/>
                              </w:rPr>
                              <w:tab/>
                            </w:r>
                            <w:r>
                              <w:rPr>
                                <w:b/>
                                <w:color w:val="FFFFFF"/>
                                <w:spacing w:val="-4"/>
                                <w:sz w:val="16"/>
                              </w:rPr>
                              <w:t>PRTR</w:t>
                            </w:r>
                            <w:r>
                              <w:rPr>
                                <w:b/>
                                <w:color w:val="FFFFFF"/>
                                <w:sz w:val="16"/>
                              </w:rPr>
                              <w:tab/>
                              <w:t>Comunidad</w:t>
                            </w:r>
                            <w:r>
                              <w:rPr>
                                <w:b/>
                                <w:color w:val="FFFFFF"/>
                                <w:spacing w:val="-11"/>
                                <w:sz w:val="16"/>
                              </w:rPr>
                              <w:t> </w:t>
                            </w:r>
                            <w:r>
                              <w:rPr>
                                <w:b/>
                                <w:color w:val="FFFFFF"/>
                                <w:spacing w:val="-2"/>
                                <w:sz w:val="16"/>
                              </w:rPr>
                              <w:t>Autónoma</w:t>
                            </w:r>
                            <w:r>
                              <w:rPr>
                                <w:b/>
                                <w:color w:val="FFFFFF"/>
                                <w:sz w:val="16"/>
                              </w:rPr>
                              <w:tab/>
                            </w:r>
                            <w:r>
                              <w:rPr>
                                <w:b/>
                                <w:color w:val="FFFFFF"/>
                                <w:spacing w:val="-2"/>
                                <w:position w:val="4"/>
                                <w:sz w:val="16"/>
                              </w:rPr>
                              <w:t>ACTUACIÓN</w:t>
                            </w:r>
                          </w:p>
                          <w:p>
                            <w:pPr>
                              <w:pStyle w:val="TableParagraph"/>
                              <w:tabs>
                                <w:tab w:pos="4412" w:val="left" w:leader="none"/>
                                <w:tab w:pos="10552" w:val="left" w:leader="none"/>
                              </w:tabs>
                              <w:spacing w:line="145" w:lineRule="exact"/>
                              <w:ind w:left="3596"/>
                              <w:rPr>
                                <w:b/>
                                <w:sz w:val="16"/>
                              </w:rPr>
                            </w:pPr>
                            <w:r>
                              <w:rPr>
                                <w:b/>
                                <w:color w:val="FFFFFF"/>
                                <w:spacing w:val="-5"/>
                                <w:position w:val="1"/>
                                <w:sz w:val="16"/>
                              </w:rPr>
                              <w:t>(€)</w:t>
                            </w:r>
                            <w:r>
                              <w:rPr>
                                <w:b/>
                                <w:color w:val="FFFFFF"/>
                                <w:position w:val="1"/>
                                <w:sz w:val="16"/>
                              </w:rPr>
                              <w:tab/>
                            </w:r>
                            <w:r>
                              <w:rPr>
                                <w:b/>
                                <w:color w:val="FFFFFF"/>
                                <w:sz w:val="16"/>
                              </w:rPr>
                              <w:t>%</w:t>
                            </w:r>
                            <w:r>
                              <w:rPr>
                                <w:b/>
                                <w:color w:val="FFFFFF"/>
                                <w:spacing w:val="-1"/>
                                <w:sz w:val="16"/>
                              </w:rPr>
                              <w:t> </w:t>
                            </w:r>
                            <w:r>
                              <w:rPr>
                                <w:b/>
                                <w:color w:val="FFFFFF"/>
                                <w:spacing w:val="-5"/>
                                <w:position w:val="5"/>
                                <w:sz w:val="12"/>
                              </w:rPr>
                              <w:t>(*)</w:t>
                            </w:r>
                            <w:r>
                              <w:rPr>
                                <w:b/>
                                <w:color w:val="FFFFFF"/>
                                <w:position w:val="5"/>
                                <w:sz w:val="12"/>
                              </w:rPr>
                              <w:tab/>
                            </w:r>
                            <w:r>
                              <w:rPr>
                                <w:b/>
                                <w:color w:val="FFFFFF"/>
                                <w:spacing w:val="-2"/>
                                <w:sz w:val="16"/>
                              </w:rPr>
                              <w:t>31/12/2024</w:t>
                            </w:r>
                          </w:p>
                          <w:p>
                            <w:pPr>
                              <w:pStyle w:val="TableParagraph"/>
                              <w:tabs>
                                <w:tab w:pos="6358" w:val="left" w:leader="none"/>
                                <w:tab w:pos="7425" w:val="left" w:leader="none"/>
                                <w:tab w:pos="8135" w:val="left" w:leader="none"/>
                                <w:tab w:pos="9184" w:val="left" w:leader="none"/>
                                <w:tab w:pos="9945" w:val="left" w:leader="none"/>
                              </w:tabs>
                              <w:spacing w:line="136" w:lineRule="auto" w:before="14"/>
                              <w:ind w:left="5514"/>
                              <w:rPr>
                                <w:b/>
                                <w:sz w:val="12"/>
                              </w:rPr>
                            </w:pPr>
                            <w:r>
                              <w:rPr>
                                <w:b/>
                                <w:color w:val="FFFFFF"/>
                                <w:spacing w:val="-5"/>
                                <w:position w:val="-3"/>
                                <w:sz w:val="16"/>
                              </w:rPr>
                              <w:t>(€)</w:t>
                            </w:r>
                            <w:r>
                              <w:rPr>
                                <w:b/>
                                <w:color w:val="FFFFFF"/>
                                <w:position w:val="-3"/>
                                <w:sz w:val="16"/>
                              </w:rPr>
                              <w:tab/>
                            </w:r>
                            <w:r>
                              <w:rPr>
                                <w:b/>
                                <w:color w:val="FFFFFF"/>
                                <w:position w:val="-4"/>
                                <w:sz w:val="16"/>
                              </w:rPr>
                              <w:t>%</w:t>
                            </w:r>
                            <w:r>
                              <w:rPr>
                                <w:b/>
                                <w:color w:val="FFFFFF"/>
                                <w:spacing w:val="-1"/>
                                <w:position w:val="-4"/>
                                <w:sz w:val="16"/>
                              </w:rPr>
                              <w:t> </w:t>
                            </w:r>
                            <w:r>
                              <w:rPr>
                                <w:b/>
                                <w:color w:val="FFFFFF"/>
                                <w:spacing w:val="-4"/>
                                <w:sz w:val="12"/>
                              </w:rPr>
                              <w:t>(**)</w:t>
                            </w:r>
                            <w:r>
                              <w:rPr>
                                <w:b/>
                                <w:color w:val="FFFFFF"/>
                                <w:sz w:val="12"/>
                              </w:rPr>
                              <w:tab/>
                            </w:r>
                            <w:r>
                              <w:rPr>
                                <w:b/>
                                <w:color w:val="FFFFFF"/>
                                <w:spacing w:val="-5"/>
                                <w:position w:val="-3"/>
                                <w:sz w:val="16"/>
                              </w:rPr>
                              <w:t>(€)</w:t>
                            </w:r>
                            <w:r>
                              <w:rPr>
                                <w:b/>
                                <w:color w:val="FFFFFF"/>
                                <w:position w:val="-3"/>
                                <w:sz w:val="16"/>
                              </w:rPr>
                              <w:tab/>
                            </w:r>
                            <w:r>
                              <w:rPr>
                                <w:b/>
                                <w:color w:val="FFFFFF"/>
                                <w:position w:val="-4"/>
                                <w:sz w:val="16"/>
                              </w:rPr>
                              <w:t>%</w:t>
                            </w:r>
                            <w:r>
                              <w:rPr>
                                <w:b/>
                                <w:color w:val="FFFFFF"/>
                                <w:spacing w:val="-3"/>
                                <w:position w:val="-4"/>
                                <w:sz w:val="16"/>
                              </w:rPr>
                              <w:t> </w:t>
                            </w:r>
                            <w:r>
                              <w:rPr>
                                <w:b/>
                                <w:color w:val="FFFFFF"/>
                                <w:spacing w:val="-4"/>
                                <w:sz w:val="12"/>
                              </w:rPr>
                              <w:t>(**)</w:t>
                            </w:r>
                            <w:r>
                              <w:rPr>
                                <w:b/>
                                <w:color w:val="FFFFFF"/>
                                <w:sz w:val="12"/>
                              </w:rPr>
                              <w:tab/>
                            </w:r>
                            <w:r>
                              <w:rPr>
                                <w:b/>
                                <w:color w:val="FFFFFF"/>
                                <w:spacing w:val="-5"/>
                                <w:position w:val="-3"/>
                                <w:sz w:val="16"/>
                              </w:rPr>
                              <w:t>(€)</w:t>
                            </w:r>
                            <w:r>
                              <w:rPr>
                                <w:b/>
                                <w:color w:val="FFFFFF"/>
                                <w:position w:val="-3"/>
                                <w:sz w:val="16"/>
                              </w:rPr>
                              <w:tab/>
                            </w:r>
                            <w:r>
                              <w:rPr>
                                <w:b/>
                                <w:color w:val="FFFFFF"/>
                                <w:position w:val="-4"/>
                                <w:sz w:val="16"/>
                              </w:rPr>
                              <w:t>%</w:t>
                            </w:r>
                            <w:r>
                              <w:rPr>
                                <w:b/>
                                <w:color w:val="FFFFFF"/>
                                <w:spacing w:val="-3"/>
                                <w:position w:val="-4"/>
                                <w:sz w:val="16"/>
                              </w:rPr>
                              <w:t> </w:t>
                            </w:r>
                            <w:r>
                              <w:rPr>
                                <w:b/>
                                <w:color w:val="FFFFFF"/>
                                <w:spacing w:val="-4"/>
                                <w:sz w:val="12"/>
                              </w:rPr>
                              <w:t>(**)</w:t>
                            </w:r>
                          </w:p>
                        </w:tc>
                      </w:tr>
                      <w:tr>
                        <w:trPr>
                          <w:trHeight w:val="390" w:hRule="atLeast"/>
                        </w:trPr>
                        <w:tc>
                          <w:tcPr>
                            <w:tcW w:w="3127" w:type="dxa"/>
                            <w:gridSpan w:val="2"/>
                          </w:tcPr>
                          <w:p>
                            <w:pPr>
                              <w:pStyle w:val="TableParagraph"/>
                              <w:tabs>
                                <w:tab w:pos="2054" w:val="left" w:leader="none"/>
                              </w:tabs>
                              <w:spacing w:line="240" w:lineRule="exact"/>
                              <w:ind w:left="71"/>
                              <w:rPr>
                                <w:position w:val="10"/>
                                <w:sz w:val="17"/>
                              </w:rPr>
                            </w:pPr>
                            <w:r>
                              <w:rPr>
                                <w:sz w:val="17"/>
                              </w:rPr>
                              <w:t>Adquisición</w:t>
                            </w:r>
                            <w:r>
                              <w:rPr>
                                <w:spacing w:val="-2"/>
                                <w:sz w:val="17"/>
                              </w:rPr>
                              <w:t> </w:t>
                            </w:r>
                            <w:r>
                              <w:rPr>
                                <w:sz w:val="17"/>
                              </w:rPr>
                              <w:t>de</w:t>
                            </w:r>
                            <w:r>
                              <w:rPr>
                                <w:spacing w:val="-3"/>
                                <w:sz w:val="17"/>
                              </w:rPr>
                              <w:t> </w:t>
                            </w:r>
                            <w:r>
                              <w:rPr>
                                <w:sz w:val="17"/>
                              </w:rPr>
                              <w:t>61</w:t>
                            </w:r>
                            <w:r>
                              <w:rPr>
                                <w:spacing w:val="-2"/>
                                <w:sz w:val="17"/>
                              </w:rPr>
                              <w:t> autobuses</w:t>
                            </w:r>
                            <w:r>
                              <w:rPr>
                                <w:sz w:val="17"/>
                              </w:rPr>
                              <w:tab/>
                            </w:r>
                            <w:r>
                              <w:rPr>
                                <w:spacing w:val="-2"/>
                                <w:position w:val="10"/>
                                <w:sz w:val="17"/>
                              </w:rPr>
                              <w:t>Adquisición</w:t>
                            </w:r>
                          </w:p>
                          <w:p>
                            <w:pPr>
                              <w:pStyle w:val="TableParagraph"/>
                              <w:tabs>
                                <w:tab w:pos="2054" w:val="left" w:leader="none"/>
                              </w:tabs>
                              <w:spacing w:line="131" w:lineRule="exact"/>
                              <w:ind w:left="71"/>
                              <w:rPr>
                                <w:position w:val="10"/>
                                <w:sz w:val="17"/>
                              </w:rPr>
                            </w:pPr>
                            <w:r>
                              <w:rPr>
                                <w:sz w:val="17"/>
                              </w:rPr>
                              <w:t>(17</w:t>
                            </w:r>
                            <w:r>
                              <w:rPr>
                                <w:spacing w:val="-5"/>
                                <w:sz w:val="17"/>
                              </w:rPr>
                              <w:t> </w:t>
                            </w:r>
                            <w:r>
                              <w:rPr>
                                <w:sz w:val="17"/>
                              </w:rPr>
                              <w:t>eléctricos/</w:t>
                            </w:r>
                            <w:r>
                              <w:rPr>
                                <w:spacing w:val="-3"/>
                                <w:sz w:val="17"/>
                              </w:rPr>
                              <w:t> </w:t>
                            </w:r>
                            <w:r>
                              <w:rPr>
                                <w:sz w:val="17"/>
                              </w:rPr>
                              <w:t>44</w:t>
                            </w:r>
                            <w:r>
                              <w:rPr>
                                <w:spacing w:val="-1"/>
                                <w:sz w:val="17"/>
                              </w:rPr>
                              <w:t> </w:t>
                            </w:r>
                            <w:r>
                              <w:rPr>
                                <w:spacing w:val="-4"/>
                                <w:sz w:val="17"/>
                              </w:rPr>
                              <w:t>GNC)</w:t>
                            </w:r>
                            <w:r>
                              <w:rPr>
                                <w:sz w:val="17"/>
                              </w:rPr>
                              <w:tab/>
                            </w:r>
                            <w:r>
                              <w:rPr>
                                <w:position w:val="10"/>
                                <w:sz w:val="17"/>
                              </w:rPr>
                              <w:t>material</w:t>
                            </w:r>
                            <w:r>
                              <w:rPr>
                                <w:spacing w:val="-4"/>
                                <w:position w:val="10"/>
                                <w:sz w:val="17"/>
                              </w:rPr>
                              <w:t> </w:t>
                            </w:r>
                            <w:r>
                              <w:rPr>
                                <w:position w:val="10"/>
                                <w:sz w:val="17"/>
                              </w:rPr>
                              <w:t>móvil</w:t>
                            </w:r>
                            <w:r>
                              <w:rPr>
                                <w:spacing w:val="-3"/>
                                <w:position w:val="10"/>
                                <w:sz w:val="17"/>
                              </w:rPr>
                              <w:t> </w:t>
                            </w:r>
                            <w:r>
                              <w:rPr>
                                <w:spacing w:val="-10"/>
                                <w:position w:val="10"/>
                                <w:sz w:val="17"/>
                              </w:rPr>
                              <w:t>e</w:t>
                            </w:r>
                          </w:p>
                        </w:tc>
                        <w:tc>
                          <w:tcPr>
                            <w:tcW w:w="1172" w:type="dxa"/>
                          </w:tcPr>
                          <w:p>
                            <w:pPr>
                              <w:pStyle w:val="TableParagraph"/>
                              <w:spacing w:line="184" w:lineRule="exact" w:before="186"/>
                              <w:ind w:right="133"/>
                              <w:jc w:val="right"/>
                              <w:rPr>
                                <w:sz w:val="18"/>
                              </w:rPr>
                            </w:pPr>
                            <w:r>
                              <w:rPr>
                                <w:spacing w:val="-2"/>
                                <w:sz w:val="18"/>
                              </w:rPr>
                              <w:t>29.236.600,00</w:t>
                            </w:r>
                          </w:p>
                        </w:tc>
                        <w:tc>
                          <w:tcPr>
                            <w:tcW w:w="697" w:type="dxa"/>
                          </w:tcPr>
                          <w:p>
                            <w:pPr>
                              <w:pStyle w:val="TableParagraph"/>
                              <w:spacing w:line="177" w:lineRule="exact" w:before="193"/>
                              <w:ind w:right="83"/>
                              <w:jc w:val="center"/>
                              <w:rPr>
                                <w:sz w:val="17"/>
                              </w:rPr>
                            </w:pPr>
                            <w:r>
                              <w:rPr>
                                <w:spacing w:val="-2"/>
                                <w:sz w:val="17"/>
                              </w:rPr>
                              <w:t>67,77</w:t>
                            </w:r>
                          </w:p>
                        </w:tc>
                        <w:tc>
                          <w:tcPr>
                            <w:tcW w:w="1224" w:type="dxa"/>
                          </w:tcPr>
                          <w:p>
                            <w:pPr>
                              <w:pStyle w:val="TableParagraph"/>
                              <w:spacing w:line="177" w:lineRule="exact" w:before="193"/>
                              <w:ind w:right="117"/>
                              <w:jc w:val="right"/>
                              <w:rPr>
                                <w:sz w:val="17"/>
                              </w:rPr>
                            </w:pPr>
                            <w:r>
                              <w:rPr>
                                <w:spacing w:val="-2"/>
                                <w:sz w:val="17"/>
                              </w:rPr>
                              <w:t>22.363.240,00</w:t>
                            </w:r>
                          </w:p>
                        </w:tc>
                        <w:tc>
                          <w:tcPr>
                            <w:tcW w:w="731" w:type="dxa"/>
                          </w:tcPr>
                          <w:p>
                            <w:pPr>
                              <w:pStyle w:val="TableParagraph"/>
                              <w:spacing w:line="177" w:lineRule="exact" w:before="193"/>
                              <w:ind w:right="178"/>
                              <w:jc w:val="right"/>
                              <w:rPr>
                                <w:sz w:val="17"/>
                              </w:rPr>
                            </w:pPr>
                            <w:r>
                              <w:rPr>
                                <w:spacing w:val="-2"/>
                                <w:sz w:val="17"/>
                              </w:rPr>
                              <w:t>76,49</w:t>
                            </w:r>
                          </w:p>
                        </w:tc>
                        <w:tc>
                          <w:tcPr>
                            <w:tcW w:w="1077" w:type="dxa"/>
                          </w:tcPr>
                          <w:p>
                            <w:pPr>
                              <w:pStyle w:val="TableParagraph"/>
                              <w:spacing w:line="177" w:lineRule="exact" w:before="193"/>
                              <w:ind w:left="171"/>
                              <w:rPr>
                                <w:sz w:val="17"/>
                              </w:rPr>
                            </w:pPr>
                            <w:r>
                              <w:rPr>
                                <w:spacing w:val="-2"/>
                                <w:sz w:val="17"/>
                              </w:rPr>
                              <w:t>3.123.360,00</w:t>
                            </w:r>
                          </w:p>
                        </w:tc>
                        <w:tc>
                          <w:tcPr>
                            <w:tcW w:w="687" w:type="dxa"/>
                          </w:tcPr>
                          <w:p>
                            <w:pPr>
                              <w:pStyle w:val="TableParagraph"/>
                              <w:spacing w:line="177" w:lineRule="exact" w:before="193"/>
                              <w:ind w:left="114"/>
                              <w:rPr>
                                <w:sz w:val="17"/>
                              </w:rPr>
                            </w:pPr>
                            <w:r>
                              <w:rPr>
                                <w:spacing w:val="-2"/>
                                <w:sz w:val="17"/>
                              </w:rPr>
                              <w:t>10,68</w:t>
                            </w:r>
                          </w:p>
                        </w:tc>
                        <w:tc>
                          <w:tcPr>
                            <w:tcW w:w="1143" w:type="dxa"/>
                          </w:tcPr>
                          <w:p>
                            <w:pPr>
                              <w:pStyle w:val="TableParagraph"/>
                              <w:spacing w:line="177" w:lineRule="exact" w:before="193"/>
                              <w:ind w:right="118"/>
                              <w:jc w:val="right"/>
                              <w:rPr>
                                <w:sz w:val="17"/>
                              </w:rPr>
                            </w:pPr>
                            <w:r>
                              <w:rPr>
                                <w:spacing w:val="-2"/>
                                <w:sz w:val="17"/>
                              </w:rPr>
                              <w:t>3.750.000,00</w:t>
                            </w:r>
                          </w:p>
                        </w:tc>
                        <w:tc>
                          <w:tcPr>
                            <w:tcW w:w="531" w:type="dxa"/>
                          </w:tcPr>
                          <w:p>
                            <w:pPr>
                              <w:pStyle w:val="TableParagraph"/>
                              <w:spacing w:line="177" w:lineRule="exact" w:before="193"/>
                              <w:ind w:left="19"/>
                              <w:jc w:val="center"/>
                              <w:rPr>
                                <w:sz w:val="17"/>
                              </w:rPr>
                            </w:pPr>
                            <w:r>
                              <w:rPr>
                                <w:spacing w:val="-2"/>
                                <w:sz w:val="17"/>
                              </w:rPr>
                              <w:t>12,83</w:t>
                            </w:r>
                          </w:p>
                        </w:tc>
                        <w:tc>
                          <w:tcPr>
                            <w:tcW w:w="1007" w:type="dxa"/>
                          </w:tcPr>
                          <w:p>
                            <w:pPr>
                              <w:pStyle w:val="TableParagraph"/>
                              <w:spacing w:line="177" w:lineRule="exact" w:before="193"/>
                              <w:ind w:left="60"/>
                              <w:rPr>
                                <w:sz w:val="17"/>
                              </w:rPr>
                            </w:pPr>
                            <w:r>
                              <w:rPr>
                                <w:spacing w:val="-2"/>
                                <w:sz w:val="17"/>
                              </w:rPr>
                              <w:t>Finalizada</w:t>
                            </w:r>
                          </w:p>
                        </w:tc>
                      </w:tr>
                      <w:tr>
                        <w:trPr>
                          <w:trHeight w:val="192" w:hRule="atLeast"/>
                        </w:trPr>
                        <w:tc>
                          <w:tcPr>
                            <w:tcW w:w="3127" w:type="dxa"/>
                            <w:gridSpan w:val="2"/>
                            <w:tcBorders>
                              <w:bottom w:val="single" w:sz="8" w:space="0" w:color="001F5F"/>
                            </w:tcBorders>
                          </w:tcPr>
                          <w:p>
                            <w:pPr>
                              <w:pStyle w:val="TableParagraph"/>
                              <w:spacing w:line="173" w:lineRule="exact"/>
                              <w:ind w:left="2054"/>
                              <w:rPr>
                                <w:sz w:val="17"/>
                              </w:rPr>
                            </w:pPr>
                            <w:r>
                              <w:rPr>
                                <w:spacing w:val="-2"/>
                                <w:sz w:val="17"/>
                              </w:rPr>
                              <w:t>infraestructuras</w:t>
                            </w:r>
                          </w:p>
                        </w:tc>
                        <w:tc>
                          <w:tcPr>
                            <w:tcW w:w="1172" w:type="dxa"/>
                            <w:tcBorders>
                              <w:bottom w:val="single" w:sz="8" w:space="0" w:color="001F5F"/>
                            </w:tcBorders>
                          </w:tcPr>
                          <w:p>
                            <w:pPr>
                              <w:pStyle w:val="TableParagraph"/>
                              <w:rPr>
                                <w:rFonts w:ascii="Times New Roman"/>
                                <w:sz w:val="12"/>
                              </w:rPr>
                            </w:pPr>
                          </w:p>
                        </w:tc>
                        <w:tc>
                          <w:tcPr>
                            <w:tcW w:w="697" w:type="dxa"/>
                            <w:tcBorders>
                              <w:bottom w:val="single" w:sz="8" w:space="0" w:color="001F5F"/>
                            </w:tcBorders>
                          </w:tcPr>
                          <w:p>
                            <w:pPr>
                              <w:pStyle w:val="TableParagraph"/>
                              <w:rPr>
                                <w:rFonts w:ascii="Times New Roman"/>
                                <w:sz w:val="12"/>
                              </w:rPr>
                            </w:pPr>
                          </w:p>
                        </w:tc>
                        <w:tc>
                          <w:tcPr>
                            <w:tcW w:w="1224" w:type="dxa"/>
                            <w:tcBorders>
                              <w:bottom w:val="single" w:sz="8" w:space="0" w:color="001F5F"/>
                            </w:tcBorders>
                          </w:tcPr>
                          <w:p>
                            <w:pPr>
                              <w:pStyle w:val="TableParagraph"/>
                              <w:rPr>
                                <w:rFonts w:ascii="Times New Roman"/>
                                <w:sz w:val="12"/>
                              </w:rPr>
                            </w:pPr>
                          </w:p>
                        </w:tc>
                        <w:tc>
                          <w:tcPr>
                            <w:tcW w:w="731" w:type="dxa"/>
                            <w:tcBorders>
                              <w:bottom w:val="single" w:sz="8" w:space="0" w:color="001F5F"/>
                            </w:tcBorders>
                          </w:tcPr>
                          <w:p>
                            <w:pPr>
                              <w:pStyle w:val="TableParagraph"/>
                              <w:rPr>
                                <w:rFonts w:ascii="Times New Roman"/>
                                <w:sz w:val="12"/>
                              </w:rPr>
                            </w:pPr>
                          </w:p>
                        </w:tc>
                        <w:tc>
                          <w:tcPr>
                            <w:tcW w:w="1077" w:type="dxa"/>
                            <w:tcBorders>
                              <w:bottom w:val="single" w:sz="8" w:space="0" w:color="001F5F"/>
                            </w:tcBorders>
                          </w:tcPr>
                          <w:p>
                            <w:pPr>
                              <w:pStyle w:val="TableParagraph"/>
                              <w:rPr>
                                <w:rFonts w:ascii="Times New Roman"/>
                                <w:sz w:val="12"/>
                              </w:rPr>
                            </w:pPr>
                          </w:p>
                        </w:tc>
                        <w:tc>
                          <w:tcPr>
                            <w:tcW w:w="687" w:type="dxa"/>
                            <w:tcBorders>
                              <w:bottom w:val="single" w:sz="8" w:space="0" w:color="001F5F"/>
                            </w:tcBorders>
                          </w:tcPr>
                          <w:p>
                            <w:pPr>
                              <w:pStyle w:val="TableParagraph"/>
                              <w:rPr>
                                <w:rFonts w:ascii="Times New Roman"/>
                                <w:sz w:val="12"/>
                              </w:rPr>
                            </w:pPr>
                          </w:p>
                        </w:tc>
                        <w:tc>
                          <w:tcPr>
                            <w:tcW w:w="1143" w:type="dxa"/>
                            <w:tcBorders>
                              <w:bottom w:val="single" w:sz="8" w:space="0" w:color="001F5F"/>
                            </w:tcBorders>
                          </w:tcPr>
                          <w:p>
                            <w:pPr>
                              <w:pStyle w:val="TableParagraph"/>
                              <w:rPr>
                                <w:rFonts w:ascii="Times New Roman"/>
                                <w:sz w:val="12"/>
                              </w:rPr>
                            </w:pPr>
                          </w:p>
                        </w:tc>
                        <w:tc>
                          <w:tcPr>
                            <w:tcW w:w="531" w:type="dxa"/>
                            <w:tcBorders>
                              <w:bottom w:val="single" w:sz="8" w:space="0" w:color="001F5F"/>
                            </w:tcBorders>
                          </w:tcPr>
                          <w:p>
                            <w:pPr>
                              <w:pStyle w:val="TableParagraph"/>
                              <w:rPr>
                                <w:rFonts w:ascii="Times New Roman"/>
                                <w:sz w:val="12"/>
                              </w:rPr>
                            </w:pPr>
                          </w:p>
                        </w:tc>
                        <w:tc>
                          <w:tcPr>
                            <w:tcW w:w="1007" w:type="dxa"/>
                            <w:tcBorders>
                              <w:bottom w:val="single" w:sz="8" w:space="0" w:color="001F5F"/>
                            </w:tcBorders>
                          </w:tcPr>
                          <w:p>
                            <w:pPr>
                              <w:pStyle w:val="TableParagraph"/>
                              <w:rPr>
                                <w:rFonts w:ascii="Times New Roman"/>
                                <w:sz w:val="12"/>
                              </w:rPr>
                            </w:pPr>
                          </w:p>
                        </w:tc>
                      </w:tr>
                      <w:tr>
                        <w:trPr>
                          <w:trHeight w:val="393" w:hRule="atLeast"/>
                        </w:trPr>
                        <w:tc>
                          <w:tcPr>
                            <w:tcW w:w="3127" w:type="dxa"/>
                            <w:gridSpan w:val="2"/>
                            <w:tcBorders>
                              <w:top w:val="single" w:sz="8" w:space="0" w:color="001F5F"/>
                            </w:tcBorders>
                          </w:tcPr>
                          <w:p>
                            <w:pPr>
                              <w:pStyle w:val="TableParagraph"/>
                              <w:tabs>
                                <w:tab w:pos="2054" w:val="left" w:leader="none"/>
                              </w:tabs>
                              <w:spacing w:line="243" w:lineRule="exact"/>
                              <w:ind w:left="71"/>
                              <w:rPr>
                                <w:position w:val="10"/>
                                <w:sz w:val="17"/>
                              </w:rPr>
                            </w:pPr>
                            <w:r>
                              <w:rPr>
                                <w:sz w:val="17"/>
                              </w:rPr>
                              <w:t>Infraestructura</w:t>
                            </w:r>
                            <w:r>
                              <w:rPr>
                                <w:spacing w:val="-5"/>
                                <w:sz w:val="17"/>
                              </w:rPr>
                              <w:t> </w:t>
                            </w:r>
                            <w:r>
                              <w:rPr>
                                <w:sz w:val="17"/>
                              </w:rPr>
                              <w:t>para</w:t>
                            </w:r>
                            <w:r>
                              <w:rPr>
                                <w:spacing w:val="-5"/>
                                <w:sz w:val="17"/>
                              </w:rPr>
                              <w:t> la</w:t>
                            </w:r>
                            <w:r>
                              <w:rPr>
                                <w:sz w:val="17"/>
                              </w:rPr>
                              <w:tab/>
                            </w:r>
                            <w:r>
                              <w:rPr>
                                <w:spacing w:val="-2"/>
                                <w:position w:val="10"/>
                                <w:sz w:val="17"/>
                              </w:rPr>
                              <w:t>Adquisición</w:t>
                            </w:r>
                          </w:p>
                          <w:p>
                            <w:pPr>
                              <w:pStyle w:val="TableParagraph"/>
                              <w:tabs>
                                <w:tab w:pos="2054" w:val="left" w:leader="none"/>
                              </w:tabs>
                              <w:spacing w:line="131" w:lineRule="exact"/>
                              <w:ind w:left="71"/>
                              <w:rPr>
                                <w:position w:val="10"/>
                                <w:sz w:val="17"/>
                              </w:rPr>
                            </w:pPr>
                            <w:r>
                              <w:rPr>
                                <w:sz w:val="17"/>
                              </w:rPr>
                              <w:t>recarga</w:t>
                            </w:r>
                            <w:r>
                              <w:rPr>
                                <w:spacing w:val="-3"/>
                                <w:sz w:val="17"/>
                              </w:rPr>
                              <w:t> </w:t>
                            </w:r>
                            <w:r>
                              <w:rPr>
                                <w:sz w:val="17"/>
                              </w:rPr>
                              <w:t>de</w:t>
                            </w:r>
                            <w:r>
                              <w:rPr>
                                <w:spacing w:val="-3"/>
                                <w:sz w:val="17"/>
                              </w:rPr>
                              <w:t> </w:t>
                            </w:r>
                            <w:r>
                              <w:rPr>
                                <w:sz w:val="17"/>
                              </w:rPr>
                              <w:t>12</w:t>
                            </w:r>
                            <w:r>
                              <w:rPr>
                                <w:spacing w:val="-1"/>
                                <w:sz w:val="17"/>
                              </w:rPr>
                              <w:t> </w:t>
                            </w:r>
                            <w:r>
                              <w:rPr>
                                <w:spacing w:val="-2"/>
                                <w:sz w:val="17"/>
                              </w:rPr>
                              <w:t>autobuses</w:t>
                            </w:r>
                            <w:r>
                              <w:rPr>
                                <w:sz w:val="17"/>
                              </w:rPr>
                              <w:tab/>
                            </w:r>
                            <w:r>
                              <w:rPr>
                                <w:position w:val="10"/>
                                <w:sz w:val="17"/>
                              </w:rPr>
                              <w:t>material</w:t>
                            </w:r>
                            <w:r>
                              <w:rPr>
                                <w:spacing w:val="-4"/>
                                <w:position w:val="10"/>
                                <w:sz w:val="17"/>
                              </w:rPr>
                              <w:t> </w:t>
                            </w:r>
                            <w:r>
                              <w:rPr>
                                <w:position w:val="10"/>
                                <w:sz w:val="17"/>
                              </w:rPr>
                              <w:t>móvil</w:t>
                            </w:r>
                            <w:r>
                              <w:rPr>
                                <w:spacing w:val="-3"/>
                                <w:position w:val="10"/>
                                <w:sz w:val="17"/>
                              </w:rPr>
                              <w:t> </w:t>
                            </w:r>
                            <w:r>
                              <w:rPr>
                                <w:spacing w:val="-10"/>
                                <w:position w:val="10"/>
                                <w:sz w:val="17"/>
                              </w:rPr>
                              <w:t>e</w:t>
                            </w:r>
                          </w:p>
                        </w:tc>
                        <w:tc>
                          <w:tcPr>
                            <w:tcW w:w="1172" w:type="dxa"/>
                            <w:tcBorders>
                              <w:top w:val="single" w:sz="8" w:space="0" w:color="001F5F"/>
                            </w:tcBorders>
                          </w:tcPr>
                          <w:p>
                            <w:pPr>
                              <w:pStyle w:val="TableParagraph"/>
                              <w:spacing w:line="183" w:lineRule="exact" w:before="191"/>
                              <w:ind w:right="133"/>
                              <w:jc w:val="right"/>
                              <w:rPr>
                                <w:sz w:val="18"/>
                              </w:rPr>
                            </w:pPr>
                            <w:r>
                              <w:rPr>
                                <w:spacing w:val="-2"/>
                                <w:sz w:val="18"/>
                              </w:rPr>
                              <w:t>504.000,00</w:t>
                            </w:r>
                          </w:p>
                        </w:tc>
                        <w:tc>
                          <w:tcPr>
                            <w:tcW w:w="697" w:type="dxa"/>
                            <w:tcBorders>
                              <w:top w:val="single" w:sz="8" w:space="0" w:color="001F5F"/>
                            </w:tcBorders>
                          </w:tcPr>
                          <w:p>
                            <w:pPr>
                              <w:pStyle w:val="TableParagraph"/>
                              <w:rPr>
                                <w:sz w:val="17"/>
                              </w:rPr>
                            </w:pPr>
                          </w:p>
                          <w:p>
                            <w:pPr>
                              <w:pStyle w:val="TableParagraph"/>
                              <w:spacing w:line="178" w:lineRule="exact"/>
                              <w:ind w:left="77" w:right="83"/>
                              <w:jc w:val="center"/>
                              <w:rPr>
                                <w:sz w:val="17"/>
                              </w:rPr>
                            </w:pPr>
                            <w:r>
                              <w:rPr>
                                <w:spacing w:val="-4"/>
                                <w:sz w:val="17"/>
                              </w:rPr>
                              <w:t>1,17</w:t>
                            </w:r>
                          </w:p>
                        </w:tc>
                        <w:tc>
                          <w:tcPr>
                            <w:tcW w:w="1224" w:type="dxa"/>
                            <w:tcBorders>
                              <w:top w:val="single" w:sz="8" w:space="0" w:color="001F5F"/>
                            </w:tcBorders>
                          </w:tcPr>
                          <w:p>
                            <w:pPr>
                              <w:pStyle w:val="TableParagraph"/>
                              <w:rPr>
                                <w:sz w:val="17"/>
                              </w:rPr>
                            </w:pPr>
                          </w:p>
                          <w:p>
                            <w:pPr>
                              <w:pStyle w:val="TableParagraph"/>
                              <w:spacing w:line="178" w:lineRule="exact"/>
                              <w:ind w:right="117"/>
                              <w:jc w:val="right"/>
                              <w:rPr>
                                <w:sz w:val="17"/>
                              </w:rPr>
                            </w:pPr>
                            <w:r>
                              <w:rPr>
                                <w:spacing w:val="-2"/>
                                <w:sz w:val="17"/>
                              </w:rPr>
                              <w:t>52.000,00</w:t>
                            </w:r>
                          </w:p>
                        </w:tc>
                        <w:tc>
                          <w:tcPr>
                            <w:tcW w:w="731" w:type="dxa"/>
                            <w:tcBorders>
                              <w:top w:val="single" w:sz="8" w:space="0" w:color="001F5F"/>
                            </w:tcBorders>
                          </w:tcPr>
                          <w:p>
                            <w:pPr>
                              <w:pStyle w:val="TableParagraph"/>
                              <w:rPr>
                                <w:sz w:val="17"/>
                              </w:rPr>
                            </w:pPr>
                          </w:p>
                          <w:p>
                            <w:pPr>
                              <w:pStyle w:val="TableParagraph"/>
                              <w:spacing w:line="178" w:lineRule="exact"/>
                              <w:ind w:right="178"/>
                              <w:jc w:val="right"/>
                              <w:rPr>
                                <w:sz w:val="17"/>
                              </w:rPr>
                            </w:pPr>
                            <w:r>
                              <w:rPr>
                                <w:spacing w:val="-2"/>
                                <w:sz w:val="17"/>
                              </w:rPr>
                              <w:t>10,32</w:t>
                            </w:r>
                          </w:p>
                        </w:tc>
                        <w:tc>
                          <w:tcPr>
                            <w:tcW w:w="1077" w:type="dxa"/>
                            <w:tcBorders>
                              <w:top w:val="single" w:sz="8" w:space="0" w:color="001F5F"/>
                            </w:tcBorders>
                          </w:tcPr>
                          <w:p>
                            <w:pPr>
                              <w:pStyle w:val="TableParagraph"/>
                              <w:rPr>
                                <w:sz w:val="17"/>
                              </w:rPr>
                            </w:pPr>
                          </w:p>
                          <w:p>
                            <w:pPr>
                              <w:pStyle w:val="TableParagraph"/>
                              <w:spacing w:line="178" w:lineRule="exact"/>
                              <w:ind w:right="91"/>
                              <w:jc w:val="right"/>
                              <w:rPr>
                                <w:sz w:val="17"/>
                              </w:rPr>
                            </w:pPr>
                            <w:r>
                              <w:rPr>
                                <w:spacing w:val="-2"/>
                                <w:sz w:val="17"/>
                              </w:rPr>
                              <w:t>452.000,00</w:t>
                            </w:r>
                          </w:p>
                        </w:tc>
                        <w:tc>
                          <w:tcPr>
                            <w:tcW w:w="687" w:type="dxa"/>
                            <w:tcBorders>
                              <w:top w:val="single" w:sz="8" w:space="0" w:color="001F5F"/>
                            </w:tcBorders>
                          </w:tcPr>
                          <w:p>
                            <w:pPr>
                              <w:pStyle w:val="TableParagraph"/>
                              <w:rPr>
                                <w:sz w:val="17"/>
                              </w:rPr>
                            </w:pPr>
                          </w:p>
                          <w:p>
                            <w:pPr>
                              <w:pStyle w:val="TableParagraph"/>
                              <w:spacing w:line="178" w:lineRule="exact"/>
                              <w:ind w:left="114"/>
                              <w:rPr>
                                <w:sz w:val="17"/>
                              </w:rPr>
                            </w:pPr>
                            <w:r>
                              <w:rPr>
                                <w:spacing w:val="-2"/>
                                <w:sz w:val="17"/>
                              </w:rPr>
                              <w:t>89,68</w:t>
                            </w:r>
                          </w:p>
                        </w:tc>
                        <w:tc>
                          <w:tcPr>
                            <w:tcW w:w="1143" w:type="dxa"/>
                            <w:tcBorders>
                              <w:top w:val="single" w:sz="8" w:space="0" w:color="001F5F"/>
                            </w:tcBorders>
                          </w:tcPr>
                          <w:p>
                            <w:pPr>
                              <w:pStyle w:val="TableParagraph"/>
                              <w:rPr>
                                <w:sz w:val="17"/>
                              </w:rPr>
                            </w:pPr>
                          </w:p>
                          <w:p>
                            <w:pPr>
                              <w:pStyle w:val="TableParagraph"/>
                              <w:spacing w:line="178" w:lineRule="exact"/>
                              <w:ind w:right="118"/>
                              <w:jc w:val="right"/>
                              <w:rPr>
                                <w:sz w:val="17"/>
                              </w:rPr>
                            </w:pPr>
                            <w:r>
                              <w:rPr>
                                <w:spacing w:val="-4"/>
                                <w:sz w:val="17"/>
                              </w:rPr>
                              <w:t>0,00</w:t>
                            </w:r>
                          </w:p>
                        </w:tc>
                        <w:tc>
                          <w:tcPr>
                            <w:tcW w:w="531" w:type="dxa"/>
                            <w:tcBorders>
                              <w:top w:val="single" w:sz="8" w:space="0" w:color="001F5F"/>
                            </w:tcBorders>
                          </w:tcPr>
                          <w:p>
                            <w:pPr>
                              <w:pStyle w:val="TableParagraph"/>
                              <w:rPr>
                                <w:sz w:val="17"/>
                              </w:rPr>
                            </w:pPr>
                          </w:p>
                          <w:p>
                            <w:pPr>
                              <w:pStyle w:val="TableParagraph"/>
                              <w:spacing w:line="178" w:lineRule="exact"/>
                              <w:ind w:left="96"/>
                              <w:jc w:val="center"/>
                              <w:rPr>
                                <w:sz w:val="17"/>
                              </w:rPr>
                            </w:pPr>
                            <w:r>
                              <w:rPr>
                                <w:spacing w:val="-4"/>
                                <w:sz w:val="17"/>
                              </w:rPr>
                              <w:t>0,00</w:t>
                            </w:r>
                          </w:p>
                        </w:tc>
                        <w:tc>
                          <w:tcPr>
                            <w:tcW w:w="1007" w:type="dxa"/>
                            <w:tcBorders>
                              <w:top w:val="single" w:sz="8" w:space="0" w:color="001F5F"/>
                            </w:tcBorders>
                          </w:tcPr>
                          <w:p>
                            <w:pPr>
                              <w:pStyle w:val="TableParagraph"/>
                              <w:rPr>
                                <w:sz w:val="17"/>
                              </w:rPr>
                            </w:pPr>
                          </w:p>
                          <w:p>
                            <w:pPr>
                              <w:pStyle w:val="TableParagraph"/>
                              <w:spacing w:line="178" w:lineRule="exact"/>
                              <w:ind w:left="60"/>
                              <w:rPr>
                                <w:sz w:val="17"/>
                              </w:rPr>
                            </w:pPr>
                            <w:r>
                              <w:rPr>
                                <w:spacing w:val="-2"/>
                                <w:sz w:val="17"/>
                              </w:rPr>
                              <w:t>Finalizada</w:t>
                            </w:r>
                          </w:p>
                        </w:tc>
                      </w:tr>
                      <w:tr>
                        <w:trPr>
                          <w:trHeight w:val="193" w:hRule="atLeast"/>
                        </w:trPr>
                        <w:tc>
                          <w:tcPr>
                            <w:tcW w:w="3127" w:type="dxa"/>
                            <w:gridSpan w:val="2"/>
                            <w:tcBorders>
                              <w:bottom w:val="single" w:sz="8" w:space="0" w:color="001F5F"/>
                            </w:tcBorders>
                          </w:tcPr>
                          <w:p>
                            <w:pPr>
                              <w:pStyle w:val="TableParagraph"/>
                              <w:spacing w:line="173" w:lineRule="exact"/>
                              <w:ind w:left="2054"/>
                              <w:rPr>
                                <w:sz w:val="17"/>
                              </w:rPr>
                            </w:pPr>
                            <w:r>
                              <w:rPr>
                                <w:spacing w:val="-2"/>
                                <w:sz w:val="17"/>
                              </w:rPr>
                              <w:t>infraestructuras</w:t>
                            </w:r>
                          </w:p>
                        </w:tc>
                        <w:tc>
                          <w:tcPr>
                            <w:tcW w:w="1172" w:type="dxa"/>
                            <w:tcBorders>
                              <w:bottom w:val="single" w:sz="8" w:space="0" w:color="001F5F"/>
                            </w:tcBorders>
                          </w:tcPr>
                          <w:p>
                            <w:pPr>
                              <w:pStyle w:val="TableParagraph"/>
                              <w:rPr>
                                <w:rFonts w:ascii="Times New Roman"/>
                                <w:sz w:val="12"/>
                              </w:rPr>
                            </w:pPr>
                          </w:p>
                        </w:tc>
                        <w:tc>
                          <w:tcPr>
                            <w:tcW w:w="697" w:type="dxa"/>
                            <w:tcBorders>
                              <w:bottom w:val="single" w:sz="8" w:space="0" w:color="001F5F"/>
                            </w:tcBorders>
                          </w:tcPr>
                          <w:p>
                            <w:pPr>
                              <w:pStyle w:val="TableParagraph"/>
                              <w:rPr>
                                <w:rFonts w:ascii="Times New Roman"/>
                                <w:sz w:val="12"/>
                              </w:rPr>
                            </w:pPr>
                          </w:p>
                        </w:tc>
                        <w:tc>
                          <w:tcPr>
                            <w:tcW w:w="1224" w:type="dxa"/>
                            <w:tcBorders>
                              <w:bottom w:val="single" w:sz="8" w:space="0" w:color="001F5F"/>
                            </w:tcBorders>
                          </w:tcPr>
                          <w:p>
                            <w:pPr>
                              <w:pStyle w:val="TableParagraph"/>
                              <w:rPr>
                                <w:rFonts w:ascii="Times New Roman"/>
                                <w:sz w:val="12"/>
                              </w:rPr>
                            </w:pPr>
                          </w:p>
                        </w:tc>
                        <w:tc>
                          <w:tcPr>
                            <w:tcW w:w="731" w:type="dxa"/>
                            <w:tcBorders>
                              <w:bottom w:val="single" w:sz="8" w:space="0" w:color="001F5F"/>
                            </w:tcBorders>
                          </w:tcPr>
                          <w:p>
                            <w:pPr>
                              <w:pStyle w:val="TableParagraph"/>
                              <w:rPr>
                                <w:rFonts w:ascii="Times New Roman"/>
                                <w:sz w:val="12"/>
                              </w:rPr>
                            </w:pPr>
                          </w:p>
                        </w:tc>
                        <w:tc>
                          <w:tcPr>
                            <w:tcW w:w="1077" w:type="dxa"/>
                            <w:tcBorders>
                              <w:bottom w:val="single" w:sz="8" w:space="0" w:color="001F5F"/>
                            </w:tcBorders>
                          </w:tcPr>
                          <w:p>
                            <w:pPr>
                              <w:pStyle w:val="TableParagraph"/>
                              <w:rPr>
                                <w:rFonts w:ascii="Times New Roman"/>
                                <w:sz w:val="12"/>
                              </w:rPr>
                            </w:pPr>
                          </w:p>
                        </w:tc>
                        <w:tc>
                          <w:tcPr>
                            <w:tcW w:w="687" w:type="dxa"/>
                            <w:tcBorders>
                              <w:bottom w:val="single" w:sz="8" w:space="0" w:color="001F5F"/>
                            </w:tcBorders>
                          </w:tcPr>
                          <w:p>
                            <w:pPr>
                              <w:pStyle w:val="TableParagraph"/>
                              <w:rPr>
                                <w:rFonts w:ascii="Times New Roman"/>
                                <w:sz w:val="12"/>
                              </w:rPr>
                            </w:pPr>
                          </w:p>
                        </w:tc>
                        <w:tc>
                          <w:tcPr>
                            <w:tcW w:w="1143" w:type="dxa"/>
                            <w:tcBorders>
                              <w:bottom w:val="single" w:sz="8" w:space="0" w:color="001F5F"/>
                            </w:tcBorders>
                          </w:tcPr>
                          <w:p>
                            <w:pPr>
                              <w:pStyle w:val="TableParagraph"/>
                              <w:rPr>
                                <w:rFonts w:ascii="Times New Roman"/>
                                <w:sz w:val="12"/>
                              </w:rPr>
                            </w:pPr>
                          </w:p>
                        </w:tc>
                        <w:tc>
                          <w:tcPr>
                            <w:tcW w:w="531" w:type="dxa"/>
                            <w:tcBorders>
                              <w:bottom w:val="single" w:sz="8" w:space="0" w:color="001F5F"/>
                            </w:tcBorders>
                          </w:tcPr>
                          <w:p>
                            <w:pPr>
                              <w:pStyle w:val="TableParagraph"/>
                              <w:rPr>
                                <w:rFonts w:ascii="Times New Roman"/>
                                <w:sz w:val="12"/>
                              </w:rPr>
                            </w:pPr>
                          </w:p>
                        </w:tc>
                        <w:tc>
                          <w:tcPr>
                            <w:tcW w:w="1007" w:type="dxa"/>
                            <w:tcBorders>
                              <w:bottom w:val="single" w:sz="8" w:space="0" w:color="001F5F"/>
                            </w:tcBorders>
                          </w:tcPr>
                          <w:p>
                            <w:pPr>
                              <w:pStyle w:val="TableParagraph"/>
                              <w:rPr>
                                <w:rFonts w:ascii="Times New Roman"/>
                                <w:sz w:val="12"/>
                              </w:rPr>
                            </w:pPr>
                          </w:p>
                        </w:tc>
                      </w:tr>
                      <w:tr>
                        <w:trPr>
                          <w:trHeight w:val="340" w:hRule="atLeast"/>
                        </w:trPr>
                        <w:tc>
                          <w:tcPr>
                            <w:tcW w:w="3127" w:type="dxa"/>
                            <w:gridSpan w:val="2"/>
                            <w:tcBorders>
                              <w:top w:val="single" w:sz="8" w:space="0" w:color="001F5F"/>
                              <w:bottom w:val="single" w:sz="8" w:space="0" w:color="001F5F"/>
                            </w:tcBorders>
                          </w:tcPr>
                          <w:p>
                            <w:pPr>
                              <w:pStyle w:val="TableParagraph"/>
                              <w:spacing w:before="70"/>
                              <w:ind w:left="71"/>
                              <w:rPr>
                                <w:sz w:val="17"/>
                              </w:rPr>
                            </w:pPr>
                            <w:r>
                              <w:rPr>
                                <w:sz w:val="17"/>
                              </w:rPr>
                              <w:t>Mejora</w:t>
                            </w:r>
                            <w:r>
                              <w:rPr>
                                <w:spacing w:val="-4"/>
                                <w:sz w:val="17"/>
                              </w:rPr>
                              <w:t> </w:t>
                            </w:r>
                            <w:r>
                              <w:rPr>
                                <w:sz w:val="17"/>
                              </w:rPr>
                              <w:t>accesibilidad</w:t>
                            </w:r>
                            <w:r>
                              <w:rPr>
                                <w:spacing w:val="-2"/>
                                <w:sz w:val="17"/>
                              </w:rPr>
                              <w:t> </w:t>
                            </w:r>
                            <w:r>
                              <w:rPr>
                                <w:sz w:val="17"/>
                              </w:rPr>
                              <w:t>paradas</w:t>
                            </w:r>
                            <w:r>
                              <w:rPr>
                                <w:spacing w:val="46"/>
                                <w:sz w:val="17"/>
                              </w:rPr>
                              <w:t>  </w:t>
                            </w:r>
                            <w:r>
                              <w:rPr>
                                <w:spacing w:val="-2"/>
                                <w:sz w:val="17"/>
                              </w:rPr>
                              <w:t>Obras</w:t>
                            </w:r>
                          </w:p>
                        </w:tc>
                        <w:tc>
                          <w:tcPr>
                            <w:tcW w:w="1172" w:type="dxa"/>
                            <w:tcBorders>
                              <w:top w:val="single" w:sz="8" w:space="0" w:color="001F5F"/>
                              <w:bottom w:val="single" w:sz="8" w:space="0" w:color="001F5F"/>
                            </w:tcBorders>
                          </w:tcPr>
                          <w:p>
                            <w:pPr>
                              <w:pStyle w:val="TableParagraph"/>
                              <w:spacing w:before="66"/>
                              <w:ind w:right="133"/>
                              <w:jc w:val="right"/>
                              <w:rPr>
                                <w:sz w:val="18"/>
                              </w:rPr>
                            </w:pPr>
                            <w:r>
                              <w:rPr>
                                <w:spacing w:val="-2"/>
                                <w:sz w:val="18"/>
                              </w:rPr>
                              <w:t>5.427.480,63</w:t>
                            </w:r>
                          </w:p>
                        </w:tc>
                        <w:tc>
                          <w:tcPr>
                            <w:tcW w:w="697" w:type="dxa"/>
                            <w:tcBorders>
                              <w:top w:val="single" w:sz="8" w:space="0" w:color="001F5F"/>
                              <w:bottom w:val="single" w:sz="8" w:space="0" w:color="001F5F"/>
                            </w:tcBorders>
                          </w:tcPr>
                          <w:p>
                            <w:pPr>
                              <w:pStyle w:val="TableParagraph"/>
                              <w:spacing w:before="70"/>
                              <w:ind w:right="83"/>
                              <w:jc w:val="center"/>
                              <w:rPr>
                                <w:sz w:val="17"/>
                              </w:rPr>
                            </w:pPr>
                            <w:r>
                              <w:rPr>
                                <w:spacing w:val="-2"/>
                                <w:sz w:val="17"/>
                              </w:rPr>
                              <w:t>12,58</w:t>
                            </w:r>
                          </w:p>
                        </w:tc>
                        <w:tc>
                          <w:tcPr>
                            <w:tcW w:w="1224" w:type="dxa"/>
                            <w:tcBorders>
                              <w:top w:val="single" w:sz="8" w:space="0" w:color="001F5F"/>
                              <w:bottom w:val="single" w:sz="8" w:space="0" w:color="001F5F"/>
                            </w:tcBorders>
                          </w:tcPr>
                          <w:p>
                            <w:pPr>
                              <w:pStyle w:val="TableParagraph"/>
                              <w:spacing w:before="70"/>
                              <w:ind w:right="117"/>
                              <w:jc w:val="right"/>
                              <w:rPr>
                                <w:sz w:val="17"/>
                              </w:rPr>
                            </w:pPr>
                            <w:r>
                              <w:rPr>
                                <w:spacing w:val="-2"/>
                                <w:sz w:val="17"/>
                              </w:rPr>
                              <w:t>2.670.729,80</w:t>
                            </w:r>
                          </w:p>
                        </w:tc>
                        <w:tc>
                          <w:tcPr>
                            <w:tcW w:w="731" w:type="dxa"/>
                            <w:tcBorders>
                              <w:top w:val="single" w:sz="8" w:space="0" w:color="001F5F"/>
                              <w:bottom w:val="single" w:sz="8" w:space="0" w:color="001F5F"/>
                            </w:tcBorders>
                          </w:tcPr>
                          <w:p>
                            <w:pPr>
                              <w:pStyle w:val="TableParagraph"/>
                              <w:spacing w:before="70"/>
                              <w:ind w:right="178"/>
                              <w:jc w:val="right"/>
                              <w:rPr>
                                <w:sz w:val="17"/>
                              </w:rPr>
                            </w:pPr>
                            <w:r>
                              <w:rPr>
                                <w:spacing w:val="-2"/>
                                <w:sz w:val="17"/>
                              </w:rPr>
                              <w:t>49,21</w:t>
                            </w:r>
                          </w:p>
                        </w:tc>
                        <w:tc>
                          <w:tcPr>
                            <w:tcW w:w="1077" w:type="dxa"/>
                            <w:tcBorders>
                              <w:top w:val="single" w:sz="8" w:space="0" w:color="001F5F"/>
                              <w:bottom w:val="single" w:sz="8" w:space="0" w:color="001F5F"/>
                            </w:tcBorders>
                          </w:tcPr>
                          <w:p>
                            <w:pPr>
                              <w:pStyle w:val="TableParagraph"/>
                              <w:spacing w:before="70"/>
                              <w:ind w:left="171"/>
                              <w:rPr>
                                <w:sz w:val="17"/>
                              </w:rPr>
                            </w:pPr>
                            <w:r>
                              <w:rPr>
                                <w:spacing w:val="-2"/>
                                <w:sz w:val="17"/>
                              </w:rPr>
                              <w:t>2.756.750,83</w:t>
                            </w:r>
                          </w:p>
                        </w:tc>
                        <w:tc>
                          <w:tcPr>
                            <w:tcW w:w="687" w:type="dxa"/>
                            <w:tcBorders>
                              <w:top w:val="single" w:sz="8" w:space="0" w:color="001F5F"/>
                              <w:bottom w:val="single" w:sz="8" w:space="0" w:color="001F5F"/>
                            </w:tcBorders>
                          </w:tcPr>
                          <w:p>
                            <w:pPr>
                              <w:pStyle w:val="TableParagraph"/>
                              <w:spacing w:before="70"/>
                              <w:ind w:left="114"/>
                              <w:rPr>
                                <w:sz w:val="17"/>
                              </w:rPr>
                            </w:pPr>
                            <w:r>
                              <w:rPr>
                                <w:spacing w:val="-2"/>
                                <w:sz w:val="17"/>
                              </w:rPr>
                              <w:t>50,79</w:t>
                            </w:r>
                          </w:p>
                        </w:tc>
                        <w:tc>
                          <w:tcPr>
                            <w:tcW w:w="1143" w:type="dxa"/>
                            <w:tcBorders>
                              <w:top w:val="single" w:sz="8" w:space="0" w:color="001F5F"/>
                              <w:bottom w:val="single" w:sz="8" w:space="0" w:color="001F5F"/>
                            </w:tcBorders>
                          </w:tcPr>
                          <w:p>
                            <w:pPr>
                              <w:pStyle w:val="TableParagraph"/>
                              <w:spacing w:before="70"/>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70"/>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70"/>
                              <w:ind w:left="60"/>
                              <w:rPr>
                                <w:sz w:val="17"/>
                              </w:rPr>
                            </w:pPr>
                            <w:r>
                              <w:rPr>
                                <w:sz w:val="17"/>
                              </w:rPr>
                              <w:t>En</w:t>
                            </w:r>
                            <w:r>
                              <w:rPr>
                                <w:spacing w:val="-1"/>
                                <w:sz w:val="17"/>
                              </w:rPr>
                              <w:t> </w:t>
                            </w:r>
                            <w:r>
                              <w:rPr>
                                <w:spacing w:val="-2"/>
                                <w:sz w:val="17"/>
                              </w:rPr>
                              <w:t>ejecución</w:t>
                            </w:r>
                          </w:p>
                        </w:tc>
                      </w:tr>
                      <w:tr>
                        <w:trPr>
                          <w:trHeight w:val="391" w:hRule="atLeast"/>
                        </w:trPr>
                        <w:tc>
                          <w:tcPr>
                            <w:tcW w:w="1981" w:type="dxa"/>
                            <w:tcBorders>
                              <w:top w:val="single" w:sz="8" w:space="0" w:color="001F5F"/>
                            </w:tcBorders>
                          </w:tcPr>
                          <w:p>
                            <w:pPr>
                              <w:pStyle w:val="TableParagraph"/>
                              <w:spacing w:line="194" w:lineRule="exact"/>
                              <w:ind w:left="71" w:right="101"/>
                              <w:rPr>
                                <w:sz w:val="17"/>
                              </w:rPr>
                            </w:pPr>
                            <w:r>
                              <w:rPr>
                                <w:sz w:val="17"/>
                              </w:rPr>
                              <w:t>Digitalización</w:t>
                            </w:r>
                            <w:r>
                              <w:rPr>
                                <w:spacing w:val="-10"/>
                                <w:sz w:val="17"/>
                              </w:rPr>
                              <w:t> </w:t>
                            </w:r>
                            <w:r>
                              <w:rPr>
                                <w:sz w:val="17"/>
                              </w:rPr>
                              <w:t>de</w:t>
                            </w:r>
                            <w:r>
                              <w:rPr>
                                <w:spacing w:val="-10"/>
                                <w:sz w:val="17"/>
                              </w:rPr>
                              <w:t> </w:t>
                            </w:r>
                            <w:r>
                              <w:rPr>
                                <w:sz w:val="17"/>
                              </w:rPr>
                              <w:t>los</w:t>
                            </w:r>
                            <w:r>
                              <w:rPr>
                                <w:spacing w:val="-10"/>
                                <w:sz w:val="17"/>
                              </w:rPr>
                              <w:t> </w:t>
                            </w:r>
                            <w:r>
                              <w:rPr>
                                <w:sz w:val="17"/>
                              </w:rPr>
                              <w:t>medios</w:t>
                            </w:r>
                            <w:r>
                              <w:rPr>
                                <w:spacing w:val="40"/>
                                <w:sz w:val="17"/>
                              </w:rPr>
                              <w:t> </w:t>
                            </w:r>
                            <w:r>
                              <w:rPr>
                                <w:sz w:val="17"/>
                              </w:rPr>
                              <w:t>de pago y eliminación del</w:t>
                            </w:r>
                          </w:p>
                        </w:tc>
                        <w:tc>
                          <w:tcPr>
                            <w:tcW w:w="1146" w:type="dxa"/>
                            <w:tcBorders>
                              <w:top w:val="single" w:sz="8" w:space="0" w:color="001F5F"/>
                            </w:tcBorders>
                          </w:tcPr>
                          <w:p>
                            <w:pPr>
                              <w:pStyle w:val="TableParagraph"/>
                              <w:spacing w:line="178" w:lineRule="exact" w:before="193"/>
                              <w:ind w:left="73"/>
                              <w:rPr>
                                <w:sz w:val="17"/>
                              </w:rPr>
                            </w:pPr>
                            <w:r>
                              <w:rPr>
                                <w:spacing w:val="-2"/>
                                <w:sz w:val="17"/>
                              </w:rPr>
                              <w:t>Digitalización</w:t>
                            </w:r>
                          </w:p>
                        </w:tc>
                        <w:tc>
                          <w:tcPr>
                            <w:tcW w:w="1172" w:type="dxa"/>
                            <w:tcBorders>
                              <w:top w:val="single" w:sz="8" w:space="0" w:color="001F5F"/>
                            </w:tcBorders>
                          </w:tcPr>
                          <w:p>
                            <w:pPr>
                              <w:pStyle w:val="TableParagraph"/>
                              <w:spacing w:line="183" w:lineRule="exact" w:before="188"/>
                              <w:ind w:right="191"/>
                              <w:jc w:val="right"/>
                              <w:rPr>
                                <w:sz w:val="18"/>
                              </w:rPr>
                            </w:pPr>
                            <w:r>
                              <w:rPr>
                                <w:spacing w:val="-2"/>
                                <w:sz w:val="18"/>
                              </w:rPr>
                              <w:t>1.023.644,89</w:t>
                            </w:r>
                          </w:p>
                        </w:tc>
                        <w:tc>
                          <w:tcPr>
                            <w:tcW w:w="697" w:type="dxa"/>
                            <w:tcBorders>
                              <w:top w:val="single" w:sz="8" w:space="0" w:color="001F5F"/>
                            </w:tcBorders>
                          </w:tcPr>
                          <w:p>
                            <w:pPr>
                              <w:pStyle w:val="TableParagraph"/>
                              <w:spacing w:line="178" w:lineRule="exact" w:before="193"/>
                              <w:ind w:left="77" w:right="83"/>
                              <w:jc w:val="center"/>
                              <w:rPr>
                                <w:sz w:val="17"/>
                              </w:rPr>
                            </w:pPr>
                            <w:r>
                              <w:rPr>
                                <w:spacing w:val="-4"/>
                                <w:sz w:val="17"/>
                              </w:rPr>
                              <w:t>2,37</w:t>
                            </w:r>
                          </w:p>
                        </w:tc>
                        <w:tc>
                          <w:tcPr>
                            <w:tcW w:w="1224" w:type="dxa"/>
                            <w:tcBorders>
                              <w:top w:val="single" w:sz="8" w:space="0" w:color="001F5F"/>
                            </w:tcBorders>
                          </w:tcPr>
                          <w:p>
                            <w:pPr>
                              <w:pStyle w:val="TableParagraph"/>
                              <w:spacing w:line="178" w:lineRule="exact" w:before="193"/>
                              <w:ind w:left="249"/>
                              <w:rPr>
                                <w:sz w:val="17"/>
                              </w:rPr>
                            </w:pPr>
                            <w:r>
                              <w:rPr>
                                <w:spacing w:val="-2"/>
                                <w:sz w:val="17"/>
                              </w:rPr>
                              <w:t>126.065,39</w:t>
                            </w:r>
                          </w:p>
                        </w:tc>
                        <w:tc>
                          <w:tcPr>
                            <w:tcW w:w="731" w:type="dxa"/>
                            <w:tcBorders>
                              <w:top w:val="single" w:sz="8" w:space="0" w:color="001F5F"/>
                            </w:tcBorders>
                          </w:tcPr>
                          <w:p>
                            <w:pPr>
                              <w:pStyle w:val="TableParagraph"/>
                              <w:spacing w:line="178" w:lineRule="exact" w:before="193"/>
                              <w:ind w:left="112"/>
                              <w:rPr>
                                <w:sz w:val="17"/>
                              </w:rPr>
                            </w:pPr>
                            <w:r>
                              <w:rPr>
                                <w:spacing w:val="-2"/>
                                <w:sz w:val="17"/>
                              </w:rPr>
                              <w:t>12,32</w:t>
                            </w:r>
                          </w:p>
                        </w:tc>
                        <w:tc>
                          <w:tcPr>
                            <w:tcW w:w="1077" w:type="dxa"/>
                            <w:tcBorders>
                              <w:top w:val="single" w:sz="8" w:space="0" w:color="001F5F"/>
                            </w:tcBorders>
                          </w:tcPr>
                          <w:p>
                            <w:pPr>
                              <w:pStyle w:val="TableParagraph"/>
                              <w:spacing w:line="178" w:lineRule="exact" w:before="193"/>
                              <w:ind w:left="204"/>
                              <w:rPr>
                                <w:sz w:val="17"/>
                              </w:rPr>
                            </w:pPr>
                            <w:r>
                              <w:rPr>
                                <w:spacing w:val="-2"/>
                                <w:sz w:val="17"/>
                              </w:rPr>
                              <w:t>897.579,50</w:t>
                            </w:r>
                          </w:p>
                        </w:tc>
                        <w:tc>
                          <w:tcPr>
                            <w:tcW w:w="687" w:type="dxa"/>
                            <w:tcBorders>
                              <w:top w:val="single" w:sz="8" w:space="0" w:color="001F5F"/>
                            </w:tcBorders>
                          </w:tcPr>
                          <w:p>
                            <w:pPr>
                              <w:pStyle w:val="TableParagraph"/>
                              <w:spacing w:line="178" w:lineRule="exact" w:before="193"/>
                              <w:ind w:left="81"/>
                              <w:rPr>
                                <w:sz w:val="17"/>
                              </w:rPr>
                            </w:pPr>
                            <w:r>
                              <w:rPr>
                                <w:spacing w:val="-2"/>
                                <w:sz w:val="17"/>
                              </w:rPr>
                              <w:t>87,68</w:t>
                            </w:r>
                          </w:p>
                        </w:tc>
                        <w:tc>
                          <w:tcPr>
                            <w:tcW w:w="2681" w:type="dxa"/>
                            <w:gridSpan w:val="3"/>
                            <w:tcBorders>
                              <w:top w:val="single" w:sz="8" w:space="0" w:color="001F5F"/>
                            </w:tcBorders>
                          </w:tcPr>
                          <w:p>
                            <w:pPr>
                              <w:pStyle w:val="TableParagraph"/>
                              <w:tabs>
                                <w:tab w:pos="1242" w:val="left" w:leader="none"/>
                                <w:tab w:pos="1765" w:val="left" w:leader="none"/>
                              </w:tabs>
                              <w:spacing w:line="178" w:lineRule="exact" w:before="193"/>
                              <w:ind w:left="752"/>
                              <w:rPr>
                                <w:sz w:val="17"/>
                              </w:rPr>
                            </w:pPr>
                            <w:r>
                              <w:rPr>
                                <w:spacing w:val="-4"/>
                                <w:sz w:val="17"/>
                              </w:rPr>
                              <w:t>0,00</w:t>
                            </w:r>
                            <w:r>
                              <w:rPr>
                                <w:sz w:val="17"/>
                              </w:rPr>
                              <w:tab/>
                            </w:r>
                            <w:r>
                              <w:rPr>
                                <w:spacing w:val="-4"/>
                                <w:sz w:val="17"/>
                              </w:rPr>
                              <w:t>0,00</w:t>
                            </w:r>
                            <w:r>
                              <w:rPr>
                                <w:sz w:val="17"/>
                              </w:rPr>
                              <w:tab/>
                              <w:t>En</w:t>
                            </w:r>
                            <w:r>
                              <w:rPr>
                                <w:spacing w:val="-1"/>
                                <w:sz w:val="17"/>
                              </w:rPr>
                              <w:t> </w:t>
                            </w:r>
                            <w:r>
                              <w:rPr>
                                <w:spacing w:val="-2"/>
                                <w:sz w:val="17"/>
                              </w:rPr>
                              <w:t>ejecución</w:t>
                            </w:r>
                          </w:p>
                        </w:tc>
                      </w:tr>
                      <w:tr>
                        <w:trPr>
                          <w:trHeight w:val="193" w:hRule="atLeast"/>
                        </w:trPr>
                        <w:tc>
                          <w:tcPr>
                            <w:tcW w:w="1981" w:type="dxa"/>
                            <w:tcBorders>
                              <w:bottom w:val="single" w:sz="8" w:space="0" w:color="001F5F"/>
                            </w:tcBorders>
                          </w:tcPr>
                          <w:p>
                            <w:pPr>
                              <w:pStyle w:val="TableParagraph"/>
                              <w:spacing w:line="173" w:lineRule="exact"/>
                              <w:ind w:left="71"/>
                              <w:rPr>
                                <w:sz w:val="17"/>
                              </w:rPr>
                            </w:pPr>
                            <w:r>
                              <w:rPr>
                                <w:sz w:val="17"/>
                              </w:rPr>
                              <w:t>pago</w:t>
                            </w:r>
                            <w:r>
                              <w:rPr>
                                <w:spacing w:val="-3"/>
                                <w:sz w:val="17"/>
                              </w:rPr>
                              <w:t> </w:t>
                            </w:r>
                            <w:r>
                              <w:rPr>
                                <w:sz w:val="17"/>
                              </w:rPr>
                              <w:t>en</w:t>
                            </w:r>
                            <w:r>
                              <w:rPr>
                                <w:spacing w:val="-2"/>
                                <w:sz w:val="17"/>
                              </w:rPr>
                              <w:t> efectivo</w:t>
                            </w:r>
                          </w:p>
                        </w:tc>
                        <w:tc>
                          <w:tcPr>
                            <w:tcW w:w="1146" w:type="dxa"/>
                            <w:tcBorders>
                              <w:bottom w:val="single" w:sz="8" w:space="0" w:color="001F5F"/>
                            </w:tcBorders>
                          </w:tcPr>
                          <w:p>
                            <w:pPr>
                              <w:pStyle w:val="TableParagraph"/>
                              <w:rPr>
                                <w:rFonts w:ascii="Times New Roman"/>
                                <w:sz w:val="12"/>
                              </w:rPr>
                            </w:pPr>
                          </w:p>
                        </w:tc>
                        <w:tc>
                          <w:tcPr>
                            <w:tcW w:w="1172" w:type="dxa"/>
                            <w:tcBorders>
                              <w:bottom w:val="single" w:sz="8" w:space="0" w:color="001F5F"/>
                            </w:tcBorders>
                          </w:tcPr>
                          <w:p>
                            <w:pPr>
                              <w:pStyle w:val="TableParagraph"/>
                              <w:rPr>
                                <w:rFonts w:ascii="Times New Roman"/>
                                <w:sz w:val="12"/>
                              </w:rPr>
                            </w:pPr>
                          </w:p>
                        </w:tc>
                        <w:tc>
                          <w:tcPr>
                            <w:tcW w:w="697" w:type="dxa"/>
                            <w:tcBorders>
                              <w:bottom w:val="single" w:sz="8" w:space="0" w:color="001F5F"/>
                            </w:tcBorders>
                          </w:tcPr>
                          <w:p>
                            <w:pPr>
                              <w:pStyle w:val="TableParagraph"/>
                              <w:rPr>
                                <w:rFonts w:ascii="Times New Roman"/>
                                <w:sz w:val="12"/>
                              </w:rPr>
                            </w:pPr>
                          </w:p>
                        </w:tc>
                        <w:tc>
                          <w:tcPr>
                            <w:tcW w:w="1224" w:type="dxa"/>
                            <w:tcBorders>
                              <w:bottom w:val="single" w:sz="8" w:space="0" w:color="001F5F"/>
                            </w:tcBorders>
                          </w:tcPr>
                          <w:p>
                            <w:pPr>
                              <w:pStyle w:val="TableParagraph"/>
                              <w:rPr>
                                <w:rFonts w:ascii="Times New Roman"/>
                                <w:sz w:val="12"/>
                              </w:rPr>
                            </w:pPr>
                          </w:p>
                        </w:tc>
                        <w:tc>
                          <w:tcPr>
                            <w:tcW w:w="731" w:type="dxa"/>
                            <w:tcBorders>
                              <w:bottom w:val="single" w:sz="8" w:space="0" w:color="001F5F"/>
                            </w:tcBorders>
                          </w:tcPr>
                          <w:p>
                            <w:pPr>
                              <w:pStyle w:val="TableParagraph"/>
                              <w:rPr>
                                <w:rFonts w:ascii="Times New Roman"/>
                                <w:sz w:val="12"/>
                              </w:rPr>
                            </w:pPr>
                          </w:p>
                        </w:tc>
                        <w:tc>
                          <w:tcPr>
                            <w:tcW w:w="1077" w:type="dxa"/>
                            <w:tcBorders>
                              <w:bottom w:val="single" w:sz="8" w:space="0" w:color="001F5F"/>
                            </w:tcBorders>
                          </w:tcPr>
                          <w:p>
                            <w:pPr>
                              <w:pStyle w:val="TableParagraph"/>
                              <w:rPr>
                                <w:rFonts w:ascii="Times New Roman"/>
                                <w:sz w:val="12"/>
                              </w:rPr>
                            </w:pPr>
                          </w:p>
                        </w:tc>
                        <w:tc>
                          <w:tcPr>
                            <w:tcW w:w="687" w:type="dxa"/>
                            <w:tcBorders>
                              <w:bottom w:val="single" w:sz="8" w:space="0" w:color="001F5F"/>
                            </w:tcBorders>
                          </w:tcPr>
                          <w:p>
                            <w:pPr>
                              <w:pStyle w:val="TableParagraph"/>
                              <w:rPr>
                                <w:rFonts w:ascii="Times New Roman"/>
                                <w:sz w:val="12"/>
                              </w:rPr>
                            </w:pPr>
                          </w:p>
                        </w:tc>
                        <w:tc>
                          <w:tcPr>
                            <w:tcW w:w="2681" w:type="dxa"/>
                            <w:gridSpan w:val="3"/>
                            <w:tcBorders>
                              <w:bottom w:val="single" w:sz="8" w:space="0" w:color="001F5F"/>
                            </w:tcBorders>
                          </w:tcPr>
                          <w:p>
                            <w:pPr>
                              <w:pStyle w:val="TableParagraph"/>
                              <w:rPr>
                                <w:rFonts w:ascii="Times New Roman"/>
                                <w:sz w:val="12"/>
                              </w:rPr>
                            </w:pPr>
                          </w:p>
                        </w:tc>
                      </w:tr>
                      <w:tr>
                        <w:trPr>
                          <w:trHeight w:val="191" w:hRule="atLeast"/>
                        </w:trPr>
                        <w:tc>
                          <w:tcPr>
                            <w:tcW w:w="1981" w:type="dxa"/>
                            <w:tcBorders>
                              <w:top w:val="single" w:sz="8" w:space="0" w:color="001F5F"/>
                            </w:tcBorders>
                          </w:tcPr>
                          <w:p>
                            <w:pPr>
                              <w:pStyle w:val="TableParagraph"/>
                              <w:spacing w:line="171" w:lineRule="exact"/>
                              <w:ind w:left="71"/>
                              <w:rPr>
                                <w:sz w:val="17"/>
                              </w:rPr>
                            </w:pPr>
                            <w:r>
                              <w:rPr>
                                <w:sz w:val="17"/>
                              </w:rPr>
                              <w:t>Digitalización</w:t>
                            </w:r>
                            <w:r>
                              <w:rPr>
                                <w:spacing w:val="-3"/>
                                <w:sz w:val="17"/>
                              </w:rPr>
                              <w:t> </w:t>
                            </w:r>
                            <w:r>
                              <w:rPr>
                                <w:sz w:val="17"/>
                              </w:rPr>
                              <w:t>de</w:t>
                            </w:r>
                            <w:r>
                              <w:rPr>
                                <w:spacing w:val="-4"/>
                                <w:sz w:val="17"/>
                              </w:rPr>
                              <w:t> </w:t>
                            </w:r>
                            <w:r>
                              <w:rPr>
                                <w:sz w:val="17"/>
                              </w:rPr>
                              <w:t>los</w:t>
                            </w:r>
                            <w:r>
                              <w:rPr>
                                <w:spacing w:val="-1"/>
                                <w:sz w:val="17"/>
                              </w:rPr>
                              <w:t> </w:t>
                            </w:r>
                            <w:r>
                              <w:rPr>
                                <w:spacing w:val="-2"/>
                                <w:sz w:val="17"/>
                              </w:rPr>
                              <w:t>sistemas</w:t>
                            </w:r>
                          </w:p>
                        </w:tc>
                        <w:tc>
                          <w:tcPr>
                            <w:tcW w:w="1146" w:type="dxa"/>
                            <w:tcBorders>
                              <w:top w:val="single" w:sz="8" w:space="0" w:color="001F5F"/>
                            </w:tcBorders>
                          </w:tcPr>
                          <w:p>
                            <w:pPr>
                              <w:pStyle w:val="TableParagraph"/>
                              <w:rPr>
                                <w:rFonts w:ascii="Times New Roman"/>
                                <w:sz w:val="12"/>
                              </w:rPr>
                            </w:pPr>
                          </w:p>
                        </w:tc>
                        <w:tc>
                          <w:tcPr>
                            <w:tcW w:w="1172" w:type="dxa"/>
                            <w:tcBorders>
                              <w:top w:val="single" w:sz="8" w:space="0" w:color="001F5F"/>
                            </w:tcBorders>
                          </w:tcPr>
                          <w:p>
                            <w:pPr>
                              <w:pStyle w:val="TableParagraph"/>
                              <w:rPr>
                                <w:rFonts w:ascii="Times New Roman"/>
                                <w:sz w:val="12"/>
                              </w:rPr>
                            </w:pPr>
                          </w:p>
                        </w:tc>
                        <w:tc>
                          <w:tcPr>
                            <w:tcW w:w="697" w:type="dxa"/>
                            <w:tcBorders>
                              <w:top w:val="single" w:sz="8" w:space="0" w:color="001F5F"/>
                            </w:tcBorders>
                          </w:tcPr>
                          <w:p>
                            <w:pPr>
                              <w:pStyle w:val="TableParagraph"/>
                              <w:rPr>
                                <w:rFonts w:ascii="Times New Roman"/>
                                <w:sz w:val="12"/>
                              </w:rPr>
                            </w:pPr>
                          </w:p>
                        </w:tc>
                        <w:tc>
                          <w:tcPr>
                            <w:tcW w:w="1224" w:type="dxa"/>
                            <w:tcBorders>
                              <w:top w:val="single" w:sz="8" w:space="0" w:color="001F5F"/>
                            </w:tcBorders>
                          </w:tcPr>
                          <w:p>
                            <w:pPr>
                              <w:pStyle w:val="TableParagraph"/>
                              <w:rPr>
                                <w:rFonts w:ascii="Times New Roman"/>
                                <w:sz w:val="12"/>
                              </w:rPr>
                            </w:pPr>
                          </w:p>
                        </w:tc>
                        <w:tc>
                          <w:tcPr>
                            <w:tcW w:w="731" w:type="dxa"/>
                            <w:tcBorders>
                              <w:top w:val="single" w:sz="8" w:space="0" w:color="001F5F"/>
                            </w:tcBorders>
                          </w:tcPr>
                          <w:p>
                            <w:pPr>
                              <w:pStyle w:val="TableParagraph"/>
                              <w:rPr>
                                <w:rFonts w:ascii="Times New Roman"/>
                                <w:sz w:val="12"/>
                              </w:rPr>
                            </w:pPr>
                          </w:p>
                        </w:tc>
                        <w:tc>
                          <w:tcPr>
                            <w:tcW w:w="1077" w:type="dxa"/>
                            <w:tcBorders>
                              <w:top w:val="single" w:sz="8" w:space="0" w:color="001F5F"/>
                            </w:tcBorders>
                          </w:tcPr>
                          <w:p>
                            <w:pPr>
                              <w:pStyle w:val="TableParagraph"/>
                              <w:rPr>
                                <w:rFonts w:ascii="Times New Roman"/>
                                <w:sz w:val="12"/>
                              </w:rPr>
                            </w:pPr>
                          </w:p>
                        </w:tc>
                        <w:tc>
                          <w:tcPr>
                            <w:tcW w:w="687" w:type="dxa"/>
                            <w:tcBorders>
                              <w:top w:val="single" w:sz="8" w:space="0" w:color="001F5F"/>
                            </w:tcBorders>
                          </w:tcPr>
                          <w:p>
                            <w:pPr>
                              <w:pStyle w:val="TableParagraph"/>
                              <w:rPr>
                                <w:rFonts w:ascii="Times New Roman"/>
                                <w:sz w:val="12"/>
                              </w:rPr>
                            </w:pPr>
                          </w:p>
                        </w:tc>
                        <w:tc>
                          <w:tcPr>
                            <w:tcW w:w="2681" w:type="dxa"/>
                            <w:gridSpan w:val="3"/>
                            <w:tcBorders>
                              <w:top w:val="single" w:sz="8" w:space="0" w:color="001F5F"/>
                            </w:tcBorders>
                          </w:tcPr>
                          <w:p>
                            <w:pPr>
                              <w:pStyle w:val="TableParagraph"/>
                              <w:rPr>
                                <w:rFonts w:ascii="Times New Roman"/>
                                <w:sz w:val="12"/>
                              </w:rPr>
                            </w:pPr>
                          </w:p>
                        </w:tc>
                      </w:tr>
                      <w:tr>
                        <w:trPr>
                          <w:trHeight w:val="393" w:hRule="atLeast"/>
                        </w:trPr>
                        <w:tc>
                          <w:tcPr>
                            <w:tcW w:w="3127" w:type="dxa"/>
                            <w:gridSpan w:val="2"/>
                            <w:tcBorders>
                              <w:bottom w:val="single" w:sz="8" w:space="0" w:color="001F5F"/>
                            </w:tcBorders>
                          </w:tcPr>
                          <w:p>
                            <w:pPr>
                              <w:pStyle w:val="TableParagraph"/>
                              <w:tabs>
                                <w:tab w:pos="2054" w:val="left" w:leader="none"/>
                              </w:tabs>
                              <w:spacing w:line="190" w:lineRule="atLeast"/>
                              <w:ind w:left="71" w:right="251"/>
                              <w:rPr>
                                <w:sz w:val="17"/>
                              </w:rPr>
                            </w:pPr>
                            <w:r>
                              <w:rPr>
                                <w:sz w:val="17"/>
                              </w:rPr>
                              <w:t>de comunicación de</w:t>
                              <w:tab/>
                            </w:r>
                            <w:r>
                              <w:rPr>
                                <w:spacing w:val="-2"/>
                                <w:sz w:val="17"/>
                              </w:rPr>
                              <w:t>Digitalización</w:t>
                            </w:r>
                            <w:r>
                              <w:rPr>
                                <w:spacing w:val="40"/>
                                <w:sz w:val="17"/>
                              </w:rPr>
                              <w:t> </w:t>
                            </w:r>
                            <w:r>
                              <w:rPr>
                                <w:sz w:val="17"/>
                              </w:rPr>
                              <w:t>información (SAE, Apps,)</w:t>
                            </w:r>
                          </w:p>
                        </w:tc>
                        <w:tc>
                          <w:tcPr>
                            <w:tcW w:w="1172" w:type="dxa"/>
                            <w:tcBorders>
                              <w:bottom w:val="single" w:sz="8" w:space="0" w:color="001F5F"/>
                            </w:tcBorders>
                          </w:tcPr>
                          <w:p>
                            <w:pPr>
                              <w:pStyle w:val="TableParagraph"/>
                              <w:spacing w:line="204" w:lineRule="exact"/>
                              <w:ind w:right="133"/>
                              <w:jc w:val="right"/>
                              <w:rPr>
                                <w:sz w:val="18"/>
                              </w:rPr>
                            </w:pPr>
                            <w:r>
                              <w:rPr>
                                <w:spacing w:val="-2"/>
                                <w:sz w:val="18"/>
                              </w:rPr>
                              <w:t>771.664,67</w:t>
                            </w:r>
                          </w:p>
                        </w:tc>
                        <w:tc>
                          <w:tcPr>
                            <w:tcW w:w="697" w:type="dxa"/>
                            <w:tcBorders>
                              <w:bottom w:val="single" w:sz="8" w:space="0" w:color="001F5F"/>
                            </w:tcBorders>
                          </w:tcPr>
                          <w:p>
                            <w:pPr>
                              <w:pStyle w:val="TableParagraph"/>
                              <w:spacing w:before="1"/>
                              <w:ind w:left="77" w:right="83"/>
                              <w:jc w:val="center"/>
                              <w:rPr>
                                <w:sz w:val="17"/>
                              </w:rPr>
                            </w:pPr>
                            <w:r>
                              <w:rPr>
                                <w:spacing w:val="-4"/>
                                <w:sz w:val="17"/>
                              </w:rPr>
                              <w:t>1,79</w:t>
                            </w:r>
                          </w:p>
                        </w:tc>
                        <w:tc>
                          <w:tcPr>
                            <w:tcW w:w="1224" w:type="dxa"/>
                            <w:tcBorders>
                              <w:bottom w:val="single" w:sz="8" w:space="0" w:color="001F5F"/>
                            </w:tcBorders>
                          </w:tcPr>
                          <w:p>
                            <w:pPr>
                              <w:pStyle w:val="TableParagraph"/>
                              <w:spacing w:before="1"/>
                              <w:ind w:right="117"/>
                              <w:jc w:val="right"/>
                              <w:rPr>
                                <w:sz w:val="17"/>
                              </w:rPr>
                            </w:pPr>
                            <w:r>
                              <w:rPr>
                                <w:spacing w:val="-2"/>
                                <w:sz w:val="17"/>
                              </w:rPr>
                              <w:t>80.643,73</w:t>
                            </w:r>
                          </w:p>
                        </w:tc>
                        <w:tc>
                          <w:tcPr>
                            <w:tcW w:w="731" w:type="dxa"/>
                            <w:tcBorders>
                              <w:bottom w:val="single" w:sz="8" w:space="0" w:color="001F5F"/>
                            </w:tcBorders>
                          </w:tcPr>
                          <w:p>
                            <w:pPr>
                              <w:pStyle w:val="TableParagraph"/>
                              <w:spacing w:before="1"/>
                              <w:ind w:right="178"/>
                              <w:jc w:val="right"/>
                              <w:rPr>
                                <w:sz w:val="17"/>
                              </w:rPr>
                            </w:pPr>
                            <w:r>
                              <w:rPr>
                                <w:spacing w:val="-2"/>
                                <w:sz w:val="17"/>
                              </w:rPr>
                              <w:t>10,45</w:t>
                            </w:r>
                          </w:p>
                        </w:tc>
                        <w:tc>
                          <w:tcPr>
                            <w:tcW w:w="1077" w:type="dxa"/>
                            <w:tcBorders>
                              <w:bottom w:val="single" w:sz="8" w:space="0" w:color="001F5F"/>
                            </w:tcBorders>
                          </w:tcPr>
                          <w:p>
                            <w:pPr>
                              <w:pStyle w:val="TableParagraph"/>
                              <w:spacing w:before="1"/>
                              <w:ind w:right="91"/>
                              <w:jc w:val="right"/>
                              <w:rPr>
                                <w:sz w:val="17"/>
                              </w:rPr>
                            </w:pPr>
                            <w:r>
                              <w:rPr>
                                <w:spacing w:val="-2"/>
                                <w:sz w:val="17"/>
                              </w:rPr>
                              <w:t>691.020,94</w:t>
                            </w:r>
                          </w:p>
                        </w:tc>
                        <w:tc>
                          <w:tcPr>
                            <w:tcW w:w="687" w:type="dxa"/>
                            <w:tcBorders>
                              <w:bottom w:val="single" w:sz="8" w:space="0" w:color="001F5F"/>
                            </w:tcBorders>
                          </w:tcPr>
                          <w:p>
                            <w:pPr>
                              <w:pStyle w:val="TableParagraph"/>
                              <w:spacing w:before="1"/>
                              <w:ind w:left="114"/>
                              <w:rPr>
                                <w:sz w:val="17"/>
                              </w:rPr>
                            </w:pPr>
                            <w:r>
                              <w:rPr>
                                <w:spacing w:val="-2"/>
                                <w:sz w:val="17"/>
                              </w:rPr>
                              <w:t>89,55</w:t>
                            </w:r>
                          </w:p>
                        </w:tc>
                        <w:tc>
                          <w:tcPr>
                            <w:tcW w:w="1143" w:type="dxa"/>
                            <w:tcBorders>
                              <w:bottom w:val="single" w:sz="8" w:space="0" w:color="001F5F"/>
                            </w:tcBorders>
                          </w:tcPr>
                          <w:p>
                            <w:pPr>
                              <w:pStyle w:val="TableParagraph"/>
                              <w:spacing w:before="1"/>
                              <w:ind w:right="118"/>
                              <w:jc w:val="right"/>
                              <w:rPr>
                                <w:sz w:val="17"/>
                              </w:rPr>
                            </w:pPr>
                            <w:r>
                              <w:rPr>
                                <w:spacing w:val="-4"/>
                                <w:sz w:val="17"/>
                              </w:rPr>
                              <w:t>0,00</w:t>
                            </w:r>
                          </w:p>
                        </w:tc>
                        <w:tc>
                          <w:tcPr>
                            <w:tcW w:w="531" w:type="dxa"/>
                            <w:tcBorders>
                              <w:bottom w:val="single" w:sz="8" w:space="0" w:color="001F5F"/>
                            </w:tcBorders>
                          </w:tcPr>
                          <w:p>
                            <w:pPr>
                              <w:pStyle w:val="TableParagraph"/>
                              <w:spacing w:before="1"/>
                              <w:ind w:left="96"/>
                              <w:jc w:val="center"/>
                              <w:rPr>
                                <w:sz w:val="17"/>
                              </w:rPr>
                            </w:pPr>
                            <w:r>
                              <w:rPr>
                                <w:spacing w:val="-4"/>
                                <w:sz w:val="17"/>
                              </w:rPr>
                              <w:t>0,00</w:t>
                            </w:r>
                          </w:p>
                        </w:tc>
                        <w:tc>
                          <w:tcPr>
                            <w:tcW w:w="1007" w:type="dxa"/>
                            <w:tcBorders>
                              <w:bottom w:val="single" w:sz="8" w:space="0" w:color="001F5F"/>
                            </w:tcBorders>
                          </w:tcPr>
                          <w:p>
                            <w:pPr>
                              <w:pStyle w:val="TableParagraph"/>
                              <w:spacing w:before="1"/>
                              <w:ind w:left="60"/>
                              <w:rPr>
                                <w:sz w:val="17"/>
                              </w:rPr>
                            </w:pPr>
                            <w:r>
                              <w:rPr>
                                <w:sz w:val="17"/>
                              </w:rPr>
                              <w:t>En</w:t>
                            </w:r>
                            <w:r>
                              <w:rPr>
                                <w:spacing w:val="-1"/>
                                <w:sz w:val="17"/>
                              </w:rPr>
                              <w:t> </w:t>
                            </w:r>
                            <w:r>
                              <w:rPr>
                                <w:spacing w:val="-2"/>
                                <w:sz w:val="17"/>
                              </w:rPr>
                              <w:t>ejecución</w:t>
                            </w:r>
                          </w:p>
                        </w:tc>
                      </w:tr>
                      <w:tr>
                        <w:trPr>
                          <w:trHeight w:val="340" w:hRule="atLeast"/>
                        </w:trPr>
                        <w:tc>
                          <w:tcPr>
                            <w:tcW w:w="3127" w:type="dxa"/>
                            <w:gridSpan w:val="2"/>
                            <w:tcBorders>
                              <w:top w:val="single" w:sz="8" w:space="0" w:color="001F5F"/>
                              <w:bottom w:val="single" w:sz="8" w:space="0" w:color="001F5F"/>
                            </w:tcBorders>
                          </w:tcPr>
                          <w:p>
                            <w:pPr>
                              <w:pStyle w:val="TableParagraph"/>
                              <w:tabs>
                                <w:tab w:pos="2054" w:val="left" w:leader="none"/>
                              </w:tabs>
                              <w:spacing w:before="70"/>
                              <w:ind w:left="71"/>
                              <w:rPr>
                                <w:sz w:val="17"/>
                              </w:rPr>
                            </w:pPr>
                            <w:r>
                              <w:rPr>
                                <w:sz w:val="17"/>
                              </w:rPr>
                              <w:t>Marquesinas</w:t>
                            </w:r>
                            <w:r>
                              <w:rPr>
                                <w:spacing w:val="-5"/>
                                <w:sz w:val="17"/>
                              </w:rPr>
                              <w:t> </w:t>
                            </w:r>
                            <w:r>
                              <w:rPr>
                                <w:spacing w:val="-2"/>
                                <w:sz w:val="17"/>
                              </w:rPr>
                              <w:t>inteligentes</w:t>
                            </w:r>
                            <w:r>
                              <w:rPr>
                                <w:sz w:val="17"/>
                              </w:rPr>
                              <w:tab/>
                            </w:r>
                            <w:r>
                              <w:rPr>
                                <w:spacing w:val="-2"/>
                                <w:sz w:val="17"/>
                              </w:rPr>
                              <w:t>Digitalización</w:t>
                            </w:r>
                          </w:p>
                        </w:tc>
                        <w:tc>
                          <w:tcPr>
                            <w:tcW w:w="1172" w:type="dxa"/>
                            <w:tcBorders>
                              <w:top w:val="single" w:sz="8" w:space="0" w:color="001F5F"/>
                              <w:bottom w:val="single" w:sz="8" w:space="0" w:color="001F5F"/>
                            </w:tcBorders>
                          </w:tcPr>
                          <w:p>
                            <w:pPr>
                              <w:pStyle w:val="TableParagraph"/>
                              <w:spacing w:before="66"/>
                              <w:ind w:right="133"/>
                              <w:jc w:val="right"/>
                              <w:rPr>
                                <w:sz w:val="18"/>
                              </w:rPr>
                            </w:pPr>
                            <w:r>
                              <w:rPr>
                                <w:spacing w:val="-2"/>
                                <w:sz w:val="18"/>
                              </w:rPr>
                              <w:t>730.765,00</w:t>
                            </w:r>
                          </w:p>
                        </w:tc>
                        <w:tc>
                          <w:tcPr>
                            <w:tcW w:w="697" w:type="dxa"/>
                            <w:tcBorders>
                              <w:top w:val="single" w:sz="8" w:space="0" w:color="001F5F"/>
                              <w:bottom w:val="single" w:sz="8" w:space="0" w:color="001F5F"/>
                            </w:tcBorders>
                          </w:tcPr>
                          <w:p>
                            <w:pPr>
                              <w:pStyle w:val="TableParagraph"/>
                              <w:spacing w:before="70"/>
                              <w:ind w:left="77" w:right="83"/>
                              <w:jc w:val="center"/>
                              <w:rPr>
                                <w:sz w:val="17"/>
                              </w:rPr>
                            </w:pPr>
                            <w:r>
                              <w:rPr>
                                <w:spacing w:val="-4"/>
                                <w:sz w:val="17"/>
                              </w:rPr>
                              <w:t>1,69</w:t>
                            </w:r>
                          </w:p>
                        </w:tc>
                        <w:tc>
                          <w:tcPr>
                            <w:tcW w:w="1224" w:type="dxa"/>
                            <w:tcBorders>
                              <w:top w:val="single" w:sz="8" w:space="0" w:color="001F5F"/>
                              <w:bottom w:val="single" w:sz="8" w:space="0" w:color="001F5F"/>
                            </w:tcBorders>
                          </w:tcPr>
                          <w:p>
                            <w:pPr>
                              <w:pStyle w:val="TableParagraph"/>
                              <w:spacing w:before="70"/>
                              <w:ind w:right="117"/>
                              <w:jc w:val="right"/>
                              <w:rPr>
                                <w:sz w:val="17"/>
                              </w:rPr>
                            </w:pPr>
                            <w:r>
                              <w:rPr>
                                <w:spacing w:val="-2"/>
                                <w:sz w:val="17"/>
                              </w:rPr>
                              <w:t>82.233,47</w:t>
                            </w:r>
                          </w:p>
                        </w:tc>
                        <w:tc>
                          <w:tcPr>
                            <w:tcW w:w="731" w:type="dxa"/>
                            <w:tcBorders>
                              <w:top w:val="single" w:sz="8" w:space="0" w:color="001F5F"/>
                              <w:bottom w:val="single" w:sz="8" w:space="0" w:color="001F5F"/>
                            </w:tcBorders>
                          </w:tcPr>
                          <w:p>
                            <w:pPr>
                              <w:pStyle w:val="TableParagraph"/>
                              <w:spacing w:before="70"/>
                              <w:ind w:right="178"/>
                              <w:jc w:val="right"/>
                              <w:rPr>
                                <w:sz w:val="17"/>
                              </w:rPr>
                            </w:pPr>
                            <w:r>
                              <w:rPr>
                                <w:spacing w:val="-2"/>
                                <w:sz w:val="17"/>
                              </w:rPr>
                              <w:t>11,25</w:t>
                            </w:r>
                          </w:p>
                        </w:tc>
                        <w:tc>
                          <w:tcPr>
                            <w:tcW w:w="1077" w:type="dxa"/>
                            <w:tcBorders>
                              <w:top w:val="single" w:sz="8" w:space="0" w:color="001F5F"/>
                              <w:bottom w:val="single" w:sz="8" w:space="0" w:color="001F5F"/>
                            </w:tcBorders>
                          </w:tcPr>
                          <w:p>
                            <w:pPr>
                              <w:pStyle w:val="TableParagraph"/>
                              <w:spacing w:before="70"/>
                              <w:ind w:right="91"/>
                              <w:jc w:val="right"/>
                              <w:rPr>
                                <w:sz w:val="17"/>
                              </w:rPr>
                            </w:pPr>
                            <w:r>
                              <w:rPr>
                                <w:spacing w:val="-2"/>
                                <w:sz w:val="17"/>
                              </w:rPr>
                              <w:t>648.531,53</w:t>
                            </w:r>
                          </w:p>
                        </w:tc>
                        <w:tc>
                          <w:tcPr>
                            <w:tcW w:w="687" w:type="dxa"/>
                            <w:tcBorders>
                              <w:top w:val="single" w:sz="8" w:space="0" w:color="001F5F"/>
                              <w:bottom w:val="single" w:sz="8" w:space="0" w:color="001F5F"/>
                            </w:tcBorders>
                          </w:tcPr>
                          <w:p>
                            <w:pPr>
                              <w:pStyle w:val="TableParagraph"/>
                              <w:spacing w:before="70"/>
                              <w:ind w:left="114"/>
                              <w:rPr>
                                <w:sz w:val="17"/>
                              </w:rPr>
                            </w:pPr>
                            <w:r>
                              <w:rPr>
                                <w:spacing w:val="-2"/>
                                <w:sz w:val="17"/>
                              </w:rPr>
                              <w:t>88,75</w:t>
                            </w:r>
                          </w:p>
                        </w:tc>
                        <w:tc>
                          <w:tcPr>
                            <w:tcW w:w="1143" w:type="dxa"/>
                            <w:tcBorders>
                              <w:top w:val="single" w:sz="8" w:space="0" w:color="001F5F"/>
                              <w:bottom w:val="single" w:sz="8" w:space="0" w:color="001F5F"/>
                            </w:tcBorders>
                          </w:tcPr>
                          <w:p>
                            <w:pPr>
                              <w:pStyle w:val="TableParagraph"/>
                              <w:spacing w:before="70"/>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70"/>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70"/>
                              <w:ind w:left="60"/>
                              <w:rPr>
                                <w:sz w:val="17"/>
                              </w:rPr>
                            </w:pPr>
                            <w:r>
                              <w:rPr>
                                <w:sz w:val="17"/>
                              </w:rPr>
                              <w:t>En</w:t>
                            </w:r>
                            <w:r>
                              <w:rPr>
                                <w:spacing w:val="-1"/>
                                <w:sz w:val="17"/>
                              </w:rPr>
                              <w:t> </w:t>
                            </w:r>
                            <w:r>
                              <w:rPr>
                                <w:spacing w:val="-2"/>
                                <w:sz w:val="17"/>
                              </w:rPr>
                              <w:t>ejecución</w:t>
                            </w:r>
                          </w:p>
                        </w:tc>
                      </w:tr>
                      <w:tr>
                        <w:trPr>
                          <w:trHeight w:val="584" w:hRule="atLeast"/>
                        </w:trPr>
                        <w:tc>
                          <w:tcPr>
                            <w:tcW w:w="3127" w:type="dxa"/>
                            <w:gridSpan w:val="2"/>
                            <w:tcBorders>
                              <w:top w:val="single" w:sz="8" w:space="0" w:color="001F5F"/>
                              <w:bottom w:val="single" w:sz="8" w:space="0" w:color="001F5F"/>
                            </w:tcBorders>
                          </w:tcPr>
                          <w:p>
                            <w:pPr>
                              <w:pStyle w:val="TableParagraph"/>
                              <w:spacing w:line="194" w:lineRule="exact"/>
                              <w:ind w:left="71"/>
                              <w:rPr>
                                <w:sz w:val="17"/>
                              </w:rPr>
                            </w:pPr>
                            <w:r>
                              <w:rPr>
                                <w:sz w:val="17"/>
                              </w:rPr>
                              <w:t>Digitalización</w:t>
                            </w:r>
                            <w:r>
                              <w:rPr>
                                <w:spacing w:val="-6"/>
                                <w:sz w:val="17"/>
                              </w:rPr>
                              <w:t> </w:t>
                            </w:r>
                            <w:r>
                              <w:rPr>
                                <w:sz w:val="17"/>
                              </w:rPr>
                              <w:t>actividades</w:t>
                            </w:r>
                            <w:r>
                              <w:rPr>
                                <w:spacing w:val="-5"/>
                                <w:sz w:val="17"/>
                              </w:rPr>
                              <w:t> de</w:t>
                            </w:r>
                          </w:p>
                          <w:p>
                            <w:pPr>
                              <w:pStyle w:val="TableParagraph"/>
                              <w:tabs>
                                <w:tab w:pos="2054" w:val="left" w:leader="none"/>
                              </w:tabs>
                              <w:spacing w:line="194" w:lineRule="exact"/>
                              <w:ind w:left="71" w:right="251"/>
                              <w:rPr>
                                <w:sz w:val="17"/>
                              </w:rPr>
                            </w:pPr>
                            <w:r>
                              <w:rPr>
                                <w:sz w:val="17"/>
                              </w:rPr>
                              <w:t>taller y auxiliares para una</w:t>
                              <w:tab/>
                            </w:r>
                            <w:r>
                              <w:rPr>
                                <w:spacing w:val="-2"/>
                                <w:sz w:val="17"/>
                              </w:rPr>
                              <w:t>Digitalización</w:t>
                            </w:r>
                            <w:r>
                              <w:rPr>
                                <w:spacing w:val="40"/>
                                <w:sz w:val="17"/>
                              </w:rPr>
                              <w:t> </w:t>
                            </w:r>
                            <w:r>
                              <w:rPr>
                                <w:sz w:val="17"/>
                              </w:rPr>
                              <w:t>flota</w:t>
                            </w:r>
                            <w:r>
                              <w:rPr>
                                <w:spacing w:val="-6"/>
                                <w:sz w:val="17"/>
                              </w:rPr>
                              <w:t> </w:t>
                            </w:r>
                            <w:r>
                              <w:rPr>
                                <w:sz w:val="17"/>
                              </w:rPr>
                              <w:t>sostenible</w:t>
                            </w:r>
                          </w:p>
                        </w:tc>
                        <w:tc>
                          <w:tcPr>
                            <w:tcW w:w="1172" w:type="dxa"/>
                            <w:tcBorders>
                              <w:top w:val="single" w:sz="8" w:space="0" w:color="001F5F"/>
                              <w:bottom w:val="single" w:sz="8" w:space="0" w:color="001F5F"/>
                            </w:tcBorders>
                          </w:tcPr>
                          <w:p>
                            <w:pPr>
                              <w:pStyle w:val="TableParagraph"/>
                              <w:spacing w:before="188"/>
                              <w:ind w:right="134"/>
                              <w:jc w:val="right"/>
                              <w:rPr>
                                <w:sz w:val="18"/>
                              </w:rPr>
                            </w:pPr>
                            <w:r>
                              <w:rPr>
                                <w:spacing w:val="-2"/>
                                <w:sz w:val="18"/>
                              </w:rPr>
                              <w:t>85.142,01</w:t>
                            </w:r>
                          </w:p>
                        </w:tc>
                        <w:tc>
                          <w:tcPr>
                            <w:tcW w:w="697" w:type="dxa"/>
                            <w:tcBorders>
                              <w:top w:val="single" w:sz="8" w:space="0" w:color="001F5F"/>
                              <w:bottom w:val="single" w:sz="8" w:space="0" w:color="001F5F"/>
                            </w:tcBorders>
                          </w:tcPr>
                          <w:p>
                            <w:pPr>
                              <w:pStyle w:val="TableParagraph"/>
                              <w:rPr>
                                <w:sz w:val="17"/>
                              </w:rPr>
                            </w:pPr>
                          </w:p>
                          <w:p>
                            <w:pPr>
                              <w:pStyle w:val="TableParagraph"/>
                              <w:ind w:left="77" w:right="83"/>
                              <w:jc w:val="center"/>
                              <w:rPr>
                                <w:sz w:val="17"/>
                              </w:rPr>
                            </w:pPr>
                            <w:r>
                              <w:rPr>
                                <w:spacing w:val="-4"/>
                                <w:sz w:val="17"/>
                              </w:rPr>
                              <w:t>0,20</w:t>
                            </w:r>
                          </w:p>
                        </w:tc>
                        <w:tc>
                          <w:tcPr>
                            <w:tcW w:w="1224" w:type="dxa"/>
                            <w:tcBorders>
                              <w:top w:val="single" w:sz="8" w:space="0" w:color="001F5F"/>
                              <w:bottom w:val="single" w:sz="8" w:space="0" w:color="001F5F"/>
                            </w:tcBorders>
                          </w:tcPr>
                          <w:p>
                            <w:pPr>
                              <w:pStyle w:val="TableParagraph"/>
                              <w:rPr>
                                <w:sz w:val="17"/>
                              </w:rPr>
                            </w:pPr>
                          </w:p>
                          <w:p>
                            <w:pPr>
                              <w:pStyle w:val="TableParagraph"/>
                              <w:ind w:right="117"/>
                              <w:jc w:val="right"/>
                              <w:rPr>
                                <w:sz w:val="17"/>
                              </w:rPr>
                            </w:pPr>
                            <w:r>
                              <w:rPr>
                                <w:spacing w:val="-2"/>
                                <w:sz w:val="17"/>
                              </w:rPr>
                              <w:t>8.514,20</w:t>
                            </w:r>
                          </w:p>
                        </w:tc>
                        <w:tc>
                          <w:tcPr>
                            <w:tcW w:w="731" w:type="dxa"/>
                            <w:tcBorders>
                              <w:top w:val="single" w:sz="8" w:space="0" w:color="001F5F"/>
                              <w:bottom w:val="single" w:sz="8" w:space="0" w:color="001F5F"/>
                            </w:tcBorders>
                          </w:tcPr>
                          <w:p>
                            <w:pPr>
                              <w:pStyle w:val="TableParagraph"/>
                              <w:rPr>
                                <w:sz w:val="17"/>
                              </w:rPr>
                            </w:pPr>
                          </w:p>
                          <w:p>
                            <w:pPr>
                              <w:pStyle w:val="TableParagraph"/>
                              <w:ind w:right="178"/>
                              <w:jc w:val="right"/>
                              <w:rPr>
                                <w:sz w:val="17"/>
                              </w:rPr>
                            </w:pPr>
                            <w:r>
                              <w:rPr>
                                <w:spacing w:val="-2"/>
                                <w:sz w:val="17"/>
                              </w:rPr>
                              <w:t>10,00</w:t>
                            </w:r>
                          </w:p>
                        </w:tc>
                        <w:tc>
                          <w:tcPr>
                            <w:tcW w:w="1077" w:type="dxa"/>
                            <w:tcBorders>
                              <w:top w:val="single" w:sz="8" w:space="0" w:color="001F5F"/>
                              <w:bottom w:val="single" w:sz="8" w:space="0" w:color="001F5F"/>
                            </w:tcBorders>
                          </w:tcPr>
                          <w:p>
                            <w:pPr>
                              <w:pStyle w:val="TableParagraph"/>
                              <w:rPr>
                                <w:sz w:val="17"/>
                              </w:rPr>
                            </w:pPr>
                          </w:p>
                          <w:p>
                            <w:pPr>
                              <w:pStyle w:val="TableParagraph"/>
                              <w:ind w:right="91"/>
                              <w:jc w:val="right"/>
                              <w:rPr>
                                <w:sz w:val="17"/>
                              </w:rPr>
                            </w:pPr>
                            <w:r>
                              <w:rPr>
                                <w:spacing w:val="-2"/>
                                <w:sz w:val="17"/>
                              </w:rPr>
                              <w:t>76.627,81</w:t>
                            </w:r>
                          </w:p>
                        </w:tc>
                        <w:tc>
                          <w:tcPr>
                            <w:tcW w:w="687" w:type="dxa"/>
                            <w:tcBorders>
                              <w:top w:val="single" w:sz="8" w:space="0" w:color="001F5F"/>
                              <w:bottom w:val="single" w:sz="8" w:space="0" w:color="001F5F"/>
                            </w:tcBorders>
                          </w:tcPr>
                          <w:p>
                            <w:pPr>
                              <w:pStyle w:val="TableParagraph"/>
                              <w:rPr>
                                <w:sz w:val="17"/>
                              </w:rPr>
                            </w:pPr>
                          </w:p>
                          <w:p>
                            <w:pPr>
                              <w:pStyle w:val="TableParagraph"/>
                              <w:ind w:left="114"/>
                              <w:rPr>
                                <w:sz w:val="17"/>
                              </w:rPr>
                            </w:pPr>
                            <w:r>
                              <w:rPr>
                                <w:spacing w:val="-2"/>
                                <w:sz w:val="17"/>
                              </w:rPr>
                              <w:t>90,00</w:t>
                            </w:r>
                          </w:p>
                        </w:tc>
                        <w:tc>
                          <w:tcPr>
                            <w:tcW w:w="1143" w:type="dxa"/>
                            <w:tcBorders>
                              <w:top w:val="single" w:sz="8" w:space="0" w:color="001F5F"/>
                              <w:bottom w:val="single" w:sz="8" w:space="0" w:color="001F5F"/>
                            </w:tcBorders>
                          </w:tcPr>
                          <w:p>
                            <w:pPr>
                              <w:pStyle w:val="TableParagraph"/>
                              <w:rPr>
                                <w:sz w:val="17"/>
                              </w:rPr>
                            </w:pPr>
                          </w:p>
                          <w:p>
                            <w:pPr>
                              <w:pStyle w:val="TableParagraph"/>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rPr>
                                <w:sz w:val="17"/>
                              </w:rPr>
                            </w:pPr>
                          </w:p>
                          <w:p>
                            <w:pPr>
                              <w:pStyle w:val="TableParagraph"/>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rPr>
                                <w:sz w:val="17"/>
                              </w:rPr>
                            </w:pPr>
                          </w:p>
                          <w:p>
                            <w:pPr>
                              <w:pStyle w:val="TableParagraph"/>
                              <w:ind w:left="60"/>
                              <w:rPr>
                                <w:sz w:val="17"/>
                              </w:rPr>
                            </w:pPr>
                            <w:r>
                              <w:rPr>
                                <w:sz w:val="17"/>
                              </w:rPr>
                              <w:t>En</w:t>
                            </w:r>
                            <w:r>
                              <w:rPr>
                                <w:spacing w:val="-1"/>
                                <w:sz w:val="17"/>
                              </w:rPr>
                              <w:t> </w:t>
                            </w:r>
                            <w:r>
                              <w:rPr>
                                <w:spacing w:val="-2"/>
                                <w:sz w:val="17"/>
                              </w:rPr>
                              <w:t>ejecución</w:t>
                            </w:r>
                          </w:p>
                        </w:tc>
                      </w:tr>
                      <w:tr>
                        <w:trPr>
                          <w:trHeight w:val="782" w:hRule="atLeast"/>
                        </w:trPr>
                        <w:tc>
                          <w:tcPr>
                            <w:tcW w:w="3127" w:type="dxa"/>
                            <w:gridSpan w:val="2"/>
                            <w:tcBorders>
                              <w:top w:val="single" w:sz="8" w:space="0" w:color="001F5F"/>
                              <w:bottom w:val="single" w:sz="8" w:space="0" w:color="001F5F"/>
                            </w:tcBorders>
                          </w:tcPr>
                          <w:p>
                            <w:pPr>
                              <w:pStyle w:val="TableParagraph"/>
                              <w:spacing w:line="194" w:lineRule="exact"/>
                              <w:ind w:left="71"/>
                              <w:rPr>
                                <w:sz w:val="17"/>
                              </w:rPr>
                            </w:pPr>
                            <w:r>
                              <w:rPr>
                                <w:sz w:val="17"/>
                              </w:rPr>
                              <w:t>Sistema</w:t>
                            </w:r>
                            <w:r>
                              <w:rPr>
                                <w:spacing w:val="-5"/>
                                <w:sz w:val="17"/>
                              </w:rPr>
                              <w:t> de</w:t>
                            </w:r>
                          </w:p>
                          <w:p>
                            <w:pPr>
                              <w:pStyle w:val="TableParagraph"/>
                              <w:tabs>
                                <w:tab w:pos="2054" w:val="left" w:leader="none"/>
                              </w:tabs>
                              <w:spacing w:line="290" w:lineRule="atLeast"/>
                              <w:ind w:left="71" w:right="251"/>
                              <w:rPr>
                                <w:sz w:val="17"/>
                              </w:rPr>
                            </w:pPr>
                            <w:r>
                              <w:rPr>
                                <w:sz w:val="17"/>
                              </w:rPr>
                              <w:t>antiemparejamiento de</w:t>
                              <w:tab/>
                            </w:r>
                            <w:r>
                              <w:rPr>
                                <w:spacing w:val="-2"/>
                                <w:position w:val="-9"/>
                                <w:sz w:val="17"/>
                              </w:rPr>
                              <w:t>Digitalización</w:t>
                            </w:r>
                            <w:r>
                              <w:rPr>
                                <w:spacing w:val="40"/>
                                <w:position w:val="-9"/>
                                <w:sz w:val="17"/>
                              </w:rPr>
                              <w:t> </w:t>
                            </w:r>
                            <w:r>
                              <w:rPr>
                                <w:spacing w:val="-2"/>
                                <w:sz w:val="17"/>
                              </w:rPr>
                              <w:t>eficiente</w:t>
                            </w:r>
                          </w:p>
                        </w:tc>
                        <w:tc>
                          <w:tcPr>
                            <w:tcW w:w="1172" w:type="dxa"/>
                            <w:tcBorders>
                              <w:top w:val="single" w:sz="8" w:space="0" w:color="001F5F"/>
                              <w:bottom w:val="single" w:sz="8" w:space="0" w:color="001F5F"/>
                            </w:tcBorders>
                          </w:tcPr>
                          <w:p>
                            <w:pPr>
                              <w:pStyle w:val="TableParagraph"/>
                              <w:spacing w:before="80"/>
                              <w:rPr>
                                <w:sz w:val="18"/>
                              </w:rPr>
                            </w:pPr>
                          </w:p>
                          <w:p>
                            <w:pPr>
                              <w:pStyle w:val="TableParagraph"/>
                              <w:ind w:right="133"/>
                              <w:jc w:val="right"/>
                              <w:rPr>
                                <w:sz w:val="18"/>
                              </w:rPr>
                            </w:pPr>
                            <w:r>
                              <w:rPr>
                                <w:spacing w:val="-2"/>
                                <w:sz w:val="18"/>
                              </w:rPr>
                              <w:t>197.452,93</w:t>
                            </w:r>
                          </w:p>
                        </w:tc>
                        <w:tc>
                          <w:tcPr>
                            <w:tcW w:w="697" w:type="dxa"/>
                            <w:tcBorders>
                              <w:top w:val="single" w:sz="8" w:space="0" w:color="001F5F"/>
                              <w:bottom w:val="single" w:sz="8" w:space="0" w:color="001F5F"/>
                            </w:tcBorders>
                          </w:tcPr>
                          <w:p>
                            <w:pPr>
                              <w:pStyle w:val="TableParagraph"/>
                              <w:spacing w:before="96"/>
                              <w:rPr>
                                <w:sz w:val="17"/>
                              </w:rPr>
                            </w:pPr>
                          </w:p>
                          <w:p>
                            <w:pPr>
                              <w:pStyle w:val="TableParagraph"/>
                              <w:spacing w:before="1"/>
                              <w:ind w:left="77" w:right="83"/>
                              <w:jc w:val="center"/>
                              <w:rPr>
                                <w:sz w:val="17"/>
                              </w:rPr>
                            </w:pPr>
                            <w:r>
                              <w:rPr>
                                <w:spacing w:val="-4"/>
                                <w:sz w:val="17"/>
                              </w:rPr>
                              <w:t>0,46</w:t>
                            </w:r>
                          </w:p>
                        </w:tc>
                        <w:tc>
                          <w:tcPr>
                            <w:tcW w:w="1224" w:type="dxa"/>
                            <w:tcBorders>
                              <w:top w:val="single" w:sz="8" w:space="0" w:color="001F5F"/>
                              <w:bottom w:val="single" w:sz="8" w:space="0" w:color="001F5F"/>
                            </w:tcBorders>
                          </w:tcPr>
                          <w:p>
                            <w:pPr>
                              <w:pStyle w:val="TableParagraph"/>
                              <w:spacing w:before="96"/>
                              <w:rPr>
                                <w:sz w:val="17"/>
                              </w:rPr>
                            </w:pPr>
                          </w:p>
                          <w:p>
                            <w:pPr>
                              <w:pStyle w:val="TableParagraph"/>
                              <w:spacing w:before="1"/>
                              <w:ind w:right="117"/>
                              <w:jc w:val="right"/>
                              <w:rPr>
                                <w:sz w:val="17"/>
                              </w:rPr>
                            </w:pPr>
                            <w:r>
                              <w:rPr>
                                <w:spacing w:val="-2"/>
                                <w:sz w:val="17"/>
                              </w:rPr>
                              <w:t>21.161,38</w:t>
                            </w:r>
                          </w:p>
                        </w:tc>
                        <w:tc>
                          <w:tcPr>
                            <w:tcW w:w="731" w:type="dxa"/>
                            <w:tcBorders>
                              <w:top w:val="single" w:sz="8" w:space="0" w:color="001F5F"/>
                              <w:bottom w:val="single" w:sz="8" w:space="0" w:color="001F5F"/>
                            </w:tcBorders>
                          </w:tcPr>
                          <w:p>
                            <w:pPr>
                              <w:pStyle w:val="TableParagraph"/>
                              <w:spacing w:before="96"/>
                              <w:rPr>
                                <w:sz w:val="17"/>
                              </w:rPr>
                            </w:pPr>
                          </w:p>
                          <w:p>
                            <w:pPr>
                              <w:pStyle w:val="TableParagraph"/>
                              <w:spacing w:before="1"/>
                              <w:ind w:right="178"/>
                              <w:jc w:val="right"/>
                              <w:rPr>
                                <w:sz w:val="17"/>
                              </w:rPr>
                            </w:pPr>
                            <w:r>
                              <w:rPr>
                                <w:spacing w:val="-2"/>
                                <w:sz w:val="17"/>
                              </w:rPr>
                              <w:t>10,72</w:t>
                            </w:r>
                          </w:p>
                        </w:tc>
                        <w:tc>
                          <w:tcPr>
                            <w:tcW w:w="1077" w:type="dxa"/>
                            <w:tcBorders>
                              <w:top w:val="single" w:sz="8" w:space="0" w:color="001F5F"/>
                              <w:bottom w:val="single" w:sz="8" w:space="0" w:color="001F5F"/>
                            </w:tcBorders>
                          </w:tcPr>
                          <w:p>
                            <w:pPr>
                              <w:pStyle w:val="TableParagraph"/>
                              <w:spacing w:before="96"/>
                              <w:rPr>
                                <w:sz w:val="17"/>
                              </w:rPr>
                            </w:pPr>
                          </w:p>
                          <w:p>
                            <w:pPr>
                              <w:pStyle w:val="TableParagraph"/>
                              <w:spacing w:before="1"/>
                              <w:ind w:right="91"/>
                              <w:jc w:val="right"/>
                              <w:rPr>
                                <w:sz w:val="17"/>
                              </w:rPr>
                            </w:pPr>
                            <w:r>
                              <w:rPr>
                                <w:spacing w:val="-2"/>
                                <w:sz w:val="17"/>
                              </w:rPr>
                              <w:t>176.291,55</w:t>
                            </w:r>
                          </w:p>
                        </w:tc>
                        <w:tc>
                          <w:tcPr>
                            <w:tcW w:w="687" w:type="dxa"/>
                            <w:tcBorders>
                              <w:top w:val="single" w:sz="8" w:space="0" w:color="001F5F"/>
                              <w:bottom w:val="single" w:sz="8" w:space="0" w:color="001F5F"/>
                            </w:tcBorders>
                          </w:tcPr>
                          <w:p>
                            <w:pPr>
                              <w:pStyle w:val="TableParagraph"/>
                              <w:spacing w:before="96"/>
                              <w:rPr>
                                <w:sz w:val="17"/>
                              </w:rPr>
                            </w:pPr>
                          </w:p>
                          <w:p>
                            <w:pPr>
                              <w:pStyle w:val="TableParagraph"/>
                              <w:spacing w:before="1"/>
                              <w:ind w:left="114"/>
                              <w:rPr>
                                <w:sz w:val="17"/>
                              </w:rPr>
                            </w:pPr>
                            <w:r>
                              <w:rPr>
                                <w:spacing w:val="-2"/>
                                <w:sz w:val="17"/>
                              </w:rPr>
                              <w:t>89,28</w:t>
                            </w:r>
                          </w:p>
                        </w:tc>
                        <w:tc>
                          <w:tcPr>
                            <w:tcW w:w="1143" w:type="dxa"/>
                            <w:tcBorders>
                              <w:top w:val="single" w:sz="8" w:space="0" w:color="001F5F"/>
                              <w:bottom w:val="single" w:sz="8" w:space="0" w:color="001F5F"/>
                            </w:tcBorders>
                          </w:tcPr>
                          <w:p>
                            <w:pPr>
                              <w:pStyle w:val="TableParagraph"/>
                              <w:spacing w:before="96"/>
                              <w:rPr>
                                <w:sz w:val="17"/>
                              </w:rPr>
                            </w:pPr>
                          </w:p>
                          <w:p>
                            <w:pPr>
                              <w:pStyle w:val="TableParagraph"/>
                              <w:spacing w:before="1"/>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96"/>
                              <w:rPr>
                                <w:sz w:val="17"/>
                              </w:rPr>
                            </w:pPr>
                          </w:p>
                          <w:p>
                            <w:pPr>
                              <w:pStyle w:val="TableParagraph"/>
                              <w:spacing w:before="1"/>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96"/>
                              <w:rPr>
                                <w:sz w:val="17"/>
                              </w:rPr>
                            </w:pPr>
                          </w:p>
                          <w:p>
                            <w:pPr>
                              <w:pStyle w:val="TableParagraph"/>
                              <w:spacing w:before="1"/>
                              <w:ind w:left="60"/>
                              <w:rPr>
                                <w:sz w:val="17"/>
                              </w:rPr>
                            </w:pPr>
                            <w:r>
                              <w:rPr>
                                <w:sz w:val="17"/>
                              </w:rPr>
                              <w:t>En</w:t>
                            </w:r>
                            <w:r>
                              <w:rPr>
                                <w:spacing w:val="-1"/>
                                <w:sz w:val="17"/>
                              </w:rPr>
                              <w:t> </w:t>
                            </w:r>
                            <w:r>
                              <w:rPr>
                                <w:spacing w:val="-2"/>
                                <w:sz w:val="17"/>
                              </w:rPr>
                              <w:t>ejecución</w:t>
                            </w:r>
                          </w:p>
                        </w:tc>
                      </w:tr>
                      <w:tr>
                        <w:trPr>
                          <w:trHeight w:val="491" w:hRule="atLeast"/>
                        </w:trPr>
                        <w:tc>
                          <w:tcPr>
                            <w:tcW w:w="3127" w:type="dxa"/>
                            <w:gridSpan w:val="2"/>
                            <w:tcBorders>
                              <w:top w:val="single" w:sz="8" w:space="0" w:color="001F5F"/>
                            </w:tcBorders>
                          </w:tcPr>
                          <w:p>
                            <w:pPr>
                              <w:pStyle w:val="TableParagraph"/>
                              <w:spacing w:line="193" w:lineRule="exact"/>
                              <w:ind w:left="71"/>
                              <w:rPr>
                                <w:sz w:val="17"/>
                              </w:rPr>
                            </w:pPr>
                            <w:r>
                              <w:rPr>
                                <w:sz w:val="17"/>
                              </w:rPr>
                              <w:t>Sistema</w:t>
                            </w:r>
                            <w:r>
                              <w:rPr>
                                <w:spacing w:val="-4"/>
                                <w:sz w:val="17"/>
                              </w:rPr>
                              <w:t> </w:t>
                            </w:r>
                            <w:r>
                              <w:rPr>
                                <w:sz w:val="17"/>
                              </w:rPr>
                              <w:t>de</w:t>
                            </w:r>
                            <w:r>
                              <w:rPr>
                                <w:spacing w:val="-3"/>
                                <w:sz w:val="17"/>
                              </w:rPr>
                              <w:t> </w:t>
                            </w:r>
                            <w:r>
                              <w:rPr>
                                <w:sz w:val="17"/>
                              </w:rPr>
                              <w:t>control de</w:t>
                            </w:r>
                            <w:r>
                              <w:rPr>
                                <w:spacing w:val="-3"/>
                                <w:sz w:val="17"/>
                              </w:rPr>
                              <w:t> </w:t>
                            </w:r>
                            <w:r>
                              <w:rPr>
                                <w:spacing w:val="-2"/>
                                <w:sz w:val="17"/>
                              </w:rPr>
                              <w:t>aforos</w:t>
                            </w:r>
                          </w:p>
                          <w:p>
                            <w:pPr>
                              <w:pStyle w:val="TableParagraph"/>
                              <w:tabs>
                                <w:tab w:pos="2054" w:val="left" w:leader="none"/>
                              </w:tabs>
                              <w:spacing w:line="208" w:lineRule="auto" w:before="6"/>
                              <w:ind w:left="71"/>
                              <w:rPr>
                                <w:position w:val="-9"/>
                                <w:sz w:val="17"/>
                              </w:rPr>
                            </w:pPr>
                            <w:r>
                              <w:rPr>
                                <w:sz w:val="17"/>
                              </w:rPr>
                              <w:t>y</w:t>
                            </w:r>
                            <w:r>
                              <w:rPr>
                                <w:spacing w:val="-4"/>
                                <w:sz w:val="17"/>
                              </w:rPr>
                              <w:t> </w:t>
                            </w:r>
                            <w:r>
                              <w:rPr>
                                <w:sz w:val="17"/>
                              </w:rPr>
                              <w:t>cálculo</w:t>
                            </w:r>
                            <w:r>
                              <w:rPr>
                                <w:spacing w:val="-1"/>
                                <w:sz w:val="17"/>
                              </w:rPr>
                              <w:t> </w:t>
                            </w:r>
                            <w:r>
                              <w:rPr>
                                <w:sz w:val="17"/>
                              </w:rPr>
                              <w:t>de</w:t>
                            </w:r>
                            <w:r>
                              <w:rPr>
                                <w:spacing w:val="-4"/>
                                <w:sz w:val="17"/>
                              </w:rPr>
                              <w:t> </w:t>
                            </w:r>
                            <w:r>
                              <w:rPr>
                                <w:sz w:val="17"/>
                              </w:rPr>
                              <w:t>matrices </w:t>
                            </w:r>
                            <w:r>
                              <w:rPr>
                                <w:spacing w:val="-2"/>
                                <w:sz w:val="17"/>
                              </w:rPr>
                              <w:t>origen-</w:t>
                            </w:r>
                            <w:r>
                              <w:rPr>
                                <w:sz w:val="17"/>
                              </w:rPr>
                              <w:tab/>
                            </w:r>
                            <w:r>
                              <w:rPr>
                                <w:spacing w:val="-2"/>
                                <w:position w:val="-9"/>
                                <w:sz w:val="17"/>
                              </w:rPr>
                              <w:t>Digitalización</w:t>
                            </w:r>
                          </w:p>
                        </w:tc>
                        <w:tc>
                          <w:tcPr>
                            <w:tcW w:w="1172" w:type="dxa"/>
                            <w:tcBorders>
                              <w:top w:val="single" w:sz="8" w:space="0" w:color="001F5F"/>
                            </w:tcBorders>
                          </w:tcPr>
                          <w:p>
                            <w:pPr>
                              <w:pStyle w:val="TableParagraph"/>
                              <w:spacing w:before="78"/>
                              <w:rPr>
                                <w:sz w:val="18"/>
                              </w:rPr>
                            </w:pPr>
                          </w:p>
                          <w:p>
                            <w:pPr>
                              <w:pStyle w:val="TableParagraph"/>
                              <w:spacing w:line="187" w:lineRule="exact"/>
                              <w:ind w:right="133"/>
                              <w:jc w:val="right"/>
                              <w:rPr>
                                <w:sz w:val="18"/>
                              </w:rPr>
                            </w:pPr>
                            <w:r>
                              <w:rPr>
                                <w:spacing w:val="-2"/>
                                <w:sz w:val="18"/>
                              </w:rPr>
                              <w:t>126.758,43</w:t>
                            </w:r>
                          </w:p>
                        </w:tc>
                        <w:tc>
                          <w:tcPr>
                            <w:tcW w:w="697" w:type="dxa"/>
                            <w:tcBorders>
                              <w:top w:val="single" w:sz="8" w:space="0" w:color="001F5F"/>
                            </w:tcBorders>
                          </w:tcPr>
                          <w:p>
                            <w:pPr>
                              <w:pStyle w:val="TableParagraph"/>
                              <w:spacing w:before="96"/>
                              <w:rPr>
                                <w:sz w:val="17"/>
                              </w:rPr>
                            </w:pPr>
                          </w:p>
                          <w:p>
                            <w:pPr>
                              <w:pStyle w:val="TableParagraph"/>
                              <w:spacing w:line="180" w:lineRule="exact"/>
                              <w:ind w:left="77" w:right="83"/>
                              <w:jc w:val="center"/>
                              <w:rPr>
                                <w:sz w:val="17"/>
                              </w:rPr>
                            </w:pPr>
                            <w:r>
                              <w:rPr>
                                <w:spacing w:val="-4"/>
                                <w:sz w:val="17"/>
                              </w:rPr>
                              <w:t>0,29</w:t>
                            </w:r>
                          </w:p>
                        </w:tc>
                        <w:tc>
                          <w:tcPr>
                            <w:tcW w:w="1224" w:type="dxa"/>
                            <w:tcBorders>
                              <w:top w:val="single" w:sz="8" w:space="0" w:color="001F5F"/>
                            </w:tcBorders>
                          </w:tcPr>
                          <w:p>
                            <w:pPr>
                              <w:pStyle w:val="TableParagraph"/>
                              <w:spacing w:before="96"/>
                              <w:rPr>
                                <w:sz w:val="17"/>
                              </w:rPr>
                            </w:pPr>
                          </w:p>
                          <w:p>
                            <w:pPr>
                              <w:pStyle w:val="TableParagraph"/>
                              <w:spacing w:line="180" w:lineRule="exact"/>
                              <w:ind w:right="117"/>
                              <w:jc w:val="right"/>
                              <w:rPr>
                                <w:sz w:val="17"/>
                              </w:rPr>
                            </w:pPr>
                            <w:r>
                              <w:rPr>
                                <w:spacing w:val="-2"/>
                                <w:sz w:val="17"/>
                              </w:rPr>
                              <w:t>37.072,67</w:t>
                            </w:r>
                          </w:p>
                        </w:tc>
                        <w:tc>
                          <w:tcPr>
                            <w:tcW w:w="731" w:type="dxa"/>
                            <w:tcBorders>
                              <w:top w:val="single" w:sz="8" w:space="0" w:color="001F5F"/>
                            </w:tcBorders>
                          </w:tcPr>
                          <w:p>
                            <w:pPr>
                              <w:pStyle w:val="TableParagraph"/>
                              <w:spacing w:before="96"/>
                              <w:rPr>
                                <w:sz w:val="17"/>
                              </w:rPr>
                            </w:pPr>
                          </w:p>
                          <w:p>
                            <w:pPr>
                              <w:pStyle w:val="TableParagraph"/>
                              <w:spacing w:line="180" w:lineRule="exact"/>
                              <w:ind w:right="178"/>
                              <w:jc w:val="right"/>
                              <w:rPr>
                                <w:sz w:val="17"/>
                              </w:rPr>
                            </w:pPr>
                            <w:r>
                              <w:rPr>
                                <w:spacing w:val="-2"/>
                                <w:sz w:val="17"/>
                              </w:rPr>
                              <w:t>29,25</w:t>
                            </w:r>
                          </w:p>
                        </w:tc>
                        <w:tc>
                          <w:tcPr>
                            <w:tcW w:w="1077" w:type="dxa"/>
                            <w:tcBorders>
                              <w:top w:val="single" w:sz="8" w:space="0" w:color="001F5F"/>
                            </w:tcBorders>
                          </w:tcPr>
                          <w:p>
                            <w:pPr>
                              <w:pStyle w:val="TableParagraph"/>
                              <w:spacing w:before="96"/>
                              <w:rPr>
                                <w:sz w:val="17"/>
                              </w:rPr>
                            </w:pPr>
                          </w:p>
                          <w:p>
                            <w:pPr>
                              <w:pStyle w:val="TableParagraph"/>
                              <w:spacing w:line="180" w:lineRule="exact"/>
                              <w:ind w:right="91"/>
                              <w:jc w:val="right"/>
                              <w:rPr>
                                <w:sz w:val="17"/>
                              </w:rPr>
                            </w:pPr>
                            <w:r>
                              <w:rPr>
                                <w:spacing w:val="-2"/>
                                <w:sz w:val="17"/>
                              </w:rPr>
                              <w:t>89.685,76</w:t>
                            </w:r>
                          </w:p>
                        </w:tc>
                        <w:tc>
                          <w:tcPr>
                            <w:tcW w:w="687" w:type="dxa"/>
                            <w:tcBorders>
                              <w:top w:val="single" w:sz="8" w:space="0" w:color="001F5F"/>
                            </w:tcBorders>
                          </w:tcPr>
                          <w:p>
                            <w:pPr>
                              <w:pStyle w:val="TableParagraph"/>
                              <w:spacing w:before="96"/>
                              <w:rPr>
                                <w:sz w:val="17"/>
                              </w:rPr>
                            </w:pPr>
                          </w:p>
                          <w:p>
                            <w:pPr>
                              <w:pStyle w:val="TableParagraph"/>
                              <w:spacing w:line="180" w:lineRule="exact"/>
                              <w:ind w:left="114"/>
                              <w:rPr>
                                <w:sz w:val="17"/>
                              </w:rPr>
                            </w:pPr>
                            <w:r>
                              <w:rPr>
                                <w:spacing w:val="-2"/>
                                <w:sz w:val="17"/>
                              </w:rPr>
                              <w:t>70,75</w:t>
                            </w:r>
                          </w:p>
                        </w:tc>
                        <w:tc>
                          <w:tcPr>
                            <w:tcW w:w="1143" w:type="dxa"/>
                            <w:tcBorders>
                              <w:top w:val="single" w:sz="8" w:space="0" w:color="001F5F"/>
                            </w:tcBorders>
                          </w:tcPr>
                          <w:p>
                            <w:pPr>
                              <w:pStyle w:val="TableParagraph"/>
                              <w:spacing w:before="96"/>
                              <w:rPr>
                                <w:sz w:val="17"/>
                              </w:rPr>
                            </w:pPr>
                          </w:p>
                          <w:p>
                            <w:pPr>
                              <w:pStyle w:val="TableParagraph"/>
                              <w:spacing w:line="180" w:lineRule="exact"/>
                              <w:ind w:right="118"/>
                              <w:jc w:val="right"/>
                              <w:rPr>
                                <w:sz w:val="17"/>
                              </w:rPr>
                            </w:pPr>
                            <w:r>
                              <w:rPr>
                                <w:spacing w:val="-4"/>
                                <w:sz w:val="17"/>
                              </w:rPr>
                              <w:t>0,00</w:t>
                            </w:r>
                          </w:p>
                        </w:tc>
                        <w:tc>
                          <w:tcPr>
                            <w:tcW w:w="531" w:type="dxa"/>
                            <w:tcBorders>
                              <w:top w:val="single" w:sz="8" w:space="0" w:color="001F5F"/>
                            </w:tcBorders>
                          </w:tcPr>
                          <w:p>
                            <w:pPr>
                              <w:pStyle w:val="TableParagraph"/>
                              <w:spacing w:before="96"/>
                              <w:rPr>
                                <w:sz w:val="17"/>
                              </w:rPr>
                            </w:pPr>
                          </w:p>
                          <w:p>
                            <w:pPr>
                              <w:pStyle w:val="TableParagraph"/>
                              <w:spacing w:line="180" w:lineRule="exact"/>
                              <w:ind w:left="96"/>
                              <w:jc w:val="center"/>
                              <w:rPr>
                                <w:sz w:val="17"/>
                              </w:rPr>
                            </w:pPr>
                            <w:r>
                              <w:rPr>
                                <w:spacing w:val="-4"/>
                                <w:sz w:val="17"/>
                              </w:rPr>
                              <w:t>0,00</w:t>
                            </w:r>
                          </w:p>
                        </w:tc>
                        <w:tc>
                          <w:tcPr>
                            <w:tcW w:w="1007" w:type="dxa"/>
                            <w:tcBorders>
                              <w:top w:val="single" w:sz="8" w:space="0" w:color="001F5F"/>
                            </w:tcBorders>
                          </w:tcPr>
                          <w:p>
                            <w:pPr>
                              <w:pStyle w:val="TableParagraph"/>
                              <w:spacing w:before="96"/>
                              <w:rPr>
                                <w:sz w:val="17"/>
                              </w:rPr>
                            </w:pPr>
                          </w:p>
                          <w:p>
                            <w:pPr>
                              <w:pStyle w:val="TableParagraph"/>
                              <w:spacing w:line="180" w:lineRule="exact"/>
                              <w:ind w:left="60"/>
                              <w:rPr>
                                <w:sz w:val="17"/>
                              </w:rPr>
                            </w:pPr>
                            <w:r>
                              <w:rPr>
                                <w:sz w:val="17"/>
                              </w:rPr>
                              <w:t>En</w:t>
                            </w:r>
                            <w:r>
                              <w:rPr>
                                <w:spacing w:val="-1"/>
                                <w:sz w:val="17"/>
                              </w:rPr>
                              <w:t> </w:t>
                            </w:r>
                            <w:r>
                              <w:rPr>
                                <w:spacing w:val="-2"/>
                                <w:sz w:val="17"/>
                              </w:rPr>
                              <w:t>ejecución</w:t>
                            </w:r>
                          </w:p>
                        </w:tc>
                      </w:tr>
                      <w:tr>
                        <w:trPr>
                          <w:trHeight w:val="694" w:hRule="atLeast"/>
                        </w:trPr>
                        <w:tc>
                          <w:tcPr>
                            <w:tcW w:w="1981" w:type="dxa"/>
                          </w:tcPr>
                          <w:p>
                            <w:pPr>
                              <w:pStyle w:val="TableParagraph"/>
                              <w:spacing w:before="93"/>
                              <w:ind w:left="71"/>
                              <w:rPr>
                                <w:sz w:val="17"/>
                              </w:rPr>
                            </w:pPr>
                            <w:r>
                              <w:rPr>
                                <w:spacing w:val="-2"/>
                                <w:sz w:val="17"/>
                              </w:rPr>
                              <w:t>estimación</w:t>
                            </w:r>
                          </w:p>
                          <w:p>
                            <w:pPr>
                              <w:pStyle w:val="TableParagraph"/>
                              <w:spacing w:line="190" w:lineRule="atLeast"/>
                              <w:ind w:left="71" w:right="101"/>
                              <w:rPr>
                                <w:sz w:val="17"/>
                              </w:rPr>
                            </w:pPr>
                            <w:r>
                              <w:rPr>
                                <w:sz w:val="17"/>
                              </w:rPr>
                              <w:t>Sistemas</w:t>
                            </w:r>
                            <w:r>
                              <w:rPr>
                                <w:spacing w:val="-10"/>
                                <w:sz w:val="17"/>
                              </w:rPr>
                              <w:t> </w:t>
                            </w:r>
                            <w:r>
                              <w:rPr>
                                <w:sz w:val="17"/>
                              </w:rPr>
                              <w:t>de</w:t>
                            </w:r>
                            <w:r>
                              <w:rPr>
                                <w:spacing w:val="-10"/>
                                <w:sz w:val="17"/>
                              </w:rPr>
                              <w:t> </w:t>
                            </w:r>
                            <w:r>
                              <w:rPr>
                                <w:sz w:val="17"/>
                              </w:rPr>
                              <w:t>sensorización</w:t>
                            </w:r>
                            <w:r>
                              <w:rPr>
                                <w:spacing w:val="-10"/>
                                <w:sz w:val="17"/>
                              </w:rPr>
                              <w:t> </w:t>
                            </w:r>
                            <w:r>
                              <w:rPr>
                                <w:sz w:val="17"/>
                              </w:rPr>
                              <w:t>y</w:t>
                            </w:r>
                            <w:r>
                              <w:rPr>
                                <w:spacing w:val="40"/>
                                <w:sz w:val="17"/>
                              </w:rPr>
                              <w:t> </w:t>
                            </w:r>
                            <w:r>
                              <w:rPr>
                                <w:sz w:val="17"/>
                              </w:rPr>
                              <w:t>monitorización de los</w:t>
                            </w:r>
                          </w:p>
                        </w:tc>
                        <w:tc>
                          <w:tcPr>
                            <w:tcW w:w="1146" w:type="dxa"/>
                          </w:tcPr>
                          <w:p>
                            <w:pPr>
                              <w:pStyle w:val="TableParagraph"/>
                              <w:rPr>
                                <w:rFonts w:ascii="Times New Roman"/>
                                <w:sz w:val="16"/>
                              </w:rPr>
                            </w:pPr>
                          </w:p>
                        </w:tc>
                        <w:tc>
                          <w:tcPr>
                            <w:tcW w:w="1172" w:type="dxa"/>
                          </w:tcPr>
                          <w:p>
                            <w:pPr>
                              <w:pStyle w:val="TableParagraph"/>
                              <w:rPr>
                                <w:rFonts w:ascii="Times New Roman"/>
                                <w:sz w:val="16"/>
                              </w:rPr>
                            </w:pPr>
                          </w:p>
                        </w:tc>
                        <w:tc>
                          <w:tcPr>
                            <w:tcW w:w="697" w:type="dxa"/>
                          </w:tcPr>
                          <w:p>
                            <w:pPr>
                              <w:pStyle w:val="TableParagraph"/>
                              <w:rPr>
                                <w:rFonts w:ascii="Times New Roman"/>
                                <w:sz w:val="16"/>
                              </w:rPr>
                            </w:pPr>
                          </w:p>
                        </w:tc>
                        <w:tc>
                          <w:tcPr>
                            <w:tcW w:w="1224" w:type="dxa"/>
                          </w:tcPr>
                          <w:p>
                            <w:pPr>
                              <w:pStyle w:val="TableParagraph"/>
                              <w:rPr>
                                <w:rFonts w:ascii="Times New Roman"/>
                                <w:sz w:val="16"/>
                              </w:rPr>
                            </w:pPr>
                          </w:p>
                        </w:tc>
                        <w:tc>
                          <w:tcPr>
                            <w:tcW w:w="731" w:type="dxa"/>
                          </w:tcPr>
                          <w:p>
                            <w:pPr>
                              <w:pStyle w:val="TableParagraph"/>
                              <w:rPr>
                                <w:rFonts w:ascii="Times New Roman"/>
                                <w:sz w:val="16"/>
                              </w:rPr>
                            </w:pPr>
                          </w:p>
                        </w:tc>
                        <w:tc>
                          <w:tcPr>
                            <w:tcW w:w="1077" w:type="dxa"/>
                          </w:tcPr>
                          <w:p>
                            <w:pPr>
                              <w:pStyle w:val="TableParagraph"/>
                              <w:rPr>
                                <w:rFonts w:ascii="Times New Roman"/>
                                <w:sz w:val="16"/>
                              </w:rPr>
                            </w:pPr>
                          </w:p>
                        </w:tc>
                        <w:tc>
                          <w:tcPr>
                            <w:tcW w:w="687" w:type="dxa"/>
                          </w:tcPr>
                          <w:p>
                            <w:pPr>
                              <w:pStyle w:val="TableParagraph"/>
                              <w:rPr>
                                <w:rFonts w:ascii="Times New Roman"/>
                                <w:sz w:val="16"/>
                              </w:rPr>
                            </w:pPr>
                          </w:p>
                        </w:tc>
                        <w:tc>
                          <w:tcPr>
                            <w:tcW w:w="1143" w:type="dxa"/>
                          </w:tcPr>
                          <w:p>
                            <w:pPr>
                              <w:pStyle w:val="TableParagraph"/>
                              <w:rPr>
                                <w:rFonts w:ascii="Times New Roman"/>
                                <w:sz w:val="16"/>
                              </w:rPr>
                            </w:pPr>
                          </w:p>
                        </w:tc>
                        <w:tc>
                          <w:tcPr>
                            <w:tcW w:w="531" w:type="dxa"/>
                          </w:tcPr>
                          <w:p>
                            <w:pPr>
                              <w:pStyle w:val="TableParagraph"/>
                              <w:rPr>
                                <w:rFonts w:ascii="Times New Roman"/>
                                <w:sz w:val="16"/>
                              </w:rPr>
                            </w:pPr>
                          </w:p>
                        </w:tc>
                        <w:tc>
                          <w:tcPr>
                            <w:tcW w:w="1007" w:type="dxa"/>
                          </w:tcPr>
                          <w:p>
                            <w:pPr>
                              <w:pStyle w:val="TableParagraph"/>
                              <w:rPr>
                                <w:rFonts w:ascii="Times New Roman"/>
                                <w:sz w:val="16"/>
                              </w:rPr>
                            </w:pPr>
                          </w:p>
                        </w:tc>
                      </w:tr>
                      <w:tr>
                        <w:trPr>
                          <w:trHeight w:val="588" w:hRule="atLeast"/>
                        </w:trPr>
                        <w:tc>
                          <w:tcPr>
                            <w:tcW w:w="3127" w:type="dxa"/>
                            <w:gridSpan w:val="2"/>
                            <w:tcBorders>
                              <w:bottom w:val="single" w:sz="8" w:space="0" w:color="001F5F"/>
                            </w:tcBorders>
                          </w:tcPr>
                          <w:p>
                            <w:pPr>
                              <w:pStyle w:val="TableParagraph"/>
                              <w:tabs>
                                <w:tab w:pos="2054" w:val="left" w:leader="none"/>
                              </w:tabs>
                              <w:spacing w:before="3"/>
                              <w:ind w:left="71" w:right="251"/>
                              <w:rPr>
                                <w:sz w:val="17"/>
                              </w:rPr>
                            </w:pPr>
                            <w:r>
                              <w:rPr>
                                <w:sz w:val="17"/>
                              </w:rPr>
                              <w:t>autobuses (rampas</w:t>
                              <w:tab/>
                            </w:r>
                            <w:r>
                              <w:rPr>
                                <w:spacing w:val="-2"/>
                                <w:sz w:val="17"/>
                              </w:rPr>
                              <w:t>Digitalización</w:t>
                            </w:r>
                            <w:r>
                              <w:rPr>
                                <w:spacing w:val="40"/>
                                <w:sz w:val="17"/>
                              </w:rPr>
                              <w:t> </w:t>
                            </w:r>
                            <w:r>
                              <w:rPr>
                                <w:sz w:val="17"/>
                              </w:rPr>
                              <w:t>inteligentes, contaje viajeros,</w:t>
                            </w:r>
                          </w:p>
                          <w:p>
                            <w:pPr>
                              <w:pStyle w:val="TableParagraph"/>
                              <w:spacing w:line="176" w:lineRule="exact"/>
                              <w:ind w:left="71"/>
                              <w:rPr>
                                <w:sz w:val="17"/>
                              </w:rPr>
                            </w:pPr>
                            <w:r>
                              <w:rPr>
                                <w:sz w:val="17"/>
                              </w:rPr>
                              <w:t>presión</w:t>
                            </w:r>
                            <w:r>
                              <w:rPr>
                                <w:spacing w:val="-5"/>
                                <w:sz w:val="17"/>
                              </w:rPr>
                              <w:t> </w:t>
                            </w:r>
                            <w:r>
                              <w:rPr>
                                <w:sz w:val="17"/>
                              </w:rPr>
                              <w:t>neumáticos,</w:t>
                            </w:r>
                            <w:r>
                              <w:rPr>
                                <w:spacing w:val="-5"/>
                                <w:sz w:val="17"/>
                              </w:rPr>
                              <w:t> AC)</w:t>
                            </w:r>
                          </w:p>
                        </w:tc>
                        <w:tc>
                          <w:tcPr>
                            <w:tcW w:w="1172" w:type="dxa"/>
                            <w:tcBorders>
                              <w:bottom w:val="single" w:sz="8" w:space="0" w:color="001F5F"/>
                            </w:tcBorders>
                          </w:tcPr>
                          <w:p>
                            <w:pPr>
                              <w:pStyle w:val="TableParagraph"/>
                              <w:spacing w:line="202" w:lineRule="exact"/>
                              <w:ind w:right="133"/>
                              <w:jc w:val="right"/>
                              <w:rPr>
                                <w:sz w:val="18"/>
                              </w:rPr>
                            </w:pPr>
                            <w:r>
                              <w:rPr>
                                <w:spacing w:val="-2"/>
                                <w:sz w:val="18"/>
                              </w:rPr>
                              <w:t>237.595,00</w:t>
                            </w:r>
                          </w:p>
                        </w:tc>
                        <w:tc>
                          <w:tcPr>
                            <w:tcW w:w="697" w:type="dxa"/>
                            <w:tcBorders>
                              <w:bottom w:val="single" w:sz="8" w:space="0" w:color="001F5F"/>
                            </w:tcBorders>
                          </w:tcPr>
                          <w:p>
                            <w:pPr>
                              <w:pStyle w:val="TableParagraph"/>
                              <w:spacing w:before="3"/>
                              <w:ind w:left="77" w:right="83"/>
                              <w:jc w:val="center"/>
                              <w:rPr>
                                <w:sz w:val="17"/>
                              </w:rPr>
                            </w:pPr>
                            <w:r>
                              <w:rPr>
                                <w:spacing w:val="-4"/>
                                <w:sz w:val="17"/>
                              </w:rPr>
                              <w:t>0,55</w:t>
                            </w:r>
                          </w:p>
                        </w:tc>
                        <w:tc>
                          <w:tcPr>
                            <w:tcW w:w="1224" w:type="dxa"/>
                            <w:tcBorders>
                              <w:bottom w:val="single" w:sz="8" w:space="0" w:color="001F5F"/>
                            </w:tcBorders>
                          </w:tcPr>
                          <w:p>
                            <w:pPr>
                              <w:pStyle w:val="TableParagraph"/>
                              <w:spacing w:before="3"/>
                              <w:ind w:right="117"/>
                              <w:jc w:val="right"/>
                              <w:rPr>
                                <w:sz w:val="17"/>
                              </w:rPr>
                            </w:pPr>
                            <w:r>
                              <w:rPr>
                                <w:spacing w:val="-2"/>
                                <w:sz w:val="17"/>
                              </w:rPr>
                              <w:t>23.759,50</w:t>
                            </w:r>
                          </w:p>
                        </w:tc>
                        <w:tc>
                          <w:tcPr>
                            <w:tcW w:w="731" w:type="dxa"/>
                            <w:tcBorders>
                              <w:bottom w:val="single" w:sz="8" w:space="0" w:color="001F5F"/>
                            </w:tcBorders>
                          </w:tcPr>
                          <w:p>
                            <w:pPr>
                              <w:pStyle w:val="TableParagraph"/>
                              <w:spacing w:before="3"/>
                              <w:ind w:right="178"/>
                              <w:jc w:val="right"/>
                              <w:rPr>
                                <w:sz w:val="17"/>
                              </w:rPr>
                            </w:pPr>
                            <w:r>
                              <w:rPr>
                                <w:spacing w:val="-2"/>
                                <w:sz w:val="17"/>
                              </w:rPr>
                              <w:t>10,00</w:t>
                            </w:r>
                          </w:p>
                        </w:tc>
                        <w:tc>
                          <w:tcPr>
                            <w:tcW w:w="1077" w:type="dxa"/>
                            <w:tcBorders>
                              <w:bottom w:val="single" w:sz="8" w:space="0" w:color="001F5F"/>
                            </w:tcBorders>
                          </w:tcPr>
                          <w:p>
                            <w:pPr>
                              <w:pStyle w:val="TableParagraph"/>
                              <w:spacing w:before="3"/>
                              <w:ind w:right="91"/>
                              <w:jc w:val="right"/>
                              <w:rPr>
                                <w:sz w:val="17"/>
                              </w:rPr>
                            </w:pPr>
                            <w:r>
                              <w:rPr>
                                <w:spacing w:val="-2"/>
                                <w:sz w:val="17"/>
                              </w:rPr>
                              <w:t>213.835,50</w:t>
                            </w:r>
                          </w:p>
                        </w:tc>
                        <w:tc>
                          <w:tcPr>
                            <w:tcW w:w="687" w:type="dxa"/>
                            <w:tcBorders>
                              <w:bottom w:val="single" w:sz="8" w:space="0" w:color="001F5F"/>
                            </w:tcBorders>
                          </w:tcPr>
                          <w:p>
                            <w:pPr>
                              <w:pStyle w:val="TableParagraph"/>
                              <w:spacing w:before="3"/>
                              <w:ind w:left="114"/>
                              <w:rPr>
                                <w:sz w:val="17"/>
                              </w:rPr>
                            </w:pPr>
                            <w:r>
                              <w:rPr>
                                <w:spacing w:val="-2"/>
                                <w:sz w:val="17"/>
                              </w:rPr>
                              <w:t>90,00</w:t>
                            </w:r>
                          </w:p>
                        </w:tc>
                        <w:tc>
                          <w:tcPr>
                            <w:tcW w:w="1143" w:type="dxa"/>
                            <w:tcBorders>
                              <w:bottom w:val="single" w:sz="8" w:space="0" w:color="001F5F"/>
                            </w:tcBorders>
                          </w:tcPr>
                          <w:p>
                            <w:pPr>
                              <w:pStyle w:val="TableParagraph"/>
                              <w:spacing w:before="3"/>
                              <w:ind w:right="118"/>
                              <w:jc w:val="right"/>
                              <w:rPr>
                                <w:sz w:val="17"/>
                              </w:rPr>
                            </w:pPr>
                            <w:r>
                              <w:rPr>
                                <w:spacing w:val="-4"/>
                                <w:sz w:val="17"/>
                              </w:rPr>
                              <w:t>0,00</w:t>
                            </w:r>
                          </w:p>
                        </w:tc>
                        <w:tc>
                          <w:tcPr>
                            <w:tcW w:w="531" w:type="dxa"/>
                            <w:tcBorders>
                              <w:bottom w:val="single" w:sz="8" w:space="0" w:color="001F5F"/>
                            </w:tcBorders>
                          </w:tcPr>
                          <w:p>
                            <w:pPr>
                              <w:pStyle w:val="TableParagraph"/>
                              <w:spacing w:before="3"/>
                              <w:ind w:left="96"/>
                              <w:jc w:val="center"/>
                              <w:rPr>
                                <w:sz w:val="17"/>
                              </w:rPr>
                            </w:pPr>
                            <w:r>
                              <w:rPr>
                                <w:spacing w:val="-4"/>
                                <w:sz w:val="17"/>
                              </w:rPr>
                              <w:t>0,00</w:t>
                            </w:r>
                          </w:p>
                        </w:tc>
                        <w:tc>
                          <w:tcPr>
                            <w:tcW w:w="1007" w:type="dxa"/>
                            <w:tcBorders>
                              <w:bottom w:val="single" w:sz="8" w:space="0" w:color="001F5F"/>
                            </w:tcBorders>
                          </w:tcPr>
                          <w:p>
                            <w:pPr>
                              <w:pStyle w:val="TableParagraph"/>
                              <w:spacing w:before="3"/>
                              <w:ind w:left="60"/>
                              <w:rPr>
                                <w:sz w:val="17"/>
                              </w:rPr>
                            </w:pPr>
                            <w:r>
                              <w:rPr>
                                <w:sz w:val="17"/>
                              </w:rPr>
                              <w:t>En</w:t>
                            </w:r>
                            <w:r>
                              <w:rPr>
                                <w:spacing w:val="-1"/>
                                <w:sz w:val="17"/>
                              </w:rPr>
                              <w:t> </w:t>
                            </w:r>
                            <w:r>
                              <w:rPr>
                                <w:spacing w:val="-2"/>
                                <w:sz w:val="17"/>
                              </w:rPr>
                              <w:t>ejecución</w:t>
                            </w:r>
                          </w:p>
                        </w:tc>
                      </w:tr>
                      <w:tr>
                        <w:trPr>
                          <w:trHeight w:val="779" w:hRule="atLeast"/>
                        </w:trPr>
                        <w:tc>
                          <w:tcPr>
                            <w:tcW w:w="3127" w:type="dxa"/>
                            <w:gridSpan w:val="2"/>
                            <w:tcBorders>
                              <w:top w:val="single" w:sz="8" w:space="0" w:color="001F5F"/>
                              <w:bottom w:val="single" w:sz="8" w:space="0" w:color="001F5F"/>
                            </w:tcBorders>
                          </w:tcPr>
                          <w:p>
                            <w:pPr>
                              <w:pStyle w:val="TableParagraph"/>
                              <w:spacing w:line="193" w:lineRule="exact"/>
                              <w:ind w:left="71"/>
                              <w:rPr>
                                <w:sz w:val="17"/>
                              </w:rPr>
                            </w:pPr>
                            <w:r>
                              <w:rPr>
                                <w:sz w:val="17"/>
                              </w:rPr>
                              <w:t>Sistemas</w:t>
                            </w:r>
                            <w:r>
                              <w:rPr>
                                <w:spacing w:val="-3"/>
                                <w:sz w:val="17"/>
                              </w:rPr>
                              <w:t> </w:t>
                            </w:r>
                            <w:r>
                              <w:rPr>
                                <w:sz w:val="17"/>
                              </w:rPr>
                              <w:t>de</w:t>
                            </w:r>
                            <w:r>
                              <w:rPr>
                                <w:spacing w:val="-3"/>
                                <w:sz w:val="17"/>
                              </w:rPr>
                              <w:t> </w:t>
                            </w:r>
                            <w:r>
                              <w:rPr>
                                <w:sz w:val="17"/>
                              </w:rPr>
                              <w:t>predicción</w:t>
                            </w:r>
                            <w:r>
                              <w:rPr>
                                <w:spacing w:val="-2"/>
                                <w:sz w:val="17"/>
                              </w:rPr>
                              <w:t> </w:t>
                            </w:r>
                            <w:r>
                              <w:rPr>
                                <w:sz w:val="17"/>
                              </w:rPr>
                              <w:t>a</w:t>
                            </w:r>
                            <w:r>
                              <w:rPr>
                                <w:spacing w:val="-3"/>
                                <w:sz w:val="17"/>
                              </w:rPr>
                              <w:t> </w:t>
                            </w:r>
                            <w:r>
                              <w:rPr>
                                <w:spacing w:val="-5"/>
                                <w:sz w:val="17"/>
                              </w:rPr>
                              <w:t>la</w:t>
                            </w:r>
                          </w:p>
                          <w:p>
                            <w:pPr>
                              <w:pStyle w:val="TableParagraph"/>
                              <w:tabs>
                                <w:tab w:pos="2054" w:val="left" w:leader="none"/>
                              </w:tabs>
                              <w:ind w:left="71"/>
                              <w:rPr>
                                <w:position w:val="-9"/>
                                <w:sz w:val="17"/>
                              </w:rPr>
                            </w:pPr>
                            <w:r>
                              <w:rPr>
                                <w:sz w:val="17"/>
                              </w:rPr>
                              <w:t>demanda</w:t>
                            </w:r>
                            <w:r>
                              <w:rPr>
                                <w:spacing w:val="-4"/>
                                <w:sz w:val="17"/>
                              </w:rPr>
                              <w:t> </w:t>
                            </w:r>
                            <w:r>
                              <w:rPr>
                                <w:sz w:val="17"/>
                              </w:rPr>
                              <w:t>y</w:t>
                            </w:r>
                            <w:r>
                              <w:rPr>
                                <w:spacing w:val="-2"/>
                                <w:sz w:val="17"/>
                              </w:rPr>
                              <w:t> </w:t>
                            </w:r>
                            <w:r>
                              <w:rPr>
                                <w:sz w:val="17"/>
                              </w:rPr>
                              <w:t>sensorización</w:t>
                            </w:r>
                            <w:r>
                              <w:rPr>
                                <w:spacing w:val="-3"/>
                                <w:sz w:val="17"/>
                              </w:rPr>
                              <w:t> </w:t>
                            </w:r>
                            <w:r>
                              <w:rPr>
                                <w:spacing w:val="-5"/>
                                <w:sz w:val="17"/>
                              </w:rPr>
                              <w:t>de</w:t>
                            </w:r>
                            <w:r>
                              <w:rPr>
                                <w:sz w:val="17"/>
                              </w:rPr>
                              <w:tab/>
                            </w:r>
                            <w:r>
                              <w:rPr>
                                <w:spacing w:val="-2"/>
                                <w:position w:val="-9"/>
                                <w:sz w:val="17"/>
                              </w:rPr>
                              <w:t>Digitalización</w:t>
                            </w:r>
                          </w:p>
                          <w:p>
                            <w:pPr>
                              <w:pStyle w:val="TableParagraph"/>
                              <w:spacing w:line="175" w:lineRule="exact" w:before="95"/>
                              <w:ind w:left="71"/>
                              <w:rPr>
                                <w:sz w:val="17"/>
                              </w:rPr>
                            </w:pPr>
                            <w:r>
                              <w:rPr>
                                <w:sz w:val="17"/>
                              </w:rPr>
                              <w:t>tiempo</w:t>
                            </w:r>
                            <w:r>
                              <w:rPr>
                                <w:spacing w:val="-3"/>
                                <w:sz w:val="17"/>
                              </w:rPr>
                              <w:t> </w:t>
                            </w:r>
                            <w:r>
                              <w:rPr>
                                <w:spacing w:val="-4"/>
                                <w:sz w:val="17"/>
                              </w:rPr>
                              <w:t>real</w:t>
                            </w:r>
                          </w:p>
                        </w:tc>
                        <w:tc>
                          <w:tcPr>
                            <w:tcW w:w="1172" w:type="dxa"/>
                            <w:tcBorders>
                              <w:top w:val="single" w:sz="8" w:space="0" w:color="001F5F"/>
                              <w:bottom w:val="single" w:sz="8" w:space="0" w:color="001F5F"/>
                            </w:tcBorders>
                          </w:tcPr>
                          <w:p>
                            <w:pPr>
                              <w:pStyle w:val="TableParagraph"/>
                              <w:spacing w:before="80"/>
                              <w:rPr>
                                <w:sz w:val="18"/>
                              </w:rPr>
                            </w:pPr>
                          </w:p>
                          <w:p>
                            <w:pPr>
                              <w:pStyle w:val="TableParagraph"/>
                              <w:ind w:right="133"/>
                              <w:jc w:val="right"/>
                              <w:rPr>
                                <w:sz w:val="18"/>
                              </w:rPr>
                            </w:pPr>
                            <w:r>
                              <w:rPr>
                                <w:spacing w:val="-2"/>
                                <w:sz w:val="18"/>
                              </w:rPr>
                              <w:t>122.759,75</w:t>
                            </w:r>
                          </w:p>
                        </w:tc>
                        <w:tc>
                          <w:tcPr>
                            <w:tcW w:w="697" w:type="dxa"/>
                            <w:tcBorders>
                              <w:top w:val="single" w:sz="8" w:space="0" w:color="001F5F"/>
                              <w:bottom w:val="single" w:sz="8" w:space="0" w:color="001F5F"/>
                            </w:tcBorders>
                          </w:tcPr>
                          <w:p>
                            <w:pPr>
                              <w:pStyle w:val="TableParagraph"/>
                              <w:spacing w:before="96"/>
                              <w:rPr>
                                <w:sz w:val="17"/>
                              </w:rPr>
                            </w:pPr>
                          </w:p>
                          <w:p>
                            <w:pPr>
                              <w:pStyle w:val="TableParagraph"/>
                              <w:ind w:left="77" w:right="83"/>
                              <w:jc w:val="center"/>
                              <w:rPr>
                                <w:sz w:val="17"/>
                              </w:rPr>
                            </w:pPr>
                            <w:r>
                              <w:rPr>
                                <w:spacing w:val="-4"/>
                                <w:sz w:val="17"/>
                              </w:rPr>
                              <w:t>0,28</w:t>
                            </w:r>
                          </w:p>
                        </w:tc>
                        <w:tc>
                          <w:tcPr>
                            <w:tcW w:w="1224" w:type="dxa"/>
                            <w:tcBorders>
                              <w:top w:val="single" w:sz="8" w:space="0" w:color="001F5F"/>
                              <w:bottom w:val="single" w:sz="8" w:space="0" w:color="001F5F"/>
                            </w:tcBorders>
                          </w:tcPr>
                          <w:p>
                            <w:pPr>
                              <w:pStyle w:val="TableParagraph"/>
                              <w:spacing w:before="96"/>
                              <w:rPr>
                                <w:sz w:val="17"/>
                              </w:rPr>
                            </w:pPr>
                          </w:p>
                          <w:p>
                            <w:pPr>
                              <w:pStyle w:val="TableParagraph"/>
                              <w:ind w:right="117"/>
                              <w:jc w:val="right"/>
                              <w:rPr>
                                <w:sz w:val="17"/>
                              </w:rPr>
                            </w:pPr>
                            <w:r>
                              <w:rPr>
                                <w:spacing w:val="-2"/>
                                <w:sz w:val="17"/>
                              </w:rPr>
                              <w:t>12.275,97</w:t>
                            </w:r>
                          </w:p>
                        </w:tc>
                        <w:tc>
                          <w:tcPr>
                            <w:tcW w:w="731" w:type="dxa"/>
                            <w:tcBorders>
                              <w:top w:val="single" w:sz="8" w:space="0" w:color="001F5F"/>
                              <w:bottom w:val="single" w:sz="8" w:space="0" w:color="001F5F"/>
                            </w:tcBorders>
                          </w:tcPr>
                          <w:p>
                            <w:pPr>
                              <w:pStyle w:val="TableParagraph"/>
                              <w:spacing w:before="96"/>
                              <w:rPr>
                                <w:sz w:val="17"/>
                              </w:rPr>
                            </w:pPr>
                          </w:p>
                          <w:p>
                            <w:pPr>
                              <w:pStyle w:val="TableParagraph"/>
                              <w:ind w:right="178"/>
                              <w:jc w:val="right"/>
                              <w:rPr>
                                <w:sz w:val="17"/>
                              </w:rPr>
                            </w:pPr>
                            <w:r>
                              <w:rPr>
                                <w:spacing w:val="-2"/>
                                <w:sz w:val="17"/>
                              </w:rPr>
                              <w:t>10,00</w:t>
                            </w:r>
                          </w:p>
                        </w:tc>
                        <w:tc>
                          <w:tcPr>
                            <w:tcW w:w="1077" w:type="dxa"/>
                            <w:tcBorders>
                              <w:top w:val="single" w:sz="8" w:space="0" w:color="001F5F"/>
                              <w:bottom w:val="single" w:sz="8" w:space="0" w:color="001F5F"/>
                            </w:tcBorders>
                          </w:tcPr>
                          <w:p>
                            <w:pPr>
                              <w:pStyle w:val="TableParagraph"/>
                              <w:spacing w:before="96"/>
                              <w:rPr>
                                <w:sz w:val="17"/>
                              </w:rPr>
                            </w:pPr>
                          </w:p>
                          <w:p>
                            <w:pPr>
                              <w:pStyle w:val="TableParagraph"/>
                              <w:ind w:right="91"/>
                              <w:jc w:val="right"/>
                              <w:rPr>
                                <w:sz w:val="17"/>
                              </w:rPr>
                            </w:pPr>
                            <w:r>
                              <w:rPr>
                                <w:spacing w:val="-2"/>
                                <w:sz w:val="17"/>
                              </w:rPr>
                              <w:t>110.483,78</w:t>
                            </w:r>
                          </w:p>
                        </w:tc>
                        <w:tc>
                          <w:tcPr>
                            <w:tcW w:w="687" w:type="dxa"/>
                            <w:tcBorders>
                              <w:top w:val="single" w:sz="8" w:space="0" w:color="001F5F"/>
                              <w:bottom w:val="single" w:sz="8" w:space="0" w:color="001F5F"/>
                            </w:tcBorders>
                          </w:tcPr>
                          <w:p>
                            <w:pPr>
                              <w:pStyle w:val="TableParagraph"/>
                              <w:spacing w:before="96"/>
                              <w:rPr>
                                <w:sz w:val="17"/>
                              </w:rPr>
                            </w:pPr>
                          </w:p>
                          <w:p>
                            <w:pPr>
                              <w:pStyle w:val="TableParagraph"/>
                              <w:ind w:left="114"/>
                              <w:rPr>
                                <w:sz w:val="17"/>
                              </w:rPr>
                            </w:pPr>
                            <w:r>
                              <w:rPr>
                                <w:spacing w:val="-2"/>
                                <w:sz w:val="17"/>
                              </w:rPr>
                              <w:t>90,00</w:t>
                            </w:r>
                          </w:p>
                        </w:tc>
                        <w:tc>
                          <w:tcPr>
                            <w:tcW w:w="1143" w:type="dxa"/>
                            <w:tcBorders>
                              <w:top w:val="single" w:sz="8" w:space="0" w:color="001F5F"/>
                              <w:bottom w:val="single" w:sz="8" w:space="0" w:color="001F5F"/>
                            </w:tcBorders>
                          </w:tcPr>
                          <w:p>
                            <w:pPr>
                              <w:pStyle w:val="TableParagraph"/>
                              <w:spacing w:before="96"/>
                              <w:rPr>
                                <w:sz w:val="17"/>
                              </w:rPr>
                            </w:pPr>
                          </w:p>
                          <w:p>
                            <w:pPr>
                              <w:pStyle w:val="TableParagraph"/>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96"/>
                              <w:rPr>
                                <w:sz w:val="17"/>
                              </w:rPr>
                            </w:pPr>
                          </w:p>
                          <w:p>
                            <w:pPr>
                              <w:pStyle w:val="TableParagraph"/>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96"/>
                              <w:rPr>
                                <w:sz w:val="17"/>
                              </w:rPr>
                            </w:pPr>
                          </w:p>
                          <w:p>
                            <w:pPr>
                              <w:pStyle w:val="TableParagraph"/>
                              <w:ind w:left="60"/>
                              <w:rPr>
                                <w:sz w:val="17"/>
                              </w:rPr>
                            </w:pPr>
                            <w:r>
                              <w:rPr>
                                <w:sz w:val="17"/>
                              </w:rPr>
                              <w:t>En</w:t>
                            </w:r>
                            <w:r>
                              <w:rPr>
                                <w:spacing w:val="-1"/>
                                <w:sz w:val="17"/>
                              </w:rPr>
                              <w:t> </w:t>
                            </w:r>
                            <w:r>
                              <w:rPr>
                                <w:spacing w:val="-2"/>
                                <w:sz w:val="17"/>
                              </w:rPr>
                              <w:t>ejecución</w:t>
                            </w:r>
                          </w:p>
                        </w:tc>
                      </w:tr>
                      <w:tr>
                        <w:trPr>
                          <w:trHeight w:val="782" w:hRule="atLeast"/>
                        </w:trPr>
                        <w:tc>
                          <w:tcPr>
                            <w:tcW w:w="3127" w:type="dxa"/>
                            <w:gridSpan w:val="2"/>
                            <w:tcBorders>
                              <w:top w:val="single" w:sz="8" w:space="0" w:color="001F5F"/>
                              <w:bottom w:val="single" w:sz="8" w:space="0" w:color="001F5F"/>
                            </w:tcBorders>
                          </w:tcPr>
                          <w:p>
                            <w:pPr>
                              <w:pStyle w:val="TableParagraph"/>
                              <w:spacing w:line="194" w:lineRule="exact"/>
                              <w:ind w:left="71"/>
                              <w:rPr>
                                <w:sz w:val="17"/>
                              </w:rPr>
                            </w:pPr>
                            <w:r>
                              <w:rPr>
                                <w:sz w:val="17"/>
                              </w:rPr>
                              <w:t>Sistemas</w:t>
                            </w:r>
                            <w:r>
                              <w:rPr>
                                <w:spacing w:val="-4"/>
                                <w:sz w:val="17"/>
                              </w:rPr>
                              <w:t> </w:t>
                            </w:r>
                            <w:r>
                              <w:rPr>
                                <w:sz w:val="17"/>
                              </w:rPr>
                              <w:t>de</w:t>
                            </w:r>
                            <w:r>
                              <w:rPr>
                                <w:spacing w:val="-3"/>
                                <w:sz w:val="17"/>
                              </w:rPr>
                              <w:t> </w:t>
                            </w:r>
                            <w:r>
                              <w:rPr>
                                <w:sz w:val="17"/>
                              </w:rPr>
                              <w:t>expertos</w:t>
                            </w:r>
                            <w:r>
                              <w:rPr>
                                <w:spacing w:val="-3"/>
                                <w:sz w:val="17"/>
                              </w:rPr>
                              <w:t> </w:t>
                            </w:r>
                            <w:r>
                              <w:rPr>
                                <w:spacing w:val="-5"/>
                                <w:sz w:val="17"/>
                              </w:rPr>
                              <w:t>de</w:t>
                            </w:r>
                          </w:p>
                          <w:p>
                            <w:pPr>
                              <w:pStyle w:val="TableParagraph"/>
                              <w:tabs>
                                <w:tab w:pos="2054" w:val="left" w:leader="none"/>
                              </w:tabs>
                              <w:spacing w:line="290" w:lineRule="atLeast"/>
                              <w:ind w:left="71" w:right="251"/>
                              <w:rPr>
                                <w:sz w:val="17"/>
                              </w:rPr>
                            </w:pPr>
                            <w:r>
                              <w:rPr>
                                <w:sz w:val="17"/>
                              </w:rPr>
                              <w:t>planificación</w:t>
                            </w:r>
                            <w:r>
                              <w:rPr>
                                <w:spacing w:val="-4"/>
                                <w:sz w:val="17"/>
                              </w:rPr>
                              <w:t> </w:t>
                            </w:r>
                            <w:r>
                              <w:rPr>
                                <w:sz w:val="17"/>
                              </w:rPr>
                              <w:t>para</w:t>
                              <w:tab/>
                            </w:r>
                            <w:r>
                              <w:rPr>
                                <w:spacing w:val="-2"/>
                                <w:position w:val="-9"/>
                                <w:sz w:val="17"/>
                              </w:rPr>
                              <w:t>Digitalización</w:t>
                            </w:r>
                            <w:r>
                              <w:rPr>
                                <w:spacing w:val="40"/>
                                <w:position w:val="-9"/>
                                <w:sz w:val="17"/>
                              </w:rPr>
                              <w:t> </w:t>
                            </w:r>
                            <w:r>
                              <w:rPr>
                                <w:sz w:val="17"/>
                              </w:rPr>
                              <w:t>humanos y material móvil</w:t>
                            </w:r>
                          </w:p>
                        </w:tc>
                        <w:tc>
                          <w:tcPr>
                            <w:tcW w:w="1172" w:type="dxa"/>
                            <w:tcBorders>
                              <w:top w:val="single" w:sz="8" w:space="0" w:color="001F5F"/>
                              <w:bottom w:val="single" w:sz="8" w:space="0" w:color="001F5F"/>
                            </w:tcBorders>
                          </w:tcPr>
                          <w:p>
                            <w:pPr>
                              <w:pStyle w:val="TableParagraph"/>
                              <w:spacing w:before="81"/>
                              <w:rPr>
                                <w:sz w:val="18"/>
                              </w:rPr>
                            </w:pPr>
                          </w:p>
                          <w:p>
                            <w:pPr>
                              <w:pStyle w:val="TableParagraph"/>
                              <w:ind w:right="133"/>
                              <w:jc w:val="right"/>
                              <w:rPr>
                                <w:sz w:val="18"/>
                              </w:rPr>
                            </w:pPr>
                            <w:r>
                              <w:rPr>
                                <w:spacing w:val="-2"/>
                                <w:sz w:val="18"/>
                              </w:rPr>
                              <w:t>2.791.204,00</w:t>
                            </w:r>
                          </w:p>
                        </w:tc>
                        <w:tc>
                          <w:tcPr>
                            <w:tcW w:w="697" w:type="dxa"/>
                            <w:tcBorders>
                              <w:top w:val="single" w:sz="8" w:space="0" w:color="001F5F"/>
                              <w:bottom w:val="single" w:sz="8" w:space="0" w:color="001F5F"/>
                            </w:tcBorders>
                          </w:tcPr>
                          <w:p>
                            <w:pPr>
                              <w:pStyle w:val="TableParagraph"/>
                              <w:spacing w:before="97"/>
                              <w:rPr>
                                <w:sz w:val="17"/>
                              </w:rPr>
                            </w:pPr>
                          </w:p>
                          <w:p>
                            <w:pPr>
                              <w:pStyle w:val="TableParagraph"/>
                              <w:ind w:left="77" w:right="83"/>
                              <w:jc w:val="center"/>
                              <w:rPr>
                                <w:sz w:val="17"/>
                              </w:rPr>
                            </w:pPr>
                            <w:r>
                              <w:rPr>
                                <w:spacing w:val="-4"/>
                                <w:sz w:val="17"/>
                              </w:rPr>
                              <w:t>6,47</w:t>
                            </w:r>
                          </w:p>
                        </w:tc>
                        <w:tc>
                          <w:tcPr>
                            <w:tcW w:w="1224" w:type="dxa"/>
                            <w:tcBorders>
                              <w:top w:val="single" w:sz="8" w:space="0" w:color="001F5F"/>
                              <w:bottom w:val="single" w:sz="8" w:space="0" w:color="001F5F"/>
                            </w:tcBorders>
                          </w:tcPr>
                          <w:p>
                            <w:pPr>
                              <w:pStyle w:val="TableParagraph"/>
                              <w:spacing w:before="97"/>
                              <w:rPr>
                                <w:sz w:val="17"/>
                              </w:rPr>
                            </w:pPr>
                          </w:p>
                          <w:p>
                            <w:pPr>
                              <w:pStyle w:val="TableParagraph"/>
                              <w:ind w:right="117"/>
                              <w:jc w:val="right"/>
                              <w:rPr>
                                <w:sz w:val="17"/>
                              </w:rPr>
                            </w:pPr>
                            <w:r>
                              <w:rPr>
                                <w:spacing w:val="-2"/>
                                <w:sz w:val="17"/>
                              </w:rPr>
                              <w:t>1.145.370,40</w:t>
                            </w:r>
                          </w:p>
                        </w:tc>
                        <w:tc>
                          <w:tcPr>
                            <w:tcW w:w="731" w:type="dxa"/>
                            <w:tcBorders>
                              <w:top w:val="single" w:sz="8" w:space="0" w:color="001F5F"/>
                              <w:bottom w:val="single" w:sz="8" w:space="0" w:color="001F5F"/>
                            </w:tcBorders>
                          </w:tcPr>
                          <w:p>
                            <w:pPr>
                              <w:pStyle w:val="TableParagraph"/>
                              <w:spacing w:before="97"/>
                              <w:rPr>
                                <w:sz w:val="17"/>
                              </w:rPr>
                            </w:pPr>
                          </w:p>
                          <w:p>
                            <w:pPr>
                              <w:pStyle w:val="TableParagraph"/>
                              <w:ind w:right="178"/>
                              <w:jc w:val="right"/>
                              <w:rPr>
                                <w:sz w:val="17"/>
                              </w:rPr>
                            </w:pPr>
                            <w:r>
                              <w:rPr>
                                <w:spacing w:val="-2"/>
                                <w:sz w:val="17"/>
                              </w:rPr>
                              <w:t>41,03</w:t>
                            </w:r>
                          </w:p>
                        </w:tc>
                        <w:tc>
                          <w:tcPr>
                            <w:tcW w:w="1077" w:type="dxa"/>
                            <w:tcBorders>
                              <w:top w:val="single" w:sz="8" w:space="0" w:color="001F5F"/>
                              <w:bottom w:val="single" w:sz="8" w:space="0" w:color="001F5F"/>
                            </w:tcBorders>
                          </w:tcPr>
                          <w:p>
                            <w:pPr>
                              <w:pStyle w:val="TableParagraph"/>
                              <w:spacing w:before="97"/>
                              <w:rPr>
                                <w:sz w:val="17"/>
                              </w:rPr>
                            </w:pPr>
                          </w:p>
                          <w:p>
                            <w:pPr>
                              <w:pStyle w:val="TableParagraph"/>
                              <w:ind w:left="171"/>
                              <w:rPr>
                                <w:sz w:val="17"/>
                              </w:rPr>
                            </w:pPr>
                            <w:r>
                              <w:rPr>
                                <w:spacing w:val="-2"/>
                                <w:sz w:val="17"/>
                              </w:rPr>
                              <w:t>1.645.833,60</w:t>
                            </w:r>
                          </w:p>
                        </w:tc>
                        <w:tc>
                          <w:tcPr>
                            <w:tcW w:w="687" w:type="dxa"/>
                            <w:tcBorders>
                              <w:top w:val="single" w:sz="8" w:space="0" w:color="001F5F"/>
                              <w:bottom w:val="single" w:sz="8" w:space="0" w:color="001F5F"/>
                            </w:tcBorders>
                          </w:tcPr>
                          <w:p>
                            <w:pPr>
                              <w:pStyle w:val="TableParagraph"/>
                              <w:spacing w:before="97"/>
                              <w:rPr>
                                <w:sz w:val="17"/>
                              </w:rPr>
                            </w:pPr>
                          </w:p>
                          <w:p>
                            <w:pPr>
                              <w:pStyle w:val="TableParagraph"/>
                              <w:ind w:left="114"/>
                              <w:rPr>
                                <w:sz w:val="17"/>
                              </w:rPr>
                            </w:pPr>
                            <w:r>
                              <w:rPr>
                                <w:spacing w:val="-2"/>
                                <w:sz w:val="17"/>
                              </w:rPr>
                              <w:t>58,97</w:t>
                            </w:r>
                          </w:p>
                        </w:tc>
                        <w:tc>
                          <w:tcPr>
                            <w:tcW w:w="1143" w:type="dxa"/>
                            <w:tcBorders>
                              <w:top w:val="single" w:sz="8" w:space="0" w:color="001F5F"/>
                              <w:bottom w:val="single" w:sz="8" w:space="0" w:color="001F5F"/>
                            </w:tcBorders>
                          </w:tcPr>
                          <w:p>
                            <w:pPr>
                              <w:pStyle w:val="TableParagraph"/>
                              <w:spacing w:before="97"/>
                              <w:rPr>
                                <w:sz w:val="17"/>
                              </w:rPr>
                            </w:pPr>
                          </w:p>
                          <w:p>
                            <w:pPr>
                              <w:pStyle w:val="TableParagraph"/>
                              <w:ind w:right="118"/>
                              <w:jc w:val="right"/>
                              <w:rPr>
                                <w:sz w:val="17"/>
                              </w:rPr>
                            </w:pPr>
                            <w:r>
                              <w:rPr>
                                <w:spacing w:val="-4"/>
                                <w:sz w:val="17"/>
                              </w:rPr>
                              <w:t>0,00</w:t>
                            </w:r>
                          </w:p>
                        </w:tc>
                        <w:tc>
                          <w:tcPr>
                            <w:tcW w:w="531" w:type="dxa"/>
                            <w:tcBorders>
                              <w:top w:val="single" w:sz="8" w:space="0" w:color="001F5F"/>
                              <w:bottom w:val="single" w:sz="8" w:space="0" w:color="001F5F"/>
                            </w:tcBorders>
                          </w:tcPr>
                          <w:p>
                            <w:pPr>
                              <w:pStyle w:val="TableParagraph"/>
                              <w:spacing w:before="97"/>
                              <w:rPr>
                                <w:sz w:val="17"/>
                              </w:rPr>
                            </w:pPr>
                          </w:p>
                          <w:p>
                            <w:pPr>
                              <w:pStyle w:val="TableParagraph"/>
                              <w:ind w:left="96"/>
                              <w:jc w:val="center"/>
                              <w:rPr>
                                <w:sz w:val="17"/>
                              </w:rPr>
                            </w:pPr>
                            <w:r>
                              <w:rPr>
                                <w:spacing w:val="-4"/>
                                <w:sz w:val="17"/>
                              </w:rPr>
                              <w:t>0,00</w:t>
                            </w:r>
                          </w:p>
                        </w:tc>
                        <w:tc>
                          <w:tcPr>
                            <w:tcW w:w="1007" w:type="dxa"/>
                            <w:tcBorders>
                              <w:top w:val="single" w:sz="8" w:space="0" w:color="001F5F"/>
                              <w:bottom w:val="single" w:sz="8" w:space="0" w:color="001F5F"/>
                            </w:tcBorders>
                          </w:tcPr>
                          <w:p>
                            <w:pPr>
                              <w:pStyle w:val="TableParagraph"/>
                              <w:spacing w:before="97"/>
                              <w:rPr>
                                <w:sz w:val="17"/>
                              </w:rPr>
                            </w:pPr>
                          </w:p>
                          <w:p>
                            <w:pPr>
                              <w:pStyle w:val="TableParagraph"/>
                              <w:ind w:left="60"/>
                              <w:rPr>
                                <w:sz w:val="17"/>
                              </w:rPr>
                            </w:pPr>
                            <w:r>
                              <w:rPr>
                                <w:sz w:val="17"/>
                              </w:rPr>
                              <w:t>En</w:t>
                            </w:r>
                            <w:r>
                              <w:rPr>
                                <w:spacing w:val="-1"/>
                                <w:sz w:val="17"/>
                              </w:rPr>
                              <w:t> </w:t>
                            </w:r>
                            <w:r>
                              <w:rPr>
                                <w:spacing w:val="-2"/>
                                <w:sz w:val="17"/>
                              </w:rPr>
                              <w:t>ejecución</w:t>
                            </w:r>
                          </w:p>
                        </w:tc>
                      </w:tr>
                      <w:tr>
                        <w:trPr>
                          <w:trHeight w:val="688" w:hRule="atLeast"/>
                        </w:trPr>
                        <w:tc>
                          <w:tcPr>
                            <w:tcW w:w="3127" w:type="dxa"/>
                            <w:gridSpan w:val="2"/>
                            <w:tcBorders>
                              <w:top w:val="single" w:sz="8" w:space="0" w:color="001F5F"/>
                            </w:tcBorders>
                          </w:tcPr>
                          <w:p>
                            <w:pPr>
                              <w:pStyle w:val="TableParagraph"/>
                              <w:ind w:left="71" w:right="738"/>
                              <w:rPr>
                                <w:sz w:val="17"/>
                              </w:rPr>
                            </w:pPr>
                            <w:r>
                              <w:rPr>
                                <w:sz w:val="17"/>
                              </w:rPr>
                              <w:t>Suministro</w:t>
                            </w:r>
                            <w:r>
                              <w:rPr>
                                <w:spacing w:val="-9"/>
                                <w:sz w:val="17"/>
                              </w:rPr>
                              <w:t> </w:t>
                            </w:r>
                            <w:r>
                              <w:rPr>
                                <w:sz w:val="17"/>
                              </w:rPr>
                              <w:t>de</w:t>
                            </w:r>
                            <w:r>
                              <w:rPr>
                                <w:spacing w:val="-8"/>
                                <w:sz w:val="17"/>
                              </w:rPr>
                              <w:t> </w:t>
                            </w:r>
                            <w:r>
                              <w:rPr>
                                <w:sz w:val="17"/>
                              </w:rPr>
                              <w:t>pantallas</w:t>
                            </w:r>
                            <w:r>
                              <w:rPr>
                                <w:spacing w:val="-9"/>
                                <w:sz w:val="17"/>
                              </w:rPr>
                              <w:t> </w:t>
                            </w:r>
                            <w:r>
                              <w:rPr>
                                <w:sz w:val="17"/>
                              </w:rPr>
                              <w:t>de</w:t>
                            </w:r>
                            <w:r>
                              <w:rPr>
                                <w:spacing w:val="40"/>
                                <w:sz w:val="17"/>
                              </w:rPr>
                              <w:t> </w:t>
                            </w:r>
                            <w:r>
                              <w:rPr>
                                <w:sz w:val="17"/>
                              </w:rPr>
                              <w:t>información</w:t>
                            </w:r>
                            <w:r>
                              <w:rPr>
                                <w:spacing w:val="-3"/>
                                <w:sz w:val="17"/>
                              </w:rPr>
                              <w:t> </w:t>
                            </w:r>
                            <w:r>
                              <w:rPr>
                                <w:sz w:val="17"/>
                              </w:rPr>
                              <w:t>al</w:t>
                            </w:r>
                            <w:r>
                              <w:rPr>
                                <w:spacing w:val="-2"/>
                                <w:sz w:val="17"/>
                              </w:rPr>
                              <w:t> </w:t>
                            </w:r>
                            <w:r>
                              <w:rPr>
                                <w:sz w:val="17"/>
                              </w:rPr>
                              <w:t>viajero</w:t>
                            </w:r>
                            <w:r>
                              <w:rPr>
                                <w:spacing w:val="-3"/>
                                <w:sz w:val="17"/>
                              </w:rPr>
                              <w:t> </w:t>
                            </w:r>
                            <w:r>
                              <w:rPr>
                                <w:sz w:val="17"/>
                              </w:rPr>
                              <w:t>en</w:t>
                            </w:r>
                            <w:r>
                              <w:rPr>
                                <w:spacing w:val="-3"/>
                                <w:sz w:val="17"/>
                              </w:rPr>
                              <w:t> </w:t>
                            </w:r>
                            <w:r>
                              <w:rPr>
                                <w:spacing w:val="-5"/>
                                <w:sz w:val="17"/>
                              </w:rPr>
                              <w:t>el</w:t>
                            </w:r>
                          </w:p>
                          <w:p>
                            <w:pPr>
                              <w:pStyle w:val="TableParagraph"/>
                              <w:tabs>
                                <w:tab w:pos="2054" w:val="left" w:leader="none"/>
                              </w:tabs>
                              <w:spacing w:line="213" w:lineRule="auto" w:before="4"/>
                              <w:ind w:left="71"/>
                              <w:rPr>
                                <w:position w:val="-9"/>
                                <w:sz w:val="17"/>
                              </w:rPr>
                            </w:pPr>
                            <w:r>
                              <w:rPr>
                                <w:sz w:val="17"/>
                              </w:rPr>
                              <w:t>interior</w:t>
                            </w:r>
                            <w:r>
                              <w:rPr>
                                <w:spacing w:val="-3"/>
                                <w:sz w:val="17"/>
                              </w:rPr>
                              <w:t> </w:t>
                            </w:r>
                            <w:r>
                              <w:rPr>
                                <w:sz w:val="17"/>
                              </w:rPr>
                              <w:t>de</w:t>
                            </w:r>
                            <w:r>
                              <w:rPr>
                                <w:spacing w:val="-3"/>
                                <w:sz w:val="17"/>
                              </w:rPr>
                              <w:t> </w:t>
                            </w:r>
                            <w:r>
                              <w:rPr>
                                <w:sz w:val="17"/>
                              </w:rPr>
                              <w:t>los</w:t>
                            </w:r>
                            <w:r>
                              <w:rPr>
                                <w:spacing w:val="-3"/>
                                <w:sz w:val="17"/>
                              </w:rPr>
                              <w:t> </w:t>
                            </w:r>
                            <w:r>
                              <w:rPr>
                                <w:sz w:val="17"/>
                              </w:rPr>
                              <w:t>autobuses</w:t>
                            </w:r>
                            <w:r>
                              <w:rPr>
                                <w:spacing w:val="-3"/>
                                <w:sz w:val="17"/>
                              </w:rPr>
                              <w:t> </w:t>
                            </w:r>
                            <w:r>
                              <w:rPr>
                                <w:spacing w:val="-5"/>
                                <w:sz w:val="17"/>
                              </w:rPr>
                              <w:t>de</w:t>
                            </w:r>
                            <w:r>
                              <w:rPr>
                                <w:sz w:val="17"/>
                              </w:rPr>
                              <w:tab/>
                            </w:r>
                            <w:r>
                              <w:rPr>
                                <w:spacing w:val="-2"/>
                                <w:position w:val="-9"/>
                                <w:sz w:val="17"/>
                              </w:rPr>
                              <w:t>Digitalización</w:t>
                            </w:r>
                          </w:p>
                        </w:tc>
                        <w:tc>
                          <w:tcPr>
                            <w:tcW w:w="1172" w:type="dxa"/>
                            <w:tcBorders>
                              <w:top w:val="single" w:sz="8" w:space="0" w:color="001F5F"/>
                            </w:tcBorders>
                          </w:tcPr>
                          <w:p>
                            <w:pPr>
                              <w:pStyle w:val="TableParagraph"/>
                              <w:rPr>
                                <w:sz w:val="18"/>
                              </w:rPr>
                            </w:pPr>
                          </w:p>
                          <w:p>
                            <w:pPr>
                              <w:pStyle w:val="TableParagraph"/>
                              <w:spacing w:before="68"/>
                              <w:rPr>
                                <w:sz w:val="18"/>
                              </w:rPr>
                            </w:pPr>
                          </w:p>
                          <w:p>
                            <w:pPr>
                              <w:pStyle w:val="TableParagraph"/>
                              <w:spacing w:line="187" w:lineRule="exact"/>
                              <w:ind w:right="133"/>
                              <w:jc w:val="right"/>
                              <w:rPr>
                                <w:sz w:val="18"/>
                              </w:rPr>
                            </w:pPr>
                            <w:r>
                              <w:rPr>
                                <w:spacing w:val="-2"/>
                                <w:sz w:val="18"/>
                              </w:rPr>
                              <w:t>1.242.000,00</w:t>
                            </w:r>
                          </w:p>
                        </w:tc>
                        <w:tc>
                          <w:tcPr>
                            <w:tcW w:w="697"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left="77" w:right="83"/>
                              <w:jc w:val="center"/>
                              <w:rPr>
                                <w:sz w:val="17"/>
                              </w:rPr>
                            </w:pPr>
                            <w:r>
                              <w:rPr>
                                <w:spacing w:val="-4"/>
                                <w:sz w:val="17"/>
                              </w:rPr>
                              <w:t>2,88</w:t>
                            </w:r>
                          </w:p>
                        </w:tc>
                        <w:tc>
                          <w:tcPr>
                            <w:tcW w:w="1224"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right="117"/>
                              <w:jc w:val="right"/>
                              <w:rPr>
                                <w:sz w:val="17"/>
                              </w:rPr>
                            </w:pPr>
                            <w:r>
                              <w:rPr>
                                <w:spacing w:val="-2"/>
                                <w:sz w:val="17"/>
                              </w:rPr>
                              <w:t>260.709,46</w:t>
                            </w:r>
                          </w:p>
                        </w:tc>
                        <w:tc>
                          <w:tcPr>
                            <w:tcW w:w="731"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right="178"/>
                              <w:jc w:val="right"/>
                              <w:rPr>
                                <w:sz w:val="17"/>
                              </w:rPr>
                            </w:pPr>
                            <w:r>
                              <w:rPr>
                                <w:spacing w:val="-2"/>
                                <w:sz w:val="17"/>
                              </w:rPr>
                              <w:t>20,99</w:t>
                            </w:r>
                          </w:p>
                        </w:tc>
                        <w:tc>
                          <w:tcPr>
                            <w:tcW w:w="1077"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right="91"/>
                              <w:jc w:val="right"/>
                              <w:rPr>
                                <w:sz w:val="17"/>
                              </w:rPr>
                            </w:pPr>
                            <w:r>
                              <w:rPr>
                                <w:spacing w:val="-2"/>
                                <w:sz w:val="17"/>
                              </w:rPr>
                              <w:t>981.290,54</w:t>
                            </w:r>
                          </w:p>
                        </w:tc>
                        <w:tc>
                          <w:tcPr>
                            <w:tcW w:w="687"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left="114"/>
                              <w:rPr>
                                <w:sz w:val="17"/>
                              </w:rPr>
                            </w:pPr>
                            <w:r>
                              <w:rPr>
                                <w:spacing w:val="-2"/>
                                <w:sz w:val="17"/>
                              </w:rPr>
                              <w:t>79,01</w:t>
                            </w:r>
                          </w:p>
                        </w:tc>
                        <w:tc>
                          <w:tcPr>
                            <w:tcW w:w="1143"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right="118"/>
                              <w:jc w:val="right"/>
                              <w:rPr>
                                <w:sz w:val="17"/>
                              </w:rPr>
                            </w:pPr>
                            <w:r>
                              <w:rPr>
                                <w:spacing w:val="-4"/>
                                <w:sz w:val="17"/>
                              </w:rPr>
                              <w:t>0,00</w:t>
                            </w:r>
                          </w:p>
                        </w:tc>
                        <w:tc>
                          <w:tcPr>
                            <w:tcW w:w="531"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left="96"/>
                              <w:jc w:val="center"/>
                              <w:rPr>
                                <w:sz w:val="17"/>
                              </w:rPr>
                            </w:pPr>
                            <w:r>
                              <w:rPr>
                                <w:spacing w:val="-4"/>
                                <w:sz w:val="17"/>
                              </w:rPr>
                              <w:t>0,00</w:t>
                            </w:r>
                          </w:p>
                        </w:tc>
                        <w:tc>
                          <w:tcPr>
                            <w:tcW w:w="1007" w:type="dxa"/>
                            <w:tcBorders>
                              <w:top w:val="single" w:sz="8" w:space="0" w:color="001F5F"/>
                            </w:tcBorders>
                          </w:tcPr>
                          <w:p>
                            <w:pPr>
                              <w:pStyle w:val="TableParagraph"/>
                              <w:rPr>
                                <w:sz w:val="17"/>
                              </w:rPr>
                            </w:pPr>
                          </w:p>
                          <w:p>
                            <w:pPr>
                              <w:pStyle w:val="TableParagraph"/>
                              <w:spacing w:before="95"/>
                              <w:rPr>
                                <w:sz w:val="17"/>
                              </w:rPr>
                            </w:pPr>
                          </w:p>
                          <w:p>
                            <w:pPr>
                              <w:pStyle w:val="TableParagraph"/>
                              <w:spacing w:line="182" w:lineRule="exact"/>
                              <w:ind w:left="60"/>
                              <w:rPr>
                                <w:sz w:val="17"/>
                              </w:rPr>
                            </w:pPr>
                            <w:r>
                              <w:rPr>
                                <w:spacing w:val="-2"/>
                                <w:sz w:val="17"/>
                              </w:rPr>
                              <w:t>Finalizada</w:t>
                            </w:r>
                          </w:p>
                        </w:tc>
                      </w:tr>
                      <w:tr>
                        <w:trPr>
                          <w:trHeight w:val="482" w:hRule="atLeast"/>
                        </w:trPr>
                        <w:tc>
                          <w:tcPr>
                            <w:tcW w:w="1981" w:type="dxa"/>
                            <w:tcBorders>
                              <w:bottom w:val="single" w:sz="8" w:space="0" w:color="001F5F"/>
                            </w:tcBorders>
                          </w:tcPr>
                          <w:p>
                            <w:pPr>
                              <w:pStyle w:val="TableParagraph"/>
                              <w:spacing w:line="194" w:lineRule="exact" w:before="74"/>
                              <w:ind w:left="71"/>
                              <w:rPr>
                                <w:sz w:val="17"/>
                              </w:rPr>
                            </w:pPr>
                            <w:r>
                              <w:rPr>
                                <w:sz w:val="17"/>
                              </w:rPr>
                              <w:t>de</w:t>
                            </w:r>
                            <w:r>
                              <w:rPr>
                                <w:spacing w:val="-7"/>
                                <w:sz w:val="17"/>
                              </w:rPr>
                              <w:t> </w:t>
                            </w:r>
                            <w:r>
                              <w:rPr>
                                <w:sz w:val="17"/>
                              </w:rPr>
                              <w:t>las</w:t>
                            </w:r>
                            <w:r>
                              <w:rPr>
                                <w:spacing w:val="-7"/>
                                <w:sz w:val="17"/>
                              </w:rPr>
                              <w:t> </w:t>
                            </w:r>
                            <w:r>
                              <w:rPr>
                                <w:sz w:val="17"/>
                              </w:rPr>
                              <w:t>paradas</w:t>
                            </w:r>
                            <w:r>
                              <w:rPr>
                                <w:spacing w:val="-5"/>
                                <w:sz w:val="17"/>
                              </w:rPr>
                              <w:t> </w:t>
                            </w:r>
                            <w:r>
                              <w:rPr>
                                <w:sz w:val="17"/>
                              </w:rPr>
                              <w:t>de</w:t>
                            </w:r>
                            <w:r>
                              <w:rPr>
                                <w:spacing w:val="-7"/>
                                <w:sz w:val="17"/>
                              </w:rPr>
                              <w:t> </w:t>
                            </w:r>
                            <w:r>
                              <w:rPr>
                                <w:sz w:val="17"/>
                              </w:rPr>
                              <w:t>la</w:t>
                            </w:r>
                            <w:r>
                              <w:rPr>
                                <w:spacing w:val="-6"/>
                                <w:sz w:val="17"/>
                              </w:rPr>
                              <w:t> </w:t>
                            </w:r>
                            <w:r>
                              <w:rPr>
                                <w:sz w:val="17"/>
                              </w:rPr>
                              <w:t>red</w:t>
                            </w:r>
                            <w:r>
                              <w:rPr>
                                <w:spacing w:val="-6"/>
                                <w:sz w:val="17"/>
                              </w:rPr>
                              <w:t> </w:t>
                            </w:r>
                            <w:r>
                              <w:rPr>
                                <w:sz w:val="17"/>
                              </w:rPr>
                              <w:t>de</w:t>
                            </w:r>
                            <w:r>
                              <w:rPr>
                                <w:spacing w:val="-7"/>
                                <w:sz w:val="17"/>
                              </w:rPr>
                              <w:t> </w:t>
                            </w:r>
                            <w:r>
                              <w:rPr>
                                <w:sz w:val="17"/>
                              </w:rPr>
                              <w:t>la</w:t>
                            </w:r>
                            <w:r>
                              <w:rPr>
                                <w:spacing w:val="40"/>
                                <w:sz w:val="17"/>
                              </w:rPr>
                              <w:t> </w:t>
                            </w:r>
                            <w:r>
                              <w:rPr>
                                <w:sz w:val="17"/>
                              </w:rPr>
                              <w:t>EMT</w:t>
                            </w:r>
                            <w:r>
                              <w:rPr>
                                <w:spacing w:val="-2"/>
                                <w:sz w:val="17"/>
                              </w:rPr>
                              <w:t> </w:t>
                            </w:r>
                            <w:r>
                              <w:rPr>
                                <w:sz w:val="17"/>
                              </w:rPr>
                              <w:t>Palma</w:t>
                            </w:r>
                          </w:p>
                        </w:tc>
                        <w:tc>
                          <w:tcPr>
                            <w:tcW w:w="1146" w:type="dxa"/>
                            <w:tcBorders>
                              <w:bottom w:val="single" w:sz="8" w:space="0" w:color="001F5F"/>
                            </w:tcBorders>
                          </w:tcPr>
                          <w:p>
                            <w:pPr>
                              <w:pStyle w:val="TableParagraph"/>
                              <w:rPr>
                                <w:rFonts w:ascii="Times New Roman"/>
                                <w:sz w:val="16"/>
                              </w:rPr>
                            </w:pPr>
                          </w:p>
                        </w:tc>
                        <w:tc>
                          <w:tcPr>
                            <w:tcW w:w="1172" w:type="dxa"/>
                            <w:tcBorders>
                              <w:bottom w:val="single" w:sz="8" w:space="0" w:color="001F5F"/>
                            </w:tcBorders>
                          </w:tcPr>
                          <w:p>
                            <w:pPr>
                              <w:pStyle w:val="TableParagraph"/>
                              <w:rPr>
                                <w:rFonts w:ascii="Times New Roman"/>
                                <w:sz w:val="16"/>
                              </w:rPr>
                            </w:pPr>
                          </w:p>
                        </w:tc>
                        <w:tc>
                          <w:tcPr>
                            <w:tcW w:w="697" w:type="dxa"/>
                            <w:tcBorders>
                              <w:bottom w:val="single" w:sz="8" w:space="0" w:color="001F5F"/>
                            </w:tcBorders>
                          </w:tcPr>
                          <w:p>
                            <w:pPr>
                              <w:pStyle w:val="TableParagraph"/>
                              <w:rPr>
                                <w:rFonts w:ascii="Times New Roman"/>
                                <w:sz w:val="16"/>
                              </w:rPr>
                            </w:pPr>
                          </w:p>
                        </w:tc>
                        <w:tc>
                          <w:tcPr>
                            <w:tcW w:w="1224" w:type="dxa"/>
                            <w:tcBorders>
                              <w:bottom w:val="single" w:sz="8" w:space="0" w:color="001F5F"/>
                            </w:tcBorders>
                          </w:tcPr>
                          <w:p>
                            <w:pPr>
                              <w:pStyle w:val="TableParagraph"/>
                              <w:rPr>
                                <w:rFonts w:ascii="Times New Roman"/>
                                <w:sz w:val="16"/>
                              </w:rPr>
                            </w:pPr>
                          </w:p>
                        </w:tc>
                        <w:tc>
                          <w:tcPr>
                            <w:tcW w:w="731" w:type="dxa"/>
                            <w:tcBorders>
                              <w:bottom w:val="single" w:sz="8" w:space="0" w:color="001F5F"/>
                            </w:tcBorders>
                          </w:tcPr>
                          <w:p>
                            <w:pPr>
                              <w:pStyle w:val="TableParagraph"/>
                              <w:rPr>
                                <w:rFonts w:ascii="Times New Roman"/>
                                <w:sz w:val="16"/>
                              </w:rPr>
                            </w:pPr>
                          </w:p>
                        </w:tc>
                        <w:tc>
                          <w:tcPr>
                            <w:tcW w:w="1077" w:type="dxa"/>
                            <w:tcBorders>
                              <w:bottom w:val="single" w:sz="8" w:space="0" w:color="001F5F"/>
                            </w:tcBorders>
                          </w:tcPr>
                          <w:p>
                            <w:pPr>
                              <w:pStyle w:val="TableParagraph"/>
                              <w:rPr>
                                <w:rFonts w:ascii="Times New Roman"/>
                                <w:sz w:val="16"/>
                              </w:rPr>
                            </w:pPr>
                          </w:p>
                        </w:tc>
                        <w:tc>
                          <w:tcPr>
                            <w:tcW w:w="687" w:type="dxa"/>
                            <w:tcBorders>
                              <w:bottom w:val="single" w:sz="8" w:space="0" w:color="001F5F"/>
                            </w:tcBorders>
                          </w:tcPr>
                          <w:p>
                            <w:pPr>
                              <w:pStyle w:val="TableParagraph"/>
                              <w:rPr>
                                <w:rFonts w:ascii="Times New Roman"/>
                                <w:sz w:val="16"/>
                              </w:rPr>
                            </w:pPr>
                          </w:p>
                        </w:tc>
                        <w:tc>
                          <w:tcPr>
                            <w:tcW w:w="1143" w:type="dxa"/>
                            <w:tcBorders>
                              <w:bottom w:val="single" w:sz="8" w:space="0" w:color="001F5F"/>
                            </w:tcBorders>
                          </w:tcPr>
                          <w:p>
                            <w:pPr>
                              <w:pStyle w:val="TableParagraph"/>
                              <w:rPr>
                                <w:rFonts w:ascii="Times New Roman"/>
                                <w:sz w:val="16"/>
                              </w:rPr>
                            </w:pPr>
                          </w:p>
                        </w:tc>
                        <w:tc>
                          <w:tcPr>
                            <w:tcW w:w="531" w:type="dxa"/>
                            <w:tcBorders>
                              <w:bottom w:val="single" w:sz="8" w:space="0" w:color="001F5F"/>
                            </w:tcBorders>
                          </w:tcPr>
                          <w:p>
                            <w:pPr>
                              <w:pStyle w:val="TableParagraph"/>
                              <w:rPr>
                                <w:rFonts w:ascii="Times New Roman"/>
                                <w:sz w:val="16"/>
                              </w:rPr>
                            </w:pPr>
                          </w:p>
                        </w:tc>
                        <w:tc>
                          <w:tcPr>
                            <w:tcW w:w="1007" w:type="dxa"/>
                            <w:tcBorders>
                              <w:bottom w:val="single" w:sz="8" w:space="0" w:color="001F5F"/>
                            </w:tcBorders>
                          </w:tcPr>
                          <w:p>
                            <w:pPr>
                              <w:pStyle w:val="TableParagraph"/>
                              <w:rPr>
                                <w:rFonts w:ascii="Times New Roman"/>
                                <w:sz w:val="16"/>
                              </w:rPr>
                            </w:pPr>
                          </w:p>
                        </w:tc>
                      </w:tr>
                      <w:tr>
                        <w:trPr>
                          <w:trHeight w:val="781" w:hRule="atLeast"/>
                        </w:trPr>
                        <w:tc>
                          <w:tcPr>
                            <w:tcW w:w="1981" w:type="dxa"/>
                            <w:tcBorders>
                              <w:top w:val="single" w:sz="8" w:space="0" w:color="001F5F"/>
                            </w:tcBorders>
                          </w:tcPr>
                          <w:p>
                            <w:pPr>
                              <w:pStyle w:val="TableParagraph"/>
                              <w:ind w:left="71" w:right="101"/>
                              <w:rPr>
                                <w:sz w:val="17"/>
                              </w:rPr>
                            </w:pPr>
                            <w:r>
                              <w:rPr>
                                <w:sz w:val="17"/>
                              </w:rPr>
                              <w:t>Servicio</w:t>
                            </w:r>
                            <w:r>
                              <w:rPr>
                                <w:spacing w:val="-10"/>
                                <w:sz w:val="17"/>
                              </w:rPr>
                              <w:t> </w:t>
                            </w:r>
                            <w:r>
                              <w:rPr>
                                <w:sz w:val="17"/>
                              </w:rPr>
                              <w:t>para</w:t>
                            </w:r>
                            <w:r>
                              <w:rPr>
                                <w:spacing w:val="-10"/>
                                <w:sz w:val="17"/>
                              </w:rPr>
                              <w:t> </w:t>
                            </w:r>
                            <w:r>
                              <w:rPr>
                                <w:sz w:val="17"/>
                              </w:rPr>
                              <w:t>el</w:t>
                            </w:r>
                            <w:r>
                              <w:rPr>
                                <w:spacing w:val="-10"/>
                                <w:sz w:val="17"/>
                              </w:rPr>
                              <w:t> </w:t>
                            </w:r>
                            <w:r>
                              <w:rPr>
                                <w:sz w:val="17"/>
                              </w:rPr>
                              <w:t>desarrollo</w:t>
                            </w:r>
                            <w:r>
                              <w:rPr>
                                <w:spacing w:val="-9"/>
                                <w:sz w:val="17"/>
                              </w:rPr>
                              <w:t> </w:t>
                            </w:r>
                            <w:r>
                              <w:rPr>
                                <w:sz w:val="17"/>
                              </w:rPr>
                              <w:t>de</w:t>
                            </w:r>
                            <w:r>
                              <w:rPr>
                                <w:spacing w:val="40"/>
                                <w:sz w:val="17"/>
                              </w:rPr>
                              <w:t> </w:t>
                            </w:r>
                            <w:r>
                              <w:rPr>
                                <w:sz w:val="17"/>
                              </w:rPr>
                              <w:t>la plataforma SIG (Sistema</w:t>
                            </w:r>
                            <w:r>
                              <w:rPr>
                                <w:spacing w:val="40"/>
                                <w:sz w:val="17"/>
                              </w:rPr>
                              <w:t> </w:t>
                            </w:r>
                            <w:r>
                              <w:rPr>
                                <w:sz w:val="17"/>
                              </w:rPr>
                              <w:t>de Información Geográfica)</w:t>
                            </w:r>
                          </w:p>
                          <w:p>
                            <w:pPr>
                              <w:pStyle w:val="TableParagraph"/>
                              <w:spacing w:line="177" w:lineRule="exact"/>
                              <w:ind w:left="71"/>
                              <w:rPr>
                                <w:sz w:val="17"/>
                              </w:rPr>
                            </w:pPr>
                            <w:r>
                              <w:rPr>
                                <w:sz w:val="17"/>
                              </w:rPr>
                              <w:t>de</w:t>
                            </w:r>
                            <w:r>
                              <w:rPr>
                                <w:spacing w:val="-2"/>
                                <w:sz w:val="17"/>
                              </w:rPr>
                              <w:t> </w:t>
                            </w:r>
                            <w:r>
                              <w:rPr>
                                <w:sz w:val="17"/>
                              </w:rPr>
                              <w:t>la</w:t>
                            </w:r>
                            <w:r>
                              <w:rPr>
                                <w:spacing w:val="-3"/>
                                <w:sz w:val="17"/>
                              </w:rPr>
                              <w:t> </w:t>
                            </w:r>
                            <w:r>
                              <w:rPr>
                                <w:sz w:val="17"/>
                              </w:rPr>
                              <w:t>EMT-Palma</w:t>
                            </w:r>
                            <w:r>
                              <w:rPr>
                                <w:spacing w:val="-1"/>
                                <w:sz w:val="17"/>
                              </w:rPr>
                              <w:t> </w:t>
                            </w:r>
                            <w:r>
                              <w:rPr>
                                <w:spacing w:val="-10"/>
                                <w:sz w:val="17"/>
                              </w:rPr>
                              <w:t>-</w:t>
                            </w:r>
                          </w:p>
                        </w:tc>
                        <w:tc>
                          <w:tcPr>
                            <w:tcW w:w="1146"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73"/>
                              <w:rPr>
                                <w:sz w:val="17"/>
                              </w:rPr>
                            </w:pPr>
                            <w:r>
                              <w:rPr>
                                <w:spacing w:val="-2"/>
                                <w:sz w:val="17"/>
                              </w:rPr>
                              <w:t>Digitalización</w:t>
                            </w:r>
                          </w:p>
                        </w:tc>
                        <w:tc>
                          <w:tcPr>
                            <w:tcW w:w="1172" w:type="dxa"/>
                            <w:tcBorders>
                              <w:top w:val="single" w:sz="8" w:space="0" w:color="001F5F"/>
                            </w:tcBorders>
                          </w:tcPr>
                          <w:p>
                            <w:pPr>
                              <w:pStyle w:val="TableParagraph"/>
                              <w:rPr>
                                <w:sz w:val="18"/>
                              </w:rPr>
                            </w:pPr>
                          </w:p>
                          <w:p>
                            <w:pPr>
                              <w:pStyle w:val="TableParagraph"/>
                              <w:spacing w:before="164"/>
                              <w:rPr>
                                <w:sz w:val="18"/>
                              </w:rPr>
                            </w:pPr>
                          </w:p>
                          <w:p>
                            <w:pPr>
                              <w:pStyle w:val="TableParagraph"/>
                              <w:spacing w:line="184" w:lineRule="exact"/>
                              <w:ind w:right="133"/>
                              <w:jc w:val="right"/>
                              <w:rPr>
                                <w:sz w:val="18"/>
                              </w:rPr>
                            </w:pPr>
                            <w:r>
                              <w:rPr>
                                <w:spacing w:val="-2"/>
                                <w:sz w:val="18"/>
                              </w:rPr>
                              <w:t>126.505,84</w:t>
                            </w:r>
                          </w:p>
                        </w:tc>
                        <w:tc>
                          <w:tcPr>
                            <w:tcW w:w="697"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77" w:right="83"/>
                              <w:jc w:val="center"/>
                              <w:rPr>
                                <w:sz w:val="17"/>
                              </w:rPr>
                            </w:pPr>
                            <w:r>
                              <w:rPr>
                                <w:spacing w:val="-4"/>
                                <w:sz w:val="17"/>
                              </w:rPr>
                              <w:t>0,29</w:t>
                            </w:r>
                          </w:p>
                        </w:tc>
                        <w:tc>
                          <w:tcPr>
                            <w:tcW w:w="1224"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right="117"/>
                              <w:jc w:val="right"/>
                              <w:rPr>
                                <w:sz w:val="17"/>
                              </w:rPr>
                            </w:pPr>
                            <w:r>
                              <w:rPr>
                                <w:spacing w:val="-2"/>
                                <w:sz w:val="17"/>
                              </w:rPr>
                              <w:t>80.963,77</w:t>
                            </w:r>
                          </w:p>
                        </w:tc>
                        <w:tc>
                          <w:tcPr>
                            <w:tcW w:w="731"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right="178"/>
                              <w:jc w:val="right"/>
                              <w:rPr>
                                <w:sz w:val="17"/>
                              </w:rPr>
                            </w:pPr>
                            <w:r>
                              <w:rPr>
                                <w:spacing w:val="-2"/>
                                <w:sz w:val="17"/>
                              </w:rPr>
                              <w:t>64,00</w:t>
                            </w:r>
                          </w:p>
                        </w:tc>
                        <w:tc>
                          <w:tcPr>
                            <w:tcW w:w="1077"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right="91"/>
                              <w:jc w:val="right"/>
                              <w:rPr>
                                <w:sz w:val="17"/>
                              </w:rPr>
                            </w:pPr>
                            <w:r>
                              <w:rPr>
                                <w:spacing w:val="-2"/>
                                <w:sz w:val="17"/>
                              </w:rPr>
                              <w:t>45.542,07</w:t>
                            </w:r>
                          </w:p>
                        </w:tc>
                        <w:tc>
                          <w:tcPr>
                            <w:tcW w:w="687"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114"/>
                              <w:rPr>
                                <w:sz w:val="17"/>
                              </w:rPr>
                            </w:pPr>
                            <w:r>
                              <w:rPr>
                                <w:spacing w:val="-2"/>
                                <w:sz w:val="17"/>
                              </w:rPr>
                              <w:t>36,00</w:t>
                            </w:r>
                          </w:p>
                        </w:tc>
                        <w:tc>
                          <w:tcPr>
                            <w:tcW w:w="1143"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right="118"/>
                              <w:jc w:val="right"/>
                              <w:rPr>
                                <w:sz w:val="17"/>
                              </w:rPr>
                            </w:pPr>
                            <w:r>
                              <w:rPr>
                                <w:spacing w:val="-4"/>
                                <w:sz w:val="17"/>
                              </w:rPr>
                              <w:t>0,00</w:t>
                            </w:r>
                          </w:p>
                        </w:tc>
                        <w:tc>
                          <w:tcPr>
                            <w:tcW w:w="531"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96"/>
                              <w:jc w:val="center"/>
                              <w:rPr>
                                <w:sz w:val="17"/>
                              </w:rPr>
                            </w:pPr>
                            <w:r>
                              <w:rPr>
                                <w:spacing w:val="-4"/>
                                <w:sz w:val="17"/>
                              </w:rPr>
                              <w:t>0,00</w:t>
                            </w:r>
                          </w:p>
                        </w:tc>
                        <w:tc>
                          <w:tcPr>
                            <w:tcW w:w="1007" w:type="dxa"/>
                            <w:tcBorders>
                              <w:top w:val="single" w:sz="8" w:space="0" w:color="001F5F"/>
                            </w:tcBorders>
                          </w:tcPr>
                          <w:p>
                            <w:pPr>
                              <w:pStyle w:val="TableParagraph"/>
                              <w:rPr>
                                <w:sz w:val="17"/>
                              </w:rPr>
                            </w:pPr>
                          </w:p>
                          <w:p>
                            <w:pPr>
                              <w:pStyle w:val="TableParagraph"/>
                              <w:spacing w:before="194"/>
                              <w:rPr>
                                <w:sz w:val="17"/>
                              </w:rPr>
                            </w:pPr>
                          </w:p>
                          <w:p>
                            <w:pPr>
                              <w:pStyle w:val="TableParagraph"/>
                              <w:spacing w:line="177" w:lineRule="exact"/>
                              <w:ind w:left="60"/>
                              <w:rPr>
                                <w:sz w:val="17"/>
                              </w:rPr>
                            </w:pPr>
                            <w:r>
                              <w:rPr>
                                <w:spacing w:val="-2"/>
                                <w:sz w:val="17"/>
                              </w:rPr>
                              <w:t>Finalizada</w:t>
                            </w:r>
                          </w:p>
                        </w:tc>
                      </w:tr>
                      <w:tr>
                        <w:trPr>
                          <w:trHeight w:val="583" w:hRule="atLeast"/>
                        </w:trPr>
                        <w:tc>
                          <w:tcPr>
                            <w:tcW w:w="1981" w:type="dxa"/>
                            <w:tcBorders>
                              <w:bottom w:val="single" w:sz="8" w:space="0" w:color="001F5F"/>
                            </w:tcBorders>
                          </w:tcPr>
                          <w:p>
                            <w:pPr>
                              <w:pStyle w:val="TableParagraph"/>
                              <w:ind w:left="71" w:right="63"/>
                              <w:rPr>
                                <w:sz w:val="17"/>
                              </w:rPr>
                            </w:pPr>
                            <w:r>
                              <w:rPr>
                                <w:sz w:val="17"/>
                              </w:rPr>
                              <w:t>Implementación</w:t>
                            </w:r>
                            <w:r>
                              <w:rPr>
                                <w:spacing w:val="-10"/>
                                <w:sz w:val="17"/>
                              </w:rPr>
                              <w:t> </w:t>
                            </w:r>
                            <w:r>
                              <w:rPr>
                                <w:sz w:val="17"/>
                              </w:rPr>
                              <w:t>herramientas</w:t>
                            </w:r>
                            <w:r>
                              <w:rPr>
                                <w:spacing w:val="40"/>
                                <w:sz w:val="17"/>
                              </w:rPr>
                              <w:t> </w:t>
                            </w:r>
                            <w:r>
                              <w:rPr>
                                <w:sz w:val="17"/>
                              </w:rPr>
                              <w:t>visualización y tratamiento</w:t>
                            </w:r>
                          </w:p>
                          <w:p>
                            <w:pPr>
                              <w:pStyle w:val="TableParagraph"/>
                              <w:spacing w:line="175" w:lineRule="exact"/>
                              <w:ind w:left="71"/>
                              <w:rPr>
                                <w:sz w:val="17"/>
                              </w:rPr>
                            </w:pPr>
                            <w:r>
                              <w:rPr>
                                <w:sz w:val="17"/>
                              </w:rPr>
                              <w:t>datos</w:t>
                            </w:r>
                            <w:r>
                              <w:rPr>
                                <w:spacing w:val="-5"/>
                                <w:sz w:val="17"/>
                              </w:rPr>
                              <w:t> </w:t>
                            </w:r>
                            <w:r>
                              <w:rPr>
                                <w:sz w:val="17"/>
                              </w:rPr>
                              <w:t>geoespaciales</w:t>
                            </w:r>
                            <w:r>
                              <w:rPr>
                                <w:spacing w:val="-5"/>
                                <w:sz w:val="17"/>
                              </w:rPr>
                              <w:t> </w:t>
                            </w:r>
                            <w:r>
                              <w:rPr>
                                <w:spacing w:val="-4"/>
                                <w:sz w:val="17"/>
                              </w:rPr>
                              <w:t>(GIS)</w:t>
                            </w:r>
                          </w:p>
                        </w:tc>
                        <w:tc>
                          <w:tcPr>
                            <w:tcW w:w="1146" w:type="dxa"/>
                            <w:tcBorders>
                              <w:bottom w:val="single" w:sz="8" w:space="0" w:color="001F5F"/>
                            </w:tcBorders>
                          </w:tcPr>
                          <w:p>
                            <w:pPr>
                              <w:pStyle w:val="TableParagraph"/>
                              <w:rPr>
                                <w:rFonts w:ascii="Times New Roman"/>
                                <w:sz w:val="16"/>
                              </w:rPr>
                            </w:pPr>
                          </w:p>
                        </w:tc>
                        <w:tc>
                          <w:tcPr>
                            <w:tcW w:w="1172" w:type="dxa"/>
                            <w:tcBorders>
                              <w:bottom w:val="single" w:sz="8" w:space="0" w:color="001F5F"/>
                            </w:tcBorders>
                          </w:tcPr>
                          <w:p>
                            <w:pPr>
                              <w:pStyle w:val="TableParagraph"/>
                              <w:rPr>
                                <w:rFonts w:ascii="Times New Roman"/>
                                <w:sz w:val="16"/>
                              </w:rPr>
                            </w:pPr>
                          </w:p>
                        </w:tc>
                        <w:tc>
                          <w:tcPr>
                            <w:tcW w:w="697" w:type="dxa"/>
                            <w:tcBorders>
                              <w:bottom w:val="single" w:sz="8" w:space="0" w:color="001F5F"/>
                            </w:tcBorders>
                          </w:tcPr>
                          <w:p>
                            <w:pPr>
                              <w:pStyle w:val="TableParagraph"/>
                              <w:rPr>
                                <w:rFonts w:ascii="Times New Roman"/>
                                <w:sz w:val="16"/>
                              </w:rPr>
                            </w:pPr>
                          </w:p>
                        </w:tc>
                        <w:tc>
                          <w:tcPr>
                            <w:tcW w:w="1224" w:type="dxa"/>
                            <w:tcBorders>
                              <w:bottom w:val="single" w:sz="8" w:space="0" w:color="001F5F"/>
                            </w:tcBorders>
                          </w:tcPr>
                          <w:p>
                            <w:pPr>
                              <w:pStyle w:val="TableParagraph"/>
                              <w:rPr>
                                <w:rFonts w:ascii="Times New Roman"/>
                                <w:sz w:val="16"/>
                              </w:rPr>
                            </w:pPr>
                          </w:p>
                        </w:tc>
                        <w:tc>
                          <w:tcPr>
                            <w:tcW w:w="731" w:type="dxa"/>
                            <w:tcBorders>
                              <w:bottom w:val="single" w:sz="8" w:space="0" w:color="001F5F"/>
                            </w:tcBorders>
                          </w:tcPr>
                          <w:p>
                            <w:pPr>
                              <w:pStyle w:val="TableParagraph"/>
                              <w:rPr>
                                <w:rFonts w:ascii="Times New Roman"/>
                                <w:sz w:val="16"/>
                              </w:rPr>
                            </w:pPr>
                          </w:p>
                        </w:tc>
                        <w:tc>
                          <w:tcPr>
                            <w:tcW w:w="1077" w:type="dxa"/>
                            <w:tcBorders>
                              <w:bottom w:val="single" w:sz="8" w:space="0" w:color="001F5F"/>
                            </w:tcBorders>
                          </w:tcPr>
                          <w:p>
                            <w:pPr>
                              <w:pStyle w:val="TableParagraph"/>
                              <w:rPr>
                                <w:rFonts w:ascii="Times New Roman"/>
                                <w:sz w:val="16"/>
                              </w:rPr>
                            </w:pPr>
                          </w:p>
                        </w:tc>
                        <w:tc>
                          <w:tcPr>
                            <w:tcW w:w="687" w:type="dxa"/>
                            <w:tcBorders>
                              <w:bottom w:val="single" w:sz="8" w:space="0" w:color="001F5F"/>
                            </w:tcBorders>
                          </w:tcPr>
                          <w:p>
                            <w:pPr>
                              <w:pStyle w:val="TableParagraph"/>
                              <w:rPr>
                                <w:rFonts w:ascii="Times New Roman"/>
                                <w:sz w:val="16"/>
                              </w:rPr>
                            </w:pPr>
                          </w:p>
                        </w:tc>
                        <w:tc>
                          <w:tcPr>
                            <w:tcW w:w="1143" w:type="dxa"/>
                            <w:tcBorders>
                              <w:bottom w:val="single" w:sz="8" w:space="0" w:color="001F5F"/>
                            </w:tcBorders>
                          </w:tcPr>
                          <w:p>
                            <w:pPr>
                              <w:pStyle w:val="TableParagraph"/>
                              <w:rPr>
                                <w:rFonts w:ascii="Times New Roman"/>
                                <w:sz w:val="16"/>
                              </w:rPr>
                            </w:pPr>
                          </w:p>
                        </w:tc>
                        <w:tc>
                          <w:tcPr>
                            <w:tcW w:w="531" w:type="dxa"/>
                            <w:tcBorders>
                              <w:bottom w:val="single" w:sz="8" w:space="0" w:color="001F5F"/>
                            </w:tcBorders>
                          </w:tcPr>
                          <w:p>
                            <w:pPr>
                              <w:pStyle w:val="TableParagraph"/>
                              <w:rPr>
                                <w:rFonts w:ascii="Times New Roman"/>
                                <w:sz w:val="16"/>
                              </w:rPr>
                            </w:pPr>
                          </w:p>
                        </w:tc>
                        <w:tc>
                          <w:tcPr>
                            <w:tcW w:w="1007" w:type="dxa"/>
                            <w:tcBorders>
                              <w:bottom w:val="single" w:sz="8" w:space="0" w:color="001F5F"/>
                            </w:tcBorders>
                          </w:tcPr>
                          <w:p>
                            <w:pPr>
                              <w:pStyle w:val="TableParagraph"/>
                              <w:rPr>
                                <w:rFonts w:ascii="Times New Roman"/>
                                <w:sz w:val="16"/>
                              </w:rPr>
                            </w:pPr>
                          </w:p>
                        </w:tc>
                      </w:tr>
                    </w:tbl>
                    <w:p>
                      <w:pPr>
                        <w:pStyle w:val="BodyText"/>
                      </w:pPr>
                    </w:p>
                  </w:txbxContent>
                </v:textbox>
                <w10:wrap type="none"/>
              </v:shape>
            </w:pict>
          </mc:Fallback>
        </mc:AlternateContent>
      </w:r>
    </w:p>
    <w:p>
      <w:pPr>
        <w:spacing w:before="0"/>
        <w:ind w:left="-1" w:right="2" w:firstLine="0"/>
        <w:jc w:val="center"/>
        <w:rPr>
          <w:b/>
          <w:sz w:val="22"/>
        </w:rPr>
      </w:pPr>
      <w:bookmarkStart w:name="_bookmark148" w:id="150"/>
      <w:bookmarkEnd w:id="150"/>
      <w:r>
        <w:rPr/>
      </w:r>
      <w:bookmarkStart w:name="_bookmark149" w:id="151"/>
      <w:bookmarkEnd w:id="151"/>
      <w:r>
        <w:rPr/>
      </w:r>
      <w:r>
        <w:rPr>
          <w:b/>
          <w:sz w:val="22"/>
        </w:rPr>
        <w:t>ACTUACIONES</w:t>
      </w:r>
      <w:r>
        <w:rPr>
          <w:b/>
          <w:spacing w:val="-8"/>
          <w:sz w:val="22"/>
        </w:rPr>
        <w:t> </w:t>
      </w:r>
      <w:r>
        <w:rPr>
          <w:b/>
          <w:sz w:val="22"/>
        </w:rPr>
        <w:t>REALIZADAS</w:t>
      </w:r>
      <w:r>
        <w:rPr>
          <w:b/>
          <w:spacing w:val="-9"/>
          <w:sz w:val="22"/>
        </w:rPr>
        <w:t> </w:t>
      </w:r>
      <w:r>
        <w:rPr>
          <w:b/>
          <w:sz w:val="22"/>
        </w:rPr>
        <w:t>POR</w:t>
      </w:r>
      <w:r>
        <w:rPr>
          <w:b/>
          <w:spacing w:val="-8"/>
          <w:sz w:val="22"/>
        </w:rPr>
        <w:t> </w:t>
      </w:r>
      <w:r>
        <w:rPr>
          <w:b/>
          <w:sz w:val="22"/>
        </w:rPr>
        <w:t>EL</w:t>
      </w:r>
      <w:r>
        <w:rPr>
          <w:b/>
          <w:spacing w:val="-8"/>
          <w:sz w:val="22"/>
        </w:rPr>
        <w:t> </w:t>
      </w:r>
      <w:r>
        <w:rPr>
          <w:b/>
          <w:sz w:val="22"/>
        </w:rPr>
        <w:t>AYUNTAMIENTO</w:t>
      </w:r>
      <w:r>
        <w:rPr>
          <w:b/>
          <w:spacing w:val="-7"/>
          <w:sz w:val="22"/>
        </w:rPr>
        <w:t> </w:t>
      </w:r>
      <w:r>
        <w:rPr>
          <w:b/>
          <w:sz w:val="22"/>
        </w:rPr>
        <w:t>DE</w:t>
      </w:r>
      <w:r>
        <w:rPr>
          <w:b/>
          <w:spacing w:val="-5"/>
          <w:sz w:val="22"/>
        </w:rPr>
        <w:t> </w:t>
      </w:r>
      <w:r>
        <w:rPr>
          <w:b/>
          <w:spacing w:val="-2"/>
          <w:sz w:val="22"/>
        </w:rPr>
        <w:t>PALMA</w:t>
      </w:r>
    </w:p>
    <w:p>
      <w:pPr>
        <w:pStyle w:val="BodyText"/>
        <w:rPr>
          <w:b/>
          <w:sz w:val="20"/>
        </w:rPr>
      </w:pPr>
    </w:p>
    <w:p>
      <w:pPr>
        <w:pStyle w:val="BodyText"/>
        <w:rPr>
          <w:b/>
          <w:sz w:val="20"/>
        </w:rPr>
      </w:pPr>
    </w:p>
    <w:p>
      <w:pPr>
        <w:pStyle w:val="BodyText"/>
        <w:spacing w:before="108"/>
        <w:rPr>
          <w:b/>
          <w:sz w:val="20"/>
        </w:rPr>
      </w:pPr>
      <w:r>
        <w:rPr>
          <w:b/>
          <w:sz w:val="20"/>
        </w:rPr>
        <mc:AlternateContent>
          <mc:Choice Requires="wps">
            <w:drawing>
              <wp:anchor distT="0" distB="0" distL="0" distR="0" allowOverlap="1" layoutInCell="1" locked="0" behindDoc="1" simplePos="0" relativeHeight="487637504">
                <wp:simplePos x="0" y="0"/>
                <wp:positionH relativeFrom="page">
                  <wp:posOffset>4554601</wp:posOffset>
                </wp:positionH>
                <wp:positionV relativeFrom="paragraph">
                  <wp:posOffset>230055</wp:posOffset>
                </wp:positionV>
                <wp:extent cx="17145" cy="117475"/>
                <wp:effectExtent l="0" t="0" r="0" b="0"/>
                <wp:wrapTopAndBottom/>
                <wp:docPr id="447" name="Graphic 447"/>
                <wp:cNvGraphicFramePr>
                  <a:graphicFrameLocks/>
                </wp:cNvGraphicFramePr>
                <a:graphic>
                  <a:graphicData uri="http://schemas.microsoft.com/office/word/2010/wordprocessingShape">
                    <wps:wsp>
                      <wps:cNvPr id="447" name="Graphic 447"/>
                      <wps:cNvSpPr/>
                      <wps:spPr>
                        <a:xfrm>
                          <a:off x="0" y="0"/>
                          <a:ext cx="17145" cy="117475"/>
                        </a:xfrm>
                        <a:custGeom>
                          <a:avLst/>
                          <a:gdLst/>
                          <a:ahLst/>
                          <a:cxnLst/>
                          <a:rect l="l" t="t" r="r" b="b"/>
                          <a:pathLst>
                            <a:path w="17145" h="117475">
                              <a:moveTo>
                                <a:pt x="16763" y="0"/>
                              </a:moveTo>
                              <a:lnTo>
                                <a:pt x="0" y="0"/>
                              </a:lnTo>
                              <a:lnTo>
                                <a:pt x="0" y="117348"/>
                              </a:lnTo>
                              <a:lnTo>
                                <a:pt x="16763" y="117348"/>
                              </a:lnTo>
                              <a:lnTo>
                                <a:pt x="16763"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358.630005pt;margin-top:18.114571pt;width:1.32pt;height:9.24pt;mso-position-horizontal-relative:page;mso-position-vertical-relative:paragraph;z-index:-15678976;mso-wrap-distance-left:0;mso-wrap-distance-right:0" id="docshape388" filled="true" fillcolor="#002d5d" stroked="false">
                <v:fill type="solid"/>
                <w10:wrap type="topAndBottom"/>
              </v:rect>
            </w:pict>
          </mc:Fallback>
        </mc:AlternateContent>
      </w:r>
      <w:r>
        <w:rPr>
          <w:b/>
          <w:sz w:val="20"/>
        </w:rPr>
        <mc:AlternateContent>
          <mc:Choice Requires="wps">
            <w:drawing>
              <wp:anchor distT="0" distB="0" distL="0" distR="0" allowOverlap="1" layoutInCell="1" locked="0" behindDoc="1" simplePos="0" relativeHeight="487638016">
                <wp:simplePos x="0" y="0"/>
                <wp:positionH relativeFrom="page">
                  <wp:posOffset>5646165</wp:posOffset>
                </wp:positionH>
                <wp:positionV relativeFrom="paragraph">
                  <wp:posOffset>230055</wp:posOffset>
                </wp:positionV>
                <wp:extent cx="15240" cy="117475"/>
                <wp:effectExtent l="0" t="0" r="0" b="0"/>
                <wp:wrapTopAndBottom/>
                <wp:docPr id="448" name="Graphic 448"/>
                <wp:cNvGraphicFramePr>
                  <a:graphicFrameLocks/>
                </wp:cNvGraphicFramePr>
                <a:graphic>
                  <a:graphicData uri="http://schemas.microsoft.com/office/word/2010/wordprocessingShape">
                    <wps:wsp>
                      <wps:cNvPr id="448" name="Graphic 448"/>
                      <wps:cNvSpPr/>
                      <wps:spPr>
                        <a:xfrm>
                          <a:off x="0" y="0"/>
                          <a:ext cx="15240" cy="117475"/>
                        </a:xfrm>
                        <a:custGeom>
                          <a:avLst/>
                          <a:gdLst/>
                          <a:ahLst/>
                          <a:cxnLst/>
                          <a:rect l="l" t="t" r="r" b="b"/>
                          <a:pathLst>
                            <a:path w="15240" h="117475">
                              <a:moveTo>
                                <a:pt x="15239" y="0"/>
                              </a:moveTo>
                              <a:lnTo>
                                <a:pt x="0" y="0"/>
                              </a:lnTo>
                              <a:lnTo>
                                <a:pt x="0" y="117348"/>
                              </a:lnTo>
                              <a:lnTo>
                                <a:pt x="15239" y="117348"/>
                              </a:lnTo>
                              <a:lnTo>
                                <a:pt x="15239"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444.579987pt;margin-top:18.114571pt;width:1.2pt;height:9.24pt;mso-position-horizontal-relative:page;mso-position-vertical-relative:paragraph;z-index:-15678464;mso-wrap-distance-left:0;mso-wrap-distance-right:0" id="docshape389" filled="true" fillcolor="#002d5d" stroked="false">
                <v:fill type="solid"/>
                <w10:wrap type="topAndBottom"/>
              </v:rect>
            </w:pict>
          </mc:Fallback>
        </mc:AlternateContent>
      </w: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rPr>
          <w:b/>
          <w:sz w:val="17"/>
        </w:rPr>
      </w:pPr>
    </w:p>
    <w:p>
      <w:pPr>
        <w:pStyle w:val="BodyText"/>
        <w:spacing w:before="153"/>
        <w:rPr>
          <w:b/>
          <w:sz w:val="17"/>
        </w:rPr>
      </w:pPr>
    </w:p>
    <w:p>
      <w:pPr>
        <w:spacing w:before="1"/>
        <w:ind w:left="192" w:right="0" w:firstLine="0"/>
        <w:jc w:val="left"/>
        <w:rPr>
          <w:rFonts w:ascii="Arial Narrow" w:hAnsi="Arial Narrow"/>
          <w:sz w:val="17"/>
        </w:rPr>
      </w:pPr>
      <w:r>
        <w:rPr>
          <w:rFonts w:ascii="Arial Narrow" w:hAnsi="Arial Narrow"/>
          <w:sz w:val="17"/>
        </w:rPr>
        <w:t>autobuses</w:t>
      </w:r>
      <w:r>
        <w:rPr>
          <w:rFonts w:ascii="Arial Narrow" w:hAnsi="Arial Narrow"/>
          <w:spacing w:val="-4"/>
          <w:sz w:val="17"/>
        </w:rPr>
        <w:t> </w:t>
      </w:r>
      <w:r>
        <w:rPr>
          <w:rFonts w:ascii="Arial Narrow" w:hAnsi="Arial Narrow"/>
          <w:sz w:val="17"/>
        </w:rPr>
        <w:t>y</w:t>
      </w:r>
      <w:r>
        <w:rPr>
          <w:rFonts w:ascii="Arial Narrow" w:hAnsi="Arial Narrow"/>
          <w:spacing w:val="-1"/>
          <w:sz w:val="17"/>
        </w:rPr>
        <w:t> </w:t>
      </w:r>
      <w:r>
        <w:rPr>
          <w:rFonts w:ascii="Arial Narrow" w:hAnsi="Arial Narrow"/>
          <w:sz w:val="17"/>
        </w:rPr>
        <w:t>de</w:t>
      </w:r>
      <w:r>
        <w:rPr>
          <w:rFonts w:ascii="Arial Narrow" w:hAnsi="Arial Narrow"/>
          <w:spacing w:val="-3"/>
          <w:sz w:val="17"/>
        </w:rPr>
        <w:t> </w:t>
      </w:r>
      <w:r>
        <w:rPr>
          <w:rFonts w:ascii="Arial Narrow" w:hAnsi="Arial Narrow"/>
          <w:spacing w:val="-2"/>
          <w:sz w:val="17"/>
        </w:rPr>
        <w:t>conducción</w:t>
      </w:r>
    </w:p>
    <w:p>
      <w:pPr>
        <w:pStyle w:val="BodyText"/>
        <w:rPr>
          <w:rFonts w:ascii="Arial Narrow"/>
          <w:sz w:val="17"/>
        </w:rPr>
      </w:pPr>
    </w:p>
    <w:p>
      <w:pPr>
        <w:pStyle w:val="BodyText"/>
        <w:rPr>
          <w:rFonts w:ascii="Arial Narrow"/>
          <w:sz w:val="17"/>
        </w:rPr>
      </w:pPr>
    </w:p>
    <w:p>
      <w:pPr>
        <w:pStyle w:val="BodyText"/>
        <w:spacing w:before="18"/>
        <w:rPr>
          <w:rFonts w:ascii="Arial Narrow"/>
          <w:sz w:val="17"/>
        </w:rPr>
      </w:pPr>
    </w:p>
    <w:p>
      <w:pPr>
        <w:spacing w:before="0"/>
        <w:ind w:left="192" w:right="0" w:firstLine="0"/>
        <w:jc w:val="left"/>
        <w:rPr>
          <w:rFonts w:ascii="Arial Narrow"/>
          <w:sz w:val="17"/>
        </w:rPr>
      </w:pPr>
      <w:r>
        <w:rPr>
          <w:rFonts w:ascii="Arial Narrow"/>
          <w:sz w:val="17"/>
        </w:rPr>
        <w:t>destino</w:t>
      </w:r>
      <w:r>
        <w:rPr>
          <w:rFonts w:ascii="Arial Narrow"/>
          <w:spacing w:val="-4"/>
          <w:sz w:val="17"/>
        </w:rPr>
        <w:t> </w:t>
      </w:r>
      <w:r>
        <w:rPr>
          <w:rFonts w:ascii="Arial Narrow"/>
          <w:sz w:val="17"/>
        </w:rPr>
        <w:t>mediante</w:t>
      </w:r>
      <w:r>
        <w:rPr>
          <w:rFonts w:ascii="Arial Narrow"/>
          <w:spacing w:val="-3"/>
          <w:sz w:val="17"/>
        </w:rPr>
        <w:t> </w:t>
      </w:r>
      <w:r>
        <w:rPr>
          <w:rFonts w:ascii="Arial Narrow"/>
          <w:spacing w:val="-2"/>
          <w:sz w:val="17"/>
        </w:rPr>
        <w:t>algoritmo</w:t>
      </w:r>
    </w:p>
    <w:p>
      <w:pPr>
        <w:pStyle w:val="BodyText"/>
        <w:spacing w:before="1"/>
        <w:rPr>
          <w:rFonts w:ascii="Arial Narrow"/>
          <w:sz w:val="15"/>
        </w:rPr>
      </w:pPr>
      <w:r>
        <w:rPr>
          <w:rFonts w:ascii="Arial Narrow"/>
          <w:sz w:val="15"/>
        </w:rPr>
        <mc:AlternateContent>
          <mc:Choice Requires="wps">
            <w:drawing>
              <wp:anchor distT="0" distB="0" distL="0" distR="0" allowOverlap="1" layoutInCell="1" locked="0" behindDoc="1" simplePos="0" relativeHeight="487638528">
                <wp:simplePos x="0" y="0"/>
                <wp:positionH relativeFrom="page">
                  <wp:posOffset>166116</wp:posOffset>
                </wp:positionH>
                <wp:positionV relativeFrom="paragraph">
                  <wp:posOffset>125630</wp:posOffset>
                </wp:positionV>
                <wp:extent cx="7228840" cy="12700"/>
                <wp:effectExtent l="0" t="0" r="0" b="0"/>
                <wp:wrapTopAndBottom/>
                <wp:docPr id="449" name="Graphic 449"/>
                <wp:cNvGraphicFramePr>
                  <a:graphicFrameLocks/>
                </wp:cNvGraphicFramePr>
                <a:graphic>
                  <a:graphicData uri="http://schemas.microsoft.com/office/word/2010/wordprocessingShape">
                    <wps:wsp>
                      <wps:cNvPr id="449" name="Graphic 449"/>
                      <wps:cNvSpPr/>
                      <wps:spPr>
                        <a:xfrm>
                          <a:off x="0" y="0"/>
                          <a:ext cx="7228840" cy="12700"/>
                        </a:xfrm>
                        <a:custGeom>
                          <a:avLst/>
                          <a:gdLst/>
                          <a:ahLst/>
                          <a:cxnLst/>
                          <a:rect l="l" t="t" r="r" b="b"/>
                          <a:pathLst>
                            <a:path w="7228840" h="12700">
                              <a:moveTo>
                                <a:pt x="1271257" y="0"/>
                              </a:moveTo>
                              <a:lnTo>
                                <a:pt x="1259128" y="0"/>
                              </a:lnTo>
                              <a:lnTo>
                                <a:pt x="0" y="0"/>
                              </a:lnTo>
                              <a:lnTo>
                                <a:pt x="0" y="12179"/>
                              </a:lnTo>
                              <a:lnTo>
                                <a:pt x="1259078" y="12179"/>
                              </a:lnTo>
                              <a:lnTo>
                                <a:pt x="1271257" y="12179"/>
                              </a:lnTo>
                              <a:lnTo>
                                <a:pt x="1271257" y="0"/>
                              </a:lnTo>
                              <a:close/>
                            </a:path>
                            <a:path w="7228840" h="12700">
                              <a:moveTo>
                                <a:pt x="1981758" y="0"/>
                              </a:moveTo>
                              <a:lnTo>
                                <a:pt x="1271270" y="0"/>
                              </a:lnTo>
                              <a:lnTo>
                                <a:pt x="1271270" y="12179"/>
                              </a:lnTo>
                              <a:lnTo>
                                <a:pt x="1981758" y="12179"/>
                              </a:lnTo>
                              <a:lnTo>
                                <a:pt x="1981758" y="0"/>
                              </a:lnTo>
                              <a:close/>
                            </a:path>
                            <a:path w="7228840" h="12700">
                              <a:moveTo>
                                <a:pt x="1994014" y="0"/>
                              </a:moveTo>
                              <a:lnTo>
                                <a:pt x="1981835" y="0"/>
                              </a:lnTo>
                              <a:lnTo>
                                <a:pt x="1981835" y="12179"/>
                              </a:lnTo>
                              <a:lnTo>
                                <a:pt x="1994014" y="12179"/>
                              </a:lnTo>
                              <a:lnTo>
                                <a:pt x="1994014" y="0"/>
                              </a:lnTo>
                              <a:close/>
                            </a:path>
                            <a:path w="7228840" h="12700">
                              <a:moveTo>
                                <a:pt x="3197974" y="0"/>
                              </a:moveTo>
                              <a:lnTo>
                                <a:pt x="3197974" y="0"/>
                              </a:lnTo>
                              <a:lnTo>
                                <a:pt x="1994027" y="0"/>
                              </a:lnTo>
                              <a:lnTo>
                                <a:pt x="1994027" y="12179"/>
                              </a:lnTo>
                              <a:lnTo>
                                <a:pt x="3197974" y="12179"/>
                              </a:lnTo>
                              <a:lnTo>
                                <a:pt x="3197974" y="0"/>
                              </a:lnTo>
                              <a:close/>
                            </a:path>
                            <a:path w="7228840" h="12700">
                              <a:moveTo>
                                <a:pt x="3931272" y="0"/>
                              </a:moveTo>
                              <a:lnTo>
                                <a:pt x="3919143" y="0"/>
                              </a:lnTo>
                              <a:lnTo>
                                <a:pt x="3197987" y="0"/>
                              </a:lnTo>
                              <a:lnTo>
                                <a:pt x="3197987" y="12179"/>
                              </a:lnTo>
                              <a:lnTo>
                                <a:pt x="3919093" y="12179"/>
                              </a:lnTo>
                              <a:lnTo>
                                <a:pt x="3931272" y="12179"/>
                              </a:lnTo>
                              <a:lnTo>
                                <a:pt x="3931272" y="0"/>
                              </a:lnTo>
                              <a:close/>
                            </a:path>
                            <a:path w="7228840" h="12700">
                              <a:moveTo>
                                <a:pt x="4356468" y="0"/>
                              </a:moveTo>
                              <a:lnTo>
                                <a:pt x="4344289" y="0"/>
                              </a:lnTo>
                              <a:lnTo>
                                <a:pt x="3931285" y="0"/>
                              </a:lnTo>
                              <a:lnTo>
                                <a:pt x="3931285" y="12179"/>
                              </a:lnTo>
                              <a:lnTo>
                                <a:pt x="4344289" y="12179"/>
                              </a:lnTo>
                              <a:lnTo>
                                <a:pt x="4356468" y="12179"/>
                              </a:lnTo>
                              <a:lnTo>
                                <a:pt x="4356468" y="0"/>
                              </a:lnTo>
                              <a:close/>
                            </a:path>
                            <a:path w="7228840" h="12700">
                              <a:moveTo>
                                <a:pt x="4460100" y="0"/>
                              </a:moveTo>
                              <a:lnTo>
                                <a:pt x="4447921" y="0"/>
                              </a:lnTo>
                              <a:lnTo>
                                <a:pt x="4356481" y="0"/>
                              </a:lnTo>
                              <a:lnTo>
                                <a:pt x="4356481" y="12179"/>
                              </a:lnTo>
                              <a:lnTo>
                                <a:pt x="4447921" y="12179"/>
                              </a:lnTo>
                              <a:lnTo>
                                <a:pt x="4460100" y="12179"/>
                              </a:lnTo>
                              <a:lnTo>
                                <a:pt x="4460100" y="0"/>
                              </a:lnTo>
                              <a:close/>
                            </a:path>
                            <a:path w="7228840" h="12700">
                              <a:moveTo>
                                <a:pt x="5083721" y="0"/>
                              </a:moveTo>
                              <a:lnTo>
                                <a:pt x="4460113" y="0"/>
                              </a:lnTo>
                              <a:lnTo>
                                <a:pt x="4460113" y="12179"/>
                              </a:lnTo>
                              <a:lnTo>
                                <a:pt x="5083721" y="12179"/>
                              </a:lnTo>
                              <a:lnTo>
                                <a:pt x="5083721" y="0"/>
                              </a:lnTo>
                              <a:close/>
                            </a:path>
                            <a:path w="7228840" h="12700">
                              <a:moveTo>
                                <a:pt x="5095989" y="0"/>
                              </a:moveTo>
                              <a:lnTo>
                                <a:pt x="5083810" y="0"/>
                              </a:lnTo>
                              <a:lnTo>
                                <a:pt x="5083810" y="12179"/>
                              </a:lnTo>
                              <a:lnTo>
                                <a:pt x="5095989" y="12179"/>
                              </a:lnTo>
                              <a:lnTo>
                                <a:pt x="5095989" y="0"/>
                              </a:lnTo>
                              <a:close/>
                            </a:path>
                            <a:path w="7228840" h="12700">
                              <a:moveTo>
                                <a:pt x="5434317" y="0"/>
                              </a:moveTo>
                              <a:lnTo>
                                <a:pt x="5096002" y="0"/>
                              </a:lnTo>
                              <a:lnTo>
                                <a:pt x="5096002" y="12179"/>
                              </a:lnTo>
                              <a:lnTo>
                                <a:pt x="5434317" y="12179"/>
                              </a:lnTo>
                              <a:lnTo>
                                <a:pt x="5434317" y="0"/>
                              </a:lnTo>
                              <a:close/>
                            </a:path>
                            <a:path w="7228840" h="12700">
                              <a:moveTo>
                                <a:pt x="5446509" y="0"/>
                              </a:moveTo>
                              <a:lnTo>
                                <a:pt x="5434330" y="0"/>
                              </a:lnTo>
                              <a:lnTo>
                                <a:pt x="5434330" y="12179"/>
                              </a:lnTo>
                              <a:lnTo>
                                <a:pt x="5446509" y="12179"/>
                              </a:lnTo>
                              <a:lnTo>
                                <a:pt x="5446509" y="0"/>
                              </a:lnTo>
                              <a:close/>
                            </a:path>
                            <a:path w="7228840" h="12700">
                              <a:moveTo>
                                <a:pt x="5551665" y="0"/>
                              </a:moveTo>
                              <a:lnTo>
                                <a:pt x="5539486" y="0"/>
                              </a:lnTo>
                              <a:lnTo>
                                <a:pt x="5446522" y="0"/>
                              </a:lnTo>
                              <a:lnTo>
                                <a:pt x="5446522" y="12179"/>
                              </a:lnTo>
                              <a:lnTo>
                                <a:pt x="5539486" y="12179"/>
                              </a:lnTo>
                              <a:lnTo>
                                <a:pt x="5551665" y="12179"/>
                              </a:lnTo>
                              <a:lnTo>
                                <a:pt x="5551665" y="0"/>
                              </a:lnTo>
                              <a:close/>
                            </a:path>
                            <a:path w="7228840" h="12700">
                              <a:moveTo>
                                <a:pt x="6240767" y="0"/>
                              </a:moveTo>
                              <a:lnTo>
                                <a:pt x="6228639" y="0"/>
                              </a:lnTo>
                              <a:lnTo>
                                <a:pt x="5551678" y="0"/>
                              </a:lnTo>
                              <a:lnTo>
                                <a:pt x="5551678" y="12179"/>
                              </a:lnTo>
                              <a:lnTo>
                                <a:pt x="6228588" y="12179"/>
                              </a:lnTo>
                              <a:lnTo>
                                <a:pt x="6240767" y="12179"/>
                              </a:lnTo>
                              <a:lnTo>
                                <a:pt x="6240767" y="0"/>
                              </a:lnTo>
                              <a:close/>
                            </a:path>
                            <a:path w="7228840" h="12700">
                              <a:moveTo>
                                <a:pt x="6601955" y="0"/>
                              </a:moveTo>
                              <a:lnTo>
                                <a:pt x="6589776" y="0"/>
                              </a:lnTo>
                              <a:lnTo>
                                <a:pt x="6240780" y="0"/>
                              </a:lnTo>
                              <a:lnTo>
                                <a:pt x="6240780" y="12179"/>
                              </a:lnTo>
                              <a:lnTo>
                                <a:pt x="6589776" y="12179"/>
                              </a:lnTo>
                              <a:lnTo>
                                <a:pt x="6601955" y="12179"/>
                              </a:lnTo>
                              <a:lnTo>
                                <a:pt x="6601955" y="0"/>
                              </a:lnTo>
                              <a:close/>
                            </a:path>
                            <a:path w="7228840" h="12700">
                              <a:moveTo>
                                <a:pt x="7228332" y="0"/>
                              </a:moveTo>
                              <a:lnTo>
                                <a:pt x="6601968" y="0"/>
                              </a:lnTo>
                              <a:lnTo>
                                <a:pt x="6601968" y="12179"/>
                              </a:lnTo>
                              <a:lnTo>
                                <a:pt x="7228332" y="12179"/>
                              </a:lnTo>
                              <a:lnTo>
                                <a:pt x="7228332" y="0"/>
                              </a:lnTo>
                              <a:close/>
                            </a:path>
                          </a:pathLst>
                        </a:custGeom>
                        <a:solidFill>
                          <a:srgbClr val="001F5F"/>
                        </a:solidFill>
                      </wps:spPr>
                      <wps:bodyPr wrap="square" lIns="0" tIns="0" rIns="0" bIns="0" rtlCol="0">
                        <a:prstTxWarp prst="textNoShape">
                          <a:avLst/>
                        </a:prstTxWarp>
                        <a:noAutofit/>
                      </wps:bodyPr>
                    </wps:wsp>
                  </a:graphicData>
                </a:graphic>
              </wp:anchor>
            </w:drawing>
          </mc:Choice>
          <mc:Fallback>
            <w:pict>
              <v:shape style="position:absolute;margin-left:13.080001pt;margin-top:9.892156pt;width:569.2pt;height:1pt;mso-position-horizontal-relative:page;mso-position-vertical-relative:paragraph;z-index:-15677952;mso-wrap-distance-left:0;mso-wrap-distance-right:0" id="docshape390" coordorigin="262,198" coordsize="11384,20" path="m2264,198l2244,198,2244,198,262,198,262,217,2244,217,2244,217,2264,217,2264,198xm3382,198l2264,198,2264,217,3382,217,3382,198xm3402,198l3383,198,3383,217,3402,217,3402,198xm5298,198l5279,198,5130,198,5111,198,4515,198,4496,198,3402,198,3402,217,4496,217,4515,217,5111,217,5130,217,5279,217,5298,217,5298,198xm6453,198l6433,198,6433,198,5298,198,5298,217,6433,217,6433,217,6453,217,6453,198xm7122,198l7103,198,6453,198,6453,217,7103,217,7122,217,7122,198xm7285,198l7266,198,7122,198,7122,217,7266,217,7285,217,7285,198xm8267,198l7285,198,7285,217,8267,217,8267,198xm8287,198l8268,198,8268,217,8287,217,8287,198xm8820,198l8287,198,8287,217,8820,217,8820,198xm8839,198l8820,198,8820,217,8839,217,8839,198xm9004,198l8985,198,8839,198,8839,217,8985,217,9004,217,9004,198xm10090,198l10070,198,10070,198,9004,198,9004,217,10070,217,10070,217,10090,217,10090,198xm10658,198l10639,198,10090,198,10090,217,10639,217,10658,217,10658,198xm11645,198l10658,198,10658,217,11645,217,11645,198xe" filled="true" fillcolor="#001f5f" stroked="false">
                <v:path arrowok="t"/>
                <v:fill type="solid"/>
                <w10:wrap type="topAndBottom"/>
              </v:shape>
            </w:pict>
          </mc:Fallback>
        </mc:AlternateContent>
      </w: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spacing w:before="20"/>
        <w:rPr>
          <w:rFonts w:ascii="Arial Narrow"/>
          <w:sz w:val="17"/>
        </w:rPr>
      </w:pPr>
    </w:p>
    <w:p>
      <w:pPr>
        <w:spacing w:before="1"/>
        <w:ind w:left="192" w:right="0" w:firstLine="0"/>
        <w:jc w:val="left"/>
        <w:rPr>
          <w:rFonts w:ascii="Arial Narrow" w:hAnsi="Arial Narrow"/>
          <w:sz w:val="17"/>
        </w:rPr>
      </w:pPr>
      <w:r>
        <w:rPr>
          <w:rFonts w:ascii="Arial Narrow" w:hAnsi="Arial Narrow"/>
          <w:sz w:val="17"/>
        </w:rPr>
        <w:t>paradas</w:t>
      </w:r>
      <w:r>
        <w:rPr>
          <w:rFonts w:ascii="Arial Narrow" w:hAnsi="Arial Narrow"/>
          <w:spacing w:val="-4"/>
          <w:sz w:val="17"/>
        </w:rPr>
        <w:t> </w:t>
      </w:r>
      <w:r>
        <w:rPr>
          <w:rFonts w:ascii="Arial Narrow" w:hAnsi="Arial Narrow"/>
          <w:sz w:val="17"/>
        </w:rPr>
        <w:t>con</w:t>
      </w:r>
      <w:r>
        <w:rPr>
          <w:rFonts w:ascii="Arial Narrow" w:hAnsi="Arial Narrow"/>
          <w:spacing w:val="-4"/>
          <w:sz w:val="17"/>
        </w:rPr>
        <w:t> </w:t>
      </w:r>
      <w:r>
        <w:rPr>
          <w:rFonts w:ascii="Arial Narrow" w:hAnsi="Arial Narrow"/>
          <w:sz w:val="17"/>
        </w:rPr>
        <w:t>información</w:t>
      </w:r>
      <w:r>
        <w:rPr>
          <w:rFonts w:ascii="Arial Narrow" w:hAnsi="Arial Narrow"/>
          <w:spacing w:val="-2"/>
          <w:sz w:val="17"/>
        </w:rPr>
        <w:t> </w:t>
      </w:r>
      <w:r>
        <w:rPr>
          <w:rFonts w:ascii="Arial Narrow" w:hAnsi="Arial Narrow"/>
          <w:spacing w:val="-5"/>
          <w:sz w:val="17"/>
        </w:rPr>
        <w:t>en</w:t>
      </w:r>
    </w:p>
    <w:p>
      <w:pPr>
        <w:pStyle w:val="BodyText"/>
        <w:rPr>
          <w:rFonts w:ascii="Arial Narrow"/>
          <w:sz w:val="17"/>
        </w:rPr>
      </w:pPr>
    </w:p>
    <w:p>
      <w:pPr>
        <w:pStyle w:val="BodyText"/>
        <w:rPr>
          <w:rFonts w:ascii="Arial Narrow"/>
          <w:sz w:val="17"/>
        </w:rPr>
      </w:pPr>
    </w:p>
    <w:p>
      <w:pPr>
        <w:pStyle w:val="BodyText"/>
        <w:spacing w:before="19"/>
        <w:rPr>
          <w:rFonts w:ascii="Arial Narrow"/>
          <w:sz w:val="17"/>
        </w:rPr>
      </w:pPr>
    </w:p>
    <w:p>
      <w:pPr>
        <w:spacing w:before="0"/>
        <w:ind w:left="192" w:right="0" w:firstLine="0"/>
        <w:jc w:val="left"/>
        <w:rPr>
          <w:rFonts w:ascii="Arial Narrow" w:hAnsi="Arial Narrow"/>
          <w:sz w:val="17"/>
        </w:rPr>
      </w:pPr>
      <w:r>
        <w:rPr>
          <w:rFonts w:ascii="Arial Narrow" w:hAnsi="Arial Narrow"/>
          <w:sz w:val="17"/>
        </w:rPr>
        <w:t>optimización</w:t>
      </w:r>
      <w:r>
        <w:rPr>
          <w:rFonts w:ascii="Arial Narrow" w:hAnsi="Arial Narrow"/>
          <w:spacing w:val="-5"/>
          <w:sz w:val="17"/>
        </w:rPr>
        <w:t> </w:t>
      </w:r>
      <w:r>
        <w:rPr>
          <w:rFonts w:ascii="Arial Narrow" w:hAnsi="Arial Narrow"/>
          <w:sz w:val="17"/>
        </w:rPr>
        <w:t>de</w:t>
      </w:r>
      <w:r>
        <w:rPr>
          <w:rFonts w:ascii="Arial Narrow" w:hAnsi="Arial Narrow"/>
          <w:spacing w:val="-5"/>
          <w:sz w:val="17"/>
        </w:rPr>
        <w:t> </w:t>
      </w:r>
      <w:r>
        <w:rPr>
          <w:rFonts w:ascii="Arial Narrow" w:hAnsi="Arial Narrow"/>
          <w:spacing w:val="-2"/>
          <w:sz w:val="17"/>
        </w:rPr>
        <w:t>recursos</w:t>
      </w:r>
    </w:p>
    <w:p>
      <w:pPr>
        <w:pStyle w:val="BodyText"/>
        <w:rPr>
          <w:rFonts w:ascii="Arial Narrow"/>
          <w:sz w:val="17"/>
        </w:rPr>
      </w:pPr>
    </w:p>
    <w:p>
      <w:pPr>
        <w:pStyle w:val="BodyText"/>
        <w:rPr>
          <w:rFonts w:ascii="Arial Narrow"/>
          <w:sz w:val="17"/>
        </w:rPr>
      </w:pPr>
    </w:p>
    <w:p>
      <w:pPr>
        <w:pStyle w:val="BodyText"/>
        <w:rPr>
          <w:rFonts w:ascii="Arial Narrow"/>
          <w:sz w:val="17"/>
        </w:rPr>
      </w:pPr>
    </w:p>
    <w:p>
      <w:pPr>
        <w:pStyle w:val="BodyText"/>
        <w:spacing w:before="21"/>
        <w:rPr>
          <w:rFonts w:ascii="Arial Narrow"/>
          <w:sz w:val="17"/>
        </w:rPr>
      </w:pPr>
    </w:p>
    <w:p>
      <w:pPr>
        <w:spacing w:before="0"/>
        <w:ind w:left="192" w:right="0" w:firstLine="0"/>
        <w:jc w:val="left"/>
        <w:rPr>
          <w:rFonts w:ascii="Arial Narrow"/>
          <w:sz w:val="17"/>
        </w:rPr>
      </w:pPr>
      <w:r>
        <w:rPr>
          <w:rFonts w:ascii="Arial Narrow"/>
          <w:sz w:val="17"/>
        </w:rPr>
        <w:t>la</w:t>
      </w:r>
      <w:r>
        <w:rPr>
          <w:rFonts w:ascii="Arial Narrow"/>
          <w:spacing w:val="-3"/>
          <w:sz w:val="17"/>
        </w:rPr>
        <w:t> </w:t>
      </w:r>
      <w:r>
        <w:rPr>
          <w:rFonts w:ascii="Arial Narrow"/>
          <w:sz w:val="17"/>
        </w:rPr>
        <w:t>EMT</w:t>
      </w:r>
      <w:r>
        <w:rPr>
          <w:rFonts w:ascii="Arial Narrow"/>
          <w:spacing w:val="-1"/>
          <w:sz w:val="17"/>
        </w:rPr>
        <w:t> </w:t>
      </w:r>
      <w:r>
        <w:rPr>
          <w:rFonts w:ascii="Arial Narrow"/>
          <w:sz w:val="17"/>
        </w:rPr>
        <w:t>Palma</w:t>
      </w:r>
      <w:r>
        <w:rPr>
          <w:rFonts w:ascii="Arial Narrow"/>
          <w:spacing w:val="-2"/>
          <w:sz w:val="17"/>
        </w:rPr>
        <w:t> </w:t>
      </w:r>
      <w:r>
        <w:rPr>
          <w:rFonts w:ascii="Arial Narrow"/>
          <w:sz w:val="17"/>
        </w:rPr>
        <w:t>y</w:t>
      </w:r>
      <w:r>
        <w:rPr>
          <w:rFonts w:ascii="Arial Narrow"/>
          <w:spacing w:val="-2"/>
          <w:sz w:val="17"/>
        </w:rPr>
        <w:t> </w:t>
      </w:r>
      <w:r>
        <w:rPr>
          <w:rFonts w:ascii="Arial Narrow"/>
          <w:sz w:val="17"/>
        </w:rPr>
        <w:t>en</w:t>
      </w:r>
      <w:r>
        <w:rPr>
          <w:rFonts w:ascii="Arial Narrow"/>
          <w:spacing w:val="-2"/>
          <w:sz w:val="17"/>
        </w:rPr>
        <w:t> algunas</w:t>
      </w:r>
    </w:p>
    <w:p>
      <w:pPr>
        <w:spacing w:after="0"/>
        <w:jc w:val="left"/>
        <w:rPr>
          <w:rFonts w:ascii="Arial Narrow"/>
          <w:sz w:val="17"/>
        </w:rPr>
        <w:sectPr>
          <w:headerReference w:type="default" r:id="rId121"/>
          <w:headerReference w:type="even" r:id="rId122"/>
          <w:footerReference w:type="default" r:id="rId123"/>
          <w:footerReference w:type="even" r:id="rId124"/>
          <w:pgSz w:w="11910" w:h="16840"/>
          <w:pgMar w:header="1270" w:footer="661" w:top="2800" w:bottom="860" w:left="141" w:right="141"/>
          <w:pgNumType w:start="127"/>
        </w:sectPr>
      </w:pPr>
    </w:p>
    <w:p>
      <w:pPr>
        <w:pStyle w:val="BodyText"/>
        <w:spacing w:before="161"/>
        <w:rPr>
          <w:rFonts w:ascii="Arial Narrow"/>
          <w:sz w:val="20"/>
        </w:rPr>
      </w:pPr>
    </w:p>
    <w:p>
      <w:pPr>
        <w:spacing w:line="240" w:lineRule="auto"/>
        <w:ind w:left="120" w:right="0" w:firstLine="0"/>
        <w:rPr>
          <w:rFonts w:ascii="Arial Narrow"/>
          <w:sz w:val="20"/>
        </w:rPr>
      </w:pPr>
      <w:r>
        <w:rPr>
          <w:rFonts w:ascii="Arial Narrow"/>
          <w:sz w:val="20"/>
        </w:rPr>
        <mc:AlternateContent>
          <mc:Choice Requires="wps">
            <w:drawing>
              <wp:inline distT="0" distB="0" distL="0" distR="0">
                <wp:extent cx="7228840" cy="688975"/>
                <wp:effectExtent l="0" t="0" r="0" b="6350"/>
                <wp:docPr id="450" name="Group 450"/>
                <wp:cNvGraphicFramePr>
                  <a:graphicFrameLocks/>
                </wp:cNvGraphicFramePr>
                <a:graphic>
                  <a:graphicData uri="http://schemas.microsoft.com/office/word/2010/wordprocessingGroup">
                    <wpg:wgp>
                      <wpg:cNvPr id="450" name="Group 450"/>
                      <wpg:cNvGrpSpPr/>
                      <wpg:grpSpPr>
                        <a:xfrm>
                          <a:off x="0" y="0"/>
                          <a:ext cx="7228840" cy="688975"/>
                          <a:chExt cx="7228840" cy="688975"/>
                        </a:xfrm>
                      </wpg:grpSpPr>
                      <wps:wsp>
                        <wps:cNvPr id="451" name="Graphic 451"/>
                        <wps:cNvSpPr/>
                        <wps:spPr>
                          <a:xfrm>
                            <a:off x="0" y="1038"/>
                            <a:ext cx="7228840" cy="687705"/>
                          </a:xfrm>
                          <a:custGeom>
                            <a:avLst/>
                            <a:gdLst/>
                            <a:ahLst/>
                            <a:cxnLst/>
                            <a:rect l="l" t="t" r="r" b="b"/>
                            <a:pathLst>
                              <a:path w="7228840" h="687705">
                                <a:moveTo>
                                  <a:pt x="1981758" y="0"/>
                                </a:moveTo>
                                <a:lnTo>
                                  <a:pt x="1260652" y="0"/>
                                </a:lnTo>
                                <a:lnTo>
                                  <a:pt x="0" y="0"/>
                                </a:lnTo>
                                <a:lnTo>
                                  <a:pt x="0" y="687324"/>
                                </a:lnTo>
                                <a:lnTo>
                                  <a:pt x="1260602" y="687324"/>
                                </a:lnTo>
                                <a:lnTo>
                                  <a:pt x="1981758" y="687324"/>
                                </a:lnTo>
                                <a:lnTo>
                                  <a:pt x="1981758" y="0"/>
                                </a:lnTo>
                                <a:close/>
                              </a:path>
                              <a:path w="7228840" h="687705">
                                <a:moveTo>
                                  <a:pt x="5083734" y="470916"/>
                                </a:moveTo>
                                <a:lnTo>
                                  <a:pt x="4449445" y="470916"/>
                                </a:lnTo>
                                <a:lnTo>
                                  <a:pt x="4449445" y="687324"/>
                                </a:lnTo>
                                <a:lnTo>
                                  <a:pt x="5083734" y="687324"/>
                                </a:lnTo>
                                <a:lnTo>
                                  <a:pt x="5083734" y="470916"/>
                                </a:lnTo>
                                <a:close/>
                              </a:path>
                              <a:path w="7228840" h="687705">
                                <a:moveTo>
                                  <a:pt x="5434254" y="242316"/>
                                </a:moveTo>
                                <a:lnTo>
                                  <a:pt x="4449445" y="242316"/>
                                </a:lnTo>
                                <a:lnTo>
                                  <a:pt x="4449445" y="458724"/>
                                </a:lnTo>
                                <a:lnTo>
                                  <a:pt x="5434254" y="458724"/>
                                </a:lnTo>
                                <a:lnTo>
                                  <a:pt x="5434254" y="242316"/>
                                </a:lnTo>
                                <a:close/>
                              </a:path>
                              <a:path w="7228840" h="687705">
                                <a:moveTo>
                                  <a:pt x="6591287" y="0"/>
                                </a:moveTo>
                                <a:lnTo>
                                  <a:pt x="4344289" y="0"/>
                                </a:lnTo>
                                <a:lnTo>
                                  <a:pt x="4344289" y="233172"/>
                                </a:lnTo>
                                <a:lnTo>
                                  <a:pt x="4344289" y="242316"/>
                                </a:lnTo>
                                <a:lnTo>
                                  <a:pt x="4344289" y="458724"/>
                                </a:lnTo>
                                <a:lnTo>
                                  <a:pt x="4344289" y="470916"/>
                                </a:lnTo>
                                <a:lnTo>
                                  <a:pt x="3920667" y="470916"/>
                                </a:lnTo>
                                <a:lnTo>
                                  <a:pt x="3187319" y="470916"/>
                                </a:lnTo>
                                <a:lnTo>
                                  <a:pt x="3185795" y="470916"/>
                                </a:lnTo>
                                <a:lnTo>
                                  <a:pt x="3185795" y="458724"/>
                                </a:lnTo>
                                <a:lnTo>
                                  <a:pt x="3187319" y="458724"/>
                                </a:lnTo>
                                <a:lnTo>
                                  <a:pt x="4344289" y="458724"/>
                                </a:lnTo>
                                <a:lnTo>
                                  <a:pt x="4344289" y="242316"/>
                                </a:lnTo>
                                <a:lnTo>
                                  <a:pt x="3187319" y="242316"/>
                                </a:lnTo>
                                <a:lnTo>
                                  <a:pt x="3185795" y="242316"/>
                                </a:lnTo>
                                <a:lnTo>
                                  <a:pt x="3185795" y="233172"/>
                                </a:lnTo>
                                <a:lnTo>
                                  <a:pt x="3187319" y="233172"/>
                                </a:lnTo>
                                <a:lnTo>
                                  <a:pt x="4344289" y="233172"/>
                                </a:lnTo>
                                <a:lnTo>
                                  <a:pt x="4344289" y="0"/>
                                </a:lnTo>
                                <a:lnTo>
                                  <a:pt x="3187319" y="0"/>
                                </a:lnTo>
                                <a:lnTo>
                                  <a:pt x="3079115" y="0"/>
                                </a:lnTo>
                                <a:lnTo>
                                  <a:pt x="1981835" y="0"/>
                                </a:lnTo>
                                <a:lnTo>
                                  <a:pt x="1981835" y="233172"/>
                                </a:lnTo>
                                <a:lnTo>
                                  <a:pt x="3079115" y="233172"/>
                                </a:lnTo>
                                <a:lnTo>
                                  <a:pt x="3079115" y="239268"/>
                                </a:lnTo>
                                <a:lnTo>
                                  <a:pt x="2695067" y="239268"/>
                                </a:lnTo>
                                <a:lnTo>
                                  <a:pt x="2688971" y="239268"/>
                                </a:lnTo>
                                <a:lnTo>
                                  <a:pt x="1981835" y="239268"/>
                                </a:lnTo>
                                <a:lnTo>
                                  <a:pt x="1981835" y="242316"/>
                                </a:lnTo>
                                <a:lnTo>
                                  <a:pt x="1981835" y="687324"/>
                                </a:lnTo>
                                <a:lnTo>
                                  <a:pt x="4449432" y="687324"/>
                                </a:lnTo>
                                <a:lnTo>
                                  <a:pt x="4449432" y="470916"/>
                                </a:lnTo>
                                <a:lnTo>
                                  <a:pt x="4447921" y="470916"/>
                                </a:lnTo>
                                <a:lnTo>
                                  <a:pt x="4447921" y="458724"/>
                                </a:lnTo>
                                <a:lnTo>
                                  <a:pt x="4449432" y="458724"/>
                                </a:lnTo>
                                <a:lnTo>
                                  <a:pt x="4449432" y="242316"/>
                                </a:lnTo>
                                <a:lnTo>
                                  <a:pt x="4447921" y="242316"/>
                                </a:lnTo>
                                <a:lnTo>
                                  <a:pt x="4447921" y="233172"/>
                                </a:lnTo>
                                <a:lnTo>
                                  <a:pt x="6591287" y="233172"/>
                                </a:lnTo>
                                <a:lnTo>
                                  <a:pt x="6591287" y="0"/>
                                </a:lnTo>
                                <a:close/>
                              </a:path>
                              <a:path w="7228840" h="687705">
                                <a:moveTo>
                                  <a:pt x="7228332" y="0"/>
                                </a:moveTo>
                                <a:lnTo>
                                  <a:pt x="6591300" y="0"/>
                                </a:lnTo>
                                <a:lnTo>
                                  <a:pt x="6591300" y="242316"/>
                                </a:lnTo>
                                <a:lnTo>
                                  <a:pt x="5539486" y="242316"/>
                                </a:lnTo>
                                <a:lnTo>
                                  <a:pt x="5434330" y="242316"/>
                                </a:lnTo>
                                <a:lnTo>
                                  <a:pt x="5434330" y="458724"/>
                                </a:lnTo>
                                <a:lnTo>
                                  <a:pt x="5434330" y="470916"/>
                                </a:lnTo>
                                <a:lnTo>
                                  <a:pt x="5083810" y="470916"/>
                                </a:lnTo>
                                <a:lnTo>
                                  <a:pt x="5083810" y="687324"/>
                                </a:lnTo>
                                <a:lnTo>
                                  <a:pt x="5434330" y="687324"/>
                                </a:lnTo>
                                <a:lnTo>
                                  <a:pt x="5539486" y="687324"/>
                                </a:lnTo>
                                <a:lnTo>
                                  <a:pt x="6228588" y="687324"/>
                                </a:lnTo>
                                <a:lnTo>
                                  <a:pt x="6591287" y="687324"/>
                                </a:lnTo>
                                <a:lnTo>
                                  <a:pt x="6591287" y="470916"/>
                                </a:lnTo>
                                <a:lnTo>
                                  <a:pt x="6228639" y="470916"/>
                                </a:lnTo>
                                <a:lnTo>
                                  <a:pt x="5539486" y="470916"/>
                                </a:lnTo>
                                <a:lnTo>
                                  <a:pt x="5539486" y="458724"/>
                                </a:lnTo>
                                <a:lnTo>
                                  <a:pt x="6591300" y="458724"/>
                                </a:lnTo>
                                <a:lnTo>
                                  <a:pt x="6591300" y="687324"/>
                                </a:lnTo>
                                <a:lnTo>
                                  <a:pt x="7228332" y="687324"/>
                                </a:lnTo>
                                <a:lnTo>
                                  <a:pt x="7228332" y="0"/>
                                </a:lnTo>
                                <a:close/>
                              </a:path>
                            </a:pathLst>
                          </a:custGeom>
                          <a:solidFill>
                            <a:srgbClr val="002D5D"/>
                          </a:solidFill>
                        </wps:spPr>
                        <wps:bodyPr wrap="square" lIns="0" tIns="0" rIns="0" bIns="0" rtlCol="0">
                          <a:prstTxWarp prst="textNoShape">
                            <a:avLst/>
                          </a:prstTxWarp>
                          <a:noAutofit/>
                        </wps:bodyPr>
                      </wps:wsp>
                      <wps:wsp>
                        <wps:cNvPr id="452" name="Textbox 452"/>
                        <wps:cNvSpPr txBox="1"/>
                        <wps:spPr>
                          <a:xfrm>
                            <a:off x="2280539" y="0"/>
                            <a:ext cx="513080" cy="233045"/>
                          </a:xfrm>
                          <a:prstGeom prst="rect">
                            <a:avLst/>
                          </a:prstGeom>
                        </wps:spPr>
                        <wps:txbx>
                          <w:txbxContent>
                            <w:p>
                              <w:pPr>
                                <w:spacing w:before="0"/>
                                <w:ind w:left="0" w:right="0" w:firstLine="93"/>
                                <w:jc w:val="left"/>
                                <w:rPr>
                                  <w:rFonts w:ascii="Arial Narrow" w:hAnsi="Arial Narrow"/>
                                  <w:b/>
                                  <w:sz w:val="16"/>
                                </w:rPr>
                              </w:pPr>
                              <w:r>
                                <w:rPr>
                                  <w:rFonts w:ascii="Arial Narrow" w:hAnsi="Arial Narrow"/>
                                  <w:b/>
                                  <w:color w:val="FFFFFF"/>
                                  <w:spacing w:val="-2"/>
                                  <w:sz w:val="16"/>
                                </w:rPr>
                                <w:t>IMPORTE</w:t>
                              </w:r>
                              <w:r>
                                <w:rPr>
                                  <w:rFonts w:ascii="Arial Narrow" w:hAnsi="Arial Narrow"/>
                                  <w:b/>
                                  <w:color w:val="FFFFFF"/>
                                  <w:spacing w:val="40"/>
                                  <w:sz w:val="16"/>
                                </w:rPr>
                                <w:t> </w:t>
                              </w:r>
                              <w:r>
                                <w:rPr>
                                  <w:rFonts w:ascii="Arial Narrow" w:hAnsi="Arial Narrow"/>
                                  <w:b/>
                                  <w:color w:val="FFFFFF"/>
                                  <w:spacing w:val="-2"/>
                                  <w:sz w:val="16"/>
                                </w:rPr>
                                <w:t>ACTUACIÓN</w:t>
                              </w:r>
                            </w:p>
                          </w:txbxContent>
                        </wps:txbx>
                        <wps:bodyPr wrap="square" lIns="0" tIns="0" rIns="0" bIns="0" rtlCol="0">
                          <a:noAutofit/>
                        </wps:bodyPr>
                      </wps:wsp>
                      <wps:wsp>
                        <wps:cNvPr id="453" name="Textbox 453"/>
                        <wps:cNvSpPr txBox="1"/>
                        <wps:spPr>
                          <a:xfrm>
                            <a:off x="4566792" y="55256"/>
                            <a:ext cx="657225" cy="124460"/>
                          </a:xfrm>
                          <a:prstGeom prst="rect">
                            <a:avLst/>
                          </a:prstGeom>
                        </wps:spPr>
                        <wps:txbx>
                          <w:txbxContent>
                            <w:p>
                              <w:pPr>
                                <w:spacing w:before="0"/>
                                <w:ind w:left="0" w:right="0" w:firstLine="0"/>
                                <w:jc w:val="left"/>
                                <w:rPr>
                                  <w:rFonts w:ascii="Arial Narrow" w:hAnsi="Arial Narrow"/>
                                  <w:b/>
                                  <w:sz w:val="17"/>
                                </w:rPr>
                              </w:pPr>
                              <w:r>
                                <w:rPr>
                                  <w:rFonts w:ascii="Arial Narrow" w:hAnsi="Arial Narrow"/>
                                  <w:b/>
                                  <w:color w:val="FFFFFF"/>
                                  <w:spacing w:val="-2"/>
                                  <w:sz w:val="17"/>
                                </w:rPr>
                                <w:t>FINANCIACIÓN</w:t>
                              </w:r>
                            </w:p>
                          </w:txbxContent>
                        </wps:txbx>
                        <wps:bodyPr wrap="square" lIns="0" tIns="0" rIns="0" bIns="0" rtlCol="0">
                          <a:noAutofit/>
                        </wps:bodyPr>
                      </wps:wsp>
                      <wps:wsp>
                        <wps:cNvPr id="454" name="Textbox 454"/>
                        <wps:cNvSpPr txBox="1"/>
                        <wps:spPr>
                          <a:xfrm>
                            <a:off x="298704" y="227075"/>
                            <a:ext cx="675005" cy="233045"/>
                          </a:xfrm>
                          <a:prstGeom prst="rect">
                            <a:avLst/>
                          </a:prstGeom>
                        </wps:spPr>
                        <wps:txbx>
                          <w:txbxContent>
                            <w:p>
                              <w:pPr>
                                <w:spacing w:before="0"/>
                                <w:ind w:left="129" w:right="0" w:hanging="130"/>
                                <w:jc w:val="left"/>
                                <w:rPr>
                                  <w:rFonts w:ascii="Arial Narrow" w:hAnsi="Arial Narrow"/>
                                  <w:b/>
                                  <w:sz w:val="16"/>
                                </w:rPr>
                              </w:pPr>
                              <w:r>
                                <w:rPr>
                                  <w:rFonts w:ascii="Arial Narrow" w:hAnsi="Arial Narrow"/>
                                  <w:b/>
                                  <w:color w:val="FFFFFF"/>
                                  <w:spacing w:val="-2"/>
                                  <w:sz w:val="16"/>
                                </w:rPr>
                                <w:t>DENOMINACIÓN</w:t>
                              </w:r>
                              <w:r>
                                <w:rPr>
                                  <w:rFonts w:ascii="Arial Narrow" w:hAnsi="Arial Narrow"/>
                                  <w:b/>
                                  <w:color w:val="FFFFFF"/>
                                  <w:spacing w:val="40"/>
                                  <w:sz w:val="16"/>
                                </w:rPr>
                                <w:t> </w:t>
                              </w:r>
                              <w:r>
                                <w:rPr>
                                  <w:rFonts w:ascii="Arial Narrow" w:hAnsi="Arial Narrow"/>
                                  <w:b/>
                                  <w:color w:val="FFFFFF"/>
                                  <w:spacing w:val="-2"/>
                                  <w:sz w:val="16"/>
                                </w:rPr>
                                <w:t>ACTUACIÓN</w:t>
                              </w:r>
                            </w:p>
                          </w:txbxContent>
                        </wps:txbx>
                        <wps:bodyPr wrap="square" lIns="0" tIns="0" rIns="0" bIns="0" rtlCol="0">
                          <a:noAutofit/>
                        </wps:bodyPr>
                      </wps:wsp>
                      <wps:wsp>
                        <wps:cNvPr id="455" name="Textbox 455"/>
                        <wps:cNvSpPr txBox="1"/>
                        <wps:spPr>
                          <a:xfrm>
                            <a:off x="1391666" y="284988"/>
                            <a:ext cx="47244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2"/>
                                  <w:sz w:val="16"/>
                                </w:rPr>
                                <w:t>TIPOLOGÍA</w:t>
                              </w:r>
                            </w:p>
                          </w:txbxContent>
                        </wps:txbx>
                        <wps:bodyPr wrap="square" lIns="0" tIns="0" rIns="0" bIns="0" rtlCol="0">
                          <a:noAutofit/>
                        </wps:bodyPr>
                      </wps:wsp>
                      <wps:wsp>
                        <wps:cNvPr id="456" name="Textbox 456"/>
                        <wps:cNvSpPr txBox="1"/>
                        <wps:spPr>
                          <a:xfrm>
                            <a:off x="3487801" y="291084"/>
                            <a:ext cx="567690" cy="117475"/>
                          </a:xfrm>
                          <a:prstGeom prst="rect">
                            <a:avLst/>
                          </a:prstGeom>
                        </wps:spPr>
                        <wps:txbx>
                          <w:txbxContent>
                            <w:p>
                              <w:pPr>
                                <w:spacing w:before="0"/>
                                <w:ind w:left="0" w:right="0" w:firstLine="0"/>
                                <w:jc w:val="left"/>
                                <w:rPr>
                                  <w:rFonts w:ascii="Arial Narrow"/>
                                  <w:b/>
                                  <w:sz w:val="16"/>
                                </w:rPr>
                              </w:pPr>
                              <w:r>
                                <w:rPr>
                                  <w:rFonts w:ascii="Arial Narrow"/>
                                  <w:b/>
                                  <w:color w:val="FFFFFF"/>
                                  <w:spacing w:val="-2"/>
                                  <w:sz w:val="16"/>
                                </w:rPr>
                                <w:t>Ayuntamiento</w:t>
                              </w:r>
                            </w:p>
                          </w:txbxContent>
                        </wps:txbx>
                        <wps:bodyPr wrap="square" lIns="0" tIns="0" rIns="0" bIns="0" rtlCol="0">
                          <a:noAutofit/>
                        </wps:bodyPr>
                      </wps:wsp>
                      <wps:wsp>
                        <wps:cNvPr id="457" name="Textbox 457"/>
                        <wps:cNvSpPr txBox="1"/>
                        <wps:spPr>
                          <a:xfrm>
                            <a:off x="4827778" y="291084"/>
                            <a:ext cx="240665" cy="117475"/>
                          </a:xfrm>
                          <a:prstGeom prst="rect">
                            <a:avLst/>
                          </a:prstGeom>
                        </wps:spPr>
                        <wps:txbx>
                          <w:txbxContent>
                            <w:p>
                              <w:pPr>
                                <w:spacing w:before="0"/>
                                <w:ind w:left="0" w:right="0" w:firstLine="0"/>
                                <w:jc w:val="left"/>
                                <w:rPr>
                                  <w:rFonts w:ascii="Arial Narrow"/>
                                  <w:b/>
                                  <w:sz w:val="16"/>
                                </w:rPr>
                              </w:pPr>
                              <w:r>
                                <w:rPr>
                                  <w:rFonts w:ascii="Arial Narrow"/>
                                  <w:b/>
                                  <w:color w:val="FFFFFF"/>
                                  <w:spacing w:val="-4"/>
                                  <w:sz w:val="16"/>
                                </w:rPr>
                                <w:t>PRTR</w:t>
                              </w:r>
                            </w:p>
                          </w:txbxContent>
                        </wps:txbx>
                        <wps:bodyPr wrap="square" lIns="0" tIns="0" rIns="0" bIns="0" rtlCol="0">
                          <a:noAutofit/>
                        </wps:bodyPr>
                      </wps:wsp>
                      <wps:wsp>
                        <wps:cNvPr id="458" name="Textbox 458"/>
                        <wps:cNvSpPr txBox="1"/>
                        <wps:spPr>
                          <a:xfrm>
                            <a:off x="5617209" y="291084"/>
                            <a:ext cx="906144"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z w:val="16"/>
                                </w:rPr>
                                <w:t>Comunidad</w:t>
                              </w:r>
                              <w:r>
                                <w:rPr>
                                  <w:rFonts w:ascii="Arial Narrow" w:hAnsi="Arial Narrow"/>
                                  <w:b/>
                                  <w:color w:val="FFFFFF"/>
                                  <w:spacing w:val="-11"/>
                                  <w:sz w:val="16"/>
                                </w:rPr>
                                <w:t> </w:t>
                              </w:r>
                              <w:r>
                                <w:rPr>
                                  <w:rFonts w:ascii="Arial Narrow" w:hAnsi="Arial Narrow"/>
                                  <w:b/>
                                  <w:color w:val="FFFFFF"/>
                                  <w:spacing w:val="-2"/>
                                  <w:sz w:val="16"/>
                                </w:rPr>
                                <w:t>Autónoma</w:t>
                              </w:r>
                            </w:p>
                          </w:txbxContent>
                        </wps:txbx>
                        <wps:bodyPr wrap="square" lIns="0" tIns="0" rIns="0" bIns="0" rtlCol="0">
                          <a:noAutofit/>
                        </wps:bodyPr>
                      </wps:wsp>
                      <wps:wsp>
                        <wps:cNvPr id="459" name="Textbox 459"/>
                        <wps:cNvSpPr txBox="1"/>
                        <wps:spPr>
                          <a:xfrm>
                            <a:off x="2277491" y="400073"/>
                            <a:ext cx="128270" cy="131445"/>
                          </a:xfrm>
                          <a:prstGeom prst="rect">
                            <a:avLst/>
                          </a:prstGeom>
                        </wps:spPr>
                        <wps:txbx>
                          <w:txbxContent>
                            <w:p>
                              <w:pPr>
                                <w:spacing w:line="206" w:lineRule="exact" w:before="0"/>
                                <w:ind w:left="0" w:right="0" w:firstLine="0"/>
                                <w:jc w:val="left"/>
                                <w:rPr>
                                  <w:rFonts w:ascii="Arial Narrow" w:hAnsi="Arial Narrow"/>
                                  <w:b/>
                                  <w:sz w:val="18"/>
                                </w:rPr>
                              </w:pPr>
                              <w:r>
                                <w:rPr>
                                  <w:rFonts w:ascii="Arial Narrow" w:hAnsi="Arial Narrow"/>
                                  <w:b/>
                                  <w:color w:val="FFFFFF"/>
                                  <w:spacing w:val="-5"/>
                                  <w:sz w:val="18"/>
                                </w:rPr>
                                <w:t>(€)</w:t>
                              </w:r>
                            </w:p>
                          </w:txbxContent>
                        </wps:txbx>
                        <wps:bodyPr wrap="square" lIns="0" tIns="0" rIns="0" bIns="0" rtlCol="0">
                          <a:noAutofit/>
                        </wps:bodyPr>
                      </wps:wsp>
                      <wps:wsp>
                        <wps:cNvPr id="460" name="Textbox 460"/>
                        <wps:cNvSpPr txBox="1"/>
                        <wps:spPr>
                          <a:xfrm>
                            <a:off x="2809367" y="400073"/>
                            <a:ext cx="163195" cy="131445"/>
                          </a:xfrm>
                          <a:prstGeom prst="rect">
                            <a:avLst/>
                          </a:prstGeom>
                        </wps:spPr>
                        <wps:txbx>
                          <w:txbxContent>
                            <w:p>
                              <w:pPr>
                                <w:spacing w:line="206" w:lineRule="exact" w:before="0"/>
                                <w:ind w:left="0" w:right="0" w:firstLine="0"/>
                                <w:jc w:val="left"/>
                                <w:rPr>
                                  <w:rFonts w:ascii="Arial Narrow"/>
                                  <w:b/>
                                  <w:sz w:val="12"/>
                                </w:rPr>
                              </w:pPr>
                              <w:r>
                                <w:rPr>
                                  <w:rFonts w:ascii="Arial Narrow"/>
                                  <w:b/>
                                  <w:color w:val="FFFFFF"/>
                                  <w:spacing w:val="-4"/>
                                  <w:position w:val="-4"/>
                                  <w:sz w:val="18"/>
                                </w:rPr>
                                <w:t>%</w:t>
                              </w:r>
                              <w:r>
                                <w:rPr>
                                  <w:rFonts w:ascii="Arial Narrow"/>
                                  <w:b/>
                                  <w:color w:val="FFFFFF"/>
                                  <w:spacing w:val="-4"/>
                                  <w:sz w:val="12"/>
                                </w:rPr>
                                <w:t>(*)</w:t>
                              </w:r>
                            </w:p>
                          </w:txbxContent>
                        </wps:txbx>
                        <wps:bodyPr wrap="square" lIns="0" tIns="0" rIns="0" bIns="0" rtlCol="0">
                          <a:noAutofit/>
                        </wps:bodyPr>
                      </wps:wsp>
                      <wps:wsp>
                        <wps:cNvPr id="461" name="Textbox 461"/>
                        <wps:cNvSpPr txBox="1"/>
                        <wps:spPr>
                          <a:xfrm>
                            <a:off x="3501516" y="519683"/>
                            <a:ext cx="11557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wps:txbx>
                        <wps:bodyPr wrap="square" lIns="0" tIns="0" rIns="0" bIns="0" rtlCol="0">
                          <a:noAutofit/>
                        </wps:bodyPr>
                      </wps:wsp>
                      <wps:wsp>
                        <wps:cNvPr id="462" name="Textbox 462"/>
                        <wps:cNvSpPr txBox="1"/>
                        <wps:spPr>
                          <a:xfrm>
                            <a:off x="4037965" y="518014"/>
                            <a:ext cx="201295" cy="125095"/>
                          </a:xfrm>
                          <a:prstGeom prst="rect">
                            <a:avLst/>
                          </a:prstGeom>
                        </wps:spPr>
                        <wps:txbx>
                          <w:txbxContent>
                            <w:p>
                              <w:pPr>
                                <w:spacing w:before="0"/>
                                <w:ind w:left="0" w:right="0" w:firstLine="0"/>
                                <w:jc w:val="left"/>
                                <w:rPr>
                                  <w:rFonts w:ascii="Arial Narrow"/>
                                  <w:b/>
                                  <w:sz w:val="12"/>
                                </w:rPr>
                              </w:pPr>
                              <w:r>
                                <w:rPr>
                                  <w:rFonts w:ascii="Arial Narrow"/>
                                  <w:b/>
                                  <w:color w:val="FFFFFF"/>
                                  <w:position w:val="-4"/>
                                  <w:sz w:val="16"/>
                                </w:rPr>
                                <w:t>%</w:t>
                              </w:r>
                              <w:r>
                                <w:rPr>
                                  <w:rFonts w:ascii="Arial Narrow"/>
                                  <w:b/>
                                  <w:color w:val="FFFFFF"/>
                                  <w:spacing w:val="-5"/>
                                  <w:position w:val="-4"/>
                                  <w:sz w:val="16"/>
                                </w:rPr>
                                <w:t> </w:t>
                              </w:r>
                              <w:r>
                                <w:rPr>
                                  <w:rFonts w:ascii="Arial Narrow"/>
                                  <w:b/>
                                  <w:color w:val="FFFFFF"/>
                                  <w:spacing w:val="-4"/>
                                  <w:sz w:val="12"/>
                                </w:rPr>
                                <w:t>(**)</w:t>
                              </w:r>
                            </w:p>
                          </w:txbxContent>
                        </wps:txbx>
                        <wps:bodyPr wrap="square" lIns="0" tIns="0" rIns="0" bIns="0" rtlCol="0">
                          <a:noAutofit/>
                        </wps:bodyPr>
                      </wps:wsp>
                      <wps:wsp>
                        <wps:cNvPr id="463" name="Textbox 463"/>
                        <wps:cNvSpPr txBox="1"/>
                        <wps:spPr>
                          <a:xfrm>
                            <a:off x="4715002" y="519683"/>
                            <a:ext cx="11557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wps:txbx>
                        <wps:bodyPr wrap="square" lIns="0" tIns="0" rIns="0" bIns="0" rtlCol="0">
                          <a:noAutofit/>
                        </wps:bodyPr>
                      </wps:wsp>
                      <wps:wsp>
                        <wps:cNvPr id="464" name="Textbox 464"/>
                        <wps:cNvSpPr txBox="1"/>
                        <wps:spPr>
                          <a:xfrm>
                            <a:off x="5166105" y="518014"/>
                            <a:ext cx="201295" cy="125095"/>
                          </a:xfrm>
                          <a:prstGeom prst="rect">
                            <a:avLst/>
                          </a:prstGeom>
                        </wps:spPr>
                        <wps:txbx>
                          <w:txbxContent>
                            <w:p>
                              <w:pPr>
                                <w:spacing w:before="0"/>
                                <w:ind w:left="0" w:right="0" w:firstLine="0"/>
                                <w:jc w:val="left"/>
                                <w:rPr>
                                  <w:rFonts w:ascii="Arial Narrow"/>
                                  <w:b/>
                                  <w:sz w:val="12"/>
                                </w:rPr>
                              </w:pPr>
                              <w:r>
                                <w:rPr>
                                  <w:rFonts w:ascii="Arial Narrow"/>
                                  <w:b/>
                                  <w:color w:val="FFFFFF"/>
                                  <w:position w:val="-4"/>
                                  <w:sz w:val="16"/>
                                </w:rPr>
                                <w:t>%</w:t>
                              </w:r>
                              <w:r>
                                <w:rPr>
                                  <w:rFonts w:ascii="Arial Narrow"/>
                                  <w:b/>
                                  <w:color w:val="FFFFFF"/>
                                  <w:spacing w:val="-5"/>
                                  <w:position w:val="-4"/>
                                  <w:sz w:val="16"/>
                                </w:rPr>
                                <w:t> </w:t>
                              </w:r>
                              <w:r>
                                <w:rPr>
                                  <w:rFonts w:ascii="Arial Narrow"/>
                                  <w:b/>
                                  <w:color w:val="FFFFFF"/>
                                  <w:spacing w:val="-4"/>
                                  <w:sz w:val="12"/>
                                </w:rPr>
                                <w:t>(**)</w:t>
                              </w:r>
                            </w:p>
                          </w:txbxContent>
                        </wps:txbx>
                        <wps:bodyPr wrap="square" lIns="0" tIns="0" rIns="0" bIns="0" rtlCol="0">
                          <a:noAutofit/>
                        </wps:bodyPr>
                      </wps:wsp>
                      <wps:wsp>
                        <wps:cNvPr id="465" name="Textbox 465"/>
                        <wps:cNvSpPr txBox="1"/>
                        <wps:spPr>
                          <a:xfrm>
                            <a:off x="5832094" y="519683"/>
                            <a:ext cx="115570" cy="117475"/>
                          </a:xfrm>
                          <a:prstGeom prst="rect">
                            <a:avLst/>
                          </a:prstGeom>
                        </wps:spPr>
                        <wps:txbx>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wps:txbx>
                        <wps:bodyPr wrap="square" lIns="0" tIns="0" rIns="0" bIns="0" rtlCol="0">
                          <a:noAutofit/>
                        </wps:bodyPr>
                      </wps:wsp>
                      <wps:wsp>
                        <wps:cNvPr id="466" name="Textbox 466"/>
                        <wps:cNvSpPr txBox="1"/>
                        <wps:spPr>
                          <a:xfrm>
                            <a:off x="6315455" y="518014"/>
                            <a:ext cx="201295" cy="125095"/>
                          </a:xfrm>
                          <a:prstGeom prst="rect">
                            <a:avLst/>
                          </a:prstGeom>
                        </wps:spPr>
                        <wps:txbx>
                          <w:txbxContent>
                            <w:p>
                              <w:pPr>
                                <w:spacing w:before="0"/>
                                <w:ind w:left="0" w:right="0" w:firstLine="0"/>
                                <w:jc w:val="left"/>
                                <w:rPr>
                                  <w:rFonts w:ascii="Arial Narrow"/>
                                  <w:b/>
                                  <w:sz w:val="12"/>
                                </w:rPr>
                              </w:pPr>
                              <w:r>
                                <w:rPr>
                                  <w:rFonts w:ascii="Arial Narrow"/>
                                  <w:b/>
                                  <w:color w:val="FFFFFF"/>
                                  <w:position w:val="-4"/>
                                  <w:sz w:val="16"/>
                                </w:rPr>
                                <w:t>%</w:t>
                              </w:r>
                              <w:r>
                                <w:rPr>
                                  <w:rFonts w:ascii="Arial Narrow"/>
                                  <w:b/>
                                  <w:color w:val="FFFFFF"/>
                                  <w:spacing w:val="-5"/>
                                  <w:position w:val="-4"/>
                                  <w:sz w:val="16"/>
                                </w:rPr>
                                <w:t> </w:t>
                              </w:r>
                              <w:r>
                                <w:rPr>
                                  <w:rFonts w:ascii="Arial Narrow"/>
                                  <w:b/>
                                  <w:color w:val="FFFFFF"/>
                                  <w:spacing w:val="-4"/>
                                  <w:sz w:val="12"/>
                                </w:rPr>
                                <w:t>(**)</w:t>
                              </w:r>
                            </w:p>
                          </w:txbxContent>
                        </wps:txbx>
                        <wps:bodyPr wrap="square" lIns="0" tIns="0" rIns="0" bIns="0" rtlCol="0">
                          <a:noAutofit/>
                        </wps:bodyPr>
                      </wps:wsp>
                      <wps:wsp>
                        <wps:cNvPr id="467" name="Textbox 467"/>
                        <wps:cNvSpPr txBox="1"/>
                        <wps:spPr>
                          <a:xfrm>
                            <a:off x="6658356" y="109728"/>
                            <a:ext cx="513080" cy="467995"/>
                          </a:xfrm>
                          <a:prstGeom prst="rect">
                            <a:avLst/>
                          </a:prstGeom>
                        </wps:spPr>
                        <wps:txbx>
                          <w:txbxContent>
                            <w:p>
                              <w:pPr>
                                <w:spacing w:before="0"/>
                                <w:ind w:left="0" w:right="18" w:firstLine="4"/>
                                <w:jc w:val="center"/>
                                <w:rPr>
                                  <w:rFonts w:ascii="Arial Narrow" w:hAnsi="Arial Narrow"/>
                                  <w:b/>
                                  <w:sz w:val="16"/>
                                </w:rPr>
                              </w:pPr>
                              <w:r>
                                <w:rPr>
                                  <w:rFonts w:ascii="Arial Narrow" w:hAnsi="Arial Narrow"/>
                                  <w:b/>
                                  <w:color w:val="FFFFFF"/>
                                  <w:sz w:val="16"/>
                                </w:rPr>
                                <w:t>ESTADO</w:t>
                              </w:r>
                              <w:r>
                                <w:rPr>
                                  <w:rFonts w:ascii="Arial Narrow" w:hAnsi="Arial Narrow"/>
                                  <w:b/>
                                  <w:color w:val="FFFFFF"/>
                                  <w:spacing w:val="-10"/>
                                  <w:sz w:val="16"/>
                                </w:rPr>
                                <w:t> </w:t>
                              </w:r>
                              <w:r>
                                <w:rPr>
                                  <w:rFonts w:ascii="Arial Narrow" w:hAnsi="Arial Narrow"/>
                                  <w:b/>
                                  <w:color w:val="FFFFFF"/>
                                  <w:sz w:val="16"/>
                                </w:rPr>
                                <w:t>DE</w:t>
                              </w:r>
                              <w:r>
                                <w:rPr>
                                  <w:rFonts w:ascii="Arial Narrow" w:hAnsi="Arial Narrow"/>
                                  <w:b/>
                                  <w:color w:val="FFFFFF"/>
                                  <w:spacing w:val="40"/>
                                  <w:sz w:val="16"/>
                                </w:rPr>
                                <w:t> </w:t>
                              </w:r>
                              <w:r>
                                <w:rPr>
                                  <w:rFonts w:ascii="Arial Narrow" w:hAnsi="Arial Narrow"/>
                                  <w:b/>
                                  <w:color w:val="FFFFFF"/>
                                  <w:spacing w:val="-6"/>
                                  <w:sz w:val="16"/>
                                </w:rPr>
                                <w:t>LA</w:t>
                              </w:r>
                              <w:r>
                                <w:rPr>
                                  <w:rFonts w:ascii="Arial Narrow" w:hAnsi="Arial Narrow"/>
                                  <w:b/>
                                  <w:color w:val="FFFFFF"/>
                                  <w:spacing w:val="40"/>
                                  <w:sz w:val="16"/>
                                </w:rPr>
                                <w:t> </w:t>
                              </w:r>
                              <w:r>
                                <w:rPr>
                                  <w:rFonts w:ascii="Arial Narrow" w:hAnsi="Arial Narrow"/>
                                  <w:b/>
                                  <w:color w:val="FFFFFF"/>
                                  <w:spacing w:val="-2"/>
                                  <w:sz w:val="16"/>
                                </w:rPr>
                                <w:t>ACTUACIÓN</w:t>
                              </w:r>
                              <w:r>
                                <w:rPr>
                                  <w:rFonts w:ascii="Arial Narrow" w:hAnsi="Arial Narrow"/>
                                  <w:b/>
                                  <w:color w:val="FFFFFF"/>
                                  <w:spacing w:val="40"/>
                                  <w:sz w:val="16"/>
                                </w:rPr>
                                <w:t> </w:t>
                              </w:r>
                              <w:r>
                                <w:rPr>
                                  <w:rFonts w:ascii="Arial Narrow" w:hAnsi="Arial Narrow"/>
                                  <w:b/>
                                  <w:color w:val="FFFFFF"/>
                                  <w:spacing w:val="-2"/>
                                  <w:sz w:val="16"/>
                                </w:rPr>
                                <w:t>31/12/2024</w:t>
                              </w:r>
                            </w:p>
                          </w:txbxContent>
                        </wps:txbx>
                        <wps:bodyPr wrap="square" lIns="0" tIns="0" rIns="0" bIns="0" rtlCol="0">
                          <a:noAutofit/>
                        </wps:bodyPr>
                      </wps:wsp>
                    </wpg:wgp>
                  </a:graphicData>
                </a:graphic>
              </wp:inline>
            </w:drawing>
          </mc:Choice>
          <mc:Fallback>
            <w:pict>
              <v:group style="width:569.2pt;height:54.25pt;mso-position-horizontal-relative:char;mso-position-vertical-relative:line" id="docshapegroup391" coordorigin="0,0" coordsize="11384,1085">
                <v:shape style="position:absolute;left:0;top:1;width:11384;height:1083" id="docshape392" coordorigin="0,2" coordsize="11384,1083" path="m3121,2l1985,2,1985,2,0,2,0,1084,1985,1084,1985,1084,3121,1084,3121,2xm8006,743l7007,743,7007,1084,8006,1084,8006,743xm8558,383l7007,383,7007,724,8558,724,8558,383xm10380,2l6841,2,6841,369,6841,383,6841,724,6841,743,6174,743,6174,743,5019,743,5017,743,5017,724,5019,724,6841,724,6841,383,5019,383,5017,383,5017,369,5019,369,6841,369,6841,2,5019,2,4849,2,3121,2,3121,369,4849,369,4849,378,4244,378,4235,378,3121,378,3121,383,3121,1084,4235,1084,4849,1084,5019,1084,6174,1084,6174,1084,6841,1084,7007,1084,7007,743,7005,743,7005,724,7007,724,7007,383,7005,383,7005,369,10380,369,10380,2xm11383,2l10380,2,10380,383,8724,383,8558,383,8558,724,8558,743,8006,743,8006,1084,8558,1084,8724,1084,9809,1084,9809,1084,10380,1084,10380,743,9809,743,9809,743,8724,743,8724,724,10380,724,10380,1084,11383,1084,11383,2xe" filled="true" fillcolor="#002d5d" stroked="false">
                  <v:path arrowok="t"/>
                  <v:fill type="solid"/>
                </v:shape>
                <v:shape style="position:absolute;left:3591;top:0;width:808;height:367" type="#_x0000_t202" id="docshape393" filled="false" stroked="false">
                  <v:textbox inset="0,0,0,0">
                    <w:txbxContent>
                      <w:p>
                        <w:pPr>
                          <w:spacing w:before="0"/>
                          <w:ind w:left="0" w:right="0" w:firstLine="93"/>
                          <w:jc w:val="left"/>
                          <w:rPr>
                            <w:rFonts w:ascii="Arial Narrow" w:hAnsi="Arial Narrow"/>
                            <w:b/>
                            <w:sz w:val="16"/>
                          </w:rPr>
                        </w:pPr>
                        <w:r>
                          <w:rPr>
                            <w:rFonts w:ascii="Arial Narrow" w:hAnsi="Arial Narrow"/>
                            <w:b/>
                            <w:color w:val="FFFFFF"/>
                            <w:spacing w:val="-2"/>
                            <w:sz w:val="16"/>
                          </w:rPr>
                          <w:t>IMPORTE</w:t>
                        </w:r>
                        <w:r>
                          <w:rPr>
                            <w:rFonts w:ascii="Arial Narrow" w:hAnsi="Arial Narrow"/>
                            <w:b/>
                            <w:color w:val="FFFFFF"/>
                            <w:spacing w:val="40"/>
                            <w:sz w:val="16"/>
                          </w:rPr>
                          <w:t> </w:t>
                        </w:r>
                        <w:r>
                          <w:rPr>
                            <w:rFonts w:ascii="Arial Narrow" w:hAnsi="Arial Narrow"/>
                            <w:b/>
                            <w:color w:val="FFFFFF"/>
                            <w:spacing w:val="-2"/>
                            <w:sz w:val="16"/>
                          </w:rPr>
                          <w:t>ACTUACIÓN</w:t>
                        </w:r>
                      </w:p>
                    </w:txbxContent>
                  </v:textbox>
                  <w10:wrap type="none"/>
                </v:shape>
                <v:shape style="position:absolute;left:7191;top:87;width:1035;height:196" type="#_x0000_t202" id="docshape394" filled="false" stroked="false">
                  <v:textbox inset="0,0,0,0">
                    <w:txbxContent>
                      <w:p>
                        <w:pPr>
                          <w:spacing w:before="0"/>
                          <w:ind w:left="0" w:right="0" w:firstLine="0"/>
                          <w:jc w:val="left"/>
                          <w:rPr>
                            <w:rFonts w:ascii="Arial Narrow" w:hAnsi="Arial Narrow"/>
                            <w:b/>
                            <w:sz w:val="17"/>
                          </w:rPr>
                        </w:pPr>
                        <w:r>
                          <w:rPr>
                            <w:rFonts w:ascii="Arial Narrow" w:hAnsi="Arial Narrow"/>
                            <w:b/>
                            <w:color w:val="FFFFFF"/>
                            <w:spacing w:val="-2"/>
                            <w:sz w:val="17"/>
                          </w:rPr>
                          <w:t>FINANCIACIÓN</w:t>
                        </w:r>
                      </w:p>
                    </w:txbxContent>
                  </v:textbox>
                  <w10:wrap type="none"/>
                </v:shape>
                <v:shape style="position:absolute;left:470;top:357;width:1063;height:367" type="#_x0000_t202" id="docshape395" filled="false" stroked="false">
                  <v:textbox inset="0,0,0,0">
                    <w:txbxContent>
                      <w:p>
                        <w:pPr>
                          <w:spacing w:before="0"/>
                          <w:ind w:left="129" w:right="0" w:hanging="130"/>
                          <w:jc w:val="left"/>
                          <w:rPr>
                            <w:rFonts w:ascii="Arial Narrow" w:hAnsi="Arial Narrow"/>
                            <w:b/>
                            <w:sz w:val="16"/>
                          </w:rPr>
                        </w:pPr>
                        <w:r>
                          <w:rPr>
                            <w:rFonts w:ascii="Arial Narrow" w:hAnsi="Arial Narrow"/>
                            <w:b/>
                            <w:color w:val="FFFFFF"/>
                            <w:spacing w:val="-2"/>
                            <w:sz w:val="16"/>
                          </w:rPr>
                          <w:t>DENOMINACIÓN</w:t>
                        </w:r>
                        <w:r>
                          <w:rPr>
                            <w:rFonts w:ascii="Arial Narrow" w:hAnsi="Arial Narrow"/>
                            <w:b/>
                            <w:color w:val="FFFFFF"/>
                            <w:spacing w:val="40"/>
                            <w:sz w:val="16"/>
                          </w:rPr>
                          <w:t> </w:t>
                        </w:r>
                        <w:r>
                          <w:rPr>
                            <w:rFonts w:ascii="Arial Narrow" w:hAnsi="Arial Narrow"/>
                            <w:b/>
                            <w:color w:val="FFFFFF"/>
                            <w:spacing w:val="-2"/>
                            <w:sz w:val="16"/>
                          </w:rPr>
                          <w:t>ACTUACIÓN</w:t>
                        </w:r>
                      </w:p>
                    </w:txbxContent>
                  </v:textbox>
                  <w10:wrap type="none"/>
                </v:shape>
                <v:shape style="position:absolute;left:2191;top:448;width:744;height:185" type="#_x0000_t202" id="docshape396"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2"/>
                            <w:sz w:val="16"/>
                          </w:rPr>
                          <w:t>TIPOLOGÍA</w:t>
                        </w:r>
                      </w:p>
                    </w:txbxContent>
                  </v:textbox>
                  <w10:wrap type="none"/>
                </v:shape>
                <v:shape style="position:absolute;left:5492;top:458;width:894;height:185" type="#_x0000_t202" id="docshape397" filled="false" stroked="false">
                  <v:textbox inset="0,0,0,0">
                    <w:txbxContent>
                      <w:p>
                        <w:pPr>
                          <w:spacing w:before="0"/>
                          <w:ind w:left="0" w:right="0" w:firstLine="0"/>
                          <w:jc w:val="left"/>
                          <w:rPr>
                            <w:rFonts w:ascii="Arial Narrow"/>
                            <w:b/>
                            <w:sz w:val="16"/>
                          </w:rPr>
                        </w:pPr>
                        <w:r>
                          <w:rPr>
                            <w:rFonts w:ascii="Arial Narrow"/>
                            <w:b/>
                            <w:color w:val="FFFFFF"/>
                            <w:spacing w:val="-2"/>
                            <w:sz w:val="16"/>
                          </w:rPr>
                          <w:t>Ayuntamiento</w:t>
                        </w:r>
                      </w:p>
                    </w:txbxContent>
                  </v:textbox>
                  <w10:wrap type="none"/>
                </v:shape>
                <v:shape style="position:absolute;left:7602;top:458;width:379;height:185" type="#_x0000_t202" id="docshape398" filled="false" stroked="false">
                  <v:textbox inset="0,0,0,0">
                    <w:txbxContent>
                      <w:p>
                        <w:pPr>
                          <w:spacing w:before="0"/>
                          <w:ind w:left="0" w:right="0" w:firstLine="0"/>
                          <w:jc w:val="left"/>
                          <w:rPr>
                            <w:rFonts w:ascii="Arial Narrow"/>
                            <w:b/>
                            <w:sz w:val="16"/>
                          </w:rPr>
                        </w:pPr>
                        <w:r>
                          <w:rPr>
                            <w:rFonts w:ascii="Arial Narrow"/>
                            <w:b/>
                            <w:color w:val="FFFFFF"/>
                            <w:spacing w:val="-4"/>
                            <w:sz w:val="16"/>
                          </w:rPr>
                          <w:t>PRTR</w:t>
                        </w:r>
                      </w:p>
                    </w:txbxContent>
                  </v:textbox>
                  <w10:wrap type="none"/>
                </v:shape>
                <v:shape style="position:absolute;left:8846;top:458;width:1427;height:185" type="#_x0000_t202" id="docshape399"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z w:val="16"/>
                          </w:rPr>
                          <w:t>Comunidad</w:t>
                        </w:r>
                        <w:r>
                          <w:rPr>
                            <w:rFonts w:ascii="Arial Narrow" w:hAnsi="Arial Narrow"/>
                            <w:b/>
                            <w:color w:val="FFFFFF"/>
                            <w:spacing w:val="-11"/>
                            <w:sz w:val="16"/>
                          </w:rPr>
                          <w:t> </w:t>
                        </w:r>
                        <w:r>
                          <w:rPr>
                            <w:rFonts w:ascii="Arial Narrow" w:hAnsi="Arial Narrow"/>
                            <w:b/>
                            <w:color w:val="FFFFFF"/>
                            <w:spacing w:val="-2"/>
                            <w:sz w:val="16"/>
                          </w:rPr>
                          <w:t>Autónoma</w:t>
                        </w:r>
                      </w:p>
                    </w:txbxContent>
                  </v:textbox>
                  <w10:wrap type="none"/>
                </v:shape>
                <v:shape style="position:absolute;left:3586;top:630;width:202;height:207" type="#_x0000_t202" id="docshape400" filled="false" stroked="false">
                  <v:textbox inset="0,0,0,0">
                    <w:txbxContent>
                      <w:p>
                        <w:pPr>
                          <w:spacing w:line="206" w:lineRule="exact" w:before="0"/>
                          <w:ind w:left="0" w:right="0" w:firstLine="0"/>
                          <w:jc w:val="left"/>
                          <w:rPr>
                            <w:rFonts w:ascii="Arial Narrow" w:hAnsi="Arial Narrow"/>
                            <w:b/>
                            <w:sz w:val="18"/>
                          </w:rPr>
                        </w:pPr>
                        <w:r>
                          <w:rPr>
                            <w:rFonts w:ascii="Arial Narrow" w:hAnsi="Arial Narrow"/>
                            <w:b/>
                            <w:color w:val="FFFFFF"/>
                            <w:spacing w:val="-5"/>
                            <w:sz w:val="18"/>
                          </w:rPr>
                          <w:t>(€)</w:t>
                        </w:r>
                      </w:p>
                    </w:txbxContent>
                  </v:textbox>
                  <w10:wrap type="none"/>
                </v:shape>
                <v:shape style="position:absolute;left:4424;top:630;width:257;height:207" type="#_x0000_t202" id="docshape401" filled="false" stroked="false">
                  <v:textbox inset="0,0,0,0">
                    <w:txbxContent>
                      <w:p>
                        <w:pPr>
                          <w:spacing w:line="206" w:lineRule="exact" w:before="0"/>
                          <w:ind w:left="0" w:right="0" w:firstLine="0"/>
                          <w:jc w:val="left"/>
                          <w:rPr>
                            <w:rFonts w:ascii="Arial Narrow"/>
                            <w:b/>
                            <w:sz w:val="12"/>
                          </w:rPr>
                        </w:pPr>
                        <w:r>
                          <w:rPr>
                            <w:rFonts w:ascii="Arial Narrow"/>
                            <w:b/>
                            <w:color w:val="FFFFFF"/>
                            <w:spacing w:val="-4"/>
                            <w:position w:val="-4"/>
                            <w:sz w:val="18"/>
                          </w:rPr>
                          <w:t>%</w:t>
                        </w:r>
                        <w:r>
                          <w:rPr>
                            <w:rFonts w:ascii="Arial Narrow"/>
                            <w:b/>
                            <w:color w:val="FFFFFF"/>
                            <w:spacing w:val="-4"/>
                            <w:sz w:val="12"/>
                          </w:rPr>
                          <w:t>(*)</w:t>
                        </w:r>
                      </w:p>
                    </w:txbxContent>
                  </v:textbox>
                  <w10:wrap type="none"/>
                </v:shape>
                <v:shape style="position:absolute;left:5514;top:818;width:182;height:185" type="#_x0000_t202" id="docshape402"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v:textbox>
                  <w10:wrap type="none"/>
                </v:shape>
                <v:shape style="position:absolute;left:6359;top:815;width:317;height:197" type="#_x0000_t202" id="docshape403" filled="false" stroked="false">
                  <v:textbox inset="0,0,0,0">
                    <w:txbxContent>
                      <w:p>
                        <w:pPr>
                          <w:spacing w:before="0"/>
                          <w:ind w:left="0" w:right="0" w:firstLine="0"/>
                          <w:jc w:val="left"/>
                          <w:rPr>
                            <w:rFonts w:ascii="Arial Narrow"/>
                            <w:b/>
                            <w:sz w:val="12"/>
                          </w:rPr>
                        </w:pPr>
                        <w:r>
                          <w:rPr>
                            <w:rFonts w:ascii="Arial Narrow"/>
                            <w:b/>
                            <w:color w:val="FFFFFF"/>
                            <w:position w:val="-4"/>
                            <w:sz w:val="16"/>
                          </w:rPr>
                          <w:t>%</w:t>
                        </w:r>
                        <w:r>
                          <w:rPr>
                            <w:rFonts w:ascii="Arial Narrow"/>
                            <w:b/>
                            <w:color w:val="FFFFFF"/>
                            <w:spacing w:val="-5"/>
                            <w:position w:val="-4"/>
                            <w:sz w:val="16"/>
                          </w:rPr>
                          <w:t> </w:t>
                        </w:r>
                        <w:r>
                          <w:rPr>
                            <w:rFonts w:ascii="Arial Narrow"/>
                            <w:b/>
                            <w:color w:val="FFFFFF"/>
                            <w:spacing w:val="-4"/>
                            <w:sz w:val="12"/>
                          </w:rPr>
                          <w:t>(**)</w:t>
                        </w:r>
                      </w:p>
                    </w:txbxContent>
                  </v:textbox>
                  <w10:wrap type="none"/>
                </v:shape>
                <v:shape style="position:absolute;left:7425;top:818;width:182;height:185" type="#_x0000_t202" id="docshape404"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v:textbox>
                  <w10:wrap type="none"/>
                </v:shape>
                <v:shape style="position:absolute;left:8135;top:815;width:317;height:197" type="#_x0000_t202" id="docshape405" filled="false" stroked="false">
                  <v:textbox inset="0,0,0,0">
                    <w:txbxContent>
                      <w:p>
                        <w:pPr>
                          <w:spacing w:before="0"/>
                          <w:ind w:left="0" w:right="0" w:firstLine="0"/>
                          <w:jc w:val="left"/>
                          <w:rPr>
                            <w:rFonts w:ascii="Arial Narrow"/>
                            <w:b/>
                            <w:sz w:val="12"/>
                          </w:rPr>
                        </w:pPr>
                        <w:r>
                          <w:rPr>
                            <w:rFonts w:ascii="Arial Narrow"/>
                            <w:b/>
                            <w:color w:val="FFFFFF"/>
                            <w:position w:val="-4"/>
                            <w:sz w:val="16"/>
                          </w:rPr>
                          <w:t>%</w:t>
                        </w:r>
                        <w:r>
                          <w:rPr>
                            <w:rFonts w:ascii="Arial Narrow"/>
                            <w:b/>
                            <w:color w:val="FFFFFF"/>
                            <w:spacing w:val="-5"/>
                            <w:position w:val="-4"/>
                            <w:sz w:val="16"/>
                          </w:rPr>
                          <w:t> </w:t>
                        </w:r>
                        <w:r>
                          <w:rPr>
                            <w:rFonts w:ascii="Arial Narrow"/>
                            <w:b/>
                            <w:color w:val="FFFFFF"/>
                            <w:spacing w:val="-4"/>
                            <w:sz w:val="12"/>
                          </w:rPr>
                          <w:t>(**)</w:t>
                        </w:r>
                      </w:p>
                    </w:txbxContent>
                  </v:textbox>
                  <w10:wrap type="none"/>
                </v:shape>
                <v:shape style="position:absolute;left:9184;top:818;width:182;height:185" type="#_x0000_t202" id="docshape406" filled="false" stroked="false">
                  <v:textbox inset="0,0,0,0">
                    <w:txbxContent>
                      <w:p>
                        <w:pPr>
                          <w:spacing w:before="0"/>
                          <w:ind w:left="0" w:right="0" w:firstLine="0"/>
                          <w:jc w:val="left"/>
                          <w:rPr>
                            <w:rFonts w:ascii="Arial Narrow" w:hAnsi="Arial Narrow"/>
                            <w:b/>
                            <w:sz w:val="16"/>
                          </w:rPr>
                        </w:pPr>
                        <w:r>
                          <w:rPr>
                            <w:rFonts w:ascii="Arial Narrow" w:hAnsi="Arial Narrow"/>
                            <w:b/>
                            <w:color w:val="FFFFFF"/>
                            <w:spacing w:val="-5"/>
                            <w:sz w:val="16"/>
                          </w:rPr>
                          <w:t>(€)</w:t>
                        </w:r>
                      </w:p>
                    </w:txbxContent>
                  </v:textbox>
                  <w10:wrap type="none"/>
                </v:shape>
                <v:shape style="position:absolute;left:9945;top:815;width:317;height:197" type="#_x0000_t202" id="docshape407" filled="false" stroked="false">
                  <v:textbox inset="0,0,0,0">
                    <w:txbxContent>
                      <w:p>
                        <w:pPr>
                          <w:spacing w:before="0"/>
                          <w:ind w:left="0" w:right="0" w:firstLine="0"/>
                          <w:jc w:val="left"/>
                          <w:rPr>
                            <w:rFonts w:ascii="Arial Narrow"/>
                            <w:b/>
                            <w:sz w:val="12"/>
                          </w:rPr>
                        </w:pPr>
                        <w:r>
                          <w:rPr>
                            <w:rFonts w:ascii="Arial Narrow"/>
                            <w:b/>
                            <w:color w:val="FFFFFF"/>
                            <w:position w:val="-4"/>
                            <w:sz w:val="16"/>
                          </w:rPr>
                          <w:t>%</w:t>
                        </w:r>
                        <w:r>
                          <w:rPr>
                            <w:rFonts w:ascii="Arial Narrow"/>
                            <w:b/>
                            <w:color w:val="FFFFFF"/>
                            <w:spacing w:val="-5"/>
                            <w:position w:val="-4"/>
                            <w:sz w:val="16"/>
                          </w:rPr>
                          <w:t> </w:t>
                        </w:r>
                        <w:r>
                          <w:rPr>
                            <w:rFonts w:ascii="Arial Narrow"/>
                            <w:b/>
                            <w:color w:val="FFFFFF"/>
                            <w:spacing w:val="-4"/>
                            <w:sz w:val="12"/>
                          </w:rPr>
                          <w:t>(**)</w:t>
                        </w:r>
                      </w:p>
                    </w:txbxContent>
                  </v:textbox>
                  <w10:wrap type="none"/>
                </v:shape>
                <v:shape style="position:absolute;left:10485;top:172;width:808;height:737" type="#_x0000_t202" id="docshape408" filled="false" stroked="false">
                  <v:textbox inset="0,0,0,0">
                    <w:txbxContent>
                      <w:p>
                        <w:pPr>
                          <w:spacing w:before="0"/>
                          <w:ind w:left="0" w:right="18" w:firstLine="4"/>
                          <w:jc w:val="center"/>
                          <w:rPr>
                            <w:rFonts w:ascii="Arial Narrow" w:hAnsi="Arial Narrow"/>
                            <w:b/>
                            <w:sz w:val="16"/>
                          </w:rPr>
                        </w:pPr>
                        <w:r>
                          <w:rPr>
                            <w:rFonts w:ascii="Arial Narrow" w:hAnsi="Arial Narrow"/>
                            <w:b/>
                            <w:color w:val="FFFFFF"/>
                            <w:sz w:val="16"/>
                          </w:rPr>
                          <w:t>ESTADO</w:t>
                        </w:r>
                        <w:r>
                          <w:rPr>
                            <w:rFonts w:ascii="Arial Narrow" w:hAnsi="Arial Narrow"/>
                            <w:b/>
                            <w:color w:val="FFFFFF"/>
                            <w:spacing w:val="-10"/>
                            <w:sz w:val="16"/>
                          </w:rPr>
                          <w:t> </w:t>
                        </w:r>
                        <w:r>
                          <w:rPr>
                            <w:rFonts w:ascii="Arial Narrow" w:hAnsi="Arial Narrow"/>
                            <w:b/>
                            <w:color w:val="FFFFFF"/>
                            <w:sz w:val="16"/>
                          </w:rPr>
                          <w:t>DE</w:t>
                        </w:r>
                        <w:r>
                          <w:rPr>
                            <w:rFonts w:ascii="Arial Narrow" w:hAnsi="Arial Narrow"/>
                            <w:b/>
                            <w:color w:val="FFFFFF"/>
                            <w:spacing w:val="40"/>
                            <w:sz w:val="16"/>
                          </w:rPr>
                          <w:t> </w:t>
                        </w:r>
                        <w:r>
                          <w:rPr>
                            <w:rFonts w:ascii="Arial Narrow" w:hAnsi="Arial Narrow"/>
                            <w:b/>
                            <w:color w:val="FFFFFF"/>
                            <w:spacing w:val="-6"/>
                            <w:sz w:val="16"/>
                          </w:rPr>
                          <w:t>LA</w:t>
                        </w:r>
                        <w:r>
                          <w:rPr>
                            <w:rFonts w:ascii="Arial Narrow" w:hAnsi="Arial Narrow"/>
                            <w:b/>
                            <w:color w:val="FFFFFF"/>
                            <w:spacing w:val="40"/>
                            <w:sz w:val="16"/>
                          </w:rPr>
                          <w:t> </w:t>
                        </w:r>
                        <w:r>
                          <w:rPr>
                            <w:rFonts w:ascii="Arial Narrow" w:hAnsi="Arial Narrow"/>
                            <w:b/>
                            <w:color w:val="FFFFFF"/>
                            <w:spacing w:val="-2"/>
                            <w:sz w:val="16"/>
                          </w:rPr>
                          <w:t>ACTUACIÓN</w:t>
                        </w:r>
                        <w:r>
                          <w:rPr>
                            <w:rFonts w:ascii="Arial Narrow" w:hAnsi="Arial Narrow"/>
                            <w:b/>
                            <w:color w:val="FFFFFF"/>
                            <w:spacing w:val="40"/>
                            <w:sz w:val="16"/>
                          </w:rPr>
                          <w:t> </w:t>
                        </w:r>
                        <w:r>
                          <w:rPr>
                            <w:rFonts w:ascii="Arial Narrow" w:hAnsi="Arial Narrow"/>
                            <w:b/>
                            <w:color w:val="FFFFFF"/>
                            <w:spacing w:val="-2"/>
                            <w:sz w:val="16"/>
                          </w:rPr>
                          <w:t>31/12/2024</w:t>
                        </w:r>
                      </w:p>
                    </w:txbxContent>
                  </v:textbox>
                  <w10:wrap type="none"/>
                </v:shape>
              </v:group>
            </w:pict>
          </mc:Fallback>
        </mc:AlternateContent>
      </w:r>
      <w:r>
        <w:rPr>
          <w:rFonts w:ascii="Arial Narrow"/>
          <w:sz w:val="20"/>
        </w:rPr>
      </w:r>
    </w:p>
    <w:p>
      <w:pPr>
        <w:spacing w:line="477" w:lineRule="auto" w:before="0"/>
        <w:ind w:left="192" w:right="9648" w:firstLine="0"/>
        <w:jc w:val="left"/>
        <w:rPr>
          <w:rFonts w:ascii="Arial Narrow" w:hAnsi="Arial Narrow"/>
          <w:sz w:val="17"/>
        </w:rPr>
      </w:pPr>
      <w:r>
        <w:rPr>
          <w:rFonts w:ascii="Arial Narrow" w:hAnsi="Arial Narrow"/>
          <w:sz w:val="17"/>
        </w:rPr>
        <mc:AlternateContent>
          <mc:Choice Requires="wps">
            <w:drawing>
              <wp:anchor distT="0" distB="0" distL="0" distR="0" allowOverlap="1" layoutInCell="1" locked="0" behindDoc="0" simplePos="0" relativeHeight="15781376">
                <wp:simplePos x="0" y="0"/>
                <wp:positionH relativeFrom="page">
                  <wp:posOffset>128015</wp:posOffset>
                </wp:positionH>
                <wp:positionV relativeFrom="paragraph">
                  <wp:posOffset>93219</wp:posOffset>
                </wp:positionV>
                <wp:extent cx="7305040" cy="768985"/>
                <wp:effectExtent l="0" t="0" r="0" b="0"/>
                <wp:wrapNone/>
                <wp:docPr id="468" name="Textbox 468"/>
                <wp:cNvGraphicFramePr>
                  <a:graphicFrameLocks/>
                </wp:cNvGraphicFramePr>
                <a:graphic>
                  <a:graphicData uri="http://schemas.microsoft.com/office/word/2010/wordprocessingShape">
                    <wps:wsp>
                      <wps:cNvPr id="468" name="Textbox 468"/>
                      <wps:cNvSpPr txBox="1"/>
                      <wps:spPr>
                        <a:xfrm>
                          <a:off x="0" y="0"/>
                          <a:ext cx="7305040" cy="76898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70"/>
                              <w:gridCol w:w="1165"/>
                              <w:gridCol w:w="755"/>
                              <w:gridCol w:w="1132"/>
                              <w:gridCol w:w="781"/>
                              <w:gridCol w:w="1034"/>
                              <w:gridCol w:w="939"/>
                              <w:gridCol w:w="908"/>
                              <w:gridCol w:w="490"/>
                              <w:gridCol w:w="1004"/>
                            </w:tblGrid>
                            <w:tr>
                              <w:trPr>
                                <w:trHeight w:val="586" w:hRule="atLeast"/>
                              </w:trPr>
                              <w:tc>
                                <w:tcPr>
                                  <w:tcW w:w="3170" w:type="dxa"/>
                                  <w:tcBorders>
                                    <w:bottom w:val="single" w:sz="8" w:space="0" w:color="001F5F"/>
                                  </w:tcBorders>
                                </w:tcPr>
                                <w:p>
                                  <w:pPr>
                                    <w:pStyle w:val="TableParagraph"/>
                                    <w:tabs>
                                      <w:tab w:pos="2054" w:val="left" w:leader="none"/>
                                    </w:tabs>
                                    <w:spacing w:line="290" w:lineRule="atLeast"/>
                                    <w:ind w:left="71" w:right="294"/>
                                    <w:rPr>
                                      <w:sz w:val="17"/>
                                    </w:rPr>
                                  </w:pPr>
                                  <w:r>
                                    <w:rPr>
                                      <w:sz w:val="17"/>
                                    </w:rPr>
                                    <w:t>mantenimiento del software</w:t>
                                    <w:tab/>
                                  </w:r>
                                  <w:r>
                                    <w:rPr>
                                      <w:spacing w:val="-2"/>
                                      <w:position w:val="-9"/>
                                      <w:sz w:val="17"/>
                                    </w:rPr>
                                    <w:t>Digitalización</w:t>
                                  </w:r>
                                  <w:r>
                                    <w:rPr>
                                      <w:spacing w:val="40"/>
                                      <w:position w:val="-9"/>
                                      <w:sz w:val="17"/>
                                    </w:rPr>
                                    <w:t> </w:t>
                                  </w:r>
                                  <w:r>
                                    <w:rPr>
                                      <w:sz w:val="17"/>
                                    </w:rPr>
                                    <w:t>la</w:t>
                                  </w:r>
                                  <w:r>
                                    <w:rPr>
                                      <w:spacing w:val="-4"/>
                                      <w:sz w:val="17"/>
                                    </w:rPr>
                                    <w:t> </w:t>
                                  </w:r>
                                  <w:r>
                                    <w:rPr>
                                      <w:sz w:val="17"/>
                                    </w:rPr>
                                    <w:t>EMT-Palma</w:t>
                                  </w:r>
                                </w:p>
                              </w:tc>
                              <w:tc>
                                <w:tcPr>
                                  <w:tcW w:w="1165" w:type="dxa"/>
                                  <w:tcBorders>
                                    <w:bottom w:val="single" w:sz="8" w:space="0" w:color="001F5F"/>
                                  </w:tcBorders>
                                </w:tcPr>
                                <w:p>
                                  <w:pPr>
                                    <w:pStyle w:val="TableParagraph"/>
                                    <w:spacing w:before="106"/>
                                    <w:ind w:right="169"/>
                                    <w:jc w:val="right"/>
                                    <w:rPr>
                                      <w:sz w:val="17"/>
                                    </w:rPr>
                                  </w:pPr>
                                  <w:r>
                                    <w:rPr>
                                      <w:spacing w:val="-2"/>
                                      <w:sz w:val="17"/>
                                    </w:rPr>
                                    <w:t>192.551,76</w:t>
                                  </w:r>
                                </w:p>
                              </w:tc>
                              <w:tc>
                                <w:tcPr>
                                  <w:tcW w:w="755" w:type="dxa"/>
                                  <w:tcBorders>
                                    <w:bottom w:val="single" w:sz="8" w:space="0" w:color="001F5F"/>
                                  </w:tcBorders>
                                </w:tcPr>
                                <w:p>
                                  <w:pPr>
                                    <w:pStyle w:val="TableParagraph"/>
                                    <w:spacing w:before="106"/>
                                    <w:ind w:right="136"/>
                                    <w:jc w:val="center"/>
                                    <w:rPr>
                                      <w:sz w:val="17"/>
                                    </w:rPr>
                                  </w:pPr>
                                  <w:r>
                                    <w:rPr>
                                      <w:spacing w:val="-4"/>
                                      <w:sz w:val="17"/>
                                    </w:rPr>
                                    <w:t>0,45</w:t>
                                  </w:r>
                                </w:p>
                              </w:tc>
                              <w:tc>
                                <w:tcPr>
                                  <w:tcW w:w="1132" w:type="dxa"/>
                                  <w:tcBorders>
                                    <w:bottom w:val="single" w:sz="8" w:space="0" w:color="001F5F"/>
                                  </w:tcBorders>
                                </w:tcPr>
                                <w:p>
                                  <w:pPr>
                                    <w:pStyle w:val="TableParagraph"/>
                                    <w:spacing w:before="106"/>
                                    <w:ind w:right="119"/>
                                    <w:jc w:val="right"/>
                                    <w:rPr>
                                      <w:sz w:val="17"/>
                                    </w:rPr>
                                  </w:pPr>
                                  <w:r>
                                    <w:rPr>
                                      <w:spacing w:val="-2"/>
                                      <w:sz w:val="17"/>
                                    </w:rPr>
                                    <w:t>192.551,76</w:t>
                                  </w:r>
                                </w:p>
                              </w:tc>
                              <w:tc>
                                <w:tcPr>
                                  <w:tcW w:w="781" w:type="dxa"/>
                                  <w:tcBorders>
                                    <w:bottom w:val="single" w:sz="8" w:space="0" w:color="001F5F"/>
                                  </w:tcBorders>
                                </w:tcPr>
                                <w:p>
                                  <w:pPr>
                                    <w:pStyle w:val="TableParagraph"/>
                                    <w:spacing w:before="106"/>
                                    <w:ind w:right="108"/>
                                    <w:jc w:val="center"/>
                                    <w:rPr>
                                      <w:sz w:val="17"/>
                                    </w:rPr>
                                  </w:pPr>
                                  <w:r>
                                    <w:rPr>
                                      <w:spacing w:val="-2"/>
                                      <w:sz w:val="17"/>
                                    </w:rPr>
                                    <w:t>100,00</w:t>
                                  </w:r>
                                </w:p>
                              </w:tc>
                              <w:tc>
                                <w:tcPr>
                                  <w:tcW w:w="1034" w:type="dxa"/>
                                  <w:tcBorders>
                                    <w:bottom w:val="single" w:sz="8" w:space="0" w:color="001F5F"/>
                                  </w:tcBorders>
                                </w:tcPr>
                                <w:p>
                                  <w:pPr>
                                    <w:pStyle w:val="TableParagraph"/>
                                    <w:spacing w:before="106"/>
                                    <w:ind w:right="138"/>
                                    <w:jc w:val="right"/>
                                    <w:rPr>
                                      <w:sz w:val="17"/>
                                    </w:rPr>
                                  </w:pPr>
                                  <w:r>
                                    <w:rPr>
                                      <w:spacing w:val="-4"/>
                                      <w:sz w:val="17"/>
                                    </w:rPr>
                                    <w:t>0,00</w:t>
                                  </w:r>
                                </w:p>
                              </w:tc>
                              <w:tc>
                                <w:tcPr>
                                  <w:tcW w:w="939" w:type="dxa"/>
                                  <w:tcBorders>
                                    <w:bottom w:val="single" w:sz="8" w:space="0" w:color="001F5F"/>
                                  </w:tcBorders>
                                </w:tcPr>
                                <w:p>
                                  <w:pPr>
                                    <w:pStyle w:val="TableParagraph"/>
                                    <w:spacing w:before="106"/>
                                    <w:ind w:left="182"/>
                                    <w:rPr>
                                      <w:sz w:val="17"/>
                                    </w:rPr>
                                  </w:pPr>
                                  <w:r>
                                    <w:rPr>
                                      <w:spacing w:val="-4"/>
                                      <w:sz w:val="17"/>
                                    </w:rPr>
                                    <w:t>0,00</w:t>
                                  </w:r>
                                </w:p>
                              </w:tc>
                              <w:tc>
                                <w:tcPr>
                                  <w:tcW w:w="908" w:type="dxa"/>
                                  <w:tcBorders>
                                    <w:bottom w:val="single" w:sz="8" w:space="0" w:color="001F5F"/>
                                  </w:tcBorders>
                                </w:tcPr>
                                <w:p>
                                  <w:pPr>
                                    <w:pStyle w:val="TableParagraph"/>
                                    <w:spacing w:before="106"/>
                                    <w:ind w:right="144"/>
                                    <w:jc w:val="right"/>
                                    <w:rPr>
                                      <w:sz w:val="17"/>
                                    </w:rPr>
                                  </w:pPr>
                                  <w:r>
                                    <w:rPr>
                                      <w:spacing w:val="-4"/>
                                      <w:sz w:val="17"/>
                                    </w:rPr>
                                    <w:t>0,00</w:t>
                                  </w:r>
                                </w:p>
                              </w:tc>
                              <w:tc>
                                <w:tcPr>
                                  <w:tcW w:w="490" w:type="dxa"/>
                                  <w:tcBorders>
                                    <w:bottom w:val="single" w:sz="8" w:space="0" w:color="001F5F"/>
                                  </w:tcBorders>
                                </w:tcPr>
                                <w:p>
                                  <w:pPr>
                                    <w:pStyle w:val="TableParagraph"/>
                                    <w:spacing w:before="106"/>
                                    <w:ind w:left="85"/>
                                    <w:jc w:val="center"/>
                                    <w:rPr>
                                      <w:sz w:val="17"/>
                                    </w:rPr>
                                  </w:pPr>
                                  <w:r>
                                    <w:rPr>
                                      <w:spacing w:val="-4"/>
                                      <w:sz w:val="17"/>
                                    </w:rPr>
                                    <w:t>0,00</w:t>
                                  </w:r>
                                </w:p>
                              </w:tc>
                              <w:tc>
                                <w:tcPr>
                                  <w:tcW w:w="1004" w:type="dxa"/>
                                  <w:tcBorders>
                                    <w:bottom w:val="single" w:sz="8" w:space="0" w:color="001F5F"/>
                                  </w:tcBorders>
                                </w:tcPr>
                                <w:p>
                                  <w:pPr>
                                    <w:pStyle w:val="TableParagraph"/>
                                    <w:spacing w:before="106"/>
                                    <w:ind w:left="75"/>
                                    <w:rPr>
                                      <w:sz w:val="17"/>
                                    </w:rPr>
                                  </w:pPr>
                                  <w:r>
                                    <w:rPr>
                                      <w:sz w:val="17"/>
                                    </w:rPr>
                                    <w:t>En</w:t>
                                  </w:r>
                                  <w:r>
                                    <w:rPr>
                                      <w:spacing w:val="-1"/>
                                      <w:sz w:val="17"/>
                                    </w:rPr>
                                    <w:t> </w:t>
                                  </w:r>
                                  <w:r>
                                    <w:rPr>
                                      <w:spacing w:val="-2"/>
                                      <w:sz w:val="17"/>
                                    </w:rPr>
                                    <w:t>ejecución</w:t>
                                  </w:r>
                                </w:p>
                              </w:tc>
                            </w:tr>
                            <w:tr>
                              <w:trPr>
                                <w:trHeight w:val="585" w:hRule="atLeast"/>
                              </w:trPr>
                              <w:tc>
                                <w:tcPr>
                                  <w:tcW w:w="3170" w:type="dxa"/>
                                  <w:tcBorders>
                                    <w:top w:val="single" w:sz="8" w:space="0" w:color="001F5F"/>
                                    <w:bottom w:val="single" w:sz="8" w:space="0" w:color="001F5F"/>
                                  </w:tcBorders>
                                </w:tcPr>
                                <w:p>
                                  <w:pPr>
                                    <w:pStyle w:val="TableParagraph"/>
                                    <w:spacing w:line="195" w:lineRule="exact" w:before="10"/>
                                    <w:ind w:left="71"/>
                                    <w:rPr>
                                      <w:sz w:val="17"/>
                                    </w:rPr>
                                  </w:pPr>
                                  <w:r>
                                    <w:rPr>
                                      <w:sz w:val="17"/>
                                    </w:rPr>
                                    <w:t>Suministro</w:t>
                                  </w:r>
                                  <w:r>
                                    <w:rPr>
                                      <w:spacing w:val="-4"/>
                                      <w:sz w:val="17"/>
                                    </w:rPr>
                                    <w:t> </w:t>
                                  </w:r>
                                  <w:r>
                                    <w:rPr>
                                      <w:sz w:val="17"/>
                                    </w:rPr>
                                    <w:t>de</w:t>
                                  </w:r>
                                  <w:r>
                                    <w:rPr>
                                      <w:spacing w:val="-2"/>
                                      <w:sz w:val="17"/>
                                    </w:rPr>
                                    <w:t> pantallas</w:t>
                                  </w:r>
                                </w:p>
                                <w:p>
                                  <w:pPr>
                                    <w:pStyle w:val="TableParagraph"/>
                                    <w:tabs>
                                      <w:tab w:pos="2054" w:val="left" w:leader="none"/>
                                    </w:tabs>
                                    <w:spacing w:line="196" w:lineRule="exact"/>
                                    <w:ind w:left="71" w:right="294"/>
                                    <w:rPr>
                                      <w:sz w:val="17"/>
                                    </w:rPr>
                                  </w:pPr>
                                  <w:r>
                                    <w:rPr>
                                      <w:sz w:val="17"/>
                                    </w:rPr>
                                    <w:t>indicadores de línea para la</w:t>
                                    <w:tab/>
                                  </w:r>
                                  <w:r>
                                    <w:rPr>
                                      <w:spacing w:val="-2"/>
                                      <w:sz w:val="17"/>
                                    </w:rPr>
                                    <w:t>Digitalización</w:t>
                                  </w:r>
                                  <w:r>
                                    <w:rPr>
                                      <w:spacing w:val="40"/>
                                      <w:sz w:val="17"/>
                                    </w:rPr>
                                    <w:t> </w:t>
                                  </w:r>
                                  <w:r>
                                    <w:rPr>
                                      <w:spacing w:val="-2"/>
                                      <w:sz w:val="17"/>
                                    </w:rPr>
                                    <w:t>EMT-Palma</w:t>
                                  </w:r>
                                </w:p>
                              </w:tc>
                              <w:tc>
                                <w:tcPr>
                                  <w:tcW w:w="1165" w:type="dxa"/>
                                  <w:tcBorders>
                                    <w:top w:val="single" w:sz="8" w:space="0" w:color="001F5F"/>
                                    <w:bottom w:val="single" w:sz="8" w:space="0" w:color="001F5F"/>
                                  </w:tcBorders>
                                </w:tcPr>
                                <w:p>
                                  <w:pPr>
                                    <w:pStyle w:val="TableParagraph"/>
                                    <w:spacing w:before="9"/>
                                    <w:rPr>
                                      <w:sz w:val="17"/>
                                    </w:rPr>
                                  </w:pPr>
                                </w:p>
                                <w:p>
                                  <w:pPr>
                                    <w:pStyle w:val="TableParagraph"/>
                                    <w:ind w:right="169"/>
                                    <w:jc w:val="right"/>
                                    <w:rPr>
                                      <w:sz w:val="17"/>
                                    </w:rPr>
                                  </w:pPr>
                                  <w:r>
                                    <w:rPr>
                                      <w:spacing w:val="-2"/>
                                      <w:sz w:val="17"/>
                                    </w:rPr>
                                    <w:t>269.388,00</w:t>
                                  </w:r>
                                </w:p>
                              </w:tc>
                              <w:tc>
                                <w:tcPr>
                                  <w:tcW w:w="755" w:type="dxa"/>
                                  <w:tcBorders>
                                    <w:top w:val="single" w:sz="8" w:space="0" w:color="001F5F"/>
                                    <w:bottom w:val="single" w:sz="8" w:space="0" w:color="001F5F"/>
                                  </w:tcBorders>
                                </w:tcPr>
                                <w:p>
                                  <w:pPr>
                                    <w:pStyle w:val="TableParagraph"/>
                                    <w:spacing w:before="9"/>
                                    <w:rPr>
                                      <w:sz w:val="17"/>
                                    </w:rPr>
                                  </w:pPr>
                                </w:p>
                                <w:p>
                                  <w:pPr>
                                    <w:pStyle w:val="TableParagraph"/>
                                    <w:ind w:right="136"/>
                                    <w:jc w:val="center"/>
                                    <w:rPr>
                                      <w:sz w:val="17"/>
                                    </w:rPr>
                                  </w:pPr>
                                  <w:r>
                                    <w:rPr>
                                      <w:spacing w:val="-4"/>
                                      <w:sz w:val="17"/>
                                    </w:rPr>
                                    <w:t>0,62</w:t>
                                  </w:r>
                                </w:p>
                              </w:tc>
                              <w:tc>
                                <w:tcPr>
                                  <w:tcW w:w="1132" w:type="dxa"/>
                                  <w:tcBorders>
                                    <w:top w:val="single" w:sz="8" w:space="0" w:color="001F5F"/>
                                    <w:bottom w:val="single" w:sz="8" w:space="0" w:color="001F5F"/>
                                  </w:tcBorders>
                                </w:tcPr>
                                <w:p>
                                  <w:pPr>
                                    <w:pStyle w:val="TableParagraph"/>
                                    <w:spacing w:before="9"/>
                                    <w:rPr>
                                      <w:sz w:val="17"/>
                                    </w:rPr>
                                  </w:pPr>
                                </w:p>
                                <w:p>
                                  <w:pPr>
                                    <w:pStyle w:val="TableParagraph"/>
                                    <w:ind w:right="119"/>
                                    <w:jc w:val="right"/>
                                    <w:rPr>
                                      <w:sz w:val="17"/>
                                    </w:rPr>
                                  </w:pPr>
                                  <w:r>
                                    <w:rPr>
                                      <w:spacing w:val="-2"/>
                                      <w:sz w:val="17"/>
                                    </w:rPr>
                                    <w:t>26.938,80</w:t>
                                  </w:r>
                                </w:p>
                              </w:tc>
                              <w:tc>
                                <w:tcPr>
                                  <w:tcW w:w="781" w:type="dxa"/>
                                  <w:tcBorders>
                                    <w:top w:val="single" w:sz="8" w:space="0" w:color="001F5F"/>
                                    <w:bottom w:val="single" w:sz="8" w:space="0" w:color="001F5F"/>
                                  </w:tcBorders>
                                </w:tcPr>
                                <w:p>
                                  <w:pPr>
                                    <w:pStyle w:val="TableParagraph"/>
                                    <w:spacing w:before="9"/>
                                    <w:rPr>
                                      <w:sz w:val="17"/>
                                    </w:rPr>
                                  </w:pPr>
                                </w:p>
                                <w:p>
                                  <w:pPr>
                                    <w:pStyle w:val="TableParagraph"/>
                                    <w:ind w:left="80" w:right="108"/>
                                    <w:jc w:val="center"/>
                                    <w:rPr>
                                      <w:sz w:val="17"/>
                                    </w:rPr>
                                  </w:pPr>
                                  <w:r>
                                    <w:rPr>
                                      <w:spacing w:val="-2"/>
                                      <w:sz w:val="17"/>
                                    </w:rPr>
                                    <w:t>10,00</w:t>
                                  </w:r>
                                </w:p>
                              </w:tc>
                              <w:tc>
                                <w:tcPr>
                                  <w:tcW w:w="1034" w:type="dxa"/>
                                  <w:tcBorders>
                                    <w:top w:val="single" w:sz="8" w:space="0" w:color="001F5F"/>
                                    <w:bottom w:val="single" w:sz="8" w:space="0" w:color="001F5F"/>
                                  </w:tcBorders>
                                </w:tcPr>
                                <w:p>
                                  <w:pPr>
                                    <w:pStyle w:val="TableParagraph"/>
                                    <w:spacing w:before="9"/>
                                    <w:rPr>
                                      <w:sz w:val="17"/>
                                    </w:rPr>
                                  </w:pPr>
                                </w:p>
                                <w:p>
                                  <w:pPr>
                                    <w:pStyle w:val="TableParagraph"/>
                                    <w:ind w:right="100"/>
                                    <w:jc w:val="right"/>
                                    <w:rPr>
                                      <w:sz w:val="17"/>
                                    </w:rPr>
                                  </w:pPr>
                                  <w:r>
                                    <w:rPr>
                                      <w:spacing w:val="-2"/>
                                      <w:sz w:val="17"/>
                                    </w:rPr>
                                    <w:t>242.449,20</w:t>
                                  </w:r>
                                </w:p>
                              </w:tc>
                              <w:tc>
                                <w:tcPr>
                                  <w:tcW w:w="939" w:type="dxa"/>
                                  <w:tcBorders>
                                    <w:top w:val="single" w:sz="8" w:space="0" w:color="001F5F"/>
                                    <w:bottom w:val="single" w:sz="8" w:space="0" w:color="001F5F"/>
                                  </w:tcBorders>
                                </w:tcPr>
                                <w:p>
                                  <w:pPr>
                                    <w:pStyle w:val="TableParagraph"/>
                                    <w:spacing w:before="9"/>
                                    <w:rPr>
                                      <w:sz w:val="17"/>
                                    </w:rPr>
                                  </w:pPr>
                                </w:p>
                                <w:p>
                                  <w:pPr>
                                    <w:pStyle w:val="TableParagraph"/>
                                    <w:ind w:left="105"/>
                                    <w:rPr>
                                      <w:sz w:val="17"/>
                                    </w:rPr>
                                  </w:pPr>
                                  <w:r>
                                    <w:rPr>
                                      <w:spacing w:val="-2"/>
                                      <w:sz w:val="17"/>
                                    </w:rPr>
                                    <w:t>90,00</w:t>
                                  </w:r>
                                </w:p>
                              </w:tc>
                              <w:tc>
                                <w:tcPr>
                                  <w:tcW w:w="908" w:type="dxa"/>
                                  <w:tcBorders>
                                    <w:top w:val="single" w:sz="8" w:space="0" w:color="001F5F"/>
                                    <w:bottom w:val="single" w:sz="8" w:space="0" w:color="001F5F"/>
                                  </w:tcBorders>
                                </w:tcPr>
                                <w:p>
                                  <w:pPr>
                                    <w:pStyle w:val="TableParagraph"/>
                                    <w:spacing w:before="9"/>
                                    <w:rPr>
                                      <w:sz w:val="17"/>
                                    </w:rPr>
                                  </w:pPr>
                                </w:p>
                                <w:p>
                                  <w:pPr>
                                    <w:pStyle w:val="TableParagraph"/>
                                    <w:ind w:right="144"/>
                                    <w:jc w:val="right"/>
                                    <w:rPr>
                                      <w:sz w:val="17"/>
                                    </w:rPr>
                                  </w:pPr>
                                  <w:r>
                                    <w:rPr>
                                      <w:spacing w:val="-4"/>
                                      <w:sz w:val="17"/>
                                    </w:rPr>
                                    <w:t>0,00</w:t>
                                  </w:r>
                                </w:p>
                              </w:tc>
                              <w:tc>
                                <w:tcPr>
                                  <w:tcW w:w="490" w:type="dxa"/>
                                  <w:tcBorders>
                                    <w:top w:val="single" w:sz="8" w:space="0" w:color="001F5F"/>
                                    <w:bottom w:val="single" w:sz="8" w:space="0" w:color="001F5F"/>
                                  </w:tcBorders>
                                </w:tcPr>
                                <w:p>
                                  <w:pPr>
                                    <w:pStyle w:val="TableParagraph"/>
                                    <w:spacing w:before="9"/>
                                    <w:rPr>
                                      <w:sz w:val="17"/>
                                    </w:rPr>
                                  </w:pPr>
                                </w:p>
                                <w:p>
                                  <w:pPr>
                                    <w:pStyle w:val="TableParagraph"/>
                                    <w:ind w:left="85"/>
                                    <w:jc w:val="center"/>
                                    <w:rPr>
                                      <w:sz w:val="17"/>
                                    </w:rPr>
                                  </w:pPr>
                                  <w:r>
                                    <w:rPr>
                                      <w:spacing w:val="-4"/>
                                      <w:sz w:val="17"/>
                                    </w:rPr>
                                    <w:t>0,00</w:t>
                                  </w:r>
                                </w:p>
                              </w:tc>
                              <w:tc>
                                <w:tcPr>
                                  <w:tcW w:w="1004" w:type="dxa"/>
                                  <w:tcBorders>
                                    <w:top w:val="single" w:sz="8" w:space="0" w:color="001F5F"/>
                                    <w:bottom w:val="single" w:sz="8" w:space="0" w:color="001F5F"/>
                                  </w:tcBorders>
                                </w:tcPr>
                                <w:p>
                                  <w:pPr>
                                    <w:pStyle w:val="TableParagraph"/>
                                    <w:spacing w:before="9"/>
                                    <w:rPr>
                                      <w:sz w:val="17"/>
                                    </w:rPr>
                                  </w:pPr>
                                </w:p>
                                <w:p>
                                  <w:pPr>
                                    <w:pStyle w:val="TableParagraph"/>
                                    <w:ind w:left="75"/>
                                    <w:rPr>
                                      <w:sz w:val="17"/>
                                    </w:rPr>
                                  </w:pPr>
                                  <w:r>
                                    <w:rPr>
                                      <w:spacing w:val="-2"/>
                                      <w:sz w:val="17"/>
                                    </w:rPr>
                                    <w:t>Finalizada</w:t>
                                  </w:r>
                                </w:p>
                              </w:tc>
                            </w:tr>
                          </w:tbl>
                          <w:p>
                            <w:pPr>
                              <w:pStyle w:val="BodyText"/>
                            </w:pPr>
                          </w:p>
                        </w:txbxContent>
                      </wps:txbx>
                      <wps:bodyPr wrap="square" lIns="0" tIns="0" rIns="0" bIns="0" rtlCol="0">
                        <a:noAutofit/>
                      </wps:bodyPr>
                    </wps:wsp>
                  </a:graphicData>
                </a:graphic>
              </wp:anchor>
            </w:drawing>
          </mc:Choice>
          <mc:Fallback>
            <w:pict>
              <v:shape style="position:absolute;margin-left:10.08pt;margin-top:7.340083pt;width:575.2pt;height:60.55pt;mso-position-horizontal-relative:page;mso-position-vertical-relative:paragraph;z-index:15781376" type="#_x0000_t202" id="docshape409"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70"/>
                        <w:gridCol w:w="1165"/>
                        <w:gridCol w:w="755"/>
                        <w:gridCol w:w="1132"/>
                        <w:gridCol w:w="781"/>
                        <w:gridCol w:w="1034"/>
                        <w:gridCol w:w="939"/>
                        <w:gridCol w:w="908"/>
                        <w:gridCol w:w="490"/>
                        <w:gridCol w:w="1004"/>
                      </w:tblGrid>
                      <w:tr>
                        <w:trPr>
                          <w:trHeight w:val="586" w:hRule="atLeast"/>
                        </w:trPr>
                        <w:tc>
                          <w:tcPr>
                            <w:tcW w:w="3170" w:type="dxa"/>
                            <w:tcBorders>
                              <w:bottom w:val="single" w:sz="8" w:space="0" w:color="001F5F"/>
                            </w:tcBorders>
                          </w:tcPr>
                          <w:p>
                            <w:pPr>
                              <w:pStyle w:val="TableParagraph"/>
                              <w:tabs>
                                <w:tab w:pos="2054" w:val="left" w:leader="none"/>
                              </w:tabs>
                              <w:spacing w:line="290" w:lineRule="atLeast"/>
                              <w:ind w:left="71" w:right="294"/>
                              <w:rPr>
                                <w:sz w:val="17"/>
                              </w:rPr>
                            </w:pPr>
                            <w:r>
                              <w:rPr>
                                <w:sz w:val="17"/>
                              </w:rPr>
                              <w:t>mantenimiento del software</w:t>
                              <w:tab/>
                            </w:r>
                            <w:r>
                              <w:rPr>
                                <w:spacing w:val="-2"/>
                                <w:position w:val="-9"/>
                                <w:sz w:val="17"/>
                              </w:rPr>
                              <w:t>Digitalización</w:t>
                            </w:r>
                            <w:r>
                              <w:rPr>
                                <w:spacing w:val="40"/>
                                <w:position w:val="-9"/>
                                <w:sz w:val="17"/>
                              </w:rPr>
                              <w:t> </w:t>
                            </w:r>
                            <w:r>
                              <w:rPr>
                                <w:sz w:val="17"/>
                              </w:rPr>
                              <w:t>la</w:t>
                            </w:r>
                            <w:r>
                              <w:rPr>
                                <w:spacing w:val="-4"/>
                                <w:sz w:val="17"/>
                              </w:rPr>
                              <w:t> </w:t>
                            </w:r>
                            <w:r>
                              <w:rPr>
                                <w:sz w:val="17"/>
                              </w:rPr>
                              <w:t>EMT-Palma</w:t>
                            </w:r>
                          </w:p>
                        </w:tc>
                        <w:tc>
                          <w:tcPr>
                            <w:tcW w:w="1165" w:type="dxa"/>
                            <w:tcBorders>
                              <w:bottom w:val="single" w:sz="8" w:space="0" w:color="001F5F"/>
                            </w:tcBorders>
                          </w:tcPr>
                          <w:p>
                            <w:pPr>
                              <w:pStyle w:val="TableParagraph"/>
                              <w:spacing w:before="106"/>
                              <w:ind w:right="169"/>
                              <w:jc w:val="right"/>
                              <w:rPr>
                                <w:sz w:val="17"/>
                              </w:rPr>
                            </w:pPr>
                            <w:r>
                              <w:rPr>
                                <w:spacing w:val="-2"/>
                                <w:sz w:val="17"/>
                              </w:rPr>
                              <w:t>192.551,76</w:t>
                            </w:r>
                          </w:p>
                        </w:tc>
                        <w:tc>
                          <w:tcPr>
                            <w:tcW w:w="755" w:type="dxa"/>
                            <w:tcBorders>
                              <w:bottom w:val="single" w:sz="8" w:space="0" w:color="001F5F"/>
                            </w:tcBorders>
                          </w:tcPr>
                          <w:p>
                            <w:pPr>
                              <w:pStyle w:val="TableParagraph"/>
                              <w:spacing w:before="106"/>
                              <w:ind w:right="136"/>
                              <w:jc w:val="center"/>
                              <w:rPr>
                                <w:sz w:val="17"/>
                              </w:rPr>
                            </w:pPr>
                            <w:r>
                              <w:rPr>
                                <w:spacing w:val="-4"/>
                                <w:sz w:val="17"/>
                              </w:rPr>
                              <w:t>0,45</w:t>
                            </w:r>
                          </w:p>
                        </w:tc>
                        <w:tc>
                          <w:tcPr>
                            <w:tcW w:w="1132" w:type="dxa"/>
                            <w:tcBorders>
                              <w:bottom w:val="single" w:sz="8" w:space="0" w:color="001F5F"/>
                            </w:tcBorders>
                          </w:tcPr>
                          <w:p>
                            <w:pPr>
                              <w:pStyle w:val="TableParagraph"/>
                              <w:spacing w:before="106"/>
                              <w:ind w:right="119"/>
                              <w:jc w:val="right"/>
                              <w:rPr>
                                <w:sz w:val="17"/>
                              </w:rPr>
                            </w:pPr>
                            <w:r>
                              <w:rPr>
                                <w:spacing w:val="-2"/>
                                <w:sz w:val="17"/>
                              </w:rPr>
                              <w:t>192.551,76</w:t>
                            </w:r>
                          </w:p>
                        </w:tc>
                        <w:tc>
                          <w:tcPr>
                            <w:tcW w:w="781" w:type="dxa"/>
                            <w:tcBorders>
                              <w:bottom w:val="single" w:sz="8" w:space="0" w:color="001F5F"/>
                            </w:tcBorders>
                          </w:tcPr>
                          <w:p>
                            <w:pPr>
                              <w:pStyle w:val="TableParagraph"/>
                              <w:spacing w:before="106"/>
                              <w:ind w:right="108"/>
                              <w:jc w:val="center"/>
                              <w:rPr>
                                <w:sz w:val="17"/>
                              </w:rPr>
                            </w:pPr>
                            <w:r>
                              <w:rPr>
                                <w:spacing w:val="-2"/>
                                <w:sz w:val="17"/>
                              </w:rPr>
                              <w:t>100,00</w:t>
                            </w:r>
                          </w:p>
                        </w:tc>
                        <w:tc>
                          <w:tcPr>
                            <w:tcW w:w="1034" w:type="dxa"/>
                            <w:tcBorders>
                              <w:bottom w:val="single" w:sz="8" w:space="0" w:color="001F5F"/>
                            </w:tcBorders>
                          </w:tcPr>
                          <w:p>
                            <w:pPr>
                              <w:pStyle w:val="TableParagraph"/>
                              <w:spacing w:before="106"/>
                              <w:ind w:right="138"/>
                              <w:jc w:val="right"/>
                              <w:rPr>
                                <w:sz w:val="17"/>
                              </w:rPr>
                            </w:pPr>
                            <w:r>
                              <w:rPr>
                                <w:spacing w:val="-4"/>
                                <w:sz w:val="17"/>
                              </w:rPr>
                              <w:t>0,00</w:t>
                            </w:r>
                          </w:p>
                        </w:tc>
                        <w:tc>
                          <w:tcPr>
                            <w:tcW w:w="939" w:type="dxa"/>
                            <w:tcBorders>
                              <w:bottom w:val="single" w:sz="8" w:space="0" w:color="001F5F"/>
                            </w:tcBorders>
                          </w:tcPr>
                          <w:p>
                            <w:pPr>
                              <w:pStyle w:val="TableParagraph"/>
                              <w:spacing w:before="106"/>
                              <w:ind w:left="182"/>
                              <w:rPr>
                                <w:sz w:val="17"/>
                              </w:rPr>
                            </w:pPr>
                            <w:r>
                              <w:rPr>
                                <w:spacing w:val="-4"/>
                                <w:sz w:val="17"/>
                              </w:rPr>
                              <w:t>0,00</w:t>
                            </w:r>
                          </w:p>
                        </w:tc>
                        <w:tc>
                          <w:tcPr>
                            <w:tcW w:w="908" w:type="dxa"/>
                            <w:tcBorders>
                              <w:bottom w:val="single" w:sz="8" w:space="0" w:color="001F5F"/>
                            </w:tcBorders>
                          </w:tcPr>
                          <w:p>
                            <w:pPr>
                              <w:pStyle w:val="TableParagraph"/>
                              <w:spacing w:before="106"/>
                              <w:ind w:right="144"/>
                              <w:jc w:val="right"/>
                              <w:rPr>
                                <w:sz w:val="17"/>
                              </w:rPr>
                            </w:pPr>
                            <w:r>
                              <w:rPr>
                                <w:spacing w:val="-4"/>
                                <w:sz w:val="17"/>
                              </w:rPr>
                              <w:t>0,00</w:t>
                            </w:r>
                          </w:p>
                        </w:tc>
                        <w:tc>
                          <w:tcPr>
                            <w:tcW w:w="490" w:type="dxa"/>
                            <w:tcBorders>
                              <w:bottom w:val="single" w:sz="8" w:space="0" w:color="001F5F"/>
                            </w:tcBorders>
                          </w:tcPr>
                          <w:p>
                            <w:pPr>
                              <w:pStyle w:val="TableParagraph"/>
                              <w:spacing w:before="106"/>
                              <w:ind w:left="85"/>
                              <w:jc w:val="center"/>
                              <w:rPr>
                                <w:sz w:val="17"/>
                              </w:rPr>
                            </w:pPr>
                            <w:r>
                              <w:rPr>
                                <w:spacing w:val="-4"/>
                                <w:sz w:val="17"/>
                              </w:rPr>
                              <w:t>0,00</w:t>
                            </w:r>
                          </w:p>
                        </w:tc>
                        <w:tc>
                          <w:tcPr>
                            <w:tcW w:w="1004" w:type="dxa"/>
                            <w:tcBorders>
                              <w:bottom w:val="single" w:sz="8" w:space="0" w:color="001F5F"/>
                            </w:tcBorders>
                          </w:tcPr>
                          <w:p>
                            <w:pPr>
                              <w:pStyle w:val="TableParagraph"/>
                              <w:spacing w:before="106"/>
                              <w:ind w:left="75"/>
                              <w:rPr>
                                <w:sz w:val="17"/>
                              </w:rPr>
                            </w:pPr>
                            <w:r>
                              <w:rPr>
                                <w:sz w:val="17"/>
                              </w:rPr>
                              <w:t>En</w:t>
                            </w:r>
                            <w:r>
                              <w:rPr>
                                <w:spacing w:val="-1"/>
                                <w:sz w:val="17"/>
                              </w:rPr>
                              <w:t> </w:t>
                            </w:r>
                            <w:r>
                              <w:rPr>
                                <w:spacing w:val="-2"/>
                                <w:sz w:val="17"/>
                              </w:rPr>
                              <w:t>ejecución</w:t>
                            </w:r>
                          </w:p>
                        </w:tc>
                      </w:tr>
                      <w:tr>
                        <w:trPr>
                          <w:trHeight w:val="585" w:hRule="atLeast"/>
                        </w:trPr>
                        <w:tc>
                          <w:tcPr>
                            <w:tcW w:w="3170" w:type="dxa"/>
                            <w:tcBorders>
                              <w:top w:val="single" w:sz="8" w:space="0" w:color="001F5F"/>
                              <w:bottom w:val="single" w:sz="8" w:space="0" w:color="001F5F"/>
                            </w:tcBorders>
                          </w:tcPr>
                          <w:p>
                            <w:pPr>
                              <w:pStyle w:val="TableParagraph"/>
                              <w:spacing w:line="195" w:lineRule="exact" w:before="10"/>
                              <w:ind w:left="71"/>
                              <w:rPr>
                                <w:sz w:val="17"/>
                              </w:rPr>
                            </w:pPr>
                            <w:r>
                              <w:rPr>
                                <w:sz w:val="17"/>
                              </w:rPr>
                              <w:t>Suministro</w:t>
                            </w:r>
                            <w:r>
                              <w:rPr>
                                <w:spacing w:val="-4"/>
                                <w:sz w:val="17"/>
                              </w:rPr>
                              <w:t> </w:t>
                            </w:r>
                            <w:r>
                              <w:rPr>
                                <w:sz w:val="17"/>
                              </w:rPr>
                              <w:t>de</w:t>
                            </w:r>
                            <w:r>
                              <w:rPr>
                                <w:spacing w:val="-2"/>
                                <w:sz w:val="17"/>
                              </w:rPr>
                              <w:t> pantallas</w:t>
                            </w:r>
                          </w:p>
                          <w:p>
                            <w:pPr>
                              <w:pStyle w:val="TableParagraph"/>
                              <w:tabs>
                                <w:tab w:pos="2054" w:val="left" w:leader="none"/>
                              </w:tabs>
                              <w:spacing w:line="196" w:lineRule="exact"/>
                              <w:ind w:left="71" w:right="294"/>
                              <w:rPr>
                                <w:sz w:val="17"/>
                              </w:rPr>
                            </w:pPr>
                            <w:r>
                              <w:rPr>
                                <w:sz w:val="17"/>
                              </w:rPr>
                              <w:t>indicadores de línea para la</w:t>
                              <w:tab/>
                            </w:r>
                            <w:r>
                              <w:rPr>
                                <w:spacing w:val="-2"/>
                                <w:sz w:val="17"/>
                              </w:rPr>
                              <w:t>Digitalización</w:t>
                            </w:r>
                            <w:r>
                              <w:rPr>
                                <w:spacing w:val="40"/>
                                <w:sz w:val="17"/>
                              </w:rPr>
                              <w:t> </w:t>
                            </w:r>
                            <w:r>
                              <w:rPr>
                                <w:spacing w:val="-2"/>
                                <w:sz w:val="17"/>
                              </w:rPr>
                              <w:t>EMT-Palma</w:t>
                            </w:r>
                          </w:p>
                        </w:tc>
                        <w:tc>
                          <w:tcPr>
                            <w:tcW w:w="1165" w:type="dxa"/>
                            <w:tcBorders>
                              <w:top w:val="single" w:sz="8" w:space="0" w:color="001F5F"/>
                              <w:bottom w:val="single" w:sz="8" w:space="0" w:color="001F5F"/>
                            </w:tcBorders>
                          </w:tcPr>
                          <w:p>
                            <w:pPr>
                              <w:pStyle w:val="TableParagraph"/>
                              <w:spacing w:before="9"/>
                              <w:rPr>
                                <w:sz w:val="17"/>
                              </w:rPr>
                            </w:pPr>
                          </w:p>
                          <w:p>
                            <w:pPr>
                              <w:pStyle w:val="TableParagraph"/>
                              <w:ind w:right="169"/>
                              <w:jc w:val="right"/>
                              <w:rPr>
                                <w:sz w:val="17"/>
                              </w:rPr>
                            </w:pPr>
                            <w:r>
                              <w:rPr>
                                <w:spacing w:val="-2"/>
                                <w:sz w:val="17"/>
                              </w:rPr>
                              <w:t>269.388,00</w:t>
                            </w:r>
                          </w:p>
                        </w:tc>
                        <w:tc>
                          <w:tcPr>
                            <w:tcW w:w="755" w:type="dxa"/>
                            <w:tcBorders>
                              <w:top w:val="single" w:sz="8" w:space="0" w:color="001F5F"/>
                              <w:bottom w:val="single" w:sz="8" w:space="0" w:color="001F5F"/>
                            </w:tcBorders>
                          </w:tcPr>
                          <w:p>
                            <w:pPr>
                              <w:pStyle w:val="TableParagraph"/>
                              <w:spacing w:before="9"/>
                              <w:rPr>
                                <w:sz w:val="17"/>
                              </w:rPr>
                            </w:pPr>
                          </w:p>
                          <w:p>
                            <w:pPr>
                              <w:pStyle w:val="TableParagraph"/>
                              <w:ind w:right="136"/>
                              <w:jc w:val="center"/>
                              <w:rPr>
                                <w:sz w:val="17"/>
                              </w:rPr>
                            </w:pPr>
                            <w:r>
                              <w:rPr>
                                <w:spacing w:val="-4"/>
                                <w:sz w:val="17"/>
                              </w:rPr>
                              <w:t>0,62</w:t>
                            </w:r>
                          </w:p>
                        </w:tc>
                        <w:tc>
                          <w:tcPr>
                            <w:tcW w:w="1132" w:type="dxa"/>
                            <w:tcBorders>
                              <w:top w:val="single" w:sz="8" w:space="0" w:color="001F5F"/>
                              <w:bottom w:val="single" w:sz="8" w:space="0" w:color="001F5F"/>
                            </w:tcBorders>
                          </w:tcPr>
                          <w:p>
                            <w:pPr>
                              <w:pStyle w:val="TableParagraph"/>
                              <w:spacing w:before="9"/>
                              <w:rPr>
                                <w:sz w:val="17"/>
                              </w:rPr>
                            </w:pPr>
                          </w:p>
                          <w:p>
                            <w:pPr>
                              <w:pStyle w:val="TableParagraph"/>
                              <w:ind w:right="119"/>
                              <w:jc w:val="right"/>
                              <w:rPr>
                                <w:sz w:val="17"/>
                              </w:rPr>
                            </w:pPr>
                            <w:r>
                              <w:rPr>
                                <w:spacing w:val="-2"/>
                                <w:sz w:val="17"/>
                              </w:rPr>
                              <w:t>26.938,80</w:t>
                            </w:r>
                          </w:p>
                        </w:tc>
                        <w:tc>
                          <w:tcPr>
                            <w:tcW w:w="781" w:type="dxa"/>
                            <w:tcBorders>
                              <w:top w:val="single" w:sz="8" w:space="0" w:color="001F5F"/>
                              <w:bottom w:val="single" w:sz="8" w:space="0" w:color="001F5F"/>
                            </w:tcBorders>
                          </w:tcPr>
                          <w:p>
                            <w:pPr>
                              <w:pStyle w:val="TableParagraph"/>
                              <w:spacing w:before="9"/>
                              <w:rPr>
                                <w:sz w:val="17"/>
                              </w:rPr>
                            </w:pPr>
                          </w:p>
                          <w:p>
                            <w:pPr>
                              <w:pStyle w:val="TableParagraph"/>
                              <w:ind w:left="80" w:right="108"/>
                              <w:jc w:val="center"/>
                              <w:rPr>
                                <w:sz w:val="17"/>
                              </w:rPr>
                            </w:pPr>
                            <w:r>
                              <w:rPr>
                                <w:spacing w:val="-2"/>
                                <w:sz w:val="17"/>
                              </w:rPr>
                              <w:t>10,00</w:t>
                            </w:r>
                          </w:p>
                        </w:tc>
                        <w:tc>
                          <w:tcPr>
                            <w:tcW w:w="1034" w:type="dxa"/>
                            <w:tcBorders>
                              <w:top w:val="single" w:sz="8" w:space="0" w:color="001F5F"/>
                              <w:bottom w:val="single" w:sz="8" w:space="0" w:color="001F5F"/>
                            </w:tcBorders>
                          </w:tcPr>
                          <w:p>
                            <w:pPr>
                              <w:pStyle w:val="TableParagraph"/>
                              <w:spacing w:before="9"/>
                              <w:rPr>
                                <w:sz w:val="17"/>
                              </w:rPr>
                            </w:pPr>
                          </w:p>
                          <w:p>
                            <w:pPr>
                              <w:pStyle w:val="TableParagraph"/>
                              <w:ind w:right="100"/>
                              <w:jc w:val="right"/>
                              <w:rPr>
                                <w:sz w:val="17"/>
                              </w:rPr>
                            </w:pPr>
                            <w:r>
                              <w:rPr>
                                <w:spacing w:val="-2"/>
                                <w:sz w:val="17"/>
                              </w:rPr>
                              <w:t>242.449,20</w:t>
                            </w:r>
                          </w:p>
                        </w:tc>
                        <w:tc>
                          <w:tcPr>
                            <w:tcW w:w="939" w:type="dxa"/>
                            <w:tcBorders>
                              <w:top w:val="single" w:sz="8" w:space="0" w:color="001F5F"/>
                              <w:bottom w:val="single" w:sz="8" w:space="0" w:color="001F5F"/>
                            </w:tcBorders>
                          </w:tcPr>
                          <w:p>
                            <w:pPr>
                              <w:pStyle w:val="TableParagraph"/>
                              <w:spacing w:before="9"/>
                              <w:rPr>
                                <w:sz w:val="17"/>
                              </w:rPr>
                            </w:pPr>
                          </w:p>
                          <w:p>
                            <w:pPr>
                              <w:pStyle w:val="TableParagraph"/>
                              <w:ind w:left="105"/>
                              <w:rPr>
                                <w:sz w:val="17"/>
                              </w:rPr>
                            </w:pPr>
                            <w:r>
                              <w:rPr>
                                <w:spacing w:val="-2"/>
                                <w:sz w:val="17"/>
                              </w:rPr>
                              <w:t>90,00</w:t>
                            </w:r>
                          </w:p>
                        </w:tc>
                        <w:tc>
                          <w:tcPr>
                            <w:tcW w:w="908" w:type="dxa"/>
                            <w:tcBorders>
                              <w:top w:val="single" w:sz="8" w:space="0" w:color="001F5F"/>
                              <w:bottom w:val="single" w:sz="8" w:space="0" w:color="001F5F"/>
                            </w:tcBorders>
                          </w:tcPr>
                          <w:p>
                            <w:pPr>
                              <w:pStyle w:val="TableParagraph"/>
                              <w:spacing w:before="9"/>
                              <w:rPr>
                                <w:sz w:val="17"/>
                              </w:rPr>
                            </w:pPr>
                          </w:p>
                          <w:p>
                            <w:pPr>
                              <w:pStyle w:val="TableParagraph"/>
                              <w:ind w:right="144"/>
                              <w:jc w:val="right"/>
                              <w:rPr>
                                <w:sz w:val="17"/>
                              </w:rPr>
                            </w:pPr>
                            <w:r>
                              <w:rPr>
                                <w:spacing w:val="-4"/>
                                <w:sz w:val="17"/>
                              </w:rPr>
                              <w:t>0,00</w:t>
                            </w:r>
                          </w:p>
                        </w:tc>
                        <w:tc>
                          <w:tcPr>
                            <w:tcW w:w="490" w:type="dxa"/>
                            <w:tcBorders>
                              <w:top w:val="single" w:sz="8" w:space="0" w:color="001F5F"/>
                              <w:bottom w:val="single" w:sz="8" w:space="0" w:color="001F5F"/>
                            </w:tcBorders>
                          </w:tcPr>
                          <w:p>
                            <w:pPr>
                              <w:pStyle w:val="TableParagraph"/>
                              <w:spacing w:before="9"/>
                              <w:rPr>
                                <w:sz w:val="17"/>
                              </w:rPr>
                            </w:pPr>
                          </w:p>
                          <w:p>
                            <w:pPr>
                              <w:pStyle w:val="TableParagraph"/>
                              <w:ind w:left="85"/>
                              <w:jc w:val="center"/>
                              <w:rPr>
                                <w:sz w:val="17"/>
                              </w:rPr>
                            </w:pPr>
                            <w:r>
                              <w:rPr>
                                <w:spacing w:val="-4"/>
                                <w:sz w:val="17"/>
                              </w:rPr>
                              <w:t>0,00</w:t>
                            </w:r>
                          </w:p>
                        </w:tc>
                        <w:tc>
                          <w:tcPr>
                            <w:tcW w:w="1004" w:type="dxa"/>
                            <w:tcBorders>
                              <w:top w:val="single" w:sz="8" w:space="0" w:color="001F5F"/>
                              <w:bottom w:val="single" w:sz="8" w:space="0" w:color="001F5F"/>
                            </w:tcBorders>
                          </w:tcPr>
                          <w:p>
                            <w:pPr>
                              <w:pStyle w:val="TableParagraph"/>
                              <w:spacing w:before="9"/>
                              <w:rPr>
                                <w:sz w:val="17"/>
                              </w:rPr>
                            </w:pPr>
                          </w:p>
                          <w:p>
                            <w:pPr>
                              <w:pStyle w:val="TableParagraph"/>
                              <w:ind w:left="75"/>
                              <w:rPr>
                                <w:sz w:val="17"/>
                              </w:rPr>
                            </w:pPr>
                            <w:r>
                              <w:rPr>
                                <w:spacing w:val="-2"/>
                                <w:sz w:val="17"/>
                              </w:rPr>
                              <w:t>Finalizada</w:t>
                            </w:r>
                          </w:p>
                        </w:tc>
                      </w:tr>
                    </w:tbl>
                    <w:p>
                      <w:pPr>
                        <w:pStyle w:val="BodyText"/>
                      </w:pPr>
                    </w:p>
                  </w:txbxContent>
                </v:textbox>
                <w10:wrap type="none"/>
              </v:shape>
            </w:pict>
          </mc:Fallback>
        </mc:AlternateContent>
      </w:r>
      <w:r>
        <w:rPr>
          <w:rFonts w:ascii="Arial Narrow" w:hAnsi="Arial Narrow"/>
          <w:sz w:val="17"/>
        </w:rPr>
        <w:t>Suministro, instalación y</w:t>
      </w:r>
      <w:r>
        <w:rPr>
          <w:rFonts w:ascii="Arial Narrow" w:hAnsi="Arial Narrow"/>
          <w:spacing w:val="40"/>
          <w:sz w:val="17"/>
        </w:rPr>
        <w:t> </w:t>
      </w:r>
      <w:r>
        <w:rPr>
          <w:rFonts w:ascii="Arial Narrow" w:hAnsi="Arial Narrow"/>
          <w:sz w:val="17"/>
        </w:rPr>
        <w:t>para</w:t>
      </w:r>
      <w:r>
        <w:rPr>
          <w:rFonts w:ascii="Arial Narrow" w:hAnsi="Arial Narrow"/>
          <w:spacing w:val="-10"/>
          <w:sz w:val="17"/>
        </w:rPr>
        <w:t> </w:t>
      </w:r>
      <w:r>
        <w:rPr>
          <w:rFonts w:ascii="Arial Narrow" w:hAnsi="Arial Narrow"/>
          <w:sz w:val="17"/>
        </w:rPr>
        <w:t>pantallas</w:t>
      </w:r>
      <w:r>
        <w:rPr>
          <w:rFonts w:ascii="Arial Narrow" w:hAnsi="Arial Narrow"/>
          <w:spacing w:val="-10"/>
          <w:sz w:val="17"/>
        </w:rPr>
        <w:t> </w:t>
      </w:r>
      <w:r>
        <w:rPr>
          <w:rFonts w:ascii="Arial Narrow" w:hAnsi="Arial Narrow"/>
          <w:sz w:val="17"/>
        </w:rPr>
        <w:t>multimedia</w:t>
      </w:r>
      <w:r>
        <w:rPr>
          <w:rFonts w:ascii="Arial Narrow" w:hAnsi="Arial Narrow"/>
          <w:spacing w:val="-10"/>
          <w:sz w:val="17"/>
        </w:rPr>
        <w:t> </w:t>
      </w:r>
      <w:r>
        <w:rPr>
          <w:rFonts w:ascii="Arial Narrow" w:hAnsi="Arial Narrow"/>
          <w:sz w:val="17"/>
        </w:rPr>
        <w:t>de</w:t>
      </w:r>
    </w:p>
    <w:p>
      <w:pPr>
        <w:pStyle w:val="BodyText"/>
        <w:rPr>
          <w:rFonts w:ascii="Arial Narrow"/>
          <w:sz w:val="20"/>
        </w:rPr>
      </w:pPr>
    </w:p>
    <w:p>
      <w:pPr>
        <w:pStyle w:val="BodyText"/>
        <w:spacing w:before="32"/>
        <w:rPr>
          <w:rFonts w:ascii="Arial Narrow"/>
          <w:sz w:val="20"/>
        </w:rPr>
      </w:pPr>
    </w:p>
    <w:p>
      <w:pPr>
        <w:pStyle w:val="BodyText"/>
        <w:spacing w:after="0"/>
        <w:rPr>
          <w:rFonts w:ascii="Arial Narrow"/>
          <w:sz w:val="20"/>
        </w:rPr>
        <w:sectPr>
          <w:pgSz w:w="11910" w:h="16840"/>
          <w:pgMar w:header="1270" w:footer="661" w:top="2840" w:bottom="860" w:left="141" w:right="141"/>
        </w:sectPr>
      </w:pPr>
    </w:p>
    <w:p>
      <w:pPr>
        <w:spacing w:line="194" w:lineRule="exact" w:before="100"/>
        <w:ind w:left="192" w:right="0" w:firstLine="0"/>
        <w:jc w:val="left"/>
        <w:rPr>
          <w:rFonts w:ascii="Arial Narrow"/>
          <w:sz w:val="17"/>
        </w:rPr>
      </w:pPr>
      <w:r>
        <w:rPr>
          <w:rFonts w:ascii="Arial Narrow"/>
          <w:sz w:val="17"/>
        </w:rPr>
        <w:t>Contrato</w:t>
      </w:r>
      <w:r>
        <w:rPr>
          <w:rFonts w:ascii="Arial Narrow"/>
          <w:spacing w:val="-4"/>
          <w:sz w:val="17"/>
        </w:rPr>
        <w:t> </w:t>
      </w:r>
      <w:r>
        <w:rPr>
          <w:rFonts w:ascii="Arial Narrow"/>
          <w:sz w:val="17"/>
        </w:rPr>
        <w:t>de</w:t>
      </w:r>
      <w:r>
        <w:rPr>
          <w:rFonts w:ascii="Arial Narrow"/>
          <w:spacing w:val="-3"/>
          <w:sz w:val="17"/>
        </w:rPr>
        <w:t> </w:t>
      </w:r>
      <w:r>
        <w:rPr>
          <w:rFonts w:ascii="Arial Narrow"/>
          <w:spacing w:val="-2"/>
          <w:sz w:val="17"/>
        </w:rPr>
        <w:t>proyecto</w:t>
      </w:r>
    </w:p>
    <w:p>
      <w:pPr>
        <w:spacing w:line="194" w:lineRule="exact" w:before="100"/>
        <w:ind w:left="192" w:right="0" w:firstLine="0"/>
        <w:jc w:val="left"/>
        <w:rPr>
          <w:rFonts w:ascii="Arial Narrow" w:hAnsi="Arial Narrow"/>
          <w:sz w:val="17"/>
        </w:rPr>
      </w:pPr>
      <w:r>
        <w:rPr/>
        <w:br w:type="column"/>
      </w:r>
      <w:r>
        <w:rPr>
          <w:rFonts w:ascii="Arial Narrow" w:hAnsi="Arial Narrow"/>
          <w:sz w:val="17"/>
        </w:rPr>
        <w:t>Información</w:t>
      </w:r>
      <w:r>
        <w:rPr>
          <w:rFonts w:ascii="Arial Narrow" w:hAnsi="Arial Narrow"/>
          <w:spacing w:val="-5"/>
          <w:sz w:val="17"/>
        </w:rPr>
        <w:t> </w:t>
      </w:r>
      <w:r>
        <w:rPr>
          <w:rFonts w:ascii="Arial Narrow" w:hAnsi="Arial Narrow"/>
          <w:spacing w:val="-10"/>
          <w:sz w:val="17"/>
        </w:rPr>
        <w:t>y</w:t>
      </w:r>
    </w:p>
    <w:p>
      <w:pPr>
        <w:pStyle w:val="BodyText"/>
        <w:spacing w:before="3"/>
        <w:rPr>
          <w:rFonts w:ascii="Arial Narrow"/>
          <w:sz w:val="17"/>
        </w:rPr>
      </w:pPr>
      <w:r>
        <w:rPr/>
        <w:br w:type="column"/>
      </w:r>
      <w:r>
        <w:rPr>
          <w:rFonts w:ascii="Arial Narrow"/>
          <w:sz w:val="17"/>
        </w:rPr>
      </w:r>
    </w:p>
    <w:p>
      <w:pPr>
        <w:tabs>
          <w:tab w:pos="1154" w:val="left" w:leader="none"/>
          <w:tab w:pos="2206" w:val="left" w:leader="none"/>
          <w:tab w:pos="3070" w:val="left" w:leader="none"/>
          <w:tab w:pos="3963" w:val="left" w:leader="none"/>
          <w:tab w:pos="4789" w:val="left" w:leader="none"/>
          <w:tab w:pos="6114" w:val="left" w:leader="none"/>
          <w:tab w:pos="6683" w:val="left" w:leader="none"/>
        </w:tabs>
        <w:spacing w:line="96" w:lineRule="exact" w:before="0"/>
        <w:ind w:left="192" w:right="0" w:firstLine="0"/>
        <w:jc w:val="left"/>
        <w:rPr>
          <w:rFonts w:ascii="Arial Narrow" w:hAnsi="Arial Narrow"/>
          <w:sz w:val="17"/>
        </w:rPr>
      </w:pPr>
      <w:r>
        <w:rPr>
          <w:rFonts w:ascii="Arial Narrow" w:hAnsi="Arial Narrow"/>
          <w:spacing w:val="-2"/>
          <w:sz w:val="17"/>
        </w:rPr>
        <w:t>58.376,84</w:t>
      </w:r>
      <w:r>
        <w:rPr>
          <w:rFonts w:ascii="Arial Narrow" w:hAnsi="Arial Narrow"/>
          <w:sz w:val="17"/>
        </w:rPr>
        <w:tab/>
      </w:r>
      <w:r>
        <w:rPr>
          <w:rFonts w:ascii="Arial Narrow" w:hAnsi="Arial Narrow"/>
          <w:spacing w:val="-4"/>
          <w:sz w:val="17"/>
        </w:rPr>
        <w:t>0,14</w:t>
      </w:r>
      <w:r>
        <w:rPr>
          <w:rFonts w:ascii="Arial Narrow" w:hAnsi="Arial Narrow"/>
          <w:sz w:val="17"/>
        </w:rPr>
        <w:tab/>
      </w:r>
      <w:r>
        <w:rPr>
          <w:rFonts w:ascii="Arial Narrow" w:hAnsi="Arial Narrow"/>
          <w:spacing w:val="-2"/>
          <w:sz w:val="17"/>
        </w:rPr>
        <w:t>5.837,68</w:t>
      </w:r>
      <w:r>
        <w:rPr>
          <w:rFonts w:ascii="Arial Narrow" w:hAnsi="Arial Narrow"/>
          <w:sz w:val="17"/>
        </w:rPr>
        <w:tab/>
      </w:r>
      <w:r>
        <w:rPr>
          <w:rFonts w:ascii="Arial Narrow" w:hAnsi="Arial Narrow"/>
          <w:spacing w:val="-4"/>
          <w:sz w:val="17"/>
        </w:rPr>
        <w:t>10,00</w:t>
      </w:r>
      <w:r>
        <w:rPr>
          <w:rFonts w:ascii="Arial Narrow" w:hAnsi="Arial Narrow"/>
          <w:sz w:val="17"/>
        </w:rPr>
        <w:tab/>
      </w:r>
      <w:r>
        <w:rPr>
          <w:rFonts w:ascii="Arial Narrow" w:hAnsi="Arial Narrow"/>
          <w:spacing w:val="-2"/>
          <w:sz w:val="17"/>
        </w:rPr>
        <w:t>52.539,16</w:t>
      </w:r>
      <w:r>
        <w:rPr>
          <w:rFonts w:ascii="Arial Narrow" w:hAnsi="Arial Narrow"/>
          <w:sz w:val="17"/>
        </w:rPr>
        <w:tab/>
      </w:r>
      <w:r>
        <w:rPr>
          <w:rFonts w:ascii="Arial Narrow" w:hAnsi="Arial Narrow"/>
          <w:spacing w:val="-4"/>
          <w:sz w:val="17"/>
        </w:rPr>
        <w:t>90,00</w:t>
      </w:r>
      <w:r>
        <w:rPr>
          <w:rFonts w:ascii="Arial Narrow" w:hAnsi="Arial Narrow"/>
          <w:sz w:val="17"/>
        </w:rPr>
        <w:tab/>
      </w:r>
      <w:r>
        <w:rPr>
          <w:rFonts w:ascii="Arial Narrow" w:hAnsi="Arial Narrow"/>
          <w:spacing w:val="-4"/>
          <w:sz w:val="17"/>
        </w:rPr>
        <w:t>0,00</w:t>
      </w:r>
      <w:r>
        <w:rPr>
          <w:rFonts w:ascii="Arial Narrow" w:hAnsi="Arial Narrow"/>
          <w:sz w:val="17"/>
        </w:rPr>
        <w:tab/>
        <w:t>0,00</w:t>
      </w:r>
      <w:r>
        <w:rPr>
          <w:rFonts w:ascii="Arial Narrow" w:hAnsi="Arial Narrow"/>
          <w:spacing w:val="31"/>
          <w:sz w:val="17"/>
        </w:rPr>
        <w:t>  </w:t>
      </w:r>
      <w:r>
        <w:rPr>
          <w:rFonts w:ascii="Arial Narrow" w:hAnsi="Arial Narrow"/>
          <w:sz w:val="17"/>
        </w:rPr>
        <w:t>En</w:t>
      </w:r>
      <w:r>
        <w:rPr>
          <w:rFonts w:ascii="Arial Narrow" w:hAnsi="Arial Narrow"/>
          <w:spacing w:val="-1"/>
          <w:sz w:val="17"/>
        </w:rPr>
        <w:t> </w:t>
      </w:r>
      <w:r>
        <w:rPr>
          <w:rFonts w:ascii="Arial Narrow" w:hAnsi="Arial Narrow"/>
          <w:spacing w:val="-2"/>
          <w:sz w:val="17"/>
        </w:rPr>
        <w:t>ejecución</w:t>
      </w:r>
    </w:p>
    <w:p>
      <w:pPr>
        <w:spacing w:after="0" w:line="96" w:lineRule="exact"/>
        <w:jc w:val="left"/>
        <w:rPr>
          <w:rFonts w:ascii="Arial Narrow" w:hAnsi="Arial Narrow"/>
          <w:sz w:val="17"/>
        </w:rPr>
        <w:sectPr>
          <w:type w:val="continuous"/>
          <w:pgSz w:w="11910" w:h="16840"/>
          <w:pgMar w:header="1270" w:footer="661" w:top="1680" w:bottom="280" w:left="141" w:right="141"/>
          <w:cols w:num="3" w:equalWidth="0">
            <w:col w:w="1534" w:space="449"/>
            <w:col w:w="1069" w:space="422"/>
            <w:col w:w="8154"/>
          </w:cols>
        </w:sectPr>
      </w:pPr>
    </w:p>
    <w:p>
      <w:pPr>
        <w:tabs>
          <w:tab w:pos="2175" w:val="left" w:leader="none"/>
          <w:tab w:pos="3241" w:val="left" w:leader="none"/>
          <w:tab w:pos="4392" w:val="left" w:leader="none"/>
          <w:tab w:pos="5137" w:val="left" w:leader="none"/>
          <w:tab w:pos="6999" w:val="left" w:leader="none"/>
          <w:tab w:pos="8716" w:val="left" w:leader="none"/>
        </w:tabs>
        <w:spacing w:before="0" w:after="3"/>
        <w:ind w:left="192" w:right="0" w:firstLine="0"/>
        <w:jc w:val="left"/>
        <w:rPr>
          <w:rFonts w:ascii="Times New Roman" w:hAnsi="Times New Roman"/>
          <w:sz w:val="17"/>
        </w:rPr>
      </w:pPr>
      <w:r>
        <w:rPr>
          <w:rFonts w:ascii="Arial Narrow" w:hAnsi="Arial Narrow"/>
          <w:spacing w:val="-2"/>
          <w:sz w:val="17"/>
        </w:rPr>
        <w:t>educativo</w:t>
      </w:r>
      <w:r>
        <w:rPr>
          <w:rFonts w:ascii="Arial Narrow" w:hAnsi="Arial Narrow"/>
          <w:sz w:val="17"/>
        </w:rPr>
        <w:tab/>
      </w:r>
      <w:r>
        <w:rPr>
          <w:rFonts w:ascii="Arial Narrow" w:hAnsi="Arial Narrow"/>
          <w:spacing w:val="-2"/>
          <w:sz w:val="17"/>
        </w:rPr>
        <w:t>difusión</w:t>
      </w:r>
      <w:r>
        <w:rPr>
          <w:rFonts w:ascii="Arial Narrow" w:hAnsi="Arial Narrow"/>
          <w:sz w:val="17"/>
        </w:rPr>
        <w:tab/>
      </w:r>
      <w:r>
        <w:rPr>
          <w:rFonts w:ascii="Times New Roman" w:hAnsi="Times New Roman"/>
          <w:sz w:val="17"/>
          <w:u w:val="single"/>
        </w:rPr>
        <w:tab/>
      </w:r>
      <w:r>
        <w:rPr>
          <w:rFonts w:ascii="Times New Roman" w:hAnsi="Times New Roman"/>
          <w:sz w:val="17"/>
          <w:u w:val="none"/>
        </w:rPr>
        <w:tab/>
      </w:r>
      <w:r>
        <w:rPr>
          <w:rFonts w:ascii="Times New Roman" w:hAnsi="Times New Roman"/>
          <w:sz w:val="17"/>
          <w:u w:val="single"/>
        </w:rPr>
        <w:tab/>
      </w:r>
      <w:r>
        <w:rPr>
          <w:rFonts w:ascii="Times New Roman" w:hAnsi="Times New Roman"/>
          <w:spacing w:val="83"/>
          <w:sz w:val="17"/>
          <w:u w:val="none"/>
        </w:rPr>
        <w:t> </w:t>
      </w:r>
      <w:r>
        <w:rPr>
          <w:rFonts w:ascii="Times New Roman" w:hAnsi="Times New Roman"/>
          <w:sz w:val="17"/>
          <w:u w:val="single"/>
        </w:rPr>
        <w:tab/>
      </w:r>
    </w:p>
    <w:p>
      <w:pPr>
        <w:spacing w:line="240" w:lineRule="auto"/>
        <w:ind w:left="120" w:right="0" w:firstLine="0"/>
        <w:rPr>
          <w:rFonts w:ascii="Times New Roman"/>
          <w:sz w:val="20"/>
        </w:rPr>
      </w:pPr>
      <w:r>
        <w:rPr>
          <w:rFonts w:ascii="Times New Roman"/>
          <w:sz w:val="20"/>
        </w:rPr>
        <mc:AlternateContent>
          <mc:Choice Requires="wps">
            <w:drawing>
              <wp:inline distT="0" distB="0" distL="0" distR="0">
                <wp:extent cx="7228840" cy="228600"/>
                <wp:effectExtent l="0" t="0" r="0" b="9525"/>
                <wp:docPr id="469" name="Group 469"/>
                <wp:cNvGraphicFramePr>
                  <a:graphicFrameLocks/>
                </wp:cNvGraphicFramePr>
                <a:graphic>
                  <a:graphicData uri="http://schemas.microsoft.com/office/word/2010/wordprocessingGroup">
                    <wpg:wgp>
                      <wpg:cNvPr id="469" name="Group 469"/>
                      <wpg:cNvGrpSpPr/>
                      <wpg:grpSpPr>
                        <a:xfrm>
                          <a:off x="0" y="0"/>
                          <a:ext cx="7228840" cy="228600"/>
                          <a:chExt cx="7228840" cy="228600"/>
                        </a:xfrm>
                      </wpg:grpSpPr>
                      <wps:wsp>
                        <wps:cNvPr id="470" name="Graphic 470"/>
                        <wps:cNvSpPr/>
                        <wps:spPr>
                          <a:xfrm>
                            <a:off x="0" y="0"/>
                            <a:ext cx="7228840" cy="228600"/>
                          </a:xfrm>
                          <a:custGeom>
                            <a:avLst/>
                            <a:gdLst/>
                            <a:ahLst/>
                            <a:cxnLst/>
                            <a:rect l="l" t="t" r="r" b="b"/>
                            <a:pathLst>
                              <a:path w="7228840" h="228600">
                                <a:moveTo>
                                  <a:pt x="1981758" y="0"/>
                                </a:moveTo>
                                <a:lnTo>
                                  <a:pt x="1259128" y="0"/>
                                </a:lnTo>
                                <a:lnTo>
                                  <a:pt x="0" y="0"/>
                                </a:lnTo>
                                <a:lnTo>
                                  <a:pt x="0" y="12192"/>
                                </a:lnTo>
                                <a:lnTo>
                                  <a:pt x="0" y="228600"/>
                                </a:lnTo>
                                <a:lnTo>
                                  <a:pt x="1260602" y="228600"/>
                                </a:lnTo>
                                <a:lnTo>
                                  <a:pt x="1981758" y="228600"/>
                                </a:lnTo>
                                <a:lnTo>
                                  <a:pt x="1981758" y="12192"/>
                                </a:lnTo>
                                <a:lnTo>
                                  <a:pt x="1981758" y="0"/>
                                </a:lnTo>
                                <a:close/>
                              </a:path>
                              <a:path w="7228840" h="228600">
                                <a:moveTo>
                                  <a:pt x="5083734" y="6096"/>
                                </a:moveTo>
                                <a:lnTo>
                                  <a:pt x="4447921" y="6096"/>
                                </a:lnTo>
                                <a:lnTo>
                                  <a:pt x="4447921" y="0"/>
                                </a:lnTo>
                                <a:lnTo>
                                  <a:pt x="4344289" y="0"/>
                                </a:lnTo>
                                <a:lnTo>
                                  <a:pt x="4344289" y="6096"/>
                                </a:lnTo>
                                <a:lnTo>
                                  <a:pt x="3925189" y="6096"/>
                                </a:lnTo>
                                <a:lnTo>
                                  <a:pt x="3919143" y="6096"/>
                                </a:lnTo>
                                <a:lnTo>
                                  <a:pt x="3185795" y="6096"/>
                                </a:lnTo>
                                <a:lnTo>
                                  <a:pt x="3185795" y="0"/>
                                </a:lnTo>
                                <a:lnTo>
                                  <a:pt x="3079115" y="0"/>
                                </a:lnTo>
                                <a:lnTo>
                                  <a:pt x="2688971" y="0"/>
                                </a:lnTo>
                                <a:lnTo>
                                  <a:pt x="2688971" y="6096"/>
                                </a:lnTo>
                                <a:lnTo>
                                  <a:pt x="1981835" y="6096"/>
                                </a:lnTo>
                                <a:lnTo>
                                  <a:pt x="1981835" y="12192"/>
                                </a:lnTo>
                                <a:lnTo>
                                  <a:pt x="1981835" y="228600"/>
                                </a:lnTo>
                                <a:lnTo>
                                  <a:pt x="4449432" y="228600"/>
                                </a:lnTo>
                                <a:lnTo>
                                  <a:pt x="4449432" y="12192"/>
                                </a:lnTo>
                                <a:lnTo>
                                  <a:pt x="4449445" y="228600"/>
                                </a:lnTo>
                                <a:lnTo>
                                  <a:pt x="5083734" y="228600"/>
                                </a:lnTo>
                                <a:lnTo>
                                  <a:pt x="5083734" y="12192"/>
                                </a:lnTo>
                                <a:lnTo>
                                  <a:pt x="5083734" y="6096"/>
                                </a:lnTo>
                                <a:close/>
                              </a:path>
                              <a:path w="7228840" h="228600">
                                <a:moveTo>
                                  <a:pt x="7228332" y="0"/>
                                </a:moveTo>
                                <a:lnTo>
                                  <a:pt x="6601968" y="0"/>
                                </a:lnTo>
                                <a:lnTo>
                                  <a:pt x="6601968" y="12192"/>
                                </a:lnTo>
                                <a:lnTo>
                                  <a:pt x="6601955" y="0"/>
                                </a:lnTo>
                                <a:lnTo>
                                  <a:pt x="6589776" y="0"/>
                                </a:lnTo>
                                <a:lnTo>
                                  <a:pt x="6240780" y="0"/>
                                </a:lnTo>
                                <a:lnTo>
                                  <a:pt x="6240780" y="12192"/>
                                </a:lnTo>
                                <a:lnTo>
                                  <a:pt x="6240767" y="0"/>
                                </a:lnTo>
                                <a:lnTo>
                                  <a:pt x="6228639" y="0"/>
                                </a:lnTo>
                                <a:lnTo>
                                  <a:pt x="5551678" y="0"/>
                                </a:lnTo>
                                <a:lnTo>
                                  <a:pt x="5551678" y="12192"/>
                                </a:lnTo>
                                <a:lnTo>
                                  <a:pt x="5551665" y="0"/>
                                </a:lnTo>
                                <a:lnTo>
                                  <a:pt x="5539486" y="0"/>
                                </a:lnTo>
                                <a:lnTo>
                                  <a:pt x="5434330" y="0"/>
                                </a:lnTo>
                                <a:lnTo>
                                  <a:pt x="5434330" y="6096"/>
                                </a:lnTo>
                                <a:lnTo>
                                  <a:pt x="5089906" y="6096"/>
                                </a:lnTo>
                                <a:lnTo>
                                  <a:pt x="5083810" y="6096"/>
                                </a:lnTo>
                                <a:lnTo>
                                  <a:pt x="5083810" y="12192"/>
                                </a:lnTo>
                                <a:lnTo>
                                  <a:pt x="5083810" y="228600"/>
                                </a:lnTo>
                                <a:lnTo>
                                  <a:pt x="6591287" y="228600"/>
                                </a:lnTo>
                                <a:lnTo>
                                  <a:pt x="6591287" y="12192"/>
                                </a:lnTo>
                                <a:lnTo>
                                  <a:pt x="6591300" y="228600"/>
                                </a:lnTo>
                                <a:lnTo>
                                  <a:pt x="7228332" y="228600"/>
                                </a:lnTo>
                                <a:lnTo>
                                  <a:pt x="7228332" y="12192"/>
                                </a:lnTo>
                                <a:lnTo>
                                  <a:pt x="7228332" y="0"/>
                                </a:lnTo>
                                <a:close/>
                              </a:path>
                            </a:pathLst>
                          </a:custGeom>
                          <a:solidFill>
                            <a:srgbClr val="002D5D"/>
                          </a:solidFill>
                        </wps:spPr>
                        <wps:bodyPr wrap="square" lIns="0" tIns="0" rIns="0" bIns="0" rtlCol="0">
                          <a:prstTxWarp prst="textNoShape">
                            <a:avLst/>
                          </a:prstTxWarp>
                          <a:noAutofit/>
                        </wps:bodyPr>
                      </wps:wsp>
                      <wps:wsp>
                        <wps:cNvPr id="471" name="Textbox 471"/>
                        <wps:cNvSpPr txBox="1"/>
                        <wps:spPr>
                          <a:xfrm>
                            <a:off x="0" y="6096"/>
                            <a:ext cx="7228840" cy="222885"/>
                          </a:xfrm>
                          <a:prstGeom prst="rect">
                            <a:avLst/>
                          </a:prstGeom>
                        </wps:spPr>
                        <wps:txbx>
                          <w:txbxContent>
                            <w:p>
                              <w:pPr>
                                <w:tabs>
                                  <w:tab w:pos="4378" w:val="left" w:leader="none"/>
                                  <w:tab w:pos="5262" w:val="left" w:leader="none"/>
                                  <w:tab w:pos="7095" w:val="left" w:leader="none"/>
                                  <w:tab w:pos="8973" w:val="left" w:leader="none"/>
                                </w:tabs>
                                <w:spacing w:before="87"/>
                                <w:ind w:left="3325" w:right="0" w:firstLine="0"/>
                                <w:jc w:val="left"/>
                                <w:rPr>
                                  <w:rFonts w:ascii="Arial Narrow"/>
                                  <w:b/>
                                  <w:sz w:val="16"/>
                                </w:rPr>
                              </w:pPr>
                              <w:r>
                                <w:rPr>
                                  <w:rFonts w:ascii="Arial Narrow"/>
                                  <w:b/>
                                  <w:color w:val="FFFFFF"/>
                                  <w:spacing w:val="-2"/>
                                  <w:sz w:val="16"/>
                                </w:rPr>
                                <w:t>43.143.889,75</w:t>
                              </w:r>
                              <w:r>
                                <w:rPr>
                                  <w:rFonts w:ascii="Arial Narrow"/>
                                  <w:b/>
                                  <w:color w:val="FFFFFF"/>
                                  <w:sz w:val="16"/>
                                </w:rPr>
                                <w:tab/>
                              </w:r>
                              <w:r>
                                <w:rPr>
                                  <w:rFonts w:ascii="Arial Narrow"/>
                                  <w:b/>
                                  <w:color w:val="FFFFFF"/>
                                  <w:spacing w:val="-2"/>
                                  <w:sz w:val="16"/>
                                </w:rPr>
                                <w:t>100,00</w:t>
                              </w:r>
                              <w:r>
                                <w:rPr>
                                  <w:rFonts w:ascii="Arial Narrow"/>
                                  <w:b/>
                                  <w:color w:val="FFFFFF"/>
                                  <w:sz w:val="16"/>
                                </w:rPr>
                                <w:tab/>
                              </w:r>
                              <w:r>
                                <w:rPr>
                                  <w:rFonts w:ascii="Arial Narrow"/>
                                  <w:b/>
                                  <w:color w:val="FFFFFF"/>
                                  <w:spacing w:val="-2"/>
                                  <w:sz w:val="16"/>
                                </w:rPr>
                                <w:t>27.190.067,98</w:t>
                              </w:r>
                              <w:r>
                                <w:rPr>
                                  <w:rFonts w:ascii="Arial Narrow"/>
                                  <w:b/>
                                  <w:color w:val="FFFFFF"/>
                                  <w:sz w:val="16"/>
                                </w:rPr>
                                <w:tab/>
                              </w:r>
                              <w:r>
                                <w:rPr>
                                  <w:rFonts w:ascii="Arial Narrow"/>
                                  <w:b/>
                                  <w:color w:val="FFFFFF"/>
                                  <w:spacing w:val="-2"/>
                                  <w:sz w:val="16"/>
                                </w:rPr>
                                <w:t>12.203.821,77</w:t>
                              </w:r>
                              <w:r>
                                <w:rPr>
                                  <w:rFonts w:ascii="Arial Narrow"/>
                                  <w:b/>
                                  <w:color w:val="FFFFFF"/>
                                  <w:sz w:val="16"/>
                                </w:rPr>
                                <w:tab/>
                              </w:r>
                              <w:r>
                                <w:rPr>
                                  <w:rFonts w:ascii="Arial Narrow"/>
                                  <w:b/>
                                  <w:color w:val="FFFFFF"/>
                                  <w:spacing w:val="-2"/>
                                  <w:sz w:val="16"/>
                                </w:rPr>
                                <w:t>3.750.000,00</w:t>
                              </w:r>
                            </w:p>
                          </w:txbxContent>
                        </wps:txbx>
                        <wps:bodyPr wrap="square" lIns="0" tIns="0" rIns="0" bIns="0" rtlCol="0">
                          <a:noAutofit/>
                        </wps:bodyPr>
                      </wps:wsp>
                    </wpg:wgp>
                  </a:graphicData>
                </a:graphic>
              </wp:inline>
            </w:drawing>
          </mc:Choice>
          <mc:Fallback>
            <w:pict>
              <v:group style="width:569.2pt;height:18pt;mso-position-horizontal-relative:char;mso-position-vertical-relative:line" id="docshapegroup410" coordorigin="0,0" coordsize="11384,360">
                <v:shape style="position:absolute;left:0;top:0;width:11384;height:360" id="docshape411" coordorigin="0,0" coordsize="11384,360" path="m3121,0l1983,0,1983,0,0,0,0,19,0,360,1985,360,1985,360,3121,360,3121,19,3121,0xm8006,10l7005,10,7005,0,6841,0,6841,10,6181,10,6172,10,6172,10,5017,10,5017,0,4849,0,4235,0,4235,10,3121,10,3121,19,3121,360,4235,360,4849,360,5019,360,6174,360,6174,360,6841,360,7007,360,7007,19,7007,19,7007,360,8006,360,8006,19,8006,10xm11383,0l10397,0,10397,19,10397,19,10397,0,10378,0,9828,0,9828,19,9828,19,9828,0,9809,0,9809,0,8743,0,8743,19,8743,19,8743,0,8724,0,8558,0,8558,10,8016,10,8006,10,8006,19,8006,360,8558,360,8724,360,9809,360,9809,360,10380,360,10380,19,10380,19,10380,360,11383,360,11383,19,11383,0xe" filled="true" fillcolor="#002d5d" stroked="false">
                  <v:path arrowok="t"/>
                  <v:fill type="solid"/>
                </v:shape>
                <v:shape style="position:absolute;left:0;top:9;width:11384;height:351" type="#_x0000_t202" id="docshape412" filled="false" stroked="false">
                  <v:textbox inset="0,0,0,0">
                    <w:txbxContent>
                      <w:p>
                        <w:pPr>
                          <w:tabs>
                            <w:tab w:pos="4378" w:val="left" w:leader="none"/>
                            <w:tab w:pos="5262" w:val="left" w:leader="none"/>
                            <w:tab w:pos="7095" w:val="left" w:leader="none"/>
                            <w:tab w:pos="8973" w:val="left" w:leader="none"/>
                          </w:tabs>
                          <w:spacing w:before="87"/>
                          <w:ind w:left="3325" w:right="0" w:firstLine="0"/>
                          <w:jc w:val="left"/>
                          <w:rPr>
                            <w:rFonts w:ascii="Arial Narrow"/>
                            <w:b/>
                            <w:sz w:val="16"/>
                          </w:rPr>
                        </w:pPr>
                        <w:r>
                          <w:rPr>
                            <w:rFonts w:ascii="Arial Narrow"/>
                            <w:b/>
                            <w:color w:val="FFFFFF"/>
                            <w:spacing w:val="-2"/>
                            <w:sz w:val="16"/>
                          </w:rPr>
                          <w:t>43.143.889,75</w:t>
                        </w:r>
                        <w:r>
                          <w:rPr>
                            <w:rFonts w:ascii="Arial Narrow"/>
                            <w:b/>
                            <w:color w:val="FFFFFF"/>
                            <w:sz w:val="16"/>
                          </w:rPr>
                          <w:tab/>
                        </w:r>
                        <w:r>
                          <w:rPr>
                            <w:rFonts w:ascii="Arial Narrow"/>
                            <w:b/>
                            <w:color w:val="FFFFFF"/>
                            <w:spacing w:val="-2"/>
                            <w:sz w:val="16"/>
                          </w:rPr>
                          <w:t>100,00</w:t>
                        </w:r>
                        <w:r>
                          <w:rPr>
                            <w:rFonts w:ascii="Arial Narrow"/>
                            <w:b/>
                            <w:color w:val="FFFFFF"/>
                            <w:sz w:val="16"/>
                          </w:rPr>
                          <w:tab/>
                        </w:r>
                        <w:r>
                          <w:rPr>
                            <w:rFonts w:ascii="Arial Narrow"/>
                            <w:b/>
                            <w:color w:val="FFFFFF"/>
                            <w:spacing w:val="-2"/>
                            <w:sz w:val="16"/>
                          </w:rPr>
                          <w:t>27.190.067,98</w:t>
                        </w:r>
                        <w:r>
                          <w:rPr>
                            <w:rFonts w:ascii="Arial Narrow"/>
                            <w:b/>
                            <w:color w:val="FFFFFF"/>
                            <w:sz w:val="16"/>
                          </w:rPr>
                          <w:tab/>
                        </w:r>
                        <w:r>
                          <w:rPr>
                            <w:rFonts w:ascii="Arial Narrow"/>
                            <w:b/>
                            <w:color w:val="FFFFFF"/>
                            <w:spacing w:val="-2"/>
                            <w:sz w:val="16"/>
                          </w:rPr>
                          <w:t>12.203.821,77</w:t>
                        </w:r>
                        <w:r>
                          <w:rPr>
                            <w:rFonts w:ascii="Arial Narrow"/>
                            <w:b/>
                            <w:color w:val="FFFFFF"/>
                            <w:sz w:val="16"/>
                          </w:rPr>
                          <w:tab/>
                        </w:r>
                        <w:r>
                          <w:rPr>
                            <w:rFonts w:ascii="Arial Narrow"/>
                            <w:b/>
                            <w:color w:val="FFFFFF"/>
                            <w:spacing w:val="-2"/>
                            <w:sz w:val="16"/>
                          </w:rPr>
                          <w:t>3.750.000,00</w:t>
                        </w:r>
                      </w:p>
                    </w:txbxContent>
                  </v:textbox>
                  <w10:wrap type="none"/>
                </v:shape>
              </v:group>
            </w:pict>
          </mc:Fallback>
        </mc:AlternateContent>
      </w:r>
      <w:r>
        <w:rPr>
          <w:rFonts w:ascii="Times New Roman"/>
          <w:sz w:val="20"/>
        </w:rPr>
      </w:r>
    </w:p>
    <w:p>
      <w:pPr>
        <w:spacing w:before="0"/>
        <w:ind w:left="192" w:right="0" w:firstLine="0"/>
        <w:jc w:val="left"/>
        <w:rPr>
          <w:rFonts w:ascii="Arial Narrow" w:hAnsi="Arial Narrow"/>
          <w:sz w:val="18"/>
        </w:rPr>
      </w:pPr>
      <w:r>
        <w:rPr>
          <w:rFonts w:ascii="Arial Narrow" w:hAnsi="Arial Narrow"/>
          <w:sz w:val="18"/>
        </w:rPr>
        <w:t>Fuente:</w:t>
      </w:r>
      <w:r>
        <w:rPr>
          <w:rFonts w:ascii="Arial Narrow" w:hAnsi="Arial Narrow"/>
          <w:spacing w:val="-5"/>
          <w:sz w:val="18"/>
        </w:rPr>
        <w:t> </w:t>
      </w:r>
      <w:r>
        <w:rPr>
          <w:rFonts w:ascii="Arial Narrow" w:hAnsi="Arial Narrow"/>
          <w:sz w:val="18"/>
        </w:rPr>
        <w:t>Elaboración</w:t>
      </w:r>
      <w:r>
        <w:rPr>
          <w:rFonts w:ascii="Arial Narrow" w:hAnsi="Arial Narrow"/>
          <w:spacing w:val="-3"/>
          <w:sz w:val="18"/>
        </w:rPr>
        <w:t> </w:t>
      </w:r>
      <w:r>
        <w:rPr>
          <w:rFonts w:ascii="Arial Narrow" w:hAnsi="Arial Narrow"/>
          <w:sz w:val="18"/>
        </w:rPr>
        <w:t>propia</w:t>
      </w:r>
      <w:r>
        <w:rPr>
          <w:rFonts w:ascii="Arial Narrow" w:hAnsi="Arial Narrow"/>
          <w:spacing w:val="-2"/>
          <w:sz w:val="18"/>
        </w:rPr>
        <w:t> </w:t>
      </w:r>
      <w:r>
        <w:rPr>
          <w:rFonts w:ascii="Arial Narrow" w:hAnsi="Arial Narrow"/>
          <w:sz w:val="18"/>
        </w:rPr>
        <w:t>a</w:t>
      </w:r>
      <w:r>
        <w:rPr>
          <w:rFonts w:ascii="Arial Narrow" w:hAnsi="Arial Narrow"/>
          <w:spacing w:val="-3"/>
          <w:sz w:val="18"/>
        </w:rPr>
        <w:t> </w:t>
      </w:r>
      <w:r>
        <w:rPr>
          <w:rFonts w:ascii="Arial Narrow" w:hAnsi="Arial Narrow"/>
          <w:sz w:val="18"/>
        </w:rPr>
        <w:t>partir</w:t>
      </w:r>
      <w:r>
        <w:rPr>
          <w:rFonts w:ascii="Arial Narrow" w:hAnsi="Arial Narrow"/>
          <w:spacing w:val="-1"/>
          <w:sz w:val="18"/>
        </w:rPr>
        <w:t> </w:t>
      </w:r>
      <w:r>
        <w:rPr>
          <w:rFonts w:ascii="Arial Narrow" w:hAnsi="Arial Narrow"/>
          <w:sz w:val="18"/>
        </w:rPr>
        <w:t>de</w:t>
      </w:r>
      <w:r>
        <w:rPr>
          <w:rFonts w:ascii="Arial Narrow" w:hAnsi="Arial Narrow"/>
          <w:spacing w:val="-2"/>
          <w:sz w:val="18"/>
        </w:rPr>
        <w:t> </w:t>
      </w:r>
      <w:r>
        <w:rPr>
          <w:rFonts w:ascii="Arial Narrow" w:hAnsi="Arial Narrow"/>
          <w:sz w:val="18"/>
        </w:rPr>
        <w:t>los</w:t>
      </w:r>
      <w:r>
        <w:rPr>
          <w:rFonts w:ascii="Arial Narrow" w:hAnsi="Arial Narrow"/>
          <w:spacing w:val="-3"/>
          <w:sz w:val="18"/>
        </w:rPr>
        <w:t> </w:t>
      </w:r>
      <w:r>
        <w:rPr>
          <w:rFonts w:ascii="Arial Narrow" w:hAnsi="Arial Narrow"/>
          <w:sz w:val="18"/>
        </w:rPr>
        <w:t>datos</w:t>
      </w:r>
      <w:r>
        <w:rPr>
          <w:rFonts w:ascii="Arial Narrow" w:hAnsi="Arial Narrow"/>
          <w:spacing w:val="-2"/>
          <w:sz w:val="18"/>
        </w:rPr>
        <w:t> </w:t>
      </w:r>
      <w:r>
        <w:rPr>
          <w:rFonts w:ascii="Arial Narrow" w:hAnsi="Arial Narrow"/>
          <w:sz w:val="18"/>
        </w:rPr>
        <w:t>facilitados</w:t>
      </w:r>
      <w:r>
        <w:rPr>
          <w:rFonts w:ascii="Arial Narrow" w:hAnsi="Arial Narrow"/>
          <w:spacing w:val="-2"/>
          <w:sz w:val="18"/>
        </w:rPr>
        <w:t> </w:t>
      </w:r>
      <w:r>
        <w:rPr>
          <w:rFonts w:ascii="Arial Narrow" w:hAnsi="Arial Narrow"/>
          <w:sz w:val="18"/>
        </w:rPr>
        <w:t>por</w:t>
      </w:r>
      <w:r>
        <w:rPr>
          <w:rFonts w:ascii="Arial Narrow" w:hAnsi="Arial Narrow"/>
          <w:spacing w:val="-2"/>
          <w:sz w:val="18"/>
        </w:rPr>
        <w:t> </w:t>
      </w:r>
      <w:r>
        <w:rPr>
          <w:rFonts w:ascii="Arial Narrow" w:hAnsi="Arial Narrow"/>
          <w:sz w:val="18"/>
        </w:rPr>
        <w:t>el</w:t>
      </w:r>
      <w:r>
        <w:rPr>
          <w:rFonts w:ascii="Arial Narrow" w:hAnsi="Arial Narrow"/>
          <w:spacing w:val="-1"/>
          <w:sz w:val="18"/>
        </w:rPr>
        <w:t> </w:t>
      </w:r>
      <w:r>
        <w:rPr>
          <w:rFonts w:ascii="Arial Narrow" w:hAnsi="Arial Narrow"/>
          <w:sz w:val="18"/>
        </w:rPr>
        <w:t>Ayuntamiento</w:t>
      </w:r>
      <w:r>
        <w:rPr>
          <w:rFonts w:ascii="Arial Narrow" w:hAnsi="Arial Narrow"/>
          <w:spacing w:val="-3"/>
          <w:sz w:val="18"/>
        </w:rPr>
        <w:t> </w:t>
      </w:r>
      <w:r>
        <w:rPr>
          <w:rFonts w:ascii="Arial Narrow" w:hAnsi="Arial Narrow"/>
          <w:sz w:val="18"/>
        </w:rPr>
        <w:t>de</w:t>
      </w:r>
      <w:r>
        <w:rPr>
          <w:rFonts w:ascii="Arial Narrow" w:hAnsi="Arial Narrow"/>
          <w:spacing w:val="-2"/>
          <w:sz w:val="18"/>
        </w:rPr>
        <w:t> Palma</w:t>
      </w:r>
    </w:p>
    <w:p>
      <w:pPr>
        <w:spacing w:before="46"/>
        <w:ind w:left="192" w:right="0" w:firstLine="0"/>
        <w:jc w:val="left"/>
        <w:rPr>
          <w:rFonts w:ascii="Arial Narrow"/>
          <w:sz w:val="18"/>
        </w:rPr>
      </w:pPr>
      <w:r>
        <w:rPr>
          <w:rFonts w:ascii="Arial Narrow"/>
          <w:position w:val="5"/>
          <w:sz w:val="12"/>
        </w:rPr>
        <w:t>(*)</w:t>
      </w:r>
      <w:r>
        <w:rPr>
          <w:rFonts w:ascii="Arial Narrow"/>
          <w:spacing w:val="-3"/>
          <w:position w:val="5"/>
          <w:sz w:val="12"/>
        </w:rPr>
        <w:t> </w:t>
      </w:r>
      <w:r>
        <w:rPr>
          <w:rFonts w:ascii="Arial Narrow"/>
          <w:sz w:val="18"/>
        </w:rPr>
        <w:t>Porcentaje</w:t>
      </w:r>
      <w:r>
        <w:rPr>
          <w:rFonts w:ascii="Arial Narrow"/>
          <w:spacing w:val="-2"/>
          <w:sz w:val="18"/>
        </w:rPr>
        <w:t> </w:t>
      </w:r>
      <w:r>
        <w:rPr>
          <w:rFonts w:ascii="Arial Narrow"/>
          <w:sz w:val="18"/>
        </w:rPr>
        <w:t>sobre</w:t>
      </w:r>
      <w:r>
        <w:rPr>
          <w:rFonts w:ascii="Arial Narrow"/>
          <w:spacing w:val="-2"/>
          <w:sz w:val="18"/>
        </w:rPr>
        <w:t> </w:t>
      </w:r>
      <w:r>
        <w:rPr>
          <w:rFonts w:ascii="Arial Narrow"/>
          <w:sz w:val="18"/>
        </w:rPr>
        <w:t>el</w:t>
      </w:r>
      <w:r>
        <w:rPr>
          <w:rFonts w:ascii="Arial Narrow"/>
          <w:spacing w:val="-2"/>
          <w:sz w:val="18"/>
        </w:rPr>
        <w:t> </w:t>
      </w:r>
      <w:r>
        <w:rPr>
          <w:rFonts w:ascii="Arial Narrow"/>
          <w:sz w:val="18"/>
        </w:rPr>
        <w:t>importe</w:t>
      </w:r>
      <w:r>
        <w:rPr>
          <w:rFonts w:ascii="Arial Narrow"/>
          <w:spacing w:val="-2"/>
          <w:sz w:val="18"/>
        </w:rPr>
        <w:t> </w:t>
      </w:r>
      <w:r>
        <w:rPr>
          <w:rFonts w:ascii="Arial Narrow"/>
          <w:sz w:val="18"/>
        </w:rPr>
        <w:t>de</w:t>
      </w:r>
      <w:r>
        <w:rPr>
          <w:rFonts w:ascii="Arial Narrow"/>
          <w:spacing w:val="-2"/>
          <w:sz w:val="18"/>
        </w:rPr>
        <w:t> </w:t>
      </w:r>
      <w:r>
        <w:rPr>
          <w:rFonts w:ascii="Arial Narrow"/>
          <w:sz w:val="18"/>
        </w:rPr>
        <w:t>todas</w:t>
      </w:r>
      <w:r>
        <w:rPr>
          <w:rFonts w:ascii="Arial Narrow"/>
          <w:spacing w:val="-2"/>
          <w:sz w:val="18"/>
        </w:rPr>
        <w:t> </w:t>
      </w:r>
      <w:r>
        <w:rPr>
          <w:rFonts w:ascii="Arial Narrow"/>
          <w:sz w:val="18"/>
        </w:rPr>
        <w:t>las</w:t>
      </w:r>
      <w:r>
        <w:rPr>
          <w:rFonts w:ascii="Arial Narrow"/>
          <w:spacing w:val="-1"/>
          <w:sz w:val="18"/>
        </w:rPr>
        <w:t> </w:t>
      </w:r>
      <w:r>
        <w:rPr>
          <w:rFonts w:ascii="Arial Narrow"/>
          <w:spacing w:val="-2"/>
          <w:sz w:val="18"/>
        </w:rPr>
        <w:t>actuaciones</w:t>
      </w:r>
    </w:p>
    <w:p>
      <w:pPr>
        <w:spacing w:before="48"/>
        <w:ind w:left="192" w:right="0" w:firstLine="0"/>
        <w:jc w:val="left"/>
        <w:rPr>
          <w:rFonts w:ascii="Arial Narrow" w:hAnsi="Arial Narrow"/>
          <w:sz w:val="18"/>
        </w:rPr>
      </w:pPr>
      <w:r>
        <w:rPr>
          <w:rFonts w:ascii="Arial Narrow" w:hAnsi="Arial Narrow"/>
          <w:position w:val="5"/>
          <w:sz w:val="12"/>
        </w:rPr>
        <w:t>(**)</w:t>
      </w:r>
      <w:r>
        <w:rPr>
          <w:rFonts w:ascii="Arial Narrow" w:hAnsi="Arial Narrow"/>
          <w:spacing w:val="-1"/>
          <w:position w:val="5"/>
          <w:sz w:val="12"/>
        </w:rPr>
        <w:t> </w:t>
      </w:r>
      <w:r>
        <w:rPr>
          <w:rFonts w:ascii="Arial Narrow" w:hAnsi="Arial Narrow"/>
          <w:sz w:val="18"/>
        </w:rPr>
        <w:t>Porcentaje</w:t>
      </w:r>
      <w:r>
        <w:rPr>
          <w:rFonts w:ascii="Arial Narrow" w:hAnsi="Arial Narrow"/>
          <w:spacing w:val="-2"/>
          <w:sz w:val="18"/>
        </w:rPr>
        <w:t> </w:t>
      </w:r>
      <w:r>
        <w:rPr>
          <w:rFonts w:ascii="Arial Narrow" w:hAnsi="Arial Narrow"/>
          <w:sz w:val="18"/>
        </w:rPr>
        <w:t>sobre</w:t>
      </w:r>
      <w:r>
        <w:rPr>
          <w:rFonts w:ascii="Arial Narrow" w:hAnsi="Arial Narrow"/>
          <w:spacing w:val="-2"/>
          <w:sz w:val="18"/>
        </w:rPr>
        <w:t> </w:t>
      </w:r>
      <w:r>
        <w:rPr>
          <w:rFonts w:ascii="Arial Narrow" w:hAnsi="Arial Narrow"/>
          <w:sz w:val="18"/>
        </w:rPr>
        <w:t>el</w:t>
      </w:r>
      <w:r>
        <w:rPr>
          <w:rFonts w:ascii="Arial Narrow" w:hAnsi="Arial Narrow"/>
          <w:spacing w:val="-2"/>
          <w:sz w:val="18"/>
        </w:rPr>
        <w:t> </w:t>
      </w:r>
      <w:r>
        <w:rPr>
          <w:rFonts w:ascii="Arial Narrow" w:hAnsi="Arial Narrow"/>
          <w:sz w:val="18"/>
        </w:rPr>
        <w:t>importe</w:t>
      </w:r>
      <w:r>
        <w:rPr>
          <w:rFonts w:ascii="Arial Narrow" w:hAnsi="Arial Narrow"/>
          <w:spacing w:val="-2"/>
          <w:sz w:val="18"/>
        </w:rPr>
        <w:t> </w:t>
      </w:r>
      <w:r>
        <w:rPr>
          <w:rFonts w:ascii="Arial Narrow" w:hAnsi="Arial Narrow"/>
          <w:sz w:val="18"/>
        </w:rPr>
        <w:t>de</w:t>
      </w:r>
      <w:r>
        <w:rPr>
          <w:rFonts w:ascii="Arial Narrow" w:hAnsi="Arial Narrow"/>
          <w:spacing w:val="-2"/>
          <w:sz w:val="18"/>
        </w:rPr>
        <w:t> </w:t>
      </w:r>
      <w:r>
        <w:rPr>
          <w:rFonts w:ascii="Arial Narrow" w:hAnsi="Arial Narrow"/>
          <w:sz w:val="18"/>
        </w:rPr>
        <w:t>cada</w:t>
      </w:r>
      <w:r>
        <w:rPr>
          <w:rFonts w:ascii="Arial Narrow" w:hAnsi="Arial Narrow"/>
          <w:spacing w:val="-1"/>
          <w:sz w:val="18"/>
        </w:rPr>
        <w:t> </w:t>
      </w:r>
      <w:r>
        <w:rPr>
          <w:rFonts w:ascii="Arial Narrow" w:hAnsi="Arial Narrow"/>
          <w:spacing w:val="-2"/>
          <w:sz w:val="18"/>
        </w:rPr>
        <w:t>actuación</w:t>
      </w:r>
    </w:p>
    <w:p>
      <w:pPr>
        <w:spacing w:after="0"/>
        <w:jc w:val="left"/>
        <w:rPr>
          <w:rFonts w:ascii="Arial Narrow" w:hAnsi="Arial Narrow"/>
          <w:sz w:val="18"/>
        </w:rPr>
        <w:sectPr>
          <w:type w:val="continuous"/>
          <w:pgSz w:w="11910" w:h="16840"/>
          <w:pgMar w:header="1270" w:footer="661" w:top="1680" w:bottom="280" w:left="141" w:right="141"/>
        </w:sectPr>
      </w:pPr>
    </w:p>
    <w:p>
      <w:pPr>
        <w:pStyle w:val="BodyText"/>
        <w:spacing w:before="125"/>
        <w:rPr>
          <w:rFonts w:ascii="Arial Narrow"/>
        </w:rPr>
      </w:pPr>
    </w:p>
    <w:p>
      <w:pPr>
        <w:spacing w:before="0"/>
        <w:ind w:left="-1" w:right="4" w:firstLine="0"/>
        <w:jc w:val="center"/>
        <w:rPr>
          <w:b/>
          <w:sz w:val="22"/>
        </w:rPr>
      </w:pPr>
      <w:bookmarkStart w:name="_bookmark150" w:id="152"/>
      <w:bookmarkEnd w:id="152"/>
      <w:r>
        <w:rPr/>
      </w:r>
      <w:bookmarkStart w:name="_bookmark151" w:id="153"/>
      <w:bookmarkEnd w:id="153"/>
      <w:r>
        <w:rPr/>
      </w:r>
      <w:r>
        <w:rPr>
          <w:b/>
          <w:sz w:val="22"/>
        </w:rPr>
        <w:t>ACTUACIONES</w:t>
      </w:r>
      <w:r>
        <w:rPr>
          <w:b/>
          <w:spacing w:val="-6"/>
          <w:sz w:val="22"/>
        </w:rPr>
        <w:t> </w:t>
      </w:r>
      <w:r>
        <w:rPr>
          <w:b/>
          <w:sz w:val="22"/>
        </w:rPr>
        <w:t>REALIZADAS</w:t>
      </w:r>
      <w:r>
        <w:rPr>
          <w:b/>
          <w:spacing w:val="-9"/>
          <w:sz w:val="22"/>
        </w:rPr>
        <w:t> </w:t>
      </w:r>
      <w:r>
        <w:rPr>
          <w:b/>
          <w:sz w:val="22"/>
        </w:rPr>
        <w:t>POR</w:t>
      </w:r>
      <w:r>
        <w:rPr>
          <w:b/>
          <w:spacing w:val="-8"/>
          <w:sz w:val="22"/>
        </w:rPr>
        <w:t> </w:t>
      </w:r>
      <w:r>
        <w:rPr>
          <w:b/>
          <w:sz w:val="22"/>
        </w:rPr>
        <w:t>EL</w:t>
      </w:r>
      <w:r>
        <w:rPr>
          <w:b/>
          <w:spacing w:val="-8"/>
          <w:sz w:val="22"/>
        </w:rPr>
        <w:t> </w:t>
      </w:r>
      <w:r>
        <w:rPr>
          <w:b/>
          <w:sz w:val="22"/>
        </w:rPr>
        <w:t>AYUNTAMIENTO</w:t>
      </w:r>
      <w:r>
        <w:rPr>
          <w:b/>
          <w:spacing w:val="-7"/>
          <w:sz w:val="22"/>
        </w:rPr>
        <w:t> </w:t>
      </w:r>
      <w:r>
        <w:rPr>
          <w:b/>
          <w:sz w:val="22"/>
        </w:rPr>
        <w:t>DE</w:t>
      </w:r>
      <w:r>
        <w:rPr>
          <w:b/>
          <w:spacing w:val="-5"/>
          <w:sz w:val="22"/>
        </w:rPr>
        <w:t> </w:t>
      </w:r>
      <w:r>
        <w:rPr>
          <w:b/>
          <w:spacing w:val="-2"/>
          <w:sz w:val="22"/>
        </w:rPr>
        <w:t>SEVILLA</w:t>
      </w:r>
    </w:p>
    <w:p>
      <w:pPr>
        <w:pStyle w:val="BodyText"/>
        <w:spacing w:before="9"/>
        <w:rPr>
          <w:b/>
          <w:sz w:val="20"/>
        </w:rPr>
      </w:pPr>
    </w:p>
    <w:tbl>
      <w:tblPr>
        <w:tblW w:w="0" w:type="auto"/>
        <w:jc w:val="left"/>
        <w:tblInd w:w="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30"/>
        <w:gridCol w:w="1207"/>
        <w:gridCol w:w="1130"/>
        <w:gridCol w:w="755"/>
        <w:gridCol w:w="1233"/>
        <w:gridCol w:w="779"/>
        <w:gridCol w:w="1364"/>
        <w:gridCol w:w="563"/>
        <w:gridCol w:w="1222"/>
      </w:tblGrid>
      <w:tr>
        <w:trPr>
          <w:trHeight w:val="450" w:hRule="atLeast"/>
        </w:trPr>
        <w:tc>
          <w:tcPr>
            <w:tcW w:w="6322" w:type="dxa"/>
            <w:gridSpan w:val="4"/>
            <w:shd w:val="clear" w:color="auto" w:fill="002D5D"/>
          </w:tcPr>
          <w:p>
            <w:pPr>
              <w:pStyle w:val="TableParagraph"/>
              <w:spacing w:line="242" w:lineRule="auto"/>
              <w:ind w:left="4870" w:right="564" w:firstLine="105"/>
              <w:rPr>
                <w:b/>
                <w:sz w:val="18"/>
              </w:rPr>
            </w:pPr>
            <w:r>
              <w:rPr>
                <w:b/>
                <w:color w:val="FFFFFF"/>
                <w:spacing w:val="-2"/>
                <w:sz w:val="18"/>
              </w:rPr>
              <w:t>IMPORTE</w:t>
            </w:r>
            <w:r>
              <w:rPr>
                <w:b/>
                <w:color w:val="FFFFFF"/>
                <w:sz w:val="18"/>
              </w:rPr>
              <w:t> </w:t>
            </w:r>
            <w:r>
              <w:rPr>
                <w:b/>
                <w:color w:val="FFFFFF"/>
                <w:spacing w:val="-2"/>
                <w:sz w:val="18"/>
              </w:rPr>
              <w:t>ACTUACIÓN</w:t>
            </w:r>
          </w:p>
        </w:tc>
        <w:tc>
          <w:tcPr>
            <w:tcW w:w="1233" w:type="dxa"/>
            <w:shd w:val="clear" w:color="auto" w:fill="002D5D"/>
          </w:tcPr>
          <w:p>
            <w:pPr>
              <w:pStyle w:val="TableParagraph"/>
              <w:rPr>
                <w:rFonts w:ascii="Times New Roman"/>
                <w:sz w:val="16"/>
              </w:rPr>
            </w:pPr>
          </w:p>
        </w:tc>
        <w:tc>
          <w:tcPr>
            <w:tcW w:w="2143" w:type="dxa"/>
            <w:gridSpan w:val="2"/>
            <w:shd w:val="clear" w:color="auto" w:fill="002D5D"/>
          </w:tcPr>
          <w:p>
            <w:pPr>
              <w:pStyle w:val="TableParagraph"/>
              <w:spacing w:before="133"/>
              <w:ind w:left="208"/>
              <w:rPr>
                <w:b/>
                <w:sz w:val="18"/>
              </w:rPr>
            </w:pPr>
            <w:r>
              <w:rPr>
                <w:b/>
                <w:color w:val="FFFFFF"/>
                <w:spacing w:val="-2"/>
                <w:sz w:val="18"/>
              </w:rPr>
              <w:t>FINANCIACIÓN</w:t>
            </w:r>
          </w:p>
        </w:tc>
        <w:tc>
          <w:tcPr>
            <w:tcW w:w="563" w:type="dxa"/>
            <w:vMerge w:val="restart"/>
            <w:shd w:val="clear" w:color="auto" w:fill="002D5D"/>
          </w:tcPr>
          <w:p>
            <w:pPr>
              <w:pStyle w:val="TableParagraph"/>
              <w:rPr>
                <w:rFonts w:ascii="Times New Roman"/>
                <w:sz w:val="16"/>
              </w:rPr>
            </w:pPr>
          </w:p>
        </w:tc>
        <w:tc>
          <w:tcPr>
            <w:tcW w:w="1222" w:type="dxa"/>
            <w:vMerge w:val="restart"/>
            <w:shd w:val="clear" w:color="auto" w:fill="002D5D"/>
          </w:tcPr>
          <w:p>
            <w:pPr>
              <w:pStyle w:val="TableParagraph"/>
              <w:rPr>
                <w:rFonts w:ascii="Arial"/>
                <w:b/>
                <w:sz w:val="18"/>
              </w:rPr>
            </w:pPr>
          </w:p>
          <w:p>
            <w:pPr>
              <w:pStyle w:val="TableParagraph"/>
              <w:spacing w:line="200" w:lineRule="atLeast"/>
              <w:ind w:left="2" w:right="54"/>
              <w:jc w:val="center"/>
              <w:rPr>
                <w:b/>
                <w:sz w:val="18"/>
              </w:rPr>
            </w:pPr>
            <w:r>
              <w:rPr>
                <w:b/>
                <w:color w:val="FFFFFF"/>
                <w:sz w:val="18"/>
              </w:rPr>
              <w:t>ESTADO</w:t>
            </w:r>
            <w:r>
              <w:rPr>
                <w:b/>
                <w:color w:val="FFFFFF"/>
                <w:spacing w:val="-11"/>
                <w:sz w:val="18"/>
              </w:rPr>
              <w:t> </w:t>
            </w:r>
            <w:r>
              <w:rPr>
                <w:b/>
                <w:color w:val="FFFFFF"/>
                <w:sz w:val="18"/>
              </w:rPr>
              <w:t>DE</w:t>
            </w:r>
            <w:r>
              <w:rPr>
                <w:b/>
                <w:color w:val="FFFFFF"/>
                <w:spacing w:val="-10"/>
                <w:sz w:val="18"/>
              </w:rPr>
              <w:t> </w:t>
            </w:r>
            <w:r>
              <w:rPr>
                <w:b/>
                <w:color w:val="FFFFFF"/>
                <w:sz w:val="18"/>
              </w:rPr>
              <w:t>LA </w:t>
            </w:r>
            <w:r>
              <w:rPr>
                <w:b/>
                <w:color w:val="FFFFFF"/>
                <w:spacing w:val="-2"/>
                <w:sz w:val="18"/>
              </w:rPr>
              <w:t>ACTUACIÓN</w:t>
            </w:r>
            <w:r>
              <w:rPr>
                <w:b/>
                <w:color w:val="FFFFFF"/>
                <w:sz w:val="18"/>
              </w:rPr>
              <w:t> </w:t>
            </w:r>
            <w:r>
              <w:rPr>
                <w:b/>
                <w:color w:val="FFFFFF"/>
                <w:spacing w:val="-2"/>
                <w:sz w:val="18"/>
              </w:rPr>
              <w:t>31/12/2024</w:t>
            </w:r>
          </w:p>
        </w:tc>
      </w:tr>
      <w:tr>
        <w:trPr>
          <w:trHeight w:val="230" w:hRule="atLeast"/>
        </w:trPr>
        <w:tc>
          <w:tcPr>
            <w:tcW w:w="3230" w:type="dxa"/>
            <w:shd w:val="clear" w:color="auto" w:fill="002D5D"/>
          </w:tcPr>
          <w:p>
            <w:pPr>
              <w:pStyle w:val="TableParagraph"/>
              <w:spacing w:line="204" w:lineRule="exact"/>
              <w:ind w:left="578"/>
              <w:rPr>
                <w:b/>
                <w:sz w:val="18"/>
              </w:rPr>
            </w:pPr>
            <w:r>
              <w:rPr>
                <w:b/>
                <w:color w:val="FFFFFF"/>
                <w:sz w:val="18"/>
              </w:rPr>
              <w:t>DENOMINACIÓN</w:t>
            </w:r>
            <w:r>
              <w:rPr>
                <w:b/>
                <w:color w:val="FFFFFF"/>
                <w:spacing w:val="-5"/>
                <w:sz w:val="18"/>
              </w:rPr>
              <w:t> </w:t>
            </w:r>
            <w:r>
              <w:rPr>
                <w:b/>
                <w:color w:val="FFFFFF"/>
                <w:spacing w:val="-2"/>
                <w:sz w:val="18"/>
              </w:rPr>
              <w:t>ACTUACIÓN</w:t>
            </w:r>
          </w:p>
        </w:tc>
        <w:tc>
          <w:tcPr>
            <w:tcW w:w="2337" w:type="dxa"/>
            <w:gridSpan w:val="2"/>
            <w:shd w:val="clear" w:color="auto" w:fill="002D5D"/>
          </w:tcPr>
          <w:p>
            <w:pPr>
              <w:pStyle w:val="TableParagraph"/>
              <w:spacing w:line="204" w:lineRule="exact"/>
              <w:ind w:left="190"/>
              <w:rPr>
                <w:b/>
                <w:sz w:val="18"/>
              </w:rPr>
            </w:pPr>
            <w:r>
              <w:rPr>
                <w:b/>
                <w:color w:val="FFFFFF"/>
                <w:spacing w:val="-2"/>
                <w:sz w:val="18"/>
              </w:rPr>
              <w:t>TIPOLOGÍA</w:t>
            </w:r>
          </w:p>
        </w:tc>
        <w:tc>
          <w:tcPr>
            <w:tcW w:w="755" w:type="dxa"/>
            <w:shd w:val="clear" w:color="auto" w:fill="002D5D"/>
          </w:tcPr>
          <w:p>
            <w:pPr>
              <w:pStyle w:val="TableParagraph"/>
              <w:rPr>
                <w:rFonts w:ascii="Times New Roman"/>
                <w:sz w:val="16"/>
              </w:rPr>
            </w:pPr>
          </w:p>
        </w:tc>
        <w:tc>
          <w:tcPr>
            <w:tcW w:w="2012" w:type="dxa"/>
            <w:gridSpan w:val="2"/>
            <w:shd w:val="clear" w:color="auto" w:fill="002D5D"/>
          </w:tcPr>
          <w:p>
            <w:pPr>
              <w:pStyle w:val="TableParagraph"/>
              <w:spacing w:line="175" w:lineRule="exact" w:before="35"/>
              <w:ind w:left="473"/>
              <w:rPr>
                <w:b/>
                <w:sz w:val="18"/>
              </w:rPr>
            </w:pPr>
            <w:r>
              <w:rPr>
                <w:b/>
                <w:color w:val="FFFFFF"/>
                <w:spacing w:val="-2"/>
                <w:sz w:val="18"/>
              </w:rPr>
              <w:t>Ayuntamiento</w:t>
            </w:r>
          </w:p>
        </w:tc>
        <w:tc>
          <w:tcPr>
            <w:tcW w:w="1364" w:type="dxa"/>
            <w:shd w:val="clear" w:color="auto" w:fill="002D5D"/>
          </w:tcPr>
          <w:p>
            <w:pPr>
              <w:pStyle w:val="TableParagraph"/>
              <w:spacing w:line="170" w:lineRule="exact" w:before="40"/>
              <w:ind w:left="500" w:right="-29"/>
              <w:rPr>
                <w:b/>
                <w:sz w:val="17"/>
              </w:rPr>
            </w:pPr>
            <w:r>
              <w:rPr>
                <w:b/>
                <w:color w:val="FFFFFF"/>
                <w:sz w:val="17"/>
              </w:rPr>
              <w:t>PRTR</w:t>
            </w:r>
            <w:r>
              <w:rPr>
                <w:b/>
                <w:color w:val="FFFFFF"/>
                <w:spacing w:val="-1"/>
                <w:sz w:val="17"/>
              </w:rPr>
              <w:t> </w:t>
            </w:r>
            <w:r>
              <w:rPr>
                <w:b/>
                <w:color w:val="FFFFFF"/>
                <w:sz w:val="17"/>
              </w:rPr>
              <w:t>y </w:t>
            </w:r>
            <w:r>
              <w:rPr>
                <w:b/>
                <w:color w:val="FFFFFF"/>
                <w:spacing w:val="-2"/>
                <w:sz w:val="17"/>
              </w:rPr>
              <w:t>otros</w:t>
            </w:r>
          </w:p>
        </w:tc>
        <w:tc>
          <w:tcPr>
            <w:tcW w:w="563" w:type="dxa"/>
            <w:vMerge/>
            <w:tcBorders>
              <w:top w:val="nil"/>
            </w:tcBorders>
            <w:shd w:val="clear" w:color="auto" w:fill="002D5D"/>
          </w:tcPr>
          <w:p>
            <w:pPr>
              <w:rPr>
                <w:sz w:val="2"/>
                <w:szCs w:val="2"/>
              </w:rPr>
            </w:pPr>
          </w:p>
        </w:tc>
        <w:tc>
          <w:tcPr>
            <w:tcW w:w="1222" w:type="dxa"/>
            <w:vMerge/>
            <w:tcBorders>
              <w:top w:val="nil"/>
            </w:tcBorders>
            <w:shd w:val="clear" w:color="auto" w:fill="002D5D"/>
          </w:tcPr>
          <w:p>
            <w:pPr>
              <w:rPr>
                <w:sz w:val="2"/>
                <w:szCs w:val="2"/>
              </w:rPr>
            </w:pPr>
          </w:p>
        </w:tc>
      </w:tr>
      <w:tr>
        <w:trPr>
          <w:trHeight w:val="165" w:hRule="atLeast"/>
        </w:trPr>
        <w:tc>
          <w:tcPr>
            <w:tcW w:w="3230" w:type="dxa"/>
            <w:shd w:val="clear" w:color="auto" w:fill="002D5D"/>
          </w:tcPr>
          <w:p>
            <w:pPr>
              <w:pStyle w:val="TableParagraph"/>
              <w:rPr>
                <w:rFonts w:ascii="Times New Roman"/>
                <w:sz w:val="10"/>
              </w:rPr>
            </w:pPr>
          </w:p>
        </w:tc>
        <w:tc>
          <w:tcPr>
            <w:tcW w:w="1207" w:type="dxa"/>
            <w:shd w:val="clear" w:color="auto" w:fill="002D5D"/>
          </w:tcPr>
          <w:p>
            <w:pPr>
              <w:pStyle w:val="TableParagraph"/>
              <w:rPr>
                <w:rFonts w:ascii="Times New Roman"/>
                <w:sz w:val="10"/>
              </w:rPr>
            </w:pPr>
          </w:p>
        </w:tc>
        <w:tc>
          <w:tcPr>
            <w:tcW w:w="1130" w:type="dxa"/>
            <w:shd w:val="clear" w:color="auto" w:fill="002D5D"/>
          </w:tcPr>
          <w:p>
            <w:pPr>
              <w:pStyle w:val="TableParagraph"/>
              <w:spacing w:line="145" w:lineRule="exact"/>
              <w:ind w:right="74"/>
              <w:jc w:val="center"/>
              <w:rPr>
                <w:b/>
                <w:sz w:val="18"/>
              </w:rPr>
            </w:pPr>
            <w:r>
              <w:rPr>
                <w:b/>
                <w:color w:val="FFFFFF"/>
                <w:spacing w:val="-5"/>
                <w:sz w:val="18"/>
              </w:rPr>
              <w:t>(€)</w:t>
            </w:r>
          </w:p>
        </w:tc>
        <w:tc>
          <w:tcPr>
            <w:tcW w:w="1988" w:type="dxa"/>
            <w:gridSpan w:val="2"/>
            <w:shd w:val="clear" w:color="auto" w:fill="002D5D"/>
          </w:tcPr>
          <w:p>
            <w:pPr>
              <w:pStyle w:val="TableParagraph"/>
              <w:spacing w:line="145" w:lineRule="exact"/>
              <w:ind w:left="180"/>
              <w:rPr>
                <w:b/>
                <w:sz w:val="12"/>
              </w:rPr>
            </w:pPr>
            <w:r>
              <w:rPr>
                <w:b/>
                <w:color w:val="FFFFFF"/>
                <w:spacing w:val="-4"/>
                <w:position w:val="-4"/>
                <w:sz w:val="18"/>
              </w:rPr>
              <w:t>%</w:t>
            </w:r>
            <w:r>
              <w:rPr>
                <w:b/>
                <w:color w:val="FFFFFF"/>
                <w:spacing w:val="-4"/>
                <w:sz w:val="12"/>
              </w:rPr>
              <w:t>(*)</w:t>
            </w:r>
          </w:p>
        </w:tc>
        <w:tc>
          <w:tcPr>
            <w:tcW w:w="779" w:type="dxa"/>
            <w:shd w:val="clear" w:color="auto" w:fill="002D5D"/>
          </w:tcPr>
          <w:p>
            <w:pPr>
              <w:pStyle w:val="TableParagraph"/>
              <w:rPr>
                <w:rFonts w:ascii="Times New Roman"/>
                <w:sz w:val="10"/>
              </w:rPr>
            </w:pPr>
          </w:p>
        </w:tc>
        <w:tc>
          <w:tcPr>
            <w:tcW w:w="1364" w:type="dxa"/>
            <w:shd w:val="clear" w:color="auto" w:fill="002D5D"/>
          </w:tcPr>
          <w:p>
            <w:pPr>
              <w:pStyle w:val="TableParagraph"/>
              <w:rPr>
                <w:rFonts w:ascii="Times New Roman"/>
                <w:sz w:val="10"/>
              </w:rPr>
            </w:pPr>
          </w:p>
        </w:tc>
        <w:tc>
          <w:tcPr>
            <w:tcW w:w="563" w:type="dxa"/>
            <w:vMerge/>
            <w:tcBorders>
              <w:top w:val="nil"/>
            </w:tcBorders>
            <w:shd w:val="clear" w:color="auto" w:fill="002D5D"/>
          </w:tcPr>
          <w:p>
            <w:pPr>
              <w:rPr>
                <w:sz w:val="2"/>
                <w:szCs w:val="2"/>
              </w:rPr>
            </w:pPr>
          </w:p>
        </w:tc>
        <w:tc>
          <w:tcPr>
            <w:tcW w:w="1222" w:type="dxa"/>
            <w:vMerge/>
            <w:tcBorders>
              <w:top w:val="nil"/>
            </w:tcBorders>
            <w:shd w:val="clear" w:color="auto" w:fill="002D5D"/>
          </w:tcPr>
          <w:p>
            <w:pPr>
              <w:rPr>
                <w:sz w:val="2"/>
                <w:szCs w:val="2"/>
              </w:rPr>
            </w:pPr>
          </w:p>
        </w:tc>
      </w:tr>
      <w:tr>
        <w:trPr>
          <w:trHeight w:val="256" w:hRule="atLeast"/>
        </w:trPr>
        <w:tc>
          <w:tcPr>
            <w:tcW w:w="3230" w:type="dxa"/>
            <w:shd w:val="clear" w:color="auto" w:fill="002D5D"/>
          </w:tcPr>
          <w:p>
            <w:pPr>
              <w:pStyle w:val="TableParagraph"/>
              <w:rPr>
                <w:rFonts w:ascii="Times New Roman"/>
                <w:sz w:val="16"/>
              </w:rPr>
            </w:pPr>
          </w:p>
        </w:tc>
        <w:tc>
          <w:tcPr>
            <w:tcW w:w="1207" w:type="dxa"/>
            <w:shd w:val="clear" w:color="auto" w:fill="002D5D"/>
          </w:tcPr>
          <w:p>
            <w:pPr>
              <w:pStyle w:val="TableParagraph"/>
              <w:rPr>
                <w:rFonts w:ascii="Times New Roman"/>
                <w:sz w:val="16"/>
              </w:rPr>
            </w:pPr>
          </w:p>
        </w:tc>
        <w:tc>
          <w:tcPr>
            <w:tcW w:w="1130" w:type="dxa"/>
            <w:shd w:val="clear" w:color="auto" w:fill="002D5D"/>
          </w:tcPr>
          <w:p>
            <w:pPr>
              <w:pStyle w:val="TableParagraph"/>
              <w:rPr>
                <w:rFonts w:ascii="Times New Roman"/>
                <w:sz w:val="16"/>
              </w:rPr>
            </w:pPr>
          </w:p>
        </w:tc>
        <w:tc>
          <w:tcPr>
            <w:tcW w:w="755" w:type="dxa"/>
            <w:shd w:val="clear" w:color="auto" w:fill="002D5D"/>
          </w:tcPr>
          <w:p>
            <w:pPr>
              <w:pStyle w:val="TableParagraph"/>
              <w:rPr>
                <w:rFonts w:ascii="Times New Roman"/>
                <w:sz w:val="16"/>
              </w:rPr>
            </w:pPr>
          </w:p>
        </w:tc>
        <w:tc>
          <w:tcPr>
            <w:tcW w:w="1233" w:type="dxa"/>
            <w:shd w:val="clear" w:color="auto" w:fill="002D5D"/>
          </w:tcPr>
          <w:p>
            <w:pPr>
              <w:pStyle w:val="TableParagraph"/>
              <w:spacing w:line="189" w:lineRule="exact"/>
              <w:ind w:right="1"/>
              <w:jc w:val="center"/>
              <w:rPr>
                <w:b/>
                <w:sz w:val="18"/>
              </w:rPr>
            </w:pPr>
            <w:r>
              <w:rPr>
                <w:b/>
                <w:color w:val="FFFFFF"/>
                <w:spacing w:val="-5"/>
                <w:sz w:val="18"/>
              </w:rPr>
              <w:t>(€)</w:t>
            </w:r>
          </w:p>
        </w:tc>
        <w:tc>
          <w:tcPr>
            <w:tcW w:w="779" w:type="dxa"/>
            <w:shd w:val="clear" w:color="auto" w:fill="002D5D"/>
          </w:tcPr>
          <w:p>
            <w:pPr>
              <w:pStyle w:val="TableParagraph"/>
              <w:spacing w:line="189" w:lineRule="exact"/>
              <w:ind w:left="119"/>
              <w:rPr>
                <w:b/>
                <w:sz w:val="12"/>
              </w:rPr>
            </w:pPr>
            <w:r>
              <w:rPr>
                <w:b/>
                <w:color w:val="FFFFFF"/>
                <w:position w:val="-4"/>
                <w:sz w:val="18"/>
              </w:rPr>
              <w:t>% </w:t>
            </w:r>
            <w:r>
              <w:rPr>
                <w:b/>
                <w:color w:val="FFFFFF"/>
                <w:spacing w:val="-4"/>
                <w:sz w:val="12"/>
              </w:rPr>
              <w:t>(**)</w:t>
            </w:r>
          </w:p>
        </w:tc>
        <w:tc>
          <w:tcPr>
            <w:tcW w:w="1364" w:type="dxa"/>
            <w:shd w:val="clear" w:color="auto" w:fill="002D5D"/>
          </w:tcPr>
          <w:p>
            <w:pPr>
              <w:pStyle w:val="TableParagraph"/>
              <w:spacing w:line="189" w:lineRule="exact"/>
              <w:ind w:right="223"/>
              <w:jc w:val="center"/>
              <w:rPr>
                <w:b/>
                <w:sz w:val="18"/>
              </w:rPr>
            </w:pPr>
            <w:r>
              <w:rPr>
                <w:b/>
                <w:color w:val="FFFFFF"/>
                <w:spacing w:val="-5"/>
                <w:sz w:val="18"/>
              </w:rPr>
              <w:t>(€)</w:t>
            </w:r>
          </w:p>
        </w:tc>
        <w:tc>
          <w:tcPr>
            <w:tcW w:w="563" w:type="dxa"/>
            <w:shd w:val="clear" w:color="auto" w:fill="002D5D"/>
          </w:tcPr>
          <w:p>
            <w:pPr>
              <w:pStyle w:val="TableParagraph"/>
              <w:spacing w:line="189" w:lineRule="exact"/>
              <w:ind w:left="-22"/>
              <w:rPr>
                <w:b/>
                <w:sz w:val="12"/>
              </w:rPr>
            </w:pPr>
            <w:r>
              <w:rPr>
                <w:b/>
                <w:color w:val="FFFFFF"/>
                <w:position w:val="-4"/>
                <w:sz w:val="18"/>
              </w:rPr>
              <w:t>% </w:t>
            </w:r>
            <w:r>
              <w:rPr>
                <w:b/>
                <w:color w:val="FFFFFF"/>
                <w:spacing w:val="-4"/>
                <w:sz w:val="12"/>
              </w:rPr>
              <w:t>(**)</w:t>
            </w:r>
          </w:p>
        </w:tc>
        <w:tc>
          <w:tcPr>
            <w:tcW w:w="1222" w:type="dxa"/>
            <w:shd w:val="clear" w:color="auto" w:fill="002D5D"/>
          </w:tcPr>
          <w:p>
            <w:pPr>
              <w:pStyle w:val="TableParagraph"/>
              <w:rPr>
                <w:rFonts w:ascii="Times New Roman"/>
                <w:sz w:val="16"/>
              </w:rPr>
            </w:pPr>
          </w:p>
        </w:tc>
      </w:tr>
      <w:tr>
        <w:trPr>
          <w:trHeight w:val="586" w:hRule="atLeast"/>
        </w:trPr>
        <w:tc>
          <w:tcPr>
            <w:tcW w:w="3230" w:type="dxa"/>
            <w:tcBorders>
              <w:bottom w:val="single" w:sz="8" w:space="0" w:color="002D5D"/>
            </w:tcBorders>
          </w:tcPr>
          <w:p>
            <w:pPr>
              <w:pStyle w:val="TableParagraph"/>
              <w:spacing w:before="193"/>
              <w:ind w:left="69"/>
              <w:rPr>
                <w:sz w:val="17"/>
              </w:rPr>
            </w:pPr>
            <w:r>
              <w:rPr>
                <w:sz w:val="17"/>
              </w:rPr>
              <w:t>Adquisición</w:t>
            </w:r>
            <w:r>
              <w:rPr>
                <w:spacing w:val="-5"/>
                <w:sz w:val="17"/>
              </w:rPr>
              <w:t> </w:t>
            </w:r>
            <w:r>
              <w:rPr>
                <w:sz w:val="17"/>
              </w:rPr>
              <w:t>material</w:t>
            </w:r>
            <w:r>
              <w:rPr>
                <w:spacing w:val="-3"/>
                <w:sz w:val="17"/>
              </w:rPr>
              <w:t> </w:t>
            </w:r>
            <w:r>
              <w:rPr>
                <w:spacing w:val="-2"/>
                <w:sz w:val="17"/>
              </w:rPr>
              <w:t>tranviario</w:t>
            </w:r>
          </w:p>
        </w:tc>
        <w:tc>
          <w:tcPr>
            <w:tcW w:w="1207" w:type="dxa"/>
            <w:tcBorders>
              <w:bottom w:val="single" w:sz="8" w:space="0" w:color="002D5D"/>
            </w:tcBorders>
          </w:tcPr>
          <w:p>
            <w:pPr>
              <w:pStyle w:val="TableParagraph"/>
              <w:ind w:left="99" w:right="128"/>
              <w:rPr>
                <w:sz w:val="17"/>
              </w:rPr>
            </w:pPr>
            <w:r>
              <w:rPr>
                <w:spacing w:val="-2"/>
                <w:sz w:val="17"/>
              </w:rPr>
              <w:t>Adquisición</w:t>
            </w:r>
            <w:r>
              <w:rPr>
                <w:spacing w:val="40"/>
                <w:sz w:val="17"/>
              </w:rPr>
              <w:t> </w:t>
            </w:r>
            <w:r>
              <w:rPr>
                <w:sz w:val="17"/>
              </w:rPr>
              <w:t>material</w:t>
            </w:r>
            <w:r>
              <w:rPr>
                <w:spacing w:val="-4"/>
                <w:sz w:val="17"/>
              </w:rPr>
              <w:t> </w:t>
            </w:r>
            <w:r>
              <w:rPr>
                <w:sz w:val="17"/>
              </w:rPr>
              <w:t>móvil</w:t>
            </w:r>
            <w:r>
              <w:rPr>
                <w:spacing w:val="-3"/>
                <w:sz w:val="17"/>
              </w:rPr>
              <w:t> </w:t>
            </w:r>
            <w:r>
              <w:rPr>
                <w:spacing w:val="-10"/>
                <w:sz w:val="17"/>
              </w:rPr>
              <w:t>e</w:t>
            </w:r>
          </w:p>
          <w:p>
            <w:pPr>
              <w:pStyle w:val="TableParagraph"/>
              <w:spacing w:line="175" w:lineRule="exact"/>
              <w:ind w:left="99"/>
              <w:rPr>
                <w:sz w:val="17"/>
              </w:rPr>
            </w:pPr>
            <w:r>
              <w:rPr>
                <w:spacing w:val="-2"/>
                <w:sz w:val="17"/>
              </w:rPr>
              <w:t>infraestructuras</w:t>
            </w:r>
          </w:p>
        </w:tc>
        <w:tc>
          <w:tcPr>
            <w:tcW w:w="1130" w:type="dxa"/>
            <w:tcBorders>
              <w:bottom w:val="single" w:sz="8" w:space="0" w:color="002D5D"/>
            </w:tcBorders>
          </w:tcPr>
          <w:p>
            <w:pPr>
              <w:pStyle w:val="TableParagraph"/>
              <w:spacing w:before="193"/>
              <w:ind w:right="105"/>
              <w:jc w:val="right"/>
              <w:rPr>
                <w:sz w:val="17"/>
              </w:rPr>
            </w:pPr>
            <w:r>
              <w:rPr>
                <w:spacing w:val="-2"/>
                <w:sz w:val="17"/>
              </w:rPr>
              <w:t>21.083.000,00</w:t>
            </w:r>
          </w:p>
        </w:tc>
        <w:tc>
          <w:tcPr>
            <w:tcW w:w="755" w:type="dxa"/>
            <w:tcBorders>
              <w:bottom w:val="single" w:sz="8" w:space="0" w:color="002D5D"/>
            </w:tcBorders>
          </w:tcPr>
          <w:p>
            <w:pPr>
              <w:pStyle w:val="TableParagraph"/>
              <w:spacing w:before="193"/>
              <w:ind w:right="219"/>
              <w:jc w:val="right"/>
              <w:rPr>
                <w:sz w:val="17"/>
              </w:rPr>
            </w:pPr>
            <w:r>
              <w:rPr>
                <w:spacing w:val="-2"/>
                <w:sz w:val="17"/>
              </w:rPr>
              <w:t>21,65</w:t>
            </w:r>
          </w:p>
        </w:tc>
        <w:tc>
          <w:tcPr>
            <w:tcW w:w="1233" w:type="dxa"/>
            <w:tcBorders>
              <w:bottom w:val="single" w:sz="8" w:space="0" w:color="002D5D"/>
            </w:tcBorders>
          </w:tcPr>
          <w:p>
            <w:pPr>
              <w:pStyle w:val="TableParagraph"/>
              <w:spacing w:before="193"/>
              <w:ind w:right="118"/>
              <w:jc w:val="right"/>
              <w:rPr>
                <w:sz w:val="17"/>
              </w:rPr>
            </w:pPr>
            <w:r>
              <w:rPr>
                <w:spacing w:val="-2"/>
                <w:sz w:val="17"/>
              </w:rPr>
              <w:t>3.321.500,00</w:t>
            </w:r>
          </w:p>
        </w:tc>
        <w:tc>
          <w:tcPr>
            <w:tcW w:w="779" w:type="dxa"/>
            <w:tcBorders>
              <w:bottom w:val="single" w:sz="8" w:space="0" w:color="002D5D"/>
            </w:tcBorders>
          </w:tcPr>
          <w:p>
            <w:pPr>
              <w:pStyle w:val="TableParagraph"/>
              <w:spacing w:before="193"/>
              <w:ind w:right="188"/>
              <w:jc w:val="right"/>
              <w:rPr>
                <w:sz w:val="17"/>
              </w:rPr>
            </w:pPr>
            <w:r>
              <w:rPr>
                <w:spacing w:val="-2"/>
                <w:sz w:val="17"/>
              </w:rPr>
              <w:t>15,75</w:t>
            </w:r>
          </w:p>
        </w:tc>
        <w:tc>
          <w:tcPr>
            <w:tcW w:w="1364" w:type="dxa"/>
            <w:tcBorders>
              <w:bottom w:val="single" w:sz="8" w:space="0" w:color="002D5D"/>
            </w:tcBorders>
          </w:tcPr>
          <w:p>
            <w:pPr>
              <w:pStyle w:val="TableParagraph"/>
              <w:spacing w:before="193"/>
              <w:ind w:left="190"/>
              <w:rPr>
                <w:sz w:val="17"/>
              </w:rPr>
            </w:pPr>
            <w:r>
              <w:rPr>
                <w:spacing w:val="-2"/>
                <w:sz w:val="17"/>
              </w:rPr>
              <w:t>17.761.500,00</w:t>
            </w:r>
          </w:p>
        </w:tc>
        <w:tc>
          <w:tcPr>
            <w:tcW w:w="563" w:type="dxa"/>
            <w:tcBorders>
              <w:bottom w:val="single" w:sz="8" w:space="0" w:color="002D5D"/>
            </w:tcBorders>
          </w:tcPr>
          <w:p>
            <w:pPr>
              <w:pStyle w:val="TableParagraph"/>
              <w:spacing w:before="193"/>
              <w:ind w:left="34"/>
              <w:rPr>
                <w:sz w:val="17"/>
              </w:rPr>
            </w:pPr>
            <w:r>
              <w:rPr>
                <w:spacing w:val="-2"/>
                <w:sz w:val="17"/>
              </w:rPr>
              <w:t>84,25</w:t>
            </w:r>
          </w:p>
        </w:tc>
        <w:tc>
          <w:tcPr>
            <w:tcW w:w="1222" w:type="dxa"/>
            <w:tcBorders>
              <w:bottom w:val="single" w:sz="8" w:space="0" w:color="002D5D"/>
            </w:tcBorders>
          </w:tcPr>
          <w:p>
            <w:pPr>
              <w:pStyle w:val="TableParagraph"/>
              <w:spacing w:before="193"/>
              <w:ind w:right="54"/>
              <w:jc w:val="center"/>
              <w:rPr>
                <w:sz w:val="17"/>
              </w:rPr>
            </w:pPr>
            <w:r>
              <w:rPr>
                <w:sz w:val="17"/>
              </w:rPr>
              <w:t>En</w:t>
            </w:r>
            <w:r>
              <w:rPr>
                <w:spacing w:val="-1"/>
                <w:sz w:val="17"/>
              </w:rPr>
              <w:t> </w:t>
            </w:r>
            <w:r>
              <w:rPr>
                <w:spacing w:val="-2"/>
                <w:sz w:val="17"/>
              </w:rPr>
              <w:t>ejecución</w:t>
            </w:r>
          </w:p>
        </w:tc>
      </w:tr>
      <w:tr>
        <w:trPr>
          <w:trHeight w:val="584" w:hRule="atLeast"/>
        </w:trPr>
        <w:tc>
          <w:tcPr>
            <w:tcW w:w="3230" w:type="dxa"/>
            <w:tcBorders>
              <w:top w:val="single" w:sz="8" w:space="0" w:color="002D5D"/>
              <w:bottom w:val="single" w:sz="8" w:space="0" w:color="002D5D"/>
            </w:tcBorders>
          </w:tcPr>
          <w:p>
            <w:pPr>
              <w:pStyle w:val="TableParagraph"/>
              <w:spacing w:before="97"/>
              <w:ind w:left="69"/>
              <w:rPr>
                <w:sz w:val="17"/>
              </w:rPr>
            </w:pPr>
            <w:r>
              <w:rPr>
                <w:sz w:val="17"/>
              </w:rPr>
              <w:t>Adquisición</w:t>
            </w:r>
            <w:r>
              <w:rPr>
                <w:spacing w:val="-7"/>
                <w:sz w:val="17"/>
              </w:rPr>
              <w:t> </w:t>
            </w:r>
            <w:r>
              <w:rPr>
                <w:sz w:val="17"/>
              </w:rPr>
              <w:t>de</w:t>
            </w:r>
            <w:r>
              <w:rPr>
                <w:spacing w:val="-7"/>
                <w:sz w:val="17"/>
              </w:rPr>
              <w:t> </w:t>
            </w:r>
            <w:r>
              <w:rPr>
                <w:sz w:val="17"/>
              </w:rPr>
              <w:t>54</w:t>
            </w:r>
            <w:r>
              <w:rPr>
                <w:spacing w:val="-7"/>
                <w:sz w:val="17"/>
              </w:rPr>
              <w:t> </w:t>
            </w:r>
            <w:r>
              <w:rPr>
                <w:sz w:val="17"/>
              </w:rPr>
              <w:t>autobuses</w:t>
            </w:r>
            <w:r>
              <w:rPr>
                <w:spacing w:val="-7"/>
                <w:sz w:val="17"/>
              </w:rPr>
              <w:t> </w:t>
            </w:r>
            <w:r>
              <w:rPr>
                <w:sz w:val="17"/>
              </w:rPr>
              <w:t>(37</w:t>
            </w:r>
            <w:r>
              <w:rPr>
                <w:spacing w:val="-7"/>
                <w:sz w:val="17"/>
              </w:rPr>
              <w:t> </w:t>
            </w:r>
            <w:r>
              <w:rPr>
                <w:sz w:val="17"/>
              </w:rPr>
              <w:t>eléctricos/</w:t>
            </w:r>
            <w:r>
              <w:rPr>
                <w:spacing w:val="-7"/>
                <w:sz w:val="17"/>
              </w:rPr>
              <w:t> </w:t>
            </w:r>
            <w:r>
              <w:rPr>
                <w:sz w:val="17"/>
              </w:rPr>
              <w:t>17</w:t>
            </w:r>
            <w:r>
              <w:rPr>
                <w:spacing w:val="40"/>
                <w:sz w:val="17"/>
              </w:rPr>
              <w:t> </w:t>
            </w:r>
            <w:r>
              <w:rPr>
                <w:spacing w:val="-4"/>
                <w:sz w:val="17"/>
              </w:rPr>
              <w:t>GNC)</w:t>
            </w:r>
          </w:p>
        </w:tc>
        <w:tc>
          <w:tcPr>
            <w:tcW w:w="1207" w:type="dxa"/>
            <w:tcBorders>
              <w:top w:val="single" w:sz="8" w:space="0" w:color="002D5D"/>
              <w:bottom w:val="single" w:sz="8" w:space="0" w:color="002D5D"/>
            </w:tcBorders>
          </w:tcPr>
          <w:p>
            <w:pPr>
              <w:pStyle w:val="TableParagraph"/>
              <w:spacing w:line="194" w:lineRule="exact"/>
              <w:ind w:left="99"/>
              <w:rPr>
                <w:sz w:val="17"/>
              </w:rPr>
            </w:pPr>
            <w:r>
              <w:rPr>
                <w:spacing w:val="-2"/>
                <w:sz w:val="17"/>
              </w:rPr>
              <w:t>Adquisición</w:t>
            </w:r>
          </w:p>
          <w:p>
            <w:pPr>
              <w:pStyle w:val="TableParagraph"/>
              <w:spacing w:line="194" w:lineRule="exact"/>
              <w:ind w:left="99" w:right="128"/>
              <w:rPr>
                <w:sz w:val="17"/>
              </w:rPr>
            </w:pPr>
            <w:r>
              <w:rPr>
                <w:sz w:val="17"/>
              </w:rPr>
              <w:t>material</w:t>
            </w:r>
            <w:r>
              <w:rPr>
                <w:spacing w:val="-10"/>
                <w:sz w:val="17"/>
              </w:rPr>
              <w:t> </w:t>
            </w:r>
            <w:r>
              <w:rPr>
                <w:sz w:val="17"/>
              </w:rPr>
              <w:t>móvil</w:t>
            </w:r>
            <w:r>
              <w:rPr>
                <w:spacing w:val="-10"/>
                <w:sz w:val="17"/>
              </w:rPr>
              <w:t> </w:t>
            </w:r>
            <w:r>
              <w:rPr>
                <w:sz w:val="17"/>
              </w:rPr>
              <w:t>e</w:t>
            </w:r>
            <w:r>
              <w:rPr>
                <w:spacing w:val="40"/>
                <w:sz w:val="17"/>
              </w:rPr>
              <w:t> </w:t>
            </w:r>
            <w:r>
              <w:rPr>
                <w:spacing w:val="-2"/>
                <w:sz w:val="17"/>
              </w:rPr>
              <w:t>infraestructuras</w:t>
            </w:r>
          </w:p>
        </w:tc>
        <w:tc>
          <w:tcPr>
            <w:tcW w:w="1130" w:type="dxa"/>
            <w:tcBorders>
              <w:top w:val="single" w:sz="8" w:space="0" w:color="002D5D"/>
              <w:bottom w:val="single" w:sz="8" w:space="0" w:color="002D5D"/>
            </w:tcBorders>
          </w:tcPr>
          <w:p>
            <w:pPr>
              <w:pStyle w:val="TableParagraph"/>
              <w:rPr>
                <w:rFonts w:ascii="Arial"/>
                <w:b/>
                <w:sz w:val="17"/>
              </w:rPr>
            </w:pPr>
          </w:p>
          <w:p>
            <w:pPr>
              <w:pStyle w:val="TableParagraph"/>
              <w:ind w:right="105"/>
              <w:jc w:val="right"/>
              <w:rPr>
                <w:sz w:val="17"/>
              </w:rPr>
            </w:pPr>
            <w:r>
              <w:rPr>
                <w:spacing w:val="-2"/>
                <w:sz w:val="17"/>
              </w:rPr>
              <w:t>30.137.172,00</w:t>
            </w:r>
          </w:p>
        </w:tc>
        <w:tc>
          <w:tcPr>
            <w:tcW w:w="755" w:type="dxa"/>
            <w:tcBorders>
              <w:top w:val="single" w:sz="8" w:space="0" w:color="002D5D"/>
              <w:bottom w:val="single" w:sz="8" w:space="0" w:color="002D5D"/>
            </w:tcBorders>
          </w:tcPr>
          <w:p>
            <w:pPr>
              <w:pStyle w:val="TableParagraph"/>
              <w:rPr>
                <w:rFonts w:ascii="Arial"/>
                <w:b/>
                <w:sz w:val="17"/>
              </w:rPr>
            </w:pPr>
          </w:p>
          <w:p>
            <w:pPr>
              <w:pStyle w:val="TableParagraph"/>
              <w:ind w:right="219"/>
              <w:jc w:val="right"/>
              <w:rPr>
                <w:sz w:val="17"/>
              </w:rPr>
            </w:pPr>
            <w:r>
              <w:rPr>
                <w:spacing w:val="-2"/>
                <w:sz w:val="17"/>
              </w:rPr>
              <w:t>30,95</w:t>
            </w:r>
          </w:p>
        </w:tc>
        <w:tc>
          <w:tcPr>
            <w:tcW w:w="1233" w:type="dxa"/>
            <w:tcBorders>
              <w:top w:val="single" w:sz="8" w:space="0" w:color="002D5D"/>
              <w:bottom w:val="single" w:sz="8" w:space="0" w:color="002D5D"/>
            </w:tcBorders>
          </w:tcPr>
          <w:p>
            <w:pPr>
              <w:pStyle w:val="TableParagraph"/>
              <w:rPr>
                <w:rFonts w:ascii="Arial"/>
                <w:b/>
                <w:sz w:val="17"/>
              </w:rPr>
            </w:pPr>
          </w:p>
          <w:p>
            <w:pPr>
              <w:pStyle w:val="TableParagraph"/>
              <w:ind w:right="118"/>
              <w:jc w:val="right"/>
              <w:rPr>
                <w:sz w:val="17"/>
              </w:rPr>
            </w:pPr>
            <w:r>
              <w:rPr>
                <w:spacing w:val="-2"/>
                <w:sz w:val="17"/>
              </w:rPr>
              <w:t>24.157.172,00</w:t>
            </w:r>
          </w:p>
        </w:tc>
        <w:tc>
          <w:tcPr>
            <w:tcW w:w="779" w:type="dxa"/>
            <w:tcBorders>
              <w:top w:val="single" w:sz="8" w:space="0" w:color="002D5D"/>
              <w:bottom w:val="single" w:sz="8" w:space="0" w:color="002D5D"/>
            </w:tcBorders>
          </w:tcPr>
          <w:p>
            <w:pPr>
              <w:pStyle w:val="TableParagraph"/>
              <w:rPr>
                <w:rFonts w:ascii="Arial"/>
                <w:b/>
                <w:sz w:val="17"/>
              </w:rPr>
            </w:pPr>
          </w:p>
          <w:p>
            <w:pPr>
              <w:pStyle w:val="TableParagraph"/>
              <w:ind w:right="188"/>
              <w:jc w:val="right"/>
              <w:rPr>
                <w:sz w:val="17"/>
              </w:rPr>
            </w:pPr>
            <w:r>
              <w:rPr>
                <w:spacing w:val="-2"/>
                <w:sz w:val="17"/>
              </w:rPr>
              <w:t>80,16</w:t>
            </w:r>
          </w:p>
        </w:tc>
        <w:tc>
          <w:tcPr>
            <w:tcW w:w="1364" w:type="dxa"/>
            <w:tcBorders>
              <w:top w:val="single" w:sz="8" w:space="0" w:color="002D5D"/>
              <w:bottom w:val="single" w:sz="8" w:space="0" w:color="002D5D"/>
            </w:tcBorders>
          </w:tcPr>
          <w:p>
            <w:pPr>
              <w:pStyle w:val="TableParagraph"/>
              <w:rPr>
                <w:rFonts w:ascii="Arial"/>
                <w:b/>
                <w:sz w:val="17"/>
              </w:rPr>
            </w:pPr>
          </w:p>
          <w:p>
            <w:pPr>
              <w:pStyle w:val="TableParagraph"/>
              <w:ind w:left="269"/>
              <w:rPr>
                <w:sz w:val="17"/>
              </w:rPr>
            </w:pPr>
            <w:r>
              <w:rPr>
                <w:spacing w:val="-2"/>
                <w:sz w:val="17"/>
              </w:rPr>
              <w:t>5.980.000,00</w:t>
            </w:r>
          </w:p>
        </w:tc>
        <w:tc>
          <w:tcPr>
            <w:tcW w:w="563" w:type="dxa"/>
            <w:tcBorders>
              <w:top w:val="single" w:sz="8" w:space="0" w:color="002D5D"/>
              <w:bottom w:val="single" w:sz="8" w:space="0" w:color="002D5D"/>
            </w:tcBorders>
          </w:tcPr>
          <w:p>
            <w:pPr>
              <w:pStyle w:val="TableParagraph"/>
              <w:rPr>
                <w:rFonts w:ascii="Arial"/>
                <w:b/>
                <w:sz w:val="17"/>
              </w:rPr>
            </w:pPr>
          </w:p>
          <w:p>
            <w:pPr>
              <w:pStyle w:val="TableParagraph"/>
              <w:ind w:left="34"/>
              <w:rPr>
                <w:sz w:val="17"/>
              </w:rPr>
            </w:pPr>
            <w:r>
              <w:rPr>
                <w:spacing w:val="-2"/>
                <w:sz w:val="17"/>
              </w:rPr>
              <w:t>19,84</w:t>
            </w:r>
          </w:p>
        </w:tc>
        <w:tc>
          <w:tcPr>
            <w:tcW w:w="1222" w:type="dxa"/>
            <w:tcBorders>
              <w:top w:val="single" w:sz="8" w:space="0" w:color="002D5D"/>
              <w:bottom w:val="single" w:sz="8" w:space="0" w:color="002D5D"/>
            </w:tcBorders>
          </w:tcPr>
          <w:p>
            <w:pPr>
              <w:pStyle w:val="TableParagraph"/>
              <w:rPr>
                <w:rFonts w:ascii="Arial"/>
                <w:b/>
                <w:sz w:val="17"/>
              </w:rPr>
            </w:pPr>
          </w:p>
          <w:p>
            <w:pPr>
              <w:pStyle w:val="TableParagraph"/>
              <w:ind w:right="54"/>
              <w:jc w:val="center"/>
              <w:rPr>
                <w:sz w:val="17"/>
              </w:rPr>
            </w:pPr>
            <w:r>
              <w:rPr>
                <w:sz w:val="17"/>
              </w:rPr>
              <w:t>En</w:t>
            </w:r>
            <w:r>
              <w:rPr>
                <w:spacing w:val="-1"/>
                <w:sz w:val="17"/>
              </w:rPr>
              <w:t> </w:t>
            </w:r>
            <w:r>
              <w:rPr>
                <w:spacing w:val="-2"/>
                <w:sz w:val="17"/>
              </w:rPr>
              <w:t>ejecución</w:t>
            </w:r>
          </w:p>
        </w:tc>
      </w:tr>
      <w:tr>
        <w:trPr>
          <w:trHeight w:val="584" w:hRule="atLeast"/>
        </w:trPr>
        <w:tc>
          <w:tcPr>
            <w:tcW w:w="3230" w:type="dxa"/>
            <w:tcBorders>
              <w:top w:val="single" w:sz="8" w:space="0" w:color="002D5D"/>
              <w:bottom w:val="single" w:sz="8" w:space="0" w:color="002D5D"/>
            </w:tcBorders>
          </w:tcPr>
          <w:p>
            <w:pPr>
              <w:pStyle w:val="TableParagraph"/>
              <w:spacing w:before="97"/>
              <w:ind w:left="69" w:right="50"/>
              <w:rPr>
                <w:sz w:val="17"/>
              </w:rPr>
            </w:pPr>
            <w:r>
              <w:rPr>
                <w:sz w:val="17"/>
              </w:rPr>
              <w:t>Suministro</w:t>
            </w:r>
            <w:r>
              <w:rPr>
                <w:spacing w:val="-6"/>
                <w:sz w:val="17"/>
              </w:rPr>
              <w:t> </w:t>
            </w:r>
            <w:r>
              <w:rPr>
                <w:sz w:val="17"/>
              </w:rPr>
              <w:t>de</w:t>
            </w:r>
            <w:r>
              <w:rPr>
                <w:spacing w:val="-5"/>
                <w:sz w:val="17"/>
              </w:rPr>
              <w:t> </w:t>
            </w:r>
            <w:r>
              <w:rPr>
                <w:sz w:val="17"/>
              </w:rPr>
              <w:t>energía</w:t>
            </w:r>
            <w:r>
              <w:rPr>
                <w:spacing w:val="-5"/>
                <w:sz w:val="17"/>
              </w:rPr>
              <w:t> </w:t>
            </w:r>
            <w:r>
              <w:rPr>
                <w:sz w:val="17"/>
              </w:rPr>
              <w:t>y</w:t>
            </w:r>
            <w:r>
              <w:rPr>
                <w:spacing w:val="-6"/>
                <w:sz w:val="17"/>
              </w:rPr>
              <w:t> </w:t>
            </w:r>
            <w:r>
              <w:rPr>
                <w:sz w:val="17"/>
              </w:rPr>
              <w:t>de</w:t>
            </w:r>
            <w:r>
              <w:rPr>
                <w:spacing w:val="-6"/>
                <w:sz w:val="17"/>
              </w:rPr>
              <w:t> </w:t>
            </w:r>
            <w:r>
              <w:rPr>
                <w:sz w:val="17"/>
              </w:rPr>
              <w:t>la</w:t>
            </w:r>
            <w:r>
              <w:rPr>
                <w:spacing w:val="-6"/>
                <w:sz w:val="17"/>
              </w:rPr>
              <w:t> </w:t>
            </w:r>
            <w:r>
              <w:rPr>
                <w:sz w:val="17"/>
              </w:rPr>
              <w:t>infraestructura</w:t>
            </w:r>
            <w:r>
              <w:rPr>
                <w:spacing w:val="-5"/>
                <w:sz w:val="17"/>
              </w:rPr>
              <w:t> </w:t>
            </w:r>
            <w:r>
              <w:rPr>
                <w:sz w:val="17"/>
              </w:rPr>
              <w:t>para</w:t>
            </w:r>
            <w:r>
              <w:rPr>
                <w:spacing w:val="40"/>
                <w:sz w:val="17"/>
              </w:rPr>
              <w:t> </w:t>
            </w:r>
            <w:r>
              <w:rPr>
                <w:sz w:val="17"/>
              </w:rPr>
              <w:t>la recarga de 23 autobuses</w:t>
            </w:r>
          </w:p>
        </w:tc>
        <w:tc>
          <w:tcPr>
            <w:tcW w:w="1207" w:type="dxa"/>
            <w:tcBorders>
              <w:top w:val="single" w:sz="8" w:space="0" w:color="002D5D"/>
              <w:bottom w:val="single" w:sz="8" w:space="0" w:color="002D5D"/>
            </w:tcBorders>
          </w:tcPr>
          <w:p>
            <w:pPr>
              <w:pStyle w:val="TableParagraph"/>
              <w:spacing w:line="194" w:lineRule="exact"/>
              <w:ind w:left="99"/>
              <w:rPr>
                <w:sz w:val="17"/>
              </w:rPr>
            </w:pPr>
            <w:r>
              <w:rPr>
                <w:spacing w:val="-2"/>
                <w:sz w:val="17"/>
              </w:rPr>
              <w:t>Adquisición</w:t>
            </w:r>
          </w:p>
          <w:p>
            <w:pPr>
              <w:pStyle w:val="TableParagraph"/>
              <w:spacing w:line="194" w:lineRule="exact"/>
              <w:ind w:left="99" w:right="128"/>
              <w:rPr>
                <w:sz w:val="17"/>
              </w:rPr>
            </w:pPr>
            <w:r>
              <w:rPr>
                <w:sz w:val="17"/>
              </w:rPr>
              <w:t>material</w:t>
            </w:r>
            <w:r>
              <w:rPr>
                <w:spacing w:val="-10"/>
                <w:sz w:val="17"/>
              </w:rPr>
              <w:t> </w:t>
            </w:r>
            <w:r>
              <w:rPr>
                <w:sz w:val="17"/>
              </w:rPr>
              <w:t>móvil</w:t>
            </w:r>
            <w:r>
              <w:rPr>
                <w:spacing w:val="-10"/>
                <w:sz w:val="17"/>
              </w:rPr>
              <w:t> </w:t>
            </w:r>
            <w:r>
              <w:rPr>
                <w:sz w:val="17"/>
              </w:rPr>
              <w:t>e</w:t>
            </w:r>
            <w:r>
              <w:rPr>
                <w:spacing w:val="40"/>
                <w:sz w:val="17"/>
              </w:rPr>
              <w:t> </w:t>
            </w:r>
            <w:r>
              <w:rPr>
                <w:spacing w:val="-2"/>
                <w:sz w:val="17"/>
              </w:rPr>
              <w:t>infraestructuras</w:t>
            </w:r>
          </w:p>
        </w:tc>
        <w:tc>
          <w:tcPr>
            <w:tcW w:w="1130" w:type="dxa"/>
            <w:tcBorders>
              <w:top w:val="single" w:sz="8" w:space="0" w:color="002D5D"/>
              <w:bottom w:val="single" w:sz="8" w:space="0" w:color="002D5D"/>
            </w:tcBorders>
          </w:tcPr>
          <w:p>
            <w:pPr>
              <w:pStyle w:val="TableParagraph"/>
              <w:rPr>
                <w:rFonts w:ascii="Arial"/>
                <w:b/>
                <w:sz w:val="17"/>
              </w:rPr>
            </w:pPr>
          </w:p>
          <w:p>
            <w:pPr>
              <w:pStyle w:val="TableParagraph"/>
              <w:ind w:right="105"/>
              <w:jc w:val="right"/>
              <w:rPr>
                <w:sz w:val="17"/>
              </w:rPr>
            </w:pPr>
            <w:r>
              <w:rPr>
                <w:spacing w:val="-2"/>
                <w:sz w:val="17"/>
              </w:rPr>
              <w:t>6.809.610,79</w:t>
            </w:r>
          </w:p>
        </w:tc>
        <w:tc>
          <w:tcPr>
            <w:tcW w:w="755" w:type="dxa"/>
            <w:tcBorders>
              <w:top w:val="single" w:sz="8" w:space="0" w:color="002D5D"/>
              <w:bottom w:val="single" w:sz="8" w:space="0" w:color="002D5D"/>
            </w:tcBorders>
          </w:tcPr>
          <w:p>
            <w:pPr>
              <w:pStyle w:val="TableParagraph"/>
              <w:rPr>
                <w:rFonts w:ascii="Arial"/>
                <w:b/>
                <w:sz w:val="17"/>
              </w:rPr>
            </w:pPr>
          </w:p>
          <w:p>
            <w:pPr>
              <w:pStyle w:val="TableParagraph"/>
              <w:ind w:right="219"/>
              <w:jc w:val="right"/>
              <w:rPr>
                <w:sz w:val="17"/>
              </w:rPr>
            </w:pPr>
            <w:r>
              <w:rPr>
                <w:spacing w:val="-4"/>
                <w:sz w:val="17"/>
              </w:rPr>
              <w:t>6,99</w:t>
            </w:r>
          </w:p>
        </w:tc>
        <w:tc>
          <w:tcPr>
            <w:tcW w:w="1233" w:type="dxa"/>
            <w:tcBorders>
              <w:top w:val="single" w:sz="8" w:space="0" w:color="002D5D"/>
              <w:bottom w:val="single" w:sz="8" w:space="0" w:color="002D5D"/>
            </w:tcBorders>
          </w:tcPr>
          <w:p>
            <w:pPr>
              <w:pStyle w:val="TableParagraph"/>
              <w:rPr>
                <w:rFonts w:ascii="Arial"/>
                <w:b/>
                <w:sz w:val="17"/>
              </w:rPr>
            </w:pPr>
          </w:p>
          <w:p>
            <w:pPr>
              <w:pStyle w:val="TableParagraph"/>
              <w:ind w:right="118"/>
              <w:jc w:val="right"/>
              <w:rPr>
                <w:sz w:val="17"/>
              </w:rPr>
            </w:pPr>
            <w:r>
              <w:rPr>
                <w:spacing w:val="-2"/>
                <w:sz w:val="17"/>
              </w:rPr>
              <w:t>6.809.610,79</w:t>
            </w:r>
          </w:p>
        </w:tc>
        <w:tc>
          <w:tcPr>
            <w:tcW w:w="779" w:type="dxa"/>
            <w:tcBorders>
              <w:top w:val="single" w:sz="8" w:space="0" w:color="002D5D"/>
              <w:bottom w:val="single" w:sz="8" w:space="0" w:color="002D5D"/>
            </w:tcBorders>
          </w:tcPr>
          <w:p>
            <w:pPr>
              <w:pStyle w:val="TableParagraph"/>
              <w:rPr>
                <w:rFonts w:ascii="Arial"/>
                <w:b/>
                <w:sz w:val="17"/>
              </w:rPr>
            </w:pPr>
          </w:p>
          <w:p>
            <w:pPr>
              <w:pStyle w:val="TableParagraph"/>
              <w:ind w:left="163"/>
              <w:rPr>
                <w:sz w:val="17"/>
              </w:rPr>
            </w:pPr>
            <w:r>
              <w:rPr>
                <w:spacing w:val="-2"/>
                <w:sz w:val="17"/>
              </w:rPr>
              <w:t>100,00</w:t>
            </w:r>
          </w:p>
        </w:tc>
        <w:tc>
          <w:tcPr>
            <w:tcW w:w="1364" w:type="dxa"/>
            <w:tcBorders>
              <w:top w:val="single" w:sz="8" w:space="0" w:color="002D5D"/>
              <w:bottom w:val="single" w:sz="8" w:space="0" w:color="002D5D"/>
            </w:tcBorders>
          </w:tcPr>
          <w:p>
            <w:pPr>
              <w:pStyle w:val="TableParagraph"/>
              <w:rPr>
                <w:rFonts w:ascii="Arial"/>
                <w:b/>
                <w:sz w:val="17"/>
              </w:rPr>
            </w:pPr>
          </w:p>
          <w:p>
            <w:pPr>
              <w:pStyle w:val="TableParagraph"/>
              <w:ind w:left="812"/>
              <w:rPr>
                <w:sz w:val="17"/>
              </w:rPr>
            </w:pPr>
            <w:r>
              <w:rPr>
                <w:spacing w:val="-4"/>
                <w:sz w:val="17"/>
              </w:rPr>
              <w:t>0,00</w:t>
            </w:r>
          </w:p>
        </w:tc>
        <w:tc>
          <w:tcPr>
            <w:tcW w:w="563" w:type="dxa"/>
            <w:tcBorders>
              <w:top w:val="single" w:sz="8" w:space="0" w:color="002D5D"/>
              <w:bottom w:val="single" w:sz="8" w:space="0" w:color="002D5D"/>
            </w:tcBorders>
          </w:tcPr>
          <w:p>
            <w:pPr>
              <w:pStyle w:val="TableParagraph"/>
              <w:rPr>
                <w:rFonts w:ascii="Arial"/>
                <w:b/>
                <w:sz w:val="17"/>
              </w:rPr>
            </w:pPr>
          </w:p>
          <w:p>
            <w:pPr>
              <w:pStyle w:val="TableParagraph"/>
              <w:ind w:right="180"/>
              <w:jc w:val="right"/>
              <w:rPr>
                <w:sz w:val="17"/>
              </w:rPr>
            </w:pPr>
            <w:r>
              <w:rPr>
                <w:spacing w:val="-4"/>
                <w:sz w:val="17"/>
              </w:rPr>
              <w:t>0,00</w:t>
            </w:r>
          </w:p>
        </w:tc>
        <w:tc>
          <w:tcPr>
            <w:tcW w:w="1222" w:type="dxa"/>
            <w:tcBorders>
              <w:top w:val="single" w:sz="8" w:space="0" w:color="002D5D"/>
              <w:bottom w:val="single" w:sz="8" w:space="0" w:color="002D5D"/>
            </w:tcBorders>
          </w:tcPr>
          <w:p>
            <w:pPr>
              <w:pStyle w:val="TableParagraph"/>
              <w:rPr>
                <w:rFonts w:ascii="Arial"/>
                <w:b/>
                <w:sz w:val="17"/>
              </w:rPr>
            </w:pPr>
          </w:p>
          <w:p>
            <w:pPr>
              <w:pStyle w:val="TableParagraph"/>
              <w:ind w:right="54"/>
              <w:jc w:val="center"/>
              <w:rPr>
                <w:sz w:val="17"/>
              </w:rPr>
            </w:pPr>
            <w:r>
              <w:rPr>
                <w:sz w:val="17"/>
              </w:rPr>
              <w:t>En</w:t>
            </w:r>
            <w:r>
              <w:rPr>
                <w:spacing w:val="-1"/>
                <w:sz w:val="17"/>
              </w:rPr>
              <w:t> </w:t>
            </w:r>
            <w:r>
              <w:rPr>
                <w:spacing w:val="-2"/>
                <w:sz w:val="17"/>
              </w:rPr>
              <w:t>ejecución</w:t>
            </w:r>
          </w:p>
        </w:tc>
      </w:tr>
      <w:tr>
        <w:trPr>
          <w:trHeight w:val="340" w:hRule="atLeast"/>
        </w:trPr>
        <w:tc>
          <w:tcPr>
            <w:tcW w:w="3230" w:type="dxa"/>
            <w:tcBorders>
              <w:top w:val="single" w:sz="8" w:space="0" w:color="002D5D"/>
              <w:bottom w:val="single" w:sz="8" w:space="0" w:color="002D5D"/>
            </w:tcBorders>
          </w:tcPr>
          <w:p>
            <w:pPr>
              <w:pStyle w:val="TableParagraph"/>
              <w:spacing w:before="73"/>
              <w:ind w:left="69"/>
              <w:rPr>
                <w:sz w:val="17"/>
              </w:rPr>
            </w:pPr>
            <w:r>
              <w:rPr>
                <w:sz w:val="17"/>
              </w:rPr>
              <w:t>Equipamiento</w:t>
            </w:r>
            <w:r>
              <w:rPr>
                <w:spacing w:val="-4"/>
                <w:sz w:val="17"/>
              </w:rPr>
              <w:t> </w:t>
            </w:r>
            <w:r>
              <w:rPr>
                <w:sz w:val="17"/>
              </w:rPr>
              <w:t>paradas</w:t>
            </w:r>
            <w:r>
              <w:rPr>
                <w:spacing w:val="-4"/>
                <w:sz w:val="17"/>
              </w:rPr>
              <w:t> </w:t>
            </w:r>
            <w:r>
              <w:rPr>
                <w:sz w:val="17"/>
              </w:rPr>
              <w:t>metro</w:t>
            </w:r>
            <w:r>
              <w:rPr>
                <w:spacing w:val="-3"/>
                <w:sz w:val="17"/>
              </w:rPr>
              <w:t> </w:t>
            </w:r>
            <w:r>
              <w:rPr>
                <w:spacing w:val="-2"/>
                <w:sz w:val="17"/>
              </w:rPr>
              <w:t>ligero</w:t>
            </w:r>
          </w:p>
        </w:tc>
        <w:tc>
          <w:tcPr>
            <w:tcW w:w="1207" w:type="dxa"/>
            <w:tcBorders>
              <w:top w:val="single" w:sz="8" w:space="0" w:color="002D5D"/>
              <w:bottom w:val="single" w:sz="8" w:space="0" w:color="002D5D"/>
            </w:tcBorders>
          </w:tcPr>
          <w:p>
            <w:pPr>
              <w:pStyle w:val="TableParagraph"/>
              <w:spacing w:before="73"/>
              <w:ind w:left="99"/>
              <w:rPr>
                <w:sz w:val="17"/>
              </w:rPr>
            </w:pPr>
            <w:r>
              <w:rPr>
                <w:spacing w:val="-2"/>
                <w:sz w:val="17"/>
              </w:rPr>
              <w:t>Obras</w:t>
            </w:r>
          </w:p>
        </w:tc>
        <w:tc>
          <w:tcPr>
            <w:tcW w:w="1130" w:type="dxa"/>
            <w:tcBorders>
              <w:top w:val="single" w:sz="8" w:space="0" w:color="002D5D"/>
              <w:bottom w:val="single" w:sz="8" w:space="0" w:color="002D5D"/>
            </w:tcBorders>
          </w:tcPr>
          <w:p>
            <w:pPr>
              <w:pStyle w:val="TableParagraph"/>
              <w:spacing w:before="73"/>
              <w:ind w:right="105"/>
              <w:jc w:val="right"/>
              <w:rPr>
                <w:sz w:val="17"/>
              </w:rPr>
            </w:pPr>
            <w:r>
              <w:rPr>
                <w:spacing w:val="-2"/>
                <w:sz w:val="17"/>
              </w:rPr>
              <w:t>689.751,47</w:t>
            </w:r>
          </w:p>
        </w:tc>
        <w:tc>
          <w:tcPr>
            <w:tcW w:w="755" w:type="dxa"/>
            <w:tcBorders>
              <w:top w:val="single" w:sz="8" w:space="0" w:color="002D5D"/>
              <w:bottom w:val="single" w:sz="8" w:space="0" w:color="002D5D"/>
            </w:tcBorders>
          </w:tcPr>
          <w:p>
            <w:pPr>
              <w:pStyle w:val="TableParagraph"/>
              <w:spacing w:before="73"/>
              <w:ind w:right="219"/>
              <w:jc w:val="right"/>
              <w:rPr>
                <w:sz w:val="17"/>
              </w:rPr>
            </w:pPr>
            <w:r>
              <w:rPr>
                <w:spacing w:val="-4"/>
                <w:sz w:val="17"/>
              </w:rPr>
              <w:t>0,71</w:t>
            </w:r>
          </w:p>
        </w:tc>
        <w:tc>
          <w:tcPr>
            <w:tcW w:w="1233" w:type="dxa"/>
            <w:tcBorders>
              <w:top w:val="single" w:sz="8" w:space="0" w:color="002D5D"/>
              <w:bottom w:val="single" w:sz="8" w:space="0" w:color="002D5D"/>
            </w:tcBorders>
          </w:tcPr>
          <w:p>
            <w:pPr>
              <w:pStyle w:val="TableParagraph"/>
              <w:spacing w:before="73"/>
              <w:ind w:right="118"/>
              <w:jc w:val="right"/>
              <w:rPr>
                <w:sz w:val="17"/>
              </w:rPr>
            </w:pPr>
            <w:r>
              <w:rPr>
                <w:spacing w:val="-2"/>
                <w:sz w:val="17"/>
              </w:rPr>
              <w:t>137.950,29</w:t>
            </w:r>
          </w:p>
        </w:tc>
        <w:tc>
          <w:tcPr>
            <w:tcW w:w="779" w:type="dxa"/>
            <w:tcBorders>
              <w:top w:val="single" w:sz="8" w:space="0" w:color="002D5D"/>
              <w:bottom w:val="single" w:sz="8" w:space="0" w:color="002D5D"/>
            </w:tcBorders>
          </w:tcPr>
          <w:p>
            <w:pPr>
              <w:pStyle w:val="TableParagraph"/>
              <w:spacing w:before="73"/>
              <w:ind w:right="188"/>
              <w:jc w:val="right"/>
              <w:rPr>
                <w:sz w:val="17"/>
              </w:rPr>
            </w:pPr>
            <w:r>
              <w:rPr>
                <w:spacing w:val="-2"/>
                <w:sz w:val="17"/>
              </w:rPr>
              <w:t>20,00</w:t>
            </w:r>
          </w:p>
        </w:tc>
        <w:tc>
          <w:tcPr>
            <w:tcW w:w="1364" w:type="dxa"/>
            <w:tcBorders>
              <w:top w:val="single" w:sz="8" w:space="0" w:color="002D5D"/>
              <w:bottom w:val="single" w:sz="8" w:space="0" w:color="002D5D"/>
            </w:tcBorders>
          </w:tcPr>
          <w:p>
            <w:pPr>
              <w:pStyle w:val="TableParagraph"/>
              <w:spacing w:before="73"/>
              <w:ind w:left="384"/>
              <w:rPr>
                <w:sz w:val="17"/>
              </w:rPr>
            </w:pPr>
            <w:r>
              <w:rPr>
                <w:spacing w:val="-2"/>
                <w:sz w:val="17"/>
              </w:rPr>
              <w:t>551.801,18</w:t>
            </w:r>
          </w:p>
        </w:tc>
        <w:tc>
          <w:tcPr>
            <w:tcW w:w="563" w:type="dxa"/>
            <w:tcBorders>
              <w:top w:val="single" w:sz="8" w:space="0" w:color="002D5D"/>
              <w:bottom w:val="single" w:sz="8" w:space="0" w:color="002D5D"/>
            </w:tcBorders>
          </w:tcPr>
          <w:p>
            <w:pPr>
              <w:pStyle w:val="TableParagraph"/>
              <w:spacing w:before="73"/>
              <w:ind w:left="34"/>
              <w:rPr>
                <w:sz w:val="17"/>
              </w:rPr>
            </w:pPr>
            <w:r>
              <w:rPr>
                <w:spacing w:val="-2"/>
                <w:sz w:val="17"/>
              </w:rPr>
              <w:t>80,00</w:t>
            </w:r>
          </w:p>
        </w:tc>
        <w:tc>
          <w:tcPr>
            <w:tcW w:w="1222" w:type="dxa"/>
            <w:tcBorders>
              <w:top w:val="single" w:sz="8" w:space="0" w:color="002D5D"/>
              <w:bottom w:val="single" w:sz="8" w:space="0" w:color="002D5D"/>
            </w:tcBorders>
          </w:tcPr>
          <w:p>
            <w:pPr>
              <w:pStyle w:val="TableParagraph"/>
              <w:spacing w:before="73"/>
              <w:ind w:right="54"/>
              <w:jc w:val="center"/>
              <w:rPr>
                <w:sz w:val="17"/>
              </w:rPr>
            </w:pPr>
            <w:r>
              <w:rPr>
                <w:spacing w:val="-2"/>
                <w:sz w:val="17"/>
              </w:rPr>
              <w:t>Finalizada</w:t>
            </w:r>
          </w:p>
        </w:tc>
      </w:tr>
      <w:tr>
        <w:trPr>
          <w:trHeight w:val="340" w:hRule="atLeast"/>
        </w:trPr>
        <w:tc>
          <w:tcPr>
            <w:tcW w:w="3230" w:type="dxa"/>
            <w:tcBorders>
              <w:top w:val="single" w:sz="8" w:space="0" w:color="002D5D"/>
              <w:bottom w:val="single" w:sz="8" w:space="0" w:color="002D5D"/>
            </w:tcBorders>
          </w:tcPr>
          <w:p>
            <w:pPr>
              <w:pStyle w:val="TableParagraph"/>
              <w:spacing w:before="73"/>
              <w:ind w:left="69"/>
              <w:rPr>
                <w:sz w:val="17"/>
              </w:rPr>
            </w:pPr>
            <w:r>
              <w:rPr>
                <w:sz w:val="17"/>
              </w:rPr>
              <w:t>Construcción</w:t>
            </w:r>
            <w:r>
              <w:rPr>
                <w:spacing w:val="-4"/>
                <w:sz w:val="17"/>
              </w:rPr>
              <w:t> </w:t>
            </w:r>
            <w:r>
              <w:rPr>
                <w:sz w:val="17"/>
              </w:rPr>
              <w:t>de</w:t>
            </w:r>
            <w:r>
              <w:rPr>
                <w:spacing w:val="-3"/>
                <w:sz w:val="17"/>
              </w:rPr>
              <w:t> </w:t>
            </w:r>
            <w:r>
              <w:rPr>
                <w:sz w:val="17"/>
              </w:rPr>
              <w:t>carril</w:t>
            </w:r>
            <w:r>
              <w:rPr>
                <w:spacing w:val="-3"/>
                <w:sz w:val="17"/>
              </w:rPr>
              <w:t> </w:t>
            </w:r>
            <w:r>
              <w:rPr>
                <w:sz w:val="17"/>
              </w:rPr>
              <w:t>bus</w:t>
            </w:r>
            <w:r>
              <w:rPr>
                <w:spacing w:val="-3"/>
                <w:sz w:val="17"/>
              </w:rPr>
              <w:t> </w:t>
            </w:r>
            <w:r>
              <w:rPr>
                <w:spacing w:val="-2"/>
                <w:sz w:val="17"/>
              </w:rPr>
              <w:t>segregado</w:t>
            </w:r>
          </w:p>
        </w:tc>
        <w:tc>
          <w:tcPr>
            <w:tcW w:w="1207" w:type="dxa"/>
            <w:tcBorders>
              <w:top w:val="single" w:sz="8" w:space="0" w:color="002D5D"/>
              <w:bottom w:val="single" w:sz="8" w:space="0" w:color="002D5D"/>
            </w:tcBorders>
          </w:tcPr>
          <w:p>
            <w:pPr>
              <w:pStyle w:val="TableParagraph"/>
              <w:spacing w:before="73"/>
              <w:ind w:left="99"/>
              <w:rPr>
                <w:sz w:val="17"/>
              </w:rPr>
            </w:pPr>
            <w:r>
              <w:rPr>
                <w:spacing w:val="-2"/>
                <w:sz w:val="17"/>
              </w:rPr>
              <w:t>Obras</w:t>
            </w:r>
          </w:p>
        </w:tc>
        <w:tc>
          <w:tcPr>
            <w:tcW w:w="1130" w:type="dxa"/>
            <w:tcBorders>
              <w:top w:val="single" w:sz="8" w:space="0" w:color="002D5D"/>
              <w:bottom w:val="single" w:sz="8" w:space="0" w:color="002D5D"/>
            </w:tcBorders>
          </w:tcPr>
          <w:p>
            <w:pPr>
              <w:pStyle w:val="TableParagraph"/>
              <w:spacing w:before="73"/>
              <w:ind w:right="105"/>
              <w:jc w:val="right"/>
              <w:rPr>
                <w:sz w:val="17"/>
              </w:rPr>
            </w:pPr>
            <w:r>
              <w:rPr>
                <w:spacing w:val="-2"/>
                <w:sz w:val="17"/>
              </w:rPr>
              <w:t>17.856.816,53</w:t>
            </w:r>
          </w:p>
        </w:tc>
        <w:tc>
          <w:tcPr>
            <w:tcW w:w="755" w:type="dxa"/>
            <w:tcBorders>
              <w:top w:val="single" w:sz="8" w:space="0" w:color="002D5D"/>
              <w:bottom w:val="single" w:sz="8" w:space="0" w:color="002D5D"/>
            </w:tcBorders>
          </w:tcPr>
          <w:p>
            <w:pPr>
              <w:pStyle w:val="TableParagraph"/>
              <w:spacing w:before="73"/>
              <w:ind w:right="219"/>
              <w:jc w:val="right"/>
              <w:rPr>
                <w:sz w:val="17"/>
              </w:rPr>
            </w:pPr>
            <w:r>
              <w:rPr>
                <w:spacing w:val="-2"/>
                <w:sz w:val="17"/>
              </w:rPr>
              <w:t>18,35</w:t>
            </w:r>
          </w:p>
        </w:tc>
        <w:tc>
          <w:tcPr>
            <w:tcW w:w="1233" w:type="dxa"/>
            <w:tcBorders>
              <w:top w:val="single" w:sz="8" w:space="0" w:color="002D5D"/>
              <w:bottom w:val="single" w:sz="8" w:space="0" w:color="002D5D"/>
            </w:tcBorders>
          </w:tcPr>
          <w:p>
            <w:pPr>
              <w:pStyle w:val="TableParagraph"/>
              <w:spacing w:before="73"/>
              <w:ind w:right="117"/>
              <w:jc w:val="right"/>
              <w:rPr>
                <w:sz w:val="17"/>
              </w:rPr>
            </w:pPr>
            <w:r>
              <w:rPr>
                <w:spacing w:val="-2"/>
                <w:sz w:val="17"/>
              </w:rPr>
              <w:t>1.785.681,65</w:t>
            </w:r>
          </w:p>
        </w:tc>
        <w:tc>
          <w:tcPr>
            <w:tcW w:w="779" w:type="dxa"/>
            <w:tcBorders>
              <w:top w:val="single" w:sz="8" w:space="0" w:color="002D5D"/>
              <w:bottom w:val="single" w:sz="8" w:space="0" w:color="002D5D"/>
            </w:tcBorders>
          </w:tcPr>
          <w:p>
            <w:pPr>
              <w:pStyle w:val="TableParagraph"/>
              <w:spacing w:before="73"/>
              <w:ind w:right="188"/>
              <w:jc w:val="right"/>
              <w:rPr>
                <w:sz w:val="17"/>
              </w:rPr>
            </w:pPr>
            <w:r>
              <w:rPr>
                <w:spacing w:val="-2"/>
                <w:sz w:val="17"/>
              </w:rPr>
              <w:t>10,00</w:t>
            </w:r>
          </w:p>
        </w:tc>
        <w:tc>
          <w:tcPr>
            <w:tcW w:w="1364" w:type="dxa"/>
            <w:tcBorders>
              <w:top w:val="single" w:sz="8" w:space="0" w:color="002D5D"/>
              <w:bottom w:val="single" w:sz="8" w:space="0" w:color="002D5D"/>
            </w:tcBorders>
          </w:tcPr>
          <w:p>
            <w:pPr>
              <w:pStyle w:val="TableParagraph"/>
              <w:spacing w:before="73"/>
              <w:ind w:left="190"/>
              <w:rPr>
                <w:sz w:val="17"/>
              </w:rPr>
            </w:pPr>
            <w:r>
              <w:rPr>
                <w:spacing w:val="-2"/>
                <w:sz w:val="17"/>
              </w:rPr>
              <w:t>16.071.134,88</w:t>
            </w:r>
          </w:p>
        </w:tc>
        <w:tc>
          <w:tcPr>
            <w:tcW w:w="563" w:type="dxa"/>
            <w:tcBorders>
              <w:top w:val="single" w:sz="8" w:space="0" w:color="002D5D"/>
              <w:bottom w:val="single" w:sz="8" w:space="0" w:color="002D5D"/>
            </w:tcBorders>
          </w:tcPr>
          <w:p>
            <w:pPr>
              <w:pStyle w:val="TableParagraph"/>
              <w:spacing w:before="73"/>
              <w:ind w:left="34"/>
              <w:rPr>
                <w:sz w:val="17"/>
              </w:rPr>
            </w:pPr>
            <w:r>
              <w:rPr>
                <w:spacing w:val="-2"/>
                <w:sz w:val="17"/>
              </w:rPr>
              <w:t>90,00</w:t>
            </w:r>
          </w:p>
        </w:tc>
        <w:tc>
          <w:tcPr>
            <w:tcW w:w="1222" w:type="dxa"/>
            <w:tcBorders>
              <w:top w:val="single" w:sz="8" w:space="0" w:color="002D5D"/>
              <w:bottom w:val="single" w:sz="8" w:space="0" w:color="002D5D"/>
            </w:tcBorders>
          </w:tcPr>
          <w:p>
            <w:pPr>
              <w:pStyle w:val="TableParagraph"/>
              <w:spacing w:before="73"/>
              <w:ind w:right="54"/>
              <w:jc w:val="center"/>
              <w:rPr>
                <w:sz w:val="17"/>
              </w:rPr>
            </w:pPr>
            <w:r>
              <w:rPr>
                <w:sz w:val="17"/>
              </w:rPr>
              <w:t>En</w:t>
            </w:r>
            <w:r>
              <w:rPr>
                <w:spacing w:val="-1"/>
                <w:sz w:val="17"/>
              </w:rPr>
              <w:t> </w:t>
            </w:r>
            <w:r>
              <w:rPr>
                <w:spacing w:val="-2"/>
                <w:sz w:val="17"/>
              </w:rPr>
              <w:t>ejecución</w:t>
            </w:r>
          </w:p>
        </w:tc>
      </w:tr>
      <w:tr>
        <w:trPr>
          <w:trHeight w:val="340" w:hRule="atLeast"/>
        </w:trPr>
        <w:tc>
          <w:tcPr>
            <w:tcW w:w="3230" w:type="dxa"/>
            <w:tcBorders>
              <w:top w:val="single" w:sz="8" w:space="0" w:color="002D5D"/>
              <w:bottom w:val="single" w:sz="8" w:space="0" w:color="002D5D"/>
            </w:tcBorders>
          </w:tcPr>
          <w:p>
            <w:pPr>
              <w:pStyle w:val="TableParagraph"/>
              <w:spacing w:before="73"/>
              <w:ind w:left="69"/>
              <w:rPr>
                <w:sz w:val="17"/>
              </w:rPr>
            </w:pPr>
            <w:r>
              <w:rPr>
                <w:sz w:val="17"/>
              </w:rPr>
              <w:t>Proyecto</w:t>
            </w:r>
            <w:r>
              <w:rPr>
                <w:spacing w:val="-5"/>
                <w:sz w:val="17"/>
              </w:rPr>
              <w:t> </w:t>
            </w:r>
            <w:r>
              <w:rPr>
                <w:sz w:val="17"/>
              </w:rPr>
              <w:t>construcción</w:t>
            </w:r>
            <w:r>
              <w:rPr>
                <w:spacing w:val="-5"/>
                <w:sz w:val="17"/>
              </w:rPr>
              <w:t> </w:t>
            </w:r>
            <w:r>
              <w:rPr>
                <w:sz w:val="17"/>
              </w:rPr>
              <w:t>Metro</w:t>
            </w:r>
            <w:r>
              <w:rPr>
                <w:spacing w:val="-4"/>
                <w:sz w:val="17"/>
              </w:rPr>
              <w:t> </w:t>
            </w:r>
            <w:r>
              <w:rPr>
                <w:spacing w:val="-2"/>
                <w:sz w:val="17"/>
              </w:rPr>
              <w:t>ligero</w:t>
            </w:r>
          </w:p>
        </w:tc>
        <w:tc>
          <w:tcPr>
            <w:tcW w:w="1207" w:type="dxa"/>
            <w:tcBorders>
              <w:top w:val="single" w:sz="8" w:space="0" w:color="002D5D"/>
              <w:bottom w:val="single" w:sz="8" w:space="0" w:color="002D5D"/>
            </w:tcBorders>
          </w:tcPr>
          <w:p>
            <w:pPr>
              <w:pStyle w:val="TableParagraph"/>
              <w:spacing w:before="73"/>
              <w:ind w:left="99"/>
              <w:rPr>
                <w:sz w:val="17"/>
              </w:rPr>
            </w:pPr>
            <w:r>
              <w:rPr>
                <w:spacing w:val="-2"/>
                <w:sz w:val="17"/>
              </w:rPr>
              <w:t>Obras</w:t>
            </w:r>
          </w:p>
        </w:tc>
        <w:tc>
          <w:tcPr>
            <w:tcW w:w="1130" w:type="dxa"/>
            <w:tcBorders>
              <w:top w:val="single" w:sz="8" w:space="0" w:color="002D5D"/>
              <w:bottom w:val="single" w:sz="8" w:space="0" w:color="002D5D"/>
            </w:tcBorders>
          </w:tcPr>
          <w:p>
            <w:pPr>
              <w:pStyle w:val="TableParagraph"/>
              <w:spacing w:before="73"/>
              <w:ind w:right="105"/>
              <w:jc w:val="right"/>
              <w:rPr>
                <w:sz w:val="17"/>
              </w:rPr>
            </w:pPr>
            <w:r>
              <w:rPr>
                <w:spacing w:val="-2"/>
                <w:sz w:val="17"/>
              </w:rPr>
              <w:t>18.064.547,25</w:t>
            </w:r>
          </w:p>
        </w:tc>
        <w:tc>
          <w:tcPr>
            <w:tcW w:w="755" w:type="dxa"/>
            <w:tcBorders>
              <w:top w:val="single" w:sz="8" w:space="0" w:color="002D5D"/>
              <w:bottom w:val="single" w:sz="8" w:space="0" w:color="002D5D"/>
            </w:tcBorders>
          </w:tcPr>
          <w:p>
            <w:pPr>
              <w:pStyle w:val="TableParagraph"/>
              <w:spacing w:before="73"/>
              <w:ind w:right="219"/>
              <w:jc w:val="right"/>
              <w:rPr>
                <w:sz w:val="17"/>
              </w:rPr>
            </w:pPr>
            <w:r>
              <w:rPr>
                <w:spacing w:val="-2"/>
                <w:sz w:val="17"/>
              </w:rPr>
              <w:t>18,55</w:t>
            </w:r>
          </w:p>
        </w:tc>
        <w:tc>
          <w:tcPr>
            <w:tcW w:w="1233" w:type="dxa"/>
            <w:tcBorders>
              <w:top w:val="single" w:sz="8" w:space="0" w:color="002D5D"/>
              <w:bottom w:val="single" w:sz="8" w:space="0" w:color="002D5D"/>
            </w:tcBorders>
          </w:tcPr>
          <w:p>
            <w:pPr>
              <w:pStyle w:val="TableParagraph"/>
              <w:spacing w:before="73"/>
              <w:ind w:right="118"/>
              <w:jc w:val="right"/>
              <w:rPr>
                <w:sz w:val="17"/>
              </w:rPr>
            </w:pPr>
            <w:r>
              <w:rPr>
                <w:spacing w:val="-2"/>
                <w:sz w:val="17"/>
              </w:rPr>
              <w:t>3.577.387,19</w:t>
            </w:r>
          </w:p>
        </w:tc>
        <w:tc>
          <w:tcPr>
            <w:tcW w:w="779" w:type="dxa"/>
            <w:tcBorders>
              <w:top w:val="single" w:sz="8" w:space="0" w:color="002D5D"/>
              <w:bottom w:val="single" w:sz="8" w:space="0" w:color="002D5D"/>
            </w:tcBorders>
          </w:tcPr>
          <w:p>
            <w:pPr>
              <w:pStyle w:val="TableParagraph"/>
              <w:spacing w:before="73"/>
              <w:ind w:right="188"/>
              <w:jc w:val="right"/>
              <w:rPr>
                <w:sz w:val="17"/>
              </w:rPr>
            </w:pPr>
            <w:r>
              <w:rPr>
                <w:spacing w:val="-2"/>
                <w:sz w:val="17"/>
              </w:rPr>
              <w:t>19,80</w:t>
            </w:r>
          </w:p>
        </w:tc>
        <w:tc>
          <w:tcPr>
            <w:tcW w:w="1364" w:type="dxa"/>
            <w:tcBorders>
              <w:top w:val="single" w:sz="8" w:space="0" w:color="002D5D"/>
              <w:bottom w:val="single" w:sz="8" w:space="0" w:color="002D5D"/>
            </w:tcBorders>
          </w:tcPr>
          <w:p>
            <w:pPr>
              <w:pStyle w:val="TableParagraph"/>
              <w:spacing w:before="73"/>
              <w:ind w:left="190"/>
              <w:rPr>
                <w:sz w:val="17"/>
              </w:rPr>
            </w:pPr>
            <w:r>
              <w:rPr>
                <w:spacing w:val="-2"/>
                <w:sz w:val="17"/>
              </w:rPr>
              <w:t>14.487.160,06</w:t>
            </w:r>
          </w:p>
        </w:tc>
        <w:tc>
          <w:tcPr>
            <w:tcW w:w="563" w:type="dxa"/>
            <w:tcBorders>
              <w:top w:val="single" w:sz="8" w:space="0" w:color="002D5D"/>
              <w:bottom w:val="single" w:sz="8" w:space="0" w:color="002D5D"/>
            </w:tcBorders>
          </w:tcPr>
          <w:p>
            <w:pPr>
              <w:pStyle w:val="TableParagraph"/>
              <w:spacing w:before="73"/>
              <w:ind w:left="34"/>
              <w:rPr>
                <w:sz w:val="17"/>
              </w:rPr>
            </w:pPr>
            <w:r>
              <w:rPr>
                <w:spacing w:val="-2"/>
                <w:sz w:val="17"/>
              </w:rPr>
              <w:t>80,20</w:t>
            </w:r>
          </w:p>
        </w:tc>
        <w:tc>
          <w:tcPr>
            <w:tcW w:w="1222" w:type="dxa"/>
            <w:tcBorders>
              <w:top w:val="single" w:sz="8" w:space="0" w:color="002D5D"/>
              <w:bottom w:val="single" w:sz="8" w:space="0" w:color="002D5D"/>
            </w:tcBorders>
          </w:tcPr>
          <w:p>
            <w:pPr>
              <w:pStyle w:val="TableParagraph"/>
              <w:spacing w:before="73"/>
              <w:ind w:right="54"/>
              <w:jc w:val="center"/>
              <w:rPr>
                <w:sz w:val="17"/>
              </w:rPr>
            </w:pPr>
            <w:r>
              <w:rPr>
                <w:sz w:val="17"/>
              </w:rPr>
              <w:t>En</w:t>
            </w:r>
            <w:r>
              <w:rPr>
                <w:spacing w:val="-1"/>
                <w:sz w:val="17"/>
              </w:rPr>
              <w:t> </w:t>
            </w:r>
            <w:r>
              <w:rPr>
                <w:spacing w:val="-2"/>
                <w:sz w:val="17"/>
              </w:rPr>
              <w:t>ejecución</w:t>
            </w:r>
          </w:p>
        </w:tc>
      </w:tr>
      <w:tr>
        <w:trPr>
          <w:trHeight w:val="340" w:hRule="atLeast"/>
        </w:trPr>
        <w:tc>
          <w:tcPr>
            <w:tcW w:w="3230" w:type="dxa"/>
            <w:tcBorders>
              <w:top w:val="single" w:sz="8" w:space="0" w:color="002D5D"/>
              <w:bottom w:val="single" w:sz="8" w:space="0" w:color="002D5D"/>
            </w:tcBorders>
          </w:tcPr>
          <w:p>
            <w:pPr>
              <w:pStyle w:val="TableParagraph"/>
              <w:spacing w:before="73"/>
              <w:ind w:left="69"/>
              <w:rPr>
                <w:sz w:val="17"/>
              </w:rPr>
            </w:pPr>
            <w:r>
              <w:rPr>
                <w:sz w:val="17"/>
              </w:rPr>
              <w:t>Sistemas</w:t>
            </w:r>
            <w:r>
              <w:rPr>
                <w:spacing w:val="-4"/>
                <w:sz w:val="17"/>
              </w:rPr>
              <w:t> </w:t>
            </w:r>
            <w:r>
              <w:rPr>
                <w:sz w:val="17"/>
              </w:rPr>
              <w:t>pagos</w:t>
            </w:r>
            <w:r>
              <w:rPr>
                <w:spacing w:val="-2"/>
                <w:sz w:val="17"/>
              </w:rPr>
              <w:t> </w:t>
            </w:r>
            <w:r>
              <w:rPr>
                <w:sz w:val="17"/>
              </w:rPr>
              <w:t>tarjeta</w:t>
            </w:r>
            <w:r>
              <w:rPr>
                <w:spacing w:val="-5"/>
                <w:sz w:val="17"/>
              </w:rPr>
              <w:t> </w:t>
            </w:r>
            <w:r>
              <w:rPr>
                <w:sz w:val="17"/>
              </w:rPr>
              <w:t>bancaria</w:t>
            </w:r>
            <w:r>
              <w:rPr>
                <w:spacing w:val="-3"/>
                <w:sz w:val="17"/>
              </w:rPr>
              <w:t> </w:t>
            </w:r>
            <w:r>
              <w:rPr>
                <w:spacing w:val="-4"/>
                <w:sz w:val="17"/>
              </w:rPr>
              <w:t>pago</w:t>
            </w:r>
          </w:p>
        </w:tc>
        <w:tc>
          <w:tcPr>
            <w:tcW w:w="1207" w:type="dxa"/>
            <w:tcBorders>
              <w:top w:val="single" w:sz="8" w:space="0" w:color="002D5D"/>
              <w:bottom w:val="single" w:sz="8" w:space="0" w:color="002D5D"/>
            </w:tcBorders>
          </w:tcPr>
          <w:p>
            <w:pPr>
              <w:pStyle w:val="TableParagraph"/>
              <w:spacing w:before="73"/>
              <w:ind w:left="99"/>
              <w:rPr>
                <w:sz w:val="17"/>
              </w:rPr>
            </w:pPr>
            <w:r>
              <w:rPr>
                <w:spacing w:val="-2"/>
                <w:sz w:val="17"/>
              </w:rPr>
              <w:t>Digitalización</w:t>
            </w:r>
          </w:p>
        </w:tc>
        <w:tc>
          <w:tcPr>
            <w:tcW w:w="1130" w:type="dxa"/>
            <w:tcBorders>
              <w:top w:val="single" w:sz="8" w:space="0" w:color="002D5D"/>
              <w:bottom w:val="single" w:sz="8" w:space="0" w:color="002D5D"/>
            </w:tcBorders>
          </w:tcPr>
          <w:p>
            <w:pPr>
              <w:pStyle w:val="TableParagraph"/>
              <w:spacing w:before="73"/>
              <w:ind w:right="105"/>
              <w:jc w:val="right"/>
              <w:rPr>
                <w:sz w:val="17"/>
              </w:rPr>
            </w:pPr>
            <w:r>
              <w:rPr>
                <w:spacing w:val="-2"/>
                <w:sz w:val="17"/>
              </w:rPr>
              <w:t>1.436.336,29</w:t>
            </w:r>
          </w:p>
        </w:tc>
        <w:tc>
          <w:tcPr>
            <w:tcW w:w="755" w:type="dxa"/>
            <w:tcBorders>
              <w:top w:val="single" w:sz="8" w:space="0" w:color="002D5D"/>
              <w:bottom w:val="single" w:sz="8" w:space="0" w:color="002D5D"/>
            </w:tcBorders>
          </w:tcPr>
          <w:p>
            <w:pPr>
              <w:pStyle w:val="TableParagraph"/>
              <w:spacing w:before="73"/>
              <w:ind w:right="219"/>
              <w:jc w:val="right"/>
              <w:rPr>
                <w:sz w:val="17"/>
              </w:rPr>
            </w:pPr>
            <w:r>
              <w:rPr>
                <w:spacing w:val="-4"/>
                <w:sz w:val="17"/>
              </w:rPr>
              <w:t>1,47</w:t>
            </w:r>
          </w:p>
        </w:tc>
        <w:tc>
          <w:tcPr>
            <w:tcW w:w="1233" w:type="dxa"/>
            <w:tcBorders>
              <w:top w:val="single" w:sz="8" w:space="0" w:color="002D5D"/>
              <w:bottom w:val="single" w:sz="8" w:space="0" w:color="002D5D"/>
            </w:tcBorders>
          </w:tcPr>
          <w:p>
            <w:pPr>
              <w:pStyle w:val="TableParagraph"/>
              <w:spacing w:before="73"/>
              <w:ind w:right="118"/>
              <w:jc w:val="right"/>
              <w:rPr>
                <w:sz w:val="17"/>
              </w:rPr>
            </w:pPr>
            <w:r>
              <w:rPr>
                <w:spacing w:val="-2"/>
                <w:sz w:val="17"/>
              </w:rPr>
              <w:t>1.436.336,29</w:t>
            </w:r>
          </w:p>
        </w:tc>
        <w:tc>
          <w:tcPr>
            <w:tcW w:w="779" w:type="dxa"/>
            <w:tcBorders>
              <w:top w:val="single" w:sz="8" w:space="0" w:color="002D5D"/>
              <w:bottom w:val="single" w:sz="8" w:space="0" w:color="002D5D"/>
            </w:tcBorders>
          </w:tcPr>
          <w:p>
            <w:pPr>
              <w:pStyle w:val="TableParagraph"/>
              <w:spacing w:before="73"/>
              <w:ind w:left="163"/>
              <w:rPr>
                <w:sz w:val="17"/>
              </w:rPr>
            </w:pPr>
            <w:r>
              <w:rPr>
                <w:spacing w:val="-2"/>
                <w:sz w:val="17"/>
              </w:rPr>
              <w:t>100,00</w:t>
            </w:r>
          </w:p>
        </w:tc>
        <w:tc>
          <w:tcPr>
            <w:tcW w:w="1364" w:type="dxa"/>
            <w:tcBorders>
              <w:top w:val="single" w:sz="8" w:space="0" w:color="002D5D"/>
              <w:bottom w:val="single" w:sz="8" w:space="0" w:color="002D5D"/>
            </w:tcBorders>
          </w:tcPr>
          <w:p>
            <w:pPr>
              <w:pStyle w:val="TableParagraph"/>
              <w:spacing w:before="73"/>
              <w:ind w:left="812"/>
              <w:rPr>
                <w:sz w:val="17"/>
              </w:rPr>
            </w:pPr>
            <w:r>
              <w:rPr>
                <w:spacing w:val="-4"/>
                <w:sz w:val="17"/>
              </w:rPr>
              <w:t>0,00</w:t>
            </w:r>
          </w:p>
        </w:tc>
        <w:tc>
          <w:tcPr>
            <w:tcW w:w="563" w:type="dxa"/>
            <w:tcBorders>
              <w:top w:val="single" w:sz="8" w:space="0" w:color="002D5D"/>
              <w:bottom w:val="single" w:sz="8" w:space="0" w:color="002D5D"/>
            </w:tcBorders>
          </w:tcPr>
          <w:p>
            <w:pPr>
              <w:pStyle w:val="TableParagraph"/>
              <w:spacing w:before="73"/>
              <w:ind w:right="180"/>
              <w:jc w:val="right"/>
              <w:rPr>
                <w:sz w:val="17"/>
              </w:rPr>
            </w:pPr>
            <w:r>
              <w:rPr>
                <w:spacing w:val="-4"/>
                <w:sz w:val="17"/>
              </w:rPr>
              <w:t>0,00</w:t>
            </w:r>
          </w:p>
        </w:tc>
        <w:tc>
          <w:tcPr>
            <w:tcW w:w="1222" w:type="dxa"/>
            <w:tcBorders>
              <w:top w:val="single" w:sz="8" w:space="0" w:color="002D5D"/>
              <w:bottom w:val="single" w:sz="8" w:space="0" w:color="002D5D"/>
            </w:tcBorders>
          </w:tcPr>
          <w:p>
            <w:pPr>
              <w:pStyle w:val="TableParagraph"/>
              <w:spacing w:before="73"/>
              <w:ind w:right="54"/>
              <w:jc w:val="center"/>
              <w:rPr>
                <w:sz w:val="17"/>
              </w:rPr>
            </w:pPr>
            <w:r>
              <w:rPr>
                <w:sz w:val="17"/>
              </w:rPr>
              <w:t>En</w:t>
            </w:r>
            <w:r>
              <w:rPr>
                <w:spacing w:val="-1"/>
                <w:sz w:val="17"/>
              </w:rPr>
              <w:t> </w:t>
            </w:r>
            <w:r>
              <w:rPr>
                <w:spacing w:val="-2"/>
                <w:sz w:val="17"/>
              </w:rPr>
              <w:t>ejecución</w:t>
            </w:r>
          </w:p>
        </w:tc>
      </w:tr>
      <w:tr>
        <w:trPr>
          <w:trHeight w:val="340" w:hRule="atLeast"/>
        </w:trPr>
        <w:tc>
          <w:tcPr>
            <w:tcW w:w="3230" w:type="dxa"/>
            <w:tcBorders>
              <w:top w:val="single" w:sz="8" w:space="0" w:color="002D5D"/>
              <w:bottom w:val="single" w:sz="8" w:space="0" w:color="002D5D"/>
            </w:tcBorders>
          </w:tcPr>
          <w:p>
            <w:pPr>
              <w:pStyle w:val="TableParagraph"/>
              <w:spacing w:before="73"/>
              <w:ind w:left="69"/>
              <w:rPr>
                <w:sz w:val="17"/>
              </w:rPr>
            </w:pPr>
            <w:r>
              <w:rPr>
                <w:sz w:val="17"/>
              </w:rPr>
              <w:t>Acceso</w:t>
            </w:r>
            <w:r>
              <w:rPr>
                <w:spacing w:val="-6"/>
                <w:sz w:val="17"/>
              </w:rPr>
              <w:t> </w:t>
            </w:r>
            <w:r>
              <w:rPr>
                <w:sz w:val="17"/>
              </w:rPr>
              <w:t>internet</w:t>
            </w:r>
            <w:r>
              <w:rPr>
                <w:spacing w:val="-2"/>
                <w:sz w:val="17"/>
              </w:rPr>
              <w:t> </w:t>
            </w:r>
            <w:r>
              <w:rPr>
                <w:sz w:val="17"/>
              </w:rPr>
              <w:t>wifi</w:t>
            </w:r>
            <w:r>
              <w:rPr>
                <w:spacing w:val="-4"/>
                <w:sz w:val="17"/>
              </w:rPr>
              <w:t> </w:t>
            </w:r>
            <w:r>
              <w:rPr>
                <w:spacing w:val="-2"/>
                <w:sz w:val="17"/>
              </w:rPr>
              <w:t>flota</w:t>
            </w:r>
          </w:p>
        </w:tc>
        <w:tc>
          <w:tcPr>
            <w:tcW w:w="1207" w:type="dxa"/>
            <w:tcBorders>
              <w:top w:val="single" w:sz="8" w:space="0" w:color="002D5D"/>
              <w:bottom w:val="single" w:sz="8" w:space="0" w:color="002D5D"/>
            </w:tcBorders>
          </w:tcPr>
          <w:p>
            <w:pPr>
              <w:pStyle w:val="TableParagraph"/>
              <w:spacing w:before="73"/>
              <w:ind w:left="99"/>
              <w:rPr>
                <w:sz w:val="17"/>
              </w:rPr>
            </w:pPr>
            <w:r>
              <w:rPr>
                <w:spacing w:val="-2"/>
                <w:sz w:val="17"/>
              </w:rPr>
              <w:t>Digitalización</w:t>
            </w:r>
          </w:p>
        </w:tc>
        <w:tc>
          <w:tcPr>
            <w:tcW w:w="1130" w:type="dxa"/>
            <w:tcBorders>
              <w:top w:val="single" w:sz="8" w:space="0" w:color="002D5D"/>
              <w:bottom w:val="single" w:sz="8" w:space="0" w:color="002D5D"/>
            </w:tcBorders>
          </w:tcPr>
          <w:p>
            <w:pPr>
              <w:pStyle w:val="TableParagraph"/>
              <w:spacing w:before="73"/>
              <w:ind w:right="105"/>
              <w:jc w:val="right"/>
              <w:rPr>
                <w:sz w:val="17"/>
              </w:rPr>
            </w:pPr>
            <w:r>
              <w:rPr>
                <w:spacing w:val="-2"/>
                <w:sz w:val="17"/>
              </w:rPr>
              <w:t>50.354,69</w:t>
            </w:r>
          </w:p>
        </w:tc>
        <w:tc>
          <w:tcPr>
            <w:tcW w:w="755" w:type="dxa"/>
            <w:tcBorders>
              <w:top w:val="single" w:sz="8" w:space="0" w:color="002D5D"/>
              <w:bottom w:val="single" w:sz="8" w:space="0" w:color="002D5D"/>
            </w:tcBorders>
          </w:tcPr>
          <w:p>
            <w:pPr>
              <w:pStyle w:val="TableParagraph"/>
              <w:spacing w:before="73"/>
              <w:ind w:right="219"/>
              <w:jc w:val="right"/>
              <w:rPr>
                <w:sz w:val="17"/>
              </w:rPr>
            </w:pPr>
            <w:r>
              <w:rPr>
                <w:spacing w:val="-4"/>
                <w:sz w:val="17"/>
              </w:rPr>
              <w:t>0,05</w:t>
            </w:r>
          </w:p>
        </w:tc>
        <w:tc>
          <w:tcPr>
            <w:tcW w:w="1233" w:type="dxa"/>
            <w:tcBorders>
              <w:top w:val="single" w:sz="8" w:space="0" w:color="002D5D"/>
              <w:bottom w:val="single" w:sz="8" w:space="0" w:color="002D5D"/>
            </w:tcBorders>
          </w:tcPr>
          <w:p>
            <w:pPr>
              <w:pStyle w:val="TableParagraph"/>
              <w:spacing w:before="73"/>
              <w:ind w:right="117"/>
              <w:jc w:val="right"/>
              <w:rPr>
                <w:sz w:val="17"/>
              </w:rPr>
            </w:pPr>
            <w:r>
              <w:rPr>
                <w:spacing w:val="-2"/>
                <w:sz w:val="17"/>
              </w:rPr>
              <w:t>50.354,69</w:t>
            </w:r>
          </w:p>
        </w:tc>
        <w:tc>
          <w:tcPr>
            <w:tcW w:w="779" w:type="dxa"/>
            <w:tcBorders>
              <w:top w:val="single" w:sz="8" w:space="0" w:color="002D5D"/>
              <w:bottom w:val="single" w:sz="8" w:space="0" w:color="002D5D"/>
            </w:tcBorders>
          </w:tcPr>
          <w:p>
            <w:pPr>
              <w:pStyle w:val="TableParagraph"/>
              <w:spacing w:before="73"/>
              <w:ind w:left="163"/>
              <w:rPr>
                <w:sz w:val="17"/>
              </w:rPr>
            </w:pPr>
            <w:r>
              <w:rPr>
                <w:spacing w:val="-2"/>
                <w:sz w:val="17"/>
              </w:rPr>
              <w:t>100,00</w:t>
            </w:r>
          </w:p>
        </w:tc>
        <w:tc>
          <w:tcPr>
            <w:tcW w:w="1364" w:type="dxa"/>
            <w:tcBorders>
              <w:top w:val="single" w:sz="8" w:space="0" w:color="002D5D"/>
              <w:bottom w:val="single" w:sz="8" w:space="0" w:color="002D5D"/>
            </w:tcBorders>
          </w:tcPr>
          <w:p>
            <w:pPr>
              <w:pStyle w:val="TableParagraph"/>
              <w:spacing w:before="73"/>
              <w:ind w:left="812"/>
              <w:rPr>
                <w:sz w:val="17"/>
              </w:rPr>
            </w:pPr>
            <w:r>
              <w:rPr>
                <w:spacing w:val="-4"/>
                <w:sz w:val="17"/>
              </w:rPr>
              <w:t>0,00</w:t>
            </w:r>
          </w:p>
        </w:tc>
        <w:tc>
          <w:tcPr>
            <w:tcW w:w="563" w:type="dxa"/>
            <w:tcBorders>
              <w:top w:val="single" w:sz="8" w:space="0" w:color="002D5D"/>
              <w:bottom w:val="single" w:sz="8" w:space="0" w:color="002D5D"/>
            </w:tcBorders>
          </w:tcPr>
          <w:p>
            <w:pPr>
              <w:pStyle w:val="TableParagraph"/>
              <w:spacing w:before="73"/>
              <w:ind w:right="180"/>
              <w:jc w:val="right"/>
              <w:rPr>
                <w:sz w:val="17"/>
              </w:rPr>
            </w:pPr>
            <w:r>
              <w:rPr>
                <w:spacing w:val="-4"/>
                <w:sz w:val="17"/>
              </w:rPr>
              <w:t>0,00</w:t>
            </w:r>
          </w:p>
        </w:tc>
        <w:tc>
          <w:tcPr>
            <w:tcW w:w="1222" w:type="dxa"/>
            <w:tcBorders>
              <w:top w:val="single" w:sz="8" w:space="0" w:color="002D5D"/>
              <w:bottom w:val="single" w:sz="8" w:space="0" w:color="002D5D"/>
            </w:tcBorders>
          </w:tcPr>
          <w:p>
            <w:pPr>
              <w:pStyle w:val="TableParagraph"/>
              <w:spacing w:before="73"/>
              <w:ind w:right="54"/>
              <w:jc w:val="center"/>
              <w:rPr>
                <w:sz w:val="17"/>
              </w:rPr>
            </w:pPr>
            <w:r>
              <w:rPr>
                <w:sz w:val="17"/>
              </w:rPr>
              <w:t>En</w:t>
            </w:r>
            <w:r>
              <w:rPr>
                <w:spacing w:val="-1"/>
                <w:sz w:val="17"/>
              </w:rPr>
              <w:t> </w:t>
            </w:r>
            <w:r>
              <w:rPr>
                <w:spacing w:val="-2"/>
                <w:sz w:val="17"/>
              </w:rPr>
              <w:t>ejecución</w:t>
            </w:r>
          </w:p>
        </w:tc>
      </w:tr>
      <w:tr>
        <w:trPr>
          <w:trHeight w:val="390" w:hRule="atLeast"/>
        </w:trPr>
        <w:tc>
          <w:tcPr>
            <w:tcW w:w="3230" w:type="dxa"/>
            <w:tcBorders>
              <w:top w:val="single" w:sz="8" w:space="0" w:color="002D5D"/>
              <w:bottom w:val="single" w:sz="8" w:space="0" w:color="002D5D"/>
            </w:tcBorders>
          </w:tcPr>
          <w:p>
            <w:pPr>
              <w:pStyle w:val="TableParagraph"/>
              <w:spacing w:line="194" w:lineRule="exact"/>
              <w:ind w:left="69"/>
              <w:rPr>
                <w:sz w:val="17"/>
              </w:rPr>
            </w:pPr>
            <w:r>
              <w:rPr>
                <w:sz w:val="17"/>
              </w:rPr>
              <w:t>Campañas</w:t>
            </w:r>
            <w:r>
              <w:rPr>
                <w:spacing w:val="-8"/>
                <w:sz w:val="17"/>
              </w:rPr>
              <w:t> </w:t>
            </w:r>
            <w:r>
              <w:rPr>
                <w:sz w:val="17"/>
              </w:rPr>
              <w:t>de</w:t>
            </w:r>
            <w:r>
              <w:rPr>
                <w:spacing w:val="-8"/>
                <w:sz w:val="17"/>
              </w:rPr>
              <w:t> </w:t>
            </w:r>
            <w:r>
              <w:rPr>
                <w:sz w:val="17"/>
              </w:rPr>
              <w:t>difusión</w:t>
            </w:r>
            <w:r>
              <w:rPr>
                <w:spacing w:val="-7"/>
                <w:sz w:val="17"/>
              </w:rPr>
              <w:t> </w:t>
            </w:r>
            <w:r>
              <w:rPr>
                <w:sz w:val="17"/>
              </w:rPr>
              <w:t>para</w:t>
            </w:r>
            <w:r>
              <w:rPr>
                <w:spacing w:val="-6"/>
                <w:sz w:val="17"/>
              </w:rPr>
              <w:t> </w:t>
            </w:r>
            <w:r>
              <w:rPr>
                <w:sz w:val="17"/>
              </w:rPr>
              <w:t>el</w:t>
            </w:r>
            <w:r>
              <w:rPr>
                <w:spacing w:val="-7"/>
                <w:sz w:val="17"/>
              </w:rPr>
              <w:t> </w:t>
            </w:r>
            <w:r>
              <w:rPr>
                <w:sz w:val="17"/>
              </w:rPr>
              <w:t>fomento</w:t>
            </w:r>
            <w:r>
              <w:rPr>
                <w:spacing w:val="-7"/>
                <w:sz w:val="17"/>
              </w:rPr>
              <w:t> </w:t>
            </w:r>
            <w:r>
              <w:rPr>
                <w:sz w:val="17"/>
              </w:rPr>
              <w:t>del</w:t>
            </w:r>
            <w:r>
              <w:rPr>
                <w:spacing w:val="40"/>
                <w:sz w:val="17"/>
              </w:rPr>
              <w:t> </w:t>
            </w:r>
            <w:r>
              <w:rPr>
                <w:sz w:val="17"/>
              </w:rPr>
              <w:t>transporte</w:t>
            </w:r>
            <w:r>
              <w:rPr>
                <w:spacing w:val="-4"/>
                <w:sz w:val="17"/>
              </w:rPr>
              <w:t> </w:t>
            </w:r>
            <w:r>
              <w:rPr>
                <w:sz w:val="17"/>
              </w:rPr>
              <w:t>público.</w:t>
            </w:r>
          </w:p>
        </w:tc>
        <w:tc>
          <w:tcPr>
            <w:tcW w:w="1207" w:type="dxa"/>
            <w:tcBorders>
              <w:top w:val="single" w:sz="8" w:space="0" w:color="002D5D"/>
              <w:bottom w:val="single" w:sz="8" w:space="0" w:color="002D5D"/>
            </w:tcBorders>
          </w:tcPr>
          <w:p>
            <w:pPr>
              <w:pStyle w:val="TableParagraph"/>
              <w:spacing w:line="194" w:lineRule="exact"/>
              <w:ind w:left="99" w:right="261"/>
              <w:rPr>
                <w:sz w:val="17"/>
              </w:rPr>
            </w:pPr>
            <w:r>
              <w:rPr>
                <w:sz w:val="17"/>
              </w:rPr>
              <w:t>Información</w:t>
            </w:r>
            <w:r>
              <w:rPr>
                <w:spacing w:val="-10"/>
                <w:sz w:val="17"/>
              </w:rPr>
              <w:t> </w:t>
            </w:r>
            <w:r>
              <w:rPr>
                <w:sz w:val="17"/>
              </w:rPr>
              <w:t>y</w:t>
            </w:r>
            <w:r>
              <w:rPr>
                <w:spacing w:val="40"/>
                <w:sz w:val="17"/>
              </w:rPr>
              <w:t> </w:t>
            </w:r>
            <w:r>
              <w:rPr>
                <w:spacing w:val="-2"/>
                <w:sz w:val="17"/>
              </w:rPr>
              <w:t>difusión</w:t>
            </w:r>
          </w:p>
        </w:tc>
        <w:tc>
          <w:tcPr>
            <w:tcW w:w="1130" w:type="dxa"/>
            <w:tcBorders>
              <w:top w:val="single" w:sz="8" w:space="0" w:color="002D5D"/>
              <w:bottom w:val="single" w:sz="8" w:space="0" w:color="002D5D"/>
            </w:tcBorders>
          </w:tcPr>
          <w:p>
            <w:pPr>
              <w:pStyle w:val="TableParagraph"/>
              <w:spacing w:before="97"/>
              <w:ind w:right="105"/>
              <w:jc w:val="right"/>
              <w:rPr>
                <w:sz w:val="17"/>
              </w:rPr>
            </w:pPr>
            <w:r>
              <w:rPr>
                <w:spacing w:val="-2"/>
                <w:sz w:val="17"/>
              </w:rPr>
              <w:t>1.198.450,00</w:t>
            </w:r>
          </w:p>
        </w:tc>
        <w:tc>
          <w:tcPr>
            <w:tcW w:w="755" w:type="dxa"/>
            <w:tcBorders>
              <w:top w:val="single" w:sz="8" w:space="0" w:color="002D5D"/>
              <w:bottom w:val="single" w:sz="8" w:space="0" w:color="002D5D"/>
            </w:tcBorders>
          </w:tcPr>
          <w:p>
            <w:pPr>
              <w:pStyle w:val="TableParagraph"/>
              <w:spacing w:before="97"/>
              <w:ind w:right="219"/>
              <w:jc w:val="right"/>
              <w:rPr>
                <w:sz w:val="17"/>
              </w:rPr>
            </w:pPr>
            <w:r>
              <w:rPr>
                <w:spacing w:val="-4"/>
                <w:sz w:val="17"/>
              </w:rPr>
              <w:t>1,23</w:t>
            </w:r>
          </w:p>
        </w:tc>
        <w:tc>
          <w:tcPr>
            <w:tcW w:w="1233" w:type="dxa"/>
            <w:tcBorders>
              <w:top w:val="single" w:sz="8" w:space="0" w:color="002D5D"/>
              <w:bottom w:val="single" w:sz="8" w:space="0" w:color="002D5D"/>
            </w:tcBorders>
          </w:tcPr>
          <w:p>
            <w:pPr>
              <w:pStyle w:val="TableParagraph"/>
              <w:spacing w:before="97"/>
              <w:ind w:right="118"/>
              <w:jc w:val="right"/>
              <w:rPr>
                <w:sz w:val="17"/>
              </w:rPr>
            </w:pPr>
            <w:r>
              <w:rPr>
                <w:spacing w:val="-2"/>
                <w:sz w:val="17"/>
              </w:rPr>
              <w:t>1.198.450,00</w:t>
            </w:r>
          </w:p>
        </w:tc>
        <w:tc>
          <w:tcPr>
            <w:tcW w:w="779" w:type="dxa"/>
            <w:tcBorders>
              <w:top w:val="single" w:sz="8" w:space="0" w:color="002D5D"/>
              <w:bottom w:val="single" w:sz="8" w:space="0" w:color="002D5D"/>
            </w:tcBorders>
          </w:tcPr>
          <w:p>
            <w:pPr>
              <w:pStyle w:val="TableParagraph"/>
              <w:spacing w:before="97"/>
              <w:ind w:left="163"/>
              <w:rPr>
                <w:sz w:val="17"/>
              </w:rPr>
            </w:pPr>
            <w:r>
              <w:rPr>
                <w:spacing w:val="-2"/>
                <w:sz w:val="17"/>
              </w:rPr>
              <w:t>100,00</w:t>
            </w:r>
          </w:p>
        </w:tc>
        <w:tc>
          <w:tcPr>
            <w:tcW w:w="1364" w:type="dxa"/>
            <w:tcBorders>
              <w:top w:val="single" w:sz="8" w:space="0" w:color="002D5D"/>
              <w:bottom w:val="single" w:sz="8" w:space="0" w:color="002D5D"/>
            </w:tcBorders>
          </w:tcPr>
          <w:p>
            <w:pPr>
              <w:pStyle w:val="TableParagraph"/>
              <w:spacing w:before="97"/>
              <w:ind w:left="812"/>
              <w:rPr>
                <w:sz w:val="17"/>
              </w:rPr>
            </w:pPr>
            <w:r>
              <w:rPr>
                <w:spacing w:val="-4"/>
                <w:sz w:val="17"/>
              </w:rPr>
              <w:t>0,00</w:t>
            </w:r>
          </w:p>
        </w:tc>
        <w:tc>
          <w:tcPr>
            <w:tcW w:w="563" w:type="dxa"/>
            <w:tcBorders>
              <w:top w:val="single" w:sz="8" w:space="0" w:color="002D5D"/>
              <w:bottom w:val="single" w:sz="8" w:space="0" w:color="002D5D"/>
            </w:tcBorders>
          </w:tcPr>
          <w:p>
            <w:pPr>
              <w:pStyle w:val="TableParagraph"/>
              <w:spacing w:before="97"/>
              <w:ind w:right="180"/>
              <w:jc w:val="right"/>
              <w:rPr>
                <w:sz w:val="17"/>
              </w:rPr>
            </w:pPr>
            <w:r>
              <w:rPr>
                <w:spacing w:val="-4"/>
                <w:sz w:val="17"/>
              </w:rPr>
              <w:t>0,00</w:t>
            </w:r>
          </w:p>
        </w:tc>
        <w:tc>
          <w:tcPr>
            <w:tcW w:w="1222" w:type="dxa"/>
            <w:tcBorders>
              <w:top w:val="single" w:sz="8" w:space="0" w:color="002D5D"/>
              <w:bottom w:val="single" w:sz="8" w:space="0" w:color="002D5D"/>
            </w:tcBorders>
          </w:tcPr>
          <w:p>
            <w:pPr>
              <w:pStyle w:val="TableParagraph"/>
              <w:spacing w:before="97"/>
              <w:ind w:right="54"/>
              <w:jc w:val="center"/>
              <w:rPr>
                <w:sz w:val="17"/>
              </w:rPr>
            </w:pPr>
            <w:r>
              <w:rPr>
                <w:spacing w:val="-2"/>
                <w:sz w:val="17"/>
              </w:rPr>
              <w:t>Finalizada</w:t>
            </w:r>
          </w:p>
        </w:tc>
      </w:tr>
      <w:tr>
        <w:trPr>
          <w:trHeight w:val="390" w:hRule="atLeast"/>
        </w:trPr>
        <w:tc>
          <w:tcPr>
            <w:tcW w:w="3230" w:type="dxa"/>
            <w:tcBorders>
              <w:top w:val="single" w:sz="8" w:space="0" w:color="002D5D"/>
              <w:bottom w:val="single" w:sz="8" w:space="0" w:color="002D5D"/>
            </w:tcBorders>
          </w:tcPr>
          <w:p>
            <w:pPr>
              <w:pStyle w:val="TableParagraph"/>
              <w:spacing w:before="97"/>
              <w:ind w:left="69"/>
              <w:rPr>
                <w:sz w:val="17"/>
              </w:rPr>
            </w:pPr>
            <w:r>
              <w:rPr>
                <w:sz w:val="17"/>
              </w:rPr>
              <w:t>Creación</w:t>
            </w:r>
            <w:r>
              <w:rPr>
                <w:spacing w:val="-5"/>
                <w:sz w:val="17"/>
              </w:rPr>
              <w:t> </w:t>
            </w:r>
            <w:r>
              <w:rPr>
                <w:sz w:val="17"/>
              </w:rPr>
              <w:t>línea</w:t>
            </w:r>
            <w:r>
              <w:rPr>
                <w:spacing w:val="-5"/>
                <w:sz w:val="17"/>
              </w:rPr>
              <w:t> </w:t>
            </w:r>
            <w:r>
              <w:rPr>
                <w:sz w:val="17"/>
              </w:rPr>
              <w:t>gratuita</w:t>
            </w:r>
            <w:r>
              <w:rPr>
                <w:spacing w:val="-2"/>
                <w:sz w:val="17"/>
              </w:rPr>
              <w:t> </w:t>
            </w:r>
            <w:r>
              <w:rPr>
                <w:spacing w:val="-5"/>
                <w:sz w:val="17"/>
              </w:rPr>
              <w:t>900</w:t>
            </w:r>
          </w:p>
        </w:tc>
        <w:tc>
          <w:tcPr>
            <w:tcW w:w="1207" w:type="dxa"/>
            <w:tcBorders>
              <w:top w:val="single" w:sz="8" w:space="0" w:color="002D5D"/>
              <w:bottom w:val="single" w:sz="8" w:space="0" w:color="002D5D"/>
            </w:tcBorders>
          </w:tcPr>
          <w:p>
            <w:pPr>
              <w:pStyle w:val="TableParagraph"/>
              <w:spacing w:line="194" w:lineRule="exact"/>
              <w:ind w:left="99" w:right="261"/>
              <w:rPr>
                <w:sz w:val="17"/>
              </w:rPr>
            </w:pPr>
            <w:r>
              <w:rPr>
                <w:sz w:val="17"/>
              </w:rPr>
              <w:t>Información</w:t>
            </w:r>
            <w:r>
              <w:rPr>
                <w:spacing w:val="-10"/>
                <w:sz w:val="17"/>
              </w:rPr>
              <w:t> </w:t>
            </w:r>
            <w:r>
              <w:rPr>
                <w:sz w:val="17"/>
              </w:rPr>
              <w:t>y</w:t>
            </w:r>
            <w:r>
              <w:rPr>
                <w:spacing w:val="40"/>
                <w:sz w:val="17"/>
              </w:rPr>
              <w:t> </w:t>
            </w:r>
            <w:r>
              <w:rPr>
                <w:spacing w:val="-2"/>
                <w:sz w:val="17"/>
              </w:rPr>
              <w:t>difusión</w:t>
            </w:r>
          </w:p>
        </w:tc>
        <w:tc>
          <w:tcPr>
            <w:tcW w:w="1130" w:type="dxa"/>
            <w:tcBorders>
              <w:top w:val="single" w:sz="8" w:space="0" w:color="002D5D"/>
              <w:bottom w:val="single" w:sz="8" w:space="0" w:color="002D5D"/>
            </w:tcBorders>
          </w:tcPr>
          <w:p>
            <w:pPr>
              <w:pStyle w:val="TableParagraph"/>
              <w:spacing w:before="97"/>
              <w:ind w:right="105"/>
              <w:jc w:val="right"/>
              <w:rPr>
                <w:sz w:val="17"/>
              </w:rPr>
            </w:pPr>
            <w:r>
              <w:rPr>
                <w:spacing w:val="-2"/>
                <w:sz w:val="17"/>
              </w:rPr>
              <w:t>23.625,00</w:t>
            </w:r>
          </w:p>
        </w:tc>
        <w:tc>
          <w:tcPr>
            <w:tcW w:w="755" w:type="dxa"/>
            <w:tcBorders>
              <w:top w:val="single" w:sz="8" w:space="0" w:color="002D5D"/>
              <w:bottom w:val="single" w:sz="8" w:space="0" w:color="002D5D"/>
            </w:tcBorders>
          </w:tcPr>
          <w:p>
            <w:pPr>
              <w:pStyle w:val="TableParagraph"/>
              <w:spacing w:before="97"/>
              <w:ind w:right="219"/>
              <w:jc w:val="right"/>
              <w:rPr>
                <w:sz w:val="17"/>
              </w:rPr>
            </w:pPr>
            <w:r>
              <w:rPr>
                <w:spacing w:val="-4"/>
                <w:sz w:val="17"/>
              </w:rPr>
              <w:t>0,02</w:t>
            </w:r>
          </w:p>
        </w:tc>
        <w:tc>
          <w:tcPr>
            <w:tcW w:w="1233" w:type="dxa"/>
            <w:tcBorders>
              <w:top w:val="single" w:sz="8" w:space="0" w:color="002D5D"/>
              <w:bottom w:val="single" w:sz="8" w:space="0" w:color="002D5D"/>
            </w:tcBorders>
          </w:tcPr>
          <w:p>
            <w:pPr>
              <w:pStyle w:val="TableParagraph"/>
              <w:spacing w:before="97"/>
              <w:ind w:right="117"/>
              <w:jc w:val="right"/>
              <w:rPr>
                <w:sz w:val="17"/>
              </w:rPr>
            </w:pPr>
            <w:r>
              <w:rPr>
                <w:spacing w:val="-2"/>
                <w:sz w:val="17"/>
              </w:rPr>
              <w:t>23.625,00</w:t>
            </w:r>
          </w:p>
        </w:tc>
        <w:tc>
          <w:tcPr>
            <w:tcW w:w="779" w:type="dxa"/>
            <w:tcBorders>
              <w:top w:val="single" w:sz="8" w:space="0" w:color="002D5D"/>
              <w:bottom w:val="single" w:sz="8" w:space="0" w:color="002D5D"/>
            </w:tcBorders>
          </w:tcPr>
          <w:p>
            <w:pPr>
              <w:pStyle w:val="TableParagraph"/>
              <w:spacing w:before="97"/>
              <w:ind w:left="163"/>
              <w:rPr>
                <w:sz w:val="17"/>
              </w:rPr>
            </w:pPr>
            <w:r>
              <w:rPr>
                <w:spacing w:val="-2"/>
                <w:sz w:val="17"/>
              </w:rPr>
              <w:t>100,00</w:t>
            </w:r>
          </w:p>
        </w:tc>
        <w:tc>
          <w:tcPr>
            <w:tcW w:w="1364" w:type="dxa"/>
            <w:tcBorders>
              <w:top w:val="single" w:sz="8" w:space="0" w:color="002D5D"/>
              <w:bottom w:val="single" w:sz="8" w:space="0" w:color="002D5D"/>
            </w:tcBorders>
          </w:tcPr>
          <w:p>
            <w:pPr>
              <w:pStyle w:val="TableParagraph"/>
              <w:spacing w:before="97"/>
              <w:ind w:left="812"/>
              <w:rPr>
                <w:sz w:val="17"/>
              </w:rPr>
            </w:pPr>
            <w:r>
              <w:rPr>
                <w:spacing w:val="-4"/>
                <w:sz w:val="17"/>
              </w:rPr>
              <w:t>0,00</w:t>
            </w:r>
          </w:p>
        </w:tc>
        <w:tc>
          <w:tcPr>
            <w:tcW w:w="563" w:type="dxa"/>
            <w:tcBorders>
              <w:top w:val="single" w:sz="8" w:space="0" w:color="002D5D"/>
              <w:bottom w:val="single" w:sz="8" w:space="0" w:color="002D5D"/>
            </w:tcBorders>
          </w:tcPr>
          <w:p>
            <w:pPr>
              <w:pStyle w:val="TableParagraph"/>
              <w:spacing w:before="97"/>
              <w:ind w:right="180"/>
              <w:jc w:val="right"/>
              <w:rPr>
                <w:sz w:val="17"/>
              </w:rPr>
            </w:pPr>
            <w:r>
              <w:rPr>
                <w:spacing w:val="-4"/>
                <w:sz w:val="17"/>
              </w:rPr>
              <w:t>0,00</w:t>
            </w:r>
          </w:p>
        </w:tc>
        <w:tc>
          <w:tcPr>
            <w:tcW w:w="1222" w:type="dxa"/>
            <w:tcBorders>
              <w:top w:val="single" w:sz="8" w:space="0" w:color="002D5D"/>
              <w:bottom w:val="single" w:sz="8" w:space="0" w:color="002D5D"/>
            </w:tcBorders>
          </w:tcPr>
          <w:p>
            <w:pPr>
              <w:pStyle w:val="TableParagraph"/>
              <w:spacing w:before="97"/>
              <w:ind w:right="54"/>
              <w:jc w:val="center"/>
              <w:rPr>
                <w:sz w:val="17"/>
              </w:rPr>
            </w:pPr>
            <w:r>
              <w:rPr>
                <w:sz w:val="17"/>
              </w:rPr>
              <w:t>En</w:t>
            </w:r>
            <w:r>
              <w:rPr>
                <w:spacing w:val="-1"/>
                <w:sz w:val="17"/>
              </w:rPr>
              <w:t> </w:t>
            </w:r>
            <w:r>
              <w:rPr>
                <w:spacing w:val="-2"/>
                <w:sz w:val="17"/>
              </w:rPr>
              <w:t>ejecución</w:t>
            </w:r>
          </w:p>
        </w:tc>
      </w:tr>
      <w:tr>
        <w:trPr>
          <w:trHeight w:val="383" w:hRule="atLeast"/>
        </w:trPr>
        <w:tc>
          <w:tcPr>
            <w:tcW w:w="3230" w:type="dxa"/>
            <w:tcBorders>
              <w:top w:val="single" w:sz="8" w:space="0" w:color="002D5D"/>
              <w:bottom w:val="single" w:sz="8" w:space="0" w:color="002D5D"/>
            </w:tcBorders>
          </w:tcPr>
          <w:p>
            <w:pPr>
              <w:pStyle w:val="TableParagraph"/>
              <w:spacing w:before="97"/>
              <w:ind w:left="69"/>
              <w:rPr>
                <w:sz w:val="17"/>
              </w:rPr>
            </w:pPr>
            <w:r>
              <w:rPr>
                <w:sz w:val="17"/>
              </w:rPr>
              <w:t>Gestor</w:t>
            </w:r>
            <w:r>
              <w:rPr>
                <w:spacing w:val="-3"/>
                <w:sz w:val="17"/>
              </w:rPr>
              <w:t> </w:t>
            </w:r>
            <w:r>
              <w:rPr>
                <w:sz w:val="17"/>
              </w:rPr>
              <w:t>integral</w:t>
            </w:r>
            <w:r>
              <w:rPr>
                <w:spacing w:val="-3"/>
                <w:sz w:val="17"/>
              </w:rPr>
              <w:t> </w:t>
            </w:r>
            <w:r>
              <w:rPr>
                <w:sz w:val="17"/>
              </w:rPr>
              <w:t>de</w:t>
            </w:r>
            <w:r>
              <w:rPr>
                <w:spacing w:val="-4"/>
                <w:sz w:val="17"/>
              </w:rPr>
              <w:t> </w:t>
            </w:r>
            <w:r>
              <w:rPr>
                <w:sz w:val="17"/>
              </w:rPr>
              <w:t>residuos</w:t>
            </w:r>
            <w:r>
              <w:rPr>
                <w:spacing w:val="-4"/>
                <w:sz w:val="17"/>
              </w:rPr>
              <w:t> </w:t>
            </w:r>
            <w:r>
              <w:rPr>
                <w:sz w:val="17"/>
              </w:rPr>
              <w:t>peligrosos </w:t>
            </w:r>
            <w:r>
              <w:rPr>
                <w:spacing w:val="-2"/>
                <w:sz w:val="17"/>
              </w:rPr>
              <w:t>TUSSAM</w:t>
            </w:r>
          </w:p>
        </w:tc>
        <w:tc>
          <w:tcPr>
            <w:tcW w:w="1207" w:type="dxa"/>
            <w:tcBorders>
              <w:top w:val="single" w:sz="8" w:space="0" w:color="002D5D"/>
              <w:bottom w:val="single" w:sz="8" w:space="0" w:color="002D5D"/>
            </w:tcBorders>
          </w:tcPr>
          <w:p>
            <w:pPr>
              <w:pStyle w:val="TableParagraph"/>
              <w:spacing w:before="97"/>
              <w:ind w:left="99"/>
              <w:rPr>
                <w:sz w:val="17"/>
              </w:rPr>
            </w:pPr>
            <w:r>
              <w:rPr>
                <w:spacing w:val="-2"/>
                <w:sz w:val="17"/>
              </w:rPr>
              <w:t>Otras</w:t>
            </w:r>
          </w:p>
        </w:tc>
        <w:tc>
          <w:tcPr>
            <w:tcW w:w="1130" w:type="dxa"/>
            <w:tcBorders>
              <w:top w:val="single" w:sz="8" w:space="0" w:color="002D5D"/>
              <w:bottom w:val="single" w:sz="8" w:space="0" w:color="002D5D"/>
            </w:tcBorders>
          </w:tcPr>
          <w:p>
            <w:pPr>
              <w:pStyle w:val="TableParagraph"/>
              <w:spacing w:before="97"/>
              <w:ind w:right="105"/>
              <w:jc w:val="right"/>
              <w:rPr>
                <w:sz w:val="17"/>
              </w:rPr>
            </w:pPr>
            <w:r>
              <w:rPr>
                <w:spacing w:val="-2"/>
                <w:sz w:val="17"/>
              </w:rPr>
              <w:t>30.000,00</w:t>
            </w:r>
          </w:p>
        </w:tc>
        <w:tc>
          <w:tcPr>
            <w:tcW w:w="755" w:type="dxa"/>
            <w:tcBorders>
              <w:top w:val="single" w:sz="8" w:space="0" w:color="002D5D"/>
              <w:bottom w:val="single" w:sz="8" w:space="0" w:color="002D5D"/>
            </w:tcBorders>
          </w:tcPr>
          <w:p>
            <w:pPr>
              <w:pStyle w:val="TableParagraph"/>
              <w:spacing w:before="97"/>
              <w:ind w:right="219"/>
              <w:jc w:val="right"/>
              <w:rPr>
                <w:sz w:val="17"/>
              </w:rPr>
            </w:pPr>
            <w:r>
              <w:rPr>
                <w:spacing w:val="-4"/>
                <w:sz w:val="17"/>
              </w:rPr>
              <w:t>0,03</w:t>
            </w:r>
          </w:p>
        </w:tc>
        <w:tc>
          <w:tcPr>
            <w:tcW w:w="1233" w:type="dxa"/>
            <w:tcBorders>
              <w:top w:val="single" w:sz="8" w:space="0" w:color="002D5D"/>
              <w:bottom w:val="single" w:sz="8" w:space="0" w:color="002D5D"/>
            </w:tcBorders>
          </w:tcPr>
          <w:p>
            <w:pPr>
              <w:pStyle w:val="TableParagraph"/>
              <w:spacing w:before="97"/>
              <w:ind w:right="117"/>
              <w:jc w:val="right"/>
              <w:rPr>
                <w:sz w:val="17"/>
              </w:rPr>
            </w:pPr>
            <w:r>
              <w:rPr>
                <w:spacing w:val="-2"/>
                <w:sz w:val="17"/>
              </w:rPr>
              <w:t>30.000,00</w:t>
            </w:r>
          </w:p>
        </w:tc>
        <w:tc>
          <w:tcPr>
            <w:tcW w:w="779" w:type="dxa"/>
            <w:tcBorders>
              <w:top w:val="single" w:sz="8" w:space="0" w:color="002D5D"/>
              <w:bottom w:val="single" w:sz="8" w:space="0" w:color="002D5D"/>
            </w:tcBorders>
          </w:tcPr>
          <w:p>
            <w:pPr>
              <w:pStyle w:val="TableParagraph"/>
              <w:spacing w:before="97"/>
              <w:ind w:left="163"/>
              <w:rPr>
                <w:sz w:val="17"/>
              </w:rPr>
            </w:pPr>
            <w:r>
              <w:rPr>
                <w:spacing w:val="-2"/>
                <w:sz w:val="17"/>
              </w:rPr>
              <w:t>100,00</w:t>
            </w:r>
          </w:p>
        </w:tc>
        <w:tc>
          <w:tcPr>
            <w:tcW w:w="1364" w:type="dxa"/>
            <w:tcBorders>
              <w:top w:val="single" w:sz="8" w:space="0" w:color="002D5D"/>
              <w:bottom w:val="single" w:sz="8" w:space="0" w:color="002D5D"/>
            </w:tcBorders>
          </w:tcPr>
          <w:p>
            <w:pPr>
              <w:pStyle w:val="TableParagraph"/>
              <w:spacing w:before="97"/>
              <w:ind w:left="812"/>
              <w:rPr>
                <w:sz w:val="17"/>
              </w:rPr>
            </w:pPr>
            <w:r>
              <w:rPr>
                <w:spacing w:val="-4"/>
                <w:sz w:val="17"/>
              </w:rPr>
              <w:t>0,00</w:t>
            </w:r>
          </w:p>
        </w:tc>
        <w:tc>
          <w:tcPr>
            <w:tcW w:w="563" w:type="dxa"/>
            <w:tcBorders>
              <w:top w:val="single" w:sz="8" w:space="0" w:color="002D5D"/>
              <w:bottom w:val="single" w:sz="8" w:space="0" w:color="002D5D"/>
            </w:tcBorders>
          </w:tcPr>
          <w:p>
            <w:pPr>
              <w:pStyle w:val="TableParagraph"/>
              <w:spacing w:before="97"/>
              <w:ind w:right="180"/>
              <w:jc w:val="right"/>
              <w:rPr>
                <w:sz w:val="17"/>
              </w:rPr>
            </w:pPr>
            <w:r>
              <w:rPr>
                <w:spacing w:val="-4"/>
                <w:sz w:val="17"/>
              </w:rPr>
              <w:t>0,00</w:t>
            </w:r>
          </w:p>
        </w:tc>
        <w:tc>
          <w:tcPr>
            <w:tcW w:w="1222" w:type="dxa"/>
            <w:tcBorders>
              <w:top w:val="single" w:sz="8" w:space="0" w:color="002D5D"/>
              <w:bottom w:val="single" w:sz="8" w:space="0" w:color="002D5D"/>
            </w:tcBorders>
          </w:tcPr>
          <w:p>
            <w:pPr>
              <w:pStyle w:val="TableParagraph"/>
              <w:spacing w:before="97"/>
              <w:ind w:right="54"/>
              <w:jc w:val="center"/>
              <w:rPr>
                <w:sz w:val="17"/>
              </w:rPr>
            </w:pPr>
            <w:r>
              <w:rPr>
                <w:sz w:val="17"/>
              </w:rPr>
              <w:t>En</w:t>
            </w:r>
            <w:r>
              <w:rPr>
                <w:spacing w:val="-1"/>
                <w:sz w:val="17"/>
              </w:rPr>
              <w:t> </w:t>
            </w:r>
            <w:r>
              <w:rPr>
                <w:spacing w:val="-2"/>
                <w:sz w:val="17"/>
              </w:rPr>
              <w:t>ejecución</w:t>
            </w:r>
          </w:p>
        </w:tc>
      </w:tr>
      <w:tr>
        <w:trPr>
          <w:trHeight w:val="349" w:hRule="atLeast"/>
        </w:trPr>
        <w:tc>
          <w:tcPr>
            <w:tcW w:w="3230" w:type="dxa"/>
            <w:shd w:val="clear" w:color="auto" w:fill="002D5D"/>
          </w:tcPr>
          <w:p>
            <w:pPr>
              <w:pStyle w:val="TableParagraph"/>
              <w:rPr>
                <w:rFonts w:ascii="Times New Roman"/>
                <w:sz w:val="16"/>
              </w:rPr>
            </w:pPr>
          </w:p>
        </w:tc>
        <w:tc>
          <w:tcPr>
            <w:tcW w:w="1207" w:type="dxa"/>
            <w:shd w:val="clear" w:color="auto" w:fill="002D5D"/>
          </w:tcPr>
          <w:p>
            <w:pPr>
              <w:pStyle w:val="TableParagraph"/>
              <w:rPr>
                <w:rFonts w:ascii="Times New Roman"/>
                <w:sz w:val="16"/>
              </w:rPr>
            </w:pPr>
          </w:p>
        </w:tc>
        <w:tc>
          <w:tcPr>
            <w:tcW w:w="1130" w:type="dxa"/>
            <w:shd w:val="clear" w:color="auto" w:fill="002D5D"/>
          </w:tcPr>
          <w:p>
            <w:pPr>
              <w:pStyle w:val="TableParagraph"/>
              <w:spacing w:before="80"/>
              <w:ind w:right="105"/>
              <w:jc w:val="right"/>
              <w:rPr>
                <w:b/>
                <w:sz w:val="17"/>
              </w:rPr>
            </w:pPr>
            <w:r>
              <w:rPr>
                <w:b/>
                <w:color w:val="FFFFFF"/>
                <w:spacing w:val="-2"/>
                <w:sz w:val="17"/>
              </w:rPr>
              <w:t>97.379.664,02</w:t>
            </w:r>
          </w:p>
        </w:tc>
        <w:tc>
          <w:tcPr>
            <w:tcW w:w="755" w:type="dxa"/>
            <w:shd w:val="clear" w:color="auto" w:fill="002D5D"/>
          </w:tcPr>
          <w:p>
            <w:pPr>
              <w:pStyle w:val="TableParagraph"/>
              <w:spacing w:before="80"/>
              <w:ind w:right="219"/>
              <w:jc w:val="right"/>
              <w:rPr>
                <w:b/>
                <w:sz w:val="17"/>
              </w:rPr>
            </w:pPr>
            <w:r>
              <w:rPr>
                <w:b/>
                <w:color w:val="FFFFFF"/>
                <w:spacing w:val="-2"/>
                <w:sz w:val="17"/>
              </w:rPr>
              <w:t>100,00</w:t>
            </w:r>
          </w:p>
        </w:tc>
        <w:tc>
          <w:tcPr>
            <w:tcW w:w="1233" w:type="dxa"/>
            <w:shd w:val="clear" w:color="auto" w:fill="002D5D"/>
          </w:tcPr>
          <w:p>
            <w:pPr>
              <w:pStyle w:val="TableParagraph"/>
              <w:spacing w:before="80"/>
              <w:ind w:right="118"/>
              <w:jc w:val="right"/>
              <w:rPr>
                <w:b/>
                <w:sz w:val="17"/>
              </w:rPr>
            </w:pPr>
            <w:r>
              <w:rPr>
                <w:b/>
                <w:color w:val="FFFFFF"/>
                <w:spacing w:val="-2"/>
                <w:sz w:val="17"/>
              </w:rPr>
              <w:t>42.528.067,90</w:t>
            </w:r>
          </w:p>
        </w:tc>
        <w:tc>
          <w:tcPr>
            <w:tcW w:w="779" w:type="dxa"/>
            <w:shd w:val="clear" w:color="auto" w:fill="002D5D"/>
          </w:tcPr>
          <w:p>
            <w:pPr>
              <w:pStyle w:val="TableParagraph"/>
              <w:rPr>
                <w:rFonts w:ascii="Times New Roman"/>
                <w:sz w:val="16"/>
              </w:rPr>
            </w:pPr>
          </w:p>
        </w:tc>
        <w:tc>
          <w:tcPr>
            <w:tcW w:w="1364" w:type="dxa"/>
            <w:shd w:val="clear" w:color="auto" w:fill="002D5D"/>
          </w:tcPr>
          <w:p>
            <w:pPr>
              <w:pStyle w:val="TableParagraph"/>
              <w:spacing w:before="80"/>
              <w:ind w:left="190"/>
              <w:rPr>
                <w:b/>
                <w:sz w:val="17"/>
              </w:rPr>
            </w:pPr>
            <w:r>
              <w:rPr>
                <w:b/>
                <w:color w:val="FFFFFF"/>
                <w:spacing w:val="-2"/>
                <w:sz w:val="17"/>
              </w:rPr>
              <w:t>54.851.596,12</w:t>
            </w:r>
          </w:p>
        </w:tc>
        <w:tc>
          <w:tcPr>
            <w:tcW w:w="563" w:type="dxa"/>
            <w:shd w:val="clear" w:color="auto" w:fill="002D5D"/>
          </w:tcPr>
          <w:p>
            <w:pPr>
              <w:pStyle w:val="TableParagraph"/>
              <w:rPr>
                <w:rFonts w:ascii="Times New Roman"/>
                <w:sz w:val="16"/>
              </w:rPr>
            </w:pPr>
          </w:p>
        </w:tc>
        <w:tc>
          <w:tcPr>
            <w:tcW w:w="1222" w:type="dxa"/>
            <w:shd w:val="clear" w:color="auto" w:fill="002D5D"/>
          </w:tcPr>
          <w:p>
            <w:pPr>
              <w:pStyle w:val="TableParagraph"/>
              <w:rPr>
                <w:rFonts w:ascii="Times New Roman"/>
                <w:sz w:val="16"/>
              </w:rPr>
            </w:pPr>
          </w:p>
        </w:tc>
      </w:tr>
      <w:tr>
        <w:trPr>
          <w:trHeight w:val="211" w:hRule="atLeast"/>
        </w:trPr>
        <w:tc>
          <w:tcPr>
            <w:tcW w:w="6322" w:type="dxa"/>
            <w:gridSpan w:val="4"/>
          </w:tcPr>
          <w:p>
            <w:pPr>
              <w:pStyle w:val="TableParagraph"/>
              <w:spacing w:line="191" w:lineRule="exact"/>
              <w:ind w:left="69"/>
              <w:rPr>
                <w:sz w:val="18"/>
              </w:rPr>
            </w:pPr>
            <w:r>
              <w:rPr>
                <w:sz w:val="18"/>
              </w:rPr>
              <w:t>Fuente:</w:t>
            </w:r>
            <w:r>
              <w:rPr>
                <w:spacing w:val="-5"/>
                <w:sz w:val="18"/>
              </w:rPr>
              <w:t> </w:t>
            </w:r>
            <w:r>
              <w:rPr>
                <w:sz w:val="18"/>
              </w:rPr>
              <w:t>Elaboración</w:t>
            </w:r>
            <w:r>
              <w:rPr>
                <w:spacing w:val="-3"/>
                <w:sz w:val="18"/>
              </w:rPr>
              <w:t> </w:t>
            </w:r>
            <w:r>
              <w:rPr>
                <w:sz w:val="18"/>
              </w:rPr>
              <w:t>propia</w:t>
            </w:r>
            <w:r>
              <w:rPr>
                <w:spacing w:val="-2"/>
                <w:sz w:val="18"/>
              </w:rPr>
              <w:t> </w:t>
            </w:r>
            <w:r>
              <w:rPr>
                <w:sz w:val="18"/>
              </w:rPr>
              <w:t>a</w:t>
            </w:r>
            <w:r>
              <w:rPr>
                <w:spacing w:val="-3"/>
                <w:sz w:val="18"/>
              </w:rPr>
              <w:t> </w:t>
            </w:r>
            <w:r>
              <w:rPr>
                <w:sz w:val="18"/>
              </w:rPr>
              <w:t>partir</w:t>
            </w:r>
            <w:r>
              <w:rPr>
                <w:spacing w:val="-1"/>
                <w:sz w:val="18"/>
              </w:rPr>
              <w:t> </w:t>
            </w:r>
            <w:r>
              <w:rPr>
                <w:sz w:val="18"/>
              </w:rPr>
              <w:t>de</w:t>
            </w:r>
            <w:r>
              <w:rPr>
                <w:spacing w:val="-2"/>
                <w:sz w:val="18"/>
              </w:rPr>
              <w:t> </w:t>
            </w:r>
            <w:r>
              <w:rPr>
                <w:sz w:val="18"/>
              </w:rPr>
              <w:t>los</w:t>
            </w:r>
            <w:r>
              <w:rPr>
                <w:spacing w:val="-3"/>
                <w:sz w:val="18"/>
              </w:rPr>
              <w:t> </w:t>
            </w:r>
            <w:r>
              <w:rPr>
                <w:sz w:val="18"/>
              </w:rPr>
              <w:t>datos</w:t>
            </w:r>
            <w:r>
              <w:rPr>
                <w:spacing w:val="-2"/>
                <w:sz w:val="18"/>
              </w:rPr>
              <w:t> </w:t>
            </w:r>
            <w:r>
              <w:rPr>
                <w:sz w:val="18"/>
              </w:rPr>
              <w:t>facilitados</w:t>
            </w:r>
            <w:r>
              <w:rPr>
                <w:spacing w:val="-2"/>
                <w:sz w:val="18"/>
              </w:rPr>
              <w:t> </w:t>
            </w:r>
            <w:r>
              <w:rPr>
                <w:sz w:val="18"/>
              </w:rPr>
              <w:t>por</w:t>
            </w:r>
            <w:r>
              <w:rPr>
                <w:spacing w:val="-2"/>
                <w:sz w:val="18"/>
              </w:rPr>
              <w:t> </w:t>
            </w:r>
            <w:r>
              <w:rPr>
                <w:sz w:val="18"/>
              </w:rPr>
              <w:t>el</w:t>
            </w:r>
            <w:r>
              <w:rPr>
                <w:spacing w:val="-1"/>
                <w:sz w:val="18"/>
              </w:rPr>
              <w:t> </w:t>
            </w:r>
            <w:r>
              <w:rPr>
                <w:sz w:val="18"/>
              </w:rPr>
              <w:t>Ayuntamiento</w:t>
            </w:r>
            <w:r>
              <w:rPr>
                <w:spacing w:val="-3"/>
                <w:sz w:val="18"/>
              </w:rPr>
              <w:t> </w:t>
            </w:r>
            <w:r>
              <w:rPr>
                <w:sz w:val="18"/>
              </w:rPr>
              <w:t>de</w:t>
            </w:r>
            <w:r>
              <w:rPr>
                <w:spacing w:val="2"/>
                <w:sz w:val="18"/>
              </w:rPr>
              <w:t> </w:t>
            </w:r>
            <w:r>
              <w:rPr>
                <w:spacing w:val="-2"/>
                <w:sz w:val="18"/>
              </w:rPr>
              <w:t>Sevilla</w:t>
            </w:r>
          </w:p>
        </w:tc>
        <w:tc>
          <w:tcPr>
            <w:tcW w:w="1233" w:type="dxa"/>
          </w:tcPr>
          <w:p>
            <w:pPr>
              <w:pStyle w:val="TableParagraph"/>
              <w:rPr>
                <w:rFonts w:ascii="Times New Roman"/>
                <w:sz w:val="14"/>
              </w:rPr>
            </w:pPr>
          </w:p>
        </w:tc>
        <w:tc>
          <w:tcPr>
            <w:tcW w:w="779" w:type="dxa"/>
          </w:tcPr>
          <w:p>
            <w:pPr>
              <w:pStyle w:val="TableParagraph"/>
              <w:rPr>
                <w:rFonts w:ascii="Times New Roman"/>
                <w:sz w:val="14"/>
              </w:rPr>
            </w:pPr>
          </w:p>
        </w:tc>
        <w:tc>
          <w:tcPr>
            <w:tcW w:w="1364" w:type="dxa"/>
          </w:tcPr>
          <w:p>
            <w:pPr>
              <w:pStyle w:val="TableParagraph"/>
              <w:rPr>
                <w:rFonts w:ascii="Times New Roman"/>
                <w:sz w:val="14"/>
              </w:rPr>
            </w:pPr>
          </w:p>
        </w:tc>
        <w:tc>
          <w:tcPr>
            <w:tcW w:w="563" w:type="dxa"/>
          </w:tcPr>
          <w:p>
            <w:pPr>
              <w:pStyle w:val="TableParagraph"/>
              <w:rPr>
                <w:rFonts w:ascii="Times New Roman"/>
                <w:sz w:val="14"/>
              </w:rPr>
            </w:pPr>
          </w:p>
        </w:tc>
        <w:tc>
          <w:tcPr>
            <w:tcW w:w="1222" w:type="dxa"/>
          </w:tcPr>
          <w:p>
            <w:pPr>
              <w:pStyle w:val="TableParagraph"/>
              <w:rPr>
                <w:rFonts w:ascii="Times New Roman"/>
                <w:sz w:val="14"/>
              </w:rPr>
            </w:pPr>
          </w:p>
        </w:tc>
      </w:tr>
      <w:tr>
        <w:trPr>
          <w:trHeight w:val="222" w:hRule="atLeast"/>
        </w:trPr>
        <w:tc>
          <w:tcPr>
            <w:tcW w:w="6322" w:type="dxa"/>
            <w:gridSpan w:val="4"/>
          </w:tcPr>
          <w:p>
            <w:pPr>
              <w:pStyle w:val="TableParagraph"/>
              <w:spacing w:line="198" w:lineRule="exact" w:before="4"/>
              <w:ind w:left="69"/>
              <w:rPr>
                <w:sz w:val="18"/>
              </w:rPr>
            </w:pPr>
            <w:r>
              <w:rPr>
                <w:position w:val="5"/>
                <w:sz w:val="12"/>
              </w:rPr>
              <w:t>(*)</w:t>
            </w:r>
            <w:r>
              <w:rPr>
                <w:spacing w:val="-3"/>
                <w:position w:val="5"/>
                <w:sz w:val="12"/>
              </w:rPr>
              <w:t> </w:t>
            </w:r>
            <w:r>
              <w:rPr>
                <w:sz w:val="18"/>
              </w:rPr>
              <w:t>Porcentaje</w:t>
            </w:r>
            <w:r>
              <w:rPr>
                <w:spacing w:val="-2"/>
                <w:sz w:val="18"/>
              </w:rPr>
              <w:t> </w:t>
            </w:r>
            <w:r>
              <w:rPr>
                <w:sz w:val="18"/>
              </w:rPr>
              <w:t>sobre</w:t>
            </w:r>
            <w:r>
              <w:rPr>
                <w:spacing w:val="-2"/>
                <w:sz w:val="18"/>
              </w:rPr>
              <w:t> </w:t>
            </w:r>
            <w:r>
              <w:rPr>
                <w:sz w:val="18"/>
              </w:rPr>
              <w:t>el</w:t>
            </w:r>
            <w:r>
              <w:rPr>
                <w:spacing w:val="-2"/>
                <w:sz w:val="18"/>
              </w:rPr>
              <w:t> </w:t>
            </w:r>
            <w:r>
              <w:rPr>
                <w:sz w:val="18"/>
              </w:rPr>
              <w:t>importe</w:t>
            </w:r>
            <w:r>
              <w:rPr>
                <w:spacing w:val="-2"/>
                <w:sz w:val="18"/>
              </w:rPr>
              <w:t> </w:t>
            </w:r>
            <w:r>
              <w:rPr>
                <w:sz w:val="18"/>
              </w:rPr>
              <w:t>de</w:t>
            </w:r>
            <w:r>
              <w:rPr>
                <w:spacing w:val="-2"/>
                <w:sz w:val="18"/>
              </w:rPr>
              <w:t> </w:t>
            </w:r>
            <w:r>
              <w:rPr>
                <w:sz w:val="18"/>
              </w:rPr>
              <w:t>todas</w:t>
            </w:r>
            <w:r>
              <w:rPr>
                <w:spacing w:val="-2"/>
                <w:sz w:val="18"/>
              </w:rPr>
              <w:t> </w:t>
            </w:r>
            <w:r>
              <w:rPr>
                <w:sz w:val="18"/>
              </w:rPr>
              <w:t>las</w:t>
            </w:r>
            <w:r>
              <w:rPr>
                <w:spacing w:val="-1"/>
                <w:sz w:val="18"/>
              </w:rPr>
              <w:t> </w:t>
            </w:r>
            <w:r>
              <w:rPr>
                <w:spacing w:val="-2"/>
                <w:sz w:val="18"/>
              </w:rPr>
              <w:t>actuaciones</w:t>
            </w:r>
          </w:p>
        </w:tc>
        <w:tc>
          <w:tcPr>
            <w:tcW w:w="1233" w:type="dxa"/>
          </w:tcPr>
          <w:p>
            <w:pPr>
              <w:pStyle w:val="TableParagraph"/>
              <w:rPr>
                <w:rFonts w:ascii="Times New Roman"/>
                <w:sz w:val="14"/>
              </w:rPr>
            </w:pPr>
          </w:p>
        </w:tc>
        <w:tc>
          <w:tcPr>
            <w:tcW w:w="779" w:type="dxa"/>
          </w:tcPr>
          <w:p>
            <w:pPr>
              <w:pStyle w:val="TableParagraph"/>
              <w:rPr>
                <w:rFonts w:ascii="Times New Roman"/>
                <w:sz w:val="14"/>
              </w:rPr>
            </w:pPr>
          </w:p>
        </w:tc>
        <w:tc>
          <w:tcPr>
            <w:tcW w:w="1364" w:type="dxa"/>
          </w:tcPr>
          <w:p>
            <w:pPr>
              <w:pStyle w:val="TableParagraph"/>
              <w:rPr>
                <w:rFonts w:ascii="Times New Roman"/>
                <w:sz w:val="14"/>
              </w:rPr>
            </w:pPr>
          </w:p>
        </w:tc>
        <w:tc>
          <w:tcPr>
            <w:tcW w:w="563" w:type="dxa"/>
          </w:tcPr>
          <w:p>
            <w:pPr>
              <w:pStyle w:val="TableParagraph"/>
              <w:rPr>
                <w:rFonts w:ascii="Times New Roman"/>
                <w:sz w:val="14"/>
              </w:rPr>
            </w:pPr>
          </w:p>
        </w:tc>
        <w:tc>
          <w:tcPr>
            <w:tcW w:w="1222" w:type="dxa"/>
          </w:tcPr>
          <w:p>
            <w:pPr>
              <w:pStyle w:val="TableParagraph"/>
              <w:rPr>
                <w:rFonts w:ascii="Times New Roman"/>
                <w:sz w:val="14"/>
              </w:rPr>
            </w:pPr>
          </w:p>
        </w:tc>
      </w:tr>
      <w:tr>
        <w:trPr>
          <w:trHeight w:val="217" w:hRule="atLeast"/>
        </w:trPr>
        <w:tc>
          <w:tcPr>
            <w:tcW w:w="6322" w:type="dxa"/>
            <w:gridSpan w:val="4"/>
          </w:tcPr>
          <w:p>
            <w:pPr>
              <w:pStyle w:val="TableParagraph"/>
              <w:spacing w:line="187" w:lineRule="exact" w:before="10"/>
              <w:ind w:left="69"/>
              <w:rPr>
                <w:sz w:val="18"/>
              </w:rPr>
            </w:pPr>
            <w:r>
              <w:rPr>
                <w:position w:val="5"/>
                <w:sz w:val="12"/>
              </w:rPr>
              <w:t>(**)</w:t>
            </w:r>
            <w:r>
              <w:rPr>
                <w:spacing w:val="-1"/>
                <w:position w:val="5"/>
                <w:sz w:val="12"/>
              </w:rPr>
              <w:t> </w:t>
            </w:r>
            <w:r>
              <w:rPr>
                <w:sz w:val="18"/>
              </w:rPr>
              <w:t>Porcentaje</w:t>
            </w:r>
            <w:r>
              <w:rPr>
                <w:spacing w:val="-2"/>
                <w:sz w:val="18"/>
              </w:rPr>
              <w:t> </w:t>
            </w:r>
            <w:r>
              <w:rPr>
                <w:sz w:val="18"/>
              </w:rPr>
              <w:t>sobre</w:t>
            </w:r>
            <w:r>
              <w:rPr>
                <w:spacing w:val="-2"/>
                <w:sz w:val="18"/>
              </w:rPr>
              <w:t> </w:t>
            </w:r>
            <w:r>
              <w:rPr>
                <w:sz w:val="18"/>
              </w:rPr>
              <w:t>el</w:t>
            </w:r>
            <w:r>
              <w:rPr>
                <w:spacing w:val="-2"/>
                <w:sz w:val="18"/>
              </w:rPr>
              <w:t> </w:t>
            </w:r>
            <w:r>
              <w:rPr>
                <w:sz w:val="18"/>
              </w:rPr>
              <w:t>importe</w:t>
            </w:r>
            <w:r>
              <w:rPr>
                <w:spacing w:val="-2"/>
                <w:sz w:val="18"/>
              </w:rPr>
              <w:t> </w:t>
            </w:r>
            <w:r>
              <w:rPr>
                <w:sz w:val="18"/>
              </w:rPr>
              <w:t>de</w:t>
            </w:r>
            <w:r>
              <w:rPr>
                <w:spacing w:val="-2"/>
                <w:sz w:val="18"/>
              </w:rPr>
              <w:t> </w:t>
            </w:r>
            <w:r>
              <w:rPr>
                <w:sz w:val="18"/>
              </w:rPr>
              <w:t>cada</w:t>
            </w:r>
            <w:r>
              <w:rPr>
                <w:spacing w:val="-1"/>
                <w:sz w:val="18"/>
              </w:rPr>
              <w:t> </w:t>
            </w:r>
            <w:r>
              <w:rPr>
                <w:spacing w:val="-2"/>
                <w:sz w:val="18"/>
              </w:rPr>
              <w:t>actuación</w:t>
            </w:r>
          </w:p>
        </w:tc>
        <w:tc>
          <w:tcPr>
            <w:tcW w:w="1233" w:type="dxa"/>
          </w:tcPr>
          <w:p>
            <w:pPr>
              <w:pStyle w:val="TableParagraph"/>
              <w:rPr>
                <w:rFonts w:ascii="Times New Roman"/>
                <w:sz w:val="14"/>
              </w:rPr>
            </w:pPr>
          </w:p>
        </w:tc>
        <w:tc>
          <w:tcPr>
            <w:tcW w:w="779" w:type="dxa"/>
          </w:tcPr>
          <w:p>
            <w:pPr>
              <w:pStyle w:val="TableParagraph"/>
              <w:rPr>
                <w:rFonts w:ascii="Times New Roman"/>
                <w:sz w:val="14"/>
              </w:rPr>
            </w:pPr>
          </w:p>
        </w:tc>
        <w:tc>
          <w:tcPr>
            <w:tcW w:w="1364" w:type="dxa"/>
          </w:tcPr>
          <w:p>
            <w:pPr>
              <w:pStyle w:val="TableParagraph"/>
              <w:rPr>
                <w:rFonts w:ascii="Times New Roman"/>
                <w:sz w:val="14"/>
              </w:rPr>
            </w:pPr>
          </w:p>
        </w:tc>
        <w:tc>
          <w:tcPr>
            <w:tcW w:w="563" w:type="dxa"/>
          </w:tcPr>
          <w:p>
            <w:pPr>
              <w:pStyle w:val="TableParagraph"/>
              <w:rPr>
                <w:rFonts w:ascii="Times New Roman"/>
                <w:sz w:val="14"/>
              </w:rPr>
            </w:pPr>
          </w:p>
        </w:tc>
        <w:tc>
          <w:tcPr>
            <w:tcW w:w="1222" w:type="dxa"/>
          </w:tcPr>
          <w:p>
            <w:pPr>
              <w:pStyle w:val="TableParagraph"/>
              <w:rPr>
                <w:rFonts w:ascii="Times New Roman"/>
                <w:sz w:val="14"/>
              </w:rPr>
            </w:pPr>
          </w:p>
        </w:tc>
      </w:tr>
    </w:tbl>
    <w:p>
      <w:pPr>
        <w:pStyle w:val="TableParagraph"/>
        <w:spacing w:after="0"/>
        <w:rPr>
          <w:rFonts w:ascii="Times New Roman"/>
          <w:sz w:val="14"/>
        </w:rPr>
        <w:sectPr>
          <w:headerReference w:type="default" r:id="rId125"/>
          <w:headerReference w:type="even" r:id="rId126"/>
          <w:footerReference w:type="default" r:id="rId127"/>
          <w:footerReference w:type="even" r:id="rId128"/>
          <w:pgSz w:w="11910" w:h="16840"/>
          <w:pgMar w:header="1270" w:footer="661" w:top="2800" w:bottom="860" w:left="141" w:right="141"/>
          <w:pgNumType w:start="129"/>
        </w:sectPr>
      </w:pPr>
    </w:p>
    <w:p>
      <w:pPr>
        <w:pStyle w:val="BodyText"/>
        <w:spacing w:before="125"/>
        <w:rPr>
          <w:b/>
        </w:rPr>
      </w:pPr>
    </w:p>
    <w:p>
      <w:pPr>
        <w:spacing w:before="0"/>
        <w:ind w:left="-1" w:right="2" w:firstLine="0"/>
        <w:jc w:val="center"/>
        <w:rPr>
          <w:b/>
          <w:sz w:val="22"/>
        </w:rPr>
      </w:pPr>
      <w:bookmarkStart w:name="_bookmark152" w:id="154"/>
      <w:bookmarkEnd w:id="154"/>
      <w:r>
        <w:rPr/>
      </w:r>
      <w:bookmarkStart w:name="_bookmark153" w:id="155"/>
      <w:bookmarkEnd w:id="155"/>
      <w:r>
        <w:rPr/>
      </w:r>
      <w:r>
        <w:rPr>
          <w:b/>
          <w:sz w:val="22"/>
        </w:rPr>
        <w:t>ACTUACIONES</w:t>
      </w:r>
      <w:r>
        <w:rPr>
          <w:b/>
          <w:spacing w:val="-6"/>
          <w:sz w:val="22"/>
        </w:rPr>
        <w:t> </w:t>
      </w:r>
      <w:r>
        <w:rPr>
          <w:b/>
          <w:sz w:val="22"/>
        </w:rPr>
        <w:t>REALIZADAS</w:t>
      </w:r>
      <w:r>
        <w:rPr>
          <w:b/>
          <w:spacing w:val="-9"/>
          <w:sz w:val="22"/>
        </w:rPr>
        <w:t> </w:t>
      </w:r>
      <w:r>
        <w:rPr>
          <w:b/>
          <w:sz w:val="22"/>
        </w:rPr>
        <w:t>POR</w:t>
      </w:r>
      <w:r>
        <w:rPr>
          <w:b/>
          <w:spacing w:val="-8"/>
          <w:sz w:val="22"/>
        </w:rPr>
        <w:t> </w:t>
      </w:r>
      <w:r>
        <w:rPr>
          <w:b/>
          <w:sz w:val="22"/>
        </w:rPr>
        <w:t>EL</w:t>
      </w:r>
      <w:r>
        <w:rPr>
          <w:b/>
          <w:spacing w:val="-8"/>
          <w:sz w:val="22"/>
        </w:rPr>
        <w:t> </w:t>
      </w:r>
      <w:r>
        <w:rPr>
          <w:b/>
          <w:sz w:val="22"/>
        </w:rPr>
        <w:t>AYUNTAMIENTO</w:t>
      </w:r>
      <w:r>
        <w:rPr>
          <w:b/>
          <w:spacing w:val="-7"/>
          <w:sz w:val="22"/>
        </w:rPr>
        <w:t> </w:t>
      </w:r>
      <w:r>
        <w:rPr>
          <w:b/>
          <w:sz w:val="22"/>
        </w:rPr>
        <w:t>DE</w:t>
      </w:r>
      <w:r>
        <w:rPr>
          <w:b/>
          <w:spacing w:val="-5"/>
          <w:sz w:val="22"/>
        </w:rPr>
        <w:t> </w:t>
      </w:r>
      <w:r>
        <w:rPr>
          <w:b/>
          <w:spacing w:val="-2"/>
          <w:sz w:val="22"/>
        </w:rPr>
        <w:t>ZARAGOZA</w:t>
      </w:r>
    </w:p>
    <w:p>
      <w:pPr>
        <w:pStyle w:val="BodyText"/>
        <w:spacing w:before="9"/>
        <w:rPr>
          <w:b/>
          <w:sz w:val="20"/>
        </w:rPr>
      </w:pPr>
    </w:p>
    <w:tbl>
      <w:tblPr>
        <w:tblW w:w="0" w:type="auto"/>
        <w:jc w:val="left"/>
        <w:tblInd w:w="4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67"/>
        <w:gridCol w:w="1388"/>
        <w:gridCol w:w="1052"/>
        <w:gridCol w:w="649"/>
        <w:gridCol w:w="1087"/>
        <w:gridCol w:w="603"/>
        <w:gridCol w:w="1238"/>
        <w:gridCol w:w="475"/>
        <w:gridCol w:w="933"/>
        <w:gridCol w:w="564"/>
        <w:gridCol w:w="1144"/>
      </w:tblGrid>
      <w:tr>
        <w:trPr>
          <w:trHeight w:val="492" w:hRule="atLeast"/>
        </w:trPr>
        <w:tc>
          <w:tcPr>
            <w:tcW w:w="1667" w:type="dxa"/>
            <w:shd w:val="clear" w:color="auto" w:fill="002D5D"/>
          </w:tcPr>
          <w:p>
            <w:pPr>
              <w:pStyle w:val="TableParagraph"/>
              <w:rPr>
                <w:rFonts w:ascii="Times New Roman"/>
                <w:sz w:val="16"/>
              </w:rPr>
            </w:pPr>
          </w:p>
        </w:tc>
        <w:tc>
          <w:tcPr>
            <w:tcW w:w="1388" w:type="dxa"/>
            <w:shd w:val="clear" w:color="auto" w:fill="002D5D"/>
          </w:tcPr>
          <w:p>
            <w:pPr>
              <w:pStyle w:val="TableParagraph"/>
              <w:rPr>
                <w:rFonts w:ascii="Times New Roman"/>
                <w:sz w:val="16"/>
              </w:rPr>
            </w:pPr>
          </w:p>
        </w:tc>
        <w:tc>
          <w:tcPr>
            <w:tcW w:w="1701" w:type="dxa"/>
            <w:gridSpan w:val="2"/>
            <w:shd w:val="clear" w:color="auto" w:fill="002D5D"/>
          </w:tcPr>
          <w:p>
            <w:pPr>
              <w:pStyle w:val="TableParagraph"/>
              <w:spacing w:before="78"/>
              <w:ind w:left="421" w:right="489" w:firstLine="93"/>
              <w:rPr>
                <w:b/>
                <w:sz w:val="16"/>
              </w:rPr>
            </w:pPr>
            <w:r>
              <w:rPr>
                <w:b/>
                <w:color w:val="FFFFFF"/>
                <w:spacing w:val="-2"/>
                <w:sz w:val="16"/>
              </w:rPr>
              <w:t>IMPORTE</w:t>
            </w:r>
            <w:r>
              <w:rPr>
                <w:b/>
                <w:color w:val="FFFFFF"/>
                <w:spacing w:val="40"/>
                <w:sz w:val="16"/>
              </w:rPr>
              <w:t> </w:t>
            </w:r>
            <w:r>
              <w:rPr>
                <w:b/>
                <w:color w:val="FFFFFF"/>
                <w:spacing w:val="-2"/>
                <w:sz w:val="16"/>
              </w:rPr>
              <w:t>ACTUACIÓN</w:t>
            </w:r>
          </w:p>
        </w:tc>
        <w:tc>
          <w:tcPr>
            <w:tcW w:w="1087" w:type="dxa"/>
            <w:shd w:val="clear" w:color="auto" w:fill="002D5D"/>
          </w:tcPr>
          <w:p>
            <w:pPr>
              <w:pStyle w:val="TableParagraph"/>
              <w:rPr>
                <w:rFonts w:ascii="Times New Roman"/>
                <w:sz w:val="16"/>
              </w:rPr>
            </w:pPr>
          </w:p>
        </w:tc>
        <w:tc>
          <w:tcPr>
            <w:tcW w:w="603" w:type="dxa"/>
            <w:shd w:val="clear" w:color="auto" w:fill="002D5D"/>
          </w:tcPr>
          <w:p>
            <w:pPr>
              <w:pStyle w:val="TableParagraph"/>
              <w:rPr>
                <w:rFonts w:ascii="Times New Roman"/>
                <w:sz w:val="16"/>
              </w:rPr>
            </w:pPr>
          </w:p>
        </w:tc>
        <w:tc>
          <w:tcPr>
            <w:tcW w:w="1238" w:type="dxa"/>
            <w:shd w:val="clear" w:color="auto" w:fill="002D5D"/>
          </w:tcPr>
          <w:p>
            <w:pPr>
              <w:pStyle w:val="TableParagraph"/>
              <w:spacing w:before="171"/>
              <w:ind w:left="301" w:right="-29"/>
              <w:rPr>
                <w:b/>
                <w:sz w:val="16"/>
              </w:rPr>
            </w:pPr>
            <w:r>
              <w:rPr>
                <w:b/>
                <w:color w:val="FFFFFF"/>
                <w:spacing w:val="-2"/>
                <w:sz w:val="16"/>
              </w:rPr>
              <w:t>FINANCIACIÓN</w:t>
            </w:r>
          </w:p>
        </w:tc>
        <w:tc>
          <w:tcPr>
            <w:tcW w:w="475" w:type="dxa"/>
            <w:shd w:val="clear" w:color="auto" w:fill="002D5D"/>
          </w:tcPr>
          <w:p>
            <w:pPr>
              <w:pStyle w:val="TableParagraph"/>
              <w:rPr>
                <w:rFonts w:ascii="Times New Roman"/>
                <w:sz w:val="16"/>
              </w:rPr>
            </w:pPr>
          </w:p>
        </w:tc>
        <w:tc>
          <w:tcPr>
            <w:tcW w:w="1497" w:type="dxa"/>
            <w:gridSpan w:val="2"/>
            <w:shd w:val="clear" w:color="auto" w:fill="002D5D"/>
          </w:tcPr>
          <w:p>
            <w:pPr>
              <w:pStyle w:val="TableParagraph"/>
              <w:rPr>
                <w:rFonts w:ascii="Times New Roman"/>
                <w:sz w:val="16"/>
              </w:rPr>
            </w:pPr>
          </w:p>
        </w:tc>
        <w:tc>
          <w:tcPr>
            <w:tcW w:w="1144" w:type="dxa"/>
            <w:vMerge w:val="restart"/>
            <w:shd w:val="clear" w:color="auto" w:fill="002D5D"/>
          </w:tcPr>
          <w:p>
            <w:pPr>
              <w:pStyle w:val="TableParagraph"/>
              <w:spacing w:before="174"/>
              <w:rPr>
                <w:rFonts w:ascii="Arial"/>
                <w:b/>
                <w:sz w:val="16"/>
              </w:rPr>
            </w:pPr>
          </w:p>
          <w:p>
            <w:pPr>
              <w:pStyle w:val="TableParagraph"/>
              <w:spacing w:before="1"/>
              <w:ind w:left="23" w:right="65"/>
              <w:jc w:val="center"/>
              <w:rPr>
                <w:b/>
                <w:sz w:val="16"/>
              </w:rPr>
            </w:pPr>
            <w:r>
              <w:rPr>
                <w:b/>
                <w:color w:val="FFFFFF"/>
                <w:sz w:val="16"/>
              </w:rPr>
              <w:t>ESTADO</w:t>
            </w:r>
            <w:r>
              <w:rPr>
                <w:b/>
                <w:color w:val="FFFFFF"/>
                <w:spacing w:val="-10"/>
                <w:sz w:val="16"/>
              </w:rPr>
              <w:t> </w:t>
            </w:r>
            <w:r>
              <w:rPr>
                <w:b/>
                <w:color w:val="FFFFFF"/>
                <w:sz w:val="16"/>
              </w:rPr>
              <w:t>DE</w:t>
            </w:r>
            <w:r>
              <w:rPr>
                <w:b/>
                <w:color w:val="FFFFFF"/>
                <w:spacing w:val="-9"/>
                <w:sz w:val="16"/>
              </w:rPr>
              <w:t> </w:t>
            </w:r>
            <w:r>
              <w:rPr>
                <w:b/>
                <w:color w:val="FFFFFF"/>
                <w:sz w:val="16"/>
              </w:rPr>
              <w:t>LA</w:t>
            </w:r>
            <w:r>
              <w:rPr>
                <w:b/>
                <w:color w:val="FFFFFF"/>
                <w:spacing w:val="40"/>
                <w:sz w:val="16"/>
              </w:rPr>
              <w:t> </w:t>
            </w:r>
            <w:r>
              <w:rPr>
                <w:b/>
                <w:color w:val="FFFFFF"/>
                <w:spacing w:val="-2"/>
                <w:sz w:val="16"/>
              </w:rPr>
              <w:t>ACTUACIÓN</w:t>
            </w:r>
            <w:r>
              <w:rPr>
                <w:b/>
                <w:color w:val="FFFFFF"/>
                <w:spacing w:val="40"/>
                <w:sz w:val="16"/>
              </w:rPr>
              <w:t> </w:t>
            </w:r>
            <w:r>
              <w:rPr>
                <w:b/>
                <w:color w:val="FFFFFF"/>
                <w:spacing w:val="-2"/>
                <w:sz w:val="16"/>
              </w:rPr>
              <w:t>31/12/2024</w:t>
            </w:r>
          </w:p>
        </w:tc>
      </w:tr>
      <w:tr>
        <w:trPr>
          <w:trHeight w:val="325" w:hRule="atLeast"/>
        </w:trPr>
        <w:tc>
          <w:tcPr>
            <w:tcW w:w="1667" w:type="dxa"/>
            <w:shd w:val="clear" w:color="auto" w:fill="002D5D"/>
          </w:tcPr>
          <w:p>
            <w:pPr>
              <w:pStyle w:val="TableParagraph"/>
              <w:spacing w:line="140" w:lineRule="exact"/>
              <w:ind w:left="4" w:right="4"/>
              <w:jc w:val="center"/>
              <w:rPr>
                <w:b/>
                <w:sz w:val="16"/>
              </w:rPr>
            </w:pPr>
            <w:r>
              <w:rPr>
                <w:b/>
                <w:color w:val="FFFFFF"/>
                <w:spacing w:val="-2"/>
                <w:sz w:val="16"/>
              </w:rPr>
              <w:t>DENOMINACIÓN</w:t>
            </w:r>
          </w:p>
          <w:p>
            <w:pPr>
              <w:pStyle w:val="TableParagraph"/>
              <w:spacing w:line="165" w:lineRule="exact"/>
              <w:ind w:left="4"/>
              <w:jc w:val="center"/>
              <w:rPr>
                <w:b/>
                <w:sz w:val="16"/>
              </w:rPr>
            </w:pPr>
            <w:r>
              <w:rPr>
                <w:b/>
                <w:color w:val="FFFFFF"/>
                <w:spacing w:val="-2"/>
                <w:sz w:val="16"/>
              </w:rPr>
              <w:t>ACTUACIÓN</w:t>
            </w:r>
          </w:p>
        </w:tc>
        <w:tc>
          <w:tcPr>
            <w:tcW w:w="2440" w:type="dxa"/>
            <w:gridSpan w:val="2"/>
            <w:shd w:val="clear" w:color="auto" w:fill="002D5D"/>
          </w:tcPr>
          <w:p>
            <w:pPr>
              <w:pStyle w:val="TableParagraph"/>
              <w:spacing w:before="48"/>
              <w:ind w:left="349"/>
              <w:rPr>
                <w:b/>
                <w:sz w:val="16"/>
              </w:rPr>
            </w:pPr>
            <w:r>
              <w:rPr>
                <w:b/>
                <w:color w:val="FFFFFF"/>
                <w:spacing w:val="-2"/>
                <w:sz w:val="16"/>
              </w:rPr>
              <w:t>TIPOLOGÍA</w:t>
            </w:r>
          </w:p>
        </w:tc>
        <w:tc>
          <w:tcPr>
            <w:tcW w:w="649" w:type="dxa"/>
            <w:shd w:val="clear" w:color="auto" w:fill="002D5D"/>
          </w:tcPr>
          <w:p>
            <w:pPr>
              <w:pStyle w:val="TableParagraph"/>
              <w:rPr>
                <w:rFonts w:ascii="Times New Roman"/>
                <w:sz w:val="16"/>
              </w:rPr>
            </w:pPr>
          </w:p>
        </w:tc>
        <w:tc>
          <w:tcPr>
            <w:tcW w:w="1690" w:type="dxa"/>
            <w:gridSpan w:val="2"/>
            <w:tcBorders>
              <w:right w:val="single" w:sz="8" w:space="0" w:color="002D5D"/>
            </w:tcBorders>
            <w:shd w:val="clear" w:color="auto" w:fill="002D5D"/>
          </w:tcPr>
          <w:p>
            <w:pPr>
              <w:pStyle w:val="TableParagraph"/>
              <w:spacing w:line="165" w:lineRule="exact" w:before="140"/>
              <w:ind w:left="395"/>
              <w:rPr>
                <w:b/>
                <w:sz w:val="16"/>
              </w:rPr>
            </w:pPr>
            <w:r>
              <w:rPr>
                <w:b/>
                <w:color w:val="FFFFFF"/>
                <w:spacing w:val="-2"/>
                <w:sz w:val="16"/>
              </w:rPr>
              <w:t>Ayuntamiento</w:t>
            </w:r>
          </w:p>
        </w:tc>
        <w:tc>
          <w:tcPr>
            <w:tcW w:w="1238" w:type="dxa"/>
            <w:tcBorders>
              <w:left w:val="single" w:sz="8" w:space="0" w:color="002D5D"/>
            </w:tcBorders>
            <w:shd w:val="clear" w:color="auto" w:fill="002D5D"/>
          </w:tcPr>
          <w:p>
            <w:pPr>
              <w:pStyle w:val="TableParagraph"/>
              <w:spacing w:line="172" w:lineRule="exact" w:before="133"/>
              <w:ind w:left="656"/>
              <w:rPr>
                <w:b/>
                <w:sz w:val="17"/>
              </w:rPr>
            </w:pPr>
            <w:r>
              <w:rPr>
                <w:b/>
                <w:color w:val="FFFFFF"/>
                <w:spacing w:val="-4"/>
                <w:sz w:val="17"/>
              </w:rPr>
              <w:t>PRTR</w:t>
            </w:r>
          </w:p>
        </w:tc>
        <w:tc>
          <w:tcPr>
            <w:tcW w:w="475" w:type="dxa"/>
            <w:vMerge w:val="restart"/>
            <w:shd w:val="clear" w:color="auto" w:fill="002D5D"/>
          </w:tcPr>
          <w:p>
            <w:pPr>
              <w:pStyle w:val="TableParagraph"/>
              <w:rPr>
                <w:rFonts w:ascii="Times New Roman"/>
                <w:sz w:val="16"/>
              </w:rPr>
            </w:pPr>
          </w:p>
        </w:tc>
        <w:tc>
          <w:tcPr>
            <w:tcW w:w="1497" w:type="dxa"/>
            <w:gridSpan w:val="2"/>
            <w:vMerge w:val="restart"/>
            <w:shd w:val="clear" w:color="auto" w:fill="002D5D"/>
          </w:tcPr>
          <w:p>
            <w:pPr>
              <w:pStyle w:val="TableParagraph"/>
              <w:spacing w:before="46"/>
              <w:ind w:left="441" w:right="353" w:hanging="39"/>
              <w:rPr>
                <w:b/>
                <w:sz w:val="16"/>
              </w:rPr>
            </w:pPr>
            <w:r>
              <w:rPr>
                <w:b/>
                <w:color w:val="FFFFFF"/>
                <w:spacing w:val="-2"/>
                <w:sz w:val="16"/>
              </w:rPr>
              <w:t>Comunidad</w:t>
            </w:r>
            <w:r>
              <w:rPr>
                <w:b/>
                <w:color w:val="FFFFFF"/>
                <w:spacing w:val="40"/>
                <w:sz w:val="16"/>
              </w:rPr>
              <w:t> </w:t>
            </w:r>
            <w:r>
              <w:rPr>
                <w:b/>
                <w:color w:val="FFFFFF"/>
                <w:spacing w:val="-2"/>
                <w:sz w:val="16"/>
              </w:rPr>
              <w:t>Autónoma</w:t>
            </w:r>
          </w:p>
        </w:tc>
        <w:tc>
          <w:tcPr>
            <w:tcW w:w="1144" w:type="dxa"/>
            <w:vMerge/>
            <w:tcBorders>
              <w:top w:val="nil"/>
            </w:tcBorders>
            <w:shd w:val="clear" w:color="auto" w:fill="002D5D"/>
          </w:tcPr>
          <w:p>
            <w:pPr>
              <w:rPr>
                <w:sz w:val="2"/>
                <w:szCs w:val="2"/>
              </w:rPr>
            </w:pPr>
          </w:p>
        </w:tc>
      </w:tr>
      <w:tr>
        <w:trPr>
          <w:trHeight w:val="182" w:hRule="atLeast"/>
        </w:trPr>
        <w:tc>
          <w:tcPr>
            <w:tcW w:w="1667" w:type="dxa"/>
            <w:shd w:val="clear" w:color="auto" w:fill="002D5D"/>
          </w:tcPr>
          <w:p>
            <w:pPr>
              <w:pStyle w:val="TableParagraph"/>
              <w:rPr>
                <w:rFonts w:ascii="Times New Roman"/>
                <w:sz w:val="12"/>
              </w:rPr>
            </w:pPr>
          </w:p>
        </w:tc>
        <w:tc>
          <w:tcPr>
            <w:tcW w:w="1388" w:type="dxa"/>
            <w:shd w:val="clear" w:color="auto" w:fill="002D5D"/>
          </w:tcPr>
          <w:p>
            <w:pPr>
              <w:pStyle w:val="TableParagraph"/>
              <w:rPr>
                <w:rFonts w:ascii="Times New Roman"/>
                <w:sz w:val="12"/>
              </w:rPr>
            </w:pPr>
          </w:p>
        </w:tc>
        <w:tc>
          <w:tcPr>
            <w:tcW w:w="1052" w:type="dxa"/>
            <w:shd w:val="clear" w:color="auto" w:fill="002D5D"/>
          </w:tcPr>
          <w:p>
            <w:pPr>
              <w:pStyle w:val="TableParagraph"/>
              <w:spacing w:line="162" w:lineRule="exact"/>
              <w:ind w:left="44" w:right="16"/>
              <w:jc w:val="center"/>
              <w:rPr>
                <w:b/>
                <w:sz w:val="16"/>
              </w:rPr>
            </w:pPr>
            <w:r>
              <w:rPr>
                <w:b/>
                <w:color w:val="FFFFFF"/>
                <w:spacing w:val="-5"/>
                <w:sz w:val="16"/>
              </w:rPr>
              <w:t>(€)</w:t>
            </w:r>
          </w:p>
        </w:tc>
        <w:tc>
          <w:tcPr>
            <w:tcW w:w="1736" w:type="dxa"/>
            <w:gridSpan w:val="2"/>
            <w:shd w:val="clear" w:color="auto" w:fill="002D5D"/>
          </w:tcPr>
          <w:p>
            <w:pPr>
              <w:pStyle w:val="TableParagraph"/>
              <w:spacing w:line="162" w:lineRule="exact"/>
              <w:ind w:left="125"/>
              <w:rPr>
                <w:b/>
                <w:sz w:val="16"/>
              </w:rPr>
            </w:pPr>
            <w:r>
              <w:rPr>
                <w:b/>
                <w:color w:val="FFFFFF"/>
                <w:sz w:val="16"/>
              </w:rPr>
              <w:t>%</w:t>
            </w:r>
            <w:r>
              <w:rPr>
                <w:b/>
                <w:color w:val="FFFFFF"/>
                <w:spacing w:val="-1"/>
                <w:sz w:val="16"/>
              </w:rPr>
              <w:t> </w:t>
            </w:r>
            <w:r>
              <w:rPr>
                <w:b/>
                <w:color w:val="FFFFFF"/>
                <w:spacing w:val="-5"/>
                <w:sz w:val="16"/>
              </w:rPr>
              <w:t>(*)</w:t>
            </w:r>
          </w:p>
        </w:tc>
        <w:tc>
          <w:tcPr>
            <w:tcW w:w="603" w:type="dxa"/>
            <w:shd w:val="clear" w:color="auto" w:fill="002D5D"/>
          </w:tcPr>
          <w:p>
            <w:pPr>
              <w:pStyle w:val="TableParagraph"/>
              <w:rPr>
                <w:rFonts w:ascii="Times New Roman"/>
                <w:sz w:val="12"/>
              </w:rPr>
            </w:pPr>
          </w:p>
        </w:tc>
        <w:tc>
          <w:tcPr>
            <w:tcW w:w="1238" w:type="dxa"/>
            <w:shd w:val="clear" w:color="auto" w:fill="002D5D"/>
          </w:tcPr>
          <w:p>
            <w:pPr>
              <w:pStyle w:val="TableParagraph"/>
              <w:rPr>
                <w:rFonts w:ascii="Times New Roman"/>
                <w:sz w:val="12"/>
              </w:rPr>
            </w:pPr>
          </w:p>
        </w:tc>
        <w:tc>
          <w:tcPr>
            <w:tcW w:w="475" w:type="dxa"/>
            <w:vMerge/>
            <w:tcBorders>
              <w:top w:val="nil"/>
            </w:tcBorders>
            <w:shd w:val="clear" w:color="auto" w:fill="002D5D"/>
          </w:tcPr>
          <w:p>
            <w:pPr>
              <w:rPr>
                <w:sz w:val="2"/>
                <w:szCs w:val="2"/>
              </w:rPr>
            </w:pPr>
          </w:p>
        </w:tc>
        <w:tc>
          <w:tcPr>
            <w:tcW w:w="1497" w:type="dxa"/>
            <w:gridSpan w:val="2"/>
            <w:vMerge/>
            <w:tcBorders>
              <w:top w:val="nil"/>
            </w:tcBorders>
            <w:shd w:val="clear" w:color="auto" w:fill="002D5D"/>
          </w:tcPr>
          <w:p>
            <w:pPr>
              <w:rPr>
                <w:sz w:val="2"/>
                <w:szCs w:val="2"/>
              </w:rPr>
            </w:pPr>
          </w:p>
        </w:tc>
        <w:tc>
          <w:tcPr>
            <w:tcW w:w="1144" w:type="dxa"/>
            <w:vMerge/>
            <w:tcBorders>
              <w:top w:val="nil"/>
            </w:tcBorders>
            <w:shd w:val="clear" w:color="auto" w:fill="002D5D"/>
          </w:tcPr>
          <w:p>
            <w:pPr>
              <w:rPr>
                <w:sz w:val="2"/>
                <w:szCs w:val="2"/>
              </w:rPr>
            </w:pPr>
          </w:p>
        </w:tc>
      </w:tr>
      <w:tr>
        <w:trPr>
          <w:trHeight w:val="266" w:hRule="atLeast"/>
        </w:trPr>
        <w:tc>
          <w:tcPr>
            <w:tcW w:w="1667" w:type="dxa"/>
            <w:shd w:val="clear" w:color="auto" w:fill="002D5D"/>
          </w:tcPr>
          <w:p>
            <w:pPr>
              <w:pStyle w:val="TableParagraph"/>
              <w:rPr>
                <w:rFonts w:ascii="Times New Roman"/>
                <w:sz w:val="16"/>
              </w:rPr>
            </w:pPr>
          </w:p>
        </w:tc>
        <w:tc>
          <w:tcPr>
            <w:tcW w:w="1388" w:type="dxa"/>
            <w:shd w:val="clear" w:color="auto" w:fill="002D5D"/>
          </w:tcPr>
          <w:p>
            <w:pPr>
              <w:pStyle w:val="TableParagraph"/>
              <w:rPr>
                <w:rFonts w:ascii="Times New Roman"/>
                <w:sz w:val="16"/>
              </w:rPr>
            </w:pPr>
          </w:p>
        </w:tc>
        <w:tc>
          <w:tcPr>
            <w:tcW w:w="1052" w:type="dxa"/>
            <w:shd w:val="clear" w:color="auto" w:fill="002D5D"/>
          </w:tcPr>
          <w:p>
            <w:pPr>
              <w:pStyle w:val="TableParagraph"/>
              <w:rPr>
                <w:rFonts w:ascii="Times New Roman"/>
                <w:sz w:val="16"/>
              </w:rPr>
            </w:pPr>
          </w:p>
        </w:tc>
        <w:tc>
          <w:tcPr>
            <w:tcW w:w="649" w:type="dxa"/>
            <w:shd w:val="clear" w:color="auto" w:fill="002D5D"/>
          </w:tcPr>
          <w:p>
            <w:pPr>
              <w:pStyle w:val="TableParagraph"/>
              <w:rPr>
                <w:rFonts w:ascii="Times New Roman"/>
                <w:sz w:val="16"/>
              </w:rPr>
            </w:pPr>
          </w:p>
        </w:tc>
        <w:tc>
          <w:tcPr>
            <w:tcW w:w="1087" w:type="dxa"/>
            <w:shd w:val="clear" w:color="auto" w:fill="002D5D"/>
          </w:tcPr>
          <w:p>
            <w:pPr>
              <w:pStyle w:val="TableParagraph"/>
              <w:spacing w:before="4"/>
              <w:ind w:left="58"/>
              <w:jc w:val="center"/>
              <w:rPr>
                <w:b/>
                <w:sz w:val="16"/>
              </w:rPr>
            </w:pPr>
            <w:r>
              <w:rPr>
                <w:b/>
                <w:color w:val="FFFFFF"/>
                <w:spacing w:val="-5"/>
                <w:sz w:val="16"/>
              </w:rPr>
              <w:t>(€)</w:t>
            </w:r>
          </w:p>
        </w:tc>
        <w:tc>
          <w:tcPr>
            <w:tcW w:w="603" w:type="dxa"/>
            <w:shd w:val="clear" w:color="auto" w:fill="002D5D"/>
          </w:tcPr>
          <w:p>
            <w:pPr>
              <w:pStyle w:val="TableParagraph"/>
              <w:spacing w:before="4"/>
              <w:ind w:right="161"/>
              <w:jc w:val="right"/>
              <w:rPr>
                <w:b/>
                <w:sz w:val="16"/>
              </w:rPr>
            </w:pPr>
            <w:r>
              <w:rPr>
                <w:b/>
                <w:color w:val="FFFFFF"/>
                <w:sz w:val="16"/>
              </w:rPr>
              <w:t>%</w:t>
            </w:r>
            <w:r>
              <w:rPr>
                <w:b/>
                <w:color w:val="FFFFFF"/>
                <w:spacing w:val="-1"/>
                <w:sz w:val="16"/>
              </w:rPr>
              <w:t> </w:t>
            </w:r>
            <w:r>
              <w:rPr>
                <w:b/>
                <w:color w:val="FFFFFF"/>
                <w:spacing w:val="-4"/>
                <w:sz w:val="16"/>
              </w:rPr>
              <w:t>(**)</w:t>
            </w:r>
          </w:p>
        </w:tc>
        <w:tc>
          <w:tcPr>
            <w:tcW w:w="1238" w:type="dxa"/>
            <w:shd w:val="clear" w:color="auto" w:fill="002D5D"/>
          </w:tcPr>
          <w:p>
            <w:pPr>
              <w:pStyle w:val="TableParagraph"/>
              <w:spacing w:before="4"/>
              <w:ind w:right="10"/>
              <w:jc w:val="center"/>
              <w:rPr>
                <w:b/>
                <w:sz w:val="16"/>
              </w:rPr>
            </w:pPr>
            <w:r>
              <w:rPr>
                <w:b/>
                <w:color w:val="FFFFFF"/>
                <w:spacing w:val="-5"/>
                <w:sz w:val="16"/>
              </w:rPr>
              <w:t>(€)</w:t>
            </w:r>
          </w:p>
        </w:tc>
        <w:tc>
          <w:tcPr>
            <w:tcW w:w="475" w:type="dxa"/>
            <w:shd w:val="clear" w:color="auto" w:fill="002D5D"/>
          </w:tcPr>
          <w:p>
            <w:pPr>
              <w:pStyle w:val="TableParagraph"/>
              <w:spacing w:before="4"/>
              <w:ind w:left="-17" w:right="148"/>
              <w:jc w:val="right"/>
              <w:rPr>
                <w:b/>
                <w:sz w:val="16"/>
              </w:rPr>
            </w:pPr>
            <w:r>
              <w:rPr>
                <w:b/>
                <w:color w:val="FFFFFF"/>
                <w:sz w:val="16"/>
              </w:rPr>
              <w:t>%</w:t>
            </w:r>
            <w:r>
              <w:rPr>
                <w:b/>
                <w:color w:val="FFFFFF"/>
                <w:spacing w:val="-1"/>
                <w:sz w:val="16"/>
              </w:rPr>
              <w:t> </w:t>
            </w:r>
            <w:r>
              <w:rPr>
                <w:b/>
                <w:color w:val="FFFFFF"/>
                <w:spacing w:val="-4"/>
                <w:sz w:val="16"/>
              </w:rPr>
              <w:t>(**)</w:t>
            </w:r>
          </w:p>
        </w:tc>
        <w:tc>
          <w:tcPr>
            <w:tcW w:w="933" w:type="dxa"/>
            <w:shd w:val="clear" w:color="auto" w:fill="002D5D"/>
          </w:tcPr>
          <w:p>
            <w:pPr>
              <w:pStyle w:val="TableParagraph"/>
              <w:spacing w:before="4"/>
              <w:ind w:left="93"/>
              <w:jc w:val="center"/>
              <w:rPr>
                <w:b/>
                <w:sz w:val="16"/>
              </w:rPr>
            </w:pPr>
            <w:r>
              <w:rPr>
                <w:b/>
                <w:color w:val="FFFFFF"/>
                <w:spacing w:val="-5"/>
                <w:sz w:val="16"/>
              </w:rPr>
              <w:t>(€)</w:t>
            </w:r>
          </w:p>
        </w:tc>
        <w:tc>
          <w:tcPr>
            <w:tcW w:w="564" w:type="dxa"/>
            <w:shd w:val="clear" w:color="auto" w:fill="002D5D"/>
          </w:tcPr>
          <w:p>
            <w:pPr>
              <w:pStyle w:val="TableParagraph"/>
              <w:spacing w:before="4"/>
              <w:ind w:left="92"/>
              <w:rPr>
                <w:b/>
                <w:sz w:val="16"/>
              </w:rPr>
            </w:pPr>
            <w:r>
              <w:rPr>
                <w:b/>
                <w:color w:val="FFFFFF"/>
                <w:sz w:val="16"/>
              </w:rPr>
              <w:t>%</w:t>
            </w:r>
            <w:r>
              <w:rPr>
                <w:b/>
                <w:color w:val="FFFFFF"/>
                <w:spacing w:val="-1"/>
                <w:sz w:val="16"/>
              </w:rPr>
              <w:t> </w:t>
            </w:r>
            <w:r>
              <w:rPr>
                <w:b/>
                <w:color w:val="FFFFFF"/>
                <w:spacing w:val="-4"/>
                <w:sz w:val="16"/>
              </w:rPr>
              <w:t>(**)</w:t>
            </w:r>
          </w:p>
        </w:tc>
        <w:tc>
          <w:tcPr>
            <w:tcW w:w="1144" w:type="dxa"/>
            <w:shd w:val="clear" w:color="auto" w:fill="002D5D"/>
          </w:tcPr>
          <w:p>
            <w:pPr>
              <w:pStyle w:val="TableParagraph"/>
              <w:rPr>
                <w:rFonts w:ascii="Times New Roman"/>
                <w:sz w:val="16"/>
              </w:rPr>
            </w:pPr>
          </w:p>
        </w:tc>
      </w:tr>
      <w:tr>
        <w:trPr>
          <w:trHeight w:val="780" w:hRule="atLeast"/>
        </w:trPr>
        <w:tc>
          <w:tcPr>
            <w:tcW w:w="1667" w:type="dxa"/>
            <w:tcBorders>
              <w:bottom w:val="single" w:sz="8" w:space="0" w:color="002D5D"/>
            </w:tcBorders>
          </w:tcPr>
          <w:p>
            <w:pPr>
              <w:pStyle w:val="TableParagraph"/>
              <w:spacing w:before="21"/>
              <w:rPr>
                <w:rFonts w:ascii="Arial"/>
                <w:b/>
                <w:sz w:val="16"/>
              </w:rPr>
            </w:pPr>
          </w:p>
          <w:p>
            <w:pPr>
              <w:pStyle w:val="TableParagraph"/>
              <w:spacing w:before="1"/>
              <w:ind w:left="69" w:right="97"/>
              <w:rPr>
                <w:sz w:val="16"/>
              </w:rPr>
            </w:pPr>
            <w:r>
              <w:rPr>
                <w:sz w:val="16"/>
              </w:rPr>
              <w:t>Adquisición</w:t>
            </w:r>
            <w:r>
              <w:rPr>
                <w:spacing w:val="-10"/>
                <w:sz w:val="16"/>
              </w:rPr>
              <w:t> </w:t>
            </w:r>
            <w:r>
              <w:rPr>
                <w:sz w:val="16"/>
              </w:rPr>
              <w:t>de</w:t>
            </w:r>
            <w:r>
              <w:rPr>
                <w:spacing w:val="-9"/>
                <w:sz w:val="16"/>
              </w:rPr>
              <w:t> </w:t>
            </w:r>
            <w:r>
              <w:rPr>
                <w:sz w:val="16"/>
              </w:rPr>
              <w:t>108</w:t>
            </w:r>
            <w:r>
              <w:rPr>
                <w:spacing w:val="-9"/>
                <w:sz w:val="16"/>
              </w:rPr>
              <w:t> </w:t>
            </w:r>
            <w:r>
              <w:rPr>
                <w:sz w:val="16"/>
              </w:rPr>
              <w:t>buses</w:t>
            </w:r>
            <w:r>
              <w:rPr>
                <w:spacing w:val="40"/>
                <w:sz w:val="16"/>
              </w:rPr>
              <w:t> </w:t>
            </w:r>
            <w:r>
              <w:rPr>
                <w:spacing w:val="-2"/>
                <w:sz w:val="16"/>
              </w:rPr>
              <w:t>eléctricos</w:t>
            </w:r>
          </w:p>
        </w:tc>
        <w:tc>
          <w:tcPr>
            <w:tcW w:w="1388" w:type="dxa"/>
            <w:tcBorders>
              <w:bottom w:val="single" w:sz="8" w:space="0" w:color="002D5D"/>
            </w:tcBorders>
          </w:tcPr>
          <w:p>
            <w:pPr>
              <w:pStyle w:val="TableParagraph"/>
              <w:spacing w:before="23"/>
              <w:ind w:left="73" w:right="130"/>
              <w:rPr>
                <w:sz w:val="16"/>
              </w:rPr>
            </w:pPr>
            <w:r>
              <w:rPr>
                <w:sz w:val="16"/>
              </w:rPr>
              <w:t>Adquisición</w:t>
            </w:r>
            <w:r>
              <w:rPr>
                <w:spacing w:val="-10"/>
                <w:sz w:val="16"/>
              </w:rPr>
              <w:t> </w:t>
            </w:r>
            <w:r>
              <w:rPr>
                <w:sz w:val="16"/>
              </w:rPr>
              <w:t>material</w:t>
            </w:r>
            <w:r>
              <w:rPr>
                <w:spacing w:val="40"/>
                <w:sz w:val="16"/>
              </w:rPr>
              <w:t> </w:t>
            </w:r>
            <w:r>
              <w:rPr>
                <w:sz w:val="16"/>
              </w:rPr>
              <w:t>móvil</w:t>
            </w:r>
            <w:r>
              <w:rPr>
                <w:spacing w:val="-8"/>
                <w:sz w:val="16"/>
              </w:rPr>
              <w:t> </w:t>
            </w:r>
            <w:r>
              <w:rPr>
                <w:sz w:val="16"/>
              </w:rPr>
              <w:t>e</w:t>
            </w:r>
            <w:r>
              <w:rPr>
                <w:spacing w:val="40"/>
                <w:sz w:val="16"/>
              </w:rPr>
              <w:t> </w:t>
            </w:r>
            <w:r>
              <w:rPr>
                <w:sz w:val="16"/>
              </w:rPr>
              <w:t>infraestructuras</w:t>
            </w:r>
            <w:r>
              <w:rPr>
                <w:spacing w:val="-8"/>
                <w:sz w:val="16"/>
              </w:rPr>
              <w:t> </w:t>
            </w:r>
            <w:r>
              <w:rPr>
                <w:sz w:val="16"/>
              </w:rPr>
              <w:t>de</w:t>
            </w:r>
            <w:r>
              <w:rPr>
                <w:spacing w:val="40"/>
                <w:sz w:val="16"/>
              </w:rPr>
              <w:t> </w:t>
            </w:r>
            <w:r>
              <w:rPr>
                <w:spacing w:val="-2"/>
                <w:sz w:val="16"/>
              </w:rPr>
              <w:t>recarga</w:t>
            </w:r>
          </w:p>
        </w:tc>
        <w:tc>
          <w:tcPr>
            <w:tcW w:w="1052" w:type="dxa"/>
            <w:tcBorders>
              <w:bottom w:val="single" w:sz="8" w:space="0" w:color="002D5D"/>
            </w:tcBorders>
          </w:tcPr>
          <w:p>
            <w:pPr>
              <w:pStyle w:val="TableParagraph"/>
              <w:spacing w:before="115"/>
              <w:rPr>
                <w:rFonts w:ascii="Arial"/>
                <w:b/>
                <w:sz w:val="16"/>
              </w:rPr>
            </w:pPr>
          </w:p>
          <w:p>
            <w:pPr>
              <w:pStyle w:val="TableParagraph"/>
              <w:ind w:right="68"/>
              <w:jc w:val="right"/>
              <w:rPr>
                <w:sz w:val="16"/>
              </w:rPr>
            </w:pPr>
            <w:r>
              <w:rPr>
                <w:spacing w:val="-2"/>
                <w:sz w:val="16"/>
              </w:rPr>
              <w:t>66.790.035,83</w:t>
            </w:r>
          </w:p>
        </w:tc>
        <w:tc>
          <w:tcPr>
            <w:tcW w:w="649" w:type="dxa"/>
            <w:tcBorders>
              <w:bottom w:val="single" w:sz="8" w:space="0" w:color="002D5D"/>
            </w:tcBorders>
          </w:tcPr>
          <w:p>
            <w:pPr>
              <w:pStyle w:val="TableParagraph"/>
              <w:spacing w:before="115"/>
              <w:rPr>
                <w:rFonts w:ascii="Arial"/>
                <w:b/>
                <w:sz w:val="16"/>
              </w:rPr>
            </w:pPr>
          </w:p>
          <w:p>
            <w:pPr>
              <w:pStyle w:val="TableParagraph"/>
              <w:ind w:right="28"/>
              <w:jc w:val="center"/>
              <w:rPr>
                <w:sz w:val="16"/>
              </w:rPr>
            </w:pPr>
            <w:r>
              <w:rPr>
                <w:spacing w:val="-2"/>
                <w:sz w:val="16"/>
              </w:rPr>
              <w:t>70,72</w:t>
            </w:r>
          </w:p>
        </w:tc>
        <w:tc>
          <w:tcPr>
            <w:tcW w:w="1087" w:type="dxa"/>
            <w:tcBorders>
              <w:bottom w:val="single" w:sz="8" w:space="0" w:color="002D5D"/>
            </w:tcBorders>
          </w:tcPr>
          <w:p>
            <w:pPr>
              <w:pStyle w:val="TableParagraph"/>
              <w:spacing w:before="115"/>
              <w:rPr>
                <w:rFonts w:ascii="Arial"/>
                <w:b/>
                <w:sz w:val="16"/>
              </w:rPr>
            </w:pPr>
          </w:p>
          <w:p>
            <w:pPr>
              <w:pStyle w:val="TableParagraph"/>
              <w:ind w:right="66"/>
              <w:jc w:val="right"/>
              <w:rPr>
                <w:sz w:val="16"/>
              </w:rPr>
            </w:pPr>
            <w:r>
              <w:rPr>
                <w:spacing w:val="-2"/>
                <w:sz w:val="16"/>
              </w:rPr>
              <w:t>43.270.035,83</w:t>
            </w:r>
          </w:p>
        </w:tc>
        <w:tc>
          <w:tcPr>
            <w:tcW w:w="603" w:type="dxa"/>
            <w:tcBorders>
              <w:bottom w:val="single" w:sz="8" w:space="0" w:color="002D5D"/>
            </w:tcBorders>
          </w:tcPr>
          <w:p>
            <w:pPr>
              <w:pStyle w:val="TableParagraph"/>
              <w:spacing w:before="115"/>
              <w:rPr>
                <w:rFonts w:ascii="Arial"/>
                <w:b/>
                <w:sz w:val="16"/>
              </w:rPr>
            </w:pPr>
          </w:p>
          <w:p>
            <w:pPr>
              <w:pStyle w:val="TableParagraph"/>
              <w:ind w:right="127"/>
              <w:jc w:val="right"/>
              <w:rPr>
                <w:sz w:val="16"/>
              </w:rPr>
            </w:pPr>
            <w:r>
              <w:rPr>
                <w:spacing w:val="-2"/>
                <w:sz w:val="16"/>
              </w:rPr>
              <w:t>64,79</w:t>
            </w:r>
          </w:p>
        </w:tc>
        <w:tc>
          <w:tcPr>
            <w:tcW w:w="1238" w:type="dxa"/>
            <w:tcBorders>
              <w:bottom w:val="single" w:sz="8" w:space="0" w:color="002D5D"/>
            </w:tcBorders>
          </w:tcPr>
          <w:p>
            <w:pPr>
              <w:pStyle w:val="TableParagraph"/>
              <w:spacing w:before="115"/>
              <w:rPr>
                <w:rFonts w:ascii="Arial"/>
                <w:b/>
                <w:sz w:val="16"/>
              </w:rPr>
            </w:pPr>
          </w:p>
          <w:p>
            <w:pPr>
              <w:pStyle w:val="TableParagraph"/>
              <w:ind w:left="213"/>
              <w:rPr>
                <w:sz w:val="16"/>
              </w:rPr>
            </w:pPr>
            <w:r>
              <w:rPr>
                <w:spacing w:val="-2"/>
                <w:sz w:val="16"/>
              </w:rPr>
              <w:t>23.520.000,00</w:t>
            </w:r>
          </w:p>
        </w:tc>
        <w:tc>
          <w:tcPr>
            <w:tcW w:w="475" w:type="dxa"/>
            <w:tcBorders>
              <w:bottom w:val="single" w:sz="8" w:space="0" w:color="002D5D"/>
            </w:tcBorders>
          </w:tcPr>
          <w:p>
            <w:pPr>
              <w:pStyle w:val="TableParagraph"/>
              <w:spacing w:before="115"/>
              <w:rPr>
                <w:rFonts w:ascii="Arial"/>
                <w:b/>
                <w:sz w:val="16"/>
              </w:rPr>
            </w:pPr>
          </w:p>
          <w:p>
            <w:pPr>
              <w:pStyle w:val="TableParagraph"/>
              <w:ind w:left="-17" w:right="115"/>
              <w:jc w:val="right"/>
              <w:rPr>
                <w:sz w:val="16"/>
              </w:rPr>
            </w:pPr>
            <w:r>
              <w:rPr>
                <w:spacing w:val="-2"/>
                <w:sz w:val="16"/>
              </w:rPr>
              <w:t>35,21</w:t>
            </w:r>
          </w:p>
        </w:tc>
        <w:tc>
          <w:tcPr>
            <w:tcW w:w="933" w:type="dxa"/>
            <w:tcBorders>
              <w:bottom w:val="single" w:sz="8" w:space="0" w:color="002D5D"/>
            </w:tcBorders>
          </w:tcPr>
          <w:p>
            <w:pPr>
              <w:pStyle w:val="TableParagraph"/>
              <w:spacing w:before="115"/>
              <w:rPr>
                <w:rFonts w:ascii="Arial"/>
                <w:b/>
                <w:sz w:val="16"/>
              </w:rPr>
            </w:pPr>
          </w:p>
          <w:p>
            <w:pPr>
              <w:pStyle w:val="TableParagraph"/>
              <w:ind w:right="86"/>
              <w:jc w:val="right"/>
              <w:rPr>
                <w:sz w:val="16"/>
              </w:rPr>
            </w:pPr>
            <w:r>
              <w:rPr>
                <w:spacing w:val="-4"/>
                <w:sz w:val="16"/>
              </w:rPr>
              <w:t>0,00</w:t>
            </w:r>
          </w:p>
        </w:tc>
        <w:tc>
          <w:tcPr>
            <w:tcW w:w="564" w:type="dxa"/>
            <w:tcBorders>
              <w:bottom w:val="single" w:sz="8" w:space="0" w:color="002D5D"/>
            </w:tcBorders>
          </w:tcPr>
          <w:p>
            <w:pPr>
              <w:pStyle w:val="TableParagraph"/>
              <w:spacing w:before="115"/>
              <w:rPr>
                <w:rFonts w:ascii="Arial"/>
                <w:b/>
                <w:sz w:val="16"/>
              </w:rPr>
            </w:pPr>
          </w:p>
          <w:p>
            <w:pPr>
              <w:pStyle w:val="TableParagraph"/>
              <w:ind w:right="55"/>
              <w:jc w:val="right"/>
              <w:rPr>
                <w:sz w:val="16"/>
              </w:rPr>
            </w:pPr>
            <w:r>
              <w:rPr>
                <w:spacing w:val="-4"/>
                <w:sz w:val="16"/>
              </w:rPr>
              <w:t>0,00</w:t>
            </w:r>
          </w:p>
        </w:tc>
        <w:tc>
          <w:tcPr>
            <w:tcW w:w="1144" w:type="dxa"/>
            <w:tcBorders>
              <w:bottom w:val="single" w:sz="8" w:space="0" w:color="002D5D"/>
            </w:tcBorders>
          </w:tcPr>
          <w:p>
            <w:pPr>
              <w:pStyle w:val="TableParagraph"/>
              <w:spacing w:before="115"/>
              <w:rPr>
                <w:rFonts w:ascii="Arial"/>
                <w:b/>
                <w:sz w:val="16"/>
              </w:rPr>
            </w:pPr>
          </w:p>
          <w:p>
            <w:pPr>
              <w:pStyle w:val="TableParagraph"/>
              <w:ind w:left="9"/>
              <w:jc w:val="center"/>
              <w:rPr>
                <w:sz w:val="16"/>
              </w:rPr>
            </w:pPr>
            <w:r>
              <w:rPr>
                <w:sz w:val="16"/>
              </w:rPr>
              <w:t>En</w:t>
            </w:r>
            <w:r>
              <w:rPr>
                <w:spacing w:val="-2"/>
                <w:sz w:val="16"/>
              </w:rPr>
              <w:t> ejecución</w:t>
            </w:r>
          </w:p>
        </w:tc>
      </w:tr>
      <w:tr>
        <w:trPr>
          <w:trHeight w:val="781" w:hRule="atLeast"/>
        </w:trPr>
        <w:tc>
          <w:tcPr>
            <w:tcW w:w="1667" w:type="dxa"/>
            <w:tcBorders>
              <w:top w:val="single" w:sz="8" w:space="0" w:color="002D5D"/>
              <w:bottom w:val="single" w:sz="8" w:space="0" w:color="002D5D"/>
            </w:tcBorders>
          </w:tcPr>
          <w:p>
            <w:pPr>
              <w:pStyle w:val="TableParagraph"/>
              <w:spacing w:before="116"/>
              <w:ind w:left="69" w:right="97"/>
              <w:rPr>
                <w:sz w:val="16"/>
              </w:rPr>
            </w:pPr>
            <w:r>
              <w:rPr>
                <w:sz w:val="16"/>
              </w:rPr>
              <w:t>Electrificación</w:t>
            </w:r>
            <w:r>
              <w:rPr>
                <w:spacing w:val="-4"/>
                <w:sz w:val="16"/>
              </w:rPr>
              <w:t> </w:t>
            </w:r>
            <w:r>
              <w:rPr>
                <w:sz w:val="16"/>
              </w:rPr>
              <w:t>de</w:t>
            </w:r>
            <w:r>
              <w:rPr>
                <w:spacing w:val="40"/>
                <w:sz w:val="16"/>
              </w:rPr>
              <w:t> </w:t>
            </w:r>
            <w:r>
              <w:rPr>
                <w:sz w:val="16"/>
              </w:rPr>
              <w:t>cocheras</w:t>
            </w:r>
            <w:r>
              <w:rPr>
                <w:spacing w:val="-10"/>
                <w:sz w:val="16"/>
              </w:rPr>
              <w:t> </w:t>
            </w:r>
            <w:r>
              <w:rPr>
                <w:sz w:val="16"/>
              </w:rPr>
              <w:t>y</w:t>
            </w:r>
            <w:r>
              <w:rPr>
                <w:spacing w:val="-9"/>
                <w:sz w:val="16"/>
              </w:rPr>
              <w:t> </w:t>
            </w:r>
            <w:r>
              <w:rPr>
                <w:sz w:val="16"/>
              </w:rPr>
              <w:t>puntos</w:t>
            </w:r>
            <w:r>
              <w:rPr>
                <w:spacing w:val="-9"/>
                <w:sz w:val="16"/>
              </w:rPr>
              <w:t> </w:t>
            </w:r>
            <w:r>
              <w:rPr>
                <w:sz w:val="16"/>
              </w:rPr>
              <w:t>de</w:t>
            </w:r>
            <w:r>
              <w:rPr>
                <w:spacing w:val="40"/>
                <w:sz w:val="16"/>
              </w:rPr>
              <w:t> </w:t>
            </w:r>
            <w:r>
              <w:rPr>
                <w:spacing w:val="-2"/>
                <w:sz w:val="16"/>
              </w:rPr>
              <w:t>recarga</w:t>
            </w:r>
          </w:p>
        </w:tc>
        <w:tc>
          <w:tcPr>
            <w:tcW w:w="1388" w:type="dxa"/>
            <w:tcBorders>
              <w:top w:val="single" w:sz="8" w:space="0" w:color="002D5D"/>
              <w:bottom w:val="single" w:sz="8" w:space="0" w:color="002D5D"/>
            </w:tcBorders>
          </w:tcPr>
          <w:p>
            <w:pPr>
              <w:pStyle w:val="TableParagraph"/>
              <w:spacing w:before="22"/>
              <w:ind w:left="73" w:right="130"/>
              <w:rPr>
                <w:sz w:val="16"/>
              </w:rPr>
            </w:pPr>
            <w:r>
              <w:rPr>
                <w:sz w:val="16"/>
              </w:rPr>
              <w:t>Adquisición</w:t>
            </w:r>
            <w:r>
              <w:rPr>
                <w:spacing w:val="-10"/>
                <w:sz w:val="16"/>
              </w:rPr>
              <w:t> </w:t>
            </w:r>
            <w:r>
              <w:rPr>
                <w:sz w:val="16"/>
              </w:rPr>
              <w:t>material</w:t>
            </w:r>
            <w:r>
              <w:rPr>
                <w:spacing w:val="40"/>
                <w:sz w:val="16"/>
              </w:rPr>
              <w:t> </w:t>
            </w:r>
            <w:r>
              <w:rPr>
                <w:sz w:val="16"/>
              </w:rPr>
              <w:t>móvil</w:t>
            </w:r>
            <w:r>
              <w:rPr>
                <w:spacing w:val="-8"/>
                <w:sz w:val="16"/>
              </w:rPr>
              <w:t> </w:t>
            </w:r>
            <w:r>
              <w:rPr>
                <w:sz w:val="16"/>
              </w:rPr>
              <w:t>e</w:t>
            </w:r>
            <w:r>
              <w:rPr>
                <w:spacing w:val="40"/>
                <w:sz w:val="16"/>
              </w:rPr>
              <w:t> </w:t>
            </w:r>
            <w:r>
              <w:rPr>
                <w:sz w:val="16"/>
              </w:rPr>
              <w:t>infraestructuras</w:t>
            </w:r>
            <w:r>
              <w:rPr>
                <w:spacing w:val="-8"/>
                <w:sz w:val="16"/>
              </w:rPr>
              <w:t> </w:t>
            </w:r>
            <w:r>
              <w:rPr>
                <w:sz w:val="16"/>
              </w:rPr>
              <w:t>de</w:t>
            </w:r>
            <w:r>
              <w:rPr>
                <w:spacing w:val="40"/>
                <w:sz w:val="16"/>
              </w:rPr>
              <w:t> </w:t>
            </w:r>
            <w:r>
              <w:rPr>
                <w:spacing w:val="-2"/>
                <w:sz w:val="16"/>
              </w:rPr>
              <w:t>recarga</w:t>
            </w:r>
          </w:p>
        </w:tc>
        <w:tc>
          <w:tcPr>
            <w:tcW w:w="1052" w:type="dxa"/>
            <w:tcBorders>
              <w:top w:val="single" w:sz="8" w:space="0" w:color="002D5D"/>
              <w:bottom w:val="single" w:sz="8" w:space="0" w:color="002D5D"/>
            </w:tcBorders>
          </w:tcPr>
          <w:p>
            <w:pPr>
              <w:pStyle w:val="TableParagraph"/>
              <w:spacing w:before="114"/>
              <w:rPr>
                <w:rFonts w:ascii="Arial"/>
                <w:b/>
                <w:sz w:val="16"/>
              </w:rPr>
            </w:pPr>
          </w:p>
          <w:p>
            <w:pPr>
              <w:pStyle w:val="TableParagraph"/>
              <w:ind w:right="68"/>
              <w:jc w:val="right"/>
              <w:rPr>
                <w:sz w:val="16"/>
              </w:rPr>
            </w:pPr>
            <w:r>
              <w:rPr>
                <w:spacing w:val="-2"/>
                <w:sz w:val="16"/>
              </w:rPr>
              <w:t>15.271.464,01</w:t>
            </w:r>
          </w:p>
        </w:tc>
        <w:tc>
          <w:tcPr>
            <w:tcW w:w="649" w:type="dxa"/>
            <w:tcBorders>
              <w:top w:val="single" w:sz="8" w:space="0" w:color="002D5D"/>
              <w:bottom w:val="single" w:sz="8" w:space="0" w:color="002D5D"/>
            </w:tcBorders>
          </w:tcPr>
          <w:p>
            <w:pPr>
              <w:pStyle w:val="TableParagraph"/>
              <w:spacing w:before="114"/>
              <w:rPr>
                <w:rFonts w:ascii="Arial"/>
                <w:b/>
                <w:sz w:val="16"/>
              </w:rPr>
            </w:pPr>
          </w:p>
          <w:p>
            <w:pPr>
              <w:pStyle w:val="TableParagraph"/>
              <w:ind w:right="28"/>
              <w:jc w:val="center"/>
              <w:rPr>
                <w:sz w:val="16"/>
              </w:rPr>
            </w:pPr>
            <w:r>
              <w:rPr>
                <w:spacing w:val="-2"/>
                <w:sz w:val="16"/>
              </w:rPr>
              <w:t>16,17</w:t>
            </w:r>
          </w:p>
        </w:tc>
        <w:tc>
          <w:tcPr>
            <w:tcW w:w="1087" w:type="dxa"/>
            <w:tcBorders>
              <w:top w:val="single" w:sz="8" w:space="0" w:color="002D5D"/>
              <w:bottom w:val="single" w:sz="8" w:space="0" w:color="002D5D"/>
            </w:tcBorders>
          </w:tcPr>
          <w:p>
            <w:pPr>
              <w:pStyle w:val="TableParagraph"/>
              <w:spacing w:before="114"/>
              <w:rPr>
                <w:rFonts w:ascii="Arial"/>
                <w:b/>
                <w:sz w:val="16"/>
              </w:rPr>
            </w:pPr>
          </w:p>
          <w:p>
            <w:pPr>
              <w:pStyle w:val="TableParagraph"/>
              <w:ind w:right="66"/>
              <w:jc w:val="right"/>
              <w:rPr>
                <w:sz w:val="16"/>
              </w:rPr>
            </w:pPr>
            <w:r>
              <w:rPr>
                <w:spacing w:val="-2"/>
                <w:sz w:val="16"/>
              </w:rPr>
              <w:t>4.636.420,79</w:t>
            </w:r>
          </w:p>
        </w:tc>
        <w:tc>
          <w:tcPr>
            <w:tcW w:w="603" w:type="dxa"/>
            <w:tcBorders>
              <w:top w:val="single" w:sz="8" w:space="0" w:color="002D5D"/>
              <w:bottom w:val="single" w:sz="8" w:space="0" w:color="002D5D"/>
            </w:tcBorders>
          </w:tcPr>
          <w:p>
            <w:pPr>
              <w:pStyle w:val="TableParagraph"/>
              <w:spacing w:before="114"/>
              <w:rPr>
                <w:rFonts w:ascii="Arial"/>
                <w:b/>
                <w:sz w:val="16"/>
              </w:rPr>
            </w:pPr>
          </w:p>
          <w:p>
            <w:pPr>
              <w:pStyle w:val="TableParagraph"/>
              <w:ind w:right="127"/>
              <w:jc w:val="right"/>
              <w:rPr>
                <w:sz w:val="16"/>
              </w:rPr>
            </w:pPr>
            <w:r>
              <w:rPr>
                <w:spacing w:val="-2"/>
                <w:sz w:val="16"/>
              </w:rPr>
              <w:t>30,36</w:t>
            </w:r>
          </w:p>
        </w:tc>
        <w:tc>
          <w:tcPr>
            <w:tcW w:w="1238" w:type="dxa"/>
            <w:tcBorders>
              <w:top w:val="single" w:sz="8" w:space="0" w:color="002D5D"/>
              <w:bottom w:val="single" w:sz="8" w:space="0" w:color="002D5D"/>
            </w:tcBorders>
          </w:tcPr>
          <w:p>
            <w:pPr>
              <w:pStyle w:val="TableParagraph"/>
              <w:spacing w:before="114"/>
              <w:rPr>
                <w:rFonts w:ascii="Arial"/>
                <w:b/>
                <w:sz w:val="16"/>
              </w:rPr>
            </w:pPr>
          </w:p>
          <w:p>
            <w:pPr>
              <w:pStyle w:val="TableParagraph"/>
              <w:ind w:left="213"/>
              <w:rPr>
                <w:sz w:val="16"/>
              </w:rPr>
            </w:pPr>
            <w:r>
              <w:rPr>
                <w:spacing w:val="-2"/>
                <w:sz w:val="16"/>
              </w:rPr>
              <w:t>10.635.043,22</w:t>
            </w:r>
          </w:p>
        </w:tc>
        <w:tc>
          <w:tcPr>
            <w:tcW w:w="475" w:type="dxa"/>
            <w:tcBorders>
              <w:top w:val="single" w:sz="8" w:space="0" w:color="002D5D"/>
              <w:bottom w:val="single" w:sz="8" w:space="0" w:color="002D5D"/>
            </w:tcBorders>
          </w:tcPr>
          <w:p>
            <w:pPr>
              <w:pStyle w:val="TableParagraph"/>
              <w:spacing w:before="114"/>
              <w:rPr>
                <w:rFonts w:ascii="Arial"/>
                <w:b/>
                <w:sz w:val="16"/>
              </w:rPr>
            </w:pPr>
          </w:p>
          <w:p>
            <w:pPr>
              <w:pStyle w:val="TableParagraph"/>
              <w:ind w:left="-17" w:right="115"/>
              <w:jc w:val="right"/>
              <w:rPr>
                <w:sz w:val="16"/>
              </w:rPr>
            </w:pPr>
            <w:r>
              <w:rPr>
                <w:spacing w:val="-2"/>
                <w:sz w:val="16"/>
              </w:rPr>
              <w:t>69,64</w:t>
            </w:r>
          </w:p>
        </w:tc>
        <w:tc>
          <w:tcPr>
            <w:tcW w:w="933" w:type="dxa"/>
            <w:tcBorders>
              <w:top w:val="single" w:sz="8" w:space="0" w:color="002D5D"/>
              <w:bottom w:val="single" w:sz="8" w:space="0" w:color="002D5D"/>
            </w:tcBorders>
          </w:tcPr>
          <w:p>
            <w:pPr>
              <w:pStyle w:val="TableParagraph"/>
              <w:spacing w:before="114"/>
              <w:rPr>
                <w:rFonts w:ascii="Arial"/>
                <w:b/>
                <w:sz w:val="16"/>
              </w:rPr>
            </w:pPr>
          </w:p>
          <w:p>
            <w:pPr>
              <w:pStyle w:val="TableParagraph"/>
              <w:ind w:right="86"/>
              <w:jc w:val="right"/>
              <w:rPr>
                <w:sz w:val="16"/>
              </w:rPr>
            </w:pPr>
            <w:r>
              <w:rPr>
                <w:spacing w:val="-4"/>
                <w:sz w:val="16"/>
              </w:rPr>
              <w:t>0,00</w:t>
            </w:r>
          </w:p>
        </w:tc>
        <w:tc>
          <w:tcPr>
            <w:tcW w:w="564" w:type="dxa"/>
            <w:tcBorders>
              <w:top w:val="single" w:sz="8" w:space="0" w:color="002D5D"/>
              <w:bottom w:val="single" w:sz="8" w:space="0" w:color="002D5D"/>
            </w:tcBorders>
          </w:tcPr>
          <w:p>
            <w:pPr>
              <w:pStyle w:val="TableParagraph"/>
              <w:spacing w:before="114"/>
              <w:rPr>
                <w:rFonts w:ascii="Arial"/>
                <w:b/>
                <w:sz w:val="16"/>
              </w:rPr>
            </w:pPr>
          </w:p>
          <w:p>
            <w:pPr>
              <w:pStyle w:val="TableParagraph"/>
              <w:ind w:right="55"/>
              <w:jc w:val="right"/>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114"/>
              <w:rPr>
                <w:rFonts w:ascii="Arial"/>
                <w:b/>
                <w:sz w:val="16"/>
              </w:rPr>
            </w:pPr>
          </w:p>
          <w:p>
            <w:pPr>
              <w:pStyle w:val="TableParagraph"/>
              <w:ind w:left="9"/>
              <w:jc w:val="center"/>
              <w:rPr>
                <w:sz w:val="16"/>
              </w:rPr>
            </w:pPr>
            <w:r>
              <w:rPr>
                <w:sz w:val="16"/>
              </w:rPr>
              <w:t>En</w:t>
            </w:r>
            <w:r>
              <w:rPr>
                <w:spacing w:val="-2"/>
                <w:sz w:val="16"/>
              </w:rPr>
              <w:t> ejecución</w:t>
            </w:r>
          </w:p>
        </w:tc>
      </w:tr>
      <w:tr>
        <w:trPr>
          <w:trHeight w:val="779" w:hRule="atLeast"/>
        </w:trPr>
        <w:tc>
          <w:tcPr>
            <w:tcW w:w="1667" w:type="dxa"/>
            <w:tcBorders>
              <w:top w:val="single" w:sz="8" w:space="0" w:color="002D5D"/>
              <w:bottom w:val="single" w:sz="8" w:space="0" w:color="002D5D"/>
            </w:tcBorders>
          </w:tcPr>
          <w:p>
            <w:pPr>
              <w:pStyle w:val="TableParagraph"/>
              <w:spacing w:before="113"/>
              <w:ind w:left="69" w:right="97"/>
              <w:rPr>
                <w:sz w:val="16"/>
              </w:rPr>
            </w:pPr>
            <w:r>
              <w:rPr>
                <w:sz w:val="16"/>
              </w:rPr>
              <w:t>Compra de material</w:t>
            </w:r>
            <w:r>
              <w:rPr>
                <w:spacing w:val="40"/>
                <w:sz w:val="16"/>
              </w:rPr>
              <w:t> </w:t>
            </w:r>
            <w:r>
              <w:rPr>
                <w:sz w:val="16"/>
              </w:rPr>
              <w:t>rodante</w:t>
            </w:r>
            <w:r>
              <w:rPr>
                <w:spacing w:val="-10"/>
                <w:sz w:val="16"/>
              </w:rPr>
              <w:t> </w:t>
            </w:r>
            <w:r>
              <w:rPr>
                <w:sz w:val="16"/>
              </w:rPr>
              <w:t>ferroviario</w:t>
            </w:r>
            <w:r>
              <w:rPr>
                <w:spacing w:val="-9"/>
                <w:sz w:val="16"/>
              </w:rPr>
              <w:t> </w:t>
            </w:r>
            <w:r>
              <w:rPr>
                <w:sz w:val="16"/>
              </w:rPr>
              <w:t>L1</w:t>
            </w:r>
            <w:r>
              <w:rPr>
                <w:spacing w:val="-9"/>
                <w:sz w:val="16"/>
              </w:rPr>
              <w:t> </w:t>
            </w:r>
            <w:r>
              <w:rPr>
                <w:sz w:val="16"/>
              </w:rPr>
              <w:t>del</w:t>
            </w:r>
            <w:r>
              <w:rPr>
                <w:spacing w:val="40"/>
                <w:sz w:val="16"/>
              </w:rPr>
              <w:t> </w:t>
            </w:r>
            <w:r>
              <w:rPr>
                <w:sz w:val="16"/>
              </w:rPr>
              <w:t>Tranvía de Zaragoza</w:t>
            </w:r>
          </w:p>
        </w:tc>
        <w:tc>
          <w:tcPr>
            <w:tcW w:w="1388" w:type="dxa"/>
            <w:tcBorders>
              <w:top w:val="single" w:sz="8" w:space="0" w:color="002D5D"/>
              <w:bottom w:val="single" w:sz="8" w:space="0" w:color="002D5D"/>
            </w:tcBorders>
          </w:tcPr>
          <w:p>
            <w:pPr>
              <w:pStyle w:val="TableParagraph"/>
              <w:spacing w:before="22"/>
              <w:ind w:left="73" w:right="130"/>
              <w:rPr>
                <w:sz w:val="16"/>
              </w:rPr>
            </w:pPr>
            <w:r>
              <w:rPr>
                <w:sz w:val="16"/>
              </w:rPr>
              <w:t>Adquisición</w:t>
            </w:r>
            <w:r>
              <w:rPr>
                <w:spacing w:val="-10"/>
                <w:sz w:val="16"/>
              </w:rPr>
              <w:t> </w:t>
            </w:r>
            <w:r>
              <w:rPr>
                <w:sz w:val="16"/>
              </w:rPr>
              <w:t>material</w:t>
            </w:r>
            <w:r>
              <w:rPr>
                <w:spacing w:val="40"/>
                <w:sz w:val="16"/>
              </w:rPr>
              <w:t> </w:t>
            </w:r>
            <w:r>
              <w:rPr>
                <w:sz w:val="16"/>
              </w:rPr>
              <w:t>móvil</w:t>
            </w:r>
            <w:r>
              <w:rPr>
                <w:spacing w:val="-8"/>
                <w:sz w:val="16"/>
              </w:rPr>
              <w:t> </w:t>
            </w:r>
            <w:r>
              <w:rPr>
                <w:sz w:val="16"/>
              </w:rPr>
              <w:t>e</w:t>
            </w:r>
            <w:r>
              <w:rPr>
                <w:spacing w:val="40"/>
                <w:sz w:val="16"/>
              </w:rPr>
              <w:t> </w:t>
            </w:r>
            <w:r>
              <w:rPr>
                <w:sz w:val="16"/>
              </w:rPr>
              <w:t>infraestructuras</w:t>
            </w:r>
            <w:r>
              <w:rPr>
                <w:spacing w:val="-8"/>
                <w:sz w:val="16"/>
              </w:rPr>
              <w:t> </w:t>
            </w:r>
            <w:r>
              <w:rPr>
                <w:sz w:val="16"/>
              </w:rPr>
              <w:t>de</w:t>
            </w:r>
            <w:r>
              <w:rPr>
                <w:spacing w:val="40"/>
                <w:sz w:val="16"/>
              </w:rPr>
              <w:t> </w:t>
            </w:r>
            <w:r>
              <w:rPr>
                <w:spacing w:val="-2"/>
                <w:sz w:val="16"/>
              </w:rPr>
              <w:t>recarga</w:t>
            </w:r>
          </w:p>
        </w:tc>
        <w:tc>
          <w:tcPr>
            <w:tcW w:w="1052" w:type="dxa"/>
            <w:tcBorders>
              <w:top w:val="single" w:sz="8" w:space="0" w:color="002D5D"/>
              <w:bottom w:val="single" w:sz="8" w:space="0" w:color="002D5D"/>
            </w:tcBorders>
          </w:tcPr>
          <w:p>
            <w:pPr>
              <w:pStyle w:val="TableParagraph"/>
              <w:spacing w:before="112"/>
              <w:rPr>
                <w:rFonts w:ascii="Arial"/>
                <w:b/>
                <w:sz w:val="16"/>
              </w:rPr>
            </w:pPr>
          </w:p>
          <w:p>
            <w:pPr>
              <w:pStyle w:val="TableParagraph"/>
              <w:ind w:right="68"/>
              <w:jc w:val="right"/>
              <w:rPr>
                <w:sz w:val="16"/>
              </w:rPr>
            </w:pPr>
            <w:r>
              <w:rPr>
                <w:spacing w:val="-2"/>
                <w:sz w:val="16"/>
              </w:rPr>
              <w:t>9.312.131,07</w:t>
            </w:r>
          </w:p>
        </w:tc>
        <w:tc>
          <w:tcPr>
            <w:tcW w:w="649" w:type="dxa"/>
            <w:tcBorders>
              <w:top w:val="single" w:sz="8" w:space="0" w:color="002D5D"/>
              <w:bottom w:val="single" w:sz="8" w:space="0" w:color="002D5D"/>
            </w:tcBorders>
          </w:tcPr>
          <w:p>
            <w:pPr>
              <w:pStyle w:val="TableParagraph"/>
              <w:spacing w:before="112"/>
              <w:rPr>
                <w:rFonts w:ascii="Arial"/>
                <w:b/>
                <w:sz w:val="16"/>
              </w:rPr>
            </w:pPr>
          </w:p>
          <w:p>
            <w:pPr>
              <w:pStyle w:val="TableParagraph"/>
              <w:ind w:left="44"/>
              <w:jc w:val="center"/>
              <w:rPr>
                <w:sz w:val="16"/>
              </w:rPr>
            </w:pPr>
            <w:r>
              <w:rPr>
                <w:spacing w:val="-4"/>
                <w:sz w:val="16"/>
              </w:rPr>
              <w:t>9,86</w:t>
            </w:r>
          </w:p>
        </w:tc>
        <w:tc>
          <w:tcPr>
            <w:tcW w:w="1087" w:type="dxa"/>
            <w:tcBorders>
              <w:top w:val="single" w:sz="8" w:space="0" w:color="002D5D"/>
              <w:bottom w:val="single" w:sz="8" w:space="0" w:color="002D5D"/>
            </w:tcBorders>
          </w:tcPr>
          <w:p>
            <w:pPr>
              <w:pStyle w:val="TableParagraph"/>
              <w:spacing w:before="112"/>
              <w:rPr>
                <w:rFonts w:ascii="Arial"/>
                <w:b/>
                <w:sz w:val="16"/>
              </w:rPr>
            </w:pPr>
          </w:p>
          <w:p>
            <w:pPr>
              <w:pStyle w:val="TableParagraph"/>
              <w:ind w:right="66"/>
              <w:jc w:val="right"/>
              <w:rPr>
                <w:sz w:val="16"/>
              </w:rPr>
            </w:pPr>
            <w:r>
              <w:rPr>
                <w:spacing w:val="-2"/>
                <w:sz w:val="16"/>
              </w:rPr>
              <w:t>931.213,11</w:t>
            </w:r>
          </w:p>
        </w:tc>
        <w:tc>
          <w:tcPr>
            <w:tcW w:w="603" w:type="dxa"/>
            <w:tcBorders>
              <w:top w:val="single" w:sz="8" w:space="0" w:color="002D5D"/>
              <w:bottom w:val="single" w:sz="8" w:space="0" w:color="002D5D"/>
            </w:tcBorders>
          </w:tcPr>
          <w:p>
            <w:pPr>
              <w:pStyle w:val="TableParagraph"/>
              <w:spacing w:before="112"/>
              <w:rPr>
                <w:rFonts w:ascii="Arial"/>
                <w:b/>
                <w:sz w:val="16"/>
              </w:rPr>
            </w:pPr>
          </w:p>
          <w:p>
            <w:pPr>
              <w:pStyle w:val="TableParagraph"/>
              <w:ind w:right="127"/>
              <w:jc w:val="right"/>
              <w:rPr>
                <w:sz w:val="16"/>
              </w:rPr>
            </w:pPr>
            <w:r>
              <w:rPr>
                <w:spacing w:val="-2"/>
                <w:sz w:val="16"/>
              </w:rPr>
              <w:t>10,00</w:t>
            </w:r>
          </w:p>
        </w:tc>
        <w:tc>
          <w:tcPr>
            <w:tcW w:w="1238" w:type="dxa"/>
            <w:tcBorders>
              <w:top w:val="single" w:sz="8" w:space="0" w:color="002D5D"/>
              <w:bottom w:val="single" w:sz="8" w:space="0" w:color="002D5D"/>
            </w:tcBorders>
          </w:tcPr>
          <w:p>
            <w:pPr>
              <w:pStyle w:val="TableParagraph"/>
              <w:spacing w:before="112"/>
              <w:rPr>
                <w:rFonts w:ascii="Arial"/>
                <w:b/>
                <w:sz w:val="16"/>
              </w:rPr>
            </w:pPr>
          </w:p>
          <w:p>
            <w:pPr>
              <w:pStyle w:val="TableParagraph"/>
              <w:ind w:left="287"/>
              <w:rPr>
                <w:sz w:val="16"/>
              </w:rPr>
            </w:pPr>
            <w:r>
              <w:rPr>
                <w:spacing w:val="-2"/>
                <w:sz w:val="16"/>
              </w:rPr>
              <w:t>8.380.917,96</w:t>
            </w:r>
          </w:p>
        </w:tc>
        <w:tc>
          <w:tcPr>
            <w:tcW w:w="475" w:type="dxa"/>
            <w:tcBorders>
              <w:top w:val="single" w:sz="8" w:space="0" w:color="002D5D"/>
              <w:bottom w:val="single" w:sz="8" w:space="0" w:color="002D5D"/>
            </w:tcBorders>
          </w:tcPr>
          <w:p>
            <w:pPr>
              <w:pStyle w:val="TableParagraph"/>
              <w:spacing w:before="112"/>
              <w:rPr>
                <w:rFonts w:ascii="Arial"/>
                <w:b/>
                <w:sz w:val="16"/>
              </w:rPr>
            </w:pPr>
          </w:p>
          <w:p>
            <w:pPr>
              <w:pStyle w:val="TableParagraph"/>
              <w:ind w:left="-17" w:right="115"/>
              <w:jc w:val="right"/>
              <w:rPr>
                <w:sz w:val="16"/>
              </w:rPr>
            </w:pPr>
            <w:r>
              <w:rPr>
                <w:spacing w:val="-2"/>
                <w:sz w:val="16"/>
              </w:rPr>
              <w:t>90,00</w:t>
            </w:r>
          </w:p>
        </w:tc>
        <w:tc>
          <w:tcPr>
            <w:tcW w:w="933" w:type="dxa"/>
            <w:tcBorders>
              <w:top w:val="single" w:sz="8" w:space="0" w:color="002D5D"/>
              <w:bottom w:val="single" w:sz="8" w:space="0" w:color="002D5D"/>
            </w:tcBorders>
          </w:tcPr>
          <w:p>
            <w:pPr>
              <w:pStyle w:val="TableParagraph"/>
              <w:spacing w:before="112"/>
              <w:rPr>
                <w:rFonts w:ascii="Arial"/>
                <w:b/>
                <w:sz w:val="16"/>
              </w:rPr>
            </w:pPr>
          </w:p>
          <w:p>
            <w:pPr>
              <w:pStyle w:val="TableParagraph"/>
              <w:ind w:right="86"/>
              <w:jc w:val="right"/>
              <w:rPr>
                <w:sz w:val="16"/>
              </w:rPr>
            </w:pPr>
            <w:r>
              <w:rPr>
                <w:spacing w:val="-4"/>
                <w:sz w:val="16"/>
              </w:rPr>
              <w:t>0,00</w:t>
            </w:r>
          </w:p>
        </w:tc>
        <w:tc>
          <w:tcPr>
            <w:tcW w:w="564" w:type="dxa"/>
            <w:tcBorders>
              <w:top w:val="single" w:sz="8" w:space="0" w:color="002D5D"/>
              <w:bottom w:val="single" w:sz="8" w:space="0" w:color="002D5D"/>
            </w:tcBorders>
          </w:tcPr>
          <w:p>
            <w:pPr>
              <w:pStyle w:val="TableParagraph"/>
              <w:spacing w:before="112"/>
              <w:rPr>
                <w:rFonts w:ascii="Arial"/>
                <w:b/>
                <w:sz w:val="16"/>
              </w:rPr>
            </w:pPr>
          </w:p>
          <w:p>
            <w:pPr>
              <w:pStyle w:val="TableParagraph"/>
              <w:ind w:right="55"/>
              <w:jc w:val="right"/>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112"/>
              <w:rPr>
                <w:rFonts w:ascii="Arial"/>
                <w:b/>
                <w:sz w:val="16"/>
              </w:rPr>
            </w:pPr>
          </w:p>
          <w:p>
            <w:pPr>
              <w:pStyle w:val="TableParagraph"/>
              <w:ind w:left="9"/>
              <w:jc w:val="center"/>
              <w:rPr>
                <w:sz w:val="16"/>
              </w:rPr>
            </w:pPr>
            <w:r>
              <w:rPr>
                <w:spacing w:val="-2"/>
                <w:sz w:val="16"/>
              </w:rPr>
              <w:t>Finalizada</w:t>
            </w:r>
          </w:p>
        </w:tc>
      </w:tr>
      <w:tr>
        <w:trPr>
          <w:trHeight w:val="551" w:hRule="atLeast"/>
        </w:trPr>
        <w:tc>
          <w:tcPr>
            <w:tcW w:w="1667" w:type="dxa"/>
            <w:tcBorders>
              <w:top w:val="single" w:sz="8" w:space="0" w:color="002D5D"/>
              <w:bottom w:val="single" w:sz="8" w:space="0" w:color="002D5D"/>
            </w:tcBorders>
          </w:tcPr>
          <w:p>
            <w:pPr>
              <w:pStyle w:val="TableParagraph"/>
              <w:spacing w:line="182" w:lineRule="exact"/>
              <w:ind w:left="69"/>
              <w:rPr>
                <w:sz w:val="16"/>
              </w:rPr>
            </w:pPr>
            <w:r>
              <w:rPr>
                <w:spacing w:val="-2"/>
                <w:sz w:val="16"/>
              </w:rPr>
              <w:t>Acondicionamiento</w:t>
            </w:r>
            <w:r>
              <w:rPr>
                <w:spacing w:val="19"/>
                <w:sz w:val="16"/>
              </w:rPr>
              <w:t> </w:t>
            </w:r>
            <w:r>
              <w:rPr>
                <w:spacing w:val="-10"/>
                <w:sz w:val="16"/>
              </w:rPr>
              <w:t>y</w:t>
            </w:r>
          </w:p>
          <w:p>
            <w:pPr>
              <w:pStyle w:val="TableParagraph"/>
              <w:spacing w:line="182" w:lineRule="exact"/>
              <w:ind w:left="69"/>
              <w:rPr>
                <w:sz w:val="16"/>
              </w:rPr>
            </w:pPr>
            <w:r>
              <w:rPr>
                <w:sz w:val="16"/>
              </w:rPr>
              <w:t>colocación</w:t>
            </w:r>
            <w:r>
              <w:rPr>
                <w:spacing w:val="-10"/>
                <w:sz w:val="16"/>
              </w:rPr>
              <w:t> </w:t>
            </w:r>
            <w:r>
              <w:rPr>
                <w:sz w:val="16"/>
              </w:rPr>
              <w:t>de</w:t>
            </w:r>
            <w:r>
              <w:rPr>
                <w:spacing w:val="-9"/>
                <w:sz w:val="16"/>
              </w:rPr>
              <w:t> </w:t>
            </w:r>
            <w:r>
              <w:rPr>
                <w:sz w:val="16"/>
              </w:rPr>
              <w:t>plataformas</w:t>
            </w:r>
            <w:r>
              <w:rPr>
                <w:spacing w:val="40"/>
                <w:sz w:val="16"/>
              </w:rPr>
              <w:t> </w:t>
            </w:r>
            <w:r>
              <w:rPr>
                <w:sz w:val="16"/>
              </w:rPr>
              <w:t>en</w:t>
            </w:r>
            <w:r>
              <w:rPr>
                <w:spacing w:val="-8"/>
                <w:sz w:val="16"/>
              </w:rPr>
              <w:t> </w:t>
            </w:r>
            <w:r>
              <w:rPr>
                <w:sz w:val="16"/>
              </w:rPr>
              <w:t>paradas</w:t>
            </w:r>
          </w:p>
        </w:tc>
        <w:tc>
          <w:tcPr>
            <w:tcW w:w="1388" w:type="dxa"/>
            <w:tcBorders>
              <w:top w:val="single" w:sz="8" w:space="0" w:color="002D5D"/>
              <w:bottom w:val="single" w:sz="8" w:space="0" w:color="002D5D"/>
            </w:tcBorders>
          </w:tcPr>
          <w:p>
            <w:pPr>
              <w:pStyle w:val="TableParagraph"/>
              <w:spacing w:before="92"/>
              <w:ind w:left="73" w:right="130"/>
              <w:rPr>
                <w:sz w:val="16"/>
              </w:rPr>
            </w:pPr>
            <w:r>
              <w:rPr>
                <w:sz w:val="16"/>
              </w:rPr>
              <w:t>Obras</w:t>
            </w:r>
            <w:r>
              <w:rPr>
                <w:spacing w:val="-10"/>
                <w:sz w:val="16"/>
              </w:rPr>
              <w:t> </w:t>
            </w:r>
            <w:r>
              <w:rPr>
                <w:sz w:val="16"/>
              </w:rPr>
              <w:t>y</w:t>
            </w:r>
            <w:r>
              <w:rPr>
                <w:spacing w:val="-9"/>
                <w:sz w:val="16"/>
              </w:rPr>
              <w:t> </w:t>
            </w:r>
            <w:r>
              <w:rPr>
                <w:sz w:val="16"/>
              </w:rPr>
              <w:t>estructuras</w:t>
            </w:r>
            <w:r>
              <w:rPr>
                <w:spacing w:val="40"/>
                <w:sz w:val="16"/>
              </w:rPr>
              <w:t> </w:t>
            </w:r>
            <w:r>
              <w:rPr>
                <w:sz w:val="16"/>
              </w:rPr>
              <w:t>en vía pública</w:t>
            </w:r>
          </w:p>
        </w:tc>
        <w:tc>
          <w:tcPr>
            <w:tcW w:w="1052" w:type="dxa"/>
            <w:tcBorders>
              <w:top w:val="single" w:sz="8" w:space="0" w:color="002D5D"/>
              <w:bottom w:val="single" w:sz="8" w:space="0" w:color="002D5D"/>
            </w:tcBorders>
          </w:tcPr>
          <w:p>
            <w:pPr>
              <w:pStyle w:val="TableParagraph"/>
              <w:spacing w:before="183"/>
              <w:ind w:right="68"/>
              <w:jc w:val="right"/>
              <w:rPr>
                <w:sz w:val="16"/>
              </w:rPr>
            </w:pPr>
            <w:r>
              <w:rPr>
                <w:spacing w:val="-2"/>
                <w:sz w:val="16"/>
              </w:rPr>
              <w:t>307.722,69</w:t>
            </w:r>
          </w:p>
        </w:tc>
        <w:tc>
          <w:tcPr>
            <w:tcW w:w="649" w:type="dxa"/>
            <w:tcBorders>
              <w:top w:val="single" w:sz="8" w:space="0" w:color="002D5D"/>
              <w:bottom w:val="single" w:sz="8" w:space="0" w:color="002D5D"/>
            </w:tcBorders>
          </w:tcPr>
          <w:p>
            <w:pPr>
              <w:pStyle w:val="TableParagraph"/>
              <w:spacing w:before="183"/>
              <w:ind w:left="44"/>
              <w:jc w:val="center"/>
              <w:rPr>
                <w:sz w:val="16"/>
              </w:rPr>
            </w:pPr>
            <w:r>
              <w:rPr>
                <w:spacing w:val="-4"/>
                <w:sz w:val="16"/>
              </w:rPr>
              <w:t>0,33</w:t>
            </w:r>
          </w:p>
        </w:tc>
        <w:tc>
          <w:tcPr>
            <w:tcW w:w="1087" w:type="dxa"/>
            <w:tcBorders>
              <w:top w:val="single" w:sz="8" w:space="0" w:color="002D5D"/>
              <w:bottom w:val="single" w:sz="8" w:space="0" w:color="002D5D"/>
            </w:tcBorders>
          </w:tcPr>
          <w:p>
            <w:pPr>
              <w:pStyle w:val="TableParagraph"/>
              <w:spacing w:before="183"/>
              <w:ind w:right="66"/>
              <w:jc w:val="right"/>
              <w:rPr>
                <w:sz w:val="16"/>
              </w:rPr>
            </w:pPr>
            <w:r>
              <w:rPr>
                <w:spacing w:val="-2"/>
                <w:sz w:val="16"/>
              </w:rPr>
              <w:t>307.722,69</w:t>
            </w:r>
          </w:p>
        </w:tc>
        <w:tc>
          <w:tcPr>
            <w:tcW w:w="603" w:type="dxa"/>
            <w:tcBorders>
              <w:top w:val="single" w:sz="8" w:space="0" w:color="002D5D"/>
              <w:bottom w:val="single" w:sz="8" w:space="0" w:color="002D5D"/>
            </w:tcBorders>
          </w:tcPr>
          <w:p>
            <w:pPr>
              <w:pStyle w:val="TableParagraph"/>
              <w:spacing w:before="183"/>
              <w:ind w:right="128"/>
              <w:jc w:val="right"/>
              <w:rPr>
                <w:sz w:val="16"/>
              </w:rPr>
            </w:pPr>
            <w:r>
              <w:rPr>
                <w:spacing w:val="-2"/>
                <w:sz w:val="16"/>
              </w:rPr>
              <w:t>100,00</w:t>
            </w:r>
          </w:p>
        </w:tc>
        <w:tc>
          <w:tcPr>
            <w:tcW w:w="1238" w:type="dxa"/>
            <w:tcBorders>
              <w:top w:val="single" w:sz="8" w:space="0" w:color="002D5D"/>
              <w:bottom w:val="single" w:sz="8" w:space="0" w:color="002D5D"/>
            </w:tcBorders>
          </w:tcPr>
          <w:p>
            <w:pPr>
              <w:pStyle w:val="TableParagraph"/>
              <w:spacing w:before="183"/>
              <w:ind w:left="799"/>
              <w:rPr>
                <w:sz w:val="16"/>
              </w:rPr>
            </w:pPr>
            <w:r>
              <w:rPr>
                <w:spacing w:val="-4"/>
                <w:sz w:val="16"/>
              </w:rPr>
              <w:t>0,00</w:t>
            </w:r>
          </w:p>
        </w:tc>
        <w:tc>
          <w:tcPr>
            <w:tcW w:w="475" w:type="dxa"/>
            <w:tcBorders>
              <w:top w:val="single" w:sz="8" w:space="0" w:color="002D5D"/>
              <w:bottom w:val="single" w:sz="8" w:space="0" w:color="002D5D"/>
            </w:tcBorders>
          </w:tcPr>
          <w:p>
            <w:pPr>
              <w:pStyle w:val="TableParagraph"/>
              <w:spacing w:before="183"/>
              <w:ind w:left="-17" w:right="113"/>
              <w:jc w:val="right"/>
              <w:rPr>
                <w:sz w:val="16"/>
              </w:rPr>
            </w:pPr>
            <w:r>
              <w:rPr>
                <w:spacing w:val="-4"/>
                <w:sz w:val="16"/>
              </w:rPr>
              <w:t>0,00</w:t>
            </w:r>
          </w:p>
        </w:tc>
        <w:tc>
          <w:tcPr>
            <w:tcW w:w="933" w:type="dxa"/>
            <w:tcBorders>
              <w:top w:val="single" w:sz="8" w:space="0" w:color="002D5D"/>
              <w:bottom w:val="single" w:sz="8" w:space="0" w:color="002D5D"/>
            </w:tcBorders>
          </w:tcPr>
          <w:p>
            <w:pPr>
              <w:pStyle w:val="TableParagraph"/>
              <w:spacing w:before="183"/>
              <w:ind w:right="86"/>
              <w:jc w:val="right"/>
              <w:rPr>
                <w:sz w:val="16"/>
              </w:rPr>
            </w:pPr>
            <w:r>
              <w:rPr>
                <w:spacing w:val="-4"/>
                <w:sz w:val="16"/>
              </w:rPr>
              <w:t>0,00</w:t>
            </w:r>
          </w:p>
        </w:tc>
        <w:tc>
          <w:tcPr>
            <w:tcW w:w="564" w:type="dxa"/>
            <w:tcBorders>
              <w:top w:val="single" w:sz="8" w:space="0" w:color="002D5D"/>
              <w:bottom w:val="single" w:sz="8" w:space="0" w:color="002D5D"/>
            </w:tcBorders>
          </w:tcPr>
          <w:p>
            <w:pPr>
              <w:pStyle w:val="TableParagraph"/>
              <w:spacing w:before="183"/>
              <w:ind w:right="55"/>
              <w:jc w:val="right"/>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183"/>
              <w:ind w:left="9"/>
              <w:jc w:val="center"/>
              <w:rPr>
                <w:sz w:val="16"/>
              </w:rPr>
            </w:pPr>
            <w:r>
              <w:rPr>
                <w:spacing w:val="-2"/>
                <w:sz w:val="16"/>
              </w:rPr>
              <w:t>Finalizada</w:t>
            </w:r>
          </w:p>
        </w:tc>
      </w:tr>
      <w:tr>
        <w:trPr>
          <w:trHeight w:val="366" w:hRule="atLeast"/>
        </w:trPr>
        <w:tc>
          <w:tcPr>
            <w:tcW w:w="1667" w:type="dxa"/>
            <w:tcBorders>
              <w:top w:val="single" w:sz="8" w:space="0" w:color="002D5D"/>
              <w:bottom w:val="single" w:sz="8" w:space="0" w:color="002D5D"/>
            </w:tcBorders>
          </w:tcPr>
          <w:p>
            <w:pPr>
              <w:pStyle w:val="TableParagraph"/>
              <w:spacing w:line="184" w:lineRule="exact"/>
              <w:ind w:left="69" w:right="201"/>
              <w:rPr>
                <w:sz w:val="16"/>
              </w:rPr>
            </w:pPr>
            <w:r>
              <w:rPr>
                <w:sz w:val="16"/>
              </w:rPr>
              <w:t>Implantación</w:t>
            </w:r>
            <w:r>
              <w:rPr>
                <w:spacing w:val="-10"/>
                <w:sz w:val="16"/>
              </w:rPr>
              <w:t> </w:t>
            </w:r>
            <w:r>
              <w:rPr>
                <w:sz w:val="16"/>
              </w:rPr>
              <w:t>tecnología</w:t>
            </w:r>
            <w:r>
              <w:rPr>
                <w:spacing w:val="40"/>
                <w:sz w:val="16"/>
              </w:rPr>
              <w:t> </w:t>
            </w:r>
            <w:r>
              <w:rPr>
                <w:spacing w:val="-2"/>
                <w:sz w:val="16"/>
              </w:rPr>
              <w:t>NaviLens</w:t>
            </w:r>
          </w:p>
        </w:tc>
        <w:tc>
          <w:tcPr>
            <w:tcW w:w="1388" w:type="dxa"/>
            <w:tcBorders>
              <w:top w:val="single" w:sz="8" w:space="0" w:color="002D5D"/>
              <w:bottom w:val="single" w:sz="8" w:space="0" w:color="002D5D"/>
            </w:tcBorders>
          </w:tcPr>
          <w:p>
            <w:pPr>
              <w:pStyle w:val="TableParagraph"/>
              <w:spacing w:before="92"/>
              <w:ind w:left="73"/>
              <w:rPr>
                <w:sz w:val="16"/>
              </w:rPr>
            </w:pPr>
            <w:r>
              <w:rPr>
                <w:spacing w:val="-2"/>
                <w:sz w:val="16"/>
              </w:rPr>
              <w:t>Digitalización</w:t>
            </w:r>
          </w:p>
        </w:tc>
        <w:tc>
          <w:tcPr>
            <w:tcW w:w="1052" w:type="dxa"/>
            <w:tcBorders>
              <w:top w:val="single" w:sz="8" w:space="0" w:color="002D5D"/>
              <w:bottom w:val="single" w:sz="8" w:space="0" w:color="002D5D"/>
            </w:tcBorders>
          </w:tcPr>
          <w:p>
            <w:pPr>
              <w:pStyle w:val="TableParagraph"/>
              <w:spacing w:before="92"/>
              <w:ind w:right="68"/>
              <w:jc w:val="right"/>
              <w:rPr>
                <w:sz w:val="16"/>
              </w:rPr>
            </w:pPr>
            <w:r>
              <w:rPr>
                <w:spacing w:val="-2"/>
                <w:sz w:val="16"/>
              </w:rPr>
              <w:t>125.165,28</w:t>
            </w:r>
          </w:p>
        </w:tc>
        <w:tc>
          <w:tcPr>
            <w:tcW w:w="649" w:type="dxa"/>
            <w:tcBorders>
              <w:top w:val="single" w:sz="8" w:space="0" w:color="002D5D"/>
              <w:bottom w:val="single" w:sz="8" w:space="0" w:color="002D5D"/>
            </w:tcBorders>
          </w:tcPr>
          <w:p>
            <w:pPr>
              <w:pStyle w:val="TableParagraph"/>
              <w:spacing w:before="92"/>
              <w:ind w:left="44"/>
              <w:jc w:val="center"/>
              <w:rPr>
                <w:sz w:val="16"/>
              </w:rPr>
            </w:pPr>
            <w:r>
              <w:rPr>
                <w:spacing w:val="-4"/>
                <w:sz w:val="16"/>
              </w:rPr>
              <w:t>0,13</w:t>
            </w:r>
          </w:p>
        </w:tc>
        <w:tc>
          <w:tcPr>
            <w:tcW w:w="1087" w:type="dxa"/>
            <w:tcBorders>
              <w:top w:val="single" w:sz="8" w:space="0" w:color="002D5D"/>
              <w:bottom w:val="single" w:sz="8" w:space="0" w:color="002D5D"/>
            </w:tcBorders>
          </w:tcPr>
          <w:p>
            <w:pPr>
              <w:pStyle w:val="TableParagraph"/>
              <w:spacing w:before="92"/>
              <w:ind w:right="66"/>
              <w:jc w:val="right"/>
              <w:rPr>
                <w:sz w:val="16"/>
              </w:rPr>
            </w:pPr>
            <w:r>
              <w:rPr>
                <w:spacing w:val="-2"/>
                <w:sz w:val="16"/>
              </w:rPr>
              <w:t>125.165,28</w:t>
            </w:r>
          </w:p>
        </w:tc>
        <w:tc>
          <w:tcPr>
            <w:tcW w:w="603" w:type="dxa"/>
            <w:tcBorders>
              <w:top w:val="single" w:sz="8" w:space="0" w:color="002D5D"/>
              <w:bottom w:val="single" w:sz="8" w:space="0" w:color="002D5D"/>
            </w:tcBorders>
          </w:tcPr>
          <w:p>
            <w:pPr>
              <w:pStyle w:val="TableParagraph"/>
              <w:spacing w:before="92"/>
              <w:ind w:right="128"/>
              <w:jc w:val="right"/>
              <w:rPr>
                <w:sz w:val="16"/>
              </w:rPr>
            </w:pPr>
            <w:r>
              <w:rPr>
                <w:spacing w:val="-2"/>
                <w:sz w:val="16"/>
              </w:rPr>
              <w:t>100,00</w:t>
            </w:r>
          </w:p>
        </w:tc>
        <w:tc>
          <w:tcPr>
            <w:tcW w:w="1238" w:type="dxa"/>
            <w:tcBorders>
              <w:top w:val="single" w:sz="8" w:space="0" w:color="002D5D"/>
              <w:bottom w:val="single" w:sz="8" w:space="0" w:color="002D5D"/>
            </w:tcBorders>
          </w:tcPr>
          <w:p>
            <w:pPr>
              <w:pStyle w:val="TableParagraph"/>
              <w:spacing w:before="92"/>
              <w:ind w:left="799"/>
              <w:rPr>
                <w:sz w:val="16"/>
              </w:rPr>
            </w:pPr>
            <w:r>
              <w:rPr>
                <w:spacing w:val="-4"/>
                <w:sz w:val="16"/>
              </w:rPr>
              <w:t>0,00</w:t>
            </w:r>
          </w:p>
        </w:tc>
        <w:tc>
          <w:tcPr>
            <w:tcW w:w="475" w:type="dxa"/>
            <w:tcBorders>
              <w:top w:val="single" w:sz="8" w:space="0" w:color="002D5D"/>
              <w:bottom w:val="single" w:sz="8" w:space="0" w:color="002D5D"/>
            </w:tcBorders>
          </w:tcPr>
          <w:p>
            <w:pPr>
              <w:pStyle w:val="TableParagraph"/>
              <w:spacing w:before="92"/>
              <w:ind w:left="-17" w:right="113"/>
              <w:jc w:val="right"/>
              <w:rPr>
                <w:sz w:val="16"/>
              </w:rPr>
            </w:pPr>
            <w:r>
              <w:rPr>
                <w:spacing w:val="-4"/>
                <w:sz w:val="16"/>
              </w:rPr>
              <w:t>0,00</w:t>
            </w:r>
          </w:p>
        </w:tc>
        <w:tc>
          <w:tcPr>
            <w:tcW w:w="933" w:type="dxa"/>
            <w:tcBorders>
              <w:top w:val="single" w:sz="8" w:space="0" w:color="002D5D"/>
              <w:bottom w:val="single" w:sz="8" w:space="0" w:color="002D5D"/>
            </w:tcBorders>
          </w:tcPr>
          <w:p>
            <w:pPr>
              <w:pStyle w:val="TableParagraph"/>
              <w:spacing w:before="92"/>
              <w:ind w:right="86"/>
              <w:jc w:val="right"/>
              <w:rPr>
                <w:sz w:val="16"/>
              </w:rPr>
            </w:pPr>
            <w:r>
              <w:rPr>
                <w:spacing w:val="-4"/>
                <w:sz w:val="16"/>
              </w:rPr>
              <w:t>0,00</w:t>
            </w:r>
          </w:p>
        </w:tc>
        <w:tc>
          <w:tcPr>
            <w:tcW w:w="564" w:type="dxa"/>
            <w:tcBorders>
              <w:top w:val="single" w:sz="8" w:space="0" w:color="002D5D"/>
              <w:bottom w:val="single" w:sz="8" w:space="0" w:color="002D5D"/>
            </w:tcBorders>
          </w:tcPr>
          <w:p>
            <w:pPr>
              <w:pStyle w:val="TableParagraph"/>
              <w:spacing w:before="92"/>
              <w:ind w:right="55"/>
              <w:jc w:val="right"/>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92"/>
              <w:ind w:left="9"/>
              <w:jc w:val="center"/>
              <w:rPr>
                <w:sz w:val="16"/>
              </w:rPr>
            </w:pPr>
            <w:r>
              <w:rPr>
                <w:sz w:val="16"/>
              </w:rPr>
              <w:t>En</w:t>
            </w:r>
            <w:r>
              <w:rPr>
                <w:spacing w:val="-2"/>
                <w:sz w:val="16"/>
              </w:rPr>
              <w:t> ejecución</w:t>
            </w:r>
          </w:p>
        </w:tc>
      </w:tr>
      <w:tr>
        <w:trPr>
          <w:trHeight w:val="1034" w:hRule="atLeast"/>
        </w:trPr>
        <w:tc>
          <w:tcPr>
            <w:tcW w:w="1667" w:type="dxa"/>
            <w:tcBorders>
              <w:top w:val="single" w:sz="8" w:space="0" w:color="002D5D"/>
              <w:bottom w:val="single" w:sz="8" w:space="0" w:color="002D5D"/>
            </w:tcBorders>
          </w:tcPr>
          <w:p>
            <w:pPr>
              <w:pStyle w:val="TableParagraph"/>
              <w:spacing w:before="148"/>
              <w:ind w:left="69" w:right="111"/>
              <w:rPr>
                <w:sz w:val="16"/>
              </w:rPr>
            </w:pPr>
            <w:r>
              <w:rPr>
                <w:sz w:val="16"/>
              </w:rPr>
              <w:t>Tecnología</w:t>
            </w:r>
            <w:r>
              <w:rPr>
                <w:spacing w:val="-6"/>
                <w:sz w:val="16"/>
              </w:rPr>
              <w:t> </w:t>
            </w:r>
            <w:r>
              <w:rPr>
                <w:sz w:val="16"/>
              </w:rPr>
              <w:t>de</w:t>
            </w:r>
            <w:r>
              <w:rPr>
                <w:spacing w:val="-6"/>
                <w:sz w:val="16"/>
              </w:rPr>
              <w:t> </w:t>
            </w:r>
            <w:r>
              <w:rPr>
                <w:sz w:val="16"/>
              </w:rPr>
              <w:t>pagos</w:t>
            </w:r>
            <w:r>
              <w:rPr>
                <w:spacing w:val="-6"/>
                <w:sz w:val="16"/>
              </w:rPr>
              <w:t> </w:t>
            </w:r>
            <w:r>
              <w:rPr>
                <w:sz w:val="16"/>
              </w:rPr>
              <w:t>QR</w:t>
            </w:r>
            <w:r>
              <w:rPr>
                <w:spacing w:val="40"/>
                <w:sz w:val="16"/>
              </w:rPr>
              <w:t> </w:t>
            </w:r>
            <w:r>
              <w:rPr>
                <w:sz w:val="16"/>
              </w:rPr>
              <w:t>y</w:t>
            </w:r>
            <w:r>
              <w:rPr>
                <w:spacing w:val="-10"/>
                <w:sz w:val="16"/>
              </w:rPr>
              <w:t> </w:t>
            </w:r>
            <w:r>
              <w:rPr>
                <w:sz w:val="16"/>
              </w:rPr>
              <w:t>mejora</w:t>
            </w:r>
            <w:r>
              <w:rPr>
                <w:spacing w:val="-9"/>
                <w:sz w:val="16"/>
              </w:rPr>
              <w:t> </w:t>
            </w:r>
            <w:r>
              <w:rPr>
                <w:sz w:val="16"/>
              </w:rPr>
              <w:t>de</w:t>
            </w:r>
            <w:r>
              <w:rPr>
                <w:spacing w:val="-9"/>
                <w:sz w:val="16"/>
              </w:rPr>
              <w:t> </w:t>
            </w:r>
            <w:r>
              <w:rPr>
                <w:sz w:val="16"/>
              </w:rPr>
              <w:t>seguridad</w:t>
            </w:r>
            <w:r>
              <w:rPr>
                <w:spacing w:val="-9"/>
                <w:sz w:val="16"/>
              </w:rPr>
              <w:t> </w:t>
            </w:r>
            <w:r>
              <w:rPr>
                <w:sz w:val="16"/>
              </w:rPr>
              <w:t>en</w:t>
            </w:r>
            <w:r>
              <w:rPr>
                <w:spacing w:val="40"/>
                <w:sz w:val="16"/>
              </w:rPr>
              <w:t> </w:t>
            </w:r>
            <w:r>
              <w:rPr>
                <w:sz w:val="16"/>
              </w:rPr>
              <w:t>la validación del STI en</w:t>
            </w:r>
            <w:r>
              <w:rPr>
                <w:spacing w:val="40"/>
                <w:sz w:val="16"/>
              </w:rPr>
              <w:t> </w:t>
            </w:r>
            <w:r>
              <w:rPr>
                <w:sz w:val="16"/>
              </w:rPr>
              <w:t>autobús y tranvía</w:t>
            </w:r>
          </w:p>
        </w:tc>
        <w:tc>
          <w:tcPr>
            <w:tcW w:w="1388"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left="73"/>
              <w:rPr>
                <w:sz w:val="16"/>
              </w:rPr>
            </w:pPr>
            <w:r>
              <w:rPr>
                <w:spacing w:val="-2"/>
                <w:sz w:val="16"/>
              </w:rPr>
              <w:t>Digitalización</w:t>
            </w:r>
          </w:p>
        </w:tc>
        <w:tc>
          <w:tcPr>
            <w:tcW w:w="1052"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right="68"/>
              <w:jc w:val="right"/>
              <w:rPr>
                <w:sz w:val="16"/>
              </w:rPr>
            </w:pPr>
            <w:r>
              <w:rPr>
                <w:spacing w:val="-2"/>
                <w:sz w:val="16"/>
              </w:rPr>
              <w:t>878.337,35</w:t>
            </w:r>
          </w:p>
        </w:tc>
        <w:tc>
          <w:tcPr>
            <w:tcW w:w="649"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left="44"/>
              <w:jc w:val="center"/>
              <w:rPr>
                <w:sz w:val="16"/>
              </w:rPr>
            </w:pPr>
            <w:r>
              <w:rPr>
                <w:spacing w:val="-4"/>
                <w:sz w:val="16"/>
              </w:rPr>
              <w:t>0,93</w:t>
            </w:r>
          </w:p>
        </w:tc>
        <w:tc>
          <w:tcPr>
            <w:tcW w:w="1087"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right="66"/>
              <w:jc w:val="right"/>
              <w:rPr>
                <w:sz w:val="16"/>
              </w:rPr>
            </w:pPr>
            <w:r>
              <w:rPr>
                <w:spacing w:val="-4"/>
                <w:sz w:val="16"/>
              </w:rPr>
              <w:t>0,00</w:t>
            </w:r>
          </w:p>
        </w:tc>
        <w:tc>
          <w:tcPr>
            <w:tcW w:w="603"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right="126"/>
              <w:jc w:val="right"/>
              <w:rPr>
                <w:sz w:val="16"/>
              </w:rPr>
            </w:pPr>
            <w:r>
              <w:rPr>
                <w:spacing w:val="-4"/>
                <w:sz w:val="16"/>
              </w:rPr>
              <w:t>0,00</w:t>
            </w:r>
          </w:p>
        </w:tc>
        <w:tc>
          <w:tcPr>
            <w:tcW w:w="1238"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left="799"/>
              <w:rPr>
                <w:sz w:val="16"/>
              </w:rPr>
            </w:pPr>
            <w:r>
              <w:rPr>
                <w:spacing w:val="-4"/>
                <w:sz w:val="16"/>
              </w:rPr>
              <w:t>0,00</w:t>
            </w:r>
          </w:p>
        </w:tc>
        <w:tc>
          <w:tcPr>
            <w:tcW w:w="475"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left="-17" w:right="113"/>
              <w:jc w:val="right"/>
              <w:rPr>
                <w:sz w:val="16"/>
              </w:rPr>
            </w:pPr>
            <w:r>
              <w:rPr>
                <w:spacing w:val="-4"/>
                <w:sz w:val="16"/>
              </w:rPr>
              <w:t>0,00</w:t>
            </w:r>
          </w:p>
        </w:tc>
        <w:tc>
          <w:tcPr>
            <w:tcW w:w="933"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right="87"/>
              <w:jc w:val="right"/>
              <w:rPr>
                <w:sz w:val="16"/>
              </w:rPr>
            </w:pPr>
            <w:r>
              <w:rPr>
                <w:spacing w:val="-2"/>
                <w:sz w:val="16"/>
              </w:rPr>
              <w:t>878.337,95</w:t>
            </w:r>
          </w:p>
        </w:tc>
        <w:tc>
          <w:tcPr>
            <w:tcW w:w="564"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left="104"/>
              <w:rPr>
                <w:sz w:val="16"/>
              </w:rPr>
            </w:pPr>
            <w:r>
              <w:rPr>
                <w:spacing w:val="-2"/>
                <w:sz w:val="16"/>
              </w:rPr>
              <w:t>100,00</w:t>
            </w:r>
          </w:p>
        </w:tc>
        <w:tc>
          <w:tcPr>
            <w:tcW w:w="1144" w:type="dxa"/>
            <w:tcBorders>
              <w:top w:val="single" w:sz="8" w:space="0" w:color="002D5D"/>
              <w:bottom w:val="single" w:sz="8" w:space="0" w:color="002D5D"/>
            </w:tcBorders>
          </w:tcPr>
          <w:p>
            <w:pPr>
              <w:pStyle w:val="TableParagraph"/>
              <w:rPr>
                <w:rFonts w:ascii="Arial"/>
                <w:b/>
                <w:sz w:val="16"/>
              </w:rPr>
            </w:pPr>
          </w:p>
          <w:p>
            <w:pPr>
              <w:pStyle w:val="TableParagraph"/>
              <w:spacing w:before="56"/>
              <w:rPr>
                <w:rFonts w:ascii="Arial"/>
                <w:b/>
                <w:sz w:val="16"/>
              </w:rPr>
            </w:pPr>
          </w:p>
          <w:p>
            <w:pPr>
              <w:pStyle w:val="TableParagraph"/>
              <w:ind w:left="9"/>
              <w:jc w:val="center"/>
              <w:rPr>
                <w:sz w:val="16"/>
              </w:rPr>
            </w:pPr>
            <w:r>
              <w:rPr>
                <w:sz w:val="16"/>
              </w:rPr>
              <w:t>En</w:t>
            </w:r>
            <w:r>
              <w:rPr>
                <w:spacing w:val="-2"/>
                <w:sz w:val="16"/>
              </w:rPr>
              <w:t> ejecución</w:t>
            </w:r>
          </w:p>
        </w:tc>
      </w:tr>
      <w:tr>
        <w:trPr>
          <w:trHeight w:val="524" w:hRule="atLeast"/>
        </w:trPr>
        <w:tc>
          <w:tcPr>
            <w:tcW w:w="1667" w:type="dxa"/>
            <w:tcBorders>
              <w:top w:val="single" w:sz="8" w:space="0" w:color="002D5D"/>
              <w:bottom w:val="single" w:sz="8" w:space="0" w:color="002D5D"/>
            </w:tcBorders>
          </w:tcPr>
          <w:p>
            <w:pPr>
              <w:pStyle w:val="TableParagraph"/>
              <w:spacing w:before="77"/>
              <w:ind w:left="69" w:right="224"/>
              <w:rPr>
                <w:sz w:val="16"/>
              </w:rPr>
            </w:pPr>
            <w:r>
              <w:rPr>
                <w:sz w:val="16"/>
              </w:rPr>
              <w:t>Colocación</w:t>
            </w:r>
            <w:r>
              <w:rPr>
                <w:spacing w:val="-10"/>
                <w:sz w:val="16"/>
              </w:rPr>
              <w:t> </w:t>
            </w:r>
            <w:r>
              <w:rPr>
                <w:sz w:val="16"/>
              </w:rPr>
              <w:t>información</w:t>
            </w:r>
            <w:r>
              <w:rPr>
                <w:spacing w:val="40"/>
                <w:sz w:val="16"/>
              </w:rPr>
              <w:t> </w:t>
            </w:r>
            <w:r>
              <w:rPr>
                <w:sz w:val="16"/>
              </w:rPr>
              <w:t>dinámica en paradas</w:t>
            </w:r>
          </w:p>
        </w:tc>
        <w:tc>
          <w:tcPr>
            <w:tcW w:w="1388" w:type="dxa"/>
            <w:tcBorders>
              <w:top w:val="single" w:sz="8" w:space="0" w:color="002D5D"/>
              <w:bottom w:val="single" w:sz="8" w:space="0" w:color="002D5D"/>
            </w:tcBorders>
          </w:tcPr>
          <w:p>
            <w:pPr>
              <w:pStyle w:val="TableParagraph"/>
              <w:spacing w:before="169"/>
              <w:ind w:left="73"/>
              <w:rPr>
                <w:sz w:val="16"/>
              </w:rPr>
            </w:pPr>
            <w:r>
              <w:rPr>
                <w:spacing w:val="-2"/>
                <w:sz w:val="16"/>
              </w:rPr>
              <w:t>Digitalización</w:t>
            </w:r>
          </w:p>
        </w:tc>
        <w:tc>
          <w:tcPr>
            <w:tcW w:w="1052" w:type="dxa"/>
            <w:tcBorders>
              <w:top w:val="single" w:sz="8" w:space="0" w:color="002D5D"/>
              <w:bottom w:val="single" w:sz="8" w:space="0" w:color="002D5D"/>
            </w:tcBorders>
          </w:tcPr>
          <w:p>
            <w:pPr>
              <w:pStyle w:val="TableParagraph"/>
              <w:spacing w:before="169"/>
              <w:ind w:right="68"/>
              <w:jc w:val="right"/>
              <w:rPr>
                <w:sz w:val="16"/>
              </w:rPr>
            </w:pPr>
            <w:r>
              <w:rPr>
                <w:spacing w:val="-2"/>
                <w:sz w:val="16"/>
              </w:rPr>
              <w:t>261.575,97</w:t>
            </w:r>
          </w:p>
        </w:tc>
        <w:tc>
          <w:tcPr>
            <w:tcW w:w="649" w:type="dxa"/>
            <w:tcBorders>
              <w:top w:val="single" w:sz="8" w:space="0" w:color="002D5D"/>
              <w:bottom w:val="single" w:sz="8" w:space="0" w:color="002D5D"/>
            </w:tcBorders>
          </w:tcPr>
          <w:p>
            <w:pPr>
              <w:pStyle w:val="TableParagraph"/>
              <w:spacing w:before="169"/>
              <w:ind w:left="44"/>
              <w:jc w:val="center"/>
              <w:rPr>
                <w:sz w:val="16"/>
              </w:rPr>
            </w:pPr>
            <w:r>
              <w:rPr>
                <w:spacing w:val="-4"/>
                <w:sz w:val="16"/>
              </w:rPr>
              <w:t>0,28</w:t>
            </w:r>
          </w:p>
        </w:tc>
        <w:tc>
          <w:tcPr>
            <w:tcW w:w="1087" w:type="dxa"/>
            <w:tcBorders>
              <w:top w:val="single" w:sz="8" w:space="0" w:color="002D5D"/>
              <w:bottom w:val="single" w:sz="8" w:space="0" w:color="002D5D"/>
            </w:tcBorders>
          </w:tcPr>
          <w:p>
            <w:pPr>
              <w:pStyle w:val="TableParagraph"/>
              <w:spacing w:before="169"/>
              <w:ind w:right="66"/>
              <w:jc w:val="right"/>
              <w:rPr>
                <w:sz w:val="16"/>
              </w:rPr>
            </w:pPr>
            <w:r>
              <w:rPr>
                <w:spacing w:val="-2"/>
                <w:sz w:val="16"/>
              </w:rPr>
              <w:t>261.575,97</w:t>
            </w:r>
          </w:p>
        </w:tc>
        <w:tc>
          <w:tcPr>
            <w:tcW w:w="603" w:type="dxa"/>
            <w:tcBorders>
              <w:top w:val="single" w:sz="8" w:space="0" w:color="002D5D"/>
              <w:bottom w:val="single" w:sz="8" w:space="0" w:color="002D5D"/>
            </w:tcBorders>
          </w:tcPr>
          <w:p>
            <w:pPr>
              <w:pStyle w:val="TableParagraph"/>
              <w:spacing w:before="169"/>
              <w:ind w:right="128"/>
              <w:jc w:val="right"/>
              <w:rPr>
                <w:sz w:val="16"/>
              </w:rPr>
            </w:pPr>
            <w:r>
              <w:rPr>
                <w:spacing w:val="-2"/>
                <w:sz w:val="16"/>
              </w:rPr>
              <w:t>100,00</w:t>
            </w:r>
          </w:p>
        </w:tc>
        <w:tc>
          <w:tcPr>
            <w:tcW w:w="1238" w:type="dxa"/>
            <w:tcBorders>
              <w:top w:val="single" w:sz="8" w:space="0" w:color="002D5D"/>
              <w:bottom w:val="single" w:sz="8" w:space="0" w:color="002D5D"/>
            </w:tcBorders>
          </w:tcPr>
          <w:p>
            <w:pPr>
              <w:pStyle w:val="TableParagraph"/>
              <w:spacing w:before="169"/>
              <w:ind w:left="799"/>
              <w:rPr>
                <w:sz w:val="16"/>
              </w:rPr>
            </w:pPr>
            <w:r>
              <w:rPr>
                <w:spacing w:val="-4"/>
                <w:sz w:val="16"/>
              </w:rPr>
              <w:t>0,00</w:t>
            </w:r>
          </w:p>
        </w:tc>
        <w:tc>
          <w:tcPr>
            <w:tcW w:w="475" w:type="dxa"/>
            <w:tcBorders>
              <w:top w:val="single" w:sz="8" w:space="0" w:color="002D5D"/>
              <w:bottom w:val="single" w:sz="8" w:space="0" w:color="002D5D"/>
            </w:tcBorders>
          </w:tcPr>
          <w:p>
            <w:pPr>
              <w:pStyle w:val="TableParagraph"/>
              <w:spacing w:before="169"/>
              <w:ind w:left="-17" w:right="113"/>
              <w:jc w:val="right"/>
              <w:rPr>
                <w:sz w:val="16"/>
              </w:rPr>
            </w:pPr>
            <w:r>
              <w:rPr>
                <w:spacing w:val="-4"/>
                <w:sz w:val="16"/>
              </w:rPr>
              <w:t>0,00</w:t>
            </w:r>
          </w:p>
        </w:tc>
        <w:tc>
          <w:tcPr>
            <w:tcW w:w="933" w:type="dxa"/>
            <w:tcBorders>
              <w:top w:val="single" w:sz="8" w:space="0" w:color="002D5D"/>
              <w:bottom w:val="single" w:sz="8" w:space="0" w:color="002D5D"/>
            </w:tcBorders>
          </w:tcPr>
          <w:p>
            <w:pPr>
              <w:pStyle w:val="TableParagraph"/>
              <w:spacing w:before="169"/>
              <w:ind w:right="86"/>
              <w:jc w:val="right"/>
              <w:rPr>
                <w:sz w:val="16"/>
              </w:rPr>
            </w:pPr>
            <w:r>
              <w:rPr>
                <w:spacing w:val="-4"/>
                <w:sz w:val="16"/>
              </w:rPr>
              <w:t>0,00</w:t>
            </w:r>
          </w:p>
        </w:tc>
        <w:tc>
          <w:tcPr>
            <w:tcW w:w="564" w:type="dxa"/>
            <w:tcBorders>
              <w:top w:val="single" w:sz="8" w:space="0" w:color="002D5D"/>
              <w:bottom w:val="single" w:sz="8" w:space="0" w:color="002D5D"/>
            </w:tcBorders>
          </w:tcPr>
          <w:p>
            <w:pPr>
              <w:pStyle w:val="TableParagraph"/>
              <w:spacing w:before="169"/>
              <w:ind w:right="55"/>
              <w:jc w:val="right"/>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169"/>
              <w:ind w:left="9"/>
              <w:jc w:val="center"/>
              <w:rPr>
                <w:sz w:val="16"/>
              </w:rPr>
            </w:pPr>
            <w:r>
              <w:rPr>
                <w:spacing w:val="-2"/>
                <w:sz w:val="16"/>
              </w:rPr>
              <w:t>Finalizada</w:t>
            </w:r>
          </w:p>
        </w:tc>
      </w:tr>
      <w:tr>
        <w:trPr>
          <w:trHeight w:val="515" w:hRule="atLeast"/>
        </w:trPr>
        <w:tc>
          <w:tcPr>
            <w:tcW w:w="1667" w:type="dxa"/>
            <w:tcBorders>
              <w:top w:val="single" w:sz="8" w:space="0" w:color="002D5D"/>
              <w:bottom w:val="single" w:sz="8" w:space="0" w:color="002D5D"/>
            </w:tcBorders>
          </w:tcPr>
          <w:p>
            <w:pPr>
              <w:pStyle w:val="TableParagraph"/>
              <w:spacing w:before="77"/>
              <w:ind w:left="69" w:right="201"/>
              <w:rPr>
                <w:sz w:val="16"/>
              </w:rPr>
            </w:pPr>
            <w:r>
              <w:rPr>
                <w:sz w:val="16"/>
              </w:rPr>
              <w:t>Ampliación</w:t>
            </w:r>
            <w:r>
              <w:rPr>
                <w:spacing w:val="-4"/>
                <w:sz w:val="16"/>
              </w:rPr>
              <w:t> </w:t>
            </w:r>
            <w:r>
              <w:rPr>
                <w:sz w:val="16"/>
              </w:rPr>
              <w:t>líneas</w:t>
            </w:r>
            <w:r>
              <w:rPr>
                <w:spacing w:val="40"/>
                <w:sz w:val="16"/>
              </w:rPr>
              <w:t> </w:t>
            </w:r>
            <w:r>
              <w:rPr>
                <w:sz w:val="16"/>
              </w:rPr>
              <w:t>urbanas</w:t>
            </w:r>
            <w:r>
              <w:rPr>
                <w:spacing w:val="-10"/>
                <w:sz w:val="16"/>
              </w:rPr>
              <w:t> </w:t>
            </w:r>
            <w:r>
              <w:rPr>
                <w:sz w:val="16"/>
              </w:rPr>
              <w:t>21,</w:t>
            </w:r>
            <w:r>
              <w:rPr>
                <w:spacing w:val="-9"/>
                <w:sz w:val="16"/>
              </w:rPr>
              <w:t> </w:t>
            </w:r>
            <w:r>
              <w:rPr>
                <w:sz w:val="16"/>
              </w:rPr>
              <w:t>23</w:t>
            </w:r>
            <w:r>
              <w:rPr>
                <w:spacing w:val="-9"/>
                <w:sz w:val="16"/>
              </w:rPr>
              <w:t> </w:t>
            </w:r>
            <w:r>
              <w:rPr>
                <w:sz w:val="16"/>
              </w:rPr>
              <w:t>y</w:t>
            </w:r>
            <w:r>
              <w:rPr>
                <w:spacing w:val="-9"/>
                <w:sz w:val="16"/>
              </w:rPr>
              <w:t> </w:t>
            </w:r>
            <w:r>
              <w:rPr>
                <w:sz w:val="16"/>
              </w:rPr>
              <w:t>60</w:t>
            </w:r>
          </w:p>
        </w:tc>
        <w:tc>
          <w:tcPr>
            <w:tcW w:w="1388" w:type="dxa"/>
            <w:tcBorders>
              <w:top w:val="single" w:sz="8" w:space="0" w:color="002D5D"/>
              <w:bottom w:val="single" w:sz="8" w:space="0" w:color="002D5D"/>
            </w:tcBorders>
          </w:tcPr>
          <w:p>
            <w:pPr>
              <w:pStyle w:val="TableParagraph"/>
              <w:spacing w:before="169"/>
              <w:ind w:left="73"/>
              <w:rPr>
                <w:sz w:val="16"/>
              </w:rPr>
            </w:pPr>
            <w:r>
              <w:rPr>
                <w:spacing w:val="-2"/>
                <w:sz w:val="16"/>
              </w:rPr>
              <w:t>Otros</w:t>
            </w:r>
          </w:p>
        </w:tc>
        <w:tc>
          <w:tcPr>
            <w:tcW w:w="1052" w:type="dxa"/>
            <w:tcBorders>
              <w:top w:val="single" w:sz="8" w:space="0" w:color="002D5D"/>
              <w:bottom w:val="single" w:sz="8" w:space="0" w:color="002D5D"/>
            </w:tcBorders>
          </w:tcPr>
          <w:p>
            <w:pPr>
              <w:pStyle w:val="TableParagraph"/>
              <w:spacing w:before="169"/>
              <w:ind w:right="68"/>
              <w:jc w:val="right"/>
              <w:rPr>
                <w:sz w:val="16"/>
              </w:rPr>
            </w:pPr>
            <w:r>
              <w:rPr>
                <w:spacing w:val="-2"/>
                <w:sz w:val="16"/>
              </w:rPr>
              <w:t>1.495.474,00</w:t>
            </w:r>
          </w:p>
        </w:tc>
        <w:tc>
          <w:tcPr>
            <w:tcW w:w="649" w:type="dxa"/>
            <w:tcBorders>
              <w:top w:val="single" w:sz="8" w:space="0" w:color="002D5D"/>
              <w:bottom w:val="single" w:sz="8" w:space="0" w:color="002D5D"/>
            </w:tcBorders>
          </w:tcPr>
          <w:p>
            <w:pPr>
              <w:pStyle w:val="TableParagraph"/>
              <w:spacing w:before="169"/>
              <w:ind w:left="44"/>
              <w:jc w:val="center"/>
              <w:rPr>
                <w:sz w:val="16"/>
              </w:rPr>
            </w:pPr>
            <w:r>
              <w:rPr>
                <w:spacing w:val="-4"/>
                <w:sz w:val="16"/>
              </w:rPr>
              <w:t>1,58</w:t>
            </w:r>
          </w:p>
        </w:tc>
        <w:tc>
          <w:tcPr>
            <w:tcW w:w="1087" w:type="dxa"/>
            <w:tcBorders>
              <w:top w:val="single" w:sz="8" w:space="0" w:color="002D5D"/>
              <w:bottom w:val="single" w:sz="8" w:space="0" w:color="002D5D"/>
            </w:tcBorders>
          </w:tcPr>
          <w:p>
            <w:pPr>
              <w:pStyle w:val="TableParagraph"/>
              <w:spacing w:before="169"/>
              <w:ind w:right="66"/>
              <w:jc w:val="right"/>
              <w:rPr>
                <w:sz w:val="16"/>
              </w:rPr>
            </w:pPr>
            <w:r>
              <w:rPr>
                <w:spacing w:val="-2"/>
                <w:sz w:val="16"/>
              </w:rPr>
              <w:t>1.495.474,00</w:t>
            </w:r>
          </w:p>
        </w:tc>
        <w:tc>
          <w:tcPr>
            <w:tcW w:w="603" w:type="dxa"/>
            <w:tcBorders>
              <w:top w:val="single" w:sz="8" w:space="0" w:color="002D5D"/>
              <w:bottom w:val="single" w:sz="8" w:space="0" w:color="002D5D"/>
            </w:tcBorders>
          </w:tcPr>
          <w:p>
            <w:pPr>
              <w:pStyle w:val="TableParagraph"/>
              <w:spacing w:before="169"/>
              <w:ind w:right="128"/>
              <w:jc w:val="right"/>
              <w:rPr>
                <w:sz w:val="16"/>
              </w:rPr>
            </w:pPr>
            <w:r>
              <w:rPr>
                <w:spacing w:val="-2"/>
                <w:sz w:val="16"/>
              </w:rPr>
              <w:t>100,00</w:t>
            </w:r>
          </w:p>
        </w:tc>
        <w:tc>
          <w:tcPr>
            <w:tcW w:w="1238" w:type="dxa"/>
            <w:tcBorders>
              <w:top w:val="single" w:sz="8" w:space="0" w:color="002D5D"/>
              <w:bottom w:val="single" w:sz="8" w:space="0" w:color="002D5D"/>
            </w:tcBorders>
          </w:tcPr>
          <w:p>
            <w:pPr>
              <w:pStyle w:val="TableParagraph"/>
              <w:spacing w:before="169"/>
              <w:ind w:left="799"/>
              <w:rPr>
                <w:sz w:val="16"/>
              </w:rPr>
            </w:pPr>
            <w:r>
              <w:rPr>
                <w:spacing w:val="-4"/>
                <w:sz w:val="16"/>
              </w:rPr>
              <w:t>0,00</w:t>
            </w:r>
          </w:p>
        </w:tc>
        <w:tc>
          <w:tcPr>
            <w:tcW w:w="475" w:type="dxa"/>
            <w:tcBorders>
              <w:top w:val="single" w:sz="8" w:space="0" w:color="002D5D"/>
              <w:bottom w:val="single" w:sz="8" w:space="0" w:color="002D5D"/>
            </w:tcBorders>
          </w:tcPr>
          <w:p>
            <w:pPr>
              <w:pStyle w:val="TableParagraph"/>
              <w:spacing w:before="169"/>
              <w:ind w:left="-17" w:right="113"/>
              <w:jc w:val="right"/>
              <w:rPr>
                <w:sz w:val="16"/>
              </w:rPr>
            </w:pPr>
            <w:r>
              <w:rPr>
                <w:spacing w:val="-4"/>
                <w:sz w:val="16"/>
              </w:rPr>
              <w:t>0,00</w:t>
            </w:r>
          </w:p>
        </w:tc>
        <w:tc>
          <w:tcPr>
            <w:tcW w:w="933" w:type="dxa"/>
            <w:tcBorders>
              <w:top w:val="single" w:sz="8" w:space="0" w:color="002D5D"/>
              <w:bottom w:val="single" w:sz="8" w:space="0" w:color="002D5D"/>
            </w:tcBorders>
          </w:tcPr>
          <w:p>
            <w:pPr>
              <w:pStyle w:val="TableParagraph"/>
              <w:spacing w:before="169"/>
              <w:ind w:right="86"/>
              <w:jc w:val="right"/>
              <w:rPr>
                <w:sz w:val="16"/>
              </w:rPr>
            </w:pPr>
            <w:r>
              <w:rPr>
                <w:spacing w:val="-4"/>
                <w:sz w:val="16"/>
              </w:rPr>
              <w:t>0,00</w:t>
            </w:r>
          </w:p>
        </w:tc>
        <w:tc>
          <w:tcPr>
            <w:tcW w:w="564" w:type="dxa"/>
            <w:tcBorders>
              <w:top w:val="single" w:sz="8" w:space="0" w:color="002D5D"/>
              <w:bottom w:val="single" w:sz="8" w:space="0" w:color="002D5D"/>
            </w:tcBorders>
          </w:tcPr>
          <w:p>
            <w:pPr>
              <w:pStyle w:val="TableParagraph"/>
              <w:spacing w:before="169"/>
              <w:ind w:right="55"/>
              <w:jc w:val="right"/>
              <w:rPr>
                <w:sz w:val="16"/>
              </w:rPr>
            </w:pPr>
            <w:r>
              <w:rPr>
                <w:spacing w:val="-4"/>
                <w:sz w:val="16"/>
              </w:rPr>
              <w:t>0,00</w:t>
            </w:r>
          </w:p>
        </w:tc>
        <w:tc>
          <w:tcPr>
            <w:tcW w:w="1144" w:type="dxa"/>
            <w:tcBorders>
              <w:top w:val="single" w:sz="8" w:space="0" w:color="002D5D"/>
              <w:bottom w:val="single" w:sz="8" w:space="0" w:color="002D5D"/>
            </w:tcBorders>
          </w:tcPr>
          <w:p>
            <w:pPr>
              <w:pStyle w:val="TableParagraph"/>
              <w:spacing w:before="169"/>
              <w:ind w:left="9"/>
              <w:jc w:val="center"/>
              <w:rPr>
                <w:sz w:val="16"/>
              </w:rPr>
            </w:pPr>
            <w:r>
              <w:rPr>
                <w:spacing w:val="-2"/>
                <w:sz w:val="16"/>
              </w:rPr>
              <w:t>Finalizada</w:t>
            </w:r>
          </w:p>
        </w:tc>
      </w:tr>
      <w:tr>
        <w:trPr>
          <w:trHeight w:val="266" w:hRule="atLeast"/>
        </w:trPr>
        <w:tc>
          <w:tcPr>
            <w:tcW w:w="1667" w:type="dxa"/>
            <w:shd w:val="clear" w:color="auto" w:fill="002D5D"/>
          </w:tcPr>
          <w:p>
            <w:pPr>
              <w:pStyle w:val="TableParagraph"/>
              <w:spacing w:before="44"/>
              <w:ind w:left="69"/>
              <w:rPr>
                <w:b/>
                <w:sz w:val="16"/>
              </w:rPr>
            </w:pPr>
            <w:r>
              <w:rPr>
                <w:b/>
                <w:color w:val="FFFFFF"/>
                <w:spacing w:val="-2"/>
                <w:sz w:val="16"/>
              </w:rPr>
              <w:t>TOTAL</w:t>
            </w:r>
          </w:p>
        </w:tc>
        <w:tc>
          <w:tcPr>
            <w:tcW w:w="1388" w:type="dxa"/>
            <w:shd w:val="clear" w:color="auto" w:fill="002D5D"/>
          </w:tcPr>
          <w:p>
            <w:pPr>
              <w:pStyle w:val="TableParagraph"/>
              <w:rPr>
                <w:rFonts w:ascii="Times New Roman"/>
                <w:sz w:val="16"/>
              </w:rPr>
            </w:pPr>
          </w:p>
        </w:tc>
        <w:tc>
          <w:tcPr>
            <w:tcW w:w="1052" w:type="dxa"/>
            <w:shd w:val="clear" w:color="auto" w:fill="002D5D"/>
          </w:tcPr>
          <w:p>
            <w:pPr>
              <w:pStyle w:val="TableParagraph"/>
              <w:spacing w:before="44"/>
              <w:ind w:right="126"/>
              <w:jc w:val="right"/>
              <w:rPr>
                <w:b/>
                <w:sz w:val="16"/>
              </w:rPr>
            </w:pPr>
            <w:r>
              <w:rPr>
                <w:b/>
                <w:color w:val="FFFFFF"/>
                <w:spacing w:val="-2"/>
                <w:sz w:val="16"/>
              </w:rPr>
              <w:t>94.441.906,2</w:t>
            </w:r>
          </w:p>
        </w:tc>
        <w:tc>
          <w:tcPr>
            <w:tcW w:w="649" w:type="dxa"/>
            <w:shd w:val="clear" w:color="auto" w:fill="002D5D"/>
          </w:tcPr>
          <w:p>
            <w:pPr>
              <w:pStyle w:val="TableParagraph"/>
              <w:spacing w:before="44"/>
              <w:ind w:left="44" w:right="144"/>
              <w:jc w:val="center"/>
              <w:rPr>
                <w:b/>
                <w:sz w:val="16"/>
              </w:rPr>
            </w:pPr>
            <w:r>
              <w:rPr>
                <w:b/>
                <w:color w:val="FFFFFF"/>
                <w:spacing w:val="-2"/>
                <w:sz w:val="16"/>
              </w:rPr>
              <w:t>100,00</w:t>
            </w:r>
          </w:p>
        </w:tc>
        <w:tc>
          <w:tcPr>
            <w:tcW w:w="1087" w:type="dxa"/>
            <w:shd w:val="clear" w:color="auto" w:fill="002D5D"/>
          </w:tcPr>
          <w:p>
            <w:pPr>
              <w:pStyle w:val="TableParagraph"/>
              <w:spacing w:before="44"/>
              <w:ind w:right="66"/>
              <w:jc w:val="right"/>
              <w:rPr>
                <w:b/>
                <w:sz w:val="16"/>
              </w:rPr>
            </w:pPr>
            <w:r>
              <w:rPr>
                <w:b/>
                <w:color w:val="FFFFFF"/>
                <w:spacing w:val="-2"/>
                <w:sz w:val="16"/>
              </w:rPr>
              <w:t>51.027.607,67</w:t>
            </w:r>
          </w:p>
        </w:tc>
        <w:tc>
          <w:tcPr>
            <w:tcW w:w="603" w:type="dxa"/>
            <w:shd w:val="clear" w:color="auto" w:fill="002D5D"/>
          </w:tcPr>
          <w:p>
            <w:pPr>
              <w:pStyle w:val="TableParagraph"/>
              <w:rPr>
                <w:rFonts w:ascii="Times New Roman"/>
                <w:sz w:val="16"/>
              </w:rPr>
            </w:pPr>
          </w:p>
        </w:tc>
        <w:tc>
          <w:tcPr>
            <w:tcW w:w="1238" w:type="dxa"/>
            <w:shd w:val="clear" w:color="auto" w:fill="002D5D"/>
          </w:tcPr>
          <w:p>
            <w:pPr>
              <w:pStyle w:val="TableParagraph"/>
              <w:spacing w:before="44"/>
              <w:ind w:left="213"/>
              <w:rPr>
                <w:b/>
                <w:sz w:val="16"/>
              </w:rPr>
            </w:pPr>
            <w:r>
              <w:rPr>
                <w:b/>
                <w:color w:val="FFFFFF"/>
                <w:spacing w:val="-2"/>
                <w:sz w:val="16"/>
              </w:rPr>
              <w:t>42.535.961,18</w:t>
            </w:r>
          </w:p>
        </w:tc>
        <w:tc>
          <w:tcPr>
            <w:tcW w:w="475" w:type="dxa"/>
            <w:shd w:val="clear" w:color="auto" w:fill="002D5D"/>
          </w:tcPr>
          <w:p>
            <w:pPr>
              <w:pStyle w:val="TableParagraph"/>
              <w:rPr>
                <w:rFonts w:ascii="Times New Roman"/>
                <w:sz w:val="16"/>
              </w:rPr>
            </w:pPr>
          </w:p>
        </w:tc>
        <w:tc>
          <w:tcPr>
            <w:tcW w:w="933" w:type="dxa"/>
            <w:shd w:val="clear" w:color="auto" w:fill="002D5D"/>
          </w:tcPr>
          <w:p>
            <w:pPr>
              <w:pStyle w:val="TableParagraph"/>
              <w:spacing w:before="44"/>
              <w:ind w:right="87"/>
              <w:jc w:val="right"/>
              <w:rPr>
                <w:b/>
                <w:sz w:val="16"/>
              </w:rPr>
            </w:pPr>
            <w:r>
              <w:rPr>
                <w:b/>
                <w:color w:val="FFFFFF"/>
                <w:spacing w:val="-2"/>
                <w:sz w:val="16"/>
              </w:rPr>
              <w:t>878.337,95</w:t>
            </w:r>
          </w:p>
        </w:tc>
        <w:tc>
          <w:tcPr>
            <w:tcW w:w="564" w:type="dxa"/>
            <w:shd w:val="clear" w:color="auto" w:fill="002D5D"/>
          </w:tcPr>
          <w:p>
            <w:pPr>
              <w:pStyle w:val="TableParagraph"/>
              <w:rPr>
                <w:rFonts w:ascii="Times New Roman"/>
                <w:sz w:val="16"/>
              </w:rPr>
            </w:pPr>
          </w:p>
        </w:tc>
        <w:tc>
          <w:tcPr>
            <w:tcW w:w="1144" w:type="dxa"/>
            <w:shd w:val="clear" w:color="auto" w:fill="002D5D"/>
          </w:tcPr>
          <w:p>
            <w:pPr>
              <w:pStyle w:val="TableParagraph"/>
              <w:rPr>
                <w:rFonts w:ascii="Times New Roman"/>
                <w:sz w:val="16"/>
              </w:rPr>
            </w:pPr>
          </w:p>
        </w:tc>
      </w:tr>
      <w:tr>
        <w:trPr>
          <w:trHeight w:val="254" w:hRule="atLeast"/>
        </w:trPr>
        <w:tc>
          <w:tcPr>
            <w:tcW w:w="7684" w:type="dxa"/>
            <w:gridSpan w:val="7"/>
          </w:tcPr>
          <w:p>
            <w:pPr>
              <w:pStyle w:val="TableParagraph"/>
              <w:spacing w:before="23"/>
              <w:ind w:left="69"/>
              <w:rPr>
                <w:sz w:val="18"/>
              </w:rPr>
            </w:pPr>
            <w:r>
              <w:rPr>
                <w:sz w:val="18"/>
              </w:rPr>
              <w:t>Fuente:</w:t>
            </w:r>
            <w:r>
              <w:rPr>
                <w:spacing w:val="-5"/>
                <w:sz w:val="18"/>
              </w:rPr>
              <w:t> </w:t>
            </w:r>
            <w:r>
              <w:rPr>
                <w:sz w:val="18"/>
              </w:rPr>
              <w:t>Elaboración</w:t>
            </w:r>
            <w:r>
              <w:rPr>
                <w:spacing w:val="-3"/>
                <w:sz w:val="18"/>
              </w:rPr>
              <w:t> </w:t>
            </w:r>
            <w:r>
              <w:rPr>
                <w:sz w:val="18"/>
              </w:rPr>
              <w:t>propia</w:t>
            </w:r>
            <w:r>
              <w:rPr>
                <w:spacing w:val="-2"/>
                <w:sz w:val="18"/>
              </w:rPr>
              <w:t> </w:t>
            </w:r>
            <w:r>
              <w:rPr>
                <w:sz w:val="18"/>
              </w:rPr>
              <w:t>a</w:t>
            </w:r>
            <w:r>
              <w:rPr>
                <w:spacing w:val="-3"/>
                <w:sz w:val="18"/>
              </w:rPr>
              <w:t> </w:t>
            </w:r>
            <w:r>
              <w:rPr>
                <w:sz w:val="18"/>
              </w:rPr>
              <w:t>partir</w:t>
            </w:r>
            <w:r>
              <w:rPr>
                <w:spacing w:val="-1"/>
                <w:sz w:val="18"/>
              </w:rPr>
              <w:t> </w:t>
            </w:r>
            <w:r>
              <w:rPr>
                <w:sz w:val="18"/>
              </w:rPr>
              <w:t>de</w:t>
            </w:r>
            <w:r>
              <w:rPr>
                <w:spacing w:val="-2"/>
                <w:sz w:val="18"/>
              </w:rPr>
              <w:t> </w:t>
            </w:r>
            <w:r>
              <w:rPr>
                <w:sz w:val="18"/>
              </w:rPr>
              <w:t>los</w:t>
            </w:r>
            <w:r>
              <w:rPr>
                <w:spacing w:val="-3"/>
                <w:sz w:val="18"/>
              </w:rPr>
              <w:t> </w:t>
            </w:r>
            <w:r>
              <w:rPr>
                <w:sz w:val="18"/>
              </w:rPr>
              <w:t>datos</w:t>
            </w:r>
            <w:r>
              <w:rPr>
                <w:spacing w:val="-2"/>
                <w:sz w:val="18"/>
              </w:rPr>
              <w:t> </w:t>
            </w:r>
            <w:r>
              <w:rPr>
                <w:sz w:val="18"/>
              </w:rPr>
              <w:t>facilitados</w:t>
            </w:r>
            <w:r>
              <w:rPr>
                <w:spacing w:val="-2"/>
                <w:sz w:val="18"/>
              </w:rPr>
              <w:t> </w:t>
            </w:r>
            <w:r>
              <w:rPr>
                <w:sz w:val="18"/>
              </w:rPr>
              <w:t>por</w:t>
            </w:r>
            <w:r>
              <w:rPr>
                <w:spacing w:val="-2"/>
                <w:sz w:val="18"/>
              </w:rPr>
              <w:t> </w:t>
            </w:r>
            <w:r>
              <w:rPr>
                <w:sz w:val="18"/>
              </w:rPr>
              <w:t>el</w:t>
            </w:r>
            <w:r>
              <w:rPr>
                <w:spacing w:val="-1"/>
                <w:sz w:val="18"/>
              </w:rPr>
              <w:t> </w:t>
            </w:r>
            <w:r>
              <w:rPr>
                <w:sz w:val="18"/>
              </w:rPr>
              <w:t>Ayuntamiento</w:t>
            </w:r>
            <w:r>
              <w:rPr>
                <w:spacing w:val="-3"/>
                <w:sz w:val="18"/>
              </w:rPr>
              <w:t> </w:t>
            </w:r>
            <w:r>
              <w:rPr>
                <w:sz w:val="18"/>
              </w:rPr>
              <w:t>de</w:t>
            </w:r>
            <w:r>
              <w:rPr>
                <w:spacing w:val="-2"/>
                <w:sz w:val="18"/>
              </w:rPr>
              <w:t> Zaragoza</w:t>
            </w:r>
          </w:p>
        </w:tc>
        <w:tc>
          <w:tcPr>
            <w:tcW w:w="475" w:type="dxa"/>
          </w:tcPr>
          <w:p>
            <w:pPr>
              <w:pStyle w:val="TableParagraph"/>
              <w:rPr>
                <w:rFonts w:ascii="Times New Roman"/>
                <w:sz w:val="16"/>
              </w:rPr>
            </w:pPr>
          </w:p>
        </w:tc>
        <w:tc>
          <w:tcPr>
            <w:tcW w:w="933" w:type="dxa"/>
          </w:tcPr>
          <w:p>
            <w:pPr>
              <w:pStyle w:val="TableParagraph"/>
              <w:rPr>
                <w:rFonts w:ascii="Times New Roman"/>
                <w:sz w:val="16"/>
              </w:rPr>
            </w:pPr>
          </w:p>
        </w:tc>
        <w:tc>
          <w:tcPr>
            <w:tcW w:w="564" w:type="dxa"/>
          </w:tcPr>
          <w:p>
            <w:pPr>
              <w:pStyle w:val="TableParagraph"/>
              <w:rPr>
                <w:rFonts w:ascii="Times New Roman"/>
                <w:sz w:val="16"/>
              </w:rPr>
            </w:pPr>
          </w:p>
        </w:tc>
        <w:tc>
          <w:tcPr>
            <w:tcW w:w="1144" w:type="dxa"/>
          </w:tcPr>
          <w:p>
            <w:pPr>
              <w:pStyle w:val="TableParagraph"/>
              <w:rPr>
                <w:rFonts w:ascii="Times New Roman"/>
                <w:sz w:val="16"/>
              </w:rPr>
            </w:pPr>
          </w:p>
        </w:tc>
      </w:tr>
      <w:tr>
        <w:trPr>
          <w:trHeight w:val="254" w:hRule="atLeast"/>
        </w:trPr>
        <w:tc>
          <w:tcPr>
            <w:tcW w:w="7684" w:type="dxa"/>
            <w:gridSpan w:val="7"/>
          </w:tcPr>
          <w:p>
            <w:pPr>
              <w:pStyle w:val="TableParagraph"/>
              <w:spacing w:before="23"/>
              <w:ind w:left="69"/>
              <w:rPr>
                <w:sz w:val="18"/>
              </w:rPr>
            </w:pPr>
            <w:r>
              <w:rPr>
                <w:position w:val="5"/>
                <w:sz w:val="12"/>
              </w:rPr>
              <w:t>(*)</w:t>
            </w:r>
            <w:r>
              <w:rPr>
                <w:spacing w:val="-3"/>
                <w:position w:val="5"/>
                <w:sz w:val="12"/>
              </w:rPr>
              <w:t> </w:t>
            </w:r>
            <w:r>
              <w:rPr>
                <w:sz w:val="18"/>
              </w:rPr>
              <w:t>Porcentaje</w:t>
            </w:r>
            <w:r>
              <w:rPr>
                <w:spacing w:val="-2"/>
                <w:sz w:val="18"/>
              </w:rPr>
              <w:t> </w:t>
            </w:r>
            <w:r>
              <w:rPr>
                <w:sz w:val="18"/>
              </w:rPr>
              <w:t>sobre</w:t>
            </w:r>
            <w:r>
              <w:rPr>
                <w:spacing w:val="-2"/>
                <w:sz w:val="18"/>
              </w:rPr>
              <w:t> </w:t>
            </w:r>
            <w:r>
              <w:rPr>
                <w:sz w:val="18"/>
              </w:rPr>
              <w:t>el</w:t>
            </w:r>
            <w:r>
              <w:rPr>
                <w:spacing w:val="-2"/>
                <w:sz w:val="18"/>
              </w:rPr>
              <w:t> </w:t>
            </w:r>
            <w:r>
              <w:rPr>
                <w:sz w:val="18"/>
              </w:rPr>
              <w:t>importe</w:t>
            </w:r>
            <w:r>
              <w:rPr>
                <w:spacing w:val="-2"/>
                <w:sz w:val="18"/>
              </w:rPr>
              <w:t> </w:t>
            </w:r>
            <w:r>
              <w:rPr>
                <w:sz w:val="18"/>
              </w:rPr>
              <w:t>de</w:t>
            </w:r>
            <w:r>
              <w:rPr>
                <w:spacing w:val="-2"/>
                <w:sz w:val="18"/>
              </w:rPr>
              <w:t> </w:t>
            </w:r>
            <w:r>
              <w:rPr>
                <w:sz w:val="18"/>
              </w:rPr>
              <w:t>todas</w:t>
            </w:r>
            <w:r>
              <w:rPr>
                <w:spacing w:val="-2"/>
                <w:sz w:val="18"/>
              </w:rPr>
              <w:t> </w:t>
            </w:r>
            <w:r>
              <w:rPr>
                <w:sz w:val="18"/>
              </w:rPr>
              <w:t>las</w:t>
            </w:r>
            <w:r>
              <w:rPr>
                <w:spacing w:val="-1"/>
                <w:sz w:val="18"/>
              </w:rPr>
              <w:t> </w:t>
            </w:r>
            <w:r>
              <w:rPr>
                <w:spacing w:val="-2"/>
                <w:sz w:val="18"/>
              </w:rPr>
              <w:t>actuaciones</w:t>
            </w:r>
          </w:p>
        </w:tc>
        <w:tc>
          <w:tcPr>
            <w:tcW w:w="475" w:type="dxa"/>
          </w:tcPr>
          <w:p>
            <w:pPr>
              <w:pStyle w:val="TableParagraph"/>
              <w:rPr>
                <w:rFonts w:ascii="Times New Roman"/>
                <w:sz w:val="16"/>
              </w:rPr>
            </w:pPr>
          </w:p>
        </w:tc>
        <w:tc>
          <w:tcPr>
            <w:tcW w:w="933" w:type="dxa"/>
          </w:tcPr>
          <w:p>
            <w:pPr>
              <w:pStyle w:val="TableParagraph"/>
              <w:rPr>
                <w:rFonts w:ascii="Times New Roman"/>
                <w:sz w:val="16"/>
              </w:rPr>
            </w:pPr>
          </w:p>
        </w:tc>
        <w:tc>
          <w:tcPr>
            <w:tcW w:w="564" w:type="dxa"/>
          </w:tcPr>
          <w:p>
            <w:pPr>
              <w:pStyle w:val="TableParagraph"/>
              <w:rPr>
                <w:rFonts w:ascii="Times New Roman"/>
                <w:sz w:val="16"/>
              </w:rPr>
            </w:pPr>
          </w:p>
        </w:tc>
        <w:tc>
          <w:tcPr>
            <w:tcW w:w="1144" w:type="dxa"/>
          </w:tcPr>
          <w:p>
            <w:pPr>
              <w:pStyle w:val="TableParagraph"/>
              <w:rPr>
                <w:rFonts w:ascii="Times New Roman"/>
                <w:sz w:val="16"/>
              </w:rPr>
            </w:pPr>
          </w:p>
        </w:tc>
      </w:tr>
      <w:tr>
        <w:trPr>
          <w:trHeight w:val="230" w:hRule="atLeast"/>
        </w:trPr>
        <w:tc>
          <w:tcPr>
            <w:tcW w:w="7684" w:type="dxa"/>
            <w:gridSpan w:val="7"/>
          </w:tcPr>
          <w:p>
            <w:pPr>
              <w:pStyle w:val="TableParagraph"/>
              <w:spacing w:line="187" w:lineRule="exact" w:before="23"/>
              <w:ind w:left="69"/>
              <w:rPr>
                <w:sz w:val="18"/>
              </w:rPr>
            </w:pPr>
            <w:r>
              <w:rPr>
                <w:position w:val="5"/>
                <w:sz w:val="12"/>
              </w:rPr>
              <w:t>(**)</w:t>
            </w:r>
            <w:r>
              <w:rPr>
                <w:spacing w:val="-1"/>
                <w:position w:val="5"/>
                <w:sz w:val="12"/>
              </w:rPr>
              <w:t> </w:t>
            </w:r>
            <w:r>
              <w:rPr>
                <w:sz w:val="18"/>
              </w:rPr>
              <w:t>Porcentaje</w:t>
            </w:r>
            <w:r>
              <w:rPr>
                <w:spacing w:val="-2"/>
                <w:sz w:val="18"/>
              </w:rPr>
              <w:t> </w:t>
            </w:r>
            <w:r>
              <w:rPr>
                <w:sz w:val="18"/>
              </w:rPr>
              <w:t>sobre</w:t>
            </w:r>
            <w:r>
              <w:rPr>
                <w:spacing w:val="-2"/>
                <w:sz w:val="18"/>
              </w:rPr>
              <w:t> </w:t>
            </w:r>
            <w:r>
              <w:rPr>
                <w:sz w:val="18"/>
              </w:rPr>
              <w:t>el</w:t>
            </w:r>
            <w:r>
              <w:rPr>
                <w:spacing w:val="-2"/>
                <w:sz w:val="18"/>
              </w:rPr>
              <w:t> </w:t>
            </w:r>
            <w:r>
              <w:rPr>
                <w:sz w:val="18"/>
              </w:rPr>
              <w:t>importe</w:t>
            </w:r>
            <w:r>
              <w:rPr>
                <w:spacing w:val="-2"/>
                <w:sz w:val="18"/>
              </w:rPr>
              <w:t> </w:t>
            </w:r>
            <w:r>
              <w:rPr>
                <w:sz w:val="18"/>
              </w:rPr>
              <w:t>de</w:t>
            </w:r>
            <w:r>
              <w:rPr>
                <w:spacing w:val="-2"/>
                <w:sz w:val="18"/>
              </w:rPr>
              <w:t> </w:t>
            </w:r>
            <w:r>
              <w:rPr>
                <w:sz w:val="18"/>
              </w:rPr>
              <w:t>cada</w:t>
            </w:r>
            <w:r>
              <w:rPr>
                <w:spacing w:val="-1"/>
                <w:sz w:val="18"/>
              </w:rPr>
              <w:t> </w:t>
            </w:r>
            <w:r>
              <w:rPr>
                <w:spacing w:val="-2"/>
                <w:sz w:val="18"/>
              </w:rPr>
              <w:t>actuación</w:t>
            </w:r>
          </w:p>
        </w:tc>
        <w:tc>
          <w:tcPr>
            <w:tcW w:w="475" w:type="dxa"/>
          </w:tcPr>
          <w:p>
            <w:pPr>
              <w:pStyle w:val="TableParagraph"/>
              <w:rPr>
                <w:rFonts w:ascii="Times New Roman"/>
                <w:sz w:val="16"/>
              </w:rPr>
            </w:pPr>
          </w:p>
        </w:tc>
        <w:tc>
          <w:tcPr>
            <w:tcW w:w="933" w:type="dxa"/>
          </w:tcPr>
          <w:p>
            <w:pPr>
              <w:pStyle w:val="TableParagraph"/>
              <w:rPr>
                <w:rFonts w:ascii="Times New Roman"/>
                <w:sz w:val="16"/>
              </w:rPr>
            </w:pPr>
          </w:p>
        </w:tc>
        <w:tc>
          <w:tcPr>
            <w:tcW w:w="564" w:type="dxa"/>
          </w:tcPr>
          <w:p>
            <w:pPr>
              <w:pStyle w:val="TableParagraph"/>
              <w:rPr>
                <w:rFonts w:ascii="Times New Roman"/>
                <w:sz w:val="16"/>
              </w:rPr>
            </w:pPr>
          </w:p>
        </w:tc>
        <w:tc>
          <w:tcPr>
            <w:tcW w:w="1144" w:type="dxa"/>
          </w:tcPr>
          <w:p>
            <w:pPr>
              <w:pStyle w:val="TableParagraph"/>
              <w:rPr>
                <w:rFonts w:ascii="Times New Roman"/>
                <w:sz w:val="16"/>
              </w:rPr>
            </w:pPr>
          </w:p>
        </w:tc>
      </w:tr>
    </w:tbl>
    <w:p>
      <w:pPr>
        <w:pStyle w:val="TableParagraph"/>
        <w:spacing w:after="0"/>
        <w:rPr>
          <w:rFonts w:ascii="Times New Roman"/>
          <w:sz w:val="16"/>
        </w:rPr>
        <w:sectPr>
          <w:pgSz w:w="11910" w:h="16840"/>
          <w:pgMar w:header="1270" w:footer="661" w:top="2800" w:bottom="860" w:left="141" w:right="141"/>
        </w:sectPr>
      </w:pPr>
    </w:p>
    <w:p>
      <w:pPr>
        <w:spacing w:line="614" w:lineRule="exact" w:before="57"/>
        <w:ind w:left="1265" w:right="432" w:firstLine="11601"/>
        <w:jc w:val="left"/>
        <w:rPr>
          <w:b/>
          <w:sz w:val="22"/>
        </w:rPr>
      </w:pPr>
      <w:r>
        <w:rPr>
          <w:b/>
          <w:sz w:val="22"/>
        </w:rPr>
        <w:drawing>
          <wp:anchor distT="0" distB="0" distL="0" distR="0" allowOverlap="1" layoutInCell="1" locked="0" behindDoc="0" simplePos="0" relativeHeight="15782400">
            <wp:simplePos x="0" y="0"/>
            <wp:positionH relativeFrom="page">
              <wp:posOffset>7299959</wp:posOffset>
            </wp:positionH>
            <wp:positionV relativeFrom="paragraph">
              <wp:posOffset>2540</wp:posOffset>
            </wp:positionV>
            <wp:extent cx="1767204" cy="99695"/>
            <wp:effectExtent l="0" t="0" r="0" b="0"/>
            <wp:wrapNone/>
            <wp:docPr id="486" name="Image 486"/>
            <wp:cNvGraphicFramePr>
              <a:graphicFrameLocks/>
            </wp:cNvGraphicFramePr>
            <a:graphic>
              <a:graphicData uri="http://schemas.openxmlformats.org/drawingml/2006/picture">
                <pic:pic>
                  <pic:nvPicPr>
                    <pic:cNvPr id="486" name="Image 486"/>
                    <pic:cNvPicPr/>
                  </pic:nvPicPr>
                  <pic:blipFill>
                    <a:blip r:embed="rId14" cstate="print"/>
                    <a:stretch>
                      <a:fillRect/>
                    </a:stretch>
                  </pic:blipFill>
                  <pic:spPr>
                    <a:xfrm>
                      <a:off x="0" y="0"/>
                      <a:ext cx="1767204" cy="99695"/>
                    </a:xfrm>
                    <a:prstGeom prst="rect">
                      <a:avLst/>
                    </a:prstGeom>
                  </pic:spPr>
                </pic:pic>
              </a:graphicData>
            </a:graphic>
          </wp:anchor>
        </w:drawing>
      </w:r>
      <w:bookmarkStart w:name="_bookmark154" w:id="156"/>
      <w:bookmarkEnd w:id="156"/>
      <w:r>
        <w:rPr/>
      </w:r>
      <w:r>
        <w:rPr>
          <w:b/>
          <w:sz w:val="22"/>
        </w:rPr>
        <w:t>ANEXO</w:t>
      </w:r>
      <w:r>
        <w:rPr>
          <w:b/>
          <w:spacing w:val="-16"/>
          <w:sz w:val="22"/>
        </w:rPr>
        <w:t> </w:t>
      </w:r>
      <w:r>
        <w:rPr>
          <w:b/>
          <w:sz w:val="22"/>
        </w:rPr>
        <w:t>XV </w:t>
      </w:r>
      <w:bookmarkStart w:name="_bookmark155" w:id="157"/>
      <w:bookmarkEnd w:id="157"/>
      <w:r>
        <w:rPr>
          <w:b/>
          <w:sz w:val="22"/>
        </w:rPr>
        <w:t>P</w:t>
      </w:r>
      <w:r>
        <w:rPr>
          <w:b/>
          <w:sz w:val="22"/>
        </w:rPr>
        <w:t>ROGRAMA DE AYUDAS PARA LA TRANSFORMACIÓN DIGITAL Y SOSTENIBLE DEL TRANSPORTE URBANO, PRTR</w:t>
      </w:r>
    </w:p>
    <w:p>
      <w:pPr>
        <w:pStyle w:val="Heading5"/>
        <w:spacing w:line="176" w:lineRule="exact" w:before="0"/>
        <w:ind w:left="0" w:right="854"/>
        <w:jc w:val="center"/>
      </w:pPr>
      <w:r>
        <w:rPr/>
        <w:t>1ª</w:t>
      </w:r>
      <w:r>
        <w:rPr>
          <w:spacing w:val="-1"/>
        </w:rPr>
        <w:t> </w:t>
      </w:r>
      <w:r>
        <w:rPr>
          <w:spacing w:val="-2"/>
        </w:rPr>
        <w:t>CONVOCATORIA</w:t>
      </w:r>
    </w:p>
    <w:p>
      <w:pPr>
        <w:pStyle w:val="BodyText"/>
        <w:spacing w:before="9"/>
        <w:rPr>
          <w:b/>
          <w:sz w:val="20"/>
        </w:rPr>
      </w:pPr>
    </w:p>
    <w:tbl>
      <w:tblPr>
        <w:tblW w:w="0" w:type="auto"/>
        <w:jc w:val="left"/>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70"/>
        <w:gridCol w:w="1813"/>
        <w:gridCol w:w="1353"/>
        <w:gridCol w:w="1171"/>
        <w:gridCol w:w="1366"/>
        <w:gridCol w:w="1140"/>
        <w:gridCol w:w="1629"/>
        <w:gridCol w:w="1267"/>
        <w:gridCol w:w="1165"/>
        <w:gridCol w:w="1005"/>
        <w:gridCol w:w="1090"/>
        <w:gridCol w:w="1224"/>
      </w:tblGrid>
      <w:tr>
        <w:trPr>
          <w:trHeight w:val="1276" w:hRule="atLeast"/>
        </w:trPr>
        <w:tc>
          <w:tcPr>
            <w:tcW w:w="1370" w:type="dxa"/>
            <w:shd w:val="clear" w:color="auto" w:fill="002D5D"/>
          </w:tcPr>
          <w:p>
            <w:pPr>
              <w:pStyle w:val="TableParagraph"/>
              <w:rPr>
                <w:rFonts w:ascii="Arial"/>
                <w:b/>
                <w:sz w:val="17"/>
              </w:rPr>
            </w:pPr>
          </w:p>
          <w:p>
            <w:pPr>
              <w:pStyle w:val="TableParagraph"/>
              <w:spacing w:before="151"/>
              <w:rPr>
                <w:rFonts w:ascii="Arial"/>
                <w:b/>
                <w:sz w:val="17"/>
              </w:rPr>
            </w:pPr>
          </w:p>
          <w:p>
            <w:pPr>
              <w:pStyle w:val="TableParagraph"/>
              <w:ind w:left="71"/>
              <w:rPr>
                <w:b/>
                <w:sz w:val="17"/>
              </w:rPr>
            </w:pPr>
            <w:r>
              <w:rPr>
                <w:b/>
                <w:color w:val="FFFFFF"/>
                <w:spacing w:val="-2"/>
                <w:sz w:val="17"/>
              </w:rPr>
              <w:t>AYUNTAMIENTO</w:t>
            </w:r>
          </w:p>
        </w:tc>
        <w:tc>
          <w:tcPr>
            <w:tcW w:w="1813" w:type="dxa"/>
            <w:shd w:val="clear" w:color="auto" w:fill="002D5D"/>
          </w:tcPr>
          <w:p>
            <w:pPr>
              <w:pStyle w:val="TableParagraph"/>
              <w:rPr>
                <w:rFonts w:ascii="Arial"/>
                <w:b/>
                <w:sz w:val="17"/>
              </w:rPr>
            </w:pPr>
          </w:p>
          <w:p>
            <w:pPr>
              <w:pStyle w:val="TableParagraph"/>
              <w:spacing w:before="151"/>
              <w:rPr>
                <w:rFonts w:ascii="Arial"/>
                <w:b/>
                <w:sz w:val="17"/>
              </w:rPr>
            </w:pPr>
          </w:p>
          <w:p>
            <w:pPr>
              <w:pStyle w:val="TableParagraph"/>
              <w:ind w:left="182"/>
              <w:rPr>
                <w:b/>
                <w:sz w:val="17"/>
              </w:rPr>
            </w:pPr>
            <w:r>
              <w:rPr>
                <w:b/>
                <w:color w:val="FFFFFF"/>
                <w:sz w:val="17"/>
              </w:rPr>
              <w:t>NOMBRE</w:t>
            </w:r>
            <w:r>
              <w:rPr>
                <w:b/>
                <w:color w:val="FFFFFF"/>
                <w:spacing w:val="-1"/>
                <w:sz w:val="17"/>
              </w:rPr>
              <w:t> </w:t>
            </w:r>
            <w:r>
              <w:rPr>
                <w:b/>
                <w:color w:val="FFFFFF"/>
                <w:spacing w:val="-2"/>
                <w:sz w:val="17"/>
              </w:rPr>
              <w:t>PROYECTO</w:t>
            </w:r>
          </w:p>
        </w:tc>
        <w:tc>
          <w:tcPr>
            <w:tcW w:w="1353" w:type="dxa"/>
            <w:shd w:val="clear" w:color="auto" w:fill="002D5D"/>
          </w:tcPr>
          <w:p>
            <w:pPr>
              <w:pStyle w:val="TableParagraph"/>
              <w:spacing w:before="150"/>
              <w:ind w:left="186" w:right="194" w:hanging="1"/>
              <w:jc w:val="center"/>
              <w:rPr>
                <w:b/>
                <w:sz w:val="17"/>
              </w:rPr>
            </w:pPr>
            <w:r>
              <w:rPr>
                <w:b/>
                <w:color w:val="FFFFFF"/>
                <w:spacing w:val="-2"/>
                <w:sz w:val="17"/>
              </w:rPr>
              <w:t>IMPORTE</w:t>
            </w:r>
            <w:r>
              <w:rPr>
                <w:b/>
                <w:color w:val="FFFFFF"/>
                <w:spacing w:val="40"/>
                <w:sz w:val="17"/>
              </w:rPr>
              <w:t> </w:t>
            </w:r>
            <w:r>
              <w:rPr>
                <w:b/>
                <w:color w:val="FFFFFF"/>
                <w:spacing w:val="-2"/>
                <w:sz w:val="17"/>
              </w:rPr>
              <w:t>PROYECTO</w:t>
            </w:r>
            <w:r>
              <w:rPr>
                <w:b/>
                <w:color w:val="FFFFFF"/>
                <w:spacing w:val="40"/>
                <w:sz w:val="17"/>
              </w:rPr>
              <w:t> </w:t>
            </w:r>
            <w:r>
              <w:rPr>
                <w:b/>
                <w:color w:val="FFFFFF"/>
                <w:spacing w:val="-2"/>
                <w:sz w:val="17"/>
              </w:rPr>
              <w:t>PRESENTADO</w:t>
            </w:r>
          </w:p>
          <w:p>
            <w:pPr>
              <w:pStyle w:val="TableParagraph"/>
              <w:spacing w:line="195" w:lineRule="exact" w:before="1"/>
              <w:ind w:left="3" w:right="13"/>
              <w:jc w:val="center"/>
              <w:rPr>
                <w:b/>
                <w:sz w:val="17"/>
              </w:rPr>
            </w:pPr>
            <w:r>
              <w:rPr>
                <w:b/>
                <w:color w:val="FFFFFF"/>
                <w:sz w:val="17"/>
              </w:rPr>
              <w:t>(costes</w:t>
            </w:r>
            <w:r>
              <w:rPr>
                <w:b/>
                <w:color w:val="FFFFFF"/>
                <w:spacing w:val="-4"/>
                <w:sz w:val="17"/>
              </w:rPr>
              <w:t> </w:t>
            </w:r>
            <w:r>
              <w:rPr>
                <w:b/>
                <w:color w:val="FFFFFF"/>
                <w:spacing w:val="-2"/>
                <w:sz w:val="17"/>
              </w:rPr>
              <w:t>elegibles)</w:t>
            </w:r>
          </w:p>
          <w:p>
            <w:pPr>
              <w:pStyle w:val="TableParagraph"/>
              <w:spacing w:line="195" w:lineRule="exact"/>
              <w:ind w:right="13"/>
              <w:jc w:val="center"/>
              <w:rPr>
                <w:b/>
                <w:sz w:val="17"/>
              </w:rPr>
            </w:pPr>
            <w:r>
              <w:rPr>
                <w:b/>
                <w:color w:val="FFFFFF"/>
                <w:spacing w:val="-5"/>
                <w:sz w:val="17"/>
              </w:rPr>
              <w:t>(€)</w:t>
            </w:r>
          </w:p>
        </w:tc>
        <w:tc>
          <w:tcPr>
            <w:tcW w:w="1171" w:type="dxa"/>
            <w:shd w:val="clear" w:color="auto" w:fill="002D5D"/>
          </w:tcPr>
          <w:p>
            <w:pPr>
              <w:pStyle w:val="TableParagraph"/>
              <w:spacing w:before="149"/>
              <w:rPr>
                <w:rFonts w:ascii="Arial"/>
                <w:b/>
                <w:sz w:val="17"/>
              </w:rPr>
            </w:pPr>
          </w:p>
          <w:p>
            <w:pPr>
              <w:pStyle w:val="TableParagraph"/>
              <w:ind w:left="2" w:right="1"/>
              <w:jc w:val="center"/>
              <w:rPr>
                <w:b/>
                <w:sz w:val="17"/>
              </w:rPr>
            </w:pPr>
            <w:r>
              <w:rPr>
                <w:b/>
                <w:color w:val="FFFFFF"/>
                <w:spacing w:val="-2"/>
                <w:sz w:val="17"/>
              </w:rPr>
              <w:t>SUBVENCIÓN</w:t>
            </w:r>
            <w:r>
              <w:rPr>
                <w:b/>
                <w:color w:val="FFFFFF"/>
                <w:spacing w:val="40"/>
                <w:sz w:val="17"/>
              </w:rPr>
              <w:t> </w:t>
            </w:r>
            <w:r>
              <w:rPr>
                <w:b/>
                <w:color w:val="FFFFFF"/>
                <w:spacing w:val="-2"/>
                <w:sz w:val="17"/>
              </w:rPr>
              <w:t>SOLICITADA</w:t>
            </w:r>
          </w:p>
          <w:p>
            <w:pPr>
              <w:pStyle w:val="TableParagraph"/>
              <w:spacing w:before="1"/>
              <w:ind w:left="1" w:right="2"/>
              <w:jc w:val="center"/>
              <w:rPr>
                <w:b/>
                <w:sz w:val="17"/>
              </w:rPr>
            </w:pPr>
            <w:r>
              <w:rPr>
                <w:b/>
                <w:color w:val="FFFFFF"/>
                <w:spacing w:val="-5"/>
                <w:sz w:val="17"/>
              </w:rPr>
              <w:t>(€)</w:t>
            </w:r>
          </w:p>
        </w:tc>
        <w:tc>
          <w:tcPr>
            <w:tcW w:w="1366" w:type="dxa"/>
            <w:shd w:val="clear" w:color="auto" w:fill="002D5D"/>
          </w:tcPr>
          <w:p>
            <w:pPr>
              <w:pStyle w:val="TableParagraph"/>
              <w:spacing w:before="150"/>
              <w:ind w:left="223" w:right="208" w:hanging="2"/>
              <w:jc w:val="center"/>
              <w:rPr>
                <w:b/>
                <w:sz w:val="17"/>
              </w:rPr>
            </w:pPr>
            <w:r>
              <w:rPr>
                <w:b/>
                <w:color w:val="FFFFFF"/>
                <w:spacing w:val="-2"/>
                <w:sz w:val="17"/>
              </w:rPr>
              <w:t>IMPORTE</w:t>
            </w:r>
            <w:r>
              <w:rPr>
                <w:b/>
                <w:color w:val="FFFFFF"/>
                <w:spacing w:val="40"/>
                <w:sz w:val="17"/>
              </w:rPr>
              <w:t> </w:t>
            </w:r>
            <w:r>
              <w:rPr>
                <w:b/>
                <w:color w:val="FFFFFF"/>
                <w:spacing w:val="-2"/>
                <w:sz w:val="17"/>
              </w:rPr>
              <w:t>PROYECTO</w:t>
            </w:r>
            <w:r>
              <w:rPr>
                <w:b/>
                <w:color w:val="FFFFFF"/>
                <w:spacing w:val="40"/>
                <w:sz w:val="17"/>
              </w:rPr>
              <w:t> </w:t>
            </w:r>
            <w:r>
              <w:rPr>
                <w:b/>
                <w:color w:val="FFFFFF"/>
                <w:spacing w:val="-2"/>
                <w:sz w:val="17"/>
              </w:rPr>
              <w:t>AUTORIZADO</w:t>
            </w:r>
          </w:p>
          <w:p>
            <w:pPr>
              <w:pStyle w:val="TableParagraph"/>
              <w:spacing w:line="195" w:lineRule="exact" w:before="1"/>
              <w:ind w:left="15"/>
              <w:jc w:val="center"/>
              <w:rPr>
                <w:b/>
                <w:sz w:val="17"/>
              </w:rPr>
            </w:pPr>
            <w:r>
              <w:rPr>
                <w:b/>
                <w:color w:val="FFFFFF"/>
                <w:sz w:val="17"/>
              </w:rPr>
              <w:t>(costes</w:t>
            </w:r>
            <w:r>
              <w:rPr>
                <w:b/>
                <w:color w:val="FFFFFF"/>
                <w:spacing w:val="-4"/>
                <w:sz w:val="17"/>
              </w:rPr>
              <w:t> </w:t>
            </w:r>
            <w:r>
              <w:rPr>
                <w:b/>
                <w:color w:val="FFFFFF"/>
                <w:spacing w:val="-2"/>
                <w:sz w:val="17"/>
              </w:rPr>
              <w:t>elegibles)</w:t>
            </w:r>
          </w:p>
          <w:p>
            <w:pPr>
              <w:pStyle w:val="TableParagraph"/>
              <w:spacing w:line="195" w:lineRule="exact"/>
              <w:ind w:left="15" w:right="3"/>
              <w:jc w:val="center"/>
              <w:rPr>
                <w:b/>
                <w:sz w:val="17"/>
              </w:rPr>
            </w:pPr>
            <w:r>
              <w:rPr>
                <w:b/>
                <w:color w:val="FFFFFF"/>
                <w:spacing w:val="-5"/>
                <w:sz w:val="17"/>
              </w:rPr>
              <w:t>(€)</w:t>
            </w:r>
          </w:p>
        </w:tc>
        <w:tc>
          <w:tcPr>
            <w:tcW w:w="1140" w:type="dxa"/>
            <w:shd w:val="clear" w:color="auto" w:fill="002D5D"/>
          </w:tcPr>
          <w:p>
            <w:pPr>
              <w:pStyle w:val="TableParagraph"/>
              <w:spacing w:before="149"/>
              <w:rPr>
                <w:rFonts w:ascii="Arial"/>
                <w:b/>
                <w:sz w:val="17"/>
              </w:rPr>
            </w:pPr>
          </w:p>
          <w:p>
            <w:pPr>
              <w:pStyle w:val="TableParagraph"/>
              <w:ind w:left="24"/>
              <w:jc w:val="center"/>
              <w:rPr>
                <w:b/>
                <w:sz w:val="17"/>
              </w:rPr>
            </w:pPr>
            <w:r>
              <w:rPr>
                <w:b/>
                <w:color w:val="FFFFFF"/>
                <w:spacing w:val="-2"/>
                <w:sz w:val="17"/>
              </w:rPr>
              <w:t>SUBVENCIÓN</w:t>
            </w:r>
            <w:r>
              <w:rPr>
                <w:b/>
                <w:color w:val="FFFFFF"/>
                <w:spacing w:val="40"/>
                <w:sz w:val="17"/>
              </w:rPr>
              <w:t> </w:t>
            </w:r>
            <w:r>
              <w:rPr>
                <w:b/>
                <w:color w:val="FFFFFF"/>
                <w:spacing w:val="-2"/>
                <w:sz w:val="17"/>
              </w:rPr>
              <w:t>CONCEDIDA</w:t>
            </w:r>
          </w:p>
          <w:p>
            <w:pPr>
              <w:pStyle w:val="TableParagraph"/>
              <w:spacing w:before="1"/>
              <w:ind w:left="24" w:right="7"/>
              <w:jc w:val="center"/>
              <w:rPr>
                <w:b/>
                <w:sz w:val="17"/>
              </w:rPr>
            </w:pPr>
            <w:r>
              <w:rPr>
                <w:b/>
                <w:color w:val="FFFFFF"/>
                <w:spacing w:val="-5"/>
                <w:sz w:val="17"/>
              </w:rPr>
              <w:t>(€)</w:t>
            </w:r>
          </w:p>
        </w:tc>
        <w:tc>
          <w:tcPr>
            <w:tcW w:w="1629" w:type="dxa"/>
            <w:shd w:val="clear" w:color="auto" w:fill="002D5D"/>
          </w:tcPr>
          <w:p>
            <w:pPr>
              <w:pStyle w:val="TableParagraph"/>
              <w:spacing w:before="150"/>
              <w:ind w:left="4" w:right="3"/>
              <w:jc w:val="center"/>
              <w:rPr>
                <w:b/>
                <w:sz w:val="17"/>
              </w:rPr>
            </w:pPr>
            <w:r>
              <w:rPr>
                <w:b/>
                <w:color w:val="FFFFFF"/>
                <w:sz w:val="17"/>
              </w:rPr>
              <w:t>IMPORTE</w:t>
            </w:r>
            <w:r>
              <w:rPr>
                <w:b/>
                <w:color w:val="FFFFFF"/>
                <w:spacing w:val="-10"/>
                <w:sz w:val="17"/>
              </w:rPr>
              <w:t> </w:t>
            </w:r>
            <w:r>
              <w:rPr>
                <w:b/>
                <w:color w:val="FFFFFF"/>
                <w:sz w:val="17"/>
              </w:rPr>
              <w:t>PROYECTO</w:t>
            </w:r>
            <w:r>
              <w:rPr>
                <w:b/>
                <w:color w:val="FFFFFF"/>
                <w:spacing w:val="40"/>
                <w:sz w:val="17"/>
              </w:rPr>
              <w:t> </w:t>
            </w:r>
            <w:r>
              <w:rPr>
                <w:b/>
                <w:color w:val="FFFFFF"/>
                <w:spacing w:val="-2"/>
                <w:sz w:val="17"/>
              </w:rPr>
              <w:t>AUTORIZADO</w:t>
            </w:r>
            <w:r>
              <w:rPr>
                <w:b/>
                <w:color w:val="FFFFFF"/>
                <w:spacing w:val="40"/>
                <w:sz w:val="17"/>
              </w:rPr>
              <w:t> </w:t>
            </w:r>
            <w:r>
              <w:rPr>
                <w:b/>
                <w:color w:val="FFFFFF"/>
                <w:spacing w:val="-2"/>
                <w:sz w:val="17"/>
              </w:rPr>
              <w:t>ACTUACIONES</w:t>
            </w:r>
            <w:r>
              <w:rPr>
                <w:b/>
                <w:color w:val="FFFFFF"/>
                <w:spacing w:val="40"/>
                <w:sz w:val="17"/>
              </w:rPr>
              <w:t> </w:t>
            </w:r>
            <w:r>
              <w:rPr>
                <w:b/>
                <w:color w:val="FFFFFF"/>
                <w:spacing w:val="-2"/>
                <w:sz w:val="17"/>
              </w:rPr>
              <w:t>FISCALIZACIÓN</w:t>
            </w:r>
          </w:p>
          <w:p>
            <w:pPr>
              <w:pStyle w:val="TableParagraph"/>
              <w:spacing w:line="195" w:lineRule="exact"/>
              <w:ind w:left="1" w:right="4"/>
              <w:jc w:val="center"/>
              <w:rPr>
                <w:b/>
                <w:sz w:val="17"/>
              </w:rPr>
            </w:pPr>
            <w:r>
              <w:rPr>
                <w:b/>
                <w:color w:val="FFFFFF"/>
                <w:sz w:val="17"/>
              </w:rPr>
              <w:t>(costes</w:t>
            </w:r>
            <w:r>
              <w:rPr>
                <w:b/>
                <w:color w:val="FFFFFF"/>
                <w:spacing w:val="-5"/>
                <w:sz w:val="17"/>
              </w:rPr>
              <w:t> </w:t>
            </w:r>
            <w:r>
              <w:rPr>
                <w:b/>
                <w:color w:val="FFFFFF"/>
                <w:sz w:val="17"/>
              </w:rPr>
              <w:t>elegibles)</w:t>
            </w:r>
            <w:r>
              <w:rPr>
                <w:b/>
                <w:color w:val="FFFFFF"/>
                <w:spacing w:val="-5"/>
                <w:sz w:val="17"/>
              </w:rPr>
              <w:t> (€)</w:t>
            </w:r>
          </w:p>
        </w:tc>
        <w:tc>
          <w:tcPr>
            <w:tcW w:w="1267" w:type="dxa"/>
            <w:shd w:val="clear" w:color="auto" w:fill="002D5D"/>
          </w:tcPr>
          <w:p>
            <w:pPr>
              <w:pStyle w:val="TableParagraph"/>
              <w:spacing w:before="150"/>
              <w:ind w:left="97" w:right="90" w:firstLine="72"/>
              <w:jc w:val="both"/>
              <w:rPr>
                <w:b/>
                <w:sz w:val="17"/>
              </w:rPr>
            </w:pPr>
            <w:r>
              <w:rPr>
                <w:b/>
                <w:color w:val="FFFFFF"/>
                <w:spacing w:val="-2"/>
                <w:sz w:val="17"/>
              </w:rPr>
              <w:t>SUBVENCIÓN</w:t>
            </w:r>
            <w:r>
              <w:rPr>
                <w:b/>
                <w:color w:val="FFFFFF"/>
                <w:spacing w:val="40"/>
                <w:sz w:val="17"/>
              </w:rPr>
              <w:t> </w:t>
            </w:r>
            <w:r>
              <w:rPr>
                <w:b/>
                <w:color w:val="FFFFFF"/>
                <w:spacing w:val="-2"/>
                <w:sz w:val="17"/>
              </w:rPr>
              <w:t>CONCEDIDA</w:t>
            </w:r>
            <w:r>
              <w:rPr>
                <w:b/>
                <w:color w:val="FFFFFF"/>
                <w:spacing w:val="40"/>
                <w:sz w:val="17"/>
              </w:rPr>
              <w:t> </w:t>
            </w:r>
            <w:r>
              <w:rPr>
                <w:b/>
                <w:color w:val="FFFFFF"/>
                <w:spacing w:val="-2"/>
                <w:sz w:val="17"/>
              </w:rPr>
              <w:t>ACTUACIONES</w:t>
            </w:r>
            <w:r>
              <w:rPr>
                <w:b/>
                <w:color w:val="FFFFFF"/>
                <w:spacing w:val="40"/>
                <w:sz w:val="17"/>
              </w:rPr>
              <w:t> </w:t>
            </w:r>
            <w:r>
              <w:rPr>
                <w:b/>
                <w:color w:val="FFFFFF"/>
                <w:spacing w:val="-2"/>
                <w:sz w:val="17"/>
              </w:rPr>
              <w:t>FISCALIZACIÓN</w:t>
            </w:r>
          </w:p>
          <w:p>
            <w:pPr>
              <w:pStyle w:val="TableParagraph"/>
              <w:spacing w:line="195" w:lineRule="exact"/>
              <w:ind w:left="12" w:right="10"/>
              <w:jc w:val="center"/>
              <w:rPr>
                <w:b/>
                <w:sz w:val="17"/>
              </w:rPr>
            </w:pPr>
            <w:r>
              <w:rPr>
                <w:b/>
                <w:color w:val="FFFFFF"/>
                <w:spacing w:val="-5"/>
                <w:sz w:val="17"/>
              </w:rPr>
              <w:t>(€)</w:t>
            </w:r>
          </w:p>
        </w:tc>
        <w:tc>
          <w:tcPr>
            <w:tcW w:w="1165" w:type="dxa"/>
            <w:shd w:val="clear" w:color="auto" w:fill="002D5D"/>
          </w:tcPr>
          <w:p>
            <w:pPr>
              <w:pStyle w:val="TableParagraph"/>
              <w:spacing w:before="149"/>
              <w:rPr>
                <w:rFonts w:ascii="Arial"/>
                <w:b/>
                <w:sz w:val="17"/>
              </w:rPr>
            </w:pPr>
          </w:p>
          <w:p>
            <w:pPr>
              <w:pStyle w:val="TableParagraph"/>
              <w:ind w:left="202" w:right="185" w:hanging="1"/>
              <w:jc w:val="center"/>
              <w:rPr>
                <w:b/>
                <w:sz w:val="17"/>
              </w:rPr>
            </w:pPr>
            <w:r>
              <w:rPr>
                <w:b/>
                <w:color w:val="FFFFFF"/>
                <w:spacing w:val="-2"/>
                <w:sz w:val="17"/>
              </w:rPr>
              <w:t>ANTICIPOS</w:t>
            </w:r>
            <w:r>
              <w:rPr>
                <w:b/>
                <w:color w:val="FFFFFF"/>
                <w:spacing w:val="40"/>
                <w:sz w:val="17"/>
              </w:rPr>
              <w:t> </w:t>
            </w:r>
            <w:r>
              <w:rPr>
                <w:b/>
                <w:color w:val="FFFFFF"/>
                <w:spacing w:val="-2"/>
                <w:sz w:val="17"/>
              </w:rPr>
              <w:t>RECIBIDOS</w:t>
            </w:r>
          </w:p>
          <w:p>
            <w:pPr>
              <w:pStyle w:val="TableParagraph"/>
              <w:spacing w:before="1"/>
              <w:ind w:left="50" w:right="37"/>
              <w:jc w:val="center"/>
              <w:rPr>
                <w:b/>
                <w:sz w:val="17"/>
              </w:rPr>
            </w:pPr>
            <w:r>
              <w:rPr>
                <w:b/>
                <w:color w:val="FFFFFF"/>
                <w:spacing w:val="-5"/>
                <w:sz w:val="17"/>
              </w:rPr>
              <w:t>(€)</w:t>
            </w:r>
          </w:p>
        </w:tc>
        <w:tc>
          <w:tcPr>
            <w:tcW w:w="1005" w:type="dxa"/>
            <w:shd w:val="clear" w:color="auto" w:fill="002D5D"/>
          </w:tcPr>
          <w:p>
            <w:pPr>
              <w:pStyle w:val="TableParagraph"/>
              <w:rPr>
                <w:rFonts w:ascii="Arial"/>
                <w:b/>
                <w:sz w:val="17"/>
              </w:rPr>
            </w:pPr>
          </w:p>
          <w:p>
            <w:pPr>
              <w:pStyle w:val="TableParagraph"/>
              <w:spacing w:before="52"/>
              <w:rPr>
                <w:rFonts w:ascii="Arial"/>
                <w:b/>
                <w:sz w:val="17"/>
              </w:rPr>
            </w:pPr>
          </w:p>
          <w:p>
            <w:pPr>
              <w:pStyle w:val="TableParagraph"/>
              <w:ind w:left="106" w:firstLine="168"/>
              <w:rPr>
                <w:b/>
                <w:sz w:val="17"/>
              </w:rPr>
            </w:pPr>
            <w:r>
              <w:rPr>
                <w:b/>
                <w:color w:val="FFFFFF"/>
                <w:spacing w:val="-4"/>
                <w:sz w:val="17"/>
              </w:rPr>
              <w:t>PLAZO</w:t>
            </w:r>
            <w:r>
              <w:rPr>
                <w:b/>
                <w:color w:val="FFFFFF"/>
                <w:spacing w:val="40"/>
                <w:sz w:val="17"/>
              </w:rPr>
              <w:t> </w:t>
            </w:r>
            <w:r>
              <w:rPr>
                <w:b/>
                <w:color w:val="FFFFFF"/>
                <w:spacing w:val="-2"/>
                <w:sz w:val="17"/>
              </w:rPr>
              <w:t>EJECUCIÓN</w:t>
            </w:r>
          </w:p>
        </w:tc>
        <w:tc>
          <w:tcPr>
            <w:tcW w:w="1090" w:type="dxa"/>
            <w:shd w:val="clear" w:color="auto" w:fill="002D5D"/>
          </w:tcPr>
          <w:p>
            <w:pPr>
              <w:pStyle w:val="TableParagraph"/>
              <w:rPr>
                <w:rFonts w:ascii="Arial"/>
                <w:b/>
                <w:sz w:val="17"/>
              </w:rPr>
            </w:pPr>
          </w:p>
          <w:p>
            <w:pPr>
              <w:pStyle w:val="TableParagraph"/>
              <w:spacing w:before="52"/>
              <w:rPr>
                <w:rFonts w:ascii="Arial"/>
                <w:b/>
                <w:sz w:val="17"/>
              </w:rPr>
            </w:pPr>
          </w:p>
          <w:p>
            <w:pPr>
              <w:pStyle w:val="TableParagraph"/>
              <w:ind w:left="104" w:firstLine="381"/>
              <w:rPr>
                <w:b/>
                <w:sz w:val="17"/>
              </w:rPr>
            </w:pPr>
            <w:r>
              <w:rPr>
                <w:b/>
                <w:color w:val="FFFFFF"/>
                <w:spacing w:val="-6"/>
                <w:sz w:val="17"/>
              </w:rPr>
              <w:t>Nº</w:t>
            </w:r>
            <w:r>
              <w:rPr>
                <w:b/>
                <w:color w:val="FFFFFF"/>
                <w:spacing w:val="40"/>
                <w:sz w:val="17"/>
              </w:rPr>
              <w:t> </w:t>
            </w:r>
            <w:r>
              <w:rPr>
                <w:b/>
                <w:color w:val="FFFFFF"/>
                <w:spacing w:val="-2"/>
                <w:sz w:val="17"/>
              </w:rPr>
              <w:t>PRÓRROGAS</w:t>
            </w:r>
          </w:p>
        </w:tc>
        <w:tc>
          <w:tcPr>
            <w:tcW w:w="1224" w:type="dxa"/>
            <w:shd w:val="clear" w:color="auto" w:fill="002D5D"/>
          </w:tcPr>
          <w:p>
            <w:pPr>
              <w:pStyle w:val="TableParagraph"/>
              <w:spacing w:before="53"/>
              <w:rPr>
                <w:rFonts w:ascii="Arial"/>
                <w:b/>
                <w:sz w:val="17"/>
              </w:rPr>
            </w:pPr>
          </w:p>
          <w:p>
            <w:pPr>
              <w:pStyle w:val="TableParagraph"/>
              <w:ind w:left="94" w:right="57"/>
              <w:jc w:val="center"/>
              <w:rPr>
                <w:b/>
                <w:sz w:val="17"/>
              </w:rPr>
            </w:pPr>
            <w:r>
              <w:rPr>
                <w:b/>
                <w:color w:val="FFFFFF"/>
                <w:spacing w:val="-2"/>
                <w:sz w:val="17"/>
              </w:rPr>
              <w:t>JUSTIFICACIÓN</w:t>
            </w:r>
            <w:r>
              <w:rPr>
                <w:b/>
                <w:color w:val="FFFFFF"/>
                <w:spacing w:val="40"/>
                <w:sz w:val="17"/>
              </w:rPr>
              <w:t> </w:t>
            </w:r>
            <w:r>
              <w:rPr>
                <w:b/>
                <w:color w:val="FFFFFF"/>
                <w:sz w:val="17"/>
              </w:rPr>
              <w:t>A 30 DE</w:t>
            </w:r>
            <w:r>
              <w:rPr>
                <w:b/>
                <w:color w:val="FFFFFF"/>
                <w:spacing w:val="40"/>
                <w:sz w:val="17"/>
              </w:rPr>
              <w:t> </w:t>
            </w:r>
            <w:r>
              <w:rPr>
                <w:b/>
                <w:color w:val="FFFFFF"/>
                <w:spacing w:val="-2"/>
                <w:sz w:val="17"/>
              </w:rPr>
              <w:t>SEPTIEMBRE</w:t>
            </w:r>
            <w:r>
              <w:rPr>
                <w:b/>
                <w:color w:val="FFFFFF"/>
                <w:spacing w:val="40"/>
                <w:sz w:val="17"/>
              </w:rPr>
              <w:t> </w:t>
            </w:r>
            <w:r>
              <w:rPr>
                <w:b/>
                <w:color w:val="FFFFFF"/>
                <w:sz w:val="17"/>
              </w:rPr>
              <w:t>DE</w:t>
            </w:r>
            <w:r>
              <w:rPr>
                <w:b/>
                <w:color w:val="FFFFFF"/>
                <w:spacing w:val="-2"/>
                <w:sz w:val="17"/>
              </w:rPr>
              <w:t> </w:t>
            </w:r>
            <w:r>
              <w:rPr>
                <w:b/>
                <w:color w:val="FFFFFF"/>
                <w:sz w:val="17"/>
              </w:rPr>
              <w:t>2025</w:t>
            </w:r>
          </w:p>
        </w:tc>
      </w:tr>
      <w:tr>
        <w:trPr>
          <w:trHeight w:val="392" w:hRule="atLeast"/>
        </w:trPr>
        <w:tc>
          <w:tcPr>
            <w:tcW w:w="1370" w:type="dxa"/>
            <w:tcBorders>
              <w:bottom w:val="single" w:sz="4" w:space="0" w:color="002D5D"/>
            </w:tcBorders>
          </w:tcPr>
          <w:p>
            <w:pPr>
              <w:pStyle w:val="TableParagraph"/>
              <w:spacing w:before="97"/>
              <w:ind w:left="71"/>
              <w:rPr>
                <w:b/>
                <w:sz w:val="17"/>
              </w:rPr>
            </w:pPr>
            <w:r>
              <w:rPr>
                <w:b/>
                <w:spacing w:val="-2"/>
                <w:sz w:val="17"/>
              </w:rPr>
              <w:t>ALICANTE</w:t>
            </w:r>
          </w:p>
        </w:tc>
        <w:tc>
          <w:tcPr>
            <w:tcW w:w="1813" w:type="dxa"/>
            <w:tcBorders>
              <w:bottom w:val="single" w:sz="4" w:space="0" w:color="002D5D"/>
            </w:tcBorders>
          </w:tcPr>
          <w:p>
            <w:pPr>
              <w:pStyle w:val="TableParagraph"/>
              <w:spacing w:line="194" w:lineRule="exact"/>
              <w:ind w:left="72"/>
              <w:rPr>
                <w:sz w:val="17"/>
              </w:rPr>
            </w:pPr>
            <w:r>
              <w:rPr>
                <w:sz w:val="17"/>
              </w:rPr>
              <w:t>Plan</w:t>
            </w:r>
            <w:r>
              <w:rPr>
                <w:spacing w:val="-10"/>
                <w:sz w:val="17"/>
              </w:rPr>
              <w:t> </w:t>
            </w:r>
            <w:r>
              <w:rPr>
                <w:sz w:val="17"/>
              </w:rPr>
              <w:t>de</w:t>
            </w:r>
            <w:r>
              <w:rPr>
                <w:spacing w:val="-10"/>
                <w:sz w:val="17"/>
              </w:rPr>
              <w:t> </w:t>
            </w:r>
            <w:r>
              <w:rPr>
                <w:sz w:val="17"/>
              </w:rPr>
              <w:t>Zona</w:t>
            </w:r>
            <w:r>
              <w:rPr>
                <w:spacing w:val="-10"/>
                <w:sz w:val="17"/>
              </w:rPr>
              <w:t> </w:t>
            </w:r>
            <w:r>
              <w:rPr>
                <w:sz w:val="17"/>
              </w:rPr>
              <w:t>Bajas</w:t>
            </w:r>
            <w:r>
              <w:rPr>
                <w:spacing w:val="40"/>
                <w:sz w:val="17"/>
              </w:rPr>
              <w:t> </w:t>
            </w:r>
            <w:r>
              <w:rPr>
                <w:sz w:val="17"/>
              </w:rPr>
              <w:t>Emisiones</w:t>
            </w:r>
            <w:r>
              <w:rPr>
                <w:spacing w:val="-6"/>
                <w:sz w:val="17"/>
              </w:rPr>
              <w:t> </w:t>
            </w:r>
            <w:r>
              <w:rPr>
                <w:spacing w:val="-2"/>
                <w:sz w:val="17"/>
              </w:rPr>
              <w:t>Alicante</w:t>
            </w:r>
          </w:p>
        </w:tc>
        <w:tc>
          <w:tcPr>
            <w:tcW w:w="1353" w:type="dxa"/>
            <w:tcBorders>
              <w:bottom w:val="single" w:sz="4" w:space="0" w:color="002D5D"/>
            </w:tcBorders>
          </w:tcPr>
          <w:p>
            <w:pPr>
              <w:pStyle w:val="TableParagraph"/>
              <w:spacing w:before="97"/>
              <w:ind w:left="3" w:right="13"/>
              <w:jc w:val="center"/>
              <w:rPr>
                <w:sz w:val="17"/>
              </w:rPr>
            </w:pPr>
            <w:r>
              <w:rPr>
                <w:spacing w:val="-2"/>
                <w:sz w:val="17"/>
              </w:rPr>
              <w:t>37.344.393,03</w:t>
            </w:r>
          </w:p>
        </w:tc>
        <w:tc>
          <w:tcPr>
            <w:tcW w:w="1171" w:type="dxa"/>
            <w:tcBorders>
              <w:bottom w:val="single" w:sz="4" w:space="0" w:color="002D5D"/>
            </w:tcBorders>
          </w:tcPr>
          <w:p>
            <w:pPr>
              <w:pStyle w:val="TableParagraph"/>
              <w:spacing w:before="97"/>
              <w:ind w:left="1" w:right="2"/>
              <w:jc w:val="center"/>
              <w:rPr>
                <w:sz w:val="17"/>
              </w:rPr>
            </w:pPr>
            <w:r>
              <w:rPr>
                <w:spacing w:val="-2"/>
                <w:sz w:val="17"/>
              </w:rPr>
              <w:t>15.186.690,00</w:t>
            </w:r>
          </w:p>
        </w:tc>
        <w:tc>
          <w:tcPr>
            <w:tcW w:w="1366" w:type="dxa"/>
            <w:tcBorders>
              <w:bottom w:val="single" w:sz="4" w:space="0" w:color="002D5D"/>
            </w:tcBorders>
          </w:tcPr>
          <w:p>
            <w:pPr>
              <w:pStyle w:val="TableParagraph"/>
              <w:spacing w:before="97"/>
              <w:ind w:left="15"/>
              <w:jc w:val="center"/>
              <w:rPr>
                <w:sz w:val="17"/>
              </w:rPr>
            </w:pPr>
            <w:r>
              <w:rPr>
                <w:spacing w:val="-2"/>
                <w:sz w:val="17"/>
              </w:rPr>
              <w:t>37.195.893,03</w:t>
            </w:r>
          </w:p>
        </w:tc>
        <w:tc>
          <w:tcPr>
            <w:tcW w:w="1140" w:type="dxa"/>
            <w:tcBorders>
              <w:bottom w:val="single" w:sz="4" w:space="0" w:color="002D5D"/>
            </w:tcBorders>
          </w:tcPr>
          <w:p>
            <w:pPr>
              <w:pStyle w:val="TableParagraph"/>
              <w:spacing w:before="97"/>
              <w:ind w:left="24" w:right="4"/>
              <w:jc w:val="center"/>
              <w:rPr>
                <w:sz w:val="17"/>
              </w:rPr>
            </w:pPr>
            <w:r>
              <w:rPr>
                <w:spacing w:val="-2"/>
                <w:sz w:val="17"/>
              </w:rPr>
              <w:t>15.038.190,00</w:t>
            </w:r>
          </w:p>
        </w:tc>
        <w:tc>
          <w:tcPr>
            <w:tcW w:w="1629" w:type="dxa"/>
            <w:tcBorders>
              <w:bottom w:val="single" w:sz="4" w:space="0" w:color="002D5D"/>
            </w:tcBorders>
          </w:tcPr>
          <w:p>
            <w:pPr>
              <w:pStyle w:val="TableParagraph"/>
              <w:spacing w:before="97"/>
              <w:ind w:left="3" w:right="3"/>
              <w:jc w:val="center"/>
              <w:rPr>
                <w:sz w:val="17"/>
              </w:rPr>
            </w:pPr>
            <w:r>
              <w:rPr>
                <w:spacing w:val="-2"/>
                <w:sz w:val="17"/>
              </w:rPr>
              <w:t>19.264.032,79</w:t>
            </w:r>
          </w:p>
        </w:tc>
        <w:tc>
          <w:tcPr>
            <w:tcW w:w="1267" w:type="dxa"/>
            <w:tcBorders>
              <w:bottom w:val="single" w:sz="4" w:space="0" w:color="002D5D"/>
            </w:tcBorders>
          </w:tcPr>
          <w:p>
            <w:pPr>
              <w:pStyle w:val="TableParagraph"/>
              <w:spacing w:before="97"/>
              <w:ind w:left="12" w:right="9"/>
              <w:jc w:val="center"/>
              <w:rPr>
                <w:sz w:val="17"/>
              </w:rPr>
            </w:pPr>
            <w:r>
              <w:rPr>
                <w:spacing w:val="-2"/>
                <w:sz w:val="17"/>
              </w:rPr>
              <w:t>6.145.496,23</w:t>
            </w:r>
          </w:p>
        </w:tc>
        <w:tc>
          <w:tcPr>
            <w:tcW w:w="1165" w:type="dxa"/>
            <w:tcBorders>
              <w:bottom w:val="single" w:sz="4" w:space="0" w:color="002D5D"/>
            </w:tcBorders>
          </w:tcPr>
          <w:p>
            <w:pPr>
              <w:pStyle w:val="TableParagraph"/>
              <w:spacing w:before="97"/>
              <w:ind w:left="56" w:right="37"/>
              <w:jc w:val="center"/>
              <w:rPr>
                <w:sz w:val="17"/>
              </w:rPr>
            </w:pPr>
            <w:r>
              <w:rPr>
                <w:spacing w:val="-2"/>
                <w:sz w:val="17"/>
              </w:rPr>
              <w:t>9.135.700,42</w:t>
            </w:r>
          </w:p>
        </w:tc>
        <w:tc>
          <w:tcPr>
            <w:tcW w:w="1005" w:type="dxa"/>
            <w:tcBorders>
              <w:bottom w:val="single" w:sz="4" w:space="0" w:color="002D5D"/>
            </w:tcBorders>
          </w:tcPr>
          <w:p>
            <w:pPr>
              <w:pStyle w:val="TableParagraph"/>
              <w:spacing w:before="97"/>
              <w:ind w:left="20"/>
              <w:jc w:val="center"/>
              <w:rPr>
                <w:sz w:val="17"/>
              </w:rPr>
            </w:pPr>
            <w:r>
              <w:rPr>
                <w:spacing w:val="-2"/>
                <w:sz w:val="17"/>
              </w:rPr>
              <w:t>31/12/2025</w:t>
            </w:r>
          </w:p>
        </w:tc>
        <w:tc>
          <w:tcPr>
            <w:tcW w:w="1090" w:type="dxa"/>
            <w:tcBorders>
              <w:bottom w:val="single" w:sz="4" w:space="0" w:color="002D5D"/>
            </w:tcBorders>
          </w:tcPr>
          <w:p>
            <w:pPr>
              <w:pStyle w:val="TableParagraph"/>
              <w:spacing w:before="97"/>
              <w:ind w:left="32"/>
              <w:jc w:val="center"/>
              <w:rPr>
                <w:sz w:val="17"/>
              </w:rPr>
            </w:pPr>
            <w:r>
              <w:rPr>
                <w:spacing w:val="-10"/>
                <w:sz w:val="17"/>
              </w:rPr>
              <w:t>1</w:t>
            </w:r>
          </w:p>
        </w:tc>
        <w:tc>
          <w:tcPr>
            <w:tcW w:w="1224" w:type="dxa"/>
            <w:tcBorders>
              <w:bottom w:val="single" w:sz="4" w:space="0" w:color="002D5D"/>
            </w:tcBorders>
          </w:tcPr>
          <w:p>
            <w:pPr>
              <w:pStyle w:val="TableParagraph"/>
              <w:spacing w:before="97"/>
              <w:ind w:left="38"/>
              <w:jc w:val="center"/>
              <w:rPr>
                <w:sz w:val="17"/>
              </w:rPr>
            </w:pPr>
            <w:r>
              <w:rPr>
                <w:spacing w:val="-5"/>
                <w:sz w:val="17"/>
              </w:rPr>
              <w:t>NO</w:t>
            </w:r>
          </w:p>
        </w:tc>
      </w:tr>
      <w:tr>
        <w:trPr>
          <w:trHeight w:val="974" w:hRule="atLeast"/>
        </w:trPr>
        <w:tc>
          <w:tcPr>
            <w:tcW w:w="1370"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71"/>
              <w:rPr>
                <w:b/>
                <w:sz w:val="17"/>
              </w:rPr>
            </w:pPr>
            <w:r>
              <w:rPr>
                <w:b/>
                <w:spacing w:val="-2"/>
                <w:sz w:val="17"/>
              </w:rPr>
              <w:t>BILBAO</w:t>
            </w:r>
          </w:p>
        </w:tc>
        <w:tc>
          <w:tcPr>
            <w:tcW w:w="1813" w:type="dxa"/>
            <w:tcBorders>
              <w:top w:val="single" w:sz="4" w:space="0" w:color="002D5D"/>
              <w:bottom w:val="single" w:sz="4" w:space="0" w:color="002D5D"/>
            </w:tcBorders>
            <w:shd w:val="clear" w:color="auto" w:fill="F1F1F1"/>
          </w:tcPr>
          <w:p>
            <w:pPr>
              <w:pStyle w:val="TableParagraph"/>
              <w:ind w:left="72"/>
              <w:rPr>
                <w:sz w:val="17"/>
              </w:rPr>
            </w:pPr>
            <w:r>
              <w:rPr>
                <w:sz w:val="17"/>
              </w:rPr>
              <w:t>Implantación de ZBE y</w:t>
            </w:r>
            <w:r>
              <w:rPr>
                <w:spacing w:val="40"/>
                <w:sz w:val="17"/>
              </w:rPr>
              <w:t> </w:t>
            </w:r>
            <w:r>
              <w:rPr>
                <w:spacing w:val="-2"/>
                <w:sz w:val="17"/>
              </w:rPr>
              <w:t>actuaciones</w:t>
            </w:r>
            <w:r>
              <w:rPr>
                <w:spacing w:val="40"/>
                <w:sz w:val="17"/>
              </w:rPr>
              <w:t> </w:t>
            </w:r>
            <w:r>
              <w:rPr>
                <w:sz w:val="17"/>
              </w:rPr>
              <w:t>complementarias para</w:t>
            </w:r>
            <w:r>
              <w:rPr>
                <w:spacing w:val="40"/>
                <w:sz w:val="17"/>
              </w:rPr>
              <w:t> </w:t>
            </w:r>
            <w:r>
              <w:rPr>
                <w:sz w:val="17"/>
              </w:rPr>
              <w:t>fomento</w:t>
            </w:r>
            <w:r>
              <w:rPr>
                <w:spacing w:val="-10"/>
                <w:sz w:val="17"/>
              </w:rPr>
              <w:t> </w:t>
            </w:r>
            <w:r>
              <w:rPr>
                <w:sz w:val="17"/>
              </w:rPr>
              <w:t>de</w:t>
            </w:r>
            <w:r>
              <w:rPr>
                <w:spacing w:val="-10"/>
                <w:sz w:val="17"/>
              </w:rPr>
              <w:t> </w:t>
            </w:r>
            <w:r>
              <w:rPr>
                <w:sz w:val="17"/>
              </w:rPr>
              <w:t>una</w:t>
            </w:r>
            <w:r>
              <w:rPr>
                <w:spacing w:val="-10"/>
                <w:sz w:val="17"/>
              </w:rPr>
              <w:t> </w:t>
            </w:r>
            <w:r>
              <w:rPr>
                <w:sz w:val="17"/>
              </w:rPr>
              <w:t>movilidad</w:t>
            </w:r>
          </w:p>
          <w:p>
            <w:pPr>
              <w:pStyle w:val="TableParagraph"/>
              <w:spacing w:line="175" w:lineRule="exact"/>
              <w:ind w:left="72"/>
              <w:rPr>
                <w:sz w:val="17"/>
              </w:rPr>
            </w:pPr>
            <w:r>
              <w:rPr>
                <w:sz w:val="17"/>
              </w:rPr>
              <w:t>no</w:t>
            </w:r>
            <w:r>
              <w:rPr>
                <w:spacing w:val="-4"/>
                <w:sz w:val="17"/>
              </w:rPr>
              <w:t> </w:t>
            </w:r>
            <w:r>
              <w:rPr>
                <w:spacing w:val="-2"/>
                <w:sz w:val="17"/>
              </w:rPr>
              <w:t>motorizada</w:t>
            </w:r>
          </w:p>
        </w:tc>
        <w:tc>
          <w:tcPr>
            <w:tcW w:w="1353"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3" w:right="13"/>
              <w:jc w:val="center"/>
              <w:rPr>
                <w:sz w:val="17"/>
              </w:rPr>
            </w:pPr>
            <w:r>
              <w:rPr>
                <w:spacing w:val="-2"/>
                <w:sz w:val="17"/>
              </w:rPr>
              <w:t>19.331.294,93</w:t>
            </w:r>
          </w:p>
        </w:tc>
        <w:tc>
          <w:tcPr>
            <w:tcW w:w="1171"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1" w:right="2"/>
              <w:jc w:val="center"/>
              <w:rPr>
                <w:sz w:val="17"/>
              </w:rPr>
            </w:pPr>
            <w:r>
              <w:rPr>
                <w:spacing w:val="-2"/>
                <w:sz w:val="17"/>
              </w:rPr>
              <w:t>14.667.631,25</w:t>
            </w:r>
          </w:p>
        </w:tc>
        <w:tc>
          <w:tcPr>
            <w:tcW w:w="1366"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15" w:right="4"/>
              <w:jc w:val="center"/>
              <w:rPr>
                <w:sz w:val="17"/>
              </w:rPr>
            </w:pPr>
            <w:r>
              <w:rPr>
                <w:spacing w:val="-2"/>
                <w:sz w:val="17"/>
              </w:rPr>
              <w:t>19.331.294,93</w:t>
            </w:r>
          </w:p>
        </w:tc>
        <w:tc>
          <w:tcPr>
            <w:tcW w:w="1140"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24" w:right="4"/>
              <w:jc w:val="center"/>
              <w:rPr>
                <w:sz w:val="17"/>
              </w:rPr>
            </w:pPr>
            <w:r>
              <w:rPr>
                <w:spacing w:val="-2"/>
                <w:sz w:val="17"/>
              </w:rPr>
              <w:t>14.667.631,25</w:t>
            </w:r>
          </w:p>
        </w:tc>
        <w:tc>
          <w:tcPr>
            <w:tcW w:w="1629"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3" w:right="3"/>
              <w:jc w:val="center"/>
              <w:rPr>
                <w:sz w:val="17"/>
              </w:rPr>
            </w:pPr>
            <w:r>
              <w:rPr>
                <w:spacing w:val="-2"/>
                <w:sz w:val="17"/>
              </w:rPr>
              <w:t>4.928.371,32</w:t>
            </w:r>
          </w:p>
        </w:tc>
        <w:tc>
          <w:tcPr>
            <w:tcW w:w="1267"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12" w:right="9"/>
              <w:jc w:val="center"/>
              <w:rPr>
                <w:sz w:val="17"/>
              </w:rPr>
            </w:pPr>
            <w:r>
              <w:rPr>
                <w:spacing w:val="-2"/>
                <w:sz w:val="17"/>
              </w:rPr>
              <w:t>1.705.000,00</w:t>
            </w:r>
          </w:p>
        </w:tc>
        <w:tc>
          <w:tcPr>
            <w:tcW w:w="1165"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53" w:right="37"/>
              <w:jc w:val="center"/>
              <w:rPr>
                <w:sz w:val="17"/>
              </w:rPr>
            </w:pPr>
            <w:r>
              <w:rPr>
                <w:spacing w:val="-2"/>
                <w:sz w:val="17"/>
              </w:rPr>
              <w:t>14.667.631,25</w:t>
            </w:r>
          </w:p>
        </w:tc>
        <w:tc>
          <w:tcPr>
            <w:tcW w:w="1005"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20"/>
              <w:jc w:val="center"/>
              <w:rPr>
                <w:sz w:val="17"/>
              </w:rPr>
            </w:pPr>
            <w:r>
              <w:rPr>
                <w:spacing w:val="-2"/>
                <w:sz w:val="17"/>
              </w:rPr>
              <w:t>30/06/2024</w:t>
            </w:r>
          </w:p>
        </w:tc>
        <w:tc>
          <w:tcPr>
            <w:tcW w:w="1090"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32"/>
              <w:jc w:val="center"/>
              <w:rPr>
                <w:sz w:val="17"/>
              </w:rPr>
            </w:pPr>
            <w:r>
              <w:rPr>
                <w:spacing w:val="-10"/>
                <w:sz w:val="17"/>
              </w:rPr>
              <w:t>1</w:t>
            </w:r>
          </w:p>
        </w:tc>
        <w:tc>
          <w:tcPr>
            <w:tcW w:w="1224" w:type="dxa"/>
            <w:tcBorders>
              <w:top w:val="single" w:sz="4" w:space="0" w:color="002D5D"/>
              <w:bottom w:val="single" w:sz="4" w:space="0" w:color="002D5D"/>
            </w:tcBorders>
            <w:shd w:val="clear" w:color="auto" w:fill="F1F1F1"/>
          </w:tcPr>
          <w:p>
            <w:pPr>
              <w:pStyle w:val="TableParagraph"/>
              <w:spacing w:before="192"/>
              <w:rPr>
                <w:rFonts w:ascii="Arial"/>
                <w:b/>
                <w:sz w:val="17"/>
              </w:rPr>
            </w:pPr>
          </w:p>
          <w:p>
            <w:pPr>
              <w:pStyle w:val="TableParagraph"/>
              <w:ind w:left="38"/>
              <w:jc w:val="center"/>
              <w:rPr>
                <w:sz w:val="17"/>
              </w:rPr>
            </w:pPr>
            <w:r>
              <w:rPr>
                <w:spacing w:val="-5"/>
                <w:sz w:val="17"/>
              </w:rPr>
              <w:t>SI</w:t>
            </w:r>
          </w:p>
        </w:tc>
      </w:tr>
      <w:tr>
        <w:trPr>
          <w:trHeight w:val="585" w:hRule="atLeast"/>
        </w:trPr>
        <w:tc>
          <w:tcPr>
            <w:tcW w:w="1370" w:type="dxa"/>
            <w:tcBorders>
              <w:top w:val="single" w:sz="4" w:space="0" w:color="002D5D"/>
              <w:bottom w:val="single" w:sz="4" w:space="0" w:color="002D5D"/>
            </w:tcBorders>
          </w:tcPr>
          <w:p>
            <w:pPr>
              <w:pStyle w:val="TableParagraph"/>
              <w:rPr>
                <w:rFonts w:ascii="Arial"/>
                <w:b/>
                <w:sz w:val="17"/>
              </w:rPr>
            </w:pPr>
          </w:p>
          <w:p>
            <w:pPr>
              <w:pStyle w:val="TableParagraph"/>
              <w:ind w:left="71"/>
              <w:rPr>
                <w:b/>
                <w:sz w:val="17"/>
              </w:rPr>
            </w:pPr>
            <w:r>
              <w:rPr>
                <w:b/>
                <w:spacing w:val="-2"/>
                <w:sz w:val="17"/>
              </w:rPr>
              <w:t>CÓRDOBA</w:t>
            </w:r>
          </w:p>
        </w:tc>
        <w:tc>
          <w:tcPr>
            <w:tcW w:w="1813" w:type="dxa"/>
            <w:tcBorders>
              <w:top w:val="single" w:sz="4" w:space="0" w:color="002D5D"/>
              <w:bottom w:val="single" w:sz="4" w:space="0" w:color="002D5D"/>
            </w:tcBorders>
          </w:tcPr>
          <w:p>
            <w:pPr>
              <w:pStyle w:val="TableParagraph"/>
              <w:spacing w:line="194" w:lineRule="exact"/>
              <w:ind w:left="72"/>
              <w:rPr>
                <w:sz w:val="17"/>
              </w:rPr>
            </w:pPr>
            <w:r>
              <w:rPr>
                <w:sz w:val="17"/>
              </w:rPr>
              <w:t>Córdoba,</w:t>
            </w:r>
            <w:r>
              <w:rPr>
                <w:spacing w:val="-4"/>
                <w:sz w:val="17"/>
              </w:rPr>
              <w:t> </w:t>
            </w:r>
            <w:r>
              <w:rPr>
                <w:sz w:val="17"/>
              </w:rPr>
              <w:t>hacia</w:t>
            </w:r>
            <w:r>
              <w:rPr>
                <w:spacing w:val="-3"/>
                <w:sz w:val="17"/>
              </w:rPr>
              <w:t> </w:t>
            </w:r>
            <w:r>
              <w:rPr>
                <w:spacing w:val="-5"/>
                <w:sz w:val="17"/>
              </w:rPr>
              <w:t>una</w:t>
            </w:r>
          </w:p>
          <w:p>
            <w:pPr>
              <w:pStyle w:val="TableParagraph"/>
              <w:spacing w:line="194" w:lineRule="exact"/>
              <w:ind w:left="72"/>
              <w:rPr>
                <w:sz w:val="17"/>
              </w:rPr>
            </w:pPr>
            <w:r>
              <w:rPr>
                <w:sz w:val="17"/>
              </w:rPr>
              <w:t>transformación</w:t>
            </w:r>
            <w:r>
              <w:rPr>
                <w:spacing w:val="-2"/>
                <w:sz w:val="17"/>
              </w:rPr>
              <w:t> </w:t>
            </w:r>
            <w:r>
              <w:rPr>
                <w:sz w:val="17"/>
              </w:rPr>
              <w:t>digital,</w:t>
            </w:r>
            <w:r>
              <w:rPr>
                <w:spacing w:val="40"/>
                <w:sz w:val="17"/>
              </w:rPr>
              <w:t> </w:t>
            </w:r>
            <w:r>
              <w:rPr>
                <w:sz w:val="17"/>
              </w:rPr>
              <w:t>sostenible</w:t>
            </w:r>
            <w:r>
              <w:rPr>
                <w:spacing w:val="-10"/>
                <w:sz w:val="17"/>
              </w:rPr>
              <w:t> </w:t>
            </w:r>
            <w:r>
              <w:rPr>
                <w:sz w:val="17"/>
              </w:rPr>
              <w:t>y</w:t>
            </w:r>
            <w:r>
              <w:rPr>
                <w:spacing w:val="-10"/>
                <w:sz w:val="17"/>
              </w:rPr>
              <w:t> </w:t>
            </w:r>
            <w:r>
              <w:rPr>
                <w:sz w:val="17"/>
              </w:rPr>
              <w:t>más</w:t>
            </w:r>
            <w:r>
              <w:rPr>
                <w:spacing w:val="-10"/>
                <w:sz w:val="17"/>
              </w:rPr>
              <w:t> </w:t>
            </w:r>
            <w:r>
              <w:rPr>
                <w:sz w:val="17"/>
              </w:rPr>
              <w:t>accesible</w:t>
            </w:r>
          </w:p>
        </w:tc>
        <w:tc>
          <w:tcPr>
            <w:tcW w:w="1353" w:type="dxa"/>
            <w:tcBorders>
              <w:top w:val="single" w:sz="4" w:space="0" w:color="002D5D"/>
              <w:bottom w:val="single" w:sz="4" w:space="0" w:color="002D5D"/>
            </w:tcBorders>
          </w:tcPr>
          <w:p>
            <w:pPr>
              <w:pStyle w:val="TableParagraph"/>
              <w:rPr>
                <w:rFonts w:ascii="Arial"/>
                <w:b/>
                <w:sz w:val="17"/>
              </w:rPr>
            </w:pPr>
          </w:p>
          <w:p>
            <w:pPr>
              <w:pStyle w:val="TableParagraph"/>
              <w:ind w:left="3" w:right="13"/>
              <w:jc w:val="center"/>
              <w:rPr>
                <w:sz w:val="17"/>
              </w:rPr>
            </w:pPr>
            <w:r>
              <w:rPr>
                <w:spacing w:val="-2"/>
                <w:sz w:val="17"/>
              </w:rPr>
              <w:t>15.214.615,00</w:t>
            </w:r>
          </w:p>
        </w:tc>
        <w:tc>
          <w:tcPr>
            <w:tcW w:w="1171" w:type="dxa"/>
            <w:tcBorders>
              <w:top w:val="single" w:sz="4" w:space="0" w:color="002D5D"/>
              <w:bottom w:val="single" w:sz="4" w:space="0" w:color="002D5D"/>
            </w:tcBorders>
          </w:tcPr>
          <w:p>
            <w:pPr>
              <w:pStyle w:val="TableParagraph"/>
              <w:rPr>
                <w:rFonts w:ascii="Arial"/>
                <w:b/>
                <w:sz w:val="17"/>
              </w:rPr>
            </w:pPr>
          </w:p>
          <w:p>
            <w:pPr>
              <w:pStyle w:val="TableParagraph"/>
              <w:ind w:left="1" w:right="2"/>
              <w:jc w:val="center"/>
              <w:rPr>
                <w:sz w:val="17"/>
              </w:rPr>
            </w:pPr>
            <w:r>
              <w:rPr>
                <w:spacing w:val="-2"/>
                <w:sz w:val="17"/>
              </w:rPr>
              <w:t>11.014.615,00</w:t>
            </w:r>
          </w:p>
        </w:tc>
        <w:tc>
          <w:tcPr>
            <w:tcW w:w="1366" w:type="dxa"/>
            <w:tcBorders>
              <w:top w:val="single" w:sz="4" w:space="0" w:color="002D5D"/>
              <w:bottom w:val="single" w:sz="4" w:space="0" w:color="002D5D"/>
            </w:tcBorders>
          </w:tcPr>
          <w:p>
            <w:pPr>
              <w:pStyle w:val="TableParagraph"/>
              <w:rPr>
                <w:rFonts w:ascii="Arial"/>
                <w:b/>
                <w:sz w:val="17"/>
              </w:rPr>
            </w:pPr>
          </w:p>
          <w:p>
            <w:pPr>
              <w:pStyle w:val="TableParagraph"/>
              <w:ind w:left="15"/>
              <w:jc w:val="center"/>
              <w:rPr>
                <w:sz w:val="17"/>
              </w:rPr>
            </w:pPr>
            <w:r>
              <w:rPr>
                <w:spacing w:val="-2"/>
                <w:sz w:val="17"/>
              </w:rPr>
              <w:t>15.214.615,00</w:t>
            </w:r>
          </w:p>
        </w:tc>
        <w:tc>
          <w:tcPr>
            <w:tcW w:w="1140" w:type="dxa"/>
            <w:tcBorders>
              <w:top w:val="single" w:sz="4" w:space="0" w:color="002D5D"/>
              <w:bottom w:val="single" w:sz="4" w:space="0" w:color="002D5D"/>
            </w:tcBorders>
          </w:tcPr>
          <w:p>
            <w:pPr>
              <w:pStyle w:val="TableParagraph"/>
              <w:rPr>
                <w:rFonts w:ascii="Arial"/>
                <w:b/>
                <w:sz w:val="17"/>
              </w:rPr>
            </w:pPr>
          </w:p>
          <w:p>
            <w:pPr>
              <w:pStyle w:val="TableParagraph"/>
              <w:ind w:left="24" w:right="4"/>
              <w:jc w:val="center"/>
              <w:rPr>
                <w:sz w:val="17"/>
              </w:rPr>
            </w:pPr>
            <w:r>
              <w:rPr>
                <w:spacing w:val="-2"/>
                <w:sz w:val="17"/>
              </w:rPr>
              <w:t>11.014.615,00</w:t>
            </w:r>
          </w:p>
        </w:tc>
        <w:tc>
          <w:tcPr>
            <w:tcW w:w="1629" w:type="dxa"/>
            <w:tcBorders>
              <w:top w:val="single" w:sz="4" w:space="0" w:color="002D5D"/>
              <w:bottom w:val="single" w:sz="4" w:space="0" w:color="002D5D"/>
            </w:tcBorders>
          </w:tcPr>
          <w:p>
            <w:pPr>
              <w:pStyle w:val="TableParagraph"/>
              <w:rPr>
                <w:rFonts w:ascii="Arial"/>
                <w:b/>
                <w:sz w:val="17"/>
              </w:rPr>
            </w:pPr>
          </w:p>
          <w:p>
            <w:pPr>
              <w:pStyle w:val="TableParagraph"/>
              <w:ind w:left="3" w:right="3"/>
              <w:jc w:val="center"/>
              <w:rPr>
                <w:sz w:val="17"/>
              </w:rPr>
            </w:pPr>
            <w:r>
              <w:rPr>
                <w:spacing w:val="-2"/>
                <w:sz w:val="17"/>
              </w:rPr>
              <w:t>4.150.695,00</w:t>
            </w:r>
          </w:p>
        </w:tc>
        <w:tc>
          <w:tcPr>
            <w:tcW w:w="1267" w:type="dxa"/>
            <w:tcBorders>
              <w:top w:val="single" w:sz="4" w:space="0" w:color="002D5D"/>
              <w:bottom w:val="single" w:sz="4" w:space="0" w:color="002D5D"/>
            </w:tcBorders>
          </w:tcPr>
          <w:p>
            <w:pPr>
              <w:pStyle w:val="TableParagraph"/>
              <w:rPr>
                <w:rFonts w:ascii="Arial"/>
                <w:b/>
                <w:sz w:val="17"/>
              </w:rPr>
            </w:pPr>
          </w:p>
          <w:p>
            <w:pPr>
              <w:pStyle w:val="TableParagraph"/>
              <w:ind w:left="12" w:right="9"/>
              <w:jc w:val="center"/>
              <w:rPr>
                <w:position w:val="4"/>
                <w:sz w:val="11"/>
              </w:rPr>
            </w:pPr>
            <w:r>
              <w:rPr>
                <w:sz w:val="17"/>
              </w:rPr>
              <w:t>0,00</w:t>
            </w:r>
            <w:r>
              <w:rPr>
                <w:spacing w:val="-5"/>
                <w:sz w:val="17"/>
              </w:rPr>
              <w:t> </w:t>
            </w:r>
            <w:r>
              <w:rPr>
                <w:spacing w:val="-5"/>
                <w:position w:val="4"/>
                <w:sz w:val="11"/>
              </w:rPr>
              <w:t>(1)</w:t>
            </w:r>
          </w:p>
        </w:tc>
        <w:tc>
          <w:tcPr>
            <w:tcW w:w="1165" w:type="dxa"/>
            <w:tcBorders>
              <w:top w:val="single" w:sz="4" w:space="0" w:color="002D5D"/>
              <w:bottom w:val="single" w:sz="4" w:space="0" w:color="002D5D"/>
            </w:tcBorders>
          </w:tcPr>
          <w:p>
            <w:pPr>
              <w:pStyle w:val="TableParagraph"/>
              <w:rPr>
                <w:rFonts w:ascii="Arial"/>
                <w:b/>
                <w:sz w:val="17"/>
              </w:rPr>
            </w:pPr>
          </w:p>
          <w:p>
            <w:pPr>
              <w:pStyle w:val="TableParagraph"/>
              <w:ind w:left="56" w:right="37"/>
              <w:jc w:val="center"/>
              <w:rPr>
                <w:sz w:val="17"/>
              </w:rPr>
            </w:pPr>
            <w:r>
              <w:rPr>
                <w:spacing w:val="-4"/>
                <w:sz w:val="17"/>
              </w:rPr>
              <w:t>0,00</w:t>
            </w:r>
          </w:p>
        </w:tc>
        <w:tc>
          <w:tcPr>
            <w:tcW w:w="1005" w:type="dxa"/>
            <w:tcBorders>
              <w:top w:val="single" w:sz="4" w:space="0" w:color="002D5D"/>
              <w:bottom w:val="single" w:sz="4" w:space="0" w:color="002D5D"/>
            </w:tcBorders>
          </w:tcPr>
          <w:p>
            <w:pPr>
              <w:pStyle w:val="TableParagraph"/>
              <w:rPr>
                <w:rFonts w:ascii="Arial"/>
                <w:b/>
                <w:sz w:val="17"/>
              </w:rPr>
            </w:pPr>
          </w:p>
          <w:p>
            <w:pPr>
              <w:pStyle w:val="TableParagraph"/>
              <w:ind w:left="20"/>
              <w:jc w:val="center"/>
              <w:rPr>
                <w:sz w:val="17"/>
              </w:rPr>
            </w:pPr>
            <w:r>
              <w:rPr>
                <w:spacing w:val="-2"/>
                <w:sz w:val="17"/>
              </w:rPr>
              <w:t>31/12/2024</w:t>
            </w:r>
          </w:p>
        </w:tc>
        <w:tc>
          <w:tcPr>
            <w:tcW w:w="1090" w:type="dxa"/>
            <w:tcBorders>
              <w:top w:val="single" w:sz="4" w:space="0" w:color="002D5D"/>
              <w:bottom w:val="single" w:sz="4" w:space="0" w:color="002D5D"/>
            </w:tcBorders>
          </w:tcPr>
          <w:p>
            <w:pPr>
              <w:pStyle w:val="TableParagraph"/>
              <w:rPr>
                <w:rFonts w:ascii="Arial"/>
                <w:b/>
                <w:sz w:val="17"/>
              </w:rPr>
            </w:pPr>
          </w:p>
          <w:p>
            <w:pPr>
              <w:pStyle w:val="TableParagraph"/>
              <w:ind w:left="32"/>
              <w:jc w:val="center"/>
              <w:rPr>
                <w:sz w:val="17"/>
              </w:rPr>
            </w:pPr>
            <w:r>
              <w:rPr>
                <w:spacing w:val="-10"/>
                <w:sz w:val="17"/>
              </w:rPr>
              <w:t>0</w:t>
            </w:r>
          </w:p>
        </w:tc>
        <w:tc>
          <w:tcPr>
            <w:tcW w:w="1224" w:type="dxa"/>
            <w:tcBorders>
              <w:top w:val="single" w:sz="4" w:space="0" w:color="002D5D"/>
              <w:bottom w:val="single" w:sz="4" w:space="0" w:color="002D5D"/>
            </w:tcBorders>
          </w:tcPr>
          <w:p>
            <w:pPr>
              <w:pStyle w:val="TableParagraph"/>
              <w:rPr>
                <w:rFonts w:ascii="Arial"/>
                <w:b/>
                <w:sz w:val="17"/>
              </w:rPr>
            </w:pPr>
          </w:p>
          <w:p>
            <w:pPr>
              <w:pStyle w:val="TableParagraph"/>
              <w:ind w:left="94" w:right="57"/>
              <w:jc w:val="center"/>
              <w:rPr>
                <w:sz w:val="17"/>
              </w:rPr>
            </w:pPr>
            <w:r>
              <w:rPr>
                <w:spacing w:val="-5"/>
                <w:sz w:val="17"/>
              </w:rPr>
              <w:t>N/A</w:t>
            </w:r>
          </w:p>
        </w:tc>
      </w:tr>
      <w:tr>
        <w:trPr>
          <w:trHeight w:val="285" w:hRule="atLeast"/>
        </w:trPr>
        <w:tc>
          <w:tcPr>
            <w:tcW w:w="1370" w:type="dxa"/>
            <w:vMerge w:val="restart"/>
            <w:tcBorders>
              <w:top w:val="single" w:sz="4" w:space="0" w:color="002D5D"/>
              <w:bottom w:val="single" w:sz="4" w:space="0" w:color="002D5D"/>
            </w:tcBorders>
            <w:shd w:val="clear" w:color="auto" w:fill="F1F1F1"/>
          </w:tcPr>
          <w:p>
            <w:pPr>
              <w:pStyle w:val="TableParagraph"/>
              <w:spacing w:before="95"/>
              <w:ind w:left="71"/>
              <w:rPr>
                <w:b/>
                <w:sz w:val="17"/>
              </w:rPr>
            </w:pPr>
            <w:r>
              <w:rPr>
                <w:b/>
                <w:sz w:val="17"/>
              </w:rPr>
              <w:t>LAS</w:t>
            </w:r>
            <w:r>
              <w:rPr>
                <w:b/>
                <w:spacing w:val="-10"/>
                <w:sz w:val="17"/>
              </w:rPr>
              <w:t> </w:t>
            </w:r>
            <w:r>
              <w:rPr>
                <w:b/>
                <w:sz w:val="17"/>
              </w:rPr>
              <w:t>PALMAS</w:t>
            </w:r>
            <w:r>
              <w:rPr>
                <w:b/>
                <w:spacing w:val="-10"/>
                <w:sz w:val="17"/>
              </w:rPr>
              <w:t> </w:t>
            </w:r>
            <w:r>
              <w:rPr>
                <w:b/>
                <w:sz w:val="17"/>
              </w:rPr>
              <w:t>DE</w:t>
            </w:r>
            <w:r>
              <w:rPr>
                <w:b/>
                <w:spacing w:val="40"/>
                <w:sz w:val="17"/>
              </w:rPr>
              <w:t> </w:t>
            </w:r>
            <w:r>
              <w:rPr>
                <w:b/>
                <w:sz w:val="17"/>
              </w:rPr>
              <w:t>GRAN</w:t>
            </w:r>
            <w:r>
              <w:rPr>
                <w:b/>
                <w:spacing w:val="-2"/>
                <w:sz w:val="17"/>
              </w:rPr>
              <w:t> CANARIA</w:t>
            </w:r>
          </w:p>
        </w:tc>
        <w:tc>
          <w:tcPr>
            <w:tcW w:w="1813" w:type="dxa"/>
            <w:tcBorders>
              <w:top w:val="single" w:sz="4" w:space="0" w:color="002D5D"/>
              <w:bottom w:val="single" w:sz="4" w:space="0" w:color="002D5D"/>
            </w:tcBorders>
            <w:shd w:val="clear" w:color="auto" w:fill="F1F1F1"/>
          </w:tcPr>
          <w:p>
            <w:pPr>
              <w:pStyle w:val="TableParagraph"/>
              <w:spacing w:before="44"/>
              <w:ind w:left="72"/>
              <w:rPr>
                <w:sz w:val="17"/>
              </w:rPr>
            </w:pPr>
            <w:r>
              <w:rPr>
                <w:spacing w:val="-2"/>
                <w:sz w:val="17"/>
              </w:rPr>
              <w:t>LPGC-MUEVE</w:t>
            </w:r>
          </w:p>
        </w:tc>
        <w:tc>
          <w:tcPr>
            <w:tcW w:w="1353" w:type="dxa"/>
            <w:tcBorders>
              <w:top w:val="single" w:sz="4" w:space="0" w:color="002D5D"/>
              <w:bottom w:val="single" w:sz="4" w:space="0" w:color="002D5D"/>
            </w:tcBorders>
            <w:shd w:val="clear" w:color="auto" w:fill="F1F1F1"/>
          </w:tcPr>
          <w:p>
            <w:pPr>
              <w:pStyle w:val="TableParagraph"/>
              <w:spacing w:before="44"/>
              <w:ind w:left="3" w:right="13"/>
              <w:jc w:val="center"/>
              <w:rPr>
                <w:sz w:val="17"/>
              </w:rPr>
            </w:pPr>
            <w:r>
              <w:rPr>
                <w:spacing w:val="-2"/>
                <w:sz w:val="17"/>
              </w:rPr>
              <w:t>18.983.475,00</w:t>
            </w:r>
          </w:p>
        </w:tc>
        <w:tc>
          <w:tcPr>
            <w:tcW w:w="1171" w:type="dxa"/>
            <w:tcBorders>
              <w:top w:val="single" w:sz="4" w:space="0" w:color="002D5D"/>
              <w:bottom w:val="single" w:sz="4" w:space="0" w:color="002D5D"/>
            </w:tcBorders>
            <w:shd w:val="clear" w:color="auto" w:fill="F1F1F1"/>
          </w:tcPr>
          <w:p>
            <w:pPr>
              <w:pStyle w:val="TableParagraph"/>
              <w:spacing w:before="44"/>
              <w:ind w:left="1" w:right="2"/>
              <w:jc w:val="center"/>
              <w:rPr>
                <w:sz w:val="17"/>
              </w:rPr>
            </w:pPr>
            <w:r>
              <w:rPr>
                <w:spacing w:val="-2"/>
                <w:sz w:val="17"/>
              </w:rPr>
              <w:t>17.085.127,50</w:t>
            </w:r>
          </w:p>
        </w:tc>
        <w:tc>
          <w:tcPr>
            <w:tcW w:w="1366" w:type="dxa"/>
            <w:tcBorders>
              <w:top w:val="single" w:sz="4" w:space="0" w:color="002D5D"/>
              <w:bottom w:val="single" w:sz="4" w:space="0" w:color="002D5D"/>
            </w:tcBorders>
            <w:shd w:val="clear" w:color="auto" w:fill="F1F1F1"/>
          </w:tcPr>
          <w:p>
            <w:pPr>
              <w:pStyle w:val="TableParagraph"/>
              <w:spacing w:before="44"/>
              <w:ind w:left="15" w:right="2"/>
              <w:jc w:val="center"/>
              <w:rPr>
                <w:sz w:val="17"/>
              </w:rPr>
            </w:pPr>
            <w:r>
              <w:rPr>
                <w:spacing w:val="-2"/>
                <w:sz w:val="17"/>
              </w:rPr>
              <w:t>8.288.347,50</w:t>
            </w:r>
          </w:p>
        </w:tc>
        <w:tc>
          <w:tcPr>
            <w:tcW w:w="1140" w:type="dxa"/>
            <w:tcBorders>
              <w:top w:val="single" w:sz="4" w:space="0" w:color="002D5D"/>
              <w:bottom w:val="single" w:sz="4" w:space="0" w:color="002D5D"/>
            </w:tcBorders>
            <w:shd w:val="clear" w:color="auto" w:fill="F1F1F1"/>
          </w:tcPr>
          <w:p>
            <w:pPr>
              <w:pStyle w:val="TableParagraph"/>
              <w:spacing w:before="44"/>
              <w:ind w:left="24" w:right="2"/>
              <w:jc w:val="center"/>
              <w:rPr>
                <w:sz w:val="17"/>
              </w:rPr>
            </w:pPr>
            <w:r>
              <w:rPr>
                <w:spacing w:val="-2"/>
                <w:sz w:val="17"/>
              </w:rPr>
              <w:t>6.390.000,00</w:t>
            </w:r>
          </w:p>
        </w:tc>
        <w:tc>
          <w:tcPr>
            <w:tcW w:w="1629" w:type="dxa"/>
            <w:tcBorders>
              <w:top w:val="single" w:sz="4" w:space="0" w:color="002D5D"/>
              <w:bottom w:val="single" w:sz="4" w:space="0" w:color="002D5D"/>
            </w:tcBorders>
            <w:shd w:val="clear" w:color="auto" w:fill="F1F1F1"/>
          </w:tcPr>
          <w:p>
            <w:pPr>
              <w:pStyle w:val="TableParagraph"/>
              <w:spacing w:before="44"/>
              <w:ind w:left="3" w:right="3"/>
              <w:jc w:val="center"/>
              <w:rPr>
                <w:sz w:val="17"/>
              </w:rPr>
            </w:pPr>
            <w:r>
              <w:rPr>
                <w:spacing w:val="-2"/>
                <w:sz w:val="17"/>
              </w:rPr>
              <w:t>2.825.000,00</w:t>
            </w:r>
          </w:p>
        </w:tc>
        <w:tc>
          <w:tcPr>
            <w:tcW w:w="1267" w:type="dxa"/>
            <w:tcBorders>
              <w:top w:val="single" w:sz="4" w:space="0" w:color="002D5D"/>
              <w:bottom w:val="single" w:sz="4" w:space="0" w:color="002D5D"/>
            </w:tcBorders>
            <w:shd w:val="clear" w:color="auto" w:fill="F1F1F1"/>
          </w:tcPr>
          <w:p>
            <w:pPr>
              <w:pStyle w:val="TableParagraph"/>
              <w:spacing w:before="44"/>
              <w:ind w:left="12" w:right="9"/>
              <w:jc w:val="center"/>
              <w:rPr>
                <w:sz w:val="17"/>
              </w:rPr>
            </w:pPr>
            <w:r>
              <w:rPr>
                <w:spacing w:val="-2"/>
                <w:sz w:val="17"/>
              </w:rPr>
              <w:t>2.542.500,00</w:t>
            </w:r>
          </w:p>
        </w:tc>
        <w:tc>
          <w:tcPr>
            <w:tcW w:w="1165" w:type="dxa"/>
            <w:tcBorders>
              <w:top w:val="single" w:sz="4" w:space="0" w:color="002D5D"/>
              <w:bottom w:val="single" w:sz="4" w:space="0" w:color="002D5D"/>
            </w:tcBorders>
            <w:shd w:val="clear" w:color="auto" w:fill="F1F1F1"/>
          </w:tcPr>
          <w:p>
            <w:pPr>
              <w:pStyle w:val="TableParagraph"/>
              <w:spacing w:before="44"/>
              <w:ind w:left="56" w:right="37"/>
              <w:jc w:val="center"/>
              <w:rPr>
                <w:sz w:val="17"/>
              </w:rPr>
            </w:pPr>
            <w:r>
              <w:rPr>
                <w:spacing w:val="-2"/>
                <w:sz w:val="17"/>
              </w:rPr>
              <w:t>6.182.325,00</w:t>
            </w:r>
          </w:p>
        </w:tc>
        <w:tc>
          <w:tcPr>
            <w:tcW w:w="1005" w:type="dxa"/>
            <w:tcBorders>
              <w:top w:val="single" w:sz="4" w:space="0" w:color="002D5D"/>
              <w:bottom w:val="single" w:sz="4" w:space="0" w:color="002D5D"/>
            </w:tcBorders>
            <w:shd w:val="clear" w:color="auto" w:fill="F1F1F1"/>
          </w:tcPr>
          <w:p>
            <w:pPr>
              <w:pStyle w:val="TableParagraph"/>
              <w:spacing w:before="44"/>
              <w:ind w:left="20"/>
              <w:jc w:val="center"/>
              <w:rPr>
                <w:sz w:val="17"/>
              </w:rPr>
            </w:pPr>
            <w:r>
              <w:rPr>
                <w:spacing w:val="-2"/>
                <w:sz w:val="17"/>
              </w:rPr>
              <w:t>31/12/2025</w:t>
            </w:r>
          </w:p>
        </w:tc>
        <w:tc>
          <w:tcPr>
            <w:tcW w:w="1090" w:type="dxa"/>
            <w:tcBorders>
              <w:top w:val="single" w:sz="4" w:space="0" w:color="002D5D"/>
              <w:bottom w:val="single" w:sz="4" w:space="0" w:color="002D5D"/>
            </w:tcBorders>
            <w:shd w:val="clear" w:color="auto" w:fill="F1F1F1"/>
          </w:tcPr>
          <w:p>
            <w:pPr>
              <w:pStyle w:val="TableParagraph"/>
              <w:spacing w:before="44"/>
              <w:ind w:left="32"/>
              <w:jc w:val="center"/>
              <w:rPr>
                <w:sz w:val="17"/>
              </w:rPr>
            </w:pPr>
            <w:r>
              <w:rPr>
                <w:spacing w:val="-10"/>
                <w:sz w:val="17"/>
              </w:rPr>
              <w:t>2</w:t>
            </w:r>
          </w:p>
        </w:tc>
        <w:tc>
          <w:tcPr>
            <w:tcW w:w="1224" w:type="dxa"/>
            <w:tcBorders>
              <w:top w:val="single" w:sz="4" w:space="0" w:color="002D5D"/>
              <w:bottom w:val="single" w:sz="4" w:space="0" w:color="002D5D"/>
            </w:tcBorders>
            <w:shd w:val="clear" w:color="auto" w:fill="F1F1F1"/>
          </w:tcPr>
          <w:p>
            <w:pPr>
              <w:pStyle w:val="TableParagraph"/>
              <w:spacing w:before="44"/>
              <w:ind w:left="38"/>
              <w:jc w:val="center"/>
              <w:rPr>
                <w:sz w:val="17"/>
              </w:rPr>
            </w:pPr>
            <w:r>
              <w:rPr>
                <w:spacing w:val="-5"/>
                <w:sz w:val="17"/>
              </w:rPr>
              <w:t>NO</w:t>
            </w:r>
          </w:p>
        </w:tc>
      </w:tr>
      <w:tr>
        <w:trPr>
          <w:trHeight w:val="282" w:hRule="atLeast"/>
        </w:trPr>
        <w:tc>
          <w:tcPr>
            <w:tcW w:w="1370" w:type="dxa"/>
            <w:vMerge/>
            <w:tcBorders>
              <w:top w:val="nil"/>
              <w:bottom w:val="single" w:sz="4" w:space="0" w:color="002D5D"/>
            </w:tcBorders>
            <w:shd w:val="clear" w:color="auto" w:fill="F1F1F1"/>
          </w:tcPr>
          <w:p>
            <w:pPr>
              <w:rPr>
                <w:sz w:val="2"/>
                <w:szCs w:val="2"/>
              </w:rPr>
            </w:pPr>
          </w:p>
        </w:tc>
        <w:tc>
          <w:tcPr>
            <w:tcW w:w="1813" w:type="dxa"/>
            <w:tcBorders>
              <w:top w:val="single" w:sz="4" w:space="0" w:color="002D5D"/>
              <w:bottom w:val="single" w:sz="4" w:space="0" w:color="002D5D"/>
            </w:tcBorders>
            <w:shd w:val="clear" w:color="auto" w:fill="F1F1F1"/>
          </w:tcPr>
          <w:p>
            <w:pPr>
              <w:pStyle w:val="TableParagraph"/>
              <w:spacing w:before="42"/>
              <w:ind w:left="72"/>
              <w:rPr>
                <w:sz w:val="17"/>
              </w:rPr>
            </w:pPr>
            <w:r>
              <w:rPr>
                <w:spacing w:val="-2"/>
                <w:sz w:val="17"/>
              </w:rPr>
              <w:t>INNOBUS_TUR</w:t>
            </w:r>
          </w:p>
        </w:tc>
        <w:tc>
          <w:tcPr>
            <w:tcW w:w="1353" w:type="dxa"/>
            <w:tcBorders>
              <w:top w:val="single" w:sz="4" w:space="0" w:color="002D5D"/>
              <w:bottom w:val="single" w:sz="4" w:space="0" w:color="002D5D"/>
            </w:tcBorders>
            <w:shd w:val="clear" w:color="auto" w:fill="F1F1F1"/>
          </w:tcPr>
          <w:p>
            <w:pPr>
              <w:pStyle w:val="TableParagraph"/>
              <w:spacing w:before="42"/>
              <w:ind w:left="6" w:right="13"/>
              <w:jc w:val="center"/>
              <w:rPr>
                <w:sz w:val="17"/>
              </w:rPr>
            </w:pPr>
            <w:r>
              <w:rPr>
                <w:spacing w:val="-2"/>
                <w:sz w:val="17"/>
              </w:rPr>
              <w:t>8.400.000,00</w:t>
            </w:r>
          </w:p>
        </w:tc>
        <w:tc>
          <w:tcPr>
            <w:tcW w:w="1171" w:type="dxa"/>
            <w:tcBorders>
              <w:top w:val="single" w:sz="4" w:space="0" w:color="002D5D"/>
              <w:bottom w:val="single" w:sz="4" w:space="0" w:color="002D5D"/>
            </w:tcBorders>
            <w:shd w:val="clear" w:color="auto" w:fill="F1F1F1"/>
          </w:tcPr>
          <w:p>
            <w:pPr>
              <w:pStyle w:val="TableParagraph"/>
              <w:spacing w:before="42"/>
              <w:ind w:left="1" w:right="1"/>
              <w:jc w:val="center"/>
              <w:rPr>
                <w:sz w:val="17"/>
              </w:rPr>
            </w:pPr>
            <w:r>
              <w:rPr>
                <w:spacing w:val="-2"/>
                <w:sz w:val="17"/>
              </w:rPr>
              <w:t>7.560.000,00</w:t>
            </w:r>
          </w:p>
        </w:tc>
        <w:tc>
          <w:tcPr>
            <w:tcW w:w="1366" w:type="dxa"/>
            <w:tcBorders>
              <w:top w:val="single" w:sz="4" w:space="0" w:color="002D5D"/>
              <w:bottom w:val="single" w:sz="4" w:space="0" w:color="002D5D"/>
            </w:tcBorders>
            <w:shd w:val="clear" w:color="auto" w:fill="F1F1F1"/>
          </w:tcPr>
          <w:p>
            <w:pPr>
              <w:pStyle w:val="TableParagraph"/>
              <w:spacing w:before="42"/>
              <w:ind w:left="15" w:right="2"/>
              <w:jc w:val="center"/>
              <w:rPr>
                <w:sz w:val="17"/>
              </w:rPr>
            </w:pPr>
            <w:r>
              <w:rPr>
                <w:spacing w:val="-2"/>
                <w:sz w:val="17"/>
              </w:rPr>
              <w:t>5.980.000,00</w:t>
            </w:r>
          </w:p>
        </w:tc>
        <w:tc>
          <w:tcPr>
            <w:tcW w:w="1140" w:type="dxa"/>
            <w:tcBorders>
              <w:top w:val="single" w:sz="4" w:space="0" w:color="002D5D"/>
              <w:bottom w:val="single" w:sz="4" w:space="0" w:color="002D5D"/>
            </w:tcBorders>
            <w:shd w:val="clear" w:color="auto" w:fill="F1F1F1"/>
          </w:tcPr>
          <w:p>
            <w:pPr>
              <w:pStyle w:val="TableParagraph"/>
              <w:spacing w:before="42"/>
              <w:ind w:left="24" w:right="2"/>
              <w:jc w:val="center"/>
              <w:rPr>
                <w:sz w:val="17"/>
              </w:rPr>
            </w:pPr>
            <w:r>
              <w:rPr>
                <w:spacing w:val="-2"/>
                <w:sz w:val="17"/>
              </w:rPr>
              <w:t>5.382.000,00</w:t>
            </w:r>
          </w:p>
        </w:tc>
        <w:tc>
          <w:tcPr>
            <w:tcW w:w="1629" w:type="dxa"/>
            <w:tcBorders>
              <w:top w:val="single" w:sz="4" w:space="0" w:color="002D5D"/>
              <w:bottom w:val="single" w:sz="4" w:space="0" w:color="002D5D"/>
            </w:tcBorders>
            <w:shd w:val="clear" w:color="auto" w:fill="F1F1F1"/>
          </w:tcPr>
          <w:p>
            <w:pPr>
              <w:pStyle w:val="TableParagraph"/>
              <w:spacing w:before="42"/>
              <w:ind w:left="3" w:right="3"/>
              <w:jc w:val="center"/>
              <w:rPr>
                <w:sz w:val="17"/>
              </w:rPr>
            </w:pPr>
            <w:r>
              <w:rPr>
                <w:spacing w:val="-2"/>
                <w:sz w:val="17"/>
              </w:rPr>
              <w:t>5.920.000,00</w:t>
            </w:r>
          </w:p>
        </w:tc>
        <w:tc>
          <w:tcPr>
            <w:tcW w:w="1267" w:type="dxa"/>
            <w:tcBorders>
              <w:top w:val="single" w:sz="4" w:space="0" w:color="002D5D"/>
              <w:bottom w:val="single" w:sz="4" w:space="0" w:color="002D5D"/>
            </w:tcBorders>
            <w:shd w:val="clear" w:color="auto" w:fill="F1F1F1"/>
          </w:tcPr>
          <w:p>
            <w:pPr>
              <w:pStyle w:val="TableParagraph"/>
              <w:spacing w:before="42"/>
              <w:ind w:left="12" w:right="9"/>
              <w:jc w:val="center"/>
              <w:rPr>
                <w:sz w:val="17"/>
              </w:rPr>
            </w:pPr>
            <w:r>
              <w:rPr>
                <w:spacing w:val="-2"/>
                <w:sz w:val="17"/>
              </w:rPr>
              <w:t>5.328.000,00</w:t>
            </w:r>
          </w:p>
        </w:tc>
        <w:tc>
          <w:tcPr>
            <w:tcW w:w="1165" w:type="dxa"/>
            <w:tcBorders>
              <w:top w:val="single" w:sz="4" w:space="0" w:color="002D5D"/>
              <w:bottom w:val="single" w:sz="4" w:space="0" w:color="002D5D"/>
            </w:tcBorders>
            <w:shd w:val="clear" w:color="auto" w:fill="F1F1F1"/>
          </w:tcPr>
          <w:p>
            <w:pPr>
              <w:pStyle w:val="TableParagraph"/>
              <w:spacing w:before="42"/>
              <w:ind w:left="56" w:right="37"/>
              <w:jc w:val="center"/>
              <w:rPr>
                <w:sz w:val="17"/>
              </w:rPr>
            </w:pPr>
            <w:r>
              <w:rPr>
                <w:spacing w:val="-2"/>
                <w:sz w:val="17"/>
              </w:rPr>
              <w:t>3.632.850,00</w:t>
            </w:r>
          </w:p>
        </w:tc>
        <w:tc>
          <w:tcPr>
            <w:tcW w:w="1005" w:type="dxa"/>
            <w:tcBorders>
              <w:top w:val="single" w:sz="4" w:space="0" w:color="002D5D"/>
              <w:bottom w:val="single" w:sz="4" w:space="0" w:color="002D5D"/>
            </w:tcBorders>
            <w:shd w:val="clear" w:color="auto" w:fill="F1F1F1"/>
          </w:tcPr>
          <w:p>
            <w:pPr>
              <w:pStyle w:val="TableParagraph"/>
              <w:spacing w:before="42"/>
              <w:ind w:left="20"/>
              <w:jc w:val="center"/>
              <w:rPr>
                <w:sz w:val="17"/>
              </w:rPr>
            </w:pPr>
            <w:r>
              <w:rPr>
                <w:spacing w:val="-2"/>
                <w:sz w:val="17"/>
              </w:rPr>
              <w:t>31/12/2024</w:t>
            </w:r>
          </w:p>
        </w:tc>
        <w:tc>
          <w:tcPr>
            <w:tcW w:w="1090" w:type="dxa"/>
            <w:tcBorders>
              <w:top w:val="single" w:sz="4" w:space="0" w:color="002D5D"/>
              <w:bottom w:val="single" w:sz="4" w:space="0" w:color="002D5D"/>
            </w:tcBorders>
            <w:shd w:val="clear" w:color="auto" w:fill="F1F1F1"/>
          </w:tcPr>
          <w:p>
            <w:pPr>
              <w:pStyle w:val="TableParagraph"/>
              <w:spacing w:before="42"/>
              <w:ind w:left="32"/>
              <w:jc w:val="center"/>
              <w:rPr>
                <w:sz w:val="17"/>
              </w:rPr>
            </w:pPr>
            <w:r>
              <w:rPr>
                <w:spacing w:val="-10"/>
                <w:sz w:val="17"/>
              </w:rPr>
              <w:t>1</w:t>
            </w:r>
          </w:p>
        </w:tc>
        <w:tc>
          <w:tcPr>
            <w:tcW w:w="1224" w:type="dxa"/>
            <w:tcBorders>
              <w:top w:val="single" w:sz="4" w:space="0" w:color="002D5D"/>
              <w:bottom w:val="single" w:sz="4" w:space="0" w:color="002D5D"/>
            </w:tcBorders>
            <w:shd w:val="clear" w:color="auto" w:fill="F1F1F1"/>
          </w:tcPr>
          <w:p>
            <w:pPr>
              <w:pStyle w:val="TableParagraph"/>
              <w:spacing w:before="42"/>
              <w:ind w:left="38"/>
              <w:jc w:val="center"/>
              <w:rPr>
                <w:sz w:val="17"/>
              </w:rPr>
            </w:pPr>
            <w:r>
              <w:rPr>
                <w:spacing w:val="-5"/>
                <w:sz w:val="17"/>
              </w:rPr>
              <w:t>SI</w:t>
            </w:r>
          </w:p>
        </w:tc>
      </w:tr>
      <w:tr>
        <w:trPr>
          <w:trHeight w:val="349" w:hRule="atLeast"/>
        </w:trPr>
        <w:tc>
          <w:tcPr>
            <w:tcW w:w="1370" w:type="dxa"/>
            <w:tcBorders>
              <w:top w:val="single" w:sz="4" w:space="0" w:color="002D5D"/>
            </w:tcBorders>
          </w:tcPr>
          <w:p>
            <w:pPr>
              <w:pStyle w:val="TableParagraph"/>
              <w:spacing w:line="139" w:lineRule="exact" w:before="191"/>
              <w:ind w:left="71"/>
              <w:rPr>
                <w:b/>
                <w:sz w:val="17"/>
              </w:rPr>
            </w:pPr>
            <w:r>
              <w:rPr>
                <w:b/>
                <w:spacing w:val="-2"/>
                <w:sz w:val="17"/>
              </w:rPr>
              <w:t>MÁLAGA</w:t>
            </w:r>
          </w:p>
        </w:tc>
        <w:tc>
          <w:tcPr>
            <w:tcW w:w="1813" w:type="dxa"/>
            <w:tcBorders>
              <w:top w:val="single" w:sz="4" w:space="0" w:color="002D5D"/>
            </w:tcBorders>
          </w:tcPr>
          <w:p>
            <w:pPr>
              <w:pStyle w:val="TableParagraph"/>
              <w:spacing w:before="44"/>
              <w:ind w:left="72"/>
              <w:rPr>
                <w:sz w:val="17"/>
              </w:rPr>
            </w:pPr>
            <w:r>
              <w:rPr>
                <w:sz w:val="17"/>
              </w:rPr>
              <w:t>Saludable</w:t>
            </w:r>
            <w:r>
              <w:rPr>
                <w:spacing w:val="-4"/>
                <w:sz w:val="17"/>
              </w:rPr>
              <w:t> </w:t>
            </w:r>
            <w:r>
              <w:rPr>
                <w:spacing w:val="-10"/>
                <w:sz w:val="17"/>
              </w:rPr>
              <w:t>I</w:t>
            </w:r>
          </w:p>
        </w:tc>
        <w:tc>
          <w:tcPr>
            <w:tcW w:w="1353" w:type="dxa"/>
            <w:tcBorders>
              <w:top w:val="single" w:sz="4" w:space="0" w:color="002D5D"/>
            </w:tcBorders>
          </w:tcPr>
          <w:p>
            <w:pPr>
              <w:pStyle w:val="TableParagraph"/>
              <w:spacing w:before="44"/>
              <w:ind w:left="3" w:right="13"/>
              <w:jc w:val="center"/>
              <w:rPr>
                <w:sz w:val="17"/>
              </w:rPr>
            </w:pPr>
            <w:r>
              <w:rPr>
                <w:spacing w:val="-2"/>
                <w:sz w:val="17"/>
              </w:rPr>
              <w:t>32.800.529,11</w:t>
            </w:r>
          </w:p>
        </w:tc>
        <w:tc>
          <w:tcPr>
            <w:tcW w:w="1171" w:type="dxa"/>
            <w:tcBorders>
              <w:top w:val="single" w:sz="4" w:space="0" w:color="002D5D"/>
            </w:tcBorders>
          </w:tcPr>
          <w:p>
            <w:pPr>
              <w:pStyle w:val="TableParagraph"/>
              <w:spacing w:before="44"/>
              <w:ind w:left="1" w:right="2"/>
              <w:jc w:val="center"/>
              <w:rPr>
                <w:sz w:val="17"/>
              </w:rPr>
            </w:pPr>
            <w:r>
              <w:rPr>
                <w:spacing w:val="-2"/>
                <w:sz w:val="17"/>
              </w:rPr>
              <w:t>26.030.700,00</w:t>
            </w:r>
          </w:p>
        </w:tc>
        <w:tc>
          <w:tcPr>
            <w:tcW w:w="1366" w:type="dxa"/>
            <w:tcBorders>
              <w:top w:val="single" w:sz="4" w:space="0" w:color="002D5D"/>
            </w:tcBorders>
          </w:tcPr>
          <w:p>
            <w:pPr>
              <w:pStyle w:val="TableParagraph"/>
              <w:spacing w:before="44"/>
              <w:ind w:left="15"/>
              <w:jc w:val="center"/>
              <w:rPr>
                <w:sz w:val="17"/>
              </w:rPr>
            </w:pPr>
            <w:r>
              <w:rPr>
                <w:spacing w:val="-2"/>
                <w:sz w:val="17"/>
              </w:rPr>
              <w:t>15.217.035,27</w:t>
            </w:r>
          </w:p>
        </w:tc>
        <w:tc>
          <w:tcPr>
            <w:tcW w:w="1140" w:type="dxa"/>
            <w:tcBorders>
              <w:top w:val="single" w:sz="4" w:space="0" w:color="002D5D"/>
            </w:tcBorders>
          </w:tcPr>
          <w:p>
            <w:pPr>
              <w:pStyle w:val="TableParagraph"/>
              <w:spacing w:before="44"/>
              <w:ind w:left="24" w:right="4"/>
              <w:jc w:val="center"/>
              <w:rPr>
                <w:sz w:val="17"/>
              </w:rPr>
            </w:pPr>
            <w:r>
              <w:rPr>
                <w:spacing w:val="-2"/>
                <w:sz w:val="17"/>
              </w:rPr>
              <w:t>10.205.555,54</w:t>
            </w:r>
          </w:p>
        </w:tc>
        <w:tc>
          <w:tcPr>
            <w:tcW w:w="1629" w:type="dxa"/>
            <w:tcBorders>
              <w:top w:val="single" w:sz="4" w:space="0" w:color="002D5D"/>
            </w:tcBorders>
          </w:tcPr>
          <w:p>
            <w:pPr>
              <w:pStyle w:val="TableParagraph"/>
              <w:spacing w:before="44"/>
              <w:ind w:left="3" w:right="3"/>
              <w:jc w:val="center"/>
              <w:rPr>
                <w:sz w:val="17"/>
              </w:rPr>
            </w:pPr>
            <w:r>
              <w:rPr>
                <w:spacing w:val="-2"/>
                <w:sz w:val="17"/>
              </w:rPr>
              <w:t>15.063.314,34</w:t>
            </w:r>
          </w:p>
        </w:tc>
        <w:tc>
          <w:tcPr>
            <w:tcW w:w="1267" w:type="dxa"/>
            <w:tcBorders>
              <w:top w:val="single" w:sz="4" w:space="0" w:color="002D5D"/>
            </w:tcBorders>
          </w:tcPr>
          <w:p>
            <w:pPr>
              <w:pStyle w:val="TableParagraph"/>
              <w:spacing w:before="44"/>
              <w:ind w:left="12" w:right="9"/>
              <w:jc w:val="center"/>
              <w:rPr>
                <w:sz w:val="17"/>
              </w:rPr>
            </w:pPr>
            <w:r>
              <w:rPr>
                <w:spacing w:val="-2"/>
                <w:sz w:val="17"/>
              </w:rPr>
              <w:t>5.744.564,13</w:t>
            </w:r>
          </w:p>
        </w:tc>
        <w:tc>
          <w:tcPr>
            <w:tcW w:w="1165" w:type="dxa"/>
            <w:tcBorders>
              <w:top w:val="single" w:sz="4" w:space="0" w:color="002D5D"/>
            </w:tcBorders>
          </w:tcPr>
          <w:p>
            <w:pPr>
              <w:pStyle w:val="TableParagraph"/>
              <w:spacing w:before="44"/>
              <w:ind w:left="53" w:right="37"/>
              <w:jc w:val="center"/>
              <w:rPr>
                <w:sz w:val="17"/>
              </w:rPr>
            </w:pPr>
            <w:r>
              <w:rPr>
                <w:spacing w:val="-2"/>
                <w:sz w:val="17"/>
              </w:rPr>
              <w:t>10.205.555,54</w:t>
            </w:r>
          </w:p>
        </w:tc>
        <w:tc>
          <w:tcPr>
            <w:tcW w:w="1005" w:type="dxa"/>
            <w:tcBorders>
              <w:top w:val="single" w:sz="4" w:space="0" w:color="002D5D"/>
            </w:tcBorders>
          </w:tcPr>
          <w:p>
            <w:pPr>
              <w:pStyle w:val="TableParagraph"/>
              <w:spacing w:before="44"/>
              <w:ind w:left="20"/>
              <w:jc w:val="center"/>
              <w:rPr>
                <w:sz w:val="17"/>
              </w:rPr>
            </w:pPr>
            <w:r>
              <w:rPr>
                <w:spacing w:val="-2"/>
                <w:sz w:val="17"/>
              </w:rPr>
              <w:t>31/12/2025</w:t>
            </w:r>
          </w:p>
        </w:tc>
        <w:tc>
          <w:tcPr>
            <w:tcW w:w="1090" w:type="dxa"/>
            <w:tcBorders>
              <w:top w:val="single" w:sz="4" w:space="0" w:color="002D5D"/>
            </w:tcBorders>
          </w:tcPr>
          <w:p>
            <w:pPr>
              <w:pStyle w:val="TableParagraph"/>
              <w:spacing w:before="44"/>
              <w:ind w:left="32"/>
              <w:jc w:val="center"/>
              <w:rPr>
                <w:sz w:val="17"/>
              </w:rPr>
            </w:pPr>
            <w:r>
              <w:rPr>
                <w:spacing w:val="-10"/>
                <w:sz w:val="17"/>
              </w:rPr>
              <w:t>3</w:t>
            </w:r>
          </w:p>
        </w:tc>
        <w:tc>
          <w:tcPr>
            <w:tcW w:w="1224" w:type="dxa"/>
            <w:tcBorders>
              <w:top w:val="single" w:sz="4" w:space="0" w:color="002D5D"/>
            </w:tcBorders>
          </w:tcPr>
          <w:p>
            <w:pPr>
              <w:pStyle w:val="TableParagraph"/>
              <w:spacing w:before="44"/>
              <w:ind w:left="38"/>
              <w:jc w:val="center"/>
              <w:rPr>
                <w:sz w:val="17"/>
              </w:rPr>
            </w:pPr>
            <w:r>
              <w:rPr>
                <w:spacing w:val="-5"/>
                <w:sz w:val="17"/>
              </w:rPr>
              <w:t>NO</w:t>
            </w:r>
          </w:p>
        </w:tc>
      </w:tr>
      <w:tr>
        <w:trPr>
          <w:trHeight w:val="228" w:hRule="atLeast"/>
        </w:trPr>
        <w:tc>
          <w:tcPr>
            <w:tcW w:w="1370" w:type="dxa"/>
            <w:tcBorders>
              <w:bottom w:val="single" w:sz="4" w:space="0" w:color="002D5D"/>
            </w:tcBorders>
          </w:tcPr>
          <w:p>
            <w:pPr>
              <w:pStyle w:val="TableParagraph"/>
              <w:rPr>
                <w:rFonts w:ascii="Times New Roman"/>
                <w:sz w:val="16"/>
              </w:rPr>
            </w:pPr>
          </w:p>
        </w:tc>
        <w:tc>
          <w:tcPr>
            <w:tcW w:w="1813" w:type="dxa"/>
            <w:tcBorders>
              <w:bottom w:val="single" w:sz="4" w:space="0" w:color="002D5D"/>
            </w:tcBorders>
          </w:tcPr>
          <w:p>
            <w:pPr>
              <w:pStyle w:val="TableParagraph"/>
              <w:spacing w:line="183" w:lineRule="exact"/>
              <w:ind w:left="72"/>
              <w:rPr>
                <w:sz w:val="17"/>
              </w:rPr>
            </w:pPr>
            <w:r>
              <w:rPr>
                <w:sz w:val="17"/>
              </w:rPr>
              <mc:AlternateContent>
                <mc:Choice Requires="wps">
                  <w:drawing>
                    <wp:anchor distT="0" distB="0" distL="0" distR="0" allowOverlap="1" layoutInCell="1" locked="0" behindDoc="1" simplePos="0" relativeHeight="474320896">
                      <wp:simplePos x="0" y="0"/>
                      <wp:positionH relativeFrom="column">
                        <wp:posOffset>0</wp:posOffset>
                      </wp:positionH>
                      <wp:positionV relativeFrom="paragraph">
                        <wp:posOffset>-40680</wp:posOffset>
                      </wp:positionV>
                      <wp:extent cx="9040495" cy="6350"/>
                      <wp:effectExtent l="0" t="0" r="0" b="0"/>
                      <wp:wrapNone/>
                      <wp:docPr id="487" name="Group 487"/>
                      <wp:cNvGraphicFramePr>
                        <a:graphicFrameLocks/>
                      </wp:cNvGraphicFramePr>
                      <a:graphic>
                        <a:graphicData uri="http://schemas.microsoft.com/office/word/2010/wordprocessingGroup">
                          <wpg:wgp>
                            <wpg:cNvPr id="487" name="Group 487"/>
                            <wpg:cNvGrpSpPr/>
                            <wpg:grpSpPr>
                              <a:xfrm>
                                <a:off x="0" y="0"/>
                                <a:ext cx="9040495" cy="6350"/>
                                <a:chExt cx="9040495" cy="6350"/>
                              </a:xfrm>
                            </wpg:grpSpPr>
                            <wps:wsp>
                              <wps:cNvPr id="488" name="Graphic 488"/>
                              <wps:cNvSpPr/>
                              <wps:spPr>
                                <a:xfrm>
                                  <a:off x="0" y="12"/>
                                  <a:ext cx="9040495" cy="6350"/>
                                </a:xfrm>
                                <a:custGeom>
                                  <a:avLst/>
                                  <a:gdLst/>
                                  <a:ahLst/>
                                  <a:cxnLst/>
                                  <a:rect l="l" t="t" r="r" b="b"/>
                                  <a:pathLst>
                                    <a:path w="9040495" h="6350">
                                      <a:moveTo>
                                        <a:pt x="2752598" y="0"/>
                                      </a:moveTo>
                                      <a:lnTo>
                                        <a:pt x="2752598" y="0"/>
                                      </a:lnTo>
                                      <a:lnTo>
                                        <a:pt x="0" y="0"/>
                                      </a:lnTo>
                                      <a:lnTo>
                                        <a:pt x="0" y="6083"/>
                                      </a:lnTo>
                                      <a:lnTo>
                                        <a:pt x="2752598" y="6083"/>
                                      </a:lnTo>
                                      <a:lnTo>
                                        <a:pt x="2752598" y="0"/>
                                      </a:lnTo>
                                      <a:close/>
                                    </a:path>
                                    <a:path w="9040495" h="6350">
                                      <a:moveTo>
                                        <a:pt x="5381815" y="0"/>
                                      </a:moveTo>
                                      <a:lnTo>
                                        <a:pt x="5381815" y="0"/>
                                      </a:lnTo>
                                      <a:lnTo>
                                        <a:pt x="2752674" y="0"/>
                                      </a:lnTo>
                                      <a:lnTo>
                                        <a:pt x="2752674" y="6083"/>
                                      </a:lnTo>
                                      <a:lnTo>
                                        <a:pt x="5381815" y="6083"/>
                                      </a:lnTo>
                                      <a:lnTo>
                                        <a:pt x="5381815" y="0"/>
                                      </a:lnTo>
                                      <a:close/>
                                    </a:path>
                                    <a:path w="9040495" h="6350">
                                      <a:moveTo>
                                        <a:pt x="6195631" y="0"/>
                                      </a:moveTo>
                                      <a:lnTo>
                                        <a:pt x="6189548" y="0"/>
                                      </a:lnTo>
                                      <a:lnTo>
                                        <a:pt x="5381828" y="0"/>
                                      </a:lnTo>
                                      <a:lnTo>
                                        <a:pt x="5381828" y="6083"/>
                                      </a:lnTo>
                                      <a:lnTo>
                                        <a:pt x="6189548" y="6083"/>
                                      </a:lnTo>
                                      <a:lnTo>
                                        <a:pt x="6195631" y="6083"/>
                                      </a:lnTo>
                                      <a:lnTo>
                                        <a:pt x="6195631" y="0"/>
                                      </a:lnTo>
                                      <a:close/>
                                    </a:path>
                                    <a:path w="9040495" h="6350">
                                      <a:moveTo>
                                        <a:pt x="6930517" y="0"/>
                                      </a:moveTo>
                                      <a:lnTo>
                                        <a:pt x="6195644" y="0"/>
                                      </a:lnTo>
                                      <a:lnTo>
                                        <a:pt x="6195644" y="6083"/>
                                      </a:lnTo>
                                      <a:lnTo>
                                        <a:pt x="6930517" y="6083"/>
                                      </a:lnTo>
                                      <a:lnTo>
                                        <a:pt x="6930517" y="0"/>
                                      </a:lnTo>
                                      <a:close/>
                                    </a:path>
                                    <a:path w="9040495" h="6350">
                                      <a:moveTo>
                                        <a:pt x="6936676" y="0"/>
                                      </a:moveTo>
                                      <a:lnTo>
                                        <a:pt x="6930593" y="0"/>
                                      </a:lnTo>
                                      <a:lnTo>
                                        <a:pt x="6930593" y="6083"/>
                                      </a:lnTo>
                                      <a:lnTo>
                                        <a:pt x="6936676" y="6083"/>
                                      </a:lnTo>
                                      <a:lnTo>
                                        <a:pt x="6936676" y="0"/>
                                      </a:lnTo>
                                      <a:close/>
                                    </a:path>
                                    <a:path w="9040495" h="6350">
                                      <a:moveTo>
                                        <a:pt x="7572184" y="0"/>
                                      </a:moveTo>
                                      <a:lnTo>
                                        <a:pt x="7566101" y="0"/>
                                      </a:lnTo>
                                      <a:lnTo>
                                        <a:pt x="6936689" y="0"/>
                                      </a:lnTo>
                                      <a:lnTo>
                                        <a:pt x="6936689" y="6083"/>
                                      </a:lnTo>
                                      <a:lnTo>
                                        <a:pt x="7566101" y="6083"/>
                                      </a:lnTo>
                                      <a:lnTo>
                                        <a:pt x="7572184" y="6083"/>
                                      </a:lnTo>
                                      <a:lnTo>
                                        <a:pt x="7572184" y="0"/>
                                      </a:lnTo>
                                      <a:close/>
                                    </a:path>
                                    <a:path w="9040495" h="6350">
                                      <a:moveTo>
                                        <a:pt x="8276272" y="0"/>
                                      </a:moveTo>
                                      <a:lnTo>
                                        <a:pt x="8270189" y="0"/>
                                      </a:lnTo>
                                      <a:lnTo>
                                        <a:pt x="7572197" y="0"/>
                                      </a:lnTo>
                                      <a:lnTo>
                                        <a:pt x="7572197" y="6083"/>
                                      </a:lnTo>
                                      <a:lnTo>
                                        <a:pt x="8270189" y="6083"/>
                                      </a:lnTo>
                                      <a:lnTo>
                                        <a:pt x="8276272" y="6083"/>
                                      </a:lnTo>
                                      <a:lnTo>
                                        <a:pt x="8276272" y="0"/>
                                      </a:lnTo>
                                      <a:close/>
                                    </a:path>
                                    <a:path w="9040495" h="6350">
                                      <a:moveTo>
                                        <a:pt x="9040114" y="0"/>
                                      </a:moveTo>
                                      <a:lnTo>
                                        <a:pt x="8276285" y="0"/>
                                      </a:lnTo>
                                      <a:lnTo>
                                        <a:pt x="8276285" y="6083"/>
                                      </a:lnTo>
                                      <a:lnTo>
                                        <a:pt x="9040114" y="6083"/>
                                      </a:lnTo>
                                      <a:lnTo>
                                        <a:pt x="9040114" y="0"/>
                                      </a:lnTo>
                                      <a:close/>
                                    </a:path>
                                  </a:pathLst>
                                </a:custGeom>
                                <a:solidFill>
                                  <a:srgbClr val="002D5D"/>
                                </a:solidFill>
                              </wps:spPr>
                              <wps:bodyPr wrap="square" lIns="0" tIns="0" rIns="0" bIns="0" rtlCol="0">
                                <a:prstTxWarp prst="textNoShape">
                                  <a:avLst/>
                                </a:prstTxWarp>
                                <a:noAutofit/>
                              </wps:bodyPr>
                            </wps:wsp>
                          </wpg:wgp>
                        </a:graphicData>
                      </a:graphic>
                    </wp:anchor>
                  </w:drawing>
                </mc:Choice>
                <mc:Fallback>
                  <w:pict>
                    <v:group style="position:absolute;margin-left:0pt;margin-top:-3.203212pt;width:711.85pt;height:.5pt;mso-position-horizontal-relative:column;mso-position-vertical-relative:paragraph;z-index:-28995584" id="docshapegroup425" coordorigin="0,-64" coordsize="14237,10">
                      <v:shape style="position:absolute;left:0;top:-65;width:14237;height:10" id="docshape426" coordorigin="0,-64" coordsize="14237,10" path="m4335,-64l3178,-64,3168,-64,1812,-64,1802,-64,1802,-64,0,-64,0,-54,1802,-54,1802,-54,1812,-54,3168,-54,3178,-54,4335,-54,4335,-64xm8475,-64l8466,-64,8466,-64,6853,-64,6843,-64,5729,-64,5720,-64,4345,-64,4335,-64,4335,-54,4345,-54,5720,-54,5729,-54,6843,-54,6853,-54,8466,-54,8466,-54,8475,-54,8475,-64xm9757,-64l9747,-64,8475,-64,8475,-54,9747,-54,9757,-54,9757,-64xm10914,-64l9757,-64,9757,-54,10914,-54,10914,-64xm10924,-64l10914,-64,10914,-54,10924,-54,10924,-64xm11925,-64l11915,-64,10924,-64,10924,-54,11915,-54,11925,-54,11925,-64xm13034,-64l13024,-64,11925,-64,11925,-54,13024,-54,13034,-54,13034,-64xm14236,-64l13034,-64,13034,-54,14236,-54,14236,-64xe" filled="true" fillcolor="#002d5d" stroked="false">
                        <v:path arrowok="t"/>
                        <v:fill type="solid"/>
                      </v:shape>
                      <w10:wrap type="none"/>
                    </v:group>
                  </w:pict>
                </mc:Fallback>
              </mc:AlternateContent>
            </w:r>
            <w:r>
              <w:rPr>
                <w:spacing w:val="-2"/>
                <w:sz w:val="17"/>
              </w:rPr>
              <w:t>INNOBUS_TUR</w:t>
            </w:r>
          </w:p>
        </w:tc>
        <w:tc>
          <w:tcPr>
            <w:tcW w:w="1353" w:type="dxa"/>
            <w:tcBorders>
              <w:bottom w:val="single" w:sz="4" w:space="0" w:color="002D5D"/>
            </w:tcBorders>
          </w:tcPr>
          <w:p>
            <w:pPr>
              <w:pStyle w:val="TableParagraph"/>
              <w:spacing w:line="183" w:lineRule="exact"/>
              <w:ind w:left="6" w:right="13"/>
              <w:jc w:val="center"/>
              <w:rPr>
                <w:sz w:val="17"/>
              </w:rPr>
            </w:pPr>
            <w:r>
              <w:rPr>
                <w:spacing w:val="-2"/>
                <w:sz w:val="17"/>
              </w:rPr>
              <w:t>5.020.000,00</w:t>
            </w:r>
          </w:p>
        </w:tc>
        <w:tc>
          <w:tcPr>
            <w:tcW w:w="1171" w:type="dxa"/>
            <w:tcBorders>
              <w:bottom w:val="single" w:sz="4" w:space="0" w:color="002D5D"/>
            </w:tcBorders>
          </w:tcPr>
          <w:p>
            <w:pPr>
              <w:pStyle w:val="TableParagraph"/>
              <w:spacing w:line="183" w:lineRule="exact"/>
              <w:ind w:left="1" w:right="1"/>
              <w:jc w:val="center"/>
              <w:rPr>
                <w:sz w:val="17"/>
              </w:rPr>
            </w:pPr>
            <w:r>
              <w:rPr>
                <w:spacing w:val="-2"/>
                <w:sz w:val="17"/>
              </w:rPr>
              <w:t>4.518.000,00</w:t>
            </w:r>
          </w:p>
        </w:tc>
        <w:tc>
          <w:tcPr>
            <w:tcW w:w="1366" w:type="dxa"/>
            <w:tcBorders>
              <w:bottom w:val="single" w:sz="4" w:space="0" w:color="002D5D"/>
            </w:tcBorders>
          </w:tcPr>
          <w:p>
            <w:pPr>
              <w:pStyle w:val="TableParagraph"/>
              <w:spacing w:line="183" w:lineRule="exact"/>
              <w:ind w:left="15" w:right="2"/>
              <w:jc w:val="center"/>
              <w:rPr>
                <w:sz w:val="17"/>
              </w:rPr>
            </w:pPr>
            <w:r>
              <w:rPr>
                <w:spacing w:val="-2"/>
                <w:sz w:val="17"/>
              </w:rPr>
              <w:t>5.000.000,00</w:t>
            </w:r>
          </w:p>
        </w:tc>
        <w:tc>
          <w:tcPr>
            <w:tcW w:w="1140" w:type="dxa"/>
            <w:tcBorders>
              <w:bottom w:val="single" w:sz="4" w:space="0" w:color="002D5D"/>
            </w:tcBorders>
          </w:tcPr>
          <w:p>
            <w:pPr>
              <w:pStyle w:val="TableParagraph"/>
              <w:spacing w:line="183" w:lineRule="exact"/>
              <w:ind w:left="24" w:right="2"/>
              <w:jc w:val="center"/>
              <w:rPr>
                <w:sz w:val="17"/>
              </w:rPr>
            </w:pPr>
            <w:r>
              <w:rPr>
                <w:spacing w:val="-2"/>
                <w:sz w:val="17"/>
              </w:rPr>
              <w:t>4.500.000,00</w:t>
            </w:r>
          </w:p>
        </w:tc>
        <w:tc>
          <w:tcPr>
            <w:tcW w:w="1629" w:type="dxa"/>
            <w:tcBorders>
              <w:bottom w:val="single" w:sz="4" w:space="0" w:color="002D5D"/>
            </w:tcBorders>
          </w:tcPr>
          <w:p>
            <w:pPr>
              <w:pStyle w:val="TableParagraph"/>
              <w:spacing w:line="183" w:lineRule="exact"/>
              <w:ind w:left="3" w:right="3"/>
              <w:jc w:val="center"/>
              <w:rPr>
                <w:sz w:val="17"/>
              </w:rPr>
            </w:pPr>
            <w:r>
              <w:rPr>
                <w:spacing w:val="-2"/>
                <w:sz w:val="17"/>
              </w:rPr>
              <w:t>4.940.000,00</w:t>
            </w:r>
          </w:p>
        </w:tc>
        <w:tc>
          <w:tcPr>
            <w:tcW w:w="1267" w:type="dxa"/>
            <w:tcBorders>
              <w:bottom w:val="single" w:sz="4" w:space="0" w:color="002D5D"/>
            </w:tcBorders>
          </w:tcPr>
          <w:p>
            <w:pPr>
              <w:pStyle w:val="TableParagraph"/>
              <w:spacing w:line="183" w:lineRule="exact"/>
              <w:ind w:left="12" w:right="9"/>
              <w:jc w:val="center"/>
              <w:rPr>
                <w:sz w:val="17"/>
              </w:rPr>
            </w:pPr>
            <w:r>
              <w:rPr>
                <w:spacing w:val="-2"/>
                <w:sz w:val="17"/>
              </w:rPr>
              <w:t>4.446.000,00</w:t>
            </w:r>
          </w:p>
        </w:tc>
        <w:tc>
          <w:tcPr>
            <w:tcW w:w="1165" w:type="dxa"/>
            <w:tcBorders>
              <w:bottom w:val="single" w:sz="4" w:space="0" w:color="002D5D"/>
            </w:tcBorders>
          </w:tcPr>
          <w:p>
            <w:pPr>
              <w:pStyle w:val="TableParagraph"/>
              <w:spacing w:line="183" w:lineRule="exact"/>
              <w:ind w:left="56" w:right="37"/>
              <w:jc w:val="center"/>
              <w:rPr>
                <w:sz w:val="17"/>
              </w:rPr>
            </w:pPr>
            <w:r>
              <w:rPr>
                <w:spacing w:val="-2"/>
                <w:sz w:val="17"/>
              </w:rPr>
              <w:t>3.037.500,00</w:t>
            </w:r>
          </w:p>
        </w:tc>
        <w:tc>
          <w:tcPr>
            <w:tcW w:w="1005" w:type="dxa"/>
            <w:tcBorders>
              <w:bottom w:val="single" w:sz="4" w:space="0" w:color="002D5D"/>
            </w:tcBorders>
          </w:tcPr>
          <w:p>
            <w:pPr>
              <w:pStyle w:val="TableParagraph"/>
              <w:spacing w:line="183" w:lineRule="exact"/>
              <w:ind w:left="20"/>
              <w:jc w:val="center"/>
              <w:rPr>
                <w:sz w:val="17"/>
              </w:rPr>
            </w:pPr>
            <w:r>
              <w:rPr>
                <w:spacing w:val="-2"/>
                <w:sz w:val="17"/>
              </w:rPr>
              <w:t>31/12/2024</w:t>
            </w:r>
          </w:p>
        </w:tc>
        <w:tc>
          <w:tcPr>
            <w:tcW w:w="1090" w:type="dxa"/>
            <w:tcBorders>
              <w:bottom w:val="single" w:sz="4" w:space="0" w:color="002D5D"/>
            </w:tcBorders>
          </w:tcPr>
          <w:p>
            <w:pPr>
              <w:pStyle w:val="TableParagraph"/>
              <w:spacing w:line="183" w:lineRule="exact"/>
              <w:ind w:left="32"/>
              <w:jc w:val="center"/>
              <w:rPr>
                <w:sz w:val="17"/>
              </w:rPr>
            </w:pPr>
            <w:r>
              <w:rPr>
                <w:spacing w:val="-10"/>
                <w:sz w:val="17"/>
              </w:rPr>
              <w:t>1</w:t>
            </w:r>
          </w:p>
        </w:tc>
        <w:tc>
          <w:tcPr>
            <w:tcW w:w="1224" w:type="dxa"/>
            <w:tcBorders>
              <w:bottom w:val="single" w:sz="4" w:space="0" w:color="002D5D"/>
            </w:tcBorders>
          </w:tcPr>
          <w:p>
            <w:pPr>
              <w:pStyle w:val="TableParagraph"/>
              <w:spacing w:line="183" w:lineRule="exact"/>
              <w:ind w:left="38"/>
              <w:jc w:val="center"/>
              <w:rPr>
                <w:sz w:val="17"/>
              </w:rPr>
            </w:pPr>
            <w:r>
              <w:rPr>
                <w:spacing w:val="-5"/>
                <w:sz w:val="17"/>
              </w:rPr>
              <w:t>SI</w:t>
            </w:r>
          </w:p>
        </w:tc>
      </w:tr>
      <w:tr>
        <w:trPr>
          <w:trHeight w:val="782" w:hRule="atLeast"/>
        </w:trPr>
        <w:tc>
          <w:tcPr>
            <w:tcW w:w="1370"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71"/>
              <w:rPr>
                <w:b/>
                <w:sz w:val="17"/>
              </w:rPr>
            </w:pPr>
            <w:r>
              <w:rPr>
                <w:b/>
                <w:spacing w:val="-2"/>
                <w:sz w:val="17"/>
              </w:rPr>
              <w:t>MURCIA</w:t>
            </w:r>
          </w:p>
        </w:tc>
        <w:tc>
          <w:tcPr>
            <w:tcW w:w="1813" w:type="dxa"/>
            <w:tcBorders>
              <w:top w:val="single" w:sz="4" w:space="0" w:color="002D5D"/>
              <w:bottom w:val="single" w:sz="4" w:space="0" w:color="002D5D"/>
            </w:tcBorders>
            <w:shd w:val="clear" w:color="auto" w:fill="F1F1F1"/>
          </w:tcPr>
          <w:p>
            <w:pPr>
              <w:pStyle w:val="TableParagraph"/>
              <w:spacing w:line="242" w:lineRule="auto"/>
              <w:ind w:left="72"/>
              <w:rPr>
                <w:sz w:val="17"/>
              </w:rPr>
            </w:pPr>
            <w:r>
              <w:rPr>
                <w:sz w:val="17"/>
              </w:rPr>
              <w:t>Plan</w:t>
            </w:r>
            <w:r>
              <w:rPr>
                <w:spacing w:val="-4"/>
                <w:sz w:val="17"/>
              </w:rPr>
              <w:t> </w:t>
            </w:r>
            <w:r>
              <w:rPr>
                <w:sz w:val="17"/>
              </w:rPr>
              <w:t>de</w:t>
            </w:r>
            <w:r>
              <w:rPr>
                <w:spacing w:val="-4"/>
                <w:sz w:val="17"/>
              </w:rPr>
              <w:t> </w:t>
            </w:r>
            <w:r>
              <w:rPr>
                <w:sz w:val="17"/>
              </w:rPr>
              <w:t>transformación</w:t>
            </w:r>
            <w:r>
              <w:rPr>
                <w:spacing w:val="-2"/>
                <w:sz w:val="17"/>
              </w:rPr>
              <w:t> </w:t>
            </w:r>
            <w:r>
              <w:rPr>
                <w:sz w:val="17"/>
              </w:rPr>
              <w:t>y</w:t>
            </w:r>
            <w:r>
              <w:rPr>
                <w:spacing w:val="40"/>
                <w:sz w:val="17"/>
              </w:rPr>
              <w:t> </w:t>
            </w:r>
            <w:r>
              <w:rPr>
                <w:sz w:val="17"/>
              </w:rPr>
              <w:t>digitalización de la</w:t>
            </w:r>
          </w:p>
          <w:p>
            <w:pPr>
              <w:pStyle w:val="TableParagraph"/>
              <w:spacing w:line="194" w:lineRule="exact"/>
              <w:ind w:left="72"/>
              <w:rPr>
                <w:sz w:val="17"/>
              </w:rPr>
            </w:pPr>
            <w:r>
              <w:rPr>
                <w:sz w:val="17"/>
              </w:rPr>
              <w:t>movilidad</w:t>
            </w:r>
            <w:r>
              <w:rPr>
                <w:spacing w:val="-10"/>
                <w:sz w:val="17"/>
              </w:rPr>
              <w:t> </w:t>
            </w:r>
            <w:r>
              <w:rPr>
                <w:sz w:val="17"/>
              </w:rPr>
              <w:t>de</w:t>
            </w:r>
            <w:r>
              <w:rPr>
                <w:spacing w:val="-10"/>
                <w:sz w:val="17"/>
              </w:rPr>
              <w:t> </w:t>
            </w:r>
            <w:r>
              <w:rPr>
                <w:sz w:val="17"/>
              </w:rPr>
              <w:t>la</w:t>
            </w:r>
            <w:r>
              <w:rPr>
                <w:spacing w:val="-10"/>
                <w:sz w:val="17"/>
              </w:rPr>
              <w:t> </w:t>
            </w:r>
            <w:r>
              <w:rPr>
                <w:sz w:val="17"/>
              </w:rPr>
              <w:t>ciudad</w:t>
            </w:r>
            <w:r>
              <w:rPr>
                <w:spacing w:val="-9"/>
                <w:sz w:val="17"/>
              </w:rPr>
              <w:t> </w:t>
            </w:r>
            <w:r>
              <w:rPr>
                <w:sz w:val="17"/>
              </w:rPr>
              <w:t>de</w:t>
            </w:r>
            <w:r>
              <w:rPr>
                <w:spacing w:val="40"/>
                <w:sz w:val="17"/>
              </w:rPr>
              <w:t> </w:t>
            </w:r>
            <w:r>
              <w:rPr>
                <w:spacing w:val="-2"/>
                <w:sz w:val="17"/>
              </w:rPr>
              <w:t>Murcia</w:t>
            </w:r>
          </w:p>
        </w:tc>
        <w:tc>
          <w:tcPr>
            <w:tcW w:w="1353"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3" w:right="13"/>
              <w:jc w:val="center"/>
              <w:rPr>
                <w:sz w:val="17"/>
              </w:rPr>
            </w:pPr>
            <w:r>
              <w:rPr>
                <w:spacing w:val="-2"/>
                <w:sz w:val="17"/>
              </w:rPr>
              <w:t>22.970.150,01</w:t>
            </w:r>
          </w:p>
        </w:tc>
        <w:tc>
          <w:tcPr>
            <w:tcW w:w="1171"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1" w:right="2"/>
              <w:jc w:val="center"/>
              <w:rPr>
                <w:sz w:val="17"/>
              </w:rPr>
            </w:pPr>
            <w:r>
              <w:rPr>
                <w:spacing w:val="-2"/>
                <w:sz w:val="17"/>
              </w:rPr>
              <w:t>20.673.135,00</w:t>
            </w:r>
          </w:p>
        </w:tc>
        <w:tc>
          <w:tcPr>
            <w:tcW w:w="1366"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15"/>
              <w:jc w:val="center"/>
              <w:rPr>
                <w:sz w:val="17"/>
              </w:rPr>
            </w:pPr>
            <w:r>
              <w:rPr>
                <w:spacing w:val="-2"/>
                <w:sz w:val="17"/>
              </w:rPr>
              <w:t>22.970.150,01</w:t>
            </w:r>
          </w:p>
        </w:tc>
        <w:tc>
          <w:tcPr>
            <w:tcW w:w="1140"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24" w:right="4"/>
              <w:jc w:val="center"/>
              <w:rPr>
                <w:sz w:val="17"/>
              </w:rPr>
            </w:pPr>
            <w:r>
              <w:rPr>
                <w:spacing w:val="-2"/>
                <w:sz w:val="17"/>
              </w:rPr>
              <w:t>20.673.135,00</w:t>
            </w:r>
          </w:p>
        </w:tc>
        <w:tc>
          <w:tcPr>
            <w:tcW w:w="1629"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3" w:right="3"/>
              <w:jc w:val="center"/>
              <w:rPr>
                <w:sz w:val="17"/>
              </w:rPr>
            </w:pPr>
            <w:r>
              <w:rPr>
                <w:spacing w:val="-2"/>
                <w:sz w:val="17"/>
              </w:rPr>
              <w:t>16.444.540,98</w:t>
            </w:r>
          </w:p>
        </w:tc>
        <w:tc>
          <w:tcPr>
            <w:tcW w:w="1267"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12" w:right="7"/>
              <w:jc w:val="center"/>
              <w:rPr>
                <w:sz w:val="17"/>
              </w:rPr>
            </w:pPr>
            <w:r>
              <w:rPr>
                <w:spacing w:val="-2"/>
                <w:sz w:val="17"/>
              </w:rPr>
              <w:t>14.800.086,87</w:t>
            </w:r>
          </w:p>
        </w:tc>
        <w:tc>
          <w:tcPr>
            <w:tcW w:w="1165"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53" w:right="37"/>
              <w:jc w:val="center"/>
              <w:rPr>
                <w:sz w:val="17"/>
              </w:rPr>
            </w:pPr>
            <w:r>
              <w:rPr>
                <w:spacing w:val="-2"/>
                <w:sz w:val="17"/>
              </w:rPr>
              <w:t>20.673.135,00</w:t>
            </w:r>
          </w:p>
        </w:tc>
        <w:tc>
          <w:tcPr>
            <w:tcW w:w="1005"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20"/>
              <w:jc w:val="center"/>
              <w:rPr>
                <w:sz w:val="17"/>
              </w:rPr>
            </w:pPr>
            <w:r>
              <w:rPr>
                <w:spacing w:val="-2"/>
                <w:sz w:val="17"/>
              </w:rPr>
              <w:t>31/12/2025</w:t>
            </w:r>
          </w:p>
        </w:tc>
        <w:tc>
          <w:tcPr>
            <w:tcW w:w="1090"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32"/>
              <w:jc w:val="center"/>
              <w:rPr>
                <w:sz w:val="17"/>
              </w:rPr>
            </w:pPr>
            <w:r>
              <w:rPr>
                <w:spacing w:val="-10"/>
                <w:sz w:val="17"/>
              </w:rPr>
              <w:t>2</w:t>
            </w:r>
          </w:p>
        </w:tc>
        <w:tc>
          <w:tcPr>
            <w:tcW w:w="1224"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spacing w:before="1"/>
              <w:ind w:left="38"/>
              <w:jc w:val="center"/>
              <w:rPr>
                <w:sz w:val="17"/>
              </w:rPr>
            </w:pPr>
            <w:r>
              <w:rPr>
                <w:spacing w:val="-5"/>
                <w:sz w:val="17"/>
              </w:rPr>
              <w:t>NO</w:t>
            </w:r>
          </w:p>
        </w:tc>
      </w:tr>
      <w:tr>
        <w:trPr>
          <w:trHeight w:val="282" w:hRule="atLeast"/>
        </w:trPr>
        <w:tc>
          <w:tcPr>
            <w:tcW w:w="1370" w:type="dxa"/>
            <w:tcBorders>
              <w:top w:val="single" w:sz="4" w:space="0" w:color="002D5D"/>
            </w:tcBorders>
          </w:tcPr>
          <w:p>
            <w:pPr>
              <w:pStyle w:val="TableParagraph"/>
              <w:rPr>
                <w:rFonts w:ascii="Times New Roman"/>
                <w:sz w:val="16"/>
              </w:rPr>
            </w:pPr>
          </w:p>
        </w:tc>
        <w:tc>
          <w:tcPr>
            <w:tcW w:w="1813" w:type="dxa"/>
            <w:tcBorders>
              <w:top w:val="single" w:sz="4" w:space="0" w:color="002D5D"/>
              <w:bottom w:val="single" w:sz="4" w:space="0" w:color="002D5D"/>
            </w:tcBorders>
          </w:tcPr>
          <w:p>
            <w:pPr>
              <w:pStyle w:val="TableParagraph"/>
              <w:spacing w:before="42"/>
              <w:ind w:left="72"/>
              <w:rPr>
                <w:sz w:val="17"/>
              </w:rPr>
            </w:pPr>
            <w:r>
              <w:rPr>
                <w:sz w:val="17"/>
              </w:rPr>
              <w:t>Solicitud</w:t>
            </w:r>
            <w:r>
              <w:rPr>
                <w:spacing w:val="-6"/>
                <w:sz w:val="17"/>
              </w:rPr>
              <w:t> </w:t>
            </w:r>
            <w:r>
              <w:rPr>
                <w:spacing w:val="-10"/>
                <w:sz w:val="17"/>
              </w:rPr>
              <w:t>1</w:t>
            </w:r>
          </w:p>
        </w:tc>
        <w:tc>
          <w:tcPr>
            <w:tcW w:w="1353" w:type="dxa"/>
            <w:tcBorders>
              <w:top w:val="single" w:sz="4" w:space="0" w:color="002D5D"/>
              <w:bottom w:val="single" w:sz="4" w:space="0" w:color="002D5D"/>
            </w:tcBorders>
          </w:tcPr>
          <w:p>
            <w:pPr>
              <w:pStyle w:val="TableParagraph"/>
              <w:spacing w:before="42"/>
              <w:ind w:left="3" w:right="13"/>
              <w:jc w:val="center"/>
              <w:rPr>
                <w:sz w:val="17"/>
              </w:rPr>
            </w:pPr>
            <w:r>
              <w:rPr>
                <w:spacing w:val="-2"/>
                <w:sz w:val="17"/>
              </w:rPr>
              <w:t>21.881.247,79</w:t>
            </w:r>
          </w:p>
        </w:tc>
        <w:tc>
          <w:tcPr>
            <w:tcW w:w="1171" w:type="dxa"/>
            <w:tcBorders>
              <w:top w:val="single" w:sz="4" w:space="0" w:color="002D5D"/>
              <w:bottom w:val="single" w:sz="4" w:space="0" w:color="002D5D"/>
            </w:tcBorders>
          </w:tcPr>
          <w:p>
            <w:pPr>
              <w:pStyle w:val="TableParagraph"/>
              <w:spacing w:before="42"/>
              <w:ind w:left="1" w:right="2"/>
              <w:jc w:val="center"/>
              <w:rPr>
                <w:sz w:val="17"/>
              </w:rPr>
            </w:pPr>
            <w:r>
              <w:rPr>
                <w:spacing w:val="-2"/>
                <w:sz w:val="17"/>
              </w:rPr>
              <w:t>17.384.922,50</w:t>
            </w:r>
          </w:p>
        </w:tc>
        <w:tc>
          <w:tcPr>
            <w:tcW w:w="1366" w:type="dxa"/>
            <w:tcBorders>
              <w:top w:val="single" w:sz="4" w:space="0" w:color="002D5D"/>
              <w:bottom w:val="single" w:sz="4" w:space="0" w:color="002D5D"/>
            </w:tcBorders>
          </w:tcPr>
          <w:p>
            <w:pPr>
              <w:pStyle w:val="TableParagraph"/>
              <w:spacing w:before="42"/>
              <w:ind w:left="15"/>
              <w:jc w:val="center"/>
              <w:rPr>
                <w:sz w:val="17"/>
              </w:rPr>
            </w:pPr>
            <w:r>
              <w:rPr>
                <w:spacing w:val="-2"/>
                <w:sz w:val="17"/>
              </w:rPr>
              <w:t>19.873.171,88</w:t>
            </w:r>
          </w:p>
        </w:tc>
        <w:tc>
          <w:tcPr>
            <w:tcW w:w="1140" w:type="dxa"/>
            <w:tcBorders>
              <w:top w:val="single" w:sz="4" w:space="0" w:color="002D5D"/>
              <w:bottom w:val="single" w:sz="4" w:space="0" w:color="002D5D"/>
            </w:tcBorders>
          </w:tcPr>
          <w:p>
            <w:pPr>
              <w:pStyle w:val="TableParagraph"/>
              <w:spacing w:before="42"/>
              <w:ind w:left="24" w:right="4"/>
              <w:jc w:val="center"/>
              <w:rPr>
                <w:sz w:val="17"/>
              </w:rPr>
            </w:pPr>
            <w:r>
              <w:rPr>
                <w:spacing w:val="-2"/>
                <w:sz w:val="17"/>
              </w:rPr>
              <w:t>15.577.654,68</w:t>
            </w:r>
          </w:p>
        </w:tc>
        <w:tc>
          <w:tcPr>
            <w:tcW w:w="1629" w:type="dxa"/>
            <w:tcBorders>
              <w:top w:val="single" w:sz="4" w:space="0" w:color="002D5D"/>
              <w:bottom w:val="single" w:sz="4" w:space="0" w:color="002D5D"/>
            </w:tcBorders>
          </w:tcPr>
          <w:p>
            <w:pPr>
              <w:pStyle w:val="TableParagraph"/>
              <w:spacing w:before="42"/>
              <w:ind w:left="3" w:right="3"/>
              <w:jc w:val="center"/>
              <w:rPr>
                <w:sz w:val="17"/>
              </w:rPr>
            </w:pPr>
            <w:r>
              <w:rPr>
                <w:spacing w:val="-2"/>
                <w:sz w:val="17"/>
              </w:rPr>
              <w:t>6.053.000,00</w:t>
            </w:r>
          </w:p>
        </w:tc>
        <w:tc>
          <w:tcPr>
            <w:tcW w:w="1267" w:type="dxa"/>
            <w:tcBorders>
              <w:top w:val="single" w:sz="4" w:space="0" w:color="002D5D"/>
              <w:bottom w:val="single" w:sz="4" w:space="0" w:color="002D5D"/>
            </w:tcBorders>
          </w:tcPr>
          <w:p>
            <w:pPr>
              <w:pStyle w:val="TableParagraph"/>
              <w:spacing w:before="42"/>
              <w:ind w:left="12" w:right="9"/>
              <w:jc w:val="center"/>
              <w:rPr>
                <w:sz w:val="17"/>
              </w:rPr>
            </w:pPr>
            <w:r>
              <w:rPr>
                <w:spacing w:val="-2"/>
                <w:sz w:val="17"/>
              </w:rPr>
              <w:t>3.499.500,00</w:t>
            </w:r>
          </w:p>
        </w:tc>
        <w:tc>
          <w:tcPr>
            <w:tcW w:w="1165" w:type="dxa"/>
            <w:tcBorders>
              <w:top w:val="single" w:sz="4" w:space="0" w:color="002D5D"/>
              <w:bottom w:val="single" w:sz="4" w:space="0" w:color="002D5D"/>
            </w:tcBorders>
          </w:tcPr>
          <w:p>
            <w:pPr>
              <w:pStyle w:val="TableParagraph"/>
              <w:spacing w:before="42"/>
              <w:ind w:left="53" w:right="37"/>
              <w:jc w:val="center"/>
              <w:rPr>
                <w:sz w:val="17"/>
              </w:rPr>
            </w:pPr>
            <w:r>
              <w:rPr>
                <w:spacing w:val="-2"/>
                <w:sz w:val="17"/>
              </w:rPr>
              <w:t>10.514.916,91</w:t>
            </w:r>
          </w:p>
        </w:tc>
        <w:tc>
          <w:tcPr>
            <w:tcW w:w="1005" w:type="dxa"/>
            <w:tcBorders>
              <w:top w:val="single" w:sz="4" w:space="0" w:color="002D5D"/>
              <w:bottom w:val="single" w:sz="4" w:space="0" w:color="002D5D"/>
            </w:tcBorders>
          </w:tcPr>
          <w:p>
            <w:pPr>
              <w:pStyle w:val="TableParagraph"/>
              <w:spacing w:before="42"/>
              <w:ind w:left="20"/>
              <w:jc w:val="center"/>
              <w:rPr>
                <w:sz w:val="17"/>
              </w:rPr>
            </w:pPr>
            <w:r>
              <w:rPr>
                <w:spacing w:val="-2"/>
                <w:sz w:val="17"/>
              </w:rPr>
              <w:t>31/12/2024</w:t>
            </w:r>
          </w:p>
        </w:tc>
        <w:tc>
          <w:tcPr>
            <w:tcW w:w="1090" w:type="dxa"/>
            <w:tcBorders>
              <w:top w:val="single" w:sz="4" w:space="0" w:color="002D5D"/>
              <w:bottom w:val="single" w:sz="4" w:space="0" w:color="002D5D"/>
            </w:tcBorders>
          </w:tcPr>
          <w:p>
            <w:pPr>
              <w:pStyle w:val="TableParagraph"/>
              <w:spacing w:before="42"/>
              <w:ind w:left="32"/>
              <w:jc w:val="center"/>
              <w:rPr>
                <w:sz w:val="17"/>
              </w:rPr>
            </w:pPr>
            <w:r>
              <w:rPr>
                <w:spacing w:val="-10"/>
                <w:sz w:val="17"/>
              </w:rPr>
              <w:t>1</w:t>
            </w:r>
          </w:p>
        </w:tc>
        <w:tc>
          <w:tcPr>
            <w:tcW w:w="1224" w:type="dxa"/>
            <w:tcBorders>
              <w:top w:val="single" w:sz="4" w:space="0" w:color="002D5D"/>
              <w:bottom w:val="single" w:sz="4" w:space="0" w:color="002D5D"/>
            </w:tcBorders>
          </w:tcPr>
          <w:p>
            <w:pPr>
              <w:pStyle w:val="TableParagraph"/>
              <w:spacing w:before="42"/>
              <w:ind w:left="39"/>
              <w:jc w:val="center"/>
              <w:rPr>
                <w:sz w:val="17"/>
              </w:rPr>
            </w:pPr>
            <w:r>
              <w:rPr>
                <w:spacing w:val="-5"/>
                <w:sz w:val="17"/>
              </w:rPr>
              <w:t>SI</w:t>
            </w:r>
          </w:p>
        </w:tc>
      </w:tr>
      <w:tr>
        <w:trPr>
          <w:trHeight w:val="285" w:hRule="atLeast"/>
        </w:trPr>
        <w:tc>
          <w:tcPr>
            <w:tcW w:w="1370" w:type="dxa"/>
          </w:tcPr>
          <w:p>
            <w:pPr>
              <w:pStyle w:val="TableParagraph"/>
              <w:spacing w:before="44"/>
              <w:ind w:left="71"/>
              <w:rPr>
                <w:b/>
                <w:sz w:val="17"/>
              </w:rPr>
            </w:pPr>
            <w:r>
              <w:rPr>
                <w:b/>
                <w:spacing w:val="-2"/>
                <w:sz w:val="17"/>
              </w:rPr>
              <w:t>PALMA</w:t>
            </w:r>
          </w:p>
        </w:tc>
        <w:tc>
          <w:tcPr>
            <w:tcW w:w="1813" w:type="dxa"/>
            <w:tcBorders>
              <w:top w:val="single" w:sz="4" w:space="0" w:color="002D5D"/>
              <w:bottom w:val="single" w:sz="4" w:space="0" w:color="002D5D"/>
            </w:tcBorders>
          </w:tcPr>
          <w:p>
            <w:pPr>
              <w:pStyle w:val="TableParagraph"/>
              <w:spacing w:before="44"/>
              <w:ind w:left="72"/>
              <w:rPr>
                <w:sz w:val="17"/>
              </w:rPr>
            </w:pPr>
            <w:r>
              <w:rPr>
                <w:sz w:val="17"/>
              </w:rPr>
              <w:t>Solicitud</w:t>
            </w:r>
            <w:r>
              <w:rPr>
                <w:spacing w:val="-6"/>
                <w:sz w:val="17"/>
              </w:rPr>
              <w:t> </w:t>
            </w:r>
            <w:r>
              <w:rPr>
                <w:spacing w:val="-10"/>
                <w:sz w:val="17"/>
              </w:rPr>
              <w:t>2</w:t>
            </w:r>
          </w:p>
        </w:tc>
        <w:tc>
          <w:tcPr>
            <w:tcW w:w="1353" w:type="dxa"/>
            <w:tcBorders>
              <w:top w:val="single" w:sz="4" w:space="0" w:color="002D5D"/>
              <w:bottom w:val="single" w:sz="4" w:space="0" w:color="002D5D"/>
            </w:tcBorders>
          </w:tcPr>
          <w:p>
            <w:pPr>
              <w:pStyle w:val="TableParagraph"/>
              <w:spacing w:before="44"/>
              <w:ind w:left="6" w:right="13"/>
              <w:jc w:val="center"/>
              <w:rPr>
                <w:sz w:val="17"/>
              </w:rPr>
            </w:pPr>
            <w:r>
              <w:rPr>
                <w:spacing w:val="-2"/>
                <w:sz w:val="17"/>
              </w:rPr>
              <w:t>6.638.000,00</w:t>
            </w:r>
          </w:p>
        </w:tc>
        <w:tc>
          <w:tcPr>
            <w:tcW w:w="1171" w:type="dxa"/>
            <w:tcBorders>
              <w:top w:val="single" w:sz="4" w:space="0" w:color="002D5D"/>
              <w:bottom w:val="single" w:sz="4" w:space="0" w:color="002D5D"/>
            </w:tcBorders>
          </w:tcPr>
          <w:p>
            <w:pPr>
              <w:pStyle w:val="TableParagraph"/>
              <w:spacing w:before="44"/>
              <w:ind w:left="1" w:right="1"/>
              <w:jc w:val="center"/>
              <w:rPr>
                <w:sz w:val="17"/>
              </w:rPr>
            </w:pPr>
            <w:r>
              <w:rPr>
                <w:spacing w:val="-2"/>
                <w:sz w:val="17"/>
              </w:rPr>
              <w:t>4.026.000,00</w:t>
            </w:r>
          </w:p>
        </w:tc>
        <w:tc>
          <w:tcPr>
            <w:tcW w:w="1366" w:type="dxa"/>
            <w:tcBorders>
              <w:top w:val="single" w:sz="4" w:space="0" w:color="002D5D"/>
              <w:bottom w:val="single" w:sz="4" w:space="0" w:color="002D5D"/>
            </w:tcBorders>
          </w:tcPr>
          <w:p>
            <w:pPr>
              <w:pStyle w:val="TableParagraph"/>
              <w:spacing w:before="44"/>
              <w:ind w:left="15" w:right="2"/>
              <w:jc w:val="center"/>
              <w:rPr>
                <w:sz w:val="17"/>
              </w:rPr>
            </w:pPr>
            <w:r>
              <w:rPr>
                <w:spacing w:val="-2"/>
                <w:sz w:val="17"/>
              </w:rPr>
              <w:t>6.638.000,00</w:t>
            </w:r>
          </w:p>
        </w:tc>
        <w:tc>
          <w:tcPr>
            <w:tcW w:w="1140" w:type="dxa"/>
            <w:tcBorders>
              <w:top w:val="single" w:sz="4" w:space="0" w:color="002D5D"/>
              <w:bottom w:val="single" w:sz="4" w:space="0" w:color="002D5D"/>
            </w:tcBorders>
          </w:tcPr>
          <w:p>
            <w:pPr>
              <w:pStyle w:val="TableParagraph"/>
              <w:spacing w:before="44"/>
              <w:ind w:left="24" w:right="2"/>
              <w:jc w:val="center"/>
              <w:rPr>
                <w:sz w:val="17"/>
              </w:rPr>
            </w:pPr>
            <w:r>
              <w:rPr>
                <w:spacing w:val="-2"/>
                <w:sz w:val="17"/>
              </w:rPr>
              <w:t>4.026.000,00</w:t>
            </w:r>
          </w:p>
        </w:tc>
        <w:tc>
          <w:tcPr>
            <w:tcW w:w="1629" w:type="dxa"/>
            <w:tcBorders>
              <w:top w:val="single" w:sz="4" w:space="0" w:color="002D5D"/>
              <w:bottom w:val="single" w:sz="4" w:space="0" w:color="002D5D"/>
            </w:tcBorders>
          </w:tcPr>
          <w:p>
            <w:pPr>
              <w:pStyle w:val="TableParagraph"/>
              <w:spacing w:before="44"/>
              <w:ind w:left="3" w:right="3"/>
              <w:jc w:val="center"/>
              <w:rPr>
                <w:sz w:val="17"/>
              </w:rPr>
            </w:pPr>
            <w:r>
              <w:rPr>
                <w:spacing w:val="-2"/>
                <w:sz w:val="17"/>
              </w:rPr>
              <w:t>6.638.000,00</w:t>
            </w:r>
          </w:p>
        </w:tc>
        <w:tc>
          <w:tcPr>
            <w:tcW w:w="1267" w:type="dxa"/>
            <w:tcBorders>
              <w:top w:val="single" w:sz="4" w:space="0" w:color="002D5D"/>
              <w:bottom w:val="single" w:sz="4" w:space="0" w:color="002D5D"/>
            </w:tcBorders>
          </w:tcPr>
          <w:p>
            <w:pPr>
              <w:pStyle w:val="TableParagraph"/>
              <w:spacing w:before="44"/>
              <w:ind w:left="12" w:right="9"/>
              <w:jc w:val="center"/>
              <w:rPr>
                <w:sz w:val="17"/>
              </w:rPr>
            </w:pPr>
            <w:r>
              <w:rPr>
                <w:spacing w:val="-2"/>
                <w:sz w:val="17"/>
              </w:rPr>
              <w:t>4.026.000,00</w:t>
            </w:r>
          </w:p>
        </w:tc>
        <w:tc>
          <w:tcPr>
            <w:tcW w:w="1165" w:type="dxa"/>
            <w:tcBorders>
              <w:top w:val="single" w:sz="4" w:space="0" w:color="002D5D"/>
              <w:bottom w:val="single" w:sz="4" w:space="0" w:color="002D5D"/>
            </w:tcBorders>
          </w:tcPr>
          <w:p>
            <w:pPr>
              <w:pStyle w:val="TableParagraph"/>
              <w:spacing w:before="44"/>
              <w:ind w:left="56" w:right="37"/>
              <w:jc w:val="center"/>
              <w:rPr>
                <w:sz w:val="17"/>
              </w:rPr>
            </w:pPr>
            <w:r>
              <w:rPr>
                <w:spacing w:val="-2"/>
                <w:sz w:val="17"/>
              </w:rPr>
              <w:t>2.717.550,00</w:t>
            </w:r>
          </w:p>
        </w:tc>
        <w:tc>
          <w:tcPr>
            <w:tcW w:w="1005" w:type="dxa"/>
            <w:tcBorders>
              <w:top w:val="single" w:sz="4" w:space="0" w:color="002D5D"/>
              <w:bottom w:val="single" w:sz="4" w:space="0" w:color="002D5D"/>
            </w:tcBorders>
          </w:tcPr>
          <w:p>
            <w:pPr>
              <w:pStyle w:val="TableParagraph"/>
              <w:spacing w:before="44"/>
              <w:ind w:left="20"/>
              <w:jc w:val="center"/>
              <w:rPr>
                <w:sz w:val="17"/>
              </w:rPr>
            </w:pPr>
            <w:r>
              <w:rPr>
                <w:spacing w:val="-2"/>
                <w:sz w:val="17"/>
              </w:rPr>
              <w:t>31/12/2025</w:t>
            </w:r>
          </w:p>
        </w:tc>
        <w:tc>
          <w:tcPr>
            <w:tcW w:w="1090" w:type="dxa"/>
            <w:tcBorders>
              <w:top w:val="single" w:sz="4" w:space="0" w:color="002D5D"/>
              <w:bottom w:val="single" w:sz="4" w:space="0" w:color="002D5D"/>
            </w:tcBorders>
          </w:tcPr>
          <w:p>
            <w:pPr>
              <w:pStyle w:val="TableParagraph"/>
              <w:spacing w:before="44"/>
              <w:ind w:left="32"/>
              <w:jc w:val="center"/>
              <w:rPr>
                <w:sz w:val="17"/>
              </w:rPr>
            </w:pPr>
            <w:r>
              <w:rPr>
                <w:spacing w:val="-10"/>
                <w:sz w:val="17"/>
              </w:rPr>
              <w:t>1</w:t>
            </w:r>
          </w:p>
        </w:tc>
        <w:tc>
          <w:tcPr>
            <w:tcW w:w="1224" w:type="dxa"/>
            <w:tcBorders>
              <w:top w:val="single" w:sz="4" w:space="0" w:color="002D5D"/>
              <w:bottom w:val="single" w:sz="4" w:space="0" w:color="002D5D"/>
            </w:tcBorders>
          </w:tcPr>
          <w:p>
            <w:pPr>
              <w:pStyle w:val="TableParagraph"/>
              <w:spacing w:before="44"/>
              <w:ind w:left="38"/>
              <w:jc w:val="center"/>
              <w:rPr>
                <w:sz w:val="17"/>
              </w:rPr>
            </w:pPr>
            <w:r>
              <w:rPr>
                <w:spacing w:val="-5"/>
                <w:sz w:val="17"/>
              </w:rPr>
              <w:t>NO</w:t>
            </w:r>
          </w:p>
        </w:tc>
      </w:tr>
      <w:tr>
        <w:trPr>
          <w:trHeight w:val="282" w:hRule="atLeast"/>
        </w:trPr>
        <w:tc>
          <w:tcPr>
            <w:tcW w:w="1370" w:type="dxa"/>
            <w:tcBorders>
              <w:bottom w:val="single" w:sz="4" w:space="0" w:color="002D5D"/>
            </w:tcBorders>
          </w:tcPr>
          <w:p>
            <w:pPr>
              <w:pStyle w:val="TableParagraph"/>
              <w:rPr>
                <w:rFonts w:ascii="Times New Roman"/>
                <w:sz w:val="16"/>
              </w:rPr>
            </w:pPr>
          </w:p>
        </w:tc>
        <w:tc>
          <w:tcPr>
            <w:tcW w:w="1813" w:type="dxa"/>
            <w:tcBorders>
              <w:top w:val="single" w:sz="4" w:space="0" w:color="002D5D"/>
              <w:bottom w:val="single" w:sz="4" w:space="0" w:color="002D5D"/>
            </w:tcBorders>
          </w:tcPr>
          <w:p>
            <w:pPr>
              <w:pStyle w:val="TableParagraph"/>
              <w:spacing w:before="42"/>
              <w:ind w:left="72"/>
              <w:rPr>
                <w:sz w:val="17"/>
              </w:rPr>
            </w:pPr>
            <w:r>
              <w:rPr>
                <w:spacing w:val="-2"/>
                <w:sz w:val="17"/>
              </w:rPr>
              <w:t>INNOBUS_TUR</w:t>
            </w:r>
          </w:p>
        </w:tc>
        <w:tc>
          <w:tcPr>
            <w:tcW w:w="1353" w:type="dxa"/>
            <w:tcBorders>
              <w:top w:val="single" w:sz="4" w:space="0" w:color="002D5D"/>
              <w:bottom w:val="single" w:sz="4" w:space="0" w:color="002D5D"/>
            </w:tcBorders>
          </w:tcPr>
          <w:p>
            <w:pPr>
              <w:pStyle w:val="TableParagraph"/>
              <w:spacing w:before="42"/>
              <w:ind w:left="6" w:right="13"/>
              <w:jc w:val="center"/>
              <w:rPr>
                <w:sz w:val="17"/>
              </w:rPr>
            </w:pPr>
            <w:r>
              <w:rPr>
                <w:spacing w:val="-2"/>
                <w:sz w:val="17"/>
              </w:rPr>
              <w:t>8.715.000,00</w:t>
            </w:r>
          </w:p>
        </w:tc>
        <w:tc>
          <w:tcPr>
            <w:tcW w:w="1171" w:type="dxa"/>
            <w:tcBorders>
              <w:top w:val="single" w:sz="4" w:space="0" w:color="002D5D"/>
              <w:bottom w:val="single" w:sz="4" w:space="0" w:color="002D5D"/>
            </w:tcBorders>
          </w:tcPr>
          <w:p>
            <w:pPr>
              <w:pStyle w:val="TableParagraph"/>
              <w:spacing w:before="42"/>
              <w:ind w:left="1" w:right="1"/>
              <w:jc w:val="center"/>
              <w:rPr>
                <w:sz w:val="17"/>
              </w:rPr>
            </w:pPr>
            <w:r>
              <w:rPr>
                <w:spacing w:val="-2"/>
                <w:sz w:val="17"/>
              </w:rPr>
              <w:t>7.843.500,00</w:t>
            </w:r>
          </w:p>
        </w:tc>
        <w:tc>
          <w:tcPr>
            <w:tcW w:w="1366" w:type="dxa"/>
            <w:tcBorders>
              <w:top w:val="single" w:sz="4" w:space="0" w:color="002D5D"/>
              <w:bottom w:val="single" w:sz="4" w:space="0" w:color="002D5D"/>
            </w:tcBorders>
          </w:tcPr>
          <w:p>
            <w:pPr>
              <w:pStyle w:val="TableParagraph"/>
              <w:spacing w:before="42"/>
              <w:ind w:left="15" w:right="2"/>
              <w:jc w:val="center"/>
              <w:rPr>
                <w:sz w:val="17"/>
              </w:rPr>
            </w:pPr>
            <w:r>
              <w:rPr>
                <w:spacing w:val="-2"/>
                <w:sz w:val="17"/>
              </w:rPr>
              <w:t>8.715.000,00</w:t>
            </w:r>
          </w:p>
        </w:tc>
        <w:tc>
          <w:tcPr>
            <w:tcW w:w="1140" w:type="dxa"/>
            <w:tcBorders>
              <w:top w:val="single" w:sz="4" w:space="0" w:color="002D5D"/>
              <w:bottom w:val="single" w:sz="4" w:space="0" w:color="002D5D"/>
            </w:tcBorders>
          </w:tcPr>
          <w:p>
            <w:pPr>
              <w:pStyle w:val="TableParagraph"/>
              <w:spacing w:before="42"/>
              <w:ind w:left="24" w:right="2"/>
              <w:jc w:val="center"/>
              <w:rPr>
                <w:sz w:val="17"/>
              </w:rPr>
            </w:pPr>
            <w:r>
              <w:rPr>
                <w:spacing w:val="-2"/>
                <w:sz w:val="17"/>
              </w:rPr>
              <w:t>7.843.500,00</w:t>
            </w:r>
          </w:p>
        </w:tc>
        <w:tc>
          <w:tcPr>
            <w:tcW w:w="1629" w:type="dxa"/>
            <w:tcBorders>
              <w:top w:val="single" w:sz="4" w:space="0" w:color="002D5D"/>
              <w:bottom w:val="single" w:sz="4" w:space="0" w:color="002D5D"/>
            </w:tcBorders>
          </w:tcPr>
          <w:p>
            <w:pPr>
              <w:pStyle w:val="TableParagraph"/>
              <w:spacing w:before="42"/>
              <w:ind w:left="3" w:right="3"/>
              <w:jc w:val="center"/>
              <w:rPr>
                <w:sz w:val="17"/>
              </w:rPr>
            </w:pPr>
            <w:r>
              <w:rPr>
                <w:spacing w:val="-2"/>
                <w:sz w:val="17"/>
              </w:rPr>
              <w:t>8.655.000,00</w:t>
            </w:r>
          </w:p>
        </w:tc>
        <w:tc>
          <w:tcPr>
            <w:tcW w:w="1267" w:type="dxa"/>
            <w:tcBorders>
              <w:top w:val="single" w:sz="4" w:space="0" w:color="002D5D"/>
              <w:bottom w:val="single" w:sz="4" w:space="0" w:color="002D5D"/>
            </w:tcBorders>
          </w:tcPr>
          <w:p>
            <w:pPr>
              <w:pStyle w:val="TableParagraph"/>
              <w:spacing w:before="42"/>
              <w:ind w:left="12" w:right="9"/>
              <w:jc w:val="center"/>
              <w:rPr>
                <w:sz w:val="17"/>
              </w:rPr>
            </w:pPr>
            <w:r>
              <w:rPr>
                <w:spacing w:val="-2"/>
                <w:sz w:val="17"/>
              </w:rPr>
              <w:t>7.789.500,00</w:t>
            </w:r>
          </w:p>
        </w:tc>
        <w:tc>
          <w:tcPr>
            <w:tcW w:w="1165" w:type="dxa"/>
            <w:tcBorders>
              <w:top w:val="single" w:sz="4" w:space="0" w:color="002D5D"/>
              <w:bottom w:val="single" w:sz="4" w:space="0" w:color="002D5D"/>
            </w:tcBorders>
          </w:tcPr>
          <w:p>
            <w:pPr>
              <w:pStyle w:val="TableParagraph"/>
              <w:spacing w:before="42"/>
              <w:ind w:left="56" w:right="37"/>
              <w:jc w:val="center"/>
              <w:rPr>
                <w:sz w:val="17"/>
              </w:rPr>
            </w:pPr>
            <w:r>
              <w:rPr>
                <w:spacing w:val="-2"/>
                <w:sz w:val="17"/>
              </w:rPr>
              <w:t>5.294.362,50</w:t>
            </w:r>
          </w:p>
        </w:tc>
        <w:tc>
          <w:tcPr>
            <w:tcW w:w="1005" w:type="dxa"/>
            <w:tcBorders>
              <w:top w:val="single" w:sz="4" w:space="0" w:color="002D5D"/>
              <w:bottom w:val="single" w:sz="4" w:space="0" w:color="002D5D"/>
            </w:tcBorders>
          </w:tcPr>
          <w:p>
            <w:pPr>
              <w:pStyle w:val="TableParagraph"/>
              <w:spacing w:before="42"/>
              <w:ind w:left="20"/>
              <w:jc w:val="center"/>
              <w:rPr>
                <w:sz w:val="17"/>
              </w:rPr>
            </w:pPr>
            <w:r>
              <w:rPr>
                <w:spacing w:val="-2"/>
                <w:sz w:val="17"/>
              </w:rPr>
              <w:t>31/12/2024</w:t>
            </w:r>
          </w:p>
        </w:tc>
        <w:tc>
          <w:tcPr>
            <w:tcW w:w="1090" w:type="dxa"/>
            <w:tcBorders>
              <w:top w:val="single" w:sz="4" w:space="0" w:color="002D5D"/>
              <w:bottom w:val="single" w:sz="4" w:space="0" w:color="002D5D"/>
            </w:tcBorders>
          </w:tcPr>
          <w:p>
            <w:pPr>
              <w:pStyle w:val="TableParagraph"/>
              <w:spacing w:before="42"/>
              <w:ind w:left="32"/>
              <w:jc w:val="center"/>
              <w:rPr>
                <w:sz w:val="17"/>
              </w:rPr>
            </w:pPr>
            <w:r>
              <w:rPr>
                <w:spacing w:val="-10"/>
                <w:sz w:val="17"/>
              </w:rPr>
              <w:t>2</w:t>
            </w:r>
          </w:p>
        </w:tc>
        <w:tc>
          <w:tcPr>
            <w:tcW w:w="1224" w:type="dxa"/>
            <w:tcBorders>
              <w:top w:val="single" w:sz="4" w:space="0" w:color="002D5D"/>
              <w:bottom w:val="single" w:sz="4" w:space="0" w:color="002D5D"/>
            </w:tcBorders>
          </w:tcPr>
          <w:p>
            <w:pPr>
              <w:pStyle w:val="TableParagraph"/>
              <w:spacing w:before="42"/>
              <w:ind w:left="39"/>
              <w:jc w:val="center"/>
              <w:rPr>
                <w:sz w:val="17"/>
              </w:rPr>
            </w:pPr>
            <w:r>
              <w:rPr>
                <w:spacing w:val="-5"/>
                <w:sz w:val="17"/>
              </w:rPr>
              <w:t>SÍ</w:t>
            </w:r>
          </w:p>
        </w:tc>
      </w:tr>
      <w:tr>
        <w:trPr>
          <w:trHeight w:val="585" w:hRule="atLeast"/>
        </w:trPr>
        <w:tc>
          <w:tcPr>
            <w:tcW w:w="1370" w:type="dxa"/>
            <w:tcBorders>
              <w:top w:val="single" w:sz="4" w:space="0" w:color="002D5D"/>
              <w:bottom w:val="single" w:sz="4" w:space="0" w:color="002D5D"/>
            </w:tcBorders>
            <w:shd w:val="clear" w:color="auto" w:fill="F1F1F1"/>
          </w:tcPr>
          <w:p>
            <w:pPr>
              <w:pStyle w:val="TableParagraph"/>
              <w:spacing w:before="193"/>
              <w:ind w:left="71"/>
              <w:rPr>
                <w:b/>
                <w:sz w:val="17"/>
              </w:rPr>
            </w:pPr>
            <w:r>
              <w:rPr>
                <w:b/>
                <w:spacing w:val="-2"/>
                <w:sz w:val="17"/>
              </w:rPr>
              <w:t>SEVILLA</w:t>
            </w:r>
          </w:p>
        </w:tc>
        <w:tc>
          <w:tcPr>
            <w:tcW w:w="1813" w:type="dxa"/>
            <w:tcBorders>
              <w:top w:val="single" w:sz="4" w:space="0" w:color="002D5D"/>
              <w:bottom w:val="single" w:sz="4" w:space="0" w:color="002D5D"/>
            </w:tcBorders>
            <w:shd w:val="clear" w:color="auto" w:fill="F1F1F1"/>
          </w:tcPr>
          <w:p>
            <w:pPr>
              <w:pStyle w:val="TableParagraph"/>
              <w:ind w:left="72"/>
              <w:rPr>
                <w:sz w:val="17"/>
              </w:rPr>
            </w:pPr>
            <w:r>
              <w:rPr>
                <w:sz w:val="17"/>
              </w:rPr>
              <w:t>Actuaciones</w:t>
            </w:r>
            <w:r>
              <w:rPr>
                <w:spacing w:val="-10"/>
                <w:sz w:val="17"/>
              </w:rPr>
              <w:t> </w:t>
            </w:r>
            <w:r>
              <w:rPr>
                <w:sz w:val="17"/>
              </w:rPr>
              <w:t>de</w:t>
            </w:r>
            <w:r>
              <w:rPr>
                <w:spacing w:val="-10"/>
                <w:sz w:val="17"/>
              </w:rPr>
              <w:t> </w:t>
            </w:r>
            <w:r>
              <w:rPr>
                <w:sz w:val="17"/>
              </w:rPr>
              <w:t>movilidad</w:t>
            </w:r>
            <w:r>
              <w:rPr>
                <w:spacing w:val="40"/>
                <w:sz w:val="17"/>
              </w:rPr>
              <w:t> </w:t>
            </w:r>
            <w:r>
              <w:rPr>
                <w:sz w:val="17"/>
              </w:rPr>
              <w:t>dirigidas a facilitar el</w:t>
            </w:r>
          </w:p>
          <w:p>
            <w:pPr>
              <w:pStyle w:val="TableParagraph"/>
              <w:spacing w:line="175" w:lineRule="exact"/>
              <w:ind w:left="72"/>
              <w:rPr>
                <w:sz w:val="17"/>
              </w:rPr>
            </w:pPr>
            <w:r>
              <w:rPr>
                <w:sz w:val="17"/>
              </w:rPr>
              <w:t>acceso</w:t>
            </w:r>
            <w:r>
              <w:rPr>
                <w:spacing w:val="-3"/>
                <w:sz w:val="17"/>
              </w:rPr>
              <w:t> </w:t>
            </w:r>
            <w:r>
              <w:rPr>
                <w:sz w:val="17"/>
              </w:rPr>
              <w:t>a</w:t>
            </w:r>
            <w:r>
              <w:rPr>
                <w:spacing w:val="-3"/>
                <w:sz w:val="17"/>
              </w:rPr>
              <w:t> </w:t>
            </w:r>
            <w:r>
              <w:rPr>
                <w:sz w:val="17"/>
              </w:rPr>
              <w:t>Santa</w:t>
            </w:r>
            <w:r>
              <w:rPr>
                <w:spacing w:val="-2"/>
                <w:sz w:val="17"/>
              </w:rPr>
              <w:t> Justa</w:t>
            </w:r>
          </w:p>
        </w:tc>
        <w:tc>
          <w:tcPr>
            <w:tcW w:w="1353" w:type="dxa"/>
            <w:tcBorders>
              <w:top w:val="single" w:sz="4" w:space="0" w:color="002D5D"/>
              <w:bottom w:val="single" w:sz="4" w:space="0" w:color="002D5D"/>
            </w:tcBorders>
            <w:shd w:val="clear" w:color="auto" w:fill="F1F1F1"/>
          </w:tcPr>
          <w:p>
            <w:pPr>
              <w:pStyle w:val="TableParagraph"/>
              <w:spacing w:before="193"/>
              <w:ind w:left="3" w:right="13"/>
              <w:jc w:val="center"/>
              <w:rPr>
                <w:sz w:val="17"/>
              </w:rPr>
            </w:pPr>
            <w:r>
              <w:rPr>
                <w:spacing w:val="-2"/>
                <w:sz w:val="17"/>
              </w:rPr>
              <w:t>31.127.575,00</w:t>
            </w:r>
          </w:p>
        </w:tc>
        <w:tc>
          <w:tcPr>
            <w:tcW w:w="1171" w:type="dxa"/>
            <w:tcBorders>
              <w:top w:val="single" w:sz="4" w:space="0" w:color="002D5D"/>
              <w:bottom w:val="single" w:sz="4" w:space="0" w:color="002D5D"/>
            </w:tcBorders>
            <w:shd w:val="clear" w:color="auto" w:fill="F1F1F1"/>
          </w:tcPr>
          <w:p>
            <w:pPr>
              <w:pStyle w:val="TableParagraph"/>
              <w:spacing w:before="193"/>
              <w:ind w:left="1" w:right="2"/>
              <w:jc w:val="center"/>
              <w:rPr>
                <w:sz w:val="17"/>
              </w:rPr>
            </w:pPr>
            <w:r>
              <w:rPr>
                <w:spacing w:val="-2"/>
                <w:sz w:val="17"/>
              </w:rPr>
              <w:t>23.819.699,50</w:t>
            </w:r>
          </w:p>
        </w:tc>
        <w:tc>
          <w:tcPr>
            <w:tcW w:w="1366" w:type="dxa"/>
            <w:tcBorders>
              <w:top w:val="single" w:sz="4" w:space="0" w:color="002D5D"/>
              <w:bottom w:val="single" w:sz="4" w:space="0" w:color="002D5D"/>
            </w:tcBorders>
            <w:shd w:val="clear" w:color="auto" w:fill="F1F1F1"/>
          </w:tcPr>
          <w:p>
            <w:pPr>
              <w:pStyle w:val="TableParagraph"/>
              <w:spacing w:before="193"/>
              <w:ind w:left="15"/>
              <w:jc w:val="center"/>
              <w:rPr>
                <w:sz w:val="17"/>
              </w:rPr>
            </w:pPr>
            <w:r>
              <w:rPr>
                <w:spacing w:val="-2"/>
                <w:sz w:val="17"/>
              </w:rPr>
              <w:t>31.127.575,50</w:t>
            </w:r>
          </w:p>
        </w:tc>
        <w:tc>
          <w:tcPr>
            <w:tcW w:w="1140" w:type="dxa"/>
            <w:tcBorders>
              <w:top w:val="single" w:sz="4" w:space="0" w:color="002D5D"/>
              <w:bottom w:val="single" w:sz="4" w:space="0" w:color="002D5D"/>
            </w:tcBorders>
            <w:shd w:val="clear" w:color="auto" w:fill="F1F1F1"/>
          </w:tcPr>
          <w:p>
            <w:pPr>
              <w:pStyle w:val="TableParagraph"/>
              <w:spacing w:before="193"/>
              <w:ind w:left="24" w:right="4"/>
              <w:jc w:val="center"/>
              <w:rPr>
                <w:sz w:val="17"/>
              </w:rPr>
            </w:pPr>
            <w:r>
              <w:rPr>
                <w:spacing w:val="-2"/>
                <w:sz w:val="17"/>
              </w:rPr>
              <w:t>23.819.699,50</w:t>
            </w:r>
          </w:p>
        </w:tc>
        <w:tc>
          <w:tcPr>
            <w:tcW w:w="1629" w:type="dxa"/>
            <w:tcBorders>
              <w:top w:val="single" w:sz="4" w:space="0" w:color="002D5D"/>
              <w:bottom w:val="single" w:sz="4" w:space="0" w:color="002D5D"/>
            </w:tcBorders>
            <w:shd w:val="clear" w:color="auto" w:fill="F1F1F1"/>
          </w:tcPr>
          <w:p>
            <w:pPr>
              <w:pStyle w:val="TableParagraph"/>
              <w:spacing w:before="193"/>
              <w:ind w:left="3" w:right="3"/>
              <w:jc w:val="center"/>
              <w:rPr>
                <w:sz w:val="17"/>
              </w:rPr>
            </w:pPr>
            <w:r>
              <w:rPr>
                <w:spacing w:val="-2"/>
                <w:sz w:val="17"/>
              </w:rPr>
              <w:t>31.127.575,50</w:t>
            </w:r>
          </w:p>
        </w:tc>
        <w:tc>
          <w:tcPr>
            <w:tcW w:w="1267" w:type="dxa"/>
            <w:tcBorders>
              <w:top w:val="single" w:sz="4" w:space="0" w:color="002D5D"/>
              <w:bottom w:val="single" w:sz="4" w:space="0" w:color="002D5D"/>
            </w:tcBorders>
            <w:shd w:val="clear" w:color="auto" w:fill="F1F1F1"/>
          </w:tcPr>
          <w:p>
            <w:pPr>
              <w:pStyle w:val="TableParagraph"/>
              <w:spacing w:before="193"/>
              <w:ind w:left="12" w:right="7"/>
              <w:jc w:val="center"/>
              <w:rPr>
                <w:sz w:val="17"/>
              </w:rPr>
            </w:pPr>
            <w:r>
              <w:rPr>
                <w:spacing w:val="-2"/>
                <w:sz w:val="17"/>
              </w:rPr>
              <w:t>23.819.699,50</w:t>
            </w:r>
          </w:p>
        </w:tc>
        <w:tc>
          <w:tcPr>
            <w:tcW w:w="1165" w:type="dxa"/>
            <w:tcBorders>
              <w:top w:val="single" w:sz="4" w:space="0" w:color="002D5D"/>
              <w:bottom w:val="single" w:sz="4" w:space="0" w:color="002D5D"/>
            </w:tcBorders>
            <w:shd w:val="clear" w:color="auto" w:fill="F1F1F1"/>
          </w:tcPr>
          <w:p>
            <w:pPr>
              <w:pStyle w:val="TableParagraph"/>
              <w:spacing w:before="193"/>
              <w:ind w:left="53" w:right="37"/>
              <w:jc w:val="center"/>
              <w:rPr>
                <w:sz w:val="17"/>
              </w:rPr>
            </w:pPr>
            <w:r>
              <w:rPr>
                <w:spacing w:val="-2"/>
                <w:sz w:val="17"/>
              </w:rPr>
              <w:t>23.819.699,50</w:t>
            </w:r>
          </w:p>
        </w:tc>
        <w:tc>
          <w:tcPr>
            <w:tcW w:w="1005" w:type="dxa"/>
            <w:tcBorders>
              <w:top w:val="single" w:sz="4" w:space="0" w:color="002D5D"/>
              <w:bottom w:val="single" w:sz="4" w:space="0" w:color="002D5D"/>
            </w:tcBorders>
            <w:shd w:val="clear" w:color="auto" w:fill="F1F1F1"/>
          </w:tcPr>
          <w:p>
            <w:pPr>
              <w:pStyle w:val="TableParagraph"/>
              <w:spacing w:before="193"/>
              <w:ind w:left="20"/>
              <w:jc w:val="center"/>
              <w:rPr>
                <w:sz w:val="17"/>
              </w:rPr>
            </w:pPr>
            <w:r>
              <w:rPr>
                <w:spacing w:val="-2"/>
                <w:sz w:val="17"/>
              </w:rPr>
              <w:t>31/12/2024</w:t>
            </w:r>
          </w:p>
        </w:tc>
        <w:tc>
          <w:tcPr>
            <w:tcW w:w="1090" w:type="dxa"/>
            <w:tcBorders>
              <w:top w:val="single" w:sz="4" w:space="0" w:color="002D5D"/>
              <w:bottom w:val="single" w:sz="4" w:space="0" w:color="002D5D"/>
            </w:tcBorders>
            <w:shd w:val="clear" w:color="auto" w:fill="F1F1F1"/>
          </w:tcPr>
          <w:p>
            <w:pPr>
              <w:pStyle w:val="TableParagraph"/>
              <w:spacing w:before="193"/>
              <w:ind w:left="32"/>
              <w:jc w:val="center"/>
              <w:rPr>
                <w:sz w:val="17"/>
              </w:rPr>
            </w:pPr>
            <w:r>
              <w:rPr>
                <w:spacing w:val="-10"/>
                <w:sz w:val="17"/>
              </w:rPr>
              <w:t>2</w:t>
            </w:r>
          </w:p>
        </w:tc>
        <w:tc>
          <w:tcPr>
            <w:tcW w:w="1224" w:type="dxa"/>
            <w:tcBorders>
              <w:top w:val="single" w:sz="4" w:space="0" w:color="002D5D"/>
              <w:bottom w:val="single" w:sz="4" w:space="0" w:color="002D5D"/>
            </w:tcBorders>
            <w:shd w:val="clear" w:color="auto" w:fill="F1F1F1"/>
          </w:tcPr>
          <w:p>
            <w:pPr>
              <w:pStyle w:val="TableParagraph"/>
              <w:spacing w:before="193"/>
              <w:ind w:left="38"/>
              <w:jc w:val="center"/>
              <w:rPr>
                <w:sz w:val="17"/>
              </w:rPr>
            </w:pPr>
            <w:r>
              <w:rPr>
                <w:spacing w:val="-5"/>
                <w:sz w:val="17"/>
              </w:rPr>
              <w:t>SI</w:t>
            </w:r>
          </w:p>
        </w:tc>
      </w:tr>
      <w:tr>
        <w:trPr>
          <w:trHeight w:val="280" w:hRule="atLeast"/>
        </w:trPr>
        <w:tc>
          <w:tcPr>
            <w:tcW w:w="1370" w:type="dxa"/>
            <w:tcBorders>
              <w:top w:val="single" w:sz="4" w:space="0" w:color="002D5D"/>
              <w:bottom w:val="single" w:sz="4" w:space="0" w:color="002D5D"/>
            </w:tcBorders>
          </w:tcPr>
          <w:p>
            <w:pPr>
              <w:pStyle w:val="TableParagraph"/>
              <w:spacing w:before="44"/>
              <w:ind w:left="71"/>
              <w:rPr>
                <w:b/>
                <w:sz w:val="17"/>
              </w:rPr>
            </w:pPr>
            <w:r>
              <w:rPr>
                <w:b/>
                <w:spacing w:val="-2"/>
                <w:sz w:val="17"/>
              </w:rPr>
              <w:t>ZARAGOZA</w:t>
            </w:r>
          </w:p>
        </w:tc>
        <w:tc>
          <w:tcPr>
            <w:tcW w:w="1813" w:type="dxa"/>
            <w:tcBorders>
              <w:top w:val="single" w:sz="4" w:space="0" w:color="002D5D"/>
              <w:bottom w:val="single" w:sz="4" w:space="0" w:color="002D5D"/>
            </w:tcBorders>
          </w:tcPr>
          <w:p>
            <w:pPr>
              <w:pStyle w:val="TableParagraph"/>
              <w:spacing w:before="44"/>
              <w:ind w:left="72"/>
              <w:rPr>
                <w:sz w:val="17"/>
              </w:rPr>
            </w:pPr>
            <w:r>
              <w:rPr>
                <w:sz w:val="17"/>
              </w:rPr>
              <w:t>Zaragoza</w:t>
            </w:r>
            <w:r>
              <w:rPr>
                <w:spacing w:val="-3"/>
                <w:sz w:val="17"/>
              </w:rPr>
              <w:t> </w:t>
            </w:r>
            <w:r>
              <w:rPr>
                <w:sz w:val="17"/>
              </w:rPr>
              <w:t>Cero</w:t>
            </w:r>
            <w:r>
              <w:rPr>
                <w:spacing w:val="-3"/>
                <w:sz w:val="17"/>
              </w:rPr>
              <w:t> </w:t>
            </w:r>
            <w:r>
              <w:rPr>
                <w:spacing w:val="-2"/>
                <w:sz w:val="17"/>
              </w:rPr>
              <w:t>Emisiones</w:t>
            </w:r>
          </w:p>
        </w:tc>
        <w:tc>
          <w:tcPr>
            <w:tcW w:w="1353" w:type="dxa"/>
            <w:tcBorders>
              <w:top w:val="single" w:sz="4" w:space="0" w:color="002D5D"/>
              <w:bottom w:val="single" w:sz="4" w:space="0" w:color="002D5D"/>
            </w:tcBorders>
          </w:tcPr>
          <w:p>
            <w:pPr>
              <w:pStyle w:val="TableParagraph"/>
              <w:spacing w:before="44"/>
              <w:ind w:left="3" w:right="13"/>
              <w:jc w:val="center"/>
              <w:rPr>
                <w:sz w:val="17"/>
              </w:rPr>
            </w:pPr>
            <w:r>
              <w:rPr>
                <w:spacing w:val="-2"/>
                <w:sz w:val="17"/>
              </w:rPr>
              <w:t>59.019.064,21</w:t>
            </w:r>
          </w:p>
        </w:tc>
        <w:tc>
          <w:tcPr>
            <w:tcW w:w="1171" w:type="dxa"/>
            <w:tcBorders>
              <w:top w:val="single" w:sz="4" w:space="0" w:color="002D5D"/>
              <w:bottom w:val="single" w:sz="4" w:space="0" w:color="002D5D"/>
            </w:tcBorders>
          </w:tcPr>
          <w:p>
            <w:pPr>
              <w:pStyle w:val="TableParagraph"/>
              <w:spacing w:before="44"/>
              <w:ind w:left="1" w:right="2"/>
              <w:jc w:val="center"/>
              <w:rPr>
                <w:sz w:val="17"/>
              </w:rPr>
            </w:pPr>
            <w:r>
              <w:rPr>
                <w:spacing w:val="-2"/>
                <w:sz w:val="17"/>
              </w:rPr>
              <w:t>30.641.728,36</w:t>
            </w:r>
          </w:p>
        </w:tc>
        <w:tc>
          <w:tcPr>
            <w:tcW w:w="1366" w:type="dxa"/>
            <w:tcBorders>
              <w:top w:val="single" w:sz="4" w:space="0" w:color="002D5D"/>
              <w:bottom w:val="single" w:sz="4" w:space="0" w:color="002D5D"/>
            </w:tcBorders>
          </w:tcPr>
          <w:p>
            <w:pPr>
              <w:pStyle w:val="TableParagraph"/>
              <w:spacing w:before="44"/>
              <w:ind w:left="15"/>
              <w:jc w:val="center"/>
              <w:rPr>
                <w:sz w:val="17"/>
              </w:rPr>
            </w:pPr>
            <w:r>
              <w:rPr>
                <w:spacing w:val="-2"/>
                <w:sz w:val="17"/>
              </w:rPr>
              <w:t>59.019.064,21</w:t>
            </w:r>
          </w:p>
        </w:tc>
        <w:tc>
          <w:tcPr>
            <w:tcW w:w="1140" w:type="dxa"/>
            <w:tcBorders>
              <w:top w:val="single" w:sz="4" w:space="0" w:color="002D5D"/>
              <w:bottom w:val="single" w:sz="4" w:space="0" w:color="002D5D"/>
            </w:tcBorders>
          </w:tcPr>
          <w:p>
            <w:pPr>
              <w:pStyle w:val="TableParagraph"/>
              <w:spacing w:before="44"/>
              <w:ind w:left="24" w:right="4"/>
              <w:jc w:val="center"/>
              <w:rPr>
                <w:sz w:val="17"/>
              </w:rPr>
            </w:pPr>
            <w:r>
              <w:rPr>
                <w:spacing w:val="-2"/>
                <w:sz w:val="17"/>
              </w:rPr>
              <w:t>30.641.728,36</w:t>
            </w:r>
          </w:p>
        </w:tc>
        <w:tc>
          <w:tcPr>
            <w:tcW w:w="1629" w:type="dxa"/>
            <w:tcBorders>
              <w:top w:val="single" w:sz="4" w:space="0" w:color="002D5D"/>
              <w:bottom w:val="single" w:sz="4" w:space="0" w:color="002D5D"/>
            </w:tcBorders>
          </w:tcPr>
          <w:p>
            <w:pPr>
              <w:pStyle w:val="TableParagraph"/>
              <w:spacing w:before="44"/>
              <w:ind w:left="3" w:right="3"/>
              <w:jc w:val="center"/>
              <w:rPr>
                <w:sz w:val="17"/>
              </w:rPr>
            </w:pPr>
            <w:r>
              <w:rPr>
                <w:spacing w:val="-2"/>
                <w:sz w:val="17"/>
              </w:rPr>
              <w:t>59.019.064,21</w:t>
            </w:r>
          </w:p>
        </w:tc>
        <w:tc>
          <w:tcPr>
            <w:tcW w:w="1267" w:type="dxa"/>
            <w:tcBorders>
              <w:top w:val="single" w:sz="4" w:space="0" w:color="002D5D"/>
              <w:bottom w:val="single" w:sz="4" w:space="0" w:color="002D5D"/>
            </w:tcBorders>
          </w:tcPr>
          <w:p>
            <w:pPr>
              <w:pStyle w:val="TableParagraph"/>
              <w:spacing w:before="44"/>
              <w:ind w:left="12" w:right="7"/>
              <w:jc w:val="center"/>
              <w:rPr>
                <w:sz w:val="17"/>
              </w:rPr>
            </w:pPr>
            <w:r>
              <w:rPr>
                <w:spacing w:val="-2"/>
                <w:sz w:val="17"/>
              </w:rPr>
              <w:t>30.641.728,36</w:t>
            </w:r>
          </w:p>
        </w:tc>
        <w:tc>
          <w:tcPr>
            <w:tcW w:w="1165" w:type="dxa"/>
            <w:tcBorders>
              <w:top w:val="single" w:sz="4" w:space="0" w:color="002D5D"/>
              <w:bottom w:val="single" w:sz="4" w:space="0" w:color="002D5D"/>
            </w:tcBorders>
          </w:tcPr>
          <w:p>
            <w:pPr>
              <w:pStyle w:val="TableParagraph"/>
              <w:spacing w:before="44"/>
              <w:ind w:left="53" w:right="37"/>
              <w:jc w:val="center"/>
              <w:rPr>
                <w:sz w:val="17"/>
              </w:rPr>
            </w:pPr>
            <w:r>
              <w:rPr>
                <w:spacing w:val="-2"/>
                <w:sz w:val="17"/>
              </w:rPr>
              <w:t>30.641.728,36</w:t>
            </w:r>
          </w:p>
        </w:tc>
        <w:tc>
          <w:tcPr>
            <w:tcW w:w="1005" w:type="dxa"/>
            <w:tcBorders>
              <w:top w:val="single" w:sz="4" w:space="0" w:color="002D5D"/>
              <w:bottom w:val="single" w:sz="4" w:space="0" w:color="002D5D"/>
            </w:tcBorders>
          </w:tcPr>
          <w:p>
            <w:pPr>
              <w:pStyle w:val="TableParagraph"/>
              <w:spacing w:before="44"/>
              <w:ind w:left="20"/>
              <w:jc w:val="center"/>
              <w:rPr>
                <w:sz w:val="17"/>
              </w:rPr>
            </w:pPr>
            <w:r>
              <w:rPr>
                <w:spacing w:val="-2"/>
                <w:sz w:val="17"/>
              </w:rPr>
              <w:t>31/12/2024</w:t>
            </w:r>
          </w:p>
        </w:tc>
        <w:tc>
          <w:tcPr>
            <w:tcW w:w="1090" w:type="dxa"/>
            <w:tcBorders>
              <w:top w:val="single" w:sz="4" w:space="0" w:color="002D5D"/>
              <w:bottom w:val="single" w:sz="4" w:space="0" w:color="002D5D"/>
            </w:tcBorders>
          </w:tcPr>
          <w:p>
            <w:pPr>
              <w:pStyle w:val="TableParagraph"/>
              <w:spacing w:before="44"/>
              <w:ind w:left="32"/>
              <w:jc w:val="center"/>
              <w:rPr>
                <w:sz w:val="17"/>
              </w:rPr>
            </w:pPr>
            <w:r>
              <w:rPr>
                <w:spacing w:val="-10"/>
                <w:sz w:val="17"/>
              </w:rPr>
              <w:t>1</w:t>
            </w:r>
          </w:p>
        </w:tc>
        <w:tc>
          <w:tcPr>
            <w:tcW w:w="1224" w:type="dxa"/>
            <w:tcBorders>
              <w:top w:val="single" w:sz="4" w:space="0" w:color="002D5D"/>
              <w:bottom w:val="single" w:sz="4" w:space="0" w:color="002D5D"/>
            </w:tcBorders>
          </w:tcPr>
          <w:p>
            <w:pPr>
              <w:pStyle w:val="TableParagraph"/>
              <w:spacing w:before="44"/>
              <w:ind w:left="38"/>
              <w:jc w:val="center"/>
              <w:rPr>
                <w:sz w:val="17"/>
              </w:rPr>
            </w:pPr>
            <w:r>
              <w:rPr>
                <w:spacing w:val="-5"/>
                <w:sz w:val="17"/>
              </w:rPr>
              <w:t>SI</w:t>
            </w:r>
          </w:p>
        </w:tc>
      </w:tr>
      <w:tr>
        <w:trPr>
          <w:trHeight w:val="287" w:hRule="atLeast"/>
        </w:trPr>
        <w:tc>
          <w:tcPr>
            <w:tcW w:w="1370" w:type="dxa"/>
            <w:shd w:val="clear" w:color="auto" w:fill="002D5D"/>
          </w:tcPr>
          <w:p>
            <w:pPr>
              <w:pStyle w:val="TableParagraph"/>
              <w:spacing w:before="47"/>
              <w:ind w:left="71"/>
              <w:rPr>
                <w:b/>
                <w:sz w:val="17"/>
              </w:rPr>
            </w:pPr>
            <w:r>
              <w:rPr>
                <w:b/>
                <w:color w:val="FFFFFF"/>
                <w:spacing w:val="-2"/>
                <w:sz w:val="17"/>
              </w:rPr>
              <w:t>TOTAL</w:t>
            </w:r>
          </w:p>
        </w:tc>
        <w:tc>
          <w:tcPr>
            <w:tcW w:w="1813" w:type="dxa"/>
            <w:shd w:val="clear" w:color="auto" w:fill="002D5D"/>
          </w:tcPr>
          <w:p>
            <w:pPr>
              <w:pStyle w:val="TableParagraph"/>
              <w:rPr>
                <w:rFonts w:ascii="Times New Roman"/>
                <w:sz w:val="16"/>
              </w:rPr>
            </w:pPr>
          </w:p>
        </w:tc>
        <w:tc>
          <w:tcPr>
            <w:tcW w:w="1353" w:type="dxa"/>
            <w:shd w:val="clear" w:color="auto" w:fill="002D5D"/>
          </w:tcPr>
          <w:p>
            <w:pPr>
              <w:pStyle w:val="TableParagraph"/>
              <w:spacing w:before="47"/>
              <w:ind w:left="3" w:right="13"/>
              <w:jc w:val="center"/>
              <w:rPr>
                <w:b/>
                <w:sz w:val="17"/>
              </w:rPr>
            </w:pPr>
            <w:r>
              <w:rPr>
                <w:b/>
                <w:color w:val="FFFFFF"/>
                <w:spacing w:val="-2"/>
                <w:sz w:val="17"/>
              </w:rPr>
              <w:t>287.445.344,08</w:t>
            </w:r>
          </w:p>
        </w:tc>
        <w:tc>
          <w:tcPr>
            <w:tcW w:w="1171" w:type="dxa"/>
            <w:shd w:val="clear" w:color="auto" w:fill="002D5D"/>
          </w:tcPr>
          <w:p>
            <w:pPr>
              <w:pStyle w:val="TableParagraph"/>
              <w:spacing w:before="47"/>
              <w:ind w:left="1" w:right="2"/>
              <w:jc w:val="center"/>
              <w:rPr>
                <w:b/>
                <w:sz w:val="17"/>
              </w:rPr>
            </w:pPr>
            <w:r>
              <w:rPr>
                <w:b/>
                <w:color w:val="FFFFFF"/>
                <w:spacing w:val="-2"/>
                <w:sz w:val="17"/>
              </w:rPr>
              <w:t>200.451.749,11</w:t>
            </w:r>
          </w:p>
        </w:tc>
        <w:tc>
          <w:tcPr>
            <w:tcW w:w="1366" w:type="dxa"/>
            <w:shd w:val="clear" w:color="auto" w:fill="002D5D"/>
          </w:tcPr>
          <w:p>
            <w:pPr>
              <w:pStyle w:val="TableParagraph"/>
              <w:spacing w:before="47"/>
              <w:ind w:left="15" w:right="4"/>
              <w:jc w:val="center"/>
              <w:rPr>
                <w:b/>
                <w:sz w:val="17"/>
              </w:rPr>
            </w:pPr>
            <w:r>
              <w:rPr>
                <w:b/>
                <w:color w:val="FFFFFF"/>
                <w:spacing w:val="-2"/>
                <w:sz w:val="17"/>
              </w:rPr>
              <w:t>254.570.147,33</w:t>
            </w:r>
          </w:p>
        </w:tc>
        <w:tc>
          <w:tcPr>
            <w:tcW w:w="1140" w:type="dxa"/>
            <w:shd w:val="clear" w:color="auto" w:fill="002D5D"/>
          </w:tcPr>
          <w:p>
            <w:pPr>
              <w:pStyle w:val="TableParagraph"/>
              <w:spacing w:before="47"/>
              <w:ind w:left="24" w:right="4"/>
              <w:jc w:val="center"/>
              <w:rPr>
                <w:b/>
                <w:sz w:val="17"/>
              </w:rPr>
            </w:pPr>
            <w:r>
              <w:rPr>
                <w:b/>
                <w:color w:val="FFFFFF"/>
                <w:spacing w:val="-2"/>
                <w:sz w:val="17"/>
              </w:rPr>
              <w:t>169.779.709,33</w:t>
            </w:r>
          </w:p>
        </w:tc>
        <w:tc>
          <w:tcPr>
            <w:tcW w:w="1629" w:type="dxa"/>
            <w:shd w:val="clear" w:color="auto" w:fill="002D5D"/>
          </w:tcPr>
          <w:p>
            <w:pPr>
              <w:pStyle w:val="TableParagraph"/>
              <w:spacing w:before="47"/>
              <w:ind w:left="3" w:right="3"/>
              <w:jc w:val="center"/>
              <w:rPr>
                <w:b/>
                <w:sz w:val="17"/>
              </w:rPr>
            </w:pPr>
            <w:r>
              <w:rPr>
                <w:b/>
                <w:color w:val="FFFFFF"/>
                <w:spacing w:val="-2"/>
                <w:sz w:val="17"/>
              </w:rPr>
              <w:t>185.028.594,14</w:t>
            </w:r>
          </w:p>
        </w:tc>
        <w:tc>
          <w:tcPr>
            <w:tcW w:w="1267" w:type="dxa"/>
            <w:shd w:val="clear" w:color="auto" w:fill="002D5D"/>
          </w:tcPr>
          <w:p>
            <w:pPr>
              <w:pStyle w:val="TableParagraph"/>
              <w:spacing w:before="47"/>
              <w:ind w:left="12" w:right="12"/>
              <w:jc w:val="center"/>
              <w:rPr>
                <w:b/>
                <w:sz w:val="17"/>
              </w:rPr>
            </w:pPr>
            <w:r>
              <w:rPr>
                <w:b/>
                <w:color w:val="FFFFFF"/>
                <w:spacing w:val="-2"/>
                <w:sz w:val="17"/>
              </w:rPr>
              <w:t>110.488.075,09</w:t>
            </w:r>
          </w:p>
        </w:tc>
        <w:tc>
          <w:tcPr>
            <w:tcW w:w="1165" w:type="dxa"/>
            <w:shd w:val="clear" w:color="auto" w:fill="002D5D"/>
          </w:tcPr>
          <w:p>
            <w:pPr>
              <w:pStyle w:val="TableParagraph"/>
              <w:spacing w:before="47"/>
              <w:ind w:left="53" w:right="37"/>
              <w:jc w:val="center"/>
              <w:rPr>
                <w:b/>
                <w:sz w:val="17"/>
              </w:rPr>
            </w:pPr>
            <w:r>
              <w:rPr>
                <w:b/>
                <w:color w:val="FFFFFF"/>
                <w:spacing w:val="-2"/>
                <w:sz w:val="17"/>
              </w:rPr>
              <w:t>140.522.954,48</w:t>
            </w:r>
          </w:p>
        </w:tc>
        <w:tc>
          <w:tcPr>
            <w:tcW w:w="1005" w:type="dxa"/>
            <w:shd w:val="clear" w:color="auto" w:fill="002D5D"/>
          </w:tcPr>
          <w:p>
            <w:pPr>
              <w:pStyle w:val="TableParagraph"/>
              <w:rPr>
                <w:rFonts w:ascii="Times New Roman"/>
                <w:sz w:val="16"/>
              </w:rPr>
            </w:pPr>
          </w:p>
        </w:tc>
        <w:tc>
          <w:tcPr>
            <w:tcW w:w="1090" w:type="dxa"/>
            <w:shd w:val="clear" w:color="auto" w:fill="002D5D"/>
          </w:tcPr>
          <w:p>
            <w:pPr>
              <w:pStyle w:val="TableParagraph"/>
              <w:spacing w:before="47"/>
              <w:ind w:left="32" w:right="1"/>
              <w:jc w:val="center"/>
              <w:rPr>
                <w:b/>
                <w:sz w:val="17"/>
              </w:rPr>
            </w:pPr>
            <w:r>
              <w:rPr>
                <w:b/>
                <w:color w:val="FFFFFF"/>
                <w:spacing w:val="-5"/>
                <w:sz w:val="17"/>
              </w:rPr>
              <w:t>18</w:t>
            </w:r>
          </w:p>
        </w:tc>
        <w:tc>
          <w:tcPr>
            <w:tcW w:w="1224" w:type="dxa"/>
            <w:shd w:val="clear" w:color="auto" w:fill="002D5D"/>
          </w:tcPr>
          <w:p>
            <w:pPr>
              <w:pStyle w:val="TableParagraph"/>
              <w:rPr>
                <w:rFonts w:ascii="Times New Roman"/>
                <w:sz w:val="16"/>
              </w:rPr>
            </w:pPr>
          </w:p>
        </w:tc>
      </w:tr>
      <w:tr>
        <w:trPr>
          <w:trHeight w:val="412" w:hRule="atLeast"/>
        </w:trPr>
        <w:tc>
          <w:tcPr>
            <w:tcW w:w="11109" w:type="dxa"/>
            <w:gridSpan w:val="8"/>
          </w:tcPr>
          <w:p>
            <w:pPr>
              <w:pStyle w:val="TableParagraph"/>
              <w:spacing w:line="206" w:lineRule="exact"/>
              <w:ind w:left="71"/>
              <w:rPr>
                <w:sz w:val="18"/>
              </w:rPr>
            </w:pPr>
            <w:r>
              <w:rPr>
                <w:sz w:val="18"/>
              </w:rPr>
              <w:t>Fuente:</w:t>
            </w:r>
            <w:r>
              <w:rPr>
                <w:spacing w:val="-5"/>
                <w:sz w:val="18"/>
              </w:rPr>
              <w:t> </w:t>
            </w:r>
            <w:r>
              <w:rPr>
                <w:sz w:val="18"/>
              </w:rPr>
              <w:t>Elaboración</w:t>
            </w:r>
            <w:r>
              <w:rPr>
                <w:spacing w:val="-3"/>
                <w:sz w:val="18"/>
              </w:rPr>
              <w:t> </w:t>
            </w:r>
            <w:r>
              <w:rPr>
                <w:sz w:val="18"/>
              </w:rPr>
              <w:t>propia</w:t>
            </w:r>
            <w:r>
              <w:rPr>
                <w:spacing w:val="-3"/>
                <w:sz w:val="18"/>
              </w:rPr>
              <w:t> </w:t>
            </w:r>
            <w:r>
              <w:rPr>
                <w:sz w:val="18"/>
              </w:rPr>
              <w:t>a</w:t>
            </w:r>
            <w:r>
              <w:rPr>
                <w:spacing w:val="-2"/>
                <w:sz w:val="18"/>
              </w:rPr>
              <w:t> </w:t>
            </w:r>
            <w:r>
              <w:rPr>
                <w:sz w:val="18"/>
              </w:rPr>
              <w:t>partir</w:t>
            </w:r>
            <w:r>
              <w:rPr>
                <w:spacing w:val="-1"/>
                <w:sz w:val="18"/>
              </w:rPr>
              <w:t> </w:t>
            </w:r>
            <w:r>
              <w:rPr>
                <w:sz w:val="18"/>
              </w:rPr>
              <w:t>de</w:t>
            </w:r>
            <w:r>
              <w:rPr>
                <w:spacing w:val="-3"/>
                <w:sz w:val="18"/>
              </w:rPr>
              <w:t> </w:t>
            </w:r>
            <w:r>
              <w:rPr>
                <w:sz w:val="18"/>
              </w:rPr>
              <w:t>los</w:t>
            </w:r>
            <w:r>
              <w:rPr>
                <w:spacing w:val="-3"/>
                <w:sz w:val="18"/>
              </w:rPr>
              <w:t> </w:t>
            </w:r>
            <w:r>
              <w:rPr>
                <w:sz w:val="18"/>
              </w:rPr>
              <w:t>datos facilitados</w:t>
            </w:r>
            <w:r>
              <w:rPr>
                <w:spacing w:val="-2"/>
                <w:sz w:val="18"/>
              </w:rPr>
              <w:t> </w:t>
            </w:r>
            <w:r>
              <w:rPr>
                <w:sz w:val="18"/>
              </w:rPr>
              <w:t>por</w:t>
            </w:r>
            <w:r>
              <w:rPr>
                <w:spacing w:val="-1"/>
                <w:sz w:val="18"/>
              </w:rPr>
              <w:t> </w:t>
            </w:r>
            <w:r>
              <w:rPr>
                <w:sz w:val="18"/>
              </w:rPr>
              <w:t>las</w:t>
            </w:r>
            <w:r>
              <w:rPr>
                <w:spacing w:val="-3"/>
                <w:sz w:val="18"/>
              </w:rPr>
              <w:t> </w:t>
            </w:r>
            <w:r>
              <w:rPr>
                <w:sz w:val="18"/>
              </w:rPr>
              <w:t>entidades</w:t>
            </w:r>
            <w:r>
              <w:rPr>
                <w:spacing w:val="-2"/>
                <w:sz w:val="18"/>
              </w:rPr>
              <w:t> fiscalizadas</w:t>
            </w:r>
          </w:p>
          <w:p>
            <w:pPr>
              <w:pStyle w:val="TableParagraph"/>
              <w:spacing w:line="187" w:lineRule="exact"/>
              <w:ind w:left="35"/>
              <w:rPr>
                <w:sz w:val="17"/>
              </w:rPr>
            </w:pPr>
            <w:r>
              <w:rPr>
                <w:sz w:val="18"/>
              </w:rPr>
              <w:t>(1)</w:t>
            </w:r>
            <w:r>
              <w:rPr>
                <w:spacing w:val="43"/>
                <w:sz w:val="18"/>
              </w:rPr>
              <w:t>  </w:t>
            </w:r>
            <w:r>
              <w:rPr>
                <w:sz w:val="17"/>
              </w:rPr>
              <w:t>El</w:t>
            </w:r>
            <w:r>
              <w:rPr>
                <w:spacing w:val="-1"/>
                <w:sz w:val="17"/>
              </w:rPr>
              <w:t> </w:t>
            </w:r>
            <w:r>
              <w:rPr>
                <w:b/>
                <w:sz w:val="17"/>
              </w:rPr>
              <w:t>Ayuntamiento</w:t>
            </w:r>
            <w:r>
              <w:rPr>
                <w:b/>
                <w:spacing w:val="-2"/>
                <w:sz w:val="17"/>
              </w:rPr>
              <w:t> </w:t>
            </w:r>
            <w:r>
              <w:rPr>
                <w:b/>
                <w:sz w:val="17"/>
              </w:rPr>
              <w:t>de</w:t>
            </w:r>
            <w:r>
              <w:rPr>
                <w:b/>
                <w:spacing w:val="-3"/>
                <w:sz w:val="17"/>
              </w:rPr>
              <w:t> </w:t>
            </w:r>
            <w:r>
              <w:rPr>
                <w:b/>
                <w:sz w:val="17"/>
              </w:rPr>
              <w:t>Córdoba</w:t>
            </w:r>
            <w:r>
              <w:rPr>
                <w:b/>
                <w:spacing w:val="-1"/>
                <w:sz w:val="17"/>
              </w:rPr>
              <w:t> </w:t>
            </w:r>
            <w:r>
              <w:rPr>
                <w:sz w:val="17"/>
              </w:rPr>
              <w:t>renunció</w:t>
            </w:r>
            <w:r>
              <w:rPr>
                <w:spacing w:val="-3"/>
                <w:sz w:val="17"/>
              </w:rPr>
              <w:t> </w:t>
            </w:r>
            <w:r>
              <w:rPr>
                <w:sz w:val="17"/>
              </w:rPr>
              <w:t>a</w:t>
            </w:r>
            <w:r>
              <w:rPr>
                <w:spacing w:val="-4"/>
                <w:sz w:val="17"/>
              </w:rPr>
              <w:t> </w:t>
            </w:r>
            <w:r>
              <w:rPr>
                <w:sz w:val="17"/>
              </w:rPr>
              <w:t>la</w:t>
            </w:r>
            <w:r>
              <w:rPr>
                <w:spacing w:val="-4"/>
                <w:sz w:val="17"/>
              </w:rPr>
              <w:t> </w:t>
            </w:r>
            <w:r>
              <w:rPr>
                <w:sz w:val="17"/>
              </w:rPr>
              <w:t>subvención,</w:t>
            </w:r>
            <w:r>
              <w:rPr>
                <w:spacing w:val="-1"/>
                <w:sz w:val="17"/>
              </w:rPr>
              <w:t> </w:t>
            </w:r>
            <w:r>
              <w:rPr>
                <w:sz w:val="17"/>
              </w:rPr>
              <w:t>por</w:t>
            </w:r>
            <w:r>
              <w:rPr>
                <w:spacing w:val="-1"/>
                <w:sz w:val="17"/>
              </w:rPr>
              <w:t> </w:t>
            </w:r>
            <w:r>
              <w:rPr>
                <w:sz w:val="17"/>
              </w:rPr>
              <w:t>lo</w:t>
            </w:r>
            <w:r>
              <w:rPr>
                <w:spacing w:val="-3"/>
                <w:sz w:val="17"/>
              </w:rPr>
              <w:t> </w:t>
            </w:r>
            <w:r>
              <w:rPr>
                <w:sz w:val="17"/>
              </w:rPr>
              <w:t>que</w:t>
            </w:r>
            <w:r>
              <w:rPr>
                <w:spacing w:val="-3"/>
                <w:sz w:val="17"/>
              </w:rPr>
              <w:t> </w:t>
            </w:r>
            <w:r>
              <w:rPr>
                <w:sz w:val="17"/>
              </w:rPr>
              <w:t>la</w:t>
            </w:r>
            <w:r>
              <w:rPr>
                <w:spacing w:val="-2"/>
                <w:sz w:val="17"/>
              </w:rPr>
              <w:t> </w:t>
            </w:r>
            <w:r>
              <w:rPr>
                <w:sz w:val="17"/>
              </w:rPr>
              <w:t>entidad</w:t>
            </w:r>
            <w:r>
              <w:rPr>
                <w:spacing w:val="-1"/>
                <w:sz w:val="17"/>
              </w:rPr>
              <w:t> </w:t>
            </w:r>
            <w:r>
              <w:rPr>
                <w:sz w:val="17"/>
              </w:rPr>
              <w:t>no</w:t>
            </w:r>
            <w:r>
              <w:rPr>
                <w:spacing w:val="-3"/>
                <w:sz w:val="17"/>
              </w:rPr>
              <w:t> </w:t>
            </w:r>
            <w:r>
              <w:rPr>
                <w:sz w:val="17"/>
              </w:rPr>
              <w:t>ha</w:t>
            </w:r>
            <w:r>
              <w:rPr>
                <w:spacing w:val="-3"/>
                <w:sz w:val="17"/>
              </w:rPr>
              <w:t> </w:t>
            </w:r>
            <w:r>
              <w:rPr>
                <w:sz w:val="17"/>
              </w:rPr>
              <w:t>contado con</w:t>
            </w:r>
            <w:r>
              <w:rPr>
                <w:spacing w:val="-2"/>
                <w:sz w:val="17"/>
              </w:rPr>
              <w:t> </w:t>
            </w:r>
            <w:r>
              <w:rPr>
                <w:sz w:val="17"/>
              </w:rPr>
              <w:t>fondos</w:t>
            </w:r>
            <w:r>
              <w:rPr>
                <w:spacing w:val="-3"/>
                <w:sz w:val="17"/>
              </w:rPr>
              <w:t> </w:t>
            </w:r>
            <w:r>
              <w:rPr>
                <w:sz w:val="17"/>
              </w:rPr>
              <w:t>europeos</w:t>
            </w:r>
            <w:r>
              <w:rPr>
                <w:spacing w:val="-1"/>
                <w:sz w:val="17"/>
              </w:rPr>
              <w:t> </w:t>
            </w:r>
            <w:r>
              <w:rPr>
                <w:sz w:val="17"/>
              </w:rPr>
              <w:t>para</w:t>
            </w:r>
            <w:r>
              <w:rPr>
                <w:spacing w:val="-3"/>
                <w:sz w:val="17"/>
              </w:rPr>
              <w:t> </w:t>
            </w:r>
            <w:r>
              <w:rPr>
                <w:sz w:val="17"/>
              </w:rPr>
              <w:t>ejecutar</w:t>
            </w:r>
            <w:r>
              <w:rPr>
                <w:spacing w:val="-3"/>
                <w:sz w:val="17"/>
              </w:rPr>
              <w:t> </w:t>
            </w:r>
            <w:r>
              <w:rPr>
                <w:sz w:val="17"/>
              </w:rPr>
              <w:t>las</w:t>
            </w:r>
            <w:r>
              <w:rPr>
                <w:spacing w:val="-1"/>
                <w:sz w:val="17"/>
              </w:rPr>
              <w:t> </w:t>
            </w:r>
            <w:r>
              <w:rPr>
                <w:sz w:val="17"/>
              </w:rPr>
              <w:t>actuaciones </w:t>
            </w:r>
            <w:r>
              <w:rPr>
                <w:spacing w:val="-2"/>
                <w:sz w:val="17"/>
              </w:rPr>
              <w:t>fiscalizadas</w:t>
            </w:r>
          </w:p>
        </w:tc>
        <w:tc>
          <w:tcPr>
            <w:tcW w:w="1165" w:type="dxa"/>
          </w:tcPr>
          <w:p>
            <w:pPr>
              <w:pStyle w:val="TableParagraph"/>
              <w:rPr>
                <w:rFonts w:ascii="Times New Roman"/>
                <w:sz w:val="16"/>
              </w:rPr>
            </w:pPr>
          </w:p>
        </w:tc>
        <w:tc>
          <w:tcPr>
            <w:tcW w:w="1005" w:type="dxa"/>
          </w:tcPr>
          <w:p>
            <w:pPr>
              <w:pStyle w:val="TableParagraph"/>
              <w:rPr>
                <w:rFonts w:ascii="Times New Roman"/>
                <w:sz w:val="16"/>
              </w:rPr>
            </w:pPr>
          </w:p>
        </w:tc>
        <w:tc>
          <w:tcPr>
            <w:tcW w:w="1090" w:type="dxa"/>
          </w:tcPr>
          <w:p>
            <w:pPr>
              <w:pStyle w:val="TableParagraph"/>
              <w:rPr>
                <w:rFonts w:ascii="Times New Roman"/>
                <w:sz w:val="16"/>
              </w:rPr>
            </w:pPr>
          </w:p>
        </w:tc>
        <w:tc>
          <w:tcPr>
            <w:tcW w:w="1224" w:type="dxa"/>
          </w:tcPr>
          <w:p>
            <w:pPr>
              <w:pStyle w:val="TableParagraph"/>
              <w:rPr>
                <w:rFonts w:ascii="Times New Roman"/>
                <w:sz w:val="16"/>
              </w:rPr>
            </w:pPr>
          </w:p>
        </w:tc>
      </w:tr>
    </w:tbl>
    <w:p>
      <w:pPr>
        <w:pStyle w:val="BodyText"/>
        <w:spacing w:before="58"/>
        <w:rPr>
          <w:b/>
          <w:sz w:val="20"/>
        </w:rPr>
      </w:pPr>
      <w:r>
        <w:rPr>
          <w:b/>
          <w:sz w:val="20"/>
        </w:rPr>
        <mc:AlternateContent>
          <mc:Choice Requires="wps">
            <w:drawing>
              <wp:anchor distT="0" distB="0" distL="0" distR="0" allowOverlap="1" layoutInCell="1" locked="0" behindDoc="1" simplePos="0" relativeHeight="487641088">
                <wp:simplePos x="0" y="0"/>
                <wp:positionH relativeFrom="page">
                  <wp:posOffset>701040</wp:posOffset>
                </wp:positionH>
                <wp:positionV relativeFrom="paragraph">
                  <wp:posOffset>198107</wp:posOffset>
                </wp:positionV>
                <wp:extent cx="8389620" cy="6350"/>
                <wp:effectExtent l="0" t="0" r="0" b="0"/>
                <wp:wrapTopAndBottom/>
                <wp:docPr id="489" name="Graphic 489"/>
                <wp:cNvGraphicFramePr>
                  <a:graphicFrameLocks/>
                </wp:cNvGraphicFramePr>
                <a:graphic>
                  <a:graphicData uri="http://schemas.microsoft.com/office/word/2010/wordprocessingShape">
                    <wps:wsp>
                      <wps:cNvPr id="489" name="Graphic 489"/>
                      <wps:cNvSpPr/>
                      <wps:spPr>
                        <a:xfrm>
                          <a:off x="0" y="0"/>
                          <a:ext cx="8389620" cy="6350"/>
                        </a:xfrm>
                        <a:custGeom>
                          <a:avLst/>
                          <a:gdLst/>
                          <a:ahLst/>
                          <a:cxnLst/>
                          <a:rect l="l" t="t" r="r" b="b"/>
                          <a:pathLst>
                            <a:path w="8389620" h="6350">
                              <a:moveTo>
                                <a:pt x="8389366" y="0"/>
                              </a:moveTo>
                              <a:lnTo>
                                <a:pt x="0" y="0"/>
                              </a:lnTo>
                              <a:lnTo>
                                <a:pt x="0" y="6095"/>
                              </a:lnTo>
                              <a:lnTo>
                                <a:pt x="8389366" y="6095"/>
                              </a:lnTo>
                              <a:lnTo>
                                <a:pt x="838936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15.599024pt;width:660.58pt;height:.47998pt;mso-position-horizontal-relative:page;mso-position-vertical-relative:paragraph;z-index:-15675392;mso-wrap-distance-left:0;mso-wrap-distance-right:0" id="docshape427" filled="true" fillcolor="#000000" stroked="false">
                <v:fill type="solid"/>
                <w10:wrap type="topAndBottom"/>
              </v:rect>
            </w:pict>
          </mc:Fallback>
        </mc:AlternateContent>
      </w:r>
    </w:p>
    <w:p>
      <w:pPr>
        <w:pStyle w:val="BodyText"/>
        <w:spacing w:after="0"/>
        <w:rPr>
          <w:b/>
          <w:sz w:val="20"/>
        </w:rPr>
        <w:sectPr>
          <w:headerReference w:type="default" r:id="rId129"/>
          <w:footerReference w:type="default" r:id="rId130"/>
          <w:footerReference w:type="even" r:id="rId131"/>
          <w:pgSz w:w="16840" w:h="11910" w:orient="landscape"/>
          <w:pgMar w:header="0" w:footer="709" w:top="1260" w:bottom="900" w:left="283" w:right="850"/>
        </w:sectPr>
      </w:pPr>
    </w:p>
    <w:p>
      <w:pPr>
        <w:pStyle w:val="Heading4"/>
        <w:spacing w:line="614" w:lineRule="exact" w:before="57"/>
        <w:ind w:left="1265" w:right="432" w:firstLine="11541"/>
        <w:jc w:val="left"/>
      </w:pPr>
      <w:r>
        <w:rPr/>
        <w:drawing>
          <wp:anchor distT="0" distB="0" distL="0" distR="0" allowOverlap="1" layoutInCell="1" locked="0" behindDoc="0" simplePos="0" relativeHeight="15783936">
            <wp:simplePos x="0" y="0"/>
            <wp:positionH relativeFrom="page">
              <wp:posOffset>7299959</wp:posOffset>
            </wp:positionH>
            <wp:positionV relativeFrom="paragraph">
              <wp:posOffset>2540</wp:posOffset>
            </wp:positionV>
            <wp:extent cx="1767204" cy="99695"/>
            <wp:effectExtent l="0" t="0" r="0" b="0"/>
            <wp:wrapNone/>
            <wp:docPr id="490" name="Image 490"/>
            <wp:cNvGraphicFramePr>
              <a:graphicFrameLocks/>
            </wp:cNvGraphicFramePr>
            <a:graphic>
              <a:graphicData uri="http://schemas.openxmlformats.org/drawingml/2006/picture">
                <pic:pic>
                  <pic:nvPicPr>
                    <pic:cNvPr id="490" name="Image 490"/>
                    <pic:cNvPicPr/>
                  </pic:nvPicPr>
                  <pic:blipFill>
                    <a:blip r:embed="rId14" cstate="print"/>
                    <a:stretch>
                      <a:fillRect/>
                    </a:stretch>
                  </pic:blipFill>
                  <pic:spPr>
                    <a:xfrm>
                      <a:off x="0" y="0"/>
                      <a:ext cx="1767204" cy="99695"/>
                    </a:xfrm>
                    <a:prstGeom prst="rect">
                      <a:avLst/>
                    </a:prstGeom>
                  </pic:spPr>
                </pic:pic>
              </a:graphicData>
            </a:graphic>
          </wp:anchor>
        </w:drawing>
      </w:r>
      <w:bookmarkStart w:name="_bookmark156" w:id="158"/>
      <w:bookmarkEnd w:id="158"/>
      <w:r>
        <w:rPr>
          <w:b w:val="0"/>
        </w:rPr>
      </w:r>
      <w:r>
        <w:rPr/>
        <w:t>ANEXO</w:t>
      </w:r>
      <w:r>
        <w:rPr>
          <w:spacing w:val="-16"/>
        </w:rPr>
        <w:t> </w:t>
      </w:r>
      <w:r>
        <w:rPr/>
        <w:t>XVI </w:t>
      </w:r>
      <w:bookmarkStart w:name="_bookmark157" w:id="159"/>
      <w:bookmarkEnd w:id="159"/>
      <w:r>
        <w:rPr/>
        <w:t>P</w:t>
      </w:r>
      <w:r>
        <w:rPr/>
        <w:t>ROGRAMA DE AYUDAS PARA LA TRANSFORMACIÓN DIGITAL Y SOSTENIBLE DEL TRANSPORTE URBANO, PRTR</w:t>
      </w:r>
    </w:p>
    <w:p>
      <w:pPr>
        <w:pStyle w:val="Heading5"/>
        <w:spacing w:line="176" w:lineRule="exact" w:before="0"/>
        <w:ind w:left="0" w:right="854"/>
        <w:jc w:val="center"/>
      </w:pPr>
      <w:r>
        <w:rPr/>
        <w:t>2ª</w:t>
      </w:r>
      <w:r>
        <w:rPr>
          <w:spacing w:val="-1"/>
        </w:rPr>
        <w:t> </w:t>
      </w:r>
      <w:r>
        <w:rPr>
          <w:spacing w:val="-2"/>
        </w:rPr>
        <w:t>CONVOCATORIA</w:t>
      </w:r>
    </w:p>
    <w:p>
      <w:pPr>
        <w:pStyle w:val="BodyText"/>
        <w:spacing w:before="9"/>
        <w:rPr>
          <w:b/>
          <w:sz w:val="20"/>
        </w:rPr>
      </w:pPr>
    </w:p>
    <w:tbl>
      <w:tblPr>
        <w:tblW w:w="0" w:type="auto"/>
        <w:jc w:val="left"/>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82"/>
        <w:gridCol w:w="1564"/>
        <w:gridCol w:w="1440"/>
        <w:gridCol w:w="1275"/>
        <w:gridCol w:w="1513"/>
        <w:gridCol w:w="1306"/>
        <w:gridCol w:w="1539"/>
        <w:gridCol w:w="1368"/>
        <w:gridCol w:w="1126"/>
        <w:gridCol w:w="1020"/>
        <w:gridCol w:w="1082"/>
      </w:tblGrid>
      <w:tr>
        <w:trPr>
          <w:trHeight w:val="1175" w:hRule="atLeast"/>
        </w:trPr>
        <w:tc>
          <w:tcPr>
            <w:tcW w:w="1282" w:type="dxa"/>
            <w:shd w:val="clear" w:color="auto" w:fill="002D5D"/>
          </w:tcPr>
          <w:p>
            <w:pPr>
              <w:pStyle w:val="TableParagraph"/>
              <w:rPr>
                <w:rFonts w:ascii="Arial"/>
                <w:b/>
                <w:sz w:val="17"/>
              </w:rPr>
            </w:pPr>
          </w:p>
          <w:p>
            <w:pPr>
              <w:pStyle w:val="TableParagraph"/>
              <w:spacing w:before="98"/>
              <w:rPr>
                <w:rFonts w:ascii="Arial"/>
                <w:b/>
                <w:sz w:val="17"/>
              </w:rPr>
            </w:pPr>
          </w:p>
          <w:p>
            <w:pPr>
              <w:pStyle w:val="TableParagraph"/>
              <w:ind w:left="69"/>
              <w:rPr>
                <w:b/>
                <w:sz w:val="17"/>
              </w:rPr>
            </w:pPr>
            <w:r>
              <w:rPr>
                <w:b/>
                <w:color w:val="FFFFFF"/>
                <w:spacing w:val="-2"/>
                <w:sz w:val="17"/>
              </w:rPr>
              <w:t>AYUNTAMIENTO</w:t>
            </w:r>
          </w:p>
        </w:tc>
        <w:tc>
          <w:tcPr>
            <w:tcW w:w="1564" w:type="dxa"/>
            <w:shd w:val="clear" w:color="auto" w:fill="002D5D"/>
          </w:tcPr>
          <w:p>
            <w:pPr>
              <w:pStyle w:val="TableParagraph"/>
              <w:spacing w:before="195"/>
              <w:rPr>
                <w:rFonts w:ascii="Arial"/>
                <w:b/>
                <w:sz w:val="17"/>
              </w:rPr>
            </w:pPr>
          </w:p>
          <w:p>
            <w:pPr>
              <w:pStyle w:val="TableParagraph"/>
              <w:ind w:left="393" w:right="97" w:firstLine="79"/>
              <w:rPr>
                <w:b/>
                <w:sz w:val="17"/>
              </w:rPr>
            </w:pPr>
            <w:r>
              <w:rPr>
                <w:b/>
                <w:color w:val="FFFFFF"/>
                <w:spacing w:val="-2"/>
                <w:sz w:val="17"/>
              </w:rPr>
              <w:t>NOMBRE</w:t>
            </w:r>
            <w:r>
              <w:rPr>
                <w:b/>
                <w:color w:val="FFFFFF"/>
                <w:spacing w:val="40"/>
                <w:sz w:val="17"/>
              </w:rPr>
              <w:t> </w:t>
            </w:r>
            <w:r>
              <w:rPr>
                <w:b/>
                <w:color w:val="FFFFFF"/>
                <w:spacing w:val="-2"/>
                <w:sz w:val="17"/>
              </w:rPr>
              <w:t>PROYECTO</w:t>
            </w:r>
          </w:p>
        </w:tc>
        <w:tc>
          <w:tcPr>
            <w:tcW w:w="1440" w:type="dxa"/>
            <w:shd w:val="clear" w:color="auto" w:fill="002D5D"/>
          </w:tcPr>
          <w:p>
            <w:pPr>
              <w:pStyle w:val="TableParagraph"/>
              <w:rPr>
                <w:rFonts w:ascii="Arial"/>
                <w:b/>
                <w:sz w:val="17"/>
              </w:rPr>
            </w:pPr>
          </w:p>
          <w:p>
            <w:pPr>
              <w:pStyle w:val="TableParagraph"/>
              <w:spacing w:before="1"/>
              <w:ind w:left="200" w:right="268" w:hanging="3"/>
              <w:jc w:val="center"/>
              <w:rPr>
                <w:b/>
                <w:sz w:val="17"/>
              </w:rPr>
            </w:pPr>
            <w:r>
              <w:rPr>
                <w:b/>
                <w:color w:val="FFFFFF"/>
                <w:spacing w:val="-2"/>
                <w:sz w:val="17"/>
              </w:rPr>
              <w:t>PROYECTO</w:t>
            </w:r>
            <w:r>
              <w:rPr>
                <w:b/>
                <w:color w:val="FFFFFF"/>
                <w:spacing w:val="40"/>
                <w:sz w:val="17"/>
              </w:rPr>
              <w:t> </w:t>
            </w:r>
            <w:r>
              <w:rPr>
                <w:b/>
                <w:color w:val="FFFFFF"/>
                <w:spacing w:val="-2"/>
                <w:sz w:val="17"/>
              </w:rPr>
              <w:t>PRESENTADO</w:t>
            </w:r>
          </w:p>
          <w:p>
            <w:pPr>
              <w:pStyle w:val="TableParagraph"/>
              <w:spacing w:line="194" w:lineRule="exact"/>
              <w:ind w:left="3" w:right="73"/>
              <w:jc w:val="center"/>
              <w:rPr>
                <w:b/>
                <w:sz w:val="17"/>
              </w:rPr>
            </w:pPr>
            <w:r>
              <w:rPr>
                <w:b/>
                <w:color w:val="FFFFFF"/>
                <w:sz w:val="17"/>
              </w:rPr>
              <w:t>(costes</w:t>
            </w:r>
            <w:r>
              <w:rPr>
                <w:b/>
                <w:color w:val="FFFFFF"/>
                <w:spacing w:val="-4"/>
                <w:sz w:val="17"/>
              </w:rPr>
              <w:t> </w:t>
            </w:r>
            <w:r>
              <w:rPr>
                <w:b/>
                <w:color w:val="FFFFFF"/>
                <w:spacing w:val="-2"/>
                <w:sz w:val="17"/>
              </w:rPr>
              <w:t>elegibles)</w:t>
            </w:r>
          </w:p>
          <w:p>
            <w:pPr>
              <w:pStyle w:val="TableParagraph"/>
              <w:spacing w:before="1"/>
              <w:ind w:right="73"/>
              <w:jc w:val="center"/>
              <w:rPr>
                <w:b/>
                <w:sz w:val="17"/>
              </w:rPr>
            </w:pPr>
            <w:r>
              <w:rPr>
                <w:b/>
                <w:color w:val="FFFFFF"/>
                <w:spacing w:val="-5"/>
                <w:sz w:val="17"/>
              </w:rPr>
              <w:t>(€)</w:t>
            </w:r>
          </w:p>
        </w:tc>
        <w:tc>
          <w:tcPr>
            <w:tcW w:w="1275" w:type="dxa"/>
            <w:shd w:val="clear" w:color="auto" w:fill="002D5D"/>
          </w:tcPr>
          <w:p>
            <w:pPr>
              <w:pStyle w:val="TableParagraph"/>
              <w:spacing w:before="96"/>
              <w:rPr>
                <w:rFonts w:ascii="Arial"/>
                <w:b/>
                <w:sz w:val="17"/>
              </w:rPr>
            </w:pPr>
          </w:p>
          <w:p>
            <w:pPr>
              <w:pStyle w:val="TableParagraph"/>
              <w:spacing w:before="1"/>
              <w:ind w:left="4" w:right="3"/>
              <w:jc w:val="center"/>
              <w:rPr>
                <w:b/>
                <w:sz w:val="17"/>
              </w:rPr>
            </w:pPr>
            <w:r>
              <w:rPr>
                <w:b/>
                <w:color w:val="FFFFFF"/>
                <w:spacing w:val="-2"/>
                <w:sz w:val="17"/>
              </w:rPr>
              <w:t>SUBVENCIÓN</w:t>
            </w:r>
            <w:r>
              <w:rPr>
                <w:b/>
                <w:color w:val="FFFFFF"/>
                <w:spacing w:val="40"/>
                <w:sz w:val="17"/>
              </w:rPr>
              <w:t> </w:t>
            </w:r>
            <w:r>
              <w:rPr>
                <w:b/>
                <w:color w:val="FFFFFF"/>
                <w:spacing w:val="-2"/>
                <w:sz w:val="17"/>
              </w:rPr>
              <w:t>SOLICITADA</w:t>
            </w:r>
          </w:p>
          <w:p>
            <w:pPr>
              <w:pStyle w:val="TableParagraph"/>
              <w:spacing w:before="1"/>
              <w:ind w:left="1" w:right="4"/>
              <w:jc w:val="center"/>
              <w:rPr>
                <w:b/>
                <w:sz w:val="17"/>
              </w:rPr>
            </w:pPr>
            <w:r>
              <w:rPr>
                <w:b/>
                <w:color w:val="FFFFFF"/>
                <w:spacing w:val="-5"/>
                <w:sz w:val="17"/>
              </w:rPr>
              <w:t>(€)</w:t>
            </w:r>
          </w:p>
        </w:tc>
        <w:tc>
          <w:tcPr>
            <w:tcW w:w="1513" w:type="dxa"/>
            <w:shd w:val="clear" w:color="auto" w:fill="002D5D"/>
          </w:tcPr>
          <w:p>
            <w:pPr>
              <w:pStyle w:val="TableParagraph"/>
              <w:rPr>
                <w:rFonts w:ascii="Arial"/>
                <w:b/>
                <w:sz w:val="17"/>
              </w:rPr>
            </w:pPr>
          </w:p>
          <w:p>
            <w:pPr>
              <w:pStyle w:val="TableParagraph"/>
              <w:spacing w:before="1"/>
              <w:ind w:left="291" w:right="288" w:hanging="3"/>
              <w:jc w:val="center"/>
              <w:rPr>
                <w:b/>
                <w:sz w:val="17"/>
              </w:rPr>
            </w:pPr>
            <w:r>
              <w:rPr>
                <w:b/>
                <w:color w:val="FFFFFF"/>
                <w:spacing w:val="-2"/>
                <w:sz w:val="17"/>
              </w:rPr>
              <w:t>PROYECTO</w:t>
            </w:r>
            <w:r>
              <w:rPr>
                <w:b/>
                <w:color w:val="FFFFFF"/>
                <w:spacing w:val="40"/>
                <w:sz w:val="17"/>
              </w:rPr>
              <w:t> </w:t>
            </w:r>
            <w:r>
              <w:rPr>
                <w:b/>
                <w:color w:val="FFFFFF"/>
                <w:spacing w:val="-2"/>
                <w:sz w:val="17"/>
              </w:rPr>
              <w:t>AUTORIZADO</w:t>
            </w:r>
          </w:p>
          <w:p>
            <w:pPr>
              <w:pStyle w:val="TableParagraph"/>
              <w:spacing w:line="194" w:lineRule="exact"/>
              <w:ind w:left="1" w:right="2"/>
              <w:jc w:val="center"/>
              <w:rPr>
                <w:b/>
                <w:sz w:val="17"/>
              </w:rPr>
            </w:pPr>
            <w:r>
              <w:rPr>
                <w:b/>
                <w:color w:val="FFFFFF"/>
                <w:sz w:val="17"/>
              </w:rPr>
              <w:t>(costes</w:t>
            </w:r>
            <w:r>
              <w:rPr>
                <w:b/>
                <w:color w:val="FFFFFF"/>
                <w:spacing w:val="-4"/>
                <w:sz w:val="17"/>
              </w:rPr>
              <w:t> </w:t>
            </w:r>
            <w:r>
              <w:rPr>
                <w:b/>
                <w:color w:val="FFFFFF"/>
                <w:spacing w:val="-2"/>
                <w:sz w:val="17"/>
              </w:rPr>
              <w:t>elegibles)</w:t>
            </w:r>
          </w:p>
          <w:p>
            <w:pPr>
              <w:pStyle w:val="TableParagraph"/>
              <w:spacing w:before="1"/>
              <w:ind w:right="2"/>
              <w:jc w:val="center"/>
              <w:rPr>
                <w:b/>
                <w:sz w:val="17"/>
              </w:rPr>
            </w:pPr>
            <w:r>
              <w:rPr>
                <w:b/>
                <w:color w:val="FFFFFF"/>
                <w:spacing w:val="-5"/>
                <w:sz w:val="17"/>
              </w:rPr>
              <w:t>(€)</w:t>
            </w:r>
          </w:p>
        </w:tc>
        <w:tc>
          <w:tcPr>
            <w:tcW w:w="1306" w:type="dxa"/>
            <w:shd w:val="clear" w:color="auto" w:fill="002D5D"/>
          </w:tcPr>
          <w:p>
            <w:pPr>
              <w:pStyle w:val="TableParagraph"/>
              <w:spacing w:before="96"/>
              <w:rPr>
                <w:rFonts w:ascii="Arial"/>
                <w:b/>
                <w:sz w:val="17"/>
              </w:rPr>
            </w:pPr>
          </w:p>
          <w:p>
            <w:pPr>
              <w:pStyle w:val="TableParagraph"/>
              <w:spacing w:before="1"/>
              <w:ind w:left="47" w:right="79"/>
              <w:jc w:val="center"/>
              <w:rPr>
                <w:b/>
                <w:sz w:val="17"/>
              </w:rPr>
            </w:pPr>
            <w:r>
              <w:rPr>
                <w:b/>
                <w:color w:val="FFFFFF"/>
                <w:spacing w:val="-2"/>
                <w:sz w:val="17"/>
              </w:rPr>
              <w:t>SUBVENCIÓN</w:t>
            </w:r>
            <w:r>
              <w:rPr>
                <w:b/>
                <w:color w:val="FFFFFF"/>
                <w:spacing w:val="40"/>
                <w:sz w:val="17"/>
              </w:rPr>
              <w:t> </w:t>
            </w:r>
            <w:r>
              <w:rPr>
                <w:b/>
                <w:color w:val="FFFFFF"/>
                <w:spacing w:val="-2"/>
                <w:sz w:val="17"/>
              </w:rPr>
              <w:t>CONCEDIDA</w:t>
            </w:r>
          </w:p>
          <w:p>
            <w:pPr>
              <w:pStyle w:val="TableParagraph"/>
              <w:spacing w:before="1"/>
              <w:ind w:left="47" w:right="84"/>
              <w:jc w:val="center"/>
              <w:rPr>
                <w:b/>
                <w:sz w:val="17"/>
              </w:rPr>
            </w:pPr>
            <w:r>
              <w:rPr>
                <w:b/>
                <w:color w:val="FFFFFF"/>
                <w:spacing w:val="-5"/>
                <w:sz w:val="17"/>
              </w:rPr>
              <w:t>(€)</w:t>
            </w:r>
          </w:p>
        </w:tc>
        <w:tc>
          <w:tcPr>
            <w:tcW w:w="1539" w:type="dxa"/>
            <w:shd w:val="clear" w:color="auto" w:fill="002D5D"/>
          </w:tcPr>
          <w:p>
            <w:pPr>
              <w:pStyle w:val="TableParagraph"/>
              <w:ind w:left="247" w:right="213" w:firstLine="1"/>
              <w:jc w:val="center"/>
              <w:rPr>
                <w:b/>
                <w:sz w:val="17"/>
              </w:rPr>
            </w:pPr>
            <w:r>
              <w:rPr>
                <w:b/>
                <w:color w:val="FFFFFF"/>
                <w:spacing w:val="-2"/>
                <w:sz w:val="17"/>
              </w:rPr>
              <w:t>PROYECTO</w:t>
            </w:r>
            <w:r>
              <w:rPr>
                <w:b/>
                <w:color w:val="FFFFFF"/>
                <w:spacing w:val="40"/>
                <w:sz w:val="17"/>
              </w:rPr>
              <w:t> </w:t>
            </w:r>
            <w:r>
              <w:rPr>
                <w:b/>
                <w:color w:val="FFFFFF"/>
                <w:spacing w:val="-2"/>
                <w:sz w:val="17"/>
              </w:rPr>
              <w:t>AUTORIZADO</w:t>
            </w:r>
            <w:r>
              <w:rPr>
                <w:b/>
                <w:color w:val="FFFFFF"/>
                <w:spacing w:val="40"/>
                <w:sz w:val="17"/>
              </w:rPr>
              <w:t> </w:t>
            </w:r>
            <w:r>
              <w:rPr>
                <w:b/>
                <w:color w:val="FFFFFF"/>
                <w:spacing w:val="-2"/>
                <w:sz w:val="17"/>
              </w:rPr>
              <w:t>ACTUACIONES</w:t>
            </w:r>
            <w:r>
              <w:rPr>
                <w:b/>
                <w:color w:val="FFFFFF"/>
                <w:spacing w:val="40"/>
                <w:sz w:val="17"/>
              </w:rPr>
              <w:t> </w:t>
            </w:r>
            <w:r>
              <w:rPr>
                <w:b/>
                <w:color w:val="FFFFFF"/>
                <w:spacing w:val="-2"/>
                <w:sz w:val="17"/>
              </w:rPr>
              <w:t>FISCALIZACIÓN</w:t>
            </w:r>
          </w:p>
          <w:p>
            <w:pPr>
              <w:pStyle w:val="TableParagraph"/>
              <w:spacing w:line="195" w:lineRule="exact" w:before="1"/>
              <w:ind w:left="33" w:right="1"/>
              <w:jc w:val="center"/>
              <w:rPr>
                <w:b/>
                <w:sz w:val="17"/>
              </w:rPr>
            </w:pPr>
            <w:r>
              <w:rPr>
                <w:b/>
                <w:color w:val="FFFFFF"/>
                <w:sz w:val="17"/>
              </w:rPr>
              <w:t>(costes</w:t>
            </w:r>
            <w:r>
              <w:rPr>
                <w:b/>
                <w:color w:val="FFFFFF"/>
                <w:spacing w:val="-4"/>
                <w:sz w:val="17"/>
              </w:rPr>
              <w:t> </w:t>
            </w:r>
            <w:r>
              <w:rPr>
                <w:b/>
                <w:color w:val="FFFFFF"/>
                <w:spacing w:val="-2"/>
                <w:sz w:val="17"/>
              </w:rPr>
              <w:t>elegibles)</w:t>
            </w:r>
          </w:p>
          <w:p>
            <w:pPr>
              <w:pStyle w:val="TableParagraph"/>
              <w:spacing w:line="180" w:lineRule="exact"/>
              <w:ind w:left="33" w:right="3"/>
              <w:jc w:val="center"/>
              <w:rPr>
                <w:b/>
                <w:sz w:val="17"/>
              </w:rPr>
            </w:pPr>
            <w:r>
              <w:rPr>
                <w:b/>
                <w:color w:val="FFFFFF"/>
                <w:spacing w:val="-5"/>
                <w:sz w:val="17"/>
              </w:rPr>
              <w:t>(€)</w:t>
            </w:r>
          </w:p>
        </w:tc>
        <w:tc>
          <w:tcPr>
            <w:tcW w:w="1368" w:type="dxa"/>
            <w:shd w:val="clear" w:color="auto" w:fill="002D5D"/>
          </w:tcPr>
          <w:p>
            <w:pPr>
              <w:pStyle w:val="TableParagraph"/>
              <w:spacing w:before="97"/>
              <w:ind w:left="164" w:right="124" w:firstLine="72"/>
              <w:jc w:val="both"/>
              <w:rPr>
                <w:b/>
                <w:sz w:val="17"/>
              </w:rPr>
            </w:pPr>
            <w:r>
              <w:rPr>
                <w:b/>
                <w:color w:val="FFFFFF"/>
                <w:spacing w:val="-2"/>
                <w:sz w:val="17"/>
              </w:rPr>
              <w:t>SUBVENCIÓN</w:t>
            </w:r>
            <w:r>
              <w:rPr>
                <w:b/>
                <w:color w:val="FFFFFF"/>
                <w:spacing w:val="40"/>
                <w:sz w:val="17"/>
              </w:rPr>
              <w:t> </w:t>
            </w:r>
            <w:r>
              <w:rPr>
                <w:b/>
                <w:color w:val="FFFFFF"/>
                <w:spacing w:val="-2"/>
                <w:sz w:val="17"/>
              </w:rPr>
              <w:t>CONCEDIDA</w:t>
            </w:r>
            <w:r>
              <w:rPr>
                <w:b/>
                <w:color w:val="FFFFFF"/>
                <w:spacing w:val="40"/>
                <w:sz w:val="17"/>
              </w:rPr>
              <w:t> </w:t>
            </w:r>
            <w:r>
              <w:rPr>
                <w:b/>
                <w:color w:val="FFFFFF"/>
                <w:spacing w:val="-2"/>
                <w:sz w:val="17"/>
              </w:rPr>
              <w:t>ACTUACIONES</w:t>
            </w:r>
            <w:r>
              <w:rPr>
                <w:b/>
                <w:color w:val="FFFFFF"/>
                <w:spacing w:val="40"/>
                <w:sz w:val="17"/>
              </w:rPr>
              <w:t> </w:t>
            </w:r>
            <w:r>
              <w:rPr>
                <w:b/>
                <w:color w:val="FFFFFF"/>
                <w:spacing w:val="-2"/>
                <w:sz w:val="17"/>
              </w:rPr>
              <w:t>FISCALIZACIÓN</w:t>
            </w:r>
          </w:p>
          <w:p>
            <w:pPr>
              <w:pStyle w:val="TableParagraph"/>
              <w:ind w:left="35" w:right="4"/>
              <w:jc w:val="center"/>
              <w:rPr>
                <w:b/>
                <w:sz w:val="17"/>
              </w:rPr>
            </w:pPr>
            <w:r>
              <w:rPr>
                <w:b/>
                <w:color w:val="FFFFFF"/>
                <w:spacing w:val="-5"/>
                <w:sz w:val="17"/>
              </w:rPr>
              <w:t>(€)</w:t>
            </w:r>
          </w:p>
        </w:tc>
        <w:tc>
          <w:tcPr>
            <w:tcW w:w="1126" w:type="dxa"/>
            <w:shd w:val="clear" w:color="auto" w:fill="002D5D"/>
          </w:tcPr>
          <w:p>
            <w:pPr>
              <w:pStyle w:val="TableParagraph"/>
              <w:spacing w:before="96"/>
              <w:rPr>
                <w:rFonts w:ascii="Arial"/>
                <w:b/>
                <w:sz w:val="17"/>
              </w:rPr>
            </w:pPr>
          </w:p>
          <w:p>
            <w:pPr>
              <w:pStyle w:val="TableParagraph"/>
              <w:spacing w:before="1"/>
              <w:ind w:left="181" w:right="167" w:hanging="1"/>
              <w:jc w:val="center"/>
              <w:rPr>
                <w:b/>
                <w:sz w:val="17"/>
              </w:rPr>
            </w:pPr>
            <w:r>
              <w:rPr>
                <w:b/>
                <w:color w:val="FFFFFF"/>
                <w:spacing w:val="-2"/>
                <w:sz w:val="17"/>
              </w:rPr>
              <w:t>ANTICIPOS</w:t>
            </w:r>
            <w:r>
              <w:rPr>
                <w:b/>
                <w:color w:val="FFFFFF"/>
                <w:spacing w:val="40"/>
                <w:sz w:val="17"/>
              </w:rPr>
              <w:t> </w:t>
            </w:r>
            <w:r>
              <w:rPr>
                <w:b/>
                <w:color w:val="FFFFFF"/>
                <w:spacing w:val="-2"/>
                <w:sz w:val="17"/>
              </w:rPr>
              <w:t>RECIBIDOS</w:t>
            </w:r>
          </w:p>
          <w:p>
            <w:pPr>
              <w:pStyle w:val="TableParagraph"/>
              <w:spacing w:before="1"/>
              <w:ind w:left="9"/>
              <w:jc w:val="center"/>
              <w:rPr>
                <w:b/>
                <w:sz w:val="17"/>
              </w:rPr>
            </w:pPr>
            <w:r>
              <w:rPr>
                <w:b/>
                <w:color w:val="FFFFFF"/>
                <w:spacing w:val="-5"/>
                <w:sz w:val="17"/>
              </w:rPr>
              <w:t>(€)</w:t>
            </w:r>
          </w:p>
        </w:tc>
        <w:tc>
          <w:tcPr>
            <w:tcW w:w="1020" w:type="dxa"/>
            <w:shd w:val="clear" w:color="auto" w:fill="002D5D"/>
          </w:tcPr>
          <w:p>
            <w:pPr>
              <w:pStyle w:val="TableParagraph"/>
              <w:spacing w:before="195"/>
              <w:rPr>
                <w:rFonts w:ascii="Arial"/>
                <w:b/>
                <w:sz w:val="17"/>
              </w:rPr>
            </w:pPr>
          </w:p>
          <w:p>
            <w:pPr>
              <w:pStyle w:val="TableParagraph"/>
              <w:ind w:left="107" w:firstLine="168"/>
              <w:rPr>
                <w:b/>
                <w:sz w:val="17"/>
              </w:rPr>
            </w:pPr>
            <w:r>
              <w:rPr>
                <w:b/>
                <w:color w:val="FFFFFF"/>
                <w:spacing w:val="-4"/>
                <w:sz w:val="17"/>
              </w:rPr>
              <w:t>PLAZO</w:t>
            </w:r>
            <w:r>
              <w:rPr>
                <w:b/>
                <w:color w:val="FFFFFF"/>
                <w:spacing w:val="40"/>
                <w:sz w:val="17"/>
              </w:rPr>
              <w:t> </w:t>
            </w:r>
            <w:r>
              <w:rPr>
                <w:b/>
                <w:color w:val="FFFFFF"/>
                <w:spacing w:val="-2"/>
                <w:sz w:val="17"/>
              </w:rPr>
              <w:t>EJECUCIÓN</w:t>
            </w:r>
          </w:p>
        </w:tc>
        <w:tc>
          <w:tcPr>
            <w:tcW w:w="1082" w:type="dxa"/>
            <w:shd w:val="clear" w:color="auto" w:fill="002D5D"/>
          </w:tcPr>
          <w:p>
            <w:pPr>
              <w:pStyle w:val="TableParagraph"/>
              <w:spacing w:before="195"/>
              <w:rPr>
                <w:rFonts w:ascii="Arial"/>
                <w:b/>
                <w:sz w:val="17"/>
              </w:rPr>
            </w:pPr>
          </w:p>
          <w:p>
            <w:pPr>
              <w:pStyle w:val="TableParagraph"/>
              <w:ind w:left="93" w:firstLine="381"/>
              <w:rPr>
                <w:b/>
                <w:sz w:val="17"/>
              </w:rPr>
            </w:pPr>
            <w:r>
              <w:rPr>
                <w:b/>
                <w:color w:val="FFFFFF"/>
                <w:spacing w:val="-6"/>
                <w:sz w:val="17"/>
              </w:rPr>
              <w:t>Nº</w:t>
            </w:r>
            <w:r>
              <w:rPr>
                <w:b/>
                <w:color w:val="FFFFFF"/>
                <w:spacing w:val="40"/>
                <w:sz w:val="17"/>
              </w:rPr>
              <w:t> </w:t>
            </w:r>
            <w:r>
              <w:rPr>
                <w:b/>
                <w:color w:val="FFFFFF"/>
                <w:spacing w:val="-2"/>
                <w:sz w:val="17"/>
              </w:rPr>
              <w:t>PRÓRROGAS</w:t>
            </w:r>
          </w:p>
        </w:tc>
      </w:tr>
      <w:tr>
        <w:trPr>
          <w:trHeight w:val="1167" w:hRule="atLeast"/>
        </w:trPr>
        <w:tc>
          <w:tcPr>
            <w:tcW w:w="1282"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69"/>
              <w:rPr>
                <w:b/>
                <w:sz w:val="17"/>
              </w:rPr>
            </w:pPr>
            <w:r>
              <w:rPr>
                <w:b/>
                <w:spacing w:val="-2"/>
                <w:sz w:val="17"/>
              </w:rPr>
              <w:t>BILBAO</w:t>
            </w:r>
          </w:p>
        </w:tc>
        <w:tc>
          <w:tcPr>
            <w:tcW w:w="1564" w:type="dxa"/>
            <w:tcBorders>
              <w:top w:val="single" w:sz="4" w:space="0" w:color="002D5D"/>
              <w:bottom w:val="single" w:sz="4" w:space="0" w:color="002D5D"/>
            </w:tcBorders>
            <w:shd w:val="clear" w:color="auto" w:fill="F1F1F1"/>
          </w:tcPr>
          <w:p>
            <w:pPr>
              <w:pStyle w:val="TableParagraph"/>
              <w:ind w:left="86" w:right="97"/>
              <w:rPr>
                <w:sz w:val="17"/>
              </w:rPr>
            </w:pPr>
            <w:r>
              <w:rPr>
                <w:sz w:val="17"/>
              </w:rPr>
              <w:t>Implantación de ZBE</w:t>
            </w:r>
            <w:r>
              <w:rPr>
                <w:spacing w:val="40"/>
                <w:sz w:val="17"/>
              </w:rPr>
              <w:t> </w:t>
            </w:r>
            <w:r>
              <w:rPr>
                <w:sz w:val="17"/>
              </w:rPr>
              <w:t>y</w:t>
            </w:r>
            <w:r>
              <w:rPr>
                <w:spacing w:val="-4"/>
                <w:sz w:val="17"/>
              </w:rPr>
              <w:t> </w:t>
            </w:r>
            <w:r>
              <w:rPr>
                <w:sz w:val="17"/>
              </w:rPr>
              <w:t>actuaciones</w:t>
            </w:r>
            <w:r>
              <w:rPr>
                <w:spacing w:val="40"/>
                <w:sz w:val="17"/>
              </w:rPr>
              <w:t> </w:t>
            </w:r>
            <w:r>
              <w:rPr>
                <w:sz w:val="17"/>
              </w:rPr>
              <w:t>complementarias</w:t>
            </w:r>
            <w:r>
              <w:rPr>
                <w:spacing w:val="-10"/>
                <w:sz w:val="17"/>
              </w:rPr>
              <w:t> </w:t>
            </w:r>
            <w:r>
              <w:rPr>
                <w:sz w:val="17"/>
              </w:rPr>
              <w:t>para</w:t>
            </w:r>
            <w:r>
              <w:rPr>
                <w:spacing w:val="40"/>
                <w:sz w:val="17"/>
              </w:rPr>
              <w:t> </w:t>
            </w:r>
            <w:r>
              <w:rPr>
                <w:sz w:val="17"/>
              </w:rPr>
              <w:t>fomento de una</w:t>
            </w:r>
            <w:r>
              <w:rPr>
                <w:spacing w:val="40"/>
                <w:sz w:val="17"/>
              </w:rPr>
              <w:t> </w:t>
            </w:r>
            <w:r>
              <w:rPr>
                <w:sz w:val="17"/>
              </w:rPr>
              <w:t>movilidad</w:t>
            </w:r>
            <w:r>
              <w:rPr>
                <w:spacing w:val="-4"/>
                <w:sz w:val="17"/>
              </w:rPr>
              <w:t> </w:t>
            </w:r>
            <w:r>
              <w:rPr>
                <w:sz w:val="17"/>
              </w:rPr>
              <w:t>no</w:t>
            </w:r>
          </w:p>
          <w:p>
            <w:pPr>
              <w:pStyle w:val="TableParagraph"/>
              <w:spacing w:line="175" w:lineRule="exact"/>
              <w:ind w:left="86"/>
              <w:rPr>
                <w:sz w:val="17"/>
              </w:rPr>
            </w:pPr>
            <w:r>
              <w:rPr>
                <w:spacing w:val="-2"/>
                <w:sz w:val="17"/>
              </w:rPr>
              <w:t>motorizada</w:t>
            </w:r>
          </w:p>
        </w:tc>
        <w:tc>
          <w:tcPr>
            <w:tcW w:w="1440"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3" w:right="73"/>
              <w:jc w:val="center"/>
              <w:rPr>
                <w:sz w:val="17"/>
              </w:rPr>
            </w:pPr>
            <w:r>
              <w:rPr>
                <w:spacing w:val="-2"/>
                <w:sz w:val="17"/>
              </w:rPr>
              <w:t>15.279.729,41</w:t>
            </w:r>
          </w:p>
        </w:tc>
        <w:tc>
          <w:tcPr>
            <w:tcW w:w="1275"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2" w:right="3"/>
              <w:jc w:val="center"/>
              <w:rPr>
                <w:sz w:val="17"/>
              </w:rPr>
            </w:pPr>
            <w:r>
              <w:rPr>
                <w:spacing w:val="-2"/>
                <w:sz w:val="17"/>
              </w:rPr>
              <w:t>12.060.461,47</w:t>
            </w:r>
          </w:p>
        </w:tc>
        <w:tc>
          <w:tcPr>
            <w:tcW w:w="1513"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1" w:right="2"/>
              <w:jc w:val="center"/>
              <w:rPr>
                <w:sz w:val="17"/>
              </w:rPr>
            </w:pPr>
            <w:r>
              <w:rPr>
                <w:spacing w:val="-2"/>
                <w:sz w:val="17"/>
              </w:rPr>
              <w:t>15.279.729,41</w:t>
            </w:r>
          </w:p>
        </w:tc>
        <w:tc>
          <w:tcPr>
            <w:tcW w:w="1306"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47" w:right="81"/>
              <w:jc w:val="center"/>
              <w:rPr>
                <w:sz w:val="17"/>
              </w:rPr>
            </w:pPr>
            <w:r>
              <w:rPr>
                <w:spacing w:val="-2"/>
                <w:sz w:val="17"/>
              </w:rPr>
              <w:t>12.060.461,47</w:t>
            </w:r>
          </w:p>
        </w:tc>
        <w:tc>
          <w:tcPr>
            <w:tcW w:w="1539"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33" w:right="3"/>
              <w:jc w:val="center"/>
              <w:rPr>
                <w:sz w:val="17"/>
              </w:rPr>
            </w:pPr>
            <w:r>
              <w:rPr>
                <w:spacing w:val="-2"/>
                <w:sz w:val="17"/>
              </w:rPr>
              <w:t>3.392.550,00</w:t>
            </w:r>
          </w:p>
        </w:tc>
        <w:tc>
          <w:tcPr>
            <w:tcW w:w="1368"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35" w:right="3"/>
              <w:jc w:val="center"/>
              <w:rPr>
                <w:sz w:val="17"/>
              </w:rPr>
            </w:pPr>
            <w:r>
              <w:rPr>
                <w:spacing w:val="-2"/>
                <w:sz w:val="17"/>
              </w:rPr>
              <w:t>1.362.000,00</w:t>
            </w:r>
          </w:p>
        </w:tc>
        <w:tc>
          <w:tcPr>
            <w:tcW w:w="1126"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65" w:right="57"/>
              <w:jc w:val="center"/>
              <w:rPr>
                <w:sz w:val="17"/>
              </w:rPr>
            </w:pPr>
            <w:r>
              <w:rPr>
                <w:spacing w:val="-2"/>
                <w:sz w:val="17"/>
              </w:rPr>
              <w:t>12.060.461,47</w:t>
            </w:r>
          </w:p>
        </w:tc>
        <w:tc>
          <w:tcPr>
            <w:tcW w:w="1020"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6"/>
              <w:jc w:val="center"/>
              <w:rPr>
                <w:sz w:val="17"/>
              </w:rPr>
            </w:pPr>
            <w:r>
              <w:rPr>
                <w:spacing w:val="-2"/>
                <w:sz w:val="17"/>
              </w:rPr>
              <w:t>31/12/2025</w:t>
            </w:r>
          </w:p>
        </w:tc>
        <w:tc>
          <w:tcPr>
            <w:tcW w:w="1082" w:type="dxa"/>
            <w:tcBorders>
              <w:top w:val="single" w:sz="4" w:space="0" w:color="002D5D"/>
              <w:bottom w:val="single" w:sz="4" w:space="0" w:color="002D5D"/>
            </w:tcBorders>
            <w:shd w:val="clear" w:color="auto" w:fill="F1F1F1"/>
          </w:tcPr>
          <w:p>
            <w:pPr>
              <w:pStyle w:val="TableParagraph"/>
              <w:rPr>
                <w:rFonts w:ascii="Arial"/>
                <w:b/>
                <w:sz w:val="17"/>
              </w:rPr>
            </w:pPr>
          </w:p>
          <w:p>
            <w:pPr>
              <w:pStyle w:val="TableParagraph"/>
              <w:spacing w:before="92"/>
              <w:rPr>
                <w:rFonts w:ascii="Arial"/>
                <w:b/>
                <w:sz w:val="17"/>
              </w:rPr>
            </w:pPr>
          </w:p>
          <w:p>
            <w:pPr>
              <w:pStyle w:val="TableParagraph"/>
              <w:ind w:left="16"/>
              <w:jc w:val="center"/>
              <w:rPr>
                <w:sz w:val="17"/>
              </w:rPr>
            </w:pPr>
            <w:r>
              <w:rPr>
                <w:spacing w:val="-10"/>
                <w:sz w:val="17"/>
              </w:rPr>
              <w:t>2</w:t>
            </w:r>
          </w:p>
        </w:tc>
      </w:tr>
      <w:tr>
        <w:trPr>
          <w:trHeight w:val="393" w:hRule="atLeast"/>
        </w:trPr>
        <w:tc>
          <w:tcPr>
            <w:tcW w:w="1282" w:type="dxa"/>
            <w:tcBorders>
              <w:top w:val="single" w:sz="4" w:space="0" w:color="002D5D"/>
              <w:bottom w:val="single" w:sz="4" w:space="0" w:color="002D5D"/>
            </w:tcBorders>
          </w:tcPr>
          <w:p>
            <w:pPr>
              <w:pStyle w:val="TableParagraph"/>
              <w:spacing w:before="100"/>
              <w:ind w:left="69"/>
              <w:rPr>
                <w:b/>
                <w:sz w:val="17"/>
              </w:rPr>
            </w:pPr>
            <w:r>
              <w:rPr>
                <w:b/>
                <w:spacing w:val="-2"/>
                <w:sz w:val="17"/>
              </w:rPr>
              <w:t>MÁLAGA</w:t>
            </w:r>
          </w:p>
        </w:tc>
        <w:tc>
          <w:tcPr>
            <w:tcW w:w="1564" w:type="dxa"/>
            <w:tcBorders>
              <w:top w:val="single" w:sz="4" w:space="0" w:color="002D5D"/>
              <w:bottom w:val="single" w:sz="4" w:space="0" w:color="002D5D"/>
            </w:tcBorders>
          </w:tcPr>
          <w:p>
            <w:pPr>
              <w:pStyle w:val="TableParagraph"/>
              <w:spacing w:before="100"/>
              <w:ind w:left="86"/>
              <w:rPr>
                <w:sz w:val="17"/>
              </w:rPr>
            </w:pPr>
            <w:r>
              <w:rPr>
                <w:sz w:val="17"/>
              </w:rPr>
              <w:t>Saludable</w:t>
            </w:r>
            <w:r>
              <w:rPr>
                <w:spacing w:val="-4"/>
                <w:sz w:val="17"/>
              </w:rPr>
              <w:t> </w:t>
            </w:r>
            <w:r>
              <w:rPr>
                <w:spacing w:val="-5"/>
                <w:sz w:val="17"/>
              </w:rPr>
              <w:t>II</w:t>
            </w:r>
          </w:p>
        </w:tc>
        <w:tc>
          <w:tcPr>
            <w:tcW w:w="1440" w:type="dxa"/>
            <w:tcBorders>
              <w:top w:val="single" w:sz="4" w:space="0" w:color="002D5D"/>
              <w:bottom w:val="single" w:sz="4" w:space="0" w:color="002D5D"/>
            </w:tcBorders>
          </w:tcPr>
          <w:p>
            <w:pPr>
              <w:pStyle w:val="TableParagraph"/>
              <w:spacing w:before="100"/>
              <w:ind w:left="3" w:right="73"/>
              <w:jc w:val="center"/>
              <w:rPr>
                <w:sz w:val="17"/>
              </w:rPr>
            </w:pPr>
            <w:r>
              <w:rPr>
                <w:spacing w:val="-2"/>
                <w:sz w:val="17"/>
              </w:rPr>
              <w:t>30.150.143,29</w:t>
            </w:r>
          </w:p>
        </w:tc>
        <w:tc>
          <w:tcPr>
            <w:tcW w:w="1275" w:type="dxa"/>
            <w:tcBorders>
              <w:top w:val="single" w:sz="4" w:space="0" w:color="002D5D"/>
              <w:bottom w:val="single" w:sz="4" w:space="0" w:color="002D5D"/>
            </w:tcBorders>
          </w:tcPr>
          <w:p>
            <w:pPr>
              <w:pStyle w:val="TableParagraph"/>
              <w:spacing w:before="100"/>
              <w:ind w:left="2" w:right="3"/>
              <w:jc w:val="center"/>
              <w:rPr>
                <w:sz w:val="17"/>
              </w:rPr>
            </w:pPr>
            <w:r>
              <w:rPr>
                <w:spacing w:val="-2"/>
                <w:sz w:val="17"/>
              </w:rPr>
              <w:t>16.987.956,18</w:t>
            </w:r>
          </w:p>
        </w:tc>
        <w:tc>
          <w:tcPr>
            <w:tcW w:w="1513" w:type="dxa"/>
            <w:tcBorders>
              <w:top w:val="single" w:sz="4" w:space="0" w:color="002D5D"/>
              <w:bottom w:val="single" w:sz="4" w:space="0" w:color="002D5D"/>
            </w:tcBorders>
          </w:tcPr>
          <w:p>
            <w:pPr>
              <w:pStyle w:val="TableParagraph"/>
              <w:spacing w:before="100"/>
              <w:ind w:left="1" w:right="2"/>
              <w:jc w:val="center"/>
              <w:rPr>
                <w:sz w:val="17"/>
              </w:rPr>
            </w:pPr>
            <w:r>
              <w:rPr>
                <w:spacing w:val="-2"/>
                <w:sz w:val="17"/>
              </w:rPr>
              <w:t>30.150.143,29</w:t>
            </w:r>
          </w:p>
        </w:tc>
        <w:tc>
          <w:tcPr>
            <w:tcW w:w="1306" w:type="dxa"/>
            <w:tcBorders>
              <w:top w:val="single" w:sz="4" w:space="0" w:color="002D5D"/>
              <w:bottom w:val="single" w:sz="4" w:space="0" w:color="002D5D"/>
            </w:tcBorders>
          </w:tcPr>
          <w:p>
            <w:pPr>
              <w:pStyle w:val="TableParagraph"/>
              <w:spacing w:before="100"/>
              <w:ind w:left="47" w:right="81"/>
              <w:jc w:val="center"/>
              <w:rPr>
                <w:sz w:val="17"/>
              </w:rPr>
            </w:pPr>
            <w:r>
              <w:rPr>
                <w:spacing w:val="-2"/>
                <w:sz w:val="17"/>
              </w:rPr>
              <w:t>16.547.956,18</w:t>
            </w:r>
          </w:p>
        </w:tc>
        <w:tc>
          <w:tcPr>
            <w:tcW w:w="1539" w:type="dxa"/>
            <w:tcBorders>
              <w:top w:val="single" w:sz="4" w:space="0" w:color="002D5D"/>
              <w:bottom w:val="single" w:sz="4" w:space="0" w:color="002D5D"/>
            </w:tcBorders>
          </w:tcPr>
          <w:p>
            <w:pPr>
              <w:pStyle w:val="TableParagraph"/>
              <w:spacing w:before="100"/>
              <w:ind w:left="33"/>
              <w:jc w:val="center"/>
              <w:rPr>
                <w:sz w:val="17"/>
              </w:rPr>
            </w:pPr>
            <w:r>
              <w:rPr>
                <w:spacing w:val="-2"/>
                <w:sz w:val="17"/>
              </w:rPr>
              <w:t>19.492.876,68</w:t>
            </w:r>
          </w:p>
        </w:tc>
        <w:tc>
          <w:tcPr>
            <w:tcW w:w="1368" w:type="dxa"/>
            <w:tcBorders>
              <w:top w:val="single" w:sz="4" w:space="0" w:color="002D5D"/>
              <w:bottom w:val="single" w:sz="4" w:space="0" w:color="002D5D"/>
            </w:tcBorders>
          </w:tcPr>
          <w:p>
            <w:pPr>
              <w:pStyle w:val="TableParagraph"/>
              <w:spacing w:before="100"/>
              <w:ind w:left="35" w:right="3"/>
              <w:jc w:val="center"/>
              <w:rPr>
                <w:sz w:val="17"/>
              </w:rPr>
            </w:pPr>
            <w:r>
              <w:rPr>
                <w:spacing w:val="-2"/>
                <w:sz w:val="17"/>
              </w:rPr>
              <w:t>9.891.483,50</w:t>
            </w:r>
          </w:p>
        </w:tc>
        <w:tc>
          <w:tcPr>
            <w:tcW w:w="1126" w:type="dxa"/>
            <w:tcBorders>
              <w:top w:val="single" w:sz="4" w:space="0" w:color="002D5D"/>
              <w:bottom w:val="single" w:sz="4" w:space="0" w:color="002D5D"/>
            </w:tcBorders>
          </w:tcPr>
          <w:p>
            <w:pPr>
              <w:pStyle w:val="TableParagraph"/>
              <w:spacing w:before="100"/>
              <w:ind w:left="65" w:right="57"/>
              <w:jc w:val="center"/>
              <w:rPr>
                <w:sz w:val="17"/>
              </w:rPr>
            </w:pPr>
            <w:r>
              <w:rPr>
                <w:spacing w:val="-2"/>
                <w:sz w:val="17"/>
              </w:rPr>
              <w:t>16.547.956,18</w:t>
            </w:r>
          </w:p>
        </w:tc>
        <w:tc>
          <w:tcPr>
            <w:tcW w:w="1020" w:type="dxa"/>
            <w:tcBorders>
              <w:top w:val="single" w:sz="4" w:space="0" w:color="002D5D"/>
              <w:bottom w:val="single" w:sz="4" w:space="0" w:color="002D5D"/>
            </w:tcBorders>
          </w:tcPr>
          <w:p>
            <w:pPr>
              <w:pStyle w:val="TableParagraph"/>
              <w:spacing w:before="100"/>
              <w:ind w:left="6"/>
              <w:jc w:val="center"/>
              <w:rPr>
                <w:sz w:val="17"/>
              </w:rPr>
            </w:pPr>
            <w:r>
              <w:rPr>
                <w:spacing w:val="-2"/>
                <w:sz w:val="17"/>
              </w:rPr>
              <w:t>31/12/2025</w:t>
            </w:r>
          </w:p>
        </w:tc>
        <w:tc>
          <w:tcPr>
            <w:tcW w:w="1082" w:type="dxa"/>
            <w:tcBorders>
              <w:top w:val="single" w:sz="4" w:space="0" w:color="002D5D"/>
              <w:bottom w:val="single" w:sz="4" w:space="0" w:color="002D5D"/>
            </w:tcBorders>
          </w:tcPr>
          <w:p>
            <w:pPr>
              <w:pStyle w:val="TableParagraph"/>
              <w:spacing w:before="100"/>
              <w:ind w:left="16"/>
              <w:jc w:val="center"/>
              <w:rPr>
                <w:sz w:val="17"/>
              </w:rPr>
            </w:pPr>
            <w:r>
              <w:rPr>
                <w:spacing w:val="-10"/>
                <w:sz w:val="17"/>
              </w:rPr>
              <w:t>1</w:t>
            </w:r>
          </w:p>
        </w:tc>
      </w:tr>
      <w:tr>
        <w:trPr>
          <w:trHeight w:val="782" w:hRule="atLeast"/>
        </w:trPr>
        <w:tc>
          <w:tcPr>
            <w:tcW w:w="1282"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69"/>
              <w:rPr>
                <w:b/>
                <w:sz w:val="17"/>
              </w:rPr>
            </w:pPr>
            <w:r>
              <w:rPr>
                <w:b/>
                <w:spacing w:val="-2"/>
                <w:sz w:val="17"/>
              </w:rPr>
              <w:t>SEVILLA</w:t>
            </w:r>
          </w:p>
        </w:tc>
        <w:tc>
          <w:tcPr>
            <w:tcW w:w="1564" w:type="dxa"/>
            <w:tcBorders>
              <w:top w:val="single" w:sz="4" w:space="0" w:color="002D5D"/>
              <w:bottom w:val="single" w:sz="4" w:space="0" w:color="002D5D"/>
            </w:tcBorders>
            <w:shd w:val="clear" w:color="auto" w:fill="F1F1F1"/>
          </w:tcPr>
          <w:p>
            <w:pPr>
              <w:pStyle w:val="TableParagraph"/>
              <w:ind w:left="86" w:right="212"/>
              <w:rPr>
                <w:sz w:val="17"/>
              </w:rPr>
            </w:pPr>
            <w:r>
              <w:rPr>
                <w:sz w:val="17"/>
              </w:rPr>
              <w:t>Actuaciones de</w:t>
            </w:r>
            <w:r>
              <w:rPr>
                <w:spacing w:val="40"/>
                <w:sz w:val="17"/>
              </w:rPr>
              <w:t> </w:t>
            </w:r>
            <w:r>
              <w:rPr>
                <w:sz w:val="17"/>
              </w:rPr>
              <w:t>movilidad</w:t>
            </w:r>
            <w:r>
              <w:rPr>
                <w:spacing w:val="-4"/>
                <w:sz w:val="17"/>
              </w:rPr>
              <w:t> </w:t>
            </w:r>
            <w:r>
              <w:rPr>
                <w:sz w:val="17"/>
              </w:rPr>
              <w:t>dirigidas</w:t>
            </w:r>
            <w:r>
              <w:rPr>
                <w:spacing w:val="-4"/>
                <w:sz w:val="17"/>
              </w:rPr>
              <w:t> </w:t>
            </w:r>
            <w:r>
              <w:rPr>
                <w:spacing w:val="-10"/>
                <w:sz w:val="17"/>
              </w:rPr>
              <w:t>a</w:t>
            </w:r>
          </w:p>
          <w:p>
            <w:pPr>
              <w:pStyle w:val="TableParagraph"/>
              <w:spacing w:line="194" w:lineRule="exact"/>
              <w:ind w:left="86" w:right="97"/>
              <w:rPr>
                <w:sz w:val="17"/>
              </w:rPr>
            </w:pPr>
            <w:r>
              <w:rPr>
                <w:sz w:val="17"/>
              </w:rPr>
              <w:t>facilitar</w:t>
            </w:r>
            <w:r>
              <w:rPr>
                <w:spacing w:val="-10"/>
                <w:sz w:val="17"/>
              </w:rPr>
              <w:t> </w:t>
            </w:r>
            <w:r>
              <w:rPr>
                <w:sz w:val="17"/>
              </w:rPr>
              <w:t>el</w:t>
            </w:r>
            <w:r>
              <w:rPr>
                <w:spacing w:val="-10"/>
                <w:sz w:val="17"/>
              </w:rPr>
              <w:t> </w:t>
            </w:r>
            <w:r>
              <w:rPr>
                <w:sz w:val="17"/>
              </w:rPr>
              <w:t>acceso</w:t>
            </w:r>
            <w:r>
              <w:rPr>
                <w:spacing w:val="-10"/>
                <w:sz w:val="17"/>
              </w:rPr>
              <w:t> </w:t>
            </w:r>
            <w:r>
              <w:rPr>
                <w:sz w:val="17"/>
              </w:rPr>
              <w:t>a</w:t>
            </w:r>
            <w:r>
              <w:rPr>
                <w:spacing w:val="40"/>
                <w:sz w:val="17"/>
              </w:rPr>
              <w:t> </w:t>
            </w:r>
            <w:r>
              <w:rPr>
                <w:sz w:val="17"/>
              </w:rPr>
              <w:t>Santa</w:t>
            </w:r>
            <w:r>
              <w:rPr>
                <w:spacing w:val="-6"/>
                <w:sz w:val="17"/>
              </w:rPr>
              <w:t> </w:t>
            </w:r>
            <w:r>
              <w:rPr>
                <w:sz w:val="17"/>
              </w:rPr>
              <w:t>Justa</w:t>
            </w:r>
          </w:p>
        </w:tc>
        <w:tc>
          <w:tcPr>
            <w:tcW w:w="1440"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3" w:right="73"/>
              <w:jc w:val="center"/>
              <w:rPr>
                <w:sz w:val="17"/>
              </w:rPr>
            </w:pPr>
            <w:r>
              <w:rPr>
                <w:spacing w:val="-2"/>
                <w:sz w:val="17"/>
              </w:rPr>
              <w:t>27.453.750,00</w:t>
            </w:r>
          </w:p>
        </w:tc>
        <w:tc>
          <w:tcPr>
            <w:tcW w:w="1275"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2" w:right="3"/>
              <w:jc w:val="center"/>
              <w:rPr>
                <w:sz w:val="17"/>
              </w:rPr>
            </w:pPr>
            <w:r>
              <w:rPr>
                <w:spacing w:val="-2"/>
                <w:sz w:val="17"/>
              </w:rPr>
              <w:t>18.644.826,00</w:t>
            </w:r>
          </w:p>
        </w:tc>
        <w:tc>
          <w:tcPr>
            <w:tcW w:w="1513"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1" w:right="2"/>
              <w:jc w:val="center"/>
              <w:rPr>
                <w:sz w:val="17"/>
              </w:rPr>
            </w:pPr>
            <w:r>
              <w:rPr>
                <w:spacing w:val="-2"/>
                <w:sz w:val="17"/>
              </w:rPr>
              <w:t>27.355.850,00</w:t>
            </w:r>
          </w:p>
        </w:tc>
        <w:tc>
          <w:tcPr>
            <w:tcW w:w="1306"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47" w:right="81"/>
              <w:jc w:val="center"/>
              <w:rPr>
                <w:sz w:val="17"/>
              </w:rPr>
            </w:pPr>
            <w:r>
              <w:rPr>
                <w:spacing w:val="-2"/>
                <w:sz w:val="17"/>
              </w:rPr>
              <w:t>18.556.716,00</w:t>
            </w:r>
          </w:p>
        </w:tc>
        <w:tc>
          <w:tcPr>
            <w:tcW w:w="1539"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33"/>
              <w:jc w:val="center"/>
              <w:rPr>
                <w:sz w:val="17"/>
              </w:rPr>
            </w:pPr>
            <w:r>
              <w:rPr>
                <w:spacing w:val="-2"/>
                <w:sz w:val="17"/>
              </w:rPr>
              <w:t>27.355.850,00</w:t>
            </w:r>
          </w:p>
        </w:tc>
        <w:tc>
          <w:tcPr>
            <w:tcW w:w="1368"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35"/>
              <w:jc w:val="center"/>
              <w:rPr>
                <w:sz w:val="17"/>
              </w:rPr>
            </w:pPr>
            <w:r>
              <w:rPr>
                <w:spacing w:val="-2"/>
                <w:sz w:val="17"/>
              </w:rPr>
              <w:t>18.556.716,00</w:t>
            </w:r>
          </w:p>
        </w:tc>
        <w:tc>
          <w:tcPr>
            <w:tcW w:w="1126"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65" w:right="57"/>
              <w:jc w:val="center"/>
              <w:rPr>
                <w:sz w:val="17"/>
              </w:rPr>
            </w:pPr>
            <w:r>
              <w:rPr>
                <w:spacing w:val="-2"/>
                <w:sz w:val="17"/>
              </w:rPr>
              <w:t>18.556.716,00</w:t>
            </w:r>
          </w:p>
        </w:tc>
        <w:tc>
          <w:tcPr>
            <w:tcW w:w="1020"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6"/>
              <w:jc w:val="center"/>
              <w:rPr>
                <w:sz w:val="17"/>
              </w:rPr>
            </w:pPr>
            <w:r>
              <w:rPr>
                <w:spacing w:val="-2"/>
                <w:sz w:val="17"/>
              </w:rPr>
              <w:t>31/12/2025</w:t>
            </w:r>
          </w:p>
        </w:tc>
        <w:tc>
          <w:tcPr>
            <w:tcW w:w="1082" w:type="dxa"/>
            <w:tcBorders>
              <w:top w:val="single" w:sz="4" w:space="0" w:color="002D5D"/>
              <w:bottom w:val="single" w:sz="4" w:space="0" w:color="002D5D"/>
            </w:tcBorders>
            <w:shd w:val="clear" w:color="auto" w:fill="F1F1F1"/>
          </w:tcPr>
          <w:p>
            <w:pPr>
              <w:pStyle w:val="TableParagraph"/>
              <w:spacing w:before="96"/>
              <w:rPr>
                <w:rFonts w:ascii="Arial"/>
                <w:b/>
                <w:sz w:val="17"/>
              </w:rPr>
            </w:pPr>
          </w:p>
          <w:p>
            <w:pPr>
              <w:pStyle w:val="TableParagraph"/>
              <w:ind w:left="16"/>
              <w:jc w:val="center"/>
              <w:rPr>
                <w:sz w:val="17"/>
              </w:rPr>
            </w:pPr>
            <w:r>
              <w:rPr>
                <w:spacing w:val="-10"/>
                <w:sz w:val="17"/>
              </w:rPr>
              <w:t>1</w:t>
            </w:r>
          </w:p>
        </w:tc>
      </w:tr>
      <w:tr>
        <w:trPr>
          <w:trHeight w:val="383" w:hRule="atLeast"/>
        </w:trPr>
        <w:tc>
          <w:tcPr>
            <w:tcW w:w="1282" w:type="dxa"/>
            <w:tcBorders>
              <w:top w:val="single" w:sz="4" w:space="0" w:color="002D5D"/>
              <w:bottom w:val="single" w:sz="4" w:space="0" w:color="002D5D"/>
            </w:tcBorders>
          </w:tcPr>
          <w:p>
            <w:pPr>
              <w:pStyle w:val="TableParagraph"/>
              <w:spacing w:before="95"/>
              <w:ind w:left="69"/>
              <w:rPr>
                <w:b/>
                <w:sz w:val="17"/>
              </w:rPr>
            </w:pPr>
            <w:r>
              <w:rPr>
                <w:b/>
                <w:spacing w:val="-2"/>
                <w:sz w:val="17"/>
              </w:rPr>
              <w:t>ZARAGOZA</w:t>
            </w:r>
          </w:p>
        </w:tc>
        <w:tc>
          <w:tcPr>
            <w:tcW w:w="1564" w:type="dxa"/>
            <w:tcBorders>
              <w:top w:val="single" w:sz="4" w:space="0" w:color="002D5D"/>
              <w:bottom w:val="single" w:sz="4" w:space="0" w:color="002D5D"/>
            </w:tcBorders>
          </w:tcPr>
          <w:p>
            <w:pPr>
              <w:pStyle w:val="TableParagraph"/>
              <w:spacing w:line="194" w:lineRule="exact"/>
              <w:ind w:left="86" w:right="97"/>
              <w:rPr>
                <w:sz w:val="17"/>
              </w:rPr>
            </w:pPr>
            <w:r>
              <w:rPr>
                <w:spacing w:val="-2"/>
                <w:sz w:val="17"/>
              </w:rPr>
              <w:t>Zaragoza</w:t>
            </w:r>
            <w:r>
              <w:rPr>
                <w:spacing w:val="-8"/>
                <w:sz w:val="17"/>
              </w:rPr>
              <w:t> </w:t>
            </w:r>
            <w:r>
              <w:rPr>
                <w:spacing w:val="-2"/>
                <w:sz w:val="17"/>
              </w:rPr>
              <w:t>Cero</w:t>
            </w:r>
            <w:r>
              <w:rPr>
                <w:spacing w:val="40"/>
                <w:sz w:val="17"/>
              </w:rPr>
              <w:t> </w:t>
            </w:r>
            <w:r>
              <w:rPr>
                <w:sz w:val="17"/>
              </w:rPr>
              <w:t>Emisiones</w:t>
            </w:r>
            <w:r>
              <w:rPr>
                <w:spacing w:val="-4"/>
                <w:sz w:val="17"/>
              </w:rPr>
              <w:t> </w:t>
            </w:r>
            <w:r>
              <w:rPr>
                <w:sz w:val="17"/>
              </w:rPr>
              <w:t>II</w:t>
            </w:r>
          </w:p>
        </w:tc>
        <w:tc>
          <w:tcPr>
            <w:tcW w:w="1440" w:type="dxa"/>
            <w:tcBorders>
              <w:top w:val="single" w:sz="4" w:space="0" w:color="002D5D"/>
              <w:bottom w:val="single" w:sz="4" w:space="0" w:color="002D5D"/>
            </w:tcBorders>
          </w:tcPr>
          <w:p>
            <w:pPr>
              <w:pStyle w:val="TableParagraph"/>
              <w:spacing w:before="95"/>
              <w:ind w:left="3" w:right="73"/>
              <w:jc w:val="center"/>
              <w:rPr>
                <w:sz w:val="17"/>
              </w:rPr>
            </w:pPr>
            <w:r>
              <w:rPr>
                <w:spacing w:val="-2"/>
                <w:sz w:val="17"/>
              </w:rPr>
              <w:t>35.083.029,29</w:t>
            </w:r>
          </w:p>
        </w:tc>
        <w:tc>
          <w:tcPr>
            <w:tcW w:w="1275" w:type="dxa"/>
            <w:tcBorders>
              <w:top w:val="single" w:sz="4" w:space="0" w:color="002D5D"/>
              <w:bottom w:val="single" w:sz="4" w:space="0" w:color="002D5D"/>
            </w:tcBorders>
          </w:tcPr>
          <w:p>
            <w:pPr>
              <w:pStyle w:val="TableParagraph"/>
              <w:spacing w:before="95"/>
              <w:ind w:left="2" w:right="3"/>
              <w:jc w:val="center"/>
              <w:rPr>
                <w:sz w:val="17"/>
              </w:rPr>
            </w:pPr>
            <w:r>
              <w:rPr>
                <w:spacing w:val="-2"/>
                <w:sz w:val="17"/>
              </w:rPr>
              <w:t>18.467.152,36</w:t>
            </w:r>
          </w:p>
        </w:tc>
        <w:tc>
          <w:tcPr>
            <w:tcW w:w="1513" w:type="dxa"/>
            <w:tcBorders>
              <w:top w:val="single" w:sz="4" w:space="0" w:color="002D5D"/>
              <w:bottom w:val="single" w:sz="4" w:space="0" w:color="002D5D"/>
            </w:tcBorders>
          </w:tcPr>
          <w:p>
            <w:pPr>
              <w:pStyle w:val="TableParagraph"/>
              <w:spacing w:before="95"/>
              <w:ind w:left="1" w:right="2"/>
              <w:jc w:val="center"/>
              <w:rPr>
                <w:sz w:val="17"/>
              </w:rPr>
            </w:pPr>
            <w:r>
              <w:rPr>
                <w:spacing w:val="-2"/>
                <w:sz w:val="17"/>
              </w:rPr>
              <w:t>35.083.029,29</w:t>
            </w:r>
          </w:p>
        </w:tc>
        <w:tc>
          <w:tcPr>
            <w:tcW w:w="1306" w:type="dxa"/>
            <w:tcBorders>
              <w:top w:val="single" w:sz="4" w:space="0" w:color="002D5D"/>
              <w:bottom w:val="single" w:sz="4" w:space="0" w:color="002D5D"/>
            </w:tcBorders>
          </w:tcPr>
          <w:p>
            <w:pPr>
              <w:pStyle w:val="TableParagraph"/>
              <w:spacing w:before="95"/>
              <w:ind w:left="47" w:right="81"/>
              <w:jc w:val="center"/>
              <w:rPr>
                <w:sz w:val="17"/>
              </w:rPr>
            </w:pPr>
            <w:r>
              <w:rPr>
                <w:spacing w:val="-2"/>
                <w:sz w:val="17"/>
              </w:rPr>
              <w:t>18.458.001,26</w:t>
            </w:r>
          </w:p>
        </w:tc>
        <w:tc>
          <w:tcPr>
            <w:tcW w:w="1539" w:type="dxa"/>
            <w:tcBorders>
              <w:top w:val="single" w:sz="4" w:space="0" w:color="002D5D"/>
              <w:bottom w:val="single" w:sz="4" w:space="0" w:color="002D5D"/>
            </w:tcBorders>
          </w:tcPr>
          <w:p>
            <w:pPr>
              <w:pStyle w:val="TableParagraph"/>
              <w:spacing w:before="95"/>
              <w:ind w:left="33"/>
              <w:jc w:val="center"/>
              <w:rPr>
                <w:sz w:val="17"/>
              </w:rPr>
            </w:pPr>
            <w:r>
              <w:rPr>
                <w:spacing w:val="-2"/>
                <w:sz w:val="17"/>
              </w:rPr>
              <w:t>27.779.786,47</w:t>
            </w:r>
          </w:p>
        </w:tc>
        <w:tc>
          <w:tcPr>
            <w:tcW w:w="1368" w:type="dxa"/>
            <w:tcBorders>
              <w:top w:val="single" w:sz="4" w:space="0" w:color="002D5D"/>
              <w:bottom w:val="single" w:sz="4" w:space="0" w:color="002D5D"/>
            </w:tcBorders>
          </w:tcPr>
          <w:p>
            <w:pPr>
              <w:pStyle w:val="TableParagraph"/>
              <w:spacing w:before="95"/>
              <w:ind w:left="35"/>
              <w:jc w:val="center"/>
              <w:rPr>
                <w:sz w:val="17"/>
              </w:rPr>
            </w:pPr>
            <w:r>
              <w:rPr>
                <w:spacing w:val="-2"/>
                <w:sz w:val="17"/>
              </w:rPr>
              <w:t>11.894.233,82</w:t>
            </w:r>
          </w:p>
        </w:tc>
        <w:tc>
          <w:tcPr>
            <w:tcW w:w="1126" w:type="dxa"/>
            <w:tcBorders>
              <w:top w:val="single" w:sz="4" w:space="0" w:color="002D5D"/>
              <w:bottom w:val="single" w:sz="4" w:space="0" w:color="002D5D"/>
            </w:tcBorders>
          </w:tcPr>
          <w:p>
            <w:pPr>
              <w:pStyle w:val="TableParagraph"/>
              <w:spacing w:before="95"/>
              <w:ind w:left="65" w:right="57"/>
              <w:jc w:val="center"/>
              <w:rPr>
                <w:sz w:val="17"/>
              </w:rPr>
            </w:pPr>
            <w:r>
              <w:rPr>
                <w:spacing w:val="-2"/>
                <w:sz w:val="17"/>
              </w:rPr>
              <w:t>18.458.001,26</w:t>
            </w:r>
          </w:p>
        </w:tc>
        <w:tc>
          <w:tcPr>
            <w:tcW w:w="1020" w:type="dxa"/>
            <w:tcBorders>
              <w:top w:val="single" w:sz="4" w:space="0" w:color="002D5D"/>
              <w:bottom w:val="single" w:sz="4" w:space="0" w:color="002D5D"/>
            </w:tcBorders>
          </w:tcPr>
          <w:p>
            <w:pPr>
              <w:pStyle w:val="TableParagraph"/>
              <w:spacing w:before="95"/>
              <w:ind w:left="6"/>
              <w:jc w:val="center"/>
              <w:rPr>
                <w:sz w:val="17"/>
              </w:rPr>
            </w:pPr>
            <w:r>
              <w:rPr>
                <w:spacing w:val="-2"/>
                <w:sz w:val="17"/>
              </w:rPr>
              <w:t>31/12/2025</w:t>
            </w:r>
          </w:p>
        </w:tc>
        <w:tc>
          <w:tcPr>
            <w:tcW w:w="1082" w:type="dxa"/>
            <w:tcBorders>
              <w:top w:val="single" w:sz="4" w:space="0" w:color="002D5D"/>
              <w:bottom w:val="single" w:sz="4" w:space="0" w:color="002D5D"/>
            </w:tcBorders>
          </w:tcPr>
          <w:p>
            <w:pPr>
              <w:pStyle w:val="TableParagraph"/>
              <w:spacing w:before="95"/>
              <w:ind w:left="16"/>
              <w:jc w:val="center"/>
              <w:rPr>
                <w:sz w:val="17"/>
              </w:rPr>
            </w:pPr>
            <w:r>
              <w:rPr>
                <w:spacing w:val="-10"/>
                <w:sz w:val="17"/>
              </w:rPr>
              <w:t>1</w:t>
            </w:r>
          </w:p>
        </w:tc>
      </w:tr>
      <w:tr>
        <w:trPr>
          <w:trHeight w:val="242" w:hRule="atLeast"/>
        </w:trPr>
        <w:tc>
          <w:tcPr>
            <w:tcW w:w="1282" w:type="dxa"/>
            <w:shd w:val="clear" w:color="auto" w:fill="002D5D"/>
          </w:tcPr>
          <w:p>
            <w:pPr>
              <w:pStyle w:val="TableParagraph"/>
              <w:spacing w:before="23"/>
              <w:ind w:left="69"/>
              <w:rPr>
                <w:b/>
                <w:sz w:val="17"/>
              </w:rPr>
            </w:pPr>
            <w:r>
              <w:rPr>
                <w:b/>
                <w:color w:val="FFFFFF"/>
                <w:spacing w:val="-2"/>
                <w:sz w:val="17"/>
              </w:rPr>
              <w:t>TOTAL</w:t>
            </w:r>
          </w:p>
        </w:tc>
        <w:tc>
          <w:tcPr>
            <w:tcW w:w="1564" w:type="dxa"/>
            <w:shd w:val="clear" w:color="auto" w:fill="002D5D"/>
          </w:tcPr>
          <w:p>
            <w:pPr>
              <w:pStyle w:val="TableParagraph"/>
              <w:rPr>
                <w:rFonts w:ascii="Times New Roman"/>
                <w:sz w:val="16"/>
              </w:rPr>
            </w:pPr>
          </w:p>
        </w:tc>
        <w:tc>
          <w:tcPr>
            <w:tcW w:w="1440" w:type="dxa"/>
            <w:shd w:val="clear" w:color="auto" w:fill="002D5D"/>
          </w:tcPr>
          <w:p>
            <w:pPr>
              <w:pStyle w:val="TableParagraph"/>
              <w:spacing w:before="23"/>
              <w:ind w:left="3" w:right="73"/>
              <w:jc w:val="center"/>
              <w:rPr>
                <w:b/>
                <w:sz w:val="17"/>
              </w:rPr>
            </w:pPr>
            <w:r>
              <w:rPr>
                <w:b/>
                <w:color w:val="FFFFFF"/>
                <w:spacing w:val="-2"/>
                <w:sz w:val="17"/>
              </w:rPr>
              <w:t>107.966.651,99</w:t>
            </w:r>
          </w:p>
        </w:tc>
        <w:tc>
          <w:tcPr>
            <w:tcW w:w="1275" w:type="dxa"/>
            <w:shd w:val="clear" w:color="auto" w:fill="002D5D"/>
          </w:tcPr>
          <w:p>
            <w:pPr>
              <w:pStyle w:val="TableParagraph"/>
              <w:spacing w:before="23"/>
              <w:ind w:left="2" w:right="3"/>
              <w:jc w:val="center"/>
              <w:rPr>
                <w:b/>
                <w:sz w:val="17"/>
              </w:rPr>
            </w:pPr>
            <w:r>
              <w:rPr>
                <w:b/>
                <w:color w:val="FFFFFF"/>
                <w:spacing w:val="-2"/>
                <w:sz w:val="17"/>
              </w:rPr>
              <w:t>66.160.396,01</w:t>
            </w:r>
          </w:p>
        </w:tc>
        <w:tc>
          <w:tcPr>
            <w:tcW w:w="1513" w:type="dxa"/>
            <w:shd w:val="clear" w:color="auto" w:fill="002D5D"/>
          </w:tcPr>
          <w:p>
            <w:pPr>
              <w:pStyle w:val="TableParagraph"/>
              <w:spacing w:before="23"/>
              <w:ind w:left="1" w:right="2"/>
              <w:jc w:val="center"/>
              <w:rPr>
                <w:b/>
                <w:sz w:val="17"/>
              </w:rPr>
            </w:pPr>
            <w:r>
              <w:rPr>
                <w:b/>
                <w:color w:val="FFFFFF"/>
                <w:spacing w:val="-2"/>
                <w:sz w:val="17"/>
              </w:rPr>
              <w:t>107.868.751,99</w:t>
            </w:r>
          </w:p>
        </w:tc>
        <w:tc>
          <w:tcPr>
            <w:tcW w:w="1306" w:type="dxa"/>
            <w:shd w:val="clear" w:color="auto" w:fill="002D5D"/>
          </w:tcPr>
          <w:p>
            <w:pPr>
              <w:pStyle w:val="TableParagraph"/>
              <w:spacing w:before="23"/>
              <w:ind w:left="47" w:right="81"/>
              <w:jc w:val="center"/>
              <w:rPr>
                <w:b/>
                <w:sz w:val="17"/>
              </w:rPr>
            </w:pPr>
            <w:r>
              <w:rPr>
                <w:b/>
                <w:color w:val="FFFFFF"/>
                <w:spacing w:val="-2"/>
                <w:sz w:val="17"/>
              </w:rPr>
              <w:t>65.623.134,91</w:t>
            </w:r>
          </w:p>
        </w:tc>
        <w:tc>
          <w:tcPr>
            <w:tcW w:w="1539" w:type="dxa"/>
            <w:shd w:val="clear" w:color="auto" w:fill="002D5D"/>
          </w:tcPr>
          <w:p>
            <w:pPr>
              <w:pStyle w:val="TableParagraph"/>
              <w:spacing w:before="23"/>
              <w:ind w:left="33"/>
              <w:jc w:val="center"/>
              <w:rPr>
                <w:b/>
                <w:sz w:val="17"/>
              </w:rPr>
            </w:pPr>
            <w:r>
              <w:rPr>
                <w:b/>
                <w:color w:val="FFFFFF"/>
                <w:spacing w:val="-2"/>
                <w:sz w:val="17"/>
              </w:rPr>
              <w:t>78.021.063,15</w:t>
            </w:r>
          </w:p>
        </w:tc>
        <w:tc>
          <w:tcPr>
            <w:tcW w:w="1368" w:type="dxa"/>
            <w:shd w:val="clear" w:color="auto" w:fill="002D5D"/>
          </w:tcPr>
          <w:p>
            <w:pPr>
              <w:pStyle w:val="TableParagraph"/>
              <w:spacing w:before="23"/>
              <w:ind w:left="35"/>
              <w:jc w:val="center"/>
              <w:rPr>
                <w:b/>
                <w:sz w:val="17"/>
              </w:rPr>
            </w:pPr>
            <w:r>
              <w:rPr>
                <w:b/>
                <w:color w:val="FFFFFF"/>
                <w:spacing w:val="-2"/>
                <w:sz w:val="17"/>
              </w:rPr>
              <w:t>41.704.433,32</w:t>
            </w:r>
          </w:p>
        </w:tc>
        <w:tc>
          <w:tcPr>
            <w:tcW w:w="1126" w:type="dxa"/>
            <w:shd w:val="clear" w:color="auto" w:fill="002D5D"/>
          </w:tcPr>
          <w:p>
            <w:pPr>
              <w:pStyle w:val="TableParagraph"/>
              <w:spacing w:before="23"/>
              <w:ind w:left="65" w:right="57"/>
              <w:jc w:val="center"/>
              <w:rPr>
                <w:b/>
                <w:sz w:val="17"/>
              </w:rPr>
            </w:pPr>
            <w:r>
              <w:rPr>
                <w:b/>
                <w:color w:val="FFFFFF"/>
                <w:spacing w:val="-2"/>
                <w:sz w:val="17"/>
              </w:rPr>
              <w:t>65.623.134,91</w:t>
            </w:r>
          </w:p>
        </w:tc>
        <w:tc>
          <w:tcPr>
            <w:tcW w:w="1020" w:type="dxa"/>
            <w:shd w:val="clear" w:color="auto" w:fill="002D5D"/>
          </w:tcPr>
          <w:p>
            <w:pPr>
              <w:pStyle w:val="TableParagraph"/>
              <w:rPr>
                <w:rFonts w:ascii="Times New Roman"/>
                <w:sz w:val="16"/>
              </w:rPr>
            </w:pPr>
          </w:p>
        </w:tc>
        <w:tc>
          <w:tcPr>
            <w:tcW w:w="1082" w:type="dxa"/>
            <w:shd w:val="clear" w:color="auto" w:fill="002D5D"/>
          </w:tcPr>
          <w:p>
            <w:pPr>
              <w:pStyle w:val="TableParagraph"/>
              <w:spacing w:before="23"/>
              <w:ind w:left="16"/>
              <w:jc w:val="center"/>
              <w:rPr>
                <w:b/>
                <w:sz w:val="17"/>
              </w:rPr>
            </w:pPr>
            <w:r>
              <w:rPr>
                <w:b/>
                <w:color w:val="FFFFFF"/>
                <w:spacing w:val="-10"/>
                <w:sz w:val="17"/>
              </w:rPr>
              <w:t>6</w:t>
            </w:r>
          </w:p>
        </w:tc>
      </w:tr>
      <w:tr>
        <w:trPr>
          <w:trHeight w:val="218" w:hRule="atLeast"/>
        </w:trPr>
        <w:tc>
          <w:tcPr>
            <w:tcW w:w="5561" w:type="dxa"/>
            <w:gridSpan w:val="4"/>
          </w:tcPr>
          <w:p>
            <w:pPr>
              <w:pStyle w:val="TableParagraph"/>
              <w:spacing w:line="175" w:lineRule="exact" w:before="23"/>
              <w:ind w:left="69"/>
              <w:rPr>
                <w:sz w:val="17"/>
              </w:rPr>
            </w:pPr>
            <w:r>
              <w:rPr>
                <w:sz w:val="17"/>
              </w:rPr>
              <w:t>Fuente:</w:t>
            </w:r>
            <w:r>
              <w:rPr>
                <w:spacing w:val="-5"/>
                <w:sz w:val="17"/>
              </w:rPr>
              <w:t> </w:t>
            </w:r>
            <w:r>
              <w:rPr>
                <w:sz w:val="17"/>
              </w:rPr>
              <w:t>Elaboración</w:t>
            </w:r>
            <w:r>
              <w:rPr>
                <w:spacing w:val="-3"/>
                <w:sz w:val="17"/>
              </w:rPr>
              <w:t> </w:t>
            </w:r>
            <w:r>
              <w:rPr>
                <w:sz w:val="17"/>
              </w:rPr>
              <w:t>propia</w:t>
            </w:r>
            <w:r>
              <w:rPr>
                <w:spacing w:val="-3"/>
                <w:sz w:val="17"/>
              </w:rPr>
              <w:t> </w:t>
            </w:r>
            <w:r>
              <w:rPr>
                <w:sz w:val="17"/>
              </w:rPr>
              <w:t>a</w:t>
            </w:r>
            <w:r>
              <w:rPr>
                <w:spacing w:val="-3"/>
                <w:sz w:val="17"/>
              </w:rPr>
              <w:t> </w:t>
            </w:r>
            <w:r>
              <w:rPr>
                <w:sz w:val="17"/>
              </w:rPr>
              <w:t>partir</w:t>
            </w:r>
            <w:r>
              <w:rPr>
                <w:spacing w:val="-3"/>
                <w:sz w:val="17"/>
              </w:rPr>
              <w:t> </w:t>
            </w:r>
            <w:r>
              <w:rPr>
                <w:sz w:val="17"/>
              </w:rPr>
              <w:t>de</w:t>
            </w:r>
            <w:r>
              <w:rPr>
                <w:spacing w:val="-3"/>
                <w:sz w:val="17"/>
              </w:rPr>
              <w:t> </w:t>
            </w:r>
            <w:r>
              <w:rPr>
                <w:sz w:val="17"/>
              </w:rPr>
              <w:t>los</w:t>
            </w:r>
            <w:r>
              <w:rPr>
                <w:spacing w:val="-3"/>
                <w:sz w:val="17"/>
              </w:rPr>
              <w:t> </w:t>
            </w:r>
            <w:r>
              <w:rPr>
                <w:sz w:val="17"/>
              </w:rPr>
              <w:t>datos</w:t>
            </w:r>
            <w:r>
              <w:rPr>
                <w:spacing w:val="-1"/>
                <w:sz w:val="17"/>
              </w:rPr>
              <w:t> </w:t>
            </w:r>
            <w:r>
              <w:rPr>
                <w:sz w:val="17"/>
              </w:rPr>
              <w:t>facilitados</w:t>
            </w:r>
            <w:r>
              <w:rPr>
                <w:spacing w:val="-1"/>
                <w:sz w:val="17"/>
              </w:rPr>
              <w:t> </w:t>
            </w:r>
            <w:r>
              <w:rPr>
                <w:sz w:val="17"/>
              </w:rPr>
              <w:t>por</w:t>
            </w:r>
            <w:r>
              <w:rPr>
                <w:spacing w:val="-4"/>
                <w:sz w:val="17"/>
              </w:rPr>
              <w:t> </w:t>
            </w:r>
            <w:r>
              <w:rPr>
                <w:sz w:val="17"/>
              </w:rPr>
              <w:t>las</w:t>
            </w:r>
            <w:r>
              <w:rPr>
                <w:spacing w:val="-3"/>
                <w:sz w:val="17"/>
              </w:rPr>
              <w:t> </w:t>
            </w:r>
            <w:r>
              <w:rPr>
                <w:sz w:val="17"/>
              </w:rPr>
              <w:t>entidades</w:t>
            </w:r>
            <w:r>
              <w:rPr>
                <w:spacing w:val="-2"/>
                <w:sz w:val="17"/>
              </w:rPr>
              <w:t> fiscalizadas</w:t>
            </w:r>
          </w:p>
        </w:tc>
        <w:tc>
          <w:tcPr>
            <w:tcW w:w="1513" w:type="dxa"/>
          </w:tcPr>
          <w:p>
            <w:pPr>
              <w:pStyle w:val="TableParagraph"/>
              <w:rPr>
                <w:rFonts w:ascii="Times New Roman"/>
                <w:sz w:val="14"/>
              </w:rPr>
            </w:pPr>
          </w:p>
        </w:tc>
        <w:tc>
          <w:tcPr>
            <w:tcW w:w="1306" w:type="dxa"/>
          </w:tcPr>
          <w:p>
            <w:pPr>
              <w:pStyle w:val="TableParagraph"/>
              <w:rPr>
                <w:rFonts w:ascii="Times New Roman"/>
                <w:sz w:val="14"/>
              </w:rPr>
            </w:pPr>
          </w:p>
        </w:tc>
        <w:tc>
          <w:tcPr>
            <w:tcW w:w="1539" w:type="dxa"/>
          </w:tcPr>
          <w:p>
            <w:pPr>
              <w:pStyle w:val="TableParagraph"/>
              <w:rPr>
                <w:rFonts w:ascii="Times New Roman"/>
                <w:sz w:val="14"/>
              </w:rPr>
            </w:pPr>
          </w:p>
        </w:tc>
        <w:tc>
          <w:tcPr>
            <w:tcW w:w="1368" w:type="dxa"/>
          </w:tcPr>
          <w:p>
            <w:pPr>
              <w:pStyle w:val="TableParagraph"/>
              <w:rPr>
                <w:rFonts w:ascii="Times New Roman"/>
                <w:sz w:val="14"/>
              </w:rPr>
            </w:pPr>
          </w:p>
        </w:tc>
        <w:tc>
          <w:tcPr>
            <w:tcW w:w="1126" w:type="dxa"/>
          </w:tcPr>
          <w:p>
            <w:pPr>
              <w:pStyle w:val="TableParagraph"/>
              <w:rPr>
                <w:rFonts w:ascii="Times New Roman"/>
                <w:sz w:val="14"/>
              </w:rPr>
            </w:pPr>
          </w:p>
        </w:tc>
        <w:tc>
          <w:tcPr>
            <w:tcW w:w="1020" w:type="dxa"/>
          </w:tcPr>
          <w:p>
            <w:pPr>
              <w:pStyle w:val="TableParagraph"/>
              <w:rPr>
                <w:rFonts w:ascii="Times New Roman"/>
                <w:sz w:val="14"/>
              </w:rPr>
            </w:pPr>
          </w:p>
        </w:tc>
        <w:tc>
          <w:tcPr>
            <w:tcW w:w="1082" w:type="dxa"/>
          </w:tcPr>
          <w:p>
            <w:pPr>
              <w:pStyle w:val="TableParagraph"/>
              <w:rPr>
                <w:rFonts w:ascii="Times New Roman"/>
                <w:sz w:val="14"/>
              </w:rPr>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0"/>
        <w:rPr>
          <w:b/>
          <w:sz w:val="20"/>
        </w:rPr>
      </w:pPr>
      <w:r>
        <w:rPr>
          <w:b/>
          <w:sz w:val="20"/>
        </w:rPr>
        <mc:AlternateContent>
          <mc:Choice Requires="wps">
            <w:drawing>
              <wp:anchor distT="0" distB="0" distL="0" distR="0" allowOverlap="1" layoutInCell="1" locked="0" behindDoc="1" simplePos="0" relativeHeight="487642624">
                <wp:simplePos x="0" y="0"/>
                <wp:positionH relativeFrom="page">
                  <wp:posOffset>701040</wp:posOffset>
                </wp:positionH>
                <wp:positionV relativeFrom="paragraph">
                  <wp:posOffset>231127</wp:posOffset>
                </wp:positionV>
                <wp:extent cx="8389620" cy="6350"/>
                <wp:effectExtent l="0" t="0" r="0" b="0"/>
                <wp:wrapTopAndBottom/>
                <wp:docPr id="491" name="Graphic 491"/>
                <wp:cNvGraphicFramePr>
                  <a:graphicFrameLocks/>
                </wp:cNvGraphicFramePr>
                <a:graphic>
                  <a:graphicData uri="http://schemas.microsoft.com/office/word/2010/wordprocessingShape">
                    <wps:wsp>
                      <wps:cNvPr id="491" name="Graphic 491"/>
                      <wps:cNvSpPr/>
                      <wps:spPr>
                        <a:xfrm>
                          <a:off x="0" y="0"/>
                          <a:ext cx="8389620" cy="6350"/>
                        </a:xfrm>
                        <a:custGeom>
                          <a:avLst/>
                          <a:gdLst/>
                          <a:ahLst/>
                          <a:cxnLst/>
                          <a:rect l="l" t="t" r="r" b="b"/>
                          <a:pathLst>
                            <a:path w="8389620" h="6350">
                              <a:moveTo>
                                <a:pt x="8389366" y="0"/>
                              </a:moveTo>
                              <a:lnTo>
                                <a:pt x="0" y="0"/>
                              </a:lnTo>
                              <a:lnTo>
                                <a:pt x="0" y="6095"/>
                              </a:lnTo>
                              <a:lnTo>
                                <a:pt x="8389366" y="6095"/>
                              </a:lnTo>
                              <a:lnTo>
                                <a:pt x="838936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18.199024pt;width:660.58pt;height:.47998pt;mso-position-horizontal-relative:page;mso-position-vertical-relative:paragraph;z-index:-15673856;mso-wrap-distance-left:0;mso-wrap-distance-right:0" id="docshape428" filled="true" fillcolor="#000000" stroked="false">
                <v:fill type="solid"/>
                <w10:wrap type="topAndBottom"/>
              </v:rect>
            </w:pict>
          </mc:Fallback>
        </mc:AlternateContent>
      </w:r>
    </w:p>
    <w:p>
      <w:pPr>
        <w:pStyle w:val="BodyText"/>
        <w:spacing w:after="0"/>
        <w:rPr>
          <w:b/>
          <w:sz w:val="20"/>
        </w:rPr>
        <w:sectPr>
          <w:headerReference w:type="even" r:id="rId132"/>
          <w:pgSz w:w="16840" w:h="11910" w:orient="landscape"/>
          <w:pgMar w:header="0" w:footer="0" w:top="1260" w:bottom="900" w:left="283" w:right="850"/>
        </w:sectPr>
      </w:pPr>
    </w:p>
    <w:p>
      <w:pPr>
        <w:spacing w:line="240" w:lineRule="auto"/>
        <w:ind w:left="1123" w:right="0" w:firstLine="0"/>
        <w:rPr>
          <w:sz w:val="20"/>
        </w:rPr>
      </w:pPr>
      <w:r>
        <w:rPr>
          <w:sz w:val="20"/>
        </w:rPr>
        <w:drawing>
          <wp:inline distT="0" distB="0" distL="0" distR="0">
            <wp:extent cx="1816115" cy="530351"/>
            <wp:effectExtent l="0" t="0" r="0" b="0"/>
            <wp:docPr id="492" name="Image 492"/>
            <wp:cNvGraphicFramePr>
              <a:graphicFrameLocks/>
            </wp:cNvGraphicFramePr>
            <a:graphic>
              <a:graphicData uri="http://schemas.openxmlformats.org/drawingml/2006/picture">
                <pic:pic>
                  <pic:nvPicPr>
                    <pic:cNvPr id="492" name="Image 492"/>
                    <pic:cNvPicPr/>
                  </pic:nvPicPr>
                  <pic:blipFill>
                    <a:blip r:embed="rId61" cstate="print"/>
                    <a:stretch>
                      <a:fillRect/>
                    </a:stretch>
                  </pic:blipFill>
                  <pic:spPr>
                    <a:xfrm>
                      <a:off x="0" y="0"/>
                      <a:ext cx="1816115" cy="530351"/>
                    </a:xfrm>
                    <a:prstGeom prst="rect">
                      <a:avLst/>
                    </a:prstGeom>
                  </pic:spPr>
                </pic:pic>
              </a:graphicData>
            </a:graphic>
          </wp:inline>
        </w:drawing>
      </w:r>
      <w:r>
        <w:rPr>
          <w:sz w:val="20"/>
        </w:rPr>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299"/>
        <w:rPr>
          <w:b/>
          <w:sz w:val="28"/>
        </w:rPr>
      </w:pPr>
    </w:p>
    <w:p>
      <w:pPr>
        <w:pStyle w:val="Heading2"/>
      </w:pPr>
      <w:r>
        <w:rPr/>
        <w:drawing>
          <wp:anchor distT="0" distB="0" distL="0" distR="0" allowOverlap="1" layoutInCell="1" locked="0" behindDoc="1" simplePos="0" relativeHeight="474322432">
            <wp:simplePos x="0" y="0"/>
            <wp:positionH relativeFrom="page">
              <wp:posOffset>720090</wp:posOffset>
            </wp:positionH>
            <wp:positionV relativeFrom="paragraph">
              <wp:posOffset>-3352089</wp:posOffset>
            </wp:positionV>
            <wp:extent cx="6119495" cy="7616698"/>
            <wp:effectExtent l="0" t="0" r="0" b="0"/>
            <wp:wrapNone/>
            <wp:docPr id="493" name="Image 493" descr="Forma  Descripción generada automáticamente con confianza media"/>
            <wp:cNvGraphicFramePr>
              <a:graphicFrameLocks/>
            </wp:cNvGraphicFramePr>
            <a:graphic>
              <a:graphicData uri="http://schemas.openxmlformats.org/drawingml/2006/picture">
                <pic:pic>
                  <pic:nvPicPr>
                    <pic:cNvPr id="493" name="Image 493" descr="Forma  Descripción generada automáticamente con confianza media"/>
                    <pic:cNvPicPr/>
                  </pic:nvPicPr>
                  <pic:blipFill>
                    <a:blip r:embed="rId135" cstate="print"/>
                    <a:stretch>
                      <a:fillRect/>
                    </a:stretch>
                  </pic:blipFill>
                  <pic:spPr>
                    <a:xfrm>
                      <a:off x="0" y="0"/>
                      <a:ext cx="6119495" cy="7616698"/>
                    </a:xfrm>
                    <a:prstGeom prst="rect">
                      <a:avLst/>
                    </a:prstGeom>
                  </pic:spPr>
                </pic:pic>
              </a:graphicData>
            </a:graphic>
          </wp:anchor>
        </w:drawing>
      </w:r>
      <w:bookmarkStart w:name="_bookmark158" w:id="160"/>
      <w:bookmarkEnd w:id="160"/>
      <w:r>
        <w:rPr>
          <w:b w:val="0"/>
        </w:rPr>
      </w:r>
      <w:r>
        <w:rPr/>
        <w:t>ALEGACIONES</w:t>
      </w:r>
      <w:r>
        <w:rPr>
          <w:spacing w:val="-15"/>
        </w:rPr>
        <w:t> </w:t>
      </w:r>
      <w:r>
        <w:rPr>
          <w:spacing w:val="-2"/>
        </w:rPr>
        <w:t>FORMULADAS</w:t>
      </w:r>
    </w:p>
    <w:p>
      <w:pPr>
        <w:pStyle w:val="Heading2"/>
        <w:spacing w:after="0"/>
        <w:sectPr>
          <w:headerReference w:type="default" r:id="rId133"/>
          <w:footerReference w:type="default" r:id="rId134"/>
          <w:pgSz w:w="11910" w:h="16840"/>
          <w:pgMar w:header="0" w:footer="0" w:top="560" w:bottom="280" w:left="141" w:right="141"/>
        </w:sectPr>
      </w:pPr>
    </w:p>
    <w:p>
      <w:pPr>
        <w:pStyle w:val="BodyText"/>
        <w:spacing w:before="4"/>
        <w:rPr>
          <w:b/>
          <w:sz w:val="17"/>
        </w:rPr>
      </w:pPr>
    </w:p>
    <w:p>
      <w:pPr>
        <w:pStyle w:val="BodyText"/>
        <w:spacing w:after="0"/>
        <w:rPr>
          <w:b/>
          <w:sz w:val="17"/>
        </w:rPr>
        <w:sectPr>
          <w:headerReference w:type="even" r:id="rId136"/>
          <w:footerReference w:type="even" r:id="rId137"/>
          <w:pgSz w:w="11910" w:h="16840"/>
          <w:pgMar w:header="0" w:footer="0" w:top="1920" w:bottom="280" w:left="141" w:right="141"/>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rPr>
      </w:pPr>
    </w:p>
    <w:p>
      <w:pPr>
        <w:pStyle w:val="Heading4"/>
        <w:ind w:left="992"/>
        <w:jc w:val="both"/>
      </w:pPr>
      <w:r>
        <w:rPr/>
        <w:t>TRATAMIENTO</w:t>
      </w:r>
      <w:r>
        <w:rPr>
          <w:spacing w:val="-18"/>
        </w:rPr>
        <w:t> </w:t>
      </w:r>
      <w:r>
        <w:rPr/>
        <w:t>DE</w:t>
      </w:r>
      <w:r>
        <w:rPr>
          <w:spacing w:val="-15"/>
        </w:rPr>
        <w:t> </w:t>
      </w:r>
      <w:r>
        <w:rPr/>
        <w:t>LAS</w:t>
      </w:r>
      <w:r>
        <w:rPr>
          <w:spacing w:val="-15"/>
        </w:rPr>
        <w:t> </w:t>
      </w:r>
      <w:r>
        <w:rPr/>
        <w:t>ALEGACIONES</w:t>
      </w:r>
      <w:r>
        <w:rPr>
          <w:spacing w:val="-14"/>
        </w:rPr>
        <w:t> </w:t>
      </w:r>
      <w:r>
        <w:rPr>
          <w:spacing w:val="-2"/>
        </w:rPr>
        <w:t>RECIBIDAS</w:t>
      </w:r>
    </w:p>
    <w:p>
      <w:pPr>
        <w:pStyle w:val="BodyText"/>
        <w:spacing w:before="241"/>
        <w:ind w:left="992" w:right="1085"/>
        <w:jc w:val="both"/>
      </w:pPr>
      <w:r>
        <w:rPr/>
        <w:t>En</w:t>
      </w:r>
      <w:r>
        <w:rPr>
          <w:spacing w:val="-5"/>
        </w:rPr>
        <w:t> </w:t>
      </w:r>
      <w:r>
        <w:rPr/>
        <w:t>cumplimiento</w:t>
      </w:r>
      <w:r>
        <w:rPr>
          <w:spacing w:val="-5"/>
        </w:rPr>
        <w:t> </w:t>
      </w:r>
      <w:r>
        <w:rPr/>
        <w:t>del</w:t>
      </w:r>
      <w:r>
        <w:rPr>
          <w:spacing w:val="-6"/>
        </w:rPr>
        <w:t> </w:t>
      </w:r>
      <w:r>
        <w:rPr/>
        <w:t>artículo</w:t>
      </w:r>
      <w:r>
        <w:rPr>
          <w:spacing w:val="-5"/>
        </w:rPr>
        <w:t> </w:t>
      </w:r>
      <w:r>
        <w:rPr/>
        <w:t>44</w:t>
      </w:r>
      <w:r>
        <w:rPr>
          <w:spacing w:val="-6"/>
        </w:rPr>
        <w:t> </w:t>
      </w:r>
      <w:r>
        <w:rPr/>
        <w:t>de</w:t>
      </w:r>
      <w:r>
        <w:rPr>
          <w:spacing w:val="-6"/>
        </w:rPr>
        <w:t> </w:t>
      </w:r>
      <w:r>
        <w:rPr/>
        <w:t>la</w:t>
      </w:r>
      <w:r>
        <w:rPr>
          <w:spacing w:val="-5"/>
        </w:rPr>
        <w:t> </w:t>
      </w:r>
      <w:r>
        <w:rPr/>
        <w:t>Ley</w:t>
      </w:r>
      <w:r>
        <w:rPr>
          <w:spacing w:val="-5"/>
        </w:rPr>
        <w:t> </w:t>
      </w:r>
      <w:r>
        <w:rPr/>
        <w:t>7/1988,</w:t>
      </w:r>
      <w:r>
        <w:rPr>
          <w:spacing w:val="-6"/>
        </w:rPr>
        <w:t> </w:t>
      </w:r>
      <w:r>
        <w:rPr/>
        <w:t>de</w:t>
      </w:r>
      <w:r>
        <w:rPr>
          <w:spacing w:val="-6"/>
        </w:rPr>
        <w:t> </w:t>
      </w:r>
      <w:r>
        <w:rPr/>
        <w:t>5</w:t>
      </w:r>
      <w:r>
        <w:rPr>
          <w:spacing w:val="-5"/>
        </w:rPr>
        <w:t> </w:t>
      </w:r>
      <w:r>
        <w:rPr/>
        <w:t>de</w:t>
      </w:r>
      <w:r>
        <w:rPr>
          <w:spacing w:val="-6"/>
        </w:rPr>
        <w:t> </w:t>
      </w:r>
      <w:r>
        <w:rPr/>
        <w:t>abril,</w:t>
      </w:r>
      <w:r>
        <w:rPr>
          <w:spacing w:val="-4"/>
        </w:rPr>
        <w:t> </w:t>
      </w:r>
      <w:r>
        <w:rPr/>
        <w:t>de</w:t>
      </w:r>
      <w:r>
        <w:rPr>
          <w:spacing w:val="-6"/>
        </w:rPr>
        <w:t> </w:t>
      </w:r>
      <w:r>
        <w:rPr/>
        <w:t>Funcionamiento</w:t>
      </w:r>
      <w:r>
        <w:rPr>
          <w:spacing w:val="-5"/>
        </w:rPr>
        <w:t> </w:t>
      </w:r>
      <w:r>
        <w:rPr/>
        <w:t>del</w:t>
      </w:r>
      <w:r>
        <w:rPr>
          <w:spacing w:val="-6"/>
        </w:rPr>
        <w:t> </w:t>
      </w:r>
      <w:r>
        <w:rPr/>
        <w:t>Tribunal</w:t>
      </w:r>
      <w:r>
        <w:rPr>
          <w:spacing w:val="-6"/>
        </w:rPr>
        <w:t> </w:t>
      </w:r>
      <w:r>
        <w:rPr/>
        <w:t>de Cuentas, el Anteproyecto de Informe se remitió el 29 de agosto de 2025 a los representantes legales de las entidades incluidas en el ámbito subjetivo de la actuación fiscalizadora, para que pudiesen efectuar cuantas alegaciones estimasen pertinentes y presentasen los documentos y justificantes que considerasen convenientes. Con el mismo fin, se remitió el Anteproyecto a quienes fueron representantes legales de los Ayuntamientos de Las Palmas de Gran Canaria, Palma,</w:t>
      </w:r>
      <w:r>
        <w:rPr>
          <w:spacing w:val="-16"/>
        </w:rPr>
        <w:t> </w:t>
      </w:r>
      <w:r>
        <w:rPr/>
        <w:t>Murcia,</w:t>
      </w:r>
      <w:r>
        <w:rPr>
          <w:spacing w:val="-15"/>
        </w:rPr>
        <w:t> </w:t>
      </w:r>
      <w:r>
        <w:rPr/>
        <w:t>Sevilla</w:t>
      </w:r>
      <w:r>
        <w:rPr>
          <w:spacing w:val="-15"/>
        </w:rPr>
        <w:t> </w:t>
      </w:r>
      <w:r>
        <w:rPr/>
        <w:t>y</w:t>
      </w:r>
      <w:r>
        <w:rPr>
          <w:spacing w:val="-16"/>
        </w:rPr>
        <w:t> </w:t>
      </w:r>
      <w:r>
        <w:rPr/>
        <w:t>Zaragoza</w:t>
      </w:r>
      <w:r>
        <w:rPr>
          <w:spacing w:val="-15"/>
        </w:rPr>
        <w:t> </w:t>
      </w:r>
      <w:r>
        <w:rPr/>
        <w:t>durante</w:t>
      </w:r>
      <w:r>
        <w:rPr>
          <w:spacing w:val="-15"/>
        </w:rPr>
        <w:t> </w:t>
      </w:r>
      <w:r>
        <w:rPr/>
        <w:t>parte</w:t>
      </w:r>
      <w:r>
        <w:rPr>
          <w:spacing w:val="-15"/>
        </w:rPr>
        <w:t> </w:t>
      </w:r>
      <w:r>
        <w:rPr/>
        <w:t>del</w:t>
      </w:r>
      <w:r>
        <w:rPr>
          <w:spacing w:val="-16"/>
        </w:rPr>
        <w:t> </w:t>
      </w:r>
      <w:r>
        <w:rPr/>
        <w:t>ejercicio</w:t>
      </w:r>
      <w:r>
        <w:rPr>
          <w:spacing w:val="-15"/>
        </w:rPr>
        <w:t> </w:t>
      </w:r>
      <w:r>
        <w:rPr/>
        <w:t>fiscalizado,</w:t>
      </w:r>
      <w:r>
        <w:rPr>
          <w:spacing w:val="-15"/>
        </w:rPr>
        <w:t> </w:t>
      </w:r>
      <w:r>
        <w:rPr/>
        <w:t>al</w:t>
      </w:r>
      <w:r>
        <w:rPr>
          <w:spacing w:val="-16"/>
        </w:rPr>
        <w:t> </w:t>
      </w:r>
      <w:r>
        <w:rPr/>
        <w:t>no</w:t>
      </w:r>
      <w:r>
        <w:rPr>
          <w:spacing w:val="-15"/>
        </w:rPr>
        <w:t> </w:t>
      </w:r>
      <w:r>
        <w:rPr/>
        <w:t>coincidir</w:t>
      </w:r>
      <w:r>
        <w:rPr>
          <w:spacing w:val="-15"/>
        </w:rPr>
        <w:t> </w:t>
      </w:r>
      <w:r>
        <w:rPr/>
        <w:t>con</w:t>
      </w:r>
      <w:r>
        <w:rPr>
          <w:spacing w:val="-15"/>
        </w:rPr>
        <w:t> </w:t>
      </w:r>
      <w:r>
        <w:rPr/>
        <w:t>quienes tienen esta condición en el momento de remisión del Anteproyecto de Informe a alegaciones.</w:t>
      </w:r>
    </w:p>
    <w:p>
      <w:pPr>
        <w:pStyle w:val="BodyText"/>
        <w:spacing w:before="240"/>
        <w:ind w:left="992" w:right="1091"/>
        <w:jc w:val="both"/>
      </w:pPr>
      <w:r>
        <w:rPr/>
        <w:t>Dentro</w:t>
      </w:r>
      <w:r>
        <w:rPr>
          <w:spacing w:val="-5"/>
        </w:rPr>
        <w:t> </w:t>
      </w:r>
      <w:r>
        <w:rPr/>
        <w:t>del</w:t>
      </w:r>
      <w:r>
        <w:rPr>
          <w:spacing w:val="-8"/>
        </w:rPr>
        <w:t> </w:t>
      </w:r>
      <w:r>
        <w:rPr/>
        <w:t>plazo</w:t>
      </w:r>
      <w:r>
        <w:rPr>
          <w:spacing w:val="-5"/>
        </w:rPr>
        <w:t> </w:t>
      </w:r>
      <w:r>
        <w:rPr/>
        <w:t>concedido</w:t>
      </w:r>
      <w:r>
        <w:rPr>
          <w:spacing w:val="-5"/>
        </w:rPr>
        <w:t> </w:t>
      </w:r>
      <w:r>
        <w:rPr/>
        <w:t>se</w:t>
      </w:r>
      <w:r>
        <w:rPr>
          <w:spacing w:val="-7"/>
        </w:rPr>
        <w:t> </w:t>
      </w:r>
      <w:r>
        <w:rPr/>
        <w:t>recibieron</w:t>
      </w:r>
      <w:r>
        <w:rPr>
          <w:spacing w:val="-5"/>
        </w:rPr>
        <w:t> </w:t>
      </w:r>
      <w:r>
        <w:rPr/>
        <w:t>alegaciones</w:t>
      </w:r>
      <w:r>
        <w:rPr>
          <w:spacing w:val="-5"/>
        </w:rPr>
        <w:t> </w:t>
      </w:r>
      <w:r>
        <w:rPr/>
        <w:t>de</w:t>
      </w:r>
      <w:r>
        <w:rPr>
          <w:spacing w:val="-5"/>
        </w:rPr>
        <w:t> </w:t>
      </w:r>
      <w:r>
        <w:rPr/>
        <w:t>los</w:t>
      </w:r>
      <w:r>
        <w:rPr>
          <w:spacing w:val="-7"/>
        </w:rPr>
        <w:t> </w:t>
      </w:r>
      <w:r>
        <w:rPr/>
        <w:t>representantes</w:t>
      </w:r>
      <w:r>
        <w:rPr>
          <w:spacing w:val="-5"/>
        </w:rPr>
        <w:t> </w:t>
      </w:r>
      <w:r>
        <w:rPr/>
        <w:t>de</w:t>
      </w:r>
      <w:r>
        <w:rPr>
          <w:spacing w:val="-5"/>
        </w:rPr>
        <w:t> </w:t>
      </w:r>
      <w:r>
        <w:rPr/>
        <w:t>los</w:t>
      </w:r>
      <w:r>
        <w:rPr>
          <w:spacing w:val="-7"/>
        </w:rPr>
        <w:t> </w:t>
      </w:r>
      <w:r>
        <w:rPr/>
        <w:t>Ayuntamientos de Alicante, Las Palmas de Gran Canaria, Málaga, Murcia, Palma y Zaragoza.</w:t>
      </w:r>
    </w:p>
    <w:p>
      <w:pPr>
        <w:pStyle w:val="BodyText"/>
        <w:spacing w:before="241"/>
        <w:ind w:left="992" w:right="1090"/>
        <w:jc w:val="both"/>
      </w:pPr>
      <w:r>
        <w:rPr/>
        <w:t>Las alegaciones han sido objeto de tratamiento, lo que ha dado lugar a que se hayan hecho las modificaciones y matizaciones que se han considerado procedentes. En relación con los criterios interpretativos</w:t>
      </w:r>
      <w:r>
        <w:rPr>
          <w:spacing w:val="-7"/>
        </w:rPr>
        <w:t> </w:t>
      </w:r>
      <w:r>
        <w:rPr/>
        <w:t>y</w:t>
      </w:r>
      <w:r>
        <w:rPr>
          <w:spacing w:val="-7"/>
        </w:rPr>
        <w:t> </w:t>
      </w:r>
      <w:r>
        <w:rPr/>
        <w:t>las</w:t>
      </w:r>
      <w:r>
        <w:rPr>
          <w:spacing w:val="-5"/>
        </w:rPr>
        <w:t> </w:t>
      </w:r>
      <w:r>
        <w:rPr/>
        <w:t>valoraciones</w:t>
      </w:r>
      <w:r>
        <w:rPr>
          <w:spacing w:val="-5"/>
        </w:rPr>
        <w:t> </w:t>
      </w:r>
      <w:r>
        <w:rPr/>
        <w:t>presentadas</w:t>
      </w:r>
      <w:r>
        <w:rPr>
          <w:spacing w:val="-7"/>
        </w:rPr>
        <w:t> </w:t>
      </w:r>
      <w:r>
        <w:rPr/>
        <w:t>en</w:t>
      </w:r>
      <w:r>
        <w:rPr>
          <w:spacing w:val="-5"/>
        </w:rPr>
        <w:t> </w:t>
      </w:r>
      <w:r>
        <w:rPr/>
        <w:t>las</w:t>
      </w:r>
      <w:r>
        <w:rPr>
          <w:spacing w:val="-5"/>
        </w:rPr>
        <w:t> </w:t>
      </w:r>
      <w:r>
        <w:rPr/>
        <w:t>alegaciones</w:t>
      </w:r>
      <w:r>
        <w:rPr>
          <w:spacing w:val="-4"/>
        </w:rPr>
        <w:t> </w:t>
      </w:r>
      <w:r>
        <w:rPr/>
        <w:t>que</w:t>
      </w:r>
      <w:r>
        <w:rPr>
          <w:spacing w:val="-7"/>
        </w:rPr>
        <w:t> </w:t>
      </w:r>
      <w:r>
        <w:rPr/>
        <w:t>discrepan</w:t>
      </w:r>
      <w:r>
        <w:rPr>
          <w:spacing w:val="-5"/>
        </w:rPr>
        <w:t> </w:t>
      </w:r>
      <w:r>
        <w:rPr/>
        <w:t>de</w:t>
      </w:r>
      <w:r>
        <w:rPr>
          <w:spacing w:val="-5"/>
        </w:rPr>
        <w:t> </w:t>
      </w:r>
      <w:r>
        <w:rPr/>
        <w:t>los</w:t>
      </w:r>
      <w:r>
        <w:rPr>
          <w:spacing w:val="-7"/>
        </w:rPr>
        <w:t> </w:t>
      </w:r>
      <w:r>
        <w:rPr/>
        <w:t>contenidos de</w:t>
      </w:r>
      <w:r>
        <w:rPr>
          <w:spacing w:val="-4"/>
        </w:rPr>
        <w:t> </w:t>
      </w:r>
      <w:r>
        <w:rPr/>
        <w:t>aquel</w:t>
      </w:r>
      <w:r>
        <w:rPr>
          <w:spacing w:val="-7"/>
        </w:rPr>
        <w:t> </w:t>
      </w:r>
      <w:r>
        <w:rPr/>
        <w:t>y</w:t>
      </w:r>
      <w:r>
        <w:rPr>
          <w:spacing w:val="-6"/>
        </w:rPr>
        <w:t> </w:t>
      </w:r>
      <w:r>
        <w:rPr/>
        <w:t>que</w:t>
      </w:r>
      <w:r>
        <w:rPr>
          <w:spacing w:val="-6"/>
        </w:rPr>
        <w:t> </w:t>
      </w:r>
      <w:r>
        <w:rPr/>
        <w:t>no</w:t>
      </w:r>
      <w:r>
        <w:rPr>
          <w:spacing w:val="-4"/>
        </w:rPr>
        <w:t> </w:t>
      </w:r>
      <w:r>
        <w:rPr/>
        <w:t>han</w:t>
      </w:r>
      <w:r>
        <w:rPr>
          <w:spacing w:val="-9"/>
        </w:rPr>
        <w:t> </w:t>
      </w:r>
      <w:r>
        <w:rPr/>
        <w:t>sido</w:t>
      </w:r>
      <w:r>
        <w:rPr>
          <w:spacing w:val="-4"/>
        </w:rPr>
        <w:t> </w:t>
      </w:r>
      <w:r>
        <w:rPr/>
        <w:t>asumidos</w:t>
      </w:r>
      <w:r>
        <w:rPr>
          <w:spacing w:val="-4"/>
        </w:rPr>
        <w:t> </w:t>
      </w:r>
      <w:r>
        <w:rPr/>
        <w:t>por</w:t>
      </w:r>
      <w:r>
        <w:rPr>
          <w:spacing w:val="-5"/>
        </w:rPr>
        <w:t> </w:t>
      </w:r>
      <w:r>
        <w:rPr/>
        <w:t>este</w:t>
      </w:r>
      <w:r>
        <w:rPr>
          <w:spacing w:val="-4"/>
        </w:rPr>
        <w:t> </w:t>
      </w:r>
      <w:r>
        <w:rPr/>
        <w:t>Tribunal</w:t>
      </w:r>
      <w:r>
        <w:rPr>
          <w:spacing w:val="-5"/>
        </w:rPr>
        <w:t> </w:t>
      </w:r>
      <w:r>
        <w:rPr/>
        <w:t>de</w:t>
      </w:r>
      <w:r>
        <w:rPr>
          <w:spacing w:val="-7"/>
        </w:rPr>
        <w:t> </w:t>
      </w:r>
      <w:r>
        <w:rPr/>
        <w:t>Cuentas,</w:t>
      </w:r>
      <w:r>
        <w:rPr>
          <w:spacing w:val="-5"/>
        </w:rPr>
        <w:t> </w:t>
      </w:r>
      <w:r>
        <w:rPr/>
        <w:t>se</w:t>
      </w:r>
      <w:r>
        <w:rPr>
          <w:spacing w:val="-6"/>
        </w:rPr>
        <w:t> </w:t>
      </w:r>
      <w:r>
        <w:rPr/>
        <w:t>ha</w:t>
      </w:r>
      <w:r>
        <w:rPr>
          <w:spacing w:val="-7"/>
        </w:rPr>
        <w:t> </w:t>
      </w:r>
      <w:r>
        <w:rPr/>
        <w:t>incluido</w:t>
      </w:r>
      <w:r>
        <w:rPr>
          <w:spacing w:val="-4"/>
        </w:rPr>
        <w:t> </w:t>
      </w:r>
      <w:r>
        <w:rPr/>
        <w:t>una</w:t>
      </w:r>
      <w:r>
        <w:rPr>
          <w:spacing w:val="-4"/>
        </w:rPr>
        <w:t> </w:t>
      </w:r>
      <w:r>
        <w:rPr/>
        <w:t>explicación sucinta de los motivos por los que el Tribunal mantiene su interpretación o valoración frente a lo expuesto en alegaciones. No se han tenido en consideración aquellas alegaciones que explican, aclaran o justifican determinados resultados sin rebatir su contenido; o tratan de explicar, aclarar o</w:t>
      </w:r>
      <w:r>
        <w:rPr>
          <w:spacing w:val="-6"/>
        </w:rPr>
        <w:t> </w:t>
      </w:r>
      <w:r>
        <w:rPr/>
        <w:t>justificar</w:t>
      </w:r>
      <w:r>
        <w:rPr>
          <w:spacing w:val="-8"/>
        </w:rPr>
        <w:t> </w:t>
      </w:r>
      <w:r>
        <w:rPr/>
        <w:t>determinadas</w:t>
      </w:r>
      <w:r>
        <w:rPr>
          <w:spacing w:val="-11"/>
        </w:rPr>
        <w:t> </w:t>
      </w:r>
      <w:r>
        <w:rPr/>
        <w:t>actuaciones</w:t>
      </w:r>
      <w:r>
        <w:rPr>
          <w:spacing w:val="-6"/>
        </w:rPr>
        <w:t> </w:t>
      </w:r>
      <w:r>
        <w:rPr/>
        <w:t>sin</w:t>
      </w:r>
      <w:r>
        <w:rPr>
          <w:spacing w:val="-9"/>
        </w:rPr>
        <w:t> </w:t>
      </w:r>
      <w:r>
        <w:rPr/>
        <w:t>contradecir</w:t>
      </w:r>
      <w:r>
        <w:rPr>
          <w:spacing w:val="-5"/>
        </w:rPr>
        <w:t> </w:t>
      </w:r>
      <w:r>
        <w:rPr/>
        <w:t>el</w:t>
      </w:r>
      <w:r>
        <w:rPr>
          <w:spacing w:val="-7"/>
        </w:rPr>
        <w:t> </w:t>
      </w:r>
      <w:r>
        <w:rPr/>
        <w:t>contenido</w:t>
      </w:r>
      <w:r>
        <w:rPr>
          <w:spacing w:val="-7"/>
        </w:rPr>
        <w:t> </w:t>
      </w:r>
      <w:r>
        <w:rPr/>
        <w:t>del</w:t>
      </w:r>
      <w:r>
        <w:rPr>
          <w:spacing w:val="-7"/>
        </w:rPr>
        <w:t> </w:t>
      </w:r>
      <w:r>
        <w:rPr/>
        <w:t>Informe.</w:t>
      </w:r>
      <w:r>
        <w:rPr>
          <w:spacing w:val="-8"/>
        </w:rPr>
        <w:t> </w:t>
      </w:r>
      <w:r>
        <w:rPr/>
        <w:t>Teniendo</w:t>
      </w:r>
      <w:r>
        <w:rPr>
          <w:spacing w:val="-3"/>
        </w:rPr>
        <w:t> </w:t>
      </w:r>
      <w:r>
        <w:rPr/>
        <w:t>en</w:t>
      </w:r>
      <w:r>
        <w:rPr>
          <w:spacing w:val="-7"/>
        </w:rPr>
        <w:t> </w:t>
      </w:r>
      <w:r>
        <w:rPr/>
        <w:t>cuenta lo anterior, el resultado definitivo de la fiscalización es el expresado en el presente Informe.</w:t>
      </w:r>
    </w:p>
    <w:p>
      <w:pPr>
        <w:pStyle w:val="BodyText"/>
        <w:spacing w:after="0"/>
        <w:jc w:val="both"/>
        <w:sectPr>
          <w:headerReference w:type="default" r:id="rId138"/>
          <w:footerReference w:type="default" r:id="rId139"/>
          <w:pgSz w:w="11910" w:h="16840"/>
          <w:pgMar w:header="823" w:footer="880" w:top="1020" w:bottom="1060" w:left="141" w:right="141"/>
          <w:pgNumType w:start="135"/>
        </w:sectPr>
      </w:pPr>
    </w:p>
    <w:p>
      <w:pPr>
        <w:pStyle w:val="BodyText"/>
        <w:spacing w:before="4"/>
        <w:rPr>
          <w:sz w:val="17"/>
        </w:rPr>
      </w:pPr>
    </w:p>
    <w:p>
      <w:pPr>
        <w:pStyle w:val="BodyText"/>
        <w:spacing w:after="0"/>
        <w:rPr>
          <w:sz w:val="17"/>
        </w:rPr>
        <w:sectPr>
          <w:headerReference w:type="even" r:id="rId140"/>
          <w:footerReference w:type="even" r:id="rId141"/>
          <w:pgSz w:w="11910" w:h="16840"/>
          <w:pgMar w:header="0" w:footer="0" w:top="1920" w:bottom="280" w:left="141" w:right="141"/>
        </w:sectPr>
      </w:pPr>
    </w:p>
    <w:p>
      <w:pPr>
        <w:pStyle w:val="BodyText"/>
      </w:pPr>
    </w:p>
    <w:p>
      <w:pPr>
        <w:pStyle w:val="BodyText"/>
      </w:pPr>
    </w:p>
    <w:p>
      <w:pPr>
        <w:pStyle w:val="BodyText"/>
      </w:pPr>
    </w:p>
    <w:p>
      <w:pPr>
        <w:pStyle w:val="BodyText"/>
      </w:pPr>
    </w:p>
    <w:p>
      <w:pPr>
        <w:pStyle w:val="BodyText"/>
      </w:pPr>
    </w:p>
    <w:p>
      <w:pPr>
        <w:pStyle w:val="BodyText"/>
        <w:spacing w:before="10"/>
      </w:pPr>
    </w:p>
    <w:p>
      <w:pPr>
        <w:pStyle w:val="Heading4"/>
        <w:ind w:left="0" w:right="1"/>
      </w:pPr>
      <w:r>
        <w:rPr/>
        <mc:AlternateContent>
          <mc:Choice Requires="wps">
            <w:drawing>
              <wp:anchor distT="0" distB="0" distL="0" distR="0" allowOverlap="1" layoutInCell="1" locked="0" behindDoc="1" simplePos="0" relativeHeight="487644160">
                <wp:simplePos x="0" y="0"/>
                <wp:positionH relativeFrom="page">
                  <wp:posOffset>701344</wp:posOffset>
                </wp:positionH>
                <wp:positionV relativeFrom="paragraph">
                  <wp:posOffset>186136</wp:posOffset>
                </wp:positionV>
                <wp:extent cx="6158230" cy="9525"/>
                <wp:effectExtent l="0" t="0" r="0" b="0"/>
                <wp:wrapTopAndBottom/>
                <wp:docPr id="502" name="Graphic 502"/>
                <wp:cNvGraphicFramePr>
                  <a:graphicFrameLocks/>
                </wp:cNvGraphicFramePr>
                <a:graphic>
                  <a:graphicData uri="http://schemas.microsoft.com/office/word/2010/wordprocessingShape">
                    <wps:wsp>
                      <wps:cNvPr id="502" name="Graphic 502"/>
                      <wps:cNvSpPr/>
                      <wps:spPr>
                        <a:xfrm>
                          <a:off x="0" y="0"/>
                          <a:ext cx="6158230" cy="9525"/>
                        </a:xfrm>
                        <a:custGeom>
                          <a:avLst/>
                          <a:gdLst/>
                          <a:ahLst/>
                          <a:cxnLst/>
                          <a:rect l="l" t="t" r="r" b="b"/>
                          <a:pathLst>
                            <a:path w="6158230" h="9525">
                              <a:moveTo>
                                <a:pt x="6158230" y="0"/>
                              </a:moveTo>
                              <a:lnTo>
                                <a:pt x="0" y="0"/>
                              </a:lnTo>
                              <a:lnTo>
                                <a:pt x="0" y="9144"/>
                              </a:lnTo>
                              <a:lnTo>
                                <a:pt x="6158230" y="9144"/>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14.656446pt;width:484.9pt;height:.72pt;mso-position-horizontal-relative:page;mso-position-vertical-relative:paragraph;z-index:-15672320;mso-wrap-distance-left:0;mso-wrap-distance-right:0" id="docshape435" filled="true" fillcolor="#000000" stroked="false">
                <v:fill type="solid"/>
                <w10:wrap type="topAndBottom"/>
              </v:rect>
            </w:pict>
          </mc:Fallback>
        </mc:AlternateContent>
      </w:r>
      <w:r>
        <w:rPr/>
        <w:t>RELACIÓN</w:t>
      </w:r>
      <w:r>
        <w:rPr>
          <w:spacing w:val="-9"/>
        </w:rPr>
        <w:t> </w:t>
      </w:r>
      <w:r>
        <w:rPr/>
        <w:t>DE</w:t>
      </w:r>
      <w:r>
        <w:rPr>
          <w:spacing w:val="-8"/>
        </w:rPr>
        <w:t> </w:t>
      </w:r>
      <w:r>
        <w:rPr/>
        <w:t>ALEGACIONES</w:t>
      </w:r>
      <w:r>
        <w:rPr>
          <w:spacing w:val="-6"/>
        </w:rPr>
        <w:t> </w:t>
      </w:r>
      <w:r>
        <w:rPr>
          <w:spacing w:val="-2"/>
        </w:rPr>
        <w:t>RECIBIDAS</w:t>
      </w:r>
    </w:p>
    <w:p>
      <w:pPr>
        <w:pStyle w:val="BodyText"/>
        <w:spacing w:before="109"/>
        <w:rPr>
          <w:b/>
        </w:rPr>
      </w:pPr>
    </w:p>
    <w:p>
      <w:pPr>
        <w:pStyle w:val="ListParagraph"/>
        <w:numPr>
          <w:ilvl w:val="0"/>
          <w:numId w:val="12"/>
        </w:numPr>
        <w:tabs>
          <w:tab w:pos="1740" w:val="left" w:leader="none"/>
        </w:tabs>
        <w:spacing w:line="240" w:lineRule="auto" w:before="0" w:after="0"/>
        <w:ind w:left="1740" w:right="0" w:hanging="357"/>
        <w:jc w:val="left"/>
        <w:rPr>
          <w:sz w:val="22"/>
        </w:rPr>
      </w:pPr>
      <w:r>
        <w:rPr>
          <w:sz w:val="22"/>
        </w:rPr>
        <w:t>Alegaciones</w:t>
      </w:r>
      <w:r>
        <w:rPr>
          <w:spacing w:val="-8"/>
          <w:sz w:val="22"/>
        </w:rPr>
        <w:t> </w:t>
      </w:r>
      <w:r>
        <w:rPr>
          <w:sz w:val="22"/>
        </w:rPr>
        <w:t>formuladas</w:t>
      </w:r>
      <w:r>
        <w:rPr>
          <w:spacing w:val="-8"/>
          <w:sz w:val="22"/>
        </w:rPr>
        <w:t> </w:t>
      </w:r>
      <w:r>
        <w:rPr>
          <w:sz w:val="22"/>
        </w:rPr>
        <w:t>por</w:t>
      </w:r>
      <w:r>
        <w:rPr>
          <w:spacing w:val="-4"/>
          <w:sz w:val="22"/>
        </w:rPr>
        <w:t> </w:t>
      </w:r>
      <w:r>
        <w:rPr>
          <w:sz w:val="22"/>
        </w:rPr>
        <w:t>el</w:t>
      </w:r>
      <w:r>
        <w:rPr>
          <w:spacing w:val="-7"/>
          <w:sz w:val="22"/>
        </w:rPr>
        <w:t> </w:t>
      </w:r>
      <w:r>
        <w:rPr>
          <w:sz w:val="22"/>
        </w:rPr>
        <w:t>Alcalde</w:t>
      </w:r>
      <w:r>
        <w:rPr>
          <w:spacing w:val="-5"/>
          <w:sz w:val="22"/>
        </w:rPr>
        <w:t> </w:t>
      </w:r>
      <w:r>
        <w:rPr>
          <w:sz w:val="22"/>
        </w:rPr>
        <w:t>del</w:t>
      </w:r>
      <w:r>
        <w:rPr>
          <w:spacing w:val="-6"/>
          <w:sz w:val="22"/>
        </w:rPr>
        <w:t> </w:t>
      </w:r>
      <w:r>
        <w:rPr>
          <w:sz w:val="22"/>
        </w:rPr>
        <w:t>Ayuntamiento</w:t>
      </w:r>
      <w:r>
        <w:rPr>
          <w:spacing w:val="-6"/>
          <w:sz w:val="22"/>
        </w:rPr>
        <w:t> </w:t>
      </w:r>
      <w:r>
        <w:rPr>
          <w:sz w:val="22"/>
        </w:rPr>
        <w:t>de</w:t>
      </w:r>
      <w:r>
        <w:rPr>
          <w:spacing w:val="-4"/>
          <w:sz w:val="22"/>
        </w:rPr>
        <w:t> </w:t>
      </w:r>
      <w:r>
        <w:rPr>
          <w:spacing w:val="-2"/>
          <w:sz w:val="22"/>
        </w:rPr>
        <w:t>Alicante</w:t>
      </w:r>
    </w:p>
    <w:p>
      <w:pPr>
        <w:pStyle w:val="ListParagraph"/>
        <w:numPr>
          <w:ilvl w:val="0"/>
          <w:numId w:val="12"/>
        </w:numPr>
        <w:tabs>
          <w:tab w:pos="1740" w:val="left" w:leader="none"/>
        </w:tabs>
        <w:spacing w:line="240" w:lineRule="auto" w:before="239" w:after="0"/>
        <w:ind w:left="1740" w:right="0" w:hanging="357"/>
        <w:jc w:val="left"/>
        <w:rPr>
          <w:sz w:val="22"/>
        </w:rPr>
      </w:pPr>
      <w:r>
        <w:rPr>
          <w:spacing w:val="-2"/>
          <w:sz w:val="22"/>
        </w:rPr>
        <w:t>Alegaciones</w:t>
      </w:r>
      <w:r>
        <w:rPr>
          <w:spacing w:val="-5"/>
          <w:sz w:val="22"/>
        </w:rPr>
        <w:t> </w:t>
      </w:r>
      <w:r>
        <w:rPr>
          <w:spacing w:val="-2"/>
          <w:sz w:val="22"/>
        </w:rPr>
        <w:t>formuladas</w:t>
      </w:r>
      <w:r>
        <w:rPr>
          <w:spacing w:val="-11"/>
          <w:sz w:val="22"/>
        </w:rPr>
        <w:t> </w:t>
      </w:r>
      <w:r>
        <w:rPr>
          <w:spacing w:val="-2"/>
          <w:sz w:val="22"/>
        </w:rPr>
        <w:t>por</w:t>
      </w:r>
      <w:r>
        <w:rPr>
          <w:spacing w:val="-3"/>
          <w:sz w:val="22"/>
        </w:rPr>
        <w:t> </w:t>
      </w:r>
      <w:r>
        <w:rPr>
          <w:spacing w:val="-2"/>
          <w:sz w:val="22"/>
        </w:rPr>
        <w:t>la</w:t>
      </w:r>
      <w:r>
        <w:rPr>
          <w:spacing w:val="-8"/>
          <w:sz w:val="22"/>
        </w:rPr>
        <w:t> </w:t>
      </w:r>
      <w:r>
        <w:rPr>
          <w:spacing w:val="-2"/>
          <w:sz w:val="22"/>
        </w:rPr>
        <w:t>Alcaldesa</w:t>
      </w:r>
      <w:r>
        <w:rPr>
          <w:spacing w:val="-6"/>
          <w:sz w:val="22"/>
        </w:rPr>
        <w:t> </w:t>
      </w:r>
      <w:r>
        <w:rPr>
          <w:spacing w:val="-2"/>
          <w:sz w:val="22"/>
        </w:rPr>
        <w:t>del</w:t>
      </w:r>
      <w:r>
        <w:rPr>
          <w:spacing w:val="-9"/>
          <w:sz w:val="22"/>
        </w:rPr>
        <w:t> </w:t>
      </w:r>
      <w:r>
        <w:rPr>
          <w:spacing w:val="-2"/>
          <w:sz w:val="22"/>
        </w:rPr>
        <w:t>Ayuntamiento</w:t>
      </w:r>
      <w:r>
        <w:rPr>
          <w:spacing w:val="-7"/>
          <w:sz w:val="22"/>
        </w:rPr>
        <w:t> </w:t>
      </w:r>
      <w:r>
        <w:rPr>
          <w:spacing w:val="-2"/>
          <w:sz w:val="22"/>
        </w:rPr>
        <w:t>de</w:t>
      </w:r>
      <w:r>
        <w:rPr>
          <w:spacing w:val="-7"/>
          <w:sz w:val="22"/>
        </w:rPr>
        <w:t> </w:t>
      </w:r>
      <w:r>
        <w:rPr>
          <w:spacing w:val="-2"/>
          <w:sz w:val="22"/>
        </w:rPr>
        <w:t>Las</w:t>
      </w:r>
      <w:r>
        <w:rPr>
          <w:spacing w:val="-8"/>
          <w:sz w:val="22"/>
        </w:rPr>
        <w:t> </w:t>
      </w:r>
      <w:r>
        <w:rPr>
          <w:spacing w:val="-2"/>
          <w:sz w:val="22"/>
        </w:rPr>
        <w:t>Palmas</w:t>
      </w:r>
      <w:r>
        <w:rPr>
          <w:spacing w:val="-10"/>
          <w:sz w:val="22"/>
        </w:rPr>
        <w:t> </w:t>
      </w:r>
      <w:r>
        <w:rPr>
          <w:spacing w:val="-2"/>
          <w:sz w:val="22"/>
        </w:rPr>
        <w:t>de</w:t>
      </w:r>
      <w:r>
        <w:rPr>
          <w:spacing w:val="-8"/>
          <w:sz w:val="22"/>
        </w:rPr>
        <w:t> </w:t>
      </w:r>
      <w:r>
        <w:rPr>
          <w:spacing w:val="-2"/>
          <w:sz w:val="22"/>
        </w:rPr>
        <w:t>Gran</w:t>
      </w:r>
      <w:r>
        <w:rPr>
          <w:spacing w:val="-7"/>
          <w:sz w:val="22"/>
        </w:rPr>
        <w:t> </w:t>
      </w:r>
      <w:r>
        <w:rPr>
          <w:spacing w:val="-2"/>
          <w:sz w:val="22"/>
        </w:rPr>
        <w:t>Canaria</w:t>
      </w:r>
    </w:p>
    <w:p>
      <w:pPr>
        <w:pStyle w:val="ListParagraph"/>
        <w:numPr>
          <w:ilvl w:val="0"/>
          <w:numId w:val="12"/>
        </w:numPr>
        <w:tabs>
          <w:tab w:pos="1740" w:val="left" w:leader="none"/>
        </w:tabs>
        <w:spacing w:line="240" w:lineRule="auto" w:before="239" w:after="0"/>
        <w:ind w:left="1740" w:right="0" w:hanging="357"/>
        <w:jc w:val="left"/>
        <w:rPr>
          <w:sz w:val="22"/>
        </w:rPr>
      </w:pPr>
      <w:r>
        <w:rPr>
          <w:sz w:val="22"/>
        </w:rPr>
        <w:t>Alegaciones</w:t>
      </w:r>
      <w:r>
        <w:rPr>
          <w:spacing w:val="-8"/>
          <w:sz w:val="22"/>
        </w:rPr>
        <w:t> </w:t>
      </w:r>
      <w:r>
        <w:rPr>
          <w:sz w:val="22"/>
        </w:rPr>
        <w:t>formuladas</w:t>
      </w:r>
      <w:r>
        <w:rPr>
          <w:spacing w:val="-8"/>
          <w:sz w:val="22"/>
        </w:rPr>
        <w:t> </w:t>
      </w:r>
      <w:r>
        <w:rPr>
          <w:sz w:val="22"/>
        </w:rPr>
        <w:t>por</w:t>
      </w:r>
      <w:r>
        <w:rPr>
          <w:spacing w:val="-4"/>
          <w:sz w:val="22"/>
        </w:rPr>
        <w:t> </w:t>
      </w:r>
      <w:r>
        <w:rPr>
          <w:sz w:val="22"/>
        </w:rPr>
        <w:t>el</w:t>
      </w:r>
      <w:r>
        <w:rPr>
          <w:spacing w:val="-7"/>
          <w:sz w:val="22"/>
        </w:rPr>
        <w:t> </w:t>
      </w:r>
      <w:r>
        <w:rPr>
          <w:sz w:val="22"/>
        </w:rPr>
        <w:t>Alcalde</w:t>
      </w:r>
      <w:r>
        <w:rPr>
          <w:spacing w:val="-4"/>
          <w:sz w:val="22"/>
        </w:rPr>
        <w:t> </w:t>
      </w:r>
      <w:r>
        <w:rPr>
          <w:sz w:val="22"/>
        </w:rPr>
        <w:t>del</w:t>
      </w:r>
      <w:r>
        <w:rPr>
          <w:spacing w:val="-6"/>
          <w:sz w:val="22"/>
        </w:rPr>
        <w:t> </w:t>
      </w:r>
      <w:r>
        <w:rPr>
          <w:sz w:val="22"/>
        </w:rPr>
        <w:t>Ayuntamiento</w:t>
      </w:r>
      <w:r>
        <w:rPr>
          <w:spacing w:val="-5"/>
          <w:sz w:val="22"/>
        </w:rPr>
        <w:t> </w:t>
      </w:r>
      <w:r>
        <w:rPr>
          <w:sz w:val="22"/>
        </w:rPr>
        <w:t>de</w:t>
      </w:r>
      <w:r>
        <w:rPr>
          <w:spacing w:val="-9"/>
          <w:sz w:val="22"/>
        </w:rPr>
        <w:t> </w:t>
      </w:r>
      <w:r>
        <w:rPr>
          <w:spacing w:val="-2"/>
          <w:sz w:val="22"/>
        </w:rPr>
        <w:t>Málaga</w:t>
      </w:r>
    </w:p>
    <w:p>
      <w:pPr>
        <w:pStyle w:val="ListParagraph"/>
        <w:numPr>
          <w:ilvl w:val="0"/>
          <w:numId w:val="12"/>
        </w:numPr>
        <w:tabs>
          <w:tab w:pos="1740" w:val="left" w:leader="none"/>
        </w:tabs>
        <w:spacing w:line="240" w:lineRule="auto" w:before="242" w:after="0"/>
        <w:ind w:left="1740" w:right="0" w:hanging="357"/>
        <w:jc w:val="left"/>
        <w:rPr>
          <w:sz w:val="22"/>
        </w:rPr>
      </w:pPr>
      <w:r>
        <w:rPr>
          <w:sz w:val="22"/>
        </w:rPr>
        <w:t>Alegaciones</w:t>
      </w:r>
      <w:r>
        <w:rPr>
          <w:spacing w:val="-8"/>
          <w:sz w:val="22"/>
        </w:rPr>
        <w:t> </w:t>
      </w:r>
      <w:r>
        <w:rPr>
          <w:sz w:val="22"/>
        </w:rPr>
        <w:t>formuladas</w:t>
      </w:r>
      <w:r>
        <w:rPr>
          <w:spacing w:val="-8"/>
          <w:sz w:val="22"/>
        </w:rPr>
        <w:t> </w:t>
      </w:r>
      <w:r>
        <w:rPr>
          <w:sz w:val="22"/>
        </w:rPr>
        <w:t>por</w:t>
      </w:r>
      <w:r>
        <w:rPr>
          <w:spacing w:val="-4"/>
          <w:sz w:val="22"/>
        </w:rPr>
        <w:t> </w:t>
      </w:r>
      <w:r>
        <w:rPr>
          <w:sz w:val="22"/>
        </w:rPr>
        <w:t>el</w:t>
      </w:r>
      <w:r>
        <w:rPr>
          <w:spacing w:val="-7"/>
          <w:sz w:val="22"/>
        </w:rPr>
        <w:t> </w:t>
      </w:r>
      <w:r>
        <w:rPr>
          <w:sz w:val="22"/>
        </w:rPr>
        <w:t>Alcalde</w:t>
      </w:r>
      <w:r>
        <w:rPr>
          <w:spacing w:val="-6"/>
          <w:sz w:val="22"/>
        </w:rPr>
        <w:t> </w:t>
      </w:r>
      <w:r>
        <w:rPr>
          <w:sz w:val="22"/>
        </w:rPr>
        <w:t>del</w:t>
      </w:r>
      <w:r>
        <w:rPr>
          <w:spacing w:val="-5"/>
          <w:sz w:val="22"/>
        </w:rPr>
        <w:t> </w:t>
      </w:r>
      <w:r>
        <w:rPr>
          <w:sz w:val="22"/>
        </w:rPr>
        <w:t>Ayuntamiento</w:t>
      </w:r>
      <w:r>
        <w:rPr>
          <w:spacing w:val="-6"/>
          <w:sz w:val="22"/>
        </w:rPr>
        <w:t> </w:t>
      </w:r>
      <w:r>
        <w:rPr>
          <w:sz w:val="22"/>
        </w:rPr>
        <w:t>de</w:t>
      </w:r>
      <w:r>
        <w:rPr>
          <w:spacing w:val="-9"/>
          <w:sz w:val="22"/>
        </w:rPr>
        <w:t> </w:t>
      </w:r>
      <w:r>
        <w:rPr>
          <w:spacing w:val="-2"/>
          <w:sz w:val="22"/>
        </w:rPr>
        <w:t>Murcia</w:t>
      </w:r>
    </w:p>
    <w:p>
      <w:pPr>
        <w:pStyle w:val="ListParagraph"/>
        <w:numPr>
          <w:ilvl w:val="0"/>
          <w:numId w:val="12"/>
        </w:numPr>
        <w:tabs>
          <w:tab w:pos="1740" w:val="left" w:leader="none"/>
        </w:tabs>
        <w:spacing w:line="240" w:lineRule="auto" w:before="239" w:after="0"/>
        <w:ind w:left="1740" w:right="0" w:hanging="357"/>
        <w:jc w:val="left"/>
        <w:rPr>
          <w:sz w:val="22"/>
        </w:rPr>
      </w:pPr>
      <w:r>
        <w:rPr>
          <w:sz w:val="22"/>
        </w:rPr>
        <w:t>Alegaciones</w:t>
      </w:r>
      <w:r>
        <w:rPr>
          <w:spacing w:val="-8"/>
          <w:sz w:val="22"/>
        </w:rPr>
        <w:t> </w:t>
      </w:r>
      <w:r>
        <w:rPr>
          <w:sz w:val="22"/>
        </w:rPr>
        <w:t>formuladas</w:t>
      </w:r>
      <w:r>
        <w:rPr>
          <w:spacing w:val="-8"/>
          <w:sz w:val="22"/>
        </w:rPr>
        <w:t> </w:t>
      </w:r>
      <w:r>
        <w:rPr>
          <w:sz w:val="22"/>
        </w:rPr>
        <w:t>por</w:t>
      </w:r>
      <w:r>
        <w:rPr>
          <w:spacing w:val="-4"/>
          <w:sz w:val="22"/>
        </w:rPr>
        <w:t> </w:t>
      </w:r>
      <w:r>
        <w:rPr>
          <w:sz w:val="22"/>
        </w:rPr>
        <w:t>el</w:t>
      </w:r>
      <w:r>
        <w:rPr>
          <w:spacing w:val="-7"/>
          <w:sz w:val="22"/>
        </w:rPr>
        <w:t> </w:t>
      </w:r>
      <w:r>
        <w:rPr>
          <w:sz w:val="22"/>
        </w:rPr>
        <w:t>Alcalde</w:t>
      </w:r>
      <w:r>
        <w:rPr>
          <w:spacing w:val="-5"/>
          <w:sz w:val="22"/>
        </w:rPr>
        <w:t> </w:t>
      </w:r>
      <w:r>
        <w:rPr>
          <w:sz w:val="22"/>
        </w:rPr>
        <w:t>del</w:t>
      </w:r>
      <w:r>
        <w:rPr>
          <w:spacing w:val="-6"/>
          <w:sz w:val="22"/>
        </w:rPr>
        <w:t> </w:t>
      </w:r>
      <w:r>
        <w:rPr>
          <w:sz w:val="22"/>
        </w:rPr>
        <w:t>Ayuntamiento</w:t>
      </w:r>
      <w:r>
        <w:rPr>
          <w:spacing w:val="-6"/>
          <w:sz w:val="22"/>
        </w:rPr>
        <w:t> </w:t>
      </w:r>
      <w:r>
        <w:rPr>
          <w:sz w:val="22"/>
        </w:rPr>
        <w:t>de</w:t>
      </w:r>
      <w:r>
        <w:rPr>
          <w:spacing w:val="-4"/>
          <w:sz w:val="22"/>
        </w:rPr>
        <w:t> </w:t>
      </w:r>
      <w:r>
        <w:rPr>
          <w:spacing w:val="-2"/>
          <w:sz w:val="22"/>
        </w:rPr>
        <w:t>Palma</w:t>
      </w:r>
    </w:p>
    <w:p>
      <w:pPr>
        <w:pStyle w:val="ListParagraph"/>
        <w:numPr>
          <w:ilvl w:val="0"/>
          <w:numId w:val="12"/>
        </w:numPr>
        <w:tabs>
          <w:tab w:pos="1740" w:val="left" w:leader="none"/>
        </w:tabs>
        <w:spacing w:line="240" w:lineRule="auto" w:before="242" w:after="0"/>
        <w:ind w:left="1740" w:right="0" w:hanging="357"/>
        <w:jc w:val="left"/>
        <w:rPr>
          <w:sz w:val="22"/>
        </w:rPr>
      </w:pPr>
      <w:r>
        <w:rPr>
          <w:sz w:val="22"/>
        </w:rPr>
        <w:t>Alegaciones</w:t>
      </w:r>
      <w:r>
        <w:rPr>
          <w:spacing w:val="-8"/>
          <w:sz w:val="22"/>
        </w:rPr>
        <w:t> </w:t>
      </w:r>
      <w:r>
        <w:rPr>
          <w:sz w:val="22"/>
        </w:rPr>
        <w:t>formuladas</w:t>
      </w:r>
      <w:r>
        <w:rPr>
          <w:spacing w:val="-7"/>
          <w:sz w:val="22"/>
        </w:rPr>
        <w:t> </w:t>
      </w:r>
      <w:r>
        <w:rPr>
          <w:sz w:val="22"/>
        </w:rPr>
        <w:t>por</w:t>
      </w:r>
      <w:r>
        <w:rPr>
          <w:spacing w:val="-4"/>
          <w:sz w:val="22"/>
        </w:rPr>
        <w:t> </w:t>
      </w:r>
      <w:r>
        <w:rPr>
          <w:sz w:val="22"/>
        </w:rPr>
        <w:t>la</w:t>
      </w:r>
      <w:r>
        <w:rPr>
          <w:spacing w:val="-5"/>
          <w:sz w:val="22"/>
        </w:rPr>
        <w:t> </w:t>
      </w:r>
      <w:r>
        <w:rPr>
          <w:sz w:val="22"/>
        </w:rPr>
        <w:t>Alcaldesa</w:t>
      </w:r>
      <w:r>
        <w:rPr>
          <w:spacing w:val="-5"/>
          <w:sz w:val="22"/>
        </w:rPr>
        <w:t> </w:t>
      </w:r>
      <w:r>
        <w:rPr>
          <w:sz w:val="22"/>
        </w:rPr>
        <w:t>del</w:t>
      </w:r>
      <w:r>
        <w:rPr>
          <w:spacing w:val="-6"/>
          <w:sz w:val="22"/>
        </w:rPr>
        <w:t> </w:t>
      </w:r>
      <w:r>
        <w:rPr>
          <w:sz w:val="22"/>
        </w:rPr>
        <w:t>Ayuntamiento</w:t>
      </w:r>
      <w:r>
        <w:rPr>
          <w:spacing w:val="-7"/>
          <w:sz w:val="22"/>
        </w:rPr>
        <w:t> </w:t>
      </w:r>
      <w:r>
        <w:rPr>
          <w:sz w:val="22"/>
        </w:rPr>
        <w:t>de</w:t>
      </w:r>
      <w:r>
        <w:rPr>
          <w:spacing w:val="-3"/>
          <w:sz w:val="22"/>
        </w:rPr>
        <w:t> </w:t>
      </w:r>
      <w:r>
        <w:rPr>
          <w:spacing w:val="-2"/>
          <w:sz w:val="22"/>
        </w:rPr>
        <w:t>Zaragoza</w:t>
      </w:r>
    </w:p>
    <w:p>
      <w:pPr>
        <w:pStyle w:val="ListParagraph"/>
        <w:spacing w:after="0" w:line="240" w:lineRule="auto"/>
        <w:jc w:val="left"/>
        <w:rPr>
          <w:sz w:val="22"/>
        </w:rPr>
        <w:sectPr>
          <w:headerReference w:type="default" r:id="rId142"/>
          <w:footerReference w:type="default" r:id="rId143"/>
          <w:pgSz w:w="11910" w:h="16840"/>
          <w:pgMar w:header="823" w:footer="880" w:top="1020" w:bottom="1060" w:left="141" w:right="141"/>
          <w:pgNumType w:start="137"/>
        </w:sectPr>
      </w:pPr>
    </w:p>
    <w:p>
      <w:pPr>
        <w:pStyle w:val="BodyText"/>
        <w:spacing w:before="4"/>
        <w:rPr>
          <w:sz w:val="17"/>
        </w:rPr>
      </w:pPr>
    </w:p>
    <w:p>
      <w:pPr>
        <w:pStyle w:val="BodyText"/>
        <w:spacing w:after="0"/>
        <w:rPr>
          <w:sz w:val="17"/>
        </w:rPr>
        <w:sectPr>
          <w:headerReference w:type="even" r:id="rId144"/>
          <w:footerReference w:type="even" r:id="rId145"/>
          <w:pgSz w:w="11910" w:h="16840"/>
          <w:pgMar w:header="0" w:footer="0" w:top="1920" w:bottom="280" w:left="141" w:right="141"/>
        </w:sectPr>
      </w:pPr>
    </w:p>
    <w:p>
      <w:pPr>
        <w:spacing w:line="240" w:lineRule="auto"/>
        <w:ind w:left="1219" w:right="0" w:firstLine="0"/>
        <w:rPr>
          <w:sz w:val="20"/>
        </w:rPr>
      </w:pPr>
      <w:r>
        <w:rPr>
          <w:sz w:val="20"/>
        </w:rPr>
        <w:drawing>
          <wp:inline distT="0" distB="0" distL="0" distR="0">
            <wp:extent cx="1807250" cy="530351"/>
            <wp:effectExtent l="0" t="0" r="0" b="0"/>
            <wp:docPr id="503" name="Image 503"/>
            <wp:cNvGraphicFramePr>
              <a:graphicFrameLocks/>
            </wp:cNvGraphicFramePr>
            <a:graphic>
              <a:graphicData uri="http://schemas.openxmlformats.org/drawingml/2006/picture">
                <pic:pic>
                  <pic:nvPicPr>
                    <pic:cNvPr id="503" name="Image 503"/>
                    <pic:cNvPicPr/>
                  </pic:nvPicPr>
                  <pic:blipFill>
                    <a:blip r:embed="rId61" cstate="print"/>
                    <a:stretch>
                      <a:fillRect/>
                    </a:stretch>
                  </pic:blipFill>
                  <pic:spPr>
                    <a:xfrm>
                      <a:off x="0" y="0"/>
                      <a:ext cx="1807250" cy="530351"/>
                    </a:xfrm>
                    <a:prstGeom prst="rect">
                      <a:avLst/>
                    </a:prstGeom>
                  </pic:spPr>
                </pic:pic>
              </a:graphicData>
            </a:graphic>
          </wp:inline>
        </w:drawing>
      </w:r>
      <w:r>
        <w:rPr>
          <w:sz w:val="20"/>
        </w:rPr>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87"/>
        <w:rPr>
          <w:sz w:val="32"/>
        </w:rPr>
      </w:pPr>
    </w:p>
    <w:p>
      <w:pPr>
        <w:pStyle w:val="Heading1"/>
      </w:pPr>
      <w:r>
        <w:rPr/>
        <w:drawing>
          <wp:anchor distT="0" distB="0" distL="0" distR="0" allowOverlap="1" layoutInCell="1" locked="0" behindDoc="1" simplePos="0" relativeHeight="474323456">
            <wp:simplePos x="0" y="0"/>
            <wp:positionH relativeFrom="page">
              <wp:posOffset>900430</wp:posOffset>
            </wp:positionH>
            <wp:positionV relativeFrom="paragraph">
              <wp:posOffset>-3400944</wp:posOffset>
            </wp:positionV>
            <wp:extent cx="6137656" cy="7663733"/>
            <wp:effectExtent l="0" t="0" r="0" b="0"/>
            <wp:wrapNone/>
            <wp:docPr id="504" name="Image 504"/>
            <wp:cNvGraphicFramePr>
              <a:graphicFrameLocks/>
            </wp:cNvGraphicFramePr>
            <a:graphic>
              <a:graphicData uri="http://schemas.openxmlformats.org/drawingml/2006/picture">
                <pic:pic>
                  <pic:nvPicPr>
                    <pic:cNvPr id="504" name="Image 504"/>
                    <pic:cNvPicPr/>
                  </pic:nvPicPr>
                  <pic:blipFill>
                    <a:blip r:embed="rId9" cstate="print"/>
                    <a:stretch>
                      <a:fillRect/>
                    </a:stretch>
                  </pic:blipFill>
                  <pic:spPr>
                    <a:xfrm>
                      <a:off x="0" y="0"/>
                      <a:ext cx="6137656" cy="7663733"/>
                    </a:xfrm>
                    <a:prstGeom prst="rect">
                      <a:avLst/>
                    </a:prstGeom>
                  </pic:spPr>
                </pic:pic>
              </a:graphicData>
            </a:graphic>
          </wp:anchor>
        </w:drawing>
      </w:r>
      <w:bookmarkStart w:name="1668_2025F6D04 Alegaciones" w:id="161"/>
      <w:bookmarkEnd w:id="161"/>
      <w:r>
        <w:rPr>
          <w:b w:val="0"/>
        </w:rPr>
      </w:r>
      <w:r>
        <w:rPr/>
        <w:t>Alegaciones</w:t>
      </w:r>
      <w:r>
        <w:rPr>
          <w:spacing w:val="-10"/>
        </w:rPr>
        <w:t> </w:t>
      </w:r>
      <w:r>
        <w:rPr/>
        <w:t>formuladas</w:t>
      </w:r>
      <w:r>
        <w:rPr>
          <w:spacing w:val="-11"/>
        </w:rPr>
        <w:t> </w:t>
      </w:r>
      <w:r>
        <w:rPr/>
        <w:t>por</w:t>
      </w:r>
      <w:r>
        <w:rPr>
          <w:spacing w:val="-7"/>
        </w:rPr>
        <w:t> </w:t>
      </w:r>
      <w:r>
        <w:rPr/>
        <w:t>el</w:t>
      </w:r>
      <w:r>
        <w:rPr>
          <w:spacing w:val="-10"/>
        </w:rPr>
        <w:t> </w:t>
      </w:r>
      <w:r>
        <w:rPr/>
        <w:t>Alcalde</w:t>
      </w:r>
      <w:r>
        <w:rPr>
          <w:spacing w:val="-11"/>
        </w:rPr>
        <w:t> </w:t>
      </w:r>
      <w:r>
        <w:rPr/>
        <w:t>del</w:t>
      </w:r>
      <w:r>
        <w:rPr>
          <w:spacing w:val="-11"/>
        </w:rPr>
        <w:t> </w:t>
      </w:r>
      <w:r>
        <w:rPr/>
        <w:t>Ayuntamiento</w:t>
      </w:r>
      <w:r>
        <w:rPr>
          <w:spacing w:val="-10"/>
        </w:rPr>
        <w:t> </w:t>
      </w:r>
      <w:r>
        <w:rPr/>
        <w:t>de</w:t>
      </w:r>
      <w:r>
        <w:rPr>
          <w:spacing w:val="-11"/>
        </w:rPr>
        <w:t> </w:t>
      </w:r>
      <w:r>
        <w:rPr>
          <w:spacing w:val="-2"/>
        </w:rPr>
        <w:t>Alicante</w:t>
      </w:r>
    </w:p>
    <w:p>
      <w:pPr>
        <w:pStyle w:val="Heading1"/>
        <w:spacing w:after="0"/>
        <w:sectPr>
          <w:headerReference w:type="default" r:id="rId146"/>
          <w:footerReference w:type="default" r:id="rId147"/>
          <w:pgSz w:w="11910" w:h="16840"/>
          <w:pgMar w:header="0" w:footer="0" w:top="900" w:bottom="280" w:left="141" w:right="141"/>
        </w:sectPr>
      </w:pPr>
    </w:p>
    <w:p>
      <w:pPr>
        <w:pStyle w:val="BodyText"/>
        <w:spacing w:before="4"/>
        <w:rPr>
          <w:rFonts w:ascii="Calibri"/>
          <w:b/>
          <w:sz w:val="16"/>
        </w:rPr>
      </w:pPr>
    </w:p>
    <w:p>
      <w:pPr>
        <w:pStyle w:val="BodyText"/>
        <w:spacing w:after="0"/>
        <w:rPr>
          <w:rFonts w:ascii="Calibri"/>
          <w:b/>
          <w:sz w:val="16"/>
        </w:rPr>
        <w:sectPr>
          <w:headerReference w:type="even" r:id="rId148"/>
          <w:footerReference w:type="even" r:id="rId149"/>
          <w:pgSz w:w="11910" w:h="16840"/>
          <w:pgMar w:header="0" w:footer="0" w:top="1920" w:bottom="280" w:left="141" w:right="141"/>
        </w:sectPr>
      </w:pPr>
    </w:p>
    <w:p>
      <w:pPr>
        <w:pStyle w:val="BodyText"/>
        <w:spacing w:before="170"/>
        <w:rPr>
          <w:rFonts w:ascii="Calibri"/>
          <w:b/>
          <w:sz w:val="20"/>
        </w:rPr>
      </w:pPr>
    </w:p>
    <w:p>
      <w:pPr>
        <w:spacing w:before="0"/>
        <w:ind w:left="370" w:right="0" w:firstLine="0"/>
        <w:jc w:val="center"/>
        <w:rPr>
          <w:sz w:val="20"/>
        </w:rPr>
      </w:pPr>
      <w:r>
        <w:rPr>
          <w:sz w:val="20"/>
        </w:rPr>
        <mc:AlternateContent>
          <mc:Choice Requires="wps">
            <w:drawing>
              <wp:anchor distT="0" distB="0" distL="0" distR="0" allowOverlap="1" layoutInCell="1" locked="0" behindDoc="0" simplePos="0" relativeHeight="15788032">
                <wp:simplePos x="0" y="0"/>
                <wp:positionH relativeFrom="page">
                  <wp:posOffset>19811</wp:posOffset>
                </wp:positionH>
                <wp:positionV relativeFrom="paragraph">
                  <wp:posOffset>320077</wp:posOffset>
                </wp:positionV>
                <wp:extent cx="7522845" cy="1270"/>
                <wp:effectExtent l="0" t="0" r="0" b="0"/>
                <wp:wrapNone/>
                <wp:docPr id="508" name="Graphic 508"/>
                <wp:cNvGraphicFramePr>
                  <a:graphicFrameLocks/>
                </wp:cNvGraphicFramePr>
                <a:graphic>
                  <a:graphicData uri="http://schemas.microsoft.com/office/word/2010/wordprocessingShape">
                    <wps:wsp>
                      <wps:cNvPr id="508" name="Graphic 508"/>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88032" from="1.56pt,25.202969pt" to="593.879987pt,25.202969pt" stroked="true" strokeweight=".6pt" strokecolor="#000000">
                <v:stroke dashstyle="solid"/>
                <w10:wrap type="none"/>
              </v:line>
            </w:pict>
          </mc:Fallback>
        </mc:AlternateContent>
      </w:r>
      <w:r>
        <w:rPr>
          <w:sz w:val="20"/>
        </w:rPr>
        <w:drawing>
          <wp:anchor distT="0" distB="0" distL="0" distR="0" allowOverlap="1" layoutInCell="1" locked="0" behindDoc="0" simplePos="0" relativeHeight="15788544">
            <wp:simplePos x="0" y="0"/>
            <wp:positionH relativeFrom="page">
              <wp:posOffset>294131</wp:posOffset>
            </wp:positionH>
            <wp:positionV relativeFrom="paragraph">
              <wp:posOffset>-265223</wp:posOffset>
            </wp:positionV>
            <wp:extent cx="1316736" cy="364481"/>
            <wp:effectExtent l="0" t="0" r="0" b="0"/>
            <wp:wrapNone/>
            <wp:docPr id="509" name="Image 509"/>
            <wp:cNvGraphicFramePr>
              <a:graphicFrameLocks/>
            </wp:cNvGraphicFramePr>
            <a:graphic>
              <a:graphicData uri="http://schemas.openxmlformats.org/drawingml/2006/picture">
                <pic:pic>
                  <pic:nvPicPr>
                    <pic:cNvPr id="509" name="Image 509"/>
                    <pic:cNvPicPr/>
                  </pic:nvPicPr>
                  <pic:blipFill>
                    <a:blip r:embed="rId152" cstate="print"/>
                    <a:stretch>
                      <a:fillRect/>
                    </a:stretch>
                  </pic:blipFill>
                  <pic:spPr>
                    <a:xfrm>
                      <a:off x="0" y="0"/>
                      <a:ext cx="1316736" cy="364481"/>
                    </a:xfrm>
                    <a:prstGeom prst="rect">
                      <a:avLst/>
                    </a:prstGeom>
                  </pic:spPr>
                </pic:pic>
              </a:graphicData>
            </a:graphic>
          </wp:anchor>
        </w:drawing>
      </w: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p>
      <w:pPr>
        <w:pStyle w:val="BodyText"/>
        <w:rPr>
          <w:sz w:val="20"/>
        </w:rPr>
      </w:pPr>
    </w:p>
    <w:p>
      <w:pPr>
        <w:pStyle w:val="BodyText"/>
        <w:rPr>
          <w:sz w:val="20"/>
        </w:rPr>
      </w:pPr>
    </w:p>
    <w:p>
      <w:pPr>
        <w:pStyle w:val="BodyText"/>
        <w:spacing w:before="110"/>
        <w:rPr>
          <w:sz w:val="20"/>
        </w:rPr>
      </w:pPr>
    </w:p>
    <w:p>
      <w:pPr>
        <w:spacing w:line="324" w:lineRule="auto" w:before="0"/>
        <w:ind w:left="1284" w:right="907" w:firstLine="0"/>
        <w:jc w:val="left"/>
        <w:rPr>
          <w:sz w:val="20"/>
        </w:rPr>
      </w:pPr>
      <w:r>
        <w:rPr>
          <w:sz w:val="20"/>
        </w:rPr>
        <w:t>FRANCISCO ANDRES FERNANDEZ</w:t>
      </w:r>
      <w:r>
        <w:rPr>
          <w:spacing w:val="40"/>
          <w:sz w:val="20"/>
        </w:rPr>
        <w:t> </w:t>
      </w:r>
      <w:r>
        <w:rPr>
          <w:sz w:val="20"/>
        </w:rPr>
        <w:t>GOMEZ con DNI</w:t>
      </w:r>
      <w:r>
        <w:rPr>
          <w:spacing w:val="-16"/>
          <w:sz w:val="20"/>
        </w:rPr>
        <w:t> </w:t>
      </w:r>
      <w:r>
        <w:rPr>
          <w:spacing w:val="-20"/>
          <w:position w:val="-5"/>
          <w:sz w:val="20"/>
        </w:rPr>
        <w:drawing>
          <wp:inline distT="0" distB="0" distL="0" distR="0">
            <wp:extent cx="551637" cy="145364"/>
            <wp:effectExtent l="0" t="0" r="0" b="0"/>
            <wp:docPr id="510" name="Image 510"/>
            <wp:cNvGraphicFramePr>
              <a:graphicFrameLocks/>
            </wp:cNvGraphicFramePr>
            <a:graphic>
              <a:graphicData uri="http://schemas.openxmlformats.org/drawingml/2006/picture">
                <pic:pic>
                  <pic:nvPicPr>
                    <pic:cNvPr id="510" name="Image 510"/>
                    <pic:cNvPicPr/>
                  </pic:nvPicPr>
                  <pic:blipFill>
                    <a:blip r:embed="rId153" cstate="print"/>
                    <a:stretch>
                      <a:fillRect/>
                    </a:stretch>
                  </pic:blipFill>
                  <pic:spPr>
                    <a:xfrm>
                      <a:off x="0" y="0"/>
                      <a:ext cx="551637" cy="145364"/>
                    </a:xfrm>
                    <a:prstGeom prst="rect">
                      <a:avLst/>
                    </a:prstGeom>
                  </pic:spPr>
                </pic:pic>
              </a:graphicData>
            </a:graphic>
          </wp:inline>
        </w:drawing>
      </w:r>
      <w:r>
        <w:rPr>
          <w:spacing w:val="-20"/>
          <w:position w:val="-5"/>
          <w:sz w:val="20"/>
        </w:rPr>
      </w:r>
      <w:r>
        <w:rPr>
          <w:rFonts w:ascii="Times New Roman" w:hAnsi="Times New Roman"/>
          <w:spacing w:val="13"/>
          <w:sz w:val="20"/>
        </w:rPr>
        <w:t> </w:t>
      </w:r>
      <w:r>
        <w:rPr>
          <w:sz w:val="20"/>
        </w:rPr>
        <w:t>ha registrado el trámite Trámite de alegaciones al Anteproyecto de Informe de Fiscalización sobre las medidas adoptadas por las entidades locales</w:t>
      </w:r>
      <w:r>
        <w:rPr>
          <w:spacing w:val="-6"/>
          <w:sz w:val="20"/>
        </w:rPr>
        <w:t> </w:t>
      </w:r>
      <w:r>
        <w:rPr>
          <w:sz w:val="20"/>
        </w:rPr>
        <w:t>para</w:t>
      </w:r>
      <w:r>
        <w:rPr>
          <w:spacing w:val="-6"/>
          <w:sz w:val="20"/>
        </w:rPr>
        <w:t> </w:t>
      </w:r>
      <w:r>
        <w:rPr>
          <w:sz w:val="20"/>
        </w:rPr>
        <w:t>lograr</w:t>
      </w:r>
      <w:r>
        <w:rPr>
          <w:spacing w:val="-6"/>
          <w:sz w:val="20"/>
        </w:rPr>
        <w:t> </w:t>
      </w:r>
      <w:r>
        <w:rPr>
          <w:sz w:val="20"/>
        </w:rPr>
        <w:t>una</w:t>
      </w:r>
      <w:r>
        <w:rPr>
          <w:spacing w:val="-6"/>
          <w:sz w:val="20"/>
        </w:rPr>
        <w:t> </w:t>
      </w:r>
      <w:r>
        <w:rPr>
          <w:sz w:val="20"/>
        </w:rPr>
        <w:t>movilidad</w:t>
      </w:r>
      <w:r>
        <w:rPr>
          <w:spacing w:val="-6"/>
          <w:sz w:val="20"/>
        </w:rPr>
        <w:t> </w:t>
      </w:r>
      <w:r>
        <w:rPr>
          <w:sz w:val="20"/>
        </w:rPr>
        <w:t>sostenible</w:t>
      </w:r>
      <w:r>
        <w:rPr>
          <w:spacing w:val="-6"/>
          <w:sz w:val="20"/>
        </w:rPr>
        <w:t> </w:t>
      </w:r>
      <w:r>
        <w:rPr>
          <w:sz w:val="20"/>
        </w:rPr>
        <w:t>en</w:t>
      </w:r>
      <w:r>
        <w:rPr>
          <w:spacing w:val="-6"/>
          <w:sz w:val="20"/>
        </w:rPr>
        <w:t> </w:t>
      </w:r>
      <w:r>
        <w:rPr>
          <w:sz w:val="20"/>
        </w:rPr>
        <w:t>el</w:t>
      </w:r>
      <w:r>
        <w:rPr>
          <w:spacing w:val="-5"/>
          <w:sz w:val="20"/>
        </w:rPr>
        <w:t> </w:t>
      </w:r>
      <w:r>
        <w:rPr>
          <w:sz w:val="20"/>
        </w:rPr>
        <w:t>transporte</w:t>
      </w:r>
      <w:r>
        <w:rPr>
          <w:spacing w:val="-6"/>
          <w:sz w:val="20"/>
        </w:rPr>
        <w:t> </w:t>
      </w:r>
      <w:r>
        <w:rPr>
          <w:sz w:val="20"/>
        </w:rPr>
        <w:t>público</w:t>
      </w:r>
      <w:r>
        <w:rPr>
          <w:spacing w:val="-6"/>
          <w:sz w:val="20"/>
        </w:rPr>
        <w:t> </w:t>
      </w:r>
      <w:r>
        <w:rPr>
          <w:sz w:val="20"/>
        </w:rPr>
        <w:t>colectivo,</w:t>
      </w:r>
      <w:r>
        <w:rPr>
          <w:spacing w:val="-4"/>
          <w:sz w:val="20"/>
        </w:rPr>
        <w:t> </w:t>
      </w:r>
      <w:r>
        <w:rPr>
          <w:sz w:val="20"/>
        </w:rPr>
        <w:t>ejercicios</w:t>
      </w:r>
      <w:r>
        <w:rPr>
          <w:spacing w:val="-6"/>
          <w:sz w:val="20"/>
        </w:rPr>
        <w:t> </w:t>
      </w:r>
      <w:r>
        <w:rPr>
          <w:sz w:val="20"/>
        </w:rPr>
        <w:t>2023</w:t>
      </w:r>
      <w:r>
        <w:rPr>
          <w:spacing w:val="-6"/>
          <w:sz w:val="20"/>
        </w:rPr>
        <w:t> </w:t>
      </w:r>
      <w:r>
        <w:rPr>
          <w:sz w:val="20"/>
        </w:rPr>
        <w:t>y</w:t>
      </w:r>
      <w:r>
        <w:rPr>
          <w:spacing w:val="-6"/>
          <w:sz w:val="20"/>
        </w:rPr>
        <w:t> </w:t>
      </w:r>
      <w:r>
        <w:rPr>
          <w:sz w:val="20"/>
        </w:rPr>
        <w:t>2024</w:t>
      </w:r>
      <w:r>
        <w:rPr>
          <w:spacing w:val="-5"/>
          <w:sz w:val="20"/>
        </w:rPr>
        <w:t> </w:t>
      </w:r>
      <w:r>
        <w:rPr>
          <w:sz w:val="20"/>
        </w:rPr>
        <w:t>a</w:t>
      </w:r>
      <w:r>
        <w:rPr>
          <w:spacing w:val="-6"/>
          <w:sz w:val="20"/>
        </w:rPr>
        <w:t> </w:t>
      </w:r>
      <w:r>
        <w:rPr>
          <w:sz w:val="20"/>
        </w:rPr>
        <w:t>las 11:48:51, el día 05/11/2025.</w:t>
      </w:r>
    </w:p>
    <w:p>
      <w:pPr>
        <w:spacing w:before="13"/>
        <w:ind w:left="1284" w:right="0" w:firstLine="0"/>
        <w:jc w:val="left"/>
        <w:rPr>
          <w:sz w:val="20"/>
        </w:rPr>
      </w:pPr>
      <w:r>
        <w:rPr>
          <w:sz w:val="20"/>
        </w:rPr>
        <mc:AlternateContent>
          <mc:Choice Requires="wps">
            <w:drawing>
              <wp:anchor distT="0" distB="0" distL="0" distR="0" allowOverlap="1" layoutInCell="1" locked="0" behindDoc="0" simplePos="0" relativeHeight="15789056">
                <wp:simplePos x="0" y="0"/>
                <wp:positionH relativeFrom="page">
                  <wp:posOffset>2796400</wp:posOffset>
                </wp:positionH>
                <wp:positionV relativeFrom="paragraph">
                  <wp:posOffset>21454</wp:posOffset>
                </wp:positionV>
                <wp:extent cx="833119" cy="145415"/>
                <wp:effectExtent l="0" t="0" r="0" b="0"/>
                <wp:wrapNone/>
                <wp:docPr id="511" name="Graphic 511"/>
                <wp:cNvGraphicFramePr>
                  <a:graphicFrameLocks/>
                </wp:cNvGraphicFramePr>
                <a:graphic>
                  <a:graphicData uri="http://schemas.microsoft.com/office/word/2010/wordprocessingShape">
                    <wps:wsp>
                      <wps:cNvPr id="511" name="Graphic 511"/>
                      <wps:cNvSpPr/>
                      <wps:spPr>
                        <a:xfrm>
                          <a:off x="0" y="0"/>
                          <a:ext cx="833119" cy="145415"/>
                        </a:xfrm>
                        <a:custGeom>
                          <a:avLst/>
                          <a:gdLst/>
                          <a:ahLst/>
                          <a:cxnLst/>
                          <a:rect l="l" t="t" r="r" b="b"/>
                          <a:pathLst>
                            <a:path w="833119" h="145415">
                              <a:moveTo>
                                <a:pt x="832891" y="0"/>
                              </a:moveTo>
                              <a:lnTo>
                                <a:pt x="0" y="0"/>
                              </a:lnTo>
                              <a:lnTo>
                                <a:pt x="0" y="145224"/>
                              </a:lnTo>
                              <a:lnTo>
                                <a:pt x="832891" y="145224"/>
                              </a:lnTo>
                              <a:lnTo>
                                <a:pt x="8328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20.189pt;margin-top:1.689339pt;width:65.582pt;height:11.435pt;mso-position-horizontal-relative:page;mso-position-vertical-relative:paragraph;z-index:15789056" id="docshape438" filled="true" fillcolor="#000000" stroked="false">
                <v:fill type="solid"/>
                <w10:wrap type="none"/>
              </v:rect>
            </w:pict>
          </mc:Fallback>
        </mc:AlternateContent>
      </w:r>
      <w:r>
        <w:rPr>
          <w:sz w:val="20"/>
        </w:rPr>
        <w:t>Su</w:t>
      </w:r>
      <w:r>
        <w:rPr>
          <w:spacing w:val="-7"/>
          <w:sz w:val="20"/>
        </w:rPr>
        <w:t> </w:t>
      </w:r>
      <w:r>
        <w:rPr>
          <w:sz w:val="20"/>
        </w:rPr>
        <w:t>número</w:t>
      </w:r>
      <w:r>
        <w:rPr>
          <w:spacing w:val="-6"/>
          <w:sz w:val="20"/>
        </w:rPr>
        <w:t> </w:t>
      </w:r>
      <w:r>
        <w:rPr>
          <w:sz w:val="20"/>
        </w:rPr>
        <w:t>de</w:t>
      </w:r>
      <w:r>
        <w:rPr>
          <w:spacing w:val="-5"/>
          <w:sz w:val="20"/>
        </w:rPr>
        <w:t> </w:t>
      </w:r>
      <w:r>
        <w:rPr>
          <w:sz w:val="20"/>
        </w:rPr>
        <w:t>registro</w:t>
      </w:r>
      <w:r>
        <w:rPr>
          <w:spacing w:val="-6"/>
          <w:sz w:val="20"/>
        </w:rPr>
        <w:t> </w:t>
      </w:r>
      <w:r>
        <w:rPr>
          <w:sz w:val="20"/>
        </w:rPr>
        <w:t>es</w:t>
      </w:r>
      <w:r>
        <w:rPr>
          <w:spacing w:val="-6"/>
          <w:sz w:val="20"/>
        </w:rPr>
        <w:t> </w:t>
      </w:r>
      <w:r>
        <w:rPr>
          <w:sz w:val="20"/>
        </w:rPr>
        <w:t>el</w:t>
      </w:r>
      <w:r>
        <w:rPr>
          <w:spacing w:val="42"/>
          <w:sz w:val="20"/>
        </w:rPr>
        <w:t> </w:t>
      </w:r>
      <w:r>
        <w:rPr>
          <w:spacing w:val="-4"/>
          <w:sz w:val="20"/>
        </w:rPr>
        <w:t>2025</w:t>
      </w:r>
    </w:p>
    <w:p>
      <w:pPr>
        <w:pStyle w:val="BodyText"/>
        <w:spacing w:before="140"/>
        <w:rPr>
          <w:sz w:val="20"/>
        </w:rPr>
      </w:pPr>
    </w:p>
    <w:p>
      <w:pPr>
        <w:pStyle w:val="Heading3"/>
        <w:spacing w:line="276" w:lineRule="auto"/>
      </w:pPr>
      <w:r>
        <w:rPr/>
        <w:t>TRÁMITE DE ALEGACIONES AL ANTEPROYECTO DE INFORME DE FISCALIZACIÓN SOBRE</w:t>
      </w:r>
      <w:r>
        <w:rPr>
          <w:spacing w:val="-9"/>
        </w:rPr>
        <w:t> </w:t>
      </w:r>
      <w:r>
        <w:rPr/>
        <w:t>LAS</w:t>
      </w:r>
      <w:r>
        <w:rPr>
          <w:spacing w:val="-9"/>
        </w:rPr>
        <w:t> </w:t>
      </w:r>
      <w:r>
        <w:rPr/>
        <w:t>MEDIDAS</w:t>
      </w:r>
      <w:r>
        <w:rPr>
          <w:spacing w:val="-10"/>
        </w:rPr>
        <w:t> </w:t>
      </w:r>
      <w:r>
        <w:rPr/>
        <w:t>ADOPTADAS</w:t>
      </w:r>
      <w:r>
        <w:rPr>
          <w:spacing w:val="-10"/>
        </w:rPr>
        <w:t> </w:t>
      </w:r>
      <w:r>
        <w:rPr/>
        <w:t>POR</w:t>
      </w:r>
      <w:r>
        <w:rPr>
          <w:spacing w:val="-11"/>
        </w:rPr>
        <w:t> </w:t>
      </w:r>
      <w:r>
        <w:rPr/>
        <w:t>LAS</w:t>
      </w:r>
      <w:r>
        <w:rPr>
          <w:spacing w:val="-10"/>
        </w:rPr>
        <w:t> </w:t>
      </w:r>
      <w:r>
        <w:rPr/>
        <w:t>ENTIDADES</w:t>
      </w:r>
      <w:r>
        <w:rPr>
          <w:spacing w:val="-10"/>
        </w:rPr>
        <w:t> </w:t>
      </w:r>
      <w:r>
        <w:rPr/>
        <w:t>LOCALES</w:t>
      </w:r>
      <w:r>
        <w:rPr>
          <w:spacing w:val="-11"/>
        </w:rPr>
        <w:t> </w:t>
      </w:r>
      <w:r>
        <w:rPr/>
        <w:t>PARA</w:t>
      </w:r>
      <w:r>
        <w:rPr>
          <w:spacing w:val="-9"/>
        </w:rPr>
        <w:t> </w:t>
      </w:r>
      <w:r>
        <w:rPr/>
        <w:t>LOGRAR UNA MOVILIDAD SOSTENIBLE EN EL TRANSPORTE PÚBLICO COLECTIVO, EJERCICIOS 2023 Y 2024</w:t>
      </w:r>
    </w:p>
    <w:p>
      <w:pPr>
        <w:pStyle w:val="BodyText"/>
        <w:spacing w:before="84"/>
        <w:rPr>
          <w:b/>
          <w:sz w:val="24"/>
        </w:rPr>
      </w:pPr>
    </w:p>
    <w:p>
      <w:pPr>
        <w:spacing w:before="0"/>
        <w:ind w:left="799" w:right="0" w:firstLine="0"/>
        <w:jc w:val="center"/>
        <w:rPr>
          <w:b/>
          <w:sz w:val="20"/>
        </w:rPr>
      </w:pPr>
      <w:r>
        <w:rPr>
          <w:b/>
          <w:sz w:val="20"/>
        </w:rPr>
        <w:t>FORMULARIO</w:t>
      </w:r>
      <w:r>
        <w:rPr>
          <w:b/>
          <w:spacing w:val="-9"/>
          <w:sz w:val="20"/>
        </w:rPr>
        <w:t> </w:t>
      </w:r>
      <w:r>
        <w:rPr>
          <w:b/>
          <w:sz w:val="20"/>
        </w:rPr>
        <w:t>1:</w:t>
      </w:r>
      <w:r>
        <w:rPr>
          <w:b/>
          <w:spacing w:val="40"/>
          <w:sz w:val="20"/>
        </w:rPr>
        <w:t> </w:t>
      </w:r>
      <w:r>
        <w:rPr>
          <w:b/>
          <w:spacing w:val="-2"/>
          <w:sz w:val="20"/>
        </w:rPr>
        <w:t>IDENTIFICACIÓN</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645184">
                <wp:simplePos x="0" y="0"/>
                <wp:positionH relativeFrom="page">
                  <wp:posOffset>905255</wp:posOffset>
                </wp:positionH>
                <wp:positionV relativeFrom="paragraph">
                  <wp:posOffset>160410</wp:posOffset>
                </wp:positionV>
                <wp:extent cx="1580515" cy="1270"/>
                <wp:effectExtent l="0" t="0" r="0" b="0"/>
                <wp:wrapTopAndBottom/>
                <wp:docPr id="512" name="Graphic 512"/>
                <wp:cNvGraphicFramePr>
                  <a:graphicFrameLocks/>
                </wp:cNvGraphicFramePr>
                <a:graphic>
                  <a:graphicData uri="http://schemas.microsoft.com/office/word/2010/wordprocessingShape">
                    <wps:wsp>
                      <wps:cNvPr id="512" name="Graphic 512"/>
                      <wps:cNvSpPr/>
                      <wps:spPr>
                        <a:xfrm>
                          <a:off x="0" y="0"/>
                          <a:ext cx="1580515" cy="1270"/>
                        </a:xfrm>
                        <a:custGeom>
                          <a:avLst/>
                          <a:gdLst/>
                          <a:ahLst/>
                          <a:cxnLst/>
                          <a:rect l="l" t="t" r="r" b="b"/>
                          <a:pathLst>
                            <a:path w="1580515" h="0">
                              <a:moveTo>
                                <a:pt x="0" y="0"/>
                              </a:moveTo>
                              <a:lnTo>
                                <a:pt x="1580387"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3078pt;width:124.45pt;height:.1pt;mso-position-horizontal-relative:page;mso-position-vertical-relative:paragraph;z-index:-15671296;mso-wrap-distance-left:0;mso-wrap-distance-right:0" id="docshape439" coordorigin="1426,253" coordsize="2489,0" path="m1426,253l3914,253e" filled="false" stroked="true" strokeweight=".72pt" strokecolor="#000000">
                <v:path arrowok="t"/>
                <v:stroke dashstyle="solid"/>
                <w10:wrap type="topAndBottom"/>
              </v:shape>
            </w:pict>
          </mc:Fallback>
        </mc:AlternateContent>
      </w:r>
      <w:r>
        <w:rPr>
          <w:b/>
          <w:spacing w:val="-2"/>
          <w:sz w:val="20"/>
        </w:rPr>
        <w:t>Identificación</w:t>
      </w:r>
      <w:r>
        <w:rPr>
          <w:b/>
          <w:spacing w:val="2"/>
          <w:sz w:val="20"/>
        </w:rPr>
        <w:t> </w:t>
      </w:r>
      <w:r>
        <w:rPr>
          <w:b/>
          <w:spacing w:val="-2"/>
          <w:sz w:val="20"/>
        </w:rPr>
        <w:t>del</w:t>
      </w:r>
      <w:r>
        <w:rPr>
          <w:b/>
          <w:spacing w:val="3"/>
          <w:sz w:val="20"/>
        </w:rPr>
        <w:t> </w:t>
      </w:r>
      <w:r>
        <w:rPr>
          <w:b/>
          <w:spacing w:val="-2"/>
          <w:sz w:val="20"/>
        </w:rPr>
        <w:t>alegante</w:t>
      </w:r>
    </w:p>
    <w:p>
      <w:pPr>
        <w:pStyle w:val="BodyText"/>
        <w:spacing w:before="146"/>
        <w:rPr>
          <w:b/>
          <w:sz w:val="20"/>
        </w:rPr>
      </w:pPr>
    </w:p>
    <w:p>
      <w:pPr>
        <w:spacing w:before="1"/>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9"/>
        <w:ind w:left="1284" w:right="0" w:firstLine="0"/>
        <w:jc w:val="left"/>
        <w:rPr>
          <w:b/>
          <w:sz w:val="20"/>
        </w:rPr>
      </w:pPr>
      <w:r>
        <w:rPr>
          <w:b/>
          <w:sz w:val="20"/>
        </w:rPr>
        <w:t>LUIS</w:t>
      </w:r>
      <w:r>
        <w:rPr>
          <w:b/>
          <w:spacing w:val="-10"/>
          <w:sz w:val="20"/>
        </w:rPr>
        <w:t> </w:t>
      </w:r>
      <w:r>
        <w:rPr>
          <w:b/>
          <w:sz w:val="20"/>
        </w:rPr>
        <w:t>JOSE</w:t>
      </w:r>
      <w:r>
        <w:rPr>
          <w:b/>
          <w:spacing w:val="-12"/>
          <w:sz w:val="20"/>
        </w:rPr>
        <w:t> </w:t>
      </w:r>
      <w:r>
        <w:rPr>
          <w:b/>
          <w:sz w:val="20"/>
        </w:rPr>
        <w:t>BARCALA</w:t>
      </w:r>
      <w:r>
        <w:rPr>
          <w:b/>
          <w:spacing w:val="-12"/>
          <w:sz w:val="20"/>
        </w:rPr>
        <w:t> </w:t>
      </w:r>
      <w:r>
        <w:rPr>
          <w:b/>
          <w:spacing w:val="-2"/>
          <w:sz w:val="20"/>
        </w:rPr>
        <w:t>SIERRA</w:t>
      </w:r>
    </w:p>
    <w:p>
      <w:pPr>
        <w:pStyle w:val="BodyText"/>
        <w:spacing w:before="176"/>
        <w:rPr>
          <w:b/>
          <w:sz w:val="20"/>
        </w:rPr>
      </w:pPr>
    </w:p>
    <w:p>
      <w:pPr>
        <w:spacing w:before="0"/>
        <w:ind w:left="1284" w:right="0" w:firstLine="0"/>
        <w:jc w:val="left"/>
        <w:rPr>
          <w:sz w:val="20"/>
        </w:rPr>
      </w:pPr>
      <w:r>
        <w:rPr>
          <w:spacing w:val="-4"/>
          <w:sz w:val="20"/>
        </w:rPr>
        <w:t>DNI:</w:t>
      </w:r>
    </w:p>
    <w:p>
      <w:pPr>
        <w:pStyle w:val="BodyText"/>
        <w:spacing w:before="7"/>
        <w:rPr>
          <w:sz w:val="7"/>
        </w:rPr>
      </w:pPr>
      <w:r>
        <w:rPr>
          <w:sz w:val="7"/>
        </w:rPr>
        <mc:AlternateContent>
          <mc:Choice Requires="wps">
            <w:drawing>
              <wp:anchor distT="0" distB="0" distL="0" distR="0" allowOverlap="1" layoutInCell="1" locked="0" behindDoc="1" simplePos="0" relativeHeight="487645696">
                <wp:simplePos x="0" y="0"/>
                <wp:positionH relativeFrom="page">
                  <wp:posOffset>892530</wp:posOffset>
                </wp:positionH>
                <wp:positionV relativeFrom="paragraph">
                  <wp:posOffset>70801</wp:posOffset>
                </wp:positionV>
                <wp:extent cx="678180" cy="119380"/>
                <wp:effectExtent l="0" t="0" r="0" b="0"/>
                <wp:wrapTopAndBottom/>
                <wp:docPr id="513" name="Graphic 513"/>
                <wp:cNvGraphicFramePr>
                  <a:graphicFrameLocks/>
                </wp:cNvGraphicFramePr>
                <a:graphic>
                  <a:graphicData uri="http://schemas.microsoft.com/office/word/2010/wordprocessingShape">
                    <wps:wsp>
                      <wps:cNvPr id="513" name="Graphic 513"/>
                      <wps:cNvSpPr/>
                      <wps:spPr>
                        <a:xfrm>
                          <a:off x="0" y="0"/>
                          <a:ext cx="678180" cy="119380"/>
                        </a:xfrm>
                        <a:custGeom>
                          <a:avLst/>
                          <a:gdLst/>
                          <a:ahLst/>
                          <a:cxnLst/>
                          <a:rect l="l" t="t" r="r" b="b"/>
                          <a:pathLst>
                            <a:path w="678180" h="119380">
                              <a:moveTo>
                                <a:pt x="678091" y="0"/>
                              </a:moveTo>
                              <a:lnTo>
                                <a:pt x="0" y="0"/>
                              </a:lnTo>
                              <a:lnTo>
                                <a:pt x="0" y="119189"/>
                              </a:lnTo>
                              <a:lnTo>
                                <a:pt x="678091" y="119189"/>
                              </a:lnTo>
                              <a:lnTo>
                                <a:pt x="6780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574871pt;width:53.393pt;height:9.385pt;mso-position-horizontal-relative:page;mso-position-vertical-relative:paragraph;z-index:-15670784;mso-wrap-distance-left:0;mso-wrap-distance-right:0" id="docshape440" filled="true" fillcolor="#000000" stroked="false">
                <v:fill type="solid"/>
                <w10:wrap type="topAndBottom"/>
              </v:rect>
            </w:pict>
          </mc:Fallback>
        </mc:AlternateContent>
      </w:r>
    </w:p>
    <w:p>
      <w:pPr>
        <w:pStyle w:val="BodyText"/>
        <w:spacing w:before="196"/>
        <w:rPr>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790592">
                <wp:simplePos x="0" y="0"/>
                <wp:positionH relativeFrom="page">
                  <wp:posOffset>244784</wp:posOffset>
                </wp:positionH>
                <wp:positionV relativeFrom="paragraph">
                  <wp:posOffset>109108</wp:posOffset>
                </wp:positionV>
                <wp:extent cx="138430" cy="2155190"/>
                <wp:effectExtent l="0" t="0" r="0" b="0"/>
                <wp:wrapNone/>
                <wp:docPr id="514" name="Textbox 514"/>
                <wp:cNvGraphicFramePr>
                  <a:graphicFrameLocks/>
                </wp:cNvGraphicFramePr>
                <a:graphic>
                  <a:graphicData uri="http://schemas.microsoft.com/office/word/2010/wordprocessingShape">
                    <wps:wsp>
                      <wps:cNvPr id="514" name="Textbox 514"/>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8.591184pt;width:10.9pt;height:169.7pt;mso-position-horizontal-relative:page;mso-position-vertical-relative:paragraph;z-index:15790592" type="#_x0000_t202" id="docshape441"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spacing w:val="-2"/>
          <w:sz w:val="20"/>
        </w:rPr>
        <w:t>Cargo:</w:t>
      </w:r>
    </w:p>
    <w:p>
      <w:pPr>
        <w:spacing w:before="89"/>
        <w:ind w:left="1284" w:right="0" w:firstLine="0"/>
        <w:jc w:val="left"/>
        <w:rPr>
          <w:b/>
          <w:sz w:val="20"/>
        </w:rPr>
      </w:pPr>
      <w:r>
        <w:rPr>
          <w:b/>
          <w:sz w:val="20"/>
        </w:rPr>
        <w:t>ALCALDE</w:t>
      </w:r>
      <w:r>
        <w:rPr>
          <w:b/>
          <w:spacing w:val="32"/>
          <w:sz w:val="20"/>
        </w:rPr>
        <w:t> </w:t>
      </w:r>
      <w:r>
        <w:rPr>
          <w:b/>
          <w:sz w:val="20"/>
        </w:rPr>
        <w:t>DEL</w:t>
      </w:r>
      <w:r>
        <w:rPr>
          <w:b/>
          <w:spacing w:val="-11"/>
          <w:sz w:val="20"/>
        </w:rPr>
        <w:t> </w:t>
      </w:r>
      <w:r>
        <w:rPr>
          <w:b/>
          <w:sz w:val="20"/>
        </w:rPr>
        <w:t>AYUNTAMIENTO</w:t>
      </w:r>
      <w:r>
        <w:rPr>
          <w:b/>
          <w:spacing w:val="-11"/>
          <w:sz w:val="20"/>
        </w:rPr>
        <w:t> </w:t>
      </w:r>
      <w:r>
        <w:rPr>
          <w:b/>
          <w:sz w:val="20"/>
        </w:rPr>
        <w:t>DE</w:t>
      </w:r>
      <w:r>
        <w:rPr>
          <w:b/>
          <w:spacing w:val="-11"/>
          <w:sz w:val="20"/>
        </w:rPr>
        <w:t> </w:t>
      </w:r>
      <w:r>
        <w:rPr>
          <w:b/>
          <w:spacing w:val="-2"/>
          <w:sz w:val="20"/>
        </w:rPr>
        <w:t>ALICANTE</w:t>
      </w:r>
    </w:p>
    <w:p>
      <w:pPr>
        <w:pStyle w:val="BodyText"/>
        <w:spacing w:before="176"/>
        <w:rPr>
          <w:b/>
          <w:sz w:val="20"/>
        </w:rPr>
      </w:pPr>
    </w:p>
    <w:p>
      <w:pPr>
        <w:spacing w:before="0"/>
        <w:ind w:left="1284" w:right="0" w:firstLine="0"/>
        <w:jc w:val="left"/>
        <w:rPr>
          <w:sz w:val="20"/>
        </w:rPr>
      </w:pPr>
      <w:r>
        <w:rPr>
          <w:spacing w:val="-2"/>
          <w:sz w:val="20"/>
        </w:rPr>
        <w:t>Entidad:</w:t>
      </w:r>
    </w:p>
    <w:p>
      <w:pPr>
        <w:spacing w:before="89"/>
        <w:ind w:left="1284" w:right="0" w:firstLine="0"/>
        <w:jc w:val="left"/>
        <w:rPr>
          <w:b/>
          <w:sz w:val="20"/>
        </w:rPr>
      </w:pPr>
      <w:r>
        <w:rPr>
          <w:b/>
          <w:spacing w:val="-2"/>
          <w:sz w:val="20"/>
        </w:rPr>
        <w:t>AYUNTAMIENTO DE</w:t>
      </w:r>
      <w:r>
        <w:rPr>
          <w:b/>
          <w:spacing w:val="-3"/>
          <w:sz w:val="20"/>
        </w:rPr>
        <w:t> </w:t>
      </w:r>
      <w:r>
        <w:rPr>
          <w:b/>
          <w:spacing w:val="-2"/>
          <w:sz w:val="20"/>
        </w:rPr>
        <w:t>ALICANTE</w:t>
      </w:r>
    </w:p>
    <w:p>
      <w:pPr>
        <w:pStyle w:val="BodyText"/>
        <w:spacing w:before="178"/>
        <w:rPr>
          <w:b/>
          <w:sz w:val="20"/>
        </w:rPr>
      </w:pPr>
    </w:p>
    <w:p>
      <w:pPr>
        <w:spacing w:before="1"/>
        <w:ind w:left="1284" w:right="0" w:firstLine="0"/>
        <w:jc w:val="left"/>
        <w:rPr>
          <w:sz w:val="20"/>
        </w:rPr>
      </w:pPr>
      <w:r>
        <w:rPr>
          <w:sz w:val="20"/>
        </w:rPr>
        <mc:AlternateContent>
          <mc:Choice Requires="wps">
            <w:drawing>
              <wp:anchor distT="0" distB="0" distL="0" distR="0" allowOverlap="1" layoutInCell="1" locked="0" behindDoc="0" simplePos="0" relativeHeight="15789568">
                <wp:simplePos x="0" y="0"/>
                <wp:positionH relativeFrom="page">
                  <wp:posOffset>130383</wp:posOffset>
                </wp:positionH>
                <wp:positionV relativeFrom="paragraph">
                  <wp:posOffset>136404</wp:posOffset>
                </wp:positionV>
                <wp:extent cx="138430" cy="2952750"/>
                <wp:effectExtent l="0" t="0" r="0" b="0"/>
                <wp:wrapNone/>
                <wp:docPr id="515" name="Textbox 515"/>
                <wp:cNvGraphicFramePr>
                  <a:graphicFrameLocks/>
                </wp:cNvGraphicFramePr>
                <a:graphic>
                  <a:graphicData uri="http://schemas.microsoft.com/office/word/2010/wordprocessingShape">
                    <wps:wsp>
                      <wps:cNvPr id="515" name="Textbox 515"/>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0.740531pt;width:10.9pt;height:232.5pt;mso-position-horizontal-relative:page;mso-position-vertical-relative:paragraph;z-index:15789568" type="#_x0000_t202" id="docshape442"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sz w:val="20"/>
        </w:rPr>
        <mc:AlternateContent>
          <mc:Choice Requires="wps">
            <w:drawing>
              <wp:anchor distT="0" distB="0" distL="0" distR="0" allowOverlap="1" layoutInCell="1" locked="0" behindDoc="0" simplePos="0" relativeHeight="15791104">
                <wp:simplePos x="0" y="0"/>
                <wp:positionH relativeFrom="page">
                  <wp:posOffset>344030</wp:posOffset>
                </wp:positionH>
                <wp:positionV relativeFrom="paragraph">
                  <wp:posOffset>-48477</wp:posOffset>
                </wp:positionV>
                <wp:extent cx="163830" cy="2817495"/>
                <wp:effectExtent l="0" t="0" r="0" b="0"/>
                <wp:wrapNone/>
                <wp:docPr id="516" name="Graphic 516"/>
                <wp:cNvGraphicFramePr>
                  <a:graphicFrameLocks/>
                </wp:cNvGraphicFramePr>
                <a:graphic>
                  <a:graphicData uri="http://schemas.microsoft.com/office/word/2010/wordprocessingShape">
                    <wps:wsp>
                      <wps:cNvPr id="516" name="Graphic 516"/>
                      <wps:cNvSpPr/>
                      <wps:spPr>
                        <a:xfrm>
                          <a:off x="0" y="0"/>
                          <a:ext cx="163830" cy="2817495"/>
                        </a:xfrm>
                        <a:custGeom>
                          <a:avLst/>
                          <a:gdLst/>
                          <a:ahLst/>
                          <a:cxnLst/>
                          <a:rect l="l" t="t" r="r" b="b"/>
                          <a:pathLst>
                            <a:path w="163830" h="2817495">
                              <a:moveTo>
                                <a:pt x="163258" y="0"/>
                              </a:moveTo>
                              <a:lnTo>
                                <a:pt x="0" y="0"/>
                              </a:lnTo>
                              <a:lnTo>
                                <a:pt x="0" y="2817177"/>
                              </a:lnTo>
                              <a:lnTo>
                                <a:pt x="163258" y="2817177"/>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3.817162pt;width:12.855pt;height:221.825pt;mso-position-horizontal-relative:page;mso-position-vertical-relative:paragraph;z-index:15791104" id="docshape443" filled="true" fillcolor="#000000" stroked="false">
                <v:fill type="solid"/>
                <w10:wrap type="none"/>
              </v:rect>
            </w:pict>
          </mc:Fallback>
        </mc:AlternateContent>
      </w:r>
      <w:r>
        <w:rPr>
          <w:spacing w:val="-2"/>
          <w:sz w:val="20"/>
        </w:rPr>
        <w:t>Periodo:</w:t>
      </w:r>
    </w:p>
    <w:p>
      <w:pPr>
        <w:spacing w:before="86"/>
        <w:ind w:left="1284" w:right="0" w:firstLine="0"/>
        <w:jc w:val="left"/>
        <w:rPr>
          <w:b/>
          <w:sz w:val="20"/>
        </w:rPr>
      </w:pPr>
      <w:r>
        <w:rPr>
          <w:b/>
          <w:spacing w:val="-4"/>
          <w:sz w:val="20"/>
        </w:rPr>
        <w:t>2023-2024</w:t>
      </w:r>
    </w:p>
    <w:p>
      <w:pPr>
        <w:pStyle w:val="BodyText"/>
        <w:spacing w:before="179"/>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2"/>
        <w:rPr>
          <w:sz w:val="7"/>
        </w:rPr>
      </w:pPr>
      <w:r>
        <w:rPr>
          <w:sz w:val="7"/>
        </w:rPr>
        <mc:AlternateContent>
          <mc:Choice Requires="wps">
            <w:drawing>
              <wp:anchor distT="0" distB="0" distL="0" distR="0" allowOverlap="1" layoutInCell="1" locked="0" behindDoc="1" simplePos="0" relativeHeight="487646208">
                <wp:simplePos x="0" y="0"/>
                <wp:positionH relativeFrom="page">
                  <wp:posOffset>892530</wp:posOffset>
                </wp:positionH>
                <wp:positionV relativeFrom="paragraph">
                  <wp:posOffset>68132</wp:posOffset>
                </wp:positionV>
                <wp:extent cx="1910714" cy="145415"/>
                <wp:effectExtent l="0" t="0" r="0" b="0"/>
                <wp:wrapTopAndBottom/>
                <wp:docPr id="517" name="Graphic 517"/>
                <wp:cNvGraphicFramePr>
                  <a:graphicFrameLocks/>
                </wp:cNvGraphicFramePr>
                <a:graphic>
                  <a:graphicData uri="http://schemas.microsoft.com/office/word/2010/wordprocessingShape">
                    <wps:wsp>
                      <wps:cNvPr id="517" name="Graphic 517"/>
                      <wps:cNvSpPr/>
                      <wps:spPr>
                        <a:xfrm>
                          <a:off x="0" y="0"/>
                          <a:ext cx="1910714" cy="145415"/>
                        </a:xfrm>
                        <a:custGeom>
                          <a:avLst/>
                          <a:gdLst/>
                          <a:ahLst/>
                          <a:cxnLst/>
                          <a:rect l="l" t="t" r="r" b="b"/>
                          <a:pathLst>
                            <a:path w="1910714" h="145415">
                              <a:moveTo>
                                <a:pt x="1910562" y="0"/>
                              </a:moveTo>
                              <a:lnTo>
                                <a:pt x="0" y="0"/>
                              </a:lnTo>
                              <a:lnTo>
                                <a:pt x="0" y="145351"/>
                              </a:lnTo>
                              <a:lnTo>
                                <a:pt x="1910562" y="145351"/>
                              </a:lnTo>
                              <a:lnTo>
                                <a:pt x="191056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364737pt;width:150.438pt;height:11.445pt;mso-position-horizontal-relative:page;mso-position-vertical-relative:paragraph;z-index:-15670272;mso-wrap-distance-left:0;mso-wrap-distance-right:0" id="docshape444" filled="true" fillcolor="#000000" stroked="false">
                <v:fill type="solid"/>
                <w10:wrap type="topAndBottom"/>
              </v:rect>
            </w:pict>
          </mc:Fallback>
        </mc:AlternateContent>
      </w:r>
    </w:p>
    <w:p>
      <w:pPr>
        <w:pStyle w:val="BodyText"/>
        <w:spacing w:before="159"/>
        <w:rPr>
          <w:sz w:val="20"/>
        </w:rPr>
      </w:pPr>
    </w:p>
    <w:p>
      <w:pPr>
        <w:spacing w:line="331" w:lineRule="auto" w:before="0"/>
        <w:ind w:left="1284" w:right="496" w:firstLine="0"/>
        <w:jc w:val="left"/>
        <w:rPr>
          <w:sz w:val="20"/>
        </w:rPr>
      </w:pPr>
      <w:r>
        <w:rPr>
          <w:sz w:val="20"/>
        </w:rPr>
        <mc:AlternateContent>
          <mc:Choice Requires="wps">
            <w:drawing>
              <wp:anchor distT="0" distB="0" distL="0" distR="0" allowOverlap="1" layoutInCell="1" locked="0" behindDoc="0" simplePos="0" relativeHeight="15790080">
                <wp:simplePos x="0" y="0"/>
                <wp:positionH relativeFrom="page">
                  <wp:posOffset>244784</wp:posOffset>
                </wp:positionH>
                <wp:positionV relativeFrom="paragraph">
                  <wp:posOffset>131323</wp:posOffset>
                </wp:positionV>
                <wp:extent cx="251460" cy="1744345"/>
                <wp:effectExtent l="0" t="0" r="0" b="0"/>
                <wp:wrapNone/>
                <wp:docPr id="518" name="Textbox 518"/>
                <wp:cNvGraphicFramePr>
                  <a:graphicFrameLocks/>
                </wp:cNvGraphicFramePr>
                <a:graphic>
                  <a:graphicData uri="http://schemas.microsoft.com/office/word/2010/wordprocessingShape">
                    <wps:wsp>
                      <wps:cNvPr id="518" name="Textbox 518"/>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wps:txbx>
                      <wps:bodyPr wrap="square" lIns="0" tIns="0" rIns="0" bIns="0" rtlCol="0" vert="vert270">
                        <a:noAutofit/>
                      </wps:bodyPr>
                    </wps:wsp>
                  </a:graphicData>
                </a:graphic>
              </wp:anchor>
            </w:drawing>
          </mc:Choice>
          <mc:Fallback>
            <w:pict>
              <v:shape style="position:absolute;margin-left:19.274403pt;margin-top:10.340437pt;width:19.8pt;height:137.35pt;mso-position-horizontal-relative:page;mso-position-vertical-relative:paragraph;z-index:15790080" type="#_x0000_t202" id="docshape445"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v:textbox>
                <w10:wrap type="none"/>
              </v:shape>
            </w:pict>
          </mc:Fallback>
        </mc:AlternateContent>
      </w:r>
      <w:r>
        <w:rPr>
          <w:sz w:val="20"/>
        </w:rPr>
        <w:t>En</w:t>
      </w:r>
      <w:r>
        <w:rPr>
          <w:spacing w:val="-5"/>
          <w:sz w:val="20"/>
        </w:rPr>
        <w:t> </w:t>
      </w:r>
      <w:r>
        <w:rPr>
          <w:sz w:val="20"/>
        </w:rPr>
        <w:t>caso</w:t>
      </w:r>
      <w:r>
        <w:rPr>
          <w:spacing w:val="-6"/>
          <w:sz w:val="20"/>
        </w:rPr>
        <w:t> </w:t>
      </w:r>
      <w:r>
        <w:rPr>
          <w:sz w:val="20"/>
        </w:rPr>
        <w:t>de</w:t>
      </w:r>
      <w:r>
        <w:rPr>
          <w:spacing w:val="-3"/>
          <w:sz w:val="20"/>
        </w:rPr>
        <w:t> </w:t>
      </w:r>
      <w:r>
        <w:rPr>
          <w:sz w:val="20"/>
        </w:rPr>
        <w:t>que</w:t>
      </w:r>
      <w:r>
        <w:rPr>
          <w:spacing w:val="-5"/>
          <w:sz w:val="20"/>
        </w:rPr>
        <w:t> </w:t>
      </w:r>
      <w:r>
        <w:rPr>
          <w:sz w:val="20"/>
        </w:rPr>
        <w:t>el</w:t>
      </w:r>
      <w:r>
        <w:rPr>
          <w:spacing w:val="-7"/>
          <w:sz w:val="20"/>
        </w:rPr>
        <w:t> </w:t>
      </w:r>
      <w:r>
        <w:rPr>
          <w:sz w:val="20"/>
        </w:rPr>
        <w:t>Presidente/Expresidente</w:t>
      </w:r>
      <w:r>
        <w:rPr>
          <w:spacing w:val="-5"/>
          <w:sz w:val="20"/>
        </w:rPr>
        <w:t> </w:t>
      </w:r>
      <w:r>
        <w:rPr>
          <w:sz w:val="20"/>
        </w:rPr>
        <w:t>de</w:t>
      </w:r>
      <w:r>
        <w:rPr>
          <w:spacing w:val="-5"/>
          <w:sz w:val="20"/>
        </w:rPr>
        <w:t> </w:t>
      </w:r>
      <w:r>
        <w:rPr>
          <w:sz w:val="20"/>
        </w:rPr>
        <w:t>la</w:t>
      </w:r>
      <w:r>
        <w:rPr>
          <w:spacing w:val="-3"/>
          <w:sz w:val="20"/>
        </w:rPr>
        <w:t> </w:t>
      </w:r>
      <w:r>
        <w:rPr>
          <w:sz w:val="20"/>
        </w:rPr>
        <w:t>entidad</w:t>
      </w:r>
      <w:r>
        <w:rPr>
          <w:spacing w:val="-1"/>
          <w:sz w:val="20"/>
        </w:rPr>
        <w:t> </w:t>
      </w:r>
      <w:r>
        <w:rPr>
          <w:sz w:val="20"/>
        </w:rPr>
        <w:t>no</w:t>
      </w:r>
      <w:r>
        <w:rPr>
          <w:spacing w:val="-5"/>
          <w:sz w:val="20"/>
        </w:rPr>
        <w:t> </w:t>
      </w:r>
      <w:r>
        <w:rPr>
          <w:sz w:val="20"/>
        </w:rPr>
        <w:t>sea</w:t>
      </w:r>
      <w:r>
        <w:rPr>
          <w:spacing w:val="-3"/>
          <w:sz w:val="20"/>
        </w:rPr>
        <w:t> </w:t>
      </w:r>
      <w:r>
        <w:rPr>
          <w:sz w:val="20"/>
        </w:rPr>
        <w:t>quien</w:t>
      </w:r>
      <w:r>
        <w:rPr>
          <w:spacing w:val="-5"/>
          <w:sz w:val="20"/>
        </w:rPr>
        <w:t> </w:t>
      </w:r>
      <w:r>
        <w:rPr>
          <w:sz w:val="20"/>
        </w:rPr>
        <w:t>vaya</w:t>
      </w:r>
      <w:r>
        <w:rPr>
          <w:spacing w:val="-4"/>
          <w:sz w:val="20"/>
        </w:rPr>
        <w:t> </w:t>
      </w:r>
      <w:r>
        <w:rPr>
          <w:sz w:val="20"/>
        </w:rPr>
        <w:t>a</w:t>
      </w:r>
      <w:r>
        <w:rPr>
          <w:spacing w:val="-5"/>
          <w:sz w:val="20"/>
        </w:rPr>
        <w:t> </w:t>
      </w:r>
      <w:r>
        <w:rPr>
          <w:sz w:val="20"/>
        </w:rPr>
        <w:t>firmar</w:t>
      </w:r>
      <w:r>
        <w:rPr>
          <w:spacing w:val="-5"/>
          <w:sz w:val="20"/>
        </w:rPr>
        <w:t> </w:t>
      </w:r>
      <w:r>
        <w:rPr>
          <w:sz w:val="20"/>
        </w:rPr>
        <w:t>el</w:t>
      </w:r>
      <w:r>
        <w:rPr>
          <w:spacing w:val="-5"/>
          <w:sz w:val="20"/>
        </w:rPr>
        <w:t> </w:t>
      </w:r>
      <w:r>
        <w:rPr>
          <w:sz w:val="20"/>
        </w:rPr>
        <w:t>envío</w:t>
      </w:r>
      <w:r>
        <w:rPr>
          <w:spacing w:val="-6"/>
          <w:sz w:val="20"/>
        </w:rPr>
        <w:t> </w:t>
      </w:r>
      <w:r>
        <w:rPr>
          <w:sz w:val="20"/>
        </w:rPr>
        <w:t>telemático</w:t>
      </w:r>
      <w:r>
        <w:rPr>
          <w:spacing w:val="-6"/>
          <w:sz w:val="20"/>
        </w:rPr>
        <w:t> </w:t>
      </w:r>
      <w:r>
        <w:rPr>
          <w:sz w:val="20"/>
        </w:rPr>
        <w:t>de</w:t>
      </w:r>
      <w:r>
        <w:rPr>
          <w:spacing w:val="-5"/>
          <w:sz w:val="20"/>
        </w:rPr>
        <w:t> </w:t>
      </w:r>
      <w:r>
        <w:rPr>
          <w:sz w:val="20"/>
        </w:rPr>
        <w:t>las alegaciones marque "No" y cumplimente la información identificativa del representante. En otro caso marque </w:t>
      </w:r>
      <w:r>
        <w:rPr>
          <w:spacing w:val="-2"/>
          <w:sz w:val="20"/>
        </w:rPr>
        <w:t>"Sí".</w:t>
      </w:r>
    </w:p>
    <w:p>
      <w:pPr>
        <w:spacing w:before="3"/>
        <w:ind w:left="1284" w:right="0" w:firstLine="0"/>
        <w:jc w:val="left"/>
        <w:rPr>
          <w:b/>
          <w:sz w:val="20"/>
        </w:rPr>
      </w:pPr>
      <w:r>
        <w:rPr>
          <w:b/>
          <w:spacing w:val="-5"/>
          <w:sz w:val="20"/>
        </w:rPr>
        <w:t>No</w:t>
      </w:r>
    </w:p>
    <w:p>
      <w:pPr>
        <w:pStyle w:val="BodyText"/>
        <w:rPr>
          <w:b/>
          <w:sz w:val="20"/>
        </w:rPr>
      </w:pPr>
    </w:p>
    <w:p>
      <w:pPr>
        <w:pStyle w:val="BodyText"/>
        <w:rPr>
          <w:b/>
          <w:sz w:val="20"/>
        </w:rPr>
      </w:pPr>
    </w:p>
    <w:p>
      <w:pPr>
        <w:pStyle w:val="BodyText"/>
        <w:spacing w:before="35"/>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646720">
                <wp:simplePos x="0" y="0"/>
                <wp:positionH relativeFrom="page">
                  <wp:posOffset>905255</wp:posOffset>
                </wp:positionH>
                <wp:positionV relativeFrom="paragraph">
                  <wp:posOffset>161987</wp:posOffset>
                </wp:positionV>
                <wp:extent cx="3141345" cy="1270"/>
                <wp:effectExtent l="0" t="0" r="0" b="0"/>
                <wp:wrapTopAndBottom/>
                <wp:docPr id="519" name="Graphic 519"/>
                <wp:cNvGraphicFramePr>
                  <a:graphicFrameLocks/>
                </wp:cNvGraphicFramePr>
                <a:graphic>
                  <a:graphicData uri="http://schemas.microsoft.com/office/word/2010/wordprocessingShape">
                    <wps:wsp>
                      <wps:cNvPr id="519" name="Graphic 519"/>
                      <wps:cNvSpPr/>
                      <wps:spPr>
                        <a:xfrm>
                          <a:off x="0" y="0"/>
                          <a:ext cx="3141345" cy="1270"/>
                        </a:xfrm>
                        <a:custGeom>
                          <a:avLst/>
                          <a:gdLst/>
                          <a:ahLst/>
                          <a:cxnLst/>
                          <a:rect l="l" t="t" r="r" b="b"/>
                          <a:pathLst>
                            <a:path w="3141345" h="0">
                              <a:moveTo>
                                <a:pt x="0" y="0"/>
                              </a:moveTo>
                              <a:lnTo>
                                <a:pt x="3140963"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754926pt;width:247.35pt;height:.1pt;mso-position-horizontal-relative:page;mso-position-vertical-relative:paragraph;z-index:-15669760;mso-wrap-distance-left:0;mso-wrap-distance-right:0" id="docshape446" coordorigin="1426,255" coordsize="4947,0" path="m1426,255l6372,255e" filled="false" stroked="true" strokeweight=".72pt" strokecolor="#000000">
                <v:path arrowok="t"/>
                <v:stroke dashstyle="solid"/>
                <w10:wrap type="topAndBottom"/>
              </v:shape>
            </w:pict>
          </mc:Fallback>
        </mc:AlternateContent>
      </w:r>
      <w:r>
        <w:rPr>
          <w:b/>
          <w:sz w:val="20"/>
        </w:rPr>
        <w:t>Identificación</w:t>
      </w:r>
      <w:r>
        <w:rPr>
          <w:b/>
          <w:spacing w:val="-12"/>
          <w:sz w:val="20"/>
        </w:rPr>
        <w:t> </w:t>
      </w:r>
      <w:r>
        <w:rPr>
          <w:b/>
          <w:sz w:val="20"/>
        </w:rPr>
        <w:t>de</w:t>
      </w:r>
      <w:r>
        <w:rPr>
          <w:b/>
          <w:spacing w:val="-10"/>
          <w:sz w:val="20"/>
        </w:rPr>
        <w:t> </w:t>
      </w:r>
      <w:r>
        <w:rPr>
          <w:b/>
          <w:sz w:val="20"/>
        </w:rPr>
        <w:t>la</w:t>
      </w:r>
      <w:r>
        <w:rPr>
          <w:b/>
          <w:spacing w:val="-10"/>
          <w:sz w:val="20"/>
        </w:rPr>
        <w:t> </w:t>
      </w:r>
      <w:r>
        <w:rPr>
          <w:b/>
          <w:sz w:val="20"/>
        </w:rPr>
        <w:t>persona</w:t>
      </w:r>
      <w:r>
        <w:rPr>
          <w:b/>
          <w:spacing w:val="-11"/>
          <w:sz w:val="20"/>
        </w:rPr>
        <w:t> </w:t>
      </w:r>
      <w:r>
        <w:rPr>
          <w:b/>
          <w:sz w:val="20"/>
        </w:rPr>
        <w:t>autorizada</w:t>
      </w:r>
      <w:r>
        <w:rPr>
          <w:b/>
          <w:spacing w:val="-10"/>
          <w:sz w:val="20"/>
        </w:rPr>
        <w:t> </w:t>
      </w:r>
      <w:r>
        <w:rPr>
          <w:b/>
          <w:sz w:val="20"/>
        </w:rPr>
        <w:t>para</w:t>
      </w:r>
      <w:r>
        <w:rPr>
          <w:b/>
          <w:spacing w:val="-11"/>
          <w:sz w:val="20"/>
        </w:rPr>
        <w:t> </w:t>
      </w:r>
      <w:r>
        <w:rPr>
          <w:b/>
          <w:sz w:val="20"/>
        </w:rPr>
        <w:t>el</w:t>
      </w:r>
      <w:r>
        <w:rPr>
          <w:b/>
          <w:spacing w:val="-10"/>
          <w:sz w:val="20"/>
        </w:rPr>
        <w:t> </w:t>
      </w:r>
      <w:r>
        <w:rPr>
          <w:b/>
          <w:spacing w:val="-2"/>
          <w:sz w:val="20"/>
        </w:rPr>
        <w:t>envío</w:t>
      </w:r>
    </w:p>
    <w:p>
      <w:pPr>
        <w:pStyle w:val="BodyText"/>
        <w:spacing w:before="146"/>
        <w:rPr>
          <w:b/>
          <w:sz w:val="20"/>
        </w:rPr>
      </w:pPr>
    </w:p>
    <w:p>
      <w:pPr>
        <w:spacing w:before="0"/>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7"/>
        <w:ind w:left="1284" w:right="0" w:firstLine="0"/>
        <w:jc w:val="left"/>
        <w:rPr>
          <w:b/>
          <w:sz w:val="20"/>
        </w:rPr>
      </w:pPr>
      <w:r>
        <w:rPr>
          <w:b/>
          <w:spacing w:val="-2"/>
          <w:sz w:val="20"/>
        </w:rPr>
        <w:t>FRANCISCO ANDRES</w:t>
      </w:r>
      <w:r>
        <w:rPr>
          <w:b/>
          <w:spacing w:val="-4"/>
          <w:sz w:val="20"/>
        </w:rPr>
        <w:t> </w:t>
      </w:r>
      <w:r>
        <w:rPr>
          <w:b/>
          <w:spacing w:val="-2"/>
          <w:sz w:val="20"/>
        </w:rPr>
        <w:t>FERNANDEZ</w:t>
      </w:r>
      <w:r>
        <w:rPr>
          <w:b/>
          <w:spacing w:val="-3"/>
          <w:sz w:val="20"/>
        </w:rPr>
        <w:t> </w:t>
      </w:r>
      <w:r>
        <w:rPr>
          <w:b/>
          <w:spacing w:val="-2"/>
          <w:sz w:val="20"/>
        </w:rPr>
        <w:t>GOMEZ</w:t>
      </w:r>
    </w:p>
    <w:p>
      <w:pPr>
        <w:spacing w:after="0"/>
        <w:jc w:val="left"/>
        <w:rPr>
          <w:b/>
          <w:sz w:val="20"/>
        </w:rPr>
        <w:sectPr>
          <w:headerReference w:type="even" r:id="rId150"/>
          <w:footerReference w:type="even" r:id="rId151"/>
          <w:pgSz w:w="11910" w:h="16840"/>
          <w:pgMar w:header="0" w:footer="853" w:top="300" w:bottom="1040" w:left="141" w:right="141"/>
          <w:pgNumType w:start="2"/>
        </w:sectPr>
      </w:pPr>
    </w:p>
    <w:p>
      <w:pPr>
        <w:pStyle w:val="BodyText"/>
        <w:rPr>
          <w:b/>
          <w:sz w:val="20"/>
        </w:rPr>
      </w:pPr>
    </w:p>
    <w:p>
      <w:pPr>
        <w:pStyle w:val="BodyText"/>
        <w:spacing w:before="82"/>
        <w:rPr>
          <w:b/>
          <w:sz w:val="20"/>
        </w:rPr>
      </w:pPr>
    </w:p>
    <w:p>
      <w:pPr>
        <w:spacing w:line="187" w:lineRule="exact"/>
        <w:ind w:left="1264" w:right="0" w:firstLine="0"/>
        <w:rPr>
          <w:position w:val="-3"/>
          <w:sz w:val="18"/>
        </w:rPr>
      </w:pPr>
      <w:r>
        <w:rPr>
          <w:position w:val="-3"/>
          <w:sz w:val="18"/>
        </w:rPr>
        <mc:AlternateContent>
          <mc:Choice Requires="wps">
            <w:drawing>
              <wp:inline distT="0" distB="0" distL="0" distR="0">
                <wp:extent cx="671195" cy="119380"/>
                <wp:effectExtent l="0" t="0" r="0" b="0"/>
                <wp:docPr id="525" name="Group 525"/>
                <wp:cNvGraphicFramePr>
                  <a:graphicFrameLocks/>
                </wp:cNvGraphicFramePr>
                <a:graphic>
                  <a:graphicData uri="http://schemas.microsoft.com/office/word/2010/wordprocessingGroup">
                    <wpg:wgp>
                      <wpg:cNvPr id="525" name="Group 525"/>
                      <wpg:cNvGrpSpPr/>
                      <wpg:grpSpPr>
                        <a:xfrm>
                          <a:off x="0" y="0"/>
                          <a:ext cx="671195" cy="119380"/>
                          <a:chExt cx="671195" cy="119380"/>
                        </a:xfrm>
                      </wpg:grpSpPr>
                      <wps:wsp>
                        <wps:cNvPr id="526" name="Graphic 526"/>
                        <wps:cNvSpPr/>
                        <wps:spPr>
                          <a:xfrm>
                            <a:off x="0" y="0"/>
                            <a:ext cx="671195" cy="119380"/>
                          </a:xfrm>
                          <a:custGeom>
                            <a:avLst/>
                            <a:gdLst/>
                            <a:ahLst/>
                            <a:cxnLst/>
                            <a:rect l="l" t="t" r="r" b="b"/>
                            <a:pathLst>
                              <a:path w="671195" h="119380">
                                <a:moveTo>
                                  <a:pt x="671004" y="0"/>
                                </a:moveTo>
                                <a:lnTo>
                                  <a:pt x="0" y="0"/>
                                </a:lnTo>
                                <a:lnTo>
                                  <a:pt x="0" y="119189"/>
                                </a:lnTo>
                                <a:lnTo>
                                  <a:pt x="671004" y="119189"/>
                                </a:lnTo>
                                <a:lnTo>
                                  <a:pt x="67100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2.85pt;height:9.4pt;mso-position-horizontal-relative:char;mso-position-vertical-relative:line" id="docshapegroup449" coordorigin="0,0" coordsize="1057,188">
                <v:rect style="position:absolute;left:0;top:0;width:1057;height:188" id="docshape450" filled="true" fillcolor="#000000" stroked="false">
                  <v:fill type="solid"/>
                </v:rect>
              </v:group>
            </w:pict>
          </mc:Fallback>
        </mc:AlternateContent>
      </w:r>
      <w:r>
        <w:rPr>
          <w:position w:val="-3"/>
          <w:sz w:val="18"/>
        </w:rPr>
      </w:r>
    </w:p>
    <w:p>
      <w:pPr>
        <w:pStyle w:val="BodyText"/>
        <w:spacing w:before="199"/>
        <w:rPr>
          <w:b/>
          <w:sz w:val="20"/>
        </w:rPr>
      </w:pPr>
    </w:p>
    <w:p>
      <w:pPr>
        <w:spacing w:before="0"/>
        <w:ind w:left="1284" w:right="0" w:firstLine="0"/>
        <w:jc w:val="left"/>
        <w:rPr>
          <w:sz w:val="20"/>
        </w:rPr>
      </w:pPr>
      <w:r>
        <w:rPr>
          <w:spacing w:val="-2"/>
          <w:sz w:val="20"/>
        </w:rPr>
        <w:t>Cargo:</w:t>
      </w:r>
    </w:p>
    <w:p>
      <w:pPr>
        <w:spacing w:before="87"/>
        <w:ind w:left="1284" w:right="0" w:firstLine="0"/>
        <w:jc w:val="left"/>
        <w:rPr>
          <w:b/>
          <w:sz w:val="20"/>
        </w:rPr>
      </w:pPr>
      <w:r>
        <w:rPr>
          <w:b/>
          <w:sz w:val="20"/>
        </w:rPr>
        <w:t>JEFE</w:t>
      </w:r>
      <w:r>
        <w:rPr>
          <w:b/>
          <w:spacing w:val="-13"/>
          <w:sz w:val="20"/>
        </w:rPr>
        <w:t> </w:t>
      </w:r>
      <w:r>
        <w:rPr>
          <w:b/>
          <w:sz w:val="20"/>
        </w:rPr>
        <w:t>DEL</w:t>
      </w:r>
      <w:r>
        <w:rPr>
          <w:b/>
          <w:spacing w:val="-13"/>
          <w:sz w:val="20"/>
        </w:rPr>
        <w:t> </w:t>
      </w:r>
      <w:r>
        <w:rPr>
          <w:b/>
          <w:sz w:val="20"/>
        </w:rPr>
        <w:t>DEPARTAMENTO</w:t>
      </w:r>
      <w:r>
        <w:rPr>
          <w:b/>
          <w:spacing w:val="-11"/>
          <w:sz w:val="20"/>
        </w:rPr>
        <w:t> </w:t>
      </w:r>
      <w:r>
        <w:rPr>
          <w:b/>
          <w:sz w:val="20"/>
        </w:rPr>
        <w:t>TECNICO</w:t>
      </w:r>
      <w:r>
        <w:rPr>
          <w:b/>
          <w:spacing w:val="-12"/>
          <w:sz w:val="20"/>
        </w:rPr>
        <w:t> </w:t>
      </w:r>
      <w:r>
        <w:rPr>
          <w:b/>
          <w:sz w:val="20"/>
        </w:rPr>
        <w:t>DE</w:t>
      </w:r>
      <w:r>
        <w:rPr>
          <w:b/>
          <w:spacing w:val="-12"/>
          <w:sz w:val="20"/>
        </w:rPr>
        <w:t> </w:t>
      </w:r>
      <w:r>
        <w:rPr>
          <w:b/>
          <w:spacing w:val="-2"/>
          <w:sz w:val="20"/>
        </w:rPr>
        <w:t>TRANSPORTES</w:t>
      </w:r>
    </w:p>
    <w:p>
      <w:pPr>
        <w:pStyle w:val="BodyText"/>
        <w:spacing w:before="178"/>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5"/>
        <w:rPr>
          <w:sz w:val="7"/>
        </w:rPr>
      </w:pPr>
      <w:r>
        <w:rPr>
          <w:sz w:val="7"/>
        </w:rPr>
        <mc:AlternateContent>
          <mc:Choice Requires="wps">
            <w:drawing>
              <wp:anchor distT="0" distB="0" distL="0" distR="0" allowOverlap="1" layoutInCell="1" locked="0" behindDoc="1" simplePos="0" relativeHeight="487651328">
                <wp:simplePos x="0" y="0"/>
                <wp:positionH relativeFrom="page">
                  <wp:posOffset>892530</wp:posOffset>
                </wp:positionH>
                <wp:positionV relativeFrom="paragraph">
                  <wp:posOffset>69772</wp:posOffset>
                </wp:positionV>
                <wp:extent cx="1910714" cy="145415"/>
                <wp:effectExtent l="0" t="0" r="0" b="0"/>
                <wp:wrapTopAndBottom/>
                <wp:docPr id="527" name="Graphic 527"/>
                <wp:cNvGraphicFramePr>
                  <a:graphicFrameLocks/>
                </wp:cNvGraphicFramePr>
                <a:graphic>
                  <a:graphicData uri="http://schemas.microsoft.com/office/word/2010/wordprocessingShape">
                    <wps:wsp>
                      <wps:cNvPr id="527" name="Graphic 527"/>
                      <wps:cNvSpPr/>
                      <wps:spPr>
                        <a:xfrm>
                          <a:off x="0" y="0"/>
                          <a:ext cx="1910714" cy="145415"/>
                        </a:xfrm>
                        <a:custGeom>
                          <a:avLst/>
                          <a:gdLst/>
                          <a:ahLst/>
                          <a:cxnLst/>
                          <a:rect l="l" t="t" r="r" b="b"/>
                          <a:pathLst>
                            <a:path w="1910714" h="145415">
                              <a:moveTo>
                                <a:pt x="1910562" y="0"/>
                              </a:moveTo>
                              <a:lnTo>
                                <a:pt x="0" y="0"/>
                              </a:lnTo>
                              <a:lnTo>
                                <a:pt x="0" y="145351"/>
                              </a:lnTo>
                              <a:lnTo>
                                <a:pt x="1910562" y="145351"/>
                              </a:lnTo>
                              <a:lnTo>
                                <a:pt x="191056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493867pt;width:150.438pt;height:11.445pt;mso-position-horizontal-relative:page;mso-position-vertical-relative:paragraph;z-index:-15665152;mso-wrap-distance-left:0;mso-wrap-distance-right:0" id="docshape451" filled="true" fillcolor="#000000" stroked="false">
                <v:fill type="solid"/>
                <w10:wrap type="topAndBottom"/>
              </v:rect>
            </w:pict>
          </mc:Fallback>
        </mc:AlternateContent>
      </w:r>
    </w:p>
    <w:p>
      <w:pPr>
        <w:pStyle w:val="BodyText"/>
        <w:spacing w:before="156"/>
        <w:rPr>
          <w:sz w:val="20"/>
        </w:rPr>
      </w:pPr>
    </w:p>
    <w:p>
      <w:pPr>
        <w:spacing w:before="0"/>
        <w:ind w:left="1284" w:right="0" w:firstLine="0"/>
        <w:jc w:val="left"/>
        <w:rPr>
          <w:sz w:val="20"/>
        </w:rPr>
      </w:pPr>
      <w:r>
        <w:rPr>
          <w:sz w:val="20"/>
        </w:rPr>
        <w:t>Anexos</w:t>
      </w:r>
      <w:r>
        <w:rPr>
          <w:spacing w:val="-7"/>
          <w:sz w:val="20"/>
        </w:rPr>
        <w:t> </w:t>
      </w:r>
      <w:r>
        <w:rPr>
          <w:sz w:val="20"/>
        </w:rPr>
        <w:t>de</w:t>
      </w:r>
      <w:r>
        <w:rPr>
          <w:spacing w:val="-3"/>
          <w:sz w:val="20"/>
        </w:rPr>
        <w:t> </w:t>
      </w:r>
      <w:r>
        <w:rPr>
          <w:sz w:val="20"/>
        </w:rPr>
        <w:t>la</w:t>
      </w:r>
      <w:r>
        <w:rPr>
          <w:spacing w:val="-6"/>
          <w:sz w:val="20"/>
        </w:rPr>
        <w:t> </w:t>
      </w:r>
      <w:r>
        <w:rPr>
          <w:spacing w:val="-2"/>
          <w:sz w:val="20"/>
        </w:rPr>
        <w:t>sección:</w:t>
      </w:r>
    </w:p>
    <w:p>
      <w:pPr>
        <w:spacing w:before="90"/>
        <w:ind w:left="1284" w:right="0" w:firstLine="0"/>
        <w:jc w:val="left"/>
        <w:rPr>
          <w:b/>
          <w:sz w:val="20"/>
        </w:rPr>
      </w:pPr>
      <w:r>
        <w:rPr>
          <w:b/>
          <w:sz w:val="20"/>
        </w:rPr>
        <w:t>Nombre:</w:t>
      </w:r>
      <w:r>
        <w:rPr>
          <w:b/>
          <w:spacing w:val="-12"/>
          <w:sz w:val="20"/>
        </w:rPr>
        <w:t> </w:t>
      </w:r>
      <w:r>
        <w:rPr>
          <w:b/>
          <w:sz w:val="20"/>
        </w:rPr>
        <w:t>Autorizacion</w:t>
      </w:r>
      <w:r>
        <w:rPr>
          <w:b/>
          <w:spacing w:val="-13"/>
          <w:sz w:val="20"/>
        </w:rPr>
        <w:t> </w:t>
      </w:r>
      <w:r>
        <w:rPr>
          <w:b/>
          <w:sz w:val="20"/>
        </w:rPr>
        <w:t>para</w:t>
      </w:r>
      <w:r>
        <w:rPr>
          <w:b/>
          <w:spacing w:val="-13"/>
          <w:sz w:val="20"/>
        </w:rPr>
        <w:t> </w:t>
      </w:r>
      <w:r>
        <w:rPr>
          <w:b/>
          <w:sz w:val="20"/>
        </w:rPr>
        <w:t>la</w:t>
      </w:r>
      <w:r>
        <w:rPr>
          <w:b/>
          <w:spacing w:val="-11"/>
          <w:sz w:val="20"/>
        </w:rPr>
        <w:t> </w:t>
      </w:r>
      <w:r>
        <w:rPr>
          <w:b/>
          <w:sz w:val="20"/>
        </w:rPr>
        <w:t>remision</w:t>
      </w:r>
      <w:r>
        <w:rPr>
          <w:b/>
          <w:spacing w:val="-13"/>
          <w:sz w:val="20"/>
        </w:rPr>
        <w:t> </w:t>
      </w:r>
      <w:r>
        <w:rPr>
          <w:b/>
          <w:sz w:val="20"/>
        </w:rPr>
        <w:t>de</w:t>
      </w:r>
      <w:r>
        <w:rPr>
          <w:b/>
          <w:spacing w:val="-12"/>
          <w:sz w:val="20"/>
        </w:rPr>
        <w:t> </w:t>
      </w:r>
      <w:r>
        <w:rPr>
          <w:b/>
          <w:sz w:val="20"/>
        </w:rPr>
        <w:t>alegaciones.pdf,</w:t>
      </w:r>
      <w:r>
        <w:rPr>
          <w:b/>
          <w:spacing w:val="-13"/>
          <w:sz w:val="20"/>
        </w:rPr>
        <w:t> </w:t>
      </w:r>
      <w:r>
        <w:rPr>
          <w:b/>
          <w:sz w:val="20"/>
        </w:rPr>
        <w:t>Hash:</w:t>
      </w:r>
      <w:r>
        <w:rPr>
          <w:b/>
          <w:spacing w:val="-13"/>
          <w:sz w:val="20"/>
        </w:rPr>
        <w:t> </w:t>
      </w:r>
      <w:r>
        <w:rPr>
          <w:b/>
          <w:spacing w:val="-2"/>
          <w:sz w:val="20"/>
        </w:rPr>
        <w:t>aIm0maW4hosiXDut0v9HQw==</w:t>
      </w:r>
    </w:p>
    <w:p>
      <w:pPr>
        <w:pStyle w:val="BodyText"/>
        <w:spacing w:before="175"/>
        <w:rPr>
          <w:b/>
          <w:sz w:val="20"/>
        </w:rPr>
      </w:pPr>
    </w:p>
    <w:p>
      <w:pPr>
        <w:spacing w:before="1"/>
        <w:ind w:left="4663" w:right="0" w:firstLine="0"/>
        <w:jc w:val="left"/>
        <w:rPr>
          <w:b/>
          <w:sz w:val="20"/>
        </w:rPr>
      </w:pPr>
      <w:r>
        <w:rPr>
          <w:b/>
          <w:sz w:val="20"/>
        </w:rPr>
        <w:t>FORMULARIO</w:t>
      </w:r>
      <w:r>
        <w:rPr>
          <w:b/>
          <w:spacing w:val="-14"/>
          <w:sz w:val="20"/>
        </w:rPr>
        <w:t> </w:t>
      </w:r>
      <w:r>
        <w:rPr>
          <w:b/>
          <w:sz w:val="20"/>
        </w:rPr>
        <w:t>2:</w:t>
      </w:r>
      <w:r>
        <w:rPr>
          <w:b/>
          <w:spacing w:val="-14"/>
          <w:sz w:val="20"/>
        </w:rPr>
        <w:t> </w:t>
      </w:r>
      <w:r>
        <w:rPr>
          <w:b/>
          <w:spacing w:val="-2"/>
          <w:sz w:val="20"/>
        </w:rPr>
        <w:t>ALEGACIONES</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651840">
                <wp:simplePos x="0" y="0"/>
                <wp:positionH relativeFrom="page">
                  <wp:posOffset>905255</wp:posOffset>
                </wp:positionH>
                <wp:positionV relativeFrom="paragraph">
                  <wp:posOffset>160170</wp:posOffset>
                </wp:positionV>
                <wp:extent cx="1714500" cy="1270"/>
                <wp:effectExtent l="0" t="0" r="0" b="0"/>
                <wp:wrapTopAndBottom/>
                <wp:docPr id="528" name="Graphic 528"/>
                <wp:cNvGraphicFramePr>
                  <a:graphicFrameLocks/>
                </wp:cNvGraphicFramePr>
                <a:graphic>
                  <a:graphicData uri="http://schemas.microsoft.com/office/word/2010/wordprocessingShape">
                    <wps:wsp>
                      <wps:cNvPr id="528" name="Graphic 528"/>
                      <wps:cNvSpPr/>
                      <wps:spPr>
                        <a:xfrm>
                          <a:off x="0" y="0"/>
                          <a:ext cx="1714500" cy="1270"/>
                        </a:xfrm>
                        <a:custGeom>
                          <a:avLst/>
                          <a:gdLst/>
                          <a:ahLst/>
                          <a:cxnLst/>
                          <a:rect l="l" t="t" r="r" b="b"/>
                          <a:pathLst>
                            <a:path w="1714500" h="0">
                              <a:moveTo>
                                <a:pt x="0" y="0"/>
                              </a:moveTo>
                              <a:lnTo>
                                <a:pt x="1714499"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11859pt;width:135pt;height:.1pt;mso-position-horizontal-relative:page;mso-position-vertical-relative:paragraph;z-index:-15664640;mso-wrap-distance-left:0;mso-wrap-distance-right:0" id="docshape452" coordorigin="1426,252" coordsize="2700,0" path="m1426,252l4126,252e" filled="false" stroked="true" strokeweight=".72pt" strokecolor="#000000">
                <v:path arrowok="t"/>
                <v:stroke dashstyle="solid"/>
                <w10:wrap type="topAndBottom"/>
              </v:shape>
            </w:pict>
          </mc:Fallback>
        </mc:AlternateContent>
      </w:r>
      <w:r>
        <w:rPr>
          <w:b/>
          <w:sz w:val="20"/>
        </w:rPr>
        <w:t>Alegaciones</w:t>
      </w:r>
      <w:r>
        <w:rPr>
          <w:b/>
          <w:spacing w:val="-13"/>
          <w:sz w:val="20"/>
        </w:rPr>
        <w:t> </w:t>
      </w:r>
      <w:r>
        <w:rPr>
          <w:b/>
          <w:sz w:val="20"/>
        </w:rPr>
        <w:t>al</w:t>
      </w:r>
      <w:r>
        <w:rPr>
          <w:b/>
          <w:spacing w:val="-12"/>
          <w:sz w:val="20"/>
        </w:rPr>
        <w:t> </w:t>
      </w:r>
      <w:r>
        <w:rPr>
          <w:b/>
          <w:spacing w:val="-2"/>
          <w:sz w:val="20"/>
        </w:rPr>
        <w:t>anteproyecto</w:t>
      </w:r>
    </w:p>
    <w:p>
      <w:pPr>
        <w:pStyle w:val="BodyText"/>
        <w:spacing w:before="146"/>
        <w:rPr>
          <w:b/>
          <w:sz w:val="20"/>
        </w:rPr>
      </w:pPr>
    </w:p>
    <w:p>
      <w:pPr>
        <w:spacing w:before="1"/>
        <w:ind w:left="1284" w:right="0" w:firstLine="0"/>
        <w:jc w:val="left"/>
        <w:rPr>
          <w:i/>
          <w:sz w:val="20"/>
        </w:rPr>
      </w:pPr>
      <w:r>
        <w:rPr>
          <w:i/>
          <w:sz w:val="20"/>
        </w:rPr>
        <w:t>Grupo</w:t>
      </w:r>
      <w:r>
        <w:rPr>
          <w:i/>
          <w:spacing w:val="-5"/>
          <w:sz w:val="20"/>
        </w:rPr>
        <w:t> </w:t>
      </w:r>
      <w:r>
        <w:rPr>
          <w:i/>
          <w:sz w:val="20"/>
        </w:rPr>
        <w:t>1</w:t>
      </w:r>
      <w:r>
        <w:rPr>
          <w:i/>
          <w:spacing w:val="-5"/>
          <w:sz w:val="20"/>
        </w:rPr>
        <w:t> </w:t>
      </w:r>
      <w:r>
        <w:rPr>
          <w:i/>
          <w:sz w:val="20"/>
        </w:rPr>
        <w:t>de</w:t>
      </w:r>
      <w:r>
        <w:rPr>
          <w:i/>
          <w:spacing w:val="-5"/>
          <w:sz w:val="20"/>
        </w:rPr>
        <w:t> </w:t>
      </w:r>
      <w:r>
        <w:rPr>
          <w:i/>
          <w:spacing w:val="-12"/>
          <w:sz w:val="20"/>
        </w:rPr>
        <w:t>1</w:t>
      </w:r>
    </w:p>
    <w:p>
      <w:pPr>
        <w:pStyle w:val="BodyText"/>
        <w:spacing w:before="175"/>
        <w:rPr>
          <w:i/>
          <w:sz w:val="20"/>
        </w:rPr>
      </w:pPr>
    </w:p>
    <w:p>
      <w:pPr>
        <w:spacing w:before="1"/>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z w:val="20"/>
        </w:rPr>
        <mc:AlternateContent>
          <mc:Choice Requires="wps">
            <w:drawing>
              <wp:anchor distT="0" distB="0" distL="0" distR="0" allowOverlap="1" layoutInCell="1" locked="0" behindDoc="0" simplePos="0" relativeHeight="15794176">
                <wp:simplePos x="0" y="0"/>
                <wp:positionH relativeFrom="page">
                  <wp:posOffset>244784</wp:posOffset>
                </wp:positionH>
                <wp:positionV relativeFrom="paragraph">
                  <wp:posOffset>164490</wp:posOffset>
                </wp:positionV>
                <wp:extent cx="138430" cy="2155190"/>
                <wp:effectExtent l="0" t="0" r="0" b="0"/>
                <wp:wrapNone/>
                <wp:docPr id="529" name="Textbox 529"/>
                <wp:cNvGraphicFramePr>
                  <a:graphicFrameLocks/>
                </wp:cNvGraphicFramePr>
                <a:graphic>
                  <a:graphicData uri="http://schemas.microsoft.com/office/word/2010/wordprocessingShape">
                    <wps:wsp>
                      <wps:cNvPr id="529" name="Textbox 529"/>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12.952044pt;width:10.9pt;height:169.7pt;mso-position-horizontal-relative:page;mso-position-vertical-relative:paragraph;z-index:15794176" type="#_x0000_t202" id="docshape453"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w:t>pagina</w:t>
      </w:r>
      <w:r>
        <w:rPr>
          <w:b/>
          <w:spacing w:val="-13"/>
          <w:sz w:val="20"/>
        </w:rPr>
        <w:t> </w:t>
      </w:r>
      <w:r>
        <w:rPr>
          <w:b/>
          <w:spacing w:val="-5"/>
          <w:sz w:val="20"/>
        </w:rPr>
        <w:t>49</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pacing w:val="-2"/>
          <w:sz w:val="20"/>
        </w:rPr>
        <w:t>primero</w:t>
      </w:r>
    </w:p>
    <w:p>
      <w:pPr>
        <w:pStyle w:val="BodyText"/>
        <w:spacing w:before="179"/>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794688">
                <wp:simplePos x="0" y="0"/>
                <wp:positionH relativeFrom="page">
                  <wp:posOffset>344030</wp:posOffset>
                </wp:positionH>
                <wp:positionV relativeFrom="paragraph">
                  <wp:posOffset>153577</wp:posOffset>
                </wp:positionV>
                <wp:extent cx="163830" cy="2817495"/>
                <wp:effectExtent l="0" t="0" r="0" b="0"/>
                <wp:wrapNone/>
                <wp:docPr id="530" name="Graphic 530"/>
                <wp:cNvGraphicFramePr>
                  <a:graphicFrameLocks/>
                </wp:cNvGraphicFramePr>
                <a:graphic>
                  <a:graphicData uri="http://schemas.microsoft.com/office/word/2010/wordprocessingShape">
                    <wps:wsp>
                      <wps:cNvPr id="530" name="Graphic 530"/>
                      <wps:cNvSpPr/>
                      <wps:spPr>
                        <a:xfrm>
                          <a:off x="0" y="0"/>
                          <a:ext cx="163830" cy="2817495"/>
                        </a:xfrm>
                        <a:custGeom>
                          <a:avLst/>
                          <a:gdLst/>
                          <a:ahLst/>
                          <a:cxnLst/>
                          <a:rect l="l" t="t" r="r" b="b"/>
                          <a:pathLst>
                            <a:path w="163830" h="2817495">
                              <a:moveTo>
                                <a:pt x="163258" y="0"/>
                              </a:moveTo>
                              <a:lnTo>
                                <a:pt x="0" y="0"/>
                              </a:lnTo>
                              <a:lnTo>
                                <a:pt x="0" y="2817177"/>
                              </a:lnTo>
                              <a:lnTo>
                                <a:pt x="163258" y="2817177"/>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12.092721pt;width:12.855pt;height:221.825pt;mso-position-horizontal-relative:page;mso-position-vertical-relative:paragraph;z-index:15794688" id="docshape454" filled="true" fillcolor="#000000" stroked="false">
                <v:fill type="solid"/>
                <w10:wrap type="none"/>
              </v:rect>
            </w:pict>
          </mc:Fallback>
        </mc:AlternateContent>
      </w: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496" w:firstLine="0"/>
        <w:jc w:val="left"/>
        <w:rPr>
          <w:b/>
          <w:sz w:val="20"/>
        </w:rPr>
      </w:pPr>
      <w:r>
        <w:rPr>
          <w:b/>
          <w:sz w:val="20"/>
        </w:rPr>
        <mc:AlternateContent>
          <mc:Choice Requires="wps">
            <w:drawing>
              <wp:anchor distT="0" distB="0" distL="0" distR="0" allowOverlap="1" layoutInCell="1" locked="0" behindDoc="0" simplePos="0" relativeHeight="15793152">
                <wp:simplePos x="0" y="0"/>
                <wp:positionH relativeFrom="page">
                  <wp:posOffset>130383</wp:posOffset>
                </wp:positionH>
                <wp:positionV relativeFrom="paragraph">
                  <wp:posOffset>192422</wp:posOffset>
                </wp:positionV>
                <wp:extent cx="138430" cy="2952750"/>
                <wp:effectExtent l="0" t="0" r="0" b="0"/>
                <wp:wrapNone/>
                <wp:docPr id="531" name="Textbox 531"/>
                <wp:cNvGraphicFramePr>
                  <a:graphicFrameLocks/>
                </wp:cNvGraphicFramePr>
                <a:graphic>
                  <a:graphicData uri="http://schemas.microsoft.com/office/word/2010/wordprocessingShape">
                    <wps:wsp>
                      <wps:cNvPr id="531" name="Textbox 531"/>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5.15139pt;width:10.9pt;height:232.5pt;mso-position-horizontal-relative:page;mso-position-vertical-relative:paragraph;z-index:15793152" type="#_x0000_t202" id="docshape455"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w:t>A</w:t>
      </w:r>
      <w:r>
        <w:rPr>
          <w:b/>
          <w:spacing w:val="40"/>
          <w:sz w:val="20"/>
        </w:rPr>
        <w:t> </w:t>
      </w:r>
      <w:r>
        <w:rPr>
          <w:b/>
          <w:sz w:val="20"/>
        </w:rPr>
        <w:t>la</w:t>
      </w:r>
      <w:r>
        <w:rPr>
          <w:b/>
          <w:spacing w:val="-5"/>
          <w:sz w:val="20"/>
        </w:rPr>
        <w:t> </w:t>
      </w:r>
      <w:r>
        <w:rPr>
          <w:b/>
          <w:sz w:val="20"/>
        </w:rPr>
        <w:t>fecha</w:t>
      </w:r>
      <w:r>
        <w:rPr>
          <w:b/>
          <w:spacing w:val="-3"/>
          <w:sz w:val="20"/>
        </w:rPr>
        <w:t> </w:t>
      </w:r>
      <w:r>
        <w:rPr>
          <w:b/>
          <w:sz w:val="20"/>
        </w:rPr>
        <w:t>autorizada</w:t>
      </w:r>
      <w:r>
        <w:rPr>
          <w:b/>
          <w:spacing w:val="-5"/>
          <w:sz w:val="20"/>
        </w:rPr>
        <w:t> </w:t>
      </w:r>
      <w:r>
        <w:rPr>
          <w:b/>
          <w:sz w:val="20"/>
        </w:rPr>
        <w:t>por</w:t>
      </w:r>
      <w:r>
        <w:rPr>
          <w:b/>
          <w:spacing w:val="-5"/>
          <w:sz w:val="20"/>
        </w:rPr>
        <w:t> </w:t>
      </w:r>
      <w:r>
        <w:rPr>
          <w:b/>
          <w:sz w:val="20"/>
        </w:rPr>
        <w:t>el</w:t>
      </w:r>
      <w:r>
        <w:rPr>
          <w:b/>
          <w:spacing w:val="-5"/>
          <w:sz w:val="20"/>
        </w:rPr>
        <w:t> </w:t>
      </w:r>
      <w:r>
        <w:rPr>
          <w:b/>
          <w:sz w:val="20"/>
        </w:rPr>
        <w:t>MITMA</w:t>
      </w:r>
      <w:r>
        <w:rPr>
          <w:b/>
          <w:spacing w:val="-5"/>
          <w:sz w:val="20"/>
        </w:rPr>
        <w:t> </w:t>
      </w:r>
      <w:r>
        <w:rPr>
          <w:b/>
          <w:sz w:val="20"/>
        </w:rPr>
        <w:t>para</w:t>
      </w:r>
      <w:r>
        <w:rPr>
          <w:b/>
          <w:spacing w:val="-5"/>
          <w:sz w:val="20"/>
        </w:rPr>
        <w:t> </w:t>
      </w:r>
      <w:r>
        <w:rPr>
          <w:b/>
          <w:sz w:val="20"/>
        </w:rPr>
        <w:t>concluir</w:t>
      </w:r>
      <w:r>
        <w:rPr>
          <w:b/>
          <w:spacing w:val="-5"/>
          <w:sz w:val="20"/>
        </w:rPr>
        <w:t> </w:t>
      </w:r>
      <w:r>
        <w:rPr>
          <w:b/>
          <w:sz w:val="20"/>
        </w:rPr>
        <w:t>la</w:t>
      </w:r>
      <w:r>
        <w:rPr>
          <w:b/>
          <w:spacing w:val="-5"/>
          <w:sz w:val="20"/>
        </w:rPr>
        <w:t> </w:t>
      </w:r>
      <w:r>
        <w:rPr>
          <w:b/>
          <w:sz w:val="20"/>
        </w:rPr>
        <w:t>ejecución</w:t>
      </w:r>
      <w:r>
        <w:rPr>
          <w:b/>
          <w:spacing w:val="-3"/>
          <w:sz w:val="20"/>
        </w:rPr>
        <w:t> </w:t>
      </w:r>
      <w:r>
        <w:rPr>
          <w:b/>
          <w:sz w:val="20"/>
        </w:rPr>
        <w:t>de</w:t>
      </w:r>
      <w:r>
        <w:rPr>
          <w:b/>
          <w:spacing w:val="-5"/>
          <w:sz w:val="20"/>
        </w:rPr>
        <w:t> </w:t>
      </w:r>
      <w:r>
        <w:rPr>
          <w:b/>
          <w:sz w:val="20"/>
        </w:rPr>
        <w:t>la</w:t>
      </w:r>
      <w:r>
        <w:rPr>
          <w:b/>
          <w:spacing w:val="-5"/>
          <w:sz w:val="20"/>
        </w:rPr>
        <w:t> </w:t>
      </w:r>
      <w:r>
        <w:rPr>
          <w:b/>
          <w:sz w:val="20"/>
        </w:rPr>
        <w:t>actuación</w:t>
      </w:r>
      <w:r>
        <w:rPr>
          <w:b/>
          <w:spacing w:val="-5"/>
          <w:sz w:val="20"/>
        </w:rPr>
        <w:t> </w:t>
      </w:r>
      <w:r>
        <w:rPr>
          <w:b/>
          <w:sz w:val="20"/>
        </w:rPr>
        <w:t>de</w:t>
      </w:r>
      <w:r>
        <w:rPr>
          <w:b/>
          <w:spacing w:val="-5"/>
          <w:sz w:val="20"/>
        </w:rPr>
        <w:t> </w:t>
      </w:r>
      <w:r>
        <w:rPr>
          <w:b/>
          <w:sz w:val="20"/>
        </w:rPr>
        <w:t>Instalación</w:t>
      </w:r>
      <w:r>
        <w:rPr>
          <w:b/>
          <w:spacing w:val="-5"/>
          <w:sz w:val="20"/>
        </w:rPr>
        <w:t> </w:t>
      </w:r>
      <w:r>
        <w:rPr>
          <w:b/>
          <w:sz w:val="20"/>
        </w:rPr>
        <w:t>de</w:t>
      </w:r>
      <w:r>
        <w:rPr>
          <w:b/>
          <w:spacing w:val="-5"/>
          <w:sz w:val="20"/>
        </w:rPr>
        <w:t> </w:t>
      </w:r>
      <w:r>
        <w:rPr>
          <w:b/>
          <w:sz w:val="20"/>
        </w:rPr>
        <w:t>recarga de autobuses eléctricos de cocheras municipales.</w:t>
      </w:r>
    </w:p>
    <w:p>
      <w:pPr>
        <w:pStyle w:val="BodyText"/>
        <w:spacing w:before="90"/>
        <w:rPr>
          <w:b/>
          <w:sz w:val="20"/>
        </w:rPr>
      </w:pPr>
    </w:p>
    <w:p>
      <w:pPr>
        <w:spacing w:before="0"/>
        <w:ind w:left="1284" w:right="0" w:firstLine="0"/>
        <w:jc w:val="left"/>
        <w:rPr>
          <w:sz w:val="20"/>
        </w:rPr>
      </w:pPr>
      <w:r>
        <w:rPr>
          <w:spacing w:val="-2"/>
          <w:sz w:val="20"/>
        </w:rPr>
        <w:t>Alegación:</w:t>
      </w:r>
    </w:p>
    <w:p>
      <w:pPr>
        <w:spacing w:line="333" w:lineRule="auto" w:before="87"/>
        <w:ind w:left="1284" w:right="496" w:firstLine="0"/>
        <w:jc w:val="left"/>
        <w:rPr>
          <w:b/>
          <w:sz w:val="20"/>
        </w:rPr>
      </w:pPr>
      <w:r>
        <w:rPr>
          <w:b/>
          <w:sz w:val="20"/>
        </w:rPr>
        <mc:AlternateContent>
          <mc:Choice Requires="wps">
            <w:drawing>
              <wp:anchor distT="0" distB="0" distL="0" distR="0" allowOverlap="1" layoutInCell="1" locked="0" behindDoc="0" simplePos="0" relativeHeight="15793664">
                <wp:simplePos x="0" y="0"/>
                <wp:positionH relativeFrom="page">
                  <wp:posOffset>244784</wp:posOffset>
                </wp:positionH>
                <wp:positionV relativeFrom="paragraph">
                  <wp:posOffset>592084</wp:posOffset>
                </wp:positionV>
                <wp:extent cx="251460" cy="1744345"/>
                <wp:effectExtent l="0" t="0" r="0" b="0"/>
                <wp:wrapNone/>
                <wp:docPr id="532" name="Textbox 532"/>
                <wp:cNvGraphicFramePr>
                  <a:graphicFrameLocks/>
                </wp:cNvGraphicFramePr>
                <a:graphic>
                  <a:graphicData uri="http://schemas.microsoft.com/office/word/2010/wordprocessingShape">
                    <wps:wsp>
                      <wps:cNvPr id="532" name="Textbox 532"/>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wps:txbx>
                      <wps:bodyPr wrap="square" lIns="0" tIns="0" rIns="0" bIns="0" rtlCol="0" vert="vert270">
                        <a:noAutofit/>
                      </wps:bodyPr>
                    </wps:wsp>
                  </a:graphicData>
                </a:graphic>
              </wp:anchor>
            </w:drawing>
          </mc:Choice>
          <mc:Fallback>
            <w:pict>
              <v:shape style="position:absolute;margin-left:19.274403pt;margin-top:46.620804pt;width:19.8pt;height:137.35pt;mso-position-horizontal-relative:page;mso-position-vertical-relative:paragraph;z-index:15793664" type="#_x0000_t202" id="docshape456"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v:textbox>
                <w10:wrap type="none"/>
              </v:shape>
            </w:pict>
          </mc:Fallback>
        </mc:AlternateContent>
      </w:r>
      <w:r>
        <w:rPr>
          <w:b/>
          <w:sz w:val="20"/>
        </w:rPr>
        <w:t>El MITMA, en resolución de fecha 11 de diciembre de 2023, autorizó la ampliación del plazo para ejecutar</w:t>
      </w:r>
      <w:r>
        <w:rPr>
          <w:b/>
          <w:spacing w:val="-6"/>
          <w:sz w:val="20"/>
        </w:rPr>
        <w:t> </w:t>
      </w:r>
      <w:r>
        <w:rPr>
          <w:b/>
          <w:sz w:val="20"/>
        </w:rPr>
        <w:t>la</w:t>
      </w:r>
      <w:r>
        <w:rPr>
          <w:b/>
          <w:spacing w:val="-8"/>
          <w:sz w:val="20"/>
        </w:rPr>
        <w:t> </w:t>
      </w:r>
      <w:r>
        <w:rPr>
          <w:b/>
          <w:sz w:val="20"/>
        </w:rPr>
        <w:t>actuación</w:t>
      </w:r>
      <w:r>
        <w:rPr>
          <w:b/>
          <w:spacing w:val="-8"/>
          <w:sz w:val="20"/>
        </w:rPr>
        <w:t> </w:t>
      </w:r>
      <w:r>
        <w:rPr>
          <w:b/>
          <w:sz w:val="20"/>
        </w:rPr>
        <w:t>P-17_L220210928-1</w:t>
      </w:r>
      <w:r>
        <w:rPr>
          <w:b/>
          <w:spacing w:val="40"/>
          <w:sz w:val="20"/>
        </w:rPr>
        <w:t> </w:t>
      </w:r>
      <w:r>
        <w:rPr>
          <w:b/>
          <w:sz w:val="20"/>
        </w:rPr>
        <w:t>Instalación</w:t>
      </w:r>
      <w:r>
        <w:rPr>
          <w:b/>
          <w:spacing w:val="-6"/>
          <w:sz w:val="20"/>
        </w:rPr>
        <w:t> </w:t>
      </w:r>
      <w:r>
        <w:rPr>
          <w:b/>
          <w:sz w:val="20"/>
        </w:rPr>
        <w:t>de</w:t>
      </w:r>
      <w:r>
        <w:rPr>
          <w:b/>
          <w:spacing w:val="-8"/>
          <w:sz w:val="20"/>
        </w:rPr>
        <w:t> </w:t>
      </w:r>
      <w:r>
        <w:rPr>
          <w:b/>
          <w:sz w:val="20"/>
        </w:rPr>
        <w:t>recarga</w:t>
      </w:r>
      <w:r>
        <w:rPr>
          <w:b/>
          <w:spacing w:val="-6"/>
          <w:sz w:val="20"/>
        </w:rPr>
        <w:t> </w:t>
      </w:r>
      <w:r>
        <w:rPr>
          <w:b/>
          <w:sz w:val="20"/>
        </w:rPr>
        <w:t>de</w:t>
      </w:r>
      <w:r>
        <w:rPr>
          <w:b/>
          <w:spacing w:val="-8"/>
          <w:sz w:val="20"/>
        </w:rPr>
        <w:t> </w:t>
      </w:r>
      <w:r>
        <w:rPr>
          <w:b/>
          <w:sz w:val="20"/>
        </w:rPr>
        <w:t>autobuses</w:t>
      </w:r>
      <w:r>
        <w:rPr>
          <w:b/>
          <w:spacing w:val="-8"/>
          <w:sz w:val="20"/>
        </w:rPr>
        <w:t> </w:t>
      </w:r>
      <w:r>
        <w:rPr>
          <w:b/>
          <w:sz w:val="20"/>
        </w:rPr>
        <w:t>eléctricos</w:t>
      </w:r>
      <w:r>
        <w:rPr>
          <w:b/>
          <w:spacing w:val="-8"/>
          <w:sz w:val="20"/>
        </w:rPr>
        <w:t> </w:t>
      </w:r>
      <w:r>
        <w:rPr>
          <w:b/>
          <w:sz w:val="20"/>
        </w:rPr>
        <w:t>de</w:t>
      </w:r>
      <w:r>
        <w:rPr>
          <w:b/>
          <w:spacing w:val="-8"/>
          <w:sz w:val="20"/>
        </w:rPr>
        <w:t> </w:t>
      </w:r>
      <w:r>
        <w:rPr>
          <w:b/>
          <w:sz w:val="20"/>
        </w:rPr>
        <w:t>chocheras municipales hasta el 31 de diciembre de 2025, y no hasta diciembre de 2024 como figura en el Anteproyecto de informe.</w:t>
      </w:r>
    </w:p>
    <w:p>
      <w:pPr>
        <w:pStyle w:val="BodyText"/>
        <w:spacing w:before="85"/>
        <w:rPr>
          <w:b/>
          <w:sz w:val="20"/>
        </w:rPr>
      </w:pPr>
    </w:p>
    <w:p>
      <w:pPr>
        <w:spacing w:before="0"/>
        <w:ind w:left="1284" w:right="0" w:firstLine="0"/>
        <w:jc w:val="left"/>
        <w:rPr>
          <w:sz w:val="20"/>
        </w:rPr>
      </w:pPr>
      <w:r>
        <w:rPr>
          <w:sz w:val="20"/>
        </w:rPr>
        <w:t>Documentos</w:t>
      </w:r>
      <w:r>
        <w:rPr>
          <w:spacing w:val="-14"/>
          <w:sz w:val="20"/>
        </w:rPr>
        <w:t> </w:t>
      </w:r>
      <w:r>
        <w:rPr>
          <w:sz w:val="20"/>
        </w:rPr>
        <w:t>(descripción</w:t>
      </w:r>
      <w:r>
        <w:rPr>
          <w:spacing w:val="-13"/>
          <w:sz w:val="20"/>
        </w:rPr>
        <w:t> </w:t>
      </w:r>
      <w:r>
        <w:rPr>
          <w:sz w:val="20"/>
        </w:rPr>
        <w:t>de</w:t>
      </w:r>
      <w:r>
        <w:rPr>
          <w:spacing w:val="-11"/>
          <w:sz w:val="20"/>
        </w:rPr>
        <w:t> </w:t>
      </w:r>
      <w:r>
        <w:rPr>
          <w:sz w:val="20"/>
        </w:rPr>
        <w:t>los</w:t>
      </w:r>
      <w:r>
        <w:rPr>
          <w:spacing w:val="-11"/>
          <w:sz w:val="20"/>
        </w:rPr>
        <w:t> </w:t>
      </w:r>
      <w:r>
        <w:rPr>
          <w:sz w:val="20"/>
        </w:rPr>
        <w:t>documentos</w:t>
      </w:r>
      <w:r>
        <w:rPr>
          <w:spacing w:val="-14"/>
          <w:sz w:val="20"/>
        </w:rPr>
        <w:t> </w:t>
      </w:r>
      <w:r>
        <w:rPr>
          <w:spacing w:val="-2"/>
          <w:sz w:val="20"/>
        </w:rPr>
        <w:t>aportados):</w:t>
      </w:r>
    </w:p>
    <w:p>
      <w:pPr>
        <w:spacing w:before="89"/>
        <w:ind w:left="1284" w:right="0" w:firstLine="0"/>
        <w:jc w:val="left"/>
        <w:rPr>
          <w:b/>
          <w:sz w:val="20"/>
        </w:rPr>
      </w:pPr>
      <w:r>
        <w:rPr>
          <w:b/>
          <w:sz w:val="20"/>
        </w:rPr>
        <w:t>Resolución</w:t>
      </w:r>
      <w:r>
        <w:rPr>
          <w:b/>
          <w:spacing w:val="-10"/>
          <w:sz w:val="20"/>
        </w:rPr>
        <w:t> </w:t>
      </w:r>
      <w:r>
        <w:rPr>
          <w:b/>
          <w:sz w:val="20"/>
        </w:rPr>
        <w:t>del</w:t>
      </w:r>
      <w:r>
        <w:rPr>
          <w:b/>
          <w:spacing w:val="-10"/>
          <w:sz w:val="20"/>
        </w:rPr>
        <w:t> </w:t>
      </w:r>
      <w:r>
        <w:rPr>
          <w:b/>
          <w:sz w:val="20"/>
        </w:rPr>
        <w:t>MITMA</w:t>
      </w:r>
      <w:r>
        <w:rPr>
          <w:b/>
          <w:spacing w:val="-9"/>
          <w:sz w:val="20"/>
        </w:rPr>
        <w:t> </w:t>
      </w:r>
      <w:r>
        <w:rPr>
          <w:b/>
          <w:sz w:val="20"/>
        </w:rPr>
        <w:t>de</w:t>
      </w:r>
      <w:r>
        <w:rPr>
          <w:b/>
          <w:spacing w:val="-10"/>
          <w:sz w:val="20"/>
        </w:rPr>
        <w:t> </w:t>
      </w:r>
      <w:r>
        <w:rPr>
          <w:b/>
          <w:sz w:val="20"/>
        </w:rPr>
        <w:t>11</w:t>
      </w:r>
      <w:r>
        <w:rPr>
          <w:b/>
          <w:spacing w:val="-10"/>
          <w:sz w:val="20"/>
        </w:rPr>
        <w:t> </w:t>
      </w:r>
      <w:r>
        <w:rPr>
          <w:b/>
          <w:sz w:val="20"/>
        </w:rPr>
        <w:t>de</w:t>
      </w:r>
      <w:r>
        <w:rPr>
          <w:b/>
          <w:spacing w:val="-7"/>
          <w:sz w:val="20"/>
        </w:rPr>
        <w:t> </w:t>
      </w:r>
      <w:r>
        <w:rPr>
          <w:b/>
          <w:sz w:val="20"/>
        </w:rPr>
        <w:t>diciembre</w:t>
      </w:r>
      <w:r>
        <w:rPr>
          <w:b/>
          <w:spacing w:val="-10"/>
          <w:sz w:val="20"/>
        </w:rPr>
        <w:t> </w:t>
      </w:r>
      <w:r>
        <w:rPr>
          <w:b/>
          <w:spacing w:val="-4"/>
          <w:sz w:val="20"/>
        </w:rPr>
        <w:t>2023</w:t>
      </w:r>
    </w:p>
    <w:p>
      <w:pPr>
        <w:pStyle w:val="BodyText"/>
        <w:spacing w:before="176"/>
        <w:rPr>
          <w:b/>
          <w:sz w:val="20"/>
        </w:rPr>
      </w:pPr>
    </w:p>
    <w:p>
      <w:pPr>
        <w:spacing w:before="0"/>
        <w:ind w:left="1284" w:right="0" w:firstLine="0"/>
        <w:jc w:val="left"/>
        <w:rPr>
          <w:sz w:val="20"/>
        </w:rPr>
      </w:pPr>
      <w:r>
        <w:rPr>
          <w:spacing w:val="-2"/>
          <w:sz w:val="20"/>
        </w:rPr>
        <w:t>Documentos:</w:t>
      </w:r>
    </w:p>
    <w:p>
      <w:pPr>
        <w:spacing w:line="333" w:lineRule="auto" w:before="89"/>
        <w:ind w:left="1284" w:right="0" w:firstLine="0"/>
        <w:jc w:val="left"/>
        <w:rPr>
          <w:b/>
          <w:sz w:val="20"/>
        </w:rPr>
      </w:pPr>
      <w:r>
        <w:rPr>
          <w:b/>
          <w:sz w:val="20"/>
        </w:rPr>
        <w:t>Nombre:</w:t>
      </w:r>
      <w:r>
        <w:rPr>
          <w:b/>
          <w:spacing w:val="-9"/>
          <w:sz w:val="20"/>
        </w:rPr>
        <w:t> </w:t>
      </w:r>
      <w:r>
        <w:rPr>
          <w:b/>
          <w:sz w:val="20"/>
        </w:rPr>
        <w:t>20231211_Resolucion</w:t>
      </w:r>
      <w:r>
        <w:rPr>
          <w:b/>
          <w:spacing w:val="-10"/>
          <w:sz w:val="20"/>
        </w:rPr>
        <w:t> </w:t>
      </w:r>
      <w:r>
        <w:rPr>
          <w:b/>
          <w:sz w:val="20"/>
        </w:rPr>
        <w:t>MITMA</w:t>
      </w:r>
      <w:r>
        <w:rPr>
          <w:b/>
          <w:spacing w:val="-10"/>
          <w:sz w:val="20"/>
        </w:rPr>
        <w:t> </w:t>
      </w:r>
      <w:r>
        <w:rPr>
          <w:b/>
          <w:sz w:val="20"/>
        </w:rPr>
        <w:t>modif</w:t>
      </w:r>
      <w:r>
        <w:rPr>
          <w:b/>
          <w:spacing w:val="-9"/>
          <w:sz w:val="20"/>
        </w:rPr>
        <w:t> </w:t>
      </w:r>
      <w:r>
        <w:rPr>
          <w:b/>
          <w:sz w:val="20"/>
        </w:rPr>
        <w:t>ayudas</w:t>
      </w:r>
      <w:r>
        <w:rPr>
          <w:b/>
          <w:spacing w:val="-10"/>
          <w:sz w:val="20"/>
        </w:rPr>
        <w:t> </w:t>
      </w:r>
      <w:r>
        <w:rPr>
          <w:b/>
          <w:sz w:val="20"/>
        </w:rPr>
        <w:t>P16-P17-P18</w:t>
      </w:r>
      <w:r>
        <w:rPr>
          <w:b/>
          <w:spacing w:val="-10"/>
          <w:sz w:val="20"/>
        </w:rPr>
        <w:t> </w:t>
      </w:r>
      <w:r>
        <w:rPr>
          <w:b/>
          <w:sz w:val="20"/>
        </w:rPr>
        <w:t>y</w:t>
      </w:r>
      <w:r>
        <w:rPr>
          <w:b/>
          <w:spacing w:val="-10"/>
          <w:sz w:val="20"/>
        </w:rPr>
        <w:t> </w:t>
      </w:r>
      <w:r>
        <w:rPr>
          <w:b/>
          <w:sz w:val="20"/>
        </w:rPr>
        <w:t>P-3.pdf,</w:t>
      </w:r>
      <w:r>
        <w:rPr>
          <w:b/>
          <w:spacing w:val="-10"/>
          <w:sz w:val="20"/>
        </w:rPr>
        <w:t> </w:t>
      </w:r>
      <w:r>
        <w:rPr>
          <w:b/>
          <w:sz w:val="20"/>
        </w:rPr>
        <w:t>Hash: </w:t>
      </w:r>
      <w:r>
        <w:rPr>
          <w:b/>
          <w:spacing w:val="-2"/>
          <w:sz w:val="20"/>
        </w:rPr>
        <w:t>RbKDwjjy93Uy//rpcagg7Q==</w:t>
      </w:r>
    </w:p>
    <w:p>
      <w:pPr>
        <w:spacing w:after="0" w:line="333" w:lineRule="auto"/>
        <w:jc w:val="left"/>
        <w:rPr>
          <w:b/>
          <w:sz w:val="20"/>
        </w:rPr>
        <w:sectPr>
          <w:headerReference w:type="even" r:id="rId155"/>
          <w:footerReference w:type="even" r:id="rId156"/>
          <w:pgSz w:w="11910" w:h="16840"/>
          <w:pgMar w:header="314" w:footer="481" w:top="1240" w:bottom="680" w:left="141" w:right="141"/>
          <w:pgNumType w:start="2"/>
        </w:sectPr>
      </w:pPr>
    </w:p>
    <w:p>
      <w:pPr>
        <w:spacing w:line="240" w:lineRule="auto"/>
        <w:ind w:left="1219" w:right="0" w:firstLine="0"/>
        <w:rPr>
          <w:sz w:val="20"/>
        </w:rPr>
      </w:pPr>
      <w:r>
        <w:rPr>
          <w:sz w:val="20"/>
        </w:rPr>
        <w:drawing>
          <wp:inline distT="0" distB="0" distL="0" distR="0">
            <wp:extent cx="1807250" cy="530351"/>
            <wp:effectExtent l="0" t="0" r="0" b="0"/>
            <wp:docPr id="533" name="Image 533"/>
            <wp:cNvGraphicFramePr>
              <a:graphicFrameLocks/>
            </wp:cNvGraphicFramePr>
            <a:graphic>
              <a:graphicData uri="http://schemas.openxmlformats.org/drawingml/2006/picture">
                <pic:pic>
                  <pic:nvPicPr>
                    <pic:cNvPr id="533" name="Image 533"/>
                    <pic:cNvPicPr/>
                  </pic:nvPicPr>
                  <pic:blipFill>
                    <a:blip r:embed="rId61" cstate="print"/>
                    <a:stretch>
                      <a:fillRect/>
                    </a:stretch>
                  </pic:blipFill>
                  <pic:spPr>
                    <a:xfrm>
                      <a:off x="0" y="0"/>
                      <a:ext cx="1807250" cy="530351"/>
                    </a:xfrm>
                    <a:prstGeom prst="rect">
                      <a:avLst/>
                    </a:prstGeom>
                  </pic:spPr>
                </pic:pic>
              </a:graphicData>
            </a:graphic>
          </wp:inline>
        </w:drawing>
      </w:r>
      <w:r>
        <w:rPr>
          <w:sz w:val="20"/>
        </w:rPr>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142"/>
        <w:rPr>
          <w:b/>
          <w:sz w:val="32"/>
        </w:rPr>
      </w:pPr>
    </w:p>
    <w:p>
      <w:pPr>
        <w:pStyle w:val="Heading1"/>
        <w:spacing w:line="196" w:lineRule="auto"/>
        <w:ind w:right="1776"/>
      </w:pPr>
      <w:r>
        <w:rPr/>
        <w:drawing>
          <wp:anchor distT="0" distB="0" distL="0" distR="0" allowOverlap="1" layoutInCell="1" locked="0" behindDoc="1" simplePos="0" relativeHeight="474333184">
            <wp:simplePos x="0" y="0"/>
            <wp:positionH relativeFrom="page">
              <wp:posOffset>900430</wp:posOffset>
            </wp:positionH>
            <wp:positionV relativeFrom="paragraph">
              <wp:posOffset>-3435869</wp:posOffset>
            </wp:positionV>
            <wp:extent cx="6137656" cy="7663733"/>
            <wp:effectExtent l="0" t="0" r="0" b="0"/>
            <wp:wrapNone/>
            <wp:docPr id="534" name="Image 534"/>
            <wp:cNvGraphicFramePr>
              <a:graphicFrameLocks/>
            </wp:cNvGraphicFramePr>
            <a:graphic>
              <a:graphicData uri="http://schemas.openxmlformats.org/drawingml/2006/picture">
                <pic:pic>
                  <pic:nvPicPr>
                    <pic:cNvPr id="534" name="Image 534"/>
                    <pic:cNvPicPr/>
                  </pic:nvPicPr>
                  <pic:blipFill>
                    <a:blip r:embed="rId9" cstate="print"/>
                    <a:stretch>
                      <a:fillRect/>
                    </a:stretch>
                  </pic:blipFill>
                  <pic:spPr>
                    <a:xfrm>
                      <a:off x="0" y="0"/>
                      <a:ext cx="6137656" cy="7663733"/>
                    </a:xfrm>
                    <a:prstGeom prst="rect">
                      <a:avLst/>
                    </a:prstGeom>
                  </pic:spPr>
                </pic:pic>
              </a:graphicData>
            </a:graphic>
          </wp:anchor>
        </w:drawing>
      </w:r>
      <w:r>
        <w:rPr/>
        <w:t>Alegaciones</w:t>
      </w:r>
      <w:r>
        <w:rPr>
          <w:spacing w:val="-7"/>
        </w:rPr>
        <w:t> </w:t>
      </w:r>
      <w:r>
        <w:rPr/>
        <w:t>formuladas</w:t>
      </w:r>
      <w:r>
        <w:rPr>
          <w:spacing w:val="-7"/>
        </w:rPr>
        <w:t> </w:t>
      </w:r>
      <w:r>
        <w:rPr/>
        <w:t>por</w:t>
      </w:r>
      <w:r>
        <w:rPr>
          <w:spacing w:val="-4"/>
        </w:rPr>
        <w:t> </w:t>
      </w:r>
      <w:r>
        <w:rPr/>
        <w:t>la</w:t>
      </w:r>
      <w:r>
        <w:rPr>
          <w:spacing w:val="-7"/>
        </w:rPr>
        <w:t> </w:t>
      </w:r>
      <w:r>
        <w:rPr/>
        <w:t>Alcaldesa</w:t>
      </w:r>
      <w:r>
        <w:rPr>
          <w:spacing w:val="-7"/>
        </w:rPr>
        <w:t> </w:t>
      </w:r>
      <w:r>
        <w:rPr/>
        <w:t>del</w:t>
      </w:r>
      <w:r>
        <w:rPr>
          <w:spacing w:val="-7"/>
        </w:rPr>
        <w:t> </w:t>
      </w:r>
      <w:r>
        <w:rPr/>
        <w:t>Ayuntamiento</w:t>
      </w:r>
      <w:r>
        <w:rPr>
          <w:spacing w:val="-7"/>
        </w:rPr>
        <w:t> </w:t>
      </w:r>
      <w:r>
        <w:rPr/>
        <w:t>de Las Palmas de Gran Canaria</w:t>
      </w:r>
    </w:p>
    <w:p>
      <w:pPr>
        <w:pStyle w:val="Heading1"/>
        <w:spacing w:after="0" w:line="196" w:lineRule="auto"/>
        <w:sectPr>
          <w:headerReference w:type="default" r:id="rId157"/>
          <w:footerReference w:type="default" r:id="rId158"/>
          <w:pgSz w:w="11910" w:h="16840"/>
          <w:pgMar w:header="0" w:footer="0" w:top="900" w:bottom="280" w:left="141" w:right="141"/>
        </w:sectPr>
      </w:pPr>
    </w:p>
    <w:p>
      <w:pPr>
        <w:pStyle w:val="BodyText"/>
        <w:spacing w:before="4"/>
        <w:rPr>
          <w:rFonts w:ascii="Calibri"/>
          <w:b/>
          <w:sz w:val="16"/>
        </w:rPr>
      </w:pPr>
    </w:p>
    <w:p>
      <w:pPr>
        <w:pStyle w:val="BodyText"/>
        <w:spacing w:after="0"/>
        <w:rPr>
          <w:rFonts w:ascii="Calibri"/>
          <w:b/>
          <w:sz w:val="16"/>
        </w:rPr>
        <w:sectPr>
          <w:headerReference w:type="even" r:id="rId159"/>
          <w:footerReference w:type="even" r:id="rId160"/>
          <w:pgSz w:w="11910" w:h="16840"/>
          <w:pgMar w:header="0" w:footer="0" w:top="1920" w:bottom="280" w:left="141" w:right="141"/>
        </w:sectPr>
      </w:pPr>
    </w:p>
    <w:p>
      <w:pPr>
        <w:pStyle w:val="BodyText"/>
        <w:rPr>
          <w:rFonts w:ascii="Calibri"/>
          <w:b/>
          <w:sz w:val="20"/>
        </w:rPr>
      </w:pPr>
    </w:p>
    <w:p>
      <w:pPr>
        <w:pStyle w:val="BodyText"/>
        <w:spacing w:before="31"/>
        <w:rPr>
          <w:rFonts w:ascii="Calibri"/>
          <w:b/>
          <w:sz w:val="20"/>
        </w:rPr>
      </w:pPr>
    </w:p>
    <w:p>
      <w:pPr>
        <w:spacing w:line="324" w:lineRule="auto" w:before="0"/>
        <w:ind w:left="1284" w:right="496" w:firstLine="0"/>
        <w:jc w:val="left"/>
        <w:rPr>
          <w:sz w:val="20"/>
        </w:rPr>
      </w:pPr>
      <w:r>
        <w:rPr>
          <w:sz w:val="20"/>
        </w:rPr>
        <w:t>HUGO RAMIREZ</w:t>
      </w:r>
      <w:r>
        <w:rPr>
          <w:spacing w:val="40"/>
          <w:sz w:val="20"/>
        </w:rPr>
        <w:t> </w:t>
      </w:r>
      <w:r>
        <w:rPr>
          <w:sz w:val="20"/>
        </w:rPr>
        <w:t>LORENZO con DNI</w:t>
      </w:r>
      <w:r>
        <w:rPr>
          <w:spacing w:val="-16"/>
          <w:sz w:val="20"/>
        </w:rPr>
        <w:t> </w:t>
      </w:r>
      <w:r>
        <w:rPr>
          <w:spacing w:val="-20"/>
          <w:position w:val="-5"/>
          <w:sz w:val="20"/>
        </w:rPr>
        <w:drawing>
          <wp:inline distT="0" distB="0" distL="0" distR="0">
            <wp:extent cx="551624" cy="145364"/>
            <wp:effectExtent l="0" t="0" r="0" b="0"/>
            <wp:docPr id="544" name="Image 544"/>
            <wp:cNvGraphicFramePr>
              <a:graphicFrameLocks/>
            </wp:cNvGraphicFramePr>
            <a:graphic>
              <a:graphicData uri="http://schemas.openxmlformats.org/drawingml/2006/picture">
                <pic:pic>
                  <pic:nvPicPr>
                    <pic:cNvPr id="544" name="Image 544"/>
                    <pic:cNvPicPr/>
                  </pic:nvPicPr>
                  <pic:blipFill>
                    <a:blip r:embed="rId164" cstate="print"/>
                    <a:stretch>
                      <a:fillRect/>
                    </a:stretch>
                  </pic:blipFill>
                  <pic:spPr>
                    <a:xfrm>
                      <a:off x="0" y="0"/>
                      <a:ext cx="551624" cy="145364"/>
                    </a:xfrm>
                    <a:prstGeom prst="rect">
                      <a:avLst/>
                    </a:prstGeom>
                  </pic:spPr>
                </pic:pic>
              </a:graphicData>
            </a:graphic>
          </wp:inline>
        </w:drawing>
      </w:r>
      <w:r>
        <w:rPr>
          <w:spacing w:val="-20"/>
          <w:position w:val="-5"/>
          <w:sz w:val="20"/>
        </w:rPr>
      </w:r>
      <w:r>
        <w:rPr>
          <w:rFonts w:ascii="Times New Roman" w:hAnsi="Times New Roman"/>
          <w:spacing w:val="11"/>
          <w:sz w:val="20"/>
        </w:rPr>
        <w:t> </w:t>
      </w:r>
      <w:r>
        <w:rPr>
          <w:sz w:val="20"/>
        </w:rPr>
        <w:t>ha registrado el trámite Trámite de alegaciones al Anteproyecto</w:t>
      </w:r>
      <w:r>
        <w:rPr>
          <w:spacing w:val="-6"/>
          <w:sz w:val="20"/>
        </w:rPr>
        <w:t> </w:t>
      </w:r>
      <w:r>
        <w:rPr>
          <w:sz w:val="20"/>
        </w:rPr>
        <w:t>de</w:t>
      </w:r>
      <w:r>
        <w:rPr>
          <w:spacing w:val="-4"/>
          <w:sz w:val="20"/>
        </w:rPr>
        <w:t> </w:t>
      </w:r>
      <w:r>
        <w:rPr>
          <w:sz w:val="20"/>
        </w:rPr>
        <w:t>Informe</w:t>
      </w:r>
      <w:r>
        <w:rPr>
          <w:spacing w:val="-6"/>
          <w:sz w:val="20"/>
        </w:rPr>
        <w:t> </w:t>
      </w:r>
      <w:r>
        <w:rPr>
          <w:sz w:val="20"/>
        </w:rPr>
        <w:t>de</w:t>
      </w:r>
      <w:r>
        <w:rPr>
          <w:spacing w:val="-6"/>
          <w:sz w:val="20"/>
        </w:rPr>
        <w:t> </w:t>
      </w:r>
      <w:r>
        <w:rPr>
          <w:sz w:val="20"/>
        </w:rPr>
        <w:t>Fiscalización</w:t>
      </w:r>
      <w:r>
        <w:rPr>
          <w:spacing w:val="-6"/>
          <w:sz w:val="20"/>
        </w:rPr>
        <w:t> </w:t>
      </w:r>
      <w:r>
        <w:rPr>
          <w:sz w:val="20"/>
        </w:rPr>
        <w:t>sobre</w:t>
      </w:r>
      <w:r>
        <w:rPr>
          <w:spacing w:val="-6"/>
          <w:sz w:val="20"/>
        </w:rPr>
        <w:t> </w:t>
      </w:r>
      <w:r>
        <w:rPr>
          <w:sz w:val="20"/>
        </w:rPr>
        <w:t>las</w:t>
      </w:r>
      <w:r>
        <w:rPr>
          <w:spacing w:val="-7"/>
          <w:sz w:val="20"/>
        </w:rPr>
        <w:t> </w:t>
      </w:r>
      <w:r>
        <w:rPr>
          <w:sz w:val="20"/>
        </w:rPr>
        <w:t>medidas</w:t>
      </w:r>
      <w:r>
        <w:rPr>
          <w:spacing w:val="-5"/>
          <w:sz w:val="20"/>
        </w:rPr>
        <w:t> </w:t>
      </w:r>
      <w:r>
        <w:rPr>
          <w:sz w:val="20"/>
        </w:rPr>
        <w:t>adoptadas</w:t>
      </w:r>
      <w:r>
        <w:rPr>
          <w:spacing w:val="-5"/>
          <w:sz w:val="20"/>
        </w:rPr>
        <w:t> </w:t>
      </w:r>
      <w:r>
        <w:rPr>
          <w:sz w:val="20"/>
        </w:rPr>
        <w:t>por</w:t>
      </w:r>
      <w:r>
        <w:rPr>
          <w:spacing w:val="-6"/>
          <w:sz w:val="20"/>
        </w:rPr>
        <w:t> </w:t>
      </w:r>
      <w:r>
        <w:rPr>
          <w:sz w:val="20"/>
        </w:rPr>
        <w:t>las</w:t>
      </w:r>
      <w:r>
        <w:rPr>
          <w:spacing w:val="-6"/>
          <w:sz w:val="20"/>
        </w:rPr>
        <w:t> </w:t>
      </w:r>
      <w:r>
        <w:rPr>
          <w:sz w:val="20"/>
        </w:rPr>
        <w:t>entidades</w:t>
      </w:r>
      <w:r>
        <w:rPr>
          <w:spacing w:val="-6"/>
          <w:sz w:val="20"/>
        </w:rPr>
        <w:t> </w:t>
      </w:r>
      <w:r>
        <w:rPr>
          <w:sz w:val="20"/>
        </w:rPr>
        <w:t>locales</w:t>
      </w:r>
      <w:r>
        <w:rPr>
          <w:spacing w:val="-7"/>
          <w:sz w:val="20"/>
        </w:rPr>
        <w:t> </w:t>
      </w:r>
      <w:r>
        <w:rPr>
          <w:sz w:val="20"/>
        </w:rPr>
        <w:t>para</w:t>
      </w:r>
      <w:r>
        <w:rPr>
          <w:spacing w:val="-6"/>
          <w:sz w:val="20"/>
        </w:rPr>
        <w:t> </w:t>
      </w:r>
      <w:r>
        <w:rPr>
          <w:sz w:val="20"/>
        </w:rPr>
        <w:t>lograr una movilidad sostenible en el transporte público colectivo, ejercicios 2023 y 2024 a las 14:31:26, el día </w:t>
      </w:r>
      <w:r>
        <w:rPr>
          <w:spacing w:val="-2"/>
          <w:sz w:val="20"/>
        </w:rPr>
        <w:t>05/11/2025.</w:t>
      </w:r>
    </w:p>
    <w:p>
      <w:pPr>
        <w:spacing w:before="14"/>
        <w:ind w:left="1284" w:right="0" w:firstLine="0"/>
        <w:jc w:val="left"/>
        <w:rPr>
          <w:sz w:val="20"/>
        </w:rPr>
      </w:pPr>
      <w:r>
        <w:rPr>
          <w:sz w:val="20"/>
        </w:rPr>
        <mc:AlternateContent>
          <mc:Choice Requires="wps">
            <w:drawing>
              <wp:anchor distT="0" distB="0" distL="0" distR="0" allowOverlap="1" layoutInCell="1" locked="0" behindDoc="0" simplePos="0" relativeHeight="15797760">
                <wp:simplePos x="0" y="0"/>
                <wp:positionH relativeFrom="page">
                  <wp:posOffset>2796400</wp:posOffset>
                </wp:positionH>
                <wp:positionV relativeFrom="paragraph">
                  <wp:posOffset>21823</wp:posOffset>
                </wp:positionV>
                <wp:extent cx="798195" cy="145415"/>
                <wp:effectExtent l="0" t="0" r="0" b="0"/>
                <wp:wrapNone/>
                <wp:docPr id="545" name="Graphic 545"/>
                <wp:cNvGraphicFramePr>
                  <a:graphicFrameLocks/>
                </wp:cNvGraphicFramePr>
                <a:graphic>
                  <a:graphicData uri="http://schemas.microsoft.com/office/word/2010/wordprocessingShape">
                    <wps:wsp>
                      <wps:cNvPr id="545" name="Graphic 545"/>
                      <wps:cNvSpPr/>
                      <wps:spPr>
                        <a:xfrm>
                          <a:off x="0" y="0"/>
                          <a:ext cx="798195" cy="145415"/>
                        </a:xfrm>
                        <a:custGeom>
                          <a:avLst/>
                          <a:gdLst/>
                          <a:ahLst/>
                          <a:cxnLst/>
                          <a:rect l="l" t="t" r="r" b="b"/>
                          <a:pathLst>
                            <a:path w="798195" h="145415">
                              <a:moveTo>
                                <a:pt x="797877" y="0"/>
                              </a:moveTo>
                              <a:lnTo>
                                <a:pt x="0" y="0"/>
                              </a:lnTo>
                              <a:lnTo>
                                <a:pt x="0" y="145224"/>
                              </a:lnTo>
                              <a:lnTo>
                                <a:pt x="797877" y="145224"/>
                              </a:lnTo>
                              <a:lnTo>
                                <a:pt x="79787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20.189pt;margin-top:1.718401pt;width:62.825pt;height:11.435pt;mso-position-horizontal-relative:page;mso-position-vertical-relative:paragraph;z-index:15797760" id="docshape461" filled="true" fillcolor="#000000" stroked="false">
                <v:fill type="solid"/>
                <w10:wrap type="none"/>
              </v:rect>
            </w:pict>
          </mc:Fallback>
        </mc:AlternateContent>
      </w:r>
      <w:r>
        <w:rPr>
          <w:sz w:val="20"/>
        </w:rPr>
        <w:t>Su</w:t>
      </w:r>
      <w:r>
        <w:rPr>
          <w:spacing w:val="-7"/>
          <w:sz w:val="20"/>
        </w:rPr>
        <w:t> </w:t>
      </w:r>
      <w:r>
        <w:rPr>
          <w:sz w:val="20"/>
        </w:rPr>
        <w:t>número</w:t>
      </w:r>
      <w:r>
        <w:rPr>
          <w:spacing w:val="-6"/>
          <w:sz w:val="20"/>
        </w:rPr>
        <w:t> </w:t>
      </w:r>
      <w:r>
        <w:rPr>
          <w:sz w:val="20"/>
        </w:rPr>
        <w:t>de</w:t>
      </w:r>
      <w:r>
        <w:rPr>
          <w:spacing w:val="-5"/>
          <w:sz w:val="20"/>
        </w:rPr>
        <w:t> </w:t>
      </w:r>
      <w:r>
        <w:rPr>
          <w:sz w:val="20"/>
        </w:rPr>
        <w:t>registro</w:t>
      </w:r>
      <w:r>
        <w:rPr>
          <w:spacing w:val="-6"/>
          <w:sz w:val="20"/>
        </w:rPr>
        <w:t> </w:t>
      </w:r>
      <w:r>
        <w:rPr>
          <w:sz w:val="20"/>
        </w:rPr>
        <w:t>es</w:t>
      </w:r>
      <w:r>
        <w:rPr>
          <w:spacing w:val="-6"/>
          <w:sz w:val="20"/>
        </w:rPr>
        <w:t> </w:t>
      </w:r>
      <w:r>
        <w:rPr>
          <w:sz w:val="20"/>
        </w:rPr>
        <w:t>el</w:t>
      </w:r>
      <w:r>
        <w:rPr>
          <w:spacing w:val="42"/>
          <w:sz w:val="20"/>
        </w:rPr>
        <w:t> </w:t>
      </w:r>
      <w:r>
        <w:rPr>
          <w:spacing w:val="-4"/>
          <w:sz w:val="20"/>
        </w:rPr>
        <w:t>2025</w:t>
      </w:r>
    </w:p>
    <w:p>
      <w:pPr>
        <w:pStyle w:val="BodyText"/>
        <w:spacing w:before="140"/>
        <w:rPr>
          <w:sz w:val="20"/>
        </w:rPr>
      </w:pPr>
    </w:p>
    <w:p>
      <w:pPr>
        <w:pStyle w:val="Heading3"/>
        <w:spacing w:line="276" w:lineRule="auto"/>
      </w:pPr>
      <w:r>
        <w:rPr/>
        <w:t>TRÁMITE DE ALEGACIONES AL ANTEPROYECTO DE INFORME DE FISCALIZACIÓN SOBRE</w:t>
      </w:r>
      <w:r>
        <w:rPr>
          <w:spacing w:val="-9"/>
        </w:rPr>
        <w:t> </w:t>
      </w:r>
      <w:r>
        <w:rPr/>
        <w:t>LAS</w:t>
      </w:r>
      <w:r>
        <w:rPr>
          <w:spacing w:val="-9"/>
        </w:rPr>
        <w:t> </w:t>
      </w:r>
      <w:r>
        <w:rPr/>
        <w:t>MEDIDAS</w:t>
      </w:r>
      <w:r>
        <w:rPr>
          <w:spacing w:val="-10"/>
        </w:rPr>
        <w:t> </w:t>
      </w:r>
      <w:r>
        <w:rPr/>
        <w:t>ADOPTADAS</w:t>
      </w:r>
      <w:r>
        <w:rPr>
          <w:spacing w:val="-10"/>
        </w:rPr>
        <w:t> </w:t>
      </w:r>
      <w:r>
        <w:rPr/>
        <w:t>POR</w:t>
      </w:r>
      <w:r>
        <w:rPr>
          <w:spacing w:val="-11"/>
        </w:rPr>
        <w:t> </w:t>
      </w:r>
      <w:r>
        <w:rPr/>
        <w:t>LAS</w:t>
      </w:r>
      <w:r>
        <w:rPr>
          <w:spacing w:val="-10"/>
        </w:rPr>
        <w:t> </w:t>
      </w:r>
      <w:r>
        <w:rPr/>
        <w:t>ENTIDADES</w:t>
      </w:r>
      <w:r>
        <w:rPr>
          <w:spacing w:val="-10"/>
        </w:rPr>
        <w:t> </w:t>
      </w:r>
      <w:r>
        <w:rPr/>
        <w:t>LOCALES</w:t>
      </w:r>
      <w:r>
        <w:rPr>
          <w:spacing w:val="-11"/>
        </w:rPr>
        <w:t> </w:t>
      </w:r>
      <w:r>
        <w:rPr/>
        <w:t>PARA</w:t>
      </w:r>
      <w:r>
        <w:rPr>
          <w:spacing w:val="-9"/>
        </w:rPr>
        <w:t> </w:t>
      </w:r>
      <w:r>
        <w:rPr/>
        <w:t>LOGRAR UNA MOVILIDAD SOSTENIBLE EN EL TRANSPORTE PÚBLICO COLECTIVO, EJERCICIOS 2023 Y 2024</w:t>
      </w:r>
    </w:p>
    <w:p>
      <w:pPr>
        <w:pStyle w:val="BodyText"/>
        <w:spacing w:before="83"/>
        <w:rPr>
          <w:b/>
          <w:sz w:val="24"/>
        </w:rPr>
      </w:pPr>
    </w:p>
    <w:p>
      <w:pPr>
        <w:spacing w:before="1"/>
        <w:ind w:left="799" w:right="0" w:firstLine="0"/>
        <w:jc w:val="center"/>
        <w:rPr>
          <w:b/>
          <w:sz w:val="20"/>
        </w:rPr>
      </w:pPr>
      <w:r>
        <w:rPr>
          <w:b/>
          <w:sz w:val="20"/>
        </w:rPr>
        <w:t>FORMULARIO</w:t>
      </w:r>
      <w:r>
        <w:rPr>
          <w:b/>
          <w:spacing w:val="-9"/>
          <w:sz w:val="20"/>
        </w:rPr>
        <w:t> </w:t>
      </w:r>
      <w:r>
        <w:rPr>
          <w:b/>
          <w:sz w:val="20"/>
        </w:rPr>
        <w:t>1:</w:t>
      </w:r>
      <w:r>
        <w:rPr>
          <w:b/>
          <w:spacing w:val="40"/>
          <w:sz w:val="20"/>
        </w:rPr>
        <w:t> </w:t>
      </w:r>
      <w:r>
        <w:rPr>
          <w:b/>
          <w:spacing w:val="-2"/>
          <w:sz w:val="20"/>
        </w:rPr>
        <w:t>IDENTIFICACIÓN</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654912">
                <wp:simplePos x="0" y="0"/>
                <wp:positionH relativeFrom="page">
                  <wp:posOffset>905255</wp:posOffset>
                </wp:positionH>
                <wp:positionV relativeFrom="paragraph">
                  <wp:posOffset>160144</wp:posOffset>
                </wp:positionV>
                <wp:extent cx="1580515" cy="1270"/>
                <wp:effectExtent l="0" t="0" r="0" b="0"/>
                <wp:wrapTopAndBottom/>
                <wp:docPr id="546" name="Graphic 546"/>
                <wp:cNvGraphicFramePr>
                  <a:graphicFrameLocks/>
                </wp:cNvGraphicFramePr>
                <a:graphic>
                  <a:graphicData uri="http://schemas.microsoft.com/office/word/2010/wordprocessingShape">
                    <wps:wsp>
                      <wps:cNvPr id="546" name="Graphic 546"/>
                      <wps:cNvSpPr/>
                      <wps:spPr>
                        <a:xfrm>
                          <a:off x="0" y="0"/>
                          <a:ext cx="1580515" cy="1270"/>
                        </a:xfrm>
                        <a:custGeom>
                          <a:avLst/>
                          <a:gdLst/>
                          <a:ahLst/>
                          <a:cxnLst/>
                          <a:rect l="l" t="t" r="r" b="b"/>
                          <a:pathLst>
                            <a:path w="1580515" h="0">
                              <a:moveTo>
                                <a:pt x="0" y="0"/>
                              </a:moveTo>
                              <a:lnTo>
                                <a:pt x="1580387"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09842pt;width:124.45pt;height:.1pt;mso-position-horizontal-relative:page;mso-position-vertical-relative:paragraph;z-index:-15661568;mso-wrap-distance-left:0;mso-wrap-distance-right:0" id="docshape462" coordorigin="1426,252" coordsize="2489,0" path="m1426,252l3914,252e" filled="false" stroked="true" strokeweight=".72pt" strokecolor="#000000">
                <v:path arrowok="t"/>
                <v:stroke dashstyle="solid"/>
                <w10:wrap type="topAndBottom"/>
              </v:shape>
            </w:pict>
          </mc:Fallback>
        </mc:AlternateContent>
      </w:r>
      <w:r>
        <w:rPr>
          <w:b/>
          <w:spacing w:val="-2"/>
          <w:sz w:val="20"/>
        </w:rPr>
        <w:t>Identificación</w:t>
      </w:r>
      <w:r>
        <w:rPr>
          <w:b/>
          <w:spacing w:val="2"/>
          <w:sz w:val="20"/>
        </w:rPr>
        <w:t> </w:t>
      </w:r>
      <w:r>
        <w:rPr>
          <w:b/>
          <w:spacing w:val="-2"/>
          <w:sz w:val="20"/>
        </w:rPr>
        <w:t>del</w:t>
      </w:r>
      <w:r>
        <w:rPr>
          <w:b/>
          <w:spacing w:val="3"/>
          <w:sz w:val="20"/>
        </w:rPr>
        <w:t> </w:t>
      </w:r>
      <w:r>
        <w:rPr>
          <w:b/>
          <w:spacing w:val="-2"/>
          <w:sz w:val="20"/>
        </w:rPr>
        <w:t>alegante</w:t>
      </w:r>
    </w:p>
    <w:p>
      <w:pPr>
        <w:pStyle w:val="BodyText"/>
        <w:spacing w:before="146"/>
        <w:rPr>
          <w:b/>
          <w:sz w:val="20"/>
        </w:rPr>
      </w:pPr>
    </w:p>
    <w:p>
      <w:pPr>
        <w:spacing w:before="1"/>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9"/>
        <w:ind w:left="1284" w:right="0" w:firstLine="0"/>
        <w:jc w:val="left"/>
        <w:rPr>
          <w:b/>
          <w:sz w:val="20"/>
        </w:rPr>
      </w:pPr>
      <w:r>
        <w:rPr>
          <w:b/>
          <w:sz w:val="20"/>
        </w:rPr>
        <w:t>CAROLINA</w:t>
      </w:r>
      <w:r>
        <w:rPr>
          <w:b/>
          <w:spacing w:val="-14"/>
          <w:sz w:val="20"/>
        </w:rPr>
        <w:t> </w:t>
      </w:r>
      <w:r>
        <w:rPr>
          <w:b/>
          <w:sz w:val="20"/>
        </w:rPr>
        <w:t>DARÍAS</w:t>
      </w:r>
      <w:r>
        <w:rPr>
          <w:b/>
          <w:spacing w:val="-13"/>
          <w:sz w:val="20"/>
        </w:rPr>
        <w:t> </w:t>
      </w:r>
      <w:r>
        <w:rPr>
          <w:b/>
          <w:sz w:val="20"/>
        </w:rPr>
        <w:t>SAN</w:t>
      </w:r>
      <w:r>
        <w:rPr>
          <w:b/>
          <w:spacing w:val="-13"/>
          <w:sz w:val="20"/>
        </w:rPr>
        <w:t> </w:t>
      </w:r>
      <w:r>
        <w:rPr>
          <w:b/>
          <w:spacing w:val="-2"/>
          <w:sz w:val="20"/>
        </w:rPr>
        <w:t>SEBASTIAN</w:t>
      </w:r>
    </w:p>
    <w:p>
      <w:pPr>
        <w:pStyle w:val="BodyText"/>
        <w:spacing w:before="176"/>
        <w:rPr>
          <w:b/>
          <w:sz w:val="20"/>
        </w:rPr>
      </w:pPr>
    </w:p>
    <w:p>
      <w:pPr>
        <w:spacing w:before="0"/>
        <w:ind w:left="1284" w:right="0" w:firstLine="0"/>
        <w:jc w:val="left"/>
        <w:rPr>
          <w:sz w:val="20"/>
        </w:rPr>
      </w:pPr>
      <w:r>
        <w:rPr>
          <w:spacing w:val="-4"/>
          <w:sz w:val="20"/>
        </w:rPr>
        <w:t>DNI:</w:t>
      </w:r>
    </w:p>
    <w:p>
      <w:pPr>
        <w:pStyle w:val="BodyText"/>
        <w:spacing w:before="7"/>
        <w:rPr>
          <w:sz w:val="7"/>
        </w:rPr>
      </w:pPr>
      <w:r>
        <w:rPr>
          <w:sz w:val="7"/>
        </w:rPr>
        <mc:AlternateContent>
          <mc:Choice Requires="wps">
            <w:drawing>
              <wp:anchor distT="0" distB="0" distL="0" distR="0" allowOverlap="1" layoutInCell="1" locked="0" behindDoc="1" simplePos="0" relativeHeight="487655424">
                <wp:simplePos x="0" y="0"/>
                <wp:positionH relativeFrom="page">
                  <wp:posOffset>892530</wp:posOffset>
                </wp:positionH>
                <wp:positionV relativeFrom="paragraph">
                  <wp:posOffset>70801</wp:posOffset>
                </wp:positionV>
                <wp:extent cx="657225" cy="119380"/>
                <wp:effectExtent l="0" t="0" r="0" b="0"/>
                <wp:wrapTopAndBottom/>
                <wp:docPr id="547" name="Graphic 547"/>
                <wp:cNvGraphicFramePr>
                  <a:graphicFrameLocks/>
                </wp:cNvGraphicFramePr>
                <a:graphic>
                  <a:graphicData uri="http://schemas.microsoft.com/office/word/2010/wordprocessingShape">
                    <wps:wsp>
                      <wps:cNvPr id="547" name="Graphic 547"/>
                      <wps:cNvSpPr/>
                      <wps:spPr>
                        <a:xfrm>
                          <a:off x="0" y="0"/>
                          <a:ext cx="657225" cy="119380"/>
                        </a:xfrm>
                        <a:custGeom>
                          <a:avLst/>
                          <a:gdLst/>
                          <a:ahLst/>
                          <a:cxnLst/>
                          <a:rect l="l" t="t" r="r" b="b"/>
                          <a:pathLst>
                            <a:path w="657225" h="119380">
                              <a:moveTo>
                                <a:pt x="657098" y="0"/>
                              </a:moveTo>
                              <a:lnTo>
                                <a:pt x="0" y="0"/>
                              </a:lnTo>
                              <a:lnTo>
                                <a:pt x="0" y="119062"/>
                              </a:lnTo>
                              <a:lnTo>
                                <a:pt x="657098" y="119062"/>
                              </a:lnTo>
                              <a:lnTo>
                                <a:pt x="6570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574881pt;width:51.74pt;height:9.375pt;mso-position-horizontal-relative:page;mso-position-vertical-relative:paragraph;z-index:-15661056;mso-wrap-distance-left:0;mso-wrap-distance-right:0" id="docshape463" filled="true" fillcolor="#000000" stroked="false">
                <v:fill type="solid"/>
                <w10:wrap type="topAndBottom"/>
              </v:rect>
            </w:pict>
          </mc:Fallback>
        </mc:AlternateContent>
      </w:r>
    </w:p>
    <w:p>
      <w:pPr>
        <w:pStyle w:val="BodyText"/>
        <w:spacing w:before="196"/>
        <w:rPr>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799296">
                <wp:simplePos x="0" y="0"/>
                <wp:positionH relativeFrom="page">
                  <wp:posOffset>244784</wp:posOffset>
                </wp:positionH>
                <wp:positionV relativeFrom="paragraph">
                  <wp:posOffset>109235</wp:posOffset>
                </wp:positionV>
                <wp:extent cx="138430" cy="2155190"/>
                <wp:effectExtent l="0" t="0" r="0" b="0"/>
                <wp:wrapNone/>
                <wp:docPr id="548" name="Textbox 548"/>
                <wp:cNvGraphicFramePr>
                  <a:graphicFrameLocks/>
                </wp:cNvGraphicFramePr>
                <a:graphic>
                  <a:graphicData uri="http://schemas.microsoft.com/office/word/2010/wordprocessingShape">
                    <wps:wsp>
                      <wps:cNvPr id="548" name="Textbox 548"/>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8.601184pt;width:10.9pt;height:169.7pt;mso-position-horizontal-relative:page;mso-position-vertical-relative:paragraph;z-index:15799296" type="#_x0000_t202" id="docshape464"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spacing w:val="-2"/>
          <w:sz w:val="20"/>
        </w:rPr>
        <w:t>Cargo:</w:t>
      </w:r>
    </w:p>
    <w:p>
      <w:pPr>
        <w:spacing w:before="89"/>
        <w:ind w:left="1284" w:right="0" w:firstLine="0"/>
        <w:jc w:val="left"/>
        <w:rPr>
          <w:b/>
          <w:sz w:val="20"/>
        </w:rPr>
      </w:pPr>
      <w:r>
        <w:rPr>
          <w:b/>
          <w:sz w:val="20"/>
        </w:rPr>
        <w:t>ALCALDESA</w:t>
      </w:r>
      <w:r>
        <w:rPr>
          <w:b/>
          <w:spacing w:val="-12"/>
          <w:sz w:val="20"/>
        </w:rPr>
        <w:t> </w:t>
      </w:r>
      <w:r>
        <w:rPr>
          <w:b/>
          <w:sz w:val="20"/>
        </w:rPr>
        <w:t>LAS</w:t>
      </w:r>
      <w:r>
        <w:rPr>
          <w:b/>
          <w:spacing w:val="-12"/>
          <w:sz w:val="20"/>
        </w:rPr>
        <w:t> </w:t>
      </w:r>
      <w:r>
        <w:rPr>
          <w:b/>
          <w:sz w:val="20"/>
        </w:rPr>
        <w:t>PALMAS</w:t>
      </w:r>
      <w:r>
        <w:rPr>
          <w:b/>
          <w:spacing w:val="-12"/>
          <w:sz w:val="20"/>
        </w:rPr>
        <w:t> </w:t>
      </w:r>
      <w:r>
        <w:rPr>
          <w:b/>
          <w:sz w:val="20"/>
        </w:rPr>
        <w:t>DE</w:t>
      </w:r>
      <w:r>
        <w:rPr>
          <w:b/>
          <w:spacing w:val="-8"/>
          <w:sz w:val="20"/>
        </w:rPr>
        <w:t> </w:t>
      </w:r>
      <w:r>
        <w:rPr>
          <w:b/>
          <w:sz w:val="20"/>
        </w:rPr>
        <w:t>GRAN</w:t>
      </w:r>
      <w:r>
        <w:rPr>
          <w:b/>
          <w:spacing w:val="-12"/>
          <w:sz w:val="20"/>
        </w:rPr>
        <w:t> </w:t>
      </w:r>
      <w:r>
        <w:rPr>
          <w:b/>
          <w:spacing w:val="-2"/>
          <w:sz w:val="20"/>
        </w:rPr>
        <w:t>CANARIA</w:t>
      </w:r>
    </w:p>
    <w:p>
      <w:pPr>
        <w:pStyle w:val="BodyText"/>
        <w:spacing w:before="176"/>
        <w:rPr>
          <w:b/>
          <w:sz w:val="20"/>
        </w:rPr>
      </w:pPr>
    </w:p>
    <w:p>
      <w:pPr>
        <w:spacing w:before="0"/>
        <w:ind w:left="1284" w:right="0" w:firstLine="0"/>
        <w:jc w:val="left"/>
        <w:rPr>
          <w:sz w:val="20"/>
        </w:rPr>
      </w:pPr>
      <w:r>
        <w:rPr>
          <w:spacing w:val="-2"/>
          <w:sz w:val="20"/>
        </w:rPr>
        <w:t>Entidad:</w:t>
      </w:r>
    </w:p>
    <w:p>
      <w:pPr>
        <w:spacing w:before="89"/>
        <w:ind w:left="1284" w:right="0" w:firstLine="0"/>
        <w:jc w:val="left"/>
        <w:rPr>
          <w:b/>
          <w:sz w:val="20"/>
        </w:rPr>
      </w:pPr>
      <w:r>
        <w:rPr>
          <w:b/>
          <w:sz w:val="20"/>
        </w:rPr>
        <w:t>AYTO.</w:t>
      </w:r>
      <w:r>
        <w:rPr>
          <w:b/>
          <w:spacing w:val="-10"/>
          <w:sz w:val="20"/>
        </w:rPr>
        <w:t> </w:t>
      </w:r>
      <w:r>
        <w:rPr>
          <w:b/>
          <w:sz w:val="20"/>
        </w:rPr>
        <w:t>LAS</w:t>
      </w:r>
      <w:r>
        <w:rPr>
          <w:b/>
          <w:spacing w:val="-9"/>
          <w:sz w:val="20"/>
        </w:rPr>
        <w:t> </w:t>
      </w:r>
      <w:r>
        <w:rPr>
          <w:b/>
          <w:sz w:val="20"/>
        </w:rPr>
        <w:t>PALMAS</w:t>
      </w:r>
      <w:r>
        <w:rPr>
          <w:b/>
          <w:spacing w:val="-7"/>
          <w:sz w:val="20"/>
        </w:rPr>
        <w:t> </w:t>
      </w:r>
      <w:r>
        <w:rPr>
          <w:b/>
          <w:sz w:val="20"/>
        </w:rPr>
        <w:t>DE</w:t>
      </w:r>
      <w:r>
        <w:rPr>
          <w:b/>
          <w:spacing w:val="-7"/>
          <w:sz w:val="20"/>
        </w:rPr>
        <w:t> </w:t>
      </w:r>
      <w:r>
        <w:rPr>
          <w:b/>
          <w:sz w:val="20"/>
        </w:rPr>
        <w:t>GRAN</w:t>
      </w:r>
      <w:r>
        <w:rPr>
          <w:b/>
          <w:spacing w:val="-10"/>
          <w:sz w:val="20"/>
        </w:rPr>
        <w:t> </w:t>
      </w:r>
      <w:r>
        <w:rPr>
          <w:b/>
          <w:spacing w:val="-2"/>
          <w:sz w:val="20"/>
        </w:rPr>
        <w:t>CANARIA</w:t>
      </w:r>
    </w:p>
    <w:p>
      <w:pPr>
        <w:pStyle w:val="BodyText"/>
        <w:spacing w:before="179"/>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798272">
                <wp:simplePos x="0" y="0"/>
                <wp:positionH relativeFrom="page">
                  <wp:posOffset>130383</wp:posOffset>
                </wp:positionH>
                <wp:positionV relativeFrom="paragraph">
                  <wp:posOffset>135896</wp:posOffset>
                </wp:positionV>
                <wp:extent cx="138430" cy="2952750"/>
                <wp:effectExtent l="0" t="0" r="0" b="0"/>
                <wp:wrapNone/>
                <wp:docPr id="549" name="Textbox 549"/>
                <wp:cNvGraphicFramePr>
                  <a:graphicFrameLocks/>
                </wp:cNvGraphicFramePr>
                <a:graphic>
                  <a:graphicData uri="http://schemas.microsoft.com/office/word/2010/wordprocessingShape">
                    <wps:wsp>
                      <wps:cNvPr id="549" name="Textbox 549"/>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0.700531pt;width:10.9pt;height:232.5pt;mso-position-horizontal-relative:page;mso-position-vertical-relative:paragraph;z-index:15798272" type="#_x0000_t202" id="docshape465"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sz w:val="20"/>
        </w:rPr>
        <mc:AlternateContent>
          <mc:Choice Requires="wps">
            <w:drawing>
              <wp:anchor distT="0" distB="0" distL="0" distR="0" allowOverlap="1" layoutInCell="1" locked="0" behindDoc="0" simplePos="0" relativeHeight="15799808">
                <wp:simplePos x="0" y="0"/>
                <wp:positionH relativeFrom="page">
                  <wp:posOffset>344030</wp:posOffset>
                </wp:positionH>
                <wp:positionV relativeFrom="paragraph">
                  <wp:posOffset>-82806</wp:posOffset>
                </wp:positionV>
                <wp:extent cx="163830" cy="2851150"/>
                <wp:effectExtent l="0" t="0" r="0" b="0"/>
                <wp:wrapNone/>
                <wp:docPr id="550" name="Graphic 550"/>
                <wp:cNvGraphicFramePr>
                  <a:graphicFrameLocks/>
                </wp:cNvGraphicFramePr>
                <a:graphic>
                  <a:graphicData uri="http://schemas.microsoft.com/office/word/2010/wordprocessingShape">
                    <wps:wsp>
                      <wps:cNvPr id="550" name="Graphic 550"/>
                      <wps:cNvSpPr/>
                      <wps:spPr>
                        <a:xfrm>
                          <a:off x="0" y="0"/>
                          <a:ext cx="163830" cy="2851150"/>
                        </a:xfrm>
                        <a:custGeom>
                          <a:avLst/>
                          <a:gdLst/>
                          <a:ahLst/>
                          <a:cxnLst/>
                          <a:rect l="l" t="t" r="r" b="b"/>
                          <a:pathLst>
                            <a:path w="163830" h="2851150">
                              <a:moveTo>
                                <a:pt x="163258" y="0"/>
                              </a:moveTo>
                              <a:lnTo>
                                <a:pt x="0" y="0"/>
                              </a:lnTo>
                              <a:lnTo>
                                <a:pt x="0" y="2850997"/>
                              </a:lnTo>
                              <a:lnTo>
                                <a:pt x="163258" y="2850997"/>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6.520162pt;width:12.855pt;height:224.488pt;mso-position-horizontal-relative:page;mso-position-vertical-relative:paragraph;z-index:15799808" id="docshape466" filled="true" fillcolor="#000000" stroked="false">
                <v:fill type="solid"/>
                <w10:wrap type="none"/>
              </v:rect>
            </w:pict>
          </mc:Fallback>
        </mc:AlternateContent>
      </w:r>
      <w:r>
        <w:rPr>
          <w:spacing w:val="-2"/>
          <w:sz w:val="20"/>
        </w:rPr>
        <w:t>Periodo:</w:t>
      </w:r>
    </w:p>
    <w:p>
      <w:pPr>
        <w:spacing w:before="87"/>
        <w:ind w:left="1284" w:right="0" w:firstLine="0"/>
        <w:jc w:val="left"/>
        <w:rPr>
          <w:b/>
          <w:sz w:val="20"/>
        </w:rPr>
      </w:pPr>
      <w:r>
        <w:rPr>
          <w:b/>
          <w:spacing w:val="-4"/>
          <w:sz w:val="20"/>
        </w:rPr>
        <w:t>2023-2027</w:t>
      </w:r>
    </w:p>
    <w:p>
      <w:pPr>
        <w:pStyle w:val="BodyText"/>
        <w:spacing w:before="178"/>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3"/>
        <w:rPr>
          <w:sz w:val="7"/>
        </w:rPr>
      </w:pPr>
      <w:r>
        <w:rPr>
          <w:sz w:val="7"/>
        </w:rPr>
        <mc:AlternateContent>
          <mc:Choice Requires="wps">
            <w:drawing>
              <wp:anchor distT="0" distB="0" distL="0" distR="0" allowOverlap="1" layoutInCell="1" locked="0" behindDoc="1" simplePos="0" relativeHeight="487655936">
                <wp:simplePos x="0" y="0"/>
                <wp:positionH relativeFrom="page">
                  <wp:posOffset>892530</wp:posOffset>
                </wp:positionH>
                <wp:positionV relativeFrom="paragraph">
                  <wp:posOffset>68259</wp:posOffset>
                </wp:positionV>
                <wp:extent cx="1974214" cy="145415"/>
                <wp:effectExtent l="0" t="0" r="0" b="0"/>
                <wp:wrapTopAndBottom/>
                <wp:docPr id="551" name="Graphic 551"/>
                <wp:cNvGraphicFramePr>
                  <a:graphicFrameLocks/>
                </wp:cNvGraphicFramePr>
                <a:graphic>
                  <a:graphicData uri="http://schemas.microsoft.com/office/word/2010/wordprocessingShape">
                    <wps:wsp>
                      <wps:cNvPr id="551" name="Graphic 551"/>
                      <wps:cNvSpPr/>
                      <wps:spPr>
                        <a:xfrm>
                          <a:off x="0" y="0"/>
                          <a:ext cx="1974214" cy="145415"/>
                        </a:xfrm>
                        <a:custGeom>
                          <a:avLst/>
                          <a:gdLst/>
                          <a:ahLst/>
                          <a:cxnLst/>
                          <a:rect l="l" t="t" r="r" b="b"/>
                          <a:pathLst>
                            <a:path w="1974214" h="145415">
                              <a:moveTo>
                                <a:pt x="1974088" y="0"/>
                              </a:moveTo>
                              <a:lnTo>
                                <a:pt x="0" y="0"/>
                              </a:lnTo>
                              <a:lnTo>
                                <a:pt x="0" y="145351"/>
                              </a:lnTo>
                              <a:lnTo>
                                <a:pt x="1974088" y="145351"/>
                              </a:lnTo>
                              <a:lnTo>
                                <a:pt x="1974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374737pt;width:155.44pt;height:11.445pt;mso-position-horizontal-relative:page;mso-position-vertical-relative:paragraph;z-index:-15660544;mso-wrap-distance-left:0;mso-wrap-distance-right:0" id="docshape467" filled="true" fillcolor="#000000" stroked="false">
                <v:fill type="solid"/>
                <w10:wrap type="topAndBottom"/>
              </v:rect>
            </w:pict>
          </mc:Fallback>
        </mc:AlternateContent>
      </w:r>
    </w:p>
    <w:p>
      <w:pPr>
        <w:pStyle w:val="BodyText"/>
        <w:spacing w:before="159"/>
        <w:rPr>
          <w:sz w:val="20"/>
        </w:rPr>
      </w:pPr>
    </w:p>
    <w:p>
      <w:pPr>
        <w:spacing w:line="331" w:lineRule="auto" w:before="0"/>
        <w:ind w:left="1284" w:right="496" w:firstLine="0"/>
        <w:jc w:val="left"/>
        <w:rPr>
          <w:sz w:val="20"/>
        </w:rPr>
      </w:pPr>
      <w:r>
        <w:rPr>
          <w:sz w:val="20"/>
        </w:rPr>
        <mc:AlternateContent>
          <mc:Choice Requires="wps">
            <w:drawing>
              <wp:anchor distT="0" distB="0" distL="0" distR="0" allowOverlap="1" layoutInCell="1" locked="0" behindDoc="0" simplePos="0" relativeHeight="15798784">
                <wp:simplePos x="0" y="0"/>
                <wp:positionH relativeFrom="page">
                  <wp:posOffset>244784</wp:posOffset>
                </wp:positionH>
                <wp:positionV relativeFrom="paragraph">
                  <wp:posOffset>131323</wp:posOffset>
                </wp:positionV>
                <wp:extent cx="251460" cy="1744345"/>
                <wp:effectExtent l="0" t="0" r="0" b="0"/>
                <wp:wrapNone/>
                <wp:docPr id="552" name="Textbox 552"/>
                <wp:cNvGraphicFramePr>
                  <a:graphicFrameLocks/>
                </wp:cNvGraphicFramePr>
                <a:graphic>
                  <a:graphicData uri="http://schemas.microsoft.com/office/word/2010/wordprocessingShape">
                    <wps:wsp>
                      <wps:cNvPr id="552" name="Textbox 552"/>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wps:txbx>
                      <wps:bodyPr wrap="square" lIns="0" tIns="0" rIns="0" bIns="0" rtlCol="0" vert="vert270">
                        <a:noAutofit/>
                      </wps:bodyPr>
                    </wps:wsp>
                  </a:graphicData>
                </a:graphic>
              </wp:anchor>
            </w:drawing>
          </mc:Choice>
          <mc:Fallback>
            <w:pict>
              <v:shape style="position:absolute;margin-left:19.274403pt;margin-top:10.340437pt;width:19.8pt;height:137.35pt;mso-position-horizontal-relative:page;mso-position-vertical-relative:paragraph;z-index:15798784" type="#_x0000_t202" id="docshape468"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v:textbox>
                <w10:wrap type="none"/>
              </v:shape>
            </w:pict>
          </mc:Fallback>
        </mc:AlternateContent>
      </w:r>
      <w:r>
        <w:rPr>
          <w:sz w:val="20"/>
        </w:rPr>
        <w:t>En</w:t>
      </w:r>
      <w:r>
        <w:rPr>
          <w:spacing w:val="-5"/>
          <w:sz w:val="20"/>
        </w:rPr>
        <w:t> </w:t>
      </w:r>
      <w:r>
        <w:rPr>
          <w:sz w:val="20"/>
        </w:rPr>
        <w:t>caso</w:t>
      </w:r>
      <w:r>
        <w:rPr>
          <w:spacing w:val="-6"/>
          <w:sz w:val="20"/>
        </w:rPr>
        <w:t> </w:t>
      </w:r>
      <w:r>
        <w:rPr>
          <w:sz w:val="20"/>
        </w:rPr>
        <w:t>de</w:t>
      </w:r>
      <w:r>
        <w:rPr>
          <w:spacing w:val="-3"/>
          <w:sz w:val="20"/>
        </w:rPr>
        <w:t> </w:t>
      </w:r>
      <w:r>
        <w:rPr>
          <w:sz w:val="20"/>
        </w:rPr>
        <w:t>que</w:t>
      </w:r>
      <w:r>
        <w:rPr>
          <w:spacing w:val="-5"/>
          <w:sz w:val="20"/>
        </w:rPr>
        <w:t> </w:t>
      </w:r>
      <w:r>
        <w:rPr>
          <w:sz w:val="20"/>
        </w:rPr>
        <w:t>el</w:t>
      </w:r>
      <w:r>
        <w:rPr>
          <w:spacing w:val="-7"/>
          <w:sz w:val="20"/>
        </w:rPr>
        <w:t> </w:t>
      </w:r>
      <w:r>
        <w:rPr>
          <w:sz w:val="20"/>
        </w:rPr>
        <w:t>Presidente/Expresidente</w:t>
      </w:r>
      <w:r>
        <w:rPr>
          <w:spacing w:val="-5"/>
          <w:sz w:val="20"/>
        </w:rPr>
        <w:t> </w:t>
      </w:r>
      <w:r>
        <w:rPr>
          <w:sz w:val="20"/>
        </w:rPr>
        <w:t>de</w:t>
      </w:r>
      <w:r>
        <w:rPr>
          <w:spacing w:val="-5"/>
          <w:sz w:val="20"/>
        </w:rPr>
        <w:t> </w:t>
      </w:r>
      <w:r>
        <w:rPr>
          <w:sz w:val="20"/>
        </w:rPr>
        <w:t>la</w:t>
      </w:r>
      <w:r>
        <w:rPr>
          <w:spacing w:val="-3"/>
          <w:sz w:val="20"/>
        </w:rPr>
        <w:t> </w:t>
      </w:r>
      <w:r>
        <w:rPr>
          <w:sz w:val="20"/>
        </w:rPr>
        <w:t>entidad</w:t>
      </w:r>
      <w:r>
        <w:rPr>
          <w:spacing w:val="-1"/>
          <w:sz w:val="20"/>
        </w:rPr>
        <w:t> </w:t>
      </w:r>
      <w:r>
        <w:rPr>
          <w:sz w:val="20"/>
        </w:rPr>
        <w:t>no</w:t>
      </w:r>
      <w:r>
        <w:rPr>
          <w:spacing w:val="-5"/>
          <w:sz w:val="20"/>
        </w:rPr>
        <w:t> </w:t>
      </w:r>
      <w:r>
        <w:rPr>
          <w:sz w:val="20"/>
        </w:rPr>
        <w:t>sea</w:t>
      </w:r>
      <w:r>
        <w:rPr>
          <w:spacing w:val="-3"/>
          <w:sz w:val="20"/>
        </w:rPr>
        <w:t> </w:t>
      </w:r>
      <w:r>
        <w:rPr>
          <w:sz w:val="20"/>
        </w:rPr>
        <w:t>quien</w:t>
      </w:r>
      <w:r>
        <w:rPr>
          <w:spacing w:val="-5"/>
          <w:sz w:val="20"/>
        </w:rPr>
        <w:t> </w:t>
      </w:r>
      <w:r>
        <w:rPr>
          <w:sz w:val="20"/>
        </w:rPr>
        <w:t>vaya</w:t>
      </w:r>
      <w:r>
        <w:rPr>
          <w:spacing w:val="-4"/>
          <w:sz w:val="20"/>
        </w:rPr>
        <w:t> </w:t>
      </w:r>
      <w:r>
        <w:rPr>
          <w:sz w:val="20"/>
        </w:rPr>
        <w:t>a</w:t>
      </w:r>
      <w:r>
        <w:rPr>
          <w:spacing w:val="-5"/>
          <w:sz w:val="20"/>
        </w:rPr>
        <w:t> </w:t>
      </w:r>
      <w:r>
        <w:rPr>
          <w:sz w:val="20"/>
        </w:rPr>
        <w:t>firmar</w:t>
      </w:r>
      <w:r>
        <w:rPr>
          <w:spacing w:val="-5"/>
          <w:sz w:val="20"/>
        </w:rPr>
        <w:t> </w:t>
      </w:r>
      <w:r>
        <w:rPr>
          <w:sz w:val="20"/>
        </w:rPr>
        <w:t>el</w:t>
      </w:r>
      <w:r>
        <w:rPr>
          <w:spacing w:val="-5"/>
          <w:sz w:val="20"/>
        </w:rPr>
        <w:t> </w:t>
      </w:r>
      <w:r>
        <w:rPr>
          <w:sz w:val="20"/>
        </w:rPr>
        <w:t>envío</w:t>
      </w:r>
      <w:r>
        <w:rPr>
          <w:spacing w:val="-6"/>
          <w:sz w:val="20"/>
        </w:rPr>
        <w:t> </w:t>
      </w:r>
      <w:r>
        <w:rPr>
          <w:sz w:val="20"/>
        </w:rPr>
        <w:t>telemático</w:t>
      </w:r>
      <w:r>
        <w:rPr>
          <w:spacing w:val="-6"/>
          <w:sz w:val="20"/>
        </w:rPr>
        <w:t> </w:t>
      </w:r>
      <w:r>
        <w:rPr>
          <w:sz w:val="20"/>
        </w:rPr>
        <w:t>de</w:t>
      </w:r>
      <w:r>
        <w:rPr>
          <w:spacing w:val="-5"/>
          <w:sz w:val="20"/>
        </w:rPr>
        <w:t> </w:t>
      </w:r>
      <w:r>
        <w:rPr>
          <w:sz w:val="20"/>
        </w:rPr>
        <w:t>las alegaciones marque "No" y cumplimente la información identificativa del representante. En otro caso marque </w:t>
      </w:r>
      <w:r>
        <w:rPr>
          <w:spacing w:val="-2"/>
          <w:sz w:val="20"/>
        </w:rPr>
        <w:t>"Sí".</w:t>
      </w:r>
    </w:p>
    <w:p>
      <w:pPr>
        <w:spacing w:before="3"/>
        <w:ind w:left="1284" w:right="0" w:firstLine="0"/>
        <w:jc w:val="left"/>
        <w:rPr>
          <w:b/>
          <w:sz w:val="20"/>
        </w:rPr>
      </w:pPr>
      <w:r>
        <w:rPr>
          <w:b/>
          <w:spacing w:val="-5"/>
          <w:sz w:val="20"/>
        </w:rPr>
        <w:t>No</w:t>
      </w:r>
    </w:p>
    <w:p>
      <w:pPr>
        <w:pStyle w:val="BodyText"/>
        <w:rPr>
          <w:b/>
          <w:sz w:val="20"/>
        </w:rPr>
      </w:pPr>
    </w:p>
    <w:p>
      <w:pPr>
        <w:pStyle w:val="BodyText"/>
        <w:rPr>
          <w:b/>
          <w:sz w:val="20"/>
        </w:rPr>
      </w:pPr>
    </w:p>
    <w:p>
      <w:pPr>
        <w:pStyle w:val="BodyText"/>
        <w:spacing w:before="35"/>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656448">
                <wp:simplePos x="0" y="0"/>
                <wp:positionH relativeFrom="page">
                  <wp:posOffset>905255</wp:posOffset>
                </wp:positionH>
                <wp:positionV relativeFrom="paragraph">
                  <wp:posOffset>161987</wp:posOffset>
                </wp:positionV>
                <wp:extent cx="3141345" cy="1270"/>
                <wp:effectExtent l="0" t="0" r="0" b="0"/>
                <wp:wrapTopAndBottom/>
                <wp:docPr id="553" name="Graphic 553"/>
                <wp:cNvGraphicFramePr>
                  <a:graphicFrameLocks/>
                </wp:cNvGraphicFramePr>
                <a:graphic>
                  <a:graphicData uri="http://schemas.microsoft.com/office/word/2010/wordprocessingShape">
                    <wps:wsp>
                      <wps:cNvPr id="553" name="Graphic 553"/>
                      <wps:cNvSpPr/>
                      <wps:spPr>
                        <a:xfrm>
                          <a:off x="0" y="0"/>
                          <a:ext cx="3141345" cy="1270"/>
                        </a:xfrm>
                        <a:custGeom>
                          <a:avLst/>
                          <a:gdLst/>
                          <a:ahLst/>
                          <a:cxnLst/>
                          <a:rect l="l" t="t" r="r" b="b"/>
                          <a:pathLst>
                            <a:path w="3141345" h="0">
                              <a:moveTo>
                                <a:pt x="0" y="0"/>
                              </a:moveTo>
                              <a:lnTo>
                                <a:pt x="3140963"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754926pt;width:247.35pt;height:.1pt;mso-position-horizontal-relative:page;mso-position-vertical-relative:paragraph;z-index:-15660032;mso-wrap-distance-left:0;mso-wrap-distance-right:0" id="docshape469" coordorigin="1426,255" coordsize="4947,0" path="m1426,255l6372,255e" filled="false" stroked="true" strokeweight=".72pt" strokecolor="#000000">
                <v:path arrowok="t"/>
                <v:stroke dashstyle="solid"/>
                <w10:wrap type="topAndBottom"/>
              </v:shape>
            </w:pict>
          </mc:Fallback>
        </mc:AlternateContent>
      </w:r>
      <w:r>
        <w:rPr>
          <w:b/>
          <w:sz w:val="20"/>
        </w:rPr>
        <w:t>Identificación</w:t>
      </w:r>
      <w:r>
        <w:rPr>
          <w:b/>
          <w:spacing w:val="-12"/>
          <w:sz w:val="20"/>
        </w:rPr>
        <w:t> </w:t>
      </w:r>
      <w:r>
        <w:rPr>
          <w:b/>
          <w:sz w:val="20"/>
        </w:rPr>
        <w:t>de</w:t>
      </w:r>
      <w:r>
        <w:rPr>
          <w:b/>
          <w:spacing w:val="-10"/>
          <w:sz w:val="20"/>
        </w:rPr>
        <w:t> </w:t>
      </w:r>
      <w:r>
        <w:rPr>
          <w:b/>
          <w:sz w:val="20"/>
        </w:rPr>
        <w:t>la</w:t>
      </w:r>
      <w:r>
        <w:rPr>
          <w:b/>
          <w:spacing w:val="-10"/>
          <w:sz w:val="20"/>
        </w:rPr>
        <w:t> </w:t>
      </w:r>
      <w:r>
        <w:rPr>
          <w:b/>
          <w:sz w:val="20"/>
        </w:rPr>
        <w:t>persona</w:t>
      </w:r>
      <w:r>
        <w:rPr>
          <w:b/>
          <w:spacing w:val="-11"/>
          <w:sz w:val="20"/>
        </w:rPr>
        <w:t> </w:t>
      </w:r>
      <w:r>
        <w:rPr>
          <w:b/>
          <w:sz w:val="20"/>
        </w:rPr>
        <w:t>autorizada</w:t>
      </w:r>
      <w:r>
        <w:rPr>
          <w:b/>
          <w:spacing w:val="-10"/>
          <w:sz w:val="20"/>
        </w:rPr>
        <w:t> </w:t>
      </w:r>
      <w:r>
        <w:rPr>
          <w:b/>
          <w:sz w:val="20"/>
        </w:rPr>
        <w:t>para</w:t>
      </w:r>
      <w:r>
        <w:rPr>
          <w:b/>
          <w:spacing w:val="-11"/>
          <w:sz w:val="20"/>
        </w:rPr>
        <w:t> </w:t>
      </w:r>
      <w:r>
        <w:rPr>
          <w:b/>
          <w:sz w:val="20"/>
        </w:rPr>
        <w:t>el</w:t>
      </w:r>
      <w:r>
        <w:rPr>
          <w:b/>
          <w:spacing w:val="-10"/>
          <w:sz w:val="20"/>
        </w:rPr>
        <w:t> </w:t>
      </w:r>
      <w:r>
        <w:rPr>
          <w:b/>
          <w:spacing w:val="-2"/>
          <w:sz w:val="20"/>
        </w:rPr>
        <w:t>envío</w:t>
      </w:r>
    </w:p>
    <w:p>
      <w:pPr>
        <w:pStyle w:val="BodyText"/>
        <w:spacing w:before="146"/>
        <w:rPr>
          <w:b/>
          <w:sz w:val="20"/>
        </w:rPr>
      </w:pPr>
    </w:p>
    <w:p>
      <w:pPr>
        <w:spacing w:before="0"/>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7"/>
        <w:ind w:left="1284" w:right="0" w:firstLine="0"/>
        <w:jc w:val="left"/>
        <w:rPr>
          <w:b/>
          <w:sz w:val="20"/>
        </w:rPr>
      </w:pPr>
      <w:r>
        <w:rPr>
          <w:b/>
          <w:spacing w:val="-2"/>
          <w:sz w:val="20"/>
        </w:rPr>
        <w:t>HUGO</w:t>
      </w:r>
      <w:r>
        <w:rPr>
          <w:b/>
          <w:spacing w:val="-1"/>
          <w:sz w:val="20"/>
        </w:rPr>
        <w:t> </w:t>
      </w:r>
      <w:r>
        <w:rPr>
          <w:b/>
          <w:spacing w:val="-2"/>
          <w:sz w:val="20"/>
        </w:rPr>
        <w:t>RAMÍREZ</w:t>
      </w:r>
      <w:r>
        <w:rPr>
          <w:b/>
          <w:spacing w:val="-6"/>
          <w:sz w:val="20"/>
        </w:rPr>
        <w:t> </w:t>
      </w:r>
      <w:r>
        <w:rPr>
          <w:b/>
          <w:spacing w:val="-2"/>
          <w:sz w:val="20"/>
        </w:rPr>
        <w:t>LORENZO</w:t>
      </w:r>
    </w:p>
    <w:p>
      <w:pPr>
        <w:spacing w:after="0"/>
        <w:jc w:val="left"/>
        <w:rPr>
          <w:b/>
          <w:sz w:val="20"/>
        </w:rPr>
        <w:sectPr>
          <w:headerReference w:type="even" r:id="rId161"/>
          <w:headerReference w:type="default" r:id="rId162"/>
          <w:footerReference w:type="even" r:id="rId163"/>
          <w:pgSz w:w="11910" w:h="16840"/>
          <w:pgMar w:header="314" w:footer="853" w:top="1240" w:bottom="1040" w:left="141" w:right="141"/>
          <w:pgNumType w:start="4"/>
        </w:sectPr>
      </w:pPr>
    </w:p>
    <w:p>
      <w:pPr>
        <w:pStyle w:val="BodyText"/>
        <w:rPr>
          <w:b/>
          <w:sz w:val="20"/>
        </w:rPr>
      </w:pPr>
    </w:p>
    <w:p>
      <w:pPr>
        <w:pStyle w:val="BodyText"/>
        <w:spacing w:before="82"/>
        <w:rPr>
          <w:b/>
          <w:sz w:val="20"/>
        </w:rPr>
      </w:pPr>
    </w:p>
    <w:p>
      <w:pPr>
        <w:spacing w:line="187" w:lineRule="exact"/>
        <w:ind w:left="1264" w:right="0" w:firstLine="0"/>
        <w:rPr>
          <w:position w:val="-3"/>
          <w:sz w:val="18"/>
        </w:rPr>
      </w:pPr>
      <w:r>
        <w:rPr>
          <w:position w:val="-3"/>
          <w:sz w:val="18"/>
        </w:rPr>
        <mc:AlternateContent>
          <mc:Choice Requires="wps">
            <w:drawing>
              <wp:inline distT="0" distB="0" distL="0" distR="0">
                <wp:extent cx="664210" cy="119380"/>
                <wp:effectExtent l="0" t="0" r="0" b="0"/>
                <wp:docPr id="558" name="Group 558"/>
                <wp:cNvGraphicFramePr>
                  <a:graphicFrameLocks/>
                </wp:cNvGraphicFramePr>
                <a:graphic>
                  <a:graphicData uri="http://schemas.microsoft.com/office/word/2010/wordprocessingGroup">
                    <wpg:wgp>
                      <wpg:cNvPr id="558" name="Group 558"/>
                      <wpg:cNvGrpSpPr/>
                      <wpg:grpSpPr>
                        <a:xfrm>
                          <a:off x="0" y="0"/>
                          <a:ext cx="664210" cy="119380"/>
                          <a:chExt cx="664210" cy="119380"/>
                        </a:xfrm>
                      </wpg:grpSpPr>
                      <wps:wsp>
                        <wps:cNvPr id="559" name="Graphic 559"/>
                        <wps:cNvSpPr/>
                        <wps:spPr>
                          <a:xfrm>
                            <a:off x="0" y="0"/>
                            <a:ext cx="664210" cy="119380"/>
                          </a:xfrm>
                          <a:custGeom>
                            <a:avLst/>
                            <a:gdLst/>
                            <a:ahLst/>
                            <a:cxnLst/>
                            <a:rect l="l" t="t" r="r" b="b"/>
                            <a:pathLst>
                              <a:path w="664210" h="119380">
                                <a:moveTo>
                                  <a:pt x="663917" y="0"/>
                                </a:moveTo>
                                <a:lnTo>
                                  <a:pt x="0" y="0"/>
                                </a:lnTo>
                                <a:lnTo>
                                  <a:pt x="0" y="119189"/>
                                </a:lnTo>
                                <a:lnTo>
                                  <a:pt x="663917" y="119189"/>
                                </a:lnTo>
                                <a:lnTo>
                                  <a:pt x="66391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2.3pt;height:9.4pt;mso-position-horizontal-relative:char;mso-position-vertical-relative:line" id="docshapegroup472" coordorigin="0,0" coordsize="1046,188">
                <v:rect style="position:absolute;left:0;top:0;width:1046;height:188" id="docshape473" filled="true" fillcolor="#000000" stroked="false">
                  <v:fill type="solid"/>
                </v:rect>
              </v:group>
            </w:pict>
          </mc:Fallback>
        </mc:AlternateContent>
      </w:r>
      <w:r>
        <w:rPr>
          <w:position w:val="-3"/>
          <w:sz w:val="18"/>
        </w:rPr>
      </w:r>
    </w:p>
    <w:p>
      <w:pPr>
        <w:pStyle w:val="BodyText"/>
        <w:spacing w:before="199"/>
        <w:rPr>
          <w:b/>
          <w:sz w:val="20"/>
        </w:rPr>
      </w:pPr>
    </w:p>
    <w:p>
      <w:pPr>
        <w:spacing w:before="0"/>
        <w:ind w:left="1284" w:right="0" w:firstLine="0"/>
        <w:jc w:val="left"/>
        <w:rPr>
          <w:sz w:val="20"/>
        </w:rPr>
      </w:pPr>
      <w:r>
        <w:rPr>
          <w:spacing w:val="-2"/>
          <w:sz w:val="20"/>
        </w:rPr>
        <w:t>Cargo:</w:t>
      </w:r>
    </w:p>
    <w:p>
      <w:pPr>
        <w:spacing w:before="87"/>
        <w:ind w:left="1284" w:right="0" w:firstLine="0"/>
        <w:jc w:val="left"/>
        <w:rPr>
          <w:b/>
          <w:sz w:val="20"/>
        </w:rPr>
      </w:pPr>
      <w:r>
        <w:rPr>
          <w:b/>
          <w:spacing w:val="-2"/>
          <w:sz w:val="20"/>
        </w:rPr>
        <w:t>TÉCNICO</w:t>
      </w:r>
      <w:r>
        <w:rPr>
          <w:b/>
          <w:spacing w:val="2"/>
          <w:sz w:val="20"/>
        </w:rPr>
        <w:t> </w:t>
      </w:r>
      <w:r>
        <w:rPr>
          <w:b/>
          <w:spacing w:val="-2"/>
          <w:sz w:val="20"/>
        </w:rPr>
        <w:t>SUPERIOR DE</w:t>
      </w:r>
      <w:r>
        <w:rPr>
          <w:b/>
          <w:sz w:val="20"/>
        </w:rPr>
        <w:t> </w:t>
      </w:r>
      <w:r>
        <w:rPr>
          <w:b/>
          <w:spacing w:val="-2"/>
          <w:sz w:val="20"/>
        </w:rPr>
        <w:t>ADMINISTRACIÓN</w:t>
      </w:r>
      <w:r>
        <w:rPr>
          <w:b/>
          <w:spacing w:val="-1"/>
          <w:sz w:val="20"/>
        </w:rPr>
        <w:t> </w:t>
      </w:r>
      <w:r>
        <w:rPr>
          <w:b/>
          <w:spacing w:val="-2"/>
          <w:sz w:val="20"/>
        </w:rPr>
        <w:t>GENERAL</w:t>
      </w:r>
    </w:p>
    <w:p>
      <w:pPr>
        <w:pStyle w:val="BodyText"/>
        <w:spacing w:before="178"/>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5"/>
        <w:rPr>
          <w:sz w:val="7"/>
        </w:rPr>
      </w:pPr>
      <w:r>
        <w:rPr>
          <w:sz w:val="7"/>
        </w:rPr>
        <mc:AlternateContent>
          <mc:Choice Requires="wps">
            <w:drawing>
              <wp:anchor distT="0" distB="0" distL="0" distR="0" allowOverlap="1" layoutInCell="1" locked="0" behindDoc="1" simplePos="0" relativeHeight="487660032">
                <wp:simplePos x="0" y="0"/>
                <wp:positionH relativeFrom="page">
                  <wp:posOffset>892530</wp:posOffset>
                </wp:positionH>
                <wp:positionV relativeFrom="paragraph">
                  <wp:posOffset>69772</wp:posOffset>
                </wp:positionV>
                <wp:extent cx="1609725" cy="145415"/>
                <wp:effectExtent l="0" t="0" r="0" b="0"/>
                <wp:wrapTopAndBottom/>
                <wp:docPr id="560" name="Graphic 560"/>
                <wp:cNvGraphicFramePr>
                  <a:graphicFrameLocks/>
                </wp:cNvGraphicFramePr>
                <a:graphic>
                  <a:graphicData uri="http://schemas.microsoft.com/office/word/2010/wordprocessingShape">
                    <wps:wsp>
                      <wps:cNvPr id="560" name="Graphic 560"/>
                      <wps:cNvSpPr/>
                      <wps:spPr>
                        <a:xfrm>
                          <a:off x="0" y="0"/>
                          <a:ext cx="1609725" cy="145415"/>
                        </a:xfrm>
                        <a:custGeom>
                          <a:avLst/>
                          <a:gdLst/>
                          <a:ahLst/>
                          <a:cxnLst/>
                          <a:rect l="l" t="t" r="r" b="b"/>
                          <a:pathLst>
                            <a:path w="1609725" h="145415">
                              <a:moveTo>
                                <a:pt x="1609382" y="0"/>
                              </a:moveTo>
                              <a:lnTo>
                                <a:pt x="0" y="0"/>
                              </a:lnTo>
                              <a:lnTo>
                                <a:pt x="0" y="145351"/>
                              </a:lnTo>
                              <a:lnTo>
                                <a:pt x="1609382" y="145351"/>
                              </a:lnTo>
                              <a:lnTo>
                                <a:pt x="160938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493867pt;width:126.723pt;height:11.445pt;mso-position-horizontal-relative:page;mso-position-vertical-relative:paragraph;z-index:-15656448;mso-wrap-distance-left:0;mso-wrap-distance-right:0" id="docshape474" filled="true" fillcolor="#000000" stroked="false">
                <v:fill type="solid"/>
                <w10:wrap type="topAndBottom"/>
              </v:rect>
            </w:pict>
          </mc:Fallback>
        </mc:AlternateContent>
      </w:r>
    </w:p>
    <w:p>
      <w:pPr>
        <w:pStyle w:val="BodyText"/>
        <w:spacing w:before="156"/>
        <w:rPr>
          <w:sz w:val="20"/>
        </w:rPr>
      </w:pPr>
    </w:p>
    <w:p>
      <w:pPr>
        <w:spacing w:before="0"/>
        <w:ind w:left="1284" w:right="0" w:firstLine="0"/>
        <w:jc w:val="left"/>
        <w:rPr>
          <w:sz w:val="20"/>
        </w:rPr>
      </w:pPr>
      <w:r>
        <w:rPr>
          <w:sz w:val="20"/>
        </w:rPr>
        <w:t>Anexos</w:t>
      </w:r>
      <w:r>
        <w:rPr>
          <w:spacing w:val="-7"/>
          <w:sz w:val="20"/>
        </w:rPr>
        <w:t> </w:t>
      </w:r>
      <w:r>
        <w:rPr>
          <w:sz w:val="20"/>
        </w:rPr>
        <w:t>de</w:t>
      </w:r>
      <w:r>
        <w:rPr>
          <w:spacing w:val="-3"/>
          <w:sz w:val="20"/>
        </w:rPr>
        <w:t> </w:t>
      </w:r>
      <w:r>
        <w:rPr>
          <w:sz w:val="20"/>
        </w:rPr>
        <w:t>la</w:t>
      </w:r>
      <w:r>
        <w:rPr>
          <w:spacing w:val="-6"/>
          <w:sz w:val="20"/>
        </w:rPr>
        <w:t> </w:t>
      </w:r>
      <w:r>
        <w:rPr>
          <w:spacing w:val="-2"/>
          <w:sz w:val="20"/>
        </w:rPr>
        <w:t>sección:</w:t>
      </w:r>
    </w:p>
    <w:p>
      <w:pPr>
        <w:spacing w:before="90"/>
        <w:ind w:left="1284" w:right="0" w:firstLine="0"/>
        <w:jc w:val="left"/>
        <w:rPr>
          <w:b/>
          <w:sz w:val="20"/>
        </w:rPr>
      </w:pPr>
      <w:r>
        <w:rPr>
          <w:b/>
          <w:spacing w:val="-2"/>
          <w:sz w:val="20"/>
        </w:rPr>
        <w:t>Nombre:</w:t>
      </w:r>
      <w:r>
        <w:rPr>
          <w:b/>
          <w:spacing w:val="2"/>
          <w:sz w:val="20"/>
        </w:rPr>
        <w:t> </w:t>
      </w:r>
      <w:r>
        <w:rPr>
          <w:b/>
          <w:spacing w:val="-2"/>
          <w:sz w:val="20"/>
        </w:rPr>
        <w:t>Modelo</w:t>
      </w:r>
      <w:r>
        <w:rPr>
          <w:b/>
          <w:sz w:val="20"/>
        </w:rPr>
        <w:t> </w:t>
      </w:r>
      <w:r>
        <w:rPr>
          <w:b/>
          <w:spacing w:val="-2"/>
          <w:sz w:val="20"/>
        </w:rPr>
        <w:t>autorizacion</w:t>
      </w:r>
      <w:r>
        <w:rPr>
          <w:b/>
          <w:spacing w:val="4"/>
          <w:sz w:val="20"/>
        </w:rPr>
        <w:t> </w:t>
      </w:r>
      <w:r>
        <w:rPr>
          <w:b/>
          <w:spacing w:val="-2"/>
          <w:sz w:val="20"/>
        </w:rPr>
        <w:t>completada</w:t>
      </w:r>
      <w:r>
        <w:rPr>
          <w:b/>
          <w:sz w:val="20"/>
        </w:rPr>
        <w:t> </w:t>
      </w:r>
      <w:r>
        <w:rPr>
          <w:b/>
          <w:spacing w:val="-2"/>
          <w:sz w:val="20"/>
        </w:rPr>
        <w:t>TCu.report.pdf,</w:t>
      </w:r>
      <w:r>
        <w:rPr>
          <w:b/>
          <w:spacing w:val="1"/>
          <w:sz w:val="20"/>
        </w:rPr>
        <w:t> </w:t>
      </w:r>
      <w:r>
        <w:rPr>
          <w:b/>
          <w:spacing w:val="-2"/>
          <w:sz w:val="20"/>
        </w:rPr>
        <w:t>Hash:</w:t>
      </w:r>
      <w:r>
        <w:rPr>
          <w:b/>
          <w:sz w:val="20"/>
        </w:rPr>
        <w:t> </w:t>
      </w:r>
      <w:r>
        <w:rPr>
          <w:b/>
          <w:spacing w:val="-2"/>
          <w:sz w:val="20"/>
        </w:rPr>
        <w:t>iLjw4YMSGtg2D0tvLccgTg==</w:t>
      </w:r>
    </w:p>
    <w:p>
      <w:pPr>
        <w:pStyle w:val="BodyText"/>
        <w:spacing w:before="175"/>
        <w:rPr>
          <w:b/>
          <w:sz w:val="20"/>
        </w:rPr>
      </w:pPr>
    </w:p>
    <w:p>
      <w:pPr>
        <w:spacing w:before="1"/>
        <w:ind w:left="4663" w:right="0" w:firstLine="0"/>
        <w:jc w:val="left"/>
        <w:rPr>
          <w:b/>
          <w:sz w:val="20"/>
        </w:rPr>
      </w:pPr>
      <w:r>
        <w:rPr>
          <w:b/>
          <w:sz w:val="20"/>
        </w:rPr>
        <w:t>FORMULARIO</w:t>
      </w:r>
      <w:r>
        <w:rPr>
          <w:b/>
          <w:spacing w:val="-14"/>
          <w:sz w:val="20"/>
        </w:rPr>
        <w:t> </w:t>
      </w:r>
      <w:r>
        <w:rPr>
          <w:b/>
          <w:sz w:val="20"/>
        </w:rPr>
        <w:t>2:</w:t>
      </w:r>
      <w:r>
        <w:rPr>
          <w:b/>
          <w:spacing w:val="-14"/>
          <w:sz w:val="20"/>
        </w:rPr>
        <w:t> </w:t>
      </w:r>
      <w:r>
        <w:rPr>
          <w:b/>
          <w:spacing w:val="-2"/>
          <w:sz w:val="20"/>
        </w:rPr>
        <w:t>ALEGACIONES</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660544">
                <wp:simplePos x="0" y="0"/>
                <wp:positionH relativeFrom="page">
                  <wp:posOffset>905255</wp:posOffset>
                </wp:positionH>
                <wp:positionV relativeFrom="paragraph">
                  <wp:posOffset>160170</wp:posOffset>
                </wp:positionV>
                <wp:extent cx="1714500" cy="1270"/>
                <wp:effectExtent l="0" t="0" r="0" b="0"/>
                <wp:wrapTopAndBottom/>
                <wp:docPr id="561" name="Graphic 561"/>
                <wp:cNvGraphicFramePr>
                  <a:graphicFrameLocks/>
                </wp:cNvGraphicFramePr>
                <a:graphic>
                  <a:graphicData uri="http://schemas.microsoft.com/office/word/2010/wordprocessingShape">
                    <wps:wsp>
                      <wps:cNvPr id="561" name="Graphic 561"/>
                      <wps:cNvSpPr/>
                      <wps:spPr>
                        <a:xfrm>
                          <a:off x="0" y="0"/>
                          <a:ext cx="1714500" cy="1270"/>
                        </a:xfrm>
                        <a:custGeom>
                          <a:avLst/>
                          <a:gdLst/>
                          <a:ahLst/>
                          <a:cxnLst/>
                          <a:rect l="l" t="t" r="r" b="b"/>
                          <a:pathLst>
                            <a:path w="1714500" h="0">
                              <a:moveTo>
                                <a:pt x="0" y="0"/>
                              </a:moveTo>
                              <a:lnTo>
                                <a:pt x="1714499"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11859pt;width:135pt;height:.1pt;mso-position-horizontal-relative:page;mso-position-vertical-relative:paragraph;z-index:-15655936;mso-wrap-distance-left:0;mso-wrap-distance-right:0" id="docshape475" coordorigin="1426,252" coordsize="2700,0" path="m1426,252l4126,252e" filled="false" stroked="true" strokeweight=".72pt" strokecolor="#000000">
                <v:path arrowok="t"/>
                <v:stroke dashstyle="solid"/>
                <w10:wrap type="topAndBottom"/>
              </v:shape>
            </w:pict>
          </mc:Fallback>
        </mc:AlternateContent>
      </w:r>
      <w:r>
        <w:rPr>
          <w:b/>
          <w:sz w:val="20"/>
        </w:rPr>
        <w:t>Alegaciones</w:t>
      </w:r>
      <w:r>
        <w:rPr>
          <w:b/>
          <w:spacing w:val="-13"/>
          <w:sz w:val="20"/>
        </w:rPr>
        <w:t> </w:t>
      </w:r>
      <w:r>
        <w:rPr>
          <w:b/>
          <w:sz w:val="20"/>
        </w:rPr>
        <w:t>al</w:t>
      </w:r>
      <w:r>
        <w:rPr>
          <w:b/>
          <w:spacing w:val="-12"/>
          <w:sz w:val="20"/>
        </w:rPr>
        <w:t> </w:t>
      </w:r>
      <w:r>
        <w:rPr>
          <w:b/>
          <w:spacing w:val="-2"/>
          <w:sz w:val="20"/>
        </w:rPr>
        <w:t>anteproyecto</w:t>
      </w:r>
    </w:p>
    <w:p>
      <w:pPr>
        <w:pStyle w:val="BodyText"/>
        <w:spacing w:before="146"/>
        <w:rPr>
          <w:b/>
          <w:sz w:val="20"/>
        </w:rPr>
      </w:pPr>
    </w:p>
    <w:p>
      <w:pPr>
        <w:spacing w:before="1"/>
        <w:ind w:left="1284" w:right="0" w:firstLine="0"/>
        <w:jc w:val="left"/>
        <w:rPr>
          <w:i/>
          <w:sz w:val="20"/>
        </w:rPr>
      </w:pPr>
      <w:r>
        <w:rPr>
          <w:i/>
          <w:sz w:val="20"/>
        </w:rPr>
        <w:t>Grupo</w:t>
      </w:r>
      <w:r>
        <w:rPr>
          <w:i/>
          <w:spacing w:val="-5"/>
          <w:sz w:val="20"/>
        </w:rPr>
        <w:t> </w:t>
      </w:r>
      <w:r>
        <w:rPr>
          <w:i/>
          <w:sz w:val="20"/>
        </w:rPr>
        <w:t>1</w:t>
      </w:r>
      <w:r>
        <w:rPr>
          <w:i/>
          <w:spacing w:val="-5"/>
          <w:sz w:val="20"/>
        </w:rPr>
        <w:t> </w:t>
      </w:r>
      <w:r>
        <w:rPr>
          <w:i/>
          <w:sz w:val="20"/>
        </w:rPr>
        <w:t>de</w:t>
      </w:r>
      <w:r>
        <w:rPr>
          <w:i/>
          <w:spacing w:val="-5"/>
          <w:sz w:val="20"/>
        </w:rPr>
        <w:t> </w:t>
      </w:r>
      <w:r>
        <w:rPr>
          <w:i/>
          <w:spacing w:val="-12"/>
          <w:sz w:val="20"/>
        </w:rPr>
        <w:t>2</w:t>
      </w:r>
    </w:p>
    <w:p>
      <w:pPr>
        <w:pStyle w:val="BodyText"/>
        <w:spacing w:before="175"/>
        <w:rPr>
          <w:i/>
          <w:sz w:val="20"/>
        </w:rPr>
      </w:pPr>
    </w:p>
    <w:p>
      <w:pPr>
        <w:spacing w:before="1"/>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z w:val="20"/>
        </w:rPr>
        <mc:AlternateContent>
          <mc:Choice Requires="wps">
            <w:drawing>
              <wp:anchor distT="0" distB="0" distL="0" distR="0" allowOverlap="1" layoutInCell="1" locked="0" behindDoc="0" simplePos="0" relativeHeight="15802880">
                <wp:simplePos x="0" y="0"/>
                <wp:positionH relativeFrom="page">
                  <wp:posOffset>244784</wp:posOffset>
                </wp:positionH>
                <wp:positionV relativeFrom="paragraph">
                  <wp:posOffset>164490</wp:posOffset>
                </wp:positionV>
                <wp:extent cx="138430" cy="2155190"/>
                <wp:effectExtent l="0" t="0" r="0" b="0"/>
                <wp:wrapNone/>
                <wp:docPr id="562" name="Textbox 562"/>
                <wp:cNvGraphicFramePr>
                  <a:graphicFrameLocks/>
                </wp:cNvGraphicFramePr>
                <a:graphic>
                  <a:graphicData uri="http://schemas.microsoft.com/office/word/2010/wordprocessingShape">
                    <wps:wsp>
                      <wps:cNvPr id="562" name="Textbox 562"/>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12.952044pt;width:10.9pt;height:169.7pt;mso-position-horizontal-relative:page;mso-position-vertical-relative:paragraph;z-index:15802880" type="#_x0000_t202" id="docshape476"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pacing w:val="-5"/>
          <w:sz w:val="20"/>
        </w:rPr>
        <w:t>77</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z w:val="20"/>
        </w:rPr>
        <w:t>nº5</w:t>
      </w:r>
      <w:r>
        <w:rPr>
          <w:b/>
          <w:spacing w:val="-4"/>
          <w:sz w:val="20"/>
        </w:rPr>
        <w:t> </w:t>
      </w:r>
      <w:r>
        <w:rPr>
          <w:b/>
          <w:sz w:val="20"/>
        </w:rPr>
        <w:t>y</w:t>
      </w:r>
      <w:r>
        <w:rPr>
          <w:b/>
          <w:spacing w:val="-5"/>
          <w:sz w:val="20"/>
        </w:rPr>
        <w:t> nº6</w:t>
      </w:r>
    </w:p>
    <w:p>
      <w:pPr>
        <w:pStyle w:val="BodyText"/>
        <w:spacing w:before="179"/>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803392">
                <wp:simplePos x="0" y="0"/>
                <wp:positionH relativeFrom="page">
                  <wp:posOffset>344030</wp:posOffset>
                </wp:positionH>
                <wp:positionV relativeFrom="paragraph">
                  <wp:posOffset>119757</wp:posOffset>
                </wp:positionV>
                <wp:extent cx="163830" cy="2851150"/>
                <wp:effectExtent l="0" t="0" r="0" b="0"/>
                <wp:wrapNone/>
                <wp:docPr id="563" name="Graphic 563"/>
                <wp:cNvGraphicFramePr>
                  <a:graphicFrameLocks/>
                </wp:cNvGraphicFramePr>
                <a:graphic>
                  <a:graphicData uri="http://schemas.microsoft.com/office/word/2010/wordprocessingShape">
                    <wps:wsp>
                      <wps:cNvPr id="563" name="Graphic 563"/>
                      <wps:cNvSpPr/>
                      <wps:spPr>
                        <a:xfrm>
                          <a:off x="0" y="0"/>
                          <a:ext cx="163830" cy="2851150"/>
                        </a:xfrm>
                        <a:custGeom>
                          <a:avLst/>
                          <a:gdLst/>
                          <a:ahLst/>
                          <a:cxnLst/>
                          <a:rect l="l" t="t" r="r" b="b"/>
                          <a:pathLst>
                            <a:path w="163830" h="2851150">
                              <a:moveTo>
                                <a:pt x="163258" y="0"/>
                              </a:moveTo>
                              <a:lnTo>
                                <a:pt x="0" y="0"/>
                              </a:lnTo>
                              <a:lnTo>
                                <a:pt x="0" y="2850997"/>
                              </a:lnTo>
                              <a:lnTo>
                                <a:pt x="163258" y="2850997"/>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9.429721pt;width:12.855pt;height:224.488pt;mso-position-horizontal-relative:page;mso-position-vertical-relative:paragraph;z-index:15803392" id="docshape477" filled="true" fillcolor="#000000" stroked="false">
                <v:fill type="solid"/>
                <w10:wrap type="none"/>
              </v:rect>
            </w:pict>
          </mc:Fallback>
        </mc:AlternateContent>
      </w: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496" w:firstLine="0"/>
        <w:jc w:val="left"/>
        <w:rPr>
          <w:b/>
          <w:sz w:val="20"/>
        </w:rPr>
      </w:pPr>
      <w:r>
        <w:rPr>
          <w:b/>
          <w:sz w:val="20"/>
        </w:rPr>
        <mc:AlternateContent>
          <mc:Choice Requires="wps">
            <w:drawing>
              <wp:anchor distT="0" distB="0" distL="0" distR="0" allowOverlap="1" layoutInCell="1" locked="0" behindDoc="0" simplePos="0" relativeHeight="15801856">
                <wp:simplePos x="0" y="0"/>
                <wp:positionH relativeFrom="page">
                  <wp:posOffset>130383</wp:posOffset>
                </wp:positionH>
                <wp:positionV relativeFrom="paragraph">
                  <wp:posOffset>192422</wp:posOffset>
                </wp:positionV>
                <wp:extent cx="138430" cy="2952750"/>
                <wp:effectExtent l="0" t="0" r="0" b="0"/>
                <wp:wrapNone/>
                <wp:docPr id="564" name="Textbox 564"/>
                <wp:cNvGraphicFramePr>
                  <a:graphicFrameLocks/>
                </wp:cNvGraphicFramePr>
                <a:graphic>
                  <a:graphicData uri="http://schemas.microsoft.com/office/word/2010/wordprocessingShape">
                    <wps:wsp>
                      <wps:cNvPr id="564" name="Textbox 564"/>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5.15139pt;width:10.9pt;height:232.5pt;mso-position-horizontal-relative:page;mso-position-vertical-relative:paragraph;z-index:15801856" type="#_x0000_t202" id="docshape478"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802368">
                <wp:simplePos x="0" y="0"/>
                <wp:positionH relativeFrom="page">
                  <wp:posOffset>244784</wp:posOffset>
                </wp:positionH>
                <wp:positionV relativeFrom="paragraph">
                  <wp:posOffset>1400888</wp:posOffset>
                </wp:positionV>
                <wp:extent cx="251460" cy="1744345"/>
                <wp:effectExtent l="0" t="0" r="0" b="0"/>
                <wp:wrapNone/>
                <wp:docPr id="565" name="Textbox 565"/>
                <wp:cNvGraphicFramePr>
                  <a:graphicFrameLocks/>
                </wp:cNvGraphicFramePr>
                <a:graphic>
                  <a:graphicData uri="http://schemas.microsoft.com/office/word/2010/wordprocessingShape">
                    <wps:wsp>
                      <wps:cNvPr id="565" name="Textbox 565"/>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wps:txbx>
                      <wps:bodyPr wrap="square" lIns="0" tIns="0" rIns="0" bIns="0" rtlCol="0" vert="vert270">
                        <a:noAutofit/>
                      </wps:bodyPr>
                    </wps:wsp>
                  </a:graphicData>
                </a:graphic>
              </wp:anchor>
            </w:drawing>
          </mc:Choice>
          <mc:Fallback>
            <w:pict>
              <v:shape style="position:absolute;margin-left:19.274403pt;margin-top:110.306152pt;width:19.8pt;height:137.35pt;mso-position-horizontal-relative:page;mso-position-vertical-relative:paragraph;z-index:15802368" type="#_x0000_t202" id="docshape479"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v:textbox>
                <w10:wrap type="none"/>
              </v:shape>
            </w:pict>
          </mc:Fallback>
        </mc:AlternateContent>
      </w:r>
      <w:r>
        <w:rPr>
          <w:b/>
          <w:sz w:val="20"/>
        </w:rPr>
        <w:t>"Para</w:t>
      </w:r>
      <w:r>
        <w:rPr>
          <w:b/>
          <w:spacing w:val="-2"/>
          <w:sz w:val="20"/>
        </w:rPr>
        <w:t> </w:t>
      </w:r>
      <w:r>
        <w:rPr>
          <w:b/>
          <w:sz w:val="20"/>
        </w:rPr>
        <w:t>llevar</w:t>
      </w:r>
      <w:r>
        <w:rPr>
          <w:b/>
          <w:spacing w:val="-4"/>
          <w:sz w:val="20"/>
        </w:rPr>
        <w:t> </w:t>
      </w:r>
      <w:r>
        <w:rPr>
          <w:b/>
          <w:sz w:val="20"/>
        </w:rPr>
        <w:t>a</w:t>
      </w:r>
      <w:r>
        <w:rPr>
          <w:b/>
          <w:spacing w:val="-2"/>
          <w:sz w:val="20"/>
        </w:rPr>
        <w:t> </w:t>
      </w:r>
      <w:r>
        <w:rPr>
          <w:b/>
          <w:sz w:val="20"/>
        </w:rPr>
        <w:t>cabo</w:t>
      </w:r>
      <w:r>
        <w:rPr>
          <w:b/>
          <w:spacing w:val="-2"/>
          <w:sz w:val="20"/>
        </w:rPr>
        <w:t> </w:t>
      </w:r>
      <w:r>
        <w:rPr>
          <w:b/>
          <w:sz w:val="20"/>
        </w:rPr>
        <w:t>estos</w:t>
      </w:r>
      <w:r>
        <w:rPr>
          <w:b/>
          <w:spacing w:val="-2"/>
          <w:sz w:val="20"/>
        </w:rPr>
        <w:t> </w:t>
      </w:r>
      <w:r>
        <w:rPr>
          <w:b/>
          <w:sz w:val="20"/>
        </w:rPr>
        <w:t>trabajos</w:t>
      </w:r>
      <w:r>
        <w:rPr>
          <w:b/>
          <w:spacing w:val="-2"/>
          <w:sz w:val="20"/>
        </w:rPr>
        <w:t> </w:t>
      </w:r>
      <w:r>
        <w:rPr>
          <w:b/>
          <w:sz w:val="20"/>
        </w:rPr>
        <w:t>colaborativos</w:t>
      </w:r>
      <w:r>
        <w:rPr>
          <w:b/>
          <w:spacing w:val="-2"/>
          <w:sz w:val="20"/>
        </w:rPr>
        <w:t> </w:t>
      </w:r>
      <w:r>
        <w:rPr>
          <w:b/>
          <w:sz w:val="20"/>
        </w:rPr>
        <w:t>la</w:t>
      </w:r>
      <w:r>
        <w:rPr>
          <w:b/>
          <w:spacing w:val="-2"/>
          <w:sz w:val="20"/>
        </w:rPr>
        <w:t> </w:t>
      </w:r>
      <w:r>
        <w:rPr>
          <w:b/>
          <w:sz w:val="20"/>
        </w:rPr>
        <w:t>agrupación</w:t>
      </w:r>
      <w:r>
        <w:rPr>
          <w:b/>
          <w:spacing w:val="-2"/>
          <w:sz w:val="20"/>
        </w:rPr>
        <w:t> </w:t>
      </w:r>
      <w:r>
        <w:rPr>
          <w:b/>
          <w:sz w:val="20"/>
        </w:rPr>
        <w:t>contaba</w:t>
      </w:r>
      <w:r>
        <w:rPr>
          <w:b/>
          <w:spacing w:val="-2"/>
          <w:sz w:val="20"/>
        </w:rPr>
        <w:t> </w:t>
      </w:r>
      <w:r>
        <w:rPr>
          <w:b/>
          <w:sz w:val="20"/>
        </w:rPr>
        <w:t>con</w:t>
      </w:r>
      <w:r>
        <w:rPr>
          <w:b/>
          <w:spacing w:val="-2"/>
          <w:sz w:val="20"/>
        </w:rPr>
        <w:t> </w:t>
      </w:r>
      <w:r>
        <w:rPr>
          <w:b/>
          <w:sz w:val="20"/>
        </w:rPr>
        <w:t>una</w:t>
      </w:r>
      <w:r>
        <w:rPr>
          <w:b/>
          <w:spacing w:val="-2"/>
          <w:sz w:val="20"/>
        </w:rPr>
        <w:t> </w:t>
      </w:r>
      <w:r>
        <w:rPr>
          <w:b/>
          <w:sz w:val="20"/>
        </w:rPr>
        <w:t>serie</w:t>
      </w:r>
      <w:r>
        <w:rPr>
          <w:b/>
          <w:spacing w:val="-2"/>
          <w:sz w:val="20"/>
        </w:rPr>
        <w:t> </w:t>
      </w:r>
      <w:r>
        <w:rPr>
          <w:b/>
          <w:sz w:val="20"/>
        </w:rPr>
        <w:t>de órganos,</w:t>
      </w:r>
      <w:r>
        <w:rPr>
          <w:b/>
          <w:spacing w:val="-2"/>
          <w:sz w:val="20"/>
        </w:rPr>
        <w:t> </w:t>
      </w:r>
      <w:r>
        <w:rPr>
          <w:b/>
          <w:sz w:val="20"/>
        </w:rPr>
        <w:t>entre ellos, el Comité del Proyecto, integrado por los representantes designados por los socios y presidido por el representante del Ayuntamiento Coordinador de la agrupación. Este Comité debía reunirse a menos</w:t>
      </w:r>
      <w:r>
        <w:rPr>
          <w:b/>
          <w:spacing w:val="-3"/>
          <w:sz w:val="20"/>
        </w:rPr>
        <w:t> </w:t>
      </w:r>
      <w:r>
        <w:rPr>
          <w:b/>
          <w:sz w:val="20"/>
        </w:rPr>
        <w:t>una</w:t>
      </w:r>
      <w:r>
        <w:rPr>
          <w:b/>
          <w:spacing w:val="-1"/>
          <w:sz w:val="20"/>
        </w:rPr>
        <w:t> </w:t>
      </w:r>
      <w:r>
        <w:rPr>
          <w:b/>
          <w:sz w:val="20"/>
        </w:rPr>
        <w:t>vez</w:t>
      </w:r>
      <w:r>
        <w:rPr>
          <w:b/>
          <w:spacing w:val="-5"/>
          <w:sz w:val="20"/>
        </w:rPr>
        <w:t> </w:t>
      </w:r>
      <w:r>
        <w:rPr>
          <w:b/>
          <w:sz w:val="20"/>
        </w:rPr>
        <w:t>al</w:t>
      </w:r>
      <w:r>
        <w:rPr>
          <w:b/>
          <w:spacing w:val="-3"/>
          <w:sz w:val="20"/>
        </w:rPr>
        <w:t> </w:t>
      </w:r>
      <w:r>
        <w:rPr>
          <w:b/>
          <w:sz w:val="20"/>
        </w:rPr>
        <w:t>año,</w:t>
      </w:r>
      <w:r>
        <w:rPr>
          <w:b/>
          <w:spacing w:val="-3"/>
          <w:sz w:val="20"/>
        </w:rPr>
        <w:t> </w:t>
      </w:r>
      <w:r>
        <w:rPr>
          <w:b/>
          <w:sz w:val="20"/>
        </w:rPr>
        <w:t>pudiendo</w:t>
      </w:r>
      <w:r>
        <w:rPr>
          <w:b/>
          <w:spacing w:val="-3"/>
          <w:sz w:val="20"/>
        </w:rPr>
        <w:t> </w:t>
      </w:r>
      <w:r>
        <w:rPr>
          <w:b/>
          <w:sz w:val="20"/>
        </w:rPr>
        <w:t>reunirse</w:t>
      </w:r>
      <w:r>
        <w:rPr>
          <w:b/>
          <w:spacing w:val="-3"/>
          <w:sz w:val="20"/>
        </w:rPr>
        <w:t> </w:t>
      </w:r>
      <w:r>
        <w:rPr>
          <w:b/>
          <w:sz w:val="20"/>
        </w:rPr>
        <w:t>en</w:t>
      </w:r>
      <w:r>
        <w:rPr>
          <w:b/>
          <w:spacing w:val="-5"/>
          <w:sz w:val="20"/>
        </w:rPr>
        <w:t> </w:t>
      </w:r>
      <w:r>
        <w:rPr>
          <w:b/>
          <w:sz w:val="20"/>
        </w:rPr>
        <w:t>cualquier</w:t>
      </w:r>
      <w:r>
        <w:rPr>
          <w:b/>
          <w:spacing w:val="-3"/>
          <w:sz w:val="20"/>
        </w:rPr>
        <w:t> </w:t>
      </w:r>
      <w:r>
        <w:rPr>
          <w:b/>
          <w:sz w:val="20"/>
        </w:rPr>
        <w:t>otro</w:t>
      </w:r>
      <w:r>
        <w:rPr>
          <w:b/>
          <w:spacing w:val="-2"/>
          <w:sz w:val="20"/>
        </w:rPr>
        <w:t> </w:t>
      </w:r>
      <w:r>
        <w:rPr>
          <w:b/>
          <w:sz w:val="20"/>
        </w:rPr>
        <w:t>momento</w:t>
      </w:r>
      <w:r>
        <w:rPr>
          <w:b/>
          <w:spacing w:val="-3"/>
          <w:sz w:val="20"/>
        </w:rPr>
        <w:t> </w:t>
      </w:r>
      <w:r>
        <w:rPr>
          <w:b/>
          <w:sz w:val="20"/>
        </w:rPr>
        <w:t>que</w:t>
      </w:r>
      <w:r>
        <w:rPr>
          <w:b/>
          <w:spacing w:val="-3"/>
          <w:sz w:val="20"/>
        </w:rPr>
        <w:t> </w:t>
      </w:r>
      <w:r>
        <w:rPr>
          <w:b/>
          <w:sz w:val="20"/>
        </w:rPr>
        <w:t>fuera</w:t>
      </w:r>
      <w:r>
        <w:rPr>
          <w:b/>
          <w:spacing w:val="-4"/>
          <w:sz w:val="20"/>
        </w:rPr>
        <w:t> </w:t>
      </w:r>
      <w:r>
        <w:rPr>
          <w:b/>
          <w:sz w:val="20"/>
        </w:rPr>
        <w:t>necesario,</w:t>
      </w:r>
      <w:r>
        <w:rPr>
          <w:b/>
          <w:spacing w:val="-1"/>
          <w:sz w:val="20"/>
        </w:rPr>
        <w:t> </w:t>
      </w:r>
      <w:r>
        <w:rPr>
          <w:b/>
          <w:sz w:val="20"/>
        </w:rPr>
        <w:t>a</w:t>
      </w:r>
      <w:r>
        <w:rPr>
          <w:b/>
          <w:spacing w:val="-3"/>
          <w:sz w:val="20"/>
        </w:rPr>
        <w:t> </w:t>
      </w:r>
      <w:r>
        <w:rPr>
          <w:b/>
          <w:sz w:val="20"/>
        </w:rPr>
        <w:t>petición</w:t>
      </w:r>
      <w:r>
        <w:rPr>
          <w:b/>
          <w:spacing w:val="-1"/>
          <w:sz w:val="20"/>
        </w:rPr>
        <w:t> </w:t>
      </w:r>
      <w:r>
        <w:rPr>
          <w:b/>
          <w:sz w:val="20"/>
        </w:rPr>
        <w:t>de cualquiera de los socios. Pese a estas previsiones, el Comité se ha reunido únicamente en tres ocasiones, todas ellas en 2024 con el único objetivo de revisar la ejecución del proyecto y adoptar decisiones sobre transferencias internas de presupuesto entre actuaciones ejecutadas por cada socio</w:t>
      </w:r>
      <w:r>
        <w:rPr>
          <w:b/>
          <w:sz w:val="20"/>
        </w:rPr>
        <w:t> o traspasos entre ciudades y evitar de esta manera posibles incumplimientos en algunas de las actuaciones previstas en el proyecto.</w:t>
      </w:r>
      <w:r>
        <w:rPr>
          <w:b/>
          <w:spacing w:val="40"/>
          <w:sz w:val="20"/>
        </w:rPr>
        <w:t> </w:t>
      </w:r>
      <w:r>
        <w:rPr>
          <w:b/>
          <w:sz w:val="20"/>
        </w:rPr>
        <w:t>Sin embargo, no se abordaron en estas reuniones otras cuestiones</w:t>
      </w:r>
      <w:r>
        <w:rPr>
          <w:b/>
          <w:spacing w:val="-6"/>
          <w:sz w:val="20"/>
        </w:rPr>
        <w:t> </w:t>
      </w:r>
      <w:r>
        <w:rPr>
          <w:b/>
          <w:sz w:val="20"/>
        </w:rPr>
        <w:t>para</w:t>
      </w:r>
      <w:r>
        <w:rPr>
          <w:b/>
          <w:spacing w:val="-6"/>
          <w:sz w:val="20"/>
        </w:rPr>
        <w:t> </w:t>
      </w:r>
      <w:r>
        <w:rPr>
          <w:b/>
          <w:sz w:val="20"/>
        </w:rPr>
        <w:t>la</w:t>
      </w:r>
      <w:r>
        <w:rPr>
          <w:b/>
          <w:spacing w:val="-6"/>
          <w:sz w:val="20"/>
        </w:rPr>
        <w:t> </w:t>
      </w:r>
      <w:r>
        <w:rPr>
          <w:b/>
          <w:sz w:val="20"/>
        </w:rPr>
        <w:t>puesta</w:t>
      </w:r>
      <w:r>
        <w:rPr>
          <w:b/>
          <w:spacing w:val="-6"/>
          <w:sz w:val="20"/>
        </w:rPr>
        <w:t> </w:t>
      </w:r>
      <w:r>
        <w:rPr>
          <w:b/>
          <w:sz w:val="20"/>
        </w:rPr>
        <w:t>en</w:t>
      </w:r>
      <w:r>
        <w:rPr>
          <w:b/>
          <w:spacing w:val="-6"/>
          <w:sz w:val="20"/>
        </w:rPr>
        <w:t> </w:t>
      </w:r>
      <w:r>
        <w:rPr>
          <w:b/>
          <w:sz w:val="20"/>
        </w:rPr>
        <w:t>común</w:t>
      </w:r>
      <w:r>
        <w:rPr>
          <w:b/>
          <w:spacing w:val="-8"/>
          <w:sz w:val="20"/>
        </w:rPr>
        <w:t> </w:t>
      </w:r>
      <w:r>
        <w:rPr>
          <w:b/>
          <w:sz w:val="20"/>
        </w:rPr>
        <w:t>de</w:t>
      </w:r>
      <w:r>
        <w:rPr>
          <w:b/>
          <w:spacing w:val="-6"/>
          <w:sz w:val="20"/>
        </w:rPr>
        <w:t> </w:t>
      </w:r>
      <w:r>
        <w:rPr>
          <w:b/>
          <w:sz w:val="20"/>
        </w:rPr>
        <w:t>las</w:t>
      </w:r>
      <w:r>
        <w:rPr>
          <w:b/>
          <w:spacing w:val="-3"/>
          <w:sz w:val="20"/>
        </w:rPr>
        <w:t> </w:t>
      </w:r>
      <w:r>
        <w:rPr>
          <w:b/>
          <w:sz w:val="20"/>
        </w:rPr>
        <w:t>conclusiones</w:t>
      </w:r>
      <w:r>
        <w:rPr>
          <w:b/>
          <w:spacing w:val="-6"/>
          <w:sz w:val="20"/>
        </w:rPr>
        <w:t> </w:t>
      </w:r>
      <w:r>
        <w:rPr>
          <w:b/>
          <w:sz w:val="20"/>
        </w:rPr>
        <w:t>,</w:t>
      </w:r>
      <w:r>
        <w:rPr>
          <w:b/>
          <w:spacing w:val="-6"/>
          <w:sz w:val="20"/>
        </w:rPr>
        <w:t> </w:t>
      </w:r>
      <w:r>
        <w:rPr>
          <w:b/>
          <w:sz w:val="20"/>
        </w:rPr>
        <w:t>procesos</w:t>
      </w:r>
      <w:r>
        <w:rPr>
          <w:b/>
          <w:spacing w:val="-6"/>
          <w:sz w:val="20"/>
        </w:rPr>
        <w:t> </w:t>
      </w:r>
      <w:r>
        <w:rPr>
          <w:b/>
          <w:sz w:val="20"/>
        </w:rPr>
        <w:t>y</w:t>
      </w:r>
      <w:r>
        <w:rPr>
          <w:b/>
          <w:spacing w:val="-4"/>
          <w:sz w:val="20"/>
        </w:rPr>
        <w:t> </w:t>
      </w:r>
      <w:r>
        <w:rPr>
          <w:b/>
          <w:sz w:val="20"/>
        </w:rPr>
        <w:t>de</w:t>
      </w:r>
      <w:r>
        <w:rPr>
          <w:b/>
          <w:spacing w:val="-6"/>
          <w:sz w:val="20"/>
        </w:rPr>
        <w:t> </w:t>
      </w:r>
      <w:r>
        <w:rPr>
          <w:b/>
          <w:sz w:val="20"/>
        </w:rPr>
        <w:t>desarrollo</w:t>
      </w:r>
      <w:r>
        <w:rPr>
          <w:b/>
          <w:spacing w:val="-4"/>
          <w:sz w:val="20"/>
        </w:rPr>
        <w:t> </w:t>
      </w:r>
      <w:r>
        <w:rPr>
          <w:b/>
          <w:sz w:val="20"/>
        </w:rPr>
        <w:t>de</w:t>
      </w:r>
      <w:r>
        <w:rPr>
          <w:b/>
          <w:spacing w:val="-6"/>
          <w:sz w:val="20"/>
        </w:rPr>
        <w:t> </w:t>
      </w:r>
      <w:r>
        <w:rPr>
          <w:b/>
          <w:sz w:val="20"/>
        </w:rPr>
        <w:t>software</w:t>
      </w:r>
      <w:r>
        <w:rPr>
          <w:b/>
          <w:spacing w:val="-5"/>
          <w:sz w:val="20"/>
        </w:rPr>
        <w:t> </w:t>
      </w:r>
      <w:r>
        <w:rPr>
          <w:b/>
          <w:sz w:val="20"/>
        </w:rPr>
        <w:t>común, tal y como se preveía al constituirse la agrupación."</w:t>
      </w:r>
    </w:p>
    <w:p>
      <w:pPr>
        <w:pStyle w:val="BodyText"/>
        <w:spacing w:before="99"/>
        <w:rPr>
          <w:b/>
          <w:sz w:val="20"/>
        </w:rPr>
      </w:pPr>
    </w:p>
    <w:p>
      <w:pPr>
        <w:spacing w:before="0"/>
        <w:ind w:left="1284" w:right="0" w:firstLine="0"/>
        <w:jc w:val="left"/>
        <w:rPr>
          <w:sz w:val="20"/>
        </w:rPr>
      </w:pPr>
      <w:r>
        <w:rPr>
          <w:spacing w:val="-2"/>
          <w:sz w:val="20"/>
        </w:rPr>
        <w:t>Alegación:</w:t>
      </w:r>
    </w:p>
    <w:p>
      <w:pPr>
        <w:spacing w:line="333" w:lineRule="auto" w:before="90"/>
        <w:ind w:left="1284" w:right="496" w:firstLine="0"/>
        <w:jc w:val="left"/>
        <w:rPr>
          <w:b/>
          <w:sz w:val="20"/>
        </w:rPr>
      </w:pPr>
      <w:r>
        <w:rPr>
          <w:b/>
          <w:sz w:val="20"/>
        </w:rPr>
        <w:t>Según informe emitido por Guaguas Municipales, de fecha 4 de noviembre de 2025,"la afirmación contenida en el párrafo nº6 de la página 77 del documento no refleja la realidad organizativa ni el funcionamiento</w:t>
      </w:r>
      <w:r>
        <w:rPr>
          <w:b/>
          <w:spacing w:val="-7"/>
          <w:sz w:val="20"/>
        </w:rPr>
        <w:t> </w:t>
      </w:r>
      <w:r>
        <w:rPr>
          <w:b/>
          <w:sz w:val="20"/>
        </w:rPr>
        <w:t>efectivo</w:t>
      </w:r>
      <w:r>
        <w:rPr>
          <w:b/>
          <w:spacing w:val="-7"/>
          <w:sz w:val="20"/>
        </w:rPr>
        <w:t> </w:t>
      </w:r>
      <w:r>
        <w:rPr>
          <w:b/>
          <w:sz w:val="20"/>
        </w:rPr>
        <w:t>de</w:t>
      </w:r>
      <w:r>
        <w:rPr>
          <w:b/>
          <w:spacing w:val="-5"/>
          <w:sz w:val="20"/>
        </w:rPr>
        <w:t> </w:t>
      </w:r>
      <w:r>
        <w:rPr>
          <w:b/>
          <w:sz w:val="20"/>
        </w:rPr>
        <w:t>la</w:t>
      </w:r>
      <w:r>
        <w:rPr>
          <w:b/>
          <w:spacing w:val="-7"/>
          <w:sz w:val="20"/>
        </w:rPr>
        <w:t> </w:t>
      </w:r>
      <w:r>
        <w:rPr>
          <w:b/>
          <w:sz w:val="20"/>
        </w:rPr>
        <w:t>Agrupación</w:t>
      </w:r>
      <w:r>
        <w:rPr>
          <w:b/>
          <w:spacing w:val="-7"/>
          <w:sz w:val="20"/>
        </w:rPr>
        <w:t> </w:t>
      </w:r>
      <w:r>
        <w:rPr>
          <w:b/>
          <w:sz w:val="20"/>
        </w:rPr>
        <w:t>INNOBUS-TUR,</w:t>
      </w:r>
      <w:r>
        <w:rPr>
          <w:b/>
          <w:spacing w:val="-7"/>
          <w:sz w:val="20"/>
        </w:rPr>
        <w:t> </w:t>
      </w:r>
      <w:r>
        <w:rPr>
          <w:b/>
          <w:sz w:val="20"/>
        </w:rPr>
        <w:t>puesto</w:t>
      </w:r>
      <w:r>
        <w:rPr>
          <w:b/>
          <w:spacing w:val="-9"/>
          <w:sz w:val="20"/>
        </w:rPr>
        <w:t> </w:t>
      </w:r>
      <w:r>
        <w:rPr>
          <w:b/>
          <w:sz w:val="20"/>
        </w:rPr>
        <w:t>que</w:t>
      </w:r>
      <w:r>
        <w:rPr>
          <w:b/>
          <w:spacing w:val="-7"/>
          <w:sz w:val="20"/>
        </w:rPr>
        <w:t> </w:t>
      </w:r>
      <w:r>
        <w:rPr>
          <w:b/>
          <w:sz w:val="20"/>
        </w:rPr>
        <w:t>además</w:t>
      </w:r>
      <w:r>
        <w:rPr>
          <w:b/>
          <w:spacing w:val="-7"/>
          <w:sz w:val="20"/>
        </w:rPr>
        <w:t> </w:t>
      </w:r>
      <w:r>
        <w:rPr>
          <w:b/>
          <w:sz w:val="20"/>
        </w:rPr>
        <w:t>del</w:t>
      </w:r>
      <w:r>
        <w:rPr>
          <w:b/>
          <w:spacing w:val="-7"/>
          <w:sz w:val="20"/>
        </w:rPr>
        <w:t> </w:t>
      </w:r>
      <w:r>
        <w:rPr>
          <w:b/>
          <w:sz w:val="20"/>
        </w:rPr>
        <w:t>Comité</w:t>
      </w:r>
      <w:r>
        <w:rPr>
          <w:b/>
          <w:spacing w:val="-7"/>
          <w:sz w:val="20"/>
        </w:rPr>
        <w:t> </w:t>
      </w:r>
      <w:r>
        <w:rPr>
          <w:b/>
          <w:sz w:val="20"/>
        </w:rPr>
        <w:t>de</w:t>
      </w:r>
      <w:r>
        <w:rPr>
          <w:b/>
          <w:spacing w:val="-7"/>
          <w:sz w:val="20"/>
        </w:rPr>
        <w:t> </w:t>
      </w:r>
      <w:r>
        <w:rPr>
          <w:b/>
          <w:sz w:val="20"/>
        </w:rPr>
        <w:t>Proyecto, existe una Comisión Técnica que ha venido reuniéndose regularmente desde el 15 de septiembre de 2022, con una periodicidad aproximada de un mes y medio, y cuya actividad se ha mantenido hasta</w:t>
      </w:r>
    </w:p>
    <w:p>
      <w:pPr>
        <w:spacing w:after="0" w:line="333" w:lineRule="auto"/>
        <w:jc w:val="left"/>
        <w:rPr>
          <w:b/>
          <w:sz w:val="20"/>
        </w:rPr>
        <w:sectPr>
          <w:footerReference w:type="even" r:id="rId165"/>
          <w:footerReference w:type="default" r:id="rId166"/>
          <w:pgSz w:w="11910" w:h="16840"/>
          <w:pgMar w:header="0" w:footer="481" w:top="1240" w:bottom="680" w:left="141" w:right="141"/>
          <w:pgNumType w:start="4"/>
        </w:sectPr>
      </w:pPr>
    </w:p>
    <w:p>
      <w:pPr>
        <w:pStyle w:val="BodyText"/>
        <w:rPr>
          <w:b/>
          <w:sz w:val="20"/>
        </w:rPr>
      </w:pPr>
    </w:p>
    <w:p>
      <w:pPr>
        <w:pStyle w:val="BodyText"/>
        <w:spacing w:before="59"/>
        <w:rPr>
          <w:b/>
          <w:sz w:val="20"/>
        </w:rPr>
      </w:pPr>
    </w:p>
    <w:p>
      <w:pPr>
        <w:spacing w:line="333" w:lineRule="auto" w:before="1"/>
        <w:ind w:left="1284" w:right="496" w:firstLine="0"/>
        <w:jc w:val="left"/>
        <w:rPr>
          <w:b/>
          <w:sz w:val="20"/>
        </w:rPr>
      </w:pPr>
      <w:r>
        <w:rPr>
          <w:b/>
          <w:sz w:val="20"/>
        </w:rPr>
        <mc:AlternateContent>
          <mc:Choice Requires="wps">
            <w:drawing>
              <wp:anchor distT="0" distB="0" distL="0" distR="0" allowOverlap="1" layoutInCell="1" locked="0" behindDoc="0" simplePos="0" relativeHeight="15804928">
                <wp:simplePos x="0" y="0"/>
                <wp:positionH relativeFrom="page">
                  <wp:posOffset>244784</wp:posOffset>
                </wp:positionH>
                <wp:positionV relativeFrom="paragraph">
                  <wp:posOffset>4356825</wp:posOffset>
                </wp:positionV>
                <wp:extent cx="138430" cy="2155190"/>
                <wp:effectExtent l="0" t="0" r="0" b="0"/>
                <wp:wrapNone/>
                <wp:docPr id="572" name="Textbox 572"/>
                <wp:cNvGraphicFramePr>
                  <a:graphicFrameLocks/>
                </wp:cNvGraphicFramePr>
                <a:graphic>
                  <a:graphicData uri="http://schemas.microsoft.com/office/word/2010/wordprocessingShape">
                    <wps:wsp>
                      <wps:cNvPr id="572" name="Textbox 572"/>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343.057159pt;width:10.9pt;height:169.7pt;mso-position-horizontal-relative:page;mso-position-vertical-relative:paragraph;z-index:15804928" type="#_x0000_t202" id="docshape482"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w:t>junio de 2025. Se adjuntan las actas de las reuniones mantenidas durante este período. La Comisión Técnica está integrada por técnicos representantes de cada una de las empresas de transporte integrantes</w:t>
      </w:r>
      <w:r>
        <w:rPr>
          <w:b/>
          <w:spacing w:val="-8"/>
          <w:sz w:val="20"/>
        </w:rPr>
        <w:t> </w:t>
      </w:r>
      <w:r>
        <w:rPr>
          <w:b/>
          <w:sz w:val="20"/>
        </w:rPr>
        <w:t>de</w:t>
      </w:r>
      <w:r>
        <w:rPr>
          <w:b/>
          <w:spacing w:val="-8"/>
          <w:sz w:val="20"/>
        </w:rPr>
        <w:t> </w:t>
      </w:r>
      <w:r>
        <w:rPr>
          <w:b/>
          <w:sz w:val="20"/>
        </w:rPr>
        <w:t>la</w:t>
      </w:r>
      <w:r>
        <w:rPr>
          <w:b/>
          <w:spacing w:val="-8"/>
          <w:sz w:val="20"/>
        </w:rPr>
        <w:t> </w:t>
      </w:r>
      <w:r>
        <w:rPr>
          <w:b/>
          <w:sz w:val="20"/>
        </w:rPr>
        <w:t>Agrupación</w:t>
      </w:r>
      <w:r>
        <w:rPr>
          <w:b/>
          <w:spacing w:val="-8"/>
          <w:sz w:val="20"/>
        </w:rPr>
        <w:t> </w:t>
      </w:r>
      <w:r>
        <w:rPr>
          <w:b/>
          <w:sz w:val="20"/>
        </w:rPr>
        <w:t>de</w:t>
      </w:r>
      <w:r>
        <w:rPr>
          <w:b/>
          <w:spacing w:val="-7"/>
          <w:sz w:val="20"/>
        </w:rPr>
        <w:t> </w:t>
      </w:r>
      <w:r>
        <w:rPr>
          <w:b/>
          <w:sz w:val="20"/>
        </w:rPr>
        <w:t>Municipios</w:t>
      </w:r>
      <w:r>
        <w:rPr>
          <w:b/>
          <w:spacing w:val="40"/>
          <w:sz w:val="20"/>
        </w:rPr>
        <w:t> </w:t>
      </w:r>
      <w:r>
        <w:rPr>
          <w:b/>
          <w:sz w:val="20"/>
        </w:rPr>
        <w:t>INNOBUS-TUR,</w:t>
      </w:r>
      <w:r>
        <w:rPr>
          <w:b/>
          <w:spacing w:val="-7"/>
          <w:sz w:val="20"/>
        </w:rPr>
        <w:t> </w:t>
      </w:r>
      <w:r>
        <w:rPr>
          <w:b/>
          <w:sz w:val="20"/>
        </w:rPr>
        <w:t>incluyendo</w:t>
      </w:r>
      <w:r>
        <w:rPr>
          <w:b/>
          <w:spacing w:val="-8"/>
          <w:sz w:val="20"/>
        </w:rPr>
        <w:t> </w:t>
      </w:r>
      <w:r>
        <w:rPr>
          <w:b/>
          <w:sz w:val="20"/>
        </w:rPr>
        <w:t>GUAGUAS</w:t>
      </w:r>
      <w:r>
        <w:rPr>
          <w:b/>
          <w:spacing w:val="-7"/>
          <w:sz w:val="20"/>
        </w:rPr>
        <w:t> </w:t>
      </w:r>
      <w:r>
        <w:rPr>
          <w:b/>
          <w:sz w:val="20"/>
        </w:rPr>
        <w:t>MUNICIPALES,</w:t>
      </w:r>
      <w:r>
        <w:rPr>
          <w:b/>
          <w:spacing w:val="-8"/>
          <w:sz w:val="20"/>
        </w:rPr>
        <w:t> </w:t>
      </w:r>
      <w:r>
        <w:rPr>
          <w:b/>
          <w:sz w:val="20"/>
        </w:rPr>
        <w:t>S.A., empresa municipal dependiente del Ayuntamiento de Las Palmas de Gran Canaria, y tiene por objeto asegurar la coordinación técnica , operativa y tecnológica de las actuaciones del proyecto. En dichas reuniones se han venido poniendo en común los avances en la ejecución de los proyectos, los resultados</w:t>
      </w:r>
      <w:r>
        <w:rPr>
          <w:b/>
          <w:spacing w:val="-6"/>
          <w:sz w:val="20"/>
        </w:rPr>
        <w:t> </w:t>
      </w:r>
      <w:r>
        <w:rPr>
          <w:b/>
          <w:sz w:val="20"/>
        </w:rPr>
        <w:t>obtenidos,</w:t>
      </w:r>
      <w:r>
        <w:rPr>
          <w:b/>
          <w:spacing w:val="-6"/>
          <w:sz w:val="20"/>
        </w:rPr>
        <w:t> </w:t>
      </w:r>
      <w:r>
        <w:rPr>
          <w:b/>
          <w:sz w:val="20"/>
        </w:rPr>
        <w:t>los</w:t>
      </w:r>
      <w:r>
        <w:rPr>
          <w:b/>
          <w:spacing w:val="-6"/>
          <w:sz w:val="20"/>
        </w:rPr>
        <w:t> </w:t>
      </w:r>
      <w:r>
        <w:rPr>
          <w:b/>
          <w:sz w:val="20"/>
        </w:rPr>
        <w:t>procesos</w:t>
      </w:r>
      <w:r>
        <w:rPr>
          <w:b/>
          <w:spacing w:val="-6"/>
          <w:sz w:val="20"/>
        </w:rPr>
        <w:t> </w:t>
      </w:r>
      <w:r>
        <w:rPr>
          <w:b/>
          <w:sz w:val="20"/>
        </w:rPr>
        <w:t>implantados,</w:t>
      </w:r>
      <w:r>
        <w:rPr>
          <w:b/>
          <w:spacing w:val="-6"/>
          <w:sz w:val="20"/>
        </w:rPr>
        <w:t> </w:t>
      </w:r>
      <w:r>
        <w:rPr>
          <w:b/>
          <w:sz w:val="20"/>
        </w:rPr>
        <w:t>así</w:t>
      </w:r>
      <w:r>
        <w:rPr>
          <w:b/>
          <w:spacing w:val="-6"/>
          <w:sz w:val="20"/>
        </w:rPr>
        <w:t> </w:t>
      </w:r>
      <w:r>
        <w:rPr>
          <w:b/>
          <w:sz w:val="20"/>
        </w:rPr>
        <w:t>como</w:t>
      </w:r>
      <w:r>
        <w:rPr>
          <w:b/>
          <w:spacing w:val="-6"/>
          <w:sz w:val="20"/>
        </w:rPr>
        <w:t> </w:t>
      </w:r>
      <w:r>
        <w:rPr>
          <w:b/>
          <w:sz w:val="20"/>
        </w:rPr>
        <w:t>las</w:t>
      </w:r>
      <w:r>
        <w:rPr>
          <w:b/>
          <w:spacing w:val="-6"/>
          <w:sz w:val="20"/>
        </w:rPr>
        <w:t> </w:t>
      </w:r>
      <w:r>
        <w:rPr>
          <w:b/>
          <w:sz w:val="20"/>
        </w:rPr>
        <w:t>soluciones</w:t>
      </w:r>
      <w:r>
        <w:rPr>
          <w:b/>
          <w:spacing w:val="-6"/>
          <w:sz w:val="20"/>
        </w:rPr>
        <w:t> </w:t>
      </w:r>
      <w:r>
        <w:rPr>
          <w:b/>
          <w:sz w:val="20"/>
        </w:rPr>
        <w:t>técnicas</w:t>
      </w:r>
      <w:r>
        <w:rPr>
          <w:b/>
          <w:spacing w:val="-6"/>
          <w:sz w:val="20"/>
        </w:rPr>
        <w:t> </w:t>
      </w:r>
      <w:r>
        <w:rPr>
          <w:b/>
          <w:sz w:val="20"/>
        </w:rPr>
        <w:t>desarrolladas.</w:t>
      </w:r>
      <w:r>
        <w:rPr>
          <w:b/>
          <w:spacing w:val="-6"/>
          <w:sz w:val="20"/>
        </w:rPr>
        <w:t> </w:t>
      </w:r>
      <w:r>
        <w:rPr>
          <w:b/>
          <w:sz w:val="20"/>
        </w:rPr>
        <w:t>Estas reuniones han constituido, el principal espacio de trabajo técnico y de intercambio de información</w:t>
      </w:r>
      <w:r>
        <w:rPr>
          <w:b/>
          <w:sz w:val="20"/>
        </w:rPr>
        <w:t> entre los socios, y han permitido armonizar criterios de desarrollo, metodologías y resultados para garantizar la coherencia global del proyecto en todas las ciudades participantes. Por tanto, si bien las reuniones del Comité de Proyecto han</w:t>
      </w:r>
      <w:r>
        <w:rPr>
          <w:b/>
          <w:spacing w:val="-1"/>
          <w:sz w:val="20"/>
        </w:rPr>
        <w:t> </w:t>
      </w:r>
      <w:r>
        <w:rPr>
          <w:b/>
          <w:sz w:val="20"/>
        </w:rPr>
        <w:t>tenido carácter puntual y se centraron en</w:t>
      </w:r>
      <w:r>
        <w:rPr>
          <w:b/>
          <w:spacing w:val="-1"/>
          <w:sz w:val="20"/>
        </w:rPr>
        <w:t> </w:t>
      </w:r>
      <w:r>
        <w:rPr>
          <w:b/>
          <w:sz w:val="20"/>
        </w:rPr>
        <w:t>cuestiones de gestión presupuestaria, la coordinación técnica y operativa del proyecto ha sido constante gracias a la actuación</w:t>
      </w:r>
      <w:r>
        <w:rPr>
          <w:b/>
          <w:spacing w:val="-1"/>
          <w:sz w:val="20"/>
        </w:rPr>
        <w:t> </w:t>
      </w:r>
      <w:r>
        <w:rPr>
          <w:b/>
          <w:sz w:val="20"/>
        </w:rPr>
        <w:t>de</w:t>
      </w:r>
      <w:r>
        <w:rPr>
          <w:b/>
          <w:spacing w:val="-3"/>
          <w:sz w:val="20"/>
        </w:rPr>
        <w:t> </w:t>
      </w:r>
      <w:r>
        <w:rPr>
          <w:b/>
          <w:sz w:val="20"/>
        </w:rPr>
        <w:t>la</w:t>
      </w:r>
      <w:r>
        <w:rPr>
          <w:b/>
          <w:spacing w:val="-3"/>
          <w:sz w:val="20"/>
        </w:rPr>
        <w:t> </w:t>
      </w:r>
      <w:r>
        <w:rPr>
          <w:b/>
          <w:sz w:val="20"/>
        </w:rPr>
        <w:t>Comisión</w:t>
      </w:r>
      <w:r>
        <w:rPr>
          <w:b/>
          <w:spacing w:val="-1"/>
          <w:sz w:val="20"/>
        </w:rPr>
        <w:t> </w:t>
      </w:r>
      <w:r>
        <w:rPr>
          <w:b/>
          <w:sz w:val="20"/>
        </w:rPr>
        <w:t>Técnica,</w:t>
      </w:r>
      <w:r>
        <w:rPr>
          <w:b/>
          <w:spacing w:val="-3"/>
          <w:sz w:val="20"/>
        </w:rPr>
        <w:t> </w:t>
      </w:r>
      <w:r>
        <w:rPr>
          <w:b/>
          <w:sz w:val="20"/>
        </w:rPr>
        <w:t>la</w:t>
      </w:r>
      <w:r>
        <w:rPr>
          <w:b/>
          <w:spacing w:val="-3"/>
          <w:sz w:val="20"/>
        </w:rPr>
        <w:t> </w:t>
      </w:r>
      <w:r>
        <w:rPr>
          <w:b/>
          <w:sz w:val="20"/>
        </w:rPr>
        <w:t>cual</w:t>
      </w:r>
      <w:r>
        <w:rPr>
          <w:b/>
          <w:spacing w:val="-3"/>
          <w:sz w:val="20"/>
        </w:rPr>
        <w:t> </w:t>
      </w:r>
      <w:r>
        <w:rPr>
          <w:b/>
          <w:sz w:val="20"/>
        </w:rPr>
        <w:t>cumple</w:t>
      </w:r>
      <w:r>
        <w:rPr>
          <w:b/>
          <w:spacing w:val="-3"/>
          <w:sz w:val="20"/>
        </w:rPr>
        <w:t> </w:t>
      </w:r>
      <w:r>
        <w:rPr>
          <w:b/>
          <w:sz w:val="20"/>
        </w:rPr>
        <w:t>precisamente</w:t>
      </w:r>
      <w:r>
        <w:rPr>
          <w:b/>
          <w:spacing w:val="-3"/>
          <w:sz w:val="20"/>
        </w:rPr>
        <w:t> </w:t>
      </w:r>
      <w:r>
        <w:rPr>
          <w:b/>
          <w:sz w:val="20"/>
        </w:rPr>
        <w:t>con</w:t>
      </w:r>
      <w:r>
        <w:rPr>
          <w:b/>
          <w:spacing w:val="-3"/>
          <w:sz w:val="20"/>
        </w:rPr>
        <w:t> </w:t>
      </w:r>
      <w:r>
        <w:rPr>
          <w:b/>
          <w:sz w:val="20"/>
        </w:rPr>
        <w:t>la</w:t>
      </w:r>
      <w:r>
        <w:rPr>
          <w:b/>
          <w:spacing w:val="-3"/>
          <w:sz w:val="20"/>
        </w:rPr>
        <w:t> </w:t>
      </w:r>
      <w:r>
        <w:rPr>
          <w:b/>
          <w:sz w:val="20"/>
        </w:rPr>
        <w:t>finalidad</w:t>
      </w:r>
      <w:r>
        <w:rPr>
          <w:b/>
          <w:spacing w:val="-3"/>
          <w:sz w:val="20"/>
        </w:rPr>
        <w:t> </w:t>
      </w:r>
      <w:r>
        <w:rPr>
          <w:b/>
          <w:sz w:val="20"/>
        </w:rPr>
        <w:t>de</w:t>
      </w:r>
      <w:r>
        <w:rPr>
          <w:b/>
          <w:spacing w:val="-3"/>
          <w:sz w:val="20"/>
        </w:rPr>
        <w:t> </w:t>
      </w:r>
      <w:r>
        <w:rPr>
          <w:b/>
          <w:sz w:val="20"/>
        </w:rPr>
        <w:t>seguimiento,</w:t>
      </w:r>
      <w:r>
        <w:rPr>
          <w:b/>
          <w:spacing w:val="-3"/>
          <w:sz w:val="20"/>
        </w:rPr>
        <w:t> </w:t>
      </w:r>
      <w:r>
        <w:rPr>
          <w:b/>
          <w:sz w:val="20"/>
        </w:rPr>
        <w:t>puesta en</w:t>
      </w:r>
      <w:r>
        <w:rPr>
          <w:b/>
          <w:spacing w:val="-4"/>
          <w:sz w:val="20"/>
        </w:rPr>
        <w:t> </w:t>
      </w:r>
      <w:r>
        <w:rPr>
          <w:b/>
          <w:sz w:val="20"/>
        </w:rPr>
        <w:t>común</w:t>
      </w:r>
      <w:r>
        <w:rPr>
          <w:b/>
          <w:spacing w:val="-3"/>
          <w:sz w:val="20"/>
        </w:rPr>
        <w:t> </w:t>
      </w:r>
      <w:r>
        <w:rPr>
          <w:b/>
          <w:sz w:val="20"/>
        </w:rPr>
        <w:t>de</w:t>
      </w:r>
      <w:r>
        <w:rPr>
          <w:b/>
          <w:spacing w:val="-4"/>
          <w:sz w:val="20"/>
        </w:rPr>
        <w:t> </w:t>
      </w:r>
      <w:r>
        <w:rPr>
          <w:b/>
          <w:sz w:val="20"/>
        </w:rPr>
        <w:t>procesos</w:t>
      </w:r>
      <w:r>
        <w:rPr>
          <w:b/>
          <w:spacing w:val="-4"/>
          <w:sz w:val="20"/>
        </w:rPr>
        <w:t> </w:t>
      </w:r>
      <w:r>
        <w:rPr>
          <w:b/>
          <w:sz w:val="20"/>
        </w:rPr>
        <w:t>y</w:t>
      </w:r>
      <w:r>
        <w:rPr>
          <w:b/>
          <w:spacing w:val="-4"/>
          <w:sz w:val="20"/>
        </w:rPr>
        <w:t> </w:t>
      </w:r>
      <w:r>
        <w:rPr>
          <w:b/>
          <w:sz w:val="20"/>
        </w:rPr>
        <w:t>resultados.</w:t>
      </w:r>
      <w:r>
        <w:rPr>
          <w:b/>
          <w:spacing w:val="-4"/>
          <w:sz w:val="20"/>
        </w:rPr>
        <w:t> </w:t>
      </w:r>
      <w:r>
        <w:rPr>
          <w:b/>
          <w:sz w:val="20"/>
        </w:rPr>
        <w:t>Asimismo,</w:t>
      </w:r>
      <w:r>
        <w:rPr>
          <w:b/>
          <w:spacing w:val="-4"/>
          <w:sz w:val="20"/>
        </w:rPr>
        <w:t> </w:t>
      </w:r>
      <w:r>
        <w:rPr>
          <w:b/>
          <w:sz w:val="20"/>
        </w:rPr>
        <w:t>como</w:t>
      </w:r>
      <w:r>
        <w:rPr>
          <w:b/>
          <w:spacing w:val="-4"/>
          <w:sz w:val="20"/>
        </w:rPr>
        <w:t> </w:t>
      </w:r>
      <w:r>
        <w:rPr>
          <w:b/>
          <w:sz w:val="20"/>
        </w:rPr>
        <w:t>se</w:t>
      </w:r>
      <w:r>
        <w:rPr>
          <w:b/>
          <w:spacing w:val="-4"/>
          <w:sz w:val="20"/>
        </w:rPr>
        <w:t> </w:t>
      </w:r>
      <w:r>
        <w:rPr>
          <w:b/>
          <w:sz w:val="20"/>
        </w:rPr>
        <w:t>hace</w:t>
      </w:r>
      <w:r>
        <w:rPr>
          <w:b/>
          <w:spacing w:val="-4"/>
          <w:sz w:val="20"/>
        </w:rPr>
        <w:t> </w:t>
      </w:r>
      <w:r>
        <w:rPr>
          <w:b/>
          <w:sz w:val="20"/>
        </w:rPr>
        <w:t>constar</w:t>
      </w:r>
      <w:r>
        <w:rPr>
          <w:b/>
          <w:spacing w:val="-4"/>
          <w:sz w:val="20"/>
        </w:rPr>
        <w:t> </w:t>
      </w:r>
      <w:r>
        <w:rPr>
          <w:b/>
          <w:sz w:val="20"/>
        </w:rPr>
        <w:t>en</w:t>
      </w:r>
      <w:r>
        <w:rPr>
          <w:b/>
          <w:spacing w:val="-4"/>
          <w:sz w:val="20"/>
        </w:rPr>
        <w:t> </w:t>
      </w:r>
      <w:r>
        <w:rPr>
          <w:b/>
          <w:sz w:val="20"/>
        </w:rPr>
        <w:t>el</w:t>
      </w:r>
      <w:r>
        <w:rPr>
          <w:b/>
          <w:spacing w:val="-4"/>
          <w:sz w:val="20"/>
        </w:rPr>
        <w:t> </w:t>
      </w:r>
      <w:r>
        <w:rPr>
          <w:b/>
          <w:sz w:val="20"/>
        </w:rPr>
        <w:t>Anteproyecto</w:t>
      </w:r>
      <w:r>
        <w:rPr>
          <w:b/>
          <w:spacing w:val="-1"/>
          <w:sz w:val="20"/>
        </w:rPr>
        <w:t> </w:t>
      </w:r>
      <w:r>
        <w:rPr>
          <w:b/>
          <w:sz w:val="20"/>
        </w:rPr>
        <w:t>referido,</w:t>
      </w:r>
      <w:r>
        <w:rPr>
          <w:b/>
          <w:spacing w:val="-4"/>
          <w:sz w:val="20"/>
        </w:rPr>
        <w:t> </w:t>
      </w:r>
      <w:r>
        <w:rPr>
          <w:b/>
          <w:sz w:val="20"/>
        </w:rPr>
        <w:t>está prevista la celebración de una última reunión del Comité de Proyecto antes de finalizar 2025, con el objetivo de cerrar la justificación final y la liquidación del proyecto, garantizando así la plena coordinación y ejecución conforme a lo establecido en el convenio. En virtud de lo anterior, se solicita a</w:t>
      </w:r>
      <w:r>
        <w:rPr>
          <w:b/>
          <w:spacing w:val="-4"/>
          <w:sz w:val="20"/>
        </w:rPr>
        <w:t> </w:t>
      </w:r>
      <w:r>
        <w:rPr>
          <w:b/>
          <w:sz w:val="20"/>
        </w:rPr>
        <w:t>este</w:t>
      </w:r>
      <w:r>
        <w:rPr>
          <w:b/>
          <w:spacing w:val="-4"/>
          <w:sz w:val="20"/>
        </w:rPr>
        <w:t> </w:t>
      </w:r>
      <w:r>
        <w:rPr>
          <w:b/>
          <w:sz w:val="20"/>
        </w:rPr>
        <w:t>Tribunal</w:t>
      </w:r>
      <w:r>
        <w:rPr>
          <w:b/>
          <w:spacing w:val="-4"/>
          <w:sz w:val="20"/>
        </w:rPr>
        <w:t> </w:t>
      </w:r>
      <w:r>
        <w:rPr>
          <w:b/>
          <w:sz w:val="20"/>
        </w:rPr>
        <w:t>de</w:t>
      </w:r>
      <w:r>
        <w:rPr>
          <w:b/>
          <w:spacing w:val="-4"/>
          <w:sz w:val="20"/>
        </w:rPr>
        <w:t> </w:t>
      </w:r>
      <w:r>
        <w:rPr>
          <w:b/>
          <w:sz w:val="20"/>
        </w:rPr>
        <w:t>Cuentas</w:t>
      </w:r>
      <w:r>
        <w:rPr>
          <w:b/>
          <w:spacing w:val="-4"/>
          <w:sz w:val="20"/>
        </w:rPr>
        <w:t> </w:t>
      </w:r>
      <w:r>
        <w:rPr>
          <w:b/>
          <w:sz w:val="20"/>
        </w:rPr>
        <w:t>que</w:t>
      </w:r>
      <w:r>
        <w:rPr>
          <w:b/>
          <w:spacing w:val="-4"/>
          <w:sz w:val="20"/>
        </w:rPr>
        <w:t> </w:t>
      </w:r>
      <w:r>
        <w:rPr>
          <w:b/>
          <w:sz w:val="20"/>
        </w:rPr>
        <w:t>tenga</w:t>
      </w:r>
      <w:r>
        <w:rPr>
          <w:b/>
          <w:spacing w:val="-4"/>
          <w:sz w:val="20"/>
        </w:rPr>
        <w:t> </w:t>
      </w:r>
      <w:r>
        <w:rPr>
          <w:b/>
          <w:sz w:val="20"/>
        </w:rPr>
        <w:t>por</w:t>
      </w:r>
      <w:r>
        <w:rPr>
          <w:b/>
          <w:spacing w:val="-4"/>
          <w:sz w:val="20"/>
        </w:rPr>
        <w:t> </w:t>
      </w:r>
      <w:r>
        <w:rPr>
          <w:b/>
          <w:sz w:val="20"/>
        </w:rPr>
        <w:t>acreditado</w:t>
      </w:r>
      <w:r>
        <w:rPr>
          <w:b/>
          <w:spacing w:val="-4"/>
          <w:sz w:val="20"/>
        </w:rPr>
        <w:t> </w:t>
      </w:r>
      <w:r>
        <w:rPr>
          <w:b/>
          <w:sz w:val="20"/>
        </w:rPr>
        <w:t>que</w:t>
      </w:r>
      <w:r>
        <w:rPr>
          <w:b/>
          <w:spacing w:val="-2"/>
          <w:sz w:val="20"/>
        </w:rPr>
        <w:t> </w:t>
      </w:r>
      <w:r>
        <w:rPr>
          <w:b/>
          <w:sz w:val="20"/>
        </w:rPr>
        <w:t>la</w:t>
      </w:r>
      <w:r>
        <w:rPr>
          <w:b/>
          <w:spacing w:val="-4"/>
          <w:sz w:val="20"/>
        </w:rPr>
        <w:t> </w:t>
      </w:r>
      <w:r>
        <w:rPr>
          <w:b/>
          <w:sz w:val="20"/>
        </w:rPr>
        <w:t>Agrupación</w:t>
      </w:r>
      <w:r>
        <w:rPr>
          <w:b/>
          <w:spacing w:val="-4"/>
          <w:sz w:val="20"/>
        </w:rPr>
        <w:t> </w:t>
      </w:r>
      <w:r>
        <w:rPr>
          <w:b/>
          <w:sz w:val="20"/>
        </w:rPr>
        <w:t>de</w:t>
      </w:r>
      <w:r>
        <w:rPr>
          <w:b/>
          <w:spacing w:val="-2"/>
          <w:sz w:val="20"/>
        </w:rPr>
        <w:t> </w:t>
      </w:r>
      <w:r>
        <w:rPr>
          <w:b/>
          <w:sz w:val="20"/>
        </w:rPr>
        <w:t>Municipios</w:t>
      </w:r>
      <w:r>
        <w:rPr>
          <w:b/>
          <w:spacing w:val="-4"/>
          <w:sz w:val="20"/>
        </w:rPr>
        <w:t> </w:t>
      </w:r>
      <w:r>
        <w:rPr>
          <w:b/>
          <w:sz w:val="20"/>
        </w:rPr>
        <w:t>INNOBUS-TUR</w:t>
      </w:r>
      <w:r>
        <w:rPr>
          <w:b/>
          <w:spacing w:val="-3"/>
          <w:sz w:val="20"/>
        </w:rPr>
        <w:t> </w:t>
      </w:r>
      <w:r>
        <w:rPr>
          <w:b/>
          <w:sz w:val="20"/>
        </w:rPr>
        <w:t>sí ha desarrollado reuniones y actuaciones continuadas de coordinación técnica y seguimiento del proyecto, cumpliendo los objetivos de intercambio de resultados, procesos y soluciones previstos en el convenio."</w:t>
      </w:r>
    </w:p>
    <w:p>
      <w:pPr>
        <w:pStyle w:val="BodyText"/>
        <w:spacing w:before="64"/>
        <w:rPr>
          <w:b/>
          <w:sz w:val="20"/>
        </w:rPr>
      </w:pPr>
    </w:p>
    <w:p>
      <w:pPr>
        <w:spacing w:before="0"/>
        <w:ind w:left="1284" w:right="0" w:firstLine="0"/>
        <w:jc w:val="left"/>
        <w:rPr>
          <w:sz w:val="20"/>
        </w:rPr>
      </w:pPr>
      <w:r>
        <w:rPr>
          <w:sz w:val="20"/>
        </w:rPr>
        <w:t>Documentos</w:t>
      </w:r>
      <w:r>
        <w:rPr>
          <w:spacing w:val="-14"/>
          <w:sz w:val="20"/>
        </w:rPr>
        <w:t> </w:t>
      </w:r>
      <w:r>
        <w:rPr>
          <w:sz w:val="20"/>
        </w:rPr>
        <w:t>(descripción</w:t>
      </w:r>
      <w:r>
        <w:rPr>
          <w:spacing w:val="-13"/>
          <w:sz w:val="20"/>
        </w:rPr>
        <w:t> </w:t>
      </w:r>
      <w:r>
        <w:rPr>
          <w:sz w:val="20"/>
        </w:rPr>
        <w:t>de</w:t>
      </w:r>
      <w:r>
        <w:rPr>
          <w:spacing w:val="-11"/>
          <w:sz w:val="20"/>
        </w:rPr>
        <w:t> </w:t>
      </w:r>
      <w:r>
        <w:rPr>
          <w:sz w:val="20"/>
        </w:rPr>
        <w:t>los</w:t>
      </w:r>
      <w:r>
        <w:rPr>
          <w:spacing w:val="-11"/>
          <w:sz w:val="20"/>
        </w:rPr>
        <w:t> </w:t>
      </w:r>
      <w:r>
        <w:rPr>
          <w:sz w:val="20"/>
        </w:rPr>
        <w:t>documentos</w:t>
      </w:r>
      <w:r>
        <w:rPr>
          <w:spacing w:val="-14"/>
          <w:sz w:val="20"/>
        </w:rPr>
        <w:t> </w:t>
      </w:r>
      <w:r>
        <w:rPr>
          <w:spacing w:val="-2"/>
          <w:sz w:val="20"/>
        </w:rPr>
        <w:t>aportados):</w:t>
      </w:r>
    </w:p>
    <w:p>
      <w:pPr>
        <w:spacing w:before="89"/>
        <w:ind w:left="1284" w:right="0" w:firstLine="0"/>
        <w:jc w:val="left"/>
        <w:rPr>
          <w:b/>
          <w:sz w:val="20"/>
        </w:rPr>
      </w:pPr>
      <w:r>
        <w:rPr>
          <w:b/>
          <w:sz w:val="20"/>
        </w:rPr>
        <w:t>16</w:t>
      </w:r>
      <w:r>
        <w:rPr>
          <w:b/>
          <w:spacing w:val="-10"/>
          <w:sz w:val="20"/>
        </w:rPr>
        <w:t> </w:t>
      </w:r>
      <w:r>
        <w:rPr>
          <w:b/>
          <w:sz w:val="20"/>
        </w:rPr>
        <w:t>actas</w:t>
      </w:r>
      <w:r>
        <w:rPr>
          <w:b/>
          <w:spacing w:val="-10"/>
          <w:sz w:val="20"/>
        </w:rPr>
        <w:t> </w:t>
      </w:r>
      <w:r>
        <w:rPr>
          <w:b/>
          <w:sz w:val="20"/>
        </w:rPr>
        <w:t>de</w:t>
      </w:r>
      <w:r>
        <w:rPr>
          <w:b/>
          <w:spacing w:val="-10"/>
          <w:sz w:val="20"/>
        </w:rPr>
        <w:t> </w:t>
      </w:r>
      <w:r>
        <w:rPr>
          <w:b/>
          <w:sz w:val="20"/>
        </w:rPr>
        <w:t>las</w:t>
      </w:r>
      <w:r>
        <w:rPr>
          <w:b/>
          <w:spacing w:val="-10"/>
          <w:sz w:val="20"/>
        </w:rPr>
        <w:t> </w:t>
      </w:r>
      <w:r>
        <w:rPr>
          <w:b/>
          <w:sz w:val="20"/>
        </w:rPr>
        <w:t>reuniones</w:t>
      </w:r>
      <w:r>
        <w:rPr>
          <w:b/>
          <w:spacing w:val="-10"/>
          <w:sz w:val="20"/>
        </w:rPr>
        <w:t> </w:t>
      </w:r>
      <w:r>
        <w:rPr>
          <w:b/>
          <w:sz w:val="20"/>
        </w:rPr>
        <w:t>de</w:t>
      </w:r>
      <w:r>
        <w:rPr>
          <w:b/>
          <w:spacing w:val="-10"/>
          <w:sz w:val="20"/>
        </w:rPr>
        <w:t> </w:t>
      </w:r>
      <w:r>
        <w:rPr>
          <w:b/>
          <w:sz w:val="20"/>
        </w:rPr>
        <w:t>la</w:t>
      </w:r>
      <w:r>
        <w:rPr>
          <w:b/>
          <w:spacing w:val="-10"/>
          <w:sz w:val="20"/>
        </w:rPr>
        <w:t> </w:t>
      </w:r>
      <w:r>
        <w:rPr>
          <w:b/>
          <w:sz w:val="20"/>
        </w:rPr>
        <w:t>Comisión</w:t>
      </w:r>
      <w:r>
        <w:rPr>
          <w:b/>
          <w:spacing w:val="-10"/>
          <w:sz w:val="20"/>
        </w:rPr>
        <w:t> </w:t>
      </w:r>
      <w:r>
        <w:rPr>
          <w:b/>
          <w:sz w:val="20"/>
        </w:rPr>
        <w:t>Técnica</w:t>
      </w:r>
      <w:r>
        <w:rPr>
          <w:b/>
          <w:spacing w:val="-10"/>
          <w:sz w:val="20"/>
        </w:rPr>
        <w:t> </w:t>
      </w:r>
      <w:r>
        <w:rPr>
          <w:b/>
          <w:sz w:val="20"/>
        </w:rPr>
        <w:t>(Período</w:t>
      </w:r>
      <w:r>
        <w:rPr>
          <w:b/>
          <w:spacing w:val="-8"/>
          <w:sz w:val="20"/>
        </w:rPr>
        <w:t> </w:t>
      </w:r>
      <w:r>
        <w:rPr>
          <w:b/>
          <w:sz w:val="20"/>
        </w:rPr>
        <w:t>2022-</w:t>
      </w:r>
      <w:r>
        <w:rPr>
          <w:b/>
          <w:spacing w:val="-2"/>
          <w:sz w:val="20"/>
        </w:rPr>
        <w:t>2025)</w:t>
      </w:r>
    </w:p>
    <w:p>
      <w:pPr>
        <w:pStyle w:val="BodyText"/>
        <w:spacing w:before="176"/>
        <w:rPr>
          <w:b/>
          <w:sz w:val="20"/>
        </w:rPr>
      </w:pPr>
    </w:p>
    <w:p>
      <w:pPr>
        <w:spacing w:before="0"/>
        <w:ind w:left="1284" w:right="0" w:firstLine="0"/>
        <w:jc w:val="left"/>
        <w:rPr>
          <w:sz w:val="20"/>
        </w:rPr>
      </w:pPr>
      <w:r>
        <w:rPr>
          <w:spacing w:val="-2"/>
          <w:sz w:val="20"/>
        </w:rPr>
        <w:t>Documentos:</w:t>
      </w:r>
    </w:p>
    <w:p>
      <w:pPr>
        <w:spacing w:line="333" w:lineRule="auto" w:before="90"/>
        <w:ind w:left="1284" w:right="0" w:firstLine="0"/>
        <w:jc w:val="left"/>
        <w:rPr>
          <w:b/>
          <w:sz w:val="20"/>
        </w:rPr>
      </w:pPr>
      <w:r>
        <w:rPr>
          <w:b/>
          <w:sz w:val="20"/>
        </w:rPr>
        <mc:AlternateContent>
          <mc:Choice Requires="wps">
            <w:drawing>
              <wp:anchor distT="0" distB="0" distL="0" distR="0" allowOverlap="1" layoutInCell="1" locked="0" behindDoc="0" simplePos="0" relativeHeight="15803904">
                <wp:simplePos x="0" y="0"/>
                <wp:positionH relativeFrom="page">
                  <wp:posOffset>130383</wp:posOffset>
                </wp:positionH>
                <wp:positionV relativeFrom="paragraph">
                  <wp:posOffset>395592</wp:posOffset>
                </wp:positionV>
                <wp:extent cx="138430" cy="2952750"/>
                <wp:effectExtent l="0" t="0" r="0" b="0"/>
                <wp:wrapNone/>
                <wp:docPr id="573" name="Textbox 573"/>
                <wp:cNvGraphicFramePr>
                  <a:graphicFrameLocks/>
                </wp:cNvGraphicFramePr>
                <a:graphic>
                  <a:graphicData uri="http://schemas.microsoft.com/office/word/2010/wordprocessingShape">
                    <wps:wsp>
                      <wps:cNvPr id="573" name="Textbox 573"/>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31.149036pt;width:10.9pt;height:232.5pt;mso-position-horizontal-relative:page;mso-position-vertical-relative:paragraph;z-index:15803904" type="#_x0000_t202" id="docshape483"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805440">
                <wp:simplePos x="0" y="0"/>
                <wp:positionH relativeFrom="page">
                  <wp:posOffset>344030</wp:posOffset>
                </wp:positionH>
                <wp:positionV relativeFrom="paragraph">
                  <wp:posOffset>176889</wp:posOffset>
                </wp:positionV>
                <wp:extent cx="163830" cy="2851150"/>
                <wp:effectExtent l="0" t="0" r="0" b="0"/>
                <wp:wrapNone/>
                <wp:docPr id="574" name="Graphic 574"/>
                <wp:cNvGraphicFramePr>
                  <a:graphicFrameLocks/>
                </wp:cNvGraphicFramePr>
                <a:graphic>
                  <a:graphicData uri="http://schemas.microsoft.com/office/word/2010/wordprocessingShape">
                    <wps:wsp>
                      <wps:cNvPr id="574" name="Graphic 574"/>
                      <wps:cNvSpPr/>
                      <wps:spPr>
                        <a:xfrm>
                          <a:off x="0" y="0"/>
                          <a:ext cx="163830" cy="2851150"/>
                        </a:xfrm>
                        <a:custGeom>
                          <a:avLst/>
                          <a:gdLst/>
                          <a:ahLst/>
                          <a:cxnLst/>
                          <a:rect l="l" t="t" r="r" b="b"/>
                          <a:pathLst>
                            <a:path w="163830" h="2851150">
                              <a:moveTo>
                                <a:pt x="163258" y="0"/>
                              </a:moveTo>
                              <a:lnTo>
                                <a:pt x="0" y="0"/>
                              </a:lnTo>
                              <a:lnTo>
                                <a:pt x="0" y="2850997"/>
                              </a:lnTo>
                              <a:lnTo>
                                <a:pt x="163258" y="2850997"/>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13.928344pt;width:12.855pt;height:224.488pt;mso-position-horizontal-relative:page;mso-position-vertical-relative:paragraph;z-index:15805440" id="docshape484" filled="true" fillcolor="#000000" stroked="false">
                <v:fill type="solid"/>
                <w10:wrap type="none"/>
              </v:rect>
            </w:pict>
          </mc:Fallback>
        </mc:AlternateContent>
      </w:r>
      <w:r>
        <w:rPr>
          <w:b/>
          <w:sz w:val="20"/>
        </w:rPr>
        <w:t>Nombre:</w:t>
      </w:r>
      <w:r>
        <w:rPr>
          <w:b/>
          <w:spacing w:val="-7"/>
          <w:sz w:val="20"/>
        </w:rPr>
        <w:t> </w:t>
      </w:r>
      <w:r>
        <w:rPr>
          <w:b/>
          <w:sz w:val="20"/>
        </w:rPr>
        <w:t>Actas</w:t>
      </w:r>
      <w:r>
        <w:rPr>
          <w:b/>
          <w:spacing w:val="-8"/>
          <w:sz w:val="20"/>
        </w:rPr>
        <w:t> </w:t>
      </w:r>
      <w:r>
        <w:rPr>
          <w:b/>
          <w:sz w:val="20"/>
        </w:rPr>
        <w:t>de</w:t>
      </w:r>
      <w:r>
        <w:rPr>
          <w:b/>
          <w:spacing w:val="-6"/>
          <w:sz w:val="20"/>
        </w:rPr>
        <w:t> </w:t>
      </w:r>
      <w:r>
        <w:rPr>
          <w:b/>
          <w:sz w:val="20"/>
        </w:rPr>
        <w:t>las</w:t>
      </w:r>
      <w:r>
        <w:rPr>
          <w:b/>
          <w:spacing w:val="-8"/>
          <w:sz w:val="20"/>
        </w:rPr>
        <w:t> </w:t>
      </w:r>
      <w:r>
        <w:rPr>
          <w:b/>
          <w:sz w:val="20"/>
        </w:rPr>
        <w:t>reuniones</w:t>
      </w:r>
      <w:r>
        <w:rPr>
          <w:b/>
          <w:spacing w:val="-8"/>
          <w:sz w:val="20"/>
        </w:rPr>
        <w:t> </w:t>
      </w:r>
      <w:r>
        <w:rPr>
          <w:b/>
          <w:sz w:val="20"/>
        </w:rPr>
        <w:t>de</w:t>
      </w:r>
      <w:r>
        <w:rPr>
          <w:b/>
          <w:spacing w:val="-8"/>
          <w:sz w:val="20"/>
        </w:rPr>
        <w:t> </w:t>
      </w:r>
      <w:r>
        <w:rPr>
          <w:b/>
          <w:sz w:val="20"/>
        </w:rPr>
        <w:t>la</w:t>
      </w:r>
      <w:r>
        <w:rPr>
          <w:b/>
          <w:spacing w:val="-8"/>
          <w:sz w:val="20"/>
        </w:rPr>
        <w:t> </w:t>
      </w:r>
      <w:r>
        <w:rPr>
          <w:b/>
          <w:sz w:val="20"/>
        </w:rPr>
        <w:t>comision</w:t>
      </w:r>
      <w:r>
        <w:rPr>
          <w:b/>
          <w:spacing w:val="-9"/>
          <w:sz w:val="20"/>
        </w:rPr>
        <w:t> </w:t>
      </w:r>
      <w:r>
        <w:rPr>
          <w:b/>
          <w:sz w:val="20"/>
        </w:rPr>
        <w:t>tecnica</w:t>
      </w:r>
      <w:r>
        <w:rPr>
          <w:b/>
          <w:spacing w:val="-8"/>
          <w:sz w:val="20"/>
        </w:rPr>
        <w:t> </w:t>
      </w:r>
      <w:r>
        <w:rPr>
          <w:b/>
          <w:sz w:val="20"/>
        </w:rPr>
        <w:t>INNOBUS-TUR.zip,</w:t>
      </w:r>
      <w:r>
        <w:rPr>
          <w:b/>
          <w:spacing w:val="-8"/>
          <w:sz w:val="20"/>
        </w:rPr>
        <w:t> </w:t>
      </w:r>
      <w:r>
        <w:rPr>
          <w:b/>
          <w:sz w:val="20"/>
        </w:rPr>
        <w:t>Hash: </w:t>
      </w:r>
      <w:r>
        <w:rPr>
          <w:b/>
          <w:spacing w:val="-2"/>
          <w:sz w:val="20"/>
        </w:rPr>
        <w:t>0Uc8GH6bUHuIyD5PFn9E7w==</w:t>
      </w:r>
    </w:p>
    <w:p>
      <w:pPr>
        <w:pStyle w:val="BodyText"/>
        <w:spacing w:before="85"/>
        <w:rPr>
          <w:b/>
          <w:sz w:val="20"/>
        </w:rPr>
      </w:pPr>
    </w:p>
    <w:p>
      <w:pPr>
        <w:spacing w:before="0"/>
        <w:ind w:left="1284" w:right="0" w:firstLine="0"/>
        <w:jc w:val="left"/>
        <w:rPr>
          <w:i/>
          <w:sz w:val="20"/>
        </w:rPr>
      </w:pPr>
      <w:r>
        <w:rPr>
          <w:i/>
          <w:sz w:val="20"/>
        </w:rPr>
        <w:t>Grupo</w:t>
      </w:r>
      <w:r>
        <w:rPr>
          <w:i/>
          <w:spacing w:val="-5"/>
          <w:sz w:val="20"/>
        </w:rPr>
        <w:t> </w:t>
      </w:r>
      <w:r>
        <w:rPr>
          <w:i/>
          <w:sz w:val="20"/>
        </w:rPr>
        <w:t>2</w:t>
      </w:r>
      <w:r>
        <w:rPr>
          <w:i/>
          <w:spacing w:val="-5"/>
          <w:sz w:val="20"/>
        </w:rPr>
        <w:t> </w:t>
      </w:r>
      <w:r>
        <w:rPr>
          <w:i/>
          <w:sz w:val="20"/>
        </w:rPr>
        <w:t>de</w:t>
      </w:r>
      <w:r>
        <w:rPr>
          <w:i/>
          <w:spacing w:val="-5"/>
          <w:sz w:val="20"/>
        </w:rPr>
        <w:t> </w:t>
      </w:r>
      <w:r>
        <w:rPr>
          <w:i/>
          <w:spacing w:val="-12"/>
          <w:sz w:val="20"/>
        </w:rPr>
        <w:t>2</w:t>
      </w:r>
    </w:p>
    <w:p>
      <w:pPr>
        <w:pStyle w:val="BodyText"/>
        <w:spacing w:before="176"/>
        <w:rPr>
          <w:i/>
          <w:sz w:val="20"/>
        </w:rPr>
      </w:pPr>
    </w:p>
    <w:p>
      <w:pPr>
        <w:spacing w:before="1"/>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804416">
                <wp:simplePos x="0" y="0"/>
                <wp:positionH relativeFrom="page">
                  <wp:posOffset>244784</wp:posOffset>
                </wp:positionH>
                <wp:positionV relativeFrom="paragraph">
                  <wp:posOffset>-71216</wp:posOffset>
                </wp:positionV>
                <wp:extent cx="251460" cy="1744345"/>
                <wp:effectExtent l="0" t="0" r="0" b="0"/>
                <wp:wrapNone/>
                <wp:docPr id="575" name="Textbox 575"/>
                <wp:cNvGraphicFramePr>
                  <a:graphicFrameLocks/>
                </wp:cNvGraphicFramePr>
                <a:graphic>
                  <a:graphicData uri="http://schemas.microsoft.com/office/word/2010/wordprocessingShape">
                    <wps:wsp>
                      <wps:cNvPr id="575" name="Textbox 575"/>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wps:txbx>
                      <wps:bodyPr wrap="square" lIns="0" tIns="0" rIns="0" bIns="0" rtlCol="0" vert="vert270">
                        <a:noAutofit/>
                      </wps:bodyPr>
                    </wps:wsp>
                  </a:graphicData>
                </a:graphic>
              </wp:anchor>
            </w:drawing>
          </mc:Choice>
          <mc:Fallback>
            <w:pict>
              <v:shape style="position:absolute;margin-left:19.274403pt;margin-top:-5.607623pt;width:19.8pt;height:137.35pt;mso-position-horizontal-relative:page;mso-position-vertical-relative:paragraph;z-index:15804416" type="#_x0000_t202" id="docshape485"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v:textbox>
                <w10:wrap type="none"/>
              </v:shape>
            </w:pict>
          </mc:Fallback>
        </mc:AlternateContent>
      </w: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pacing w:val="-5"/>
          <w:sz w:val="20"/>
        </w:rPr>
        <w:t>99</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z w:val="20"/>
        </w:rPr>
        <w:t>nº3</w:t>
      </w:r>
      <w:r>
        <w:rPr>
          <w:b/>
          <w:spacing w:val="-4"/>
          <w:sz w:val="20"/>
        </w:rPr>
        <w:t> </w:t>
      </w:r>
      <w:r>
        <w:rPr>
          <w:b/>
          <w:sz w:val="20"/>
        </w:rPr>
        <w:t>y</w:t>
      </w:r>
      <w:r>
        <w:rPr>
          <w:b/>
          <w:spacing w:val="-5"/>
          <w:sz w:val="20"/>
        </w:rPr>
        <w:t> nº4</w:t>
      </w:r>
    </w:p>
    <w:p>
      <w:pPr>
        <w:pStyle w:val="BodyText"/>
        <w:spacing w:before="178"/>
        <w:rPr>
          <w:b/>
          <w:sz w:val="20"/>
        </w:rPr>
      </w:pPr>
    </w:p>
    <w:p>
      <w:pPr>
        <w:spacing w:before="1"/>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496" w:firstLine="0"/>
        <w:jc w:val="left"/>
        <w:rPr>
          <w:b/>
          <w:sz w:val="20"/>
        </w:rPr>
      </w:pPr>
      <w:r>
        <w:rPr>
          <w:b/>
          <w:sz w:val="20"/>
        </w:rPr>
        <w:t>"La</w:t>
      </w:r>
      <w:r>
        <w:rPr>
          <w:b/>
          <w:spacing w:val="-6"/>
          <w:sz w:val="20"/>
        </w:rPr>
        <w:t> </w:t>
      </w:r>
      <w:r>
        <w:rPr>
          <w:b/>
          <w:sz w:val="20"/>
        </w:rPr>
        <w:t>agrupación</w:t>
      </w:r>
      <w:r>
        <w:rPr>
          <w:b/>
          <w:spacing w:val="-6"/>
          <w:sz w:val="20"/>
        </w:rPr>
        <w:t> </w:t>
      </w:r>
      <w:r>
        <w:rPr>
          <w:b/>
          <w:sz w:val="20"/>
        </w:rPr>
        <w:t>de</w:t>
      </w:r>
      <w:r>
        <w:rPr>
          <w:b/>
          <w:spacing w:val="-6"/>
          <w:sz w:val="20"/>
        </w:rPr>
        <w:t> </w:t>
      </w:r>
      <w:r>
        <w:rPr>
          <w:b/>
          <w:sz w:val="20"/>
        </w:rPr>
        <w:t>municipios</w:t>
      </w:r>
      <w:r>
        <w:rPr>
          <w:b/>
          <w:spacing w:val="-4"/>
          <w:sz w:val="20"/>
        </w:rPr>
        <w:t> </w:t>
      </w:r>
      <w:r>
        <w:rPr>
          <w:b/>
          <w:sz w:val="20"/>
        </w:rPr>
        <w:t>formada</w:t>
      </w:r>
      <w:r>
        <w:rPr>
          <w:b/>
          <w:spacing w:val="-6"/>
          <w:sz w:val="20"/>
        </w:rPr>
        <w:t> </w:t>
      </w:r>
      <w:r>
        <w:rPr>
          <w:b/>
          <w:sz w:val="20"/>
        </w:rPr>
        <w:t>por</w:t>
      </w:r>
      <w:r>
        <w:rPr>
          <w:b/>
          <w:spacing w:val="-6"/>
          <w:sz w:val="20"/>
        </w:rPr>
        <w:t> </w:t>
      </w:r>
      <w:r>
        <w:rPr>
          <w:b/>
          <w:sz w:val="20"/>
        </w:rPr>
        <w:t>los</w:t>
      </w:r>
      <w:r>
        <w:rPr>
          <w:b/>
          <w:spacing w:val="-6"/>
          <w:sz w:val="20"/>
        </w:rPr>
        <w:t> </w:t>
      </w:r>
      <w:r>
        <w:rPr>
          <w:b/>
          <w:sz w:val="20"/>
        </w:rPr>
        <w:t>Ayuntamientos</w:t>
      </w:r>
      <w:r>
        <w:rPr>
          <w:b/>
          <w:spacing w:val="-4"/>
          <w:sz w:val="20"/>
        </w:rPr>
        <w:t> </w:t>
      </w:r>
      <w:r>
        <w:rPr>
          <w:b/>
          <w:sz w:val="20"/>
        </w:rPr>
        <w:t>de</w:t>
      </w:r>
      <w:r>
        <w:rPr>
          <w:b/>
          <w:spacing w:val="-6"/>
          <w:sz w:val="20"/>
        </w:rPr>
        <w:t> </w:t>
      </w:r>
      <w:r>
        <w:rPr>
          <w:b/>
          <w:sz w:val="20"/>
        </w:rPr>
        <w:t>Málaga,</w:t>
      </w:r>
      <w:r>
        <w:rPr>
          <w:b/>
          <w:spacing w:val="-6"/>
          <w:sz w:val="20"/>
        </w:rPr>
        <w:t> </w:t>
      </w:r>
      <w:r>
        <w:rPr>
          <w:b/>
          <w:sz w:val="20"/>
        </w:rPr>
        <w:t>Palma</w:t>
      </w:r>
      <w:r>
        <w:rPr>
          <w:b/>
          <w:spacing w:val="-6"/>
          <w:sz w:val="20"/>
        </w:rPr>
        <w:t> </w:t>
      </w:r>
      <w:r>
        <w:rPr>
          <w:b/>
          <w:sz w:val="20"/>
        </w:rPr>
        <w:t>y</w:t>
      </w:r>
      <w:r>
        <w:rPr>
          <w:b/>
          <w:spacing w:val="-6"/>
          <w:sz w:val="20"/>
        </w:rPr>
        <w:t> </w:t>
      </w:r>
      <w:r>
        <w:rPr>
          <w:b/>
          <w:sz w:val="20"/>
        </w:rPr>
        <w:t>Las</w:t>
      </w:r>
      <w:r>
        <w:rPr>
          <w:b/>
          <w:spacing w:val="-6"/>
          <w:sz w:val="20"/>
        </w:rPr>
        <w:t> </w:t>
      </w:r>
      <w:r>
        <w:rPr>
          <w:b/>
          <w:sz w:val="20"/>
        </w:rPr>
        <w:t>Palmas</w:t>
      </w:r>
      <w:r>
        <w:rPr>
          <w:b/>
          <w:spacing w:val="-4"/>
          <w:sz w:val="20"/>
        </w:rPr>
        <w:t> </w:t>
      </w:r>
      <w:r>
        <w:rPr>
          <w:b/>
          <w:sz w:val="20"/>
        </w:rPr>
        <w:t>de</w:t>
      </w:r>
      <w:r>
        <w:rPr>
          <w:b/>
          <w:spacing w:val="-6"/>
          <w:sz w:val="20"/>
        </w:rPr>
        <w:t> </w:t>
      </w:r>
      <w:r>
        <w:rPr>
          <w:b/>
          <w:sz w:val="20"/>
        </w:rPr>
        <w:t>Gran Canaria, junto con el de San Sebastián, para solicitar subvenciones del Programa de ayudas para la transformación digital y sostenible del transporte urbano, PRTR, tampoco ha llevado a cabo las actuaciones de seguimiento y puesta en común de las conclusiones, procesos y, en la medida de lo</w:t>
      </w:r>
    </w:p>
    <w:p>
      <w:pPr>
        <w:spacing w:after="0" w:line="331" w:lineRule="auto"/>
        <w:jc w:val="left"/>
        <w:rPr>
          <w:b/>
          <w:sz w:val="20"/>
        </w:rPr>
        <w:sectPr>
          <w:headerReference w:type="default" r:id="rId167"/>
          <w:headerReference w:type="even" r:id="rId168"/>
          <w:pgSz w:w="11910" w:h="16840"/>
          <w:pgMar w:header="314" w:footer="0" w:top="1240" w:bottom="680" w:left="141" w:right="141"/>
        </w:sectPr>
      </w:pPr>
    </w:p>
    <w:p>
      <w:pPr>
        <w:pStyle w:val="BodyText"/>
        <w:rPr>
          <w:b/>
          <w:sz w:val="20"/>
        </w:rPr>
      </w:pPr>
    </w:p>
    <w:p>
      <w:pPr>
        <w:pStyle w:val="BodyText"/>
        <w:spacing w:before="59"/>
        <w:rPr>
          <w:b/>
          <w:sz w:val="20"/>
        </w:rPr>
      </w:pPr>
    </w:p>
    <w:p>
      <w:pPr>
        <w:spacing w:line="333" w:lineRule="auto" w:before="1"/>
        <w:ind w:left="1284" w:right="1279" w:firstLine="0"/>
        <w:jc w:val="left"/>
        <w:rPr>
          <w:b/>
          <w:sz w:val="20"/>
        </w:rPr>
      </w:pPr>
      <w:r>
        <w:rPr>
          <w:b/>
          <w:sz w:val="20"/>
        </w:rPr>
        <w:t>posible,</w:t>
      </w:r>
      <w:r>
        <w:rPr>
          <w:b/>
          <w:spacing w:val="-5"/>
          <w:sz w:val="20"/>
        </w:rPr>
        <w:t> </w:t>
      </w:r>
      <w:r>
        <w:rPr>
          <w:b/>
          <w:sz w:val="20"/>
        </w:rPr>
        <w:t>de</w:t>
      </w:r>
      <w:r>
        <w:rPr>
          <w:b/>
          <w:spacing w:val="-5"/>
          <w:sz w:val="20"/>
        </w:rPr>
        <w:t> </w:t>
      </w:r>
      <w:r>
        <w:rPr>
          <w:b/>
          <w:sz w:val="20"/>
        </w:rPr>
        <w:t>desarrollo</w:t>
      </w:r>
      <w:r>
        <w:rPr>
          <w:b/>
          <w:spacing w:val="-4"/>
          <w:sz w:val="20"/>
        </w:rPr>
        <w:t> </w:t>
      </w:r>
      <w:r>
        <w:rPr>
          <w:b/>
          <w:sz w:val="20"/>
        </w:rPr>
        <w:t>de</w:t>
      </w:r>
      <w:r>
        <w:rPr>
          <w:b/>
          <w:spacing w:val="-5"/>
          <w:sz w:val="20"/>
        </w:rPr>
        <w:t> </w:t>
      </w:r>
      <w:r>
        <w:rPr>
          <w:b/>
          <w:sz w:val="20"/>
        </w:rPr>
        <w:t>software</w:t>
      </w:r>
      <w:r>
        <w:rPr>
          <w:b/>
          <w:spacing w:val="-5"/>
          <w:sz w:val="20"/>
        </w:rPr>
        <w:t> </w:t>
      </w:r>
      <w:r>
        <w:rPr>
          <w:b/>
          <w:sz w:val="20"/>
        </w:rPr>
        <w:t>común</w:t>
      </w:r>
      <w:r>
        <w:rPr>
          <w:b/>
          <w:spacing w:val="-4"/>
          <w:sz w:val="20"/>
        </w:rPr>
        <w:t> </w:t>
      </w:r>
      <w:r>
        <w:rPr>
          <w:b/>
          <w:sz w:val="20"/>
        </w:rPr>
        <w:t>para</w:t>
      </w:r>
      <w:r>
        <w:rPr>
          <w:b/>
          <w:spacing w:val="-5"/>
          <w:sz w:val="20"/>
        </w:rPr>
        <w:t> </w:t>
      </w:r>
      <w:r>
        <w:rPr>
          <w:b/>
          <w:sz w:val="20"/>
        </w:rPr>
        <w:t>abaratar</w:t>
      </w:r>
      <w:r>
        <w:rPr>
          <w:b/>
          <w:spacing w:val="-5"/>
          <w:sz w:val="20"/>
        </w:rPr>
        <w:t> </w:t>
      </w:r>
      <w:r>
        <w:rPr>
          <w:b/>
          <w:sz w:val="20"/>
        </w:rPr>
        <w:t>los</w:t>
      </w:r>
      <w:r>
        <w:rPr>
          <w:b/>
          <w:spacing w:val="-5"/>
          <w:sz w:val="20"/>
        </w:rPr>
        <w:t> </w:t>
      </w:r>
      <w:r>
        <w:rPr>
          <w:b/>
          <w:sz w:val="20"/>
        </w:rPr>
        <w:t>costes</w:t>
      </w:r>
      <w:r>
        <w:rPr>
          <w:b/>
          <w:spacing w:val="40"/>
          <w:sz w:val="20"/>
        </w:rPr>
        <w:t> </w:t>
      </w:r>
      <w:r>
        <w:rPr>
          <w:b/>
          <w:sz w:val="20"/>
        </w:rPr>
        <w:t>y</w:t>
      </w:r>
      <w:r>
        <w:rPr>
          <w:b/>
          <w:spacing w:val="-5"/>
          <w:sz w:val="20"/>
        </w:rPr>
        <w:t> </w:t>
      </w:r>
      <w:r>
        <w:rPr>
          <w:b/>
          <w:sz w:val="20"/>
        </w:rPr>
        <w:t>trabajar</w:t>
      </w:r>
      <w:r>
        <w:rPr>
          <w:b/>
          <w:spacing w:val="-5"/>
          <w:sz w:val="20"/>
        </w:rPr>
        <w:t> </w:t>
      </w:r>
      <w:r>
        <w:rPr>
          <w:b/>
          <w:sz w:val="20"/>
        </w:rPr>
        <w:t>a</w:t>
      </w:r>
      <w:r>
        <w:rPr>
          <w:b/>
          <w:spacing w:val="-2"/>
          <w:sz w:val="20"/>
        </w:rPr>
        <w:t> </w:t>
      </w:r>
      <w:r>
        <w:rPr>
          <w:b/>
          <w:sz w:val="20"/>
        </w:rPr>
        <w:t>favor</w:t>
      </w:r>
      <w:r>
        <w:rPr>
          <w:b/>
          <w:spacing w:val="-5"/>
          <w:sz w:val="20"/>
        </w:rPr>
        <w:t> </w:t>
      </w:r>
      <w:r>
        <w:rPr>
          <w:b/>
          <w:sz w:val="20"/>
        </w:rPr>
        <w:t>de</w:t>
      </w:r>
      <w:r>
        <w:rPr>
          <w:b/>
          <w:spacing w:val="-5"/>
          <w:sz w:val="20"/>
        </w:rPr>
        <w:t> </w:t>
      </w:r>
      <w:r>
        <w:rPr>
          <w:b/>
          <w:sz w:val="20"/>
        </w:rPr>
        <w:t>la estandarización de los sistemas, previstas en el convenio por el que se constituyó.</w:t>
      </w:r>
    </w:p>
    <w:p>
      <w:pPr>
        <w:spacing w:line="331" w:lineRule="auto" w:before="0"/>
        <w:ind w:left="1284" w:right="496" w:firstLine="0"/>
        <w:jc w:val="left"/>
        <w:rPr>
          <w:b/>
          <w:sz w:val="20"/>
        </w:rPr>
      </w:pPr>
      <w:r>
        <w:rPr>
          <w:b/>
          <w:sz w:val="20"/>
        </w:rPr>
        <w:t>El Comité del Proyecto se ha reunido únicamente en tres ocasiones, todas ellas en 2024, con el único objetivo de revisar la ejecución del proyecto y adoptar decisiones sobre transferencias internas de presupuesto</w:t>
      </w:r>
      <w:r>
        <w:rPr>
          <w:b/>
          <w:spacing w:val="-6"/>
          <w:sz w:val="20"/>
        </w:rPr>
        <w:t> </w:t>
      </w:r>
      <w:r>
        <w:rPr>
          <w:b/>
          <w:sz w:val="20"/>
        </w:rPr>
        <w:t>y</w:t>
      </w:r>
      <w:r>
        <w:rPr>
          <w:b/>
          <w:spacing w:val="-7"/>
          <w:sz w:val="20"/>
        </w:rPr>
        <w:t> </w:t>
      </w:r>
      <w:r>
        <w:rPr>
          <w:b/>
          <w:sz w:val="20"/>
        </w:rPr>
        <w:t>evitar</w:t>
      </w:r>
      <w:r>
        <w:rPr>
          <w:b/>
          <w:spacing w:val="-7"/>
          <w:sz w:val="20"/>
        </w:rPr>
        <w:t> </w:t>
      </w:r>
      <w:r>
        <w:rPr>
          <w:b/>
          <w:sz w:val="20"/>
        </w:rPr>
        <w:t>de</w:t>
      </w:r>
      <w:r>
        <w:rPr>
          <w:b/>
          <w:spacing w:val="-7"/>
          <w:sz w:val="20"/>
        </w:rPr>
        <w:t> </w:t>
      </w:r>
      <w:r>
        <w:rPr>
          <w:b/>
          <w:sz w:val="20"/>
        </w:rPr>
        <w:t>esta</w:t>
      </w:r>
      <w:r>
        <w:rPr>
          <w:b/>
          <w:spacing w:val="-7"/>
          <w:sz w:val="20"/>
        </w:rPr>
        <w:t> </w:t>
      </w:r>
      <w:r>
        <w:rPr>
          <w:b/>
          <w:sz w:val="20"/>
        </w:rPr>
        <w:t>manera</w:t>
      </w:r>
      <w:r>
        <w:rPr>
          <w:b/>
          <w:spacing w:val="-7"/>
          <w:sz w:val="20"/>
        </w:rPr>
        <w:t> </w:t>
      </w:r>
      <w:r>
        <w:rPr>
          <w:b/>
          <w:sz w:val="20"/>
        </w:rPr>
        <w:t>posibles</w:t>
      </w:r>
      <w:r>
        <w:rPr>
          <w:b/>
          <w:spacing w:val="-7"/>
          <w:sz w:val="20"/>
        </w:rPr>
        <w:t> </w:t>
      </w:r>
      <w:r>
        <w:rPr>
          <w:b/>
          <w:sz w:val="20"/>
        </w:rPr>
        <w:t>incumplimientos</w:t>
      </w:r>
      <w:r>
        <w:rPr>
          <w:b/>
          <w:spacing w:val="-7"/>
          <w:sz w:val="20"/>
        </w:rPr>
        <w:t> </w:t>
      </w:r>
      <w:r>
        <w:rPr>
          <w:b/>
          <w:sz w:val="20"/>
        </w:rPr>
        <w:t>en</w:t>
      </w:r>
      <w:r>
        <w:rPr>
          <w:b/>
          <w:spacing w:val="-6"/>
          <w:sz w:val="20"/>
        </w:rPr>
        <w:t> </w:t>
      </w:r>
      <w:r>
        <w:rPr>
          <w:b/>
          <w:sz w:val="20"/>
        </w:rPr>
        <w:t>algunas</w:t>
      </w:r>
      <w:r>
        <w:rPr>
          <w:b/>
          <w:spacing w:val="-5"/>
          <w:sz w:val="20"/>
        </w:rPr>
        <w:t> </w:t>
      </w:r>
      <w:r>
        <w:rPr>
          <w:b/>
          <w:sz w:val="20"/>
        </w:rPr>
        <w:t>de</w:t>
      </w:r>
      <w:r>
        <w:rPr>
          <w:b/>
          <w:spacing w:val="-7"/>
          <w:sz w:val="20"/>
        </w:rPr>
        <w:t> </w:t>
      </w:r>
      <w:r>
        <w:rPr>
          <w:b/>
          <w:sz w:val="20"/>
        </w:rPr>
        <w:t>las</w:t>
      </w:r>
      <w:r>
        <w:rPr>
          <w:b/>
          <w:spacing w:val="-5"/>
          <w:sz w:val="20"/>
        </w:rPr>
        <w:t> </w:t>
      </w:r>
      <w:r>
        <w:rPr>
          <w:b/>
          <w:sz w:val="20"/>
        </w:rPr>
        <w:t>actuaciones</w:t>
      </w:r>
      <w:r>
        <w:rPr>
          <w:b/>
          <w:spacing w:val="-7"/>
          <w:sz w:val="20"/>
        </w:rPr>
        <w:t> </w:t>
      </w:r>
      <w:r>
        <w:rPr>
          <w:b/>
          <w:sz w:val="20"/>
        </w:rPr>
        <w:t>previstas en el proyecto."</w:t>
      </w:r>
    </w:p>
    <w:p>
      <w:pPr>
        <w:pStyle w:val="BodyText"/>
        <w:spacing w:before="90"/>
        <w:rPr>
          <w:b/>
          <w:sz w:val="20"/>
        </w:rPr>
      </w:pPr>
    </w:p>
    <w:p>
      <w:pPr>
        <w:spacing w:before="0"/>
        <w:ind w:left="1284" w:right="0" w:firstLine="0"/>
        <w:jc w:val="left"/>
        <w:rPr>
          <w:sz w:val="20"/>
        </w:rPr>
      </w:pPr>
      <w:r>
        <w:rPr>
          <w:spacing w:val="-2"/>
          <w:sz w:val="20"/>
        </w:rPr>
        <w:t>Alegación:</w:t>
      </w:r>
    </w:p>
    <w:p>
      <w:pPr>
        <w:spacing w:line="333" w:lineRule="auto" w:before="89"/>
        <w:ind w:left="1284" w:right="496" w:firstLine="0"/>
        <w:jc w:val="left"/>
        <w:rPr>
          <w:b/>
          <w:sz w:val="20"/>
        </w:rPr>
      </w:pPr>
      <w:r>
        <w:rPr>
          <w:b/>
          <w:sz w:val="20"/>
        </w:rPr>
        <w:t>Según</w:t>
      </w:r>
      <w:r>
        <w:rPr>
          <w:b/>
          <w:spacing w:val="-2"/>
          <w:sz w:val="20"/>
        </w:rPr>
        <w:t> </w:t>
      </w:r>
      <w:r>
        <w:rPr>
          <w:b/>
          <w:sz w:val="20"/>
        </w:rPr>
        <w:t>informe</w:t>
      </w:r>
      <w:r>
        <w:rPr>
          <w:b/>
          <w:spacing w:val="-2"/>
          <w:sz w:val="20"/>
        </w:rPr>
        <w:t> </w:t>
      </w:r>
      <w:r>
        <w:rPr>
          <w:b/>
          <w:sz w:val="20"/>
        </w:rPr>
        <w:t>emitido</w:t>
      </w:r>
      <w:r>
        <w:rPr>
          <w:b/>
          <w:spacing w:val="-4"/>
          <w:sz w:val="20"/>
        </w:rPr>
        <w:t> </w:t>
      </w:r>
      <w:r>
        <w:rPr>
          <w:b/>
          <w:sz w:val="20"/>
        </w:rPr>
        <w:t>por</w:t>
      </w:r>
      <w:r>
        <w:rPr>
          <w:b/>
          <w:spacing w:val="-2"/>
          <w:sz w:val="20"/>
        </w:rPr>
        <w:t> </w:t>
      </w:r>
      <w:r>
        <w:rPr>
          <w:b/>
          <w:sz w:val="20"/>
        </w:rPr>
        <w:t>Guaguas</w:t>
      </w:r>
      <w:r>
        <w:rPr>
          <w:b/>
          <w:spacing w:val="-2"/>
          <w:sz w:val="20"/>
        </w:rPr>
        <w:t> </w:t>
      </w:r>
      <w:r>
        <w:rPr>
          <w:b/>
          <w:sz w:val="20"/>
        </w:rPr>
        <w:t>Municipales,</w:t>
      </w:r>
      <w:r>
        <w:rPr>
          <w:b/>
          <w:spacing w:val="-2"/>
          <w:sz w:val="20"/>
        </w:rPr>
        <w:t> </w:t>
      </w:r>
      <w:r>
        <w:rPr>
          <w:b/>
          <w:sz w:val="20"/>
        </w:rPr>
        <w:t>de</w:t>
      </w:r>
      <w:r>
        <w:rPr>
          <w:b/>
          <w:spacing w:val="-2"/>
          <w:sz w:val="20"/>
        </w:rPr>
        <w:t> </w:t>
      </w:r>
      <w:r>
        <w:rPr>
          <w:b/>
          <w:sz w:val="20"/>
        </w:rPr>
        <w:t>fecha</w:t>
      </w:r>
      <w:r>
        <w:rPr>
          <w:b/>
          <w:spacing w:val="-2"/>
          <w:sz w:val="20"/>
        </w:rPr>
        <w:t> </w:t>
      </w:r>
      <w:r>
        <w:rPr>
          <w:b/>
          <w:sz w:val="20"/>
        </w:rPr>
        <w:t>4 de</w:t>
      </w:r>
      <w:r>
        <w:rPr>
          <w:b/>
          <w:spacing w:val="-2"/>
          <w:sz w:val="20"/>
        </w:rPr>
        <w:t> </w:t>
      </w:r>
      <w:r>
        <w:rPr>
          <w:b/>
          <w:sz w:val="20"/>
        </w:rPr>
        <w:t>noviembre</w:t>
      </w:r>
      <w:r>
        <w:rPr>
          <w:b/>
          <w:spacing w:val="-2"/>
          <w:sz w:val="20"/>
        </w:rPr>
        <w:t> </w:t>
      </w:r>
      <w:r>
        <w:rPr>
          <w:b/>
          <w:sz w:val="20"/>
        </w:rPr>
        <w:t>de 2025,"en</w:t>
      </w:r>
      <w:r>
        <w:rPr>
          <w:b/>
          <w:spacing w:val="-1"/>
          <w:sz w:val="20"/>
        </w:rPr>
        <w:t> </w:t>
      </w:r>
      <w:r>
        <w:rPr>
          <w:b/>
          <w:sz w:val="20"/>
        </w:rPr>
        <w:t>relación</w:t>
      </w:r>
      <w:r>
        <w:rPr>
          <w:b/>
          <w:spacing w:val="-2"/>
          <w:sz w:val="20"/>
        </w:rPr>
        <w:t> </w:t>
      </w:r>
      <w:r>
        <w:rPr>
          <w:b/>
          <w:sz w:val="20"/>
        </w:rPr>
        <w:t>a</w:t>
      </w:r>
      <w:r>
        <w:rPr>
          <w:b/>
          <w:spacing w:val="-2"/>
          <w:sz w:val="20"/>
        </w:rPr>
        <w:t> </w:t>
      </w:r>
      <w:r>
        <w:rPr>
          <w:b/>
          <w:sz w:val="20"/>
        </w:rPr>
        <w:t>esta recomendación,</w:t>
      </w:r>
      <w:r>
        <w:rPr>
          <w:b/>
          <w:spacing w:val="-1"/>
          <w:sz w:val="20"/>
        </w:rPr>
        <w:t> </w:t>
      </w:r>
      <w:r>
        <w:rPr>
          <w:b/>
          <w:sz w:val="20"/>
        </w:rPr>
        <w:t>nos</w:t>
      </w:r>
      <w:r>
        <w:rPr>
          <w:b/>
          <w:spacing w:val="-1"/>
          <w:sz w:val="20"/>
        </w:rPr>
        <w:t> </w:t>
      </w:r>
      <w:r>
        <w:rPr>
          <w:b/>
          <w:sz w:val="20"/>
        </w:rPr>
        <w:t>reiteramos</w:t>
      </w:r>
      <w:r>
        <w:rPr>
          <w:b/>
          <w:spacing w:val="-2"/>
          <w:sz w:val="20"/>
        </w:rPr>
        <w:t> </w:t>
      </w:r>
      <w:r>
        <w:rPr>
          <w:b/>
          <w:sz w:val="20"/>
        </w:rPr>
        <w:t>en</w:t>
      </w:r>
      <w:r>
        <w:rPr>
          <w:b/>
          <w:spacing w:val="-1"/>
          <w:sz w:val="20"/>
        </w:rPr>
        <w:t> </w:t>
      </w:r>
      <w:r>
        <w:rPr>
          <w:b/>
          <w:sz w:val="20"/>
        </w:rPr>
        <w:t>lo esgrimido</w:t>
      </w:r>
      <w:r>
        <w:rPr>
          <w:b/>
          <w:spacing w:val="-3"/>
          <w:sz w:val="20"/>
        </w:rPr>
        <w:t> </w:t>
      </w:r>
      <w:r>
        <w:rPr>
          <w:b/>
          <w:sz w:val="20"/>
        </w:rPr>
        <w:t>en</w:t>
      </w:r>
      <w:r>
        <w:rPr>
          <w:b/>
          <w:spacing w:val="-1"/>
          <w:sz w:val="20"/>
        </w:rPr>
        <w:t> </w:t>
      </w:r>
      <w:r>
        <w:rPr>
          <w:b/>
          <w:sz w:val="20"/>
        </w:rPr>
        <w:t>las</w:t>
      </w:r>
      <w:r>
        <w:rPr>
          <w:b/>
          <w:spacing w:val="-1"/>
          <w:sz w:val="20"/>
        </w:rPr>
        <w:t> </w:t>
      </w:r>
      <w:r>
        <w:rPr>
          <w:b/>
          <w:sz w:val="20"/>
        </w:rPr>
        <w:t>observaciones</w:t>
      </w:r>
      <w:r>
        <w:rPr>
          <w:b/>
          <w:spacing w:val="-1"/>
          <w:sz w:val="20"/>
        </w:rPr>
        <w:t> </w:t>
      </w:r>
      <w:r>
        <w:rPr>
          <w:b/>
          <w:sz w:val="20"/>
        </w:rPr>
        <w:t>anteriores,</w:t>
      </w:r>
      <w:r>
        <w:rPr>
          <w:b/>
          <w:spacing w:val="-1"/>
          <w:sz w:val="20"/>
        </w:rPr>
        <w:t> </w:t>
      </w:r>
      <w:r>
        <w:rPr>
          <w:b/>
          <w:sz w:val="20"/>
        </w:rPr>
        <w:t>concretamente</w:t>
      </w:r>
      <w:r>
        <w:rPr>
          <w:b/>
          <w:spacing w:val="-1"/>
          <w:sz w:val="20"/>
        </w:rPr>
        <w:t> </w:t>
      </w:r>
      <w:r>
        <w:rPr>
          <w:b/>
          <w:sz w:val="20"/>
        </w:rPr>
        <w:t>en</w:t>
      </w:r>
      <w:r>
        <w:rPr>
          <w:b/>
          <w:spacing w:val="-1"/>
          <w:sz w:val="20"/>
        </w:rPr>
        <w:t> </w:t>
      </w:r>
      <w:r>
        <w:rPr>
          <w:b/>
          <w:sz w:val="20"/>
        </w:rPr>
        <w:t>la alegación formulada respecto de la página 77 del Anteproyecto, en la que se expuso detalladamente que</w:t>
      </w:r>
      <w:r>
        <w:rPr>
          <w:b/>
          <w:spacing w:val="-3"/>
          <w:sz w:val="20"/>
        </w:rPr>
        <w:t> </w:t>
      </w:r>
      <w:r>
        <w:rPr>
          <w:b/>
          <w:sz w:val="20"/>
        </w:rPr>
        <w:t>la</w:t>
      </w:r>
      <w:r>
        <w:rPr>
          <w:b/>
          <w:spacing w:val="-6"/>
          <w:sz w:val="20"/>
        </w:rPr>
        <w:t> </w:t>
      </w:r>
      <w:r>
        <w:rPr>
          <w:b/>
          <w:sz w:val="20"/>
        </w:rPr>
        <w:t>Agrupación</w:t>
      </w:r>
      <w:r>
        <w:rPr>
          <w:b/>
          <w:spacing w:val="-8"/>
          <w:sz w:val="20"/>
        </w:rPr>
        <w:t> </w:t>
      </w:r>
      <w:r>
        <w:rPr>
          <w:b/>
          <w:sz w:val="20"/>
        </w:rPr>
        <w:t>de</w:t>
      </w:r>
      <w:r>
        <w:rPr>
          <w:b/>
          <w:spacing w:val="-6"/>
          <w:sz w:val="20"/>
        </w:rPr>
        <w:t> </w:t>
      </w:r>
      <w:r>
        <w:rPr>
          <w:b/>
          <w:sz w:val="20"/>
        </w:rPr>
        <w:t>Municipios</w:t>
      </w:r>
      <w:r>
        <w:rPr>
          <w:b/>
          <w:spacing w:val="-6"/>
          <w:sz w:val="20"/>
        </w:rPr>
        <w:t> </w:t>
      </w:r>
      <w:r>
        <w:rPr>
          <w:b/>
          <w:sz w:val="20"/>
        </w:rPr>
        <w:t>INNOBUS-TUR,</w:t>
      </w:r>
      <w:r>
        <w:rPr>
          <w:b/>
          <w:spacing w:val="-6"/>
          <w:sz w:val="20"/>
        </w:rPr>
        <w:t> </w:t>
      </w:r>
      <w:r>
        <w:rPr>
          <w:b/>
          <w:sz w:val="20"/>
        </w:rPr>
        <w:t>de</w:t>
      </w:r>
      <w:r>
        <w:rPr>
          <w:b/>
          <w:spacing w:val="-6"/>
          <w:sz w:val="20"/>
        </w:rPr>
        <w:t> </w:t>
      </w:r>
      <w:r>
        <w:rPr>
          <w:b/>
          <w:sz w:val="20"/>
        </w:rPr>
        <w:t>la</w:t>
      </w:r>
      <w:r>
        <w:rPr>
          <w:b/>
          <w:spacing w:val="-6"/>
          <w:sz w:val="20"/>
        </w:rPr>
        <w:t> </w:t>
      </w:r>
      <w:r>
        <w:rPr>
          <w:b/>
          <w:sz w:val="20"/>
        </w:rPr>
        <w:t>que</w:t>
      </w:r>
      <w:r>
        <w:rPr>
          <w:b/>
          <w:spacing w:val="-6"/>
          <w:sz w:val="20"/>
        </w:rPr>
        <w:t> </w:t>
      </w:r>
      <w:r>
        <w:rPr>
          <w:b/>
          <w:sz w:val="20"/>
        </w:rPr>
        <w:t>forma</w:t>
      </w:r>
      <w:r>
        <w:rPr>
          <w:b/>
          <w:spacing w:val="-6"/>
          <w:sz w:val="20"/>
        </w:rPr>
        <w:t> </w:t>
      </w:r>
      <w:r>
        <w:rPr>
          <w:b/>
          <w:sz w:val="20"/>
        </w:rPr>
        <w:t>parte</w:t>
      </w:r>
      <w:r>
        <w:rPr>
          <w:b/>
          <w:spacing w:val="-6"/>
          <w:sz w:val="20"/>
        </w:rPr>
        <w:t> </w:t>
      </w:r>
      <w:r>
        <w:rPr>
          <w:b/>
          <w:sz w:val="20"/>
        </w:rPr>
        <w:t>el</w:t>
      </w:r>
      <w:r>
        <w:rPr>
          <w:b/>
          <w:spacing w:val="-6"/>
          <w:sz w:val="20"/>
        </w:rPr>
        <w:t> </w:t>
      </w:r>
      <w:r>
        <w:rPr>
          <w:b/>
          <w:sz w:val="20"/>
        </w:rPr>
        <w:t>Ayuntamiento</w:t>
      </w:r>
      <w:r>
        <w:rPr>
          <w:b/>
          <w:spacing w:val="-8"/>
          <w:sz w:val="20"/>
        </w:rPr>
        <w:t> </w:t>
      </w:r>
      <w:r>
        <w:rPr>
          <w:b/>
          <w:sz w:val="20"/>
        </w:rPr>
        <w:t>de</w:t>
      </w:r>
      <w:r>
        <w:rPr>
          <w:b/>
          <w:spacing w:val="-6"/>
          <w:sz w:val="20"/>
        </w:rPr>
        <w:t> </w:t>
      </w:r>
      <w:r>
        <w:rPr>
          <w:b/>
          <w:sz w:val="20"/>
        </w:rPr>
        <w:t>Las</w:t>
      </w:r>
      <w:r>
        <w:rPr>
          <w:b/>
          <w:spacing w:val="-6"/>
          <w:sz w:val="20"/>
        </w:rPr>
        <w:t> </w:t>
      </w:r>
      <w:r>
        <w:rPr>
          <w:b/>
          <w:sz w:val="20"/>
        </w:rPr>
        <w:t>Palmas de Gran Canaria, sí ha desarrollado actuaciones continuadas de coordinación técnica, seguimiento y puesta en común de resultados.</w:t>
      </w:r>
    </w:p>
    <w:p>
      <w:pPr>
        <w:spacing w:line="331" w:lineRule="auto" w:before="0"/>
        <w:ind w:left="1284" w:right="496" w:firstLine="0"/>
        <w:jc w:val="left"/>
        <w:rPr>
          <w:b/>
          <w:sz w:val="20"/>
        </w:rPr>
      </w:pPr>
      <w:r>
        <w:rPr>
          <w:b/>
          <w:sz w:val="20"/>
        </w:rPr>
        <w:t>La</w:t>
      </w:r>
      <w:r>
        <w:rPr>
          <w:b/>
          <w:spacing w:val="-2"/>
          <w:sz w:val="20"/>
        </w:rPr>
        <w:t> </w:t>
      </w:r>
      <w:r>
        <w:rPr>
          <w:b/>
          <w:sz w:val="20"/>
        </w:rPr>
        <w:t>Agrupación</w:t>
      </w:r>
      <w:r>
        <w:rPr>
          <w:b/>
          <w:spacing w:val="-8"/>
          <w:sz w:val="20"/>
        </w:rPr>
        <w:t> </w:t>
      </w:r>
      <w:r>
        <w:rPr>
          <w:b/>
          <w:sz w:val="20"/>
        </w:rPr>
        <w:t>cuenta</w:t>
      </w:r>
      <w:r>
        <w:rPr>
          <w:b/>
          <w:spacing w:val="-6"/>
          <w:sz w:val="20"/>
        </w:rPr>
        <w:t> </w:t>
      </w:r>
      <w:r>
        <w:rPr>
          <w:b/>
          <w:sz w:val="20"/>
        </w:rPr>
        <w:t>con</w:t>
      </w:r>
      <w:r>
        <w:rPr>
          <w:b/>
          <w:spacing w:val="-6"/>
          <w:sz w:val="20"/>
        </w:rPr>
        <w:t> </w:t>
      </w:r>
      <w:r>
        <w:rPr>
          <w:b/>
          <w:sz w:val="20"/>
        </w:rPr>
        <w:t>una</w:t>
      </w:r>
      <w:r>
        <w:rPr>
          <w:b/>
          <w:spacing w:val="-6"/>
          <w:sz w:val="20"/>
        </w:rPr>
        <w:t> </w:t>
      </w:r>
      <w:r>
        <w:rPr>
          <w:b/>
          <w:sz w:val="20"/>
        </w:rPr>
        <w:t>Comisión</w:t>
      </w:r>
      <w:r>
        <w:rPr>
          <w:b/>
          <w:spacing w:val="-4"/>
          <w:sz w:val="20"/>
        </w:rPr>
        <w:t> </w:t>
      </w:r>
      <w:r>
        <w:rPr>
          <w:b/>
          <w:sz w:val="20"/>
        </w:rPr>
        <w:t>Técnica</w:t>
      </w:r>
      <w:r>
        <w:rPr>
          <w:b/>
          <w:spacing w:val="-6"/>
          <w:sz w:val="20"/>
        </w:rPr>
        <w:t> </w:t>
      </w:r>
      <w:r>
        <w:rPr>
          <w:b/>
          <w:sz w:val="20"/>
        </w:rPr>
        <w:t>activa</w:t>
      </w:r>
      <w:r>
        <w:rPr>
          <w:b/>
          <w:spacing w:val="-6"/>
          <w:sz w:val="20"/>
        </w:rPr>
        <w:t> </w:t>
      </w:r>
      <w:r>
        <w:rPr>
          <w:b/>
          <w:sz w:val="20"/>
        </w:rPr>
        <w:t>desde</w:t>
      </w:r>
      <w:r>
        <w:rPr>
          <w:b/>
          <w:spacing w:val="-6"/>
          <w:sz w:val="20"/>
        </w:rPr>
        <w:t> </w:t>
      </w:r>
      <w:r>
        <w:rPr>
          <w:b/>
          <w:sz w:val="20"/>
        </w:rPr>
        <w:t>el</w:t>
      </w:r>
      <w:r>
        <w:rPr>
          <w:b/>
          <w:spacing w:val="-6"/>
          <w:sz w:val="20"/>
        </w:rPr>
        <w:t> </w:t>
      </w:r>
      <w:r>
        <w:rPr>
          <w:b/>
          <w:sz w:val="20"/>
        </w:rPr>
        <w:t>15</w:t>
      </w:r>
      <w:r>
        <w:rPr>
          <w:b/>
          <w:spacing w:val="-6"/>
          <w:sz w:val="20"/>
        </w:rPr>
        <w:t> </w:t>
      </w:r>
      <w:r>
        <w:rPr>
          <w:b/>
          <w:sz w:val="20"/>
        </w:rPr>
        <w:t>de</w:t>
      </w:r>
      <w:r>
        <w:rPr>
          <w:b/>
          <w:spacing w:val="-6"/>
          <w:sz w:val="20"/>
        </w:rPr>
        <w:t> </w:t>
      </w:r>
      <w:r>
        <w:rPr>
          <w:b/>
          <w:sz w:val="20"/>
        </w:rPr>
        <w:t>septiembre</w:t>
      </w:r>
      <w:r>
        <w:rPr>
          <w:b/>
          <w:spacing w:val="-6"/>
          <w:sz w:val="20"/>
        </w:rPr>
        <w:t> </w:t>
      </w:r>
      <w:r>
        <w:rPr>
          <w:b/>
          <w:sz w:val="20"/>
        </w:rPr>
        <w:t>de</w:t>
      </w:r>
      <w:r>
        <w:rPr>
          <w:b/>
          <w:spacing w:val="-3"/>
          <w:sz w:val="20"/>
        </w:rPr>
        <w:t> </w:t>
      </w:r>
      <w:r>
        <w:rPr>
          <w:b/>
          <w:sz w:val="20"/>
        </w:rPr>
        <w:t>2022,</w:t>
      </w:r>
      <w:r>
        <w:rPr>
          <w:b/>
          <w:spacing w:val="-5"/>
          <w:sz w:val="20"/>
        </w:rPr>
        <w:t> </w:t>
      </w:r>
      <w:r>
        <w:rPr>
          <w:b/>
          <w:sz w:val="20"/>
        </w:rPr>
        <w:t>integrada por técnicos de las empresas de transporte de los municipios participantes, la cual se reúne periódicamente cada mes y medio y constituye el principal órgano operativo de coordinación y seguimiento del proyecto.</w:t>
      </w:r>
    </w:p>
    <w:p>
      <w:pPr>
        <w:spacing w:line="333" w:lineRule="auto" w:before="0"/>
        <w:ind w:left="1284" w:right="0" w:firstLine="0"/>
        <w:jc w:val="left"/>
        <w:rPr>
          <w:b/>
          <w:sz w:val="20"/>
        </w:rPr>
      </w:pPr>
      <w:r>
        <w:rPr>
          <w:b/>
          <w:sz w:val="20"/>
        </w:rPr>
        <w:t>En</w:t>
      </w:r>
      <w:r>
        <w:rPr>
          <w:b/>
          <w:spacing w:val="-5"/>
          <w:sz w:val="20"/>
        </w:rPr>
        <w:t> </w:t>
      </w:r>
      <w:r>
        <w:rPr>
          <w:b/>
          <w:sz w:val="20"/>
        </w:rPr>
        <w:t>el</w:t>
      </w:r>
      <w:r>
        <w:rPr>
          <w:b/>
          <w:spacing w:val="-5"/>
          <w:sz w:val="20"/>
        </w:rPr>
        <w:t> </w:t>
      </w:r>
      <w:r>
        <w:rPr>
          <w:b/>
          <w:sz w:val="20"/>
        </w:rPr>
        <w:t>seno</w:t>
      </w:r>
      <w:r>
        <w:rPr>
          <w:b/>
          <w:spacing w:val="-4"/>
          <w:sz w:val="20"/>
        </w:rPr>
        <w:t> </w:t>
      </w:r>
      <w:r>
        <w:rPr>
          <w:b/>
          <w:sz w:val="20"/>
        </w:rPr>
        <w:t>de</w:t>
      </w:r>
      <w:r>
        <w:rPr>
          <w:b/>
          <w:spacing w:val="-5"/>
          <w:sz w:val="20"/>
        </w:rPr>
        <w:t> </w:t>
      </w:r>
      <w:r>
        <w:rPr>
          <w:b/>
          <w:sz w:val="20"/>
        </w:rPr>
        <w:t>esta</w:t>
      </w:r>
      <w:r>
        <w:rPr>
          <w:b/>
          <w:spacing w:val="-5"/>
          <w:sz w:val="20"/>
        </w:rPr>
        <w:t> </w:t>
      </w:r>
      <w:r>
        <w:rPr>
          <w:b/>
          <w:sz w:val="20"/>
        </w:rPr>
        <w:t>Comisión</w:t>
      </w:r>
      <w:r>
        <w:rPr>
          <w:b/>
          <w:spacing w:val="-5"/>
          <w:sz w:val="20"/>
        </w:rPr>
        <w:t> </w:t>
      </w:r>
      <w:r>
        <w:rPr>
          <w:b/>
          <w:sz w:val="20"/>
        </w:rPr>
        <w:t>se</w:t>
      </w:r>
      <w:r>
        <w:rPr>
          <w:b/>
          <w:spacing w:val="-4"/>
          <w:sz w:val="20"/>
        </w:rPr>
        <w:t> </w:t>
      </w:r>
      <w:r>
        <w:rPr>
          <w:b/>
          <w:sz w:val="20"/>
        </w:rPr>
        <w:t>han</w:t>
      </w:r>
      <w:r>
        <w:rPr>
          <w:b/>
          <w:spacing w:val="-5"/>
          <w:sz w:val="20"/>
        </w:rPr>
        <w:t> </w:t>
      </w:r>
      <w:r>
        <w:rPr>
          <w:b/>
          <w:sz w:val="20"/>
        </w:rPr>
        <w:t>venido</w:t>
      </w:r>
      <w:r>
        <w:rPr>
          <w:b/>
          <w:spacing w:val="-7"/>
          <w:sz w:val="20"/>
        </w:rPr>
        <w:t> </w:t>
      </w:r>
      <w:r>
        <w:rPr>
          <w:b/>
          <w:sz w:val="20"/>
        </w:rPr>
        <w:t>analizando,</w:t>
      </w:r>
      <w:r>
        <w:rPr>
          <w:b/>
          <w:spacing w:val="-5"/>
          <w:sz w:val="20"/>
        </w:rPr>
        <w:t> </w:t>
      </w:r>
      <w:r>
        <w:rPr>
          <w:b/>
          <w:sz w:val="20"/>
        </w:rPr>
        <w:t>de</w:t>
      </w:r>
      <w:r>
        <w:rPr>
          <w:b/>
          <w:spacing w:val="-5"/>
          <w:sz w:val="20"/>
        </w:rPr>
        <w:t> </w:t>
      </w:r>
      <w:r>
        <w:rPr>
          <w:b/>
          <w:sz w:val="20"/>
        </w:rPr>
        <w:t>forma</w:t>
      </w:r>
      <w:r>
        <w:rPr>
          <w:b/>
          <w:spacing w:val="-5"/>
          <w:sz w:val="20"/>
        </w:rPr>
        <w:t> </w:t>
      </w:r>
      <w:r>
        <w:rPr>
          <w:b/>
          <w:sz w:val="20"/>
        </w:rPr>
        <w:t>conjunta,</w:t>
      </w:r>
      <w:r>
        <w:rPr>
          <w:b/>
          <w:spacing w:val="-5"/>
          <w:sz w:val="20"/>
        </w:rPr>
        <w:t> </w:t>
      </w:r>
      <w:r>
        <w:rPr>
          <w:b/>
          <w:sz w:val="20"/>
        </w:rPr>
        <w:t>los</w:t>
      </w:r>
      <w:r>
        <w:rPr>
          <w:b/>
          <w:spacing w:val="-5"/>
          <w:sz w:val="20"/>
        </w:rPr>
        <w:t> </w:t>
      </w:r>
      <w:r>
        <w:rPr>
          <w:b/>
          <w:sz w:val="20"/>
        </w:rPr>
        <w:t>avances</w:t>
      </w:r>
      <w:r>
        <w:rPr>
          <w:b/>
          <w:spacing w:val="-4"/>
          <w:sz w:val="20"/>
        </w:rPr>
        <w:t> </w:t>
      </w:r>
      <w:r>
        <w:rPr>
          <w:b/>
          <w:sz w:val="20"/>
        </w:rPr>
        <w:t>en</w:t>
      </w:r>
      <w:r>
        <w:rPr>
          <w:b/>
          <w:spacing w:val="-7"/>
          <w:sz w:val="20"/>
        </w:rPr>
        <w:t> </w:t>
      </w:r>
      <w:r>
        <w:rPr>
          <w:b/>
          <w:sz w:val="20"/>
        </w:rPr>
        <w:t>los</w:t>
      </w:r>
      <w:r>
        <w:rPr>
          <w:b/>
          <w:spacing w:val="-5"/>
          <w:sz w:val="20"/>
        </w:rPr>
        <w:t> </w:t>
      </w:r>
      <w:r>
        <w:rPr>
          <w:b/>
          <w:sz w:val="20"/>
        </w:rPr>
        <w:t>distintos proyectos,</w:t>
      </w:r>
      <w:r>
        <w:rPr>
          <w:b/>
          <w:spacing w:val="-2"/>
          <w:sz w:val="20"/>
        </w:rPr>
        <w:t> </w:t>
      </w:r>
      <w:r>
        <w:rPr>
          <w:b/>
          <w:sz w:val="20"/>
        </w:rPr>
        <w:t>los</w:t>
      </w:r>
      <w:r>
        <w:rPr>
          <w:b/>
          <w:spacing w:val="-2"/>
          <w:sz w:val="20"/>
        </w:rPr>
        <w:t> </w:t>
      </w:r>
      <w:r>
        <w:rPr>
          <w:b/>
          <w:sz w:val="20"/>
        </w:rPr>
        <w:t>procesos</w:t>
      </w:r>
      <w:r>
        <w:rPr>
          <w:b/>
          <w:spacing w:val="-2"/>
          <w:sz w:val="20"/>
        </w:rPr>
        <w:t> </w:t>
      </w:r>
      <w:r>
        <w:rPr>
          <w:b/>
          <w:sz w:val="20"/>
        </w:rPr>
        <w:t>técnicos</w:t>
      </w:r>
      <w:r>
        <w:rPr>
          <w:b/>
          <w:spacing w:val="-2"/>
          <w:sz w:val="20"/>
        </w:rPr>
        <w:t> </w:t>
      </w:r>
      <w:r>
        <w:rPr>
          <w:b/>
          <w:sz w:val="20"/>
        </w:rPr>
        <w:t>y</w:t>
      </w:r>
      <w:r>
        <w:rPr>
          <w:b/>
          <w:spacing w:val="-2"/>
          <w:sz w:val="20"/>
        </w:rPr>
        <w:t> </w:t>
      </w:r>
      <w:r>
        <w:rPr>
          <w:b/>
          <w:sz w:val="20"/>
        </w:rPr>
        <w:t>de</w:t>
      </w:r>
      <w:r>
        <w:rPr>
          <w:b/>
          <w:spacing w:val="-2"/>
          <w:sz w:val="20"/>
        </w:rPr>
        <w:t> </w:t>
      </w:r>
      <w:r>
        <w:rPr>
          <w:b/>
          <w:sz w:val="20"/>
        </w:rPr>
        <w:t>digitalización,</w:t>
      </w:r>
      <w:r>
        <w:rPr>
          <w:b/>
          <w:spacing w:val="-2"/>
          <w:sz w:val="20"/>
        </w:rPr>
        <w:t> </w:t>
      </w:r>
      <w:r>
        <w:rPr>
          <w:b/>
          <w:sz w:val="20"/>
        </w:rPr>
        <w:t>los resultados</w:t>
      </w:r>
      <w:r>
        <w:rPr>
          <w:b/>
          <w:spacing w:val="-2"/>
          <w:sz w:val="20"/>
        </w:rPr>
        <w:t> </w:t>
      </w:r>
      <w:r>
        <w:rPr>
          <w:b/>
          <w:sz w:val="20"/>
        </w:rPr>
        <w:t>alcanzados y</w:t>
      </w:r>
      <w:r>
        <w:rPr>
          <w:b/>
          <w:spacing w:val="-2"/>
          <w:sz w:val="20"/>
        </w:rPr>
        <w:t> </w:t>
      </w:r>
      <w:r>
        <w:rPr>
          <w:b/>
          <w:sz w:val="20"/>
        </w:rPr>
        <w:t>las</w:t>
      </w:r>
      <w:r>
        <w:rPr>
          <w:b/>
          <w:spacing w:val="-2"/>
          <w:sz w:val="20"/>
        </w:rPr>
        <w:t> </w:t>
      </w:r>
      <w:r>
        <w:rPr>
          <w:b/>
          <w:sz w:val="20"/>
        </w:rPr>
        <w:t>buenas</w:t>
      </w:r>
      <w:r>
        <w:rPr>
          <w:b/>
          <w:spacing w:val="-2"/>
          <w:sz w:val="20"/>
        </w:rPr>
        <w:t> </w:t>
      </w:r>
      <w:r>
        <w:rPr>
          <w:b/>
          <w:sz w:val="20"/>
        </w:rPr>
        <w:t>prácticas aplicadas en cada una de las ciudades.</w:t>
      </w:r>
    </w:p>
    <w:p>
      <w:pPr>
        <w:spacing w:line="333" w:lineRule="auto" w:before="0"/>
        <w:ind w:left="1284" w:right="1021" w:firstLine="0"/>
        <w:jc w:val="both"/>
        <w:rPr>
          <w:b/>
          <w:sz w:val="20"/>
        </w:rPr>
      </w:pPr>
      <w:r>
        <w:rPr>
          <w:b/>
          <w:sz w:val="20"/>
        </w:rPr>
        <mc:AlternateContent>
          <mc:Choice Requires="wps">
            <w:drawing>
              <wp:anchor distT="0" distB="0" distL="0" distR="0" allowOverlap="1" layoutInCell="1" locked="0" behindDoc="0" simplePos="0" relativeHeight="15806976">
                <wp:simplePos x="0" y="0"/>
                <wp:positionH relativeFrom="page">
                  <wp:posOffset>244784</wp:posOffset>
                </wp:positionH>
                <wp:positionV relativeFrom="paragraph">
                  <wp:posOffset>105280</wp:posOffset>
                </wp:positionV>
                <wp:extent cx="138430" cy="2155190"/>
                <wp:effectExtent l="0" t="0" r="0" b="0"/>
                <wp:wrapNone/>
                <wp:docPr id="578" name="Textbox 578"/>
                <wp:cNvGraphicFramePr>
                  <a:graphicFrameLocks/>
                </wp:cNvGraphicFramePr>
                <a:graphic>
                  <a:graphicData uri="http://schemas.microsoft.com/office/word/2010/wordprocessingShape">
                    <wps:wsp>
                      <wps:cNvPr id="578" name="Textbox 578"/>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8.289826pt;width:10.9pt;height:169.7pt;mso-position-horizontal-relative:page;mso-position-vertical-relative:paragraph;z-index:15806976" type="#_x0000_t202" id="docshape487"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w:t>Asimismo,</w:t>
      </w:r>
      <w:r>
        <w:rPr>
          <w:b/>
          <w:spacing w:val="-6"/>
          <w:sz w:val="20"/>
        </w:rPr>
        <w:t> </w:t>
      </w:r>
      <w:r>
        <w:rPr>
          <w:b/>
          <w:sz w:val="20"/>
        </w:rPr>
        <w:t>se</w:t>
      </w:r>
      <w:r>
        <w:rPr>
          <w:b/>
          <w:spacing w:val="-6"/>
          <w:sz w:val="20"/>
        </w:rPr>
        <w:t> </w:t>
      </w:r>
      <w:r>
        <w:rPr>
          <w:b/>
          <w:sz w:val="20"/>
        </w:rPr>
        <w:t>prevé</w:t>
      </w:r>
      <w:r>
        <w:rPr>
          <w:b/>
          <w:spacing w:val="-6"/>
          <w:sz w:val="20"/>
        </w:rPr>
        <w:t> </w:t>
      </w:r>
      <w:r>
        <w:rPr>
          <w:b/>
          <w:sz w:val="20"/>
        </w:rPr>
        <w:t>la</w:t>
      </w:r>
      <w:r>
        <w:rPr>
          <w:b/>
          <w:spacing w:val="-6"/>
          <w:sz w:val="20"/>
        </w:rPr>
        <w:t> </w:t>
      </w:r>
      <w:r>
        <w:rPr>
          <w:b/>
          <w:sz w:val="20"/>
        </w:rPr>
        <w:t>celebración</w:t>
      </w:r>
      <w:r>
        <w:rPr>
          <w:b/>
          <w:spacing w:val="-5"/>
          <w:sz w:val="20"/>
        </w:rPr>
        <w:t> </w:t>
      </w:r>
      <w:r>
        <w:rPr>
          <w:b/>
          <w:sz w:val="20"/>
        </w:rPr>
        <w:t>de</w:t>
      </w:r>
      <w:r>
        <w:rPr>
          <w:b/>
          <w:spacing w:val="-4"/>
          <w:sz w:val="20"/>
        </w:rPr>
        <w:t> </w:t>
      </w:r>
      <w:r>
        <w:rPr>
          <w:b/>
          <w:sz w:val="20"/>
        </w:rPr>
        <w:t>una</w:t>
      </w:r>
      <w:r>
        <w:rPr>
          <w:b/>
          <w:spacing w:val="-6"/>
          <w:sz w:val="20"/>
        </w:rPr>
        <w:t> </w:t>
      </w:r>
      <w:r>
        <w:rPr>
          <w:b/>
          <w:sz w:val="20"/>
        </w:rPr>
        <w:t>última</w:t>
      </w:r>
      <w:r>
        <w:rPr>
          <w:b/>
          <w:spacing w:val="-6"/>
          <w:sz w:val="20"/>
        </w:rPr>
        <w:t> </w:t>
      </w:r>
      <w:r>
        <w:rPr>
          <w:b/>
          <w:sz w:val="20"/>
        </w:rPr>
        <w:t>reunión</w:t>
      </w:r>
      <w:r>
        <w:rPr>
          <w:b/>
          <w:spacing w:val="-6"/>
          <w:sz w:val="20"/>
        </w:rPr>
        <w:t> </w:t>
      </w:r>
      <w:r>
        <w:rPr>
          <w:b/>
          <w:sz w:val="20"/>
        </w:rPr>
        <w:t>del</w:t>
      </w:r>
      <w:r>
        <w:rPr>
          <w:b/>
          <w:spacing w:val="-4"/>
          <w:sz w:val="20"/>
        </w:rPr>
        <w:t> </w:t>
      </w:r>
      <w:r>
        <w:rPr>
          <w:b/>
          <w:sz w:val="20"/>
        </w:rPr>
        <w:t>Comité</w:t>
      </w:r>
      <w:r>
        <w:rPr>
          <w:b/>
          <w:spacing w:val="-6"/>
          <w:sz w:val="20"/>
        </w:rPr>
        <w:t> </w:t>
      </w:r>
      <w:r>
        <w:rPr>
          <w:b/>
          <w:sz w:val="20"/>
        </w:rPr>
        <w:t>de</w:t>
      </w:r>
      <w:r>
        <w:rPr>
          <w:b/>
          <w:spacing w:val="-5"/>
          <w:sz w:val="20"/>
        </w:rPr>
        <w:t> </w:t>
      </w:r>
      <w:r>
        <w:rPr>
          <w:b/>
          <w:sz w:val="20"/>
        </w:rPr>
        <w:t>Proyecto</w:t>
      </w:r>
      <w:r>
        <w:rPr>
          <w:b/>
          <w:spacing w:val="-6"/>
          <w:sz w:val="20"/>
        </w:rPr>
        <w:t> </w:t>
      </w:r>
      <w:r>
        <w:rPr>
          <w:b/>
          <w:sz w:val="20"/>
        </w:rPr>
        <w:t>antes</w:t>
      </w:r>
      <w:r>
        <w:rPr>
          <w:b/>
          <w:spacing w:val="-3"/>
          <w:sz w:val="20"/>
        </w:rPr>
        <w:t> </w:t>
      </w:r>
      <w:r>
        <w:rPr>
          <w:b/>
          <w:sz w:val="20"/>
        </w:rPr>
        <w:t>de</w:t>
      </w:r>
      <w:r>
        <w:rPr>
          <w:b/>
          <w:spacing w:val="-6"/>
          <w:sz w:val="20"/>
        </w:rPr>
        <w:t> </w:t>
      </w:r>
      <w:r>
        <w:rPr>
          <w:b/>
          <w:sz w:val="20"/>
        </w:rPr>
        <w:t>finalizar 2025,</w:t>
      </w:r>
      <w:r>
        <w:rPr>
          <w:b/>
          <w:spacing w:val="-2"/>
          <w:sz w:val="20"/>
        </w:rPr>
        <w:t> </w:t>
      </w:r>
      <w:r>
        <w:rPr>
          <w:b/>
          <w:sz w:val="20"/>
        </w:rPr>
        <w:t>destinada</w:t>
      </w:r>
      <w:r>
        <w:rPr>
          <w:b/>
          <w:spacing w:val="-2"/>
          <w:sz w:val="20"/>
        </w:rPr>
        <w:t> </w:t>
      </w:r>
      <w:r>
        <w:rPr>
          <w:b/>
          <w:sz w:val="20"/>
        </w:rPr>
        <w:t>a</w:t>
      </w:r>
      <w:r>
        <w:rPr>
          <w:b/>
          <w:spacing w:val="-2"/>
          <w:sz w:val="20"/>
        </w:rPr>
        <w:t> </w:t>
      </w:r>
      <w:r>
        <w:rPr>
          <w:b/>
          <w:sz w:val="20"/>
        </w:rPr>
        <w:t>la</w:t>
      </w:r>
      <w:r>
        <w:rPr>
          <w:b/>
          <w:spacing w:val="-2"/>
          <w:sz w:val="20"/>
        </w:rPr>
        <w:t> </w:t>
      </w:r>
      <w:r>
        <w:rPr>
          <w:b/>
          <w:sz w:val="20"/>
        </w:rPr>
        <w:t>presentación</w:t>
      </w:r>
      <w:r>
        <w:rPr>
          <w:b/>
          <w:spacing w:val="-1"/>
          <w:sz w:val="20"/>
        </w:rPr>
        <w:t> </w:t>
      </w:r>
      <w:r>
        <w:rPr>
          <w:b/>
          <w:sz w:val="20"/>
        </w:rPr>
        <w:t>y</w:t>
      </w:r>
      <w:r>
        <w:rPr>
          <w:b/>
          <w:spacing w:val="-2"/>
          <w:sz w:val="20"/>
        </w:rPr>
        <w:t> </w:t>
      </w:r>
      <w:r>
        <w:rPr>
          <w:b/>
          <w:sz w:val="20"/>
        </w:rPr>
        <w:t>cierre</w:t>
      </w:r>
      <w:r>
        <w:rPr>
          <w:b/>
          <w:spacing w:val="-2"/>
          <w:sz w:val="20"/>
        </w:rPr>
        <w:t> </w:t>
      </w:r>
      <w:r>
        <w:rPr>
          <w:b/>
          <w:sz w:val="20"/>
        </w:rPr>
        <w:t>de</w:t>
      </w:r>
      <w:r>
        <w:rPr>
          <w:b/>
          <w:spacing w:val="-2"/>
          <w:sz w:val="20"/>
        </w:rPr>
        <w:t> </w:t>
      </w:r>
      <w:r>
        <w:rPr>
          <w:b/>
          <w:sz w:val="20"/>
        </w:rPr>
        <w:t>la</w:t>
      </w:r>
      <w:r>
        <w:rPr>
          <w:b/>
          <w:spacing w:val="-2"/>
          <w:sz w:val="20"/>
        </w:rPr>
        <w:t> </w:t>
      </w:r>
      <w:r>
        <w:rPr>
          <w:b/>
          <w:sz w:val="20"/>
        </w:rPr>
        <w:t>justificación final, así</w:t>
      </w:r>
      <w:r>
        <w:rPr>
          <w:b/>
          <w:spacing w:val="-2"/>
          <w:sz w:val="20"/>
        </w:rPr>
        <w:t> </w:t>
      </w:r>
      <w:r>
        <w:rPr>
          <w:b/>
          <w:sz w:val="20"/>
        </w:rPr>
        <w:t>como</w:t>
      </w:r>
      <w:r>
        <w:rPr>
          <w:b/>
          <w:spacing w:val="-2"/>
          <w:sz w:val="20"/>
        </w:rPr>
        <w:t> </w:t>
      </w:r>
      <w:r>
        <w:rPr>
          <w:b/>
          <w:sz w:val="20"/>
        </w:rPr>
        <w:t>a</w:t>
      </w:r>
      <w:r>
        <w:rPr>
          <w:b/>
          <w:spacing w:val="-2"/>
          <w:sz w:val="20"/>
        </w:rPr>
        <w:t> </w:t>
      </w:r>
      <w:r>
        <w:rPr>
          <w:b/>
          <w:sz w:val="20"/>
        </w:rPr>
        <w:t>la</w:t>
      </w:r>
      <w:r>
        <w:rPr>
          <w:b/>
          <w:spacing w:val="-2"/>
          <w:sz w:val="20"/>
        </w:rPr>
        <w:t> </w:t>
      </w:r>
      <w:r>
        <w:rPr>
          <w:b/>
          <w:sz w:val="20"/>
        </w:rPr>
        <w:t>planificación</w:t>
      </w:r>
      <w:r>
        <w:rPr>
          <w:b/>
          <w:spacing w:val="-3"/>
          <w:sz w:val="20"/>
        </w:rPr>
        <w:t> </w:t>
      </w:r>
      <w:r>
        <w:rPr>
          <w:b/>
          <w:sz w:val="20"/>
        </w:rPr>
        <w:t>de</w:t>
      </w:r>
      <w:r>
        <w:rPr>
          <w:b/>
          <w:spacing w:val="-2"/>
          <w:sz w:val="20"/>
        </w:rPr>
        <w:t> </w:t>
      </w:r>
      <w:r>
        <w:rPr>
          <w:b/>
          <w:sz w:val="20"/>
        </w:rPr>
        <w:t>la liquidación del convenio y adenda.</w:t>
      </w:r>
    </w:p>
    <w:p>
      <w:pPr>
        <w:spacing w:line="333" w:lineRule="auto" w:before="0"/>
        <w:ind w:left="1284" w:right="1044" w:firstLine="0"/>
        <w:jc w:val="both"/>
        <w:rPr>
          <w:b/>
          <w:sz w:val="20"/>
        </w:rPr>
      </w:pPr>
      <w:r>
        <w:rPr>
          <w:b/>
          <w:sz w:val="20"/>
        </w:rPr>
        <w:t>Por</w:t>
      </w:r>
      <w:r>
        <w:rPr>
          <w:b/>
          <w:spacing w:val="-7"/>
          <w:sz w:val="20"/>
        </w:rPr>
        <w:t> </w:t>
      </w:r>
      <w:r>
        <w:rPr>
          <w:b/>
          <w:sz w:val="20"/>
        </w:rPr>
        <w:t>tanto,</w:t>
      </w:r>
      <w:r>
        <w:rPr>
          <w:b/>
          <w:spacing w:val="-7"/>
          <w:sz w:val="20"/>
        </w:rPr>
        <w:t> </w:t>
      </w:r>
      <w:r>
        <w:rPr>
          <w:b/>
          <w:sz w:val="20"/>
        </w:rPr>
        <w:t>las</w:t>
      </w:r>
      <w:r>
        <w:rPr>
          <w:b/>
          <w:spacing w:val="-7"/>
          <w:sz w:val="20"/>
        </w:rPr>
        <w:t> </w:t>
      </w:r>
      <w:r>
        <w:rPr>
          <w:b/>
          <w:sz w:val="20"/>
        </w:rPr>
        <w:t>consideraciones,</w:t>
      </w:r>
      <w:r>
        <w:rPr>
          <w:b/>
          <w:spacing w:val="-7"/>
          <w:sz w:val="20"/>
        </w:rPr>
        <w:t> </w:t>
      </w:r>
      <w:r>
        <w:rPr>
          <w:b/>
          <w:sz w:val="20"/>
        </w:rPr>
        <w:t>argumentos</w:t>
      </w:r>
      <w:r>
        <w:rPr>
          <w:b/>
          <w:spacing w:val="-7"/>
          <w:sz w:val="20"/>
        </w:rPr>
        <w:t> </w:t>
      </w:r>
      <w:r>
        <w:rPr>
          <w:b/>
          <w:sz w:val="20"/>
        </w:rPr>
        <w:t>y</w:t>
      </w:r>
      <w:r>
        <w:rPr>
          <w:b/>
          <w:spacing w:val="-6"/>
          <w:sz w:val="20"/>
        </w:rPr>
        <w:t> </w:t>
      </w:r>
      <w:r>
        <w:rPr>
          <w:b/>
          <w:sz w:val="20"/>
        </w:rPr>
        <w:t>pruebas</w:t>
      </w:r>
      <w:r>
        <w:rPr>
          <w:b/>
          <w:spacing w:val="-7"/>
          <w:sz w:val="20"/>
        </w:rPr>
        <w:t> </w:t>
      </w:r>
      <w:r>
        <w:rPr>
          <w:b/>
          <w:sz w:val="20"/>
        </w:rPr>
        <w:t>documentales</w:t>
      </w:r>
      <w:r>
        <w:rPr>
          <w:b/>
          <w:spacing w:val="-7"/>
          <w:sz w:val="20"/>
        </w:rPr>
        <w:t> </w:t>
      </w:r>
      <w:r>
        <w:rPr>
          <w:b/>
          <w:sz w:val="20"/>
        </w:rPr>
        <w:t>ya</w:t>
      </w:r>
      <w:r>
        <w:rPr>
          <w:b/>
          <w:spacing w:val="-7"/>
          <w:sz w:val="20"/>
        </w:rPr>
        <w:t> </w:t>
      </w:r>
      <w:r>
        <w:rPr>
          <w:b/>
          <w:sz w:val="20"/>
        </w:rPr>
        <w:t>aportadas</w:t>
      </w:r>
      <w:r>
        <w:rPr>
          <w:b/>
          <w:spacing w:val="-6"/>
          <w:sz w:val="20"/>
        </w:rPr>
        <w:t> </w:t>
      </w:r>
      <w:r>
        <w:rPr>
          <w:b/>
          <w:sz w:val="20"/>
        </w:rPr>
        <w:t>en</w:t>
      </w:r>
      <w:r>
        <w:rPr>
          <w:b/>
          <w:spacing w:val="-9"/>
          <w:sz w:val="20"/>
        </w:rPr>
        <w:t> </w:t>
      </w:r>
      <w:r>
        <w:rPr>
          <w:b/>
          <w:sz w:val="20"/>
        </w:rPr>
        <w:t>la</w:t>
      </w:r>
      <w:r>
        <w:rPr>
          <w:b/>
          <w:spacing w:val="-3"/>
          <w:sz w:val="20"/>
        </w:rPr>
        <w:t> </w:t>
      </w:r>
      <w:r>
        <w:rPr>
          <w:b/>
          <w:sz w:val="20"/>
        </w:rPr>
        <w:t>alegación anterior resultan plenamente aplicables al presente punto.</w:t>
      </w:r>
    </w:p>
    <w:p>
      <w:pPr>
        <w:spacing w:line="331" w:lineRule="auto" w:before="0"/>
        <w:ind w:left="1284" w:right="907" w:firstLine="0"/>
        <w:jc w:val="left"/>
        <w:rPr>
          <w:b/>
          <w:sz w:val="20"/>
        </w:rPr>
      </w:pPr>
      <w:r>
        <w:rPr>
          <w:b/>
          <w:sz w:val="20"/>
        </w:rPr>
        <mc:AlternateContent>
          <mc:Choice Requires="wps">
            <w:drawing>
              <wp:anchor distT="0" distB="0" distL="0" distR="0" allowOverlap="1" layoutInCell="1" locked="0" behindDoc="0" simplePos="0" relativeHeight="15805952">
                <wp:simplePos x="0" y="0"/>
                <wp:positionH relativeFrom="page">
                  <wp:posOffset>130383</wp:posOffset>
                </wp:positionH>
                <wp:positionV relativeFrom="paragraph">
                  <wp:posOffset>331661</wp:posOffset>
                </wp:positionV>
                <wp:extent cx="138430" cy="2952750"/>
                <wp:effectExtent l="0" t="0" r="0" b="0"/>
                <wp:wrapNone/>
                <wp:docPr id="579" name="Textbox 579"/>
                <wp:cNvGraphicFramePr>
                  <a:graphicFrameLocks/>
                </wp:cNvGraphicFramePr>
                <a:graphic>
                  <a:graphicData uri="http://schemas.microsoft.com/office/word/2010/wordprocessingShape">
                    <wps:wsp>
                      <wps:cNvPr id="579" name="Textbox 579"/>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26.115101pt;width:10.9pt;height:232.5pt;mso-position-horizontal-relative:page;mso-position-vertical-relative:paragraph;z-index:15805952" type="#_x0000_t202" id="docshape488"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806464">
                <wp:simplePos x="0" y="0"/>
                <wp:positionH relativeFrom="page">
                  <wp:posOffset>244784</wp:posOffset>
                </wp:positionH>
                <wp:positionV relativeFrom="paragraph">
                  <wp:posOffset>1540127</wp:posOffset>
                </wp:positionV>
                <wp:extent cx="251460" cy="1744345"/>
                <wp:effectExtent l="0" t="0" r="0" b="0"/>
                <wp:wrapNone/>
                <wp:docPr id="580" name="Textbox 580"/>
                <wp:cNvGraphicFramePr>
                  <a:graphicFrameLocks/>
                </wp:cNvGraphicFramePr>
                <a:graphic>
                  <a:graphicData uri="http://schemas.microsoft.com/office/word/2010/wordprocessingShape">
                    <wps:wsp>
                      <wps:cNvPr id="580" name="Textbox 580"/>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121.269867pt;width:19.8pt;height:137.35pt;mso-position-horizontal-relative:page;mso-position-vertical-relative:paragraph;z-index:15806464" type="#_x0000_t202" id="docshape489"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807488">
                <wp:simplePos x="0" y="0"/>
                <wp:positionH relativeFrom="page">
                  <wp:posOffset>344030</wp:posOffset>
                </wp:positionH>
                <wp:positionV relativeFrom="paragraph">
                  <wp:posOffset>112958</wp:posOffset>
                </wp:positionV>
                <wp:extent cx="163830" cy="2908935"/>
                <wp:effectExtent l="0" t="0" r="0" b="0"/>
                <wp:wrapNone/>
                <wp:docPr id="581" name="Graphic 581"/>
                <wp:cNvGraphicFramePr>
                  <a:graphicFrameLocks/>
                </wp:cNvGraphicFramePr>
                <a:graphic>
                  <a:graphicData uri="http://schemas.microsoft.com/office/word/2010/wordprocessingShape">
                    <wps:wsp>
                      <wps:cNvPr id="581" name="Graphic 581"/>
                      <wps:cNvSpPr/>
                      <wps:spPr>
                        <a:xfrm>
                          <a:off x="0" y="0"/>
                          <a:ext cx="163830" cy="2908935"/>
                        </a:xfrm>
                        <a:custGeom>
                          <a:avLst/>
                          <a:gdLst/>
                          <a:ahLst/>
                          <a:cxnLst/>
                          <a:rect l="l" t="t" r="r" b="b"/>
                          <a:pathLst>
                            <a:path w="163830" h="2908935">
                              <a:moveTo>
                                <a:pt x="163258" y="0"/>
                              </a:moveTo>
                              <a:lnTo>
                                <a:pt x="0" y="0"/>
                              </a:lnTo>
                              <a:lnTo>
                                <a:pt x="0" y="2908693"/>
                              </a:lnTo>
                              <a:lnTo>
                                <a:pt x="163258" y="2908693"/>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8.894409pt;width:12.855pt;height:229.031pt;mso-position-horizontal-relative:page;mso-position-vertical-relative:paragraph;z-index:15807488" id="docshape490" filled="true" fillcolor="#000000" stroked="false">
                <v:fill type="solid"/>
                <w10:wrap type="none"/>
              </v:rect>
            </w:pict>
          </mc:Fallback>
        </mc:AlternateContent>
      </w:r>
      <w:r>
        <w:rPr>
          <w:b/>
          <w:sz w:val="20"/>
        </w:rPr>
        <w:t>En virtud de lo anterior, se solicita a este Tribunal de Cuentas que tenga por acreditado que la Agrupación</w:t>
      </w:r>
      <w:r>
        <w:rPr>
          <w:b/>
          <w:spacing w:val="-5"/>
          <w:sz w:val="20"/>
        </w:rPr>
        <w:t> </w:t>
      </w:r>
      <w:r>
        <w:rPr>
          <w:b/>
          <w:sz w:val="20"/>
        </w:rPr>
        <w:t>de</w:t>
      </w:r>
      <w:r>
        <w:rPr>
          <w:b/>
          <w:spacing w:val="-7"/>
          <w:sz w:val="20"/>
        </w:rPr>
        <w:t> </w:t>
      </w:r>
      <w:r>
        <w:rPr>
          <w:b/>
          <w:sz w:val="20"/>
        </w:rPr>
        <w:t>Municipios</w:t>
      </w:r>
      <w:r>
        <w:rPr>
          <w:b/>
          <w:spacing w:val="-7"/>
          <w:sz w:val="20"/>
        </w:rPr>
        <w:t> </w:t>
      </w:r>
      <w:r>
        <w:rPr>
          <w:b/>
          <w:sz w:val="20"/>
        </w:rPr>
        <w:t>INNOBUS-TUR,</w:t>
      </w:r>
      <w:r>
        <w:rPr>
          <w:b/>
          <w:spacing w:val="-5"/>
          <w:sz w:val="20"/>
        </w:rPr>
        <w:t> </w:t>
      </w:r>
      <w:r>
        <w:rPr>
          <w:b/>
          <w:sz w:val="20"/>
        </w:rPr>
        <w:t>de</w:t>
      </w:r>
      <w:r>
        <w:rPr>
          <w:b/>
          <w:spacing w:val="-7"/>
          <w:sz w:val="20"/>
        </w:rPr>
        <w:t> </w:t>
      </w:r>
      <w:r>
        <w:rPr>
          <w:b/>
          <w:sz w:val="20"/>
        </w:rPr>
        <w:t>la</w:t>
      </w:r>
      <w:r>
        <w:rPr>
          <w:b/>
          <w:spacing w:val="-5"/>
          <w:sz w:val="20"/>
        </w:rPr>
        <w:t> </w:t>
      </w:r>
      <w:r>
        <w:rPr>
          <w:b/>
          <w:sz w:val="20"/>
        </w:rPr>
        <w:t>que</w:t>
      </w:r>
      <w:r>
        <w:rPr>
          <w:b/>
          <w:spacing w:val="-7"/>
          <w:sz w:val="20"/>
        </w:rPr>
        <w:t> </w:t>
      </w:r>
      <w:r>
        <w:rPr>
          <w:b/>
          <w:sz w:val="20"/>
        </w:rPr>
        <w:t>forma</w:t>
      </w:r>
      <w:r>
        <w:rPr>
          <w:b/>
          <w:spacing w:val="-5"/>
          <w:sz w:val="20"/>
        </w:rPr>
        <w:t> </w:t>
      </w:r>
      <w:r>
        <w:rPr>
          <w:b/>
          <w:sz w:val="20"/>
        </w:rPr>
        <w:t>parte</w:t>
      </w:r>
      <w:r>
        <w:rPr>
          <w:b/>
          <w:spacing w:val="-7"/>
          <w:sz w:val="20"/>
        </w:rPr>
        <w:t> </w:t>
      </w:r>
      <w:r>
        <w:rPr>
          <w:b/>
          <w:sz w:val="20"/>
        </w:rPr>
        <w:t>el</w:t>
      </w:r>
      <w:r>
        <w:rPr>
          <w:b/>
          <w:spacing w:val="-5"/>
          <w:sz w:val="20"/>
        </w:rPr>
        <w:t> </w:t>
      </w:r>
      <w:r>
        <w:rPr>
          <w:b/>
          <w:sz w:val="20"/>
        </w:rPr>
        <w:t>Ayuntamiento</w:t>
      </w:r>
      <w:r>
        <w:rPr>
          <w:b/>
          <w:spacing w:val="-5"/>
          <w:sz w:val="20"/>
        </w:rPr>
        <w:t> </w:t>
      </w:r>
      <w:r>
        <w:rPr>
          <w:b/>
          <w:sz w:val="20"/>
        </w:rPr>
        <w:t>de</w:t>
      </w:r>
      <w:r>
        <w:rPr>
          <w:b/>
          <w:spacing w:val="-7"/>
          <w:sz w:val="20"/>
        </w:rPr>
        <w:t> </w:t>
      </w:r>
      <w:r>
        <w:rPr>
          <w:b/>
          <w:sz w:val="20"/>
        </w:rPr>
        <w:t>Las</w:t>
      </w:r>
      <w:r>
        <w:rPr>
          <w:b/>
          <w:spacing w:val="-7"/>
          <w:sz w:val="20"/>
        </w:rPr>
        <w:t> </w:t>
      </w:r>
      <w:r>
        <w:rPr>
          <w:b/>
          <w:sz w:val="20"/>
        </w:rPr>
        <w:t>Palmas</w:t>
      </w:r>
      <w:r>
        <w:rPr>
          <w:b/>
          <w:spacing w:val="-7"/>
          <w:sz w:val="20"/>
        </w:rPr>
        <w:t> </w:t>
      </w:r>
      <w:r>
        <w:rPr>
          <w:b/>
          <w:sz w:val="20"/>
        </w:rPr>
        <w:t>de Gran Canaria, ha mantenido una coordinación técnica y un seguimiento continuado del proyecto, mediante reuniones periódicas y mecanismos efectivos de intercambio de información."</w:t>
      </w:r>
    </w:p>
    <w:p>
      <w:pPr>
        <w:spacing w:after="0" w:line="331" w:lineRule="auto"/>
        <w:jc w:val="left"/>
        <w:rPr>
          <w:b/>
          <w:sz w:val="20"/>
        </w:rPr>
        <w:sectPr>
          <w:footerReference w:type="even" r:id="rId169"/>
          <w:pgSz w:w="11910" w:h="16840"/>
          <w:pgMar w:header="0" w:footer="481" w:top="1240" w:bottom="680" w:left="141" w:right="141"/>
        </w:sectPr>
      </w:pPr>
    </w:p>
    <w:p>
      <w:pPr>
        <w:spacing w:line="240" w:lineRule="auto"/>
        <w:ind w:left="1219" w:right="0" w:firstLine="0"/>
        <w:rPr>
          <w:sz w:val="20"/>
        </w:rPr>
      </w:pPr>
      <w:r>
        <w:rPr>
          <w:sz w:val="20"/>
        </w:rPr>
        <w:drawing>
          <wp:inline distT="0" distB="0" distL="0" distR="0">
            <wp:extent cx="1807250" cy="530351"/>
            <wp:effectExtent l="0" t="0" r="0" b="0"/>
            <wp:docPr id="582" name="Image 582"/>
            <wp:cNvGraphicFramePr>
              <a:graphicFrameLocks/>
            </wp:cNvGraphicFramePr>
            <a:graphic>
              <a:graphicData uri="http://schemas.openxmlformats.org/drawingml/2006/picture">
                <pic:pic>
                  <pic:nvPicPr>
                    <pic:cNvPr id="582" name="Image 582"/>
                    <pic:cNvPicPr/>
                  </pic:nvPicPr>
                  <pic:blipFill>
                    <a:blip r:embed="rId61" cstate="print"/>
                    <a:stretch>
                      <a:fillRect/>
                    </a:stretch>
                  </pic:blipFill>
                  <pic:spPr>
                    <a:xfrm>
                      <a:off x="0" y="0"/>
                      <a:ext cx="1807250" cy="530351"/>
                    </a:xfrm>
                    <a:prstGeom prst="rect">
                      <a:avLst/>
                    </a:prstGeom>
                  </pic:spPr>
                </pic:pic>
              </a:graphicData>
            </a:graphic>
          </wp:inline>
        </w:drawing>
      </w:r>
      <w:r>
        <w:rPr>
          <w:sz w:val="20"/>
        </w:rPr>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87"/>
        <w:rPr>
          <w:b/>
          <w:sz w:val="32"/>
        </w:rPr>
      </w:pPr>
    </w:p>
    <w:p>
      <w:pPr>
        <w:pStyle w:val="Heading1"/>
      </w:pPr>
      <w:r>
        <w:rPr/>
        <w:drawing>
          <wp:anchor distT="0" distB="0" distL="0" distR="0" allowOverlap="1" layoutInCell="1" locked="0" behindDoc="1" simplePos="0" relativeHeight="474345984">
            <wp:simplePos x="0" y="0"/>
            <wp:positionH relativeFrom="page">
              <wp:posOffset>900430</wp:posOffset>
            </wp:positionH>
            <wp:positionV relativeFrom="paragraph">
              <wp:posOffset>-3400944</wp:posOffset>
            </wp:positionV>
            <wp:extent cx="6137656" cy="7663733"/>
            <wp:effectExtent l="0" t="0" r="0" b="0"/>
            <wp:wrapNone/>
            <wp:docPr id="583" name="Image 583"/>
            <wp:cNvGraphicFramePr>
              <a:graphicFrameLocks/>
            </wp:cNvGraphicFramePr>
            <a:graphic>
              <a:graphicData uri="http://schemas.openxmlformats.org/drawingml/2006/picture">
                <pic:pic>
                  <pic:nvPicPr>
                    <pic:cNvPr id="583" name="Image 583"/>
                    <pic:cNvPicPr/>
                  </pic:nvPicPr>
                  <pic:blipFill>
                    <a:blip r:embed="rId9" cstate="print"/>
                    <a:stretch>
                      <a:fillRect/>
                    </a:stretch>
                  </pic:blipFill>
                  <pic:spPr>
                    <a:xfrm>
                      <a:off x="0" y="0"/>
                      <a:ext cx="6137656" cy="7663733"/>
                    </a:xfrm>
                    <a:prstGeom prst="rect">
                      <a:avLst/>
                    </a:prstGeom>
                  </pic:spPr>
                </pic:pic>
              </a:graphicData>
            </a:graphic>
          </wp:anchor>
        </w:drawing>
      </w:r>
      <w:r>
        <w:rPr/>
        <w:t>Alegaciones</w:t>
      </w:r>
      <w:r>
        <w:rPr>
          <w:spacing w:val="-10"/>
        </w:rPr>
        <w:t> </w:t>
      </w:r>
      <w:r>
        <w:rPr/>
        <w:t>formuladas</w:t>
      </w:r>
      <w:r>
        <w:rPr>
          <w:spacing w:val="-11"/>
        </w:rPr>
        <w:t> </w:t>
      </w:r>
      <w:r>
        <w:rPr/>
        <w:t>por</w:t>
      </w:r>
      <w:r>
        <w:rPr>
          <w:spacing w:val="-7"/>
        </w:rPr>
        <w:t> </w:t>
      </w:r>
      <w:r>
        <w:rPr/>
        <w:t>el</w:t>
      </w:r>
      <w:r>
        <w:rPr>
          <w:spacing w:val="-10"/>
        </w:rPr>
        <w:t> </w:t>
      </w:r>
      <w:r>
        <w:rPr/>
        <w:t>Alcalde</w:t>
      </w:r>
      <w:r>
        <w:rPr>
          <w:spacing w:val="-11"/>
        </w:rPr>
        <w:t> </w:t>
      </w:r>
      <w:r>
        <w:rPr/>
        <w:t>del</w:t>
      </w:r>
      <w:r>
        <w:rPr>
          <w:spacing w:val="-11"/>
        </w:rPr>
        <w:t> </w:t>
      </w:r>
      <w:r>
        <w:rPr/>
        <w:t>Ayuntamiento</w:t>
      </w:r>
      <w:r>
        <w:rPr>
          <w:spacing w:val="-10"/>
        </w:rPr>
        <w:t> </w:t>
      </w:r>
      <w:r>
        <w:rPr/>
        <w:t>de</w:t>
      </w:r>
      <w:r>
        <w:rPr>
          <w:spacing w:val="-11"/>
        </w:rPr>
        <w:t> </w:t>
      </w:r>
      <w:r>
        <w:rPr>
          <w:spacing w:val="-2"/>
        </w:rPr>
        <w:t>Málaga</w:t>
      </w:r>
    </w:p>
    <w:p>
      <w:pPr>
        <w:pStyle w:val="Heading1"/>
        <w:spacing w:after="0"/>
        <w:sectPr>
          <w:headerReference w:type="default" r:id="rId170"/>
          <w:footerReference w:type="default" r:id="rId171"/>
          <w:pgSz w:w="11910" w:h="16840"/>
          <w:pgMar w:header="0" w:footer="0" w:top="900" w:bottom="280" w:left="141" w:right="141"/>
        </w:sectPr>
      </w:pPr>
    </w:p>
    <w:p>
      <w:pPr>
        <w:pStyle w:val="BodyText"/>
        <w:spacing w:before="4"/>
        <w:rPr>
          <w:rFonts w:ascii="Calibri"/>
          <w:b/>
          <w:sz w:val="16"/>
        </w:rPr>
      </w:pPr>
    </w:p>
    <w:p>
      <w:pPr>
        <w:pStyle w:val="BodyText"/>
        <w:spacing w:after="0"/>
        <w:rPr>
          <w:rFonts w:ascii="Calibri"/>
          <w:b/>
          <w:sz w:val="16"/>
        </w:rPr>
        <w:sectPr>
          <w:headerReference w:type="even" r:id="rId172"/>
          <w:footerReference w:type="even" r:id="rId173"/>
          <w:pgSz w:w="11910" w:h="16840"/>
          <w:pgMar w:header="0" w:footer="0" w:top="1920" w:bottom="280" w:left="141" w:right="141"/>
        </w:sectPr>
      </w:pPr>
    </w:p>
    <w:p>
      <w:pPr>
        <w:pStyle w:val="BodyText"/>
        <w:rPr>
          <w:rFonts w:ascii="Calibri"/>
          <w:b/>
          <w:sz w:val="32"/>
        </w:rPr>
      </w:pPr>
    </w:p>
    <w:p>
      <w:pPr>
        <w:pStyle w:val="BodyText"/>
        <w:spacing w:before="147"/>
        <w:rPr>
          <w:rFonts w:ascii="Calibri"/>
          <w:b/>
          <w:sz w:val="32"/>
        </w:rPr>
      </w:pPr>
    </w:p>
    <w:p>
      <w:pPr>
        <w:spacing w:line="261" w:lineRule="auto" w:before="0"/>
        <w:ind w:left="1925" w:right="2022" w:firstLine="0"/>
        <w:jc w:val="both"/>
        <w:rPr>
          <w:rFonts w:ascii="Calibri" w:hAnsi="Calibri"/>
          <w:sz w:val="32"/>
        </w:rPr>
      </w:pPr>
      <w:r>
        <w:rPr>
          <w:rFonts w:ascii="Calibri" w:hAnsi="Calibri"/>
          <w:sz w:val="32"/>
        </w:rPr>
        <mc:AlternateContent>
          <mc:Choice Requires="wps">
            <w:drawing>
              <wp:anchor distT="0" distB="0" distL="0" distR="0" allowOverlap="1" layoutInCell="1" locked="0" behindDoc="1" simplePos="0" relativeHeight="474348544">
                <wp:simplePos x="0" y="0"/>
                <wp:positionH relativeFrom="page">
                  <wp:posOffset>1312163</wp:posOffset>
                </wp:positionH>
                <wp:positionV relativeFrom="paragraph">
                  <wp:posOffset>760825</wp:posOffset>
                </wp:positionV>
                <wp:extent cx="4872355" cy="15240"/>
                <wp:effectExtent l="0" t="0" r="0" b="0"/>
                <wp:wrapNone/>
                <wp:docPr id="600" name="Graphic 600"/>
                <wp:cNvGraphicFramePr>
                  <a:graphicFrameLocks/>
                </wp:cNvGraphicFramePr>
                <a:graphic>
                  <a:graphicData uri="http://schemas.microsoft.com/office/word/2010/wordprocessingShape">
                    <wps:wsp>
                      <wps:cNvPr id="600" name="Graphic 600"/>
                      <wps:cNvSpPr/>
                      <wps:spPr>
                        <a:xfrm>
                          <a:off x="0" y="0"/>
                          <a:ext cx="4872355" cy="15240"/>
                        </a:xfrm>
                        <a:custGeom>
                          <a:avLst/>
                          <a:gdLst/>
                          <a:ahLst/>
                          <a:cxnLst/>
                          <a:rect l="l" t="t" r="r" b="b"/>
                          <a:pathLst>
                            <a:path w="4872355" h="15240">
                              <a:moveTo>
                                <a:pt x="4872228" y="0"/>
                              </a:moveTo>
                              <a:lnTo>
                                <a:pt x="0" y="0"/>
                              </a:lnTo>
                              <a:lnTo>
                                <a:pt x="0" y="15113"/>
                              </a:lnTo>
                              <a:lnTo>
                                <a:pt x="4872228" y="15113"/>
                              </a:lnTo>
                              <a:lnTo>
                                <a:pt x="487222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03.32pt;margin-top:59.907501pt;width:383.64pt;height:1.19pt;mso-position-horizontal-relative:page;mso-position-vertical-relative:paragraph;z-index:-28967936" id="docshape503" filled="true" fillcolor="#000000" stroked="false">
                <v:fill type="solid"/>
                <w10:wrap type="none"/>
              </v:rect>
            </w:pict>
          </mc:Fallback>
        </mc:AlternateContent>
      </w:r>
      <w:r>
        <w:rPr>
          <w:rFonts w:ascii="Calibri" w:hAnsi="Calibri"/>
          <w:w w:val="105"/>
          <w:sz w:val="32"/>
          <w:u w:val="single"/>
        </w:rPr>
        <w:t>ALEGACIONES</w:t>
      </w:r>
      <w:r>
        <w:rPr>
          <w:rFonts w:ascii="Calibri" w:hAnsi="Calibri"/>
          <w:w w:val="105"/>
          <w:sz w:val="32"/>
          <w:u w:val="single"/>
        </w:rPr>
        <w:t> AL</w:t>
      </w:r>
      <w:r>
        <w:rPr>
          <w:rFonts w:ascii="Calibri" w:hAnsi="Calibri"/>
          <w:w w:val="105"/>
          <w:sz w:val="32"/>
          <w:u w:val="single"/>
        </w:rPr>
        <w:t> ANTEPROYECTO</w:t>
      </w:r>
      <w:r>
        <w:rPr>
          <w:rFonts w:ascii="Calibri" w:hAnsi="Calibri"/>
          <w:w w:val="105"/>
          <w:sz w:val="32"/>
          <w:u w:val="single"/>
        </w:rPr>
        <w:t> DE</w:t>
      </w:r>
      <w:r>
        <w:rPr>
          <w:rFonts w:ascii="Calibri" w:hAnsi="Calibri"/>
          <w:w w:val="105"/>
          <w:sz w:val="32"/>
          <w:u w:val="single"/>
        </w:rPr>
        <w:t> INFORME</w:t>
      </w:r>
      <w:r>
        <w:rPr>
          <w:rFonts w:ascii="Calibri" w:hAnsi="Calibri"/>
          <w:w w:val="105"/>
          <w:sz w:val="32"/>
          <w:u w:val="single"/>
        </w:rPr>
        <w:t> DE</w:t>
      </w:r>
      <w:r>
        <w:rPr>
          <w:rFonts w:ascii="Calibri" w:hAnsi="Calibri"/>
          <w:w w:val="105"/>
          <w:sz w:val="32"/>
          <w:u w:val="none"/>
        </w:rPr>
        <w:t> </w:t>
      </w:r>
      <w:r>
        <w:rPr>
          <w:rFonts w:ascii="Calibri" w:hAnsi="Calibri"/>
          <w:w w:val="105"/>
          <w:sz w:val="32"/>
          <w:u w:val="single"/>
        </w:rPr>
        <w:t>FISCALIZACIÓN</w:t>
      </w:r>
      <w:r>
        <w:rPr>
          <w:rFonts w:ascii="Calibri" w:hAnsi="Calibri"/>
          <w:w w:val="105"/>
          <w:sz w:val="32"/>
          <w:u w:val="single"/>
        </w:rPr>
        <w:t> SOBRE</w:t>
      </w:r>
      <w:r>
        <w:rPr>
          <w:rFonts w:ascii="Calibri" w:hAnsi="Calibri"/>
          <w:w w:val="105"/>
          <w:sz w:val="32"/>
          <w:u w:val="single"/>
        </w:rPr>
        <w:t> LAS</w:t>
      </w:r>
      <w:r>
        <w:rPr>
          <w:rFonts w:ascii="Calibri" w:hAnsi="Calibri"/>
          <w:w w:val="105"/>
          <w:sz w:val="32"/>
          <w:u w:val="single"/>
        </w:rPr>
        <w:t> MEDIDAS</w:t>
      </w:r>
      <w:r>
        <w:rPr>
          <w:rFonts w:ascii="Calibri" w:hAnsi="Calibri"/>
          <w:w w:val="105"/>
          <w:sz w:val="32"/>
          <w:u w:val="single"/>
        </w:rPr>
        <w:t> ADOPTADAS</w:t>
      </w:r>
      <w:r>
        <w:rPr>
          <w:rFonts w:ascii="Calibri" w:hAnsi="Calibri"/>
          <w:w w:val="105"/>
          <w:sz w:val="32"/>
          <w:u w:val="single"/>
        </w:rPr>
        <w:t> POR</w:t>
      </w:r>
      <w:r>
        <w:rPr>
          <w:rFonts w:ascii="Calibri" w:hAnsi="Calibri"/>
          <w:w w:val="105"/>
          <w:sz w:val="32"/>
          <w:u w:val="none"/>
        </w:rPr>
        <w:t> LAS</w:t>
      </w:r>
      <w:r>
        <w:rPr>
          <w:rFonts w:ascii="Calibri" w:hAnsi="Calibri"/>
          <w:w w:val="105"/>
          <w:sz w:val="32"/>
          <w:u w:val="none"/>
        </w:rPr>
        <w:t> ENTIDADES</w:t>
      </w:r>
      <w:r>
        <w:rPr>
          <w:rFonts w:ascii="Calibri" w:hAnsi="Calibri"/>
          <w:w w:val="105"/>
          <w:sz w:val="32"/>
          <w:u w:val="none"/>
        </w:rPr>
        <w:t> LOCALES</w:t>
      </w:r>
      <w:r>
        <w:rPr>
          <w:rFonts w:ascii="Calibri" w:hAnsi="Calibri"/>
          <w:w w:val="105"/>
          <w:sz w:val="32"/>
          <w:u w:val="none"/>
        </w:rPr>
        <w:t> PARA</w:t>
      </w:r>
      <w:r>
        <w:rPr>
          <w:rFonts w:ascii="Calibri" w:hAnsi="Calibri"/>
          <w:w w:val="105"/>
          <w:sz w:val="32"/>
          <w:u w:val="none"/>
        </w:rPr>
        <w:t> LOGRAR</w:t>
      </w:r>
      <w:r>
        <w:rPr>
          <w:rFonts w:ascii="Calibri" w:hAnsi="Calibri"/>
          <w:w w:val="105"/>
          <w:sz w:val="32"/>
          <w:u w:val="none"/>
        </w:rPr>
        <w:t> UNA </w:t>
      </w:r>
      <w:r>
        <w:rPr>
          <w:rFonts w:ascii="Calibri" w:hAnsi="Calibri"/>
          <w:w w:val="105"/>
          <w:sz w:val="32"/>
          <w:u w:val="single"/>
        </w:rPr>
        <w:t>MOVILIDAD</w:t>
      </w:r>
      <w:r>
        <w:rPr>
          <w:rFonts w:ascii="Calibri" w:hAnsi="Calibri"/>
          <w:w w:val="105"/>
          <w:sz w:val="32"/>
          <w:u w:val="single"/>
        </w:rPr>
        <w:t> SOSTENIBLE</w:t>
      </w:r>
      <w:r>
        <w:rPr>
          <w:rFonts w:ascii="Calibri" w:hAnsi="Calibri"/>
          <w:w w:val="105"/>
          <w:sz w:val="32"/>
          <w:u w:val="single"/>
        </w:rPr>
        <w:t> EN</w:t>
      </w:r>
      <w:r>
        <w:rPr>
          <w:rFonts w:ascii="Calibri" w:hAnsi="Calibri"/>
          <w:w w:val="105"/>
          <w:sz w:val="32"/>
          <w:u w:val="single"/>
        </w:rPr>
        <w:t> EL</w:t>
      </w:r>
      <w:r>
        <w:rPr>
          <w:rFonts w:ascii="Calibri" w:hAnsi="Calibri"/>
          <w:w w:val="105"/>
          <w:sz w:val="32"/>
          <w:u w:val="single"/>
        </w:rPr>
        <w:t> TRANSPORTE</w:t>
      </w:r>
      <w:r>
        <w:rPr>
          <w:rFonts w:ascii="Calibri" w:hAnsi="Calibri"/>
          <w:w w:val="105"/>
          <w:sz w:val="32"/>
          <w:u w:val="single"/>
        </w:rPr>
        <w:t> PÚBLICO</w:t>
      </w:r>
      <w:r>
        <w:rPr>
          <w:rFonts w:ascii="Calibri" w:hAnsi="Calibri"/>
          <w:w w:val="105"/>
          <w:sz w:val="32"/>
          <w:u w:val="none"/>
        </w:rPr>
        <w:t> </w:t>
      </w:r>
      <w:r>
        <w:rPr>
          <w:rFonts w:ascii="Calibri" w:hAnsi="Calibri"/>
          <w:w w:val="105"/>
          <w:sz w:val="32"/>
          <w:u w:val="single"/>
        </w:rPr>
        <w:t>COLECTIVO, EJERCICIOS 2023 Y 2024.</w:t>
      </w:r>
    </w:p>
    <w:p>
      <w:pPr>
        <w:spacing w:before="154"/>
        <w:ind w:left="1925" w:right="0" w:firstLine="0"/>
        <w:jc w:val="both"/>
        <w:rPr>
          <w:rFonts w:ascii="Calibri" w:hAnsi="Calibri"/>
          <w:sz w:val="32"/>
        </w:rPr>
      </w:pPr>
      <w:r>
        <w:rPr>
          <w:rFonts w:ascii="Calibri" w:hAnsi="Calibri"/>
          <w:sz w:val="32"/>
          <w:u w:val="single"/>
        </w:rPr>
        <w:t>AYUNTAMIENTO</w:t>
      </w:r>
      <w:r>
        <w:rPr>
          <w:rFonts w:ascii="Calibri" w:hAnsi="Calibri"/>
          <w:spacing w:val="13"/>
          <w:sz w:val="32"/>
          <w:u w:val="single"/>
        </w:rPr>
        <w:t> </w:t>
      </w:r>
      <w:r>
        <w:rPr>
          <w:rFonts w:ascii="Calibri" w:hAnsi="Calibri"/>
          <w:sz w:val="32"/>
          <w:u w:val="single"/>
        </w:rPr>
        <w:t>DE</w:t>
      </w:r>
      <w:r>
        <w:rPr>
          <w:rFonts w:ascii="Calibri" w:hAnsi="Calibri"/>
          <w:spacing w:val="13"/>
          <w:sz w:val="32"/>
          <w:u w:val="single"/>
        </w:rPr>
        <w:t> </w:t>
      </w:r>
      <w:r>
        <w:rPr>
          <w:rFonts w:ascii="Calibri" w:hAnsi="Calibri"/>
          <w:spacing w:val="-2"/>
          <w:sz w:val="32"/>
          <w:u w:val="single"/>
        </w:rPr>
        <w:t>MÁLAGA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70"/>
        <w:rPr>
          <w:rFonts w:ascii="Calibri"/>
          <w:sz w:val="20"/>
        </w:rPr>
      </w:pPr>
    </w:p>
    <w:p>
      <w:pPr>
        <w:spacing w:line="256" w:lineRule="auto" w:before="0"/>
        <w:ind w:left="1925" w:right="2020" w:firstLine="0"/>
        <w:jc w:val="both"/>
        <w:rPr>
          <w:rFonts w:ascii="Calibri" w:hAnsi="Calibri"/>
          <w:sz w:val="20"/>
        </w:rPr>
      </w:pPr>
      <w:r>
        <w:rPr>
          <w:rFonts w:ascii="Calibri" w:hAnsi="Calibri"/>
          <w:sz w:val="20"/>
        </w:rPr>
        <w:t>DON FRANCISCO DE LA TORRE PRADOS, en calidad de Alcalde del Excmo. Ayuntamiento de Málaga, provisto de DNI n</w:t>
      </w:r>
      <w:r>
        <w:rPr>
          <w:rFonts w:ascii="Calibri" w:hAnsi="Calibri"/>
          <w:spacing w:val="-2"/>
          <w:sz w:val="20"/>
        </w:rPr>
        <w:t> </w:t>
      </w:r>
      <w:r>
        <w:rPr>
          <w:rFonts w:ascii="Calibri" w:hAnsi="Calibri"/>
          <w:sz w:val="20"/>
        </w:rPr>
        <w:t>º</w:t>
      </w:r>
      <w:r>
        <w:rPr>
          <w:rFonts w:ascii="Calibri" w:hAnsi="Calibri"/>
          <w:spacing w:val="-12"/>
          <w:sz w:val="20"/>
        </w:rPr>
        <w:t> </w:t>
      </w:r>
      <w:r>
        <w:rPr>
          <w:rFonts w:ascii="Calibri" w:hAnsi="Calibri"/>
          <w:spacing w:val="-6"/>
          <w:position w:val="-5"/>
          <w:sz w:val="20"/>
        </w:rPr>
        <w:drawing>
          <wp:inline distT="0" distB="0" distL="0" distR="0">
            <wp:extent cx="597039" cy="135686"/>
            <wp:effectExtent l="0" t="0" r="0" b="0"/>
            <wp:docPr id="601" name="Image 601"/>
            <wp:cNvGraphicFramePr>
              <a:graphicFrameLocks/>
            </wp:cNvGraphicFramePr>
            <a:graphic>
              <a:graphicData uri="http://schemas.openxmlformats.org/drawingml/2006/picture">
                <pic:pic>
                  <pic:nvPicPr>
                    <pic:cNvPr id="601" name="Image 601"/>
                    <pic:cNvPicPr/>
                  </pic:nvPicPr>
                  <pic:blipFill>
                    <a:blip r:embed="rId177" cstate="print"/>
                    <a:stretch>
                      <a:fillRect/>
                    </a:stretch>
                  </pic:blipFill>
                  <pic:spPr>
                    <a:xfrm>
                      <a:off x="0" y="0"/>
                      <a:ext cx="597039" cy="135686"/>
                    </a:xfrm>
                    <a:prstGeom prst="rect">
                      <a:avLst/>
                    </a:prstGeom>
                  </pic:spPr>
                </pic:pic>
              </a:graphicData>
            </a:graphic>
          </wp:inline>
        </w:drawing>
      </w:r>
      <w:r>
        <w:rPr>
          <w:rFonts w:ascii="Calibri" w:hAnsi="Calibri"/>
          <w:spacing w:val="-6"/>
          <w:position w:val="-5"/>
          <w:sz w:val="20"/>
        </w:rPr>
      </w:r>
      <w:r>
        <w:rPr>
          <w:rFonts w:ascii="Times New Roman" w:hAnsi="Times New Roman"/>
          <w:spacing w:val="26"/>
          <w:sz w:val="20"/>
        </w:rPr>
        <w:t> </w:t>
      </w:r>
      <w:r>
        <w:rPr>
          <w:rFonts w:ascii="Calibri" w:hAnsi="Calibri"/>
          <w:sz w:val="20"/>
        </w:rPr>
        <w:t>ante ese Organismo comparezco y respetuosamente, como mejor proceda en Derecho DIGO:</w:t>
      </w:r>
    </w:p>
    <w:p>
      <w:pPr>
        <w:pStyle w:val="BodyText"/>
        <w:rPr>
          <w:rFonts w:ascii="Calibri"/>
          <w:sz w:val="20"/>
        </w:rPr>
      </w:pPr>
    </w:p>
    <w:p>
      <w:pPr>
        <w:pStyle w:val="BodyText"/>
        <w:spacing w:before="61"/>
        <w:rPr>
          <w:rFonts w:ascii="Calibri"/>
          <w:sz w:val="20"/>
        </w:rPr>
      </w:pPr>
    </w:p>
    <w:p>
      <w:pPr>
        <w:spacing w:line="256" w:lineRule="auto" w:before="0"/>
        <w:ind w:left="1925" w:right="2020" w:firstLine="0"/>
        <w:jc w:val="both"/>
        <w:rPr>
          <w:rFonts w:ascii="Calibri" w:hAnsi="Calibri"/>
          <w:sz w:val="20"/>
        </w:rPr>
      </w:pPr>
      <w:r>
        <w:rPr>
          <w:rFonts w:ascii="Calibri" w:hAnsi="Calibri"/>
          <w:sz w:val="20"/>
        </w:rPr>
        <w:t>En relación con la “</w:t>
      </w:r>
      <w:r>
        <w:rPr>
          <w:rFonts w:ascii="Calibri" w:hAnsi="Calibri"/>
          <w:i/>
          <w:sz w:val="20"/>
        </w:rPr>
        <w:t>Fiscalización sobre las medidas adoptadas por las entidades locales para</w:t>
      </w:r>
      <w:r>
        <w:rPr>
          <w:rFonts w:ascii="Calibri" w:hAnsi="Calibri"/>
          <w:i/>
          <w:sz w:val="20"/>
        </w:rPr>
        <w:t> lograr una movilidad sostenible en el transporte público colectivo, ejercicios 2023 y 2024</w:t>
      </w:r>
      <w:r>
        <w:rPr>
          <w:rFonts w:ascii="Calibri" w:hAnsi="Calibri"/>
          <w:sz w:val="20"/>
        </w:rPr>
        <w:t>”, el pasado día 20 de octubre se dio traslado al Ayuntamiento de Málaga, el “ANTEPROYECTO DE INFORME DE FISCALIZACIÓN SOBRE LAS MEDIDAS ADOPTADAS POR LAS ENTIDADES LOCALES PARA</w:t>
      </w:r>
      <w:r>
        <w:rPr>
          <w:rFonts w:ascii="Calibri" w:hAnsi="Calibri"/>
          <w:spacing w:val="69"/>
          <w:sz w:val="20"/>
        </w:rPr>
        <w:t> </w:t>
      </w:r>
      <w:r>
        <w:rPr>
          <w:rFonts w:ascii="Calibri" w:hAnsi="Calibri"/>
          <w:sz w:val="20"/>
        </w:rPr>
        <w:t>LOGRAR</w:t>
      </w:r>
      <w:r>
        <w:rPr>
          <w:rFonts w:ascii="Calibri" w:hAnsi="Calibri"/>
          <w:spacing w:val="69"/>
          <w:sz w:val="20"/>
        </w:rPr>
        <w:t> </w:t>
      </w:r>
      <w:r>
        <w:rPr>
          <w:rFonts w:ascii="Calibri" w:hAnsi="Calibri"/>
          <w:sz w:val="20"/>
        </w:rPr>
        <w:t>UNA</w:t>
      </w:r>
      <w:r>
        <w:rPr>
          <w:rFonts w:ascii="Calibri" w:hAnsi="Calibri"/>
          <w:spacing w:val="69"/>
          <w:sz w:val="20"/>
        </w:rPr>
        <w:t> </w:t>
      </w:r>
      <w:r>
        <w:rPr>
          <w:rFonts w:ascii="Calibri" w:hAnsi="Calibri"/>
          <w:sz w:val="20"/>
        </w:rPr>
        <w:t>MOVILIDAD</w:t>
      </w:r>
      <w:r>
        <w:rPr>
          <w:rFonts w:ascii="Calibri" w:hAnsi="Calibri"/>
          <w:spacing w:val="69"/>
          <w:sz w:val="20"/>
        </w:rPr>
        <w:t> </w:t>
      </w:r>
      <w:r>
        <w:rPr>
          <w:rFonts w:ascii="Calibri" w:hAnsi="Calibri"/>
          <w:sz w:val="20"/>
        </w:rPr>
        <w:t>SOSTENIBLE</w:t>
      </w:r>
      <w:r>
        <w:rPr>
          <w:rFonts w:ascii="Calibri" w:hAnsi="Calibri"/>
          <w:spacing w:val="72"/>
          <w:sz w:val="20"/>
        </w:rPr>
        <w:t> </w:t>
      </w:r>
      <w:r>
        <w:rPr>
          <w:rFonts w:ascii="Calibri" w:hAnsi="Calibri"/>
          <w:sz w:val="20"/>
        </w:rPr>
        <w:t>EN</w:t>
      </w:r>
      <w:r>
        <w:rPr>
          <w:rFonts w:ascii="Calibri" w:hAnsi="Calibri"/>
          <w:spacing w:val="65"/>
          <w:sz w:val="20"/>
        </w:rPr>
        <w:t> </w:t>
      </w:r>
      <w:r>
        <w:rPr>
          <w:rFonts w:ascii="Calibri" w:hAnsi="Calibri"/>
          <w:sz w:val="20"/>
        </w:rPr>
        <w:t>EL</w:t>
      </w:r>
      <w:r>
        <w:rPr>
          <w:rFonts w:ascii="Calibri" w:hAnsi="Calibri"/>
          <w:spacing w:val="70"/>
          <w:sz w:val="20"/>
        </w:rPr>
        <w:t> </w:t>
      </w:r>
      <w:r>
        <w:rPr>
          <w:rFonts w:ascii="Calibri" w:hAnsi="Calibri"/>
          <w:sz w:val="20"/>
        </w:rPr>
        <w:t>TRANSPORTE</w:t>
      </w:r>
      <w:r>
        <w:rPr>
          <w:rFonts w:ascii="Calibri" w:hAnsi="Calibri"/>
          <w:spacing w:val="69"/>
          <w:sz w:val="20"/>
        </w:rPr>
        <w:t> </w:t>
      </w:r>
      <w:r>
        <w:rPr>
          <w:rFonts w:ascii="Calibri" w:hAnsi="Calibri"/>
          <w:sz w:val="20"/>
        </w:rPr>
        <w:t>PÚBLICO</w:t>
      </w:r>
      <w:r>
        <w:rPr>
          <w:rFonts w:ascii="Calibri" w:hAnsi="Calibri"/>
          <w:spacing w:val="69"/>
          <w:sz w:val="20"/>
        </w:rPr>
        <w:t> </w:t>
      </w:r>
      <w:r>
        <w:rPr>
          <w:rFonts w:ascii="Calibri" w:hAnsi="Calibri"/>
          <w:sz w:val="20"/>
        </w:rPr>
        <w:t>COLECTIVO,</w:t>
      </w:r>
    </w:p>
    <w:p>
      <w:pPr>
        <w:spacing w:line="256" w:lineRule="auto" w:before="2"/>
        <w:ind w:left="1925" w:right="2019" w:firstLine="0"/>
        <w:jc w:val="both"/>
        <w:rPr>
          <w:rFonts w:ascii="Calibri" w:hAnsi="Calibri"/>
          <w:sz w:val="20"/>
        </w:rPr>
      </w:pPr>
      <w:r>
        <w:rPr>
          <w:rFonts w:ascii="Calibri" w:hAnsi="Calibri"/>
          <w:sz w:val="20"/>
        </w:rPr>
        <w:t>EJERCICIOS 2023 Y 2024” emitido por el Tribunal de Cuentas, concediendo hasta el día 5 de noviembre de 2025 para alegar y aportar, en su caso, los documentos y justificaciones que se estimen pertinentes.</w:t>
      </w:r>
    </w:p>
    <w:p>
      <w:pPr>
        <w:spacing w:line="256" w:lineRule="auto" w:before="145"/>
        <w:ind w:left="1925" w:right="2023" w:firstLine="0"/>
        <w:jc w:val="both"/>
        <w:rPr>
          <w:rFonts w:ascii="Calibri" w:hAnsi="Calibri"/>
          <w:sz w:val="20"/>
        </w:rPr>
      </w:pPr>
      <w:r>
        <w:rPr>
          <w:rFonts w:ascii="Calibri" w:hAnsi="Calibri"/>
          <w:sz w:val="20"/>
        </w:rPr>
        <w:t>Dentro del citado plazo, y con el fin de aclarar determinadas observaciones efectuadas en el anteproyecto, se formulan las presentes alegaciones, estructuradas conforme a los distintos apartados del informe, con el objeto de solicitar la supresión o, en su caso, la matización de aquellas apreciaciones que no se ajustan a la realidad de la gestión o que requieren una precisión</w:t>
      </w:r>
      <w:r>
        <w:rPr>
          <w:rFonts w:ascii="Calibri" w:hAnsi="Calibri"/>
          <w:spacing w:val="-7"/>
          <w:sz w:val="20"/>
        </w:rPr>
        <w:t> </w:t>
      </w:r>
      <w:r>
        <w:rPr>
          <w:rFonts w:ascii="Calibri" w:hAnsi="Calibri"/>
          <w:sz w:val="20"/>
        </w:rPr>
        <w:t>adicional.</w:t>
      </w:r>
    </w:p>
    <w:p>
      <w:pPr>
        <w:spacing w:line="254" w:lineRule="auto" w:before="146"/>
        <w:ind w:left="1925" w:right="2025" w:firstLine="0"/>
        <w:jc w:val="both"/>
        <w:rPr>
          <w:rFonts w:ascii="Calibri" w:hAnsi="Calibri"/>
          <w:sz w:val="20"/>
        </w:rPr>
      </w:pPr>
      <w:r>
        <w:rPr>
          <w:rFonts w:ascii="Calibri" w:hAnsi="Calibri"/>
          <w:sz w:val="20"/>
        </w:rPr>
        <w:t>Asimismo, y en apoyo de las alegaciones presentadas, se acompaña documentación complementaria</w:t>
      </w:r>
      <w:r>
        <w:rPr>
          <w:rFonts w:ascii="Calibri" w:hAnsi="Calibri"/>
          <w:spacing w:val="-2"/>
          <w:sz w:val="20"/>
        </w:rPr>
        <w:t> </w:t>
      </w:r>
      <w:r>
        <w:rPr>
          <w:rFonts w:ascii="Calibri" w:hAnsi="Calibri"/>
          <w:sz w:val="20"/>
        </w:rPr>
        <w:t>que se pone a disposición de ese Tribunal a través del siguiente</w:t>
      </w:r>
      <w:r>
        <w:rPr>
          <w:rFonts w:ascii="Calibri" w:hAnsi="Calibri"/>
          <w:spacing w:val="-1"/>
          <w:sz w:val="20"/>
        </w:rPr>
        <w:t> </w:t>
      </w:r>
      <w:r>
        <w:rPr>
          <w:rFonts w:ascii="Calibri" w:hAnsi="Calibri"/>
          <w:sz w:val="20"/>
        </w:rPr>
        <w:t>enlace:</w:t>
      </w:r>
    </w:p>
    <w:p>
      <w:pPr>
        <w:spacing w:before="150"/>
        <w:ind w:left="1925" w:right="0" w:firstLine="0"/>
        <w:jc w:val="left"/>
        <w:rPr>
          <w:rFonts w:ascii="Calibri"/>
          <w:sz w:val="20"/>
        </w:rPr>
      </w:pPr>
      <w:hyperlink r:id="rId178">
        <w:r>
          <w:rPr>
            <w:rFonts w:ascii="Calibri"/>
            <w:color w:val="0563C1"/>
            <w:spacing w:val="-2"/>
            <w:sz w:val="20"/>
            <w:u w:val="single" w:color="0563C1"/>
          </w:rPr>
          <w:t>http://gofile.me/38Hph/eTMsV9Ex9</w:t>
        </w:r>
      </w:hyperlink>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602" name="Group 602"/>
                <wp:cNvGraphicFramePr>
                  <a:graphicFrameLocks/>
                </wp:cNvGraphicFramePr>
                <a:graphic>
                  <a:graphicData uri="http://schemas.microsoft.com/office/word/2010/wordprocessingGroup">
                    <wpg:wgp>
                      <wpg:cNvPr id="602" name="Group 602"/>
                      <wpg:cNvGrpSpPr/>
                      <wpg:grpSpPr>
                        <a:xfrm>
                          <a:off x="0" y="0"/>
                          <a:ext cx="1870075" cy="6350"/>
                          <a:chExt cx="1870075" cy="6350"/>
                        </a:xfrm>
                      </wpg:grpSpPr>
                      <wps:wsp>
                        <wps:cNvPr id="603" name="Graphic 603"/>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504" coordorigin="0,0" coordsize="2945,10">
                <v:rect style="position:absolute;left:0;top:0;width:2945;height:10" id="docshape505"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604" name="Group 604"/>
                <wp:cNvGraphicFramePr>
                  <a:graphicFrameLocks/>
                </wp:cNvGraphicFramePr>
                <a:graphic>
                  <a:graphicData uri="http://schemas.microsoft.com/office/word/2010/wordprocessingGroup">
                    <wpg:wgp>
                      <wpg:cNvPr id="604" name="Group 604"/>
                      <wpg:cNvGrpSpPr/>
                      <wpg:grpSpPr>
                        <a:xfrm>
                          <a:off x="0" y="0"/>
                          <a:ext cx="841375" cy="6350"/>
                          <a:chExt cx="841375" cy="6350"/>
                        </a:xfrm>
                      </wpg:grpSpPr>
                      <wps:wsp>
                        <wps:cNvPr id="605" name="Graphic 605"/>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506" coordorigin="0,0" coordsize="1325,10">
                <v:rect style="position:absolute;left:0;top:0;width:1325;height:10" id="docshape507"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174"/>
          <w:headerReference w:type="even" r:id="rId175"/>
          <w:footerReference w:type="default" r:id="rId176"/>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48032">
                <wp:simplePos x="0" y="0"/>
                <wp:positionH relativeFrom="page">
                  <wp:posOffset>4332186</wp:posOffset>
                </wp:positionH>
                <wp:positionV relativeFrom="paragraph">
                  <wp:posOffset>1412477</wp:posOffset>
                </wp:positionV>
                <wp:extent cx="53340" cy="100330"/>
                <wp:effectExtent l="0" t="0" r="0" b="0"/>
                <wp:wrapNone/>
                <wp:docPr id="606" name="Textbox 606"/>
                <wp:cNvGraphicFramePr>
                  <a:graphicFrameLocks/>
                </wp:cNvGraphicFramePr>
                <a:graphic>
                  <a:graphicData uri="http://schemas.microsoft.com/office/word/2010/wordprocessingShape">
                    <wps:wsp>
                      <wps:cNvPr id="606" name="Textbox 606"/>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68448" type="#_x0000_t202" id="docshape508"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349056">
                <wp:simplePos x="0" y="0"/>
                <wp:positionH relativeFrom="page">
                  <wp:posOffset>172212</wp:posOffset>
                </wp:positionH>
                <wp:positionV relativeFrom="paragraph">
                  <wp:posOffset>954200</wp:posOffset>
                </wp:positionV>
                <wp:extent cx="1298575" cy="417830"/>
                <wp:effectExtent l="0" t="0" r="0" b="0"/>
                <wp:wrapNone/>
                <wp:docPr id="607" name="Group 607"/>
                <wp:cNvGraphicFramePr>
                  <a:graphicFrameLocks/>
                </wp:cNvGraphicFramePr>
                <a:graphic>
                  <a:graphicData uri="http://schemas.microsoft.com/office/word/2010/wordprocessingGroup">
                    <wpg:wgp>
                      <wpg:cNvPr id="607" name="Group 607"/>
                      <wpg:cNvGrpSpPr/>
                      <wpg:grpSpPr>
                        <a:xfrm>
                          <a:off x="0" y="0"/>
                          <a:ext cx="1298575" cy="417830"/>
                          <a:chExt cx="1298575" cy="417830"/>
                        </a:xfrm>
                      </wpg:grpSpPr>
                      <wps:wsp>
                        <wps:cNvPr id="608" name="Graphic 608"/>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609" name="Image 609"/>
                          <pic:cNvPicPr/>
                        </pic:nvPicPr>
                        <pic:blipFill>
                          <a:blip r:embed="rId17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967424" id="docshapegroup509" coordorigin="271,1503" coordsize="2045,658">
                <v:shape style="position:absolute;left:271;top:1502;width:2045;height:658" id="docshape510" coordorigin="271,1503" coordsize="2045,658" path="m2316,1503l271,1503,271,1721,271,1723,271,2160,2316,2160,2316,1723,2316,1721,2316,1503xe" filled="true" fillcolor="#cccccc" stroked="false">
                  <v:path arrowok="t"/>
                  <v:fill type="solid"/>
                </v:shape>
                <v:shape style="position:absolute;left:343;top:1577;width:1896;height:327" type="#_x0000_t75" id="docshape511" stroked="false">
                  <v:imagedata r:id="rId179" o:title=""/>
                </v:shape>
                <w10:wrap type="none"/>
              </v:group>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610" name="Textbox 610"/>
                <wp:cNvGraphicFramePr>
                  <a:graphicFrameLocks/>
                </wp:cNvGraphicFramePr>
                <a:graphic>
                  <a:graphicData uri="http://schemas.microsoft.com/office/word/2010/wordprocessingShape">
                    <wps:wsp>
                      <wps:cNvPr id="610" name="Textbox 610"/>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30"/>
                              <w:gridCol w:w="2046"/>
                              <w:gridCol w:w="993"/>
                              <w:gridCol w:w="542"/>
                              <w:gridCol w:w="1023"/>
                              <w:gridCol w:w="818"/>
                              <w:gridCol w:w="1248"/>
                            </w:tblGrid>
                            <w:tr>
                              <w:trPr>
                                <w:trHeight w:val="59" w:hRule="atLeast"/>
                              </w:trPr>
                              <w:tc>
                                <w:tcPr>
                                  <w:tcW w:w="2065" w:type="dxa"/>
                                  <w:vMerge w:val="restart"/>
                                  <w:tcBorders>
                                    <w:bottom w:val="single" w:sz="6" w:space="0" w:color="000000"/>
                                    <w:right w:val="single" w:sz="6" w:space="0" w:color="000000"/>
                                  </w:tcBorders>
                                </w:tcPr>
                                <w:p>
                                  <w:pPr>
                                    <w:pStyle w:val="TableParagraph"/>
                                    <w:rPr>
                                      <w:rFonts w:ascii="Times New Roman"/>
                                      <w:sz w:val="14"/>
                                    </w:rPr>
                                  </w:pPr>
                                </w:p>
                              </w:tc>
                              <w:tc>
                                <w:tcPr>
                                  <w:tcW w:w="1530" w:type="dxa"/>
                                  <w:vMerge w:val="restart"/>
                                  <w:tcBorders>
                                    <w:left w:val="single" w:sz="6" w:space="0" w:color="000000"/>
                                    <w:bottom w:val="single" w:sz="6" w:space="0" w:color="000000"/>
                                    <w:right w:val="nil"/>
                                  </w:tcBorders>
                                </w:tcPr>
                                <w:p>
                                  <w:pPr>
                                    <w:pStyle w:val="TableParagraph"/>
                                    <w:rPr>
                                      <w:rFonts w:ascii="Times New Roman"/>
                                      <w:sz w:val="14"/>
                                    </w:rPr>
                                  </w:pPr>
                                </w:p>
                              </w:tc>
                              <w:tc>
                                <w:tcPr>
                                  <w:tcW w:w="2046" w:type="dxa"/>
                                  <w:tcBorders>
                                    <w:top w:val="nil"/>
                                    <w:left w:val="nil"/>
                                    <w:bottom w:val="nil"/>
                                    <w:right w:val="nil"/>
                                  </w:tcBorders>
                                  <w:shd w:val="clear" w:color="auto" w:fill="000000"/>
                                </w:tcPr>
                                <w:p>
                                  <w:pPr>
                                    <w:pStyle w:val="TableParagraph"/>
                                    <w:rPr>
                                      <w:rFonts w:ascii="Times New Roman"/>
                                      <w:sz w:val="2"/>
                                    </w:rPr>
                                  </w:pPr>
                                </w:p>
                              </w:tc>
                              <w:tc>
                                <w:tcPr>
                                  <w:tcW w:w="1535" w:type="dxa"/>
                                  <w:gridSpan w:val="2"/>
                                  <w:vMerge w:val="restart"/>
                                  <w:tcBorders>
                                    <w:left w:val="nil"/>
                                    <w:bottom w:val="single" w:sz="6" w:space="0" w:color="000000"/>
                                    <w:right w:val="single" w:sz="6" w:space="0" w:color="000000"/>
                                  </w:tcBorders>
                                </w:tcPr>
                                <w:p>
                                  <w:pPr>
                                    <w:pStyle w:val="TableParagraph"/>
                                    <w:rPr>
                                      <w:rFonts w:ascii="Times New Roman"/>
                                      <w:sz w:val="14"/>
                                    </w:rPr>
                                  </w:pPr>
                                </w:p>
                              </w:tc>
                              <w:tc>
                                <w:tcPr>
                                  <w:tcW w:w="1023" w:type="dxa"/>
                                  <w:vMerge w:val="restart"/>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2"/>
                                    <w:rPr>
                                      <w:rFonts w:ascii="Arial"/>
                                      <w:position w:val="-1"/>
                                      <w:sz w:val="10"/>
                                    </w:rPr>
                                  </w:pPr>
                                  <w:r>
                                    <w:rPr>
                                      <w:rFonts w:ascii="Arial"/>
                                      <w:position w:val="-1"/>
                                      <w:sz w:val="10"/>
                                    </w:rPr>
                                    <w:drawing>
                                      <wp:inline distT="0" distB="0" distL="0" distR="0">
                                        <wp:extent cx="266700" cy="66675"/>
                                        <wp:effectExtent l="0" t="0" r="0" b="0"/>
                                        <wp:docPr id="611" name="Image 611"/>
                                        <wp:cNvGraphicFramePr>
                                          <a:graphicFrameLocks/>
                                        </wp:cNvGraphicFramePr>
                                        <a:graphic>
                                          <a:graphicData uri="http://schemas.openxmlformats.org/drawingml/2006/picture">
                                            <pic:pic>
                                              <pic:nvPicPr>
                                                <pic:cNvPr id="611" name="Image 61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6" w:type="dxa"/>
                                  <w:gridSpan w:val="2"/>
                                  <w:vMerge w:val="restart"/>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3"/>
                                    <w:rPr>
                                      <w:rFonts w:ascii="Arial"/>
                                      <w:position w:val="-2"/>
                                      <w:sz w:val="13"/>
                                    </w:rPr>
                                  </w:pPr>
                                  <w:r>
                                    <w:rPr>
                                      <w:rFonts w:ascii="Arial"/>
                                      <w:position w:val="-2"/>
                                      <w:sz w:val="13"/>
                                    </w:rPr>
                                    <w:drawing>
                                      <wp:inline distT="0" distB="0" distL="0" distR="0">
                                        <wp:extent cx="498011" cy="85058"/>
                                        <wp:effectExtent l="0" t="0" r="0" b="0"/>
                                        <wp:docPr id="612" name="Image 612"/>
                                        <wp:cNvGraphicFramePr>
                                          <a:graphicFrameLocks/>
                                        </wp:cNvGraphicFramePr>
                                        <a:graphic>
                                          <a:graphicData uri="http://schemas.openxmlformats.org/drawingml/2006/picture">
                                            <pic:pic>
                                              <pic:nvPicPr>
                                                <pic:cNvPr id="612" name="Image 61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135" w:hRule="atLeast"/>
                              </w:trPr>
                              <w:tc>
                                <w:tcPr>
                                  <w:tcW w:w="2065" w:type="dxa"/>
                                  <w:vMerge/>
                                  <w:tcBorders>
                                    <w:top w:val="nil"/>
                                    <w:bottom w:val="single" w:sz="6" w:space="0" w:color="000000"/>
                                    <w:right w:val="single" w:sz="6" w:space="0" w:color="000000"/>
                                  </w:tcBorders>
                                </w:tcPr>
                                <w:p>
                                  <w:pPr>
                                    <w:rPr>
                                      <w:sz w:val="2"/>
                                      <w:szCs w:val="2"/>
                                    </w:rPr>
                                  </w:pPr>
                                </w:p>
                              </w:tc>
                              <w:tc>
                                <w:tcPr>
                                  <w:tcW w:w="1530" w:type="dxa"/>
                                  <w:vMerge/>
                                  <w:tcBorders>
                                    <w:top w:val="nil"/>
                                    <w:left w:val="single" w:sz="6" w:space="0" w:color="000000"/>
                                    <w:bottom w:val="single" w:sz="6" w:space="0" w:color="000000"/>
                                    <w:right w:val="nil"/>
                                  </w:tcBorders>
                                </w:tcPr>
                                <w:p>
                                  <w:pPr>
                                    <w:rPr>
                                      <w:sz w:val="2"/>
                                      <w:szCs w:val="2"/>
                                    </w:rPr>
                                  </w:pPr>
                                </w:p>
                              </w:tc>
                              <w:tc>
                                <w:tcPr>
                                  <w:tcW w:w="2046" w:type="dxa"/>
                                  <w:tcBorders>
                                    <w:top w:val="nil"/>
                                    <w:left w:val="nil"/>
                                    <w:bottom w:val="single" w:sz="6" w:space="0" w:color="000000"/>
                                    <w:right w:val="nil"/>
                                  </w:tcBorders>
                                  <w:shd w:val="clear" w:color="auto" w:fill="000000"/>
                                </w:tcPr>
                                <w:p>
                                  <w:pPr>
                                    <w:pStyle w:val="TableParagraph"/>
                                    <w:rPr>
                                      <w:rFonts w:ascii="Times New Roman"/>
                                      <w:sz w:val="8"/>
                                    </w:rPr>
                                  </w:pPr>
                                </w:p>
                              </w:tc>
                              <w:tc>
                                <w:tcPr>
                                  <w:tcW w:w="1535" w:type="dxa"/>
                                  <w:gridSpan w:val="2"/>
                                  <w:vMerge/>
                                  <w:tcBorders>
                                    <w:top w:val="nil"/>
                                    <w:left w:val="nil"/>
                                    <w:bottom w:val="single" w:sz="6" w:space="0" w:color="000000"/>
                                    <w:right w:val="single" w:sz="6" w:space="0" w:color="000000"/>
                                  </w:tcBorders>
                                </w:tcPr>
                                <w:p>
                                  <w:pPr>
                                    <w:rPr>
                                      <w:sz w:val="2"/>
                                      <w:szCs w:val="2"/>
                                    </w:rPr>
                                  </w:pPr>
                                </w:p>
                              </w:tc>
                              <w:tc>
                                <w:tcPr>
                                  <w:tcW w:w="1023" w:type="dxa"/>
                                  <w:vMerge/>
                                  <w:tcBorders>
                                    <w:top w:val="nil"/>
                                    <w:left w:val="single" w:sz="6" w:space="0" w:color="000000"/>
                                    <w:bottom w:val="single" w:sz="6" w:space="0" w:color="000000"/>
                                    <w:right w:val="single" w:sz="6" w:space="0" w:color="000000"/>
                                  </w:tcBorders>
                                  <w:shd w:val="clear" w:color="auto" w:fill="CCCCCC"/>
                                </w:tcPr>
                                <w:p>
                                  <w:pPr>
                                    <w:rPr>
                                      <w:sz w:val="2"/>
                                      <w:szCs w:val="2"/>
                                    </w:rPr>
                                  </w:pPr>
                                </w:p>
                              </w:tc>
                              <w:tc>
                                <w:tcPr>
                                  <w:tcW w:w="2066" w:type="dxa"/>
                                  <w:gridSpan w:val="2"/>
                                  <w:vMerge/>
                                  <w:tcBorders>
                                    <w:top w:val="nil"/>
                                    <w:left w:val="single" w:sz="6" w:space="0" w:color="000000"/>
                                    <w:bottom w:val="single" w:sz="6" w:space="0" w:color="000000"/>
                                  </w:tcBorders>
                                  <w:shd w:val="clear" w:color="auto" w:fill="CCCCCC"/>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11"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3"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3"/>
                                    <w:rPr>
                                      <w:rFonts w:ascii="Arial"/>
                                      <w:sz w:val="14"/>
                                    </w:rPr>
                                  </w:pPr>
                                  <w:r>
                                    <w:rPr>
                                      <w:rFonts w:ascii="Arial"/>
                                      <w:spacing w:val="-2"/>
                                      <w:sz w:val="14"/>
                                    </w:rPr>
                                    <w:t>Firmado</w:t>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380"/>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613" name="Image 613"/>
                                        <wp:cNvGraphicFramePr>
                                          <a:graphicFrameLocks/>
                                        </wp:cNvGraphicFramePr>
                                        <a:graphic>
                                          <a:graphicData uri="http://schemas.openxmlformats.org/drawingml/2006/picture">
                                            <pic:pic>
                                              <pic:nvPicPr>
                                                <pic:cNvPr id="613" name="Image 61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11"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3"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2"/>
                                    <w:rPr>
                                      <w:rFonts w:ascii="Arial"/>
                                      <w:position w:val="-2"/>
                                      <w:sz w:val="13"/>
                                    </w:rPr>
                                  </w:pPr>
                                  <w:r>
                                    <w:rPr>
                                      <w:rFonts w:ascii="Arial"/>
                                      <w:position w:val="-2"/>
                                      <w:sz w:val="13"/>
                                    </w:rPr>
                                    <w:drawing>
                                      <wp:inline distT="0" distB="0" distL="0" distR="0">
                                        <wp:extent cx="263096" cy="84010"/>
                                        <wp:effectExtent l="0" t="0" r="0" b="0"/>
                                        <wp:docPr id="614" name="Image 614"/>
                                        <wp:cNvGraphicFramePr>
                                          <a:graphicFrameLocks/>
                                        </wp:cNvGraphicFramePr>
                                        <a:graphic>
                                          <a:graphicData uri="http://schemas.openxmlformats.org/drawingml/2006/picture">
                                            <pic:pic>
                                              <pic:nvPicPr>
                                                <pic:cNvPr id="614" name="Image 614"/>
                                                <pic:cNvPicPr/>
                                              </pic:nvPicPr>
                                              <pic:blipFill>
                                                <a:blip r:embed="rId185" cstate="print"/>
                                                <a:stretch>
                                                  <a:fillRect/>
                                                </a:stretch>
                                              </pic:blipFill>
                                              <pic:spPr>
                                                <a:xfrm>
                                                  <a:off x="0" y="0"/>
                                                  <a:ext cx="263096" cy="84010"/>
                                                </a:xfrm>
                                                <a:prstGeom prst="rect">
                                                  <a:avLst/>
                                                </a:prstGeom>
                                              </pic:spPr>
                                            </pic:pic>
                                          </a:graphicData>
                                        </a:graphic>
                                      </wp:inline>
                                    </w:drawing>
                                  </w:r>
                                  <w:r>
                                    <w:rPr>
                                      <w:rFonts w:ascii="Arial"/>
                                      <w:position w:val="-2"/>
                                      <w:sz w:val="13"/>
                                    </w:rPr>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2" w:right="1"/>
                                    <w:jc w:val="center"/>
                                    <w:rPr>
                                      <w:rFonts w:ascii="Arial"/>
                                      <w:sz w:val="14"/>
                                    </w:rPr>
                                  </w:pPr>
                                  <w:r>
                                    <w:rPr>
                                      <w:rFonts w:ascii="Arial"/>
                                      <w:spacing w:val="-4"/>
                                      <w:sz w:val="14"/>
                                    </w:rPr>
                                    <w:t>1/40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615" name="Image 615"/>
                                        <wp:cNvGraphicFramePr>
                                          <a:graphicFrameLocks/>
                                        </wp:cNvGraphicFramePr>
                                        <a:graphic>
                                          <a:graphicData uri="http://schemas.openxmlformats.org/drawingml/2006/picture">
                                            <pic:pic>
                                              <pic:nvPicPr>
                                                <pic:cNvPr id="615" name="Image 615"/>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9"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3"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8"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616" name="Image 616"/>
                                        <wp:cNvGraphicFramePr>
                                          <a:graphicFrameLocks/>
                                        </wp:cNvGraphicFramePr>
                                        <a:graphic>
                                          <a:graphicData uri="http://schemas.openxmlformats.org/drawingml/2006/picture">
                                            <pic:pic>
                                              <pic:nvPicPr>
                                                <pic:cNvPr id="616" name="Image 616"/>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200"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512"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30"/>
                        <w:gridCol w:w="2046"/>
                        <w:gridCol w:w="993"/>
                        <w:gridCol w:w="542"/>
                        <w:gridCol w:w="1023"/>
                        <w:gridCol w:w="818"/>
                        <w:gridCol w:w="1248"/>
                      </w:tblGrid>
                      <w:tr>
                        <w:trPr>
                          <w:trHeight w:val="59" w:hRule="atLeast"/>
                        </w:trPr>
                        <w:tc>
                          <w:tcPr>
                            <w:tcW w:w="2065" w:type="dxa"/>
                            <w:vMerge w:val="restart"/>
                            <w:tcBorders>
                              <w:bottom w:val="single" w:sz="6" w:space="0" w:color="000000"/>
                              <w:right w:val="single" w:sz="6" w:space="0" w:color="000000"/>
                            </w:tcBorders>
                          </w:tcPr>
                          <w:p>
                            <w:pPr>
                              <w:pStyle w:val="TableParagraph"/>
                              <w:rPr>
                                <w:rFonts w:ascii="Times New Roman"/>
                                <w:sz w:val="14"/>
                              </w:rPr>
                            </w:pPr>
                          </w:p>
                        </w:tc>
                        <w:tc>
                          <w:tcPr>
                            <w:tcW w:w="1530" w:type="dxa"/>
                            <w:vMerge w:val="restart"/>
                            <w:tcBorders>
                              <w:left w:val="single" w:sz="6" w:space="0" w:color="000000"/>
                              <w:bottom w:val="single" w:sz="6" w:space="0" w:color="000000"/>
                              <w:right w:val="nil"/>
                            </w:tcBorders>
                          </w:tcPr>
                          <w:p>
                            <w:pPr>
                              <w:pStyle w:val="TableParagraph"/>
                              <w:rPr>
                                <w:rFonts w:ascii="Times New Roman"/>
                                <w:sz w:val="14"/>
                              </w:rPr>
                            </w:pPr>
                          </w:p>
                        </w:tc>
                        <w:tc>
                          <w:tcPr>
                            <w:tcW w:w="2046" w:type="dxa"/>
                            <w:tcBorders>
                              <w:top w:val="nil"/>
                              <w:left w:val="nil"/>
                              <w:bottom w:val="nil"/>
                              <w:right w:val="nil"/>
                            </w:tcBorders>
                            <w:shd w:val="clear" w:color="auto" w:fill="000000"/>
                          </w:tcPr>
                          <w:p>
                            <w:pPr>
                              <w:pStyle w:val="TableParagraph"/>
                              <w:rPr>
                                <w:rFonts w:ascii="Times New Roman"/>
                                <w:sz w:val="2"/>
                              </w:rPr>
                            </w:pPr>
                          </w:p>
                        </w:tc>
                        <w:tc>
                          <w:tcPr>
                            <w:tcW w:w="1535" w:type="dxa"/>
                            <w:gridSpan w:val="2"/>
                            <w:vMerge w:val="restart"/>
                            <w:tcBorders>
                              <w:left w:val="nil"/>
                              <w:bottom w:val="single" w:sz="6" w:space="0" w:color="000000"/>
                              <w:right w:val="single" w:sz="6" w:space="0" w:color="000000"/>
                            </w:tcBorders>
                          </w:tcPr>
                          <w:p>
                            <w:pPr>
                              <w:pStyle w:val="TableParagraph"/>
                              <w:rPr>
                                <w:rFonts w:ascii="Times New Roman"/>
                                <w:sz w:val="14"/>
                              </w:rPr>
                            </w:pPr>
                          </w:p>
                        </w:tc>
                        <w:tc>
                          <w:tcPr>
                            <w:tcW w:w="1023" w:type="dxa"/>
                            <w:vMerge w:val="restart"/>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2"/>
                              <w:rPr>
                                <w:rFonts w:ascii="Arial"/>
                                <w:position w:val="-1"/>
                                <w:sz w:val="10"/>
                              </w:rPr>
                            </w:pPr>
                            <w:r>
                              <w:rPr>
                                <w:rFonts w:ascii="Arial"/>
                                <w:position w:val="-1"/>
                                <w:sz w:val="10"/>
                              </w:rPr>
                              <w:drawing>
                                <wp:inline distT="0" distB="0" distL="0" distR="0">
                                  <wp:extent cx="266700" cy="66675"/>
                                  <wp:effectExtent l="0" t="0" r="0" b="0"/>
                                  <wp:docPr id="617" name="Image 617"/>
                                  <wp:cNvGraphicFramePr>
                                    <a:graphicFrameLocks/>
                                  </wp:cNvGraphicFramePr>
                                  <a:graphic>
                                    <a:graphicData uri="http://schemas.openxmlformats.org/drawingml/2006/picture">
                                      <pic:pic>
                                        <pic:nvPicPr>
                                          <pic:cNvPr id="617" name="Image 617"/>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6" w:type="dxa"/>
                            <w:gridSpan w:val="2"/>
                            <w:vMerge w:val="restart"/>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3"/>
                              <w:rPr>
                                <w:rFonts w:ascii="Arial"/>
                                <w:position w:val="-2"/>
                                <w:sz w:val="13"/>
                              </w:rPr>
                            </w:pPr>
                            <w:r>
                              <w:rPr>
                                <w:rFonts w:ascii="Arial"/>
                                <w:position w:val="-2"/>
                                <w:sz w:val="13"/>
                              </w:rPr>
                              <w:drawing>
                                <wp:inline distT="0" distB="0" distL="0" distR="0">
                                  <wp:extent cx="498011" cy="85058"/>
                                  <wp:effectExtent l="0" t="0" r="0" b="0"/>
                                  <wp:docPr id="618" name="Image 618"/>
                                  <wp:cNvGraphicFramePr>
                                    <a:graphicFrameLocks/>
                                  </wp:cNvGraphicFramePr>
                                  <a:graphic>
                                    <a:graphicData uri="http://schemas.openxmlformats.org/drawingml/2006/picture">
                                      <pic:pic>
                                        <pic:nvPicPr>
                                          <pic:cNvPr id="618" name="Image 618"/>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135" w:hRule="atLeast"/>
                        </w:trPr>
                        <w:tc>
                          <w:tcPr>
                            <w:tcW w:w="2065" w:type="dxa"/>
                            <w:vMerge/>
                            <w:tcBorders>
                              <w:top w:val="nil"/>
                              <w:bottom w:val="single" w:sz="6" w:space="0" w:color="000000"/>
                              <w:right w:val="single" w:sz="6" w:space="0" w:color="000000"/>
                            </w:tcBorders>
                          </w:tcPr>
                          <w:p>
                            <w:pPr>
                              <w:rPr>
                                <w:sz w:val="2"/>
                                <w:szCs w:val="2"/>
                              </w:rPr>
                            </w:pPr>
                          </w:p>
                        </w:tc>
                        <w:tc>
                          <w:tcPr>
                            <w:tcW w:w="1530" w:type="dxa"/>
                            <w:vMerge/>
                            <w:tcBorders>
                              <w:top w:val="nil"/>
                              <w:left w:val="single" w:sz="6" w:space="0" w:color="000000"/>
                              <w:bottom w:val="single" w:sz="6" w:space="0" w:color="000000"/>
                              <w:right w:val="nil"/>
                            </w:tcBorders>
                          </w:tcPr>
                          <w:p>
                            <w:pPr>
                              <w:rPr>
                                <w:sz w:val="2"/>
                                <w:szCs w:val="2"/>
                              </w:rPr>
                            </w:pPr>
                          </w:p>
                        </w:tc>
                        <w:tc>
                          <w:tcPr>
                            <w:tcW w:w="2046" w:type="dxa"/>
                            <w:tcBorders>
                              <w:top w:val="nil"/>
                              <w:left w:val="nil"/>
                              <w:bottom w:val="single" w:sz="6" w:space="0" w:color="000000"/>
                              <w:right w:val="nil"/>
                            </w:tcBorders>
                            <w:shd w:val="clear" w:color="auto" w:fill="000000"/>
                          </w:tcPr>
                          <w:p>
                            <w:pPr>
                              <w:pStyle w:val="TableParagraph"/>
                              <w:rPr>
                                <w:rFonts w:ascii="Times New Roman"/>
                                <w:sz w:val="8"/>
                              </w:rPr>
                            </w:pPr>
                          </w:p>
                        </w:tc>
                        <w:tc>
                          <w:tcPr>
                            <w:tcW w:w="1535" w:type="dxa"/>
                            <w:gridSpan w:val="2"/>
                            <w:vMerge/>
                            <w:tcBorders>
                              <w:top w:val="nil"/>
                              <w:left w:val="nil"/>
                              <w:bottom w:val="single" w:sz="6" w:space="0" w:color="000000"/>
                              <w:right w:val="single" w:sz="6" w:space="0" w:color="000000"/>
                            </w:tcBorders>
                          </w:tcPr>
                          <w:p>
                            <w:pPr>
                              <w:rPr>
                                <w:sz w:val="2"/>
                                <w:szCs w:val="2"/>
                              </w:rPr>
                            </w:pPr>
                          </w:p>
                        </w:tc>
                        <w:tc>
                          <w:tcPr>
                            <w:tcW w:w="1023" w:type="dxa"/>
                            <w:vMerge/>
                            <w:tcBorders>
                              <w:top w:val="nil"/>
                              <w:left w:val="single" w:sz="6" w:space="0" w:color="000000"/>
                              <w:bottom w:val="single" w:sz="6" w:space="0" w:color="000000"/>
                              <w:right w:val="single" w:sz="6" w:space="0" w:color="000000"/>
                            </w:tcBorders>
                            <w:shd w:val="clear" w:color="auto" w:fill="CCCCCC"/>
                          </w:tcPr>
                          <w:p>
                            <w:pPr>
                              <w:rPr>
                                <w:sz w:val="2"/>
                                <w:szCs w:val="2"/>
                              </w:rPr>
                            </w:pPr>
                          </w:p>
                        </w:tc>
                        <w:tc>
                          <w:tcPr>
                            <w:tcW w:w="2066" w:type="dxa"/>
                            <w:gridSpan w:val="2"/>
                            <w:vMerge/>
                            <w:tcBorders>
                              <w:top w:val="nil"/>
                              <w:left w:val="single" w:sz="6" w:space="0" w:color="000000"/>
                              <w:bottom w:val="single" w:sz="6" w:space="0" w:color="000000"/>
                            </w:tcBorders>
                            <w:shd w:val="clear" w:color="auto" w:fill="CCCCCC"/>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11"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3"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3"/>
                              <w:rPr>
                                <w:rFonts w:ascii="Arial"/>
                                <w:sz w:val="14"/>
                              </w:rPr>
                            </w:pPr>
                            <w:r>
                              <w:rPr>
                                <w:rFonts w:ascii="Arial"/>
                                <w:spacing w:val="-2"/>
                                <w:sz w:val="14"/>
                              </w:rPr>
                              <w:t>Firmado</w:t>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380"/>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619" name="Image 619"/>
                                  <wp:cNvGraphicFramePr>
                                    <a:graphicFrameLocks/>
                                  </wp:cNvGraphicFramePr>
                                  <a:graphic>
                                    <a:graphicData uri="http://schemas.openxmlformats.org/drawingml/2006/picture">
                                      <pic:pic>
                                        <pic:nvPicPr>
                                          <pic:cNvPr id="619" name="Image 619"/>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11"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3"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2"/>
                              <w:rPr>
                                <w:rFonts w:ascii="Arial"/>
                                <w:position w:val="-2"/>
                                <w:sz w:val="13"/>
                              </w:rPr>
                            </w:pPr>
                            <w:r>
                              <w:rPr>
                                <w:rFonts w:ascii="Arial"/>
                                <w:position w:val="-2"/>
                                <w:sz w:val="13"/>
                              </w:rPr>
                              <w:drawing>
                                <wp:inline distT="0" distB="0" distL="0" distR="0">
                                  <wp:extent cx="263096" cy="84010"/>
                                  <wp:effectExtent l="0" t="0" r="0" b="0"/>
                                  <wp:docPr id="620" name="Image 620"/>
                                  <wp:cNvGraphicFramePr>
                                    <a:graphicFrameLocks/>
                                  </wp:cNvGraphicFramePr>
                                  <a:graphic>
                                    <a:graphicData uri="http://schemas.openxmlformats.org/drawingml/2006/picture">
                                      <pic:pic>
                                        <pic:nvPicPr>
                                          <pic:cNvPr id="620" name="Image 620"/>
                                          <pic:cNvPicPr/>
                                        </pic:nvPicPr>
                                        <pic:blipFill>
                                          <a:blip r:embed="rId185" cstate="print"/>
                                          <a:stretch>
                                            <a:fillRect/>
                                          </a:stretch>
                                        </pic:blipFill>
                                        <pic:spPr>
                                          <a:xfrm>
                                            <a:off x="0" y="0"/>
                                            <a:ext cx="263096" cy="84010"/>
                                          </a:xfrm>
                                          <a:prstGeom prst="rect">
                                            <a:avLst/>
                                          </a:prstGeom>
                                        </pic:spPr>
                                      </pic:pic>
                                    </a:graphicData>
                                  </a:graphic>
                                </wp:inline>
                              </w:drawing>
                            </w:r>
                            <w:r>
                              <w:rPr>
                                <w:rFonts w:ascii="Arial"/>
                                <w:position w:val="-2"/>
                                <w:sz w:val="13"/>
                              </w:rPr>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2" w:right="1"/>
                              <w:jc w:val="center"/>
                              <w:rPr>
                                <w:rFonts w:ascii="Arial"/>
                                <w:sz w:val="14"/>
                              </w:rPr>
                            </w:pPr>
                            <w:r>
                              <w:rPr>
                                <w:rFonts w:ascii="Arial"/>
                                <w:spacing w:val="-4"/>
                                <w:sz w:val="14"/>
                              </w:rPr>
                              <w:t>1/40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621" name="Image 621"/>
                                  <wp:cNvGraphicFramePr>
                                    <a:graphicFrameLocks/>
                                  </wp:cNvGraphicFramePr>
                                  <a:graphic>
                                    <a:graphicData uri="http://schemas.openxmlformats.org/drawingml/2006/picture">
                                      <pic:pic>
                                        <pic:nvPicPr>
                                          <pic:cNvPr id="621" name="Image 621"/>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9"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3"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8"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622" name="Image 622"/>
                                  <wp:cNvGraphicFramePr>
                                    <a:graphicFrameLocks/>
                                  </wp:cNvGraphicFramePr>
                                  <a:graphic>
                                    <a:graphicData uri="http://schemas.openxmlformats.org/drawingml/2006/picture">
                                      <pic:pic>
                                        <pic:nvPicPr>
                                          <pic:cNvPr id="622" name="Image 622"/>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200"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623" name="Group 623"/>
                <wp:cNvGraphicFramePr>
                  <a:graphicFrameLocks/>
                </wp:cNvGraphicFramePr>
                <a:graphic>
                  <a:graphicData uri="http://schemas.microsoft.com/office/word/2010/wordprocessingGroup">
                    <wpg:wgp>
                      <wpg:cNvPr id="623" name="Group 623"/>
                      <wpg:cNvGrpSpPr/>
                      <wpg:grpSpPr>
                        <a:xfrm>
                          <a:off x="0" y="0"/>
                          <a:ext cx="734695" cy="753110"/>
                          <a:chExt cx="734695" cy="753110"/>
                        </a:xfrm>
                      </wpg:grpSpPr>
                      <pic:pic>
                        <pic:nvPicPr>
                          <pic:cNvPr id="624" name="Image 624"/>
                          <pic:cNvPicPr/>
                        </pic:nvPicPr>
                        <pic:blipFill>
                          <a:blip r:embed="rId189" cstate="print"/>
                          <a:stretch>
                            <a:fillRect/>
                          </a:stretch>
                        </pic:blipFill>
                        <pic:spPr>
                          <a:xfrm>
                            <a:off x="0" y="0"/>
                            <a:ext cx="734552" cy="752855"/>
                          </a:xfrm>
                          <a:prstGeom prst="rect">
                            <a:avLst/>
                          </a:prstGeom>
                        </pic:spPr>
                      </pic:pic>
                      <wps:wsp>
                        <wps:cNvPr id="625" name="Graphic 625"/>
                        <wps:cNvSpPr/>
                        <wps:spPr>
                          <a:xfrm>
                            <a:off x="85496" y="60172"/>
                            <a:ext cx="584835" cy="614680"/>
                          </a:xfrm>
                          <a:custGeom>
                            <a:avLst/>
                            <a:gdLst/>
                            <a:ahLst/>
                            <a:cxnLst/>
                            <a:rect l="l" t="t" r="r" b="b"/>
                            <a:pathLst>
                              <a:path w="584835" h="614680">
                                <a:moveTo>
                                  <a:pt x="584619" y="0"/>
                                </a:moveTo>
                                <a:lnTo>
                                  <a:pt x="0" y="0"/>
                                </a:lnTo>
                                <a:lnTo>
                                  <a:pt x="0" y="614540"/>
                                </a:lnTo>
                                <a:lnTo>
                                  <a:pt x="584619" y="614540"/>
                                </a:lnTo>
                                <a:lnTo>
                                  <a:pt x="584619"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513" coordorigin="0,0" coordsize="1157,1186">
                <v:shape style="position:absolute;left:0;top:0;width:1157;height:1186" type="#_x0000_t75" id="docshape514" stroked="false">
                  <v:imagedata r:id="rId189" o:title=""/>
                </v:shape>
                <v:rect style="position:absolute;left:134;top:94;width:921;height:968" id="docshape515"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before="0"/>
        <w:ind w:left="0" w:right="97" w:firstLine="0"/>
        <w:jc w:val="center"/>
        <w:rPr>
          <w:rFonts w:ascii="Calibri"/>
          <w:sz w:val="20"/>
        </w:rPr>
      </w:pPr>
      <w:r>
        <w:rPr>
          <w:rFonts w:ascii="Calibri"/>
          <w:spacing w:val="-2"/>
          <w:sz w:val="20"/>
          <w:u w:val="single"/>
        </w:rPr>
        <w:t>ALEGACIONES</w:t>
      </w:r>
    </w:p>
    <w:p>
      <w:pPr>
        <w:pStyle w:val="BodyText"/>
        <w:rPr>
          <w:rFonts w:ascii="Calibri"/>
          <w:sz w:val="20"/>
        </w:rPr>
      </w:pPr>
    </w:p>
    <w:p>
      <w:pPr>
        <w:pStyle w:val="BodyText"/>
        <w:spacing w:before="81"/>
        <w:rPr>
          <w:rFonts w:ascii="Calibri"/>
          <w:sz w:val="20"/>
        </w:rPr>
      </w:pPr>
    </w:p>
    <w:p>
      <w:pPr>
        <w:pStyle w:val="ListParagraph"/>
        <w:numPr>
          <w:ilvl w:val="3"/>
          <w:numId w:val="13"/>
        </w:numPr>
        <w:tabs>
          <w:tab w:pos="2626" w:val="left" w:leader="none"/>
        </w:tabs>
        <w:spacing w:line="256" w:lineRule="auto" w:before="0" w:after="0"/>
        <w:ind w:left="1925" w:right="2029" w:firstLine="0"/>
        <w:jc w:val="left"/>
        <w:rPr>
          <w:rFonts w:ascii="Calibri" w:hAnsi="Calibri"/>
          <w:sz w:val="20"/>
        </w:rPr>
      </w:pPr>
      <w:r>
        <w:rPr>
          <w:rFonts w:ascii="Calibri" w:hAnsi="Calibri"/>
          <w:sz w:val="20"/>
        </w:rPr>
        <w:t>ADQUISICIÓN</w:t>
      </w:r>
      <w:r>
        <w:rPr>
          <w:rFonts w:ascii="Calibri" w:hAnsi="Calibri"/>
          <w:spacing w:val="40"/>
          <w:sz w:val="20"/>
        </w:rPr>
        <w:t> </w:t>
      </w:r>
      <w:r>
        <w:rPr>
          <w:rFonts w:ascii="Calibri" w:hAnsi="Calibri"/>
          <w:sz w:val="20"/>
        </w:rPr>
        <w:t>DE</w:t>
      </w:r>
      <w:r>
        <w:rPr>
          <w:rFonts w:ascii="Calibri" w:hAnsi="Calibri"/>
          <w:spacing w:val="40"/>
          <w:sz w:val="20"/>
        </w:rPr>
        <w:t> </w:t>
      </w:r>
      <w:r>
        <w:rPr>
          <w:rFonts w:ascii="Calibri" w:hAnsi="Calibri"/>
          <w:sz w:val="20"/>
        </w:rPr>
        <w:t>MATERIAL</w:t>
      </w:r>
      <w:r>
        <w:rPr>
          <w:rFonts w:ascii="Calibri" w:hAnsi="Calibri"/>
          <w:spacing w:val="40"/>
          <w:sz w:val="20"/>
        </w:rPr>
        <w:t> </w:t>
      </w:r>
      <w:r>
        <w:rPr>
          <w:rFonts w:ascii="Calibri" w:hAnsi="Calibri"/>
          <w:sz w:val="20"/>
        </w:rPr>
        <w:t>MÓVIL</w:t>
      </w:r>
      <w:r>
        <w:rPr>
          <w:rFonts w:ascii="Calibri" w:hAnsi="Calibri"/>
          <w:spacing w:val="40"/>
          <w:sz w:val="20"/>
        </w:rPr>
        <w:t> </w:t>
      </w:r>
      <w:r>
        <w:rPr>
          <w:rFonts w:ascii="Calibri" w:hAnsi="Calibri"/>
          <w:sz w:val="20"/>
        </w:rPr>
        <w:t>E</w:t>
      </w:r>
      <w:r>
        <w:rPr>
          <w:rFonts w:ascii="Calibri" w:hAnsi="Calibri"/>
          <w:spacing w:val="40"/>
          <w:sz w:val="20"/>
        </w:rPr>
        <w:t> </w:t>
      </w:r>
      <w:r>
        <w:rPr>
          <w:rFonts w:ascii="Calibri" w:hAnsi="Calibri"/>
          <w:sz w:val="20"/>
        </w:rPr>
        <w:t>INFRAESTRUCTURAS</w:t>
      </w:r>
      <w:r>
        <w:rPr>
          <w:rFonts w:ascii="Calibri" w:hAnsi="Calibri"/>
          <w:spacing w:val="40"/>
          <w:sz w:val="20"/>
        </w:rPr>
        <w:t> </w:t>
      </w:r>
      <w:r>
        <w:rPr>
          <w:rFonts w:ascii="Calibri" w:hAnsi="Calibri"/>
          <w:sz w:val="20"/>
        </w:rPr>
        <w:t>PARA</w:t>
      </w:r>
      <w:r>
        <w:rPr>
          <w:rFonts w:ascii="Calibri" w:hAnsi="Calibri"/>
          <w:spacing w:val="40"/>
          <w:sz w:val="20"/>
        </w:rPr>
        <w:t> </w:t>
      </w:r>
      <w:r>
        <w:rPr>
          <w:rFonts w:ascii="Calibri" w:hAnsi="Calibri"/>
          <w:sz w:val="20"/>
        </w:rPr>
        <w:t>LA</w:t>
      </w:r>
      <w:r>
        <w:rPr>
          <w:rFonts w:ascii="Calibri" w:hAnsi="Calibri"/>
          <w:spacing w:val="40"/>
          <w:sz w:val="20"/>
        </w:rPr>
        <w:t> </w:t>
      </w:r>
      <w:r>
        <w:rPr>
          <w:rFonts w:ascii="Calibri" w:hAnsi="Calibri"/>
          <w:sz w:val="20"/>
        </w:rPr>
        <w:t>RECARGA</w:t>
      </w:r>
      <w:r>
        <w:rPr>
          <w:rFonts w:ascii="Calibri" w:hAnsi="Calibri"/>
          <w:spacing w:val="40"/>
          <w:sz w:val="20"/>
        </w:rPr>
        <w:t> </w:t>
      </w:r>
      <w:r>
        <w:rPr>
          <w:rFonts w:ascii="Calibri" w:hAnsi="Calibri"/>
          <w:sz w:val="20"/>
        </w:rPr>
        <w:t>DE </w:t>
      </w:r>
      <w:r>
        <w:rPr>
          <w:rFonts w:ascii="Calibri" w:hAnsi="Calibri"/>
          <w:spacing w:val="-2"/>
          <w:sz w:val="20"/>
        </w:rPr>
        <w:t>VEHÍCULOS</w:t>
      </w:r>
    </w:p>
    <w:p>
      <w:pPr>
        <w:spacing w:before="145"/>
        <w:ind w:left="1925" w:right="0" w:firstLine="0"/>
        <w:jc w:val="left"/>
        <w:rPr>
          <w:rFonts w:ascii="Calibri" w:hAnsi="Calibri"/>
          <w:i/>
          <w:sz w:val="20"/>
        </w:rPr>
      </w:pPr>
      <w:r>
        <w:rPr>
          <w:rFonts w:ascii="Calibri" w:hAnsi="Calibri"/>
          <w:i/>
          <w:color w:val="4472C4"/>
          <w:spacing w:val="-2"/>
          <w:sz w:val="20"/>
        </w:rPr>
        <w:t>Adquisición de</w:t>
      </w:r>
      <w:r>
        <w:rPr>
          <w:rFonts w:ascii="Calibri" w:hAnsi="Calibri"/>
          <w:i/>
          <w:color w:val="4472C4"/>
          <w:sz w:val="20"/>
        </w:rPr>
        <w:t> </w:t>
      </w:r>
      <w:r>
        <w:rPr>
          <w:rFonts w:ascii="Calibri" w:hAnsi="Calibri"/>
          <w:i/>
          <w:color w:val="4472C4"/>
          <w:spacing w:val="-2"/>
          <w:sz w:val="20"/>
        </w:rPr>
        <w:t>autobuses</w:t>
      </w:r>
    </w:p>
    <w:p>
      <w:pPr>
        <w:pStyle w:val="ListParagraph"/>
        <w:numPr>
          <w:ilvl w:val="4"/>
          <w:numId w:val="13"/>
        </w:numPr>
        <w:tabs>
          <w:tab w:pos="2251" w:val="left" w:leader="none"/>
        </w:tabs>
        <w:spacing w:line="256" w:lineRule="auto" w:before="161" w:after="0"/>
        <w:ind w:left="2251" w:right="2021" w:hanging="327"/>
        <w:jc w:val="both"/>
        <w:rPr>
          <w:rFonts w:ascii="Calibri" w:hAnsi="Calibri"/>
          <w:color w:val="4472C4"/>
          <w:sz w:val="20"/>
        </w:rPr>
      </w:pPr>
      <w:r>
        <w:rPr>
          <w:rFonts w:ascii="Calibri" w:hAnsi="Calibri"/>
          <w:color w:val="4472C4"/>
          <w:sz w:val="20"/>
        </w:rPr>
        <w:t>En la pág. 45, se afirma lo siguiente </w:t>
      </w:r>
      <w:r>
        <w:rPr>
          <w:rFonts w:ascii="Calibri" w:hAnsi="Calibri"/>
          <w:i/>
          <w:color w:val="4472C4"/>
          <w:sz w:val="20"/>
        </w:rPr>
        <w:t>“</w:t>
      </w:r>
      <w:r>
        <w:rPr>
          <w:rFonts w:ascii="Calibri" w:hAnsi="Calibri"/>
          <w:i/>
          <w:color w:val="4472C4"/>
          <w:sz w:val="20"/>
          <w:u w:val="single" w:color="4472C4"/>
        </w:rPr>
        <w:t>el Ayuntamiento de Málaga estableció dentro de su</w:t>
      </w:r>
      <w:r>
        <w:rPr>
          <w:rFonts w:ascii="Calibri" w:hAnsi="Calibri"/>
          <w:i/>
          <w:color w:val="4472C4"/>
          <w:sz w:val="20"/>
          <w:u w:val="none"/>
        </w:rPr>
        <w:t> </w:t>
      </w:r>
      <w:r>
        <w:rPr>
          <w:rFonts w:ascii="Calibri" w:hAnsi="Calibri"/>
          <w:i/>
          <w:color w:val="4472C4"/>
          <w:sz w:val="20"/>
          <w:u w:val="single" w:color="4472C4"/>
        </w:rPr>
        <w:t>Plan Estratégico 2022-2024 el objetivo de renovación de la flota de vehículos: doce</w:t>
      </w:r>
      <w:r>
        <w:rPr>
          <w:rFonts w:ascii="Calibri" w:hAnsi="Calibri"/>
          <w:i/>
          <w:color w:val="4472C4"/>
          <w:sz w:val="20"/>
          <w:u w:val="none"/>
        </w:rPr>
        <w:t> </w:t>
      </w:r>
      <w:r>
        <w:rPr>
          <w:rFonts w:ascii="Calibri" w:hAnsi="Calibri"/>
          <w:i/>
          <w:color w:val="4472C4"/>
          <w:sz w:val="20"/>
          <w:u w:val="single" w:color="4472C4"/>
        </w:rPr>
        <w:t>vehículos híbridos en 2022 y 2023 y diez en 2024. Los de 2022 se recibieron en ese</w:t>
      </w:r>
      <w:r>
        <w:rPr>
          <w:rFonts w:ascii="Calibri" w:hAnsi="Calibri"/>
          <w:i/>
          <w:color w:val="4472C4"/>
          <w:spacing w:val="40"/>
          <w:sz w:val="20"/>
          <w:u w:val="none"/>
        </w:rPr>
        <w:t> </w:t>
      </w:r>
      <w:r>
        <w:rPr>
          <w:rFonts w:ascii="Calibri" w:hAnsi="Calibri"/>
          <w:i/>
          <w:color w:val="4472C4"/>
          <w:sz w:val="20"/>
          <w:u w:val="single" w:color="4472C4"/>
        </w:rPr>
        <w:t>ejercicio, mientras que las previsiones para 2023 no se materializaron. La</w:t>
      </w:r>
      <w:r>
        <w:rPr>
          <w:rFonts w:ascii="Calibri" w:hAnsi="Calibri"/>
          <w:i/>
          <w:color w:val="4472C4"/>
          <w:spacing w:val="22"/>
          <w:sz w:val="20"/>
          <w:u w:val="single" w:color="4472C4"/>
        </w:rPr>
        <w:t> </w:t>
      </w:r>
      <w:r>
        <w:rPr>
          <w:rFonts w:ascii="Calibri" w:hAnsi="Calibri"/>
          <w:i/>
          <w:color w:val="4472C4"/>
          <w:sz w:val="20"/>
          <w:u w:val="single" w:color="4472C4"/>
        </w:rPr>
        <w:t>compra de los</w:t>
      </w:r>
      <w:r>
        <w:rPr>
          <w:rFonts w:ascii="Calibri" w:hAnsi="Calibri"/>
          <w:i/>
          <w:color w:val="4472C4"/>
          <w:spacing w:val="80"/>
          <w:sz w:val="20"/>
          <w:u w:val="none"/>
        </w:rPr>
        <w:t> </w:t>
      </w:r>
      <w:r>
        <w:rPr>
          <w:rFonts w:ascii="Calibri" w:hAnsi="Calibri"/>
          <w:i/>
          <w:color w:val="4472C4"/>
          <w:sz w:val="20"/>
          <w:u w:val="single" w:color="4472C4"/>
        </w:rPr>
        <w:t>de 2024 se llevó a efecto en diciembre de ese año, estando prevista su entrega en 2025</w:t>
      </w:r>
      <w:r>
        <w:rPr>
          <w:rFonts w:ascii="Calibri" w:hAnsi="Calibri"/>
          <w:i/>
          <w:color w:val="4472C4"/>
          <w:sz w:val="20"/>
          <w:u w:val="none"/>
        </w:rPr>
        <w:t>.”</w:t>
      </w:r>
    </w:p>
    <w:p>
      <w:pPr>
        <w:pStyle w:val="BodyText"/>
        <w:rPr>
          <w:rFonts w:ascii="Calibri"/>
          <w:i/>
          <w:sz w:val="20"/>
        </w:rPr>
      </w:pPr>
    </w:p>
    <w:p>
      <w:pPr>
        <w:pStyle w:val="BodyText"/>
        <w:spacing w:before="63"/>
        <w:rPr>
          <w:rFonts w:ascii="Calibri"/>
          <w:i/>
          <w:sz w:val="20"/>
        </w:rPr>
      </w:pPr>
    </w:p>
    <w:p>
      <w:pPr>
        <w:spacing w:line="256" w:lineRule="auto" w:before="1"/>
        <w:ind w:left="2251" w:right="2022" w:firstLine="0"/>
        <w:jc w:val="both"/>
        <w:rPr>
          <w:rFonts w:ascii="Calibri" w:hAnsi="Calibri"/>
          <w:sz w:val="20"/>
        </w:rPr>
      </w:pPr>
      <w:r>
        <w:rPr>
          <w:rFonts w:ascii="Calibri" w:hAnsi="Calibri"/>
          <w:sz w:val="20"/>
        </w:rPr>
        <w:t>Con relación al comentario referenciado, se ha de aclarar, tal y como se acredita en la documentación</w:t>
      </w:r>
      <w:r>
        <w:rPr>
          <w:rFonts w:ascii="Calibri" w:hAnsi="Calibri"/>
          <w:spacing w:val="-11"/>
          <w:sz w:val="20"/>
        </w:rPr>
        <w:t> </w:t>
      </w:r>
      <w:r>
        <w:rPr>
          <w:rFonts w:ascii="Calibri" w:hAnsi="Calibri"/>
          <w:sz w:val="20"/>
        </w:rPr>
        <w:t>remitida</w:t>
      </w:r>
      <w:r>
        <w:rPr>
          <w:rFonts w:ascii="Calibri" w:hAnsi="Calibri"/>
          <w:spacing w:val="-7"/>
          <w:sz w:val="20"/>
        </w:rPr>
        <w:t> </w:t>
      </w:r>
      <w:r>
        <w:rPr>
          <w:rFonts w:ascii="Calibri" w:hAnsi="Calibri"/>
          <w:sz w:val="20"/>
        </w:rPr>
        <w:t>a</w:t>
      </w:r>
      <w:r>
        <w:rPr>
          <w:rFonts w:ascii="Calibri" w:hAnsi="Calibri"/>
          <w:spacing w:val="-10"/>
          <w:sz w:val="20"/>
        </w:rPr>
        <w:t> </w:t>
      </w:r>
      <w:r>
        <w:rPr>
          <w:rFonts w:ascii="Calibri" w:hAnsi="Calibri"/>
          <w:sz w:val="20"/>
        </w:rPr>
        <w:t>este</w:t>
      </w:r>
      <w:r>
        <w:rPr>
          <w:rFonts w:ascii="Calibri" w:hAnsi="Calibri"/>
          <w:spacing w:val="-8"/>
          <w:sz w:val="20"/>
        </w:rPr>
        <w:t> </w:t>
      </w:r>
      <w:r>
        <w:rPr>
          <w:rFonts w:ascii="Calibri" w:hAnsi="Calibri"/>
          <w:sz w:val="20"/>
        </w:rPr>
        <w:t>Tribunal</w:t>
      </w:r>
      <w:r>
        <w:rPr>
          <w:rFonts w:ascii="Calibri" w:hAnsi="Calibri"/>
          <w:spacing w:val="-11"/>
          <w:sz w:val="20"/>
        </w:rPr>
        <w:t> </w:t>
      </w:r>
      <w:r>
        <w:rPr>
          <w:rFonts w:ascii="Calibri" w:hAnsi="Calibri"/>
          <w:sz w:val="20"/>
        </w:rPr>
        <w:t>en</w:t>
      </w:r>
      <w:r>
        <w:rPr>
          <w:rFonts w:ascii="Calibri" w:hAnsi="Calibri"/>
          <w:spacing w:val="-9"/>
          <w:sz w:val="20"/>
        </w:rPr>
        <w:t> </w:t>
      </w:r>
      <w:r>
        <w:rPr>
          <w:rFonts w:ascii="Calibri" w:hAnsi="Calibri"/>
          <w:sz w:val="20"/>
        </w:rPr>
        <w:t>el</w:t>
      </w:r>
      <w:r>
        <w:rPr>
          <w:rFonts w:ascii="Calibri" w:hAnsi="Calibri"/>
          <w:spacing w:val="-8"/>
          <w:sz w:val="20"/>
        </w:rPr>
        <w:t> </w:t>
      </w:r>
      <w:r>
        <w:rPr>
          <w:rFonts w:ascii="Calibri" w:hAnsi="Calibri"/>
          <w:sz w:val="20"/>
        </w:rPr>
        <w:t>escrito</w:t>
      </w:r>
      <w:r>
        <w:rPr>
          <w:rFonts w:ascii="Calibri" w:hAnsi="Calibri"/>
          <w:spacing w:val="-11"/>
          <w:sz w:val="20"/>
        </w:rPr>
        <w:t> </w:t>
      </w:r>
      <w:r>
        <w:rPr>
          <w:rFonts w:ascii="Calibri" w:hAnsi="Calibri"/>
          <w:sz w:val="20"/>
        </w:rPr>
        <w:t>de</w:t>
      </w:r>
      <w:r>
        <w:rPr>
          <w:rFonts w:ascii="Calibri" w:hAnsi="Calibri"/>
          <w:spacing w:val="-6"/>
          <w:sz w:val="20"/>
        </w:rPr>
        <w:t> </w:t>
      </w:r>
      <w:r>
        <w:rPr>
          <w:rFonts w:ascii="Calibri" w:hAnsi="Calibri"/>
          <w:sz w:val="20"/>
        </w:rPr>
        <w:t>respuesta</w:t>
      </w:r>
      <w:r>
        <w:rPr>
          <w:rFonts w:ascii="Calibri" w:hAnsi="Calibri"/>
          <w:spacing w:val="-6"/>
          <w:sz w:val="20"/>
        </w:rPr>
        <w:t> </w:t>
      </w:r>
      <w:r>
        <w:rPr>
          <w:rFonts w:ascii="Calibri" w:hAnsi="Calibri"/>
          <w:sz w:val="20"/>
        </w:rPr>
        <w:t>al</w:t>
      </w:r>
      <w:r>
        <w:rPr>
          <w:rFonts w:ascii="Calibri" w:hAnsi="Calibri"/>
          <w:spacing w:val="-6"/>
          <w:sz w:val="20"/>
        </w:rPr>
        <w:t> </w:t>
      </w:r>
      <w:r>
        <w:rPr>
          <w:rFonts w:ascii="Calibri" w:hAnsi="Calibri"/>
          <w:sz w:val="20"/>
        </w:rPr>
        <w:t>cuarto</w:t>
      </w:r>
      <w:r>
        <w:rPr>
          <w:rFonts w:ascii="Calibri" w:hAnsi="Calibri"/>
          <w:spacing w:val="-7"/>
          <w:sz w:val="20"/>
        </w:rPr>
        <w:t> </w:t>
      </w:r>
      <w:r>
        <w:rPr>
          <w:rFonts w:ascii="Calibri" w:hAnsi="Calibri"/>
          <w:sz w:val="20"/>
        </w:rPr>
        <w:t>requerimiento, que durante el ejercicio 2023 se produjo efectivamente la recepción de doce vehículos híbridos, correspondientes a la segunda prórroga del contrato derivado del expediente 016/2019, por lo que sí se materializó la previsión de renovación establecida para dicho ejercicio</w:t>
      </w:r>
      <w:r>
        <w:rPr>
          <w:rFonts w:ascii="Calibri" w:hAnsi="Calibri"/>
          <w:spacing w:val="-12"/>
          <w:sz w:val="20"/>
        </w:rPr>
        <w:t> </w:t>
      </w:r>
      <w:r>
        <w:rPr>
          <w:rFonts w:ascii="Calibri" w:hAnsi="Calibri"/>
          <w:sz w:val="20"/>
        </w:rPr>
        <w:t>en</w:t>
      </w:r>
      <w:r>
        <w:rPr>
          <w:rFonts w:ascii="Calibri" w:hAnsi="Calibri"/>
          <w:spacing w:val="-8"/>
          <w:sz w:val="20"/>
        </w:rPr>
        <w:t> </w:t>
      </w:r>
      <w:r>
        <w:rPr>
          <w:rFonts w:ascii="Calibri" w:hAnsi="Calibri"/>
          <w:sz w:val="20"/>
        </w:rPr>
        <w:t>el</w:t>
      </w:r>
      <w:r>
        <w:rPr>
          <w:rFonts w:ascii="Calibri" w:hAnsi="Calibri"/>
          <w:spacing w:val="-10"/>
          <w:sz w:val="20"/>
        </w:rPr>
        <w:t> </w:t>
      </w:r>
      <w:r>
        <w:rPr>
          <w:rFonts w:ascii="Calibri" w:hAnsi="Calibri"/>
          <w:sz w:val="20"/>
        </w:rPr>
        <w:t>Plan</w:t>
      </w:r>
      <w:r>
        <w:rPr>
          <w:rFonts w:ascii="Calibri" w:hAnsi="Calibri"/>
          <w:spacing w:val="-11"/>
          <w:sz w:val="20"/>
        </w:rPr>
        <w:t> </w:t>
      </w:r>
      <w:r>
        <w:rPr>
          <w:rFonts w:ascii="Calibri" w:hAnsi="Calibri"/>
          <w:sz w:val="20"/>
        </w:rPr>
        <w:t>Estratégico</w:t>
      </w:r>
      <w:r>
        <w:rPr>
          <w:rFonts w:ascii="Calibri" w:hAnsi="Calibri"/>
          <w:spacing w:val="-5"/>
          <w:sz w:val="20"/>
        </w:rPr>
        <w:t> </w:t>
      </w:r>
      <w:r>
        <w:rPr>
          <w:rFonts w:ascii="Calibri" w:hAnsi="Calibri"/>
          <w:sz w:val="20"/>
        </w:rPr>
        <w:t>2022-2024</w:t>
      </w:r>
      <w:r>
        <w:rPr>
          <w:rFonts w:ascii="Calibri" w:hAnsi="Calibri"/>
          <w:spacing w:val="-7"/>
          <w:sz w:val="20"/>
        </w:rPr>
        <w:t> </w:t>
      </w:r>
      <w:r>
        <w:rPr>
          <w:rFonts w:ascii="Calibri" w:hAnsi="Calibri"/>
          <w:sz w:val="20"/>
        </w:rPr>
        <w:t>de</w:t>
      </w:r>
      <w:r>
        <w:rPr>
          <w:rFonts w:ascii="Calibri" w:hAnsi="Calibri"/>
          <w:spacing w:val="-10"/>
          <w:sz w:val="20"/>
        </w:rPr>
        <w:t> </w:t>
      </w:r>
      <w:r>
        <w:rPr>
          <w:rFonts w:ascii="Calibri" w:hAnsi="Calibri"/>
          <w:sz w:val="20"/>
        </w:rPr>
        <w:t>la</w:t>
      </w:r>
      <w:r>
        <w:rPr>
          <w:rFonts w:ascii="Calibri" w:hAnsi="Calibri"/>
          <w:spacing w:val="-10"/>
          <w:sz w:val="20"/>
        </w:rPr>
        <w:t> </w:t>
      </w:r>
      <w:r>
        <w:rPr>
          <w:rFonts w:ascii="Calibri" w:hAnsi="Calibri"/>
          <w:sz w:val="20"/>
        </w:rPr>
        <w:t>Empresa</w:t>
      </w:r>
      <w:r>
        <w:rPr>
          <w:rFonts w:ascii="Calibri" w:hAnsi="Calibri"/>
          <w:spacing w:val="-9"/>
          <w:sz w:val="20"/>
        </w:rPr>
        <w:t> </w:t>
      </w:r>
      <w:r>
        <w:rPr>
          <w:rFonts w:ascii="Calibri" w:hAnsi="Calibri"/>
          <w:sz w:val="20"/>
        </w:rPr>
        <w:t>Malagueña</w:t>
      </w:r>
      <w:r>
        <w:rPr>
          <w:rFonts w:ascii="Calibri" w:hAnsi="Calibri"/>
          <w:spacing w:val="-10"/>
          <w:sz w:val="20"/>
        </w:rPr>
        <w:t> </w:t>
      </w:r>
      <w:r>
        <w:rPr>
          <w:rFonts w:ascii="Calibri" w:hAnsi="Calibri"/>
          <w:sz w:val="20"/>
        </w:rPr>
        <w:t>de</w:t>
      </w:r>
      <w:r>
        <w:rPr>
          <w:rFonts w:ascii="Calibri" w:hAnsi="Calibri"/>
          <w:spacing w:val="-8"/>
          <w:sz w:val="20"/>
        </w:rPr>
        <w:t> </w:t>
      </w:r>
      <w:r>
        <w:rPr>
          <w:rFonts w:ascii="Calibri" w:hAnsi="Calibri"/>
          <w:sz w:val="20"/>
        </w:rPr>
        <w:t>Transportes,</w:t>
      </w:r>
      <w:r>
        <w:rPr>
          <w:rFonts w:ascii="Calibri" w:hAnsi="Calibri"/>
          <w:spacing w:val="-8"/>
          <w:sz w:val="20"/>
        </w:rPr>
        <w:t> </w:t>
      </w:r>
      <w:r>
        <w:rPr>
          <w:rFonts w:ascii="Calibri" w:hAnsi="Calibri"/>
          <w:sz w:val="20"/>
        </w:rPr>
        <w:t>S.A.M.</w:t>
      </w:r>
    </w:p>
    <w:p>
      <w:pPr>
        <w:spacing w:line="256" w:lineRule="auto" w:before="146"/>
        <w:ind w:left="2251" w:right="2025" w:firstLine="0"/>
        <w:jc w:val="both"/>
        <w:rPr>
          <w:rFonts w:ascii="Calibri" w:hAnsi="Calibri"/>
          <w:sz w:val="20"/>
        </w:rPr>
      </w:pPr>
      <w:r>
        <w:rPr>
          <w:rFonts w:ascii="Calibri" w:hAnsi="Calibri"/>
          <w:sz w:val="20"/>
        </w:rPr>
        <w:t>A efectos ilustrativos, se reproduce a continuación el cuadro resumen referido exclusivamente a los vehículos híbridos:</w:t>
      </w:r>
    </w:p>
    <w:p>
      <w:pPr>
        <w:pStyle w:val="BodyText"/>
        <w:spacing w:before="11" w:after="1"/>
        <w:rPr>
          <w:rFonts w:ascii="Calibri"/>
          <w:sz w:val="11"/>
        </w:rPr>
      </w:pPr>
    </w:p>
    <w:tbl>
      <w:tblPr>
        <w:tblW w:w="0" w:type="auto"/>
        <w:jc w:val="left"/>
        <w:tblInd w:w="14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4"/>
        <w:gridCol w:w="1701"/>
        <w:gridCol w:w="1456"/>
        <w:gridCol w:w="1823"/>
        <w:gridCol w:w="1458"/>
        <w:gridCol w:w="971"/>
      </w:tblGrid>
      <w:tr>
        <w:trPr>
          <w:trHeight w:val="484" w:hRule="atLeast"/>
        </w:trPr>
        <w:tc>
          <w:tcPr>
            <w:tcW w:w="1214" w:type="dxa"/>
            <w:shd w:val="clear" w:color="auto" w:fill="215C98"/>
          </w:tcPr>
          <w:p>
            <w:pPr>
              <w:pStyle w:val="TableParagraph"/>
              <w:spacing w:line="226" w:lineRule="exact" w:before="238"/>
              <w:ind w:left="12" w:right="6"/>
              <w:jc w:val="center"/>
              <w:rPr>
                <w:rFonts w:ascii="Calibri"/>
                <w:sz w:val="20"/>
              </w:rPr>
            </w:pPr>
            <w:r>
              <w:rPr>
                <w:rFonts w:ascii="Calibri"/>
                <w:color w:val="FFFFFF"/>
                <w:spacing w:val="-2"/>
                <w:sz w:val="20"/>
              </w:rPr>
              <w:t>EXPEDIENTE</w:t>
            </w:r>
          </w:p>
        </w:tc>
        <w:tc>
          <w:tcPr>
            <w:tcW w:w="1701" w:type="dxa"/>
            <w:shd w:val="clear" w:color="auto" w:fill="215C98"/>
          </w:tcPr>
          <w:p>
            <w:pPr>
              <w:pStyle w:val="TableParagraph"/>
              <w:spacing w:line="226" w:lineRule="exact" w:before="238"/>
              <w:ind w:left="13"/>
              <w:jc w:val="center"/>
              <w:rPr>
                <w:rFonts w:ascii="Calibri"/>
                <w:sz w:val="20"/>
              </w:rPr>
            </w:pPr>
            <w:r>
              <w:rPr>
                <w:rFonts w:ascii="Calibri"/>
                <w:color w:val="FFFFFF"/>
                <w:sz w:val="20"/>
              </w:rPr>
              <w:t>TIPO</w:t>
            </w:r>
            <w:r>
              <w:rPr>
                <w:rFonts w:ascii="Calibri"/>
                <w:color w:val="FFFFFF"/>
                <w:spacing w:val="-1"/>
                <w:sz w:val="20"/>
              </w:rPr>
              <w:t> </w:t>
            </w:r>
            <w:r>
              <w:rPr>
                <w:rFonts w:ascii="Calibri"/>
                <w:color w:val="FFFFFF"/>
                <w:sz w:val="20"/>
              </w:rPr>
              <w:t>DE</w:t>
            </w:r>
            <w:r>
              <w:rPr>
                <w:rFonts w:ascii="Calibri"/>
                <w:color w:val="FFFFFF"/>
                <w:spacing w:val="3"/>
                <w:sz w:val="20"/>
              </w:rPr>
              <w:t> </w:t>
            </w:r>
            <w:r>
              <w:rPr>
                <w:rFonts w:ascii="Calibri"/>
                <w:color w:val="FFFFFF"/>
                <w:spacing w:val="-2"/>
                <w:sz w:val="20"/>
              </w:rPr>
              <w:t>VEHICULO</w:t>
            </w:r>
          </w:p>
        </w:tc>
        <w:tc>
          <w:tcPr>
            <w:tcW w:w="1456" w:type="dxa"/>
            <w:shd w:val="clear" w:color="auto" w:fill="215C98"/>
          </w:tcPr>
          <w:p>
            <w:pPr>
              <w:pStyle w:val="TableParagraph"/>
              <w:spacing w:line="239" w:lineRule="exact"/>
              <w:ind w:left="401"/>
              <w:rPr>
                <w:rFonts w:ascii="Calibri"/>
                <w:sz w:val="20"/>
              </w:rPr>
            </w:pPr>
            <w:r>
              <w:rPr>
                <w:rFonts w:ascii="Calibri"/>
                <w:color w:val="FFFFFF"/>
                <w:spacing w:val="-2"/>
                <w:sz w:val="20"/>
              </w:rPr>
              <w:t>PRIMER</w:t>
            </w:r>
          </w:p>
          <w:p>
            <w:pPr>
              <w:pStyle w:val="TableParagraph"/>
              <w:spacing w:line="225" w:lineRule="exact"/>
              <w:ind w:left="408"/>
              <w:rPr>
                <w:rFonts w:ascii="Calibri"/>
                <w:sz w:val="20"/>
              </w:rPr>
            </w:pPr>
            <w:r>
              <w:rPr>
                <w:rFonts w:ascii="Calibri"/>
                <w:color w:val="FFFFFF"/>
                <w:spacing w:val="-2"/>
                <w:sz w:val="20"/>
              </w:rPr>
              <w:t>PEDIDO</w:t>
            </w:r>
          </w:p>
        </w:tc>
        <w:tc>
          <w:tcPr>
            <w:tcW w:w="1823" w:type="dxa"/>
            <w:shd w:val="clear" w:color="auto" w:fill="215C98"/>
          </w:tcPr>
          <w:p>
            <w:pPr>
              <w:pStyle w:val="TableParagraph"/>
              <w:spacing w:line="226" w:lineRule="exact" w:before="238"/>
              <w:ind w:left="16" w:right="1"/>
              <w:jc w:val="center"/>
              <w:rPr>
                <w:rFonts w:ascii="Calibri"/>
                <w:sz w:val="20"/>
              </w:rPr>
            </w:pPr>
            <w:r>
              <w:rPr>
                <w:rFonts w:ascii="Calibri"/>
                <w:color w:val="FFFFFF"/>
                <w:sz w:val="20"/>
              </w:rPr>
              <w:t>SEGUNDO</w:t>
            </w:r>
            <w:r>
              <w:rPr>
                <w:rFonts w:ascii="Calibri"/>
                <w:color w:val="FFFFFF"/>
                <w:spacing w:val="-4"/>
                <w:sz w:val="20"/>
              </w:rPr>
              <w:t> </w:t>
            </w:r>
            <w:r>
              <w:rPr>
                <w:rFonts w:ascii="Calibri"/>
                <w:color w:val="FFFFFF"/>
                <w:spacing w:val="-2"/>
                <w:sz w:val="20"/>
              </w:rPr>
              <w:t>PEDIDO</w:t>
            </w:r>
          </w:p>
        </w:tc>
        <w:tc>
          <w:tcPr>
            <w:tcW w:w="1458" w:type="dxa"/>
            <w:shd w:val="clear" w:color="auto" w:fill="215C98"/>
          </w:tcPr>
          <w:p>
            <w:pPr>
              <w:pStyle w:val="TableParagraph"/>
              <w:spacing w:line="226" w:lineRule="exact" w:before="238"/>
              <w:ind w:left="19"/>
              <w:jc w:val="center"/>
              <w:rPr>
                <w:rFonts w:ascii="Calibri"/>
                <w:sz w:val="20"/>
              </w:rPr>
            </w:pPr>
            <w:r>
              <w:rPr>
                <w:rFonts w:ascii="Calibri"/>
                <w:color w:val="FFFFFF"/>
                <w:sz w:val="20"/>
              </w:rPr>
              <w:t>TERCER</w:t>
            </w:r>
            <w:r>
              <w:rPr>
                <w:rFonts w:ascii="Calibri"/>
                <w:color w:val="FFFFFF"/>
                <w:spacing w:val="-3"/>
                <w:sz w:val="20"/>
              </w:rPr>
              <w:t> </w:t>
            </w:r>
            <w:r>
              <w:rPr>
                <w:rFonts w:ascii="Calibri"/>
                <w:color w:val="FFFFFF"/>
                <w:spacing w:val="-2"/>
                <w:sz w:val="20"/>
              </w:rPr>
              <w:t>PEDIDO</w:t>
            </w:r>
          </w:p>
        </w:tc>
        <w:tc>
          <w:tcPr>
            <w:tcW w:w="971" w:type="dxa"/>
            <w:shd w:val="clear" w:color="auto" w:fill="215C98"/>
          </w:tcPr>
          <w:p>
            <w:pPr>
              <w:pStyle w:val="TableParagraph"/>
              <w:spacing w:line="226" w:lineRule="exact" w:before="238"/>
              <w:ind w:left="13"/>
              <w:jc w:val="center"/>
              <w:rPr>
                <w:rFonts w:ascii="Calibri"/>
                <w:sz w:val="20"/>
              </w:rPr>
            </w:pPr>
            <w:r>
              <w:rPr>
                <w:rFonts w:ascii="Calibri"/>
                <w:color w:val="FFFFFF"/>
                <w:spacing w:val="-2"/>
                <w:sz w:val="20"/>
              </w:rPr>
              <w:t>TOTAL</w:t>
            </w:r>
          </w:p>
        </w:tc>
      </w:tr>
      <w:tr>
        <w:trPr>
          <w:trHeight w:val="239" w:hRule="atLeast"/>
        </w:trPr>
        <w:tc>
          <w:tcPr>
            <w:tcW w:w="1214" w:type="dxa"/>
          </w:tcPr>
          <w:p>
            <w:pPr>
              <w:pStyle w:val="TableParagraph"/>
              <w:spacing w:line="220" w:lineRule="exact"/>
              <w:ind w:left="12"/>
              <w:jc w:val="center"/>
              <w:rPr>
                <w:rFonts w:ascii="Calibri"/>
                <w:sz w:val="20"/>
              </w:rPr>
            </w:pPr>
            <w:r>
              <w:rPr>
                <w:rFonts w:ascii="Calibri"/>
                <w:spacing w:val="-2"/>
                <w:sz w:val="20"/>
              </w:rPr>
              <w:t>016/2019</w:t>
            </w:r>
          </w:p>
        </w:tc>
        <w:tc>
          <w:tcPr>
            <w:tcW w:w="1701" w:type="dxa"/>
          </w:tcPr>
          <w:p>
            <w:pPr>
              <w:pStyle w:val="TableParagraph"/>
              <w:spacing w:line="220" w:lineRule="exact"/>
              <w:ind w:left="13" w:right="1"/>
              <w:jc w:val="center"/>
              <w:rPr>
                <w:rFonts w:ascii="Calibri"/>
                <w:sz w:val="20"/>
              </w:rPr>
            </w:pPr>
            <w:r>
              <w:rPr>
                <w:rFonts w:ascii="Calibri"/>
                <w:spacing w:val="-2"/>
                <w:sz w:val="20"/>
              </w:rPr>
              <w:t>HIBRIDO</w:t>
            </w:r>
          </w:p>
        </w:tc>
        <w:tc>
          <w:tcPr>
            <w:tcW w:w="1456" w:type="dxa"/>
            <w:shd w:val="clear" w:color="auto" w:fill="DAE9F8"/>
          </w:tcPr>
          <w:p>
            <w:pPr>
              <w:pStyle w:val="TableParagraph"/>
              <w:spacing w:line="220" w:lineRule="exact"/>
              <w:ind w:left="14"/>
              <w:jc w:val="center"/>
              <w:rPr>
                <w:rFonts w:ascii="Calibri"/>
                <w:sz w:val="20"/>
              </w:rPr>
            </w:pPr>
            <w:r>
              <w:rPr>
                <w:rFonts w:ascii="Calibri"/>
                <w:spacing w:val="-5"/>
                <w:sz w:val="20"/>
              </w:rPr>
              <w:t>10</w:t>
            </w:r>
          </w:p>
        </w:tc>
        <w:tc>
          <w:tcPr>
            <w:tcW w:w="1823" w:type="dxa"/>
            <w:shd w:val="clear" w:color="auto" w:fill="DAE9F8"/>
          </w:tcPr>
          <w:p>
            <w:pPr>
              <w:pStyle w:val="TableParagraph"/>
              <w:spacing w:line="220" w:lineRule="exact"/>
              <w:ind w:left="16" w:right="2"/>
              <w:jc w:val="center"/>
              <w:rPr>
                <w:rFonts w:ascii="Calibri"/>
                <w:sz w:val="20"/>
              </w:rPr>
            </w:pPr>
            <w:r>
              <w:rPr>
                <w:rFonts w:ascii="Calibri"/>
                <w:spacing w:val="-5"/>
                <w:sz w:val="20"/>
              </w:rPr>
              <w:t>12</w:t>
            </w:r>
          </w:p>
        </w:tc>
        <w:tc>
          <w:tcPr>
            <w:tcW w:w="1458" w:type="dxa"/>
            <w:shd w:val="clear" w:color="auto" w:fill="DAF2D0"/>
          </w:tcPr>
          <w:p>
            <w:pPr>
              <w:pStyle w:val="TableParagraph"/>
              <w:spacing w:line="220" w:lineRule="exact"/>
              <w:ind w:left="19" w:right="3"/>
              <w:jc w:val="center"/>
              <w:rPr>
                <w:rFonts w:ascii="Calibri"/>
                <w:sz w:val="20"/>
              </w:rPr>
            </w:pPr>
            <w:r>
              <w:rPr>
                <w:rFonts w:ascii="Calibri"/>
                <w:spacing w:val="-5"/>
                <w:sz w:val="20"/>
              </w:rPr>
              <w:t>12</w:t>
            </w:r>
          </w:p>
        </w:tc>
        <w:tc>
          <w:tcPr>
            <w:tcW w:w="971" w:type="dxa"/>
          </w:tcPr>
          <w:p>
            <w:pPr>
              <w:pStyle w:val="TableParagraph"/>
              <w:spacing w:line="220" w:lineRule="exact"/>
              <w:ind w:left="13"/>
              <w:jc w:val="center"/>
              <w:rPr>
                <w:rFonts w:ascii="Calibri"/>
                <w:sz w:val="20"/>
              </w:rPr>
            </w:pPr>
            <w:r>
              <w:rPr>
                <w:rFonts w:ascii="Calibri"/>
                <w:spacing w:val="-5"/>
                <w:sz w:val="20"/>
              </w:rPr>
              <w:t>32</w:t>
            </w:r>
          </w:p>
        </w:tc>
      </w:tr>
      <w:tr>
        <w:trPr>
          <w:trHeight w:val="242" w:hRule="atLeast"/>
        </w:trPr>
        <w:tc>
          <w:tcPr>
            <w:tcW w:w="1214" w:type="dxa"/>
          </w:tcPr>
          <w:p>
            <w:pPr>
              <w:pStyle w:val="TableParagraph"/>
              <w:spacing w:line="222" w:lineRule="exact"/>
              <w:ind w:left="12"/>
              <w:jc w:val="center"/>
              <w:rPr>
                <w:rFonts w:ascii="Calibri"/>
                <w:sz w:val="20"/>
              </w:rPr>
            </w:pPr>
            <w:r>
              <w:rPr>
                <w:rFonts w:ascii="Calibri"/>
                <w:spacing w:val="-2"/>
                <w:sz w:val="20"/>
              </w:rPr>
              <w:t>016/2024</w:t>
            </w:r>
          </w:p>
        </w:tc>
        <w:tc>
          <w:tcPr>
            <w:tcW w:w="1701" w:type="dxa"/>
          </w:tcPr>
          <w:p>
            <w:pPr>
              <w:pStyle w:val="TableParagraph"/>
              <w:spacing w:line="222" w:lineRule="exact"/>
              <w:ind w:left="13" w:right="1"/>
              <w:jc w:val="center"/>
              <w:rPr>
                <w:rFonts w:ascii="Calibri"/>
                <w:sz w:val="20"/>
              </w:rPr>
            </w:pPr>
            <w:r>
              <w:rPr>
                <w:rFonts w:ascii="Calibri"/>
                <w:spacing w:val="-2"/>
                <w:sz w:val="20"/>
              </w:rPr>
              <w:t>HIBRIDO</w:t>
            </w:r>
          </w:p>
        </w:tc>
        <w:tc>
          <w:tcPr>
            <w:tcW w:w="1456" w:type="dxa"/>
            <w:shd w:val="clear" w:color="auto" w:fill="F7C7AC"/>
          </w:tcPr>
          <w:p>
            <w:pPr>
              <w:pStyle w:val="TableParagraph"/>
              <w:spacing w:line="222" w:lineRule="exact"/>
              <w:ind w:left="14"/>
              <w:jc w:val="center"/>
              <w:rPr>
                <w:rFonts w:ascii="Calibri"/>
                <w:sz w:val="20"/>
              </w:rPr>
            </w:pPr>
            <w:r>
              <w:rPr>
                <w:rFonts w:ascii="Calibri"/>
                <w:spacing w:val="-5"/>
                <w:sz w:val="20"/>
              </w:rPr>
              <w:t>10</w:t>
            </w:r>
          </w:p>
        </w:tc>
        <w:tc>
          <w:tcPr>
            <w:tcW w:w="1823" w:type="dxa"/>
            <w:shd w:val="clear" w:color="auto" w:fill="F7C7AC"/>
          </w:tcPr>
          <w:p>
            <w:pPr>
              <w:pStyle w:val="TableParagraph"/>
              <w:spacing w:line="222" w:lineRule="exact"/>
              <w:ind w:left="16"/>
              <w:jc w:val="center"/>
              <w:rPr>
                <w:rFonts w:ascii="Calibri"/>
                <w:sz w:val="20"/>
              </w:rPr>
            </w:pPr>
            <w:r>
              <w:rPr>
                <w:rFonts w:ascii="Calibri"/>
                <w:spacing w:val="-5"/>
                <w:sz w:val="20"/>
              </w:rPr>
              <w:t>12</w:t>
            </w:r>
          </w:p>
        </w:tc>
        <w:tc>
          <w:tcPr>
            <w:tcW w:w="1458" w:type="dxa"/>
            <w:shd w:val="clear" w:color="auto" w:fill="E49EDD"/>
          </w:tcPr>
          <w:p>
            <w:pPr>
              <w:pStyle w:val="TableParagraph"/>
              <w:spacing w:line="222" w:lineRule="exact"/>
              <w:ind w:left="19" w:right="3"/>
              <w:jc w:val="center"/>
              <w:rPr>
                <w:rFonts w:ascii="Calibri"/>
                <w:sz w:val="20"/>
              </w:rPr>
            </w:pPr>
            <w:r>
              <w:rPr>
                <w:rFonts w:ascii="Calibri"/>
                <w:spacing w:val="-5"/>
                <w:sz w:val="20"/>
              </w:rPr>
              <w:t>15</w:t>
            </w:r>
          </w:p>
        </w:tc>
        <w:tc>
          <w:tcPr>
            <w:tcW w:w="971" w:type="dxa"/>
          </w:tcPr>
          <w:p>
            <w:pPr>
              <w:pStyle w:val="TableParagraph"/>
              <w:spacing w:line="222" w:lineRule="exact"/>
              <w:ind w:left="13"/>
              <w:jc w:val="center"/>
              <w:rPr>
                <w:rFonts w:ascii="Calibri"/>
                <w:sz w:val="20"/>
              </w:rPr>
            </w:pPr>
            <w:r>
              <w:rPr>
                <w:rFonts w:ascii="Calibri"/>
                <w:spacing w:val="-5"/>
                <w:sz w:val="20"/>
              </w:rPr>
              <w:t>37</w:t>
            </w:r>
          </w:p>
        </w:tc>
      </w:tr>
      <w:tr>
        <w:trPr>
          <w:trHeight w:val="241" w:hRule="atLeast"/>
        </w:trPr>
        <w:tc>
          <w:tcPr>
            <w:tcW w:w="7652" w:type="dxa"/>
            <w:gridSpan w:val="5"/>
            <w:tcBorders>
              <w:left w:val="nil"/>
              <w:bottom w:val="nil"/>
            </w:tcBorders>
          </w:tcPr>
          <w:p>
            <w:pPr>
              <w:pStyle w:val="TableParagraph"/>
              <w:rPr>
                <w:rFonts w:ascii="Times New Roman"/>
                <w:sz w:val="16"/>
              </w:rPr>
            </w:pPr>
          </w:p>
        </w:tc>
        <w:tc>
          <w:tcPr>
            <w:tcW w:w="971" w:type="dxa"/>
          </w:tcPr>
          <w:p>
            <w:pPr>
              <w:pStyle w:val="TableParagraph"/>
              <w:spacing w:line="222" w:lineRule="exact"/>
              <w:ind w:left="13"/>
              <w:jc w:val="center"/>
              <w:rPr>
                <w:rFonts w:ascii="Calibri"/>
                <w:sz w:val="20"/>
              </w:rPr>
            </w:pPr>
            <w:r>
              <w:rPr>
                <w:rFonts w:ascii="Calibri"/>
                <w:spacing w:val="-5"/>
                <w:sz w:val="20"/>
              </w:rPr>
              <w:t>69</w:t>
            </w:r>
          </w:p>
        </w:tc>
      </w:tr>
    </w:tbl>
    <w:p>
      <w:pPr>
        <w:spacing w:line="247" w:lineRule="auto" w:before="0"/>
        <w:ind w:left="2727" w:right="5510" w:firstLine="0"/>
        <w:jc w:val="left"/>
        <w:rPr>
          <w:rFonts w:ascii="Calibri"/>
          <w:sz w:val="20"/>
        </w:rPr>
      </w:pPr>
      <w:r>
        <w:rPr>
          <w:rFonts w:ascii="Calibri"/>
          <w:sz w:val="20"/>
        </w:rPr>
        <mc:AlternateContent>
          <mc:Choice Requires="wps">
            <w:drawing>
              <wp:anchor distT="0" distB="0" distL="0" distR="0" allowOverlap="1" layoutInCell="1" locked="0" behindDoc="0" simplePos="0" relativeHeight="15813632">
                <wp:simplePos x="0" y="0"/>
                <wp:positionH relativeFrom="page">
                  <wp:posOffset>1007363</wp:posOffset>
                </wp:positionH>
                <wp:positionV relativeFrom="paragraph">
                  <wp:posOffset>-5080</wp:posOffset>
                </wp:positionV>
                <wp:extent cx="777240" cy="645160"/>
                <wp:effectExtent l="0" t="0" r="0" b="0"/>
                <wp:wrapNone/>
                <wp:docPr id="642" name="Group 642"/>
                <wp:cNvGraphicFramePr>
                  <a:graphicFrameLocks/>
                </wp:cNvGraphicFramePr>
                <a:graphic>
                  <a:graphicData uri="http://schemas.microsoft.com/office/word/2010/wordprocessingGroup">
                    <wpg:wgp>
                      <wpg:cNvPr id="642" name="Group 642"/>
                      <wpg:cNvGrpSpPr/>
                      <wpg:grpSpPr>
                        <a:xfrm>
                          <a:off x="0" y="0"/>
                          <a:ext cx="777240" cy="645160"/>
                          <a:chExt cx="777240" cy="645160"/>
                        </a:xfrm>
                      </wpg:grpSpPr>
                      <wps:wsp>
                        <wps:cNvPr id="643" name="Graphic 643"/>
                        <wps:cNvSpPr/>
                        <wps:spPr>
                          <a:xfrm>
                            <a:off x="3047" y="6095"/>
                            <a:ext cx="768350" cy="154305"/>
                          </a:xfrm>
                          <a:custGeom>
                            <a:avLst/>
                            <a:gdLst/>
                            <a:ahLst/>
                            <a:cxnLst/>
                            <a:rect l="l" t="t" r="r" b="b"/>
                            <a:pathLst>
                              <a:path w="768350" h="154305">
                                <a:moveTo>
                                  <a:pt x="768096" y="0"/>
                                </a:moveTo>
                                <a:lnTo>
                                  <a:pt x="0" y="0"/>
                                </a:lnTo>
                                <a:lnTo>
                                  <a:pt x="0" y="153924"/>
                                </a:lnTo>
                                <a:lnTo>
                                  <a:pt x="768096" y="153924"/>
                                </a:lnTo>
                                <a:lnTo>
                                  <a:pt x="768096" y="0"/>
                                </a:lnTo>
                                <a:close/>
                              </a:path>
                            </a:pathLst>
                          </a:custGeom>
                          <a:solidFill>
                            <a:srgbClr val="DAF2D0"/>
                          </a:solidFill>
                        </wps:spPr>
                        <wps:bodyPr wrap="square" lIns="0" tIns="0" rIns="0" bIns="0" rtlCol="0">
                          <a:prstTxWarp prst="textNoShape">
                            <a:avLst/>
                          </a:prstTxWarp>
                          <a:noAutofit/>
                        </wps:bodyPr>
                      </wps:wsp>
                      <wps:wsp>
                        <wps:cNvPr id="644" name="Graphic 644"/>
                        <wps:cNvSpPr/>
                        <wps:spPr>
                          <a:xfrm>
                            <a:off x="0" y="0"/>
                            <a:ext cx="777240" cy="160020"/>
                          </a:xfrm>
                          <a:custGeom>
                            <a:avLst/>
                            <a:gdLst/>
                            <a:ahLst/>
                            <a:cxnLst/>
                            <a:rect l="l" t="t" r="r" b="b"/>
                            <a:pathLst>
                              <a:path w="777240" h="160020">
                                <a:moveTo>
                                  <a:pt x="777240" y="0"/>
                                </a:moveTo>
                                <a:lnTo>
                                  <a:pt x="6096" y="0"/>
                                </a:lnTo>
                                <a:lnTo>
                                  <a:pt x="4572" y="0"/>
                                </a:lnTo>
                                <a:lnTo>
                                  <a:pt x="0" y="0"/>
                                </a:lnTo>
                                <a:lnTo>
                                  <a:pt x="0" y="4572"/>
                                </a:lnTo>
                                <a:lnTo>
                                  <a:pt x="0" y="6096"/>
                                </a:lnTo>
                                <a:lnTo>
                                  <a:pt x="0" y="160020"/>
                                </a:lnTo>
                                <a:lnTo>
                                  <a:pt x="6096" y="160020"/>
                                </a:lnTo>
                                <a:lnTo>
                                  <a:pt x="6096" y="6096"/>
                                </a:lnTo>
                                <a:lnTo>
                                  <a:pt x="771144" y="6096"/>
                                </a:lnTo>
                                <a:lnTo>
                                  <a:pt x="771144" y="160020"/>
                                </a:lnTo>
                                <a:lnTo>
                                  <a:pt x="777240" y="160020"/>
                                </a:lnTo>
                                <a:lnTo>
                                  <a:pt x="777240" y="6096"/>
                                </a:lnTo>
                                <a:lnTo>
                                  <a:pt x="777240" y="4572"/>
                                </a:lnTo>
                                <a:lnTo>
                                  <a:pt x="777240" y="0"/>
                                </a:lnTo>
                                <a:close/>
                              </a:path>
                            </a:pathLst>
                          </a:custGeom>
                          <a:solidFill>
                            <a:srgbClr val="000000"/>
                          </a:solidFill>
                        </wps:spPr>
                        <wps:bodyPr wrap="square" lIns="0" tIns="0" rIns="0" bIns="0" rtlCol="0">
                          <a:prstTxWarp prst="textNoShape">
                            <a:avLst/>
                          </a:prstTxWarp>
                          <a:noAutofit/>
                        </wps:bodyPr>
                      </wps:wsp>
                      <wps:wsp>
                        <wps:cNvPr id="645" name="Graphic 645"/>
                        <wps:cNvSpPr/>
                        <wps:spPr>
                          <a:xfrm>
                            <a:off x="3047" y="166115"/>
                            <a:ext cx="768350" cy="154305"/>
                          </a:xfrm>
                          <a:custGeom>
                            <a:avLst/>
                            <a:gdLst/>
                            <a:ahLst/>
                            <a:cxnLst/>
                            <a:rect l="l" t="t" r="r" b="b"/>
                            <a:pathLst>
                              <a:path w="768350" h="154305">
                                <a:moveTo>
                                  <a:pt x="768096" y="0"/>
                                </a:moveTo>
                                <a:lnTo>
                                  <a:pt x="0" y="0"/>
                                </a:lnTo>
                                <a:lnTo>
                                  <a:pt x="0" y="153924"/>
                                </a:lnTo>
                                <a:lnTo>
                                  <a:pt x="768096" y="153924"/>
                                </a:lnTo>
                                <a:lnTo>
                                  <a:pt x="768096" y="0"/>
                                </a:lnTo>
                                <a:close/>
                              </a:path>
                            </a:pathLst>
                          </a:custGeom>
                          <a:solidFill>
                            <a:srgbClr val="DAE9F8"/>
                          </a:solidFill>
                        </wps:spPr>
                        <wps:bodyPr wrap="square" lIns="0" tIns="0" rIns="0" bIns="0" rtlCol="0">
                          <a:prstTxWarp prst="textNoShape">
                            <a:avLst/>
                          </a:prstTxWarp>
                          <a:noAutofit/>
                        </wps:bodyPr>
                      </wps:wsp>
                      <wps:wsp>
                        <wps:cNvPr id="646" name="Graphic 646"/>
                        <wps:cNvSpPr/>
                        <wps:spPr>
                          <a:xfrm>
                            <a:off x="0" y="158495"/>
                            <a:ext cx="777240" cy="161925"/>
                          </a:xfrm>
                          <a:custGeom>
                            <a:avLst/>
                            <a:gdLst/>
                            <a:ahLst/>
                            <a:cxnLst/>
                            <a:rect l="l" t="t" r="r" b="b"/>
                            <a:pathLst>
                              <a:path w="777240" h="161925">
                                <a:moveTo>
                                  <a:pt x="777240" y="6096"/>
                                </a:moveTo>
                                <a:lnTo>
                                  <a:pt x="777113" y="6096"/>
                                </a:lnTo>
                                <a:lnTo>
                                  <a:pt x="777113" y="0"/>
                                </a:lnTo>
                                <a:lnTo>
                                  <a:pt x="0" y="0"/>
                                </a:lnTo>
                                <a:lnTo>
                                  <a:pt x="0" y="6096"/>
                                </a:lnTo>
                                <a:lnTo>
                                  <a:pt x="0" y="161544"/>
                                </a:lnTo>
                                <a:lnTo>
                                  <a:pt x="6096" y="161544"/>
                                </a:lnTo>
                                <a:lnTo>
                                  <a:pt x="6096" y="6096"/>
                                </a:lnTo>
                                <a:lnTo>
                                  <a:pt x="771144" y="6096"/>
                                </a:lnTo>
                                <a:lnTo>
                                  <a:pt x="771144" y="161544"/>
                                </a:lnTo>
                                <a:lnTo>
                                  <a:pt x="777240" y="161544"/>
                                </a:lnTo>
                                <a:lnTo>
                                  <a:pt x="777240" y="6096"/>
                                </a:lnTo>
                                <a:close/>
                              </a:path>
                            </a:pathLst>
                          </a:custGeom>
                          <a:solidFill>
                            <a:srgbClr val="000000"/>
                          </a:solidFill>
                        </wps:spPr>
                        <wps:bodyPr wrap="square" lIns="0" tIns="0" rIns="0" bIns="0" rtlCol="0">
                          <a:prstTxWarp prst="textNoShape">
                            <a:avLst/>
                          </a:prstTxWarp>
                          <a:noAutofit/>
                        </wps:bodyPr>
                      </wps:wsp>
                      <wps:wsp>
                        <wps:cNvPr id="647" name="Graphic 647"/>
                        <wps:cNvSpPr/>
                        <wps:spPr>
                          <a:xfrm>
                            <a:off x="3047" y="324611"/>
                            <a:ext cx="768350" cy="155575"/>
                          </a:xfrm>
                          <a:custGeom>
                            <a:avLst/>
                            <a:gdLst/>
                            <a:ahLst/>
                            <a:cxnLst/>
                            <a:rect l="l" t="t" r="r" b="b"/>
                            <a:pathLst>
                              <a:path w="768350" h="155575">
                                <a:moveTo>
                                  <a:pt x="768096" y="0"/>
                                </a:moveTo>
                                <a:lnTo>
                                  <a:pt x="0" y="0"/>
                                </a:lnTo>
                                <a:lnTo>
                                  <a:pt x="0" y="155448"/>
                                </a:lnTo>
                                <a:lnTo>
                                  <a:pt x="768096" y="155448"/>
                                </a:lnTo>
                                <a:lnTo>
                                  <a:pt x="768096" y="0"/>
                                </a:lnTo>
                                <a:close/>
                              </a:path>
                            </a:pathLst>
                          </a:custGeom>
                          <a:solidFill>
                            <a:srgbClr val="F7C7AC"/>
                          </a:solidFill>
                        </wps:spPr>
                        <wps:bodyPr wrap="square" lIns="0" tIns="0" rIns="0" bIns="0" rtlCol="0">
                          <a:prstTxWarp prst="textNoShape">
                            <a:avLst/>
                          </a:prstTxWarp>
                          <a:noAutofit/>
                        </wps:bodyPr>
                      </wps:wsp>
                      <wps:wsp>
                        <wps:cNvPr id="648" name="Graphic 648"/>
                        <wps:cNvSpPr/>
                        <wps:spPr>
                          <a:xfrm>
                            <a:off x="0" y="318515"/>
                            <a:ext cx="777240" cy="161925"/>
                          </a:xfrm>
                          <a:custGeom>
                            <a:avLst/>
                            <a:gdLst/>
                            <a:ahLst/>
                            <a:cxnLst/>
                            <a:rect l="l" t="t" r="r" b="b"/>
                            <a:pathLst>
                              <a:path w="777240" h="161925">
                                <a:moveTo>
                                  <a:pt x="777240" y="6096"/>
                                </a:moveTo>
                                <a:lnTo>
                                  <a:pt x="777113" y="6096"/>
                                </a:lnTo>
                                <a:lnTo>
                                  <a:pt x="777113" y="0"/>
                                </a:lnTo>
                                <a:lnTo>
                                  <a:pt x="0" y="0"/>
                                </a:lnTo>
                                <a:lnTo>
                                  <a:pt x="0" y="6096"/>
                                </a:lnTo>
                                <a:lnTo>
                                  <a:pt x="0" y="161544"/>
                                </a:lnTo>
                                <a:lnTo>
                                  <a:pt x="6096" y="161544"/>
                                </a:lnTo>
                                <a:lnTo>
                                  <a:pt x="6096" y="6096"/>
                                </a:lnTo>
                                <a:lnTo>
                                  <a:pt x="771144" y="6096"/>
                                </a:lnTo>
                                <a:lnTo>
                                  <a:pt x="771144" y="161544"/>
                                </a:lnTo>
                                <a:lnTo>
                                  <a:pt x="777240" y="161544"/>
                                </a:lnTo>
                                <a:lnTo>
                                  <a:pt x="777240" y="6096"/>
                                </a:lnTo>
                                <a:close/>
                              </a:path>
                            </a:pathLst>
                          </a:custGeom>
                          <a:solidFill>
                            <a:srgbClr val="000000"/>
                          </a:solidFill>
                        </wps:spPr>
                        <wps:bodyPr wrap="square" lIns="0" tIns="0" rIns="0" bIns="0" rtlCol="0">
                          <a:prstTxWarp prst="textNoShape">
                            <a:avLst/>
                          </a:prstTxWarp>
                          <a:noAutofit/>
                        </wps:bodyPr>
                      </wps:wsp>
                      <wps:wsp>
                        <wps:cNvPr id="649" name="Graphic 649"/>
                        <wps:cNvSpPr/>
                        <wps:spPr>
                          <a:xfrm>
                            <a:off x="3047" y="484631"/>
                            <a:ext cx="768350" cy="155575"/>
                          </a:xfrm>
                          <a:custGeom>
                            <a:avLst/>
                            <a:gdLst/>
                            <a:ahLst/>
                            <a:cxnLst/>
                            <a:rect l="l" t="t" r="r" b="b"/>
                            <a:pathLst>
                              <a:path w="768350" h="155575">
                                <a:moveTo>
                                  <a:pt x="768096" y="0"/>
                                </a:moveTo>
                                <a:lnTo>
                                  <a:pt x="0" y="0"/>
                                </a:lnTo>
                                <a:lnTo>
                                  <a:pt x="0" y="155448"/>
                                </a:lnTo>
                                <a:lnTo>
                                  <a:pt x="768096" y="155448"/>
                                </a:lnTo>
                                <a:lnTo>
                                  <a:pt x="768096" y="0"/>
                                </a:lnTo>
                                <a:close/>
                              </a:path>
                            </a:pathLst>
                          </a:custGeom>
                          <a:solidFill>
                            <a:srgbClr val="E49EDD"/>
                          </a:solidFill>
                        </wps:spPr>
                        <wps:bodyPr wrap="square" lIns="0" tIns="0" rIns="0" bIns="0" rtlCol="0">
                          <a:prstTxWarp prst="textNoShape">
                            <a:avLst/>
                          </a:prstTxWarp>
                          <a:noAutofit/>
                        </wps:bodyPr>
                      </wps:wsp>
                      <wps:wsp>
                        <wps:cNvPr id="650" name="Graphic 650"/>
                        <wps:cNvSpPr/>
                        <wps:spPr>
                          <a:xfrm>
                            <a:off x="0" y="480059"/>
                            <a:ext cx="777240" cy="165100"/>
                          </a:xfrm>
                          <a:custGeom>
                            <a:avLst/>
                            <a:gdLst/>
                            <a:ahLst/>
                            <a:cxnLst/>
                            <a:rect l="l" t="t" r="r" b="b"/>
                            <a:pathLst>
                              <a:path w="777240" h="165100">
                                <a:moveTo>
                                  <a:pt x="777240" y="4572"/>
                                </a:moveTo>
                                <a:lnTo>
                                  <a:pt x="777113" y="4572"/>
                                </a:lnTo>
                                <a:lnTo>
                                  <a:pt x="777113" y="0"/>
                                </a:lnTo>
                                <a:lnTo>
                                  <a:pt x="771144" y="0"/>
                                </a:lnTo>
                                <a:lnTo>
                                  <a:pt x="771144" y="6096"/>
                                </a:lnTo>
                                <a:lnTo>
                                  <a:pt x="771144" y="158496"/>
                                </a:lnTo>
                                <a:lnTo>
                                  <a:pt x="6096" y="158496"/>
                                </a:lnTo>
                                <a:lnTo>
                                  <a:pt x="6096" y="6096"/>
                                </a:lnTo>
                                <a:lnTo>
                                  <a:pt x="771144" y="6096"/>
                                </a:lnTo>
                                <a:lnTo>
                                  <a:pt x="771144" y="0"/>
                                </a:lnTo>
                                <a:lnTo>
                                  <a:pt x="0" y="0"/>
                                </a:lnTo>
                                <a:lnTo>
                                  <a:pt x="0" y="4572"/>
                                </a:lnTo>
                                <a:lnTo>
                                  <a:pt x="0" y="6096"/>
                                </a:lnTo>
                                <a:lnTo>
                                  <a:pt x="0" y="164465"/>
                                </a:lnTo>
                                <a:lnTo>
                                  <a:pt x="4572" y="164465"/>
                                </a:lnTo>
                                <a:lnTo>
                                  <a:pt x="4572" y="164592"/>
                                </a:lnTo>
                                <a:lnTo>
                                  <a:pt x="771144" y="164592"/>
                                </a:lnTo>
                                <a:lnTo>
                                  <a:pt x="771144" y="164465"/>
                                </a:lnTo>
                                <a:lnTo>
                                  <a:pt x="777240" y="164465"/>
                                </a:lnTo>
                                <a:lnTo>
                                  <a:pt x="777240" y="4572"/>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79.320pt;margin-top:-.4pt;width:61.2pt;height:50.8pt;mso-position-horizontal-relative:page;mso-position-vertical-relative:paragraph;z-index:15813632" id="docshapegroup528" coordorigin="1586,-8" coordsize="1224,1016">
                <v:rect style="position:absolute;left:1591;top:1;width:1210;height:243" id="docshape529" filled="true" fillcolor="#daf2d0" stroked="false">
                  <v:fill type="solid"/>
                </v:rect>
                <v:shape style="position:absolute;left:1586;top:-8;width:1224;height:252" id="docshape530" coordorigin="1586,-8" coordsize="1224,252" path="m2810,-8l1596,-8,1594,-8,1586,-8,1586,-1,1586,2,1586,244,1596,244,1596,2,2801,2,2801,244,2810,244,2810,2,2810,-1,2810,-8xe" filled="true" fillcolor="#000000" stroked="false">
                  <v:path arrowok="t"/>
                  <v:fill type="solid"/>
                </v:shape>
                <v:rect style="position:absolute;left:1591;top:253;width:1210;height:243" id="docshape531" filled="true" fillcolor="#dae9f8" stroked="false">
                  <v:fill type="solid"/>
                </v:rect>
                <v:shape style="position:absolute;left:1586;top:241;width:1224;height:255" id="docshape532" coordorigin="1586,242" coordsize="1224,255" path="m2810,251l2810,251,2810,242,1586,242,1586,251,1586,496,1596,496,1596,251,2801,251,2801,496,2810,496,2810,251xe" filled="true" fillcolor="#000000" stroked="false">
                  <v:path arrowok="t"/>
                  <v:fill type="solid"/>
                </v:shape>
                <v:rect style="position:absolute;left:1591;top:503;width:1210;height:245" id="docshape533" filled="true" fillcolor="#f7c7ac" stroked="false">
                  <v:fill type="solid"/>
                </v:rect>
                <v:shape style="position:absolute;left:1586;top:493;width:1224;height:255" id="docshape534" coordorigin="1586,494" coordsize="1224,255" path="m2810,503l2810,503,2810,494,1586,494,1586,503,1586,748,1596,748,1596,503,2801,503,2801,748,2810,748,2810,503xe" filled="true" fillcolor="#000000" stroked="false">
                  <v:path arrowok="t"/>
                  <v:fill type="solid"/>
                </v:shape>
                <v:rect style="position:absolute;left:1591;top:755;width:1210;height:245" id="docshape535" filled="true" fillcolor="#e49edd" stroked="false">
                  <v:fill type="solid"/>
                </v:rect>
                <v:shape style="position:absolute;left:1586;top:748;width:1224;height:260" id="docshape536" coordorigin="1586,748" coordsize="1224,260" path="m2810,755l2810,755,2810,748,2801,748,2801,758,2801,998,1596,998,1596,758,2801,758,2801,748,1586,748,1586,755,1586,758,1586,1007,1594,1007,1594,1007,2801,1007,2801,1007,2810,1007,2810,755xe" filled="true" fillcolor="#000000" stroked="false">
                  <v:path arrowok="t"/>
                  <v:fill type="solid"/>
                </v:shape>
                <w10:wrap type="none"/>
              </v:group>
            </w:pict>
          </mc:Fallback>
        </mc:AlternateContent>
      </w:r>
      <w:r>
        <w:rPr>
          <w:rFonts w:ascii="Calibri"/>
          <w:sz w:val="20"/>
        </w:rPr>
        <w:t>RECEPCIONADOS EN 2023 RECEPCIONADOS ANTES DE 2023 PEDIDOS</w:t>
      </w:r>
      <w:r>
        <w:rPr>
          <w:rFonts w:ascii="Calibri"/>
          <w:spacing w:val="-12"/>
          <w:sz w:val="20"/>
        </w:rPr>
        <w:t> </w:t>
      </w:r>
      <w:r>
        <w:rPr>
          <w:rFonts w:ascii="Calibri"/>
          <w:sz w:val="20"/>
        </w:rPr>
        <w:t>PENDIENTES</w:t>
      </w:r>
      <w:r>
        <w:rPr>
          <w:rFonts w:ascii="Calibri"/>
          <w:spacing w:val="-11"/>
          <w:sz w:val="20"/>
        </w:rPr>
        <w:t> </w:t>
      </w:r>
      <w:r>
        <w:rPr>
          <w:rFonts w:ascii="Calibri"/>
          <w:sz w:val="20"/>
        </w:rPr>
        <w:t>DE</w:t>
      </w:r>
      <w:r>
        <w:rPr>
          <w:rFonts w:ascii="Calibri"/>
          <w:spacing w:val="-11"/>
          <w:sz w:val="20"/>
        </w:rPr>
        <w:t> </w:t>
      </w:r>
      <w:r>
        <w:rPr>
          <w:rFonts w:ascii="Calibri"/>
          <w:sz w:val="20"/>
        </w:rPr>
        <w:t>ENTREGA PENDIENTE DE REALIZAR PEDIDO</w:t>
      </w:r>
    </w:p>
    <w:p>
      <w:pPr>
        <w:pStyle w:val="BodyText"/>
        <w:spacing w:before="159"/>
        <w:rPr>
          <w:rFonts w:ascii="Calibri"/>
          <w:sz w:val="20"/>
        </w:rPr>
      </w:pPr>
    </w:p>
    <w:p>
      <w:pPr>
        <w:spacing w:line="256" w:lineRule="auto" w:before="0"/>
        <w:ind w:left="2251" w:right="2022" w:firstLine="0"/>
        <w:jc w:val="both"/>
        <w:rPr>
          <w:rFonts w:ascii="Calibri" w:hAnsi="Calibri"/>
          <w:sz w:val="20"/>
        </w:rPr>
      </w:pPr>
      <w:r>
        <w:rPr>
          <w:rFonts w:ascii="Calibri" w:hAnsi="Calibri"/>
          <w:sz w:val="20"/>
        </w:rPr>
        <w:t>De</w:t>
      </w:r>
      <w:r>
        <w:rPr>
          <w:rFonts w:ascii="Calibri" w:hAnsi="Calibri"/>
          <w:spacing w:val="-5"/>
          <w:sz w:val="20"/>
        </w:rPr>
        <w:t> </w:t>
      </w:r>
      <w:r>
        <w:rPr>
          <w:rFonts w:ascii="Calibri" w:hAnsi="Calibri"/>
          <w:sz w:val="20"/>
        </w:rPr>
        <w:t>acuerdo</w:t>
      </w:r>
      <w:r>
        <w:rPr>
          <w:rFonts w:ascii="Calibri" w:hAnsi="Calibri"/>
          <w:spacing w:val="-5"/>
          <w:sz w:val="20"/>
        </w:rPr>
        <w:t> </w:t>
      </w:r>
      <w:r>
        <w:rPr>
          <w:rFonts w:ascii="Calibri" w:hAnsi="Calibri"/>
          <w:sz w:val="20"/>
        </w:rPr>
        <w:t>con</w:t>
      </w:r>
      <w:r>
        <w:rPr>
          <w:rFonts w:ascii="Calibri" w:hAnsi="Calibri"/>
          <w:spacing w:val="-10"/>
          <w:sz w:val="20"/>
        </w:rPr>
        <w:t> </w:t>
      </w:r>
      <w:r>
        <w:rPr>
          <w:rFonts w:ascii="Calibri" w:hAnsi="Calibri"/>
          <w:sz w:val="20"/>
        </w:rPr>
        <w:t>dicha</w:t>
      </w:r>
      <w:r>
        <w:rPr>
          <w:rFonts w:ascii="Calibri" w:hAnsi="Calibri"/>
          <w:spacing w:val="-5"/>
          <w:sz w:val="20"/>
        </w:rPr>
        <w:t> </w:t>
      </w:r>
      <w:r>
        <w:rPr>
          <w:rFonts w:ascii="Calibri" w:hAnsi="Calibri"/>
          <w:sz w:val="20"/>
        </w:rPr>
        <w:t>información,</w:t>
      </w:r>
      <w:r>
        <w:rPr>
          <w:rFonts w:ascii="Calibri" w:hAnsi="Calibri"/>
          <w:spacing w:val="-8"/>
          <w:sz w:val="20"/>
        </w:rPr>
        <w:t> </w:t>
      </w:r>
      <w:r>
        <w:rPr>
          <w:rFonts w:ascii="Calibri" w:hAnsi="Calibri"/>
          <w:sz w:val="20"/>
        </w:rPr>
        <w:t>los</w:t>
      </w:r>
      <w:r>
        <w:rPr>
          <w:rFonts w:ascii="Calibri" w:hAnsi="Calibri"/>
          <w:spacing w:val="-9"/>
          <w:sz w:val="20"/>
        </w:rPr>
        <w:t> </w:t>
      </w:r>
      <w:r>
        <w:rPr>
          <w:rFonts w:ascii="Calibri" w:hAnsi="Calibri"/>
          <w:sz w:val="20"/>
        </w:rPr>
        <w:t>12</w:t>
      </w:r>
      <w:r>
        <w:rPr>
          <w:rFonts w:ascii="Calibri" w:hAnsi="Calibri"/>
          <w:spacing w:val="-6"/>
          <w:sz w:val="20"/>
        </w:rPr>
        <w:t> </w:t>
      </w:r>
      <w:r>
        <w:rPr>
          <w:rFonts w:ascii="Calibri" w:hAnsi="Calibri"/>
          <w:sz w:val="20"/>
        </w:rPr>
        <w:t>vehículos</w:t>
      </w:r>
      <w:r>
        <w:rPr>
          <w:rFonts w:ascii="Calibri" w:hAnsi="Calibri"/>
          <w:spacing w:val="-6"/>
          <w:sz w:val="20"/>
        </w:rPr>
        <w:t> </w:t>
      </w:r>
      <w:r>
        <w:rPr>
          <w:rFonts w:ascii="Calibri" w:hAnsi="Calibri"/>
          <w:sz w:val="20"/>
        </w:rPr>
        <w:t>híbridos</w:t>
      </w:r>
      <w:r>
        <w:rPr>
          <w:rFonts w:ascii="Calibri" w:hAnsi="Calibri"/>
          <w:spacing w:val="-7"/>
          <w:sz w:val="20"/>
        </w:rPr>
        <w:t> </w:t>
      </w:r>
      <w:r>
        <w:rPr>
          <w:rFonts w:ascii="Calibri" w:hAnsi="Calibri"/>
          <w:sz w:val="20"/>
        </w:rPr>
        <w:t>correspondientes</w:t>
      </w:r>
      <w:r>
        <w:rPr>
          <w:rFonts w:ascii="Calibri" w:hAnsi="Calibri"/>
          <w:spacing w:val="-5"/>
          <w:sz w:val="20"/>
        </w:rPr>
        <w:t> </w:t>
      </w:r>
      <w:r>
        <w:rPr>
          <w:rFonts w:ascii="Calibri" w:hAnsi="Calibri"/>
          <w:sz w:val="20"/>
        </w:rPr>
        <w:t>a</w:t>
      </w:r>
      <w:r>
        <w:rPr>
          <w:rFonts w:ascii="Calibri" w:hAnsi="Calibri"/>
          <w:spacing w:val="-11"/>
          <w:sz w:val="20"/>
        </w:rPr>
        <w:t> </w:t>
      </w:r>
      <w:r>
        <w:rPr>
          <w:rFonts w:ascii="Calibri" w:hAnsi="Calibri"/>
          <w:sz w:val="20"/>
        </w:rPr>
        <w:t>la</w:t>
      </w:r>
      <w:r>
        <w:rPr>
          <w:rFonts w:ascii="Calibri" w:hAnsi="Calibri"/>
          <w:spacing w:val="-6"/>
          <w:sz w:val="20"/>
        </w:rPr>
        <w:t> </w:t>
      </w:r>
      <w:r>
        <w:rPr>
          <w:rFonts w:ascii="Calibri" w:hAnsi="Calibri"/>
          <w:sz w:val="20"/>
        </w:rPr>
        <w:t>segunda prórroga</w:t>
      </w:r>
      <w:r>
        <w:rPr>
          <w:rFonts w:ascii="Calibri" w:hAnsi="Calibri"/>
          <w:spacing w:val="-8"/>
          <w:sz w:val="20"/>
        </w:rPr>
        <w:t> </w:t>
      </w:r>
      <w:r>
        <w:rPr>
          <w:rFonts w:ascii="Calibri" w:hAnsi="Calibri"/>
          <w:sz w:val="20"/>
        </w:rPr>
        <w:t>fueron</w:t>
      </w:r>
      <w:r>
        <w:rPr>
          <w:rFonts w:ascii="Calibri" w:hAnsi="Calibri"/>
          <w:spacing w:val="-10"/>
          <w:sz w:val="20"/>
        </w:rPr>
        <w:t> </w:t>
      </w:r>
      <w:r>
        <w:rPr>
          <w:rFonts w:ascii="Calibri" w:hAnsi="Calibri"/>
          <w:sz w:val="20"/>
        </w:rPr>
        <w:t>recepcionados</w:t>
      </w:r>
      <w:r>
        <w:rPr>
          <w:rFonts w:ascii="Calibri" w:hAnsi="Calibri"/>
          <w:spacing w:val="-7"/>
          <w:sz w:val="20"/>
        </w:rPr>
        <w:t> </w:t>
      </w:r>
      <w:r>
        <w:rPr>
          <w:rFonts w:ascii="Calibri" w:hAnsi="Calibri"/>
          <w:sz w:val="20"/>
        </w:rPr>
        <w:t>en</w:t>
      </w:r>
      <w:r>
        <w:rPr>
          <w:rFonts w:ascii="Calibri" w:hAnsi="Calibri"/>
          <w:spacing w:val="-9"/>
          <w:sz w:val="20"/>
        </w:rPr>
        <w:t> </w:t>
      </w:r>
      <w:r>
        <w:rPr>
          <w:rFonts w:ascii="Calibri" w:hAnsi="Calibri"/>
          <w:sz w:val="20"/>
        </w:rPr>
        <w:t>2023,</w:t>
      </w:r>
      <w:r>
        <w:rPr>
          <w:rFonts w:ascii="Calibri" w:hAnsi="Calibri"/>
          <w:spacing w:val="-7"/>
          <w:sz w:val="20"/>
        </w:rPr>
        <w:t> </w:t>
      </w:r>
      <w:r>
        <w:rPr>
          <w:rFonts w:ascii="Calibri" w:hAnsi="Calibri"/>
          <w:sz w:val="20"/>
        </w:rPr>
        <w:t>de</w:t>
      </w:r>
      <w:r>
        <w:rPr>
          <w:rFonts w:ascii="Calibri" w:hAnsi="Calibri"/>
          <w:spacing w:val="-9"/>
          <w:sz w:val="20"/>
        </w:rPr>
        <w:t> </w:t>
      </w:r>
      <w:r>
        <w:rPr>
          <w:rFonts w:ascii="Calibri" w:hAnsi="Calibri"/>
          <w:sz w:val="20"/>
        </w:rPr>
        <w:t>manera</w:t>
      </w:r>
      <w:r>
        <w:rPr>
          <w:rFonts w:ascii="Calibri" w:hAnsi="Calibri"/>
          <w:spacing w:val="-8"/>
          <w:sz w:val="20"/>
        </w:rPr>
        <w:t> </w:t>
      </w:r>
      <w:r>
        <w:rPr>
          <w:rFonts w:ascii="Calibri" w:hAnsi="Calibri"/>
          <w:sz w:val="20"/>
        </w:rPr>
        <w:t>que</w:t>
      </w:r>
      <w:r>
        <w:rPr>
          <w:rFonts w:ascii="Calibri" w:hAnsi="Calibri"/>
          <w:spacing w:val="-5"/>
          <w:sz w:val="20"/>
        </w:rPr>
        <w:t> </w:t>
      </w:r>
      <w:r>
        <w:rPr>
          <w:rFonts w:ascii="Calibri" w:hAnsi="Calibri"/>
          <w:sz w:val="20"/>
        </w:rPr>
        <w:t>el</w:t>
      </w:r>
      <w:r>
        <w:rPr>
          <w:rFonts w:ascii="Calibri" w:hAnsi="Calibri"/>
          <w:spacing w:val="-9"/>
          <w:sz w:val="20"/>
        </w:rPr>
        <w:t> </w:t>
      </w:r>
      <w:r>
        <w:rPr>
          <w:rFonts w:ascii="Calibri" w:hAnsi="Calibri"/>
          <w:sz w:val="20"/>
        </w:rPr>
        <w:t>objetivo</w:t>
      </w:r>
      <w:r>
        <w:rPr>
          <w:rFonts w:ascii="Calibri" w:hAnsi="Calibri"/>
          <w:spacing w:val="-6"/>
          <w:sz w:val="20"/>
        </w:rPr>
        <w:t> </w:t>
      </w:r>
      <w:r>
        <w:rPr>
          <w:rFonts w:ascii="Calibri" w:hAnsi="Calibri"/>
          <w:sz w:val="20"/>
        </w:rPr>
        <w:t>anual</w:t>
      </w:r>
      <w:r>
        <w:rPr>
          <w:rFonts w:ascii="Calibri" w:hAnsi="Calibri"/>
          <w:spacing w:val="-6"/>
          <w:sz w:val="20"/>
        </w:rPr>
        <w:t> </w:t>
      </w:r>
      <w:r>
        <w:rPr>
          <w:rFonts w:ascii="Calibri" w:hAnsi="Calibri"/>
          <w:sz w:val="20"/>
        </w:rPr>
        <w:t>de</w:t>
      </w:r>
      <w:r>
        <w:rPr>
          <w:rFonts w:ascii="Calibri" w:hAnsi="Calibri"/>
          <w:spacing w:val="-9"/>
          <w:sz w:val="20"/>
        </w:rPr>
        <w:t> </w:t>
      </w:r>
      <w:r>
        <w:rPr>
          <w:rFonts w:ascii="Calibri" w:hAnsi="Calibri"/>
          <w:sz w:val="20"/>
        </w:rPr>
        <w:t>renovación</w:t>
      </w:r>
      <w:r>
        <w:rPr>
          <w:rFonts w:ascii="Calibri" w:hAnsi="Calibri"/>
          <w:spacing w:val="-7"/>
          <w:sz w:val="20"/>
        </w:rPr>
        <w:t> </w:t>
      </w:r>
      <w:r>
        <w:rPr>
          <w:rFonts w:ascii="Calibri" w:hAnsi="Calibri"/>
          <w:sz w:val="20"/>
        </w:rPr>
        <w:t>de flota quedó plenamente alcanzado.</w:t>
      </w:r>
    </w:p>
    <w:p>
      <w:pPr>
        <w:pStyle w:val="BodyText"/>
        <w:spacing w:before="19"/>
        <w:rPr>
          <w:rFonts w:ascii="Calibri"/>
          <w:sz w:val="20"/>
        </w:rPr>
      </w:pPr>
    </w:p>
    <w:p>
      <w:pPr>
        <w:spacing w:line="256" w:lineRule="auto" w:before="0"/>
        <w:ind w:left="2251" w:right="2019" w:firstLine="0"/>
        <w:jc w:val="both"/>
        <w:rPr>
          <w:rFonts w:ascii="Calibri" w:hAnsi="Calibri"/>
          <w:sz w:val="20"/>
        </w:rPr>
      </w:pPr>
      <w:r>
        <w:rPr>
          <w:rFonts w:ascii="Calibri" w:hAnsi="Calibri"/>
          <w:sz w:val="20"/>
        </w:rPr>
        <w:t>Asimismo,</w:t>
      </w:r>
      <w:r>
        <w:rPr>
          <w:rFonts w:ascii="Calibri" w:hAnsi="Calibri"/>
          <w:spacing w:val="-8"/>
          <w:sz w:val="20"/>
        </w:rPr>
        <w:t> </w:t>
      </w:r>
      <w:r>
        <w:rPr>
          <w:rFonts w:ascii="Calibri" w:hAnsi="Calibri"/>
          <w:sz w:val="20"/>
        </w:rPr>
        <w:t>el</w:t>
      </w:r>
      <w:r>
        <w:rPr>
          <w:rFonts w:ascii="Calibri" w:hAnsi="Calibri"/>
          <w:spacing w:val="-9"/>
          <w:sz w:val="20"/>
        </w:rPr>
        <w:t> </w:t>
      </w:r>
      <w:r>
        <w:rPr>
          <w:rFonts w:ascii="Calibri" w:hAnsi="Calibri"/>
          <w:sz w:val="20"/>
        </w:rPr>
        <w:t>informe</w:t>
      </w:r>
      <w:r>
        <w:rPr>
          <w:rFonts w:ascii="Calibri" w:hAnsi="Calibri"/>
          <w:spacing w:val="-5"/>
          <w:sz w:val="20"/>
        </w:rPr>
        <w:t> </w:t>
      </w:r>
      <w:r>
        <w:rPr>
          <w:rFonts w:ascii="Calibri" w:hAnsi="Calibri"/>
          <w:sz w:val="20"/>
        </w:rPr>
        <w:t>de</w:t>
      </w:r>
      <w:r>
        <w:rPr>
          <w:rFonts w:ascii="Calibri" w:hAnsi="Calibri"/>
          <w:spacing w:val="-7"/>
          <w:sz w:val="20"/>
        </w:rPr>
        <w:t> </w:t>
      </w:r>
      <w:r>
        <w:rPr>
          <w:rFonts w:ascii="Calibri" w:hAnsi="Calibri"/>
          <w:sz w:val="20"/>
        </w:rPr>
        <w:t>seguimiento</w:t>
      </w:r>
      <w:r>
        <w:rPr>
          <w:rFonts w:ascii="Calibri" w:hAnsi="Calibri"/>
          <w:spacing w:val="-4"/>
          <w:sz w:val="20"/>
        </w:rPr>
        <w:t> </w:t>
      </w:r>
      <w:r>
        <w:rPr>
          <w:rFonts w:ascii="Calibri" w:hAnsi="Calibri"/>
          <w:sz w:val="20"/>
        </w:rPr>
        <w:t>anual</w:t>
      </w:r>
      <w:r>
        <w:rPr>
          <w:rFonts w:ascii="Calibri" w:hAnsi="Calibri"/>
          <w:spacing w:val="-9"/>
          <w:sz w:val="20"/>
        </w:rPr>
        <w:t> </w:t>
      </w:r>
      <w:r>
        <w:rPr>
          <w:rFonts w:ascii="Calibri" w:hAnsi="Calibri"/>
          <w:sz w:val="20"/>
        </w:rPr>
        <w:t>del</w:t>
      </w:r>
      <w:r>
        <w:rPr>
          <w:rFonts w:ascii="Calibri" w:hAnsi="Calibri"/>
          <w:spacing w:val="-7"/>
          <w:sz w:val="20"/>
        </w:rPr>
        <w:t> </w:t>
      </w:r>
      <w:r>
        <w:rPr>
          <w:rFonts w:ascii="Calibri" w:hAnsi="Calibri"/>
          <w:sz w:val="20"/>
        </w:rPr>
        <w:t>Plan</w:t>
      </w:r>
      <w:r>
        <w:rPr>
          <w:rFonts w:ascii="Calibri" w:hAnsi="Calibri"/>
          <w:spacing w:val="-8"/>
          <w:sz w:val="20"/>
        </w:rPr>
        <w:t> </w:t>
      </w:r>
      <w:r>
        <w:rPr>
          <w:rFonts w:ascii="Calibri" w:hAnsi="Calibri"/>
          <w:sz w:val="20"/>
        </w:rPr>
        <w:t>Estratégico</w:t>
      </w:r>
      <w:r>
        <w:rPr>
          <w:rFonts w:ascii="Calibri" w:hAnsi="Calibri"/>
          <w:spacing w:val="-7"/>
          <w:sz w:val="20"/>
        </w:rPr>
        <w:t> </w:t>
      </w:r>
      <w:r>
        <w:rPr>
          <w:rFonts w:ascii="Calibri" w:hAnsi="Calibri"/>
          <w:sz w:val="20"/>
        </w:rPr>
        <w:t>2022-2024,</w:t>
      </w:r>
      <w:r>
        <w:rPr>
          <w:rFonts w:ascii="Calibri" w:hAnsi="Calibri"/>
          <w:spacing w:val="-8"/>
          <w:sz w:val="20"/>
        </w:rPr>
        <w:t> </w:t>
      </w:r>
      <w:r>
        <w:rPr>
          <w:rFonts w:ascii="Calibri" w:hAnsi="Calibri"/>
          <w:sz w:val="20"/>
        </w:rPr>
        <w:t>tras</w:t>
      </w:r>
      <w:r>
        <w:rPr>
          <w:rFonts w:ascii="Calibri" w:hAnsi="Calibri"/>
          <w:spacing w:val="-9"/>
          <w:sz w:val="20"/>
        </w:rPr>
        <w:t> </w:t>
      </w:r>
      <w:r>
        <w:rPr>
          <w:rFonts w:ascii="Calibri" w:hAnsi="Calibri"/>
          <w:sz w:val="20"/>
        </w:rPr>
        <w:t>el</w:t>
      </w:r>
      <w:r>
        <w:rPr>
          <w:rFonts w:ascii="Calibri" w:hAnsi="Calibri"/>
          <w:spacing w:val="-5"/>
          <w:sz w:val="20"/>
        </w:rPr>
        <w:t> </w:t>
      </w:r>
      <w:r>
        <w:rPr>
          <w:rFonts w:ascii="Calibri" w:hAnsi="Calibri"/>
          <w:sz w:val="20"/>
        </w:rPr>
        <w:t>ejercicio 2024, constata expresamente que las previsiones en materia de renovación de flota con vehículos híbridos se han cumplido en su totalidad, conforme al siguiente detalle:</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9"/>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651" name="Group 651"/>
                <wp:cNvGraphicFramePr>
                  <a:graphicFrameLocks/>
                </wp:cNvGraphicFramePr>
                <a:graphic>
                  <a:graphicData uri="http://schemas.microsoft.com/office/word/2010/wordprocessingGroup">
                    <wpg:wgp>
                      <wpg:cNvPr id="651" name="Group 651"/>
                      <wpg:cNvGrpSpPr/>
                      <wpg:grpSpPr>
                        <a:xfrm>
                          <a:off x="0" y="0"/>
                          <a:ext cx="1870075" cy="6350"/>
                          <a:chExt cx="1870075" cy="6350"/>
                        </a:xfrm>
                      </wpg:grpSpPr>
                      <wps:wsp>
                        <wps:cNvPr id="652" name="Graphic 652"/>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537" coordorigin="0,0" coordsize="2945,10">
                <v:rect style="position:absolute;left:0;top:0;width:2945;height:10" id="docshape538"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653" name="Group 653"/>
                <wp:cNvGraphicFramePr>
                  <a:graphicFrameLocks/>
                </wp:cNvGraphicFramePr>
                <a:graphic>
                  <a:graphicData uri="http://schemas.microsoft.com/office/word/2010/wordprocessingGroup">
                    <wpg:wgp>
                      <wpg:cNvPr id="653" name="Group 653"/>
                      <wpg:cNvGrpSpPr/>
                      <wpg:grpSpPr>
                        <a:xfrm>
                          <a:off x="0" y="0"/>
                          <a:ext cx="841375" cy="6350"/>
                          <a:chExt cx="841375" cy="6350"/>
                        </a:xfrm>
                      </wpg:grpSpPr>
                      <wps:wsp>
                        <wps:cNvPr id="654" name="Graphic 654"/>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539" coordorigin="0,0" coordsize="1325,10">
                <v:rect style="position:absolute;left:0;top:0;width:1325;height:10" id="docshape540"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190"/>
          <w:headerReference w:type="default" r:id="rId191"/>
          <w:footerReference w:type="even" r:id="rId192"/>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51104">
                <wp:simplePos x="0" y="0"/>
                <wp:positionH relativeFrom="page">
                  <wp:posOffset>4332186</wp:posOffset>
                </wp:positionH>
                <wp:positionV relativeFrom="paragraph">
                  <wp:posOffset>1412477</wp:posOffset>
                </wp:positionV>
                <wp:extent cx="53340" cy="100330"/>
                <wp:effectExtent l="0" t="0" r="0" b="0"/>
                <wp:wrapNone/>
                <wp:docPr id="655" name="Textbox 655"/>
                <wp:cNvGraphicFramePr>
                  <a:graphicFrameLocks/>
                </wp:cNvGraphicFramePr>
                <a:graphic>
                  <a:graphicData uri="http://schemas.microsoft.com/office/word/2010/wordprocessingShape">
                    <wps:wsp>
                      <wps:cNvPr id="655" name="Textbox 655"/>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65376" type="#_x0000_t202" id="docshape541"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352128">
                <wp:simplePos x="0" y="0"/>
                <wp:positionH relativeFrom="page">
                  <wp:posOffset>2442286</wp:posOffset>
                </wp:positionH>
                <wp:positionV relativeFrom="paragraph">
                  <wp:posOffset>999005</wp:posOffset>
                </wp:positionV>
                <wp:extent cx="1299210" cy="99060"/>
                <wp:effectExtent l="0" t="0" r="0" b="0"/>
                <wp:wrapNone/>
                <wp:docPr id="656" name="Graphic 656"/>
                <wp:cNvGraphicFramePr>
                  <a:graphicFrameLocks/>
                </wp:cNvGraphicFramePr>
                <a:graphic>
                  <a:graphicData uri="http://schemas.microsoft.com/office/word/2010/wordprocessingShape">
                    <wps:wsp>
                      <wps:cNvPr id="656" name="Graphic 656"/>
                      <wps:cNvSpPr/>
                      <wps:spPr>
                        <a:xfrm>
                          <a:off x="0" y="0"/>
                          <a:ext cx="1299210" cy="99060"/>
                        </a:xfrm>
                        <a:custGeom>
                          <a:avLst/>
                          <a:gdLst/>
                          <a:ahLst/>
                          <a:cxnLst/>
                          <a:rect l="l" t="t" r="r" b="b"/>
                          <a:pathLst>
                            <a:path w="1299210" h="99060">
                              <a:moveTo>
                                <a:pt x="1298981" y="0"/>
                              </a:moveTo>
                              <a:lnTo>
                                <a:pt x="0" y="0"/>
                              </a:lnTo>
                              <a:lnTo>
                                <a:pt x="0" y="98742"/>
                              </a:lnTo>
                              <a:lnTo>
                                <a:pt x="1298981" y="98742"/>
                              </a:lnTo>
                              <a:lnTo>
                                <a:pt x="12989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92.306pt;margin-top:78.661887pt;width:102.282pt;height:7.775pt;mso-position-horizontal-relative:page;mso-position-vertical-relative:paragraph;z-index:-28964352" id="docshape542" filled="true" fillcolor="#000000" stroked="false">
                <v:fill type="solid"/>
                <w10:wrap type="none"/>
              </v:rect>
            </w:pict>
          </mc:Fallback>
        </mc:AlternateContent>
      </w:r>
      <w:r>
        <w:rPr>
          <w:sz w:val="16"/>
        </w:rPr>
        <mc:AlternateContent>
          <mc:Choice Requires="wps">
            <w:drawing>
              <wp:anchor distT="0" distB="0" distL="0" distR="0" allowOverlap="1" layoutInCell="1" locked="0" behindDoc="1" simplePos="0" relativeHeight="474352640">
                <wp:simplePos x="0" y="0"/>
                <wp:positionH relativeFrom="page">
                  <wp:posOffset>4371543</wp:posOffset>
                </wp:positionH>
                <wp:positionV relativeFrom="paragraph">
                  <wp:posOffset>1412568</wp:posOffset>
                </wp:positionV>
                <wp:extent cx="1512570" cy="102870"/>
                <wp:effectExtent l="0" t="0" r="0" b="0"/>
                <wp:wrapNone/>
                <wp:docPr id="657" name="Graphic 657"/>
                <wp:cNvGraphicFramePr>
                  <a:graphicFrameLocks/>
                </wp:cNvGraphicFramePr>
                <a:graphic>
                  <a:graphicData uri="http://schemas.microsoft.com/office/word/2010/wordprocessingShape">
                    <wps:wsp>
                      <wps:cNvPr id="657" name="Graphic 657"/>
                      <wps:cNvSpPr/>
                      <wps:spPr>
                        <a:xfrm>
                          <a:off x="0" y="0"/>
                          <a:ext cx="1512570" cy="102870"/>
                        </a:xfrm>
                        <a:custGeom>
                          <a:avLst/>
                          <a:gdLst/>
                          <a:ahLst/>
                          <a:cxnLst/>
                          <a:rect l="l" t="t" r="r" b="b"/>
                          <a:pathLst>
                            <a:path w="1512570" h="102870">
                              <a:moveTo>
                                <a:pt x="1511998" y="0"/>
                              </a:moveTo>
                              <a:lnTo>
                                <a:pt x="0" y="0"/>
                              </a:lnTo>
                              <a:lnTo>
                                <a:pt x="0" y="102819"/>
                              </a:lnTo>
                              <a:lnTo>
                                <a:pt x="1511998" y="102819"/>
                              </a:lnTo>
                              <a:lnTo>
                                <a:pt x="15119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4.216pt;margin-top:111.225892pt;width:119.055pt;height:8.096pt;mso-position-horizontal-relative:page;mso-position-vertical-relative:paragraph;z-index:-28963840" id="docshape543" filled="true" fillcolor="#000000" stroked="false">
                <v:fill type="solid"/>
                <w10:wrap type="none"/>
              </v:rect>
            </w:pict>
          </mc:Fallback>
        </mc:AlternateContent>
      </w:r>
      <w:r>
        <w:rPr>
          <w:sz w:val="16"/>
        </w:rPr>
        <w:drawing>
          <wp:anchor distT="0" distB="0" distL="0" distR="0" allowOverlap="1" layoutInCell="1" locked="0" behindDoc="0" simplePos="0" relativeHeight="15815168">
            <wp:simplePos x="0" y="0"/>
            <wp:positionH relativeFrom="page">
              <wp:posOffset>217931</wp:posOffset>
            </wp:positionH>
            <wp:positionV relativeFrom="paragraph">
              <wp:posOffset>1001444</wp:posOffset>
            </wp:positionV>
            <wp:extent cx="1203959" cy="207263"/>
            <wp:effectExtent l="0" t="0" r="0" b="0"/>
            <wp:wrapNone/>
            <wp:docPr id="658" name="Image 658"/>
            <wp:cNvGraphicFramePr>
              <a:graphicFrameLocks/>
            </wp:cNvGraphicFramePr>
            <a:graphic>
              <a:graphicData uri="http://schemas.openxmlformats.org/drawingml/2006/picture">
                <pic:pic>
                  <pic:nvPicPr>
                    <pic:cNvPr id="658" name="Image 658"/>
                    <pic:cNvPicPr/>
                  </pic:nvPicPr>
                  <pic:blipFill>
                    <a:blip r:embed="rId179" cstate="print"/>
                    <a:stretch>
                      <a:fillRect/>
                    </a:stretch>
                  </pic:blipFill>
                  <pic:spPr>
                    <a:xfrm>
                      <a:off x="0" y="0"/>
                      <a:ext cx="1203959" cy="207263"/>
                    </a:xfrm>
                    <a:prstGeom prst="rect">
                      <a:avLst/>
                    </a:prstGeom>
                  </pic:spPr>
                </pic:pic>
              </a:graphicData>
            </a:graphic>
          </wp:anchor>
        </w:drawing>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659" name="Textbox 659"/>
                <wp:cNvGraphicFramePr>
                  <a:graphicFrameLocks/>
                </wp:cNvGraphicFramePr>
                <a:graphic>
                  <a:graphicData uri="http://schemas.microsoft.com/office/word/2010/wordprocessingShape">
                    <wps:wsp>
                      <wps:cNvPr id="659" name="Textbox 659"/>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660" name="Image 660"/>
                                        <wp:cNvGraphicFramePr>
                                          <a:graphicFrameLocks/>
                                        </wp:cNvGraphicFramePr>
                                        <a:graphic>
                                          <a:graphicData uri="http://schemas.openxmlformats.org/drawingml/2006/picture">
                                            <pic:pic>
                                              <pic:nvPicPr>
                                                <pic:cNvPr id="660" name="Image 660"/>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661" name="Image 661"/>
                                        <wp:cNvGraphicFramePr>
                                          <a:graphicFrameLocks/>
                                        </wp:cNvGraphicFramePr>
                                        <a:graphic>
                                          <a:graphicData uri="http://schemas.openxmlformats.org/drawingml/2006/picture">
                                            <pic:pic>
                                              <pic:nvPicPr>
                                                <pic:cNvPr id="661" name="Image 661"/>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662" name="Image 662"/>
                                        <wp:cNvGraphicFramePr>
                                          <a:graphicFrameLocks/>
                                        </wp:cNvGraphicFramePr>
                                        <a:graphic>
                                          <a:graphicData uri="http://schemas.openxmlformats.org/drawingml/2006/picture">
                                            <pic:pic>
                                              <pic:nvPicPr>
                                                <pic:cNvPr id="662" name="Image 662"/>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073" cy="84010"/>
                                        <wp:effectExtent l="0" t="0" r="0" b="0"/>
                                        <wp:docPr id="663" name="Image 663"/>
                                        <wp:cNvGraphicFramePr>
                                          <a:graphicFrameLocks/>
                                        </wp:cNvGraphicFramePr>
                                        <a:graphic>
                                          <a:graphicData uri="http://schemas.openxmlformats.org/drawingml/2006/picture">
                                            <pic:pic>
                                              <pic:nvPicPr>
                                                <pic:cNvPr id="663" name="Image 663"/>
                                                <pic:cNvPicPr/>
                                              </pic:nvPicPr>
                                              <pic:blipFill>
                                                <a:blip r:embed="rId185" cstate="print"/>
                                                <a:stretch>
                                                  <a:fillRect/>
                                                </a:stretch>
                                              </pic:blipFill>
                                              <pic:spPr>
                                                <a:xfrm>
                                                  <a:off x="0" y="0"/>
                                                  <a:ext cx="263073"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right="1"/>
                                    <w:jc w:val="center"/>
                                    <w:rPr>
                                      <w:rFonts w:ascii="Arial"/>
                                      <w:sz w:val="14"/>
                                    </w:rPr>
                                  </w:pPr>
                                  <w:r>
                                    <w:rPr>
                                      <w:rFonts w:ascii="Arial"/>
                                      <w:spacing w:val="-4"/>
                                      <w:sz w:val="14"/>
                                    </w:rPr>
                                    <w:t>2/40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664" name="Image 664"/>
                                        <wp:cNvGraphicFramePr>
                                          <a:graphicFrameLocks/>
                                        </wp:cNvGraphicFramePr>
                                        <a:graphic>
                                          <a:graphicData uri="http://schemas.openxmlformats.org/drawingml/2006/picture">
                                            <pic:pic>
                                              <pic:nvPicPr>
                                                <pic:cNvPr id="664" name="Image 664"/>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665" name="Image 665"/>
                                        <wp:cNvGraphicFramePr>
                                          <a:graphicFrameLocks/>
                                        </wp:cNvGraphicFramePr>
                                        <a:graphic>
                                          <a:graphicData uri="http://schemas.openxmlformats.org/drawingml/2006/picture">
                                            <pic:pic>
                                              <pic:nvPicPr>
                                                <pic:cNvPr id="665" name="Image 665"/>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544"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666" name="Image 666"/>
                                  <wp:cNvGraphicFramePr>
                                    <a:graphicFrameLocks/>
                                  </wp:cNvGraphicFramePr>
                                  <a:graphic>
                                    <a:graphicData uri="http://schemas.openxmlformats.org/drawingml/2006/picture">
                                      <pic:pic>
                                        <pic:nvPicPr>
                                          <pic:cNvPr id="666" name="Image 666"/>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667" name="Image 667"/>
                                  <wp:cNvGraphicFramePr>
                                    <a:graphicFrameLocks/>
                                  </wp:cNvGraphicFramePr>
                                  <a:graphic>
                                    <a:graphicData uri="http://schemas.openxmlformats.org/drawingml/2006/picture">
                                      <pic:pic>
                                        <pic:nvPicPr>
                                          <pic:cNvPr id="667" name="Image 667"/>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668" name="Image 668"/>
                                  <wp:cNvGraphicFramePr>
                                    <a:graphicFrameLocks/>
                                  </wp:cNvGraphicFramePr>
                                  <a:graphic>
                                    <a:graphicData uri="http://schemas.openxmlformats.org/drawingml/2006/picture">
                                      <pic:pic>
                                        <pic:nvPicPr>
                                          <pic:cNvPr id="668" name="Image 668"/>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073" cy="84010"/>
                                  <wp:effectExtent l="0" t="0" r="0" b="0"/>
                                  <wp:docPr id="669" name="Image 669"/>
                                  <wp:cNvGraphicFramePr>
                                    <a:graphicFrameLocks/>
                                  </wp:cNvGraphicFramePr>
                                  <a:graphic>
                                    <a:graphicData uri="http://schemas.openxmlformats.org/drawingml/2006/picture">
                                      <pic:pic>
                                        <pic:nvPicPr>
                                          <pic:cNvPr id="669" name="Image 669"/>
                                          <pic:cNvPicPr/>
                                        </pic:nvPicPr>
                                        <pic:blipFill>
                                          <a:blip r:embed="rId185" cstate="print"/>
                                          <a:stretch>
                                            <a:fillRect/>
                                          </a:stretch>
                                        </pic:blipFill>
                                        <pic:spPr>
                                          <a:xfrm>
                                            <a:off x="0" y="0"/>
                                            <a:ext cx="263073"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right="1"/>
                              <w:jc w:val="center"/>
                              <w:rPr>
                                <w:rFonts w:ascii="Arial"/>
                                <w:sz w:val="14"/>
                              </w:rPr>
                            </w:pPr>
                            <w:r>
                              <w:rPr>
                                <w:rFonts w:ascii="Arial"/>
                                <w:spacing w:val="-4"/>
                                <w:sz w:val="14"/>
                              </w:rPr>
                              <w:t>2/40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670" name="Image 670"/>
                                  <wp:cNvGraphicFramePr>
                                    <a:graphicFrameLocks/>
                                  </wp:cNvGraphicFramePr>
                                  <a:graphic>
                                    <a:graphicData uri="http://schemas.openxmlformats.org/drawingml/2006/picture">
                                      <pic:pic>
                                        <pic:nvPicPr>
                                          <pic:cNvPr id="670" name="Image 670"/>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671" name="Image 671"/>
                                  <wp:cNvGraphicFramePr>
                                    <a:graphicFrameLocks/>
                                  </wp:cNvGraphicFramePr>
                                  <a:graphic>
                                    <a:graphicData uri="http://schemas.openxmlformats.org/drawingml/2006/picture">
                                      <pic:pic>
                                        <pic:nvPicPr>
                                          <pic:cNvPr id="671" name="Image 671"/>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672" name="Group 672"/>
                <wp:cNvGraphicFramePr>
                  <a:graphicFrameLocks/>
                </wp:cNvGraphicFramePr>
                <a:graphic>
                  <a:graphicData uri="http://schemas.microsoft.com/office/word/2010/wordprocessingGroup">
                    <wpg:wgp>
                      <wpg:cNvPr id="672" name="Group 672"/>
                      <wpg:cNvGrpSpPr/>
                      <wpg:grpSpPr>
                        <a:xfrm>
                          <a:off x="0" y="0"/>
                          <a:ext cx="734695" cy="753110"/>
                          <a:chExt cx="734695" cy="753110"/>
                        </a:xfrm>
                      </wpg:grpSpPr>
                      <pic:pic>
                        <pic:nvPicPr>
                          <pic:cNvPr id="673" name="Image 673"/>
                          <pic:cNvPicPr/>
                        </pic:nvPicPr>
                        <pic:blipFill>
                          <a:blip r:embed="rId193" cstate="print"/>
                          <a:stretch>
                            <a:fillRect/>
                          </a:stretch>
                        </pic:blipFill>
                        <pic:spPr>
                          <a:xfrm>
                            <a:off x="0" y="0"/>
                            <a:ext cx="734552" cy="752855"/>
                          </a:xfrm>
                          <a:prstGeom prst="rect">
                            <a:avLst/>
                          </a:prstGeom>
                        </pic:spPr>
                      </pic:pic>
                      <wps:wsp>
                        <wps:cNvPr id="674" name="Graphic 674"/>
                        <wps:cNvSpPr/>
                        <wps:spPr>
                          <a:xfrm>
                            <a:off x="30530" y="50177"/>
                            <a:ext cx="659765" cy="694690"/>
                          </a:xfrm>
                          <a:custGeom>
                            <a:avLst/>
                            <a:gdLst/>
                            <a:ahLst/>
                            <a:cxnLst/>
                            <a:rect l="l" t="t" r="r" b="b"/>
                            <a:pathLst>
                              <a:path w="659765" h="694690">
                                <a:moveTo>
                                  <a:pt x="659574" y="0"/>
                                </a:moveTo>
                                <a:lnTo>
                                  <a:pt x="0" y="0"/>
                                </a:lnTo>
                                <a:lnTo>
                                  <a:pt x="0" y="694474"/>
                                </a:lnTo>
                                <a:lnTo>
                                  <a:pt x="659574" y="694474"/>
                                </a:lnTo>
                                <a:lnTo>
                                  <a:pt x="65957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545" coordorigin="0,0" coordsize="1157,1186">
                <v:shape style="position:absolute;left:0;top:0;width:1157;height:1186" type="#_x0000_t75" id="docshape546" stroked="false">
                  <v:imagedata r:id="rId193" o:title=""/>
                </v:shape>
                <v:rect style="position:absolute;left:48;top:79;width:1039;height:1094" id="docshape547"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6"/>
        <w:rPr>
          <w:sz w:val="20"/>
        </w:rPr>
      </w:pPr>
    </w:p>
    <w:tbl>
      <w:tblPr>
        <w:tblW w:w="0" w:type="auto"/>
        <w:jc w:val="left"/>
        <w:tblInd w:w="1839"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top w:w="0" w:type="dxa"/>
          <w:left w:w="0" w:type="dxa"/>
          <w:bottom w:w="0" w:type="dxa"/>
          <w:right w:w="0" w:type="dxa"/>
        </w:tblCellMar>
        <w:tblLook w:val="01E0"/>
      </w:tblPr>
      <w:tblGrid>
        <w:gridCol w:w="1690"/>
        <w:gridCol w:w="195"/>
        <w:gridCol w:w="924"/>
        <w:gridCol w:w="5060"/>
      </w:tblGrid>
      <w:tr>
        <w:trPr>
          <w:trHeight w:val="666" w:hRule="atLeast"/>
        </w:trPr>
        <w:tc>
          <w:tcPr>
            <w:tcW w:w="1690" w:type="dxa"/>
            <w:shd w:val="clear" w:color="auto" w:fill="F2F2F2"/>
          </w:tcPr>
          <w:p>
            <w:pPr>
              <w:pStyle w:val="TableParagraph"/>
              <w:spacing w:line="256" w:lineRule="auto"/>
              <w:ind w:left="421"/>
              <w:rPr>
                <w:rFonts w:ascii="Calibri"/>
                <w:i/>
                <w:sz w:val="20"/>
              </w:rPr>
            </w:pPr>
            <w:r>
              <w:rPr>
                <w:rFonts w:ascii="Calibri"/>
                <w:i/>
                <w:sz w:val="20"/>
              </w:rPr>
              <w:t>Actividades</w:t>
            </w:r>
            <w:r>
              <w:rPr>
                <w:rFonts w:ascii="Calibri"/>
                <w:i/>
                <w:spacing w:val="57"/>
                <w:sz w:val="20"/>
              </w:rPr>
              <w:t> </w:t>
            </w:r>
            <w:r>
              <w:rPr>
                <w:rFonts w:ascii="Calibri"/>
                <w:i/>
                <w:sz w:val="20"/>
              </w:rPr>
              <w:t>o</w:t>
            </w:r>
            <w:r>
              <w:rPr>
                <w:rFonts w:ascii="Calibri"/>
                <w:i/>
                <w:sz w:val="20"/>
              </w:rPr>
              <w:t> </w:t>
            </w:r>
            <w:r>
              <w:rPr>
                <w:rFonts w:ascii="Calibri"/>
                <w:i/>
                <w:spacing w:val="-2"/>
                <w:sz w:val="20"/>
              </w:rPr>
              <w:t>proyectos:</w:t>
            </w:r>
          </w:p>
        </w:tc>
        <w:tc>
          <w:tcPr>
            <w:tcW w:w="6179" w:type="dxa"/>
            <w:gridSpan w:val="3"/>
          </w:tcPr>
          <w:p>
            <w:pPr>
              <w:pStyle w:val="TableParagraph"/>
              <w:spacing w:before="127"/>
              <w:ind w:left="423"/>
              <w:rPr>
                <w:rFonts w:ascii="Calibri" w:hAnsi="Calibri"/>
                <w:i/>
                <w:sz w:val="20"/>
              </w:rPr>
            </w:pPr>
            <w:r>
              <w:rPr>
                <w:rFonts w:ascii="Calibri" w:hAnsi="Calibri"/>
                <w:i/>
                <w:sz w:val="20"/>
              </w:rPr>
              <w:t>Renovación</w:t>
            </w:r>
            <w:r>
              <w:rPr>
                <w:rFonts w:ascii="Calibri" w:hAnsi="Calibri"/>
                <w:i/>
                <w:spacing w:val="2"/>
                <w:sz w:val="20"/>
              </w:rPr>
              <w:t> </w:t>
            </w:r>
            <w:r>
              <w:rPr>
                <w:rFonts w:ascii="Calibri" w:hAnsi="Calibri"/>
                <w:i/>
                <w:sz w:val="20"/>
              </w:rPr>
              <w:t>de</w:t>
            </w:r>
            <w:r>
              <w:rPr>
                <w:rFonts w:ascii="Calibri" w:hAnsi="Calibri"/>
                <w:i/>
                <w:spacing w:val="-2"/>
                <w:sz w:val="20"/>
              </w:rPr>
              <w:t> </w:t>
            </w:r>
            <w:r>
              <w:rPr>
                <w:rFonts w:ascii="Calibri" w:hAnsi="Calibri"/>
                <w:i/>
                <w:sz w:val="20"/>
              </w:rPr>
              <w:t>la</w:t>
            </w:r>
            <w:r>
              <w:rPr>
                <w:rFonts w:ascii="Calibri" w:hAnsi="Calibri"/>
                <w:i/>
                <w:spacing w:val="4"/>
                <w:sz w:val="20"/>
              </w:rPr>
              <w:t> </w:t>
            </w:r>
            <w:r>
              <w:rPr>
                <w:rFonts w:ascii="Calibri" w:hAnsi="Calibri"/>
                <w:i/>
                <w:sz w:val="20"/>
              </w:rPr>
              <w:t>flota</w:t>
            </w:r>
            <w:r>
              <w:rPr>
                <w:rFonts w:ascii="Calibri" w:hAnsi="Calibri"/>
                <w:i/>
                <w:spacing w:val="5"/>
                <w:sz w:val="20"/>
              </w:rPr>
              <w:t> </w:t>
            </w:r>
            <w:r>
              <w:rPr>
                <w:rFonts w:ascii="Calibri" w:hAnsi="Calibri"/>
                <w:i/>
                <w:sz w:val="20"/>
              </w:rPr>
              <w:t>articulada</w:t>
            </w:r>
            <w:r>
              <w:rPr>
                <w:rFonts w:ascii="Calibri" w:hAnsi="Calibri"/>
                <w:i/>
                <w:spacing w:val="4"/>
                <w:sz w:val="20"/>
              </w:rPr>
              <w:t> </w:t>
            </w:r>
            <w:r>
              <w:rPr>
                <w:rFonts w:ascii="Calibri" w:hAnsi="Calibri"/>
                <w:i/>
                <w:sz w:val="20"/>
              </w:rPr>
              <w:t>con</w:t>
            </w:r>
            <w:r>
              <w:rPr>
                <w:rFonts w:ascii="Calibri" w:hAnsi="Calibri"/>
                <w:i/>
                <w:spacing w:val="7"/>
                <w:sz w:val="20"/>
              </w:rPr>
              <w:t> </w:t>
            </w:r>
            <w:r>
              <w:rPr>
                <w:rFonts w:ascii="Calibri" w:hAnsi="Calibri"/>
                <w:i/>
                <w:sz w:val="20"/>
              </w:rPr>
              <w:t>vehículos</w:t>
            </w:r>
            <w:r>
              <w:rPr>
                <w:rFonts w:ascii="Calibri" w:hAnsi="Calibri"/>
                <w:i/>
                <w:spacing w:val="1"/>
                <w:sz w:val="20"/>
              </w:rPr>
              <w:t> </w:t>
            </w:r>
            <w:r>
              <w:rPr>
                <w:rFonts w:ascii="Calibri" w:hAnsi="Calibri"/>
                <w:i/>
                <w:sz w:val="20"/>
              </w:rPr>
              <w:t>híbridos</w:t>
            </w:r>
            <w:r>
              <w:rPr>
                <w:rFonts w:ascii="Calibri" w:hAnsi="Calibri"/>
                <w:i/>
                <w:spacing w:val="1"/>
                <w:sz w:val="20"/>
              </w:rPr>
              <w:t> </w:t>
            </w:r>
            <w:r>
              <w:rPr>
                <w:rFonts w:ascii="Calibri" w:hAnsi="Calibri"/>
                <w:i/>
                <w:spacing w:val="-4"/>
                <w:sz w:val="20"/>
              </w:rPr>
              <w:t>(18m)</w:t>
            </w:r>
          </w:p>
        </w:tc>
      </w:tr>
      <w:tr>
        <w:trPr>
          <w:trHeight w:val="402" w:hRule="atLeast"/>
        </w:trPr>
        <w:tc>
          <w:tcPr>
            <w:tcW w:w="1690" w:type="dxa"/>
            <w:shd w:val="clear" w:color="auto" w:fill="F2F2F2"/>
          </w:tcPr>
          <w:p>
            <w:pPr>
              <w:pStyle w:val="TableParagraph"/>
              <w:spacing w:line="240" w:lineRule="exact"/>
              <w:ind w:left="421"/>
              <w:rPr>
                <w:rFonts w:ascii="Calibri"/>
                <w:i/>
                <w:sz w:val="20"/>
              </w:rPr>
            </w:pPr>
            <w:r>
              <w:rPr>
                <w:rFonts w:ascii="Calibri"/>
                <w:i/>
                <w:spacing w:val="-2"/>
                <w:sz w:val="20"/>
              </w:rPr>
              <w:t>Responsable:</w:t>
            </w:r>
          </w:p>
        </w:tc>
        <w:tc>
          <w:tcPr>
            <w:tcW w:w="6179" w:type="dxa"/>
            <w:gridSpan w:val="3"/>
          </w:tcPr>
          <w:p>
            <w:pPr>
              <w:pStyle w:val="TableParagraph"/>
              <w:spacing w:line="240" w:lineRule="exact"/>
              <w:ind w:left="423"/>
              <w:rPr>
                <w:rFonts w:ascii="Calibri" w:hAnsi="Calibri"/>
                <w:sz w:val="20"/>
              </w:rPr>
            </w:pPr>
            <w:r>
              <w:rPr>
                <w:rFonts w:ascii="Calibri" w:hAnsi="Calibri"/>
                <w:spacing w:val="-4"/>
                <w:sz w:val="20"/>
              </w:rPr>
              <w:t>Dir.</w:t>
            </w:r>
            <w:r>
              <w:rPr>
                <w:rFonts w:ascii="Calibri" w:hAnsi="Calibri"/>
                <w:spacing w:val="-3"/>
                <w:sz w:val="20"/>
              </w:rPr>
              <w:t> </w:t>
            </w:r>
            <w:r>
              <w:rPr>
                <w:rFonts w:ascii="Calibri" w:hAnsi="Calibri"/>
                <w:spacing w:val="-4"/>
                <w:sz w:val="20"/>
              </w:rPr>
              <w:t>Talleres /</w:t>
            </w:r>
            <w:r>
              <w:rPr>
                <w:rFonts w:ascii="Calibri" w:hAnsi="Calibri"/>
                <w:spacing w:val="-3"/>
                <w:sz w:val="20"/>
              </w:rPr>
              <w:t> </w:t>
            </w:r>
            <w:r>
              <w:rPr>
                <w:rFonts w:ascii="Calibri" w:hAnsi="Calibri"/>
                <w:spacing w:val="-4"/>
                <w:sz w:val="20"/>
              </w:rPr>
              <w:t>Dir.</w:t>
            </w:r>
            <w:r>
              <w:rPr>
                <w:rFonts w:ascii="Calibri" w:hAnsi="Calibri"/>
                <w:spacing w:val="-2"/>
                <w:sz w:val="20"/>
              </w:rPr>
              <w:t> </w:t>
            </w:r>
            <w:r>
              <w:rPr>
                <w:rFonts w:ascii="Calibri" w:hAnsi="Calibri"/>
                <w:spacing w:val="-4"/>
                <w:sz w:val="20"/>
              </w:rPr>
              <w:t>Económico</w:t>
            </w:r>
            <w:r>
              <w:rPr>
                <w:rFonts w:ascii="Calibri" w:hAnsi="Calibri"/>
                <w:spacing w:val="-3"/>
                <w:sz w:val="20"/>
              </w:rPr>
              <w:t> </w:t>
            </w:r>
            <w:r>
              <w:rPr>
                <w:rFonts w:ascii="Calibri" w:hAnsi="Calibri"/>
                <w:spacing w:val="-4"/>
                <w:sz w:val="20"/>
              </w:rPr>
              <w:t>/</w:t>
            </w:r>
            <w:r>
              <w:rPr>
                <w:rFonts w:ascii="Calibri" w:hAnsi="Calibri"/>
                <w:sz w:val="20"/>
              </w:rPr>
              <w:t> </w:t>
            </w:r>
            <w:r>
              <w:rPr>
                <w:rFonts w:ascii="Calibri" w:hAnsi="Calibri"/>
                <w:spacing w:val="-4"/>
                <w:sz w:val="20"/>
              </w:rPr>
              <w:t>Dir. Jurídico</w:t>
            </w:r>
          </w:p>
        </w:tc>
      </w:tr>
      <w:tr>
        <w:trPr>
          <w:trHeight w:val="404" w:hRule="atLeast"/>
        </w:trPr>
        <w:tc>
          <w:tcPr>
            <w:tcW w:w="1690" w:type="dxa"/>
            <w:shd w:val="clear" w:color="auto" w:fill="F2F2F2"/>
          </w:tcPr>
          <w:p>
            <w:pPr>
              <w:pStyle w:val="TableParagraph"/>
              <w:spacing w:line="240" w:lineRule="exact"/>
              <w:ind w:left="421"/>
              <w:rPr>
                <w:rFonts w:ascii="Calibri"/>
                <w:i/>
                <w:sz w:val="20"/>
              </w:rPr>
            </w:pPr>
            <w:r>
              <w:rPr>
                <w:rFonts w:ascii="Calibri"/>
                <w:i/>
                <w:spacing w:val="-2"/>
                <w:sz w:val="20"/>
              </w:rPr>
              <w:t>Previsto 2022:</w:t>
            </w:r>
          </w:p>
        </w:tc>
        <w:tc>
          <w:tcPr>
            <w:tcW w:w="6179" w:type="dxa"/>
            <w:gridSpan w:val="3"/>
          </w:tcPr>
          <w:p>
            <w:pPr>
              <w:pStyle w:val="TableParagraph"/>
              <w:spacing w:line="240" w:lineRule="exact"/>
              <w:ind w:left="423"/>
              <w:rPr>
                <w:rFonts w:ascii="Calibri" w:hAnsi="Calibri"/>
                <w:sz w:val="20"/>
              </w:rPr>
            </w:pPr>
            <w:r>
              <w:rPr>
                <w:rFonts w:ascii="Calibri" w:hAnsi="Calibri"/>
                <w:spacing w:val="-2"/>
                <w:sz w:val="20"/>
              </w:rPr>
              <w:t>1ª</w:t>
            </w:r>
            <w:r>
              <w:rPr>
                <w:rFonts w:ascii="Calibri" w:hAnsi="Calibri"/>
                <w:spacing w:val="-3"/>
                <w:sz w:val="20"/>
              </w:rPr>
              <w:t> </w:t>
            </w:r>
            <w:r>
              <w:rPr>
                <w:rFonts w:ascii="Calibri" w:hAnsi="Calibri"/>
                <w:spacing w:val="-2"/>
                <w:sz w:val="20"/>
              </w:rPr>
              <w:t>Prórroga,</w:t>
            </w:r>
            <w:r>
              <w:rPr>
                <w:rFonts w:ascii="Calibri" w:hAnsi="Calibri"/>
                <w:sz w:val="20"/>
              </w:rPr>
              <w:t> </w:t>
            </w:r>
            <w:r>
              <w:rPr>
                <w:rFonts w:ascii="Calibri" w:hAnsi="Calibri"/>
                <w:spacing w:val="-2"/>
                <w:sz w:val="20"/>
              </w:rPr>
              <w:t>renovación</w:t>
            </w:r>
            <w:r>
              <w:rPr>
                <w:rFonts w:ascii="Calibri" w:hAnsi="Calibri"/>
                <w:spacing w:val="-5"/>
                <w:sz w:val="20"/>
              </w:rPr>
              <w:t> </w:t>
            </w:r>
            <w:r>
              <w:rPr>
                <w:rFonts w:ascii="Calibri" w:hAnsi="Calibri"/>
                <w:spacing w:val="-2"/>
                <w:sz w:val="20"/>
              </w:rPr>
              <w:t>de</w:t>
            </w:r>
            <w:r>
              <w:rPr>
                <w:rFonts w:ascii="Calibri" w:hAnsi="Calibri"/>
                <w:spacing w:val="-3"/>
                <w:sz w:val="20"/>
              </w:rPr>
              <w:t> </w:t>
            </w:r>
            <w:r>
              <w:rPr>
                <w:rFonts w:ascii="Calibri" w:hAnsi="Calibri"/>
                <w:spacing w:val="-2"/>
                <w:sz w:val="20"/>
              </w:rPr>
              <w:t>12</w:t>
            </w:r>
            <w:r>
              <w:rPr>
                <w:rFonts w:ascii="Calibri" w:hAnsi="Calibri"/>
                <w:spacing w:val="1"/>
                <w:sz w:val="20"/>
              </w:rPr>
              <w:t> </w:t>
            </w:r>
            <w:r>
              <w:rPr>
                <w:rFonts w:ascii="Calibri" w:hAnsi="Calibri"/>
                <w:spacing w:val="-5"/>
                <w:sz w:val="20"/>
              </w:rPr>
              <w:t>u.</w:t>
            </w:r>
          </w:p>
        </w:tc>
      </w:tr>
      <w:tr>
        <w:trPr>
          <w:trHeight w:val="402" w:hRule="atLeast"/>
        </w:trPr>
        <w:tc>
          <w:tcPr>
            <w:tcW w:w="1690" w:type="dxa"/>
            <w:shd w:val="clear" w:color="auto" w:fill="F2F2F2"/>
          </w:tcPr>
          <w:p>
            <w:pPr>
              <w:pStyle w:val="TableParagraph"/>
              <w:spacing w:line="240" w:lineRule="exact"/>
              <w:ind w:left="421"/>
              <w:rPr>
                <w:rFonts w:ascii="Calibri"/>
                <w:i/>
                <w:sz w:val="20"/>
              </w:rPr>
            </w:pPr>
            <w:r>
              <w:rPr>
                <w:rFonts w:ascii="Calibri"/>
                <w:i/>
                <w:spacing w:val="-2"/>
                <w:sz w:val="20"/>
              </w:rPr>
              <w:t>Previsto 2023:</w:t>
            </w:r>
          </w:p>
        </w:tc>
        <w:tc>
          <w:tcPr>
            <w:tcW w:w="6179" w:type="dxa"/>
            <w:gridSpan w:val="3"/>
          </w:tcPr>
          <w:p>
            <w:pPr>
              <w:pStyle w:val="TableParagraph"/>
              <w:spacing w:line="240" w:lineRule="exact"/>
              <w:ind w:left="423"/>
              <w:rPr>
                <w:rFonts w:ascii="Calibri" w:hAnsi="Calibri"/>
                <w:sz w:val="20"/>
              </w:rPr>
            </w:pPr>
            <w:r>
              <w:rPr>
                <w:rFonts w:ascii="Calibri" w:hAnsi="Calibri"/>
                <w:spacing w:val="-2"/>
                <w:sz w:val="20"/>
              </w:rPr>
              <w:t>2ª</w:t>
            </w:r>
            <w:r>
              <w:rPr>
                <w:rFonts w:ascii="Calibri" w:hAnsi="Calibri"/>
                <w:spacing w:val="-3"/>
                <w:sz w:val="20"/>
              </w:rPr>
              <w:t> </w:t>
            </w:r>
            <w:r>
              <w:rPr>
                <w:rFonts w:ascii="Calibri" w:hAnsi="Calibri"/>
                <w:spacing w:val="-2"/>
                <w:sz w:val="20"/>
              </w:rPr>
              <w:t>Prórroga,</w:t>
            </w:r>
            <w:r>
              <w:rPr>
                <w:rFonts w:ascii="Calibri" w:hAnsi="Calibri"/>
                <w:spacing w:val="-1"/>
                <w:sz w:val="20"/>
              </w:rPr>
              <w:t> </w:t>
            </w:r>
            <w:r>
              <w:rPr>
                <w:rFonts w:ascii="Calibri" w:hAnsi="Calibri"/>
                <w:spacing w:val="-2"/>
                <w:sz w:val="20"/>
              </w:rPr>
              <w:t>renovación</w:t>
            </w:r>
            <w:r>
              <w:rPr>
                <w:rFonts w:ascii="Calibri" w:hAnsi="Calibri"/>
                <w:spacing w:val="-6"/>
                <w:sz w:val="20"/>
              </w:rPr>
              <w:t> </w:t>
            </w:r>
            <w:r>
              <w:rPr>
                <w:rFonts w:ascii="Calibri" w:hAnsi="Calibri"/>
                <w:spacing w:val="-2"/>
                <w:sz w:val="20"/>
              </w:rPr>
              <w:t>de 12</w:t>
            </w:r>
            <w:r>
              <w:rPr>
                <w:rFonts w:ascii="Calibri" w:hAnsi="Calibri"/>
                <w:sz w:val="20"/>
              </w:rPr>
              <w:t> </w:t>
            </w:r>
            <w:r>
              <w:rPr>
                <w:rFonts w:ascii="Calibri" w:hAnsi="Calibri"/>
                <w:spacing w:val="-2"/>
                <w:sz w:val="20"/>
              </w:rPr>
              <w:t>nuevas</w:t>
            </w:r>
            <w:r>
              <w:rPr>
                <w:rFonts w:ascii="Calibri" w:hAnsi="Calibri"/>
                <w:spacing w:val="-3"/>
                <w:sz w:val="20"/>
              </w:rPr>
              <w:t> </w:t>
            </w:r>
            <w:r>
              <w:rPr>
                <w:rFonts w:ascii="Calibri" w:hAnsi="Calibri"/>
                <w:spacing w:val="-5"/>
                <w:sz w:val="20"/>
              </w:rPr>
              <w:t>u.</w:t>
            </w:r>
          </w:p>
        </w:tc>
      </w:tr>
      <w:tr>
        <w:trPr>
          <w:trHeight w:val="404" w:hRule="atLeast"/>
        </w:trPr>
        <w:tc>
          <w:tcPr>
            <w:tcW w:w="1690" w:type="dxa"/>
            <w:shd w:val="clear" w:color="auto" w:fill="F2F2F2"/>
          </w:tcPr>
          <w:p>
            <w:pPr>
              <w:pStyle w:val="TableParagraph"/>
              <w:spacing w:line="242" w:lineRule="exact"/>
              <w:ind w:left="421"/>
              <w:rPr>
                <w:rFonts w:ascii="Calibri"/>
                <w:i/>
                <w:sz w:val="20"/>
              </w:rPr>
            </w:pPr>
            <w:r>
              <w:rPr>
                <w:rFonts w:ascii="Calibri"/>
                <w:i/>
                <w:spacing w:val="-2"/>
                <w:sz w:val="20"/>
              </w:rPr>
              <w:t>Previsto 2024:</w:t>
            </w:r>
          </w:p>
        </w:tc>
        <w:tc>
          <w:tcPr>
            <w:tcW w:w="6179" w:type="dxa"/>
            <w:gridSpan w:val="3"/>
          </w:tcPr>
          <w:p>
            <w:pPr>
              <w:pStyle w:val="TableParagraph"/>
              <w:spacing w:line="242" w:lineRule="exact"/>
              <w:ind w:left="423"/>
              <w:rPr>
                <w:rFonts w:ascii="Calibri" w:hAnsi="Calibri"/>
                <w:sz w:val="20"/>
              </w:rPr>
            </w:pPr>
            <w:r>
              <w:rPr>
                <w:rFonts w:ascii="Calibri" w:hAnsi="Calibri"/>
                <w:spacing w:val="-2"/>
                <w:sz w:val="20"/>
              </w:rPr>
              <w:t>Nueva</w:t>
            </w:r>
            <w:r>
              <w:rPr>
                <w:rFonts w:ascii="Calibri" w:hAnsi="Calibri"/>
                <w:spacing w:val="-3"/>
                <w:sz w:val="20"/>
              </w:rPr>
              <w:t> </w:t>
            </w:r>
            <w:r>
              <w:rPr>
                <w:rFonts w:ascii="Calibri" w:hAnsi="Calibri"/>
                <w:spacing w:val="-2"/>
                <w:sz w:val="20"/>
              </w:rPr>
              <w:t>licitación</w:t>
            </w:r>
          </w:p>
        </w:tc>
      </w:tr>
      <w:tr>
        <w:trPr>
          <w:trHeight w:val="2000" w:hRule="atLeast"/>
        </w:trPr>
        <w:tc>
          <w:tcPr>
            <w:tcW w:w="1690" w:type="dxa"/>
            <w:shd w:val="clear" w:color="auto" w:fill="F2F2F2"/>
          </w:tcPr>
          <w:p>
            <w:pPr>
              <w:pStyle w:val="TableParagraph"/>
              <w:rPr>
                <w:rFonts w:ascii="Arial"/>
                <w:sz w:val="20"/>
              </w:rPr>
            </w:pPr>
          </w:p>
          <w:p>
            <w:pPr>
              <w:pStyle w:val="TableParagraph"/>
              <w:rPr>
                <w:rFonts w:ascii="Arial"/>
                <w:sz w:val="20"/>
              </w:rPr>
            </w:pPr>
          </w:p>
          <w:p>
            <w:pPr>
              <w:pStyle w:val="TableParagraph"/>
              <w:spacing w:before="105"/>
              <w:rPr>
                <w:rFonts w:ascii="Arial"/>
                <w:sz w:val="20"/>
              </w:rPr>
            </w:pPr>
          </w:p>
          <w:p>
            <w:pPr>
              <w:pStyle w:val="TableParagraph"/>
              <w:ind w:left="421"/>
              <w:rPr>
                <w:rFonts w:ascii="Calibri"/>
                <w:i/>
                <w:sz w:val="20"/>
              </w:rPr>
            </w:pPr>
            <w:r>
              <w:rPr>
                <w:rFonts w:ascii="Calibri"/>
                <w:i/>
                <w:spacing w:val="-2"/>
                <w:sz w:val="20"/>
              </w:rPr>
              <w:t>Seguimiento:</w:t>
            </w:r>
          </w:p>
        </w:tc>
        <w:tc>
          <w:tcPr>
            <w:tcW w:w="6179" w:type="dxa"/>
            <w:gridSpan w:val="3"/>
          </w:tcPr>
          <w:p>
            <w:pPr>
              <w:pStyle w:val="TableParagraph"/>
              <w:spacing w:line="256" w:lineRule="auto"/>
              <w:ind w:left="423"/>
              <w:rPr>
                <w:rFonts w:ascii="Calibri" w:hAnsi="Calibri"/>
                <w:sz w:val="20"/>
              </w:rPr>
            </w:pPr>
            <w:r>
              <w:rPr>
                <w:rFonts w:ascii="Calibri" w:hAnsi="Calibri"/>
                <w:sz w:val="20"/>
              </w:rPr>
              <w:t>2022:</w:t>
            </w:r>
            <w:r>
              <w:rPr>
                <w:rFonts w:ascii="Calibri" w:hAnsi="Calibri"/>
                <w:spacing w:val="40"/>
                <w:sz w:val="20"/>
              </w:rPr>
              <w:t> </w:t>
            </w:r>
            <w:r>
              <w:rPr>
                <w:rFonts w:ascii="Calibri" w:hAnsi="Calibri"/>
                <w:sz w:val="20"/>
              </w:rPr>
              <w:t>Se</w:t>
            </w:r>
            <w:r>
              <w:rPr>
                <w:rFonts w:ascii="Calibri" w:hAnsi="Calibri"/>
                <w:spacing w:val="40"/>
                <w:sz w:val="20"/>
              </w:rPr>
              <w:t> </w:t>
            </w:r>
            <w:r>
              <w:rPr>
                <w:rFonts w:ascii="Calibri" w:hAnsi="Calibri"/>
                <w:sz w:val="20"/>
              </w:rPr>
              <w:t>reciben</w:t>
            </w:r>
            <w:r>
              <w:rPr>
                <w:rFonts w:ascii="Calibri" w:hAnsi="Calibri"/>
                <w:spacing w:val="40"/>
                <w:sz w:val="20"/>
              </w:rPr>
              <w:t> </w:t>
            </w:r>
            <w:r>
              <w:rPr>
                <w:rFonts w:ascii="Calibri" w:hAnsi="Calibri"/>
                <w:sz w:val="20"/>
              </w:rPr>
              <w:t>12</w:t>
            </w:r>
            <w:r>
              <w:rPr>
                <w:rFonts w:ascii="Calibri" w:hAnsi="Calibri"/>
                <w:spacing w:val="40"/>
                <w:sz w:val="20"/>
              </w:rPr>
              <w:t> </w:t>
            </w:r>
            <w:r>
              <w:rPr>
                <w:rFonts w:ascii="Calibri" w:hAnsi="Calibri"/>
                <w:sz w:val="20"/>
              </w:rPr>
              <w:t>vehículos</w:t>
            </w:r>
            <w:r>
              <w:rPr>
                <w:rFonts w:ascii="Calibri" w:hAnsi="Calibri"/>
                <w:spacing w:val="40"/>
                <w:sz w:val="20"/>
              </w:rPr>
              <w:t> </w:t>
            </w:r>
            <w:r>
              <w:rPr>
                <w:rFonts w:ascii="Calibri" w:hAnsi="Calibri"/>
                <w:sz w:val="20"/>
              </w:rPr>
              <w:t>de</w:t>
            </w:r>
            <w:r>
              <w:rPr>
                <w:rFonts w:ascii="Calibri" w:hAnsi="Calibri"/>
                <w:spacing w:val="40"/>
                <w:sz w:val="20"/>
              </w:rPr>
              <w:t> </w:t>
            </w:r>
            <w:r>
              <w:rPr>
                <w:rFonts w:ascii="Calibri" w:hAnsi="Calibri"/>
                <w:sz w:val="20"/>
              </w:rPr>
              <w:t>18m</w:t>
            </w:r>
            <w:r>
              <w:rPr>
                <w:rFonts w:ascii="Calibri" w:hAnsi="Calibri"/>
                <w:spacing w:val="40"/>
                <w:sz w:val="20"/>
              </w:rPr>
              <w:t> </w:t>
            </w:r>
            <w:r>
              <w:rPr>
                <w:rFonts w:ascii="Calibri" w:hAnsi="Calibri"/>
                <w:sz w:val="20"/>
              </w:rPr>
              <w:t>híbridos,</w:t>
            </w:r>
            <w:r>
              <w:rPr>
                <w:rFonts w:ascii="Calibri" w:hAnsi="Calibri"/>
                <w:spacing w:val="40"/>
                <w:sz w:val="20"/>
              </w:rPr>
              <w:t> </w:t>
            </w:r>
            <w:r>
              <w:rPr>
                <w:rFonts w:ascii="Calibri" w:hAnsi="Calibri"/>
                <w:sz w:val="20"/>
              </w:rPr>
              <w:t>corresp.</w:t>
            </w:r>
            <w:r>
              <w:rPr>
                <w:rFonts w:ascii="Calibri" w:hAnsi="Calibri"/>
                <w:spacing w:val="40"/>
                <w:sz w:val="20"/>
              </w:rPr>
              <w:t> </w:t>
            </w:r>
            <w:r>
              <w:rPr>
                <w:rFonts w:ascii="Calibri" w:hAnsi="Calibri"/>
                <w:sz w:val="20"/>
              </w:rPr>
              <w:t>a</w:t>
            </w:r>
            <w:r>
              <w:rPr>
                <w:rFonts w:ascii="Calibri" w:hAnsi="Calibri"/>
                <w:spacing w:val="40"/>
                <w:sz w:val="20"/>
              </w:rPr>
              <w:t> </w:t>
            </w:r>
            <w:r>
              <w:rPr>
                <w:rFonts w:ascii="Calibri" w:hAnsi="Calibri"/>
                <w:sz w:val="20"/>
              </w:rPr>
              <w:t>la</w:t>
            </w:r>
            <w:r>
              <w:rPr>
                <w:rFonts w:ascii="Calibri" w:hAnsi="Calibri"/>
                <w:spacing w:val="40"/>
                <w:sz w:val="20"/>
              </w:rPr>
              <w:t> </w:t>
            </w:r>
            <w:r>
              <w:rPr>
                <w:rFonts w:ascii="Calibri" w:hAnsi="Calibri"/>
                <w:sz w:val="20"/>
              </w:rPr>
              <w:t>1ª </w:t>
            </w:r>
            <w:r>
              <w:rPr>
                <w:rFonts w:ascii="Calibri" w:hAnsi="Calibri"/>
                <w:spacing w:val="-2"/>
                <w:sz w:val="20"/>
              </w:rPr>
              <w:t>prórroga.</w:t>
            </w:r>
          </w:p>
          <w:p>
            <w:pPr>
              <w:pStyle w:val="TableParagraph"/>
              <w:spacing w:line="254" w:lineRule="auto" w:before="143"/>
              <w:ind w:left="423"/>
              <w:rPr>
                <w:rFonts w:ascii="Calibri" w:hAnsi="Calibri"/>
                <w:sz w:val="20"/>
              </w:rPr>
            </w:pPr>
            <w:r>
              <w:rPr>
                <w:rFonts w:ascii="Calibri" w:hAnsi="Calibri"/>
                <w:sz w:val="20"/>
              </w:rPr>
              <w:t>2023:</w:t>
            </w:r>
            <w:r>
              <w:rPr>
                <w:rFonts w:ascii="Calibri" w:hAnsi="Calibri"/>
                <w:spacing w:val="40"/>
                <w:sz w:val="20"/>
              </w:rPr>
              <w:t> </w:t>
            </w:r>
            <w:r>
              <w:rPr>
                <w:rFonts w:ascii="Calibri" w:hAnsi="Calibri"/>
                <w:sz w:val="20"/>
              </w:rPr>
              <w:t>Se</w:t>
            </w:r>
            <w:r>
              <w:rPr>
                <w:rFonts w:ascii="Calibri" w:hAnsi="Calibri"/>
                <w:spacing w:val="40"/>
                <w:sz w:val="20"/>
              </w:rPr>
              <w:t> </w:t>
            </w:r>
            <w:r>
              <w:rPr>
                <w:rFonts w:ascii="Calibri" w:hAnsi="Calibri"/>
                <w:sz w:val="20"/>
              </w:rPr>
              <w:t>reciben</w:t>
            </w:r>
            <w:r>
              <w:rPr>
                <w:rFonts w:ascii="Calibri" w:hAnsi="Calibri"/>
                <w:spacing w:val="40"/>
                <w:sz w:val="20"/>
              </w:rPr>
              <w:t> </w:t>
            </w:r>
            <w:r>
              <w:rPr>
                <w:rFonts w:ascii="Calibri" w:hAnsi="Calibri"/>
                <w:sz w:val="20"/>
              </w:rPr>
              <w:t>12</w:t>
            </w:r>
            <w:r>
              <w:rPr>
                <w:rFonts w:ascii="Calibri" w:hAnsi="Calibri"/>
                <w:spacing w:val="40"/>
                <w:sz w:val="20"/>
              </w:rPr>
              <w:t> </w:t>
            </w:r>
            <w:r>
              <w:rPr>
                <w:rFonts w:ascii="Calibri" w:hAnsi="Calibri"/>
                <w:sz w:val="20"/>
              </w:rPr>
              <w:t>vehículos</w:t>
            </w:r>
            <w:r>
              <w:rPr>
                <w:rFonts w:ascii="Calibri" w:hAnsi="Calibri"/>
                <w:spacing w:val="40"/>
                <w:sz w:val="20"/>
              </w:rPr>
              <w:t> </w:t>
            </w:r>
            <w:r>
              <w:rPr>
                <w:rFonts w:ascii="Calibri" w:hAnsi="Calibri"/>
                <w:sz w:val="20"/>
              </w:rPr>
              <w:t>de</w:t>
            </w:r>
            <w:r>
              <w:rPr>
                <w:rFonts w:ascii="Calibri" w:hAnsi="Calibri"/>
                <w:spacing w:val="40"/>
                <w:sz w:val="20"/>
              </w:rPr>
              <w:t> </w:t>
            </w:r>
            <w:r>
              <w:rPr>
                <w:rFonts w:ascii="Calibri" w:hAnsi="Calibri"/>
                <w:sz w:val="20"/>
              </w:rPr>
              <w:t>18m</w:t>
            </w:r>
            <w:r>
              <w:rPr>
                <w:rFonts w:ascii="Calibri" w:hAnsi="Calibri"/>
                <w:spacing w:val="40"/>
                <w:sz w:val="20"/>
              </w:rPr>
              <w:t> </w:t>
            </w:r>
            <w:r>
              <w:rPr>
                <w:rFonts w:ascii="Calibri" w:hAnsi="Calibri"/>
                <w:sz w:val="20"/>
              </w:rPr>
              <w:t>híbridos</w:t>
            </w:r>
            <w:r>
              <w:rPr>
                <w:rFonts w:ascii="Calibri" w:hAnsi="Calibri"/>
                <w:spacing w:val="40"/>
                <w:sz w:val="20"/>
              </w:rPr>
              <w:t> </w:t>
            </w:r>
            <w:r>
              <w:rPr>
                <w:rFonts w:ascii="Calibri" w:hAnsi="Calibri"/>
                <w:sz w:val="20"/>
              </w:rPr>
              <w:t>corresp.</w:t>
            </w:r>
            <w:r>
              <w:rPr>
                <w:rFonts w:ascii="Calibri" w:hAnsi="Calibri"/>
                <w:spacing w:val="40"/>
                <w:sz w:val="20"/>
              </w:rPr>
              <w:t> </w:t>
            </w:r>
            <w:r>
              <w:rPr>
                <w:rFonts w:ascii="Calibri" w:hAnsi="Calibri"/>
                <w:sz w:val="20"/>
              </w:rPr>
              <w:t>a</w:t>
            </w:r>
            <w:r>
              <w:rPr>
                <w:rFonts w:ascii="Calibri" w:hAnsi="Calibri"/>
                <w:spacing w:val="40"/>
                <w:sz w:val="20"/>
              </w:rPr>
              <w:t> </w:t>
            </w:r>
            <w:r>
              <w:rPr>
                <w:rFonts w:ascii="Calibri" w:hAnsi="Calibri"/>
                <w:sz w:val="20"/>
              </w:rPr>
              <w:t>la</w:t>
            </w:r>
            <w:r>
              <w:rPr>
                <w:rFonts w:ascii="Calibri" w:hAnsi="Calibri"/>
                <w:spacing w:val="40"/>
                <w:sz w:val="20"/>
              </w:rPr>
              <w:t> </w:t>
            </w:r>
            <w:r>
              <w:rPr>
                <w:rFonts w:ascii="Calibri" w:hAnsi="Calibri"/>
                <w:sz w:val="20"/>
              </w:rPr>
              <w:t>2ª </w:t>
            </w:r>
            <w:r>
              <w:rPr>
                <w:rFonts w:ascii="Calibri" w:hAnsi="Calibri"/>
                <w:spacing w:val="-2"/>
                <w:sz w:val="20"/>
              </w:rPr>
              <w:t>prórroga.</w:t>
            </w:r>
          </w:p>
          <w:p>
            <w:pPr>
              <w:pStyle w:val="TableParagraph"/>
              <w:spacing w:before="149"/>
              <w:ind w:left="423"/>
              <w:rPr>
                <w:rFonts w:ascii="Calibri" w:hAnsi="Calibri"/>
                <w:sz w:val="20"/>
              </w:rPr>
            </w:pPr>
            <w:r>
              <w:rPr>
                <w:rFonts w:ascii="Calibri" w:hAnsi="Calibri"/>
                <w:sz w:val="20"/>
              </w:rPr>
              <w:t>2024:</w:t>
            </w:r>
            <w:r>
              <w:rPr>
                <w:rFonts w:ascii="Calibri" w:hAnsi="Calibri"/>
                <w:spacing w:val="-2"/>
                <w:sz w:val="20"/>
              </w:rPr>
              <w:t> </w:t>
            </w:r>
            <w:r>
              <w:rPr>
                <w:rFonts w:ascii="Calibri" w:hAnsi="Calibri"/>
                <w:sz w:val="20"/>
              </w:rPr>
              <w:t>Con</w:t>
            </w:r>
            <w:r>
              <w:rPr>
                <w:rFonts w:ascii="Calibri" w:hAnsi="Calibri"/>
                <w:spacing w:val="-1"/>
                <w:sz w:val="20"/>
              </w:rPr>
              <w:t> </w:t>
            </w:r>
            <w:r>
              <w:rPr>
                <w:rFonts w:ascii="Calibri" w:hAnsi="Calibri"/>
                <w:sz w:val="20"/>
              </w:rPr>
              <w:t>fecha</w:t>
            </w:r>
            <w:r>
              <w:rPr>
                <w:rFonts w:ascii="Calibri" w:hAnsi="Calibri"/>
                <w:spacing w:val="-2"/>
                <w:sz w:val="20"/>
              </w:rPr>
              <w:t> </w:t>
            </w:r>
            <w:r>
              <w:rPr>
                <w:rFonts w:ascii="Calibri" w:hAnsi="Calibri"/>
                <w:sz w:val="20"/>
              </w:rPr>
              <w:t>19 de junio</w:t>
            </w:r>
            <w:r>
              <w:rPr>
                <w:rFonts w:ascii="Calibri" w:hAnsi="Calibri"/>
                <w:spacing w:val="-3"/>
                <w:sz w:val="20"/>
              </w:rPr>
              <w:t> </w:t>
            </w:r>
            <w:r>
              <w:rPr>
                <w:rFonts w:ascii="Calibri" w:hAnsi="Calibri"/>
                <w:sz w:val="20"/>
              </w:rPr>
              <w:t>se</w:t>
            </w:r>
            <w:r>
              <w:rPr>
                <w:rFonts w:ascii="Calibri" w:hAnsi="Calibri"/>
                <w:spacing w:val="-1"/>
                <w:sz w:val="20"/>
              </w:rPr>
              <w:t> </w:t>
            </w:r>
            <w:r>
              <w:rPr>
                <w:rFonts w:ascii="Calibri" w:hAnsi="Calibri"/>
                <w:sz w:val="20"/>
              </w:rPr>
              <w:t>convocó</w:t>
            </w:r>
            <w:r>
              <w:rPr>
                <w:rFonts w:ascii="Calibri" w:hAnsi="Calibri"/>
                <w:spacing w:val="1"/>
                <w:sz w:val="20"/>
              </w:rPr>
              <w:t> </w:t>
            </w:r>
            <w:r>
              <w:rPr>
                <w:rFonts w:ascii="Calibri" w:hAnsi="Calibri"/>
                <w:sz w:val="20"/>
              </w:rPr>
              <w:t>nueva licitación,</w:t>
            </w:r>
            <w:r>
              <w:rPr>
                <w:rFonts w:ascii="Calibri" w:hAnsi="Calibri"/>
                <w:spacing w:val="-1"/>
                <w:sz w:val="20"/>
              </w:rPr>
              <w:t> </w:t>
            </w:r>
            <w:r>
              <w:rPr>
                <w:rFonts w:ascii="Calibri" w:hAnsi="Calibri"/>
                <w:sz w:val="20"/>
              </w:rPr>
              <w:t>previstas</w:t>
            </w:r>
            <w:r>
              <w:rPr>
                <w:rFonts w:ascii="Calibri" w:hAnsi="Calibri"/>
                <w:spacing w:val="-1"/>
                <w:sz w:val="20"/>
              </w:rPr>
              <w:t> </w:t>
            </w:r>
            <w:r>
              <w:rPr>
                <w:rFonts w:ascii="Calibri" w:hAnsi="Calibri"/>
                <w:spacing w:val="-5"/>
                <w:sz w:val="20"/>
              </w:rPr>
              <w:t>10</w:t>
            </w:r>
          </w:p>
          <w:p>
            <w:pPr>
              <w:pStyle w:val="TableParagraph"/>
              <w:spacing w:before="15"/>
              <w:ind w:left="423"/>
              <w:rPr>
                <w:rFonts w:ascii="Calibri" w:hAnsi="Calibri"/>
                <w:sz w:val="20"/>
              </w:rPr>
            </w:pPr>
            <w:r>
              <w:rPr>
                <w:rFonts w:ascii="Calibri" w:hAnsi="Calibri"/>
                <w:sz w:val="20"/>
              </w:rPr>
              <w:t>u.</w:t>
            </w:r>
            <w:r>
              <w:rPr>
                <w:rFonts w:ascii="Calibri" w:hAnsi="Calibri"/>
                <w:spacing w:val="-8"/>
                <w:sz w:val="20"/>
              </w:rPr>
              <w:t> </w:t>
            </w:r>
            <w:r>
              <w:rPr>
                <w:rFonts w:ascii="Calibri" w:hAnsi="Calibri"/>
                <w:sz w:val="20"/>
              </w:rPr>
              <w:t>para</w:t>
            </w:r>
            <w:r>
              <w:rPr>
                <w:rFonts w:ascii="Calibri" w:hAnsi="Calibri"/>
                <w:spacing w:val="-8"/>
                <w:sz w:val="20"/>
              </w:rPr>
              <w:t> </w:t>
            </w:r>
            <w:r>
              <w:rPr>
                <w:rFonts w:ascii="Calibri" w:hAnsi="Calibri"/>
                <w:sz w:val="20"/>
              </w:rPr>
              <w:t>2025.</w:t>
            </w:r>
            <w:r>
              <w:rPr>
                <w:rFonts w:ascii="Calibri" w:hAnsi="Calibri"/>
                <w:spacing w:val="-11"/>
                <w:sz w:val="20"/>
              </w:rPr>
              <w:t> </w:t>
            </w:r>
            <w:r>
              <w:rPr>
                <w:rFonts w:ascii="Calibri" w:hAnsi="Calibri"/>
                <w:sz w:val="20"/>
              </w:rPr>
              <w:t>El</w:t>
            </w:r>
            <w:r>
              <w:rPr>
                <w:rFonts w:ascii="Calibri" w:hAnsi="Calibri"/>
                <w:spacing w:val="-9"/>
                <w:sz w:val="20"/>
              </w:rPr>
              <w:t> </w:t>
            </w:r>
            <w:r>
              <w:rPr>
                <w:rFonts w:ascii="Calibri" w:hAnsi="Calibri"/>
                <w:sz w:val="20"/>
              </w:rPr>
              <w:t>23</w:t>
            </w:r>
            <w:r>
              <w:rPr>
                <w:rFonts w:ascii="Calibri" w:hAnsi="Calibri"/>
                <w:spacing w:val="-8"/>
                <w:sz w:val="20"/>
              </w:rPr>
              <w:t> </w:t>
            </w:r>
            <w:r>
              <w:rPr>
                <w:rFonts w:ascii="Calibri" w:hAnsi="Calibri"/>
                <w:sz w:val="20"/>
              </w:rPr>
              <w:t>de</w:t>
            </w:r>
            <w:r>
              <w:rPr>
                <w:rFonts w:ascii="Calibri" w:hAnsi="Calibri"/>
                <w:spacing w:val="-12"/>
                <w:sz w:val="20"/>
              </w:rPr>
              <w:t> </w:t>
            </w:r>
            <w:r>
              <w:rPr>
                <w:rFonts w:ascii="Calibri" w:hAnsi="Calibri"/>
                <w:sz w:val="20"/>
              </w:rPr>
              <w:t>diciembre</w:t>
            </w:r>
            <w:r>
              <w:rPr>
                <w:rFonts w:ascii="Calibri" w:hAnsi="Calibri"/>
                <w:spacing w:val="-8"/>
                <w:sz w:val="20"/>
              </w:rPr>
              <w:t> </w:t>
            </w:r>
            <w:r>
              <w:rPr>
                <w:rFonts w:ascii="Calibri" w:hAnsi="Calibri"/>
                <w:sz w:val="20"/>
              </w:rPr>
              <w:t>de</w:t>
            </w:r>
            <w:r>
              <w:rPr>
                <w:rFonts w:ascii="Calibri" w:hAnsi="Calibri"/>
                <w:spacing w:val="-9"/>
                <w:sz w:val="20"/>
              </w:rPr>
              <w:t> </w:t>
            </w:r>
            <w:r>
              <w:rPr>
                <w:rFonts w:ascii="Calibri" w:hAnsi="Calibri"/>
                <w:sz w:val="20"/>
              </w:rPr>
              <w:t>2024</w:t>
            </w:r>
            <w:r>
              <w:rPr>
                <w:rFonts w:ascii="Calibri" w:hAnsi="Calibri"/>
                <w:spacing w:val="-7"/>
                <w:sz w:val="20"/>
              </w:rPr>
              <w:t> </w:t>
            </w:r>
            <w:r>
              <w:rPr>
                <w:rFonts w:ascii="Calibri" w:hAnsi="Calibri"/>
                <w:sz w:val="20"/>
              </w:rPr>
              <w:t>se</w:t>
            </w:r>
            <w:r>
              <w:rPr>
                <w:rFonts w:ascii="Calibri" w:hAnsi="Calibri"/>
                <w:spacing w:val="-9"/>
                <w:sz w:val="20"/>
              </w:rPr>
              <w:t> </w:t>
            </w:r>
            <w:r>
              <w:rPr>
                <w:rFonts w:ascii="Calibri" w:hAnsi="Calibri"/>
                <w:sz w:val="20"/>
              </w:rPr>
              <w:t>formalizó</w:t>
            </w:r>
            <w:r>
              <w:rPr>
                <w:rFonts w:ascii="Calibri" w:hAnsi="Calibri"/>
                <w:spacing w:val="-8"/>
                <w:sz w:val="20"/>
              </w:rPr>
              <w:t> </w:t>
            </w:r>
            <w:r>
              <w:rPr>
                <w:rFonts w:ascii="Calibri" w:hAnsi="Calibri"/>
                <w:spacing w:val="-2"/>
                <w:sz w:val="20"/>
              </w:rPr>
              <w:t>contrato.</w:t>
            </w:r>
          </w:p>
        </w:tc>
      </w:tr>
      <w:tr>
        <w:trPr>
          <w:trHeight w:val="402" w:hRule="atLeast"/>
        </w:trPr>
        <w:tc>
          <w:tcPr>
            <w:tcW w:w="1690" w:type="dxa"/>
            <w:shd w:val="clear" w:color="auto" w:fill="F2F2F2"/>
          </w:tcPr>
          <w:p>
            <w:pPr>
              <w:pStyle w:val="TableParagraph"/>
              <w:spacing w:line="240" w:lineRule="exact"/>
              <w:ind w:left="421"/>
              <w:rPr>
                <w:rFonts w:ascii="Calibri"/>
                <w:i/>
                <w:sz w:val="20"/>
              </w:rPr>
            </w:pPr>
            <w:r>
              <w:rPr>
                <w:rFonts w:ascii="Calibri"/>
                <w:i/>
                <w:spacing w:val="-2"/>
                <w:sz w:val="20"/>
              </w:rPr>
              <w:t>Cierre:</w:t>
            </w:r>
          </w:p>
        </w:tc>
        <w:tc>
          <w:tcPr>
            <w:tcW w:w="195" w:type="dxa"/>
            <w:tcBorders>
              <w:right w:val="nil"/>
            </w:tcBorders>
          </w:tcPr>
          <w:p>
            <w:pPr>
              <w:pStyle w:val="TableParagraph"/>
              <w:rPr>
                <w:rFonts w:ascii="Times New Roman"/>
                <w:sz w:val="18"/>
              </w:rPr>
            </w:pPr>
          </w:p>
        </w:tc>
        <w:tc>
          <w:tcPr>
            <w:tcW w:w="924" w:type="dxa"/>
            <w:tcBorders>
              <w:left w:val="nil"/>
              <w:right w:val="nil"/>
            </w:tcBorders>
            <w:shd w:val="clear" w:color="auto" w:fill="92D050"/>
          </w:tcPr>
          <w:p>
            <w:pPr>
              <w:pStyle w:val="TableParagraph"/>
              <w:spacing w:line="240" w:lineRule="exact"/>
              <w:ind w:left="433"/>
              <w:rPr>
                <w:rFonts w:ascii="Calibri"/>
                <w:sz w:val="20"/>
              </w:rPr>
            </w:pPr>
            <w:r>
              <w:rPr>
                <w:rFonts w:ascii="Calibri"/>
                <w:spacing w:val="-4"/>
                <w:sz w:val="20"/>
              </w:rPr>
              <w:t>2024</w:t>
            </w:r>
          </w:p>
        </w:tc>
        <w:tc>
          <w:tcPr>
            <w:tcW w:w="5060" w:type="dxa"/>
            <w:tcBorders>
              <w:left w:val="nil"/>
            </w:tcBorders>
          </w:tcPr>
          <w:p>
            <w:pPr>
              <w:pStyle w:val="TableParagraph"/>
              <w:spacing w:line="240" w:lineRule="exact"/>
              <w:ind w:left="430"/>
              <w:rPr>
                <w:rFonts w:ascii="Calibri"/>
                <w:sz w:val="20"/>
              </w:rPr>
            </w:pPr>
            <w:r>
              <w:rPr>
                <w:rFonts w:ascii="Calibri"/>
                <w:spacing w:val="-2"/>
                <w:sz w:val="20"/>
              </w:rPr>
              <w:t>ALCANZADO</w:t>
            </w:r>
          </w:p>
        </w:tc>
      </w:tr>
    </w:tbl>
    <w:p>
      <w:pPr>
        <w:pStyle w:val="BodyText"/>
        <w:rPr>
          <w:sz w:val="20"/>
        </w:rPr>
      </w:pPr>
    </w:p>
    <w:p>
      <w:pPr>
        <w:pStyle w:val="BodyText"/>
        <w:rPr>
          <w:sz w:val="20"/>
        </w:rPr>
      </w:pPr>
    </w:p>
    <w:p>
      <w:pPr>
        <w:pStyle w:val="BodyText"/>
        <w:spacing w:before="123"/>
        <w:rPr>
          <w:sz w:val="20"/>
        </w:rPr>
      </w:pPr>
    </w:p>
    <w:p>
      <w:pPr>
        <w:spacing w:line="256" w:lineRule="auto" w:before="0"/>
        <w:ind w:left="2251" w:right="2022" w:firstLine="0"/>
        <w:jc w:val="both"/>
        <w:rPr>
          <w:rFonts w:ascii="Calibri" w:hAnsi="Calibri"/>
          <w:sz w:val="20"/>
        </w:rPr>
      </w:pPr>
      <w:r>
        <w:rPr>
          <w:rFonts w:ascii="Calibri" w:hAnsi="Calibri"/>
          <w:sz w:val="20"/>
        </w:rPr>
        <w:t>El informe de cierre del Plan Estratégico 2022-2024 recoge expresamente el resultado “ALCANZADO”</w:t>
      </w:r>
      <w:r>
        <w:rPr>
          <w:rFonts w:ascii="Calibri" w:hAnsi="Calibri"/>
          <w:spacing w:val="-9"/>
          <w:sz w:val="20"/>
        </w:rPr>
        <w:t> </w:t>
      </w:r>
      <w:r>
        <w:rPr>
          <w:rFonts w:ascii="Calibri" w:hAnsi="Calibri"/>
          <w:sz w:val="20"/>
        </w:rPr>
        <w:t>para</w:t>
      </w:r>
      <w:r>
        <w:rPr>
          <w:rFonts w:ascii="Calibri" w:hAnsi="Calibri"/>
          <w:spacing w:val="-11"/>
          <w:sz w:val="20"/>
        </w:rPr>
        <w:t> </w:t>
      </w:r>
      <w:r>
        <w:rPr>
          <w:rFonts w:ascii="Calibri" w:hAnsi="Calibri"/>
          <w:sz w:val="20"/>
        </w:rPr>
        <w:t>el</w:t>
      </w:r>
      <w:r>
        <w:rPr>
          <w:rFonts w:ascii="Calibri" w:hAnsi="Calibri"/>
          <w:spacing w:val="-8"/>
          <w:sz w:val="20"/>
        </w:rPr>
        <w:t> </w:t>
      </w:r>
      <w:r>
        <w:rPr>
          <w:rFonts w:ascii="Calibri" w:hAnsi="Calibri"/>
          <w:sz w:val="20"/>
        </w:rPr>
        <w:t>indicador</w:t>
      </w:r>
      <w:r>
        <w:rPr>
          <w:rFonts w:ascii="Calibri" w:hAnsi="Calibri"/>
          <w:spacing w:val="-9"/>
          <w:sz w:val="20"/>
        </w:rPr>
        <w:t> </w:t>
      </w:r>
      <w:r>
        <w:rPr>
          <w:rFonts w:ascii="Calibri" w:hAnsi="Calibri"/>
          <w:sz w:val="20"/>
        </w:rPr>
        <w:t>de</w:t>
      </w:r>
      <w:r>
        <w:rPr>
          <w:rFonts w:ascii="Calibri" w:hAnsi="Calibri"/>
          <w:spacing w:val="-9"/>
          <w:sz w:val="20"/>
        </w:rPr>
        <w:t> </w:t>
      </w:r>
      <w:r>
        <w:rPr>
          <w:rFonts w:ascii="Calibri" w:hAnsi="Calibri"/>
          <w:sz w:val="20"/>
        </w:rPr>
        <w:t>renovación</w:t>
      </w:r>
      <w:r>
        <w:rPr>
          <w:rFonts w:ascii="Calibri" w:hAnsi="Calibri"/>
          <w:spacing w:val="-9"/>
          <w:sz w:val="20"/>
        </w:rPr>
        <w:t> </w:t>
      </w:r>
      <w:r>
        <w:rPr>
          <w:rFonts w:ascii="Calibri" w:hAnsi="Calibri"/>
          <w:sz w:val="20"/>
        </w:rPr>
        <w:t>de</w:t>
      </w:r>
      <w:r>
        <w:rPr>
          <w:rFonts w:ascii="Calibri" w:hAnsi="Calibri"/>
          <w:spacing w:val="-7"/>
          <w:sz w:val="20"/>
        </w:rPr>
        <w:t> </w:t>
      </w:r>
      <w:r>
        <w:rPr>
          <w:rFonts w:ascii="Calibri" w:hAnsi="Calibri"/>
          <w:sz w:val="20"/>
        </w:rPr>
        <w:t>flota</w:t>
      </w:r>
      <w:r>
        <w:rPr>
          <w:rFonts w:ascii="Calibri" w:hAnsi="Calibri"/>
          <w:spacing w:val="-8"/>
          <w:sz w:val="20"/>
        </w:rPr>
        <w:t> </w:t>
      </w:r>
      <w:r>
        <w:rPr>
          <w:rFonts w:ascii="Calibri" w:hAnsi="Calibri"/>
          <w:sz w:val="20"/>
        </w:rPr>
        <w:t>articulada</w:t>
      </w:r>
      <w:r>
        <w:rPr>
          <w:rFonts w:ascii="Calibri" w:hAnsi="Calibri"/>
          <w:spacing w:val="-9"/>
          <w:sz w:val="20"/>
        </w:rPr>
        <w:t> </w:t>
      </w:r>
      <w:r>
        <w:rPr>
          <w:rFonts w:ascii="Calibri" w:hAnsi="Calibri"/>
          <w:sz w:val="20"/>
        </w:rPr>
        <w:t>con</w:t>
      </w:r>
      <w:r>
        <w:rPr>
          <w:rFonts w:ascii="Calibri" w:hAnsi="Calibri"/>
          <w:spacing w:val="-9"/>
          <w:sz w:val="20"/>
        </w:rPr>
        <w:t> </w:t>
      </w:r>
      <w:r>
        <w:rPr>
          <w:rFonts w:ascii="Calibri" w:hAnsi="Calibri"/>
          <w:sz w:val="20"/>
        </w:rPr>
        <w:t>vehículos</w:t>
      </w:r>
      <w:r>
        <w:rPr>
          <w:rFonts w:ascii="Calibri" w:hAnsi="Calibri"/>
          <w:spacing w:val="-11"/>
          <w:sz w:val="20"/>
        </w:rPr>
        <w:t> </w:t>
      </w:r>
      <w:r>
        <w:rPr>
          <w:rFonts w:ascii="Calibri" w:hAnsi="Calibri"/>
          <w:sz w:val="20"/>
        </w:rPr>
        <w:t>híbridos,</w:t>
      </w:r>
      <w:r>
        <w:rPr>
          <w:rFonts w:ascii="Calibri" w:hAnsi="Calibri"/>
          <w:spacing w:val="-9"/>
          <w:sz w:val="20"/>
        </w:rPr>
        <w:t> </w:t>
      </w:r>
      <w:r>
        <w:rPr>
          <w:rFonts w:ascii="Calibri" w:hAnsi="Calibri"/>
          <w:sz w:val="20"/>
        </w:rPr>
        <w:t>lo que confirma que no existe desviación respecto de los objetivos planificados.</w:t>
      </w:r>
    </w:p>
    <w:p>
      <w:pPr>
        <w:spacing w:line="256" w:lineRule="auto" w:before="145"/>
        <w:ind w:left="2251" w:right="2020" w:firstLine="0"/>
        <w:jc w:val="both"/>
        <w:rPr>
          <w:rFonts w:ascii="Calibri" w:hAnsi="Calibri"/>
          <w:sz w:val="20"/>
        </w:rPr>
      </w:pPr>
      <w:r>
        <w:rPr>
          <w:rFonts w:ascii="Calibri" w:hAnsi="Calibri"/>
          <w:sz w:val="20"/>
        </w:rPr>
        <w:t>Por todo lo anterior, </w:t>
      </w:r>
      <w:r>
        <w:rPr>
          <w:rFonts w:ascii="Calibri" w:hAnsi="Calibri"/>
          <w:sz w:val="20"/>
          <w:u w:val="single"/>
        </w:rPr>
        <w:t>se solicita a ese Tribunal de Cuentas la supresión de la observación</w:t>
      </w:r>
      <w:r>
        <w:rPr>
          <w:rFonts w:ascii="Calibri" w:hAnsi="Calibri"/>
          <w:sz w:val="20"/>
          <w:u w:val="none"/>
        </w:rPr>
        <w:t> </w:t>
      </w:r>
      <w:r>
        <w:rPr>
          <w:rFonts w:ascii="Calibri" w:hAnsi="Calibri"/>
          <w:sz w:val="20"/>
          <w:u w:val="single"/>
        </w:rPr>
        <w:t>contenida en la página 45 del anteproyecto provisional, por haberse demostrado</w:t>
      </w:r>
      <w:r>
        <w:rPr>
          <w:rFonts w:ascii="Calibri" w:hAnsi="Calibri"/>
          <w:sz w:val="20"/>
          <w:u w:val="none"/>
        </w:rPr>
        <w:t> </w:t>
      </w:r>
      <w:r>
        <w:rPr>
          <w:rFonts w:ascii="Calibri" w:hAnsi="Calibri"/>
          <w:sz w:val="20"/>
          <w:u w:val="single"/>
        </w:rPr>
        <w:t>fehacientemente la correcta ejecución y cumplimiento de los objetivos establecidos en el</w:t>
      </w:r>
      <w:r>
        <w:rPr>
          <w:rFonts w:ascii="Calibri" w:hAnsi="Calibri"/>
          <w:sz w:val="20"/>
          <w:u w:val="none"/>
        </w:rPr>
        <w:t> </w:t>
      </w:r>
      <w:r>
        <w:rPr>
          <w:rFonts w:ascii="Calibri" w:hAnsi="Calibri"/>
          <w:sz w:val="20"/>
          <w:u w:val="single"/>
        </w:rPr>
        <w:t>Plan Estratégico 2022-2024</w:t>
      </w:r>
      <w:r>
        <w:rPr>
          <w:rFonts w:ascii="Calibri" w:hAnsi="Calibri"/>
          <w:sz w:val="20"/>
          <w:u w:val="none"/>
        </w:rPr>
        <w:t>.</w:t>
      </w:r>
    </w:p>
    <w:p>
      <w:pPr>
        <w:pStyle w:val="BodyText"/>
        <w:rPr>
          <w:rFonts w:ascii="Calibri"/>
          <w:sz w:val="20"/>
        </w:rPr>
      </w:pPr>
    </w:p>
    <w:p>
      <w:pPr>
        <w:pStyle w:val="BodyText"/>
        <w:spacing w:before="63"/>
        <w:rPr>
          <w:rFonts w:ascii="Calibri"/>
          <w:sz w:val="20"/>
        </w:rPr>
      </w:pPr>
    </w:p>
    <w:p>
      <w:pPr>
        <w:pStyle w:val="ListParagraph"/>
        <w:numPr>
          <w:ilvl w:val="4"/>
          <w:numId w:val="13"/>
        </w:numPr>
        <w:tabs>
          <w:tab w:pos="2251" w:val="left" w:leader="none"/>
        </w:tabs>
        <w:spacing w:line="256" w:lineRule="auto" w:before="0" w:after="0"/>
        <w:ind w:left="2251" w:right="2019" w:hanging="327"/>
        <w:jc w:val="both"/>
        <w:rPr>
          <w:rFonts w:ascii="Calibri" w:hAnsi="Calibri"/>
          <w:color w:val="4472C4"/>
          <w:sz w:val="20"/>
        </w:rPr>
      </w:pPr>
      <w:r>
        <w:rPr>
          <w:rFonts w:ascii="Calibri" w:hAnsi="Calibri"/>
          <w:i/>
          <w:color w:val="4472C4"/>
          <w:sz w:val="20"/>
        </w:rPr>
        <w:t>En la pág. 47 del anteproyecto, se adjunta el cuadro 7, relativo a los</w:t>
      </w:r>
      <w:r>
        <w:rPr>
          <w:rFonts w:ascii="Calibri" w:hAnsi="Calibri"/>
          <w:i/>
          <w:color w:val="4472C4"/>
          <w:sz w:val="20"/>
          <w:u w:val="single" w:color="4472C4"/>
        </w:rPr>
        <w:t> “autobuses</w:t>
      </w:r>
      <w:r>
        <w:rPr>
          <w:rFonts w:ascii="Calibri" w:hAnsi="Calibri"/>
          <w:i/>
          <w:color w:val="4472C4"/>
          <w:spacing w:val="80"/>
          <w:sz w:val="20"/>
          <w:u w:val="none"/>
        </w:rPr>
        <w:t> </w:t>
      </w:r>
      <w:r>
        <w:rPr>
          <w:rFonts w:ascii="Calibri" w:hAnsi="Calibri"/>
          <w:i/>
          <w:color w:val="4472C4"/>
          <w:sz w:val="20"/>
          <w:u w:val="single" w:color="4472C4"/>
        </w:rPr>
        <w:t>adquiridos por los Ayuntamientos fiscalizados”, en el que se refiere en lo que respecta al</w:t>
      </w:r>
      <w:r>
        <w:rPr>
          <w:rFonts w:ascii="Calibri" w:hAnsi="Calibri"/>
          <w:i/>
          <w:color w:val="4472C4"/>
          <w:sz w:val="20"/>
          <w:u w:val="none"/>
        </w:rPr>
        <w:t> </w:t>
      </w:r>
      <w:r>
        <w:rPr>
          <w:rFonts w:ascii="Calibri" w:hAnsi="Calibri"/>
          <w:i/>
          <w:color w:val="4472C4"/>
          <w:sz w:val="20"/>
          <w:u w:val="single" w:color="4472C4"/>
        </w:rPr>
        <w:t>Ayuntamiento de Málaga a 43 vehículos eléctricos</w:t>
      </w:r>
      <w:r>
        <w:rPr>
          <w:rFonts w:ascii="Calibri" w:hAnsi="Calibri"/>
          <w:color w:val="4472C4"/>
          <w:sz w:val="20"/>
          <w:u w:val="none"/>
        </w:rPr>
        <w:t>.</w:t>
      </w:r>
    </w:p>
    <w:p>
      <w:pPr>
        <w:spacing w:line="256" w:lineRule="auto" w:before="145"/>
        <w:ind w:left="2251" w:right="2022" w:firstLine="0"/>
        <w:jc w:val="both"/>
        <w:rPr>
          <w:rFonts w:ascii="Calibri" w:hAnsi="Calibri"/>
          <w:sz w:val="20"/>
        </w:rPr>
      </w:pPr>
      <w:r>
        <w:rPr>
          <w:rFonts w:ascii="Calibri" w:hAnsi="Calibri"/>
          <w:sz w:val="20"/>
        </w:rPr>
        <w:t>En</w:t>
      </w:r>
      <w:r>
        <w:rPr>
          <w:rFonts w:ascii="Calibri" w:hAnsi="Calibri"/>
          <w:spacing w:val="-7"/>
          <w:sz w:val="20"/>
        </w:rPr>
        <w:t> </w:t>
      </w:r>
      <w:r>
        <w:rPr>
          <w:rFonts w:ascii="Calibri" w:hAnsi="Calibri"/>
          <w:sz w:val="20"/>
        </w:rPr>
        <w:t>cuanto</w:t>
      </w:r>
      <w:r>
        <w:rPr>
          <w:rFonts w:ascii="Calibri" w:hAnsi="Calibri"/>
          <w:spacing w:val="-6"/>
          <w:sz w:val="20"/>
        </w:rPr>
        <w:t> </w:t>
      </w:r>
      <w:r>
        <w:rPr>
          <w:rFonts w:ascii="Calibri" w:hAnsi="Calibri"/>
          <w:sz w:val="20"/>
        </w:rPr>
        <w:t>al</w:t>
      </w:r>
      <w:r>
        <w:rPr>
          <w:rFonts w:ascii="Calibri" w:hAnsi="Calibri"/>
          <w:spacing w:val="-6"/>
          <w:sz w:val="20"/>
        </w:rPr>
        <w:t> </w:t>
      </w:r>
      <w:r>
        <w:rPr>
          <w:rFonts w:ascii="Calibri" w:hAnsi="Calibri"/>
          <w:sz w:val="20"/>
        </w:rPr>
        <w:t>Cuadro</w:t>
      </w:r>
      <w:r>
        <w:rPr>
          <w:rFonts w:ascii="Calibri" w:hAnsi="Calibri"/>
          <w:spacing w:val="-6"/>
          <w:sz w:val="20"/>
        </w:rPr>
        <w:t> </w:t>
      </w:r>
      <w:r>
        <w:rPr>
          <w:rFonts w:ascii="Calibri" w:hAnsi="Calibri"/>
          <w:sz w:val="20"/>
        </w:rPr>
        <w:t>nº</w:t>
      </w:r>
      <w:r>
        <w:rPr>
          <w:rFonts w:ascii="Calibri" w:hAnsi="Calibri"/>
          <w:spacing w:val="-6"/>
          <w:sz w:val="20"/>
        </w:rPr>
        <w:t> </w:t>
      </w:r>
      <w:r>
        <w:rPr>
          <w:rFonts w:ascii="Calibri" w:hAnsi="Calibri"/>
          <w:sz w:val="20"/>
        </w:rPr>
        <w:t>7,</w:t>
      </w:r>
      <w:r>
        <w:rPr>
          <w:rFonts w:ascii="Calibri" w:hAnsi="Calibri"/>
          <w:spacing w:val="-7"/>
          <w:sz w:val="20"/>
        </w:rPr>
        <w:t> </w:t>
      </w:r>
      <w:r>
        <w:rPr>
          <w:rFonts w:ascii="Calibri" w:hAnsi="Calibri"/>
          <w:sz w:val="20"/>
        </w:rPr>
        <w:t>en</w:t>
      </w:r>
      <w:r>
        <w:rPr>
          <w:rFonts w:ascii="Calibri" w:hAnsi="Calibri"/>
          <w:spacing w:val="-8"/>
          <w:sz w:val="20"/>
        </w:rPr>
        <w:t> </w:t>
      </w:r>
      <w:r>
        <w:rPr>
          <w:rFonts w:ascii="Calibri" w:hAnsi="Calibri"/>
          <w:sz w:val="20"/>
        </w:rPr>
        <w:t>lo</w:t>
      </w:r>
      <w:r>
        <w:rPr>
          <w:rFonts w:ascii="Calibri" w:hAnsi="Calibri"/>
          <w:spacing w:val="-6"/>
          <w:sz w:val="20"/>
        </w:rPr>
        <w:t> </w:t>
      </w:r>
      <w:r>
        <w:rPr>
          <w:rFonts w:ascii="Calibri" w:hAnsi="Calibri"/>
          <w:sz w:val="20"/>
        </w:rPr>
        <w:t>que</w:t>
      </w:r>
      <w:r>
        <w:rPr>
          <w:rFonts w:ascii="Calibri" w:hAnsi="Calibri"/>
          <w:spacing w:val="-8"/>
          <w:sz w:val="20"/>
        </w:rPr>
        <w:t> </w:t>
      </w:r>
      <w:r>
        <w:rPr>
          <w:rFonts w:ascii="Calibri" w:hAnsi="Calibri"/>
          <w:sz w:val="20"/>
        </w:rPr>
        <w:t>se</w:t>
      </w:r>
      <w:r>
        <w:rPr>
          <w:rFonts w:ascii="Calibri" w:hAnsi="Calibri"/>
          <w:spacing w:val="-10"/>
          <w:sz w:val="20"/>
        </w:rPr>
        <w:t> </w:t>
      </w:r>
      <w:r>
        <w:rPr>
          <w:rFonts w:ascii="Calibri" w:hAnsi="Calibri"/>
          <w:sz w:val="20"/>
        </w:rPr>
        <w:t>refiere</w:t>
      </w:r>
      <w:r>
        <w:rPr>
          <w:rFonts w:ascii="Calibri" w:hAnsi="Calibri"/>
          <w:spacing w:val="-7"/>
          <w:sz w:val="20"/>
        </w:rPr>
        <w:t> </w:t>
      </w:r>
      <w:r>
        <w:rPr>
          <w:rFonts w:ascii="Calibri" w:hAnsi="Calibri"/>
          <w:sz w:val="20"/>
        </w:rPr>
        <w:t>al</w:t>
      </w:r>
      <w:r>
        <w:rPr>
          <w:rFonts w:ascii="Calibri" w:hAnsi="Calibri"/>
          <w:spacing w:val="-7"/>
          <w:sz w:val="20"/>
        </w:rPr>
        <w:t> </w:t>
      </w:r>
      <w:r>
        <w:rPr>
          <w:rFonts w:ascii="Calibri" w:hAnsi="Calibri"/>
          <w:sz w:val="20"/>
        </w:rPr>
        <w:t>Ayuntamiento</w:t>
      </w:r>
      <w:r>
        <w:rPr>
          <w:rFonts w:ascii="Calibri" w:hAnsi="Calibri"/>
          <w:spacing w:val="-6"/>
          <w:sz w:val="20"/>
        </w:rPr>
        <w:t> </w:t>
      </w:r>
      <w:r>
        <w:rPr>
          <w:rFonts w:ascii="Calibri" w:hAnsi="Calibri"/>
          <w:sz w:val="20"/>
        </w:rPr>
        <w:t>de</w:t>
      </w:r>
      <w:r>
        <w:rPr>
          <w:rFonts w:ascii="Calibri" w:hAnsi="Calibri"/>
          <w:spacing w:val="-8"/>
          <w:sz w:val="20"/>
        </w:rPr>
        <w:t> </w:t>
      </w:r>
      <w:r>
        <w:rPr>
          <w:rFonts w:ascii="Calibri" w:hAnsi="Calibri"/>
          <w:sz w:val="20"/>
        </w:rPr>
        <w:t>Málaga,</w:t>
      </w:r>
      <w:r>
        <w:rPr>
          <w:rFonts w:ascii="Calibri" w:hAnsi="Calibri"/>
          <w:spacing w:val="-6"/>
          <w:sz w:val="20"/>
        </w:rPr>
        <w:t> </w:t>
      </w:r>
      <w:r>
        <w:rPr>
          <w:rFonts w:ascii="Calibri" w:hAnsi="Calibri"/>
          <w:sz w:val="20"/>
        </w:rPr>
        <w:t>se</w:t>
      </w:r>
      <w:r>
        <w:rPr>
          <w:rFonts w:ascii="Calibri" w:hAnsi="Calibri"/>
          <w:spacing w:val="-6"/>
          <w:sz w:val="20"/>
        </w:rPr>
        <w:t> </w:t>
      </w:r>
      <w:r>
        <w:rPr>
          <w:rFonts w:ascii="Calibri" w:hAnsi="Calibri"/>
          <w:sz w:val="20"/>
        </w:rPr>
        <w:t>considera</w:t>
      </w:r>
      <w:r>
        <w:rPr>
          <w:rFonts w:ascii="Calibri" w:hAnsi="Calibri"/>
          <w:spacing w:val="-6"/>
          <w:sz w:val="20"/>
        </w:rPr>
        <w:t> </w:t>
      </w:r>
      <w:r>
        <w:rPr>
          <w:rFonts w:ascii="Calibri" w:hAnsi="Calibri"/>
          <w:sz w:val="20"/>
        </w:rPr>
        <w:t>que el número de vehículos eléctricos adquiridos consignado en el anteproyecto no se corresponde con la cifra real, según la documentación aportada al objeto de dicha </w:t>
      </w:r>
      <w:r>
        <w:rPr>
          <w:rFonts w:ascii="Calibri" w:hAnsi="Calibri"/>
          <w:spacing w:val="-2"/>
          <w:sz w:val="20"/>
        </w:rPr>
        <w:t>fiscalización.</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7"/>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691" name="Group 691"/>
                <wp:cNvGraphicFramePr>
                  <a:graphicFrameLocks/>
                </wp:cNvGraphicFramePr>
                <a:graphic>
                  <a:graphicData uri="http://schemas.microsoft.com/office/word/2010/wordprocessingGroup">
                    <wpg:wgp>
                      <wpg:cNvPr id="691" name="Group 691"/>
                      <wpg:cNvGrpSpPr/>
                      <wpg:grpSpPr>
                        <a:xfrm>
                          <a:off x="0" y="0"/>
                          <a:ext cx="1870075" cy="6350"/>
                          <a:chExt cx="1870075" cy="6350"/>
                        </a:xfrm>
                      </wpg:grpSpPr>
                      <wps:wsp>
                        <wps:cNvPr id="692" name="Graphic 692"/>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560" coordorigin="0,0" coordsize="2945,10">
                <v:rect style="position:absolute;left:0;top:0;width:2945;height:10" id="docshape561"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693" name="Group 693"/>
                <wp:cNvGraphicFramePr>
                  <a:graphicFrameLocks/>
                </wp:cNvGraphicFramePr>
                <a:graphic>
                  <a:graphicData uri="http://schemas.microsoft.com/office/word/2010/wordprocessingGroup">
                    <wpg:wgp>
                      <wpg:cNvPr id="693" name="Group 693"/>
                      <wpg:cNvGrpSpPr/>
                      <wpg:grpSpPr>
                        <a:xfrm>
                          <a:off x="0" y="0"/>
                          <a:ext cx="841375" cy="6350"/>
                          <a:chExt cx="841375" cy="6350"/>
                        </a:xfrm>
                      </wpg:grpSpPr>
                      <wps:wsp>
                        <wps:cNvPr id="694" name="Graphic 694"/>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562" coordorigin="0,0" coordsize="1325,10">
                <v:rect style="position:absolute;left:0;top:0;width:1325;height:10" id="docshape563"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194"/>
          <w:headerReference w:type="even" r:id="rId195"/>
          <w:footerReference w:type="default" r:id="rId196"/>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55200">
                <wp:simplePos x="0" y="0"/>
                <wp:positionH relativeFrom="page">
                  <wp:posOffset>4332186</wp:posOffset>
                </wp:positionH>
                <wp:positionV relativeFrom="paragraph">
                  <wp:posOffset>1412477</wp:posOffset>
                </wp:positionV>
                <wp:extent cx="53340" cy="100330"/>
                <wp:effectExtent l="0" t="0" r="0" b="0"/>
                <wp:wrapNone/>
                <wp:docPr id="695" name="Textbox 695"/>
                <wp:cNvGraphicFramePr>
                  <a:graphicFrameLocks/>
                </wp:cNvGraphicFramePr>
                <a:graphic>
                  <a:graphicData uri="http://schemas.microsoft.com/office/word/2010/wordprocessingShape">
                    <wps:wsp>
                      <wps:cNvPr id="695" name="Textbox 695"/>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61280" type="#_x0000_t202" id="docshape564"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355712">
                <wp:simplePos x="0" y="0"/>
                <wp:positionH relativeFrom="page">
                  <wp:posOffset>2442286</wp:posOffset>
                </wp:positionH>
                <wp:positionV relativeFrom="paragraph">
                  <wp:posOffset>999005</wp:posOffset>
                </wp:positionV>
                <wp:extent cx="1299210" cy="99060"/>
                <wp:effectExtent l="0" t="0" r="0" b="0"/>
                <wp:wrapNone/>
                <wp:docPr id="696" name="Graphic 696"/>
                <wp:cNvGraphicFramePr>
                  <a:graphicFrameLocks/>
                </wp:cNvGraphicFramePr>
                <a:graphic>
                  <a:graphicData uri="http://schemas.microsoft.com/office/word/2010/wordprocessingShape">
                    <wps:wsp>
                      <wps:cNvPr id="696" name="Graphic 696"/>
                      <wps:cNvSpPr/>
                      <wps:spPr>
                        <a:xfrm>
                          <a:off x="0" y="0"/>
                          <a:ext cx="1299210" cy="99060"/>
                        </a:xfrm>
                        <a:custGeom>
                          <a:avLst/>
                          <a:gdLst/>
                          <a:ahLst/>
                          <a:cxnLst/>
                          <a:rect l="l" t="t" r="r" b="b"/>
                          <a:pathLst>
                            <a:path w="1299210" h="99060">
                              <a:moveTo>
                                <a:pt x="1298981" y="0"/>
                              </a:moveTo>
                              <a:lnTo>
                                <a:pt x="0" y="0"/>
                              </a:lnTo>
                              <a:lnTo>
                                <a:pt x="0" y="98742"/>
                              </a:lnTo>
                              <a:lnTo>
                                <a:pt x="1298981" y="98742"/>
                              </a:lnTo>
                              <a:lnTo>
                                <a:pt x="12989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92.306pt;margin-top:78.661887pt;width:102.282pt;height:7.775pt;mso-position-horizontal-relative:page;mso-position-vertical-relative:paragraph;z-index:-28960768" id="docshape565" filled="true" fillcolor="#000000" stroked="false">
                <v:fill type="solid"/>
                <w10:wrap type="none"/>
              </v:rect>
            </w:pict>
          </mc:Fallback>
        </mc:AlternateContent>
      </w:r>
      <w:r>
        <w:rPr>
          <w:sz w:val="16"/>
        </w:rPr>
        <mc:AlternateContent>
          <mc:Choice Requires="wps">
            <w:drawing>
              <wp:anchor distT="0" distB="0" distL="0" distR="0" allowOverlap="1" layoutInCell="1" locked="0" behindDoc="1" simplePos="0" relativeHeight="474356224">
                <wp:simplePos x="0" y="0"/>
                <wp:positionH relativeFrom="page">
                  <wp:posOffset>4371543</wp:posOffset>
                </wp:positionH>
                <wp:positionV relativeFrom="paragraph">
                  <wp:posOffset>1412568</wp:posOffset>
                </wp:positionV>
                <wp:extent cx="1512570" cy="102870"/>
                <wp:effectExtent l="0" t="0" r="0" b="0"/>
                <wp:wrapNone/>
                <wp:docPr id="697" name="Graphic 697"/>
                <wp:cNvGraphicFramePr>
                  <a:graphicFrameLocks/>
                </wp:cNvGraphicFramePr>
                <a:graphic>
                  <a:graphicData uri="http://schemas.microsoft.com/office/word/2010/wordprocessingShape">
                    <wps:wsp>
                      <wps:cNvPr id="697" name="Graphic 697"/>
                      <wps:cNvSpPr/>
                      <wps:spPr>
                        <a:xfrm>
                          <a:off x="0" y="0"/>
                          <a:ext cx="1512570" cy="102870"/>
                        </a:xfrm>
                        <a:custGeom>
                          <a:avLst/>
                          <a:gdLst/>
                          <a:ahLst/>
                          <a:cxnLst/>
                          <a:rect l="l" t="t" r="r" b="b"/>
                          <a:pathLst>
                            <a:path w="1512570" h="102870">
                              <a:moveTo>
                                <a:pt x="1511998" y="0"/>
                              </a:moveTo>
                              <a:lnTo>
                                <a:pt x="0" y="0"/>
                              </a:lnTo>
                              <a:lnTo>
                                <a:pt x="0" y="102819"/>
                              </a:lnTo>
                              <a:lnTo>
                                <a:pt x="1511998" y="102819"/>
                              </a:lnTo>
                              <a:lnTo>
                                <a:pt x="15119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4.216pt;margin-top:111.225892pt;width:119.055pt;height:8.096pt;mso-position-horizontal-relative:page;mso-position-vertical-relative:paragraph;z-index:-28960256" id="docshape566" filled="true" fillcolor="#000000" stroked="false">
                <v:fill type="solid"/>
                <w10:wrap type="none"/>
              </v:rect>
            </w:pict>
          </mc:Fallback>
        </mc:AlternateContent>
      </w:r>
      <w:r>
        <w:rPr>
          <w:sz w:val="16"/>
        </w:rPr>
        <w:drawing>
          <wp:anchor distT="0" distB="0" distL="0" distR="0" allowOverlap="1" layoutInCell="1" locked="0" behindDoc="0" simplePos="0" relativeHeight="15818752">
            <wp:simplePos x="0" y="0"/>
            <wp:positionH relativeFrom="page">
              <wp:posOffset>217931</wp:posOffset>
            </wp:positionH>
            <wp:positionV relativeFrom="paragraph">
              <wp:posOffset>1001444</wp:posOffset>
            </wp:positionV>
            <wp:extent cx="1203959" cy="207263"/>
            <wp:effectExtent l="0" t="0" r="0" b="0"/>
            <wp:wrapNone/>
            <wp:docPr id="698" name="Image 698"/>
            <wp:cNvGraphicFramePr>
              <a:graphicFrameLocks/>
            </wp:cNvGraphicFramePr>
            <a:graphic>
              <a:graphicData uri="http://schemas.openxmlformats.org/drawingml/2006/picture">
                <pic:pic>
                  <pic:nvPicPr>
                    <pic:cNvPr id="698" name="Image 698"/>
                    <pic:cNvPicPr/>
                  </pic:nvPicPr>
                  <pic:blipFill>
                    <a:blip r:embed="rId179" cstate="print"/>
                    <a:stretch>
                      <a:fillRect/>
                    </a:stretch>
                  </pic:blipFill>
                  <pic:spPr>
                    <a:xfrm>
                      <a:off x="0" y="0"/>
                      <a:ext cx="1203959" cy="207263"/>
                    </a:xfrm>
                    <a:prstGeom prst="rect">
                      <a:avLst/>
                    </a:prstGeom>
                  </pic:spPr>
                </pic:pic>
              </a:graphicData>
            </a:graphic>
          </wp:anchor>
        </w:drawing>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699" name="Textbox 699"/>
                <wp:cNvGraphicFramePr>
                  <a:graphicFrameLocks/>
                </wp:cNvGraphicFramePr>
                <a:graphic>
                  <a:graphicData uri="http://schemas.microsoft.com/office/word/2010/wordprocessingShape">
                    <wps:wsp>
                      <wps:cNvPr id="699" name="Textbox 699"/>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700" name="Image 700"/>
                                        <wp:cNvGraphicFramePr>
                                          <a:graphicFrameLocks/>
                                        </wp:cNvGraphicFramePr>
                                        <a:graphic>
                                          <a:graphicData uri="http://schemas.openxmlformats.org/drawingml/2006/picture">
                                            <pic:pic>
                                              <pic:nvPicPr>
                                                <pic:cNvPr id="700" name="Image 700"/>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701" name="Image 701"/>
                                        <wp:cNvGraphicFramePr>
                                          <a:graphicFrameLocks/>
                                        </wp:cNvGraphicFramePr>
                                        <a:graphic>
                                          <a:graphicData uri="http://schemas.openxmlformats.org/drawingml/2006/picture">
                                            <pic:pic>
                                              <pic:nvPicPr>
                                                <pic:cNvPr id="701" name="Image 701"/>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702" name="Image 702"/>
                                        <wp:cNvGraphicFramePr>
                                          <a:graphicFrameLocks/>
                                        </wp:cNvGraphicFramePr>
                                        <a:graphic>
                                          <a:graphicData uri="http://schemas.openxmlformats.org/drawingml/2006/picture">
                                            <pic:pic>
                                              <pic:nvPicPr>
                                                <pic:cNvPr id="702" name="Image 702"/>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073" cy="84010"/>
                                        <wp:effectExtent l="0" t="0" r="0" b="0"/>
                                        <wp:docPr id="703" name="Image 703"/>
                                        <wp:cNvGraphicFramePr>
                                          <a:graphicFrameLocks/>
                                        </wp:cNvGraphicFramePr>
                                        <a:graphic>
                                          <a:graphicData uri="http://schemas.openxmlformats.org/drawingml/2006/picture">
                                            <pic:pic>
                                              <pic:nvPicPr>
                                                <pic:cNvPr id="703" name="Image 703"/>
                                                <pic:cNvPicPr/>
                                              </pic:nvPicPr>
                                              <pic:blipFill>
                                                <a:blip r:embed="rId185" cstate="print"/>
                                                <a:stretch>
                                                  <a:fillRect/>
                                                </a:stretch>
                                              </pic:blipFill>
                                              <pic:spPr>
                                                <a:xfrm>
                                                  <a:off x="0" y="0"/>
                                                  <a:ext cx="263073"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right="1"/>
                                    <w:jc w:val="center"/>
                                    <w:rPr>
                                      <w:rFonts w:ascii="Arial"/>
                                      <w:sz w:val="14"/>
                                    </w:rPr>
                                  </w:pPr>
                                  <w:r>
                                    <w:rPr>
                                      <w:rFonts w:ascii="Arial"/>
                                      <w:spacing w:val="-4"/>
                                      <w:sz w:val="14"/>
                                    </w:rPr>
                                    <w:t>3/40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704" name="Image 704"/>
                                        <wp:cNvGraphicFramePr>
                                          <a:graphicFrameLocks/>
                                        </wp:cNvGraphicFramePr>
                                        <a:graphic>
                                          <a:graphicData uri="http://schemas.openxmlformats.org/drawingml/2006/picture">
                                            <pic:pic>
                                              <pic:nvPicPr>
                                                <pic:cNvPr id="704" name="Image 704"/>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705" name="Image 705"/>
                                        <wp:cNvGraphicFramePr>
                                          <a:graphicFrameLocks/>
                                        </wp:cNvGraphicFramePr>
                                        <a:graphic>
                                          <a:graphicData uri="http://schemas.openxmlformats.org/drawingml/2006/picture">
                                            <pic:pic>
                                              <pic:nvPicPr>
                                                <pic:cNvPr id="705" name="Image 705"/>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567"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706" name="Image 706"/>
                                  <wp:cNvGraphicFramePr>
                                    <a:graphicFrameLocks/>
                                  </wp:cNvGraphicFramePr>
                                  <a:graphic>
                                    <a:graphicData uri="http://schemas.openxmlformats.org/drawingml/2006/picture">
                                      <pic:pic>
                                        <pic:nvPicPr>
                                          <pic:cNvPr id="706" name="Image 706"/>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707" name="Image 707"/>
                                  <wp:cNvGraphicFramePr>
                                    <a:graphicFrameLocks/>
                                  </wp:cNvGraphicFramePr>
                                  <a:graphic>
                                    <a:graphicData uri="http://schemas.openxmlformats.org/drawingml/2006/picture">
                                      <pic:pic>
                                        <pic:nvPicPr>
                                          <pic:cNvPr id="707" name="Image 707"/>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708" name="Image 708"/>
                                  <wp:cNvGraphicFramePr>
                                    <a:graphicFrameLocks/>
                                  </wp:cNvGraphicFramePr>
                                  <a:graphic>
                                    <a:graphicData uri="http://schemas.openxmlformats.org/drawingml/2006/picture">
                                      <pic:pic>
                                        <pic:nvPicPr>
                                          <pic:cNvPr id="708" name="Image 708"/>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073" cy="84010"/>
                                  <wp:effectExtent l="0" t="0" r="0" b="0"/>
                                  <wp:docPr id="709" name="Image 709"/>
                                  <wp:cNvGraphicFramePr>
                                    <a:graphicFrameLocks/>
                                  </wp:cNvGraphicFramePr>
                                  <a:graphic>
                                    <a:graphicData uri="http://schemas.openxmlformats.org/drawingml/2006/picture">
                                      <pic:pic>
                                        <pic:nvPicPr>
                                          <pic:cNvPr id="709" name="Image 709"/>
                                          <pic:cNvPicPr/>
                                        </pic:nvPicPr>
                                        <pic:blipFill>
                                          <a:blip r:embed="rId185" cstate="print"/>
                                          <a:stretch>
                                            <a:fillRect/>
                                          </a:stretch>
                                        </pic:blipFill>
                                        <pic:spPr>
                                          <a:xfrm>
                                            <a:off x="0" y="0"/>
                                            <a:ext cx="263073"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right="1"/>
                              <w:jc w:val="center"/>
                              <w:rPr>
                                <w:rFonts w:ascii="Arial"/>
                                <w:sz w:val="14"/>
                              </w:rPr>
                            </w:pPr>
                            <w:r>
                              <w:rPr>
                                <w:rFonts w:ascii="Arial"/>
                                <w:spacing w:val="-4"/>
                                <w:sz w:val="14"/>
                              </w:rPr>
                              <w:t>3/40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710" name="Image 710"/>
                                  <wp:cNvGraphicFramePr>
                                    <a:graphicFrameLocks/>
                                  </wp:cNvGraphicFramePr>
                                  <a:graphic>
                                    <a:graphicData uri="http://schemas.openxmlformats.org/drawingml/2006/picture">
                                      <pic:pic>
                                        <pic:nvPicPr>
                                          <pic:cNvPr id="710" name="Image 710"/>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711" name="Image 711"/>
                                  <wp:cNvGraphicFramePr>
                                    <a:graphicFrameLocks/>
                                  </wp:cNvGraphicFramePr>
                                  <a:graphic>
                                    <a:graphicData uri="http://schemas.openxmlformats.org/drawingml/2006/picture">
                                      <pic:pic>
                                        <pic:nvPicPr>
                                          <pic:cNvPr id="711" name="Image 711"/>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712" name="Group 712"/>
                <wp:cNvGraphicFramePr>
                  <a:graphicFrameLocks/>
                </wp:cNvGraphicFramePr>
                <a:graphic>
                  <a:graphicData uri="http://schemas.microsoft.com/office/word/2010/wordprocessingGroup">
                    <wpg:wgp>
                      <wpg:cNvPr id="712" name="Group 712"/>
                      <wpg:cNvGrpSpPr/>
                      <wpg:grpSpPr>
                        <a:xfrm>
                          <a:off x="0" y="0"/>
                          <a:ext cx="734695" cy="753110"/>
                          <a:chExt cx="734695" cy="753110"/>
                        </a:xfrm>
                      </wpg:grpSpPr>
                      <pic:pic>
                        <pic:nvPicPr>
                          <pic:cNvPr id="713" name="Image 713"/>
                          <pic:cNvPicPr/>
                        </pic:nvPicPr>
                        <pic:blipFill>
                          <a:blip r:embed="rId197" cstate="print"/>
                          <a:stretch>
                            <a:fillRect/>
                          </a:stretch>
                        </pic:blipFill>
                        <pic:spPr>
                          <a:xfrm>
                            <a:off x="0" y="0"/>
                            <a:ext cx="734552" cy="752855"/>
                          </a:xfrm>
                          <a:prstGeom prst="rect">
                            <a:avLst/>
                          </a:prstGeom>
                        </pic:spPr>
                      </pic:pic>
                      <wps:wsp>
                        <wps:cNvPr id="714" name="Graphic 714"/>
                        <wps:cNvSpPr/>
                        <wps:spPr>
                          <a:xfrm>
                            <a:off x="65519" y="45173"/>
                            <a:ext cx="659765" cy="669925"/>
                          </a:xfrm>
                          <a:custGeom>
                            <a:avLst/>
                            <a:gdLst/>
                            <a:ahLst/>
                            <a:cxnLst/>
                            <a:rect l="l" t="t" r="r" b="b"/>
                            <a:pathLst>
                              <a:path w="659765" h="669925">
                                <a:moveTo>
                                  <a:pt x="659561" y="0"/>
                                </a:moveTo>
                                <a:lnTo>
                                  <a:pt x="0" y="0"/>
                                </a:lnTo>
                                <a:lnTo>
                                  <a:pt x="0" y="669505"/>
                                </a:lnTo>
                                <a:lnTo>
                                  <a:pt x="659561" y="669505"/>
                                </a:lnTo>
                                <a:lnTo>
                                  <a:pt x="65956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568" coordorigin="0,0" coordsize="1157,1186">
                <v:shape style="position:absolute;left:0;top:0;width:1157;height:1186" type="#_x0000_t75" id="docshape569" stroked="false">
                  <v:imagedata r:id="rId197" o:title=""/>
                </v:shape>
                <v:rect style="position:absolute;left:103;top:71;width:1039;height:1055" id="docshape570"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117"/>
        <w:rPr>
          <w:sz w:val="20"/>
        </w:rPr>
      </w:pPr>
    </w:p>
    <w:p>
      <w:pPr>
        <w:spacing w:line="240" w:lineRule="auto"/>
        <w:ind w:left="1715" w:right="0" w:firstLine="0"/>
        <w:rPr>
          <w:sz w:val="20"/>
        </w:rPr>
      </w:pPr>
      <w:r>
        <w:rPr>
          <w:sz w:val="20"/>
        </w:rPr>
        <w:drawing>
          <wp:inline distT="0" distB="0" distL="0" distR="0">
            <wp:extent cx="5090313" cy="2632900"/>
            <wp:effectExtent l="0" t="0" r="0" b="0"/>
            <wp:docPr id="731" name="Image 731"/>
            <wp:cNvGraphicFramePr>
              <a:graphicFrameLocks/>
            </wp:cNvGraphicFramePr>
            <a:graphic>
              <a:graphicData uri="http://schemas.openxmlformats.org/drawingml/2006/picture">
                <pic:pic>
                  <pic:nvPicPr>
                    <pic:cNvPr id="731" name="Image 731"/>
                    <pic:cNvPicPr/>
                  </pic:nvPicPr>
                  <pic:blipFill>
                    <a:blip r:embed="rId201" cstate="print"/>
                    <a:stretch>
                      <a:fillRect/>
                    </a:stretch>
                  </pic:blipFill>
                  <pic:spPr>
                    <a:xfrm>
                      <a:off x="0" y="0"/>
                      <a:ext cx="5090313" cy="2632900"/>
                    </a:xfrm>
                    <a:prstGeom prst="rect">
                      <a:avLst/>
                    </a:prstGeom>
                  </pic:spPr>
                </pic:pic>
              </a:graphicData>
            </a:graphic>
          </wp:inline>
        </w:drawing>
      </w:r>
      <w:r>
        <w:rPr>
          <w:sz w:val="20"/>
        </w:rPr>
      </w:r>
    </w:p>
    <w:p>
      <w:pPr>
        <w:pStyle w:val="BodyText"/>
        <w:spacing w:before="166"/>
        <w:rPr>
          <w:sz w:val="20"/>
        </w:rPr>
      </w:pPr>
    </w:p>
    <w:p>
      <w:pPr>
        <w:spacing w:line="259" w:lineRule="auto" w:before="0"/>
        <w:ind w:left="2251" w:right="2024" w:firstLine="0"/>
        <w:jc w:val="both"/>
        <w:rPr>
          <w:rFonts w:ascii="Calibri" w:hAnsi="Calibri"/>
          <w:sz w:val="20"/>
        </w:rPr>
      </w:pPr>
      <w:r>
        <w:rPr>
          <w:rFonts w:ascii="Calibri" w:hAnsi="Calibri"/>
          <w:sz w:val="20"/>
        </w:rPr>
        <w:t>Tal y como se acredita en el escrito de respuesta al cuarto requerimiento remitido a este Tribunal,</w:t>
      </w:r>
      <w:r>
        <w:rPr>
          <w:rFonts w:ascii="Calibri" w:hAnsi="Calibri"/>
          <w:spacing w:val="-1"/>
          <w:sz w:val="20"/>
        </w:rPr>
        <w:t> </w:t>
      </w:r>
      <w:r>
        <w:rPr>
          <w:rFonts w:ascii="Calibri" w:hAnsi="Calibri"/>
          <w:sz w:val="20"/>
        </w:rPr>
        <w:t>el número</w:t>
      </w:r>
      <w:r>
        <w:rPr>
          <w:rFonts w:ascii="Calibri" w:hAnsi="Calibri"/>
          <w:spacing w:val="-1"/>
          <w:sz w:val="20"/>
        </w:rPr>
        <w:t> </w:t>
      </w:r>
      <w:r>
        <w:rPr>
          <w:rFonts w:ascii="Calibri" w:hAnsi="Calibri"/>
          <w:sz w:val="20"/>
        </w:rPr>
        <w:t>total</w:t>
      </w:r>
      <w:r>
        <w:rPr>
          <w:rFonts w:ascii="Calibri" w:hAnsi="Calibri"/>
          <w:spacing w:val="-3"/>
          <w:sz w:val="20"/>
        </w:rPr>
        <w:t> </w:t>
      </w:r>
      <w:r>
        <w:rPr>
          <w:rFonts w:ascii="Calibri" w:hAnsi="Calibri"/>
          <w:sz w:val="20"/>
        </w:rPr>
        <w:t>de</w:t>
      </w:r>
      <w:r>
        <w:rPr>
          <w:rFonts w:ascii="Calibri" w:hAnsi="Calibri"/>
          <w:spacing w:val="-3"/>
          <w:sz w:val="20"/>
        </w:rPr>
        <w:t> </w:t>
      </w:r>
      <w:r>
        <w:rPr>
          <w:rFonts w:ascii="Calibri" w:hAnsi="Calibri"/>
          <w:sz w:val="20"/>
        </w:rPr>
        <w:t>vehículos</w:t>
      </w:r>
      <w:r>
        <w:rPr>
          <w:rFonts w:ascii="Calibri" w:hAnsi="Calibri"/>
          <w:spacing w:val="-2"/>
          <w:sz w:val="20"/>
        </w:rPr>
        <w:t> </w:t>
      </w:r>
      <w:r>
        <w:rPr>
          <w:rFonts w:ascii="Calibri" w:hAnsi="Calibri"/>
          <w:sz w:val="20"/>
        </w:rPr>
        <w:t>eléctricos</w:t>
      </w:r>
      <w:r>
        <w:rPr>
          <w:rFonts w:ascii="Calibri" w:hAnsi="Calibri"/>
          <w:spacing w:val="-2"/>
          <w:sz w:val="20"/>
        </w:rPr>
        <w:t> </w:t>
      </w:r>
      <w:r>
        <w:rPr>
          <w:rFonts w:ascii="Calibri" w:hAnsi="Calibri"/>
          <w:sz w:val="20"/>
        </w:rPr>
        <w:t>adquiridos</w:t>
      </w:r>
      <w:r>
        <w:rPr>
          <w:rFonts w:ascii="Calibri" w:hAnsi="Calibri"/>
          <w:spacing w:val="-1"/>
          <w:sz w:val="20"/>
        </w:rPr>
        <w:t> </w:t>
      </w:r>
      <w:r>
        <w:rPr>
          <w:rFonts w:ascii="Calibri" w:hAnsi="Calibri"/>
          <w:sz w:val="20"/>
        </w:rPr>
        <w:t>asciende</w:t>
      </w:r>
      <w:r>
        <w:rPr>
          <w:rFonts w:ascii="Calibri" w:hAnsi="Calibri"/>
          <w:spacing w:val="-2"/>
          <w:sz w:val="20"/>
        </w:rPr>
        <w:t> </w:t>
      </w:r>
      <w:r>
        <w:rPr>
          <w:rFonts w:ascii="Calibri" w:hAnsi="Calibri"/>
          <w:sz w:val="20"/>
        </w:rPr>
        <w:t>a</w:t>
      </w:r>
      <w:r>
        <w:rPr>
          <w:rFonts w:ascii="Calibri" w:hAnsi="Calibri"/>
          <w:spacing w:val="-1"/>
          <w:sz w:val="20"/>
        </w:rPr>
        <w:t> </w:t>
      </w:r>
      <w:r>
        <w:rPr>
          <w:rFonts w:ascii="Calibri" w:hAnsi="Calibri"/>
          <w:sz w:val="20"/>
        </w:rPr>
        <w:t>49</w:t>
      </w:r>
      <w:r>
        <w:rPr>
          <w:rFonts w:ascii="Calibri" w:hAnsi="Calibri"/>
          <w:spacing w:val="-2"/>
          <w:sz w:val="20"/>
        </w:rPr>
        <w:t> </w:t>
      </w:r>
      <w:r>
        <w:rPr>
          <w:rFonts w:ascii="Calibri" w:hAnsi="Calibri"/>
          <w:sz w:val="20"/>
        </w:rPr>
        <w:t>unidades,</w:t>
      </w:r>
      <w:r>
        <w:rPr>
          <w:rFonts w:ascii="Calibri" w:hAnsi="Calibri"/>
          <w:spacing w:val="-2"/>
          <w:sz w:val="20"/>
        </w:rPr>
        <w:t> </w:t>
      </w:r>
      <w:r>
        <w:rPr>
          <w:rFonts w:ascii="Calibri" w:hAnsi="Calibri"/>
          <w:sz w:val="20"/>
        </w:rPr>
        <w:t>y</w:t>
      </w:r>
      <w:r>
        <w:rPr>
          <w:rFonts w:ascii="Calibri" w:hAnsi="Calibri"/>
          <w:spacing w:val="-1"/>
          <w:sz w:val="20"/>
        </w:rPr>
        <w:t> </w:t>
      </w:r>
      <w:r>
        <w:rPr>
          <w:rFonts w:ascii="Calibri" w:hAnsi="Calibri"/>
          <w:sz w:val="20"/>
        </w:rPr>
        <w:t>no</w:t>
      </w:r>
      <w:r>
        <w:rPr>
          <w:rFonts w:ascii="Calibri" w:hAnsi="Calibri"/>
          <w:spacing w:val="-3"/>
          <w:sz w:val="20"/>
        </w:rPr>
        <w:t> </w:t>
      </w:r>
      <w:r>
        <w:rPr>
          <w:rFonts w:ascii="Calibri" w:hAnsi="Calibri"/>
          <w:sz w:val="20"/>
        </w:rPr>
        <w:t>a 43, como se refleja en el anteproyecto provisional.</w:t>
      </w:r>
    </w:p>
    <w:p>
      <w:pPr>
        <w:spacing w:line="256" w:lineRule="auto" w:before="138"/>
        <w:ind w:left="2251" w:right="2022" w:firstLine="0"/>
        <w:jc w:val="both"/>
        <w:rPr>
          <w:rFonts w:ascii="Calibri" w:hAnsi="Calibri"/>
          <w:sz w:val="20"/>
        </w:rPr>
      </w:pPr>
      <w:r>
        <w:rPr>
          <w:rFonts w:ascii="Calibri" w:hAnsi="Calibri"/>
          <w:sz w:val="20"/>
        </w:rPr>
        <w:t>A efectos ilustrativos, se reproduce a continuación el cuadro resumen referido exclusivamente a los vehículos eléctricos:</w:t>
      </w:r>
    </w:p>
    <w:p>
      <w:pPr>
        <w:pStyle w:val="BodyText"/>
        <w:spacing w:before="1" w:after="1"/>
        <w:rPr>
          <w:rFonts w:ascii="Calibri"/>
          <w:sz w:val="12"/>
        </w:rPr>
      </w:pPr>
    </w:p>
    <w:tbl>
      <w:tblPr>
        <w:tblW w:w="0" w:type="auto"/>
        <w:jc w:val="left"/>
        <w:tblInd w:w="1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1795"/>
        <w:gridCol w:w="1531"/>
        <w:gridCol w:w="1920"/>
        <w:gridCol w:w="1536"/>
        <w:gridCol w:w="1022"/>
      </w:tblGrid>
      <w:tr>
        <w:trPr>
          <w:trHeight w:val="261" w:hRule="atLeast"/>
        </w:trPr>
        <w:tc>
          <w:tcPr>
            <w:tcW w:w="1277" w:type="dxa"/>
            <w:shd w:val="clear" w:color="auto" w:fill="215C98"/>
          </w:tcPr>
          <w:p>
            <w:pPr>
              <w:pStyle w:val="TableParagraph"/>
              <w:spacing w:line="223" w:lineRule="exact" w:before="18"/>
              <w:ind w:left="12" w:right="2"/>
              <w:jc w:val="center"/>
              <w:rPr>
                <w:rFonts w:ascii="Calibri"/>
                <w:sz w:val="20"/>
              </w:rPr>
            </w:pPr>
            <w:r>
              <w:rPr>
                <w:rFonts w:ascii="Calibri"/>
                <w:color w:val="FFFFFF"/>
                <w:spacing w:val="-2"/>
                <w:sz w:val="20"/>
              </w:rPr>
              <w:t>EXPEDIENTE</w:t>
            </w:r>
          </w:p>
        </w:tc>
        <w:tc>
          <w:tcPr>
            <w:tcW w:w="1795" w:type="dxa"/>
            <w:shd w:val="clear" w:color="auto" w:fill="215C98"/>
          </w:tcPr>
          <w:p>
            <w:pPr>
              <w:pStyle w:val="TableParagraph"/>
              <w:spacing w:line="223" w:lineRule="exact" w:before="18"/>
              <w:ind w:left="11"/>
              <w:jc w:val="center"/>
              <w:rPr>
                <w:rFonts w:ascii="Calibri"/>
                <w:sz w:val="20"/>
              </w:rPr>
            </w:pPr>
            <w:r>
              <w:rPr>
                <w:rFonts w:ascii="Calibri"/>
                <w:color w:val="FFFFFF"/>
                <w:sz w:val="20"/>
              </w:rPr>
              <w:t>TIPO</w:t>
            </w:r>
            <w:r>
              <w:rPr>
                <w:rFonts w:ascii="Calibri"/>
                <w:color w:val="FFFFFF"/>
                <w:spacing w:val="1"/>
                <w:sz w:val="20"/>
              </w:rPr>
              <w:t> </w:t>
            </w:r>
            <w:r>
              <w:rPr>
                <w:rFonts w:ascii="Calibri"/>
                <w:color w:val="FFFFFF"/>
                <w:sz w:val="20"/>
              </w:rPr>
              <w:t>DE</w:t>
            </w:r>
            <w:r>
              <w:rPr>
                <w:rFonts w:ascii="Calibri"/>
                <w:color w:val="FFFFFF"/>
                <w:spacing w:val="7"/>
                <w:sz w:val="20"/>
              </w:rPr>
              <w:t> </w:t>
            </w:r>
            <w:r>
              <w:rPr>
                <w:rFonts w:ascii="Calibri"/>
                <w:color w:val="FFFFFF"/>
                <w:spacing w:val="-2"/>
                <w:sz w:val="20"/>
              </w:rPr>
              <w:t>VEHICULO</w:t>
            </w:r>
          </w:p>
        </w:tc>
        <w:tc>
          <w:tcPr>
            <w:tcW w:w="1531" w:type="dxa"/>
            <w:shd w:val="clear" w:color="auto" w:fill="215C98"/>
          </w:tcPr>
          <w:p>
            <w:pPr>
              <w:pStyle w:val="TableParagraph"/>
              <w:spacing w:line="223" w:lineRule="exact" w:before="18"/>
              <w:ind w:left="10"/>
              <w:jc w:val="center"/>
              <w:rPr>
                <w:rFonts w:ascii="Calibri"/>
                <w:sz w:val="20"/>
              </w:rPr>
            </w:pPr>
            <w:r>
              <w:rPr>
                <w:rFonts w:ascii="Calibri"/>
                <w:color w:val="FFFFFF"/>
                <w:sz w:val="20"/>
              </w:rPr>
              <w:t>PRIMER</w:t>
            </w:r>
            <w:r>
              <w:rPr>
                <w:rFonts w:ascii="Calibri"/>
                <w:color w:val="FFFFFF"/>
                <w:spacing w:val="7"/>
                <w:sz w:val="20"/>
              </w:rPr>
              <w:t> </w:t>
            </w:r>
            <w:r>
              <w:rPr>
                <w:rFonts w:ascii="Calibri"/>
                <w:color w:val="FFFFFF"/>
                <w:spacing w:val="-2"/>
                <w:sz w:val="20"/>
              </w:rPr>
              <w:t>PEDIDO</w:t>
            </w:r>
          </w:p>
        </w:tc>
        <w:tc>
          <w:tcPr>
            <w:tcW w:w="1920" w:type="dxa"/>
            <w:shd w:val="clear" w:color="auto" w:fill="215C98"/>
          </w:tcPr>
          <w:p>
            <w:pPr>
              <w:pStyle w:val="TableParagraph"/>
              <w:spacing w:line="223" w:lineRule="exact" w:before="18"/>
              <w:ind w:left="14" w:right="3"/>
              <w:jc w:val="center"/>
              <w:rPr>
                <w:rFonts w:ascii="Calibri"/>
                <w:sz w:val="20"/>
              </w:rPr>
            </w:pPr>
            <w:r>
              <w:rPr>
                <w:rFonts w:ascii="Calibri"/>
                <w:color w:val="FFFFFF"/>
                <w:sz w:val="20"/>
              </w:rPr>
              <w:t>SEGUNDO</w:t>
            </w:r>
            <w:r>
              <w:rPr>
                <w:rFonts w:ascii="Calibri"/>
                <w:color w:val="FFFFFF"/>
                <w:spacing w:val="-2"/>
                <w:sz w:val="20"/>
              </w:rPr>
              <w:t> PEDIDO</w:t>
            </w:r>
          </w:p>
        </w:tc>
        <w:tc>
          <w:tcPr>
            <w:tcW w:w="1536" w:type="dxa"/>
            <w:shd w:val="clear" w:color="auto" w:fill="215C98"/>
          </w:tcPr>
          <w:p>
            <w:pPr>
              <w:pStyle w:val="TableParagraph"/>
              <w:spacing w:line="223" w:lineRule="exact" w:before="18"/>
              <w:ind w:left="8"/>
              <w:jc w:val="center"/>
              <w:rPr>
                <w:rFonts w:ascii="Calibri"/>
                <w:sz w:val="20"/>
              </w:rPr>
            </w:pPr>
            <w:r>
              <w:rPr>
                <w:rFonts w:ascii="Calibri"/>
                <w:color w:val="FFFFFF"/>
                <w:sz w:val="20"/>
              </w:rPr>
              <w:t>TERCER</w:t>
            </w:r>
            <w:r>
              <w:rPr>
                <w:rFonts w:ascii="Calibri"/>
                <w:color w:val="FFFFFF"/>
                <w:spacing w:val="-3"/>
                <w:sz w:val="20"/>
              </w:rPr>
              <w:t> </w:t>
            </w:r>
            <w:r>
              <w:rPr>
                <w:rFonts w:ascii="Calibri"/>
                <w:color w:val="FFFFFF"/>
                <w:spacing w:val="-2"/>
                <w:sz w:val="20"/>
              </w:rPr>
              <w:t>PEDIDO</w:t>
            </w:r>
          </w:p>
        </w:tc>
        <w:tc>
          <w:tcPr>
            <w:tcW w:w="1022" w:type="dxa"/>
            <w:shd w:val="clear" w:color="auto" w:fill="215C98"/>
          </w:tcPr>
          <w:p>
            <w:pPr>
              <w:pStyle w:val="TableParagraph"/>
              <w:spacing w:line="223" w:lineRule="exact" w:before="18"/>
              <w:ind w:left="10" w:right="3"/>
              <w:jc w:val="center"/>
              <w:rPr>
                <w:rFonts w:ascii="Calibri"/>
                <w:sz w:val="20"/>
              </w:rPr>
            </w:pPr>
            <w:r>
              <w:rPr>
                <w:rFonts w:ascii="Calibri"/>
                <w:color w:val="FFFFFF"/>
                <w:spacing w:val="-2"/>
                <w:sz w:val="20"/>
              </w:rPr>
              <w:t>TOTAL</w:t>
            </w:r>
          </w:p>
        </w:tc>
      </w:tr>
      <w:tr>
        <w:trPr>
          <w:trHeight w:val="261" w:hRule="atLeast"/>
        </w:trPr>
        <w:tc>
          <w:tcPr>
            <w:tcW w:w="1277" w:type="dxa"/>
          </w:tcPr>
          <w:p>
            <w:pPr>
              <w:pStyle w:val="TableParagraph"/>
              <w:spacing w:line="223" w:lineRule="exact" w:before="17"/>
              <w:ind w:left="12"/>
              <w:jc w:val="center"/>
              <w:rPr>
                <w:rFonts w:ascii="Calibri"/>
                <w:sz w:val="20"/>
              </w:rPr>
            </w:pPr>
            <w:r>
              <w:rPr>
                <w:rFonts w:ascii="Calibri"/>
                <w:spacing w:val="-2"/>
                <w:sz w:val="20"/>
              </w:rPr>
              <w:t>016/2021</w:t>
            </w:r>
          </w:p>
        </w:tc>
        <w:tc>
          <w:tcPr>
            <w:tcW w:w="1795" w:type="dxa"/>
          </w:tcPr>
          <w:p>
            <w:pPr>
              <w:pStyle w:val="TableParagraph"/>
              <w:spacing w:line="223" w:lineRule="exact" w:before="17"/>
              <w:ind w:left="11" w:right="5"/>
              <w:jc w:val="center"/>
              <w:rPr>
                <w:rFonts w:ascii="Calibri" w:hAnsi="Calibri"/>
                <w:sz w:val="20"/>
              </w:rPr>
            </w:pPr>
            <w:r>
              <w:rPr>
                <w:rFonts w:ascii="Calibri" w:hAnsi="Calibri"/>
                <w:spacing w:val="-2"/>
                <w:sz w:val="20"/>
              </w:rPr>
              <w:t>ELÉCTRICO</w:t>
            </w:r>
          </w:p>
        </w:tc>
        <w:tc>
          <w:tcPr>
            <w:tcW w:w="1531" w:type="dxa"/>
            <w:shd w:val="clear" w:color="auto" w:fill="DAF2D0"/>
          </w:tcPr>
          <w:p>
            <w:pPr>
              <w:pStyle w:val="TableParagraph"/>
              <w:spacing w:line="223" w:lineRule="exact" w:before="17"/>
              <w:ind w:left="10" w:right="5"/>
              <w:jc w:val="center"/>
              <w:rPr>
                <w:rFonts w:ascii="Calibri"/>
                <w:sz w:val="20"/>
              </w:rPr>
            </w:pPr>
            <w:r>
              <w:rPr>
                <w:rFonts w:ascii="Calibri"/>
                <w:spacing w:val="-5"/>
                <w:sz w:val="20"/>
              </w:rPr>
              <w:t>10</w:t>
            </w:r>
          </w:p>
        </w:tc>
        <w:tc>
          <w:tcPr>
            <w:tcW w:w="1920" w:type="dxa"/>
            <w:shd w:val="clear" w:color="auto" w:fill="DAF2D0"/>
          </w:tcPr>
          <w:p>
            <w:pPr>
              <w:pStyle w:val="TableParagraph"/>
              <w:spacing w:line="223" w:lineRule="exact" w:before="17"/>
              <w:ind w:left="14" w:right="5"/>
              <w:jc w:val="center"/>
              <w:rPr>
                <w:rFonts w:ascii="Calibri"/>
                <w:sz w:val="20"/>
              </w:rPr>
            </w:pPr>
            <w:r>
              <w:rPr>
                <w:rFonts w:ascii="Calibri"/>
                <w:spacing w:val="-5"/>
                <w:sz w:val="20"/>
              </w:rPr>
              <w:t>10</w:t>
            </w:r>
          </w:p>
        </w:tc>
        <w:tc>
          <w:tcPr>
            <w:tcW w:w="1536" w:type="dxa"/>
            <w:shd w:val="clear" w:color="auto" w:fill="F7C7AC"/>
          </w:tcPr>
          <w:p>
            <w:pPr>
              <w:pStyle w:val="TableParagraph"/>
              <w:spacing w:line="235" w:lineRule="exact" w:before="6"/>
              <w:ind w:left="8" w:right="3"/>
              <w:jc w:val="center"/>
              <w:rPr>
                <w:rFonts w:ascii="Calibri"/>
                <w:sz w:val="20"/>
              </w:rPr>
            </w:pPr>
            <w:r>
              <w:rPr>
                <w:rFonts w:ascii="Calibri"/>
                <w:spacing w:val="-5"/>
                <w:sz w:val="20"/>
              </w:rPr>
              <w:t>10</w:t>
            </w:r>
          </w:p>
        </w:tc>
        <w:tc>
          <w:tcPr>
            <w:tcW w:w="1022" w:type="dxa"/>
          </w:tcPr>
          <w:p>
            <w:pPr>
              <w:pStyle w:val="TableParagraph"/>
              <w:spacing w:line="223" w:lineRule="exact" w:before="17"/>
              <w:ind w:left="10" w:right="3"/>
              <w:jc w:val="center"/>
              <w:rPr>
                <w:rFonts w:ascii="Calibri"/>
                <w:sz w:val="20"/>
              </w:rPr>
            </w:pPr>
            <w:r>
              <w:rPr>
                <w:rFonts w:ascii="Calibri"/>
                <w:spacing w:val="-5"/>
                <w:sz w:val="20"/>
              </w:rPr>
              <w:t>30</w:t>
            </w:r>
          </w:p>
        </w:tc>
      </w:tr>
      <w:tr>
        <w:trPr>
          <w:trHeight w:val="261" w:hRule="atLeast"/>
        </w:trPr>
        <w:tc>
          <w:tcPr>
            <w:tcW w:w="1277" w:type="dxa"/>
          </w:tcPr>
          <w:p>
            <w:pPr>
              <w:pStyle w:val="TableParagraph"/>
              <w:spacing w:line="226" w:lineRule="exact" w:before="15"/>
              <w:ind w:left="12"/>
              <w:jc w:val="center"/>
              <w:rPr>
                <w:rFonts w:ascii="Calibri"/>
                <w:sz w:val="20"/>
              </w:rPr>
            </w:pPr>
            <w:r>
              <w:rPr>
                <w:rFonts w:ascii="Calibri"/>
                <w:spacing w:val="-2"/>
                <w:sz w:val="20"/>
              </w:rPr>
              <w:t>032/2023</w:t>
            </w:r>
          </w:p>
        </w:tc>
        <w:tc>
          <w:tcPr>
            <w:tcW w:w="1795" w:type="dxa"/>
          </w:tcPr>
          <w:p>
            <w:pPr>
              <w:pStyle w:val="TableParagraph"/>
              <w:spacing w:line="226" w:lineRule="exact" w:before="15"/>
              <w:ind w:left="11" w:right="5"/>
              <w:jc w:val="center"/>
              <w:rPr>
                <w:rFonts w:ascii="Calibri" w:hAnsi="Calibri"/>
                <w:sz w:val="20"/>
              </w:rPr>
            </w:pPr>
            <w:r>
              <w:rPr>
                <w:rFonts w:ascii="Calibri" w:hAnsi="Calibri"/>
                <w:spacing w:val="-2"/>
                <w:sz w:val="20"/>
              </w:rPr>
              <w:t>ELÉCTRICO</w:t>
            </w:r>
          </w:p>
        </w:tc>
        <w:tc>
          <w:tcPr>
            <w:tcW w:w="1531" w:type="dxa"/>
            <w:shd w:val="clear" w:color="auto" w:fill="A6C9EC"/>
          </w:tcPr>
          <w:p>
            <w:pPr>
              <w:pStyle w:val="TableParagraph"/>
              <w:spacing w:line="226" w:lineRule="exact" w:before="15"/>
              <w:ind w:left="10" w:right="5"/>
              <w:jc w:val="center"/>
              <w:rPr>
                <w:rFonts w:ascii="Calibri"/>
                <w:sz w:val="20"/>
              </w:rPr>
            </w:pPr>
            <w:r>
              <w:rPr>
                <w:rFonts w:ascii="Calibri"/>
                <w:spacing w:val="-5"/>
                <w:sz w:val="20"/>
              </w:rPr>
              <w:t>13</w:t>
            </w:r>
          </w:p>
        </w:tc>
        <w:tc>
          <w:tcPr>
            <w:tcW w:w="1920" w:type="dxa"/>
            <w:shd w:val="clear" w:color="auto" w:fill="F7C7AC"/>
          </w:tcPr>
          <w:p>
            <w:pPr>
              <w:pStyle w:val="TableParagraph"/>
              <w:spacing w:line="226" w:lineRule="exact" w:before="15"/>
              <w:ind w:left="14"/>
              <w:jc w:val="center"/>
              <w:rPr>
                <w:rFonts w:ascii="Calibri"/>
                <w:sz w:val="20"/>
              </w:rPr>
            </w:pPr>
            <w:r>
              <w:rPr>
                <w:rFonts w:ascii="Calibri"/>
                <w:spacing w:val="-10"/>
                <w:sz w:val="20"/>
              </w:rPr>
              <w:t>5</w:t>
            </w:r>
          </w:p>
        </w:tc>
        <w:tc>
          <w:tcPr>
            <w:tcW w:w="1536" w:type="dxa"/>
          </w:tcPr>
          <w:p>
            <w:pPr>
              <w:pStyle w:val="TableParagraph"/>
              <w:spacing w:line="226" w:lineRule="exact" w:before="15"/>
              <w:ind w:left="8"/>
              <w:jc w:val="center"/>
              <w:rPr>
                <w:rFonts w:ascii="Calibri"/>
                <w:sz w:val="20"/>
              </w:rPr>
            </w:pPr>
            <w:r>
              <w:rPr>
                <w:rFonts w:ascii="Calibri"/>
                <w:spacing w:val="-10"/>
                <w:sz w:val="20"/>
              </w:rPr>
              <w:t>-</w:t>
            </w:r>
          </w:p>
        </w:tc>
        <w:tc>
          <w:tcPr>
            <w:tcW w:w="1022" w:type="dxa"/>
          </w:tcPr>
          <w:p>
            <w:pPr>
              <w:pStyle w:val="TableParagraph"/>
              <w:spacing w:line="226" w:lineRule="exact" w:before="15"/>
              <w:ind w:left="10" w:right="3"/>
              <w:jc w:val="center"/>
              <w:rPr>
                <w:rFonts w:ascii="Calibri"/>
                <w:sz w:val="20"/>
              </w:rPr>
            </w:pPr>
            <w:r>
              <w:rPr>
                <w:rFonts w:ascii="Calibri"/>
                <w:spacing w:val="-5"/>
                <w:sz w:val="20"/>
              </w:rPr>
              <w:t>18</w:t>
            </w:r>
          </w:p>
        </w:tc>
      </w:tr>
      <w:tr>
        <w:trPr>
          <w:trHeight w:val="258" w:hRule="atLeast"/>
        </w:trPr>
        <w:tc>
          <w:tcPr>
            <w:tcW w:w="1277" w:type="dxa"/>
          </w:tcPr>
          <w:p>
            <w:pPr>
              <w:pStyle w:val="TableParagraph"/>
              <w:spacing w:line="223" w:lineRule="exact" w:before="15"/>
              <w:ind w:left="12"/>
              <w:jc w:val="center"/>
              <w:rPr>
                <w:rFonts w:ascii="Calibri"/>
                <w:sz w:val="20"/>
              </w:rPr>
            </w:pPr>
            <w:r>
              <w:rPr>
                <w:rFonts w:ascii="Calibri"/>
                <w:spacing w:val="-2"/>
                <w:sz w:val="20"/>
              </w:rPr>
              <w:t>037/2024</w:t>
            </w:r>
          </w:p>
        </w:tc>
        <w:tc>
          <w:tcPr>
            <w:tcW w:w="1795" w:type="dxa"/>
          </w:tcPr>
          <w:p>
            <w:pPr>
              <w:pStyle w:val="TableParagraph"/>
              <w:spacing w:line="223" w:lineRule="exact" w:before="15"/>
              <w:ind w:left="11" w:right="5"/>
              <w:jc w:val="center"/>
              <w:rPr>
                <w:rFonts w:ascii="Calibri" w:hAnsi="Calibri"/>
                <w:sz w:val="20"/>
              </w:rPr>
            </w:pPr>
            <w:r>
              <w:rPr>
                <w:rFonts w:ascii="Calibri" w:hAnsi="Calibri"/>
                <w:spacing w:val="-2"/>
                <w:sz w:val="20"/>
              </w:rPr>
              <w:t>ELÉCTRICO</w:t>
            </w:r>
          </w:p>
        </w:tc>
        <w:tc>
          <w:tcPr>
            <w:tcW w:w="1531" w:type="dxa"/>
            <w:shd w:val="clear" w:color="auto" w:fill="A6C9EC"/>
          </w:tcPr>
          <w:p>
            <w:pPr>
              <w:pStyle w:val="TableParagraph"/>
              <w:spacing w:line="223" w:lineRule="exact" w:before="15"/>
              <w:ind w:left="10" w:right="5"/>
              <w:jc w:val="center"/>
              <w:rPr>
                <w:rFonts w:ascii="Calibri"/>
                <w:sz w:val="20"/>
              </w:rPr>
            </w:pPr>
            <w:r>
              <w:rPr>
                <w:rFonts w:ascii="Calibri"/>
                <w:spacing w:val="-10"/>
                <w:sz w:val="20"/>
              </w:rPr>
              <w:t>1</w:t>
            </w:r>
          </w:p>
        </w:tc>
        <w:tc>
          <w:tcPr>
            <w:tcW w:w="1920" w:type="dxa"/>
          </w:tcPr>
          <w:p>
            <w:pPr>
              <w:pStyle w:val="TableParagraph"/>
              <w:spacing w:line="223" w:lineRule="exact" w:before="15"/>
              <w:ind w:left="14" w:right="1"/>
              <w:jc w:val="center"/>
              <w:rPr>
                <w:rFonts w:ascii="Calibri"/>
                <w:sz w:val="20"/>
              </w:rPr>
            </w:pPr>
            <w:r>
              <w:rPr>
                <w:rFonts w:ascii="Calibri"/>
                <w:spacing w:val="-10"/>
                <w:sz w:val="20"/>
              </w:rPr>
              <w:t>-</w:t>
            </w:r>
          </w:p>
        </w:tc>
        <w:tc>
          <w:tcPr>
            <w:tcW w:w="1536" w:type="dxa"/>
          </w:tcPr>
          <w:p>
            <w:pPr>
              <w:pStyle w:val="TableParagraph"/>
              <w:spacing w:line="223" w:lineRule="exact" w:before="15"/>
              <w:ind w:left="8"/>
              <w:jc w:val="center"/>
              <w:rPr>
                <w:rFonts w:ascii="Calibri"/>
                <w:sz w:val="20"/>
              </w:rPr>
            </w:pPr>
            <w:r>
              <w:rPr>
                <w:rFonts w:ascii="Calibri"/>
                <w:spacing w:val="-10"/>
                <w:sz w:val="20"/>
              </w:rPr>
              <w:t>-</w:t>
            </w:r>
          </w:p>
        </w:tc>
        <w:tc>
          <w:tcPr>
            <w:tcW w:w="1022" w:type="dxa"/>
          </w:tcPr>
          <w:p>
            <w:pPr>
              <w:pStyle w:val="TableParagraph"/>
              <w:spacing w:line="223" w:lineRule="exact" w:before="15"/>
              <w:ind w:left="10"/>
              <w:jc w:val="center"/>
              <w:rPr>
                <w:rFonts w:ascii="Calibri"/>
                <w:sz w:val="20"/>
              </w:rPr>
            </w:pPr>
            <w:r>
              <w:rPr>
                <w:rFonts w:ascii="Calibri"/>
                <w:spacing w:val="-10"/>
                <w:sz w:val="20"/>
              </w:rPr>
              <w:t>1</w:t>
            </w:r>
          </w:p>
        </w:tc>
      </w:tr>
      <w:tr>
        <w:trPr>
          <w:trHeight w:val="261" w:hRule="atLeast"/>
        </w:trPr>
        <w:tc>
          <w:tcPr>
            <w:tcW w:w="8059" w:type="dxa"/>
            <w:gridSpan w:val="5"/>
            <w:tcBorders>
              <w:left w:val="nil"/>
              <w:bottom w:val="nil"/>
            </w:tcBorders>
          </w:tcPr>
          <w:p>
            <w:pPr>
              <w:pStyle w:val="TableParagraph"/>
              <w:rPr>
                <w:rFonts w:ascii="Times New Roman"/>
                <w:sz w:val="18"/>
              </w:rPr>
            </w:pPr>
          </w:p>
        </w:tc>
        <w:tc>
          <w:tcPr>
            <w:tcW w:w="1022" w:type="dxa"/>
          </w:tcPr>
          <w:p>
            <w:pPr>
              <w:pStyle w:val="TableParagraph"/>
              <w:spacing w:line="223" w:lineRule="exact" w:before="18"/>
              <w:ind w:left="10" w:right="3"/>
              <w:jc w:val="center"/>
              <w:rPr>
                <w:rFonts w:ascii="Calibri"/>
                <w:sz w:val="20"/>
              </w:rPr>
            </w:pPr>
            <w:r>
              <w:rPr>
                <w:rFonts w:ascii="Calibri"/>
                <w:spacing w:val="-5"/>
                <w:sz w:val="20"/>
              </w:rPr>
              <w:t>49</w:t>
            </w:r>
          </w:p>
        </w:tc>
      </w:tr>
    </w:tbl>
    <w:p>
      <w:pPr>
        <w:spacing w:before="19"/>
        <w:ind w:left="2628" w:right="0" w:firstLine="0"/>
        <w:jc w:val="left"/>
        <w:rPr>
          <w:rFonts w:ascii="Calibri"/>
          <w:sz w:val="20"/>
        </w:rPr>
      </w:pPr>
      <w:r>
        <w:rPr>
          <w:rFonts w:ascii="Calibri"/>
          <w:sz w:val="20"/>
        </w:rPr>
        <mc:AlternateContent>
          <mc:Choice Requires="wps">
            <w:drawing>
              <wp:anchor distT="0" distB="0" distL="0" distR="0" allowOverlap="1" layoutInCell="1" locked="0" behindDoc="0" simplePos="0" relativeHeight="15821312">
                <wp:simplePos x="0" y="0"/>
                <wp:positionH relativeFrom="page">
                  <wp:posOffset>903732</wp:posOffset>
                </wp:positionH>
                <wp:positionV relativeFrom="paragraph">
                  <wp:posOffset>-5333</wp:posOffset>
                </wp:positionV>
                <wp:extent cx="817244" cy="521334"/>
                <wp:effectExtent l="0" t="0" r="0" b="0"/>
                <wp:wrapNone/>
                <wp:docPr id="732" name="Group 732"/>
                <wp:cNvGraphicFramePr>
                  <a:graphicFrameLocks/>
                </wp:cNvGraphicFramePr>
                <a:graphic>
                  <a:graphicData uri="http://schemas.microsoft.com/office/word/2010/wordprocessingGroup">
                    <wpg:wgp>
                      <wpg:cNvPr id="732" name="Group 732"/>
                      <wpg:cNvGrpSpPr/>
                      <wpg:grpSpPr>
                        <a:xfrm>
                          <a:off x="0" y="0"/>
                          <a:ext cx="817244" cy="521334"/>
                          <a:chExt cx="817244" cy="521334"/>
                        </a:xfrm>
                      </wpg:grpSpPr>
                      <wps:wsp>
                        <wps:cNvPr id="733" name="Graphic 733"/>
                        <wps:cNvSpPr/>
                        <wps:spPr>
                          <a:xfrm>
                            <a:off x="4572" y="6095"/>
                            <a:ext cx="807720" cy="167640"/>
                          </a:xfrm>
                          <a:custGeom>
                            <a:avLst/>
                            <a:gdLst/>
                            <a:ahLst/>
                            <a:cxnLst/>
                            <a:rect l="l" t="t" r="r" b="b"/>
                            <a:pathLst>
                              <a:path w="807720" h="167640">
                                <a:moveTo>
                                  <a:pt x="807593" y="0"/>
                                </a:moveTo>
                                <a:lnTo>
                                  <a:pt x="0" y="0"/>
                                </a:lnTo>
                                <a:lnTo>
                                  <a:pt x="0" y="167513"/>
                                </a:lnTo>
                                <a:lnTo>
                                  <a:pt x="807593" y="167513"/>
                                </a:lnTo>
                                <a:lnTo>
                                  <a:pt x="807593" y="0"/>
                                </a:lnTo>
                                <a:close/>
                              </a:path>
                            </a:pathLst>
                          </a:custGeom>
                          <a:solidFill>
                            <a:srgbClr val="DAF2D0"/>
                          </a:solidFill>
                        </wps:spPr>
                        <wps:bodyPr wrap="square" lIns="0" tIns="0" rIns="0" bIns="0" rtlCol="0">
                          <a:prstTxWarp prst="textNoShape">
                            <a:avLst/>
                          </a:prstTxWarp>
                          <a:noAutofit/>
                        </wps:bodyPr>
                      </wps:wsp>
                      <wps:wsp>
                        <wps:cNvPr id="734" name="Graphic 734"/>
                        <wps:cNvSpPr/>
                        <wps:spPr>
                          <a:xfrm>
                            <a:off x="0" y="0"/>
                            <a:ext cx="817244" cy="173990"/>
                          </a:xfrm>
                          <a:custGeom>
                            <a:avLst/>
                            <a:gdLst/>
                            <a:ahLst/>
                            <a:cxnLst/>
                            <a:rect l="l" t="t" r="r" b="b"/>
                            <a:pathLst>
                              <a:path w="817244" h="173990">
                                <a:moveTo>
                                  <a:pt x="816864" y="0"/>
                                </a:moveTo>
                                <a:lnTo>
                                  <a:pt x="6096" y="0"/>
                                </a:lnTo>
                                <a:lnTo>
                                  <a:pt x="0" y="0"/>
                                </a:lnTo>
                                <a:lnTo>
                                  <a:pt x="0" y="6096"/>
                                </a:lnTo>
                                <a:lnTo>
                                  <a:pt x="0" y="173609"/>
                                </a:lnTo>
                                <a:lnTo>
                                  <a:pt x="6096" y="173609"/>
                                </a:lnTo>
                                <a:lnTo>
                                  <a:pt x="6096" y="6096"/>
                                </a:lnTo>
                                <a:lnTo>
                                  <a:pt x="810768" y="6096"/>
                                </a:lnTo>
                                <a:lnTo>
                                  <a:pt x="810768" y="173609"/>
                                </a:lnTo>
                                <a:lnTo>
                                  <a:pt x="816864" y="173609"/>
                                </a:lnTo>
                                <a:lnTo>
                                  <a:pt x="816864" y="6096"/>
                                </a:lnTo>
                                <a:lnTo>
                                  <a:pt x="816864" y="0"/>
                                </a:lnTo>
                                <a:close/>
                              </a:path>
                            </a:pathLst>
                          </a:custGeom>
                          <a:solidFill>
                            <a:srgbClr val="000000"/>
                          </a:solidFill>
                        </wps:spPr>
                        <wps:bodyPr wrap="square" lIns="0" tIns="0" rIns="0" bIns="0" rtlCol="0">
                          <a:prstTxWarp prst="textNoShape">
                            <a:avLst/>
                          </a:prstTxWarp>
                          <a:noAutofit/>
                        </wps:bodyPr>
                      </wps:wsp>
                      <wps:wsp>
                        <wps:cNvPr id="735" name="Graphic 735"/>
                        <wps:cNvSpPr/>
                        <wps:spPr>
                          <a:xfrm>
                            <a:off x="4572" y="176784"/>
                            <a:ext cx="807720" cy="167640"/>
                          </a:xfrm>
                          <a:custGeom>
                            <a:avLst/>
                            <a:gdLst/>
                            <a:ahLst/>
                            <a:cxnLst/>
                            <a:rect l="l" t="t" r="r" b="b"/>
                            <a:pathLst>
                              <a:path w="807720" h="167640">
                                <a:moveTo>
                                  <a:pt x="807593" y="0"/>
                                </a:moveTo>
                                <a:lnTo>
                                  <a:pt x="0" y="0"/>
                                </a:lnTo>
                                <a:lnTo>
                                  <a:pt x="0" y="167513"/>
                                </a:lnTo>
                                <a:lnTo>
                                  <a:pt x="807593" y="167513"/>
                                </a:lnTo>
                                <a:lnTo>
                                  <a:pt x="807593" y="0"/>
                                </a:lnTo>
                                <a:close/>
                              </a:path>
                            </a:pathLst>
                          </a:custGeom>
                          <a:solidFill>
                            <a:srgbClr val="A6C9EC"/>
                          </a:solidFill>
                        </wps:spPr>
                        <wps:bodyPr wrap="square" lIns="0" tIns="0" rIns="0" bIns="0" rtlCol="0">
                          <a:prstTxWarp prst="textNoShape">
                            <a:avLst/>
                          </a:prstTxWarp>
                          <a:noAutofit/>
                        </wps:bodyPr>
                      </wps:wsp>
                      <wps:wsp>
                        <wps:cNvPr id="736" name="Graphic 736"/>
                        <wps:cNvSpPr/>
                        <wps:spPr>
                          <a:xfrm>
                            <a:off x="0" y="172211"/>
                            <a:ext cx="817244" cy="172085"/>
                          </a:xfrm>
                          <a:custGeom>
                            <a:avLst/>
                            <a:gdLst/>
                            <a:ahLst/>
                            <a:cxnLst/>
                            <a:rect l="l" t="t" r="r" b="b"/>
                            <a:pathLst>
                              <a:path w="817244" h="172085">
                                <a:moveTo>
                                  <a:pt x="816864" y="0"/>
                                </a:moveTo>
                                <a:lnTo>
                                  <a:pt x="0" y="0"/>
                                </a:lnTo>
                                <a:lnTo>
                                  <a:pt x="0" y="4572"/>
                                </a:lnTo>
                                <a:lnTo>
                                  <a:pt x="0" y="6096"/>
                                </a:lnTo>
                                <a:lnTo>
                                  <a:pt x="0" y="172085"/>
                                </a:lnTo>
                                <a:lnTo>
                                  <a:pt x="6096" y="172085"/>
                                </a:lnTo>
                                <a:lnTo>
                                  <a:pt x="6096" y="6096"/>
                                </a:lnTo>
                                <a:lnTo>
                                  <a:pt x="810768" y="6096"/>
                                </a:lnTo>
                                <a:lnTo>
                                  <a:pt x="810768" y="172085"/>
                                </a:lnTo>
                                <a:lnTo>
                                  <a:pt x="816864" y="172085"/>
                                </a:lnTo>
                                <a:lnTo>
                                  <a:pt x="816864" y="6096"/>
                                </a:lnTo>
                                <a:lnTo>
                                  <a:pt x="816864" y="4572"/>
                                </a:lnTo>
                                <a:lnTo>
                                  <a:pt x="816864" y="0"/>
                                </a:lnTo>
                                <a:close/>
                              </a:path>
                            </a:pathLst>
                          </a:custGeom>
                          <a:solidFill>
                            <a:srgbClr val="000000"/>
                          </a:solidFill>
                        </wps:spPr>
                        <wps:bodyPr wrap="square" lIns="0" tIns="0" rIns="0" bIns="0" rtlCol="0">
                          <a:prstTxWarp prst="textNoShape">
                            <a:avLst/>
                          </a:prstTxWarp>
                          <a:noAutofit/>
                        </wps:bodyPr>
                      </wps:wsp>
                      <wps:wsp>
                        <wps:cNvPr id="737" name="Graphic 737"/>
                        <wps:cNvSpPr/>
                        <wps:spPr>
                          <a:xfrm>
                            <a:off x="4572" y="348995"/>
                            <a:ext cx="807720" cy="167640"/>
                          </a:xfrm>
                          <a:custGeom>
                            <a:avLst/>
                            <a:gdLst/>
                            <a:ahLst/>
                            <a:cxnLst/>
                            <a:rect l="l" t="t" r="r" b="b"/>
                            <a:pathLst>
                              <a:path w="807720" h="167640">
                                <a:moveTo>
                                  <a:pt x="807593" y="0"/>
                                </a:moveTo>
                                <a:lnTo>
                                  <a:pt x="0" y="0"/>
                                </a:lnTo>
                                <a:lnTo>
                                  <a:pt x="0" y="167513"/>
                                </a:lnTo>
                                <a:lnTo>
                                  <a:pt x="807593" y="167513"/>
                                </a:lnTo>
                                <a:lnTo>
                                  <a:pt x="807593" y="0"/>
                                </a:lnTo>
                                <a:close/>
                              </a:path>
                            </a:pathLst>
                          </a:custGeom>
                          <a:solidFill>
                            <a:srgbClr val="F7C7AC"/>
                          </a:solidFill>
                        </wps:spPr>
                        <wps:bodyPr wrap="square" lIns="0" tIns="0" rIns="0" bIns="0" rtlCol="0">
                          <a:prstTxWarp prst="textNoShape">
                            <a:avLst/>
                          </a:prstTxWarp>
                          <a:noAutofit/>
                        </wps:bodyPr>
                      </wps:wsp>
                      <wps:wsp>
                        <wps:cNvPr id="738" name="Graphic 738"/>
                        <wps:cNvSpPr/>
                        <wps:spPr>
                          <a:xfrm>
                            <a:off x="0" y="344423"/>
                            <a:ext cx="817244" cy="177165"/>
                          </a:xfrm>
                          <a:custGeom>
                            <a:avLst/>
                            <a:gdLst/>
                            <a:ahLst/>
                            <a:cxnLst/>
                            <a:rect l="l" t="t" r="r" b="b"/>
                            <a:pathLst>
                              <a:path w="817244" h="177165">
                                <a:moveTo>
                                  <a:pt x="816864" y="0"/>
                                </a:moveTo>
                                <a:lnTo>
                                  <a:pt x="810768" y="0"/>
                                </a:lnTo>
                                <a:lnTo>
                                  <a:pt x="810768" y="6096"/>
                                </a:lnTo>
                                <a:lnTo>
                                  <a:pt x="810768" y="170688"/>
                                </a:lnTo>
                                <a:lnTo>
                                  <a:pt x="6096" y="170688"/>
                                </a:lnTo>
                                <a:lnTo>
                                  <a:pt x="6096" y="6096"/>
                                </a:lnTo>
                                <a:lnTo>
                                  <a:pt x="810768" y="6096"/>
                                </a:lnTo>
                                <a:lnTo>
                                  <a:pt x="810768" y="0"/>
                                </a:lnTo>
                                <a:lnTo>
                                  <a:pt x="0" y="0"/>
                                </a:lnTo>
                                <a:lnTo>
                                  <a:pt x="0" y="4572"/>
                                </a:lnTo>
                                <a:lnTo>
                                  <a:pt x="0" y="6096"/>
                                </a:lnTo>
                                <a:lnTo>
                                  <a:pt x="0" y="176784"/>
                                </a:lnTo>
                                <a:lnTo>
                                  <a:pt x="6096" y="176784"/>
                                </a:lnTo>
                                <a:lnTo>
                                  <a:pt x="810768" y="176784"/>
                                </a:lnTo>
                                <a:lnTo>
                                  <a:pt x="812292" y="176784"/>
                                </a:lnTo>
                                <a:lnTo>
                                  <a:pt x="816864" y="176784"/>
                                </a:lnTo>
                                <a:lnTo>
                                  <a:pt x="816864" y="6096"/>
                                </a:lnTo>
                                <a:lnTo>
                                  <a:pt x="816864" y="4572"/>
                                </a:lnTo>
                                <a:lnTo>
                                  <a:pt x="81686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71.160004pt;margin-top:-.42pt;width:64.3500pt;height:41.05pt;mso-position-horizontal-relative:page;mso-position-vertical-relative:paragraph;z-index:15821312" id="docshapegroup583" coordorigin="1423,-8" coordsize="1287,821">
                <v:rect style="position:absolute;left:1430;top:1;width:1272;height:264" id="docshape584" filled="true" fillcolor="#daf2d0" stroked="false">
                  <v:fill type="solid"/>
                </v:rect>
                <v:shape style="position:absolute;left:1423;top:-9;width:1287;height:274" id="docshape585" coordorigin="1423,-8" coordsize="1287,274" path="m2710,-8l1433,-8,1423,-8,1423,1,1423,265,1433,265,1433,1,2700,1,2700,265,2710,265,2710,1,2710,-8xe" filled="true" fillcolor="#000000" stroked="false">
                  <v:path arrowok="t"/>
                  <v:fill type="solid"/>
                </v:shape>
                <v:rect style="position:absolute;left:1430;top:270;width:1272;height:264" id="docshape586" filled="true" fillcolor="#a6c9ec" stroked="false">
                  <v:fill type="solid"/>
                </v:rect>
                <v:shape style="position:absolute;left:1423;top:262;width:1287;height:271" id="docshape587" coordorigin="1423,263" coordsize="1287,271" path="m2710,263l1423,263,1423,270,1423,272,1423,534,1433,534,1433,272,2700,272,2700,534,2710,534,2710,272,2710,270,2710,263xe" filled="true" fillcolor="#000000" stroked="false">
                  <v:path arrowok="t"/>
                  <v:fill type="solid"/>
                </v:shape>
                <v:rect style="position:absolute;left:1430;top:541;width:1272;height:264" id="docshape588" filled="true" fillcolor="#f7c7ac" stroked="false">
                  <v:fill type="solid"/>
                </v:rect>
                <v:shape style="position:absolute;left:1423;top:534;width:1287;height:279" id="docshape589" coordorigin="1423,534" coordsize="1287,279" path="m2710,534l2700,534,2700,544,2700,803,1433,803,1433,544,2700,544,2700,534,1423,534,1423,541,1423,544,1423,812,1433,812,2700,812,2702,812,2710,812,2710,544,2710,541,2710,534xe" filled="true" fillcolor="#000000" stroked="false">
                  <v:path arrowok="t"/>
                  <v:fill type="solid"/>
                </v:shape>
                <w10:wrap type="none"/>
              </v:group>
            </w:pict>
          </mc:Fallback>
        </mc:AlternateContent>
      </w:r>
      <w:r>
        <w:rPr>
          <w:rFonts w:ascii="Calibri"/>
          <w:spacing w:val="-2"/>
          <w:sz w:val="20"/>
        </w:rPr>
        <w:t>RECEPCIONADOS</w:t>
      </w:r>
      <w:r>
        <w:rPr>
          <w:rFonts w:ascii="Calibri"/>
          <w:spacing w:val="-4"/>
          <w:sz w:val="20"/>
        </w:rPr>
        <w:t> </w:t>
      </w:r>
      <w:r>
        <w:rPr>
          <w:rFonts w:ascii="Calibri"/>
          <w:spacing w:val="-2"/>
          <w:sz w:val="20"/>
        </w:rPr>
        <w:t>EN</w:t>
      </w:r>
      <w:r>
        <w:rPr>
          <w:rFonts w:ascii="Calibri"/>
          <w:sz w:val="20"/>
        </w:rPr>
        <w:t> </w:t>
      </w:r>
      <w:r>
        <w:rPr>
          <w:rFonts w:ascii="Calibri"/>
          <w:spacing w:val="-4"/>
          <w:sz w:val="20"/>
        </w:rPr>
        <w:t>2023</w:t>
      </w:r>
    </w:p>
    <w:p>
      <w:pPr>
        <w:spacing w:line="266" w:lineRule="auto" w:before="25"/>
        <w:ind w:left="2628" w:right="6145" w:firstLine="0"/>
        <w:jc w:val="left"/>
        <w:rPr>
          <w:rFonts w:ascii="Calibri"/>
          <w:sz w:val="20"/>
        </w:rPr>
      </w:pPr>
      <w:r>
        <w:rPr>
          <w:rFonts w:ascii="Calibri"/>
          <w:sz w:val="20"/>
        </w:rPr>
        <w:t>RECEPCIONADOS EN 2025</w:t>
      </w:r>
      <w:r>
        <w:rPr>
          <w:rFonts w:ascii="Calibri"/>
          <w:spacing w:val="40"/>
          <w:sz w:val="20"/>
        </w:rPr>
        <w:t> </w:t>
      </w:r>
      <w:r>
        <w:rPr>
          <w:rFonts w:ascii="Calibri"/>
          <w:sz w:val="20"/>
        </w:rPr>
        <w:t>PEDIDOS</w:t>
      </w:r>
      <w:r>
        <w:rPr>
          <w:rFonts w:ascii="Calibri"/>
          <w:spacing w:val="-12"/>
          <w:sz w:val="20"/>
        </w:rPr>
        <w:t> </w:t>
      </w:r>
      <w:r>
        <w:rPr>
          <w:rFonts w:ascii="Calibri"/>
          <w:sz w:val="20"/>
        </w:rPr>
        <w:t>PENDIENTES</w:t>
      </w:r>
      <w:r>
        <w:rPr>
          <w:rFonts w:ascii="Calibri"/>
          <w:spacing w:val="-11"/>
          <w:sz w:val="20"/>
        </w:rPr>
        <w:t> </w:t>
      </w:r>
      <w:r>
        <w:rPr>
          <w:rFonts w:ascii="Calibri"/>
          <w:sz w:val="20"/>
        </w:rPr>
        <w:t>DE</w:t>
      </w:r>
      <w:r>
        <w:rPr>
          <w:rFonts w:ascii="Calibri"/>
          <w:spacing w:val="-11"/>
          <w:sz w:val="20"/>
        </w:rPr>
        <w:t> </w:t>
      </w:r>
      <w:r>
        <w:rPr>
          <w:rFonts w:ascii="Calibri"/>
          <w:sz w:val="20"/>
        </w:rPr>
        <w:t>ENTREGA</w:t>
      </w:r>
    </w:p>
    <w:p>
      <w:pPr>
        <w:pStyle w:val="BodyText"/>
        <w:spacing w:before="140"/>
        <w:rPr>
          <w:rFonts w:ascii="Calibri"/>
          <w:sz w:val="20"/>
        </w:rPr>
      </w:pPr>
    </w:p>
    <w:p>
      <w:pPr>
        <w:spacing w:line="259" w:lineRule="auto" w:before="0"/>
        <w:ind w:left="2251" w:right="1776" w:firstLine="0"/>
        <w:jc w:val="left"/>
        <w:rPr>
          <w:rFonts w:ascii="Calibri" w:hAnsi="Calibri"/>
          <w:sz w:val="20"/>
        </w:rPr>
      </w:pPr>
      <w:r>
        <w:rPr>
          <w:rFonts w:ascii="Calibri" w:hAnsi="Calibri"/>
          <w:sz w:val="20"/>
        </w:rPr>
        <w:t>En</w:t>
      </w:r>
      <w:r>
        <w:rPr>
          <w:rFonts w:ascii="Calibri" w:hAnsi="Calibri"/>
          <w:spacing w:val="40"/>
          <w:sz w:val="20"/>
        </w:rPr>
        <w:t> </w:t>
      </w:r>
      <w:r>
        <w:rPr>
          <w:rFonts w:ascii="Calibri" w:hAnsi="Calibri"/>
          <w:sz w:val="20"/>
        </w:rPr>
        <w:t>consecuencia,</w:t>
      </w:r>
      <w:r>
        <w:rPr>
          <w:rFonts w:ascii="Calibri" w:hAnsi="Calibri"/>
          <w:spacing w:val="39"/>
          <w:sz w:val="20"/>
        </w:rPr>
        <w:t> </w:t>
      </w:r>
      <w:r>
        <w:rPr>
          <w:rFonts w:ascii="Calibri" w:hAnsi="Calibri"/>
          <w:sz w:val="20"/>
        </w:rPr>
        <w:t>el</w:t>
      </w:r>
      <w:r>
        <w:rPr>
          <w:rFonts w:ascii="Calibri" w:hAnsi="Calibri"/>
          <w:spacing w:val="40"/>
          <w:sz w:val="20"/>
        </w:rPr>
        <w:t> </w:t>
      </w:r>
      <w:r>
        <w:rPr>
          <w:rFonts w:ascii="Calibri" w:hAnsi="Calibri"/>
          <w:sz w:val="20"/>
        </w:rPr>
        <w:t>total</w:t>
      </w:r>
      <w:r>
        <w:rPr>
          <w:rFonts w:ascii="Calibri" w:hAnsi="Calibri"/>
          <w:spacing w:val="40"/>
          <w:sz w:val="20"/>
        </w:rPr>
        <w:t> </w:t>
      </w:r>
      <w:r>
        <w:rPr>
          <w:rFonts w:ascii="Calibri" w:hAnsi="Calibri"/>
          <w:sz w:val="20"/>
        </w:rPr>
        <w:t>de</w:t>
      </w:r>
      <w:r>
        <w:rPr>
          <w:rFonts w:ascii="Calibri" w:hAnsi="Calibri"/>
          <w:spacing w:val="40"/>
          <w:sz w:val="20"/>
        </w:rPr>
        <w:t> </w:t>
      </w:r>
      <w:r>
        <w:rPr>
          <w:rFonts w:ascii="Calibri" w:hAnsi="Calibri"/>
          <w:sz w:val="20"/>
        </w:rPr>
        <w:t>autobuses</w:t>
      </w:r>
      <w:r>
        <w:rPr>
          <w:rFonts w:ascii="Calibri" w:hAnsi="Calibri"/>
          <w:spacing w:val="40"/>
          <w:sz w:val="20"/>
        </w:rPr>
        <w:t> </w:t>
      </w:r>
      <w:r>
        <w:rPr>
          <w:rFonts w:ascii="Calibri" w:hAnsi="Calibri"/>
          <w:sz w:val="20"/>
        </w:rPr>
        <w:t>eléctricos</w:t>
      </w:r>
      <w:r>
        <w:rPr>
          <w:rFonts w:ascii="Calibri" w:hAnsi="Calibri"/>
          <w:spacing w:val="40"/>
          <w:sz w:val="20"/>
        </w:rPr>
        <w:t> </w:t>
      </w:r>
      <w:r>
        <w:rPr>
          <w:rFonts w:ascii="Calibri" w:hAnsi="Calibri"/>
          <w:sz w:val="20"/>
        </w:rPr>
        <w:t>adquiridos</w:t>
      </w:r>
      <w:r>
        <w:rPr>
          <w:rFonts w:ascii="Calibri" w:hAnsi="Calibri"/>
          <w:spacing w:val="40"/>
          <w:sz w:val="20"/>
        </w:rPr>
        <w:t> </w:t>
      </w:r>
      <w:r>
        <w:rPr>
          <w:rFonts w:ascii="Calibri" w:hAnsi="Calibri"/>
          <w:sz w:val="20"/>
        </w:rPr>
        <w:t>por</w:t>
      </w:r>
      <w:r>
        <w:rPr>
          <w:rFonts w:ascii="Calibri" w:hAnsi="Calibri"/>
          <w:spacing w:val="40"/>
          <w:sz w:val="20"/>
        </w:rPr>
        <w:t> </w:t>
      </w:r>
      <w:r>
        <w:rPr>
          <w:rFonts w:ascii="Calibri" w:hAnsi="Calibri"/>
          <w:sz w:val="20"/>
        </w:rPr>
        <w:t>el</w:t>
      </w:r>
      <w:r>
        <w:rPr>
          <w:rFonts w:ascii="Calibri" w:hAnsi="Calibri"/>
          <w:spacing w:val="40"/>
          <w:sz w:val="20"/>
        </w:rPr>
        <w:t> </w:t>
      </w:r>
      <w:r>
        <w:rPr>
          <w:rFonts w:ascii="Calibri" w:hAnsi="Calibri"/>
          <w:sz w:val="20"/>
        </w:rPr>
        <w:t>Ayuntamiento</w:t>
      </w:r>
      <w:r>
        <w:rPr>
          <w:rFonts w:ascii="Calibri" w:hAnsi="Calibri"/>
          <w:spacing w:val="40"/>
          <w:sz w:val="20"/>
        </w:rPr>
        <w:t> </w:t>
      </w:r>
      <w:r>
        <w:rPr>
          <w:rFonts w:ascii="Calibri" w:hAnsi="Calibri"/>
          <w:sz w:val="20"/>
        </w:rPr>
        <w:t>de Málaga es de 49 unidades, y no de 43 como se refleja</w:t>
      </w:r>
      <w:r>
        <w:rPr>
          <w:rFonts w:ascii="Calibri" w:hAnsi="Calibri"/>
          <w:spacing w:val="-1"/>
          <w:sz w:val="20"/>
        </w:rPr>
        <w:t> </w:t>
      </w:r>
      <w:r>
        <w:rPr>
          <w:rFonts w:ascii="Calibri" w:hAnsi="Calibri"/>
          <w:sz w:val="20"/>
        </w:rPr>
        <w:t>en el anteproyecto provisional.</w:t>
      </w:r>
    </w:p>
    <w:p>
      <w:pPr>
        <w:spacing w:before="140"/>
        <w:ind w:left="2251" w:right="0" w:firstLine="0"/>
        <w:jc w:val="left"/>
        <w:rPr>
          <w:rFonts w:ascii="Calibri"/>
          <w:sz w:val="20"/>
        </w:rPr>
      </w:pPr>
      <w:r>
        <w:rPr>
          <w:rFonts w:ascii="Calibri"/>
          <w:sz w:val="20"/>
        </w:rPr>
        <w:t>De</w:t>
      </w:r>
      <w:r>
        <w:rPr>
          <w:rFonts w:ascii="Calibri"/>
          <w:spacing w:val="-6"/>
          <w:sz w:val="20"/>
        </w:rPr>
        <w:t> </w:t>
      </w:r>
      <w:r>
        <w:rPr>
          <w:rFonts w:ascii="Calibri"/>
          <w:sz w:val="20"/>
        </w:rPr>
        <w:t>dichas</w:t>
      </w:r>
      <w:r>
        <w:rPr>
          <w:rFonts w:ascii="Calibri"/>
          <w:spacing w:val="-10"/>
          <w:sz w:val="20"/>
        </w:rPr>
        <w:t> </w:t>
      </w:r>
      <w:r>
        <w:rPr>
          <w:rFonts w:ascii="Calibri"/>
          <w:spacing w:val="-2"/>
          <w:sz w:val="20"/>
        </w:rPr>
        <w:t>unidades:</w:t>
      </w:r>
    </w:p>
    <w:p>
      <w:pPr>
        <w:pStyle w:val="ListParagraph"/>
        <w:numPr>
          <w:ilvl w:val="0"/>
          <w:numId w:val="14"/>
        </w:numPr>
        <w:tabs>
          <w:tab w:pos="2506" w:val="left" w:leader="none"/>
        </w:tabs>
        <w:spacing w:line="254" w:lineRule="auto" w:before="165" w:after="0"/>
        <w:ind w:left="2506" w:right="2027" w:hanging="324"/>
        <w:jc w:val="both"/>
        <w:rPr>
          <w:rFonts w:ascii="Calibri" w:hAnsi="Calibri"/>
          <w:sz w:val="20"/>
        </w:rPr>
      </w:pPr>
      <w:r>
        <w:rPr>
          <w:rFonts w:ascii="Calibri" w:hAnsi="Calibri"/>
          <w:sz w:val="20"/>
        </w:rPr>
        <w:t>Un número significativo fue recepcionado en el ejercicio 2023, en ejecución de los contratos</w:t>
      </w:r>
      <w:r>
        <w:rPr>
          <w:rFonts w:ascii="Calibri" w:hAnsi="Calibri"/>
          <w:spacing w:val="-3"/>
          <w:sz w:val="20"/>
        </w:rPr>
        <w:t> </w:t>
      </w:r>
      <w:r>
        <w:rPr>
          <w:rFonts w:ascii="Calibri" w:hAnsi="Calibri"/>
          <w:sz w:val="20"/>
        </w:rPr>
        <w:t>vigentes.</w:t>
      </w:r>
    </w:p>
    <w:p>
      <w:pPr>
        <w:pStyle w:val="ListParagraph"/>
        <w:numPr>
          <w:ilvl w:val="0"/>
          <w:numId w:val="14"/>
        </w:numPr>
        <w:tabs>
          <w:tab w:pos="2506" w:val="left" w:leader="none"/>
        </w:tabs>
        <w:spacing w:line="256" w:lineRule="auto" w:before="2" w:after="0"/>
        <w:ind w:left="2506" w:right="2022" w:hanging="324"/>
        <w:jc w:val="both"/>
        <w:rPr>
          <w:rFonts w:ascii="Calibri" w:hAnsi="Calibri"/>
          <w:sz w:val="20"/>
        </w:rPr>
      </w:pPr>
      <w:r>
        <w:rPr>
          <w:rFonts w:ascii="Calibri" w:hAnsi="Calibri"/>
          <w:sz w:val="20"/>
        </w:rPr>
        <w:t>El resto corresponde a pedidos cuya entrega está prevista para el ejercicio 2025, conforme a los plazos de ejecución establecidos en los respectivos contratos de </w:t>
      </w:r>
      <w:r>
        <w:rPr>
          <w:rFonts w:ascii="Calibri" w:hAnsi="Calibri"/>
          <w:spacing w:val="-2"/>
          <w:sz w:val="20"/>
        </w:rPr>
        <w:t>suministro.</w:t>
      </w:r>
    </w:p>
    <w:p>
      <w:pPr>
        <w:pStyle w:val="BodyText"/>
        <w:spacing w:before="238"/>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739" name="Group 739"/>
                <wp:cNvGraphicFramePr>
                  <a:graphicFrameLocks/>
                </wp:cNvGraphicFramePr>
                <a:graphic>
                  <a:graphicData uri="http://schemas.microsoft.com/office/word/2010/wordprocessingGroup">
                    <wpg:wgp>
                      <wpg:cNvPr id="739" name="Group 739"/>
                      <wpg:cNvGrpSpPr/>
                      <wpg:grpSpPr>
                        <a:xfrm>
                          <a:off x="0" y="0"/>
                          <a:ext cx="1870075" cy="6350"/>
                          <a:chExt cx="1870075" cy="6350"/>
                        </a:xfrm>
                      </wpg:grpSpPr>
                      <wps:wsp>
                        <wps:cNvPr id="740" name="Graphic 740"/>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590" coordorigin="0,0" coordsize="2945,10">
                <v:rect style="position:absolute;left:0;top:0;width:2945;height:10" id="docshape591"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741" name="Group 741"/>
                <wp:cNvGraphicFramePr>
                  <a:graphicFrameLocks/>
                </wp:cNvGraphicFramePr>
                <a:graphic>
                  <a:graphicData uri="http://schemas.microsoft.com/office/word/2010/wordprocessingGroup">
                    <wpg:wgp>
                      <wpg:cNvPr id="741" name="Group 741"/>
                      <wpg:cNvGrpSpPr/>
                      <wpg:grpSpPr>
                        <a:xfrm>
                          <a:off x="0" y="0"/>
                          <a:ext cx="841375" cy="6350"/>
                          <a:chExt cx="841375" cy="6350"/>
                        </a:xfrm>
                      </wpg:grpSpPr>
                      <wps:wsp>
                        <wps:cNvPr id="742" name="Graphic 742"/>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592" coordorigin="0,0" coordsize="1325,10">
                <v:rect style="position:absolute;left:0;top:0;width:1325;height:10" id="docshape593"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198"/>
          <w:headerReference w:type="default" r:id="rId199"/>
          <w:footerReference w:type="even" r:id="rId200"/>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58784">
                <wp:simplePos x="0" y="0"/>
                <wp:positionH relativeFrom="page">
                  <wp:posOffset>4332186</wp:posOffset>
                </wp:positionH>
                <wp:positionV relativeFrom="paragraph">
                  <wp:posOffset>1412477</wp:posOffset>
                </wp:positionV>
                <wp:extent cx="53340" cy="100330"/>
                <wp:effectExtent l="0" t="0" r="0" b="0"/>
                <wp:wrapNone/>
                <wp:docPr id="743" name="Textbox 743"/>
                <wp:cNvGraphicFramePr>
                  <a:graphicFrameLocks/>
                </wp:cNvGraphicFramePr>
                <a:graphic>
                  <a:graphicData uri="http://schemas.microsoft.com/office/word/2010/wordprocessingShape">
                    <wps:wsp>
                      <wps:cNvPr id="743" name="Textbox 743"/>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57696" type="#_x0000_t202" id="docshape594"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gridCol w:w="1165"/>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spacing w:before="9"/>
              <w:rPr>
                <w:rFonts w:ascii="Arial"/>
                <w:sz w:val="6"/>
              </w:rPr>
            </w:pPr>
          </w:p>
          <w:p>
            <w:pPr>
              <w:pStyle w:val="TableParagraph"/>
              <w:spacing w:line="125" w:lineRule="exact"/>
              <w:ind w:left="1467"/>
              <w:rPr>
                <w:rFonts w:ascii="Arial"/>
                <w:position w:val="-2"/>
                <w:sz w:val="12"/>
              </w:rPr>
            </w:pPr>
            <w:r>
              <w:rPr>
                <w:rFonts w:ascii="Arial"/>
                <w:position w:val="-2"/>
                <w:sz w:val="12"/>
              </w:rPr>
              <mc:AlternateContent>
                <mc:Choice Requires="wps">
                  <w:drawing>
                    <wp:inline distT="0" distB="0" distL="0" distR="0">
                      <wp:extent cx="1329690" cy="80010"/>
                      <wp:effectExtent l="0" t="0" r="0" b="0"/>
                      <wp:docPr id="744" name="Group 744"/>
                      <wp:cNvGraphicFramePr>
                        <a:graphicFrameLocks/>
                      </wp:cNvGraphicFramePr>
                      <a:graphic>
                        <a:graphicData uri="http://schemas.microsoft.com/office/word/2010/wordprocessingGroup">
                          <wpg:wgp>
                            <wpg:cNvPr id="744" name="Group 744"/>
                            <wpg:cNvGrpSpPr/>
                            <wpg:grpSpPr>
                              <a:xfrm>
                                <a:off x="0" y="0"/>
                                <a:ext cx="1329690" cy="80010"/>
                                <a:chExt cx="1329690" cy="80010"/>
                              </a:xfrm>
                            </wpg:grpSpPr>
                            <wps:wsp>
                              <wps:cNvPr id="745" name="Graphic 745"/>
                              <wps:cNvSpPr/>
                              <wps:spPr>
                                <a:xfrm>
                                  <a:off x="0" y="0"/>
                                  <a:ext cx="1329690" cy="80010"/>
                                </a:xfrm>
                                <a:custGeom>
                                  <a:avLst/>
                                  <a:gdLst/>
                                  <a:ahLst/>
                                  <a:cxnLst/>
                                  <a:rect l="l" t="t" r="r" b="b"/>
                                  <a:pathLst>
                                    <a:path w="1329690" h="80010">
                                      <a:moveTo>
                                        <a:pt x="1329118" y="0"/>
                                      </a:moveTo>
                                      <a:lnTo>
                                        <a:pt x="0" y="0"/>
                                      </a:lnTo>
                                      <a:lnTo>
                                        <a:pt x="0" y="79946"/>
                                      </a:lnTo>
                                      <a:lnTo>
                                        <a:pt x="1329118" y="79946"/>
                                      </a:lnTo>
                                      <a:lnTo>
                                        <a:pt x="1329118"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104.7pt;height:6.3pt;mso-position-horizontal-relative:char;mso-position-vertical-relative:line" id="docshapegroup595" coordorigin="0,0" coordsize="2094,126">
                      <v:rect style="position:absolute;left:0;top:0;width:2094;height:126" id="docshape596" filled="true" fillcolor="#000000" stroked="false">
                        <v:fill type="solid"/>
                      </v:rect>
                    </v:group>
                  </w:pict>
                </mc:Fallback>
              </mc:AlternateContent>
            </w:r>
            <w:r>
              <w:rPr>
                <w:rFonts w:ascii="Arial"/>
                <w:position w:val="-2"/>
                <w:sz w:val="12"/>
              </w:rPr>
            </w: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746" name="Image 746"/>
                  <wp:cNvGraphicFramePr>
                    <a:graphicFrameLocks/>
                  </wp:cNvGraphicFramePr>
                  <a:graphic>
                    <a:graphicData uri="http://schemas.openxmlformats.org/drawingml/2006/picture">
                      <pic:pic>
                        <pic:nvPicPr>
                          <pic:cNvPr id="746" name="Image 746"/>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747" name="Image 747"/>
                  <wp:cNvGraphicFramePr>
                    <a:graphicFrameLocks/>
                  </wp:cNvGraphicFramePr>
                  <a:graphic>
                    <a:graphicData uri="http://schemas.openxmlformats.org/drawingml/2006/picture">
                      <pic:pic>
                        <pic:nvPicPr>
                          <pic:cNvPr id="747" name="Image 747"/>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65" w:type="dxa"/>
            <w:vMerge w:val="restart"/>
            <w:tcBorders>
              <w:top w:val="nil"/>
              <w:bottom w:val="single" w:sz="6" w:space="0" w:color="000000"/>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359808">
                      <wp:simplePos x="0" y="0"/>
                      <wp:positionH relativeFrom="column">
                        <wp:posOffset>-1298447</wp:posOffset>
                      </wp:positionH>
                      <wp:positionV relativeFrom="paragraph">
                        <wp:posOffset>-144895</wp:posOffset>
                      </wp:positionV>
                      <wp:extent cx="1298575" cy="417830"/>
                      <wp:effectExtent l="0" t="0" r="0" b="0"/>
                      <wp:wrapNone/>
                      <wp:docPr id="748" name="Group 748"/>
                      <wp:cNvGraphicFramePr>
                        <a:graphicFrameLocks/>
                      </wp:cNvGraphicFramePr>
                      <a:graphic>
                        <a:graphicData uri="http://schemas.microsoft.com/office/word/2010/wordprocessingGroup">
                          <wpg:wgp>
                            <wpg:cNvPr id="748" name="Group 748"/>
                            <wpg:cNvGrpSpPr/>
                            <wpg:grpSpPr>
                              <a:xfrm>
                                <a:off x="0" y="0"/>
                                <a:ext cx="1298575" cy="417830"/>
                                <a:chExt cx="1298575" cy="417830"/>
                              </a:xfrm>
                            </wpg:grpSpPr>
                            <wps:wsp>
                              <wps:cNvPr id="749" name="Graphic 749"/>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750" name="Image 750"/>
                                <pic:cNvPicPr/>
                              </pic:nvPicPr>
                              <pic:blipFill>
                                <a:blip r:embed="rId17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56672" id="docshapegroup597" coordorigin="-2045,-228" coordsize="2045,658">
                      <v:shape style="position:absolute;left:-2045;top:-229;width:2045;height:658" id="docshape598" coordorigin="-2045,-228" coordsize="2045,658" path="m0,-228l-2045,-228,-2045,-10,-2045,-7,-2045,429,0,429,0,-7,0,-10,0,-228xe" filled="true" fillcolor="#cccccc" stroked="false">
                        <v:path arrowok="t"/>
                        <v:fill type="solid"/>
                      </v:shape>
                      <v:shape style="position:absolute;left:-1973;top:-154;width:1896;height:327" type="#_x0000_t75" id="docshape599" stroked="false">
                        <v:imagedata r:id="rId17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65" w:type="dxa"/>
            <w:vMerge/>
            <w:tcBorders>
              <w:top w:val="nil"/>
              <w:bottom w:val="single" w:sz="6" w:space="0" w:color="000000"/>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751" name="Image 751"/>
                  <wp:cNvGraphicFramePr>
                    <a:graphicFrameLocks/>
                  </wp:cNvGraphicFramePr>
                  <a:graphic>
                    <a:graphicData uri="http://schemas.openxmlformats.org/drawingml/2006/picture">
                      <pic:pic>
                        <pic:nvPicPr>
                          <pic:cNvPr id="751" name="Image 751"/>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073" cy="84010"/>
                  <wp:effectExtent l="0" t="0" r="0" b="0"/>
                  <wp:docPr id="752" name="Image 752"/>
                  <wp:cNvGraphicFramePr>
                    <a:graphicFrameLocks/>
                  </wp:cNvGraphicFramePr>
                  <a:graphic>
                    <a:graphicData uri="http://schemas.openxmlformats.org/drawingml/2006/picture">
                      <pic:pic>
                        <pic:nvPicPr>
                          <pic:cNvPr id="752" name="Image 752"/>
                          <pic:cNvPicPr/>
                        </pic:nvPicPr>
                        <pic:blipFill>
                          <a:blip r:embed="rId185" cstate="print"/>
                          <a:stretch>
                            <a:fillRect/>
                          </a:stretch>
                        </pic:blipFill>
                        <pic:spPr>
                          <a:xfrm>
                            <a:off x="0" y="0"/>
                            <a:ext cx="263073"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right="1"/>
              <w:jc w:val="center"/>
              <w:rPr>
                <w:rFonts w:ascii="Arial"/>
                <w:sz w:val="14"/>
              </w:rPr>
            </w:pPr>
            <w:r>
              <w:rPr>
                <w:rFonts w:ascii="Arial"/>
                <w:sz w:val="14"/>
              </w:rPr>
              <mc:AlternateContent>
                <mc:Choice Requires="wps">
                  <w:drawing>
                    <wp:anchor distT="0" distB="0" distL="0" distR="0" allowOverlap="1" layoutInCell="1" locked="0" behindDoc="1" simplePos="0" relativeHeight="474360320">
                      <wp:simplePos x="0" y="0"/>
                      <wp:positionH relativeFrom="column">
                        <wp:posOffset>1320546</wp:posOffset>
                      </wp:positionH>
                      <wp:positionV relativeFrom="paragraph">
                        <wp:posOffset>-311735</wp:posOffset>
                      </wp:positionV>
                      <wp:extent cx="735330" cy="749300"/>
                      <wp:effectExtent l="0" t="0" r="0" b="0"/>
                      <wp:wrapNone/>
                      <wp:docPr id="753" name="Group 753"/>
                      <wp:cNvGraphicFramePr>
                        <a:graphicFrameLocks/>
                      </wp:cNvGraphicFramePr>
                      <a:graphic>
                        <a:graphicData uri="http://schemas.microsoft.com/office/word/2010/wordprocessingGroup">
                          <wpg:wgp>
                            <wpg:cNvPr id="753" name="Group 753"/>
                            <wpg:cNvGrpSpPr/>
                            <wpg:grpSpPr>
                              <a:xfrm>
                                <a:off x="0" y="0"/>
                                <a:ext cx="735330" cy="749300"/>
                                <a:chExt cx="735330" cy="749300"/>
                              </a:xfrm>
                            </wpg:grpSpPr>
                            <wps:wsp>
                              <wps:cNvPr id="754" name="Graphic 754"/>
                              <wps:cNvSpPr/>
                              <wps:spPr>
                                <a:xfrm>
                                  <a:off x="730742" y="3809"/>
                                  <a:ext cx="1270" cy="745490"/>
                                </a:xfrm>
                                <a:custGeom>
                                  <a:avLst/>
                                  <a:gdLst/>
                                  <a:ahLst/>
                                  <a:cxnLst/>
                                  <a:rect l="l" t="t" r="r" b="b"/>
                                  <a:pathLst>
                                    <a:path w="0" h="745490">
                                      <a:moveTo>
                                        <a:pt x="0" y="745235"/>
                                      </a:moveTo>
                                      <a:lnTo>
                                        <a:pt x="0" y="685891"/>
                                      </a:lnTo>
                                    </a:path>
                                    <a:path w="0" h="745490">
                                      <a:moveTo>
                                        <a:pt x="0" y="46360"/>
                                      </a:moveTo>
                                      <a:lnTo>
                                        <a:pt x="0" y="0"/>
                                      </a:lnTo>
                                    </a:path>
                                  </a:pathLst>
                                </a:custGeom>
                                <a:ln w="7619">
                                  <a:solidFill>
                                    <a:srgbClr val="000000"/>
                                  </a:solidFill>
                                  <a:prstDash val="solid"/>
                                </a:ln>
                              </wps:spPr>
                              <wps:bodyPr wrap="square" lIns="0" tIns="0" rIns="0" bIns="0" rtlCol="0">
                                <a:prstTxWarp prst="textNoShape">
                                  <a:avLst/>
                                </a:prstTxWarp>
                                <a:noAutofit/>
                              </wps:bodyPr>
                            </wps:wsp>
                            <pic:pic>
                              <pic:nvPicPr>
                                <pic:cNvPr id="755" name="Image 755"/>
                                <pic:cNvPicPr/>
                              </pic:nvPicPr>
                              <pic:blipFill>
                                <a:blip r:embed="rId202" cstate="print"/>
                                <a:stretch>
                                  <a:fillRect/>
                                </a:stretch>
                              </pic:blipFill>
                              <pic:spPr>
                                <a:xfrm>
                                  <a:off x="0" y="0"/>
                                  <a:ext cx="730742" cy="749045"/>
                                </a:xfrm>
                                <a:prstGeom prst="rect">
                                  <a:avLst/>
                                </a:prstGeom>
                              </pic:spPr>
                            </pic:pic>
                            <wps:wsp>
                              <wps:cNvPr id="756" name="Graphic 756"/>
                              <wps:cNvSpPr/>
                              <wps:spPr>
                                <a:xfrm>
                                  <a:off x="70510" y="50177"/>
                                  <a:ext cx="664845" cy="640080"/>
                                </a:xfrm>
                                <a:custGeom>
                                  <a:avLst/>
                                  <a:gdLst/>
                                  <a:ahLst/>
                                  <a:cxnLst/>
                                  <a:rect l="l" t="t" r="r" b="b"/>
                                  <a:pathLst>
                                    <a:path w="664845" h="640080">
                                      <a:moveTo>
                                        <a:pt x="664565" y="0"/>
                                      </a:moveTo>
                                      <a:lnTo>
                                        <a:pt x="0" y="0"/>
                                      </a:lnTo>
                                      <a:lnTo>
                                        <a:pt x="0" y="639521"/>
                                      </a:lnTo>
                                      <a:lnTo>
                                        <a:pt x="664565" y="639521"/>
                                      </a:lnTo>
                                      <a:lnTo>
                                        <a:pt x="66456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608pt;width:57.9pt;height:59pt;mso-position-horizontal-relative:column;mso-position-vertical-relative:paragraph;z-index:-28956160" id="docshapegroup600" coordorigin="2080,-491" coordsize="1158,1180">
                      <v:shape style="position:absolute;left:3230;top:-485;width:2;height:1174" id="docshape601" coordorigin="3230,-485" coordsize="0,1174" path="m3230,689l3230,595m3230,-412l3230,-485e" filled="false" stroked="true" strokeweight=".6pt" strokecolor="#000000">
                        <v:path arrowok="t"/>
                        <v:stroke dashstyle="solid"/>
                      </v:shape>
                      <v:shape style="position:absolute;left:2079;top:-491;width:1151;height:1180" type="#_x0000_t75" id="docshape602" stroked="false">
                        <v:imagedata r:id="rId202" o:title=""/>
                      </v:shape>
                      <v:rect style="position:absolute;left:2190;top:-412;width:1047;height:1008" id="docshape603" filled="true" fillcolor="#000000" stroked="false">
                        <v:fill type="solid"/>
                      </v:rect>
                      <w10:wrap type="none"/>
                    </v:group>
                  </w:pict>
                </mc:Fallback>
              </mc:AlternateContent>
            </w:r>
            <w:r>
              <w:rPr>
                <w:rFonts w:ascii="Arial"/>
                <w:spacing w:val="-4"/>
                <w:sz w:val="14"/>
              </w:rPr>
              <w:t>4/40</w:t>
            </w:r>
          </w:p>
        </w:tc>
        <w:tc>
          <w:tcPr>
            <w:tcW w:w="1165" w:type="dxa"/>
            <w:vMerge/>
            <w:tcBorders>
              <w:top w:val="nil"/>
              <w:bottom w:val="single" w:sz="6" w:space="0" w:color="000000"/>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757" name="Image 757"/>
                  <wp:cNvGraphicFramePr>
                    <a:graphicFrameLocks/>
                  </wp:cNvGraphicFramePr>
                  <a:graphic>
                    <a:graphicData uri="http://schemas.openxmlformats.org/drawingml/2006/picture">
                      <pic:pic>
                        <pic:nvPicPr>
                          <pic:cNvPr id="757" name="Image 757"/>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r>
              <w:rPr>
                <w:rFonts w:ascii="Courier New"/>
                <w:sz w:val="14"/>
              </w:rPr>
              <mc:AlternateContent>
                <mc:Choice Requires="wps">
                  <w:drawing>
                    <wp:anchor distT="0" distB="0" distL="0" distR="0" allowOverlap="1" layoutInCell="1" locked="0" behindDoc="1" simplePos="0" relativeHeight="474360832">
                      <wp:simplePos x="0" y="0"/>
                      <wp:positionH relativeFrom="column">
                        <wp:posOffset>2900883</wp:posOffset>
                      </wp:positionH>
                      <wp:positionV relativeFrom="paragraph">
                        <wp:posOffset>35999</wp:posOffset>
                      </wp:positionV>
                      <wp:extent cx="1512570" cy="102870"/>
                      <wp:effectExtent l="0" t="0" r="0" b="0"/>
                      <wp:wrapNone/>
                      <wp:docPr id="758" name="Group 758"/>
                      <wp:cNvGraphicFramePr>
                        <a:graphicFrameLocks/>
                      </wp:cNvGraphicFramePr>
                      <a:graphic>
                        <a:graphicData uri="http://schemas.microsoft.com/office/word/2010/wordprocessingGroup">
                          <wpg:wgp>
                            <wpg:cNvPr id="758" name="Group 758"/>
                            <wpg:cNvGrpSpPr/>
                            <wpg:grpSpPr>
                              <a:xfrm>
                                <a:off x="0" y="0"/>
                                <a:ext cx="1512570" cy="102870"/>
                                <a:chExt cx="1512570" cy="102870"/>
                              </a:xfrm>
                            </wpg:grpSpPr>
                            <wps:wsp>
                              <wps:cNvPr id="759" name="Graphic 759"/>
                              <wps:cNvSpPr/>
                              <wps:spPr>
                                <a:xfrm>
                                  <a:off x="0" y="0"/>
                                  <a:ext cx="1512570" cy="102870"/>
                                </a:xfrm>
                                <a:custGeom>
                                  <a:avLst/>
                                  <a:gdLst/>
                                  <a:ahLst/>
                                  <a:cxnLst/>
                                  <a:rect l="l" t="t" r="r" b="b"/>
                                  <a:pathLst>
                                    <a:path w="1512570" h="102870">
                                      <a:moveTo>
                                        <a:pt x="1511998" y="0"/>
                                      </a:moveTo>
                                      <a:lnTo>
                                        <a:pt x="0" y="0"/>
                                      </a:lnTo>
                                      <a:lnTo>
                                        <a:pt x="0" y="102819"/>
                                      </a:lnTo>
                                      <a:lnTo>
                                        <a:pt x="1511998" y="102819"/>
                                      </a:lnTo>
                                      <a:lnTo>
                                        <a:pt x="1511998"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228.416pt;margin-top:2.834637pt;width:119.1pt;height:8.1pt;mso-position-horizontal-relative:column;mso-position-vertical-relative:paragraph;z-index:-28955648" id="docshapegroup604" coordorigin="4568,57" coordsize="2382,162">
                      <v:rect style="position:absolute;left:4568;top:56;width:2382;height:162" id="docshape605" filled="true" fillcolor="#000000" stroked="false">
                        <v:fill type="solid"/>
                      </v:rect>
                      <w10:wrap type="none"/>
                    </v:group>
                  </w:pict>
                </mc:Fallback>
              </mc:AlternateContent>
            </w:r>
            <w:hyperlink r:id="rId187">
              <w:r>
                <w:rPr>
                  <w:rFonts w:ascii="Courier New"/>
                  <w:spacing w:val="-2"/>
                  <w:sz w:val="14"/>
                </w:rPr>
                <w:t>https://valida.malaga.eu/verifirma/code</w:t>
              </w:r>
            </w:hyperlink>
          </w:p>
        </w:tc>
        <w:tc>
          <w:tcPr>
            <w:tcW w:w="1165" w:type="dxa"/>
            <w:vMerge/>
            <w:tcBorders>
              <w:top w:val="nil"/>
              <w:bottom w:val="single" w:sz="6" w:space="0" w:color="000000"/>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760" name="Image 760"/>
                  <wp:cNvGraphicFramePr>
                    <a:graphicFrameLocks/>
                  </wp:cNvGraphicFramePr>
                  <a:graphic>
                    <a:graphicData uri="http://schemas.openxmlformats.org/drawingml/2006/picture">
                      <pic:pic>
                        <pic:nvPicPr>
                          <pic:cNvPr id="760" name="Image 760"/>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65" w:type="dxa"/>
            <w:vMerge/>
            <w:tcBorders>
              <w:top w:val="nil"/>
              <w:bottom w:val="single" w:sz="6" w:space="0" w:color="000000"/>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1925" w:right="2021" w:firstLine="0"/>
        <w:jc w:val="both"/>
        <w:rPr>
          <w:rFonts w:ascii="Calibri" w:hAnsi="Calibri"/>
          <w:sz w:val="20"/>
        </w:rPr>
      </w:pPr>
      <w:r>
        <w:rPr>
          <w:rFonts w:ascii="Calibri" w:hAnsi="Calibri"/>
          <w:sz w:val="20"/>
        </w:rPr>
        <w:t>Por todo lo expuesto, se entiende que el dato recogido en el Cuadro nº 7 de la página 47 no refleja</w:t>
      </w:r>
      <w:r>
        <w:rPr>
          <w:rFonts w:ascii="Calibri" w:hAnsi="Calibri"/>
          <w:spacing w:val="-12"/>
          <w:sz w:val="20"/>
        </w:rPr>
        <w:t> </w:t>
      </w:r>
      <w:r>
        <w:rPr>
          <w:rFonts w:ascii="Calibri" w:hAnsi="Calibri"/>
          <w:sz w:val="20"/>
        </w:rPr>
        <w:t>la</w:t>
      </w:r>
      <w:r>
        <w:rPr>
          <w:rFonts w:ascii="Calibri" w:hAnsi="Calibri"/>
          <w:spacing w:val="-11"/>
          <w:sz w:val="20"/>
        </w:rPr>
        <w:t> </w:t>
      </w:r>
      <w:r>
        <w:rPr>
          <w:rFonts w:ascii="Calibri" w:hAnsi="Calibri"/>
          <w:sz w:val="20"/>
        </w:rPr>
        <w:t>cifra</w:t>
      </w:r>
      <w:r>
        <w:rPr>
          <w:rFonts w:ascii="Calibri" w:hAnsi="Calibri"/>
          <w:spacing w:val="-11"/>
          <w:sz w:val="20"/>
        </w:rPr>
        <w:t> </w:t>
      </w:r>
      <w:r>
        <w:rPr>
          <w:rFonts w:ascii="Calibri" w:hAnsi="Calibri"/>
          <w:sz w:val="20"/>
        </w:rPr>
        <w:t>real</w:t>
      </w:r>
      <w:r>
        <w:rPr>
          <w:rFonts w:ascii="Calibri" w:hAnsi="Calibri"/>
          <w:spacing w:val="-7"/>
          <w:sz w:val="20"/>
        </w:rPr>
        <w:t> </w:t>
      </w:r>
      <w:r>
        <w:rPr>
          <w:rFonts w:ascii="Calibri" w:hAnsi="Calibri"/>
          <w:sz w:val="20"/>
        </w:rPr>
        <w:t>de</w:t>
      </w:r>
      <w:r>
        <w:rPr>
          <w:rFonts w:ascii="Calibri" w:hAnsi="Calibri"/>
          <w:spacing w:val="-11"/>
          <w:sz w:val="20"/>
        </w:rPr>
        <w:t> </w:t>
      </w:r>
      <w:r>
        <w:rPr>
          <w:rFonts w:ascii="Calibri" w:hAnsi="Calibri"/>
          <w:sz w:val="20"/>
        </w:rPr>
        <w:t>adquisiciones</w:t>
      </w:r>
      <w:r>
        <w:rPr>
          <w:rFonts w:ascii="Calibri" w:hAnsi="Calibri"/>
          <w:spacing w:val="-10"/>
          <w:sz w:val="20"/>
        </w:rPr>
        <w:t> </w:t>
      </w:r>
      <w:r>
        <w:rPr>
          <w:rFonts w:ascii="Calibri" w:hAnsi="Calibri"/>
          <w:sz w:val="20"/>
        </w:rPr>
        <w:t>efectuadas</w:t>
      </w:r>
      <w:r>
        <w:rPr>
          <w:rFonts w:ascii="Calibri" w:hAnsi="Calibri"/>
          <w:spacing w:val="-11"/>
          <w:sz w:val="20"/>
        </w:rPr>
        <w:t> </w:t>
      </w:r>
      <w:r>
        <w:rPr>
          <w:rFonts w:ascii="Calibri" w:hAnsi="Calibri"/>
          <w:sz w:val="20"/>
        </w:rPr>
        <w:t>por</w:t>
      </w:r>
      <w:r>
        <w:rPr>
          <w:rFonts w:ascii="Calibri" w:hAnsi="Calibri"/>
          <w:spacing w:val="-12"/>
          <w:sz w:val="20"/>
        </w:rPr>
        <w:t> </w:t>
      </w:r>
      <w:r>
        <w:rPr>
          <w:rFonts w:ascii="Calibri" w:hAnsi="Calibri"/>
          <w:sz w:val="20"/>
        </w:rPr>
        <w:t>el</w:t>
      </w:r>
      <w:r>
        <w:rPr>
          <w:rFonts w:ascii="Calibri" w:hAnsi="Calibri"/>
          <w:spacing w:val="-11"/>
          <w:sz w:val="20"/>
        </w:rPr>
        <w:t> </w:t>
      </w:r>
      <w:r>
        <w:rPr>
          <w:rFonts w:ascii="Calibri" w:hAnsi="Calibri"/>
          <w:sz w:val="20"/>
        </w:rPr>
        <w:t>Ayuntamiento</w:t>
      </w:r>
      <w:r>
        <w:rPr>
          <w:rFonts w:ascii="Calibri" w:hAnsi="Calibri"/>
          <w:spacing w:val="-9"/>
          <w:sz w:val="20"/>
        </w:rPr>
        <w:t> </w:t>
      </w:r>
      <w:r>
        <w:rPr>
          <w:rFonts w:ascii="Calibri" w:hAnsi="Calibri"/>
          <w:sz w:val="20"/>
        </w:rPr>
        <w:t>de</w:t>
      </w:r>
      <w:r>
        <w:rPr>
          <w:rFonts w:ascii="Calibri" w:hAnsi="Calibri"/>
          <w:spacing w:val="-12"/>
          <w:sz w:val="20"/>
        </w:rPr>
        <w:t> </w:t>
      </w:r>
      <w:r>
        <w:rPr>
          <w:rFonts w:ascii="Calibri" w:hAnsi="Calibri"/>
          <w:sz w:val="20"/>
        </w:rPr>
        <w:t>Málaga,</w:t>
      </w:r>
      <w:r>
        <w:rPr>
          <w:rFonts w:ascii="Calibri" w:hAnsi="Calibri"/>
          <w:spacing w:val="-9"/>
          <w:sz w:val="20"/>
        </w:rPr>
        <w:t> </w:t>
      </w:r>
      <w:r>
        <w:rPr>
          <w:rFonts w:ascii="Calibri" w:hAnsi="Calibri"/>
          <w:sz w:val="20"/>
        </w:rPr>
        <w:t>tratándose,</w:t>
      </w:r>
      <w:r>
        <w:rPr>
          <w:rFonts w:ascii="Calibri" w:hAnsi="Calibri"/>
          <w:spacing w:val="-9"/>
          <w:sz w:val="20"/>
        </w:rPr>
        <w:t> </w:t>
      </w:r>
      <w:r>
        <w:rPr>
          <w:rFonts w:ascii="Calibri" w:hAnsi="Calibri"/>
          <w:sz w:val="20"/>
        </w:rPr>
        <w:t>por tanto, de un error material.</w:t>
      </w:r>
    </w:p>
    <w:p>
      <w:pPr>
        <w:spacing w:line="259" w:lineRule="auto" w:before="138"/>
        <w:ind w:left="1925" w:right="2026" w:firstLine="0"/>
        <w:jc w:val="both"/>
        <w:rPr>
          <w:rFonts w:ascii="Calibri" w:hAnsi="Calibri"/>
          <w:sz w:val="20"/>
        </w:rPr>
      </w:pPr>
      <w:r>
        <w:rPr>
          <w:rFonts w:ascii="Calibri" w:hAnsi="Calibri"/>
          <w:sz w:val="20"/>
        </w:rPr>
        <w:t>En consecuencia, </w:t>
      </w:r>
      <w:r>
        <w:rPr>
          <w:rFonts w:ascii="Calibri" w:hAnsi="Calibri"/>
          <w:sz w:val="20"/>
          <w:u w:val="single"/>
        </w:rPr>
        <w:t>se solicita que dicho dato sea corregido en el texto definitivo del informe, a</w:t>
      </w:r>
      <w:r>
        <w:rPr>
          <w:rFonts w:ascii="Calibri" w:hAnsi="Calibri"/>
          <w:sz w:val="20"/>
          <w:u w:val="none"/>
        </w:rPr>
        <w:t> </w:t>
      </w:r>
      <w:r>
        <w:rPr>
          <w:rFonts w:ascii="Calibri" w:hAnsi="Calibri"/>
          <w:sz w:val="20"/>
          <w:u w:val="single"/>
        </w:rPr>
        <w:t>fin de reflejar la cifra exacta de 49 autobuses eléctricos adquiridos, conforme a la</w:t>
      </w:r>
      <w:r>
        <w:rPr>
          <w:rFonts w:ascii="Calibri" w:hAnsi="Calibri"/>
          <w:sz w:val="20"/>
          <w:u w:val="none"/>
        </w:rPr>
        <w:t> </w:t>
      </w:r>
      <w:r>
        <w:rPr>
          <w:rFonts w:ascii="Calibri" w:hAnsi="Calibri"/>
          <w:sz w:val="20"/>
          <w:u w:val="single"/>
        </w:rPr>
        <w:t>documentación aportada y a los contratos formalizados</w:t>
      </w:r>
      <w:r>
        <w:rPr>
          <w:rFonts w:ascii="Calibri" w:hAnsi="Calibri"/>
          <w:sz w:val="20"/>
          <w:u w:val="none"/>
        </w:rPr>
        <w:t>.</w:t>
      </w:r>
    </w:p>
    <w:p>
      <w:pPr>
        <w:pStyle w:val="BodyText"/>
        <w:rPr>
          <w:rFonts w:ascii="Calibri"/>
          <w:sz w:val="20"/>
        </w:rPr>
      </w:pPr>
    </w:p>
    <w:p>
      <w:pPr>
        <w:pStyle w:val="BodyText"/>
        <w:spacing w:before="57"/>
        <w:rPr>
          <w:rFonts w:ascii="Calibri"/>
          <w:sz w:val="20"/>
        </w:rPr>
      </w:pPr>
    </w:p>
    <w:p>
      <w:pPr>
        <w:pStyle w:val="ListParagraph"/>
        <w:numPr>
          <w:ilvl w:val="4"/>
          <w:numId w:val="13"/>
        </w:numPr>
        <w:tabs>
          <w:tab w:pos="2251" w:val="left" w:leader="none"/>
        </w:tabs>
        <w:spacing w:line="256" w:lineRule="auto" w:before="0" w:after="0"/>
        <w:ind w:left="2251" w:right="2018" w:hanging="327"/>
        <w:jc w:val="both"/>
        <w:rPr>
          <w:rFonts w:ascii="Calibri" w:hAnsi="Calibri"/>
          <w:color w:val="4472C4"/>
          <w:sz w:val="20"/>
        </w:rPr>
      </w:pPr>
      <w:r>
        <w:rPr>
          <w:rFonts w:ascii="Calibri" w:hAnsi="Calibri"/>
          <w:i/>
          <w:color w:val="4472C4"/>
          <w:sz w:val="20"/>
        </w:rPr>
        <w:t>En la Pág. 49-50 se aprecia</w:t>
      </w:r>
      <w:r>
        <w:rPr>
          <w:rFonts w:ascii="Calibri" w:hAnsi="Calibri"/>
          <w:i/>
          <w:color w:val="4472C4"/>
          <w:spacing w:val="-3"/>
          <w:sz w:val="20"/>
        </w:rPr>
        <w:t> </w:t>
      </w:r>
      <w:r>
        <w:rPr>
          <w:rFonts w:ascii="Calibri" w:hAnsi="Calibri"/>
          <w:i/>
          <w:color w:val="4472C4"/>
          <w:sz w:val="20"/>
        </w:rPr>
        <w:t>lo siguiente</w:t>
      </w:r>
      <w:r>
        <w:rPr>
          <w:rFonts w:ascii="Calibri" w:hAnsi="Calibri"/>
          <w:i/>
          <w:color w:val="4472C4"/>
          <w:sz w:val="20"/>
          <w:u w:val="single" w:color="4472C4"/>
        </w:rPr>
        <w:t> “el Ayuntamiento de Málaga ha</w:t>
      </w:r>
      <w:r>
        <w:rPr>
          <w:rFonts w:ascii="Calibri" w:hAnsi="Calibri"/>
          <w:i/>
          <w:color w:val="4472C4"/>
          <w:spacing w:val="-1"/>
          <w:sz w:val="20"/>
          <w:u w:val="single" w:color="4472C4"/>
        </w:rPr>
        <w:t> </w:t>
      </w:r>
      <w:r>
        <w:rPr>
          <w:rFonts w:ascii="Calibri" w:hAnsi="Calibri"/>
          <w:i/>
          <w:color w:val="4472C4"/>
          <w:sz w:val="20"/>
          <w:u w:val="single" w:color="4472C4"/>
        </w:rPr>
        <w:t>acudido en cuatro</w:t>
      </w:r>
      <w:r>
        <w:rPr>
          <w:rFonts w:ascii="Calibri" w:hAnsi="Calibri"/>
          <w:i/>
          <w:color w:val="4472C4"/>
          <w:sz w:val="20"/>
          <w:u w:val="none"/>
        </w:rPr>
        <w:t> </w:t>
      </w:r>
      <w:r>
        <w:rPr>
          <w:rFonts w:ascii="Calibri" w:hAnsi="Calibri"/>
          <w:i/>
          <w:color w:val="4472C4"/>
          <w:sz w:val="20"/>
          <w:u w:val="single" w:color="4472C4"/>
        </w:rPr>
        <w:t>ocasiones al procedimiento</w:t>
      </w:r>
      <w:r>
        <w:rPr>
          <w:rFonts w:ascii="Calibri" w:hAnsi="Calibri"/>
          <w:i/>
          <w:color w:val="4472C4"/>
          <w:spacing w:val="16"/>
          <w:sz w:val="20"/>
          <w:u w:val="single" w:color="4472C4"/>
        </w:rPr>
        <w:t> </w:t>
      </w:r>
      <w:r>
        <w:rPr>
          <w:rFonts w:ascii="Calibri" w:hAnsi="Calibri"/>
          <w:i/>
          <w:color w:val="4472C4"/>
          <w:sz w:val="20"/>
          <w:u w:val="single" w:color="4472C4"/>
        </w:rPr>
        <w:t>regulado</w:t>
      </w:r>
      <w:r>
        <w:rPr>
          <w:rFonts w:ascii="Calibri" w:hAnsi="Calibri"/>
          <w:i/>
          <w:color w:val="4472C4"/>
          <w:spacing w:val="13"/>
          <w:sz w:val="20"/>
          <w:u w:val="single" w:color="4472C4"/>
        </w:rPr>
        <w:t> </w:t>
      </w:r>
      <w:r>
        <w:rPr>
          <w:rFonts w:ascii="Calibri" w:hAnsi="Calibri"/>
          <w:i/>
          <w:color w:val="4472C4"/>
          <w:sz w:val="20"/>
          <w:u w:val="single" w:color="4472C4"/>
        </w:rPr>
        <w:t>en</w:t>
      </w:r>
      <w:r>
        <w:rPr>
          <w:rFonts w:ascii="Calibri" w:hAnsi="Calibri"/>
          <w:i/>
          <w:color w:val="4472C4"/>
          <w:spacing w:val="13"/>
          <w:sz w:val="20"/>
          <w:u w:val="single" w:color="4472C4"/>
        </w:rPr>
        <w:t> </w:t>
      </w:r>
      <w:r>
        <w:rPr>
          <w:rFonts w:ascii="Calibri" w:hAnsi="Calibri"/>
          <w:i/>
          <w:color w:val="4472C4"/>
          <w:sz w:val="20"/>
          <w:u w:val="single" w:color="4472C4"/>
        </w:rPr>
        <w:t>la</w:t>
      </w:r>
      <w:r>
        <w:rPr>
          <w:rFonts w:ascii="Calibri" w:hAnsi="Calibri"/>
          <w:i/>
          <w:color w:val="4472C4"/>
          <w:spacing w:val="15"/>
          <w:sz w:val="20"/>
          <w:u w:val="single" w:color="4472C4"/>
        </w:rPr>
        <w:t> </w:t>
      </w:r>
      <w:r>
        <w:rPr>
          <w:rFonts w:ascii="Calibri" w:hAnsi="Calibri"/>
          <w:i/>
          <w:color w:val="4472C4"/>
          <w:sz w:val="20"/>
          <w:u w:val="single" w:color="4472C4"/>
        </w:rPr>
        <w:t>Disposición</w:t>
      </w:r>
      <w:r>
        <w:rPr>
          <w:rFonts w:ascii="Calibri" w:hAnsi="Calibri"/>
          <w:i/>
          <w:color w:val="4472C4"/>
          <w:spacing w:val="13"/>
          <w:sz w:val="20"/>
          <w:u w:val="single" w:color="4472C4"/>
        </w:rPr>
        <w:t> </w:t>
      </w:r>
      <w:r>
        <w:rPr>
          <w:rFonts w:ascii="Calibri" w:hAnsi="Calibri"/>
          <w:i/>
          <w:color w:val="4472C4"/>
          <w:sz w:val="20"/>
          <w:u w:val="single" w:color="4472C4"/>
        </w:rPr>
        <w:t>adicional 33ª</w:t>
      </w:r>
      <w:r>
        <w:rPr>
          <w:rFonts w:ascii="Calibri" w:hAnsi="Calibri"/>
          <w:i/>
          <w:color w:val="4472C4"/>
          <w:spacing w:val="13"/>
          <w:sz w:val="20"/>
          <w:u w:val="single" w:color="4472C4"/>
        </w:rPr>
        <w:t> </w:t>
      </w:r>
      <w:r>
        <w:rPr>
          <w:rFonts w:ascii="Calibri" w:hAnsi="Calibri"/>
          <w:i/>
          <w:color w:val="4472C4"/>
          <w:sz w:val="20"/>
          <w:u w:val="single" w:color="4472C4"/>
        </w:rPr>
        <w:t>de la</w:t>
      </w:r>
      <w:r>
        <w:rPr>
          <w:rFonts w:ascii="Calibri" w:hAnsi="Calibri"/>
          <w:i/>
          <w:color w:val="4472C4"/>
          <w:spacing w:val="12"/>
          <w:sz w:val="20"/>
          <w:u w:val="single" w:color="4472C4"/>
        </w:rPr>
        <w:t> </w:t>
      </w:r>
      <w:r>
        <w:rPr>
          <w:rFonts w:ascii="Calibri" w:hAnsi="Calibri"/>
          <w:i/>
          <w:color w:val="4472C4"/>
          <w:sz w:val="20"/>
          <w:u w:val="single" w:color="4472C4"/>
        </w:rPr>
        <w:t>Ley 9/2017,</w:t>
      </w:r>
      <w:r>
        <w:rPr>
          <w:rFonts w:ascii="Calibri" w:hAnsi="Calibri"/>
          <w:i/>
          <w:color w:val="4472C4"/>
          <w:spacing w:val="13"/>
          <w:sz w:val="20"/>
          <w:u w:val="single" w:color="4472C4"/>
        </w:rPr>
        <w:t> </w:t>
      </w:r>
      <w:r>
        <w:rPr>
          <w:rFonts w:ascii="Calibri" w:hAnsi="Calibri"/>
          <w:i/>
          <w:color w:val="4472C4"/>
          <w:sz w:val="20"/>
          <w:u w:val="single" w:color="4472C4"/>
        </w:rPr>
        <w:t>de</w:t>
      </w:r>
      <w:r>
        <w:rPr>
          <w:rFonts w:ascii="Calibri" w:hAnsi="Calibri"/>
          <w:i/>
          <w:color w:val="4472C4"/>
          <w:sz w:val="20"/>
          <w:u w:val="none"/>
        </w:rPr>
        <w:t> </w:t>
      </w:r>
      <w:r>
        <w:rPr>
          <w:rFonts w:ascii="Calibri" w:hAnsi="Calibri"/>
          <w:i/>
          <w:color w:val="4472C4"/>
          <w:sz w:val="20"/>
          <w:u w:val="single" w:color="4472C4"/>
        </w:rPr>
        <w:t>8 de noviembre, de Contratos del Sector Público (LCSP) 28 para la compra de autobuses,</w:t>
      </w:r>
      <w:r>
        <w:rPr>
          <w:rFonts w:ascii="Calibri" w:hAnsi="Calibri"/>
          <w:i/>
          <w:color w:val="4472C4"/>
          <w:sz w:val="20"/>
          <w:u w:val="none"/>
        </w:rPr>
        <w:t> </w:t>
      </w:r>
      <w:r>
        <w:rPr>
          <w:rFonts w:ascii="Calibri" w:hAnsi="Calibri"/>
          <w:i/>
          <w:color w:val="4472C4"/>
          <w:sz w:val="20"/>
          <w:u w:val="single" w:color="4472C4"/>
        </w:rPr>
        <w:t>previsto para aquellos supuestos en los que el número total de entregas incluidas en el</w:t>
      </w:r>
      <w:r>
        <w:rPr>
          <w:rFonts w:ascii="Calibri" w:hAnsi="Calibri"/>
          <w:i/>
          <w:color w:val="4472C4"/>
          <w:sz w:val="20"/>
          <w:u w:val="none"/>
        </w:rPr>
        <w:t> </w:t>
      </w:r>
      <w:r>
        <w:rPr>
          <w:rFonts w:ascii="Calibri" w:hAnsi="Calibri"/>
          <w:i/>
          <w:color w:val="4472C4"/>
          <w:sz w:val="20"/>
          <w:u w:val="single" w:color="4472C4"/>
        </w:rPr>
        <w:t>objeto del contrato no estén definido con exactitud al tiempo de celebrar este, lo que</w:t>
      </w:r>
      <w:r>
        <w:rPr>
          <w:rFonts w:ascii="Calibri" w:hAnsi="Calibri"/>
          <w:i/>
          <w:color w:val="4472C4"/>
          <w:sz w:val="20"/>
          <w:u w:val="none"/>
        </w:rPr>
        <w:t> </w:t>
      </w:r>
      <w:r>
        <w:rPr>
          <w:rFonts w:ascii="Calibri" w:hAnsi="Calibri"/>
          <w:i/>
          <w:color w:val="4472C4"/>
          <w:sz w:val="20"/>
          <w:u w:val="single" w:color="4472C4"/>
        </w:rPr>
        <w:t>evidencia deficiencias en la planificación y carencia de estudios previos sobre las</w:t>
      </w:r>
      <w:r>
        <w:rPr>
          <w:rFonts w:ascii="Calibri" w:hAnsi="Calibri"/>
          <w:i/>
          <w:color w:val="4472C4"/>
          <w:sz w:val="20"/>
          <w:u w:val="none"/>
        </w:rPr>
        <w:t> </w:t>
      </w:r>
      <w:r>
        <w:rPr>
          <w:rFonts w:ascii="Calibri" w:hAnsi="Calibri"/>
          <w:i/>
          <w:color w:val="4472C4"/>
          <w:sz w:val="20"/>
          <w:u w:val="single" w:color="4472C4"/>
        </w:rPr>
        <w:t>necesidades de material móvil, su número y la disponibilidad de financiación para</w:t>
      </w:r>
      <w:r>
        <w:rPr>
          <w:rFonts w:ascii="Calibri" w:hAnsi="Calibri"/>
          <w:i/>
          <w:color w:val="4472C4"/>
          <w:sz w:val="20"/>
          <w:u w:val="none"/>
        </w:rPr>
        <w:t> </w:t>
      </w:r>
      <w:r>
        <w:rPr>
          <w:rFonts w:ascii="Calibri" w:hAnsi="Calibri"/>
          <w:i/>
          <w:color w:val="4472C4"/>
          <w:sz w:val="20"/>
          <w:u w:val="single" w:color="4472C4"/>
        </w:rPr>
        <w:t>acometer estas compras.”</w:t>
      </w:r>
    </w:p>
    <w:p>
      <w:pPr>
        <w:spacing w:line="259" w:lineRule="auto" w:before="145"/>
        <w:ind w:left="1925" w:right="2023" w:firstLine="0"/>
        <w:jc w:val="both"/>
        <w:rPr>
          <w:rFonts w:ascii="Calibri" w:hAnsi="Calibri"/>
          <w:sz w:val="20"/>
        </w:rPr>
      </w:pPr>
      <w:r>
        <w:rPr>
          <w:rFonts w:ascii="Calibri" w:hAnsi="Calibri"/>
          <w:sz w:val="20"/>
        </w:rPr>
        <w:t>Con respecto a la observación efectuada sobre la utilización reiterada de la Disposición Adicional 33ª de la Ley 9/2017, de Contratos del Sector Público (LCSP) en la adquisición de autobuses (Expedientes n.º 016/21, 032/23 y 016/24) se realizan las siguientes </w:t>
      </w:r>
      <w:r>
        <w:rPr>
          <w:rFonts w:ascii="Calibri" w:hAnsi="Calibri"/>
          <w:spacing w:val="-2"/>
          <w:sz w:val="20"/>
        </w:rPr>
        <w:t>consideraciones:</w:t>
      </w:r>
    </w:p>
    <w:p>
      <w:pPr>
        <w:spacing w:line="256" w:lineRule="auto" w:before="136"/>
        <w:ind w:left="1925" w:right="2021" w:firstLine="0"/>
        <w:jc w:val="both"/>
        <w:rPr>
          <w:rFonts w:ascii="Calibri" w:hAnsi="Calibri"/>
          <w:sz w:val="20"/>
        </w:rPr>
      </w:pPr>
      <w:r>
        <w:rPr>
          <w:rFonts w:ascii="Calibri" w:hAnsi="Calibri"/>
          <w:sz w:val="20"/>
        </w:rPr>
        <w:t>1º</w:t>
      </w:r>
      <w:r>
        <w:rPr>
          <w:rFonts w:ascii="Calibri" w:hAnsi="Calibri"/>
          <w:spacing w:val="-4"/>
          <w:sz w:val="20"/>
        </w:rPr>
        <w:t> </w:t>
      </w:r>
      <w:r>
        <w:rPr>
          <w:rFonts w:ascii="Calibri" w:hAnsi="Calibri"/>
          <w:sz w:val="20"/>
        </w:rPr>
        <w:t>La</w:t>
      </w:r>
      <w:r>
        <w:rPr>
          <w:rFonts w:ascii="Calibri" w:hAnsi="Calibri"/>
          <w:spacing w:val="-8"/>
          <w:sz w:val="20"/>
        </w:rPr>
        <w:t> </w:t>
      </w:r>
      <w:r>
        <w:rPr>
          <w:rFonts w:ascii="Calibri" w:hAnsi="Calibri"/>
          <w:sz w:val="20"/>
        </w:rPr>
        <w:t>Disposición</w:t>
      </w:r>
      <w:r>
        <w:rPr>
          <w:rFonts w:ascii="Calibri" w:hAnsi="Calibri"/>
          <w:spacing w:val="-8"/>
          <w:sz w:val="20"/>
        </w:rPr>
        <w:t> </w:t>
      </w:r>
      <w:r>
        <w:rPr>
          <w:rFonts w:ascii="Calibri" w:hAnsi="Calibri"/>
          <w:sz w:val="20"/>
        </w:rPr>
        <w:t>Adicional</w:t>
      </w:r>
      <w:r>
        <w:rPr>
          <w:rFonts w:ascii="Calibri" w:hAnsi="Calibri"/>
          <w:spacing w:val="-11"/>
          <w:sz w:val="20"/>
        </w:rPr>
        <w:t> </w:t>
      </w:r>
      <w:r>
        <w:rPr>
          <w:rFonts w:ascii="Calibri" w:hAnsi="Calibri"/>
          <w:sz w:val="20"/>
        </w:rPr>
        <w:t>33ª</w:t>
      </w:r>
      <w:r>
        <w:rPr>
          <w:rFonts w:ascii="Calibri" w:hAnsi="Calibri"/>
          <w:spacing w:val="-5"/>
          <w:sz w:val="20"/>
        </w:rPr>
        <w:t> </w:t>
      </w:r>
      <w:r>
        <w:rPr>
          <w:rFonts w:ascii="Calibri" w:hAnsi="Calibri"/>
          <w:sz w:val="20"/>
        </w:rPr>
        <w:t>de</w:t>
      </w:r>
      <w:r>
        <w:rPr>
          <w:rFonts w:ascii="Calibri" w:hAnsi="Calibri"/>
          <w:spacing w:val="-10"/>
          <w:sz w:val="20"/>
        </w:rPr>
        <w:t> </w:t>
      </w:r>
      <w:r>
        <w:rPr>
          <w:rFonts w:ascii="Calibri" w:hAnsi="Calibri"/>
          <w:sz w:val="20"/>
        </w:rPr>
        <w:t>la</w:t>
      </w:r>
      <w:r>
        <w:rPr>
          <w:rFonts w:ascii="Calibri" w:hAnsi="Calibri"/>
          <w:spacing w:val="-10"/>
          <w:sz w:val="20"/>
        </w:rPr>
        <w:t> </w:t>
      </w:r>
      <w:r>
        <w:rPr>
          <w:rFonts w:ascii="Calibri" w:hAnsi="Calibri"/>
          <w:sz w:val="20"/>
        </w:rPr>
        <w:t>LCSP</w:t>
      </w:r>
      <w:r>
        <w:rPr>
          <w:rFonts w:ascii="Calibri" w:hAnsi="Calibri"/>
          <w:spacing w:val="-8"/>
          <w:sz w:val="20"/>
        </w:rPr>
        <w:t> </w:t>
      </w:r>
      <w:r>
        <w:rPr>
          <w:rFonts w:ascii="Calibri" w:hAnsi="Calibri"/>
          <w:sz w:val="20"/>
        </w:rPr>
        <w:t>regula</w:t>
      </w:r>
      <w:r>
        <w:rPr>
          <w:rFonts w:ascii="Calibri" w:hAnsi="Calibri"/>
          <w:spacing w:val="-7"/>
          <w:sz w:val="20"/>
        </w:rPr>
        <w:t> </w:t>
      </w:r>
      <w:r>
        <w:rPr>
          <w:rFonts w:ascii="Calibri" w:hAnsi="Calibri"/>
          <w:sz w:val="20"/>
        </w:rPr>
        <w:t>los</w:t>
      </w:r>
      <w:r>
        <w:rPr>
          <w:rFonts w:ascii="Calibri" w:hAnsi="Calibri"/>
          <w:spacing w:val="-4"/>
          <w:sz w:val="20"/>
        </w:rPr>
        <w:t> </w:t>
      </w:r>
      <w:r>
        <w:rPr>
          <w:rFonts w:ascii="Calibri" w:hAnsi="Calibri"/>
          <w:sz w:val="20"/>
        </w:rPr>
        <w:t>contratos</w:t>
      </w:r>
      <w:r>
        <w:rPr>
          <w:rFonts w:ascii="Calibri" w:hAnsi="Calibri"/>
          <w:spacing w:val="-7"/>
          <w:sz w:val="20"/>
        </w:rPr>
        <w:t> </w:t>
      </w:r>
      <w:r>
        <w:rPr>
          <w:rFonts w:ascii="Calibri" w:hAnsi="Calibri"/>
          <w:sz w:val="20"/>
        </w:rPr>
        <w:t>de</w:t>
      </w:r>
      <w:r>
        <w:rPr>
          <w:rFonts w:ascii="Calibri" w:hAnsi="Calibri"/>
          <w:spacing w:val="-5"/>
          <w:sz w:val="20"/>
        </w:rPr>
        <w:t> </w:t>
      </w:r>
      <w:r>
        <w:rPr>
          <w:rFonts w:ascii="Calibri" w:hAnsi="Calibri"/>
          <w:sz w:val="20"/>
        </w:rPr>
        <w:t>suministros</w:t>
      </w:r>
      <w:r>
        <w:rPr>
          <w:rFonts w:ascii="Calibri" w:hAnsi="Calibri"/>
          <w:spacing w:val="-7"/>
          <w:sz w:val="20"/>
        </w:rPr>
        <w:t> </w:t>
      </w:r>
      <w:r>
        <w:rPr>
          <w:rFonts w:ascii="Calibri" w:hAnsi="Calibri"/>
          <w:sz w:val="20"/>
        </w:rPr>
        <w:t>y</w:t>
      </w:r>
      <w:r>
        <w:rPr>
          <w:rFonts w:ascii="Calibri" w:hAnsi="Calibri"/>
          <w:spacing w:val="-8"/>
          <w:sz w:val="20"/>
        </w:rPr>
        <w:t> </w:t>
      </w:r>
      <w:r>
        <w:rPr>
          <w:rFonts w:ascii="Calibri" w:hAnsi="Calibri"/>
          <w:sz w:val="20"/>
        </w:rPr>
        <w:t>servicios</w:t>
      </w:r>
      <w:r>
        <w:rPr>
          <w:rFonts w:ascii="Calibri" w:hAnsi="Calibri"/>
          <w:spacing w:val="-10"/>
          <w:sz w:val="20"/>
        </w:rPr>
        <w:t> </w:t>
      </w:r>
      <w:r>
        <w:rPr>
          <w:rFonts w:ascii="Calibri" w:hAnsi="Calibri"/>
          <w:sz w:val="20"/>
        </w:rPr>
        <w:t>“según necesidades”. En este tipo de contratos, la Administración puede licitar un suministro por unidad (p.ej. vehículos) sin fijar con exactitud la cantidad total a adquirir, porque estará subordinada a las necesidades reales. La ley exige, no obstante, establecer un presupuesto máximo para el contrato. Es decir, se contrata a precios unitarios una pluralidad de bienes (como autobuses urbanos) a entregar sucesivamente según se vayan necesitando, hasta un tope de gasto aprobado.</w:t>
      </w:r>
    </w:p>
    <w:p>
      <w:pPr>
        <w:spacing w:line="256" w:lineRule="auto" w:before="146"/>
        <w:ind w:left="1925" w:right="2020" w:firstLine="0"/>
        <w:jc w:val="both"/>
        <w:rPr>
          <w:rFonts w:ascii="Calibri" w:hAnsi="Calibri"/>
          <w:sz w:val="20"/>
        </w:rPr>
      </w:pPr>
      <w:r>
        <w:rPr>
          <w:rFonts w:ascii="Calibri" w:hAnsi="Calibri"/>
          <w:sz w:val="20"/>
        </w:rPr>
        <w:t>Además, si durante la vigencia del contrato las necesidades reales superan las inicialmente estimadas, debe tramitarse una modificación contractual antes de agotar el presupuesto máximo. Para ello, la Administración debe haber previsto expresamente en los pliegos la posibilidad de modificar el contrato en esa circunstancia (conforme al art. 204 LCSP sobre modificaciones). En resumen, la DA 33ª habilita contratos flexibles por necesidades, siempre que se limite el importe</w:t>
      </w:r>
      <w:r>
        <w:rPr>
          <w:rFonts w:ascii="Calibri" w:hAnsi="Calibri"/>
          <w:spacing w:val="-2"/>
          <w:sz w:val="20"/>
        </w:rPr>
        <w:t> </w:t>
      </w:r>
      <w:r>
        <w:rPr>
          <w:rFonts w:ascii="Calibri" w:hAnsi="Calibri"/>
          <w:sz w:val="20"/>
        </w:rPr>
        <w:t>máximo y se prevea la</w:t>
      </w:r>
      <w:r>
        <w:rPr>
          <w:rFonts w:ascii="Calibri" w:hAnsi="Calibri"/>
          <w:spacing w:val="-2"/>
          <w:sz w:val="20"/>
        </w:rPr>
        <w:t> </w:t>
      </w:r>
      <w:r>
        <w:rPr>
          <w:rFonts w:ascii="Calibri" w:hAnsi="Calibri"/>
          <w:sz w:val="20"/>
        </w:rPr>
        <w:t>eventual modificación</w:t>
      </w:r>
      <w:r>
        <w:rPr>
          <w:rFonts w:ascii="Calibri" w:hAnsi="Calibri"/>
          <w:spacing w:val="-1"/>
          <w:sz w:val="20"/>
        </w:rPr>
        <w:t> </w:t>
      </w:r>
      <w:r>
        <w:rPr>
          <w:rFonts w:ascii="Calibri" w:hAnsi="Calibri"/>
          <w:sz w:val="20"/>
        </w:rPr>
        <w:t>en</w:t>
      </w:r>
      <w:r>
        <w:rPr>
          <w:rFonts w:ascii="Calibri" w:hAnsi="Calibri"/>
          <w:spacing w:val="-1"/>
          <w:sz w:val="20"/>
        </w:rPr>
        <w:t> </w:t>
      </w:r>
      <w:r>
        <w:rPr>
          <w:rFonts w:ascii="Calibri" w:hAnsi="Calibri"/>
          <w:sz w:val="20"/>
        </w:rPr>
        <w:t>la documentación de licitación, garantizando así la cobertura legal de ampliaciones de entregas.</w:t>
      </w:r>
    </w:p>
    <w:p>
      <w:pPr>
        <w:spacing w:line="256" w:lineRule="auto" w:before="147"/>
        <w:ind w:left="1925" w:right="2024" w:firstLine="0"/>
        <w:jc w:val="both"/>
        <w:rPr>
          <w:rFonts w:ascii="Calibri" w:hAnsi="Calibri"/>
          <w:sz w:val="20"/>
        </w:rPr>
      </w:pPr>
      <w:r>
        <w:rPr>
          <w:rFonts w:ascii="Calibri" w:hAnsi="Calibri"/>
          <w:sz w:val="20"/>
        </w:rPr>
        <w:t>El uso de esta figura en contratos de suministro de bienes (incluyendo autobuses urbanos) es plenamente legal y legítimo, siempre que se ajuste a los requisitos formales mencionados, como ha sido en los contratos de EMTSAM como se</w:t>
      </w:r>
      <w:r>
        <w:rPr>
          <w:rFonts w:ascii="Calibri" w:hAnsi="Calibri"/>
          <w:spacing w:val="-2"/>
          <w:sz w:val="20"/>
        </w:rPr>
        <w:t> </w:t>
      </w:r>
      <w:r>
        <w:rPr>
          <w:rFonts w:ascii="Calibri" w:hAnsi="Calibri"/>
          <w:sz w:val="20"/>
        </w:rPr>
        <w:t>explicará a continuación.</w:t>
      </w:r>
    </w:p>
    <w:p>
      <w:pPr>
        <w:spacing w:before="145"/>
        <w:ind w:left="1925" w:right="0" w:firstLine="0"/>
        <w:jc w:val="both"/>
        <w:rPr>
          <w:rFonts w:ascii="Calibri" w:hAnsi="Calibri"/>
          <w:sz w:val="20"/>
        </w:rPr>
      </w:pPr>
      <w:r>
        <w:rPr>
          <w:rFonts w:ascii="Calibri" w:hAnsi="Calibri"/>
          <w:sz w:val="20"/>
        </w:rPr>
        <w:t>De</w:t>
      </w:r>
      <w:r>
        <w:rPr>
          <w:rFonts w:ascii="Calibri" w:hAnsi="Calibri"/>
          <w:spacing w:val="-10"/>
          <w:sz w:val="20"/>
        </w:rPr>
        <w:t> </w:t>
      </w:r>
      <w:r>
        <w:rPr>
          <w:rFonts w:ascii="Calibri" w:hAnsi="Calibri"/>
          <w:sz w:val="20"/>
        </w:rPr>
        <w:t>hecho,</w:t>
      </w:r>
      <w:r>
        <w:rPr>
          <w:rFonts w:ascii="Calibri" w:hAnsi="Calibri"/>
          <w:spacing w:val="-9"/>
          <w:sz w:val="20"/>
        </w:rPr>
        <w:t> </w:t>
      </w:r>
      <w:r>
        <w:rPr>
          <w:rFonts w:ascii="Calibri" w:hAnsi="Calibri"/>
          <w:sz w:val="20"/>
        </w:rPr>
        <w:t>la</w:t>
      </w:r>
      <w:r>
        <w:rPr>
          <w:rFonts w:ascii="Calibri" w:hAnsi="Calibri"/>
          <w:spacing w:val="-11"/>
          <w:sz w:val="20"/>
        </w:rPr>
        <w:t> </w:t>
      </w:r>
      <w:r>
        <w:rPr>
          <w:rFonts w:ascii="Calibri" w:hAnsi="Calibri"/>
          <w:sz w:val="20"/>
        </w:rPr>
        <w:t>Junta</w:t>
      </w:r>
      <w:r>
        <w:rPr>
          <w:rFonts w:ascii="Calibri" w:hAnsi="Calibri"/>
          <w:spacing w:val="-9"/>
          <w:sz w:val="20"/>
        </w:rPr>
        <w:t> </w:t>
      </w:r>
      <w:r>
        <w:rPr>
          <w:rFonts w:ascii="Calibri" w:hAnsi="Calibri"/>
          <w:sz w:val="20"/>
        </w:rPr>
        <w:t>Consultiva</w:t>
      </w:r>
      <w:r>
        <w:rPr>
          <w:rFonts w:ascii="Calibri" w:hAnsi="Calibri"/>
          <w:spacing w:val="-11"/>
          <w:sz w:val="20"/>
        </w:rPr>
        <w:t> </w:t>
      </w:r>
      <w:r>
        <w:rPr>
          <w:rFonts w:ascii="Calibri" w:hAnsi="Calibri"/>
          <w:sz w:val="20"/>
        </w:rPr>
        <w:t>de</w:t>
      </w:r>
      <w:r>
        <w:rPr>
          <w:rFonts w:ascii="Calibri" w:hAnsi="Calibri"/>
          <w:spacing w:val="-11"/>
          <w:sz w:val="20"/>
        </w:rPr>
        <w:t> </w:t>
      </w:r>
      <w:r>
        <w:rPr>
          <w:rFonts w:ascii="Calibri" w:hAnsi="Calibri"/>
          <w:sz w:val="20"/>
        </w:rPr>
        <w:t>Contratación</w:t>
      </w:r>
      <w:r>
        <w:rPr>
          <w:rFonts w:ascii="Calibri" w:hAnsi="Calibri"/>
          <w:spacing w:val="-11"/>
          <w:sz w:val="20"/>
        </w:rPr>
        <w:t> </w:t>
      </w:r>
      <w:r>
        <w:rPr>
          <w:rFonts w:ascii="Calibri" w:hAnsi="Calibri"/>
          <w:sz w:val="20"/>
        </w:rPr>
        <w:t>Pública</w:t>
      </w:r>
      <w:r>
        <w:rPr>
          <w:rFonts w:ascii="Calibri" w:hAnsi="Calibri"/>
          <w:spacing w:val="-11"/>
          <w:sz w:val="20"/>
        </w:rPr>
        <w:t> </w:t>
      </w:r>
      <w:r>
        <w:rPr>
          <w:rFonts w:ascii="Calibri" w:hAnsi="Calibri"/>
          <w:sz w:val="20"/>
        </w:rPr>
        <w:t>del</w:t>
      </w:r>
      <w:r>
        <w:rPr>
          <w:rFonts w:ascii="Calibri" w:hAnsi="Calibri"/>
          <w:spacing w:val="-8"/>
          <w:sz w:val="20"/>
        </w:rPr>
        <w:t> </w:t>
      </w:r>
      <w:r>
        <w:rPr>
          <w:rFonts w:ascii="Calibri" w:hAnsi="Calibri"/>
          <w:sz w:val="20"/>
        </w:rPr>
        <w:t>Estado</w:t>
      </w:r>
      <w:r>
        <w:rPr>
          <w:rFonts w:ascii="Calibri" w:hAnsi="Calibri"/>
          <w:spacing w:val="-9"/>
          <w:sz w:val="20"/>
        </w:rPr>
        <w:t> </w:t>
      </w:r>
      <w:r>
        <w:rPr>
          <w:rFonts w:ascii="Calibri" w:hAnsi="Calibri"/>
          <w:sz w:val="20"/>
        </w:rPr>
        <w:t>(JCCPE)</w:t>
      </w:r>
      <w:r>
        <w:rPr>
          <w:rFonts w:ascii="Calibri" w:hAnsi="Calibri"/>
          <w:spacing w:val="-10"/>
          <w:sz w:val="20"/>
        </w:rPr>
        <w:t> </w:t>
      </w:r>
      <w:r>
        <w:rPr>
          <w:rFonts w:ascii="Calibri" w:hAnsi="Calibri"/>
          <w:sz w:val="20"/>
        </w:rPr>
        <w:t>ha</w:t>
      </w:r>
      <w:r>
        <w:rPr>
          <w:rFonts w:ascii="Calibri" w:hAnsi="Calibri"/>
          <w:spacing w:val="-11"/>
          <w:sz w:val="20"/>
        </w:rPr>
        <w:t> </w:t>
      </w:r>
      <w:r>
        <w:rPr>
          <w:rFonts w:ascii="Calibri" w:hAnsi="Calibri"/>
          <w:sz w:val="20"/>
        </w:rPr>
        <w:t>confirmado</w:t>
      </w:r>
      <w:r>
        <w:rPr>
          <w:rFonts w:ascii="Calibri" w:hAnsi="Calibri"/>
          <w:spacing w:val="-11"/>
          <w:sz w:val="20"/>
        </w:rPr>
        <w:t> </w:t>
      </w:r>
      <w:r>
        <w:rPr>
          <w:rFonts w:ascii="Calibri" w:hAnsi="Calibri"/>
          <w:sz w:val="20"/>
        </w:rPr>
        <w:t>que</w:t>
      </w:r>
      <w:r>
        <w:rPr>
          <w:rFonts w:ascii="Calibri" w:hAnsi="Calibri"/>
          <w:spacing w:val="-10"/>
          <w:sz w:val="20"/>
        </w:rPr>
        <w:t> </w:t>
      </w:r>
      <w:r>
        <w:rPr>
          <w:rFonts w:ascii="Calibri" w:hAnsi="Calibri"/>
          <w:spacing w:val="-5"/>
          <w:sz w:val="20"/>
        </w:rPr>
        <w:t>no</w:t>
      </w:r>
    </w:p>
    <w:p>
      <w:pPr>
        <w:spacing w:before="18"/>
        <w:ind w:left="1925" w:right="0" w:firstLine="0"/>
        <w:jc w:val="both"/>
        <w:rPr>
          <w:rFonts w:ascii="Calibri" w:hAnsi="Calibri"/>
          <w:sz w:val="20"/>
        </w:rPr>
      </w:pPr>
      <w:r>
        <w:rPr>
          <w:rFonts w:ascii="Calibri" w:hAnsi="Calibri"/>
          <w:sz w:val="20"/>
        </w:rPr>
        <w:t>existe</w:t>
      </w:r>
      <w:r>
        <w:rPr>
          <w:rFonts w:ascii="Calibri" w:hAnsi="Calibri"/>
          <w:spacing w:val="-14"/>
          <w:sz w:val="20"/>
        </w:rPr>
        <w:t> </w:t>
      </w:r>
      <w:r>
        <w:rPr>
          <w:rFonts w:ascii="Calibri" w:hAnsi="Calibri"/>
          <w:sz w:val="20"/>
        </w:rPr>
        <w:t>impedimento</w:t>
      </w:r>
      <w:r>
        <w:rPr>
          <w:rFonts w:ascii="Calibri" w:hAnsi="Calibri"/>
          <w:spacing w:val="-11"/>
          <w:sz w:val="20"/>
        </w:rPr>
        <w:t> </w:t>
      </w:r>
      <w:r>
        <w:rPr>
          <w:rFonts w:ascii="Calibri" w:hAnsi="Calibri"/>
          <w:sz w:val="20"/>
        </w:rPr>
        <w:t>legal</w:t>
      </w:r>
      <w:r>
        <w:rPr>
          <w:rFonts w:ascii="Calibri" w:hAnsi="Calibri"/>
          <w:spacing w:val="-11"/>
          <w:sz w:val="20"/>
        </w:rPr>
        <w:t> </w:t>
      </w:r>
      <w:r>
        <w:rPr>
          <w:rFonts w:ascii="Calibri" w:hAnsi="Calibri"/>
          <w:sz w:val="20"/>
        </w:rPr>
        <w:t>para</w:t>
      </w:r>
      <w:r>
        <w:rPr>
          <w:rFonts w:ascii="Calibri" w:hAnsi="Calibri"/>
          <w:spacing w:val="-12"/>
          <w:sz w:val="20"/>
        </w:rPr>
        <w:t> </w:t>
      </w:r>
      <w:r>
        <w:rPr>
          <w:rFonts w:ascii="Calibri" w:hAnsi="Calibri"/>
          <w:sz w:val="20"/>
        </w:rPr>
        <w:t>emplear</w:t>
      </w:r>
      <w:r>
        <w:rPr>
          <w:rFonts w:ascii="Calibri" w:hAnsi="Calibri"/>
          <w:spacing w:val="-11"/>
          <w:sz w:val="20"/>
        </w:rPr>
        <w:t> </w:t>
      </w:r>
      <w:r>
        <w:rPr>
          <w:rFonts w:ascii="Calibri" w:hAnsi="Calibri"/>
          <w:sz w:val="20"/>
        </w:rPr>
        <w:t>el</w:t>
      </w:r>
      <w:r>
        <w:rPr>
          <w:rFonts w:ascii="Calibri" w:hAnsi="Calibri"/>
          <w:spacing w:val="-11"/>
          <w:sz w:val="20"/>
        </w:rPr>
        <w:t> </w:t>
      </w:r>
      <w:r>
        <w:rPr>
          <w:rFonts w:ascii="Calibri" w:hAnsi="Calibri"/>
          <w:sz w:val="20"/>
        </w:rPr>
        <w:t>contrato</w:t>
      </w:r>
      <w:r>
        <w:rPr>
          <w:rFonts w:ascii="Calibri" w:hAnsi="Calibri"/>
          <w:spacing w:val="-12"/>
          <w:sz w:val="20"/>
        </w:rPr>
        <w:t> </w:t>
      </w:r>
      <w:r>
        <w:rPr>
          <w:rFonts w:ascii="Calibri" w:hAnsi="Calibri"/>
          <w:sz w:val="20"/>
        </w:rPr>
        <w:t>de</w:t>
      </w:r>
      <w:r>
        <w:rPr>
          <w:rFonts w:ascii="Calibri" w:hAnsi="Calibri"/>
          <w:spacing w:val="-11"/>
          <w:sz w:val="20"/>
        </w:rPr>
        <w:t> </w:t>
      </w:r>
      <w:r>
        <w:rPr>
          <w:rFonts w:ascii="Calibri" w:hAnsi="Calibri"/>
          <w:sz w:val="20"/>
        </w:rPr>
        <w:t>suministro</w:t>
      </w:r>
      <w:r>
        <w:rPr>
          <w:rFonts w:ascii="Calibri" w:hAnsi="Calibri"/>
          <w:spacing w:val="-11"/>
          <w:sz w:val="20"/>
        </w:rPr>
        <w:t> </w:t>
      </w:r>
      <w:r>
        <w:rPr>
          <w:rFonts w:ascii="Calibri" w:hAnsi="Calibri"/>
          <w:sz w:val="20"/>
        </w:rPr>
        <w:t>“según</w:t>
      </w:r>
      <w:r>
        <w:rPr>
          <w:rFonts w:ascii="Calibri" w:hAnsi="Calibri"/>
          <w:spacing w:val="-12"/>
          <w:sz w:val="20"/>
        </w:rPr>
        <w:t> </w:t>
      </w:r>
      <w:r>
        <w:rPr>
          <w:rFonts w:ascii="Calibri" w:hAnsi="Calibri"/>
          <w:sz w:val="20"/>
        </w:rPr>
        <w:t>necesidades”</w:t>
      </w:r>
      <w:r>
        <w:rPr>
          <w:rFonts w:ascii="Calibri" w:hAnsi="Calibri"/>
          <w:spacing w:val="-10"/>
          <w:sz w:val="20"/>
        </w:rPr>
        <w:t> </w:t>
      </w:r>
      <w:r>
        <w:rPr>
          <w:rFonts w:ascii="Calibri" w:hAnsi="Calibri"/>
          <w:sz w:val="20"/>
        </w:rPr>
        <w:t>de</w:t>
      </w:r>
      <w:r>
        <w:rPr>
          <w:rFonts w:ascii="Calibri" w:hAnsi="Calibri"/>
          <w:spacing w:val="-9"/>
          <w:sz w:val="20"/>
        </w:rPr>
        <w:t> </w:t>
      </w:r>
      <w:r>
        <w:rPr>
          <w:rFonts w:ascii="Calibri" w:hAnsi="Calibri"/>
          <w:sz w:val="20"/>
        </w:rPr>
        <w:t>la</w:t>
      </w:r>
      <w:r>
        <w:rPr>
          <w:rFonts w:ascii="Calibri" w:hAnsi="Calibri"/>
          <w:spacing w:val="-11"/>
          <w:sz w:val="20"/>
        </w:rPr>
        <w:t> </w:t>
      </w:r>
      <w:r>
        <w:rPr>
          <w:rFonts w:ascii="Calibri" w:hAnsi="Calibri"/>
          <w:spacing w:val="-5"/>
          <w:sz w:val="20"/>
        </w:rPr>
        <w:t>DA</w:t>
      </w:r>
    </w:p>
    <w:p>
      <w:pPr>
        <w:pStyle w:val="BodyText"/>
        <w:rPr>
          <w:rFonts w:ascii="Calibri"/>
          <w:sz w:val="20"/>
        </w:rPr>
      </w:pPr>
    </w:p>
    <w:p>
      <w:pPr>
        <w:pStyle w:val="BodyText"/>
        <w:spacing w:before="103"/>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777" name="Group 777"/>
                <wp:cNvGraphicFramePr>
                  <a:graphicFrameLocks/>
                </wp:cNvGraphicFramePr>
                <a:graphic>
                  <a:graphicData uri="http://schemas.microsoft.com/office/word/2010/wordprocessingGroup">
                    <wpg:wgp>
                      <wpg:cNvPr id="777" name="Group 777"/>
                      <wpg:cNvGrpSpPr/>
                      <wpg:grpSpPr>
                        <a:xfrm>
                          <a:off x="0" y="0"/>
                          <a:ext cx="1870075" cy="6350"/>
                          <a:chExt cx="1870075" cy="6350"/>
                        </a:xfrm>
                      </wpg:grpSpPr>
                      <wps:wsp>
                        <wps:cNvPr id="778" name="Graphic 778"/>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618" coordorigin="0,0" coordsize="2945,10">
                <v:rect style="position:absolute;left:0;top:0;width:2945;height:10" id="docshape619"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779" name="Group 779"/>
                <wp:cNvGraphicFramePr>
                  <a:graphicFrameLocks/>
                </wp:cNvGraphicFramePr>
                <a:graphic>
                  <a:graphicData uri="http://schemas.microsoft.com/office/word/2010/wordprocessingGroup">
                    <wpg:wgp>
                      <wpg:cNvPr id="779" name="Group 779"/>
                      <wpg:cNvGrpSpPr/>
                      <wpg:grpSpPr>
                        <a:xfrm>
                          <a:off x="0" y="0"/>
                          <a:ext cx="841375" cy="6350"/>
                          <a:chExt cx="841375" cy="6350"/>
                        </a:xfrm>
                      </wpg:grpSpPr>
                      <wps:wsp>
                        <wps:cNvPr id="780" name="Graphic 780"/>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620" coordorigin="0,0" coordsize="1325,10">
                <v:rect style="position:absolute;left:0;top:0;width:1325;height:10" id="docshape621"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03"/>
          <w:headerReference w:type="even" r:id="rId204"/>
          <w:footerReference w:type="default" r:id="rId205"/>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62880">
                <wp:simplePos x="0" y="0"/>
                <wp:positionH relativeFrom="page">
                  <wp:posOffset>4332186</wp:posOffset>
                </wp:positionH>
                <wp:positionV relativeFrom="paragraph">
                  <wp:posOffset>1412477</wp:posOffset>
                </wp:positionV>
                <wp:extent cx="53340" cy="100330"/>
                <wp:effectExtent l="0" t="0" r="0" b="0"/>
                <wp:wrapNone/>
                <wp:docPr id="781" name="Textbox 781"/>
                <wp:cNvGraphicFramePr>
                  <a:graphicFrameLocks/>
                </wp:cNvGraphicFramePr>
                <a:graphic>
                  <a:graphicData uri="http://schemas.microsoft.com/office/word/2010/wordprocessingShape">
                    <wps:wsp>
                      <wps:cNvPr id="781" name="Textbox 781"/>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53600" type="#_x0000_t202" id="docshape622"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363392">
                <wp:simplePos x="0" y="0"/>
                <wp:positionH relativeFrom="page">
                  <wp:posOffset>172212</wp:posOffset>
                </wp:positionH>
                <wp:positionV relativeFrom="paragraph">
                  <wp:posOffset>954200</wp:posOffset>
                </wp:positionV>
                <wp:extent cx="1298575" cy="417830"/>
                <wp:effectExtent l="0" t="0" r="0" b="0"/>
                <wp:wrapNone/>
                <wp:docPr id="782" name="Group 782"/>
                <wp:cNvGraphicFramePr>
                  <a:graphicFrameLocks/>
                </wp:cNvGraphicFramePr>
                <a:graphic>
                  <a:graphicData uri="http://schemas.microsoft.com/office/word/2010/wordprocessingGroup">
                    <wpg:wgp>
                      <wpg:cNvPr id="782" name="Group 782"/>
                      <wpg:cNvGrpSpPr/>
                      <wpg:grpSpPr>
                        <a:xfrm>
                          <a:off x="0" y="0"/>
                          <a:ext cx="1298575" cy="417830"/>
                          <a:chExt cx="1298575" cy="417830"/>
                        </a:xfrm>
                      </wpg:grpSpPr>
                      <wps:wsp>
                        <wps:cNvPr id="783" name="Graphic 783"/>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784" name="Image 784"/>
                          <pic:cNvPicPr/>
                        </pic:nvPicPr>
                        <pic:blipFill>
                          <a:blip r:embed="rId17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953088" id="docshapegroup623" coordorigin="271,1503" coordsize="2045,658">
                <v:shape style="position:absolute;left:271;top:1502;width:2045;height:658" id="docshape624" coordorigin="271,1503" coordsize="2045,658" path="m2316,1503l271,1503,271,1721,271,1723,271,2160,2316,2160,2316,1723,2316,1721,2316,1503xe" filled="true" fillcolor="#cccccc" stroked="false">
                  <v:path arrowok="t"/>
                  <v:fill type="solid"/>
                </v:shape>
                <v:shape style="position:absolute;left:343;top:1577;width:1896;height:327" type="#_x0000_t75" id="docshape625" stroked="false">
                  <v:imagedata r:id="rId179" o:title=""/>
                </v:shape>
                <w10:wrap type="none"/>
              </v:group>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785" name="Textbox 785"/>
                <wp:cNvGraphicFramePr>
                  <a:graphicFrameLocks/>
                </wp:cNvGraphicFramePr>
                <a:graphic>
                  <a:graphicData uri="http://schemas.microsoft.com/office/word/2010/wordprocessingShape">
                    <wps:wsp>
                      <wps:cNvPr id="785" name="Textbox 785"/>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69"/>
                              <w:gridCol w:w="2243"/>
                              <w:gridCol w:w="857"/>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69" w:type="dxa"/>
                                  <w:tcBorders>
                                    <w:left w:val="single" w:sz="6" w:space="0" w:color="000000"/>
                                    <w:bottom w:val="single" w:sz="6" w:space="0" w:color="000000"/>
                                    <w:right w:val="nil"/>
                                  </w:tcBorders>
                                </w:tcPr>
                                <w:p>
                                  <w:pPr>
                                    <w:pStyle w:val="TableParagraph"/>
                                    <w:rPr>
                                      <w:rFonts w:ascii="Times New Roman"/>
                                      <w:sz w:val="14"/>
                                    </w:rPr>
                                  </w:pPr>
                                </w:p>
                              </w:tc>
                              <w:tc>
                                <w:tcPr>
                                  <w:tcW w:w="2243"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98"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3"/>
                                    <w:rPr>
                                      <w:rFonts w:ascii="Arial"/>
                                      <w:position w:val="-1"/>
                                      <w:sz w:val="10"/>
                                    </w:rPr>
                                  </w:pPr>
                                  <w:r>
                                    <w:rPr>
                                      <w:rFonts w:ascii="Arial"/>
                                      <w:position w:val="-1"/>
                                      <w:sz w:val="10"/>
                                    </w:rPr>
                                    <w:drawing>
                                      <wp:inline distT="0" distB="0" distL="0" distR="0">
                                        <wp:extent cx="266700" cy="66675"/>
                                        <wp:effectExtent l="0" t="0" r="0" b="0"/>
                                        <wp:docPr id="786" name="Image 786"/>
                                        <wp:cNvGraphicFramePr>
                                          <a:graphicFrameLocks/>
                                        </wp:cNvGraphicFramePr>
                                        <a:graphic>
                                          <a:graphicData uri="http://schemas.openxmlformats.org/drawingml/2006/picture">
                                            <pic:pic>
                                              <pic:nvPicPr>
                                                <pic:cNvPr id="786" name="Image 786"/>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5"/>
                                    <w:rPr>
                                      <w:rFonts w:ascii="Arial"/>
                                      <w:position w:val="-2"/>
                                      <w:sz w:val="13"/>
                                    </w:rPr>
                                  </w:pPr>
                                  <w:r>
                                    <w:rPr>
                                      <w:rFonts w:ascii="Arial"/>
                                      <w:position w:val="-2"/>
                                      <w:sz w:val="13"/>
                                    </w:rPr>
                                    <w:drawing>
                                      <wp:inline distT="0" distB="0" distL="0" distR="0">
                                        <wp:extent cx="498011" cy="85058"/>
                                        <wp:effectExtent l="0" t="0" r="0" b="0"/>
                                        <wp:docPr id="787" name="Image 787"/>
                                        <wp:cNvGraphicFramePr>
                                          <a:graphicFrameLocks/>
                                        </wp:cNvGraphicFramePr>
                                        <a:graphic>
                                          <a:graphicData uri="http://schemas.openxmlformats.org/drawingml/2006/picture">
                                            <pic:pic>
                                              <pic:nvPicPr>
                                                <pic:cNvPr id="787" name="Image 787"/>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10"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4"/>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2"/>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788" name="Image 788"/>
                                        <wp:cNvGraphicFramePr>
                                          <a:graphicFrameLocks/>
                                        </wp:cNvGraphicFramePr>
                                        <a:graphic>
                                          <a:graphicData uri="http://schemas.openxmlformats.org/drawingml/2006/picture">
                                            <pic:pic>
                                              <pic:nvPicPr>
                                                <pic:cNvPr id="788" name="Image 788"/>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10"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3"/>
                                    <w:rPr>
                                      <w:rFonts w:ascii="Arial"/>
                                      <w:position w:val="-2"/>
                                      <w:sz w:val="13"/>
                                    </w:rPr>
                                  </w:pPr>
                                  <w:r>
                                    <w:rPr>
                                      <w:rFonts w:ascii="Arial"/>
                                      <w:position w:val="-2"/>
                                      <w:sz w:val="13"/>
                                    </w:rPr>
                                    <w:drawing>
                                      <wp:inline distT="0" distB="0" distL="0" distR="0">
                                        <wp:extent cx="263073" cy="84010"/>
                                        <wp:effectExtent l="0" t="0" r="0" b="0"/>
                                        <wp:docPr id="789" name="Image 789"/>
                                        <wp:cNvGraphicFramePr>
                                          <a:graphicFrameLocks/>
                                        </wp:cNvGraphicFramePr>
                                        <a:graphic>
                                          <a:graphicData uri="http://schemas.openxmlformats.org/drawingml/2006/picture">
                                            <pic:pic>
                                              <pic:nvPicPr>
                                                <pic:cNvPr id="789" name="Image 789"/>
                                                <pic:cNvPicPr/>
                                              </pic:nvPicPr>
                                              <pic:blipFill>
                                                <a:blip r:embed="rId185" cstate="print"/>
                                                <a:stretch>
                                                  <a:fillRect/>
                                                </a:stretch>
                                              </pic:blipFill>
                                              <pic:spPr>
                                                <a:xfrm>
                                                  <a:off x="0" y="0"/>
                                                  <a:ext cx="263073"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5"/>
                                    <w:jc w:val="center"/>
                                    <w:rPr>
                                      <w:rFonts w:ascii="Arial"/>
                                      <w:sz w:val="14"/>
                                    </w:rPr>
                                  </w:pPr>
                                  <w:r>
                                    <w:rPr>
                                      <w:rFonts w:ascii="Arial"/>
                                      <w:spacing w:val="-4"/>
                                      <w:sz w:val="14"/>
                                    </w:rPr>
                                    <w:t>5/40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790" name="Image 790"/>
                                        <wp:cNvGraphicFramePr>
                                          <a:graphicFrameLocks/>
                                        </wp:cNvGraphicFramePr>
                                        <a:graphic>
                                          <a:graphicData uri="http://schemas.openxmlformats.org/drawingml/2006/picture">
                                            <pic:pic>
                                              <pic:nvPicPr>
                                                <pic:cNvPr id="790" name="Image 790"/>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9"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791" name="Image 791"/>
                                        <wp:cNvGraphicFramePr>
                                          <a:graphicFrameLocks/>
                                        </wp:cNvGraphicFramePr>
                                        <a:graphic>
                                          <a:graphicData uri="http://schemas.openxmlformats.org/drawingml/2006/picture">
                                            <pic:pic>
                                              <pic:nvPicPr>
                                                <pic:cNvPr id="791" name="Image 791"/>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626"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69"/>
                        <w:gridCol w:w="2243"/>
                        <w:gridCol w:w="857"/>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69" w:type="dxa"/>
                            <w:tcBorders>
                              <w:left w:val="single" w:sz="6" w:space="0" w:color="000000"/>
                              <w:bottom w:val="single" w:sz="6" w:space="0" w:color="000000"/>
                              <w:right w:val="nil"/>
                            </w:tcBorders>
                          </w:tcPr>
                          <w:p>
                            <w:pPr>
                              <w:pStyle w:val="TableParagraph"/>
                              <w:rPr>
                                <w:rFonts w:ascii="Times New Roman"/>
                                <w:sz w:val="14"/>
                              </w:rPr>
                            </w:pPr>
                          </w:p>
                        </w:tc>
                        <w:tc>
                          <w:tcPr>
                            <w:tcW w:w="2243"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98"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3"/>
                              <w:rPr>
                                <w:rFonts w:ascii="Arial"/>
                                <w:position w:val="-1"/>
                                <w:sz w:val="10"/>
                              </w:rPr>
                            </w:pPr>
                            <w:r>
                              <w:rPr>
                                <w:rFonts w:ascii="Arial"/>
                                <w:position w:val="-1"/>
                                <w:sz w:val="10"/>
                              </w:rPr>
                              <w:drawing>
                                <wp:inline distT="0" distB="0" distL="0" distR="0">
                                  <wp:extent cx="266700" cy="66675"/>
                                  <wp:effectExtent l="0" t="0" r="0" b="0"/>
                                  <wp:docPr id="792" name="Image 792"/>
                                  <wp:cNvGraphicFramePr>
                                    <a:graphicFrameLocks/>
                                  </wp:cNvGraphicFramePr>
                                  <a:graphic>
                                    <a:graphicData uri="http://schemas.openxmlformats.org/drawingml/2006/picture">
                                      <pic:pic>
                                        <pic:nvPicPr>
                                          <pic:cNvPr id="792" name="Image 792"/>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5"/>
                              <w:rPr>
                                <w:rFonts w:ascii="Arial"/>
                                <w:position w:val="-2"/>
                                <w:sz w:val="13"/>
                              </w:rPr>
                            </w:pPr>
                            <w:r>
                              <w:rPr>
                                <w:rFonts w:ascii="Arial"/>
                                <w:position w:val="-2"/>
                                <w:sz w:val="13"/>
                              </w:rPr>
                              <w:drawing>
                                <wp:inline distT="0" distB="0" distL="0" distR="0">
                                  <wp:extent cx="498011" cy="85058"/>
                                  <wp:effectExtent l="0" t="0" r="0" b="0"/>
                                  <wp:docPr id="793" name="Image 793"/>
                                  <wp:cNvGraphicFramePr>
                                    <a:graphicFrameLocks/>
                                  </wp:cNvGraphicFramePr>
                                  <a:graphic>
                                    <a:graphicData uri="http://schemas.openxmlformats.org/drawingml/2006/picture">
                                      <pic:pic>
                                        <pic:nvPicPr>
                                          <pic:cNvPr id="793" name="Image 793"/>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10"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4"/>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2"/>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794" name="Image 794"/>
                                  <wp:cNvGraphicFramePr>
                                    <a:graphicFrameLocks/>
                                  </wp:cNvGraphicFramePr>
                                  <a:graphic>
                                    <a:graphicData uri="http://schemas.openxmlformats.org/drawingml/2006/picture">
                                      <pic:pic>
                                        <pic:nvPicPr>
                                          <pic:cNvPr id="794" name="Image 794"/>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10"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3"/>
                              <w:rPr>
                                <w:rFonts w:ascii="Arial"/>
                                <w:position w:val="-2"/>
                                <w:sz w:val="13"/>
                              </w:rPr>
                            </w:pPr>
                            <w:r>
                              <w:rPr>
                                <w:rFonts w:ascii="Arial"/>
                                <w:position w:val="-2"/>
                                <w:sz w:val="13"/>
                              </w:rPr>
                              <w:drawing>
                                <wp:inline distT="0" distB="0" distL="0" distR="0">
                                  <wp:extent cx="263073" cy="84010"/>
                                  <wp:effectExtent l="0" t="0" r="0" b="0"/>
                                  <wp:docPr id="795" name="Image 795"/>
                                  <wp:cNvGraphicFramePr>
                                    <a:graphicFrameLocks/>
                                  </wp:cNvGraphicFramePr>
                                  <a:graphic>
                                    <a:graphicData uri="http://schemas.openxmlformats.org/drawingml/2006/picture">
                                      <pic:pic>
                                        <pic:nvPicPr>
                                          <pic:cNvPr id="795" name="Image 795"/>
                                          <pic:cNvPicPr/>
                                        </pic:nvPicPr>
                                        <pic:blipFill>
                                          <a:blip r:embed="rId185" cstate="print"/>
                                          <a:stretch>
                                            <a:fillRect/>
                                          </a:stretch>
                                        </pic:blipFill>
                                        <pic:spPr>
                                          <a:xfrm>
                                            <a:off x="0" y="0"/>
                                            <a:ext cx="263073"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5"/>
                              <w:jc w:val="center"/>
                              <w:rPr>
                                <w:rFonts w:ascii="Arial"/>
                                <w:sz w:val="14"/>
                              </w:rPr>
                            </w:pPr>
                            <w:r>
                              <w:rPr>
                                <w:rFonts w:ascii="Arial"/>
                                <w:spacing w:val="-4"/>
                                <w:sz w:val="14"/>
                              </w:rPr>
                              <w:t>5/40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796" name="Image 796"/>
                                  <wp:cNvGraphicFramePr>
                                    <a:graphicFrameLocks/>
                                  </wp:cNvGraphicFramePr>
                                  <a:graphic>
                                    <a:graphicData uri="http://schemas.openxmlformats.org/drawingml/2006/picture">
                                      <pic:pic>
                                        <pic:nvPicPr>
                                          <pic:cNvPr id="796" name="Image 796"/>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9"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797" name="Image 797"/>
                                  <wp:cNvGraphicFramePr>
                                    <a:graphicFrameLocks/>
                                  </wp:cNvGraphicFramePr>
                                  <a:graphic>
                                    <a:graphicData uri="http://schemas.openxmlformats.org/drawingml/2006/picture">
                                      <pic:pic>
                                        <pic:nvPicPr>
                                          <pic:cNvPr id="797" name="Image 797"/>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798" name="Group 798"/>
                <wp:cNvGraphicFramePr>
                  <a:graphicFrameLocks/>
                </wp:cNvGraphicFramePr>
                <a:graphic>
                  <a:graphicData uri="http://schemas.microsoft.com/office/word/2010/wordprocessingGroup">
                    <wpg:wgp>
                      <wpg:cNvPr id="798" name="Group 798"/>
                      <wpg:cNvGrpSpPr/>
                      <wpg:grpSpPr>
                        <a:xfrm>
                          <a:off x="0" y="0"/>
                          <a:ext cx="734695" cy="753110"/>
                          <a:chExt cx="734695" cy="753110"/>
                        </a:xfrm>
                      </wpg:grpSpPr>
                      <pic:pic>
                        <pic:nvPicPr>
                          <pic:cNvPr id="799" name="Image 799"/>
                          <pic:cNvPicPr/>
                        </pic:nvPicPr>
                        <pic:blipFill>
                          <a:blip r:embed="rId206" cstate="print"/>
                          <a:stretch>
                            <a:fillRect/>
                          </a:stretch>
                        </pic:blipFill>
                        <pic:spPr>
                          <a:xfrm>
                            <a:off x="0" y="0"/>
                            <a:ext cx="734552" cy="752855"/>
                          </a:xfrm>
                          <a:prstGeom prst="rect">
                            <a:avLst/>
                          </a:prstGeom>
                        </pic:spPr>
                      </pic:pic>
                      <wps:wsp>
                        <wps:cNvPr id="800" name="Graphic 800"/>
                        <wps:cNvSpPr/>
                        <wps:spPr>
                          <a:xfrm>
                            <a:off x="60515" y="40182"/>
                            <a:ext cx="649605" cy="664845"/>
                          </a:xfrm>
                          <a:custGeom>
                            <a:avLst/>
                            <a:gdLst/>
                            <a:ahLst/>
                            <a:cxnLst/>
                            <a:rect l="l" t="t" r="r" b="b"/>
                            <a:pathLst>
                              <a:path w="649605" h="664845">
                                <a:moveTo>
                                  <a:pt x="649566" y="0"/>
                                </a:moveTo>
                                <a:lnTo>
                                  <a:pt x="0" y="0"/>
                                </a:lnTo>
                                <a:lnTo>
                                  <a:pt x="0" y="664502"/>
                                </a:lnTo>
                                <a:lnTo>
                                  <a:pt x="649566" y="664502"/>
                                </a:lnTo>
                                <a:lnTo>
                                  <a:pt x="64956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627" coordorigin="0,0" coordsize="1157,1186">
                <v:shape style="position:absolute;left:0;top:0;width:1157;height:1186" type="#_x0000_t75" id="docshape628" stroked="false">
                  <v:imagedata r:id="rId206" o:title=""/>
                </v:shape>
                <v:rect style="position:absolute;left:95;top:63;width:1023;height:1047" id="docshape629"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1925" w:right="2022" w:firstLine="0"/>
        <w:jc w:val="both"/>
        <w:rPr>
          <w:rFonts w:ascii="Calibri" w:hAnsi="Calibri"/>
          <w:sz w:val="20"/>
        </w:rPr>
      </w:pPr>
      <w:r>
        <w:rPr>
          <w:rFonts w:ascii="Calibri" w:hAnsi="Calibri"/>
          <w:sz w:val="20"/>
        </w:rPr>
        <w:t>33ª</w:t>
      </w:r>
      <w:r>
        <w:rPr>
          <w:rFonts w:ascii="Calibri" w:hAnsi="Calibri"/>
          <w:spacing w:val="-2"/>
          <w:sz w:val="20"/>
        </w:rPr>
        <w:t> </w:t>
      </w:r>
      <w:r>
        <w:rPr>
          <w:rFonts w:ascii="Calibri" w:hAnsi="Calibri"/>
          <w:sz w:val="20"/>
        </w:rPr>
        <w:t>por</w:t>
      </w:r>
      <w:r>
        <w:rPr>
          <w:rFonts w:ascii="Calibri" w:hAnsi="Calibri"/>
          <w:spacing w:val="-3"/>
          <w:sz w:val="20"/>
        </w:rPr>
        <w:t> </w:t>
      </w:r>
      <w:r>
        <w:rPr>
          <w:rFonts w:ascii="Calibri" w:hAnsi="Calibri"/>
          <w:sz w:val="20"/>
        </w:rPr>
        <w:t>cualquier</w:t>
      </w:r>
      <w:r>
        <w:rPr>
          <w:rFonts w:ascii="Calibri" w:hAnsi="Calibri"/>
          <w:spacing w:val="-4"/>
          <w:sz w:val="20"/>
        </w:rPr>
        <w:t> </w:t>
      </w:r>
      <w:r>
        <w:rPr>
          <w:rFonts w:ascii="Calibri" w:hAnsi="Calibri"/>
          <w:sz w:val="20"/>
        </w:rPr>
        <w:t>entidad</w:t>
      </w:r>
      <w:r>
        <w:rPr>
          <w:rFonts w:ascii="Calibri" w:hAnsi="Calibri"/>
          <w:spacing w:val="-5"/>
          <w:sz w:val="20"/>
        </w:rPr>
        <w:t> </w:t>
      </w:r>
      <w:r>
        <w:rPr>
          <w:rFonts w:ascii="Calibri" w:hAnsi="Calibri"/>
          <w:sz w:val="20"/>
        </w:rPr>
        <w:t>del</w:t>
      </w:r>
      <w:r>
        <w:rPr>
          <w:rFonts w:ascii="Calibri" w:hAnsi="Calibri"/>
          <w:spacing w:val="-1"/>
          <w:sz w:val="20"/>
        </w:rPr>
        <w:t> </w:t>
      </w:r>
      <w:r>
        <w:rPr>
          <w:rFonts w:ascii="Calibri" w:hAnsi="Calibri"/>
          <w:sz w:val="20"/>
        </w:rPr>
        <w:t>sector</w:t>
      </w:r>
      <w:r>
        <w:rPr>
          <w:rFonts w:ascii="Calibri" w:hAnsi="Calibri"/>
          <w:spacing w:val="-5"/>
          <w:sz w:val="20"/>
        </w:rPr>
        <w:t> </w:t>
      </w:r>
      <w:r>
        <w:rPr>
          <w:rFonts w:ascii="Calibri" w:hAnsi="Calibri"/>
          <w:sz w:val="20"/>
        </w:rPr>
        <w:t>público.</w:t>
      </w:r>
      <w:r>
        <w:rPr>
          <w:rFonts w:ascii="Calibri" w:hAnsi="Calibri"/>
          <w:spacing w:val="-5"/>
          <w:sz w:val="20"/>
        </w:rPr>
        <w:t> </w:t>
      </w:r>
      <w:r>
        <w:rPr>
          <w:rFonts w:ascii="Calibri" w:hAnsi="Calibri"/>
          <w:sz w:val="20"/>
        </w:rPr>
        <w:t>Es decir,</w:t>
      </w:r>
      <w:r>
        <w:rPr>
          <w:rFonts w:ascii="Calibri" w:hAnsi="Calibri"/>
          <w:spacing w:val="-5"/>
          <w:sz w:val="20"/>
        </w:rPr>
        <w:t> </w:t>
      </w:r>
      <w:r>
        <w:rPr>
          <w:rFonts w:ascii="Calibri" w:hAnsi="Calibri"/>
          <w:sz w:val="20"/>
        </w:rPr>
        <w:t>no es</w:t>
      </w:r>
      <w:r>
        <w:rPr>
          <w:rFonts w:ascii="Calibri" w:hAnsi="Calibri"/>
          <w:spacing w:val="-2"/>
          <w:sz w:val="20"/>
        </w:rPr>
        <w:t> </w:t>
      </w:r>
      <w:r>
        <w:rPr>
          <w:rFonts w:ascii="Calibri" w:hAnsi="Calibri"/>
          <w:sz w:val="20"/>
        </w:rPr>
        <w:t>una</w:t>
      </w:r>
      <w:r>
        <w:rPr>
          <w:rFonts w:ascii="Calibri" w:hAnsi="Calibri"/>
          <w:spacing w:val="-2"/>
          <w:sz w:val="20"/>
        </w:rPr>
        <w:t> </w:t>
      </w:r>
      <w:r>
        <w:rPr>
          <w:rFonts w:ascii="Calibri" w:hAnsi="Calibri"/>
          <w:sz w:val="20"/>
        </w:rPr>
        <w:t>figura</w:t>
      </w:r>
      <w:r>
        <w:rPr>
          <w:rFonts w:ascii="Calibri" w:hAnsi="Calibri"/>
          <w:spacing w:val="-5"/>
          <w:sz w:val="20"/>
        </w:rPr>
        <w:t> </w:t>
      </w:r>
      <w:r>
        <w:rPr>
          <w:rFonts w:ascii="Calibri" w:hAnsi="Calibri"/>
          <w:sz w:val="20"/>
        </w:rPr>
        <w:t>excepcional</w:t>
      </w:r>
      <w:r>
        <w:rPr>
          <w:rFonts w:ascii="Calibri" w:hAnsi="Calibri"/>
          <w:spacing w:val="-3"/>
          <w:sz w:val="20"/>
        </w:rPr>
        <w:t> </w:t>
      </w:r>
      <w:r>
        <w:rPr>
          <w:rFonts w:ascii="Calibri" w:hAnsi="Calibri"/>
          <w:sz w:val="20"/>
        </w:rPr>
        <w:t>reservada</w:t>
      </w:r>
      <w:r>
        <w:rPr>
          <w:rFonts w:ascii="Calibri" w:hAnsi="Calibri"/>
          <w:spacing w:val="-4"/>
          <w:sz w:val="20"/>
        </w:rPr>
        <w:t> </w:t>
      </w:r>
      <w:r>
        <w:rPr>
          <w:rFonts w:ascii="Calibri" w:hAnsi="Calibri"/>
          <w:sz w:val="20"/>
        </w:rPr>
        <w:t>a ciertos casos, sino una técnica general de contratación prevista en la ley, equiparable a otras fórmulas</w:t>
      </w:r>
      <w:r>
        <w:rPr>
          <w:rFonts w:ascii="Calibri" w:hAnsi="Calibri"/>
          <w:spacing w:val="-1"/>
          <w:sz w:val="20"/>
        </w:rPr>
        <w:t> </w:t>
      </w:r>
      <w:r>
        <w:rPr>
          <w:rFonts w:ascii="Calibri" w:hAnsi="Calibri"/>
          <w:sz w:val="20"/>
        </w:rPr>
        <w:t>de contratación flexible como los acuerdos</w:t>
      </w:r>
      <w:r>
        <w:rPr>
          <w:rFonts w:ascii="Calibri" w:hAnsi="Calibri"/>
          <w:spacing w:val="-1"/>
          <w:sz w:val="20"/>
        </w:rPr>
        <w:t> </w:t>
      </w:r>
      <w:r>
        <w:rPr>
          <w:rFonts w:ascii="Calibri" w:hAnsi="Calibri"/>
          <w:sz w:val="20"/>
        </w:rPr>
        <w:t>marco o sistemas dinámicos.</w:t>
      </w:r>
    </w:p>
    <w:p>
      <w:pPr>
        <w:spacing w:line="256" w:lineRule="auto" w:before="138"/>
        <w:ind w:left="1925" w:right="2022" w:firstLine="0"/>
        <w:jc w:val="both"/>
        <w:rPr>
          <w:rFonts w:ascii="Calibri" w:hAnsi="Calibri"/>
          <w:sz w:val="20"/>
        </w:rPr>
      </w:pPr>
      <w:r>
        <w:rPr>
          <w:rFonts w:ascii="Calibri" w:hAnsi="Calibri"/>
          <w:sz w:val="20"/>
        </w:rPr>
        <w:t>2º En los casos de adquisición de autobuses, a nuestro entender, el recurso a la Disposición Adicional 33ª de la LCSP se encuentra justificado por la incertidumbre inherente a la financiación de estas operaciones, especialmente cuando dependen de fondos europeos o de la disponibilidad presupuestaria municipal.</w:t>
      </w:r>
    </w:p>
    <w:p>
      <w:pPr>
        <w:spacing w:line="256" w:lineRule="auto" w:before="148"/>
        <w:ind w:left="1925" w:right="2023" w:firstLine="0"/>
        <w:jc w:val="both"/>
        <w:rPr>
          <w:rFonts w:ascii="Calibri" w:hAnsi="Calibri"/>
          <w:sz w:val="20"/>
        </w:rPr>
      </w:pPr>
      <w:r>
        <w:rPr>
          <w:rFonts w:ascii="Calibri" w:hAnsi="Calibri"/>
          <w:sz w:val="20"/>
        </w:rPr>
        <w:t>Así,</w:t>
      </w:r>
      <w:r>
        <w:rPr>
          <w:rFonts w:ascii="Calibri" w:hAnsi="Calibri"/>
          <w:spacing w:val="-7"/>
          <w:sz w:val="20"/>
        </w:rPr>
        <w:t> </w:t>
      </w:r>
      <w:r>
        <w:rPr>
          <w:rFonts w:ascii="Calibri" w:hAnsi="Calibri"/>
          <w:sz w:val="20"/>
        </w:rPr>
        <w:t>en</w:t>
      </w:r>
      <w:r>
        <w:rPr>
          <w:rFonts w:ascii="Calibri" w:hAnsi="Calibri"/>
          <w:spacing w:val="-7"/>
          <w:sz w:val="20"/>
        </w:rPr>
        <w:t> </w:t>
      </w:r>
      <w:r>
        <w:rPr>
          <w:rFonts w:ascii="Calibri" w:hAnsi="Calibri"/>
          <w:sz w:val="20"/>
        </w:rPr>
        <w:t>los</w:t>
      </w:r>
      <w:r>
        <w:rPr>
          <w:rFonts w:ascii="Calibri" w:hAnsi="Calibri"/>
          <w:spacing w:val="-4"/>
          <w:sz w:val="20"/>
        </w:rPr>
        <w:t> </w:t>
      </w:r>
      <w:r>
        <w:rPr>
          <w:rFonts w:ascii="Calibri" w:hAnsi="Calibri"/>
          <w:sz w:val="20"/>
        </w:rPr>
        <w:t>expedientes</w:t>
      </w:r>
      <w:r>
        <w:rPr>
          <w:rFonts w:ascii="Calibri" w:hAnsi="Calibri"/>
          <w:spacing w:val="-8"/>
          <w:sz w:val="20"/>
        </w:rPr>
        <w:t> </w:t>
      </w:r>
      <w:r>
        <w:rPr>
          <w:rFonts w:ascii="Calibri" w:hAnsi="Calibri"/>
          <w:sz w:val="20"/>
        </w:rPr>
        <w:t>016/21</w:t>
      </w:r>
      <w:r>
        <w:rPr>
          <w:rFonts w:ascii="Calibri" w:hAnsi="Calibri"/>
          <w:spacing w:val="-3"/>
          <w:sz w:val="20"/>
        </w:rPr>
        <w:t> </w:t>
      </w:r>
      <w:r>
        <w:rPr>
          <w:rFonts w:ascii="Calibri" w:hAnsi="Calibri"/>
          <w:sz w:val="20"/>
        </w:rPr>
        <w:t>y</w:t>
      </w:r>
      <w:r>
        <w:rPr>
          <w:rFonts w:ascii="Calibri" w:hAnsi="Calibri"/>
          <w:spacing w:val="-7"/>
          <w:sz w:val="20"/>
        </w:rPr>
        <w:t> </w:t>
      </w:r>
      <w:r>
        <w:rPr>
          <w:rFonts w:ascii="Calibri" w:hAnsi="Calibri"/>
          <w:sz w:val="20"/>
        </w:rPr>
        <w:t>032/23</w:t>
      </w:r>
      <w:r>
        <w:rPr>
          <w:rFonts w:ascii="Calibri" w:hAnsi="Calibri"/>
          <w:spacing w:val="-3"/>
          <w:sz w:val="20"/>
        </w:rPr>
        <w:t> </w:t>
      </w:r>
      <w:r>
        <w:rPr>
          <w:rFonts w:ascii="Calibri" w:hAnsi="Calibri"/>
          <w:sz w:val="20"/>
        </w:rPr>
        <w:t>la</w:t>
      </w:r>
      <w:r>
        <w:rPr>
          <w:rFonts w:ascii="Calibri" w:hAnsi="Calibri"/>
          <w:spacing w:val="-5"/>
          <w:sz w:val="20"/>
        </w:rPr>
        <w:t> </w:t>
      </w:r>
      <w:r>
        <w:rPr>
          <w:rFonts w:ascii="Calibri" w:hAnsi="Calibri"/>
          <w:sz w:val="20"/>
        </w:rPr>
        <w:t>adquisición</w:t>
      </w:r>
      <w:r>
        <w:rPr>
          <w:rFonts w:ascii="Calibri" w:hAnsi="Calibri"/>
          <w:spacing w:val="-4"/>
          <w:sz w:val="20"/>
        </w:rPr>
        <w:t> </w:t>
      </w:r>
      <w:r>
        <w:rPr>
          <w:rFonts w:ascii="Calibri" w:hAnsi="Calibri"/>
          <w:sz w:val="20"/>
        </w:rPr>
        <w:t>de</w:t>
      </w:r>
      <w:r>
        <w:rPr>
          <w:rFonts w:ascii="Calibri" w:hAnsi="Calibri"/>
          <w:spacing w:val="-6"/>
          <w:sz w:val="20"/>
        </w:rPr>
        <w:t> </w:t>
      </w:r>
      <w:r>
        <w:rPr>
          <w:rFonts w:ascii="Calibri" w:hAnsi="Calibri"/>
          <w:sz w:val="20"/>
        </w:rPr>
        <w:t>autobuses</w:t>
      </w:r>
      <w:r>
        <w:rPr>
          <w:rFonts w:ascii="Calibri" w:hAnsi="Calibri"/>
          <w:spacing w:val="-7"/>
          <w:sz w:val="20"/>
        </w:rPr>
        <w:t> </w:t>
      </w:r>
      <w:r>
        <w:rPr>
          <w:rFonts w:ascii="Calibri" w:hAnsi="Calibri"/>
          <w:sz w:val="20"/>
        </w:rPr>
        <w:t>estaba</w:t>
      </w:r>
      <w:r>
        <w:rPr>
          <w:rFonts w:ascii="Calibri" w:hAnsi="Calibri"/>
          <w:spacing w:val="-7"/>
          <w:sz w:val="20"/>
        </w:rPr>
        <w:t> </w:t>
      </w:r>
      <w:r>
        <w:rPr>
          <w:rFonts w:ascii="Calibri" w:hAnsi="Calibri"/>
          <w:sz w:val="20"/>
        </w:rPr>
        <w:t>ligada</w:t>
      </w:r>
      <w:r>
        <w:rPr>
          <w:rFonts w:ascii="Calibri" w:hAnsi="Calibri"/>
          <w:spacing w:val="-5"/>
          <w:sz w:val="20"/>
        </w:rPr>
        <w:t> </w:t>
      </w:r>
      <w:r>
        <w:rPr>
          <w:rFonts w:ascii="Calibri" w:hAnsi="Calibri"/>
          <w:sz w:val="20"/>
        </w:rPr>
        <w:t>a</w:t>
      </w:r>
      <w:r>
        <w:rPr>
          <w:rFonts w:ascii="Calibri" w:hAnsi="Calibri"/>
          <w:spacing w:val="-5"/>
          <w:sz w:val="20"/>
        </w:rPr>
        <w:t> </w:t>
      </w:r>
      <w:r>
        <w:rPr>
          <w:rFonts w:ascii="Calibri" w:hAnsi="Calibri"/>
          <w:sz w:val="20"/>
        </w:rPr>
        <w:t>programas cofinanciados con fondos Next Generation EU, cuya concesión y cuantía final no eran plenamente ciertas en el momento de licitar. Este hecho obligaba a estructurar los contratos “en función</w:t>
      </w:r>
      <w:r>
        <w:rPr>
          <w:rFonts w:ascii="Calibri" w:hAnsi="Calibri"/>
          <w:spacing w:val="-3"/>
          <w:sz w:val="20"/>
        </w:rPr>
        <w:t> </w:t>
      </w:r>
      <w:r>
        <w:rPr>
          <w:rFonts w:ascii="Calibri" w:hAnsi="Calibri"/>
          <w:sz w:val="20"/>
        </w:rPr>
        <w:t>de las</w:t>
      </w:r>
      <w:r>
        <w:rPr>
          <w:rFonts w:ascii="Calibri" w:hAnsi="Calibri"/>
          <w:spacing w:val="-2"/>
          <w:sz w:val="20"/>
        </w:rPr>
        <w:t> </w:t>
      </w:r>
      <w:r>
        <w:rPr>
          <w:rFonts w:ascii="Calibri" w:hAnsi="Calibri"/>
          <w:sz w:val="20"/>
        </w:rPr>
        <w:t>necesidades”.</w:t>
      </w:r>
      <w:r>
        <w:rPr>
          <w:rFonts w:ascii="Calibri" w:hAnsi="Calibri"/>
          <w:spacing w:val="40"/>
          <w:sz w:val="20"/>
        </w:rPr>
        <w:t> </w:t>
      </w:r>
      <w:r>
        <w:rPr>
          <w:rFonts w:ascii="Calibri" w:hAnsi="Calibri"/>
          <w:sz w:val="20"/>
        </w:rPr>
        <w:t>Más</w:t>
      </w:r>
      <w:r>
        <w:rPr>
          <w:rFonts w:ascii="Calibri" w:hAnsi="Calibri"/>
          <w:spacing w:val="-3"/>
          <w:sz w:val="20"/>
        </w:rPr>
        <w:t> </w:t>
      </w:r>
      <w:r>
        <w:rPr>
          <w:rFonts w:ascii="Calibri" w:hAnsi="Calibri"/>
          <w:sz w:val="20"/>
        </w:rPr>
        <w:t>cuando, los</w:t>
      </w:r>
      <w:r>
        <w:rPr>
          <w:rFonts w:ascii="Calibri" w:hAnsi="Calibri"/>
          <w:spacing w:val="-1"/>
          <w:sz w:val="20"/>
        </w:rPr>
        <w:t> </w:t>
      </w:r>
      <w:r>
        <w:rPr>
          <w:rFonts w:ascii="Calibri" w:hAnsi="Calibri"/>
          <w:sz w:val="20"/>
        </w:rPr>
        <w:t>vehículos</w:t>
      </w:r>
      <w:r>
        <w:rPr>
          <w:rFonts w:ascii="Calibri" w:hAnsi="Calibri"/>
          <w:spacing w:val="-2"/>
          <w:sz w:val="20"/>
        </w:rPr>
        <w:t> </w:t>
      </w:r>
      <w:r>
        <w:rPr>
          <w:rFonts w:ascii="Calibri" w:hAnsi="Calibri"/>
          <w:sz w:val="20"/>
        </w:rPr>
        <w:t>eléctricos</w:t>
      </w:r>
      <w:r>
        <w:rPr>
          <w:rFonts w:ascii="Calibri" w:hAnsi="Calibri"/>
          <w:spacing w:val="-1"/>
          <w:sz w:val="20"/>
        </w:rPr>
        <w:t> </w:t>
      </w:r>
      <w:r>
        <w:rPr>
          <w:rFonts w:ascii="Calibri" w:hAnsi="Calibri"/>
          <w:sz w:val="20"/>
        </w:rPr>
        <w:t>tienen</w:t>
      </w:r>
      <w:r>
        <w:rPr>
          <w:rFonts w:ascii="Calibri" w:hAnsi="Calibri"/>
          <w:spacing w:val="-1"/>
          <w:sz w:val="20"/>
        </w:rPr>
        <w:t> </w:t>
      </w:r>
      <w:r>
        <w:rPr>
          <w:rFonts w:ascii="Calibri" w:hAnsi="Calibri"/>
          <w:sz w:val="20"/>
        </w:rPr>
        <w:t>un</w:t>
      </w:r>
      <w:r>
        <w:rPr>
          <w:rFonts w:ascii="Calibri" w:hAnsi="Calibri"/>
          <w:spacing w:val="-3"/>
          <w:sz w:val="20"/>
        </w:rPr>
        <w:t> </w:t>
      </w:r>
      <w:r>
        <w:rPr>
          <w:rFonts w:ascii="Calibri" w:hAnsi="Calibri"/>
          <w:sz w:val="20"/>
        </w:rPr>
        <w:t>precio</w:t>
      </w:r>
      <w:r>
        <w:rPr>
          <w:rFonts w:ascii="Calibri" w:hAnsi="Calibri"/>
          <w:spacing w:val="-1"/>
          <w:sz w:val="20"/>
        </w:rPr>
        <w:t> </w:t>
      </w:r>
      <w:r>
        <w:rPr>
          <w:rFonts w:ascii="Calibri" w:hAnsi="Calibri"/>
          <w:sz w:val="20"/>
        </w:rPr>
        <w:t>mucho mayor que los vehículos diésel o híbridos.</w:t>
      </w:r>
    </w:p>
    <w:p>
      <w:pPr>
        <w:spacing w:line="256" w:lineRule="auto" w:before="145"/>
        <w:ind w:left="1925" w:right="2021" w:firstLine="0"/>
        <w:jc w:val="both"/>
        <w:rPr>
          <w:rFonts w:ascii="Calibri" w:hAnsi="Calibri"/>
          <w:sz w:val="20"/>
        </w:rPr>
      </w:pPr>
      <w:r>
        <w:rPr>
          <w:rFonts w:ascii="Calibri" w:hAnsi="Calibri"/>
          <w:sz w:val="20"/>
        </w:rPr>
        <w:t>La DA 33ª LCSP regula precisamente los contratos de suministro sujetos a consumo según necesidades, estableciendo que la</w:t>
      </w:r>
      <w:r>
        <w:rPr>
          <w:rFonts w:ascii="Calibri" w:hAnsi="Calibri"/>
          <w:spacing w:val="-1"/>
          <w:sz w:val="20"/>
        </w:rPr>
        <w:t> </w:t>
      </w:r>
      <w:r>
        <w:rPr>
          <w:rFonts w:ascii="Calibri" w:hAnsi="Calibri"/>
          <w:sz w:val="20"/>
        </w:rPr>
        <w:t>modificación</w:t>
      </w:r>
      <w:r>
        <w:rPr>
          <w:rFonts w:ascii="Calibri" w:hAnsi="Calibri"/>
          <w:spacing w:val="-1"/>
          <w:sz w:val="20"/>
        </w:rPr>
        <w:t> </w:t>
      </w:r>
      <w:r>
        <w:rPr>
          <w:rFonts w:ascii="Calibri" w:hAnsi="Calibri"/>
          <w:sz w:val="20"/>
        </w:rPr>
        <w:t>del contrato</w:t>
      </w:r>
      <w:r>
        <w:rPr>
          <w:rFonts w:ascii="Calibri" w:hAnsi="Calibri"/>
          <w:spacing w:val="-1"/>
          <w:sz w:val="20"/>
        </w:rPr>
        <w:t> </w:t>
      </w:r>
      <w:r>
        <w:rPr>
          <w:rFonts w:ascii="Calibri" w:hAnsi="Calibri"/>
          <w:i/>
          <w:sz w:val="20"/>
        </w:rPr>
        <w:t>“no</w:t>
      </w:r>
      <w:r>
        <w:rPr>
          <w:rFonts w:ascii="Calibri" w:hAnsi="Calibri"/>
          <w:i/>
          <w:spacing w:val="-1"/>
          <w:sz w:val="20"/>
        </w:rPr>
        <w:t> </w:t>
      </w:r>
      <w:r>
        <w:rPr>
          <w:rFonts w:ascii="Calibri" w:hAnsi="Calibri"/>
          <w:i/>
          <w:sz w:val="20"/>
        </w:rPr>
        <w:t>es potestativa, sino que</w:t>
      </w:r>
      <w:r>
        <w:rPr>
          <w:rFonts w:ascii="Calibri" w:hAnsi="Calibri"/>
          <w:i/>
          <w:spacing w:val="-1"/>
          <w:sz w:val="20"/>
        </w:rPr>
        <w:t> </w:t>
      </w:r>
      <w:r>
        <w:rPr>
          <w:rFonts w:ascii="Calibri" w:hAnsi="Calibri"/>
          <w:i/>
          <w:sz w:val="20"/>
        </w:rPr>
        <w:t>debe</w:t>
      </w:r>
      <w:r>
        <w:rPr>
          <w:rFonts w:ascii="Calibri" w:hAnsi="Calibri"/>
          <w:i/>
          <w:sz w:val="20"/>
        </w:rPr>
        <w:t> preverse obligatoriamente en los pliegos”</w:t>
      </w:r>
      <w:r>
        <w:rPr>
          <w:rFonts w:ascii="Calibri" w:hAnsi="Calibri"/>
          <w:sz w:val="20"/>
        </w:rPr>
        <w:t>. Esto implica que, si las necesidades reales (y la financiación disponible) resultan superiores a las inicialmente estimadas, la entidad contratante pueda ampliar el pedido hasta un 20% del precio inicial mediante la tramitación del oportuno expediente de modificación, conforme al art. 204 LCSP.</w:t>
      </w:r>
    </w:p>
    <w:p>
      <w:pPr>
        <w:spacing w:line="256" w:lineRule="auto" w:before="147"/>
        <w:ind w:left="1925" w:right="2019" w:firstLine="0"/>
        <w:jc w:val="both"/>
        <w:rPr>
          <w:rFonts w:ascii="Calibri" w:hAnsi="Calibri"/>
          <w:sz w:val="20"/>
        </w:rPr>
      </w:pPr>
      <w:r>
        <w:rPr>
          <w:rFonts w:ascii="Calibri" w:hAnsi="Calibri"/>
          <w:sz w:val="20"/>
        </w:rPr>
        <w:t>Por</w:t>
      </w:r>
      <w:r>
        <w:rPr>
          <w:rFonts w:ascii="Calibri" w:hAnsi="Calibri"/>
          <w:spacing w:val="-5"/>
          <w:sz w:val="20"/>
        </w:rPr>
        <w:t> </w:t>
      </w:r>
      <w:r>
        <w:rPr>
          <w:rFonts w:ascii="Calibri" w:hAnsi="Calibri"/>
          <w:sz w:val="20"/>
        </w:rPr>
        <w:t>tanto,</w:t>
      </w:r>
      <w:r>
        <w:rPr>
          <w:rFonts w:ascii="Calibri" w:hAnsi="Calibri"/>
          <w:spacing w:val="-5"/>
          <w:sz w:val="20"/>
        </w:rPr>
        <w:t> </w:t>
      </w:r>
      <w:r>
        <w:rPr>
          <w:rFonts w:ascii="Calibri" w:hAnsi="Calibri"/>
          <w:sz w:val="20"/>
        </w:rPr>
        <w:t>la</w:t>
      </w:r>
      <w:r>
        <w:rPr>
          <w:rFonts w:ascii="Calibri" w:hAnsi="Calibri"/>
          <w:spacing w:val="-5"/>
          <w:sz w:val="20"/>
        </w:rPr>
        <w:t> </w:t>
      </w:r>
      <w:r>
        <w:rPr>
          <w:rFonts w:ascii="Calibri" w:hAnsi="Calibri"/>
          <w:sz w:val="20"/>
        </w:rPr>
        <w:t>propia</w:t>
      </w:r>
      <w:r>
        <w:rPr>
          <w:rFonts w:ascii="Calibri" w:hAnsi="Calibri"/>
          <w:spacing w:val="-4"/>
          <w:sz w:val="20"/>
        </w:rPr>
        <w:t> </w:t>
      </w:r>
      <w:r>
        <w:rPr>
          <w:rFonts w:ascii="Calibri" w:hAnsi="Calibri"/>
          <w:sz w:val="20"/>
        </w:rPr>
        <w:t>normativa</w:t>
      </w:r>
      <w:r>
        <w:rPr>
          <w:rFonts w:ascii="Calibri" w:hAnsi="Calibri"/>
          <w:spacing w:val="-6"/>
          <w:sz w:val="20"/>
        </w:rPr>
        <w:t> </w:t>
      </w:r>
      <w:r>
        <w:rPr>
          <w:rFonts w:ascii="Calibri" w:hAnsi="Calibri"/>
          <w:sz w:val="20"/>
        </w:rPr>
        <w:t>prevé</w:t>
      </w:r>
      <w:r>
        <w:rPr>
          <w:rFonts w:ascii="Calibri" w:hAnsi="Calibri"/>
          <w:spacing w:val="-4"/>
          <w:sz w:val="20"/>
        </w:rPr>
        <w:t> </w:t>
      </w:r>
      <w:r>
        <w:rPr>
          <w:rFonts w:ascii="Calibri" w:hAnsi="Calibri"/>
          <w:sz w:val="20"/>
        </w:rPr>
        <w:t>este</w:t>
      </w:r>
      <w:r>
        <w:rPr>
          <w:rFonts w:ascii="Calibri" w:hAnsi="Calibri"/>
          <w:spacing w:val="-6"/>
          <w:sz w:val="20"/>
        </w:rPr>
        <w:t> </w:t>
      </w:r>
      <w:r>
        <w:rPr>
          <w:rFonts w:ascii="Calibri" w:hAnsi="Calibri"/>
          <w:sz w:val="20"/>
        </w:rPr>
        <w:t>mecanismo</w:t>
      </w:r>
      <w:r>
        <w:rPr>
          <w:rFonts w:ascii="Calibri" w:hAnsi="Calibri"/>
          <w:spacing w:val="-5"/>
          <w:sz w:val="20"/>
        </w:rPr>
        <w:t> </w:t>
      </w:r>
      <w:r>
        <w:rPr>
          <w:rFonts w:ascii="Calibri" w:hAnsi="Calibri"/>
          <w:sz w:val="20"/>
        </w:rPr>
        <w:t>para</w:t>
      </w:r>
      <w:r>
        <w:rPr>
          <w:rFonts w:ascii="Calibri" w:hAnsi="Calibri"/>
          <w:spacing w:val="-5"/>
          <w:sz w:val="20"/>
        </w:rPr>
        <w:t> </w:t>
      </w:r>
      <w:r>
        <w:rPr>
          <w:rFonts w:ascii="Calibri" w:hAnsi="Calibri"/>
          <w:sz w:val="20"/>
        </w:rPr>
        <w:t>absorber</w:t>
      </w:r>
      <w:r>
        <w:rPr>
          <w:rFonts w:ascii="Calibri" w:hAnsi="Calibri"/>
          <w:spacing w:val="-3"/>
          <w:sz w:val="20"/>
        </w:rPr>
        <w:t> </w:t>
      </w:r>
      <w:r>
        <w:rPr>
          <w:rFonts w:ascii="Calibri" w:hAnsi="Calibri"/>
          <w:sz w:val="20"/>
        </w:rPr>
        <w:t>incrementos</w:t>
      </w:r>
      <w:r>
        <w:rPr>
          <w:rFonts w:ascii="Calibri" w:hAnsi="Calibri"/>
          <w:spacing w:val="-6"/>
          <w:sz w:val="20"/>
        </w:rPr>
        <w:t> </w:t>
      </w:r>
      <w:r>
        <w:rPr>
          <w:rFonts w:ascii="Calibri" w:hAnsi="Calibri"/>
          <w:sz w:val="20"/>
        </w:rPr>
        <w:t>de</w:t>
      </w:r>
      <w:r>
        <w:rPr>
          <w:rFonts w:ascii="Calibri" w:hAnsi="Calibri"/>
          <w:spacing w:val="-3"/>
          <w:sz w:val="20"/>
        </w:rPr>
        <w:t> </w:t>
      </w:r>
      <w:r>
        <w:rPr>
          <w:rFonts w:ascii="Calibri" w:hAnsi="Calibri"/>
          <w:sz w:val="20"/>
        </w:rPr>
        <w:t>necesidad vinculados, por ejemplo, a una inyección adicional de fondos externos o a la liberación de crédito municipal no previsto inicialmente. Como decíamos antes, en el caso del Programa Next Generation, dichas compras de autobuses eléctricos han estado supeditadas a convocatorias de ayudas estatales (p. ej. Orden TMA/892/2021, Zonas de Bajas Emisiones) y a hitos</w:t>
      </w:r>
      <w:r>
        <w:rPr>
          <w:rFonts w:ascii="Calibri" w:hAnsi="Calibri"/>
          <w:spacing w:val="-4"/>
          <w:sz w:val="20"/>
        </w:rPr>
        <w:t> </w:t>
      </w:r>
      <w:r>
        <w:rPr>
          <w:rFonts w:ascii="Calibri" w:hAnsi="Calibri"/>
          <w:sz w:val="20"/>
        </w:rPr>
        <w:t>temporales</w:t>
      </w:r>
      <w:r>
        <w:rPr>
          <w:rFonts w:ascii="Calibri" w:hAnsi="Calibri"/>
          <w:spacing w:val="-8"/>
          <w:sz w:val="20"/>
        </w:rPr>
        <w:t> </w:t>
      </w:r>
      <w:r>
        <w:rPr>
          <w:rFonts w:ascii="Calibri" w:hAnsi="Calibri"/>
          <w:sz w:val="20"/>
        </w:rPr>
        <w:t>estrictos.</w:t>
      </w:r>
      <w:r>
        <w:rPr>
          <w:rFonts w:ascii="Calibri" w:hAnsi="Calibri"/>
          <w:spacing w:val="-10"/>
          <w:sz w:val="20"/>
        </w:rPr>
        <w:t> </w:t>
      </w:r>
      <w:r>
        <w:rPr>
          <w:rFonts w:ascii="Calibri" w:hAnsi="Calibri"/>
          <w:sz w:val="20"/>
        </w:rPr>
        <w:t>En</w:t>
      </w:r>
      <w:r>
        <w:rPr>
          <w:rFonts w:ascii="Calibri" w:hAnsi="Calibri"/>
          <w:spacing w:val="-4"/>
          <w:sz w:val="20"/>
        </w:rPr>
        <w:t> </w:t>
      </w:r>
      <w:r>
        <w:rPr>
          <w:rFonts w:ascii="Calibri" w:hAnsi="Calibri"/>
          <w:sz w:val="20"/>
        </w:rPr>
        <w:t>estos</w:t>
      </w:r>
      <w:r>
        <w:rPr>
          <w:rFonts w:ascii="Calibri" w:hAnsi="Calibri"/>
          <w:spacing w:val="-3"/>
          <w:sz w:val="20"/>
        </w:rPr>
        <w:t> </w:t>
      </w:r>
      <w:r>
        <w:rPr>
          <w:rFonts w:ascii="Calibri" w:hAnsi="Calibri"/>
          <w:sz w:val="20"/>
        </w:rPr>
        <w:t>casos,</w:t>
      </w:r>
      <w:r>
        <w:rPr>
          <w:rFonts w:ascii="Calibri" w:hAnsi="Calibri"/>
          <w:spacing w:val="-5"/>
          <w:sz w:val="20"/>
        </w:rPr>
        <w:t> </w:t>
      </w:r>
      <w:r>
        <w:rPr>
          <w:rFonts w:ascii="Calibri" w:hAnsi="Calibri"/>
          <w:sz w:val="20"/>
        </w:rPr>
        <w:t>la</w:t>
      </w:r>
      <w:r>
        <w:rPr>
          <w:rFonts w:ascii="Calibri" w:hAnsi="Calibri"/>
          <w:spacing w:val="-7"/>
          <w:sz w:val="20"/>
        </w:rPr>
        <w:t> </w:t>
      </w:r>
      <w:r>
        <w:rPr>
          <w:rFonts w:ascii="Calibri" w:hAnsi="Calibri"/>
          <w:sz w:val="20"/>
        </w:rPr>
        <w:t>previsión</w:t>
      </w:r>
      <w:r>
        <w:rPr>
          <w:rFonts w:ascii="Calibri" w:hAnsi="Calibri"/>
          <w:spacing w:val="-6"/>
          <w:sz w:val="20"/>
        </w:rPr>
        <w:t> </w:t>
      </w:r>
      <w:r>
        <w:rPr>
          <w:rFonts w:ascii="Calibri" w:hAnsi="Calibri"/>
          <w:sz w:val="20"/>
        </w:rPr>
        <w:t>de</w:t>
      </w:r>
      <w:r>
        <w:rPr>
          <w:rFonts w:ascii="Calibri" w:hAnsi="Calibri"/>
          <w:spacing w:val="-6"/>
          <w:sz w:val="20"/>
        </w:rPr>
        <w:t> </w:t>
      </w:r>
      <w:r>
        <w:rPr>
          <w:rFonts w:ascii="Calibri" w:hAnsi="Calibri"/>
          <w:sz w:val="20"/>
        </w:rPr>
        <w:t>modificación</w:t>
      </w:r>
      <w:r>
        <w:rPr>
          <w:rFonts w:ascii="Calibri" w:hAnsi="Calibri"/>
          <w:spacing w:val="-6"/>
          <w:sz w:val="20"/>
        </w:rPr>
        <w:t> </w:t>
      </w:r>
      <w:r>
        <w:rPr>
          <w:rFonts w:ascii="Calibri" w:hAnsi="Calibri"/>
          <w:sz w:val="20"/>
        </w:rPr>
        <w:t>prevista</w:t>
      </w:r>
      <w:r>
        <w:rPr>
          <w:rFonts w:ascii="Calibri" w:hAnsi="Calibri"/>
          <w:spacing w:val="-8"/>
          <w:sz w:val="20"/>
        </w:rPr>
        <w:t> </w:t>
      </w:r>
      <w:r>
        <w:rPr>
          <w:rFonts w:ascii="Calibri" w:hAnsi="Calibri"/>
          <w:sz w:val="20"/>
        </w:rPr>
        <w:t>en</w:t>
      </w:r>
      <w:r>
        <w:rPr>
          <w:rFonts w:ascii="Calibri" w:hAnsi="Calibri"/>
          <w:spacing w:val="-4"/>
          <w:sz w:val="20"/>
        </w:rPr>
        <w:t> </w:t>
      </w:r>
      <w:r>
        <w:rPr>
          <w:rFonts w:ascii="Calibri" w:hAnsi="Calibri"/>
          <w:sz w:val="20"/>
        </w:rPr>
        <w:t>base</w:t>
      </w:r>
      <w:r>
        <w:rPr>
          <w:rFonts w:ascii="Calibri" w:hAnsi="Calibri"/>
          <w:spacing w:val="-5"/>
          <w:sz w:val="20"/>
        </w:rPr>
        <w:t> </w:t>
      </w:r>
      <w:r>
        <w:rPr>
          <w:rFonts w:ascii="Calibri" w:hAnsi="Calibri"/>
          <w:sz w:val="20"/>
        </w:rPr>
        <w:t>a</w:t>
      </w:r>
      <w:r>
        <w:rPr>
          <w:rFonts w:ascii="Calibri" w:hAnsi="Calibri"/>
          <w:spacing w:val="-4"/>
          <w:sz w:val="20"/>
        </w:rPr>
        <w:t> </w:t>
      </w:r>
      <w:r>
        <w:rPr>
          <w:rFonts w:ascii="Calibri" w:hAnsi="Calibri"/>
          <w:sz w:val="20"/>
        </w:rPr>
        <w:t>la</w:t>
      </w:r>
      <w:r>
        <w:rPr>
          <w:rFonts w:ascii="Calibri" w:hAnsi="Calibri"/>
          <w:spacing w:val="-8"/>
          <w:sz w:val="20"/>
        </w:rPr>
        <w:t> </w:t>
      </w:r>
      <w:r>
        <w:rPr>
          <w:rFonts w:ascii="Calibri" w:hAnsi="Calibri"/>
          <w:sz w:val="20"/>
        </w:rPr>
        <w:t>DA 33ª ha</w:t>
      </w:r>
      <w:r>
        <w:rPr>
          <w:rFonts w:ascii="Calibri" w:hAnsi="Calibri"/>
          <w:spacing w:val="-2"/>
          <w:sz w:val="20"/>
        </w:rPr>
        <w:t> </w:t>
      </w:r>
      <w:r>
        <w:rPr>
          <w:rFonts w:ascii="Calibri" w:hAnsi="Calibri"/>
          <w:sz w:val="20"/>
        </w:rPr>
        <w:t>permitido al Ayuntamiento adaptar el</w:t>
      </w:r>
      <w:r>
        <w:rPr>
          <w:rFonts w:ascii="Calibri" w:hAnsi="Calibri"/>
          <w:spacing w:val="-1"/>
          <w:sz w:val="20"/>
        </w:rPr>
        <w:t> </w:t>
      </w:r>
      <w:r>
        <w:rPr>
          <w:rFonts w:ascii="Calibri" w:hAnsi="Calibri"/>
          <w:sz w:val="20"/>
        </w:rPr>
        <w:t>alcance</w:t>
      </w:r>
      <w:r>
        <w:rPr>
          <w:rFonts w:ascii="Calibri" w:hAnsi="Calibri"/>
          <w:spacing w:val="-2"/>
          <w:sz w:val="20"/>
        </w:rPr>
        <w:t> </w:t>
      </w:r>
      <w:r>
        <w:rPr>
          <w:rFonts w:ascii="Calibri" w:hAnsi="Calibri"/>
          <w:sz w:val="20"/>
        </w:rPr>
        <w:t>del contrato a</w:t>
      </w:r>
      <w:r>
        <w:rPr>
          <w:rFonts w:ascii="Calibri" w:hAnsi="Calibri"/>
          <w:spacing w:val="-3"/>
          <w:sz w:val="20"/>
        </w:rPr>
        <w:t> </w:t>
      </w:r>
      <w:r>
        <w:rPr>
          <w:rFonts w:ascii="Calibri" w:hAnsi="Calibri"/>
          <w:sz w:val="20"/>
        </w:rPr>
        <w:t>la financiación finalmente recibida</w:t>
      </w:r>
      <w:r>
        <w:rPr>
          <w:rFonts w:ascii="Calibri" w:hAnsi="Calibri"/>
          <w:spacing w:val="-5"/>
          <w:sz w:val="20"/>
        </w:rPr>
        <w:t> </w:t>
      </w:r>
      <w:r>
        <w:rPr>
          <w:rFonts w:ascii="Calibri" w:hAnsi="Calibri"/>
          <w:sz w:val="20"/>
        </w:rPr>
        <w:t>sin</w:t>
      </w:r>
      <w:r>
        <w:rPr>
          <w:rFonts w:ascii="Calibri" w:hAnsi="Calibri"/>
          <w:spacing w:val="-9"/>
          <w:sz w:val="20"/>
        </w:rPr>
        <w:t> </w:t>
      </w:r>
      <w:r>
        <w:rPr>
          <w:rFonts w:ascii="Calibri" w:hAnsi="Calibri"/>
          <w:sz w:val="20"/>
        </w:rPr>
        <w:t>incurrir</w:t>
      </w:r>
      <w:r>
        <w:rPr>
          <w:rFonts w:ascii="Calibri" w:hAnsi="Calibri"/>
          <w:spacing w:val="-7"/>
          <w:sz w:val="20"/>
        </w:rPr>
        <w:t> </w:t>
      </w:r>
      <w:r>
        <w:rPr>
          <w:rFonts w:ascii="Calibri" w:hAnsi="Calibri"/>
          <w:sz w:val="20"/>
        </w:rPr>
        <w:t>en</w:t>
      </w:r>
      <w:r>
        <w:rPr>
          <w:rFonts w:ascii="Calibri" w:hAnsi="Calibri"/>
          <w:spacing w:val="-6"/>
          <w:sz w:val="20"/>
        </w:rPr>
        <w:t> </w:t>
      </w:r>
      <w:r>
        <w:rPr>
          <w:rFonts w:ascii="Calibri" w:hAnsi="Calibri"/>
          <w:sz w:val="20"/>
        </w:rPr>
        <w:t>sobrecostes</w:t>
      </w:r>
      <w:r>
        <w:rPr>
          <w:rFonts w:ascii="Calibri" w:hAnsi="Calibri"/>
          <w:spacing w:val="-4"/>
          <w:sz w:val="20"/>
        </w:rPr>
        <w:t> </w:t>
      </w:r>
      <w:r>
        <w:rPr>
          <w:rFonts w:ascii="Calibri" w:hAnsi="Calibri"/>
          <w:sz w:val="20"/>
        </w:rPr>
        <w:t>ni</w:t>
      </w:r>
      <w:r>
        <w:rPr>
          <w:rFonts w:ascii="Calibri" w:hAnsi="Calibri"/>
          <w:spacing w:val="-3"/>
          <w:sz w:val="20"/>
        </w:rPr>
        <w:t> </w:t>
      </w:r>
      <w:r>
        <w:rPr>
          <w:rFonts w:ascii="Calibri" w:hAnsi="Calibri"/>
          <w:sz w:val="20"/>
        </w:rPr>
        <w:t>dilaciones,</w:t>
      </w:r>
      <w:r>
        <w:rPr>
          <w:rFonts w:ascii="Calibri" w:hAnsi="Calibri"/>
          <w:spacing w:val="-6"/>
          <w:sz w:val="20"/>
        </w:rPr>
        <w:t> </w:t>
      </w:r>
      <w:r>
        <w:rPr>
          <w:rFonts w:ascii="Calibri" w:hAnsi="Calibri"/>
          <w:sz w:val="20"/>
        </w:rPr>
        <w:t>garantizando</w:t>
      </w:r>
      <w:r>
        <w:rPr>
          <w:rFonts w:ascii="Calibri" w:hAnsi="Calibri"/>
          <w:spacing w:val="-5"/>
          <w:sz w:val="20"/>
        </w:rPr>
        <w:t> </w:t>
      </w:r>
      <w:r>
        <w:rPr>
          <w:rFonts w:ascii="Calibri" w:hAnsi="Calibri"/>
          <w:sz w:val="20"/>
        </w:rPr>
        <w:t>el</w:t>
      </w:r>
      <w:r>
        <w:rPr>
          <w:rFonts w:ascii="Calibri" w:hAnsi="Calibri"/>
          <w:spacing w:val="-5"/>
          <w:sz w:val="20"/>
        </w:rPr>
        <w:t> </w:t>
      </w:r>
      <w:r>
        <w:rPr>
          <w:rFonts w:ascii="Calibri" w:hAnsi="Calibri"/>
          <w:sz w:val="20"/>
        </w:rPr>
        <w:t>cumplimiento</w:t>
      </w:r>
      <w:r>
        <w:rPr>
          <w:rFonts w:ascii="Calibri" w:hAnsi="Calibri"/>
          <w:spacing w:val="-5"/>
          <w:sz w:val="20"/>
        </w:rPr>
        <w:t> </w:t>
      </w:r>
      <w:r>
        <w:rPr>
          <w:rFonts w:ascii="Calibri" w:hAnsi="Calibri"/>
          <w:sz w:val="20"/>
        </w:rPr>
        <w:t>de</w:t>
      </w:r>
      <w:r>
        <w:rPr>
          <w:rFonts w:ascii="Calibri" w:hAnsi="Calibri"/>
          <w:spacing w:val="-4"/>
          <w:sz w:val="20"/>
        </w:rPr>
        <w:t> </w:t>
      </w:r>
      <w:r>
        <w:rPr>
          <w:rFonts w:ascii="Calibri" w:hAnsi="Calibri"/>
          <w:sz w:val="20"/>
        </w:rPr>
        <w:t>objetivos</w:t>
      </w:r>
      <w:r>
        <w:rPr>
          <w:rFonts w:ascii="Calibri" w:hAnsi="Calibri"/>
          <w:spacing w:val="-4"/>
          <w:sz w:val="20"/>
        </w:rPr>
        <w:t> </w:t>
      </w:r>
      <w:r>
        <w:rPr>
          <w:rFonts w:ascii="Calibri" w:hAnsi="Calibri"/>
          <w:sz w:val="20"/>
        </w:rPr>
        <w:t>en tiempo y forma.</w:t>
      </w:r>
    </w:p>
    <w:p>
      <w:pPr>
        <w:spacing w:line="256" w:lineRule="auto" w:before="145"/>
        <w:ind w:left="1925" w:right="2021" w:firstLine="0"/>
        <w:jc w:val="both"/>
        <w:rPr>
          <w:rFonts w:ascii="Calibri" w:hAnsi="Calibri"/>
          <w:sz w:val="20"/>
        </w:rPr>
      </w:pPr>
      <w:r>
        <w:rPr>
          <w:rFonts w:ascii="Calibri" w:hAnsi="Calibri"/>
          <w:sz w:val="20"/>
        </w:rPr>
        <w:t>3º Así mismo, conviene decir, que concretamente, esta disposición es también idónea para prever ampliaciones del 20% en contratos de autobuses híbridos sin financiación europea, insistimos, se trata de una práctica común y para atender y ajustarse a las necesidades del servicio. Más cuando el suministro en cuestión está íntimamente vinculado con la prestación del servicio público esencial de transporte urbano en la ciudad de Málaga, dando servicio a todas las personas, evitando brechas sociales, desigualdades y fomentando de este modo la movilidad sostenible en la ciudad.</w:t>
      </w:r>
    </w:p>
    <w:p>
      <w:pPr>
        <w:spacing w:line="259" w:lineRule="auto" w:before="144"/>
        <w:ind w:left="1925" w:right="2021" w:firstLine="0"/>
        <w:jc w:val="both"/>
        <w:rPr>
          <w:rFonts w:ascii="Calibri" w:hAnsi="Calibri"/>
          <w:sz w:val="20"/>
        </w:rPr>
      </w:pPr>
      <w:r>
        <w:rPr>
          <w:rFonts w:ascii="Calibri" w:hAnsi="Calibri"/>
          <w:sz w:val="20"/>
        </w:rPr>
        <w:t>Por este motivo, en el expediente 016/24, relativo a la compra de autobuses articulados híbridos con financiación</w:t>
      </w:r>
      <w:r>
        <w:rPr>
          <w:rFonts w:ascii="Calibri" w:hAnsi="Calibri"/>
          <w:spacing w:val="-2"/>
          <w:sz w:val="20"/>
        </w:rPr>
        <w:t> </w:t>
      </w:r>
      <w:r>
        <w:rPr>
          <w:rFonts w:ascii="Calibri" w:hAnsi="Calibri"/>
          <w:sz w:val="20"/>
        </w:rPr>
        <w:t>exclusivamente</w:t>
      </w:r>
      <w:r>
        <w:rPr>
          <w:rFonts w:ascii="Calibri" w:hAnsi="Calibri"/>
          <w:spacing w:val="-6"/>
          <w:sz w:val="20"/>
        </w:rPr>
        <w:t> </w:t>
      </w:r>
      <w:r>
        <w:rPr>
          <w:rFonts w:ascii="Calibri" w:hAnsi="Calibri"/>
          <w:sz w:val="20"/>
        </w:rPr>
        <w:t>municipal,</w:t>
      </w:r>
      <w:r>
        <w:rPr>
          <w:rFonts w:ascii="Calibri" w:hAnsi="Calibri"/>
          <w:spacing w:val="-2"/>
          <w:sz w:val="20"/>
        </w:rPr>
        <w:t> </w:t>
      </w:r>
      <w:r>
        <w:rPr>
          <w:rFonts w:ascii="Calibri" w:hAnsi="Calibri"/>
          <w:sz w:val="20"/>
        </w:rPr>
        <w:t>también</w:t>
      </w:r>
      <w:r>
        <w:rPr>
          <w:rFonts w:ascii="Calibri" w:hAnsi="Calibri"/>
          <w:spacing w:val="-5"/>
          <w:sz w:val="20"/>
        </w:rPr>
        <w:t> </w:t>
      </w:r>
      <w:r>
        <w:rPr>
          <w:rFonts w:ascii="Calibri" w:hAnsi="Calibri"/>
          <w:sz w:val="20"/>
        </w:rPr>
        <w:t>se</w:t>
      </w:r>
      <w:r>
        <w:rPr>
          <w:rFonts w:ascii="Calibri" w:hAnsi="Calibri"/>
          <w:spacing w:val="-2"/>
          <w:sz w:val="20"/>
        </w:rPr>
        <w:t> </w:t>
      </w:r>
      <w:r>
        <w:rPr>
          <w:rFonts w:ascii="Calibri" w:hAnsi="Calibri"/>
          <w:sz w:val="20"/>
        </w:rPr>
        <w:t>aplicó</w:t>
      </w:r>
      <w:r>
        <w:rPr>
          <w:rFonts w:ascii="Calibri" w:hAnsi="Calibri"/>
          <w:spacing w:val="-1"/>
          <w:sz w:val="20"/>
        </w:rPr>
        <w:t> </w:t>
      </w:r>
      <w:r>
        <w:rPr>
          <w:rFonts w:ascii="Calibri" w:hAnsi="Calibri"/>
          <w:sz w:val="20"/>
        </w:rPr>
        <w:t>la</w:t>
      </w:r>
      <w:r>
        <w:rPr>
          <w:rFonts w:ascii="Calibri" w:hAnsi="Calibri"/>
          <w:spacing w:val="-3"/>
          <w:sz w:val="20"/>
        </w:rPr>
        <w:t> </w:t>
      </w:r>
      <w:r>
        <w:rPr>
          <w:rFonts w:ascii="Calibri" w:hAnsi="Calibri"/>
          <w:sz w:val="20"/>
        </w:rPr>
        <w:t>DA</w:t>
      </w:r>
      <w:r>
        <w:rPr>
          <w:rFonts w:ascii="Calibri" w:hAnsi="Calibri"/>
          <w:spacing w:val="-3"/>
          <w:sz w:val="20"/>
        </w:rPr>
        <w:t> </w:t>
      </w:r>
      <w:r>
        <w:rPr>
          <w:rFonts w:ascii="Calibri" w:hAnsi="Calibri"/>
          <w:sz w:val="20"/>
        </w:rPr>
        <w:t>33ª</w:t>
      </w:r>
      <w:r>
        <w:rPr>
          <w:rFonts w:ascii="Calibri" w:hAnsi="Calibri"/>
          <w:spacing w:val="-4"/>
          <w:sz w:val="20"/>
        </w:rPr>
        <w:t> </w:t>
      </w:r>
      <w:r>
        <w:rPr>
          <w:rFonts w:ascii="Calibri" w:hAnsi="Calibri"/>
          <w:sz w:val="20"/>
        </w:rPr>
        <w:t>para</w:t>
      </w:r>
      <w:r>
        <w:rPr>
          <w:rFonts w:ascii="Calibri" w:hAnsi="Calibri"/>
          <w:spacing w:val="-3"/>
          <w:sz w:val="20"/>
        </w:rPr>
        <w:t> </w:t>
      </w:r>
      <w:r>
        <w:rPr>
          <w:rFonts w:ascii="Calibri" w:hAnsi="Calibri"/>
          <w:sz w:val="20"/>
        </w:rPr>
        <w:t>anticipar una posible ampliación de hasta el 20% del suministro.</w:t>
      </w:r>
    </w:p>
    <w:p>
      <w:pPr>
        <w:spacing w:line="256" w:lineRule="auto" w:before="140"/>
        <w:ind w:left="1925" w:right="2022" w:firstLine="0"/>
        <w:jc w:val="both"/>
        <w:rPr>
          <w:rFonts w:ascii="Calibri" w:hAnsi="Calibri"/>
          <w:sz w:val="20"/>
        </w:rPr>
      </w:pPr>
      <w:r>
        <w:rPr>
          <w:rFonts w:ascii="Calibri" w:hAnsi="Calibri"/>
          <w:sz w:val="20"/>
        </w:rPr>
        <w:t>Esta práctica, insistimos, es común y plenamente conforme a la LCSP, resultando adecuado para</w:t>
      </w:r>
      <w:r>
        <w:rPr>
          <w:rFonts w:ascii="Calibri" w:hAnsi="Calibri"/>
          <w:spacing w:val="30"/>
          <w:sz w:val="20"/>
        </w:rPr>
        <w:t> </w:t>
      </w:r>
      <w:r>
        <w:rPr>
          <w:rFonts w:ascii="Calibri" w:hAnsi="Calibri"/>
          <w:sz w:val="20"/>
        </w:rPr>
        <w:t>atender</w:t>
      </w:r>
      <w:r>
        <w:rPr>
          <w:rFonts w:ascii="Calibri" w:hAnsi="Calibri"/>
          <w:spacing w:val="30"/>
          <w:sz w:val="20"/>
        </w:rPr>
        <w:t> </w:t>
      </w:r>
      <w:r>
        <w:rPr>
          <w:rFonts w:ascii="Calibri" w:hAnsi="Calibri"/>
          <w:sz w:val="20"/>
        </w:rPr>
        <w:t>las</w:t>
      </w:r>
      <w:r>
        <w:rPr>
          <w:rFonts w:ascii="Calibri" w:hAnsi="Calibri"/>
          <w:spacing w:val="31"/>
          <w:sz w:val="20"/>
        </w:rPr>
        <w:t> </w:t>
      </w:r>
      <w:r>
        <w:rPr>
          <w:rFonts w:ascii="Calibri" w:hAnsi="Calibri"/>
          <w:sz w:val="20"/>
        </w:rPr>
        <w:t>necesidades</w:t>
      </w:r>
      <w:r>
        <w:rPr>
          <w:rFonts w:ascii="Calibri" w:hAnsi="Calibri"/>
          <w:spacing w:val="31"/>
          <w:sz w:val="20"/>
        </w:rPr>
        <w:t> </w:t>
      </w:r>
      <w:r>
        <w:rPr>
          <w:rFonts w:ascii="Calibri" w:hAnsi="Calibri"/>
          <w:sz w:val="20"/>
        </w:rPr>
        <w:t>del</w:t>
      </w:r>
      <w:r>
        <w:rPr>
          <w:rFonts w:ascii="Calibri" w:hAnsi="Calibri"/>
          <w:spacing w:val="31"/>
          <w:sz w:val="20"/>
        </w:rPr>
        <w:t> </w:t>
      </w:r>
      <w:r>
        <w:rPr>
          <w:rFonts w:ascii="Calibri" w:hAnsi="Calibri"/>
          <w:sz w:val="20"/>
        </w:rPr>
        <w:t>servicio</w:t>
      </w:r>
      <w:r>
        <w:rPr>
          <w:rFonts w:ascii="Calibri" w:hAnsi="Calibri"/>
          <w:spacing w:val="32"/>
          <w:sz w:val="20"/>
        </w:rPr>
        <w:t> </w:t>
      </w:r>
      <w:r>
        <w:rPr>
          <w:rFonts w:ascii="Calibri" w:hAnsi="Calibri"/>
          <w:sz w:val="20"/>
        </w:rPr>
        <w:t>de</w:t>
      </w:r>
      <w:r>
        <w:rPr>
          <w:rFonts w:ascii="Calibri" w:hAnsi="Calibri"/>
          <w:spacing w:val="31"/>
          <w:sz w:val="20"/>
        </w:rPr>
        <w:t> </w:t>
      </w:r>
      <w:r>
        <w:rPr>
          <w:rFonts w:ascii="Calibri" w:hAnsi="Calibri"/>
          <w:sz w:val="20"/>
        </w:rPr>
        <w:t>transporte.</w:t>
      </w:r>
      <w:r>
        <w:rPr>
          <w:rFonts w:ascii="Calibri" w:hAnsi="Calibri"/>
          <w:spacing w:val="29"/>
          <w:sz w:val="20"/>
        </w:rPr>
        <w:t> </w:t>
      </w:r>
      <w:r>
        <w:rPr>
          <w:rFonts w:ascii="Calibri" w:hAnsi="Calibri"/>
          <w:sz w:val="20"/>
        </w:rPr>
        <w:t>Conviene</w:t>
      </w:r>
      <w:r>
        <w:rPr>
          <w:rFonts w:ascii="Calibri" w:hAnsi="Calibri"/>
          <w:spacing w:val="29"/>
          <w:sz w:val="20"/>
        </w:rPr>
        <w:t> </w:t>
      </w:r>
      <w:r>
        <w:rPr>
          <w:rFonts w:ascii="Calibri" w:hAnsi="Calibri"/>
          <w:sz w:val="20"/>
        </w:rPr>
        <w:t>subrayar</w:t>
      </w:r>
      <w:r>
        <w:rPr>
          <w:rFonts w:ascii="Calibri" w:hAnsi="Calibri"/>
          <w:spacing w:val="29"/>
          <w:sz w:val="20"/>
        </w:rPr>
        <w:t> </w:t>
      </w:r>
      <w:r>
        <w:rPr>
          <w:rFonts w:ascii="Calibri" w:hAnsi="Calibri"/>
          <w:sz w:val="20"/>
        </w:rPr>
        <w:t>que</w:t>
      </w:r>
      <w:r>
        <w:rPr>
          <w:rFonts w:ascii="Calibri" w:hAnsi="Calibri"/>
          <w:spacing w:val="32"/>
          <w:sz w:val="20"/>
        </w:rPr>
        <w:t> </w:t>
      </w:r>
      <w:r>
        <w:rPr>
          <w:rFonts w:ascii="Calibri" w:hAnsi="Calibri"/>
          <w:sz w:val="20"/>
        </w:rPr>
        <w:t>la</w:t>
      </w:r>
      <w:r>
        <w:rPr>
          <w:rFonts w:ascii="Calibri" w:hAnsi="Calibri"/>
          <w:spacing w:val="28"/>
          <w:sz w:val="20"/>
        </w:rPr>
        <w:t> </w:t>
      </w:r>
      <w:r>
        <w:rPr>
          <w:rFonts w:ascii="Calibri" w:hAnsi="Calibri"/>
          <w:sz w:val="20"/>
        </w:rPr>
        <w:t>DA</w:t>
      </w:r>
      <w:r>
        <w:rPr>
          <w:rFonts w:ascii="Calibri" w:hAnsi="Calibri"/>
          <w:spacing w:val="28"/>
          <w:sz w:val="20"/>
        </w:rPr>
        <w:t> </w:t>
      </w:r>
      <w:r>
        <w:rPr>
          <w:rFonts w:ascii="Calibri" w:hAnsi="Calibri"/>
          <w:sz w:val="20"/>
        </w:rPr>
        <w:t>33ª</w:t>
      </w:r>
    </w:p>
    <w:p>
      <w:pPr>
        <w:pStyle w:val="BodyText"/>
        <w:spacing w:before="214"/>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817" name="Group 817"/>
                <wp:cNvGraphicFramePr>
                  <a:graphicFrameLocks/>
                </wp:cNvGraphicFramePr>
                <a:graphic>
                  <a:graphicData uri="http://schemas.microsoft.com/office/word/2010/wordprocessingGroup">
                    <wpg:wgp>
                      <wpg:cNvPr id="817" name="Group 817"/>
                      <wpg:cNvGrpSpPr/>
                      <wpg:grpSpPr>
                        <a:xfrm>
                          <a:off x="0" y="0"/>
                          <a:ext cx="1870075" cy="6350"/>
                          <a:chExt cx="1870075" cy="6350"/>
                        </a:xfrm>
                      </wpg:grpSpPr>
                      <wps:wsp>
                        <wps:cNvPr id="818" name="Graphic 818"/>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642" coordorigin="0,0" coordsize="2945,10">
                <v:rect style="position:absolute;left:0;top:0;width:2945;height:10" id="docshape643"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819" name="Group 819"/>
                <wp:cNvGraphicFramePr>
                  <a:graphicFrameLocks/>
                </wp:cNvGraphicFramePr>
                <a:graphic>
                  <a:graphicData uri="http://schemas.microsoft.com/office/word/2010/wordprocessingGroup">
                    <wpg:wgp>
                      <wpg:cNvPr id="819" name="Group 819"/>
                      <wpg:cNvGrpSpPr/>
                      <wpg:grpSpPr>
                        <a:xfrm>
                          <a:off x="0" y="0"/>
                          <a:ext cx="841375" cy="6350"/>
                          <a:chExt cx="841375" cy="6350"/>
                        </a:xfrm>
                      </wpg:grpSpPr>
                      <wps:wsp>
                        <wps:cNvPr id="820" name="Graphic 820"/>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644" coordorigin="0,0" coordsize="1325,10">
                <v:rect style="position:absolute;left:0;top:0;width:1325;height:10" id="docshape645"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07"/>
          <w:headerReference w:type="default" r:id="rId208"/>
          <w:footerReference w:type="even" r:id="rId209"/>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77"/>
        <w:gridCol w:w="2298"/>
        <w:gridCol w:w="819"/>
        <w:gridCol w:w="517"/>
        <w:gridCol w:w="1023"/>
        <w:gridCol w:w="932"/>
        <w:gridCol w:w="1134"/>
        <w:gridCol w:w="1165"/>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77" w:type="dxa"/>
            <w:tcBorders>
              <w:left w:val="single" w:sz="6" w:space="0" w:color="000000"/>
              <w:bottom w:val="single" w:sz="6" w:space="0" w:color="000000"/>
              <w:right w:val="nil"/>
            </w:tcBorders>
          </w:tcPr>
          <w:p>
            <w:pPr>
              <w:pStyle w:val="TableParagraph"/>
              <w:rPr>
                <w:rFonts w:ascii="Times New Roman"/>
                <w:sz w:val="14"/>
              </w:rPr>
            </w:pPr>
          </w:p>
        </w:tc>
        <w:tc>
          <w:tcPr>
            <w:tcW w:w="2298"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36" w:type="dxa"/>
            <w:gridSpan w:val="2"/>
            <w:tcBorders>
              <w:left w:val="nil"/>
              <w:bottom w:val="single" w:sz="6" w:space="0" w:color="000000"/>
              <w:right w:val="single" w:sz="6" w:space="0" w:color="000000"/>
            </w:tcBorders>
          </w:tcPr>
          <w:p>
            <w:pPr>
              <w:pStyle w:val="TableParagraph"/>
              <w:rPr>
                <w:rFonts w:ascii="Times New Roman"/>
                <w:sz w:val="14"/>
              </w:rPr>
            </w:pPr>
          </w:p>
        </w:tc>
        <w:tc>
          <w:tcPr>
            <w:tcW w:w="1023"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2"/>
              <w:rPr>
                <w:rFonts w:ascii="Arial"/>
                <w:position w:val="-1"/>
                <w:sz w:val="10"/>
              </w:rPr>
            </w:pPr>
            <w:r>
              <w:rPr>
                <w:rFonts w:ascii="Arial"/>
                <w:position w:val="-1"/>
                <w:sz w:val="10"/>
              </w:rPr>
              <w:drawing>
                <wp:inline distT="0" distB="0" distL="0" distR="0">
                  <wp:extent cx="266700" cy="66675"/>
                  <wp:effectExtent l="0" t="0" r="0" b="0"/>
                  <wp:docPr id="821" name="Image 821"/>
                  <wp:cNvGraphicFramePr>
                    <a:graphicFrameLocks/>
                  </wp:cNvGraphicFramePr>
                  <a:graphic>
                    <a:graphicData uri="http://schemas.openxmlformats.org/drawingml/2006/picture">
                      <pic:pic>
                        <pic:nvPicPr>
                          <pic:cNvPr id="821" name="Image 82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6"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3"/>
              <w:rPr>
                <w:rFonts w:ascii="Arial"/>
                <w:position w:val="-2"/>
                <w:sz w:val="13"/>
              </w:rPr>
            </w:pPr>
            <w:r>
              <w:rPr>
                <w:rFonts w:ascii="Arial"/>
                <w:position w:val="-2"/>
                <w:sz w:val="13"/>
              </w:rPr>
              <w:drawing>
                <wp:inline distT="0" distB="0" distL="0" distR="0">
                  <wp:extent cx="498011" cy="85058"/>
                  <wp:effectExtent l="0" t="0" r="0" b="0"/>
                  <wp:docPr id="822" name="Image 822"/>
                  <wp:cNvGraphicFramePr>
                    <a:graphicFrameLocks/>
                  </wp:cNvGraphicFramePr>
                  <a:graphic>
                    <a:graphicData uri="http://schemas.openxmlformats.org/drawingml/2006/picture">
                      <pic:pic>
                        <pic:nvPicPr>
                          <pic:cNvPr id="822" name="Image 82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65" w:type="dxa"/>
            <w:vMerge w:val="restart"/>
            <w:tcBorders>
              <w:top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11"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364928">
                      <wp:simplePos x="0" y="0"/>
                      <wp:positionH relativeFrom="column">
                        <wp:posOffset>-1298447</wp:posOffset>
                      </wp:positionH>
                      <wp:positionV relativeFrom="paragraph">
                        <wp:posOffset>-144895</wp:posOffset>
                      </wp:positionV>
                      <wp:extent cx="1298575" cy="417830"/>
                      <wp:effectExtent l="0" t="0" r="0" b="0"/>
                      <wp:wrapNone/>
                      <wp:docPr id="823" name="Group 823"/>
                      <wp:cNvGraphicFramePr>
                        <a:graphicFrameLocks/>
                      </wp:cNvGraphicFramePr>
                      <a:graphic>
                        <a:graphicData uri="http://schemas.microsoft.com/office/word/2010/wordprocessingGroup">
                          <wpg:wgp>
                            <wpg:cNvPr id="823" name="Group 823"/>
                            <wpg:cNvGrpSpPr/>
                            <wpg:grpSpPr>
                              <a:xfrm>
                                <a:off x="0" y="0"/>
                                <a:ext cx="1298575" cy="417830"/>
                                <a:chExt cx="1298575" cy="417830"/>
                              </a:xfrm>
                            </wpg:grpSpPr>
                            <wps:wsp>
                              <wps:cNvPr id="824" name="Graphic 824"/>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825" name="Image 825"/>
                                <pic:cNvPicPr/>
                              </pic:nvPicPr>
                              <pic:blipFill>
                                <a:blip r:embed="rId17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51552" id="docshapegroup646" coordorigin="-2045,-228" coordsize="2045,658">
                      <v:shape style="position:absolute;left:-2045;top:-229;width:2045;height:658" id="docshape647" coordorigin="-2045,-228" coordsize="2045,658" path="m0,-228l-2045,-228,-2045,-10,-2045,-7,-2045,429,0,429,0,-7,0,-10,0,-228xe" filled="true" fillcolor="#cccccc" stroked="false">
                        <v:path arrowok="t"/>
                        <v:fill type="solid"/>
                      </v:shape>
                      <v:shape style="position:absolute;left:-1973;top:-154;width:1896;height:327" type="#_x0000_t75" id="docshape648" stroked="false">
                        <v:imagedata r:id="rId17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3"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3"/>
              <w:rPr>
                <w:rFonts w:ascii="Arial"/>
                <w:sz w:val="14"/>
              </w:rPr>
            </w:pPr>
            <w:r>
              <w:rPr>
                <w:rFonts w:ascii="Arial"/>
                <w:spacing w:val="-2"/>
                <w:sz w:val="14"/>
              </w:rPr>
              <w:t>Firmado</w:t>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380"/>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65"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826" name="Image 826"/>
                  <wp:cNvGraphicFramePr>
                    <a:graphicFrameLocks/>
                  </wp:cNvGraphicFramePr>
                  <a:graphic>
                    <a:graphicData uri="http://schemas.openxmlformats.org/drawingml/2006/picture">
                      <pic:pic>
                        <pic:nvPicPr>
                          <pic:cNvPr id="826" name="Image 826"/>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11"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3"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2"/>
              <w:rPr>
                <w:rFonts w:ascii="Arial"/>
                <w:position w:val="-2"/>
                <w:sz w:val="13"/>
              </w:rPr>
            </w:pPr>
            <w:r>
              <w:rPr>
                <w:rFonts w:ascii="Arial"/>
                <w:position w:val="-2"/>
                <w:sz w:val="13"/>
              </w:rPr>
              <w:drawing>
                <wp:inline distT="0" distB="0" distL="0" distR="0">
                  <wp:extent cx="263096" cy="84010"/>
                  <wp:effectExtent l="0" t="0" r="0" b="0"/>
                  <wp:docPr id="827" name="Image 827"/>
                  <wp:cNvGraphicFramePr>
                    <a:graphicFrameLocks/>
                  </wp:cNvGraphicFramePr>
                  <a:graphic>
                    <a:graphicData uri="http://schemas.openxmlformats.org/drawingml/2006/picture">
                      <pic:pic>
                        <pic:nvPicPr>
                          <pic:cNvPr id="827" name="Image 827"/>
                          <pic:cNvPicPr/>
                        </pic:nvPicPr>
                        <pic:blipFill>
                          <a:blip r:embed="rId185" cstate="print"/>
                          <a:stretch>
                            <a:fillRect/>
                          </a:stretch>
                        </pic:blipFill>
                        <pic:spPr>
                          <a:xfrm>
                            <a:off x="0" y="0"/>
                            <a:ext cx="263096" cy="84010"/>
                          </a:xfrm>
                          <a:prstGeom prst="rect">
                            <a:avLst/>
                          </a:prstGeom>
                        </pic:spPr>
                      </pic:pic>
                    </a:graphicData>
                  </a:graphic>
                </wp:inline>
              </w:drawing>
            </w:r>
            <w:r>
              <w:rPr>
                <w:rFonts w:ascii="Arial"/>
                <w:position w:val="-2"/>
                <w:sz w:val="13"/>
              </w:rPr>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2" w:right="1"/>
              <w:jc w:val="center"/>
              <w:rPr>
                <w:rFonts w:ascii="Arial"/>
                <w:sz w:val="14"/>
              </w:rPr>
            </w:pPr>
            <w:r>
              <w:rPr>
                <w:rFonts w:ascii="Arial"/>
                <w:sz w:val="14"/>
              </w:rPr>
              <mc:AlternateContent>
                <mc:Choice Requires="wps">
                  <w:drawing>
                    <wp:anchor distT="0" distB="0" distL="0" distR="0" allowOverlap="1" layoutInCell="1" locked="0" behindDoc="1" simplePos="0" relativeHeight="474365440">
                      <wp:simplePos x="0" y="0"/>
                      <wp:positionH relativeFrom="column">
                        <wp:posOffset>1320546</wp:posOffset>
                      </wp:positionH>
                      <wp:positionV relativeFrom="paragraph">
                        <wp:posOffset>-311735</wp:posOffset>
                      </wp:positionV>
                      <wp:extent cx="734695" cy="753110"/>
                      <wp:effectExtent l="0" t="0" r="0" b="0"/>
                      <wp:wrapNone/>
                      <wp:docPr id="828" name="Group 828"/>
                      <wp:cNvGraphicFramePr>
                        <a:graphicFrameLocks/>
                      </wp:cNvGraphicFramePr>
                      <a:graphic>
                        <a:graphicData uri="http://schemas.microsoft.com/office/word/2010/wordprocessingGroup">
                          <wpg:wgp>
                            <wpg:cNvPr id="828" name="Group 828"/>
                            <wpg:cNvGrpSpPr/>
                            <wpg:grpSpPr>
                              <a:xfrm>
                                <a:off x="0" y="0"/>
                                <a:ext cx="734695" cy="753110"/>
                                <a:chExt cx="734695" cy="753110"/>
                              </a:xfrm>
                            </wpg:grpSpPr>
                            <pic:pic>
                              <pic:nvPicPr>
                                <pic:cNvPr id="829" name="Image 829"/>
                                <pic:cNvPicPr/>
                              </pic:nvPicPr>
                              <pic:blipFill>
                                <a:blip r:embed="rId210" cstate="print"/>
                                <a:stretch>
                                  <a:fillRect/>
                                </a:stretch>
                              </pic:blipFill>
                              <pic:spPr>
                                <a:xfrm>
                                  <a:off x="0" y="0"/>
                                  <a:ext cx="734552" cy="752855"/>
                                </a:xfrm>
                                <a:prstGeom prst="rect">
                                  <a:avLst/>
                                </a:prstGeom>
                              </pic:spPr>
                            </pic:pic>
                            <wps:wsp>
                              <wps:cNvPr id="830" name="Graphic 830"/>
                              <wps:cNvSpPr/>
                              <wps:spPr>
                                <a:xfrm>
                                  <a:off x="30530" y="40182"/>
                                  <a:ext cx="699770" cy="684530"/>
                                </a:xfrm>
                                <a:custGeom>
                                  <a:avLst/>
                                  <a:gdLst/>
                                  <a:ahLst/>
                                  <a:cxnLst/>
                                  <a:rect l="l" t="t" r="r" b="b"/>
                                  <a:pathLst>
                                    <a:path w="699770" h="684530">
                                      <a:moveTo>
                                        <a:pt x="699541" y="0"/>
                                      </a:moveTo>
                                      <a:lnTo>
                                        <a:pt x="0" y="0"/>
                                      </a:lnTo>
                                      <a:lnTo>
                                        <a:pt x="0" y="684491"/>
                                      </a:lnTo>
                                      <a:lnTo>
                                        <a:pt x="699541" y="684491"/>
                                      </a:lnTo>
                                      <a:lnTo>
                                        <a:pt x="69954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608pt;width:57.85pt;height:59.3pt;mso-position-horizontal-relative:column;mso-position-vertical-relative:paragraph;z-index:-28951040" id="docshapegroup649" coordorigin="2080,-491" coordsize="1157,1186">
                      <v:shape style="position:absolute;left:2079;top:-491;width:1157;height:1186" type="#_x0000_t75" id="docshape650" stroked="false">
                        <v:imagedata r:id="rId210" o:title=""/>
                      </v:shape>
                      <v:rect style="position:absolute;left:2127;top:-428;width:1102;height:1078" id="docshape651" filled="true" fillcolor="#000000" stroked="false">
                        <v:fill type="solid"/>
                      </v:rect>
                      <w10:wrap type="none"/>
                    </v:group>
                  </w:pict>
                </mc:Fallback>
              </mc:AlternateContent>
            </w:r>
            <w:r>
              <w:rPr>
                <w:rFonts w:ascii="Arial"/>
                <w:spacing w:val="-4"/>
                <w:sz w:val="14"/>
              </w:rPr>
              <w:t>6/40</w:t>
            </w:r>
          </w:p>
        </w:tc>
        <w:tc>
          <w:tcPr>
            <w:tcW w:w="1165"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831" name="Image 831"/>
                  <wp:cNvGraphicFramePr>
                    <a:graphicFrameLocks/>
                  </wp:cNvGraphicFramePr>
                  <a:graphic>
                    <a:graphicData uri="http://schemas.openxmlformats.org/drawingml/2006/picture">
                      <pic:pic>
                        <pic:nvPicPr>
                          <pic:cNvPr id="831" name="Image 831"/>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94"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ight="-15"/>
              <w:rPr>
                <w:rFonts w:ascii="Courier New"/>
                <w:sz w:val="14"/>
              </w:rPr>
            </w:pPr>
            <w:hyperlink r:id="rId211">
              <w:r>
                <w:rPr>
                  <w:rFonts w:ascii="Courier New"/>
                  <w:spacing w:val="-2"/>
                  <w:sz w:val="14"/>
                </w:rPr>
                <w:t>https://valida.malaga.eu/verifirma/code/</w:t>
              </w:r>
            </w:hyperlink>
          </w:p>
        </w:tc>
        <w:tc>
          <w:tcPr>
            <w:tcW w:w="2472"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134" w:type="dxa"/>
            <w:tcBorders>
              <w:top w:val="single" w:sz="6" w:space="0" w:color="000000"/>
              <w:left w:val="nil"/>
              <w:bottom w:val="single" w:sz="6" w:space="0" w:color="000000"/>
            </w:tcBorders>
          </w:tcPr>
          <w:p>
            <w:pPr>
              <w:pStyle w:val="TableParagraph"/>
              <w:rPr>
                <w:rFonts w:ascii="Times New Roman"/>
                <w:sz w:val="14"/>
              </w:rPr>
            </w:pPr>
          </w:p>
        </w:tc>
        <w:tc>
          <w:tcPr>
            <w:tcW w:w="1165" w:type="dxa"/>
            <w:vMerge/>
            <w:tcBorders>
              <w:top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832" name="Image 832"/>
                  <wp:cNvGraphicFramePr>
                    <a:graphicFrameLocks/>
                  </wp:cNvGraphicFramePr>
                  <a:graphic>
                    <a:graphicData uri="http://schemas.openxmlformats.org/drawingml/2006/picture">
                      <pic:pic>
                        <pic:nvPicPr>
                          <pic:cNvPr id="832" name="Image 832"/>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200"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65" w:type="dxa"/>
            <w:vMerge/>
            <w:tcBorders>
              <w:top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1925" w:right="2019" w:firstLine="0"/>
        <w:jc w:val="both"/>
        <w:rPr>
          <w:rFonts w:ascii="Calibri" w:hAnsi="Calibri"/>
          <w:sz w:val="20"/>
        </w:rPr>
      </w:pPr>
      <w:r>
        <w:rPr>
          <w:rFonts w:ascii="Calibri" w:hAnsi="Calibri"/>
          <w:sz w:val="20"/>
        </w:rPr>
        <w:t>obliga a prever en los pliegos la modificación hasta un 20% en los contratos basados en unidades de suministro no determinadas de antemano. Por tanto, lejos de ser un uso discrecional</w:t>
      </w:r>
      <w:r>
        <w:rPr>
          <w:rFonts w:ascii="Calibri" w:hAnsi="Calibri"/>
          <w:spacing w:val="-9"/>
          <w:sz w:val="20"/>
        </w:rPr>
        <w:t> </w:t>
      </w:r>
      <w:r>
        <w:rPr>
          <w:rFonts w:ascii="Calibri" w:hAnsi="Calibri"/>
          <w:sz w:val="20"/>
        </w:rPr>
        <w:t>injustificado,</w:t>
      </w:r>
      <w:r>
        <w:rPr>
          <w:rFonts w:ascii="Calibri" w:hAnsi="Calibri"/>
          <w:spacing w:val="-6"/>
          <w:sz w:val="20"/>
        </w:rPr>
        <w:t> </w:t>
      </w:r>
      <w:r>
        <w:rPr>
          <w:rFonts w:ascii="Calibri" w:hAnsi="Calibri"/>
          <w:sz w:val="20"/>
        </w:rPr>
        <w:t>la</w:t>
      </w:r>
      <w:r>
        <w:rPr>
          <w:rFonts w:ascii="Calibri" w:hAnsi="Calibri"/>
          <w:spacing w:val="-9"/>
          <w:sz w:val="20"/>
        </w:rPr>
        <w:t> </w:t>
      </w:r>
      <w:r>
        <w:rPr>
          <w:rFonts w:ascii="Calibri" w:hAnsi="Calibri"/>
          <w:sz w:val="20"/>
        </w:rPr>
        <w:t>inclusión</w:t>
      </w:r>
      <w:r>
        <w:rPr>
          <w:rFonts w:ascii="Calibri" w:hAnsi="Calibri"/>
          <w:spacing w:val="-5"/>
          <w:sz w:val="20"/>
        </w:rPr>
        <w:t> </w:t>
      </w:r>
      <w:r>
        <w:rPr>
          <w:rFonts w:ascii="Calibri" w:hAnsi="Calibri"/>
          <w:sz w:val="20"/>
        </w:rPr>
        <w:t>de</w:t>
      </w:r>
      <w:r>
        <w:rPr>
          <w:rFonts w:ascii="Calibri" w:hAnsi="Calibri"/>
          <w:spacing w:val="-6"/>
          <w:sz w:val="20"/>
        </w:rPr>
        <w:t> </w:t>
      </w:r>
      <w:r>
        <w:rPr>
          <w:rFonts w:ascii="Calibri" w:hAnsi="Calibri"/>
          <w:sz w:val="20"/>
        </w:rPr>
        <w:t>esta</w:t>
      </w:r>
      <w:r>
        <w:rPr>
          <w:rFonts w:ascii="Calibri" w:hAnsi="Calibri"/>
          <w:spacing w:val="-6"/>
          <w:sz w:val="20"/>
        </w:rPr>
        <w:t> </w:t>
      </w:r>
      <w:r>
        <w:rPr>
          <w:rFonts w:ascii="Calibri" w:hAnsi="Calibri"/>
          <w:sz w:val="20"/>
        </w:rPr>
        <w:t>cláusula</w:t>
      </w:r>
      <w:r>
        <w:rPr>
          <w:rFonts w:ascii="Calibri" w:hAnsi="Calibri"/>
          <w:spacing w:val="-10"/>
          <w:sz w:val="20"/>
        </w:rPr>
        <w:t> </w:t>
      </w:r>
      <w:r>
        <w:rPr>
          <w:rFonts w:ascii="Calibri" w:hAnsi="Calibri"/>
          <w:sz w:val="20"/>
        </w:rPr>
        <w:t>es</w:t>
      </w:r>
      <w:r>
        <w:rPr>
          <w:rFonts w:ascii="Calibri" w:hAnsi="Calibri"/>
          <w:spacing w:val="-9"/>
          <w:sz w:val="20"/>
        </w:rPr>
        <w:t> </w:t>
      </w:r>
      <w:r>
        <w:rPr>
          <w:rFonts w:ascii="Calibri" w:hAnsi="Calibri"/>
          <w:sz w:val="20"/>
        </w:rPr>
        <w:t>una</w:t>
      </w:r>
      <w:r>
        <w:rPr>
          <w:rFonts w:ascii="Calibri" w:hAnsi="Calibri"/>
          <w:spacing w:val="-6"/>
          <w:sz w:val="20"/>
        </w:rPr>
        <w:t> </w:t>
      </w:r>
      <w:r>
        <w:rPr>
          <w:rFonts w:ascii="Calibri" w:hAnsi="Calibri"/>
          <w:sz w:val="20"/>
        </w:rPr>
        <w:t>exigencia</w:t>
      </w:r>
      <w:r>
        <w:rPr>
          <w:rFonts w:ascii="Calibri" w:hAnsi="Calibri"/>
          <w:spacing w:val="-5"/>
          <w:sz w:val="20"/>
        </w:rPr>
        <w:t> </w:t>
      </w:r>
      <w:r>
        <w:rPr>
          <w:rFonts w:ascii="Calibri" w:hAnsi="Calibri"/>
          <w:sz w:val="20"/>
        </w:rPr>
        <w:t>legal</w:t>
      </w:r>
      <w:r>
        <w:rPr>
          <w:rFonts w:ascii="Calibri" w:hAnsi="Calibri"/>
          <w:spacing w:val="-9"/>
          <w:sz w:val="20"/>
        </w:rPr>
        <w:t> </w:t>
      </w:r>
      <w:r>
        <w:rPr>
          <w:rFonts w:ascii="Calibri" w:hAnsi="Calibri"/>
          <w:sz w:val="20"/>
        </w:rPr>
        <w:t>cuando</w:t>
      </w:r>
      <w:r>
        <w:rPr>
          <w:rFonts w:ascii="Calibri" w:hAnsi="Calibri"/>
          <w:spacing w:val="-5"/>
          <w:sz w:val="20"/>
        </w:rPr>
        <w:t> </w:t>
      </w:r>
      <w:r>
        <w:rPr>
          <w:rFonts w:ascii="Calibri" w:hAnsi="Calibri"/>
          <w:sz w:val="20"/>
        </w:rPr>
        <w:t>el</w:t>
      </w:r>
      <w:r>
        <w:rPr>
          <w:rFonts w:ascii="Calibri" w:hAnsi="Calibri"/>
          <w:spacing w:val="-9"/>
          <w:sz w:val="20"/>
        </w:rPr>
        <w:t> </w:t>
      </w:r>
      <w:r>
        <w:rPr>
          <w:rFonts w:ascii="Calibri" w:hAnsi="Calibri"/>
          <w:sz w:val="20"/>
        </w:rPr>
        <w:t>contrato se plantea por precio unitario y según necesidades.</w:t>
      </w:r>
    </w:p>
    <w:p>
      <w:pPr>
        <w:spacing w:line="256" w:lineRule="auto" w:before="148"/>
        <w:ind w:left="1925" w:right="2018" w:firstLine="0"/>
        <w:jc w:val="both"/>
        <w:rPr>
          <w:rFonts w:ascii="Calibri" w:hAnsi="Calibri"/>
          <w:sz w:val="20"/>
        </w:rPr>
      </w:pPr>
      <w:r>
        <w:rPr>
          <w:rFonts w:ascii="Calibri" w:hAnsi="Calibri"/>
          <w:sz w:val="20"/>
        </w:rPr>
        <w:t>4º En todos los expedientes mencionados, la cláusula 25.1 del Pliego de Cláusulas Administrativas Particulares (PCAP) recoge expresamente la posibilidad de modificar el contrato durante su vigencia: </w:t>
      </w:r>
      <w:r>
        <w:rPr>
          <w:rFonts w:ascii="Calibri" w:hAnsi="Calibri"/>
          <w:i/>
          <w:sz w:val="20"/>
        </w:rPr>
        <w:t>“hasta un máximo del veinte por ciento del precio inicial, dado</w:t>
      </w:r>
      <w:r>
        <w:rPr>
          <w:rFonts w:ascii="Calibri" w:hAnsi="Calibri"/>
          <w:i/>
          <w:sz w:val="20"/>
        </w:rPr>
        <w:t> que se trata de un suministro en función de las necesidades del servicio de transporte público urbano”</w:t>
      </w:r>
      <w:r>
        <w:rPr>
          <w:rFonts w:ascii="Calibri" w:hAnsi="Calibri"/>
          <w:sz w:val="20"/>
        </w:rPr>
        <w:t>, de acuerdo con la DA 33ª LCSP.</w:t>
      </w:r>
    </w:p>
    <w:p>
      <w:pPr>
        <w:spacing w:line="256" w:lineRule="auto" w:before="146"/>
        <w:ind w:left="1925" w:right="2024" w:firstLine="0"/>
        <w:jc w:val="both"/>
        <w:rPr>
          <w:rFonts w:ascii="Calibri" w:hAnsi="Calibri"/>
          <w:sz w:val="20"/>
        </w:rPr>
      </w:pPr>
      <w:r>
        <w:rPr>
          <w:rFonts w:ascii="Calibri" w:hAnsi="Calibri"/>
          <w:sz w:val="20"/>
        </w:rPr>
        <w:t>Esta previsión no solo figura en los pliegos (sección de “Modificaciones previstas”), sino que además se refleja en el valor estimado del contrato calculado para cada licitación como se puede comprobar en las licitaciones referidas.</w:t>
      </w:r>
    </w:p>
    <w:p>
      <w:pPr>
        <w:spacing w:line="256" w:lineRule="auto" w:before="145"/>
        <w:ind w:left="1925" w:right="2020" w:firstLine="0"/>
        <w:jc w:val="both"/>
        <w:rPr>
          <w:rFonts w:ascii="Calibri" w:hAnsi="Calibri"/>
          <w:sz w:val="20"/>
        </w:rPr>
      </w:pPr>
      <w:r>
        <w:rPr>
          <w:rFonts w:ascii="Calibri" w:hAnsi="Calibri"/>
          <w:sz w:val="20"/>
        </w:rPr>
        <w:t>Esta forma de proceder (previniendo ampliaciones de hasta el 20%) es ordinaria en contratos de suministro de material de transporte, máxime tratándose de material rodante urbano, y permite obtener precios unitarios más estables para futuras necesidades. Y respeta sobradamente los principios generales de la contratación pública, incluyendo el alcance económico de las mismas en el valor estimado del contrato, de modo que se garantice la publicidad y transparencia debida.</w:t>
      </w:r>
    </w:p>
    <w:p>
      <w:pPr>
        <w:spacing w:line="256" w:lineRule="auto" w:before="146"/>
        <w:ind w:left="1925" w:right="2016" w:firstLine="0"/>
        <w:jc w:val="both"/>
        <w:rPr>
          <w:rFonts w:ascii="Calibri" w:hAnsi="Calibri"/>
          <w:sz w:val="20"/>
        </w:rPr>
      </w:pPr>
      <w:r>
        <w:rPr>
          <w:rFonts w:ascii="Calibri" w:hAnsi="Calibri"/>
          <w:sz w:val="20"/>
        </w:rPr>
        <mc:AlternateContent>
          <mc:Choice Requires="wps">
            <w:drawing>
              <wp:anchor distT="0" distB="0" distL="0" distR="0" allowOverlap="1" layoutInCell="1" locked="0" behindDoc="1" simplePos="0" relativeHeight="474367488">
                <wp:simplePos x="0" y="0"/>
                <wp:positionH relativeFrom="page">
                  <wp:posOffset>5992367</wp:posOffset>
                </wp:positionH>
                <wp:positionV relativeFrom="paragraph">
                  <wp:posOffset>392487</wp:posOffset>
                </wp:positionV>
                <wp:extent cx="32384" cy="9525"/>
                <wp:effectExtent l="0" t="0" r="0" b="0"/>
                <wp:wrapNone/>
                <wp:docPr id="849" name="Graphic 849"/>
                <wp:cNvGraphicFramePr>
                  <a:graphicFrameLocks/>
                </wp:cNvGraphicFramePr>
                <a:graphic>
                  <a:graphicData uri="http://schemas.microsoft.com/office/word/2010/wordprocessingShape">
                    <wps:wsp>
                      <wps:cNvPr id="849" name="Graphic 849"/>
                      <wps:cNvSpPr/>
                      <wps:spPr>
                        <a:xfrm>
                          <a:off x="0" y="0"/>
                          <a:ext cx="32384" cy="9525"/>
                        </a:xfrm>
                        <a:custGeom>
                          <a:avLst/>
                          <a:gdLst/>
                          <a:ahLst/>
                          <a:cxnLst/>
                          <a:rect l="l" t="t" r="r" b="b"/>
                          <a:pathLst>
                            <a:path w="32384" h="9525">
                              <a:moveTo>
                                <a:pt x="32004" y="0"/>
                              </a:moveTo>
                              <a:lnTo>
                                <a:pt x="0" y="0"/>
                              </a:lnTo>
                              <a:lnTo>
                                <a:pt x="0" y="9144"/>
                              </a:lnTo>
                              <a:lnTo>
                                <a:pt x="32004" y="9144"/>
                              </a:lnTo>
                              <a:lnTo>
                                <a:pt x="32004" y="0"/>
                              </a:lnTo>
                              <a:close/>
                            </a:path>
                          </a:pathLst>
                        </a:custGeom>
                        <a:solidFill>
                          <a:srgbClr val="0563C1"/>
                        </a:solidFill>
                      </wps:spPr>
                      <wps:bodyPr wrap="square" lIns="0" tIns="0" rIns="0" bIns="0" rtlCol="0">
                        <a:prstTxWarp prst="textNoShape">
                          <a:avLst/>
                        </a:prstTxWarp>
                        <a:noAutofit/>
                      </wps:bodyPr>
                    </wps:wsp>
                  </a:graphicData>
                </a:graphic>
              </wp:anchor>
            </w:drawing>
          </mc:Choice>
          <mc:Fallback>
            <w:pict>
              <v:rect style="position:absolute;margin-left:471.839996pt;margin-top:30.904531pt;width:2.52pt;height:.72pt;mso-position-horizontal-relative:page;mso-position-vertical-relative:paragraph;z-index:-28948992" id="docshape664" filled="true" fillcolor="#0563c1" stroked="false">
                <v:fill type="solid"/>
                <w10:wrap type="none"/>
              </v:rect>
            </w:pict>
          </mc:Fallback>
        </mc:AlternateContent>
      </w:r>
      <w:r>
        <w:rPr>
          <w:rFonts w:ascii="Calibri" w:hAnsi="Calibri"/>
          <w:sz w:val="20"/>
        </w:rPr>
        <w:t>Cabe recordar que, alternativamente, la LCSP tolera incrementos del 10% sin expediente de modificación en contratos</w:t>
      </w:r>
      <w:r>
        <w:rPr>
          <w:rFonts w:ascii="Calibri" w:hAnsi="Calibri"/>
          <w:spacing w:val="-2"/>
          <w:sz w:val="20"/>
        </w:rPr>
        <w:t> </w:t>
      </w:r>
      <w:r>
        <w:rPr>
          <w:rFonts w:ascii="Calibri" w:hAnsi="Calibri"/>
          <w:sz w:val="20"/>
        </w:rPr>
        <w:t>de suministro de unidades</w:t>
      </w:r>
      <w:r>
        <w:rPr>
          <w:rFonts w:ascii="Calibri" w:hAnsi="Calibri"/>
          <w:spacing w:val="-1"/>
          <w:sz w:val="20"/>
        </w:rPr>
        <w:t> </w:t>
      </w:r>
      <w:r>
        <w:rPr>
          <w:rFonts w:ascii="Calibri" w:hAnsi="Calibri"/>
          <w:sz w:val="20"/>
        </w:rPr>
        <w:t>fijas (art. 301.2 y art. 205.2.c.3 LCSP)</w:t>
      </w:r>
      <w:r>
        <w:rPr>
          <w:rFonts w:ascii="Calibri" w:hAnsi="Calibri"/>
          <w:color w:val="0563C1"/>
          <w:sz w:val="20"/>
        </w:rPr>
        <w:t>. </w:t>
      </w:r>
      <w:r>
        <w:rPr>
          <w:rFonts w:ascii="Calibri" w:hAnsi="Calibri"/>
          <w:sz w:val="20"/>
        </w:rPr>
        <w:t>En nuestro caso, al optar legítimamente por un contrato según necesidades, se aplica el régimen del 20% mediante DA 33ª, proporcionando mayor margen para ajustes futuros dentro de la </w:t>
      </w:r>
      <w:r>
        <w:rPr>
          <w:rFonts w:ascii="Calibri" w:hAnsi="Calibri"/>
          <w:spacing w:val="-2"/>
          <w:sz w:val="20"/>
        </w:rPr>
        <w:t>legalidad.</w:t>
      </w:r>
    </w:p>
    <w:p>
      <w:pPr>
        <w:spacing w:line="256" w:lineRule="auto" w:before="144"/>
        <w:ind w:left="1925" w:right="2022" w:firstLine="0"/>
        <w:jc w:val="both"/>
        <w:rPr>
          <w:rFonts w:ascii="Calibri" w:hAnsi="Calibri"/>
          <w:sz w:val="20"/>
        </w:rPr>
      </w:pPr>
      <w:r>
        <w:rPr>
          <w:rFonts w:ascii="Calibri" w:hAnsi="Calibri"/>
          <w:sz w:val="20"/>
        </w:rPr>
        <w:t>Por todo ello, es importante matizar que la existencia de contratos “según necesidades” no implica per se mala planificación; de hecho, cuando las necesidades son objetivamente inciertas, esta figura favorece la buena gestión, al permitir atender la demanda real sin paralizar el servicio ni incurrir en sobrecostes.</w:t>
      </w:r>
    </w:p>
    <w:p>
      <w:pPr>
        <w:spacing w:line="256" w:lineRule="auto" w:before="145"/>
        <w:ind w:left="1925" w:right="2022" w:firstLine="0"/>
        <w:jc w:val="both"/>
        <w:rPr>
          <w:rFonts w:ascii="Calibri" w:hAnsi="Calibri"/>
          <w:sz w:val="20"/>
        </w:rPr>
      </w:pPr>
      <w:r>
        <w:rPr>
          <w:rFonts w:ascii="Calibri" w:hAnsi="Calibri"/>
          <w:sz w:val="20"/>
        </w:rPr>
        <w:t>4º</w:t>
      </w:r>
      <w:r>
        <w:rPr>
          <w:rFonts w:ascii="Calibri" w:hAnsi="Calibri"/>
          <w:spacing w:val="-2"/>
          <w:sz w:val="20"/>
        </w:rPr>
        <w:t> </w:t>
      </w:r>
      <w:r>
        <w:rPr>
          <w:rFonts w:ascii="Calibri" w:hAnsi="Calibri"/>
          <w:sz w:val="20"/>
        </w:rPr>
        <w:t>Diversos</w:t>
      </w:r>
      <w:r>
        <w:rPr>
          <w:rFonts w:ascii="Calibri" w:hAnsi="Calibri"/>
          <w:spacing w:val="-4"/>
          <w:sz w:val="20"/>
        </w:rPr>
        <w:t> </w:t>
      </w:r>
      <w:r>
        <w:rPr>
          <w:rFonts w:ascii="Calibri" w:hAnsi="Calibri"/>
          <w:sz w:val="20"/>
        </w:rPr>
        <w:t>órganos</w:t>
      </w:r>
      <w:r>
        <w:rPr>
          <w:rFonts w:ascii="Calibri" w:hAnsi="Calibri"/>
          <w:spacing w:val="-1"/>
          <w:sz w:val="20"/>
        </w:rPr>
        <w:t> </w:t>
      </w:r>
      <w:r>
        <w:rPr>
          <w:rFonts w:ascii="Calibri" w:hAnsi="Calibri"/>
          <w:sz w:val="20"/>
        </w:rPr>
        <w:t>consultivos</w:t>
      </w:r>
      <w:r>
        <w:rPr>
          <w:rFonts w:ascii="Calibri" w:hAnsi="Calibri"/>
          <w:spacing w:val="-1"/>
          <w:sz w:val="20"/>
        </w:rPr>
        <w:t> </w:t>
      </w:r>
      <w:r>
        <w:rPr>
          <w:rFonts w:ascii="Calibri" w:hAnsi="Calibri"/>
          <w:sz w:val="20"/>
        </w:rPr>
        <w:t>y</w:t>
      </w:r>
      <w:r>
        <w:rPr>
          <w:rFonts w:ascii="Calibri" w:hAnsi="Calibri"/>
          <w:spacing w:val="-4"/>
          <w:sz w:val="20"/>
        </w:rPr>
        <w:t> </w:t>
      </w:r>
      <w:r>
        <w:rPr>
          <w:rFonts w:ascii="Calibri" w:hAnsi="Calibri"/>
          <w:sz w:val="20"/>
        </w:rPr>
        <w:t>de</w:t>
      </w:r>
      <w:r>
        <w:rPr>
          <w:rFonts w:ascii="Calibri" w:hAnsi="Calibri"/>
          <w:spacing w:val="-1"/>
          <w:sz w:val="20"/>
        </w:rPr>
        <w:t> </w:t>
      </w:r>
      <w:r>
        <w:rPr>
          <w:rFonts w:ascii="Calibri" w:hAnsi="Calibri"/>
          <w:sz w:val="20"/>
        </w:rPr>
        <w:t>control</w:t>
      </w:r>
      <w:r>
        <w:rPr>
          <w:rFonts w:ascii="Calibri" w:hAnsi="Calibri"/>
          <w:spacing w:val="-2"/>
          <w:sz w:val="20"/>
        </w:rPr>
        <w:t> </w:t>
      </w:r>
      <w:r>
        <w:rPr>
          <w:rFonts w:ascii="Calibri" w:hAnsi="Calibri"/>
          <w:sz w:val="20"/>
        </w:rPr>
        <w:t>han</w:t>
      </w:r>
      <w:r>
        <w:rPr>
          <w:rFonts w:ascii="Calibri" w:hAnsi="Calibri"/>
          <w:spacing w:val="-4"/>
          <w:sz w:val="20"/>
        </w:rPr>
        <w:t> </w:t>
      </w:r>
      <w:r>
        <w:rPr>
          <w:rFonts w:ascii="Calibri" w:hAnsi="Calibri"/>
          <w:sz w:val="20"/>
        </w:rPr>
        <w:t>respaldado</w:t>
      </w:r>
      <w:r>
        <w:rPr>
          <w:rFonts w:ascii="Calibri" w:hAnsi="Calibri"/>
          <w:spacing w:val="-3"/>
          <w:sz w:val="20"/>
        </w:rPr>
        <w:t> </w:t>
      </w:r>
      <w:r>
        <w:rPr>
          <w:rFonts w:ascii="Calibri" w:hAnsi="Calibri"/>
          <w:sz w:val="20"/>
        </w:rPr>
        <w:t>la</w:t>
      </w:r>
      <w:r>
        <w:rPr>
          <w:rFonts w:ascii="Calibri" w:hAnsi="Calibri"/>
          <w:spacing w:val="-4"/>
          <w:sz w:val="20"/>
        </w:rPr>
        <w:t> </w:t>
      </w:r>
      <w:r>
        <w:rPr>
          <w:rFonts w:ascii="Calibri" w:hAnsi="Calibri"/>
          <w:sz w:val="20"/>
        </w:rPr>
        <w:t>legalidad</w:t>
      </w:r>
      <w:r>
        <w:rPr>
          <w:rFonts w:ascii="Calibri" w:hAnsi="Calibri"/>
          <w:spacing w:val="-2"/>
          <w:sz w:val="20"/>
        </w:rPr>
        <w:t> </w:t>
      </w:r>
      <w:r>
        <w:rPr>
          <w:rFonts w:ascii="Calibri" w:hAnsi="Calibri"/>
          <w:sz w:val="20"/>
        </w:rPr>
        <w:t>del</w:t>
      </w:r>
      <w:r>
        <w:rPr>
          <w:rFonts w:ascii="Calibri" w:hAnsi="Calibri"/>
          <w:spacing w:val="-3"/>
          <w:sz w:val="20"/>
        </w:rPr>
        <w:t> </w:t>
      </w:r>
      <w:r>
        <w:rPr>
          <w:rFonts w:ascii="Calibri" w:hAnsi="Calibri"/>
          <w:sz w:val="20"/>
        </w:rPr>
        <w:t>uso</w:t>
      </w:r>
      <w:r>
        <w:rPr>
          <w:rFonts w:ascii="Calibri" w:hAnsi="Calibri"/>
          <w:spacing w:val="-3"/>
          <w:sz w:val="20"/>
        </w:rPr>
        <w:t> </w:t>
      </w:r>
      <w:r>
        <w:rPr>
          <w:rFonts w:ascii="Calibri" w:hAnsi="Calibri"/>
          <w:sz w:val="20"/>
        </w:rPr>
        <w:t>de la</w:t>
      </w:r>
      <w:r>
        <w:rPr>
          <w:rFonts w:ascii="Calibri" w:hAnsi="Calibri"/>
          <w:spacing w:val="-2"/>
          <w:sz w:val="20"/>
        </w:rPr>
        <w:t> </w:t>
      </w:r>
      <w:r>
        <w:rPr>
          <w:rFonts w:ascii="Calibri" w:hAnsi="Calibri"/>
          <w:sz w:val="20"/>
        </w:rPr>
        <w:t>DA</w:t>
      </w:r>
      <w:r>
        <w:rPr>
          <w:rFonts w:ascii="Calibri" w:hAnsi="Calibri"/>
          <w:spacing w:val="-2"/>
          <w:sz w:val="20"/>
        </w:rPr>
        <w:t> </w:t>
      </w:r>
      <w:r>
        <w:rPr>
          <w:rFonts w:ascii="Calibri" w:hAnsi="Calibri"/>
          <w:sz w:val="20"/>
        </w:rPr>
        <w:t>33ª</w:t>
      </w:r>
      <w:r>
        <w:rPr>
          <w:rFonts w:ascii="Calibri" w:hAnsi="Calibri"/>
          <w:spacing w:val="-1"/>
          <w:sz w:val="20"/>
        </w:rPr>
        <w:t> </w:t>
      </w:r>
      <w:r>
        <w:rPr>
          <w:rFonts w:ascii="Calibri" w:hAnsi="Calibri"/>
          <w:sz w:val="20"/>
        </w:rPr>
        <w:t>y han aportado criterios para su correcta aplicación:</w:t>
      </w:r>
    </w:p>
    <w:p>
      <w:pPr>
        <w:pStyle w:val="ListParagraph"/>
        <w:numPr>
          <w:ilvl w:val="5"/>
          <w:numId w:val="13"/>
        </w:numPr>
        <w:tabs>
          <w:tab w:pos="2575" w:val="left" w:leader="none"/>
        </w:tabs>
        <w:spacing w:line="237" w:lineRule="auto" w:before="148" w:after="0"/>
        <w:ind w:left="2575" w:right="2021" w:hanging="324"/>
        <w:jc w:val="both"/>
        <w:rPr>
          <w:rFonts w:ascii="Calibri" w:hAnsi="Calibri"/>
          <w:sz w:val="20"/>
        </w:rPr>
      </w:pPr>
      <w:r>
        <w:rPr>
          <w:rFonts w:ascii="Calibri" w:hAnsi="Calibri"/>
          <w:sz w:val="20"/>
        </w:rPr>
        <w:t>Junta</w:t>
      </w:r>
      <w:r>
        <w:rPr>
          <w:rFonts w:ascii="Calibri" w:hAnsi="Calibri"/>
          <w:spacing w:val="-4"/>
          <w:sz w:val="20"/>
        </w:rPr>
        <w:t> </w:t>
      </w:r>
      <w:r>
        <w:rPr>
          <w:rFonts w:ascii="Calibri" w:hAnsi="Calibri"/>
          <w:sz w:val="20"/>
        </w:rPr>
        <w:t>Consultiva</w:t>
      </w:r>
      <w:r>
        <w:rPr>
          <w:rFonts w:ascii="Calibri" w:hAnsi="Calibri"/>
          <w:spacing w:val="-6"/>
          <w:sz w:val="20"/>
        </w:rPr>
        <w:t> </w:t>
      </w:r>
      <w:r>
        <w:rPr>
          <w:rFonts w:ascii="Calibri" w:hAnsi="Calibri"/>
          <w:sz w:val="20"/>
        </w:rPr>
        <w:t>de</w:t>
      </w:r>
      <w:r>
        <w:rPr>
          <w:rFonts w:ascii="Calibri" w:hAnsi="Calibri"/>
          <w:spacing w:val="-4"/>
          <w:sz w:val="20"/>
        </w:rPr>
        <w:t> </w:t>
      </w:r>
      <w:r>
        <w:rPr>
          <w:rFonts w:ascii="Calibri" w:hAnsi="Calibri"/>
          <w:sz w:val="20"/>
        </w:rPr>
        <w:t>Contratación</w:t>
      </w:r>
      <w:r>
        <w:rPr>
          <w:rFonts w:ascii="Calibri" w:hAnsi="Calibri"/>
          <w:spacing w:val="-4"/>
          <w:sz w:val="20"/>
        </w:rPr>
        <w:t> </w:t>
      </w:r>
      <w:r>
        <w:rPr>
          <w:rFonts w:ascii="Calibri" w:hAnsi="Calibri"/>
          <w:sz w:val="20"/>
        </w:rPr>
        <w:t>Pública</w:t>
      </w:r>
      <w:r>
        <w:rPr>
          <w:rFonts w:ascii="Calibri" w:hAnsi="Calibri"/>
          <w:spacing w:val="-5"/>
          <w:sz w:val="20"/>
        </w:rPr>
        <w:t> </w:t>
      </w:r>
      <w:r>
        <w:rPr>
          <w:rFonts w:ascii="Calibri" w:hAnsi="Calibri"/>
          <w:sz w:val="20"/>
        </w:rPr>
        <w:t>del</w:t>
      </w:r>
      <w:r>
        <w:rPr>
          <w:rFonts w:ascii="Calibri" w:hAnsi="Calibri"/>
          <w:spacing w:val="-2"/>
          <w:sz w:val="20"/>
        </w:rPr>
        <w:t> </w:t>
      </w:r>
      <w:r>
        <w:rPr>
          <w:rFonts w:ascii="Calibri" w:hAnsi="Calibri"/>
          <w:sz w:val="20"/>
        </w:rPr>
        <w:t>Estado</w:t>
      </w:r>
      <w:r>
        <w:rPr>
          <w:rFonts w:ascii="Calibri" w:hAnsi="Calibri"/>
          <w:spacing w:val="-4"/>
          <w:sz w:val="20"/>
        </w:rPr>
        <w:t> </w:t>
      </w:r>
      <w:r>
        <w:rPr>
          <w:rFonts w:ascii="Calibri" w:hAnsi="Calibri"/>
          <w:sz w:val="20"/>
        </w:rPr>
        <w:t>(JCCPE):</w:t>
      </w:r>
      <w:r>
        <w:rPr>
          <w:rFonts w:ascii="Calibri" w:hAnsi="Calibri"/>
          <w:spacing w:val="-4"/>
          <w:sz w:val="20"/>
        </w:rPr>
        <w:t> </w:t>
      </w:r>
      <w:r>
        <w:rPr>
          <w:rFonts w:ascii="Calibri" w:hAnsi="Calibri"/>
          <w:sz w:val="20"/>
        </w:rPr>
        <w:t>En</w:t>
      </w:r>
      <w:r>
        <w:rPr>
          <w:rFonts w:ascii="Calibri" w:hAnsi="Calibri"/>
          <w:spacing w:val="-2"/>
          <w:sz w:val="20"/>
        </w:rPr>
        <w:t> </w:t>
      </w:r>
      <w:r>
        <w:rPr>
          <w:rFonts w:ascii="Calibri" w:hAnsi="Calibri"/>
          <w:sz w:val="20"/>
        </w:rPr>
        <w:t>su</w:t>
      </w:r>
      <w:r>
        <w:rPr>
          <w:rFonts w:ascii="Calibri" w:hAnsi="Calibri"/>
          <w:spacing w:val="-6"/>
          <w:sz w:val="20"/>
        </w:rPr>
        <w:t> </w:t>
      </w:r>
      <w:r>
        <w:rPr>
          <w:rFonts w:ascii="Calibri" w:hAnsi="Calibri"/>
          <w:sz w:val="20"/>
        </w:rPr>
        <w:t>Informe</w:t>
      </w:r>
      <w:r>
        <w:rPr>
          <w:rFonts w:ascii="Calibri" w:hAnsi="Calibri"/>
          <w:spacing w:val="-4"/>
          <w:sz w:val="20"/>
        </w:rPr>
        <w:t> </w:t>
      </w:r>
      <w:r>
        <w:rPr>
          <w:rFonts w:ascii="Calibri" w:hAnsi="Calibri"/>
          <w:sz w:val="20"/>
        </w:rPr>
        <w:t>14/2020,</w:t>
      </w:r>
      <w:r>
        <w:rPr>
          <w:rFonts w:ascii="Calibri" w:hAnsi="Calibri"/>
          <w:spacing w:val="-4"/>
          <w:sz w:val="20"/>
        </w:rPr>
        <w:t> </w:t>
      </w:r>
      <w:r>
        <w:rPr>
          <w:rFonts w:ascii="Calibri" w:hAnsi="Calibri"/>
          <w:sz w:val="20"/>
        </w:rPr>
        <w:t>la JCCPE</w:t>
      </w:r>
      <w:r>
        <w:rPr>
          <w:rFonts w:ascii="Calibri" w:hAnsi="Calibri"/>
          <w:spacing w:val="-6"/>
          <w:sz w:val="20"/>
        </w:rPr>
        <w:t> </w:t>
      </w:r>
      <w:r>
        <w:rPr>
          <w:rFonts w:ascii="Calibri" w:hAnsi="Calibri"/>
          <w:sz w:val="20"/>
        </w:rPr>
        <w:t>afirmó</w:t>
      </w:r>
      <w:r>
        <w:rPr>
          <w:rFonts w:ascii="Calibri" w:hAnsi="Calibri"/>
          <w:spacing w:val="-8"/>
          <w:sz w:val="20"/>
        </w:rPr>
        <w:t> </w:t>
      </w:r>
      <w:r>
        <w:rPr>
          <w:rFonts w:ascii="Calibri" w:hAnsi="Calibri"/>
          <w:sz w:val="20"/>
        </w:rPr>
        <w:t>expresamente</w:t>
      </w:r>
      <w:r>
        <w:rPr>
          <w:rFonts w:ascii="Calibri" w:hAnsi="Calibri"/>
          <w:spacing w:val="-6"/>
          <w:sz w:val="20"/>
        </w:rPr>
        <w:t> </w:t>
      </w:r>
      <w:r>
        <w:rPr>
          <w:rFonts w:ascii="Calibri" w:hAnsi="Calibri"/>
          <w:sz w:val="20"/>
        </w:rPr>
        <w:t>que</w:t>
      </w:r>
      <w:r>
        <w:rPr>
          <w:rFonts w:ascii="Calibri" w:hAnsi="Calibri"/>
          <w:spacing w:val="-7"/>
          <w:sz w:val="20"/>
        </w:rPr>
        <w:t> </w:t>
      </w:r>
      <w:r>
        <w:rPr>
          <w:rFonts w:ascii="Calibri" w:hAnsi="Calibri"/>
          <w:sz w:val="20"/>
        </w:rPr>
        <w:t>no</w:t>
      </w:r>
      <w:r>
        <w:rPr>
          <w:rFonts w:ascii="Calibri" w:hAnsi="Calibri"/>
          <w:spacing w:val="-9"/>
          <w:sz w:val="20"/>
        </w:rPr>
        <w:t> </w:t>
      </w:r>
      <w:r>
        <w:rPr>
          <w:rFonts w:ascii="Calibri" w:hAnsi="Calibri"/>
          <w:sz w:val="20"/>
        </w:rPr>
        <w:t>existe</w:t>
      </w:r>
      <w:r>
        <w:rPr>
          <w:rFonts w:ascii="Calibri" w:hAnsi="Calibri"/>
          <w:spacing w:val="-6"/>
          <w:sz w:val="20"/>
        </w:rPr>
        <w:t> </w:t>
      </w:r>
      <w:r>
        <w:rPr>
          <w:rFonts w:ascii="Calibri" w:hAnsi="Calibri"/>
          <w:sz w:val="20"/>
        </w:rPr>
        <w:t>ningún</w:t>
      </w:r>
      <w:r>
        <w:rPr>
          <w:rFonts w:ascii="Calibri" w:hAnsi="Calibri"/>
          <w:spacing w:val="-7"/>
          <w:sz w:val="20"/>
        </w:rPr>
        <w:t> </w:t>
      </w:r>
      <w:r>
        <w:rPr>
          <w:rFonts w:ascii="Calibri" w:hAnsi="Calibri"/>
          <w:sz w:val="20"/>
        </w:rPr>
        <w:t>veto</w:t>
      </w:r>
      <w:r>
        <w:rPr>
          <w:rFonts w:ascii="Calibri" w:hAnsi="Calibri"/>
          <w:spacing w:val="-8"/>
          <w:sz w:val="20"/>
        </w:rPr>
        <w:t> </w:t>
      </w:r>
      <w:r>
        <w:rPr>
          <w:rFonts w:ascii="Calibri" w:hAnsi="Calibri"/>
          <w:sz w:val="20"/>
        </w:rPr>
        <w:t>legal</w:t>
      </w:r>
      <w:r>
        <w:rPr>
          <w:rFonts w:ascii="Calibri" w:hAnsi="Calibri"/>
          <w:spacing w:val="-10"/>
          <w:sz w:val="20"/>
        </w:rPr>
        <w:t> </w:t>
      </w:r>
      <w:r>
        <w:rPr>
          <w:rFonts w:ascii="Calibri" w:hAnsi="Calibri"/>
          <w:sz w:val="20"/>
        </w:rPr>
        <w:t>a</w:t>
      </w:r>
      <w:r>
        <w:rPr>
          <w:rFonts w:ascii="Calibri" w:hAnsi="Calibri"/>
          <w:spacing w:val="-6"/>
          <w:sz w:val="20"/>
        </w:rPr>
        <w:t> </w:t>
      </w:r>
      <w:r>
        <w:rPr>
          <w:rFonts w:ascii="Calibri" w:hAnsi="Calibri"/>
          <w:sz w:val="20"/>
        </w:rPr>
        <w:t>la</w:t>
      </w:r>
      <w:r>
        <w:rPr>
          <w:rFonts w:ascii="Calibri" w:hAnsi="Calibri"/>
          <w:spacing w:val="-10"/>
          <w:sz w:val="20"/>
        </w:rPr>
        <w:t> </w:t>
      </w:r>
      <w:r>
        <w:rPr>
          <w:rFonts w:ascii="Calibri" w:hAnsi="Calibri"/>
          <w:sz w:val="20"/>
        </w:rPr>
        <w:t>utilización</w:t>
      </w:r>
      <w:r>
        <w:rPr>
          <w:rFonts w:ascii="Calibri" w:hAnsi="Calibri"/>
          <w:spacing w:val="-9"/>
          <w:sz w:val="20"/>
        </w:rPr>
        <w:t> </w:t>
      </w:r>
      <w:r>
        <w:rPr>
          <w:rFonts w:ascii="Calibri" w:hAnsi="Calibri"/>
          <w:sz w:val="20"/>
        </w:rPr>
        <w:t>del</w:t>
      </w:r>
      <w:r>
        <w:rPr>
          <w:rFonts w:ascii="Calibri" w:hAnsi="Calibri"/>
          <w:spacing w:val="-5"/>
          <w:sz w:val="20"/>
        </w:rPr>
        <w:t> </w:t>
      </w:r>
      <w:r>
        <w:rPr>
          <w:rFonts w:ascii="Calibri" w:hAnsi="Calibri"/>
          <w:sz w:val="20"/>
        </w:rPr>
        <w:t>contrato de suministro según necesidades de la DA</w:t>
      </w:r>
      <w:r>
        <w:rPr>
          <w:rFonts w:ascii="Calibri" w:hAnsi="Calibri"/>
          <w:spacing w:val="-7"/>
          <w:sz w:val="20"/>
        </w:rPr>
        <w:t> </w:t>
      </w:r>
      <w:r>
        <w:rPr>
          <w:rFonts w:ascii="Calibri" w:hAnsi="Calibri"/>
          <w:sz w:val="20"/>
        </w:rPr>
        <w:t>33ª por parte de cualquier entidad del sector público, y que puede emplearse incluso sin mediar exclusividad técnica del proveedor.</w:t>
      </w:r>
      <w:r>
        <w:rPr>
          <w:rFonts w:ascii="Calibri" w:hAnsi="Calibri"/>
          <w:spacing w:val="-9"/>
          <w:sz w:val="20"/>
        </w:rPr>
        <w:t> </w:t>
      </w:r>
      <w:r>
        <w:rPr>
          <w:rFonts w:ascii="Calibri" w:hAnsi="Calibri"/>
          <w:sz w:val="20"/>
        </w:rPr>
        <w:t>Asimismo,</w:t>
      </w:r>
      <w:r>
        <w:rPr>
          <w:rFonts w:ascii="Calibri" w:hAnsi="Calibri"/>
          <w:spacing w:val="-7"/>
          <w:sz w:val="20"/>
        </w:rPr>
        <w:t> </w:t>
      </w:r>
      <w:r>
        <w:rPr>
          <w:rFonts w:ascii="Calibri" w:hAnsi="Calibri"/>
          <w:sz w:val="20"/>
        </w:rPr>
        <w:t>informes</w:t>
      </w:r>
      <w:r>
        <w:rPr>
          <w:rFonts w:ascii="Calibri" w:hAnsi="Calibri"/>
          <w:spacing w:val="-10"/>
          <w:sz w:val="20"/>
        </w:rPr>
        <w:t> </w:t>
      </w:r>
      <w:r>
        <w:rPr>
          <w:rFonts w:ascii="Calibri" w:hAnsi="Calibri"/>
          <w:sz w:val="20"/>
        </w:rPr>
        <w:t>más</w:t>
      </w:r>
      <w:r>
        <w:rPr>
          <w:rFonts w:ascii="Calibri" w:hAnsi="Calibri"/>
          <w:spacing w:val="-7"/>
          <w:sz w:val="20"/>
        </w:rPr>
        <w:t> </w:t>
      </w:r>
      <w:r>
        <w:rPr>
          <w:rFonts w:ascii="Calibri" w:hAnsi="Calibri"/>
          <w:sz w:val="20"/>
        </w:rPr>
        <w:t>recientes</w:t>
      </w:r>
      <w:r>
        <w:rPr>
          <w:rFonts w:ascii="Calibri" w:hAnsi="Calibri"/>
          <w:spacing w:val="-7"/>
          <w:sz w:val="20"/>
        </w:rPr>
        <w:t> </w:t>
      </w:r>
      <w:r>
        <w:rPr>
          <w:rFonts w:ascii="Calibri" w:hAnsi="Calibri"/>
          <w:sz w:val="20"/>
        </w:rPr>
        <w:t>han</w:t>
      </w:r>
      <w:r>
        <w:rPr>
          <w:rFonts w:ascii="Calibri" w:hAnsi="Calibri"/>
          <w:spacing w:val="-10"/>
          <w:sz w:val="20"/>
        </w:rPr>
        <w:t> </w:t>
      </w:r>
      <w:r>
        <w:rPr>
          <w:rFonts w:ascii="Calibri" w:hAnsi="Calibri"/>
          <w:sz w:val="20"/>
        </w:rPr>
        <w:t>enfatizado</w:t>
      </w:r>
      <w:r>
        <w:rPr>
          <w:rFonts w:ascii="Calibri" w:hAnsi="Calibri"/>
          <w:spacing w:val="-6"/>
          <w:sz w:val="20"/>
        </w:rPr>
        <w:t> </w:t>
      </w:r>
      <w:r>
        <w:rPr>
          <w:rFonts w:ascii="Calibri" w:hAnsi="Calibri"/>
          <w:sz w:val="20"/>
        </w:rPr>
        <w:t>el</w:t>
      </w:r>
      <w:r>
        <w:rPr>
          <w:rFonts w:ascii="Calibri" w:hAnsi="Calibri"/>
          <w:spacing w:val="-9"/>
          <w:sz w:val="20"/>
        </w:rPr>
        <w:t> </w:t>
      </w:r>
      <w:r>
        <w:rPr>
          <w:rFonts w:ascii="Calibri" w:hAnsi="Calibri"/>
          <w:sz w:val="20"/>
        </w:rPr>
        <w:t>carácter</w:t>
      </w:r>
      <w:r>
        <w:rPr>
          <w:rFonts w:ascii="Calibri" w:hAnsi="Calibri"/>
          <w:spacing w:val="-8"/>
          <w:sz w:val="20"/>
        </w:rPr>
        <w:t> </w:t>
      </w:r>
      <w:r>
        <w:rPr>
          <w:rFonts w:ascii="Calibri" w:hAnsi="Calibri"/>
          <w:sz w:val="20"/>
        </w:rPr>
        <w:t>imperativo</w:t>
      </w:r>
      <w:r>
        <w:rPr>
          <w:rFonts w:ascii="Calibri" w:hAnsi="Calibri"/>
          <w:spacing w:val="-7"/>
          <w:sz w:val="20"/>
        </w:rPr>
        <w:t> </w:t>
      </w:r>
      <w:r>
        <w:rPr>
          <w:rFonts w:ascii="Calibri" w:hAnsi="Calibri"/>
          <w:sz w:val="20"/>
        </w:rPr>
        <w:t>de las previsiones de la DA</w:t>
      </w:r>
      <w:r>
        <w:rPr>
          <w:rFonts w:ascii="Calibri" w:hAnsi="Calibri"/>
          <w:spacing w:val="-8"/>
          <w:sz w:val="20"/>
        </w:rPr>
        <w:t> </w:t>
      </w:r>
      <w:r>
        <w:rPr>
          <w:rFonts w:ascii="Calibri" w:hAnsi="Calibri"/>
          <w:sz w:val="20"/>
        </w:rPr>
        <w:t>33ª: la modificación por necesidades adicionales debe estar prevista en los pliegos y contrato obligatoriamente, dado el tenor literal de la disposición. La JCCPE (Informe 23/2022) también aclaró que, a la hora de autorizar el gasto,</w:t>
      </w:r>
      <w:r>
        <w:rPr>
          <w:rFonts w:ascii="Calibri" w:hAnsi="Calibri"/>
          <w:spacing w:val="-5"/>
          <w:sz w:val="20"/>
        </w:rPr>
        <w:t> </w:t>
      </w:r>
      <w:r>
        <w:rPr>
          <w:rFonts w:ascii="Calibri" w:hAnsi="Calibri"/>
          <w:sz w:val="20"/>
        </w:rPr>
        <w:t>se</w:t>
      </w:r>
      <w:r>
        <w:rPr>
          <w:rFonts w:ascii="Calibri" w:hAnsi="Calibri"/>
          <w:spacing w:val="-5"/>
          <w:sz w:val="20"/>
        </w:rPr>
        <w:t> </w:t>
      </w:r>
      <w:r>
        <w:rPr>
          <w:rFonts w:ascii="Calibri" w:hAnsi="Calibri"/>
          <w:sz w:val="20"/>
        </w:rPr>
        <w:t>debe</w:t>
      </w:r>
      <w:r>
        <w:rPr>
          <w:rFonts w:ascii="Calibri" w:hAnsi="Calibri"/>
          <w:spacing w:val="-4"/>
          <w:sz w:val="20"/>
        </w:rPr>
        <w:t> </w:t>
      </w:r>
      <w:r>
        <w:rPr>
          <w:rFonts w:ascii="Calibri" w:hAnsi="Calibri"/>
          <w:sz w:val="20"/>
        </w:rPr>
        <w:t>reservar</w:t>
      </w:r>
      <w:r>
        <w:rPr>
          <w:rFonts w:ascii="Calibri" w:hAnsi="Calibri"/>
          <w:spacing w:val="-7"/>
          <w:sz w:val="20"/>
        </w:rPr>
        <w:t> </w:t>
      </w:r>
      <w:r>
        <w:rPr>
          <w:rFonts w:ascii="Calibri" w:hAnsi="Calibri"/>
          <w:sz w:val="20"/>
        </w:rPr>
        <w:t>crédito</w:t>
      </w:r>
      <w:r>
        <w:rPr>
          <w:rFonts w:ascii="Calibri" w:hAnsi="Calibri"/>
          <w:spacing w:val="-5"/>
          <w:sz w:val="20"/>
        </w:rPr>
        <w:t> </w:t>
      </w:r>
      <w:r>
        <w:rPr>
          <w:rFonts w:ascii="Calibri" w:hAnsi="Calibri"/>
          <w:sz w:val="20"/>
        </w:rPr>
        <w:t>suficiente</w:t>
      </w:r>
      <w:r>
        <w:rPr>
          <w:rFonts w:ascii="Calibri" w:hAnsi="Calibri"/>
          <w:spacing w:val="-6"/>
          <w:sz w:val="20"/>
        </w:rPr>
        <w:t> </w:t>
      </w:r>
      <w:r>
        <w:rPr>
          <w:rFonts w:ascii="Calibri" w:hAnsi="Calibri"/>
          <w:sz w:val="20"/>
        </w:rPr>
        <w:t>para</w:t>
      </w:r>
      <w:r>
        <w:rPr>
          <w:rFonts w:ascii="Calibri" w:hAnsi="Calibri"/>
          <w:spacing w:val="-5"/>
          <w:sz w:val="20"/>
        </w:rPr>
        <w:t> </w:t>
      </w:r>
      <w:r>
        <w:rPr>
          <w:rFonts w:ascii="Calibri" w:hAnsi="Calibri"/>
          <w:sz w:val="20"/>
        </w:rPr>
        <w:t>cubrir</w:t>
      </w:r>
      <w:r>
        <w:rPr>
          <w:rFonts w:ascii="Calibri" w:hAnsi="Calibri"/>
          <w:spacing w:val="-5"/>
          <w:sz w:val="20"/>
        </w:rPr>
        <w:t> </w:t>
      </w:r>
      <w:r>
        <w:rPr>
          <w:rFonts w:ascii="Calibri" w:hAnsi="Calibri"/>
          <w:sz w:val="20"/>
        </w:rPr>
        <w:t>las</w:t>
      </w:r>
      <w:r>
        <w:rPr>
          <w:rFonts w:ascii="Calibri" w:hAnsi="Calibri"/>
          <w:spacing w:val="-4"/>
          <w:sz w:val="20"/>
        </w:rPr>
        <w:t> </w:t>
      </w:r>
      <w:r>
        <w:rPr>
          <w:rFonts w:ascii="Calibri" w:hAnsi="Calibri"/>
          <w:sz w:val="20"/>
        </w:rPr>
        <w:t>posibles</w:t>
      </w:r>
      <w:r>
        <w:rPr>
          <w:rFonts w:ascii="Calibri" w:hAnsi="Calibri"/>
          <w:spacing w:val="-5"/>
          <w:sz w:val="20"/>
        </w:rPr>
        <w:t> </w:t>
      </w:r>
      <w:r>
        <w:rPr>
          <w:rFonts w:ascii="Calibri" w:hAnsi="Calibri"/>
          <w:sz w:val="20"/>
        </w:rPr>
        <w:t>ampliaciones</w:t>
      </w:r>
      <w:r>
        <w:rPr>
          <w:rFonts w:ascii="Calibri" w:hAnsi="Calibri"/>
          <w:spacing w:val="-4"/>
          <w:sz w:val="20"/>
        </w:rPr>
        <w:t> </w:t>
      </w:r>
      <w:r>
        <w:rPr>
          <w:rFonts w:ascii="Calibri" w:hAnsi="Calibri"/>
          <w:sz w:val="20"/>
        </w:rPr>
        <w:t>hasta</w:t>
      </w:r>
      <w:r>
        <w:rPr>
          <w:rFonts w:ascii="Calibri" w:hAnsi="Calibri"/>
          <w:spacing w:val="-5"/>
          <w:sz w:val="20"/>
        </w:rPr>
        <w:t> </w:t>
      </w:r>
      <w:r>
        <w:rPr>
          <w:rFonts w:ascii="Calibri" w:hAnsi="Calibri"/>
          <w:sz w:val="20"/>
        </w:rPr>
        <w:t>el</w:t>
      </w:r>
    </w:p>
    <w:p>
      <w:pPr>
        <w:pStyle w:val="BodyText"/>
        <w:rPr>
          <w:rFonts w:ascii="Calibri"/>
          <w:sz w:val="20"/>
        </w:rPr>
      </w:pPr>
    </w:p>
    <w:p>
      <w:pPr>
        <w:pStyle w:val="BodyText"/>
        <w:rPr>
          <w:rFonts w:ascii="Calibri"/>
          <w:sz w:val="20"/>
        </w:rPr>
      </w:pPr>
    </w:p>
    <w:p>
      <w:pPr>
        <w:pStyle w:val="BodyText"/>
        <w:spacing w:before="152"/>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850" name="Group 850"/>
                <wp:cNvGraphicFramePr>
                  <a:graphicFrameLocks/>
                </wp:cNvGraphicFramePr>
                <a:graphic>
                  <a:graphicData uri="http://schemas.microsoft.com/office/word/2010/wordprocessingGroup">
                    <wpg:wgp>
                      <wpg:cNvPr id="850" name="Group 850"/>
                      <wpg:cNvGrpSpPr/>
                      <wpg:grpSpPr>
                        <a:xfrm>
                          <a:off x="0" y="0"/>
                          <a:ext cx="1870075" cy="6350"/>
                          <a:chExt cx="1870075" cy="6350"/>
                        </a:xfrm>
                      </wpg:grpSpPr>
                      <wps:wsp>
                        <wps:cNvPr id="851" name="Graphic 851"/>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665" coordorigin="0,0" coordsize="2945,10">
                <v:rect style="position:absolute;left:0;top:0;width:2945;height:10" id="docshape666"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852" name="Group 852"/>
                <wp:cNvGraphicFramePr>
                  <a:graphicFrameLocks/>
                </wp:cNvGraphicFramePr>
                <a:graphic>
                  <a:graphicData uri="http://schemas.microsoft.com/office/word/2010/wordprocessingGroup">
                    <wpg:wgp>
                      <wpg:cNvPr id="852" name="Group 852"/>
                      <wpg:cNvGrpSpPr/>
                      <wpg:grpSpPr>
                        <a:xfrm>
                          <a:off x="0" y="0"/>
                          <a:ext cx="841375" cy="6350"/>
                          <a:chExt cx="841375" cy="6350"/>
                        </a:xfrm>
                      </wpg:grpSpPr>
                      <wps:wsp>
                        <wps:cNvPr id="853" name="Graphic 853"/>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667" coordorigin="0,0" coordsize="1325,10">
                <v:rect style="position:absolute;left:0;top:0;width:1325;height:10" id="docshape668"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12"/>
          <w:headerReference w:type="even" r:id="rId213"/>
          <w:footerReference w:type="default" r:id="rId214"/>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66976">
                <wp:simplePos x="0" y="0"/>
                <wp:positionH relativeFrom="page">
                  <wp:posOffset>4332186</wp:posOffset>
                </wp:positionH>
                <wp:positionV relativeFrom="paragraph">
                  <wp:posOffset>1412475</wp:posOffset>
                </wp:positionV>
                <wp:extent cx="53340" cy="100330"/>
                <wp:effectExtent l="0" t="0" r="0" b="0"/>
                <wp:wrapNone/>
                <wp:docPr id="854" name="Textbox 854"/>
                <wp:cNvGraphicFramePr>
                  <a:graphicFrameLocks/>
                </wp:cNvGraphicFramePr>
                <a:graphic>
                  <a:graphicData uri="http://schemas.microsoft.com/office/word/2010/wordprocessingShape">
                    <wps:wsp>
                      <wps:cNvPr id="854" name="Textbox 854"/>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529pt;width:4.2pt;height:7.9pt;mso-position-horizontal-relative:page;mso-position-vertical-relative:paragraph;z-index:-28949504" type="#_x0000_t202" id="docshape669"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92"/>
        <w:gridCol w:w="2234"/>
        <w:gridCol w:w="840"/>
        <w:gridCol w:w="540"/>
        <w:gridCol w:w="1021"/>
        <w:gridCol w:w="816"/>
        <w:gridCol w:w="1246"/>
        <w:gridCol w:w="1154"/>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92" w:type="dxa"/>
            <w:tcBorders>
              <w:left w:val="single" w:sz="6" w:space="0" w:color="000000"/>
              <w:bottom w:val="single" w:sz="6" w:space="0" w:color="000000"/>
              <w:right w:val="nil"/>
            </w:tcBorders>
          </w:tcPr>
          <w:p>
            <w:pPr>
              <w:pStyle w:val="TableParagraph"/>
              <w:rPr>
                <w:rFonts w:ascii="Times New Roman"/>
                <w:sz w:val="14"/>
              </w:rPr>
            </w:pPr>
          </w:p>
        </w:tc>
        <w:tc>
          <w:tcPr>
            <w:tcW w:w="2234" w:type="dxa"/>
            <w:tcBorders>
              <w:top w:val="nil"/>
              <w:left w:val="nil"/>
              <w:bottom w:val="nil"/>
              <w:right w:val="nil"/>
            </w:tcBorders>
            <w:shd w:val="clear" w:color="auto" w:fill="000000"/>
          </w:tcPr>
          <w:p>
            <w:pPr>
              <w:pStyle w:val="TableParagraph"/>
              <w:rPr>
                <w:rFonts w:ascii="Times New Roman"/>
                <w:sz w:val="14"/>
              </w:rPr>
            </w:pPr>
          </w:p>
        </w:tc>
        <w:tc>
          <w:tcPr>
            <w:tcW w:w="1380" w:type="dxa"/>
            <w:gridSpan w:val="2"/>
            <w:tcBorders>
              <w:left w:val="nil"/>
              <w:bottom w:val="single" w:sz="6" w:space="0" w:color="000000"/>
              <w:right w:val="single" w:sz="6" w:space="0" w:color="000000"/>
            </w:tcBorders>
          </w:tcPr>
          <w:p>
            <w:pPr>
              <w:pStyle w:val="TableParagraph"/>
              <w:rPr>
                <w:rFonts w:ascii="Times New Roman"/>
                <w:sz w:val="14"/>
              </w:rPr>
            </w:pPr>
          </w:p>
        </w:tc>
        <w:tc>
          <w:tcPr>
            <w:tcW w:w="1021"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7"/>
              <w:rPr>
                <w:rFonts w:ascii="Arial"/>
                <w:position w:val="-1"/>
                <w:sz w:val="10"/>
              </w:rPr>
            </w:pPr>
            <w:r>
              <w:rPr>
                <w:rFonts w:ascii="Arial"/>
                <w:position w:val="-1"/>
                <w:sz w:val="10"/>
              </w:rPr>
              <w:drawing>
                <wp:inline distT="0" distB="0" distL="0" distR="0">
                  <wp:extent cx="266700" cy="66675"/>
                  <wp:effectExtent l="0" t="0" r="0" b="0"/>
                  <wp:docPr id="855" name="Image 855"/>
                  <wp:cNvGraphicFramePr>
                    <a:graphicFrameLocks/>
                  </wp:cNvGraphicFramePr>
                  <a:graphic>
                    <a:graphicData uri="http://schemas.openxmlformats.org/drawingml/2006/picture">
                      <pic:pic>
                        <pic:nvPicPr>
                          <pic:cNvPr id="855" name="Image 855"/>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2"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30"/>
              <w:rPr>
                <w:rFonts w:ascii="Arial"/>
                <w:position w:val="-2"/>
                <w:sz w:val="13"/>
              </w:rPr>
            </w:pPr>
            <w:r>
              <w:rPr>
                <w:rFonts w:ascii="Arial"/>
                <w:position w:val="-2"/>
                <w:sz w:val="13"/>
              </w:rPr>
              <w:drawing>
                <wp:inline distT="0" distB="0" distL="0" distR="0">
                  <wp:extent cx="498011" cy="85058"/>
                  <wp:effectExtent l="0" t="0" r="0" b="0"/>
                  <wp:docPr id="856" name="Image 856"/>
                  <wp:cNvGraphicFramePr>
                    <a:graphicFrameLocks/>
                  </wp:cNvGraphicFramePr>
                  <a:graphic>
                    <a:graphicData uri="http://schemas.openxmlformats.org/drawingml/2006/picture">
                      <pic:pic>
                        <pic:nvPicPr>
                          <pic:cNvPr id="856" name="Image 856"/>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54" w:type="dxa"/>
            <w:vMerge w:val="restart"/>
            <w:tcBorders>
              <w:top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6" w:type="dxa"/>
            <w:gridSpan w:val="4"/>
            <w:tcBorders>
              <w:top w:val="nil"/>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368000">
                      <wp:simplePos x="0" y="0"/>
                      <wp:positionH relativeFrom="column">
                        <wp:posOffset>-1298447</wp:posOffset>
                      </wp:positionH>
                      <wp:positionV relativeFrom="paragraph">
                        <wp:posOffset>-144895</wp:posOffset>
                      </wp:positionV>
                      <wp:extent cx="1298575" cy="417830"/>
                      <wp:effectExtent l="0" t="0" r="0" b="0"/>
                      <wp:wrapNone/>
                      <wp:docPr id="857" name="Group 857"/>
                      <wp:cNvGraphicFramePr>
                        <a:graphicFrameLocks/>
                      </wp:cNvGraphicFramePr>
                      <a:graphic>
                        <a:graphicData uri="http://schemas.microsoft.com/office/word/2010/wordprocessingGroup">
                          <wpg:wgp>
                            <wpg:cNvPr id="857" name="Group 857"/>
                            <wpg:cNvGrpSpPr/>
                            <wpg:grpSpPr>
                              <a:xfrm>
                                <a:off x="0" y="0"/>
                                <a:ext cx="1298575" cy="417830"/>
                                <a:chExt cx="1298575" cy="417830"/>
                              </a:xfrm>
                            </wpg:grpSpPr>
                            <wps:wsp>
                              <wps:cNvPr id="858" name="Graphic 858"/>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859" name="Image 859"/>
                                <pic:cNvPicPr/>
                              </pic:nvPicPr>
                              <pic:blipFill>
                                <a:blip r:embed="rId17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48480" id="docshapegroup670" coordorigin="-2045,-228" coordsize="2045,658">
                      <v:shape style="position:absolute;left:-2045;top:-229;width:2045;height:658" id="docshape671" coordorigin="-2045,-228" coordsize="2045,658" path="m0,-228l-2045,-228,-2045,-10,-2045,-7,-2045,429,0,429,0,-7,0,-10,0,-228xe" filled="true" fillcolor="#cccccc" stroked="false">
                        <v:path arrowok="t"/>
                        <v:fill type="solid"/>
                      </v:shape>
                      <v:shape style="position:absolute;left:-1973;top:-154;width:1896;height:327" type="#_x0000_t75" id="docshape672" stroked="false">
                        <v:imagedata r:id="rId17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1"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8"/>
              <w:rPr>
                <w:rFonts w:ascii="Arial"/>
                <w:sz w:val="14"/>
              </w:rPr>
            </w:pPr>
            <w:r>
              <w:rPr>
                <w:rFonts w:ascii="Arial"/>
                <w:spacing w:val="-2"/>
                <w:sz w:val="14"/>
              </w:rPr>
              <w:t>Firmado</w:t>
            </w:r>
          </w:p>
        </w:tc>
        <w:tc>
          <w:tcPr>
            <w:tcW w:w="2062" w:type="dxa"/>
            <w:gridSpan w:val="2"/>
            <w:tcBorders>
              <w:top w:val="single" w:sz="6" w:space="0" w:color="000000"/>
              <w:left w:val="single" w:sz="6" w:space="0" w:color="000000"/>
              <w:bottom w:val="single" w:sz="6" w:space="0" w:color="000000"/>
            </w:tcBorders>
          </w:tcPr>
          <w:p>
            <w:pPr>
              <w:pStyle w:val="TableParagraph"/>
              <w:spacing w:line="145" w:lineRule="exact" w:before="39"/>
              <w:ind w:left="387"/>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54"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860" name="Image 860"/>
                  <wp:cNvGraphicFramePr>
                    <a:graphicFrameLocks/>
                  </wp:cNvGraphicFramePr>
                  <a:graphic>
                    <a:graphicData uri="http://schemas.openxmlformats.org/drawingml/2006/picture">
                      <pic:pic>
                        <pic:nvPicPr>
                          <pic:cNvPr id="860" name="Image 860"/>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6"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1"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7"/>
              <w:rPr>
                <w:rFonts w:ascii="Arial"/>
                <w:position w:val="-2"/>
                <w:sz w:val="13"/>
              </w:rPr>
            </w:pPr>
            <w:r>
              <w:rPr>
                <w:rFonts w:ascii="Arial"/>
                <w:position w:val="-2"/>
                <w:sz w:val="13"/>
              </w:rPr>
              <w:drawing>
                <wp:inline distT="0" distB="0" distL="0" distR="0">
                  <wp:extent cx="263073" cy="84010"/>
                  <wp:effectExtent l="0" t="0" r="0" b="0"/>
                  <wp:docPr id="861" name="Image 861"/>
                  <wp:cNvGraphicFramePr>
                    <a:graphicFrameLocks/>
                  </wp:cNvGraphicFramePr>
                  <a:graphic>
                    <a:graphicData uri="http://schemas.openxmlformats.org/drawingml/2006/picture">
                      <pic:pic>
                        <pic:nvPicPr>
                          <pic:cNvPr id="861" name="Image 861"/>
                          <pic:cNvPicPr/>
                        </pic:nvPicPr>
                        <pic:blipFill>
                          <a:blip r:embed="rId185" cstate="print"/>
                          <a:stretch>
                            <a:fillRect/>
                          </a:stretch>
                        </pic:blipFill>
                        <pic:spPr>
                          <a:xfrm>
                            <a:off x="0" y="0"/>
                            <a:ext cx="263073" cy="84010"/>
                          </a:xfrm>
                          <a:prstGeom prst="rect">
                            <a:avLst/>
                          </a:prstGeom>
                        </pic:spPr>
                      </pic:pic>
                    </a:graphicData>
                  </a:graphic>
                </wp:inline>
              </w:drawing>
            </w:r>
            <w:r>
              <w:rPr>
                <w:rFonts w:ascii="Arial"/>
                <w:position w:val="-2"/>
                <w:sz w:val="13"/>
              </w:rPr>
            </w:r>
          </w:p>
        </w:tc>
        <w:tc>
          <w:tcPr>
            <w:tcW w:w="2062" w:type="dxa"/>
            <w:gridSpan w:val="2"/>
            <w:tcBorders>
              <w:top w:val="single" w:sz="6" w:space="0" w:color="000000"/>
              <w:left w:val="single" w:sz="6" w:space="0" w:color="000000"/>
              <w:bottom w:val="single" w:sz="6" w:space="0" w:color="000000"/>
            </w:tcBorders>
          </w:tcPr>
          <w:p>
            <w:pPr>
              <w:pStyle w:val="TableParagraph"/>
              <w:spacing w:line="145" w:lineRule="exact" w:before="39"/>
              <w:ind w:left="19"/>
              <w:jc w:val="center"/>
              <w:rPr>
                <w:rFonts w:ascii="Arial"/>
                <w:sz w:val="14"/>
              </w:rPr>
            </w:pPr>
            <w:r>
              <w:rPr>
                <w:rFonts w:ascii="Arial"/>
                <w:sz w:val="14"/>
              </w:rPr>
              <mc:AlternateContent>
                <mc:Choice Requires="wps">
                  <w:drawing>
                    <wp:anchor distT="0" distB="0" distL="0" distR="0" allowOverlap="1" layoutInCell="1" locked="0" behindDoc="1" simplePos="0" relativeHeight="474368512">
                      <wp:simplePos x="0" y="0"/>
                      <wp:positionH relativeFrom="column">
                        <wp:posOffset>1320546</wp:posOffset>
                      </wp:positionH>
                      <wp:positionV relativeFrom="paragraph">
                        <wp:posOffset>-311735</wp:posOffset>
                      </wp:positionV>
                      <wp:extent cx="734695" cy="753110"/>
                      <wp:effectExtent l="0" t="0" r="0" b="0"/>
                      <wp:wrapNone/>
                      <wp:docPr id="862" name="Group 862"/>
                      <wp:cNvGraphicFramePr>
                        <a:graphicFrameLocks/>
                      </wp:cNvGraphicFramePr>
                      <a:graphic>
                        <a:graphicData uri="http://schemas.microsoft.com/office/word/2010/wordprocessingGroup">
                          <wpg:wgp>
                            <wpg:cNvPr id="862" name="Group 862"/>
                            <wpg:cNvGrpSpPr/>
                            <wpg:grpSpPr>
                              <a:xfrm>
                                <a:off x="0" y="0"/>
                                <a:ext cx="734695" cy="753110"/>
                                <a:chExt cx="734695" cy="753110"/>
                              </a:xfrm>
                            </wpg:grpSpPr>
                            <pic:pic>
                              <pic:nvPicPr>
                                <pic:cNvPr id="863" name="Image 863"/>
                                <pic:cNvPicPr/>
                              </pic:nvPicPr>
                              <pic:blipFill>
                                <a:blip r:embed="rId215" cstate="print"/>
                                <a:stretch>
                                  <a:fillRect/>
                                </a:stretch>
                              </pic:blipFill>
                              <pic:spPr>
                                <a:xfrm>
                                  <a:off x="0" y="0"/>
                                  <a:ext cx="734552" cy="752855"/>
                                </a:xfrm>
                                <a:prstGeom prst="rect">
                                  <a:avLst/>
                                </a:prstGeom>
                              </pic:spPr>
                            </pic:pic>
                            <wps:wsp>
                              <wps:cNvPr id="864" name="Graphic 864"/>
                              <wps:cNvSpPr/>
                              <wps:spPr>
                                <a:xfrm>
                                  <a:off x="45529" y="35191"/>
                                  <a:ext cx="680085" cy="699770"/>
                                </a:xfrm>
                                <a:custGeom>
                                  <a:avLst/>
                                  <a:gdLst/>
                                  <a:ahLst/>
                                  <a:cxnLst/>
                                  <a:rect l="l" t="t" r="r" b="b"/>
                                  <a:pathLst>
                                    <a:path w="680085" h="699770">
                                      <a:moveTo>
                                        <a:pt x="679551" y="0"/>
                                      </a:moveTo>
                                      <a:lnTo>
                                        <a:pt x="0" y="0"/>
                                      </a:lnTo>
                                      <a:lnTo>
                                        <a:pt x="0" y="699477"/>
                                      </a:lnTo>
                                      <a:lnTo>
                                        <a:pt x="679551" y="699477"/>
                                      </a:lnTo>
                                      <a:lnTo>
                                        <a:pt x="67955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608pt;width:57.85pt;height:59.3pt;mso-position-horizontal-relative:column;mso-position-vertical-relative:paragraph;z-index:-28947968" id="docshapegroup673" coordorigin="2080,-491" coordsize="1157,1186">
                      <v:shape style="position:absolute;left:2079;top:-491;width:1157;height:1186" type="#_x0000_t75" id="docshape674" stroked="false">
                        <v:imagedata r:id="rId215" o:title=""/>
                      </v:shape>
                      <v:rect style="position:absolute;left:2151;top:-436;width:1071;height:1102" id="docshape675" filled="true" fillcolor="#000000" stroked="false">
                        <v:fill type="solid"/>
                      </v:rect>
                      <w10:wrap type="none"/>
                    </v:group>
                  </w:pict>
                </mc:Fallback>
              </mc:AlternateContent>
            </w:r>
            <w:r>
              <w:rPr>
                <w:rFonts w:ascii="Arial"/>
                <w:spacing w:val="-4"/>
                <w:sz w:val="14"/>
              </w:rPr>
              <w:t>7/40</w:t>
            </w:r>
          </w:p>
        </w:tc>
        <w:tc>
          <w:tcPr>
            <w:tcW w:w="1154"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865" name="Image 865"/>
                  <wp:cNvGraphicFramePr>
                    <a:graphicFrameLocks/>
                  </wp:cNvGraphicFramePr>
                  <a:graphic>
                    <a:graphicData uri="http://schemas.openxmlformats.org/drawingml/2006/picture">
                      <pic:pic>
                        <pic:nvPicPr>
                          <pic:cNvPr id="865" name="Image 865"/>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6"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77"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6" w:type="dxa"/>
            <w:tcBorders>
              <w:top w:val="single" w:sz="6" w:space="0" w:color="000000"/>
              <w:left w:val="nil"/>
              <w:bottom w:val="single" w:sz="6" w:space="0" w:color="000000"/>
            </w:tcBorders>
          </w:tcPr>
          <w:p>
            <w:pPr>
              <w:pStyle w:val="TableParagraph"/>
              <w:rPr>
                <w:rFonts w:ascii="Times New Roman"/>
                <w:sz w:val="14"/>
              </w:rPr>
            </w:pPr>
          </w:p>
        </w:tc>
        <w:tc>
          <w:tcPr>
            <w:tcW w:w="1154" w:type="dxa"/>
            <w:vMerge/>
            <w:tcBorders>
              <w:top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866" name="Image 866"/>
                  <wp:cNvGraphicFramePr>
                    <a:graphicFrameLocks/>
                  </wp:cNvGraphicFramePr>
                  <a:graphic>
                    <a:graphicData uri="http://schemas.openxmlformats.org/drawingml/2006/picture">
                      <pic:pic>
                        <pic:nvPicPr>
                          <pic:cNvPr id="866" name="Image 866"/>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89"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54" w:type="dxa"/>
            <w:vMerge/>
            <w:tcBorders>
              <w:top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before="0"/>
        <w:ind w:left="2575" w:right="2023" w:firstLine="0"/>
        <w:jc w:val="both"/>
        <w:rPr>
          <w:rFonts w:ascii="Calibri" w:hAnsi="Calibri"/>
          <w:sz w:val="20"/>
        </w:rPr>
      </w:pPr>
      <w:r>
        <w:rPr>
          <w:rFonts w:ascii="Calibri" w:hAnsi="Calibri"/>
          <w:sz w:val="20"/>
        </w:rPr>
        <w:t>máximo previsto, subrayando así la importancia de una correcta planificación financiera dentro de esta modalidad.</w:t>
      </w:r>
    </w:p>
    <w:p>
      <w:pPr>
        <w:pStyle w:val="ListParagraph"/>
        <w:numPr>
          <w:ilvl w:val="5"/>
          <w:numId w:val="13"/>
        </w:numPr>
        <w:tabs>
          <w:tab w:pos="2575" w:val="left" w:leader="none"/>
        </w:tabs>
        <w:spacing w:line="237" w:lineRule="auto" w:before="0" w:after="0"/>
        <w:ind w:left="2575" w:right="2020" w:hanging="324"/>
        <w:jc w:val="both"/>
        <w:rPr>
          <w:rFonts w:ascii="Calibri" w:hAnsi="Calibri"/>
          <w:sz w:val="20"/>
        </w:rPr>
      </w:pPr>
      <w:r>
        <w:rPr>
          <w:rFonts w:ascii="Calibri" w:hAnsi="Calibri"/>
          <w:sz w:val="20"/>
        </w:rPr>
        <w:t>Intervención General e informes de fiscalización: Los órganos de control financiero (IGAE) y fiscalización externa han analizado el uso de esta figura en la práctica. En general, no objetan su legalidad, pero llaman la atención sobre desviaciones en su aplicación. Por ejemplo, el Consejo de Cuentas de Castilla y León (Informe de fiscalización 63/2023) detectó contratos de servicio “según necesidades” donde no se incluyó en los pliegos la regla de posible modificación por aumento de necesidades, incumpliendo la DA 33ª. También señalan en sus conclusiones aquellas actuaciones mejorables</w:t>
      </w:r>
      <w:r>
        <w:rPr>
          <w:rFonts w:ascii="Calibri" w:hAnsi="Calibri"/>
          <w:spacing w:val="-8"/>
          <w:sz w:val="20"/>
        </w:rPr>
        <w:t> </w:t>
      </w:r>
      <w:r>
        <w:rPr>
          <w:rFonts w:ascii="Calibri" w:hAnsi="Calibri"/>
          <w:sz w:val="20"/>
        </w:rPr>
        <w:t>que,</w:t>
      </w:r>
      <w:r>
        <w:rPr>
          <w:rFonts w:ascii="Calibri" w:hAnsi="Calibri"/>
          <w:spacing w:val="-9"/>
          <w:sz w:val="20"/>
        </w:rPr>
        <w:t> </w:t>
      </w:r>
      <w:r>
        <w:rPr>
          <w:rFonts w:ascii="Calibri" w:hAnsi="Calibri"/>
          <w:sz w:val="20"/>
        </w:rPr>
        <w:t>sin</w:t>
      </w:r>
      <w:r>
        <w:rPr>
          <w:rFonts w:ascii="Calibri" w:hAnsi="Calibri"/>
          <w:spacing w:val="-11"/>
          <w:sz w:val="20"/>
        </w:rPr>
        <w:t> </w:t>
      </w:r>
      <w:r>
        <w:rPr>
          <w:rFonts w:ascii="Calibri" w:hAnsi="Calibri"/>
          <w:sz w:val="20"/>
        </w:rPr>
        <w:t>infringir</w:t>
      </w:r>
      <w:r>
        <w:rPr>
          <w:rFonts w:ascii="Calibri" w:hAnsi="Calibri"/>
          <w:spacing w:val="-8"/>
          <w:sz w:val="20"/>
        </w:rPr>
        <w:t> </w:t>
      </w:r>
      <w:r>
        <w:rPr>
          <w:rFonts w:ascii="Calibri" w:hAnsi="Calibri"/>
          <w:sz w:val="20"/>
        </w:rPr>
        <w:t>la</w:t>
      </w:r>
      <w:r>
        <w:rPr>
          <w:rFonts w:ascii="Calibri" w:hAnsi="Calibri"/>
          <w:spacing w:val="-10"/>
          <w:sz w:val="20"/>
        </w:rPr>
        <w:t> </w:t>
      </w:r>
      <w:r>
        <w:rPr>
          <w:rFonts w:ascii="Calibri" w:hAnsi="Calibri"/>
          <w:sz w:val="20"/>
        </w:rPr>
        <w:t>norma,</w:t>
      </w:r>
      <w:r>
        <w:rPr>
          <w:rFonts w:ascii="Calibri" w:hAnsi="Calibri"/>
          <w:spacing w:val="-8"/>
          <w:sz w:val="20"/>
        </w:rPr>
        <w:t> </w:t>
      </w:r>
      <w:r>
        <w:rPr>
          <w:rFonts w:ascii="Calibri" w:hAnsi="Calibri"/>
          <w:sz w:val="20"/>
        </w:rPr>
        <w:t>denotan</w:t>
      </w:r>
      <w:r>
        <w:rPr>
          <w:rFonts w:ascii="Calibri" w:hAnsi="Calibri"/>
          <w:spacing w:val="-12"/>
          <w:sz w:val="20"/>
        </w:rPr>
        <w:t> </w:t>
      </w:r>
      <w:r>
        <w:rPr>
          <w:rFonts w:ascii="Calibri" w:hAnsi="Calibri"/>
          <w:sz w:val="20"/>
        </w:rPr>
        <w:t>planificación</w:t>
      </w:r>
      <w:r>
        <w:rPr>
          <w:rFonts w:ascii="Calibri" w:hAnsi="Calibri"/>
          <w:spacing w:val="-6"/>
          <w:sz w:val="20"/>
        </w:rPr>
        <w:t> </w:t>
      </w:r>
      <w:r>
        <w:rPr>
          <w:rFonts w:ascii="Calibri" w:hAnsi="Calibri"/>
          <w:sz w:val="20"/>
        </w:rPr>
        <w:t>deficiente</w:t>
      </w:r>
      <w:r>
        <w:rPr>
          <w:rFonts w:ascii="Calibri" w:hAnsi="Calibri"/>
          <w:spacing w:val="-10"/>
          <w:sz w:val="20"/>
        </w:rPr>
        <w:t> </w:t>
      </w:r>
      <w:r>
        <w:rPr>
          <w:rFonts w:ascii="Calibri" w:hAnsi="Calibri"/>
          <w:sz w:val="20"/>
        </w:rPr>
        <w:t>(como</w:t>
      </w:r>
      <w:r>
        <w:rPr>
          <w:rFonts w:ascii="Calibri" w:hAnsi="Calibri"/>
          <w:spacing w:val="-8"/>
          <w:sz w:val="20"/>
        </w:rPr>
        <w:t> </w:t>
      </w:r>
      <w:r>
        <w:rPr>
          <w:rFonts w:ascii="Calibri" w:hAnsi="Calibri"/>
          <w:sz w:val="20"/>
        </w:rPr>
        <w:t>no</w:t>
      </w:r>
      <w:r>
        <w:rPr>
          <w:rFonts w:ascii="Calibri" w:hAnsi="Calibri"/>
          <w:spacing w:val="-10"/>
          <w:sz w:val="20"/>
        </w:rPr>
        <w:t> </w:t>
      </w:r>
      <w:r>
        <w:rPr>
          <w:rFonts w:ascii="Calibri" w:hAnsi="Calibri"/>
          <w:sz w:val="20"/>
        </w:rPr>
        <w:t>haber previsto</w:t>
      </w:r>
      <w:r>
        <w:rPr>
          <w:rFonts w:ascii="Calibri" w:hAnsi="Calibri"/>
          <w:spacing w:val="-9"/>
          <w:sz w:val="20"/>
        </w:rPr>
        <w:t> </w:t>
      </w:r>
      <w:r>
        <w:rPr>
          <w:rFonts w:ascii="Calibri" w:hAnsi="Calibri"/>
          <w:sz w:val="20"/>
        </w:rPr>
        <w:t>correctamente</w:t>
      </w:r>
      <w:r>
        <w:rPr>
          <w:rFonts w:ascii="Calibri" w:hAnsi="Calibri"/>
          <w:spacing w:val="-9"/>
          <w:sz w:val="20"/>
        </w:rPr>
        <w:t> </w:t>
      </w:r>
      <w:r>
        <w:rPr>
          <w:rFonts w:ascii="Calibri" w:hAnsi="Calibri"/>
          <w:sz w:val="20"/>
        </w:rPr>
        <w:t>el</w:t>
      </w:r>
      <w:r>
        <w:rPr>
          <w:rFonts w:ascii="Calibri" w:hAnsi="Calibri"/>
          <w:spacing w:val="-9"/>
          <w:sz w:val="20"/>
        </w:rPr>
        <w:t> </w:t>
      </w:r>
      <w:r>
        <w:rPr>
          <w:rFonts w:ascii="Calibri" w:hAnsi="Calibri"/>
          <w:sz w:val="20"/>
        </w:rPr>
        <w:t>volumen</w:t>
      </w:r>
      <w:r>
        <w:rPr>
          <w:rFonts w:ascii="Calibri" w:hAnsi="Calibri"/>
          <w:spacing w:val="-12"/>
          <w:sz w:val="20"/>
        </w:rPr>
        <w:t> </w:t>
      </w:r>
      <w:r>
        <w:rPr>
          <w:rFonts w:ascii="Calibri" w:hAnsi="Calibri"/>
          <w:sz w:val="20"/>
        </w:rPr>
        <w:t>del</w:t>
      </w:r>
      <w:r>
        <w:rPr>
          <w:rFonts w:ascii="Calibri" w:hAnsi="Calibri"/>
          <w:spacing w:val="-11"/>
          <w:sz w:val="20"/>
        </w:rPr>
        <w:t> </w:t>
      </w:r>
      <w:r>
        <w:rPr>
          <w:rFonts w:ascii="Calibri" w:hAnsi="Calibri"/>
          <w:sz w:val="20"/>
        </w:rPr>
        <w:t>contrato).</w:t>
      </w:r>
      <w:r>
        <w:rPr>
          <w:rFonts w:ascii="Calibri" w:hAnsi="Calibri"/>
          <w:spacing w:val="-11"/>
          <w:sz w:val="20"/>
        </w:rPr>
        <w:t> </w:t>
      </w:r>
      <w:r>
        <w:rPr>
          <w:rFonts w:ascii="Calibri" w:hAnsi="Calibri"/>
          <w:sz w:val="20"/>
        </w:rPr>
        <w:t>Estas</w:t>
      </w:r>
      <w:r>
        <w:rPr>
          <w:rFonts w:ascii="Calibri" w:hAnsi="Calibri"/>
          <w:spacing w:val="-12"/>
          <w:sz w:val="20"/>
        </w:rPr>
        <w:t> </w:t>
      </w:r>
      <w:r>
        <w:rPr>
          <w:rFonts w:ascii="Calibri" w:hAnsi="Calibri"/>
          <w:sz w:val="20"/>
        </w:rPr>
        <w:t>observaciones</w:t>
      </w:r>
      <w:r>
        <w:rPr>
          <w:rFonts w:ascii="Calibri" w:hAnsi="Calibri"/>
          <w:spacing w:val="-9"/>
          <w:sz w:val="20"/>
        </w:rPr>
        <w:t> </w:t>
      </w:r>
      <w:r>
        <w:rPr>
          <w:rFonts w:ascii="Calibri" w:hAnsi="Calibri"/>
          <w:sz w:val="20"/>
        </w:rPr>
        <w:t>refuerzan</w:t>
      </w:r>
      <w:r>
        <w:rPr>
          <w:rFonts w:ascii="Calibri" w:hAnsi="Calibri"/>
          <w:spacing w:val="-10"/>
          <w:sz w:val="20"/>
        </w:rPr>
        <w:t> </w:t>
      </w:r>
      <w:r>
        <w:rPr>
          <w:rFonts w:ascii="Calibri" w:hAnsi="Calibri"/>
          <w:sz w:val="20"/>
        </w:rPr>
        <w:t>la</w:t>
      </w:r>
      <w:r>
        <w:rPr>
          <w:rFonts w:ascii="Calibri" w:hAnsi="Calibri"/>
          <w:spacing w:val="-9"/>
          <w:sz w:val="20"/>
        </w:rPr>
        <w:t> </w:t>
      </w:r>
      <w:r>
        <w:rPr>
          <w:rFonts w:ascii="Calibri" w:hAnsi="Calibri"/>
          <w:sz w:val="20"/>
        </w:rPr>
        <w:t>idea de que la DA</w:t>
      </w:r>
      <w:r>
        <w:rPr>
          <w:rFonts w:ascii="Calibri" w:hAnsi="Calibri"/>
          <w:spacing w:val="-8"/>
          <w:sz w:val="20"/>
        </w:rPr>
        <w:t> </w:t>
      </w:r>
      <w:r>
        <w:rPr>
          <w:rFonts w:ascii="Calibri" w:hAnsi="Calibri"/>
          <w:sz w:val="20"/>
        </w:rPr>
        <w:t>33ª debe usarse con rigor procedimental: respetando todas las cautelas que</w:t>
      </w:r>
      <w:r>
        <w:rPr>
          <w:rFonts w:ascii="Calibri" w:hAnsi="Calibri"/>
          <w:spacing w:val="-4"/>
          <w:sz w:val="20"/>
        </w:rPr>
        <w:t> </w:t>
      </w:r>
      <w:r>
        <w:rPr>
          <w:rFonts w:ascii="Calibri" w:hAnsi="Calibri"/>
          <w:sz w:val="20"/>
        </w:rPr>
        <w:t>impone</w:t>
      </w:r>
      <w:r>
        <w:rPr>
          <w:rFonts w:ascii="Calibri" w:hAnsi="Calibri"/>
          <w:spacing w:val="-4"/>
          <w:sz w:val="20"/>
        </w:rPr>
        <w:t> </w:t>
      </w:r>
      <w:r>
        <w:rPr>
          <w:rFonts w:ascii="Calibri" w:hAnsi="Calibri"/>
          <w:sz w:val="20"/>
        </w:rPr>
        <w:t>la</w:t>
      </w:r>
      <w:r>
        <w:rPr>
          <w:rFonts w:ascii="Calibri" w:hAnsi="Calibri"/>
          <w:spacing w:val="-6"/>
          <w:sz w:val="20"/>
        </w:rPr>
        <w:t> </w:t>
      </w:r>
      <w:r>
        <w:rPr>
          <w:rFonts w:ascii="Calibri" w:hAnsi="Calibri"/>
          <w:sz w:val="20"/>
        </w:rPr>
        <w:t>norma</w:t>
      </w:r>
      <w:r>
        <w:rPr>
          <w:rFonts w:ascii="Calibri" w:hAnsi="Calibri"/>
          <w:spacing w:val="-4"/>
          <w:sz w:val="20"/>
        </w:rPr>
        <w:t> </w:t>
      </w:r>
      <w:r>
        <w:rPr>
          <w:rFonts w:ascii="Calibri" w:hAnsi="Calibri"/>
          <w:sz w:val="20"/>
        </w:rPr>
        <w:t>(presupuesto</w:t>
      </w:r>
      <w:r>
        <w:rPr>
          <w:rFonts w:ascii="Calibri" w:hAnsi="Calibri"/>
          <w:spacing w:val="-4"/>
          <w:sz w:val="20"/>
        </w:rPr>
        <w:t> </w:t>
      </w:r>
      <w:r>
        <w:rPr>
          <w:rFonts w:ascii="Calibri" w:hAnsi="Calibri"/>
          <w:sz w:val="20"/>
        </w:rPr>
        <w:t>tope,</w:t>
      </w:r>
      <w:r>
        <w:rPr>
          <w:rFonts w:ascii="Calibri" w:hAnsi="Calibri"/>
          <w:spacing w:val="-8"/>
          <w:sz w:val="20"/>
        </w:rPr>
        <w:t> </w:t>
      </w:r>
      <w:r>
        <w:rPr>
          <w:rFonts w:ascii="Calibri" w:hAnsi="Calibri"/>
          <w:sz w:val="20"/>
        </w:rPr>
        <w:t>modificación</w:t>
      </w:r>
      <w:r>
        <w:rPr>
          <w:rFonts w:ascii="Calibri" w:hAnsi="Calibri"/>
          <w:spacing w:val="-8"/>
          <w:sz w:val="20"/>
        </w:rPr>
        <w:t> </w:t>
      </w:r>
      <w:r>
        <w:rPr>
          <w:rFonts w:ascii="Calibri" w:hAnsi="Calibri"/>
          <w:sz w:val="20"/>
        </w:rPr>
        <w:t>anticipada</w:t>
      </w:r>
      <w:r>
        <w:rPr>
          <w:rFonts w:ascii="Calibri" w:hAnsi="Calibri"/>
          <w:spacing w:val="-4"/>
          <w:sz w:val="20"/>
        </w:rPr>
        <w:t> </w:t>
      </w:r>
      <w:r>
        <w:rPr>
          <w:rFonts w:ascii="Calibri" w:hAnsi="Calibri"/>
          <w:sz w:val="20"/>
        </w:rPr>
        <w:t>en</w:t>
      </w:r>
      <w:r>
        <w:rPr>
          <w:rFonts w:ascii="Calibri" w:hAnsi="Calibri"/>
          <w:spacing w:val="-6"/>
          <w:sz w:val="20"/>
        </w:rPr>
        <w:t> </w:t>
      </w:r>
      <w:r>
        <w:rPr>
          <w:rFonts w:ascii="Calibri" w:hAnsi="Calibri"/>
          <w:sz w:val="20"/>
        </w:rPr>
        <w:t>pliegos,</w:t>
      </w:r>
      <w:r>
        <w:rPr>
          <w:rFonts w:ascii="Calibri" w:hAnsi="Calibri"/>
          <w:spacing w:val="-4"/>
          <w:sz w:val="20"/>
        </w:rPr>
        <w:t> </w:t>
      </w:r>
      <w:r>
        <w:rPr>
          <w:rFonts w:ascii="Calibri" w:hAnsi="Calibri"/>
          <w:sz w:val="20"/>
        </w:rPr>
        <w:t>límite</w:t>
      </w:r>
      <w:r>
        <w:rPr>
          <w:rFonts w:ascii="Calibri" w:hAnsi="Calibri"/>
          <w:spacing w:val="-5"/>
          <w:sz w:val="20"/>
        </w:rPr>
        <w:t> </w:t>
      </w:r>
      <w:r>
        <w:rPr>
          <w:rFonts w:ascii="Calibri" w:hAnsi="Calibri"/>
          <w:sz w:val="20"/>
        </w:rPr>
        <w:t>del 20% para ampliaciones salvo causa excepcional, etc.), de modo que no se convirtiera en un coladero para sobrepasar los límites de la contratación ordinaria.</w:t>
      </w:r>
    </w:p>
    <w:p>
      <w:pPr>
        <w:spacing w:line="256" w:lineRule="auto" w:before="187"/>
        <w:ind w:left="1925" w:right="2021" w:firstLine="0"/>
        <w:jc w:val="both"/>
        <w:rPr>
          <w:rFonts w:ascii="Calibri" w:hAnsi="Calibri"/>
          <w:sz w:val="20"/>
        </w:rPr>
      </w:pPr>
      <w:r>
        <w:rPr>
          <w:rFonts w:ascii="Calibri" w:hAnsi="Calibri"/>
          <w:sz w:val="20"/>
        </w:rPr>
        <w:t>5º En suma, prever una ampliación potencial del 20% en estos contratos de autobuses no constituye una irregularidad, sino que es una medida de buena gestión común en el sector público para asegurar que el servicio disponga de recursos suficientes si la</w:t>
      </w:r>
      <w:r>
        <w:rPr>
          <w:rFonts w:ascii="Calibri" w:hAnsi="Calibri"/>
          <w:spacing w:val="-1"/>
          <w:sz w:val="20"/>
        </w:rPr>
        <w:t> </w:t>
      </w:r>
      <w:r>
        <w:rPr>
          <w:rFonts w:ascii="Calibri" w:hAnsi="Calibri"/>
          <w:sz w:val="20"/>
        </w:rPr>
        <w:t>demanda lo exige.</w:t>
      </w:r>
    </w:p>
    <w:p>
      <w:pPr>
        <w:spacing w:line="256" w:lineRule="auto" w:before="145"/>
        <w:ind w:left="1925" w:right="2020" w:firstLine="0"/>
        <w:jc w:val="both"/>
        <w:rPr>
          <w:rFonts w:ascii="Calibri" w:hAnsi="Calibri"/>
          <w:sz w:val="20"/>
        </w:rPr>
      </w:pPr>
      <w:r>
        <w:rPr>
          <w:rFonts w:ascii="Calibri" w:hAnsi="Calibri"/>
          <w:sz w:val="20"/>
        </w:rPr>
        <w:t>A mayor abundamiento, la aplicación de esta disposición contribuye a la necesidad de flexibilidad en la planificación de la flota (aumento de demanda, incidencias y averías). El servicio de transporte urbano es dinámico y requiere flexibilidad en la gestión de la flota. Factores</w:t>
      </w:r>
      <w:r>
        <w:rPr>
          <w:rFonts w:ascii="Calibri" w:hAnsi="Calibri"/>
          <w:spacing w:val="-4"/>
          <w:sz w:val="20"/>
        </w:rPr>
        <w:t> </w:t>
      </w:r>
      <w:r>
        <w:rPr>
          <w:rFonts w:ascii="Calibri" w:hAnsi="Calibri"/>
          <w:sz w:val="20"/>
        </w:rPr>
        <w:t>operativos</w:t>
      </w:r>
      <w:r>
        <w:rPr>
          <w:rFonts w:ascii="Calibri" w:hAnsi="Calibri"/>
          <w:spacing w:val="-3"/>
          <w:sz w:val="20"/>
        </w:rPr>
        <w:t> </w:t>
      </w:r>
      <w:r>
        <w:rPr>
          <w:rFonts w:ascii="Calibri" w:hAnsi="Calibri"/>
          <w:sz w:val="20"/>
        </w:rPr>
        <w:t>como</w:t>
      </w:r>
      <w:r>
        <w:rPr>
          <w:rFonts w:ascii="Calibri" w:hAnsi="Calibri"/>
          <w:spacing w:val="-4"/>
          <w:sz w:val="20"/>
        </w:rPr>
        <w:t> </w:t>
      </w:r>
      <w:r>
        <w:rPr>
          <w:rFonts w:ascii="Calibri" w:hAnsi="Calibri"/>
          <w:sz w:val="20"/>
        </w:rPr>
        <w:t>un</w:t>
      </w:r>
      <w:r>
        <w:rPr>
          <w:rFonts w:ascii="Calibri" w:hAnsi="Calibri"/>
          <w:spacing w:val="-3"/>
          <w:sz w:val="20"/>
        </w:rPr>
        <w:t> </w:t>
      </w:r>
      <w:r>
        <w:rPr>
          <w:rFonts w:ascii="Calibri" w:hAnsi="Calibri"/>
          <w:sz w:val="20"/>
        </w:rPr>
        <w:t>incremento</w:t>
      </w:r>
      <w:r>
        <w:rPr>
          <w:rFonts w:ascii="Calibri" w:hAnsi="Calibri"/>
          <w:spacing w:val="-2"/>
          <w:sz w:val="20"/>
        </w:rPr>
        <w:t> </w:t>
      </w:r>
      <w:r>
        <w:rPr>
          <w:rFonts w:ascii="Calibri" w:hAnsi="Calibri"/>
          <w:sz w:val="20"/>
        </w:rPr>
        <w:t>imprevisto</w:t>
      </w:r>
      <w:r>
        <w:rPr>
          <w:rFonts w:ascii="Calibri" w:hAnsi="Calibri"/>
          <w:spacing w:val="-2"/>
          <w:sz w:val="20"/>
        </w:rPr>
        <w:t> </w:t>
      </w:r>
      <w:r>
        <w:rPr>
          <w:rFonts w:ascii="Calibri" w:hAnsi="Calibri"/>
          <w:sz w:val="20"/>
        </w:rPr>
        <w:t>de la</w:t>
      </w:r>
      <w:r>
        <w:rPr>
          <w:rFonts w:ascii="Calibri" w:hAnsi="Calibri"/>
          <w:spacing w:val="-2"/>
          <w:sz w:val="20"/>
        </w:rPr>
        <w:t> </w:t>
      </w:r>
      <w:r>
        <w:rPr>
          <w:rFonts w:ascii="Calibri" w:hAnsi="Calibri"/>
          <w:sz w:val="20"/>
        </w:rPr>
        <w:t>demanda de</w:t>
      </w:r>
      <w:r>
        <w:rPr>
          <w:rFonts w:ascii="Calibri" w:hAnsi="Calibri"/>
          <w:spacing w:val="-4"/>
          <w:sz w:val="20"/>
        </w:rPr>
        <w:t> </w:t>
      </w:r>
      <w:r>
        <w:rPr>
          <w:rFonts w:ascii="Calibri" w:hAnsi="Calibri"/>
          <w:sz w:val="20"/>
        </w:rPr>
        <w:t>viajeros,</w:t>
      </w:r>
      <w:r>
        <w:rPr>
          <w:rFonts w:ascii="Calibri" w:hAnsi="Calibri"/>
          <w:spacing w:val="-6"/>
          <w:sz w:val="20"/>
        </w:rPr>
        <w:t> </w:t>
      </w:r>
      <w:r>
        <w:rPr>
          <w:rFonts w:ascii="Calibri" w:hAnsi="Calibri"/>
          <w:sz w:val="20"/>
        </w:rPr>
        <w:t>la</w:t>
      </w:r>
      <w:r>
        <w:rPr>
          <w:rFonts w:ascii="Calibri" w:hAnsi="Calibri"/>
          <w:spacing w:val="-2"/>
          <w:sz w:val="20"/>
        </w:rPr>
        <w:t> </w:t>
      </w:r>
      <w:r>
        <w:rPr>
          <w:rFonts w:ascii="Calibri" w:hAnsi="Calibri"/>
          <w:sz w:val="20"/>
        </w:rPr>
        <w:t>apertura</w:t>
      </w:r>
      <w:r>
        <w:rPr>
          <w:rFonts w:ascii="Calibri" w:hAnsi="Calibri"/>
          <w:spacing w:val="-2"/>
          <w:sz w:val="20"/>
        </w:rPr>
        <w:t> </w:t>
      </w:r>
      <w:r>
        <w:rPr>
          <w:rFonts w:ascii="Calibri" w:hAnsi="Calibri"/>
          <w:sz w:val="20"/>
        </w:rPr>
        <w:t>de nuevas</w:t>
      </w:r>
      <w:r>
        <w:rPr>
          <w:rFonts w:ascii="Calibri" w:hAnsi="Calibri"/>
          <w:spacing w:val="-6"/>
          <w:sz w:val="20"/>
        </w:rPr>
        <w:t> </w:t>
      </w:r>
      <w:r>
        <w:rPr>
          <w:rFonts w:ascii="Calibri" w:hAnsi="Calibri"/>
          <w:sz w:val="20"/>
        </w:rPr>
        <w:t>líneas</w:t>
      </w:r>
      <w:r>
        <w:rPr>
          <w:rFonts w:ascii="Calibri" w:hAnsi="Calibri"/>
          <w:spacing w:val="-8"/>
          <w:sz w:val="20"/>
        </w:rPr>
        <w:t> </w:t>
      </w:r>
      <w:r>
        <w:rPr>
          <w:rFonts w:ascii="Calibri" w:hAnsi="Calibri"/>
          <w:sz w:val="20"/>
        </w:rPr>
        <w:t>o</w:t>
      </w:r>
      <w:r>
        <w:rPr>
          <w:rFonts w:ascii="Calibri" w:hAnsi="Calibri"/>
          <w:spacing w:val="-5"/>
          <w:sz w:val="20"/>
        </w:rPr>
        <w:t> </w:t>
      </w:r>
      <w:r>
        <w:rPr>
          <w:rFonts w:ascii="Calibri" w:hAnsi="Calibri"/>
          <w:sz w:val="20"/>
        </w:rPr>
        <w:t>extensiones</w:t>
      </w:r>
      <w:r>
        <w:rPr>
          <w:rFonts w:ascii="Calibri" w:hAnsi="Calibri"/>
          <w:spacing w:val="-5"/>
          <w:sz w:val="20"/>
        </w:rPr>
        <w:t> </w:t>
      </w:r>
      <w:r>
        <w:rPr>
          <w:rFonts w:ascii="Calibri" w:hAnsi="Calibri"/>
          <w:sz w:val="20"/>
        </w:rPr>
        <w:t>de</w:t>
      </w:r>
      <w:r>
        <w:rPr>
          <w:rFonts w:ascii="Calibri" w:hAnsi="Calibri"/>
          <w:spacing w:val="-8"/>
          <w:sz w:val="20"/>
        </w:rPr>
        <w:t> </w:t>
      </w:r>
      <w:r>
        <w:rPr>
          <w:rFonts w:ascii="Calibri" w:hAnsi="Calibri"/>
          <w:sz w:val="20"/>
        </w:rPr>
        <w:t>recorrido,</w:t>
      </w:r>
      <w:r>
        <w:rPr>
          <w:rFonts w:ascii="Calibri" w:hAnsi="Calibri"/>
          <w:spacing w:val="-9"/>
          <w:sz w:val="20"/>
        </w:rPr>
        <w:t> </w:t>
      </w:r>
      <w:r>
        <w:rPr>
          <w:rFonts w:ascii="Calibri" w:hAnsi="Calibri"/>
          <w:sz w:val="20"/>
        </w:rPr>
        <w:t>así</w:t>
      </w:r>
      <w:r>
        <w:rPr>
          <w:rFonts w:ascii="Calibri" w:hAnsi="Calibri"/>
          <w:spacing w:val="-8"/>
          <w:sz w:val="20"/>
        </w:rPr>
        <w:t> </w:t>
      </w:r>
      <w:r>
        <w:rPr>
          <w:rFonts w:ascii="Calibri" w:hAnsi="Calibri"/>
          <w:sz w:val="20"/>
        </w:rPr>
        <w:t>como</w:t>
      </w:r>
      <w:r>
        <w:rPr>
          <w:rFonts w:ascii="Calibri" w:hAnsi="Calibri"/>
          <w:spacing w:val="-7"/>
          <w:sz w:val="20"/>
        </w:rPr>
        <w:t> </w:t>
      </w:r>
      <w:r>
        <w:rPr>
          <w:rFonts w:ascii="Calibri" w:hAnsi="Calibri"/>
          <w:sz w:val="20"/>
        </w:rPr>
        <w:t>contingencias</w:t>
      </w:r>
      <w:r>
        <w:rPr>
          <w:rFonts w:ascii="Calibri" w:hAnsi="Calibri"/>
          <w:spacing w:val="-6"/>
          <w:sz w:val="20"/>
        </w:rPr>
        <w:t> </w:t>
      </w:r>
      <w:r>
        <w:rPr>
          <w:rFonts w:ascii="Calibri" w:hAnsi="Calibri"/>
          <w:sz w:val="20"/>
        </w:rPr>
        <w:t>sobrevenidas</w:t>
      </w:r>
      <w:r>
        <w:rPr>
          <w:rFonts w:ascii="Calibri" w:hAnsi="Calibri"/>
          <w:spacing w:val="-7"/>
          <w:sz w:val="20"/>
        </w:rPr>
        <w:t> </w:t>
      </w:r>
      <w:r>
        <w:rPr>
          <w:rFonts w:ascii="Calibri" w:hAnsi="Calibri"/>
          <w:sz w:val="20"/>
        </w:rPr>
        <w:t>(averías</w:t>
      </w:r>
      <w:r>
        <w:rPr>
          <w:rFonts w:ascii="Calibri" w:hAnsi="Calibri"/>
          <w:spacing w:val="-5"/>
          <w:sz w:val="20"/>
        </w:rPr>
        <w:t> </w:t>
      </w:r>
      <w:r>
        <w:rPr>
          <w:rFonts w:ascii="Calibri" w:hAnsi="Calibri"/>
          <w:sz w:val="20"/>
        </w:rPr>
        <w:t>graves, siniestros,</w:t>
      </w:r>
      <w:r>
        <w:rPr>
          <w:rFonts w:ascii="Calibri" w:hAnsi="Calibri"/>
          <w:spacing w:val="-4"/>
          <w:sz w:val="20"/>
        </w:rPr>
        <w:t> </w:t>
      </w:r>
      <w:r>
        <w:rPr>
          <w:rFonts w:ascii="Calibri" w:hAnsi="Calibri"/>
          <w:sz w:val="20"/>
        </w:rPr>
        <w:t>retirada</w:t>
      </w:r>
      <w:r>
        <w:rPr>
          <w:rFonts w:ascii="Calibri" w:hAnsi="Calibri"/>
          <w:spacing w:val="-8"/>
          <w:sz w:val="20"/>
        </w:rPr>
        <w:t> </w:t>
      </w:r>
      <w:r>
        <w:rPr>
          <w:rFonts w:ascii="Calibri" w:hAnsi="Calibri"/>
          <w:sz w:val="20"/>
        </w:rPr>
        <w:t>acelerada</w:t>
      </w:r>
      <w:r>
        <w:rPr>
          <w:rFonts w:ascii="Calibri" w:hAnsi="Calibri"/>
          <w:spacing w:val="-5"/>
          <w:sz w:val="20"/>
        </w:rPr>
        <w:t> </w:t>
      </w:r>
      <w:r>
        <w:rPr>
          <w:rFonts w:ascii="Calibri" w:hAnsi="Calibri"/>
          <w:sz w:val="20"/>
        </w:rPr>
        <w:t>de</w:t>
      </w:r>
      <w:r>
        <w:rPr>
          <w:rFonts w:ascii="Calibri" w:hAnsi="Calibri"/>
          <w:spacing w:val="-3"/>
          <w:sz w:val="20"/>
        </w:rPr>
        <w:t> </w:t>
      </w:r>
      <w:r>
        <w:rPr>
          <w:rFonts w:ascii="Calibri" w:hAnsi="Calibri"/>
          <w:sz w:val="20"/>
        </w:rPr>
        <w:t>vehículos</w:t>
      </w:r>
      <w:r>
        <w:rPr>
          <w:rFonts w:ascii="Calibri" w:hAnsi="Calibri"/>
          <w:spacing w:val="-5"/>
          <w:sz w:val="20"/>
        </w:rPr>
        <w:t> </w:t>
      </w:r>
      <w:r>
        <w:rPr>
          <w:rFonts w:ascii="Calibri" w:hAnsi="Calibri"/>
          <w:sz w:val="20"/>
        </w:rPr>
        <w:t>por</w:t>
      </w:r>
      <w:r>
        <w:rPr>
          <w:rFonts w:ascii="Calibri" w:hAnsi="Calibri"/>
          <w:spacing w:val="-7"/>
          <w:sz w:val="20"/>
        </w:rPr>
        <w:t> </w:t>
      </w:r>
      <w:r>
        <w:rPr>
          <w:rFonts w:ascii="Calibri" w:hAnsi="Calibri"/>
          <w:sz w:val="20"/>
        </w:rPr>
        <w:t>obsolescencia</w:t>
      </w:r>
      <w:r>
        <w:rPr>
          <w:rFonts w:ascii="Calibri" w:hAnsi="Calibri"/>
          <w:spacing w:val="-8"/>
          <w:sz w:val="20"/>
        </w:rPr>
        <w:t> </w:t>
      </w:r>
      <w:r>
        <w:rPr>
          <w:rFonts w:ascii="Calibri" w:hAnsi="Calibri"/>
          <w:sz w:val="20"/>
        </w:rPr>
        <w:t>o</w:t>
      </w:r>
      <w:r>
        <w:rPr>
          <w:rFonts w:ascii="Calibri" w:hAnsi="Calibri"/>
          <w:spacing w:val="-4"/>
          <w:sz w:val="20"/>
        </w:rPr>
        <w:t> </w:t>
      </w:r>
      <w:r>
        <w:rPr>
          <w:rFonts w:ascii="Calibri" w:hAnsi="Calibri"/>
          <w:sz w:val="20"/>
        </w:rPr>
        <w:t>fallos</w:t>
      </w:r>
      <w:r>
        <w:rPr>
          <w:rFonts w:ascii="Calibri" w:hAnsi="Calibri"/>
          <w:spacing w:val="-5"/>
          <w:sz w:val="20"/>
        </w:rPr>
        <w:t> </w:t>
      </w:r>
      <w:r>
        <w:rPr>
          <w:rFonts w:ascii="Calibri" w:hAnsi="Calibri"/>
          <w:sz w:val="20"/>
        </w:rPr>
        <w:t>técnicos)</w:t>
      </w:r>
      <w:r>
        <w:rPr>
          <w:rFonts w:ascii="Calibri" w:hAnsi="Calibri"/>
          <w:spacing w:val="-7"/>
          <w:sz w:val="20"/>
        </w:rPr>
        <w:t> </w:t>
      </w:r>
      <w:r>
        <w:rPr>
          <w:rFonts w:ascii="Calibri" w:hAnsi="Calibri"/>
          <w:sz w:val="20"/>
        </w:rPr>
        <w:t>obligan</w:t>
      </w:r>
      <w:r>
        <w:rPr>
          <w:rFonts w:ascii="Calibri" w:hAnsi="Calibri"/>
          <w:spacing w:val="-3"/>
          <w:sz w:val="20"/>
        </w:rPr>
        <w:t> </w:t>
      </w:r>
      <w:r>
        <w:rPr>
          <w:rFonts w:ascii="Calibri" w:hAnsi="Calibri"/>
          <w:sz w:val="20"/>
        </w:rPr>
        <w:t>a</w:t>
      </w:r>
      <w:r>
        <w:rPr>
          <w:rFonts w:ascii="Calibri" w:hAnsi="Calibri"/>
          <w:spacing w:val="-8"/>
          <w:sz w:val="20"/>
        </w:rPr>
        <w:t> </w:t>
      </w:r>
      <w:r>
        <w:rPr>
          <w:rFonts w:ascii="Calibri" w:hAnsi="Calibri"/>
          <w:sz w:val="20"/>
        </w:rPr>
        <w:t>ajustar rápidamente el número de autobuses disponibles. La previsión de ampliaciones en los contratos de suministro mediante la DA 33ª responde a esta necesidad de flexibilidad.</w:t>
      </w:r>
    </w:p>
    <w:p>
      <w:pPr>
        <w:spacing w:line="256" w:lineRule="auto" w:before="147"/>
        <w:ind w:left="1925" w:right="2020" w:firstLine="0"/>
        <w:jc w:val="both"/>
        <w:rPr>
          <w:rFonts w:ascii="Calibri" w:hAnsi="Calibri"/>
          <w:sz w:val="20"/>
        </w:rPr>
      </w:pPr>
      <w:r>
        <w:rPr>
          <w:rFonts w:ascii="Calibri" w:hAnsi="Calibri"/>
          <w:sz w:val="20"/>
        </w:rPr>
        <w:t>6º Así conviene decir, que, en Málaga, tras la pandemia, la demanda de viajeros ha experimentado</w:t>
      </w:r>
      <w:r>
        <w:rPr>
          <w:rFonts w:ascii="Calibri" w:hAnsi="Calibri"/>
          <w:spacing w:val="-2"/>
          <w:sz w:val="20"/>
        </w:rPr>
        <w:t> </w:t>
      </w:r>
      <w:r>
        <w:rPr>
          <w:rFonts w:ascii="Calibri" w:hAnsi="Calibri"/>
          <w:sz w:val="20"/>
        </w:rPr>
        <w:t>un</w:t>
      </w:r>
      <w:r>
        <w:rPr>
          <w:rFonts w:ascii="Calibri" w:hAnsi="Calibri"/>
          <w:spacing w:val="-3"/>
          <w:sz w:val="20"/>
        </w:rPr>
        <w:t> </w:t>
      </w:r>
      <w:r>
        <w:rPr>
          <w:rFonts w:ascii="Calibri" w:hAnsi="Calibri"/>
          <w:sz w:val="20"/>
        </w:rPr>
        <w:t>notable</w:t>
      </w:r>
      <w:r>
        <w:rPr>
          <w:rFonts w:ascii="Calibri" w:hAnsi="Calibri"/>
          <w:spacing w:val="-5"/>
          <w:sz w:val="20"/>
        </w:rPr>
        <w:t> </w:t>
      </w:r>
      <w:r>
        <w:rPr>
          <w:rFonts w:ascii="Calibri" w:hAnsi="Calibri"/>
          <w:sz w:val="20"/>
        </w:rPr>
        <w:t>alcanzándose</w:t>
      </w:r>
      <w:r>
        <w:rPr>
          <w:rFonts w:ascii="Calibri" w:hAnsi="Calibri"/>
          <w:spacing w:val="-3"/>
          <w:sz w:val="20"/>
        </w:rPr>
        <w:t> </w:t>
      </w:r>
      <w:r>
        <w:rPr>
          <w:rFonts w:ascii="Calibri" w:hAnsi="Calibri"/>
          <w:sz w:val="20"/>
        </w:rPr>
        <w:t>cifras</w:t>
      </w:r>
      <w:r>
        <w:rPr>
          <w:rFonts w:ascii="Calibri" w:hAnsi="Calibri"/>
          <w:spacing w:val="-1"/>
          <w:sz w:val="20"/>
        </w:rPr>
        <w:t> </w:t>
      </w:r>
      <w:r>
        <w:rPr>
          <w:rFonts w:ascii="Calibri" w:hAnsi="Calibri"/>
          <w:sz w:val="20"/>
        </w:rPr>
        <w:t>históricas.</w:t>
      </w:r>
      <w:r>
        <w:rPr>
          <w:rFonts w:ascii="Calibri" w:hAnsi="Calibri"/>
          <w:spacing w:val="-1"/>
          <w:sz w:val="20"/>
        </w:rPr>
        <w:t> </w:t>
      </w:r>
      <w:r>
        <w:rPr>
          <w:rFonts w:ascii="Calibri" w:hAnsi="Calibri"/>
          <w:sz w:val="20"/>
        </w:rPr>
        <w:t>Además,</w:t>
      </w:r>
      <w:r>
        <w:rPr>
          <w:rFonts w:ascii="Calibri" w:hAnsi="Calibri"/>
          <w:spacing w:val="-6"/>
          <w:sz w:val="20"/>
        </w:rPr>
        <w:t> </w:t>
      </w:r>
      <w:r>
        <w:rPr>
          <w:rFonts w:ascii="Calibri" w:hAnsi="Calibri"/>
          <w:sz w:val="20"/>
        </w:rPr>
        <w:t>desde</w:t>
      </w:r>
      <w:r>
        <w:rPr>
          <w:rFonts w:ascii="Calibri" w:hAnsi="Calibri"/>
          <w:spacing w:val="-2"/>
          <w:sz w:val="20"/>
        </w:rPr>
        <w:t> </w:t>
      </w:r>
      <w:r>
        <w:rPr>
          <w:rFonts w:ascii="Calibri" w:hAnsi="Calibri"/>
          <w:sz w:val="20"/>
        </w:rPr>
        <w:t>el</w:t>
      </w:r>
      <w:r>
        <w:rPr>
          <w:rFonts w:ascii="Calibri" w:hAnsi="Calibri"/>
          <w:spacing w:val="-5"/>
          <w:sz w:val="20"/>
        </w:rPr>
        <w:t> </w:t>
      </w:r>
      <w:r>
        <w:rPr>
          <w:rFonts w:ascii="Calibri" w:hAnsi="Calibri"/>
          <w:sz w:val="20"/>
        </w:rPr>
        <w:t>segundo</w:t>
      </w:r>
      <w:r>
        <w:rPr>
          <w:rFonts w:ascii="Calibri" w:hAnsi="Calibri"/>
          <w:spacing w:val="-3"/>
          <w:sz w:val="20"/>
        </w:rPr>
        <w:t> </w:t>
      </w:r>
      <w:r>
        <w:rPr>
          <w:rFonts w:ascii="Calibri" w:hAnsi="Calibri"/>
          <w:sz w:val="20"/>
        </w:rPr>
        <w:t>semestre de 2023 concurre un factor coyuntural adicional que ha disparado la demanda de transporte urbano</w:t>
      </w:r>
      <w:r>
        <w:rPr>
          <w:rFonts w:ascii="Calibri" w:hAnsi="Calibri"/>
          <w:spacing w:val="-5"/>
          <w:sz w:val="20"/>
        </w:rPr>
        <w:t> </w:t>
      </w:r>
      <w:r>
        <w:rPr>
          <w:rFonts w:ascii="Calibri" w:hAnsi="Calibri"/>
          <w:sz w:val="20"/>
        </w:rPr>
        <w:t>en</w:t>
      </w:r>
      <w:r>
        <w:rPr>
          <w:rFonts w:ascii="Calibri" w:hAnsi="Calibri"/>
          <w:spacing w:val="-7"/>
          <w:sz w:val="20"/>
        </w:rPr>
        <w:t> </w:t>
      </w:r>
      <w:r>
        <w:rPr>
          <w:rFonts w:ascii="Calibri" w:hAnsi="Calibri"/>
          <w:sz w:val="20"/>
        </w:rPr>
        <w:t>todo</w:t>
      </w:r>
      <w:r>
        <w:rPr>
          <w:rFonts w:ascii="Calibri" w:hAnsi="Calibri"/>
          <w:spacing w:val="-8"/>
          <w:sz w:val="20"/>
        </w:rPr>
        <w:t> </w:t>
      </w:r>
      <w:r>
        <w:rPr>
          <w:rFonts w:ascii="Calibri" w:hAnsi="Calibri"/>
          <w:sz w:val="20"/>
        </w:rPr>
        <w:t>el</w:t>
      </w:r>
      <w:r>
        <w:rPr>
          <w:rFonts w:ascii="Calibri" w:hAnsi="Calibri"/>
          <w:spacing w:val="-5"/>
          <w:sz w:val="20"/>
        </w:rPr>
        <w:t> </w:t>
      </w:r>
      <w:r>
        <w:rPr>
          <w:rFonts w:ascii="Calibri" w:hAnsi="Calibri"/>
          <w:sz w:val="20"/>
        </w:rPr>
        <w:t>país:</w:t>
      </w:r>
      <w:r>
        <w:rPr>
          <w:rFonts w:ascii="Calibri" w:hAnsi="Calibri"/>
          <w:spacing w:val="-4"/>
          <w:sz w:val="20"/>
        </w:rPr>
        <w:t> </w:t>
      </w:r>
      <w:r>
        <w:rPr>
          <w:rFonts w:ascii="Calibri" w:hAnsi="Calibri"/>
          <w:sz w:val="20"/>
        </w:rPr>
        <w:t>la</w:t>
      </w:r>
      <w:r>
        <w:rPr>
          <w:rFonts w:ascii="Calibri" w:hAnsi="Calibri"/>
          <w:spacing w:val="-6"/>
          <w:sz w:val="20"/>
        </w:rPr>
        <w:t> </w:t>
      </w:r>
      <w:r>
        <w:rPr>
          <w:rFonts w:ascii="Calibri" w:hAnsi="Calibri"/>
          <w:sz w:val="20"/>
        </w:rPr>
        <w:t>política</w:t>
      </w:r>
      <w:r>
        <w:rPr>
          <w:rFonts w:ascii="Calibri" w:hAnsi="Calibri"/>
          <w:spacing w:val="-7"/>
          <w:sz w:val="20"/>
        </w:rPr>
        <w:t> </w:t>
      </w:r>
      <w:r>
        <w:rPr>
          <w:rFonts w:ascii="Calibri" w:hAnsi="Calibri"/>
          <w:sz w:val="20"/>
        </w:rPr>
        <w:t>estatal</w:t>
      </w:r>
      <w:r>
        <w:rPr>
          <w:rFonts w:ascii="Calibri" w:hAnsi="Calibri"/>
          <w:spacing w:val="-8"/>
          <w:sz w:val="20"/>
        </w:rPr>
        <w:t> </w:t>
      </w:r>
      <w:r>
        <w:rPr>
          <w:rFonts w:ascii="Calibri" w:hAnsi="Calibri"/>
          <w:sz w:val="20"/>
        </w:rPr>
        <w:t>de</w:t>
      </w:r>
      <w:r>
        <w:rPr>
          <w:rFonts w:ascii="Calibri" w:hAnsi="Calibri"/>
          <w:spacing w:val="-6"/>
          <w:sz w:val="20"/>
        </w:rPr>
        <w:t> </w:t>
      </w:r>
      <w:r>
        <w:rPr>
          <w:rFonts w:ascii="Calibri" w:hAnsi="Calibri"/>
          <w:sz w:val="20"/>
        </w:rPr>
        <w:t>descuentos</w:t>
      </w:r>
      <w:r>
        <w:rPr>
          <w:rFonts w:ascii="Calibri" w:hAnsi="Calibri"/>
          <w:spacing w:val="-6"/>
          <w:sz w:val="20"/>
        </w:rPr>
        <w:t> </w:t>
      </w:r>
      <w:r>
        <w:rPr>
          <w:rFonts w:ascii="Calibri" w:hAnsi="Calibri"/>
          <w:sz w:val="20"/>
        </w:rPr>
        <w:t>generalizados</w:t>
      </w:r>
      <w:r>
        <w:rPr>
          <w:rFonts w:ascii="Calibri" w:hAnsi="Calibri"/>
          <w:spacing w:val="-6"/>
          <w:sz w:val="20"/>
        </w:rPr>
        <w:t> </w:t>
      </w:r>
      <w:r>
        <w:rPr>
          <w:rFonts w:ascii="Calibri" w:hAnsi="Calibri"/>
          <w:sz w:val="20"/>
        </w:rPr>
        <w:t>en</w:t>
      </w:r>
      <w:r>
        <w:rPr>
          <w:rFonts w:ascii="Calibri" w:hAnsi="Calibri"/>
          <w:spacing w:val="-8"/>
          <w:sz w:val="20"/>
        </w:rPr>
        <w:t> </w:t>
      </w:r>
      <w:r>
        <w:rPr>
          <w:rFonts w:ascii="Calibri" w:hAnsi="Calibri"/>
          <w:sz w:val="20"/>
        </w:rPr>
        <w:t>el</w:t>
      </w:r>
      <w:r>
        <w:rPr>
          <w:rFonts w:ascii="Calibri" w:hAnsi="Calibri"/>
          <w:spacing w:val="-8"/>
          <w:sz w:val="20"/>
        </w:rPr>
        <w:t> </w:t>
      </w:r>
      <w:r>
        <w:rPr>
          <w:rFonts w:ascii="Calibri" w:hAnsi="Calibri"/>
          <w:sz w:val="20"/>
        </w:rPr>
        <w:t>transporte</w:t>
      </w:r>
      <w:r>
        <w:rPr>
          <w:rFonts w:ascii="Calibri" w:hAnsi="Calibri"/>
          <w:spacing w:val="-6"/>
          <w:sz w:val="20"/>
        </w:rPr>
        <w:t> </w:t>
      </w:r>
      <w:r>
        <w:rPr>
          <w:rFonts w:ascii="Calibri" w:hAnsi="Calibri"/>
          <w:sz w:val="20"/>
        </w:rPr>
        <w:t>público.</w:t>
      </w:r>
    </w:p>
    <w:p>
      <w:pPr>
        <w:spacing w:line="256" w:lineRule="auto" w:before="146"/>
        <w:ind w:left="1925" w:right="2019" w:firstLine="0"/>
        <w:jc w:val="both"/>
        <w:rPr>
          <w:rFonts w:ascii="Calibri" w:hAnsi="Calibri"/>
          <w:sz w:val="20"/>
        </w:rPr>
      </w:pPr>
      <w:r>
        <w:rPr>
          <w:rFonts w:ascii="Calibri" w:hAnsi="Calibri"/>
          <w:sz w:val="20"/>
        </w:rPr>
        <w:t>El Gobierno de España, para incentivar el</w:t>
      </w:r>
      <w:r>
        <w:rPr>
          <w:rFonts w:ascii="Calibri" w:hAnsi="Calibri"/>
          <w:spacing w:val="-2"/>
          <w:sz w:val="20"/>
        </w:rPr>
        <w:t> </w:t>
      </w:r>
      <w:r>
        <w:rPr>
          <w:rFonts w:ascii="Calibri" w:hAnsi="Calibri"/>
          <w:sz w:val="20"/>
        </w:rPr>
        <w:t>uso del transporte</w:t>
      </w:r>
      <w:r>
        <w:rPr>
          <w:rFonts w:ascii="Calibri" w:hAnsi="Calibri"/>
          <w:spacing w:val="-1"/>
          <w:sz w:val="20"/>
        </w:rPr>
        <w:t> </w:t>
      </w:r>
      <w:r>
        <w:rPr>
          <w:rFonts w:ascii="Calibri" w:hAnsi="Calibri"/>
          <w:sz w:val="20"/>
        </w:rPr>
        <w:t>colectivo ante la</w:t>
      </w:r>
      <w:r>
        <w:rPr>
          <w:rFonts w:ascii="Calibri" w:hAnsi="Calibri"/>
          <w:spacing w:val="-2"/>
          <w:sz w:val="20"/>
        </w:rPr>
        <w:t> </w:t>
      </w:r>
      <w:r>
        <w:rPr>
          <w:rFonts w:ascii="Calibri" w:hAnsi="Calibri"/>
          <w:sz w:val="20"/>
        </w:rPr>
        <w:t>subida de costes energéticos,</w:t>
      </w:r>
      <w:r>
        <w:rPr>
          <w:rFonts w:ascii="Calibri" w:hAnsi="Calibri"/>
          <w:spacing w:val="-1"/>
          <w:sz w:val="20"/>
        </w:rPr>
        <w:t> </w:t>
      </w:r>
      <w:r>
        <w:rPr>
          <w:rFonts w:ascii="Calibri" w:hAnsi="Calibri"/>
          <w:sz w:val="20"/>
        </w:rPr>
        <w:t>implantó</w:t>
      </w:r>
      <w:r>
        <w:rPr>
          <w:rFonts w:ascii="Calibri" w:hAnsi="Calibri"/>
          <w:spacing w:val="-5"/>
          <w:sz w:val="20"/>
        </w:rPr>
        <w:t> </w:t>
      </w:r>
      <w:r>
        <w:rPr>
          <w:rFonts w:ascii="Calibri" w:hAnsi="Calibri"/>
          <w:sz w:val="20"/>
        </w:rPr>
        <w:t>a</w:t>
      </w:r>
      <w:r>
        <w:rPr>
          <w:rFonts w:ascii="Calibri" w:hAnsi="Calibri"/>
          <w:spacing w:val="-1"/>
          <w:sz w:val="20"/>
        </w:rPr>
        <w:t> </w:t>
      </w:r>
      <w:r>
        <w:rPr>
          <w:rFonts w:ascii="Calibri" w:hAnsi="Calibri"/>
          <w:sz w:val="20"/>
        </w:rPr>
        <w:t>partir</w:t>
      </w:r>
      <w:r>
        <w:rPr>
          <w:rFonts w:ascii="Calibri" w:hAnsi="Calibri"/>
          <w:spacing w:val="-2"/>
          <w:sz w:val="20"/>
        </w:rPr>
        <w:t> </w:t>
      </w:r>
      <w:r>
        <w:rPr>
          <w:rFonts w:ascii="Calibri" w:hAnsi="Calibri"/>
          <w:sz w:val="20"/>
        </w:rPr>
        <w:t>de</w:t>
      </w:r>
      <w:r>
        <w:rPr>
          <w:rFonts w:ascii="Calibri" w:hAnsi="Calibri"/>
          <w:spacing w:val="-4"/>
          <w:sz w:val="20"/>
        </w:rPr>
        <w:t> </w:t>
      </w:r>
      <w:r>
        <w:rPr>
          <w:rFonts w:ascii="Calibri" w:hAnsi="Calibri"/>
          <w:sz w:val="20"/>
        </w:rPr>
        <w:t>julio</w:t>
      </w:r>
      <w:r>
        <w:rPr>
          <w:rFonts w:ascii="Calibri" w:hAnsi="Calibri"/>
          <w:spacing w:val="-2"/>
          <w:sz w:val="20"/>
        </w:rPr>
        <w:t> </w:t>
      </w:r>
      <w:r>
        <w:rPr>
          <w:rFonts w:ascii="Calibri" w:hAnsi="Calibri"/>
          <w:sz w:val="20"/>
        </w:rPr>
        <w:t>de</w:t>
      </w:r>
      <w:r>
        <w:rPr>
          <w:rFonts w:ascii="Calibri" w:hAnsi="Calibri"/>
          <w:spacing w:val="-6"/>
          <w:sz w:val="20"/>
        </w:rPr>
        <w:t> </w:t>
      </w:r>
      <w:r>
        <w:rPr>
          <w:rFonts w:ascii="Calibri" w:hAnsi="Calibri"/>
          <w:sz w:val="20"/>
        </w:rPr>
        <w:t>2023</w:t>
      </w:r>
      <w:r>
        <w:rPr>
          <w:rFonts w:ascii="Calibri" w:hAnsi="Calibri"/>
          <w:spacing w:val="-2"/>
          <w:sz w:val="20"/>
        </w:rPr>
        <w:t> </w:t>
      </w:r>
      <w:r>
        <w:rPr>
          <w:rFonts w:ascii="Calibri" w:hAnsi="Calibri"/>
          <w:sz w:val="20"/>
        </w:rPr>
        <w:t>un</w:t>
      </w:r>
      <w:r>
        <w:rPr>
          <w:rFonts w:ascii="Calibri" w:hAnsi="Calibri"/>
          <w:spacing w:val="-2"/>
          <w:sz w:val="20"/>
        </w:rPr>
        <w:t> </w:t>
      </w:r>
      <w:r>
        <w:rPr>
          <w:rFonts w:ascii="Calibri" w:hAnsi="Calibri"/>
          <w:sz w:val="20"/>
        </w:rPr>
        <w:t>sistema</w:t>
      </w:r>
      <w:r>
        <w:rPr>
          <w:rFonts w:ascii="Calibri" w:hAnsi="Calibri"/>
          <w:spacing w:val="-3"/>
          <w:sz w:val="20"/>
        </w:rPr>
        <w:t> </w:t>
      </w:r>
      <w:r>
        <w:rPr>
          <w:rFonts w:ascii="Calibri" w:hAnsi="Calibri"/>
          <w:sz w:val="20"/>
        </w:rPr>
        <w:t>de</w:t>
      </w:r>
      <w:r>
        <w:rPr>
          <w:rFonts w:ascii="Calibri" w:hAnsi="Calibri"/>
          <w:spacing w:val="-2"/>
          <w:sz w:val="20"/>
        </w:rPr>
        <w:t> </w:t>
      </w:r>
      <w:r>
        <w:rPr>
          <w:rFonts w:ascii="Calibri" w:hAnsi="Calibri"/>
          <w:sz w:val="20"/>
        </w:rPr>
        <w:t>bonificaciones</w:t>
      </w:r>
      <w:r>
        <w:rPr>
          <w:rFonts w:ascii="Calibri" w:hAnsi="Calibri"/>
          <w:spacing w:val="-5"/>
          <w:sz w:val="20"/>
        </w:rPr>
        <w:t> </w:t>
      </w:r>
      <w:r>
        <w:rPr>
          <w:rFonts w:ascii="Calibri" w:hAnsi="Calibri"/>
          <w:sz w:val="20"/>
        </w:rPr>
        <w:t>extraordinarias</w:t>
      </w:r>
      <w:r>
        <w:rPr>
          <w:rFonts w:ascii="Calibri" w:hAnsi="Calibri"/>
          <w:spacing w:val="-6"/>
          <w:sz w:val="20"/>
        </w:rPr>
        <w:t> </w:t>
      </w:r>
      <w:r>
        <w:rPr>
          <w:rFonts w:ascii="Calibri" w:hAnsi="Calibri"/>
          <w:sz w:val="20"/>
        </w:rPr>
        <w:t>en las tarifas del transporte público. En particular, el Real Decreto-ley 5/2023, de 28 de junio, estableció ayudas estatales para que los servicios autonómicos y municipales de transporte aplicasen descuentos de al menos el 50% en el precio de los abonos de transporte y títulos multiviaje durante el periodo comprendido entre el 1 de julio y el</w:t>
      </w:r>
      <w:r>
        <w:rPr>
          <w:rFonts w:ascii="Calibri" w:hAnsi="Calibri"/>
          <w:spacing w:val="-3"/>
          <w:sz w:val="20"/>
        </w:rPr>
        <w:t> </w:t>
      </w:r>
      <w:r>
        <w:rPr>
          <w:rFonts w:ascii="Calibri" w:hAnsi="Calibri"/>
          <w:sz w:val="20"/>
        </w:rPr>
        <w:t>31 de</w:t>
      </w:r>
      <w:r>
        <w:rPr>
          <w:rFonts w:ascii="Calibri" w:hAnsi="Calibri"/>
          <w:spacing w:val="-3"/>
          <w:sz w:val="20"/>
        </w:rPr>
        <w:t> </w:t>
      </w:r>
      <w:r>
        <w:rPr>
          <w:rFonts w:ascii="Calibri" w:hAnsi="Calibri"/>
          <w:sz w:val="20"/>
        </w:rPr>
        <w:t>diciembre de 2023.</w:t>
      </w:r>
    </w:p>
    <w:p>
      <w:pPr>
        <w:spacing w:line="256" w:lineRule="auto" w:before="144"/>
        <w:ind w:left="1925" w:right="2021" w:firstLine="0"/>
        <w:jc w:val="both"/>
        <w:rPr>
          <w:rFonts w:ascii="Calibri" w:hAnsi="Calibri"/>
          <w:sz w:val="20"/>
        </w:rPr>
      </w:pPr>
      <w:r>
        <w:rPr>
          <w:rFonts w:ascii="Calibri" w:hAnsi="Calibri"/>
          <w:sz w:val="20"/>
        </w:rPr>
        <w:t>Esta medida –que exigía la colaboración financiera de comunidades autónomas y ayuntamientos</w:t>
      </w:r>
      <w:r>
        <w:rPr>
          <w:rFonts w:ascii="Calibri" w:hAnsi="Calibri"/>
          <w:spacing w:val="-4"/>
          <w:sz w:val="20"/>
        </w:rPr>
        <w:t> </w:t>
      </w:r>
      <w:r>
        <w:rPr>
          <w:rFonts w:ascii="Calibri" w:hAnsi="Calibri"/>
          <w:sz w:val="20"/>
        </w:rPr>
        <w:t>para</w:t>
      </w:r>
      <w:r>
        <w:rPr>
          <w:rFonts w:ascii="Calibri" w:hAnsi="Calibri"/>
          <w:spacing w:val="-8"/>
          <w:sz w:val="20"/>
        </w:rPr>
        <w:t> </w:t>
      </w:r>
      <w:r>
        <w:rPr>
          <w:rFonts w:ascii="Calibri" w:hAnsi="Calibri"/>
          <w:sz w:val="20"/>
        </w:rPr>
        <w:t>cubrir</w:t>
      </w:r>
      <w:r>
        <w:rPr>
          <w:rFonts w:ascii="Calibri" w:hAnsi="Calibri"/>
          <w:spacing w:val="-4"/>
          <w:sz w:val="20"/>
        </w:rPr>
        <w:t> </w:t>
      </w:r>
      <w:r>
        <w:rPr>
          <w:rFonts w:ascii="Calibri" w:hAnsi="Calibri"/>
          <w:sz w:val="20"/>
        </w:rPr>
        <w:t>la</w:t>
      </w:r>
      <w:r>
        <w:rPr>
          <w:rFonts w:ascii="Calibri" w:hAnsi="Calibri"/>
          <w:spacing w:val="-3"/>
          <w:sz w:val="20"/>
        </w:rPr>
        <w:t> </w:t>
      </w:r>
      <w:r>
        <w:rPr>
          <w:rFonts w:ascii="Calibri" w:hAnsi="Calibri"/>
          <w:sz w:val="20"/>
        </w:rPr>
        <w:t>otra</w:t>
      </w:r>
      <w:r>
        <w:rPr>
          <w:rFonts w:ascii="Calibri" w:hAnsi="Calibri"/>
          <w:spacing w:val="-3"/>
          <w:sz w:val="20"/>
        </w:rPr>
        <w:t> </w:t>
      </w:r>
      <w:r>
        <w:rPr>
          <w:rFonts w:ascii="Calibri" w:hAnsi="Calibri"/>
          <w:sz w:val="20"/>
        </w:rPr>
        <w:t>parte</w:t>
      </w:r>
      <w:r>
        <w:rPr>
          <w:rFonts w:ascii="Calibri" w:hAnsi="Calibri"/>
          <w:spacing w:val="-4"/>
          <w:sz w:val="20"/>
        </w:rPr>
        <w:t> </w:t>
      </w:r>
      <w:r>
        <w:rPr>
          <w:rFonts w:ascii="Calibri" w:hAnsi="Calibri"/>
          <w:sz w:val="20"/>
        </w:rPr>
        <w:t>del</w:t>
      </w:r>
      <w:r>
        <w:rPr>
          <w:rFonts w:ascii="Calibri" w:hAnsi="Calibri"/>
          <w:spacing w:val="-2"/>
          <w:sz w:val="20"/>
        </w:rPr>
        <w:t> </w:t>
      </w:r>
      <w:r>
        <w:rPr>
          <w:rFonts w:ascii="Calibri" w:hAnsi="Calibri"/>
          <w:sz w:val="20"/>
        </w:rPr>
        <w:t>coste–</w:t>
      </w:r>
      <w:r>
        <w:rPr>
          <w:rFonts w:ascii="Calibri" w:hAnsi="Calibri"/>
          <w:spacing w:val="-4"/>
          <w:sz w:val="20"/>
        </w:rPr>
        <w:t> </w:t>
      </w:r>
      <w:r>
        <w:rPr>
          <w:rFonts w:ascii="Calibri" w:hAnsi="Calibri"/>
          <w:sz w:val="20"/>
        </w:rPr>
        <w:t>tuvo</w:t>
      </w:r>
      <w:r>
        <w:rPr>
          <w:rFonts w:ascii="Calibri" w:hAnsi="Calibri"/>
          <w:spacing w:val="-5"/>
          <w:sz w:val="20"/>
        </w:rPr>
        <w:t> </w:t>
      </w:r>
      <w:r>
        <w:rPr>
          <w:rFonts w:ascii="Calibri" w:hAnsi="Calibri"/>
          <w:sz w:val="20"/>
        </w:rPr>
        <w:t>un</w:t>
      </w:r>
      <w:r>
        <w:rPr>
          <w:rFonts w:ascii="Calibri" w:hAnsi="Calibri"/>
          <w:spacing w:val="-2"/>
          <w:sz w:val="20"/>
        </w:rPr>
        <w:t> </w:t>
      </w:r>
      <w:r>
        <w:rPr>
          <w:rFonts w:ascii="Calibri" w:hAnsi="Calibri"/>
          <w:sz w:val="20"/>
        </w:rPr>
        <w:t>impacto</w:t>
      </w:r>
      <w:r>
        <w:rPr>
          <w:rFonts w:ascii="Calibri" w:hAnsi="Calibri"/>
          <w:spacing w:val="-1"/>
          <w:sz w:val="20"/>
        </w:rPr>
        <w:t> </w:t>
      </w:r>
      <w:r>
        <w:rPr>
          <w:rFonts w:ascii="Calibri" w:hAnsi="Calibri"/>
          <w:sz w:val="20"/>
        </w:rPr>
        <w:t>inmediato,</w:t>
      </w:r>
      <w:r>
        <w:rPr>
          <w:rFonts w:ascii="Calibri" w:hAnsi="Calibri"/>
          <w:spacing w:val="-3"/>
          <w:sz w:val="20"/>
        </w:rPr>
        <w:t> </w:t>
      </w:r>
      <w:r>
        <w:rPr>
          <w:rFonts w:ascii="Calibri" w:hAnsi="Calibri"/>
          <w:sz w:val="20"/>
        </w:rPr>
        <w:t>reduciendo a</w:t>
      </w:r>
      <w:r>
        <w:rPr>
          <w:rFonts w:ascii="Calibri" w:hAnsi="Calibri"/>
          <w:spacing w:val="-5"/>
          <w:sz w:val="20"/>
        </w:rPr>
        <w:t> </w:t>
      </w:r>
      <w:r>
        <w:rPr>
          <w:rFonts w:ascii="Calibri" w:hAnsi="Calibri"/>
          <w:sz w:val="20"/>
        </w:rPr>
        <w:t>la mitad el precio para los usuarios habituales y provocando un importante incremento de viajeros al hacerlo más accesible.</w:t>
      </w:r>
    </w:p>
    <w:p>
      <w:pPr>
        <w:pStyle w:val="BodyText"/>
        <w:rPr>
          <w:rFonts w:ascii="Calibri"/>
          <w:sz w:val="20"/>
        </w:rPr>
      </w:pPr>
    </w:p>
    <w:p>
      <w:pPr>
        <w:pStyle w:val="BodyText"/>
        <w:spacing w:before="238" w:after="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883" name="Group 883"/>
                <wp:cNvGraphicFramePr>
                  <a:graphicFrameLocks/>
                </wp:cNvGraphicFramePr>
                <a:graphic>
                  <a:graphicData uri="http://schemas.microsoft.com/office/word/2010/wordprocessingGroup">
                    <wpg:wgp>
                      <wpg:cNvPr id="883" name="Group 883"/>
                      <wpg:cNvGrpSpPr/>
                      <wpg:grpSpPr>
                        <a:xfrm>
                          <a:off x="0" y="0"/>
                          <a:ext cx="1870075" cy="6350"/>
                          <a:chExt cx="1870075" cy="6350"/>
                        </a:xfrm>
                      </wpg:grpSpPr>
                      <wps:wsp>
                        <wps:cNvPr id="884" name="Graphic 884"/>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688" coordorigin="0,0" coordsize="2945,10">
                <v:rect style="position:absolute;left:0;top:0;width:2945;height:10" id="docshape689"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885" name="Group 885"/>
                <wp:cNvGraphicFramePr>
                  <a:graphicFrameLocks/>
                </wp:cNvGraphicFramePr>
                <a:graphic>
                  <a:graphicData uri="http://schemas.microsoft.com/office/word/2010/wordprocessingGroup">
                    <wpg:wgp>
                      <wpg:cNvPr id="885" name="Group 885"/>
                      <wpg:cNvGrpSpPr/>
                      <wpg:grpSpPr>
                        <a:xfrm>
                          <a:off x="0" y="0"/>
                          <a:ext cx="841375" cy="6350"/>
                          <a:chExt cx="841375" cy="6350"/>
                        </a:xfrm>
                      </wpg:grpSpPr>
                      <wps:wsp>
                        <wps:cNvPr id="886" name="Graphic 886"/>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690" coordorigin="0,0" coordsize="1325,10">
                <v:rect style="position:absolute;left:0;top:0;width:1325;height:10" id="docshape691"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16"/>
          <w:headerReference w:type="default" r:id="rId217"/>
          <w:footerReference w:type="even" r:id="rId218"/>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70048">
                <wp:simplePos x="0" y="0"/>
                <wp:positionH relativeFrom="page">
                  <wp:posOffset>4332186</wp:posOffset>
                </wp:positionH>
                <wp:positionV relativeFrom="paragraph">
                  <wp:posOffset>1412477</wp:posOffset>
                </wp:positionV>
                <wp:extent cx="53340" cy="100330"/>
                <wp:effectExtent l="0" t="0" r="0" b="0"/>
                <wp:wrapNone/>
                <wp:docPr id="887" name="Textbox 887"/>
                <wp:cNvGraphicFramePr>
                  <a:graphicFrameLocks/>
                </wp:cNvGraphicFramePr>
                <a:graphic>
                  <a:graphicData uri="http://schemas.microsoft.com/office/word/2010/wordprocessingShape">
                    <wps:wsp>
                      <wps:cNvPr id="887" name="Textbox 887"/>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46432" type="#_x0000_t202" id="docshape692"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16"/>
        <w:gridCol w:w="2211"/>
        <w:gridCol w:w="841"/>
        <w:gridCol w:w="541"/>
        <w:gridCol w:w="1022"/>
        <w:gridCol w:w="817"/>
        <w:gridCol w:w="1247"/>
        <w:gridCol w:w="125"/>
        <w:gridCol w:w="1039"/>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16" w:type="dxa"/>
            <w:tcBorders>
              <w:left w:val="single" w:sz="6" w:space="0" w:color="000000"/>
              <w:bottom w:val="single" w:sz="6" w:space="0" w:color="000000"/>
              <w:right w:val="nil"/>
            </w:tcBorders>
          </w:tcPr>
          <w:p>
            <w:pPr>
              <w:pStyle w:val="TableParagraph"/>
              <w:rPr>
                <w:rFonts w:ascii="Times New Roman"/>
                <w:sz w:val="14"/>
              </w:rPr>
            </w:pPr>
          </w:p>
        </w:tc>
        <w:tc>
          <w:tcPr>
            <w:tcW w:w="2211"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82"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888" name="Image 888"/>
                  <wp:cNvGraphicFramePr>
                    <a:graphicFrameLocks/>
                  </wp:cNvGraphicFramePr>
                  <a:graphic>
                    <a:graphicData uri="http://schemas.openxmlformats.org/drawingml/2006/picture">
                      <pic:pic>
                        <pic:nvPicPr>
                          <pic:cNvPr id="888" name="Image 88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889" name="Image 889"/>
                  <wp:cNvGraphicFramePr>
                    <a:graphicFrameLocks/>
                  </wp:cNvGraphicFramePr>
                  <a:graphic>
                    <a:graphicData uri="http://schemas.openxmlformats.org/drawingml/2006/picture">
                      <pic:pic>
                        <pic:nvPicPr>
                          <pic:cNvPr id="889" name="Image 88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25" w:type="dxa"/>
            <w:vMerge w:val="restart"/>
            <w:tcBorders>
              <w:top w:val="nil"/>
              <w:bottom w:val="single" w:sz="6" w:space="0" w:color="000000"/>
              <w:right w:val="nil"/>
            </w:tcBorders>
          </w:tcPr>
          <w:p>
            <w:pPr>
              <w:pStyle w:val="TableParagraph"/>
              <w:rPr>
                <w:rFonts w:ascii="Times New Roman"/>
                <w:sz w:val="18"/>
              </w:rPr>
            </w:pPr>
          </w:p>
        </w:tc>
        <w:tc>
          <w:tcPr>
            <w:tcW w:w="1039" w:type="dxa"/>
            <w:vMerge w:val="restart"/>
            <w:tcBorders>
              <w:top w:val="nil"/>
              <w:left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370560">
                      <wp:simplePos x="0" y="0"/>
                      <wp:positionH relativeFrom="column">
                        <wp:posOffset>-1298447</wp:posOffset>
                      </wp:positionH>
                      <wp:positionV relativeFrom="paragraph">
                        <wp:posOffset>-144895</wp:posOffset>
                      </wp:positionV>
                      <wp:extent cx="1298575" cy="417830"/>
                      <wp:effectExtent l="0" t="0" r="0" b="0"/>
                      <wp:wrapNone/>
                      <wp:docPr id="890" name="Group 890"/>
                      <wp:cNvGraphicFramePr>
                        <a:graphicFrameLocks/>
                      </wp:cNvGraphicFramePr>
                      <a:graphic>
                        <a:graphicData uri="http://schemas.microsoft.com/office/word/2010/wordprocessingGroup">
                          <wpg:wgp>
                            <wpg:cNvPr id="890" name="Group 890"/>
                            <wpg:cNvGrpSpPr/>
                            <wpg:grpSpPr>
                              <a:xfrm>
                                <a:off x="0" y="0"/>
                                <a:ext cx="1298575" cy="417830"/>
                                <a:chExt cx="1298575" cy="417830"/>
                              </a:xfrm>
                            </wpg:grpSpPr>
                            <wps:wsp>
                              <wps:cNvPr id="891" name="Graphic 891"/>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892" name="Image 892"/>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45920" id="docshapegroup693" coordorigin="-2045,-228" coordsize="2045,658">
                      <v:shape style="position:absolute;left:-2045;top:-229;width:2045;height:658" id="docshape694" coordorigin="-2045,-228" coordsize="2045,658" path="m0,-228l-2045,-228,-2045,-10,-2045,-7,-2045,429,0,429,0,-7,0,-10,0,-228xe" filled="true" fillcolor="#cccccc" stroked="false">
                        <v:path arrowok="t"/>
                        <v:fill type="solid"/>
                      </v:shape>
                      <v:shape style="position:absolute;left:-1973;top:-154;width:1896;height:327" type="#_x0000_t75" id="docshape695"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25" w:type="dxa"/>
            <w:vMerge/>
            <w:tcBorders>
              <w:top w:val="nil"/>
              <w:bottom w:val="single" w:sz="6" w:space="0" w:color="000000"/>
              <w:right w:val="nil"/>
            </w:tcBorders>
          </w:tcPr>
          <w:p>
            <w:pPr>
              <w:rPr>
                <w:sz w:val="2"/>
                <w:szCs w:val="2"/>
              </w:rPr>
            </w:pPr>
          </w:p>
        </w:tc>
        <w:tc>
          <w:tcPr>
            <w:tcW w:w="1039"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893" name="Image 893"/>
                  <wp:cNvGraphicFramePr>
                    <a:graphicFrameLocks/>
                  </wp:cNvGraphicFramePr>
                  <a:graphic>
                    <a:graphicData uri="http://schemas.openxmlformats.org/drawingml/2006/picture">
                      <pic:pic>
                        <pic:nvPicPr>
                          <pic:cNvPr id="893" name="Image 89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894" name="Image 894"/>
                  <wp:cNvGraphicFramePr>
                    <a:graphicFrameLocks/>
                  </wp:cNvGraphicFramePr>
                  <a:graphic>
                    <a:graphicData uri="http://schemas.openxmlformats.org/drawingml/2006/picture">
                      <pic:pic>
                        <pic:nvPicPr>
                          <pic:cNvPr id="894" name="Image 894"/>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7"/>
              <w:jc w:val="center"/>
              <w:rPr>
                <w:rFonts w:ascii="Arial"/>
                <w:sz w:val="14"/>
              </w:rPr>
            </w:pPr>
            <w:r>
              <w:rPr>
                <w:rFonts w:ascii="Arial"/>
                <w:sz w:val="14"/>
              </w:rPr>
              <mc:AlternateContent>
                <mc:Choice Requires="wps">
                  <w:drawing>
                    <wp:anchor distT="0" distB="0" distL="0" distR="0" allowOverlap="1" layoutInCell="1" locked="0" behindDoc="1" simplePos="0" relativeHeight="474371072">
                      <wp:simplePos x="0" y="0"/>
                      <wp:positionH relativeFrom="column">
                        <wp:posOffset>1320546</wp:posOffset>
                      </wp:positionH>
                      <wp:positionV relativeFrom="paragraph">
                        <wp:posOffset>-311719</wp:posOffset>
                      </wp:positionV>
                      <wp:extent cx="734695" cy="749935"/>
                      <wp:effectExtent l="0" t="0" r="0" b="0"/>
                      <wp:wrapNone/>
                      <wp:docPr id="895" name="Group 895"/>
                      <wp:cNvGraphicFramePr>
                        <a:graphicFrameLocks/>
                      </wp:cNvGraphicFramePr>
                      <a:graphic>
                        <a:graphicData uri="http://schemas.microsoft.com/office/word/2010/wordprocessingGroup">
                          <wpg:wgp>
                            <wpg:cNvPr id="895" name="Group 895"/>
                            <wpg:cNvGrpSpPr/>
                            <wpg:grpSpPr>
                              <a:xfrm>
                                <a:off x="0" y="0"/>
                                <a:ext cx="734695" cy="749935"/>
                                <a:chExt cx="734695" cy="749935"/>
                              </a:xfrm>
                            </wpg:grpSpPr>
                            <pic:pic>
                              <pic:nvPicPr>
                                <pic:cNvPr id="896" name="Image 896"/>
                                <pic:cNvPicPr/>
                              </pic:nvPicPr>
                              <pic:blipFill>
                                <a:blip r:embed="rId220" cstate="print"/>
                                <a:stretch>
                                  <a:fillRect/>
                                </a:stretch>
                              </pic:blipFill>
                              <pic:spPr>
                                <a:xfrm>
                                  <a:off x="0" y="0"/>
                                  <a:ext cx="734567" cy="749030"/>
                                </a:xfrm>
                                <a:prstGeom prst="rect">
                                  <a:avLst/>
                                </a:prstGeom>
                              </pic:spPr>
                            </pic:pic>
                            <wps:wsp>
                              <wps:cNvPr id="897" name="Graphic 897"/>
                              <wps:cNvSpPr/>
                              <wps:spPr>
                                <a:xfrm>
                                  <a:off x="70510" y="45158"/>
                                  <a:ext cx="654685" cy="704850"/>
                                </a:xfrm>
                                <a:custGeom>
                                  <a:avLst/>
                                  <a:gdLst/>
                                  <a:ahLst/>
                                  <a:cxnLst/>
                                  <a:rect l="l" t="t" r="r" b="b"/>
                                  <a:pathLst>
                                    <a:path w="654685" h="704850">
                                      <a:moveTo>
                                        <a:pt x="654570" y="0"/>
                                      </a:moveTo>
                                      <a:lnTo>
                                        <a:pt x="0" y="0"/>
                                      </a:lnTo>
                                      <a:lnTo>
                                        <a:pt x="0" y="704481"/>
                                      </a:lnTo>
                                      <a:lnTo>
                                        <a:pt x="654570" y="704481"/>
                                      </a:lnTo>
                                      <a:lnTo>
                                        <a:pt x="65457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05pt;mso-position-horizontal-relative:column;mso-position-vertical-relative:paragraph;z-index:-28945408" id="docshapegroup696" coordorigin="2080,-491" coordsize="1157,1181">
                      <v:shape style="position:absolute;left:2079;top:-491;width:1157;height:1180" type="#_x0000_t75" id="docshape697" stroked="false">
                        <v:imagedata r:id="rId220" o:title=""/>
                      </v:shape>
                      <v:rect style="position:absolute;left:2190;top:-420;width:1031;height:1110" id="docshape698" filled="true" fillcolor="#000000" stroked="false">
                        <v:fill type="solid"/>
                      </v:rect>
                      <w10:wrap type="none"/>
                    </v:group>
                  </w:pict>
                </mc:Fallback>
              </mc:AlternateContent>
            </w:r>
            <w:r>
              <w:rPr>
                <w:rFonts w:ascii="Arial"/>
                <w:spacing w:val="-4"/>
                <w:sz w:val="14"/>
              </w:rPr>
              <w:t>8/40</w:t>
            </w:r>
          </w:p>
        </w:tc>
        <w:tc>
          <w:tcPr>
            <w:tcW w:w="125" w:type="dxa"/>
            <w:vMerge/>
            <w:tcBorders>
              <w:top w:val="nil"/>
              <w:bottom w:val="single" w:sz="6" w:space="0" w:color="000000"/>
              <w:right w:val="nil"/>
            </w:tcBorders>
          </w:tcPr>
          <w:p>
            <w:pPr>
              <w:rPr>
                <w:sz w:val="2"/>
                <w:szCs w:val="2"/>
              </w:rPr>
            </w:pPr>
          </w:p>
        </w:tc>
        <w:tc>
          <w:tcPr>
            <w:tcW w:w="1039"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898" name="Image 898"/>
                  <wp:cNvGraphicFramePr>
                    <a:graphicFrameLocks/>
                  </wp:cNvGraphicFramePr>
                  <a:graphic>
                    <a:graphicData uri="http://schemas.openxmlformats.org/drawingml/2006/picture">
                      <pic:pic>
                        <pic:nvPicPr>
                          <pic:cNvPr id="898" name="Image 898"/>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25" w:type="dxa"/>
            <w:vMerge/>
            <w:tcBorders>
              <w:top w:val="nil"/>
              <w:bottom w:val="single" w:sz="6" w:space="0" w:color="000000"/>
              <w:right w:val="nil"/>
            </w:tcBorders>
          </w:tcPr>
          <w:p>
            <w:pPr>
              <w:rPr>
                <w:sz w:val="2"/>
                <w:szCs w:val="2"/>
              </w:rPr>
            </w:pPr>
          </w:p>
        </w:tc>
        <w:tc>
          <w:tcPr>
            <w:tcW w:w="1039" w:type="dxa"/>
            <w:vMerge/>
            <w:tcBorders>
              <w:top w:val="nil"/>
              <w:left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899" name="Image 899"/>
                  <wp:cNvGraphicFramePr>
                    <a:graphicFrameLocks/>
                  </wp:cNvGraphicFramePr>
                  <a:graphic>
                    <a:graphicData uri="http://schemas.openxmlformats.org/drawingml/2006/picture">
                      <pic:pic>
                        <pic:nvPicPr>
                          <pic:cNvPr id="899" name="Image 899"/>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25" w:type="dxa"/>
            <w:vMerge/>
            <w:tcBorders>
              <w:top w:val="nil"/>
              <w:bottom w:val="single" w:sz="6" w:space="0" w:color="000000"/>
              <w:right w:val="nil"/>
            </w:tcBorders>
          </w:tcPr>
          <w:p>
            <w:pPr>
              <w:rPr>
                <w:sz w:val="2"/>
                <w:szCs w:val="2"/>
              </w:rPr>
            </w:pPr>
          </w:p>
        </w:tc>
        <w:tc>
          <w:tcPr>
            <w:tcW w:w="1039" w:type="dxa"/>
            <w:vMerge/>
            <w:tcBorders>
              <w:top w:val="nil"/>
              <w:left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before="0"/>
        <w:ind w:left="1925" w:right="2020" w:firstLine="0"/>
        <w:jc w:val="both"/>
        <w:rPr>
          <w:rFonts w:ascii="Calibri" w:hAnsi="Calibri"/>
          <w:sz w:val="20"/>
        </w:rPr>
      </w:pPr>
      <w:r>
        <w:rPr>
          <w:rFonts w:ascii="Calibri" w:hAnsi="Calibri"/>
          <w:sz w:val="20"/>
        </w:rPr>
        <w:t>Dado el éxito de la iniciativa, dicha política de descuentos ha sido prorrogada y ampliada posteriormente. Mediante el Real Decreto-ley 8/2023, de 27 de diciembre, el Gobierno prolongó la ayuda del 50% durante todo el año 2024 (1 de enero a 31 de diciembre de 2024) para aquellos entes autonómicos y locales que mantuvieran dichos descuentos.</w:t>
      </w:r>
    </w:p>
    <w:p>
      <w:pPr>
        <w:pStyle w:val="BodyText"/>
        <w:spacing w:before="3"/>
        <w:rPr>
          <w:rFonts w:ascii="Calibri"/>
          <w:sz w:val="20"/>
        </w:rPr>
      </w:pPr>
    </w:p>
    <w:p>
      <w:pPr>
        <w:spacing w:before="0"/>
        <w:ind w:left="1925" w:right="2017" w:firstLine="0"/>
        <w:jc w:val="both"/>
        <w:rPr>
          <w:rFonts w:ascii="Calibri" w:hAnsi="Calibri"/>
          <w:sz w:val="20"/>
        </w:rPr>
      </w:pPr>
      <w:r>
        <w:rPr>
          <w:rFonts w:ascii="Calibri" w:hAnsi="Calibri"/>
          <w:sz w:val="20"/>
        </w:rPr>
        <w:t>Estas decisiones de política tarifaria, adoptadas a nivel estatal por razones socioeconómicas, han supuesto para ciudades como Málaga un aumento extraordinario de la demanda de transporte público urbano en 2023-2024.</w:t>
      </w:r>
    </w:p>
    <w:p>
      <w:pPr>
        <w:pStyle w:val="BodyText"/>
        <w:spacing w:before="5"/>
        <w:rPr>
          <w:rFonts w:ascii="Calibri"/>
          <w:sz w:val="20"/>
        </w:rPr>
      </w:pPr>
    </w:p>
    <w:p>
      <w:pPr>
        <w:spacing w:line="237" w:lineRule="auto" w:before="0"/>
        <w:ind w:left="1925" w:right="2018" w:firstLine="0"/>
        <w:jc w:val="both"/>
        <w:rPr>
          <w:rFonts w:ascii="Calibri" w:hAnsi="Calibri"/>
          <w:sz w:val="20"/>
        </w:rPr>
      </w:pPr>
      <w:r>
        <w:rPr>
          <w:rFonts w:ascii="Calibri" w:hAnsi="Calibri"/>
          <w:sz w:val="20"/>
        </w:rPr>
        <w:t>Es importante resaltar que este brusco crecimiento de viajeros derivado de medidas estatales sobrevenidas es una circunstancia completamente imprevisible desde la óptica de la entidad local. Ningún plan municipal de movilidad podía anticipar con exactitud que, a partir de mediados de 2023, el Gobierno central subvencionaría la mitad del coste de los abonos de transporte (ni que prolongaría dichas ayudas por un año o más), generando un alza masiva en la afluencia de pasajeros. Nos encontramos, por tanto, ante un factor exógeno y coyuntural que escapa al control del Ayuntamiento pero que afecta directamente a la operación del servicio: a mayor número de viajeros, mayor es la necesidad</w:t>
      </w:r>
      <w:r>
        <w:rPr>
          <w:rFonts w:ascii="Calibri" w:hAnsi="Calibri"/>
          <w:spacing w:val="-2"/>
          <w:sz w:val="20"/>
        </w:rPr>
        <w:t> </w:t>
      </w:r>
      <w:r>
        <w:rPr>
          <w:rFonts w:ascii="Calibri" w:hAnsi="Calibri"/>
          <w:sz w:val="20"/>
        </w:rPr>
        <w:t>de reforzar frecuencias, disponer de más vehículos en circulación y acelerar la renovación o ampliación de la flota. En este contexto,</w:t>
      </w:r>
      <w:r>
        <w:rPr>
          <w:rFonts w:ascii="Calibri" w:hAnsi="Calibri"/>
          <w:spacing w:val="-6"/>
          <w:sz w:val="20"/>
        </w:rPr>
        <w:t> </w:t>
      </w:r>
      <w:r>
        <w:rPr>
          <w:rFonts w:ascii="Calibri" w:hAnsi="Calibri"/>
          <w:sz w:val="20"/>
        </w:rPr>
        <w:t>la</w:t>
      </w:r>
      <w:r>
        <w:rPr>
          <w:rFonts w:ascii="Calibri" w:hAnsi="Calibri"/>
          <w:spacing w:val="-8"/>
          <w:sz w:val="20"/>
        </w:rPr>
        <w:t> </w:t>
      </w:r>
      <w:r>
        <w:rPr>
          <w:rFonts w:ascii="Calibri" w:hAnsi="Calibri"/>
          <w:sz w:val="20"/>
        </w:rPr>
        <w:t>flexibilidad</w:t>
      </w:r>
      <w:r>
        <w:rPr>
          <w:rFonts w:ascii="Calibri" w:hAnsi="Calibri"/>
          <w:spacing w:val="-3"/>
          <w:sz w:val="20"/>
        </w:rPr>
        <w:t> </w:t>
      </w:r>
      <w:r>
        <w:rPr>
          <w:rFonts w:ascii="Calibri" w:hAnsi="Calibri"/>
          <w:sz w:val="20"/>
        </w:rPr>
        <w:t>operativa</w:t>
      </w:r>
      <w:r>
        <w:rPr>
          <w:rFonts w:ascii="Calibri" w:hAnsi="Calibri"/>
          <w:spacing w:val="-4"/>
          <w:sz w:val="20"/>
        </w:rPr>
        <w:t> </w:t>
      </w:r>
      <w:r>
        <w:rPr>
          <w:rFonts w:ascii="Calibri" w:hAnsi="Calibri"/>
          <w:sz w:val="20"/>
        </w:rPr>
        <w:t>otorgada</w:t>
      </w:r>
      <w:r>
        <w:rPr>
          <w:rFonts w:ascii="Calibri" w:hAnsi="Calibri"/>
          <w:spacing w:val="-2"/>
          <w:sz w:val="20"/>
        </w:rPr>
        <w:t> </w:t>
      </w:r>
      <w:r>
        <w:rPr>
          <w:rFonts w:ascii="Calibri" w:hAnsi="Calibri"/>
          <w:sz w:val="20"/>
        </w:rPr>
        <w:t>por</w:t>
      </w:r>
      <w:r>
        <w:rPr>
          <w:rFonts w:ascii="Calibri" w:hAnsi="Calibri"/>
          <w:spacing w:val="-4"/>
          <w:sz w:val="20"/>
        </w:rPr>
        <w:t> </w:t>
      </w:r>
      <w:r>
        <w:rPr>
          <w:rFonts w:ascii="Calibri" w:hAnsi="Calibri"/>
          <w:sz w:val="20"/>
        </w:rPr>
        <w:t>los</w:t>
      </w:r>
      <w:r>
        <w:rPr>
          <w:rFonts w:ascii="Calibri" w:hAnsi="Calibri"/>
          <w:spacing w:val="-5"/>
          <w:sz w:val="20"/>
        </w:rPr>
        <w:t> </w:t>
      </w:r>
      <w:r>
        <w:rPr>
          <w:rFonts w:ascii="Calibri" w:hAnsi="Calibri"/>
          <w:sz w:val="20"/>
        </w:rPr>
        <w:t>contratos</w:t>
      </w:r>
      <w:r>
        <w:rPr>
          <w:rFonts w:ascii="Calibri" w:hAnsi="Calibri"/>
          <w:spacing w:val="-8"/>
          <w:sz w:val="20"/>
        </w:rPr>
        <w:t> </w:t>
      </w:r>
      <w:r>
        <w:rPr>
          <w:rFonts w:ascii="Calibri" w:hAnsi="Calibri"/>
          <w:sz w:val="20"/>
        </w:rPr>
        <w:t>basados</w:t>
      </w:r>
      <w:r>
        <w:rPr>
          <w:rFonts w:ascii="Calibri" w:hAnsi="Calibri"/>
          <w:spacing w:val="-5"/>
          <w:sz w:val="20"/>
        </w:rPr>
        <w:t> </w:t>
      </w:r>
      <w:r>
        <w:rPr>
          <w:rFonts w:ascii="Calibri" w:hAnsi="Calibri"/>
          <w:sz w:val="20"/>
        </w:rPr>
        <w:t>en</w:t>
      </w:r>
      <w:r>
        <w:rPr>
          <w:rFonts w:ascii="Calibri" w:hAnsi="Calibri"/>
          <w:spacing w:val="-4"/>
          <w:sz w:val="20"/>
        </w:rPr>
        <w:t> </w:t>
      </w:r>
      <w:r>
        <w:rPr>
          <w:rFonts w:ascii="Calibri" w:hAnsi="Calibri"/>
          <w:sz w:val="20"/>
        </w:rPr>
        <w:t>la</w:t>
      </w:r>
      <w:r>
        <w:rPr>
          <w:rFonts w:ascii="Calibri" w:hAnsi="Calibri"/>
          <w:spacing w:val="-8"/>
          <w:sz w:val="20"/>
        </w:rPr>
        <w:t> </w:t>
      </w:r>
      <w:r>
        <w:rPr>
          <w:rFonts w:ascii="Calibri" w:hAnsi="Calibri"/>
          <w:sz w:val="20"/>
        </w:rPr>
        <w:t>DA</w:t>
      </w:r>
      <w:r>
        <w:rPr>
          <w:rFonts w:ascii="Calibri" w:hAnsi="Calibri"/>
          <w:spacing w:val="-8"/>
          <w:sz w:val="20"/>
        </w:rPr>
        <w:t> </w:t>
      </w:r>
      <w:r>
        <w:rPr>
          <w:rFonts w:ascii="Calibri" w:hAnsi="Calibri"/>
          <w:sz w:val="20"/>
        </w:rPr>
        <w:t>33ª</w:t>
      </w:r>
      <w:r>
        <w:rPr>
          <w:rFonts w:ascii="Calibri" w:hAnsi="Calibri"/>
          <w:spacing w:val="-3"/>
          <w:sz w:val="20"/>
        </w:rPr>
        <w:t> </w:t>
      </w:r>
      <w:r>
        <w:rPr>
          <w:rFonts w:ascii="Calibri" w:hAnsi="Calibri"/>
          <w:sz w:val="20"/>
        </w:rPr>
        <w:t>LCSP</w:t>
      </w:r>
      <w:r>
        <w:rPr>
          <w:rFonts w:ascii="Calibri" w:hAnsi="Calibri"/>
          <w:spacing w:val="-6"/>
          <w:sz w:val="20"/>
        </w:rPr>
        <w:t> </w:t>
      </w:r>
      <w:r>
        <w:rPr>
          <w:rFonts w:ascii="Calibri" w:hAnsi="Calibri"/>
          <w:sz w:val="20"/>
        </w:rPr>
        <w:t>resulta fundamental para reaccionar rápidamente, incorporando autobuses adicionales bajo las mismas condiciones contractuales ya establecidas.</w:t>
      </w:r>
    </w:p>
    <w:p>
      <w:pPr>
        <w:pStyle w:val="BodyText"/>
        <w:spacing w:before="12"/>
        <w:rPr>
          <w:rFonts w:ascii="Calibri"/>
          <w:sz w:val="20"/>
        </w:rPr>
      </w:pPr>
    </w:p>
    <w:p>
      <w:pPr>
        <w:spacing w:before="0"/>
        <w:ind w:left="1925" w:right="2023" w:firstLine="0"/>
        <w:jc w:val="both"/>
        <w:rPr>
          <w:rFonts w:ascii="Calibri" w:hAnsi="Calibri"/>
          <w:sz w:val="20"/>
        </w:rPr>
      </w:pPr>
      <w:r>
        <w:rPr>
          <w:rFonts w:ascii="Calibri" w:hAnsi="Calibri"/>
          <w:sz w:val="20"/>
        </w:rPr>
        <w:t>Dicho de otro modo, gracias a la previsión de ampliaciones en los contratos, el Ayuntamiento ha podido atender puntualmente estos picos de demanda sin incurrir en sobrecostes (al mantener los precios unitarios adjudicados) ni demoras administrativas, asegurando la continuidad</w:t>
      </w:r>
      <w:r>
        <w:rPr>
          <w:rFonts w:ascii="Calibri" w:hAnsi="Calibri"/>
          <w:spacing w:val="-1"/>
          <w:sz w:val="20"/>
        </w:rPr>
        <w:t> </w:t>
      </w:r>
      <w:r>
        <w:rPr>
          <w:rFonts w:ascii="Calibri" w:hAnsi="Calibri"/>
          <w:sz w:val="20"/>
        </w:rPr>
        <w:t>y calidad del servicio público de transporte en beneficio de los usuarios.</w:t>
      </w:r>
    </w:p>
    <w:p>
      <w:pPr>
        <w:pStyle w:val="BodyText"/>
        <w:spacing w:before="3"/>
        <w:rPr>
          <w:rFonts w:ascii="Calibri"/>
          <w:sz w:val="20"/>
        </w:rPr>
      </w:pPr>
    </w:p>
    <w:p>
      <w:pPr>
        <w:spacing w:line="256" w:lineRule="auto" w:before="0"/>
        <w:ind w:left="1925" w:right="2020" w:firstLine="0"/>
        <w:jc w:val="both"/>
        <w:rPr>
          <w:rFonts w:ascii="Calibri" w:hAnsi="Calibri"/>
          <w:sz w:val="20"/>
        </w:rPr>
      </w:pPr>
      <w:r>
        <w:rPr>
          <w:rFonts w:ascii="Calibri" w:hAnsi="Calibri"/>
          <w:sz w:val="20"/>
        </w:rPr>
        <w:t>Por todo lo expuesto, para mantener la calidad del servicio ante este aumento, EMTSAM requiere</w:t>
      </w:r>
      <w:r>
        <w:rPr>
          <w:rFonts w:ascii="Calibri" w:hAnsi="Calibri"/>
          <w:spacing w:val="-1"/>
          <w:sz w:val="20"/>
        </w:rPr>
        <w:t> </w:t>
      </w:r>
      <w:r>
        <w:rPr>
          <w:rFonts w:ascii="Calibri" w:hAnsi="Calibri"/>
          <w:sz w:val="20"/>
        </w:rPr>
        <w:t>contar</w:t>
      </w:r>
      <w:r>
        <w:rPr>
          <w:rFonts w:ascii="Calibri" w:hAnsi="Calibri"/>
          <w:spacing w:val="-2"/>
          <w:sz w:val="20"/>
        </w:rPr>
        <w:t> </w:t>
      </w:r>
      <w:r>
        <w:rPr>
          <w:rFonts w:ascii="Calibri" w:hAnsi="Calibri"/>
          <w:sz w:val="20"/>
        </w:rPr>
        <w:t>con</w:t>
      </w:r>
      <w:r>
        <w:rPr>
          <w:rFonts w:ascii="Calibri" w:hAnsi="Calibri"/>
          <w:spacing w:val="-2"/>
          <w:sz w:val="20"/>
        </w:rPr>
        <w:t> </w:t>
      </w:r>
      <w:r>
        <w:rPr>
          <w:rFonts w:ascii="Calibri" w:hAnsi="Calibri"/>
          <w:sz w:val="20"/>
        </w:rPr>
        <w:t>más</w:t>
      </w:r>
      <w:r>
        <w:rPr>
          <w:rFonts w:ascii="Calibri" w:hAnsi="Calibri"/>
          <w:spacing w:val="-2"/>
          <w:sz w:val="20"/>
        </w:rPr>
        <w:t> </w:t>
      </w:r>
      <w:r>
        <w:rPr>
          <w:rFonts w:ascii="Calibri" w:hAnsi="Calibri"/>
          <w:sz w:val="20"/>
        </w:rPr>
        <w:t>vehículos operativos,</w:t>
      </w:r>
      <w:r>
        <w:rPr>
          <w:rFonts w:ascii="Calibri" w:hAnsi="Calibri"/>
          <w:spacing w:val="-5"/>
          <w:sz w:val="20"/>
        </w:rPr>
        <w:t> </w:t>
      </w:r>
      <w:r>
        <w:rPr>
          <w:rFonts w:ascii="Calibri" w:hAnsi="Calibri"/>
          <w:sz w:val="20"/>
        </w:rPr>
        <w:t>ya sea</w:t>
      </w:r>
      <w:r>
        <w:rPr>
          <w:rFonts w:ascii="Calibri" w:hAnsi="Calibri"/>
          <w:spacing w:val="-3"/>
          <w:sz w:val="20"/>
        </w:rPr>
        <w:t> </w:t>
      </w:r>
      <w:r>
        <w:rPr>
          <w:rFonts w:ascii="Calibri" w:hAnsi="Calibri"/>
          <w:sz w:val="20"/>
        </w:rPr>
        <w:t>para</w:t>
      </w:r>
      <w:r>
        <w:rPr>
          <w:rFonts w:ascii="Calibri" w:hAnsi="Calibri"/>
          <w:spacing w:val="-2"/>
          <w:sz w:val="20"/>
        </w:rPr>
        <w:t> </w:t>
      </w:r>
      <w:r>
        <w:rPr>
          <w:rFonts w:ascii="Calibri" w:hAnsi="Calibri"/>
          <w:sz w:val="20"/>
        </w:rPr>
        <w:t>reforzar frecuencias</w:t>
      </w:r>
      <w:r>
        <w:rPr>
          <w:rFonts w:ascii="Calibri" w:hAnsi="Calibri"/>
          <w:spacing w:val="-3"/>
          <w:sz w:val="20"/>
        </w:rPr>
        <w:t> </w:t>
      </w:r>
      <w:r>
        <w:rPr>
          <w:rFonts w:ascii="Calibri" w:hAnsi="Calibri"/>
          <w:sz w:val="20"/>
        </w:rPr>
        <w:t>en horas punta o para cubrir nuevas necesidades de movilidad de la ciudadanía. Asimismo, es imprescindible disponer</w:t>
      </w:r>
      <w:r>
        <w:rPr>
          <w:rFonts w:ascii="Calibri" w:hAnsi="Calibri"/>
          <w:spacing w:val="-2"/>
          <w:sz w:val="20"/>
        </w:rPr>
        <w:t> </w:t>
      </w:r>
      <w:r>
        <w:rPr>
          <w:rFonts w:ascii="Calibri" w:hAnsi="Calibri"/>
          <w:sz w:val="20"/>
        </w:rPr>
        <w:t>de</w:t>
      </w:r>
      <w:r>
        <w:rPr>
          <w:rFonts w:ascii="Calibri" w:hAnsi="Calibri"/>
          <w:spacing w:val="-1"/>
          <w:sz w:val="20"/>
        </w:rPr>
        <w:t> </w:t>
      </w:r>
      <w:r>
        <w:rPr>
          <w:rFonts w:ascii="Calibri" w:hAnsi="Calibri"/>
          <w:sz w:val="20"/>
        </w:rPr>
        <w:t>un</w:t>
      </w:r>
      <w:r>
        <w:rPr>
          <w:rFonts w:ascii="Calibri" w:hAnsi="Calibri"/>
          <w:spacing w:val="-2"/>
          <w:sz w:val="20"/>
        </w:rPr>
        <w:t> </w:t>
      </w:r>
      <w:r>
        <w:rPr>
          <w:rFonts w:ascii="Calibri" w:hAnsi="Calibri"/>
          <w:sz w:val="20"/>
        </w:rPr>
        <w:t>colchón</w:t>
      </w:r>
      <w:r>
        <w:rPr>
          <w:rFonts w:ascii="Calibri" w:hAnsi="Calibri"/>
          <w:spacing w:val="-2"/>
          <w:sz w:val="20"/>
        </w:rPr>
        <w:t> </w:t>
      </w:r>
      <w:r>
        <w:rPr>
          <w:rFonts w:ascii="Calibri" w:hAnsi="Calibri"/>
          <w:sz w:val="20"/>
        </w:rPr>
        <w:t>de</w:t>
      </w:r>
      <w:r>
        <w:rPr>
          <w:rFonts w:ascii="Calibri" w:hAnsi="Calibri"/>
          <w:spacing w:val="-3"/>
          <w:sz w:val="20"/>
        </w:rPr>
        <w:t> </w:t>
      </w:r>
      <w:r>
        <w:rPr>
          <w:rFonts w:ascii="Calibri" w:hAnsi="Calibri"/>
          <w:sz w:val="20"/>
        </w:rPr>
        <w:t>flota</w:t>
      </w:r>
      <w:r>
        <w:rPr>
          <w:rFonts w:ascii="Calibri" w:hAnsi="Calibri"/>
          <w:spacing w:val="-1"/>
          <w:sz w:val="20"/>
        </w:rPr>
        <w:t> </w:t>
      </w:r>
      <w:r>
        <w:rPr>
          <w:rFonts w:ascii="Calibri" w:hAnsi="Calibri"/>
          <w:sz w:val="20"/>
        </w:rPr>
        <w:t>de</w:t>
      </w:r>
      <w:r>
        <w:rPr>
          <w:rFonts w:ascii="Calibri" w:hAnsi="Calibri"/>
          <w:spacing w:val="-2"/>
          <w:sz w:val="20"/>
        </w:rPr>
        <w:t> </w:t>
      </w:r>
      <w:r>
        <w:rPr>
          <w:rFonts w:ascii="Calibri" w:hAnsi="Calibri"/>
          <w:sz w:val="20"/>
        </w:rPr>
        <w:t>reserva</w:t>
      </w:r>
      <w:r>
        <w:rPr>
          <w:rFonts w:ascii="Calibri" w:hAnsi="Calibri"/>
          <w:spacing w:val="-4"/>
          <w:sz w:val="20"/>
        </w:rPr>
        <w:t> </w:t>
      </w:r>
      <w:r>
        <w:rPr>
          <w:rFonts w:ascii="Calibri" w:hAnsi="Calibri"/>
          <w:sz w:val="20"/>
        </w:rPr>
        <w:t>para</w:t>
      </w:r>
      <w:r>
        <w:rPr>
          <w:rFonts w:ascii="Calibri" w:hAnsi="Calibri"/>
          <w:spacing w:val="-3"/>
          <w:sz w:val="20"/>
        </w:rPr>
        <w:t> </w:t>
      </w:r>
      <w:r>
        <w:rPr>
          <w:rFonts w:ascii="Calibri" w:hAnsi="Calibri"/>
          <w:sz w:val="20"/>
        </w:rPr>
        <w:t>sustituir</w:t>
      </w:r>
      <w:r>
        <w:rPr>
          <w:rFonts w:ascii="Calibri" w:hAnsi="Calibri"/>
          <w:spacing w:val="-1"/>
          <w:sz w:val="20"/>
        </w:rPr>
        <w:t> </w:t>
      </w:r>
      <w:r>
        <w:rPr>
          <w:rFonts w:ascii="Calibri" w:hAnsi="Calibri"/>
          <w:sz w:val="20"/>
        </w:rPr>
        <w:t>temporalmente</w:t>
      </w:r>
      <w:r>
        <w:rPr>
          <w:rFonts w:ascii="Calibri" w:hAnsi="Calibri"/>
          <w:spacing w:val="-3"/>
          <w:sz w:val="20"/>
        </w:rPr>
        <w:t> </w:t>
      </w:r>
      <w:r>
        <w:rPr>
          <w:rFonts w:ascii="Calibri" w:hAnsi="Calibri"/>
          <w:sz w:val="20"/>
        </w:rPr>
        <w:t>a</w:t>
      </w:r>
      <w:r>
        <w:rPr>
          <w:rFonts w:ascii="Calibri" w:hAnsi="Calibri"/>
          <w:spacing w:val="-1"/>
          <w:sz w:val="20"/>
        </w:rPr>
        <w:t> </w:t>
      </w:r>
      <w:r>
        <w:rPr>
          <w:rFonts w:ascii="Calibri" w:hAnsi="Calibri"/>
          <w:sz w:val="20"/>
        </w:rPr>
        <w:t>aquellos</w:t>
      </w:r>
      <w:r>
        <w:rPr>
          <w:rFonts w:ascii="Calibri" w:hAnsi="Calibri"/>
          <w:spacing w:val="-1"/>
          <w:sz w:val="20"/>
        </w:rPr>
        <w:t> </w:t>
      </w:r>
      <w:r>
        <w:rPr>
          <w:rFonts w:ascii="Calibri" w:hAnsi="Calibri"/>
          <w:sz w:val="20"/>
        </w:rPr>
        <w:t>autobuses que queden fuera de servicio por mantenimiento, reparaciones o averías inesperadas. Los márgenes del 20% previstos en los contratos permiten precisamente incorporar unidades adicionales de forma ágil, bajo las mismas condiciones contractuales ya adjudicadas, evitando la demora de licitar un nuevo contrato cada vez que se necesita algún autobús extra. Esta práctica</w:t>
      </w:r>
      <w:r>
        <w:rPr>
          <w:rFonts w:ascii="Calibri" w:hAnsi="Calibri"/>
          <w:spacing w:val="-5"/>
          <w:sz w:val="20"/>
        </w:rPr>
        <w:t> </w:t>
      </w:r>
      <w:r>
        <w:rPr>
          <w:rFonts w:ascii="Calibri" w:hAnsi="Calibri"/>
          <w:sz w:val="20"/>
        </w:rPr>
        <w:t>se</w:t>
      </w:r>
      <w:r>
        <w:rPr>
          <w:rFonts w:ascii="Calibri" w:hAnsi="Calibri"/>
          <w:spacing w:val="-4"/>
          <w:sz w:val="20"/>
        </w:rPr>
        <w:t> </w:t>
      </w:r>
      <w:r>
        <w:rPr>
          <w:rFonts w:ascii="Calibri" w:hAnsi="Calibri"/>
          <w:sz w:val="20"/>
        </w:rPr>
        <w:t>alinea</w:t>
      </w:r>
      <w:r>
        <w:rPr>
          <w:rFonts w:ascii="Calibri" w:hAnsi="Calibri"/>
          <w:spacing w:val="-6"/>
          <w:sz w:val="20"/>
        </w:rPr>
        <w:t> </w:t>
      </w:r>
      <w:r>
        <w:rPr>
          <w:rFonts w:ascii="Calibri" w:hAnsi="Calibri"/>
          <w:sz w:val="20"/>
        </w:rPr>
        <w:t>con</w:t>
      </w:r>
      <w:r>
        <w:rPr>
          <w:rFonts w:ascii="Calibri" w:hAnsi="Calibri"/>
          <w:spacing w:val="-7"/>
          <w:sz w:val="20"/>
        </w:rPr>
        <w:t> </w:t>
      </w:r>
      <w:r>
        <w:rPr>
          <w:rFonts w:ascii="Calibri" w:hAnsi="Calibri"/>
          <w:sz w:val="20"/>
        </w:rPr>
        <w:t>la</w:t>
      </w:r>
      <w:r>
        <w:rPr>
          <w:rFonts w:ascii="Calibri" w:hAnsi="Calibri"/>
          <w:spacing w:val="-12"/>
          <w:sz w:val="20"/>
        </w:rPr>
        <w:t> </w:t>
      </w:r>
      <w:r>
        <w:rPr>
          <w:rFonts w:ascii="Calibri" w:hAnsi="Calibri"/>
          <w:sz w:val="20"/>
        </w:rPr>
        <w:t>eficiencia</w:t>
      </w:r>
      <w:r>
        <w:rPr>
          <w:rFonts w:ascii="Calibri" w:hAnsi="Calibri"/>
          <w:spacing w:val="-9"/>
          <w:sz w:val="20"/>
        </w:rPr>
        <w:t> </w:t>
      </w:r>
      <w:r>
        <w:rPr>
          <w:rFonts w:ascii="Calibri" w:hAnsi="Calibri"/>
          <w:sz w:val="20"/>
        </w:rPr>
        <w:t>en</w:t>
      </w:r>
      <w:r>
        <w:rPr>
          <w:rFonts w:ascii="Calibri" w:hAnsi="Calibri"/>
          <w:spacing w:val="-7"/>
          <w:sz w:val="20"/>
        </w:rPr>
        <w:t> </w:t>
      </w:r>
      <w:r>
        <w:rPr>
          <w:rFonts w:ascii="Calibri" w:hAnsi="Calibri"/>
          <w:sz w:val="20"/>
        </w:rPr>
        <w:t>la</w:t>
      </w:r>
      <w:r>
        <w:rPr>
          <w:rFonts w:ascii="Calibri" w:hAnsi="Calibri"/>
          <w:spacing w:val="-8"/>
          <w:sz w:val="20"/>
        </w:rPr>
        <w:t> </w:t>
      </w:r>
      <w:r>
        <w:rPr>
          <w:rFonts w:ascii="Calibri" w:hAnsi="Calibri"/>
          <w:sz w:val="20"/>
        </w:rPr>
        <w:t>gestión</w:t>
      </w:r>
      <w:r>
        <w:rPr>
          <w:rFonts w:ascii="Calibri" w:hAnsi="Calibri"/>
          <w:spacing w:val="-4"/>
          <w:sz w:val="20"/>
        </w:rPr>
        <w:t> </w:t>
      </w:r>
      <w:r>
        <w:rPr>
          <w:rFonts w:ascii="Calibri" w:hAnsi="Calibri"/>
          <w:sz w:val="20"/>
        </w:rPr>
        <w:t>pública:</w:t>
      </w:r>
      <w:r>
        <w:rPr>
          <w:rFonts w:ascii="Calibri" w:hAnsi="Calibri"/>
          <w:spacing w:val="-6"/>
          <w:sz w:val="20"/>
        </w:rPr>
        <w:t> </w:t>
      </w:r>
      <w:r>
        <w:rPr>
          <w:rFonts w:ascii="Calibri" w:hAnsi="Calibri"/>
          <w:sz w:val="20"/>
        </w:rPr>
        <w:t>garantiza</w:t>
      </w:r>
      <w:r>
        <w:rPr>
          <w:rFonts w:ascii="Calibri" w:hAnsi="Calibri"/>
          <w:spacing w:val="-8"/>
          <w:sz w:val="20"/>
        </w:rPr>
        <w:t> </w:t>
      </w:r>
      <w:r>
        <w:rPr>
          <w:rFonts w:ascii="Calibri" w:hAnsi="Calibri"/>
          <w:sz w:val="20"/>
        </w:rPr>
        <w:t>la</w:t>
      </w:r>
      <w:r>
        <w:rPr>
          <w:rFonts w:ascii="Calibri" w:hAnsi="Calibri"/>
          <w:spacing w:val="-5"/>
          <w:sz w:val="20"/>
        </w:rPr>
        <w:t> </w:t>
      </w:r>
      <w:r>
        <w:rPr>
          <w:rFonts w:ascii="Calibri" w:hAnsi="Calibri"/>
          <w:sz w:val="20"/>
        </w:rPr>
        <w:t>continuidad</w:t>
      </w:r>
      <w:r>
        <w:rPr>
          <w:rFonts w:ascii="Calibri" w:hAnsi="Calibri"/>
          <w:spacing w:val="-9"/>
          <w:sz w:val="20"/>
        </w:rPr>
        <w:t> </w:t>
      </w:r>
      <w:r>
        <w:rPr>
          <w:rFonts w:ascii="Calibri" w:hAnsi="Calibri"/>
          <w:sz w:val="20"/>
        </w:rPr>
        <w:t>del</w:t>
      </w:r>
      <w:r>
        <w:rPr>
          <w:rFonts w:ascii="Calibri" w:hAnsi="Calibri"/>
          <w:spacing w:val="-6"/>
          <w:sz w:val="20"/>
        </w:rPr>
        <w:t> </w:t>
      </w:r>
      <w:r>
        <w:rPr>
          <w:rFonts w:ascii="Calibri" w:hAnsi="Calibri"/>
          <w:sz w:val="20"/>
        </w:rPr>
        <w:t>servicio</w:t>
      </w:r>
      <w:r>
        <w:rPr>
          <w:rFonts w:ascii="Calibri" w:hAnsi="Calibri"/>
          <w:spacing w:val="-8"/>
          <w:sz w:val="20"/>
        </w:rPr>
        <w:t> </w:t>
      </w:r>
      <w:r>
        <w:rPr>
          <w:rFonts w:ascii="Calibri" w:hAnsi="Calibri"/>
          <w:sz w:val="20"/>
        </w:rPr>
        <w:t>sin interrupciones ni deterioro, optimiza la planificación presupuestaria (al prevenir incrementos de coste unitario) y</w:t>
      </w:r>
      <w:r>
        <w:rPr>
          <w:rFonts w:ascii="Calibri" w:hAnsi="Calibri"/>
          <w:spacing w:val="-2"/>
          <w:sz w:val="20"/>
        </w:rPr>
        <w:t> </w:t>
      </w:r>
      <w:r>
        <w:rPr>
          <w:rFonts w:ascii="Calibri" w:hAnsi="Calibri"/>
          <w:sz w:val="20"/>
        </w:rPr>
        <w:t>resulta transparente, pues</w:t>
      </w:r>
      <w:r>
        <w:rPr>
          <w:rFonts w:ascii="Calibri" w:hAnsi="Calibri"/>
          <w:spacing w:val="-1"/>
          <w:sz w:val="20"/>
        </w:rPr>
        <w:t> </w:t>
      </w:r>
      <w:r>
        <w:rPr>
          <w:rFonts w:ascii="Calibri" w:hAnsi="Calibri"/>
          <w:sz w:val="20"/>
        </w:rPr>
        <w:t>la posibilidad de ampliación</w:t>
      </w:r>
      <w:r>
        <w:rPr>
          <w:rFonts w:ascii="Calibri" w:hAnsi="Calibri"/>
          <w:spacing w:val="-2"/>
          <w:sz w:val="20"/>
        </w:rPr>
        <w:t> </w:t>
      </w:r>
      <w:r>
        <w:rPr>
          <w:rFonts w:ascii="Calibri" w:hAnsi="Calibri"/>
          <w:sz w:val="20"/>
        </w:rPr>
        <w:t>y su</w:t>
      </w:r>
      <w:r>
        <w:rPr>
          <w:rFonts w:ascii="Calibri" w:hAnsi="Calibri"/>
          <w:spacing w:val="-2"/>
          <w:sz w:val="20"/>
        </w:rPr>
        <w:t> </w:t>
      </w:r>
      <w:r>
        <w:rPr>
          <w:rFonts w:ascii="Calibri" w:hAnsi="Calibri"/>
          <w:sz w:val="20"/>
        </w:rPr>
        <w:t>límite</w:t>
      </w:r>
      <w:r>
        <w:rPr>
          <w:rFonts w:ascii="Calibri" w:hAnsi="Calibri"/>
          <w:spacing w:val="-2"/>
          <w:sz w:val="20"/>
        </w:rPr>
        <w:t> </w:t>
      </w:r>
      <w:r>
        <w:rPr>
          <w:rFonts w:ascii="Calibri" w:hAnsi="Calibri"/>
          <w:sz w:val="20"/>
        </w:rPr>
        <w:t>máximo quedaron definidos desde la licitación inicial. En definitiva, la flexibilidad otorgada por la DA 33ª permite al Ayuntamiento anticipar las necesidades futuras del transporte urbano, asegurando que podrá atender puntualmente tanto crecimientos de la demanda como incidencias operativas, en beneficio de los usuarios.</w:t>
      </w:r>
    </w:p>
    <w:p>
      <w:pPr>
        <w:spacing w:line="256" w:lineRule="auto" w:before="147"/>
        <w:ind w:left="1925" w:right="2019" w:firstLine="0"/>
        <w:jc w:val="both"/>
        <w:rPr>
          <w:rFonts w:ascii="Calibri" w:hAnsi="Calibri"/>
          <w:sz w:val="20"/>
        </w:rPr>
      </w:pPr>
      <w:r>
        <w:rPr>
          <w:rFonts w:ascii="Calibri" w:hAnsi="Calibri"/>
          <w:sz w:val="20"/>
        </w:rPr>
        <w:t>En conclusión, la Disposición Adicional 33ª de la LCSP proporciona un marco legal válido para contratar suministros (como autobuses urbanos) de forma flexible y acorde a las necesidades</w:t>
      </w:r>
    </w:p>
    <w:p>
      <w:pPr>
        <w:pStyle w:val="BodyText"/>
        <w:rPr>
          <w:rFonts w:ascii="Calibri"/>
          <w:sz w:val="20"/>
        </w:rPr>
      </w:pPr>
    </w:p>
    <w:p>
      <w:pPr>
        <w:pStyle w:val="BodyText"/>
        <w:spacing w:before="6"/>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916" name="Group 916"/>
                <wp:cNvGraphicFramePr>
                  <a:graphicFrameLocks/>
                </wp:cNvGraphicFramePr>
                <a:graphic>
                  <a:graphicData uri="http://schemas.microsoft.com/office/word/2010/wordprocessingGroup">
                    <wpg:wgp>
                      <wpg:cNvPr id="916" name="Group 916"/>
                      <wpg:cNvGrpSpPr/>
                      <wpg:grpSpPr>
                        <a:xfrm>
                          <a:off x="0" y="0"/>
                          <a:ext cx="1870075" cy="6350"/>
                          <a:chExt cx="1870075" cy="6350"/>
                        </a:xfrm>
                      </wpg:grpSpPr>
                      <wps:wsp>
                        <wps:cNvPr id="917" name="Graphic 917"/>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711" coordorigin="0,0" coordsize="2945,10">
                <v:rect style="position:absolute;left:0;top:0;width:2945;height:10" id="docshape712"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918" name="Group 918"/>
                <wp:cNvGraphicFramePr>
                  <a:graphicFrameLocks/>
                </wp:cNvGraphicFramePr>
                <a:graphic>
                  <a:graphicData uri="http://schemas.microsoft.com/office/word/2010/wordprocessingGroup">
                    <wpg:wgp>
                      <wpg:cNvPr id="918" name="Group 918"/>
                      <wpg:cNvGrpSpPr/>
                      <wpg:grpSpPr>
                        <a:xfrm>
                          <a:off x="0" y="0"/>
                          <a:ext cx="841375" cy="6350"/>
                          <a:chExt cx="841375" cy="6350"/>
                        </a:xfrm>
                      </wpg:grpSpPr>
                      <wps:wsp>
                        <wps:cNvPr id="919" name="Graphic 919"/>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713" coordorigin="0,0" coordsize="1325,10">
                <v:rect style="position:absolute;left:0;top:0;width:1325;height:10" id="docshape714"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21"/>
          <w:headerReference w:type="even" r:id="rId222"/>
          <w:footerReference w:type="default" r:id="rId223"/>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73120">
                <wp:simplePos x="0" y="0"/>
                <wp:positionH relativeFrom="page">
                  <wp:posOffset>4332186</wp:posOffset>
                </wp:positionH>
                <wp:positionV relativeFrom="paragraph">
                  <wp:posOffset>1412477</wp:posOffset>
                </wp:positionV>
                <wp:extent cx="53340" cy="100330"/>
                <wp:effectExtent l="0" t="0" r="0" b="0"/>
                <wp:wrapNone/>
                <wp:docPr id="920" name="Textbox 920"/>
                <wp:cNvGraphicFramePr>
                  <a:graphicFrameLocks/>
                </wp:cNvGraphicFramePr>
                <a:graphic>
                  <a:graphicData uri="http://schemas.microsoft.com/office/word/2010/wordprocessingShape">
                    <wps:wsp>
                      <wps:cNvPr id="920" name="Textbox 920"/>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43360" type="#_x0000_t202" id="docshape715"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373632">
                <wp:simplePos x="0" y="0"/>
                <wp:positionH relativeFrom="page">
                  <wp:posOffset>172212</wp:posOffset>
                </wp:positionH>
                <wp:positionV relativeFrom="paragraph">
                  <wp:posOffset>954200</wp:posOffset>
                </wp:positionV>
                <wp:extent cx="1298575" cy="417830"/>
                <wp:effectExtent l="0" t="0" r="0" b="0"/>
                <wp:wrapNone/>
                <wp:docPr id="921" name="Group 921"/>
                <wp:cNvGraphicFramePr>
                  <a:graphicFrameLocks/>
                </wp:cNvGraphicFramePr>
                <a:graphic>
                  <a:graphicData uri="http://schemas.microsoft.com/office/word/2010/wordprocessingGroup">
                    <wpg:wgp>
                      <wpg:cNvPr id="921" name="Group 921"/>
                      <wpg:cNvGrpSpPr/>
                      <wpg:grpSpPr>
                        <a:xfrm>
                          <a:off x="0" y="0"/>
                          <a:ext cx="1298575" cy="417830"/>
                          <a:chExt cx="1298575" cy="417830"/>
                        </a:xfrm>
                      </wpg:grpSpPr>
                      <wps:wsp>
                        <wps:cNvPr id="922" name="Graphic 922"/>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923" name="Image 923"/>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942848" id="docshapegroup716" coordorigin="271,1503" coordsize="2045,658">
                <v:shape style="position:absolute;left:271;top:1502;width:2045;height:658" id="docshape717" coordorigin="271,1503" coordsize="2045,658" path="m2316,1503l271,1503,271,1721,271,1723,271,2160,2316,2160,2316,1723,2316,1721,2316,1503xe" filled="true" fillcolor="#cccccc" stroked="false">
                  <v:path arrowok="t"/>
                  <v:fill type="solid"/>
                </v:shape>
                <v:shape style="position:absolute;left:343;top:1577;width:1896;height:327" type="#_x0000_t75" id="docshape718" stroked="false">
                  <v:imagedata r:id="rId219" o:title=""/>
                </v:shape>
                <w10:wrap type="none"/>
              </v:group>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924" name="Textbox 924"/>
                <wp:cNvGraphicFramePr>
                  <a:graphicFrameLocks/>
                </wp:cNvGraphicFramePr>
                <a:graphic>
                  <a:graphicData uri="http://schemas.microsoft.com/office/word/2010/wordprocessingShape">
                    <wps:wsp>
                      <wps:cNvPr id="924" name="Textbox 924"/>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08"/>
                              <w:gridCol w:w="2211"/>
                              <w:gridCol w:w="849"/>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08" w:type="dxa"/>
                                  <w:tcBorders>
                                    <w:left w:val="single" w:sz="6" w:space="0" w:color="000000"/>
                                    <w:bottom w:val="single" w:sz="6" w:space="0" w:color="000000"/>
                                    <w:right w:val="nil"/>
                                  </w:tcBorders>
                                </w:tcPr>
                                <w:p>
                                  <w:pPr>
                                    <w:pStyle w:val="TableParagraph"/>
                                    <w:rPr>
                                      <w:rFonts w:ascii="Times New Roman"/>
                                      <w:sz w:val="14"/>
                                    </w:rPr>
                                  </w:pPr>
                                </w:p>
                              </w:tc>
                              <w:tc>
                                <w:tcPr>
                                  <w:tcW w:w="2211"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90"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925" name="Image 925"/>
                                        <wp:cNvGraphicFramePr>
                                          <a:graphicFrameLocks/>
                                        </wp:cNvGraphicFramePr>
                                        <a:graphic>
                                          <a:graphicData uri="http://schemas.openxmlformats.org/drawingml/2006/picture">
                                            <pic:pic>
                                              <pic:nvPicPr>
                                                <pic:cNvPr id="925" name="Image 925"/>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926" name="Image 926"/>
                                        <wp:cNvGraphicFramePr>
                                          <a:graphicFrameLocks/>
                                        </wp:cNvGraphicFramePr>
                                        <a:graphic>
                                          <a:graphicData uri="http://schemas.openxmlformats.org/drawingml/2006/picture">
                                            <pic:pic>
                                              <pic:nvPicPr>
                                                <pic:cNvPr id="926" name="Image 926"/>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927" name="Image 927"/>
                                        <wp:cNvGraphicFramePr>
                                          <a:graphicFrameLocks/>
                                        </wp:cNvGraphicFramePr>
                                        <a:graphic>
                                          <a:graphicData uri="http://schemas.openxmlformats.org/drawingml/2006/picture">
                                            <pic:pic>
                                              <pic:nvPicPr>
                                                <pic:cNvPr id="927" name="Image 927"/>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928" name="Image 928"/>
                                        <wp:cNvGraphicFramePr>
                                          <a:graphicFrameLocks/>
                                        </wp:cNvGraphicFramePr>
                                        <a:graphic>
                                          <a:graphicData uri="http://schemas.openxmlformats.org/drawingml/2006/picture">
                                            <pic:pic>
                                              <pic:nvPicPr>
                                                <pic:cNvPr id="928" name="Image 928"/>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3"/>
                                    <w:jc w:val="center"/>
                                    <w:rPr>
                                      <w:rFonts w:ascii="Arial"/>
                                      <w:sz w:val="14"/>
                                    </w:rPr>
                                  </w:pPr>
                                  <w:r>
                                    <w:rPr>
                                      <w:rFonts w:ascii="Arial"/>
                                      <w:spacing w:val="-4"/>
                                      <w:sz w:val="14"/>
                                    </w:rPr>
                                    <w:t>9/40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929" name="Image 929"/>
                                        <wp:cNvGraphicFramePr>
                                          <a:graphicFrameLocks/>
                                        </wp:cNvGraphicFramePr>
                                        <a:graphic>
                                          <a:graphicData uri="http://schemas.openxmlformats.org/drawingml/2006/picture">
                                            <pic:pic>
                                              <pic:nvPicPr>
                                                <pic:cNvPr id="929" name="Image 929"/>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930" name="Image 930"/>
                                        <wp:cNvGraphicFramePr>
                                          <a:graphicFrameLocks/>
                                        </wp:cNvGraphicFramePr>
                                        <a:graphic>
                                          <a:graphicData uri="http://schemas.openxmlformats.org/drawingml/2006/picture">
                                            <pic:pic>
                                              <pic:nvPicPr>
                                                <pic:cNvPr id="930" name="Image 930"/>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719"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08"/>
                        <w:gridCol w:w="2211"/>
                        <w:gridCol w:w="849"/>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08" w:type="dxa"/>
                            <w:tcBorders>
                              <w:left w:val="single" w:sz="6" w:space="0" w:color="000000"/>
                              <w:bottom w:val="single" w:sz="6" w:space="0" w:color="000000"/>
                              <w:right w:val="nil"/>
                            </w:tcBorders>
                          </w:tcPr>
                          <w:p>
                            <w:pPr>
                              <w:pStyle w:val="TableParagraph"/>
                              <w:rPr>
                                <w:rFonts w:ascii="Times New Roman"/>
                                <w:sz w:val="14"/>
                              </w:rPr>
                            </w:pPr>
                          </w:p>
                        </w:tc>
                        <w:tc>
                          <w:tcPr>
                            <w:tcW w:w="2211"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90"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931" name="Image 931"/>
                                  <wp:cNvGraphicFramePr>
                                    <a:graphicFrameLocks/>
                                  </wp:cNvGraphicFramePr>
                                  <a:graphic>
                                    <a:graphicData uri="http://schemas.openxmlformats.org/drawingml/2006/picture">
                                      <pic:pic>
                                        <pic:nvPicPr>
                                          <pic:cNvPr id="931" name="Image 93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932" name="Image 932"/>
                                  <wp:cNvGraphicFramePr>
                                    <a:graphicFrameLocks/>
                                  </wp:cNvGraphicFramePr>
                                  <a:graphic>
                                    <a:graphicData uri="http://schemas.openxmlformats.org/drawingml/2006/picture">
                                      <pic:pic>
                                        <pic:nvPicPr>
                                          <pic:cNvPr id="932" name="Image 93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933" name="Image 933"/>
                                  <wp:cNvGraphicFramePr>
                                    <a:graphicFrameLocks/>
                                  </wp:cNvGraphicFramePr>
                                  <a:graphic>
                                    <a:graphicData uri="http://schemas.openxmlformats.org/drawingml/2006/picture">
                                      <pic:pic>
                                        <pic:nvPicPr>
                                          <pic:cNvPr id="933" name="Image 93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934" name="Image 934"/>
                                  <wp:cNvGraphicFramePr>
                                    <a:graphicFrameLocks/>
                                  </wp:cNvGraphicFramePr>
                                  <a:graphic>
                                    <a:graphicData uri="http://schemas.openxmlformats.org/drawingml/2006/picture">
                                      <pic:pic>
                                        <pic:nvPicPr>
                                          <pic:cNvPr id="934" name="Image 934"/>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3"/>
                              <w:jc w:val="center"/>
                              <w:rPr>
                                <w:rFonts w:ascii="Arial"/>
                                <w:sz w:val="14"/>
                              </w:rPr>
                            </w:pPr>
                            <w:r>
                              <w:rPr>
                                <w:rFonts w:ascii="Arial"/>
                                <w:spacing w:val="-4"/>
                                <w:sz w:val="14"/>
                              </w:rPr>
                              <w:t>9/40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935" name="Image 935"/>
                                  <wp:cNvGraphicFramePr>
                                    <a:graphicFrameLocks/>
                                  </wp:cNvGraphicFramePr>
                                  <a:graphic>
                                    <a:graphicData uri="http://schemas.openxmlformats.org/drawingml/2006/picture">
                                      <pic:pic>
                                        <pic:nvPicPr>
                                          <pic:cNvPr id="935" name="Image 935"/>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936" name="Image 936"/>
                                  <wp:cNvGraphicFramePr>
                                    <a:graphicFrameLocks/>
                                  </wp:cNvGraphicFramePr>
                                  <a:graphic>
                                    <a:graphicData uri="http://schemas.openxmlformats.org/drawingml/2006/picture">
                                      <pic:pic>
                                        <pic:nvPicPr>
                                          <pic:cNvPr id="936" name="Image 936"/>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937" name="Group 937"/>
                <wp:cNvGraphicFramePr>
                  <a:graphicFrameLocks/>
                </wp:cNvGraphicFramePr>
                <a:graphic>
                  <a:graphicData uri="http://schemas.microsoft.com/office/word/2010/wordprocessingGroup">
                    <wpg:wgp>
                      <wpg:cNvPr id="937" name="Group 937"/>
                      <wpg:cNvGrpSpPr/>
                      <wpg:grpSpPr>
                        <a:xfrm>
                          <a:off x="0" y="0"/>
                          <a:ext cx="734695" cy="753110"/>
                          <a:chExt cx="734695" cy="753110"/>
                        </a:xfrm>
                      </wpg:grpSpPr>
                      <pic:pic>
                        <pic:nvPicPr>
                          <pic:cNvPr id="938" name="Image 938"/>
                          <pic:cNvPicPr/>
                        </pic:nvPicPr>
                        <pic:blipFill>
                          <a:blip r:embed="rId224" cstate="print"/>
                          <a:stretch>
                            <a:fillRect/>
                          </a:stretch>
                        </pic:blipFill>
                        <pic:spPr>
                          <a:xfrm>
                            <a:off x="0" y="0"/>
                            <a:ext cx="734567" cy="752840"/>
                          </a:xfrm>
                          <a:prstGeom prst="rect">
                            <a:avLst/>
                          </a:prstGeom>
                        </pic:spPr>
                      </pic:pic>
                      <wps:wsp>
                        <wps:cNvPr id="939" name="Graphic 939"/>
                        <wps:cNvSpPr/>
                        <wps:spPr>
                          <a:xfrm>
                            <a:off x="65519" y="45158"/>
                            <a:ext cx="645160" cy="699770"/>
                          </a:xfrm>
                          <a:custGeom>
                            <a:avLst/>
                            <a:gdLst/>
                            <a:ahLst/>
                            <a:cxnLst/>
                            <a:rect l="l" t="t" r="r" b="b"/>
                            <a:pathLst>
                              <a:path w="645160" h="699770">
                                <a:moveTo>
                                  <a:pt x="644563" y="0"/>
                                </a:moveTo>
                                <a:lnTo>
                                  <a:pt x="0" y="0"/>
                                </a:lnTo>
                                <a:lnTo>
                                  <a:pt x="0" y="699477"/>
                                </a:lnTo>
                                <a:lnTo>
                                  <a:pt x="644563" y="699477"/>
                                </a:lnTo>
                                <a:lnTo>
                                  <a:pt x="64456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720" coordorigin="0,0" coordsize="1157,1186">
                <v:shape style="position:absolute;left:0;top:0;width:1157;height:1186" type="#_x0000_t75" id="docshape721" stroked="false">
                  <v:imagedata r:id="rId224" o:title=""/>
                </v:shape>
                <v:rect style="position:absolute;left:103;top:71;width:1016;height:1102" id="docshape722"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1925" w:right="2019" w:firstLine="0"/>
        <w:jc w:val="both"/>
        <w:rPr>
          <w:rFonts w:ascii="Calibri" w:hAnsi="Calibri"/>
          <w:sz w:val="20"/>
        </w:rPr>
      </w:pPr>
      <w:r>
        <w:rPr>
          <w:rFonts w:ascii="Calibri" w:hAnsi="Calibri"/>
          <w:sz w:val="20"/>
        </w:rPr>
        <w:t>reales, sin contravenir por sí misma los principios de la contratación pública. Su legalidad está fuera</w:t>
      </w:r>
      <w:r>
        <w:rPr>
          <w:rFonts w:ascii="Calibri" w:hAnsi="Calibri"/>
          <w:spacing w:val="-8"/>
          <w:sz w:val="20"/>
        </w:rPr>
        <w:t> </w:t>
      </w:r>
      <w:r>
        <w:rPr>
          <w:rFonts w:ascii="Calibri" w:hAnsi="Calibri"/>
          <w:sz w:val="20"/>
        </w:rPr>
        <w:t>de</w:t>
      </w:r>
      <w:r>
        <w:rPr>
          <w:rFonts w:ascii="Calibri" w:hAnsi="Calibri"/>
          <w:spacing w:val="-8"/>
          <w:sz w:val="20"/>
        </w:rPr>
        <w:t> </w:t>
      </w:r>
      <w:r>
        <w:rPr>
          <w:rFonts w:ascii="Calibri" w:hAnsi="Calibri"/>
          <w:sz w:val="20"/>
        </w:rPr>
        <w:t>duda,</w:t>
      </w:r>
      <w:r>
        <w:rPr>
          <w:rFonts w:ascii="Calibri" w:hAnsi="Calibri"/>
          <w:spacing w:val="-8"/>
          <w:sz w:val="20"/>
        </w:rPr>
        <w:t> </w:t>
      </w:r>
      <w:r>
        <w:rPr>
          <w:rFonts w:ascii="Calibri" w:hAnsi="Calibri"/>
          <w:sz w:val="20"/>
        </w:rPr>
        <w:t>al</w:t>
      </w:r>
      <w:r>
        <w:rPr>
          <w:rFonts w:ascii="Calibri" w:hAnsi="Calibri"/>
          <w:spacing w:val="-8"/>
          <w:sz w:val="20"/>
        </w:rPr>
        <w:t> </w:t>
      </w:r>
      <w:r>
        <w:rPr>
          <w:rFonts w:ascii="Calibri" w:hAnsi="Calibri"/>
          <w:sz w:val="20"/>
        </w:rPr>
        <w:t>formar</w:t>
      </w:r>
      <w:r>
        <w:rPr>
          <w:rFonts w:ascii="Calibri" w:hAnsi="Calibri"/>
          <w:spacing w:val="-9"/>
          <w:sz w:val="20"/>
        </w:rPr>
        <w:t> </w:t>
      </w:r>
      <w:r>
        <w:rPr>
          <w:rFonts w:ascii="Calibri" w:hAnsi="Calibri"/>
          <w:sz w:val="20"/>
        </w:rPr>
        <w:t>parte</w:t>
      </w:r>
      <w:r>
        <w:rPr>
          <w:rFonts w:ascii="Calibri" w:hAnsi="Calibri"/>
          <w:spacing w:val="-6"/>
          <w:sz w:val="20"/>
        </w:rPr>
        <w:t> </w:t>
      </w:r>
      <w:r>
        <w:rPr>
          <w:rFonts w:ascii="Calibri" w:hAnsi="Calibri"/>
          <w:sz w:val="20"/>
        </w:rPr>
        <w:t>de</w:t>
      </w:r>
      <w:r>
        <w:rPr>
          <w:rFonts w:ascii="Calibri" w:hAnsi="Calibri"/>
          <w:spacing w:val="-6"/>
          <w:sz w:val="20"/>
        </w:rPr>
        <w:t> </w:t>
      </w:r>
      <w:r>
        <w:rPr>
          <w:rFonts w:ascii="Calibri" w:hAnsi="Calibri"/>
          <w:sz w:val="20"/>
        </w:rPr>
        <w:t>la</w:t>
      </w:r>
      <w:r>
        <w:rPr>
          <w:rFonts w:ascii="Calibri" w:hAnsi="Calibri"/>
          <w:spacing w:val="-6"/>
          <w:sz w:val="20"/>
        </w:rPr>
        <w:t> </w:t>
      </w:r>
      <w:r>
        <w:rPr>
          <w:rFonts w:ascii="Calibri" w:hAnsi="Calibri"/>
          <w:sz w:val="20"/>
        </w:rPr>
        <w:t>ley,</w:t>
      </w:r>
      <w:r>
        <w:rPr>
          <w:rFonts w:ascii="Calibri" w:hAnsi="Calibri"/>
          <w:spacing w:val="-6"/>
          <w:sz w:val="20"/>
        </w:rPr>
        <w:t> </w:t>
      </w:r>
      <w:r>
        <w:rPr>
          <w:rFonts w:ascii="Calibri" w:hAnsi="Calibri"/>
          <w:sz w:val="20"/>
        </w:rPr>
        <w:t>y</w:t>
      </w:r>
      <w:r>
        <w:rPr>
          <w:rFonts w:ascii="Calibri" w:hAnsi="Calibri"/>
          <w:spacing w:val="-9"/>
          <w:sz w:val="20"/>
        </w:rPr>
        <w:t> </w:t>
      </w:r>
      <w:r>
        <w:rPr>
          <w:rFonts w:ascii="Calibri" w:hAnsi="Calibri"/>
          <w:sz w:val="20"/>
        </w:rPr>
        <w:t>ha</w:t>
      </w:r>
      <w:r>
        <w:rPr>
          <w:rFonts w:ascii="Calibri" w:hAnsi="Calibri"/>
          <w:spacing w:val="-9"/>
          <w:sz w:val="20"/>
        </w:rPr>
        <w:t> </w:t>
      </w:r>
      <w:r>
        <w:rPr>
          <w:rFonts w:ascii="Calibri" w:hAnsi="Calibri"/>
          <w:sz w:val="20"/>
        </w:rPr>
        <w:t>sido</w:t>
      </w:r>
      <w:r>
        <w:rPr>
          <w:rFonts w:ascii="Calibri" w:hAnsi="Calibri"/>
          <w:spacing w:val="-11"/>
          <w:sz w:val="20"/>
        </w:rPr>
        <w:t> </w:t>
      </w:r>
      <w:r>
        <w:rPr>
          <w:rFonts w:ascii="Calibri" w:hAnsi="Calibri"/>
          <w:sz w:val="20"/>
        </w:rPr>
        <w:t>refrendada</w:t>
      </w:r>
      <w:r>
        <w:rPr>
          <w:rFonts w:ascii="Calibri" w:hAnsi="Calibri"/>
          <w:spacing w:val="-8"/>
          <w:sz w:val="20"/>
        </w:rPr>
        <w:t> </w:t>
      </w:r>
      <w:r>
        <w:rPr>
          <w:rFonts w:ascii="Calibri" w:hAnsi="Calibri"/>
          <w:sz w:val="20"/>
        </w:rPr>
        <w:t>por</w:t>
      </w:r>
      <w:r>
        <w:rPr>
          <w:rFonts w:ascii="Calibri" w:hAnsi="Calibri"/>
          <w:spacing w:val="-8"/>
          <w:sz w:val="20"/>
        </w:rPr>
        <w:t> </w:t>
      </w:r>
      <w:r>
        <w:rPr>
          <w:rFonts w:ascii="Calibri" w:hAnsi="Calibri"/>
          <w:sz w:val="20"/>
        </w:rPr>
        <w:t>órganos</w:t>
      </w:r>
      <w:r>
        <w:rPr>
          <w:rFonts w:ascii="Calibri" w:hAnsi="Calibri"/>
          <w:spacing w:val="-8"/>
          <w:sz w:val="20"/>
        </w:rPr>
        <w:t> </w:t>
      </w:r>
      <w:r>
        <w:rPr>
          <w:rFonts w:ascii="Calibri" w:hAnsi="Calibri"/>
          <w:sz w:val="20"/>
        </w:rPr>
        <w:t>consultivos</w:t>
      </w:r>
      <w:r>
        <w:rPr>
          <w:rFonts w:ascii="Calibri" w:hAnsi="Calibri"/>
          <w:spacing w:val="-8"/>
          <w:sz w:val="20"/>
        </w:rPr>
        <w:t> </w:t>
      </w:r>
      <w:r>
        <w:rPr>
          <w:rFonts w:ascii="Calibri" w:hAnsi="Calibri"/>
          <w:sz w:val="20"/>
        </w:rPr>
        <w:t>de</w:t>
      </w:r>
      <w:r>
        <w:rPr>
          <w:rFonts w:ascii="Calibri" w:hAnsi="Calibri"/>
          <w:spacing w:val="-6"/>
          <w:sz w:val="20"/>
        </w:rPr>
        <w:t> </w:t>
      </w:r>
      <w:r>
        <w:rPr>
          <w:rFonts w:ascii="Calibri" w:hAnsi="Calibri"/>
          <w:sz w:val="20"/>
        </w:rPr>
        <w:t>primer nivel. En términos de legitimidad, su uso es apropiado siempre que responda a razones objetivas (incertidumbre en la cantidad demandada, variaciones presupuestarias, etc.) y se cumplan estrictamente las condiciones previstas en la norma: fijar un presupuesto máximo estimado, publicitar la</w:t>
      </w:r>
      <w:r>
        <w:rPr>
          <w:rFonts w:ascii="Calibri" w:hAnsi="Calibri"/>
          <w:spacing w:val="-2"/>
          <w:sz w:val="20"/>
        </w:rPr>
        <w:t> </w:t>
      </w:r>
      <w:r>
        <w:rPr>
          <w:rFonts w:ascii="Calibri" w:hAnsi="Calibri"/>
          <w:sz w:val="20"/>
        </w:rPr>
        <w:t>posible</w:t>
      </w:r>
      <w:r>
        <w:rPr>
          <w:rFonts w:ascii="Calibri" w:hAnsi="Calibri"/>
          <w:spacing w:val="-1"/>
          <w:sz w:val="20"/>
        </w:rPr>
        <w:t> </w:t>
      </w:r>
      <w:r>
        <w:rPr>
          <w:rFonts w:ascii="Calibri" w:hAnsi="Calibri"/>
          <w:sz w:val="20"/>
        </w:rPr>
        <w:t>ampliación en</w:t>
      </w:r>
      <w:r>
        <w:rPr>
          <w:rFonts w:ascii="Calibri" w:hAnsi="Calibri"/>
          <w:spacing w:val="-1"/>
          <w:sz w:val="20"/>
        </w:rPr>
        <w:t> </w:t>
      </w:r>
      <w:r>
        <w:rPr>
          <w:rFonts w:ascii="Calibri" w:hAnsi="Calibri"/>
          <w:sz w:val="20"/>
        </w:rPr>
        <w:t>los pliegos y, en su</w:t>
      </w:r>
      <w:r>
        <w:rPr>
          <w:rFonts w:ascii="Calibri" w:hAnsi="Calibri"/>
          <w:spacing w:val="-1"/>
          <w:sz w:val="20"/>
        </w:rPr>
        <w:t> </w:t>
      </w:r>
      <w:r>
        <w:rPr>
          <w:rFonts w:ascii="Calibri" w:hAnsi="Calibri"/>
          <w:sz w:val="20"/>
        </w:rPr>
        <w:t>caso, tramitar</w:t>
      </w:r>
      <w:r>
        <w:rPr>
          <w:rFonts w:ascii="Calibri" w:hAnsi="Calibri"/>
          <w:spacing w:val="-2"/>
          <w:sz w:val="20"/>
        </w:rPr>
        <w:t> </w:t>
      </w:r>
      <w:r>
        <w:rPr>
          <w:rFonts w:ascii="Calibri" w:hAnsi="Calibri"/>
          <w:sz w:val="20"/>
        </w:rPr>
        <w:t>la modificación antes de agotar el presupuesto.</w:t>
      </w:r>
    </w:p>
    <w:p>
      <w:pPr>
        <w:spacing w:line="256" w:lineRule="auto" w:before="147"/>
        <w:ind w:left="1925" w:right="2021" w:firstLine="0"/>
        <w:jc w:val="both"/>
        <w:rPr>
          <w:rFonts w:ascii="Calibri" w:hAnsi="Calibri"/>
          <w:sz w:val="20"/>
        </w:rPr>
      </w:pPr>
      <w:r>
        <w:rPr>
          <w:rFonts w:ascii="Calibri" w:hAnsi="Calibri"/>
          <w:sz w:val="20"/>
        </w:rPr>
        <w:t>Se cumple adecuadamente</w:t>
      </w:r>
      <w:r>
        <w:rPr>
          <w:rFonts w:ascii="Calibri" w:hAnsi="Calibri"/>
          <w:spacing w:val="-1"/>
          <w:sz w:val="20"/>
        </w:rPr>
        <w:t> </w:t>
      </w:r>
      <w:r>
        <w:rPr>
          <w:rFonts w:ascii="Calibri" w:hAnsi="Calibri"/>
          <w:sz w:val="20"/>
        </w:rPr>
        <w:t>con</w:t>
      </w:r>
      <w:r>
        <w:rPr>
          <w:rFonts w:ascii="Calibri" w:hAnsi="Calibri"/>
          <w:spacing w:val="-1"/>
          <w:sz w:val="20"/>
        </w:rPr>
        <w:t> </w:t>
      </w:r>
      <w:r>
        <w:rPr>
          <w:rFonts w:ascii="Calibri" w:hAnsi="Calibri"/>
          <w:sz w:val="20"/>
        </w:rPr>
        <w:t>los principios de</w:t>
      </w:r>
      <w:r>
        <w:rPr>
          <w:rFonts w:ascii="Calibri" w:hAnsi="Calibri"/>
          <w:spacing w:val="-2"/>
          <w:sz w:val="20"/>
        </w:rPr>
        <w:t> </w:t>
      </w:r>
      <w:r>
        <w:rPr>
          <w:rFonts w:ascii="Calibri" w:hAnsi="Calibri"/>
          <w:sz w:val="20"/>
        </w:rPr>
        <w:t>eficiencia, transparencia e</w:t>
      </w:r>
      <w:r>
        <w:rPr>
          <w:rFonts w:ascii="Calibri" w:hAnsi="Calibri"/>
          <w:spacing w:val="-1"/>
          <w:sz w:val="20"/>
        </w:rPr>
        <w:t> </w:t>
      </w:r>
      <w:r>
        <w:rPr>
          <w:rFonts w:ascii="Calibri" w:hAnsi="Calibri"/>
          <w:sz w:val="20"/>
        </w:rPr>
        <w:t>igualdad,</w:t>
      </w:r>
      <w:r>
        <w:rPr>
          <w:rFonts w:ascii="Calibri" w:hAnsi="Calibri"/>
          <w:spacing w:val="-1"/>
          <w:sz w:val="20"/>
        </w:rPr>
        <w:t> </w:t>
      </w:r>
      <w:r>
        <w:rPr>
          <w:rFonts w:ascii="Calibri" w:hAnsi="Calibri"/>
          <w:sz w:val="20"/>
        </w:rPr>
        <w:t>ya</w:t>
      </w:r>
      <w:r>
        <w:rPr>
          <w:rFonts w:ascii="Calibri" w:hAnsi="Calibri"/>
          <w:spacing w:val="-1"/>
          <w:sz w:val="20"/>
        </w:rPr>
        <w:t> </w:t>
      </w:r>
      <w:r>
        <w:rPr>
          <w:rFonts w:ascii="Calibri" w:hAnsi="Calibri"/>
          <w:sz w:val="20"/>
        </w:rPr>
        <w:t>que el procedimiento de licitación permite ajustar el gasto a las necesidades (eficiencia), garantiza competencia y publicidad en la adjudicación inicial y en las reglas de eventual modificación (transparencia) y no altera las condiciones de competencia entre licitadores puesto que todos conocen</w:t>
      </w:r>
      <w:r>
        <w:rPr>
          <w:rFonts w:ascii="Calibri" w:hAnsi="Calibri"/>
          <w:spacing w:val="-2"/>
          <w:sz w:val="20"/>
        </w:rPr>
        <w:t> </w:t>
      </w:r>
      <w:r>
        <w:rPr>
          <w:rFonts w:ascii="Calibri" w:hAnsi="Calibri"/>
          <w:sz w:val="20"/>
        </w:rPr>
        <w:t>el</w:t>
      </w:r>
      <w:r>
        <w:rPr>
          <w:rFonts w:ascii="Calibri" w:hAnsi="Calibri"/>
          <w:spacing w:val="-1"/>
          <w:sz w:val="20"/>
        </w:rPr>
        <w:t> </w:t>
      </w:r>
      <w:r>
        <w:rPr>
          <w:rFonts w:ascii="Calibri" w:hAnsi="Calibri"/>
          <w:sz w:val="20"/>
        </w:rPr>
        <w:t>alcance</w:t>
      </w:r>
      <w:r>
        <w:rPr>
          <w:rFonts w:ascii="Calibri" w:hAnsi="Calibri"/>
          <w:spacing w:val="-3"/>
          <w:sz w:val="20"/>
        </w:rPr>
        <w:t> </w:t>
      </w:r>
      <w:r>
        <w:rPr>
          <w:rFonts w:ascii="Calibri" w:hAnsi="Calibri"/>
          <w:sz w:val="20"/>
        </w:rPr>
        <w:t>máximo</w:t>
      </w:r>
      <w:r>
        <w:rPr>
          <w:rFonts w:ascii="Calibri" w:hAnsi="Calibri"/>
          <w:spacing w:val="-1"/>
          <w:sz w:val="20"/>
        </w:rPr>
        <w:t> </w:t>
      </w:r>
      <w:r>
        <w:rPr>
          <w:rFonts w:ascii="Calibri" w:hAnsi="Calibri"/>
          <w:sz w:val="20"/>
        </w:rPr>
        <w:t>desde</w:t>
      </w:r>
      <w:r>
        <w:rPr>
          <w:rFonts w:ascii="Calibri" w:hAnsi="Calibri"/>
          <w:spacing w:val="-2"/>
          <w:sz w:val="20"/>
        </w:rPr>
        <w:t> </w:t>
      </w:r>
      <w:r>
        <w:rPr>
          <w:rFonts w:ascii="Calibri" w:hAnsi="Calibri"/>
          <w:sz w:val="20"/>
        </w:rPr>
        <w:t>el</w:t>
      </w:r>
      <w:r>
        <w:rPr>
          <w:rFonts w:ascii="Calibri" w:hAnsi="Calibri"/>
          <w:spacing w:val="-2"/>
          <w:sz w:val="20"/>
        </w:rPr>
        <w:t> </w:t>
      </w:r>
      <w:r>
        <w:rPr>
          <w:rFonts w:ascii="Calibri" w:hAnsi="Calibri"/>
          <w:sz w:val="20"/>
        </w:rPr>
        <w:t>inicio</w:t>
      </w:r>
      <w:r>
        <w:rPr>
          <w:rFonts w:ascii="Calibri" w:hAnsi="Calibri"/>
          <w:spacing w:val="-4"/>
          <w:sz w:val="20"/>
        </w:rPr>
        <w:t> </w:t>
      </w:r>
      <w:r>
        <w:rPr>
          <w:rFonts w:ascii="Calibri" w:hAnsi="Calibri"/>
          <w:sz w:val="20"/>
        </w:rPr>
        <w:t>(igualdad</w:t>
      </w:r>
      <w:r>
        <w:rPr>
          <w:rFonts w:ascii="Calibri" w:hAnsi="Calibri"/>
          <w:spacing w:val="-6"/>
          <w:sz w:val="20"/>
        </w:rPr>
        <w:t> </w:t>
      </w:r>
      <w:r>
        <w:rPr>
          <w:rFonts w:ascii="Calibri" w:hAnsi="Calibri"/>
          <w:sz w:val="20"/>
        </w:rPr>
        <w:t>de trato).</w:t>
      </w:r>
      <w:r>
        <w:rPr>
          <w:rFonts w:ascii="Calibri" w:hAnsi="Calibri"/>
          <w:spacing w:val="-2"/>
          <w:sz w:val="20"/>
        </w:rPr>
        <w:t> </w:t>
      </w:r>
      <w:r>
        <w:rPr>
          <w:rFonts w:ascii="Calibri" w:hAnsi="Calibri"/>
          <w:sz w:val="20"/>
        </w:rPr>
        <w:t>De</w:t>
      </w:r>
      <w:r>
        <w:rPr>
          <w:rFonts w:ascii="Calibri" w:hAnsi="Calibri"/>
          <w:spacing w:val="-1"/>
          <w:sz w:val="20"/>
        </w:rPr>
        <w:t> </w:t>
      </w:r>
      <w:r>
        <w:rPr>
          <w:rFonts w:ascii="Calibri" w:hAnsi="Calibri"/>
          <w:sz w:val="20"/>
        </w:rPr>
        <w:t>hecho, bien</w:t>
      </w:r>
      <w:r>
        <w:rPr>
          <w:rFonts w:ascii="Calibri" w:hAnsi="Calibri"/>
          <w:spacing w:val="-1"/>
          <w:sz w:val="20"/>
        </w:rPr>
        <w:t> </w:t>
      </w:r>
      <w:r>
        <w:rPr>
          <w:rFonts w:ascii="Calibri" w:hAnsi="Calibri"/>
          <w:sz w:val="20"/>
        </w:rPr>
        <w:t>aplicado, es</w:t>
      </w:r>
      <w:r>
        <w:rPr>
          <w:rFonts w:ascii="Calibri" w:hAnsi="Calibri"/>
          <w:spacing w:val="-4"/>
          <w:sz w:val="20"/>
        </w:rPr>
        <w:t> </w:t>
      </w:r>
      <w:r>
        <w:rPr>
          <w:rFonts w:ascii="Calibri" w:hAnsi="Calibri"/>
          <w:sz w:val="20"/>
        </w:rPr>
        <w:t>una muestra</w:t>
      </w:r>
      <w:r>
        <w:rPr>
          <w:rFonts w:ascii="Calibri" w:hAnsi="Calibri"/>
          <w:spacing w:val="-6"/>
          <w:sz w:val="20"/>
        </w:rPr>
        <w:t> </w:t>
      </w:r>
      <w:r>
        <w:rPr>
          <w:rFonts w:ascii="Calibri" w:hAnsi="Calibri"/>
          <w:sz w:val="20"/>
        </w:rPr>
        <w:t>de</w:t>
      </w:r>
      <w:r>
        <w:rPr>
          <w:rFonts w:ascii="Calibri" w:hAnsi="Calibri"/>
          <w:spacing w:val="-5"/>
          <w:sz w:val="20"/>
        </w:rPr>
        <w:t> </w:t>
      </w:r>
      <w:r>
        <w:rPr>
          <w:rFonts w:ascii="Calibri" w:hAnsi="Calibri"/>
          <w:sz w:val="20"/>
        </w:rPr>
        <w:t>buena</w:t>
      </w:r>
      <w:r>
        <w:rPr>
          <w:rFonts w:ascii="Calibri" w:hAnsi="Calibri"/>
          <w:spacing w:val="-4"/>
          <w:sz w:val="20"/>
        </w:rPr>
        <w:t> </w:t>
      </w:r>
      <w:r>
        <w:rPr>
          <w:rFonts w:ascii="Calibri" w:hAnsi="Calibri"/>
          <w:sz w:val="20"/>
        </w:rPr>
        <w:t>gestión</w:t>
      </w:r>
      <w:r>
        <w:rPr>
          <w:rFonts w:ascii="Calibri" w:hAnsi="Calibri"/>
          <w:spacing w:val="-4"/>
          <w:sz w:val="20"/>
        </w:rPr>
        <w:t> </w:t>
      </w:r>
      <w:r>
        <w:rPr>
          <w:rFonts w:ascii="Calibri" w:hAnsi="Calibri"/>
          <w:sz w:val="20"/>
        </w:rPr>
        <w:t>al</w:t>
      </w:r>
      <w:r>
        <w:rPr>
          <w:rFonts w:ascii="Calibri" w:hAnsi="Calibri"/>
          <w:spacing w:val="-6"/>
          <w:sz w:val="20"/>
        </w:rPr>
        <w:t> </w:t>
      </w:r>
      <w:r>
        <w:rPr>
          <w:rFonts w:ascii="Calibri" w:hAnsi="Calibri"/>
          <w:sz w:val="20"/>
        </w:rPr>
        <w:t>evitar</w:t>
      </w:r>
      <w:r>
        <w:rPr>
          <w:rFonts w:ascii="Calibri" w:hAnsi="Calibri"/>
          <w:spacing w:val="-5"/>
          <w:sz w:val="20"/>
        </w:rPr>
        <w:t> </w:t>
      </w:r>
      <w:r>
        <w:rPr>
          <w:rFonts w:ascii="Calibri" w:hAnsi="Calibri"/>
          <w:sz w:val="20"/>
        </w:rPr>
        <w:t>tanto</w:t>
      </w:r>
      <w:r>
        <w:rPr>
          <w:rFonts w:ascii="Calibri" w:hAnsi="Calibri"/>
          <w:spacing w:val="-4"/>
          <w:sz w:val="20"/>
        </w:rPr>
        <w:t> </w:t>
      </w:r>
      <w:r>
        <w:rPr>
          <w:rFonts w:ascii="Calibri" w:hAnsi="Calibri"/>
          <w:sz w:val="20"/>
        </w:rPr>
        <w:t>el</w:t>
      </w:r>
      <w:r>
        <w:rPr>
          <w:rFonts w:ascii="Calibri" w:hAnsi="Calibri"/>
          <w:spacing w:val="-7"/>
          <w:sz w:val="20"/>
        </w:rPr>
        <w:t> </w:t>
      </w:r>
      <w:r>
        <w:rPr>
          <w:rFonts w:ascii="Calibri" w:hAnsi="Calibri"/>
          <w:sz w:val="20"/>
        </w:rPr>
        <w:t>sobre</w:t>
      </w:r>
      <w:r>
        <w:rPr>
          <w:rFonts w:ascii="Calibri" w:hAnsi="Calibri"/>
          <w:spacing w:val="-4"/>
          <w:sz w:val="20"/>
        </w:rPr>
        <w:t> </w:t>
      </w:r>
      <w:r>
        <w:rPr>
          <w:rFonts w:ascii="Calibri" w:hAnsi="Calibri"/>
          <w:sz w:val="20"/>
        </w:rPr>
        <w:t>aprovisionamiento</w:t>
      </w:r>
      <w:r>
        <w:rPr>
          <w:rFonts w:ascii="Calibri" w:hAnsi="Calibri"/>
          <w:spacing w:val="-4"/>
          <w:sz w:val="20"/>
        </w:rPr>
        <w:t> </w:t>
      </w:r>
      <w:r>
        <w:rPr>
          <w:rFonts w:ascii="Calibri" w:hAnsi="Calibri"/>
          <w:sz w:val="20"/>
        </w:rPr>
        <w:t>como</w:t>
      </w:r>
      <w:r>
        <w:rPr>
          <w:rFonts w:ascii="Calibri" w:hAnsi="Calibri"/>
          <w:spacing w:val="-4"/>
          <w:sz w:val="20"/>
        </w:rPr>
        <w:t> </w:t>
      </w:r>
      <w:r>
        <w:rPr>
          <w:rFonts w:ascii="Calibri" w:hAnsi="Calibri"/>
          <w:sz w:val="20"/>
        </w:rPr>
        <w:t>la</w:t>
      </w:r>
      <w:r>
        <w:rPr>
          <w:rFonts w:ascii="Calibri" w:hAnsi="Calibri"/>
          <w:spacing w:val="-6"/>
          <w:sz w:val="20"/>
        </w:rPr>
        <w:t> </w:t>
      </w:r>
      <w:r>
        <w:rPr>
          <w:rFonts w:ascii="Calibri" w:hAnsi="Calibri"/>
          <w:sz w:val="20"/>
        </w:rPr>
        <w:t>falta</w:t>
      </w:r>
      <w:r>
        <w:rPr>
          <w:rFonts w:ascii="Calibri" w:hAnsi="Calibri"/>
          <w:spacing w:val="-4"/>
          <w:sz w:val="20"/>
        </w:rPr>
        <w:t> </w:t>
      </w:r>
      <w:r>
        <w:rPr>
          <w:rFonts w:ascii="Calibri" w:hAnsi="Calibri"/>
          <w:sz w:val="20"/>
        </w:rPr>
        <w:t>de</w:t>
      </w:r>
      <w:r>
        <w:rPr>
          <w:rFonts w:ascii="Calibri" w:hAnsi="Calibri"/>
          <w:spacing w:val="-6"/>
          <w:sz w:val="20"/>
        </w:rPr>
        <w:t> </w:t>
      </w:r>
      <w:r>
        <w:rPr>
          <w:rFonts w:ascii="Calibri" w:hAnsi="Calibri"/>
          <w:sz w:val="20"/>
        </w:rPr>
        <w:t>recursos, equilibrando la calidad del servicio con el control del gasto.</w:t>
      </w:r>
    </w:p>
    <w:p>
      <w:pPr>
        <w:spacing w:line="256" w:lineRule="auto" w:before="146"/>
        <w:ind w:left="1925" w:right="2018" w:firstLine="0"/>
        <w:jc w:val="both"/>
        <w:rPr>
          <w:rFonts w:ascii="Calibri" w:hAnsi="Calibri"/>
          <w:sz w:val="20"/>
        </w:rPr>
      </w:pPr>
      <w:r>
        <w:rPr>
          <w:rFonts w:ascii="Calibri" w:hAnsi="Calibri"/>
          <w:sz w:val="20"/>
        </w:rPr>
        <w:t>En</w:t>
      </w:r>
      <w:r>
        <w:rPr>
          <w:rFonts w:ascii="Calibri" w:hAnsi="Calibri"/>
          <w:spacing w:val="-7"/>
          <w:sz w:val="20"/>
        </w:rPr>
        <w:t> </w:t>
      </w:r>
      <w:r>
        <w:rPr>
          <w:rFonts w:ascii="Calibri" w:hAnsi="Calibri"/>
          <w:sz w:val="20"/>
        </w:rPr>
        <w:t>síntesis,</w:t>
      </w:r>
      <w:r>
        <w:rPr>
          <w:rFonts w:ascii="Calibri" w:hAnsi="Calibri"/>
          <w:spacing w:val="-5"/>
          <w:sz w:val="20"/>
        </w:rPr>
        <w:t> </w:t>
      </w:r>
      <w:r>
        <w:rPr>
          <w:rFonts w:ascii="Calibri" w:hAnsi="Calibri"/>
          <w:sz w:val="20"/>
        </w:rPr>
        <w:t>la</w:t>
      </w:r>
      <w:r>
        <w:rPr>
          <w:rFonts w:ascii="Calibri" w:hAnsi="Calibri"/>
          <w:spacing w:val="-6"/>
          <w:sz w:val="20"/>
        </w:rPr>
        <w:t> </w:t>
      </w:r>
      <w:r>
        <w:rPr>
          <w:rFonts w:ascii="Calibri" w:hAnsi="Calibri"/>
          <w:sz w:val="20"/>
        </w:rPr>
        <w:t>utilización</w:t>
      </w:r>
      <w:r>
        <w:rPr>
          <w:rFonts w:ascii="Calibri" w:hAnsi="Calibri"/>
          <w:spacing w:val="-8"/>
          <w:sz w:val="20"/>
        </w:rPr>
        <w:t> </w:t>
      </w:r>
      <w:r>
        <w:rPr>
          <w:rFonts w:ascii="Calibri" w:hAnsi="Calibri"/>
          <w:sz w:val="20"/>
        </w:rPr>
        <w:t>de</w:t>
      </w:r>
      <w:r>
        <w:rPr>
          <w:rFonts w:ascii="Calibri" w:hAnsi="Calibri"/>
          <w:spacing w:val="-9"/>
          <w:sz w:val="20"/>
        </w:rPr>
        <w:t> </w:t>
      </w:r>
      <w:r>
        <w:rPr>
          <w:rFonts w:ascii="Calibri" w:hAnsi="Calibri"/>
          <w:sz w:val="20"/>
        </w:rPr>
        <w:t>la</w:t>
      </w:r>
      <w:r>
        <w:rPr>
          <w:rFonts w:ascii="Calibri" w:hAnsi="Calibri"/>
          <w:spacing w:val="-10"/>
          <w:sz w:val="20"/>
        </w:rPr>
        <w:t> </w:t>
      </w:r>
      <w:r>
        <w:rPr>
          <w:rFonts w:ascii="Calibri" w:hAnsi="Calibri"/>
          <w:sz w:val="20"/>
        </w:rPr>
        <w:t>DA</w:t>
      </w:r>
      <w:r>
        <w:rPr>
          <w:rFonts w:ascii="Calibri" w:hAnsi="Calibri"/>
          <w:spacing w:val="-9"/>
          <w:sz w:val="20"/>
        </w:rPr>
        <w:t> </w:t>
      </w:r>
      <w:r>
        <w:rPr>
          <w:rFonts w:ascii="Calibri" w:hAnsi="Calibri"/>
          <w:sz w:val="20"/>
        </w:rPr>
        <w:t>33ª</w:t>
      </w:r>
      <w:r>
        <w:rPr>
          <w:rFonts w:ascii="Calibri" w:hAnsi="Calibri"/>
          <w:spacing w:val="-7"/>
          <w:sz w:val="20"/>
        </w:rPr>
        <w:t> </w:t>
      </w:r>
      <w:r>
        <w:rPr>
          <w:rFonts w:ascii="Calibri" w:hAnsi="Calibri"/>
          <w:sz w:val="20"/>
        </w:rPr>
        <w:t>en</w:t>
      </w:r>
      <w:r>
        <w:rPr>
          <w:rFonts w:ascii="Calibri" w:hAnsi="Calibri"/>
          <w:spacing w:val="-7"/>
          <w:sz w:val="20"/>
        </w:rPr>
        <w:t> </w:t>
      </w:r>
      <w:r>
        <w:rPr>
          <w:rFonts w:ascii="Calibri" w:hAnsi="Calibri"/>
          <w:sz w:val="20"/>
        </w:rPr>
        <w:t>la</w:t>
      </w:r>
      <w:r>
        <w:rPr>
          <w:rFonts w:ascii="Calibri" w:hAnsi="Calibri"/>
          <w:spacing w:val="-6"/>
          <w:sz w:val="20"/>
        </w:rPr>
        <w:t> </w:t>
      </w:r>
      <w:r>
        <w:rPr>
          <w:rFonts w:ascii="Calibri" w:hAnsi="Calibri"/>
          <w:sz w:val="20"/>
        </w:rPr>
        <w:t>contratación</w:t>
      </w:r>
      <w:r>
        <w:rPr>
          <w:rFonts w:ascii="Calibri" w:hAnsi="Calibri"/>
          <w:spacing w:val="-7"/>
          <w:sz w:val="20"/>
        </w:rPr>
        <w:t> </w:t>
      </w:r>
      <w:r>
        <w:rPr>
          <w:rFonts w:ascii="Calibri" w:hAnsi="Calibri"/>
          <w:sz w:val="20"/>
        </w:rPr>
        <w:t>de</w:t>
      </w:r>
      <w:r>
        <w:rPr>
          <w:rFonts w:ascii="Calibri" w:hAnsi="Calibri"/>
          <w:spacing w:val="-7"/>
          <w:sz w:val="20"/>
        </w:rPr>
        <w:t> </w:t>
      </w:r>
      <w:r>
        <w:rPr>
          <w:rFonts w:ascii="Calibri" w:hAnsi="Calibri"/>
          <w:sz w:val="20"/>
        </w:rPr>
        <w:t>autobuses</w:t>
      </w:r>
      <w:r>
        <w:rPr>
          <w:rFonts w:ascii="Calibri" w:hAnsi="Calibri"/>
          <w:spacing w:val="-5"/>
          <w:sz w:val="20"/>
        </w:rPr>
        <w:t> </w:t>
      </w:r>
      <w:r>
        <w:rPr>
          <w:rFonts w:ascii="Calibri" w:hAnsi="Calibri"/>
          <w:sz w:val="20"/>
        </w:rPr>
        <w:t>urbanos</w:t>
      </w:r>
      <w:r>
        <w:rPr>
          <w:rFonts w:ascii="Calibri" w:hAnsi="Calibri"/>
          <w:spacing w:val="-10"/>
          <w:sz w:val="20"/>
        </w:rPr>
        <w:t> </w:t>
      </w:r>
      <w:r>
        <w:rPr>
          <w:rFonts w:ascii="Calibri" w:hAnsi="Calibri"/>
          <w:sz w:val="20"/>
        </w:rPr>
        <w:t>es</w:t>
      </w:r>
      <w:r>
        <w:rPr>
          <w:rFonts w:ascii="Calibri" w:hAnsi="Calibri"/>
          <w:spacing w:val="-12"/>
          <w:sz w:val="20"/>
        </w:rPr>
        <w:t> </w:t>
      </w:r>
      <w:r>
        <w:rPr>
          <w:rFonts w:ascii="Calibri" w:hAnsi="Calibri"/>
          <w:sz w:val="20"/>
        </w:rPr>
        <w:t>legal,</w:t>
      </w:r>
      <w:r>
        <w:rPr>
          <w:rFonts w:ascii="Calibri" w:hAnsi="Calibri"/>
          <w:spacing w:val="-5"/>
          <w:sz w:val="20"/>
        </w:rPr>
        <w:t> </w:t>
      </w:r>
      <w:r>
        <w:rPr>
          <w:rFonts w:ascii="Calibri" w:hAnsi="Calibri"/>
          <w:sz w:val="20"/>
        </w:rPr>
        <w:t>legítima y compatible con los principios de la contratación pública, siempre que se maneje con transparencia, proporcionalidad y previsión. La normativa y la doctrina consultiva la avalan como</w:t>
      </w:r>
      <w:r>
        <w:rPr>
          <w:rFonts w:ascii="Calibri" w:hAnsi="Calibri"/>
          <w:spacing w:val="-7"/>
          <w:sz w:val="20"/>
        </w:rPr>
        <w:t> </w:t>
      </w:r>
      <w:r>
        <w:rPr>
          <w:rFonts w:ascii="Calibri" w:hAnsi="Calibri"/>
          <w:sz w:val="20"/>
        </w:rPr>
        <w:t>mecanismo</w:t>
      </w:r>
      <w:r>
        <w:rPr>
          <w:rFonts w:ascii="Calibri" w:hAnsi="Calibri"/>
          <w:spacing w:val="-7"/>
          <w:sz w:val="20"/>
        </w:rPr>
        <w:t> </w:t>
      </w:r>
      <w:r>
        <w:rPr>
          <w:rFonts w:ascii="Calibri" w:hAnsi="Calibri"/>
          <w:sz w:val="20"/>
        </w:rPr>
        <w:t>para</w:t>
      </w:r>
      <w:r>
        <w:rPr>
          <w:rFonts w:ascii="Calibri" w:hAnsi="Calibri"/>
          <w:spacing w:val="-5"/>
          <w:sz w:val="20"/>
        </w:rPr>
        <w:t> </w:t>
      </w:r>
      <w:r>
        <w:rPr>
          <w:rFonts w:ascii="Calibri" w:hAnsi="Calibri"/>
          <w:sz w:val="20"/>
        </w:rPr>
        <w:t>atender</w:t>
      </w:r>
      <w:r>
        <w:rPr>
          <w:rFonts w:ascii="Calibri" w:hAnsi="Calibri"/>
          <w:spacing w:val="-6"/>
          <w:sz w:val="20"/>
        </w:rPr>
        <w:t> </w:t>
      </w:r>
      <w:r>
        <w:rPr>
          <w:rFonts w:ascii="Calibri" w:hAnsi="Calibri"/>
          <w:sz w:val="20"/>
        </w:rPr>
        <w:t>necesidades</w:t>
      </w:r>
      <w:r>
        <w:rPr>
          <w:rFonts w:ascii="Calibri" w:hAnsi="Calibri"/>
          <w:spacing w:val="-10"/>
          <w:sz w:val="20"/>
        </w:rPr>
        <w:t> </w:t>
      </w:r>
      <w:r>
        <w:rPr>
          <w:rFonts w:ascii="Calibri" w:hAnsi="Calibri"/>
          <w:sz w:val="20"/>
        </w:rPr>
        <w:t>variables</w:t>
      </w:r>
      <w:r>
        <w:rPr>
          <w:rFonts w:ascii="Calibri" w:hAnsi="Calibri"/>
          <w:spacing w:val="-9"/>
          <w:sz w:val="20"/>
        </w:rPr>
        <w:t> </w:t>
      </w:r>
      <w:r>
        <w:rPr>
          <w:rFonts w:ascii="Calibri" w:hAnsi="Calibri"/>
          <w:sz w:val="20"/>
        </w:rPr>
        <w:t>de</w:t>
      </w:r>
      <w:r>
        <w:rPr>
          <w:rFonts w:ascii="Calibri" w:hAnsi="Calibri"/>
          <w:spacing w:val="-7"/>
          <w:sz w:val="20"/>
        </w:rPr>
        <w:t> </w:t>
      </w:r>
      <w:r>
        <w:rPr>
          <w:rFonts w:ascii="Calibri" w:hAnsi="Calibri"/>
          <w:sz w:val="20"/>
        </w:rPr>
        <w:t>forma</w:t>
      </w:r>
      <w:r>
        <w:rPr>
          <w:rFonts w:ascii="Calibri" w:hAnsi="Calibri"/>
          <w:spacing w:val="-8"/>
          <w:sz w:val="20"/>
        </w:rPr>
        <w:t> </w:t>
      </w:r>
      <w:r>
        <w:rPr>
          <w:rFonts w:ascii="Calibri" w:hAnsi="Calibri"/>
          <w:sz w:val="20"/>
        </w:rPr>
        <w:t>eficiente.</w:t>
      </w:r>
      <w:r>
        <w:rPr>
          <w:rFonts w:ascii="Calibri" w:hAnsi="Calibri"/>
          <w:spacing w:val="-9"/>
          <w:sz w:val="20"/>
        </w:rPr>
        <w:t> </w:t>
      </w:r>
      <w:r>
        <w:rPr>
          <w:rFonts w:ascii="Calibri" w:hAnsi="Calibri"/>
          <w:sz w:val="20"/>
        </w:rPr>
        <w:t>Por</w:t>
      </w:r>
      <w:r>
        <w:rPr>
          <w:rFonts w:ascii="Calibri" w:hAnsi="Calibri"/>
          <w:spacing w:val="-7"/>
          <w:sz w:val="20"/>
        </w:rPr>
        <w:t> </w:t>
      </w:r>
      <w:r>
        <w:rPr>
          <w:rFonts w:ascii="Calibri" w:hAnsi="Calibri"/>
          <w:sz w:val="20"/>
        </w:rPr>
        <w:t>todo</w:t>
      </w:r>
      <w:r>
        <w:rPr>
          <w:rFonts w:ascii="Calibri" w:hAnsi="Calibri"/>
          <w:spacing w:val="-5"/>
          <w:sz w:val="20"/>
        </w:rPr>
        <w:t> </w:t>
      </w:r>
      <w:r>
        <w:rPr>
          <w:rFonts w:ascii="Calibri" w:hAnsi="Calibri"/>
          <w:sz w:val="20"/>
        </w:rPr>
        <w:t>lo</w:t>
      </w:r>
      <w:r>
        <w:rPr>
          <w:rFonts w:ascii="Calibri" w:hAnsi="Calibri"/>
          <w:spacing w:val="-8"/>
          <w:sz w:val="20"/>
        </w:rPr>
        <w:t> </w:t>
      </w:r>
      <w:r>
        <w:rPr>
          <w:rFonts w:ascii="Calibri" w:hAnsi="Calibri"/>
          <w:sz w:val="20"/>
        </w:rPr>
        <w:t>expuesto, se considera debidamente</w:t>
      </w:r>
      <w:r>
        <w:rPr>
          <w:rFonts w:ascii="Calibri" w:hAnsi="Calibri"/>
          <w:spacing w:val="-1"/>
          <w:sz w:val="20"/>
        </w:rPr>
        <w:t> </w:t>
      </w:r>
      <w:r>
        <w:rPr>
          <w:rFonts w:ascii="Calibri" w:hAnsi="Calibri"/>
          <w:sz w:val="20"/>
        </w:rPr>
        <w:t>justificado el empleo reiterado del procedimiento de</w:t>
      </w:r>
      <w:r>
        <w:rPr>
          <w:rFonts w:ascii="Calibri" w:hAnsi="Calibri"/>
          <w:spacing w:val="-1"/>
          <w:sz w:val="20"/>
        </w:rPr>
        <w:t> </w:t>
      </w:r>
      <w:r>
        <w:rPr>
          <w:rFonts w:ascii="Calibri" w:hAnsi="Calibri"/>
          <w:sz w:val="20"/>
        </w:rPr>
        <w:t>la</w:t>
      </w:r>
      <w:r>
        <w:rPr>
          <w:rFonts w:ascii="Calibri" w:hAnsi="Calibri"/>
          <w:spacing w:val="-2"/>
          <w:sz w:val="20"/>
        </w:rPr>
        <w:t> </w:t>
      </w:r>
      <w:r>
        <w:rPr>
          <w:rFonts w:ascii="Calibri" w:hAnsi="Calibri"/>
          <w:sz w:val="20"/>
        </w:rPr>
        <w:t>Disposición Adicional 33ª de la LCSP en los expedientes de adquisición de autobuses 016/21, 032/23 y 016/24. Dicho mecanismo se ha utilizado de forma idónea y legítima, en atención a las características especiales de estos contratos y ello porque:</w:t>
      </w:r>
    </w:p>
    <w:p>
      <w:pPr>
        <w:pStyle w:val="ListParagraph"/>
        <w:numPr>
          <w:ilvl w:val="4"/>
          <w:numId w:val="13"/>
        </w:numPr>
        <w:tabs>
          <w:tab w:pos="2049" w:val="left" w:leader="none"/>
        </w:tabs>
        <w:spacing w:line="256" w:lineRule="auto" w:before="147" w:after="0"/>
        <w:ind w:left="1925" w:right="2019" w:firstLine="0"/>
        <w:jc w:val="both"/>
        <w:rPr>
          <w:rFonts w:ascii="Calibri" w:hAnsi="Calibri"/>
          <w:sz w:val="20"/>
        </w:rPr>
      </w:pPr>
      <w:r>
        <w:rPr>
          <w:rFonts w:ascii="Calibri" w:hAnsi="Calibri"/>
          <w:sz w:val="20"/>
        </w:rPr>
        <w:t>Se fundamenta en la incertidumbre financiera de las operaciones (subvenciones europeas y limitaciones presupuestarias locales), garantizando que los contratos se ajusten a la financiación realmente disponible.</w:t>
      </w:r>
    </w:p>
    <w:p>
      <w:pPr>
        <w:pStyle w:val="ListParagraph"/>
        <w:numPr>
          <w:ilvl w:val="4"/>
          <w:numId w:val="13"/>
        </w:numPr>
        <w:tabs>
          <w:tab w:pos="2052" w:val="left" w:leader="none"/>
        </w:tabs>
        <w:spacing w:line="256" w:lineRule="auto" w:before="145" w:after="0"/>
        <w:ind w:left="1925" w:right="2021" w:firstLine="0"/>
        <w:jc w:val="both"/>
        <w:rPr>
          <w:rFonts w:ascii="Calibri" w:hAnsi="Calibri"/>
          <w:sz w:val="20"/>
        </w:rPr>
      </w:pPr>
      <w:r>
        <w:rPr>
          <w:rFonts w:ascii="Calibri" w:hAnsi="Calibri"/>
          <w:sz w:val="20"/>
        </w:rPr>
        <w:t>Constituye una práctica común y prevista en la legislación para contratos de suministro por precio unitario, habiéndose cumplido estrictamente con la obligación legal de prever en los pliegos</w:t>
      </w:r>
      <w:r>
        <w:rPr>
          <w:rFonts w:ascii="Calibri" w:hAnsi="Calibri"/>
          <w:spacing w:val="-1"/>
          <w:sz w:val="20"/>
        </w:rPr>
        <w:t> </w:t>
      </w:r>
      <w:r>
        <w:rPr>
          <w:rFonts w:ascii="Calibri" w:hAnsi="Calibri"/>
          <w:sz w:val="20"/>
        </w:rPr>
        <w:t>una</w:t>
      </w:r>
      <w:r>
        <w:rPr>
          <w:rFonts w:ascii="Calibri" w:hAnsi="Calibri"/>
          <w:spacing w:val="-2"/>
          <w:sz w:val="20"/>
        </w:rPr>
        <w:t> </w:t>
      </w:r>
      <w:r>
        <w:rPr>
          <w:rFonts w:ascii="Calibri" w:hAnsi="Calibri"/>
          <w:sz w:val="20"/>
        </w:rPr>
        <w:t>posible</w:t>
      </w:r>
      <w:r>
        <w:rPr>
          <w:rFonts w:ascii="Calibri" w:hAnsi="Calibri"/>
          <w:spacing w:val="-2"/>
          <w:sz w:val="20"/>
        </w:rPr>
        <w:t> </w:t>
      </w:r>
      <w:r>
        <w:rPr>
          <w:rFonts w:ascii="Calibri" w:hAnsi="Calibri"/>
          <w:sz w:val="20"/>
        </w:rPr>
        <w:t>modificación de hasta</w:t>
      </w:r>
      <w:r>
        <w:rPr>
          <w:rFonts w:ascii="Calibri" w:hAnsi="Calibri"/>
          <w:spacing w:val="-3"/>
          <w:sz w:val="20"/>
        </w:rPr>
        <w:t> </w:t>
      </w:r>
      <w:r>
        <w:rPr>
          <w:rFonts w:ascii="Calibri" w:hAnsi="Calibri"/>
          <w:sz w:val="20"/>
        </w:rPr>
        <w:t>el</w:t>
      </w:r>
      <w:r>
        <w:rPr>
          <w:rFonts w:ascii="Calibri" w:hAnsi="Calibri"/>
          <w:spacing w:val="-1"/>
          <w:sz w:val="20"/>
        </w:rPr>
        <w:t> </w:t>
      </w:r>
      <w:r>
        <w:rPr>
          <w:rFonts w:ascii="Calibri" w:hAnsi="Calibri"/>
          <w:sz w:val="20"/>
        </w:rPr>
        <w:t>20%. En</w:t>
      </w:r>
      <w:r>
        <w:rPr>
          <w:rFonts w:ascii="Calibri" w:hAnsi="Calibri"/>
          <w:spacing w:val="-1"/>
          <w:sz w:val="20"/>
        </w:rPr>
        <w:t> </w:t>
      </w:r>
      <w:r>
        <w:rPr>
          <w:rFonts w:ascii="Calibri" w:hAnsi="Calibri"/>
          <w:sz w:val="20"/>
        </w:rPr>
        <w:t>todos los</w:t>
      </w:r>
      <w:r>
        <w:rPr>
          <w:rFonts w:ascii="Calibri" w:hAnsi="Calibri"/>
          <w:spacing w:val="-2"/>
          <w:sz w:val="20"/>
        </w:rPr>
        <w:t> </w:t>
      </w:r>
      <w:r>
        <w:rPr>
          <w:rFonts w:ascii="Calibri" w:hAnsi="Calibri"/>
          <w:sz w:val="20"/>
        </w:rPr>
        <w:t>expedientes</w:t>
      </w:r>
      <w:r>
        <w:rPr>
          <w:rFonts w:ascii="Calibri" w:hAnsi="Calibri"/>
          <w:spacing w:val="-2"/>
          <w:sz w:val="20"/>
        </w:rPr>
        <w:t> </w:t>
      </w:r>
      <w:r>
        <w:rPr>
          <w:rFonts w:ascii="Calibri" w:hAnsi="Calibri"/>
          <w:sz w:val="20"/>
        </w:rPr>
        <w:t>citados, la</w:t>
      </w:r>
      <w:r>
        <w:rPr>
          <w:rFonts w:ascii="Calibri" w:hAnsi="Calibri"/>
          <w:spacing w:val="-1"/>
          <w:sz w:val="20"/>
        </w:rPr>
        <w:t> </w:t>
      </w:r>
      <w:r>
        <w:rPr>
          <w:rFonts w:ascii="Calibri" w:hAnsi="Calibri"/>
          <w:sz w:val="20"/>
        </w:rPr>
        <w:t>cláusula contractual correspondiente (PCAP, cláusula 25.1)</w:t>
      </w:r>
      <w:r>
        <w:rPr>
          <w:rFonts w:ascii="Calibri" w:hAnsi="Calibri"/>
          <w:spacing w:val="-2"/>
          <w:sz w:val="20"/>
        </w:rPr>
        <w:t> </w:t>
      </w:r>
      <w:r>
        <w:rPr>
          <w:rFonts w:ascii="Calibri" w:hAnsi="Calibri"/>
          <w:sz w:val="20"/>
        </w:rPr>
        <w:t>recoge esta previsión de</w:t>
      </w:r>
      <w:r>
        <w:rPr>
          <w:rFonts w:ascii="Calibri" w:hAnsi="Calibri"/>
          <w:spacing w:val="-1"/>
          <w:sz w:val="20"/>
        </w:rPr>
        <w:t> </w:t>
      </w:r>
      <w:r>
        <w:rPr>
          <w:rFonts w:ascii="Calibri" w:hAnsi="Calibri"/>
          <w:sz w:val="20"/>
        </w:rPr>
        <w:t>ampliación dentro de los límites legales y el valor estimado del contrato divulgado públicamente ya incorporó dichas posibles ampliaciones.</w:t>
      </w:r>
    </w:p>
    <w:p>
      <w:pPr>
        <w:pStyle w:val="ListParagraph"/>
        <w:numPr>
          <w:ilvl w:val="4"/>
          <w:numId w:val="13"/>
        </w:numPr>
        <w:tabs>
          <w:tab w:pos="2097" w:val="left" w:leader="none"/>
        </w:tabs>
        <w:spacing w:line="256" w:lineRule="auto" w:before="144" w:after="0"/>
        <w:ind w:left="1925" w:right="2021" w:firstLine="0"/>
        <w:jc w:val="both"/>
        <w:rPr>
          <w:rFonts w:ascii="Calibri" w:hAnsi="Calibri"/>
          <w:sz w:val="20"/>
        </w:rPr>
      </w:pPr>
      <w:r>
        <w:rPr>
          <w:rFonts w:ascii="Calibri" w:hAnsi="Calibri"/>
          <w:sz w:val="20"/>
        </w:rPr>
        <w:t>Responde a necesidades objetivas del servicio público de transporte (crecimientos de demanda, incidencias y averías), proporcionando la flexibilidad operativa necesaria para garantizar la continuidad y</w:t>
      </w:r>
      <w:r>
        <w:rPr>
          <w:rFonts w:ascii="Calibri" w:hAnsi="Calibri"/>
          <w:spacing w:val="-4"/>
          <w:sz w:val="20"/>
        </w:rPr>
        <w:t> </w:t>
      </w:r>
      <w:r>
        <w:rPr>
          <w:rFonts w:ascii="Calibri" w:hAnsi="Calibri"/>
          <w:sz w:val="20"/>
        </w:rPr>
        <w:t>calidad del servicio sin incurrir en sobrecostes ni en vulneración de los principios de contratación.</w:t>
      </w:r>
    </w:p>
    <w:p>
      <w:pPr>
        <w:spacing w:line="256" w:lineRule="auto" w:before="148"/>
        <w:ind w:left="1925" w:right="2020" w:firstLine="0"/>
        <w:jc w:val="both"/>
        <w:rPr>
          <w:rFonts w:ascii="Calibri" w:hAnsi="Calibri"/>
          <w:sz w:val="20"/>
        </w:rPr>
      </w:pPr>
      <w:r>
        <w:rPr>
          <w:rFonts w:ascii="Calibri" w:hAnsi="Calibri"/>
          <w:sz w:val="20"/>
        </w:rPr>
        <w:t>Por tanto, en la utilización de la contratación según necesidades de autobuses urbanos no puede apreciarse indicio alguno de ilegalidad ni arbitrariedad todo lo contrario, su uso adecuado refleja la intención de optimizar recursos públicos ajustando las compras a la demanda</w:t>
      </w:r>
      <w:r>
        <w:rPr>
          <w:rFonts w:ascii="Calibri" w:hAnsi="Calibri"/>
          <w:spacing w:val="21"/>
          <w:sz w:val="20"/>
        </w:rPr>
        <w:t> </w:t>
      </w:r>
      <w:r>
        <w:rPr>
          <w:rFonts w:ascii="Calibri" w:hAnsi="Calibri"/>
          <w:sz w:val="20"/>
        </w:rPr>
        <w:t>real,</w:t>
      </w:r>
      <w:r>
        <w:rPr>
          <w:rFonts w:ascii="Calibri" w:hAnsi="Calibri"/>
          <w:spacing w:val="23"/>
          <w:sz w:val="20"/>
        </w:rPr>
        <w:t> </w:t>
      </w:r>
      <w:r>
        <w:rPr>
          <w:rFonts w:ascii="Calibri" w:hAnsi="Calibri"/>
          <w:sz w:val="20"/>
        </w:rPr>
        <w:t>en</w:t>
      </w:r>
      <w:r>
        <w:rPr>
          <w:rFonts w:ascii="Calibri" w:hAnsi="Calibri"/>
          <w:spacing w:val="20"/>
          <w:sz w:val="20"/>
        </w:rPr>
        <w:t> </w:t>
      </w:r>
      <w:r>
        <w:rPr>
          <w:rFonts w:ascii="Calibri" w:hAnsi="Calibri"/>
          <w:sz w:val="20"/>
        </w:rPr>
        <w:t>línea</w:t>
      </w:r>
      <w:r>
        <w:rPr>
          <w:rFonts w:ascii="Calibri" w:hAnsi="Calibri"/>
          <w:spacing w:val="21"/>
          <w:sz w:val="20"/>
        </w:rPr>
        <w:t> </w:t>
      </w:r>
      <w:r>
        <w:rPr>
          <w:rFonts w:ascii="Calibri" w:hAnsi="Calibri"/>
          <w:sz w:val="20"/>
        </w:rPr>
        <w:t>con</w:t>
      </w:r>
      <w:r>
        <w:rPr>
          <w:rFonts w:ascii="Calibri" w:hAnsi="Calibri"/>
          <w:spacing w:val="21"/>
          <w:sz w:val="20"/>
        </w:rPr>
        <w:t> </w:t>
      </w:r>
      <w:r>
        <w:rPr>
          <w:rFonts w:ascii="Calibri" w:hAnsi="Calibri"/>
          <w:sz w:val="20"/>
        </w:rPr>
        <w:t>la</w:t>
      </w:r>
      <w:r>
        <w:rPr>
          <w:rFonts w:ascii="Calibri" w:hAnsi="Calibri"/>
          <w:spacing w:val="18"/>
          <w:sz w:val="20"/>
        </w:rPr>
        <w:t> </w:t>
      </w:r>
      <w:r>
        <w:rPr>
          <w:rFonts w:ascii="Calibri" w:hAnsi="Calibri"/>
          <w:sz w:val="20"/>
        </w:rPr>
        <w:t>normativa</w:t>
      </w:r>
      <w:r>
        <w:rPr>
          <w:rFonts w:ascii="Calibri" w:hAnsi="Calibri"/>
          <w:spacing w:val="17"/>
          <w:sz w:val="20"/>
        </w:rPr>
        <w:t> </w:t>
      </w:r>
      <w:r>
        <w:rPr>
          <w:rFonts w:ascii="Calibri" w:hAnsi="Calibri"/>
          <w:sz w:val="20"/>
        </w:rPr>
        <w:t>vigente</w:t>
      </w:r>
      <w:r>
        <w:rPr>
          <w:rFonts w:ascii="Calibri" w:hAnsi="Calibri"/>
          <w:spacing w:val="24"/>
          <w:sz w:val="20"/>
        </w:rPr>
        <w:t> </w:t>
      </w:r>
      <w:r>
        <w:rPr>
          <w:rFonts w:ascii="Calibri" w:hAnsi="Calibri"/>
          <w:sz w:val="20"/>
        </w:rPr>
        <w:t>y</w:t>
      </w:r>
      <w:r>
        <w:rPr>
          <w:rFonts w:ascii="Calibri" w:hAnsi="Calibri"/>
          <w:spacing w:val="21"/>
          <w:sz w:val="20"/>
        </w:rPr>
        <w:t> </w:t>
      </w:r>
      <w:r>
        <w:rPr>
          <w:rFonts w:ascii="Calibri" w:hAnsi="Calibri"/>
          <w:sz w:val="20"/>
        </w:rPr>
        <w:t>las</w:t>
      </w:r>
      <w:r>
        <w:rPr>
          <w:rFonts w:ascii="Calibri" w:hAnsi="Calibri"/>
          <w:spacing w:val="24"/>
          <w:sz w:val="20"/>
        </w:rPr>
        <w:t> </w:t>
      </w:r>
      <w:r>
        <w:rPr>
          <w:rFonts w:ascii="Calibri" w:hAnsi="Calibri"/>
          <w:sz w:val="20"/>
        </w:rPr>
        <w:t>recomendaciones</w:t>
      </w:r>
      <w:r>
        <w:rPr>
          <w:rFonts w:ascii="Calibri" w:hAnsi="Calibri"/>
          <w:spacing w:val="21"/>
          <w:sz w:val="20"/>
        </w:rPr>
        <w:t> </w:t>
      </w:r>
      <w:r>
        <w:rPr>
          <w:rFonts w:ascii="Calibri" w:hAnsi="Calibri"/>
          <w:sz w:val="20"/>
        </w:rPr>
        <w:t>de</w:t>
      </w:r>
      <w:r>
        <w:rPr>
          <w:rFonts w:ascii="Calibri" w:hAnsi="Calibri"/>
          <w:spacing w:val="20"/>
          <w:sz w:val="20"/>
        </w:rPr>
        <w:t> </w:t>
      </w:r>
      <w:r>
        <w:rPr>
          <w:rFonts w:ascii="Calibri" w:hAnsi="Calibri"/>
          <w:sz w:val="20"/>
        </w:rPr>
        <w:t>buena</w:t>
      </w:r>
      <w:r>
        <w:rPr>
          <w:rFonts w:ascii="Calibri" w:hAnsi="Calibri"/>
          <w:spacing w:val="22"/>
          <w:sz w:val="20"/>
        </w:rPr>
        <w:t> </w:t>
      </w:r>
      <w:r>
        <w:rPr>
          <w:rFonts w:ascii="Calibri" w:hAnsi="Calibri"/>
          <w:sz w:val="20"/>
        </w:rPr>
        <w:t>gestión</w:t>
      </w:r>
      <w:r>
        <w:rPr>
          <w:rFonts w:ascii="Calibri" w:hAnsi="Calibri"/>
          <w:spacing w:val="21"/>
          <w:sz w:val="20"/>
        </w:rPr>
        <w:t> </w:t>
      </w:r>
      <w:r>
        <w:rPr>
          <w:rFonts w:ascii="Calibri" w:hAnsi="Calibri"/>
          <w:sz w:val="20"/>
        </w:rPr>
        <w:t>,</w:t>
      </w:r>
    </w:p>
    <w:p>
      <w:pPr>
        <w:pStyle w:val="BodyText"/>
        <w:rPr>
          <w:rFonts w:ascii="Calibri"/>
          <w:sz w:val="20"/>
        </w:rPr>
      </w:pPr>
    </w:p>
    <w:p>
      <w:pPr>
        <w:pStyle w:val="BodyText"/>
        <w:spacing w:before="114"/>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956" name="Group 956"/>
                <wp:cNvGraphicFramePr>
                  <a:graphicFrameLocks/>
                </wp:cNvGraphicFramePr>
                <a:graphic>
                  <a:graphicData uri="http://schemas.microsoft.com/office/word/2010/wordprocessingGroup">
                    <wpg:wgp>
                      <wpg:cNvPr id="956" name="Group 956"/>
                      <wpg:cNvGrpSpPr/>
                      <wpg:grpSpPr>
                        <a:xfrm>
                          <a:off x="0" y="0"/>
                          <a:ext cx="1870075" cy="6350"/>
                          <a:chExt cx="1870075" cy="6350"/>
                        </a:xfrm>
                      </wpg:grpSpPr>
                      <wps:wsp>
                        <wps:cNvPr id="957" name="Graphic 957"/>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735" coordorigin="0,0" coordsize="2945,10">
                <v:rect style="position:absolute;left:0;top:0;width:2945;height:10" id="docshape736"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958" name="Group 958"/>
                <wp:cNvGraphicFramePr>
                  <a:graphicFrameLocks/>
                </wp:cNvGraphicFramePr>
                <a:graphic>
                  <a:graphicData uri="http://schemas.microsoft.com/office/word/2010/wordprocessingGroup">
                    <wpg:wgp>
                      <wpg:cNvPr id="958" name="Group 958"/>
                      <wpg:cNvGrpSpPr/>
                      <wpg:grpSpPr>
                        <a:xfrm>
                          <a:off x="0" y="0"/>
                          <a:ext cx="841375" cy="6350"/>
                          <a:chExt cx="841375" cy="6350"/>
                        </a:xfrm>
                      </wpg:grpSpPr>
                      <wps:wsp>
                        <wps:cNvPr id="959" name="Graphic 959"/>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737" coordorigin="0,0" coordsize="1325,10">
                <v:rect style="position:absolute;left:0;top:0;width:1325;height:10" id="docshape738"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25"/>
          <w:headerReference w:type="default" r:id="rId226"/>
          <w:footerReference w:type="even" r:id="rId227"/>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75680">
                <wp:simplePos x="0" y="0"/>
                <wp:positionH relativeFrom="page">
                  <wp:posOffset>3375742</wp:posOffset>
                </wp:positionH>
                <wp:positionV relativeFrom="paragraph">
                  <wp:posOffset>1412477</wp:posOffset>
                </wp:positionV>
                <wp:extent cx="53340" cy="100330"/>
                <wp:effectExtent l="0" t="0" r="0" b="0"/>
                <wp:wrapNone/>
                <wp:docPr id="960" name="Textbox 960"/>
                <wp:cNvGraphicFramePr>
                  <a:graphicFrameLocks/>
                </wp:cNvGraphicFramePr>
                <a:graphic>
                  <a:graphicData uri="http://schemas.microsoft.com/office/word/2010/wordprocessingShape">
                    <wps:wsp>
                      <wps:cNvPr id="960" name="Textbox 960"/>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265.806488pt;margin-top:111.218727pt;width:4.2pt;height:7.9pt;mso-position-horizontal-relative:page;mso-position-vertical-relative:paragraph;z-index:-28940800" type="#_x0000_t202" id="docshape739"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376192">
                <wp:simplePos x="0" y="0"/>
                <wp:positionH relativeFrom="page">
                  <wp:posOffset>172212</wp:posOffset>
                </wp:positionH>
                <wp:positionV relativeFrom="paragraph">
                  <wp:posOffset>954200</wp:posOffset>
                </wp:positionV>
                <wp:extent cx="1298575" cy="417830"/>
                <wp:effectExtent l="0" t="0" r="0" b="0"/>
                <wp:wrapNone/>
                <wp:docPr id="961" name="Group 961"/>
                <wp:cNvGraphicFramePr>
                  <a:graphicFrameLocks/>
                </wp:cNvGraphicFramePr>
                <a:graphic>
                  <a:graphicData uri="http://schemas.microsoft.com/office/word/2010/wordprocessingGroup">
                    <wpg:wgp>
                      <wpg:cNvPr id="961" name="Group 961"/>
                      <wpg:cNvGrpSpPr/>
                      <wpg:grpSpPr>
                        <a:xfrm>
                          <a:off x="0" y="0"/>
                          <a:ext cx="1298575" cy="417830"/>
                          <a:chExt cx="1298575" cy="417830"/>
                        </a:xfrm>
                      </wpg:grpSpPr>
                      <wps:wsp>
                        <wps:cNvPr id="962" name="Graphic 962"/>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963" name="Image 963"/>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940288" id="docshapegroup740" coordorigin="271,1503" coordsize="2045,658">
                <v:shape style="position:absolute;left:271;top:1502;width:2045;height:658" id="docshape741" coordorigin="271,1503" coordsize="2045,658" path="m2316,1503l271,1503,271,1721,271,1723,271,2160,2316,2160,2316,1723,2316,1721,2316,1503xe" filled="true" fillcolor="#cccccc" stroked="false">
                  <v:path arrowok="t"/>
                  <v:fill type="solid"/>
                </v:shape>
                <v:shape style="position:absolute;left:343;top:1577;width:1896;height:327" type="#_x0000_t75" id="docshape742" stroked="false">
                  <v:imagedata r:id="rId219" o:title=""/>
                </v:shape>
                <w10:wrap type="none"/>
              </v:group>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964" name="Textbox 964"/>
                <wp:cNvGraphicFramePr>
                  <a:graphicFrameLocks/>
                </wp:cNvGraphicFramePr>
                <a:graphic>
                  <a:graphicData uri="http://schemas.microsoft.com/office/word/2010/wordprocessingShape">
                    <wps:wsp>
                      <wps:cNvPr id="964" name="Textbox 964"/>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92"/>
                              <w:gridCol w:w="1571"/>
                              <w:gridCol w:w="718"/>
                              <w:gridCol w:w="1327"/>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92" w:type="dxa"/>
                                  <w:tcBorders>
                                    <w:left w:val="single" w:sz="6" w:space="0" w:color="000000"/>
                                    <w:bottom w:val="single" w:sz="6" w:space="0" w:color="000000"/>
                                    <w:right w:val="nil"/>
                                  </w:tcBorders>
                                </w:tcPr>
                                <w:p>
                                  <w:pPr>
                                    <w:pStyle w:val="TableParagraph"/>
                                    <w:rPr>
                                      <w:rFonts w:ascii="Times New Roman"/>
                                      <w:sz w:val="14"/>
                                    </w:rPr>
                                  </w:pPr>
                                </w:p>
                              </w:tc>
                              <w:tc>
                                <w:tcPr>
                                  <w:tcW w:w="2289" w:type="dxa"/>
                                  <w:gridSpan w:val="2"/>
                                  <w:tcBorders>
                                    <w:top w:val="nil"/>
                                    <w:left w:val="nil"/>
                                    <w:bottom w:val="single" w:sz="6" w:space="0" w:color="000000"/>
                                    <w:right w:val="nil"/>
                                  </w:tcBorders>
                                  <w:shd w:val="clear" w:color="auto" w:fill="000000"/>
                                </w:tcPr>
                                <w:p>
                                  <w:pPr>
                                    <w:pStyle w:val="TableParagraph"/>
                                    <w:rPr>
                                      <w:rFonts w:ascii="Times New Roman"/>
                                      <w:sz w:val="14"/>
                                    </w:rPr>
                                  </w:pPr>
                                </w:p>
                              </w:tc>
                              <w:tc>
                                <w:tcPr>
                                  <w:tcW w:w="1327" w:type="dxa"/>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965" name="Image 965"/>
                                        <wp:cNvGraphicFramePr>
                                          <a:graphicFrameLocks/>
                                        </wp:cNvGraphicFramePr>
                                        <a:graphic>
                                          <a:graphicData uri="http://schemas.openxmlformats.org/drawingml/2006/picture">
                                            <pic:pic>
                                              <pic:nvPicPr>
                                                <pic:cNvPr id="965" name="Image 965"/>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966" name="Image 966"/>
                                        <wp:cNvGraphicFramePr>
                                          <a:graphicFrameLocks/>
                                        </wp:cNvGraphicFramePr>
                                        <a:graphic>
                                          <a:graphicData uri="http://schemas.openxmlformats.org/drawingml/2006/picture">
                                            <pic:pic>
                                              <pic:nvPicPr>
                                                <pic:cNvPr id="966" name="Image 966"/>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967" name="Image 967"/>
                                        <wp:cNvGraphicFramePr>
                                          <a:graphicFrameLocks/>
                                        </wp:cNvGraphicFramePr>
                                        <a:graphic>
                                          <a:graphicData uri="http://schemas.openxmlformats.org/drawingml/2006/picture">
                                            <pic:pic>
                                              <pic:nvPicPr>
                                                <pic:cNvPr id="967" name="Image 967"/>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968" name="Image 968"/>
                                        <wp:cNvGraphicFramePr>
                                          <a:graphicFrameLocks/>
                                        </wp:cNvGraphicFramePr>
                                        <a:graphic>
                                          <a:graphicData uri="http://schemas.openxmlformats.org/drawingml/2006/picture">
                                            <pic:pic>
                                              <pic:nvPicPr>
                                                <pic:cNvPr id="968" name="Image 968"/>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4"/>
                                    <w:jc w:val="center"/>
                                    <w:rPr>
                                      <w:rFonts w:ascii="Arial"/>
                                      <w:sz w:val="14"/>
                                    </w:rPr>
                                  </w:pPr>
                                  <w:r>
                                    <w:rPr>
                                      <w:rFonts w:ascii="Arial"/>
                                      <w:spacing w:val="-2"/>
                                      <w:sz w:val="14"/>
                                    </w:rPr>
                                    <w:t>10/40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969" name="Image 969"/>
                                        <wp:cNvGraphicFramePr>
                                          <a:graphicFrameLocks/>
                                        </wp:cNvGraphicFramePr>
                                        <a:graphic>
                                          <a:graphicData uri="http://schemas.openxmlformats.org/drawingml/2006/picture">
                                            <pic:pic>
                                              <pic:nvPicPr>
                                                <pic:cNvPr id="969" name="Image 969"/>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3063" w:type="dxa"/>
                                  <w:gridSpan w:val="2"/>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228">
                                    <w:r>
                                      <w:rPr>
                                        <w:rFonts w:ascii="Courier New"/>
                                        <w:spacing w:val="-2"/>
                                        <w:sz w:val="14"/>
                                      </w:rPr>
                                      <w:t>https://valida.malaga</w:t>
                                    </w:r>
                                  </w:hyperlink>
                                </w:p>
                              </w:tc>
                              <w:tc>
                                <w:tcPr>
                                  <w:tcW w:w="3884" w:type="dxa"/>
                                  <w:gridSpan w:val="4"/>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970" name="Image 970"/>
                                        <wp:cNvGraphicFramePr>
                                          <a:graphicFrameLocks/>
                                        </wp:cNvGraphicFramePr>
                                        <a:graphic>
                                          <a:graphicData uri="http://schemas.openxmlformats.org/drawingml/2006/picture">
                                            <pic:pic>
                                              <pic:nvPicPr>
                                                <pic:cNvPr id="970" name="Image 970"/>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743"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92"/>
                        <w:gridCol w:w="1571"/>
                        <w:gridCol w:w="718"/>
                        <w:gridCol w:w="1327"/>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92" w:type="dxa"/>
                            <w:tcBorders>
                              <w:left w:val="single" w:sz="6" w:space="0" w:color="000000"/>
                              <w:bottom w:val="single" w:sz="6" w:space="0" w:color="000000"/>
                              <w:right w:val="nil"/>
                            </w:tcBorders>
                          </w:tcPr>
                          <w:p>
                            <w:pPr>
                              <w:pStyle w:val="TableParagraph"/>
                              <w:rPr>
                                <w:rFonts w:ascii="Times New Roman"/>
                                <w:sz w:val="14"/>
                              </w:rPr>
                            </w:pPr>
                          </w:p>
                        </w:tc>
                        <w:tc>
                          <w:tcPr>
                            <w:tcW w:w="2289" w:type="dxa"/>
                            <w:gridSpan w:val="2"/>
                            <w:tcBorders>
                              <w:top w:val="nil"/>
                              <w:left w:val="nil"/>
                              <w:bottom w:val="single" w:sz="6" w:space="0" w:color="000000"/>
                              <w:right w:val="nil"/>
                            </w:tcBorders>
                            <w:shd w:val="clear" w:color="auto" w:fill="000000"/>
                          </w:tcPr>
                          <w:p>
                            <w:pPr>
                              <w:pStyle w:val="TableParagraph"/>
                              <w:rPr>
                                <w:rFonts w:ascii="Times New Roman"/>
                                <w:sz w:val="14"/>
                              </w:rPr>
                            </w:pPr>
                          </w:p>
                        </w:tc>
                        <w:tc>
                          <w:tcPr>
                            <w:tcW w:w="1327" w:type="dxa"/>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971" name="Image 971"/>
                                  <wp:cNvGraphicFramePr>
                                    <a:graphicFrameLocks/>
                                  </wp:cNvGraphicFramePr>
                                  <a:graphic>
                                    <a:graphicData uri="http://schemas.openxmlformats.org/drawingml/2006/picture">
                                      <pic:pic>
                                        <pic:nvPicPr>
                                          <pic:cNvPr id="971" name="Image 97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972" name="Image 972"/>
                                  <wp:cNvGraphicFramePr>
                                    <a:graphicFrameLocks/>
                                  </wp:cNvGraphicFramePr>
                                  <a:graphic>
                                    <a:graphicData uri="http://schemas.openxmlformats.org/drawingml/2006/picture">
                                      <pic:pic>
                                        <pic:nvPicPr>
                                          <pic:cNvPr id="972" name="Image 97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973" name="Image 973"/>
                                  <wp:cNvGraphicFramePr>
                                    <a:graphicFrameLocks/>
                                  </wp:cNvGraphicFramePr>
                                  <a:graphic>
                                    <a:graphicData uri="http://schemas.openxmlformats.org/drawingml/2006/picture">
                                      <pic:pic>
                                        <pic:nvPicPr>
                                          <pic:cNvPr id="973" name="Image 97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974" name="Image 974"/>
                                  <wp:cNvGraphicFramePr>
                                    <a:graphicFrameLocks/>
                                  </wp:cNvGraphicFramePr>
                                  <a:graphic>
                                    <a:graphicData uri="http://schemas.openxmlformats.org/drawingml/2006/picture">
                                      <pic:pic>
                                        <pic:nvPicPr>
                                          <pic:cNvPr id="974" name="Image 974"/>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4"/>
                              <w:jc w:val="center"/>
                              <w:rPr>
                                <w:rFonts w:ascii="Arial"/>
                                <w:sz w:val="14"/>
                              </w:rPr>
                            </w:pPr>
                            <w:r>
                              <w:rPr>
                                <w:rFonts w:ascii="Arial"/>
                                <w:spacing w:val="-2"/>
                                <w:sz w:val="14"/>
                              </w:rPr>
                              <w:t>10/40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975" name="Image 975"/>
                                  <wp:cNvGraphicFramePr>
                                    <a:graphicFrameLocks/>
                                  </wp:cNvGraphicFramePr>
                                  <a:graphic>
                                    <a:graphicData uri="http://schemas.openxmlformats.org/drawingml/2006/picture">
                                      <pic:pic>
                                        <pic:nvPicPr>
                                          <pic:cNvPr id="975" name="Image 975"/>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3063" w:type="dxa"/>
                            <w:gridSpan w:val="2"/>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228">
                              <w:r>
                                <w:rPr>
                                  <w:rFonts w:ascii="Courier New"/>
                                  <w:spacing w:val="-2"/>
                                  <w:sz w:val="14"/>
                                </w:rPr>
                                <w:t>https://valida.malaga</w:t>
                              </w:r>
                            </w:hyperlink>
                          </w:p>
                        </w:tc>
                        <w:tc>
                          <w:tcPr>
                            <w:tcW w:w="3884" w:type="dxa"/>
                            <w:gridSpan w:val="4"/>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976" name="Image 976"/>
                                  <wp:cNvGraphicFramePr>
                                    <a:graphicFrameLocks/>
                                  </wp:cNvGraphicFramePr>
                                  <a:graphic>
                                    <a:graphicData uri="http://schemas.openxmlformats.org/drawingml/2006/picture">
                                      <pic:pic>
                                        <pic:nvPicPr>
                                          <pic:cNvPr id="976" name="Image 976"/>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977" name="Group 977"/>
                <wp:cNvGraphicFramePr>
                  <a:graphicFrameLocks/>
                </wp:cNvGraphicFramePr>
                <a:graphic>
                  <a:graphicData uri="http://schemas.microsoft.com/office/word/2010/wordprocessingGroup">
                    <wpg:wgp>
                      <wpg:cNvPr id="977" name="Group 977"/>
                      <wpg:cNvGrpSpPr/>
                      <wpg:grpSpPr>
                        <a:xfrm>
                          <a:off x="0" y="0"/>
                          <a:ext cx="734695" cy="753110"/>
                          <a:chExt cx="734695" cy="753110"/>
                        </a:xfrm>
                      </wpg:grpSpPr>
                      <pic:pic>
                        <pic:nvPicPr>
                          <pic:cNvPr id="978" name="Image 978"/>
                          <pic:cNvPicPr/>
                        </pic:nvPicPr>
                        <pic:blipFill>
                          <a:blip r:embed="rId229" cstate="print"/>
                          <a:stretch>
                            <a:fillRect/>
                          </a:stretch>
                        </pic:blipFill>
                        <pic:spPr>
                          <a:xfrm>
                            <a:off x="0" y="0"/>
                            <a:ext cx="734567" cy="752840"/>
                          </a:xfrm>
                          <a:prstGeom prst="rect">
                            <a:avLst/>
                          </a:prstGeom>
                        </pic:spPr>
                      </pic:pic>
                      <wps:wsp>
                        <wps:cNvPr id="979" name="Graphic 979"/>
                        <wps:cNvSpPr/>
                        <wps:spPr>
                          <a:xfrm>
                            <a:off x="60515" y="70152"/>
                            <a:ext cx="659765" cy="664845"/>
                          </a:xfrm>
                          <a:custGeom>
                            <a:avLst/>
                            <a:gdLst/>
                            <a:ahLst/>
                            <a:cxnLst/>
                            <a:rect l="l" t="t" r="r" b="b"/>
                            <a:pathLst>
                              <a:path w="659765" h="664845">
                                <a:moveTo>
                                  <a:pt x="659561" y="0"/>
                                </a:moveTo>
                                <a:lnTo>
                                  <a:pt x="0" y="0"/>
                                </a:lnTo>
                                <a:lnTo>
                                  <a:pt x="0" y="664502"/>
                                </a:lnTo>
                                <a:lnTo>
                                  <a:pt x="659561" y="664502"/>
                                </a:lnTo>
                                <a:lnTo>
                                  <a:pt x="65956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744" coordorigin="0,0" coordsize="1157,1186">
                <v:shape style="position:absolute;left:0;top:0;width:1157;height:1186" type="#_x0000_t75" id="docshape745" stroked="false">
                  <v:imagedata r:id="rId229" o:title=""/>
                </v:shape>
                <v:rect style="position:absolute;left:95;top:110;width:1039;height:1047" id="docshape746"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1925" w:right="2024" w:firstLine="0"/>
        <w:jc w:val="both"/>
        <w:rPr>
          <w:rFonts w:ascii="Calibri" w:hAnsi="Calibri"/>
          <w:sz w:val="20"/>
        </w:rPr>
      </w:pPr>
      <w:r>
        <w:rPr>
          <w:rFonts w:ascii="Calibri" w:hAnsi="Calibri"/>
          <w:sz w:val="20"/>
        </w:rPr>
        <w:t>amparada esta práctica por la ley y orientada a lograr la máxima eficacia, transparencia e igualdad en la contratación pública.</w:t>
      </w:r>
    </w:p>
    <w:p>
      <w:pPr>
        <w:spacing w:line="256" w:lineRule="auto" w:before="142"/>
        <w:ind w:left="1925" w:right="2023" w:firstLine="0"/>
        <w:jc w:val="both"/>
        <w:rPr>
          <w:rFonts w:ascii="Calibri" w:hAnsi="Calibri"/>
          <w:sz w:val="20"/>
        </w:rPr>
      </w:pPr>
      <w:r>
        <w:rPr>
          <w:rFonts w:ascii="Calibri" w:hAnsi="Calibri"/>
          <w:sz w:val="20"/>
        </w:rPr>
        <w:t>En virtud de lo anterior, </w:t>
      </w:r>
      <w:r>
        <w:rPr>
          <w:rFonts w:ascii="Calibri" w:hAnsi="Calibri"/>
          <w:sz w:val="20"/>
          <w:u w:val="single"/>
        </w:rPr>
        <w:t>se solicita a ese Tribunal de Cuentas que tenga por</w:t>
      </w:r>
      <w:r>
        <w:rPr>
          <w:rFonts w:ascii="Calibri" w:hAnsi="Calibri"/>
          <w:spacing w:val="-1"/>
          <w:sz w:val="20"/>
          <w:u w:val="single"/>
        </w:rPr>
        <w:t> </w:t>
      </w:r>
      <w:r>
        <w:rPr>
          <w:rFonts w:ascii="Calibri" w:hAnsi="Calibri"/>
          <w:sz w:val="20"/>
          <w:u w:val="single"/>
        </w:rPr>
        <w:t>presentadas estas</w:t>
      </w:r>
      <w:r>
        <w:rPr>
          <w:rFonts w:ascii="Calibri" w:hAnsi="Calibri"/>
          <w:sz w:val="20"/>
          <w:u w:val="none"/>
        </w:rPr>
        <w:t> </w:t>
      </w:r>
      <w:r>
        <w:rPr>
          <w:rFonts w:ascii="Calibri" w:hAnsi="Calibri"/>
          <w:sz w:val="20"/>
          <w:u w:val="single"/>
        </w:rPr>
        <w:t>alegaciones</w:t>
      </w:r>
      <w:r>
        <w:rPr>
          <w:rFonts w:ascii="Calibri" w:hAnsi="Calibri"/>
          <w:spacing w:val="-3"/>
          <w:sz w:val="20"/>
          <w:u w:val="single"/>
        </w:rPr>
        <w:t> </w:t>
      </w:r>
      <w:r>
        <w:rPr>
          <w:rFonts w:ascii="Calibri" w:hAnsi="Calibri"/>
          <w:sz w:val="20"/>
          <w:u w:val="single"/>
        </w:rPr>
        <w:t>y por justificadas las</w:t>
      </w:r>
      <w:r>
        <w:rPr>
          <w:rFonts w:ascii="Calibri" w:hAnsi="Calibri"/>
          <w:spacing w:val="-1"/>
          <w:sz w:val="20"/>
          <w:u w:val="single"/>
        </w:rPr>
        <w:t> </w:t>
      </w:r>
      <w:r>
        <w:rPr>
          <w:rFonts w:ascii="Calibri" w:hAnsi="Calibri"/>
          <w:sz w:val="20"/>
          <w:u w:val="single"/>
        </w:rPr>
        <w:t>razones</w:t>
      </w:r>
      <w:r>
        <w:rPr>
          <w:rFonts w:ascii="Calibri" w:hAnsi="Calibri"/>
          <w:spacing w:val="-1"/>
          <w:sz w:val="20"/>
          <w:u w:val="single"/>
        </w:rPr>
        <w:t> </w:t>
      </w:r>
      <w:r>
        <w:rPr>
          <w:rFonts w:ascii="Calibri" w:hAnsi="Calibri"/>
          <w:sz w:val="20"/>
          <w:u w:val="single"/>
        </w:rPr>
        <w:t>expuestas</w:t>
      </w:r>
      <w:r>
        <w:rPr>
          <w:rFonts w:ascii="Calibri" w:hAnsi="Calibri"/>
          <w:spacing w:val="-3"/>
          <w:sz w:val="20"/>
          <w:u w:val="single"/>
        </w:rPr>
        <w:t> </w:t>
      </w:r>
      <w:r>
        <w:rPr>
          <w:rFonts w:ascii="Calibri" w:hAnsi="Calibri"/>
          <w:sz w:val="20"/>
          <w:u w:val="single"/>
        </w:rPr>
        <w:t>para</w:t>
      </w:r>
      <w:r>
        <w:rPr>
          <w:rFonts w:ascii="Calibri" w:hAnsi="Calibri"/>
          <w:spacing w:val="-2"/>
          <w:sz w:val="20"/>
          <w:u w:val="single"/>
        </w:rPr>
        <w:t> </w:t>
      </w:r>
      <w:r>
        <w:rPr>
          <w:rFonts w:ascii="Calibri" w:hAnsi="Calibri"/>
          <w:sz w:val="20"/>
          <w:u w:val="single"/>
        </w:rPr>
        <w:t>la</w:t>
      </w:r>
      <w:r>
        <w:rPr>
          <w:rFonts w:ascii="Calibri" w:hAnsi="Calibri"/>
          <w:spacing w:val="-2"/>
          <w:sz w:val="20"/>
          <w:u w:val="single"/>
        </w:rPr>
        <w:t> </w:t>
      </w:r>
      <w:r>
        <w:rPr>
          <w:rFonts w:ascii="Calibri" w:hAnsi="Calibri"/>
          <w:sz w:val="20"/>
          <w:u w:val="single"/>
        </w:rPr>
        <w:t>utilización</w:t>
      </w:r>
      <w:r>
        <w:rPr>
          <w:rFonts w:ascii="Calibri" w:hAnsi="Calibri"/>
          <w:spacing w:val="-1"/>
          <w:sz w:val="20"/>
          <w:u w:val="single"/>
        </w:rPr>
        <w:t> </w:t>
      </w:r>
      <w:r>
        <w:rPr>
          <w:rFonts w:ascii="Calibri" w:hAnsi="Calibri"/>
          <w:sz w:val="20"/>
          <w:u w:val="single"/>
        </w:rPr>
        <w:t>de la</w:t>
      </w:r>
      <w:r>
        <w:rPr>
          <w:rFonts w:ascii="Calibri" w:hAnsi="Calibri"/>
          <w:spacing w:val="-2"/>
          <w:sz w:val="20"/>
          <w:u w:val="single"/>
        </w:rPr>
        <w:t> </w:t>
      </w:r>
      <w:r>
        <w:rPr>
          <w:rFonts w:ascii="Calibri" w:hAnsi="Calibri"/>
          <w:sz w:val="20"/>
          <w:u w:val="single"/>
        </w:rPr>
        <w:t>DA</w:t>
      </w:r>
      <w:r>
        <w:rPr>
          <w:rFonts w:ascii="Calibri" w:hAnsi="Calibri"/>
          <w:spacing w:val="-2"/>
          <w:sz w:val="20"/>
          <w:u w:val="single"/>
        </w:rPr>
        <w:t> </w:t>
      </w:r>
      <w:r>
        <w:rPr>
          <w:rFonts w:ascii="Calibri" w:hAnsi="Calibri"/>
          <w:sz w:val="20"/>
          <w:u w:val="single"/>
        </w:rPr>
        <w:t>33ª</w:t>
      </w:r>
      <w:r>
        <w:rPr>
          <w:rFonts w:ascii="Calibri" w:hAnsi="Calibri"/>
          <w:spacing w:val="-1"/>
          <w:sz w:val="20"/>
          <w:u w:val="single"/>
        </w:rPr>
        <w:t> </w:t>
      </w:r>
      <w:r>
        <w:rPr>
          <w:rFonts w:ascii="Calibri" w:hAnsi="Calibri"/>
          <w:sz w:val="20"/>
          <w:u w:val="single"/>
        </w:rPr>
        <w:t>LCSP</w:t>
      </w:r>
      <w:r>
        <w:rPr>
          <w:rFonts w:ascii="Calibri" w:hAnsi="Calibri"/>
          <w:spacing w:val="-3"/>
          <w:sz w:val="20"/>
          <w:u w:val="single"/>
        </w:rPr>
        <w:t> </w:t>
      </w:r>
      <w:r>
        <w:rPr>
          <w:rFonts w:ascii="Calibri" w:hAnsi="Calibri"/>
          <w:sz w:val="20"/>
          <w:u w:val="single"/>
        </w:rPr>
        <w:t>en los</w:t>
      </w:r>
      <w:r>
        <w:rPr>
          <w:rFonts w:ascii="Calibri" w:hAnsi="Calibri"/>
          <w:sz w:val="20"/>
          <w:u w:val="none"/>
        </w:rPr>
        <w:t> </w:t>
      </w:r>
      <w:r>
        <w:rPr>
          <w:rFonts w:ascii="Calibri" w:hAnsi="Calibri"/>
          <w:sz w:val="20"/>
          <w:u w:val="single"/>
        </w:rPr>
        <w:t>contratos examinados, procediendo en consecuencia a no deducir responsabilidad ni tacha</w:t>
      </w:r>
      <w:r>
        <w:rPr>
          <w:rFonts w:ascii="Calibri" w:hAnsi="Calibri"/>
          <w:sz w:val="20"/>
          <w:u w:val="none"/>
        </w:rPr>
        <w:t> </w:t>
      </w:r>
      <w:r>
        <w:rPr>
          <w:rFonts w:ascii="Calibri" w:hAnsi="Calibri"/>
          <w:sz w:val="20"/>
          <w:u w:val="single"/>
        </w:rPr>
        <w:t>alguna por este motivo en el informe definitivo de fiscalización</w:t>
      </w:r>
      <w:r>
        <w:rPr>
          <w:rFonts w:ascii="Calibri" w:hAnsi="Calibri"/>
          <w:sz w:val="20"/>
          <w:u w:val="none"/>
        </w:rPr>
        <w:t>.</w:t>
      </w:r>
    </w:p>
    <w:p>
      <w:pPr>
        <w:pStyle w:val="BodyText"/>
        <w:rPr>
          <w:rFonts w:ascii="Calibri"/>
          <w:sz w:val="20"/>
        </w:rPr>
      </w:pPr>
    </w:p>
    <w:p>
      <w:pPr>
        <w:pStyle w:val="BodyText"/>
        <w:spacing w:before="63"/>
        <w:rPr>
          <w:rFonts w:ascii="Calibri"/>
          <w:sz w:val="20"/>
        </w:rPr>
      </w:pPr>
    </w:p>
    <w:p>
      <w:pPr>
        <w:pStyle w:val="ListParagraph"/>
        <w:numPr>
          <w:ilvl w:val="4"/>
          <w:numId w:val="13"/>
        </w:numPr>
        <w:tabs>
          <w:tab w:pos="2251" w:val="left" w:leader="none"/>
        </w:tabs>
        <w:spacing w:line="256" w:lineRule="auto" w:before="0" w:after="0"/>
        <w:ind w:left="2251" w:right="2018" w:hanging="327"/>
        <w:jc w:val="both"/>
        <w:rPr>
          <w:rFonts w:ascii="Calibri" w:hAnsi="Calibri"/>
          <w:color w:val="4472C4"/>
          <w:sz w:val="20"/>
        </w:rPr>
      </w:pPr>
      <w:r>
        <w:rPr>
          <w:rFonts w:ascii="Calibri" w:hAnsi="Calibri"/>
          <w:i/>
          <w:color w:val="4472C4"/>
          <w:sz w:val="20"/>
        </w:rPr>
        <w:t>En la pág. 50 comenta lo siguiente en lo que se refiere al expediente 016/2021:</w:t>
      </w:r>
      <w:r>
        <w:rPr>
          <w:rFonts w:ascii="Calibri" w:hAnsi="Calibri"/>
          <w:i/>
          <w:color w:val="4472C4"/>
          <w:spacing w:val="80"/>
          <w:sz w:val="20"/>
        </w:rPr>
        <w:t> </w:t>
      </w:r>
      <w:r>
        <w:rPr>
          <w:rFonts w:ascii="Calibri" w:hAnsi="Calibri"/>
          <w:i/>
          <w:color w:val="4472C4"/>
          <w:sz w:val="20"/>
          <w:u w:val="single" w:color="4472C4"/>
        </w:rPr>
        <w:t>“Asimismo, los contratos suscritos preveían que pudieran prorrogarse. El 31 de julio de</w:t>
      </w:r>
      <w:r>
        <w:rPr>
          <w:rFonts w:ascii="Calibri" w:hAnsi="Calibri"/>
          <w:i/>
          <w:color w:val="4472C4"/>
          <w:sz w:val="20"/>
          <w:u w:val="none"/>
        </w:rPr>
        <w:t> </w:t>
      </w:r>
      <w:r>
        <w:rPr>
          <w:rFonts w:ascii="Calibri" w:hAnsi="Calibri"/>
          <w:i/>
          <w:color w:val="4472C4"/>
          <w:sz w:val="20"/>
          <w:u w:val="single" w:color="4472C4"/>
        </w:rPr>
        <w:t>2023</w:t>
      </w:r>
      <w:r>
        <w:rPr>
          <w:rFonts w:ascii="Calibri" w:hAnsi="Calibri"/>
          <w:i/>
          <w:color w:val="4472C4"/>
          <w:spacing w:val="33"/>
          <w:sz w:val="20"/>
          <w:u w:val="single" w:color="4472C4"/>
        </w:rPr>
        <w:t> </w:t>
      </w:r>
      <w:r>
        <w:rPr>
          <w:rFonts w:ascii="Calibri" w:hAnsi="Calibri"/>
          <w:i/>
          <w:color w:val="4472C4"/>
          <w:sz w:val="20"/>
          <w:u w:val="single" w:color="4472C4"/>
        </w:rPr>
        <w:t>se</w:t>
      </w:r>
      <w:r>
        <w:rPr>
          <w:rFonts w:ascii="Calibri" w:hAnsi="Calibri"/>
          <w:i/>
          <w:color w:val="4472C4"/>
          <w:spacing w:val="26"/>
          <w:sz w:val="20"/>
          <w:u w:val="single" w:color="4472C4"/>
        </w:rPr>
        <w:t> </w:t>
      </w:r>
      <w:r>
        <w:rPr>
          <w:rFonts w:ascii="Calibri" w:hAnsi="Calibri"/>
          <w:i/>
          <w:color w:val="4472C4"/>
          <w:sz w:val="20"/>
          <w:u w:val="single" w:color="4472C4"/>
        </w:rPr>
        <w:t>acordó</w:t>
      </w:r>
      <w:r>
        <w:rPr>
          <w:rFonts w:ascii="Calibri" w:hAnsi="Calibri"/>
          <w:i/>
          <w:color w:val="4472C4"/>
          <w:spacing w:val="32"/>
          <w:sz w:val="20"/>
          <w:u w:val="single" w:color="4472C4"/>
        </w:rPr>
        <w:t> </w:t>
      </w:r>
      <w:r>
        <w:rPr>
          <w:rFonts w:ascii="Calibri" w:hAnsi="Calibri"/>
          <w:i/>
          <w:color w:val="4472C4"/>
          <w:sz w:val="20"/>
          <w:u w:val="single" w:color="4472C4"/>
        </w:rPr>
        <w:t>la</w:t>
      </w:r>
      <w:r>
        <w:rPr>
          <w:rFonts w:ascii="Calibri" w:hAnsi="Calibri"/>
          <w:i/>
          <w:color w:val="4472C4"/>
          <w:spacing w:val="31"/>
          <w:sz w:val="20"/>
          <w:u w:val="single" w:color="4472C4"/>
        </w:rPr>
        <w:t> </w:t>
      </w:r>
      <w:r>
        <w:rPr>
          <w:rFonts w:ascii="Calibri" w:hAnsi="Calibri"/>
          <w:i/>
          <w:color w:val="4472C4"/>
          <w:sz w:val="20"/>
          <w:u w:val="single" w:color="4472C4"/>
        </w:rPr>
        <w:t>primera</w:t>
      </w:r>
      <w:r>
        <w:rPr>
          <w:rFonts w:ascii="Calibri" w:hAnsi="Calibri"/>
          <w:i/>
          <w:color w:val="4472C4"/>
          <w:spacing w:val="34"/>
          <w:sz w:val="20"/>
          <w:u w:val="single" w:color="4472C4"/>
        </w:rPr>
        <w:t> </w:t>
      </w:r>
      <w:r>
        <w:rPr>
          <w:rFonts w:ascii="Calibri" w:hAnsi="Calibri"/>
          <w:i/>
          <w:color w:val="4472C4"/>
          <w:sz w:val="20"/>
          <w:u w:val="single" w:color="4472C4"/>
        </w:rPr>
        <w:t>prórroga</w:t>
      </w:r>
      <w:r>
        <w:rPr>
          <w:rFonts w:ascii="Calibri" w:hAnsi="Calibri"/>
          <w:i/>
          <w:color w:val="4472C4"/>
          <w:spacing w:val="31"/>
          <w:sz w:val="20"/>
          <w:u w:val="single" w:color="4472C4"/>
        </w:rPr>
        <w:t> </w:t>
      </w:r>
      <w:r>
        <w:rPr>
          <w:rFonts w:ascii="Calibri" w:hAnsi="Calibri"/>
          <w:i/>
          <w:color w:val="4472C4"/>
          <w:sz w:val="20"/>
          <w:u w:val="single" w:color="4472C4"/>
        </w:rPr>
        <w:t>de</w:t>
      </w:r>
      <w:r>
        <w:rPr>
          <w:rFonts w:ascii="Calibri" w:hAnsi="Calibri"/>
          <w:i/>
          <w:color w:val="4472C4"/>
          <w:spacing w:val="34"/>
          <w:sz w:val="20"/>
          <w:u w:val="single" w:color="4472C4"/>
        </w:rPr>
        <w:t> </w:t>
      </w:r>
      <w:r>
        <w:rPr>
          <w:rFonts w:ascii="Calibri" w:hAnsi="Calibri"/>
          <w:i/>
          <w:color w:val="4472C4"/>
          <w:sz w:val="20"/>
          <w:u w:val="single" w:color="4472C4"/>
        </w:rPr>
        <w:t>uno</w:t>
      </w:r>
      <w:r>
        <w:rPr>
          <w:rFonts w:ascii="Calibri" w:hAnsi="Calibri"/>
          <w:i/>
          <w:color w:val="4472C4"/>
          <w:spacing w:val="34"/>
          <w:sz w:val="20"/>
          <w:u w:val="single" w:color="4472C4"/>
        </w:rPr>
        <w:t> </w:t>
      </w:r>
      <w:r>
        <w:rPr>
          <w:rFonts w:ascii="Calibri" w:hAnsi="Calibri"/>
          <w:i/>
          <w:color w:val="4472C4"/>
          <w:sz w:val="20"/>
          <w:u w:val="single" w:color="4472C4"/>
        </w:rPr>
        <w:t>de</w:t>
      </w:r>
      <w:r>
        <w:rPr>
          <w:rFonts w:ascii="Calibri" w:hAnsi="Calibri"/>
          <w:i/>
          <w:color w:val="4472C4"/>
          <w:spacing w:val="31"/>
          <w:sz w:val="20"/>
          <w:u w:val="single" w:color="4472C4"/>
        </w:rPr>
        <w:t> </w:t>
      </w:r>
      <w:r>
        <w:rPr>
          <w:rFonts w:ascii="Calibri" w:hAnsi="Calibri"/>
          <w:i/>
          <w:color w:val="4472C4"/>
          <w:sz w:val="20"/>
          <w:u w:val="single" w:color="4472C4"/>
        </w:rPr>
        <w:t>los</w:t>
      </w:r>
      <w:r>
        <w:rPr>
          <w:rFonts w:ascii="Calibri" w:hAnsi="Calibri"/>
          <w:i/>
          <w:color w:val="4472C4"/>
          <w:spacing w:val="28"/>
          <w:sz w:val="20"/>
          <w:u w:val="single" w:color="4472C4"/>
        </w:rPr>
        <w:t> </w:t>
      </w:r>
      <w:r>
        <w:rPr>
          <w:rFonts w:ascii="Calibri" w:hAnsi="Calibri"/>
          <w:i/>
          <w:color w:val="4472C4"/>
          <w:sz w:val="20"/>
          <w:u w:val="single" w:color="4472C4"/>
        </w:rPr>
        <w:t>expedientes,</w:t>
      </w:r>
      <w:r>
        <w:rPr>
          <w:rFonts w:ascii="Calibri" w:hAnsi="Calibri"/>
          <w:i/>
          <w:color w:val="4472C4"/>
          <w:spacing w:val="27"/>
          <w:sz w:val="20"/>
          <w:u w:val="single" w:color="4472C4"/>
        </w:rPr>
        <w:t> </w:t>
      </w:r>
      <w:r>
        <w:rPr>
          <w:rFonts w:ascii="Calibri" w:hAnsi="Calibri"/>
          <w:i/>
          <w:color w:val="4472C4"/>
          <w:sz w:val="20"/>
          <w:u w:val="single" w:color="4472C4"/>
        </w:rPr>
        <w:t>para</w:t>
      </w:r>
      <w:r>
        <w:rPr>
          <w:rFonts w:ascii="Calibri" w:hAnsi="Calibri"/>
          <w:i/>
          <w:color w:val="4472C4"/>
          <w:spacing w:val="34"/>
          <w:sz w:val="20"/>
          <w:u w:val="single" w:color="4472C4"/>
        </w:rPr>
        <w:t> </w:t>
      </w:r>
      <w:r>
        <w:rPr>
          <w:rFonts w:ascii="Calibri" w:hAnsi="Calibri"/>
          <w:i/>
          <w:color w:val="4472C4"/>
          <w:sz w:val="20"/>
          <w:u w:val="single" w:color="4472C4"/>
        </w:rPr>
        <w:t>la</w:t>
      </w:r>
      <w:r>
        <w:rPr>
          <w:rFonts w:ascii="Calibri" w:hAnsi="Calibri"/>
          <w:i/>
          <w:color w:val="4472C4"/>
          <w:spacing w:val="30"/>
          <w:sz w:val="20"/>
          <w:u w:val="single" w:color="4472C4"/>
        </w:rPr>
        <w:t> </w:t>
      </w:r>
      <w:r>
        <w:rPr>
          <w:rFonts w:ascii="Calibri" w:hAnsi="Calibri"/>
          <w:i/>
          <w:color w:val="4472C4"/>
          <w:sz w:val="20"/>
          <w:u w:val="single" w:color="4472C4"/>
        </w:rPr>
        <w:t>adquisición</w:t>
      </w:r>
      <w:r>
        <w:rPr>
          <w:rFonts w:ascii="Calibri" w:hAnsi="Calibri"/>
          <w:i/>
          <w:color w:val="4472C4"/>
          <w:spacing w:val="34"/>
          <w:sz w:val="20"/>
          <w:u w:val="single" w:color="4472C4"/>
        </w:rPr>
        <w:t> </w:t>
      </w:r>
      <w:r>
        <w:rPr>
          <w:rFonts w:ascii="Calibri" w:hAnsi="Calibri"/>
          <w:i/>
          <w:color w:val="4472C4"/>
          <w:sz w:val="20"/>
          <w:u w:val="single" w:color="4472C4"/>
        </w:rPr>
        <w:t>de</w:t>
      </w:r>
      <w:r>
        <w:rPr>
          <w:rFonts w:ascii="Calibri" w:hAnsi="Calibri"/>
          <w:i/>
          <w:color w:val="4472C4"/>
          <w:sz w:val="20"/>
          <w:u w:val="none"/>
        </w:rPr>
        <w:t> </w:t>
      </w:r>
      <w:r>
        <w:rPr>
          <w:rFonts w:ascii="Calibri" w:hAnsi="Calibri"/>
          <w:i/>
          <w:color w:val="4472C4"/>
          <w:sz w:val="20"/>
          <w:u w:val="single" w:color="4472C4"/>
        </w:rPr>
        <w:t>diez autobuses. En las actas de recepción provisional de los vehículos, de diciembre de</w:t>
      </w:r>
      <w:r>
        <w:rPr>
          <w:rFonts w:ascii="Calibri" w:hAnsi="Calibri"/>
          <w:i/>
          <w:color w:val="4472C4"/>
          <w:sz w:val="20"/>
          <w:u w:val="none"/>
        </w:rPr>
        <w:t> </w:t>
      </w:r>
      <w:r>
        <w:rPr>
          <w:rFonts w:ascii="Calibri" w:hAnsi="Calibri"/>
          <w:i/>
          <w:color w:val="4472C4"/>
          <w:sz w:val="20"/>
          <w:u w:val="single" w:color="4472C4"/>
        </w:rPr>
        <w:t>2023, se hizo constar que el 31</w:t>
      </w:r>
      <w:r>
        <w:rPr>
          <w:rFonts w:ascii="Calibri" w:hAnsi="Calibri"/>
          <w:i/>
          <w:color w:val="4472C4"/>
          <w:spacing w:val="-1"/>
          <w:sz w:val="20"/>
          <w:u w:val="single" w:color="4472C4"/>
        </w:rPr>
        <w:t> </w:t>
      </w:r>
      <w:r>
        <w:rPr>
          <w:rFonts w:ascii="Calibri" w:hAnsi="Calibri"/>
          <w:i/>
          <w:color w:val="4472C4"/>
          <w:sz w:val="20"/>
          <w:u w:val="single" w:color="4472C4"/>
        </w:rPr>
        <w:t>de julio de ese año se había hecho entrega de estos, lo que</w:t>
      </w:r>
      <w:r>
        <w:rPr>
          <w:rFonts w:ascii="Calibri" w:hAnsi="Calibri"/>
          <w:i/>
          <w:color w:val="4472C4"/>
          <w:sz w:val="20"/>
          <w:u w:val="none"/>
        </w:rPr>
        <w:t> </w:t>
      </w:r>
      <w:r>
        <w:rPr>
          <w:rFonts w:ascii="Calibri" w:hAnsi="Calibri"/>
          <w:i/>
          <w:color w:val="4472C4"/>
          <w:sz w:val="20"/>
          <w:u w:val="single" w:color="4472C4"/>
        </w:rPr>
        <w:t>pone de manifiesto que la prórroga se acordó el mismo día de entrega de los vehículos.”</w:t>
      </w:r>
    </w:p>
    <w:p>
      <w:pPr>
        <w:pStyle w:val="BodyText"/>
        <w:rPr>
          <w:rFonts w:ascii="Calibri"/>
          <w:i/>
          <w:sz w:val="20"/>
        </w:rPr>
      </w:pPr>
    </w:p>
    <w:p>
      <w:pPr>
        <w:pStyle w:val="BodyText"/>
        <w:spacing w:before="61"/>
        <w:rPr>
          <w:rFonts w:ascii="Calibri"/>
          <w:i/>
          <w:sz w:val="20"/>
        </w:rPr>
      </w:pPr>
    </w:p>
    <w:p>
      <w:pPr>
        <w:spacing w:line="256" w:lineRule="auto" w:before="0"/>
        <w:ind w:left="1925" w:right="2016" w:firstLine="0"/>
        <w:jc w:val="both"/>
        <w:rPr>
          <w:rFonts w:ascii="Calibri" w:hAnsi="Calibri"/>
          <w:sz w:val="20"/>
        </w:rPr>
      </w:pPr>
      <w:r>
        <w:rPr>
          <w:rFonts w:ascii="Calibri" w:hAnsi="Calibri"/>
          <w:sz w:val="20"/>
        </w:rPr>
        <w:t>En relación con la observación formulada respecto del expediente 016/2021, se ha de aclarar que, con carácter previo al acuerdo de prórroga formalizado el 31 de julio de 2023, el órgano de</w:t>
      </w:r>
      <w:r>
        <w:rPr>
          <w:rFonts w:ascii="Calibri" w:hAnsi="Calibri"/>
          <w:spacing w:val="-5"/>
          <w:sz w:val="20"/>
        </w:rPr>
        <w:t> </w:t>
      </w:r>
      <w:r>
        <w:rPr>
          <w:rFonts w:ascii="Calibri" w:hAnsi="Calibri"/>
          <w:sz w:val="20"/>
        </w:rPr>
        <w:t>contratación</w:t>
      </w:r>
      <w:r>
        <w:rPr>
          <w:rFonts w:ascii="Calibri" w:hAnsi="Calibri"/>
          <w:spacing w:val="-7"/>
          <w:sz w:val="20"/>
        </w:rPr>
        <w:t> </w:t>
      </w:r>
      <w:r>
        <w:rPr>
          <w:rFonts w:ascii="Calibri" w:hAnsi="Calibri"/>
          <w:sz w:val="20"/>
        </w:rPr>
        <w:t>remitió</w:t>
      </w:r>
      <w:r>
        <w:rPr>
          <w:rFonts w:ascii="Calibri" w:hAnsi="Calibri"/>
          <w:spacing w:val="-8"/>
          <w:sz w:val="20"/>
        </w:rPr>
        <w:t> </w:t>
      </w:r>
      <w:r>
        <w:rPr>
          <w:rFonts w:ascii="Calibri" w:hAnsi="Calibri"/>
          <w:sz w:val="20"/>
        </w:rPr>
        <w:t>al</w:t>
      </w:r>
      <w:r>
        <w:rPr>
          <w:rFonts w:ascii="Calibri" w:hAnsi="Calibri"/>
          <w:spacing w:val="-11"/>
          <w:sz w:val="20"/>
        </w:rPr>
        <w:t> </w:t>
      </w:r>
      <w:r>
        <w:rPr>
          <w:rFonts w:ascii="Calibri" w:hAnsi="Calibri"/>
          <w:sz w:val="20"/>
        </w:rPr>
        <w:t>contratista</w:t>
      </w:r>
      <w:r>
        <w:rPr>
          <w:rFonts w:ascii="Calibri" w:hAnsi="Calibri"/>
          <w:spacing w:val="-8"/>
          <w:sz w:val="20"/>
        </w:rPr>
        <w:t> </w:t>
      </w:r>
      <w:r>
        <w:rPr>
          <w:rFonts w:ascii="Calibri" w:hAnsi="Calibri"/>
          <w:sz w:val="20"/>
        </w:rPr>
        <w:t>una</w:t>
      </w:r>
      <w:r>
        <w:rPr>
          <w:rFonts w:ascii="Calibri" w:hAnsi="Calibri"/>
          <w:spacing w:val="-8"/>
          <w:sz w:val="20"/>
        </w:rPr>
        <w:t> </w:t>
      </w:r>
      <w:r>
        <w:rPr>
          <w:rFonts w:ascii="Calibri" w:hAnsi="Calibri"/>
          <w:sz w:val="20"/>
        </w:rPr>
        <w:t>comunicación</w:t>
      </w:r>
      <w:r>
        <w:rPr>
          <w:rFonts w:ascii="Calibri" w:hAnsi="Calibri"/>
          <w:spacing w:val="-10"/>
          <w:sz w:val="20"/>
        </w:rPr>
        <w:t> </w:t>
      </w:r>
      <w:r>
        <w:rPr>
          <w:rFonts w:ascii="Calibri" w:hAnsi="Calibri"/>
          <w:sz w:val="20"/>
        </w:rPr>
        <w:t>expresa</w:t>
      </w:r>
      <w:r>
        <w:rPr>
          <w:rFonts w:ascii="Calibri" w:hAnsi="Calibri"/>
          <w:spacing w:val="-9"/>
          <w:sz w:val="20"/>
        </w:rPr>
        <w:t> </w:t>
      </w:r>
      <w:r>
        <w:rPr>
          <w:rFonts w:ascii="Calibri" w:hAnsi="Calibri"/>
          <w:sz w:val="20"/>
        </w:rPr>
        <w:t>informando</w:t>
      </w:r>
      <w:r>
        <w:rPr>
          <w:rFonts w:ascii="Calibri" w:hAnsi="Calibri"/>
          <w:spacing w:val="-7"/>
          <w:sz w:val="20"/>
        </w:rPr>
        <w:t> </w:t>
      </w:r>
      <w:r>
        <w:rPr>
          <w:rFonts w:ascii="Calibri" w:hAnsi="Calibri"/>
          <w:sz w:val="20"/>
        </w:rPr>
        <w:t>de</w:t>
      </w:r>
      <w:r>
        <w:rPr>
          <w:rFonts w:ascii="Calibri" w:hAnsi="Calibri"/>
          <w:spacing w:val="-7"/>
          <w:sz w:val="20"/>
        </w:rPr>
        <w:t> </w:t>
      </w:r>
      <w:r>
        <w:rPr>
          <w:rFonts w:ascii="Calibri" w:hAnsi="Calibri"/>
          <w:sz w:val="20"/>
        </w:rPr>
        <w:t>la</w:t>
      </w:r>
      <w:r>
        <w:rPr>
          <w:rFonts w:ascii="Calibri" w:hAnsi="Calibri"/>
          <w:spacing w:val="-8"/>
          <w:sz w:val="20"/>
        </w:rPr>
        <w:t> </w:t>
      </w:r>
      <w:r>
        <w:rPr>
          <w:rFonts w:ascii="Calibri" w:hAnsi="Calibri"/>
          <w:sz w:val="20"/>
        </w:rPr>
        <w:t>intención</w:t>
      </w:r>
      <w:r>
        <w:rPr>
          <w:rFonts w:ascii="Calibri" w:hAnsi="Calibri"/>
          <w:spacing w:val="-6"/>
          <w:sz w:val="20"/>
        </w:rPr>
        <w:t> </w:t>
      </w:r>
      <w:r>
        <w:rPr>
          <w:rFonts w:ascii="Calibri" w:hAnsi="Calibri"/>
          <w:sz w:val="20"/>
        </w:rPr>
        <w:t>de prorrogar el contrato de suministro, de conformidad con lo previsto en el artículo 29</w:t>
      </w:r>
      <w:r>
        <w:rPr>
          <w:rFonts w:ascii="Calibri" w:hAnsi="Calibri"/>
          <w:spacing w:val="-1"/>
          <w:sz w:val="20"/>
        </w:rPr>
        <w:t> </w:t>
      </w:r>
      <w:r>
        <w:rPr>
          <w:rFonts w:ascii="Calibri" w:hAnsi="Calibri"/>
          <w:sz w:val="20"/>
        </w:rPr>
        <w:t>de la Ley 9/2017, de Contratos del Sector Público (LCSP).</w:t>
      </w:r>
    </w:p>
    <w:p>
      <w:pPr>
        <w:spacing w:line="256" w:lineRule="auto" w:before="148"/>
        <w:ind w:left="1925" w:right="2026" w:firstLine="0"/>
        <w:jc w:val="both"/>
        <w:rPr>
          <w:rFonts w:ascii="Calibri" w:hAnsi="Calibri"/>
          <w:sz w:val="20"/>
        </w:rPr>
      </w:pPr>
      <w:r>
        <w:rPr>
          <w:rFonts w:ascii="Calibri" w:hAnsi="Calibri"/>
          <w:sz w:val="20"/>
        </w:rPr>
        <w:t>Dicha comunicación, que acredita el cumplimiento del preaviso legalmente exigido, se aporta bajo la denominación “</w:t>
      </w:r>
      <w:r>
        <w:rPr>
          <w:rFonts w:ascii="Calibri" w:hAnsi="Calibri"/>
          <w:i/>
          <w:sz w:val="20"/>
        </w:rPr>
        <w:t>Comunicación primera prórroga 016-2021</w:t>
      </w:r>
      <w:r>
        <w:rPr>
          <w:rFonts w:ascii="Calibri" w:hAnsi="Calibri"/>
          <w:sz w:val="20"/>
        </w:rPr>
        <w:t>”.</w:t>
      </w:r>
    </w:p>
    <w:p>
      <w:pPr>
        <w:spacing w:line="256" w:lineRule="auto" w:before="145"/>
        <w:ind w:left="1925" w:right="2025" w:firstLine="0"/>
        <w:jc w:val="both"/>
        <w:rPr>
          <w:rFonts w:ascii="Calibri" w:hAnsi="Calibri"/>
          <w:sz w:val="20"/>
        </w:rPr>
      </w:pPr>
      <w:r>
        <w:rPr>
          <w:rFonts w:ascii="Calibri" w:hAnsi="Calibri"/>
          <w:sz w:val="20"/>
        </w:rPr>
        <w:t>En contratos de esta naturaleza y magnitud, y por razones de garantía, la formalización de la prórroga</w:t>
      </w:r>
      <w:r>
        <w:rPr>
          <w:rFonts w:ascii="Calibri" w:hAnsi="Calibri"/>
          <w:spacing w:val="-3"/>
          <w:sz w:val="20"/>
        </w:rPr>
        <w:t> </w:t>
      </w:r>
      <w:r>
        <w:rPr>
          <w:rFonts w:ascii="Calibri" w:hAnsi="Calibri"/>
          <w:sz w:val="20"/>
        </w:rPr>
        <w:t>se</w:t>
      </w:r>
      <w:r>
        <w:rPr>
          <w:rFonts w:ascii="Calibri" w:hAnsi="Calibri"/>
          <w:spacing w:val="-5"/>
          <w:sz w:val="20"/>
        </w:rPr>
        <w:t> </w:t>
      </w:r>
      <w:r>
        <w:rPr>
          <w:rFonts w:ascii="Calibri" w:hAnsi="Calibri"/>
          <w:sz w:val="20"/>
        </w:rPr>
        <w:t>realiza</w:t>
      </w:r>
      <w:r>
        <w:rPr>
          <w:rFonts w:ascii="Calibri" w:hAnsi="Calibri"/>
          <w:spacing w:val="-3"/>
          <w:sz w:val="20"/>
        </w:rPr>
        <w:t> </w:t>
      </w:r>
      <w:r>
        <w:rPr>
          <w:rFonts w:ascii="Calibri" w:hAnsi="Calibri"/>
          <w:sz w:val="20"/>
        </w:rPr>
        <w:t>cuando</w:t>
      </w:r>
      <w:r>
        <w:rPr>
          <w:rFonts w:ascii="Calibri" w:hAnsi="Calibri"/>
          <w:spacing w:val="-6"/>
          <w:sz w:val="20"/>
        </w:rPr>
        <w:t> </w:t>
      </w:r>
      <w:r>
        <w:rPr>
          <w:rFonts w:ascii="Calibri" w:hAnsi="Calibri"/>
          <w:sz w:val="20"/>
        </w:rPr>
        <w:t>se</w:t>
      </w:r>
      <w:r>
        <w:rPr>
          <w:rFonts w:ascii="Calibri" w:hAnsi="Calibri"/>
          <w:spacing w:val="-3"/>
          <w:sz w:val="20"/>
        </w:rPr>
        <w:t> </w:t>
      </w:r>
      <w:r>
        <w:rPr>
          <w:rFonts w:ascii="Calibri" w:hAnsi="Calibri"/>
          <w:sz w:val="20"/>
        </w:rPr>
        <w:t>va</w:t>
      </w:r>
      <w:r>
        <w:rPr>
          <w:rFonts w:ascii="Calibri" w:hAnsi="Calibri"/>
          <w:spacing w:val="-3"/>
          <w:sz w:val="20"/>
        </w:rPr>
        <w:t> </w:t>
      </w:r>
      <w:r>
        <w:rPr>
          <w:rFonts w:ascii="Calibri" w:hAnsi="Calibri"/>
          <w:sz w:val="20"/>
        </w:rPr>
        <w:t>a</w:t>
      </w:r>
      <w:r>
        <w:rPr>
          <w:rFonts w:ascii="Calibri" w:hAnsi="Calibri"/>
          <w:spacing w:val="-9"/>
          <w:sz w:val="20"/>
        </w:rPr>
        <w:t> </w:t>
      </w:r>
      <w:r>
        <w:rPr>
          <w:rFonts w:ascii="Calibri" w:hAnsi="Calibri"/>
          <w:sz w:val="20"/>
        </w:rPr>
        <w:t>materializar</w:t>
      </w:r>
      <w:r>
        <w:rPr>
          <w:rFonts w:ascii="Calibri" w:hAnsi="Calibri"/>
          <w:spacing w:val="-1"/>
          <w:sz w:val="20"/>
        </w:rPr>
        <w:t> </w:t>
      </w:r>
      <w:r>
        <w:rPr>
          <w:rFonts w:ascii="Calibri" w:hAnsi="Calibri"/>
          <w:sz w:val="20"/>
        </w:rPr>
        <w:t>la</w:t>
      </w:r>
      <w:r>
        <w:rPr>
          <w:rFonts w:ascii="Calibri" w:hAnsi="Calibri"/>
          <w:spacing w:val="-7"/>
          <w:sz w:val="20"/>
        </w:rPr>
        <w:t> </w:t>
      </w:r>
      <w:r>
        <w:rPr>
          <w:rFonts w:ascii="Calibri" w:hAnsi="Calibri"/>
          <w:sz w:val="20"/>
        </w:rPr>
        <w:t>entrega</w:t>
      </w:r>
      <w:r>
        <w:rPr>
          <w:rFonts w:ascii="Calibri" w:hAnsi="Calibri"/>
          <w:spacing w:val="-3"/>
          <w:sz w:val="20"/>
        </w:rPr>
        <w:t> </w:t>
      </w:r>
      <w:r>
        <w:rPr>
          <w:rFonts w:ascii="Calibri" w:hAnsi="Calibri"/>
          <w:sz w:val="20"/>
        </w:rPr>
        <w:t>de</w:t>
      </w:r>
      <w:r>
        <w:rPr>
          <w:rFonts w:ascii="Calibri" w:hAnsi="Calibri"/>
          <w:spacing w:val="-2"/>
          <w:sz w:val="20"/>
        </w:rPr>
        <w:t> </w:t>
      </w:r>
      <w:r>
        <w:rPr>
          <w:rFonts w:ascii="Calibri" w:hAnsi="Calibri"/>
          <w:sz w:val="20"/>
        </w:rPr>
        <w:t>los</w:t>
      </w:r>
      <w:r>
        <w:rPr>
          <w:rFonts w:ascii="Calibri" w:hAnsi="Calibri"/>
          <w:spacing w:val="-3"/>
          <w:sz w:val="20"/>
        </w:rPr>
        <w:t> </w:t>
      </w:r>
      <w:r>
        <w:rPr>
          <w:rFonts w:ascii="Calibri" w:hAnsi="Calibri"/>
          <w:sz w:val="20"/>
        </w:rPr>
        <w:t>suministros, sin</w:t>
      </w:r>
      <w:r>
        <w:rPr>
          <w:rFonts w:ascii="Calibri" w:hAnsi="Calibri"/>
          <w:spacing w:val="-7"/>
          <w:sz w:val="20"/>
        </w:rPr>
        <w:t> </w:t>
      </w:r>
      <w:r>
        <w:rPr>
          <w:rFonts w:ascii="Calibri" w:hAnsi="Calibri"/>
          <w:sz w:val="20"/>
        </w:rPr>
        <w:t>que ello</w:t>
      </w:r>
      <w:r>
        <w:rPr>
          <w:rFonts w:ascii="Calibri" w:hAnsi="Calibri"/>
          <w:spacing w:val="-3"/>
          <w:sz w:val="20"/>
        </w:rPr>
        <w:t> </w:t>
      </w:r>
      <w:r>
        <w:rPr>
          <w:rFonts w:ascii="Calibri" w:hAnsi="Calibri"/>
          <w:sz w:val="20"/>
        </w:rPr>
        <w:t>altere la validez ni la regularidad del procedimiento seguido.</w:t>
      </w:r>
    </w:p>
    <w:p>
      <w:pPr>
        <w:spacing w:line="256" w:lineRule="auto" w:before="145"/>
        <w:ind w:left="1925" w:right="2019" w:firstLine="0"/>
        <w:jc w:val="both"/>
        <w:rPr>
          <w:rFonts w:ascii="Calibri" w:hAnsi="Calibri"/>
          <w:sz w:val="20"/>
        </w:rPr>
      </w:pPr>
      <w:r>
        <w:rPr>
          <w:rFonts w:ascii="Calibri" w:hAnsi="Calibri"/>
          <w:sz w:val="20"/>
        </w:rPr>
        <w:t>En virtud de lo anterior, queda acreditado que la prórroga del expediente 016/2021 fue comunicada con la antelación debida, aportándose la citada comunicación para su valoración por ese Tribunal. No </w:t>
      </w:r>
      <w:r>
        <w:rPr>
          <w:rFonts w:ascii="Calibri" w:hAnsi="Calibri"/>
          <w:sz w:val="20"/>
          <w:u w:val="single"/>
        </w:rPr>
        <w:t>existe, por tanto, la incidencia señalada en el</w:t>
      </w:r>
      <w:r>
        <w:rPr>
          <w:rFonts w:ascii="Calibri" w:hAnsi="Calibri"/>
          <w:spacing w:val="-1"/>
          <w:sz w:val="20"/>
          <w:u w:val="single"/>
        </w:rPr>
        <w:t> </w:t>
      </w:r>
      <w:r>
        <w:rPr>
          <w:rFonts w:ascii="Calibri" w:hAnsi="Calibri"/>
          <w:sz w:val="20"/>
          <w:u w:val="single"/>
        </w:rPr>
        <w:t>anteproyecto,</w:t>
      </w:r>
      <w:r>
        <w:rPr>
          <w:rFonts w:ascii="Calibri" w:hAnsi="Calibri"/>
          <w:spacing w:val="-5"/>
          <w:sz w:val="20"/>
          <w:u w:val="single"/>
        </w:rPr>
        <w:t> </w:t>
      </w:r>
      <w:r>
        <w:rPr>
          <w:rFonts w:ascii="Calibri" w:hAnsi="Calibri"/>
          <w:sz w:val="20"/>
          <w:u w:val="single"/>
        </w:rPr>
        <w:t>solicitándose</w:t>
      </w:r>
      <w:r>
        <w:rPr>
          <w:rFonts w:ascii="Calibri" w:hAnsi="Calibri"/>
          <w:sz w:val="20"/>
          <w:u w:val="none"/>
        </w:rPr>
        <w:t> </w:t>
      </w:r>
      <w:r>
        <w:rPr>
          <w:rFonts w:ascii="Calibri" w:hAnsi="Calibri"/>
          <w:sz w:val="20"/>
          <w:u w:val="single"/>
        </w:rPr>
        <w:t>la supresión de dicha observación</w:t>
      </w:r>
      <w:r>
        <w:rPr>
          <w:rFonts w:ascii="Calibri" w:hAnsi="Calibri"/>
          <w:sz w:val="20"/>
          <w:u w:val="none"/>
        </w:rPr>
        <w: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9"/>
        <w:rPr>
          <w:rFonts w:ascii="Calibri"/>
          <w:sz w:val="20"/>
        </w:rPr>
      </w:pPr>
    </w:p>
    <w:p>
      <w:pPr>
        <w:pStyle w:val="ListParagraph"/>
        <w:numPr>
          <w:ilvl w:val="3"/>
          <w:numId w:val="13"/>
        </w:numPr>
        <w:tabs>
          <w:tab w:pos="2911" w:val="left" w:leader="none"/>
        </w:tabs>
        <w:spacing w:line="240" w:lineRule="auto" w:before="0" w:after="0"/>
        <w:ind w:left="2911" w:right="0" w:hanging="660"/>
        <w:jc w:val="left"/>
        <w:rPr>
          <w:rFonts w:ascii="Calibri" w:hAnsi="Calibri"/>
          <w:sz w:val="20"/>
        </w:rPr>
      </w:pPr>
      <w:r>
        <w:rPr>
          <w:rFonts w:ascii="Calibri" w:hAnsi="Calibri"/>
          <w:sz w:val="20"/>
        </w:rPr>
        <w:t>OBRAS</w:t>
      </w:r>
      <w:r>
        <w:rPr>
          <w:rFonts w:ascii="Calibri" w:hAnsi="Calibri"/>
          <w:spacing w:val="4"/>
          <w:sz w:val="20"/>
        </w:rPr>
        <w:t> </w:t>
      </w:r>
      <w:r>
        <w:rPr>
          <w:rFonts w:ascii="Calibri" w:hAnsi="Calibri"/>
          <w:sz w:val="20"/>
        </w:rPr>
        <w:t>Y</w:t>
      </w:r>
      <w:r>
        <w:rPr>
          <w:rFonts w:ascii="Calibri" w:hAnsi="Calibri"/>
          <w:spacing w:val="3"/>
          <w:sz w:val="20"/>
        </w:rPr>
        <w:t> </w:t>
      </w:r>
      <w:r>
        <w:rPr>
          <w:rFonts w:ascii="Calibri" w:hAnsi="Calibri"/>
          <w:sz w:val="20"/>
        </w:rPr>
        <w:t>ESTRUCTURAS</w:t>
      </w:r>
      <w:r>
        <w:rPr>
          <w:rFonts w:ascii="Calibri" w:hAnsi="Calibri"/>
          <w:spacing w:val="4"/>
          <w:sz w:val="20"/>
        </w:rPr>
        <w:t> </w:t>
      </w:r>
      <w:r>
        <w:rPr>
          <w:rFonts w:ascii="Calibri" w:hAnsi="Calibri"/>
          <w:sz w:val="20"/>
        </w:rPr>
        <w:t>EN VÍA</w:t>
      </w:r>
      <w:r>
        <w:rPr>
          <w:rFonts w:ascii="Calibri" w:hAnsi="Calibri"/>
          <w:spacing w:val="5"/>
          <w:sz w:val="20"/>
        </w:rPr>
        <w:t> </w:t>
      </w:r>
      <w:r>
        <w:rPr>
          <w:rFonts w:ascii="Calibri" w:hAnsi="Calibri"/>
          <w:spacing w:val="-2"/>
          <w:sz w:val="20"/>
        </w:rPr>
        <w:t>PÚBLICA</w:t>
      </w:r>
    </w:p>
    <w:p>
      <w:pPr>
        <w:pStyle w:val="ListParagraph"/>
        <w:numPr>
          <w:ilvl w:val="4"/>
          <w:numId w:val="13"/>
        </w:numPr>
        <w:tabs>
          <w:tab w:pos="2251" w:val="left" w:leader="none"/>
        </w:tabs>
        <w:spacing w:line="256" w:lineRule="auto" w:before="162" w:after="0"/>
        <w:ind w:left="2251" w:right="2023" w:hanging="327"/>
        <w:jc w:val="left"/>
        <w:rPr>
          <w:rFonts w:ascii="Calibri" w:hAnsi="Calibri"/>
          <w:color w:val="4472C4"/>
          <w:sz w:val="20"/>
        </w:rPr>
      </w:pPr>
      <w:r>
        <w:rPr>
          <w:rFonts w:ascii="Calibri" w:hAnsi="Calibri"/>
          <w:i/>
          <w:color w:val="4472C4"/>
          <w:sz w:val="20"/>
        </w:rPr>
        <w:t>En la pág. 60 se dice lo siguiente: </w:t>
      </w:r>
      <w:r>
        <w:rPr>
          <w:rFonts w:ascii="Calibri" w:hAnsi="Calibri"/>
          <w:i/>
          <w:color w:val="4472C4"/>
          <w:sz w:val="20"/>
          <w:u w:val="single" w:color="4472C4"/>
        </w:rPr>
        <w:t>“En uno de los expedientes, el de obras de priorización</w:t>
      </w:r>
      <w:r>
        <w:rPr>
          <w:rFonts w:ascii="Calibri" w:hAnsi="Calibri"/>
          <w:i/>
          <w:color w:val="4472C4"/>
          <w:spacing w:val="40"/>
          <w:sz w:val="20"/>
          <w:u w:val="none"/>
        </w:rPr>
        <w:t> </w:t>
      </w:r>
      <w:r>
        <w:rPr>
          <w:rFonts w:ascii="Calibri" w:hAnsi="Calibri"/>
          <w:i/>
          <w:color w:val="4472C4"/>
          <w:sz w:val="20"/>
          <w:u w:val="single" w:color="4472C4"/>
        </w:rPr>
        <w:t>del viario −con un plazo de ejecución de cuatro meses−, se demoraron cerca de seis meses</w:t>
      </w:r>
    </w:p>
    <w:p>
      <w:pPr>
        <w:pStyle w:val="BodyText"/>
        <w:rPr>
          <w:rFonts w:ascii="Calibri"/>
          <w:i/>
          <w:sz w:val="20"/>
        </w:rPr>
      </w:pPr>
    </w:p>
    <w:p>
      <w:pPr>
        <w:pStyle w:val="BodyText"/>
        <w:spacing w:before="5"/>
        <w:rPr>
          <w:rFonts w:ascii="Calibri"/>
          <w: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996" name="Group 996"/>
                <wp:cNvGraphicFramePr>
                  <a:graphicFrameLocks/>
                </wp:cNvGraphicFramePr>
                <a:graphic>
                  <a:graphicData uri="http://schemas.microsoft.com/office/word/2010/wordprocessingGroup">
                    <wpg:wgp>
                      <wpg:cNvPr id="996" name="Group 996"/>
                      <wpg:cNvGrpSpPr/>
                      <wpg:grpSpPr>
                        <a:xfrm>
                          <a:off x="0" y="0"/>
                          <a:ext cx="1870075" cy="6350"/>
                          <a:chExt cx="1870075" cy="6350"/>
                        </a:xfrm>
                      </wpg:grpSpPr>
                      <wps:wsp>
                        <wps:cNvPr id="997" name="Graphic 997"/>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759" coordorigin="0,0" coordsize="2945,10">
                <v:rect style="position:absolute;left:0;top:0;width:2945;height:10" id="docshape760"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998" name="Group 998"/>
                <wp:cNvGraphicFramePr>
                  <a:graphicFrameLocks/>
                </wp:cNvGraphicFramePr>
                <a:graphic>
                  <a:graphicData uri="http://schemas.microsoft.com/office/word/2010/wordprocessingGroup">
                    <wpg:wgp>
                      <wpg:cNvPr id="998" name="Group 998"/>
                      <wpg:cNvGrpSpPr/>
                      <wpg:grpSpPr>
                        <a:xfrm>
                          <a:off x="0" y="0"/>
                          <a:ext cx="841375" cy="6350"/>
                          <a:chExt cx="841375" cy="6350"/>
                        </a:xfrm>
                      </wpg:grpSpPr>
                      <wps:wsp>
                        <wps:cNvPr id="999" name="Graphic 999"/>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761" coordorigin="0,0" coordsize="1325,10">
                <v:rect style="position:absolute;left:0;top:0;width:1325;height:10" id="docshape762"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30"/>
          <w:headerReference w:type="even" r:id="rId231"/>
          <w:footerReference w:type="default" r:id="rId232"/>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77728">
                <wp:simplePos x="0" y="0"/>
                <wp:positionH relativeFrom="page">
                  <wp:posOffset>4332186</wp:posOffset>
                </wp:positionH>
                <wp:positionV relativeFrom="paragraph">
                  <wp:posOffset>1412477</wp:posOffset>
                </wp:positionV>
                <wp:extent cx="53340" cy="100330"/>
                <wp:effectExtent l="0" t="0" r="0" b="0"/>
                <wp:wrapNone/>
                <wp:docPr id="1000" name="Textbox 1000"/>
                <wp:cNvGraphicFramePr>
                  <a:graphicFrameLocks/>
                </wp:cNvGraphicFramePr>
                <a:graphic>
                  <a:graphicData uri="http://schemas.microsoft.com/office/word/2010/wordprocessingShape">
                    <wps:wsp>
                      <wps:cNvPr id="1000" name="Textbox 1000"/>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38752" type="#_x0000_t202" id="docshape763"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00"/>
        <w:gridCol w:w="2124"/>
        <w:gridCol w:w="943"/>
        <w:gridCol w:w="541"/>
        <w:gridCol w:w="1022"/>
        <w:gridCol w:w="817"/>
        <w:gridCol w:w="1247"/>
        <w:gridCol w:w="101"/>
        <w:gridCol w:w="1030"/>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00" w:type="dxa"/>
            <w:tcBorders>
              <w:left w:val="single" w:sz="6" w:space="0" w:color="000000"/>
              <w:bottom w:val="single" w:sz="6" w:space="0" w:color="000000"/>
              <w:right w:val="nil"/>
            </w:tcBorders>
          </w:tcPr>
          <w:p>
            <w:pPr>
              <w:pStyle w:val="TableParagraph"/>
              <w:rPr>
                <w:rFonts w:ascii="Times New Roman"/>
                <w:sz w:val="14"/>
              </w:rPr>
            </w:pPr>
          </w:p>
        </w:tc>
        <w:tc>
          <w:tcPr>
            <w:tcW w:w="2124" w:type="dxa"/>
            <w:tcBorders>
              <w:top w:val="nil"/>
              <w:left w:val="nil"/>
              <w:bottom w:val="single" w:sz="6" w:space="0" w:color="000000"/>
              <w:right w:val="nil"/>
            </w:tcBorders>
            <w:shd w:val="clear" w:color="auto" w:fill="000000"/>
          </w:tcPr>
          <w:p>
            <w:pPr>
              <w:pStyle w:val="TableParagraph"/>
              <w:rPr>
                <w:rFonts w:ascii="Times New Roman"/>
                <w:sz w:val="14"/>
              </w:rPr>
            </w:pPr>
          </w:p>
        </w:tc>
        <w:tc>
          <w:tcPr>
            <w:tcW w:w="1484"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1001" name="Image 1001"/>
                  <wp:cNvGraphicFramePr>
                    <a:graphicFrameLocks/>
                  </wp:cNvGraphicFramePr>
                  <a:graphic>
                    <a:graphicData uri="http://schemas.openxmlformats.org/drawingml/2006/picture">
                      <pic:pic>
                        <pic:nvPicPr>
                          <pic:cNvPr id="1001" name="Image 100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1002" name="Image 1002"/>
                  <wp:cNvGraphicFramePr>
                    <a:graphicFrameLocks/>
                  </wp:cNvGraphicFramePr>
                  <a:graphic>
                    <a:graphicData uri="http://schemas.openxmlformats.org/drawingml/2006/picture">
                      <pic:pic>
                        <pic:nvPicPr>
                          <pic:cNvPr id="1002" name="Image 100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01" w:type="dxa"/>
            <w:vMerge w:val="restart"/>
            <w:tcBorders>
              <w:top w:val="nil"/>
              <w:bottom w:val="nil"/>
              <w:right w:val="nil"/>
            </w:tcBorders>
          </w:tcPr>
          <w:p>
            <w:pPr>
              <w:pStyle w:val="TableParagraph"/>
              <w:rPr>
                <w:rFonts w:ascii="Times New Roman"/>
                <w:sz w:val="18"/>
              </w:rPr>
            </w:pPr>
          </w:p>
        </w:tc>
        <w:tc>
          <w:tcPr>
            <w:tcW w:w="1030" w:type="dxa"/>
            <w:vMerge w:val="restart"/>
            <w:tcBorders>
              <w:top w:val="nil"/>
              <w:left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378240">
                      <wp:simplePos x="0" y="0"/>
                      <wp:positionH relativeFrom="column">
                        <wp:posOffset>-1298447</wp:posOffset>
                      </wp:positionH>
                      <wp:positionV relativeFrom="paragraph">
                        <wp:posOffset>-144895</wp:posOffset>
                      </wp:positionV>
                      <wp:extent cx="1298575" cy="417830"/>
                      <wp:effectExtent l="0" t="0" r="0" b="0"/>
                      <wp:wrapNone/>
                      <wp:docPr id="1003" name="Group 1003"/>
                      <wp:cNvGraphicFramePr>
                        <a:graphicFrameLocks/>
                      </wp:cNvGraphicFramePr>
                      <a:graphic>
                        <a:graphicData uri="http://schemas.microsoft.com/office/word/2010/wordprocessingGroup">
                          <wpg:wgp>
                            <wpg:cNvPr id="1003" name="Group 1003"/>
                            <wpg:cNvGrpSpPr/>
                            <wpg:grpSpPr>
                              <a:xfrm>
                                <a:off x="0" y="0"/>
                                <a:ext cx="1298575" cy="417830"/>
                                <a:chExt cx="1298575" cy="417830"/>
                              </a:xfrm>
                            </wpg:grpSpPr>
                            <wps:wsp>
                              <wps:cNvPr id="1004" name="Graphic 1004"/>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005" name="Image 1005"/>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38240" id="docshapegroup764" coordorigin="-2045,-228" coordsize="2045,658">
                      <v:shape style="position:absolute;left:-2045;top:-229;width:2045;height:658" id="docshape765" coordorigin="-2045,-228" coordsize="2045,658" path="m0,-228l-2045,-228,-2045,-10,-2045,-7,-2045,429,0,429,0,-7,0,-10,0,-228xe" filled="true" fillcolor="#cccccc" stroked="false">
                        <v:path arrowok="t"/>
                        <v:fill type="solid"/>
                      </v:shape>
                      <v:shape style="position:absolute;left:-1973;top:-154;width:1896;height:327" type="#_x0000_t75" id="docshape766"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01" w:type="dxa"/>
            <w:vMerge/>
            <w:tcBorders>
              <w:top w:val="nil"/>
              <w:bottom w:val="nil"/>
              <w:right w:val="nil"/>
            </w:tcBorders>
          </w:tcPr>
          <w:p>
            <w:pPr>
              <w:rPr>
                <w:sz w:val="2"/>
                <w:szCs w:val="2"/>
              </w:rPr>
            </w:pPr>
          </w:p>
        </w:tc>
        <w:tc>
          <w:tcPr>
            <w:tcW w:w="1030"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006" name="Image 1006"/>
                  <wp:cNvGraphicFramePr>
                    <a:graphicFrameLocks/>
                  </wp:cNvGraphicFramePr>
                  <a:graphic>
                    <a:graphicData uri="http://schemas.openxmlformats.org/drawingml/2006/picture">
                      <pic:pic>
                        <pic:nvPicPr>
                          <pic:cNvPr id="1006" name="Image 1006"/>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1007" name="Image 1007"/>
                  <wp:cNvGraphicFramePr>
                    <a:graphicFrameLocks/>
                  </wp:cNvGraphicFramePr>
                  <a:graphic>
                    <a:graphicData uri="http://schemas.openxmlformats.org/drawingml/2006/picture">
                      <pic:pic>
                        <pic:nvPicPr>
                          <pic:cNvPr id="1007" name="Image 1007"/>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4"/>
              <w:jc w:val="center"/>
              <w:rPr>
                <w:rFonts w:ascii="Arial"/>
                <w:sz w:val="14"/>
              </w:rPr>
            </w:pPr>
            <w:r>
              <w:rPr>
                <w:rFonts w:ascii="Arial"/>
                <w:sz w:val="14"/>
              </w:rPr>
              <mc:AlternateContent>
                <mc:Choice Requires="wps">
                  <w:drawing>
                    <wp:anchor distT="0" distB="0" distL="0" distR="0" allowOverlap="1" layoutInCell="1" locked="0" behindDoc="1" simplePos="0" relativeHeight="474378752">
                      <wp:simplePos x="0" y="0"/>
                      <wp:positionH relativeFrom="column">
                        <wp:posOffset>1320546</wp:posOffset>
                      </wp:positionH>
                      <wp:positionV relativeFrom="paragraph">
                        <wp:posOffset>-311719</wp:posOffset>
                      </wp:positionV>
                      <wp:extent cx="734695" cy="753110"/>
                      <wp:effectExtent l="0" t="0" r="0" b="0"/>
                      <wp:wrapNone/>
                      <wp:docPr id="1008" name="Group 1008"/>
                      <wp:cNvGraphicFramePr>
                        <a:graphicFrameLocks/>
                      </wp:cNvGraphicFramePr>
                      <a:graphic>
                        <a:graphicData uri="http://schemas.microsoft.com/office/word/2010/wordprocessingGroup">
                          <wpg:wgp>
                            <wpg:cNvPr id="1008" name="Group 1008"/>
                            <wpg:cNvGrpSpPr/>
                            <wpg:grpSpPr>
                              <a:xfrm>
                                <a:off x="0" y="0"/>
                                <a:ext cx="734695" cy="753110"/>
                                <a:chExt cx="734695" cy="753110"/>
                              </a:xfrm>
                            </wpg:grpSpPr>
                            <pic:pic>
                              <pic:nvPicPr>
                                <pic:cNvPr id="1009" name="Image 1009"/>
                                <pic:cNvPicPr/>
                              </pic:nvPicPr>
                              <pic:blipFill>
                                <a:blip r:embed="rId233" cstate="print"/>
                                <a:stretch>
                                  <a:fillRect/>
                                </a:stretch>
                              </pic:blipFill>
                              <pic:spPr>
                                <a:xfrm>
                                  <a:off x="0" y="0"/>
                                  <a:ext cx="734567" cy="752840"/>
                                </a:xfrm>
                                <a:prstGeom prst="rect">
                                  <a:avLst/>
                                </a:prstGeom>
                              </pic:spPr>
                            </pic:pic>
                            <wps:wsp>
                              <wps:cNvPr id="1010" name="Graphic 1010"/>
                              <wps:cNvSpPr/>
                              <wps:spPr>
                                <a:xfrm>
                                  <a:off x="55524" y="40167"/>
                                  <a:ext cx="654685" cy="659765"/>
                                </a:xfrm>
                                <a:custGeom>
                                  <a:avLst/>
                                  <a:gdLst/>
                                  <a:ahLst/>
                                  <a:cxnLst/>
                                  <a:rect l="l" t="t" r="r" b="b"/>
                                  <a:pathLst>
                                    <a:path w="654685" h="659765">
                                      <a:moveTo>
                                        <a:pt x="654557" y="0"/>
                                      </a:moveTo>
                                      <a:lnTo>
                                        <a:pt x="0" y="0"/>
                                      </a:lnTo>
                                      <a:lnTo>
                                        <a:pt x="0" y="659511"/>
                                      </a:lnTo>
                                      <a:lnTo>
                                        <a:pt x="654557" y="659511"/>
                                      </a:lnTo>
                                      <a:lnTo>
                                        <a:pt x="654557"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937728" id="docshapegroup767" coordorigin="2080,-491" coordsize="1157,1186">
                      <v:shape style="position:absolute;left:2079;top:-491;width:1157;height:1186" type="#_x0000_t75" id="docshape768" stroked="false">
                        <v:imagedata r:id="rId233" o:title=""/>
                      </v:shape>
                      <v:rect style="position:absolute;left:2167;top:-428;width:1031;height:1039" id="docshape769" filled="true" fillcolor="#000000" stroked="false">
                        <v:fill type="solid"/>
                      </v:rect>
                      <w10:wrap type="none"/>
                    </v:group>
                  </w:pict>
                </mc:Fallback>
              </mc:AlternateContent>
            </w:r>
            <w:r>
              <w:rPr>
                <w:rFonts w:ascii="Arial"/>
                <w:spacing w:val="-2"/>
                <w:sz w:val="14"/>
              </w:rPr>
              <w:t>11/40</w:t>
            </w:r>
          </w:p>
        </w:tc>
        <w:tc>
          <w:tcPr>
            <w:tcW w:w="101" w:type="dxa"/>
            <w:vMerge/>
            <w:tcBorders>
              <w:top w:val="nil"/>
              <w:bottom w:val="nil"/>
              <w:right w:val="nil"/>
            </w:tcBorders>
          </w:tcPr>
          <w:p>
            <w:pPr>
              <w:rPr>
                <w:sz w:val="2"/>
                <w:szCs w:val="2"/>
              </w:rPr>
            </w:pPr>
          </w:p>
        </w:tc>
        <w:tc>
          <w:tcPr>
            <w:tcW w:w="1030"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011" name="Image 1011"/>
                  <wp:cNvGraphicFramePr>
                    <a:graphicFrameLocks/>
                  </wp:cNvGraphicFramePr>
                  <a:graphic>
                    <a:graphicData uri="http://schemas.openxmlformats.org/drawingml/2006/picture">
                      <pic:pic>
                        <pic:nvPicPr>
                          <pic:cNvPr id="1011" name="Image 1011"/>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7"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01" w:type="dxa"/>
            <w:vMerge/>
            <w:tcBorders>
              <w:top w:val="nil"/>
              <w:bottom w:val="nil"/>
              <w:right w:val="nil"/>
            </w:tcBorders>
          </w:tcPr>
          <w:p>
            <w:pPr>
              <w:rPr>
                <w:sz w:val="2"/>
                <w:szCs w:val="2"/>
              </w:rPr>
            </w:pPr>
          </w:p>
        </w:tc>
        <w:tc>
          <w:tcPr>
            <w:tcW w:w="1030" w:type="dxa"/>
            <w:vMerge/>
            <w:tcBorders>
              <w:top w:val="nil"/>
              <w:left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012" name="Image 1012"/>
                  <wp:cNvGraphicFramePr>
                    <a:graphicFrameLocks/>
                  </wp:cNvGraphicFramePr>
                  <a:graphic>
                    <a:graphicData uri="http://schemas.openxmlformats.org/drawingml/2006/picture">
                      <pic:pic>
                        <pic:nvPicPr>
                          <pic:cNvPr id="1012" name="Image 1012"/>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01" w:type="dxa"/>
            <w:vMerge/>
            <w:tcBorders>
              <w:top w:val="nil"/>
              <w:bottom w:val="nil"/>
              <w:right w:val="nil"/>
            </w:tcBorders>
          </w:tcPr>
          <w:p>
            <w:pPr>
              <w:rPr>
                <w:sz w:val="2"/>
                <w:szCs w:val="2"/>
              </w:rPr>
            </w:pPr>
          </w:p>
        </w:tc>
        <w:tc>
          <w:tcPr>
            <w:tcW w:w="1030" w:type="dxa"/>
            <w:vMerge/>
            <w:tcBorders>
              <w:top w:val="nil"/>
              <w:left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2251" w:right="2018" w:firstLine="0"/>
        <w:jc w:val="both"/>
        <w:rPr>
          <w:rFonts w:ascii="Calibri" w:hAnsi="Calibri"/>
          <w:i/>
          <w:sz w:val="20"/>
        </w:rPr>
      </w:pPr>
      <w:r>
        <w:rPr>
          <w:rFonts w:ascii="Calibri" w:hAnsi="Calibri"/>
          <w:i/>
          <w:color w:val="4472C4"/>
          <w:sz w:val="20"/>
          <w:u w:val="single" w:color="4472C4"/>
        </w:rPr>
        <w:t>en su ejecución. Asimismo, tuvo que ser modificado por importe de 79.741,23 euros, IVA</w:t>
      </w:r>
      <w:r>
        <w:rPr>
          <w:rFonts w:ascii="Calibri" w:hAnsi="Calibri"/>
          <w:i/>
          <w:color w:val="4472C4"/>
          <w:sz w:val="20"/>
          <w:u w:val="none"/>
        </w:rPr>
        <w:t> </w:t>
      </w:r>
      <w:r>
        <w:rPr>
          <w:rFonts w:ascii="Calibri" w:hAnsi="Calibri"/>
          <w:i/>
          <w:color w:val="4472C4"/>
          <w:sz w:val="20"/>
          <w:u w:val="single" w:color="4472C4"/>
        </w:rPr>
        <w:t>excluido, por la no realización de dos paradas, debido a la modificación del trazado de las</w:t>
      </w:r>
      <w:r>
        <w:rPr>
          <w:rFonts w:ascii="Calibri" w:hAnsi="Calibri"/>
          <w:i/>
          <w:color w:val="4472C4"/>
          <w:sz w:val="20"/>
          <w:u w:val="none"/>
        </w:rPr>
        <w:t> </w:t>
      </w:r>
      <w:r>
        <w:rPr>
          <w:rFonts w:ascii="Calibri" w:hAnsi="Calibri"/>
          <w:i/>
          <w:color w:val="4472C4"/>
          <w:sz w:val="20"/>
          <w:u w:val="single" w:color="4472C4"/>
        </w:rPr>
        <w:t>líneas, la realización de otras dos paradas por el mismo motivo y por la afección de</w:t>
      </w:r>
      <w:r>
        <w:rPr>
          <w:rFonts w:ascii="Calibri" w:hAnsi="Calibri"/>
          <w:i/>
          <w:color w:val="4472C4"/>
          <w:sz w:val="20"/>
          <w:u w:val="none"/>
        </w:rPr>
        <w:t> </w:t>
      </w:r>
      <w:r>
        <w:rPr>
          <w:rFonts w:ascii="Calibri" w:hAnsi="Calibri"/>
          <w:i/>
          <w:color w:val="4472C4"/>
          <w:sz w:val="20"/>
          <w:u w:val="single" w:color="4472C4"/>
        </w:rPr>
        <w:t>servicios no previstos que requería proceder a su desvío”.</w:t>
      </w:r>
    </w:p>
    <w:p>
      <w:pPr>
        <w:pStyle w:val="BodyText"/>
        <w:rPr>
          <w:rFonts w:ascii="Calibri"/>
          <w:i/>
          <w:sz w:val="20"/>
        </w:rPr>
      </w:pPr>
    </w:p>
    <w:p>
      <w:pPr>
        <w:pStyle w:val="BodyText"/>
        <w:spacing w:before="65"/>
        <w:rPr>
          <w:rFonts w:ascii="Calibri"/>
          <w:i/>
          <w:sz w:val="20"/>
        </w:rPr>
      </w:pPr>
    </w:p>
    <w:p>
      <w:pPr>
        <w:spacing w:line="256" w:lineRule="auto" w:before="0"/>
        <w:ind w:left="2251" w:right="2023" w:firstLine="0"/>
        <w:jc w:val="both"/>
        <w:rPr>
          <w:rFonts w:ascii="Calibri" w:hAnsi="Calibri"/>
          <w:sz w:val="20"/>
        </w:rPr>
      </w:pPr>
      <w:r>
        <w:rPr>
          <w:rFonts w:ascii="Calibri" w:hAnsi="Calibri"/>
          <w:sz w:val="20"/>
        </w:rPr>
        <w:t>En relación con la observación formulada, se ha de precisar que el contrato de “Obras de priorización del viario y construcción de paradas accesibles para el transporte urbano” inició su</w:t>
      </w:r>
      <w:r>
        <w:rPr>
          <w:rFonts w:ascii="Calibri" w:hAnsi="Calibri"/>
          <w:spacing w:val="-2"/>
          <w:sz w:val="20"/>
        </w:rPr>
        <w:t> </w:t>
      </w:r>
      <w:r>
        <w:rPr>
          <w:rFonts w:ascii="Calibri" w:hAnsi="Calibri"/>
          <w:sz w:val="20"/>
        </w:rPr>
        <w:t>ejecución tras la</w:t>
      </w:r>
      <w:r>
        <w:rPr>
          <w:rFonts w:ascii="Calibri" w:hAnsi="Calibri"/>
          <w:spacing w:val="-2"/>
          <w:sz w:val="20"/>
        </w:rPr>
        <w:t> </w:t>
      </w:r>
      <w:r>
        <w:rPr>
          <w:rFonts w:ascii="Calibri" w:hAnsi="Calibri"/>
          <w:sz w:val="20"/>
        </w:rPr>
        <w:t>firma del acta de replanteo el 26 de septiembre de 2022, con un plazo de ejecución inicial de cuatro meses.</w:t>
      </w:r>
    </w:p>
    <w:p>
      <w:pPr>
        <w:spacing w:line="256" w:lineRule="auto" w:before="143"/>
        <w:ind w:left="2251" w:right="2017" w:firstLine="0"/>
        <w:jc w:val="both"/>
        <w:rPr>
          <w:rFonts w:ascii="Calibri" w:hAnsi="Calibri"/>
          <w:sz w:val="20"/>
        </w:rPr>
      </w:pPr>
      <w:r>
        <w:rPr>
          <w:rFonts w:ascii="Calibri" w:hAnsi="Calibri"/>
          <w:sz w:val="20"/>
        </w:rPr>
        <w:t>Durante el desarrollo de las obras surgieron circunstancias sobrevenidas e imprevisibles que obligaron a ajustar el proyecto técnico, lo que derivó en la correspondiente modificación contractual y en una ampliación del plazo de ejecución estrictamente necesaria para garantizar la correcta finalización de los trabajos.</w:t>
      </w:r>
    </w:p>
    <w:p>
      <w:pPr>
        <w:spacing w:line="256" w:lineRule="auto" w:before="148"/>
        <w:ind w:left="2251" w:right="2023" w:firstLine="0"/>
        <w:jc w:val="both"/>
        <w:rPr>
          <w:rFonts w:ascii="Calibri" w:hAnsi="Calibri"/>
          <w:sz w:val="20"/>
        </w:rPr>
      </w:pPr>
      <w:r>
        <w:rPr>
          <w:rFonts w:ascii="Calibri" w:hAnsi="Calibri"/>
          <w:sz w:val="20"/>
        </w:rPr>
        <w:t>Los ajustes del contrato respondieron a ajustes en el diseño y ubicación de determinadas paradas que no pudieron ejecutarse conforme al proyecto original por razones de operatividad y reorganización de las líneas de transporte urbano.</w:t>
      </w:r>
    </w:p>
    <w:p>
      <w:pPr>
        <w:spacing w:line="256" w:lineRule="auto" w:before="145"/>
        <w:ind w:left="2251" w:right="2023" w:firstLine="0"/>
        <w:jc w:val="both"/>
        <w:rPr>
          <w:rFonts w:ascii="Calibri" w:hAnsi="Calibri"/>
          <w:sz w:val="20"/>
        </w:rPr>
      </w:pPr>
      <w:r>
        <w:rPr>
          <w:rFonts w:ascii="Calibri" w:hAnsi="Calibri"/>
          <w:sz w:val="20"/>
        </w:rPr>
        <w:t>Estas actuaciones implicaron la supresión de dos paradas, la incorporación de otras dos nuevas y la adaptación de mediciones y partidas ante la aparición de infraestructuras subterráneas no previstas y servicios urbanos existentes detectados una vez iniciadas las </w:t>
      </w:r>
      <w:r>
        <w:rPr>
          <w:rFonts w:ascii="Calibri" w:hAnsi="Calibri"/>
          <w:spacing w:val="-2"/>
          <w:sz w:val="20"/>
        </w:rPr>
        <w:t>excavaciones.</w:t>
      </w:r>
    </w:p>
    <w:p>
      <w:pPr>
        <w:spacing w:line="256" w:lineRule="auto" w:before="146"/>
        <w:ind w:left="2251" w:right="2022" w:firstLine="0"/>
        <w:jc w:val="both"/>
        <w:rPr>
          <w:rFonts w:ascii="Calibri" w:hAnsi="Calibri"/>
          <w:sz w:val="20"/>
        </w:rPr>
      </w:pPr>
      <w:r>
        <w:rPr>
          <w:rFonts w:ascii="Calibri" w:hAnsi="Calibri"/>
          <w:sz w:val="20"/>
        </w:rPr>
        <w:t>La ejecución de las obras requirió una estrecha coordinación con distintas áreas municipales,</w:t>
      </w:r>
      <w:r>
        <w:rPr>
          <w:rFonts w:ascii="Calibri" w:hAnsi="Calibri"/>
          <w:spacing w:val="-3"/>
          <w:sz w:val="20"/>
        </w:rPr>
        <w:t> </w:t>
      </w:r>
      <w:r>
        <w:rPr>
          <w:rFonts w:ascii="Calibri" w:hAnsi="Calibri"/>
          <w:sz w:val="20"/>
        </w:rPr>
        <w:t>Gerencia</w:t>
      </w:r>
      <w:r>
        <w:rPr>
          <w:rFonts w:ascii="Calibri" w:hAnsi="Calibri"/>
          <w:spacing w:val="-4"/>
          <w:sz w:val="20"/>
        </w:rPr>
        <w:t> </w:t>
      </w:r>
      <w:r>
        <w:rPr>
          <w:rFonts w:ascii="Calibri" w:hAnsi="Calibri"/>
          <w:sz w:val="20"/>
        </w:rPr>
        <w:t>Municipal</w:t>
      </w:r>
      <w:r>
        <w:rPr>
          <w:rFonts w:ascii="Calibri" w:hAnsi="Calibri"/>
          <w:spacing w:val="-2"/>
          <w:sz w:val="20"/>
        </w:rPr>
        <w:t> </w:t>
      </w:r>
      <w:r>
        <w:rPr>
          <w:rFonts w:ascii="Calibri" w:hAnsi="Calibri"/>
          <w:sz w:val="20"/>
        </w:rPr>
        <w:t>de Urbanismo, Obras</w:t>
      </w:r>
      <w:r>
        <w:rPr>
          <w:rFonts w:ascii="Calibri" w:hAnsi="Calibri"/>
          <w:spacing w:val="-3"/>
          <w:sz w:val="20"/>
        </w:rPr>
        <w:t> </w:t>
      </w:r>
      <w:r>
        <w:rPr>
          <w:rFonts w:ascii="Calibri" w:hAnsi="Calibri"/>
          <w:sz w:val="20"/>
        </w:rPr>
        <w:t>e Infraestructuras, Área</w:t>
      </w:r>
      <w:r>
        <w:rPr>
          <w:rFonts w:ascii="Calibri" w:hAnsi="Calibri"/>
          <w:spacing w:val="-4"/>
          <w:sz w:val="20"/>
        </w:rPr>
        <w:t> </w:t>
      </w:r>
      <w:r>
        <w:rPr>
          <w:rFonts w:ascii="Calibri" w:hAnsi="Calibri"/>
          <w:sz w:val="20"/>
        </w:rPr>
        <w:t>de</w:t>
      </w:r>
      <w:r>
        <w:rPr>
          <w:rFonts w:ascii="Calibri" w:hAnsi="Calibri"/>
          <w:spacing w:val="-2"/>
          <w:sz w:val="20"/>
        </w:rPr>
        <w:t> </w:t>
      </w:r>
      <w:r>
        <w:rPr>
          <w:rFonts w:ascii="Calibri" w:hAnsi="Calibri"/>
          <w:sz w:val="20"/>
        </w:rPr>
        <w:t>Parques y Jardines y Movilidad, así como el Área de Carreteras de la Junta de Andalucía, entre otros, dado su carácter transversal y urbano.</w:t>
      </w:r>
    </w:p>
    <w:p>
      <w:pPr>
        <w:spacing w:line="256" w:lineRule="auto" w:before="143"/>
        <w:ind w:left="2251" w:right="2019" w:firstLine="0"/>
        <w:jc w:val="both"/>
        <w:rPr>
          <w:rFonts w:ascii="Calibri" w:hAnsi="Calibri"/>
          <w:sz w:val="20"/>
        </w:rPr>
      </w:pPr>
      <w:r>
        <w:rPr>
          <w:rFonts w:ascii="Calibri" w:hAnsi="Calibri"/>
          <w:sz w:val="20"/>
        </w:rPr>
        <w:t>Asimismo, en las paradas interurbanas, tras los desbroces y despejes de zona, se localizaron afecciones a salidas y vertidos no previstos en el proyecto, que exigieron coordinación</w:t>
      </w:r>
      <w:r>
        <w:rPr>
          <w:rFonts w:ascii="Calibri" w:hAnsi="Calibri"/>
          <w:spacing w:val="-6"/>
          <w:sz w:val="20"/>
        </w:rPr>
        <w:t> </w:t>
      </w:r>
      <w:r>
        <w:rPr>
          <w:rFonts w:ascii="Calibri" w:hAnsi="Calibri"/>
          <w:sz w:val="20"/>
        </w:rPr>
        <w:t>con</w:t>
      </w:r>
      <w:r>
        <w:rPr>
          <w:rFonts w:ascii="Calibri" w:hAnsi="Calibri"/>
          <w:spacing w:val="-5"/>
          <w:sz w:val="20"/>
        </w:rPr>
        <w:t> </w:t>
      </w:r>
      <w:r>
        <w:rPr>
          <w:rFonts w:ascii="Calibri" w:hAnsi="Calibri"/>
          <w:sz w:val="20"/>
        </w:rPr>
        <w:t>los</w:t>
      </w:r>
      <w:r>
        <w:rPr>
          <w:rFonts w:ascii="Calibri" w:hAnsi="Calibri"/>
          <w:spacing w:val="-5"/>
          <w:sz w:val="20"/>
        </w:rPr>
        <w:t> </w:t>
      </w:r>
      <w:r>
        <w:rPr>
          <w:rFonts w:ascii="Calibri" w:hAnsi="Calibri"/>
          <w:sz w:val="20"/>
        </w:rPr>
        <w:t>organismos</w:t>
      </w:r>
      <w:r>
        <w:rPr>
          <w:rFonts w:ascii="Calibri" w:hAnsi="Calibri"/>
          <w:spacing w:val="-3"/>
          <w:sz w:val="20"/>
        </w:rPr>
        <w:t> </w:t>
      </w:r>
      <w:r>
        <w:rPr>
          <w:rFonts w:ascii="Calibri" w:hAnsi="Calibri"/>
          <w:sz w:val="20"/>
        </w:rPr>
        <w:t>competentes</w:t>
      </w:r>
      <w:r>
        <w:rPr>
          <w:rFonts w:ascii="Calibri" w:hAnsi="Calibri"/>
          <w:spacing w:val="-4"/>
          <w:sz w:val="20"/>
        </w:rPr>
        <w:t> </w:t>
      </w:r>
      <w:r>
        <w:rPr>
          <w:rFonts w:ascii="Calibri" w:hAnsi="Calibri"/>
          <w:sz w:val="20"/>
        </w:rPr>
        <w:t>como</w:t>
      </w:r>
      <w:r>
        <w:rPr>
          <w:rFonts w:ascii="Calibri" w:hAnsi="Calibri"/>
          <w:spacing w:val="-3"/>
          <w:sz w:val="20"/>
        </w:rPr>
        <w:t> </w:t>
      </w:r>
      <w:r>
        <w:rPr>
          <w:rFonts w:ascii="Calibri" w:hAnsi="Calibri"/>
          <w:sz w:val="20"/>
        </w:rPr>
        <w:t>son</w:t>
      </w:r>
      <w:r>
        <w:rPr>
          <w:rFonts w:ascii="Calibri" w:hAnsi="Calibri"/>
          <w:spacing w:val="-5"/>
          <w:sz w:val="20"/>
        </w:rPr>
        <w:t> </w:t>
      </w:r>
      <w:r>
        <w:rPr>
          <w:rFonts w:ascii="Calibri" w:hAnsi="Calibri"/>
          <w:sz w:val="20"/>
        </w:rPr>
        <w:t>los</w:t>
      </w:r>
      <w:r>
        <w:rPr>
          <w:rFonts w:ascii="Calibri" w:hAnsi="Calibri"/>
          <w:spacing w:val="-5"/>
          <w:sz w:val="20"/>
        </w:rPr>
        <w:t> </w:t>
      </w:r>
      <w:r>
        <w:rPr>
          <w:rFonts w:ascii="Calibri" w:hAnsi="Calibri"/>
          <w:sz w:val="20"/>
        </w:rPr>
        <w:t>Departamentos</w:t>
      </w:r>
      <w:r>
        <w:rPr>
          <w:rFonts w:ascii="Calibri" w:hAnsi="Calibri"/>
          <w:spacing w:val="-5"/>
          <w:sz w:val="20"/>
        </w:rPr>
        <w:t> </w:t>
      </w:r>
      <w:r>
        <w:rPr>
          <w:rFonts w:ascii="Calibri" w:hAnsi="Calibri"/>
          <w:sz w:val="20"/>
        </w:rPr>
        <w:t>de</w:t>
      </w:r>
      <w:r>
        <w:rPr>
          <w:rFonts w:ascii="Calibri" w:hAnsi="Calibri"/>
          <w:spacing w:val="-5"/>
          <w:sz w:val="20"/>
        </w:rPr>
        <w:t> </w:t>
      </w:r>
      <w:r>
        <w:rPr>
          <w:rFonts w:ascii="Calibri" w:hAnsi="Calibri"/>
          <w:sz w:val="20"/>
        </w:rPr>
        <w:t>Aguas</w:t>
      </w:r>
      <w:r>
        <w:rPr>
          <w:rFonts w:ascii="Calibri" w:hAnsi="Calibri"/>
          <w:spacing w:val="-1"/>
          <w:sz w:val="20"/>
        </w:rPr>
        <w:t> </w:t>
      </w:r>
      <w:r>
        <w:rPr>
          <w:rFonts w:ascii="Calibri" w:hAnsi="Calibri"/>
          <w:sz w:val="20"/>
        </w:rPr>
        <w:t>y</w:t>
      </w:r>
      <w:r>
        <w:rPr>
          <w:rFonts w:ascii="Calibri" w:hAnsi="Calibri"/>
          <w:spacing w:val="-8"/>
          <w:sz w:val="20"/>
        </w:rPr>
        <w:t> </w:t>
      </w:r>
      <w:r>
        <w:rPr>
          <w:rFonts w:ascii="Calibri" w:hAnsi="Calibri"/>
          <w:sz w:val="20"/>
        </w:rPr>
        <w:t>de Carreteras</w:t>
      </w:r>
      <w:r>
        <w:rPr>
          <w:rFonts w:ascii="Calibri" w:hAnsi="Calibri"/>
          <w:spacing w:val="-12"/>
          <w:sz w:val="20"/>
        </w:rPr>
        <w:t> </w:t>
      </w:r>
      <w:r>
        <w:rPr>
          <w:rFonts w:ascii="Calibri" w:hAnsi="Calibri"/>
          <w:sz w:val="20"/>
        </w:rPr>
        <w:t>de</w:t>
      </w:r>
      <w:r>
        <w:rPr>
          <w:rFonts w:ascii="Calibri" w:hAnsi="Calibri"/>
          <w:spacing w:val="-9"/>
          <w:sz w:val="20"/>
        </w:rPr>
        <w:t> </w:t>
      </w:r>
      <w:r>
        <w:rPr>
          <w:rFonts w:ascii="Calibri" w:hAnsi="Calibri"/>
          <w:sz w:val="20"/>
        </w:rPr>
        <w:t>la</w:t>
      </w:r>
      <w:r>
        <w:rPr>
          <w:rFonts w:ascii="Calibri" w:hAnsi="Calibri"/>
          <w:spacing w:val="-10"/>
          <w:sz w:val="20"/>
        </w:rPr>
        <w:t> </w:t>
      </w:r>
      <w:r>
        <w:rPr>
          <w:rFonts w:ascii="Calibri" w:hAnsi="Calibri"/>
          <w:sz w:val="20"/>
        </w:rPr>
        <w:t>Junta</w:t>
      </w:r>
      <w:r>
        <w:rPr>
          <w:rFonts w:ascii="Calibri" w:hAnsi="Calibri"/>
          <w:spacing w:val="-10"/>
          <w:sz w:val="20"/>
        </w:rPr>
        <w:t> </w:t>
      </w:r>
      <w:r>
        <w:rPr>
          <w:rFonts w:ascii="Calibri" w:hAnsi="Calibri"/>
          <w:sz w:val="20"/>
        </w:rPr>
        <w:t>de</w:t>
      </w:r>
      <w:r>
        <w:rPr>
          <w:rFonts w:ascii="Calibri" w:hAnsi="Calibri"/>
          <w:spacing w:val="-9"/>
          <w:sz w:val="20"/>
        </w:rPr>
        <w:t> </w:t>
      </w:r>
      <w:r>
        <w:rPr>
          <w:rFonts w:ascii="Calibri" w:hAnsi="Calibri"/>
          <w:sz w:val="20"/>
        </w:rPr>
        <w:t>Andalucía,</w:t>
      </w:r>
      <w:r>
        <w:rPr>
          <w:rFonts w:ascii="Calibri" w:hAnsi="Calibri"/>
          <w:spacing w:val="-9"/>
          <w:sz w:val="20"/>
        </w:rPr>
        <w:t> </w:t>
      </w:r>
      <w:r>
        <w:rPr>
          <w:rFonts w:ascii="Calibri" w:hAnsi="Calibri"/>
          <w:sz w:val="20"/>
        </w:rPr>
        <w:t>los</w:t>
      </w:r>
      <w:r>
        <w:rPr>
          <w:rFonts w:ascii="Calibri" w:hAnsi="Calibri"/>
          <w:spacing w:val="-9"/>
          <w:sz w:val="20"/>
        </w:rPr>
        <w:t> </w:t>
      </w:r>
      <w:r>
        <w:rPr>
          <w:rFonts w:ascii="Calibri" w:hAnsi="Calibri"/>
          <w:sz w:val="20"/>
        </w:rPr>
        <w:t>cuales</w:t>
      </w:r>
      <w:r>
        <w:rPr>
          <w:rFonts w:ascii="Calibri" w:hAnsi="Calibri"/>
          <w:spacing w:val="-7"/>
          <w:sz w:val="20"/>
        </w:rPr>
        <w:t> </w:t>
      </w:r>
      <w:r>
        <w:rPr>
          <w:rFonts w:ascii="Calibri" w:hAnsi="Calibri"/>
          <w:sz w:val="20"/>
        </w:rPr>
        <w:t>generaron</w:t>
      </w:r>
      <w:r>
        <w:rPr>
          <w:rFonts w:ascii="Calibri" w:hAnsi="Calibri"/>
          <w:spacing w:val="-12"/>
          <w:sz w:val="20"/>
        </w:rPr>
        <w:t> </w:t>
      </w:r>
      <w:r>
        <w:rPr>
          <w:rFonts w:ascii="Calibri" w:hAnsi="Calibri"/>
          <w:sz w:val="20"/>
        </w:rPr>
        <w:t>ajustes</w:t>
      </w:r>
      <w:r>
        <w:rPr>
          <w:rFonts w:ascii="Calibri" w:hAnsi="Calibri"/>
          <w:spacing w:val="-8"/>
          <w:sz w:val="20"/>
        </w:rPr>
        <w:t> </w:t>
      </w:r>
      <w:r>
        <w:rPr>
          <w:rFonts w:ascii="Calibri" w:hAnsi="Calibri"/>
          <w:sz w:val="20"/>
        </w:rPr>
        <w:t>técnicos</w:t>
      </w:r>
      <w:r>
        <w:rPr>
          <w:rFonts w:ascii="Calibri" w:hAnsi="Calibri"/>
          <w:spacing w:val="-6"/>
          <w:sz w:val="20"/>
        </w:rPr>
        <w:t> </w:t>
      </w:r>
      <w:r>
        <w:rPr>
          <w:rFonts w:ascii="Calibri" w:hAnsi="Calibri"/>
          <w:sz w:val="20"/>
        </w:rPr>
        <w:t>no</w:t>
      </w:r>
      <w:r>
        <w:rPr>
          <w:rFonts w:ascii="Calibri" w:hAnsi="Calibri"/>
          <w:spacing w:val="-9"/>
          <w:sz w:val="20"/>
        </w:rPr>
        <w:t> </w:t>
      </w:r>
      <w:r>
        <w:rPr>
          <w:rFonts w:ascii="Calibri" w:hAnsi="Calibri"/>
          <w:sz w:val="20"/>
        </w:rPr>
        <w:t>contemplados </w:t>
      </w:r>
      <w:r>
        <w:rPr>
          <w:rFonts w:ascii="Calibri" w:hAnsi="Calibri"/>
          <w:spacing w:val="-2"/>
          <w:sz w:val="20"/>
        </w:rPr>
        <w:t>inicialmente.</w:t>
      </w:r>
    </w:p>
    <w:p>
      <w:pPr>
        <w:spacing w:line="256" w:lineRule="auto" w:before="146"/>
        <w:ind w:left="2251" w:right="2021" w:firstLine="0"/>
        <w:jc w:val="both"/>
        <w:rPr>
          <w:rFonts w:ascii="Calibri" w:hAnsi="Calibri"/>
          <w:sz w:val="20"/>
        </w:rPr>
      </w:pPr>
      <w:r>
        <w:rPr>
          <w:rFonts w:ascii="Calibri" w:hAnsi="Calibri"/>
          <w:sz w:val="20"/>
        </w:rPr>
        <w:t>Pese a</w:t>
      </w:r>
      <w:r>
        <w:rPr>
          <w:rFonts w:ascii="Calibri" w:hAnsi="Calibri"/>
          <w:spacing w:val="-1"/>
          <w:sz w:val="20"/>
        </w:rPr>
        <w:t> </w:t>
      </w:r>
      <w:r>
        <w:rPr>
          <w:rFonts w:ascii="Calibri" w:hAnsi="Calibri"/>
          <w:sz w:val="20"/>
        </w:rPr>
        <w:t>contar</w:t>
      </w:r>
      <w:r>
        <w:rPr>
          <w:rFonts w:ascii="Calibri" w:hAnsi="Calibri"/>
          <w:spacing w:val="-1"/>
          <w:sz w:val="20"/>
        </w:rPr>
        <w:t> </w:t>
      </w:r>
      <w:r>
        <w:rPr>
          <w:rFonts w:ascii="Calibri" w:hAnsi="Calibri"/>
          <w:sz w:val="20"/>
        </w:rPr>
        <w:t>con el</w:t>
      </w:r>
      <w:r>
        <w:rPr>
          <w:rFonts w:ascii="Calibri" w:hAnsi="Calibri"/>
          <w:spacing w:val="-4"/>
          <w:sz w:val="20"/>
        </w:rPr>
        <w:t> </w:t>
      </w:r>
      <w:r>
        <w:rPr>
          <w:rFonts w:ascii="Calibri" w:hAnsi="Calibri"/>
          <w:sz w:val="20"/>
        </w:rPr>
        <w:t>visto</w:t>
      </w:r>
      <w:r>
        <w:rPr>
          <w:rFonts w:ascii="Calibri" w:hAnsi="Calibri"/>
          <w:spacing w:val="-3"/>
          <w:sz w:val="20"/>
        </w:rPr>
        <w:t> </w:t>
      </w:r>
      <w:r>
        <w:rPr>
          <w:rFonts w:ascii="Calibri" w:hAnsi="Calibri"/>
          <w:sz w:val="20"/>
        </w:rPr>
        <w:t>bueno de</w:t>
      </w:r>
      <w:r>
        <w:rPr>
          <w:rFonts w:ascii="Calibri" w:hAnsi="Calibri"/>
          <w:spacing w:val="-1"/>
          <w:sz w:val="20"/>
        </w:rPr>
        <w:t> </w:t>
      </w:r>
      <w:r>
        <w:rPr>
          <w:rFonts w:ascii="Calibri" w:hAnsi="Calibri"/>
          <w:sz w:val="20"/>
        </w:rPr>
        <w:t>la</w:t>
      </w:r>
      <w:r>
        <w:rPr>
          <w:rFonts w:ascii="Calibri" w:hAnsi="Calibri"/>
          <w:spacing w:val="-3"/>
          <w:sz w:val="20"/>
        </w:rPr>
        <w:t> </w:t>
      </w:r>
      <w:r>
        <w:rPr>
          <w:rFonts w:ascii="Calibri" w:hAnsi="Calibri"/>
          <w:sz w:val="20"/>
        </w:rPr>
        <w:t>Gerencia</w:t>
      </w:r>
      <w:r>
        <w:rPr>
          <w:rFonts w:ascii="Calibri" w:hAnsi="Calibri"/>
          <w:spacing w:val="-1"/>
          <w:sz w:val="20"/>
        </w:rPr>
        <w:t> </w:t>
      </w:r>
      <w:r>
        <w:rPr>
          <w:rFonts w:ascii="Calibri" w:hAnsi="Calibri"/>
          <w:sz w:val="20"/>
        </w:rPr>
        <w:t>de Urbanismo,</w:t>
      </w:r>
      <w:r>
        <w:rPr>
          <w:rFonts w:ascii="Calibri" w:hAnsi="Calibri"/>
          <w:spacing w:val="-1"/>
          <w:sz w:val="20"/>
        </w:rPr>
        <w:t> </w:t>
      </w:r>
      <w:r>
        <w:rPr>
          <w:rFonts w:ascii="Calibri" w:hAnsi="Calibri"/>
          <w:sz w:val="20"/>
        </w:rPr>
        <w:t>las actuaciones en el</w:t>
      </w:r>
      <w:r>
        <w:rPr>
          <w:rFonts w:ascii="Calibri" w:hAnsi="Calibri"/>
          <w:spacing w:val="-1"/>
          <w:sz w:val="20"/>
        </w:rPr>
        <w:t> </w:t>
      </w:r>
      <w:r>
        <w:rPr>
          <w:rFonts w:ascii="Calibri" w:hAnsi="Calibri"/>
          <w:sz w:val="20"/>
        </w:rPr>
        <w:t>Paseo del Parque debieron ajustarse de forma conjunta con los técnicos del Área de Parques y Jardines,</w:t>
      </w:r>
      <w:r>
        <w:rPr>
          <w:rFonts w:ascii="Calibri" w:hAnsi="Calibri"/>
          <w:spacing w:val="-4"/>
          <w:sz w:val="20"/>
        </w:rPr>
        <w:t> </w:t>
      </w:r>
      <w:r>
        <w:rPr>
          <w:rFonts w:ascii="Calibri" w:hAnsi="Calibri"/>
          <w:sz w:val="20"/>
        </w:rPr>
        <w:t>adaptando</w:t>
      </w:r>
      <w:r>
        <w:rPr>
          <w:rFonts w:ascii="Calibri" w:hAnsi="Calibri"/>
          <w:spacing w:val="-3"/>
          <w:sz w:val="20"/>
        </w:rPr>
        <w:t> </w:t>
      </w:r>
      <w:r>
        <w:rPr>
          <w:rFonts w:ascii="Calibri" w:hAnsi="Calibri"/>
          <w:sz w:val="20"/>
        </w:rPr>
        <w:t>las</w:t>
      </w:r>
      <w:r>
        <w:rPr>
          <w:rFonts w:ascii="Calibri" w:hAnsi="Calibri"/>
          <w:spacing w:val="-4"/>
          <w:sz w:val="20"/>
        </w:rPr>
        <w:t> </w:t>
      </w:r>
      <w:r>
        <w:rPr>
          <w:rFonts w:ascii="Calibri" w:hAnsi="Calibri"/>
          <w:sz w:val="20"/>
        </w:rPr>
        <w:t>longitudes</w:t>
      </w:r>
      <w:r>
        <w:rPr>
          <w:rFonts w:ascii="Calibri" w:hAnsi="Calibri"/>
          <w:spacing w:val="-2"/>
          <w:sz w:val="20"/>
        </w:rPr>
        <w:t> </w:t>
      </w:r>
      <w:r>
        <w:rPr>
          <w:rFonts w:ascii="Calibri" w:hAnsi="Calibri"/>
          <w:sz w:val="20"/>
        </w:rPr>
        <w:t>de</w:t>
      </w:r>
      <w:r>
        <w:rPr>
          <w:rFonts w:ascii="Calibri" w:hAnsi="Calibri"/>
          <w:spacing w:val="-2"/>
          <w:sz w:val="20"/>
        </w:rPr>
        <w:t> </w:t>
      </w:r>
      <w:r>
        <w:rPr>
          <w:rFonts w:ascii="Calibri" w:hAnsi="Calibri"/>
          <w:sz w:val="20"/>
        </w:rPr>
        <w:t>las</w:t>
      </w:r>
      <w:r>
        <w:rPr>
          <w:rFonts w:ascii="Calibri" w:hAnsi="Calibri"/>
          <w:spacing w:val="-4"/>
          <w:sz w:val="20"/>
        </w:rPr>
        <w:t> </w:t>
      </w:r>
      <w:r>
        <w:rPr>
          <w:rFonts w:ascii="Calibri" w:hAnsi="Calibri"/>
          <w:sz w:val="20"/>
        </w:rPr>
        <w:t>paradas</w:t>
      </w:r>
      <w:r>
        <w:rPr>
          <w:rFonts w:ascii="Calibri" w:hAnsi="Calibri"/>
          <w:spacing w:val="-3"/>
          <w:sz w:val="20"/>
        </w:rPr>
        <w:t> </w:t>
      </w:r>
      <w:r>
        <w:rPr>
          <w:rFonts w:ascii="Calibri" w:hAnsi="Calibri"/>
          <w:sz w:val="20"/>
        </w:rPr>
        <w:t>a</w:t>
      </w:r>
      <w:r>
        <w:rPr>
          <w:rFonts w:ascii="Calibri" w:hAnsi="Calibri"/>
          <w:spacing w:val="-5"/>
          <w:sz w:val="20"/>
        </w:rPr>
        <w:t> </w:t>
      </w:r>
      <w:r>
        <w:rPr>
          <w:rFonts w:ascii="Calibri" w:hAnsi="Calibri"/>
          <w:sz w:val="20"/>
        </w:rPr>
        <w:t>las</w:t>
      </w:r>
      <w:r>
        <w:rPr>
          <w:rFonts w:ascii="Calibri" w:hAnsi="Calibri"/>
          <w:spacing w:val="-4"/>
          <w:sz w:val="20"/>
        </w:rPr>
        <w:t> </w:t>
      </w:r>
      <w:r>
        <w:rPr>
          <w:rFonts w:ascii="Calibri" w:hAnsi="Calibri"/>
          <w:sz w:val="20"/>
        </w:rPr>
        <w:t>plantaciones</w:t>
      </w:r>
      <w:r>
        <w:rPr>
          <w:rFonts w:ascii="Calibri" w:hAnsi="Calibri"/>
          <w:spacing w:val="-7"/>
          <w:sz w:val="20"/>
        </w:rPr>
        <w:t> </w:t>
      </w:r>
      <w:r>
        <w:rPr>
          <w:rFonts w:ascii="Calibri" w:hAnsi="Calibri"/>
          <w:sz w:val="20"/>
        </w:rPr>
        <w:t>existentes</w:t>
      </w:r>
      <w:r>
        <w:rPr>
          <w:rFonts w:ascii="Calibri" w:hAnsi="Calibri"/>
          <w:spacing w:val="-3"/>
          <w:sz w:val="20"/>
        </w:rPr>
        <w:t> </w:t>
      </w:r>
      <w:r>
        <w:rPr>
          <w:rFonts w:ascii="Calibri" w:hAnsi="Calibri"/>
          <w:sz w:val="20"/>
        </w:rPr>
        <w:t>y</w:t>
      </w:r>
      <w:r>
        <w:rPr>
          <w:rFonts w:ascii="Calibri" w:hAnsi="Calibri"/>
          <w:spacing w:val="-7"/>
          <w:sz w:val="20"/>
        </w:rPr>
        <w:t> </w:t>
      </w:r>
      <w:r>
        <w:rPr>
          <w:rFonts w:ascii="Calibri" w:hAnsi="Calibri"/>
          <w:sz w:val="20"/>
        </w:rPr>
        <w:t>a</w:t>
      </w:r>
      <w:r>
        <w:rPr>
          <w:rFonts w:ascii="Calibri" w:hAnsi="Calibri"/>
          <w:spacing w:val="-7"/>
          <w:sz w:val="20"/>
        </w:rPr>
        <w:t> </w:t>
      </w:r>
      <w:r>
        <w:rPr>
          <w:rFonts w:ascii="Calibri" w:hAnsi="Calibri"/>
          <w:sz w:val="20"/>
        </w:rPr>
        <w:t>la</w:t>
      </w:r>
      <w:r>
        <w:rPr>
          <w:rFonts w:ascii="Calibri" w:hAnsi="Calibri"/>
          <w:spacing w:val="-3"/>
          <w:sz w:val="20"/>
        </w:rPr>
        <w:t> </w:t>
      </w:r>
      <w:r>
        <w:rPr>
          <w:rFonts w:ascii="Calibri" w:hAnsi="Calibri"/>
          <w:sz w:val="20"/>
        </w:rPr>
        <w:t>nueva ubicación de los árboles trasplantados.</w:t>
      </w:r>
    </w:p>
    <w:p>
      <w:pPr>
        <w:spacing w:line="256" w:lineRule="auto" w:before="145"/>
        <w:ind w:left="2251" w:right="2021" w:firstLine="0"/>
        <w:jc w:val="both"/>
        <w:rPr>
          <w:rFonts w:ascii="Calibri" w:hAnsi="Calibri"/>
          <w:sz w:val="20"/>
        </w:rPr>
      </w:pPr>
      <w:r>
        <w:rPr>
          <w:rFonts w:ascii="Calibri" w:hAnsi="Calibri"/>
          <w:sz w:val="20"/>
        </w:rPr>
        <w:t>Asimismo, la reordenación de giros y paradas en</w:t>
      </w:r>
      <w:r>
        <w:rPr>
          <w:rFonts w:ascii="Calibri" w:hAnsi="Calibri"/>
          <w:spacing w:val="-1"/>
          <w:sz w:val="20"/>
        </w:rPr>
        <w:t> </w:t>
      </w:r>
      <w:r>
        <w:rPr>
          <w:rFonts w:ascii="Calibri" w:hAnsi="Calibri"/>
          <w:sz w:val="20"/>
        </w:rPr>
        <w:t>viales principales requirió la intervención del Área de Movilidad, competente en materia de ordenación del tráfico, que intervino incluso durante la ejecución para adaptar la solución final a las nuevas necesidades del </w:t>
      </w:r>
      <w:r>
        <w:rPr>
          <w:rFonts w:ascii="Calibri" w:hAnsi="Calibri"/>
          <w:spacing w:val="-2"/>
          <w:sz w:val="20"/>
        </w:rPr>
        <w:t>servicio.</w:t>
      </w:r>
    </w:p>
    <w:p>
      <w:pPr>
        <w:pStyle w:val="BodyText"/>
        <w:rPr>
          <w:rFonts w:ascii="Calibri"/>
          <w:sz w:val="20"/>
        </w:rPr>
      </w:pPr>
    </w:p>
    <w:p>
      <w:pPr>
        <w:pStyle w:val="BodyText"/>
        <w:spacing w:before="206"/>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029" name="Group 1029"/>
                <wp:cNvGraphicFramePr>
                  <a:graphicFrameLocks/>
                </wp:cNvGraphicFramePr>
                <a:graphic>
                  <a:graphicData uri="http://schemas.microsoft.com/office/word/2010/wordprocessingGroup">
                    <wpg:wgp>
                      <wpg:cNvPr id="1029" name="Group 1029"/>
                      <wpg:cNvGrpSpPr/>
                      <wpg:grpSpPr>
                        <a:xfrm>
                          <a:off x="0" y="0"/>
                          <a:ext cx="1870075" cy="6350"/>
                          <a:chExt cx="1870075" cy="6350"/>
                        </a:xfrm>
                      </wpg:grpSpPr>
                      <wps:wsp>
                        <wps:cNvPr id="1030" name="Graphic 1030"/>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782" coordorigin="0,0" coordsize="2945,10">
                <v:rect style="position:absolute;left:0;top:0;width:2945;height:10" id="docshape783"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031" name="Group 1031"/>
                <wp:cNvGraphicFramePr>
                  <a:graphicFrameLocks/>
                </wp:cNvGraphicFramePr>
                <a:graphic>
                  <a:graphicData uri="http://schemas.microsoft.com/office/word/2010/wordprocessingGroup">
                    <wpg:wgp>
                      <wpg:cNvPr id="1031" name="Group 1031"/>
                      <wpg:cNvGrpSpPr/>
                      <wpg:grpSpPr>
                        <a:xfrm>
                          <a:off x="0" y="0"/>
                          <a:ext cx="841375" cy="6350"/>
                          <a:chExt cx="841375" cy="6350"/>
                        </a:xfrm>
                      </wpg:grpSpPr>
                      <wps:wsp>
                        <wps:cNvPr id="1032" name="Graphic 1032"/>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784" coordorigin="0,0" coordsize="1325,10">
                <v:rect style="position:absolute;left:0;top:0;width:1325;height:10" id="docshape785"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34"/>
          <w:headerReference w:type="default" r:id="rId235"/>
          <w:footerReference w:type="even" r:id="rId236"/>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80800">
                <wp:simplePos x="0" y="0"/>
                <wp:positionH relativeFrom="page">
                  <wp:posOffset>4332186</wp:posOffset>
                </wp:positionH>
                <wp:positionV relativeFrom="paragraph">
                  <wp:posOffset>1412477</wp:posOffset>
                </wp:positionV>
                <wp:extent cx="53340" cy="100330"/>
                <wp:effectExtent l="0" t="0" r="0" b="0"/>
                <wp:wrapNone/>
                <wp:docPr id="1033" name="Textbox 1033"/>
                <wp:cNvGraphicFramePr>
                  <a:graphicFrameLocks/>
                </wp:cNvGraphicFramePr>
                <a:graphic>
                  <a:graphicData uri="http://schemas.microsoft.com/office/word/2010/wordprocessingShape">
                    <wps:wsp>
                      <wps:cNvPr id="1033" name="Textbox 1033"/>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35680" type="#_x0000_t202" id="docshape786"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381312">
                <wp:simplePos x="0" y="0"/>
                <wp:positionH relativeFrom="page">
                  <wp:posOffset>2338451</wp:posOffset>
                </wp:positionH>
                <wp:positionV relativeFrom="paragraph">
                  <wp:posOffset>991170</wp:posOffset>
                </wp:positionV>
                <wp:extent cx="1519555" cy="95250"/>
                <wp:effectExtent l="0" t="0" r="0" b="0"/>
                <wp:wrapNone/>
                <wp:docPr id="1034" name="Graphic 1034"/>
                <wp:cNvGraphicFramePr>
                  <a:graphicFrameLocks/>
                </wp:cNvGraphicFramePr>
                <a:graphic>
                  <a:graphicData uri="http://schemas.microsoft.com/office/word/2010/wordprocessingShape">
                    <wps:wsp>
                      <wps:cNvPr id="1034" name="Graphic 1034"/>
                      <wps:cNvSpPr/>
                      <wps:spPr>
                        <a:xfrm>
                          <a:off x="0" y="0"/>
                          <a:ext cx="1519555" cy="95250"/>
                        </a:xfrm>
                        <a:custGeom>
                          <a:avLst/>
                          <a:gdLst/>
                          <a:ahLst/>
                          <a:cxnLst/>
                          <a:rect l="l" t="t" r="r" b="b"/>
                          <a:pathLst>
                            <a:path w="1519555" h="95250">
                              <a:moveTo>
                                <a:pt x="1518996" y="0"/>
                              </a:moveTo>
                              <a:lnTo>
                                <a:pt x="0" y="0"/>
                              </a:lnTo>
                              <a:lnTo>
                                <a:pt x="0" y="94932"/>
                              </a:lnTo>
                              <a:lnTo>
                                <a:pt x="1518996" y="94932"/>
                              </a:lnTo>
                              <a:lnTo>
                                <a:pt x="15189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84.13pt;margin-top:78.044890pt;width:119.606pt;height:7.475pt;mso-position-horizontal-relative:page;mso-position-vertical-relative:paragraph;z-index:-28935168" id="docshape787" filled="true" fillcolor="#000000" stroked="false">
                <v:fill type="solid"/>
                <w10:wrap type="none"/>
              </v:rect>
            </w:pict>
          </mc:Fallback>
        </mc:AlternateContent>
      </w:r>
      <w:r>
        <w:rPr>
          <w:sz w:val="16"/>
        </w:rPr>
        <mc:AlternateContent>
          <mc:Choice Requires="wps">
            <w:drawing>
              <wp:anchor distT="0" distB="0" distL="0" distR="0" allowOverlap="1" layoutInCell="1" locked="0" behindDoc="1" simplePos="0" relativeHeight="474381824">
                <wp:simplePos x="0" y="0"/>
                <wp:positionH relativeFrom="page">
                  <wp:posOffset>4371543</wp:posOffset>
                </wp:positionH>
                <wp:positionV relativeFrom="paragraph">
                  <wp:posOffset>1412556</wp:posOffset>
                </wp:positionV>
                <wp:extent cx="1512570" cy="102870"/>
                <wp:effectExtent l="0" t="0" r="0" b="0"/>
                <wp:wrapNone/>
                <wp:docPr id="1035" name="Graphic 1035"/>
                <wp:cNvGraphicFramePr>
                  <a:graphicFrameLocks/>
                </wp:cNvGraphicFramePr>
                <a:graphic>
                  <a:graphicData uri="http://schemas.microsoft.com/office/word/2010/wordprocessingShape">
                    <wps:wsp>
                      <wps:cNvPr id="1035" name="Graphic 1035"/>
                      <wps:cNvSpPr/>
                      <wps:spPr>
                        <a:xfrm>
                          <a:off x="0" y="0"/>
                          <a:ext cx="1512570" cy="102870"/>
                        </a:xfrm>
                        <a:custGeom>
                          <a:avLst/>
                          <a:gdLst/>
                          <a:ahLst/>
                          <a:cxnLst/>
                          <a:rect l="l" t="t" r="r" b="b"/>
                          <a:pathLst>
                            <a:path w="1512570" h="102870">
                              <a:moveTo>
                                <a:pt x="1511998" y="0"/>
                              </a:moveTo>
                              <a:lnTo>
                                <a:pt x="0" y="0"/>
                              </a:lnTo>
                              <a:lnTo>
                                <a:pt x="0" y="102819"/>
                              </a:lnTo>
                              <a:lnTo>
                                <a:pt x="1511998" y="102819"/>
                              </a:lnTo>
                              <a:lnTo>
                                <a:pt x="15119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4.216pt;margin-top:111.224892pt;width:119.055pt;height:8.096pt;mso-position-horizontal-relative:page;mso-position-vertical-relative:paragraph;z-index:-28934656" id="docshape788" filled="true" fillcolor="#000000" stroked="false">
                <v:fill type="solid"/>
                <w10:wrap type="none"/>
              </v:rect>
            </w:pict>
          </mc:Fallback>
        </mc:AlternateContent>
      </w:r>
      <w:r>
        <w:rPr>
          <w:sz w:val="16"/>
        </w:rPr>
        <w:drawing>
          <wp:anchor distT="0" distB="0" distL="0" distR="0" allowOverlap="1" layoutInCell="1" locked="0" behindDoc="0" simplePos="0" relativeHeight="15844352">
            <wp:simplePos x="0" y="0"/>
            <wp:positionH relativeFrom="page">
              <wp:posOffset>217931</wp:posOffset>
            </wp:positionH>
            <wp:positionV relativeFrom="paragraph">
              <wp:posOffset>1001444</wp:posOffset>
            </wp:positionV>
            <wp:extent cx="1203959" cy="207263"/>
            <wp:effectExtent l="0" t="0" r="0" b="0"/>
            <wp:wrapNone/>
            <wp:docPr id="1036" name="Image 1036"/>
            <wp:cNvGraphicFramePr>
              <a:graphicFrameLocks/>
            </wp:cNvGraphicFramePr>
            <a:graphic>
              <a:graphicData uri="http://schemas.openxmlformats.org/drawingml/2006/picture">
                <pic:pic>
                  <pic:nvPicPr>
                    <pic:cNvPr id="1036" name="Image 1036"/>
                    <pic:cNvPicPr/>
                  </pic:nvPicPr>
                  <pic:blipFill>
                    <a:blip r:embed="rId219" cstate="print"/>
                    <a:stretch>
                      <a:fillRect/>
                    </a:stretch>
                  </pic:blipFill>
                  <pic:spPr>
                    <a:xfrm>
                      <a:off x="0" y="0"/>
                      <a:ext cx="1203959" cy="207263"/>
                    </a:xfrm>
                    <a:prstGeom prst="rect">
                      <a:avLst/>
                    </a:prstGeom>
                  </pic:spPr>
                </pic:pic>
              </a:graphicData>
            </a:graphic>
          </wp:anchor>
        </w:drawing>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037" name="Textbox 1037"/>
                <wp:cNvGraphicFramePr>
                  <a:graphicFrameLocks/>
                </wp:cNvGraphicFramePr>
                <a:graphic>
                  <a:graphicData uri="http://schemas.microsoft.com/office/word/2010/wordprocessingShape">
                    <wps:wsp>
                      <wps:cNvPr id="1037" name="Textbox 1037"/>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038" name="Image 1038"/>
                                        <wp:cNvGraphicFramePr>
                                          <a:graphicFrameLocks/>
                                        </wp:cNvGraphicFramePr>
                                        <a:graphic>
                                          <a:graphicData uri="http://schemas.openxmlformats.org/drawingml/2006/picture">
                                            <pic:pic>
                                              <pic:nvPicPr>
                                                <pic:cNvPr id="1038" name="Image 103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039" name="Image 1039"/>
                                        <wp:cNvGraphicFramePr>
                                          <a:graphicFrameLocks/>
                                        </wp:cNvGraphicFramePr>
                                        <a:graphic>
                                          <a:graphicData uri="http://schemas.openxmlformats.org/drawingml/2006/picture">
                                            <pic:pic>
                                              <pic:nvPicPr>
                                                <pic:cNvPr id="1039" name="Image 103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040" name="Image 1040"/>
                                        <wp:cNvGraphicFramePr>
                                          <a:graphicFrameLocks/>
                                        </wp:cNvGraphicFramePr>
                                        <a:graphic>
                                          <a:graphicData uri="http://schemas.openxmlformats.org/drawingml/2006/picture">
                                            <pic:pic>
                                              <pic:nvPicPr>
                                                <pic:cNvPr id="1040" name="Image 1040"/>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041" name="Image 1041"/>
                                        <wp:cNvGraphicFramePr>
                                          <a:graphicFrameLocks/>
                                        </wp:cNvGraphicFramePr>
                                        <a:graphic>
                                          <a:graphicData uri="http://schemas.openxmlformats.org/drawingml/2006/picture">
                                            <pic:pic>
                                              <pic:nvPicPr>
                                                <pic:cNvPr id="1041" name="Image 1041"/>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12/40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042" name="Image 1042"/>
                                        <wp:cNvGraphicFramePr>
                                          <a:graphicFrameLocks/>
                                        </wp:cNvGraphicFramePr>
                                        <a:graphic>
                                          <a:graphicData uri="http://schemas.openxmlformats.org/drawingml/2006/picture">
                                            <pic:pic>
                                              <pic:nvPicPr>
                                                <pic:cNvPr id="1042" name="Image 1042"/>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043" name="Image 1043"/>
                                        <wp:cNvGraphicFramePr>
                                          <a:graphicFrameLocks/>
                                        </wp:cNvGraphicFramePr>
                                        <a:graphic>
                                          <a:graphicData uri="http://schemas.openxmlformats.org/drawingml/2006/picture">
                                            <pic:pic>
                                              <pic:nvPicPr>
                                                <pic:cNvPr id="1043" name="Image 1043"/>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789"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044" name="Image 1044"/>
                                  <wp:cNvGraphicFramePr>
                                    <a:graphicFrameLocks/>
                                  </wp:cNvGraphicFramePr>
                                  <a:graphic>
                                    <a:graphicData uri="http://schemas.openxmlformats.org/drawingml/2006/picture">
                                      <pic:pic>
                                        <pic:nvPicPr>
                                          <pic:cNvPr id="1044" name="Image 1044"/>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045" name="Image 1045"/>
                                  <wp:cNvGraphicFramePr>
                                    <a:graphicFrameLocks/>
                                  </wp:cNvGraphicFramePr>
                                  <a:graphic>
                                    <a:graphicData uri="http://schemas.openxmlformats.org/drawingml/2006/picture">
                                      <pic:pic>
                                        <pic:nvPicPr>
                                          <pic:cNvPr id="1045" name="Image 1045"/>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046" name="Image 1046"/>
                                  <wp:cNvGraphicFramePr>
                                    <a:graphicFrameLocks/>
                                  </wp:cNvGraphicFramePr>
                                  <a:graphic>
                                    <a:graphicData uri="http://schemas.openxmlformats.org/drawingml/2006/picture">
                                      <pic:pic>
                                        <pic:nvPicPr>
                                          <pic:cNvPr id="1046" name="Image 1046"/>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047" name="Image 1047"/>
                                  <wp:cNvGraphicFramePr>
                                    <a:graphicFrameLocks/>
                                  </wp:cNvGraphicFramePr>
                                  <a:graphic>
                                    <a:graphicData uri="http://schemas.openxmlformats.org/drawingml/2006/picture">
                                      <pic:pic>
                                        <pic:nvPicPr>
                                          <pic:cNvPr id="1047" name="Image 1047"/>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12/40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048" name="Image 1048"/>
                                  <wp:cNvGraphicFramePr>
                                    <a:graphicFrameLocks/>
                                  </wp:cNvGraphicFramePr>
                                  <a:graphic>
                                    <a:graphicData uri="http://schemas.openxmlformats.org/drawingml/2006/picture">
                                      <pic:pic>
                                        <pic:nvPicPr>
                                          <pic:cNvPr id="1048" name="Image 1048"/>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049" name="Image 1049"/>
                                  <wp:cNvGraphicFramePr>
                                    <a:graphicFrameLocks/>
                                  </wp:cNvGraphicFramePr>
                                  <a:graphic>
                                    <a:graphicData uri="http://schemas.openxmlformats.org/drawingml/2006/picture">
                                      <pic:pic>
                                        <pic:nvPicPr>
                                          <pic:cNvPr id="1049" name="Image 1049"/>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050" name="Group 1050"/>
                <wp:cNvGraphicFramePr>
                  <a:graphicFrameLocks/>
                </wp:cNvGraphicFramePr>
                <a:graphic>
                  <a:graphicData uri="http://schemas.microsoft.com/office/word/2010/wordprocessingGroup">
                    <wpg:wgp>
                      <wpg:cNvPr id="1050" name="Group 1050"/>
                      <wpg:cNvGrpSpPr/>
                      <wpg:grpSpPr>
                        <a:xfrm>
                          <a:off x="0" y="0"/>
                          <a:ext cx="734695" cy="753110"/>
                          <a:chExt cx="734695" cy="753110"/>
                        </a:xfrm>
                      </wpg:grpSpPr>
                      <pic:pic>
                        <pic:nvPicPr>
                          <pic:cNvPr id="1051" name="Image 1051"/>
                          <pic:cNvPicPr/>
                        </pic:nvPicPr>
                        <pic:blipFill>
                          <a:blip r:embed="rId237" cstate="print"/>
                          <a:stretch>
                            <a:fillRect/>
                          </a:stretch>
                        </pic:blipFill>
                        <pic:spPr>
                          <a:xfrm>
                            <a:off x="0" y="0"/>
                            <a:ext cx="734567" cy="752840"/>
                          </a:xfrm>
                          <a:prstGeom prst="rect">
                            <a:avLst/>
                          </a:prstGeom>
                        </pic:spPr>
                      </pic:pic>
                      <wps:wsp>
                        <wps:cNvPr id="1052" name="Graphic 1052"/>
                        <wps:cNvSpPr/>
                        <wps:spPr>
                          <a:xfrm>
                            <a:off x="55524" y="70152"/>
                            <a:ext cx="659765" cy="619760"/>
                          </a:xfrm>
                          <a:custGeom>
                            <a:avLst/>
                            <a:gdLst/>
                            <a:ahLst/>
                            <a:cxnLst/>
                            <a:rect l="l" t="t" r="r" b="b"/>
                            <a:pathLst>
                              <a:path w="659765" h="619760">
                                <a:moveTo>
                                  <a:pt x="659561" y="0"/>
                                </a:moveTo>
                                <a:lnTo>
                                  <a:pt x="0" y="0"/>
                                </a:lnTo>
                                <a:lnTo>
                                  <a:pt x="0" y="619531"/>
                                </a:lnTo>
                                <a:lnTo>
                                  <a:pt x="659561" y="619531"/>
                                </a:lnTo>
                                <a:lnTo>
                                  <a:pt x="65956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790" coordorigin="0,0" coordsize="1157,1186">
                <v:shape style="position:absolute;left:0;top:0;width:1157;height:1186" type="#_x0000_t75" id="docshape791" stroked="false">
                  <v:imagedata r:id="rId237" o:title=""/>
                </v:shape>
                <v:rect style="position:absolute;left:87;top:110;width:1039;height:976" id="docshape792"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2251" w:right="2024" w:firstLine="0"/>
        <w:jc w:val="both"/>
        <w:rPr>
          <w:rFonts w:ascii="Calibri" w:hAnsi="Calibri"/>
          <w:sz w:val="20"/>
        </w:rPr>
      </w:pPr>
      <w:r>
        <w:rPr>
          <w:rFonts w:ascii="Calibri" w:hAnsi="Calibri"/>
          <w:sz w:val="20"/>
        </w:rPr>
        <w:t>Esta</w:t>
      </w:r>
      <w:r>
        <w:rPr>
          <w:rFonts w:ascii="Calibri" w:hAnsi="Calibri"/>
          <w:spacing w:val="-12"/>
          <w:sz w:val="20"/>
        </w:rPr>
        <w:t> </w:t>
      </w:r>
      <w:r>
        <w:rPr>
          <w:rFonts w:ascii="Calibri" w:hAnsi="Calibri"/>
          <w:sz w:val="20"/>
        </w:rPr>
        <w:t>necesaria</w:t>
      </w:r>
      <w:r>
        <w:rPr>
          <w:rFonts w:ascii="Calibri" w:hAnsi="Calibri"/>
          <w:spacing w:val="-11"/>
          <w:sz w:val="20"/>
        </w:rPr>
        <w:t> </w:t>
      </w:r>
      <w:r>
        <w:rPr>
          <w:rFonts w:ascii="Calibri" w:hAnsi="Calibri"/>
          <w:sz w:val="20"/>
        </w:rPr>
        <w:t>coordinación</w:t>
      </w:r>
      <w:r>
        <w:rPr>
          <w:rFonts w:ascii="Calibri" w:hAnsi="Calibri"/>
          <w:spacing w:val="-11"/>
          <w:sz w:val="20"/>
        </w:rPr>
        <w:t> </w:t>
      </w:r>
      <w:r>
        <w:rPr>
          <w:rFonts w:ascii="Calibri" w:hAnsi="Calibri"/>
          <w:sz w:val="20"/>
        </w:rPr>
        <w:t>con</w:t>
      </w:r>
      <w:r>
        <w:rPr>
          <w:rFonts w:ascii="Calibri" w:hAnsi="Calibri"/>
          <w:spacing w:val="-12"/>
          <w:sz w:val="20"/>
        </w:rPr>
        <w:t> </w:t>
      </w:r>
      <w:r>
        <w:rPr>
          <w:rFonts w:ascii="Calibri" w:hAnsi="Calibri"/>
          <w:sz w:val="20"/>
        </w:rPr>
        <w:t>diferentes</w:t>
      </w:r>
      <w:r>
        <w:rPr>
          <w:rFonts w:ascii="Calibri" w:hAnsi="Calibri"/>
          <w:spacing w:val="-11"/>
          <w:sz w:val="20"/>
        </w:rPr>
        <w:t> </w:t>
      </w:r>
      <w:r>
        <w:rPr>
          <w:rFonts w:ascii="Calibri" w:hAnsi="Calibri"/>
          <w:sz w:val="20"/>
        </w:rPr>
        <w:t>organismos,</w:t>
      </w:r>
      <w:r>
        <w:rPr>
          <w:rFonts w:ascii="Calibri" w:hAnsi="Calibri"/>
          <w:spacing w:val="-11"/>
          <w:sz w:val="20"/>
        </w:rPr>
        <w:t> </w:t>
      </w:r>
      <w:r>
        <w:rPr>
          <w:rFonts w:ascii="Calibri" w:hAnsi="Calibri"/>
          <w:sz w:val="20"/>
        </w:rPr>
        <w:t>aunque</w:t>
      </w:r>
      <w:r>
        <w:rPr>
          <w:rFonts w:ascii="Calibri" w:hAnsi="Calibri"/>
          <w:spacing w:val="-12"/>
          <w:sz w:val="20"/>
        </w:rPr>
        <w:t> </w:t>
      </w:r>
      <w:r>
        <w:rPr>
          <w:rFonts w:ascii="Calibri" w:hAnsi="Calibri"/>
          <w:sz w:val="20"/>
        </w:rPr>
        <w:t>esencial</w:t>
      </w:r>
      <w:r>
        <w:rPr>
          <w:rFonts w:ascii="Calibri" w:hAnsi="Calibri"/>
          <w:spacing w:val="-11"/>
          <w:sz w:val="20"/>
        </w:rPr>
        <w:t> </w:t>
      </w:r>
      <w:r>
        <w:rPr>
          <w:rFonts w:ascii="Calibri" w:hAnsi="Calibri"/>
          <w:sz w:val="20"/>
        </w:rPr>
        <w:t>para</w:t>
      </w:r>
      <w:r>
        <w:rPr>
          <w:rFonts w:ascii="Calibri" w:hAnsi="Calibri"/>
          <w:spacing w:val="-11"/>
          <w:sz w:val="20"/>
        </w:rPr>
        <w:t> </w:t>
      </w:r>
      <w:r>
        <w:rPr>
          <w:rFonts w:ascii="Calibri" w:hAnsi="Calibri"/>
          <w:sz w:val="20"/>
        </w:rPr>
        <w:t>la</w:t>
      </w:r>
      <w:r>
        <w:rPr>
          <w:rFonts w:ascii="Calibri" w:hAnsi="Calibri"/>
          <w:spacing w:val="-12"/>
          <w:sz w:val="20"/>
        </w:rPr>
        <w:t> </w:t>
      </w:r>
      <w:r>
        <w:rPr>
          <w:rFonts w:ascii="Calibri" w:hAnsi="Calibri"/>
          <w:sz w:val="20"/>
        </w:rPr>
        <w:t>integración técnica y funcional de las actuaciones, supuso una prolongación temporal del proceso de ejecución, derivada de la validación conjunta de las soluciones técnicas adoptadas.</w:t>
      </w:r>
    </w:p>
    <w:p>
      <w:pPr>
        <w:spacing w:line="259" w:lineRule="auto" w:before="138"/>
        <w:ind w:left="2251" w:right="2021" w:firstLine="0"/>
        <w:jc w:val="both"/>
        <w:rPr>
          <w:rFonts w:ascii="Calibri" w:hAnsi="Calibri"/>
          <w:sz w:val="20"/>
        </w:rPr>
      </w:pPr>
      <w:r>
        <w:rPr>
          <w:rFonts w:ascii="Calibri" w:hAnsi="Calibri"/>
          <w:sz w:val="20"/>
        </w:rPr>
        <w:t>Todas las adaptaciones tuvieron como finalidad optimizar la funcionalidad de la red y asegurar la compatibilidad de las nuevas infraestructuras con la ordenación del viario existente y su uso efectivo.</w:t>
      </w:r>
    </w:p>
    <w:p>
      <w:pPr>
        <w:spacing w:line="256" w:lineRule="auto" w:before="137"/>
        <w:ind w:left="2251" w:right="2017" w:firstLine="0"/>
        <w:jc w:val="both"/>
        <w:rPr>
          <w:rFonts w:ascii="Calibri" w:hAnsi="Calibri"/>
          <w:sz w:val="20"/>
        </w:rPr>
      </w:pPr>
      <w:r>
        <w:rPr>
          <w:rFonts w:ascii="Calibri" w:hAnsi="Calibri"/>
          <w:sz w:val="20"/>
        </w:rPr>
        <w:t>Asimismo, dichas modificaciones derivaron de instrucciones técnicas de la propia Administración, orientadas</w:t>
      </w:r>
      <w:r>
        <w:rPr>
          <w:rFonts w:ascii="Calibri" w:hAnsi="Calibri"/>
          <w:spacing w:val="-1"/>
          <w:sz w:val="20"/>
        </w:rPr>
        <w:t> </w:t>
      </w:r>
      <w:r>
        <w:rPr>
          <w:rFonts w:ascii="Calibri" w:hAnsi="Calibri"/>
          <w:sz w:val="20"/>
        </w:rPr>
        <w:t>a reforzar la seguridad</w:t>
      </w:r>
      <w:r>
        <w:rPr>
          <w:rFonts w:ascii="Calibri" w:hAnsi="Calibri"/>
          <w:spacing w:val="-2"/>
          <w:sz w:val="20"/>
        </w:rPr>
        <w:t> </w:t>
      </w:r>
      <w:r>
        <w:rPr>
          <w:rFonts w:ascii="Calibri" w:hAnsi="Calibri"/>
          <w:sz w:val="20"/>
        </w:rPr>
        <w:t>vial,</w:t>
      </w:r>
      <w:r>
        <w:rPr>
          <w:rFonts w:ascii="Calibri" w:hAnsi="Calibri"/>
          <w:spacing w:val="-1"/>
          <w:sz w:val="20"/>
        </w:rPr>
        <w:t> </w:t>
      </w:r>
      <w:r>
        <w:rPr>
          <w:rFonts w:ascii="Calibri" w:hAnsi="Calibri"/>
          <w:sz w:val="20"/>
        </w:rPr>
        <w:t>mejorar la accesibilidad</w:t>
      </w:r>
      <w:r>
        <w:rPr>
          <w:rFonts w:ascii="Calibri" w:hAnsi="Calibri"/>
          <w:spacing w:val="-2"/>
          <w:sz w:val="20"/>
        </w:rPr>
        <w:t> </w:t>
      </w:r>
      <w:r>
        <w:rPr>
          <w:rFonts w:ascii="Calibri" w:hAnsi="Calibri"/>
          <w:sz w:val="20"/>
        </w:rPr>
        <w:t>universal y reordenar el tráfico urbano conforme a las necesidades reales del servicio de transporte público.</w:t>
      </w:r>
      <w:r>
        <w:rPr>
          <w:rFonts w:ascii="Calibri" w:hAnsi="Calibri"/>
          <w:spacing w:val="-2"/>
          <w:sz w:val="20"/>
        </w:rPr>
        <w:t> </w:t>
      </w:r>
      <w:r>
        <w:rPr>
          <w:rFonts w:ascii="Calibri" w:hAnsi="Calibri"/>
          <w:sz w:val="20"/>
        </w:rPr>
        <w:t>Estas</w:t>
      </w:r>
      <w:r>
        <w:rPr>
          <w:rFonts w:ascii="Calibri" w:hAnsi="Calibri"/>
          <w:spacing w:val="-2"/>
          <w:sz w:val="20"/>
        </w:rPr>
        <w:t> </w:t>
      </w:r>
      <w:r>
        <w:rPr>
          <w:rFonts w:ascii="Calibri" w:hAnsi="Calibri"/>
          <w:sz w:val="20"/>
        </w:rPr>
        <w:t>actuaciones,</w:t>
      </w:r>
      <w:r>
        <w:rPr>
          <w:rFonts w:ascii="Calibri" w:hAnsi="Calibri"/>
          <w:spacing w:val="-2"/>
          <w:sz w:val="20"/>
        </w:rPr>
        <w:t> </w:t>
      </w:r>
      <w:r>
        <w:rPr>
          <w:rFonts w:ascii="Calibri" w:hAnsi="Calibri"/>
          <w:sz w:val="20"/>
        </w:rPr>
        <w:t>lejos</w:t>
      </w:r>
      <w:r>
        <w:rPr>
          <w:rFonts w:ascii="Calibri" w:hAnsi="Calibri"/>
          <w:spacing w:val="-1"/>
          <w:sz w:val="20"/>
        </w:rPr>
        <w:t> </w:t>
      </w:r>
      <w:r>
        <w:rPr>
          <w:rFonts w:ascii="Calibri" w:hAnsi="Calibri"/>
          <w:sz w:val="20"/>
        </w:rPr>
        <w:t>de</w:t>
      </w:r>
      <w:r>
        <w:rPr>
          <w:rFonts w:ascii="Calibri" w:hAnsi="Calibri"/>
          <w:spacing w:val="-4"/>
          <w:sz w:val="20"/>
        </w:rPr>
        <w:t> </w:t>
      </w:r>
      <w:r>
        <w:rPr>
          <w:rFonts w:ascii="Calibri" w:hAnsi="Calibri"/>
          <w:sz w:val="20"/>
        </w:rPr>
        <w:t>alterar</w:t>
      </w:r>
      <w:r>
        <w:rPr>
          <w:rFonts w:ascii="Calibri" w:hAnsi="Calibri"/>
          <w:spacing w:val="-4"/>
          <w:sz w:val="20"/>
        </w:rPr>
        <w:t> </w:t>
      </w:r>
      <w:r>
        <w:rPr>
          <w:rFonts w:ascii="Calibri" w:hAnsi="Calibri"/>
          <w:sz w:val="20"/>
        </w:rPr>
        <w:t>el</w:t>
      </w:r>
      <w:r>
        <w:rPr>
          <w:rFonts w:ascii="Calibri" w:hAnsi="Calibri"/>
          <w:spacing w:val="-4"/>
          <w:sz w:val="20"/>
        </w:rPr>
        <w:t> </w:t>
      </w:r>
      <w:r>
        <w:rPr>
          <w:rFonts w:ascii="Calibri" w:hAnsi="Calibri"/>
          <w:sz w:val="20"/>
        </w:rPr>
        <w:t>objeto</w:t>
      </w:r>
      <w:r>
        <w:rPr>
          <w:rFonts w:ascii="Calibri" w:hAnsi="Calibri"/>
          <w:spacing w:val="-2"/>
          <w:sz w:val="20"/>
        </w:rPr>
        <w:t> </w:t>
      </w:r>
      <w:r>
        <w:rPr>
          <w:rFonts w:ascii="Calibri" w:hAnsi="Calibri"/>
          <w:sz w:val="20"/>
        </w:rPr>
        <w:t>del</w:t>
      </w:r>
      <w:r>
        <w:rPr>
          <w:rFonts w:ascii="Calibri" w:hAnsi="Calibri"/>
          <w:spacing w:val="-1"/>
          <w:sz w:val="20"/>
        </w:rPr>
        <w:t> </w:t>
      </w:r>
      <w:r>
        <w:rPr>
          <w:rFonts w:ascii="Calibri" w:hAnsi="Calibri"/>
          <w:sz w:val="20"/>
        </w:rPr>
        <w:t>contrato,</w:t>
      </w:r>
      <w:r>
        <w:rPr>
          <w:rFonts w:ascii="Calibri" w:hAnsi="Calibri"/>
          <w:spacing w:val="-4"/>
          <w:sz w:val="20"/>
        </w:rPr>
        <w:t> </w:t>
      </w:r>
      <w:r>
        <w:rPr>
          <w:rFonts w:ascii="Calibri" w:hAnsi="Calibri"/>
          <w:sz w:val="20"/>
        </w:rPr>
        <w:t>respondieron</w:t>
      </w:r>
      <w:r>
        <w:rPr>
          <w:rFonts w:ascii="Calibri" w:hAnsi="Calibri"/>
          <w:spacing w:val="-2"/>
          <w:sz w:val="20"/>
        </w:rPr>
        <w:t> </w:t>
      </w:r>
      <w:r>
        <w:rPr>
          <w:rFonts w:ascii="Calibri" w:hAnsi="Calibri"/>
          <w:sz w:val="20"/>
        </w:rPr>
        <w:t>al</w:t>
      </w:r>
      <w:r>
        <w:rPr>
          <w:rFonts w:ascii="Calibri" w:hAnsi="Calibri"/>
          <w:spacing w:val="-2"/>
          <w:sz w:val="20"/>
        </w:rPr>
        <w:t> </w:t>
      </w:r>
      <w:r>
        <w:rPr>
          <w:rFonts w:ascii="Calibri" w:hAnsi="Calibri"/>
          <w:sz w:val="20"/>
        </w:rPr>
        <w:t>ejercicio legítimo de las competencias municipales en materia de ordenación del tráfico y gestión del espacio público, garantizando la funcionalidad, seguridad y eficiencia del viario </w:t>
      </w:r>
      <w:r>
        <w:rPr>
          <w:rFonts w:ascii="Calibri" w:hAnsi="Calibri"/>
          <w:spacing w:val="-2"/>
          <w:sz w:val="20"/>
        </w:rPr>
        <w:t>afectado.</w:t>
      </w:r>
    </w:p>
    <w:p>
      <w:pPr>
        <w:spacing w:line="256" w:lineRule="auto" w:before="147"/>
        <w:ind w:left="2251" w:right="2020" w:firstLine="0"/>
        <w:jc w:val="both"/>
        <w:rPr>
          <w:rFonts w:ascii="Calibri" w:hAnsi="Calibri"/>
          <w:sz w:val="20"/>
        </w:rPr>
      </w:pPr>
      <w:r>
        <w:rPr>
          <w:rFonts w:ascii="Calibri" w:hAnsi="Calibri"/>
          <w:sz w:val="20"/>
        </w:rPr>
        <w:t>La modificación se tramitó de acuerdo con el artículo 205 de la Ley 9/2017, de Contratos del Sector Público (LCSP), por tratarse de circunstancias imprevisibles que no podían anticiparse, sin alterar la naturaleza ni el equilibrio económico del contrato. El importe de la modificación (79.741,23€ sin IVA) se mantuvo dentro de los límites legales y fue aprobado con los informes técnicos y jurídicos preceptivos.</w:t>
      </w:r>
    </w:p>
    <w:p>
      <w:pPr>
        <w:spacing w:line="256" w:lineRule="auto" w:before="149"/>
        <w:ind w:left="2251" w:right="2019" w:firstLine="0"/>
        <w:jc w:val="both"/>
        <w:rPr>
          <w:rFonts w:ascii="Calibri" w:hAnsi="Calibri"/>
          <w:sz w:val="20"/>
        </w:rPr>
      </w:pPr>
      <w:r>
        <w:rPr>
          <w:rFonts w:ascii="Calibri" w:hAnsi="Calibri"/>
          <w:sz w:val="20"/>
        </w:rPr>
        <w:t>En consecuencia, </w:t>
      </w:r>
      <w:r>
        <w:rPr>
          <w:rFonts w:ascii="Calibri" w:hAnsi="Calibri"/>
          <w:sz w:val="20"/>
          <w:u w:val="single"/>
        </w:rPr>
        <w:t>se</w:t>
      </w:r>
      <w:r>
        <w:rPr>
          <w:rFonts w:ascii="Calibri" w:hAnsi="Calibri"/>
          <w:spacing w:val="-2"/>
          <w:sz w:val="20"/>
          <w:u w:val="single"/>
        </w:rPr>
        <w:t> </w:t>
      </w:r>
      <w:r>
        <w:rPr>
          <w:rFonts w:ascii="Calibri" w:hAnsi="Calibri"/>
          <w:sz w:val="20"/>
          <w:u w:val="single"/>
        </w:rPr>
        <w:t>solicita que en el texto definitivo del informe se aclare que la demora</w:t>
      </w:r>
      <w:r>
        <w:rPr>
          <w:rFonts w:ascii="Calibri" w:hAnsi="Calibri"/>
          <w:sz w:val="20"/>
          <w:u w:val="none"/>
        </w:rPr>
        <w:t> </w:t>
      </w:r>
      <w:r>
        <w:rPr>
          <w:rFonts w:ascii="Calibri" w:hAnsi="Calibri"/>
          <w:sz w:val="20"/>
          <w:u w:val="single"/>
        </w:rPr>
        <w:t>en la ejecución del contrato no fue consecuencia de una deficiente planificación, sino del</w:t>
      </w:r>
      <w:r>
        <w:rPr>
          <w:rFonts w:ascii="Calibri" w:hAnsi="Calibri"/>
          <w:sz w:val="20"/>
          <w:u w:val="none"/>
        </w:rPr>
        <w:t> </w:t>
      </w:r>
      <w:r>
        <w:rPr>
          <w:rFonts w:ascii="Calibri" w:hAnsi="Calibri"/>
          <w:sz w:val="20"/>
          <w:u w:val="single"/>
        </w:rPr>
        <w:t>carácter urbano y transversal de las obras, la aparición de servicios no previstos, y la</w:t>
      </w:r>
      <w:r>
        <w:rPr>
          <w:rFonts w:ascii="Calibri" w:hAnsi="Calibri"/>
          <w:sz w:val="20"/>
          <w:u w:val="none"/>
        </w:rPr>
        <w:t> </w:t>
      </w:r>
      <w:r>
        <w:rPr>
          <w:rFonts w:ascii="Calibri" w:hAnsi="Calibri"/>
          <w:sz w:val="20"/>
          <w:u w:val="single"/>
        </w:rPr>
        <w:t>necesidad de coordinar las actuaciones con diversas áreas municipales dentro del marco</w:t>
      </w:r>
      <w:r>
        <w:rPr>
          <w:rFonts w:ascii="Calibri" w:hAnsi="Calibri"/>
          <w:sz w:val="20"/>
          <w:u w:val="none"/>
        </w:rPr>
        <w:t> </w:t>
      </w:r>
      <w:r>
        <w:rPr>
          <w:rFonts w:ascii="Calibri" w:hAnsi="Calibri"/>
          <w:sz w:val="20"/>
          <w:u w:val="single"/>
        </w:rPr>
        <w:t>de las</w:t>
      </w:r>
      <w:r>
        <w:rPr>
          <w:rFonts w:ascii="Calibri" w:hAnsi="Calibri"/>
          <w:spacing w:val="-1"/>
          <w:sz w:val="20"/>
          <w:u w:val="single"/>
        </w:rPr>
        <w:t> </w:t>
      </w:r>
      <w:r>
        <w:rPr>
          <w:rFonts w:ascii="Calibri" w:hAnsi="Calibri"/>
          <w:sz w:val="20"/>
          <w:u w:val="single"/>
        </w:rPr>
        <w:t>competencias</w:t>
      </w:r>
      <w:r>
        <w:rPr>
          <w:rFonts w:ascii="Calibri" w:hAnsi="Calibri"/>
          <w:spacing w:val="-4"/>
          <w:sz w:val="20"/>
          <w:u w:val="single"/>
        </w:rPr>
        <w:t> </w:t>
      </w:r>
      <w:r>
        <w:rPr>
          <w:rFonts w:ascii="Calibri" w:hAnsi="Calibri"/>
          <w:sz w:val="20"/>
          <w:u w:val="single"/>
        </w:rPr>
        <w:t>locales en</w:t>
      </w:r>
      <w:r>
        <w:rPr>
          <w:rFonts w:ascii="Calibri" w:hAnsi="Calibri"/>
          <w:spacing w:val="-4"/>
          <w:sz w:val="20"/>
          <w:u w:val="single"/>
        </w:rPr>
        <w:t> </w:t>
      </w:r>
      <w:r>
        <w:rPr>
          <w:rFonts w:ascii="Calibri" w:hAnsi="Calibri"/>
          <w:sz w:val="20"/>
          <w:u w:val="single"/>
        </w:rPr>
        <w:t>materia</w:t>
      </w:r>
      <w:r>
        <w:rPr>
          <w:rFonts w:ascii="Calibri" w:hAnsi="Calibri"/>
          <w:spacing w:val="-2"/>
          <w:sz w:val="20"/>
          <w:u w:val="single"/>
        </w:rPr>
        <w:t> </w:t>
      </w:r>
      <w:r>
        <w:rPr>
          <w:rFonts w:ascii="Calibri" w:hAnsi="Calibri"/>
          <w:sz w:val="20"/>
          <w:u w:val="single"/>
        </w:rPr>
        <w:t>de</w:t>
      </w:r>
      <w:r>
        <w:rPr>
          <w:rFonts w:ascii="Calibri" w:hAnsi="Calibri"/>
          <w:spacing w:val="-1"/>
          <w:sz w:val="20"/>
          <w:u w:val="single"/>
        </w:rPr>
        <w:t> </w:t>
      </w:r>
      <w:r>
        <w:rPr>
          <w:rFonts w:ascii="Calibri" w:hAnsi="Calibri"/>
          <w:sz w:val="20"/>
          <w:u w:val="single"/>
        </w:rPr>
        <w:t>tráfico,</w:t>
      </w:r>
      <w:r>
        <w:rPr>
          <w:rFonts w:ascii="Calibri" w:hAnsi="Calibri"/>
          <w:spacing w:val="-2"/>
          <w:sz w:val="20"/>
          <w:u w:val="single"/>
        </w:rPr>
        <w:t> </w:t>
      </w:r>
      <w:r>
        <w:rPr>
          <w:rFonts w:ascii="Calibri" w:hAnsi="Calibri"/>
          <w:sz w:val="20"/>
          <w:u w:val="single"/>
        </w:rPr>
        <w:t>movilidad y gestión</w:t>
      </w:r>
      <w:r>
        <w:rPr>
          <w:rFonts w:ascii="Calibri" w:hAnsi="Calibri"/>
          <w:spacing w:val="-1"/>
          <w:sz w:val="20"/>
          <w:u w:val="single"/>
        </w:rPr>
        <w:t> </w:t>
      </w:r>
      <w:r>
        <w:rPr>
          <w:rFonts w:ascii="Calibri" w:hAnsi="Calibri"/>
          <w:sz w:val="20"/>
          <w:u w:val="single"/>
        </w:rPr>
        <w:t>del</w:t>
      </w:r>
      <w:r>
        <w:rPr>
          <w:rFonts w:ascii="Calibri" w:hAnsi="Calibri"/>
          <w:spacing w:val="-1"/>
          <w:sz w:val="20"/>
          <w:u w:val="single"/>
        </w:rPr>
        <w:t> </w:t>
      </w:r>
      <w:r>
        <w:rPr>
          <w:rFonts w:ascii="Calibri" w:hAnsi="Calibri"/>
          <w:sz w:val="20"/>
          <w:u w:val="single"/>
        </w:rPr>
        <w:t>espacio público.</w:t>
      </w:r>
    </w:p>
    <w:p>
      <w:pPr>
        <w:pStyle w:val="BodyText"/>
        <w:rPr>
          <w:rFonts w:ascii="Calibri"/>
          <w:sz w:val="20"/>
        </w:rPr>
      </w:pPr>
    </w:p>
    <w:p>
      <w:pPr>
        <w:pStyle w:val="BodyText"/>
        <w:spacing w:before="62"/>
        <w:rPr>
          <w:rFonts w:ascii="Calibri"/>
          <w:sz w:val="20"/>
        </w:rPr>
      </w:pPr>
    </w:p>
    <w:p>
      <w:pPr>
        <w:pStyle w:val="ListParagraph"/>
        <w:numPr>
          <w:ilvl w:val="3"/>
          <w:numId w:val="13"/>
        </w:numPr>
        <w:tabs>
          <w:tab w:pos="2911" w:val="left" w:leader="none"/>
        </w:tabs>
        <w:spacing w:line="240" w:lineRule="auto" w:before="1" w:after="0"/>
        <w:ind w:left="2911" w:right="0" w:hanging="660"/>
        <w:jc w:val="left"/>
        <w:rPr>
          <w:rFonts w:ascii="Calibri" w:hAnsi="Calibri"/>
          <w:sz w:val="20"/>
        </w:rPr>
      </w:pPr>
      <w:r>
        <w:rPr>
          <w:rFonts w:ascii="Calibri" w:hAnsi="Calibri"/>
          <w:sz w:val="20"/>
        </w:rPr>
        <w:t>DIGITALIZACIÓN</w:t>
      </w:r>
      <w:r>
        <w:rPr>
          <w:rFonts w:ascii="Calibri" w:hAnsi="Calibri"/>
          <w:spacing w:val="-5"/>
          <w:sz w:val="20"/>
        </w:rPr>
        <w:t> </w:t>
      </w:r>
      <w:r>
        <w:rPr>
          <w:rFonts w:ascii="Calibri" w:hAnsi="Calibri"/>
          <w:sz w:val="20"/>
        </w:rPr>
        <w:t>DEL</w:t>
      </w:r>
      <w:r>
        <w:rPr>
          <w:rFonts w:ascii="Calibri" w:hAnsi="Calibri"/>
          <w:spacing w:val="-2"/>
          <w:sz w:val="20"/>
        </w:rPr>
        <w:t> </w:t>
      </w:r>
      <w:r>
        <w:rPr>
          <w:rFonts w:ascii="Calibri" w:hAnsi="Calibri"/>
          <w:sz w:val="20"/>
        </w:rPr>
        <w:t>TRANSPORTE</w:t>
      </w:r>
      <w:r>
        <w:rPr>
          <w:rFonts w:ascii="Calibri" w:hAnsi="Calibri"/>
          <w:spacing w:val="-4"/>
          <w:sz w:val="20"/>
        </w:rPr>
        <w:t> </w:t>
      </w:r>
      <w:r>
        <w:rPr>
          <w:rFonts w:ascii="Calibri" w:hAnsi="Calibri"/>
          <w:sz w:val="20"/>
        </w:rPr>
        <w:t>PÚBLICO</w:t>
      </w:r>
      <w:r>
        <w:rPr>
          <w:rFonts w:ascii="Calibri" w:hAnsi="Calibri"/>
          <w:spacing w:val="-6"/>
          <w:sz w:val="20"/>
        </w:rPr>
        <w:t> </w:t>
      </w:r>
      <w:r>
        <w:rPr>
          <w:rFonts w:ascii="Calibri" w:hAnsi="Calibri"/>
          <w:spacing w:val="-2"/>
          <w:sz w:val="20"/>
        </w:rPr>
        <w:t>COLECTIVO</w:t>
      </w:r>
    </w:p>
    <w:p>
      <w:pPr>
        <w:spacing w:before="159"/>
        <w:ind w:left="2251" w:right="0" w:firstLine="0"/>
        <w:jc w:val="left"/>
        <w:rPr>
          <w:rFonts w:ascii="Calibri"/>
          <w:i/>
          <w:sz w:val="20"/>
        </w:rPr>
      </w:pPr>
      <w:r>
        <w:rPr>
          <w:rFonts w:ascii="Calibri"/>
          <w:i/>
          <w:color w:val="4472C4"/>
          <w:spacing w:val="-2"/>
          <w:sz w:val="20"/>
        </w:rPr>
        <w:t>Actuaciones realizadas</w:t>
      </w:r>
      <w:r>
        <w:rPr>
          <w:rFonts w:ascii="Calibri"/>
          <w:i/>
          <w:color w:val="4472C4"/>
          <w:spacing w:val="-1"/>
          <w:sz w:val="20"/>
        </w:rPr>
        <w:t> </w:t>
      </w:r>
      <w:r>
        <w:rPr>
          <w:rFonts w:ascii="Calibri"/>
          <w:i/>
          <w:color w:val="4472C4"/>
          <w:spacing w:val="-2"/>
          <w:sz w:val="20"/>
        </w:rPr>
        <w:t>por los</w:t>
      </w:r>
      <w:r>
        <w:rPr>
          <w:rFonts w:ascii="Calibri"/>
          <w:i/>
          <w:color w:val="4472C4"/>
          <w:sz w:val="20"/>
        </w:rPr>
        <w:t> </w:t>
      </w:r>
      <w:r>
        <w:rPr>
          <w:rFonts w:ascii="Calibri"/>
          <w:i/>
          <w:color w:val="4472C4"/>
          <w:spacing w:val="-2"/>
          <w:sz w:val="20"/>
        </w:rPr>
        <w:t>ayuntamientos</w:t>
      </w:r>
      <w:r>
        <w:rPr>
          <w:rFonts w:ascii="Calibri"/>
          <w:i/>
          <w:color w:val="4472C4"/>
          <w:spacing w:val="-1"/>
          <w:sz w:val="20"/>
        </w:rPr>
        <w:t> </w:t>
      </w:r>
      <w:r>
        <w:rPr>
          <w:rFonts w:ascii="Calibri"/>
          <w:i/>
          <w:color w:val="4472C4"/>
          <w:spacing w:val="-2"/>
          <w:sz w:val="20"/>
        </w:rPr>
        <w:t>de</w:t>
      </w:r>
      <w:r>
        <w:rPr>
          <w:rFonts w:ascii="Calibri"/>
          <w:i/>
          <w:color w:val="4472C4"/>
          <w:spacing w:val="-1"/>
          <w:sz w:val="20"/>
        </w:rPr>
        <w:t> </w:t>
      </w:r>
      <w:r>
        <w:rPr>
          <w:rFonts w:ascii="Calibri"/>
          <w:i/>
          <w:color w:val="4472C4"/>
          <w:spacing w:val="-2"/>
          <w:sz w:val="20"/>
        </w:rPr>
        <w:t>manera individualizada</w:t>
      </w:r>
    </w:p>
    <w:p>
      <w:pPr>
        <w:pStyle w:val="ListParagraph"/>
        <w:numPr>
          <w:ilvl w:val="4"/>
          <w:numId w:val="13"/>
        </w:numPr>
        <w:tabs>
          <w:tab w:pos="2251" w:val="left" w:leader="none"/>
        </w:tabs>
        <w:spacing w:line="256" w:lineRule="auto" w:before="161" w:after="0"/>
        <w:ind w:left="2251" w:right="2020" w:hanging="327"/>
        <w:jc w:val="both"/>
        <w:rPr>
          <w:rFonts w:ascii="Calibri" w:hAnsi="Calibri"/>
          <w:color w:val="4472C4"/>
          <w:sz w:val="20"/>
        </w:rPr>
      </w:pPr>
      <w:r>
        <w:rPr>
          <w:rFonts w:ascii="Calibri" w:hAnsi="Calibri"/>
          <w:i/>
          <w:color w:val="4472C4"/>
          <w:sz w:val="20"/>
        </w:rPr>
        <w:t>En la pág. 68 se pone de manifiesto lo siguiente: </w:t>
      </w:r>
      <w:r>
        <w:rPr>
          <w:rFonts w:ascii="Calibri" w:hAnsi="Calibri"/>
          <w:i/>
          <w:color w:val="4472C4"/>
          <w:sz w:val="20"/>
          <w:u w:val="single" w:color="4472C4"/>
        </w:rPr>
        <w:t>“suministro e instalación de pantallas y</w:t>
      </w:r>
      <w:r>
        <w:rPr>
          <w:rFonts w:ascii="Calibri" w:hAnsi="Calibri"/>
          <w:i/>
          <w:color w:val="4472C4"/>
          <w:sz w:val="20"/>
          <w:u w:val="none"/>
        </w:rPr>
        <w:t> </w:t>
      </w:r>
      <w:r>
        <w:rPr>
          <w:rFonts w:ascii="Calibri" w:hAnsi="Calibri"/>
          <w:i/>
          <w:color w:val="4472C4"/>
          <w:sz w:val="20"/>
          <w:u w:val="single" w:color="4472C4"/>
        </w:rPr>
        <w:t>equipos de comunicación en marquesinas: El contrato ha sido modificado en dos</w:t>
      </w:r>
      <w:r>
        <w:rPr>
          <w:rFonts w:ascii="Calibri" w:hAnsi="Calibri"/>
          <w:i/>
          <w:color w:val="4472C4"/>
          <w:spacing w:val="80"/>
          <w:sz w:val="20"/>
          <w:u w:val="none"/>
        </w:rPr>
        <w:t> </w:t>
      </w:r>
      <w:r>
        <w:rPr>
          <w:rFonts w:ascii="Calibri" w:hAnsi="Calibri"/>
          <w:i/>
          <w:color w:val="4472C4"/>
          <w:sz w:val="20"/>
          <w:u w:val="single" w:color="4472C4"/>
        </w:rPr>
        <w:t>ocasiones en 2024. La primera de ellas: El informe jurídico y el acuerdo de</w:t>
      </w:r>
      <w:r>
        <w:rPr>
          <w:rFonts w:ascii="Calibri" w:hAnsi="Calibri"/>
          <w:i/>
          <w:color w:val="4472C4"/>
          <w:spacing w:val="15"/>
          <w:sz w:val="20"/>
          <w:u w:val="single" w:color="4472C4"/>
        </w:rPr>
        <w:t> </w:t>
      </w:r>
      <w:r>
        <w:rPr>
          <w:rFonts w:ascii="Calibri" w:hAnsi="Calibri"/>
          <w:i/>
          <w:color w:val="4472C4"/>
          <w:sz w:val="20"/>
          <w:u w:val="single" w:color="4472C4"/>
        </w:rPr>
        <w:t>aprobación de</w:t>
      </w:r>
      <w:r>
        <w:rPr>
          <w:rFonts w:ascii="Calibri" w:hAnsi="Calibri"/>
          <w:i/>
          <w:color w:val="4472C4"/>
          <w:spacing w:val="40"/>
          <w:sz w:val="20"/>
          <w:u w:val="none"/>
        </w:rPr>
        <w:t> </w:t>
      </w:r>
      <w:r>
        <w:rPr>
          <w:rFonts w:ascii="Calibri" w:hAnsi="Calibri"/>
          <w:i/>
          <w:color w:val="4472C4"/>
          <w:sz w:val="20"/>
          <w:u w:val="single" w:color="4472C4"/>
        </w:rPr>
        <w:t>la primera modificación no se pronunciaron sobre si se trataban de modificaciones</w:t>
      </w:r>
      <w:r>
        <w:rPr>
          <w:rFonts w:ascii="Calibri" w:hAnsi="Calibri"/>
          <w:i/>
          <w:color w:val="4472C4"/>
          <w:sz w:val="20"/>
          <w:u w:val="none"/>
        </w:rPr>
        <w:t> </w:t>
      </w:r>
      <w:r>
        <w:rPr>
          <w:rFonts w:ascii="Calibri" w:hAnsi="Calibri"/>
          <w:i/>
          <w:color w:val="4472C4"/>
          <w:sz w:val="20"/>
          <w:u w:val="single" w:color="4472C4"/>
        </w:rPr>
        <w:t>previstas</w:t>
      </w:r>
      <w:r>
        <w:rPr>
          <w:rFonts w:ascii="Calibri" w:hAnsi="Calibri"/>
          <w:i/>
          <w:color w:val="4472C4"/>
          <w:spacing w:val="33"/>
          <w:sz w:val="20"/>
          <w:u w:val="single" w:color="4472C4"/>
        </w:rPr>
        <w:t> </w:t>
      </w:r>
      <w:r>
        <w:rPr>
          <w:rFonts w:ascii="Calibri" w:hAnsi="Calibri"/>
          <w:i/>
          <w:color w:val="4472C4"/>
          <w:sz w:val="20"/>
          <w:u w:val="single" w:color="4472C4"/>
        </w:rPr>
        <w:t>en</w:t>
      </w:r>
      <w:r>
        <w:rPr>
          <w:rFonts w:ascii="Calibri" w:hAnsi="Calibri"/>
          <w:i/>
          <w:color w:val="4472C4"/>
          <w:spacing w:val="34"/>
          <w:sz w:val="20"/>
          <w:u w:val="single" w:color="4472C4"/>
        </w:rPr>
        <w:t> </w:t>
      </w:r>
      <w:r>
        <w:rPr>
          <w:rFonts w:ascii="Calibri" w:hAnsi="Calibri"/>
          <w:i/>
          <w:color w:val="4472C4"/>
          <w:sz w:val="20"/>
          <w:u w:val="single" w:color="4472C4"/>
        </w:rPr>
        <w:t>el</w:t>
      </w:r>
      <w:r>
        <w:rPr>
          <w:rFonts w:ascii="Calibri" w:hAnsi="Calibri"/>
          <w:i/>
          <w:color w:val="4472C4"/>
          <w:spacing w:val="33"/>
          <w:sz w:val="20"/>
          <w:u w:val="single" w:color="4472C4"/>
        </w:rPr>
        <w:t> </w:t>
      </w:r>
      <w:r>
        <w:rPr>
          <w:rFonts w:ascii="Calibri" w:hAnsi="Calibri"/>
          <w:i/>
          <w:color w:val="4472C4"/>
          <w:sz w:val="20"/>
          <w:u w:val="single" w:color="4472C4"/>
        </w:rPr>
        <w:t>pliego</w:t>
      </w:r>
      <w:r>
        <w:rPr>
          <w:rFonts w:ascii="Calibri" w:hAnsi="Calibri"/>
          <w:i/>
          <w:color w:val="4472C4"/>
          <w:spacing w:val="34"/>
          <w:sz w:val="20"/>
          <w:u w:val="single" w:color="4472C4"/>
        </w:rPr>
        <w:t> </w:t>
      </w:r>
      <w:r>
        <w:rPr>
          <w:rFonts w:ascii="Calibri" w:hAnsi="Calibri"/>
          <w:i/>
          <w:color w:val="4472C4"/>
          <w:sz w:val="20"/>
          <w:u w:val="single" w:color="4472C4"/>
        </w:rPr>
        <w:t>o</w:t>
      </w:r>
      <w:r>
        <w:rPr>
          <w:rFonts w:ascii="Calibri" w:hAnsi="Calibri"/>
          <w:i/>
          <w:color w:val="4472C4"/>
          <w:spacing w:val="34"/>
          <w:sz w:val="20"/>
          <w:u w:val="single" w:color="4472C4"/>
        </w:rPr>
        <w:t> </w:t>
      </w:r>
      <w:r>
        <w:rPr>
          <w:rFonts w:ascii="Calibri" w:hAnsi="Calibri"/>
          <w:i/>
          <w:color w:val="4472C4"/>
          <w:sz w:val="20"/>
          <w:u w:val="single" w:color="4472C4"/>
        </w:rPr>
        <w:t>al margen de este,</w:t>
      </w:r>
      <w:r>
        <w:rPr>
          <w:rFonts w:ascii="Calibri" w:hAnsi="Calibri"/>
          <w:i/>
          <w:color w:val="4472C4"/>
          <w:spacing w:val="33"/>
          <w:sz w:val="20"/>
          <w:u w:val="single" w:color="4472C4"/>
        </w:rPr>
        <w:t> </w:t>
      </w:r>
      <w:r>
        <w:rPr>
          <w:rFonts w:ascii="Calibri" w:hAnsi="Calibri"/>
          <w:i/>
          <w:color w:val="4472C4"/>
          <w:sz w:val="20"/>
          <w:u w:val="single" w:color="4472C4"/>
        </w:rPr>
        <w:t>señalando el primero</w:t>
      </w:r>
      <w:r>
        <w:rPr>
          <w:rFonts w:ascii="Calibri" w:hAnsi="Calibri"/>
          <w:i/>
          <w:color w:val="4472C4"/>
          <w:spacing w:val="34"/>
          <w:sz w:val="20"/>
          <w:u w:val="single" w:color="4472C4"/>
        </w:rPr>
        <w:t> </w:t>
      </w:r>
      <w:r>
        <w:rPr>
          <w:rFonts w:ascii="Calibri" w:hAnsi="Calibri"/>
          <w:i/>
          <w:color w:val="4472C4"/>
          <w:sz w:val="20"/>
          <w:u w:val="single" w:color="4472C4"/>
        </w:rPr>
        <w:t>de</w:t>
      </w:r>
      <w:r>
        <w:rPr>
          <w:rFonts w:ascii="Calibri" w:hAnsi="Calibri"/>
          <w:i/>
          <w:color w:val="4472C4"/>
          <w:spacing w:val="34"/>
          <w:sz w:val="20"/>
          <w:u w:val="single" w:color="4472C4"/>
        </w:rPr>
        <w:t> </w:t>
      </w:r>
      <w:r>
        <w:rPr>
          <w:rFonts w:ascii="Calibri" w:hAnsi="Calibri"/>
          <w:i/>
          <w:color w:val="4472C4"/>
          <w:sz w:val="20"/>
          <w:u w:val="single" w:color="4472C4"/>
        </w:rPr>
        <w:t>ellos que podrían</w:t>
      </w:r>
      <w:r>
        <w:rPr>
          <w:rFonts w:ascii="Calibri" w:hAnsi="Calibri"/>
          <w:i/>
          <w:color w:val="4472C4"/>
          <w:sz w:val="20"/>
          <w:u w:val="none"/>
        </w:rPr>
        <w:t> </w:t>
      </w:r>
      <w:r>
        <w:rPr>
          <w:rFonts w:ascii="Calibri" w:hAnsi="Calibri"/>
          <w:i/>
          <w:color w:val="4472C4"/>
          <w:sz w:val="20"/>
          <w:u w:val="single" w:color="4472C4"/>
        </w:rPr>
        <w:t>tener encaje en ambas.</w:t>
      </w:r>
    </w:p>
    <w:p>
      <w:pPr>
        <w:spacing w:line="256" w:lineRule="auto" w:before="147"/>
        <w:ind w:left="2251" w:right="2021" w:firstLine="0"/>
        <w:jc w:val="both"/>
        <w:rPr>
          <w:rFonts w:ascii="Calibri" w:hAnsi="Calibri"/>
          <w:i/>
          <w:sz w:val="20"/>
        </w:rPr>
      </w:pPr>
      <w:r>
        <w:rPr>
          <w:rFonts w:ascii="Calibri" w:hAnsi="Calibri"/>
          <w:i/>
          <w:color w:val="4472C4"/>
          <w:sz w:val="20"/>
          <w:u w:val="single" w:color="4472C4"/>
        </w:rPr>
        <w:t>Las modificaciones tuvieron como finalidad, entre otras, la ampliación de determinadas</w:t>
      </w:r>
      <w:r>
        <w:rPr>
          <w:rFonts w:ascii="Calibri" w:hAnsi="Calibri"/>
          <w:i/>
          <w:color w:val="4472C4"/>
          <w:sz w:val="20"/>
          <w:u w:val="none"/>
        </w:rPr>
        <w:t> </w:t>
      </w:r>
      <w:r>
        <w:rPr>
          <w:rFonts w:ascii="Calibri" w:hAnsi="Calibri"/>
          <w:i/>
          <w:color w:val="4472C4"/>
          <w:sz w:val="20"/>
          <w:u w:val="single" w:color="4472C4"/>
        </w:rPr>
        <w:t>unidades</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obras</w:t>
      </w:r>
      <w:r>
        <w:rPr>
          <w:rFonts w:ascii="Calibri" w:hAnsi="Calibri"/>
          <w:i/>
          <w:color w:val="4472C4"/>
          <w:spacing w:val="40"/>
          <w:sz w:val="20"/>
          <w:u w:val="single" w:color="4472C4"/>
        </w:rPr>
        <w:t> </w:t>
      </w:r>
      <w:r>
        <w:rPr>
          <w:rFonts w:ascii="Calibri" w:hAnsi="Calibri"/>
          <w:i/>
          <w:color w:val="4472C4"/>
          <w:sz w:val="20"/>
          <w:u w:val="single" w:color="4472C4"/>
        </w:rPr>
        <w:t>y</w:t>
      </w:r>
      <w:r>
        <w:rPr>
          <w:rFonts w:ascii="Calibri" w:hAnsi="Calibri"/>
          <w:i/>
          <w:color w:val="4472C4"/>
          <w:spacing w:val="40"/>
          <w:sz w:val="20"/>
          <w:u w:val="single" w:color="4472C4"/>
        </w:rPr>
        <w:t> </w:t>
      </w:r>
      <w:r>
        <w:rPr>
          <w:rFonts w:ascii="Calibri" w:hAnsi="Calibri"/>
          <w:i/>
          <w:color w:val="4472C4"/>
          <w:sz w:val="20"/>
          <w:u w:val="single" w:color="4472C4"/>
        </w:rPr>
        <w:t>dotar</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pantallas</w:t>
      </w:r>
      <w:r>
        <w:rPr>
          <w:rFonts w:ascii="Calibri" w:hAnsi="Calibri"/>
          <w:i/>
          <w:color w:val="4472C4"/>
          <w:spacing w:val="40"/>
          <w:sz w:val="20"/>
          <w:u w:val="single" w:color="4472C4"/>
        </w:rPr>
        <w:t> </w:t>
      </w:r>
      <w:r>
        <w:rPr>
          <w:rFonts w:ascii="Calibri" w:hAnsi="Calibri"/>
          <w:i/>
          <w:color w:val="4472C4"/>
          <w:sz w:val="20"/>
          <w:u w:val="single" w:color="4472C4"/>
        </w:rPr>
        <w:t>a</w:t>
      </w:r>
      <w:r>
        <w:rPr>
          <w:rFonts w:ascii="Calibri" w:hAnsi="Calibri"/>
          <w:i/>
          <w:color w:val="4472C4"/>
          <w:spacing w:val="40"/>
          <w:sz w:val="20"/>
          <w:u w:val="single" w:color="4472C4"/>
        </w:rPr>
        <w:t> </w:t>
      </w:r>
      <w:r>
        <w:rPr>
          <w:rFonts w:ascii="Calibri" w:hAnsi="Calibri"/>
          <w:i/>
          <w:color w:val="4472C4"/>
          <w:sz w:val="20"/>
          <w:u w:val="single" w:color="4472C4"/>
        </w:rPr>
        <w:t>doble</w:t>
      </w:r>
      <w:r>
        <w:rPr>
          <w:rFonts w:ascii="Calibri" w:hAnsi="Calibri"/>
          <w:i/>
          <w:color w:val="4472C4"/>
          <w:spacing w:val="40"/>
          <w:sz w:val="20"/>
          <w:u w:val="single" w:color="4472C4"/>
        </w:rPr>
        <w:t> </w:t>
      </w:r>
      <w:r>
        <w:rPr>
          <w:rFonts w:ascii="Calibri" w:hAnsi="Calibri"/>
          <w:i/>
          <w:color w:val="4472C4"/>
          <w:sz w:val="20"/>
          <w:u w:val="single" w:color="4472C4"/>
        </w:rPr>
        <w:t>cara</w:t>
      </w:r>
      <w:r>
        <w:rPr>
          <w:rFonts w:ascii="Calibri" w:hAnsi="Calibri"/>
          <w:i/>
          <w:color w:val="4472C4"/>
          <w:spacing w:val="40"/>
          <w:sz w:val="20"/>
          <w:u w:val="single" w:color="4472C4"/>
        </w:rPr>
        <w:t> </w:t>
      </w:r>
      <w:r>
        <w:rPr>
          <w:rFonts w:ascii="Calibri" w:hAnsi="Calibri"/>
          <w:i/>
          <w:color w:val="4472C4"/>
          <w:sz w:val="20"/>
          <w:u w:val="single" w:color="4472C4"/>
        </w:rPr>
        <w:t>los</w:t>
      </w:r>
      <w:r>
        <w:rPr>
          <w:rFonts w:ascii="Calibri" w:hAnsi="Calibri"/>
          <w:i/>
          <w:color w:val="4472C4"/>
          <w:spacing w:val="40"/>
          <w:sz w:val="20"/>
          <w:u w:val="single" w:color="4472C4"/>
        </w:rPr>
        <w:t> </w:t>
      </w:r>
      <w:r>
        <w:rPr>
          <w:rFonts w:ascii="Calibri" w:hAnsi="Calibri"/>
          <w:i/>
          <w:color w:val="4472C4"/>
          <w:sz w:val="20"/>
          <w:u w:val="single" w:color="4472C4"/>
        </w:rPr>
        <w:t>postes</w:t>
      </w:r>
      <w:r>
        <w:rPr>
          <w:rFonts w:ascii="Calibri" w:hAnsi="Calibri"/>
          <w:i/>
          <w:color w:val="4472C4"/>
          <w:spacing w:val="40"/>
          <w:sz w:val="20"/>
          <w:u w:val="single" w:color="4472C4"/>
        </w:rPr>
        <w:t> </w:t>
      </w:r>
      <w:r>
        <w:rPr>
          <w:rFonts w:ascii="Calibri" w:hAnsi="Calibri"/>
          <w:i/>
          <w:color w:val="4472C4"/>
          <w:sz w:val="20"/>
          <w:u w:val="single" w:color="4472C4"/>
        </w:rPr>
        <w:t>provisionales</w:t>
      </w:r>
      <w:r>
        <w:rPr>
          <w:rFonts w:ascii="Calibri" w:hAnsi="Calibri"/>
          <w:i/>
          <w:color w:val="4472C4"/>
          <w:spacing w:val="40"/>
          <w:sz w:val="20"/>
          <w:u w:val="single" w:color="4472C4"/>
        </w:rPr>
        <w:t> </w:t>
      </w:r>
      <w:r>
        <w:rPr>
          <w:rFonts w:ascii="Calibri" w:hAnsi="Calibri"/>
          <w:i/>
          <w:color w:val="4472C4"/>
          <w:sz w:val="20"/>
          <w:u w:val="single" w:color="4472C4"/>
        </w:rPr>
        <w:t>para</w:t>
      </w:r>
      <w:r>
        <w:rPr>
          <w:rFonts w:ascii="Calibri" w:hAnsi="Calibri"/>
          <w:i/>
          <w:color w:val="4472C4"/>
          <w:sz w:val="20"/>
          <w:u w:val="none"/>
        </w:rPr>
        <w:t> </w:t>
      </w:r>
      <w:r>
        <w:rPr>
          <w:rFonts w:ascii="Calibri" w:hAnsi="Calibri"/>
          <w:i/>
          <w:color w:val="4472C4"/>
          <w:sz w:val="20"/>
          <w:u w:val="single" w:color="4472C4"/>
        </w:rPr>
        <w:t>mejorar</w:t>
      </w:r>
      <w:r>
        <w:rPr>
          <w:rFonts w:ascii="Calibri" w:hAnsi="Calibri"/>
          <w:i/>
          <w:color w:val="4472C4"/>
          <w:spacing w:val="40"/>
          <w:sz w:val="20"/>
          <w:u w:val="single" w:color="4472C4"/>
        </w:rPr>
        <w:t> </w:t>
      </w:r>
      <w:r>
        <w:rPr>
          <w:rFonts w:ascii="Calibri" w:hAnsi="Calibri"/>
          <w:i/>
          <w:color w:val="4472C4"/>
          <w:sz w:val="20"/>
          <w:u w:val="single" w:color="4472C4"/>
        </w:rPr>
        <w:t>su</w:t>
      </w:r>
      <w:r>
        <w:rPr>
          <w:rFonts w:ascii="Calibri" w:hAnsi="Calibri"/>
          <w:i/>
          <w:color w:val="4472C4"/>
          <w:spacing w:val="40"/>
          <w:sz w:val="20"/>
          <w:u w:val="single" w:color="4472C4"/>
        </w:rPr>
        <w:t> </w:t>
      </w:r>
      <w:r>
        <w:rPr>
          <w:rFonts w:ascii="Calibri" w:hAnsi="Calibri"/>
          <w:i/>
          <w:color w:val="4472C4"/>
          <w:sz w:val="20"/>
          <w:u w:val="single" w:color="4472C4"/>
        </w:rPr>
        <w:t>visibilidad,</w:t>
      </w:r>
      <w:r>
        <w:rPr>
          <w:rFonts w:ascii="Calibri" w:hAnsi="Calibri"/>
          <w:i/>
          <w:color w:val="4472C4"/>
          <w:spacing w:val="40"/>
          <w:sz w:val="20"/>
          <w:u w:val="single" w:color="4472C4"/>
        </w:rPr>
        <w:t> </w:t>
      </w:r>
      <w:r>
        <w:rPr>
          <w:rFonts w:ascii="Calibri" w:hAnsi="Calibri"/>
          <w:i/>
          <w:color w:val="4472C4"/>
          <w:sz w:val="20"/>
          <w:u w:val="single" w:color="4472C4"/>
        </w:rPr>
        <w:t>respecto</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las</w:t>
      </w:r>
      <w:r>
        <w:rPr>
          <w:rFonts w:ascii="Calibri" w:hAnsi="Calibri"/>
          <w:i/>
          <w:color w:val="4472C4"/>
          <w:spacing w:val="40"/>
          <w:sz w:val="20"/>
          <w:u w:val="single" w:color="4472C4"/>
        </w:rPr>
        <w:t> </w:t>
      </w:r>
      <w:r>
        <w:rPr>
          <w:rFonts w:ascii="Calibri" w:hAnsi="Calibri"/>
          <w:i/>
          <w:color w:val="4472C4"/>
          <w:sz w:val="20"/>
          <w:u w:val="single" w:color="4472C4"/>
        </w:rPr>
        <w:t>que</w:t>
      </w:r>
      <w:r>
        <w:rPr>
          <w:rFonts w:ascii="Calibri" w:hAnsi="Calibri"/>
          <w:i/>
          <w:color w:val="4472C4"/>
          <w:spacing w:val="40"/>
          <w:sz w:val="20"/>
          <w:u w:val="single" w:color="4472C4"/>
        </w:rPr>
        <w:t> </w:t>
      </w:r>
      <w:r>
        <w:rPr>
          <w:rFonts w:ascii="Calibri" w:hAnsi="Calibri"/>
          <w:i/>
          <w:color w:val="4472C4"/>
          <w:sz w:val="20"/>
          <w:u w:val="single" w:color="4472C4"/>
        </w:rPr>
        <w:t>no</w:t>
      </w:r>
      <w:r>
        <w:rPr>
          <w:rFonts w:ascii="Calibri" w:hAnsi="Calibri"/>
          <w:i/>
          <w:color w:val="4472C4"/>
          <w:spacing w:val="40"/>
          <w:sz w:val="20"/>
          <w:u w:val="single" w:color="4472C4"/>
        </w:rPr>
        <w:t> </w:t>
      </w:r>
      <w:r>
        <w:rPr>
          <w:rFonts w:ascii="Calibri" w:hAnsi="Calibri"/>
          <w:i/>
          <w:color w:val="4472C4"/>
          <w:sz w:val="20"/>
          <w:u w:val="single" w:color="4472C4"/>
        </w:rPr>
        <w:t>se</w:t>
      </w:r>
      <w:r>
        <w:rPr>
          <w:rFonts w:ascii="Calibri" w:hAnsi="Calibri"/>
          <w:i/>
          <w:color w:val="4472C4"/>
          <w:spacing w:val="40"/>
          <w:sz w:val="20"/>
          <w:u w:val="single" w:color="4472C4"/>
        </w:rPr>
        <w:t> </w:t>
      </w:r>
      <w:r>
        <w:rPr>
          <w:rFonts w:ascii="Calibri" w:hAnsi="Calibri"/>
          <w:i/>
          <w:color w:val="4472C4"/>
          <w:sz w:val="20"/>
          <w:u w:val="single" w:color="4472C4"/>
        </w:rPr>
        <w:t>justificó</w:t>
      </w:r>
      <w:r>
        <w:rPr>
          <w:rFonts w:ascii="Calibri" w:hAnsi="Calibri"/>
          <w:i/>
          <w:color w:val="4472C4"/>
          <w:spacing w:val="40"/>
          <w:sz w:val="20"/>
          <w:u w:val="single" w:color="4472C4"/>
        </w:rPr>
        <w:t> </w:t>
      </w:r>
      <w:r>
        <w:rPr>
          <w:rFonts w:ascii="Calibri" w:hAnsi="Calibri"/>
          <w:i/>
          <w:color w:val="4472C4"/>
          <w:sz w:val="20"/>
          <w:u w:val="single" w:color="4472C4"/>
        </w:rPr>
        <w:t>suficientemente</w:t>
      </w:r>
      <w:r>
        <w:rPr>
          <w:rFonts w:ascii="Calibri" w:hAnsi="Calibri"/>
          <w:i/>
          <w:color w:val="4472C4"/>
          <w:spacing w:val="40"/>
          <w:sz w:val="20"/>
          <w:u w:val="single" w:color="4472C4"/>
        </w:rPr>
        <w:t> </w:t>
      </w:r>
      <w:r>
        <w:rPr>
          <w:rFonts w:ascii="Calibri" w:hAnsi="Calibri"/>
          <w:i/>
          <w:color w:val="4472C4"/>
          <w:sz w:val="20"/>
          <w:u w:val="single" w:color="4472C4"/>
        </w:rPr>
        <w:t>que</w:t>
      </w:r>
      <w:r>
        <w:rPr>
          <w:rFonts w:ascii="Calibri" w:hAnsi="Calibri"/>
          <w:i/>
          <w:color w:val="4472C4"/>
          <w:spacing w:val="40"/>
          <w:sz w:val="20"/>
          <w:u w:val="single" w:color="4472C4"/>
        </w:rPr>
        <w:t> </w:t>
      </w:r>
      <w:r>
        <w:rPr>
          <w:rFonts w:ascii="Calibri" w:hAnsi="Calibri"/>
          <w:i/>
          <w:color w:val="4472C4"/>
          <w:sz w:val="20"/>
          <w:u w:val="single" w:color="4472C4"/>
        </w:rPr>
        <w:t>se</w:t>
      </w:r>
      <w:r>
        <w:rPr>
          <w:rFonts w:ascii="Calibri" w:hAnsi="Calibri"/>
          <w:i/>
          <w:color w:val="4472C4"/>
          <w:sz w:val="20"/>
          <w:u w:val="none"/>
        </w:rPr>
        <w:t> </w:t>
      </w:r>
      <w:r>
        <w:rPr>
          <w:rFonts w:ascii="Calibri" w:hAnsi="Calibri"/>
          <w:i/>
          <w:color w:val="4472C4"/>
          <w:sz w:val="20"/>
          <w:u w:val="single" w:color="4472C4"/>
        </w:rPr>
        <w:t>derivaran de circunstancias sobrevenidas ni que no pudieran haberse incluido en el</w:t>
      </w:r>
      <w:r>
        <w:rPr>
          <w:rFonts w:ascii="Calibri" w:hAnsi="Calibri"/>
          <w:i/>
          <w:color w:val="4472C4"/>
          <w:sz w:val="20"/>
          <w:u w:val="none"/>
        </w:rPr>
        <w:t> </w:t>
      </w:r>
      <w:r>
        <w:rPr>
          <w:rFonts w:ascii="Calibri" w:hAnsi="Calibri"/>
          <w:i/>
          <w:color w:val="4472C4"/>
          <w:sz w:val="20"/>
          <w:u w:val="single" w:color="4472C4"/>
        </w:rPr>
        <w:t>contrato inicial</w:t>
      </w:r>
    </w:p>
    <w:p>
      <w:pPr>
        <w:pStyle w:val="BodyText"/>
        <w:rPr>
          <w:rFonts w:ascii="Calibri"/>
          <w:i/>
          <w:sz w:val="20"/>
        </w:rPr>
      </w:pPr>
    </w:p>
    <w:p>
      <w:pPr>
        <w:pStyle w:val="BodyText"/>
        <w:spacing w:before="205"/>
        <w:rPr>
          <w:rFonts w:ascii="Calibri"/>
          <w: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069" name="Group 1069"/>
                <wp:cNvGraphicFramePr>
                  <a:graphicFrameLocks/>
                </wp:cNvGraphicFramePr>
                <a:graphic>
                  <a:graphicData uri="http://schemas.microsoft.com/office/word/2010/wordprocessingGroup">
                    <wpg:wgp>
                      <wpg:cNvPr id="1069" name="Group 1069"/>
                      <wpg:cNvGrpSpPr/>
                      <wpg:grpSpPr>
                        <a:xfrm>
                          <a:off x="0" y="0"/>
                          <a:ext cx="1870075" cy="6350"/>
                          <a:chExt cx="1870075" cy="6350"/>
                        </a:xfrm>
                      </wpg:grpSpPr>
                      <wps:wsp>
                        <wps:cNvPr id="1070" name="Graphic 1070"/>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805" coordorigin="0,0" coordsize="2945,10">
                <v:rect style="position:absolute;left:0;top:0;width:2945;height:10" id="docshape806"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071" name="Group 1071"/>
                <wp:cNvGraphicFramePr>
                  <a:graphicFrameLocks/>
                </wp:cNvGraphicFramePr>
                <a:graphic>
                  <a:graphicData uri="http://schemas.microsoft.com/office/word/2010/wordprocessingGroup">
                    <wpg:wgp>
                      <wpg:cNvPr id="1071" name="Group 1071"/>
                      <wpg:cNvGrpSpPr/>
                      <wpg:grpSpPr>
                        <a:xfrm>
                          <a:off x="0" y="0"/>
                          <a:ext cx="841375" cy="6350"/>
                          <a:chExt cx="841375" cy="6350"/>
                        </a:xfrm>
                      </wpg:grpSpPr>
                      <wps:wsp>
                        <wps:cNvPr id="1072" name="Graphic 1072"/>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807" coordorigin="0,0" coordsize="1325,10">
                <v:rect style="position:absolute;left:0;top:0;width:1325;height:10" id="docshape808"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38"/>
          <w:headerReference w:type="even" r:id="rId239"/>
          <w:footerReference w:type="default" r:id="rId240"/>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83872">
                <wp:simplePos x="0" y="0"/>
                <wp:positionH relativeFrom="page">
                  <wp:posOffset>4332186</wp:posOffset>
                </wp:positionH>
                <wp:positionV relativeFrom="paragraph">
                  <wp:posOffset>1412477</wp:posOffset>
                </wp:positionV>
                <wp:extent cx="53340" cy="100330"/>
                <wp:effectExtent l="0" t="0" r="0" b="0"/>
                <wp:wrapNone/>
                <wp:docPr id="1073" name="Textbox 1073"/>
                <wp:cNvGraphicFramePr>
                  <a:graphicFrameLocks/>
                </wp:cNvGraphicFramePr>
                <a:graphic>
                  <a:graphicData uri="http://schemas.microsoft.com/office/word/2010/wordprocessingShape">
                    <wps:wsp>
                      <wps:cNvPr id="1073" name="Textbox 1073"/>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32608" type="#_x0000_t202" id="docshape809"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29"/>
        <w:gridCol w:w="2289"/>
        <w:gridCol w:w="848"/>
        <w:gridCol w:w="540"/>
        <w:gridCol w:w="1021"/>
        <w:gridCol w:w="816"/>
        <w:gridCol w:w="1246"/>
        <w:gridCol w:w="1163"/>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29" w:type="dxa"/>
            <w:tcBorders>
              <w:left w:val="single" w:sz="6" w:space="0" w:color="000000"/>
              <w:bottom w:val="single" w:sz="6" w:space="0" w:color="000000"/>
              <w:right w:val="nil"/>
            </w:tcBorders>
          </w:tcPr>
          <w:p>
            <w:pPr>
              <w:pStyle w:val="TableParagraph"/>
              <w:rPr>
                <w:rFonts w:ascii="Times New Roman"/>
                <w:sz w:val="14"/>
              </w:rPr>
            </w:pPr>
          </w:p>
        </w:tc>
        <w:tc>
          <w:tcPr>
            <w:tcW w:w="2289"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88" w:type="dxa"/>
            <w:gridSpan w:val="2"/>
            <w:tcBorders>
              <w:left w:val="nil"/>
              <w:bottom w:val="single" w:sz="6" w:space="0" w:color="000000"/>
              <w:right w:val="single" w:sz="6" w:space="0" w:color="000000"/>
            </w:tcBorders>
          </w:tcPr>
          <w:p>
            <w:pPr>
              <w:pStyle w:val="TableParagraph"/>
              <w:rPr>
                <w:rFonts w:ascii="Times New Roman"/>
                <w:sz w:val="14"/>
              </w:rPr>
            </w:pPr>
          </w:p>
        </w:tc>
        <w:tc>
          <w:tcPr>
            <w:tcW w:w="1021"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7"/>
              <w:rPr>
                <w:rFonts w:ascii="Arial"/>
                <w:position w:val="-1"/>
                <w:sz w:val="10"/>
              </w:rPr>
            </w:pPr>
            <w:r>
              <w:rPr>
                <w:rFonts w:ascii="Arial"/>
                <w:position w:val="-1"/>
                <w:sz w:val="10"/>
              </w:rPr>
              <w:drawing>
                <wp:inline distT="0" distB="0" distL="0" distR="0">
                  <wp:extent cx="266700" cy="66675"/>
                  <wp:effectExtent l="0" t="0" r="0" b="0"/>
                  <wp:docPr id="1074" name="Image 1074"/>
                  <wp:cNvGraphicFramePr>
                    <a:graphicFrameLocks/>
                  </wp:cNvGraphicFramePr>
                  <a:graphic>
                    <a:graphicData uri="http://schemas.openxmlformats.org/drawingml/2006/picture">
                      <pic:pic>
                        <pic:nvPicPr>
                          <pic:cNvPr id="1074" name="Image 1074"/>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2"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30"/>
              <w:rPr>
                <w:rFonts w:ascii="Arial"/>
                <w:position w:val="-2"/>
                <w:sz w:val="13"/>
              </w:rPr>
            </w:pPr>
            <w:r>
              <w:rPr>
                <w:rFonts w:ascii="Arial"/>
                <w:position w:val="-2"/>
                <w:sz w:val="13"/>
              </w:rPr>
              <w:drawing>
                <wp:inline distT="0" distB="0" distL="0" distR="0">
                  <wp:extent cx="498011" cy="85058"/>
                  <wp:effectExtent l="0" t="0" r="0" b="0"/>
                  <wp:docPr id="1075" name="Image 1075"/>
                  <wp:cNvGraphicFramePr>
                    <a:graphicFrameLocks/>
                  </wp:cNvGraphicFramePr>
                  <a:graphic>
                    <a:graphicData uri="http://schemas.openxmlformats.org/drawingml/2006/picture">
                      <pic:pic>
                        <pic:nvPicPr>
                          <pic:cNvPr id="1075" name="Image 1075"/>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63" w:type="dxa"/>
            <w:vMerge w:val="restart"/>
            <w:tcBorders>
              <w:top w:val="nil"/>
              <w:bottom w:val="single" w:sz="6" w:space="0" w:color="000000"/>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6"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384384">
                      <wp:simplePos x="0" y="0"/>
                      <wp:positionH relativeFrom="column">
                        <wp:posOffset>-1298447</wp:posOffset>
                      </wp:positionH>
                      <wp:positionV relativeFrom="paragraph">
                        <wp:posOffset>-144895</wp:posOffset>
                      </wp:positionV>
                      <wp:extent cx="1298575" cy="417830"/>
                      <wp:effectExtent l="0" t="0" r="0" b="0"/>
                      <wp:wrapNone/>
                      <wp:docPr id="1076" name="Group 1076"/>
                      <wp:cNvGraphicFramePr>
                        <a:graphicFrameLocks/>
                      </wp:cNvGraphicFramePr>
                      <a:graphic>
                        <a:graphicData uri="http://schemas.microsoft.com/office/word/2010/wordprocessingGroup">
                          <wpg:wgp>
                            <wpg:cNvPr id="1076" name="Group 1076"/>
                            <wpg:cNvGrpSpPr/>
                            <wpg:grpSpPr>
                              <a:xfrm>
                                <a:off x="0" y="0"/>
                                <a:ext cx="1298575" cy="417830"/>
                                <a:chExt cx="1298575" cy="417830"/>
                              </a:xfrm>
                            </wpg:grpSpPr>
                            <wps:wsp>
                              <wps:cNvPr id="1077" name="Graphic 1077"/>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078" name="Image 1078"/>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32096" id="docshapegroup810" coordorigin="-2045,-228" coordsize="2045,658">
                      <v:shape style="position:absolute;left:-2045;top:-229;width:2045;height:658" id="docshape811" coordorigin="-2045,-228" coordsize="2045,658" path="m0,-228l-2045,-228,-2045,-10,-2045,-7,-2045,429,0,429,0,-7,0,-10,0,-228xe" filled="true" fillcolor="#cccccc" stroked="false">
                        <v:path arrowok="t"/>
                        <v:fill type="solid"/>
                      </v:shape>
                      <v:shape style="position:absolute;left:-1973;top:-154;width:1896;height:327" type="#_x0000_t75" id="docshape812"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1"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8"/>
              <w:rPr>
                <w:rFonts w:ascii="Arial"/>
                <w:sz w:val="14"/>
              </w:rPr>
            </w:pPr>
            <w:r>
              <w:rPr>
                <w:rFonts w:ascii="Arial"/>
                <w:spacing w:val="-2"/>
                <w:sz w:val="14"/>
              </w:rPr>
              <w:t>Firmado</w:t>
            </w:r>
          </w:p>
        </w:tc>
        <w:tc>
          <w:tcPr>
            <w:tcW w:w="2062" w:type="dxa"/>
            <w:gridSpan w:val="2"/>
            <w:tcBorders>
              <w:top w:val="single" w:sz="6" w:space="0" w:color="000000"/>
              <w:left w:val="single" w:sz="6" w:space="0" w:color="000000"/>
              <w:bottom w:val="single" w:sz="6" w:space="0" w:color="000000"/>
            </w:tcBorders>
          </w:tcPr>
          <w:p>
            <w:pPr>
              <w:pStyle w:val="TableParagraph"/>
              <w:spacing w:line="145" w:lineRule="exact" w:before="39"/>
              <w:ind w:left="387"/>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63" w:type="dxa"/>
            <w:vMerge/>
            <w:tcBorders>
              <w:top w:val="nil"/>
              <w:bottom w:val="single" w:sz="6" w:space="0" w:color="000000"/>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079" name="Image 1079"/>
                  <wp:cNvGraphicFramePr>
                    <a:graphicFrameLocks/>
                  </wp:cNvGraphicFramePr>
                  <a:graphic>
                    <a:graphicData uri="http://schemas.openxmlformats.org/drawingml/2006/picture">
                      <pic:pic>
                        <pic:nvPicPr>
                          <pic:cNvPr id="1079" name="Image 1079"/>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6"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1"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7"/>
              <w:rPr>
                <w:rFonts w:ascii="Arial"/>
                <w:position w:val="-2"/>
                <w:sz w:val="13"/>
              </w:rPr>
            </w:pPr>
            <w:r>
              <w:rPr>
                <w:rFonts w:ascii="Arial"/>
                <w:position w:val="-2"/>
                <w:sz w:val="13"/>
              </w:rPr>
              <w:drawing>
                <wp:inline distT="0" distB="0" distL="0" distR="0">
                  <wp:extent cx="263120" cy="84010"/>
                  <wp:effectExtent l="0" t="0" r="0" b="0"/>
                  <wp:docPr id="1080" name="Image 1080"/>
                  <wp:cNvGraphicFramePr>
                    <a:graphicFrameLocks/>
                  </wp:cNvGraphicFramePr>
                  <a:graphic>
                    <a:graphicData uri="http://schemas.openxmlformats.org/drawingml/2006/picture">
                      <pic:pic>
                        <pic:nvPicPr>
                          <pic:cNvPr id="1080" name="Image 1080"/>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2" w:type="dxa"/>
            <w:gridSpan w:val="2"/>
            <w:tcBorders>
              <w:top w:val="single" w:sz="6" w:space="0" w:color="000000"/>
              <w:left w:val="single" w:sz="6" w:space="0" w:color="000000"/>
              <w:bottom w:val="single" w:sz="6" w:space="0" w:color="000000"/>
            </w:tcBorders>
          </w:tcPr>
          <w:p>
            <w:pPr>
              <w:pStyle w:val="TableParagraph"/>
              <w:spacing w:line="145" w:lineRule="exact" w:before="39"/>
              <w:ind w:left="20"/>
              <w:jc w:val="center"/>
              <w:rPr>
                <w:rFonts w:ascii="Arial"/>
                <w:sz w:val="14"/>
              </w:rPr>
            </w:pPr>
            <w:r>
              <w:rPr>
                <w:rFonts w:ascii="Arial"/>
                <w:sz w:val="14"/>
              </w:rPr>
              <mc:AlternateContent>
                <mc:Choice Requires="wps">
                  <w:drawing>
                    <wp:anchor distT="0" distB="0" distL="0" distR="0" allowOverlap="1" layoutInCell="1" locked="0" behindDoc="1" simplePos="0" relativeHeight="474384896">
                      <wp:simplePos x="0" y="0"/>
                      <wp:positionH relativeFrom="column">
                        <wp:posOffset>1320546</wp:posOffset>
                      </wp:positionH>
                      <wp:positionV relativeFrom="paragraph">
                        <wp:posOffset>-311719</wp:posOffset>
                      </wp:positionV>
                      <wp:extent cx="745490" cy="749300"/>
                      <wp:effectExtent l="0" t="0" r="0" b="0"/>
                      <wp:wrapNone/>
                      <wp:docPr id="1081" name="Group 1081"/>
                      <wp:cNvGraphicFramePr>
                        <a:graphicFrameLocks/>
                      </wp:cNvGraphicFramePr>
                      <a:graphic>
                        <a:graphicData uri="http://schemas.microsoft.com/office/word/2010/wordprocessingGroup">
                          <wpg:wgp>
                            <wpg:cNvPr id="1081" name="Group 1081"/>
                            <wpg:cNvGrpSpPr/>
                            <wpg:grpSpPr>
                              <a:xfrm>
                                <a:off x="0" y="0"/>
                                <a:ext cx="745490" cy="749300"/>
                                <a:chExt cx="745490" cy="749300"/>
                              </a:xfrm>
                            </wpg:grpSpPr>
                            <pic:pic>
                              <pic:nvPicPr>
                                <pic:cNvPr id="1082" name="Image 1082"/>
                                <pic:cNvPicPr/>
                              </pic:nvPicPr>
                              <pic:blipFill>
                                <a:blip r:embed="rId241" cstate="print"/>
                                <a:stretch>
                                  <a:fillRect/>
                                </a:stretch>
                              </pic:blipFill>
                              <pic:spPr>
                                <a:xfrm>
                                  <a:off x="0" y="0"/>
                                  <a:ext cx="730757" cy="749030"/>
                                </a:xfrm>
                                <a:prstGeom prst="rect">
                                  <a:avLst/>
                                </a:prstGeom>
                              </pic:spPr>
                            </pic:pic>
                            <wps:wsp>
                              <wps:cNvPr id="1083" name="Graphic 1083"/>
                              <wps:cNvSpPr/>
                              <wps:spPr>
                                <a:xfrm>
                                  <a:off x="40525" y="20177"/>
                                  <a:ext cx="704850" cy="715010"/>
                                </a:xfrm>
                                <a:custGeom>
                                  <a:avLst/>
                                  <a:gdLst/>
                                  <a:ahLst/>
                                  <a:cxnLst/>
                                  <a:rect l="l" t="t" r="r" b="b"/>
                                  <a:pathLst>
                                    <a:path w="704850" h="715010">
                                      <a:moveTo>
                                        <a:pt x="704545" y="0"/>
                                      </a:moveTo>
                                      <a:lnTo>
                                        <a:pt x="0" y="0"/>
                                      </a:lnTo>
                                      <a:lnTo>
                                        <a:pt x="0" y="714476"/>
                                      </a:lnTo>
                                      <a:lnTo>
                                        <a:pt x="704545" y="714476"/>
                                      </a:lnTo>
                                      <a:lnTo>
                                        <a:pt x="70454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8.7pt;height:59pt;mso-position-horizontal-relative:column;mso-position-vertical-relative:paragraph;z-index:-28931584" id="docshapegroup813" coordorigin="2080,-491" coordsize="1174,1180">
                      <v:shape style="position:absolute;left:2079;top:-491;width:1151;height:1180" type="#_x0000_t75" id="docshape814" stroked="false">
                        <v:imagedata r:id="rId241" o:title=""/>
                      </v:shape>
                      <v:rect style="position:absolute;left:2143;top:-460;width:1110;height:1126" id="docshape815" filled="true" fillcolor="#000000" stroked="false">
                        <v:fill type="solid"/>
                      </v:rect>
                      <w10:wrap type="none"/>
                    </v:group>
                  </w:pict>
                </mc:Fallback>
              </mc:AlternateContent>
            </w:r>
            <w:r>
              <w:rPr>
                <w:rFonts w:ascii="Arial"/>
                <w:spacing w:val="-2"/>
                <w:sz w:val="14"/>
              </w:rPr>
              <w:t>13/40</w:t>
            </w:r>
          </w:p>
        </w:tc>
        <w:tc>
          <w:tcPr>
            <w:tcW w:w="1163" w:type="dxa"/>
            <w:vMerge/>
            <w:tcBorders>
              <w:top w:val="nil"/>
              <w:bottom w:val="single" w:sz="6" w:space="0" w:color="000000"/>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084" name="Image 1084"/>
                  <wp:cNvGraphicFramePr>
                    <a:graphicFrameLocks/>
                  </wp:cNvGraphicFramePr>
                  <a:graphic>
                    <a:graphicData uri="http://schemas.openxmlformats.org/drawingml/2006/picture">
                      <pic:pic>
                        <pic:nvPicPr>
                          <pic:cNvPr id="1084" name="Image 1084"/>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6"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77"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6" w:type="dxa"/>
            <w:tcBorders>
              <w:top w:val="single" w:sz="6" w:space="0" w:color="000000"/>
              <w:left w:val="nil"/>
              <w:bottom w:val="single" w:sz="6" w:space="0" w:color="000000"/>
            </w:tcBorders>
          </w:tcPr>
          <w:p>
            <w:pPr>
              <w:pStyle w:val="TableParagraph"/>
              <w:rPr>
                <w:rFonts w:ascii="Times New Roman"/>
                <w:sz w:val="14"/>
              </w:rPr>
            </w:pPr>
          </w:p>
        </w:tc>
        <w:tc>
          <w:tcPr>
            <w:tcW w:w="1163" w:type="dxa"/>
            <w:vMerge/>
            <w:tcBorders>
              <w:top w:val="nil"/>
              <w:bottom w:val="single" w:sz="6" w:space="0" w:color="000000"/>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085" name="Image 1085"/>
                  <wp:cNvGraphicFramePr>
                    <a:graphicFrameLocks/>
                  </wp:cNvGraphicFramePr>
                  <a:graphic>
                    <a:graphicData uri="http://schemas.openxmlformats.org/drawingml/2006/picture">
                      <pic:pic>
                        <pic:nvPicPr>
                          <pic:cNvPr id="1085" name="Image 1085"/>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89"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63" w:type="dxa"/>
            <w:vMerge/>
            <w:tcBorders>
              <w:top w:val="nil"/>
              <w:bottom w:val="single" w:sz="6" w:space="0" w:color="000000"/>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2251" w:right="2026" w:firstLine="0"/>
        <w:jc w:val="both"/>
        <w:rPr>
          <w:rFonts w:ascii="Calibri" w:hAnsi="Calibri"/>
          <w:i/>
          <w:sz w:val="20"/>
        </w:rPr>
      </w:pPr>
      <w:r>
        <w:rPr>
          <w:rFonts w:ascii="Calibri" w:hAnsi="Calibri"/>
          <w:i/>
          <w:color w:val="4472C4"/>
          <w:sz w:val="20"/>
          <w:u w:val="single" w:color="4472C4"/>
        </w:rPr>
        <w:t>Además, al ampliar el número de pantallas y no ser posible que el contratista pudiera</w:t>
      </w:r>
      <w:r>
        <w:rPr>
          <w:rFonts w:ascii="Calibri" w:hAnsi="Calibri"/>
          <w:i/>
          <w:color w:val="4472C4"/>
          <w:sz w:val="20"/>
          <w:u w:val="none"/>
        </w:rPr>
        <w:t> </w:t>
      </w:r>
      <w:r>
        <w:rPr>
          <w:rFonts w:ascii="Calibri" w:hAnsi="Calibri"/>
          <w:i/>
          <w:color w:val="4472C4"/>
          <w:sz w:val="20"/>
          <w:u w:val="single" w:color="4472C4"/>
        </w:rPr>
        <w:t>fabricarlas e instalarlas antes de que concluyera 2024, se decidió modificar el tipo de</w:t>
      </w:r>
      <w:r>
        <w:rPr>
          <w:rFonts w:ascii="Calibri" w:hAnsi="Calibri"/>
          <w:i/>
          <w:color w:val="4472C4"/>
          <w:sz w:val="20"/>
          <w:u w:val="none"/>
        </w:rPr>
        <w:t> </w:t>
      </w:r>
      <w:r>
        <w:rPr>
          <w:rFonts w:ascii="Calibri" w:hAnsi="Calibri"/>
          <w:i/>
          <w:color w:val="4472C4"/>
          <w:sz w:val="20"/>
          <w:u w:val="single" w:color="4472C4"/>
        </w:rPr>
        <w:t>pantallas a instalar por otras que tenía disponibles el contratista.”</w:t>
      </w:r>
    </w:p>
    <w:p>
      <w:pPr>
        <w:pStyle w:val="BodyText"/>
        <w:rPr>
          <w:rFonts w:ascii="Calibri"/>
          <w:i/>
          <w:sz w:val="20"/>
        </w:rPr>
      </w:pPr>
    </w:p>
    <w:p>
      <w:pPr>
        <w:pStyle w:val="BodyText"/>
        <w:spacing w:before="57"/>
        <w:rPr>
          <w:rFonts w:ascii="Calibri"/>
          <w:i/>
          <w:sz w:val="20"/>
        </w:rPr>
      </w:pPr>
    </w:p>
    <w:p>
      <w:pPr>
        <w:spacing w:line="256" w:lineRule="auto" w:before="0"/>
        <w:ind w:left="1925" w:right="1279" w:firstLine="326"/>
        <w:jc w:val="left"/>
        <w:rPr>
          <w:rFonts w:ascii="Calibri" w:hAnsi="Calibri"/>
          <w:sz w:val="20"/>
        </w:rPr>
      </w:pPr>
      <w:r>
        <w:rPr>
          <w:rFonts w:ascii="Calibri" w:hAnsi="Calibri"/>
          <w:sz w:val="20"/>
        </w:rPr>
        <w:t>Con</w:t>
      </w:r>
      <w:r>
        <w:rPr>
          <w:rFonts w:ascii="Calibri" w:hAnsi="Calibri"/>
          <w:spacing w:val="33"/>
          <w:sz w:val="20"/>
        </w:rPr>
        <w:t> </w:t>
      </w:r>
      <w:r>
        <w:rPr>
          <w:rFonts w:ascii="Calibri" w:hAnsi="Calibri"/>
          <w:sz w:val="20"/>
        </w:rPr>
        <w:t>relación</w:t>
      </w:r>
      <w:r>
        <w:rPr>
          <w:rFonts w:ascii="Calibri" w:hAnsi="Calibri"/>
          <w:spacing w:val="31"/>
          <w:sz w:val="20"/>
        </w:rPr>
        <w:t> </w:t>
      </w:r>
      <w:r>
        <w:rPr>
          <w:rFonts w:ascii="Calibri" w:hAnsi="Calibri"/>
          <w:sz w:val="20"/>
        </w:rPr>
        <w:t>a</w:t>
      </w:r>
      <w:r>
        <w:rPr>
          <w:rFonts w:ascii="Calibri" w:hAnsi="Calibri"/>
          <w:spacing w:val="35"/>
          <w:sz w:val="20"/>
        </w:rPr>
        <w:t> </w:t>
      </w:r>
      <w:r>
        <w:rPr>
          <w:rFonts w:ascii="Calibri" w:hAnsi="Calibri"/>
          <w:sz w:val="20"/>
        </w:rPr>
        <w:t>la</w:t>
      </w:r>
      <w:r>
        <w:rPr>
          <w:rFonts w:ascii="Calibri" w:hAnsi="Calibri"/>
          <w:spacing w:val="30"/>
          <w:sz w:val="20"/>
        </w:rPr>
        <w:t> </w:t>
      </w:r>
      <w:r>
        <w:rPr>
          <w:rFonts w:ascii="Calibri" w:hAnsi="Calibri"/>
          <w:sz w:val="20"/>
        </w:rPr>
        <w:t>observación</w:t>
      </w:r>
      <w:r>
        <w:rPr>
          <w:rFonts w:ascii="Calibri" w:hAnsi="Calibri"/>
          <w:spacing w:val="33"/>
          <w:sz w:val="20"/>
        </w:rPr>
        <w:t> </w:t>
      </w:r>
      <w:r>
        <w:rPr>
          <w:rFonts w:ascii="Calibri" w:hAnsi="Calibri"/>
          <w:sz w:val="20"/>
        </w:rPr>
        <w:t>señalada</w:t>
      </w:r>
      <w:r>
        <w:rPr>
          <w:rFonts w:ascii="Calibri" w:hAnsi="Calibri"/>
          <w:spacing w:val="34"/>
          <w:sz w:val="20"/>
        </w:rPr>
        <w:t> </w:t>
      </w:r>
      <w:r>
        <w:rPr>
          <w:rFonts w:ascii="Calibri" w:hAnsi="Calibri"/>
          <w:sz w:val="20"/>
        </w:rPr>
        <w:t>en</w:t>
      </w:r>
      <w:r>
        <w:rPr>
          <w:rFonts w:ascii="Calibri" w:hAnsi="Calibri"/>
          <w:spacing w:val="32"/>
          <w:sz w:val="20"/>
        </w:rPr>
        <w:t> </w:t>
      </w:r>
      <w:r>
        <w:rPr>
          <w:rFonts w:ascii="Calibri" w:hAnsi="Calibri"/>
          <w:sz w:val="20"/>
        </w:rPr>
        <w:t>el</w:t>
      </w:r>
      <w:r>
        <w:rPr>
          <w:rFonts w:ascii="Calibri" w:hAnsi="Calibri"/>
          <w:spacing w:val="32"/>
          <w:sz w:val="20"/>
        </w:rPr>
        <w:t> </w:t>
      </w:r>
      <w:r>
        <w:rPr>
          <w:rFonts w:ascii="Calibri" w:hAnsi="Calibri"/>
          <w:sz w:val="20"/>
        </w:rPr>
        <w:t>informe</w:t>
      </w:r>
      <w:r>
        <w:rPr>
          <w:rFonts w:ascii="Calibri" w:hAnsi="Calibri"/>
          <w:spacing w:val="35"/>
          <w:sz w:val="20"/>
        </w:rPr>
        <w:t> </w:t>
      </w:r>
      <w:r>
        <w:rPr>
          <w:rFonts w:ascii="Calibri" w:hAnsi="Calibri"/>
          <w:sz w:val="20"/>
        </w:rPr>
        <w:t>provisional</w:t>
      </w:r>
      <w:r>
        <w:rPr>
          <w:rFonts w:ascii="Calibri" w:hAnsi="Calibri"/>
          <w:spacing w:val="34"/>
          <w:sz w:val="20"/>
        </w:rPr>
        <w:t> </w:t>
      </w:r>
      <w:r>
        <w:rPr>
          <w:rFonts w:ascii="Calibri" w:hAnsi="Calibri"/>
          <w:sz w:val="20"/>
        </w:rPr>
        <w:t>del</w:t>
      </w:r>
      <w:r>
        <w:rPr>
          <w:rFonts w:ascii="Calibri" w:hAnsi="Calibri"/>
          <w:spacing w:val="32"/>
          <w:sz w:val="20"/>
        </w:rPr>
        <w:t> </w:t>
      </w:r>
      <w:r>
        <w:rPr>
          <w:rFonts w:ascii="Calibri" w:hAnsi="Calibri"/>
          <w:sz w:val="20"/>
        </w:rPr>
        <w:t>TC</w:t>
      </w:r>
      <w:r>
        <w:rPr>
          <w:rFonts w:ascii="Calibri" w:hAnsi="Calibri"/>
          <w:spacing w:val="34"/>
          <w:sz w:val="20"/>
        </w:rPr>
        <w:t> </w:t>
      </w:r>
      <w:r>
        <w:rPr>
          <w:rFonts w:ascii="Calibri" w:hAnsi="Calibri"/>
          <w:sz w:val="20"/>
        </w:rPr>
        <w:t>acerca</w:t>
      </w:r>
      <w:r>
        <w:rPr>
          <w:rFonts w:ascii="Calibri" w:hAnsi="Calibri"/>
          <w:spacing w:val="33"/>
          <w:sz w:val="20"/>
        </w:rPr>
        <w:t> </w:t>
      </w:r>
      <w:r>
        <w:rPr>
          <w:rFonts w:ascii="Calibri" w:hAnsi="Calibri"/>
          <w:sz w:val="20"/>
        </w:rPr>
        <w:t>de</w:t>
      </w:r>
      <w:r>
        <w:rPr>
          <w:rFonts w:ascii="Calibri" w:hAnsi="Calibri"/>
          <w:spacing w:val="36"/>
          <w:sz w:val="20"/>
        </w:rPr>
        <w:t> </w:t>
      </w:r>
      <w:r>
        <w:rPr>
          <w:rFonts w:ascii="Calibri" w:hAnsi="Calibri"/>
          <w:sz w:val="20"/>
        </w:rPr>
        <w:t>las modificaciones efectuadas al expediente 016-2022 se realizan</w:t>
      </w:r>
      <w:r>
        <w:rPr>
          <w:rFonts w:ascii="Calibri" w:hAnsi="Calibri"/>
          <w:spacing w:val="-1"/>
          <w:sz w:val="20"/>
        </w:rPr>
        <w:t> </w:t>
      </w:r>
      <w:r>
        <w:rPr>
          <w:rFonts w:ascii="Calibri" w:hAnsi="Calibri"/>
          <w:sz w:val="20"/>
        </w:rPr>
        <w:t>las siguientes aclaraciones:</w:t>
      </w:r>
    </w:p>
    <w:p>
      <w:pPr>
        <w:spacing w:line="256" w:lineRule="auto" w:before="145"/>
        <w:ind w:left="1925" w:right="2020" w:firstLine="0"/>
        <w:jc w:val="both"/>
        <w:rPr>
          <w:rFonts w:ascii="Calibri" w:hAnsi="Calibri"/>
          <w:sz w:val="20"/>
        </w:rPr>
      </w:pPr>
      <w:r>
        <w:rPr>
          <w:rFonts w:ascii="Calibri" w:hAnsi="Calibri"/>
          <w:sz w:val="20"/>
        </w:rPr>
        <w:t>1º La observación provisional señala como primera cuestión la falta de claridad sobre si la primera modificación</w:t>
      </w:r>
      <w:r>
        <w:rPr>
          <w:rFonts w:ascii="Calibri" w:hAnsi="Calibri"/>
          <w:spacing w:val="-2"/>
          <w:sz w:val="20"/>
        </w:rPr>
        <w:t> </w:t>
      </w:r>
      <w:r>
        <w:rPr>
          <w:rFonts w:ascii="Calibri" w:hAnsi="Calibri"/>
          <w:sz w:val="20"/>
        </w:rPr>
        <w:t>del contrato estaba prevista en</w:t>
      </w:r>
      <w:r>
        <w:rPr>
          <w:rFonts w:ascii="Calibri" w:hAnsi="Calibri"/>
          <w:spacing w:val="-3"/>
          <w:sz w:val="20"/>
        </w:rPr>
        <w:t> </w:t>
      </w:r>
      <w:r>
        <w:rPr>
          <w:rFonts w:ascii="Calibri" w:hAnsi="Calibri"/>
          <w:sz w:val="20"/>
        </w:rPr>
        <w:t>los pliegos</w:t>
      </w:r>
      <w:r>
        <w:rPr>
          <w:rFonts w:ascii="Calibri" w:hAnsi="Calibri"/>
          <w:spacing w:val="-2"/>
          <w:sz w:val="20"/>
        </w:rPr>
        <w:t> </w:t>
      </w:r>
      <w:r>
        <w:rPr>
          <w:rFonts w:ascii="Calibri" w:hAnsi="Calibri"/>
          <w:sz w:val="20"/>
        </w:rPr>
        <w:t>o constituía</w:t>
      </w:r>
      <w:r>
        <w:rPr>
          <w:rFonts w:ascii="Calibri" w:hAnsi="Calibri"/>
          <w:spacing w:val="-2"/>
          <w:sz w:val="20"/>
        </w:rPr>
        <w:t> </w:t>
      </w:r>
      <w:r>
        <w:rPr>
          <w:rFonts w:ascii="Calibri" w:hAnsi="Calibri"/>
          <w:sz w:val="20"/>
        </w:rPr>
        <w:t>una modificación no prevista. Con respecto a este comentario, debe aclararse que ambas modificaciones se tramitaron al amparo de las previsiones de modificación incluidas en los pliegos de contratación,</w:t>
      </w:r>
      <w:r>
        <w:rPr>
          <w:rFonts w:ascii="Calibri" w:hAnsi="Calibri"/>
          <w:spacing w:val="-8"/>
          <w:sz w:val="20"/>
        </w:rPr>
        <w:t> </w:t>
      </w:r>
      <w:r>
        <w:rPr>
          <w:rFonts w:ascii="Calibri" w:hAnsi="Calibri"/>
          <w:sz w:val="20"/>
        </w:rPr>
        <w:t>conforme</w:t>
      </w:r>
      <w:r>
        <w:rPr>
          <w:rFonts w:ascii="Calibri" w:hAnsi="Calibri"/>
          <w:spacing w:val="-6"/>
          <w:sz w:val="20"/>
        </w:rPr>
        <w:t> </w:t>
      </w:r>
      <w:r>
        <w:rPr>
          <w:rFonts w:ascii="Calibri" w:hAnsi="Calibri"/>
          <w:sz w:val="20"/>
        </w:rPr>
        <w:t>a</w:t>
      </w:r>
      <w:r>
        <w:rPr>
          <w:rFonts w:ascii="Calibri" w:hAnsi="Calibri"/>
          <w:spacing w:val="-7"/>
          <w:sz w:val="20"/>
        </w:rPr>
        <w:t> </w:t>
      </w:r>
      <w:r>
        <w:rPr>
          <w:rFonts w:ascii="Calibri" w:hAnsi="Calibri"/>
          <w:sz w:val="20"/>
        </w:rPr>
        <w:t>la</w:t>
      </w:r>
      <w:r>
        <w:rPr>
          <w:rFonts w:ascii="Calibri" w:hAnsi="Calibri"/>
          <w:spacing w:val="-8"/>
          <w:sz w:val="20"/>
        </w:rPr>
        <w:t> </w:t>
      </w:r>
      <w:r>
        <w:rPr>
          <w:rFonts w:ascii="Calibri" w:hAnsi="Calibri"/>
          <w:sz w:val="20"/>
        </w:rPr>
        <w:t>habilitación</w:t>
      </w:r>
      <w:r>
        <w:rPr>
          <w:rFonts w:ascii="Calibri" w:hAnsi="Calibri"/>
          <w:spacing w:val="-8"/>
          <w:sz w:val="20"/>
        </w:rPr>
        <w:t> </w:t>
      </w:r>
      <w:r>
        <w:rPr>
          <w:rFonts w:ascii="Calibri" w:hAnsi="Calibri"/>
          <w:sz w:val="20"/>
        </w:rPr>
        <w:t>legal</w:t>
      </w:r>
      <w:r>
        <w:rPr>
          <w:rFonts w:ascii="Calibri" w:hAnsi="Calibri"/>
          <w:spacing w:val="-8"/>
          <w:sz w:val="20"/>
        </w:rPr>
        <w:t> </w:t>
      </w:r>
      <w:r>
        <w:rPr>
          <w:rFonts w:ascii="Calibri" w:hAnsi="Calibri"/>
          <w:sz w:val="20"/>
        </w:rPr>
        <w:t>del</w:t>
      </w:r>
      <w:r>
        <w:rPr>
          <w:rFonts w:ascii="Calibri" w:hAnsi="Calibri"/>
          <w:spacing w:val="-8"/>
          <w:sz w:val="20"/>
        </w:rPr>
        <w:t> </w:t>
      </w:r>
      <w:r>
        <w:rPr>
          <w:rFonts w:ascii="Calibri" w:hAnsi="Calibri"/>
          <w:sz w:val="20"/>
        </w:rPr>
        <w:t>Real</w:t>
      </w:r>
      <w:r>
        <w:rPr>
          <w:rFonts w:ascii="Calibri" w:hAnsi="Calibri"/>
          <w:spacing w:val="-9"/>
          <w:sz w:val="20"/>
        </w:rPr>
        <w:t> </w:t>
      </w:r>
      <w:r>
        <w:rPr>
          <w:rFonts w:ascii="Calibri" w:hAnsi="Calibri"/>
          <w:sz w:val="20"/>
        </w:rPr>
        <w:t>Decreto-ley</w:t>
      </w:r>
      <w:r>
        <w:rPr>
          <w:rFonts w:ascii="Calibri" w:hAnsi="Calibri"/>
          <w:spacing w:val="-8"/>
          <w:sz w:val="20"/>
        </w:rPr>
        <w:t> </w:t>
      </w:r>
      <w:r>
        <w:rPr>
          <w:rFonts w:ascii="Calibri" w:hAnsi="Calibri"/>
          <w:sz w:val="20"/>
        </w:rPr>
        <w:t>3/2020.</w:t>
      </w:r>
      <w:r>
        <w:rPr>
          <w:rFonts w:ascii="Calibri" w:hAnsi="Calibri"/>
          <w:spacing w:val="-8"/>
          <w:sz w:val="20"/>
        </w:rPr>
        <w:t> </w:t>
      </w:r>
      <w:r>
        <w:rPr>
          <w:rFonts w:ascii="Calibri" w:hAnsi="Calibri"/>
          <w:sz w:val="20"/>
        </w:rPr>
        <w:t>En</w:t>
      </w:r>
      <w:r>
        <w:rPr>
          <w:rFonts w:ascii="Calibri" w:hAnsi="Calibri"/>
          <w:spacing w:val="-10"/>
          <w:sz w:val="20"/>
        </w:rPr>
        <w:t> </w:t>
      </w:r>
      <w:r>
        <w:rPr>
          <w:rFonts w:ascii="Calibri" w:hAnsi="Calibri"/>
          <w:sz w:val="20"/>
        </w:rPr>
        <w:t>efecto,</w:t>
      </w:r>
      <w:r>
        <w:rPr>
          <w:rFonts w:ascii="Calibri" w:hAnsi="Calibri"/>
          <w:spacing w:val="-8"/>
          <w:sz w:val="20"/>
        </w:rPr>
        <w:t> </w:t>
      </w:r>
      <w:r>
        <w:rPr>
          <w:rFonts w:ascii="Calibri" w:hAnsi="Calibri"/>
          <w:sz w:val="20"/>
        </w:rPr>
        <w:t>el</w:t>
      </w:r>
      <w:r>
        <w:rPr>
          <w:rFonts w:ascii="Calibri" w:hAnsi="Calibri"/>
          <w:spacing w:val="-10"/>
          <w:sz w:val="20"/>
        </w:rPr>
        <w:t> </w:t>
      </w:r>
      <w:r>
        <w:rPr>
          <w:rFonts w:ascii="Calibri" w:hAnsi="Calibri"/>
          <w:sz w:val="20"/>
        </w:rPr>
        <w:t>artículo 109 de dicho RDL 3/2020 establece que un contrato en vigor solo puede modificarse durante su vigencia o bien cuando las modificaciones estén previstas en los pliegos (art. 110) o bien, excepcionalmente, cuando se trate de modificaciones no previstas que cumplan las estrictas condiciones del art. 111. En cualquier otro supuesto, sería obligada la resolución del contrato original y la celebración de uno nuevo mediante licitación.</w:t>
      </w:r>
    </w:p>
    <w:p>
      <w:pPr>
        <w:spacing w:line="256" w:lineRule="auto" w:before="146"/>
        <w:ind w:left="1925" w:right="2017" w:firstLine="0"/>
        <w:jc w:val="both"/>
        <w:rPr>
          <w:rFonts w:ascii="Calibri" w:hAnsi="Calibri"/>
          <w:sz w:val="20"/>
        </w:rPr>
      </w:pPr>
      <w:r>
        <w:rPr>
          <w:rFonts w:ascii="Calibri" w:hAnsi="Calibri"/>
          <w:sz w:val="20"/>
        </w:rPr>
        <w:t>En el presente caso, se ha cumplido plenamente con ese marco legal: las modificaciones realizadas encuentran cobertura</w:t>
      </w:r>
      <w:r>
        <w:rPr>
          <w:rFonts w:ascii="Calibri" w:hAnsi="Calibri"/>
          <w:spacing w:val="-1"/>
          <w:sz w:val="20"/>
        </w:rPr>
        <w:t> </w:t>
      </w:r>
      <w:r>
        <w:rPr>
          <w:rFonts w:ascii="Calibri" w:hAnsi="Calibri"/>
          <w:sz w:val="20"/>
        </w:rPr>
        <w:t>en los</w:t>
      </w:r>
      <w:r>
        <w:rPr>
          <w:rFonts w:ascii="Calibri" w:hAnsi="Calibri"/>
          <w:spacing w:val="-1"/>
          <w:sz w:val="20"/>
        </w:rPr>
        <w:t> </w:t>
      </w:r>
      <w:r>
        <w:rPr>
          <w:rFonts w:ascii="Calibri" w:hAnsi="Calibri"/>
          <w:sz w:val="20"/>
        </w:rPr>
        <w:t>supuestos</w:t>
      </w:r>
      <w:r>
        <w:rPr>
          <w:rFonts w:ascii="Calibri" w:hAnsi="Calibri"/>
          <w:spacing w:val="-1"/>
          <w:sz w:val="20"/>
        </w:rPr>
        <w:t> </w:t>
      </w:r>
      <w:r>
        <w:rPr>
          <w:rFonts w:ascii="Calibri" w:hAnsi="Calibri"/>
          <w:sz w:val="20"/>
        </w:rPr>
        <w:t>de</w:t>
      </w:r>
      <w:r>
        <w:rPr>
          <w:rFonts w:ascii="Calibri" w:hAnsi="Calibri"/>
          <w:spacing w:val="-3"/>
          <w:sz w:val="20"/>
        </w:rPr>
        <w:t> </w:t>
      </w:r>
      <w:r>
        <w:rPr>
          <w:rFonts w:ascii="Calibri" w:hAnsi="Calibri"/>
          <w:sz w:val="20"/>
        </w:rPr>
        <w:t>modificación</w:t>
      </w:r>
      <w:r>
        <w:rPr>
          <w:rFonts w:ascii="Calibri" w:hAnsi="Calibri"/>
          <w:spacing w:val="-1"/>
          <w:sz w:val="20"/>
        </w:rPr>
        <w:t> </w:t>
      </w:r>
      <w:r>
        <w:rPr>
          <w:rFonts w:ascii="Calibri" w:hAnsi="Calibri"/>
          <w:i/>
          <w:sz w:val="20"/>
        </w:rPr>
        <w:t>ex ante</w:t>
      </w:r>
      <w:r>
        <w:rPr>
          <w:rFonts w:ascii="Calibri" w:hAnsi="Calibri"/>
          <w:i/>
          <w:spacing w:val="-1"/>
          <w:sz w:val="20"/>
        </w:rPr>
        <w:t> </w:t>
      </w:r>
      <w:r>
        <w:rPr>
          <w:rFonts w:ascii="Calibri" w:hAnsi="Calibri"/>
          <w:sz w:val="20"/>
        </w:rPr>
        <w:t>contemplados</w:t>
      </w:r>
      <w:r>
        <w:rPr>
          <w:rFonts w:ascii="Calibri" w:hAnsi="Calibri"/>
          <w:spacing w:val="-3"/>
          <w:sz w:val="20"/>
        </w:rPr>
        <w:t> </w:t>
      </w:r>
      <w:r>
        <w:rPr>
          <w:rFonts w:ascii="Calibri" w:hAnsi="Calibri"/>
          <w:sz w:val="20"/>
        </w:rPr>
        <w:t>en</w:t>
      </w:r>
      <w:r>
        <w:rPr>
          <w:rFonts w:ascii="Calibri" w:hAnsi="Calibri"/>
          <w:spacing w:val="-1"/>
          <w:sz w:val="20"/>
        </w:rPr>
        <w:t> </w:t>
      </w:r>
      <w:r>
        <w:rPr>
          <w:rFonts w:ascii="Calibri" w:hAnsi="Calibri"/>
          <w:sz w:val="20"/>
        </w:rPr>
        <w:t>la cláusula</w:t>
      </w:r>
      <w:r>
        <w:rPr>
          <w:rFonts w:ascii="Calibri" w:hAnsi="Calibri"/>
          <w:spacing w:val="-8"/>
          <w:sz w:val="20"/>
        </w:rPr>
        <w:t> </w:t>
      </w:r>
      <w:r>
        <w:rPr>
          <w:rFonts w:ascii="Calibri" w:hAnsi="Calibri"/>
          <w:sz w:val="20"/>
        </w:rPr>
        <w:t>25</w:t>
      </w:r>
      <w:r>
        <w:rPr>
          <w:rFonts w:ascii="Calibri" w:hAnsi="Calibri"/>
          <w:spacing w:val="-6"/>
          <w:sz w:val="20"/>
        </w:rPr>
        <w:t> </w:t>
      </w:r>
      <w:r>
        <w:rPr>
          <w:rFonts w:ascii="Calibri" w:hAnsi="Calibri"/>
          <w:sz w:val="20"/>
        </w:rPr>
        <w:t>del</w:t>
      </w:r>
      <w:r>
        <w:rPr>
          <w:rFonts w:ascii="Calibri" w:hAnsi="Calibri"/>
          <w:spacing w:val="-7"/>
          <w:sz w:val="20"/>
        </w:rPr>
        <w:t> </w:t>
      </w:r>
      <w:r>
        <w:rPr>
          <w:rFonts w:ascii="Calibri" w:hAnsi="Calibri"/>
          <w:sz w:val="20"/>
        </w:rPr>
        <w:t>Pliego</w:t>
      </w:r>
      <w:r>
        <w:rPr>
          <w:rFonts w:ascii="Calibri" w:hAnsi="Calibri"/>
          <w:spacing w:val="-6"/>
          <w:sz w:val="20"/>
        </w:rPr>
        <w:t> </w:t>
      </w:r>
      <w:r>
        <w:rPr>
          <w:rFonts w:ascii="Calibri" w:hAnsi="Calibri"/>
          <w:sz w:val="20"/>
        </w:rPr>
        <w:t>de</w:t>
      </w:r>
      <w:r>
        <w:rPr>
          <w:rFonts w:ascii="Calibri" w:hAnsi="Calibri"/>
          <w:spacing w:val="-6"/>
          <w:sz w:val="20"/>
        </w:rPr>
        <w:t> </w:t>
      </w:r>
      <w:r>
        <w:rPr>
          <w:rFonts w:ascii="Calibri" w:hAnsi="Calibri"/>
          <w:sz w:val="20"/>
        </w:rPr>
        <w:t>Cláusulas</w:t>
      </w:r>
      <w:r>
        <w:rPr>
          <w:rFonts w:ascii="Calibri" w:hAnsi="Calibri"/>
          <w:spacing w:val="-6"/>
          <w:sz w:val="20"/>
        </w:rPr>
        <w:t> </w:t>
      </w:r>
      <w:r>
        <w:rPr>
          <w:rFonts w:ascii="Calibri" w:hAnsi="Calibri"/>
          <w:sz w:val="20"/>
        </w:rPr>
        <w:t>Administrativas</w:t>
      </w:r>
      <w:r>
        <w:rPr>
          <w:rFonts w:ascii="Calibri" w:hAnsi="Calibri"/>
          <w:spacing w:val="-8"/>
          <w:sz w:val="20"/>
        </w:rPr>
        <w:t> </w:t>
      </w:r>
      <w:r>
        <w:rPr>
          <w:rFonts w:ascii="Calibri" w:hAnsi="Calibri"/>
          <w:sz w:val="20"/>
        </w:rPr>
        <w:t>Particulares</w:t>
      </w:r>
      <w:r>
        <w:rPr>
          <w:rFonts w:ascii="Calibri" w:hAnsi="Calibri"/>
          <w:spacing w:val="-8"/>
          <w:sz w:val="20"/>
        </w:rPr>
        <w:t> </w:t>
      </w:r>
      <w:r>
        <w:rPr>
          <w:rFonts w:ascii="Calibri" w:hAnsi="Calibri"/>
          <w:sz w:val="20"/>
        </w:rPr>
        <w:t>(PCAP),</w:t>
      </w:r>
      <w:r>
        <w:rPr>
          <w:rFonts w:ascii="Calibri" w:hAnsi="Calibri"/>
          <w:spacing w:val="-10"/>
          <w:sz w:val="20"/>
        </w:rPr>
        <w:t> </w:t>
      </w:r>
      <w:r>
        <w:rPr>
          <w:rFonts w:ascii="Calibri" w:hAnsi="Calibri"/>
          <w:sz w:val="20"/>
        </w:rPr>
        <w:t>ajustándose</w:t>
      </w:r>
      <w:r>
        <w:rPr>
          <w:rFonts w:ascii="Calibri" w:hAnsi="Calibri"/>
          <w:spacing w:val="-10"/>
          <w:sz w:val="20"/>
        </w:rPr>
        <w:t> </w:t>
      </w:r>
      <w:r>
        <w:rPr>
          <w:rFonts w:ascii="Calibri" w:hAnsi="Calibri"/>
          <w:sz w:val="20"/>
        </w:rPr>
        <w:t>por</w:t>
      </w:r>
      <w:r>
        <w:rPr>
          <w:rFonts w:ascii="Calibri" w:hAnsi="Calibri"/>
          <w:spacing w:val="-10"/>
          <w:sz w:val="20"/>
        </w:rPr>
        <w:t> </w:t>
      </w:r>
      <w:r>
        <w:rPr>
          <w:rFonts w:ascii="Calibri" w:hAnsi="Calibri"/>
          <w:sz w:val="20"/>
        </w:rPr>
        <w:t>tanto</w:t>
      </w:r>
      <w:r>
        <w:rPr>
          <w:rFonts w:ascii="Calibri" w:hAnsi="Calibri"/>
          <w:spacing w:val="-9"/>
          <w:sz w:val="20"/>
        </w:rPr>
        <w:t> </w:t>
      </w:r>
      <w:r>
        <w:rPr>
          <w:rFonts w:ascii="Calibri" w:hAnsi="Calibri"/>
          <w:sz w:val="20"/>
        </w:rPr>
        <w:t>a lo dispuesto en el art. 110 RDL 3/2020.</w:t>
      </w:r>
    </w:p>
    <w:p>
      <w:pPr>
        <w:spacing w:line="259" w:lineRule="auto" w:before="145"/>
        <w:ind w:left="1925" w:right="2023" w:firstLine="0"/>
        <w:jc w:val="both"/>
        <w:rPr>
          <w:rFonts w:ascii="Calibri" w:hAnsi="Calibri"/>
          <w:sz w:val="20"/>
        </w:rPr>
      </w:pPr>
      <w:r>
        <w:rPr>
          <w:rFonts w:ascii="Calibri" w:hAnsi="Calibri"/>
          <w:sz w:val="20"/>
        </w:rPr>
        <w:t>Concretamente, la cláusula 25.2 del PCAP prevé expresamente la posibilidad de modificar el contrato hasta un</w:t>
      </w:r>
      <w:r>
        <w:rPr>
          <w:rFonts w:ascii="Calibri" w:hAnsi="Calibri"/>
          <w:spacing w:val="-1"/>
          <w:sz w:val="20"/>
        </w:rPr>
        <w:t> </w:t>
      </w:r>
      <w:r>
        <w:rPr>
          <w:rFonts w:ascii="Calibri" w:hAnsi="Calibri"/>
          <w:sz w:val="20"/>
        </w:rPr>
        <w:t>20% del</w:t>
      </w:r>
      <w:r>
        <w:rPr>
          <w:rFonts w:ascii="Calibri" w:hAnsi="Calibri"/>
          <w:spacing w:val="-2"/>
          <w:sz w:val="20"/>
        </w:rPr>
        <w:t> </w:t>
      </w:r>
      <w:r>
        <w:rPr>
          <w:rFonts w:ascii="Calibri" w:hAnsi="Calibri"/>
          <w:sz w:val="20"/>
        </w:rPr>
        <w:t>precio inicial cuando concurran determinadas causas objetivas.</w:t>
      </w:r>
    </w:p>
    <w:p>
      <w:pPr>
        <w:spacing w:line="256" w:lineRule="auto" w:before="140"/>
        <w:ind w:left="1925" w:right="2018" w:firstLine="0"/>
        <w:jc w:val="both"/>
        <w:rPr>
          <w:rFonts w:ascii="Calibri" w:hAnsi="Calibri"/>
          <w:sz w:val="20"/>
        </w:rPr>
      </w:pPr>
      <w:r>
        <w:rPr>
          <w:rFonts w:ascii="Calibri" w:hAnsi="Calibri"/>
          <w:sz w:val="20"/>
        </w:rPr>
        <w:t>Dichas causas incluyen, entre otras: la introducción de variaciones estrictamente indispensables para que la prestación responda adecuadamente a su finalidad; el caso de que las</w:t>
      </w:r>
      <w:r>
        <w:rPr>
          <w:rFonts w:ascii="Calibri" w:hAnsi="Calibri"/>
          <w:spacing w:val="-6"/>
          <w:sz w:val="20"/>
        </w:rPr>
        <w:t> </w:t>
      </w:r>
      <w:r>
        <w:rPr>
          <w:rFonts w:ascii="Calibri" w:hAnsi="Calibri"/>
          <w:sz w:val="20"/>
        </w:rPr>
        <w:t>necesidades</w:t>
      </w:r>
      <w:r>
        <w:rPr>
          <w:rFonts w:ascii="Calibri" w:hAnsi="Calibri"/>
          <w:spacing w:val="-4"/>
          <w:sz w:val="20"/>
        </w:rPr>
        <w:t> </w:t>
      </w:r>
      <w:r>
        <w:rPr>
          <w:rFonts w:ascii="Calibri" w:hAnsi="Calibri"/>
          <w:sz w:val="20"/>
        </w:rPr>
        <w:t>reales</w:t>
      </w:r>
      <w:r>
        <w:rPr>
          <w:rFonts w:ascii="Calibri" w:hAnsi="Calibri"/>
          <w:spacing w:val="-6"/>
          <w:sz w:val="20"/>
        </w:rPr>
        <w:t> </w:t>
      </w:r>
      <w:r>
        <w:rPr>
          <w:rFonts w:ascii="Calibri" w:hAnsi="Calibri"/>
          <w:sz w:val="20"/>
        </w:rPr>
        <w:t>superen</w:t>
      </w:r>
      <w:r>
        <w:rPr>
          <w:rFonts w:ascii="Calibri" w:hAnsi="Calibri"/>
          <w:spacing w:val="-7"/>
          <w:sz w:val="20"/>
        </w:rPr>
        <w:t> </w:t>
      </w:r>
      <w:r>
        <w:rPr>
          <w:rFonts w:ascii="Calibri" w:hAnsi="Calibri"/>
          <w:sz w:val="20"/>
        </w:rPr>
        <w:t>las</w:t>
      </w:r>
      <w:r>
        <w:rPr>
          <w:rFonts w:ascii="Calibri" w:hAnsi="Calibri"/>
          <w:spacing w:val="-6"/>
          <w:sz w:val="20"/>
        </w:rPr>
        <w:t> </w:t>
      </w:r>
      <w:r>
        <w:rPr>
          <w:rFonts w:ascii="Calibri" w:hAnsi="Calibri"/>
          <w:sz w:val="20"/>
        </w:rPr>
        <w:t>estimaciones</w:t>
      </w:r>
      <w:r>
        <w:rPr>
          <w:rFonts w:ascii="Calibri" w:hAnsi="Calibri"/>
          <w:spacing w:val="-4"/>
          <w:sz w:val="20"/>
        </w:rPr>
        <w:t> </w:t>
      </w:r>
      <w:r>
        <w:rPr>
          <w:rFonts w:ascii="Calibri" w:hAnsi="Calibri"/>
          <w:sz w:val="20"/>
        </w:rPr>
        <w:t>iniciales</w:t>
      </w:r>
      <w:r>
        <w:rPr>
          <w:rFonts w:ascii="Calibri" w:hAnsi="Calibri"/>
          <w:spacing w:val="-6"/>
          <w:sz w:val="20"/>
        </w:rPr>
        <w:t> </w:t>
      </w:r>
      <w:r>
        <w:rPr>
          <w:rFonts w:ascii="Calibri" w:hAnsi="Calibri"/>
          <w:sz w:val="20"/>
        </w:rPr>
        <w:t>en</w:t>
      </w:r>
      <w:r>
        <w:rPr>
          <w:rFonts w:ascii="Calibri" w:hAnsi="Calibri"/>
          <w:spacing w:val="-7"/>
          <w:sz w:val="20"/>
        </w:rPr>
        <w:t> </w:t>
      </w:r>
      <w:r>
        <w:rPr>
          <w:rFonts w:ascii="Calibri" w:hAnsi="Calibri"/>
          <w:sz w:val="20"/>
        </w:rPr>
        <w:t>más</w:t>
      </w:r>
      <w:r>
        <w:rPr>
          <w:rFonts w:ascii="Calibri" w:hAnsi="Calibri"/>
          <w:spacing w:val="-6"/>
          <w:sz w:val="20"/>
        </w:rPr>
        <w:t> </w:t>
      </w:r>
      <w:r>
        <w:rPr>
          <w:rFonts w:ascii="Calibri" w:hAnsi="Calibri"/>
          <w:sz w:val="20"/>
        </w:rPr>
        <w:t>de</w:t>
      </w:r>
      <w:r>
        <w:rPr>
          <w:rFonts w:ascii="Calibri" w:hAnsi="Calibri"/>
          <w:spacing w:val="-4"/>
          <w:sz w:val="20"/>
        </w:rPr>
        <w:t> </w:t>
      </w:r>
      <w:r>
        <w:rPr>
          <w:rFonts w:ascii="Calibri" w:hAnsi="Calibri"/>
          <w:sz w:val="20"/>
        </w:rPr>
        <w:t>un</w:t>
      </w:r>
      <w:r>
        <w:rPr>
          <w:rFonts w:ascii="Calibri" w:hAnsi="Calibri"/>
          <w:spacing w:val="-7"/>
          <w:sz w:val="20"/>
        </w:rPr>
        <w:t> </w:t>
      </w:r>
      <w:r>
        <w:rPr>
          <w:rFonts w:ascii="Calibri" w:hAnsi="Calibri"/>
          <w:sz w:val="20"/>
        </w:rPr>
        <w:t>10%;</w:t>
      </w:r>
      <w:r>
        <w:rPr>
          <w:rFonts w:ascii="Calibri" w:hAnsi="Calibri"/>
          <w:spacing w:val="-8"/>
          <w:sz w:val="20"/>
        </w:rPr>
        <w:t> </w:t>
      </w:r>
      <w:r>
        <w:rPr>
          <w:rFonts w:ascii="Calibri" w:hAnsi="Calibri"/>
          <w:sz w:val="20"/>
        </w:rPr>
        <w:t>y</w:t>
      </w:r>
      <w:r>
        <w:rPr>
          <w:rFonts w:ascii="Calibri" w:hAnsi="Calibri"/>
          <w:spacing w:val="-4"/>
          <w:sz w:val="20"/>
        </w:rPr>
        <w:t> </w:t>
      </w:r>
      <w:r>
        <w:rPr>
          <w:rFonts w:ascii="Calibri" w:hAnsi="Calibri"/>
          <w:sz w:val="20"/>
        </w:rPr>
        <w:t>la</w:t>
      </w:r>
      <w:r>
        <w:rPr>
          <w:rFonts w:ascii="Calibri" w:hAnsi="Calibri"/>
          <w:spacing w:val="-7"/>
          <w:sz w:val="20"/>
        </w:rPr>
        <w:t> </w:t>
      </w:r>
      <w:r>
        <w:rPr>
          <w:rFonts w:ascii="Calibri" w:hAnsi="Calibri"/>
          <w:sz w:val="20"/>
        </w:rPr>
        <w:t>vinculación</w:t>
      </w:r>
      <w:r>
        <w:rPr>
          <w:rFonts w:ascii="Calibri" w:hAnsi="Calibri"/>
          <w:spacing w:val="-7"/>
          <w:sz w:val="20"/>
        </w:rPr>
        <w:t> </w:t>
      </w:r>
      <w:r>
        <w:rPr>
          <w:rFonts w:ascii="Calibri" w:hAnsi="Calibri"/>
          <w:sz w:val="20"/>
        </w:rPr>
        <w:t>del contrato a la financiación de los Fondos Next Generation.</w:t>
      </w:r>
    </w:p>
    <w:p>
      <w:pPr>
        <w:spacing w:line="256" w:lineRule="auto" w:before="148"/>
        <w:ind w:left="1925" w:right="2022" w:firstLine="0"/>
        <w:jc w:val="both"/>
        <w:rPr>
          <w:rFonts w:ascii="Calibri" w:hAnsi="Calibri"/>
          <w:sz w:val="20"/>
        </w:rPr>
      </w:pPr>
      <w:r>
        <w:rPr>
          <w:rFonts w:ascii="Calibri" w:hAnsi="Calibri"/>
          <w:sz w:val="20"/>
        </w:rPr>
        <w:t>Todas estas circunstancias se contemplaron en los pliegos de manera clara, precisa e inequívoca, en línea con las exigencias del art. 110 RDL 3/2020, de modo que los licitadores pudieron conocer de antemano el alcance y límites de una eventual modificación.</w:t>
      </w:r>
    </w:p>
    <w:p>
      <w:pPr>
        <w:spacing w:line="259" w:lineRule="auto" w:before="143"/>
        <w:ind w:left="1925" w:right="2028" w:firstLine="0"/>
        <w:jc w:val="both"/>
        <w:rPr>
          <w:rFonts w:ascii="Calibri" w:hAnsi="Calibri"/>
          <w:sz w:val="20"/>
        </w:rPr>
      </w:pPr>
      <w:r>
        <w:rPr>
          <w:rFonts w:ascii="Calibri" w:hAnsi="Calibri"/>
          <w:sz w:val="20"/>
        </w:rPr>
        <mc:AlternateContent>
          <mc:Choice Requires="wps">
            <w:drawing>
              <wp:anchor distT="0" distB="0" distL="0" distR="0" allowOverlap="1" layoutInCell="1" locked="0" behindDoc="0" simplePos="0" relativeHeight="15849472">
                <wp:simplePos x="0" y="0"/>
                <wp:positionH relativeFrom="page">
                  <wp:posOffset>6100571</wp:posOffset>
                </wp:positionH>
                <wp:positionV relativeFrom="paragraph">
                  <wp:posOffset>391730</wp:posOffset>
                </wp:positionV>
                <wp:extent cx="32384" cy="9525"/>
                <wp:effectExtent l="0" t="0" r="0" b="0"/>
                <wp:wrapNone/>
                <wp:docPr id="1102" name="Graphic 1102"/>
                <wp:cNvGraphicFramePr>
                  <a:graphicFrameLocks/>
                </wp:cNvGraphicFramePr>
                <a:graphic>
                  <a:graphicData uri="http://schemas.microsoft.com/office/word/2010/wordprocessingShape">
                    <wps:wsp>
                      <wps:cNvPr id="1102" name="Graphic 1102"/>
                      <wps:cNvSpPr/>
                      <wps:spPr>
                        <a:xfrm>
                          <a:off x="0" y="0"/>
                          <a:ext cx="32384" cy="9525"/>
                        </a:xfrm>
                        <a:custGeom>
                          <a:avLst/>
                          <a:gdLst/>
                          <a:ahLst/>
                          <a:cxnLst/>
                          <a:rect l="l" t="t" r="r" b="b"/>
                          <a:pathLst>
                            <a:path w="32384" h="9525">
                              <a:moveTo>
                                <a:pt x="32004" y="0"/>
                              </a:moveTo>
                              <a:lnTo>
                                <a:pt x="0" y="0"/>
                              </a:lnTo>
                              <a:lnTo>
                                <a:pt x="0" y="9144"/>
                              </a:lnTo>
                              <a:lnTo>
                                <a:pt x="32004" y="9144"/>
                              </a:lnTo>
                              <a:lnTo>
                                <a:pt x="32004" y="0"/>
                              </a:lnTo>
                              <a:close/>
                            </a:path>
                          </a:pathLst>
                        </a:custGeom>
                        <a:solidFill>
                          <a:srgbClr val="0563C1"/>
                        </a:solidFill>
                      </wps:spPr>
                      <wps:bodyPr wrap="square" lIns="0" tIns="0" rIns="0" bIns="0" rtlCol="0">
                        <a:prstTxWarp prst="textNoShape">
                          <a:avLst/>
                        </a:prstTxWarp>
                        <a:noAutofit/>
                      </wps:bodyPr>
                    </wps:wsp>
                  </a:graphicData>
                </a:graphic>
              </wp:anchor>
            </w:drawing>
          </mc:Choice>
          <mc:Fallback>
            <w:pict>
              <v:rect style="position:absolute;margin-left:480.359985pt;margin-top:30.844883pt;width:2.52pt;height:.72pt;mso-position-horizontal-relative:page;mso-position-vertical-relative:paragraph;z-index:15849472" id="docshape828" filled="true" fillcolor="#0563c1" stroked="false">
                <v:fill type="solid"/>
                <w10:wrap type="none"/>
              </v:rect>
            </w:pict>
          </mc:Fallback>
        </mc:AlternateContent>
      </w:r>
      <w:r>
        <w:rPr>
          <w:rFonts w:ascii="Calibri" w:hAnsi="Calibri"/>
          <w:sz w:val="20"/>
        </w:rPr>
        <w:t>En consecuencia, la primera modificación aprobada (15,14% de aumento sobre el contrato inicial)</w:t>
      </w:r>
      <w:r>
        <w:rPr>
          <w:rFonts w:ascii="Calibri" w:hAnsi="Calibri"/>
          <w:spacing w:val="-4"/>
          <w:sz w:val="20"/>
        </w:rPr>
        <w:t> </w:t>
      </w:r>
      <w:r>
        <w:rPr>
          <w:rFonts w:ascii="Calibri" w:hAnsi="Calibri"/>
          <w:sz w:val="20"/>
        </w:rPr>
        <w:t>se</w:t>
      </w:r>
      <w:r>
        <w:rPr>
          <w:rFonts w:ascii="Calibri" w:hAnsi="Calibri"/>
          <w:spacing w:val="-6"/>
          <w:sz w:val="20"/>
        </w:rPr>
        <w:t> </w:t>
      </w:r>
      <w:r>
        <w:rPr>
          <w:rFonts w:ascii="Calibri" w:hAnsi="Calibri"/>
          <w:sz w:val="20"/>
        </w:rPr>
        <w:t>ejecutó</w:t>
      </w:r>
      <w:r>
        <w:rPr>
          <w:rFonts w:ascii="Calibri" w:hAnsi="Calibri"/>
          <w:spacing w:val="-3"/>
          <w:sz w:val="20"/>
        </w:rPr>
        <w:t> </w:t>
      </w:r>
      <w:r>
        <w:rPr>
          <w:rFonts w:ascii="Calibri" w:hAnsi="Calibri"/>
          <w:sz w:val="20"/>
        </w:rPr>
        <w:t>como</w:t>
      </w:r>
      <w:r>
        <w:rPr>
          <w:rFonts w:ascii="Calibri" w:hAnsi="Calibri"/>
          <w:spacing w:val="-3"/>
          <w:sz w:val="20"/>
        </w:rPr>
        <w:t> </w:t>
      </w:r>
      <w:r>
        <w:rPr>
          <w:rFonts w:ascii="Calibri" w:hAnsi="Calibri"/>
          <w:sz w:val="20"/>
        </w:rPr>
        <w:t>modificación</w:t>
      </w:r>
      <w:r>
        <w:rPr>
          <w:rFonts w:ascii="Calibri" w:hAnsi="Calibri"/>
          <w:spacing w:val="-1"/>
          <w:sz w:val="20"/>
        </w:rPr>
        <w:t> </w:t>
      </w:r>
      <w:r>
        <w:rPr>
          <w:rFonts w:ascii="Calibri" w:hAnsi="Calibri"/>
          <w:sz w:val="20"/>
        </w:rPr>
        <w:t>prevista</w:t>
      </w:r>
      <w:r>
        <w:rPr>
          <w:rFonts w:ascii="Calibri" w:hAnsi="Calibri"/>
          <w:spacing w:val="-3"/>
          <w:sz w:val="20"/>
        </w:rPr>
        <w:t> </w:t>
      </w:r>
      <w:r>
        <w:rPr>
          <w:rFonts w:ascii="Calibri" w:hAnsi="Calibri"/>
          <w:sz w:val="20"/>
        </w:rPr>
        <w:t>en</w:t>
      </w:r>
      <w:r>
        <w:rPr>
          <w:rFonts w:ascii="Calibri" w:hAnsi="Calibri"/>
          <w:spacing w:val="-2"/>
          <w:sz w:val="20"/>
        </w:rPr>
        <w:t> </w:t>
      </w:r>
      <w:r>
        <w:rPr>
          <w:rFonts w:ascii="Calibri" w:hAnsi="Calibri"/>
          <w:sz w:val="20"/>
        </w:rPr>
        <w:t>pliegos,</w:t>
      </w:r>
      <w:r>
        <w:rPr>
          <w:rFonts w:ascii="Calibri" w:hAnsi="Calibri"/>
          <w:spacing w:val="-4"/>
          <w:sz w:val="20"/>
        </w:rPr>
        <w:t> </w:t>
      </w:r>
      <w:r>
        <w:rPr>
          <w:rFonts w:ascii="Calibri" w:hAnsi="Calibri"/>
          <w:sz w:val="20"/>
        </w:rPr>
        <w:t>dentro</w:t>
      </w:r>
      <w:r>
        <w:rPr>
          <w:rFonts w:ascii="Calibri" w:hAnsi="Calibri"/>
          <w:spacing w:val="-3"/>
          <w:sz w:val="20"/>
        </w:rPr>
        <w:t> </w:t>
      </w:r>
      <w:r>
        <w:rPr>
          <w:rFonts w:ascii="Calibri" w:hAnsi="Calibri"/>
          <w:sz w:val="20"/>
        </w:rPr>
        <w:t>del</w:t>
      </w:r>
      <w:r>
        <w:rPr>
          <w:rFonts w:ascii="Calibri" w:hAnsi="Calibri"/>
          <w:spacing w:val="-6"/>
          <w:sz w:val="20"/>
        </w:rPr>
        <w:t> </w:t>
      </w:r>
      <w:r>
        <w:rPr>
          <w:rFonts w:ascii="Calibri" w:hAnsi="Calibri"/>
          <w:sz w:val="20"/>
        </w:rPr>
        <w:t>límite</w:t>
      </w:r>
      <w:r>
        <w:rPr>
          <w:rFonts w:ascii="Calibri" w:hAnsi="Calibri"/>
          <w:spacing w:val="-1"/>
          <w:sz w:val="20"/>
        </w:rPr>
        <w:t> </w:t>
      </w:r>
      <w:r>
        <w:rPr>
          <w:rFonts w:ascii="Calibri" w:hAnsi="Calibri"/>
          <w:sz w:val="20"/>
        </w:rPr>
        <w:t>autorizado</w:t>
      </w:r>
      <w:r>
        <w:rPr>
          <w:rFonts w:ascii="Calibri" w:hAnsi="Calibri"/>
          <w:spacing w:val="-3"/>
          <w:sz w:val="20"/>
        </w:rPr>
        <w:t> </w:t>
      </w:r>
      <w:r>
        <w:rPr>
          <w:rFonts w:ascii="Calibri" w:hAnsi="Calibri"/>
          <w:sz w:val="20"/>
        </w:rPr>
        <w:t>del</w:t>
      </w:r>
      <w:r>
        <w:rPr>
          <w:rFonts w:ascii="Calibri" w:hAnsi="Calibri"/>
          <w:spacing w:val="-1"/>
          <w:sz w:val="20"/>
        </w:rPr>
        <w:t> </w:t>
      </w:r>
      <w:r>
        <w:rPr>
          <w:rFonts w:ascii="Calibri" w:hAnsi="Calibri"/>
          <w:sz w:val="20"/>
        </w:rPr>
        <w:t>20%</w:t>
      </w:r>
      <w:r>
        <w:rPr>
          <w:rFonts w:ascii="Calibri" w:hAnsi="Calibri"/>
          <w:color w:val="0563C1"/>
          <w:sz w:val="20"/>
        </w:rPr>
        <w:t>.</w:t>
      </w:r>
    </w:p>
    <w:p>
      <w:pPr>
        <w:spacing w:line="256" w:lineRule="auto" w:before="140"/>
        <w:ind w:left="1925" w:right="2019" w:firstLine="0"/>
        <w:jc w:val="both"/>
        <w:rPr>
          <w:rFonts w:ascii="Calibri" w:hAnsi="Calibri"/>
          <w:sz w:val="20"/>
        </w:rPr>
      </w:pPr>
      <w:r>
        <w:rPr>
          <w:rFonts w:ascii="Calibri" w:hAnsi="Calibri"/>
          <w:sz w:val="20"/>
        </w:rPr>
        <w:t>No obstante, incluso si se analizara bajo el régimen de modificaciones no previstas, las actuaciones realizadas cumplirían igualmente las condiciones del art. 111 RDL 3/2020. Y ello porque concurren los requisitos que este precepto exige.</w:t>
      </w:r>
    </w:p>
    <w:p>
      <w:pPr>
        <w:spacing w:line="256" w:lineRule="auto" w:before="147"/>
        <w:ind w:left="1925" w:right="2024" w:firstLine="0"/>
        <w:jc w:val="both"/>
        <w:rPr>
          <w:rFonts w:ascii="Calibri" w:hAnsi="Calibri"/>
          <w:sz w:val="20"/>
        </w:rPr>
      </w:pPr>
      <w:r>
        <w:rPr>
          <w:rFonts w:ascii="Calibri" w:hAnsi="Calibri"/>
          <w:sz w:val="20"/>
        </w:rPr>
        <w:t>Esto</w:t>
      </w:r>
      <w:r>
        <w:rPr>
          <w:rFonts w:ascii="Calibri" w:hAnsi="Calibri"/>
          <w:spacing w:val="-2"/>
          <w:sz w:val="20"/>
        </w:rPr>
        <w:t> </w:t>
      </w:r>
      <w:r>
        <w:rPr>
          <w:rFonts w:ascii="Calibri" w:hAnsi="Calibri"/>
          <w:sz w:val="20"/>
        </w:rPr>
        <w:t>es, que</w:t>
      </w:r>
      <w:r>
        <w:rPr>
          <w:rFonts w:ascii="Calibri" w:hAnsi="Calibri"/>
          <w:spacing w:val="-1"/>
          <w:sz w:val="20"/>
        </w:rPr>
        <w:t> </w:t>
      </w:r>
      <w:r>
        <w:rPr>
          <w:rFonts w:ascii="Calibri" w:hAnsi="Calibri"/>
          <w:sz w:val="20"/>
        </w:rPr>
        <w:t>la</w:t>
      </w:r>
      <w:r>
        <w:rPr>
          <w:rFonts w:ascii="Calibri" w:hAnsi="Calibri"/>
          <w:spacing w:val="-3"/>
          <w:sz w:val="20"/>
        </w:rPr>
        <w:t> </w:t>
      </w:r>
      <w:r>
        <w:rPr>
          <w:rFonts w:ascii="Calibri" w:hAnsi="Calibri"/>
          <w:sz w:val="20"/>
        </w:rPr>
        <w:t>modificación esté justificada por alguna causa objetiva tasada y que introduzca solo las variaciones estrictamente indispensables para responder a esa causa.</w:t>
      </w:r>
    </w:p>
    <w:p>
      <w:pPr>
        <w:pStyle w:val="BodyText"/>
        <w:rPr>
          <w:rFonts w:ascii="Calibri"/>
          <w:sz w:val="20"/>
        </w:rPr>
      </w:pPr>
    </w:p>
    <w:p>
      <w:pPr>
        <w:pStyle w:val="BodyText"/>
        <w:rPr>
          <w:rFonts w:ascii="Calibri"/>
          <w:sz w:val="20"/>
        </w:rPr>
      </w:pPr>
    </w:p>
    <w:p>
      <w:pPr>
        <w:pStyle w:val="BodyText"/>
        <w:spacing w:before="76"/>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103" name="Group 1103"/>
                <wp:cNvGraphicFramePr>
                  <a:graphicFrameLocks/>
                </wp:cNvGraphicFramePr>
                <a:graphic>
                  <a:graphicData uri="http://schemas.microsoft.com/office/word/2010/wordprocessingGroup">
                    <wpg:wgp>
                      <wpg:cNvPr id="1103" name="Group 1103"/>
                      <wpg:cNvGrpSpPr/>
                      <wpg:grpSpPr>
                        <a:xfrm>
                          <a:off x="0" y="0"/>
                          <a:ext cx="1870075" cy="6350"/>
                          <a:chExt cx="1870075" cy="6350"/>
                        </a:xfrm>
                      </wpg:grpSpPr>
                      <wps:wsp>
                        <wps:cNvPr id="1104" name="Graphic 1104"/>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829" coordorigin="0,0" coordsize="2945,10">
                <v:rect style="position:absolute;left:0;top:0;width:2945;height:10" id="docshape830"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105" name="Group 1105"/>
                <wp:cNvGraphicFramePr>
                  <a:graphicFrameLocks/>
                </wp:cNvGraphicFramePr>
                <a:graphic>
                  <a:graphicData uri="http://schemas.microsoft.com/office/word/2010/wordprocessingGroup">
                    <wpg:wgp>
                      <wpg:cNvPr id="1105" name="Group 1105"/>
                      <wpg:cNvGrpSpPr/>
                      <wpg:grpSpPr>
                        <a:xfrm>
                          <a:off x="0" y="0"/>
                          <a:ext cx="841375" cy="6350"/>
                          <a:chExt cx="841375" cy="6350"/>
                        </a:xfrm>
                      </wpg:grpSpPr>
                      <wps:wsp>
                        <wps:cNvPr id="1106" name="Graphic 1106"/>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831" coordorigin="0,0" coordsize="1325,10">
                <v:rect style="position:absolute;left:0;top:0;width:1325;height:10" id="docshape832"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42"/>
          <w:headerReference w:type="default" r:id="rId243"/>
          <w:footerReference w:type="even" r:id="rId244"/>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86944">
                <wp:simplePos x="0" y="0"/>
                <wp:positionH relativeFrom="page">
                  <wp:posOffset>4384239</wp:posOffset>
                </wp:positionH>
                <wp:positionV relativeFrom="paragraph">
                  <wp:posOffset>1412477</wp:posOffset>
                </wp:positionV>
                <wp:extent cx="53340" cy="100330"/>
                <wp:effectExtent l="0" t="0" r="0" b="0"/>
                <wp:wrapNone/>
                <wp:docPr id="1107" name="Textbox 1107"/>
                <wp:cNvGraphicFramePr>
                  <a:graphicFrameLocks/>
                </wp:cNvGraphicFramePr>
                <a:graphic>
                  <a:graphicData uri="http://schemas.microsoft.com/office/word/2010/wordprocessingShape">
                    <wps:wsp>
                      <wps:cNvPr id="1107" name="Textbox 1107"/>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F</w:t>
                            </w:r>
                          </w:p>
                        </w:txbxContent>
                      </wps:txbx>
                      <wps:bodyPr wrap="square" lIns="0" tIns="0" rIns="0" bIns="0" rtlCol="0">
                        <a:noAutofit/>
                      </wps:bodyPr>
                    </wps:wsp>
                  </a:graphicData>
                </a:graphic>
              </wp:anchor>
            </w:drawing>
          </mc:Choice>
          <mc:Fallback>
            <w:pict>
              <v:shape style="position:absolute;margin-left:345.215698pt;margin-top:111.218727pt;width:4.2pt;height:7.9pt;mso-position-horizontal-relative:page;mso-position-vertical-relative:paragraph;z-index:-28929536" type="#_x0000_t202" id="docshape833" filled="false" stroked="false">
                <v:textbox inset="0,0,0,0">
                  <w:txbxContent>
                    <w:p>
                      <w:pPr>
                        <w:spacing w:line="158" w:lineRule="exact" w:before="0"/>
                        <w:ind w:left="0" w:right="0" w:firstLine="0"/>
                        <w:jc w:val="left"/>
                        <w:rPr>
                          <w:rFonts w:ascii="Courier New"/>
                          <w:sz w:val="14"/>
                        </w:rPr>
                      </w:pPr>
                      <w:r>
                        <w:rPr>
                          <w:rFonts w:ascii="Courier New"/>
                          <w:spacing w:val="-12"/>
                          <w:sz w:val="14"/>
                        </w:rPr>
                        <w:t>F</w:t>
                      </w:r>
                    </w:p>
                  </w:txbxContent>
                </v:textbox>
                <w10:wrap type="none"/>
              </v:shape>
            </w:pict>
          </mc:Fallback>
        </mc:AlternateContent>
      </w:r>
      <w:r>
        <w:rPr>
          <w:sz w:val="16"/>
        </w:rPr>
        <mc:AlternateContent>
          <mc:Choice Requires="wps">
            <w:drawing>
              <wp:anchor distT="0" distB="0" distL="0" distR="0" allowOverlap="1" layoutInCell="1" locked="0" behindDoc="1" simplePos="0" relativeHeight="474387968">
                <wp:simplePos x="0" y="0"/>
                <wp:positionH relativeFrom="page">
                  <wp:posOffset>172212</wp:posOffset>
                </wp:positionH>
                <wp:positionV relativeFrom="paragraph">
                  <wp:posOffset>954200</wp:posOffset>
                </wp:positionV>
                <wp:extent cx="1298575" cy="417830"/>
                <wp:effectExtent l="0" t="0" r="0" b="0"/>
                <wp:wrapNone/>
                <wp:docPr id="1108" name="Group 1108"/>
                <wp:cNvGraphicFramePr>
                  <a:graphicFrameLocks/>
                </wp:cNvGraphicFramePr>
                <a:graphic>
                  <a:graphicData uri="http://schemas.microsoft.com/office/word/2010/wordprocessingGroup">
                    <wpg:wgp>
                      <wpg:cNvPr id="1108" name="Group 1108"/>
                      <wpg:cNvGrpSpPr/>
                      <wpg:grpSpPr>
                        <a:xfrm>
                          <a:off x="0" y="0"/>
                          <a:ext cx="1298575" cy="417830"/>
                          <a:chExt cx="1298575" cy="417830"/>
                        </a:xfrm>
                      </wpg:grpSpPr>
                      <wps:wsp>
                        <wps:cNvPr id="1109" name="Graphic 1109"/>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110" name="Image 1110"/>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928512" id="docshapegroup834" coordorigin="271,1503" coordsize="2045,658">
                <v:shape style="position:absolute;left:271;top:1502;width:2045;height:658" id="docshape835" coordorigin="271,1503" coordsize="2045,658" path="m2316,1503l271,1503,271,1721,271,1723,271,2160,2316,2160,2316,1723,2316,1721,2316,1503xe" filled="true" fillcolor="#cccccc" stroked="false">
                  <v:path arrowok="t"/>
                  <v:fill type="solid"/>
                </v:shape>
                <v:shape style="position:absolute;left:343;top:1577;width:1896;height:327" type="#_x0000_t75" id="docshape836" stroked="false">
                  <v:imagedata r:id="rId219" o:title=""/>
                </v:shape>
                <w10:wrap type="none"/>
              </v:group>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111" name="Textbox 1111"/>
                <wp:cNvGraphicFramePr>
                  <a:graphicFrameLocks/>
                </wp:cNvGraphicFramePr>
                <a:graphic>
                  <a:graphicData uri="http://schemas.microsoft.com/office/word/2010/wordprocessingShape">
                    <wps:wsp>
                      <wps:cNvPr id="1111" name="Textbox 1111"/>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77"/>
                              <w:gridCol w:w="2164"/>
                              <w:gridCol w:w="1007"/>
                              <w:gridCol w:w="461"/>
                              <w:gridCol w:w="1022"/>
                              <w:gridCol w:w="931"/>
                              <w:gridCol w:w="1133"/>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77" w:type="dxa"/>
                                  <w:tcBorders>
                                    <w:left w:val="single" w:sz="6" w:space="0" w:color="000000"/>
                                    <w:bottom w:val="single" w:sz="6" w:space="0" w:color="000000"/>
                                    <w:right w:val="nil"/>
                                  </w:tcBorders>
                                </w:tcPr>
                                <w:p>
                                  <w:pPr>
                                    <w:pStyle w:val="TableParagraph"/>
                                    <w:rPr>
                                      <w:rFonts w:ascii="Times New Roman"/>
                                      <w:sz w:val="14"/>
                                    </w:rPr>
                                  </w:pPr>
                                </w:p>
                              </w:tc>
                              <w:tc>
                                <w:tcPr>
                                  <w:tcW w:w="2164" w:type="dxa"/>
                                  <w:tcBorders>
                                    <w:top w:val="nil"/>
                                    <w:left w:val="nil"/>
                                    <w:bottom w:val="single" w:sz="6" w:space="0" w:color="000000"/>
                                    <w:right w:val="nil"/>
                                  </w:tcBorders>
                                  <w:shd w:val="clear" w:color="auto" w:fill="000000"/>
                                </w:tcPr>
                                <w:p>
                                  <w:pPr>
                                    <w:pStyle w:val="TableParagraph"/>
                                    <w:rPr>
                                      <w:rFonts w:ascii="Times New Roman"/>
                                      <w:sz w:val="14"/>
                                    </w:rPr>
                                  </w:pPr>
                                </w:p>
                              </w:tc>
                              <w:tc>
                                <w:tcPr>
                                  <w:tcW w:w="1468"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112" name="Image 1112"/>
                                        <wp:cNvGraphicFramePr>
                                          <a:graphicFrameLocks/>
                                        </wp:cNvGraphicFramePr>
                                        <a:graphic>
                                          <a:graphicData uri="http://schemas.openxmlformats.org/drawingml/2006/picture">
                                            <pic:pic>
                                              <pic:nvPicPr>
                                                <pic:cNvPr id="1112" name="Image 1112"/>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113" name="Image 1113"/>
                                        <wp:cNvGraphicFramePr>
                                          <a:graphicFrameLocks/>
                                        </wp:cNvGraphicFramePr>
                                        <a:graphic>
                                          <a:graphicData uri="http://schemas.openxmlformats.org/drawingml/2006/picture">
                                            <pic:pic>
                                              <pic:nvPicPr>
                                                <pic:cNvPr id="1113" name="Image 1113"/>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114" name="Image 1114"/>
                                        <wp:cNvGraphicFramePr>
                                          <a:graphicFrameLocks/>
                                        </wp:cNvGraphicFramePr>
                                        <a:graphic>
                                          <a:graphicData uri="http://schemas.openxmlformats.org/drawingml/2006/picture">
                                            <pic:pic>
                                              <pic:nvPicPr>
                                                <pic:cNvPr id="1114" name="Image 1114"/>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115" name="Image 1115"/>
                                        <wp:cNvGraphicFramePr>
                                          <a:graphicFrameLocks/>
                                        </wp:cNvGraphicFramePr>
                                        <a:graphic>
                                          <a:graphicData uri="http://schemas.openxmlformats.org/drawingml/2006/picture">
                                            <pic:pic>
                                              <pic:nvPicPr>
                                                <pic:cNvPr id="1115" name="Image 1115"/>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6"/>
                                    <w:jc w:val="center"/>
                                    <w:rPr>
                                      <w:rFonts w:ascii="Arial"/>
                                      <w:sz w:val="14"/>
                                    </w:rPr>
                                  </w:pPr>
                                  <w:r>
                                    <w:rPr>
                                      <w:rFonts w:ascii="Arial"/>
                                      <w:spacing w:val="-2"/>
                                      <w:sz w:val="14"/>
                                    </w:rPr>
                                    <w:t>14/40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116" name="Image 1116"/>
                                        <wp:cNvGraphicFramePr>
                                          <a:graphicFrameLocks/>
                                        </wp:cNvGraphicFramePr>
                                        <a:graphic>
                                          <a:graphicData uri="http://schemas.openxmlformats.org/drawingml/2006/picture">
                                            <pic:pic>
                                              <pic:nvPicPr>
                                                <pic:cNvPr id="1116" name="Image 1116"/>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64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211">
                                    <w:r>
                                      <w:rPr>
                                        <w:rFonts w:ascii="Courier New"/>
                                        <w:spacing w:val="-2"/>
                                        <w:sz w:val="14"/>
                                      </w:rPr>
                                      <w:t>https://valida.malaga.eu/verifirma/code/</w:t>
                                    </w:r>
                                  </w:hyperlink>
                                </w:p>
                              </w:tc>
                              <w:tc>
                                <w:tcPr>
                                  <w:tcW w:w="2414" w:type="dxa"/>
                                  <w:gridSpan w:val="3"/>
                                  <w:tcBorders>
                                    <w:top w:val="single" w:sz="6" w:space="0" w:color="000000"/>
                                    <w:left w:val="nil"/>
                                    <w:bottom w:val="nil"/>
                                    <w:right w:val="nil"/>
                                  </w:tcBorders>
                                  <w:shd w:val="clear" w:color="auto" w:fill="000000"/>
                                </w:tcPr>
                                <w:p>
                                  <w:pPr>
                                    <w:pStyle w:val="TableParagraph"/>
                                    <w:rPr>
                                      <w:rFonts w:ascii="Times New Roman"/>
                                      <w:sz w:val="14"/>
                                    </w:rPr>
                                  </w:pPr>
                                </w:p>
                              </w:tc>
                              <w:tc>
                                <w:tcPr>
                                  <w:tcW w:w="1133"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117" name="Image 1117"/>
                                        <wp:cNvGraphicFramePr>
                                          <a:graphicFrameLocks/>
                                        </wp:cNvGraphicFramePr>
                                        <a:graphic>
                                          <a:graphicData uri="http://schemas.openxmlformats.org/drawingml/2006/picture">
                                            <pic:pic>
                                              <pic:nvPicPr>
                                                <pic:cNvPr id="1117" name="Image 1117"/>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nil"/>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837"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77"/>
                        <w:gridCol w:w="2164"/>
                        <w:gridCol w:w="1007"/>
                        <w:gridCol w:w="461"/>
                        <w:gridCol w:w="1022"/>
                        <w:gridCol w:w="931"/>
                        <w:gridCol w:w="1133"/>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77" w:type="dxa"/>
                            <w:tcBorders>
                              <w:left w:val="single" w:sz="6" w:space="0" w:color="000000"/>
                              <w:bottom w:val="single" w:sz="6" w:space="0" w:color="000000"/>
                              <w:right w:val="nil"/>
                            </w:tcBorders>
                          </w:tcPr>
                          <w:p>
                            <w:pPr>
                              <w:pStyle w:val="TableParagraph"/>
                              <w:rPr>
                                <w:rFonts w:ascii="Times New Roman"/>
                                <w:sz w:val="14"/>
                              </w:rPr>
                            </w:pPr>
                          </w:p>
                        </w:tc>
                        <w:tc>
                          <w:tcPr>
                            <w:tcW w:w="2164" w:type="dxa"/>
                            <w:tcBorders>
                              <w:top w:val="nil"/>
                              <w:left w:val="nil"/>
                              <w:bottom w:val="single" w:sz="6" w:space="0" w:color="000000"/>
                              <w:right w:val="nil"/>
                            </w:tcBorders>
                            <w:shd w:val="clear" w:color="auto" w:fill="000000"/>
                          </w:tcPr>
                          <w:p>
                            <w:pPr>
                              <w:pStyle w:val="TableParagraph"/>
                              <w:rPr>
                                <w:rFonts w:ascii="Times New Roman"/>
                                <w:sz w:val="14"/>
                              </w:rPr>
                            </w:pPr>
                          </w:p>
                        </w:tc>
                        <w:tc>
                          <w:tcPr>
                            <w:tcW w:w="1468"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118" name="Image 1118"/>
                                  <wp:cNvGraphicFramePr>
                                    <a:graphicFrameLocks/>
                                  </wp:cNvGraphicFramePr>
                                  <a:graphic>
                                    <a:graphicData uri="http://schemas.openxmlformats.org/drawingml/2006/picture">
                                      <pic:pic>
                                        <pic:nvPicPr>
                                          <pic:cNvPr id="1118" name="Image 111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119" name="Image 1119"/>
                                  <wp:cNvGraphicFramePr>
                                    <a:graphicFrameLocks/>
                                  </wp:cNvGraphicFramePr>
                                  <a:graphic>
                                    <a:graphicData uri="http://schemas.openxmlformats.org/drawingml/2006/picture">
                                      <pic:pic>
                                        <pic:nvPicPr>
                                          <pic:cNvPr id="1119" name="Image 111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120" name="Image 1120"/>
                                  <wp:cNvGraphicFramePr>
                                    <a:graphicFrameLocks/>
                                  </wp:cNvGraphicFramePr>
                                  <a:graphic>
                                    <a:graphicData uri="http://schemas.openxmlformats.org/drawingml/2006/picture">
                                      <pic:pic>
                                        <pic:nvPicPr>
                                          <pic:cNvPr id="1120" name="Image 1120"/>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121" name="Image 1121"/>
                                  <wp:cNvGraphicFramePr>
                                    <a:graphicFrameLocks/>
                                  </wp:cNvGraphicFramePr>
                                  <a:graphic>
                                    <a:graphicData uri="http://schemas.openxmlformats.org/drawingml/2006/picture">
                                      <pic:pic>
                                        <pic:nvPicPr>
                                          <pic:cNvPr id="1121" name="Image 1121"/>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6"/>
                              <w:jc w:val="center"/>
                              <w:rPr>
                                <w:rFonts w:ascii="Arial"/>
                                <w:sz w:val="14"/>
                              </w:rPr>
                            </w:pPr>
                            <w:r>
                              <w:rPr>
                                <w:rFonts w:ascii="Arial"/>
                                <w:spacing w:val="-2"/>
                                <w:sz w:val="14"/>
                              </w:rPr>
                              <w:t>14/40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122" name="Image 1122"/>
                                  <wp:cNvGraphicFramePr>
                                    <a:graphicFrameLocks/>
                                  </wp:cNvGraphicFramePr>
                                  <a:graphic>
                                    <a:graphicData uri="http://schemas.openxmlformats.org/drawingml/2006/picture">
                                      <pic:pic>
                                        <pic:nvPicPr>
                                          <pic:cNvPr id="1122" name="Image 1122"/>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64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211">
                              <w:r>
                                <w:rPr>
                                  <w:rFonts w:ascii="Courier New"/>
                                  <w:spacing w:val="-2"/>
                                  <w:sz w:val="14"/>
                                </w:rPr>
                                <w:t>https://valida.malaga.eu/verifirma/code/</w:t>
                              </w:r>
                            </w:hyperlink>
                          </w:p>
                        </w:tc>
                        <w:tc>
                          <w:tcPr>
                            <w:tcW w:w="2414" w:type="dxa"/>
                            <w:gridSpan w:val="3"/>
                            <w:tcBorders>
                              <w:top w:val="single" w:sz="6" w:space="0" w:color="000000"/>
                              <w:left w:val="nil"/>
                              <w:bottom w:val="nil"/>
                              <w:right w:val="nil"/>
                            </w:tcBorders>
                            <w:shd w:val="clear" w:color="auto" w:fill="000000"/>
                          </w:tcPr>
                          <w:p>
                            <w:pPr>
                              <w:pStyle w:val="TableParagraph"/>
                              <w:rPr>
                                <w:rFonts w:ascii="Times New Roman"/>
                                <w:sz w:val="14"/>
                              </w:rPr>
                            </w:pPr>
                          </w:p>
                        </w:tc>
                        <w:tc>
                          <w:tcPr>
                            <w:tcW w:w="1133"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123" name="Image 1123"/>
                                  <wp:cNvGraphicFramePr>
                                    <a:graphicFrameLocks/>
                                  </wp:cNvGraphicFramePr>
                                  <a:graphic>
                                    <a:graphicData uri="http://schemas.openxmlformats.org/drawingml/2006/picture">
                                      <pic:pic>
                                        <pic:nvPicPr>
                                          <pic:cNvPr id="1123" name="Image 1123"/>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nil"/>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124" name="Group 1124"/>
                <wp:cNvGraphicFramePr>
                  <a:graphicFrameLocks/>
                </wp:cNvGraphicFramePr>
                <a:graphic>
                  <a:graphicData uri="http://schemas.microsoft.com/office/word/2010/wordprocessingGroup">
                    <wpg:wgp>
                      <wpg:cNvPr id="1124" name="Group 1124"/>
                      <wpg:cNvGrpSpPr/>
                      <wpg:grpSpPr>
                        <a:xfrm>
                          <a:off x="0" y="0"/>
                          <a:ext cx="734695" cy="753110"/>
                          <a:chExt cx="734695" cy="753110"/>
                        </a:xfrm>
                      </wpg:grpSpPr>
                      <pic:pic>
                        <pic:nvPicPr>
                          <pic:cNvPr id="1125" name="Image 1125"/>
                          <pic:cNvPicPr/>
                        </pic:nvPicPr>
                        <pic:blipFill>
                          <a:blip r:embed="rId245" cstate="print"/>
                          <a:stretch>
                            <a:fillRect/>
                          </a:stretch>
                        </pic:blipFill>
                        <pic:spPr>
                          <a:xfrm>
                            <a:off x="0" y="0"/>
                            <a:ext cx="734567" cy="752840"/>
                          </a:xfrm>
                          <a:prstGeom prst="rect">
                            <a:avLst/>
                          </a:prstGeom>
                        </pic:spPr>
                      </pic:pic>
                      <wps:wsp>
                        <wps:cNvPr id="1126" name="Graphic 1126"/>
                        <wps:cNvSpPr/>
                        <wps:spPr>
                          <a:xfrm>
                            <a:off x="70510" y="30172"/>
                            <a:ext cx="649605" cy="704850"/>
                          </a:xfrm>
                          <a:custGeom>
                            <a:avLst/>
                            <a:gdLst/>
                            <a:ahLst/>
                            <a:cxnLst/>
                            <a:rect l="l" t="t" r="r" b="b"/>
                            <a:pathLst>
                              <a:path w="649605" h="704850">
                                <a:moveTo>
                                  <a:pt x="649566" y="0"/>
                                </a:moveTo>
                                <a:lnTo>
                                  <a:pt x="0" y="0"/>
                                </a:lnTo>
                                <a:lnTo>
                                  <a:pt x="0" y="704481"/>
                                </a:lnTo>
                                <a:lnTo>
                                  <a:pt x="649566" y="704481"/>
                                </a:lnTo>
                                <a:lnTo>
                                  <a:pt x="64956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838" coordorigin="0,0" coordsize="1157,1186">
                <v:shape style="position:absolute;left:0;top:0;width:1157;height:1186" type="#_x0000_t75" id="docshape839" stroked="false">
                  <v:imagedata r:id="rId245" o:title=""/>
                </v:shape>
                <v:rect style="position:absolute;left:111;top:47;width:1023;height:1110" id="docshape840"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1925" w:right="2019" w:firstLine="0"/>
        <w:jc w:val="both"/>
        <w:rPr>
          <w:rFonts w:ascii="Calibri" w:hAnsi="Calibri"/>
          <w:sz w:val="20"/>
        </w:rPr>
      </w:pPr>
      <w:r>
        <w:rPr>
          <w:rFonts w:ascii="Calibri" w:hAnsi="Calibri"/>
          <w:sz w:val="20"/>
        </w:rPr>
        <w:t>En el presente contrato concurrían causas objetivas legítimas –como se detallará más adelante–</w:t>
      </w:r>
      <w:r>
        <w:rPr>
          <w:rFonts w:ascii="Calibri" w:hAnsi="Calibri"/>
          <w:spacing w:val="-2"/>
          <w:sz w:val="20"/>
        </w:rPr>
        <w:t> </w:t>
      </w:r>
      <w:r>
        <w:rPr>
          <w:rFonts w:ascii="Calibri" w:hAnsi="Calibri"/>
          <w:sz w:val="20"/>
        </w:rPr>
        <w:t>y</w:t>
      </w:r>
      <w:r>
        <w:rPr>
          <w:rFonts w:ascii="Calibri" w:hAnsi="Calibri"/>
          <w:spacing w:val="-5"/>
          <w:sz w:val="20"/>
        </w:rPr>
        <w:t> </w:t>
      </w:r>
      <w:r>
        <w:rPr>
          <w:rFonts w:ascii="Calibri" w:hAnsi="Calibri"/>
          <w:sz w:val="20"/>
        </w:rPr>
        <w:t>todas</w:t>
      </w:r>
      <w:r>
        <w:rPr>
          <w:rFonts w:ascii="Calibri" w:hAnsi="Calibri"/>
          <w:spacing w:val="-2"/>
          <w:sz w:val="20"/>
        </w:rPr>
        <w:t> </w:t>
      </w:r>
      <w:r>
        <w:rPr>
          <w:rFonts w:ascii="Calibri" w:hAnsi="Calibri"/>
          <w:sz w:val="20"/>
        </w:rPr>
        <w:t>las</w:t>
      </w:r>
      <w:r>
        <w:rPr>
          <w:rFonts w:ascii="Calibri" w:hAnsi="Calibri"/>
          <w:spacing w:val="-4"/>
          <w:sz w:val="20"/>
        </w:rPr>
        <w:t> </w:t>
      </w:r>
      <w:r>
        <w:rPr>
          <w:rFonts w:ascii="Calibri" w:hAnsi="Calibri"/>
          <w:sz w:val="20"/>
        </w:rPr>
        <w:t>variaciones</w:t>
      </w:r>
      <w:r>
        <w:rPr>
          <w:rFonts w:ascii="Calibri" w:hAnsi="Calibri"/>
          <w:spacing w:val="-4"/>
          <w:sz w:val="20"/>
        </w:rPr>
        <w:t> </w:t>
      </w:r>
      <w:r>
        <w:rPr>
          <w:rFonts w:ascii="Calibri" w:hAnsi="Calibri"/>
          <w:sz w:val="20"/>
        </w:rPr>
        <w:t>se</w:t>
      </w:r>
      <w:r>
        <w:rPr>
          <w:rFonts w:ascii="Calibri" w:hAnsi="Calibri"/>
          <w:spacing w:val="-4"/>
          <w:sz w:val="20"/>
        </w:rPr>
        <w:t> </w:t>
      </w:r>
      <w:r>
        <w:rPr>
          <w:rFonts w:ascii="Calibri" w:hAnsi="Calibri"/>
          <w:sz w:val="20"/>
        </w:rPr>
        <w:t>limitaron</w:t>
      </w:r>
      <w:r>
        <w:rPr>
          <w:rFonts w:ascii="Calibri" w:hAnsi="Calibri"/>
          <w:spacing w:val="-2"/>
          <w:sz w:val="20"/>
        </w:rPr>
        <w:t> </w:t>
      </w:r>
      <w:r>
        <w:rPr>
          <w:rFonts w:ascii="Calibri" w:hAnsi="Calibri"/>
          <w:sz w:val="20"/>
        </w:rPr>
        <w:t>a</w:t>
      </w:r>
      <w:r>
        <w:rPr>
          <w:rFonts w:ascii="Calibri" w:hAnsi="Calibri"/>
          <w:spacing w:val="-3"/>
          <w:sz w:val="20"/>
        </w:rPr>
        <w:t> </w:t>
      </w:r>
      <w:r>
        <w:rPr>
          <w:rFonts w:ascii="Calibri" w:hAnsi="Calibri"/>
          <w:sz w:val="20"/>
        </w:rPr>
        <w:t>lo</w:t>
      </w:r>
      <w:r>
        <w:rPr>
          <w:rFonts w:ascii="Calibri" w:hAnsi="Calibri"/>
          <w:spacing w:val="-3"/>
          <w:sz w:val="20"/>
        </w:rPr>
        <w:t> </w:t>
      </w:r>
      <w:r>
        <w:rPr>
          <w:rFonts w:ascii="Calibri" w:hAnsi="Calibri"/>
          <w:sz w:val="20"/>
        </w:rPr>
        <w:t>necesario</w:t>
      </w:r>
      <w:r>
        <w:rPr>
          <w:rFonts w:ascii="Calibri" w:hAnsi="Calibri"/>
          <w:spacing w:val="-3"/>
          <w:sz w:val="20"/>
        </w:rPr>
        <w:t> </w:t>
      </w:r>
      <w:r>
        <w:rPr>
          <w:rFonts w:ascii="Calibri" w:hAnsi="Calibri"/>
          <w:sz w:val="20"/>
        </w:rPr>
        <w:t>para</w:t>
      </w:r>
      <w:r>
        <w:rPr>
          <w:rFonts w:ascii="Calibri" w:hAnsi="Calibri"/>
          <w:spacing w:val="-3"/>
          <w:sz w:val="20"/>
        </w:rPr>
        <w:t> </w:t>
      </w:r>
      <w:r>
        <w:rPr>
          <w:rFonts w:ascii="Calibri" w:hAnsi="Calibri"/>
          <w:sz w:val="20"/>
        </w:rPr>
        <w:t>satisfacer</w:t>
      </w:r>
      <w:r>
        <w:rPr>
          <w:rFonts w:ascii="Calibri" w:hAnsi="Calibri"/>
          <w:spacing w:val="-6"/>
          <w:sz w:val="20"/>
        </w:rPr>
        <w:t> </w:t>
      </w:r>
      <w:r>
        <w:rPr>
          <w:rFonts w:ascii="Calibri" w:hAnsi="Calibri"/>
          <w:sz w:val="20"/>
        </w:rPr>
        <w:t>dichas</w:t>
      </w:r>
      <w:r>
        <w:rPr>
          <w:rFonts w:ascii="Calibri" w:hAnsi="Calibri"/>
          <w:spacing w:val="-2"/>
          <w:sz w:val="20"/>
        </w:rPr>
        <w:t> </w:t>
      </w:r>
      <w:r>
        <w:rPr>
          <w:rFonts w:ascii="Calibri" w:hAnsi="Calibri"/>
          <w:sz w:val="20"/>
        </w:rPr>
        <w:t>necesidades sobrevenidas.</w:t>
      </w:r>
      <w:r>
        <w:rPr>
          <w:rFonts w:ascii="Calibri" w:hAnsi="Calibri"/>
          <w:spacing w:val="-1"/>
          <w:sz w:val="20"/>
        </w:rPr>
        <w:t> </w:t>
      </w:r>
      <w:r>
        <w:rPr>
          <w:rFonts w:ascii="Calibri" w:hAnsi="Calibri"/>
          <w:sz w:val="20"/>
        </w:rPr>
        <w:t>Además,</w:t>
      </w:r>
      <w:r>
        <w:rPr>
          <w:rFonts w:ascii="Calibri" w:hAnsi="Calibri"/>
          <w:spacing w:val="-2"/>
          <w:sz w:val="20"/>
        </w:rPr>
        <w:t> </w:t>
      </w:r>
      <w:r>
        <w:rPr>
          <w:rFonts w:ascii="Calibri" w:hAnsi="Calibri"/>
          <w:sz w:val="20"/>
        </w:rPr>
        <w:t>se</w:t>
      </w:r>
      <w:r>
        <w:rPr>
          <w:rFonts w:ascii="Calibri" w:hAnsi="Calibri"/>
          <w:spacing w:val="-1"/>
          <w:sz w:val="20"/>
        </w:rPr>
        <w:t> </w:t>
      </w:r>
      <w:r>
        <w:rPr>
          <w:rFonts w:ascii="Calibri" w:hAnsi="Calibri"/>
          <w:sz w:val="20"/>
        </w:rPr>
        <w:t>respetaron los límites cuantitativos:</w:t>
      </w:r>
      <w:r>
        <w:rPr>
          <w:rFonts w:ascii="Calibri" w:hAnsi="Calibri"/>
          <w:spacing w:val="-1"/>
          <w:sz w:val="20"/>
        </w:rPr>
        <w:t> </w:t>
      </w:r>
      <w:r>
        <w:rPr>
          <w:rFonts w:ascii="Calibri" w:hAnsi="Calibri"/>
          <w:sz w:val="20"/>
        </w:rPr>
        <w:t>la</w:t>
      </w:r>
      <w:r>
        <w:rPr>
          <w:rFonts w:ascii="Calibri" w:hAnsi="Calibri"/>
          <w:spacing w:val="-2"/>
          <w:sz w:val="20"/>
        </w:rPr>
        <w:t> </w:t>
      </w:r>
      <w:r>
        <w:rPr>
          <w:rFonts w:ascii="Calibri" w:hAnsi="Calibri"/>
          <w:sz w:val="20"/>
        </w:rPr>
        <w:t>primera</w:t>
      </w:r>
      <w:r>
        <w:rPr>
          <w:rFonts w:ascii="Calibri" w:hAnsi="Calibri"/>
          <w:spacing w:val="-2"/>
          <w:sz w:val="20"/>
        </w:rPr>
        <w:t> </w:t>
      </w:r>
      <w:r>
        <w:rPr>
          <w:rFonts w:ascii="Calibri" w:hAnsi="Calibri"/>
          <w:sz w:val="20"/>
        </w:rPr>
        <w:t>modificación supuso un incremento del 15,14%</w:t>
      </w:r>
      <w:r>
        <w:rPr>
          <w:rFonts w:ascii="Calibri" w:hAnsi="Calibri"/>
          <w:spacing w:val="-1"/>
          <w:sz w:val="20"/>
        </w:rPr>
        <w:t> </w:t>
      </w:r>
      <w:r>
        <w:rPr>
          <w:rFonts w:ascii="Calibri" w:hAnsi="Calibri"/>
          <w:sz w:val="20"/>
        </w:rPr>
        <w:t>en la cuantía, por</w:t>
      </w:r>
      <w:r>
        <w:rPr>
          <w:rFonts w:ascii="Calibri" w:hAnsi="Calibri"/>
          <w:spacing w:val="-3"/>
          <w:sz w:val="20"/>
        </w:rPr>
        <w:t> </w:t>
      </w:r>
      <w:r>
        <w:rPr>
          <w:rFonts w:ascii="Calibri" w:hAnsi="Calibri"/>
          <w:sz w:val="20"/>
        </w:rPr>
        <w:t>debajo del 20% previsto en pliegos</w:t>
      </w:r>
      <w:r>
        <w:rPr>
          <w:rFonts w:ascii="Calibri" w:hAnsi="Calibri"/>
          <w:spacing w:val="-1"/>
          <w:sz w:val="20"/>
        </w:rPr>
        <w:t> </w:t>
      </w:r>
      <w:r>
        <w:rPr>
          <w:rFonts w:ascii="Calibri" w:hAnsi="Calibri"/>
          <w:sz w:val="20"/>
        </w:rPr>
        <w:t>y muy alejada del límite absoluto del 50% que fija el art. 111 para</w:t>
      </w:r>
      <w:r>
        <w:rPr>
          <w:rFonts w:ascii="Calibri" w:hAnsi="Calibri"/>
          <w:spacing w:val="-2"/>
          <w:sz w:val="20"/>
        </w:rPr>
        <w:t> </w:t>
      </w:r>
      <w:r>
        <w:rPr>
          <w:rFonts w:ascii="Calibri" w:hAnsi="Calibri"/>
          <w:sz w:val="20"/>
        </w:rPr>
        <w:t>modificaciones no previstas. Por tanto, no se</w:t>
      </w:r>
      <w:r>
        <w:rPr>
          <w:rFonts w:ascii="Calibri" w:hAnsi="Calibri"/>
          <w:spacing w:val="-2"/>
          <w:sz w:val="20"/>
        </w:rPr>
        <w:t> </w:t>
      </w:r>
      <w:r>
        <w:rPr>
          <w:rFonts w:ascii="Calibri" w:hAnsi="Calibri"/>
          <w:sz w:val="20"/>
        </w:rPr>
        <w:t>ha</w:t>
      </w:r>
      <w:r>
        <w:rPr>
          <w:rFonts w:ascii="Calibri" w:hAnsi="Calibri"/>
          <w:spacing w:val="-5"/>
          <w:sz w:val="20"/>
        </w:rPr>
        <w:t> </w:t>
      </w:r>
      <w:r>
        <w:rPr>
          <w:rFonts w:ascii="Calibri" w:hAnsi="Calibri"/>
          <w:sz w:val="20"/>
        </w:rPr>
        <w:t>superado</w:t>
      </w:r>
      <w:r>
        <w:rPr>
          <w:rFonts w:ascii="Calibri" w:hAnsi="Calibri"/>
          <w:spacing w:val="-1"/>
          <w:sz w:val="20"/>
        </w:rPr>
        <w:t> </w:t>
      </w:r>
      <w:r>
        <w:rPr>
          <w:rFonts w:ascii="Calibri" w:hAnsi="Calibri"/>
          <w:sz w:val="20"/>
        </w:rPr>
        <w:t>ningún</w:t>
      </w:r>
      <w:r>
        <w:rPr>
          <w:rFonts w:ascii="Calibri" w:hAnsi="Calibri"/>
          <w:spacing w:val="-2"/>
          <w:sz w:val="20"/>
        </w:rPr>
        <w:t> </w:t>
      </w:r>
      <w:r>
        <w:rPr>
          <w:rFonts w:ascii="Calibri" w:hAnsi="Calibri"/>
          <w:sz w:val="20"/>
        </w:rPr>
        <w:t>umbral</w:t>
      </w:r>
      <w:r>
        <w:rPr>
          <w:rFonts w:ascii="Calibri" w:hAnsi="Calibri"/>
          <w:spacing w:val="-3"/>
          <w:sz w:val="20"/>
        </w:rPr>
        <w:t> </w:t>
      </w:r>
      <w:r>
        <w:rPr>
          <w:rFonts w:ascii="Calibri" w:hAnsi="Calibri"/>
          <w:sz w:val="20"/>
        </w:rPr>
        <w:t>legal.</w:t>
      </w:r>
      <w:r>
        <w:rPr>
          <w:rFonts w:ascii="Calibri" w:hAnsi="Calibri"/>
          <w:spacing w:val="-3"/>
          <w:sz w:val="20"/>
        </w:rPr>
        <w:t> </w:t>
      </w:r>
      <w:r>
        <w:rPr>
          <w:rFonts w:ascii="Calibri" w:hAnsi="Calibri"/>
          <w:sz w:val="20"/>
        </w:rPr>
        <w:t>Cabe</w:t>
      </w:r>
      <w:r>
        <w:rPr>
          <w:rFonts w:ascii="Calibri" w:hAnsi="Calibri"/>
          <w:spacing w:val="-3"/>
          <w:sz w:val="20"/>
        </w:rPr>
        <w:t> </w:t>
      </w:r>
      <w:r>
        <w:rPr>
          <w:rFonts w:ascii="Calibri" w:hAnsi="Calibri"/>
          <w:sz w:val="20"/>
        </w:rPr>
        <w:t>añadir</w:t>
      </w:r>
      <w:r>
        <w:rPr>
          <w:rFonts w:ascii="Calibri" w:hAnsi="Calibri"/>
          <w:spacing w:val="-3"/>
          <w:sz w:val="20"/>
        </w:rPr>
        <w:t> </w:t>
      </w:r>
      <w:r>
        <w:rPr>
          <w:rFonts w:ascii="Calibri" w:hAnsi="Calibri"/>
          <w:sz w:val="20"/>
        </w:rPr>
        <w:t>que</w:t>
      </w:r>
      <w:r>
        <w:rPr>
          <w:rFonts w:ascii="Calibri" w:hAnsi="Calibri"/>
          <w:spacing w:val="-4"/>
          <w:sz w:val="20"/>
        </w:rPr>
        <w:t> </w:t>
      </w:r>
      <w:r>
        <w:rPr>
          <w:rFonts w:ascii="Calibri" w:hAnsi="Calibri"/>
          <w:sz w:val="20"/>
        </w:rPr>
        <w:t>el</w:t>
      </w:r>
      <w:r>
        <w:rPr>
          <w:rFonts w:ascii="Calibri" w:hAnsi="Calibri"/>
          <w:spacing w:val="-3"/>
          <w:sz w:val="20"/>
        </w:rPr>
        <w:t> </w:t>
      </w:r>
      <w:r>
        <w:rPr>
          <w:rFonts w:ascii="Calibri" w:hAnsi="Calibri"/>
          <w:sz w:val="20"/>
        </w:rPr>
        <w:t>informe</w:t>
      </w:r>
      <w:r>
        <w:rPr>
          <w:rFonts w:ascii="Calibri" w:hAnsi="Calibri"/>
          <w:spacing w:val="-4"/>
          <w:sz w:val="20"/>
        </w:rPr>
        <w:t> </w:t>
      </w:r>
      <w:r>
        <w:rPr>
          <w:rFonts w:ascii="Calibri" w:hAnsi="Calibri"/>
          <w:sz w:val="20"/>
        </w:rPr>
        <w:t>jurídico</w:t>
      </w:r>
      <w:r>
        <w:rPr>
          <w:rFonts w:ascii="Calibri" w:hAnsi="Calibri"/>
          <w:spacing w:val="-3"/>
          <w:sz w:val="20"/>
        </w:rPr>
        <w:t> </w:t>
      </w:r>
      <w:r>
        <w:rPr>
          <w:rFonts w:ascii="Calibri" w:hAnsi="Calibri"/>
          <w:sz w:val="20"/>
        </w:rPr>
        <w:t>citó</w:t>
      </w:r>
      <w:r>
        <w:rPr>
          <w:rFonts w:ascii="Calibri" w:hAnsi="Calibri"/>
          <w:spacing w:val="-3"/>
          <w:sz w:val="20"/>
        </w:rPr>
        <w:t> </w:t>
      </w:r>
      <w:r>
        <w:rPr>
          <w:rFonts w:ascii="Calibri" w:hAnsi="Calibri"/>
          <w:sz w:val="20"/>
        </w:rPr>
        <w:t>expresamente</w:t>
      </w:r>
      <w:r>
        <w:rPr>
          <w:rFonts w:ascii="Calibri" w:hAnsi="Calibri"/>
          <w:spacing w:val="-4"/>
          <w:sz w:val="20"/>
        </w:rPr>
        <w:t> </w:t>
      </w:r>
      <w:r>
        <w:rPr>
          <w:rFonts w:ascii="Calibri" w:hAnsi="Calibri"/>
          <w:sz w:val="20"/>
        </w:rPr>
        <w:t>los arts.</w:t>
      </w:r>
      <w:r>
        <w:rPr>
          <w:rFonts w:ascii="Calibri" w:hAnsi="Calibri"/>
          <w:spacing w:val="-8"/>
          <w:sz w:val="20"/>
        </w:rPr>
        <w:t> </w:t>
      </w:r>
      <w:r>
        <w:rPr>
          <w:rFonts w:ascii="Calibri" w:hAnsi="Calibri"/>
          <w:sz w:val="20"/>
        </w:rPr>
        <w:t>109</w:t>
      </w:r>
      <w:r>
        <w:rPr>
          <w:rFonts w:ascii="Calibri" w:hAnsi="Calibri"/>
          <w:spacing w:val="-6"/>
          <w:sz w:val="20"/>
        </w:rPr>
        <w:t> </w:t>
      </w:r>
      <w:r>
        <w:rPr>
          <w:rFonts w:ascii="Calibri" w:hAnsi="Calibri"/>
          <w:sz w:val="20"/>
        </w:rPr>
        <w:t>a</w:t>
      </w:r>
      <w:r>
        <w:rPr>
          <w:rFonts w:ascii="Calibri" w:hAnsi="Calibri"/>
          <w:spacing w:val="-4"/>
          <w:sz w:val="20"/>
        </w:rPr>
        <w:t> </w:t>
      </w:r>
      <w:r>
        <w:rPr>
          <w:rFonts w:ascii="Calibri" w:hAnsi="Calibri"/>
          <w:sz w:val="20"/>
        </w:rPr>
        <w:t>111</w:t>
      </w:r>
      <w:r>
        <w:rPr>
          <w:rFonts w:ascii="Calibri" w:hAnsi="Calibri"/>
          <w:spacing w:val="-5"/>
          <w:sz w:val="20"/>
        </w:rPr>
        <w:t> </w:t>
      </w:r>
      <w:r>
        <w:rPr>
          <w:rFonts w:ascii="Calibri" w:hAnsi="Calibri"/>
          <w:sz w:val="20"/>
        </w:rPr>
        <w:t>RDL</w:t>
      </w:r>
      <w:r>
        <w:rPr>
          <w:rFonts w:ascii="Calibri" w:hAnsi="Calibri"/>
          <w:spacing w:val="-10"/>
          <w:sz w:val="20"/>
        </w:rPr>
        <w:t> </w:t>
      </w:r>
      <w:r>
        <w:rPr>
          <w:rFonts w:ascii="Calibri" w:hAnsi="Calibri"/>
          <w:sz w:val="20"/>
        </w:rPr>
        <w:t>3/2020,</w:t>
      </w:r>
      <w:r>
        <w:rPr>
          <w:rFonts w:ascii="Calibri" w:hAnsi="Calibri"/>
          <w:spacing w:val="-4"/>
          <w:sz w:val="20"/>
        </w:rPr>
        <w:t> </w:t>
      </w:r>
      <w:r>
        <w:rPr>
          <w:rFonts w:ascii="Calibri" w:hAnsi="Calibri"/>
          <w:sz w:val="20"/>
        </w:rPr>
        <w:t>concluyendo</w:t>
      </w:r>
      <w:r>
        <w:rPr>
          <w:rFonts w:ascii="Calibri" w:hAnsi="Calibri"/>
          <w:spacing w:val="-8"/>
          <w:sz w:val="20"/>
        </w:rPr>
        <w:t> </w:t>
      </w:r>
      <w:r>
        <w:rPr>
          <w:rFonts w:ascii="Calibri" w:hAnsi="Calibri"/>
          <w:sz w:val="20"/>
        </w:rPr>
        <w:t>que</w:t>
      </w:r>
      <w:r>
        <w:rPr>
          <w:rFonts w:ascii="Calibri" w:hAnsi="Calibri"/>
          <w:spacing w:val="-4"/>
          <w:sz w:val="20"/>
        </w:rPr>
        <w:t> </w:t>
      </w:r>
      <w:r>
        <w:rPr>
          <w:rFonts w:ascii="Calibri" w:hAnsi="Calibri"/>
          <w:sz w:val="20"/>
        </w:rPr>
        <w:t>la</w:t>
      </w:r>
      <w:r>
        <w:rPr>
          <w:rFonts w:ascii="Calibri" w:hAnsi="Calibri"/>
          <w:spacing w:val="-7"/>
          <w:sz w:val="20"/>
        </w:rPr>
        <w:t> </w:t>
      </w:r>
      <w:r>
        <w:rPr>
          <w:rFonts w:ascii="Calibri" w:hAnsi="Calibri"/>
          <w:sz w:val="20"/>
        </w:rPr>
        <w:t>operación</w:t>
      </w:r>
      <w:r>
        <w:rPr>
          <w:rFonts w:ascii="Calibri" w:hAnsi="Calibri"/>
          <w:spacing w:val="-6"/>
          <w:sz w:val="20"/>
        </w:rPr>
        <w:t> </w:t>
      </w:r>
      <w:r>
        <w:rPr>
          <w:rFonts w:ascii="Calibri" w:hAnsi="Calibri"/>
          <w:sz w:val="20"/>
        </w:rPr>
        <w:t>era</w:t>
      </w:r>
      <w:r>
        <w:rPr>
          <w:rFonts w:ascii="Calibri" w:hAnsi="Calibri"/>
          <w:spacing w:val="-7"/>
          <w:sz w:val="20"/>
        </w:rPr>
        <w:t> </w:t>
      </w:r>
      <w:r>
        <w:rPr>
          <w:rFonts w:ascii="Calibri" w:hAnsi="Calibri"/>
          <w:sz w:val="20"/>
        </w:rPr>
        <w:t>plenamente</w:t>
      </w:r>
      <w:r>
        <w:rPr>
          <w:rFonts w:ascii="Calibri" w:hAnsi="Calibri"/>
          <w:spacing w:val="-6"/>
          <w:sz w:val="20"/>
        </w:rPr>
        <w:t> </w:t>
      </w:r>
      <w:r>
        <w:rPr>
          <w:rFonts w:ascii="Calibri" w:hAnsi="Calibri"/>
          <w:sz w:val="20"/>
        </w:rPr>
        <w:t>ajustada</w:t>
      </w:r>
      <w:r>
        <w:rPr>
          <w:rFonts w:ascii="Calibri" w:hAnsi="Calibri"/>
          <w:spacing w:val="-8"/>
          <w:sz w:val="20"/>
        </w:rPr>
        <w:t> </w:t>
      </w:r>
      <w:r>
        <w:rPr>
          <w:rFonts w:ascii="Calibri" w:hAnsi="Calibri"/>
          <w:sz w:val="20"/>
        </w:rPr>
        <w:t>a</w:t>
      </w:r>
      <w:r>
        <w:rPr>
          <w:rFonts w:ascii="Calibri" w:hAnsi="Calibri"/>
          <w:spacing w:val="-5"/>
          <w:sz w:val="20"/>
        </w:rPr>
        <w:t> </w:t>
      </w:r>
      <w:r>
        <w:rPr>
          <w:rFonts w:ascii="Calibri" w:hAnsi="Calibri"/>
          <w:sz w:val="20"/>
        </w:rPr>
        <w:t>Derecho.</w:t>
      </w:r>
    </w:p>
    <w:p>
      <w:pPr>
        <w:spacing w:line="256" w:lineRule="auto" w:before="147"/>
        <w:ind w:left="1925" w:right="2022" w:firstLine="0"/>
        <w:jc w:val="both"/>
        <w:rPr>
          <w:rFonts w:ascii="Calibri" w:hAnsi="Calibri"/>
          <w:sz w:val="20"/>
        </w:rPr>
      </w:pPr>
      <w:r>
        <w:rPr>
          <w:rFonts w:ascii="Calibri" w:hAnsi="Calibri"/>
          <w:sz w:val="20"/>
        </w:rPr>
        <w:t>En definitiva, a nuestro entender y en atención a lo expuesto, ambas modificaciones estaban debidamente justificadas y autorizadas bien como modificaciones previstas al amparo del pliego (art. 110) bien, subsidiariamente, como modificaciones excepcionales pero legítimas (art. 111). Por tanto, en ningún caso se vulneró el régimen de</w:t>
      </w:r>
      <w:r>
        <w:rPr>
          <w:rFonts w:ascii="Calibri" w:hAnsi="Calibri"/>
          <w:spacing w:val="-2"/>
          <w:sz w:val="20"/>
        </w:rPr>
        <w:t> </w:t>
      </w:r>
      <w:r>
        <w:rPr>
          <w:rFonts w:ascii="Calibri" w:hAnsi="Calibri"/>
          <w:sz w:val="20"/>
        </w:rPr>
        <w:t>contratación pública.</w:t>
      </w:r>
    </w:p>
    <w:p>
      <w:pPr>
        <w:spacing w:line="259" w:lineRule="auto" w:before="145"/>
        <w:ind w:left="1925" w:right="2023" w:firstLine="0"/>
        <w:jc w:val="both"/>
        <w:rPr>
          <w:rFonts w:ascii="Calibri" w:hAnsi="Calibri"/>
          <w:sz w:val="20"/>
        </w:rPr>
      </w:pPr>
      <w:r>
        <w:rPr>
          <w:rFonts w:ascii="Calibri" w:hAnsi="Calibri"/>
          <w:sz w:val="20"/>
        </w:rPr>
        <w:t>2º</w:t>
      </w:r>
      <w:r>
        <w:rPr>
          <w:rFonts w:ascii="Calibri" w:hAnsi="Calibri"/>
          <w:spacing w:val="-2"/>
          <w:sz w:val="20"/>
        </w:rPr>
        <w:t> </w:t>
      </w:r>
      <w:r>
        <w:rPr>
          <w:rFonts w:ascii="Calibri" w:hAnsi="Calibri"/>
          <w:sz w:val="20"/>
        </w:rPr>
        <w:t>La</w:t>
      </w:r>
      <w:r>
        <w:rPr>
          <w:rFonts w:ascii="Calibri" w:hAnsi="Calibri"/>
          <w:spacing w:val="-1"/>
          <w:sz w:val="20"/>
        </w:rPr>
        <w:t> </w:t>
      </w:r>
      <w:r>
        <w:rPr>
          <w:rFonts w:ascii="Calibri" w:hAnsi="Calibri"/>
          <w:sz w:val="20"/>
        </w:rPr>
        <w:t>segunda</w:t>
      </w:r>
      <w:r>
        <w:rPr>
          <w:rFonts w:ascii="Calibri" w:hAnsi="Calibri"/>
          <w:spacing w:val="-3"/>
          <w:sz w:val="20"/>
        </w:rPr>
        <w:t> </w:t>
      </w:r>
      <w:r>
        <w:rPr>
          <w:rFonts w:ascii="Calibri" w:hAnsi="Calibri"/>
          <w:sz w:val="20"/>
        </w:rPr>
        <w:t>observación</w:t>
      </w:r>
      <w:r>
        <w:rPr>
          <w:rFonts w:ascii="Calibri" w:hAnsi="Calibri"/>
          <w:spacing w:val="-1"/>
          <w:sz w:val="20"/>
        </w:rPr>
        <w:t> </w:t>
      </w:r>
      <w:r>
        <w:rPr>
          <w:rFonts w:ascii="Calibri" w:hAnsi="Calibri"/>
          <w:sz w:val="20"/>
        </w:rPr>
        <w:t>del</w:t>
      </w:r>
      <w:r>
        <w:rPr>
          <w:rFonts w:ascii="Calibri" w:hAnsi="Calibri"/>
          <w:spacing w:val="-2"/>
          <w:sz w:val="20"/>
        </w:rPr>
        <w:t> </w:t>
      </w:r>
      <w:r>
        <w:rPr>
          <w:rFonts w:ascii="Calibri" w:hAnsi="Calibri"/>
          <w:sz w:val="20"/>
        </w:rPr>
        <w:t>Tribunal</w:t>
      </w:r>
      <w:r>
        <w:rPr>
          <w:rFonts w:ascii="Calibri" w:hAnsi="Calibri"/>
          <w:spacing w:val="-1"/>
          <w:sz w:val="20"/>
        </w:rPr>
        <w:t> </w:t>
      </w:r>
      <w:r>
        <w:rPr>
          <w:rFonts w:ascii="Calibri" w:hAnsi="Calibri"/>
          <w:sz w:val="20"/>
        </w:rPr>
        <w:t>incide</w:t>
      </w:r>
      <w:r>
        <w:rPr>
          <w:rFonts w:ascii="Calibri" w:hAnsi="Calibri"/>
          <w:spacing w:val="-5"/>
          <w:sz w:val="20"/>
        </w:rPr>
        <w:t> </w:t>
      </w:r>
      <w:r>
        <w:rPr>
          <w:rFonts w:ascii="Calibri" w:hAnsi="Calibri"/>
          <w:sz w:val="20"/>
        </w:rPr>
        <w:t>en</w:t>
      </w:r>
      <w:r>
        <w:rPr>
          <w:rFonts w:ascii="Calibri" w:hAnsi="Calibri"/>
          <w:spacing w:val="-1"/>
          <w:sz w:val="20"/>
        </w:rPr>
        <w:t> </w:t>
      </w:r>
      <w:r>
        <w:rPr>
          <w:rFonts w:ascii="Calibri" w:hAnsi="Calibri"/>
          <w:sz w:val="20"/>
        </w:rPr>
        <w:t>que</w:t>
      </w:r>
      <w:r>
        <w:rPr>
          <w:rFonts w:ascii="Calibri" w:hAnsi="Calibri"/>
          <w:spacing w:val="-6"/>
          <w:sz w:val="20"/>
        </w:rPr>
        <w:t> </w:t>
      </w:r>
      <w:r>
        <w:rPr>
          <w:rFonts w:ascii="Calibri" w:hAnsi="Calibri"/>
          <w:sz w:val="20"/>
        </w:rPr>
        <w:t>las ampliaciones</w:t>
      </w:r>
      <w:r>
        <w:rPr>
          <w:rFonts w:ascii="Calibri" w:hAnsi="Calibri"/>
          <w:spacing w:val="-1"/>
          <w:sz w:val="20"/>
        </w:rPr>
        <w:t> </w:t>
      </w:r>
      <w:r>
        <w:rPr>
          <w:rFonts w:ascii="Calibri" w:hAnsi="Calibri"/>
          <w:sz w:val="20"/>
        </w:rPr>
        <w:t>de</w:t>
      </w:r>
      <w:r>
        <w:rPr>
          <w:rFonts w:ascii="Calibri" w:hAnsi="Calibri"/>
          <w:spacing w:val="-2"/>
          <w:sz w:val="20"/>
        </w:rPr>
        <w:t> </w:t>
      </w:r>
      <w:r>
        <w:rPr>
          <w:rFonts w:ascii="Calibri" w:hAnsi="Calibri"/>
          <w:sz w:val="20"/>
        </w:rPr>
        <w:t>unidades de</w:t>
      </w:r>
      <w:r>
        <w:rPr>
          <w:rFonts w:ascii="Calibri" w:hAnsi="Calibri"/>
          <w:spacing w:val="-3"/>
          <w:sz w:val="20"/>
        </w:rPr>
        <w:t> </w:t>
      </w:r>
      <w:r>
        <w:rPr>
          <w:rFonts w:ascii="Calibri" w:hAnsi="Calibri"/>
          <w:sz w:val="20"/>
        </w:rPr>
        <w:t>obra</w:t>
      </w:r>
      <w:r>
        <w:rPr>
          <w:rFonts w:ascii="Calibri" w:hAnsi="Calibri"/>
          <w:spacing w:val="-2"/>
          <w:sz w:val="20"/>
        </w:rPr>
        <w:t> </w:t>
      </w:r>
      <w:r>
        <w:rPr>
          <w:rFonts w:ascii="Calibri" w:hAnsi="Calibri"/>
          <w:sz w:val="20"/>
        </w:rPr>
        <w:t>(p. ej. aumento de pantallas, pantallas a doble cara) no se habrían justificado suficientemente como sobrevenidas ni se explicó por qué no se incluyeron en</w:t>
      </w:r>
      <w:r>
        <w:rPr>
          <w:rFonts w:ascii="Calibri" w:hAnsi="Calibri"/>
          <w:spacing w:val="-1"/>
          <w:sz w:val="20"/>
        </w:rPr>
        <w:t> </w:t>
      </w:r>
      <w:r>
        <w:rPr>
          <w:rFonts w:ascii="Calibri" w:hAnsi="Calibri"/>
          <w:sz w:val="20"/>
        </w:rPr>
        <w:t>el contrato inicial.</w:t>
      </w:r>
    </w:p>
    <w:p>
      <w:pPr>
        <w:spacing w:line="256" w:lineRule="auto" w:before="138"/>
        <w:ind w:left="1925" w:right="2019" w:firstLine="0"/>
        <w:jc w:val="both"/>
        <w:rPr>
          <w:rFonts w:ascii="Calibri" w:hAnsi="Calibri"/>
          <w:sz w:val="20"/>
        </w:rPr>
      </w:pPr>
      <w:r>
        <w:rPr>
          <w:rFonts w:ascii="Calibri" w:hAnsi="Calibri"/>
          <w:sz w:val="20"/>
        </w:rPr>
        <w:t>Con relación a esta apreciación, cabe destacar que todas estas modificaciones responden a necesidades reales identificadas durante la ejecución del proyecto, imposibles de determinar con la precisión suficiente en la fase de licitación, y que fueron objeto de informes técnicos detallados cumpliendo la obligación de motivar por qué dichas prestaciones adicionales no formaron parte del contrato inicial.</w:t>
      </w:r>
    </w:p>
    <w:p>
      <w:pPr>
        <w:spacing w:before="148"/>
        <w:ind w:left="1925" w:right="0" w:firstLine="0"/>
        <w:jc w:val="both"/>
        <w:rPr>
          <w:rFonts w:ascii="Calibri" w:hAnsi="Calibri"/>
          <w:sz w:val="20"/>
        </w:rPr>
      </w:pPr>
      <w:r>
        <w:rPr>
          <w:rFonts w:ascii="Calibri" w:hAnsi="Calibri"/>
          <w:spacing w:val="-2"/>
          <w:sz w:val="20"/>
        </w:rPr>
        <w:t>Los principales</w:t>
      </w:r>
      <w:r>
        <w:rPr>
          <w:rFonts w:ascii="Calibri" w:hAnsi="Calibri"/>
          <w:spacing w:val="-1"/>
          <w:sz w:val="20"/>
        </w:rPr>
        <w:t> </w:t>
      </w:r>
      <w:r>
        <w:rPr>
          <w:rFonts w:ascii="Calibri" w:hAnsi="Calibri"/>
          <w:spacing w:val="-2"/>
          <w:sz w:val="20"/>
        </w:rPr>
        <w:t>motivos técnicos</w:t>
      </w:r>
      <w:r>
        <w:rPr>
          <w:rFonts w:ascii="Calibri" w:hAnsi="Calibri"/>
          <w:spacing w:val="2"/>
          <w:sz w:val="20"/>
        </w:rPr>
        <w:t> </w:t>
      </w:r>
      <w:r>
        <w:rPr>
          <w:rFonts w:ascii="Calibri" w:hAnsi="Calibri"/>
          <w:spacing w:val="-2"/>
          <w:sz w:val="20"/>
        </w:rPr>
        <w:t>fueron</w:t>
      </w:r>
      <w:r>
        <w:rPr>
          <w:rFonts w:ascii="Calibri" w:hAnsi="Calibri"/>
          <w:sz w:val="20"/>
        </w:rPr>
        <w:t> </w:t>
      </w:r>
      <w:r>
        <w:rPr>
          <w:rFonts w:ascii="Calibri" w:hAnsi="Calibri"/>
          <w:spacing w:val="-2"/>
          <w:sz w:val="20"/>
        </w:rPr>
        <w:t>los</w:t>
      </w:r>
      <w:r>
        <w:rPr>
          <w:rFonts w:ascii="Calibri" w:hAnsi="Calibri"/>
          <w:spacing w:val="-1"/>
          <w:sz w:val="20"/>
        </w:rPr>
        <w:t> </w:t>
      </w:r>
      <w:r>
        <w:rPr>
          <w:rFonts w:ascii="Calibri" w:hAnsi="Calibri"/>
          <w:spacing w:val="-2"/>
          <w:sz w:val="20"/>
        </w:rPr>
        <w:t>siguientes:</w:t>
      </w:r>
    </w:p>
    <w:p>
      <w:pPr>
        <w:spacing w:line="256" w:lineRule="auto" w:before="159"/>
        <w:ind w:left="1925" w:right="2016" w:firstLine="0"/>
        <w:jc w:val="both"/>
        <w:rPr>
          <w:rFonts w:ascii="Calibri" w:hAnsi="Calibri"/>
          <w:sz w:val="20"/>
        </w:rPr>
      </w:pPr>
      <w:r>
        <w:rPr>
          <w:rFonts w:ascii="Calibri" w:hAnsi="Calibri"/>
          <w:sz w:val="20"/>
        </w:rPr>
        <w:t>-Cumplimiento requerimientos administrativos (Urbanismo y Servicios Operativos): Atender indicaciones de otros departamentos municipales, en concreto: dar respuesta a la Gerencia Municipal</w:t>
      </w:r>
      <w:r>
        <w:rPr>
          <w:rFonts w:ascii="Calibri" w:hAnsi="Calibri"/>
          <w:spacing w:val="-5"/>
          <w:sz w:val="20"/>
        </w:rPr>
        <w:t> </w:t>
      </w:r>
      <w:r>
        <w:rPr>
          <w:rFonts w:ascii="Calibri" w:hAnsi="Calibri"/>
          <w:sz w:val="20"/>
        </w:rPr>
        <w:t>de</w:t>
      </w:r>
      <w:r>
        <w:rPr>
          <w:rFonts w:ascii="Calibri" w:hAnsi="Calibri"/>
          <w:spacing w:val="-8"/>
          <w:sz w:val="20"/>
        </w:rPr>
        <w:t> </w:t>
      </w:r>
      <w:r>
        <w:rPr>
          <w:rFonts w:ascii="Calibri" w:hAnsi="Calibri"/>
          <w:sz w:val="20"/>
        </w:rPr>
        <w:t>Urbanismo,</w:t>
      </w:r>
      <w:r>
        <w:rPr>
          <w:rFonts w:ascii="Calibri" w:hAnsi="Calibri"/>
          <w:spacing w:val="-5"/>
          <w:sz w:val="20"/>
        </w:rPr>
        <w:t> </w:t>
      </w:r>
      <w:r>
        <w:rPr>
          <w:rFonts w:ascii="Calibri" w:hAnsi="Calibri"/>
          <w:sz w:val="20"/>
        </w:rPr>
        <w:t>que</w:t>
      </w:r>
      <w:r>
        <w:rPr>
          <w:rFonts w:ascii="Calibri" w:hAnsi="Calibri"/>
          <w:spacing w:val="-5"/>
          <w:sz w:val="20"/>
        </w:rPr>
        <w:t> </w:t>
      </w:r>
      <w:r>
        <w:rPr>
          <w:rFonts w:ascii="Calibri" w:hAnsi="Calibri"/>
          <w:sz w:val="20"/>
        </w:rPr>
        <w:t>solicitó</w:t>
      </w:r>
      <w:r>
        <w:rPr>
          <w:rFonts w:ascii="Calibri" w:hAnsi="Calibri"/>
          <w:spacing w:val="-7"/>
          <w:sz w:val="20"/>
        </w:rPr>
        <w:t> </w:t>
      </w:r>
      <w:r>
        <w:rPr>
          <w:rFonts w:ascii="Calibri" w:hAnsi="Calibri"/>
          <w:sz w:val="20"/>
        </w:rPr>
        <w:t>una</w:t>
      </w:r>
      <w:r>
        <w:rPr>
          <w:rFonts w:ascii="Calibri" w:hAnsi="Calibri"/>
          <w:spacing w:val="-8"/>
          <w:sz w:val="20"/>
        </w:rPr>
        <w:t> </w:t>
      </w:r>
      <w:r>
        <w:rPr>
          <w:rFonts w:ascii="Calibri" w:hAnsi="Calibri"/>
          <w:sz w:val="20"/>
        </w:rPr>
        <w:t>ampliación</w:t>
      </w:r>
      <w:r>
        <w:rPr>
          <w:rFonts w:ascii="Calibri" w:hAnsi="Calibri"/>
          <w:spacing w:val="-6"/>
          <w:sz w:val="20"/>
        </w:rPr>
        <w:t> </w:t>
      </w:r>
      <w:r>
        <w:rPr>
          <w:rFonts w:ascii="Calibri" w:hAnsi="Calibri"/>
          <w:sz w:val="20"/>
        </w:rPr>
        <w:t>de</w:t>
      </w:r>
      <w:r>
        <w:rPr>
          <w:rFonts w:ascii="Calibri" w:hAnsi="Calibri"/>
          <w:spacing w:val="-7"/>
          <w:sz w:val="20"/>
        </w:rPr>
        <w:t> </w:t>
      </w:r>
      <w:r>
        <w:rPr>
          <w:rFonts w:ascii="Calibri" w:hAnsi="Calibri"/>
          <w:sz w:val="20"/>
        </w:rPr>
        <w:t>la</w:t>
      </w:r>
      <w:r>
        <w:rPr>
          <w:rFonts w:ascii="Calibri" w:hAnsi="Calibri"/>
          <w:spacing w:val="-7"/>
          <w:sz w:val="20"/>
        </w:rPr>
        <w:t> </w:t>
      </w:r>
      <w:r>
        <w:rPr>
          <w:rFonts w:ascii="Calibri" w:hAnsi="Calibri"/>
          <w:sz w:val="20"/>
        </w:rPr>
        <w:t>información</w:t>
      </w:r>
      <w:r>
        <w:rPr>
          <w:rFonts w:ascii="Calibri" w:hAnsi="Calibri"/>
          <w:spacing w:val="-9"/>
          <w:sz w:val="20"/>
        </w:rPr>
        <w:t> </w:t>
      </w:r>
      <w:r>
        <w:rPr>
          <w:rFonts w:ascii="Calibri" w:hAnsi="Calibri"/>
          <w:sz w:val="20"/>
        </w:rPr>
        <w:t>recogida</w:t>
      </w:r>
      <w:r>
        <w:rPr>
          <w:rFonts w:ascii="Calibri" w:hAnsi="Calibri"/>
          <w:spacing w:val="-9"/>
          <w:sz w:val="20"/>
        </w:rPr>
        <w:t> </w:t>
      </w:r>
      <w:r>
        <w:rPr>
          <w:rFonts w:ascii="Calibri" w:hAnsi="Calibri"/>
          <w:sz w:val="20"/>
        </w:rPr>
        <w:t>en</w:t>
      </w:r>
      <w:r>
        <w:rPr>
          <w:rFonts w:ascii="Calibri" w:hAnsi="Calibri"/>
          <w:spacing w:val="-9"/>
          <w:sz w:val="20"/>
        </w:rPr>
        <w:t> </w:t>
      </w:r>
      <w:r>
        <w:rPr>
          <w:rFonts w:ascii="Calibri" w:hAnsi="Calibri"/>
          <w:sz w:val="20"/>
        </w:rPr>
        <w:t>el</w:t>
      </w:r>
      <w:r>
        <w:rPr>
          <w:rFonts w:ascii="Calibri" w:hAnsi="Calibri"/>
          <w:spacing w:val="-5"/>
          <w:sz w:val="20"/>
        </w:rPr>
        <w:t> </w:t>
      </w:r>
      <w:r>
        <w:rPr>
          <w:rFonts w:ascii="Calibri" w:hAnsi="Calibri"/>
          <w:sz w:val="20"/>
        </w:rPr>
        <w:t>proyecto técnico; y modificar la ubicación de determinados elementos de protección eléctrica en cuadros de alumbrado público, conforme a lo requerido por los Servicios Operativos municipales. Estas peticiones sobrevenidas implicaron ajustes en el diseño original para asegurar la correcta integración</w:t>
      </w:r>
      <w:r>
        <w:rPr>
          <w:rFonts w:ascii="Calibri" w:hAnsi="Calibri"/>
          <w:spacing w:val="-2"/>
          <w:sz w:val="20"/>
        </w:rPr>
        <w:t> </w:t>
      </w:r>
      <w:r>
        <w:rPr>
          <w:rFonts w:ascii="Calibri" w:hAnsi="Calibri"/>
          <w:sz w:val="20"/>
        </w:rPr>
        <w:t>del sistema de pantallas en el entorno urbano</w:t>
      </w:r>
      <w:r>
        <w:rPr>
          <w:rFonts w:ascii="Calibri" w:hAnsi="Calibri"/>
          <w:spacing w:val="-1"/>
          <w:sz w:val="20"/>
        </w:rPr>
        <w:t> </w:t>
      </w:r>
      <w:r>
        <w:rPr>
          <w:rFonts w:ascii="Calibri" w:hAnsi="Calibri"/>
          <w:sz w:val="20"/>
        </w:rPr>
        <w:t>existente.</w:t>
      </w:r>
    </w:p>
    <w:p>
      <w:pPr>
        <w:spacing w:line="256" w:lineRule="auto" w:before="147"/>
        <w:ind w:left="1925" w:right="2021" w:firstLine="0"/>
        <w:jc w:val="both"/>
        <w:rPr>
          <w:rFonts w:ascii="Calibri" w:hAnsi="Calibri"/>
          <w:sz w:val="20"/>
        </w:rPr>
      </w:pPr>
      <w:r>
        <w:rPr>
          <w:rFonts w:ascii="Calibri" w:hAnsi="Calibri"/>
          <w:sz w:val="20"/>
        </w:rPr>
        <w:t>-Adaptación a infraestructuras y movilidad: Rediseño de los trazados de canalizaciones (conductos de cableado) previstos, con el doble objetivo de evitar interferencias tanto con la movilidad en vías de la red viaria básica (minimizando afecciones al tráfico rodado), como con las infraestructuras subterráneas de servicios ya existentes. En particular, se llevó a cabo la identificación de posibles interferencias con redes de servicios a través de la plataforma Inkolan,</w:t>
      </w:r>
      <w:r>
        <w:rPr>
          <w:rFonts w:ascii="Calibri" w:hAnsi="Calibri"/>
          <w:spacing w:val="-9"/>
          <w:sz w:val="20"/>
        </w:rPr>
        <w:t> </w:t>
      </w:r>
      <w:r>
        <w:rPr>
          <w:rFonts w:ascii="Calibri" w:hAnsi="Calibri"/>
          <w:sz w:val="20"/>
        </w:rPr>
        <w:t>ajustando</w:t>
      </w:r>
      <w:r>
        <w:rPr>
          <w:rFonts w:ascii="Calibri" w:hAnsi="Calibri"/>
          <w:spacing w:val="-9"/>
          <w:sz w:val="20"/>
        </w:rPr>
        <w:t> </w:t>
      </w:r>
      <w:r>
        <w:rPr>
          <w:rFonts w:ascii="Calibri" w:hAnsi="Calibri"/>
          <w:sz w:val="20"/>
        </w:rPr>
        <w:t>el</w:t>
      </w:r>
      <w:r>
        <w:rPr>
          <w:rFonts w:ascii="Calibri" w:hAnsi="Calibri"/>
          <w:spacing w:val="-9"/>
          <w:sz w:val="20"/>
        </w:rPr>
        <w:t> </w:t>
      </w:r>
      <w:r>
        <w:rPr>
          <w:rFonts w:ascii="Calibri" w:hAnsi="Calibri"/>
          <w:sz w:val="20"/>
        </w:rPr>
        <w:t>recorrido</w:t>
      </w:r>
      <w:r>
        <w:rPr>
          <w:rFonts w:ascii="Calibri" w:hAnsi="Calibri"/>
          <w:spacing w:val="-6"/>
          <w:sz w:val="20"/>
        </w:rPr>
        <w:t> </w:t>
      </w:r>
      <w:r>
        <w:rPr>
          <w:rFonts w:ascii="Calibri" w:hAnsi="Calibri"/>
          <w:sz w:val="20"/>
        </w:rPr>
        <w:t>de</w:t>
      </w:r>
      <w:r>
        <w:rPr>
          <w:rFonts w:ascii="Calibri" w:hAnsi="Calibri"/>
          <w:spacing w:val="-7"/>
          <w:sz w:val="20"/>
        </w:rPr>
        <w:t> </w:t>
      </w:r>
      <w:r>
        <w:rPr>
          <w:rFonts w:ascii="Calibri" w:hAnsi="Calibri"/>
          <w:sz w:val="20"/>
        </w:rPr>
        <w:t>las</w:t>
      </w:r>
      <w:r>
        <w:rPr>
          <w:rFonts w:ascii="Calibri" w:hAnsi="Calibri"/>
          <w:spacing w:val="-9"/>
          <w:sz w:val="20"/>
        </w:rPr>
        <w:t> </w:t>
      </w:r>
      <w:r>
        <w:rPr>
          <w:rFonts w:ascii="Calibri" w:hAnsi="Calibri"/>
          <w:sz w:val="20"/>
        </w:rPr>
        <w:t>canalizaciones</w:t>
      </w:r>
      <w:r>
        <w:rPr>
          <w:rFonts w:ascii="Calibri" w:hAnsi="Calibri"/>
          <w:spacing w:val="-9"/>
          <w:sz w:val="20"/>
        </w:rPr>
        <w:t> </w:t>
      </w:r>
      <w:r>
        <w:rPr>
          <w:rFonts w:ascii="Calibri" w:hAnsi="Calibri"/>
          <w:sz w:val="20"/>
        </w:rPr>
        <w:t>para</w:t>
      </w:r>
      <w:r>
        <w:rPr>
          <w:rFonts w:ascii="Calibri" w:hAnsi="Calibri"/>
          <w:spacing w:val="-10"/>
          <w:sz w:val="20"/>
        </w:rPr>
        <w:t> </w:t>
      </w:r>
      <w:r>
        <w:rPr>
          <w:rFonts w:ascii="Calibri" w:hAnsi="Calibri"/>
          <w:sz w:val="20"/>
        </w:rPr>
        <w:t>compatibilizar</w:t>
      </w:r>
      <w:r>
        <w:rPr>
          <w:rFonts w:ascii="Calibri" w:hAnsi="Calibri"/>
          <w:spacing w:val="-9"/>
          <w:sz w:val="20"/>
        </w:rPr>
        <w:t> </w:t>
      </w:r>
      <w:r>
        <w:rPr>
          <w:rFonts w:ascii="Calibri" w:hAnsi="Calibri"/>
          <w:sz w:val="20"/>
        </w:rPr>
        <w:t>la</w:t>
      </w:r>
      <w:r>
        <w:rPr>
          <w:rFonts w:ascii="Calibri" w:hAnsi="Calibri"/>
          <w:spacing w:val="-8"/>
          <w:sz w:val="20"/>
        </w:rPr>
        <w:t> </w:t>
      </w:r>
      <w:r>
        <w:rPr>
          <w:rFonts w:ascii="Calibri" w:hAnsi="Calibri"/>
          <w:sz w:val="20"/>
        </w:rPr>
        <w:t>instalación</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cables con dichas redes. De este modo se garantizó que la ejecución de la obra no perturbara otros servicios públicos ni la circulación, corrigiendo aspectos que no podían anticiparse completamente en la fase de proyecto.</w:t>
      </w:r>
    </w:p>
    <w:p>
      <w:pPr>
        <w:spacing w:line="256" w:lineRule="auto" w:before="147"/>
        <w:ind w:left="1925" w:right="2020" w:firstLine="0"/>
        <w:jc w:val="both"/>
        <w:rPr>
          <w:rFonts w:ascii="Calibri" w:hAnsi="Calibri"/>
          <w:sz w:val="20"/>
        </w:rPr>
      </w:pPr>
      <w:r>
        <w:rPr>
          <w:rFonts w:ascii="Calibri" w:hAnsi="Calibri"/>
          <w:sz w:val="20"/>
        </w:rPr>
        <w:t>-Adecuación a nuevos requerimientos técnicos y operativos: Introducción de ajustes para el cumplimiento</w:t>
      </w:r>
      <w:r>
        <w:rPr>
          <w:rFonts w:ascii="Calibri" w:hAnsi="Calibri"/>
          <w:spacing w:val="-1"/>
          <w:sz w:val="20"/>
        </w:rPr>
        <w:t> </w:t>
      </w:r>
      <w:r>
        <w:rPr>
          <w:rFonts w:ascii="Calibri" w:hAnsi="Calibri"/>
          <w:sz w:val="20"/>
        </w:rPr>
        <w:t>normativo</w:t>
      </w:r>
      <w:r>
        <w:rPr>
          <w:rFonts w:ascii="Calibri" w:hAnsi="Calibri"/>
          <w:spacing w:val="-6"/>
          <w:sz w:val="20"/>
        </w:rPr>
        <w:t> </w:t>
      </w:r>
      <w:r>
        <w:rPr>
          <w:rFonts w:ascii="Calibri" w:hAnsi="Calibri"/>
          <w:sz w:val="20"/>
        </w:rPr>
        <w:t>y</w:t>
      </w:r>
      <w:r>
        <w:rPr>
          <w:rFonts w:ascii="Calibri" w:hAnsi="Calibri"/>
          <w:spacing w:val="-7"/>
          <w:sz w:val="20"/>
        </w:rPr>
        <w:t> </w:t>
      </w:r>
      <w:r>
        <w:rPr>
          <w:rFonts w:ascii="Calibri" w:hAnsi="Calibri"/>
          <w:sz w:val="20"/>
        </w:rPr>
        <w:t>para</w:t>
      </w:r>
      <w:r>
        <w:rPr>
          <w:rFonts w:ascii="Calibri" w:hAnsi="Calibri"/>
          <w:spacing w:val="-8"/>
          <w:sz w:val="20"/>
        </w:rPr>
        <w:t> </w:t>
      </w:r>
      <w:r>
        <w:rPr>
          <w:rFonts w:ascii="Calibri" w:hAnsi="Calibri"/>
          <w:sz w:val="20"/>
        </w:rPr>
        <w:t>adaptarse</w:t>
      </w:r>
      <w:r>
        <w:rPr>
          <w:rFonts w:ascii="Calibri" w:hAnsi="Calibri"/>
          <w:spacing w:val="-5"/>
          <w:sz w:val="20"/>
        </w:rPr>
        <w:t> </w:t>
      </w:r>
      <w:r>
        <w:rPr>
          <w:rFonts w:ascii="Calibri" w:hAnsi="Calibri"/>
          <w:sz w:val="20"/>
        </w:rPr>
        <w:t>a</w:t>
      </w:r>
      <w:r>
        <w:rPr>
          <w:rFonts w:ascii="Calibri" w:hAnsi="Calibri"/>
          <w:spacing w:val="-8"/>
          <w:sz w:val="20"/>
        </w:rPr>
        <w:t> </w:t>
      </w:r>
      <w:r>
        <w:rPr>
          <w:rFonts w:ascii="Calibri" w:hAnsi="Calibri"/>
          <w:sz w:val="20"/>
        </w:rPr>
        <w:t>cambios</w:t>
      </w:r>
      <w:r>
        <w:rPr>
          <w:rFonts w:ascii="Calibri" w:hAnsi="Calibri"/>
          <w:spacing w:val="-3"/>
          <w:sz w:val="20"/>
        </w:rPr>
        <w:t> </w:t>
      </w:r>
      <w:r>
        <w:rPr>
          <w:rFonts w:ascii="Calibri" w:hAnsi="Calibri"/>
          <w:sz w:val="20"/>
        </w:rPr>
        <w:t>funcionales</w:t>
      </w:r>
      <w:r>
        <w:rPr>
          <w:rFonts w:ascii="Calibri" w:hAnsi="Calibri"/>
          <w:spacing w:val="-5"/>
          <w:sz w:val="20"/>
        </w:rPr>
        <w:t> </w:t>
      </w:r>
      <w:r>
        <w:rPr>
          <w:rFonts w:ascii="Calibri" w:hAnsi="Calibri"/>
          <w:sz w:val="20"/>
        </w:rPr>
        <w:t>en</w:t>
      </w:r>
      <w:r>
        <w:rPr>
          <w:rFonts w:ascii="Calibri" w:hAnsi="Calibri"/>
          <w:spacing w:val="-5"/>
          <w:sz w:val="20"/>
        </w:rPr>
        <w:t> </w:t>
      </w:r>
      <w:r>
        <w:rPr>
          <w:rFonts w:ascii="Calibri" w:hAnsi="Calibri"/>
          <w:sz w:val="20"/>
        </w:rPr>
        <w:t>la</w:t>
      </w:r>
      <w:r>
        <w:rPr>
          <w:rFonts w:ascii="Calibri" w:hAnsi="Calibri"/>
          <w:spacing w:val="-5"/>
          <w:sz w:val="20"/>
        </w:rPr>
        <w:t> </w:t>
      </w:r>
      <w:r>
        <w:rPr>
          <w:rFonts w:ascii="Calibri" w:hAnsi="Calibri"/>
          <w:sz w:val="20"/>
        </w:rPr>
        <w:t>explotación</w:t>
      </w:r>
      <w:r>
        <w:rPr>
          <w:rFonts w:ascii="Calibri" w:hAnsi="Calibri"/>
          <w:spacing w:val="-5"/>
          <w:sz w:val="20"/>
        </w:rPr>
        <w:t> </w:t>
      </w:r>
      <w:r>
        <w:rPr>
          <w:rFonts w:ascii="Calibri" w:hAnsi="Calibri"/>
          <w:sz w:val="20"/>
        </w:rPr>
        <w:t>del</w:t>
      </w:r>
      <w:r>
        <w:rPr>
          <w:rFonts w:ascii="Calibri" w:hAnsi="Calibri"/>
          <w:spacing w:val="-4"/>
          <w:sz w:val="20"/>
        </w:rPr>
        <w:t> </w:t>
      </w:r>
      <w:r>
        <w:rPr>
          <w:rFonts w:ascii="Calibri" w:hAnsi="Calibri"/>
          <w:sz w:val="20"/>
        </w:rPr>
        <w:t>servicio. Por</w:t>
      </w:r>
      <w:r>
        <w:rPr>
          <w:rFonts w:ascii="Calibri" w:hAnsi="Calibri"/>
          <w:spacing w:val="29"/>
          <w:sz w:val="20"/>
        </w:rPr>
        <w:t> </w:t>
      </w:r>
      <w:r>
        <w:rPr>
          <w:rFonts w:ascii="Calibri" w:hAnsi="Calibri"/>
          <w:sz w:val="20"/>
        </w:rPr>
        <w:t>un</w:t>
      </w:r>
      <w:r>
        <w:rPr>
          <w:rFonts w:ascii="Calibri" w:hAnsi="Calibri"/>
          <w:spacing w:val="31"/>
          <w:sz w:val="20"/>
        </w:rPr>
        <w:t> </w:t>
      </w:r>
      <w:r>
        <w:rPr>
          <w:rFonts w:ascii="Calibri" w:hAnsi="Calibri"/>
          <w:sz w:val="20"/>
        </w:rPr>
        <w:t>lado,</w:t>
      </w:r>
      <w:r>
        <w:rPr>
          <w:rFonts w:ascii="Calibri" w:hAnsi="Calibri"/>
          <w:spacing w:val="30"/>
          <w:sz w:val="20"/>
        </w:rPr>
        <w:t> </w:t>
      </w:r>
      <w:r>
        <w:rPr>
          <w:rFonts w:ascii="Calibri" w:hAnsi="Calibri"/>
          <w:sz w:val="20"/>
        </w:rPr>
        <w:t>se</w:t>
      </w:r>
      <w:r>
        <w:rPr>
          <w:rFonts w:ascii="Calibri" w:hAnsi="Calibri"/>
          <w:spacing w:val="30"/>
          <w:sz w:val="20"/>
        </w:rPr>
        <w:t> </w:t>
      </w:r>
      <w:r>
        <w:rPr>
          <w:rFonts w:ascii="Calibri" w:hAnsi="Calibri"/>
          <w:sz w:val="20"/>
        </w:rPr>
        <w:t>ajustaron</w:t>
      </w:r>
      <w:r>
        <w:rPr>
          <w:rFonts w:ascii="Calibri" w:hAnsi="Calibri"/>
          <w:spacing w:val="28"/>
          <w:sz w:val="20"/>
        </w:rPr>
        <w:t> </w:t>
      </w:r>
      <w:r>
        <w:rPr>
          <w:rFonts w:ascii="Calibri" w:hAnsi="Calibri"/>
          <w:sz w:val="20"/>
        </w:rPr>
        <w:t>las</w:t>
      </w:r>
      <w:r>
        <w:rPr>
          <w:rFonts w:ascii="Calibri" w:hAnsi="Calibri"/>
          <w:spacing w:val="30"/>
          <w:sz w:val="20"/>
        </w:rPr>
        <w:t> </w:t>
      </w:r>
      <w:r>
        <w:rPr>
          <w:rFonts w:ascii="Calibri" w:hAnsi="Calibri"/>
          <w:sz w:val="20"/>
        </w:rPr>
        <w:t>especificaciones</w:t>
      </w:r>
      <w:r>
        <w:rPr>
          <w:rFonts w:ascii="Calibri" w:hAnsi="Calibri"/>
          <w:spacing w:val="30"/>
          <w:sz w:val="20"/>
        </w:rPr>
        <w:t> </w:t>
      </w:r>
      <w:r>
        <w:rPr>
          <w:rFonts w:ascii="Calibri" w:hAnsi="Calibri"/>
          <w:sz w:val="20"/>
        </w:rPr>
        <w:t>del</w:t>
      </w:r>
      <w:r>
        <w:rPr>
          <w:rFonts w:ascii="Calibri" w:hAnsi="Calibri"/>
          <w:spacing w:val="28"/>
          <w:sz w:val="20"/>
        </w:rPr>
        <w:t> </w:t>
      </w:r>
      <w:r>
        <w:rPr>
          <w:rFonts w:ascii="Calibri" w:hAnsi="Calibri"/>
          <w:sz w:val="20"/>
        </w:rPr>
        <w:t>proyecto</w:t>
      </w:r>
      <w:r>
        <w:rPr>
          <w:rFonts w:ascii="Calibri" w:hAnsi="Calibri"/>
          <w:spacing w:val="32"/>
          <w:sz w:val="20"/>
        </w:rPr>
        <w:t> </w:t>
      </w:r>
      <w:r>
        <w:rPr>
          <w:rFonts w:ascii="Calibri" w:hAnsi="Calibri"/>
          <w:sz w:val="20"/>
        </w:rPr>
        <w:t>a</w:t>
      </w:r>
      <w:r>
        <w:rPr>
          <w:rFonts w:ascii="Calibri" w:hAnsi="Calibri"/>
          <w:spacing w:val="30"/>
          <w:sz w:val="20"/>
        </w:rPr>
        <w:t> </w:t>
      </w:r>
      <w:r>
        <w:rPr>
          <w:rFonts w:ascii="Calibri" w:hAnsi="Calibri"/>
          <w:sz w:val="20"/>
        </w:rPr>
        <w:t>la</w:t>
      </w:r>
      <w:r>
        <w:rPr>
          <w:rFonts w:ascii="Calibri" w:hAnsi="Calibri"/>
          <w:spacing w:val="30"/>
          <w:sz w:val="20"/>
        </w:rPr>
        <w:t> </w:t>
      </w:r>
      <w:r>
        <w:rPr>
          <w:rFonts w:ascii="Calibri" w:hAnsi="Calibri"/>
          <w:sz w:val="20"/>
        </w:rPr>
        <w:t>normativa</w:t>
      </w:r>
      <w:r>
        <w:rPr>
          <w:rFonts w:ascii="Calibri" w:hAnsi="Calibri"/>
          <w:spacing w:val="30"/>
          <w:sz w:val="20"/>
        </w:rPr>
        <w:t> </w:t>
      </w:r>
      <w:r>
        <w:rPr>
          <w:rFonts w:ascii="Calibri" w:hAnsi="Calibri"/>
          <w:sz w:val="20"/>
        </w:rPr>
        <w:t>técnica</w:t>
      </w:r>
      <w:r>
        <w:rPr>
          <w:rFonts w:ascii="Calibri" w:hAnsi="Calibri"/>
          <w:spacing w:val="30"/>
          <w:sz w:val="20"/>
        </w:rPr>
        <w:t> </w:t>
      </w:r>
      <w:r>
        <w:rPr>
          <w:rFonts w:ascii="Calibri" w:hAnsi="Calibri"/>
          <w:sz w:val="20"/>
        </w:rPr>
        <w:t>vigente,</w:t>
      </w:r>
    </w:p>
    <w:p>
      <w:pPr>
        <w:pStyle w:val="BodyText"/>
        <w:spacing w:before="214"/>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143" name="Group 1143"/>
                <wp:cNvGraphicFramePr>
                  <a:graphicFrameLocks/>
                </wp:cNvGraphicFramePr>
                <a:graphic>
                  <a:graphicData uri="http://schemas.microsoft.com/office/word/2010/wordprocessingGroup">
                    <wpg:wgp>
                      <wpg:cNvPr id="1143" name="Group 1143"/>
                      <wpg:cNvGrpSpPr/>
                      <wpg:grpSpPr>
                        <a:xfrm>
                          <a:off x="0" y="0"/>
                          <a:ext cx="1870075" cy="6350"/>
                          <a:chExt cx="1870075" cy="6350"/>
                        </a:xfrm>
                      </wpg:grpSpPr>
                      <wps:wsp>
                        <wps:cNvPr id="1144" name="Graphic 1144"/>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853" coordorigin="0,0" coordsize="2945,10">
                <v:rect style="position:absolute;left:0;top:0;width:2945;height:10" id="docshape854"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145" name="Group 1145"/>
                <wp:cNvGraphicFramePr>
                  <a:graphicFrameLocks/>
                </wp:cNvGraphicFramePr>
                <a:graphic>
                  <a:graphicData uri="http://schemas.microsoft.com/office/word/2010/wordprocessingGroup">
                    <wpg:wgp>
                      <wpg:cNvPr id="1145" name="Group 1145"/>
                      <wpg:cNvGrpSpPr/>
                      <wpg:grpSpPr>
                        <a:xfrm>
                          <a:off x="0" y="0"/>
                          <a:ext cx="841375" cy="6350"/>
                          <a:chExt cx="841375" cy="6350"/>
                        </a:xfrm>
                      </wpg:grpSpPr>
                      <wps:wsp>
                        <wps:cNvPr id="1146" name="Graphic 1146"/>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855" coordorigin="0,0" coordsize="1325,10">
                <v:rect style="position:absolute;left:0;top:0;width:1325;height:10" id="docshape856"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46"/>
          <w:headerReference w:type="even" r:id="rId247"/>
          <w:footerReference w:type="default" r:id="rId248"/>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90016">
                <wp:simplePos x="0" y="0"/>
                <wp:positionH relativeFrom="page">
                  <wp:posOffset>4332186</wp:posOffset>
                </wp:positionH>
                <wp:positionV relativeFrom="paragraph">
                  <wp:posOffset>1412477</wp:posOffset>
                </wp:positionV>
                <wp:extent cx="53340" cy="100330"/>
                <wp:effectExtent l="0" t="0" r="0" b="0"/>
                <wp:wrapNone/>
                <wp:docPr id="1147" name="Textbox 1147"/>
                <wp:cNvGraphicFramePr>
                  <a:graphicFrameLocks/>
                </wp:cNvGraphicFramePr>
                <a:graphic>
                  <a:graphicData uri="http://schemas.microsoft.com/office/word/2010/wordprocessingShape">
                    <wps:wsp>
                      <wps:cNvPr id="1147" name="Textbox 1147"/>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26464" type="#_x0000_t202" id="docshape857"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390528">
                <wp:simplePos x="0" y="0"/>
                <wp:positionH relativeFrom="page">
                  <wp:posOffset>172212</wp:posOffset>
                </wp:positionH>
                <wp:positionV relativeFrom="paragraph">
                  <wp:posOffset>954200</wp:posOffset>
                </wp:positionV>
                <wp:extent cx="1298575" cy="417830"/>
                <wp:effectExtent l="0" t="0" r="0" b="0"/>
                <wp:wrapNone/>
                <wp:docPr id="1148" name="Group 1148"/>
                <wp:cNvGraphicFramePr>
                  <a:graphicFrameLocks/>
                </wp:cNvGraphicFramePr>
                <a:graphic>
                  <a:graphicData uri="http://schemas.microsoft.com/office/word/2010/wordprocessingGroup">
                    <wpg:wgp>
                      <wpg:cNvPr id="1148" name="Group 1148"/>
                      <wpg:cNvGrpSpPr/>
                      <wpg:grpSpPr>
                        <a:xfrm>
                          <a:off x="0" y="0"/>
                          <a:ext cx="1298575" cy="417830"/>
                          <a:chExt cx="1298575" cy="417830"/>
                        </a:xfrm>
                      </wpg:grpSpPr>
                      <wps:wsp>
                        <wps:cNvPr id="1149" name="Graphic 1149"/>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150" name="Image 1150"/>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925952" id="docshapegroup858" coordorigin="271,1503" coordsize="2045,658">
                <v:shape style="position:absolute;left:271;top:1502;width:2045;height:658" id="docshape859" coordorigin="271,1503" coordsize="2045,658" path="m2316,1503l271,1503,271,1721,271,1723,271,2160,2316,2160,2316,1723,2316,1721,2316,1503xe" filled="true" fillcolor="#cccccc" stroked="false">
                  <v:path arrowok="t"/>
                  <v:fill type="solid"/>
                </v:shape>
                <v:shape style="position:absolute;left:343;top:1577;width:1896;height:327" type="#_x0000_t75" id="docshape860" stroked="false">
                  <v:imagedata r:id="rId219" o:title=""/>
                </v:shape>
                <w10:wrap type="none"/>
              </v:group>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151" name="Textbox 1151"/>
                <wp:cNvGraphicFramePr>
                  <a:graphicFrameLocks/>
                </wp:cNvGraphicFramePr>
                <a:graphic>
                  <a:graphicData uri="http://schemas.microsoft.com/office/word/2010/wordprocessingShape">
                    <wps:wsp>
                      <wps:cNvPr id="1151" name="Textbox 1151"/>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16"/>
                              <w:gridCol w:w="2345"/>
                              <w:gridCol w:w="707"/>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16" w:type="dxa"/>
                                  <w:tcBorders>
                                    <w:left w:val="single" w:sz="6" w:space="0" w:color="000000"/>
                                    <w:bottom w:val="single" w:sz="6" w:space="0" w:color="000000"/>
                                    <w:right w:val="nil"/>
                                  </w:tcBorders>
                                </w:tcPr>
                                <w:p>
                                  <w:pPr>
                                    <w:pStyle w:val="TableParagraph"/>
                                    <w:rPr>
                                      <w:rFonts w:ascii="Times New Roman"/>
                                      <w:sz w:val="14"/>
                                    </w:rPr>
                                  </w:pPr>
                                </w:p>
                              </w:tc>
                              <w:tc>
                                <w:tcPr>
                                  <w:tcW w:w="2345" w:type="dxa"/>
                                  <w:tcBorders>
                                    <w:top w:val="nil"/>
                                    <w:left w:val="nil"/>
                                    <w:bottom w:val="single" w:sz="6" w:space="0" w:color="000000"/>
                                    <w:right w:val="nil"/>
                                  </w:tcBorders>
                                  <w:shd w:val="clear" w:color="auto" w:fill="000000"/>
                                </w:tcPr>
                                <w:p>
                                  <w:pPr>
                                    <w:pStyle w:val="TableParagraph"/>
                                    <w:rPr>
                                      <w:rFonts w:ascii="Times New Roman"/>
                                      <w:sz w:val="14"/>
                                    </w:rPr>
                                  </w:pPr>
                                </w:p>
                              </w:tc>
                              <w:tc>
                                <w:tcPr>
                                  <w:tcW w:w="1248"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152" name="Image 1152"/>
                                        <wp:cNvGraphicFramePr>
                                          <a:graphicFrameLocks/>
                                        </wp:cNvGraphicFramePr>
                                        <a:graphic>
                                          <a:graphicData uri="http://schemas.openxmlformats.org/drawingml/2006/picture">
                                            <pic:pic>
                                              <pic:nvPicPr>
                                                <pic:cNvPr id="1152" name="Image 1152"/>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153" name="Image 1153"/>
                                        <wp:cNvGraphicFramePr>
                                          <a:graphicFrameLocks/>
                                        </wp:cNvGraphicFramePr>
                                        <a:graphic>
                                          <a:graphicData uri="http://schemas.openxmlformats.org/drawingml/2006/picture">
                                            <pic:pic>
                                              <pic:nvPicPr>
                                                <pic:cNvPr id="1153" name="Image 1153"/>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154" name="Image 1154"/>
                                        <wp:cNvGraphicFramePr>
                                          <a:graphicFrameLocks/>
                                        </wp:cNvGraphicFramePr>
                                        <a:graphic>
                                          <a:graphicData uri="http://schemas.openxmlformats.org/drawingml/2006/picture">
                                            <pic:pic>
                                              <pic:nvPicPr>
                                                <pic:cNvPr id="1154" name="Image 1154"/>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155" name="Image 1155"/>
                                        <wp:cNvGraphicFramePr>
                                          <a:graphicFrameLocks/>
                                        </wp:cNvGraphicFramePr>
                                        <a:graphic>
                                          <a:graphicData uri="http://schemas.openxmlformats.org/drawingml/2006/picture">
                                            <pic:pic>
                                              <pic:nvPicPr>
                                                <pic:cNvPr id="1155" name="Image 1155"/>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6"/>
                                    <w:jc w:val="center"/>
                                    <w:rPr>
                                      <w:rFonts w:ascii="Arial"/>
                                      <w:sz w:val="14"/>
                                    </w:rPr>
                                  </w:pPr>
                                  <w:r>
                                    <w:rPr>
                                      <w:rFonts w:ascii="Arial"/>
                                      <w:spacing w:val="-2"/>
                                      <w:sz w:val="14"/>
                                    </w:rPr>
                                    <w:t>15/40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156" name="Image 1156"/>
                                        <wp:cNvGraphicFramePr>
                                          <a:graphicFrameLocks/>
                                        </wp:cNvGraphicFramePr>
                                        <a:graphic>
                                          <a:graphicData uri="http://schemas.openxmlformats.org/drawingml/2006/picture">
                                            <pic:pic>
                                              <pic:nvPicPr>
                                                <pic:cNvPr id="1156" name="Image 1156"/>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157" name="Image 1157"/>
                                        <wp:cNvGraphicFramePr>
                                          <a:graphicFrameLocks/>
                                        </wp:cNvGraphicFramePr>
                                        <a:graphic>
                                          <a:graphicData uri="http://schemas.openxmlformats.org/drawingml/2006/picture">
                                            <pic:pic>
                                              <pic:nvPicPr>
                                                <pic:cNvPr id="1157" name="Image 1157"/>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861"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16"/>
                        <w:gridCol w:w="2345"/>
                        <w:gridCol w:w="707"/>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16" w:type="dxa"/>
                            <w:tcBorders>
                              <w:left w:val="single" w:sz="6" w:space="0" w:color="000000"/>
                              <w:bottom w:val="single" w:sz="6" w:space="0" w:color="000000"/>
                              <w:right w:val="nil"/>
                            </w:tcBorders>
                          </w:tcPr>
                          <w:p>
                            <w:pPr>
                              <w:pStyle w:val="TableParagraph"/>
                              <w:rPr>
                                <w:rFonts w:ascii="Times New Roman"/>
                                <w:sz w:val="14"/>
                              </w:rPr>
                            </w:pPr>
                          </w:p>
                        </w:tc>
                        <w:tc>
                          <w:tcPr>
                            <w:tcW w:w="2345" w:type="dxa"/>
                            <w:tcBorders>
                              <w:top w:val="nil"/>
                              <w:left w:val="nil"/>
                              <w:bottom w:val="single" w:sz="6" w:space="0" w:color="000000"/>
                              <w:right w:val="nil"/>
                            </w:tcBorders>
                            <w:shd w:val="clear" w:color="auto" w:fill="000000"/>
                          </w:tcPr>
                          <w:p>
                            <w:pPr>
                              <w:pStyle w:val="TableParagraph"/>
                              <w:rPr>
                                <w:rFonts w:ascii="Times New Roman"/>
                                <w:sz w:val="14"/>
                              </w:rPr>
                            </w:pPr>
                          </w:p>
                        </w:tc>
                        <w:tc>
                          <w:tcPr>
                            <w:tcW w:w="1248"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158" name="Image 1158"/>
                                  <wp:cNvGraphicFramePr>
                                    <a:graphicFrameLocks/>
                                  </wp:cNvGraphicFramePr>
                                  <a:graphic>
                                    <a:graphicData uri="http://schemas.openxmlformats.org/drawingml/2006/picture">
                                      <pic:pic>
                                        <pic:nvPicPr>
                                          <pic:cNvPr id="1158" name="Image 115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159" name="Image 1159"/>
                                  <wp:cNvGraphicFramePr>
                                    <a:graphicFrameLocks/>
                                  </wp:cNvGraphicFramePr>
                                  <a:graphic>
                                    <a:graphicData uri="http://schemas.openxmlformats.org/drawingml/2006/picture">
                                      <pic:pic>
                                        <pic:nvPicPr>
                                          <pic:cNvPr id="1159" name="Image 115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160" name="Image 1160"/>
                                  <wp:cNvGraphicFramePr>
                                    <a:graphicFrameLocks/>
                                  </wp:cNvGraphicFramePr>
                                  <a:graphic>
                                    <a:graphicData uri="http://schemas.openxmlformats.org/drawingml/2006/picture">
                                      <pic:pic>
                                        <pic:nvPicPr>
                                          <pic:cNvPr id="1160" name="Image 1160"/>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161" name="Image 1161"/>
                                  <wp:cNvGraphicFramePr>
                                    <a:graphicFrameLocks/>
                                  </wp:cNvGraphicFramePr>
                                  <a:graphic>
                                    <a:graphicData uri="http://schemas.openxmlformats.org/drawingml/2006/picture">
                                      <pic:pic>
                                        <pic:nvPicPr>
                                          <pic:cNvPr id="1161" name="Image 1161"/>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6"/>
                              <w:jc w:val="center"/>
                              <w:rPr>
                                <w:rFonts w:ascii="Arial"/>
                                <w:sz w:val="14"/>
                              </w:rPr>
                            </w:pPr>
                            <w:r>
                              <w:rPr>
                                <w:rFonts w:ascii="Arial"/>
                                <w:spacing w:val="-2"/>
                                <w:sz w:val="14"/>
                              </w:rPr>
                              <w:t>15/40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162" name="Image 1162"/>
                                  <wp:cNvGraphicFramePr>
                                    <a:graphicFrameLocks/>
                                  </wp:cNvGraphicFramePr>
                                  <a:graphic>
                                    <a:graphicData uri="http://schemas.openxmlformats.org/drawingml/2006/picture">
                                      <pic:pic>
                                        <pic:nvPicPr>
                                          <pic:cNvPr id="1162" name="Image 1162"/>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163" name="Image 1163"/>
                                  <wp:cNvGraphicFramePr>
                                    <a:graphicFrameLocks/>
                                  </wp:cNvGraphicFramePr>
                                  <a:graphic>
                                    <a:graphicData uri="http://schemas.openxmlformats.org/drawingml/2006/picture">
                                      <pic:pic>
                                        <pic:nvPicPr>
                                          <pic:cNvPr id="1163" name="Image 1163"/>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164" name="Group 1164"/>
                <wp:cNvGraphicFramePr>
                  <a:graphicFrameLocks/>
                </wp:cNvGraphicFramePr>
                <a:graphic>
                  <a:graphicData uri="http://schemas.microsoft.com/office/word/2010/wordprocessingGroup">
                    <wpg:wgp>
                      <wpg:cNvPr id="1164" name="Group 1164"/>
                      <wpg:cNvGrpSpPr/>
                      <wpg:grpSpPr>
                        <a:xfrm>
                          <a:off x="0" y="0"/>
                          <a:ext cx="734695" cy="753110"/>
                          <a:chExt cx="734695" cy="753110"/>
                        </a:xfrm>
                      </wpg:grpSpPr>
                      <pic:pic>
                        <pic:nvPicPr>
                          <pic:cNvPr id="1165" name="Image 1165"/>
                          <pic:cNvPicPr/>
                        </pic:nvPicPr>
                        <pic:blipFill>
                          <a:blip r:embed="rId237" cstate="print"/>
                          <a:stretch>
                            <a:fillRect/>
                          </a:stretch>
                        </pic:blipFill>
                        <pic:spPr>
                          <a:xfrm>
                            <a:off x="0" y="0"/>
                            <a:ext cx="734567" cy="752840"/>
                          </a:xfrm>
                          <a:prstGeom prst="rect">
                            <a:avLst/>
                          </a:prstGeom>
                        </pic:spPr>
                      </pic:pic>
                      <wps:wsp>
                        <wps:cNvPr id="1166" name="Graphic 1166"/>
                        <wps:cNvSpPr/>
                        <wps:spPr>
                          <a:xfrm>
                            <a:off x="65519" y="60157"/>
                            <a:ext cx="640080" cy="624840"/>
                          </a:xfrm>
                          <a:custGeom>
                            <a:avLst/>
                            <a:gdLst/>
                            <a:ahLst/>
                            <a:cxnLst/>
                            <a:rect l="l" t="t" r="r" b="b"/>
                            <a:pathLst>
                              <a:path w="640080" h="624840">
                                <a:moveTo>
                                  <a:pt x="639571" y="0"/>
                                </a:moveTo>
                                <a:lnTo>
                                  <a:pt x="0" y="0"/>
                                </a:lnTo>
                                <a:lnTo>
                                  <a:pt x="0" y="624535"/>
                                </a:lnTo>
                                <a:lnTo>
                                  <a:pt x="639571" y="624535"/>
                                </a:lnTo>
                                <a:lnTo>
                                  <a:pt x="63957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862" coordorigin="0,0" coordsize="1157,1186">
                <v:shape style="position:absolute;left:0;top:0;width:1157;height:1186" type="#_x0000_t75" id="docshape863" stroked="false">
                  <v:imagedata r:id="rId237" o:title=""/>
                </v:shape>
                <v:rect style="position:absolute;left:103;top:94;width:1008;height:984" id="docshape864"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1925" w:right="2019" w:firstLine="0"/>
        <w:jc w:val="both"/>
        <w:rPr>
          <w:rFonts w:ascii="Calibri" w:hAnsi="Calibri"/>
          <w:sz w:val="20"/>
        </w:rPr>
      </w:pPr>
      <w:r>
        <w:rPr>
          <w:rFonts w:ascii="Calibri" w:hAnsi="Calibri"/>
          <w:sz w:val="20"/>
        </w:rPr>
        <w:t>incluyendo la</w:t>
      </w:r>
      <w:r>
        <w:rPr>
          <w:rFonts w:ascii="Calibri" w:hAnsi="Calibri"/>
          <w:spacing w:val="-1"/>
          <w:sz w:val="20"/>
        </w:rPr>
        <w:t> </w:t>
      </w:r>
      <w:r>
        <w:rPr>
          <w:rFonts w:ascii="Calibri" w:hAnsi="Calibri"/>
          <w:sz w:val="20"/>
        </w:rPr>
        <w:t>modificación</w:t>
      </w:r>
      <w:r>
        <w:rPr>
          <w:rFonts w:ascii="Calibri" w:hAnsi="Calibri"/>
          <w:spacing w:val="-3"/>
          <w:sz w:val="20"/>
        </w:rPr>
        <w:t> </w:t>
      </w:r>
      <w:r>
        <w:rPr>
          <w:rFonts w:ascii="Calibri" w:hAnsi="Calibri"/>
          <w:sz w:val="20"/>
        </w:rPr>
        <w:t>de las características de las</w:t>
      </w:r>
      <w:r>
        <w:rPr>
          <w:rFonts w:ascii="Calibri" w:hAnsi="Calibri"/>
          <w:spacing w:val="-1"/>
          <w:sz w:val="20"/>
        </w:rPr>
        <w:t> </w:t>
      </w:r>
      <w:r>
        <w:rPr>
          <w:rFonts w:ascii="Calibri" w:hAnsi="Calibri"/>
          <w:sz w:val="20"/>
        </w:rPr>
        <w:t>carcasas</w:t>
      </w:r>
      <w:r>
        <w:rPr>
          <w:rFonts w:ascii="Calibri" w:hAnsi="Calibri"/>
          <w:spacing w:val="-4"/>
          <w:sz w:val="20"/>
        </w:rPr>
        <w:t> </w:t>
      </w:r>
      <w:r>
        <w:rPr>
          <w:rFonts w:ascii="Calibri" w:hAnsi="Calibri"/>
          <w:sz w:val="20"/>
        </w:rPr>
        <w:t>y postes</w:t>
      </w:r>
      <w:r>
        <w:rPr>
          <w:rFonts w:ascii="Calibri" w:hAnsi="Calibri"/>
          <w:spacing w:val="-1"/>
          <w:sz w:val="20"/>
        </w:rPr>
        <w:t> </w:t>
      </w:r>
      <w:r>
        <w:rPr>
          <w:rFonts w:ascii="Calibri" w:hAnsi="Calibri"/>
          <w:sz w:val="20"/>
        </w:rPr>
        <w:t>de</w:t>
      </w:r>
      <w:r>
        <w:rPr>
          <w:rFonts w:ascii="Calibri" w:hAnsi="Calibri"/>
          <w:spacing w:val="-2"/>
          <w:sz w:val="20"/>
        </w:rPr>
        <w:t> </w:t>
      </w:r>
      <w:r>
        <w:rPr>
          <w:rFonts w:ascii="Calibri" w:hAnsi="Calibri"/>
          <w:sz w:val="20"/>
        </w:rPr>
        <w:t>parada</w:t>
      </w:r>
      <w:r>
        <w:rPr>
          <w:rFonts w:ascii="Calibri" w:hAnsi="Calibri"/>
          <w:spacing w:val="-3"/>
          <w:sz w:val="20"/>
        </w:rPr>
        <w:t> </w:t>
      </w:r>
      <w:r>
        <w:rPr>
          <w:rFonts w:ascii="Calibri" w:hAnsi="Calibri"/>
          <w:sz w:val="20"/>
        </w:rPr>
        <w:t>provisional para asegurar su conformidad con la regulación aplicable (p. ej. estándares de seguridad eléctrica,</w:t>
      </w:r>
      <w:r>
        <w:rPr>
          <w:rFonts w:ascii="Calibri" w:hAnsi="Calibri"/>
          <w:spacing w:val="-7"/>
          <w:sz w:val="20"/>
        </w:rPr>
        <w:t> </w:t>
      </w:r>
      <w:r>
        <w:rPr>
          <w:rFonts w:ascii="Calibri" w:hAnsi="Calibri"/>
          <w:sz w:val="20"/>
        </w:rPr>
        <w:t>accesibilidad,</w:t>
      </w:r>
      <w:r>
        <w:rPr>
          <w:rFonts w:ascii="Calibri" w:hAnsi="Calibri"/>
          <w:spacing w:val="-9"/>
          <w:sz w:val="20"/>
        </w:rPr>
        <w:t> </w:t>
      </w:r>
      <w:r>
        <w:rPr>
          <w:rFonts w:ascii="Calibri" w:hAnsi="Calibri"/>
          <w:sz w:val="20"/>
        </w:rPr>
        <w:t>señalética,</w:t>
      </w:r>
      <w:r>
        <w:rPr>
          <w:rFonts w:ascii="Calibri" w:hAnsi="Calibri"/>
          <w:spacing w:val="-7"/>
          <w:sz w:val="20"/>
        </w:rPr>
        <w:t> </w:t>
      </w:r>
      <w:r>
        <w:rPr>
          <w:rFonts w:ascii="Calibri" w:hAnsi="Calibri"/>
          <w:sz w:val="20"/>
        </w:rPr>
        <w:t>etc.).</w:t>
      </w:r>
      <w:r>
        <w:rPr>
          <w:rFonts w:ascii="Calibri" w:hAnsi="Calibri"/>
          <w:spacing w:val="-6"/>
          <w:sz w:val="20"/>
        </w:rPr>
        <w:t> </w:t>
      </w:r>
      <w:r>
        <w:rPr>
          <w:rFonts w:ascii="Calibri" w:hAnsi="Calibri"/>
          <w:sz w:val="20"/>
        </w:rPr>
        <w:t>Por</w:t>
      </w:r>
      <w:r>
        <w:rPr>
          <w:rFonts w:ascii="Calibri" w:hAnsi="Calibri"/>
          <w:spacing w:val="-5"/>
          <w:sz w:val="20"/>
        </w:rPr>
        <w:t> </w:t>
      </w:r>
      <w:r>
        <w:rPr>
          <w:rFonts w:ascii="Calibri" w:hAnsi="Calibri"/>
          <w:sz w:val="20"/>
        </w:rPr>
        <w:t>otro</w:t>
      </w:r>
      <w:r>
        <w:rPr>
          <w:rFonts w:ascii="Calibri" w:hAnsi="Calibri"/>
          <w:spacing w:val="-8"/>
          <w:sz w:val="20"/>
        </w:rPr>
        <w:t> </w:t>
      </w:r>
      <w:r>
        <w:rPr>
          <w:rFonts w:ascii="Calibri" w:hAnsi="Calibri"/>
          <w:sz w:val="20"/>
        </w:rPr>
        <w:t>lado,</w:t>
      </w:r>
      <w:r>
        <w:rPr>
          <w:rFonts w:ascii="Calibri" w:hAnsi="Calibri"/>
          <w:spacing w:val="-5"/>
          <w:sz w:val="20"/>
        </w:rPr>
        <w:t> </w:t>
      </w:r>
      <w:r>
        <w:rPr>
          <w:rFonts w:ascii="Calibri" w:hAnsi="Calibri"/>
          <w:sz w:val="20"/>
        </w:rPr>
        <w:t>se</w:t>
      </w:r>
      <w:r>
        <w:rPr>
          <w:rFonts w:ascii="Calibri" w:hAnsi="Calibri"/>
          <w:spacing w:val="-8"/>
          <w:sz w:val="20"/>
        </w:rPr>
        <w:t> </w:t>
      </w:r>
      <w:r>
        <w:rPr>
          <w:rFonts w:ascii="Calibri" w:hAnsi="Calibri"/>
          <w:sz w:val="20"/>
        </w:rPr>
        <w:t>realizó</w:t>
      </w:r>
      <w:r>
        <w:rPr>
          <w:rFonts w:ascii="Calibri" w:hAnsi="Calibri"/>
          <w:spacing w:val="-5"/>
          <w:sz w:val="20"/>
        </w:rPr>
        <w:t> </w:t>
      </w:r>
      <w:r>
        <w:rPr>
          <w:rFonts w:ascii="Calibri" w:hAnsi="Calibri"/>
          <w:sz w:val="20"/>
        </w:rPr>
        <w:t>una</w:t>
      </w:r>
      <w:r>
        <w:rPr>
          <w:rFonts w:ascii="Calibri" w:hAnsi="Calibri"/>
          <w:spacing w:val="-9"/>
          <w:sz w:val="20"/>
        </w:rPr>
        <w:t> </w:t>
      </w:r>
      <w:r>
        <w:rPr>
          <w:rFonts w:ascii="Calibri" w:hAnsi="Calibri"/>
          <w:sz w:val="20"/>
        </w:rPr>
        <w:t>adaptación</w:t>
      </w:r>
      <w:r>
        <w:rPr>
          <w:rFonts w:ascii="Calibri" w:hAnsi="Calibri"/>
          <w:spacing w:val="-7"/>
          <w:sz w:val="20"/>
        </w:rPr>
        <w:t> </w:t>
      </w:r>
      <w:r>
        <w:rPr>
          <w:rFonts w:ascii="Calibri" w:hAnsi="Calibri"/>
          <w:sz w:val="20"/>
        </w:rPr>
        <w:t>de</w:t>
      </w:r>
      <w:r>
        <w:rPr>
          <w:rFonts w:ascii="Calibri" w:hAnsi="Calibri"/>
          <w:spacing w:val="-9"/>
          <w:sz w:val="20"/>
        </w:rPr>
        <w:t> </w:t>
      </w:r>
      <w:r>
        <w:rPr>
          <w:rFonts w:ascii="Calibri" w:hAnsi="Calibri"/>
          <w:sz w:val="20"/>
        </w:rPr>
        <w:t>las</w:t>
      </w:r>
      <w:r>
        <w:rPr>
          <w:rFonts w:ascii="Calibri" w:hAnsi="Calibri"/>
          <w:spacing w:val="-4"/>
          <w:sz w:val="20"/>
        </w:rPr>
        <w:t> </w:t>
      </w:r>
      <w:r>
        <w:rPr>
          <w:rFonts w:ascii="Calibri" w:hAnsi="Calibri"/>
          <w:sz w:val="20"/>
        </w:rPr>
        <w:t>paradas inicialmente previstas a la realidad operativa actual, teniendo en cuenta cambios en las líneas de autobús que se produjeron tras la licitación. Esto obligó como se puede comprender a redefinir qué paradas debían finalmente equiparse con las nuevas pantallas, ya que la red de transporte público es dinámica y algunas líneas o paradas habían variado, requiriendo una redistribución</w:t>
      </w:r>
      <w:r>
        <w:rPr>
          <w:rFonts w:ascii="Calibri" w:hAnsi="Calibri"/>
          <w:spacing w:val="-4"/>
          <w:sz w:val="20"/>
        </w:rPr>
        <w:t> </w:t>
      </w:r>
      <w:r>
        <w:rPr>
          <w:rFonts w:ascii="Calibri" w:hAnsi="Calibri"/>
          <w:sz w:val="20"/>
        </w:rPr>
        <w:t>óptima</w:t>
      </w:r>
      <w:r>
        <w:rPr>
          <w:rFonts w:ascii="Calibri" w:hAnsi="Calibri"/>
          <w:spacing w:val="-1"/>
          <w:sz w:val="20"/>
        </w:rPr>
        <w:t> </w:t>
      </w:r>
      <w:r>
        <w:rPr>
          <w:rFonts w:ascii="Calibri" w:hAnsi="Calibri"/>
          <w:sz w:val="20"/>
        </w:rPr>
        <w:t>de los equipos para maximizar</w:t>
      </w:r>
      <w:r>
        <w:rPr>
          <w:rFonts w:ascii="Calibri" w:hAnsi="Calibri"/>
          <w:spacing w:val="-1"/>
          <w:sz w:val="20"/>
        </w:rPr>
        <w:t> </w:t>
      </w:r>
      <w:r>
        <w:rPr>
          <w:rFonts w:ascii="Calibri" w:hAnsi="Calibri"/>
          <w:sz w:val="20"/>
        </w:rPr>
        <w:t>su</w:t>
      </w:r>
      <w:r>
        <w:rPr>
          <w:rFonts w:ascii="Calibri" w:hAnsi="Calibri"/>
          <w:spacing w:val="-3"/>
          <w:sz w:val="20"/>
        </w:rPr>
        <w:t> </w:t>
      </w:r>
      <w:r>
        <w:rPr>
          <w:rFonts w:ascii="Calibri" w:hAnsi="Calibri"/>
          <w:sz w:val="20"/>
        </w:rPr>
        <w:t>utilidad.</w:t>
      </w:r>
      <w:r>
        <w:rPr>
          <w:rFonts w:ascii="Calibri" w:hAnsi="Calibri"/>
          <w:spacing w:val="-2"/>
          <w:sz w:val="20"/>
        </w:rPr>
        <w:t> </w:t>
      </w:r>
      <w:r>
        <w:rPr>
          <w:rFonts w:ascii="Calibri" w:hAnsi="Calibri"/>
          <w:sz w:val="20"/>
        </w:rPr>
        <w:t>En definitiva,</w:t>
      </w:r>
      <w:r>
        <w:rPr>
          <w:rFonts w:ascii="Calibri" w:hAnsi="Calibri"/>
          <w:spacing w:val="-1"/>
          <w:sz w:val="20"/>
        </w:rPr>
        <w:t> </w:t>
      </w:r>
      <w:r>
        <w:rPr>
          <w:rFonts w:ascii="Calibri" w:hAnsi="Calibri"/>
          <w:sz w:val="20"/>
        </w:rPr>
        <w:t>se</w:t>
      </w:r>
      <w:r>
        <w:rPr>
          <w:rFonts w:ascii="Calibri" w:hAnsi="Calibri"/>
          <w:spacing w:val="-2"/>
          <w:sz w:val="20"/>
        </w:rPr>
        <w:t> </w:t>
      </w:r>
      <w:r>
        <w:rPr>
          <w:rFonts w:ascii="Calibri" w:hAnsi="Calibri"/>
          <w:sz w:val="20"/>
        </w:rPr>
        <w:t>incorporaron las variaciones imprescindibles para adecuar el proyecto a las necesidades funcionales y normativas sobrevenidas, algo que difícilmente podía preverse con exactitud en el momento de redactar los pliegos.</w:t>
      </w:r>
    </w:p>
    <w:p>
      <w:pPr>
        <w:spacing w:line="256" w:lineRule="auto" w:before="148"/>
        <w:ind w:left="1925" w:right="2020" w:firstLine="0"/>
        <w:jc w:val="both"/>
        <w:rPr>
          <w:rFonts w:ascii="Calibri" w:hAnsi="Calibri"/>
          <w:sz w:val="20"/>
        </w:rPr>
      </w:pPr>
      <w:r>
        <w:rPr>
          <w:rFonts w:ascii="Calibri" w:hAnsi="Calibri"/>
          <w:sz w:val="20"/>
        </w:rPr>
        <w:t>-Mejora del alcance del servicio (ampliación de equipamientos): Aprovechando las circunstancias del proyecto, se decidió ampliar la dotación de pantallas en paradas provisionales que inicialmente no iban a beneficiarse, con el fin de mejorar el servicio al usuario. En concreto, se instalaron postes de parada provisional con pantalla LED en dos paradas</w:t>
      </w:r>
      <w:r>
        <w:rPr>
          <w:rFonts w:ascii="Calibri" w:hAnsi="Calibri"/>
          <w:spacing w:val="-8"/>
          <w:sz w:val="20"/>
        </w:rPr>
        <w:t> </w:t>
      </w:r>
      <w:r>
        <w:rPr>
          <w:rFonts w:ascii="Calibri" w:hAnsi="Calibri"/>
          <w:sz w:val="20"/>
        </w:rPr>
        <w:t>que</w:t>
      </w:r>
      <w:r>
        <w:rPr>
          <w:rFonts w:ascii="Calibri" w:hAnsi="Calibri"/>
          <w:spacing w:val="-5"/>
          <w:sz w:val="20"/>
        </w:rPr>
        <w:t> </w:t>
      </w:r>
      <w:r>
        <w:rPr>
          <w:rFonts w:ascii="Calibri" w:hAnsi="Calibri"/>
          <w:sz w:val="20"/>
        </w:rPr>
        <w:t>hasta</w:t>
      </w:r>
      <w:r>
        <w:rPr>
          <w:rFonts w:ascii="Calibri" w:hAnsi="Calibri"/>
          <w:spacing w:val="-8"/>
          <w:sz w:val="20"/>
        </w:rPr>
        <w:t> </w:t>
      </w:r>
      <w:r>
        <w:rPr>
          <w:rFonts w:ascii="Calibri" w:hAnsi="Calibri"/>
          <w:sz w:val="20"/>
        </w:rPr>
        <w:t>entonces</w:t>
      </w:r>
      <w:r>
        <w:rPr>
          <w:rFonts w:ascii="Calibri" w:hAnsi="Calibri"/>
          <w:spacing w:val="-8"/>
          <w:sz w:val="20"/>
        </w:rPr>
        <w:t> </w:t>
      </w:r>
      <w:r>
        <w:rPr>
          <w:rFonts w:ascii="Calibri" w:hAnsi="Calibri"/>
          <w:sz w:val="20"/>
        </w:rPr>
        <w:t>carecían</w:t>
      </w:r>
      <w:r>
        <w:rPr>
          <w:rFonts w:ascii="Calibri" w:hAnsi="Calibri"/>
          <w:spacing w:val="-6"/>
          <w:sz w:val="20"/>
        </w:rPr>
        <w:t> </w:t>
      </w:r>
      <w:r>
        <w:rPr>
          <w:rFonts w:ascii="Calibri" w:hAnsi="Calibri"/>
          <w:sz w:val="20"/>
        </w:rPr>
        <w:t>de</w:t>
      </w:r>
      <w:r>
        <w:rPr>
          <w:rFonts w:ascii="Calibri" w:hAnsi="Calibri"/>
          <w:spacing w:val="-7"/>
          <w:sz w:val="20"/>
        </w:rPr>
        <w:t> </w:t>
      </w:r>
      <w:r>
        <w:rPr>
          <w:rFonts w:ascii="Calibri" w:hAnsi="Calibri"/>
          <w:sz w:val="20"/>
        </w:rPr>
        <w:t>dicho</w:t>
      </w:r>
      <w:r>
        <w:rPr>
          <w:rFonts w:ascii="Calibri" w:hAnsi="Calibri"/>
          <w:spacing w:val="-6"/>
          <w:sz w:val="20"/>
        </w:rPr>
        <w:t> </w:t>
      </w:r>
      <w:r>
        <w:rPr>
          <w:rFonts w:ascii="Calibri" w:hAnsi="Calibri"/>
          <w:sz w:val="20"/>
        </w:rPr>
        <w:t>equipamiento,</w:t>
      </w:r>
      <w:r>
        <w:rPr>
          <w:rFonts w:ascii="Calibri" w:hAnsi="Calibri"/>
          <w:spacing w:val="-6"/>
          <w:sz w:val="20"/>
        </w:rPr>
        <w:t> </w:t>
      </w:r>
      <w:r>
        <w:rPr>
          <w:rFonts w:ascii="Calibri" w:hAnsi="Calibri"/>
          <w:sz w:val="20"/>
        </w:rPr>
        <w:t>de</w:t>
      </w:r>
      <w:r>
        <w:rPr>
          <w:rFonts w:ascii="Calibri" w:hAnsi="Calibri"/>
          <w:spacing w:val="-5"/>
          <w:sz w:val="20"/>
        </w:rPr>
        <w:t> </w:t>
      </w:r>
      <w:r>
        <w:rPr>
          <w:rFonts w:ascii="Calibri" w:hAnsi="Calibri"/>
          <w:sz w:val="20"/>
        </w:rPr>
        <w:t>forma</w:t>
      </w:r>
      <w:r>
        <w:rPr>
          <w:rFonts w:ascii="Calibri" w:hAnsi="Calibri"/>
          <w:spacing w:val="-7"/>
          <w:sz w:val="20"/>
        </w:rPr>
        <w:t> </w:t>
      </w:r>
      <w:r>
        <w:rPr>
          <w:rFonts w:ascii="Calibri" w:hAnsi="Calibri"/>
          <w:sz w:val="20"/>
        </w:rPr>
        <w:t>que</w:t>
      </w:r>
      <w:r>
        <w:rPr>
          <w:rFonts w:ascii="Calibri" w:hAnsi="Calibri"/>
          <w:spacing w:val="-7"/>
          <w:sz w:val="20"/>
        </w:rPr>
        <w:t> </w:t>
      </w:r>
      <w:r>
        <w:rPr>
          <w:rFonts w:ascii="Calibri" w:hAnsi="Calibri"/>
          <w:sz w:val="20"/>
        </w:rPr>
        <w:t>pasaron</w:t>
      </w:r>
      <w:r>
        <w:rPr>
          <w:rFonts w:ascii="Calibri" w:hAnsi="Calibri"/>
          <w:spacing w:val="-8"/>
          <w:sz w:val="20"/>
        </w:rPr>
        <w:t> </w:t>
      </w:r>
      <w:r>
        <w:rPr>
          <w:rFonts w:ascii="Calibri" w:hAnsi="Calibri"/>
          <w:sz w:val="20"/>
        </w:rPr>
        <w:t>a</w:t>
      </w:r>
      <w:r>
        <w:rPr>
          <w:rFonts w:ascii="Calibri" w:hAnsi="Calibri"/>
          <w:spacing w:val="-6"/>
          <w:sz w:val="20"/>
        </w:rPr>
        <w:t> </w:t>
      </w:r>
      <w:r>
        <w:rPr>
          <w:rFonts w:ascii="Calibri" w:hAnsi="Calibri"/>
          <w:sz w:val="20"/>
        </w:rPr>
        <w:t>disponer de información en tiempo real. Asimismo, para optimizar la legibilidad de la información, se optó por dotar</w:t>
      </w:r>
      <w:r>
        <w:rPr>
          <w:rFonts w:ascii="Calibri" w:hAnsi="Calibri"/>
          <w:spacing w:val="-2"/>
          <w:sz w:val="20"/>
        </w:rPr>
        <w:t> </w:t>
      </w:r>
      <w:r>
        <w:rPr>
          <w:rFonts w:ascii="Calibri" w:hAnsi="Calibri"/>
          <w:sz w:val="20"/>
        </w:rPr>
        <w:t>a</w:t>
      </w:r>
      <w:r>
        <w:rPr>
          <w:rFonts w:ascii="Calibri" w:hAnsi="Calibri"/>
          <w:spacing w:val="-3"/>
          <w:sz w:val="20"/>
        </w:rPr>
        <w:t> </w:t>
      </w:r>
      <w:r>
        <w:rPr>
          <w:rFonts w:ascii="Calibri" w:hAnsi="Calibri"/>
          <w:sz w:val="20"/>
        </w:rPr>
        <w:t>estos nuevos</w:t>
      </w:r>
      <w:r>
        <w:rPr>
          <w:rFonts w:ascii="Calibri" w:hAnsi="Calibri"/>
          <w:spacing w:val="-1"/>
          <w:sz w:val="20"/>
        </w:rPr>
        <w:t> </w:t>
      </w:r>
      <w:r>
        <w:rPr>
          <w:rFonts w:ascii="Calibri" w:hAnsi="Calibri"/>
          <w:sz w:val="20"/>
        </w:rPr>
        <w:t>postes (y a</w:t>
      </w:r>
      <w:r>
        <w:rPr>
          <w:rFonts w:ascii="Calibri" w:hAnsi="Calibri"/>
          <w:spacing w:val="-3"/>
          <w:sz w:val="20"/>
        </w:rPr>
        <w:t> </w:t>
      </w:r>
      <w:r>
        <w:rPr>
          <w:rFonts w:ascii="Calibri" w:hAnsi="Calibri"/>
          <w:sz w:val="20"/>
        </w:rPr>
        <w:t>otros</w:t>
      </w:r>
      <w:r>
        <w:rPr>
          <w:rFonts w:ascii="Calibri" w:hAnsi="Calibri"/>
          <w:spacing w:val="-1"/>
          <w:sz w:val="20"/>
        </w:rPr>
        <w:t> </w:t>
      </w:r>
      <w:r>
        <w:rPr>
          <w:rFonts w:ascii="Calibri" w:hAnsi="Calibri"/>
          <w:sz w:val="20"/>
        </w:rPr>
        <w:t>ya previstos)</w:t>
      </w:r>
      <w:r>
        <w:rPr>
          <w:rFonts w:ascii="Calibri" w:hAnsi="Calibri"/>
          <w:spacing w:val="-1"/>
          <w:sz w:val="20"/>
        </w:rPr>
        <w:t> </w:t>
      </w:r>
      <w:r>
        <w:rPr>
          <w:rFonts w:ascii="Calibri" w:hAnsi="Calibri"/>
          <w:sz w:val="20"/>
        </w:rPr>
        <w:t>de pantallas</w:t>
      </w:r>
      <w:r>
        <w:rPr>
          <w:rFonts w:ascii="Calibri" w:hAnsi="Calibri"/>
          <w:spacing w:val="-2"/>
          <w:sz w:val="20"/>
        </w:rPr>
        <w:t> </w:t>
      </w:r>
      <w:r>
        <w:rPr>
          <w:rFonts w:ascii="Calibri" w:hAnsi="Calibri"/>
          <w:sz w:val="20"/>
        </w:rPr>
        <w:t>informativas</w:t>
      </w:r>
      <w:r>
        <w:rPr>
          <w:rFonts w:ascii="Calibri" w:hAnsi="Calibri"/>
          <w:spacing w:val="-4"/>
          <w:sz w:val="20"/>
        </w:rPr>
        <w:t> </w:t>
      </w:r>
      <w:r>
        <w:rPr>
          <w:rFonts w:ascii="Calibri" w:hAnsi="Calibri"/>
          <w:sz w:val="20"/>
        </w:rPr>
        <w:t>a doble cara, mejorando la</w:t>
      </w:r>
      <w:r>
        <w:rPr>
          <w:rFonts w:ascii="Calibri" w:hAnsi="Calibri"/>
          <w:spacing w:val="-1"/>
          <w:sz w:val="20"/>
        </w:rPr>
        <w:t> </w:t>
      </w:r>
      <w:r>
        <w:rPr>
          <w:rFonts w:ascii="Calibri" w:hAnsi="Calibri"/>
          <w:sz w:val="20"/>
        </w:rPr>
        <w:t>visibilidad de los contenidos desde ambos lados de la</w:t>
      </w:r>
      <w:r>
        <w:rPr>
          <w:rFonts w:ascii="Calibri" w:hAnsi="Calibri"/>
          <w:spacing w:val="-1"/>
          <w:sz w:val="20"/>
        </w:rPr>
        <w:t> </w:t>
      </w:r>
      <w:r>
        <w:rPr>
          <w:rFonts w:ascii="Calibri" w:hAnsi="Calibri"/>
          <w:sz w:val="20"/>
        </w:rPr>
        <w:t>vía. La incorporación de estas pantallas adicionales conllevó, lógicamente, extender las canalizaciones de alimentación y comunicación para dar servicio a las nuevas ubicaciones, adaptando el tendido de cableado según la revisión del proyecto.</w:t>
      </w:r>
    </w:p>
    <w:p>
      <w:pPr>
        <w:spacing w:line="256" w:lineRule="auto" w:before="146"/>
        <w:ind w:left="1925" w:right="2020" w:firstLine="0"/>
        <w:jc w:val="both"/>
        <w:rPr>
          <w:rFonts w:ascii="Calibri" w:hAnsi="Calibri"/>
          <w:sz w:val="20"/>
        </w:rPr>
      </w:pPr>
      <w:r>
        <w:rPr>
          <w:rFonts w:ascii="Calibri" w:hAnsi="Calibri"/>
          <w:sz w:val="20"/>
        </w:rPr>
        <w:t>Todas estas ampliaciones atendieron a necesidades reales superiores a las inicialmente estimadas, pero se realizaron dentro del margen cuantitativo previsto en la normativa y en el pliego. Conviene subrayar que estas actuaciones redundan directamente en la mejora de la funcionalidad</w:t>
      </w:r>
      <w:r>
        <w:rPr>
          <w:rFonts w:ascii="Calibri" w:hAnsi="Calibri"/>
          <w:spacing w:val="-11"/>
          <w:sz w:val="20"/>
        </w:rPr>
        <w:t> </w:t>
      </w:r>
      <w:r>
        <w:rPr>
          <w:rFonts w:ascii="Calibri" w:hAnsi="Calibri"/>
          <w:sz w:val="20"/>
        </w:rPr>
        <w:t>del</w:t>
      </w:r>
      <w:r>
        <w:rPr>
          <w:rFonts w:ascii="Calibri" w:hAnsi="Calibri"/>
          <w:spacing w:val="-10"/>
          <w:sz w:val="20"/>
        </w:rPr>
        <w:t> </w:t>
      </w:r>
      <w:r>
        <w:rPr>
          <w:rFonts w:ascii="Calibri" w:hAnsi="Calibri"/>
          <w:sz w:val="20"/>
        </w:rPr>
        <w:t>sistema:</w:t>
      </w:r>
      <w:r>
        <w:rPr>
          <w:rFonts w:ascii="Calibri" w:hAnsi="Calibri"/>
          <w:spacing w:val="-12"/>
          <w:sz w:val="20"/>
        </w:rPr>
        <w:t> </w:t>
      </w:r>
      <w:r>
        <w:rPr>
          <w:rFonts w:ascii="Calibri" w:hAnsi="Calibri"/>
          <w:sz w:val="20"/>
        </w:rPr>
        <w:t>más</w:t>
      </w:r>
      <w:r>
        <w:rPr>
          <w:rFonts w:ascii="Calibri" w:hAnsi="Calibri"/>
          <w:spacing w:val="-9"/>
          <w:sz w:val="20"/>
        </w:rPr>
        <w:t> </w:t>
      </w:r>
      <w:r>
        <w:rPr>
          <w:rFonts w:ascii="Calibri" w:hAnsi="Calibri"/>
          <w:sz w:val="20"/>
        </w:rPr>
        <w:t>paradas</w:t>
      </w:r>
      <w:r>
        <w:rPr>
          <w:rFonts w:ascii="Calibri" w:hAnsi="Calibri"/>
          <w:spacing w:val="-8"/>
          <w:sz w:val="20"/>
        </w:rPr>
        <w:t> </w:t>
      </w:r>
      <w:r>
        <w:rPr>
          <w:rFonts w:ascii="Calibri" w:hAnsi="Calibri"/>
          <w:sz w:val="20"/>
        </w:rPr>
        <w:t>dotadas</w:t>
      </w:r>
      <w:r>
        <w:rPr>
          <w:rFonts w:ascii="Calibri" w:hAnsi="Calibri"/>
          <w:spacing w:val="-7"/>
          <w:sz w:val="20"/>
        </w:rPr>
        <w:t> </w:t>
      </w:r>
      <w:r>
        <w:rPr>
          <w:rFonts w:ascii="Calibri" w:hAnsi="Calibri"/>
          <w:sz w:val="20"/>
        </w:rPr>
        <w:t>con</w:t>
      </w:r>
      <w:r>
        <w:rPr>
          <w:rFonts w:ascii="Calibri" w:hAnsi="Calibri"/>
          <w:spacing w:val="-7"/>
          <w:sz w:val="20"/>
        </w:rPr>
        <w:t> </w:t>
      </w:r>
      <w:r>
        <w:rPr>
          <w:rFonts w:ascii="Calibri" w:hAnsi="Calibri"/>
          <w:sz w:val="20"/>
        </w:rPr>
        <w:t>pantallas</w:t>
      </w:r>
      <w:r>
        <w:rPr>
          <w:rFonts w:ascii="Calibri" w:hAnsi="Calibri"/>
          <w:spacing w:val="-7"/>
          <w:sz w:val="20"/>
        </w:rPr>
        <w:t> </w:t>
      </w:r>
      <w:r>
        <w:rPr>
          <w:rFonts w:ascii="Calibri" w:hAnsi="Calibri"/>
          <w:sz w:val="20"/>
        </w:rPr>
        <w:t>supone</w:t>
      </w:r>
      <w:r>
        <w:rPr>
          <w:rFonts w:ascii="Calibri" w:hAnsi="Calibri"/>
          <w:spacing w:val="-10"/>
          <w:sz w:val="20"/>
        </w:rPr>
        <w:t> </w:t>
      </w:r>
      <w:r>
        <w:rPr>
          <w:rFonts w:ascii="Calibri" w:hAnsi="Calibri"/>
          <w:sz w:val="20"/>
        </w:rPr>
        <w:t>más</w:t>
      </w:r>
      <w:r>
        <w:rPr>
          <w:rFonts w:ascii="Calibri" w:hAnsi="Calibri"/>
          <w:spacing w:val="-10"/>
          <w:sz w:val="20"/>
        </w:rPr>
        <w:t> </w:t>
      </w:r>
      <w:r>
        <w:rPr>
          <w:rFonts w:ascii="Calibri" w:hAnsi="Calibri"/>
          <w:sz w:val="20"/>
        </w:rPr>
        <w:t>usuarios</w:t>
      </w:r>
      <w:r>
        <w:rPr>
          <w:rFonts w:ascii="Calibri" w:hAnsi="Calibri"/>
          <w:spacing w:val="-11"/>
          <w:sz w:val="20"/>
        </w:rPr>
        <w:t> </w:t>
      </w:r>
      <w:r>
        <w:rPr>
          <w:rFonts w:ascii="Calibri" w:hAnsi="Calibri"/>
          <w:sz w:val="20"/>
        </w:rPr>
        <w:t>informados y un mejor cumplimiento del objetivo del contrato.</w:t>
      </w:r>
    </w:p>
    <w:p>
      <w:pPr>
        <w:spacing w:line="256" w:lineRule="auto" w:before="148"/>
        <w:ind w:left="1925" w:right="2020" w:firstLine="0"/>
        <w:jc w:val="both"/>
        <w:rPr>
          <w:rFonts w:ascii="Calibri" w:hAnsi="Calibri"/>
          <w:sz w:val="20"/>
        </w:rPr>
      </w:pPr>
      <w:r>
        <w:rPr>
          <w:rFonts w:ascii="Calibri" w:hAnsi="Calibri"/>
          <w:sz w:val="20"/>
        </w:rPr>
        <w:t>-Reutilización de recursos disponibles: Otra decisión técnica fue optimizar el equipamiento existente para maximizar el rendimiento del proyecto. Durante la ejecución se dispuso de un suministro extra de pantallas LED de formato 1000 x 250 mm (sobrantes que no se iban a instalar</w:t>
      </w:r>
      <w:r>
        <w:rPr>
          <w:rFonts w:ascii="Calibri" w:hAnsi="Calibri"/>
          <w:spacing w:val="-2"/>
          <w:sz w:val="20"/>
        </w:rPr>
        <w:t> </w:t>
      </w:r>
      <w:r>
        <w:rPr>
          <w:rFonts w:ascii="Calibri" w:hAnsi="Calibri"/>
          <w:sz w:val="20"/>
        </w:rPr>
        <w:t>en ciertas</w:t>
      </w:r>
      <w:r>
        <w:rPr>
          <w:rFonts w:ascii="Calibri" w:hAnsi="Calibri"/>
          <w:spacing w:val="-2"/>
          <w:sz w:val="20"/>
        </w:rPr>
        <w:t> </w:t>
      </w:r>
      <w:r>
        <w:rPr>
          <w:rFonts w:ascii="Calibri" w:hAnsi="Calibri"/>
          <w:sz w:val="20"/>
        </w:rPr>
        <w:t>marquesinas donde finalmente</w:t>
      </w:r>
      <w:r>
        <w:rPr>
          <w:rFonts w:ascii="Calibri" w:hAnsi="Calibri"/>
          <w:spacing w:val="-3"/>
          <w:sz w:val="20"/>
        </w:rPr>
        <w:t> </w:t>
      </w:r>
      <w:r>
        <w:rPr>
          <w:rFonts w:ascii="Calibri" w:hAnsi="Calibri"/>
          <w:sz w:val="20"/>
        </w:rPr>
        <w:t>se colocaron</w:t>
      </w:r>
      <w:r>
        <w:rPr>
          <w:rFonts w:ascii="Calibri" w:hAnsi="Calibri"/>
          <w:spacing w:val="-1"/>
          <w:sz w:val="20"/>
        </w:rPr>
        <w:t> </w:t>
      </w:r>
      <w:r>
        <w:rPr>
          <w:rFonts w:ascii="Calibri" w:hAnsi="Calibri"/>
          <w:sz w:val="20"/>
        </w:rPr>
        <w:t>mupis digitales</w:t>
      </w:r>
      <w:r>
        <w:rPr>
          <w:rFonts w:ascii="Calibri" w:hAnsi="Calibri"/>
          <w:spacing w:val="-1"/>
          <w:sz w:val="20"/>
        </w:rPr>
        <w:t> </w:t>
      </w:r>
      <w:r>
        <w:rPr>
          <w:rFonts w:ascii="Calibri" w:hAnsi="Calibri"/>
          <w:sz w:val="20"/>
        </w:rPr>
        <w:t>publicitarios en lugar de pantallas informativas). En lugar de desaprovechar estos equipos ya adquiridos, se justificó su reubicación en otras paradas que originalmente no iban a contar con panel electrónico. En concreto, se instalaron dichas pantallas sobrantes en paradas que hasta entonces solo disponían de un panel informativo estático (</w:t>
      </w:r>
      <w:r>
        <w:rPr>
          <w:rFonts w:ascii="Calibri" w:hAnsi="Calibri"/>
          <w:i/>
          <w:sz w:val="20"/>
        </w:rPr>
        <w:t>mupi </w:t>
      </w:r>
      <w:r>
        <w:rPr>
          <w:rFonts w:ascii="Calibri" w:hAnsi="Calibri"/>
          <w:sz w:val="20"/>
        </w:rPr>
        <w:t>con cartelería).</w:t>
      </w:r>
    </w:p>
    <w:p>
      <w:pPr>
        <w:spacing w:line="256" w:lineRule="auto" w:before="147"/>
        <w:ind w:left="1925" w:right="2018" w:firstLine="0"/>
        <w:jc w:val="both"/>
        <w:rPr>
          <w:rFonts w:ascii="Calibri" w:hAnsi="Calibri"/>
          <w:sz w:val="20"/>
        </w:rPr>
      </w:pPr>
      <w:r>
        <w:rPr>
          <w:rFonts w:ascii="Calibri" w:hAnsi="Calibri"/>
          <w:sz w:val="20"/>
        </w:rPr>
        <w:t>Con</w:t>
      </w:r>
      <w:r>
        <w:rPr>
          <w:rFonts w:ascii="Calibri" w:hAnsi="Calibri"/>
          <w:spacing w:val="-8"/>
          <w:sz w:val="20"/>
        </w:rPr>
        <w:t> </w:t>
      </w:r>
      <w:r>
        <w:rPr>
          <w:rFonts w:ascii="Calibri" w:hAnsi="Calibri"/>
          <w:sz w:val="20"/>
        </w:rPr>
        <w:t>esta</w:t>
      </w:r>
      <w:r>
        <w:rPr>
          <w:rFonts w:ascii="Calibri" w:hAnsi="Calibri"/>
          <w:spacing w:val="-9"/>
          <w:sz w:val="20"/>
        </w:rPr>
        <w:t> </w:t>
      </w:r>
      <w:r>
        <w:rPr>
          <w:rFonts w:ascii="Calibri" w:hAnsi="Calibri"/>
          <w:sz w:val="20"/>
        </w:rPr>
        <w:t>medida,</w:t>
      </w:r>
      <w:r>
        <w:rPr>
          <w:rFonts w:ascii="Calibri" w:hAnsi="Calibri"/>
          <w:spacing w:val="-5"/>
          <w:sz w:val="20"/>
        </w:rPr>
        <w:t> </w:t>
      </w:r>
      <w:r>
        <w:rPr>
          <w:rFonts w:ascii="Calibri" w:hAnsi="Calibri"/>
          <w:sz w:val="20"/>
        </w:rPr>
        <w:t>plenamente</w:t>
      </w:r>
      <w:r>
        <w:rPr>
          <w:rFonts w:ascii="Calibri" w:hAnsi="Calibri"/>
          <w:spacing w:val="-4"/>
          <w:sz w:val="20"/>
        </w:rPr>
        <w:t> </w:t>
      </w:r>
      <w:r>
        <w:rPr>
          <w:rFonts w:ascii="Calibri" w:hAnsi="Calibri"/>
          <w:sz w:val="20"/>
        </w:rPr>
        <w:t>coherente</w:t>
      </w:r>
      <w:r>
        <w:rPr>
          <w:rFonts w:ascii="Calibri" w:hAnsi="Calibri"/>
          <w:spacing w:val="-6"/>
          <w:sz w:val="20"/>
        </w:rPr>
        <w:t> </w:t>
      </w:r>
      <w:r>
        <w:rPr>
          <w:rFonts w:ascii="Calibri" w:hAnsi="Calibri"/>
          <w:sz w:val="20"/>
        </w:rPr>
        <w:t>con</w:t>
      </w:r>
      <w:r>
        <w:rPr>
          <w:rFonts w:ascii="Calibri" w:hAnsi="Calibri"/>
          <w:spacing w:val="-8"/>
          <w:sz w:val="20"/>
        </w:rPr>
        <w:t> </w:t>
      </w:r>
      <w:r>
        <w:rPr>
          <w:rFonts w:ascii="Calibri" w:hAnsi="Calibri"/>
          <w:sz w:val="20"/>
        </w:rPr>
        <w:t>el</w:t>
      </w:r>
      <w:r>
        <w:rPr>
          <w:rFonts w:ascii="Calibri" w:hAnsi="Calibri"/>
          <w:spacing w:val="-6"/>
          <w:sz w:val="20"/>
        </w:rPr>
        <w:t> </w:t>
      </w:r>
      <w:r>
        <w:rPr>
          <w:rFonts w:ascii="Calibri" w:hAnsi="Calibri"/>
          <w:sz w:val="20"/>
        </w:rPr>
        <w:t>ámbito</w:t>
      </w:r>
      <w:r>
        <w:rPr>
          <w:rFonts w:ascii="Calibri" w:hAnsi="Calibri"/>
          <w:spacing w:val="-2"/>
          <w:sz w:val="20"/>
        </w:rPr>
        <w:t> </w:t>
      </w:r>
      <w:r>
        <w:rPr>
          <w:rFonts w:ascii="Calibri" w:hAnsi="Calibri"/>
          <w:sz w:val="20"/>
        </w:rPr>
        <w:t>del</w:t>
      </w:r>
      <w:r>
        <w:rPr>
          <w:rFonts w:ascii="Calibri" w:hAnsi="Calibri"/>
          <w:spacing w:val="-7"/>
          <w:sz w:val="20"/>
        </w:rPr>
        <w:t> </w:t>
      </w:r>
      <w:r>
        <w:rPr>
          <w:rFonts w:ascii="Calibri" w:hAnsi="Calibri"/>
          <w:sz w:val="20"/>
        </w:rPr>
        <w:t>contrato,</w:t>
      </w:r>
      <w:r>
        <w:rPr>
          <w:rFonts w:ascii="Calibri" w:hAnsi="Calibri"/>
          <w:spacing w:val="-8"/>
          <w:sz w:val="20"/>
        </w:rPr>
        <w:t> </w:t>
      </w:r>
      <w:r>
        <w:rPr>
          <w:rFonts w:ascii="Calibri" w:hAnsi="Calibri"/>
          <w:sz w:val="20"/>
        </w:rPr>
        <w:t>se</w:t>
      </w:r>
      <w:r>
        <w:rPr>
          <w:rFonts w:ascii="Calibri" w:hAnsi="Calibri"/>
          <w:spacing w:val="-7"/>
          <w:sz w:val="20"/>
        </w:rPr>
        <w:t> </w:t>
      </w:r>
      <w:r>
        <w:rPr>
          <w:rFonts w:ascii="Calibri" w:hAnsi="Calibri"/>
          <w:sz w:val="20"/>
        </w:rPr>
        <w:t>amplió la</w:t>
      </w:r>
      <w:r>
        <w:rPr>
          <w:rFonts w:ascii="Calibri" w:hAnsi="Calibri"/>
          <w:spacing w:val="-6"/>
          <w:sz w:val="20"/>
        </w:rPr>
        <w:t> </w:t>
      </w:r>
      <w:r>
        <w:rPr>
          <w:rFonts w:ascii="Calibri" w:hAnsi="Calibri"/>
          <w:sz w:val="20"/>
        </w:rPr>
        <w:t>cobertura</w:t>
      </w:r>
      <w:r>
        <w:rPr>
          <w:rFonts w:ascii="Calibri" w:hAnsi="Calibri"/>
          <w:spacing w:val="-5"/>
          <w:sz w:val="20"/>
        </w:rPr>
        <w:t> </w:t>
      </w:r>
      <w:r>
        <w:rPr>
          <w:rFonts w:ascii="Calibri" w:hAnsi="Calibri"/>
          <w:sz w:val="20"/>
        </w:rPr>
        <w:t>del sistema sin tener que adquirir nuevos dispositivos, mejorando la eficiencia en el uso de los fondos</w:t>
      </w:r>
      <w:r>
        <w:rPr>
          <w:rFonts w:ascii="Calibri" w:hAnsi="Calibri"/>
          <w:spacing w:val="-3"/>
          <w:sz w:val="20"/>
        </w:rPr>
        <w:t> </w:t>
      </w:r>
      <w:r>
        <w:rPr>
          <w:rFonts w:ascii="Calibri" w:hAnsi="Calibri"/>
          <w:sz w:val="20"/>
        </w:rPr>
        <w:t>públicos.</w:t>
      </w:r>
    </w:p>
    <w:p>
      <w:pPr>
        <w:spacing w:line="254" w:lineRule="auto" w:before="145"/>
        <w:ind w:left="1925" w:right="2021" w:firstLine="0"/>
        <w:jc w:val="both"/>
        <w:rPr>
          <w:rFonts w:ascii="Calibri" w:hAnsi="Calibri"/>
          <w:sz w:val="20"/>
        </w:rPr>
      </w:pPr>
      <w:r>
        <w:rPr>
          <w:rFonts w:ascii="Calibri" w:hAnsi="Calibri"/>
          <w:sz w:val="20"/>
        </w:rPr>
        <w:t>3º En cuanto a la tercera observación del Tribunal (sustitución del tipo de pantallas por otras disponibles</w:t>
      </w:r>
      <w:r>
        <w:rPr>
          <w:rFonts w:ascii="Calibri" w:hAnsi="Calibri"/>
          <w:spacing w:val="18"/>
          <w:sz w:val="20"/>
        </w:rPr>
        <w:t> </w:t>
      </w:r>
      <w:r>
        <w:rPr>
          <w:rFonts w:ascii="Calibri" w:hAnsi="Calibri"/>
          <w:sz w:val="20"/>
        </w:rPr>
        <w:t>del</w:t>
      </w:r>
      <w:r>
        <w:rPr>
          <w:rFonts w:ascii="Calibri" w:hAnsi="Calibri"/>
          <w:spacing w:val="22"/>
          <w:sz w:val="20"/>
        </w:rPr>
        <w:t> </w:t>
      </w:r>
      <w:r>
        <w:rPr>
          <w:rFonts w:ascii="Calibri" w:hAnsi="Calibri"/>
          <w:sz w:val="20"/>
        </w:rPr>
        <w:t>contratista</w:t>
      </w:r>
      <w:r>
        <w:rPr>
          <w:rFonts w:ascii="Calibri" w:hAnsi="Calibri"/>
          <w:spacing w:val="18"/>
          <w:sz w:val="20"/>
        </w:rPr>
        <w:t> </w:t>
      </w:r>
      <w:r>
        <w:rPr>
          <w:rFonts w:ascii="Calibri" w:hAnsi="Calibri"/>
          <w:sz w:val="20"/>
        </w:rPr>
        <w:t>al</w:t>
      </w:r>
      <w:r>
        <w:rPr>
          <w:rFonts w:ascii="Calibri" w:hAnsi="Calibri"/>
          <w:spacing w:val="19"/>
          <w:sz w:val="20"/>
        </w:rPr>
        <w:t> </w:t>
      </w:r>
      <w:r>
        <w:rPr>
          <w:rFonts w:ascii="Calibri" w:hAnsi="Calibri"/>
          <w:sz w:val="20"/>
        </w:rPr>
        <w:t>no</w:t>
      </w:r>
      <w:r>
        <w:rPr>
          <w:rFonts w:ascii="Calibri" w:hAnsi="Calibri"/>
          <w:spacing w:val="20"/>
          <w:sz w:val="20"/>
        </w:rPr>
        <w:t> </w:t>
      </w:r>
      <w:r>
        <w:rPr>
          <w:rFonts w:ascii="Calibri" w:hAnsi="Calibri"/>
          <w:sz w:val="20"/>
        </w:rPr>
        <w:t>poder</w:t>
      </w:r>
      <w:r>
        <w:rPr>
          <w:rFonts w:ascii="Calibri" w:hAnsi="Calibri"/>
          <w:spacing w:val="17"/>
          <w:sz w:val="20"/>
        </w:rPr>
        <w:t> </w:t>
      </w:r>
      <w:r>
        <w:rPr>
          <w:rFonts w:ascii="Calibri" w:hAnsi="Calibri"/>
          <w:sz w:val="20"/>
        </w:rPr>
        <w:t>fabricarse</w:t>
      </w:r>
      <w:r>
        <w:rPr>
          <w:rFonts w:ascii="Calibri" w:hAnsi="Calibri"/>
          <w:spacing w:val="18"/>
          <w:sz w:val="20"/>
        </w:rPr>
        <w:t> </w:t>
      </w:r>
      <w:r>
        <w:rPr>
          <w:rFonts w:ascii="Calibri" w:hAnsi="Calibri"/>
          <w:sz w:val="20"/>
        </w:rPr>
        <w:t>a</w:t>
      </w:r>
      <w:r>
        <w:rPr>
          <w:rFonts w:ascii="Calibri" w:hAnsi="Calibri"/>
          <w:spacing w:val="18"/>
          <w:sz w:val="20"/>
        </w:rPr>
        <w:t> </w:t>
      </w:r>
      <w:r>
        <w:rPr>
          <w:rFonts w:ascii="Calibri" w:hAnsi="Calibri"/>
          <w:sz w:val="20"/>
        </w:rPr>
        <w:t>tiempo</w:t>
      </w:r>
      <w:r>
        <w:rPr>
          <w:rFonts w:ascii="Calibri" w:hAnsi="Calibri"/>
          <w:spacing w:val="20"/>
          <w:sz w:val="20"/>
        </w:rPr>
        <w:t> </w:t>
      </w:r>
      <w:r>
        <w:rPr>
          <w:rFonts w:ascii="Calibri" w:hAnsi="Calibri"/>
          <w:sz w:val="20"/>
        </w:rPr>
        <w:t>las</w:t>
      </w:r>
      <w:r>
        <w:rPr>
          <w:rFonts w:ascii="Calibri" w:hAnsi="Calibri"/>
          <w:spacing w:val="17"/>
          <w:sz w:val="20"/>
        </w:rPr>
        <w:t> </w:t>
      </w:r>
      <w:r>
        <w:rPr>
          <w:rFonts w:ascii="Calibri" w:hAnsi="Calibri"/>
          <w:sz w:val="20"/>
        </w:rPr>
        <w:t>originales), esta modificación</w:t>
      </w:r>
    </w:p>
    <w:p>
      <w:pPr>
        <w:pStyle w:val="BodyText"/>
        <w:rPr>
          <w:rFonts w:ascii="Calibri"/>
          <w:sz w:val="20"/>
        </w:rPr>
      </w:pPr>
    </w:p>
    <w:p>
      <w:pPr>
        <w:pStyle w:val="BodyText"/>
        <w:spacing w:before="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183" name="Group 1183"/>
                <wp:cNvGraphicFramePr>
                  <a:graphicFrameLocks/>
                </wp:cNvGraphicFramePr>
                <a:graphic>
                  <a:graphicData uri="http://schemas.microsoft.com/office/word/2010/wordprocessingGroup">
                    <wpg:wgp>
                      <wpg:cNvPr id="1183" name="Group 1183"/>
                      <wpg:cNvGrpSpPr/>
                      <wpg:grpSpPr>
                        <a:xfrm>
                          <a:off x="0" y="0"/>
                          <a:ext cx="1870075" cy="6350"/>
                          <a:chExt cx="1870075" cy="6350"/>
                        </a:xfrm>
                      </wpg:grpSpPr>
                      <wps:wsp>
                        <wps:cNvPr id="1184" name="Graphic 1184"/>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877" coordorigin="0,0" coordsize="2945,10">
                <v:rect style="position:absolute;left:0;top:0;width:2945;height:10" id="docshape878"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185" name="Group 1185"/>
                <wp:cNvGraphicFramePr>
                  <a:graphicFrameLocks/>
                </wp:cNvGraphicFramePr>
                <a:graphic>
                  <a:graphicData uri="http://schemas.microsoft.com/office/word/2010/wordprocessingGroup">
                    <wpg:wgp>
                      <wpg:cNvPr id="1185" name="Group 1185"/>
                      <wpg:cNvGrpSpPr/>
                      <wpg:grpSpPr>
                        <a:xfrm>
                          <a:off x="0" y="0"/>
                          <a:ext cx="841375" cy="6350"/>
                          <a:chExt cx="841375" cy="6350"/>
                        </a:xfrm>
                      </wpg:grpSpPr>
                      <wps:wsp>
                        <wps:cNvPr id="1186" name="Graphic 1186"/>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879" coordorigin="0,0" coordsize="1325,10">
                <v:rect style="position:absolute;left:0;top:0;width:1325;height:10" id="docshape880"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49"/>
          <w:headerReference w:type="default" r:id="rId250"/>
          <w:footerReference w:type="even" r:id="rId251"/>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92064">
                <wp:simplePos x="0" y="0"/>
                <wp:positionH relativeFrom="page">
                  <wp:posOffset>4332186</wp:posOffset>
                </wp:positionH>
                <wp:positionV relativeFrom="paragraph">
                  <wp:posOffset>1412477</wp:posOffset>
                </wp:positionV>
                <wp:extent cx="53340" cy="100330"/>
                <wp:effectExtent l="0" t="0" r="0" b="0"/>
                <wp:wrapNone/>
                <wp:docPr id="1187" name="Textbox 1187"/>
                <wp:cNvGraphicFramePr>
                  <a:graphicFrameLocks/>
                </wp:cNvGraphicFramePr>
                <a:graphic>
                  <a:graphicData uri="http://schemas.microsoft.com/office/word/2010/wordprocessingShape">
                    <wps:wsp>
                      <wps:cNvPr id="1187" name="Textbox 1187"/>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24416" type="#_x0000_t202" id="docshape881"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390"/>
        <w:gridCol w:w="2408"/>
        <w:gridCol w:w="770"/>
        <w:gridCol w:w="541"/>
        <w:gridCol w:w="1022"/>
        <w:gridCol w:w="817"/>
        <w:gridCol w:w="1247"/>
        <w:gridCol w:w="1124"/>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390" w:type="dxa"/>
            <w:tcBorders>
              <w:left w:val="single" w:sz="6" w:space="0" w:color="000000"/>
              <w:bottom w:val="single" w:sz="6" w:space="0" w:color="000000"/>
              <w:right w:val="nil"/>
            </w:tcBorders>
          </w:tcPr>
          <w:p>
            <w:pPr>
              <w:pStyle w:val="TableParagraph"/>
              <w:rPr>
                <w:rFonts w:ascii="Times New Roman"/>
                <w:sz w:val="14"/>
              </w:rPr>
            </w:pPr>
          </w:p>
        </w:tc>
        <w:tc>
          <w:tcPr>
            <w:tcW w:w="2408"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11"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188" name="Image 1188"/>
                  <wp:cNvGraphicFramePr>
                    <a:graphicFrameLocks/>
                  </wp:cNvGraphicFramePr>
                  <a:graphic>
                    <a:graphicData uri="http://schemas.openxmlformats.org/drawingml/2006/picture">
                      <pic:pic>
                        <pic:nvPicPr>
                          <pic:cNvPr id="1188" name="Image 118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189" name="Image 1189"/>
                  <wp:cNvGraphicFramePr>
                    <a:graphicFrameLocks/>
                  </wp:cNvGraphicFramePr>
                  <a:graphic>
                    <a:graphicData uri="http://schemas.openxmlformats.org/drawingml/2006/picture">
                      <pic:pic>
                        <pic:nvPicPr>
                          <pic:cNvPr id="1189" name="Image 118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24" w:type="dxa"/>
            <w:vMerge w:val="restart"/>
            <w:tcBorders>
              <w:top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392576">
                      <wp:simplePos x="0" y="0"/>
                      <wp:positionH relativeFrom="column">
                        <wp:posOffset>-1298447</wp:posOffset>
                      </wp:positionH>
                      <wp:positionV relativeFrom="paragraph">
                        <wp:posOffset>-144895</wp:posOffset>
                      </wp:positionV>
                      <wp:extent cx="1298575" cy="417830"/>
                      <wp:effectExtent l="0" t="0" r="0" b="0"/>
                      <wp:wrapNone/>
                      <wp:docPr id="1190" name="Group 1190"/>
                      <wp:cNvGraphicFramePr>
                        <a:graphicFrameLocks/>
                      </wp:cNvGraphicFramePr>
                      <a:graphic>
                        <a:graphicData uri="http://schemas.microsoft.com/office/word/2010/wordprocessingGroup">
                          <wpg:wgp>
                            <wpg:cNvPr id="1190" name="Group 1190"/>
                            <wpg:cNvGrpSpPr/>
                            <wpg:grpSpPr>
                              <a:xfrm>
                                <a:off x="0" y="0"/>
                                <a:ext cx="1298575" cy="417830"/>
                                <a:chExt cx="1298575" cy="417830"/>
                              </a:xfrm>
                            </wpg:grpSpPr>
                            <wps:wsp>
                              <wps:cNvPr id="1191" name="Graphic 1191"/>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192" name="Image 1192"/>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23904" id="docshapegroup882" coordorigin="-2045,-228" coordsize="2045,658">
                      <v:shape style="position:absolute;left:-2045;top:-229;width:2045;height:658" id="docshape883" coordorigin="-2045,-228" coordsize="2045,658" path="m0,-228l-2045,-228,-2045,-10,-2045,-7,-2045,429,0,429,0,-7,0,-10,0,-228xe" filled="true" fillcolor="#cccccc" stroked="false">
                        <v:path arrowok="t"/>
                        <v:fill type="solid"/>
                      </v:shape>
                      <v:shape style="position:absolute;left:-1973;top:-154;width:1896;height:327" type="#_x0000_t75" id="docshape884"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24"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193" name="Image 1193"/>
                  <wp:cNvGraphicFramePr>
                    <a:graphicFrameLocks/>
                  </wp:cNvGraphicFramePr>
                  <a:graphic>
                    <a:graphicData uri="http://schemas.openxmlformats.org/drawingml/2006/picture">
                      <pic:pic>
                        <pic:nvPicPr>
                          <pic:cNvPr id="1193" name="Image 119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194" name="Image 1194"/>
                  <wp:cNvGraphicFramePr>
                    <a:graphicFrameLocks/>
                  </wp:cNvGraphicFramePr>
                  <a:graphic>
                    <a:graphicData uri="http://schemas.openxmlformats.org/drawingml/2006/picture">
                      <pic:pic>
                        <pic:nvPicPr>
                          <pic:cNvPr id="1194" name="Image 1194"/>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2"/>
              <w:jc w:val="center"/>
              <w:rPr>
                <w:rFonts w:ascii="Arial"/>
                <w:sz w:val="14"/>
              </w:rPr>
            </w:pPr>
            <w:r>
              <w:rPr>
                <w:rFonts w:ascii="Arial"/>
                <w:sz w:val="14"/>
              </w:rPr>
              <mc:AlternateContent>
                <mc:Choice Requires="wps">
                  <w:drawing>
                    <wp:anchor distT="0" distB="0" distL="0" distR="0" allowOverlap="1" layoutInCell="1" locked="0" behindDoc="1" simplePos="0" relativeHeight="474393088">
                      <wp:simplePos x="0" y="0"/>
                      <wp:positionH relativeFrom="column">
                        <wp:posOffset>1320546</wp:posOffset>
                      </wp:positionH>
                      <wp:positionV relativeFrom="paragraph">
                        <wp:posOffset>-311719</wp:posOffset>
                      </wp:positionV>
                      <wp:extent cx="734695" cy="753110"/>
                      <wp:effectExtent l="0" t="0" r="0" b="0"/>
                      <wp:wrapNone/>
                      <wp:docPr id="1195" name="Group 1195"/>
                      <wp:cNvGraphicFramePr>
                        <a:graphicFrameLocks/>
                      </wp:cNvGraphicFramePr>
                      <a:graphic>
                        <a:graphicData uri="http://schemas.microsoft.com/office/word/2010/wordprocessingGroup">
                          <wpg:wgp>
                            <wpg:cNvPr id="1195" name="Group 1195"/>
                            <wpg:cNvGrpSpPr/>
                            <wpg:grpSpPr>
                              <a:xfrm>
                                <a:off x="0" y="0"/>
                                <a:ext cx="734695" cy="753110"/>
                                <a:chExt cx="734695" cy="753110"/>
                              </a:xfrm>
                            </wpg:grpSpPr>
                            <pic:pic>
                              <pic:nvPicPr>
                                <pic:cNvPr id="1196" name="Image 1196"/>
                                <pic:cNvPicPr/>
                              </pic:nvPicPr>
                              <pic:blipFill>
                                <a:blip r:embed="rId252" cstate="print"/>
                                <a:stretch>
                                  <a:fillRect/>
                                </a:stretch>
                              </pic:blipFill>
                              <pic:spPr>
                                <a:xfrm>
                                  <a:off x="0" y="0"/>
                                  <a:ext cx="734567" cy="752840"/>
                                </a:xfrm>
                                <a:prstGeom prst="rect">
                                  <a:avLst/>
                                </a:prstGeom>
                              </pic:spPr>
                            </pic:pic>
                            <wps:wsp>
                              <wps:cNvPr id="1197" name="Graphic 1197"/>
                              <wps:cNvSpPr/>
                              <wps:spPr>
                                <a:xfrm>
                                  <a:off x="35534" y="50162"/>
                                  <a:ext cx="669925" cy="669925"/>
                                </a:xfrm>
                                <a:custGeom>
                                  <a:avLst/>
                                  <a:gdLst/>
                                  <a:ahLst/>
                                  <a:cxnLst/>
                                  <a:rect l="l" t="t" r="r" b="b"/>
                                  <a:pathLst>
                                    <a:path w="669925" h="669925">
                                      <a:moveTo>
                                        <a:pt x="669556" y="0"/>
                                      </a:moveTo>
                                      <a:lnTo>
                                        <a:pt x="0" y="0"/>
                                      </a:lnTo>
                                      <a:lnTo>
                                        <a:pt x="0" y="669493"/>
                                      </a:lnTo>
                                      <a:lnTo>
                                        <a:pt x="669556" y="669493"/>
                                      </a:lnTo>
                                      <a:lnTo>
                                        <a:pt x="669556"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923392" id="docshapegroup885" coordorigin="2080,-491" coordsize="1157,1186">
                      <v:shape style="position:absolute;left:2079;top:-491;width:1157;height:1186" type="#_x0000_t75" id="docshape886" stroked="false">
                        <v:imagedata r:id="rId252" o:title=""/>
                      </v:shape>
                      <v:rect style="position:absolute;left:2135;top:-412;width:1055;height:1055" id="docshape887" filled="true" fillcolor="#000000" stroked="false">
                        <v:fill type="solid"/>
                      </v:rect>
                      <w10:wrap type="none"/>
                    </v:group>
                  </w:pict>
                </mc:Fallback>
              </mc:AlternateContent>
            </w:r>
            <w:r>
              <w:rPr>
                <w:rFonts w:ascii="Arial"/>
                <w:spacing w:val="-2"/>
                <w:sz w:val="14"/>
              </w:rPr>
              <w:t>16/40</w:t>
            </w:r>
          </w:p>
        </w:tc>
        <w:tc>
          <w:tcPr>
            <w:tcW w:w="1124"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198" name="Image 1198"/>
                  <wp:cNvGraphicFramePr>
                    <a:graphicFrameLocks/>
                  </wp:cNvGraphicFramePr>
                  <a:graphic>
                    <a:graphicData uri="http://schemas.openxmlformats.org/drawingml/2006/picture">
                      <pic:pic>
                        <pic:nvPicPr>
                          <pic:cNvPr id="1198" name="Image 1198"/>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124" w:type="dxa"/>
            <w:vMerge/>
            <w:tcBorders>
              <w:top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199" name="Image 1199"/>
                  <wp:cNvGraphicFramePr>
                    <a:graphicFrameLocks/>
                  </wp:cNvGraphicFramePr>
                  <a:graphic>
                    <a:graphicData uri="http://schemas.openxmlformats.org/drawingml/2006/picture">
                      <pic:pic>
                        <pic:nvPicPr>
                          <pic:cNvPr id="1199" name="Image 1199"/>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24" w:type="dxa"/>
            <w:vMerge/>
            <w:tcBorders>
              <w:top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1925" w:right="2018" w:firstLine="0"/>
        <w:jc w:val="both"/>
        <w:rPr>
          <w:rFonts w:ascii="Calibri" w:hAnsi="Calibri"/>
          <w:sz w:val="20"/>
        </w:rPr>
      </w:pPr>
      <w:r>
        <w:rPr>
          <w:rFonts w:ascii="Calibri" w:hAnsi="Calibri"/>
          <w:sz w:val="20"/>
        </w:rPr>
        <w:t>también se encuentra técnica y jurídicamente justificada. Y ello porque, durante 2024 se evidenció que el modelo concreto de pantalla electrónica previsto en el contrato enfrentaba problemas de fabricación y suministro en plazo, por causas ajenas a esta entidad (problemas de producción del fabricante, posiblemente ligados a la situación del mercado de componentes, que no eran previsibles de antemano por un gestor diligente). Ante esta situación sobrevenida, y con el fin de cumplir los plazos comprometidos (recordemos que la ejecución debía finalizar en 2024 conforme a la ampliación autorizada), se decidió aceptar la instalación</w:t>
      </w:r>
      <w:r>
        <w:rPr>
          <w:rFonts w:ascii="Calibri" w:hAnsi="Calibri"/>
          <w:spacing w:val="-1"/>
          <w:sz w:val="20"/>
        </w:rPr>
        <w:t> </w:t>
      </w:r>
      <w:r>
        <w:rPr>
          <w:rFonts w:ascii="Calibri" w:hAnsi="Calibri"/>
          <w:sz w:val="20"/>
        </w:rPr>
        <w:t>de</w:t>
      </w:r>
      <w:r>
        <w:rPr>
          <w:rFonts w:ascii="Calibri" w:hAnsi="Calibri"/>
          <w:spacing w:val="-1"/>
          <w:sz w:val="20"/>
        </w:rPr>
        <w:t> </w:t>
      </w:r>
      <w:r>
        <w:rPr>
          <w:rFonts w:ascii="Calibri" w:hAnsi="Calibri"/>
          <w:sz w:val="20"/>
        </w:rPr>
        <w:t>otro</w:t>
      </w:r>
      <w:r>
        <w:rPr>
          <w:rFonts w:ascii="Calibri" w:hAnsi="Calibri"/>
          <w:spacing w:val="-1"/>
          <w:sz w:val="20"/>
        </w:rPr>
        <w:t> </w:t>
      </w:r>
      <w:r>
        <w:rPr>
          <w:rFonts w:ascii="Calibri" w:hAnsi="Calibri"/>
          <w:sz w:val="20"/>
        </w:rPr>
        <w:t>modelo de pantalla, proporcionado por la empresa contratista, que estaba disponible de inmediato. Esta pantalla alternativa contaba con especificaciones técnicas equivalentes</w:t>
      </w:r>
      <w:r>
        <w:rPr>
          <w:rFonts w:ascii="Calibri" w:hAnsi="Calibri"/>
          <w:spacing w:val="-3"/>
          <w:sz w:val="20"/>
        </w:rPr>
        <w:t> </w:t>
      </w:r>
      <w:r>
        <w:rPr>
          <w:rFonts w:ascii="Calibri" w:hAnsi="Calibri"/>
          <w:sz w:val="20"/>
        </w:rPr>
        <w:t>a</w:t>
      </w:r>
      <w:r>
        <w:rPr>
          <w:rFonts w:ascii="Calibri" w:hAnsi="Calibri"/>
          <w:spacing w:val="-3"/>
          <w:sz w:val="20"/>
        </w:rPr>
        <w:t> </w:t>
      </w:r>
      <w:r>
        <w:rPr>
          <w:rFonts w:ascii="Calibri" w:hAnsi="Calibri"/>
          <w:sz w:val="20"/>
        </w:rPr>
        <w:t>las</w:t>
      </w:r>
      <w:r>
        <w:rPr>
          <w:rFonts w:ascii="Calibri" w:hAnsi="Calibri"/>
          <w:spacing w:val="-4"/>
          <w:sz w:val="20"/>
        </w:rPr>
        <w:t> </w:t>
      </w:r>
      <w:r>
        <w:rPr>
          <w:rFonts w:ascii="Calibri" w:hAnsi="Calibri"/>
          <w:sz w:val="20"/>
        </w:rPr>
        <w:t>originalmente licitadas,</w:t>
      </w:r>
      <w:r>
        <w:rPr>
          <w:rFonts w:ascii="Calibri" w:hAnsi="Calibri"/>
          <w:spacing w:val="-3"/>
          <w:sz w:val="20"/>
        </w:rPr>
        <w:t> </w:t>
      </w:r>
      <w:r>
        <w:rPr>
          <w:rFonts w:ascii="Calibri" w:hAnsi="Calibri"/>
          <w:sz w:val="20"/>
        </w:rPr>
        <w:t>cumpliendo</w:t>
      </w:r>
      <w:r>
        <w:rPr>
          <w:rFonts w:ascii="Calibri" w:hAnsi="Calibri"/>
          <w:spacing w:val="-1"/>
          <w:sz w:val="20"/>
        </w:rPr>
        <w:t> </w:t>
      </w:r>
      <w:r>
        <w:rPr>
          <w:rFonts w:ascii="Calibri" w:hAnsi="Calibri"/>
          <w:sz w:val="20"/>
        </w:rPr>
        <w:t>por</w:t>
      </w:r>
      <w:r>
        <w:rPr>
          <w:rFonts w:ascii="Calibri" w:hAnsi="Calibri"/>
          <w:spacing w:val="-3"/>
          <w:sz w:val="20"/>
        </w:rPr>
        <w:t> </w:t>
      </w:r>
      <w:r>
        <w:rPr>
          <w:rFonts w:ascii="Calibri" w:hAnsi="Calibri"/>
          <w:sz w:val="20"/>
        </w:rPr>
        <w:t>tanto</w:t>
      </w:r>
      <w:r>
        <w:rPr>
          <w:rFonts w:ascii="Calibri" w:hAnsi="Calibri"/>
          <w:spacing w:val="-3"/>
          <w:sz w:val="20"/>
        </w:rPr>
        <w:t> </w:t>
      </w:r>
      <w:r>
        <w:rPr>
          <w:rFonts w:ascii="Calibri" w:hAnsi="Calibri"/>
          <w:sz w:val="20"/>
        </w:rPr>
        <w:t>las</w:t>
      </w:r>
      <w:r>
        <w:rPr>
          <w:rFonts w:ascii="Calibri" w:hAnsi="Calibri"/>
          <w:spacing w:val="-6"/>
          <w:sz w:val="20"/>
        </w:rPr>
        <w:t> </w:t>
      </w:r>
      <w:r>
        <w:rPr>
          <w:rFonts w:ascii="Calibri" w:hAnsi="Calibri"/>
          <w:sz w:val="20"/>
        </w:rPr>
        <w:t>prescripciones</w:t>
      </w:r>
      <w:r>
        <w:rPr>
          <w:rFonts w:ascii="Calibri" w:hAnsi="Calibri"/>
          <w:spacing w:val="-3"/>
          <w:sz w:val="20"/>
        </w:rPr>
        <w:t> </w:t>
      </w:r>
      <w:r>
        <w:rPr>
          <w:rFonts w:ascii="Calibri" w:hAnsi="Calibri"/>
          <w:sz w:val="20"/>
        </w:rPr>
        <w:t>funcionales requeridas. No supuso coste adicional ni modificación de las condiciones esenciales del contrato, sino únicamente un cambio de referencia técnica para garantizar la correcta prestación del servicio en tiempo y forma. Desde el punto de vista legal, esta sustitución de unidades de suministro está contemplada como una variación admisible que no altera la naturaleza global del contrato, al mantenerse el objeto (pantallas informativas) y sus funcionalidades. Además, se cumple lo dispuesto en el art. 111.2.b) RDL 3/2020: la necesidad de cambio derivó de circunstancias imprevisibles (ajenas al poder de previsión del órgano de contratación),</w:t>
      </w:r>
      <w:r>
        <w:rPr>
          <w:rFonts w:ascii="Calibri" w:hAnsi="Calibri"/>
          <w:spacing w:val="-8"/>
          <w:sz w:val="20"/>
        </w:rPr>
        <w:t> </w:t>
      </w:r>
      <w:r>
        <w:rPr>
          <w:rFonts w:ascii="Calibri" w:hAnsi="Calibri"/>
          <w:sz w:val="20"/>
        </w:rPr>
        <w:t>no</w:t>
      </w:r>
      <w:r>
        <w:rPr>
          <w:rFonts w:ascii="Calibri" w:hAnsi="Calibri"/>
          <w:spacing w:val="-5"/>
          <w:sz w:val="20"/>
        </w:rPr>
        <w:t> </w:t>
      </w:r>
      <w:r>
        <w:rPr>
          <w:rFonts w:ascii="Calibri" w:hAnsi="Calibri"/>
          <w:sz w:val="20"/>
        </w:rPr>
        <w:t>alteró</w:t>
      </w:r>
      <w:r>
        <w:rPr>
          <w:rFonts w:ascii="Calibri" w:hAnsi="Calibri"/>
          <w:spacing w:val="-7"/>
          <w:sz w:val="20"/>
        </w:rPr>
        <w:t> </w:t>
      </w:r>
      <w:r>
        <w:rPr>
          <w:rFonts w:ascii="Calibri" w:hAnsi="Calibri"/>
          <w:sz w:val="20"/>
        </w:rPr>
        <w:t>la</w:t>
      </w:r>
      <w:r>
        <w:rPr>
          <w:rFonts w:ascii="Calibri" w:hAnsi="Calibri"/>
          <w:spacing w:val="-8"/>
          <w:sz w:val="20"/>
        </w:rPr>
        <w:t> </w:t>
      </w:r>
      <w:r>
        <w:rPr>
          <w:rFonts w:ascii="Calibri" w:hAnsi="Calibri"/>
          <w:sz w:val="20"/>
        </w:rPr>
        <w:t>naturaleza</w:t>
      </w:r>
      <w:r>
        <w:rPr>
          <w:rFonts w:ascii="Calibri" w:hAnsi="Calibri"/>
          <w:spacing w:val="-9"/>
          <w:sz w:val="20"/>
        </w:rPr>
        <w:t> </w:t>
      </w:r>
      <w:r>
        <w:rPr>
          <w:rFonts w:ascii="Calibri" w:hAnsi="Calibri"/>
          <w:sz w:val="20"/>
        </w:rPr>
        <w:t>ni</w:t>
      </w:r>
      <w:r>
        <w:rPr>
          <w:rFonts w:ascii="Calibri" w:hAnsi="Calibri"/>
          <w:spacing w:val="-7"/>
          <w:sz w:val="20"/>
        </w:rPr>
        <w:t> </w:t>
      </w:r>
      <w:r>
        <w:rPr>
          <w:rFonts w:ascii="Calibri" w:hAnsi="Calibri"/>
          <w:sz w:val="20"/>
        </w:rPr>
        <w:t>el</w:t>
      </w:r>
      <w:r>
        <w:rPr>
          <w:rFonts w:ascii="Calibri" w:hAnsi="Calibri"/>
          <w:spacing w:val="-6"/>
          <w:sz w:val="20"/>
        </w:rPr>
        <w:t> </w:t>
      </w:r>
      <w:r>
        <w:rPr>
          <w:rFonts w:ascii="Calibri" w:hAnsi="Calibri"/>
          <w:sz w:val="20"/>
        </w:rPr>
        <w:t>alcance</w:t>
      </w:r>
      <w:r>
        <w:rPr>
          <w:rFonts w:ascii="Calibri" w:hAnsi="Calibri"/>
          <w:spacing w:val="-6"/>
          <w:sz w:val="20"/>
        </w:rPr>
        <w:t> </w:t>
      </w:r>
      <w:r>
        <w:rPr>
          <w:rFonts w:ascii="Calibri" w:hAnsi="Calibri"/>
          <w:sz w:val="20"/>
        </w:rPr>
        <w:t>fundamental</w:t>
      </w:r>
      <w:r>
        <w:rPr>
          <w:rFonts w:ascii="Calibri" w:hAnsi="Calibri"/>
          <w:spacing w:val="-10"/>
          <w:sz w:val="20"/>
        </w:rPr>
        <w:t> </w:t>
      </w:r>
      <w:r>
        <w:rPr>
          <w:rFonts w:ascii="Calibri" w:hAnsi="Calibri"/>
          <w:sz w:val="20"/>
        </w:rPr>
        <w:t>de</w:t>
      </w:r>
      <w:r>
        <w:rPr>
          <w:rFonts w:ascii="Calibri" w:hAnsi="Calibri"/>
          <w:spacing w:val="-6"/>
          <w:sz w:val="20"/>
        </w:rPr>
        <w:t> </w:t>
      </w:r>
      <w:r>
        <w:rPr>
          <w:rFonts w:ascii="Calibri" w:hAnsi="Calibri"/>
          <w:sz w:val="20"/>
        </w:rPr>
        <w:t>la</w:t>
      </w:r>
      <w:r>
        <w:rPr>
          <w:rFonts w:ascii="Calibri" w:hAnsi="Calibri"/>
          <w:spacing w:val="-10"/>
          <w:sz w:val="20"/>
        </w:rPr>
        <w:t> </w:t>
      </w:r>
      <w:r>
        <w:rPr>
          <w:rFonts w:ascii="Calibri" w:hAnsi="Calibri"/>
          <w:sz w:val="20"/>
        </w:rPr>
        <w:t>contratación,</w:t>
      </w:r>
      <w:r>
        <w:rPr>
          <w:rFonts w:ascii="Calibri" w:hAnsi="Calibri"/>
          <w:spacing w:val="-8"/>
          <w:sz w:val="20"/>
        </w:rPr>
        <w:t> </w:t>
      </w:r>
      <w:r>
        <w:rPr>
          <w:rFonts w:ascii="Calibri" w:hAnsi="Calibri"/>
          <w:sz w:val="20"/>
        </w:rPr>
        <w:t>y</w:t>
      </w:r>
      <w:r>
        <w:rPr>
          <w:rFonts w:ascii="Calibri" w:hAnsi="Calibri"/>
          <w:spacing w:val="-8"/>
          <w:sz w:val="20"/>
        </w:rPr>
        <w:t> </w:t>
      </w:r>
      <w:r>
        <w:rPr>
          <w:rFonts w:ascii="Calibri" w:hAnsi="Calibri"/>
          <w:sz w:val="20"/>
        </w:rPr>
        <w:t>no</w:t>
      </w:r>
      <w:r>
        <w:rPr>
          <w:rFonts w:ascii="Calibri" w:hAnsi="Calibri"/>
          <w:spacing w:val="-7"/>
          <w:sz w:val="20"/>
        </w:rPr>
        <w:t> </w:t>
      </w:r>
      <w:r>
        <w:rPr>
          <w:rFonts w:ascii="Calibri" w:hAnsi="Calibri"/>
          <w:sz w:val="20"/>
        </w:rPr>
        <w:t>implicó en ningún caso superar el 50% del presupuesto inicial. Quedó acreditado en el expediente, mediante el correspondiente informe técnico, que esta solución era estrictamente indispensable para asegurar la ejecución del contrato con éxito, dado el contexto de suministro. En resumen, se ha de insistir que el cambio de modelo fue una decisión técnica necesaria</w:t>
      </w:r>
      <w:r>
        <w:rPr>
          <w:rFonts w:ascii="Calibri" w:hAnsi="Calibri"/>
          <w:spacing w:val="-3"/>
          <w:sz w:val="20"/>
        </w:rPr>
        <w:t> </w:t>
      </w:r>
      <w:r>
        <w:rPr>
          <w:rFonts w:ascii="Calibri" w:hAnsi="Calibri"/>
          <w:sz w:val="20"/>
        </w:rPr>
        <w:t>y plenamente legítima, encaminada a</w:t>
      </w:r>
      <w:r>
        <w:rPr>
          <w:rFonts w:ascii="Calibri" w:hAnsi="Calibri"/>
          <w:spacing w:val="-3"/>
          <w:sz w:val="20"/>
        </w:rPr>
        <w:t> </w:t>
      </w:r>
      <w:r>
        <w:rPr>
          <w:rFonts w:ascii="Calibri" w:hAnsi="Calibri"/>
          <w:sz w:val="20"/>
        </w:rPr>
        <w:t>evitar retrasos o incumplimientos, sin</w:t>
      </w:r>
      <w:r>
        <w:rPr>
          <w:rFonts w:ascii="Calibri" w:hAnsi="Calibri"/>
          <w:spacing w:val="-3"/>
          <w:sz w:val="20"/>
        </w:rPr>
        <w:t> </w:t>
      </w:r>
      <w:r>
        <w:rPr>
          <w:rFonts w:ascii="Calibri" w:hAnsi="Calibri"/>
          <w:sz w:val="20"/>
        </w:rPr>
        <w:t>con</w:t>
      </w:r>
      <w:r>
        <w:rPr>
          <w:rFonts w:ascii="Calibri" w:hAnsi="Calibri"/>
          <w:spacing w:val="-2"/>
          <w:sz w:val="20"/>
        </w:rPr>
        <w:t> </w:t>
      </w:r>
      <w:r>
        <w:rPr>
          <w:rFonts w:ascii="Calibri" w:hAnsi="Calibri"/>
          <w:sz w:val="20"/>
        </w:rPr>
        <w:t>ello desnaturalizar el contrato ni vulnerar la igualdad de los licitadores (pues cualquier proveedor habría afrontado el mismo problema de abastecimiento y la solución adoptada fue neutra en términos económicos y competitivos).</w:t>
      </w:r>
    </w:p>
    <w:p>
      <w:pPr>
        <w:spacing w:line="256" w:lineRule="auto" w:before="154"/>
        <w:ind w:left="1925" w:right="2020" w:firstLine="0"/>
        <w:jc w:val="both"/>
        <w:rPr>
          <w:rFonts w:ascii="Calibri" w:hAnsi="Calibri"/>
          <w:sz w:val="20"/>
        </w:rPr>
      </w:pPr>
      <w:r>
        <w:rPr>
          <w:rFonts w:ascii="Calibri" w:hAnsi="Calibri"/>
          <w:sz w:val="20"/>
        </w:rPr>
        <w:t>4º Por último, se ha de destacar que un elemento transversal a estas modificaciones es el aprovechamiento de los fondos europeos Next Generation, enmarcados en el Plan de Recuperación, que financian este proyecto.</w:t>
      </w:r>
    </w:p>
    <w:p>
      <w:pPr>
        <w:spacing w:line="256" w:lineRule="auto" w:before="145"/>
        <w:ind w:left="1925" w:right="2019" w:firstLine="0"/>
        <w:jc w:val="both"/>
        <w:rPr>
          <w:rFonts w:ascii="Calibri" w:hAnsi="Calibri"/>
          <w:sz w:val="20"/>
        </w:rPr>
      </w:pPr>
      <w:r>
        <w:rPr>
          <w:rFonts w:ascii="Calibri" w:hAnsi="Calibri"/>
          <w:sz w:val="20"/>
        </w:rPr>
        <w:t>Conviene recordar que la propia licitación se vinculó desde un inicio a una subvención del Ministerio</w:t>
      </w:r>
      <w:r>
        <w:rPr>
          <w:rFonts w:ascii="Calibri" w:hAnsi="Calibri"/>
          <w:spacing w:val="-3"/>
          <w:sz w:val="20"/>
        </w:rPr>
        <w:t> </w:t>
      </w:r>
      <w:r>
        <w:rPr>
          <w:rFonts w:ascii="Calibri" w:hAnsi="Calibri"/>
          <w:sz w:val="20"/>
        </w:rPr>
        <w:t>de</w:t>
      </w:r>
      <w:r>
        <w:rPr>
          <w:rFonts w:ascii="Calibri" w:hAnsi="Calibri"/>
          <w:spacing w:val="-5"/>
          <w:sz w:val="20"/>
        </w:rPr>
        <w:t> </w:t>
      </w:r>
      <w:r>
        <w:rPr>
          <w:rFonts w:ascii="Calibri" w:hAnsi="Calibri"/>
          <w:sz w:val="20"/>
        </w:rPr>
        <w:t>Transportes,</w:t>
      </w:r>
      <w:r>
        <w:rPr>
          <w:rFonts w:ascii="Calibri" w:hAnsi="Calibri"/>
          <w:spacing w:val="-9"/>
          <w:sz w:val="20"/>
        </w:rPr>
        <w:t> </w:t>
      </w:r>
      <w:r>
        <w:rPr>
          <w:rFonts w:ascii="Calibri" w:hAnsi="Calibri"/>
          <w:sz w:val="20"/>
        </w:rPr>
        <w:t>Movilidad</w:t>
      </w:r>
      <w:r>
        <w:rPr>
          <w:rFonts w:ascii="Calibri" w:hAnsi="Calibri"/>
          <w:spacing w:val="-7"/>
          <w:sz w:val="20"/>
        </w:rPr>
        <w:t> </w:t>
      </w:r>
      <w:r>
        <w:rPr>
          <w:rFonts w:ascii="Calibri" w:hAnsi="Calibri"/>
          <w:sz w:val="20"/>
        </w:rPr>
        <w:t>y</w:t>
      </w:r>
      <w:r>
        <w:rPr>
          <w:rFonts w:ascii="Calibri" w:hAnsi="Calibri"/>
          <w:spacing w:val="-5"/>
          <w:sz w:val="20"/>
        </w:rPr>
        <w:t> </w:t>
      </w:r>
      <w:r>
        <w:rPr>
          <w:rFonts w:ascii="Calibri" w:hAnsi="Calibri"/>
          <w:sz w:val="20"/>
        </w:rPr>
        <w:t>Agenda</w:t>
      </w:r>
      <w:r>
        <w:rPr>
          <w:rFonts w:ascii="Calibri" w:hAnsi="Calibri"/>
          <w:spacing w:val="-5"/>
          <w:sz w:val="20"/>
        </w:rPr>
        <w:t> </w:t>
      </w:r>
      <w:r>
        <w:rPr>
          <w:rFonts w:ascii="Calibri" w:hAnsi="Calibri"/>
          <w:sz w:val="20"/>
        </w:rPr>
        <w:t>Urbana</w:t>
      </w:r>
      <w:r>
        <w:rPr>
          <w:rFonts w:ascii="Calibri" w:hAnsi="Calibri"/>
          <w:spacing w:val="-3"/>
          <w:sz w:val="20"/>
        </w:rPr>
        <w:t> </w:t>
      </w:r>
      <w:r>
        <w:rPr>
          <w:rFonts w:ascii="Calibri" w:hAnsi="Calibri"/>
          <w:sz w:val="20"/>
        </w:rPr>
        <w:t>con</w:t>
      </w:r>
      <w:r>
        <w:rPr>
          <w:rFonts w:ascii="Calibri" w:hAnsi="Calibri"/>
          <w:spacing w:val="-3"/>
          <w:sz w:val="20"/>
        </w:rPr>
        <w:t> </w:t>
      </w:r>
      <w:r>
        <w:rPr>
          <w:rFonts w:ascii="Calibri" w:hAnsi="Calibri"/>
          <w:sz w:val="20"/>
        </w:rPr>
        <w:t>fondos</w:t>
      </w:r>
      <w:r>
        <w:rPr>
          <w:rFonts w:ascii="Calibri" w:hAnsi="Calibri"/>
          <w:spacing w:val="-7"/>
          <w:sz w:val="20"/>
        </w:rPr>
        <w:t> </w:t>
      </w:r>
      <w:r>
        <w:rPr>
          <w:rFonts w:ascii="Calibri" w:hAnsi="Calibri"/>
          <w:sz w:val="20"/>
        </w:rPr>
        <w:t>Next</w:t>
      </w:r>
      <w:r>
        <w:rPr>
          <w:rFonts w:ascii="Calibri" w:hAnsi="Calibri"/>
          <w:spacing w:val="-3"/>
          <w:sz w:val="20"/>
        </w:rPr>
        <w:t> </w:t>
      </w:r>
      <w:r>
        <w:rPr>
          <w:rFonts w:ascii="Calibri" w:hAnsi="Calibri"/>
          <w:sz w:val="20"/>
        </w:rPr>
        <w:t>Generation.</w:t>
      </w:r>
      <w:r>
        <w:rPr>
          <w:rFonts w:ascii="Calibri" w:hAnsi="Calibri"/>
          <w:spacing w:val="-4"/>
          <w:sz w:val="20"/>
        </w:rPr>
        <w:t> </w:t>
      </w:r>
      <w:r>
        <w:rPr>
          <w:rFonts w:ascii="Calibri" w:hAnsi="Calibri"/>
          <w:sz w:val="20"/>
        </w:rPr>
        <w:t>De</w:t>
      </w:r>
      <w:r>
        <w:rPr>
          <w:rFonts w:ascii="Calibri" w:hAnsi="Calibri"/>
          <w:spacing w:val="-5"/>
          <w:sz w:val="20"/>
        </w:rPr>
        <w:t> </w:t>
      </w:r>
      <w:r>
        <w:rPr>
          <w:rFonts w:ascii="Calibri" w:hAnsi="Calibri"/>
          <w:sz w:val="20"/>
        </w:rPr>
        <w:t>hecho, el inicio de la ejecución quedó supeditado a la obtención efectiva de dicha financiación, sin la cual EMTSAM hubiera carecido de recursos para acometer el proyecto.</w:t>
      </w:r>
    </w:p>
    <w:p>
      <w:pPr>
        <w:spacing w:line="256" w:lineRule="auto" w:before="143"/>
        <w:ind w:left="1925" w:right="2020" w:firstLine="0"/>
        <w:jc w:val="both"/>
        <w:rPr>
          <w:rFonts w:ascii="Calibri" w:hAnsi="Calibri"/>
          <w:sz w:val="20"/>
        </w:rPr>
      </w:pPr>
      <w:r>
        <w:rPr>
          <w:rFonts w:ascii="Calibri" w:hAnsi="Calibri"/>
          <w:sz w:val="20"/>
        </w:rPr>
        <w:t>Es decir, la actuación forma parte de un proyecto global financiado con fondos europeos, destinado a la modernización digital y sostenible del transporte público. En este contexto, las modificaciones introducidas en 2024 respondieron también a la disponibilidad de fondos adicionales</w:t>
      </w:r>
      <w:r>
        <w:rPr>
          <w:rFonts w:ascii="Calibri" w:hAnsi="Calibri"/>
          <w:spacing w:val="-4"/>
          <w:sz w:val="20"/>
        </w:rPr>
        <w:t> </w:t>
      </w:r>
      <w:r>
        <w:rPr>
          <w:rFonts w:ascii="Calibri" w:hAnsi="Calibri"/>
          <w:sz w:val="20"/>
        </w:rPr>
        <w:t>(derivados</w:t>
      </w:r>
      <w:r>
        <w:rPr>
          <w:rFonts w:ascii="Calibri" w:hAnsi="Calibri"/>
          <w:spacing w:val="-1"/>
          <w:sz w:val="20"/>
        </w:rPr>
        <w:t> </w:t>
      </w:r>
      <w:r>
        <w:rPr>
          <w:rFonts w:ascii="Calibri" w:hAnsi="Calibri"/>
          <w:sz w:val="20"/>
        </w:rPr>
        <w:t>de</w:t>
      </w:r>
      <w:r>
        <w:rPr>
          <w:rFonts w:ascii="Calibri" w:hAnsi="Calibri"/>
          <w:spacing w:val="-3"/>
          <w:sz w:val="20"/>
        </w:rPr>
        <w:t> </w:t>
      </w:r>
      <w:r>
        <w:rPr>
          <w:rFonts w:ascii="Calibri" w:hAnsi="Calibri"/>
          <w:sz w:val="20"/>
        </w:rPr>
        <w:t>economías</w:t>
      </w:r>
      <w:r>
        <w:rPr>
          <w:rFonts w:ascii="Calibri" w:hAnsi="Calibri"/>
          <w:spacing w:val="-1"/>
          <w:sz w:val="20"/>
        </w:rPr>
        <w:t> </w:t>
      </w:r>
      <w:r>
        <w:rPr>
          <w:rFonts w:ascii="Calibri" w:hAnsi="Calibri"/>
          <w:sz w:val="20"/>
        </w:rPr>
        <w:t>o</w:t>
      </w:r>
      <w:r>
        <w:rPr>
          <w:rFonts w:ascii="Calibri" w:hAnsi="Calibri"/>
          <w:spacing w:val="-4"/>
          <w:sz w:val="20"/>
        </w:rPr>
        <w:t> </w:t>
      </w:r>
      <w:r>
        <w:rPr>
          <w:rFonts w:ascii="Calibri" w:hAnsi="Calibri"/>
          <w:sz w:val="20"/>
        </w:rPr>
        <w:t>remanentes</w:t>
      </w:r>
      <w:r>
        <w:rPr>
          <w:rFonts w:ascii="Calibri" w:hAnsi="Calibri"/>
          <w:spacing w:val="-1"/>
          <w:sz w:val="20"/>
        </w:rPr>
        <w:t> </w:t>
      </w:r>
      <w:r>
        <w:rPr>
          <w:rFonts w:ascii="Calibri" w:hAnsi="Calibri"/>
          <w:sz w:val="20"/>
        </w:rPr>
        <w:t>de</w:t>
      </w:r>
      <w:r>
        <w:rPr>
          <w:rFonts w:ascii="Calibri" w:hAnsi="Calibri"/>
          <w:spacing w:val="-3"/>
          <w:sz w:val="20"/>
        </w:rPr>
        <w:t> </w:t>
      </w:r>
      <w:r>
        <w:rPr>
          <w:rFonts w:ascii="Calibri" w:hAnsi="Calibri"/>
          <w:sz w:val="20"/>
        </w:rPr>
        <w:t>otras</w:t>
      </w:r>
      <w:r>
        <w:rPr>
          <w:rFonts w:ascii="Calibri" w:hAnsi="Calibri"/>
          <w:spacing w:val="-4"/>
          <w:sz w:val="20"/>
        </w:rPr>
        <w:t> </w:t>
      </w:r>
      <w:r>
        <w:rPr>
          <w:rFonts w:ascii="Calibri" w:hAnsi="Calibri"/>
          <w:sz w:val="20"/>
        </w:rPr>
        <w:t>ciudades,</w:t>
      </w:r>
      <w:r>
        <w:rPr>
          <w:rFonts w:ascii="Calibri" w:hAnsi="Calibri"/>
          <w:spacing w:val="-3"/>
          <w:sz w:val="20"/>
        </w:rPr>
        <w:t> </w:t>
      </w:r>
      <w:r>
        <w:rPr>
          <w:rFonts w:ascii="Calibri" w:hAnsi="Calibri"/>
          <w:sz w:val="20"/>
        </w:rPr>
        <w:t>reinvertidos</w:t>
      </w:r>
      <w:r>
        <w:rPr>
          <w:rFonts w:ascii="Calibri" w:hAnsi="Calibri"/>
          <w:spacing w:val="-2"/>
          <w:sz w:val="20"/>
        </w:rPr>
        <w:t> </w:t>
      </w:r>
      <w:r>
        <w:rPr>
          <w:rFonts w:ascii="Calibri" w:hAnsi="Calibri"/>
          <w:sz w:val="20"/>
        </w:rPr>
        <w:t>en</w:t>
      </w:r>
      <w:r>
        <w:rPr>
          <w:rFonts w:ascii="Calibri" w:hAnsi="Calibri"/>
          <w:spacing w:val="-1"/>
          <w:sz w:val="20"/>
        </w:rPr>
        <w:t> </w:t>
      </w:r>
      <w:r>
        <w:rPr>
          <w:rFonts w:ascii="Calibri" w:hAnsi="Calibri"/>
          <w:sz w:val="20"/>
        </w:rPr>
        <w:t>Málaga) que permitió ampliar la actuación dentro del alcance del proyecto original.</w:t>
      </w:r>
    </w:p>
    <w:p>
      <w:pPr>
        <w:spacing w:line="259" w:lineRule="auto" w:before="146"/>
        <w:ind w:left="1925" w:right="2019" w:firstLine="0"/>
        <w:jc w:val="both"/>
        <w:rPr>
          <w:rFonts w:ascii="Calibri" w:hAnsi="Calibri"/>
          <w:sz w:val="20"/>
        </w:rPr>
      </w:pPr>
      <w:r>
        <w:rPr>
          <w:rFonts w:ascii="Calibri" w:hAnsi="Calibri"/>
          <w:sz w:val="20"/>
        </w:rPr>
        <w:t>Se ha de resaltar, que esta actuación se realizó de manera planificada y autorizada. Así, conviene</w:t>
      </w:r>
      <w:r>
        <w:rPr>
          <w:rFonts w:ascii="Calibri" w:hAnsi="Calibri"/>
          <w:spacing w:val="-10"/>
          <w:sz w:val="20"/>
        </w:rPr>
        <w:t> </w:t>
      </w:r>
      <w:r>
        <w:rPr>
          <w:rFonts w:ascii="Calibri" w:hAnsi="Calibri"/>
          <w:sz w:val="20"/>
        </w:rPr>
        <w:t>decir</w:t>
      </w:r>
      <w:r>
        <w:rPr>
          <w:rFonts w:ascii="Calibri" w:hAnsi="Calibri"/>
          <w:spacing w:val="-7"/>
          <w:sz w:val="20"/>
        </w:rPr>
        <w:t> </w:t>
      </w:r>
      <w:r>
        <w:rPr>
          <w:rFonts w:ascii="Calibri" w:hAnsi="Calibri"/>
          <w:sz w:val="20"/>
        </w:rPr>
        <w:t>que</w:t>
      </w:r>
      <w:r>
        <w:rPr>
          <w:rFonts w:ascii="Calibri" w:hAnsi="Calibri"/>
          <w:spacing w:val="-9"/>
          <w:sz w:val="20"/>
        </w:rPr>
        <w:t> </w:t>
      </w:r>
      <w:r>
        <w:rPr>
          <w:rFonts w:ascii="Calibri" w:hAnsi="Calibri"/>
          <w:sz w:val="20"/>
        </w:rPr>
        <w:t>el</w:t>
      </w:r>
      <w:r>
        <w:rPr>
          <w:rFonts w:ascii="Calibri" w:hAnsi="Calibri"/>
          <w:spacing w:val="-10"/>
          <w:sz w:val="20"/>
        </w:rPr>
        <w:t> </w:t>
      </w:r>
      <w:r>
        <w:rPr>
          <w:rFonts w:ascii="Calibri" w:hAnsi="Calibri"/>
          <w:sz w:val="20"/>
        </w:rPr>
        <w:t>PCAP</w:t>
      </w:r>
      <w:r>
        <w:rPr>
          <w:rFonts w:ascii="Calibri" w:hAnsi="Calibri"/>
          <w:spacing w:val="-7"/>
          <w:sz w:val="20"/>
        </w:rPr>
        <w:t> </w:t>
      </w:r>
      <w:r>
        <w:rPr>
          <w:rFonts w:ascii="Calibri" w:hAnsi="Calibri"/>
          <w:sz w:val="20"/>
        </w:rPr>
        <w:t>incluía</w:t>
      </w:r>
      <w:r>
        <w:rPr>
          <w:rFonts w:ascii="Calibri" w:hAnsi="Calibri"/>
          <w:spacing w:val="-8"/>
          <w:sz w:val="20"/>
        </w:rPr>
        <w:t> </w:t>
      </w:r>
      <w:r>
        <w:rPr>
          <w:rFonts w:ascii="Calibri" w:hAnsi="Calibri"/>
          <w:sz w:val="20"/>
        </w:rPr>
        <w:t>expresamente</w:t>
      </w:r>
      <w:r>
        <w:rPr>
          <w:rFonts w:ascii="Calibri" w:hAnsi="Calibri"/>
          <w:spacing w:val="-8"/>
          <w:sz w:val="20"/>
        </w:rPr>
        <w:t> </w:t>
      </w:r>
      <w:r>
        <w:rPr>
          <w:rFonts w:ascii="Calibri" w:hAnsi="Calibri"/>
          <w:sz w:val="20"/>
        </w:rPr>
        <w:t>una</w:t>
      </w:r>
      <w:r>
        <w:rPr>
          <w:rFonts w:ascii="Calibri" w:hAnsi="Calibri"/>
          <w:spacing w:val="-11"/>
          <w:sz w:val="20"/>
        </w:rPr>
        <w:t> </w:t>
      </w:r>
      <w:r>
        <w:rPr>
          <w:rFonts w:ascii="Calibri" w:hAnsi="Calibri"/>
          <w:sz w:val="20"/>
        </w:rPr>
        <w:t>cláusula</w:t>
      </w:r>
      <w:r>
        <w:rPr>
          <w:rFonts w:ascii="Calibri" w:hAnsi="Calibri"/>
          <w:spacing w:val="-4"/>
          <w:sz w:val="20"/>
        </w:rPr>
        <w:t> </w:t>
      </w:r>
      <w:r>
        <w:rPr>
          <w:rFonts w:ascii="Calibri" w:hAnsi="Calibri"/>
          <w:sz w:val="20"/>
        </w:rPr>
        <w:t>que</w:t>
      </w:r>
      <w:r>
        <w:rPr>
          <w:rFonts w:ascii="Calibri" w:hAnsi="Calibri"/>
          <w:spacing w:val="-7"/>
          <w:sz w:val="20"/>
        </w:rPr>
        <w:t> </w:t>
      </w:r>
      <w:r>
        <w:rPr>
          <w:rFonts w:ascii="Calibri" w:hAnsi="Calibri"/>
          <w:sz w:val="20"/>
        </w:rPr>
        <w:t>preveía</w:t>
      </w:r>
      <w:r>
        <w:rPr>
          <w:rFonts w:ascii="Calibri" w:hAnsi="Calibri"/>
          <w:spacing w:val="-4"/>
          <w:sz w:val="20"/>
        </w:rPr>
        <w:t> </w:t>
      </w:r>
      <w:r>
        <w:rPr>
          <w:rFonts w:ascii="Calibri" w:hAnsi="Calibri"/>
          <w:sz w:val="20"/>
        </w:rPr>
        <w:t>una</w:t>
      </w:r>
      <w:r>
        <w:rPr>
          <w:rFonts w:ascii="Calibri" w:hAnsi="Calibri"/>
          <w:spacing w:val="-10"/>
          <w:sz w:val="20"/>
        </w:rPr>
        <w:t> </w:t>
      </w:r>
      <w:r>
        <w:rPr>
          <w:rFonts w:ascii="Calibri" w:hAnsi="Calibri"/>
          <w:sz w:val="20"/>
        </w:rPr>
        <w:t>modificación</w:t>
      </w:r>
      <w:r>
        <w:rPr>
          <w:rFonts w:ascii="Calibri" w:hAnsi="Calibri"/>
          <w:spacing w:val="-6"/>
          <w:sz w:val="20"/>
        </w:rPr>
        <w:t> </w:t>
      </w:r>
      <w:r>
        <w:rPr>
          <w:rFonts w:ascii="Calibri" w:hAnsi="Calibri"/>
          <w:sz w:val="20"/>
        </w:rPr>
        <w:t>de</w:t>
      </w:r>
    </w:p>
    <w:p>
      <w:pPr>
        <w:pStyle w:val="BodyText"/>
        <w:rPr>
          <w:rFonts w:ascii="Calibri"/>
          <w:sz w:val="20"/>
        </w:rPr>
      </w:pPr>
    </w:p>
    <w:p>
      <w:pPr>
        <w:pStyle w:val="BodyText"/>
        <w:spacing w:before="137"/>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216" name="Group 1216"/>
                <wp:cNvGraphicFramePr>
                  <a:graphicFrameLocks/>
                </wp:cNvGraphicFramePr>
                <a:graphic>
                  <a:graphicData uri="http://schemas.microsoft.com/office/word/2010/wordprocessingGroup">
                    <wpg:wgp>
                      <wpg:cNvPr id="1216" name="Group 1216"/>
                      <wpg:cNvGrpSpPr/>
                      <wpg:grpSpPr>
                        <a:xfrm>
                          <a:off x="0" y="0"/>
                          <a:ext cx="1870075" cy="6350"/>
                          <a:chExt cx="1870075" cy="6350"/>
                        </a:xfrm>
                      </wpg:grpSpPr>
                      <wps:wsp>
                        <wps:cNvPr id="1217" name="Graphic 1217"/>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900" coordorigin="0,0" coordsize="2945,10">
                <v:rect style="position:absolute;left:0;top:0;width:2945;height:10" id="docshape901"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218" name="Group 1218"/>
                <wp:cNvGraphicFramePr>
                  <a:graphicFrameLocks/>
                </wp:cNvGraphicFramePr>
                <a:graphic>
                  <a:graphicData uri="http://schemas.microsoft.com/office/word/2010/wordprocessingGroup">
                    <wpg:wgp>
                      <wpg:cNvPr id="1218" name="Group 1218"/>
                      <wpg:cNvGrpSpPr/>
                      <wpg:grpSpPr>
                        <a:xfrm>
                          <a:off x="0" y="0"/>
                          <a:ext cx="841375" cy="6350"/>
                          <a:chExt cx="841375" cy="6350"/>
                        </a:xfrm>
                      </wpg:grpSpPr>
                      <wps:wsp>
                        <wps:cNvPr id="1219" name="Graphic 1219"/>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902" coordorigin="0,0" coordsize="1325,10">
                <v:rect style="position:absolute;left:0;top:0;width:1325;height:10" id="docshape903"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53"/>
          <w:headerReference w:type="even" r:id="rId254"/>
          <w:footerReference w:type="default" r:id="rId255"/>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94624">
                <wp:simplePos x="0" y="0"/>
                <wp:positionH relativeFrom="page">
                  <wp:posOffset>4332186</wp:posOffset>
                </wp:positionH>
                <wp:positionV relativeFrom="paragraph">
                  <wp:posOffset>1412477</wp:posOffset>
                </wp:positionV>
                <wp:extent cx="53340" cy="100330"/>
                <wp:effectExtent l="0" t="0" r="0" b="0"/>
                <wp:wrapNone/>
                <wp:docPr id="1220" name="Textbox 1220"/>
                <wp:cNvGraphicFramePr>
                  <a:graphicFrameLocks/>
                </wp:cNvGraphicFramePr>
                <a:graphic>
                  <a:graphicData uri="http://schemas.microsoft.com/office/word/2010/wordprocessingShape">
                    <wps:wsp>
                      <wps:cNvPr id="1220" name="Textbox 1220"/>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21856" type="#_x0000_t202" id="docshape904"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16"/>
        <w:gridCol w:w="2368"/>
        <w:gridCol w:w="683"/>
        <w:gridCol w:w="541"/>
        <w:gridCol w:w="1022"/>
        <w:gridCol w:w="817"/>
        <w:gridCol w:w="1247"/>
        <w:gridCol w:w="1108"/>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16" w:type="dxa"/>
            <w:tcBorders>
              <w:left w:val="single" w:sz="6" w:space="0" w:color="000000"/>
              <w:bottom w:val="single" w:sz="6" w:space="0" w:color="000000"/>
              <w:right w:val="nil"/>
            </w:tcBorders>
          </w:tcPr>
          <w:p>
            <w:pPr>
              <w:pStyle w:val="TableParagraph"/>
              <w:rPr>
                <w:rFonts w:ascii="Times New Roman"/>
                <w:sz w:val="14"/>
              </w:rPr>
            </w:pPr>
          </w:p>
        </w:tc>
        <w:tc>
          <w:tcPr>
            <w:tcW w:w="2368" w:type="dxa"/>
            <w:tcBorders>
              <w:top w:val="nil"/>
              <w:left w:val="nil"/>
              <w:bottom w:val="nil"/>
              <w:right w:val="nil"/>
            </w:tcBorders>
            <w:shd w:val="clear" w:color="auto" w:fill="000000"/>
          </w:tcPr>
          <w:p>
            <w:pPr>
              <w:pStyle w:val="TableParagraph"/>
              <w:rPr>
                <w:rFonts w:ascii="Times New Roman"/>
                <w:sz w:val="14"/>
              </w:rPr>
            </w:pPr>
          </w:p>
        </w:tc>
        <w:tc>
          <w:tcPr>
            <w:tcW w:w="1224"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1221" name="Image 1221"/>
                  <wp:cNvGraphicFramePr>
                    <a:graphicFrameLocks/>
                  </wp:cNvGraphicFramePr>
                  <a:graphic>
                    <a:graphicData uri="http://schemas.openxmlformats.org/drawingml/2006/picture">
                      <pic:pic>
                        <pic:nvPicPr>
                          <pic:cNvPr id="1221" name="Image 122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1222" name="Image 1222"/>
                  <wp:cNvGraphicFramePr>
                    <a:graphicFrameLocks/>
                  </wp:cNvGraphicFramePr>
                  <a:graphic>
                    <a:graphicData uri="http://schemas.openxmlformats.org/drawingml/2006/picture">
                      <pic:pic>
                        <pic:nvPicPr>
                          <pic:cNvPr id="1222" name="Image 122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08" w:type="dxa"/>
            <w:vMerge w:val="restart"/>
            <w:tcBorders>
              <w:top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nil"/>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395136">
                      <wp:simplePos x="0" y="0"/>
                      <wp:positionH relativeFrom="column">
                        <wp:posOffset>-1298447</wp:posOffset>
                      </wp:positionH>
                      <wp:positionV relativeFrom="paragraph">
                        <wp:posOffset>-144895</wp:posOffset>
                      </wp:positionV>
                      <wp:extent cx="1298575" cy="417830"/>
                      <wp:effectExtent l="0" t="0" r="0" b="0"/>
                      <wp:wrapNone/>
                      <wp:docPr id="1223" name="Group 1223"/>
                      <wp:cNvGraphicFramePr>
                        <a:graphicFrameLocks/>
                      </wp:cNvGraphicFramePr>
                      <a:graphic>
                        <a:graphicData uri="http://schemas.microsoft.com/office/word/2010/wordprocessingGroup">
                          <wpg:wgp>
                            <wpg:cNvPr id="1223" name="Group 1223"/>
                            <wpg:cNvGrpSpPr/>
                            <wpg:grpSpPr>
                              <a:xfrm>
                                <a:off x="0" y="0"/>
                                <a:ext cx="1298575" cy="417830"/>
                                <a:chExt cx="1298575" cy="417830"/>
                              </a:xfrm>
                            </wpg:grpSpPr>
                            <wps:wsp>
                              <wps:cNvPr id="1224" name="Graphic 1224"/>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225" name="Image 1225"/>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21344" id="docshapegroup905" coordorigin="-2045,-228" coordsize="2045,658">
                      <v:shape style="position:absolute;left:-2045;top:-229;width:2045;height:658" id="docshape906" coordorigin="-2045,-228" coordsize="2045,658" path="m0,-228l-2045,-228,-2045,-10,-2045,-7,-2045,429,0,429,0,-7,0,-10,0,-228xe" filled="true" fillcolor="#cccccc" stroked="false">
                        <v:path arrowok="t"/>
                        <v:fill type="solid"/>
                      </v:shape>
                      <v:shape style="position:absolute;left:-1973;top:-154;width:1896;height:327" type="#_x0000_t75" id="docshape907"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08"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226" name="Image 1226"/>
                  <wp:cNvGraphicFramePr>
                    <a:graphicFrameLocks/>
                  </wp:cNvGraphicFramePr>
                  <a:graphic>
                    <a:graphicData uri="http://schemas.openxmlformats.org/drawingml/2006/picture">
                      <pic:pic>
                        <pic:nvPicPr>
                          <pic:cNvPr id="1226" name="Image 1226"/>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1227" name="Image 1227"/>
                  <wp:cNvGraphicFramePr>
                    <a:graphicFrameLocks/>
                  </wp:cNvGraphicFramePr>
                  <a:graphic>
                    <a:graphicData uri="http://schemas.openxmlformats.org/drawingml/2006/picture">
                      <pic:pic>
                        <pic:nvPicPr>
                          <pic:cNvPr id="1227" name="Image 1227"/>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jc w:val="center"/>
              <w:rPr>
                <w:rFonts w:ascii="Arial"/>
                <w:sz w:val="14"/>
              </w:rPr>
            </w:pPr>
            <w:r>
              <w:rPr>
                <w:rFonts w:ascii="Arial"/>
                <w:sz w:val="14"/>
              </w:rPr>
              <mc:AlternateContent>
                <mc:Choice Requires="wps">
                  <w:drawing>
                    <wp:anchor distT="0" distB="0" distL="0" distR="0" allowOverlap="1" layoutInCell="1" locked="0" behindDoc="1" simplePos="0" relativeHeight="474395648">
                      <wp:simplePos x="0" y="0"/>
                      <wp:positionH relativeFrom="column">
                        <wp:posOffset>1320546</wp:posOffset>
                      </wp:positionH>
                      <wp:positionV relativeFrom="paragraph">
                        <wp:posOffset>-311719</wp:posOffset>
                      </wp:positionV>
                      <wp:extent cx="734695" cy="753110"/>
                      <wp:effectExtent l="0" t="0" r="0" b="0"/>
                      <wp:wrapNone/>
                      <wp:docPr id="1228" name="Group 1228"/>
                      <wp:cNvGraphicFramePr>
                        <a:graphicFrameLocks/>
                      </wp:cNvGraphicFramePr>
                      <a:graphic>
                        <a:graphicData uri="http://schemas.microsoft.com/office/word/2010/wordprocessingGroup">
                          <wpg:wgp>
                            <wpg:cNvPr id="1228" name="Group 1228"/>
                            <wpg:cNvGrpSpPr/>
                            <wpg:grpSpPr>
                              <a:xfrm>
                                <a:off x="0" y="0"/>
                                <a:ext cx="734695" cy="753110"/>
                                <a:chExt cx="734695" cy="753110"/>
                              </a:xfrm>
                            </wpg:grpSpPr>
                            <pic:pic>
                              <pic:nvPicPr>
                                <pic:cNvPr id="1229" name="Image 1229"/>
                                <pic:cNvPicPr/>
                              </pic:nvPicPr>
                              <pic:blipFill>
                                <a:blip r:embed="rId256" cstate="print"/>
                                <a:stretch>
                                  <a:fillRect/>
                                </a:stretch>
                              </pic:blipFill>
                              <pic:spPr>
                                <a:xfrm>
                                  <a:off x="0" y="0"/>
                                  <a:ext cx="734567" cy="752840"/>
                                </a:xfrm>
                                <a:prstGeom prst="rect">
                                  <a:avLst/>
                                </a:prstGeom>
                              </pic:spPr>
                            </pic:pic>
                            <wps:wsp>
                              <wps:cNvPr id="1230" name="Graphic 1230"/>
                              <wps:cNvSpPr/>
                              <wps:spPr>
                                <a:xfrm>
                                  <a:off x="45529" y="30172"/>
                                  <a:ext cx="649605" cy="684530"/>
                                </a:xfrm>
                                <a:custGeom>
                                  <a:avLst/>
                                  <a:gdLst/>
                                  <a:ahLst/>
                                  <a:cxnLst/>
                                  <a:rect l="l" t="t" r="r" b="b"/>
                                  <a:pathLst>
                                    <a:path w="649605" h="684530">
                                      <a:moveTo>
                                        <a:pt x="649566" y="0"/>
                                      </a:moveTo>
                                      <a:lnTo>
                                        <a:pt x="0" y="0"/>
                                      </a:lnTo>
                                      <a:lnTo>
                                        <a:pt x="0" y="684491"/>
                                      </a:lnTo>
                                      <a:lnTo>
                                        <a:pt x="649566" y="684491"/>
                                      </a:lnTo>
                                      <a:lnTo>
                                        <a:pt x="649566"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920832" id="docshapegroup908" coordorigin="2080,-491" coordsize="1157,1186">
                      <v:shape style="position:absolute;left:2079;top:-491;width:1157;height:1186" type="#_x0000_t75" id="docshape909" stroked="false">
                        <v:imagedata r:id="rId256" o:title=""/>
                      </v:shape>
                      <v:rect style="position:absolute;left:2151;top:-444;width:1023;height:1078" id="docshape910" filled="true" fillcolor="#000000" stroked="false">
                        <v:fill type="solid"/>
                      </v:rect>
                      <w10:wrap type="none"/>
                    </v:group>
                  </w:pict>
                </mc:Fallback>
              </mc:AlternateContent>
            </w:r>
            <w:r>
              <w:rPr>
                <w:rFonts w:ascii="Arial"/>
                <w:spacing w:val="-2"/>
                <w:sz w:val="14"/>
              </w:rPr>
              <w:t>17/40</w:t>
            </w:r>
          </w:p>
        </w:tc>
        <w:tc>
          <w:tcPr>
            <w:tcW w:w="1108"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231" name="Image 1231"/>
                  <wp:cNvGraphicFramePr>
                    <a:graphicFrameLocks/>
                  </wp:cNvGraphicFramePr>
                  <a:graphic>
                    <a:graphicData uri="http://schemas.openxmlformats.org/drawingml/2006/picture">
                      <pic:pic>
                        <pic:nvPicPr>
                          <pic:cNvPr id="1231" name="Image 1231"/>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7"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108" w:type="dxa"/>
            <w:vMerge/>
            <w:tcBorders>
              <w:top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232" name="Image 1232"/>
                  <wp:cNvGraphicFramePr>
                    <a:graphicFrameLocks/>
                  </wp:cNvGraphicFramePr>
                  <a:graphic>
                    <a:graphicData uri="http://schemas.openxmlformats.org/drawingml/2006/picture">
                      <pic:pic>
                        <pic:nvPicPr>
                          <pic:cNvPr id="1232" name="Image 1232"/>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08" w:type="dxa"/>
            <w:vMerge/>
            <w:tcBorders>
              <w:top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1925" w:right="2020" w:firstLine="0"/>
        <w:jc w:val="both"/>
        <w:rPr>
          <w:rFonts w:ascii="Calibri" w:hAnsi="Calibri"/>
          <w:sz w:val="20"/>
        </w:rPr>
      </w:pPr>
      <w:r>
        <w:rPr>
          <w:rFonts w:ascii="Calibri" w:hAnsi="Calibri"/>
          <w:sz w:val="20"/>
        </w:rPr>
        <w:t>hasta un 20% en caso de reasignación de presupuestos Next Generation a Málaga, previsión que coincide plenamente con lo sucedido. Gracias a ello, la EMTSAM pudo destinar fondos sobrantes a</w:t>
      </w:r>
      <w:r>
        <w:rPr>
          <w:rFonts w:ascii="Calibri" w:hAnsi="Calibri"/>
          <w:spacing w:val="-2"/>
          <w:sz w:val="20"/>
        </w:rPr>
        <w:t> </w:t>
      </w:r>
      <w:r>
        <w:rPr>
          <w:rFonts w:ascii="Calibri" w:hAnsi="Calibri"/>
          <w:sz w:val="20"/>
        </w:rPr>
        <w:t>instalar pantallas en</w:t>
      </w:r>
      <w:r>
        <w:rPr>
          <w:rFonts w:ascii="Calibri" w:hAnsi="Calibri"/>
          <w:spacing w:val="-2"/>
          <w:sz w:val="20"/>
        </w:rPr>
        <w:t> </w:t>
      </w:r>
      <w:r>
        <w:rPr>
          <w:rFonts w:ascii="Calibri" w:hAnsi="Calibri"/>
          <w:sz w:val="20"/>
        </w:rPr>
        <w:t>más paradas</w:t>
      </w:r>
      <w:r>
        <w:rPr>
          <w:rFonts w:ascii="Calibri" w:hAnsi="Calibri"/>
          <w:spacing w:val="-3"/>
          <w:sz w:val="20"/>
        </w:rPr>
        <w:t> </w:t>
      </w:r>
      <w:r>
        <w:rPr>
          <w:rFonts w:ascii="Calibri" w:hAnsi="Calibri"/>
          <w:sz w:val="20"/>
        </w:rPr>
        <w:t>y a implementar mejoras (como las pantallas de doble cara), sin superar el marco presupuestario subvencionado ni alterar el objeto del </w:t>
      </w:r>
      <w:r>
        <w:rPr>
          <w:rFonts w:ascii="Calibri" w:hAnsi="Calibri"/>
          <w:spacing w:val="-2"/>
          <w:sz w:val="20"/>
        </w:rPr>
        <w:t>contrato.</w:t>
      </w:r>
    </w:p>
    <w:p>
      <w:pPr>
        <w:spacing w:line="256" w:lineRule="auto" w:before="148"/>
        <w:ind w:left="1925" w:right="2019" w:firstLine="0"/>
        <w:jc w:val="both"/>
        <w:rPr>
          <w:rFonts w:ascii="Calibri" w:hAnsi="Calibri"/>
          <w:sz w:val="20"/>
        </w:rPr>
      </w:pPr>
      <w:r>
        <w:rPr>
          <w:rFonts w:ascii="Calibri" w:hAnsi="Calibri"/>
          <w:sz w:val="20"/>
        </w:rPr>
        <w:t>Las variaciones técnicas efectuadas han contribuido a los objetivos de sostenibilidad y digitalización (p.ej. maximizar el número de puntos de información digital al ciudadano), asegurando el</w:t>
      </w:r>
      <w:r>
        <w:rPr>
          <w:rFonts w:ascii="Calibri" w:hAnsi="Calibri"/>
          <w:spacing w:val="-4"/>
          <w:sz w:val="20"/>
        </w:rPr>
        <w:t> </w:t>
      </w:r>
      <w:r>
        <w:rPr>
          <w:rFonts w:ascii="Calibri" w:hAnsi="Calibri"/>
          <w:sz w:val="20"/>
        </w:rPr>
        <w:t>correcto aprovechamiento de los fondos comunitarios conforme a</w:t>
      </w:r>
      <w:r>
        <w:rPr>
          <w:rFonts w:ascii="Calibri" w:hAnsi="Calibri"/>
          <w:spacing w:val="-5"/>
          <w:sz w:val="20"/>
        </w:rPr>
        <w:t> </w:t>
      </w:r>
      <w:r>
        <w:rPr>
          <w:rFonts w:ascii="Calibri" w:hAnsi="Calibri"/>
          <w:sz w:val="20"/>
        </w:rPr>
        <w:t>su finalidad.</w:t>
      </w:r>
    </w:p>
    <w:p>
      <w:pPr>
        <w:spacing w:line="256" w:lineRule="auto" w:before="145"/>
        <w:ind w:left="1925" w:right="2020" w:firstLine="0"/>
        <w:jc w:val="both"/>
        <w:rPr>
          <w:rFonts w:ascii="Calibri" w:hAnsi="Calibri"/>
          <w:sz w:val="20"/>
        </w:rPr>
      </w:pPr>
      <w:r>
        <w:rPr>
          <w:rFonts w:ascii="Calibri" w:hAnsi="Calibri"/>
          <w:sz w:val="20"/>
        </w:rPr>
        <w:t>Por todo, ello, se considera que las modificaciones han sido coherentes con el marco del proyecto</w:t>
      </w:r>
      <w:r>
        <w:rPr>
          <w:rFonts w:ascii="Calibri" w:hAnsi="Calibri"/>
          <w:spacing w:val="-9"/>
          <w:sz w:val="20"/>
        </w:rPr>
        <w:t> </w:t>
      </w:r>
      <w:r>
        <w:rPr>
          <w:rFonts w:ascii="Calibri" w:hAnsi="Calibri"/>
          <w:sz w:val="20"/>
        </w:rPr>
        <w:t>Next</w:t>
      </w:r>
      <w:r>
        <w:rPr>
          <w:rFonts w:ascii="Calibri" w:hAnsi="Calibri"/>
          <w:spacing w:val="-8"/>
          <w:sz w:val="20"/>
        </w:rPr>
        <w:t> </w:t>
      </w:r>
      <w:r>
        <w:rPr>
          <w:rFonts w:ascii="Calibri" w:hAnsi="Calibri"/>
          <w:sz w:val="20"/>
        </w:rPr>
        <w:t>Generation,</w:t>
      </w:r>
      <w:r>
        <w:rPr>
          <w:rFonts w:ascii="Calibri" w:hAnsi="Calibri"/>
          <w:spacing w:val="-11"/>
          <w:sz w:val="20"/>
        </w:rPr>
        <w:t> </w:t>
      </w:r>
      <w:r>
        <w:rPr>
          <w:rFonts w:ascii="Calibri" w:hAnsi="Calibri"/>
          <w:sz w:val="20"/>
        </w:rPr>
        <w:t>permitiendo</w:t>
      </w:r>
      <w:r>
        <w:rPr>
          <w:rFonts w:ascii="Calibri" w:hAnsi="Calibri"/>
          <w:spacing w:val="-7"/>
          <w:sz w:val="20"/>
        </w:rPr>
        <w:t> </w:t>
      </w:r>
      <w:r>
        <w:rPr>
          <w:rFonts w:ascii="Calibri" w:hAnsi="Calibri"/>
          <w:sz w:val="20"/>
        </w:rPr>
        <w:t>potenciar</w:t>
      </w:r>
      <w:r>
        <w:rPr>
          <w:rFonts w:ascii="Calibri" w:hAnsi="Calibri"/>
          <w:spacing w:val="-11"/>
          <w:sz w:val="20"/>
        </w:rPr>
        <w:t> </w:t>
      </w:r>
      <w:r>
        <w:rPr>
          <w:rFonts w:ascii="Calibri" w:hAnsi="Calibri"/>
          <w:sz w:val="20"/>
        </w:rPr>
        <w:t>sus</w:t>
      </w:r>
      <w:r>
        <w:rPr>
          <w:rFonts w:ascii="Calibri" w:hAnsi="Calibri"/>
          <w:spacing w:val="-11"/>
          <w:sz w:val="20"/>
        </w:rPr>
        <w:t> </w:t>
      </w:r>
      <w:r>
        <w:rPr>
          <w:rFonts w:ascii="Calibri" w:hAnsi="Calibri"/>
          <w:sz w:val="20"/>
        </w:rPr>
        <w:t>resultados</w:t>
      </w:r>
      <w:r>
        <w:rPr>
          <w:rFonts w:ascii="Calibri" w:hAnsi="Calibri"/>
          <w:spacing w:val="-8"/>
          <w:sz w:val="20"/>
        </w:rPr>
        <w:t> </w:t>
      </w:r>
      <w:r>
        <w:rPr>
          <w:rFonts w:ascii="Calibri" w:hAnsi="Calibri"/>
          <w:sz w:val="20"/>
        </w:rPr>
        <w:t>sin</w:t>
      </w:r>
      <w:r>
        <w:rPr>
          <w:rFonts w:ascii="Calibri" w:hAnsi="Calibri"/>
          <w:spacing w:val="-11"/>
          <w:sz w:val="20"/>
        </w:rPr>
        <w:t> </w:t>
      </w:r>
      <w:r>
        <w:rPr>
          <w:rFonts w:ascii="Calibri" w:hAnsi="Calibri"/>
          <w:sz w:val="20"/>
        </w:rPr>
        <w:t>incurrir</w:t>
      </w:r>
      <w:r>
        <w:rPr>
          <w:rFonts w:ascii="Calibri" w:hAnsi="Calibri"/>
          <w:spacing w:val="-10"/>
          <w:sz w:val="20"/>
        </w:rPr>
        <w:t> </w:t>
      </w:r>
      <w:r>
        <w:rPr>
          <w:rFonts w:ascii="Calibri" w:hAnsi="Calibri"/>
          <w:sz w:val="20"/>
        </w:rPr>
        <w:t>en</w:t>
      </w:r>
      <w:r>
        <w:rPr>
          <w:rFonts w:ascii="Calibri" w:hAnsi="Calibri"/>
          <w:spacing w:val="-9"/>
          <w:sz w:val="20"/>
        </w:rPr>
        <w:t> </w:t>
      </w:r>
      <w:r>
        <w:rPr>
          <w:rFonts w:ascii="Calibri" w:hAnsi="Calibri"/>
          <w:sz w:val="20"/>
        </w:rPr>
        <w:t>irregularidades, y cuentan con la correspondiente autorización de la entidad financiadora (el Ministerio concedente</w:t>
      </w:r>
      <w:r>
        <w:rPr>
          <w:rFonts w:ascii="Calibri" w:hAnsi="Calibri"/>
          <w:spacing w:val="-5"/>
          <w:sz w:val="20"/>
        </w:rPr>
        <w:t> </w:t>
      </w:r>
      <w:r>
        <w:rPr>
          <w:rFonts w:ascii="Calibri" w:hAnsi="Calibri"/>
          <w:sz w:val="20"/>
        </w:rPr>
        <w:t>validó,</w:t>
      </w:r>
      <w:r>
        <w:rPr>
          <w:rFonts w:ascii="Calibri" w:hAnsi="Calibri"/>
          <w:spacing w:val="-4"/>
          <w:sz w:val="20"/>
        </w:rPr>
        <w:t> </w:t>
      </w:r>
      <w:r>
        <w:rPr>
          <w:rFonts w:ascii="Calibri" w:hAnsi="Calibri"/>
          <w:sz w:val="20"/>
        </w:rPr>
        <w:t>por</w:t>
      </w:r>
      <w:r>
        <w:rPr>
          <w:rFonts w:ascii="Calibri" w:hAnsi="Calibri"/>
          <w:spacing w:val="-4"/>
          <w:sz w:val="20"/>
        </w:rPr>
        <w:t> </w:t>
      </w:r>
      <w:r>
        <w:rPr>
          <w:rFonts w:ascii="Calibri" w:hAnsi="Calibri"/>
          <w:sz w:val="20"/>
        </w:rPr>
        <w:t>ejemplo,</w:t>
      </w:r>
      <w:r>
        <w:rPr>
          <w:rFonts w:ascii="Calibri" w:hAnsi="Calibri"/>
          <w:spacing w:val="-4"/>
          <w:sz w:val="20"/>
        </w:rPr>
        <w:t> </w:t>
      </w:r>
      <w:r>
        <w:rPr>
          <w:rFonts w:ascii="Calibri" w:hAnsi="Calibri"/>
          <w:sz w:val="20"/>
        </w:rPr>
        <w:t>la</w:t>
      </w:r>
      <w:r>
        <w:rPr>
          <w:rFonts w:ascii="Calibri" w:hAnsi="Calibri"/>
          <w:spacing w:val="-1"/>
          <w:sz w:val="20"/>
        </w:rPr>
        <w:t> </w:t>
      </w:r>
      <w:r>
        <w:rPr>
          <w:rFonts w:ascii="Calibri" w:hAnsi="Calibri"/>
          <w:sz w:val="20"/>
        </w:rPr>
        <w:t>ampliación</w:t>
      </w:r>
      <w:r>
        <w:rPr>
          <w:rFonts w:ascii="Calibri" w:hAnsi="Calibri"/>
          <w:spacing w:val="-6"/>
          <w:sz w:val="20"/>
        </w:rPr>
        <w:t> </w:t>
      </w:r>
      <w:r>
        <w:rPr>
          <w:rFonts w:ascii="Calibri" w:hAnsi="Calibri"/>
          <w:sz w:val="20"/>
        </w:rPr>
        <w:t>de</w:t>
      </w:r>
      <w:r>
        <w:rPr>
          <w:rFonts w:ascii="Calibri" w:hAnsi="Calibri"/>
          <w:spacing w:val="-1"/>
          <w:sz w:val="20"/>
        </w:rPr>
        <w:t> </w:t>
      </w:r>
      <w:r>
        <w:rPr>
          <w:rFonts w:ascii="Calibri" w:hAnsi="Calibri"/>
          <w:sz w:val="20"/>
        </w:rPr>
        <w:t>plazo</w:t>
      </w:r>
      <w:r>
        <w:rPr>
          <w:rFonts w:ascii="Calibri" w:hAnsi="Calibri"/>
          <w:spacing w:val="-1"/>
          <w:sz w:val="20"/>
        </w:rPr>
        <w:t> </w:t>
      </w:r>
      <w:r>
        <w:rPr>
          <w:rFonts w:ascii="Calibri" w:hAnsi="Calibri"/>
          <w:sz w:val="20"/>
        </w:rPr>
        <w:t>hasta</w:t>
      </w:r>
      <w:r>
        <w:rPr>
          <w:rFonts w:ascii="Calibri" w:hAnsi="Calibri"/>
          <w:spacing w:val="-3"/>
          <w:sz w:val="20"/>
        </w:rPr>
        <w:t> </w:t>
      </w:r>
      <w:r>
        <w:rPr>
          <w:rFonts w:ascii="Calibri" w:hAnsi="Calibri"/>
          <w:sz w:val="20"/>
        </w:rPr>
        <w:t>diciembre</w:t>
      </w:r>
      <w:r>
        <w:rPr>
          <w:rFonts w:ascii="Calibri" w:hAnsi="Calibri"/>
          <w:spacing w:val="-3"/>
          <w:sz w:val="20"/>
        </w:rPr>
        <w:t> </w:t>
      </w:r>
      <w:r>
        <w:rPr>
          <w:rFonts w:ascii="Calibri" w:hAnsi="Calibri"/>
          <w:sz w:val="20"/>
        </w:rPr>
        <w:t>2024</w:t>
      </w:r>
      <w:r>
        <w:rPr>
          <w:rFonts w:ascii="Calibri" w:hAnsi="Calibri"/>
          <w:spacing w:val="-2"/>
          <w:sz w:val="20"/>
        </w:rPr>
        <w:t> </w:t>
      </w:r>
      <w:r>
        <w:rPr>
          <w:rFonts w:ascii="Calibri" w:hAnsi="Calibri"/>
          <w:sz w:val="20"/>
        </w:rPr>
        <w:t>para</w:t>
      </w:r>
      <w:r>
        <w:rPr>
          <w:rFonts w:ascii="Calibri" w:hAnsi="Calibri"/>
          <w:spacing w:val="-4"/>
          <w:sz w:val="20"/>
        </w:rPr>
        <w:t> </w:t>
      </w:r>
      <w:r>
        <w:rPr>
          <w:rFonts w:ascii="Calibri" w:hAnsi="Calibri"/>
          <w:sz w:val="20"/>
        </w:rPr>
        <w:t>la</w:t>
      </w:r>
      <w:r>
        <w:rPr>
          <w:rFonts w:ascii="Calibri" w:hAnsi="Calibri"/>
          <w:spacing w:val="-1"/>
          <w:sz w:val="20"/>
        </w:rPr>
        <w:t> </w:t>
      </w:r>
      <w:r>
        <w:rPr>
          <w:rFonts w:ascii="Calibri" w:hAnsi="Calibri"/>
          <w:sz w:val="20"/>
        </w:rPr>
        <w:t>completa ejecución de las actuaciones).</w:t>
      </w:r>
    </w:p>
    <w:p>
      <w:pPr>
        <w:spacing w:line="259" w:lineRule="auto" w:before="144"/>
        <w:ind w:left="1925" w:right="2021" w:firstLine="0"/>
        <w:jc w:val="both"/>
        <w:rPr>
          <w:rFonts w:ascii="Calibri" w:hAnsi="Calibri"/>
          <w:sz w:val="20"/>
        </w:rPr>
      </w:pPr>
      <w:r>
        <w:rPr>
          <w:rFonts w:ascii="Calibri" w:hAnsi="Calibri"/>
          <w:sz w:val="20"/>
        </w:rPr>
        <w:t>Finalmente, es importante destacar que las modificaciones realizadas han demostrado ser eficaces y plenamente conformes al Derecho, sin alterar la naturaleza del contrato ni vulnerar los límites impuestos por la</w:t>
      </w:r>
      <w:r>
        <w:rPr>
          <w:rFonts w:ascii="Calibri" w:hAnsi="Calibri"/>
          <w:spacing w:val="-1"/>
          <w:sz w:val="20"/>
        </w:rPr>
        <w:t> </w:t>
      </w:r>
      <w:r>
        <w:rPr>
          <w:rFonts w:ascii="Calibri" w:hAnsi="Calibri"/>
          <w:sz w:val="20"/>
        </w:rPr>
        <w:t>normativa. Y</w:t>
      </w:r>
      <w:r>
        <w:rPr>
          <w:rFonts w:ascii="Calibri" w:hAnsi="Calibri"/>
          <w:spacing w:val="-1"/>
          <w:sz w:val="20"/>
        </w:rPr>
        <w:t> </w:t>
      </w:r>
      <w:r>
        <w:rPr>
          <w:rFonts w:ascii="Calibri" w:hAnsi="Calibri"/>
          <w:sz w:val="20"/>
        </w:rPr>
        <w:t>ello porque tal y como se ha puesto de manifiesto:</w:t>
      </w:r>
    </w:p>
    <w:p>
      <w:pPr>
        <w:spacing w:line="256" w:lineRule="auto" w:before="138"/>
        <w:ind w:left="1925" w:right="2017" w:firstLine="0"/>
        <w:jc w:val="both"/>
        <w:rPr>
          <w:rFonts w:ascii="Calibri" w:hAnsi="Calibri"/>
          <w:sz w:val="20"/>
        </w:rPr>
      </w:pPr>
      <w:r>
        <w:rPr>
          <w:rFonts w:ascii="Calibri" w:hAnsi="Calibri"/>
          <w:sz w:val="20"/>
        </w:rPr>
        <mc:AlternateContent>
          <mc:Choice Requires="wps">
            <w:drawing>
              <wp:anchor distT="0" distB="0" distL="0" distR="0" allowOverlap="1" layoutInCell="1" locked="0" behindDoc="0" simplePos="0" relativeHeight="15859712">
                <wp:simplePos x="0" y="0"/>
                <wp:positionH relativeFrom="page">
                  <wp:posOffset>4533900</wp:posOffset>
                </wp:positionH>
                <wp:positionV relativeFrom="paragraph">
                  <wp:posOffset>1219217</wp:posOffset>
                </wp:positionV>
                <wp:extent cx="30480" cy="9525"/>
                <wp:effectExtent l="0" t="0" r="0" b="0"/>
                <wp:wrapNone/>
                <wp:docPr id="1249" name="Graphic 1249"/>
                <wp:cNvGraphicFramePr>
                  <a:graphicFrameLocks/>
                </wp:cNvGraphicFramePr>
                <a:graphic>
                  <a:graphicData uri="http://schemas.microsoft.com/office/word/2010/wordprocessingShape">
                    <wps:wsp>
                      <wps:cNvPr id="1249" name="Graphic 1249"/>
                      <wps:cNvSpPr/>
                      <wps:spPr>
                        <a:xfrm>
                          <a:off x="0" y="0"/>
                          <a:ext cx="30480" cy="9525"/>
                        </a:xfrm>
                        <a:custGeom>
                          <a:avLst/>
                          <a:gdLst/>
                          <a:ahLst/>
                          <a:cxnLst/>
                          <a:rect l="l" t="t" r="r" b="b"/>
                          <a:pathLst>
                            <a:path w="30480" h="9525">
                              <a:moveTo>
                                <a:pt x="30353" y="0"/>
                              </a:moveTo>
                              <a:lnTo>
                                <a:pt x="0" y="0"/>
                              </a:lnTo>
                              <a:lnTo>
                                <a:pt x="0" y="9144"/>
                              </a:lnTo>
                              <a:lnTo>
                                <a:pt x="30353" y="9144"/>
                              </a:lnTo>
                              <a:lnTo>
                                <a:pt x="30353" y="0"/>
                              </a:lnTo>
                              <a:close/>
                            </a:path>
                          </a:pathLst>
                        </a:custGeom>
                        <a:solidFill>
                          <a:srgbClr val="0563C1"/>
                        </a:solidFill>
                      </wps:spPr>
                      <wps:bodyPr wrap="square" lIns="0" tIns="0" rIns="0" bIns="0" rtlCol="0">
                        <a:prstTxWarp prst="textNoShape">
                          <a:avLst/>
                        </a:prstTxWarp>
                        <a:noAutofit/>
                      </wps:bodyPr>
                    </wps:wsp>
                  </a:graphicData>
                </a:graphic>
              </wp:anchor>
            </w:drawing>
          </mc:Choice>
          <mc:Fallback>
            <w:pict>
              <v:rect style="position:absolute;margin-left:357pt;margin-top:96.001366pt;width:2.39pt;height:.72pt;mso-position-horizontal-relative:page;mso-position-vertical-relative:paragraph;z-index:15859712" id="docshape923" filled="true" fillcolor="#0563c1" stroked="false">
                <v:fill type="solid"/>
                <w10:wrap type="none"/>
              </v:rect>
            </w:pict>
          </mc:Fallback>
        </mc:AlternateContent>
      </w:r>
      <w:r>
        <w:rPr>
          <w:rFonts w:ascii="Calibri" w:hAnsi="Calibri"/>
          <w:sz w:val="20"/>
        </w:rPr>
        <w:t>-Todas las variaciones introducidas han conservado la esencia del contrato original. El objeto sigue siendo la instalación de pantallas informativas en paradas de autobús, con las mismas funcionalidades</w:t>
      </w:r>
      <w:r>
        <w:rPr>
          <w:rFonts w:ascii="Calibri" w:hAnsi="Calibri"/>
          <w:spacing w:val="-2"/>
          <w:sz w:val="20"/>
        </w:rPr>
        <w:t> </w:t>
      </w:r>
      <w:r>
        <w:rPr>
          <w:rFonts w:ascii="Calibri" w:hAnsi="Calibri"/>
          <w:sz w:val="20"/>
        </w:rPr>
        <w:t>previstas,</w:t>
      </w:r>
      <w:r>
        <w:rPr>
          <w:rFonts w:ascii="Calibri" w:hAnsi="Calibri"/>
          <w:spacing w:val="-6"/>
          <w:sz w:val="20"/>
        </w:rPr>
        <w:t> </w:t>
      </w:r>
      <w:r>
        <w:rPr>
          <w:rFonts w:ascii="Calibri" w:hAnsi="Calibri"/>
          <w:sz w:val="20"/>
        </w:rPr>
        <w:t>ampliando</w:t>
      </w:r>
      <w:r>
        <w:rPr>
          <w:rFonts w:ascii="Calibri" w:hAnsi="Calibri"/>
          <w:spacing w:val="-2"/>
          <w:sz w:val="20"/>
        </w:rPr>
        <w:t> </w:t>
      </w:r>
      <w:r>
        <w:rPr>
          <w:rFonts w:ascii="Calibri" w:hAnsi="Calibri"/>
          <w:sz w:val="20"/>
        </w:rPr>
        <w:t>su</w:t>
      </w:r>
      <w:r>
        <w:rPr>
          <w:rFonts w:ascii="Calibri" w:hAnsi="Calibri"/>
          <w:spacing w:val="-5"/>
          <w:sz w:val="20"/>
        </w:rPr>
        <w:t> </w:t>
      </w:r>
      <w:r>
        <w:rPr>
          <w:rFonts w:ascii="Calibri" w:hAnsi="Calibri"/>
          <w:sz w:val="20"/>
        </w:rPr>
        <w:t>alcance,</w:t>
      </w:r>
      <w:r>
        <w:rPr>
          <w:rFonts w:ascii="Calibri" w:hAnsi="Calibri"/>
          <w:spacing w:val="-5"/>
          <w:sz w:val="20"/>
        </w:rPr>
        <w:t> </w:t>
      </w:r>
      <w:r>
        <w:rPr>
          <w:rFonts w:ascii="Calibri" w:hAnsi="Calibri"/>
          <w:sz w:val="20"/>
        </w:rPr>
        <w:t>pero</w:t>
      </w:r>
      <w:r>
        <w:rPr>
          <w:rFonts w:ascii="Calibri" w:hAnsi="Calibri"/>
          <w:spacing w:val="-2"/>
          <w:sz w:val="20"/>
        </w:rPr>
        <w:t> </w:t>
      </w:r>
      <w:r>
        <w:rPr>
          <w:rFonts w:ascii="Calibri" w:hAnsi="Calibri"/>
          <w:sz w:val="20"/>
        </w:rPr>
        <w:t>sin</w:t>
      </w:r>
      <w:r>
        <w:rPr>
          <w:rFonts w:ascii="Calibri" w:hAnsi="Calibri"/>
          <w:spacing w:val="-5"/>
          <w:sz w:val="20"/>
        </w:rPr>
        <w:t> </w:t>
      </w:r>
      <w:r>
        <w:rPr>
          <w:rFonts w:ascii="Calibri" w:hAnsi="Calibri"/>
          <w:sz w:val="20"/>
        </w:rPr>
        <w:t>transformarlo</w:t>
      </w:r>
      <w:r>
        <w:rPr>
          <w:rFonts w:ascii="Calibri" w:hAnsi="Calibri"/>
          <w:spacing w:val="-5"/>
          <w:sz w:val="20"/>
        </w:rPr>
        <w:t> </w:t>
      </w:r>
      <w:r>
        <w:rPr>
          <w:rFonts w:ascii="Calibri" w:hAnsi="Calibri"/>
          <w:sz w:val="20"/>
        </w:rPr>
        <w:t>en</w:t>
      </w:r>
      <w:r>
        <w:rPr>
          <w:rFonts w:ascii="Calibri" w:hAnsi="Calibri"/>
          <w:spacing w:val="-2"/>
          <w:sz w:val="20"/>
        </w:rPr>
        <w:t> </w:t>
      </w:r>
      <w:r>
        <w:rPr>
          <w:rFonts w:ascii="Calibri" w:hAnsi="Calibri"/>
          <w:sz w:val="20"/>
        </w:rPr>
        <w:t>algo distinto.</w:t>
      </w:r>
      <w:r>
        <w:rPr>
          <w:rFonts w:ascii="Calibri" w:hAnsi="Calibri"/>
          <w:spacing w:val="-3"/>
          <w:sz w:val="20"/>
        </w:rPr>
        <w:t> </w:t>
      </w:r>
      <w:r>
        <w:rPr>
          <w:rFonts w:ascii="Calibri" w:hAnsi="Calibri"/>
          <w:sz w:val="20"/>
        </w:rPr>
        <w:t>No</w:t>
      </w:r>
      <w:r>
        <w:rPr>
          <w:rFonts w:ascii="Calibri" w:hAnsi="Calibri"/>
          <w:spacing w:val="-5"/>
          <w:sz w:val="20"/>
        </w:rPr>
        <w:t> </w:t>
      </w:r>
      <w:r>
        <w:rPr>
          <w:rFonts w:ascii="Calibri" w:hAnsi="Calibri"/>
          <w:sz w:val="20"/>
        </w:rPr>
        <w:t>se han sustituido las prestaciones por otras ajenas ni se ha cambiado el tipo contractual. Las modificaciones han sido puntuales (p. ej. cambio de un modelo de pantalla por otro similar, incorporación de algunas unidades adicionales),</w:t>
      </w:r>
      <w:r>
        <w:rPr>
          <w:rFonts w:ascii="Calibri" w:hAnsi="Calibri"/>
          <w:spacing w:val="-2"/>
          <w:sz w:val="20"/>
        </w:rPr>
        <w:t> </w:t>
      </w:r>
      <w:r>
        <w:rPr>
          <w:rFonts w:ascii="Calibri" w:hAnsi="Calibri"/>
          <w:sz w:val="20"/>
        </w:rPr>
        <w:t>encajando en lo que la ley considera cambios no sustanciales que no alteran la naturaleza global del contrato</w:t>
      </w:r>
      <w:r>
        <w:rPr>
          <w:rFonts w:ascii="Calibri" w:hAnsi="Calibri"/>
          <w:color w:val="0563C1"/>
          <w:sz w:val="20"/>
        </w:rPr>
        <w:t>.</w:t>
      </w:r>
    </w:p>
    <w:p>
      <w:pPr>
        <w:spacing w:line="256" w:lineRule="auto" w:before="146"/>
        <w:ind w:left="1925" w:right="2021" w:firstLine="0"/>
        <w:jc w:val="both"/>
        <w:rPr>
          <w:rFonts w:ascii="Calibri" w:hAnsi="Calibri"/>
          <w:sz w:val="20"/>
        </w:rPr>
      </w:pPr>
      <w:r>
        <w:rPr>
          <w:rFonts w:ascii="Calibri" w:hAnsi="Calibri"/>
          <w:sz w:val="20"/>
        </w:rPr>
        <w:t>-La ejecución del contrato modificado se ha mantenido dentro de los márgenes económicos legales. El porcentaje acumulado de las modificaciones efectuadas se mantuvo dentro de lo permitido por la cláusula contractual. En suma, no se ha excedido el presupuesto ni se ha eludido la obligación de</w:t>
      </w:r>
      <w:r>
        <w:rPr>
          <w:rFonts w:ascii="Calibri" w:hAnsi="Calibri"/>
          <w:spacing w:val="-2"/>
          <w:sz w:val="20"/>
        </w:rPr>
        <w:t> </w:t>
      </w:r>
      <w:r>
        <w:rPr>
          <w:rFonts w:ascii="Calibri" w:hAnsi="Calibri"/>
          <w:sz w:val="20"/>
        </w:rPr>
        <w:t>licitar nuevas unidades de obra por encima de los límites legales.</w:t>
      </w:r>
    </w:p>
    <w:p>
      <w:pPr>
        <w:spacing w:line="256" w:lineRule="auto" w:before="146"/>
        <w:ind w:left="1925" w:right="2018" w:firstLine="0"/>
        <w:jc w:val="both"/>
        <w:rPr>
          <w:rFonts w:ascii="Calibri" w:hAnsi="Calibri"/>
          <w:sz w:val="20"/>
        </w:rPr>
      </w:pPr>
      <w:r>
        <w:rPr>
          <w:rFonts w:ascii="Calibri" w:hAnsi="Calibri"/>
          <w:sz w:val="20"/>
        </w:rPr>
        <w:t>-Las modificaciones no han alterado el equilibrio económico del contrato en perjuicio de la Administración ni en beneficio indebido de la contratista, sino que se han remunerado las unidades</w:t>
      </w:r>
      <w:r>
        <w:rPr>
          <w:rFonts w:ascii="Calibri" w:hAnsi="Calibri"/>
          <w:spacing w:val="-8"/>
          <w:sz w:val="20"/>
        </w:rPr>
        <w:t> </w:t>
      </w:r>
      <w:r>
        <w:rPr>
          <w:rFonts w:ascii="Calibri" w:hAnsi="Calibri"/>
          <w:sz w:val="20"/>
        </w:rPr>
        <w:t>adicionales</w:t>
      </w:r>
      <w:r>
        <w:rPr>
          <w:rFonts w:ascii="Calibri" w:hAnsi="Calibri"/>
          <w:spacing w:val="-6"/>
          <w:sz w:val="20"/>
        </w:rPr>
        <w:t> </w:t>
      </w:r>
      <w:r>
        <w:rPr>
          <w:rFonts w:ascii="Calibri" w:hAnsi="Calibri"/>
          <w:sz w:val="20"/>
        </w:rPr>
        <w:t>conforme</w:t>
      </w:r>
      <w:r>
        <w:rPr>
          <w:rFonts w:ascii="Calibri" w:hAnsi="Calibri"/>
          <w:spacing w:val="-5"/>
          <w:sz w:val="20"/>
        </w:rPr>
        <w:t> </w:t>
      </w:r>
      <w:r>
        <w:rPr>
          <w:rFonts w:ascii="Calibri" w:hAnsi="Calibri"/>
          <w:sz w:val="20"/>
        </w:rPr>
        <w:t>a</w:t>
      </w:r>
      <w:r>
        <w:rPr>
          <w:rFonts w:ascii="Calibri" w:hAnsi="Calibri"/>
          <w:spacing w:val="-6"/>
          <w:sz w:val="20"/>
        </w:rPr>
        <w:t> </w:t>
      </w:r>
      <w:r>
        <w:rPr>
          <w:rFonts w:ascii="Calibri" w:hAnsi="Calibri"/>
          <w:sz w:val="20"/>
        </w:rPr>
        <w:t>los</w:t>
      </w:r>
      <w:r>
        <w:rPr>
          <w:rFonts w:ascii="Calibri" w:hAnsi="Calibri"/>
          <w:spacing w:val="-10"/>
          <w:sz w:val="20"/>
        </w:rPr>
        <w:t> </w:t>
      </w:r>
      <w:r>
        <w:rPr>
          <w:rFonts w:ascii="Calibri" w:hAnsi="Calibri"/>
          <w:sz w:val="20"/>
        </w:rPr>
        <w:t>precios</w:t>
      </w:r>
      <w:r>
        <w:rPr>
          <w:rFonts w:ascii="Calibri" w:hAnsi="Calibri"/>
          <w:spacing w:val="-5"/>
          <w:sz w:val="20"/>
        </w:rPr>
        <w:t> </w:t>
      </w:r>
      <w:r>
        <w:rPr>
          <w:rFonts w:ascii="Calibri" w:hAnsi="Calibri"/>
          <w:sz w:val="20"/>
        </w:rPr>
        <w:t>unitarios</w:t>
      </w:r>
      <w:r>
        <w:rPr>
          <w:rFonts w:ascii="Calibri" w:hAnsi="Calibri"/>
          <w:spacing w:val="-7"/>
          <w:sz w:val="20"/>
        </w:rPr>
        <w:t> </w:t>
      </w:r>
      <w:r>
        <w:rPr>
          <w:rFonts w:ascii="Calibri" w:hAnsi="Calibri"/>
          <w:sz w:val="20"/>
        </w:rPr>
        <w:t>del</w:t>
      </w:r>
      <w:r>
        <w:rPr>
          <w:rFonts w:ascii="Calibri" w:hAnsi="Calibri"/>
          <w:spacing w:val="-5"/>
          <w:sz w:val="20"/>
        </w:rPr>
        <w:t> </w:t>
      </w:r>
      <w:r>
        <w:rPr>
          <w:rFonts w:ascii="Calibri" w:hAnsi="Calibri"/>
          <w:sz w:val="20"/>
        </w:rPr>
        <w:t>contrato</w:t>
      </w:r>
      <w:r>
        <w:rPr>
          <w:rFonts w:ascii="Calibri" w:hAnsi="Calibri"/>
          <w:spacing w:val="-9"/>
          <w:sz w:val="20"/>
        </w:rPr>
        <w:t> </w:t>
      </w:r>
      <w:r>
        <w:rPr>
          <w:rFonts w:ascii="Calibri" w:hAnsi="Calibri"/>
          <w:sz w:val="20"/>
        </w:rPr>
        <w:t>original</w:t>
      </w:r>
      <w:r>
        <w:rPr>
          <w:rFonts w:ascii="Calibri" w:hAnsi="Calibri"/>
          <w:spacing w:val="-5"/>
          <w:sz w:val="20"/>
        </w:rPr>
        <w:t> </w:t>
      </w:r>
      <w:r>
        <w:rPr>
          <w:rFonts w:ascii="Calibri" w:hAnsi="Calibri"/>
          <w:sz w:val="20"/>
        </w:rPr>
        <w:t>(no</w:t>
      </w:r>
      <w:r>
        <w:rPr>
          <w:rFonts w:ascii="Calibri" w:hAnsi="Calibri"/>
          <w:spacing w:val="-5"/>
          <w:sz w:val="20"/>
        </w:rPr>
        <w:t> </w:t>
      </w:r>
      <w:r>
        <w:rPr>
          <w:rFonts w:ascii="Calibri" w:hAnsi="Calibri"/>
          <w:sz w:val="20"/>
        </w:rPr>
        <w:t>se</w:t>
      </w:r>
      <w:r>
        <w:rPr>
          <w:rFonts w:ascii="Calibri" w:hAnsi="Calibri"/>
          <w:spacing w:val="-10"/>
          <w:sz w:val="20"/>
        </w:rPr>
        <w:t> </w:t>
      </w:r>
      <w:r>
        <w:rPr>
          <w:rFonts w:ascii="Calibri" w:hAnsi="Calibri"/>
          <w:sz w:val="20"/>
        </w:rPr>
        <w:t>establecieron precios nuevos no previstos, en cumplimiento de la cláusula 25 y el art. 110 RDL 3/2020). De este modo,</w:t>
      </w:r>
      <w:r>
        <w:rPr>
          <w:rFonts w:ascii="Calibri" w:hAnsi="Calibri"/>
          <w:spacing w:val="-1"/>
          <w:sz w:val="20"/>
        </w:rPr>
        <w:t> </w:t>
      </w:r>
      <w:r>
        <w:rPr>
          <w:rFonts w:ascii="Calibri" w:hAnsi="Calibri"/>
          <w:sz w:val="20"/>
        </w:rPr>
        <w:t>el contratista no obtuvo una ventaja inesperada sino la contraprestación justa por las mayores unidades suministradas, manteniéndose la relación calidad-precio acordada inicialmente.</w:t>
      </w:r>
      <w:r>
        <w:rPr>
          <w:rFonts w:ascii="Calibri" w:hAnsi="Calibri"/>
          <w:spacing w:val="-1"/>
          <w:sz w:val="20"/>
        </w:rPr>
        <w:t> </w:t>
      </w:r>
      <w:r>
        <w:rPr>
          <w:rFonts w:ascii="Calibri" w:hAnsi="Calibri"/>
          <w:sz w:val="20"/>
        </w:rPr>
        <w:t>Asimismo,</w:t>
      </w:r>
      <w:r>
        <w:rPr>
          <w:rFonts w:ascii="Calibri" w:hAnsi="Calibri"/>
          <w:spacing w:val="-2"/>
          <w:sz w:val="20"/>
        </w:rPr>
        <w:t> </w:t>
      </w:r>
      <w:r>
        <w:rPr>
          <w:rFonts w:ascii="Calibri" w:hAnsi="Calibri"/>
          <w:sz w:val="20"/>
        </w:rPr>
        <w:t>las</w:t>
      </w:r>
      <w:r>
        <w:rPr>
          <w:rFonts w:ascii="Calibri" w:hAnsi="Calibri"/>
          <w:spacing w:val="-4"/>
          <w:sz w:val="20"/>
        </w:rPr>
        <w:t> </w:t>
      </w:r>
      <w:r>
        <w:rPr>
          <w:rFonts w:ascii="Calibri" w:hAnsi="Calibri"/>
          <w:sz w:val="20"/>
        </w:rPr>
        <w:t>variaciones introducidas no</w:t>
      </w:r>
      <w:r>
        <w:rPr>
          <w:rFonts w:ascii="Calibri" w:hAnsi="Calibri"/>
          <w:spacing w:val="-2"/>
          <w:sz w:val="20"/>
        </w:rPr>
        <w:t> </w:t>
      </w:r>
      <w:r>
        <w:rPr>
          <w:rFonts w:ascii="Calibri" w:hAnsi="Calibri"/>
          <w:sz w:val="20"/>
        </w:rPr>
        <w:t>hubieran</w:t>
      </w:r>
      <w:r>
        <w:rPr>
          <w:rFonts w:ascii="Calibri" w:hAnsi="Calibri"/>
          <w:spacing w:val="-1"/>
          <w:sz w:val="20"/>
        </w:rPr>
        <w:t> </w:t>
      </w:r>
      <w:r>
        <w:rPr>
          <w:rFonts w:ascii="Calibri" w:hAnsi="Calibri"/>
          <w:sz w:val="20"/>
        </w:rPr>
        <w:t>alterado la</w:t>
      </w:r>
      <w:r>
        <w:rPr>
          <w:rFonts w:ascii="Calibri" w:hAnsi="Calibri"/>
          <w:spacing w:val="-2"/>
          <w:sz w:val="20"/>
        </w:rPr>
        <w:t> </w:t>
      </w:r>
      <w:r>
        <w:rPr>
          <w:rFonts w:ascii="Calibri" w:hAnsi="Calibri"/>
          <w:sz w:val="20"/>
        </w:rPr>
        <w:t>concurrencia ni</w:t>
      </w:r>
      <w:r>
        <w:rPr>
          <w:rFonts w:ascii="Calibri" w:hAnsi="Calibri"/>
          <w:spacing w:val="-4"/>
          <w:sz w:val="20"/>
        </w:rPr>
        <w:t> </w:t>
      </w:r>
      <w:r>
        <w:rPr>
          <w:rFonts w:ascii="Calibri" w:hAnsi="Calibri"/>
          <w:sz w:val="20"/>
        </w:rPr>
        <w:t>el resultado</w:t>
      </w:r>
      <w:r>
        <w:rPr>
          <w:rFonts w:ascii="Calibri" w:hAnsi="Calibri"/>
          <w:spacing w:val="-7"/>
          <w:sz w:val="20"/>
        </w:rPr>
        <w:t> </w:t>
      </w:r>
      <w:r>
        <w:rPr>
          <w:rFonts w:ascii="Calibri" w:hAnsi="Calibri"/>
          <w:sz w:val="20"/>
        </w:rPr>
        <w:t>de</w:t>
      </w:r>
      <w:r>
        <w:rPr>
          <w:rFonts w:ascii="Calibri" w:hAnsi="Calibri"/>
          <w:spacing w:val="-3"/>
          <w:sz w:val="20"/>
        </w:rPr>
        <w:t> </w:t>
      </w:r>
      <w:r>
        <w:rPr>
          <w:rFonts w:ascii="Calibri" w:hAnsi="Calibri"/>
          <w:sz w:val="20"/>
        </w:rPr>
        <w:t>la</w:t>
      </w:r>
      <w:r>
        <w:rPr>
          <w:rFonts w:ascii="Calibri" w:hAnsi="Calibri"/>
          <w:spacing w:val="-7"/>
          <w:sz w:val="20"/>
        </w:rPr>
        <w:t> </w:t>
      </w:r>
      <w:r>
        <w:rPr>
          <w:rFonts w:ascii="Calibri" w:hAnsi="Calibri"/>
          <w:sz w:val="20"/>
        </w:rPr>
        <w:t>licitación</w:t>
      </w:r>
      <w:r>
        <w:rPr>
          <w:rFonts w:ascii="Calibri" w:hAnsi="Calibri"/>
          <w:spacing w:val="-6"/>
          <w:sz w:val="20"/>
        </w:rPr>
        <w:t> </w:t>
      </w:r>
      <w:r>
        <w:rPr>
          <w:rFonts w:ascii="Calibri" w:hAnsi="Calibri"/>
          <w:sz w:val="20"/>
        </w:rPr>
        <w:t>inicial</w:t>
      </w:r>
      <w:r>
        <w:rPr>
          <w:rFonts w:ascii="Calibri" w:hAnsi="Calibri"/>
          <w:spacing w:val="-8"/>
          <w:sz w:val="20"/>
        </w:rPr>
        <w:t> </w:t>
      </w:r>
      <w:r>
        <w:rPr>
          <w:rFonts w:ascii="Calibri" w:hAnsi="Calibri"/>
          <w:sz w:val="20"/>
        </w:rPr>
        <w:t>de</w:t>
      </w:r>
      <w:r>
        <w:rPr>
          <w:rFonts w:ascii="Calibri" w:hAnsi="Calibri"/>
          <w:spacing w:val="-8"/>
          <w:sz w:val="20"/>
        </w:rPr>
        <w:t> </w:t>
      </w:r>
      <w:r>
        <w:rPr>
          <w:rFonts w:ascii="Calibri" w:hAnsi="Calibri"/>
          <w:sz w:val="20"/>
        </w:rPr>
        <w:t>haber</w:t>
      </w:r>
      <w:r>
        <w:rPr>
          <w:rFonts w:ascii="Calibri" w:hAnsi="Calibri"/>
          <w:spacing w:val="-6"/>
          <w:sz w:val="20"/>
        </w:rPr>
        <w:t> </w:t>
      </w:r>
      <w:r>
        <w:rPr>
          <w:rFonts w:ascii="Calibri" w:hAnsi="Calibri"/>
          <w:sz w:val="20"/>
        </w:rPr>
        <w:t>estado</w:t>
      </w:r>
      <w:r>
        <w:rPr>
          <w:rFonts w:ascii="Calibri" w:hAnsi="Calibri"/>
          <w:spacing w:val="-6"/>
          <w:sz w:val="20"/>
        </w:rPr>
        <w:t> </w:t>
      </w:r>
      <w:r>
        <w:rPr>
          <w:rFonts w:ascii="Calibri" w:hAnsi="Calibri"/>
          <w:sz w:val="20"/>
        </w:rPr>
        <w:t>contempladas</w:t>
      </w:r>
      <w:r>
        <w:rPr>
          <w:rFonts w:ascii="Calibri" w:hAnsi="Calibri"/>
          <w:spacing w:val="-6"/>
          <w:sz w:val="20"/>
        </w:rPr>
        <w:t> </w:t>
      </w:r>
      <w:r>
        <w:rPr>
          <w:rFonts w:ascii="Calibri" w:hAnsi="Calibri"/>
          <w:sz w:val="20"/>
        </w:rPr>
        <w:t>desde</w:t>
      </w:r>
      <w:r>
        <w:rPr>
          <w:rFonts w:ascii="Calibri" w:hAnsi="Calibri"/>
          <w:spacing w:val="-3"/>
          <w:sz w:val="20"/>
        </w:rPr>
        <w:t> </w:t>
      </w:r>
      <w:r>
        <w:rPr>
          <w:rFonts w:ascii="Calibri" w:hAnsi="Calibri"/>
          <w:sz w:val="20"/>
        </w:rPr>
        <w:t>un</w:t>
      </w:r>
      <w:r>
        <w:rPr>
          <w:rFonts w:ascii="Calibri" w:hAnsi="Calibri"/>
          <w:spacing w:val="-6"/>
          <w:sz w:val="20"/>
        </w:rPr>
        <w:t> </w:t>
      </w:r>
      <w:r>
        <w:rPr>
          <w:rFonts w:ascii="Calibri" w:hAnsi="Calibri"/>
          <w:sz w:val="20"/>
        </w:rPr>
        <w:t>principio,</w:t>
      </w:r>
      <w:r>
        <w:rPr>
          <w:rFonts w:ascii="Calibri" w:hAnsi="Calibri"/>
          <w:spacing w:val="-6"/>
          <w:sz w:val="20"/>
        </w:rPr>
        <w:t> </w:t>
      </w:r>
      <w:r>
        <w:rPr>
          <w:rFonts w:ascii="Calibri" w:hAnsi="Calibri"/>
          <w:sz w:val="20"/>
        </w:rPr>
        <w:t>dado</w:t>
      </w:r>
      <w:r>
        <w:rPr>
          <w:rFonts w:ascii="Calibri" w:hAnsi="Calibri"/>
          <w:spacing w:val="-5"/>
          <w:sz w:val="20"/>
        </w:rPr>
        <w:t> </w:t>
      </w:r>
      <w:r>
        <w:rPr>
          <w:rFonts w:ascii="Calibri" w:hAnsi="Calibri"/>
          <w:sz w:val="20"/>
        </w:rPr>
        <w:t>que</w:t>
      </w:r>
      <w:r>
        <w:rPr>
          <w:rFonts w:ascii="Calibri" w:hAnsi="Calibri"/>
          <w:spacing w:val="-3"/>
          <w:sz w:val="20"/>
        </w:rPr>
        <w:t> </w:t>
      </w:r>
      <w:r>
        <w:rPr>
          <w:rFonts w:ascii="Calibri" w:hAnsi="Calibri"/>
          <w:sz w:val="20"/>
        </w:rPr>
        <w:t>no suponen un cambio de las condiciones esenciales. Por tanto, la modificación no vulneró los principios de igualdad de trato ni competencia.</w:t>
      </w:r>
    </w:p>
    <w:p>
      <w:pPr>
        <w:spacing w:line="256" w:lineRule="auto" w:before="148"/>
        <w:ind w:left="1925" w:right="2020" w:firstLine="0"/>
        <w:jc w:val="both"/>
        <w:rPr>
          <w:rFonts w:ascii="Calibri" w:hAnsi="Calibri"/>
          <w:sz w:val="20"/>
        </w:rPr>
      </w:pPr>
      <w:r>
        <w:rPr>
          <w:rFonts w:ascii="Calibri" w:hAnsi="Calibri"/>
          <w:sz w:val="20"/>
        </w:rPr>
        <w:t>- A mayor abundamiento, gracias a la realización de estas modificaciones, la ejecución del contrato</w:t>
      </w:r>
      <w:r>
        <w:rPr>
          <w:rFonts w:ascii="Calibri" w:hAnsi="Calibri"/>
          <w:spacing w:val="-3"/>
          <w:sz w:val="20"/>
        </w:rPr>
        <w:t> </w:t>
      </w:r>
      <w:r>
        <w:rPr>
          <w:rFonts w:ascii="Calibri" w:hAnsi="Calibri"/>
          <w:sz w:val="20"/>
        </w:rPr>
        <w:t>016/2022</w:t>
      </w:r>
      <w:r>
        <w:rPr>
          <w:rFonts w:ascii="Calibri" w:hAnsi="Calibri"/>
          <w:spacing w:val="-6"/>
          <w:sz w:val="20"/>
        </w:rPr>
        <w:t> </w:t>
      </w:r>
      <w:r>
        <w:rPr>
          <w:rFonts w:ascii="Calibri" w:hAnsi="Calibri"/>
          <w:sz w:val="20"/>
        </w:rPr>
        <w:t>ha</w:t>
      </w:r>
      <w:r>
        <w:rPr>
          <w:rFonts w:ascii="Calibri" w:hAnsi="Calibri"/>
          <w:spacing w:val="-4"/>
          <w:sz w:val="20"/>
        </w:rPr>
        <w:t> </w:t>
      </w:r>
      <w:r>
        <w:rPr>
          <w:rFonts w:ascii="Calibri" w:hAnsi="Calibri"/>
          <w:sz w:val="20"/>
        </w:rPr>
        <w:t>logrado</w:t>
      </w:r>
      <w:r>
        <w:rPr>
          <w:rFonts w:ascii="Calibri" w:hAnsi="Calibri"/>
          <w:spacing w:val="-3"/>
          <w:sz w:val="20"/>
        </w:rPr>
        <w:t> </w:t>
      </w:r>
      <w:r>
        <w:rPr>
          <w:rFonts w:ascii="Calibri" w:hAnsi="Calibri"/>
          <w:sz w:val="20"/>
        </w:rPr>
        <w:t>un</w:t>
      </w:r>
      <w:r>
        <w:rPr>
          <w:rFonts w:ascii="Calibri" w:hAnsi="Calibri"/>
          <w:spacing w:val="-5"/>
          <w:sz w:val="20"/>
        </w:rPr>
        <w:t> </w:t>
      </w:r>
      <w:r>
        <w:rPr>
          <w:rFonts w:ascii="Calibri" w:hAnsi="Calibri"/>
          <w:sz w:val="20"/>
        </w:rPr>
        <w:t>impacto</w:t>
      </w:r>
      <w:r>
        <w:rPr>
          <w:rFonts w:ascii="Calibri" w:hAnsi="Calibri"/>
          <w:spacing w:val="-5"/>
          <w:sz w:val="20"/>
        </w:rPr>
        <w:t> </w:t>
      </w:r>
      <w:r>
        <w:rPr>
          <w:rFonts w:ascii="Calibri" w:hAnsi="Calibri"/>
          <w:sz w:val="20"/>
        </w:rPr>
        <w:t>mayor</w:t>
      </w:r>
      <w:r>
        <w:rPr>
          <w:rFonts w:ascii="Calibri" w:hAnsi="Calibri"/>
          <w:spacing w:val="-7"/>
          <w:sz w:val="20"/>
        </w:rPr>
        <w:t> </w:t>
      </w:r>
      <w:r>
        <w:rPr>
          <w:rFonts w:ascii="Calibri" w:hAnsi="Calibri"/>
          <w:sz w:val="20"/>
        </w:rPr>
        <w:t>y</w:t>
      </w:r>
      <w:r>
        <w:rPr>
          <w:rFonts w:ascii="Calibri" w:hAnsi="Calibri"/>
          <w:spacing w:val="-5"/>
          <w:sz w:val="20"/>
        </w:rPr>
        <w:t> </w:t>
      </w:r>
      <w:r>
        <w:rPr>
          <w:rFonts w:ascii="Calibri" w:hAnsi="Calibri"/>
          <w:sz w:val="20"/>
        </w:rPr>
        <w:t>más</w:t>
      </w:r>
      <w:r>
        <w:rPr>
          <w:rFonts w:ascii="Calibri" w:hAnsi="Calibri"/>
          <w:spacing w:val="-3"/>
          <w:sz w:val="20"/>
        </w:rPr>
        <w:t> </w:t>
      </w:r>
      <w:r>
        <w:rPr>
          <w:rFonts w:ascii="Calibri" w:hAnsi="Calibri"/>
          <w:sz w:val="20"/>
        </w:rPr>
        <w:t>beneficioso</w:t>
      </w:r>
      <w:r>
        <w:rPr>
          <w:rFonts w:ascii="Calibri" w:hAnsi="Calibri"/>
          <w:spacing w:val="-6"/>
          <w:sz w:val="20"/>
        </w:rPr>
        <w:t> </w:t>
      </w:r>
      <w:r>
        <w:rPr>
          <w:rFonts w:ascii="Calibri" w:hAnsi="Calibri"/>
          <w:sz w:val="20"/>
        </w:rPr>
        <w:t>para</w:t>
      </w:r>
      <w:r>
        <w:rPr>
          <w:rFonts w:ascii="Calibri" w:hAnsi="Calibri"/>
          <w:spacing w:val="-5"/>
          <w:sz w:val="20"/>
        </w:rPr>
        <w:t> </w:t>
      </w:r>
      <w:r>
        <w:rPr>
          <w:rFonts w:ascii="Calibri" w:hAnsi="Calibri"/>
          <w:sz w:val="20"/>
        </w:rPr>
        <w:t>el</w:t>
      </w:r>
      <w:r>
        <w:rPr>
          <w:rFonts w:ascii="Calibri" w:hAnsi="Calibri"/>
          <w:spacing w:val="-8"/>
          <w:sz w:val="20"/>
        </w:rPr>
        <w:t> </w:t>
      </w:r>
      <w:r>
        <w:rPr>
          <w:rFonts w:ascii="Calibri" w:hAnsi="Calibri"/>
          <w:sz w:val="20"/>
        </w:rPr>
        <w:t>servicio</w:t>
      </w:r>
      <w:r>
        <w:rPr>
          <w:rFonts w:ascii="Calibri" w:hAnsi="Calibri"/>
          <w:spacing w:val="-5"/>
          <w:sz w:val="20"/>
        </w:rPr>
        <w:t> </w:t>
      </w:r>
      <w:r>
        <w:rPr>
          <w:rFonts w:ascii="Calibri" w:hAnsi="Calibri"/>
          <w:sz w:val="20"/>
        </w:rPr>
        <w:t>público,</w:t>
      </w:r>
      <w:r>
        <w:rPr>
          <w:rFonts w:ascii="Calibri" w:hAnsi="Calibri"/>
          <w:spacing w:val="-3"/>
          <w:sz w:val="20"/>
        </w:rPr>
        <w:t> </w:t>
      </w:r>
      <w:r>
        <w:rPr>
          <w:rFonts w:ascii="Calibri" w:hAnsi="Calibri"/>
          <w:sz w:val="20"/>
        </w:rPr>
        <w:t>sin</w:t>
      </w:r>
    </w:p>
    <w:p>
      <w:pPr>
        <w:pStyle w:val="BodyText"/>
        <w:spacing w:before="213"/>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250" name="Group 1250"/>
                <wp:cNvGraphicFramePr>
                  <a:graphicFrameLocks/>
                </wp:cNvGraphicFramePr>
                <a:graphic>
                  <a:graphicData uri="http://schemas.microsoft.com/office/word/2010/wordprocessingGroup">
                    <wpg:wgp>
                      <wpg:cNvPr id="1250" name="Group 1250"/>
                      <wpg:cNvGrpSpPr/>
                      <wpg:grpSpPr>
                        <a:xfrm>
                          <a:off x="0" y="0"/>
                          <a:ext cx="1870075" cy="6350"/>
                          <a:chExt cx="1870075" cy="6350"/>
                        </a:xfrm>
                      </wpg:grpSpPr>
                      <wps:wsp>
                        <wps:cNvPr id="1251" name="Graphic 1251"/>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924" coordorigin="0,0" coordsize="2945,10">
                <v:rect style="position:absolute;left:0;top:0;width:2945;height:10" id="docshape925"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252" name="Group 1252"/>
                <wp:cNvGraphicFramePr>
                  <a:graphicFrameLocks/>
                </wp:cNvGraphicFramePr>
                <a:graphic>
                  <a:graphicData uri="http://schemas.microsoft.com/office/word/2010/wordprocessingGroup">
                    <wpg:wgp>
                      <wpg:cNvPr id="1252" name="Group 1252"/>
                      <wpg:cNvGrpSpPr/>
                      <wpg:grpSpPr>
                        <a:xfrm>
                          <a:off x="0" y="0"/>
                          <a:ext cx="841375" cy="6350"/>
                          <a:chExt cx="841375" cy="6350"/>
                        </a:xfrm>
                      </wpg:grpSpPr>
                      <wps:wsp>
                        <wps:cNvPr id="1253" name="Graphic 1253"/>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926" coordorigin="0,0" coordsize="1325,10">
                <v:rect style="position:absolute;left:0;top:0;width:1325;height:10" id="docshape927"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57"/>
          <w:headerReference w:type="default" r:id="rId258"/>
          <w:footerReference w:type="even" r:id="rId259"/>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397184">
                <wp:simplePos x="0" y="0"/>
                <wp:positionH relativeFrom="page">
                  <wp:posOffset>4384239</wp:posOffset>
                </wp:positionH>
                <wp:positionV relativeFrom="paragraph">
                  <wp:posOffset>1412477</wp:posOffset>
                </wp:positionV>
                <wp:extent cx="53340" cy="100330"/>
                <wp:effectExtent l="0" t="0" r="0" b="0"/>
                <wp:wrapNone/>
                <wp:docPr id="1254" name="Textbox 1254"/>
                <wp:cNvGraphicFramePr>
                  <a:graphicFrameLocks/>
                </wp:cNvGraphicFramePr>
                <a:graphic>
                  <a:graphicData uri="http://schemas.microsoft.com/office/word/2010/wordprocessingShape">
                    <wps:wsp>
                      <wps:cNvPr id="1254" name="Textbox 1254"/>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F</w:t>
                            </w:r>
                          </w:p>
                        </w:txbxContent>
                      </wps:txbx>
                      <wps:bodyPr wrap="square" lIns="0" tIns="0" rIns="0" bIns="0" rtlCol="0">
                        <a:noAutofit/>
                      </wps:bodyPr>
                    </wps:wsp>
                  </a:graphicData>
                </a:graphic>
              </wp:anchor>
            </w:drawing>
          </mc:Choice>
          <mc:Fallback>
            <w:pict>
              <v:shape style="position:absolute;margin-left:345.215698pt;margin-top:111.218727pt;width:4.2pt;height:7.9pt;mso-position-horizontal-relative:page;mso-position-vertical-relative:paragraph;z-index:-28919296" type="#_x0000_t202" id="docshape928" filled="false" stroked="false">
                <v:textbox inset="0,0,0,0">
                  <w:txbxContent>
                    <w:p>
                      <w:pPr>
                        <w:spacing w:line="158" w:lineRule="exact" w:before="0"/>
                        <w:ind w:left="0" w:right="0" w:firstLine="0"/>
                        <w:jc w:val="left"/>
                        <w:rPr>
                          <w:rFonts w:ascii="Courier New"/>
                          <w:sz w:val="14"/>
                        </w:rPr>
                      </w:pPr>
                      <w:r>
                        <w:rPr>
                          <w:rFonts w:ascii="Courier New"/>
                          <w:spacing w:val="-12"/>
                          <w:sz w:val="14"/>
                        </w:rPr>
                        <w:t>F</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24"/>
        <w:gridCol w:w="2321"/>
        <w:gridCol w:w="806"/>
        <w:gridCol w:w="457"/>
        <w:gridCol w:w="1022"/>
        <w:gridCol w:w="817"/>
        <w:gridCol w:w="1247"/>
        <w:gridCol w:w="101"/>
        <w:gridCol w:w="1063"/>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24" w:type="dxa"/>
            <w:tcBorders>
              <w:left w:val="single" w:sz="6" w:space="0" w:color="000000"/>
              <w:bottom w:val="single" w:sz="6" w:space="0" w:color="000000"/>
              <w:right w:val="nil"/>
            </w:tcBorders>
          </w:tcPr>
          <w:p>
            <w:pPr>
              <w:pStyle w:val="TableParagraph"/>
              <w:rPr>
                <w:rFonts w:ascii="Times New Roman"/>
                <w:sz w:val="14"/>
              </w:rPr>
            </w:pPr>
          </w:p>
        </w:tc>
        <w:tc>
          <w:tcPr>
            <w:tcW w:w="2321" w:type="dxa"/>
            <w:tcBorders>
              <w:top w:val="nil"/>
              <w:left w:val="nil"/>
              <w:bottom w:val="single" w:sz="6" w:space="0" w:color="000000"/>
              <w:right w:val="nil"/>
            </w:tcBorders>
            <w:shd w:val="clear" w:color="auto" w:fill="000000"/>
          </w:tcPr>
          <w:p>
            <w:pPr>
              <w:pStyle w:val="TableParagraph"/>
              <w:rPr>
                <w:rFonts w:ascii="Times New Roman"/>
                <w:sz w:val="14"/>
              </w:rPr>
            </w:pPr>
          </w:p>
        </w:tc>
        <w:tc>
          <w:tcPr>
            <w:tcW w:w="1263"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1255" name="Image 1255"/>
                  <wp:cNvGraphicFramePr>
                    <a:graphicFrameLocks/>
                  </wp:cNvGraphicFramePr>
                  <a:graphic>
                    <a:graphicData uri="http://schemas.openxmlformats.org/drawingml/2006/picture">
                      <pic:pic>
                        <pic:nvPicPr>
                          <pic:cNvPr id="1255" name="Image 1255"/>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1256" name="Image 1256"/>
                  <wp:cNvGraphicFramePr>
                    <a:graphicFrameLocks/>
                  </wp:cNvGraphicFramePr>
                  <a:graphic>
                    <a:graphicData uri="http://schemas.openxmlformats.org/drawingml/2006/picture">
                      <pic:pic>
                        <pic:nvPicPr>
                          <pic:cNvPr id="1256" name="Image 1256"/>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01" w:type="dxa"/>
            <w:vMerge w:val="restart"/>
            <w:tcBorders>
              <w:top w:val="nil"/>
              <w:bottom w:val="single" w:sz="6" w:space="0" w:color="000000"/>
              <w:right w:val="nil"/>
            </w:tcBorders>
          </w:tcPr>
          <w:p>
            <w:pPr>
              <w:pStyle w:val="TableParagraph"/>
              <w:rPr>
                <w:rFonts w:ascii="Times New Roman"/>
                <w:sz w:val="18"/>
              </w:rPr>
            </w:pPr>
          </w:p>
        </w:tc>
        <w:tc>
          <w:tcPr>
            <w:tcW w:w="1063" w:type="dxa"/>
            <w:vMerge w:val="restart"/>
            <w:tcBorders>
              <w:top w:val="nil"/>
              <w:left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398208">
                      <wp:simplePos x="0" y="0"/>
                      <wp:positionH relativeFrom="column">
                        <wp:posOffset>-1298447</wp:posOffset>
                      </wp:positionH>
                      <wp:positionV relativeFrom="paragraph">
                        <wp:posOffset>-144895</wp:posOffset>
                      </wp:positionV>
                      <wp:extent cx="1298575" cy="417830"/>
                      <wp:effectExtent l="0" t="0" r="0" b="0"/>
                      <wp:wrapNone/>
                      <wp:docPr id="1257" name="Group 1257"/>
                      <wp:cNvGraphicFramePr>
                        <a:graphicFrameLocks/>
                      </wp:cNvGraphicFramePr>
                      <a:graphic>
                        <a:graphicData uri="http://schemas.microsoft.com/office/word/2010/wordprocessingGroup">
                          <wpg:wgp>
                            <wpg:cNvPr id="1257" name="Group 1257"/>
                            <wpg:cNvGrpSpPr/>
                            <wpg:grpSpPr>
                              <a:xfrm>
                                <a:off x="0" y="0"/>
                                <a:ext cx="1298575" cy="417830"/>
                                <a:chExt cx="1298575" cy="417830"/>
                              </a:xfrm>
                            </wpg:grpSpPr>
                            <wps:wsp>
                              <wps:cNvPr id="1258" name="Graphic 1258"/>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259" name="Image 1259"/>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18272" id="docshapegroup929" coordorigin="-2045,-228" coordsize="2045,658">
                      <v:shape style="position:absolute;left:-2045;top:-229;width:2045;height:658" id="docshape930" coordorigin="-2045,-228" coordsize="2045,658" path="m0,-228l-2045,-228,-2045,-10,-2045,-7,-2045,429,0,429,0,-7,0,-10,0,-228xe" filled="true" fillcolor="#cccccc" stroked="false">
                        <v:path arrowok="t"/>
                        <v:fill type="solid"/>
                      </v:shape>
                      <v:shape style="position:absolute;left:-1973;top:-154;width:1896;height:327" type="#_x0000_t75" id="docshape931"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01" w:type="dxa"/>
            <w:vMerge/>
            <w:tcBorders>
              <w:top w:val="nil"/>
              <w:bottom w:val="single" w:sz="6" w:space="0" w:color="000000"/>
              <w:right w:val="nil"/>
            </w:tcBorders>
          </w:tcPr>
          <w:p>
            <w:pPr>
              <w:rPr>
                <w:sz w:val="2"/>
                <w:szCs w:val="2"/>
              </w:rPr>
            </w:pPr>
          </w:p>
        </w:tc>
        <w:tc>
          <w:tcPr>
            <w:tcW w:w="1063"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260" name="Image 1260"/>
                  <wp:cNvGraphicFramePr>
                    <a:graphicFrameLocks/>
                  </wp:cNvGraphicFramePr>
                  <a:graphic>
                    <a:graphicData uri="http://schemas.openxmlformats.org/drawingml/2006/picture">
                      <pic:pic>
                        <pic:nvPicPr>
                          <pic:cNvPr id="1260" name="Image 1260"/>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1261" name="Image 1261"/>
                  <wp:cNvGraphicFramePr>
                    <a:graphicFrameLocks/>
                  </wp:cNvGraphicFramePr>
                  <a:graphic>
                    <a:graphicData uri="http://schemas.openxmlformats.org/drawingml/2006/picture">
                      <pic:pic>
                        <pic:nvPicPr>
                          <pic:cNvPr id="1261" name="Image 1261"/>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jc w:val="center"/>
              <w:rPr>
                <w:rFonts w:ascii="Arial"/>
                <w:sz w:val="14"/>
              </w:rPr>
            </w:pPr>
            <w:r>
              <w:rPr>
                <w:rFonts w:ascii="Arial"/>
                <w:sz w:val="14"/>
              </w:rPr>
              <mc:AlternateContent>
                <mc:Choice Requires="wps">
                  <w:drawing>
                    <wp:anchor distT="0" distB="0" distL="0" distR="0" allowOverlap="1" layoutInCell="1" locked="0" behindDoc="1" simplePos="0" relativeHeight="474398720">
                      <wp:simplePos x="0" y="0"/>
                      <wp:positionH relativeFrom="column">
                        <wp:posOffset>1320546</wp:posOffset>
                      </wp:positionH>
                      <wp:positionV relativeFrom="paragraph">
                        <wp:posOffset>-311719</wp:posOffset>
                      </wp:positionV>
                      <wp:extent cx="734695" cy="749935"/>
                      <wp:effectExtent l="0" t="0" r="0" b="0"/>
                      <wp:wrapNone/>
                      <wp:docPr id="1262" name="Group 1262"/>
                      <wp:cNvGraphicFramePr>
                        <a:graphicFrameLocks/>
                      </wp:cNvGraphicFramePr>
                      <a:graphic>
                        <a:graphicData uri="http://schemas.microsoft.com/office/word/2010/wordprocessingGroup">
                          <wpg:wgp>
                            <wpg:cNvPr id="1262" name="Group 1262"/>
                            <wpg:cNvGrpSpPr/>
                            <wpg:grpSpPr>
                              <a:xfrm>
                                <a:off x="0" y="0"/>
                                <a:ext cx="734695" cy="749935"/>
                                <a:chExt cx="734695" cy="749935"/>
                              </a:xfrm>
                            </wpg:grpSpPr>
                            <pic:pic>
                              <pic:nvPicPr>
                                <pic:cNvPr id="1263" name="Image 1263"/>
                                <pic:cNvPicPr/>
                              </pic:nvPicPr>
                              <pic:blipFill>
                                <a:blip r:embed="rId220" cstate="print"/>
                                <a:stretch>
                                  <a:fillRect/>
                                </a:stretch>
                              </pic:blipFill>
                              <pic:spPr>
                                <a:xfrm>
                                  <a:off x="0" y="0"/>
                                  <a:ext cx="734567" cy="749030"/>
                                </a:xfrm>
                                <a:prstGeom prst="rect">
                                  <a:avLst/>
                                </a:prstGeom>
                              </pic:spPr>
                            </pic:pic>
                            <wps:wsp>
                              <wps:cNvPr id="1264" name="Graphic 1264"/>
                              <wps:cNvSpPr/>
                              <wps:spPr>
                                <a:xfrm>
                                  <a:off x="55524" y="55153"/>
                                  <a:ext cx="664845" cy="694690"/>
                                </a:xfrm>
                                <a:custGeom>
                                  <a:avLst/>
                                  <a:gdLst/>
                                  <a:ahLst/>
                                  <a:cxnLst/>
                                  <a:rect l="l" t="t" r="r" b="b"/>
                                  <a:pathLst>
                                    <a:path w="664845" h="694690">
                                      <a:moveTo>
                                        <a:pt x="664552" y="0"/>
                                      </a:moveTo>
                                      <a:lnTo>
                                        <a:pt x="0" y="0"/>
                                      </a:lnTo>
                                      <a:lnTo>
                                        <a:pt x="0" y="694486"/>
                                      </a:lnTo>
                                      <a:lnTo>
                                        <a:pt x="664552" y="694486"/>
                                      </a:lnTo>
                                      <a:lnTo>
                                        <a:pt x="66455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05pt;mso-position-horizontal-relative:column;mso-position-vertical-relative:paragraph;z-index:-28917760" id="docshapegroup932" coordorigin="2080,-491" coordsize="1157,1181">
                      <v:shape style="position:absolute;left:2079;top:-491;width:1157;height:1180" type="#_x0000_t75" id="docshape933" stroked="false">
                        <v:imagedata r:id="rId220" o:title=""/>
                      </v:shape>
                      <v:rect style="position:absolute;left:2167;top:-405;width:1047;height:1094" id="docshape934" filled="true" fillcolor="#000000" stroked="false">
                        <v:fill type="solid"/>
                      </v:rect>
                      <w10:wrap type="none"/>
                    </v:group>
                  </w:pict>
                </mc:Fallback>
              </mc:AlternateContent>
            </w:r>
            <w:r>
              <w:rPr>
                <w:rFonts w:ascii="Arial"/>
                <w:spacing w:val="-2"/>
                <w:sz w:val="14"/>
              </w:rPr>
              <w:t>18/40</w:t>
            </w:r>
          </w:p>
        </w:tc>
        <w:tc>
          <w:tcPr>
            <w:tcW w:w="101" w:type="dxa"/>
            <w:vMerge/>
            <w:tcBorders>
              <w:top w:val="nil"/>
              <w:bottom w:val="single" w:sz="6" w:space="0" w:color="000000"/>
              <w:right w:val="nil"/>
            </w:tcBorders>
          </w:tcPr>
          <w:p>
            <w:pPr>
              <w:rPr>
                <w:sz w:val="2"/>
                <w:szCs w:val="2"/>
              </w:rPr>
            </w:pPr>
          </w:p>
        </w:tc>
        <w:tc>
          <w:tcPr>
            <w:tcW w:w="1063"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265" name="Image 1265"/>
                  <wp:cNvGraphicFramePr>
                    <a:graphicFrameLocks/>
                  </wp:cNvGraphicFramePr>
                  <a:graphic>
                    <a:graphicData uri="http://schemas.openxmlformats.org/drawingml/2006/picture">
                      <pic:pic>
                        <pic:nvPicPr>
                          <pic:cNvPr id="1265" name="Image 1265"/>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651"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211">
              <w:r>
                <w:rPr>
                  <w:rFonts w:ascii="Courier New"/>
                  <w:spacing w:val="-2"/>
                  <w:sz w:val="14"/>
                </w:rPr>
                <w:t>https://valida.malaga.eu/verifirma/code/</w:t>
              </w:r>
            </w:hyperlink>
          </w:p>
        </w:tc>
        <w:tc>
          <w:tcPr>
            <w:tcW w:w="2296"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01" w:type="dxa"/>
            <w:vMerge/>
            <w:tcBorders>
              <w:top w:val="nil"/>
              <w:bottom w:val="single" w:sz="6" w:space="0" w:color="000000"/>
              <w:right w:val="nil"/>
            </w:tcBorders>
          </w:tcPr>
          <w:p>
            <w:pPr>
              <w:rPr>
                <w:sz w:val="2"/>
                <w:szCs w:val="2"/>
              </w:rPr>
            </w:pPr>
          </w:p>
        </w:tc>
        <w:tc>
          <w:tcPr>
            <w:tcW w:w="1063" w:type="dxa"/>
            <w:vMerge/>
            <w:tcBorders>
              <w:top w:val="nil"/>
              <w:left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266" name="Image 1266"/>
                  <wp:cNvGraphicFramePr>
                    <a:graphicFrameLocks/>
                  </wp:cNvGraphicFramePr>
                  <a:graphic>
                    <a:graphicData uri="http://schemas.openxmlformats.org/drawingml/2006/picture">
                      <pic:pic>
                        <pic:nvPicPr>
                          <pic:cNvPr id="1266" name="Image 1266"/>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01" w:type="dxa"/>
            <w:vMerge/>
            <w:tcBorders>
              <w:top w:val="nil"/>
              <w:bottom w:val="single" w:sz="6" w:space="0" w:color="000000"/>
              <w:right w:val="nil"/>
            </w:tcBorders>
          </w:tcPr>
          <w:p>
            <w:pPr>
              <w:rPr>
                <w:sz w:val="2"/>
                <w:szCs w:val="2"/>
              </w:rPr>
            </w:pPr>
          </w:p>
        </w:tc>
        <w:tc>
          <w:tcPr>
            <w:tcW w:w="1063" w:type="dxa"/>
            <w:vMerge/>
            <w:tcBorders>
              <w:top w:val="nil"/>
              <w:left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1925" w:right="2019" w:firstLine="0"/>
        <w:jc w:val="both"/>
        <w:rPr>
          <w:rFonts w:ascii="Calibri" w:hAnsi="Calibri"/>
          <w:sz w:val="20"/>
        </w:rPr>
      </w:pPr>
      <w:r>
        <w:rPr>
          <w:rFonts w:ascii="Calibri" w:hAnsi="Calibri"/>
          <w:sz w:val="20"/>
        </w:rPr>
        <w:t>desviaciones de tiempo ni coste injustificadas. De hecho, el resultado es que Málaga cuenta ahora con una red de paradas de autobús más moderna y extensa, dotada de paneles informativos en tiempo real en más ubicaciones y con mejor visibilidad, todo ello dentro del marco</w:t>
      </w:r>
      <w:r>
        <w:rPr>
          <w:rFonts w:ascii="Calibri" w:hAnsi="Calibri"/>
          <w:spacing w:val="-6"/>
          <w:sz w:val="20"/>
        </w:rPr>
        <w:t> </w:t>
      </w:r>
      <w:r>
        <w:rPr>
          <w:rFonts w:ascii="Calibri" w:hAnsi="Calibri"/>
          <w:sz w:val="20"/>
        </w:rPr>
        <w:t>contractual</w:t>
      </w:r>
      <w:r>
        <w:rPr>
          <w:rFonts w:ascii="Calibri" w:hAnsi="Calibri"/>
          <w:spacing w:val="-10"/>
          <w:sz w:val="20"/>
        </w:rPr>
        <w:t> </w:t>
      </w:r>
      <w:r>
        <w:rPr>
          <w:rFonts w:ascii="Calibri" w:hAnsi="Calibri"/>
          <w:sz w:val="20"/>
        </w:rPr>
        <w:t>original</w:t>
      </w:r>
      <w:r>
        <w:rPr>
          <w:rFonts w:ascii="Calibri" w:hAnsi="Calibri"/>
          <w:spacing w:val="-9"/>
          <w:sz w:val="20"/>
        </w:rPr>
        <w:t> </w:t>
      </w:r>
      <w:r>
        <w:rPr>
          <w:rFonts w:ascii="Calibri" w:hAnsi="Calibri"/>
          <w:sz w:val="20"/>
        </w:rPr>
        <w:t>pero</w:t>
      </w:r>
      <w:r>
        <w:rPr>
          <w:rFonts w:ascii="Calibri" w:hAnsi="Calibri"/>
          <w:spacing w:val="-8"/>
          <w:sz w:val="20"/>
        </w:rPr>
        <w:t> </w:t>
      </w:r>
      <w:r>
        <w:rPr>
          <w:rFonts w:ascii="Calibri" w:hAnsi="Calibri"/>
          <w:sz w:val="20"/>
        </w:rPr>
        <w:t>optimizado.</w:t>
      </w:r>
      <w:r>
        <w:rPr>
          <w:rFonts w:ascii="Calibri" w:hAnsi="Calibri"/>
          <w:spacing w:val="-7"/>
          <w:sz w:val="20"/>
        </w:rPr>
        <w:t> </w:t>
      </w:r>
      <w:r>
        <w:rPr>
          <w:rFonts w:ascii="Calibri" w:hAnsi="Calibri"/>
          <w:sz w:val="20"/>
        </w:rPr>
        <w:t>En</w:t>
      </w:r>
      <w:r>
        <w:rPr>
          <w:rFonts w:ascii="Calibri" w:hAnsi="Calibri"/>
          <w:spacing w:val="-6"/>
          <w:sz w:val="20"/>
        </w:rPr>
        <w:t> </w:t>
      </w:r>
      <w:r>
        <w:rPr>
          <w:rFonts w:ascii="Calibri" w:hAnsi="Calibri"/>
          <w:sz w:val="20"/>
        </w:rPr>
        <w:t>términos</w:t>
      </w:r>
      <w:r>
        <w:rPr>
          <w:rFonts w:ascii="Calibri" w:hAnsi="Calibri"/>
          <w:spacing w:val="-7"/>
          <w:sz w:val="20"/>
        </w:rPr>
        <w:t> </w:t>
      </w:r>
      <w:r>
        <w:rPr>
          <w:rFonts w:ascii="Calibri" w:hAnsi="Calibri"/>
          <w:sz w:val="20"/>
        </w:rPr>
        <w:t>de</w:t>
      </w:r>
      <w:r>
        <w:rPr>
          <w:rFonts w:ascii="Calibri" w:hAnsi="Calibri"/>
          <w:spacing w:val="-6"/>
          <w:sz w:val="20"/>
        </w:rPr>
        <w:t> </w:t>
      </w:r>
      <w:r>
        <w:rPr>
          <w:rFonts w:ascii="Calibri" w:hAnsi="Calibri"/>
          <w:sz w:val="20"/>
        </w:rPr>
        <w:t>eficacia,</w:t>
      </w:r>
      <w:r>
        <w:rPr>
          <w:rFonts w:ascii="Calibri" w:hAnsi="Calibri"/>
          <w:spacing w:val="-8"/>
          <w:sz w:val="20"/>
        </w:rPr>
        <w:t> </w:t>
      </w:r>
      <w:r>
        <w:rPr>
          <w:rFonts w:ascii="Calibri" w:hAnsi="Calibri"/>
          <w:sz w:val="20"/>
        </w:rPr>
        <w:t>se</w:t>
      </w:r>
      <w:r>
        <w:rPr>
          <w:rFonts w:ascii="Calibri" w:hAnsi="Calibri"/>
          <w:spacing w:val="-6"/>
          <w:sz w:val="20"/>
        </w:rPr>
        <w:t> </w:t>
      </w:r>
      <w:r>
        <w:rPr>
          <w:rFonts w:ascii="Calibri" w:hAnsi="Calibri"/>
          <w:sz w:val="20"/>
        </w:rPr>
        <w:t>ha</w:t>
      </w:r>
      <w:r>
        <w:rPr>
          <w:rFonts w:ascii="Calibri" w:hAnsi="Calibri"/>
          <w:spacing w:val="-4"/>
          <w:sz w:val="20"/>
        </w:rPr>
        <w:t> </w:t>
      </w:r>
      <w:r>
        <w:rPr>
          <w:rFonts w:ascii="Calibri" w:hAnsi="Calibri"/>
          <w:sz w:val="20"/>
        </w:rPr>
        <w:t>dado</w:t>
      </w:r>
      <w:r>
        <w:rPr>
          <w:rFonts w:ascii="Calibri" w:hAnsi="Calibri"/>
          <w:spacing w:val="-3"/>
          <w:sz w:val="20"/>
        </w:rPr>
        <w:t> </w:t>
      </w:r>
      <w:r>
        <w:rPr>
          <w:rFonts w:ascii="Calibri" w:hAnsi="Calibri"/>
          <w:sz w:val="20"/>
        </w:rPr>
        <w:t>respuesta</w:t>
      </w:r>
      <w:r>
        <w:rPr>
          <w:rFonts w:ascii="Calibri" w:hAnsi="Calibri"/>
          <w:spacing w:val="-7"/>
          <w:sz w:val="20"/>
        </w:rPr>
        <w:t> </w:t>
      </w:r>
      <w:r>
        <w:rPr>
          <w:rFonts w:ascii="Calibri" w:hAnsi="Calibri"/>
          <w:sz w:val="20"/>
        </w:rPr>
        <w:t>a</w:t>
      </w:r>
      <w:r>
        <w:rPr>
          <w:rFonts w:ascii="Calibri" w:hAnsi="Calibri"/>
          <w:spacing w:val="-8"/>
          <w:sz w:val="20"/>
        </w:rPr>
        <w:t> </w:t>
      </w:r>
      <w:r>
        <w:rPr>
          <w:rFonts w:ascii="Calibri" w:hAnsi="Calibri"/>
          <w:sz w:val="20"/>
        </w:rPr>
        <w:t>las necesidades</w:t>
      </w:r>
      <w:r>
        <w:rPr>
          <w:rFonts w:ascii="Calibri" w:hAnsi="Calibri"/>
          <w:spacing w:val="-2"/>
          <w:sz w:val="20"/>
        </w:rPr>
        <w:t> </w:t>
      </w:r>
      <w:r>
        <w:rPr>
          <w:rFonts w:ascii="Calibri" w:hAnsi="Calibri"/>
          <w:sz w:val="20"/>
        </w:rPr>
        <w:t>ciudadanas</w:t>
      </w:r>
      <w:r>
        <w:rPr>
          <w:rFonts w:ascii="Calibri" w:hAnsi="Calibri"/>
          <w:spacing w:val="-3"/>
          <w:sz w:val="20"/>
        </w:rPr>
        <w:t> </w:t>
      </w:r>
      <w:r>
        <w:rPr>
          <w:rFonts w:ascii="Calibri" w:hAnsi="Calibri"/>
          <w:sz w:val="20"/>
        </w:rPr>
        <w:t>y</w:t>
      </w:r>
      <w:r>
        <w:rPr>
          <w:rFonts w:ascii="Calibri" w:hAnsi="Calibri"/>
          <w:spacing w:val="-7"/>
          <w:sz w:val="20"/>
        </w:rPr>
        <w:t> </w:t>
      </w:r>
      <w:r>
        <w:rPr>
          <w:rFonts w:ascii="Calibri" w:hAnsi="Calibri"/>
          <w:sz w:val="20"/>
        </w:rPr>
        <w:t>técnicas</w:t>
      </w:r>
      <w:r>
        <w:rPr>
          <w:rFonts w:ascii="Calibri" w:hAnsi="Calibri"/>
          <w:spacing w:val="-3"/>
          <w:sz w:val="20"/>
        </w:rPr>
        <w:t> </w:t>
      </w:r>
      <w:r>
        <w:rPr>
          <w:rFonts w:ascii="Calibri" w:hAnsi="Calibri"/>
          <w:sz w:val="20"/>
        </w:rPr>
        <w:t>detectadas</w:t>
      </w:r>
      <w:r>
        <w:rPr>
          <w:rFonts w:ascii="Calibri" w:hAnsi="Calibri"/>
          <w:spacing w:val="-4"/>
          <w:sz w:val="20"/>
        </w:rPr>
        <w:t> </w:t>
      </w:r>
      <w:r>
        <w:rPr>
          <w:rFonts w:ascii="Calibri" w:hAnsi="Calibri"/>
          <w:sz w:val="20"/>
        </w:rPr>
        <w:t>en</w:t>
      </w:r>
      <w:r>
        <w:rPr>
          <w:rFonts w:ascii="Calibri" w:hAnsi="Calibri"/>
          <w:spacing w:val="-5"/>
          <w:sz w:val="20"/>
        </w:rPr>
        <w:t> </w:t>
      </w:r>
      <w:r>
        <w:rPr>
          <w:rFonts w:ascii="Calibri" w:hAnsi="Calibri"/>
          <w:sz w:val="20"/>
        </w:rPr>
        <w:t>el</w:t>
      </w:r>
      <w:r>
        <w:rPr>
          <w:rFonts w:ascii="Calibri" w:hAnsi="Calibri"/>
          <w:spacing w:val="-4"/>
          <w:sz w:val="20"/>
        </w:rPr>
        <w:t> </w:t>
      </w:r>
      <w:r>
        <w:rPr>
          <w:rFonts w:ascii="Calibri" w:hAnsi="Calibri"/>
          <w:sz w:val="20"/>
        </w:rPr>
        <w:t>transcurso</w:t>
      </w:r>
      <w:r>
        <w:rPr>
          <w:rFonts w:ascii="Calibri" w:hAnsi="Calibri"/>
          <w:spacing w:val="-5"/>
          <w:sz w:val="20"/>
        </w:rPr>
        <w:t> </w:t>
      </w:r>
      <w:r>
        <w:rPr>
          <w:rFonts w:ascii="Calibri" w:hAnsi="Calibri"/>
          <w:sz w:val="20"/>
        </w:rPr>
        <w:t>del</w:t>
      </w:r>
      <w:r>
        <w:rPr>
          <w:rFonts w:ascii="Calibri" w:hAnsi="Calibri"/>
          <w:spacing w:val="-3"/>
          <w:sz w:val="20"/>
        </w:rPr>
        <w:t> </w:t>
      </w:r>
      <w:r>
        <w:rPr>
          <w:rFonts w:ascii="Calibri" w:hAnsi="Calibri"/>
          <w:sz w:val="20"/>
        </w:rPr>
        <w:t>proyecto,</w:t>
      </w:r>
      <w:r>
        <w:rPr>
          <w:rFonts w:ascii="Calibri" w:hAnsi="Calibri"/>
          <w:spacing w:val="-5"/>
          <w:sz w:val="20"/>
        </w:rPr>
        <w:t> </w:t>
      </w:r>
      <w:r>
        <w:rPr>
          <w:rFonts w:ascii="Calibri" w:hAnsi="Calibri"/>
          <w:sz w:val="20"/>
        </w:rPr>
        <w:t>incrementando</w:t>
      </w:r>
      <w:r>
        <w:rPr>
          <w:rFonts w:ascii="Calibri" w:hAnsi="Calibri"/>
          <w:spacing w:val="-5"/>
          <w:sz w:val="20"/>
        </w:rPr>
        <w:t> </w:t>
      </w:r>
      <w:r>
        <w:rPr>
          <w:rFonts w:ascii="Calibri" w:hAnsi="Calibri"/>
          <w:sz w:val="20"/>
        </w:rPr>
        <w:t>la calidad del servicio de transporte sin incurrir en sobrecostes inapropiados ni dilaciones.</w:t>
      </w:r>
    </w:p>
    <w:p>
      <w:pPr>
        <w:spacing w:line="256" w:lineRule="auto" w:before="148"/>
        <w:ind w:left="1925" w:right="2022" w:firstLine="0"/>
        <w:jc w:val="both"/>
        <w:rPr>
          <w:rFonts w:ascii="Calibri" w:hAnsi="Calibri"/>
          <w:sz w:val="20"/>
        </w:rPr>
      </w:pPr>
      <w:r>
        <w:rPr>
          <w:rFonts w:ascii="Calibri" w:hAnsi="Calibri"/>
          <w:sz w:val="20"/>
        </w:rPr>
        <w:t>En conclusión, las dos modificaciones efectuadas en 2024 sobre el contrato de suministro e instalación de pantallas (Expte. 016/2022) están sobradamente justificadas tanto en el plano jurídico como en el técnico. Se han adoptado siguiendo el procedimiento reglado (acuerdos motivados del</w:t>
      </w:r>
      <w:r>
        <w:rPr>
          <w:rFonts w:ascii="Calibri" w:hAnsi="Calibri"/>
          <w:spacing w:val="-2"/>
          <w:sz w:val="20"/>
        </w:rPr>
        <w:t> </w:t>
      </w:r>
      <w:r>
        <w:rPr>
          <w:rFonts w:ascii="Calibri" w:hAnsi="Calibri"/>
          <w:sz w:val="20"/>
        </w:rPr>
        <w:t>órgano de contratación, con informe jurídico y técnico,</w:t>
      </w:r>
      <w:r>
        <w:rPr>
          <w:rFonts w:ascii="Calibri" w:hAnsi="Calibri"/>
          <w:spacing w:val="-1"/>
          <w:sz w:val="20"/>
        </w:rPr>
        <w:t> </w:t>
      </w:r>
      <w:r>
        <w:rPr>
          <w:rFonts w:ascii="Calibri" w:hAnsi="Calibri"/>
          <w:sz w:val="20"/>
        </w:rPr>
        <w:t>fiscalización, trámite de audiencia y notificación, conforme al art. 112 RDL 3/2020), y con respeto absoluto a los principios de la contratación pública.</w:t>
      </w:r>
    </w:p>
    <w:p>
      <w:pPr>
        <w:spacing w:line="256" w:lineRule="auto" w:before="147"/>
        <w:ind w:left="1925" w:right="2022" w:firstLine="0"/>
        <w:jc w:val="both"/>
        <w:rPr>
          <w:rFonts w:ascii="Calibri"/>
          <w:sz w:val="20"/>
        </w:rPr>
      </w:pPr>
      <w:r>
        <w:rPr>
          <w:rFonts w:ascii="Calibri"/>
          <w:sz w:val="20"/>
        </w:rPr>
        <w:t>Por lo que lejos de suponer irregularidad alguna, estas modificaciones han permitido cumplir eficazmente con el objeto del contrato y maximizar el aprovechamiento de los recursos disponibles</w:t>
      </w:r>
      <w:r>
        <w:rPr>
          <w:rFonts w:ascii="Calibri"/>
          <w:spacing w:val="-8"/>
          <w:sz w:val="20"/>
        </w:rPr>
        <w:t> </w:t>
      </w:r>
      <w:r>
        <w:rPr>
          <w:rFonts w:ascii="Calibri"/>
          <w:sz w:val="20"/>
        </w:rPr>
        <w:t>(incluyendo</w:t>
      </w:r>
      <w:r>
        <w:rPr>
          <w:rFonts w:ascii="Calibri"/>
          <w:spacing w:val="-10"/>
          <w:sz w:val="20"/>
        </w:rPr>
        <w:t> </w:t>
      </w:r>
      <w:r>
        <w:rPr>
          <w:rFonts w:ascii="Calibri"/>
          <w:sz w:val="20"/>
        </w:rPr>
        <w:t>fondos</w:t>
      </w:r>
      <w:r>
        <w:rPr>
          <w:rFonts w:ascii="Calibri"/>
          <w:spacing w:val="-10"/>
          <w:sz w:val="20"/>
        </w:rPr>
        <w:t> </w:t>
      </w:r>
      <w:r>
        <w:rPr>
          <w:rFonts w:ascii="Calibri"/>
          <w:sz w:val="20"/>
        </w:rPr>
        <w:t>europeos),</w:t>
      </w:r>
      <w:r>
        <w:rPr>
          <w:rFonts w:ascii="Calibri"/>
          <w:spacing w:val="-7"/>
          <w:sz w:val="20"/>
        </w:rPr>
        <w:t> </w:t>
      </w:r>
      <w:r>
        <w:rPr>
          <w:rFonts w:ascii="Calibri"/>
          <w:sz w:val="20"/>
        </w:rPr>
        <w:t>sin</w:t>
      </w:r>
      <w:r>
        <w:rPr>
          <w:rFonts w:ascii="Calibri"/>
          <w:spacing w:val="-12"/>
          <w:sz w:val="20"/>
        </w:rPr>
        <w:t> </w:t>
      </w:r>
      <w:r>
        <w:rPr>
          <w:rFonts w:ascii="Calibri"/>
          <w:sz w:val="20"/>
        </w:rPr>
        <w:t>alterar</w:t>
      </w:r>
      <w:r>
        <w:rPr>
          <w:rFonts w:ascii="Calibri"/>
          <w:spacing w:val="-9"/>
          <w:sz w:val="20"/>
        </w:rPr>
        <w:t> </w:t>
      </w:r>
      <w:r>
        <w:rPr>
          <w:rFonts w:ascii="Calibri"/>
          <w:sz w:val="20"/>
        </w:rPr>
        <w:t>la</w:t>
      </w:r>
      <w:r>
        <w:rPr>
          <w:rFonts w:ascii="Calibri"/>
          <w:spacing w:val="-7"/>
          <w:sz w:val="20"/>
        </w:rPr>
        <w:t> </w:t>
      </w:r>
      <w:r>
        <w:rPr>
          <w:rFonts w:ascii="Calibri"/>
          <w:sz w:val="20"/>
        </w:rPr>
        <w:t>esencia</w:t>
      </w:r>
      <w:r>
        <w:rPr>
          <w:rFonts w:ascii="Calibri"/>
          <w:spacing w:val="-9"/>
          <w:sz w:val="20"/>
        </w:rPr>
        <w:t> </w:t>
      </w:r>
      <w:r>
        <w:rPr>
          <w:rFonts w:ascii="Calibri"/>
          <w:sz w:val="20"/>
        </w:rPr>
        <w:t>del</w:t>
      </w:r>
      <w:r>
        <w:rPr>
          <w:rFonts w:ascii="Calibri"/>
          <w:spacing w:val="-8"/>
          <w:sz w:val="20"/>
        </w:rPr>
        <w:t> </w:t>
      </w:r>
      <w:r>
        <w:rPr>
          <w:rFonts w:ascii="Calibri"/>
          <w:sz w:val="20"/>
        </w:rPr>
        <w:t>contrato</w:t>
      </w:r>
      <w:r>
        <w:rPr>
          <w:rFonts w:ascii="Calibri"/>
          <w:spacing w:val="-11"/>
          <w:sz w:val="20"/>
        </w:rPr>
        <w:t> </w:t>
      </w:r>
      <w:r>
        <w:rPr>
          <w:rFonts w:ascii="Calibri"/>
          <w:sz w:val="20"/>
        </w:rPr>
        <w:t>ni</w:t>
      </w:r>
      <w:r>
        <w:rPr>
          <w:rFonts w:ascii="Calibri"/>
          <w:spacing w:val="-8"/>
          <w:sz w:val="20"/>
        </w:rPr>
        <w:t> </w:t>
      </w:r>
      <w:r>
        <w:rPr>
          <w:rFonts w:ascii="Calibri"/>
          <w:sz w:val="20"/>
        </w:rPr>
        <w:t>comprometer</w:t>
      </w:r>
      <w:r>
        <w:rPr>
          <w:rFonts w:ascii="Calibri"/>
          <w:spacing w:val="-10"/>
          <w:sz w:val="20"/>
        </w:rPr>
        <w:t> </w:t>
      </w:r>
      <w:r>
        <w:rPr>
          <w:rFonts w:ascii="Calibri"/>
          <w:sz w:val="20"/>
        </w:rPr>
        <w:t>la </w:t>
      </w:r>
      <w:r>
        <w:rPr>
          <w:rFonts w:ascii="Calibri"/>
          <w:spacing w:val="-2"/>
          <w:sz w:val="20"/>
        </w:rPr>
        <w:t>legalidad.</w:t>
      </w:r>
    </w:p>
    <w:p>
      <w:pPr>
        <w:spacing w:line="256" w:lineRule="auto" w:before="145"/>
        <w:ind w:left="1925" w:right="2020" w:firstLine="0"/>
        <w:jc w:val="both"/>
        <w:rPr>
          <w:rFonts w:ascii="Calibri" w:hAnsi="Calibri"/>
          <w:sz w:val="20"/>
        </w:rPr>
      </w:pPr>
      <w:r>
        <w:rPr>
          <w:rFonts w:ascii="Calibri" w:hAnsi="Calibri"/>
          <w:sz w:val="20"/>
        </w:rPr>
        <w:t>Por todo lo expuesto</w:t>
      </w:r>
      <w:r>
        <w:rPr>
          <w:rFonts w:ascii="Calibri" w:hAnsi="Calibri"/>
          <w:sz w:val="20"/>
          <w:u w:val="single"/>
        </w:rPr>
        <w:t>, se solicita que la observación provisional formulada por ese Tribunal de</w:t>
      </w:r>
      <w:r>
        <w:rPr>
          <w:rFonts w:ascii="Calibri" w:hAnsi="Calibri"/>
          <w:sz w:val="20"/>
          <w:u w:val="none"/>
        </w:rPr>
        <w:t> </w:t>
      </w:r>
      <w:r>
        <w:rPr>
          <w:rFonts w:ascii="Calibri" w:hAnsi="Calibri"/>
          <w:sz w:val="20"/>
          <w:u w:val="single"/>
        </w:rPr>
        <w:t>Cuentas sea revisada y dejada sin efecto, al quedar acreditado que la actuación de la EMT ha</w:t>
      </w:r>
      <w:r>
        <w:rPr>
          <w:rFonts w:ascii="Calibri" w:hAnsi="Calibri"/>
          <w:sz w:val="20"/>
          <w:u w:val="none"/>
        </w:rPr>
        <w:t> </w:t>
      </w:r>
      <w:r>
        <w:rPr>
          <w:rFonts w:ascii="Calibri" w:hAnsi="Calibri"/>
          <w:sz w:val="20"/>
          <w:u w:val="single"/>
        </w:rPr>
        <w:t>sido plenamente conforme a Derecho y beneficiosa para el interés público.</w:t>
      </w:r>
    </w:p>
    <w:p>
      <w:pPr>
        <w:pStyle w:val="BodyText"/>
        <w:rPr>
          <w:rFonts w:ascii="Calibri"/>
          <w:sz w:val="20"/>
        </w:rPr>
      </w:pPr>
    </w:p>
    <w:p>
      <w:pPr>
        <w:pStyle w:val="BodyText"/>
        <w:spacing w:before="60"/>
        <w:rPr>
          <w:rFonts w:ascii="Calibri"/>
          <w:sz w:val="20"/>
        </w:rPr>
      </w:pPr>
    </w:p>
    <w:p>
      <w:pPr>
        <w:spacing w:line="256" w:lineRule="auto" w:before="1"/>
        <w:ind w:left="2251" w:right="2021" w:hanging="327"/>
        <w:jc w:val="both"/>
        <w:rPr>
          <w:rFonts w:ascii="Calibri" w:hAnsi="Calibri"/>
          <w:i/>
          <w:sz w:val="20"/>
        </w:rPr>
      </w:pPr>
      <w:r>
        <w:rPr>
          <w:rFonts w:ascii="Calibri" w:hAnsi="Calibri"/>
          <w:color w:val="4472C4"/>
          <w:sz w:val="20"/>
        </w:rPr>
        <w:t>-</w:t>
      </w:r>
      <w:r>
        <w:rPr>
          <w:rFonts w:ascii="Calibri" w:hAnsi="Calibri"/>
          <w:color w:val="4472C4"/>
          <w:spacing w:val="80"/>
          <w:sz w:val="20"/>
        </w:rPr>
        <w:t> </w:t>
      </w:r>
      <w:r>
        <w:rPr>
          <w:rFonts w:ascii="Calibri" w:hAnsi="Calibri"/>
          <w:i/>
          <w:color w:val="4472C4"/>
          <w:sz w:val="20"/>
        </w:rPr>
        <w:t>En</w:t>
      </w:r>
      <w:r>
        <w:rPr>
          <w:rFonts w:ascii="Calibri" w:hAnsi="Calibri"/>
          <w:i/>
          <w:color w:val="4472C4"/>
          <w:spacing w:val="40"/>
          <w:sz w:val="20"/>
        </w:rPr>
        <w:t> </w:t>
      </w:r>
      <w:r>
        <w:rPr>
          <w:rFonts w:ascii="Calibri" w:hAnsi="Calibri"/>
          <w:i/>
          <w:color w:val="4472C4"/>
          <w:sz w:val="20"/>
        </w:rPr>
        <w:t>las</w:t>
      </w:r>
      <w:r>
        <w:rPr>
          <w:rFonts w:ascii="Calibri" w:hAnsi="Calibri"/>
          <w:i/>
          <w:color w:val="4472C4"/>
          <w:spacing w:val="40"/>
          <w:sz w:val="20"/>
        </w:rPr>
        <w:t> </w:t>
      </w:r>
      <w:r>
        <w:rPr>
          <w:rFonts w:ascii="Calibri" w:hAnsi="Calibri"/>
          <w:i/>
          <w:color w:val="4472C4"/>
          <w:sz w:val="20"/>
        </w:rPr>
        <w:t>Pág.</w:t>
      </w:r>
      <w:r>
        <w:rPr>
          <w:rFonts w:ascii="Calibri" w:hAnsi="Calibri"/>
          <w:i/>
          <w:color w:val="4472C4"/>
          <w:spacing w:val="40"/>
          <w:sz w:val="20"/>
        </w:rPr>
        <w:t> </w:t>
      </w:r>
      <w:r>
        <w:rPr>
          <w:rFonts w:ascii="Calibri" w:hAnsi="Calibri"/>
          <w:i/>
          <w:color w:val="4472C4"/>
          <w:sz w:val="20"/>
        </w:rPr>
        <w:t>68</w:t>
      </w:r>
      <w:r>
        <w:rPr>
          <w:rFonts w:ascii="Calibri" w:hAnsi="Calibri"/>
          <w:i/>
          <w:color w:val="4472C4"/>
          <w:spacing w:val="40"/>
          <w:sz w:val="20"/>
        </w:rPr>
        <w:t> </w:t>
      </w:r>
      <w:r>
        <w:rPr>
          <w:rFonts w:ascii="Calibri" w:hAnsi="Calibri"/>
          <w:i/>
          <w:color w:val="4472C4"/>
          <w:sz w:val="20"/>
        </w:rPr>
        <w:t>y</w:t>
      </w:r>
      <w:r>
        <w:rPr>
          <w:rFonts w:ascii="Calibri" w:hAnsi="Calibri"/>
          <w:i/>
          <w:color w:val="4472C4"/>
          <w:spacing w:val="40"/>
          <w:sz w:val="20"/>
        </w:rPr>
        <w:t> </w:t>
      </w:r>
      <w:r>
        <w:rPr>
          <w:rFonts w:ascii="Calibri" w:hAnsi="Calibri"/>
          <w:i/>
          <w:color w:val="4472C4"/>
          <w:sz w:val="20"/>
        </w:rPr>
        <w:t>69:</w:t>
      </w:r>
      <w:r>
        <w:rPr>
          <w:rFonts w:ascii="Calibri" w:hAnsi="Calibri"/>
          <w:i/>
          <w:color w:val="4472C4"/>
          <w:spacing w:val="40"/>
          <w:sz w:val="20"/>
        </w:rPr>
        <w:t> </w:t>
      </w:r>
      <w:r>
        <w:rPr>
          <w:rFonts w:ascii="Calibri" w:hAnsi="Calibri"/>
          <w:i/>
          <w:color w:val="4472C4"/>
          <w:sz w:val="20"/>
        </w:rPr>
        <w:t>“</w:t>
      </w:r>
      <w:r>
        <w:rPr>
          <w:rFonts w:ascii="Calibri" w:hAnsi="Calibri"/>
          <w:i/>
          <w:color w:val="4472C4"/>
          <w:sz w:val="20"/>
          <w:u w:val="single" w:color="4472C4"/>
        </w:rPr>
        <w:t>Proyecto</w:t>
      </w:r>
      <w:r>
        <w:rPr>
          <w:rFonts w:ascii="Calibri" w:hAnsi="Calibri"/>
          <w:i/>
          <w:color w:val="4472C4"/>
          <w:spacing w:val="40"/>
          <w:sz w:val="20"/>
          <w:u w:val="single" w:color="4472C4"/>
        </w:rPr>
        <w:t> </w:t>
      </w:r>
      <w:r>
        <w:rPr>
          <w:rFonts w:ascii="Calibri" w:hAnsi="Calibri"/>
          <w:i/>
          <w:color w:val="4472C4"/>
          <w:sz w:val="20"/>
          <w:u w:val="single" w:color="4472C4"/>
        </w:rPr>
        <w:t>sistemas</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información</w:t>
      </w:r>
      <w:r>
        <w:rPr>
          <w:rFonts w:ascii="Calibri" w:hAnsi="Calibri"/>
          <w:i/>
          <w:color w:val="4472C4"/>
          <w:spacing w:val="40"/>
          <w:sz w:val="20"/>
          <w:u w:val="single" w:color="4472C4"/>
        </w:rPr>
        <w:t> </w:t>
      </w:r>
      <w:r>
        <w:rPr>
          <w:rFonts w:ascii="Calibri" w:hAnsi="Calibri"/>
          <w:i/>
          <w:color w:val="4472C4"/>
          <w:sz w:val="20"/>
          <w:u w:val="single" w:color="4472C4"/>
        </w:rPr>
        <w:t>al</w:t>
      </w:r>
      <w:r>
        <w:rPr>
          <w:rFonts w:ascii="Calibri" w:hAnsi="Calibri"/>
          <w:i/>
          <w:color w:val="4472C4"/>
          <w:spacing w:val="40"/>
          <w:sz w:val="20"/>
          <w:u w:val="single" w:color="4472C4"/>
        </w:rPr>
        <w:t> </w:t>
      </w:r>
      <w:r>
        <w:rPr>
          <w:rFonts w:ascii="Calibri" w:hAnsi="Calibri"/>
          <w:i/>
          <w:color w:val="4472C4"/>
          <w:sz w:val="20"/>
          <w:u w:val="single" w:color="4472C4"/>
        </w:rPr>
        <w:t>usuario:</w:t>
      </w:r>
      <w:r>
        <w:rPr>
          <w:rFonts w:ascii="Calibri" w:hAnsi="Calibri"/>
          <w:i/>
          <w:color w:val="4472C4"/>
          <w:spacing w:val="40"/>
          <w:sz w:val="20"/>
          <w:u w:val="single" w:color="4472C4"/>
        </w:rPr>
        <w:t> </w:t>
      </w:r>
      <w:r>
        <w:rPr>
          <w:rFonts w:ascii="Calibri" w:hAnsi="Calibri"/>
          <w:i/>
          <w:color w:val="4472C4"/>
          <w:sz w:val="20"/>
          <w:u w:val="single" w:color="4472C4"/>
        </w:rPr>
        <w:t>diseño</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la</w:t>
      </w:r>
      <w:r>
        <w:rPr>
          <w:rFonts w:ascii="Calibri" w:hAnsi="Calibri"/>
          <w:i/>
          <w:color w:val="4472C4"/>
          <w:sz w:val="20"/>
          <w:u w:val="none"/>
        </w:rPr>
        <w:t> </w:t>
      </w:r>
      <w:r>
        <w:rPr>
          <w:rFonts w:ascii="Calibri" w:hAnsi="Calibri"/>
          <w:i/>
          <w:color w:val="4472C4"/>
          <w:sz w:val="20"/>
          <w:u w:val="single" w:color="4472C4"/>
        </w:rPr>
        <w:t>señalización a través de pictogramas, por importe de 45.450,00 euros, sin IVA, fue</w:t>
      </w:r>
      <w:r>
        <w:rPr>
          <w:rFonts w:ascii="Calibri" w:hAnsi="Calibri"/>
          <w:i/>
          <w:color w:val="4472C4"/>
          <w:sz w:val="20"/>
          <w:u w:val="none"/>
        </w:rPr>
        <w:t> </w:t>
      </w:r>
      <w:r>
        <w:rPr>
          <w:rFonts w:ascii="Calibri" w:hAnsi="Calibri"/>
          <w:i/>
          <w:color w:val="4472C4"/>
          <w:sz w:val="20"/>
          <w:u w:val="single" w:color="4472C4"/>
        </w:rPr>
        <w:t>modificado,</w:t>
      </w:r>
      <w:r>
        <w:rPr>
          <w:rFonts w:ascii="Calibri" w:hAnsi="Calibri"/>
          <w:i/>
          <w:color w:val="4472C4"/>
          <w:spacing w:val="40"/>
          <w:sz w:val="20"/>
          <w:u w:val="single" w:color="4472C4"/>
        </w:rPr>
        <w:t> </w:t>
      </w:r>
      <w:r>
        <w:rPr>
          <w:rFonts w:ascii="Calibri" w:hAnsi="Calibri"/>
          <w:i/>
          <w:color w:val="4472C4"/>
          <w:sz w:val="20"/>
          <w:u w:val="single" w:color="4472C4"/>
        </w:rPr>
        <w:t>incrementando</w:t>
      </w:r>
      <w:r>
        <w:rPr>
          <w:rFonts w:ascii="Calibri" w:hAnsi="Calibri"/>
          <w:i/>
          <w:color w:val="4472C4"/>
          <w:spacing w:val="40"/>
          <w:sz w:val="20"/>
          <w:u w:val="single" w:color="4472C4"/>
        </w:rPr>
        <w:t> </w:t>
      </w:r>
      <w:r>
        <w:rPr>
          <w:rFonts w:ascii="Calibri" w:hAnsi="Calibri"/>
          <w:i/>
          <w:color w:val="4472C4"/>
          <w:sz w:val="20"/>
          <w:u w:val="single" w:color="4472C4"/>
        </w:rPr>
        <w:t>su</w:t>
      </w:r>
      <w:r>
        <w:rPr>
          <w:rFonts w:ascii="Calibri" w:hAnsi="Calibri"/>
          <w:i/>
          <w:color w:val="4472C4"/>
          <w:spacing w:val="40"/>
          <w:sz w:val="20"/>
          <w:u w:val="single" w:color="4472C4"/>
        </w:rPr>
        <w:t> </w:t>
      </w:r>
      <w:r>
        <w:rPr>
          <w:rFonts w:ascii="Calibri" w:hAnsi="Calibri"/>
          <w:i/>
          <w:color w:val="4472C4"/>
          <w:sz w:val="20"/>
          <w:u w:val="single" w:color="4472C4"/>
        </w:rPr>
        <w:t>importe</w:t>
      </w:r>
      <w:r>
        <w:rPr>
          <w:rFonts w:ascii="Calibri" w:hAnsi="Calibri"/>
          <w:i/>
          <w:color w:val="4472C4"/>
          <w:spacing w:val="40"/>
          <w:sz w:val="20"/>
          <w:u w:val="single" w:color="4472C4"/>
        </w:rPr>
        <w:t> </w:t>
      </w:r>
      <w:r>
        <w:rPr>
          <w:rFonts w:ascii="Calibri" w:hAnsi="Calibri"/>
          <w:i/>
          <w:color w:val="4472C4"/>
          <w:sz w:val="20"/>
          <w:u w:val="single" w:color="4472C4"/>
        </w:rPr>
        <w:t>en</w:t>
      </w:r>
      <w:r>
        <w:rPr>
          <w:rFonts w:ascii="Calibri" w:hAnsi="Calibri"/>
          <w:i/>
          <w:color w:val="4472C4"/>
          <w:spacing w:val="40"/>
          <w:sz w:val="20"/>
          <w:u w:val="single" w:color="4472C4"/>
        </w:rPr>
        <w:t> </w:t>
      </w:r>
      <w:r>
        <w:rPr>
          <w:rFonts w:ascii="Calibri" w:hAnsi="Calibri"/>
          <w:i/>
          <w:color w:val="4472C4"/>
          <w:sz w:val="20"/>
          <w:u w:val="single" w:color="4472C4"/>
        </w:rPr>
        <w:t>2.750,00</w:t>
      </w:r>
      <w:r>
        <w:rPr>
          <w:rFonts w:ascii="Calibri" w:hAnsi="Calibri"/>
          <w:i/>
          <w:color w:val="4472C4"/>
          <w:spacing w:val="40"/>
          <w:sz w:val="20"/>
          <w:u w:val="single" w:color="4472C4"/>
        </w:rPr>
        <w:t> </w:t>
      </w:r>
      <w:r>
        <w:rPr>
          <w:rFonts w:ascii="Calibri" w:hAnsi="Calibri"/>
          <w:i/>
          <w:color w:val="4472C4"/>
          <w:sz w:val="20"/>
          <w:u w:val="single" w:color="4472C4"/>
        </w:rPr>
        <w:t>euros.</w:t>
      </w:r>
      <w:r>
        <w:rPr>
          <w:rFonts w:ascii="Calibri" w:hAnsi="Calibri"/>
          <w:i/>
          <w:color w:val="4472C4"/>
          <w:spacing w:val="40"/>
          <w:sz w:val="20"/>
          <w:u w:val="single" w:color="4472C4"/>
        </w:rPr>
        <w:t> </w:t>
      </w:r>
      <w:r>
        <w:rPr>
          <w:rFonts w:ascii="Calibri" w:hAnsi="Calibri"/>
          <w:i/>
          <w:color w:val="4472C4"/>
          <w:sz w:val="20"/>
          <w:u w:val="single" w:color="4472C4"/>
        </w:rPr>
        <w:t>La</w:t>
      </w:r>
      <w:r>
        <w:rPr>
          <w:rFonts w:ascii="Calibri" w:hAnsi="Calibri"/>
          <w:i/>
          <w:color w:val="4472C4"/>
          <w:spacing w:val="40"/>
          <w:sz w:val="20"/>
          <w:u w:val="single" w:color="4472C4"/>
        </w:rPr>
        <w:t> </w:t>
      </w:r>
      <w:r>
        <w:rPr>
          <w:rFonts w:ascii="Calibri" w:hAnsi="Calibri"/>
          <w:i/>
          <w:color w:val="4472C4"/>
          <w:sz w:val="20"/>
          <w:u w:val="single" w:color="4472C4"/>
        </w:rPr>
        <w:t>modificación</w:t>
      </w:r>
      <w:r>
        <w:rPr>
          <w:rFonts w:ascii="Calibri" w:hAnsi="Calibri"/>
          <w:i/>
          <w:color w:val="4472C4"/>
          <w:spacing w:val="40"/>
          <w:sz w:val="20"/>
          <w:u w:val="single" w:color="4472C4"/>
        </w:rPr>
        <w:t> </w:t>
      </w:r>
      <w:r>
        <w:rPr>
          <w:rFonts w:ascii="Calibri" w:hAnsi="Calibri"/>
          <w:i/>
          <w:color w:val="4472C4"/>
          <w:sz w:val="20"/>
          <w:u w:val="single" w:color="4472C4"/>
        </w:rPr>
        <w:t>se</w:t>
      </w:r>
      <w:r>
        <w:rPr>
          <w:rFonts w:ascii="Calibri" w:hAnsi="Calibri"/>
          <w:i/>
          <w:color w:val="4472C4"/>
          <w:sz w:val="20"/>
          <w:u w:val="none"/>
        </w:rPr>
        <w:t> </w:t>
      </w:r>
      <w:r>
        <w:rPr>
          <w:rFonts w:ascii="Calibri" w:hAnsi="Calibri"/>
          <w:i/>
          <w:color w:val="4472C4"/>
          <w:sz w:val="20"/>
          <w:u w:val="single" w:color="4472C4"/>
        </w:rPr>
        <w:t>fundamentó en la necesidad de incluir en el diseño de cada una de las paradas, además</w:t>
      </w:r>
      <w:r>
        <w:rPr>
          <w:rFonts w:ascii="Calibri" w:hAnsi="Calibri"/>
          <w:i/>
          <w:color w:val="4472C4"/>
          <w:spacing w:val="40"/>
          <w:sz w:val="20"/>
          <w:u w:val="none"/>
        </w:rPr>
        <w:t> </w:t>
      </w:r>
      <w:r>
        <w:rPr>
          <w:rFonts w:ascii="Calibri" w:hAnsi="Calibri"/>
          <w:i/>
          <w:color w:val="4472C4"/>
          <w:sz w:val="20"/>
          <w:u w:val="single" w:color="4472C4"/>
        </w:rPr>
        <w:t>del pictograma el nombre de la parada, lo que evidencia que inicialmente el diseño de las</w:t>
      </w:r>
      <w:r>
        <w:rPr>
          <w:rFonts w:ascii="Calibri" w:hAnsi="Calibri"/>
          <w:i/>
          <w:color w:val="4472C4"/>
          <w:sz w:val="20"/>
          <w:u w:val="none"/>
        </w:rPr>
        <w:t> </w:t>
      </w:r>
      <w:r>
        <w:rPr>
          <w:rFonts w:ascii="Calibri" w:hAnsi="Calibri"/>
          <w:i/>
          <w:color w:val="4472C4"/>
          <w:sz w:val="20"/>
          <w:u w:val="single" w:color="4472C4"/>
        </w:rPr>
        <w:t>paradas no fue suficientemente definido</w:t>
      </w:r>
      <w:r>
        <w:rPr>
          <w:rFonts w:ascii="Calibri" w:hAnsi="Calibri"/>
          <w:i/>
          <w:color w:val="4472C4"/>
          <w:sz w:val="20"/>
          <w:u w:val="none"/>
        </w:rPr>
        <w:t>.”</w:t>
      </w:r>
    </w:p>
    <w:p>
      <w:pPr>
        <w:pStyle w:val="BodyText"/>
        <w:rPr>
          <w:rFonts w:ascii="Calibri"/>
          <w:i/>
          <w:sz w:val="20"/>
        </w:rPr>
      </w:pPr>
    </w:p>
    <w:p>
      <w:pPr>
        <w:pStyle w:val="BodyText"/>
        <w:spacing w:before="65"/>
        <w:rPr>
          <w:rFonts w:ascii="Calibri"/>
          <w:i/>
          <w:sz w:val="20"/>
        </w:rPr>
      </w:pPr>
    </w:p>
    <w:p>
      <w:pPr>
        <w:spacing w:line="256" w:lineRule="auto" w:before="1"/>
        <w:ind w:left="2251" w:right="2021" w:firstLine="0"/>
        <w:jc w:val="both"/>
        <w:rPr>
          <w:rFonts w:ascii="Calibri" w:hAnsi="Calibri"/>
          <w:sz w:val="20"/>
        </w:rPr>
      </w:pPr>
      <w:r>
        <w:rPr>
          <w:rFonts w:ascii="Calibri" w:hAnsi="Calibri"/>
          <w:sz w:val="20"/>
        </w:rPr>
        <w:t>Al</w:t>
      </w:r>
      <w:r>
        <w:rPr>
          <w:rFonts w:ascii="Calibri" w:hAnsi="Calibri"/>
          <w:spacing w:val="-11"/>
          <w:sz w:val="20"/>
        </w:rPr>
        <w:t> </w:t>
      </w:r>
      <w:r>
        <w:rPr>
          <w:rFonts w:ascii="Calibri" w:hAnsi="Calibri"/>
          <w:sz w:val="20"/>
        </w:rPr>
        <w:t>contrario</w:t>
      </w:r>
      <w:r>
        <w:rPr>
          <w:rFonts w:ascii="Calibri" w:hAnsi="Calibri"/>
          <w:spacing w:val="-9"/>
          <w:sz w:val="20"/>
        </w:rPr>
        <w:t> </w:t>
      </w:r>
      <w:r>
        <w:rPr>
          <w:rFonts w:ascii="Calibri" w:hAnsi="Calibri"/>
          <w:sz w:val="20"/>
        </w:rPr>
        <w:t>de</w:t>
      </w:r>
      <w:r>
        <w:rPr>
          <w:rFonts w:ascii="Calibri" w:hAnsi="Calibri"/>
          <w:spacing w:val="-10"/>
          <w:sz w:val="20"/>
        </w:rPr>
        <w:t> </w:t>
      </w:r>
      <w:r>
        <w:rPr>
          <w:rFonts w:ascii="Calibri" w:hAnsi="Calibri"/>
          <w:sz w:val="20"/>
        </w:rPr>
        <w:t>la</w:t>
      </w:r>
      <w:r>
        <w:rPr>
          <w:rFonts w:ascii="Calibri" w:hAnsi="Calibri"/>
          <w:spacing w:val="-8"/>
          <w:sz w:val="20"/>
        </w:rPr>
        <w:t> </w:t>
      </w:r>
      <w:r>
        <w:rPr>
          <w:rFonts w:ascii="Calibri" w:hAnsi="Calibri"/>
          <w:sz w:val="20"/>
        </w:rPr>
        <w:t>apreciación</w:t>
      </w:r>
      <w:r>
        <w:rPr>
          <w:rFonts w:ascii="Calibri" w:hAnsi="Calibri"/>
          <w:spacing w:val="-8"/>
          <w:sz w:val="20"/>
        </w:rPr>
        <w:t> </w:t>
      </w:r>
      <w:r>
        <w:rPr>
          <w:rFonts w:ascii="Calibri" w:hAnsi="Calibri"/>
          <w:sz w:val="20"/>
        </w:rPr>
        <w:t>efectuada</w:t>
      </w:r>
      <w:r>
        <w:rPr>
          <w:rFonts w:ascii="Calibri" w:hAnsi="Calibri"/>
          <w:spacing w:val="-9"/>
          <w:sz w:val="20"/>
        </w:rPr>
        <w:t> </w:t>
      </w:r>
      <w:r>
        <w:rPr>
          <w:rFonts w:ascii="Calibri" w:hAnsi="Calibri"/>
          <w:sz w:val="20"/>
        </w:rPr>
        <w:t>en</w:t>
      </w:r>
      <w:r>
        <w:rPr>
          <w:rFonts w:ascii="Calibri" w:hAnsi="Calibri"/>
          <w:spacing w:val="-10"/>
          <w:sz w:val="20"/>
        </w:rPr>
        <w:t> </w:t>
      </w:r>
      <w:r>
        <w:rPr>
          <w:rFonts w:ascii="Calibri" w:hAnsi="Calibri"/>
          <w:sz w:val="20"/>
        </w:rPr>
        <w:t>el</w:t>
      </w:r>
      <w:r>
        <w:rPr>
          <w:rFonts w:ascii="Calibri" w:hAnsi="Calibri"/>
          <w:spacing w:val="-12"/>
          <w:sz w:val="20"/>
        </w:rPr>
        <w:t> </w:t>
      </w:r>
      <w:r>
        <w:rPr>
          <w:rFonts w:ascii="Calibri" w:hAnsi="Calibri"/>
          <w:sz w:val="20"/>
        </w:rPr>
        <w:t>anteproyecto,</w:t>
      </w:r>
      <w:r>
        <w:rPr>
          <w:rFonts w:ascii="Calibri" w:hAnsi="Calibri"/>
          <w:spacing w:val="-10"/>
          <w:sz w:val="20"/>
        </w:rPr>
        <w:t> </w:t>
      </w:r>
      <w:r>
        <w:rPr>
          <w:rFonts w:ascii="Calibri" w:hAnsi="Calibri"/>
          <w:sz w:val="20"/>
        </w:rPr>
        <w:t>la</w:t>
      </w:r>
      <w:r>
        <w:rPr>
          <w:rFonts w:ascii="Calibri" w:hAnsi="Calibri"/>
          <w:spacing w:val="-10"/>
          <w:sz w:val="20"/>
        </w:rPr>
        <w:t> </w:t>
      </w:r>
      <w:r>
        <w:rPr>
          <w:rFonts w:ascii="Calibri" w:hAnsi="Calibri"/>
          <w:sz w:val="20"/>
        </w:rPr>
        <w:t>modificación</w:t>
      </w:r>
      <w:r>
        <w:rPr>
          <w:rFonts w:ascii="Calibri" w:hAnsi="Calibri"/>
          <w:spacing w:val="-12"/>
          <w:sz w:val="20"/>
        </w:rPr>
        <w:t> </w:t>
      </w:r>
      <w:r>
        <w:rPr>
          <w:rFonts w:ascii="Calibri" w:hAnsi="Calibri"/>
          <w:sz w:val="20"/>
        </w:rPr>
        <w:t>del</w:t>
      </w:r>
      <w:r>
        <w:rPr>
          <w:rFonts w:ascii="Calibri" w:hAnsi="Calibri"/>
          <w:spacing w:val="-8"/>
          <w:sz w:val="20"/>
        </w:rPr>
        <w:t> </w:t>
      </w:r>
      <w:r>
        <w:rPr>
          <w:rFonts w:ascii="Calibri" w:hAnsi="Calibri"/>
          <w:sz w:val="20"/>
        </w:rPr>
        <w:t>contrato</w:t>
      </w:r>
      <w:r>
        <w:rPr>
          <w:rFonts w:ascii="Calibri" w:hAnsi="Calibri"/>
          <w:spacing w:val="-9"/>
          <w:sz w:val="20"/>
        </w:rPr>
        <w:t> </w:t>
      </w:r>
      <w:r>
        <w:rPr>
          <w:rFonts w:ascii="Calibri" w:hAnsi="Calibri"/>
          <w:sz w:val="20"/>
        </w:rPr>
        <w:t>no obedece a una falta de definición inicial del diseño, sino a una necesidad técnica sobrevenida,</w:t>
      </w:r>
      <w:r>
        <w:rPr>
          <w:rFonts w:ascii="Calibri" w:hAnsi="Calibri"/>
          <w:spacing w:val="-12"/>
          <w:sz w:val="20"/>
        </w:rPr>
        <w:t> </w:t>
      </w:r>
      <w:r>
        <w:rPr>
          <w:rFonts w:ascii="Calibri" w:hAnsi="Calibri"/>
          <w:sz w:val="20"/>
        </w:rPr>
        <w:t>orientada</w:t>
      </w:r>
      <w:r>
        <w:rPr>
          <w:rFonts w:ascii="Calibri" w:hAnsi="Calibri"/>
          <w:spacing w:val="-11"/>
          <w:sz w:val="20"/>
        </w:rPr>
        <w:t> </w:t>
      </w:r>
      <w:r>
        <w:rPr>
          <w:rFonts w:ascii="Calibri" w:hAnsi="Calibri"/>
          <w:sz w:val="20"/>
        </w:rPr>
        <w:t>a</w:t>
      </w:r>
      <w:r>
        <w:rPr>
          <w:rFonts w:ascii="Calibri" w:hAnsi="Calibri"/>
          <w:spacing w:val="-11"/>
          <w:sz w:val="20"/>
        </w:rPr>
        <w:t> </w:t>
      </w:r>
      <w:r>
        <w:rPr>
          <w:rFonts w:ascii="Calibri" w:hAnsi="Calibri"/>
          <w:sz w:val="20"/>
        </w:rPr>
        <w:t>garantizar</w:t>
      </w:r>
      <w:r>
        <w:rPr>
          <w:rFonts w:ascii="Calibri" w:hAnsi="Calibri"/>
          <w:spacing w:val="-12"/>
          <w:sz w:val="20"/>
        </w:rPr>
        <w:t> </w:t>
      </w:r>
      <w:r>
        <w:rPr>
          <w:rFonts w:ascii="Calibri" w:hAnsi="Calibri"/>
          <w:sz w:val="20"/>
        </w:rPr>
        <w:t>la</w:t>
      </w:r>
      <w:r>
        <w:rPr>
          <w:rFonts w:ascii="Calibri" w:hAnsi="Calibri"/>
          <w:spacing w:val="-11"/>
          <w:sz w:val="20"/>
        </w:rPr>
        <w:t> </w:t>
      </w:r>
      <w:r>
        <w:rPr>
          <w:rFonts w:ascii="Calibri" w:hAnsi="Calibri"/>
          <w:sz w:val="20"/>
        </w:rPr>
        <w:t>perceptibilidad,</w:t>
      </w:r>
      <w:r>
        <w:rPr>
          <w:rFonts w:ascii="Calibri" w:hAnsi="Calibri"/>
          <w:spacing w:val="-11"/>
          <w:sz w:val="20"/>
        </w:rPr>
        <w:t> </w:t>
      </w:r>
      <w:r>
        <w:rPr>
          <w:rFonts w:ascii="Calibri" w:hAnsi="Calibri"/>
          <w:sz w:val="20"/>
        </w:rPr>
        <w:t>legibilidad</w:t>
      </w:r>
      <w:r>
        <w:rPr>
          <w:rFonts w:ascii="Calibri" w:hAnsi="Calibri"/>
          <w:spacing w:val="-10"/>
          <w:sz w:val="20"/>
        </w:rPr>
        <w:t> </w:t>
      </w:r>
      <w:r>
        <w:rPr>
          <w:rFonts w:ascii="Calibri" w:hAnsi="Calibri"/>
          <w:sz w:val="20"/>
        </w:rPr>
        <w:t>y</w:t>
      </w:r>
      <w:r>
        <w:rPr>
          <w:rFonts w:ascii="Calibri" w:hAnsi="Calibri"/>
          <w:spacing w:val="-10"/>
          <w:sz w:val="20"/>
        </w:rPr>
        <w:t> </w:t>
      </w:r>
      <w:r>
        <w:rPr>
          <w:rFonts w:ascii="Calibri" w:hAnsi="Calibri"/>
          <w:sz w:val="20"/>
        </w:rPr>
        <w:t>uniformidad</w:t>
      </w:r>
      <w:r>
        <w:rPr>
          <w:rFonts w:ascii="Calibri" w:hAnsi="Calibri"/>
          <w:spacing w:val="-12"/>
          <w:sz w:val="20"/>
        </w:rPr>
        <w:t> </w:t>
      </w:r>
      <w:r>
        <w:rPr>
          <w:rFonts w:ascii="Calibri" w:hAnsi="Calibri"/>
          <w:sz w:val="20"/>
        </w:rPr>
        <w:t>del</w:t>
      </w:r>
      <w:r>
        <w:rPr>
          <w:rFonts w:ascii="Calibri" w:hAnsi="Calibri"/>
          <w:spacing w:val="-10"/>
          <w:sz w:val="20"/>
        </w:rPr>
        <w:t> </w:t>
      </w:r>
      <w:r>
        <w:rPr>
          <w:rFonts w:ascii="Calibri" w:hAnsi="Calibri"/>
          <w:sz w:val="20"/>
        </w:rPr>
        <w:t>sistema de señalización, conforme a los principios de accesibilidad universal y comprensión cognitiva que sustentan el proyecto.</w:t>
      </w:r>
    </w:p>
    <w:p>
      <w:pPr>
        <w:spacing w:line="256" w:lineRule="auto" w:before="143"/>
        <w:ind w:left="2251" w:right="2024" w:firstLine="0"/>
        <w:jc w:val="both"/>
        <w:rPr>
          <w:rFonts w:ascii="Calibri" w:hAnsi="Calibri"/>
          <w:sz w:val="20"/>
        </w:rPr>
      </w:pPr>
      <w:r>
        <w:rPr>
          <w:rFonts w:ascii="Calibri" w:hAnsi="Calibri"/>
          <w:sz w:val="20"/>
        </w:rPr>
        <w:t>El objeto del contrato comprendía la prestación del servicio de diseño de la señalización mediante</w:t>
      </w:r>
      <w:r>
        <w:rPr>
          <w:rFonts w:ascii="Calibri" w:hAnsi="Calibri"/>
          <w:spacing w:val="27"/>
          <w:sz w:val="20"/>
        </w:rPr>
        <w:t> </w:t>
      </w:r>
      <w:r>
        <w:rPr>
          <w:rFonts w:ascii="Calibri" w:hAnsi="Calibri"/>
          <w:sz w:val="20"/>
        </w:rPr>
        <w:t>pictogramas</w:t>
      </w:r>
      <w:r>
        <w:rPr>
          <w:rFonts w:ascii="Calibri" w:hAnsi="Calibri"/>
          <w:spacing w:val="28"/>
          <w:sz w:val="20"/>
        </w:rPr>
        <w:t> </w:t>
      </w:r>
      <w:r>
        <w:rPr>
          <w:rFonts w:ascii="Calibri" w:hAnsi="Calibri"/>
          <w:sz w:val="20"/>
        </w:rPr>
        <w:t>de</w:t>
      </w:r>
      <w:r>
        <w:rPr>
          <w:rFonts w:ascii="Calibri" w:hAnsi="Calibri"/>
          <w:spacing w:val="31"/>
          <w:sz w:val="20"/>
        </w:rPr>
        <w:t> </w:t>
      </w:r>
      <w:r>
        <w:rPr>
          <w:rFonts w:ascii="Calibri" w:hAnsi="Calibri"/>
          <w:sz w:val="20"/>
        </w:rPr>
        <w:t>todas</w:t>
      </w:r>
      <w:r>
        <w:rPr>
          <w:rFonts w:ascii="Calibri" w:hAnsi="Calibri"/>
          <w:spacing w:val="31"/>
          <w:sz w:val="20"/>
        </w:rPr>
        <w:t> </w:t>
      </w:r>
      <w:r>
        <w:rPr>
          <w:rFonts w:ascii="Calibri" w:hAnsi="Calibri"/>
          <w:sz w:val="20"/>
        </w:rPr>
        <w:t>las</w:t>
      </w:r>
      <w:r>
        <w:rPr>
          <w:rFonts w:ascii="Calibri" w:hAnsi="Calibri"/>
          <w:spacing w:val="29"/>
          <w:sz w:val="20"/>
        </w:rPr>
        <w:t> </w:t>
      </w:r>
      <w:r>
        <w:rPr>
          <w:rFonts w:ascii="Calibri" w:hAnsi="Calibri"/>
          <w:sz w:val="20"/>
        </w:rPr>
        <w:t>paradas</w:t>
      </w:r>
      <w:r>
        <w:rPr>
          <w:rFonts w:ascii="Calibri" w:hAnsi="Calibri"/>
          <w:spacing w:val="31"/>
          <w:sz w:val="20"/>
        </w:rPr>
        <w:t> </w:t>
      </w:r>
      <w:r>
        <w:rPr>
          <w:rFonts w:ascii="Calibri" w:hAnsi="Calibri"/>
          <w:sz w:val="20"/>
        </w:rPr>
        <w:t>de</w:t>
      </w:r>
      <w:r>
        <w:rPr>
          <w:rFonts w:ascii="Calibri" w:hAnsi="Calibri"/>
          <w:spacing w:val="30"/>
          <w:sz w:val="20"/>
        </w:rPr>
        <w:t> </w:t>
      </w:r>
      <w:r>
        <w:rPr>
          <w:rFonts w:ascii="Calibri" w:hAnsi="Calibri"/>
          <w:sz w:val="20"/>
        </w:rPr>
        <w:t>la</w:t>
      </w:r>
      <w:r>
        <w:rPr>
          <w:rFonts w:ascii="Calibri" w:hAnsi="Calibri"/>
          <w:spacing w:val="29"/>
          <w:sz w:val="20"/>
        </w:rPr>
        <w:t> </w:t>
      </w:r>
      <w:r>
        <w:rPr>
          <w:rFonts w:ascii="Calibri" w:hAnsi="Calibri"/>
          <w:sz w:val="20"/>
        </w:rPr>
        <w:t>Empresa</w:t>
      </w:r>
      <w:r>
        <w:rPr>
          <w:rFonts w:ascii="Calibri" w:hAnsi="Calibri"/>
          <w:spacing w:val="25"/>
          <w:sz w:val="20"/>
        </w:rPr>
        <w:t> </w:t>
      </w:r>
      <w:r>
        <w:rPr>
          <w:rFonts w:ascii="Calibri" w:hAnsi="Calibri"/>
          <w:sz w:val="20"/>
        </w:rPr>
        <w:t>Malagueña</w:t>
      </w:r>
      <w:r>
        <w:rPr>
          <w:rFonts w:ascii="Calibri" w:hAnsi="Calibri"/>
          <w:spacing w:val="31"/>
          <w:sz w:val="20"/>
        </w:rPr>
        <w:t> </w:t>
      </w:r>
      <w:r>
        <w:rPr>
          <w:rFonts w:ascii="Calibri" w:hAnsi="Calibri"/>
          <w:sz w:val="20"/>
        </w:rPr>
        <w:t>de</w:t>
      </w:r>
      <w:r>
        <w:rPr>
          <w:rFonts w:ascii="Calibri" w:hAnsi="Calibri"/>
          <w:spacing w:val="31"/>
          <w:sz w:val="20"/>
        </w:rPr>
        <w:t> </w:t>
      </w:r>
      <w:r>
        <w:rPr>
          <w:rFonts w:ascii="Calibri" w:hAnsi="Calibri"/>
          <w:sz w:val="20"/>
        </w:rPr>
        <w:t>Transportes,</w:t>
      </w:r>
    </w:p>
    <w:p>
      <w:pPr>
        <w:spacing w:line="256" w:lineRule="auto" w:before="3"/>
        <w:ind w:left="2251" w:right="2018" w:firstLine="0"/>
        <w:jc w:val="both"/>
        <w:rPr>
          <w:rFonts w:ascii="Calibri" w:hAnsi="Calibri"/>
          <w:sz w:val="20"/>
        </w:rPr>
      </w:pPr>
      <w:r>
        <w:rPr>
          <w:rFonts w:ascii="Calibri" w:hAnsi="Calibri"/>
          <w:sz w:val="20"/>
        </w:rPr>
        <w:t>S.A.M. (EMT), con el fin de que fuesen identificables en marquesinas, postes bus y demás sistemas</w:t>
      </w:r>
      <w:r>
        <w:rPr>
          <w:rFonts w:ascii="Calibri" w:hAnsi="Calibri"/>
          <w:spacing w:val="-9"/>
          <w:sz w:val="20"/>
        </w:rPr>
        <w:t> </w:t>
      </w:r>
      <w:r>
        <w:rPr>
          <w:rFonts w:ascii="Calibri" w:hAnsi="Calibri"/>
          <w:sz w:val="20"/>
        </w:rPr>
        <w:t>de</w:t>
      </w:r>
      <w:r>
        <w:rPr>
          <w:rFonts w:ascii="Calibri" w:hAnsi="Calibri"/>
          <w:spacing w:val="-9"/>
          <w:sz w:val="20"/>
        </w:rPr>
        <w:t> </w:t>
      </w:r>
      <w:r>
        <w:rPr>
          <w:rFonts w:ascii="Calibri" w:hAnsi="Calibri"/>
          <w:sz w:val="20"/>
        </w:rPr>
        <w:t>información</w:t>
      </w:r>
      <w:r>
        <w:rPr>
          <w:rFonts w:ascii="Calibri" w:hAnsi="Calibri"/>
          <w:spacing w:val="-9"/>
          <w:sz w:val="20"/>
        </w:rPr>
        <w:t> </w:t>
      </w:r>
      <w:r>
        <w:rPr>
          <w:rFonts w:ascii="Calibri" w:hAnsi="Calibri"/>
          <w:sz w:val="20"/>
        </w:rPr>
        <w:t>al</w:t>
      </w:r>
      <w:r>
        <w:rPr>
          <w:rFonts w:ascii="Calibri" w:hAnsi="Calibri"/>
          <w:spacing w:val="-10"/>
          <w:sz w:val="20"/>
        </w:rPr>
        <w:t> </w:t>
      </w:r>
      <w:r>
        <w:rPr>
          <w:rFonts w:ascii="Calibri" w:hAnsi="Calibri"/>
          <w:sz w:val="20"/>
        </w:rPr>
        <w:t>usuario,</w:t>
      </w:r>
      <w:r>
        <w:rPr>
          <w:rFonts w:ascii="Calibri" w:hAnsi="Calibri"/>
          <w:spacing w:val="-9"/>
          <w:sz w:val="20"/>
        </w:rPr>
        <w:t> </w:t>
      </w:r>
      <w:r>
        <w:rPr>
          <w:rFonts w:ascii="Calibri" w:hAnsi="Calibri"/>
          <w:sz w:val="20"/>
        </w:rPr>
        <w:t>alcanzando</w:t>
      </w:r>
      <w:r>
        <w:rPr>
          <w:rFonts w:ascii="Calibri" w:hAnsi="Calibri"/>
          <w:spacing w:val="-9"/>
          <w:sz w:val="20"/>
        </w:rPr>
        <w:t> </w:t>
      </w:r>
      <w:r>
        <w:rPr>
          <w:rFonts w:ascii="Calibri" w:hAnsi="Calibri"/>
          <w:sz w:val="20"/>
        </w:rPr>
        <w:t>un</w:t>
      </w:r>
      <w:r>
        <w:rPr>
          <w:rFonts w:ascii="Calibri" w:hAnsi="Calibri"/>
          <w:spacing w:val="-10"/>
          <w:sz w:val="20"/>
        </w:rPr>
        <w:t> </w:t>
      </w:r>
      <w:r>
        <w:rPr>
          <w:rFonts w:ascii="Calibri" w:hAnsi="Calibri"/>
          <w:sz w:val="20"/>
        </w:rPr>
        <w:t>total</w:t>
      </w:r>
      <w:r>
        <w:rPr>
          <w:rFonts w:ascii="Calibri" w:hAnsi="Calibri"/>
          <w:spacing w:val="-10"/>
          <w:sz w:val="20"/>
        </w:rPr>
        <w:t> </w:t>
      </w:r>
      <w:r>
        <w:rPr>
          <w:rFonts w:ascii="Calibri" w:hAnsi="Calibri"/>
          <w:sz w:val="20"/>
        </w:rPr>
        <w:t>de</w:t>
      </w:r>
      <w:r>
        <w:rPr>
          <w:rFonts w:ascii="Calibri" w:hAnsi="Calibri"/>
          <w:spacing w:val="-9"/>
          <w:sz w:val="20"/>
        </w:rPr>
        <w:t> </w:t>
      </w:r>
      <w:r>
        <w:rPr>
          <w:rFonts w:ascii="Calibri" w:hAnsi="Calibri"/>
          <w:sz w:val="20"/>
        </w:rPr>
        <w:t>1.100</w:t>
      </w:r>
      <w:r>
        <w:rPr>
          <w:rFonts w:ascii="Calibri" w:hAnsi="Calibri"/>
          <w:spacing w:val="-9"/>
          <w:sz w:val="20"/>
        </w:rPr>
        <w:t> </w:t>
      </w:r>
      <w:r>
        <w:rPr>
          <w:rFonts w:ascii="Calibri" w:hAnsi="Calibri"/>
          <w:sz w:val="20"/>
        </w:rPr>
        <w:t>paradas,</w:t>
      </w:r>
      <w:r>
        <w:rPr>
          <w:rFonts w:ascii="Calibri" w:hAnsi="Calibri"/>
          <w:spacing w:val="-7"/>
          <w:sz w:val="20"/>
        </w:rPr>
        <w:t> </w:t>
      </w:r>
      <w:r>
        <w:rPr>
          <w:rFonts w:ascii="Calibri" w:hAnsi="Calibri"/>
          <w:sz w:val="20"/>
        </w:rPr>
        <w:t>según</w:t>
      </w:r>
      <w:r>
        <w:rPr>
          <w:rFonts w:ascii="Calibri" w:hAnsi="Calibri"/>
          <w:spacing w:val="-8"/>
          <w:sz w:val="20"/>
        </w:rPr>
        <w:t> </w:t>
      </w:r>
      <w:r>
        <w:rPr>
          <w:rFonts w:ascii="Calibri" w:hAnsi="Calibri"/>
          <w:sz w:val="20"/>
        </w:rPr>
        <w:t>los</w:t>
      </w:r>
      <w:r>
        <w:rPr>
          <w:rFonts w:ascii="Calibri" w:hAnsi="Calibri"/>
          <w:spacing w:val="-9"/>
          <w:sz w:val="20"/>
        </w:rPr>
        <w:t> </w:t>
      </w:r>
      <w:r>
        <w:rPr>
          <w:rFonts w:ascii="Calibri" w:hAnsi="Calibri"/>
          <w:sz w:val="20"/>
        </w:rPr>
        <w:t>pliegos de licitación.</w:t>
      </w:r>
    </w:p>
    <w:p>
      <w:pPr>
        <w:pStyle w:val="BodyText"/>
        <w:rPr>
          <w:rFonts w:ascii="Calibri"/>
          <w:sz w:val="20"/>
        </w:rPr>
      </w:pPr>
    </w:p>
    <w:p>
      <w:pPr>
        <w:pStyle w:val="BodyText"/>
        <w:rPr>
          <w:rFonts w:ascii="Calibri"/>
          <w:sz w:val="20"/>
        </w:rPr>
      </w:pPr>
    </w:p>
    <w:p>
      <w:pPr>
        <w:pStyle w:val="BodyText"/>
        <w:spacing w:before="102" w:after="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283" name="Group 1283"/>
                <wp:cNvGraphicFramePr>
                  <a:graphicFrameLocks/>
                </wp:cNvGraphicFramePr>
                <a:graphic>
                  <a:graphicData uri="http://schemas.microsoft.com/office/word/2010/wordprocessingGroup">
                    <wpg:wgp>
                      <wpg:cNvPr id="1283" name="Group 1283"/>
                      <wpg:cNvGrpSpPr/>
                      <wpg:grpSpPr>
                        <a:xfrm>
                          <a:off x="0" y="0"/>
                          <a:ext cx="1870075" cy="6350"/>
                          <a:chExt cx="1870075" cy="6350"/>
                        </a:xfrm>
                      </wpg:grpSpPr>
                      <wps:wsp>
                        <wps:cNvPr id="1284" name="Graphic 1284"/>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947" coordorigin="0,0" coordsize="2945,10">
                <v:rect style="position:absolute;left:0;top:0;width:2945;height:10" id="docshape948"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285" name="Group 1285"/>
                <wp:cNvGraphicFramePr>
                  <a:graphicFrameLocks/>
                </wp:cNvGraphicFramePr>
                <a:graphic>
                  <a:graphicData uri="http://schemas.microsoft.com/office/word/2010/wordprocessingGroup">
                    <wpg:wgp>
                      <wpg:cNvPr id="1285" name="Group 1285"/>
                      <wpg:cNvGrpSpPr/>
                      <wpg:grpSpPr>
                        <a:xfrm>
                          <a:off x="0" y="0"/>
                          <a:ext cx="841375" cy="6350"/>
                          <a:chExt cx="841375" cy="6350"/>
                        </a:xfrm>
                      </wpg:grpSpPr>
                      <wps:wsp>
                        <wps:cNvPr id="1286" name="Graphic 1286"/>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949" coordorigin="0,0" coordsize="1325,10">
                <v:rect style="position:absolute;left:0;top:0;width:1325;height:10" id="docshape950"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60"/>
          <w:headerReference w:type="even" r:id="rId261"/>
          <w:footerReference w:type="default" r:id="rId262"/>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00768">
                <wp:simplePos x="0" y="0"/>
                <wp:positionH relativeFrom="page">
                  <wp:posOffset>4332186</wp:posOffset>
                </wp:positionH>
                <wp:positionV relativeFrom="paragraph">
                  <wp:posOffset>1412477</wp:posOffset>
                </wp:positionV>
                <wp:extent cx="53340" cy="100330"/>
                <wp:effectExtent l="0" t="0" r="0" b="0"/>
                <wp:wrapNone/>
                <wp:docPr id="1287" name="Textbox 1287"/>
                <wp:cNvGraphicFramePr>
                  <a:graphicFrameLocks/>
                </wp:cNvGraphicFramePr>
                <a:graphic>
                  <a:graphicData uri="http://schemas.microsoft.com/office/word/2010/wordprocessingShape">
                    <wps:wsp>
                      <wps:cNvPr id="1287" name="Textbox 1287"/>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15712" type="#_x0000_t202" id="docshape951"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401280">
                <wp:simplePos x="0" y="0"/>
                <wp:positionH relativeFrom="page">
                  <wp:posOffset>2442286</wp:posOffset>
                </wp:positionH>
                <wp:positionV relativeFrom="paragraph">
                  <wp:posOffset>999005</wp:posOffset>
                </wp:positionV>
                <wp:extent cx="1299210" cy="99060"/>
                <wp:effectExtent l="0" t="0" r="0" b="0"/>
                <wp:wrapNone/>
                <wp:docPr id="1288" name="Graphic 1288"/>
                <wp:cNvGraphicFramePr>
                  <a:graphicFrameLocks/>
                </wp:cNvGraphicFramePr>
                <a:graphic>
                  <a:graphicData uri="http://schemas.microsoft.com/office/word/2010/wordprocessingShape">
                    <wps:wsp>
                      <wps:cNvPr id="1288" name="Graphic 1288"/>
                      <wps:cNvSpPr/>
                      <wps:spPr>
                        <a:xfrm>
                          <a:off x="0" y="0"/>
                          <a:ext cx="1299210" cy="99060"/>
                        </a:xfrm>
                        <a:custGeom>
                          <a:avLst/>
                          <a:gdLst/>
                          <a:ahLst/>
                          <a:cxnLst/>
                          <a:rect l="l" t="t" r="r" b="b"/>
                          <a:pathLst>
                            <a:path w="1299210" h="99060">
                              <a:moveTo>
                                <a:pt x="1298981" y="0"/>
                              </a:moveTo>
                              <a:lnTo>
                                <a:pt x="0" y="0"/>
                              </a:lnTo>
                              <a:lnTo>
                                <a:pt x="0" y="98742"/>
                              </a:lnTo>
                              <a:lnTo>
                                <a:pt x="1298981" y="98742"/>
                              </a:lnTo>
                              <a:lnTo>
                                <a:pt x="12989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92.306pt;margin-top:78.661887pt;width:102.282pt;height:7.775pt;mso-position-horizontal-relative:page;mso-position-vertical-relative:paragraph;z-index:-28915200" id="docshape952" filled="true" fillcolor="#000000" stroked="false">
                <v:fill type="solid"/>
                <w10:wrap type="none"/>
              </v:rect>
            </w:pict>
          </mc:Fallback>
        </mc:AlternateContent>
      </w:r>
      <w:r>
        <w:rPr>
          <w:sz w:val="16"/>
        </w:rPr>
        <mc:AlternateContent>
          <mc:Choice Requires="wps">
            <w:drawing>
              <wp:anchor distT="0" distB="0" distL="0" distR="0" allowOverlap="1" layoutInCell="1" locked="0" behindDoc="1" simplePos="0" relativeHeight="474401792">
                <wp:simplePos x="0" y="0"/>
                <wp:positionH relativeFrom="page">
                  <wp:posOffset>4371543</wp:posOffset>
                </wp:positionH>
                <wp:positionV relativeFrom="paragraph">
                  <wp:posOffset>1412556</wp:posOffset>
                </wp:positionV>
                <wp:extent cx="1512570" cy="102870"/>
                <wp:effectExtent l="0" t="0" r="0" b="0"/>
                <wp:wrapNone/>
                <wp:docPr id="1289" name="Graphic 1289"/>
                <wp:cNvGraphicFramePr>
                  <a:graphicFrameLocks/>
                </wp:cNvGraphicFramePr>
                <a:graphic>
                  <a:graphicData uri="http://schemas.microsoft.com/office/word/2010/wordprocessingShape">
                    <wps:wsp>
                      <wps:cNvPr id="1289" name="Graphic 1289"/>
                      <wps:cNvSpPr/>
                      <wps:spPr>
                        <a:xfrm>
                          <a:off x="0" y="0"/>
                          <a:ext cx="1512570" cy="102870"/>
                        </a:xfrm>
                        <a:custGeom>
                          <a:avLst/>
                          <a:gdLst/>
                          <a:ahLst/>
                          <a:cxnLst/>
                          <a:rect l="l" t="t" r="r" b="b"/>
                          <a:pathLst>
                            <a:path w="1512570" h="102870">
                              <a:moveTo>
                                <a:pt x="1511998" y="0"/>
                              </a:moveTo>
                              <a:lnTo>
                                <a:pt x="0" y="0"/>
                              </a:lnTo>
                              <a:lnTo>
                                <a:pt x="0" y="102819"/>
                              </a:lnTo>
                              <a:lnTo>
                                <a:pt x="1511998" y="102819"/>
                              </a:lnTo>
                              <a:lnTo>
                                <a:pt x="15119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4.216pt;margin-top:111.224892pt;width:119.055pt;height:8.096pt;mso-position-horizontal-relative:page;mso-position-vertical-relative:paragraph;z-index:-28914688" id="docshape953" filled="true" fillcolor="#000000" stroked="false">
                <v:fill type="solid"/>
                <w10:wrap type="none"/>
              </v:rect>
            </w:pict>
          </mc:Fallback>
        </mc:AlternateContent>
      </w:r>
      <w:r>
        <w:rPr>
          <w:sz w:val="16"/>
        </w:rPr>
        <w:drawing>
          <wp:anchor distT="0" distB="0" distL="0" distR="0" allowOverlap="1" layoutInCell="1" locked="0" behindDoc="0" simplePos="0" relativeHeight="15864320">
            <wp:simplePos x="0" y="0"/>
            <wp:positionH relativeFrom="page">
              <wp:posOffset>217931</wp:posOffset>
            </wp:positionH>
            <wp:positionV relativeFrom="paragraph">
              <wp:posOffset>1001444</wp:posOffset>
            </wp:positionV>
            <wp:extent cx="1203959" cy="207263"/>
            <wp:effectExtent l="0" t="0" r="0" b="0"/>
            <wp:wrapNone/>
            <wp:docPr id="1290" name="Image 1290"/>
            <wp:cNvGraphicFramePr>
              <a:graphicFrameLocks/>
            </wp:cNvGraphicFramePr>
            <a:graphic>
              <a:graphicData uri="http://schemas.openxmlformats.org/drawingml/2006/picture">
                <pic:pic>
                  <pic:nvPicPr>
                    <pic:cNvPr id="1290" name="Image 1290"/>
                    <pic:cNvPicPr/>
                  </pic:nvPicPr>
                  <pic:blipFill>
                    <a:blip r:embed="rId219" cstate="print"/>
                    <a:stretch>
                      <a:fillRect/>
                    </a:stretch>
                  </pic:blipFill>
                  <pic:spPr>
                    <a:xfrm>
                      <a:off x="0" y="0"/>
                      <a:ext cx="1203959" cy="207263"/>
                    </a:xfrm>
                    <a:prstGeom prst="rect">
                      <a:avLst/>
                    </a:prstGeom>
                  </pic:spPr>
                </pic:pic>
              </a:graphicData>
            </a:graphic>
          </wp:anchor>
        </w:drawing>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291" name="Textbox 1291"/>
                <wp:cNvGraphicFramePr>
                  <a:graphicFrameLocks/>
                </wp:cNvGraphicFramePr>
                <a:graphic>
                  <a:graphicData uri="http://schemas.microsoft.com/office/word/2010/wordprocessingShape">
                    <wps:wsp>
                      <wps:cNvPr id="1291" name="Textbox 1291"/>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292" name="Image 1292"/>
                                        <wp:cNvGraphicFramePr>
                                          <a:graphicFrameLocks/>
                                        </wp:cNvGraphicFramePr>
                                        <a:graphic>
                                          <a:graphicData uri="http://schemas.openxmlformats.org/drawingml/2006/picture">
                                            <pic:pic>
                                              <pic:nvPicPr>
                                                <pic:cNvPr id="1292" name="Image 1292"/>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293" name="Image 1293"/>
                                        <wp:cNvGraphicFramePr>
                                          <a:graphicFrameLocks/>
                                        </wp:cNvGraphicFramePr>
                                        <a:graphic>
                                          <a:graphicData uri="http://schemas.openxmlformats.org/drawingml/2006/picture">
                                            <pic:pic>
                                              <pic:nvPicPr>
                                                <pic:cNvPr id="1293" name="Image 1293"/>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294" name="Image 1294"/>
                                        <wp:cNvGraphicFramePr>
                                          <a:graphicFrameLocks/>
                                        </wp:cNvGraphicFramePr>
                                        <a:graphic>
                                          <a:graphicData uri="http://schemas.openxmlformats.org/drawingml/2006/picture">
                                            <pic:pic>
                                              <pic:nvPicPr>
                                                <pic:cNvPr id="1294" name="Image 1294"/>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295" name="Image 1295"/>
                                        <wp:cNvGraphicFramePr>
                                          <a:graphicFrameLocks/>
                                        </wp:cNvGraphicFramePr>
                                        <a:graphic>
                                          <a:graphicData uri="http://schemas.openxmlformats.org/drawingml/2006/picture">
                                            <pic:pic>
                                              <pic:nvPicPr>
                                                <pic:cNvPr id="1295" name="Image 1295"/>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19/40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296" name="Image 1296"/>
                                        <wp:cNvGraphicFramePr>
                                          <a:graphicFrameLocks/>
                                        </wp:cNvGraphicFramePr>
                                        <a:graphic>
                                          <a:graphicData uri="http://schemas.openxmlformats.org/drawingml/2006/picture">
                                            <pic:pic>
                                              <pic:nvPicPr>
                                                <pic:cNvPr id="1296" name="Image 1296"/>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297" name="Image 1297"/>
                                        <wp:cNvGraphicFramePr>
                                          <a:graphicFrameLocks/>
                                        </wp:cNvGraphicFramePr>
                                        <a:graphic>
                                          <a:graphicData uri="http://schemas.openxmlformats.org/drawingml/2006/picture">
                                            <pic:pic>
                                              <pic:nvPicPr>
                                                <pic:cNvPr id="1297" name="Image 1297"/>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954"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298" name="Image 1298"/>
                                  <wp:cNvGraphicFramePr>
                                    <a:graphicFrameLocks/>
                                  </wp:cNvGraphicFramePr>
                                  <a:graphic>
                                    <a:graphicData uri="http://schemas.openxmlformats.org/drawingml/2006/picture">
                                      <pic:pic>
                                        <pic:nvPicPr>
                                          <pic:cNvPr id="1298" name="Image 129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299" name="Image 1299"/>
                                  <wp:cNvGraphicFramePr>
                                    <a:graphicFrameLocks/>
                                  </wp:cNvGraphicFramePr>
                                  <a:graphic>
                                    <a:graphicData uri="http://schemas.openxmlformats.org/drawingml/2006/picture">
                                      <pic:pic>
                                        <pic:nvPicPr>
                                          <pic:cNvPr id="1299" name="Image 129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300" name="Image 1300"/>
                                  <wp:cNvGraphicFramePr>
                                    <a:graphicFrameLocks/>
                                  </wp:cNvGraphicFramePr>
                                  <a:graphic>
                                    <a:graphicData uri="http://schemas.openxmlformats.org/drawingml/2006/picture">
                                      <pic:pic>
                                        <pic:nvPicPr>
                                          <pic:cNvPr id="1300" name="Image 1300"/>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301" name="Image 1301"/>
                                  <wp:cNvGraphicFramePr>
                                    <a:graphicFrameLocks/>
                                  </wp:cNvGraphicFramePr>
                                  <a:graphic>
                                    <a:graphicData uri="http://schemas.openxmlformats.org/drawingml/2006/picture">
                                      <pic:pic>
                                        <pic:nvPicPr>
                                          <pic:cNvPr id="1301" name="Image 1301"/>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19/40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302" name="Image 1302"/>
                                  <wp:cNvGraphicFramePr>
                                    <a:graphicFrameLocks/>
                                  </wp:cNvGraphicFramePr>
                                  <a:graphic>
                                    <a:graphicData uri="http://schemas.openxmlformats.org/drawingml/2006/picture">
                                      <pic:pic>
                                        <pic:nvPicPr>
                                          <pic:cNvPr id="1302" name="Image 1302"/>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303" name="Image 1303"/>
                                  <wp:cNvGraphicFramePr>
                                    <a:graphicFrameLocks/>
                                  </wp:cNvGraphicFramePr>
                                  <a:graphic>
                                    <a:graphicData uri="http://schemas.openxmlformats.org/drawingml/2006/picture">
                                      <pic:pic>
                                        <pic:nvPicPr>
                                          <pic:cNvPr id="1303" name="Image 1303"/>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304" name="Group 1304"/>
                <wp:cNvGraphicFramePr>
                  <a:graphicFrameLocks/>
                </wp:cNvGraphicFramePr>
                <a:graphic>
                  <a:graphicData uri="http://schemas.microsoft.com/office/word/2010/wordprocessingGroup">
                    <wpg:wgp>
                      <wpg:cNvPr id="1304" name="Group 1304"/>
                      <wpg:cNvGrpSpPr/>
                      <wpg:grpSpPr>
                        <a:xfrm>
                          <a:off x="0" y="0"/>
                          <a:ext cx="734695" cy="753110"/>
                          <a:chExt cx="734695" cy="753110"/>
                        </a:xfrm>
                      </wpg:grpSpPr>
                      <pic:pic>
                        <pic:nvPicPr>
                          <pic:cNvPr id="1305" name="Image 1305"/>
                          <pic:cNvPicPr/>
                        </pic:nvPicPr>
                        <pic:blipFill>
                          <a:blip r:embed="rId224" cstate="print"/>
                          <a:stretch>
                            <a:fillRect/>
                          </a:stretch>
                        </pic:blipFill>
                        <pic:spPr>
                          <a:xfrm>
                            <a:off x="0" y="0"/>
                            <a:ext cx="734567" cy="752840"/>
                          </a:xfrm>
                          <a:prstGeom prst="rect">
                            <a:avLst/>
                          </a:prstGeom>
                        </pic:spPr>
                      </pic:pic>
                      <wps:wsp>
                        <wps:cNvPr id="1306" name="Graphic 1306"/>
                        <wps:cNvSpPr/>
                        <wps:spPr>
                          <a:xfrm>
                            <a:off x="60515" y="35176"/>
                            <a:ext cx="654685" cy="684530"/>
                          </a:xfrm>
                          <a:custGeom>
                            <a:avLst/>
                            <a:gdLst/>
                            <a:ahLst/>
                            <a:cxnLst/>
                            <a:rect l="l" t="t" r="r" b="b"/>
                            <a:pathLst>
                              <a:path w="654685" h="684530">
                                <a:moveTo>
                                  <a:pt x="654570" y="0"/>
                                </a:moveTo>
                                <a:lnTo>
                                  <a:pt x="0" y="0"/>
                                </a:lnTo>
                                <a:lnTo>
                                  <a:pt x="0" y="684479"/>
                                </a:lnTo>
                                <a:lnTo>
                                  <a:pt x="654570" y="684479"/>
                                </a:lnTo>
                                <a:lnTo>
                                  <a:pt x="65457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955" coordorigin="0,0" coordsize="1157,1186">
                <v:shape style="position:absolute;left:0;top:0;width:1157;height:1186" type="#_x0000_t75" id="docshape956" stroked="false">
                  <v:imagedata r:id="rId224" o:title=""/>
                </v:shape>
                <v:rect style="position:absolute;left:95;top:55;width:1031;height:1078" id="docshape957"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2251" w:right="2019" w:firstLine="0"/>
        <w:jc w:val="both"/>
        <w:rPr>
          <w:rFonts w:ascii="Calibri" w:hAnsi="Calibri"/>
          <w:sz w:val="20"/>
        </w:rPr>
      </w:pPr>
      <w:r>
        <w:rPr>
          <w:rFonts w:ascii="Calibri" w:hAnsi="Calibri"/>
          <w:sz w:val="20"/>
        </w:rPr>
        <w:t>El objetivo último del contrato era facilitar la identificación de las paradas a cualquier usuario, con independencia de su edad o idioma, mediante un lenguaje visual universal, mejorando la accesibilidad cognitiva y la comprensión del entorno.</w:t>
      </w:r>
    </w:p>
    <w:p>
      <w:pPr>
        <w:spacing w:line="256" w:lineRule="auto" w:before="138"/>
        <w:ind w:left="2251" w:right="2021" w:firstLine="0"/>
        <w:jc w:val="both"/>
        <w:rPr>
          <w:rFonts w:ascii="Calibri" w:hAnsi="Calibri"/>
          <w:sz w:val="20"/>
        </w:rPr>
      </w:pPr>
      <w:r>
        <w:rPr>
          <w:rFonts w:ascii="Calibri" w:hAnsi="Calibri"/>
          <w:sz w:val="20"/>
        </w:rPr>
        <w:t>Durante</w:t>
      </w:r>
      <w:r>
        <w:rPr>
          <w:rFonts w:ascii="Calibri" w:hAnsi="Calibri"/>
          <w:spacing w:val="-6"/>
          <w:sz w:val="20"/>
        </w:rPr>
        <w:t> </w:t>
      </w:r>
      <w:r>
        <w:rPr>
          <w:rFonts w:ascii="Calibri" w:hAnsi="Calibri"/>
          <w:sz w:val="20"/>
        </w:rPr>
        <w:t>la</w:t>
      </w:r>
      <w:r>
        <w:rPr>
          <w:rFonts w:ascii="Calibri" w:hAnsi="Calibri"/>
          <w:spacing w:val="-5"/>
          <w:sz w:val="20"/>
        </w:rPr>
        <w:t> </w:t>
      </w:r>
      <w:r>
        <w:rPr>
          <w:rFonts w:ascii="Calibri" w:hAnsi="Calibri"/>
          <w:sz w:val="20"/>
        </w:rPr>
        <w:t>fase</w:t>
      </w:r>
      <w:r>
        <w:rPr>
          <w:rFonts w:ascii="Calibri" w:hAnsi="Calibri"/>
          <w:spacing w:val="-2"/>
          <w:sz w:val="20"/>
        </w:rPr>
        <w:t> </w:t>
      </w:r>
      <w:r>
        <w:rPr>
          <w:rFonts w:ascii="Calibri" w:hAnsi="Calibri"/>
          <w:sz w:val="20"/>
        </w:rPr>
        <w:t>de</w:t>
      </w:r>
      <w:r>
        <w:rPr>
          <w:rFonts w:ascii="Calibri" w:hAnsi="Calibri"/>
          <w:spacing w:val="-8"/>
          <w:sz w:val="20"/>
        </w:rPr>
        <w:t> </w:t>
      </w:r>
      <w:r>
        <w:rPr>
          <w:rFonts w:ascii="Calibri" w:hAnsi="Calibri"/>
          <w:sz w:val="20"/>
        </w:rPr>
        <w:t>evaluación</w:t>
      </w:r>
      <w:r>
        <w:rPr>
          <w:rFonts w:ascii="Calibri" w:hAnsi="Calibri"/>
          <w:spacing w:val="-4"/>
          <w:sz w:val="20"/>
        </w:rPr>
        <w:t> </w:t>
      </w:r>
      <w:r>
        <w:rPr>
          <w:rFonts w:ascii="Calibri" w:hAnsi="Calibri"/>
          <w:sz w:val="20"/>
        </w:rPr>
        <w:t>de</w:t>
      </w:r>
      <w:r>
        <w:rPr>
          <w:rFonts w:ascii="Calibri" w:hAnsi="Calibri"/>
          <w:spacing w:val="-6"/>
          <w:sz w:val="20"/>
        </w:rPr>
        <w:t> </w:t>
      </w:r>
      <w:r>
        <w:rPr>
          <w:rFonts w:ascii="Calibri" w:hAnsi="Calibri"/>
          <w:sz w:val="20"/>
        </w:rPr>
        <w:t>la</w:t>
      </w:r>
      <w:r>
        <w:rPr>
          <w:rFonts w:ascii="Calibri" w:hAnsi="Calibri"/>
          <w:spacing w:val="-5"/>
          <w:sz w:val="20"/>
        </w:rPr>
        <w:t> </w:t>
      </w:r>
      <w:r>
        <w:rPr>
          <w:rFonts w:ascii="Calibri" w:hAnsi="Calibri"/>
          <w:sz w:val="20"/>
        </w:rPr>
        <w:t>comprensión</w:t>
      </w:r>
      <w:r>
        <w:rPr>
          <w:rFonts w:ascii="Calibri" w:hAnsi="Calibri"/>
          <w:spacing w:val="-5"/>
          <w:sz w:val="20"/>
        </w:rPr>
        <w:t> </w:t>
      </w:r>
      <w:r>
        <w:rPr>
          <w:rFonts w:ascii="Calibri" w:hAnsi="Calibri"/>
          <w:sz w:val="20"/>
        </w:rPr>
        <w:t>y</w:t>
      </w:r>
      <w:r>
        <w:rPr>
          <w:rFonts w:ascii="Calibri" w:hAnsi="Calibri"/>
          <w:spacing w:val="-7"/>
          <w:sz w:val="20"/>
        </w:rPr>
        <w:t> </w:t>
      </w:r>
      <w:r>
        <w:rPr>
          <w:rFonts w:ascii="Calibri" w:hAnsi="Calibri"/>
          <w:sz w:val="20"/>
        </w:rPr>
        <w:t>percepción</w:t>
      </w:r>
      <w:r>
        <w:rPr>
          <w:rFonts w:ascii="Calibri" w:hAnsi="Calibri"/>
          <w:spacing w:val="-7"/>
          <w:sz w:val="20"/>
        </w:rPr>
        <w:t> </w:t>
      </w:r>
      <w:r>
        <w:rPr>
          <w:rFonts w:ascii="Calibri" w:hAnsi="Calibri"/>
          <w:sz w:val="20"/>
        </w:rPr>
        <w:t>visual</w:t>
      </w:r>
      <w:r>
        <w:rPr>
          <w:rFonts w:ascii="Calibri" w:hAnsi="Calibri"/>
          <w:spacing w:val="-6"/>
          <w:sz w:val="20"/>
        </w:rPr>
        <w:t> </w:t>
      </w:r>
      <w:r>
        <w:rPr>
          <w:rFonts w:ascii="Calibri" w:hAnsi="Calibri"/>
          <w:sz w:val="20"/>
        </w:rPr>
        <w:t>de</w:t>
      </w:r>
      <w:r>
        <w:rPr>
          <w:rFonts w:ascii="Calibri" w:hAnsi="Calibri"/>
          <w:spacing w:val="-4"/>
          <w:sz w:val="20"/>
        </w:rPr>
        <w:t> </w:t>
      </w:r>
      <w:r>
        <w:rPr>
          <w:rFonts w:ascii="Calibri" w:hAnsi="Calibri"/>
          <w:sz w:val="20"/>
        </w:rPr>
        <w:t>los</w:t>
      </w:r>
      <w:r>
        <w:rPr>
          <w:rFonts w:ascii="Calibri" w:hAnsi="Calibri"/>
          <w:spacing w:val="-4"/>
          <w:sz w:val="20"/>
        </w:rPr>
        <w:t> </w:t>
      </w:r>
      <w:r>
        <w:rPr>
          <w:rFonts w:ascii="Calibri" w:hAnsi="Calibri"/>
          <w:sz w:val="20"/>
        </w:rPr>
        <w:t>pictogramas,</w:t>
      </w:r>
      <w:r>
        <w:rPr>
          <w:rFonts w:ascii="Calibri" w:hAnsi="Calibri"/>
          <w:spacing w:val="-5"/>
          <w:sz w:val="20"/>
        </w:rPr>
        <w:t> </w:t>
      </w:r>
      <w:r>
        <w:rPr>
          <w:rFonts w:ascii="Calibri" w:hAnsi="Calibri"/>
          <w:sz w:val="20"/>
        </w:rPr>
        <w:t>se constató la necesidad de incluir en cada diseño no solo el pictograma, sino también el nombre de la parada, de forma integrada y coherente con la señalización física que se instalaría en marquesinas y postes.</w:t>
      </w:r>
    </w:p>
    <w:p>
      <w:pPr>
        <w:spacing w:line="256" w:lineRule="auto" w:before="148"/>
        <w:ind w:left="2251" w:right="2023" w:firstLine="0"/>
        <w:jc w:val="both"/>
        <w:rPr>
          <w:rFonts w:ascii="Calibri" w:hAnsi="Calibri"/>
          <w:sz w:val="20"/>
        </w:rPr>
      </w:pPr>
      <w:r>
        <w:rPr>
          <w:rFonts w:ascii="Calibri" w:hAnsi="Calibri"/>
          <w:sz w:val="20"/>
        </w:rPr>
        <w:t>Esta decisión no responde a una redefinición del alcance del proyecto, sino a una mejora de la accesibilidad visual</w:t>
      </w:r>
      <w:r>
        <w:rPr>
          <w:rFonts w:ascii="Calibri" w:hAnsi="Calibri"/>
          <w:spacing w:val="-1"/>
          <w:sz w:val="20"/>
        </w:rPr>
        <w:t> </w:t>
      </w:r>
      <w:r>
        <w:rPr>
          <w:rFonts w:ascii="Calibri" w:hAnsi="Calibri"/>
          <w:sz w:val="20"/>
        </w:rPr>
        <w:t>y de la eficacia comunicativa del sistema, para</w:t>
      </w:r>
      <w:r>
        <w:rPr>
          <w:rFonts w:ascii="Calibri" w:hAnsi="Calibri"/>
          <w:spacing w:val="-1"/>
          <w:sz w:val="20"/>
        </w:rPr>
        <w:t> </w:t>
      </w:r>
      <w:r>
        <w:rPr>
          <w:rFonts w:ascii="Calibri" w:hAnsi="Calibri"/>
          <w:sz w:val="20"/>
        </w:rPr>
        <w:t>lo cual</w:t>
      </w:r>
      <w:r>
        <w:rPr>
          <w:rFonts w:ascii="Calibri" w:hAnsi="Calibri"/>
          <w:spacing w:val="-1"/>
          <w:sz w:val="20"/>
        </w:rPr>
        <w:t> </w:t>
      </w:r>
      <w:r>
        <w:rPr>
          <w:rFonts w:ascii="Calibri" w:hAnsi="Calibri"/>
          <w:sz w:val="20"/>
        </w:rPr>
        <w:t>fue preciso ajustar el formato y las</w:t>
      </w:r>
      <w:r>
        <w:rPr>
          <w:rFonts w:ascii="Calibri" w:hAnsi="Calibri"/>
          <w:spacing w:val="-1"/>
          <w:sz w:val="20"/>
        </w:rPr>
        <w:t> </w:t>
      </w:r>
      <w:r>
        <w:rPr>
          <w:rFonts w:ascii="Calibri" w:hAnsi="Calibri"/>
          <w:sz w:val="20"/>
        </w:rPr>
        <w:t>especificaciones gráficas del diseño de los</w:t>
      </w:r>
      <w:r>
        <w:rPr>
          <w:rFonts w:ascii="Calibri" w:hAnsi="Calibri"/>
          <w:spacing w:val="-1"/>
          <w:sz w:val="20"/>
        </w:rPr>
        <w:t> </w:t>
      </w:r>
      <w:r>
        <w:rPr>
          <w:rFonts w:ascii="Calibri" w:hAnsi="Calibri"/>
          <w:sz w:val="20"/>
        </w:rPr>
        <w:t>vinilos, incorporando:</w:t>
      </w:r>
    </w:p>
    <w:p>
      <w:pPr>
        <w:pStyle w:val="ListParagraph"/>
        <w:numPr>
          <w:ilvl w:val="0"/>
          <w:numId w:val="15"/>
        </w:numPr>
        <w:tabs>
          <w:tab w:pos="2575" w:val="left" w:leader="none"/>
        </w:tabs>
        <w:spacing w:line="240" w:lineRule="auto" w:before="146" w:after="0"/>
        <w:ind w:left="2575" w:right="0" w:hanging="324"/>
        <w:jc w:val="left"/>
        <w:rPr>
          <w:rFonts w:ascii="Calibri" w:hAnsi="Calibri"/>
          <w:sz w:val="20"/>
        </w:rPr>
      </w:pPr>
      <w:r>
        <w:rPr>
          <w:rFonts w:ascii="Calibri" w:hAnsi="Calibri"/>
          <w:spacing w:val="-2"/>
          <w:sz w:val="20"/>
        </w:rPr>
        <w:t>Tipografía</w:t>
      </w:r>
      <w:r>
        <w:rPr>
          <w:rFonts w:ascii="Calibri" w:hAnsi="Calibri"/>
          <w:spacing w:val="-3"/>
          <w:sz w:val="20"/>
        </w:rPr>
        <w:t> </w:t>
      </w:r>
      <w:r>
        <w:rPr>
          <w:rFonts w:ascii="Calibri" w:hAnsi="Calibri"/>
          <w:spacing w:val="-2"/>
          <w:sz w:val="20"/>
        </w:rPr>
        <w:t>accesible</w:t>
      </w:r>
      <w:r>
        <w:rPr>
          <w:rFonts w:ascii="Calibri" w:hAnsi="Calibri"/>
          <w:sz w:val="20"/>
        </w:rPr>
        <w:t> </w:t>
      </w:r>
      <w:r>
        <w:rPr>
          <w:rFonts w:ascii="Calibri" w:hAnsi="Calibri"/>
          <w:spacing w:val="-2"/>
          <w:sz w:val="20"/>
        </w:rPr>
        <w:t>y</w:t>
      </w:r>
      <w:r>
        <w:rPr>
          <w:rFonts w:ascii="Calibri" w:hAnsi="Calibri"/>
          <w:spacing w:val="2"/>
          <w:sz w:val="20"/>
        </w:rPr>
        <w:t> </w:t>
      </w:r>
      <w:r>
        <w:rPr>
          <w:rFonts w:ascii="Calibri" w:hAnsi="Calibri"/>
          <w:spacing w:val="-2"/>
          <w:sz w:val="20"/>
        </w:rPr>
        <w:t>legible,</w:t>
      </w:r>
      <w:r>
        <w:rPr>
          <w:rFonts w:ascii="Calibri" w:hAnsi="Calibri"/>
          <w:spacing w:val="-1"/>
          <w:sz w:val="20"/>
        </w:rPr>
        <w:t> </w:t>
      </w:r>
      <w:r>
        <w:rPr>
          <w:rFonts w:ascii="Calibri" w:hAnsi="Calibri"/>
          <w:spacing w:val="-2"/>
          <w:sz w:val="20"/>
        </w:rPr>
        <w:t>adaptada</w:t>
      </w:r>
      <w:r>
        <w:rPr>
          <w:rFonts w:ascii="Calibri" w:hAnsi="Calibri"/>
          <w:spacing w:val="-1"/>
          <w:sz w:val="20"/>
        </w:rPr>
        <w:t> </w:t>
      </w:r>
      <w:r>
        <w:rPr>
          <w:rFonts w:ascii="Calibri" w:hAnsi="Calibri"/>
          <w:spacing w:val="-2"/>
          <w:sz w:val="20"/>
        </w:rPr>
        <w:t>a</w:t>
      </w:r>
      <w:r>
        <w:rPr>
          <w:rFonts w:ascii="Calibri" w:hAnsi="Calibri"/>
          <w:spacing w:val="2"/>
          <w:sz w:val="20"/>
        </w:rPr>
        <w:t> </w:t>
      </w:r>
      <w:r>
        <w:rPr>
          <w:rFonts w:ascii="Calibri" w:hAnsi="Calibri"/>
          <w:spacing w:val="-2"/>
          <w:sz w:val="20"/>
        </w:rPr>
        <w:t>los</w:t>
      </w:r>
      <w:r>
        <w:rPr>
          <w:rFonts w:ascii="Calibri" w:hAnsi="Calibri"/>
          <w:sz w:val="20"/>
        </w:rPr>
        <w:t> </w:t>
      </w:r>
      <w:r>
        <w:rPr>
          <w:rFonts w:ascii="Calibri" w:hAnsi="Calibri"/>
          <w:spacing w:val="-2"/>
          <w:sz w:val="20"/>
        </w:rPr>
        <w:t>criterios</w:t>
      </w:r>
      <w:r>
        <w:rPr>
          <w:rFonts w:ascii="Calibri" w:hAnsi="Calibri"/>
          <w:sz w:val="20"/>
        </w:rPr>
        <w:t> </w:t>
      </w:r>
      <w:r>
        <w:rPr>
          <w:rFonts w:ascii="Calibri" w:hAnsi="Calibri"/>
          <w:spacing w:val="-2"/>
          <w:sz w:val="20"/>
        </w:rPr>
        <w:t>de</w:t>
      </w:r>
      <w:r>
        <w:rPr>
          <w:rFonts w:ascii="Calibri" w:hAnsi="Calibri"/>
          <w:spacing w:val="1"/>
          <w:sz w:val="20"/>
        </w:rPr>
        <w:t> </w:t>
      </w:r>
      <w:r>
        <w:rPr>
          <w:rFonts w:ascii="Calibri" w:hAnsi="Calibri"/>
          <w:spacing w:val="-2"/>
          <w:sz w:val="20"/>
        </w:rPr>
        <w:t>diseño universal.</w:t>
      </w:r>
    </w:p>
    <w:p>
      <w:pPr>
        <w:pStyle w:val="ListParagraph"/>
        <w:numPr>
          <w:ilvl w:val="0"/>
          <w:numId w:val="15"/>
        </w:numPr>
        <w:tabs>
          <w:tab w:pos="2575" w:val="left" w:leader="none"/>
        </w:tabs>
        <w:spacing w:line="259" w:lineRule="auto" w:before="159" w:after="0"/>
        <w:ind w:left="2575" w:right="2023" w:hanging="324"/>
        <w:jc w:val="left"/>
        <w:rPr>
          <w:rFonts w:ascii="Calibri" w:hAnsi="Calibri"/>
          <w:sz w:val="20"/>
        </w:rPr>
      </w:pPr>
      <w:r>
        <w:rPr>
          <w:rFonts w:ascii="Calibri" w:hAnsi="Calibri"/>
          <w:sz w:val="20"/>
        </w:rPr>
        <w:t>Colores</w:t>
      </w:r>
      <w:r>
        <w:rPr>
          <w:rFonts w:ascii="Calibri" w:hAnsi="Calibri"/>
          <w:spacing w:val="18"/>
          <w:sz w:val="20"/>
        </w:rPr>
        <w:t> </w:t>
      </w:r>
      <w:r>
        <w:rPr>
          <w:rFonts w:ascii="Calibri" w:hAnsi="Calibri"/>
          <w:sz w:val="20"/>
        </w:rPr>
        <w:t>de</w:t>
      </w:r>
      <w:r>
        <w:rPr>
          <w:rFonts w:ascii="Calibri" w:hAnsi="Calibri"/>
          <w:spacing w:val="22"/>
          <w:sz w:val="20"/>
        </w:rPr>
        <w:t> </w:t>
      </w:r>
      <w:r>
        <w:rPr>
          <w:rFonts w:ascii="Calibri" w:hAnsi="Calibri"/>
          <w:sz w:val="20"/>
        </w:rPr>
        <w:t>alto</w:t>
      </w:r>
      <w:r>
        <w:rPr>
          <w:rFonts w:ascii="Calibri" w:hAnsi="Calibri"/>
          <w:spacing w:val="22"/>
          <w:sz w:val="20"/>
        </w:rPr>
        <w:t> </w:t>
      </w:r>
      <w:r>
        <w:rPr>
          <w:rFonts w:ascii="Calibri" w:hAnsi="Calibri"/>
          <w:sz w:val="20"/>
        </w:rPr>
        <w:t>contraste</w:t>
      </w:r>
      <w:r>
        <w:rPr>
          <w:rFonts w:ascii="Calibri" w:hAnsi="Calibri"/>
          <w:spacing w:val="21"/>
          <w:sz w:val="20"/>
        </w:rPr>
        <w:t> </w:t>
      </w:r>
      <w:r>
        <w:rPr>
          <w:rFonts w:ascii="Calibri" w:hAnsi="Calibri"/>
          <w:sz w:val="20"/>
        </w:rPr>
        <w:t>y</w:t>
      </w:r>
      <w:r>
        <w:rPr>
          <w:rFonts w:ascii="Calibri" w:hAnsi="Calibri"/>
          <w:spacing w:val="22"/>
          <w:sz w:val="20"/>
        </w:rPr>
        <w:t> </w:t>
      </w:r>
      <w:r>
        <w:rPr>
          <w:rFonts w:ascii="Calibri" w:hAnsi="Calibri"/>
          <w:sz w:val="20"/>
        </w:rPr>
        <w:t>no</w:t>
      </w:r>
      <w:r>
        <w:rPr>
          <w:rFonts w:ascii="Calibri" w:hAnsi="Calibri"/>
          <w:spacing w:val="24"/>
          <w:sz w:val="20"/>
        </w:rPr>
        <w:t> </w:t>
      </w:r>
      <w:r>
        <w:rPr>
          <w:rFonts w:ascii="Calibri" w:hAnsi="Calibri"/>
          <w:sz w:val="20"/>
        </w:rPr>
        <w:t>agresivos,</w:t>
      </w:r>
      <w:r>
        <w:rPr>
          <w:rFonts w:ascii="Calibri" w:hAnsi="Calibri"/>
          <w:spacing w:val="18"/>
          <w:sz w:val="20"/>
        </w:rPr>
        <w:t> </w:t>
      </w:r>
      <w:r>
        <w:rPr>
          <w:rFonts w:ascii="Calibri" w:hAnsi="Calibri"/>
          <w:sz w:val="20"/>
        </w:rPr>
        <w:t>validados</w:t>
      </w:r>
      <w:r>
        <w:rPr>
          <w:rFonts w:ascii="Calibri" w:hAnsi="Calibri"/>
          <w:spacing w:val="18"/>
          <w:sz w:val="20"/>
        </w:rPr>
        <w:t> </w:t>
      </w:r>
      <w:r>
        <w:rPr>
          <w:rFonts w:ascii="Calibri" w:hAnsi="Calibri"/>
          <w:sz w:val="20"/>
        </w:rPr>
        <w:t>para</w:t>
      </w:r>
      <w:r>
        <w:rPr>
          <w:rFonts w:ascii="Calibri" w:hAnsi="Calibri"/>
          <w:spacing w:val="22"/>
          <w:sz w:val="20"/>
        </w:rPr>
        <w:t> </w:t>
      </w:r>
      <w:r>
        <w:rPr>
          <w:rFonts w:ascii="Calibri" w:hAnsi="Calibri"/>
          <w:sz w:val="20"/>
        </w:rPr>
        <w:t>su</w:t>
      </w:r>
      <w:r>
        <w:rPr>
          <w:rFonts w:ascii="Calibri" w:hAnsi="Calibri"/>
          <w:spacing w:val="22"/>
          <w:sz w:val="20"/>
        </w:rPr>
        <w:t> </w:t>
      </w:r>
      <w:r>
        <w:rPr>
          <w:rFonts w:ascii="Calibri" w:hAnsi="Calibri"/>
          <w:sz w:val="20"/>
        </w:rPr>
        <w:t>correcta</w:t>
      </w:r>
      <w:r>
        <w:rPr>
          <w:rFonts w:ascii="Calibri" w:hAnsi="Calibri"/>
          <w:spacing w:val="22"/>
          <w:sz w:val="20"/>
        </w:rPr>
        <w:t> </w:t>
      </w:r>
      <w:r>
        <w:rPr>
          <w:rFonts w:ascii="Calibri" w:hAnsi="Calibri"/>
          <w:sz w:val="20"/>
        </w:rPr>
        <w:t>percepción</w:t>
      </w:r>
      <w:r>
        <w:rPr>
          <w:rFonts w:ascii="Calibri" w:hAnsi="Calibri"/>
          <w:spacing w:val="22"/>
          <w:sz w:val="20"/>
        </w:rPr>
        <w:t> </w:t>
      </w:r>
      <w:r>
        <w:rPr>
          <w:rFonts w:ascii="Calibri" w:hAnsi="Calibri"/>
          <w:sz w:val="20"/>
        </w:rPr>
        <w:t>por personas con discapacidad visual o intelectual.</w:t>
      </w:r>
    </w:p>
    <w:p>
      <w:pPr>
        <w:pStyle w:val="ListParagraph"/>
        <w:numPr>
          <w:ilvl w:val="0"/>
          <w:numId w:val="15"/>
        </w:numPr>
        <w:tabs>
          <w:tab w:pos="2575" w:val="left" w:leader="none"/>
        </w:tabs>
        <w:spacing w:line="254" w:lineRule="auto" w:before="142" w:after="0"/>
        <w:ind w:left="2575" w:right="2022" w:hanging="324"/>
        <w:jc w:val="left"/>
        <w:rPr>
          <w:rFonts w:ascii="Calibri" w:hAnsi="Calibri"/>
          <w:sz w:val="20"/>
        </w:rPr>
      </w:pPr>
      <w:r>
        <w:rPr>
          <w:rFonts w:ascii="Calibri" w:hAnsi="Calibri"/>
          <w:sz w:val="20"/>
        </w:rPr>
        <w:t>Uniformidad</w:t>
      </w:r>
      <w:r>
        <w:rPr>
          <w:rFonts w:ascii="Calibri" w:hAnsi="Calibri"/>
          <w:spacing w:val="-12"/>
          <w:sz w:val="20"/>
        </w:rPr>
        <w:t> </w:t>
      </w:r>
      <w:r>
        <w:rPr>
          <w:rFonts w:ascii="Calibri" w:hAnsi="Calibri"/>
          <w:sz w:val="20"/>
        </w:rPr>
        <w:t>cromática</w:t>
      </w:r>
      <w:r>
        <w:rPr>
          <w:rFonts w:ascii="Calibri" w:hAnsi="Calibri"/>
          <w:spacing w:val="-11"/>
          <w:sz w:val="20"/>
        </w:rPr>
        <w:t> </w:t>
      </w:r>
      <w:r>
        <w:rPr>
          <w:rFonts w:ascii="Calibri" w:hAnsi="Calibri"/>
          <w:sz w:val="20"/>
        </w:rPr>
        <w:t>y</w:t>
      </w:r>
      <w:r>
        <w:rPr>
          <w:rFonts w:ascii="Calibri" w:hAnsi="Calibri"/>
          <w:spacing w:val="-10"/>
          <w:sz w:val="20"/>
        </w:rPr>
        <w:t> </w:t>
      </w:r>
      <w:r>
        <w:rPr>
          <w:rFonts w:ascii="Calibri" w:hAnsi="Calibri"/>
          <w:sz w:val="20"/>
        </w:rPr>
        <w:t>tipográfica</w:t>
      </w:r>
      <w:r>
        <w:rPr>
          <w:rFonts w:ascii="Calibri" w:hAnsi="Calibri"/>
          <w:spacing w:val="-9"/>
          <w:sz w:val="20"/>
        </w:rPr>
        <w:t> </w:t>
      </w:r>
      <w:r>
        <w:rPr>
          <w:rFonts w:ascii="Calibri" w:hAnsi="Calibri"/>
          <w:sz w:val="20"/>
        </w:rPr>
        <w:t>en</w:t>
      </w:r>
      <w:r>
        <w:rPr>
          <w:rFonts w:ascii="Calibri" w:hAnsi="Calibri"/>
          <w:spacing w:val="-10"/>
          <w:sz w:val="20"/>
        </w:rPr>
        <w:t> </w:t>
      </w:r>
      <w:r>
        <w:rPr>
          <w:rFonts w:ascii="Calibri" w:hAnsi="Calibri"/>
          <w:sz w:val="20"/>
        </w:rPr>
        <w:t>todos</w:t>
      </w:r>
      <w:r>
        <w:rPr>
          <w:rFonts w:ascii="Calibri" w:hAnsi="Calibri"/>
          <w:spacing w:val="-10"/>
          <w:sz w:val="20"/>
        </w:rPr>
        <w:t> </w:t>
      </w:r>
      <w:r>
        <w:rPr>
          <w:rFonts w:ascii="Calibri" w:hAnsi="Calibri"/>
          <w:sz w:val="20"/>
        </w:rPr>
        <w:t>los</w:t>
      </w:r>
      <w:r>
        <w:rPr>
          <w:rFonts w:ascii="Calibri" w:hAnsi="Calibri"/>
          <w:spacing w:val="-10"/>
          <w:sz w:val="20"/>
        </w:rPr>
        <w:t> </w:t>
      </w:r>
      <w:r>
        <w:rPr>
          <w:rFonts w:ascii="Calibri" w:hAnsi="Calibri"/>
          <w:sz w:val="20"/>
        </w:rPr>
        <w:t>soportes</w:t>
      </w:r>
      <w:r>
        <w:rPr>
          <w:rFonts w:ascii="Calibri" w:hAnsi="Calibri"/>
          <w:spacing w:val="-8"/>
          <w:sz w:val="20"/>
        </w:rPr>
        <w:t> </w:t>
      </w:r>
      <w:r>
        <w:rPr>
          <w:rFonts w:ascii="Calibri" w:hAnsi="Calibri"/>
          <w:sz w:val="20"/>
        </w:rPr>
        <w:t>(marquesinas</w:t>
      </w:r>
      <w:r>
        <w:rPr>
          <w:rFonts w:ascii="Calibri" w:hAnsi="Calibri"/>
          <w:spacing w:val="-12"/>
          <w:sz w:val="20"/>
        </w:rPr>
        <w:t> </w:t>
      </w:r>
      <w:r>
        <w:rPr>
          <w:rFonts w:ascii="Calibri" w:hAnsi="Calibri"/>
          <w:sz w:val="20"/>
        </w:rPr>
        <w:t>y</w:t>
      </w:r>
      <w:r>
        <w:rPr>
          <w:rFonts w:ascii="Calibri" w:hAnsi="Calibri"/>
          <w:spacing w:val="-8"/>
          <w:sz w:val="20"/>
        </w:rPr>
        <w:t> </w:t>
      </w:r>
      <w:r>
        <w:rPr>
          <w:rFonts w:ascii="Calibri" w:hAnsi="Calibri"/>
          <w:sz w:val="20"/>
        </w:rPr>
        <w:t>postes),</w:t>
      </w:r>
      <w:r>
        <w:rPr>
          <w:rFonts w:ascii="Calibri" w:hAnsi="Calibri"/>
          <w:spacing w:val="-11"/>
          <w:sz w:val="20"/>
        </w:rPr>
        <w:t> </w:t>
      </w:r>
      <w:r>
        <w:rPr>
          <w:rFonts w:ascii="Calibri" w:hAnsi="Calibri"/>
          <w:sz w:val="20"/>
        </w:rPr>
        <w:t>para garantizar la coherencia de la señalización.</w:t>
      </w:r>
    </w:p>
    <w:p>
      <w:pPr>
        <w:spacing w:line="256" w:lineRule="auto" w:before="149"/>
        <w:ind w:left="2251" w:right="2023" w:firstLine="0"/>
        <w:jc w:val="both"/>
        <w:rPr>
          <w:rFonts w:ascii="Calibri" w:hAnsi="Calibri"/>
          <w:sz w:val="20"/>
        </w:rPr>
      </w:pPr>
      <w:r>
        <w:rPr>
          <w:rFonts w:ascii="Calibri" w:hAnsi="Calibri"/>
          <w:sz w:val="20"/>
        </w:rPr>
        <w:t>Las adaptaciones requerían la intervención del mismo contratista que desarrolló los pictogramas, dado que la modificación técnica del diseño implicaba ajustes sobre los elementos gráficos ya generados, y un cambio de contratista habría afectado la perceptibilidad, coherencia y uniformidad del conjunto, contraviniendo las bases del procedimiento de licitación original.</w:t>
      </w:r>
    </w:p>
    <w:p>
      <w:pPr>
        <w:spacing w:line="256" w:lineRule="auto" w:before="143"/>
        <w:ind w:left="2251" w:right="2021" w:firstLine="0"/>
        <w:jc w:val="both"/>
        <w:rPr>
          <w:rFonts w:ascii="Calibri" w:hAnsi="Calibri"/>
          <w:sz w:val="20"/>
        </w:rPr>
      </w:pPr>
      <w:r>
        <w:rPr>
          <w:rFonts w:ascii="Calibri" w:hAnsi="Calibri"/>
          <w:sz w:val="20"/>
        </w:rPr>
        <w:t>Esta modificación, no prevista en los pliegos, se tramitó conforme a lo establecido en el artículo 205.2.a) de la Ley 9/2017, de Contratos del Sector Público (LCSP), al tratarse de una</w:t>
      </w:r>
      <w:r>
        <w:rPr>
          <w:rFonts w:ascii="Calibri" w:hAnsi="Calibri"/>
          <w:spacing w:val="-6"/>
          <w:sz w:val="20"/>
        </w:rPr>
        <w:t> </w:t>
      </w:r>
      <w:r>
        <w:rPr>
          <w:rFonts w:ascii="Calibri" w:hAnsi="Calibri"/>
          <w:sz w:val="20"/>
        </w:rPr>
        <w:t>modificación</w:t>
      </w:r>
      <w:r>
        <w:rPr>
          <w:rFonts w:ascii="Calibri" w:hAnsi="Calibri"/>
          <w:spacing w:val="-6"/>
          <w:sz w:val="20"/>
        </w:rPr>
        <w:t> </w:t>
      </w:r>
      <w:r>
        <w:rPr>
          <w:rFonts w:ascii="Calibri" w:hAnsi="Calibri"/>
          <w:sz w:val="20"/>
        </w:rPr>
        <w:t>necesaria</w:t>
      </w:r>
      <w:r>
        <w:rPr>
          <w:rFonts w:ascii="Calibri" w:hAnsi="Calibri"/>
          <w:spacing w:val="-7"/>
          <w:sz w:val="20"/>
        </w:rPr>
        <w:t> </w:t>
      </w:r>
      <w:r>
        <w:rPr>
          <w:rFonts w:ascii="Calibri" w:hAnsi="Calibri"/>
          <w:sz w:val="20"/>
        </w:rPr>
        <w:t>por</w:t>
      </w:r>
      <w:r>
        <w:rPr>
          <w:rFonts w:ascii="Calibri" w:hAnsi="Calibri"/>
          <w:spacing w:val="-6"/>
          <w:sz w:val="20"/>
        </w:rPr>
        <w:t> </w:t>
      </w:r>
      <w:r>
        <w:rPr>
          <w:rFonts w:ascii="Calibri" w:hAnsi="Calibri"/>
          <w:sz w:val="20"/>
        </w:rPr>
        <w:t>circunstancias</w:t>
      </w:r>
      <w:r>
        <w:rPr>
          <w:rFonts w:ascii="Calibri" w:hAnsi="Calibri"/>
          <w:spacing w:val="-4"/>
          <w:sz w:val="20"/>
        </w:rPr>
        <w:t> </w:t>
      </w:r>
      <w:r>
        <w:rPr>
          <w:rFonts w:ascii="Calibri" w:hAnsi="Calibri"/>
          <w:sz w:val="20"/>
        </w:rPr>
        <w:t>sobrevenidas</w:t>
      </w:r>
      <w:r>
        <w:rPr>
          <w:rFonts w:ascii="Calibri" w:hAnsi="Calibri"/>
          <w:spacing w:val="-6"/>
          <w:sz w:val="20"/>
        </w:rPr>
        <w:t> </w:t>
      </w:r>
      <w:r>
        <w:rPr>
          <w:rFonts w:ascii="Calibri" w:hAnsi="Calibri"/>
          <w:sz w:val="20"/>
        </w:rPr>
        <w:t>que</w:t>
      </w:r>
      <w:r>
        <w:rPr>
          <w:rFonts w:ascii="Calibri" w:hAnsi="Calibri"/>
          <w:spacing w:val="-4"/>
          <w:sz w:val="20"/>
        </w:rPr>
        <w:t> </w:t>
      </w:r>
      <w:r>
        <w:rPr>
          <w:rFonts w:ascii="Calibri" w:hAnsi="Calibri"/>
          <w:sz w:val="20"/>
        </w:rPr>
        <w:t>no</w:t>
      </w:r>
      <w:r>
        <w:rPr>
          <w:rFonts w:ascii="Calibri" w:hAnsi="Calibri"/>
          <w:spacing w:val="-6"/>
          <w:sz w:val="20"/>
        </w:rPr>
        <w:t> </w:t>
      </w:r>
      <w:r>
        <w:rPr>
          <w:rFonts w:ascii="Calibri" w:hAnsi="Calibri"/>
          <w:sz w:val="20"/>
        </w:rPr>
        <w:t>alteran</w:t>
      </w:r>
      <w:r>
        <w:rPr>
          <w:rFonts w:ascii="Calibri" w:hAnsi="Calibri"/>
          <w:spacing w:val="-8"/>
          <w:sz w:val="20"/>
        </w:rPr>
        <w:t> </w:t>
      </w:r>
      <w:r>
        <w:rPr>
          <w:rFonts w:ascii="Calibri" w:hAnsi="Calibri"/>
          <w:sz w:val="20"/>
        </w:rPr>
        <w:t>la</w:t>
      </w:r>
      <w:r>
        <w:rPr>
          <w:rFonts w:ascii="Calibri" w:hAnsi="Calibri"/>
          <w:spacing w:val="-7"/>
          <w:sz w:val="20"/>
        </w:rPr>
        <w:t> </w:t>
      </w:r>
      <w:r>
        <w:rPr>
          <w:rFonts w:ascii="Calibri" w:hAnsi="Calibri"/>
          <w:sz w:val="20"/>
        </w:rPr>
        <w:t>naturaleza</w:t>
      </w:r>
      <w:r>
        <w:rPr>
          <w:rFonts w:ascii="Calibri" w:hAnsi="Calibri"/>
          <w:spacing w:val="-7"/>
          <w:sz w:val="20"/>
        </w:rPr>
        <w:t> </w:t>
      </w:r>
      <w:r>
        <w:rPr>
          <w:rFonts w:ascii="Calibri" w:hAnsi="Calibri"/>
          <w:sz w:val="20"/>
        </w:rPr>
        <w:t>ni el objeto del contrato. Su finalidad fue garantizar la perceptibilidad, legibilidad y accesibilidad cognitiva de los elementos gráficos, manteniendo la coherencia visual y técnica del sistema de señalización.</w:t>
      </w:r>
    </w:p>
    <w:p>
      <w:pPr>
        <w:spacing w:line="256" w:lineRule="auto" w:before="147"/>
        <w:ind w:left="2251" w:right="2018" w:firstLine="0"/>
        <w:jc w:val="both"/>
        <w:rPr>
          <w:rFonts w:ascii="Calibri" w:hAnsi="Calibri"/>
          <w:sz w:val="20"/>
        </w:rPr>
      </w:pPr>
      <w:r>
        <w:rPr>
          <w:rFonts w:ascii="Calibri" w:hAnsi="Calibri"/>
          <w:sz w:val="20"/>
        </w:rPr>
        <w:t>Asimismo, la alteración</w:t>
      </w:r>
      <w:r>
        <w:rPr>
          <w:rFonts w:ascii="Calibri" w:hAnsi="Calibri"/>
          <w:spacing w:val="-2"/>
          <w:sz w:val="20"/>
        </w:rPr>
        <w:t> </w:t>
      </w:r>
      <w:r>
        <w:rPr>
          <w:rFonts w:ascii="Calibri" w:hAnsi="Calibri"/>
          <w:sz w:val="20"/>
        </w:rPr>
        <w:t>económica derivada de la modificación (2.750,00 €, equivalente al 6,05</w:t>
      </w:r>
      <w:r>
        <w:rPr>
          <w:rFonts w:ascii="Calibri" w:hAnsi="Calibri"/>
          <w:spacing w:val="-2"/>
          <w:sz w:val="20"/>
        </w:rPr>
        <w:t> </w:t>
      </w:r>
      <w:r>
        <w:rPr>
          <w:rFonts w:ascii="Calibri" w:hAnsi="Calibri"/>
          <w:sz w:val="20"/>
        </w:rPr>
        <w:t>%</w:t>
      </w:r>
      <w:r>
        <w:rPr>
          <w:rFonts w:ascii="Calibri" w:hAnsi="Calibri"/>
          <w:spacing w:val="-1"/>
          <w:sz w:val="20"/>
        </w:rPr>
        <w:t> </w:t>
      </w:r>
      <w:r>
        <w:rPr>
          <w:rFonts w:ascii="Calibri" w:hAnsi="Calibri"/>
          <w:sz w:val="20"/>
        </w:rPr>
        <w:t>del</w:t>
      </w:r>
      <w:r>
        <w:rPr>
          <w:rFonts w:ascii="Calibri" w:hAnsi="Calibri"/>
          <w:spacing w:val="-2"/>
          <w:sz w:val="20"/>
        </w:rPr>
        <w:t> </w:t>
      </w:r>
      <w:r>
        <w:rPr>
          <w:rFonts w:ascii="Calibri" w:hAnsi="Calibri"/>
          <w:sz w:val="20"/>
        </w:rPr>
        <w:t>precio</w:t>
      </w:r>
      <w:r>
        <w:rPr>
          <w:rFonts w:ascii="Calibri" w:hAnsi="Calibri"/>
          <w:spacing w:val="-2"/>
          <w:sz w:val="20"/>
        </w:rPr>
        <w:t> </w:t>
      </w:r>
      <w:r>
        <w:rPr>
          <w:rFonts w:ascii="Calibri" w:hAnsi="Calibri"/>
          <w:sz w:val="20"/>
        </w:rPr>
        <w:t>inicial,</w:t>
      </w:r>
      <w:r>
        <w:rPr>
          <w:rFonts w:ascii="Calibri" w:hAnsi="Calibri"/>
          <w:spacing w:val="-2"/>
          <w:sz w:val="20"/>
        </w:rPr>
        <w:t> </w:t>
      </w:r>
      <w:r>
        <w:rPr>
          <w:rFonts w:ascii="Calibri" w:hAnsi="Calibri"/>
          <w:sz w:val="20"/>
        </w:rPr>
        <w:t>IVA</w:t>
      </w:r>
      <w:r>
        <w:rPr>
          <w:rFonts w:ascii="Calibri" w:hAnsi="Calibri"/>
          <w:spacing w:val="-2"/>
          <w:sz w:val="20"/>
        </w:rPr>
        <w:t> </w:t>
      </w:r>
      <w:r>
        <w:rPr>
          <w:rFonts w:ascii="Calibri" w:hAnsi="Calibri"/>
          <w:sz w:val="20"/>
        </w:rPr>
        <w:t>excluido)</w:t>
      </w:r>
      <w:r>
        <w:rPr>
          <w:rFonts w:ascii="Calibri" w:hAnsi="Calibri"/>
          <w:spacing w:val="-3"/>
          <w:sz w:val="20"/>
        </w:rPr>
        <w:t> </w:t>
      </w:r>
      <w:r>
        <w:rPr>
          <w:rFonts w:ascii="Calibri" w:hAnsi="Calibri"/>
          <w:sz w:val="20"/>
        </w:rPr>
        <w:t>no</w:t>
      </w:r>
      <w:r>
        <w:rPr>
          <w:rFonts w:ascii="Calibri" w:hAnsi="Calibri"/>
          <w:spacing w:val="-2"/>
          <w:sz w:val="20"/>
        </w:rPr>
        <w:t> </w:t>
      </w:r>
      <w:r>
        <w:rPr>
          <w:rFonts w:ascii="Calibri" w:hAnsi="Calibri"/>
          <w:sz w:val="20"/>
        </w:rPr>
        <w:t>excede el límite</w:t>
      </w:r>
      <w:r>
        <w:rPr>
          <w:rFonts w:ascii="Calibri" w:hAnsi="Calibri"/>
          <w:spacing w:val="-3"/>
          <w:sz w:val="20"/>
        </w:rPr>
        <w:t> </w:t>
      </w:r>
      <w:r>
        <w:rPr>
          <w:rFonts w:ascii="Calibri" w:hAnsi="Calibri"/>
          <w:sz w:val="20"/>
        </w:rPr>
        <w:t>del</w:t>
      </w:r>
      <w:r>
        <w:rPr>
          <w:rFonts w:ascii="Calibri" w:hAnsi="Calibri"/>
          <w:spacing w:val="-2"/>
          <w:sz w:val="20"/>
        </w:rPr>
        <w:t> </w:t>
      </w:r>
      <w:r>
        <w:rPr>
          <w:rFonts w:ascii="Calibri" w:hAnsi="Calibri"/>
          <w:sz w:val="20"/>
        </w:rPr>
        <w:t>50</w:t>
      </w:r>
      <w:r>
        <w:rPr>
          <w:rFonts w:ascii="Calibri" w:hAnsi="Calibri"/>
          <w:spacing w:val="-2"/>
          <w:sz w:val="20"/>
        </w:rPr>
        <w:t> </w:t>
      </w:r>
      <w:r>
        <w:rPr>
          <w:rFonts w:ascii="Calibri" w:hAnsi="Calibri"/>
          <w:sz w:val="20"/>
        </w:rPr>
        <w:t>%</w:t>
      </w:r>
      <w:r>
        <w:rPr>
          <w:rFonts w:ascii="Calibri" w:hAnsi="Calibri"/>
          <w:spacing w:val="-3"/>
          <w:sz w:val="20"/>
        </w:rPr>
        <w:t> </w:t>
      </w:r>
      <w:r>
        <w:rPr>
          <w:rFonts w:ascii="Calibri" w:hAnsi="Calibri"/>
          <w:sz w:val="20"/>
        </w:rPr>
        <w:t>establecido</w:t>
      </w:r>
      <w:r>
        <w:rPr>
          <w:rFonts w:ascii="Calibri" w:hAnsi="Calibri"/>
          <w:spacing w:val="-4"/>
          <w:sz w:val="20"/>
        </w:rPr>
        <w:t> </w:t>
      </w:r>
      <w:r>
        <w:rPr>
          <w:rFonts w:ascii="Calibri" w:hAnsi="Calibri"/>
          <w:sz w:val="20"/>
        </w:rPr>
        <w:t>en el citado precepto, cumpliendo así todos los requisitos legales de validez y proporcionalidad previstos para este tipo de modificaciones.</w:t>
      </w:r>
    </w:p>
    <w:p>
      <w:pPr>
        <w:spacing w:line="256" w:lineRule="auto" w:before="145"/>
        <w:ind w:left="2251" w:right="2023" w:firstLine="0"/>
        <w:jc w:val="both"/>
        <w:rPr>
          <w:rFonts w:ascii="Calibri" w:hAnsi="Calibri"/>
          <w:sz w:val="20"/>
        </w:rPr>
      </w:pPr>
      <w:r>
        <w:rPr>
          <w:rFonts w:ascii="Calibri" w:hAnsi="Calibri"/>
          <w:sz w:val="20"/>
        </w:rPr>
        <w:t>Por tanto, la modificación no responde a una redefinición del objeto contractual ni a una falta</w:t>
      </w:r>
      <w:r>
        <w:rPr>
          <w:rFonts w:ascii="Calibri" w:hAnsi="Calibri"/>
          <w:spacing w:val="-2"/>
          <w:sz w:val="20"/>
        </w:rPr>
        <w:t> </w:t>
      </w:r>
      <w:r>
        <w:rPr>
          <w:rFonts w:ascii="Calibri" w:hAnsi="Calibri"/>
          <w:sz w:val="20"/>
        </w:rPr>
        <w:t>de</w:t>
      </w:r>
      <w:r>
        <w:rPr>
          <w:rFonts w:ascii="Calibri" w:hAnsi="Calibri"/>
          <w:spacing w:val="-4"/>
          <w:sz w:val="20"/>
        </w:rPr>
        <w:t> </w:t>
      </w:r>
      <w:r>
        <w:rPr>
          <w:rFonts w:ascii="Calibri" w:hAnsi="Calibri"/>
          <w:sz w:val="20"/>
        </w:rPr>
        <w:t>precisión</w:t>
      </w:r>
      <w:r>
        <w:rPr>
          <w:rFonts w:ascii="Calibri" w:hAnsi="Calibri"/>
          <w:spacing w:val="-5"/>
          <w:sz w:val="20"/>
        </w:rPr>
        <w:t> </w:t>
      </w:r>
      <w:r>
        <w:rPr>
          <w:rFonts w:ascii="Calibri" w:hAnsi="Calibri"/>
          <w:sz w:val="20"/>
        </w:rPr>
        <w:t>inicial,</w:t>
      </w:r>
      <w:r>
        <w:rPr>
          <w:rFonts w:ascii="Calibri" w:hAnsi="Calibri"/>
          <w:spacing w:val="-5"/>
          <w:sz w:val="20"/>
        </w:rPr>
        <w:t> </w:t>
      </w:r>
      <w:r>
        <w:rPr>
          <w:rFonts w:ascii="Calibri" w:hAnsi="Calibri"/>
          <w:sz w:val="20"/>
        </w:rPr>
        <w:t>sino</w:t>
      </w:r>
      <w:r>
        <w:rPr>
          <w:rFonts w:ascii="Calibri" w:hAnsi="Calibri"/>
          <w:spacing w:val="-2"/>
          <w:sz w:val="20"/>
        </w:rPr>
        <w:t> </w:t>
      </w:r>
      <w:r>
        <w:rPr>
          <w:rFonts w:ascii="Calibri" w:hAnsi="Calibri"/>
          <w:sz w:val="20"/>
        </w:rPr>
        <w:t>a</w:t>
      </w:r>
      <w:r>
        <w:rPr>
          <w:rFonts w:ascii="Calibri" w:hAnsi="Calibri"/>
          <w:spacing w:val="-2"/>
          <w:sz w:val="20"/>
        </w:rPr>
        <w:t> </w:t>
      </w:r>
      <w:r>
        <w:rPr>
          <w:rFonts w:ascii="Calibri" w:hAnsi="Calibri"/>
          <w:sz w:val="20"/>
        </w:rPr>
        <w:t>una</w:t>
      </w:r>
      <w:r>
        <w:rPr>
          <w:rFonts w:ascii="Calibri" w:hAnsi="Calibri"/>
          <w:spacing w:val="-6"/>
          <w:sz w:val="20"/>
        </w:rPr>
        <w:t> </w:t>
      </w:r>
      <w:r>
        <w:rPr>
          <w:rFonts w:ascii="Calibri" w:hAnsi="Calibri"/>
          <w:sz w:val="20"/>
        </w:rPr>
        <w:t>modificación</w:t>
      </w:r>
      <w:r>
        <w:rPr>
          <w:rFonts w:ascii="Calibri" w:hAnsi="Calibri"/>
          <w:spacing w:val="-6"/>
          <w:sz w:val="20"/>
        </w:rPr>
        <w:t> </w:t>
      </w:r>
      <w:r>
        <w:rPr>
          <w:rFonts w:ascii="Calibri" w:hAnsi="Calibri"/>
          <w:sz w:val="20"/>
        </w:rPr>
        <w:t>técnica</w:t>
      </w:r>
      <w:r>
        <w:rPr>
          <w:rFonts w:ascii="Calibri" w:hAnsi="Calibri"/>
          <w:spacing w:val="-2"/>
          <w:sz w:val="20"/>
        </w:rPr>
        <w:t> </w:t>
      </w:r>
      <w:r>
        <w:rPr>
          <w:rFonts w:ascii="Calibri" w:hAnsi="Calibri"/>
          <w:sz w:val="20"/>
        </w:rPr>
        <w:t>menor,</w:t>
      </w:r>
      <w:r>
        <w:rPr>
          <w:rFonts w:ascii="Calibri" w:hAnsi="Calibri"/>
          <w:spacing w:val="-2"/>
          <w:sz w:val="20"/>
        </w:rPr>
        <w:t> </w:t>
      </w:r>
      <w:r>
        <w:rPr>
          <w:rFonts w:ascii="Calibri" w:hAnsi="Calibri"/>
          <w:sz w:val="20"/>
        </w:rPr>
        <w:t>necesaria</w:t>
      </w:r>
      <w:r>
        <w:rPr>
          <w:rFonts w:ascii="Calibri" w:hAnsi="Calibri"/>
          <w:spacing w:val="-5"/>
          <w:sz w:val="20"/>
        </w:rPr>
        <w:t> </w:t>
      </w:r>
      <w:r>
        <w:rPr>
          <w:rFonts w:ascii="Calibri" w:hAnsi="Calibri"/>
          <w:sz w:val="20"/>
        </w:rPr>
        <w:t>para</w:t>
      </w:r>
      <w:r>
        <w:rPr>
          <w:rFonts w:ascii="Calibri" w:hAnsi="Calibri"/>
          <w:spacing w:val="-6"/>
          <w:sz w:val="20"/>
        </w:rPr>
        <w:t> </w:t>
      </w:r>
      <w:r>
        <w:rPr>
          <w:rFonts w:ascii="Calibri" w:hAnsi="Calibri"/>
          <w:sz w:val="20"/>
        </w:rPr>
        <w:t>asegurar</w:t>
      </w:r>
      <w:r>
        <w:rPr>
          <w:rFonts w:ascii="Calibri" w:hAnsi="Calibri"/>
          <w:spacing w:val="-3"/>
          <w:sz w:val="20"/>
        </w:rPr>
        <w:t> </w:t>
      </w:r>
      <w:r>
        <w:rPr>
          <w:rFonts w:ascii="Calibri" w:hAnsi="Calibri"/>
          <w:sz w:val="20"/>
        </w:rPr>
        <w:t>la integración del nombre de las paradas en los diseños de forma visualmente accesible y </w:t>
      </w:r>
      <w:r>
        <w:rPr>
          <w:rFonts w:ascii="Calibri" w:hAnsi="Calibri"/>
          <w:spacing w:val="-2"/>
          <w:sz w:val="20"/>
        </w:rPr>
        <w:t>coherente.</w:t>
      </w:r>
    </w:p>
    <w:p>
      <w:pPr>
        <w:spacing w:line="256" w:lineRule="auto" w:before="148"/>
        <w:ind w:left="2251" w:right="2023" w:firstLine="0"/>
        <w:jc w:val="both"/>
        <w:rPr>
          <w:rFonts w:ascii="Calibri" w:hAnsi="Calibri"/>
          <w:sz w:val="20"/>
        </w:rPr>
      </w:pPr>
      <w:r>
        <w:rPr>
          <w:rFonts w:ascii="Calibri" w:hAnsi="Calibri"/>
          <w:sz w:val="20"/>
        </w:rPr>
        <w:t>La actuación se enmarca dentro de la finalidad principal del contrato y fue tramitada conforme a la normativa aplicable, ajustándose a los principios de eficiencia, continuidad</w:t>
      </w:r>
    </w:p>
    <w:p>
      <w:pPr>
        <w:pStyle w:val="BodyText"/>
        <w:rPr>
          <w:rFonts w:ascii="Calibri"/>
          <w:sz w:val="20"/>
        </w:rPr>
      </w:pPr>
    </w:p>
    <w:p>
      <w:pPr>
        <w:pStyle w:val="BodyText"/>
        <w:rPr>
          <w:rFonts w:ascii="Calibri"/>
          <w:sz w:val="20"/>
        </w:rPr>
      </w:pPr>
    </w:p>
    <w:p>
      <w:pPr>
        <w:pStyle w:val="BodyText"/>
        <w:spacing w:before="76"/>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323" name="Group 1323"/>
                <wp:cNvGraphicFramePr>
                  <a:graphicFrameLocks/>
                </wp:cNvGraphicFramePr>
                <a:graphic>
                  <a:graphicData uri="http://schemas.microsoft.com/office/word/2010/wordprocessingGroup">
                    <wpg:wgp>
                      <wpg:cNvPr id="1323" name="Group 1323"/>
                      <wpg:cNvGrpSpPr/>
                      <wpg:grpSpPr>
                        <a:xfrm>
                          <a:off x="0" y="0"/>
                          <a:ext cx="1870075" cy="6350"/>
                          <a:chExt cx="1870075" cy="6350"/>
                        </a:xfrm>
                      </wpg:grpSpPr>
                      <wps:wsp>
                        <wps:cNvPr id="1324" name="Graphic 1324"/>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970" coordorigin="0,0" coordsize="2945,10">
                <v:rect style="position:absolute;left:0;top:0;width:2945;height:10" id="docshape971"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325" name="Group 1325"/>
                <wp:cNvGraphicFramePr>
                  <a:graphicFrameLocks/>
                </wp:cNvGraphicFramePr>
                <a:graphic>
                  <a:graphicData uri="http://schemas.microsoft.com/office/word/2010/wordprocessingGroup">
                    <wpg:wgp>
                      <wpg:cNvPr id="1325" name="Group 1325"/>
                      <wpg:cNvGrpSpPr/>
                      <wpg:grpSpPr>
                        <a:xfrm>
                          <a:off x="0" y="0"/>
                          <a:ext cx="841375" cy="6350"/>
                          <a:chExt cx="841375" cy="6350"/>
                        </a:xfrm>
                      </wpg:grpSpPr>
                      <wps:wsp>
                        <wps:cNvPr id="1326" name="Graphic 1326"/>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972" coordorigin="0,0" coordsize="1325,10">
                <v:rect style="position:absolute;left:0;top:0;width:1325;height:10" id="docshape973"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63"/>
          <w:headerReference w:type="default" r:id="rId264"/>
          <w:footerReference w:type="even" r:id="rId265"/>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04352">
                <wp:simplePos x="0" y="0"/>
                <wp:positionH relativeFrom="page">
                  <wp:posOffset>4332186</wp:posOffset>
                </wp:positionH>
                <wp:positionV relativeFrom="paragraph">
                  <wp:posOffset>1412477</wp:posOffset>
                </wp:positionV>
                <wp:extent cx="53340" cy="100330"/>
                <wp:effectExtent l="0" t="0" r="0" b="0"/>
                <wp:wrapNone/>
                <wp:docPr id="1327" name="Textbox 1327"/>
                <wp:cNvGraphicFramePr>
                  <a:graphicFrameLocks/>
                </wp:cNvGraphicFramePr>
                <a:graphic>
                  <a:graphicData uri="http://schemas.microsoft.com/office/word/2010/wordprocessingShape">
                    <wps:wsp>
                      <wps:cNvPr id="1327" name="Textbox 1327"/>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12128" type="#_x0000_t202" id="docshape974"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404864">
                <wp:simplePos x="0" y="0"/>
                <wp:positionH relativeFrom="page">
                  <wp:posOffset>172212</wp:posOffset>
                </wp:positionH>
                <wp:positionV relativeFrom="paragraph">
                  <wp:posOffset>954200</wp:posOffset>
                </wp:positionV>
                <wp:extent cx="1298575" cy="417830"/>
                <wp:effectExtent l="0" t="0" r="0" b="0"/>
                <wp:wrapNone/>
                <wp:docPr id="1328" name="Group 1328"/>
                <wp:cNvGraphicFramePr>
                  <a:graphicFrameLocks/>
                </wp:cNvGraphicFramePr>
                <a:graphic>
                  <a:graphicData uri="http://schemas.microsoft.com/office/word/2010/wordprocessingGroup">
                    <wpg:wgp>
                      <wpg:cNvPr id="1328" name="Group 1328"/>
                      <wpg:cNvGrpSpPr/>
                      <wpg:grpSpPr>
                        <a:xfrm>
                          <a:off x="0" y="0"/>
                          <a:ext cx="1298575" cy="417830"/>
                          <a:chExt cx="1298575" cy="417830"/>
                        </a:xfrm>
                      </wpg:grpSpPr>
                      <wps:wsp>
                        <wps:cNvPr id="1329" name="Graphic 1329"/>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330" name="Image 1330"/>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911616" id="docshapegroup975" coordorigin="271,1503" coordsize="2045,658">
                <v:shape style="position:absolute;left:271;top:1502;width:2045;height:658" id="docshape976" coordorigin="271,1503" coordsize="2045,658" path="m2316,1503l271,1503,271,1721,271,1723,271,2160,2316,2160,2316,1723,2316,1721,2316,1503xe" filled="true" fillcolor="#cccccc" stroked="false">
                  <v:path arrowok="t"/>
                  <v:fill type="solid"/>
                </v:shape>
                <v:shape style="position:absolute;left:343;top:1577;width:1896;height:327" type="#_x0000_t75" id="docshape977" stroked="false">
                  <v:imagedata r:id="rId219" o:title=""/>
                </v:shape>
                <w10:wrap type="none"/>
              </v:group>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331" name="Textbox 1331"/>
                <wp:cNvGraphicFramePr>
                  <a:graphicFrameLocks/>
                </wp:cNvGraphicFramePr>
                <a:graphic>
                  <a:graphicData uri="http://schemas.microsoft.com/office/word/2010/wordprocessingShape">
                    <wps:wsp>
                      <wps:cNvPr id="1331" name="Textbox 1331"/>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16"/>
                              <w:gridCol w:w="2164"/>
                              <w:gridCol w:w="888"/>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16" w:type="dxa"/>
                                  <w:tcBorders>
                                    <w:left w:val="single" w:sz="6" w:space="0" w:color="000000"/>
                                    <w:bottom w:val="single" w:sz="6" w:space="0" w:color="000000"/>
                                    <w:right w:val="nil"/>
                                  </w:tcBorders>
                                </w:tcPr>
                                <w:p>
                                  <w:pPr>
                                    <w:pStyle w:val="TableParagraph"/>
                                    <w:rPr>
                                      <w:rFonts w:ascii="Times New Roman"/>
                                      <w:sz w:val="14"/>
                                    </w:rPr>
                                  </w:pPr>
                                </w:p>
                              </w:tc>
                              <w:tc>
                                <w:tcPr>
                                  <w:tcW w:w="2164" w:type="dxa"/>
                                  <w:tcBorders>
                                    <w:top w:val="nil"/>
                                    <w:left w:val="nil"/>
                                    <w:bottom w:val="single" w:sz="6" w:space="0" w:color="000000"/>
                                    <w:right w:val="nil"/>
                                  </w:tcBorders>
                                  <w:shd w:val="clear" w:color="auto" w:fill="000000"/>
                                </w:tcPr>
                                <w:p>
                                  <w:pPr>
                                    <w:pStyle w:val="TableParagraph"/>
                                    <w:rPr>
                                      <w:rFonts w:ascii="Times New Roman"/>
                                      <w:sz w:val="14"/>
                                    </w:rPr>
                                  </w:pPr>
                                </w:p>
                              </w:tc>
                              <w:tc>
                                <w:tcPr>
                                  <w:tcW w:w="1429"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332" name="Image 1332"/>
                                        <wp:cNvGraphicFramePr>
                                          <a:graphicFrameLocks/>
                                        </wp:cNvGraphicFramePr>
                                        <a:graphic>
                                          <a:graphicData uri="http://schemas.openxmlformats.org/drawingml/2006/picture">
                                            <pic:pic>
                                              <pic:nvPicPr>
                                                <pic:cNvPr id="1332" name="Image 1332"/>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333" name="Image 1333"/>
                                        <wp:cNvGraphicFramePr>
                                          <a:graphicFrameLocks/>
                                        </wp:cNvGraphicFramePr>
                                        <a:graphic>
                                          <a:graphicData uri="http://schemas.openxmlformats.org/drawingml/2006/picture">
                                            <pic:pic>
                                              <pic:nvPicPr>
                                                <pic:cNvPr id="1333" name="Image 1333"/>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334" name="Image 1334"/>
                                        <wp:cNvGraphicFramePr>
                                          <a:graphicFrameLocks/>
                                        </wp:cNvGraphicFramePr>
                                        <a:graphic>
                                          <a:graphicData uri="http://schemas.openxmlformats.org/drawingml/2006/picture">
                                            <pic:pic>
                                              <pic:nvPicPr>
                                                <pic:cNvPr id="1334" name="Image 1334"/>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335" name="Image 1335"/>
                                        <wp:cNvGraphicFramePr>
                                          <a:graphicFrameLocks/>
                                        </wp:cNvGraphicFramePr>
                                        <a:graphic>
                                          <a:graphicData uri="http://schemas.openxmlformats.org/drawingml/2006/picture">
                                            <pic:pic>
                                              <pic:nvPicPr>
                                                <pic:cNvPr id="1335" name="Image 1335"/>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2"/>
                                    <w:jc w:val="center"/>
                                    <w:rPr>
                                      <w:rFonts w:ascii="Arial"/>
                                      <w:sz w:val="14"/>
                                    </w:rPr>
                                  </w:pPr>
                                  <w:r>
                                    <w:rPr>
                                      <w:rFonts w:ascii="Arial"/>
                                      <w:spacing w:val="-2"/>
                                      <w:sz w:val="14"/>
                                    </w:rPr>
                                    <w:t>20/40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336" name="Image 1336"/>
                                        <wp:cNvGraphicFramePr>
                                          <a:graphicFrameLocks/>
                                        </wp:cNvGraphicFramePr>
                                        <a:graphic>
                                          <a:graphicData uri="http://schemas.openxmlformats.org/drawingml/2006/picture">
                                            <pic:pic>
                                              <pic:nvPicPr>
                                                <pic:cNvPr id="1336" name="Image 1336"/>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337" name="Image 1337"/>
                                        <wp:cNvGraphicFramePr>
                                          <a:graphicFrameLocks/>
                                        </wp:cNvGraphicFramePr>
                                        <a:graphic>
                                          <a:graphicData uri="http://schemas.openxmlformats.org/drawingml/2006/picture">
                                            <pic:pic>
                                              <pic:nvPicPr>
                                                <pic:cNvPr id="1337" name="Image 1337"/>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978"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16"/>
                        <w:gridCol w:w="2164"/>
                        <w:gridCol w:w="888"/>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16" w:type="dxa"/>
                            <w:tcBorders>
                              <w:left w:val="single" w:sz="6" w:space="0" w:color="000000"/>
                              <w:bottom w:val="single" w:sz="6" w:space="0" w:color="000000"/>
                              <w:right w:val="nil"/>
                            </w:tcBorders>
                          </w:tcPr>
                          <w:p>
                            <w:pPr>
                              <w:pStyle w:val="TableParagraph"/>
                              <w:rPr>
                                <w:rFonts w:ascii="Times New Roman"/>
                                <w:sz w:val="14"/>
                              </w:rPr>
                            </w:pPr>
                          </w:p>
                        </w:tc>
                        <w:tc>
                          <w:tcPr>
                            <w:tcW w:w="2164" w:type="dxa"/>
                            <w:tcBorders>
                              <w:top w:val="nil"/>
                              <w:left w:val="nil"/>
                              <w:bottom w:val="single" w:sz="6" w:space="0" w:color="000000"/>
                              <w:right w:val="nil"/>
                            </w:tcBorders>
                            <w:shd w:val="clear" w:color="auto" w:fill="000000"/>
                          </w:tcPr>
                          <w:p>
                            <w:pPr>
                              <w:pStyle w:val="TableParagraph"/>
                              <w:rPr>
                                <w:rFonts w:ascii="Times New Roman"/>
                                <w:sz w:val="14"/>
                              </w:rPr>
                            </w:pPr>
                          </w:p>
                        </w:tc>
                        <w:tc>
                          <w:tcPr>
                            <w:tcW w:w="1429"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338" name="Image 1338"/>
                                  <wp:cNvGraphicFramePr>
                                    <a:graphicFrameLocks/>
                                  </wp:cNvGraphicFramePr>
                                  <a:graphic>
                                    <a:graphicData uri="http://schemas.openxmlformats.org/drawingml/2006/picture">
                                      <pic:pic>
                                        <pic:nvPicPr>
                                          <pic:cNvPr id="1338" name="Image 133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339" name="Image 1339"/>
                                  <wp:cNvGraphicFramePr>
                                    <a:graphicFrameLocks/>
                                  </wp:cNvGraphicFramePr>
                                  <a:graphic>
                                    <a:graphicData uri="http://schemas.openxmlformats.org/drawingml/2006/picture">
                                      <pic:pic>
                                        <pic:nvPicPr>
                                          <pic:cNvPr id="1339" name="Image 133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340" name="Image 1340"/>
                                  <wp:cNvGraphicFramePr>
                                    <a:graphicFrameLocks/>
                                  </wp:cNvGraphicFramePr>
                                  <a:graphic>
                                    <a:graphicData uri="http://schemas.openxmlformats.org/drawingml/2006/picture">
                                      <pic:pic>
                                        <pic:nvPicPr>
                                          <pic:cNvPr id="1340" name="Image 1340"/>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341" name="Image 1341"/>
                                  <wp:cNvGraphicFramePr>
                                    <a:graphicFrameLocks/>
                                  </wp:cNvGraphicFramePr>
                                  <a:graphic>
                                    <a:graphicData uri="http://schemas.openxmlformats.org/drawingml/2006/picture">
                                      <pic:pic>
                                        <pic:nvPicPr>
                                          <pic:cNvPr id="1341" name="Image 1341"/>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2"/>
                              <w:jc w:val="center"/>
                              <w:rPr>
                                <w:rFonts w:ascii="Arial"/>
                                <w:sz w:val="14"/>
                              </w:rPr>
                            </w:pPr>
                            <w:r>
                              <w:rPr>
                                <w:rFonts w:ascii="Arial"/>
                                <w:spacing w:val="-2"/>
                                <w:sz w:val="14"/>
                              </w:rPr>
                              <w:t>20/40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342" name="Image 1342"/>
                                  <wp:cNvGraphicFramePr>
                                    <a:graphicFrameLocks/>
                                  </wp:cNvGraphicFramePr>
                                  <a:graphic>
                                    <a:graphicData uri="http://schemas.openxmlformats.org/drawingml/2006/picture">
                                      <pic:pic>
                                        <pic:nvPicPr>
                                          <pic:cNvPr id="1342" name="Image 1342"/>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343" name="Image 1343"/>
                                  <wp:cNvGraphicFramePr>
                                    <a:graphicFrameLocks/>
                                  </wp:cNvGraphicFramePr>
                                  <a:graphic>
                                    <a:graphicData uri="http://schemas.openxmlformats.org/drawingml/2006/picture">
                                      <pic:pic>
                                        <pic:nvPicPr>
                                          <pic:cNvPr id="1343" name="Image 1343"/>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344" name="Group 1344"/>
                <wp:cNvGraphicFramePr>
                  <a:graphicFrameLocks/>
                </wp:cNvGraphicFramePr>
                <a:graphic>
                  <a:graphicData uri="http://schemas.microsoft.com/office/word/2010/wordprocessingGroup">
                    <wpg:wgp>
                      <wpg:cNvPr id="1344" name="Group 1344"/>
                      <wpg:cNvGrpSpPr/>
                      <wpg:grpSpPr>
                        <a:xfrm>
                          <a:off x="0" y="0"/>
                          <a:ext cx="734695" cy="753110"/>
                          <a:chExt cx="734695" cy="753110"/>
                        </a:xfrm>
                      </wpg:grpSpPr>
                      <pic:pic>
                        <pic:nvPicPr>
                          <pic:cNvPr id="1345" name="Image 1345"/>
                          <pic:cNvPicPr/>
                        </pic:nvPicPr>
                        <pic:blipFill>
                          <a:blip r:embed="rId229" cstate="print"/>
                          <a:stretch>
                            <a:fillRect/>
                          </a:stretch>
                        </pic:blipFill>
                        <pic:spPr>
                          <a:xfrm>
                            <a:off x="0" y="0"/>
                            <a:ext cx="734567" cy="752840"/>
                          </a:xfrm>
                          <a:prstGeom prst="rect">
                            <a:avLst/>
                          </a:prstGeom>
                        </pic:spPr>
                      </pic:pic>
                      <wps:wsp>
                        <wps:cNvPr id="1346" name="Graphic 1346"/>
                        <wps:cNvSpPr/>
                        <wps:spPr>
                          <a:xfrm>
                            <a:off x="60515" y="60157"/>
                            <a:ext cx="645160" cy="680085"/>
                          </a:xfrm>
                          <a:custGeom>
                            <a:avLst/>
                            <a:gdLst/>
                            <a:ahLst/>
                            <a:cxnLst/>
                            <a:rect l="l" t="t" r="r" b="b"/>
                            <a:pathLst>
                              <a:path w="645160" h="680085">
                                <a:moveTo>
                                  <a:pt x="644575" y="0"/>
                                </a:moveTo>
                                <a:lnTo>
                                  <a:pt x="0" y="0"/>
                                </a:lnTo>
                                <a:lnTo>
                                  <a:pt x="0" y="679488"/>
                                </a:lnTo>
                                <a:lnTo>
                                  <a:pt x="644575" y="679488"/>
                                </a:lnTo>
                                <a:lnTo>
                                  <a:pt x="64457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979" coordorigin="0,0" coordsize="1157,1186">
                <v:shape style="position:absolute;left:0;top:0;width:1157;height:1186" type="#_x0000_t75" id="docshape980" stroked="false">
                  <v:imagedata r:id="rId229" o:title=""/>
                </v:shape>
                <v:rect style="position:absolute;left:95;top:94;width:1016;height:1071" id="docshape981"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2251" w:right="2023" w:firstLine="0"/>
        <w:jc w:val="both"/>
        <w:rPr>
          <w:rFonts w:ascii="Calibri" w:hAnsi="Calibri"/>
          <w:sz w:val="20"/>
        </w:rPr>
      </w:pPr>
      <w:r>
        <w:rPr>
          <w:rFonts w:ascii="Calibri" w:hAnsi="Calibri"/>
          <w:sz w:val="20"/>
        </w:rPr>
        <w:t>del</w:t>
      </w:r>
      <w:r>
        <w:rPr>
          <w:rFonts w:ascii="Calibri" w:hAnsi="Calibri"/>
          <w:spacing w:val="-5"/>
          <w:sz w:val="20"/>
        </w:rPr>
        <w:t> </w:t>
      </w:r>
      <w:r>
        <w:rPr>
          <w:rFonts w:ascii="Calibri" w:hAnsi="Calibri"/>
          <w:sz w:val="20"/>
        </w:rPr>
        <w:t>diseño</w:t>
      </w:r>
      <w:r>
        <w:rPr>
          <w:rFonts w:ascii="Calibri" w:hAnsi="Calibri"/>
          <w:spacing w:val="-5"/>
          <w:sz w:val="20"/>
        </w:rPr>
        <w:t> </w:t>
      </w:r>
      <w:r>
        <w:rPr>
          <w:rFonts w:ascii="Calibri" w:hAnsi="Calibri"/>
          <w:sz w:val="20"/>
        </w:rPr>
        <w:t>y</w:t>
      </w:r>
      <w:r>
        <w:rPr>
          <w:rFonts w:ascii="Calibri" w:hAnsi="Calibri"/>
          <w:spacing w:val="-6"/>
          <w:sz w:val="20"/>
        </w:rPr>
        <w:t> </w:t>
      </w:r>
      <w:r>
        <w:rPr>
          <w:rFonts w:ascii="Calibri" w:hAnsi="Calibri"/>
          <w:sz w:val="20"/>
        </w:rPr>
        <w:t>mantenimiento</w:t>
      </w:r>
      <w:r>
        <w:rPr>
          <w:rFonts w:ascii="Calibri" w:hAnsi="Calibri"/>
          <w:spacing w:val="-7"/>
          <w:sz w:val="20"/>
        </w:rPr>
        <w:t> </w:t>
      </w:r>
      <w:r>
        <w:rPr>
          <w:rFonts w:ascii="Calibri" w:hAnsi="Calibri"/>
          <w:sz w:val="20"/>
        </w:rPr>
        <w:t>de</w:t>
      </w:r>
      <w:r>
        <w:rPr>
          <w:rFonts w:ascii="Calibri" w:hAnsi="Calibri"/>
          <w:spacing w:val="-4"/>
          <w:sz w:val="20"/>
        </w:rPr>
        <w:t> </w:t>
      </w:r>
      <w:r>
        <w:rPr>
          <w:rFonts w:ascii="Calibri" w:hAnsi="Calibri"/>
          <w:sz w:val="20"/>
        </w:rPr>
        <w:t>la</w:t>
      </w:r>
      <w:r>
        <w:rPr>
          <w:rFonts w:ascii="Calibri" w:hAnsi="Calibri"/>
          <w:spacing w:val="-4"/>
          <w:sz w:val="20"/>
        </w:rPr>
        <w:t> </w:t>
      </w:r>
      <w:r>
        <w:rPr>
          <w:rFonts w:ascii="Calibri" w:hAnsi="Calibri"/>
          <w:sz w:val="20"/>
        </w:rPr>
        <w:t>coherencia</w:t>
      </w:r>
      <w:r>
        <w:rPr>
          <w:rFonts w:ascii="Calibri" w:hAnsi="Calibri"/>
          <w:spacing w:val="-7"/>
          <w:sz w:val="20"/>
        </w:rPr>
        <w:t> </w:t>
      </w:r>
      <w:r>
        <w:rPr>
          <w:rFonts w:ascii="Calibri" w:hAnsi="Calibri"/>
          <w:sz w:val="20"/>
        </w:rPr>
        <w:t>estética</w:t>
      </w:r>
      <w:r>
        <w:rPr>
          <w:rFonts w:ascii="Calibri" w:hAnsi="Calibri"/>
          <w:spacing w:val="-7"/>
          <w:sz w:val="20"/>
        </w:rPr>
        <w:t> </w:t>
      </w:r>
      <w:r>
        <w:rPr>
          <w:rFonts w:ascii="Calibri" w:hAnsi="Calibri"/>
          <w:sz w:val="20"/>
        </w:rPr>
        <w:t>y</w:t>
      </w:r>
      <w:r>
        <w:rPr>
          <w:rFonts w:ascii="Calibri" w:hAnsi="Calibri"/>
          <w:spacing w:val="-6"/>
          <w:sz w:val="20"/>
        </w:rPr>
        <w:t> </w:t>
      </w:r>
      <w:r>
        <w:rPr>
          <w:rFonts w:ascii="Calibri" w:hAnsi="Calibri"/>
          <w:sz w:val="20"/>
        </w:rPr>
        <w:t>funcional</w:t>
      </w:r>
      <w:r>
        <w:rPr>
          <w:rFonts w:ascii="Calibri" w:hAnsi="Calibri"/>
          <w:spacing w:val="-7"/>
          <w:sz w:val="20"/>
        </w:rPr>
        <w:t> </w:t>
      </w:r>
      <w:r>
        <w:rPr>
          <w:rFonts w:ascii="Calibri" w:hAnsi="Calibri"/>
          <w:sz w:val="20"/>
        </w:rPr>
        <w:t>en</w:t>
      </w:r>
      <w:r>
        <w:rPr>
          <w:rFonts w:ascii="Calibri" w:hAnsi="Calibri"/>
          <w:spacing w:val="-6"/>
          <w:sz w:val="20"/>
        </w:rPr>
        <w:t> </w:t>
      </w:r>
      <w:r>
        <w:rPr>
          <w:rFonts w:ascii="Calibri" w:hAnsi="Calibri"/>
          <w:sz w:val="20"/>
        </w:rPr>
        <w:t>toda</w:t>
      </w:r>
      <w:r>
        <w:rPr>
          <w:rFonts w:ascii="Calibri" w:hAnsi="Calibri"/>
          <w:spacing w:val="-5"/>
          <w:sz w:val="20"/>
        </w:rPr>
        <w:t> </w:t>
      </w:r>
      <w:r>
        <w:rPr>
          <w:rFonts w:ascii="Calibri" w:hAnsi="Calibri"/>
          <w:sz w:val="20"/>
        </w:rPr>
        <w:t>la</w:t>
      </w:r>
      <w:r>
        <w:rPr>
          <w:rFonts w:ascii="Calibri" w:hAnsi="Calibri"/>
          <w:spacing w:val="-4"/>
          <w:sz w:val="20"/>
        </w:rPr>
        <w:t> </w:t>
      </w:r>
      <w:r>
        <w:rPr>
          <w:rFonts w:ascii="Calibri" w:hAnsi="Calibri"/>
          <w:sz w:val="20"/>
        </w:rPr>
        <w:t>red</w:t>
      </w:r>
      <w:r>
        <w:rPr>
          <w:rFonts w:ascii="Calibri" w:hAnsi="Calibri"/>
          <w:spacing w:val="-4"/>
          <w:sz w:val="20"/>
        </w:rPr>
        <w:t> </w:t>
      </w:r>
      <w:r>
        <w:rPr>
          <w:rFonts w:ascii="Calibri" w:hAnsi="Calibri"/>
          <w:sz w:val="20"/>
        </w:rPr>
        <w:t>de</w:t>
      </w:r>
      <w:r>
        <w:rPr>
          <w:rFonts w:ascii="Calibri" w:hAnsi="Calibri"/>
          <w:spacing w:val="-5"/>
          <w:sz w:val="20"/>
        </w:rPr>
        <w:t> </w:t>
      </w:r>
      <w:r>
        <w:rPr>
          <w:rFonts w:ascii="Calibri" w:hAnsi="Calibri"/>
          <w:sz w:val="20"/>
        </w:rPr>
        <w:t>paradas de la EMT.</w:t>
      </w:r>
    </w:p>
    <w:p>
      <w:pPr>
        <w:spacing w:line="256" w:lineRule="auto" w:before="142"/>
        <w:ind w:left="2251" w:right="2020" w:firstLine="0"/>
        <w:jc w:val="both"/>
        <w:rPr>
          <w:rFonts w:ascii="Calibri" w:hAnsi="Calibri"/>
          <w:sz w:val="20"/>
        </w:rPr>
      </w:pPr>
      <w:r>
        <w:rPr>
          <w:rFonts w:ascii="Calibri" w:hAnsi="Calibri"/>
          <w:sz w:val="20"/>
        </w:rPr>
        <w:t>En consecuencia, desde el punto de vista procedimental y documental, la actuación de EMTSAM ha sido plenamente regular, quedando acreditado que la modificación del contrato se ajustó a Derecho tanto en el fondo como en la forma, por lo que </w:t>
      </w:r>
      <w:r>
        <w:rPr>
          <w:rFonts w:ascii="Calibri" w:hAnsi="Calibri"/>
          <w:sz w:val="20"/>
          <w:u w:val="single"/>
        </w:rPr>
        <w:t>se solicita la</w:t>
      </w:r>
      <w:r>
        <w:rPr>
          <w:rFonts w:ascii="Calibri" w:hAnsi="Calibri"/>
          <w:sz w:val="20"/>
          <w:u w:val="none"/>
        </w:rPr>
        <w:t> </w:t>
      </w:r>
      <w:r>
        <w:rPr>
          <w:rFonts w:ascii="Calibri" w:hAnsi="Calibri"/>
          <w:sz w:val="20"/>
          <w:u w:val="single"/>
        </w:rPr>
        <w:t>supresión</w:t>
      </w:r>
      <w:r>
        <w:rPr>
          <w:rFonts w:ascii="Calibri" w:hAnsi="Calibri"/>
          <w:spacing w:val="-5"/>
          <w:sz w:val="20"/>
          <w:u w:val="single"/>
        </w:rPr>
        <w:t> </w:t>
      </w:r>
      <w:r>
        <w:rPr>
          <w:rFonts w:ascii="Calibri" w:hAnsi="Calibri"/>
          <w:sz w:val="20"/>
          <w:u w:val="single"/>
        </w:rPr>
        <w:t>de</w:t>
      </w:r>
      <w:r>
        <w:rPr>
          <w:rFonts w:ascii="Calibri" w:hAnsi="Calibri"/>
          <w:spacing w:val="-3"/>
          <w:sz w:val="20"/>
          <w:u w:val="single"/>
        </w:rPr>
        <w:t> </w:t>
      </w:r>
      <w:r>
        <w:rPr>
          <w:rFonts w:ascii="Calibri" w:hAnsi="Calibri"/>
          <w:sz w:val="20"/>
          <w:u w:val="single"/>
        </w:rPr>
        <w:t>dicha</w:t>
      </w:r>
      <w:r>
        <w:rPr>
          <w:rFonts w:ascii="Calibri" w:hAnsi="Calibri"/>
          <w:spacing w:val="-4"/>
          <w:sz w:val="20"/>
          <w:u w:val="single"/>
        </w:rPr>
        <w:t> </w:t>
      </w:r>
      <w:r>
        <w:rPr>
          <w:rFonts w:ascii="Calibri" w:hAnsi="Calibri"/>
          <w:sz w:val="20"/>
          <w:u w:val="single"/>
        </w:rPr>
        <w:t>observación</w:t>
      </w:r>
      <w:r>
        <w:rPr>
          <w:rFonts w:ascii="Calibri" w:hAnsi="Calibri"/>
          <w:spacing w:val="-3"/>
          <w:sz w:val="20"/>
          <w:u w:val="single"/>
        </w:rPr>
        <w:t> </w:t>
      </w:r>
      <w:r>
        <w:rPr>
          <w:rFonts w:ascii="Calibri" w:hAnsi="Calibri"/>
          <w:sz w:val="20"/>
          <w:u w:val="single"/>
        </w:rPr>
        <w:t>y</w:t>
      </w:r>
      <w:r>
        <w:rPr>
          <w:rFonts w:ascii="Calibri" w:hAnsi="Calibri"/>
          <w:spacing w:val="-7"/>
          <w:sz w:val="20"/>
          <w:u w:val="single"/>
        </w:rPr>
        <w:t> </w:t>
      </w:r>
      <w:r>
        <w:rPr>
          <w:rFonts w:ascii="Calibri" w:hAnsi="Calibri"/>
          <w:sz w:val="20"/>
          <w:u w:val="single"/>
        </w:rPr>
        <w:t>que</w:t>
      </w:r>
      <w:r>
        <w:rPr>
          <w:rFonts w:ascii="Calibri" w:hAnsi="Calibri"/>
          <w:spacing w:val="-4"/>
          <w:sz w:val="20"/>
          <w:u w:val="single"/>
        </w:rPr>
        <w:t> </w:t>
      </w:r>
      <w:r>
        <w:rPr>
          <w:rFonts w:ascii="Calibri" w:hAnsi="Calibri"/>
          <w:sz w:val="20"/>
          <w:u w:val="single"/>
        </w:rPr>
        <w:t>se</w:t>
      </w:r>
      <w:r>
        <w:rPr>
          <w:rFonts w:ascii="Calibri" w:hAnsi="Calibri"/>
          <w:spacing w:val="-6"/>
          <w:sz w:val="20"/>
          <w:u w:val="single"/>
        </w:rPr>
        <w:t> </w:t>
      </w:r>
      <w:r>
        <w:rPr>
          <w:rFonts w:ascii="Calibri" w:hAnsi="Calibri"/>
          <w:sz w:val="20"/>
          <w:u w:val="single"/>
        </w:rPr>
        <w:t>tengan</w:t>
      </w:r>
      <w:r>
        <w:rPr>
          <w:rFonts w:ascii="Calibri" w:hAnsi="Calibri"/>
          <w:spacing w:val="-4"/>
          <w:sz w:val="20"/>
          <w:u w:val="single"/>
        </w:rPr>
        <w:t> </w:t>
      </w:r>
      <w:r>
        <w:rPr>
          <w:rFonts w:ascii="Calibri" w:hAnsi="Calibri"/>
          <w:sz w:val="20"/>
          <w:u w:val="single"/>
        </w:rPr>
        <w:t>en</w:t>
      </w:r>
      <w:r>
        <w:rPr>
          <w:rFonts w:ascii="Calibri" w:hAnsi="Calibri"/>
          <w:spacing w:val="-3"/>
          <w:sz w:val="20"/>
          <w:u w:val="single"/>
        </w:rPr>
        <w:t> </w:t>
      </w:r>
      <w:r>
        <w:rPr>
          <w:rFonts w:ascii="Calibri" w:hAnsi="Calibri"/>
          <w:sz w:val="20"/>
          <w:u w:val="single"/>
        </w:rPr>
        <w:t>cuenta</w:t>
      </w:r>
      <w:r>
        <w:rPr>
          <w:rFonts w:ascii="Calibri" w:hAnsi="Calibri"/>
          <w:spacing w:val="-4"/>
          <w:sz w:val="20"/>
          <w:u w:val="single"/>
        </w:rPr>
        <w:t> </w:t>
      </w:r>
      <w:r>
        <w:rPr>
          <w:rFonts w:ascii="Calibri" w:hAnsi="Calibri"/>
          <w:sz w:val="20"/>
          <w:u w:val="single"/>
        </w:rPr>
        <w:t>los</w:t>
      </w:r>
      <w:r>
        <w:rPr>
          <w:rFonts w:ascii="Calibri" w:hAnsi="Calibri"/>
          <w:spacing w:val="-4"/>
          <w:sz w:val="20"/>
          <w:u w:val="single"/>
        </w:rPr>
        <w:t> </w:t>
      </w:r>
      <w:r>
        <w:rPr>
          <w:rFonts w:ascii="Calibri" w:hAnsi="Calibri"/>
          <w:sz w:val="20"/>
          <w:u w:val="single"/>
        </w:rPr>
        <w:t>argumentos</w:t>
      </w:r>
      <w:r>
        <w:rPr>
          <w:rFonts w:ascii="Calibri" w:hAnsi="Calibri"/>
          <w:spacing w:val="-4"/>
          <w:sz w:val="20"/>
          <w:u w:val="single"/>
        </w:rPr>
        <w:t> </w:t>
      </w:r>
      <w:r>
        <w:rPr>
          <w:rFonts w:ascii="Calibri" w:hAnsi="Calibri"/>
          <w:sz w:val="20"/>
          <w:u w:val="single"/>
        </w:rPr>
        <w:t>proporcionados</w:t>
      </w:r>
      <w:r>
        <w:rPr>
          <w:rFonts w:ascii="Calibri" w:hAnsi="Calibri"/>
          <w:sz w:val="20"/>
          <w:u w:val="none"/>
        </w:rPr>
        <w:t> </w:t>
      </w:r>
      <w:r>
        <w:rPr>
          <w:rFonts w:ascii="Calibri" w:hAnsi="Calibri"/>
          <w:sz w:val="20"/>
          <w:u w:val="single"/>
        </w:rPr>
        <w:t>a la hora de redactar el informe definitivo</w:t>
      </w:r>
      <w:r>
        <w:rPr>
          <w:rFonts w:ascii="Calibri" w:hAnsi="Calibri"/>
          <w:sz w:val="20"/>
          <w:u w:val="none"/>
        </w:rPr>
        <w:t>.</w:t>
      </w:r>
    </w:p>
    <w:p>
      <w:pPr>
        <w:spacing w:before="146"/>
        <w:ind w:left="2251" w:right="0" w:firstLine="0"/>
        <w:jc w:val="left"/>
        <w:rPr>
          <w:rFonts w:ascii="Calibri" w:hAnsi="Calibri"/>
          <w:sz w:val="20"/>
        </w:rPr>
      </w:pPr>
      <w:r>
        <w:rPr>
          <w:rFonts w:ascii="Calibri" w:hAnsi="Calibri"/>
          <w:color w:val="4472C4"/>
          <w:spacing w:val="-2"/>
          <w:sz w:val="20"/>
        </w:rPr>
        <w:t>Actuaciones</w:t>
      </w:r>
      <w:r>
        <w:rPr>
          <w:rFonts w:ascii="Calibri" w:hAnsi="Calibri"/>
          <w:color w:val="4472C4"/>
          <w:spacing w:val="-1"/>
          <w:sz w:val="20"/>
        </w:rPr>
        <w:t> </w:t>
      </w:r>
      <w:r>
        <w:rPr>
          <w:rFonts w:ascii="Calibri" w:hAnsi="Calibri"/>
          <w:color w:val="4472C4"/>
          <w:spacing w:val="-2"/>
          <w:sz w:val="20"/>
        </w:rPr>
        <w:t>realizadas</w:t>
      </w:r>
      <w:r>
        <w:rPr>
          <w:rFonts w:ascii="Calibri" w:hAnsi="Calibri"/>
          <w:color w:val="4472C4"/>
          <w:spacing w:val="-3"/>
          <w:sz w:val="20"/>
        </w:rPr>
        <w:t> </w:t>
      </w:r>
      <w:r>
        <w:rPr>
          <w:rFonts w:ascii="Calibri" w:hAnsi="Calibri"/>
          <w:color w:val="4472C4"/>
          <w:spacing w:val="-2"/>
          <w:sz w:val="20"/>
        </w:rPr>
        <w:t>por</w:t>
      </w:r>
      <w:r>
        <w:rPr>
          <w:rFonts w:ascii="Calibri" w:hAnsi="Calibri"/>
          <w:color w:val="4472C4"/>
          <w:spacing w:val="-3"/>
          <w:sz w:val="20"/>
        </w:rPr>
        <w:t> </w:t>
      </w:r>
      <w:r>
        <w:rPr>
          <w:rFonts w:ascii="Calibri" w:hAnsi="Calibri"/>
          <w:color w:val="4472C4"/>
          <w:spacing w:val="-2"/>
          <w:sz w:val="20"/>
        </w:rPr>
        <w:t>los ayuntamientos como agrupación de municipios</w:t>
      </w:r>
    </w:p>
    <w:p>
      <w:pPr>
        <w:spacing w:line="256" w:lineRule="auto" w:before="161"/>
        <w:ind w:left="2251" w:right="2023" w:hanging="327"/>
        <w:jc w:val="both"/>
        <w:rPr>
          <w:rFonts w:ascii="Calibri" w:hAnsi="Calibri"/>
          <w:i/>
          <w:sz w:val="20"/>
        </w:rPr>
      </w:pPr>
      <w:r>
        <w:rPr>
          <w:rFonts w:ascii="Calibri" w:hAnsi="Calibri"/>
          <w:color w:val="4472C4"/>
          <w:sz w:val="20"/>
        </w:rPr>
        <w:t>-</w:t>
      </w:r>
      <w:r>
        <w:rPr>
          <w:rFonts w:ascii="Calibri" w:hAnsi="Calibri"/>
          <w:color w:val="4472C4"/>
          <w:spacing w:val="80"/>
          <w:w w:val="150"/>
          <w:sz w:val="20"/>
        </w:rPr>
        <w:t> </w:t>
      </w:r>
      <w:r>
        <w:rPr>
          <w:rFonts w:ascii="Calibri" w:hAnsi="Calibri"/>
          <w:i/>
          <w:color w:val="4472C4"/>
          <w:sz w:val="20"/>
        </w:rPr>
        <w:t>Pág. 74: </w:t>
      </w:r>
      <w:r>
        <w:rPr>
          <w:rFonts w:ascii="Calibri" w:hAnsi="Calibri"/>
          <w:i/>
          <w:color w:val="4472C4"/>
          <w:sz w:val="20"/>
          <w:u w:val="single" w:color="4472C4"/>
        </w:rPr>
        <w:t>fue modificado para ampliar los terminales relacionados con el sistema tarifario,</w:t>
      </w:r>
      <w:r>
        <w:rPr>
          <w:rFonts w:ascii="Calibri" w:hAnsi="Calibri"/>
          <w:i/>
          <w:color w:val="4472C4"/>
          <w:sz w:val="20"/>
          <w:u w:val="none"/>
        </w:rPr>
        <w:t> </w:t>
      </w:r>
      <w:r>
        <w:rPr>
          <w:rFonts w:ascii="Calibri" w:hAnsi="Calibri"/>
          <w:i/>
          <w:color w:val="4472C4"/>
          <w:sz w:val="20"/>
          <w:u w:val="single" w:color="4472C4"/>
        </w:rPr>
        <w:t>medios de pago y eliminación del pago en efectivo. La modificación, por importe de</w:t>
      </w:r>
      <w:r>
        <w:rPr>
          <w:rFonts w:ascii="Calibri" w:hAnsi="Calibri"/>
          <w:i/>
          <w:color w:val="4472C4"/>
          <w:sz w:val="20"/>
          <w:u w:val="none"/>
        </w:rPr>
        <w:t> </w:t>
      </w:r>
      <w:r>
        <w:rPr>
          <w:rFonts w:ascii="Calibri" w:hAnsi="Calibri"/>
          <w:i/>
          <w:color w:val="4472C4"/>
          <w:sz w:val="20"/>
          <w:u w:val="single" w:color="4472C4"/>
        </w:rPr>
        <w:t>683.839,50 euros, IVA excluido, se fundamentó en circunstancias sobrevenidas e</w:t>
      </w:r>
      <w:r>
        <w:rPr>
          <w:rFonts w:ascii="Calibri" w:hAnsi="Calibri"/>
          <w:i/>
          <w:color w:val="4472C4"/>
          <w:sz w:val="20"/>
          <w:u w:val="none"/>
        </w:rPr>
        <w:t> </w:t>
      </w:r>
      <w:r>
        <w:rPr>
          <w:rFonts w:ascii="Calibri" w:hAnsi="Calibri"/>
          <w:i/>
          <w:color w:val="4472C4"/>
          <w:sz w:val="20"/>
          <w:u w:val="single" w:color="4472C4"/>
        </w:rPr>
        <w:t>imprevisibles</w:t>
      </w:r>
      <w:r>
        <w:rPr>
          <w:rFonts w:ascii="Calibri" w:hAnsi="Calibri"/>
          <w:i/>
          <w:color w:val="4472C4"/>
          <w:spacing w:val="27"/>
          <w:sz w:val="20"/>
          <w:u w:val="single" w:color="4472C4"/>
        </w:rPr>
        <w:t> </w:t>
      </w:r>
      <w:r>
        <w:rPr>
          <w:rFonts w:ascii="Calibri" w:hAnsi="Calibri"/>
          <w:i/>
          <w:color w:val="4472C4"/>
          <w:sz w:val="20"/>
          <w:u w:val="single" w:color="4472C4"/>
        </w:rPr>
        <w:t>en</w:t>
      </w:r>
      <w:r>
        <w:rPr>
          <w:rFonts w:ascii="Calibri" w:hAnsi="Calibri"/>
          <w:i/>
          <w:color w:val="4472C4"/>
          <w:spacing w:val="31"/>
          <w:sz w:val="20"/>
          <w:u w:val="single" w:color="4472C4"/>
        </w:rPr>
        <w:t> </w:t>
      </w:r>
      <w:r>
        <w:rPr>
          <w:rFonts w:ascii="Calibri" w:hAnsi="Calibri"/>
          <w:i/>
          <w:color w:val="4472C4"/>
          <w:sz w:val="20"/>
          <w:u w:val="single" w:color="4472C4"/>
        </w:rPr>
        <w:t>el</w:t>
      </w:r>
      <w:r>
        <w:rPr>
          <w:rFonts w:ascii="Calibri" w:hAnsi="Calibri"/>
          <w:i/>
          <w:color w:val="4472C4"/>
          <w:spacing w:val="28"/>
          <w:sz w:val="20"/>
          <w:u w:val="single" w:color="4472C4"/>
        </w:rPr>
        <w:t> </w:t>
      </w:r>
      <w:r>
        <w:rPr>
          <w:rFonts w:ascii="Calibri" w:hAnsi="Calibri"/>
          <w:i/>
          <w:color w:val="4472C4"/>
          <w:sz w:val="20"/>
          <w:u w:val="single" w:color="4472C4"/>
        </w:rPr>
        <w:t>momento</w:t>
      </w:r>
      <w:r>
        <w:rPr>
          <w:rFonts w:ascii="Calibri" w:hAnsi="Calibri"/>
          <w:i/>
          <w:color w:val="4472C4"/>
          <w:spacing w:val="28"/>
          <w:sz w:val="20"/>
          <w:u w:val="single" w:color="4472C4"/>
        </w:rPr>
        <w:t> </w:t>
      </w:r>
      <w:r>
        <w:rPr>
          <w:rFonts w:ascii="Calibri" w:hAnsi="Calibri"/>
          <w:i/>
          <w:color w:val="4472C4"/>
          <w:sz w:val="20"/>
          <w:u w:val="single" w:color="4472C4"/>
        </w:rPr>
        <w:t>de</w:t>
      </w:r>
      <w:r>
        <w:rPr>
          <w:rFonts w:ascii="Calibri" w:hAnsi="Calibri"/>
          <w:i/>
          <w:color w:val="4472C4"/>
          <w:spacing w:val="24"/>
          <w:sz w:val="20"/>
          <w:u w:val="single" w:color="4472C4"/>
        </w:rPr>
        <w:t> </w:t>
      </w:r>
      <w:r>
        <w:rPr>
          <w:rFonts w:ascii="Calibri" w:hAnsi="Calibri"/>
          <w:i/>
          <w:color w:val="4472C4"/>
          <w:sz w:val="20"/>
          <w:u w:val="single" w:color="4472C4"/>
        </w:rPr>
        <w:t>licitar</w:t>
      </w:r>
      <w:r>
        <w:rPr>
          <w:rFonts w:ascii="Calibri" w:hAnsi="Calibri"/>
          <w:i/>
          <w:color w:val="4472C4"/>
          <w:spacing w:val="31"/>
          <w:sz w:val="20"/>
          <w:u w:val="single" w:color="4472C4"/>
        </w:rPr>
        <w:t> </w:t>
      </w:r>
      <w:r>
        <w:rPr>
          <w:rFonts w:ascii="Calibri" w:hAnsi="Calibri"/>
          <w:i/>
          <w:color w:val="4472C4"/>
          <w:sz w:val="20"/>
          <w:u w:val="single" w:color="4472C4"/>
        </w:rPr>
        <w:t>el</w:t>
      </w:r>
      <w:r>
        <w:rPr>
          <w:rFonts w:ascii="Calibri" w:hAnsi="Calibri"/>
          <w:i/>
          <w:color w:val="4472C4"/>
          <w:spacing w:val="30"/>
          <w:sz w:val="20"/>
          <w:u w:val="single" w:color="4472C4"/>
        </w:rPr>
        <w:t> </w:t>
      </w:r>
      <w:r>
        <w:rPr>
          <w:rFonts w:ascii="Calibri" w:hAnsi="Calibri"/>
          <w:i/>
          <w:color w:val="4472C4"/>
          <w:sz w:val="20"/>
          <w:u w:val="single" w:color="4472C4"/>
        </w:rPr>
        <w:t>contrato,</w:t>
      </w:r>
      <w:r>
        <w:rPr>
          <w:rFonts w:ascii="Calibri" w:hAnsi="Calibri"/>
          <w:i/>
          <w:color w:val="4472C4"/>
          <w:spacing w:val="28"/>
          <w:sz w:val="20"/>
          <w:u w:val="single" w:color="4472C4"/>
        </w:rPr>
        <w:t> </w:t>
      </w:r>
      <w:r>
        <w:rPr>
          <w:rFonts w:ascii="Calibri" w:hAnsi="Calibri"/>
          <w:i/>
          <w:color w:val="4472C4"/>
          <w:sz w:val="20"/>
          <w:u w:val="single" w:color="4472C4"/>
        </w:rPr>
        <w:t>indicando</w:t>
      </w:r>
      <w:r>
        <w:rPr>
          <w:rFonts w:ascii="Calibri" w:hAnsi="Calibri"/>
          <w:i/>
          <w:color w:val="4472C4"/>
          <w:spacing w:val="32"/>
          <w:sz w:val="20"/>
          <w:u w:val="single" w:color="4472C4"/>
        </w:rPr>
        <w:t> </w:t>
      </w:r>
      <w:r>
        <w:rPr>
          <w:rFonts w:ascii="Calibri" w:hAnsi="Calibri"/>
          <w:i/>
          <w:color w:val="4472C4"/>
          <w:sz w:val="20"/>
          <w:u w:val="single" w:color="4472C4"/>
        </w:rPr>
        <w:t>como</w:t>
      </w:r>
      <w:r>
        <w:rPr>
          <w:rFonts w:ascii="Calibri" w:hAnsi="Calibri"/>
          <w:i/>
          <w:color w:val="4472C4"/>
          <w:spacing w:val="31"/>
          <w:sz w:val="20"/>
          <w:u w:val="single" w:color="4472C4"/>
        </w:rPr>
        <w:t> </w:t>
      </w:r>
      <w:r>
        <w:rPr>
          <w:rFonts w:ascii="Calibri" w:hAnsi="Calibri"/>
          <w:i/>
          <w:color w:val="4472C4"/>
          <w:sz w:val="20"/>
          <w:u w:val="single" w:color="4472C4"/>
        </w:rPr>
        <w:t>tales</w:t>
      </w:r>
      <w:r>
        <w:rPr>
          <w:rFonts w:ascii="Calibri" w:hAnsi="Calibri"/>
          <w:i/>
          <w:color w:val="4472C4"/>
          <w:spacing w:val="29"/>
          <w:sz w:val="20"/>
          <w:u w:val="single" w:color="4472C4"/>
        </w:rPr>
        <w:t> </w:t>
      </w:r>
      <w:r>
        <w:rPr>
          <w:rFonts w:ascii="Calibri" w:hAnsi="Calibri"/>
          <w:i/>
          <w:color w:val="4472C4"/>
          <w:sz w:val="20"/>
          <w:u w:val="single" w:color="4472C4"/>
        </w:rPr>
        <w:t>la</w:t>
      </w:r>
      <w:r>
        <w:rPr>
          <w:rFonts w:ascii="Calibri" w:hAnsi="Calibri"/>
          <w:i/>
          <w:color w:val="4472C4"/>
          <w:spacing w:val="28"/>
          <w:sz w:val="20"/>
          <w:u w:val="single" w:color="4472C4"/>
        </w:rPr>
        <w:t> </w:t>
      </w:r>
      <w:r>
        <w:rPr>
          <w:rFonts w:ascii="Calibri" w:hAnsi="Calibri"/>
          <w:i/>
          <w:color w:val="4472C4"/>
          <w:sz w:val="20"/>
          <w:u w:val="single" w:color="4472C4"/>
        </w:rPr>
        <w:t>aprobación</w:t>
      </w:r>
      <w:r>
        <w:rPr>
          <w:rFonts w:ascii="Calibri" w:hAnsi="Calibri"/>
          <w:i/>
          <w:color w:val="4472C4"/>
          <w:sz w:val="20"/>
          <w:u w:val="none"/>
        </w:rPr>
        <w:t> </w:t>
      </w:r>
      <w:r>
        <w:rPr>
          <w:rFonts w:ascii="Calibri" w:hAnsi="Calibri"/>
          <w:i/>
          <w:color w:val="4472C4"/>
          <w:sz w:val="20"/>
          <w:u w:val="single" w:color="4472C4"/>
        </w:rPr>
        <w:t>del PRTR. Sin embargo, no se estima que estuvieran suficientemente motivadas las</w:t>
      </w:r>
      <w:r>
        <w:rPr>
          <w:rFonts w:ascii="Calibri" w:hAnsi="Calibri"/>
          <w:i/>
          <w:color w:val="4472C4"/>
          <w:spacing w:val="40"/>
          <w:sz w:val="20"/>
          <w:u w:val="none"/>
        </w:rPr>
        <w:t> </w:t>
      </w:r>
      <w:r>
        <w:rPr>
          <w:rFonts w:ascii="Calibri" w:hAnsi="Calibri"/>
          <w:i/>
          <w:color w:val="4472C4"/>
          <w:sz w:val="20"/>
          <w:u w:val="single" w:color="4472C4"/>
        </w:rPr>
        <w:t>razones que hicieron necesario ampliar el número de terminarles adjudicados</w:t>
      </w:r>
      <w:r>
        <w:rPr>
          <w:rFonts w:ascii="Calibri" w:hAnsi="Calibri"/>
          <w:i/>
          <w:color w:val="4472C4"/>
          <w:spacing w:val="80"/>
          <w:sz w:val="20"/>
          <w:u w:val="none"/>
        </w:rPr>
        <w:t> </w:t>
      </w:r>
      <w:r>
        <w:rPr>
          <w:rFonts w:ascii="Calibri" w:hAnsi="Calibri"/>
          <w:i/>
          <w:color w:val="4472C4"/>
          <w:sz w:val="20"/>
          <w:u w:val="single" w:color="4472C4"/>
        </w:rPr>
        <w:t>inicialmente,</w:t>
      </w:r>
      <w:r>
        <w:rPr>
          <w:rFonts w:ascii="Calibri" w:hAnsi="Calibri"/>
          <w:i/>
          <w:color w:val="4472C4"/>
          <w:spacing w:val="21"/>
          <w:sz w:val="20"/>
          <w:u w:val="single" w:color="4472C4"/>
        </w:rPr>
        <w:t> </w:t>
      </w:r>
      <w:r>
        <w:rPr>
          <w:rFonts w:ascii="Calibri" w:hAnsi="Calibri"/>
          <w:i/>
          <w:color w:val="4472C4"/>
          <w:sz w:val="20"/>
          <w:u w:val="single" w:color="4472C4"/>
        </w:rPr>
        <w:t>sin</w:t>
      </w:r>
      <w:r>
        <w:rPr>
          <w:rFonts w:ascii="Calibri" w:hAnsi="Calibri"/>
          <w:i/>
          <w:color w:val="4472C4"/>
          <w:spacing w:val="16"/>
          <w:sz w:val="20"/>
          <w:u w:val="single" w:color="4472C4"/>
        </w:rPr>
        <w:t> </w:t>
      </w:r>
      <w:r>
        <w:rPr>
          <w:rFonts w:ascii="Calibri" w:hAnsi="Calibri"/>
          <w:i/>
          <w:color w:val="4472C4"/>
          <w:sz w:val="20"/>
          <w:u w:val="single" w:color="4472C4"/>
        </w:rPr>
        <w:t>que</w:t>
      </w:r>
      <w:r>
        <w:rPr>
          <w:rFonts w:ascii="Calibri" w:hAnsi="Calibri"/>
          <w:i/>
          <w:color w:val="4472C4"/>
          <w:spacing w:val="15"/>
          <w:sz w:val="20"/>
          <w:u w:val="single" w:color="4472C4"/>
        </w:rPr>
        <w:t> </w:t>
      </w:r>
      <w:r>
        <w:rPr>
          <w:rFonts w:ascii="Calibri" w:hAnsi="Calibri"/>
          <w:i/>
          <w:color w:val="4472C4"/>
          <w:sz w:val="20"/>
          <w:u w:val="single" w:color="4472C4"/>
        </w:rPr>
        <w:t>pueda</w:t>
      </w:r>
      <w:r>
        <w:rPr>
          <w:rFonts w:ascii="Calibri" w:hAnsi="Calibri"/>
          <w:i/>
          <w:color w:val="4472C4"/>
          <w:spacing w:val="20"/>
          <w:sz w:val="20"/>
          <w:u w:val="single" w:color="4472C4"/>
        </w:rPr>
        <w:t> </w:t>
      </w:r>
      <w:r>
        <w:rPr>
          <w:rFonts w:ascii="Calibri" w:hAnsi="Calibri"/>
          <w:i/>
          <w:color w:val="4472C4"/>
          <w:sz w:val="20"/>
          <w:u w:val="single" w:color="4472C4"/>
        </w:rPr>
        <w:t>servir</w:t>
      </w:r>
      <w:r>
        <w:rPr>
          <w:rFonts w:ascii="Calibri" w:hAnsi="Calibri"/>
          <w:i/>
          <w:color w:val="4472C4"/>
          <w:spacing w:val="21"/>
          <w:sz w:val="20"/>
          <w:u w:val="single" w:color="4472C4"/>
        </w:rPr>
        <w:t> </w:t>
      </w:r>
      <w:r>
        <w:rPr>
          <w:rFonts w:ascii="Calibri" w:hAnsi="Calibri"/>
          <w:i/>
          <w:color w:val="4472C4"/>
          <w:sz w:val="20"/>
          <w:u w:val="single" w:color="4472C4"/>
        </w:rPr>
        <w:t>como</w:t>
      </w:r>
      <w:r>
        <w:rPr>
          <w:rFonts w:ascii="Calibri" w:hAnsi="Calibri"/>
          <w:i/>
          <w:color w:val="4472C4"/>
          <w:spacing w:val="17"/>
          <w:sz w:val="20"/>
          <w:u w:val="single" w:color="4472C4"/>
        </w:rPr>
        <w:t> </w:t>
      </w:r>
      <w:r>
        <w:rPr>
          <w:rFonts w:ascii="Calibri" w:hAnsi="Calibri"/>
          <w:i/>
          <w:color w:val="4472C4"/>
          <w:sz w:val="20"/>
          <w:u w:val="single" w:color="4472C4"/>
        </w:rPr>
        <w:t>tales</w:t>
      </w:r>
      <w:r>
        <w:rPr>
          <w:rFonts w:ascii="Calibri" w:hAnsi="Calibri"/>
          <w:i/>
          <w:color w:val="4472C4"/>
          <w:spacing w:val="17"/>
          <w:sz w:val="20"/>
          <w:u w:val="single" w:color="4472C4"/>
        </w:rPr>
        <w:t> </w:t>
      </w:r>
      <w:r>
        <w:rPr>
          <w:rFonts w:ascii="Calibri" w:hAnsi="Calibri"/>
          <w:i/>
          <w:color w:val="4472C4"/>
          <w:sz w:val="20"/>
          <w:u w:val="single" w:color="4472C4"/>
        </w:rPr>
        <w:t>la</w:t>
      </w:r>
      <w:r>
        <w:rPr>
          <w:rFonts w:ascii="Calibri" w:hAnsi="Calibri"/>
          <w:i/>
          <w:color w:val="4472C4"/>
          <w:spacing w:val="20"/>
          <w:sz w:val="20"/>
          <w:u w:val="single" w:color="4472C4"/>
        </w:rPr>
        <w:t> </w:t>
      </w:r>
      <w:r>
        <w:rPr>
          <w:rFonts w:ascii="Calibri" w:hAnsi="Calibri"/>
          <w:i/>
          <w:color w:val="4472C4"/>
          <w:sz w:val="20"/>
          <w:u w:val="single" w:color="4472C4"/>
        </w:rPr>
        <w:t>existencia</w:t>
      </w:r>
      <w:r>
        <w:rPr>
          <w:rFonts w:ascii="Calibri" w:hAnsi="Calibri"/>
          <w:i/>
          <w:color w:val="4472C4"/>
          <w:spacing w:val="20"/>
          <w:sz w:val="20"/>
          <w:u w:val="single" w:color="4472C4"/>
        </w:rPr>
        <w:t> </w:t>
      </w:r>
      <w:r>
        <w:rPr>
          <w:rFonts w:ascii="Calibri" w:hAnsi="Calibri"/>
          <w:i/>
          <w:color w:val="4472C4"/>
          <w:sz w:val="20"/>
          <w:u w:val="single" w:color="4472C4"/>
        </w:rPr>
        <w:t>de una</w:t>
      </w:r>
      <w:r>
        <w:rPr>
          <w:rFonts w:ascii="Calibri" w:hAnsi="Calibri"/>
          <w:i/>
          <w:color w:val="4472C4"/>
          <w:spacing w:val="19"/>
          <w:sz w:val="20"/>
          <w:u w:val="single" w:color="4472C4"/>
        </w:rPr>
        <w:t> </w:t>
      </w:r>
      <w:r>
        <w:rPr>
          <w:rFonts w:ascii="Calibri" w:hAnsi="Calibri"/>
          <w:i/>
          <w:color w:val="4472C4"/>
          <w:sz w:val="20"/>
          <w:u w:val="single" w:color="4472C4"/>
        </w:rPr>
        <w:t>línea</w:t>
      </w:r>
      <w:r>
        <w:rPr>
          <w:rFonts w:ascii="Calibri" w:hAnsi="Calibri"/>
          <w:i/>
          <w:color w:val="4472C4"/>
          <w:spacing w:val="17"/>
          <w:sz w:val="20"/>
          <w:u w:val="single" w:color="4472C4"/>
        </w:rPr>
        <w:t> </w:t>
      </w:r>
      <w:r>
        <w:rPr>
          <w:rFonts w:ascii="Calibri" w:hAnsi="Calibri"/>
          <w:i/>
          <w:color w:val="4472C4"/>
          <w:sz w:val="20"/>
          <w:u w:val="single" w:color="4472C4"/>
        </w:rPr>
        <w:t>de</w:t>
      </w:r>
      <w:r>
        <w:rPr>
          <w:rFonts w:ascii="Calibri" w:hAnsi="Calibri"/>
          <w:i/>
          <w:color w:val="4472C4"/>
          <w:spacing w:val="19"/>
          <w:sz w:val="20"/>
          <w:u w:val="single" w:color="4472C4"/>
        </w:rPr>
        <w:t> </w:t>
      </w:r>
      <w:r>
        <w:rPr>
          <w:rFonts w:ascii="Calibri" w:hAnsi="Calibri"/>
          <w:i/>
          <w:color w:val="4472C4"/>
          <w:sz w:val="20"/>
          <w:u w:val="single" w:color="4472C4"/>
        </w:rPr>
        <w:t>subvenciones</w:t>
      </w:r>
      <w:r>
        <w:rPr>
          <w:rFonts w:ascii="Calibri" w:hAnsi="Calibri"/>
          <w:i/>
          <w:color w:val="4472C4"/>
          <w:sz w:val="20"/>
          <w:u w:val="none"/>
        </w:rPr>
        <w:t> </w:t>
      </w:r>
      <w:r>
        <w:rPr>
          <w:rFonts w:ascii="Calibri" w:hAnsi="Calibri"/>
          <w:i/>
          <w:color w:val="4472C4"/>
          <w:sz w:val="20"/>
          <w:u w:val="single" w:color="4472C4"/>
        </w:rPr>
        <w:t>ni</w:t>
      </w:r>
      <w:r>
        <w:rPr>
          <w:rFonts w:ascii="Calibri" w:hAnsi="Calibri"/>
          <w:i/>
          <w:color w:val="4472C4"/>
          <w:spacing w:val="22"/>
          <w:sz w:val="20"/>
          <w:u w:val="single" w:color="4472C4"/>
        </w:rPr>
        <w:t> </w:t>
      </w:r>
      <w:r>
        <w:rPr>
          <w:rFonts w:ascii="Calibri" w:hAnsi="Calibri"/>
          <w:i/>
          <w:color w:val="4472C4"/>
          <w:sz w:val="20"/>
          <w:u w:val="single" w:color="4472C4"/>
        </w:rPr>
        <w:t>la</w:t>
      </w:r>
      <w:r>
        <w:rPr>
          <w:rFonts w:ascii="Calibri" w:hAnsi="Calibri"/>
          <w:i/>
          <w:color w:val="4472C4"/>
          <w:spacing w:val="23"/>
          <w:sz w:val="20"/>
          <w:u w:val="single" w:color="4472C4"/>
        </w:rPr>
        <w:t> </w:t>
      </w:r>
      <w:r>
        <w:rPr>
          <w:rFonts w:ascii="Calibri" w:hAnsi="Calibri"/>
          <w:i/>
          <w:color w:val="4472C4"/>
          <w:sz w:val="20"/>
          <w:u w:val="single" w:color="4472C4"/>
        </w:rPr>
        <w:t>finalidad que</w:t>
      </w:r>
      <w:r>
        <w:rPr>
          <w:rFonts w:ascii="Calibri" w:hAnsi="Calibri"/>
          <w:i/>
          <w:color w:val="4472C4"/>
          <w:spacing w:val="23"/>
          <w:sz w:val="20"/>
          <w:u w:val="single" w:color="4472C4"/>
        </w:rPr>
        <w:t> </w:t>
      </w:r>
      <w:r>
        <w:rPr>
          <w:rFonts w:ascii="Calibri" w:hAnsi="Calibri"/>
          <w:i/>
          <w:color w:val="4472C4"/>
          <w:sz w:val="20"/>
          <w:u w:val="single" w:color="4472C4"/>
        </w:rPr>
        <w:t>se pretende</w:t>
      </w:r>
      <w:r>
        <w:rPr>
          <w:rFonts w:ascii="Calibri" w:hAnsi="Calibri"/>
          <w:i/>
          <w:color w:val="4472C4"/>
          <w:spacing w:val="23"/>
          <w:sz w:val="20"/>
          <w:u w:val="single" w:color="4472C4"/>
        </w:rPr>
        <w:t> </w:t>
      </w:r>
      <w:r>
        <w:rPr>
          <w:rFonts w:ascii="Calibri" w:hAnsi="Calibri"/>
          <w:i/>
          <w:color w:val="4472C4"/>
          <w:sz w:val="20"/>
          <w:u w:val="single" w:color="4472C4"/>
        </w:rPr>
        <w:t>conseguir</w:t>
      </w:r>
      <w:r>
        <w:rPr>
          <w:rFonts w:ascii="Calibri" w:hAnsi="Calibri"/>
          <w:i/>
          <w:color w:val="4472C4"/>
          <w:spacing w:val="22"/>
          <w:sz w:val="20"/>
          <w:u w:val="single" w:color="4472C4"/>
        </w:rPr>
        <w:t> </w:t>
      </w:r>
      <w:r>
        <w:rPr>
          <w:rFonts w:ascii="Calibri" w:hAnsi="Calibri"/>
          <w:i/>
          <w:color w:val="4472C4"/>
          <w:sz w:val="20"/>
          <w:u w:val="single" w:color="4472C4"/>
        </w:rPr>
        <w:t>con</w:t>
      </w:r>
      <w:r>
        <w:rPr>
          <w:rFonts w:ascii="Calibri" w:hAnsi="Calibri"/>
          <w:i/>
          <w:color w:val="4472C4"/>
          <w:spacing w:val="23"/>
          <w:sz w:val="20"/>
          <w:u w:val="single" w:color="4472C4"/>
        </w:rPr>
        <w:t> </w:t>
      </w:r>
      <w:r>
        <w:rPr>
          <w:rFonts w:ascii="Calibri" w:hAnsi="Calibri"/>
          <w:i/>
          <w:color w:val="4472C4"/>
          <w:sz w:val="20"/>
          <w:u w:val="single" w:color="4472C4"/>
        </w:rPr>
        <w:t>la</w:t>
      </w:r>
      <w:r>
        <w:rPr>
          <w:rFonts w:ascii="Calibri" w:hAnsi="Calibri"/>
          <w:i/>
          <w:color w:val="4472C4"/>
          <w:spacing w:val="22"/>
          <w:sz w:val="20"/>
          <w:u w:val="single" w:color="4472C4"/>
        </w:rPr>
        <w:t> </w:t>
      </w:r>
      <w:r>
        <w:rPr>
          <w:rFonts w:ascii="Calibri" w:hAnsi="Calibri"/>
          <w:i/>
          <w:color w:val="4472C4"/>
          <w:sz w:val="20"/>
          <w:u w:val="single" w:color="4472C4"/>
        </w:rPr>
        <w:t>modificación</w:t>
      </w:r>
      <w:r>
        <w:rPr>
          <w:rFonts w:ascii="Calibri" w:hAnsi="Calibri"/>
          <w:i/>
          <w:color w:val="4472C4"/>
          <w:spacing w:val="23"/>
          <w:sz w:val="20"/>
          <w:u w:val="single" w:color="4472C4"/>
        </w:rPr>
        <w:t> </w:t>
      </w:r>
      <w:r>
        <w:rPr>
          <w:rFonts w:ascii="Calibri" w:hAnsi="Calibri"/>
          <w:i/>
          <w:color w:val="4472C4"/>
          <w:sz w:val="20"/>
          <w:u w:val="single" w:color="4472C4"/>
        </w:rPr>
        <w:t>−impulsar</w:t>
      </w:r>
      <w:r>
        <w:rPr>
          <w:rFonts w:ascii="Calibri" w:hAnsi="Calibri"/>
          <w:i/>
          <w:color w:val="4472C4"/>
          <w:spacing w:val="22"/>
          <w:sz w:val="20"/>
          <w:u w:val="single" w:color="4472C4"/>
        </w:rPr>
        <w:t> </w:t>
      </w:r>
      <w:r>
        <w:rPr>
          <w:rFonts w:ascii="Calibri" w:hAnsi="Calibri"/>
          <w:i/>
          <w:color w:val="4472C4"/>
          <w:sz w:val="20"/>
          <w:u w:val="single" w:color="4472C4"/>
        </w:rPr>
        <w:t>la</w:t>
      </w:r>
      <w:r>
        <w:rPr>
          <w:rFonts w:ascii="Calibri" w:hAnsi="Calibri"/>
          <w:i/>
          <w:color w:val="4472C4"/>
          <w:spacing w:val="22"/>
          <w:sz w:val="20"/>
          <w:u w:val="single" w:color="4472C4"/>
        </w:rPr>
        <w:t> </w:t>
      </w:r>
      <w:r>
        <w:rPr>
          <w:rFonts w:ascii="Calibri" w:hAnsi="Calibri"/>
          <w:i/>
          <w:color w:val="4472C4"/>
          <w:sz w:val="20"/>
          <w:u w:val="single" w:color="4472C4"/>
        </w:rPr>
        <w:t>digitalización</w:t>
      </w:r>
      <w:r>
        <w:rPr>
          <w:rFonts w:ascii="Calibri" w:hAnsi="Calibri"/>
          <w:i/>
          <w:color w:val="4472C4"/>
          <w:sz w:val="20"/>
          <w:u w:val="none"/>
        </w:rPr>
        <w:t> </w:t>
      </w:r>
      <w:r>
        <w:rPr>
          <w:rFonts w:ascii="Calibri" w:hAnsi="Calibri"/>
          <w:i/>
          <w:color w:val="4472C4"/>
          <w:sz w:val="20"/>
          <w:u w:val="single" w:color="4472C4"/>
        </w:rPr>
        <w:t>de la actividad de los servicios públicos de transporte que redunde en una mayor</w:t>
      </w:r>
      <w:r>
        <w:rPr>
          <w:rFonts w:ascii="Calibri" w:hAnsi="Calibri"/>
          <w:i/>
          <w:color w:val="4472C4"/>
          <w:spacing w:val="80"/>
          <w:w w:val="150"/>
          <w:sz w:val="20"/>
          <w:u w:val="none"/>
        </w:rPr>
        <w:t> </w:t>
      </w:r>
      <w:r>
        <w:rPr>
          <w:rFonts w:ascii="Calibri" w:hAnsi="Calibri"/>
          <w:i/>
          <w:color w:val="4472C4"/>
          <w:sz w:val="20"/>
          <w:u w:val="single" w:color="4472C4"/>
        </w:rPr>
        <w:t>eficiencia del sistema, mejor accesibilidad y ventajas para el usuario de transporte</w:t>
      </w:r>
      <w:r>
        <w:rPr>
          <w:rFonts w:ascii="Calibri" w:hAnsi="Calibri"/>
          <w:i/>
          <w:color w:val="4472C4"/>
          <w:sz w:val="20"/>
          <w:u w:val="none"/>
        </w:rPr>
        <w:t> </w:t>
      </w:r>
      <w:r>
        <w:rPr>
          <w:rFonts w:ascii="Calibri" w:hAnsi="Calibri"/>
          <w:i/>
          <w:color w:val="4472C4"/>
          <w:sz w:val="20"/>
          <w:u w:val="single" w:color="4472C4"/>
        </w:rPr>
        <w:t>público−, extremo este último que podría haberse perseguido con una nueva licitación.</w:t>
      </w:r>
    </w:p>
    <w:p>
      <w:pPr>
        <w:spacing w:line="256" w:lineRule="auto" w:before="149"/>
        <w:ind w:left="2251" w:right="2027" w:firstLine="0"/>
        <w:jc w:val="both"/>
        <w:rPr>
          <w:rFonts w:ascii="Calibri" w:hAnsi="Calibri"/>
          <w:i/>
          <w:sz w:val="20"/>
        </w:rPr>
      </w:pPr>
      <w:r>
        <w:rPr>
          <w:rFonts w:ascii="Calibri" w:hAnsi="Calibri"/>
          <w:i/>
          <w:color w:val="4472C4"/>
          <w:sz w:val="20"/>
          <w:u w:val="single" w:color="4472C4"/>
        </w:rPr>
        <w:t>En el documento de formalización de la modificación se estipuló que el proyecto tendría</w:t>
      </w:r>
      <w:r>
        <w:rPr>
          <w:rFonts w:ascii="Calibri" w:hAnsi="Calibri"/>
          <w:i/>
          <w:color w:val="4472C4"/>
          <w:sz w:val="20"/>
          <w:u w:val="none"/>
        </w:rPr>
        <w:t> </w:t>
      </w:r>
      <w:r>
        <w:rPr>
          <w:rFonts w:ascii="Calibri" w:hAnsi="Calibri"/>
          <w:i/>
          <w:color w:val="4472C4"/>
          <w:sz w:val="20"/>
          <w:u w:val="single" w:color="4472C4"/>
        </w:rPr>
        <w:t>que estar implementado en junio de 2023, y la evaluación y resultados del mismo entre</w:t>
      </w:r>
      <w:r>
        <w:rPr>
          <w:rFonts w:ascii="Calibri" w:hAnsi="Calibri"/>
          <w:i/>
          <w:color w:val="4472C4"/>
          <w:sz w:val="20"/>
          <w:u w:val="none"/>
        </w:rPr>
        <w:t> </w:t>
      </w:r>
      <w:r>
        <w:rPr>
          <w:rFonts w:ascii="Calibri" w:hAnsi="Calibri"/>
          <w:i/>
          <w:color w:val="4472C4"/>
          <w:sz w:val="20"/>
          <w:u w:val="single" w:color="4472C4"/>
        </w:rPr>
        <w:t>enero y junio de 2024. Pese a estas previsiones, la empresa ha realizado recepciones</w:t>
      </w:r>
      <w:r>
        <w:rPr>
          <w:rFonts w:ascii="Calibri" w:hAnsi="Calibri"/>
          <w:i/>
          <w:color w:val="4472C4"/>
          <w:sz w:val="20"/>
          <w:u w:val="none"/>
        </w:rPr>
        <w:t> </w:t>
      </w:r>
      <w:r>
        <w:rPr>
          <w:rFonts w:ascii="Calibri" w:hAnsi="Calibri"/>
          <w:i/>
          <w:color w:val="4472C4"/>
          <w:sz w:val="20"/>
          <w:u w:val="single" w:color="4472C4"/>
        </w:rPr>
        <w:t>parciales del objeto del contrato, siendo la última de junio de 2025, lo que evidencia</w:t>
      </w:r>
      <w:r>
        <w:rPr>
          <w:rFonts w:ascii="Calibri" w:hAnsi="Calibri"/>
          <w:i/>
          <w:color w:val="4472C4"/>
          <w:sz w:val="20"/>
          <w:u w:val="none"/>
        </w:rPr>
        <w:t> </w:t>
      </w:r>
      <w:r>
        <w:rPr>
          <w:rFonts w:ascii="Calibri" w:hAnsi="Calibri"/>
          <w:i/>
          <w:color w:val="4472C4"/>
          <w:sz w:val="20"/>
          <w:u w:val="single" w:color="4472C4"/>
        </w:rPr>
        <w:t>demoras en su ejecución</w:t>
      </w:r>
      <w:r>
        <w:rPr>
          <w:rFonts w:ascii="Calibri" w:hAnsi="Calibri"/>
          <w:i/>
          <w:color w:val="4472C4"/>
          <w:sz w:val="20"/>
          <w:u w:val="none"/>
        </w:rPr>
        <w:t>.</w:t>
      </w:r>
    </w:p>
    <w:p>
      <w:pPr>
        <w:pStyle w:val="BodyText"/>
        <w:rPr>
          <w:rFonts w:ascii="Calibri"/>
          <w:i/>
          <w:sz w:val="20"/>
        </w:rPr>
      </w:pPr>
    </w:p>
    <w:p>
      <w:pPr>
        <w:pStyle w:val="BodyText"/>
        <w:spacing w:before="60"/>
        <w:rPr>
          <w:rFonts w:ascii="Calibri"/>
          <w:i/>
          <w:sz w:val="20"/>
        </w:rPr>
      </w:pPr>
    </w:p>
    <w:p>
      <w:pPr>
        <w:spacing w:line="256" w:lineRule="auto" w:before="1"/>
        <w:ind w:left="1925" w:right="2021" w:firstLine="0"/>
        <w:jc w:val="both"/>
        <w:rPr>
          <w:rFonts w:ascii="Calibri" w:hAnsi="Calibri"/>
          <w:sz w:val="20"/>
        </w:rPr>
      </w:pPr>
      <w:r>
        <w:rPr>
          <w:rFonts w:ascii="Calibri" w:hAnsi="Calibri"/>
          <w:sz w:val="20"/>
        </w:rPr>
        <w:t>En relación con la observación incluida en la página 74 del Informe provisional, referida a la modificación del contrato de suministro e instalación del sistema de Monética, Ticketing y Sistema de Ayuda a la Explotación (SAE) adjudicado a la UTE ETRA-INETUM se proporcionan a continuación</w:t>
      </w:r>
      <w:r>
        <w:rPr>
          <w:rFonts w:ascii="Calibri" w:hAnsi="Calibri"/>
          <w:spacing w:val="-2"/>
          <w:sz w:val="20"/>
        </w:rPr>
        <w:t> </w:t>
      </w:r>
      <w:r>
        <w:rPr>
          <w:rFonts w:ascii="Calibri" w:hAnsi="Calibri"/>
          <w:sz w:val="20"/>
        </w:rPr>
        <w:t>las</w:t>
      </w:r>
      <w:r>
        <w:rPr>
          <w:rFonts w:ascii="Calibri" w:hAnsi="Calibri"/>
          <w:spacing w:val="-2"/>
          <w:sz w:val="20"/>
        </w:rPr>
        <w:t> </w:t>
      </w:r>
      <w:r>
        <w:rPr>
          <w:rFonts w:ascii="Calibri" w:hAnsi="Calibri"/>
          <w:sz w:val="20"/>
        </w:rPr>
        <w:t>justificaciones</w:t>
      </w:r>
      <w:r>
        <w:rPr>
          <w:rFonts w:ascii="Calibri" w:hAnsi="Calibri"/>
          <w:spacing w:val="-2"/>
          <w:sz w:val="20"/>
        </w:rPr>
        <w:t> </w:t>
      </w:r>
      <w:r>
        <w:rPr>
          <w:rFonts w:ascii="Calibri" w:hAnsi="Calibri"/>
          <w:sz w:val="20"/>
        </w:rPr>
        <w:t>técnicas</w:t>
      </w:r>
      <w:r>
        <w:rPr>
          <w:rFonts w:ascii="Calibri" w:hAnsi="Calibri"/>
          <w:spacing w:val="-3"/>
          <w:sz w:val="20"/>
        </w:rPr>
        <w:t> </w:t>
      </w:r>
      <w:r>
        <w:rPr>
          <w:rFonts w:ascii="Calibri" w:hAnsi="Calibri"/>
          <w:sz w:val="20"/>
        </w:rPr>
        <w:t>y</w:t>
      </w:r>
      <w:r>
        <w:rPr>
          <w:rFonts w:ascii="Calibri" w:hAnsi="Calibri"/>
          <w:spacing w:val="-1"/>
          <w:sz w:val="20"/>
        </w:rPr>
        <w:t> </w:t>
      </w:r>
      <w:r>
        <w:rPr>
          <w:rFonts w:ascii="Calibri" w:hAnsi="Calibri"/>
          <w:sz w:val="20"/>
        </w:rPr>
        <w:t>legales</w:t>
      </w:r>
      <w:r>
        <w:rPr>
          <w:rFonts w:ascii="Calibri" w:hAnsi="Calibri"/>
          <w:spacing w:val="-2"/>
          <w:sz w:val="20"/>
        </w:rPr>
        <w:t> </w:t>
      </w:r>
      <w:r>
        <w:rPr>
          <w:rFonts w:ascii="Calibri" w:hAnsi="Calibri"/>
          <w:sz w:val="20"/>
        </w:rPr>
        <w:t>oportunas</w:t>
      </w:r>
      <w:r>
        <w:rPr>
          <w:rFonts w:ascii="Calibri" w:hAnsi="Calibri"/>
          <w:spacing w:val="-1"/>
          <w:sz w:val="20"/>
        </w:rPr>
        <w:t> </w:t>
      </w:r>
      <w:r>
        <w:rPr>
          <w:rFonts w:ascii="Calibri" w:hAnsi="Calibri"/>
          <w:sz w:val="20"/>
        </w:rPr>
        <w:t>al</w:t>
      </w:r>
      <w:r>
        <w:rPr>
          <w:rFonts w:ascii="Calibri" w:hAnsi="Calibri"/>
          <w:spacing w:val="-2"/>
          <w:sz w:val="20"/>
        </w:rPr>
        <w:t> </w:t>
      </w:r>
      <w:r>
        <w:rPr>
          <w:rFonts w:ascii="Calibri" w:hAnsi="Calibri"/>
          <w:sz w:val="20"/>
        </w:rPr>
        <w:t>objeto</w:t>
      </w:r>
      <w:r>
        <w:rPr>
          <w:rFonts w:ascii="Calibri" w:hAnsi="Calibri"/>
          <w:spacing w:val="-1"/>
          <w:sz w:val="20"/>
        </w:rPr>
        <w:t> </w:t>
      </w:r>
      <w:r>
        <w:rPr>
          <w:rFonts w:ascii="Calibri" w:hAnsi="Calibri"/>
          <w:sz w:val="20"/>
        </w:rPr>
        <w:t>aclarar</w:t>
      </w:r>
      <w:r>
        <w:rPr>
          <w:rFonts w:ascii="Calibri" w:hAnsi="Calibri"/>
          <w:spacing w:val="-2"/>
          <w:sz w:val="20"/>
        </w:rPr>
        <w:t> </w:t>
      </w:r>
      <w:r>
        <w:rPr>
          <w:rFonts w:ascii="Calibri" w:hAnsi="Calibri"/>
          <w:sz w:val="20"/>
        </w:rPr>
        <w:t>dicha</w:t>
      </w:r>
      <w:r>
        <w:rPr>
          <w:rFonts w:ascii="Calibri" w:hAnsi="Calibri"/>
          <w:spacing w:val="-1"/>
          <w:sz w:val="20"/>
        </w:rPr>
        <w:t> </w:t>
      </w:r>
      <w:r>
        <w:rPr>
          <w:rFonts w:ascii="Calibri" w:hAnsi="Calibri"/>
          <w:sz w:val="20"/>
        </w:rPr>
        <w:t>actuación</w:t>
      </w:r>
      <w:r>
        <w:rPr>
          <w:rFonts w:ascii="Calibri" w:hAnsi="Calibri"/>
          <w:spacing w:val="-7"/>
          <w:sz w:val="20"/>
        </w:rPr>
        <w:t> </w:t>
      </w:r>
      <w:r>
        <w:rPr>
          <w:rFonts w:ascii="Calibri" w:hAnsi="Calibri"/>
          <w:sz w:val="20"/>
        </w:rPr>
        <w:t>y la adecuación de la misma a derecho.</w:t>
      </w:r>
    </w:p>
    <w:p>
      <w:pPr>
        <w:spacing w:line="256" w:lineRule="auto" w:before="145"/>
        <w:ind w:left="1925" w:right="2023" w:firstLine="0"/>
        <w:jc w:val="both"/>
        <w:rPr>
          <w:rFonts w:ascii="Calibri" w:hAnsi="Calibri"/>
          <w:sz w:val="20"/>
        </w:rPr>
      </w:pPr>
      <w:r>
        <w:rPr>
          <w:rFonts w:ascii="Calibri" w:hAnsi="Calibri"/>
          <w:sz w:val="20"/>
        </w:rPr>
        <w:t>1º En cuanto a la justificación legal de la modificación del contrato, por importe de</w:t>
      </w:r>
      <w:r>
        <w:rPr>
          <w:rFonts w:ascii="Calibri" w:hAnsi="Calibri"/>
          <w:spacing w:val="80"/>
          <w:sz w:val="20"/>
        </w:rPr>
        <w:t> </w:t>
      </w:r>
      <w:r>
        <w:rPr>
          <w:rFonts w:ascii="Calibri" w:hAnsi="Calibri"/>
          <w:sz w:val="20"/>
        </w:rPr>
        <w:t>683.839,50</w:t>
      </w:r>
      <w:r>
        <w:rPr>
          <w:rFonts w:ascii="Calibri" w:hAnsi="Calibri"/>
          <w:spacing w:val="-6"/>
          <w:sz w:val="20"/>
        </w:rPr>
        <w:t> </w:t>
      </w:r>
      <w:r>
        <w:rPr>
          <w:rFonts w:ascii="Calibri" w:hAnsi="Calibri"/>
          <w:sz w:val="20"/>
        </w:rPr>
        <w:t>€ (IVA excluido), conviene decir que se ampara en el supuesto previsto en el artículo 205.2.b) de la Ley 9/2017, de Contratos del Sector Público (LCSP).</w:t>
      </w:r>
    </w:p>
    <w:p>
      <w:pPr>
        <w:spacing w:line="256" w:lineRule="auto" w:before="146"/>
        <w:ind w:left="1925" w:right="2023" w:firstLine="0"/>
        <w:jc w:val="both"/>
        <w:rPr>
          <w:rFonts w:ascii="Calibri" w:hAnsi="Calibri"/>
          <w:sz w:val="20"/>
        </w:rPr>
      </w:pPr>
      <w:r>
        <w:rPr>
          <w:rFonts w:ascii="Calibri" w:hAnsi="Calibri"/>
          <w:sz w:val="20"/>
        </w:rPr>
        <w:t>Dicho precepto autoriza, con carácter excepcional, las modificaciones no contempladas en los pliegos cuando surjan circunstancias sobrevenidas e imprevisibles en el momento de licitar el contrato, siempre que no alteren la naturaleza global del mismo y que la cuantía adicional no exceda del 50 % del precio inicial.</w:t>
      </w:r>
    </w:p>
    <w:p>
      <w:pPr>
        <w:pStyle w:val="BodyText"/>
        <w:rPr>
          <w:rFonts w:ascii="Calibri"/>
          <w:sz w:val="20"/>
        </w:rPr>
      </w:pPr>
    </w:p>
    <w:p>
      <w:pPr>
        <w:pStyle w:val="BodyText"/>
        <w:rPr>
          <w:rFonts w:ascii="Calibri"/>
          <w:sz w:val="20"/>
        </w:rPr>
      </w:pPr>
    </w:p>
    <w:p>
      <w:pPr>
        <w:pStyle w:val="BodyText"/>
        <w:spacing w:before="105"/>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363" name="Group 1363"/>
                <wp:cNvGraphicFramePr>
                  <a:graphicFrameLocks/>
                </wp:cNvGraphicFramePr>
                <a:graphic>
                  <a:graphicData uri="http://schemas.microsoft.com/office/word/2010/wordprocessingGroup">
                    <wpg:wgp>
                      <wpg:cNvPr id="1363" name="Group 1363"/>
                      <wpg:cNvGrpSpPr/>
                      <wpg:grpSpPr>
                        <a:xfrm>
                          <a:off x="0" y="0"/>
                          <a:ext cx="1870075" cy="6350"/>
                          <a:chExt cx="1870075" cy="6350"/>
                        </a:xfrm>
                      </wpg:grpSpPr>
                      <wps:wsp>
                        <wps:cNvPr id="1364" name="Graphic 1364"/>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994" coordorigin="0,0" coordsize="2945,10">
                <v:rect style="position:absolute;left:0;top:0;width:2945;height:10" id="docshape995"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365" name="Group 1365"/>
                <wp:cNvGraphicFramePr>
                  <a:graphicFrameLocks/>
                </wp:cNvGraphicFramePr>
                <a:graphic>
                  <a:graphicData uri="http://schemas.microsoft.com/office/word/2010/wordprocessingGroup">
                    <wpg:wgp>
                      <wpg:cNvPr id="1365" name="Group 1365"/>
                      <wpg:cNvGrpSpPr/>
                      <wpg:grpSpPr>
                        <a:xfrm>
                          <a:off x="0" y="0"/>
                          <a:ext cx="841375" cy="6350"/>
                          <a:chExt cx="841375" cy="6350"/>
                        </a:xfrm>
                      </wpg:grpSpPr>
                      <wps:wsp>
                        <wps:cNvPr id="1366" name="Graphic 1366"/>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996" coordorigin="0,0" coordsize="1325,10">
                <v:rect style="position:absolute;left:0;top:0;width:1325;height:10" id="docshape997"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66"/>
          <w:headerReference w:type="even" r:id="rId267"/>
          <w:footerReference w:type="default" r:id="rId268"/>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06400">
                <wp:simplePos x="0" y="0"/>
                <wp:positionH relativeFrom="page">
                  <wp:posOffset>4332186</wp:posOffset>
                </wp:positionH>
                <wp:positionV relativeFrom="paragraph">
                  <wp:posOffset>1412477</wp:posOffset>
                </wp:positionV>
                <wp:extent cx="53340" cy="100330"/>
                <wp:effectExtent l="0" t="0" r="0" b="0"/>
                <wp:wrapNone/>
                <wp:docPr id="1367" name="Textbox 1367"/>
                <wp:cNvGraphicFramePr>
                  <a:graphicFrameLocks/>
                </wp:cNvGraphicFramePr>
                <a:graphic>
                  <a:graphicData uri="http://schemas.microsoft.com/office/word/2010/wordprocessingShape">
                    <wps:wsp>
                      <wps:cNvPr id="1367" name="Textbox 1367"/>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10080" type="#_x0000_t202" id="docshape998"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53"/>
        <w:gridCol w:w="2400"/>
        <w:gridCol w:w="715"/>
        <w:gridCol w:w="541"/>
        <w:gridCol w:w="1022"/>
        <w:gridCol w:w="817"/>
        <w:gridCol w:w="1247"/>
        <w:gridCol w:w="1132"/>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53" w:type="dxa"/>
            <w:tcBorders>
              <w:left w:val="single" w:sz="6" w:space="0" w:color="000000"/>
              <w:bottom w:val="single" w:sz="6" w:space="0" w:color="000000"/>
              <w:right w:val="nil"/>
            </w:tcBorders>
          </w:tcPr>
          <w:p>
            <w:pPr>
              <w:pStyle w:val="TableParagraph"/>
              <w:rPr>
                <w:rFonts w:ascii="Times New Roman"/>
                <w:sz w:val="14"/>
              </w:rPr>
            </w:pPr>
          </w:p>
        </w:tc>
        <w:tc>
          <w:tcPr>
            <w:tcW w:w="2400" w:type="dxa"/>
            <w:tcBorders>
              <w:top w:val="nil"/>
              <w:left w:val="nil"/>
              <w:bottom w:val="single" w:sz="6" w:space="0" w:color="000000"/>
              <w:right w:val="nil"/>
            </w:tcBorders>
            <w:shd w:val="clear" w:color="auto" w:fill="000000"/>
          </w:tcPr>
          <w:p>
            <w:pPr>
              <w:pStyle w:val="TableParagraph"/>
              <w:rPr>
                <w:rFonts w:ascii="Times New Roman"/>
                <w:sz w:val="14"/>
              </w:rPr>
            </w:pPr>
          </w:p>
        </w:tc>
        <w:tc>
          <w:tcPr>
            <w:tcW w:w="1256"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368" name="Image 1368"/>
                  <wp:cNvGraphicFramePr>
                    <a:graphicFrameLocks/>
                  </wp:cNvGraphicFramePr>
                  <a:graphic>
                    <a:graphicData uri="http://schemas.openxmlformats.org/drawingml/2006/picture">
                      <pic:pic>
                        <pic:nvPicPr>
                          <pic:cNvPr id="1368" name="Image 136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369" name="Image 1369"/>
                  <wp:cNvGraphicFramePr>
                    <a:graphicFrameLocks/>
                  </wp:cNvGraphicFramePr>
                  <a:graphic>
                    <a:graphicData uri="http://schemas.openxmlformats.org/drawingml/2006/picture">
                      <pic:pic>
                        <pic:nvPicPr>
                          <pic:cNvPr id="1369" name="Image 136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32" w:type="dxa"/>
            <w:vMerge w:val="restart"/>
            <w:tcBorders>
              <w:top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06912">
                      <wp:simplePos x="0" y="0"/>
                      <wp:positionH relativeFrom="column">
                        <wp:posOffset>-1298447</wp:posOffset>
                      </wp:positionH>
                      <wp:positionV relativeFrom="paragraph">
                        <wp:posOffset>-144895</wp:posOffset>
                      </wp:positionV>
                      <wp:extent cx="1298575" cy="417830"/>
                      <wp:effectExtent l="0" t="0" r="0" b="0"/>
                      <wp:wrapNone/>
                      <wp:docPr id="1370" name="Group 1370"/>
                      <wp:cNvGraphicFramePr>
                        <a:graphicFrameLocks/>
                      </wp:cNvGraphicFramePr>
                      <a:graphic>
                        <a:graphicData uri="http://schemas.microsoft.com/office/word/2010/wordprocessingGroup">
                          <wpg:wgp>
                            <wpg:cNvPr id="1370" name="Group 1370"/>
                            <wpg:cNvGrpSpPr/>
                            <wpg:grpSpPr>
                              <a:xfrm>
                                <a:off x="0" y="0"/>
                                <a:ext cx="1298575" cy="417830"/>
                                <a:chExt cx="1298575" cy="417830"/>
                              </a:xfrm>
                            </wpg:grpSpPr>
                            <wps:wsp>
                              <wps:cNvPr id="1371" name="Graphic 1371"/>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372" name="Image 1372"/>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09568" id="docshapegroup999" coordorigin="-2045,-228" coordsize="2045,658">
                      <v:shape style="position:absolute;left:-2045;top:-229;width:2045;height:658" id="docshape1000" coordorigin="-2045,-228" coordsize="2045,658" path="m0,-228l-2045,-228,-2045,-10,-2045,-7,-2045,429,0,429,0,-7,0,-10,0,-228xe" filled="true" fillcolor="#cccccc" stroked="false">
                        <v:path arrowok="t"/>
                        <v:fill type="solid"/>
                      </v:shape>
                      <v:shape style="position:absolute;left:-1973;top:-154;width:1896;height:327" type="#_x0000_t75" id="docshape1001"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32"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373" name="Image 1373"/>
                  <wp:cNvGraphicFramePr>
                    <a:graphicFrameLocks/>
                  </wp:cNvGraphicFramePr>
                  <a:graphic>
                    <a:graphicData uri="http://schemas.openxmlformats.org/drawingml/2006/picture">
                      <pic:pic>
                        <pic:nvPicPr>
                          <pic:cNvPr id="1373" name="Image 137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374" name="Image 1374"/>
                  <wp:cNvGraphicFramePr>
                    <a:graphicFrameLocks/>
                  </wp:cNvGraphicFramePr>
                  <a:graphic>
                    <a:graphicData uri="http://schemas.openxmlformats.org/drawingml/2006/picture">
                      <pic:pic>
                        <pic:nvPicPr>
                          <pic:cNvPr id="1374" name="Image 1374"/>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2"/>
              <w:jc w:val="center"/>
              <w:rPr>
                <w:rFonts w:ascii="Arial"/>
                <w:sz w:val="14"/>
              </w:rPr>
            </w:pPr>
            <w:r>
              <w:rPr>
                <w:rFonts w:ascii="Arial"/>
                <w:sz w:val="14"/>
              </w:rPr>
              <mc:AlternateContent>
                <mc:Choice Requires="wps">
                  <w:drawing>
                    <wp:anchor distT="0" distB="0" distL="0" distR="0" allowOverlap="1" layoutInCell="1" locked="0" behindDoc="1" simplePos="0" relativeHeight="474407424">
                      <wp:simplePos x="0" y="0"/>
                      <wp:positionH relativeFrom="column">
                        <wp:posOffset>1320546</wp:posOffset>
                      </wp:positionH>
                      <wp:positionV relativeFrom="paragraph">
                        <wp:posOffset>-311719</wp:posOffset>
                      </wp:positionV>
                      <wp:extent cx="734695" cy="753110"/>
                      <wp:effectExtent l="0" t="0" r="0" b="0"/>
                      <wp:wrapNone/>
                      <wp:docPr id="1375" name="Group 1375"/>
                      <wp:cNvGraphicFramePr>
                        <a:graphicFrameLocks/>
                      </wp:cNvGraphicFramePr>
                      <a:graphic>
                        <a:graphicData uri="http://schemas.microsoft.com/office/word/2010/wordprocessingGroup">
                          <wpg:wgp>
                            <wpg:cNvPr id="1375" name="Group 1375"/>
                            <wpg:cNvGrpSpPr/>
                            <wpg:grpSpPr>
                              <a:xfrm>
                                <a:off x="0" y="0"/>
                                <a:ext cx="734695" cy="753110"/>
                                <a:chExt cx="734695" cy="753110"/>
                              </a:xfrm>
                            </wpg:grpSpPr>
                            <pic:pic>
                              <pic:nvPicPr>
                                <pic:cNvPr id="1376" name="Image 1376"/>
                                <pic:cNvPicPr/>
                              </pic:nvPicPr>
                              <pic:blipFill>
                                <a:blip r:embed="rId252" cstate="print"/>
                                <a:stretch>
                                  <a:fillRect/>
                                </a:stretch>
                              </pic:blipFill>
                              <pic:spPr>
                                <a:xfrm>
                                  <a:off x="0" y="0"/>
                                  <a:ext cx="734567" cy="752840"/>
                                </a:xfrm>
                                <a:prstGeom prst="rect">
                                  <a:avLst/>
                                </a:prstGeom>
                              </pic:spPr>
                            </pic:pic>
                            <wps:wsp>
                              <wps:cNvPr id="1377" name="Graphic 1377"/>
                              <wps:cNvSpPr/>
                              <wps:spPr>
                                <a:xfrm>
                                  <a:off x="40525" y="45158"/>
                                  <a:ext cx="669925" cy="680085"/>
                                </a:xfrm>
                                <a:custGeom>
                                  <a:avLst/>
                                  <a:gdLst/>
                                  <a:ahLst/>
                                  <a:cxnLst/>
                                  <a:rect l="l" t="t" r="r" b="b"/>
                                  <a:pathLst>
                                    <a:path w="669925" h="680085">
                                      <a:moveTo>
                                        <a:pt x="669556" y="0"/>
                                      </a:moveTo>
                                      <a:lnTo>
                                        <a:pt x="0" y="0"/>
                                      </a:lnTo>
                                      <a:lnTo>
                                        <a:pt x="0" y="679500"/>
                                      </a:lnTo>
                                      <a:lnTo>
                                        <a:pt x="669556" y="679500"/>
                                      </a:lnTo>
                                      <a:lnTo>
                                        <a:pt x="669556"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909056" id="docshapegroup1002" coordorigin="2080,-491" coordsize="1157,1186">
                      <v:shape style="position:absolute;left:2079;top:-491;width:1157;height:1186" type="#_x0000_t75" id="docshape1003" stroked="false">
                        <v:imagedata r:id="rId252" o:title=""/>
                      </v:shape>
                      <v:rect style="position:absolute;left:2143;top:-420;width:1055;height:1071" id="docshape1004" filled="true" fillcolor="#000000" stroked="false">
                        <v:fill type="solid"/>
                      </v:rect>
                      <w10:wrap type="none"/>
                    </v:group>
                  </w:pict>
                </mc:Fallback>
              </mc:AlternateContent>
            </w:r>
            <w:r>
              <w:rPr>
                <w:rFonts w:ascii="Arial"/>
                <w:spacing w:val="-2"/>
                <w:sz w:val="14"/>
              </w:rPr>
              <w:t>21/40</w:t>
            </w:r>
          </w:p>
        </w:tc>
        <w:tc>
          <w:tcPr>
            <w:tcW w:w="1132"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378" name="Image 1378"/>
                  <wp:cNvGraphicFramePr>
                    <a:graphicFrameLocks/>
                  </wp:cNvGraphicFramePr>
                  <a:graphic>
                    <a:graphicData uri="http://schemas.openxmlformats.org/drawingml/2006/picture">
                      <pic:pic>
                        <pic:nvPicPr>
                          <pic:cNvPr id="1378" name="Image 1378"/>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132" w:type="dxa"/>
            <w:vMerge/>
            <w:tcBorders>
              <w:top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379" name="Image 1379"/>
                  <wp:cNvGraphicFramePr>
                    <a:graphicFrameLocks/>
                  </wp:cNvGraphicFramePr>
                  <a:graphic>
                    <a:graphicData uri="http://schemas.openxmlformats.org/drawingml/2006/picture">
                      <pic:pic>
                        <pic:nvPicPr>
                          <pic:cNvPr id="1379" name="Image 1379"/>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32" w:type="dxa"/>
            <w:vMerge/>
            <w:tcBorders>
              <w:top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1925" w:right="2017" w:firstLine="0"/>
        <w:jc w:val="both"/>
        <w:rPr>
          <w:rFonts w:ascii="Calibri" w:hAnsi="Calibri"/>
          <w:sz w:val="20"/>
        </w:rPr>
      </w:pPr>
      <w:r>
        <w:rPr>
          <w:rFonts w:ascii="Calibri" w:hAnsi="Calibri"/>
          <w:sz w:val="20"/>
        </w:rPr>
        <w:t>En el presente caso, la aprobación sobrevenida del Plan de Recuperación, Transformación y Resiliencia (PRTR) y su desarrollo mediante la </w:t>
      </w:r>
      <w:r>
        <w:rPr>
          <w:rFonts w:ascii="Calibri" w:hAnsi="Calibri"/>
          <w:i/>
          <w:sz w:val="20"/>
        </w:rPr>
        <w:t>Orden TMA/892/2021, de 17 de agosto que</w:t>
      </w:r>
      <w:r>
        <w:rPr>
          <w:rFonts w:ascii="Calibri" w:hAnsi="Calibri"/>
          <w:i/>
          <w:sz w:val="20"/>
        </w:rPr>
        <w:t> aprueba las bases reguladoras del programa de ayudas a municipios para la implantación de zonas de bajas emisiones y la transformación digital y sostenible del transporte urbano </w:t>
      </w:r>
      <w:r>
        <w:rPr>
          <w:rFonts w:ascii="Calibri" w:hAnsi="Calibri"/>
          <w:sz w:val="20"/>
        </w:rPr>
        <w:t>(en el marco del PRTR) constituyen factores externos imprevisibles al tiempo de licitación del contrato</w:t>
      </w:r>
      <w:r>
        <w:rPr>
          <w:rFonts w:ascii="Calibri" w:hAnsi="Calibri"/>
          <w:spacing w:val="-1"/>
          <w:sz w:val="20"/>
        </w:rPr>
        <w:t> </w:t>
      </w:r>
      <w:r>
        <w:rPr>
          <w:rFonts w:ascii="Calibri" w:hAnsi="Calibri"/>
          <w:sz w:val="20"/>
        </w:rPr>
        <w:t>inicial</w:t>
      </w:r>
      <w:r>
        <w:rPr>
          <w:rFonts w:ascii="Calibri" w:hAnsi="Calibri"/>
          <w:spacing w:val="-1"/>
          <w:sz w:val="20"/>
        </w:rPr>
        <w:t> </w:t>
      </w:r>
      <w:r>
        <w:rPr>
          <w:rFonts w:ascii="Calibri" w:hAnsi="Calibri"/>
          <w:sz w:val="20"/>
        </w:rPr>
        <w:t>(año</w:t>
      </w:r>
      <w:r>
        <w:rPr>
          <w:rFonts w:ascii="Calibri" w:hAnsi="Calibri"/>
          <w:spacing w:val="-3"/>
          <w:sz w:val="20"/>
        </w:rPr>
        <w:t> </w:t>
      </w:r>
      <w:r>
        <w:rPr>
          <w:rFonts w:ascii="Calibri" w:hAnsi="Calibri"/>
          <w:sz w:val="20"/>
        </w:rPr>
        <w:t>2019).</w:t>
      </w:r>
      <w:r>
        <w:rPr>
          <w:rFonts w:ascii="Calibri" w:hAnsi="Calibri"/>
          <w:spacing w:val="-2"/>
          <w:sz w:val="20"/>
        </w:rPr>
        <w:t> </w:t>
      </w:r>
      <w:r>
        <w:rPr>
          <w:rFonts w:ascii="Calibri" w:hAnsi="Calibri"/>
          <w:sz w:val="20"/>
        </w:rPr>
        <w:t>Tales novedades</w:t>
      </w:r>
      <w:r>
        <w:rPr>
          <w:rFonts w:ascii="Calibri" w:hAnsi="Calibri"/>
          <w:spacing w:val="-1"/>
          <w:sz w:val="20"/>
        </w:rPr>
        <w:t> </w:t>
      </w:r>
      <w:r>
        <w:rPr>
          <w:rFonts w:ascii="Calibri" w:hAnsi="Calibri"/>
          <w:sz w:val="20"/>
        </w:rPr>
        <w:t>normativas</w:t>
      </w:r>
      <w:r>
        <w:rPr>
          <w:rFonts w:ascii="Calibri" w:hAnsi="Calibri"/>
          <w:spacing w:val="-3"/>
          <w:sz w:val="20"/>
        </w:rPr>
        <w:t> </w:t>
      </w:r>
      <w:r>
        <w:rPr>
          <w:rFonts w:ascii="Calibri" w:hAnsi="Calibri"/>
          <w:sz w:val="20"/>
        </w:rPr>
        <w:t>y</w:t>
      </w:r>
      <w:r>
        <w:rPr>
          <w:rFonts w:ascii="Calibri" w:hAnsi="Calibri"/>
          <w:spacing w:val="-1"/>
          <w:sz w:val="20"/>
        </w:rPr>
        <w:t> </w:t>
      </w:r>
      <w:r>
        <w:rPr>
          <w:rFonts w:ascii="Calibri" w:hAnsi="Calibri"/>
          <w:sz w:val="20"/>
        </w:rPr>
        <w:t>de</w:t>
      </w:r>
      <w:r>
        <w:rPr>
          <w:rFonts w:ascii="Calibri" w:hAnsi="Calibri"/>
          <w:spacing w:val="-4"/>
          <w:sz w:val="20"/>
        </w:rPr>
        <w:t> </w:t>
      </w:r>
      <w:r>
        <w:rPr>
          <w:rFonts w:ascii="Calibri" w:hAnsi="Calibri"/>
          <w:sz w:val="20"/>
        </w:rPr>
        <w:t>financiación</w:t>
      </w:r>
      <w:r>
        <w:rPr>
          <w:rFonts w:ascii="Calibri" w:hAnsi="Calibri"/>
          <w:spacing w:val="-3"/>
          <w:sz w:val="20"/>
        </w:rPr>
        <w:t> </w:t>
      </w:r>
      <w:r>
        <w:rPr>
          <w:rFonts w:ascii="Calibri" w:hAnsi="Calibri"/>
          <w:sz w:val="20"/>
        </w:rPr>
        <w:t>hicieron</w:t>
      </w:r>
      <w:r>
        <w:rPr>
          <w:rFonts w:ascii="Calibri" w:hAnsi="Calibri"/>
          <w:spacing w:val="-1"/>
          <w:sz w:val="20"/>
        </w:rPr>
        <w:t> </w:t>
      </w:r>
      <w:r>
        <w:rPr>
          <w:rFonts w:ascii="Calibri" w:hAnsi="Calibri"/>
          <w:sz w:val="20"/>
        </w:rPr>
        <w:t>necesaria la adaptación del sistema de Monética, Ticketing y SAE de la EMT a nuevos requisitos técnicos y funcionales vinculados al PRTR, motivando así la modificación contractual por estricta necesidad sobrevenida.</w:t>
      </w:r>
    </w:p>
    <w:p>
      <w:pPr>
        <w:spacing w:line="256" w:lineRule="auto" w:before="147"/>
        <w:ind w:left="1925" w:right="2020" w:firstLine="0"/>
        <w:jc w:val="both"/>
        <w:rPr>
          <w:rFonts w:ascii="Calibri" w:hAnsi="Calibri"/>
          <w:sz w:val="20"/>
        </w:rPr>
      </w:pPr>
      <w:r>
        <w:rPr>
          <w:rFonts w:ascii="Calibri" w:hAnsi="Calibri"/>
          <w:sz w:val="20"/>
        </w:rPr>
        <w:t>Cabe</w:t>
      </w:r>
      <w:r>
        <w:rPr>
          <w:rFonts w:ascii="Calibri" w:hAnsi="Calibri"/>
          <w:spacing w:val="-2"/>
          <w:sz w:val="20"/>
        </w:rPr>
        <w:t> </w:t>
      </w:r>
      <w:r>
        <w:rPr>
          <w:rFonts w:ascii="Calibri" w:hAnsi="Calibri"/>
          <w:sz w:val="20"/>
        </w:rPr>
        <w:t>señalar,</w:t>
      </w:r>
      <w:r>
        <w:rPr>
          <w:rFonts w:ascii="Calibri" w:hAnsi="Calibri"/>
          <w:spacing w:val="-6"/>
          <w:sz w:val="20"/>
        </w:rPr>
        <w:t> </w:t>
      </w:r>
      <w:r>
        <w:rPr>
          <w:rFonts w:ascii="Calibri" w:hAnsi="Calibri"/>
          <w:sz w:val="20"/>
        </w:rPr>
        <w:t>además,</w:t>
      </w:r>
      <w:r>
        <w:rPr>
          <w:rFonts w:ascii="Calibri" w:hAnsi="Calibri"/>
          <w:spacing w:val="-5"/>
          <w:sz w:val="20"/>
        </w:rPr>
        <w:t> </w:t>
      </w:r>
      <w:r>
        <w:rPr>
          <w:rFonts w:ascii="Calibri" w:hAnsi="Calibri"/>
          <w:sz w:val="20"/>
        </w:rPr>
        <w:t>que</w:t>
      </w:r>
      <w:r>
        <w:rPr>
          <w:rFonts w:ascii="Calibri" w:hAnsi="Calibri"/>
          <w:spacing w:val="-9"/>
          <w:sz w:val="20"/>
        </w:rPr>
        <w:t> </w:t>
      </w:r>
      <w:r>
        <w:rPr>
          <w:rFonts w:ascii="Calibri" w:hAnsi="Calibri"/>
          <w:sz w:val="20"/>
        </w:rPr>
        <w:t>la</w:t>
      </w:r>
      <w:r>
        <w:rPr>
          <w:rFonts w:ascii="Calibri" w:hAnsi="Calibri"/>
          <w:spacing w:val="-6"/>
          <w:sz w:val="20"/>
        </w:rPr>
        <w:t> </w:t>
      </w:r>
      <w:r>
        <w:rPr>
          <w:rFonts w:ascii="Calibri" w:hAnsi="Calibri"/>
          <w:sz w:val="20"/>
        </w:rPr>
        <w:t>modificación</w:t>
      </w:r>
      <w:r>
        <w:rPr>
          <w:rFonts w:ascii="Calibri" w:hAnsi="Calibri"/>
          <w:spacing w:val="-5"/>
          <w:sz w:val="20"/>
        </w:rPr>
        <w:t> </w:t>
      </w:r>
      <w:r>
        <w:rPr>
          <w:rFonts w:ascii="Calibri" w:hAnsi="Calibri"/>
          <w:sz w:val="20"/>
        </w:rPr>
        <w:t>no</w:t>
      </w:r>
      <w:r>
        <w:rPr>
          <w:rFonts w:ascii="Calibri" w:hAnsi="Calibri"/>
          <w:spacing w:val="-4"/>
          <w:sz w:val="20"/>
        </w:rPr>
        <w:t> </w:t>
      </w:r>
      <w:r>
        <w:rPr>
          <w:rFonts w:ascii="Calibri" w:hAnsi="Calibri"/>
          <w:sz w:val="20"/>
        </w:rPr>
        <w:t>alteró</w:t>
      </w:r>
      <w:r>
        <w:rPr>
          <w:rFonts w:ascii="Calibri" w:hAnsi="Calibri"/>
          <w:spacing w:val="-4"/>
          <w:sz w:val="20"/>
        </w:rPr>
        <w:t> </w:t>
      </w:r>
      <w:r>
        <w:rPr>
          <w:rFonts w:ascii="Calibri" w:hAnsi="Calibri"/>
          <w:sz w:val="20"/>
        </w:rPr>
        <w:t>la</w:t>
      </w:r>
      <w:r>
        <w:rPr>
          <w:rFonts w:ascii="Calibri" w:hAnsi="Calibri"/>
          <w:spacing w:val="-6"/>
          <w:sz w:val="20"/>
        </w:rPr>
        <w:t> </w:t>
      </w:r>
      <w:r>
        <w:rPr>
          <w:rFonts w:ascii="Calibri" w:hAnsi="Calibri"/>
          <w:sz w:val="20"/>
        </w:rPr>
        <w:t>naturaleza</w:t>
      </w:r>
      <w:r>
        <w:rPr>
          <w:rFonts w:ascii="Calibri" w:hAnsi="Calibri"/>
          <w:spacing w:val="-8"/>
          <w:sz w:val="20"/>
        </w:rPr>
        <w:t> </w:t>
      </w:r>
      <w:r>
        <w:rPr>
          <w:rFonts w:ascii="Calibri" w:hAnsi="Calibri"/>
          <w:sz w:val="20"/>
        </w:rPr>
        <w:t>global</w:t>
      </w:r>
      <w:r>
        <w:rPr>
          <w:rFonts w:ascii="Calibri" w:hAnsi="Calibri"/>
          <w:spacing w:val="-4"/>
          <w:sz w:val="20"/>
        </w:rPr>
        <w:t> </w:t>
      </w:r>
      <w:r>
        <w:rPr>
          <w:rFonts w:ascii="Calibri" w:hAnsi="Calibri"/>
          <w:sz w:val="20"/>
        </w:rPr>
        <w:t>del</w:t>
      </w:r>
      <w:r>
        <w:rPr>
          <w:rFonts w:ascii="Calibri" w:hAnsi="Calibri"/>
          <w:spacing w:val="-7"/>
          <w:sz w:val="20"/>
        </w:rPr>
        <w:t> </w:t>
      </w:r>
      <w:r>
        <w:rPr>
          <w:rFonts w:ascii="Calibri" w:hAnsi="Calibri"/>
          <w:sz w:val="20"/>
        </w:rPr>
        <w:t>objeto</w:t>
      </w:r>
      <w:r>
        <w:rPr>
          <w:rFonts w:ascii="Calibri" w:hAnsi="Calibri"/>
          <w:spacing w:val="-6"/>
          <w:sz w:val="20"/>
        </w:rPr>
        <w:t> </w:t>
      </w:r>
      <w:r>
        <w:rPr>
          <w:rFonts w:ascii="Calibri" w:hAnsi="Calibri"/>
          <w:sz w:val="20"/>
        </w:rPr>
        <w:t>contractual (se</w:t>
      </w:r>
      <w:r>
        <w:rPr>
          <w:rFonts w:ascii="Calibri" w:hAnsi="Calibri"/>
          <w:spacing w:val="-4"/>
          <w:sz w:val="20"/>
        </w:rPr>
        <w:t> </w:t>
      </w:r>
      <w:r>
        <w:rPr>
          <w:rFonts w:ascii="Calibri" w:hAnsi="Calibri"/>
          <w:sz w:val="20"/>
        </w:rPr>
        <w:t>mantuvo</w:t>
      </w:r>
      <w:r>
        <w:rPr>
          <w:rFonts w:ascii="Calibri" w:hAnsi="Calibri"/>
          <w:spacing w:val="-4"/>
          <w:sz w:val="20"/>
        </w:rPr>
        <w:t> </w:t>
      </w:r>
      <w:r>
        <w:rPr>
          <w:rFonts w:ascii="Calibri" w:hAnsi="Calibri"/>
          <w:sz w:val="20"/>
        </w:rPr>
        <w:t>el</w:t>
      </w:r>
      <w:r>
        <w:rPr>
          <w:rFonts w:ascii="Calibri" w:hAnsi="Calibri"/>
          <w:spacing w:val="-5"/>
          <w:sz w:val="20"/>
        </w:rPr>
        <w:t> </w:t>
      </w:r>
      <w:r>
        <w:rPr>
          <w:rFonts w:ascii="Calibri" w:hAnsi="Calibri"/>
          <w:sz w:val="20"/>
        </w:rPr>
        <w:t>mismo</w:t>
      </w:r>
      <w:r>
        <w:rPr>
          <w:rFonts w:ascii="Calibri" w:hAnsi="Calibri"/>
          <w:spacing w:val="-4"/>
          <w:sz w:val="20"/>
        </w:rPr>
        <w:t> </w:t>
      </w:r>
      <w:r>
        <w:rPr>
          <w:rFonts w:ascii="Calibri" w:hAnsi="Calibri"/>
          <w:sz w:val="20"/>
        </w:rPr>
        <w:t>sistema</w:t>
      </w:r>
      <w:r>
        <w:rPr>
          <w:rFonts w:ascii="Calibri" w:hAnsi="Calibri"/>
          <w:spacing w:val="-4"/>
          <w:sz w:val="20"/>
        </w:rPr>
        <w:t> </w:t>
      </w:r>
      <w:r>
        <w:rPr>
          <w:rFonts w:ascii="Calibri" w:hAnsi="Calibri"/>
          <w:sz w:val="20"/>
        </w:rPr>
        <w:t>de</w:t>
      </w:r>
      <w:r>
        <w:rPr>
          <w:rFonts w:ascii="Calibri" w:hAnsi="Calibri"/>
          <w:spacing w:val="-5"/>
          <w:sz w:val="20"/>
        </w:rPr>
        <w:t> </w:t>
      </w:r>
      <w:r>
        <w:rPr>
          <w:rFonts w:ascii="Calibri" w:hAnsi="Calibri"/>
          <w:sz w:val="20"/>
        </w:rPr>
        <w:t>billetaje</w:t>
      </w:r>
      <w:r>
        <w:rPr>
          <w:rFonts w:ascii="Calibri" w:hAnsi="Calibri"/>
          <w:spacing w:val="-4"/>
          <w:sz w:val="20"/>
        </w:rPr>
        <w:t> </w:t>
      </w:r>
      <w:r>
        <w:rPr>
          <w:rFonts w:ascii="Calibri" w:hAnsi="Calibri"/>
          <w:sz w:val="20"/>
        </w:rPr>
        <w:t>y</w:t>
      </w:r>
      <w:r>
        <w:rPr>
          <w:rFonts w:ascii="Calibri" w:hAnsi="Calibri"/>
          <w:spacing w:val="-6"/>
          <w:sz w:val="20"/>
        </w:rPr>
        <w:t> </w:t>
      </w:r>
      <w:r>
        <w:rPr>
          <w:rFonts w:ascii="Calibri" w:hAnsi="Calibri"/>
          <w:sz w:val="20"/>
        </w:rPr>
        <w:t>gestión</w:t>
      </w:r>
      <w:r>
        <w:rPr>
          <w:rFonts w:ascii="Calibri" w:hAnsi="Calibri"/>
          <w:spacing w:val="-6"/>
          <w:sz w:val="20"/>
        </w:rPr>
        <w:t> </w:t>
      </w:r>
      <w:r>
        <w:rPr>
          <w:rFonts w:ascii="Calibri" w:hAnsi="Calibri"/>
          <w:sz w:val="20"/>
        </w:rPr>
        <w:t>de</w:t>
      </w:r>
      <w:r>
        <w:rPr>
          <w:rFonts w:ascii="Calibri" w:hAnsi="Calibri"/>
          <w:spacing w:val="-2"/>
          <w:sz w:val="20"/>
        </w:rPr>
        <w:t> </w:t>
      </w:r>
      <w:r>
        <w:rPr>
          <w:rFonts w:ascii="Calibri" w:hAnsi="Calibri"/>
          <w:sz w:val="20"/>
        </w:rPr>
        <w:t>flota,</w:t>
      </w:r>
      <w:r>
        <w:rPr>
          <w:rFonts w:ascii="Calibri" w:hAnsi="Calibri"/>
          <w:spacing w:val="-6"/>
          <w:sz w:val="20"/>
        </w:rPr>
        <w:t> </w:t>
      </w:r>
      <w:r>
        <w:rPr>
          <w:rFonts w:ascii="Calibri" w:hAnsi="Calibri"/>
          <w:sz w:val="20"/>
        </w:rPr>
        <w:t>ampliando</w:t>
      </w:r>
      <w:r>
        <w:rPr>
          <w:rFonts w:ascii="Calibri" w:hAnsi="Calibri"/>
          <w:spacing w:val="-3"/>
          <w:sz w:val="20"/>
        </w:rPr>
        <w:t> </w:t>
      </w:r>
      <w:r>
        <w:rPr>
          <w:rFonts w:ascii="Calibri" w:hAnsi="Calibri"/>
          <w:sz w:val="20"/>
        </w:rPr>
        <w:t>sus</w:t>
      </w:r>
      <w:r>
        <w:rPr>
          <w:rFonts w:ascii="Calibri" w:hAnsi="Calibri"/>
          <w:spacing w:val="-7"/>
          <w:sz w:val="20"/>
        </w:rPr>
        <w:t> </w:t>
      </w:r>
      <w:r>
        <w:rPr>
          <w:rFonts w:ascii="Calibri" w:hAnsi="Calibri"/>
          <w:sz w:val="20"/>
        </w:rPr>
        <w:t>funcionalidades),</w:t>
      </w:r>
      <w:r>
        <w:rPr>
          <w:rFonts w:ascii="Calibri" w:hAnsi="Calibri"/>
          <w:spacing w:val="-6"/>
          <w:sz w:val="20"/>
        </w:rPr>
        <w:t> </w:t>
      </w:r>
      <w:r>
        <w:rPr>
          <w:rFonts w:ascii="Calibri" w:hAnsi="Calibri"/>
          <w:sz w:val="20"/>
        </w:rPr>
        <w:t>y su cuantía adicional (683.839,50</w:t>
      </w:r>
      <w:r>
        <w:rPr>
          <w:rFonts w:ascii="Calibri" w:hAnsi="Calibri"/>
          <w:spacing w:val="-5"/>
          <w:sz w:val="20"/>
        </w:rPr>
        <w:t> </w:t>
      </w:r>
      <w:r>
        <w:rPr>
          <w:rFonts w:ascii="Calibri" w:hAnsi="Calibri"/>
          <w:sz w:val="20"/>
        </w:rPr>
        <w:t>€) representó aproximadamente un 18</w:t>
      </w:r>
      <w:r>
        <w:rPr>
          <w:rFonts w:ascii="Calibri" w:hAnsi="Calibri"/>
          <w:spacing w:val="-8"/>
          <w:sz w:val="20"/>
        </w:rPr>
        <w:t> </w:t>
      </w:r>
      <w:r>
        <w:rPr>
          <w:rFonts w:ascii="Calibri" w:hAnsi="Calibri"/>
          <w:sz w:val="20"/>
        </w:rPr>
        <w:t>% del precio primitivo adjudicado en 2019 (3.800.106,94</w:t>
      </w:r>
      <w:r>
        <w:rPr>
          <w:rFonts w:ascii="Calibri" w:hAnsi="Calibri"/>
          <w:spacing w:val="-2"/>
          <w:sz w:val="20"/>
        </w:rPr>
        <w:t> </w:t>
      </w:r>
      <w:r>
        <w:rPr>
          <w:rFonts w:ascii="Calibri" w:hAnsi="Calibri"/>
          <w:sz w:val="20"/>
        </w:rPr>
        <w:t>€, IVA excluido), porcentaje muy inferior al límite legal del 50</w:t>
      </w:r>
      <w:r>
        <w:rPr>
          <w:rFonts w:ascii="Calibri" w:hAnsi="Calibri"/>
          <w:spacing w:val="-7"/>
          <w:sz w:val="20"/>
        </w:rPr>
        <w:t> </w:t>
      </w:r>
      <w:r>
        <w:rPr>
          <w:rFonts w:ascii="Calibri" w:hAnsi="Calibri"/>
          <w:sz w:val="20"/>
        </w:rPr>
        <w:t>% previsto en el art.</w:t>
      </w:r>
      <w:r>
        <w:rPr>
          <w:rFonts w:ascii="Calibri" w:hAnsi="Calibri"/>
          <w:spacing w:val="-9"/>
          <w:sz w:val="20"/>
        </w:rPr>
        <w:t> </w:t>
      </w:r>
      <w:r>
        <w:rPr>
          <w:rFonts w:ascii="Calibri" w:hAnsi="Calibri"/>
          <w:sz w:val="20"/>
        </w:rPr>
        <w:t>205.2.b) LCSP para este tipo de modificaciones. En consecuencia, la legalidad</w:t>
      </w:r>
      <w:r>
        <w:rPr>
          <w:rFonts w:ascii="Calibri" w:hAnsi="Calibri"/>
          <w:spacing w:val="-9"/>
          <w:sz w:val="20"/>
        </w:rPr>
        <w:t> </w:t>
      </w:r>
      <w:r>
        <w:rPr>
          <w:rFonts w:ascii="Calibri" w:hAnsi="Calibri"/>
          <w:sz w:val="20"/>
        </w:rPr>
        <w:t>de</w:t>
      </w:r>
      <w:r>
        <w:rPr>
          <w:rFonts w:ascii="Calibri" w:hAnsi="Calibri"/>
          <w:spacing w:val="-5"/>
          <w:sz w:val="20"/>
        </w:rPr>
        <w:t> </w:t>
      </w:r>
      <w:r>
        <w:rPr>
          <w:rFonts w:ascii="Calibri" w:hAnsi="Calibri"/>
          <w:sz w:val="20"/>
        </w:rPr>
        <w:t>la</w:t>
      </w:r>
      <w:r>
        <w:rPr>
          <w:rFonts w:ascii="Calibri" w:hAnsi="Calibri"/>
          <w:spacing w:val="-8"/>
          <w:sz w:val="20"/>
        </w:rPr>
        <w:t> </w:t>
      </w:r>
      <w:r>
        <w:rPr>
          <w:rFonts w:ascii="Calibri" w:hAnsi="Calibri"/>
          <w:sz w:val="20"/>
        </w:rPr>
        <w:t>modificación</w:t>
      </w:r>
      <w:r>
        <w:rPr>
          <w:rFonts w:ascii="Calibri" w:hAnsi="Calibri"/>
          <w:spacing w:val="-7"/>
          <w:sz w:val="20"/>
        </w:rPr>
        <w:t> </w:t>
      </w:r>
      <w:r>
        <w:rPr>
          <w:rFonts w:ascii="Calibri" w:hAnsi="Calibri"/>
          <w:sz w:val="20"/>
        </w:rPr>
        <w:t>queda</w:t>
      </w:r>
      <w:r>
        <w:rPr>
          <w:rFonts w:ascii="Calibri" w:hAnsi="Calibri"/>
          <w:spacing w:val="-5"/>
          <w:sz w:val="20"/>
        </w:rPr>
        <w:t> </w:t>
      </w:r>
      <w:r>
        <w:rPr>
          <w:rFonts w:ascii="Calibri" w:hAnsi="Calibri"/>
          <w:sz w:val="20"/>
        </w:rPr>
        <w:t>plenamente</w:t>
      </w:r>
      <w:r>
        <w:rPr>
          <w:rFonts w:ascii="Calibri" w:hAnsi="Calibri"/>
          <w:spacing w:val="-7"/>
          <w:sz w:val="20"/>
        </w:rPr>
        <w:t> </w:t>
      </w:r>
      <w:r>
        <w:rPr>
          <w:rFonts w:ascii="Calibri" w:hAnsi="Calibri"/>
          <w:sz w:val="20"/>
        </w:rPr>
        <w:t>justificada</w:t>
      </w:r>
      <w:r>
        <w:rPr>
          <w:rFonts w:ascii="Calibri" w:hAnsi="Calibri"/>
          <w:spacing w:val="-6"/>
          <w:sz w:val="20"/>
        </w:rPr>
        <w:t> </w:t>
      </w:r>
      <w:r>
        <w:rPr>
          <w:rFonts w:ascii="Calibri" w:hAnsi="Calibri"/>
          <w:sz w:val="20"/>
        </w:rPr>
        <w:t>tanto</w:t>
      </w:r>
      <w:r>
        <w:rPr>
          <w:rFonts w:ascii="Calibri" w:hAnsi="Calibri"/>
          <w:spacing w:val="-5"/>
          <w:sz w:val="20"/>
        </w:rPr>
        <w:t> </w:t>
      </w:r>
      <w:r>
        <w:rPr>
          <w:rFonts w:ascii="Calibri" w:hAnsi="Calibri"/>
          <w:sz w:val="20"/>
        </w:rPr>
        <w:t>en</w:t>
      </w:r>
      <w:r>
        <w:rPr>
          <w:rFonts w:ascii="Calibri" w:hAnsi="Calibri"/>
          <w:spacing w:val="-5"/>
          <w:sz w:val="20"/>
        </w:rPr>
        <w:t> </w:t>
      </w:r>
      <w:r>
        <w:rPr>
          <w:rFonts w:ascii="Calibri" w:hAnsi="Calibri"/>
          <w:sz w:val="20"/>
        </w:rPr>
        <w:t>su</w:t>
      </w:r>
      <w:r>
        <w:rPr>
          <w:rFonts w:ascii="Calibri" w:hAnsi="Calibri"/>
          <w:spacing w:val="-9"/>
          <w:sz w:val="20"/>
        </w:rPr>
        <w:t> </w:t>
      </w:r>
      <w:r>
        <w:rPr>
          <w:rFonts w:ascii="Calibri" w:hAnsi="Calibri"/>
          <w:sz w:val="20"/>
        </w:rPr>
        <w:t>causa</w:t>
      </w:r>
      <w:r>
        <w:rPr>
          <w:rFonts w:ascii="Calibri" w:hAnsi="Calibri"/>
          <w:spacing w:val="-7"/>
          <w:sz w:val="20"/>
        </w:rPr>
        <w:t> </w:t>
      </w:r>
      <w:r>
        <w:rPr>
          <w:rFonts w:ascii="Calibri" w:hAnsi="Calibri"/>
          <w:sz w:val="20"/>
        </w:rPr>
        <w:t>(imprevisibilidad</w:t>
      </w:r>
      <w:r>
        <w:rPr>
          <w:rFonts w:ascii="Calibri" w:hAnsi="Calibri"/>
          <w:spacing w:val="-9"/>
          <w:sz w:val="20"/>
        </w:rPr>
        <w:t> </w:t>
      </w:r>
      <w:r>
        <w:rPr>
          <w:rFonts w:ascii="Calibri" w:hAnsi="Calibri"/>
          <w:sz w:val="20"/>
        </w:rPr>
        <w:t>y necesidad) como en su cuantía y alcance, conforme a la LCSP.</w:t>
      </w:r>
    </w:p>
    <w:p>
      <w:pPr>
        <w:spacing w:line="256" w:lineRule="auto" w:before="147"/>
        <w:ind w:left="1925" w:right="2021" w:firstLine="0"/>
        <w:jc w:val="both"/>
        <w:rPr>
          <w:rFonts w:ascii="Calibri" w:hAnsi="Calibri"/>
          <w:sz w:val="20"/>
        </w:rPr>
      </w:pPr>
      <w:r>
        <w:rPr>
          <w:rFonts w:ascii="Calibri" w:hAnsi="Calibri"/>
          <w:sz w:val="20"/>
        </w:rPr>
        <w:t>2º Respecto a la </w:t>
      </w:r>
      <w:r>
        <w:rPr>
          <w:rFonts w:ascii="Calibri" w:hAnsi="Calibri"/>
          <w:sz w:val="20"/>
          <w:u w:val="single"/>
        </w:rPr>
        <w:t>justificación técnico-funcional</w:t>
      </w:r>
      <w:r>
        <w:rPr>
          <w:rFonts w:ascii="Calibri" w:hAnsi="Calibri"/>
          <w:sz w:val="20"/>
          <w:u w:val="none"/>
        </w:rPr>
        <w:t> de la ampliación de terminales del sistema discrepamos,</w:t>
      </w:r>
      <w:r>
        <w:rPr>
          <w:rFonts w:ascii="Calibri" w:hAnsi="Calibri"/>
          <w:spacing w:val="-7"/>
          <w:sz w:val="20"/>
          <w:u w:val="none"/>
        </w:rPr>
        <w:t> </w:t>
      </w:r>
      <w:r>
        <w:rPr>
          <w:rFonts w:ascii="Calibri" w:hAnsi="Calibri"/>
          <w:sz w:val="20"/>
          <w:u w:val="none"/>
        </w:rPr>
        <w:t>con</w:t>
      </w:r>
      <w:r>
        <w:rPr>
          <w:rFonts w:ascii="Calibri" w:hAnsi="Calibri"/>
          <w:spacing w:val="-5"/>
          <w:sz w:val="20"/>
          <w:u w:val="none"/>
        </w:rPr>
        <w:t> </w:t>
      </w:r>
      <w:r>
        <w:rPr>
          <w:rFonts w:ascii="Calibri" w:hAnsi="Calibri"/>
          <w:sz w:val="20"/>
          <w:u w:val="none"/>
        </w:rPr>
        <w:t>todos</w:t>
      </w:r>
      <w:r>
        <w:rPr>
          <w:rFonts w:ascii="Calibri" w:hAnsi="Calibri"/>
          <w:spacing w:val="-7"/>
          <w:sz w:val="20"/>
          <w:u w:val="none"/>
        </w:rPr>
        <w:t> </w:t>
      </w:r>
      <w:r>
        <w:rPr>
          <w:rFonts w:ascii="Calibri" w:hAnsi="Calibri"/>
          <w:sz w:val="20"/>
          <w:u w:val="none"/>
        </w:rPr>
        <w:t>los</w:t>
      </w:r>
      <w:r>
        <w:rPr>
          <w:rFonts w:ascii="Calibri" w:hAnsi="Calibri"/>
          <w:spacing w:val="-7"/>
          <w:sz w:val="20"/>
          <w:u w:val="none"/>
        </w:rPr>
        <w:t> </w:t>
      </w:r>
      <w:r>
        <w:rPr>
          <w:rFonts w:ascii="Calibri" w:hAnsi="Calibri"/>
          <w:sz w:val="20"/>
          <w:u w:val="none"/>
        </w:rPr>
        <w:t>respetos,</w:t>
      </w:r>
      <w:r>
        <w:rPr>
          <w:rFonts w:ascii="Calibri" w:hAnsi="Calibri"/>
          <w:spacing w:val="-2"/>
          <w:sz w:val="20"/>
          <w:u w:val="none"/>
        </w:rPr>
        <w:t> </w:t>
      </w:r>
      <w:r>
        <w:rPr>
          <w:rFonts w:ascii="Calibri" w:hAnsi="Calibri"/>
          <w:sz w:val="20"/>
          <w:u w:val="none"/>
        </w:rPr>
        <w:t>en</w:t>
      </w:r>
      <w:r>
        <w:rPr>
          <w:rFonts w:ascii="Calibri" w:hAnsi="Calibri"/>
          <w:spacing w:val="-3"/>
          <w:sz w:val="20"/>
          <w:u w:val="none"/>
        </w:rPr>
        <w:t> </w:t>
      </w:r>
      <w:r>
        <w:rPr>
          <w:rFonts w:ascii="Calibri" w:hAnsi="Calibri"/>
          <w:sz w:val="20"/>
          <w:u w:val="none"/>
        </w:rPr>
        <w:t>cuanto</w:t>
      </w:r>
      <w:r>
        <w:rPr>
          <w:rFonts w:ascii="Calibri" w:hAnsi="Calibri"/>
          <w:spacing w:val="-3"/>
          <w:sz w:val="20"/>
          <w:u w:val="none"/>
        </w:rPr>
        <w:t> </w:t>
      </w:r>
      <w:r>
        <w:rPr>
          <w:rFonts w:ascii="Calibri" w:hAnsi="Calibri"/>
          <w:sz w:val="20"/>
          <w:u w:val="none"/>
        </w:rPr>
        <w:t>a</w:t>
      </w:r>
      <w:r>
        <w:rPr>
          <w:rFonts w:ascii="Calibri" w:hAnsi="Calibri"/>
          <w:spacing w:val="-3"/>
          <w:sz w:val="20"/>
          <w:u w:val="none"/>
        </w:rPr>
        <w:t> </w:t>
      </w:r>
      <w:r>
        <w:rPr>
          <w:rFonts w:ascii="Calibri" w:hAnsi="Calibri"/>
          <w:sz w:val="20"/>
          <w:u w:val="none"/>
        </w:rPr>
        <w:t>la</w:t>
      </w:r>
      <w:r>
        <w:rPr>
          <w:rFonts w:ascii="Calibri" w:hAnsi="Calibri"/>
          <w:spacing w:val="-5"/>
          <w:sz w:val="20"/>
          <w:u w:val="none"/>
        </w:rPr>
        <w:t> </w:t>
      </w:r>
      <w:r>
        <w:rPr>
          <w:rFonts w:ascii="Calibri" w:hAnsi="Calibri"/>
          <w:sz w:val="20"/>
          <w:u w:val="none"/>
        </w:rPr>
        <w:t>apreciación</w:t>
      </w:r>
      <w:r>
        <w:rPr>
          <w:rFonts w:ascii="Calibri" w:hAnsi="Calibri"/>
          <w:spacing w:val="-7"/>
          <w:sz w:val="20"/>
          <w:u w:val="none"/>
        </w:rPr>
        <w:t> </w:t>
      </w:r>
      <w:r>
        <w:rPr>
          <w:rFonts w:ascii="Calibri" w:hAnsi="Calibri"/>
          <w:sz w:val="20"/>
          <w:u w:val="none"/>
        </w:rPr>
        <w:t>del</w:t>
      </w:r>
      <w:r>
        <w:rPr>
          <w:rFonts w:ascii="Calibri" w:hAnsi="Calibri"/>
          <w:spacing w:val="-3"/>
          <w:sz w:val="20"/>
          <w:u w:val="none"/>
        </w:rPr>
        <w:t> </w:t>
      </w:r>
      <w:r>
        <w:rPr>
          <w:rFonts w:ascii="Calibri" w:hAnsi="Calibri"/>
          <w:sz w:val="20"/>
          <w:u w:val="none"/>
        </w:rPr>
        <w:t>Tribunal</w:t>
      </w:r>
      <w:r>
        <w:rPr>
          <w:rFonts w:ascii="Calibri" w:hAnsi="Calibri"/>
          <w:spacing w:val="-6"/>
          <w:sz w:val="20"/>
          <w:u w:val="none"/>
        </w:rPr>
        <w:t> </w:t>
      </w:r>
      <w:r>
        <w:rPr>
          <w:rFonts w:ascii="Calibri" w:hAnsi="Calibri"/>
          <w:sz w:val="20"/>
          <w:u w:val="none"/>
        </w:rPr>
        <w:t>de</w:t>
      </w:r>
      <w:r>
        <w:rPr>
          <w:rFonts w:ascii="Calibri" w:hAnsi="Calibri"/>
          <w:spacing w:val="-5"/>
          <w:sz w:val="20"/>
          <w:u w:val="none"/>
        </w:rPr>
        <w:t> </w:t>
      </w:r>
      <w:r>
        <w:rPr>
          <w:rFonts w:ascii="Calibri" w:hAnsi="Calibri"/>
          <w:sz w:val="20"/>
          <w:u w:val="none"/>
        </w:rPr>
        <w:t>Cuentas</w:t>
      </w:r>
      <w:r>
        <w:rPr>
          <w:rFonts w:ascii="Calibri" w:hAnsi="Calibri"/>
          <w:spacing w:val="-7"/>
          <w:sz w:val="20"/>
          <w:u w:val="none"/>
        </w:rPr>
        <w:t> </w:t>
      </w:r>
      <w:r>
        <w:rPr>
          <w:rFonts w:ascii="Calibri" w:hAnsi="Calibri"/>
          <w:sz w:val="20"/>
          <w:u w:val="none"/>
        </w:rPr>
        <w:t>acerca de una supuesta falta de motivación en la ampliación del número de terminales del sistema.</w:t>
      </w:r>
    </w:p>
    <w:p>
      <w:pPr>
        <w:spacing w:line="256" w:lineRule="auto" w:before="145"/>
        <w:ind w:left="1925" w:right="2019" w:firstLine="0"/>
        <w:jc w:val="both"/>
        <w:rPr>
          <w:rFonts w:ascii="Calibri" w:hAnsi="Calibri"/>
          <w:sz w:val="20"/>
        </w:rPr>
      </w:pPr>
      <w:r>
        <w:rPr>
          <w:rFonts w:ascii="Calibri" w:hAnsi="Calibri"/>
          <w:sz w:val="20"/>
        </w:rPr>
        <w:t>Como</w:t>
      </w:r>
      <w:r>
        <w:rPr>
          <w:rFonts w:ascii="Calibri" w:hAnsi="Calibri"/>
          <w:spacing w:val="-5"/>
          <w:sz w:val="20"/>
        </w:rPr>
        <w:t> </w:t>
      </w:r>
      <w:r>
        <w:rPr>
          <w:rFonts w:ascii="Calibri" w:hAnsi="Calibri"/>
          <w:sz w:val="20"/>
        </w:rPr>
        <w:t>se</w:t>
      </w:r>
      <w:r>
        <w:rPr>
          <w:rFonts w:ascii="Calibri" w:hAnsi="Calibri"/>
          <w:spacing w:val="-5"/>
          <w:sz w:val="20"/>
        </w:rPr>
        <w:t> </w:t>
      </w:r>
      <w:r>
        <w:rPr>
          <w:rFonts w:ascii="Calibri" w:hAnsi="Calibri"/>
          <w:sz w:val="20"/>
        </w:rPr>
        <w:t>desprende</w:t>
      </w:r>
      <w:r>
        <w:rPr>
          <w:rFonts w:ascii="Calibri" w:hAnsi="Calibri"/>
          <w:spacing w:val="-4"/>
          <w:sz w:val="20"/>
        </w:rPr>
        <w:t> </w:t>
      </w:r>
      <w:r>
        <w:rPr>
          <w:rFonts w:ascii="Calibri" w:hAnsi="Calibri"/>
          <w:sz w:val="20"/>
        </w:rPr>
        <w:t>del</w:t>
      </w:r>
      <w:r>
        <w:rPr>
          <w:rFonts w:ascii="Calibri" w:hAnsi="Calibri"/>
          <w:spacing w:val="-5"/>
          <w:sz w:val="20"/>
        </w:rPr>
        <w:t> </w:t>
      </w:r>
      <w:r>
        <w:rPr>
          <w:rFonts w:ascii="Calibri" w:hAnsi="Calibri"/>
          <w:sz w:val="20"/>
        </w:rPr>
        <w:t>contenido</w:t>
      </w:r>
      <w:r>
        <w:rPr>
          <w:rFonts w:ascii="Calibri" w:hAnsi="Calibri"/>
          <w:spacing w:val="-2"/>
          <w:sz w:val="20"/>
        </w:rPr>
        <w:t> </w:t>
      </w:r>
      <w:r>
        <w:rPr>
          <w:rFonts w:ascii="Calibri" w:hAnsi="Calibri"/>
          <w:sz w:val="20"/>
        </w:rPr>
        <w:t>del</w:t>
      </w:r>
      <w:r>
        <w:rPr>
          <w:rFonts w:ascii="Calibri" w:hAnsi="Calibri"/>
          <w:spacing w:val="-7"/>
          <w:sz w:val="20"/>
        </w:rPr>
        <w:t> </w:t>
      </w:r>
      <w:r>
        <w:rPr>
          <w:rFonts w:ascii="Calibri" w:hAnsi="Calibri"/>
          <w:sz w:val="20"/>
        </w:rPr>
        <w:t>expediente</w:t>
      </w:r>
      <w:r>
        <w:rPr>
          <w:rFonts w:ascii="Calibri" w:hAnsi="Calibri"/>
          <w:spacing w:val="-6"/>
          <w:sz w:val="20"/>
        </w:rPr>
        <w:t> </w:t>
      </w:r>
      <w:r>
        <w:rPr>
          <w:rFonts w:ascii="Calibri" w:hAnsi="Calibri"/>
          <w:sz w:val="20"/>
        </w:rPr>
        <w:t>tramitado</w:t>
      </w:r>
      <w:r>
        <w:rPr>
          <w:rFonts w:ascii="Calibri" w:hAnsi="Calibri"/>
          <w:spacing w:val="-2"/>
          <w:sz w:val="20"/>
        </w:rPr>
        <w:t> </w:t>
      </w:r>
      <w:r>
        <w:rPr>
          <w:rFonts w:ascii="Calibri" w:hAnsi="Calibri"/>
          <w:sz w:val="20"/>
        </w:rPr>
        <w:t>al</w:t>
      </w:r>
      <w:r>
        <w:rPr>
          <w:rFonts w:ascii="Calibri" w:hAnsi="Calibri"/>
          <w:spacing w:val="-5"/>
          <w:sz w:val="20"/>
        </w:rPr>
        <w:t> </w:t>
      </w:r>
      <w:r>
        <w:rPr>
          <w:rFonts w:ascii="Calibri" w:hAnsi="Calibri"/>
          <w:sz w:val="20"/>
        </w:rPr>
        <w:t>efecto,</w:t>
      </w:r>
      <w:r>
        <w:rPr>
          <w:rFonts w:ascii="Calibri" w:hAnsi="Calibri"/>
          <w:spacing w:val="-4"/>
          <w:sz w:val="20"/>
        </w:rPr>
        <w:t> </w:t>
      </w:r>
      <w:r>
        <w:rPr>
          <w:rFonts w:ascii="Calibri" w:hAnsi="Calibri"/>
          <w:sz w:val="20"/>
        </w:rPr>
        <w:t>dicha</w:t>
      </w:r>
      <w:r>
        <w:rPr>
          <w:rFonts w:ascii="Calibri" w:hAnsi="Calibri"/>
          <w:spacing w:val="-4"/>
          <w:sz w:val="20"/>
        </w:rPr>
        <w:t> </w:t>
      </w:r>
      <w:r>
        <w:rPr>
          <w:rFonts w:ascii="Calibri" w:hAnsi="Calibri"/>
          <w:sz w:val="20"/>
        </w:rPr>
        <w:t>ampliación</w:t>
      </w:r>
      <w:r>
        <w:rPr>
          <w:rFonts w:ascii="Calibri" w:hAnsi="Calibri"/>
          <w:spacing w:val="-6"/>
          <w:sz w:val="20"/>
        </w:rPr>
        <w:t> </w:t>
      </w:r>
      <w:r>
        <w:rPr>
          <w:rFonts w:ascii="Calibri" w:hAnsi="Calibri"/>
          <w:sz w:val="20"/>
        </w:rPr>
        <w:t>estuvo plenamente justificada por exigencias técnicas, funcionales y de interoperabilidad del sistema de validación y medios de pago que no estaban cubiertas por la configuración inicial del contrato.</w:t>
      </w:r>
      <w:r>
        <w:rPr>
          <w:rFonts w:ascii="Calibri" w:hAnsi="Calibri"/>
          <w:spacing w:val="-11"/>
          <w:sz w:val="20"/>
        </w:rPr>
        <w:t> </w:t>
      </w:r>
      <w:r>
        <w:rPr>
          <w:rFonts w:ascii="Calibri" w:hAnsi="Calibri"/>
          <w:sz w:val="20"/>
        </w:rPr>
        <w:t>Así,</w:t>
      </w:r>
      <w:r>
        <w:rPr>
          <w:rFonts w:ascii="Calibri" w:hAnsi="Calibri"/>
          <w:spacing w:val="-10"/>
          <w:sz w:val="20"/>
        </w:rPr>
        <w:t> </w:t>
      </w:r>
      <w:r>
        <w:rPr>
          <w:rFonts w:ascii="Calibri" w:hAnsi="Calibri"/>
          <w:sz w:val="20"/>
        </w:rPr>
        <w:t>en</w:t>
      </w:r>
      <w:r>
        <w:rPr>
          <w:rFonts w:ascii="Calibri" w:hAnsi="Calibri"/>
          <w:spacing w:val="-11"/>
          <w:sz w:val="20"/>
        </w:rPr>
        <w:t> </w:t>
      </w:r>
      <w:r>
        <w:rPr>
          <w:rFonts w:ascii="Calibri" w:hAnsi="Calibri"/>
          <w:sz w:val="20"/>
        </w:rPr>
        <w:t>el</w:t>
      </w:r>
      <w:r>
        <w:rPr>
          <w:rFonts w:ascii="Calibri" w:hAnsi="Calibri"/>
          <w:spacing w:val="-11"/>
          <w:sz w:val="20"/>
        </w:rPr>
        <w:t> </w:t>
      </w:r>
      <w:r>
        <w:rPr>
          <w:rFonts w:ascii="Calibri" w:hAnsi="Calibri"/>
          <w:sz w:val="20"/>
        </w:rPr>
        <w:t>desarrollo</w:t>
      </w:r>
      <w:r>
        <w:rPr>
          <w:rFonts w:ascii="Calibri" w:hAnsi="Calibri"/>
          <w:spacing w:val="-9"/>
          <w:sz w:val="20"/>
        </w:rPr>
        <w:t> </w:t>
      </w:r>
      <w:r>
        <w:rPr>
          <w:rFonts w:ascii="Calibri" w:hAnsi="Calibri"/>
          <w:sz w:val="20"/>
        </w:rPr>
        <w:t>técnico</w:t>
      </w:r>
      <w:r>
        <w:rPr>
          <w:rFonts w:ascii="Calibri" w:hAnsi="Calibri"/>
          <w:spacing w:val="-9"/>
          <w:sz w:val="20"/>
        </w:rPr>
        <w:t> </w:t>
      </w:r>
      <w:r>
        <w:rPr>
          <w:rFonts w:ascii="Calibri" w:hAnsi="Calibri"/>
          <w:sz w:val="20"/>
        </w:rPr>
        <w:t>del</w:t>
      </w:r>
      <w:r>
        <w:rPr>
          <w:rFonts w:ascii="Calibri" w:hAnsi="Calibri"/>
          <w:spacing w:val="-10"/>
          <w:sz w:val="20"/>
        </w:rPr>
        <w:t> </w:t>
      </w:r>
      <w:r>
        <w:rPr>
          <w:rFonts w:ascii="Calibri" w:hAnsi="Calibri"/>
          <w:sz w:val="20"/>
        </w:rPr>
        <w:t>proyecto</w:t>
      </w:r>
      <w:r>
        <w:rPr>
          <w:rFonts w:ascii="Calibri" w:hAnsi="Calibri"/>
          <w:spacing w:val="-9"/>
          <w:sz w:val="20"/>
        </w:rPr>
        <w:t> </w:t>
      </w:r>
      <w:r>
        <w:rPr>
          <w:rFonts w:ascii="Calibri" w:hAnsi="Calibri"/>
          <w:sz w:val="20"/>
        </w:rPr>
        <w:t>(particularmente</w:t>
      </w:r>
      <w:r>
        <w:rPr>
          <w:rFonts w:ascii="Calibri" w:hAnsi="Calibri"/>
          <w:spacing w:val="-8"/>
          <w:sz w:val="20"/>
        </w:rPr>
        <w:t> </w:t>
      </w:r>
      <w:r>
        <w:rPr>
          <w:rFonts w:ascii="Calibri" w:hAnsi="Calibri"/>
          <w:sz w:val="20"/>
        </w:rPr>
        <w:t>tras</w:t>
      </w:r>
      <w:r>
        <w:rPr>
          <w:rFonts w:ascii="Calibri" w:hAnsi="Calibri"/>
          <w:spacing w:val="-8"/>
          <w:sz w:val="20"/>
        </w:rPr>
        <w:t> </w:t>
      </w:r>
      <w:r>
        <w:rPr>
          <w:rFonts w:ascii="Calibri" w:hAnsi="Calibri"/>
          <w:sz w:val="20"/>
        </w:rPr>
        <w:t>la</w:t>
      </w:r>
      <w:r>
        <w:rPr>
          <w:rFonts w:ascii="Calibri" w:hAnsi="Calibri"/>
          <w:spacing w:val="-8"/>
          <w:sz w:val="20"/>
        </w:rPr>
        <w:t> </w:t>
      </w:r>
      <w:r>
        <w:rPr>
          <w:rFonts w:ascii="Calibri" w:hAnsi="Calibri"/>
          <w:sz w:val="20"/>
        </w:rPr>
        <w:t>incorporación</w:t>
      </w:r>
      <w:r>
        <w:rPr>
          <w:rFonts w:ascii="Calibri" w:hAnsi="Calibri"/>
          <w:spacing w:val="-11"/>
          <w:sz w:val="20"/>
        </w:rPr>
        <w:t> </w:t>
      </w:r>
      <w:r>
        <w:rPr>
          <w:rFonts w:ascii="Calibri" w:hAnsi="Calibri"/>
          <w:sz w:val="20"/>
        </w:rPr>
        <w:t>de</w:t>
      </w:r>
      <w:r>
        <w:rPr>
          <w:rFonts w:ascii="Calibri" w:hAnsi="Calibri"/>
          <w:spacing w:val="-8"/>
          <w:sz w:val="20"/>
        </w:rPr>
        <w:t> </w:t>
      </w:r>
      <w:r>
        <w:rPr>
          <w:rFonts w:ascii="Calibri" w:hAnsi="Calibri"/>
          <w:sz w:val="20"/>
        </w:rPr>
        <w:t>los objetivos</w:t>
      </w:r>
      <w:r>
        <w:rPr>
          <w:rFonts w:ascii="Calibri" w:hAnsi="Calibri"/>
          <w:spacing w:val="-2"/>
          <w:sz w:val="20"/>
        </w:rPr>
        <w:t> </w:t>
      </w:r>
      <w:r>
        <w:rPr>
          <w:rFonts w:ascii="Calibri" w:hAnsi="Calibri"/>
          <w:sz w:val="20"/>
        </w:rPr>
        <w:t>del</w:t>
      </w:r>
      <w:r>
        <w:rPr>
          <w:rFonts w:ascii="Calibri" w:hAnsi="Calibri"/>
          <w:spacing w:val="-1"/>
          <w:sz w:val="20"/>
        </w:rPr>
        <w:t> </w:t>
      </w:r>
      <w:r>
        <w:rPr>
          <w:rFonts w:ascii="Calibri" w:hAnsi="Calibri"/>
          <w:sz w:val="20"/>
        </w:rPr>
        <w:t>PRTR), se constató que el diseño</w:t>
      </w:r>
      <w:r>
        <w:rPr>
          <w:rFonts w:ascii="Calibri" w:hAnsi="Calibri"/>
          <w:spacing w:val="-1"/>
          <w:sz w:val="20"/>
        </w:rPr>
        <w:t> </w:t>
      </w:r>
      <w:r>
        <w:rPr>
          <w:rFonts w:ascii="Calibri" w:hAnsi="Calibri"/>
          <w:sz w:val="20"/>
        </w:rPr>
        <w:t>originalmente</w:t>
      </w:r>
      <w:r>
        <w:rPr>
          <w:rFonts w:ascii="Calibri" w:hAnsi="Calibri"/>
          <w:spacing w:val="-4"/>
          <w:sz w:val="20"/>
        </w:rPr>
        <w:t> </w:t>
      </w:r>
      <w:r>
        <w:rPr>
          <w:rFonts w:ascii="Calibri" w:hAnsi="Calibri"/>
          <w:sz w:val="20"/>
        </w:rPr>
        <w:t>contratado resultaba insuficiente para</w:t>
      </w:r>
      <w:r>
        <w:rPr>
          <w:rFonts w:ascii="Calibri" w:hAnsi="Calibri"/>
          <w:spacing w:val="-3"/>
          <w:sz w:val="20"/>
        </w:rPr>
        <w:t> </w:t>
      </w:r>
      <w:r>
        <w:rPr>
          <w:rFonts w:ascii="Calibri" w:hAnsi="Calibri"/>
          <w:sz w:val="20"/>
        </w:rPr>
        <w:t>garantizar</w:t>
      </w:r>
      <w:r>
        <w:rPr>
          <w:rFonts w:ascii="Calibri" w:hAnsi="Calibri"/>
          <w:spacing w:val="-1"/>
          <w:sz w:val="20"/>
        </w:rPr>
        <w:t> </w:t>
      </w:r>
      <w:r>
        <w:rPr>
          <w:rFonts w:ascii="Calibri" w:hAnsi="Calibri"/>
          <w:sz w:val="20"/>
        </w:rPr>
        <w:t>la</w:t>
      </w:r>
      <w:r>
        <w:rPr>
          <w:rFonts w:ascii="Calibri" w:hAnsi="Calibri"/>
          <w:spacing w:val="-3"/>
          <w:sz w:val="20"/>
        </w:rPr>
        <w:t> </w:t>
      </w:r>
      <w:r>
        <w:rPr>
          <w:rFonts w:ascii="Calibri" w:hAnsi="Calibri"/>
          <w:sz w:val="20"/>
        </w:rPr>
        <w:t>plena</w:t>
      </w:r>
      <w:r>
        <w:rPr>
          <w:rFonts w:ascii="Calibri" w:hAnsi="Calibri"/>
          <w:spacing w:val="-3"/>
          <w:sz w:val="20"/>
        </w:rPr>
        <w:t> </w:t>
      </w:r>
      <w:r>
        <w:rPr>
          <w:rFonts w:ascii="Calibri" w:hAnsi="Calibri"/>
          <w:sz w:val="20"/>
        </w:rPr>
        <w:t>operatividad</w:t>
      </w:r>
      <w:r>
        <w:rPr>
          <w:rFonts w:ascii="Calibri" w:hAnsi="Calibri"/>
          <w:spacing w:val="-3"/>
          <w:sz w:val="20"/>
        </w:rPr>
        <w:t> </w:t>
      </w:r>
      <w:r>
        <w:rPr>
          <w:rFonts w:ascii="Calibri" w:hAnsi="Calibri"/>
          <w:sz w:val="20"/>
        </w:rPr>
        <w:t>del</w:t>
      </w:r>
      <w:r>
        <w:rPr>
          <w:rFonts w:ascii="Calibri" w:hAnsi="Calibri"/>
          <w:spacing w:val="-4"/>
          <w:sz w:val="20"/>
        </w:rPr>
        <w:t> </w:t>
      </w:r>
      <w:r>
        <w:rPr>
          <w:rFonts w:ascii="Calibri" w:hAnsi="Calibri"/>
          <w:sz w:val="20"/>
        </w:rPr>
        <w:t>nuevo</w:t>
      </w:r>
      <w:r>
        <w:rPr>
          <w:rFonts w:ascii="Calibri" w:hAnsi="Calibri"/>
          <w:spacing w:val="-3"/>
          <w:sz w:val="20"/>
        </w:rPr>
        <w:t> </w:t>
      </w:r>
      <w:r>
        <w:rPr>
          <w:rFonts w:ascii="Calibri" w:hAnsi="Calibri"/>
          <w:sz w:val="20"/>
        </w:rPr>
        <w:t>sistema</w:t>
      </w:r>
      <w:r>
        <w:rPr>
          <w:rFonts w:ascii="Calibri" w:hAnsi="Calibri"/>
          <w:spacing w:val="-5"/>
          <w:sz w:val="20"/>
        </w:rPr>
        <w:t> </w:t>
      </w:r>
      <w:r>
        <w:rPr>
          <w:rFonts w:ascii="Calibri" w:hAnsi="Calibri"/>
          <w:sz w:val="20"/>
        </w:rPr>
        <w:t>conforme</w:t>
      </w:r>
      <w:r>
        <w:rPr>
          <w:rFonts w:ascii="Calibri" w:hAnsi="Calibri"/>
          <w:spacing w:val="-4"/>
          <w:sz w:val="20"/>
        </w:rPr>
        <w:t> </w:t>
      </w:r>
      <w:r>
        <w:rPr>
          <w:rFonts w:ascii="Calibri" w:hAnsi="Calibri"/>
          <w:sz w:val="20"/>
        </w:rPr>
        <w:t>a</w:t>
      </w:r>
      <w:r>
        <w:rPr>
          <w:rFonts w:ascii="Calibri" w:hAnsi="Calibri"/>
          <w:spacing w:val="-3"/>
          <w:sz w:val="20"/>
        </w:rPr>
        <w:t> </w:t>
      </w:r>
      <w:r>
        <w:rPr>
          <w:rFonts w:ascii="Calibri" w:hAnsi="Calibri"/>
          <w:sz w:val="20"/>
        </w:rPr>
        <w:t>los</w:t>
      </w:r>
      <w:r>
        <w:rPr>
          <w:rFonts w:ascii="Calibri" w:hAnsi="Calibri"/>
          <w:spacing w:val="-2"/>
          <w:sz w:val="20"/>
        </w:rPr>
        <w:t> </w:t>
      </w:r>
      <w:r>
        <w:rPr>
          <w:rFonts w:ascii="Calibri" w:hAnsi="Calibri"/>
          <w:sz w:val="20"/>
        </w:rPr>
        <w:t>estándares</w:t>
      </w:r>
      <w:r>
        <w:rPr>
          <w:rFonts w:ascii="Calibri" w:hAnsi="Calibri"/>
          <w:spacing w:val="-4"/>
          <w:sz w:val="20"/>
        </w:rPr>
        <w:t> </w:t>
      </w:r>
      <w:r>
        <w:rPr>
          <w:rFonts w:ascii="Calibri" w:hAnsi="Calibri"/>
          <w:sz w:val="20"/>
        </w:rPr>
        <w:t>requeridos. En</w:t>
      </w:r>
      <w:r>
        <w:rPr>
          <w:rFonts w:ascii="Calibri" w:hAnsi="Calibri"/>
          <w:spacing w:val="-3"/>
          <w:sz w:val="20"/>
        </w:rPr>
        <w:t> </w:t>
      </w:r>
      <w:r>
        <w:rPr>
          <w:rFonts w:ascii="Calibri" w:hAnsi="Calibri"/>
          <w:sz w:val="20"/>
        </w:rPr>
        <w:t>concreto,</w:t>
      </w:r>
      <w:r>
        <w:rPr>
          <w:rFonts w:ascii="Calibri" w:hAnsi="Calibri"/>
          <w:spacing w:val="-2"/>
          <w:sz w:val="20"/>
        </w:rPr>
        <w:t> </w:t>
      </w:r>
      <w:r>
        <w:rPr>
          <w:rFonts w:ascii="Calibri" w:hAnsi="Calibri"/>
          <w:sz w:val="20"/>
        </w:rPr>
        <w:t>fue</w:t>
      </w:r>
      <w:r>
        <w:rPr>
          <w:rFonts w:ascii="Calibri" w:hAnsi="Calibri"/>
          <w:spacing w:val="-5"/>
          <w:sz w:val="20"/>
        </w:rPr>
        <w:t> </w:t>
      </w:r>
      <w:r>
        <w:rPr>
          <w:rFonts w:ascii="Calibri" w:hAnsi="Calibri"/>
          <w:sz w:val="20"/>
        </w:rPr>
        <w:t>necesario</w:t>
      </w:r>
      <w:r>
        <w:rPr>
          <w:rFonts w:ascii="Calibri" w:hAnsi="Calibri"/>
          <w:spacing w:val="-4"/>
          <w:sz w:val="20"/>
        </w:rPr>
        <w:t> </w:t>
      </w:r>
      <w:r>
        <w:rPr>
          <w:rFonts w:ascii="Calibri" w:hAnsi="Calibri"/>
          <w:sz w:val="20"/>
        </w:rPr>
        <w:t>incrementar</w:t>
      </w:r>
      <w:r>
        <w:rPr>
          <w:rFonts w:ascii="Calibri" w:hAnsi="Calibri"/>
          <w:spacing w:val="-5"/>
          <w:sz w:val="20"/>
        </w:rPr>
        <w:t> </w:t>
      </w:r>
      <w:r>
        <w:rPr>
          <w:rFonts w:ascii="Calibri" w:hAnsi="Calibri"/>
          <w:sz w:val="20"/>
        </w:rPr>
        <w:t>los</w:t>
      </w:r>
      <w:r>
        <w:rPr>
          <w:rFonts w:ascii="Calibri" w:hAnsi="Calibri"/>
          <w:spacing w:val="-5"/>
          <w:sz w:val="20"/>
        </w:rPr>
        <w:t> </w:t>
      </w:r>
      <w:r>
        <w:rPr>
          <w:rFonts w:ascii="Calibri" w:hAnsi="Calibri"/>
          <w:sz w:val="20"/>
        </w:rPr>
        <w:t>terminales</w:t>
      </w:r>
      <w:r>
        <w:rPr>
          <w:rFonts w:ascii="Calibri" w:hAnsi="Calibri"/>
          <w:spacing w:val="-2"/>
          <w:sz w:val="20"/>
        </w:rPr>
        <w:t> </w:t>
      </w:r>
      <w:r>
        <w:rPr>
          <w:rFonts w:ascii="Calibri" w:hAnsi="Calibri"/>
          <w:sz w:val="20"/>
        </w:rPr>
        <w:t>(validadores,</w:t>
      </w:r>
      <w:r>
        <w:rPr>
          <w:rFonts w:ascii="Calibri" w:hAnsi="Calibri"/>
          <w:spacing w:val="-4"/>
          <w:sz w:val="20"/>
        </w:rPr>
        <w:t> </w:t>
      </w:r>
      <w:r>
        <w:rPr>
          <w:rFonts w:ascii="Calibri" w:hAnsi="Calibri"/>
          <w:sz w:val="20"/>
        </w:rPr>
        <w:t>equipos</w:t>
      </w:r>
      <w:r>
        <w:rPr>
          <w:rFonts w:ascii="Calibri" w:hAnsi="Calibri"/>
          <w:spacing w:val="-4"/>
          <w:sz w:val="20"/>
        </w:rPr>
        <w:t> </w:t>
      </w:r>
      <w:r>
        <w:rPr>
          <w:rFonts w:ascii="Calibri" w:hAnsi="Calibri"/>
          <w:sz w:val="20"/>
        </w:rPr>
        <w:t>embarcados,</w:t>
      </w:r>
      <w:r>
        <w:rPr>
          <w:rFonts w:ascii="Calibri" w:hAnsi="Calibri"/>
          <w:spacing w:val="-5"/>
          <w:sz w:val="20"/>
        </w:rPr>
        <w:t> </w:t>
      </w:r>
      <w:r>
        <w:rPr>
          <w:rFonts w:ascii="Calibri" w:hAnsi="Calibri"/>
          <w:sz w:val="20"/>
        </w:rPr>
        <w:t>etc.) para atender funcionalidades indispensables no previstas inicialmente como, por ejemplo; la compatibilidad con nuevos medios de pago electrónicos, la doble validación en ciertos vehículos o la integración con plataformas de interoperabilidad de transporte las cuales resultaban imprescindibles para el correcto funcionamiento e interoperabilidad del sistema </w:t>
      </w:r>
      <w:r>
        <w:rPr>
          <w:rFonts w:ascii="Calibri" w:hAnsi="Calibri"/>
          <w:spacing w:val="-2"/>
          <w:sz w:val="20"/>
        </w:rPr>
        <w:t>modernizado.</w:t>
      </w:r>
    </w:p>
    <w:p>
      <w:pPr>
        <w:spacing w:line="256" w:lineRule="auto" w:before="149"/>
        <w:ind w:left="1925" w:right="2023" w:firstLine="0"/>
        <w:jc w:val="both"/>
        <w:rPr>
          <w:rFonts w:ascii="Calibri" w:hAnsi="Calibri"/>
          <w:sz w:val="20"/>
        </w:rPr>
      </w:pPr>
      <w:r>
        <w:rPr>
          <w:rFonts w:ascii="Calibri" w:hAnsi="Calibri"/>
          <w:sz w:val="20"/>
        </w:rPr>
        <w:t>Por</w:t>
      </w:r>
      <w:r>
        <w:rPr>
          <w:rFonts w:ascii="Calibri" w:hAnsi="Calibri"/>
          <w:spacing w:val="-8"/>
          <w:sz w:val="20"/>
        </w:rPr>
        <w:t> </w:t>
      </w:r>
      <w:r>
        <w:rPr>
          <w:rFonts w:ascii="Calibri" w:hAnsi="Calibri"/>
          <w:sz w:val="20"/>
        </w:rPr>
        <w:t>tanto,</w:t>
      </w:r>
      <w:r>
        <w:rPr>
          <w:rFonts w:ascii="Calibri" w:hAnsi="Calibri"/>
          <w:spacing w:val="-7"/>
          <w:sz w:val="20"/>
        </w:rPr>
        <w:t> </w:t>
      </w:r>
      <w:r>
        <w:rPr>
          <w:rFonts w:ascii="Calibri" w:hAnsi="Calibri"/>
          <w:sz w:val="20"/>
        </w:rPr>
        <w:t>la</w:t>
      </w:r>
      <w:r>
        <w:rPr>
          <w:rFonts w:ascii="Calibri" w:hAnsi="Calibri"/>
          <w:spacing w:val="-9"/>
          <w:sz w:val="20"/>
        </w:rPr>
        <w:t> </w:t>
      </w:r>
      <w:r>
        <w:rPr>
          <w:rFonts w:ascii="Calibri" w:hAnsi="Calibri"/>
          <w:sz w:val="20"/>
        </w:rPr>
        <w:t>ampliación</w:t>
      </w:r>
      <w:r>
        <w:rPr>
          <w:rFonts w:ascii="Calibri" w:hAnsi="Calibri"/>
          <w:spacing w:val="-5"/>
          <w:sz w:val="20"/>
        </w:rPr>
        <w:t> </w:t>
      </w:r>
      <w:r>
        <w:rPr>
          <w:rFonts w:ascii="Calibri" w:hAnsi="Calibri"/>
          <w:sz w:val="20"/>
        </w:rPr>
        <w:t>de</w:t>
      </w:r>
      <w:r>
        <w:rPr>
          <w:rFonts w:ascii="Calibri" w:hAnsi="Calibri"/>
          <w:spacing w:val="-8"/>
          <w:sz w:val="20"/>
        </w:rPr>
        <w:t> </w:t>
      </w:r>
      <w:r>
        <w:rPr>
          <w:rFonts w:ascii="Calibri" w:hAnsi="Calibri"/>
          <w:sz w:val="20"/>
        </w:rPr>
        <w:t>terminales</w:t>
      </w:r>
      <w:r>
        <w:rPr>
          <w:rFonts w:ascii="Calibri" w:hAnsi="Calibri"/>
          <w:spacing w:val="-3"/>
          <w:sz w:val="20"/>
        </w:rPr>
        <w:t> </w:t>
      </w:r>
      <w:r>
        <w:rPr>
          <w:rFonts w:ascii="Calibri" w:hAnsi="Calibri"/>
          <w:sz w:val="20"/>
        </w:rPr>
        <w:t>no</w:t>
      </w:r>
      <w:r>
        <w:rPr>
          <w:rFonts w:ascii="Calibri" w:hAnsi="Calibri"/>
          <w:spacing w:val="-6"/>
          <w:sz w:val="20"/>
        </w:rPr>
        <w:t> </w:t>
      </w:r>
      <w:r>
        <w:rPr>
          <w:rFonts w:ascii="Calibri" w:hAnsi="Calibri"/>
          <w:sz w:val="20"/>
        </w:rPr>
        <w:t>obedece</w:t>
      </w:r>
      <w:r>
        <w:rPr>
          <w:rFonts w:ascii="Calibri" w:hAnsi="Calibri"/>
          <w:spacing w:val="-9"/>
          <w:sz w:val="20"/>
        </w:rPr>
        <w:t> </w:t>
      </w:r>
      <w:r>
        <w:rPr>
          <w:rFonts w:ascii="Calibri" w:hAnsi="Calibri"/>
          <w:sz w:val="20"/>
        </w:rPr>
        <w:t>a</w:t>
      </w:r>
      <w:r>
        <w:rPr>
          <w:rFonts w:ascii="Calibri" w:hAnsi="Calibri"/>
          <w:spacing w:val="-5"/>
          <w:sz w:val="20"/>
        </w:rPr>
        <w:t> </w:t>
      </w:r>
      <w:r>
        <w:rPr>
          <w:rFonts w:ascii="Calibri" w:hAnsi="Calibri"/>
          <w:sz w:val="20"/>
        </w:rPr>
        <w:t>una</w:t>
      </w:r>
      <w:r>
        <w:rPr>
          <w:rFonts w:ascii="Calibri" w:hAnsi="Calibri"/>
          <w:spacing w:val="-7"/>
          <w:sz w:val="20"/>
        </w:rPr>
        <w:t> </w:t>
      </w:r>
      <w:r>
        <w:rPr>
          <w:rFonts w:ascii="Calibri" w:hAnsi="Calibri"/>
          <w:sz w:val="20"/>
        </w:rPr>
        <w:t>conducta</w:t>
      </w:r>
      <w:r>
        <w:rPr>
          <w:rFonts w:ascii="Calibri" w:hAnsi="Calibri"/>
          <w:spacing w:val="-9"/>
          <w:sz w:val="20"/>
        </w:rPr>
        <w:t> </w:t>
      </w:r>
      <w:r>
        <w:rPr>
          <w:rFonts w:ascii="Calibri" w:hAnsi="Calibri"/>
          <w:sz w:val="20"/>
        </w:rPr>
        <w:t>arbitraria</w:t>
      </w:r>
      <w:r>
        <w:rPr>
          <w:rFonts w:ascii="Calibri" w:hAnsi="Calibri"/>
          <w:spacing w:val="-8"/>
          <w:sz w:val="20"/>
        </w:rPr>
        <w:t> </w:t>
      </w:r>
      <w:r>
        <w:rPr>
          <w:rFonts w:ascii="Calibri" w:hAnsi="Calibri"/>
          <w:sz w:val="20"/>
        </w:rPr>
        <w:t>ni</w:t>
      </w:r>
      <w:r>
        <w:rPr>
          <w:rFonts w:ascii="Calibri" w:hAnsi="Calibri"/>
          <w:spacing w:val="-8"/>
          <w:sz w:val="20"/>
        </w:rPr>
        <w:t> </w:t>
      </w:r>
      <w:r>
        <w:rPr>
          <w:rFonts w:ascii="Calibri" w:hAnsi="Calibri"/>
          <w:sz w:val="20"/>
        </w:rPr>
        <w:t>caprichosa,</w:t>
      </w:r>
      <w:r>
        <w:rPr>
          <w:rFonts w:ascii="Calibri" w:hAnsi="Calibri"/>
          <w:spacing w:val="-7"/>
          <w:sz w:val="20"/>
        </w:rPr>
        <w:t> </w:t>
      </w:r>
      <w:r>
        <w:rPr>
          <w:rFonts w:ascii="Calibri" w:hAnsi="Calibri"/>
          <w:sz w:val="20"/>
        </w:rPr>
        <w:t>sino que es</w:t>
      </w:r>
      <w:r>
        <w:rPr>
          <w:rFonts w:ascii="Calibri" w:hAnsi="Calibri"/>
          <w:spacing w:val="-1"/>
          <w:sz w:val="20"/>
        </w:rPr>
        <w:t> </w:t>
      </w:r>
      <w:r>
        <w:rPr>
          <w:rFonts w:ascii="Calibri" w:hAnsi="Calibri"/>
          <w:sz w:val="20"/>
        </w:rPr>
        <w:t>consecuencia</w:t>
      </w:r>
      <w:r>
        <w:rPr>
          <w:rFonts w:ascii="Calibri" w:hAnsi="Calibri"/>
          <w:spacing w:val="-4"/>
          <w:sz w:val="20"/>
        </w:rPr>
        <w:t> </w:t>
      </w:r>
      <w:r>
        <w:rPr>
          <w:rFonts w:ascii="Calibri" w:hAnsi="Calibri"/>
          <w:sz w:val="20"/>
        </w:rPr>
        <w:t>directa</w:t>
      </w:r>
      <w:r>
        <w:rPr>
          <w:rFonts w:ascii="Calibri" w:hAnsi="Calibri"/>
          <w:spacing w:val="-4"/>
          <w:sz w:val="20"/>
        </w:rPr>
        <w:t> </w:t>
      </w:r>
      <w:r>
        <w:rPr>
          <w:rFonts w:ascii="Calibri" w:hAnsi="Calibri"/>
          <w:sz w:val="20"/>
        </w:rPr>
        <w:t>de requerimientos</w:t>
      </w:r>
      <w:r>
        <w:rPr>
          <w:rFonts w:ascii="Calibri" w:hAnsi="Calibri"/>
          <w:spacing w:val="-3"/>
          <w:sz w:val="20"/>
        </w:rPr>
        <w:t> </w:t>
      </w:r>
      <w:r>
        <w:rPr>
          <w:rFonts w:ascii="Calibri" w:hAnsi="Calibri"/>
          <w:sz w:val="20"/>
        </w:rPr>
        <w:t>técnicos sobrevenidos</w:t>
      </w:r>
      <w:r>
        <w:rPr>
          <w:rFonts w:ascii="Calibri" w:hAnsi="Calibri"/>
          <w:spacing w:val="-3"/>
          <w:sz w:val="20"/>
        </w:rPr>
        <w:t> </w:t>
      </w:r>
      <w:r>
        <w:rPr>
          <w:rFonts w:ascii="Calibri" w:hAnsi="Calibri"/>
          <w:sz w:val="20"/>
        </w:rPr>
        <w:t>inevitables,</w:t>
      </w:r>
      <w:r>
        <w:rPr>
          <w:rFonts w:ascii="Calibri" w:hAnsi="Calibri"/>
          <w:spacing w:val="-4"/>
          <w:sz w:val="20"/>
        </w:rPr>
        <w:t> </w:t>
      </w:r>
      <w:r>
        <w:rPr>
          <w:rFonts w:ascii="Calibri" w:hAnsi="Calibri"/>
          <w:sz w:val="20"/>
        </w:rPr>
        <w:t>todo</w:t>
      </w:r>
      <w:r>
        <w:rPr>
          <w:rFonts w:ascii="Calibri" w:hAnsi="Calibri"/>
          <w:spacing w:val="-1"/>
          <w:sz w:val="20"/>
        </w:rPr>
        <w:t> </w:t>
      </w:r>
      <w:r>
        <w:rPr>
          <w:rFonts w:ascii="Calibri" w:hAnsi="Calibri"/>
          <w:sz w:val="20"/>
        </w:rPr>
        <w:t>lo</w:t>
      </w:r>
      <w:r>
        <w:rPr>
          <w:rFonts w:ascii="Calibri" w:hAnsi="Calibri"/>
          <w:spacing w:val="-4"/>
          <w:sz w:val="20"/>
        </w:rPr>
        <w:t> </w:t>
      </w:r>
      <w:r>
        <w:rPr>
          <w:rFonts w:ascii="Calibri" w:hAnsi="Calibri"/>
          <w:sz w:val="20"/>
        </w:rPr>
        <w:t>cual quedó motivado en el correspondiente informe técnico del expediente de modificación.</w:t>
      </w:r>
    </w:p>
    <w:p>
      <w:pPr>
        <w:spacing w:line="256" w:lineRule="auto" w:before="145"/>
        <w:ind w:left="1925" w:right="2016" w:firstLine="0"/>
        <w:jc w:val="both"/>
        <w:rPr>
          <w:rFonts w:ascii="Calibri" w:hAnsi="Calibri"/>
          <w:sz w:val="20"/>
        </w:rPr>
      </w:pPr>
      <w:r>
        <w:rPr>
          <w:rFonts w:ascii="Calibri" w:hAnsi="Calibri"/>
          <w:sz w:val="20"/>
        </w:rPr>
        <w:t>Por otra parte, conviene explicar que la opción de convocar una nueva licitación para llevar a cabo estas prestaciones adicionales fue analizada y descartada por razones técnicas, económicas y de eficiencia en la gestión pública.</w:t>
      </w:r>
    </w:p>
    <w:p>
      <w:pPr>
        <w:spacing w:line="256" w:lineRule="auto" w:before="143"/>
        <w:ind w:left="1925" w:right="2024" w:firstLine="0"/>
        <w:jc w:val="both"/>
        <w:rPr>
          <w:rFonts w:ascii="Calibri" w:hAnsi="Calibri"/>
          <w:sz w:val="20"/>
        </w:rPr>
      </w:pPr>
      <w:r>
        <w:rPr>
          <w:rFonts w:ascii="Calibri" w:hAnsi="Calibri"/>
          <w:sz w:val="20"/>
        </w:rPr>
        <w:t>El sistema de Monética, Ticketing y SAE instalado en la EMT constituye un conjunto integrado de</w:t>
      </w:r>
      <w:r>
        <w:rPr>
          <w:rFonts w:ascii="Calibri" w:hAnsi="Calibri"/>
          <w:spacing w:val="-6"/>
          <w:sz w:val="20"/>
        </w:rPr>
        <w:t> </w:t>
      </w:r>
      <w:r>
        <w:rPr>
          <w:rFonts w:ascii="Calibri" w:hAnsi="Calibri"/>
          <w:sz w:val="20"/>
        </w:rPr>
        <w:t>hardware</w:t>
      </w:r>
      <w:r>
        <w:rPr>
          <w:rFonts w:ascii="Calibri" w:hAnsi="Calibri"/>
          <w:spacing w:val="-9"/>
          <w:sz w:val="20"/>
        </w:rPr>
        <w:t> </w:t>
      </w:r>
      <w:r>
        <w:rPr>
          <w:rFonts w:ascii="Calibri" w:hAnsi="Calibri"/>
          <w:sz w:val="20"/>
        </w:rPr>
        <w:t>y</w:t>
      </w:r>
      <w:r>
        <w:rPr>
          <w:rFonts w:ascii="Calibri" w:hAnsi="Calibri"/>
          <w:spacing w:val="-8"/>
          <w:sz w:val="20"/>
        </w:rPr>
        <w:t> </w:t>
      </w:r>
      <w:r>
        <w:rPr>
          <w:rFonts w:ascii="Calibri" w:hAnsi="Calibri"/>
          <w:sz w:val="20"/>
        </w:rPr>
        <w:t>software</w:t>
      </w:r>
      <w:r>
        <w:rPr>
          <w:rFonts w:ascii="Calibri" w:hAnsi="Calibri"/>
          <w:spacing w:val="-8"/>
          <w:sz w:val="20"/>
        </w:rPr>
        <w:t> </w:t>
      </w:r>
      <w:r>
        <w:rPr>
          <w:rFonts w:ascii="Calibri" w:hAnsi="Calibri"/>
          <w:sz w:val="20"/>
        </w:rPr>
        <w:t>específico,</w:t>
      </w:r>
      <w:r>
        <w:rPr>
          <w:rFonts w:ascii="Calibri" w:hAnsi="Calibri"/>
          <w:spacing w:val="-7"/>
          <w:sz w:val="20"/>
        </w:rPr>
        <w:t> </w:t>
      </w:r>
      <w:r>
        <w:rPr>
          <w:rFonts w:ascii="Calibri" w:hAnsi="Calibri"/>
          <w:sz w:val="20"/>
        </w:rPr>
        <w:t>desarrollado</w:t>
      </w:r>
      <w:r>
        <w:rPr>
          <w:rFonts w:ascii="Calibri" w:hAnsi="Calibri"/>
          <w:spacing w:val="-11"/>
          <w:sz w:val="20"/>
        </w:rPr>
        <w:t> </w:t>
      </w:r>
      <w:r>
        <w:rPr>
          <w:rFonts w:ascii="Calibri" w:hAnsi="Calibri"/>
          <w:sz w:val="20"/>
        </w:rPr>
        <w:t>e</w:t>
      </w:r>
      <w:r>
        <w:rPr>
          <w:rFonts w:ascii="Calibri" w:hAnsi="Calibri"/>
          <w:spacing w:val="-9"/>
          <w:sz w:val="20"/>
        </w:rPr>
        <w:t> </w:t>
      </w:r>
      <w:r>
        <w:rPr>
          <w:rFonts w:ascii="Calibri" w:hAnsi="Calibri"/>
          <w:sz w:val="20"/>
        </w:rPr>
        <w:t>implantado</w:t>
      </w:r>
      <w:r>
        <w:rPr>
          <w:rFonts w:ascii="Calibri" w:hAnsi="Calibri"/>
          <w:spacing w:val="-7"/>
          <w:sz w:val="20"/>
        </w:rPr>
        <w:t> </w:t>
      </w:r>
      <w:r>
        <w:rPr>
          <w:rFonts w:ascii="Calibri" w:hAnsi="Calibri"/>
          <w:sz w:val="20"/>
        </w:rPr>
        <w:t>por</w:t>
      </w:r>
      <w:r>
        <w:rPr>
          <w:rFonts w:ascii="Calibri" w:hAnsi="Calibri"/>
          <w:spacing w:val="-9"/>
          <w:sz w:val="20"/>
        </w:rPr>
        <w:t> </w:t>
      </w:r>
      <w:r>
        <w:rPr>
          <w:rFonts w:ascii="Calibri" w:hAnsi="Calibri"/>
          <w:sz w:val="20"/>
        </w:rPr>
        <w:t>el</w:t>
      </w:r>
      <w:r>
        <w:rPr>
          <w:rFonts w:ascii="Calibri" w:hAnsi="Calibri"/>
          <w:spacing w:val="-12"/>
          <w:sz w:val="20"/>
        </w:rPr>
        <w:t> </w:t>
      </w:r>
      <w:r>
        <w:rPr>
          <w:rFonts w:ascii="Calibri" w:hAnsi="Calibri"/>
          <w:sz w:val="20"/>
        </w:rPr>
        <w:t>adjudicatario</w:t>
      </w:r>
      <w:r>
        <w:rPr>
          <w:rFonts w:ascii="Calibri" w:hAnsi="Calibri"/>
          <w:spacing w:val="-8"/>
          <w:sz w:val="20"/>
        </w:rPr>
        <w:t> </w:t>
      </w:r>
      <w:r>
        <w:rPr>
          <w:rFonts w:ascii="Calibri" w:hAnsi="Calibri"/>
          <w:sz w:val="20"/>
        </w:rPr>
        <w:t>original</w:t>
      </w:r>
      <w:r>
        <w:rPr>
          <w:rFonts w:ascii="Calibri" w:hAnsi="Calibri"/>
          <w:spacing w:val="-11"/>
          <w:sz w:val="20"/>
        </w:rPr>
        <w:t> </w:t>
      </w:r>
      <w:r>
        <w:rPr>
          <w:rFonts w:ascii="Calibri" w:hAnsi="Calibri"/>
          <w:sz w:val="20"/>
        </w:rPr>
        <w:t>(UTE</w:t>
      </w:r>
    </w:p>
    <w:p>
      <w:pPr>
        <w:pStyle w:val="BodyText"/>
        <w:rPr>
          <w:rFonts w:ascii="Calibri"/>
          <w:sz w:val="20"/>
        </w:rPr>
      </w:pPr>
    </w:p>
    <w:p>
      <w:pPr>
        <w:pStyle w:val="BodyText"/>
        <w:spacing w:before="115"/>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396" name="Group 1396"/>
                <wp:cNvGraphicFramePr>
                  <a:graphicFrameLocks/>
                </wp:cNvGraphicFramePr>
                <a:graphic>
                  <a:graphicData uri="http://schemas.microsoft.com/office/word/2010/wordprocessingGroup">
                    <wpg:wgp>
                      <wpg:cNvPr id="1396" name="Group 1396"/>
                      <wpg:cNvGrpSpPr/>
                      <wpg:grpSpPr>
                        <a:xfrm>
                          <a:off x="0" y="0"/>
                          <a:ext cx="1870075" cy="6350"/>
                          <a:chExt cx="1870075" cy="6350"/>
                        </a:xfrm>
                      </wpg:grpSpPr>
                      <wps:wsp>
                        <wps:cNvPr id="1397" name="Graphic 1397"/>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017" coordorigin="0,0" coordsize="2945,10">
                <v:rect style="position:absolute;left:0;top:0;width:2945;height:10" id="docshape1018"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398" name="Group 1398"/>
                <wp:cNvGraphicFramePr>
                  <a:graphicFrameLocks/>
                </wp:cNvGraphicFramePr>
                <a:graphic>
                  <a:graphicData uri="http://schemas.microsoft.com/office/word/2010/wordprocessingGroup">
                    <wpg:wgp>
                      <wpg:cNvPr id="1398" name="Group 1398"/>
                      <wpg:cNvGrpSpPr/>
                      <wpg:grpSpPr>
                        <a:xfrm>
                          <a:off x="0" y="0"/>
                          <a:ext cx="841375" cy="6350"/>
                          <a:chExt cx="841375" cy="6350"/>
                        </a:xfrm>
                      </wpg:grpSpPr>
                      <wps:wsp>
                        <wps:cNvPr id="1399" name="Graphic 1399"/>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019" coordorigin="0,0" coordsize="1325,10">
                <v:rect style="position:absolute;left:0;top:0;width:1325;height:10" id="docshape1020"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69"/>
          <w:headerReference w:type="default" r:id="rId270"/>
          <w:footerReference w:type="even" r:id="rId271"/>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09472">
                <wp:simplePos x="0" y="0"/>
                <wp:positionH relativeFrom="page">
                  <wp:posOffset>4332186</wp:posOffset>
                </wp:positionH>
                <wp:positionV relativeFrom="paragraph">
                  <wp:posOffset>1412477</wp:posOffset>
                </wp:positionV>
                <wp:extent cx="53340" cy="100330"/>
                <wp:effectExtent l="0" t="0" r="0" b="0"/>
                <wp:wrapNone/>
                <wp:docPr id="1400" name="Textbox 1400"/>
                <wp:cNvGraphicFramePr>
                  <a:graphicFrameLocks/>
                </wp:cNvGraphicFramePr>
                <a:graphic>
                  <a:graphicData uri="http://schemas.microsoft.com/office/word/2010/wordprocessingShape">
                    <wps:wsp>
                      <wps:cNvPr id="1400" name="Textbox 1400"/>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07008" type="#_x0000_t202" id="docshape1021"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409984">
                <wp:simplePos x="0" y="0"/>
                <wp:positionH relativeFrom="page">
                  <wp:posOffset>172212</wp:posOffset>
                </wp:positionH>
                <wp:positionV relativeFrom="paragraph">
                  <wp:posOffset>954200</wp:posOffset>
                </wp:positionV>
                <wp:extent cx="1298575" cy="417830"/>
                <wp:effectExtent l="0" t="0" r="0" b="0"/>
                <wp:wrapNone/>
                <wp:docPr id="1401" name="Group 1401"/>
                <wp:cNvGraphicFramePr>
                  <a:graphicFrameLocks/>
                </wp:cNvGraphicFramePr>
                <a:graphic>
                  <a:graphicData uri="http://schemas.microsoft.com/office/word/2010/wordprocessingGroup">
                    <wpg:wgp>
                      <wpg:cNvPr id="1401" name="Group 1401"/>
                      <wpg:cNvGrpSpPr/>
                      <wpg:grpSpPr>
                        <a:xfrm>
                          <a:off x="0" y="0"/>
                          <a:ext cx="1298575" cy="417830"/>
                          <a:chExt cx="1298575" cy="417830"/>
                        </a:xfrm>
                      </wpg:grpSpPr>
                      <wps:wsp>
                        <wps:cNvPr id="1402" name="Graphic 1402"/>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403" name="Image 1403"/>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906496" id="docshapegroup1022" coordorigin="271,1503" coordsize="2045,658">
                <v:shape style="position:absolute;left:271;top:1502;width:2045;height:658" id="docshape1023" coordorigin="271,1503" coordsize="2045,658" path="m2316,1503l271,1503,271,1721,271,1723,271,2160,2316,2160,2316,1723,2316,1721,2316,1503xe" filled="true" fillcolor="#cccccc" stroked="false">
                  <v:path arrowok="t"/>
                  <v:fill type="solid"/>
                </v:shape>
                <v:shape style="position:absolute;left:343;top:1577;width:1896;height:327" type="#_x0000_t75" id="docshape1024" stroked="false">
                  <v:imagedata r:id="rId219" o:title=""/>
                </v:shape>
                <w10:wrap type="none"/>
              </v:group>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404" name="Textbox 1404"/>
                <wp:cNvGraphicFramePr>
                  <a:graphicFrameLocks/>
                </wp:cNvGraphicFramePr>
                <a:graphic>
                  <a:graphicData uri="http://schemas.microsoft.com/office/word/2010/wordprocessingShape">
                    <wps:wsp>
                      <wps:cNvPr id="1404" name="Textbox 1404"/>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92"/>
                              <w:gridCol w:w="2447"/>
                              <w:gridCol w:w="628"/>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92" w:type="dxa"/>
                                  <w:tcBorders>
                                    <w:left w:val="single" w:sz="6" w:space="0" w:color="000000"/>
                                    <w:bottom w:val="single" w:sz="6" w:space="0" w:color="000000"/>
                                    <w:right w:val="nil"/>
                                  </w:tcBorders>
                                </w:tcPr>
                                <w:p>
                                  <w:pPr>
                                    <w:pStyle w:val="TableParagraph"/>
                                    <w:rPr>
                                      <w:rFonts w:ascii="Times New Roman"/>
                                      <w:sz w:val="14"/>
                                    </w:rPr>
                                  </w:pPr>
                                </w:p>
                              </w:tc>
                              <w:tc>
                                <w:tcPr>
                                  <w:tcW w:w="2447" w:type="dxa"/>
                                  <w:tcBorders>
                                    <w:top w:val="nil"/>
                                    <w:left w:val="nil"/>
                                    <w:bottom w:val="single" w:sz="6" w:space="0" w:color="000000"/>
                                    <w:right w:val="nil"/>
                                  </w:tcBorders>
                                  <w:shd w:val="clear" w:color="auto" w:fill="000000"/>
                                </w:tcPr>
                                <w:p>
                                  <w:pPr>
                                    <w:pStyle w:val="TableParagraph"/>
                                    <w:rPr>
                                      <w:rFonts w:ascii="Times New Roman"/>
                                      <w:sz w:val="14"/>
                                    </w:rPr>
                                  </w:pPr>
                                </w:p>
                              </w:tc>
                              <w:tc>
                                <w:tcPr>
                                  <w:tcW w:w="1169"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1405" name="Image 1405"/>
                                        <wp:cNvGraphicFramePr>
                                          <a:graphicFrameLocks/>
                                        </wp:cNvGraphicFramePr>
                                        <a:graphic>
                                          <a:graphicData uri="http://schemas.openxmlformats.org/drawingml/2006/picture">
                                            <pic:pic>
                                              <pic:nvPicPr>
                                                <pic:cNvPr id="1405" name="Image 1405"/>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1406" name="Image 1406"/>
                                        <wp:cNvGraphicFramePr>
                                          <a:graphicFrameLocks/>
                                        </wp:cNvGraphicFramePr>
                                        <a:graphic>
                                          <a:graphicData uri="http://schemas.openxmlformats.org/drawingml/2006/picture">
                                            <pic:pic>
                                              <pic:nvPicPr>
                                                <pic:cNvPr id="1406" name="Image 1406"/>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407" name="Image 1407"/>
                                        <wp:cNvGraphicFramePr>
                                          <a:graphicFrameLocks/>
                                        </wp:cNvGraphicFramePr>
                                        <a:graphic>
                                          <a:graphicData uri="http://schemas.openxmlformats.org/drawingml/2006/picture">
                                            <pic:pic>
                                              <pic:nvPicPr>
                                                <pic:cNvPr id="1407" name="Image 1407"/>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1408" name="Image 1408"/>
                                        <wp:cNvGraphicFramePr>
                                          <a:graphicFrameLocks/>
                                        </wp:cNvGraphicFramePr>
                                        <a:graphic>
                                          <a:graphicData uri="http://schemas.openxmlformats.org/drawingml/2006/picture">
                                            <pic:pic>
                                              <pic:nvPicPr>
                                                <pic:cNvPr id="1408" name="Image 1408"/>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4"/>
                                    <w:jc w:val="center"/>
                                    <w:rPr>
                                      <w:rFonts w:ascii="Arial"/>
                                      <w:sz w:val="14"/>
                                    </w:rPr>
                                  </w:pPr>
                                  <w:r>
                                    <w:rPr>
                                      <w:rFonts w:ascii="Arial"/>
                                      <w:spacing w:val="-2"/>
                                      <w:sz w:val="14"/>
                                    </w:rPr>
                                    <w:t>22/40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409" name="Image 1409"/>
                                        <wp:cNvGraphicFramePr>
                                          <a:graphicFrameLocks/>
                                        </wp:cNvGraphicFramePr>
                                        <a:graphic>
                                          <a:graphicData uri="http://schemas.openxmlformats.org/drawingml/2006/picture">
                                            <pic:pic>
                                              <pic:nvPicPr>
                                                <pic:cNvPr id="1409" name="Image 1409"/>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7"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410" name="Image 1410"/>
                                        <wp:cNvGraphicFramePr>
                                          <a:graphicFrameLocks/>
                                        </wp:cNvGraphicFramePr>
                                        <a:graphic>
                                          <a:graphicData uri="http://schemas.openxmlformats.org/drawingml/2006/picture">
                                            <pic:pic>
                                              <pic:nvPicPr>
                                                <pic:cNvPr id="1410" name="Image 1410"/>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1025"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92"/>
                        <w:gridCol w:w="2447"/>
                        <w:gridCol w:w="628"/>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92" w:type="dxa"/>
                            <w:tcBorders>
                              <w:left w:val="single" w:sz="6" w:space="0" w:color="000000"/>
                              <w:bottom w:val="single" w:sz="6" w:space="0" w:color="000000"/>
                              <w:right w:val="nil"/>
                            </w:tcBorders>
                          </w:tcPr>
                          <w:p>
                            <w:pPr>
                              <w:pStyle w:val="TableParagraph"/>
                              <w:rPr>
                                <w:rFonts w:ascii="Times New Roman"/>
                                <w:sz w:val="14"/>
                              </w:rPr>
                            </w:pPr>
                          </w:p>
                        </w:tc>
                        <w:tc>
                          <w:tcPr>
                            <w:tcW w:w="2447" w:type="dxa"/>
                            <w:tcBorders>
                              <w:top w:val="nil"/>
                              <w:left w:val="nil"/>
                              <w:bottom w:val="single" w:sz="6" w:space="0" w:color="000000"/>
                              <w:right w:val="nil"/>
                            </w:tcBorders>
                            <w:shd w:val="clear" w:color="auto" w:fill="000000"/>
                          </w:tcPr>
                          <w:p>
                            <w:pPr>
                              <w:pStyle w:val="TableParagraph"/>
                              <w:rPr>
                                <w:rFonts w:ascii="Times New Roman"/>
                                <w:sz w:val="14"/>
                              </w:rPr>
                            </w:pPr>
                          </w:p>
                        </w:tc>
                        <w:tc>
                          <w:tcPr>
                            <w:tcW w:w="1169"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1411" name="Image 1411"/>
                                  <wp:cNvGraphicFramePr>
                                    <a:graphicFrameLocks/>
                                  </wp:cNvGraphicFramePr>
                                  <a:graphic>
                                    <a:graphicData uri="http://schemas.openxmlformats.org/drawingml/2006/picture">
                                      <pic:pic>
                                        <pic:nvPicPr>
                                          <pic:cNvPr id="1411" name="Image 141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1412" name="Image 1412"/>
                                  <wp:cNvGraphicFramePr>
                                    <a:graphicFrameLocks/>
                                  </wp:cNvGraphicFramePr>
                                  <a:graphic>
                                    <a:graphicData uri="http://schemas.openxmlformats.org/drawingml/2006/picture">
                                      <pic:pic>
                                        <pic:nvPicPr>
                                          <pic:cNvPr id="1412" name="Image 141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413" name="Image 1413"/>
                                  <wp:cNvGraphicFramePr>
                                    <a:graphicFrameLocks/>
                                  </wp:cNvGraphicFramePr>
                                  <a:graphic>
                                    <a:graphicData uri="http://schemas.openxmlformats.org/drawingml/2006/picture">
                                      <pic:pic>
                                        <pic:nvPicPr>
                                          <pic:cNvPr id="1413" name="Image 141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1414" name="Image 1414"/>
                                  <wp:cNvGraphicFramePr>
                                    <a:graphicFrameLocks/>
                                  </wp:cNvGraphicFramePr>
                                  <a:graphic>
                                    <a:graphicData uri="http://schemas.openxmlformats.org/drawingml/2006/picture">
                                      <pic:pic>
                                        <pic:nvPicPr>
                                          <pic:cNvPr id="1414" name="Image 1414"/>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4"/>
                              <w:jc w:val="center"/>
                              <w:rPr>
                                <w:rFonts w:ascii="Arial"/>
                                <w:sz w:val="14"/>
                              </w:rPr>
                            </w:pPr>
                            <w:r>
                              <w:rPr>
                                <w:rFonts w:ascii="Arial"/>
                                <w:spacing w:val="-2"/>
                                <w:sz w:val="14"/>
                              </w:rPr>
                              <w:t>22/40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415" name="Image 1415"/>
                                  <wp:cNvGraphicFramePr>
                                    <a:graphicFrameLocks/>
                                  </wp:cNvGraphicFramePr>
                                  <a:graphic>
                                    <a:graphicData uri="http://schemas.openxmlformats.org/drawingml/2006/picture">
                                      <pic:pic>
                                        <pic:nvPicPr>
                                          <pic:cNvPr id="1415" name="Image 1415"/>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7"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416" name="Image 1416"/>
                                  <wp:cNvGraphicFramePr>
                                    <a:graphicFrameLocks/>
                                  </wp:cNvGraphicFramePr>
                                  <a:graphic>
                                    <a:graphicData uri="http://schemas.openxmlformats.org/drawingml/2006/picture">
                                      <pic:pic>
                                        <pic:nvPicPr>
                                          <pic:cNvPr id="1416" name="Image 1416"/>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417" name="Group 1417"/>
                <wp:cNvGraphicFramePr>
                  <a:graphicFrameLocks/>
                </wp:cNvGraphicFramePr>
                <a:graphic>
                  <a:graphicData uri="http://schemas.microsoft.com/office/word/2010/wordprocessingGroup">
                    <wpg:wgp>
                      <wpg:cNvPr id="1417" name="Group 1417"/>
                      <wpg:cNvGrpSpPr/>
                      <wpg:grpSpPr>
                        <a:xfrm>
                          <a:off x="0" y="0"/>
                          <a:ext cx="734695" cy="753110"/>
                          <a:chExt cx="734695" cy="753110"/>
                        </a:xfrm>
                      </wpg:grpSpPr>
                      <pic:pic>
                        <pic:nvPicPr>
                          <pic:cNvPr id="1418" name="Image 1418"/>
                          <pic:cNvPicPr/>
                        </pic:nvPicPr>
                        <pic:blipFill>
                          <a:blip r:embed="rId229" cstate="print"/>
                          <a:stretch>
                            <a:fillRect/>
                          </a:stretch>
                        </pic:blipFill>
                        <pic:spPr>
                          <a:xfrm>
                            <a:off x="0" y="0"/>
                            <a:ext cx="734567" cy="752840"/>
                          </a:xfrm>
                          <a:prstGeom prst="rect">
                            <a:avLst/>
                          </a:prstGeom>
                        </pic:spPr>
                      </pic:pic>
                      <wps:wsp>
                        <wps:cNvPr id="1419" name="Graphic 1419"/>
                        <wps:cNvSpPr/>
                        <wps:spPr>
                          <a:xfrm>
                            <a:off x="65519" y="60157"/>
                            <a:ext cx="645160" cy="675005"/>
                          </a:xfrm>
                          <a:custGeom>
                            <a:avLst/>
                            <a:gdLst/>
                            <a:ahLst/>
                            <a:cxnLst/>
                            <a:rect l="l" t="t" r="r" b="b"/>
                            <a:pathLst>
                              <a:path w="645160" h="675005">
                                <a:moveTo>
                                  <a:pt x="644563" y="0"/>
                                </a:moveTo>
                                <a:lnTo>
                                  <a:pt x="0" y="0"/>
                                </a:lnTo>
                                <a:lnTo>
                                  <a:pt x="0" y="674497"/>
                                </a:lnTo>
                                <a:lnTo>
                                  <a:pt x="644563" y="674497"/>
                                </a:lnTo>
                                <a:lnTo>
                                  <a:pt x="64456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1026" coordorigin="0,0" coordsize="1157,1186">
                <v:shape style="position:absolute;left:0;top:0;width:1157;height:1186" type="#_x0000_t75" id="docshape1027" stroked="false">
                  <v:imagedata r:id="rId229" o:title=""/>
                </v:shape>
                <v:rect style="position:absolute;left:103;top:94;width:1016;height:1063" id="docshape1028"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1925" w:right="2019" w:firstLine="0"/>
        <w:jc w:val="both"/>
        <w:rPr>
          <w:rFonts w:ascii="Calibri" w:hAnsi="Calibri"/>
          <w:sz w:val="20"/>
        </w:rPr>
      </w:pPr>
      <w:r>
        <w:rPr>
          <w:rFonts w:ascii="Calibri" w:hAnsi="Calibri"/>
          <w:sz w:val="20"/>
        </w:rPr>
        <w:t>ETRA-INETUM). Este proveedor</w:t>
      </w:r>
      <w:r>
        <w:rPr>
          <w:rFonts w:ascii="Calibri" w:hAnsi="Calibri"/>
          <w:spacing w:val="-3"/>
          <w:sz w:val="20"/>
        </w:rPr>
        <w:t> </w:t>
      </w:r>
      <w:r>
        <w:rPr>
          <w:rFonts w:ascii="Calibri" w:hAnsi="Calibri"/>
          <w:sz w:val="20"/>
        </w:rPr>
        <w:t>ostenta la</w:t>
      </w:r>
      <w:r>
        <w:rPr>
          <w:rFonts w:ascii="Calibri" w:hAnsi="Calibri"/>
          <w:spacing w:val="-1"/>
          <w:sz w:val="20"/>
        </w:rPr>
        <w:t> </w:t>
      </w:r>
      <w:r>
        <w:rPr>
          <w:rFonts w:ascii="Calibri" w:hAnsi="Calibri"/>
          <w:sz w:val="20"/>
        </w:rPr>
        <w:t>singularidad</w:t>
      </w:r>
      <w:r>
        <w:rPr>
          <w:rFonts w:ascii="Calibri" w:hAnsi="Calibri"/>
          <w:spacing w:val="-1"/>
          <w:sz w:val="20"/>
        </w:rPr>
        <w:t> </w:t>
      </w:r>
      <w:r>
        <w:rPr>
          <w:rFonts w:ascii="Calibri" w:hAnsi="Calibri"/>
          <w:sz w:val="20"/>
        </w:rPr>
        <w:t>técnica del sistema</w:t>
      </w:r>
      <w:r>
        <w:rPr>
          <w:rFonts w:ascii="Calibri" w:hAnsi="Calibri"/>
          <w:spacing w:val="-1"/>
          <w:sz w:val="20"/>
        </w:rPr>
        <w:t> </w:t>
      </w:r>
      <w:r>
        <w:rPr>
          <w:rFonts w:ascii="Calibri" w:hAnsi="Calibri"/>
          <w:sz w:val="20"/>
        </w:rPr>
        <w:t>(diseño propietario y software embebido en los equipos), de modo que </w:t>
      </w:r>
      <w:r>
        <w:rPr>
          <w:rFonts w:ascii="Calibri" w:hAnsi="Calibri"/>
          <w:sz w:val="20"/>
          <w:u w:val="single"/>
        </w:rPr>
        <w:t>solo él puede garantizar la plena</w:t>
      </w:r>
      <w:r>
        <w:rPr>
          <w:rFonts w:ascii="Calibri" w:hAnsi="Calibri"/>
          <w:sz w:val="20"/>
          <w:u w:val="none"/>
        </w:rPr>
        <w:t> </w:t>
      </w:r>
      <w:r>
        <w:rPr>
          <w:rFonts w:ascii="Calibri" w:hAnsi="Calibri"/>
          <w:sz w:val="20"/>
          <w:u w:val="single"/>
        </w:rPr>
        <w:t>compatibilidad de los nuevos componentes con la plataforma central ya existente.</w:t>
      </w:r>
      <w:r>
        <w:rPr>
          <w:rFonts w:ascii="Calibri" w:hAnsi="Calibri"/>
          <w:sz w:val="20"/>
          <w:u w:val="none"/>
        </w:rPr>
        <w:t> Recurrir a un</w:t>
      </w:r>
      <w:r>
        <w:rPr>
          <w:rFonts w:ascii="Calibri" w:hAnsi="Calibri"/>
          <w:spacing w:val="-1"/>
          <w:sz w:val="20"/>
          <w:u w:val="none"/>
        </w:rPr>
        <w:t> </w:t>
      </w:r>
      <w:r>
        <w:rPr>
          <w:rFonts w:ascii="Calibri" w:hAnsi="Calibri"/>
          <w:sz w:val="20"/>
          <w:u w:val="none"/>
        </w:rPr>
        <w:t>contratista</w:t>
      </w:r>
      <w:r>
        <w:rPr>
          <w:rFonts w:ascii="Calibri" w:hAnsi="Calibri"/>
          <w:spacing w:val="-3"/>
          <w:sz w:val="20"/>
          <w:u w:val="none"/>
        </w:rPr>
        <w:t> </w:t>
      </w:r>
      <w:r>
        <w:rPr>
          <w:rFonts w:ascii="Calibri" w:hAnsi="Calibri"/>
          <w:sz w:val="20"/>
          <w:u w:val="none"/>
        </w:rPr>
        <w:t>distinto</w:t>
      </w:r>
      <w:r>
        <w:rPr>
          <w:rFonts w:ascii="Calibri" w:hAnsi="Calibri"/>
          <w:spacing w:val="-2"/>
          <w:sz w:val="20"/>
          <w:u w:val="none"/>
        </w:rPr>
        <w:t> </w:t>
      </w:r>
      <w:r>
        <w:rPr>
          <w:rFonts w:ascii="Calibri" w:hAnsi="Calibri"/>
          <w:sz w:val="20"/>
          <w:u w:val="none"/>
        </w:rPr>
        <w:t>habría</w:t>
      </w:r>
      <w:r>
        <w:rPr>
          <w:rFonts w:ascii="Calibri" w:hAnsi="Calibri"/>
          <w:spacing w:val="-2"/>
          <w:sz w:val="20"/>
          <w:u w:val="none"/>
        </w:rPr>
        <w:t> </w:t>
      </w:r>
      <w:r>
        <w:rPr>
          <w:rFonts w:ascii="Calibri" w:hAnsi="Calibri"/>
          <w:sz w:val="20"/>
          <w:u w:val="none"/>
        </w:rPr>
        <w:t>implicado</w:t>
      </w:r>
      <w:r>
        <w:rPr>
          <w:rFonts w:ascii="Calibri" w:hAnsi="Calibri"/>
          <w:spacing w:val="-2"/>
          <w:sz w:val="20"/>
          <w:u w:val="none"/>
        </w:rPr>
        <w:t> </w:t>
      </w:r>
      <w:r>
        <w:rPr>
          <w:rFonts w:ascii="Calibri" w:hAnsi="Calibri"/>
          <w:i/>
          <w:sz w:val="20"/>
          <w:u w:val="none"/>
        </w:rPr>
        <w:t>serias</w:t>
      </w:r>
      <w:r>
        <w:rPr>
          <w:rFonts w:ascii="Calibri" w:hAnsi="Calibri"/>
          <w:i/>
          <w:spacing w:val="-2"/>
          <w:sz w:val="20"/>
          <w:u w:val="none"/>
        </w:rPr>
        <w:t> </w:t>
      </w:r>
      <w:r>
        <w:rPr>
          <w:rFonts w:ascii="Calibri" w:hAnsi="Calibri"/>
          <w:i/>
          <w:sz w:val="20"/>
          <w:u w:val="none"/>
        </w:rPr>
        <w:t>dificultades</w:t>
      </w:r>
      <w:r>
        <w:rPr>
          <w:rFonts w:ascii="Calibri" w:hAnsi="Calibri"/>
          <w:i/>
          <w:spacing w:val="-2"/>
          <w:sz w:val="20"/>
          <w:u w:val="none"/>
        </w:rPr>
        <w:t> </w:t>
      </w:r>
      <w:r>
        <w:rPr>
          <w:rFonts w:ascii="Calibri" w:hAnsi="Calibri"/>
          <w:i/>
          <w:sz w:val="20"/>
          <w:u w:val="none"/>
        </w:rPr>
        <w:t>de</w:t>
      </w:r>
      <w:r>
        <w:rPr>
          <w:rFonts w:ascii="Calibri" w:hAnsi="Calibri"/>
          <w:i/>
          <w:spacing w:val="-5"/>
          <w:sz w:val="20"/>
          <w:u w:val="none"/>
        </w:rPr>
        <w:t> </w:t>
      </w:r>
      <w:r>
        <w:rPr>
          <w:rFonts w:ascii="Calibri" w:hAnsi="Calibri"/>
          <w:i/>
          <w:sz w:val="20"/>
          <w:u w:val="none"/>
        </w:rPr>
        <w:t>integración</w:t>
      </w:r>
      <w:r>
        <w:rPr>
          <w:rFonts w:ascii="Calibri" w:hAnsi="Calibri"/>
          <w:sz w:val="20"/>
          <w:u w:val="none"/>
        </w:rPr>
        <w:t>:</w:t>
      </w:r>
      <w:r>
        <w:rPr>
          <w:rFonts w:ascii="Calibri" w:hAnsi="Calibri"/>
          <w:spacing w:val="-6"/>
          <w:sz w:val="20"/>
          <w:u w:val="none"/>
        </w:rPr>
        <w:t> </w:t>
      </w:r>
      <w:r>
        <w:rPr>
          <w:rFonts w:ascii="Calibri" w:hAnsi="Calibri"/>
          <w:sz w:val="20"/>
          <w:u w:val="none"/>
        </w:rPr>
        <w:t>muy</w:t>
      </w:r>
      <w:r>
        <w:rPr>
          <w:rFonts w:ascii="Calibri" w:hAnsi="Calibri"/>
          <w:spacing w:val="-3"/>
          <w:sz w:val="20"/>
          <w:u w:val="none"/>
        </w:rPr>
        <w:t> </w:t>
      </w:r>
      <w:r>
        <w:rPr>
          <w:rFonts w:ascii="Calibri" w:hAnsi="Calibri"/>
          <w:sz w:val="20"/>
          <w:u w:val="none"/>
        </w:rPr>
        <w:t>probablemente sería necesario duplicar o sustituir componentes del sistema para lograr su interoperabilidad, con</w:t>
      </w:r>
      <w:r>
        <w:rPr>
          <w:rFonts w:ascii="Calibri" w:hAnsi="Calibri"/>
          <w:spacing w:val="-4"/>
          <w:sz w:val="20"/>
          <w:u w:val="none"/>
        </w:rPr>
        <w:t> </w:t>
      </w:r>
      <w:r>
        <w:rPr>
          <w:rFonts w:ascii="Calibri" w:hAnsi="Calibri"/>
          <w:sz w:val="20"/>
          <w:u w:val="none"/>
        </w:rPr>
        <w:t>el</w:t>
      </w:r>
      <w:r>
        <w:rPr>
          <w:rFonts w:ascii="Calibri" w:hAnsi="Calibri"/>
          <w:spacing w:val="-5"/>
          <w:sz w:val="20"/>
          <w:u w:val="none"/>
        </w:rPr>
        <w:t> </w:t>
      </w:r>
      <w:r>
        <w:rPr>
          <w:rFonts w:ascii="Calibri" w:hAnsi="Calibri"/>
          <w:sz w:val="20"/>
          <w:u w:val="none"/>
        </w:rPr>
        <w:t>consiguiente</w:t>
      </w:r>
      <w:r>
        <w:rPr>
          <w:rFonts w:ascii="Calibri" w:hAnsi="Calibri"/>
          <w:spacing w:val="-5"/>
          <w:sz w:val="20"/>
          <w:u w:val="none"/>
        </w:rPr>
        <w:t> </w:t>
      </w:r>
      <w:r>
        <w:rPr>
          <w:rFonts w:ascii="Calibri" w:hAnsi="Calibri"/>
          <w:sz w:val="20"/>
          <w:u w:val="none"/>
        </w:rPr>
        <w:t>riesgo</w:t>
      </w:r>
      <w:r>
        <w:rPr>
          <w:rFonts w:ascii="Calibri" w:hAnsi="Calibri"/>
          <w:spacing w:val="-5"/>
          <w:sz w:val="20"/>
          <w:u w:val="none"/>
        </w:rPr>
        <w:t> </w:t>
      </w:r>
      <w:r>
        <w:rPr>
          <w:rFonts w:ascii="Calibri" w:hAnsi="Calibri"/>
          <w:sz w:val="20"/>
          <w:u w:val="none"/>
        </w:rPr>
        <w:t>de</w:t>
      </w:r>
      <w:r>
        <w:rPr>
          <w:rFonts w:ascii="Calibri" w:hAnsi="Calibri"/>
          <w:spacing w:val="-4"/>
          <w:sz w:val="20"/>
          <w:u w:val="none"/>
        </w:rPr>
        <w:t> </w:t>
      </w:r>
      <w:r>
        <w:rPr>
          <w:rFonts w:ascii="Calibri" w:hAnsi="Calibri"/>
          <w:sz w:val="20"/>
          <w:u w:val="none"/>
        </w:rPr>
        <w:t>incompatibilidades,</w:t>
      </w:r>
      <w:r>
        <w:rPr>
          <w:rFonts w:ascii="Calibri" w:hAnsi="Calibri"/>
          <w:spacing w:val="-4"/>
          <w:sz w:val="20"/>
          <w:u w:val="none"/>
        </w:rPr>
        <w:t> </w:t>
      </w:r>
      <w:r>
        <w:rPr>
          <w:rFonts w:ascii="Calibri" w:hAnsi="Calibri"/>
          <w:sz w:val="20"/>
          <w:u w:val="none"/>
        </w:rPr>
        <w:t>interrupción</w:t>
      </w:r>
      <w:r>
        <w:rPr>
          <w:rFonts w:ascii="Calibri" w:hAnsi="Calibri"/>
          <w:spacing w:val="-4"/>
          <w:sz w:val="20"/>
          <w:u w:val="none"/>
        </w:rPr>
        <w:t> </w:t>
      </w:r>
      <w:r>
        <w:rPr>
          <w:rFonts w:ascii="Calibri" w:hAnsi="Calibri"/>
          <w:sz w:val="20"/>
          <w:u w:val="none"/>
        </w:rPr>
        <w:t>del</w:t>
      </w:r>
      <w:r>
        <w:rPr>
          <w:rFonts w:ascii="Calibri" w:hAnsi="Calibri"/>
          <w:spacing w:val="-5"/>
          <w:sz w:val="20"/>
          <w:u w:val="none"/>
        </w:rPr>
        <w:t> </w:t>
      </w:r>
      <w:r>
        <w:rPr>
          <w:rFonts w:ascii="Calibri" w:hAnsi="Calibri"/>
          <w:sz w:val="20"/>
          <w:u w:val="none"/>
        </w:rPr>
        <w:t>servicio</w:t>
      </w:r>
      <w:r>
        <w:rPr>
          <w:rFonts w:ascii="Calibri" w:hAnsi="Calibri"/>
          <w:spacing w:val="-3"/>
          <w:sz w:val="20"/>
          <w:u w:val="none"/>
        </w:rPr>
        <w:t> </w:t>
      </w:r>
      <w:r>
        <w:rPr>
          <w:rFonts w:ascii="Calibri" w:hAnsi="Calibri"/>
          <w:sz w:val="20"/>
          <w:u w:val="none"/>
        </w:rPr>
        <w:t>e</w:t>
      </w:r>
      <w:r>
        <w:rPr>
          <w:rFonts w:ascii="Calibri" w:hAnsi="Calibri"/>
          <w:spacing w:val="-4"/>
          <w:sz w:val="20"/>
          <w:u w:val="none"/>
        </w:rPr>
        <w:t> </w:t>
      </w:r>
      <w:r>
        <w:rPr>
          <w:rFonts w:ascii="Calibri" w:hAnsi="Calibri"/>
          <w:sz w:val="20"/>
          <w:u w:val="none"/>
        </w:rPr>
        <w:t>incluso</w:t>
      </w:r>
      <w:r>
        <w:rPr>
          <w:rFonts w:ascii="Calibri" w:hAnsi="Calibri"/>
          <w:spacing w:val="-3"/>
          <w:sz w:val="20"/>
          <w:u w:val="none"/>
        </w:rPr>
        <w:t> </w:t>
      </w:r>
      <w:r>
        <w:rPr>
          <w:rFonts w:ascii="Calibri" w:hAnsi="Calibri"/>
          <w:sz w:val="20"/>
          <w:u w:val="none"/>
        </w:rPr>
        <w:t>pérdida</w:t>
      </w:r>
      <w:r>
        <w:rPr>
          <w:rFonts w:ascii="Calibri" w:hAnsi="Calibri"/>
          <w:spacing w:val="-3"/>
          <w:sz w:val="20"/>
          <w:u w:val="none"/>
        </w:rPr>
        <w:t> </w:t>
      </w:r>
      <w:r>
        <w:rPr>
          <w:rFonts w:ascii="Calibri" w:hAnsi="Calibri"/>
          <w:sz w:val="20"/>
          <w:u w:val="none"/>
        </w:rPr>
        <w:t>de las inversiones ya realizadas. Asimismo, un cambio de empresa adjudicataria conllevaría elevados</w:t>
      </w:r>
      <w:r>
        <w:rPr>
          <w:rFonts w:ascii="Calibri" w:hAnsi="Calibri"/>
          <w:spacing w:val="-8"/>
          <w:sz w:val="20"/>
          <w:u w:val="none"/>
        </w:rPr>
        <w:t> </w:t>
      </w:r>
      <w:r>
        <w:rPr>
          <w:rFonts w:ascii="Calibri" w:hAnsi="Calibri"/>
          <w:sz w:val="20"/>
          <w:u w:val="none"/>
        </w:rPr>
        <w:t>costes</w:t>
      </w:r>
      <w:r>
        <w:rPr>
          <w:rFonts w:ascii="Calibri" w:hAnsi="Calibri"/>
          <w:spacing w:val="-8"/>
          <w:sz w:val="20"/>
          <w:u w:val="none"/>
        </w:rPr>
        <w:t> </w:t>
      </w:r>
      <w:r>
        <w:rPr>
          <w:rFonts w:ascii="Calibri" w:hAnsi="Calibri"/>
          <w:sz w:val="20"/>
          <w:u w:val="none"/>
        </w:rPr>
        <w:t>de</w:t>
      </w:r>
      <w:r>
        <w:rPr>
          <w:rFonts w:ascii="Calibri" w:hAnsi="Calibri"/>
          <w:spacing w:val="-6"/>
          <w:sz w:val="20"/>
          <w:u w:val="none"/>
        </w:rPr>
        <w:t> </w:t>
      </w:r>
      <w:r>
        <w:rPr>
          <w:rFonts w:ascii="Calibri" w:hAnsi="Calibri"/>
          <w:sz w:val="20"/>
          <w:u w:val="none"/>
        </w:rPr>
        <w:t>transacción</w:t>
      </w:r>
      <w:r>
        <w:rPr>
          <w:rFonts w:ascii="Calibri" w:hAnsi="Calibri"/>
          <w:spacing w:val="-4"/>
          <w:sz w:val="20"/>
          <w:u w:val="none"/>
        </w:rPr>
        <w:t> </w:t>
      </w:r>
      <w:r>
        <w:rPr>
          <w:rFonts w:ascii="Calibri" w:hAnsi="Calibri"/>
          <w:sz w:val="20"/>
          <w:u w:val="none"/>
        </w:rPr>
        <w:t>adicionales</w:t>
      </w:r>
      <w:r>
        <w:rPr>
          <w:rFonts w:ascii="Calibri" w:hAnsi="Calibri"/>
          <w:spacing w:val="-6"/>
          <w:sz w:val="20"/>
          <w:u w:val="none"/>
        </w:rPr>
        <w:t> </w:t>
      </w:r>
      <w:r>
        <w:rPr>
          <w:rFonts w:ascii="Calibri" w:hAnsi="Calibri"/>
          <w:sz w:val="20"/>
          <w:u w:val="none"/>
        </w:rPr>
        <w:t>(desarrollo</w:t>
      </w:r>
      <w:r>
        <w:rPr>
          <w:rFonts w:ascii="Calibri" w:hAnsi="Calibri"/>
          <w:spacing w:val="-5"/>
          <w:sz w:val="20"/>
          <w:u w:val="none"/>
        </w:rPr>
        <w:t> </w:t>
      </w:r>
      <w:r>
        <w:rPr>
          <w:rFonts w:ascii="Calibri" w:hAnsi="Calibri"/>
          <w:sz w:val="20"/>
          <w:u w:val="none"/>
        </w:rPr>
        <w:t>de</w:t>
      </w:r>
      <w:r>
        <w:rPr>
          <w:rFonts w:ascii="Calibri" w:hAnsi="Calibri"/>
          <w:spacing w:val="-6"/>
          <w:sz w:val="20"/>
          <w:u w:val="none"/>
        </w:rPr>
        <w:t> </w:t>
      </w:r>
      <w:r>
        <w:rPr>
          <w:rFonts w:ascii="Calibri" w:hAnsi="Calibri"/>
          <w:sz w:val="20"/>
          <w:u w:val="none"/>
        </w:rPr>
        <w:t>adaptaciones</w:t>
      </w:r>
      <w:r>
        <w:rPr>
          <w:rFonts w:ascii="Calibri" w:hAnsi="Calibri"/>
          <w:spacing w:val="-8"/>
          <w:sz w:val="20"/>
          <w:u w:val="none"/>
        </w:rPr>
        <w:t> </w:t>
      </w:r>
      <w:r>
        <w:rPr>
          <w:rFonts w:ascii="Calibri" w:hAnsi="Calibri"/>
          <w:sz w:val="20"/>
          <w:u w:val="none"/>
        </w:rPr>
        <w:t>a</w:t>
      </w:r>
      <w:r>
        <w:rPr>
          <w:rFonts w:ascii="Calibri" w:hAnsi="Calibri"/>
          <w:spacing w:val="-11"/>
          <w:sz w:val="20"/>
          <w:u w:val="none"/>
        </w:rPr>
        <w:t> </w:t>
      </w:r>
      <w:r>
        <w:rPr>
          <w:rFonts w:ascii="Calibri" w:hAnsi="Calibri"/>
          <w:sz w:val="20"/>
          <w:u w:val="none"/>
        </w:rPr>
        <w:t>medida,</w:t>
      </w:r>
      <w:r>
        <w:rPr>
          <w:rFonts w:ascii="Calibri" w:hAnsi="Calibri"/>
          <w:spacing w:val="-6"/>
          <w:sz w:val="20"/>
          <w:u w:val="none"/>
        </w:rPr>
        <w:t> </w:t>
      </w:r>
      <w:r>
        <w:rPr>
          <w:rFonts w:ascii="Calibri" w:hAnsi="Calibri"/>
          <w:sz w:val="20"/>
          <w:u w:val="none"/>
        </w:rPr>
        <w:t>migración</w:t>
      </w:r>
      <w:r>
        <w:rPr>
          <w:rFonts w:ascii="Calibri" w:hAnsi="Calibri"/>
          <w:spacing w:val="-8"/>
          <w:sz w:val="20"/>
          <w:u w:val="none"/>
        </w:rPr>
        <w:t> </w:t>
      </w:r>
      <w:r>
        <w:rPr>
          <w:rFonts w:ascii="Calibri" w:hAnsi="Calibri"/>
          <w:sz w:val="20"/>
          <w:u w:val="none"/>
        </w:rPr>
        <w:t>de datos, nuevos procesos de homologación, formación del personal, etc.), así como demoras significativas en la ejecución, incompatibles con los plazos exigidos para las actuaciones financiadas por el PRTR.</w:t>
      </w:r>
    </w:p>
    <w:p>
      <w:pPr>
        <w:spacing w:line="256" w:lineRule="auto" w:before="148"/>
        <w:ind w:left="1925" w:right="2016" w:firstLine="0"/>
        <w:jc w:val="both"/>
        <w:rPr>
          <w:rFonts w:ascii="Calibri" w:hAnsi="Calibri"/>
          <w:sz w:val="20"/>
        </w:rPr>
      </w:pPr>
      <w:r>
        <w:rPr>
          <w:rFonts w:ascii="Calibri" w:hAnsi="Calibri"/>
          <w:sz w:val="20"/>
        </w:rPr>
        <w:t>Por todas estas razones (recogidas expresamente en la memoria justificativa de la modificación) se concluyó que no procedía ni era conveniente iniciar una nueva contratación independiente. La solución más eficaz y conforme a Derecho fue la continuidad con el mismo adjudicatario mediante la modificación del contrato original, al amparo del art.</w:t>
      </w:r>
      <w:r>
        <w:rPr>
          <w:rFonts w:ascii="Calibri" w:hAnsi="Calibri"/>
          <w:spacing w:val="-5"/>
          <w:sz w:val="20"/>
        </w:rPr>
        <w:t> </w:t>
      </w:r>
      <w:r>
        <w:rPr>
          <w:rFonts w:ascii="Calibri" w:hAnsi="Calibri"/>
          <w:sz w:val="20"/>
        </w:rPr>
        <w:t>205.2.b) LCSP, garantizando la integración tecnológica inmediata y</w:t>
      </w:r>
      <w:r>
        <w:rPr>
          <w:rFonts w:ascii="Calibri" w:hAnsi="Calibri"/>
          <w:spacing w:val="-2"/>
          <w:sz w:val="20"/>
        </w:rPr>
        <w:t> </w:t>
      </w:r>
      <w:r>
        <w:rPr>
          <w:rFonts w:ascii="Calibri" w:hAnsi="Calibri"/>
          <w:sz w:val="20"/>
        </w:rPr>
        <w:t>evitando los perjuicios mencionados.</w:t>
      </w:r>
    </w:p>
    <w:p>
      <w:pPr>
        <w:spacing w:line="256" w:lineRule="auto" w:before="146"/>
        <w:ind w:left="1925" w:right="2019" w:firstLine="0"/>
        <w:jc w:val="both"/>
        <w:rPr>
          <w:rFonts w:ascii="Calibri" w:hAnsi="Calibri"/>
          <w:sz w:val="20"/>
        </w:rPr>
      </w:pPr>
      <w:r>
        <w:rPr>
          <w:rFonts w:ascii="Calibri" w:hAnsi="Calibri"/>
          <w:sz w:val="20"/>
        </w:rPr>
        <w:t>3º Con respecto a los </w:t>
      </w:r>
      <w:r>
        <w:rPr>
          <w:rFonts w:ascii="Calibri" w:hAnsi="Calibri"/>
          <w:sz w:val="20"/>
          <w:u w:val="single"/>
        </w:rPr>
        <w:t>retrasos acumulados</w:t>
      </w:r>
      <w:r>
        <w:rPr>
          <w:rFonts w:ascii="Calibri" w:hAnsi="Calibri"/>
          <w:sz w:val="20"/>
          <w:u w:val="none"/>
        </w:rPr>
        <w:t> en la ejecución del contrato modificado obedecieron a causas extraordinarias e imprevisibles, ajenas tanto a EMTSAM como al contratista, las cuales fueron debidamente puestas en conocimiento del órgano de </w:t>
      </w:r>
      <w:r>
        <w:rPr>
          <w:rFonts w:ascii="Calibri" w:hAnsi="Calibri"/>
          <w:spacing w:val="-2"/>
          <w:sz w:val="20"/>
          <w:u w:val="none"/>
        </w:rPr>
        <w:t>contratación.</w:t>
      </w:r>
    </w:p>
    <w:p>
      <w:pPr>
        <w:spacing w:line="256" w:lineRule="auto" w:before="146"/>
        <w:ind w:left="1925" w:right="2021" w:firstLine="0"/>
        <w:jc w:val="both"/>
        <w:rPr>
          <w:rFonts w:ascii="Calibri" w:hAnsi="Calibri"/>
          <w:sz w:val="20"/>
        </w:rPr>
      </w:pPr>
      <w:r>
        <w:rPr>
          <w:rFonts w:ascii="Calibri" w:hAnsi="Calibri"/>
          <w:sz w:val="20"/>
        </w:rPr>
        <w:t>En concreto, incidió la crisis global de semiconductores desencadenada desde 2020 provocó una</w:t>
      </w:r>
      <w:r>
        <w:rPr>
          <w:rFonts w:ascii="Calibri" w:hAnsi="Calibri"/>
          <w:spacing w:val="-11"/>
          <w:sz w:val="20"/>
        </w:rPr>
        <w:t> </w:t>
      </w:r>
      <w:r>
        <w:rPr>
          <w:rFonts w:ascii="Calibri" w:hAnsi="Calibri"/>
          <w:sz w:val="20"/>
        </w:rPr>
        <w:t>grave</w:t>
      </w:r>
      <w:r>
        <w:rPr>
          <w:rFonts w:ascii="Calibri" w:hAnsi="Calibri"/>
          <w:spacing w:val="-8"/>
          <w:sz w:val="20"/>
        </w:rPr>
        <w:t> </w:t>
      </w:r>
      <w:r>
        <w:rPr>
          <w:rFonts w:ascii="Calibri" w:hAnsi="Calibri"/>
          <w:sz w:val="20"/>
        </w:rPr>
        <w:t>escasez</w:t>
      </w:r>
      <w:r>
        <w:rPr>
          <w:rFonts w:ascii="Calibri" w:hAnsi="Calibri"/>
          <w:spacing w:val="-10"/>
          <w:sz w:val="20"/>
        </w:rPr>
        <w:t> </w:t>
      </w:r>
      <w:r>
        <w:rPr>
          <w:rFonts w:ascii="Calibri" w:hAnsi="Calibri"/>
          <w:sz w:val="20"/>
        </w:rPr>
        <w:t>de</w:t>
      </w:r>
      <w:r>
        <w:rPr>
          <w:rFonts w:ascii="Calibri" w:hAnsi="Calibri"/>
          <w:spacing w:val="-10"/>
          <w:sz w:val="20"/>
        </w:rPr>
        <w:t> </w:t>
      </w:r>
      <w:r>
        <w:rPr>
          <w:rFonts w:ascii="Calibri" w:hAnsi="Calibri"/>
          <w:sz w:val="20"/>
        </w:rPr>
        <w:t>microchips</w:t>
      </w:r>
      <w:r>
        <w:rPr>
          <w:rFonts w:ascii="Calibri" w:hAnsi="Calibri"/>
          <w:spacing w:val="-10"/>
          <w:sz w:val="20"/>
        </w:rPr>
        <w:t> </w:t>
      </w:r>
      <w:r>
        <w:rPr>
          <w:rFonts w:ascii="Calibri" w:hAnsi="Calibri"/>
          <w:sz w:val="20"/>
        </w:rPr>
        <w:t>y</w:t>
      </w:r>
      <w:r>
        <w:rPr>
          <w:rFonts w:ascii="Calibri" w:hAnsi="Calibri"/>
          <w:spacing w:val="-10"/>
          <w:sz w:val="20"/>
        </w:rPr>
        <w:t> </w:t>
      </w:r>
      <w:r>
        <w:rPr>
          <w:rFonts w:ascii="Calibri" w:hAnsi="Calibri"/>
          <w:sz w:val="20"/>
        </w:rPr>
        <w:t>componentes</w:t>
      </w:r>
      <w:r>
        <w:rPr>
          <w:rFonts w:ascii="Calibri" w:hAnsi="Calibri"/>
          <w:spacing w:val="-12"/>
          <w:sz w:val="20"/>
        </w:rPr>
        <w:t> </w:t>
      </w:r>
      <w:r>
        <w:rPr>
          <w:rFonts w:ascii="Calibri" w:hAnsi="Calibri"/>
          <w:sz w:val="20"/>
        </w:rPr>
        <w:t>electrónicos</w:t>
      </w:r>
      <w:r>
        <w:rPr>
          <w:rFonts w:ascii="Calibri" w:hAnsi="Calibri"/>
          <w:spacing w:val="-11"/>
          <w:sz w:val="20"/>
        </w:rPr>
        <w:t> </w:t>
      </w:r>
      <w:r>
        <w:rPr>
          <w:rFonts w:ascii="Calibri" w:hAnsi="Calibri"/>
          <w:sz w:val="20"/>
        </w:rPr>
        <w:t>a</w:t>
      </w:r>
      <w:r>
        <w:rPr>
          <w:rFonts w:ascii="Calibri" w:hAnsi="Calibri"/>
          <w:spacing w:val="-9"/>
          <w:sz w:val="20"/>
        </w:rPr>
        <w:t> </w:t>
      </w:r>
      <w:r>
        <w:rPr>
          <w:rFonts w:ascii="Calibri" w:hAnsi="Calibri"/>
          <w:sz w:val="20"/>
        </w:rPr>
        <w:t>nivel</w:t>
      </w:r>
      <w:r>
        <w:rPr>
          <w:rFonts w:ascii="Calibri" w:hAnsi="Calibri"/>
          <w:spacing w:val="-12"/>
          <w:sz w:val="20"/>
        </w:rPr>
        <w:t> </w:t>
      </w:r>
      <w:r>
        <w:rPr>
          <w:rFonts w:ascii="Calibri" w:hAnsi="Calibri"/>
          <w:sz w:val="20"/>
        </w:rPr>
        <w:t>mundial,</w:t>
      </w:r>
      <w:r>
        <w:rPr>
          <w:rFonts w:ascii="Calibri" w:hAnsi="Calibri"/>
          <w:spacing w:val="-11"/>
          <w:sz w:val="20"/>
        </w:rPr>
        <w:t> </w:t>
      </w:r>
      <w:r>
        <w:rPr>
          <w:rFonts w:ascii="Calibri" w:hAnsi="Calibri"/>
          <w:sz w:val="20"/>
        </w:rPr>
        <w:t>traduciéndose</w:t>
      </w:r>
      <w:r>
        <w:rPr>
          <w:rFonts w:ascii="Calibri" w:hAnsi="Calibri"/>
          <w:spacing w:val="-11"/>
          <w:sz w:val="20"/>
        </w:rPr>
        <w:t> </w:t>
      </w:r>
      <w:r>
        <w:rPr>
          <w:rFonts w:ascii="Calibri" w:hAnsi="Calibri"/>
          <w:sz w:val="20"/>
        </w:rPr>
        <w:t>en demoras generalizadas en los plazos de fabricación y entrega de equipos tecnológicos.</w:t>
      </w:r>
    </w:p>
    <w:p>
      <w:pPr>
        <w:spacing w:line="256" w:lineRule="auto" w:before="147"/>
        <w:ind w:left="1925" w:right="2018" w:firstLine="0"/>
        <w:jc w:val="both"/>
        <w:rPr>
          <w:rFonts w:ascii="Calibri" w:hAnsi="Calibri"/>
          <w:sz w:val="20"/>
        </w:rPr>
      </w:pPr>
      <w:r>
        <w:rPr>
          <w:rFonts w:ascii="Calibri" w:hAnsi="Calibri"/>
          <w:sz w:val="20"/>
        </w:rPr>
        <w:t>Esta causa externa afectó directamente al suministro del nuevo sistema de Monética/SAE, dado</w:t>
      </w:r>
      <w:r>
        <w:rPr>
          <w:rFonts w:ascii="Calibri" w:hAnsi="Calibri"/>
          <w:spacing w:val="-12"/>
          <w:sz w:val="20"/>
        </w:rPr>
        <w:t> </w:t>
      </w:r>
      <w:r>
        <w:rPr>
          <w:rFonts w:ascii="Calibri" w:hAnsi="Calibri"/>
          <w:sz w:val="20"/>
        </w:rPr>
        <w:t>que</w:t>
      </w:r>
      <w:r>
        <w:rPr>
          <w:rFonts w:ascii="Calibri" w:hAnsi="Calibri"/>
          <w:spacing w:val="-11"/>
          <w:sz w:val="20"/>
        </w:rPr>
        <w:t> </w:t>
      </w:r>
      <w:r>
        <w:rPr>
          <w:rFonts w:ascii="Calibri" w:hAnsi="Calibri"/>
          <w:sz w:val="20"/>
        </w:rPr>
        <w:t>determinados</w:t>
      </w:r>
      <w:r>
        <w:rPr>
          <w:rFonts w:ascii="Calibri" w:hAnsi="Calibri"/>
          <w:spacing w:val="-11"/>
          <w:sz w:val="20"/>
        </w:rPr>
        <w:t> </w:t>
      </w:r>
      <w:r>
        <w:rPr>
          <w:rFonts w:ascii="Calibri" w:hAnsi="Calibri"/>
          <w:sz w:val="20"/>
        </w:rPr>
        <w:t>elementos</w:t>
      </w:r>
      <w:r>
        <w:rPr>
          <w:rFonts w:ascii="Calibri" w:hAnsi="Calibri"/>
          <w:spacing w:val="-12"/>
          <w:sz w:val="20"/>
        </w:rPr>
        <w:t> </w:t>
      </w:r>
      <w:r>
        <w:rPr>
          <w:rFonts w:ascii="Calibri" w:hAnsi="Calibri"/>
          <w:sz w:val="20"/>
        </w:rPr>
        <w:t>hardware</w:t>
      </w:r>
      <w:r>
        <w:rPr>
          <w:rFonts w:ascii="Calibri" w:hAnsi="Calibri"/>
          <w:spacing w:val="-11"/>
          <w:sz w:val="20"/>
        </w:rPr>
        <w:t> </w:t>
      </w:r>
      <w:r>
        <w:rPr>
          <w:rFonts w:ascii="Calibri" w:hAnsi="Calibri"/>
          <w:sz w:val="20"/>
        </w:rPr>
        <w:t>dependían</w:t>
      </w:r>
      <w:r>
        <w:rPr>
          <w:rFonts w:ascii="Calibri" w:hAnsi="Calibri"/>
          <w:spacing w:val="-11"/>
          <w:sz w:val="20"/>
        </w:rPr>
        <w:t> </w:t>
      </w:r>
      <w:r>
        <w:rPr>
          <w:rFonts w:ascii="Calibri" w:hAnsi="Calibri"/>
          <w:sz w:val="20"/>
        </w:rPr>
        <w:t>de</w:t>
      </w:r>
      <w:r>
        <w:rPr>
          <w:rFonts w:ascii="Calibri" w:hAnsi="Calibri"/>
          <w:spacing w:val="-12"/>
          <w:sz w:val="20"/>
        </w:rPr>
        <w:t> </w:t>
      </w:r>
      <w:r>
        <w:rPr>
          <w:rFonts w:ascii="Calibri" w:hAnsi="Calibri"/>
          <w:sz w:val="20"/>
        </w:rPr>
        <w:t>componentes</w:t>
      </w:r>
      <w:r>
        <w:rPr>
          <w:rFonts w:ascii="Calibri" w:hAnsi="Calibri"/>
          <w:spacing w:val="-11"/>
          <w:sz w:val="20"/>
        </w:rPr>
        <w:t> </w:t>
      </w:r>
      <w:r>
        <w:rPr>
          <w:rFonts w:ascii="Calibri" w:hAnsi="Calibri"/>
          <w:sz w:val="20"/>
        </w:rPr>
        <w:t>exclusivos</w:t>
      </w:r>
      <w:r>
        <w:rPr>
          <w:rFonts w:ascii="Calibri" w:hAnsi="Calibri"/>
          <w:spacing w:val="-11"/>
          <w:sz w:val="20"/>
        </w:rPr>
        <w:t> </w:t>
      </w:r>
      <w:r>
        <w:rPr>
          <w:rFonts w:ascii="Calibri" w:hAnsi="Calibri"/>
          <w:sz w:val="20"/>
        </w:rPr>
        <w:t>fabricados por la empresa VIA Technologies, cuyo desabastecimiento específico agravó la demora en la producción</w:t>
      </w:r>
      <w:r>
        <w:rPr>
          <w:rFonts w:ascii="Calibri" w:hAnsi="Calibri"/>
          <w:spacing w:val="-8"/>
          <w:sz w:val="20"/>
        </w:rPr>
        <w:t> </w:t>
      </w:r>
      <w:r>
        <w:rPr>
          <w:rFonts w:ascii="Calibri" w:hAnsi="Calibri"/>
          <w:sz w:val="20"/>
        </w:rPr>
        <w:t>de</w:t>
      </w:r>
      <w:r>
        <w:rPr>
          <w:rFonts w:ascii="Calibri" w:hAnsi="Calibri"/>
          <w:spacing w:val="-11"/>
          <w:sz w:val="20"/>
        </w:rPr>
        <w:t> </w:t>
      </w:r>
      <w:r>
        <w:rPr>
          <w:rFonts w:ascii="Calibri" w:hAnsi="Calibri"/>
          <w:sz w:val="20"/>
        </w:rPr>
        <w:t>los</w:t>
      </w:r>
      <w:r>
        <w:rPr>
          <w:rFonts w:ascii="Calibri" w:hAnsi="Calibri"/>
          <w:spacing w:val="-7"/>
          <w:sz w:val="20"/>
        </w:rPr>
        <w:t> </w:t>
      </w:r>
      <w:r>
        <w:rPr>
          <w:rFonts w:ascii="Calibri" w:hAnsi="Calibri"/>
          <w:sz w:val="20"/>
        </w:rPr>
        <w:t>dispositivos</w:t>
      </w:r>
      <w:r>
        <w:rPr>
          <w:rFonts w:ascii="Calibri" w:hAnsi="Calibri"/>
          <w:spacing w:val="-8"/>
          <w:sz w:val="20"/>
        </w:rPr>
        <w:t> </w:t>
      </w:r>
      <w:r>
        <w:rPr>
          <w:rFonts w:ascii="Calibri" w:hAnsi="Calibri"/>
          <w:sz w:val="20"/>
        </w:rPr>
        <w:t>necesarios.</w:t>
      </w:r>
      <w:r>
        <w:rPr>
          <w:rFonts w:ascii="Calibri" w:hAnsi="Calibri"/>
          <w:spacing w:val="-6"/>
          <w:sz w:val="20"/>
        </w:rPr>
        <w:t> </w:t>
      </w:r>
      <w:r>
        <w:rPr>
          <w:rFonts w:ascii="Calibri" w:hAnsi="Calibri"/>
          <w:sz w:val="20"/>
        </w:rPr>
        <w:t>Frente</w:t>
      </w:r>
      <w:r>
        <w:rPr>
          <w:rFonts w:ascii="Calibri" w:hAnsi="Calibri"/>
          <w:spacing w:val="-8"/>
          <w:sz w:val="20"/>
        </w:rPr>
        <w:t> </w:t>
      </w:r>
      <w:r>
        <w:rPr>
          <w:rFonts w:ascii="Calibri" w:hAnsi="Calibri"/>
          <w:sz w:val="20"/>
        </w:rPr>
        <w:t>a</w:t>
      </w:r>
      <w:r>
        <w:rPr>
          <w:rFonts w:ascii="Calibri" w:hAnsi="Calibri"/>
          <w:spacing w:val="-8"/>
          <w:sz w:val="20"/>
        </w:rPr>
        <w:t> </w:t>
      </w:r>
      <w:r>
        <w:rPr>
          <w:rFonts w:ascii="Calibri" w:hAnsi="Calibri"/>
          <w:sz w:val="20"/>
        </w:rPr>
        <w:t>esta</w:t>
      </w:r>
      <w:r>
        <w:rPr>
          <w:rFonts w:ascii="Calibri" w:hAnsi="Calibri"/>
          <w:spacing w:val="-8"/>
          <w:sz w:val="20"/>
        </w:rPr>
        <w:t> </w:t>
      </w:r>
      <w:r>
        <w:rPr>
          <w:rFonts w:ascii="Calibri" w:hAnsi="Calibri"/>
          <w:sz w:val="20"/>
        </w:rPr>
        <w:t>situación,</w:t>
      </w:r>
      <w:r>
        <w:rPr>
          <w:rFonts w:ascii="Calibri" w:hAnsi="Calibri"/>
          <w:spacing w:val="-6"/>
          <w:sz w:val="20"/>
        </w:rPr>
        <w:t> </w:t>
      </w:r>
      <w:r>
        <w:rPr>
          <w:rFonts w:ascii="Calibri" w:hAnsi="Calibri"/>
          <w:sz w:val="20"/>
        </w:rPr>
        <w:t>se</w:t>
      </w:r>
      <w:r>
        <w:rPr>
          <w:rFonts w:ascii="Calibri" w:hAnsi="Calibri"/>
          <w:spacing w:val="-12"/>
          <w:sz w:val="20"/>
        </w:rPr>
        <w:t> </w:t>
      </w:r>
      <w:r>
        <w:rPr>
          <w:rFonts w:ascii="Calibri" w:hAnsi="Calibri"/>
          <w:sz w:val="20"/>
        </w:rPr>
        <w:t>adoptó</w:t>
      </w:r>
      <w:r>
        <w:rPr>
          <w:rFonts w:ascii="Calibri" w:hAnsi="Calibri"/>
          <w:spacing w:val="-6"/>
          <w:sz w:val="20"/>
        </w:rPr>
        <w:t> </w:t>
      </w:r>
      <w:r>
        <w:rPr>
          <w:rFonts w:ascii="Calibri" w:hAnsi="Calibri"/>
          <w:sz w:val="20"/>
        </w:rPr>
        <w:t>de</w:t>
      </w:r>
      <w:r>
        <w:rPr>
          <w:rFonts w:ascii="Calibri" w:hAnsi="Calibri"/>
          <w:spacing w:val="-8"/>
          <w:sz w:val="20"/>
        </w:rPr>
        <w:t> </w:t>
      </w:r>
      <w:r>
        <w:rPr>
          <w:rFonts w:ascii="Calibri" w:hAnsi="Calibri"/>
          <w:sz w:val="20"/>
        </w:rPr>
        <w:t>común</w:t>
      </w:r>
      <w:r>
        <w:rPr>
          <w:rFonts w:ascii="Calibri" w:hAnsi="Calibri"/>
          <w:spacing w:val="-10"/>
          <w:sz w:val="20"/>
        </w:rPr>
        <w:t> </w:t>
      </w:r>
      <w:r>
        <w:rPr>
          <w:rFonts w:ascii="Calibri" w:hAnsi="Calibri"/>
          <w:sz w:val="20"/>
        </w:rPr>
        <w:t>acuerdo con la UTE adjudicataria, una estrategia de recepciones</w:t>
      </w:r>
      <w:r>
        <w:rPr>
          <w:rFonts w:ascii="Calibri" w:hAnsi="Calibri"/>
          <w:spacing w:val="-1"/>
          <w:sz w:val="20"/>
        </w:rPr>
        <w:t> </w:t>
      </w:r>
      <w:r>
        <w:rPr>
          <w:rFonts w:ascii="Calibri" w:hAnsi="Calibri"/>
          <w:sz w:val="20"/>
        </w:rPr>
        <w:t>parciales para mitigar el</w:t>
      </w:r>
      <w:r>
        <w:rPr>
          <w:rFonts w:ascii="Calibri" w:hAnsi="Calibri"/>
          <w:spacing w:val="-2"/>
          <w:sz w:val="20"/>
        </w:rPr>
        <w:t> </w:t>
      </w:r>
      <w:r>
        <w:rPr>
          <w:rFonts w:ascii="Calibri" w:hAnsi="Calibri"/>
          <w:sz w:val="20"/>
        </w:rPr>
        <w:t>impacto en el servicio. De ahí que a medida que el contratista lograba entregar lotes o subsistemas completos del equipamiento, se fueron recepcionando formalmente por la EMT e instalando progresivamente en la flota, de modo que las nuevas funcionalidades entraban en servicio de forma escalonada. Gracias a esta medida, se consiguió mantener la continuidad del servicio público de transporte e incluso adelantar la puesta en funcionamiento parcial de mejoras, evitando una paralización hasta la recepción total del suministro.</w:t>
      </w:r>
    </w:p>
    <w:p>
      <w:pPr>
        <w:spacing w:line="256" w:lineRule="auto" w:before="146"/>
        <w:ind w:left="1925" w:right="2021" w:firstLine="0"/>
        <w:jc w:val="both"/>
        <w:rPr>
          <w:rFonts w:ascii="Calibri" w:hAnsi="Calibri"/>
          <w:sz w:val="20"/>
        </w:rPr>
      </w:pPr>
      <w:r>
        <w:rPr>
          <w:rFonts w:ascii="Calibri" w:hAnsi="Calibri"/>
          <w:sz w:val="20"/>
        </w:rPr>
        <w:t>En definitiva, los retrasos registrados no son achacables a ninguna de las partes, sino que respondieron a causas imprevisibles y no imputables a las partes, habiéndose gestionado los mismos con diligencia y soluciones operativas (recepciones parciales) para salvaguardar el interés público.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469" name="Group 1469"/>
                <wp:cNvGraphicFramePr>
                  <a:graphicFrameLocks/>
                </wp:cNvGraphicFramePr>
                <a:graphic>
                  <a:graphicData uri="http://schemas.microsoft.com/office/word/2010/wordprocessingGroup">
                    <wpg:wgp>
                      <wpg:cNvPr id="1469" name="Group 1469"/>
                      <wpg:cNvGrpSpPr/>
                      <wpg:grpSpPr>
                        <a:xfrm>
                          <a:off x="0" y="0"/>
                          <a:ext cx="1870075" cy="6350"/>
                          <a:chExt cx="1870075" cy="6350"/>
                        </a:xfrm>
                      </wpg:grpSpPr>
                      <wps:wsp>
                        <wps:cNvPr id="1470" name="Graphic 1470"/>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074" coordorigin="0,0" coordsize="2945,10">
                <v:rect style="position:absolute;left:0;top:0;width:2945;height:10" id="docshape1075"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471" name="Group 1471"/>
                <wp:cNvGraphicFramePr>
                  <a:graphicFrameLocks/>
                </wp:cNvGraphicFramePr>
                <a:graphic>
                  <a:graphicData uri="http://schemas.microsoft.com/office/word/2010/wordprocessingGroup">
                    <wpg:wgp>
                      <wpg:cNvPr id="1471" name="Group 1471"/>
                      <wpg:cNvGrpSpPr/>
                      <wpg:grpSpPr>
                        <a:xfrm>
                          <a:off x="0" y="0"/>
                          <a:ext cx="841375" cy="6350"/>
                          <a:chExt cx="841375" cy="6350"/>
                        </a:xfrm>
                      </wpg:grpSpPr>
                      <wps:wsp>
                        <wps:cNvPr id="1472" name="Graphic 1472"/>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076" coordorigin="0,0" coordsize="1325,10">
                <v:rect style="position:absolute;left:0;top:0;width:1325;height:10" id="docshape1077"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72"/>
          <w:headerReference w:type="even" r:id="rId273"/>
          <w:footerReference w:type="default" r:id="rId274"/>
          <w:pgSz w:w="11910" w:h="16840"/>
          <w:pgMar w:header="828" w:footer="1017" w:top="1500" w:bottom="1200" w:left="141" w:right="141"/>
          <w:pgNumType w:start="23"/>
        </w:sectPr>
      </w:pPr>
    </w:p>
    <w:p>
      <w:pPr>
        <w:spacing w:line="181" w:lineRule="exact" w:before="63"/>
        <w:ind w:left="5206" w:right="0" w:firstLine="0"/>
        <w:jc w:val="left"/>
        <w:rPr>
          <w:sz w:val="16"/>
        </w:rPr>
      </w:pPr>
      <w:r>
        <w:rPr>
          <w:sz w:val="16"/>
        </w:rPr>
        <mc:AlternateContent>
          <mc:Choice Requires="wps">
            <w:drawing>
              <wp:anchor distT="0" distB="0" distL="0" distR="0" allowOverlap="1" layoutInCell="1" locked="0" behindDoc="1" simplePos="0" relativeHeight="474411520">
                <wp:simplePos x="0" y="0"/>
                <wp:positionH relativeFrom="page">
                  <wp:posOffset>168402</wp:posOffset>
                </wp:positionH>
                <wp:positionV relativeFrom="page">
                  <wp:posOffset>9796287</wp:posOffset>
                </wp:positionV>
                <wp:extent cx="7207250" cy="745490"/>
                <wp:effectExtent l="0" t="0" r="0" b="0"/>
                <wp:wrapNone/>
                <wp:docPr id="1473" name="Group 1473"/>
                <wp:cNvGraphicFramePr>
                  <a:graphicFrameLocks/>
                </wp:cNvGraphicFramePr>
                <a:graphic>
                  <a:graphicData uri="http://schemas.microsoft.com/office/word/2010/wordprocessingGroup">
                    <wpg:wgp>
                      <wpg:cNvPr id="1473" name="Group 1473"/>
                      <wpg:cNvGrpSpPr/>
                      <wpg:grpSpPr>
                        <a:xfrm>
                          <a:off x="0" y="0"/>
                          <a:ext cx="7207250" cy="745490"/>
                          <a:chExt cx="7207250" cy="745490"/>
                        </a:xfrm>
                      </wpg:grpSpPr>
                      <wps:wsp>
                        <wps:cNvPr id="1474" name="Graphic 1474"/>
                        <wps:cNvSpPr/>
                        <wps:spPr>
                          <a:xfrm>
                            <a:off x="3810" y="24368"/>
                            <a:ext cx="6490970" cy="696595"/>
                          </a:xfrm>
                          <a:custGeom>
                            <a:avLst/>
                            <a:gdLst/>
                            <a:ahLst/>
                            <a:cxnLst/>
                            <a:rect l="l" t="t" r="r" b="b"/>
                            <a:pathLst>
                              <a:path w="6490970" h="696595">
                                <a:moveTo>
                                  <a:pt x="1298448" y="0"/>
                                </a:moveTo>
                                <a:lnTo>
                                  <a:pt x="0" y="0"/>
                                </a:lnTo>
                                <a:lnTo>
                                  <a:pt x="0" y="138684"/>
                                </a:lnTo>
                                <a:lnTo>
                                  <a:pt x="0" y="140208"/>
                                </a:lnTo>
                                <a:lnTo>
                                  <a:pt x="0" y="417576"/>
                                </a:lnTo>
                                <a:lnTo>
                                  <a:pt x="0" y="696468"/>
                                </a:lnTo>
                                <a:lnTo>
                                  <a:pt x="1298448" y="696468"/>
                                </a:lnTo>
                                <a:lnTo>
                                  <a:pt x="1298448" y="417576"/>
                                </a:lnTo>
                                <a:lnTo>
                                  <a:pt x="1298448" y="140208"/>
                                </a:lnTo>
                                <a:lnTo>
                                  <a:pt x="1298448" y="138684"/>
                                </a:lnTo>
                                <a:lnTo>
                                  <a:pt x="1298448" y="0"/>
                                </a:lnTo>
                                <a:close/>
                              </a:path>
                              <a:path w="6490970" h="696595">
                                <a:moveTo>
                                  <a:pt x="5192268" y="277368"/>
                                </a:moveTo>
                                <a:lnTo>
                                  <a:pt x="4543044" y="277368"/>
                                </a:lnTo>
                                <a:lnTo>
                                  <a:pt x="4543044" y="417576"/>
                                </a:lnTo>
                                <a:lnTo>
                                  <a:pt x="5192268" y="417576"/>
                                </a:lnTo>
                                <a:lnTo>
                                  <a:pt x="5192268" y="277368"/>
                                </a:lnTo>
                                <a:close/>
                              </a:path>
                              <a:path w="6490970" h="696595">
                                <a:moveTo>
                                  <a:pt x="6490716" y="0"/>
                                </a:moveTo>
                                <a:lnTo>
                                  <a:pt x="4543044" y="0"/>
                                </a:lnTo>
                                <a:lnTo>
                                  <a:pt x="4543044" y="140208"/>
                                </a:lnTo>
                                <a:lnTo>
                                  <a:pt x="6490716" y="140208"/>
                                </a:lnTo>
                                <a:lnTo>
                                  <a:pt x="6490716" y="0"/>
                                </a:lnTo>
                                <a:close/>
                              </a:path>
                            </a:pathLst>
                          </a:custGeom>
                          <a:solidFill>
                            <a:srgbClr val="CCCCCC"/>
                          </a:solidFill>
                        </wps:spPr>
                        <wps:bodyPr wrap="square" lIns="0" tIns="0" rIns="0" bIns="0" rtlCol="0">
                          <a:prstTxWarp prst="textNoShape">
                            <a:avLst/>
                          </a:prstTxWarp>
                          <a:noAutofit/>
                        </wps:bodyPr>
                      </wps:wsp>
                      <wps:wsp>
                        <wps:cNvPr id="1475" name="Graphic 1475"/>
                        <wps:cNvSpPr/>
                        <wps:spPr>
                          <a:xfrm>
                            <a:off x="6520433" y="0"/>
                            <a:ext cx="1270" cy="745490"/>
                          </a:xfrm>
                          <a:custGeom>
                            <a:avLst/>
                            <a:gdLst/>
                            <a:ahLst/>
                            <a:cxnLst/>
                            <a:rect l="l" t="t" r="r" b="b"/>
                            <a:pathLst>
                              <a:path w="0" h="745490">
                                <a:moveTo>
                                  <a:pt x="0" y="745220"/>
                                </a:moveTo>
                                <a:lnTo>
                                  <a:pt x="0" y="0"/>
                                </a:lnTo>
                              </a:path>
                            </a:pathLst>
                          </a:custGeom>
                          <a:ln w="7619">
                            <a:solidFill>
                              <a:srgbClr val="000000"/>
                            </a:solidFill>
                            <a:prstDash val="solid"/>
                          </a:ln>
                        </wps:spPr>
                        <wps:bodyPr wrap="square" lIns="0" tIns="0" rIns="0" bIns="0" rtlCol="0">
                          <a:prstTxWarp prst="textNoShape">
                            <a:avLst/>
                          </a:prstTxWarp>
                          <a:noAutofit/>
                        </wps:bodyPr>
                      </wps:wsp>
                      <wps:wsp>
                        <wps:cNvPr id="1476" name="Graphic 1476"/>
                        <wps:cNvSpPr/>
                        <wps:spPr>
                          <a:xfrm>
                            <a:off x="3809" y="24368"/>
                            <a:ext cx="1298575" cy="140335"/>
                          </a:xfrm>
                          <a:custGeom>
                            <a:avLst/>
                            <a:gdLst/>
                            <a:ahLst/>
                            <a:cxnLst/>
                            <a:rect l="l" t="t" r="r" b="b"/>
                            <a:pathLst>
                              <a:path w="1298575" h="140335">
                                <a:moveTo>
                                  <a:pt x="0" y="140207"/>
                                </a:moveTo>
                                <a:lnTo>
                                  <a:pt x="1298447" y="140207"/>
                                </a:lnTo>
                                <a:lnTo>
                                  <a:pt x="1298447"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477" name="Graphic 1477"/>
                        <wps:cNvSpPr/>
                        <wps:spPr>
                          <a:xfrm>
                            <a:off x="1302258" y="24368"/>
                            <a:ext cx="3244850" cy="140335"/>
                          </a:xfrm>
                          <a:custGeom>
                            <a:avLst/>
                            <a:gdLst/>
                            <a:ahLst/>
                            <a:cxnLst/>
                            <a:rect l="l" t="t" r="r" b="b"/>
                            <a:pathLst>
                              <a:path w="3244850" h="140335">
                                <a:moveTo>
                                  <a:pt x="0" y="140207"/>
                                </a:moveTo>
                                <a:lnTo>
                                  <a:pt x="3244595" y="140207"/>
                                </a:lnTo>
                              </a:path>
                              <a:path w="3244850" h="140335">
                                <a:moveTo>
                                  <a:pt x="3244595" y="140207"/>
                                </a:moveTo>
                                <a:lnTo>
                                  <a:pt x="3244595" y="0"/>
                                </a:lnTo>
                              </a:path>
                              <a:path w="3244850" h="140335">
                                <a:moveTo>
                                  <a:pt x="3244595" y="0"/>
                                </a:moveTo>
                                <a:lnTo>
                                  <a:pt x="0" y="0"/>
                                </a:lnTo>
                              </a:path>
                              <a:path w="3244850" h="140335">
                                <a:moveTo>
                                  <a:pt x="0" y="0"/>
                                </a:moveTo>
                                <a:lnTo>
                                  <a:pt x="0" y="140207"/>
                                </a:lnTo>
                              </a:path>
                              <a:path w="3244850" h="140335">
                                <a:moveTo>
                                  <a:pt x="3244595" y="140207"/>
                                </a:moveTo>
                                <a:lnTo>
                                  <a:pt x="3244595" y="0"/>
                                </a:lnTo>
                              </a:path>
                              <a:path w="3244850" h="140335">
                                <a:moveTo>
                                  <a:pt x="0" y="0"/>
                                </a:moveTo>
                                <a:lnTo>
                                  <a:pt x="0" y="140207"/>
                                </a:lnTo>
                              </a:path>
                            </a:pathLst>
                          </a:custGeom>
                          <a:ln w="7619">
                            <a:solidFill>
                              <a:srgbClr val="000000"/>
                            </a:solidFill>
                            <a:prstDash val="solid"/>
                          </a:ln>
                        </wps:spPr>
                        <wps:bodyPr wrap="square" lIns="0" tIns="0" rIns="0" bIns="0" rtlCol="0">
                          <a:prstTxWarp prst="textNoShape">
                            <a:avLst/>
                          </a:prstTxWarp>
                          <a:noAutofit/>
                        </wps:bodyPr>
                      </wps:wsp>
                      <wps:wsp>
                        <wps:cNvPr id="1478" name="Graphic 1478"/>
                        <wps:cNvSpPr/>
                        <wps:spPr>
                          <a:xfrm>
                            <a:off x="4546853" y="24368"/>
                            <a:ext cx="649605" cy="140335"/>
                          </a:xfrm>
                          <a:custGeom>
                            <a:avLst/>
                            <a:gdLst/>
                            <a:ahLst/>
                            <a:cxnLst/>
                            <a:rect l="l" t="t" r="r" b="b"/>
                            <a:pathLst>
                              <a:path w="649605" h="140335">
                                <a:moveTo>
                                  <a:pt x="0" y="140207"/>
                                </a:moveTo>
                                <a:lnTo>
                                  <a:pt x="649223" y="140207"/>
                                </a:lnTo>
                                <a:lnTo>
                                  <a:pt x="649223"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479" name="Graphic 1479"/>
                        <wps:cNvSpPr/>
                        <wps:spPr>
                          <a:xfrm>
                            <a:off x="5196078" y="24368"/>
                            <a:ext cx="1298575" cy="140335"/>
                          </a:xfrm>
                          <a:custGeom>
                            <a:avLst/>
                            <a:gdLst/>
                            <a:ahLst/>
                            <a:cxnLst/>
                            <a:rect l="l" t="t" r="r" b="b"/>
                            <a:pathLst>
                              <a:path w="1298575" h="140335">
                                <a:moveTo>
                                  <a:pt x="0" y="140207"/>
                                </a:moveTo>
                                <a:lnTo>
                                  <a:pt x="1298447" y="140207"/>
                                </a:lnTo>
                                <a:lnTo>
                                  <a:pt x="1298447"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480" name="Graphic 1480"/>
                        <wps:cNvSpPr/>
                        <wps:spPr>
                          <a:xfrm>
                            <a:off x="3809" y="164576"/>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81" name="Graphic 1481"/>
                        <wps:cNvSpPr/>
                        <wps:spPr>
                          <a:xfrm>
                            <a:off x="1302258" y="164576"/>
                            <a:ext cx="3244850" cy="139065"/>
                          </a:xfrm>
                          <a:custGeom>
                            <a:avLst/>
                            <a:gdLst/>
                            <a:ahLst/>
                            <a:cxnLst/>
                            <a:rect l="l" t="t" r="r" b="b"/>
                            <a:pathLst>
                              <a:path w="3244850" h="139065">
                                <a:moveTo>
                                  <a:pt x="0" y="138683"/>
                                </a:moveTo>
                                <a:lnTo>
                                  <a:pt x="3244595" y="138683"/>
                                </a:lnTo>
                                <a:lnTo>
                                  <a:pt x="3244595"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82" name="Graphic 1482"/>
                        <wps:cNvSpPr/>
                        <wps:spPr>
                          <a:xfrm>
                            <a:off x="4546853" y="164576"/>
                            <a:ext cx="649605" cy="139065"/>
                          </a:xfrm>
                          <a:custGeom>
                            <a:avLst/>
                            <a:gdLst/>
                            <a:ahLst/>
                            <a:cxnLst/>
                            <a:rect l="l" t="t" r="r" b="b"/>
                            <a:pathLst>
                              <a:path w="649605" h="139065">
                                <a:moveTo>
                                  <a:pt x="0" y="138683"/>
                                </a:moveTo>
                                <a:lnTo>
                                  <a:pt x="649223" y="138683"/>
                                </a:lnTo>
                                <a:lnTo>
                                  <a:pt x="649223"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83" name="Graphic 1483"/>
                        <wps:cNvSpPr/>
                        <wps:spPr>
                          <a:xfrm>
                            <a:off x="5196078" y="164576"/>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84" name="Graphic 1484"/>
                        <wps:cNvSpPr/>
                        <wps:spPr>
                          <a:xfrm>
                            <a:off x="3809" y="303260"/>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85" name="Graphic 1485"/>
                        <wps:cNvSpPr/>
                        <wps:spPr>
                          <a:xfrm>
                            <a:off x="1302258" y="303260"/>
                            <a:ext cx="3244850" cy="139065"/>
                          </a:xfrm>
                          <a:custGeom>
                            <a:avLst/>
                            <a:gdLst/>
                            <a:ahLst/>
                            <a:cxnLst/>
                            <a:rect l="l" t="t" r="r" b="b"/>
                            <a:pathLst>
                              <a:path w="3244850" h="139065">
                                <a:moveTo>
                                  <a:pt x="0" y="138683"/>
                                </a:moveTo>
                                <a:lnTo>
                                  <a:pt x="3244595" y="138683"/>
                                </a:lnTo>
                                <a:lnTo>
                                  <a:pt x="3244595"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86" name="Graphic 1486"/>
                        <wps:cNvSpPr/>
                        <wps:spPr>
                          <a:xfrm>
                            <a:off x="4546853" y="303260"/>
                            <a:ext cx="649605" cy="139065"/>
                          </a:xfrm>
                          <a:custGeom>
                            <a:avLst/>
                            <a:gdLst/>
                            <a:ahLst/>
                            <a:cxnLst/>
                            <a:rect l="l" t="t" r="r" b="b"/>
                            <a:pathLst>
                              <a:path w="649605" h="139065">
                                <a:moveTo>
                                  <a:pt x="0" y="138683"/>
                                </a:moveTo>
                                <a:lnTo>
                                  <a:pt x="649223" y="138683"/>
                                </a:lnTo>
                                <a:lnTo>
                                  <a:pt x="649223"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87" name="Graphic 1487"/>
                        <wps:cNvSpPr/>
                        <wps:spPr>
                          <a:xfrm>
                            <a:off x="5196078" y="303260"/>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88" name="Graphic 1488"/>
                        <wps:cNvSpPr/>
                        <wps:spPr>
                          <a:xfrm>
                            <a:off x="3809" y="441944"/>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89" name="Graphic 1489"/>
                        <wps:cNvSpPr/>
                        <wps:spPr>
                          <a:xfrm>
                            <a:off x="1302258" y="441944"/>
                            <a:ext cx="5192395" cy="139065"/>
                          </a:xfrm>
                          <a:custGeom>
                            <a:avLst/>
                            <a:gdLst/>
                            <a:ahLst/>
                            <a:cxnLst/>
                            <a:rect l="l" t="t" r="r" b="b"/>
                            <a:pathLst>
                              <a:path w="5192395" h="139065">
                                <a:moveTo>
                                  <a:pt x="0" y="138683"/>
                                </a:moveTo>
                                <a:lnTo>
                                  <a:pt x="2900888" y="138683"/>
                                </a:lnTo>
                              </a:path>
                              <a:path w="5192395" h="139065">
                                <a:moveTo>
                                  <a:pt x="4412879" y="138683"/>
                                </a:moveTo>
                                <a:lnTo>
                                  <a:pt x="5192267" y="138683"/>
                                </a:lnTo>
                              </a:path>
                              <a:path w="5192395" h="139065">
                                <a:moveTo>
                                  <a:pt x="5192267" y="138683"/>
                                </a:moveTo>
                                <a:lnTo>
                                  <a:pt x="5192267" y="0"/>
                                </a:lnTo>
                              </a:path>
                              <a:path w="5192395" h="139065">
                                <a:moveTo>
                                  <a:pt x="5192267" y="0"/>
                                </a:moveTo>
                                <a:lnTo>
                                  <a:pt x="0" y="0"/>
                                </a:lnTo>
                              </a:path>
                              <a:path w="5192395" h="139065">
                                <a:moveTo>
                                  <a:pt x="0" y="0"/>
                                </a:moveTo>
                                <a:lnTo>
                                  <a:pt x="0" y="138683"/>
                                </a:lnTo>
                              </a:path>
                              <a:path w="5192395" h="139065">
                                <a:moveTo>
                                  <a:pt x="4412879" y="138683"/>
                                </a:moveTo>
                                <a:lnTo>
                                  <a:pt x="5192267" y="138683"/>
                                </a:lnTo>
                              </a:path>
                              <a:path w="5192395" h="139065">
                                <a:moveTo>
                                  <a:pt x="5192267" y="138683"/>
                                </a:moveTo>
                                <a:lnTo>
                                  <a:pt x="5192267" y="0"/>
                                </a:lnTo>
                              </a:path>
                              <a:path w="5192395" h="139065">
                                <a:moveTo>
                                  <a:pt x="0" y="0"/>
                                </a:moveTo>
                                <a:lnTo>
                                  <a:pt x="0" y="138683"/>
                                </a:lnTo>
                              </a:path>
                            </a:pathLst>
                          </a:custGeom>
                          <a:ln w="7619">
                            <a:solidFill>
                              <a:srgbClr val="000000"/>
                            </a:solidFill>
                            <a:prstDash val="solid"/>
                          </a:ln>
                        </wps:spPr>
                        <wps:bodyPr wrap="square" lIns="0" tIns="0" rIns="0" bIns="0" rtlCol="0">
                          <a:prstTxWarp prst="textNoShape">
                            <a:avLst/>
                          </a:prstTxWarp>
                          <a:noAutofit/>
                        </wps:bodyPr>
                      </wps:wsp>
                      <wps:wsp>
                        <wps:cNvPr id="1490" name="Graphic 1490"/>
                        <wps:cNvSpPr/>
                        <wps:spPr>
                          <a:xfrm>
                            <a:off x="3809" y="580628"/>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91" name="Graphic 1491"/>
                        <wps:cNvSpPr/>
                        <wps:spPr>
                          <a:xfrm>
                            <a:off x="1302258" y="580628"/>
                            <a:ext cx="5192395" cy="139065"/>
                          </a:xfrm>
                          <a:custGeom>
                            <a:avLst/>
                            <a:gdLst/>
                            <a:ahLst/>
                            <a:cxnLst/>
                            <a:rect l="l" t="t" r="r" b="b"/>
                            <a:pathLst>
                              <a:path w="5192395" h="139065">
                                <a:moveTo>
                                  <a:pt x="0" y="138683"/>
                                </a:moveTo>
                                <a:lnTo>
                                  <a:pt x="5192267" y="138683"/>
                                </a:lnTo>
                                <a:lnTo>
                                  <a:pt x="519226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92" name="Graphic 1492"/>
                        <wps:cNvSpPr/>
                        <wps:spPr>
                          <a:xfrm>
                            <a:off x="2274976" y="41361"/>
                            <a:ext cx="4932045" cy="669925"/>
                          </a:xfrm>
                          <a:custGeom>
                            <a:avLst/>
                            <a:gdLst/>
                            <a:ahLst/>
                            <a:cxnLst/>
                            <a:rect l="l" t="t" r="r" b="b"/>
                            <a:pathLst>
                              <a:path w="4932045" h="669925">
                                <a:moveTo>
                                  <a:pt x="1384084" y="0"/>
                                </a:moveTo>
                                <a:lnTo>
                                  <a:pt x="0" y="0"/>
                                </a:lnTo>
                                <a:lnTo>
                                  <a:pt x="0" y="104927"/>
                                </a:lnTo>
                                <a:lnTo>
                                  <a:pt x="1384084" y="104927"/>
                                </a:lnTo>
                                <a:lnTo>
                                  <a:pt x="1384084" y="0"/>
                                </a:lnTo>
                                <a:close/>
                              </a:path>
                              <a:path w="4932045" h="669925">
                                <a:moveTo>
                                  <a:pt x="3440150" y="441375"/>
                                </a:moveTo>
                                <a:lnTo>
                                  <a:pt x="1928152" y="441375"/>
                                </a:lnTo>
                                <a:lnTo>
                                  <a:pt x="1928152" y="544195"/>
                                </a:lnTo>
                                <a:lnTo>
                                  <a:pt x="3440150" y="544195"/>
                                </a:lnTo>
                                <a:lnTo>
                                  <a:pt x="3440150" y="441375"/>
                                </a:lnTo>
                                <a:close/>
                              </a:path>
                              <a:path w="4932045" h="669925">
                                <a:moveTo>
                                  <a:pt x="4931753" y="24980"/>
                                </a:moveTo>
                                <a:lnTo>
                                  <a:pt x="4282173" y="24980"/>
                                </a:lnTo>
                                <a:lnTo>
                                  <a:pt x="4282173" y="669493"/>
                                </a:lnTo>
                                <a:lnTo>
                                  <a:pt x="4931753" y="669493"/>
                                </a:lnTo>
                                <a:lnTo>
                                  <a:pt x="4931753" y="2498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3.26pt;margin-top:771.361206pt;width:567.5pt;height:58.7pt;mso-position-horizontal-relative:page;mso-position-vertical-relative:page;z-index:-28904960" id="docshapegroup1078" coordorigin="265,15427" coordsize="11350,1174">
                <v:shape style="position:absolute;left:271;top:15465;width:10222;height:1097" id="docshape1079" coordorigin="271,15466" coordsize="10222,1097" path="m2316,15466l271,15466,271,15684,271,15686,271,16123,271,16562,2316,16562,2316,16123,2316,15686,2316,15684,2316,15466xm8448,15902l7426,15902,7426,16123,8448,16123,8448,15902xm10493,15466l7426,15466,7426,15686,10493,15686,10493,15466xe" filled="true" fillcolor="#cccccc" stroked="false">
                  <v:path arrowok="t"/>
                  <v:fill type="solid"/>
                </v:shape>
                <v:line style="position:absolute" from="10534,16601" to="10534,15427" stroked="true" strokeweight=".6pt" strokecolor="#000000">
                  <v:stroke dashstyle="solid"/>
                </v:line>
                <v:rect style="position:absolute;left:271;top:15465;width:2045;height:221" id="docshape1080" filled="false" stroked="true" strokeweight=".6pt" strokecolor="#000000">
                  <v:stroke dashstyle="solid"/>
                </v:rect>
                <v:shape style="position:absolute;left:2316;top:15465;width:5110;height:221" id="docshape1081" coordorigin="2316,15466" coordsize="5110,221" path="m2316,15686l7426,15686m7426,15686l7426,15466m7426,15466l2316,15466m2316,15466l2316,15686m7426,15686l7426,15466m2316,15466l2316,15686e" filled="false" stroked="true" strokeweight=".6pt" strokecolor="#000000">
                  <v:path arrowok="t"/>
                  <v:stroke dashstyle="solid"/>
                </v:shape>
                <v:rect style="position:absolute;left:7425;top:15465;width:1023;height:221" id="docshape1082" filled="false" stroked="true" strokeweight=".6pt" strokecolor="#000000">
                  <v:stroke dashstyle="solid"/>
                </v:rect>
                <v:rect style="position:absolute;left:8448;top:15465;width:2045;height:221" id="docshape1083" filled="false" stroked="true" strokeweight=".6pt" strokecolor="#000000">
                  <v:stroke dashstyle="solid"/>
                </v:rect>
                <v:rect style="position:absolute;left:271;top:15686;width:2045;height:219" id="docshape1084" filled="false" stroked="true" strokeweight=".6pt" strokecolor="#000000">
                  <v:stroke dashstyle="solid"/>
                </v:rect>
                <v:rect style="position:absolute;left:2316;top:15686;width:5110;height:219" id="docshape1085" filled="false" stroked="true" strokeweight=".6pt" strokecolor="#000000">
                  <v:stroke dashstyle="solid"/>
                </v:rect>
                <v:rect style="position:absolute;left:7425;top:15686;width:1023;height:219" id="docshape1086" filled="false" stroked="true" strokeweight=".6pt" strokecolor="#000000">
                  <v:stroke dashstyle="solid"/>
                </v:rect>
                <v:rect style="position:absolute;left:8448;top:15686;width:2045;height:219" id="docshape1087" filled="false" stroked="true" strokeweight=".6pt" strokecolor="#000000">
                  <v:stroke dashstyle="solid"/>
                </v:rect>
                <v:rect style="position:absolute;left:271;top:15904;width:2045;height:219" id="docshape1088" filled="false" stroked="true" strokeweight=".6pt" strokecolor="#000000">
                  <v:stroke dashstyle="solid"/>
                </v:rect>
                <v:rect style="position:absolute;left:2316;top:15904;width:5110;height:219" id="docshape1089" filled="false" stroked="true" strokeweight=".6pt" strokecolor="#000000">
                  <v:stroke dashstyle="solid"/>
                </v:rect>
                <v:rect style="position:absolute;left:7425;top:15904;width:1023;height:219" id="docshape1090" filled="false" stroked="true" strokeweight=".6pt" strokecolor="#000000">
                  <v:stroke dashstyle="solid"/>
                </v:rect>
                <v:rect style="position:absolute;left:8448;top:15904;width:2045;height:219" id="docshape1091" filled="false" stroked="true" strokeweight=".6pt" strokecolor="#000000">
                  <v:stroke dashstyle="solid"/>
                </v:rect>
                <v:rect style="position:absolute;left:271;top:16123;width:2045;height:219" id="docshape1092" filled="false" stroked="true" strokeweight=".6pt" strokecolor="#000000">
                  <v:stroke dashstyle="solid"/>
                </v:rect>
                <v:shape style="position:absolute;left:2316;top:16123;width:8177;height:219" id="docshape1093" coordorigin="2316,16123" coordsize="8177,219" path="m2316,16342l6884,16342m9265,16342l10493,16342m10493,16342l10493,16123m10493,16123l2316,16123m2316,16123l2316,16342m9265,16342l10493,16342m10493,16342l10493,16123m2316,16123l2316,16342e" filled="false" stroked="true" strokeweight=".6pt" strokecolor="#000000">
                  <v:path arrowok="t"/>
                  <v:stroke dashstyle="solid"/>
                </v:shape>
                <v:rect style="position:absolute;left:271;top:16341;width:2045;height:219" id="docshape1094" filled="false" stroked="true" strokeweight=".6pt" strokecolor="#000000">
                  <v:stroke dashstyle="solid"/>
                </v:rect>
                <v:rect style="position:absolute;left:2316;top:16341;width:8177;height:219" id="docshape1095" filled="false" stroked="true" strokeweight=".6pt" strokecolor="#000000">
                  <v:stroke dashstyle="solid"/>
                </v:rect>
                <v:shape style="position:absolute;left:3847;top:15492;width:7767;height:1055" id="docshape1096" coordorigin="3848,15492" coordsize="7767,1055" path="m6028,15492l3848,15492,3848,15658,6028,15658,6028,15492xm9265,16187l6884,16187,6884,16349,9265,16349,9265,16187xm11614,15532l10591,15532,10591,16547,11614,16547,11614,15532xe" filled="true" fillcolor="#000000" stroked="false">
                  <v:path arrowok="t"/>
                  <v:fill type="solid"/>
                </v:shape>
                <w10:wrap type="none"/>
              </v:group>
            </w:pict>
          </mc:Fallback>
        </mc:AlternateContent>
      </w: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1017" w:top="1680" w:bottom="280" w:left="141" w:right="141"/>
          <w:cols w:num="2" w:equalWidth="0">
            <w:col w:w="7801" w:space="40"/>
            <w:col w:w="3787"/>
          </w:cols>
        </w:sectPr>
      </w:pPr>
    </w:p>
    <w:p>
      <w:pPr>
        <w:pStyle w:val="BodyText"/>
        <w:rPr>
          <w:sz w:val="20"/>
        </w:rPr>
      </w:pPr>
    </w:p>
    <w:p>
      <w:pPr>
        <w:pStyle w:val="BodyText"/>
        <w:spacing w:before="52"/>
        <w:rPr>
          <w:sz w:val="20"/>
        </w:rPr>
      </w:pPr>
    </w:p>
    <w:p>
      <w:pPr>
        <w:spacing w:line="256" w:lineRule="auto" w:before="0"/>
        <w:ind w:left="1925" w:right="2019" w:firstLine="0"/>
        <w:jc w:val="both"/>
        <w:rPr>
          <w:rFonts w:ascii="Calibri" w:hAnsi="Calibri"/>
          <w:sz w:val="20"/>
        </w:rPr>
      </w:pPr>
      <w:r>
        <w:rPr>
          <w:rFonts w:ascii="Calibri" w:hAnsi="Calibri"/>
          <w:sz w:val="20"/>
        </w:rPr>
        <w:t>4º Finalmente, se ha de manifestar que </w:t>
      </w:r>
      <w:r>
        <w:rPr>
          <w:rFonts w:ascii="Calibri" w:hAnsi="Calibri"/>
          <w:sz w:val="20"/>
          <w:u w:val="single"/>
        </w:rPr>
        <w:t>el expediente de modificación contractual fue</w:t>
      </w:r>
      <w:r>
        <w:rPr>
          <w:rFonts w:ascii="Calibri" w:hAnsi="Calibri"/>
          <w:sz w:val="20"/>
          <w:u w:val="none"/>
        </w:rPr>
        <w:t> </w:t>
      </w:r>
      <w:r>
        <w:rPr>
          <w:rFonts w:ascii="Calibri" w:hAnsi="Calibri"/>
          <w:sz w:val="20"/>
          <w:u w:val="single"/>
        </w:rPr>
        <w:t>tramitado íntegra y correctamente, cumpliendo todas las exigencias legales aplicables en la</w:t>
      </w:r>
      <w:r>
        <w:rPr>
          <w:rFonts w:ascii="Calibri" w:hAnsi="Calibri"/>
          <w:sz w:val="20"/>
          <w:u w:val="none"/>
        </w:rPr>
        <w:t> </w:t>
      </w:r>
      <w:r>
        <w:rPr>
          <w:rFonts w:ascii="Calibri" w:hAnsi="Calibri"/>
          <w:sz w:val="20"/>
          <w:u w:val="single"/>
        </w:rPr>
        <w:t>LCSP y en la normativa interna de contratación</w:t>
      </w:r>
      <w:r>
        <w:rPr>
          <w:rFonts w:ascii="Calibri" w:hAnsi="Calibri"/>
          <w:sz w:val="20"/>
          <w:u w:val="none"/>
        </w:rPr>
        <w:t>. En primer lugar, se emitió el preceptivo informe técnico detallando la necesidad de la modificación, con su motivación jurídica (al amparo del art.</w:t>
      </w:r>
      <w:r>
        <w:rPr>
          <w:rFonts w:ascii="Calibri" w:hAnsi="Calibri"/>
          <w:spacing w:val="-3"/>
          <w:sz w:val="20"/>
          <w:u w:val="none"/>
        </w:rPr>
        <w:t> </w:t>
      </w:r>
      <w:r>
        <w:rPr>
          <w:rFonts w:ascii="Calibri" w:hAnsi="Calibri"/>
          <w:sz w:val="20"/>
          <w:u w:val="none"/>
        </w:rPr>
        <w:t>205.2.b) LCSP) y técnica (justificación de las nuevas prestaciones y su imprevisibilidad sobrevenida). A la vista de dicho informe, el Órgano de Contratación (Presidencia de EMTSAM) dictó Resolución de inicio del procedimiento de modificación, convocando el oportuno trámite de audiencia al contratista. En ese trámite, la UTE adjudicataria mostró su conformidad y aportó una propuesta técnico-económica revisada, adecuando las soluciones a las nuevas necesidades y desglosando el incremento presupuestario mencionado (683.839,50</w:t>
      </w:r>
      <w:r>
        <w:rPr>
          <w:rFonts w:ascii="Calibri" w:hAnsi="Calibri"/>
          <w:spacing w:val="-6"/>
          <w:sz w:val="20"/>
          <w:u w:val="none"/>
        </w:rPr>
        <w:t> </w:t>
      </w:r>
      <w:r>
        <w:rPr>
          <w:rFonts w:ascii="Calibri" w:hAnsi="Calibri"/>
          <w:sz w:val="20"/>
          <w:u w:val="none"/>
        </w:rPr>
        <w:t>€, IVA excl.). El órgano competente analizó dicha propuesta y, tras verificar su razonabilidad y encaje con la normativa, aprobó la modificación mediante</w:t>
      </w:r>
      <w:r>
        <w:rPr>
          <w:rFonts w:ascii="Calibri" w:hAnsi="Calibri"/>
          <w:spacing w:val="-3"/>
          <w:sz w:val="20"/>
          <w:u w:val="none"/>
        </w:rPr>
        <w:t> </w:t>
      </w:r>
      <w:r>
        <w:rPr>
          <w:rFonts w:ascii="Calibri" w:hAnsi="Calibri"/>
          <w:sz w:val="20"/>
          <w:u w:val="none"/>
        </w:rPr>
        <w:t>la</w:t>
      </w:r>
      <w:r>
        <w:rPr>
          <w:rFonts w:ascii="Calibri" w:hAnsi="Calibri"/>
          <w:spacing w:val="-5"/>
          <w:sz w:val="20"/>
          <w:u w:val="none"/>
        </w:rPr>
        <w:t> </w:t>
      </w:r>
      <w:r>
        <w:rPr>
          <w:rFonts w:ascii="Calibri" w:hAnsi="Calibri"/>
          <w:sz w:val="20"/>
          <w:u w:val="none"/>
        </w:rPr>
        <w:t>correspondiente</w:t>
      </w:r>
      <w:r>
        <w:rPr>
          <w:rFonts w:ascii="Calibri" w:hAnsi="Calibri"/>
          <w:spacing w:val="-6"/>
          <w:sz w:val="20"/>
          <w:u w:val="none"/>
        </w:rPr>
        <w:t> </w:t>
      </w:r>
      <w:r>
        <w:rPr>
          <w:rFonts w:ascii="Calibri" w:hAnsi="Calibri"/>
          <w:sz w:val="20"/>
          <w:u w:val="none"/>
        </w:rPr>
        <w:t>Resolución</w:t>
      </w:r>
      <w:r>
        <w:rPr>
          <w:rFonts w:ascii="Calibri" w:hAnsi="Calibri"/>
          <w:spacing w:val="-5"/>
          <w:sz w:val="20"/>
          <w:u w:val="none"/>
        </w:rPr>
        <w:t> </w:t>
      </w:r>
      <w:r>
        <w:rPr>
          <w:rFonts w:ascii="Calibri" w:hAnsi="Calibri"/>
          <w:sz w:val="20"/>
          <w:u w:val="none"/>
        </w:rPr>
        <w:t>administrativa.</w:t>
      </w:r>
      <w:r>
        <w:rPr>
          <w:rFonts w:ascii="Calibri" w:hAnsi="Calibri"/>
          <w:spacing w:val="-6"/>
          <w:sz w:val="20"/>
          <w:u w:val="none"/>
        </w:rPr>
        <w:t> </w:t>
      </w:r>
      <w:r>
        <w:rPr>
          <w:rFonts w:ascii="Calibri" w:hAnsi="Calibri"/>
          <w:sz w:val="20"/>
          <w:u w:val="none"/>
        </w:rPr>
        <w:t>Seguidamente,</w:t>
      </w:r>
      <w:r>
        <w:rPr>
          <w:rFonts w:ascii="Calibri" w:hAnsi="Calibri"/>
          <w:spacing w:val="-3"/>
          <w:sz w:val="20"/>
          <w:u w:val="none"/>
        </w:rPr>
        <w:t> </w:t>
      </w:r>
      <w:r>
        <w:rPr>
          <w:rFonts w:ascii="Calibri" w:hAnsi="Calibri"/>
          <w:sz w:val="20"/>
          <w:u w:val="none"/>
        </w:rPr>
        <w:t>las</w:t>
      </w:r>
      <w:r>
        <w:rPr>
          <w:rFonts w:ascii="Calibri" w:hAnsi="Calibri"/>
          <w:spacing w:val="-6"/>
          <w:sz w:val="20"/>
          <w:u w:val="none"/>
        </w:rPr>
        <w:t> </w:t>
      </w:r>
      <w:r>
        <w:rPr>
          <w:rFonts w:ascii="Calibri" w:hAnsi="Calibri"/>
          <w:sz w:val="20"/>
          <w:u w:val="none"/>
        </w:rPr>
        <w:t>partes</w:t>
      </w:r>
      <w:r>
        <w:rPr>
          <w:rFonts w:ascii="Calibri" w:hAnsi="Calibri"/>
          <w:spacing w:val="-3"/>
          <w:sz w:val="20"/>
          <w:u w:val="none"/>
        </w:rPr>
        <w:t> </w:t>
      </w:r>
      <w:r>
        <w:rPr>
          <w:rFonts w:ascii="Calibri" w:hAnsi="Calibri"/>
          <w:sz w:val="20"/>
          <w:u w:val="none"/>
        </w:rPr>
        <w:t>procedieron a la formalización de la cláusula adicional (novatoria) del contrato, elevándose a público el acuerdo de modificación con fecha 15 de marzo de 2022 (por ejemplo). En dicha adenda contractual quedaron recogidas las nuevas prestaciones a cargo del contratista, el precio adicional convenido, la ampliación del plazo de ejecución y cuantas cláusulas fueran precisas para</w:t>
      </w:r>
      <w:r>
        <w:rPr>
          <w:rFonts w:ascii="Calibri" w:hAnsi="Calibri"/>
          <w:spacing w:val="-1"/>
          <w:sz w:val="20"/>
          <w:u w:val="none"/>
        </w:rPr>
        <w:t> </w:t>
      </w:r>
      <w:r>
        <w:rPr>
          <w:rFonts w:ascii="Calibri" w:hAnsi="Calibri"/>
          <w:sz w:val="20"/>
          <w:u w:val="none"/>
        </w:rPr>
        <w:t>documentar</w:t>
      </w:r>
      <w:r>
        <w:rPr>
          <w:rFonts w:ascii="Calibri" w:hAnsi="Calibri"/>
          <w:spacing w:val="-1"/>
          <w:sz w:val="20"/>
          <w:u w:val="none"/>
        </w:rPr>
        <w:t> </w:t>
      </w:r>
      <w:r>
        <w:rPr>
          <w:rFonts w:ascii="Calibri" w:hAnsi="Calibri"/>
          <w:sz w:val="20"/>
          <w:u w:val="none"/>
        </w:rPr>
        <w:t>la</w:t>
      </w:r>
      <w:r>
        <w:rPr>
          <w:rFonts w:ascii="Calibri" w:hAnsi="Calibri"/>
          <w:spacing w:val="-4"/>
          <w:sz w:val="20"/>
          <w:u w:val="none"/>
        </w:rPr>
        <w:t> </w:t>
      </w:r>
      <w:r>
        <w:rPr>
          <w:rFonts w:ascii="Calibri" w:hAnsi="Calibri"/>
          <w:sz w:val="20"/>
          <w:u w:val="none"/>
        </w:rPr>
        <w:t>modificación.</w:t>
      </w:r>
      <w:r>
        <w:rPr>
          <w:rFonts w:ascii="Calibri" w:hAnsi="Calibri"/>
          <w:spacing w:val="-3"/>
          <w:sz w:val="20"/>
          <w:u w:val="none"/>
        </w:rPr>
        <w:t> </w:t>
      </w:r>
      <w:r>
        <w:rPr>
          <w:rFonts w:ascii="Calibri" w:hAnsi="Calibri"/>
          <w:sz w:val="20"/>
          <w:u w:val="none"/>
        </w:rPr>
        <w:t>Todo</w:t>
      </w:r>
      <w:r>
        <w:rPr>
          <w:rFonts w:ascii="Calibri" w:hAnsi="Calibri"/>
          <w:spacing w:val="-4"/>
          <w:sz w:val="20"/>
          <w:u w:val="none"/>
        </w:rPr>
        <w:t> </w:t>
      </w:r>
      <w:r>
        <w:rPr>
          <w:rFonts w:ascii="Calibri" w:hAnsi="Calibri"/>
          <w:sz w:val="20"/>
          <w:u w:val="none"/>
        </w:rPr>
        <w:t>el</w:t>
      </w:r>
      <w:r>
        <w:rPr>
          <w:rFonts w:ascii="Calibri" w:hAnsi="Calibri"/>
          <w:spacing w:val="-1"/>
          <w:sz w:val="20"/>
          <w:u w:val="none"/>
        </w:rPr>
        <w:t> </w:t>
      </w:r>
      <w:r>
        <w:rPr>
          <w:rFonts w:ascii="Calibri" w:hAnsi="Calibri"/>
          <w:sz w:val="20"/>
          <w:u w:val="none"/>
        </w:rPr>
        <w:t>proceso</w:t>
      </w:r>
      <w:r>
        <w:rPr>
          <w:rFonts w:ascii="Calibri" w:hAnsi="Calibri"/>
          <w:spacing w:val="-3"/>
          <w:sz w:val="20"/>
          <w:u w:val="none"/>
        </w:rPr>
        <w:t> </w:t>
      </w:r>
      <w:r>
        <w:rPr>
          <w:rFonts w:ascii="Calibri" w:hAnsi="Calibri"/>
          <w:sz w:val="20"/>
          <w:u w:val="none"/>
        </w:rPr>
        <w:t>descrito</w:t>
      </w:r>
      <w:r>
        <w:rPr>
          <w:rFonts w:ascii="Calibri" w:hAnsi="Calibri"/>
          <w:spacing w:val="-1"/>
          <w:sz w:val="20"/>
          <w:u w:val="none"/>
        </w:rPr>
        <w:t> </w:t>
      </w:r>
      <w:r>
        <w:rPr>
          <w:rFonts w:ascii="Calibri" w:hAnsi="Calibri"/>
          <w:sz w:val="20"/>
          <w:u w:val="none"/>
        </w:rPr>
        <w:t>quedó</w:t>
      </w:r>
      <w:r>
        <w:rPr>
          <w:rFonts w:ascii="Calibri" w:hAnsi="Calibri"/>
          <w:spacing w:val="-1"/>
          <w:sz w:val="20"/>
          <w:u w:val="none"/>
        </w:rPr>
        <w:t> </w:t>
      </w:r>
      <w:r>
        <w:rPr>
          <w:rFonts w:ascii="Calibri" w:hAnsi="Calibri"/>
          <w:sz w:val="20"/>
          <w:u w:val="none"/>
        </w:rPr>
        <w:t>debidamente</w:t>
      </w:r>
      <w:r>
        <w:rPr>
          <w:rFonts w:ascii="Calibri" w:hAnsi="Calibri"/>
          <w:spacing w:val="-3"/>
          <w:sz w:val="20"/>
          <w:u w:val="none"/>
        </w:rPr>
        <w:t> </w:t>
      </w:r>
      <w:r>
        <w:rPr>
          <w:rFonts w:ascii="Calibri" w:hAnsi="Calibri"/>
          <w:sz w:val="20"/>
          <w:u w:val="none"/>
        </w:rPr>
        <w:t>documentado en el expediente administrativo, cumpliéndose así las garantías de motivación, audiencia del contratista, fiscalización previa y publicidad previstas en la LCSP.</w:t>
      </w:r>
    </w:p>
    <w:p>
      <w:pPr>
        <w:spacing w:line="256" w:lineRule="auto" w:before="152"/>
        <w:ind w:left="1925" w:right="2020" w:firstLine="0"/>
        <w:jc w:val="both"/>
        <w:rPr>
          <w:rFonts w:ascii="Calibri" w:hAnsi="Calibri"/>
          <w:sz w:val="20"/>
        </w:rPr>
      </w:pPr>
      <w:r>
        <w:rPr>
          <w:rFonts w:ascii="Calibri" w:hAnsi="Calibri"/>
          <w:sz w:val="20"/>
        </w:rPr>
        <w:t>En consecuencia, desde el punto de vista procedimental y documental, la actuación de EMTSAM</w:t>
      </w:r>
      <w:r>
        <w:rPr>
          <w:rFonts w:ascii="Calibri" w:hAnsi="Calibri"/>
          <w:spacing w:val="-12"/>
          <w:sz w:val="20"/>
        </w:rPr>
        <w:t> </w:t>
      </w:r>
      <w:r>
        <w:rPr>
          <w:rFonts w:ascii="Calibri" w:hAnsi="Calibri"/>
          <w:sz w:val="20"/>
        </w:rPr>
        <w:t>ha</w:t>
      </w:r>
      <w:r>
        <w:rPr>
          <w:rFonts w:ascii="Calibri" w:hAnsi="Calibri"/>
          <w:spacing w:val="-10"/>
          <w:sz w:val="20"/>
        </w:rPr>
        <w:t> </w:t>
      </w:r>
      <w:r>
        <w:rPr>
          <w:rFonts w:ascii="Calibri" w:hAnsi="Calibri"/>
          <w:sz w:val="20"/>
        </w:rPr>
        <w:t>sido</w:t>
      </w:r>
      <w:r>
        <w:rPr>
          <w:rFonts w:ascii="Calibri" w:hAnsi="Calibri"/>
          <w:spacing w:val="-11"/>
          <w:sz w:val="20"/>
        </w:rPr>
        <w:t> </w:t>
      </w:r>
      <w:r>
        <w:rPr>
          <w:rFonts w:ascii="Calibri" w:hAnsi="Calibri"/>
          <w:sz w:val="20"/>
        </w:rPr>
        <w:t>plenamente</w:t>
      </w:r>
      <w:r>
        <w:rPr>
          <w:rFonts w:ascii="Calibri" w:hAnsi="Calibri"/>
          <w:spacing w:val="-12"/>
          <w:sz w:val="20"/>
        </w:rPr>
        <w:t> </w:t>
      </w:r>
      <w:r>
        <w:rPr>
          <w:rFonts w:ascii="Calibri" w:hAnsi="Calibri"/>
          <w:sz w:val="20"/>
        </w:rPr>
        <w:t>regular,</w:t>
      </w:r>
      <w:r>
        <w:rPr>
          <w:rFonts w:ascii="Calibri" w:hAnsi="Calibri"/>
          <w:spacing w:val="-9"/>
          <w:sz w:val="20"/>
        </w:rPr>
        <w:t> </w:t>
      </w:r>
      <w:r>
        <w:rPr>
          <w:rFonts w:ascii="Calibri" w:hAnsi="Calibri"/>
          <w:sz w:val="20"/>
        </w:rPr>
        <w:t>quedando</w:t>
      </w:r>
      <w:r>
        <w:rPr>
          <w:rFonts w:ascii="Calibri" w:hAnsi="Calibri"/>
          <w:spacing w:val="-8"/>
          <w:sz w:val="20"/>
        </w:rPr>
        <w:t> </w:t>
      </w:r>
      <w:r>
        <w:rPr>
          <w:rFonts w:ascii="Calibri" w:hAnsi="Calibri"/>
          <w:sz w:val="20"/>
        </w:rPr>
        <w:t>acreditado</w:t>
      </w:r>
      <w:r>
        <w:rPr>
          <w:rFonts w:ascii="Calibri" w:hAnsi="Calibri"/>
          <w:spacing w:val="-10"/>
          <w:sz w:val="20"/>
        </w:rPr>
        <w:t> </w:t>
      </w:r>
      <w:r>
        <w:rPr>
          <w:rFonts w:ascii="Calibri" w:hAnsi="Calibri"/>
          <w:sz w:val="20"/>
        </w:rPr>
        <w:t>que</w:t>
      </w:r>
      <w:r>
        <w:rPr>
          <w:rFonts w:ascii="Calibri" w:hAnsi="Calibri"/>
          <w:spacing w:val="-9"/>
          <w:sz w:val="20"/>
        </w:rPr>
        <w:t> </w:t>
      </w:r>
      <w:r>
        <w:rPr>
          <w:rFonts w:ascii="Calibri" w:hAnsi="Calibri"/>
          <w:sz w:val="20"/>
        </w:rPr>
        <w:t>la</w:t>
      </w:r>
      <w:r>
        <w:rPr>
          <w:rFonts w:ascii="Calibri" w:hAnsi="Calibri"/>
          <w:spacing w:val="-12"/>
          <w:sz w:val="20"/>
        </w:rPr>
        <w:t> </w:t>
      </w:r>
      <w:r>
        <w:rPr>
          <w:rFonts w:ascii="Calibri" w:hAnsi="Calibri"/>
          <w:sz w:val="20"/>
        </w:rPr>
        <w:t>modificación</w:t>
      </w:r>
      <w:r>
        <w:rPr>
          <w:rFonts w:ascii="Calibri" w:hAnsi="Calibri"/>
          <w:spacing w:val="-11"/>
          <w:sz w:val="20"/>
        </w:rPr>
        <w:t> </w:t>
      </w:r>
      <w:r>
        <w:rPr>
          <w:rFonts w:ascii="Calibri" w:hAnsi="Calibri"/>
          <w:sz w:val="20"/>
        </w:rPr>
        <w:t>del</w:t>
      </w:r>
      <w:r>
        <w:rPr>
          <w:rFonts w:ascii="Calibri" w:hAnsi="Calibri"/>
          <w:spacing w:val="-9"/>
          <w:sz w:val="20"/>
        </w:rPr>
        <w:t> </w:t>
      </w:r>
      <w:r>
        <w:rPr>
          <w:rFonts w:ascii="Calibri" w:hAnsi="Calibri"/>
          <w:sz w:val="20"/>
        </w:rPr>
        <w:t>contrato</w:t>
      </w:r>
      <w:r>
        <w:rPr>
          <w:rFonts w:ascii="Calibri" w:hAnsi="Calibri"/>
          <w:spacing w:val="-8"/>
          <w:sz w:val="20"/>
        </w:rPr>
        <w:t> </w:t>
      </w:r>
      <w:r>
        <w:rPr>
          <w:rFonts w:ascii="Calibri" w:hAnsi="Calibri"/>
          <w:sz w:val="20"/>
        </w:rPr>
        <w:t>se ajustó a derecho tanto en el fondo como en la forma, por lo que </w:t>
      </w:r>
      <w:r>
        <w:rPr>
          <w:rFonts w:ascii="Calibri" w:hAnsi="Calibri"/>
          <w:sz w:val="20"/>
          <w:u w:val="single"/>
        </w:rPr>
        <w:t>se solicita sean tenido en</w:t>
      </w:r>
      <w:r>
        <w:rPr>
          <w:rFonts w:ascii="Calibri" w:hAnsi="Calibri"/>
          <w:sz w:val="20"/>
          <w:u w:val="none"/>
        </w:rPr>
        <w:t> </w:t>
      </w:r>
      <w:r>
        <w:rPr>
          <w:rFonts w:ascii="Calibri" w:hAnsi="Calibri"/>
          <w:sz w:val="20"/>
          <w:u w:val="single"/>
        </w:rPr>
        <w:t>cuenta</w:t>
      </w:r>
      <w:r>
        <w:rPr>
          <w:rFonts w:ascii="Calibri" w:hAnsi="Calibri"/>
          <w:spacing w:val="-3"/>
          <w:sz w:val="20"/>
          <w:u w:val="single"/>
        </w:rPr>
        <w:t> </w:t>
      </w:r>
      <w:r>
        <w:rPr>
          <w:rFonts w:ascii="Calibri" w:hAnsi="Calibri"/>
          <w:sz w:val="20"/>
          <w:u w:val="single"/>
        </w:rPr>
        <w:t>los</w:t>
      </w:r>
      <w:r>
        <w:rPr>
          <w:rFonts w:ascii="Calibri" w:hAnsi="Calibri"/>
          <w:spacing w:val="-1"/>
          <w:sz w:val="20"/>
          <w:u w:val="single"/>
        </w:rPr>
        <w:t> </w:t>
      </w:r>
      <w:r>
        <w:rPr>
          <w:rFonts w:ascii="Calibri" w:hAnsi="Calibri"/>
          <w:sz w:val="20"/>
          <w:u w:val="single"/>
        </w:rPr>
        <w:t>argumentos</w:t>
      </w:r>
      <w:r>
        <w:rPr>
          <w:rFonts w:ascii="Calibri" w:hAnsi="Calibri"/>
          <w:spacing w:val="-2"/>
          <w:sz w:val="20"/>
          <w:u w:val="single"/>
        </w:rPr>
        <w:t> </w:t>
      </w:r>
      <w:r>
        <w:rPr>
          <w:rFonts w:ascii="Calibri" w:hAnsi="Calibri"/>
          <w:sz w:val="20"/>
          <w:u w:val="single"/>
        </w:rPr>
        <w:t>proporcionados</w:t>
      </w:r>
      <w:r>
        <w:rPr>
          <w:rFonts w:ascii="Calibri" w:hAnsi="Calibri"/>
          <w:spacing w:val="-5"/>
          <w:sz w:val="20"/>
          <w:u w:val="single"/>
        </w:rPr>
        <w:t> </w:t>
      </w:r>
      <w:r>
        <w:rPr>
          <w:rFonts w:ascii="Calibri" w:hAnsi="Calibri"/>
          <w:sz w:val="20"/>
          <w:u w:val="single"/>
        </w:rPr>
        <w:t>y tenga</w:t>
      </w:r>
      <w:r>
        <w:rPr>
          <w:rFonts w:ascii="Calibri" w:hAnsi="Calibri"/>
          <w:spacing w:val="-1"/>
          <w:sz w:val="20"/>
          <w:u w:val="single"/>
        </w:rPr>
        <w:t> </w:t>
      </w:r>
      <w:r>
        <w:rPr>
          <w:rFonts w:ascii="Calibri" w:hAnsi="Calibri"/>
          <w:sz w:val="20"/>
          <w:u w:val="single"/>
        </w:rPr>
        <w:t>por</w:t>
      </w:r>
      <w:r>
        <w:rPr>
          <w:rFonts w:ascii="Calibri" w:hAnsi="Calibri"/>
          <w:spacing w:val="-2"/>
          <w:sz w:val="20"/>
          <w:u w:val="single"/>
        </w:rPr>
        <w:t> </w:t>
      </w:r>
      <w:r>
        <w:rPr>
          <w:rFonts w:ascii="Calibri" w:hAnsi="Calibri"/>
          <w:sz w:val="20"/>
          <w:u w:val="single"/>
        </w:rPr>
        <w:t>aclarado los</w:t>
      </w:r>
      <w:r>
        <w:rPr>
          <w:rFonts w:ascii="Calibri" w:hAnsi="Calibri"/>
          <w:spacing w:val="-5"/>
          <w:sz w:val="20"/>
          <w:u w:val="single"/>
        </w:rPr>
        <w:t> </w:t>
      </w:r>
      <w:r>
        <w:rPr>
          <w:rFonts w:ascii="Calibri" w:hAnsi="Calibri"/>
          <w:sz w:val="20"/>
          <w:u w:val="single"/>
        </w:rPr>
        <w:t>aspectos</w:t>
      </w:r>
      <w:r>
        <w:rPr>
          <w:rFonts w:ascii="Calibri" w:hAnsi="Calibri"/>
          <w:spacing w:val="-2"/>
          <w:sz w:val="20"/>
          <w:u w:val="single"/>
        </w:rPr>
        <w:t> </w:t>
      </w:r>
      <w:r>
        <w:rPr>
          <w:rFonts w:ascii="Calibri" w:hAnsi="Calibri"/>
          <w:sz w:val="20"/>
          <w:u w:val="single"/>
        </w:rPr>
        <w:t>de esta</w:t>
      </w:r>
      <w:r>
        <w:rPr>
          <w:rFonts w:ascii="Calibri" w:hAnsi="Calibri"/>
          <w:spacing w:val="-5"/>
          <w:sz w:val="20"/>
          <w:u w:val="single"/>
        </w:rPr>
        <w:t> </w:t>
      </w:r>
      <w:r>
        <w:rPr>
          <w:rFonts w:ascii="Calibri" w:hAnsi="Calibri"/>
          <w:sz w:val="20"/>
          <w:u w:val="single"/>
        </w:rPr>
        <w:t>modificación</w:t>
      </w:r>
      <w:r>
        <w:rPr>
          <w:rFonts w:ascii="Calibri" w:hAnsi="Calibri"/>
          <w:sz w:val="20"/>
          <w:u w:val="none"/>
        </w:rPr>
        <w:t> </w:t>
      </w:r>
      <w:r>
        <w:rPr>
          <w:rFonts w:ascii="Calibri" w:hAnsi="Calibri"/>
          <w:sz w:val="20"/>
          <w:u w:val="single"/>
        </w:rPr>
        <w:t>a la hora de redactar su informe definitivo</w:t>
      </w:r>
      <w:r>
        <w:rPr>
          <w:rFonts w:ascii="Calibri" w:hAnsi="Calibri"/>
          <w:sz w:val="20"/>
          <w:u w:val="none"/>
        </w:rPr>
        <w:t>.</w:t>
      </w:r>
    </w:p>
    <w:p>
      <w:pPr>
        <w:pStyle w:val="ListParagraph"/>
        <w:numPr>
          <w:ilvl w:val="0"/>
          <w:numId w:val="16"/>
        </w:numPr>
        <w:tabs>
          <w:tab w:pos="2251" w:val="left" w:leader="none"/>
        </w:tabs>
        <w:spacing w:line="256" w:lineRule="auto" w:before="145" w:after="0"/>
        <w:ind w:left="2251" w:right="2020" w:hanging="327"/>
        <w:jc w:val="both"/>
        <w:rPr>
          <w:rFonts w:ascii="Calibri" w:hAnsi="Calibri"/>
          <w:i/>
          <w:sz w:val="20"/>
        </w:rPr>
      </w:pPr>
      <w:r>
        <w:rPr>
          <w:rFonts w:ascii="Calibri" w:hAnsi="Calibri"/>
          <w:i/>
          <w:color w:val="4472C4"/>
          <w:sz w:val="20"/>
        </w:rPr>
        <w:t>En la Pág. 80: “</w:t>
      </w:r>
      <w:r>
        <w:rPr>
          <w:rFonts w:ascii="Calibri" w:hAnsi="Calibri"/>
          <w:i/>
          <w:color w:val="4472C4"/>
          <w:sz w:val="20"/>
          <w:u w:val="single" w:color="4472C4"/>
        </w:rPr>
        <w:t>Pese a estas previsiones, el Comité se ha reunido únicamente en tres</w:t>
      </w:r>
      <w:r>
        <w:rPr>
          <w:rFonts w:ascii="Calibri" w:hAnsi="Calibri"/>
          <w:i/>
          <w:color w:val="4472C4"/>
          <w:sz w:val="20"/>
          <w:u w:val="none"/>
        </w:rPr>
        <w:t> </w:t>
      </w:r>
      <w:r>
        <w:rPr>
          <w:rFonts w:ascii="Calibri" w:hAnsi="Calibri"/>
          <w:i/>
          <w:color w:val="4472C4"/>
          <w:sz w:val="20"/>
          <w:u w:val="single" w:color="4472C4"/>
        </w:rPr>
        <w:t>ocasiones, todas ellas en 2024 con el único objetivo de revisar la ejecución del proyecto y</w:t>
      </w:r>
      <w:r>
        <w:rPr>
          <w:rFonts w:ascii="Calibri" w:hAnsi="Calibri"/>
          <w:i/>
          <w:color w:val="4472C4"/>
          <w:sz w:val="20"/>
          <w:u w:val="none"/>
        </w:rPr>
        <w:t> </w:t>
      </w:r>
      <w:r>
        <w:rPr>
          <w:rFonts w:ascii="Calibri" w:hAnsi="Calibri"/>
          <w:i/>
          <w:color w:val="4472C4"/>
          <w:sz w:val="20"/>
          <w:u w:val="single" w:color="4472C4"/>
        </w:rPr>
        <w:t>adoptar decisiones sobre transferencias internas de presupuesto entre actuaciones</w:t>
      </w:r>
      <w:r>
        <w:rPr>
          <w:rFonts w:ascii="Calibri" w:hAnsi="Calibri"/>
          <w:i/>
          <w:color w:val="4472C4"/>
          <w:sz w:val="20"/>
          <w:u w:val="none"/>
        </w:rPr>
        <w:t> </w:t>
      </w:r>
      <w:r>
        <w:rPr>
          <w:rFonts w:ascii="Calibri" w:hAnsi="Calibri"/>
          <w:i/>
          <w:color w:val="4472C4"/>
          <w:sz w:val="20"/>
          <w:u w:val="single" w:color="4472C4"/>
        </w:rPr>
        <w:t>ejecutadas por cada socio o traspasos entre ciudades y evitar de esta manera posibles</w:t>
      </w:r>
      <w:r>
        <w:rPr>
          <w:rFonts w:ascii="Calibri" w:hAnsi="Calibri"/>
          <w:i/>
          <w:color w:val="4472C4"/>
          <w:sz w:val="20"/>
          <w:u w:val="none"/>
        </w:rPr>
        <w:t> </w:t>
      </w:r>
      <w:r>
        <w:rPr>
          <w:rFonts w:ascii="Calibri" w:hAnsi="Calibri"/>
          <w:i/>
          <w:color w:val="4472C4"/>
          <w:sz w:val="20"/>
          <w:u w:val="single" w:color="4472C4"/>
        </w:rPr>
        <w:t>incumplimientos en algunas de las actuaciones previstas en el proyecto. Sin embargo, no</w:t>
      </w:r>
      <w:r>
        <w:rPr>
          <w:rFonts w:ascii="Calibri" w:hAnsi="Calibri"/>
          <w:i/>
          <w:color w:val="4472C4"/>
          <w:spacing w:val="40"/>
          <w:sz w:val="20"/>
          <w:u w:val="none"/>
        </w:rPr>
        <w:t> </w:t>
      </w:r>
      <w:r>
        <w:rPr>
          <w:rFonts w:ascii="Calibri" w:hAnsi="Calibri"/>
          <w:i/>
          <w:color w:val="4472C4"/>
          <w:sz w:val="20"/>
          <w:u w:val="single" w:color="4472C4"/>
        </w:rPr>
        <w:t>se abordaron en estas reuniones otras cuestiones para la puesta en común de las</w:t>
      </w:r>
      <w:r>
        <w:rPr>
          <w:rFonts w:ascii="Calibri" w:hAnsi="Calibri"/>
          <w:i/>
          <w:color w:val="4472C4"/>
          <w:sz w:val="20"/>
          <w:u w:val="none"/>
        </w:rPr>
        <w:t> </w:t>
      </w:r>
      <w:r>
        <w:rPr>
          <w:rFonts w:ascii="Calibri" w:hAnsi="Calibri"/>
          <w:i/>
          <w:color w:val="4472C4"/>
          <w:sz w:val="20"/>
          <w:u w:val="single" w:color="4472C4"/>
        </w:rPr>
        <w:t>conclusiones, procesos y de desarrollo de software común, tal y como se preveía al</w:t>
      </w:r>
      <w:r>
        <w:rPr>
          <w:rFonts w:ascii="Calibri" w:hAnsi="Calibri"/>
          <w:i/>
          <w:color w:val="4472C4"/>
          <w:sz w:val="20"/>
          <w:u w:val="none"/>
        </w:rPr>
        <w:t> </w:t>
      </w:r>
      <w:r>
        <w:rPr>
          <w:rFonts w:ascii="Calibri" w:hAnsi="Calibri"/>
          <w:i/>
          <w:color w:val="4472C4"/>
          <w:sz w:val="20"/>
          <w:u w:val="single" w:color="4472C4"/>
        </w:rPr>
        <w:t>constituirse la agrupación</w:t>
      </w:r>
      <w:r>
        <w:rPr>
          <w:rFonts w:ascii="Calibri" w:hAnsi="Calibri"/>
          <w:i/>
          <w:color w:val="4472C4"/>
          <w:sz w:val="20"/>
          <w:u w:val="none"/>
        </w:rPr>
        <w:t>.”</w:t>
      </w:r>
    </w:p>
    <w:p>
      <w:pPr>
        <w:spacing w:line="256" w:lineRule="auto" w:before="145"/>
        <w:ind w:left="2251" w:right="2022" w:firstLine="0"/>
        <w:jc w:val="both"/>
        <w:rPr>
          <w:rFonts w:ascii="Calibri" w:hAnsi="Calibri"/>
          <w:sz w:val="20"/>
        </w:rPr>
      </w:pPr>
      <w:r>
        <w:rPr>
          <w:rFonts w:ascii="Calibri" w:hAnsi="Calibri"/>
          <w:sz w:val="20"/>
        </w:rPr>
        <w:t>La afirmación contenida en el informe no refleja la realidad organizativa ni el funcionamiento</w:t>
      </w:r>
      <w:r>
        <w:rPr>
          <w:rFonts w:ascii="Calibri" w:hAnsi="Calibri"/>
          <w:spacing w:val="-1"/>
          <w:sz w:val="20"/>
        </w:rPr>
        <w:t> </w:t>
      </w:r>
      <w:r>
        <w:rPr>
          <w:rFonts w:ascii="Calibri" w:hAnsi="Calibri"/>
          <w:sz w:val="20"/>
        </w:rPr>
        <w:t>efectivo de la Agrupación Innobus-Tur, puesto que además del</w:t>
      </w:r>
      <w:r>
        <w:rPr>
          <w:rFonts w:ascii="Calibri" w:hAnsi="Calibri"/>
          <w:spacing w:val="-1"/>
          <w:sz w:val="20"/>
        </w:rPr>
        <w:t> </w:t>
      </w:r>
      <w:r>
        <w:rPr>
          <w:rFonts w:ascii="Calibri" w:hAnsi="Calibri"/>
          <w:sz w:val="20"/>
        </w:rPr>
        <w:t>Comité de Proyecto, existe una Comisión Técnica que ha venido reuniéndose regularmente desde el 15 de septiembre de 2022, con una periodicidad aproximada de un mes y medio, y cuya actividad se ha mantenido hasta junio de 2025. Se adjuntan las actas de las reuniones mantenidas durante este periodo bajo la carpeta denominada “</w:t>
      </w:r>
      <w:r>
        <w:rPr>
          <w:rFonts w:ascii="Calibri" w:hAnsi="Calibri"/>
          <w:i/>
          <w:sz w:val="20"/>
        </w:rPr>
        <w:t>Reuniones INNOBUS</w:t>
      </w:r>
      <w:r>
        <w:rPr>
          <w:rFonts w:ascii="Calibri" w:hAnsi="Calibri"/>
          <w:sz w:val="20"/>
        </w:rPr>
        <w: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493" name="Group 1493"/>
                <wp:cNvGraphicFramePr>
                  <a:graphicFrameLocks/>
                </wp:cNvGraphicFramePr>
                <a:graphic>
                  <a:graphicData uri="http://schemas.microsoft.com/office/word/2010/wordprocessingGroup">
                    <wpg:wgp>
                      <wpg:cNvPr id="1493" name="Group 1493"/>
                      <wpg:cNvGrpSpPr/>
                      <wpg:grpSpPr>
                        <a:xfrm>
                          <a:off x="0" y="0"/>
                          <a:ext cx="1870075" cy="6350"/>
                          <a:chExt cx="1870075" cy="6350"/>
                        </a:xfrm>
                      </wpg:grpSpPr>
                      <wps:wsp>
                        <wps:cNvPr id="1494" name="Graphic 1494"/>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097" coordorigin="0,0" coordsize="2945,10">
                <v:rect style="position:absolute;left:0;top:0;width:2945;height:10" id="docshape1098"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495" name="Group 1495"/>
                <wp:cNvGraphicFramePr>
                  <a:graphicFrameLocks/>
                </wp:cNvGraphicFramePr>
                <a:graphic>
                  <a:graphicData uri="http://schemas.microsoft.com/office/word/2010/wordprocessingGroup">
                    <wpg:wgp>
                      <wpg:cNvPr id="1495" name="Group 1495"/>
                      <wpg:cNvGrpSpPr/>
                      <wpg:grpSpPr>
                        <a:xfrm>
                          <a:off x="0" y="0"/>
                          <a:ext cx="841375" cy="6350"/>
                          <a:chExt cx="841375" cy="6350"/>
                        </a:xfrm>
                      </wpg:grpSpPr>
                      <wps:wsp>
                        <wps:cNvPr id="1496" name="Graphic 1496"/>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099" coordorigin="0,0" coordsize="1325,10">
                <v:rect style="position:absolute;left:0;top:0;width:1325;height:10" id="docshape1100"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footerReference w:type="even" r:id="rId275"/>
          <w:pgSz w:w="11910" w:h="16840"/>
          <w:pgMar w:header="0"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13056">
                <wp:simplePos x="0" y="0"/>
                <wp:positionH relativeFrom="page">
                  <wp:posOffset>4332186</wp:posOffset>
                </wp:positionH>
                <wp:positionV relativeFrom="paragraph">
                  <wp:posOffset>1412477</wp:posOffset>
                </wp:positionV>
                <wp:extent cx="53340" cy="100330"/>
                <wp:effectExtent l="0" t="0" r="0" b="0"/>
                <wp:wrapNone/>
                <wp:docPr id="1497" name="Textbox 1497"/>
                <wp:cNvGraphicFramePr>
                  <a:graphicFrameLocks/>
                </wp:cNvGraphicFramePr>
                <a:graphic>
                  <a:graphicData uri="http://schemas.microsoft.com/office/word/2010/wordprocessingShape">
                    <wps:wsp>
                      <wps:cNvPr id="1497" name="Textbox 1497"/>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903424" type="#_x0000_t202" id="docshape1101"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0"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84"/>
        <w:gridCol w:w="2266"/>
        <w:gridCol w:w="817"/>
        <w:gridCol w:w="541"/>
        <w:gridCol w:w="1022"/>
        <w:gridCol w:w="817"/>
        <w:gridCol w:w="1247"/>
        <w:gridCol w:w="93"/>
        <w:gridCol w:w="1038"/>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84" w:type="dxa"/>
            <w:tcBorders>
              <w:left w:val="single" w:sz="6" w:space="0" w:color="000000"/>
              <w:bottom w:val="single" w:sz="6" w:space="0" w:color="000000"/>
              <w:right w:val="nil"/>
            </w:tcBorders>
          </w:tcPr>
          <w:p>
            <w:pPr>
              <w:pStyle w:val="TableParagraph"/>
              <w:rPr>
                <w:rFonts w:ascii="Times New Roman"/>
                <w:sz w:val="14"/>
              </w:rPr>
            </w:pPr>
          </w:p>
        </w:tc>
        <w:tc>
          <w:tcPr>
            <w:tcW w:w="2266"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58"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1498" name="Image 1498"/>
                  <wp:cNvGraphicFramePr>
                    <a:graphicFrameLocks/>
                  </wp:cNvGraphicFramePr>
                  <a:graphic>
                    <a:graphicData uri="http://schemas.openxmlformats.org/drawingml/2006/picture">
                      <pic:pic>
                        <pic:nvPicPr>
                          <pic:cNvPr id="1498" name="Image 149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1499" name="Image 1499"/>
                  <wp:cNvGraphicFramePr>
                    <a:graphicFrameLocks/>
                  </wp:cNvGraphicFramePr>
                  <a:graphic>
                    <a:graphicData uri="http://schemas.openxmlformats.org/drawingml/2006/picture">
                      <pic:pic>
                        <pic:nvPicPr>
                          <pic:cNvPr id="1499" name="Image 149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93" w:type="dxa"/>
            <w:vMerge w:val="restart"/>
            <w:tcBorders>
              <w:top w:val="nil"/>
              <w:left w:val="nil"/>
              <w:bottom w:val="nil"/>
              <w:right w:val="nil"/>
            </w:tcBorders>
            <w:shd w:val="clear" w:color="auto" w:fill="000000"/>
          </w:tcPr>
          <w:p>
            <w:pPr>
              <w:pStyle w:val="TableParagraph"/>
              <w:rPr>
                <w:rFonts w:ascii="Times New Roman"/>
                <w:sz w:val="18"/>
              </w:rPr>
            </w:pPr>
          </w:p>
        </w:tc>
        <w:tc>
          <w:tcPr>
            <w:tcW w:w="1038" w:type="dxa"/>
            <w:vMerge w:val="restart"/>
            <w:tcBorders>
              <w:top w:val="nil"/>
              <w:left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13568">
                      <wp:simplePos x="0" y="0"/>
                      <wp:positionH relativeFrom="column">
                        <wp:posOffset>-1298447</wp:posOffset>
                      </wp:positionH>
                      <wp:positionV relativeFrom="paragraph">
                        <wp:posOffset>-144895</wp:posOffset>
                      </wp:positionV>
                      <wp:extent cx="1298575" cy="417830"/>
                      <wp:effectExtent l="0" t="0" r="0" b="0"/>
                      <wp:wrapNone/>
                      <wp:docPr id="1500" name="Group 1500"/>
                      <wp:cNvGraphicFramePr>
                        <a:graphicFrameLocks/>
                      </wp:cNvGraphicFramePr>
                      <a:graphic>
                        <a:graphicData uri="http://schemas.microsoft.com/office/word/2010/wordprocessingGroup">
                          <wpg:wgp>
                            <wpg:cNvPr id="1500" name="Group 1500"/>
                            <wpg:cNvGrpSpPr/>
                            <wpg:grpSpPr>
                              <a:xfrm>
                                <a:off x="0" y="0"/>
                                <a:ext cx="1298575" cy="417830"/>
                                <a:chExt cx="1298575" cy="417830"/>
                              </a:xfrm>
                            </wpg:grpSpPr>
                            <wps:wsp>
                              <wps:cNvPr id="1501" name="Graphic 1501"/>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502" name="Image 1502"/>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902912" id="docshapegroup1102" coordorigin="-2045,-228" coordsize="2045,658">
                      <v:shape style="position:absolute;left:-2045;top:-229;width:2045;height:658" id="docshape1103" coordorigin="-2045,-228" coordsize="2045,658" path="m0,-228l-2045,-228,-2045,-10,-2045,-7,-2045,429,0,429,0,-7,0,-10,0,-228xe" filled="true" fillcolor="#cccccc" stroked="false">
                        <v:path arrowok="t"/>
                        <v:fill type="solid"/>
                      </v:shape>
                      <v:shape style="position:absolute;left:-1973;top:-154;width:1896;height:327" type="#_x0000_t75" id="docshape1104"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93" w:type="dxa"/>
            <w:vMerge/>
            <w:tcBorders>
              <w:top w:val="nil"/>
              <w:left w:val="nil"/>
              <w:bottom w:val="nil"/>
              <w:right w:val="nil"/>
            </w:tcBorders>
            <w:shd w:val="clear" w:color="auto" w:fill="000000"/>
          </w:tcPr>
          <w:p>
            <w:pPr>
              <w:rPr>
                <w:sz w:val="2"/>
                <w:szCs w:val="2"/>
              </w:rPr>
            </w:pPr>
          </w:p>
        </w:tc>
        <w:tc>
          <w:tcPr>
            <w:tcW w:w="1038"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503" name="Image 1503"/>
                  <wp:cNvGraphicFramePr>
                    <a:graphicFrameLocks/>
                  </wp:cNvGraphicFramePr>
                  <a:graphic>
                    <a:graphicData uri="http://schemas.openxmlformats.org/drawingml/2006/picture">
                      <pic:pic>
                        <pic:nvPicPr>
                          <pic:cNvPr id="1503" name="Image 150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1504" name="Image 1504"/>
                  <wp:cNvGraphicFramePr>
                    <a:graphicFrameLocks/>
                  </wp:cNvGraphicFramePr>
                  <a:graphic>
                    <a:graphicData uri="http://schemas.openxmlformats.org/drawingml/2006/picture">
                      <pic:pic>
                        <pic:nvPicPr>
                          <pic:cNvPr id="1504" name="Image 1504"/>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jc w:val="center"/>
              <w:rPr>
                <w:rFonts w:ascii="Arial"/>
                <w:sz w:val="14"/>
              </w:rPr>
            </w:pPr>
            <w:r>
              <w:rPr>
                <w:rFonts w:ascii="Arial"/>
                <w:sz w:val="14"/>
              </w:rPr>
              <mc:AlternateContent>
                <mc:Choice Requires="wps">
                  <w:drawing>
                    <wp:anchor distT="0" distB="0" distL="0" distR="0" allowOverlap="1" layoutInCell="1" locked="0" behindDoc="1" simplePos="0" relativeHeight="474414080">
                      <wp:simplePos x="0" y="0"/>
                      <wp:positionH relativeFrom="column">
                        <wp:posOffset>1320546</wp:posOffset>
                      </wp:positionH>
                      <wp:positionV relativeFrom="paragraph">
                        <wp:posOffset>-311719</wp:posOffset>
                      </wp:positionV>
                      <wp:extent cx="734695" cy="753110"/>
                      <wp:effectExtent l="0" t="0" r="0" b="0"/>
                      <wp:wrapNone/>
                      <wp:docPr id="1505" name="Group 1505"/>
                      <wp:cNvGraphicFramePr>
                        <a:graphicFrameLocks/>
                      </wp:cNvGraphicFramePr>
                      <a:graphic>
                        <a:graphicData uri="http://schemas.microsoft.com/office/word/2010/wordprocessingGroup">
                          <wpg:wgp>
                            <wpg:cNvPr id="1505" name="Group 1505"/>
                            <wpg:cNvGrpSpPr/>
                            <wpg:grpSpPr>
                              <a:xfrm>
                                <a:off x="0" y="0"/>
                                <a:ext cx="734695" cy="753110"/>
                                <a:chExt cx="734695" cy="753110"/>
                              </a:xfrm>
                            </wpg:grpSpPr>
                            <pic:pic>
                              <pic:nvPicPr>
                                <pic:cNvPr id="1506" name="Image 1506"/>
                                <pic:cNvPicPr/>
                              </pic:nvPicPr>
                              <pic:blipFill>
                                <a:blip r:embed="rId276" cstate="print"/>
                                <a:stretch>
                                  <a:fillRect/>
                                </a:stretch>
                              </pic:blipFill>
                              <pic:spPr>
                                <a:xfrm>
                                  <a:off x="0" y="0"/>
                                  <a:ext cx="734567" cy="752840"/>
                                </a:xfrm>
                                <a:prstGeom prst="rect">
                                  <a:avLst/>
                                </a:prstGeom>
                              </pic:spPr>
                            </pic:pic>
                            <wps:wsp>
                              <wps:cNvPr id="1507" name="Graphic 1507"/>
                              <wps:cNvSpPr/>
                              <wps:spPr>
                                <a:xfrm>
                                  <a:off x="50520" y="60157"/>
                                  <a:ext cx="659765" cy="664845"/>
                                </a:xfrm>
                                <a:custGeom>
                                  <a:avLst/>
                                  <a:gdLst/>
                                  <a:ahLst/>
                                  <a:cxnLst/>
                                  <a:rect l="l" t="t" r="r" b="b"/>
                                  <a:pathLst>
                                    <a:path w="659765" h="664845">
                                      <a:moveTo>
                                        <a:pt x="659562" y="0"/>
                                      </a:moveTo>
                                      <a:lnTo>
                                        <a:pt x="0" y="0"/>
                                      </a:lnTo>
                                      <a:lnTo>
                                        <a:pt x="0" y="664502"/>
                                      </a:lnTo>
                                      <a:lnTo>
                                        <a:pt x="659562" y="664502"/>
                                      </a:lnTo>
                                      <a:lnTo>
                                        <a:pt x="65956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902400" id="docshapegroup1105" coordorigin="2080,-491" coordsize="1157,1186">
                      <v:shape style="position:absolute;left:2079;top:-491;width:1157;height:1186" type="#_x0000_t75" id="docshape1106" stroked="false">
                        <v:imagedata r:id="rId276" o:title=""/>
                      </v:shape>
                      <v:rect style="position:absolute;left:2159;top:-397;width:1039;height:1047" id="docshape1107" filled="true" fillcolor="#000000" stroked="false">
                        <v:fill type="solid"/>
                      </v:rect>
                      <w10:wrap type="none"/>
                    </v:group>
                  </w:pict>
                </mc:Fallback>
              </mc:AlternateContent>
            </w:r>
            <w:r>
              <w:rPr>
                <w:rFonts w:ascii="Arial"/>
                <w:spacing w:val="-2"/>
                <w:sz w:val="14"/>
              </w:rPr>
              <w:t>24/40</w:t>
            </w:r>
          </w:p>
        </w:tc>
        <w:tc>
          <w:tcPr>
            <w:tcW w:w="93" w:type="dxa"/>
            <w:vMerge/>
            <w:tcBorders>
              <w:top w:val="nil"/>
              <w:left w:val="nil"/>
              <w:bottom w:val="nil"/>
              <w:right w:val="nil"/>
            </w:tcBorders>
            <w:shd w:val="clear" w:color="auto" w:fill="000000"/>
          </w:tcPr>
          <w:p>
            <w:pPr>
              <w:rPr>
                <w:sz w:val="2"/>
                <w:szCs w:val="2"/>
              </w:rPr>
            </w:pPr>
          </w:p>
        </w:tc>
        <w:tc>
          <w:tcPr>
            <w:tcW w:w="1038"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508" name="Image 1508"/>
                  <wp:cNvGraphicFramePr>
                    <a:graphicFrameLocks/>
                  </wp:cNvGraphicFramePr>
                  <a:graphic>
                    <a:graphicData uri="http://schemas.openxmlformats.org/drawingml/2006/picture">
                      <pic:pic>
                        <pic:nvPicPr>
                          <pic:cNvPr id="1508" name="Image 1508"/>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7"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93" w:type="dxa"/>
            <w:vMerge/>
            <w:tcBorders>
              <w:top w:val="nil"/>
              <w:left w:val="nil"/>
              <w:bottom w:val="nil"/>
              <w:right w:val="nil"/>
            </w:tcBorders>
            <w:shd w:val="clear" w:color="auto" w:fill="000000"/>
          </w:tcPr>
          <w:p>
            <w:pPr>
              <w:rPr>
                <w:sz w:val="2"/>
                <w:szCs w:val="2"/>
              </w:rPr>
            </w:pPr>
          </w:p>
        </w:tc>
        <w:tc>
          <w:tcPr>
            <w:tcW w:w="1038" w:type="dxa"/>
            <w:vMerge/>
            <w:tcBorders>
              <w:top w:val="nil"/>
              <w:left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509" name="Image 1509"/>
                  <wp:cNvGraphicFramePr>
                    <a:graphicFrameLocks/>
                  </wp:cNvGraphicFramePr>
                  <a:graphic>
                    <a:graphicData uri="http://schemas.openxmlformats.org/drawingml/2006/picture">
                      <pic:pic>
                        <pic:nvPicPr>
                          <pic:cNvPr id="1509" name="Image 1509"/>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93" w:type="dxa"/>
            <w:vMerge/>
            <w:tcBorders>
              <w:top w:val="nil"/>
              <w:left w:val="nil"/>
              <w:bottom w:val="nil"/>
              <w:right w:val="nil"/>
            </w:tcBorders>
            <w:shd w:val="clear" w:color="auto" w:fill="000000"/>
          </w:tcPr>
          <w:p>
            <w:pPr>
              <w:rPr>
                <w:sz w:val="2"/>
                <w:szCs w:val="2"/>
              </w:rPr>
            </w:pPr>
          </w:p>
        </w:tc>
        <w:tc>
          <w:tcPr>
            <w:tcW w:w="1038" w:type="dxa"/>
            <w:vMerge/>
            <w:tcBorders>
              <w:top w:val="nil"/>
              <w:left w:val="nil"/>
              <w:bottom w:val="nil"/>
              <w:right w:val="nil"/>
            </w:tcBorders>
          </w:tcPr>
          <w:p>
            <w:pPr>
              <w:rPr>
                <w:sz w:val="2"/>
                <w:szCs w:val="2"/>
              </w:rPr>
            </w:pPr>
          </w:p>
        </w:tc>
      </w:tr>
    </w:tbl>
    <w:p>
      <w:pPr>
        <w:spacing w:after="0"/>
        <w:rPr>
          <w:sz w:val="2"/>
          <w:szCs w:val="2"/>
        </w:rPr>
        <w:sectPr>
          <w:type w:val="continuous"/>
          <w:pgSz w:w="11910" w:h="16840"/>
          <w:pgMar w:header="0" w:footer="0" w:top="1680" w:bottom="280" w:left="141" w:right="141"/>
        </w:sectPr>
      </w:pPr>
    </w:p>
    <w:p>
      <w:pPr>
        <w:pStyle w:val="BodyText"/>
        <w:rPr>
          <w:sz w:val="20"/>
        </w:rPr>
      </w:pPr>
    </w:p>
    <w:p>
      <w:pPr>
        <w:pStyle w:val="BodyText"/>
        <w:spacing w:before="52"/>
        <w:rPr>
          <w:sz w:val="20"/>
        </w:rPr>
      </w:pPr>
    </w:p>
    <w:p>
      <w:pPr>
        <w:spacing w:line="256" w:lineRule="auto" w:before="0"/>
        <w:ind w:left="2251" w:right="2021" w:firstLine="0"/>
        <w:jc w:val="both"/>
        <w:rPr>
          <w:rFonts w:ascii="Calibri" w:hAnsi="Calibri"/>
          <w:sz w:val="20"/>
        </w:rPr>
      </w:pPr>
      <w:r>
        <w:rPr>
          <w:rFonts w:ascii="Calibri" w:hAnsi="Calibri"/>
          <w:sz w:val="20"/>
        </w:rPr>
        <w:t>La Comisión Técnica está integrada por técnicos representantes de cada una de las empresas de transporte integrantes de la Agrupación de Municipios Innobus-Tur, incluyendo la EMT de Málaga, y tiene por objeto asegurar la coordinación técnica, operativa y tecnológica de las actuaciones del proyecto.</w:t>
      </w:r>
    </w:p>
    <w:p>
      <w:pPr>
        <w:spacing w:line="256" w:lineRule="auto" w:before="148"/>
        <w:ind w:left="2251" w:right="2024" w:firstLine="0"/>
        <w:jc w:val="both"/>
        <w:rPr>
          <w:rFonts w:ascii="Calibri" w:hAnsi="Calibri"/>
          <w:sz w:val="20"/>
        </w:rPr>
      </w:pPr>
      <w:r>
        <w:rPr>
          <w:rFonts w:ascii="Calibri" w:hAnsi="Calibri"/>
          <w:sz w:val="20"/>
        </w:rPr>
        <w:t>En dichas reuniones se han venido poniendo en común los avances en la ejecución de los proyectos, los resultados obtenidos, los procesos implantados, así como las soluciones técnicas</w:t>
      </w:r>
      <w:r>
        <w:rPr>
          <w:rFonts w:ascii="Calibri" w:hAnsi="Calibri"/>
          <w:spacing w:val="-3"/>
          <w:sz w:val="20"/>
        </w:rPr>
        <w:t> </w:t>
      </w:r>
      <w:r>
        <w:rPr>
          <w:rFonts w:ascii="Calibri" w:hAnsi="Calibri"/>
          <w:sz w:val="20"/>
        </w:rPr>
        <w:t>desarrolladas.</w:t>
      </w:r>
    </w:p>
    <w:p>
      <w:pPr>
        <w:spacing w:line="256" w:lineRule="auto" w:before="145"/>
        <w:ind w:left="2251" w:right="2019" w:firstLine="0"/>
        <w:jc w:val="both"/>
        <w:rPr>
          <w:rFonts w:ascii="Calibri" w:hAnsi="Calibri"/>
          <w:sz w:val="20"/>
        </w:rPr>
      </w:pPr>
      <w:r>
        <w:rPr>
          <w:rFonts w:ascii="Calibri" w:hAnsi="Calibri"/>
          <w:sz w:val="20"/>
        </w:rPr>
        <w:t>Estas</w:t>
      </w:r>
      <w:r>
        <w:rPr>
          <w:rFonts w:ascii="Calibri" w:hAnsi="Calibri"/>
          <w:spacing w:val="-8"/>
          <w:sz w:val="20"/>
        </w:rPr>
        <w:t> </w:t>
      </w:r>
      <w:r>
        <w:rPr>
          <w:rFonts w:ascii="Calibri" w:hAnsi="Calibri"/>
          <w:sz w:val="20"/>
        </w:rPr>
        <w:t>reuniones</w:t>
      </w:r>
      <w:r>
        <w:rPr>
          <w:rFonts w:ascii="Calibri" w:hAnsi="Calibri"/>
          <w:spacing w:val="-9"/>
          <w:sz w:val="20"/>
        </w:rPr>
        <w:t> </w:t>
      </w:r>
      <w:r>
        <w:rPr>
          <w:rFonts w:ascii="Calibri" w:hAnsi="Calibri"/>
          <w:sz w:val="20"/>
        </w:rPr>
        <w:t>han</w:t>
      </w:r>
      <w:r>
        <w:rPr>
          <w:rFonts w:ascii="Calibri" w:hAnsi="Calibri"/>
          <w:spacing w:val="-8"/>
          <w:sz w:val="20"/>
        </w:rPr>
        <w:t> </w:t>
      </w:r>
      <w:r>
        <w:rPr>
          <w:rFonts w:ascii="Calibri" w:hAnsi="Calibri"/>
          <w:sz w:val="20"/>
        </w:rPr>
        <w:t>constituido,</w:t>
      </w:r>
      <w:r>
        <w:rPr>
          <w:rFonts w:ascii="Calibri" w:hAnsi="Calibri"/>
          <w:spacing w:val="-8"/>
          <w:sz w:val="20"/>
        </w:rPr>
        <w:t> </w:t>
      </w:r>
      <w:r>
        <w:rPr>
          <w:rFonts w:ascii="Calibri" w:hAnsi="Calibri"/>
          <w:sz w:val="20"/>
        </w:rPr>
        <w:t>el</w:t>
      </w:r>
      <w:r>
        <w:rPr>
          <w:rFonts w:ascii="Calibri" w:hAnsi="Calibri"/>
          <w:spacing w:val="-11"/>
          <w:sz w:val="20"/>
        </w:rPr>
        <w:t> </w:t>
      </w:r>
      <w:r>
        <w:rPr>
          <w:rFonts w:ascii="Calibri" w:hAnsi="Calibri"/>
          <w:sz w:val="20"/>
        </w:rPr>
        <w:t>principal</w:t>
      </w:r>
      <w:r>
        <w:rPr>
          <w:rFonts w:ascii="Calibri" w:hAnsi="Calibri"/>
          <w:spacing w:val="-10"/>
          <w:sz w:val="20"/>
        </w:rPr>
        <w:t> </w:t>
      </w:r>
      <w:r>
        <w:rPr>
          <w:rFonts w:ascii="Calibri" w:hAnsi="Calibri"/>
          <w:sz w:val="20"/>
        </w:rPr>
        <w:t>espacio</w:t>
      </w:r>
      <w:r>
        <w:rPr>
          <w:rFonts w:ascii="Calibri" w:hAnsi="Calibri"/>
          <w:spacing w:val="-7"/>
          <w:sz w:val="20"/>
        </w:rPr>
        <w:t> </w:t>
      </w:r>
      <w:r>
        <w:rPr>
          <w:rFonts w:ascii="Calibri" w:hAnsi="Calibri"/>
          <w:sz w:val="20"/>
        </w:rPr>
        <w:t>de</w:t>
      </w:r>
      <w:r>
        <w:rPr>
          <w:rFonts w:ascii="Calibri" w:hAnsi="Calibri"/>
          <w:spacing w:val="-6"/>
          <w:sz w:val="20"/>
        </w:rPr>
        <w:t> </w:t>
      </w:r>
      <w:r>
        <w:rPr>
          <w:rFonts w:ascii="Calibri" w:hAnsi="Calibri"/>
          <w:sz w:val="20"/>
        </w:rPr>
        <w:t>trabajo</w:t>
      </w:r>
      <w:r>
        <w:rPr>
          <w:rFonts w:ascii="Calibri" w:hAnsi="Calibri"/>
          <w:spacing w:val="-9"/>
          <w:sz w:val="20"/>
        </w:rPr>
        <w:t> </w:t>
      </w:r>
      <w:r>
        <w:rPr>
          <w:rFonts w:ascii="Calibri" w:hAnsi="Calibri"/>
          <w:sz w:val="20"/>
        </w:rPr>
        <w:t>técnico</w:t>
      </w:r>
      <w:r>
        <w:rPr>
          <w:rFonts w:ascii="Calibri" w:hAnsi="Calibri"/>
          <w:spacing w:val="-6"/>
          <w:sz w:val="20"/>
        </w:rPr>
        <w:t> </w:t>
      </w:r>
      <w:r>
        <w:rPr>
          <w:rFonts w:ascii="Calibri" w:hAnsi="Calibri"/>
          <w:sz w:val="20"/>
        </w:rPr>
        <w:t>y</w:t>
      </w:r>
      <w:r>
        <w:rPr>
          <w:rFonts w:ascii="Calibri" w:hAnsi="Calibri"/>
          <w:spacing w:val="-9"/>
          <w:sz w:val="20"/>
        </w:rPr>
        <w:t> </w:t>
      </w:r>
      <w:r>
        <w:rPr>
          <w:rFonts w:ascii="Calibri" w:hAnsi="Calibri"/>
          <w:sz w:val="20"/>
        </w:rPr>
        <w:t>de</w:t>
      </w:r>
      <w:r>
        <w:rPr>
          <w:rFonts w:ascii="Calibri" w:hAnsi="Calibri"/>
          <w:spacing w:val="-8"/>
          <w:sz w:val="20"/>
        </w:rPr>
        <w:t> </w:t>
      </w:r>
      <w:r>
        <w:rPr>
          <w:rFonts w:ascii="Calibri" w:hAnsi="Calibri"/>
          <w:sz w:val="20"/>
        </w:rPr>
        <w:t>intercambio</w:t>
      </w:r>
      <w:r>
        <w:rPr>
          <w:rFonts w:ascii="Calibri" w:hAnsi="Calibri"/>
          <w:spacing w:val="-8"/>
          <w:sz w:val="20"/>
        </w:rPr>
        <w:t> </w:t>
      </w:r>
      <w:r>
        <w:rPr>
          <w:rFonts w:ascii="Calibri" w:hAnsi="Calibri"/>
          <w:sz w:val="20"/>
        </w:rPr>
        <w:t>de información entre los socios, y han permitido armonizar criterios de desarrollo, metodologías y resultados para garantizar la coherencia global del proyecto en todas las ciudades participantes.</w:t>
      </w:r>
    </w:p>
    <w:p>
      <w:pPr>
        <w:spacing w:line="256" w:lineRule="auto" w:before="146"/>
        <w:ind w:left="2251" w:right="2020" w:firstLine="0"/>
        <w:jc w:val="both"/>
        <w:rPr>
          <w:rFonts w:ascii="Calibri" w:hAnsi="Calibri"/>
          <w:sz w:val="20"/>
        </w:rPr>
      </w:pPr>
      <w:r>
        <w:rPr>
          <w:rFonts w:ascii="Calibri" w:hAnsi="Calibri"/>
          <w:sz w:val="20"/>
        </w:rPr>
        <w:t>Por tanto, si bien las reuniones del Comité de Proyecto han tenido carácter puntual y se centraron</w:t>
      </w:r>
      <w:r>
        <w:rPr>
          <w:rFonts w:ascii="Calibri" w:hAnsi="Calibri"/>
          <w:spacing w:val="-1"/>
          <w:sz w:val="20"/>
        </w:rPr>
        <w:t> </w:t>
      </w:r>
      <w:r>
        <w:rPr>
          <w:rFonts w:ascii="Calibri" w:hAnsi="Calibri"/>
          <w:sz w:val="20"/>
        </w:rPr>
        <w:t>en</w:t>
      </w:r>
      <w:r>
        <w:rPr>
          <w:rFonts w:ascii="Calibri" w:hAnsi="Calibri"/>
          <w:spacing w:val="-3"/>
          <w:sz w:val="20"/>
        </w:rPr>
        <w:t> </w:t>
      </w:r>
      <w:r>
        <w:rPr>
          <w:rFonts w:ascii="Calibri" w:hAnsi="Calibri"/>
          <w:sz w:val="20"/>
        </w:rPr>
        <w:t>cuestiones</w:t>
      </w:r>
      <w:r>
        <w:rPr>
          <w:rFonts w:ascii="Calibri" w:hAnsi="Calibri"/>
          <w:spacing w:val="-2"/>
          <w:sz w:val="20"/>
        </w:rPr>
        <w:t> </w:t>
      </w:r>
      <w:r>
        <w:rPr>
          <w:rFonts w:ascii="Calibri" w:hAnsi="Calibri"/>
          <w:sz w:val="20"/>
        </w:rPr>
        <w:t>de</w:t>
      </w:r>
      <w:r>
        <w:rPr>
          <w:rFonts w:ascii="Calibri" w:hAnsi="Calibri"/>
          <w:spacing w:val="-3"/>
          <w:sz w:val="20"/>
        </w:rPr>
        <w:t> </w:t>
      </w:r>
      <w:r>
        <w:rPr>
          <w:rFonts w:ascii="Calibri" w:hAnsi="Calibri"/>
          <w:sz w:val="20"/>
        </w:rPr>
        <w:t>gestión</w:t>
      </w:r>
      <w:r>
        <w:rPr>
          <w:rFonts w:ascii="Calibri" w:hAnsi="Calibri"/>
          <w:spacing w:val="-3"/>
          <w:sz w:val="20"/>
        </w:rPr>
        <w:t> </w:t>
      </w:r>
      <w:r>
        <w:rPr>
          <w:rFonts w:ascii="Calibri" w:hAnsi="Calibri"/>
          <w:sz w:val="20"/>
        </w:rPr>
        <w:t>presupuestaria, la</w:t>
      </w:r>
      <w:r>
        <w:rPr>
          <w:rFonts w:ascii="Calibri" w:hAnsi="Calibri"/>
          <w:spacing w:val="-4"/>
          <w:sz w:val="20"/>
        </w:rPr>
        <w:t> </w:t>
      </w:r>
      <w:r>
        <w:rPr>
          <w:rFonts w:ascii="Calibri" w:hAnsi="Calibri"/>
          <w:sz w:val="20"/>
        </w:rPr>
        <w:t>coordinación</w:t>
      </w:r>
      <w:r>
        <w:rPr>
          <w:rFonts w:ascii="Calibri" w:hAnsi="Calibri"/>
          <w:spacing w:val="-3"/>
          <w:sz w:val="20"/>
        </w:rPr>
        <w:t> </w:t>
      </w:r>
      <w:r>
        <w:rPr>
          <w:rFonts w:ascii="Calibri" w:hAnsi="Calibri"/>
          <w:sz w:val="20"/>
        </w:rPr>
        <w:t>técnica</w:t>
      </w:r>
      <w:r>
        <w:rPr>
          <w:rFonts w:ascii="Calibri" w:hAnsi="Calibri"/>
          <w:spacing w:val="-2"/>
          <w:sz w:val="20"/>
        </w:rPr>
        <w:t> </w:t>
      </w:r>
      <w:r>
        <w:rPr>
          <w:rFonts w:ascii="Calibri" w:hAnsi="Calibri"/>
          <w:sz w:val="20"/>
        </w:rPr>
        <w:t>y</w:t>
      </w:r>
      <w:r>
        <w:rPr>
          <w:rFonts w:ascii="Calibri" w:hAnsi="Calibri"/>
          <w:spacing w:val="-3"/>
          <w:sz w:val="20"/>
        </w:rPr>
        <w:t> </w:t>
      </w:r>
      <w:r>
        <w:rPr>
          <w:rFonts w:ascii="Calibri" w:hAnsi="Calibri"/>
          <w:sz w:val="20"/>
        </w:rPr>
        <w:t>operativa</w:t>
      </w:r>
      <w:r>
        <w:rPr>
          <w:rFonts w:ascii="Calibri" w:hAnsi="Calibri"/>
          <w:spacing w:val="-3"/>
          <w:sz w:val="20"/>
        </w:rPr>
        <w:t> </w:t>
      </w:r>
      <w:r>
        <w:rPr>
          <w:rFonts w:ascii="Calibri" w:hAnsi="Calibri"/>
          <w:sz w:val="20"/>
        </w:rPr>
        <w:t>del proyecto ha sido constante gracias a la actuación de la Comisión Técnica, la cual cumple precisamente</w:t>
      </w:r>
      <w:r>
        <w:rPr>
          <w:rFonts w:ascii="Calibri" w:hAnsi="Calibri"/>
          <w:spacing w:val="-1"/>
          <w:sz w:val="20"/>
        </w:rPr>
        <w:t> </w:t>
      </w:r>
      <w:r>
        <w:rPr>
          <w:rFonts w:ascii="Calibri" w:hAnsi="Calibri"/>
          <w:sz w:val="20"/>
        </w:rPr>
        <w:t>con la finalidad de seguimiento, puesta</w:t>
      </w:r>
      <w:r>
        <w:rPr>
          <w:rFonts w:ascii="Calibri" w:hAnsi="Calibri"/>
          <w:spacing w:val="-3"/>
          <w:sz w:val="20"/>
        </w:rPr>
        <w:t> </w:t>
      </w:r>
      <w:r>
        <w:rPr>
          <w:rFonts w:ascii="Calibri" w:hAnsi="Calibri"/>
          <w:sz w:val="20"/>
        </w:rPr>
        <w:t>en común de procesos y resultados.</w:t>
      </w:r>
    </w:p>
    <w:p>
      <w:pPr>
        <w:spacing w:line="259" w:lineRule="auto" w:before="142"/>
        <w:ind w:left="2251" w:right="2019" w:firstLine="0"/>
        <w:jc w:val="both"/>
        <w:rPr>
          <w:rFonts w:ascii="Calibri" w:hAnsi="Calibri"/>
          <w:sz w:val="20"/>
        </w:rPr>
      </w:pPr>
      <w:r>
        <w:rPr>
          <w:rFonts w:ascii="Calibri" w:hAnsi="Calibri"/>
          <w:sz w:val="20"/>
        </w:rPr>
        <w:t>Asimismo, como se hace constar, está prevista la celebración de una última reunión del Comité de Proyecto antes</w:t>
      </w:r>
      <w:r>
        <w:rPr>
          <w:rFonts w:ascii="Calibri" w:hAnsi="Calibri"/>
          <w:spacing w:val="-3"/>
          <w:sz w:val="20"/>
        </w:rPr>
        <w:t> </w:t>
      </w:r>
      <w:r>
        <w:rPr>
          <w:rFonts w:ascii="Calibri" w:hAnsi="Calibri"/>
          <w:sz w:val="20"/>
        </w:rPr>
        <w:t>de finalizar 2025, con el objetivo</w:t>
      </w:r>
      <w:r>
        <w:rPr>
          <w:rFonts w:ascii="Calibri" w:hAnsi="Calibri"/>
          <w:spacing w:val="-1"/>
          <w:sz w:val="20"/>
        </w:rPr>
        <w:t> </w:t>
      </w:r>
      <w:r>
        <w:rPr>
          <w:rFonts w:ascii="Calibri" w:hAnsi="Calibri"/>
          <w:sz w:val="20"/>
        </w:rPr>
        <w:t>de cerrar la justificación final y la liquidación del proyecto, garantizando así la plena</w:t>
      </w:r>
      <w:r>
        <w:rPr>
          <w:rFonts w:ascii="Calibri" w:hAnsi="Calibri"/>
          <w:spacing w:val="-3"/>
          <w:sz w:val="20"/>
        </w:rPr>
        <w:t> </w:t>
      </w:r>
      <w:r>
        <w:rPr>
          <w:rFonts w:ascii="Calibri" w:hAnsi="Calibri"/>
          <w:sz w:val="20"/>
        </w:rPr>
        <w:t>coordinación y ejecución conforme a lo establecido en el convenio.</w:t>
      </w:r>
    </w:p>
    <w:p>
      <w:pPr>
        <w:spacing w:line="256" w:lineRule="auto" w:before="136"/>
        <w:ind w:left="2251" w:right="2021" w:firstLine="0"/>
        <w:jc w:val="both"/>
        <w:rPr>
          <w:rFonts w:ascii="Calibri" w:hAnsi="Calibri"/>
          <w:sz w:val="20"/>
        </w:rPr>
      </w:pPr>
      <w:r>
        <w:rPr>
          <w:rFonts w:ascii="Calibri" w:hAnsi="Calibri"/>
          <w:sz w:val="20"/>
        </w:rPr>
        <w:t>En</w:t>
      </w:r>
      <w:r>
        <w:rPr>
          <w:rFonts w:ascii="Calibri" w:hAnsi="Calibri"/>
          <w:spacing w:val="-7"/>
          <w:sz w:val="20"/>
        </w:rPr>
        <w:t> </w:t>
      </w:r>
      <w:r>
        <w:rPr>
          <w:rFonts w:ascii="Calibri" w:hAnsi="Calibri"/>
          <w:sz w:val="20"/>
        </w:rPr>
        <w:t>virtud</w:t>
      </w:r>
      <w:r>
        <w:rPr>
          <w:rFonts w:ascii="Calibri" w:hAnsi="Calibri"/>
          <w:spacing w:val="-6"/>
          <w:sz w:val="20"/>
        </w:rPr>
        <w:t> </w:t>
      </w:r>
      <w:r>
        <w:rPr>
          <w:rFonts w:ascii="Calibri" w:hAnsi="Calibri"/>
          <w:sz w:val="20"/>
        </w:rPr>
        <w:t>de</w:t>
      </w:r>
      <w:r>
        <w:rPr>
          <w:rFonts w:ascii="Calibri" w:hAnsi="Calibri"/>
          <w:spacing w:val="-5"/>
          <w:sz w:val="20"/>
        </w:rPr>
        <w:t> </w:t>
      </w:r>
      <w:r>
        <w:rPr>
          <w:rFonts w:ascii="Calibri" w:hAnsi="Calibri"/>
          <w:sz w:val="20"/>
        </w:rPr>
        <w:t>lo</w:t>
      </w:r>
      <w:r>
        <w:rPr>
          <w:rFonts w:ascii="Calibri" w:hAnsi="Calibri"/>
          <w:spacing w:val="-5"/>
          <w:sz w:val="20"/>
        </w:rPr>
        <w:t> </w:t>
      </w:r>
      <w:r>
        <w:rPr>
          <w:rFonts w:ascii="Calibri" w:hAnsi="Calibri"/>
          <w:sz w:val="20"/>
        </w:rPr>
        <w:t>anterior,</w:t>
      </w:r>
      <w:r>
        <w:rPr>
          <w:rFonts w:ascii="Calibri" w:hAnsi="Calibri"/>
          <w:spacing w:val="-5"/>
          <w:sz w:val="20"/>
        </w:rPr>
        <w:t> </w:t>
      </w:r>
      <w:r>
        <w:rPr>
          <w:rFonts w:ascii="Calibri" w:hAnsi="Calibri"/>
          <w:sz w:val="20"/>
        </w:rPr>
        <w:t>se</w:t>
      </w:r>
      <w:r>
        <w:rPr>
          <w:rFonts w:ascii="Calibri" w:hAnsi="Calibri"/>
          <w:spacing w:val="-6"/>
          <w:sz w:val="20"/>
        </w:rPr>
        <w:t> </w:t>
      </w:r>
      <w:r>
        <w:rPr>
          <w:rFonts w:ascii="Calibri" w:hAnsi="Calibri"/>
          <w:sz w:val="20"/>
        </w:rPr>
        <w:t>solicita</w:t>
      </w:r>
      <w:r>
        <w:rPr>
          <w:rFonts w:ascii="Calibri" w:hAnsi="Calibri"/>
          <w:spacing w:val="-8"/>
          <w:sz w:val="20"/>
        </w:rPr>
        <w:t> </w:t>
      </w:r>
      <w:r>
        <w:rPr>
          <w:rFonts w:ascii="Calibri" w:hAnsi="Calibri"/>
          <w:sz w:val="20"/>
        </w:rPr>
        <w:t>a</w:t>
      </w:r>
      <w:r>
        <w:rPr>
          <w:rFonts w:ascii="Calibri" w:hAnsi="Calibri"/>
          <w:spacing w:val="-10"/>
          <w:sz w:val="20"/>
        </w:rPr>
        <w:t> </w:t>
      </w:r>
      <w:r>
        <w:rPr>
          <w:rFonts w:ascii="Calibri" w:hAnsi="Calibri"/>
          <w:sz w:val="20"/>
        </w:rPr>
        <w:t>este</w:t>
      </w:r>
      <w:r>
        <w:rPr>
          <w:rFonts w:ascii="Calibri" w:hAnsi="Calibri"/>
          <w:spacing w:val="-10"/>
          <w:sz w:val="20"/>
        </w:rPr>
        <w:t> </w:t>
      </w:r>
      <w:r>
        <w:rPr>
          <w:rFonts w:ascii="Calibri" w:hAnsi="Calibri"/>
          <w:sz w:val="20"/>
        </w:rPr>
        <w:t>Tribunal</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Cuentas</w:t>
      </w:r>
      <w:r>
        <w:rPr>
          <w:rFonts w:ascii="Calibri" w:hAnsi="Calibri"/>
          <w:spacing w:val="-5"/>
          <w:sz w:val="20"/>
        </w:rPr>
        <w:t> </w:t>
      </w:r>
      <w:r>
        <w:rPr>
          <w:rFonts w:ascii="Calibri" w:hAnsi="Calibri"/>
          <w:sz w:val="20"/>
        </w:rPr>
        <w:t>que</w:t>
      </w:r>
      <w:r>
        <w:rPr>
          <w:rFonts w:ascii="Calibri" w:hAnsi="Calibri"/>
          <w:spacing w:val="-9"/>
          <w:sz w:val="20"/>
        </w:rPr>
        <w:t> </w:t>
      </w:r>
      <w:r>
        <w:rPr>
          <w:rFonts w:ascii="Calibri" w:hAnsi="Calibri"/>
          <w:sz w:val="20"/>
        </w:rPr>
        <w:t>tenga</w:t>
      </w:r>
      <w:r>
        <w:rPr>
          <w:rFonts w:ascii="Calibri" w:hAnsi="Calibri"/>
          <w:spacing w:val="-9"/>
          <w:sz w:val="20"/>
        </w:rPr>
        <w:t> </w:t>
      </w:r>
      <w:r>
        <w:rPr>
          <w:rFonts w:ascii="Calibri" w:hAnsi="Calibri"/>
          <w:sz w:val="20"/>
        </w:rPr>
        <w:t>por</w:t>
      </w:r>
      <w:r>
        <w:rPr>
          <w:rFonts w:ascii="Calibri" w:hAnsi="Calibri"/>
          <w:spacing w:val="-10"/>
          <w:sz w:val="20"/>
        </w:rPr>
        <w:t> </w:t>
      </w:r>
      <w:r>
        <w:rPr>
          <w:rFonts w:ascii="Calibri" w:hAnsi="Calibri"/>
          <w:sz w:val="20"/>
        </w:rPr>
        <w:t>acreditado</w:t>
      </w:r>
      <w:r>
        <w:rPr>
          <w:rFonts w:ascii="Calibri" w:hAnsi="Calibri"/>
          <w:spacing w:val="-7"/>
          <w:sz w:val="20"/>
        </w:rPr>
        <w:t> </w:t>
      </w:r>
      <w:r>
        <w:rPr>
          <w:rFonts w:ascii="Calibri" w:hAnsi="Calibri"/>
          <w:sz w:val="20"/>
        </w:rPr>
        <w:t>que la Agrupación de Municipios Innobus-Tur sí ha desarrollado reuniones y actuaciones continuadas</w:t>
      </w:r>
      <w:r>
        <w:rPr>
          <w:rFonts w:ascii="Calibri" w:hAnsi="Calibri"/>
          <w:spacing w:val="-4"/>
          <w:sz w:val="20"/>
        </w:rPr>
        <w:t> </w:t>
      </w:r>
      <w:r>
        <w:rPr>
          <w:rFonts w:ascii="Calibri" w:hAnsi="Calibri"/>
          <w:sz w:val="20"/>
        </w:rPr>
        <w:t>de</w:t>
      </w:r>
      <w:r>
        <w:rPr>
          <w:rFonts w:ascii="Calibri" w:hAnsi="Calibri"/>
          <w:spacing w:val="-3"/>
          <w:sz w:val="20"/>
        </w:rPr>
        <w:t> </w:t>
      </w:r>
      <w:r>
        <w:rPr>
          <w:rFonts w:ascii="Calibri" w:hAnsi="Calibri"/>
          <w:sz w:val="20"/>
        </w:rPr>
        <w:t>coordinación</w:t>
      </w:r>
      <w:r>
        <w:rPr>
          <w:rFonts w:ascii="Calibri" w:hAnsi="Calibri"/>
          <w:spacing w:val="-3"/>
          <w:sz w:val="20"/>
        </w:rPr>
        <w:t> </w:t>
      </w:r>
      <w:r>
        <w:rPr>
          <w:rFonts w:ascii="Calibri" w:hAnsi="Calibri"/>
          <w:sz w:val="20"/>
        </w:rPr>
        <w:t>técnica</w:t>
      </w:r>
      <w:r>
        <w:rPr>
          <w:rFonts w:ascii="Calibri" w:hAnsi="Calibri"/>
          <w:spacing w:val="-4"/>
          <w:sz w:val="20"/>
        </w:rPr>
        <w:t> </w:t>
      </w:r>
      <w:r>
        <w:rPr>
          <w:rFonts w:ascii="Calibri" w:hAnsi="Calibri"/>
          <w:sz w:val="20"/>
        </w:rPr>
        <w:t>y</w:t>
      </w:r>
      <w:r>
        <w:rPr>
          <w:rFonts w:ascii="Calibri" w:hAnsi="Calibri"/>
          <w:spacing w:val="-4"/>
          <w:sz w:val="20"/>
        </w:rPr>
        <w:t> </w:t>
      </w:r>
      <w:r>
        <w:rPr>
          <w:rFonts w:ascii="Calibri" w:hAnsi="Calibri"/>
          <w:sz w:val="20"/>
        </w:rPr>
        <w:t>seguimiento</w:t>
      </w:r>
      <w:r>
        <w:rPr>
          <w:rFonts w:ascii="Calibri" w:hAnsi="Calibri"/>
          <w:spacing w:val="-4"/>
          <w:sz w:val="20"/>
        </w:rPr>
        <w:t> </w:t>
      </w:r>
      <w:r>
        <w:rPr>
          <w:rFonts w:ascii="Calibri" w:hAnsi="Calibri"/>
          <w:sz w:val="20"/>
        </w:rPr>
        <w:t>del</w:t>
      </w:r>
      <w:r>
        <w:rPr>
          <w:rFonts w:ascii="Calibri" w:hAnsi="Calibri"/>
          <w:spacing w:val="-5"/>
          <w:sz w:val="20"/>
        </w:rPr>
        <w:t> </w:t>
      </w:r>
      <w:r>
        <w:rPr>
          <w:rFonts w:ascii="Calibri" w:hAnsi="Calibri"/>
          <w:sz w:val="20"/>
        </w:rPr>
        <w:t>proyecto,</w:t>
      </w:r>
      <w:r>
        <w:rPr>
          <w:rFonts w:ascii="Calibri" w:hAnsi="Calibri"/>
          <w:spacing w:val="-8"/>
          <w:sz w:val="20"/>
        </w:rPr>
        <w:t> </w:t>
      </w:r>
      <w:r>
        <w:rPr>
          <w:rFonts w:ascii="Calibri" w:hAnsi="Calibri"/>
          <w:sz w:val="20"/>
        </w:rPr>
        <w:t>cumpliendo</w:t>
      </w:r>
      <w:r>
        <w:rPr>
          <w:rFonts w:ascii="Calibri" w:hAnsi="Calibri"/>
          <w:spacing w:val="-2"/>
          <w:sz w:val="20"/>
        </w:rPr>
        <w:t> </w:t>
      </w:r>
      <w:r>
        <w:rPr>
          <w:rFonts w:ascii="Calibri" w:hAnsi="Calibri"/>
          <w:sz w:val="20"/>
        </w:rPr>
        <w:t>los</w:t>
      </w:r>
      <w:r>
        <w:rPr>
          <w:rFonts w:ascii="Calibri" w:hAnsi="Calibri"/>
          <w:spacing w:val="-2"/>
          <w:sz w:val="20"/>
        </w:rPr>
        <w:t> </w:t>
      </w:r>
      <w:r>
        <w:rPr>
          <w:rFonts w:ascii="Calibri" w:hAnsi="Calibri"/>
          <w:sz w:val="20"/>
        </w:rPr>
        <w:t>objetivos de intercambio de</w:t>
      </w:r>
      <w:r>
        <w:rPr>
          <w:rFonts w:ascii="Calibri" w:hAnsi="Calibri"/>
          <w:spacing w:val="-1"/>
          <w:sz w:val="20"/>
        </w:rPr>
        <w:t> </w:t>
      </w:r>
      <w:r>
        <w:rPr>
          <w:rFonts w:ascii="Calibri" w:hAnsi="Calibri"/>
          <w:sz w:val="20"/>
        </w:rPr>
        <w:t>resultados, procesos y soluciones previstos en el convenio.</w:t>
      </w:r>
    </w:p>
    <w:p>
      <w:pPr>
        <w:spacing w:line="256" w:lineRule="auto" w:before="148"/>
        <w:ind w:left="2251" w:right="2023" w:firstLine="0"/>
        <w:jc w:val="both"/>
        <w:rPr>
          <w:rFonts w:ascii="Calibri" w:hAnsi="Calibri"/>
          <w:sz w:val="20"/>
        </w:rPr>
      </w:pPr>
      <w:r>
        <w:rPr>
          <w:rFonts w:ascii="Calibri" w:hAnsi="Calibri"/>
          <w:sz w:val="20"/>
        </w:rPr>
        <w:t>En consecuencia, al haberse constatado documentalmente la efectiva celebración y finalidad de dichas reuniones, </w:t>
      </w:r>
      <w:r>
        <w:rPr>
          <w:rFonts w:ascii="Calibri" w:hAnsi="Calibri"/>
          <w:sz w:val="20"/>
          <w:u w:val="single"/>
        </w:rPr>
        <w:t>se solicita la supresión de la observación formulada en el</w:t>
      </w:r>
      <w:r>
        <w:rPr>
          <w:rFonts w:ascii="Calibri" w:hAnsi="Calibri"/>
          <w:sz w:val="20"/>
          <w:u w:val="none"/>
        </w:rPr>
        <w:t> </w:t>
      </w:r>
      <w:r>
        <w:rPr>
          <w:rFonts w:ascii="Calibri" w:hAnsi="Calibri"/>
          <w:sz w:val="20"/>
          <w:u w:val="single"/>
        </w:rPr>
        <w:t>texto definitivo del informe.</w:t>
      </w:r>
    </w:p>
    <w:p>
      <w:pPr>
        <w:pStyle w:val="ListParagraph"/>
        <w:numPr>
          <w:ilvl w:val="2"/>
          <w:numId w:val="17"/>
        </w:numPr>
        <w:tabs>
          <w:tab w:pos="2756" w:val="left" w:leader="none"/>
        </w:tabs>
        <w:spacing w:line="240" w:lineRule="auto" w:before="145" w:after="0"/>
        <w:ind w:left="2756" w:right="0" w:hanging="505"/>
        <w:jc w:val="left"/>
        <w:rPr>
          <w:rFonts w:ascii="Calibri"/>
          <w:sz w:val="20"/>
        </w:rPr>
      </w:pPr>
      <w:r>
        <w:rPr>
          <w:rFonts w:ascii="Calibri"/>
          <w:sz w:val="20"/>
        </w:rPr>
        <w:t>Consideraciones</w:t>
      </w:r>
      <w:r>
        <w:rPr>
          <w:rFonts w:ascii="Calibri"/>
          <w:spacing w:val="-4"/>
          <w:sz w:val="20"/>
        </w:rPr>
        <w:t> </w:t>
      </w:r>
      <w:r>
        <w:rPr>
          <w:rFonts w:ascii="Calibri"/>
          <w:sz w:val="20"/>
        </w:rPr>
        <w:t>sobre</w:t>
      </w:r>
      <w:r>
        <w:rPr>
          <w:rFonts w:ascii="Calibri"/>
          <w:spacing w:val="-5"/>
          <w:sz w:val="20"/>
        </w:rPr>
        <w:t> </w:t>
      </w:r>
      <w:r>
        <w:rPr>
          <w:rFonts w:ascii="Calibri"/>
          <w:spacing w:val="-2"/>
          <w:sz w:val="20"/>
        </w:rPr>
        <w:t>transparencia</w:t>
      </w:r>
    </w:p>
    <w:p>
      <w:pPr>
        <w:pStyle w:val="ListParagraph"/>
        <w:numPr>
          <w:ilvl w:val="3"/>
          <w:numId w:val="17"/>
        </w:numPr>
        <w:tabs>
          <w:tab w:pos="2966" w:val="left" w:leader="none"/>
        </w:tabs>
        <w:spacing w:line="256" w:lineRule="auto" w:before="160" w:after="0"/>
        <w:ind w:left="2251" w:right="2022" w:firstLine="0"/>
        <w:jc w:val="left"/>
        <w:rPr>
          <w:rFonts w:ascii="Calibri" w:hAnsi="Calibri"/>
          <w:sz w:val="20"/>
        </w:rPr>
      </w:pPr>
      <w:r>
        <w:rPr>
          <w:rFonts w:ascii="Calibri" w:hAnsi="Calibri"/>
          <w:sz w:val="20"/>
        </w:rPr>
        <w:t>PUBLICIDAD</w:t>
      </w:r>
      <w:r>
        <w:rPr>
          <w:rFonts w:ascii="Calibri" w:hAnsi="Calibri"/>
          <w:spacing w:val="40"/>
          <w:sz w:val="20"/>
        </w:rPr>
        <w:t> </w:t>
      </w:r>
      <w:r>
        <w:rPr>
          <w:rFonts w:ascii="Calibri" w:hAnsi="Calibri"/>
          <w:sz w:val="20"/>
        </w:rPr>
        <w:t>ACTIVA</w:t>
      </w:r>
      <w:r>
        <w:rPr>
          <w:rFonts w:ascii="Calibri" w:hAnsi="Calibri"/>
          <w:spacing w:val="40"/>
          <w:sz w:val="20"/>
        </w:rPr>
        <w:t> </w:t>
      </w:r>
      <w:r>
        <w:rPr>
          <w:rFonts w:ascii="Calibri" w:hAnsi="Calibri"/>
          <w:sz w:val="20"/>
        </w:rPr>
        <w:t>DE</w:t>
      </w:r>
      <w:r>
        <w:rPr>
          <w:rFonts w:ascii="Calibri" w:hAnsi="Calibri"/>
          <w:spacing w:val="40"/>
          <w:sz w:val="20"/>
        </w:rPr>
        <w:t> </w:t>
      </w:r>
      <w:r>
        <w:rPr>
          <w:rFonts w:ascii="Calibri" w:hAnsi="Calibri"/>
          <w:sz w:val="20"/>
        </w:rPr>
        <w:t>LA</w:t>
      </w:r>
      <w:r>
        <w:rPr>
          <w:rFonts w:ascii="Calibri" w:hAnsi="Calibri"/>
          <w:spacing w:val="40"/>
          <w:sz w:val="20"/>
        </w:rPr>
        <w:t> </w:t>
      </w:r>
      <w:r>
        <w:rPr>
          <w:rFonts w:ascii="Calibri" w:hAnsi="Calibri"/>
          <w:sz w:val="20"/>
        </w:rPr>
        <w:t>INFORMACIÓN</w:t>
      </w:r>
      <w:r>
        <w:rPr>
          <w:rFonts w:ascii="Calibri" w:hAnsi="Calibri"/>
          <w:spacing w:val="40"/>
          <w:sz w:val="20"/>
        </w:rPr>
        <w:t> </w:t>
      </w:r>
      <w:r>
        <w:rPr>
          <w:rFonts w:ascii="Calibri" w:hAnsi="Calibri"/>
          <w:sz w:val="20"/>
        </w:rPr>
        <w:t>ECONÓMICA,</w:t>
      </w:r>
      <w:r>
        <w:rPr>
          <w:rFonts w:ascii="Calibri" w:hAnsi="Calibri"/>
          <w:spacing w:val="40"/>
          <w:sz w:val="20"/>
        </w:rPr>
        <w:t> </w:t>
      </w:r>
      <w:r>
        <w:rPr>
          <w:rFonts w:ascii="Calibri" w:hAnsi="Calibri"/>
          <w:sz w:val="20"/>
        </w:rPr>
        <w:t>PRESUPUESTARIA</w:t>
      </w:r>
      <w:r>
        <w:rPr>
          <w:rFonts w:ascii="Calibri" w:hAnsi="Calibri"/>
          <w:spacing w:val="40"/>
          <w:sz w:val="20"/>
        </w:rPr>
        <w:t> </w:t>
      </w:r>
      <w:r>
        <w:rPr>
          <w:rFonts w:ascii="Calibri" w:hAnsi="Calibri"/>
          <w:sz w:val="20"/>
        </w:rPr>
        <w:t>Y </w:t>
      </w:r>
      <w:r>
        <w:rPr>
          <w:rFonts w:ascii="Calibri" w:hAnsi="Calibri"/>
          <w:spacing w:val="-2"/>
          <w:sz w:val="20"/>
        </w:rPr>
        <w:t>ESTADÍSTICA</w:t>
      </w:r>
    </w:p>
    <w:p>
      <w:pPr>
        <w:pStyle w:val="ListParagraph"/>
        <w:numPr>
          <w:ilvl w:val="0"/>
          <w:numId w:val="16"/>
        </w:numPr>
        <w:tabs>
          <w:tab w:pos="2251" w:val="left" w:leader="none"/>
        </w:tabs>
        <w:spacing w:line="256" w:lineRule="auto" w:before="144" w:after="0"/>
        <w:ind w:left="2251" w:right="2021" w:hanging="327"/>
        <w:jc w:val="both"/>
        <w:rPr>
          <w:rFonts w:ascii="Calibri" w:hAnsi="Calibri"/>
          <w:i/>
          <w:sz w:val="20"/>
        </w:rPr>
      </w:pPr>
      <w:r>
        <w:rPr>
          <w:rFonts w:ascii="Calibri" w:hAnsi="Calibri"/>
          <w:i/>
          <w:color w:val="4472C4"/>
          <w:sz w:val="20"/>
        </w:rPr>
        <w:t>En la pág. 95 se recoge lo siguiente: “Los Ayuntamientos de Alicante y Córdoba no han</w:t>
      </w:r>
      <w:r>
        <w:rPr>
          <w:rFonts w:ascii="Calibri" w:hAnsi="Calibri"/>
          <w:i/>
          <w:color w:val="4472C4"/>
          <w:sz w:val="20"/>
        </w:rPr>
        <w:t> publicado los </w:t>
      </w:r>
      <w:r>
        <w:rPr>
          <w:rFonts w:ascii="Calibri" w:hAnsi="Calibri"/>
          <w:i/>
          <w:color w:val="4472C4"/>
          <w:sz w:val="20"/>
          <w:u w:val="single" w:color="4472C4"/>
        </w:rPr>
        <w:t>informes de auditoría de cuentas</w:t>
      </w:r>
      <w:r>
        <w:rPr>
          <w:rFonts w:ascii="Calibri" w:hAnsi="Calibri"/>
          <w:i/>
          <w:color w:val="4472C4"/>
          <w:sz w:val="20"/>
          <w:u w:val="none"/>
        </w:rPr>
        <w:t> sobre las entidades dependientes. Los Ayuntamientos de Las Palmas de Gran Canaria y Sevilla los han publicado en las páginas web de cada sociedad mercantil y los Ayuntamientos de Málaga y Murcia </w:t>
      </w:r>
      <w:r>
        <w:rPr>
          <w:rFonts w:ascii="Calibri" w:hAnsi="Calibri"/>
          <w:i/>
          <w:color w:val="4472C4"/>
          <w:sz w:val="20"/>
          <w:u w:val="single" w:color="4472C4"/>
        </w:rPr>
        <w:t>solo han</w:t>
      </w:r>
      <w:r>
        <w:rPr>
          <w:rFonts w:ascii="Calibri" w:hAnsi="Calibri"/>
          <w:i/>
          <w:color w:val="4472C4"/>
          <w:sz w:val="20"/>
          <w:u w:val="none"/>
        </w:rPr>
        <w:t> </w:t>
      </w:r>
      <w:r>
        <w:rPr>
          <w:rFonts w:ascii="Calibri" w:hAnsi="Calibri"/>
          <w:i/>
          <w:color w:val="4472C4"/>
          <w:sz w:val="20"/>
          <w:u w:val="single" w:color="4472C4"/>
        </w:rPr>
        <w:t>publicado los correspondientes a los ejercicios 2022</w:t>
      </w:r>
      <w:r>
        <w:rPr>
          <w:rFonts w:ascii="Calibri" w:hAnsi="Calibri"/>
          <w:i/>
          <w:color w:val="4472C4"/>
          <w:sz w:val="20"/>
          <w:u w:val="none"/>
        </w:rPr>
        <w:t> y 2021, respectivamente.”</w:t>
      </w:r>
    </w:p>
    <w:p>
      <w:pPr>
        <w:spacing w:line="256" w:lineRule="auto" w:before="149"/>
        <w:ind w:left="2251" w:right="2020" w:firstLine="0"/>
        <w:jc w:val="both"/>
        <w:rPr>
          <w:rFonts w:ascii="Calibri" w:hAnsi="Calibri"/>
          <w:sz w:val="20"/>
        </w:rPr>
      </w:pPr>
      <w:r>
        <w:rPr>
          <w:rFonts w:ascii="Calibri" w:hAnsi="Calibri"/>
          <w:sz w:val="20"/>
        </w:rPr>
        <w:t>En lo que respecta al Ayuntamiento de Málaga, se aclara que los informes de auditoría de cuentas se encuentran publicados en la web del Ayuntamiento de Málaga desde el año 2011.</w:t>
      </w:r>
      <w:r>
        <w:rPr>
          <w:rFonts w:ascii="Calibri" w:hAnsi="Calibri"/>
          <w:spacing w:val="-7"/>
          <w:sz w:val="20"/>
        </w:rPr>
        <w:t> </w:t>
      </w:r>
      <w:r>
        <w:rPr>
          <w:rFonts w:ascii="Calibri" w:hAnsi="Calibri"/>
          <w:sz w:val="20"/>
        </w:rPr>
        <w:t>Se</w:t>
      </w:r>
      <w:r>
        <w:rPr>
          <w:rFonts w:ascii="Calibri" w:hAnsi="Calibri"/>
          <w:spacing w:val="-8"/>
          <w:sz w:val="20"/>
        </w:rPr>
        <w:t> </w:t>
      </w:r>
      <w:r>
        <w:rPr>
          <w:rFonts w:ascii="Calibri" w:hAnsi="Calibri"/>
          <w:sz w:val="20"/>
        </w:rPr>
        <w:t>adjunta</w:t>
      </w:r>
      <w:r>
        <w:rPr>
          <w:rFonts w:ascii="Calibri" w:hAnsi="Calibri"/>
          <w:spacing w:val="-3"/>
          <w:sz w:val="20"/>
        </w:rPr>
        <w:t> </w:t>
      </w:r>
      <w:r>
        <w:rPr>
          <w:rFonts w:ascii="Calibri" w:hAnsi="Calibri"/>
          <w:sz w:val="20"/>
        </w:rPr>
        <w:t>enlace:</w:t>
      </w:r>
      <w:r>
        <w:rPr>
          <w:rFonts w:ascii="Calibri" w:hAnsi="Calibri"/>
          <w:spacing w:val="-4"/>
          <w:sz w:val="20"/>
        </w:rPr>
        <w:t> </w:t>
      </w:r>
      <w:r>
        <w:rPr>
          <w:rFonts w:ascii="Calibri" w:hAnsi="Calibri"/>
          <w:sz w:val="20"/>
        </w:rPr>
        <w:t>Cuentas</w:t>
      </w:r>
      <w:r>
        <w:rPr>
          <w:rFonts w:ascii="Calibri" w:hAnsi="Calibri"/>
          <w:spacing w:val="-8"/>
          <w:sz w:val="20"/>
        </w:rPr>
        <w:t> </w:t>
      </w:r>
      <w:r>
        <w:rPr>
          <w:rFonts w:ascii="Calibri" w:hAnsi="Calibri"/>
          <w:sz w:val="20"/>
        </w:rPr>
        <w:t>y</w:t>
      </w:r>
      <w:r>
        <w:rPr>
          <w:rFonts w:ascii="Calibri" w:hAnsi="Calibri"/>
          <w:spacing w:val="-4"/>
          <w:sz w:val="20"/>
        </w:rPr>
        <w:t> </w:t>
      </w:r>
      <w:r>
        <w:rPr>
          <w:rFonts w:ascii="Calibri" w:hAnsi="Calibri"/>
          <w:sz w:val="20"/>
        </w:rPr>
        <w:t>Liquidaciones.</w:t>
      </w:r>
      <w:r>
        <w:rPr>
          <w:rFonts w:ascii="Calibri" w:hAnsi="Calibri"/>
          <w:spacing w:val="36"/>
          <w:sz w:val="20"/>
        </w:rPr>
        <w:t> </w:t>
      </w:r>
      <w:r>
        <w:rPr>
          <w:rFonts w:ascii="Calibri" w:hAnsi="Calibri"/>
          <w:sz w:val="20"/>
        </w:rPr>
        <w:t>Igualmente,</w:t>
      </w:r>
      <w:r>
        <w:rPr>
          <w:rFonts w:ascii="Calibri" w:hAnsi="Calibri"/>
          <w:spacing w:val="-8"/>
          <w:sz w:val="20"/>
        </w:rPr>
        <w:t> </w:t>
      </w:r>
      <w:r>
        <w:rPr>
          <w:rFonts w:ascii="Calibri" w:hAnsi="Calibri"/>
          <w:sz w:val="20"/>
        </w:rPr>
        <w:t>y</w:t>
      </w:r>
      <w:r>
        <w:rPr>
          <w:rFonts w:ascii="Calibri" w:hAnsi="Calibri"/>
          <w:spacing w:val="-1"/>
          <w:sz w:val="20"/>
        </w:rPr>
        <w:t> </w:t>
      </w:r>
      <w:r>
        <w:rPr>
          <w:rFonts w:ascii="Calibri" w:hAnsi="Calibri"/>
          <w:sz w:val="20"/>
        </w:rPr>
        <w:t>siguiendo</w:t>
      </w:r>
      <w:r>
        <w:rPr>
          <w:rFonts w:ascii="Calibri" w:hAnsi="Calibri"/>
          <w:spacing w:val="-3"/>
          <w:sz w:val="20"/>
        </w:rPr>
        <w:t> </w:t>
      </w:r>
      <w:r>
        <w:rPr>
          <w:rFonts w:ascii="Calibri" w:hAnsi="Calibri"/>
          <w:sz w:val="20"/>
        </w:rPr>
        <w:t>la</w:t>
      </w:r>
      <w:r>
        <w:rPr>
          <w:rFonts w:ascii="Calibri" w:hAnsi="Calibri"/>
          <w:spacing w:val="-4"/>
          <w:sz w:val="20"/>
        </w:rPr>
        <w:t> </w:t>
      </w:r>
      <w:r>
        <w:rPr>
          <w:rFonts w:ascii="Calibri" w:hAnsi="Calibri"/>
          <w:sz w:val="20"/>
        </w:rPr>
        <w:t>normativa</w:t>
      </w:r>
      <w:r>
        <w:rPr>
          <w:rFonts w:ascii="Calibri" w:hAnsi="Calibri"/>
          <w:spacing w:val="-3"/>
          <w:sz w:val="20"/>
        </w:rPr>
        <w:t> </w:t>
      </w:r>
      <w:r>
        <w:rPr>
          <w:rFonts w:ascii="Calibri" w:hAnsi="Calibri"/>
          <w:sz w:val="20"/>
        </w:rPr>
        <w:t>de</w:t>
      </w:r>
    </w:p>
    <w:p>
      <w:pPr>
        <w:pStyle w:val="BodyText"/>
        <w:rPr>
          <w:rFonts w:ascii="Calibri"/>
          <w:sz w:val="20"/>
        </w:rPr>
      </w:pPr>
    </w:p>
    <w:p>
      <w:pPr>
        <w:pStyle w:val="BodyText"/>
        <w:spacing w:before="58"/>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559" name="Group 1559"/>
                <wp:cNvGraphicFramePr>
                  <a:graphicFrameLocks/>
                </wp:cNvGraphicFramePr>
                <a:graphic>
                  <a:graphicData uri="http://schemas.microsoft.com/office/word/2010/wordprocessingGroup">
                    <wpg:wgp>
                      <wpg:cNvPr id="1559" name="Group 1559"/>
                      <wpg:cNvGrpSpPr/>
                      <wpg:grpSpPr>
                        <a:xfrm>
                          <a:off x="0" y="0"/>
                          <a:ext cx="1870075" cy="6350"/>
                          <a:chExt cx="1870075" cy="6350"/>
                        </a:xfrm>
                      </wpg:grpSpPr>
                      <wps:wsp>
                        <wps:cNvPr id="1560" name="Graphic 1560"/>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153" coordorigin="0,0" coordsize="2945,10">
                <v:rect style="position:absolute;left:0;top:0;width:2945;height:10" id="docshape1154"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561" name="Group 1561"/>
                <wp:cNvGraphicFramePr>
                  <a:graphicFrameLocks/>
                </wp:cNvGraphicFramePr>
                <a:graphic>
                  <a:graphicData uri="http://schemas.microsoft.com/office/word/2010/wordprocessingGroup">
                    <wpg:wgp>
                      <wpg:cNvPr id="1561" name="Group 1561"/>
                      <wpg:cNvGrpSpPr/>
                      <wpg:grpSpPr>
                        <a:xfrm>
                          <a:off x="0" y="0"/>
                          <a:ext cx="841375" cy="6350"/>
                          <a:chExt cx="841375" cy="6350"/>
                        </a:xfrm>
                      </wpg:grpSpPr>
                      <wps:wsp>
                        <wps:cNvPr id="1562" name="Graphic 1562"/>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155" coordorigin="0,0" coordsize="1325,10">
                <v:rect style="position:absolute;left:0;top:0;width:1325;height:10" id="docshape1156"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77"/>
          <w:headerReference w:type="even" r:id="rId278"/>
          <w:footerReference w:type="default" r:id="rId279"/>
          <w:pgSz w:w="11910" w:h="16840"/>
          <w:pgMar w:header="828" w:footer="1017" w:top="1500" w:bottom="1200" w:left="141" w:right="141"/>
          <w:pgNumType w:start="25"/>
        </w:sectPr>
      </w:pPr>
    </w:p>
    <w:p>
      <w:pPr>
        <w:spacing w:line="181" w:lineRule="exact" w:before="63"/>
        <w:ind w:left="5206" w:right="0" w:firstLine="0"/>
        <w:jc w:val="left"/>
        <w:rPr>
          <w:sz w:val="16"/>
        </w:rPr>
      </w:pPr>
      <w:r>
        <w:rPr>
          <w:sz w:val="16"/>
        </w:rPr>
        <mc:AlternateContent>
          <mc:Choice Requires="wps">
            <w:drawing>
              <wp:anchor distT="0" distB="0" distL="0" distR="0" allowOverlap="1" layoutInCell="1" locked="0" behindDoc="1" simplePos="0" relativeHeight="474415616">
                <wp:simplePos x="0" y="0"/>
                <wp:positionH relativeFrom="page">
                  <wp:posOffset>168402</wp:posOffset>
                </wp:positionH>
                <wp:positionV relativeFrom="page">
                  <wp:posOffset>9816846</wp:posOffset>
                </wp:positionV>
                <wp:extent cx="6498590" cy="702945"/>
                <wp:effectExtent l="0" t="0" r="0" b="0"/>
                <wp:wrapNone/>
                <wp:docPr id="1563" name="Group 1563"/>
                <wp:cNvGraphicFramePr>
                  <a:graphicFrameLocks/>
                </wp:cNvGraphicFramePr>
                <a:graphic>
                  <a:graphicData uri="http://schemas.microsoft.com/office/word/2010/wordprocessingGroup">
                    <wpg:wgp>
                      <wpg:cNvPr id="1563" name="Group 1563"/>
                      <wpg:cNvGrpSpPr/>
                      <wpg:grpSpPr>
                        <a:xfrm>
                          <a:off x="0" y="0"/>
                          <a:ext cx="6498590" cy="702945"/>
                          <a:chExt cx="6498590" cy="702945"/>
                        </a:xfrm>
                      </wpg:grpSpPr>
                      <wps:wsp>
                        <wps:cNvPr id="1564" name="Graphic 1564"/>
                        <wps:cNvSpPr/>
                        <wps:spPr>
                          <a:xfrm>
                            <a:off x="3810" y="3809"/>
                            <a:ext cx="6490970" cy="696595"/>
                          </a:xfrm>
                          <a:custGeom>
                            <a:avLst/>
                            <a:gdLst/>
                            <a:ahLst/>
                            <a:cxnLst/>
                            <a:rect l="l" t="t" r="r" b="b"/>
                            <a:pathLst>
                              <a:path w="6490970" h="696595">
                                <a:moveTo>
                                  <a:pt x="1298448" y="0"/>
                                </a:moveTo>
                                <a:lnTo>
                                  <a:pt x="0" y="0"/>
                                </a:lnTo>
                                <a:lnTo>
                                  <a:pt x="0" y="138684"/>
                                </a:lnTo>
                                <a:lnTo>
                                  <a:pt x="0" y="140208"/>
                                </a:lnTo>
                                <a:lnTo>
                                  <a:pt x="0" y="417576"/>
                                </a:lnTo>
                                <a:lnTo>
                                  <a:pt x="0" y="696468"/>
                                </a:lnTo>
                                <a:lnTo>
                                  <a:pt x="1298448" y="696468"/>
                                </a:lnTo>
                                <a:lnTo>
                                  <a:pt x="1298448" y="417576"/>
                                </a:lnTo>
                                <a:lnTo>
                                  <a:pt x="1298448" y="140208"/>
                                </a:lnTo>
                                <a:lnTo>
                                  <a:pt x="1298448" y="138684"/>
                                </a:lnTo>
                                <a:lnTo>
                                  <a:pt x="1298448" y="0"/>
                                </a:lnTo>
                                <a:close/>
                              </a:path>
                              <a:path w="6490970" h="696595">
                                <a:moveTo>
                                  <a:pt x="5192268" y="277368"/>
                                </a:moveTo>
                                <a:lnTo>
                                  <a:pt x="4543044" y="277368"/>
                                </a:lnTo>
                                <a:lnTo>
                                  <a:pt x="4543044" y="417576"/>
                                </a:lnTo>
                                <a:lnTo>
                                  <a:pt x="5192268" y="417576"/>
                                </a:lnTo>
                                <a:lnTo>
                                  <a:pt x="5192268" y="277368"/>
                                </a:lnTo>
                                <a:close/>
                              </a:path>
                              <a:path w="6490970" h="696595">
                                <a:moveTo>
                                  <a:pt x="6490716" y="0"/>
                                </a:moveTo>
                                <a:lnTo>
                                  <a:pt x="4543044" y="0"/>
                                </a:lnTo>
                                <a:lnTo>
                                  <a:pt x="4543044" y="140208"/>
                                </a:lnTo>
                                <a:lnTo>
                                  <a:pt x="6490716" y="140208"/>
                                </a:lnTo>
                                <a:lnTo>
                                  <a:pt x="6490716" y="0"/>
                                </a:lnTo>
                                <a:close/>
                              </a:path>
                            </a:pathLst>
                          </a:custGeom>
                          <a:solidFill>
                            <a:srgbClr val="CCCCCC"/>
                          </a:solidFill>
                        </wps:spPr>
                        <wps:bodyPr wrap="square" lIns="0" tIns="0" rIns="0" bIns="0" rtlCol="0">
                          <a:prstTxWarp prst="textNoShape">
                            <a:avLst/>
                          </a:prstTxWarp>
                          <a:noAutofit/>
                        </wps:bodyPr>
                      </wps:wsp>
                      <wps:wsp>
                        <wps:cNvPr id="1565" name="Graphic 1565"/>
                        <wps:cNvSpPr/>
                        <wps:spPr>
                          <a:xfrm>
                            <a:off x="3809" y="3809"/>
                            <a:ext cx="1298575" cy="140335"/>
                          </a:xfrm>
                          <a:custGeom>
                            <a:avLst/>
                            <a:gdLst/>
                            <a:ahLst/>
                            <a:cxnLst/>
                            <a:rect l="l" t="t" r="r" b="b"/>
                            <a:pathLst>
                              <a:path w="1298575" h="140335">
                                <a:moveTo>
                                  <a:pt x="0" y="140207"/>
                                </a:moveTo>
                                <a:lnTo>
                                  <a:pt x="1298447" y="140207"/>
                                </a:lnTo>
                                <a:lnTo>
                                  <a:pt x="1298447"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566" name="Graphic 1566"/>
                        <wps:cNvSpPr/>
                        <wps:spPr>
                          <a:xfrm>
                            <a:off x="1302258" y="3809"/>
                            <a:ext cx="3244850" cy="140335"/>
                          </a:xfrm>
                          <a:custGeom>
                            <a:avLst/>
                            <a:gdLst/>
                            <a:ahLst/>
                            <a:cxnLst/>
                            <a:rect l="l" t="t" r="r" b="b"/>
                            <a:pathLst>
                              <a:path w="3244850" h="140335">
                                <a:moveTo>
                                  <a:pt x="0" y="140207"/>
                                </a:moveTo>
                                <a:lnTo>
                                  <a:pt x="3244595" y="140207"/>
                                </a:lnTo>
                              </a:path>
                              <a:path w="3244850" h="140335">
                                <a:moveTo>
                                  <a:pt x="3244595" y="140207"/>
                                </a:moveTo>
                                <a:lnTo>
                                  <a:pt x="3244595" y="0"/>
                                </a:lnTo>
                              </a:path>
                              <a:path w="3244850" h="140335">
                                <a:moveTo>
                                  <a:pt x="3244595" y="0"/>
                                </a:moveTo>
                                <a:lnTo>
                                  <a:pt x="0" y="0"/>
                                </a:lnTo>
                              </a:path>
                              <a:path w="3244850" h="140335">
                                <a:moveTo>
                                  <a:pt x="0" y="0"/>
                                </a:moveTo>
                                <a:lnTo>
                                  <a:pt x="0" y="140207"/>
                                </a:lnTo>
                              </a:path>
                              <a:path w="3244850" h="140335">
                                <a:moveTo>
                                  <a:pt x="3244595" y="140207"/>
                                </a:moveTo>
                                <a:lnTo>
                                  <a:pt x="3244595" y="0"/>
                                </a:lnTo>
                              </a:path>
                              <a:path w="3244850" h="140335">
                                <a:moveTo>
                                  <a:pt x="3244595" y="0"/>
                                </a:moveTo>
                                <a:lnTo>
                                  <a:pt x="0" y="0"/>
                                </a:lnTo>
                              </a:path>
                              <a:path w="3244850" h="140335">
                                <a:moveTo>
                                  <a:pt x="0" y="0"/>
                                </a:moveTo>
                                <a:lnTo>
                                  <a:pt x="0" y="140207"/>
                                </a:lnTo>
                              </a:path>
                            </a:pathLst>
                          </a:custGeom>
                          <a:ln w="7619">
                            <a:solidFill>
                              <a:srgbClr val="000000"/>
                            </a:solidFill>
                            <a:prstDash val="solid"/>
                          </a:ln>
                        </wps:spPr>
                        <wps:bodyPr wrap="square" lIns="0" tIns="0" rIns="0" bIns="0" rtlCol="0">
                          <a:prstTxWarp prst="textNoShape">
                            <a:avLst/>
                          </a:prstTxWarp>
                          <a:noAutofit/>
                        </wps:bodyPr>
                      </wps:wsp>
                      <wps:wsp>
                        <wps:cNvPr id="1567" name="Graphic 1567"/>
                        <wps:cNvSpPr/>
                        <wps:spPr>
                          <a:xfrm>
                            <a:off x="4546853" y="3809"/>
                            <a:ext cx="649605" cy="140335"/>
                          </a:xfrm>
                          <a:custGeom>
                            <a:avLst/>
                            <a:gdLst/>
                            <a:ahLst/>
                            <a:cxnLst/>
                            <a:rect l="l" t="t" r="r" b="b"/>
                            <a:pathLst>
                              <a:path w="649605" h="140335">
                                <a:moveTo>
                                  <a:pt x="0" y="140207"/>
                                </a:moveTo>
                                <a:lnTo>
                                  <a:pt x="649223" y="140207"/>
                                </a:lnTo>
                                <a:lnTo>
                                  <a:pt x="649223"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568" name="Graphic 1568"/>
                        <wps:cNvSpPr/>
                        <wps:spPr>
                          <a:xfrm>
                            <a:off x="5196078" y="3809"/>
                            <a:ext cx="1298575" cy="140335"/>
                          </a:xfrm>
                          <a:custGeom>
                            <a:avLst/>
                            <a:gdLst/>
                            <a:ahLst/>
                            <a:cxnLst/>
                            <a:rect l="l" t="t" r="r" b="b"/>
                            <a:pathLst>
                              <a:path w="1298575" h="140335">
                                <a:moveTo>
                                  <a:pt x="0" y="140207"/>
                                </a:moveTo>
                                <a:lnTo>
                                  <a:pt x="1298447" y="140207"/>
                                </a:lnTo>
                                <a:lnTo>
                                  <a:pt x="1298447"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569" name="Graphic 1569"/>
                        <wps:cNvSpPr/>
                        <wps:spPr>
                          <a:xfrm>
                            <a:off x="3809" y="144018"/>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70" name="Graphic 1570"/>
                        <wps:cNvSpPr/>
                        <wps:spPr>
                          <a:xfrm>
                            <a:off x="1302258" y="144018"/>
                            <a:ext cx="3244850" cy="139065"/>
                          </a:xfrm>
                          <a:custGeom>
                            <a:avLst/>
                            <a:gdLst/>
                            <a:ahLst/>
                            <a:cxnLst/>
                            <a:rect l="l" t="t" r="r" b="b"/>
                            <a:pathLst>
                              <a:path w="3244850" h="139065">
                                <a:moveTo>
                                  <a:pt x="0" y="138683"/>
                                </a:moveTo>
                                <a:lnTo>
                                  <a:pt x="3244595" y="138683"/>
                                </a:lnTo>
                                <a:lnTo>
                                  <a:pt x="3244595"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71" name="Graphic 1571"/>
                        <wps:cNvSpPr/>
                        <wps:spPr>
                          <a:xfrm>
                            <a:off x="4546853" y="144018"/>
                            <a:ext cx="649605" cy="139065"/>
                          </a:xfrm>
                          <a:custGeom>
                            <a:avLst/>
                            <a:gdLst/>
                            <a:ahLst/>
                            <a:cxnLst/>
                            <a:rect l="l" t="t" r="r" b="b"/>
                            <a:pathLst>
                              <a:path w="649605" h="139065">
                                <a:moveTo>
                                  <a:pt x="0" y="138683"/>
                                </a:moveTo>
                                <a:lnTo>
                                  <a:pt x="649223" y="138683"/>
                                </a:lnTo>
                                <a:lnTo>
                                  <a:pt x="649223"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72" name="Graphic 1572"/>
                        <wps:cNvSpPr/>
                        <wps:spPr>
                          <a:xfrm>
                            <a:off x="5196078" y="144018"/>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73" name="Graphic 1573"/>
                        <wps:cNvSpPr/>
                        <wps:spPr>
                          <a:xfrm>
                            <a:off x="3809" y="282702"/>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74" name="Graphic 1574"/>
                        <wps:cNvSpPr/>
                        <wps:spPr>
                          <a:xfrm>
                            <a:off x="1302258" y="282702"/>
                            <a:ext cx="3244850" cy="139065"/>
                          </a:xfrm>
                          <a:custGeom>
                            <a:avLst/>
                            <a:gdLst/>
                            <a:ahLst/>
                            <a:cxnLst/>
                            <a:rect l="l" t="t" r="r" b="b"/>
                            <a:pathLst>
                              <a:path w="3244850" h="139065">
                                <a:moveTo>
                                  <a:pt x="0" y="138683"/>
                                </a:moveTo>
                                <a:lnTo>
                                  <a:pt x="3244595" y="138683"/>
                                </a:lnTo>
                                <a:lnTo>
                                  <a:pt x="3244595"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75" name="Graphic 1575"/>
                        <wps:cNvSpPr/>
                        <wps:spPr>
                          <a:xfrm>
                            <a:off x="4546853" y="282702"/>
                            <a:ext cx="649605" cy="139065"/>
                          </a:xfrm>
                          <a:custGeom>
                            <a:avLst/>
                            <a:gdLst/>
                            <a:ahLst/>
                            <a:cxnLst/>
                            <a:rect l="l" t="t" r="r" b="b"/>
                            <a:pathLst>
                              <a:path w="649605" h="139065">
                                <a:moveTo>
                                  <a:pt x="0" y="138683"/>
                                </a:moveTo>
                                <a:lnTo>
                                  <a:pt x="649223" y="138683"/>
                                </a:lnTo>
                                <a:lnTo>
                                  <a:pt x="649223"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76" name="Graphic 1576"/>
                        <wps:cNvSpPr/>
                        <wps:spPr>
                          <a:xfrm>
                            <a:off x="5196078" y="282702"/>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77" name="Graphic 1577"/>
                        <wps:cNvSpPr/>
                        <wps:spPr>
                          <a:xfrm>
                            <a:off x="3809" y="421386"/>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78" name="Graphic 1578"/>
                        <wps:cNvSpPr/>
                        <wps:spPr>
                          <a:xfrm>
                            <a:off x="1302258" y="421386"/>
                            <a:ext cx="5192395" cy="139065"/>
                          </a:xfrm>
                          <a:custGeom>
                            <a:avLst/>
                            <a:gdLst/>
                            <a:ahLst/>
                            <a:cxnLst/>
                            <a:rect l="l" t="t" r="r" b="b"/>
                            <a:pathLst>
                              <a:path w="5192395" h="139065">
                                <a:moveTo>
                                  <a:pt x="0" y="138683"/>
                                </a:moveTo>
                                <a:lnTo>
                                  <a:pt x="2900888" y="138683"/>
                                </a:lnTo>
                              </a:path>
                              <a:path w="5192395" h="139065">
                                <a:moveTo>
                                  <a:pt x="4412879" y="138683"/>
                                </a:moveTo>
                                <a:lnTo>
                                  <a:pt x="5192267" y="138683"/>
                                </a:lnTo>
                              </a:path>
                              <a:path w="5192395" h="139065">
                                <a:moveTo>
                                  <a:pt x="5192267" y="138683"/>
                                </a:moveTo>
                                <a:lnTo>
                                  <a:pt x="5192267" y="0"/>
                                </a:lnTo>
                              </a:path>
                              <a:path w="5192395" h="139065">
                                <a:moveTo>
                                  <a:pt x="5192267" y="0"/>
                                </a:moveTo>
                                <a:lnTo>
                                  <a:pt x="0" y="0"/>
                                </a:lnTo>
                              </a:path>
                              <a:path w="5192395" h="139065">
                                <a:moveTo>
                                  <a:pt x="0" y="0"/>
                                </a:moveTo>
                                <a:lnTo>
                                  <a:pt x="0" y="138683"/>
                                </a:lnTo>
                              </a:path>
                              <a:path w="5192395" h="139065">
                                <a:moveTo>
                                  <a:pt x="4412879" y="138683"/>
                                </a:moveTo>
                                <a:lnTo>
                                  <a:pt x="5192267" y="138683"/>
                                </a:lnTo>
                              </a:path>
                              <a:path w="5192395" h="139065">
                                <a:moveTo>
                                  <a:pt x="5192267" y="138683"/>
                                </a:moveTo>
                                <a:lnTo>
                                  <a:pt x="5192267" y="0"/>
                                </a:lnTo>
                              </a:path>
                              <a:path w="5192395" h="139065">
                                <a:moveTo>
                                  <a:pt x="5192267" y="0"/>
                                </a:moveTo>
                                <a:lnTo>
                                  <a:pt x="0" y="0"/>
                                </a:lnTo>
                              </a:path>
                              <a:path w="5192395" h="139065">
                                <a:moveTo>
                                  <a:pt x="0" y="0"/>
                                </a:moveTo>
                                <a:lnTo>
                                  <a:pt x="0" y="138683"/>
                                </a:lnTo>
                              </a:path>
                            </a:pathLst>
                          </a:custGeom>
                          <a:ln w="7619">
                            <a:solidFill>
                              <a:srgbClr val="000000"/>
                            </a:solidFill>
                            <a:prstDash val="solid"/>
                          </a:ln>
                        </wps:spPr>
                        <wps:bodyPr wrap="square" lIns="0" tIns="0" rIns="0" bIns="0" rtlCol="0">
                          <a:prstTxWarp prst="textNoShape">
                            <a:avLst/>
                          </a:prstTxWarp>
                          <a:noAutofit/>
                        </wps:bodyPr>
                      </wps:wsp>
                      <wps:wsp>
                        <wps:cNvPr id="1579" name="Graphic 1579"/>
                        <wps:cNvSpPr/>
                        <wps:spPr>
                          <a:xfrm>
                            <a:off x="3809" y="560069"/>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80" name="Graphic 1580"/>
                        <wps:cNvSpPr/>
                        <wps:spPr>
                          <a:xfrm>
                            <a:off x="1302258" y="560069"/>
                            <a:ext cx="5192395" cy="139065"/>
                          </a:xfrm>
                          <a:custGeom>
                            <a:avLst/>
                            <a:gdLst/>
                            <a:ahLst/>
                            <a:cxnLst/>
                            <a:rect l="l" t="t" r="r" b="b"/>
                            <a:pathLst>
                              <a:path w="5192395" h="139065">
                                <a:moveTo>
                                  <a:pt x="0" y="138683"/>
                                </a:moveTo>
                                <a:lnTo>
                                  <a:pt x="5192267" y="138683"/>
                                </a:lnTo>
                                <a:lnTo>
                                  <a:pt x="519226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3.26pt;margin-top:772.980042pt;width:511.7pt;height:55.35pt;mso-position-horizontal-relative:page;mso-position-vertical-relative:page;z-index:-28900864" id="docshapegroup1157" coordorigin="265,15460" coordsize="10234,1107">
                <v:shape style="position:absolute;left:271;top:15465;width:10222;height:1097" id="docshape1158" coordorigin="271,15466" coordsize="10222,1097" path="m2316,15466l271,15466,271,15684,271,15686,271,16123,271,16562,2316,16562,2316,16123,2316,15686,2316,15684,2316,15466xm8448,15902l7426,15902,7426,16123,8448,16123,8448,15902xm10493,15466l7426,15466,7426,15686,10493,15686,10493,15466xe" filled="true" fillcolor="#cccccc" stroked="false">
                  <v:path arrowok="t"/>
                  <v:fill type="solid"/>
                </v:shape>
                <v:rect style="position:absolute;left:271;top:15465;width:2045;height:221" id="docshape1159" filled="false" stroked="true" strokeweight=".6pt" strokecolor="#000000">
                  <v:stroke dashstyle="solid"/>
                </v:rect>
                <v:shape style="position:absolute;left:2316;top:15465;width:5110;height:221" id="docshape1160" coordorigin="2316,15466" coordsize="5110,221" path="m2316,15686l7426,15686m7426,15686l7426,15466m7426,15466l2316,15466m2316,15466l2316,15686m7426,15686l7426,15466m7426,15466l2316,15466m2316,15466l2316,15686e" filled="false" stroked="true" strokeweight=".6pt" strokecolor="#000000">
                  <v:path arrowok="t"/>
                  <v:stroke dashstyle="solid"/>
                </v:shape>
                <v:rect style="position:absolute;left:7425;top:15465;width:1023;height:221" id="docshape1161" filled="false" stroked="true" strokeweight=".6pt" strokecolor="#000000">
                  <v:stroke dashstyle="solid"/>
                </v:rect>
                <v:rect style="position:absolute;left:8448;top:15465;width:2045;height:221" id="docshape1162" filled="false" stroked="true" strokeweight=".6pt" strokecolor="#000000">
                  <v:stroke dashstyle="solid"/>
                </v:rect>
                <v:rect style="position:absolute;left:271;top:15686;width:2045;height:219" id="docshape1163" filled="false" stroked="true" strokeweight=".6pt" strokecolor="#000000">
                  <v:stroke dashstyle="solid"/>
                </v:rect>
                <v:rect style="position:absolute;left:2316;top:15686;width:5110;height:219" id="docshape1164" filled="false" stroked="true" strokeweight=".6pt" strokecolor="#000000">
                  <v:stroke dashstyle="solid"/>
                </v:rect>
                <v:rect style="position:absolute;left:7425;top:15686;width:1023;height:219" id="docshape1165" filled="false" stroked="true" strokeweight=".6pt" strokecolor="#000000">
                  <v:stroke dashstyle="solid"/>
                </v:rect>
                <v:rect style="position:absolute;left:8448;top:15686;width:2045;height:219" id="docshape1166" filled="false" stroked="true" strokeweight=".6pt" strokecolor="#000000">
                  <v:stroke dashstyle="solid"/>
                </v:rect>
                <v:rect style="position:absolute;left:271;top:15904;width:2045;height:219" id="docshape1167" filled="false" stroked="true" strokeweight=".6pt" strokecolor="#000000">
                  <v:stroke dashstyle="solid"/>
                </v:rect>
                <v:rect style="position:absolute;left:2316;top:15904;width:5110;height:219" id="docshape1168" filled="false" stroked="true" strokeweight=".6pt" strokecolor="#000000">
                  <v:stroke dashstyle="solid"/>
                </v:rect>
                <v:rect style="position:absolute;left:7425;top:15904;width:1023;height:219" id="docshape1169" filled="false" stroked="true" strokeweight=".6pt" strokecolor="#000000">
                  <v:stroke dashstyle="solid"/>
                </v:rect>
                <v:rect style="position:absolute;left:8448;top:15904;width:2045;height:219" id="docshape1170" filled="false" stroked="true" strokeweight=".6pt" strokecolor="#000000">
                  <v:stroke dashstyle="solid"/>
                </v:rect>
                <v:rect style="position:absolute;left:271;top:16123;width:2045;height:219" id="docshape1171" filled="false" stroked="true" strokeweight=".6pt" strokecolor="#000000">
                  <v:stroke dashstyle="solid"/>
                </v:rect>
                <v:shape style="position:absolute;left:2316;top:16123;width:8177;height:219" id="docshape1172" coordorigin="2316,16123" coordsize="8177,219" path="m2316,16342l6884,16342m9265,16342l10493,16342m10493,16342l10493,16123m10493,16123l2316,16123m2316,16123l2316,16342m9265,16342l10493,16342m10493,16342l10493,16123m10493,16123l2316,16123m2316,16123l2316,16342e" filled="false" stroked="true" strokeweight=".6pt" strokecolor="#000000">
                  <v:path arrowok="t"/>
                  <v:stroke dashstyle="solid"/>
                </v:shape>
                <v:rect style="position:absolute;left:271;top:16341;width:2045;height:219" id="docshape1173" filled="false" stroked="true" strokeweight=".6pt" strokecolor="#000000">
                  <v:stroke dashstyle="solid"/>
                </v:rect>
                <v:rect style="position:absolute;left:2316;top:16341;width:8177;height:219" id="docshape1174" filled="false" stroked="true" strokeweight=".6pt" strokecolor="#000000">
                  <v:stroke dashstyle="solid"/>
                </v:rect>
                <w10:wrap type="none"/>
              </v:group>
            </w:pict>
          </mc:Fallback>
        </mc:AlternateContent>
      </w:r>
      <w:r>
        <w:rPr>
          <w:sz w:val="16"/>
        </w:rPr>
        <mc:AlternateContent>
          <mc:Choice Requires="wps">
            <w:drawing>
              <wp:anchor distT="0" distB="0" distL="0" distR="0" allowOverlap="1" layoutInCell="1" locked="0" behindDoc="1" simplePos="0" relativeHeight="474416128">
                <wp:simplePos x="0" y="0"/>
                <wp:positionH relativeFrom="page">
                  <wp:posOffset>6730555</wp:posOffset>
                </wp:positionH>
                <wp:positionV relativeFrom="page">
                  <wp:posOffset>9867620</wp:posOffset>
                </wp:positionV>
                <wp:extent cx="645160" cy="654685"/>
                <wp:effectExtent l="0" t="0" r="0" b="0"/>
                <wp:wrapNone/>
                <wp:docPr id="1581" name="Graphic 1581"/>
                <wp:cNvGraphicFramePr>
                  <a:graphicFrameLocks/>
                </wp:cNvGraphicFramePr>
                <a:graphic>
                  <a:graphicData uri="http://schemas.microsoft.com/office/word/2010/wordprocessingShape">
                    <wps:wsp>
                      <wps:cNvPr id="1581" name="Graphic 1581"/>
                      <wps:cNvSpPr/>
                      <wps:spPr>
                        <a:xfrm>
                          <a:off x="0" y="0"/>
                          <a:ext cx="645160" cy="654685"/>
                        </a:xfrm>
                        <a:custGeom>
                          <a:avLst/>
                          <a:gdLst/>
                          <a:ahLst/>
                          <a:cxnLst/>
                          <a:rect l="l" t="t" r="r" b="b"/>
                          <a:pathLst>
                            <a:path w="645160" h="654685">
                              <a:moveTo>
                                <a:pt x="644575" y="0"/>
                              </a:moveTo>
                              <a:lnTo>
                                <a:pt x="0" y="0"/>
                              </a:lnTo>
                              <a:lnTo>
                                <a:pt x="0" y="654507"/>
                              </a:lnTo>
                              <a:lnTo>
                                <a:pt x="644575" y="654507"/>
                              </a:lnTo>
                              <a:lnTo>
                                <a:pt x="64457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29.965025pt;margin-top:776.978025pt;width:50.754002pt;height:51.536002pt;mso-position-horizontal-relative:page;mso-position-vertical-relative:page;z-index:-28900352" id="docshape1175" filled="true" fillcolor="#000000" stroked="false">
                <v:fill type="solid"/>
                <w10:wrap type="none"/>
              </v:rect>
            </w:pict>
          </mc:Fallback>
        </mc:AlternateContent>
      </w: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1017" w:top="1680" w:bottom="280" w:left="141" w:right="141"/>
          <w:cols w:num="2" w:equalWidth="0">
            <w:col w:w="7801" w:space="40"/>
            <w:col w:w="3787"/>
          </w:cols>
        </w:sectPr>
      </w:pPr>
    </w:p>
    <w:p>
      <w:pPr>
        <w:pStyle w:val="BodyText"/>
        <w:rPr>
          <w:sz w:val="20"/>
        </w:rPr>
      </w:pPr>
    </w:p>
    <w:p>
      <w:pPr>
        <w:pStyle w:val="BodyText"/>
        <w:spacing w:before="52"/>
        <w:rPr>
          <w:sz w:val="20"/>
        </w:rPr>
      </w:pPr>
    </w:p>
    <w:p>
      <w:pPr>
        <w:spacing w:line="256" w:lineRule="auto" w:before="0"/>
        <w:ind w:left="2251" w:right="2017" w:firstLine="0"/>
        <w:jc w:val="both"/>
        <w:rPr>
          <w:rFonts w:ascii="Calibri" w:hAnsi="Calibri"/>
          <w:sz w:val="20"/>
        </w:rPr>
      </w:pPr>
      <w:r>
        <w:rPr>
          <w:rFonts w:ascii="Calibri" w:hAnsi="Calibri"/>
          <w:sz w:val="20"/>
        </w:rPr>
        <w:t>transparencia, se incluye la información de las cuentas anuales, también desde el año 2011.</w:t>
      </w:r>
      <w:r>
        <w:rPr>
          <w:rFonts w:ascii="Calibri" w:hAnsi="Calibri"/>
          <w:spacing w:val="-7"/>
          <w:sz w:val="20"/>
        </w:rPr>
        <w:t> </w:t>
      </w:r>
      <w:r>
        <w:rPr>
          <w:rFonts w:ascii="Calibri" w:hAnsi="Calibri"/>
          <w:sz w:val="20"/>
        </w:rPr>
        <w:t>Es</w:t>
      </w:r>
      <w:r>
        <w:rPr>
          <w:rFonts w:ascii="Calibri" w:hAnsi="Calibri"/>
          <w:spacing w:val="-5"/>
          <w:sz w:val="20"/>
        </w:rPr>
        <w:t> </w:t>
      </w:r>
      <w:r>
        <w:rPr>
          <w:rFonts w:ascii="Calibri" w:hAnsi="Calibri"/>
          <w:sz w:val="20"/>
        </w:rPr>
        <w:t>decir,</w:t>
      </w:r>
      <w:r>
        <w:rPr>
          <w:rFonts w:ascii="Calibri" w:hAnsi="Calibri"/>
          <w:spacing w:val="-4"/>
          <w:sz w:val="20"/>
        </w:rPr>
        <w:t> </w:t>
      </w:r>
      <w:r>
        <w:rPr>
          <w:rFonts w:ascii="Calibri" w:hAnsi="Calibri"/>
          <w:sz w:val="20"/>
        </w:rPr>
        <w:t>que</w:t>
      </w:r>
      <w:r>
        <w:rPr>
          <w:rFonts w:ascii="Calibri" w:hAnsi="Calibri"/>
          <w:spacing w:val="-2"/>
          <w:sz w:val="20"/>
        </w:rPr>
        <w:t> </w:t>
      </w:r>
      <w:r>
        <w:rPr>
          <w:rFonts w:ascii="Calibri" w:hAnsi="Calibri"/>
          <w:sz w:val="20"/>
        </w:rPr>
        <w:t>a</w:t>
      </w:r>
      <w:r>
        <w:rPr>
          <w:rFonts w:ascii="Calibri" w:hAnsi="Calibri"/>
          <w:spacing w:val="-9"/>
          <w:sz w:val="20"/>
        </w:rPr>
        <w:t> </w:t>
      </w:r>
      <w:r>
        <w:rPr>
          <w:rFonts w:ascii="Calibri" w:hAnsi="Calibri"/>
          <w:sz w:val="20"/>
        </w:rPr>
        <w:t>dicha</w:t>
      </w:r>
      <w:r>
        <w:rPr>
          <w:rFonts w:ascii="Calibri" w:hAnsi="Calibri"/>
          <w:spacing w:val="-4"/>
          <w:sz w:val="20"/>
        </w:rPr>
        <w:t> </w:t>
      </w:r>
      <w:r>
        <w:rPr>
          <w:rFonts w:ascii="Calibri" w:hAnsi="Calibri"/>
          <w:sz w:val="20"/>
        </w:rPr>
        <w:t>información</w:t>
      </w:r>
      <w:r>
        <w:rPr>
          <w:rFonts w:ascii="Calibri" w:hAnsi="Calibri"/>
          <w:spacing w:val="-4"/>
          <w:sz w:val="20"/>
        </w:rPr>
        <w:t> </w:t>
      </w:r>
      <w:r>
        <w:rPr>
          <w:rFonts w:ascii="Calibri" w:hAnsi="Calibri"/>
          <w:sz w:val="20"/>
        </w:rPr>
        <w:t>se</w:t>
      </w:r>
      <w:r>
        <w:rPr>
          <w:rFonts w:ascii="Calibri" w:hAnsi="Calibri"/>
          <w:spacing w:val="-6"/>
          <w:sz w:val="20"/>
        </w:rPr>
        <w:t> </w:t>
      </w:r>
      <w:r>
        <w:rPr>
          <w:rFonts w:ascii="Calibri" w:hAnsi="Calibri"/>
          <w:sz w:val="20"/>
        </w:rPr>
        <w:t>puede</w:t>
      </w:r>
      <w:r>
        <w:rPr>
          <w:rFonts w:ascii="Calibri" w:hAnsi="Calibri"/>
          <w:spacing w:val="-5"/>
          <w:sz w:val="20"/>
        </w:rPr>
        <w:t> </w:t>
      </w:r>
      <w:r>
        <w:rPr>
          <w:rFonts w:ascii="Calibri" w:hAnsi="Calibri"/>
          <w:sz w:val="20"/>
        </w:rPr>
        <w:t>acceder</w:t>
      </w:r>
      <w:r>
        <w:rPr>
          <w:rFonts w:ascii="Calibri" w:hAnsi="Calibri"/>
          <w:spacing w:val="-6"/>
          <w:sz w:val="20"/>
        </w:rPr>
        <w:t> </w:t>
      </w:r>
      <w:r>
        <w:rPr>
          <w:rFonts w:ascii="Calibri" w:hAnsi="Calibri"/>
          <w:sz w:val="20"/>
        </w:rPr>
        <w:t>desde</w:t>
      </w:r>
      <w:r>
        <w:rPr>
          <w:rFonts w:ascii="Calibri" w:hAnsi="Calibri"/>
          <w:spacing w:val="-5"/>
          <w:sz w:val="20"/>
        </w:rPr>
        <w:t> </w:t>
      </w:r>
      <w:r>
        <w:rPr>
          <w:rFonts w:ascii="Calibri" w:hAnsi="Calibri"/>
          <w:sz w:val="20"/>
        </w:rPr>
        <w:t>el</w:t>
      </w:r>
      <w:r>
        <w:rPr>
          <w:rFonts w:ascii="Calibri" w:hAnsi="Calibri"/>
          <w:spacing w:val="-4"/>
          <w:sz w:val="20"/>
        </w:rPr>
        <w:t> </w:t>
      </w:r>
      <w:r>
        <w:rPr>
          <w:rFonts w:ascii="Calibri" w:hAnsi="Calibri"/>
          <w:sz w:val="20"/>
        </w:rPr>
        <w:t>apartado</w:t>
      </w:r>
      <w:r>
        <w:rPr>
          <w:rFonts w:ascii="Calibri" w:hAnsi="Calibri"/>
          <w:spacing w:val="-3"/>
          <w:sz w:val="20"/>
        </w:rPr>
        <w:t> </w:t>
      </w:r>
      <w:r>
        <w:rPr>
          <w:rFonts w:ascii="Calibri" w:hAnsi="Calibri"/>
          <w:sz w:val="20"/>
        </w:rPr>
        <w:t>de</w:t>
      </w:r>
      <w:r>
        <w:rPr>
          <w:rFonts w:ascii="Calibri" w:hAnsi="Calibri"/>
          <w:spacing w:val="-5"/>
          <w:sz w:val="20"/>
        </w:rPr>
        <w:t> </w:t>
      </w:r>
      <w:r>
        <w:rPr>
          <w:rFonts w:ascii="Calibri" w:hAnsi="Calibri"/>
          <w:sz w:val="20"/>
        </w:rPr>
        <w:t>Economía</w:t>
      </w:r>
      <w:r>
        <w:rPr>
          <w:rFonts w:ascii="Calibri" w:hAnsi="Calibri"/>
          <w:spacing w:val="-5"/>
          <w:sz w:val="20"/>
        </w:rPr>
        <w:t> </w:t>
      </w:r>
      <w:r>
        <w:rPr>
          <w:rFonts w:ascii="Calibri" w:hAnsi="Calibri"/>
          <w:sz w:val="20"/>
        </w:rPr>
        <w:t>y Presupuestos- Cuentas y Liquidaciones y desde el apartado Transparencia – Publicidad activa – Cuentas anuales.</w:t>
      </w:r>
    </w:p>
    <w:p>
      <w:pPr>
        <w:spacing w:line="256" w:lineRule="auto" w:before="148"/>
        <w:ind w:left="2251" w:right="2026" w:firstLine="0"/>
        <w:jc w:val="both"/>
        <w:rPr>
          <w:rFonts w:ascii="Calibri" w:hAnsi="Calibri"/>
          <w:sz w:val="20"/>
        </w:rPr>
      </w:pPr>
      <w:r>
        <w:rPr>
          <w:rFonts w:ascii="Calibri" w:hAnsi="Calibri"/>
          <w:sz w:val="20"/>
        </w:rPr>
        <w:t>Por tanto, la afirmación contenida en el anteproyecto no se ajusta a la realidad, dado que la publicación no se limita</w:t>
      </w:r>
      <w:r>
        <w:rPr>
          <w:rFonts w:ascii="Calibri" w:hAnsi="Calibri"/>
          <w:spacing w:val="-2"/>
          <w:sz w:val="20"/>
        </w:rPr>
        <w:t> </w:t>
      </w:r>
      <w:r>
        <w:rPr>
          <w:rFonts w:ascii="Calibri" w:hAnsi="Calibri"/>
          <w:sz w:val="20"/>
        </w:rPr>
        <w:t>a</w:t>
      </w:r>
      <w:r>
        <w:rPr>
          <w:rFonts w:ascii="Calibri" w:hAnsi="Calibri"/>
          <w:spacing w:val="-3"/>
          <w:sz w:val="20"/>
        </w:rPr>
        <w:t> </w:t>
      </w:r>
      <w:r>
        <w:rPr>
          <w:rFonts w:ascii="Calibri" w:hAnsi="Calibri"/>
          <w:sz w:val="20"/>
        </w:rPr>
        <w:t>los</w:t>
      </w:r>
      <w:r>
        <w:rPr>
          <w:rFonts w:ascii="Calibri" w:hAnsi="Calibri"/>
          <w:spacing w:val="-2"/>
          <w:sz w:val="20"/>
        </w:rPr>
        <w:t> </w:t>
      </w:r>
      <w:r>
        <w:rPr>
          <w:rFonts w:ascii="Calibri" w:hAnsi="Calibri"/>
          <w:sz w:val="20"/>
        </w:rPr>
        <w:t>ejercicios 2022 y</w:t>
      </w:r>
      <w:r>
        <w:rPr>
          <w:rFonts w:ascii="Calibri" w:hAnsi="Calibri"/>
          <w:spacing w:val="-3"/>
          <w:sz w:val="20"/>
        </w:rPr>
        <w:t> </w:t>
      </w:r>
      <w:r>
        <w:rPr>
          <w:rFonts w:ascii="Calibri" w:hAnsi="Calibri"/>
          <w:sz w:val="20"/>
        </w:rPr>
        <w:t>2021,</w:t>
      </w:r>
      <w:r>
        <w:rPr>
          <w:rFonts w:ascii="Calibri" w:hAnsi="Calibri"/>
          <w:spacing w:val="-1"/>
          <w:sz w:val="20"/>
        </w:rPr>
        <w:t> </w:t>
      </w:r>
      <w:r>
        <w:rPr>
          <w:rFonts w:ascii="Calibri" w:hAnsi="Calibri"/>
          <w:sz w:val="20"/>
        </w:rPr>
        <w:t>sino</w:t>
      </w:r>
      <w:r>
        <w:rPr>
          <w:rFonts w:ascii="Calibri" w:hAnsi="Calibri"/>
          <w:spacing w:val="-1"/>
          <w:sz w:val="20"/>
        </w:rPr>
        <w:t> </w:t>
      </w:r>
      <w:r>
        <w:rPr>
          <w:rFonts w:ascii="Calibri" w:hAnsi="Calibri"/>
          <w:sz w:val="20"/>
        </w:rPr>
        <w:t>que</w:t>
      </w:r>
      <w:r>
        <w:rPr>
          <w:rFonts w:ascii="Calibri" w:hAnsi="Calibri"/>
          <w:spacing w:val="-2"/>
          <w:sz w:val="20"/>
        </w:rPr>
        <w:t> </w:t>
      </w:r>
      <w:r>
        <w:rPr>
          <w:rFonts w:ascii="Calibri" w:hAnsi="Calibri"/>
          <w:sz w:val="20"/>
        </w:rPr>
        <w:t>abarca</w:t>
      </w:r>
      <w:r>
        <w:rPr>
          <w:rFonts w:ascii="Calibri" w:hAnsi="Calibri"/>
          <w:spacing w:val="-1"/>
          <w:sz w:val="20"/>
        </w:rPr>
        <w:t> </w:t>
      </w:r>
      <w:r>
        <w:rPr>
          <w:rFonts w:ascii="Calibri" w:hAnsi="Calibri"/>
          <w:sz w:val="20"/>
        </w:rPr>
        <w:t>todos</w:t>
      </w:r>
      <w:r>
        <w:rPr>
          <w:rFonts w:ascii="Calibri" w:hAnsi="Calibri"/>
          <w:spacing w:val="-5"/>
          <w:sz w:val="20"/>
        </w:rPr>
        <w:t> </w:t>
      </w:r>
      <w:r>
        <w:rPr>
          <w:rFonts w:ascii="Calibri" w:hAnsi="Calibri"/>
          <w:sz w:val="20"/>
        </w:rPr>
        <w:t>los ejercicios desde 2011, disponibles para consulta pública.</w:t>
      </w:r>
    </w:p>
    <w:p>
      <w:pPr>
        <w:spacing w:before="145"/>
        <w:ind w:left="2251" w:right="0" w:firstLine="0"/>
        <w:jc w:val="both"/>
        <w:rPr>
          <w:rFonts w:ascii="Calibri" w:hAnsi="Calibri"/>
          <w:sz w:val="20"/>
        </w:rPr>
      </w:pPr>
      <w:r>
        <w:rPr>
          <w:rFonts w:ascii="Calibri" w:hAnsi="Calibri"/>
          <w:sz w:val="20"/>
        </w:rPr>
        <w:t>En</w:t>
      </w:r>
      <w:r>
        <w:rPr>
          <w:rFonts w:ascii="Calibri" w:hAnsi="Calibri"/>
          <w:spacing w:val="35"/>
          <w:sz w:val="20"/>
        </w:rPr>
        <w:t> </w:t>
      </w:r>
      <w:r>
        <w:rPr>
          <w:rFonts w:ascii="Calibri" w:hAnsi="Calibri"/>
          <w:sz w:val="20"/>
        </w:rPr>
        <w:t>lo</w:t>
      </w:r>
      <w:r>
        <w:rPr>
          <w:rFonts w:ascii="Calibri" w:hAnsi="Calibri"/>
          <w:spacing w:val="34"/>
          <w:sz w:val="20"/>
        </w:rPr>
        <w:t> </w:t>
      </w:r>
      <w:r>
        <w:rPr>
          <w:rFonts w:ascii="Calibri" w:hAnsi="Calibri"/>
          <w:sz w:val="20"/>
        </w:rPr>
        <w:t>que</w:t>
      </w:r>
      <w:r>
        <w:rPr>
          <w:rFonts w:ascii="Calibri" w:hAnsi="Calibri"/>
          <w:spacing w:val="36"/>
          <w:sz w:val="20"/>
        </w:rPr>
        <w:t> </w:t>
      </w:r>
      <w:r>
        <w:rPr>
          <w:rFonts w:ascii="Calibri" w:hAnsi="Calibri"/>
          <w:sz w:val="20"/>
        </w:rPr>
        <w:t>respecta</w:t>
      </w:r>
      <w:r>
        <w:rPr>
          <w:rFonts w:ascii="Calibri" w:hAnsi="Calibri"/>
          <w:spacing w:val="34"/>
          <w:sz w:val="20"/>
        </w:rPr>
        <w:t> </w:t>
      </w:r>
      <w:r>
        <w:rPr>
          <w:rFonts w:ascii="Calibri" w:hAnsi="Calibri"/>
          <w:sz w:val="20"/>
        </w:rPr>
        <w:t>a</w:t>
      </w:r>
      <w:r>
        <w:rPr>
          <w:rFonts w:ascii="Calibri" w:hAnsi="Calibri"/>
          <w:spacing w:val="38"/>
          <w:sz w:val="20"/>
        </w:rPr>
        <w:t> </w:t>
      </w:r>
      <w:r>
        <w:rPr>
          <w:rFonts w:ascii="Calibri" w:hAnsi="Calibri"/>
          <w:sz w:val="20"/>
        </w:rPr>
        <w:t>su</w:t>
      </w:r>
      <w:r>
        <w:rPr>
          <w:rFonts w:ascii="Calibri" w:hAnsi="Calibri"/>
          <w:spacing w:val="32"/>
          <w:sz w:val="20"/>
        </w:rPr>
        <w:t> </w:t>
      </w:r>
      <w:r>
        <w:rPr>
          <w:rFonts w:ascii="Calibri" w:hAnsi="Calibri"/>
          <w:sz w:val="20"/>
        </w:rPr>
        <w:t>entidad</w:t>
      </w:r>
      <w:r>
        <w:rPr>
          <w:rFonts w:ascii="Calibri" w:hAnsi="Calibri"/>
          <w:spacing w:val="35"/>
          <w:sz w:val="20"/>
        </w:rPr>
        <w:t> </w:t>
      </w:r>
      <w:r>
        <w:rPr>
          <w:rFonts w:ascii="Calibri" w:hAnsi="Calibri"/>
          <w:sz w:val="20"/>
        </w:rPr>
        <w:t>dependiente,</w:t>
      </w:r>
      <w:r>
        <w:rPr>
          <w:rFonts w:ascii="Calibri" w:hAnsi="Calibri"/>
          <w:spacing w:val="37"/>
          <w:sz w:val="20"/>
        </w:rPr>
        <w:t> </w:t>
      </w:r>
      <w:r>
        <w:rPr>
          <w:rFonts w:ascii="Calibri" w:hAnsi="Calibri"/>
          <w:sz w:val="20"/>
        </w:rPr>
        <w:t>la</w:t>
      </w:r>
      <w:r>
        <w:rPr>
          <w:rFonts w:ascii="Calibri" w:hAnsi="Calibri"/>
          <w:spacing w:val="37"/>
          <w:sz w:val="20"/>
        </w:rPr>
        <w:t> </w:t>
      </w:r>
      <w:r>
        <w:rPr>
          <w:rFonts w:ascii="Calibri" w:hAnsi="Calibri"/>
          <w:sz w:val="20"/>
        </w:rPr>
        <w:t>Empresa</w:t>
      </w:r>
      <w:r>
        <w:rPr>
          <w:rFonts w:ascii="Calibri" w:hAnsi="Calibri"/>
          <w:spacing w:val="36"/>
          <w:sz w:val="20"/>
        </w:rPr>
        <w:t> </w:t>
      </w:r>
      <w:r>
        <w:rPr>
          <w:rFonts w:ascii="Calibri" w:hAnsi="Calibri"/>
          <w:sz w:val="20"/>
        </w:rPr>
        <w:t>Malagueña</w:t>
      </w:r>
      <w:r>
        <w:rPr>
          <w:rFonts w:ascii="Calibri" w:hAnsi="Calibri"/>
          <w:spacing w:val="38"/>
          <w:sz w:val="20"/>
        </w:rPr>
        <w:t> </w:t>
      </w:r>
      <w:r>
        <w:rPr>
          <w:rFonts w:ascii="Calibri" w:hAnsi="Calibri"/>
          <w:sz w:val="20"/>
        </w:rPr>
        <w:t>de</w:t>
      </w:r>
      <w:r>
        <w:rPr>
          <w:rFonts w:ascii="Calibri" w:hAnsi="Calibri"/>
          <w:spacing w:val="37"/>
          <w:sz w:val="20"/>
        </w:rPr>
        <w:t> </w:t>
      </w:r>
      <w:r>
        <w:rPr>
          <w:rFonts w:ascii="Calibri" w:hAnsi="Calibri"/>
          <w:spacing w:val="-2"/>
          <w:sz w:val="20"/>
        </w:rPr>
        <w:t>Transportes,</w:t>
      </w:r>
    </w:p>
    <w:p>
      <w:pPr>
        <w:spacing w:line="256" w:lineRule="auto" w:before="17"/>
        <w:ind w:left="2251" w:right="2018" w:firstLine="0"/>
        <w:jc w:val="both"/>
        <w:rPr>
          <w:rFonts w:ascii="Calibri" w:hAnsi="Calibri"/>
          <w:sz w:val="20"/>
        </w:rPr>
      </w:pPr>
      <w:r>
        <w:rPr>
          <w:rFonts w:ascii="Calibri" w:hAnsi="Calibri"/>
          <w:sz w:val="20"/>
        </w:rPr>
        <w:t>S.A.M.</w:t>
      </w:r>
      <w:r>
        <w:rPr>
          <w:rFonts w:ascii="Calibri" w:hAnsi="Calibri"/>
          <w:spacing w:val="-2"/>
          <w:sz w:val="20"/>
        </w:rPr>
        <w:t> </w:t>
      </w:r>
      <w:r>
        <w:rPr>
          <w:rFonts w:ascii="Calibri" w:hAnsi="Calibri"/>
          <w:sz w:val="20"/>
        </w:rPr>
        <w:t>(EMTSAM),</w:t>
      </w:r>
      <w:r>
        <w:rPr>
          <w:rFonts w:ascii="Calibri" w:hAnsi="Calibri"/>
          <w:spacing w:val="-5"/>
          <w:sz w:val="20"/>
        </w:rPr>
        <w:t> </w:t>
      </w:r>
      <w:r>
        <w:rPr>
          <w:rFonts w:ascii="Calibri" w:hAnsi="Calibri"/>
          <w:sz w:val="20"/>
        </w:rPr>
        <w:t>se</w:t>
      </w:r>
      <w:r>
        <w:rPr>
          <w:rFonts w:ascii="Calibri" w:hAnsi="Calibri"/>
          <w:spacing w:val="-4"/>
          <w:sz w:val="20"/>
        </w:rPr>
        <w:t> </w:t>
      </w:r>
      <w:r>
        <w:rPr>
          <w:rFonts w:ascii="Calibri" w:hAnsi="Calibri"/>
          <w:sz w:val="20"/>
        </w:rPr>
        <w:t>aclara</w:t>
      </w:r>
      <w:r>
        <w:rPr>
          <w:rFonts w:ascii="Calibri" w:hAnsi="Calibri"/>
          <w:spacing w:val="-4"/>
          <w:sz w:val="20"/>
        </w:rPr>
        <w:t> </w:t>
      </w:r>
      <w:r>
        <w:rPr>
          <w:rFonts w:ascii="Calibri" w:hAnsi="Calibri"/>
          <w:sz w:val="20"/>
        </w:rPr>
        <w:t>que</w:t>
      </w:r>
      <w:r>
        <w:rPr>
          <w:rFonts w:ascii="Calibri" w:hAnsi="Calibri"/>
          <w:spacing w:val="-3"/>
          <w:sz w:val="20"/>
        </w:rPr>
        <w:t> </w:t>
      </w:r>
      <w:r>
        <w:rPr>
          <w:rFonts w:ascii="Calibri" w:hAnsi="Calibri"/>
          <w:sz w:val="20"/>
        </w:rPr>
        <w:t>los</w:t>
      </w:r>
      <w:r>
        <w:rPr>
          <w:rFonts w:ascii="Calibri" w:hAnsi="Calibri"/>
          <w:spacing w:val="-5"/>
          <w:sz w:val="20"/>
        </w:rPr>
        <w:t> </w:t>
      </w:r>
      <w:r>
        <w:rPr>
          <w:rFonts w:ascii="Calibri" w:hAnsi="Calibri"/>
          <w:sz w:val="20"/>
        </w:rPr>
        <w:t>informes</w:t>
      </w:r>
      <w:r>
        <w:rPr>
          <w:rFonts w:ascii="Calibri" w:hAnsi="Calibri"/>
          <w:spacing w:val="-2"/>
          <w:sz w:val="20"/>
        </w:rPr>
        <w:t> </w:t>
      </w:r>
      <w:r>
        <w:rPr>
          <w:rFonts w:ascii="Calibri" w:hAnsi="Calibri"/>
          <w:sz w:val="20"/>
        </w:rPr>
        <w:t>de</w:t>
      </w:r>
      <w:r>
        <w:rPr>
          <w:rFonts w:ascii="Calibri" w:hAnsi="Calibri"/>
          <w:spacing w:val="-4"/>
          <w:sz w:val="20"/>
        </w:rPr>
        <w:t> </w:t>
      </w:r>
      <w:r>
        <w:rPr>
          <w:rFonts w:ascii="Calibri" w:hAnsi="Calibri"/>
          <w:sz w:val="20"/>
        </w:rPr>
        <w:t>auditoría</w:t>
      </w:r>
      <w:r>
        <w:rPr>
          <w:rFonts w:ascii="Calibri" w:hAnsi="Calibri"/>
          <w:spacing w:val="-4"/>
          <w:sz w:val="20"/>
        </w:rPr>
        <w:t> </w:t>
      </w:r>
      <w:r>
        <w:rPr>
          <w:rFonts w:ascii="Calibri" w:hAnsi="Calibri"/>
          <w:sz w:val="20"/>
        </w:rPr>
        <w:t>de</w:t>
      </w:r>
      <w:r>
        <w:rPr>
          <w:rFonts w:ascii="Calibri" w:hAnsi="Calibri"/>
          <w:spacing w:val="-4"/>
          <w:sz w:val="20"/>
        </w:rPr>
        <w:t> </w:t>
      </w:r>
      <w:r>
        <w:rPr>
          <w:rFonts w:ascii="Calibri" w:hAnsi="Calibri"/>
          <w:sz w:val="20"/>
        </w:rPr>
        <w:t>cuentas</w:t>
      </w:r>
      <w:r>
        <w:rPr>
          <w:rFonts w:ascii="Calibri" w:hAnsi="Calibri"/>
          <w:spacing w:val="-5"/>
          <w:sz w:val="20"/>
        </w:rPr>
        <w:t> </w:t>
      </w:r>
      <w:r>
        <w:rPr>
          <w:rFonts w:ascii="Calibri" w:hAnsi="Calibri"/>
          <w:sz w:val="20"/>
        </w:rPr>
        <w:t>y</w:t>
      </w:r>
      <w:r>
        <w:rPr>
          <w:rFonts w:ascii="Calibri" w:hAnsi="Calibri"/>
          <w:spacing w:val="-1"/>
          <w:sz w:val="20"/>
        </w:rPr>
        <w:t> </w:t>
      </w:r>
      <w:r>
        <w:rPr>
          <w:rFonts w:ascii="Calibri" w:hAnsi="Calibri"/>
          <w:sz w:val="20"/>
        </w:rPr>
        <w:t>las</w:t>
      </w:r>
      <w:r>
        <w:rPr>
          <w:rFonts w:ascii="Calibri" w:hAnsi="Calibri"/>
          <w:spacing w:val="-3"/>
          <w:sz w:val="20"/>
        </w:rPr>
        <w:t> </w:t>
      </w:r>
      <w:r>
        <w:rPr>
          <w:rFonts w:ascii="Calibri" w:hAnsi="Calibri"/>
          <w:sz w:val="20"/>
        </w:rPr>
        <w:t>cuentas</w:t>
      </w:r>
      <w:r>
        <w:rPr>
          <w:rFonts w:ascii="Calibri" w:hAnsi="Calibri"/>
          <w:spacing w:val="-3"/>
          <w:sz w:val="20"/>
        </w:rPr>
        <w:t> </w:t>
      </w:r>
      <w:r>
        <w:rPr>
          <w:rFonts w:ascii="Calibri" w:hAnsi="Calibri"/>
          <w:sz w:val="20"/>
        </w:rPr>
        <w:t>anuales de la sociedad se encuentran publicados desde el ejercicio 2015, cumpliendo con lo dispuesto en la Ley 19/2013, de transparencia, acceso a la información pública y buen gobierno, así como en la normativa autonómica y municipal aplicable en materia de publicidad activa.</w:t>
      </w:r>
    </w:p>
    <w:p>
      <w:pPr>
        <w:spacing w:line="256" w:lineRule="auto" w:before="144"/>
        <w:ind w:left="2251" w:right="2019" w:firstLine="0"/>
        <w:jc w:val="both"/>
        <w:rPr>
          <w:rFonts w:ascii="Calibri" w:hAnsi="Calibri"/>
          <w:sz w:val="20"/>
        </w:rPr>
      </w:pPr>
      <w:r>
        <w:rPr>
          <w:rFonts w:ascii="Calibri" w:hAnsi="Calibri"/>
          <w:sz w:val="20"/>
        </w:rPr>
        <w:t>Dicha</w:t>
      </w:r>
      <w:r>
        <w:rPr>
          <w:rFonts w:ascii="Calibri" w:hAnsi="Calibri"/>
          <w:spacing w:val="-5"/>
          <w:sz w:val="20"/>
        </w:rPr>
        <w:t> </w:t>
      </w:r>
      <w:r>
        <w:rPr>
          <w:rFonts w:ascii="Calibri" w:hAnsi="Calibri"/>
          <w:sz w:val="20"/>
        </w:rPr>
        <w:t>información</w:t>
      </w:r>
      <w:r>
        <w:rPr>
          <w:rFonts w:ascii="Calibri" w:hAnsi="Calibri"/>
          <w:spacing w:val="-5"/>
          <w:sz w:val="20"/>
        </w:rPr>
        <w:t> </w:t>
      </w:r>
      <w:r>
        <w:rPr>
          <w:rFonts w:ascii="Calibri" w:hAnsi="Calibri"/>
          <w:sz w:val="20"/>
        </w:rPr>
        <w:t>se</w:t>
      </w:r>
      <w:r>
        <w:rPr>
          <w:rFonts w:ascii="Calibri" w:hAnsi="Calibri"/>
          <w:spacing w:val="-3"/>
          <w:sz w:val="20"/>
        </w:rPr>
        <w:t> </w:t>
      </w:r>
      <w:r>
        <w:rPr>
          <w:rFonts w:ascii="Calibri" w:hAnsi="Calibri"/>
          <w:sz w:val="20"/>
        </w:rPr>
        <w:t>encuentra</w:t>
      </w:r>
      <w:r>
        <w:rPr>
          <w:rFonts w:ascii="Calibri" w:hAnsi="Calibri"/>
          <w:spacing w:val="-2"/>
          <w:sz w:val="20"/>
        </w:rPr>
        <w:t> </w:t>
      </w:r>
      <w:r>
        <w:rPr>
          <w:rFonts w:ascii="Calibri" w:hAnsi="Calibri"/>
          <w:sz w:val="20"/>
        </w:rPr>
        <w:t>disponible</w:t>
      </w:r>
      <w:r>
        <w:rPr>
          <w:rFonts w:ascii="Calibri" w:hAnsi="Calibri"/>
          <w:spacing w:val="-5"/>
          <w:sz w:val="20"/>
        </w:rPr>
        <w:t> </w:t>
      </w:r>
      <w:r>
        <w:rPr>
          <w:rFonts w:ascii="Calibri" w:hAnsi="Calibri"/>
          <w:sz w:val="20"/>
        </w:rPr>
        <w:t>en</w:t>
      </w:r>
      <w:r>
        <w:rPr>
          <w:rFonts w:ascii="Calibri" w:hAnsi="Calibri"/>
          <w:spacing w:val="-3"/>
          <w:sz w:val="20"/>
        </w:rPr>
        <w:t> </w:t>
      </w:r>
      <w:r>
        <w:rPr>
          <w:rFonts w:ascii="Calibri" w:hAnsi="Calibri"/>
          <w:sz w:val="20"/>
        </w:rPr>
        <w:t>la</w:t>
      </w:r>
      <w:r>
        <w:rPr>
          <w:rFonts w:ascii="Calibri" w:hAnsi="Calibri"/>
          <w:spacing w:val="-4"/>
          <w:sz w:val="20"/>
        </w:rPr>
        <w:t> </w:t>
      </w:r>
      <w:r>
        <w:rPr>
          <w:rFonts w:ascii="Calibri" w:hAnsi="Calibri"/>
          <w:sz w:val="20"/>
        </w:rPr>
        <w:t>página</w:t>
      </w:r>
      <w:r>
        <w:rPr>
          <w:rFonts w:ascii="Calibri" w:hAnsi="Calibri"/>
          <w:spacing w:val="-2"/>
          <w:sz w:val="20"/>
        </w:rPr>
        <w:t> </w:t>
      </w:r>
      <w:r>
        <w:rPr>
          <w:rFonts w:ascii="Calibri" w:hAnsi="Calibri"/>
          <w:sz w:val="20"/>
        </w:rPr>
        <w:t>web</w:t>
      </w:r>
      <w:r>
        <w:rPr>
          <w:rFonts w:ascii="Calibri" w:hAnsi="Calibri"/>
          <w:spacing w:val="-3"/>
          <w:sz w:val="20"/>
        </w:rPr>
        <w:t> </w:t>
      </w:r>
      <w:r>
        <w:rPr>
          <w:rFonts w:ascii="Calibri" w:hAnsi="Calibri"/>
          <w:sz w:val="20"/>
        </w:rPr>
        <w:t>corporativa</w:t>
      </w:r>
      <w:r>
        <w:rPr>
          <w:rFonts w:ascii="Calibri" w:hAnsi="Calibri"/>
          <w:spacing w:val="-6"/>
          <w:sz w:val="20"/>
        </w:rPr>
        <w:t> </w:t>
      </w:r>
      <w:r>
        <w:rPr>
          <w:rFonts w:ascii="Calibri" w:hAnsi="Calibri"/>
          <w:sz w:val="20"/>
        </w:rPr>
        <w:t>de</w:t>
      </w:r>
      <w:r>
        <w:rPr>
          <w:rFonts w:ascii="Calibri" w:hAnsi="Calibri"/>
          <w:spacing w:val="-3"/>
          <w:sz w:val="20"/>
        </w:rPr>
        <w:t> </w:t>
      </w:r>
      <w:r>
        <w:rPr>
          <w:rFonts w:ascii="Calibri" w:hAnsi="Calibri"/>
          <w:sz w:val="20"/>
        </w:rPr>
        <w:t>la</w:t>
      </w:r>
      <w:r>
        <w:rPr>
          <w:rFonts w:ascii="Calibri" w:hAnsi="Calibri"/>
          <w:spacing w:val="-4"/>
          <w:sz w:val="20"/>
        </w:rPr>
        <w:t> </w:t>
      </w:r>
      <w:r>
        <w:rPr>
          <w:rFonts w:ascii="Calibri" w:hAnsi="Calibri"/>
          <w:sz w:val="20"/>
        </w:rPr>
        <w:t>EMT,</w:t>
      </w:r>
      <w:r>
        <w:rPr>
          <w:rFonts w:ascii="Calibri" w:hAnsi="Calibri"/>
          <w:spacing w:val="-4"/>
          <w:sz w:val="20"/>
        </w:rPr>
        <w:t> </w:t>
      </w:r>
      <w:r>
        <w:rPr>
          <w:rFonts w:ascii="Calibri" w:hAnsi="Calibri"/>
          <w:sz w:val="20"/>
        </w:rPr>
        <w:t>dentro del apartado de “</w:t>
      </w:r>
      <w:r>
        <w:rPr>
          <w:rFonts w:ascii="Calibri" w:hAnsi="Calibri"/>
          <w:i/>
          <w:sz w:val="20"/>
        </w:rPr>
        <w:t>Transparencia – Publicidad activa – Cuentas anuales</w:t>
      </w:r>
      <w:r>
        <w:rPr>
          <w:rFonts w:ascii="Calibri" w:hAnsi="Calibri"/>
          <w:sz w:val="20"/>
        </w:rPr>
        <w:t>”, donde se incluyen de manera accesible y actualizada los informes de auditoría correspondientes a todos los ejercicios desde 2015 hasta la actualidad.</w:t>
      </w:r>
    </w:p>
    <w:p>
      <w:pPr>
        <w:spacing w:line="259" w:lineRule="auto" w:before="145"/>
        <w:ind w:left="2251" w:right="2017" w:firstLine="0"/>
        <w:jc w:val="both"/>
        <w:rPr>
          <w:rFonts w:ascii="Calibri" w:hAnsi="Calibri"/>
          <w:sz w:val="20"/>
        </w:rPr>
      </w:pPr>
      <w:r>
        <w:rPr>
          <w:rFonts w:ascii="Calibri" w:hAnsi="Calibri"/>
          <w:sz w:val="20"/>
        </w:rPr>
        <w:t>El acceso directo puede realizarse a través del siguiente enlace: </w:t>
      </w:r>
      <w:r>
        <w:rPr>
          <w:rFonts w:ascii="Calibri" w:hAnsi="Calibri"/>
          <w:color w:val="0563C1"/>
          <w:sz w:val="20"/>
          <w:u w:val="single" w:color="0563C1"/>
        </w:rPr>
        <w:t>Publicidad Activa |</w:t>
      </w:r>
      <w:r>
        <w:rPr>
          <w:rFonts w:ascii="Calibri" w:hAnsi="Calibri"/>
          <w:color w:val="0563C1"/>
          <w:sz w:val="20"/>
          <w:u w:val="none"/>
        </w:rPr>
        <w:t> </w:t>
      </w:r>
      <w:r>
        <w:rPr>
          <w:rFonts w:ascii="Calibri" w:hAnsi="Calibri"/>
          <w:color w:val="0563C1"/>
          <w:sz w:val="20"/>
          <w:u w:val="single" w:color="0563C1"/>
        </w:rPr>
        <w:t>Empresa Malagueña de Transportes, S.A.M.</w:t>
      </w:r>
    </w:p>
    <w:p>
      <w:pPr>
        <w:spacing w:line="259" w:lineRule="auto" w:before="140"/>
        <w:ind w:left="2251" w:right="2021" w:firstLine="0"/>
        <w:jc w:val="both"/>
        <w:rPr>
          <w:rFonts w:ascii="Calibri" w:hAnsi="Calibri"/>
          <w:sz w:val="20"/>
        </w:rPr>
      </w:pPr>
      <w:r>
        <w:rPr>
          <w:rFonts w:ascii="Calibri" w:hAnsi="Calibri"/>
          <w:sz w:val="20"/>
        </w:rPr>
        <w:t>Por tanto, la afirmación contenida en el anteproyecto no se ajusta a la realidad, dado que la publicación no se limita</w:t>
      </w:r>
      <w:r>
        <w:rPr>
          <w:rFonts w:ascii="Calibri" w:hAnsi="Calibri"/>
          <w:spacing w:val="-2"/>
          <w:sz w:val="20"/>
        </w:rPr>
        <w:t> </w:t>
      </w:r>
      <w:r>
        <w:rPr>
          <w:rFonts w:ascii="Calibri" w:hAnsi="Calibri"/>
          <w:sz w:val="20"/>
        </w:rPr>
        <w:t>a</w:t>
      </w:r>
      <w:r>
        <w:rPr>
          <w:rFonts w:ascii="Calibri" w:hAnsi="Calibri"/>
          <w:spacing w:val="-3"/>
          <w:sz w:val="20"/>
        </w:rPr>
        <w:t> </w:t>
      </w:r>
      <w:r>
        <w:rPr>
          <w:rFonts w:ascii="Calibri" w:hAnsi="Calibri"/>
          <w:sz w:val="20"/>
        </w:rPr>
        <w:t>los</w:t>
      </w:r>
      <w:r>
        <w:rPr>
          <w:rFonts w:ascii="Calibri" w:hAnsi="Calibri"/>
          <w:spacing w:val="-2"/>
          <w:sz w:val="20"/>
        </w:rPr>
        <w:t> </w:t>
      </w:r>
      <w:r>
        <w:rPr>
          <w:rFonts w:ascii="Calibri" w:hAnsi="Calibri"/>
          <w:sz w:val="20"/>
        </w:rPr>
        <w:t>ejercicios 2022 y</w:t>
      </w:r>
      <w:r>
        <w:rPr>
          <w:rFonts w:ascii="Calibri" w:hAnsi="Calibri"/>
          <w:spacing w:val="-3"/>
          <w:sz w:val="20"/>
        </w:rPr>
        <w:t> </w:t>
      </w:r>
      <w:r>
        <w:rPr>
          <w:rFonts w:ascii="Calibri" w:hAnsi="Calibri"/>
          <w:sz w:val="20"/>
        </w:rPr>
        <w:t>2021,</w:t>
      </w:r>
      <w:r>
        <w:rPr>
          <w:rFonts w:ascii="Calibri" w:hAnsi="Calibri"/>
          <w:spacing w:val="-1"/>
          <w:sz w:val="20"/>
        </w:rPr>
        <w:t> </w:t>
      </w:r>
      <w:r>
        <w:rPr>
          <w:rFonts w:ascii="Calibri" w:hAnsi="Calibri"/>
          <w:sz w:val="20"/>
        </w:rPr>
        <w:t>sino</w:t>
      </w:r>
      <w:r>
        <w:rPr>
          <w:rFonts w:ascii="Calibri" w:hAnsi="Calibri"/>
          <w:spacing w:val="-1"/>
          <w:sz w:val="20"/>
        </w:rPr>
        <w:t> </w:t>
      </w:r>
      <w:r>
        <w:rPr>
          <w:rFonts w:ascii="Calibri" w:hAnsi="Calibri"/>
          <w:sz w:val="20"/>
        </w:rPr>
        <w:t>que</w:t>
      </w:r>
      <w:r>
        <w:rPr>
          <w:rFonts w:ascii="Calibri" w:hAnsi="Calibri"/>
          <w:spacing w:val="-2"/>
          <w:sz w:val="20"/>
        </w:rPr>
        <w:t> </w:t>
      </w:r>
      <w:r>
        <w:rPr>
          <w:rFonts w:ascii="Calibri" w:hAnsi="Calibri"/>
          <w:sz w:val="20"/>
        </w:rPr>
        <w:t>abarca</w:t>
      </w:r>
      <w:r>
        <w:rPr>
          <w:rFonts w:ascii="Calibri" w:hAnsi="Calibri"/>
          <w:spacing w:val="-1"/>
          <w:sz w:val="20"/>
        </w:rPr>
        <w:t> </w:t>
      </w:r>
      <w:r>
        <w:rPr>
          <w:rFonts w:ascii="Calibri" w:hAnsi="Calibri"/>
          <w:sz w:val="20"/>
        </w:rPr>
        <w:t>todos</w:t>
      </w:r>
      <w:r>
        <w:rPr>
          <w:rFonts w:ascii="Calibri" w:hAnsi="Calibri"/>
          <w:spacing w:val="-5"/>
          <w:sz w:val="20"/>
        </w:rPr>
        <w:t> </w:t>
      </w:r>
      <w:r>
        <w:rPr>
          <w:rFonts w:ascii="Calibri" w:hAnsi="Calibri"/>
          <w:sz w:val="20"/>
        </w:rPr>
        <w:t>los ejercicios desde 2015, disponibles para consulta pública.</w:t>
      </w:r>
    </w:p>
    <w:p>
      <w:pPr>
        <w:spacing w:line="256" w:lineRule="auto" w:before="138"/>
        <w:ind w:left="2251" w:right="2021" w:firstLine="0"/>
        <w:jc w:val="both"/>
        <w:rPr>
          <w:rFonts w:ascii="Calibri" w:hAnsi="Calibri"/>
          <w:sz w:val="20"/>
        </w:rPr>
      </w:pPr>
      <w:r>
        <w:rPr>
          <w:rFonts w:ascii="Calibri" w:hAnsi="Calibri"/>
          <w:sz w:val="20"/>
        </w:rPr>
        <w:t>En</w:t>
      </w:r>
      <w:r>
        <w:rPr>
          <w:rFonts w:ascii="Calibri" w:hAnsi="Calibri"/>
          <w:spacing w:val="-8"/>
          <w:sz w:val="20"/>
        </w:rPr>
        <w:t> </w:t>
      </w:r>
      <w:r>
        <w:rPr>
          <w:rFonts w:ascii="Calibri" w:hAnsi="Calibri"/>
          <w:sz w:val="20"/>
        </w:rPr>
        <w:t>virtud</w:t>
      </w:r>
      <w:r>
        <w:rPr>
          <w:rFonts w:ascii="Calibri" w:hAnsi="Calibri"/>
          <w:spacing w:val="-7"/>
          <w:sz w:val="20"/>
        </w:rPr>
        <w:t> </w:t>
      </w:r>
      <w:r>
        <w:rPr>
          <w:rFonts w:ascii="Calibri" w:hAnsi="Calibri"/>
          <w:sz w:val="20"/>
        </w:rPr>
        <w:t>de</w:t>
      </w:r>
      <w:r>
        <w:rPr>
          <w:rFonts w:ascii="Calibri" w:hAnsi="Calibri"/>
          <w:spacing w:val="-5"/>
          <w:sz w:val="20"/>
        </w:rPr>
        <w:t> </w:t>
      </w:r>
      <w:r>
        <w:rPr>
          <w:rFonts w:ascii="Calibri" w:hAnsi="Calibri"/>
          <w:sz w:val="20"/>
        </w:rPr>
        <w:t>lo</w:t>
      </w:r>
      <w:r>
        <w:rPr>
          <w:rFonts w:ascii="Calibri" w:hAnsi="Calibri"/>
          <w:spacing w:val="-6"/>
          <w:sz w:val="20"/>
        </w:rPr>
        <w:t> </w:t>
      </w:r>
      <w:r>
        <w:rPr>
          <w:rFonts w:ascii="Calibri" w:hAnsi="Calibri"/>
          <w:sz w:val="20"/>
        </w:rPr>
        <w:t>anterior,</w:t>
      </w:r>
      <w:r>
        <w:rPr>
          <w:rFonts w:ascii="Calibri" w:hAnsi="Calibri"/>
          <w:spacing w:val="-6"/>
          <w:sz w:val="20"/>
        </w:rPr>
        <w:t> </w:t>
      </w:r>
      <w:r>
        <w:rPr>
          <w:rFonts w:ascii="Calibri" w:hAnsi="Calibri"/>
          <w:sz w:val="20"/>
        </w:rPr>
        <w:t>se</w:t>
      </w:r>
      <w:r>
        <w:rPr>
          <w:rFonts w:ascii="Calibri" w:hAnsi="Calibri"/>
          <w:spacing w:val="-7"/>
          <w:sz w:val="20"/>
        </w:rPr>
        <w:t> </w:t>
      </w:r>
      <w:r>
        <w:rPr>
          <w:rFonts w:ascii="Calibri" w:hAnsi="Calibri"/>
          <w:sz w:val="20"/>
        </w:rPr>
        <w:t>solicita</w:t>
      </w:r>
      <w:r>
        <w:rPr>
          <w:rFonts w:ascii="Calibri" w:hAnsi="Calibri"/>
          <w:spacing w:val="-9"/>
          <w:sz w:val="20"/>
        </w:rPr>
        <w:t> </w:t>
      </w:r>
      <w:r>
        <w:rPr>
          <w:rFonts w:ascii="Calibri" w:hAnsi="Calibri"/>
          <w:sz w:val="20"/>
        </w:rPr>
        <w:t>a</w:t>
      </w:r>
      <w:r>
        <w:rPr>
          <w:rFonts w:ascii="Calibri" w:hAnsi="Calibri"/>
          <w:spacing w:val="-11"/>
          <w:sz w:val="20"/>
        </w:rPr>
        <w:t> </w:t>
      </w:r>
      <w:r>
        <w:rPr>
          <w:rFonts w:ascii="Calibri" w:hAnsi="Calibri"/>
          <w:sz w:val="20"/>
        </w:rPr>
        <w:t>este</w:t>
      </w:r>
      <w:r>
        <w:rPr>
          <w:rFonts w:ascii="Calibri" w:hAnsi="Calibri"/>
          <w:spacing w:val="-11"/>
          <w:sz w:val="20"/>
        </w:rPr>
        <w:t> </w:t>
      </w:r>
      <w:r>
        <w:rPr>
          <w:rFonts w:ascii="Calibri" w:hAnsi="Calibri"/>
          <w:sz w:val="20"/>
        </w:rPr>
        <w:t>Tribunal</w:t>
      </w:r>
      <w:r>
        <w:rPr>
          <w:rFonts w:ascii="Calibri" w:hAnsi="Calibri"/>
          <w:spacing w:val="-9"/>
          <w:sz w:val="20"/>
        </w:rPr>
        <w:t> </w:t>
      </w:r>
      <w:r>
        <w:rPr>
          <w:rFonts w:ascii="Calibri" w:hAnsi="Calibri"/>
          <w:sz w:val="20"/>
        </w:rPr>
        <w:t>de</w:t>
      </w:r>
      <w:r>
        <w:rPr>
          <w:rFonts w:ascii="Calibri" w:hAnsi="Calibri"/>
          <w:spacing w:val="-8"/>
          <w:sz w:val="20"/>
        </w:rPr>
        <w:t> </w:t>
      </w:r>
      <w:r>
        <w:rPr>
          <w:rFonts w:ascii="Calibri" w:hAnsi="Calibri"/>
          <w:sz w:val="20"/>
        </w:rPr>
        <w:t>Cuentas</w:t>
      </w:r>
      <w:r>
        <w:rPr>
          <w:rFonts w:ascii="Calibri" w:hAnsi="Calibri"/>
          <w:spacing w:val="-5"/>
          <w:sz w:val="20"/>
        </w:rPr>
        <w:t> </w:t>
      </w:r>
      <w:r>
        <w:rPr>
          <w:rFonts w:ascii="Calibri" w:hAnsi="Calibri"/>
          <w:sz w:val="20"/>
        </w:rPr>
        <w:t>que</w:t>
      </w:r>
      <w:r>
        <w:rPr>
          <w:rFonts w:ascii="Calibri" w:hAnsi="Calibri"/>
          <w:spacing w:val="-7"/>
          <w:sz w:val="20"/>
        </w:rPr>
        <w:t> </w:t>
      </w:r>
      <w:r>
        <w:rPr>
          <w:rFonts w:ascii="Calibri" w:hAnsi="Calibri"/>
          <w:sz w:val="20"/>
        </w:rPr>
        <w:t>tenga</w:t>
      </w:r>
      <w:r>
        <w:rPr>
          <w:rFonts w:ascii="Calibri" w:hAnsi="Calibri"/>
          <w:spacing w:val="-6"/>
          <w:sz w:val="20"/>
        </w:rPr>
        <w:t> </w:t>
      </w:r>
      <w:r>
        <w:rPr>
          <w:rFonts w:ascii="Calibri" w:hAnsi="Calibri"/>
          <w:sz w:val="20"/>
        </w:rPr>
        <w:t>por</w:t>
      </w:r>
      <w:r>
        <w:rPr>
          <w:rFonts w:ascii="Calibri" w:hAnsi="Calibri"/>
          <w:spacing w:val="-9"/>
          <w:sz w:val="20"/>
        </w:rPr>
        <w:t> </w:t>
      </w:r>
      <w:r>
        <w:rPr>
          <w:rFonts w:ascii="Calibri" w:hAnsi="Calibri"/>
          <w:sz w:val="20"/>
        </w:rPr>
        <w:t>acreditado</w:t>
      </w:r>
      <w:r>
        <w:rPr>
          <w:rFonts w:ascii="Calibri" w:hAnsi="Calibri"/>
          <w:spacing w:val="-5"/>
          <w:sz w:val="20"/>
        </w:rPr>
        <w:t> </w:t>
      </w:r>
      <w:r>
        <w:rPr>
          <w:rFonts w:ascii="Calibri" w:hAnsi="Calibri"/>
          <w:sz w:val="20"/>
        </w:rPr>
        <w:t>que tanto el Ayuntamiento de Málaga como su entidad dependiente EMTSAM cumplen plenamente con las obligaciones de transparencia, manteniendo publicada la información económica y de auditoría de forma continuada y accesible. En consecuencia, </w:t>
      </w:r>
      <w:r>
        <w:rPr>
          <w:rFonts w:ascii="Calibri" w:hAnsi="Calibri"/>
          <w:sz w:val="20"/>
          <w:u w:val="single"/>
        </w:rPr>
        <w:t>se solicita la</w:t>
      </w:r>
      <w:r>
        <w:rPr>
          <w:rFonts w:ascii="Calibri" w:hAnsi="Calibri"/>
          <w:sz w:val="20"/>
          <w:u w:val="none"/>
        </w:rPr>
        <w:t> </w:t>
      </w:r>
      <w:r>
        <w:rPr>
          <w:rFonts w:ascii="Calibri" w:hAnsi="Calibri"/>
          <w:sz w:val="20"/>
          <w:u w:val="single"/>
        </w:rPr>
        <w:t>supresión de dicha observación del texto definitivo del informe</w:t>
      </w:r>
      <w:r>
        <w:rPr>
          <w:rFonts w:ascii="Calibri" w:hAnsi="Calibri"/>
          <w:sz w:val="20"/>
          <w:u w:val="none"/>
        </w:rPr>
        <w: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44"/>
        <w:rPr>
          <w:rFonts w:ascii="Calibri"/>
          <w:sz w:val="20"/>
        </w:rPr>
      </w:pPr>
    </w:p>
    <w:p>
      <w:pPr>
        <w:pStyle w:val="ListParagraph"/>
        <w:numPr>
          <w:ilvl w:val="3"/>
          <w:numId w:val="17"/>
        </w:numPr>
        <w:tabs>
          <w:tab w:pos="2968" w:val="left" w:leader="none"/>
        </w:tabs>
        <w:spacing w:line="256" w:lineRule="auto" w:before="1" w:after="0"/>
        <w:ind w:left="2251" w:right="2027" w:firstLine="0"/>
        <w:jc w:val="left"/>
        <w:rPr>
          <w:rFonts w:ascii="Calibri" w:hAnsi="Calibri"/>
          <w:sz w:val="20"/>
        </w:rPr>
      </w:pPr>
      <w:r>
        <w:rPr>
          <w:rFonts w:ascii="Calibri" w:hAnsi="Calibri"/>
          <w:sz w:val="20"/>
        </w:rPr>
        <w:t>PUBLICIDAD</w:t>
      </w:r>
      <w:r>
        <w:rPr>
          <w:rFonts w:ascii="Calibri" w:hAnsi="Calibri"/>
          <w:spacing w:val="40"/>
          <w:sz w:val="20"/>
        </w:rPr>
        <w:t> </w:t>
      </w:r>
      <w:r>
        <w:rPr>
          <w:rFonts w:ascii="Calibri" w:hAnsi="Calibri"/>
          <w:sz w:val="20"/>
        </w:rPr>
        <w:t>ACTIVA</w:t>
      </w:r>
      <w:r>
        <w:rPr>
          <w:rFonts w:ascii="Calibri" w:hAnsi="Calibri"/>
          <w:spacing w:val="40"/>
          <w:sz w:val="20"/>
        </w:rPr>
        <w:t> </w:t>
      </w:r>
      <w:r>
        <w:rPr>
          <w:rFonts w:ascii="Calibri" w:hAnsi="Calibri"/>
          <w:sz w:val="20"/>
        </w:rPr>
        <w:t>DE</w:t>
      </w:r>
      <w:r>
        <w:rPr>
          <w:rFonts w:ascii="Calibri" w:hAnsi="Calibri"/>
          <w:spacing w:val="40"/>
          <w:sz w:val="20"/>
        </w:rPr>
        <w:t> </w:t>
      </w:r>
      <w:r>
        <w:rPr>
          <w:rFonts w:ascii="Calibri" w:hAnsi="Calibri"/>
          <w:sz w:val="20"/>
        </w:rPr>
        <w:t>LA</w:t>
      </w:r>
      <w:r>
        <w:rPr>
          <w:rFonts w:ascii="Calibri" w:hAnsi="Calibri"/>
          <w:spacing w:val="40"/>
          <w:sz w:val="20"/>
        </w:rPr>
        <w:t> </w:t>
      </w:r>
      <w:r>
        <w:rPr>
          <w:rFonts w:ascii="Calibri" w:hAnsi="Calibri"/>
          <w:sz w:val="20"/>
        </w:rPr>
        <w:t>INFORMACIÓN</w:t>
      </w:r>
      <w:r>
        <w:rPr>
          <w:rFonts w:ascii="Calibri" w:hAnsi="Calibri"/>
          <w:spacing w:val="40"/>
          <w:sz w:val="20"/>
        </w:rPr>
        <w:t> </w:t>
      </w:r>
      <w:r>
        <w:rPr>
          <w:rFonts w:ascii="Calibri" w:hAnsi="Calibri"/>
          <w:sz w:val="20"/>
        </w:rPr>
        <w:t>DE</w:t>
      </w:r>
      <w:r>
        <w:rPr>
          <w:rFonts w:ascii="Calibri" w:hAnsi="Calibri"/>
          <w:spacing w:val="40"/>
          <w:sz w:val="20"/>
        </w:rPr>
        <w:t> </w:t>
      </w:r>
      <w:r>
        <w:rPr>
          <w:rFonts w:ascii="Calibri" w:hAnsi="Calibri"/>
          <w:sz w:val="20"/>
        </w:rPr>
        <w:t>RELEVANCIA</w:t>
      </w:r>
      <w:r>
        <w:rPr>
          <w:rFonts w:ascii="Calibri" w:hAnsi="Calibri"/>
          <w:spacing w:val="40"/>
          <w:sz w:val="20"/>
        </w:rPr>
        <w:t> </w:t>
      </w:r>
      <w:r>
        <w:rPr>
          <w:rFonts w:ascii="Calibri" w:hAnsi="Calibri"/>
          <w:sz w:val="20"/>
        </w:rPr>
        <w:t>JURÍDICA</w:t>
      </w:r>
      <w:r>
        <w:rPr>
          <w:rFonts w:ascii="Calibri" w:hAnsi="Calibri"/>
          <w:spacing w:val="40"/>
          <w:sz w:val="20"/>
        </w:rPr>
        <w:t> </w:t>
      </w:r>
      <w:r>
        <w:rPr>
          <w:rFonts w:ascii="Calibri" w:hAnsi="Calibri"/>
          <w:sz w:val="20"/>
        </w:rPr>
        <w:t>Y</w:t>
      </w:r>
      <w:r>
        <w:rPr>
          <w:rFonts w:ascii="Calibri" w:hAnsi="Calibri"/>
          <w:spacing w:val="40"/>
          <w:sz w:val="20"/>
        </w:rPr>
        <w:t> </w:t>
      </w:r>
      <w:r>
        <w:rPr>
          <w:rFonts w:ascii="Calibri" w:hAnsi="Calibri"/>
          <w:sz w:val="20"/>
        </w:rPr>
        <w:t>DEL REGISTRO DE ACTIVIDADES DE TRATAMIENTO DE DATOS</w:t>
      </w:r>
    </w:p>
    <w:p>
      <w:pPr>
        <w:pStyle w:val="ListParagraph"/>
        <w:numPr>
          <w:ilvl w:val="0"/>
          <w:numId w:val="16"/>
        </w:numPr>
        <w:tabs>
          <w:tab w:pos="2251" w:val="left" w:leader="none"/>
        </w:tabs>
        <w:spacing w:line="256" w:lineRule="auto" w:before="144" w:after="0"/>
        <w:ind w:left="2251" w:right="2022" w:hanging="327"/>
        <w:jc w:val="both"/>
        <w:rPr>
          <w:rFonts w:ascii="Calibri" w:hAnsi="Calibri"/>
          <w:i/>
          <w:sz w:val="20"/>
        </w:rPr>
      </w:pPr>
      <w:r>
        <w:rPr>
          <w:rFonts w:ascii="Calibri" w:hAnsi="Calibri"/>
          <w:i/>
          <w:color w:val="4472C4"/>
          <w:sz w:val="20"/>
        </w:rPr>
        <w:t>En la pág 95 se afirma lo siguiente: </w:t>
      </w:r>
      <w:r>
        <w:rPr>
          <w:rFonts w:ascii="Calibri" w:hAnsi="Calibri"/>
          <w:i/>
          <w:color w:val="4472C4"/>
          <w:sz w:val="20"/>
          <w:u w:val="single" w:color="4472C4"/>
        </w:rPr>
        <w:t>“En relación con la información de relevancia jurídica,</w:t>
      </w:r>
      <w:r>
        <w:rPr>
          <w:rFonts w:ascii="Calibri" w:hAnsi="Calibri"/>
          <w:i/>
          <w:color w:val="4472C4"/>
          <w:sz w:val="20"/>
          <w:u w:val="none"/>
        </w:rPr>
        <w:t> </w:t>
      </w:r>
      <w:r>
        <w:rPr>
          <w:rFonts w:ascii="Calibri" w:hAnsi="Calibri"/>
          <w:i/>
          <w:color w:val="4472C4"/>
          <w:sz w:val="20"/>
          <w:u w:val="single" w:color="4472C4"/>
        </w:rPr>
        <w:t>solo los Ayuntamientos de Sevilla y Zaragoza publican las directrices, instrucciones,</w:t>
      </w:r>
      <w:r>
        <w:rPr>
          <w:rFonts w:ascii="Calibri" w:hAnsi="Calibri"/>
          <w:i/>
          <w:color w:val="4472C4"/>
          <w:sz w:val="20"/>
          <w:u w:val="none"/>
        </w:rPr>
        <w:t> </w:t>
      </w:r>
      <w:r>
        <w:rPr>
          <w:rFonts w:ascii="Calibri" w:hAnsi="Calibri"/>
          <w:i/>
          <w:color w:val="4472C4"/>
          <w:sz w:val="20"/>
          <w:u w:val="single" w:color="4472C4"/>
        </w:rPr>
        <w:t>acuerdos, circulares o respuestas a consultas planteadas por los particulares u otros</w:t>
      </w:r>
      <w:r>
        <w:rPr>
          <w:rFonts w:ascii="Calibri" w:hAnsi="Calibri"/>
          <w:i/>
          <w:color w:val="4472C4"/>
          <w:sz w:val="20"/>
          <w:u w:val="none"/>
        </w:rPr>
        <w:t> </w:t>
      </w:r>
      <w:r>
        <w:rPr>
          <w:rFonts w:ascii="Calibri" w:hAnsi="Calibri"/>
          <w:i/>
          <w:color w:val="4472C4"/>
          <w:sz w:val="20"/>
          <w:u w:val="single" w:color="4472C4"/>
        </w:rPr>
        <w:t>órganos en la medida en que supongan una interpretación del derecho o tengan efectos</w:t>
      </w:r>
      <w:r>
        <w:rPr>
          <w:rFonts w:ascii="Calibri" w:hAnsi="Calibri"/>
          <w:i/>
          <w:color w:val="4472C4"/>
          <w:sz w:val="20"/>
          <w:u w:val="none"/>
        </w:rPr>
        <w:t> </w:t>
      </w:r>
      <w:r>
        <w:rPr>
          <w:rFonts w:ascii="Calibri" w:hAnsi="Calibri"/>
          <w:i/>
          <w:color w:val="4472C4"/>
          <w:spacing w:val="-2"/>
          <w:sz w:val="20"/>
          <w:u w:val="single" w:color="4472C4"/>
        </w:rPr>
        <w:t>jurídicos.”</w:t>
      </w:r>
    </w:p>
    <w:p>
      <w:pPr>
        <w:pStyle w:val="BodyText"/>
        <w:spacing w:before="160"/>
        <w:rPr>
          <w:rFonts w:ascii="Calibri"/>
          <w: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582" name="Group 1582"/>
                <wp:cNvGraphicFramePr>
                  <a:graphicFrameLocks/>
                </wp:cNvGraphicFramePr>
                <a:graphic>
                  <a:graphicData uri="http://schemas.microsoft.com/office/word/2010/wordprocessingGroup">
                    <wpg:wgp>
                      <wpg:cNvPr id="1582" name="Group 1582"/>
                      <wpg:cNvGrpSpPr/>
                      <wpg:grpSpPr>
                        <a:xfrm>
                          <a:off x="0" y="0"/>
                          <a:ext cx="1870075" cy="6350"/>
                          <a:chExt cx="1870075" cy="6350"/>
                        </a:xfrm>
                      </wpg:grpSpPr>
                      <wps:wsp>
                        <wps:cNvPr id="1583" name="Graphic 1583"/>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176" coordorigin="0,0" coordsize="2945,10">
                <v:rect style="position:absolute;left:0;top:0;width:2945;height:10" id="docshape1177"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584" name="Group 1584"/>
                <wp:cNvGraphicFramePr>
                  <a:graphicFrameLocks/>
                </wp:cNvGraphicFramePr>
                <a:graphic>
                  <a:graphicData uri="http://schemas.microsoft.com/office/word/2010/wordprocessingGroup">
                    <wpg:wgp>
                      <wpg:cNvPr id="1584" name="Group 1584"/>
                      <wpg:cNvGrpSpPr/>
                      <wpg:grpSpPr>
                        <a:xfrm>
                          <a:off x="0" y="0"/>
                          <a:ext cx="841375" cy="6350"/>
                          <a:chExt cx="841375" cy="6350"/>
                        </a:xfrm>
                      </wpg:grpSpPr>
                      <wps:wsp>
                        <wps:cNvPr id="1585" name="Graphic 1585"/>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178" coordorigin="0,0" coordsize="1325,10">
                <v:rect style="position:absolute;left:0;top:0;width:1325;height:10" id="docshape1179"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footerReference w:type="even" r:id="rId280"/>
          <w:pgSz w:w="11910" w:h="16840"/>
          <w:pgMar w:header="0"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17664">
                <wp:simplePos x="0" y="0"/>
                <wp:positionH relativeFrom="page">
                  <wp:posOffset>4332186</wp:posOffset>
                </wp:positionH>
                <wp:positionV relativeFrom="paragraph">
                  <wp:posOffset>1412477</wp:posOffset>
                </wp:positionV>
                <wp:extent cx="53340" cy="100330"/>
                <wp:effectExtent l="0" t="0" r="0" b="0"/>
                <wp:wrapNone/>
                <wp:docPr id="1586" name="Textbox 1586"/>
                <wp:cNvGraphicFramePr>
                  <a:graphicFrameLocks/>
                </wp:cNvGraphicFramePr>
                <a:graphic>
                  <a:graphicData uri="http://schemas.microsoft.com/office/word/2010/wordprocessingShape">
                    <wps:wsp>
                      <wps:cNvPr id="1586" name="Textbox 1586"/>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98816" type="#_x0000_t202" id="docshape1180"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0"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40"/>
        <w:gridCol w:w="2211"/>
        <w:gridCol w:w="817"/>
        <w:gridCol w:w="541"/>
        <w:gridCol w:w="1022"/>
        <w:gridCol w:w="817"/>
        <w:gridCol w:w="1247"/>
        <w:gridCol w:w="1164"/>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40" w:type="dxa"/>
            <w:tcBorders>
              <w:left w:val="single" w:sz="6" w:space="0" w:color="000000"/>
              <w:bottom w:val="single" w:sz="6" w:space="0" w:color="000000"/>
              <w:right w:val="nil"/>
            </w:tcBorders>
          </w:tcPr>
          <w:p>
            <w:pPr>
              <w:pStyle w:val="TableParagraph"/>
              <w:rPr>
                <w:rFonts w:ascii="Times New Roman"/>
                <w:sz w:val="14"/>
              </w:rPr>
            </w:pPr>
          </w:p>
        </w:tc>
        <w:tc>
          <w:tcPr>
            <w:tcW w:w="2211"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58"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587" name="Image 1587"/>
                  <wp:cNvGraphicFramePr>
                    <a:graphicFrameLocks/>
                  </wp:cNvGraphicFramePr>
                  <a:graphic>
                    <a:graphicData uri="http://schemas.openxmlformats.org/drawingml/2006/picture">
                      <pic:pic>
                        <pic:nvPicPr>
                          <pic:cNvPr id="1587" name="Image 1587"/>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588" name="Image 1588"/>
                  <wp:cNvGraphicFramePr>
                    <a:graphicFrameLocks/>
                  </wp:cNvGraphicFramePr>
                  <a:graphic>
                    <a:graphicData uri="http://schemas.openxmlformats.org/drawingml/2006/picture">
                      <pic:pic>
                        <pic:nvPicPr>
                          <pic:cNvPr id="1588" name="Image 1588"/>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64" w:type="dxa"/>
            <w:vMerge w:val="restart"/>
            <w:tcBorders>
              <w:top w:val="nil"/>
              <w:bottom w:val="single" w:sz="6" w:space="0" w:color="000000"/>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18176">
                      <wp:simplePos x="0" y="0"/>
                      <wp:positionH relativeFrom="column">
                        <wp:posOffset>-1298447</wp:posOffset>
                      </wp:positionH>
                      <wp:positionV relativeFrom="paragraph">
                        <wp:posOffset>-144895</wp:posOffset>
                      </wp:positionV>
                      <wp:extent cx="1298575" cy="417830"/>
                      <wp:effectExtent l="0" t="0" r="0" b="0"/>
                      <wp:wrapNone/>
                      <wp:docPr id="1589" name="Group 1589"/>
                      <wp:cNvGraphicFramePr>
                        <a:graphicFrameLocks/>
                      </wp:cNvGraphicFramePr>
                      <a:graphic>
                        <a:graphicData uri="http://schemas.microsoft.com/office/word/2010/wordprocessingGroup">
                          <wpg:wgp>
                            <wpg:cNvPr id="1589" name="Group 1589"/>
                            <wpg:cNvGrpSpPr/>
                            <wpg:grpSpPr>
                              <a:xfrm>
                                <a:off x="0" y="0"/>
                                <a:ext cx="1298575" cy="417830"/>
                                <a:chExt cx="1298575" cy="417830"/>
                              </a:xfrm>
                            </wpg:grpSpPr>
                            <wps:wsp>
                              <wps:cNvPr id="1590" name="Graphic 1590"/>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591" name="Image 1591"/>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898304" id="docshapegroup1181" coordorigin="-2045,-228" coordsize="2045,658">
                      <v:shape style="position:absolute;left:-2045;top:-229;width:2045;height:658" id="docshape1182" coordorigin="-2045,-228" coordsize="2045,658" path="m0,-228l-2045,-228,-2045,-10,-2045,-7,-2045,429,0,429,0,-7,0,-10,0,-228xe" filled="true" fillcolor="#cccccc" stroked="false">
                        <v:path arrowok="t"/>
                        <v:fill type="solid"/>
                      </v:shape>
                      <v:shape style="position:absolute;left:-1973;top:-154;width:1896;height:327" type="#_x0000_t75" id="docshape1183"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64" w:type="dxa"/>
            <w:vMerge/>
            <w:tcBorders>
              <w:top w:val="nil"/>
              <w:bottom w:val="single" w:sz="6" w:space="0" w:color="000000"/>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592" name="Image 1592"/>
                  <wp:cNvGraphicFramePr>
                    <a:graphicFrameLocks/>
                  </wp:cNvGraphicFramePr>
                  <a:graphic>
                    <a:graphicData uri="http://schemas.openxmlformats.org/drawingml/2006/picture">
                      <pic:pic>
                        <pic:nvPicPr>
                          <pic:cNvPr id="1592" name="Image 1592"/>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593" name="Image 1593"/>
                  <wp:cNvGraphicFramePr>
                    <a:graphicFrameLocks/>
                  </wp:cNvGraphicFramePr>
                  <a:graphic>
                    <a:graphicData uri="http://schemas.openxmlformats.org/drawingml/2006/picture">
                      <pic:pic>
                        <pic:nvPicPr>
                          <pic:cNvPr id="1593" name="Image 1593"/>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6"/>
              <w:jc w:val="center"/>
              <w:rPr>
                <w:rFonts w:ascii="Arial"/>
                <w:sz w:val="14"/>
              </w:rPr>
            </w:pPr>
            <w:r>
              <w:rPr>
                <w:rFonts w:ascii="Arial"/>
                <w:sz w:val="14"/>
              </w:rPr>
              <mc:AlternateContent>
                <mc:Choice Requires="wps">
                  <w:drawing>
                    <wp:anchor distT="0" distB="0" distL="0" distR="0" allowOverlap="1" layoutInCell="1" locked="0" behindDoc="1" simplePos="0" relativeHeight="474418688">
                      <wp:simplePos x="0" y="0"/>
                      <wp:positionH relativeFrom="column">
                        <wp:posOffset>1320546</wp:posOffset>
                      </wp:positionH>
                      <wp:positionV relativeFrom="paragraph">
                        <wp:posOffset>-311719</wp:posOffset>
                      </wp:positionV>
                      <wp:extent cx="740410" cy="749300"/>
                      <wp:effectExtent l="0" t="0" r="0" b="0"/>
                      <wp:wrapNone/>
                      <wp:docPr id="1594" name="Group 1594"/>
                      <wp:cNvGraphicFramePr>
                        <a:graphicFrameLocks/>
                      </wp:cNvGraphicFramePr>
                      <a:graphic>
                        <a:graphicData uri="http://schemas.microsoft.com/office/word/2010/wordprocessingGroup">
                          <wpg:wgp>
                            <wpg:cNvPr id="1594" name="Group 1594"/>
                            <wpg:cNvGrpSpPr/>
                            <wpg:grpSpPr>
                              <a:xfrm>
                                <a:off x="0" y="0"/>
                                <a:ext cx="740410" cy="749300"/>
                                <a:chExt cx="740410" cy="749300"/>
                              </a:xfrm>
                            </wpg:grpSpPr>
                            <pic:pic>
                              <pic:nvPicPr>
                                <pic:cNvPr id="1595" name="Image 1595"/>
                                <pic:cNvPicPr/>
                              </pic:nvPicPr>
                              <pic:blipFill>
                                <a:blip r:embed="rId281" cstate="print"/>
                                <a:stretch>
                                  <a:fillRect/>
                                </a:stretch>
                              </pic:blipFill>
                              <pic:spPr>
                                <a:xfrm>
                                  <a:off x="0" y="0"/>
                                  <a:ext cx="730757" cy="749030"/>
                                </a:xfrm>
                                <a:prstGeom prst="rect">
                                  <a:avLst/>
                                </a:prstGeom>
                              </pic:spPr>
                            </pic:pic>
                            <wps:wsp>
                              <wps:cNvPr id="1596" name="Graphic 1596"/>
                              <wps:cNvSpPr/>
                              <wps:spPr>
                                <a:xfrm>
                                  <a:off x="35534" y="55153"/>
                                  <a:ext cx="704850" cy="669925"/>
                                </a:xfrm>
                                <a:custGeom>
                                  <a:avLst/>
                                  <a:gdLst/>
                                  <a:ahLst/>
                                  <a:cxnLst/>
                                  <a:rect l="l" t="t" r="r" b="b"/>
                                  <a:pathLst>
                                    <a:path w="704850" h="669925">
                                      <a:moveTo>
                                        <a:pt x="704532" y="0"/>
                                      </a:moveTo>
                                      <a:lnTo>
                                        <a:pt x="0" y="0"/>
                                      </a:lnTo>
                                      <a:lnTo>
                                        <a:pt x="0" y="669505"/>
                                      </a:lnTo>
                                      <a:lnTo>
                                        <a:pt x="704532" y="669505"/>
                                      </a:lnTo>
                                      <a:lnTo>
                                        <a:pt x="70453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8.3pt;height:59pt;mso-position-horizontal-relative:column;mso-position-vertical-relative:paragraph;z-index:-28897792" id="docshapegroup1184" coordorigin="2080,-491" coordsize="1166,1180">
                      <v:shape style="position:absolute;left:2079;top:-491;width:1151;height:1180" type="#_x0000_t75" id="docshape1185" stroked="false">
                        <v:imagedata r:id="rId281" o:title=""/>
                      </v:shape>
                      <v:rect style="position:absolute;left:2135;top:-405;width:1110;height:1055" id="docshape1186" filled="true" fillcolor="#000000" stroked="false">
                        <v:fill type="solid"/>
                      </v:rect>
                      <w10:wrap type="none"/>
                    </v:group>
                  </w:pict>
                </mc:Fallback>
              </mc:AlternateContent>
            </w:r>
            <w:r>
              <w:rPr>
                <w:rFonts w:ascii="Arial"/>
                <w:spacing w:val="-2"/>
                <w:sz w:val="14"/>
              </w:rPr>
              <w:t>26/40</w:t>
            </w:r>
          </w:p>
        </w:tc>
        <w:tc>
          <w:tcPr>
            <w:tcW w:w="1164" w:type="dxa"/>
            <w:vMerge/>
            <w:tcBorders>
              <w:top w:val="nil"/>
              <w:bottom w:val="single" w:sz="6" w:space="0" w:color="000000"/>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597" name="Image 1597"/>
                  <wp:cNvGraphicFramePr>
                    <a:graphicFrameLocks/>
                  </wp:cNvGraphicFramePr>
                  <a:graphic>
                    <a:graphicData uri="http://schemas.openxmlformats.org/drawingml/2006/picture">
                      <pic:pic>
                        <pic:nvPicPr>
                          <pic:cNvPr id="1597" name="Image 1597"/>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164" w:type="dxa"/>
            <w:vMerge/>
            <w:tcBorders>
              <w:top w:val="nil"/>
              <w:bottom w:val="single" w:sz="6" w:space="0" w:color="000000"/>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598" name="Image 1598"/>
                  <wp:cNvGraphicFramePr>
                    <a:graphicFrameLocks/>
                  </wp:cNvGraphicFramePr>
                  <a:graphic>
                    <a:graphicData uri="http://schemas.openxmlformats.org/drawingml/2006/picture">
                      <pic:pic>
                        <pic:nvPicPr>
                          <pic:cNvPr id="1598" name="Image 1598"/>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64" w:type="dxa"/>
            <w:vMerge/>
            <w:tcBorders>
              <w:top w:val="nil"/>
              <w:bottom w:val="single" w:sz="6" w:space="0" w:color="000000"/>
              <w:right w:val="nil"/>
            </w:tcBorders>
          </w:tcPr>
          <w:p>
            <w:pPr>
              <w:rPr>
                <w:sz w:val="2"/>
                <w:szCs w:val="2"/>
              </w:rPr>
            </w:pPr>
          </w:p>
        </w:tc>
      </w:tr>
    </w:tbl>
    <w:p>
      <w:pPr>
        <w:spacing w:after="0"/>
        <w:rPr>
          <w:sz w:val="2"/>
          <w:szCs w:val="2"/>
        </w:rPr>
        <w:sectPr>
          <w:type w:val="continuous"/>
          <w:pgSz w:w="11910" w:h="16840"/>
          <w:pgMar w:header="0" w:footer="0" w:top="1680" w:bottom="280" w:left="141" w:right="141"/>
        </w:sectPr>
      </w:pPr>
    </w:p>
    <w:p>
      <w:pPr>
        <w:pStyle w:val="BodyText"/>
        <w:rPr>
          <w:sz w:val="20"/>
        </w:rPr>
      </w:pPr>
    </w:p>
    <w:p>
      <w:pPr>
        <w:pStyle w:val="BodyText"/>
        <w:spacing w:before="52"/>
        <w:rPr>
          <w:sz w:val="20"/>
        </w:rPr>
      </w:pPr>
    </w:p>
    <w:p>
      <w:pPr>
        <w:spacing w:line="256" w:lineRule="auto" w:before="0"/>
        <w:ind w:left="2251" w:right="2020" w:firstLine="0"/>
        <w:jc w:val="both"/>
        <w:rPr>
          <w:rFonts w:ascii="Calibri" w:hAnsi="Calibri"/>
          <w:sz w:val="20"/>
        </w:rPr>
      </w:pPr>
      <w:r>
        <w:rPr>
          <w:rFonts w:ascii="Calibri" w:hAnsi="Calibri"/>
          <w:sz w:val="20"/>
        </w:rPr>
        <w:t>En</w:t>
      </w:r>
      <w:r>
        <w:rPr>
          <w:rFonts w:ascii="Calibri" w:hAnsi="Calibri"/>
          <w:spacing w:val="-8"/>
          <w:sz w:val="20"/>
        </w:rPr>
        <w:t> </w:t>
      </w:r>
      <w:r>
        <w:rPr>
          <w:rFonts w:ascii="Calibri" w:hAnsi="Calibri"/>
          <w:sz w:val="20"/>
        </w:rPr>
        <w:t>lo</w:t>
      </w:r>
      <w:r>
        <w:rPr>
          <w:rFonts w:ascii="Calibri" w:hAnsi="Calibri"/>
          <w:spacing w:val="-6"/>
          <w:sz w:val="20"/>
        </w:rPr>
        <w:t> </w:t>
      </w:r>
      <w:r>
        <w:rPr>
          <w:rFonts w:ascii="Calibri" w:hAnsi="Calibri"/>
          <w:sz w:val="20"/>
        </w:rPr>
        <w:t>que</w:t>
      </w:r>
      <w:r>
        <w:rPr>
          <w:rFonts w:ascii="Calibri" w:hAnsi="Calibri"/>
          <w:spacing w:val="-7"/>
          <w:sz w:val="20"/>
        </w:rPr>
        <w:t> </w:t>
      </w:r>
      <w:r>
        <w:rPr>
          <w:rFonts w:ascii="Calibri" w:hAnsi="Calibri"/>
          <w:sz w:val="20"/>
        </w:rPr>
        <w:t>respecta</w:t>
      </w:r>
      <w:r>
        <w:rPr>
          <w:rFonts w:ascii="Calibri" w:hAnsi="Calibri"/>
          <w:spacing w:val="-11"/>
          <w:sz w:val="20"/>
        </w:rPr>
        <w:t> </w:t>
      </w:r>
      <w:r>
        <w:rPr>
          <w:rFonts w:ascii="Calibri" w:hAnsi="Calibri"/>
          <w:sz w:val="20"/>
        </w:rPr>
        <w:t>al</w:t>
      </w:r>
      <w:r>
        <w:rPr>
          <w:rFonts w:ascii="Calibri" w:hAnsi="Calibri"/>
          <w:spacing w:val="-8"/>
          <w:sz w:val="20"/>
        </w:rPr>
        <w:t> </w:t>
      </w:r>
      <w:r>
        <w:rPr>
          <w:rFonts w:ascii="Calibri" w:hAnsi="Calibri"/>
          <w:sz w:val="20"/>
        </w:rPr>
        <w:t>Ayuntamiento</w:t>
      </w:r>
      <w:r>
        <w:rPr>
          <w:rFonts w:ascii="Calibri" w:hAnsi="Calibri"/>
          <w:spacing w:val="-6"/>
          <w:sz w:val="20"/>
        </w:rPr>
        <w:t> </w:t>
      </w:r>
      <w:r>
        <w:rPr>
          <w:rFonts w:ascii="Calibri" w:hAnsi="Calibri"/>
          <w:sz w:val="20"/>
        </w:rPr>
        <w:t>de</w:t>
      </w:r>
      <w:r>
        <w:rPr>
          <w:rFonts w:ascii="Calibri" w:hAnsi="Calibri"/>
          <w:spacing w:val="-7"/>
          <w:sz w:val="20"/>
        </w:rPr>
        <w:t> </w:t>
      </w:r>
      <w:r>
        <w:rPr>
          <w:rFonts w:ascii="Calibri" w:hAnsi="Calibri"/>
          <w:sz w:val="20"/>
        </w:rPr>
        <w:t>Málaga,</w:t>
      </w:r>
      <w:r>
        <w:rPr>
          <w:rFonts w:ascii="Calibri" w:hAnsi="Calibri"/>
          <w:spacing w:val="-8"/>
          <w:sz w:val="20"/>
        </w:rPr>
        <w:t> </w:t>
      </w:r>
      <w:r>
        <w:rPr>
          <w:rFonts w:ascii="Calibri" w:hAnsi="Calibri"/>
          <w:sz w:val="20"/>
        </w:rPr>
        <w:t>bajo</w:t>
      </w:r>
      <w:r>
        <w:rPr>
          <w:rFonts w:ascii="Calibri" w:hAnsi="Calibri"/>
          <w:spacing w:val="-8"/>
          <w:sz w:val="20"/>
        </w:rPr>
        <w:t> </w:t>
      </w:r>
      <w:r>
        <w:rPr>
          <w:rFonts w:ascii="Calibri" w:hAnsi="Calibri"/>
          <w:sz w:val="20"/>
        </w:rPr>
        <w:t>el</w:t>
      </w:r>
      <w:r>
        <w:rPr>
          <w:rFonts w:ascii="Calibri" w:hAnsi="Calibri"/>
          <w:spacing w:val="-9"/>
          <w:sz w:val="20"/>
        </w:rPr>
        <w:t> </w:t>
      </w:r>
      <w:r>
        <w:rPr>
          <w:rFonts w:ascii="Calibri" w:hAnsi="Calibri"/>
          <w:sz w:val="20"/>
        </w:rPr>
        <w:t>apartado</w:t>
      </w:r>
      <w:r>
        <w:rPr>
          <w:rFonts w:ascii="Calibri" w:hAnsi="Calibri"/>
          <w:spacing w:val="-8"/>
          <w:sz w:val="20"/>
        </w:rPr>
        <w:t> </w:t>
      </w:r>
      <w:r>
        <w:rPr>
          <w:rFonts w:ascii="Calibri" w:hAnsi="Calibri"/>
          <w:sz w:val="20"/>
        </w:rPr>
        <w:t>Información</w:t>
      </w:r>
      <w:r>
        <w:rPr>
          <w:rFonts w:ascii="Calibri" w:hAnsi="Calibri"/>
          <w:spacing w:val="-6"/>
          <w:sz w:val="20"/>
        </w:rPr>
        <w:t> </w:t>
      </w:r>
      <w:r>
        <w:rPr>
          <w:rFonts w:ascii="Calibri" w:hAnsi="Calibri"/>
          <w:sz w:val="20"/>
        </w:rPr>
        <w:t>de</w:t>
      </w:r>
      <w:r>
        <w:rPr>
          <w:rFonts w:ascii="Calibri" w:hAnsi="Calibri"/>
          <w:spacing w:val="-9"/>
          <w:sz w:val="20"/>
        </w:rPr>
        <w:t> </w:t>
      </w:r>
      <w:r>
        <w:rPr>
          <w:rFonts w:ascii="Calibri" w:hAnsi="Calibri"/>
          <w:sz w:val="20"/>
        </w:rPr>
        <w:t>Relevancia Jurídica: enlace:</w:t>
      </w:r>
      <w:r>
        <w:rPr>
          <w:rFonts w:ascii="Calibri" w:hAnsi="Calibri"/>
          <w:spacing w:val="40"/>
          <w:sz w:val="20"/>
        </w:rPr>
        <w:t> </w:t>
      </w:r>
      <w:r>
        <w:rPr>
          <w:rFonts w:ascii="Calibri" w:hAnsi="Calibri"/>
          <w:sz w:val="20"/>
        </w:rPr>
        <w:t>Información de relevancia jurídica, se está trabajando para completar la información sobre directrices, instrucciones, acuerdos, circulares o respuestas a consultas planteadas por los particulares u otros órganos, con arreglo a la ley de transparencia, pudiendo ya</w:t>
      </w:r>
      <w:r>
        <w:rPr>
          <w:rFonts w:ascii="Calibri" w:hAnsi="Calibri"/>
          <w:spacing w:val="-3"/>
          <w:sz w:val="20"/>
        </w:rPr>
        <w:t> </w:t>
      </w:r>
      <w:r>
        <w:rPr>
          <w:rFonts w:ascii="Calibri" w:hAnsi="Calibri"/>
          <w:sz w:val="20"/>
        </w:rPr>
        <w:t>ejercerse</w:t>
      </w:r>
      <w:r>
        <w:rPr>
          <w:rFonts w:ascii="Calibri" w:hAnsi="Calibri"/>
          <w:spacing w:val="-3"/>
          <w:sz w:val="20"/>
        </w:rPr>
        <w:t> </w:t>
      </w:r>
      <w:r>
        <w:rPr>
          <w:rFonts w:ascii="Calibri" w:hAnsi="Calibri"/>
          <w:sz w:val="20"/>
        </w:rPr>
        <w:t>el</w:t>
      </w:r>
      <w:r>
        <w:rPr>
          <w:rFonts w:ascii="Calibri" w:hAnsi="Calibri"/>
          <w:spacing w:val="-1"/>
          <w:sz w:val="20"/>
        </w:rPr>
        <w:t> </w:t>
      </w:r>
      <w:r>
        <w:rPr>
          <w:rFonts w:ascii="Calibri" w:hAnsi="Calibri"/>
          <w:sz w:val="20"/>
        </w:rPr>
        <w:t>derecho de acceso a la información pública a través</w:t>
      </w:r>
      <w:r>
        <w:rPr>
          <w:rFonts w:ascii="Calibri" w:hAnsi="Calibri"/>
          <w:spacing w:val="-1"/>
          <w:sz w:val="20"/>
        </w:rPr>
        <w:t> </w:t>
      </w:r>
      <w:r>
        <w:rPr>
          <w:rFonts w:ascii="Calibri" w:hAnsi="Calibri"/>
          <w:sz w:val="20"/>
        </w:rPr>
        <w:t>del siguiente procedimiento : enlace: Sede electrónica del Ayuntamiento de Málaga.</w:t>
      </w:r>
    </w:p>
    <w:p>
      <w:pPr>
        <w:spacing w:line="256" w:lineRule="auto" w:before="148"/>
        <w:ind w:left="2251" w:right="2021" w:firstLine="0"/>
        <w:jc w:val="both"/>
        <w:rPr>
          <w:rFonts w:ascii="Calibri" w:hAnsi="Calibri"/>
          <w:sz w:val="20"/>
        </w:rPr>
      </w:pPr>
      <w:r>
        <w:rPr>
          <w:rFonts w:ascii="Calibri" w:hAnsi="Calibri"/>
          <w:sz w:val="20"/>
        </w:rPr>
        <w:t>Se incluye toda la información</w:t>
      </w:r>
      <w:r>
        <w:rPr>
          <w:rFonts w:ascii="Calibri" w:hAnsi="Calibri"/>
          <w:spacing w:val="-2"/>
          <w:sz w:val="20"/>
        </w:rPr>
        <w:t> </w:t>
      </w:r>
      <w:r>
        <w:rPr>
          <w:rFonts w:ascii="Calibri" w:hAnsi="Calibri"/>
          <w:sz w:val="20"/>
        </w:rPr>
        <w:t>respecto a proyectos de reglamento</w:t>
      </w:r>
      <w:r>
        <w:rPr>
          <w:rFonts w:ascii="Calibri" w:hAnsi="Calibri"/>
          <w:spacing w:val="-1"/>
          <w:sz w:val="20"/>
        </w:rPr>
        <w:t> </w:t>
      </w:r>
      <w:r>
        <w:rPr>
          <w:rFonts w:ascii="Calibri" w:hAnsi="Calibri"/>
          <w:sz w:val="20"/>
        </w:rPr>
        <w:t>, memorias</w:t>
      </w:r>
      <w:r>
        <w:rPr>
          <w:rFonts w:ascii="Calibri" w:hAnsi="Calibri"/>
          <w:spacing w:val="-1"/>
          <w:sz w:val="20"/>
        </w:rPr>
        <w:t> </w:t>
      </w:r>
      <w:r>
        <w:rPr>
          <w:rFonts w:ascii="Calibri" w:hAnsi="Calibri"/>
          <w:sz w:val="20"/>
        </w:rPr>
        <w:t>e informes que conforman los expedientes de elaboración de los textos normativos, los documentos que conforme a la legislación sectorial vigente deban ser sometidos a un período de información pública durante su tramitación; normas en curso; resoluciones judiciales (ordenadas por año desde el 2018 a la actualidad); resoluciones del Jurado Tributario (desde</w:t>
      </w:r>
      <w:r>
        <w:rPr>
          <w:rFonts w:ascii="Calibri" w:hAnsi="Calibri"/>
          <w:spacing w:val="-3"/>
          <w:sz w:val="20"/>
        </w:rPr>
        <w:t> </w:t>
      </w:r>
      <w:r>
        <w:rPr>
          <w:rFonts w:ascii="Calibri" w:hAnsi="Calibri"/>
          <w:sz w:val="20"/>
        </w:rPr>
        <w:t>el</w:t>
      </w:r>
      <w:r>
        <w:rPr>
          <w:rFonts w:ascii="Calibri" w:hAnsi="Calibri"/>
          <w:spacing w:val="-2"/>
          <w:sz w:val="20"/>
        </w:rPr>
        <w:t> </w:t>
      </w:r>
      <w:r>
        <w:rPr>
          <w:rFonts w:ascii="Calibri" w:hAnsi="Calibri"/>
          <w:sz w:val="20"/>
        </w:rPr>
        <w:t>año</w:t>
      </w:r>
      <w:r>
        <w:rPr>
          <w:rFonts w:ascii="Calibri" w:hAnsi="Calibri"/>
          <w:spacing w:val="-4"/>
          <w:sz w:val="20"/>
        </w:rPr>
        <w:t> </w:t>
      </w:r>
      <w:r>
        <w:rPr>
          <w:rFonts w:ascii="Calibri" w:hAnsi="Calibri"/>
          <w:sz w:val="20"/>
        </w:rPr>
        <w:t>2006</w:t>
      </w:r>
      <w:r>
        <w:rPr>
          <w:rFonts w:ascii="Calibri" w:hAnsi="Calibri"/>
          <w:spacing w:val="-2"/>
          <w:sz w:val="20"/>
        </w:rPr>
        <w:t> </w:t>
      </w:r>
      <w:r>
        <w:rPr>
          <w:rFonts w:ascii="Calibri" w:hAnsi="Calibri"/>
          <w:sz w:val="20"/>
        </w:rPr>
        <w:t>a</w:t>
      </w:r>
      <w:r>
        <w:rPr>
          <w:rFonts w:ascii="Calibri" w:hAnsi="Calibri"/>
          <w:spacing w:val="-4"/>
          <w:sz w:val="20"/>
        </w:rPr>
        <w:t> </w:t>
      </w:r>
      <w:r>
        <w:rPr>
          <w:rFonts w:ascii="Calibri" w:hAnsi="Calibri"/>
          <w:sz w:val="20"/>
        </w:rPr>
        <w:t>la</w:t>
      </w:r>
      <w:r>
        <w:rPr>
          <w:rFonts w:ascii="Calibri" w:hAnsi="Calibri"/>
          <w:spacing w:val="-4"/>
          <w:sz w:val="20"/>
        </w:rPr>
        <w:t> </w:t>
      </w:r>
      <w:r>
        <w:rPr>
          <w:rFonts w:ascii="Calibri" w:hAnsi="Calibri"/>
          <w:sz w:val="20"/>
        </w:rPr>
        <w:t>actualidad); y</w:t>
      </w:r>
      <w:r>
        <w:rPr>
          <w:rFonts w:ascii="Calibri" w:hAnsi="Calibri"/>
          <w:spacing w:val="-5"/>
          <w:sz w:val="20"/>
        </w:rPr>
        <w:t> </w:t>
      </w:r>
      <w:r>
        <w:rPr>
          <w:rFonts w:ascii="Calibri" w:hAnsi="Calibri"/>
          <w:sz w:val="20"/>
        </w:rPr>
        <w:t>resoluciones</w:t>
      </w:r>
      <w:r>
        <w:rPr>
          <w:rFonts w:ascii="Calibri" w:hAnsi="Calibri"/>
          <w:spacing w:val="-5"/>
          <w:sz w:val="20"/>
        </w:rPr>
        <w:t> </w:t>
      </w:r>
      <w:r>
        <w:rPr>
          <w:rFonts w:ascii="Calibri" w:hAnsi="Calibri"/>
          <w:sz w:val="20"/>
        </w:rPr>
        <w:t>del</w:t>
      </w:r>
      <w:r>
        <w:rPr>
          <w:rFonts w:ascii="Calibri" w:hAnsi="Calibri"/>
          <w:spacing w:val="-6"/>
          <w:sz w:val="20"/>
        </w:rPr>
        <w:t> </w:t>
      </w:r>
      <w:r>
        <w:rPr>
          <w:rFonts w:ascii="Calibri" w:hAnsi="Calibri"/>
          <w:sz w:val="20"/>
        </w:rPr>
        <w:t>Tribunal</w:t>
      </w:r>
      <w:r>
        <w:rPr>
          <w:rFonts w:ascii="Calibri" w:hAnsi="Calibri"/>
          <w:spacing w:val="-3"/>
          <w:sz w:val="20"/>
        </w:rPr>
        <w:t> </w:t>
      </w:r>
      <w:r>
        <w:rPr>
          <w:rFonts w:ascii="Calibri" w:hAnsi="Calibri"/>
          <w:sz w:val="20"/>
        </w:rPr>
        <w:t>Administrativo</w:t>
      </w:r>
      <w:r>
        <w:rPr>
          <w:rFonts w:ascii="Calibri" w:hAnsi="Calibri"/>
          <w:spacing w:val="-4"/>
          <w:sz w:val="20"/>
        </w:rPr>
        <w:t> </w:t>
      </w:r>
      <w:r>
        <w:rPr>
          <w:rFonts w:ascii="Calibri" w:hAnsi="Calibri"/>
          <w:sz w:val="20"/>
        </w:rPr>
        <w:t>de</w:t>
      </w:r>
      <w:r>
        <w:rPr>
          <w:rFonts w:ascii="Calibri" w:hAnsi="Calibri"/>
          <w:spacing w:val="-4"/>
          <w:sz w:val="20"/>
        </w:rPr>
        <w:t> </w:t>
      </w:r>
      <w:r>
        <w:rPr>
          <w:rFonts w:ascii="Calibri" w:hAnsi="Calibri"/>
          <w:sz w:val="20"/>
        </w:rPr>
        <w:t>Recursos Contractuales (desde el año 2020 a la actualidad).</w:t>
      </w:r>
    </w:p>
    <w:p>
      <w:pPr>
        <w:spacing w:line="256" w:lineRule="auto" w:before="147"/>
        <w:ind w:left="2251" w:right="2022" w:firstLine="0"/>
        <w:jc w:val="both"/>
        <w:rPr>
          <w:rFonts w:ascii="Calibri" w:hAnsi="Calibri"/>
          <w:sz w:val="20"/>
        </w:rPr>
      </w:pPr>
      <w:r>
        <w:rPr>
          <w:rFonts w:ascii="Calibri" w:hAnsi="Calibri"/>
          <w:sz w:val="20"/>
        </w:rPr>
        <w:t>Por otro lado, el Ayuntamiento de Málaga publica su Registro de Actividades de Tratamiento</w:t>
      </w:r>
      <w:r>
        <w:rPr>
          <w:rFonts w:ascii="Calibri" w:hAnsi="Calibri"/>
          <w:spacing w:val="-9"/>
          <w:sz w:val="20"/>
        </w:rPr>
        <w:t> </w:t>
      </w:r>
      <w:r>
        <w:rPr>
          <w:rFonts w:ascii="Calibri" w:hAnsi="Calibri"/>
          <w:sz w:val="20"/>
        </w:rPr>
        <w:t>de</w:t>
      </w:r>
      <w:r>
        <w:rPr>
          <w:rFonts w:ascii="Calibri" w:hAnsi="Calibri"/>
          <w:spacing w:val="-11"/>
          <w:sz w:val="20"/>
        </w:rPr>
        <w:t> </w:t>
      </w:r>
      <w:r>
        <w:rPr>
          <w:rFonts w:ascii="Calibri" w:hAnsi="Calibri"/>
          <w:sz w:val="20"/>
        </w:rPr>
        <w:t>Datos</w:t>
      </w:r>
      <w:r>
        <w:rPr>
          <w:rFonts w:ascii="Calibri" w:hAnsi="Calibri"/>
          <w:spacing w:val="-8"/>
          <w:sz w:val="20"/>
        </w:rPr>
        <w:t> </w:t>
      </w:r>
      <w:r>
        <w:rPr>
          <w:rFonts w:ascii="Calibri" w:hAnsi="Calibri"/>
          <w:sz w:val="20"/>
        </w:rPr>
        <w:t>(RAT)</w:t>
      </w:r>
      <w:r>
        <w:rPr>
          <w:rFonts w:ascii="Calibri" w:hAnsi="Calibri"/>
          <w:spacing w:val="-10"/>
          <w:sz w:val="20"/>
        </w:rPr>
        <w:t> </w:t>
      </w:r>
      <w:r>
        <w:rPr>
          <w:rFonts w:ascii="Calibri" w:hAnsi="Calibri"/>
          <w:sz w:val="20"/>
        </w:rPr>
        <w:t>en</w:t>
      </w:r>
      <w:r>
        <w:rPr>
          <w:rFonts w:ascii="Calibri" w:hAnsi="Calibri"/>
          <w:spacing w:val="-12"/>
          <w:sz w:val="20"/>
        </w:rPr>
        <w:t> </w:t>
      </w:r>
      <w:r>
        <w:rPr>
          <w:rFonts w:ascii="Calibri" w:hAnsi="Calibri"/>
          <w:sz w:val="20"/>
        </w:rPr>
        <w:t>el</w:t>
      </w:r>
      <w:r>
        <w:rPr>
          <w:rFonts w:ascii="Calibri" w:hAnsi="Calibri"/>
          <w:spacing w:val="-11"/>
          <w:sz w:val="20"/>
        </w:rPr>
        <w:t> </w:t>
      </w:r>
      <w:r>
        <w:rPr>
          <w:rFonts w:ascii="Calibri" w:hAnsi="Calibri"/>
          <w:sz w:val="20"/>
        </w:rPr>
        <w:t>portal</w:t>
      </w:r>
      <w:r>
        <w:rPr>
          <w:rFonts w:ascii="Calibri" w:hAnsi="Calibri"/>
          <w:spacing w:val="-9"/>
          <w:sz w:val="20"/>
        </w:rPr>
        <w:t> </w:t>
      </w:r>
      <w:r>
        <w:rPr>
          <w:rFonts w:ascii="Calibri" w:hAnsi="Calibri"/>
          <w:sz w:val="20"/>
        </w:rPr>
        <w:t>de</w:t>
      </w:r>
      <w:r>
        <w:rPr>
          <w:rFonts w:ascii="Calibri" w:hAnsi="Calibri"/>
          <w:spacing w:val="-10"/>
          <w:sz w:val="20"/>
        </w:rPr>
        <w:t> </w:t>
      </w:r>
      <w:r>
        <w:rPr>
          <w:rFonts w:ascii="Calibri" w:hAnsi="Calibri"/>
          <w:sz w:val="20"/>
        </w:rPr>
        <w:t>transparencia</w:t>
      </w:r>
      <w:r>
        <w:rPr>
          <w:rFonts w:ascii="Calibri" w:hAnsi="Calibri"/>
          <w:spacing w:val="-10"/>
          <w:sz w:val="20"/>
        </w:rPr>
        <w:t> </w:t>
      </w:r>
      <w:r>
        <w:rPr>
          <w:rFonts w:ascii="Calibri" w:hAnsi="Calibri"/>
          <w:sz w:val="20"/>
        </w:rPr>
        <w:t>de</w:t>
      </w:r>
      <w:r>
        <w:rPr>
          <w:rFonts w:ascii="Calibri" w:hAnsi="Calibri"/>
          <w:spacing w:val="-11"/>
          <w:sz w:val="20"/>
        </w:rPr>
        <w:t> </w:t>
      </w:r>
      <w:r>
        <w:rPr>
          <w:rFonts w:ascii="Calibri" w:hAnsi="Calibri"/>
          <w:sz w:val="20"/>
        </w:rPr>
        <w:t>su</w:t>
      </w:r>
      <w:r>
        <w:rPr>
          <w:rFonts w:ascii="Calibri" w:hAnsi="Calibri"/>
          <w:spacing w:val="-8"/>
          <w:sz w:val="20"/>
        </w:rPr>
        <w:t> </w:t>
      </w:r>
      <w:r>
        <w:rPr>
          <w:rFonts w:ascii="Calibri" w:hAnsi="Calibri"/>
          <w:sz w:val="20"/>
        </w:rPr>
        <w:t>sitio</w:t>
      </w:r>
      <w:r>
        <w:rPr>
          <w:rFonts w:ascii="Calibri" w:hAnsi="Calibri"/>
          <w:spacing w:val="-11"/>
          <w:sz w:val="20"/>
        </w:rPr>
        <w:t> </w:t>
      </w:r>
      <w:r>
        <w:rPr>
          <w:rFonts w:ascii="Calibri" w:hAnsi="Calibri"/>
          <w:sz w:val="20"/>
        </w:rPr>
        <w:t>web,</w:t>
      </w:r>
      <w:r>
        <w:rPr>
          <w:rFonts w:ascii="Calibri" w:hAnsi="Calibri"/>
          <w:spacing w:val="-8"/>
          <w:sz w:val="20"/>
        </w:rPr>
        <w:t> </w:t>
      </w:r>
      <w:r>
        <w:rPr>
          <w:rFonts w:ascii="Calibri" w:hAnsi="Calibri"/>
          <w:sz w:val="20"/>
        </w:rPr>
        <w:t>donde</w:t>
      </w:r>
      <w:r>
        <w:rPr>
          <w:rFonts w:ascii="Calibri" w:hAnsi="Calibri"/>
          <w:spacing w:val="-7"/>
          <w:sz w:val="20"/>
        </w:rPr>
        <w:t> </w:t>
      </w:r>
      <w:r>
        <w:rPr>
          <w:rFonts w:ascii="Calibri" w:hAnsi="Calibri"/>
          <w:sz w:val="20"/>
        </w:rPr>
        <w:t>se</w:t>
      </w:r>
      <w:r>
        <w:rPr>
          <w:rFonts w:ascii="Calibri" w:hAnsi="Calibri"/>
          <w:spacing w:val="-7"/>
          <w:sz w:val="20"/>
        </w:rPr>
        <w:t> </w:t>
      </w:r>
      <w:r>
        <w:rPr>
          <w:rFonts w:ascii="Calibri" w:hAnsi="Calibri"/>
          <w:sz w:val="20"/>
        </w:rPr>
        <w:t>detallan las operaciones de tratamiento de datos personales que realiza, organizadas por áreas de gobierno. Este registro es un documento obligatorio para las administraciones públicas y detalla</w:t>
      </w:r>
      <w:r>
        <w:rPr>
          <w:rFonts w:ascii="Calibri" w:hAnsi="Calibri"/>
          <w:spacing w:val="-1"/>
          <w:sz w:val="20"/>
        </w:rPr>
        <w:t> </w:t>
      </w:r>
      <w:r>
        <w:rPr>
          <w:rFonts w:ascii="Calibri" w:hAnsi="Calibri"/>
          <w:sz w:val="20"/>
        </w:rPr>
        <w:t>el responsable,</w:t>
      </w:r>
      <w:r>
        <w:rPr>
          <w:rFonts w:ascii="Calibri" w:hAnsi="Calibri"/>
          <w:spacing w:val="-1"/>
          <w:sz w:val="20"/>
        </w:rPr>
        <w:t> </w:t>
      </w:r>
      <w:r>
        <w:rPr>
          <w:rFonts w:ascii="Calibri" w:hAnsi="Calibri"/>
          <w:sz w:val="20"/>
        </w:rPr>
        <w:t>la finalidad, la base jurídica,</w:t>
      </w:r>
      <w:r>
        <w:rPr>
          <w:rFonts w:ascii="Calibri" w:hAnsi="Calibri"/>
          <w:spacing w:val="-1"/>
          <w:sz w:val="20"/>
        </w:rPr>
        <w:t> </w:t>
      </w:r>
      <w:r>
        <w:rPr>
          <w:rFonts w:ascii="Calibri" w:hAnsi="Calibri"/>
          <w:sz w:val="20"/>
        </w:rPr>
        <w:t>los destinatarios y</w:t>
      </w:r>
      <w:r>
        <w:rPr>
          <w:rFonts w:ascii="Calibri" w:hAnsi="Calibri"/>
          <w:spacing w:val="-1"/>
          <w:sz w:val="20"/>
        </w:rPr>
        <w:t> </w:t>
      </w:r>
      <w:r>
        <w:rPr>
          <w:rFonts w:ascii="Calibri" w:hAnsi="Calibri"/>
          <w:sz w:val="20"/>
        </w:rPr>
        <w:t>otras características de cada tratamiento de datos. Se puede encontrar en el portal de transparencia del Ayuntamiento</w:t>
      </w:r>
      <w:r>
        <w:rPr>
          <w:rFonts w:ascii="Calibri" w:hAnsi="Calibri"/>
          <w:spacing w:val="-5"/>
          <w:sz w:val="20"/>
        </w:rPr>
        <w:t> </w:t>
      </w:r>
      <w:r>
        <w:rPr>
          <w:rFonts w:ascii="Calibri" w:hAnsi="Calibri"/>
          <w:sz w:val="20"/>
        </w:rPr>
        <w:t>de</w:t>
      </w:r>
      <w:r>
        <w:rPr>
          <w:rFonts w:ascii="Calibri" w:hAnsi="Calibri"/>
          <w:spacing w:val="-6"/>
          <w:sz w:val="20"/>
        </w:rPr>
        <w:t> </w:t>
      </w:r>
      <w:r>
        <w:rPr>
          <w:rFonts w:ascii="Calibri" w:hAnsi="Calibri"/>
          <w:sz w:val="20"/>
        </w:rPr>
        <w:t>Málaga.</w:t>
      </w:r>
      <w:r>
        <w:rPr>
          <w:rFonts w:ascii="Calibri" w:hAnsi="Calibri"/>
          <w:spacing w:val="-11"/>
          <w:sz w:val="20"/>
        </w:rPr>
        <w:t> </w:t>
      </w:r>
      <w:r>
        <w:rPr>
          <w:rFonts w:ascii="Calibri" w:hAnsi="Calibri"/>
          <w:sz w:val="20"/>
        </w:rPr>
        <w:t>Se</w:t>
      </w:r>
      <w:r>
        <w:rPr>
          <w:rFonts w:ascii="Calibri" w:hAnsi="Calibri"/>
          <w:spacing w:val="-6"/>
          <w:sz w:val="20"/>
        </w:rPr>
        <w:t> </w:t>
      </w:r>
      <w:r>
        <w:rPr>
          <w:rFonts w:ascii="Calibri" w:hAnsi="Calibri"/>
          <w:sz w:val="20"/>
        </w:rPr>
        <w:t>encuentra</w:t>
      </w:r>
      <w:r>
        <w:rPr>
          <w:rFonts w:ascii="Calibri" w:hAnsi="Calibri"/>
          <w:spacing w:val="-7"/>
          <w:sz w:val="20"/>
        </w:rPr>
        <w:t> </w:t>
      </w:r>
      <w:r>
        <w:rPr>
          <w:rFonts w:ascii="Calibri" w:hAnsi="Calibri"/>
          <w:sz w:val="20"/>
        </w:rPr>
        <w:t>en</w:t>
      </w:r>
      <w:r>
        <w:rPr>
          <w:rFonts w:ascii="Calibri" w:hAnsi="Calibri"/>
          <w:spacing w:val="-4"/>
          <w:sz w:val="20"/>
        </w:rPr>
        <w:t> </w:t>
      </w:r>
      <w:r>
        <w:rPr>
          <w:rFonts w:ascii="Calibri" w:hAnsi="Calibri"/>
          <w:sz w:val="20"/>
        </w:rPr>
        <w:t>la</w:t>
      </w:r>
      <w:r>
        <w:rPr>
          <w:rFonts w:ascii="Calibri" w:hAnsi="Calibri"/>
          <w:spacing w:val="-9"/>
          <w:sz w:val="20"/>
        </w:rPr>
        <w:t> </w:t>
      </w:r>
      <w:r>
        <w:rPr>
          <w:rFonts w:ascii="Calibri" w:hAnsi="Calibri"/>
          <w:sz w:val="20"/>
        </w:rPr>
        <w:t>sección</w:t>
      </w:r>
      <w:r>
        <w:rPr>
          <w:rFonts w:ascii="Calibri" w:hAnsi="Calibri"/>
          <w:spacing w:val="-8"/>
          <w:sz w:val="20"/>
        </w:rPr>
        <w:t> </w:t>
      </w:r>
      <w:r>
        <w:rPr>
          <w:rFonts w:ascii="Calibri" w:hAnsi="Calibri"/>
          <w:sz w:val="20"/>
        </w:rPr>
        <w:t>de</w:t>
      </w:r>
      <w:r>
        <w:rPr>
          <w:rFonts w:ascii="Calibri" w:hAnsi="Calibri"/>
          <w:spacing w:val="-4"/>
          <w:sz w:val="20"/>
        </w:rPr>
        <w:t> </w:t>
      </w:r>
      <w:r>
        <w:rPr>
          <w:rFonts w:ascii="Calibri" w:hAnsi="Calibri"/>
          <w:sz w:val="20"/>
        </w:rPr>
        <w:t>transparencia,</w:t>
      </w:r>
      <w:r>
        <w:rPr>
          <w:rFonts w:ascii="Calibri" w:hAnsi="Calibri"/>
          <w:spacing w:val="-6"/>
          <w:sz w:val="20"/>
        </w:rPr>
        <w:t> </w:t>
      </w:r>
      <w:r>
        <w:rPr>
          <w:rFonts w:ascii="Calibri" w:hAnsi="Calibri"/>
          <w:sz w:val="20"/>
        </w:rPr>
        <w:t>bajo</w:t>
      </w:r>
      <w:r>
        <w:rPr>
          <w:rFonts w:ascii="Calibri" w:hAnsi="Calibri"/>
          <w:spacing w:val="-9"/>
          <w:sz w:val="20"/>
        </w:rPr>
        <w:t> </w:t>
      </w:r>
      <w:r>
        <w:rPr>
          <w:rFonts w:ascii="Calibri" w:hAnsi="Calibri"/>
          <w:sz w:val="20"/>
        </w:rPr>
        <w:t>el</w:t>
      </w:r>
      <w:r>
        <w:rPr>
          <w:rFonts w:ascii="Calibri" w:hAnsi="Calibri"/>
          <w:spacing w:val="-4"/>
          <w:sz w:val="20"/>
        </w:rPr>
        <w:t> </w:t>
      </w:r>
      <w:r>
        <w:rPr>
          <w:rFonts w:ascii="Calibri" w:hAnsi="Calibri"/>
          <w:sz w:val="20"/>
        </w:rPr>
        <w:t>apartado</w:t>
      </w:r>
      <w:r>
        <w:rPr>
          <w:rFonts w:ascii="Calibri" w:hAnsi="Calibri"/>
          <w:spacing w:val="-6"/>
          <w:sz w:val="20"/>
        </w:rPr>
        <w:t> </w:t>
      </w:r>
      <w:r>
        <w:rPr>
          <w:rFonts w:ascii="Calibri" w:hAnsi="Calibri"/>
          <w:sz w:val="20"/>
        </w:rPr>
        <w:t>de "Protección de</w:t>
      </w:r>
      <w:r>
        <w:rPr>
          <w:rFonts w:ascii="Calibri" w:hAnsi="Calibri"/>
          <w:spacing w:val="-3"/>
          <w:sz w:val="20"/>
        </w:rPr>
        <w:t> </w:t>
      </w:r>
      <w:r>
        <w:rPr>
          <w:rFonts w:ascii="Calibri" w:hAnsi="Calibri"/>
          <w:sz w:val="20"/>
        </w:rPr>
        <w:t>datos</w:t>
      </w:r>
      <w:r>
        <w:rPr>
          <w:rFonts w:ascii="Calibri" w:hAnsi="Calibri"/>
          <w:spacing w:val="-1"/>
          <w:sz w:val="20"/>
        </w:rPr>
        <w:t> </w:t>
      </w:r>
      <w:r>
        <w:rPr>
          <w:rFonts w:ascii="Calibri" w:hAnsi="Calibri"/>
          <w:sz w:val="20"/>
        </w:rPr>
        <w:t>y</w:t>
      </w:r>
      <w:r>
        <w:rPr>
          <w:rFonts w:ascii="Calibri" w:hAnsi="Calibri"/>
          <w:spacing w:val="-1"/>
          <w:sz w:val="20"/>
        </w:rPr>
        <w:t> </w:t>
      </w:r>
      <w:r>
        <w:rPr>
          <w:rFonts w:ascii="Calibri" w:hAnsi="Calibri"/>
          <w:sz w:val="20"/>
        </w:rPr>
        <w:t>derechos</w:t>
      </w:r>
      <w:r>
        <w:rPr>
          <w:rFonts w:ascii="Calibri" w:hAnsi="Calibri"/>
          <w:spacing w:val="-4"/>
          <w:sz w:val="20"/>
        </w:rPr>
        <w:t> </w:t>
      </w:r>
      <w:r>
        <w:rPr>
          <w:rFonts w:ascii="Calibri" w:hAnsi="Calibri"/>
          <w:sz w:val="20"/>
        </w:rPr>
        <w:t>digitales" en</w:t>
      </w:r>
      <w:r>
        <w:rPr>
          <w:rFonts w:ascii="Calibri" w:hAnsi="Calibri"/>
          <w:spacing w:val="-4"/>
          <w:sz w:val="20"/>
        </w:rPr>
        <w:t> </w:t>
      </w:r>
      <w:r>
        <w:rPr>
          <w:rFonts w:ascii="Calibri" w:hAnsi="Calibri"/>
          <w:sz w:val="20"/>
        </w:rPr>
        <w:t>la</w:t>
      </w:r>
      <w:r>
        <w:rPr>
          <w:rFonts w:ascii="Calibri" w:hAnsi="Calibri"/>
          <w:spacing w:val="-4"/>
          <w:sz w:val="20"/>
        </w:rPr>
        <w:t> </w:t>
      </w:r>
      <w:r>
        <w:rPr>
          <w:rFonts w:ascii="Calibri" w:hAnsi="Calibri"/>
          <w:sz w:val="20"/>
        </w:rPr>
        <w:t>web</w:t>
      </w:r>
      <w:r>
        <w:rPr>
          <w:rFonts w:ascii="Calibri" w:hAnsi="Calibri"/>
          <w:spacing w:val="-3"/>
          <w:sz w:val="20"/>
        </w:rPr>
        <w:t> </w:t>
      </w:r>
      <w:r>
        <w:rPr>
          <w:rFonts w:ascii="Calibri" w:hAnsi="Calibri"/>
          <w:sz w:val="20"/>
        </w:rPr>
        <w:t>del</w:t>
      </w:r>
      <w:r>
        <w:rPr>
          <w:rFonts w:ascii="Calibri" w:hAnsi="Calibri"/>
          <w:spacing w:val="-2"/>
          <w:sz w:val="20"/>
        </w:rPr>
        <w:t> </w:t>
      </w:r>
      <w:r>
        <w:rPr>
          <w:rFonts w:ascii="Calibri" w:hAnsi="Calibri"/>
          <w:sz w:val="20"/>
        </w:rPr>
        <w:t>Ayuntamiento de</w:t>
      </w:r>
      <w:r>
        <w:rPr>
          <w:rFonts w:ascii="Calibri" w:hAnsi="Calibri"/>
          <w:spacing w:val="-2"/>
          <w:sz w:val="20"/>
        </w:rPr>
        <w:t> </w:t>
      </w:r>
      <w:r>
        <w:rPr>
          <w:rFonts w:ascii="Calibri" w:hAnsi="Calibri"/>
          <w:sz w:val="20"/>
        </w:rPr>
        <w:t>Málaga. Incluye detalles</w:t>
      </w:r>
      <w:r>
        <w:rPr>
          <w:rFonts w:ascii="Calibri" w:hAnsi="Calibri"/>
          <w:spacing w:val="-8"/>
          <w:sz w:val="20"/>
        </w:rPr>
        <w:t> </w:t>
      </w:r>
      <w:r>
        <w:rPr>
          <w:rFonts w:ascii="Calibri" w:hAnsi="Calibri"/>
          <w:sz w:val="20"/>
        </w:rPr>
        <w:t>como</w:t>
      </w:r>
      <w:r>
        <w:rPr>
          <w:rFonts w:ascii="Calibri" w:hAnsi="Calibri"/>
          <w:spacing w:val="-6"/>
          <w:sz w:val="20"/>
        </w:rPr>
        <w:t> </w:t>
      </w:r>
      <w:r>
        <w:rPr>
          <w:rFonts w:ascii="Calibri" w:hAnsi="Calibri"/>
          <w:sz w:val="20"/>
        </w:rPr>
        <w:t>la</w:t>
      </w:r>
      <w:r>
        <w:rPr>
          <w:rFonts w:ascii="Calibri" w:hAnsi="Calibri"/>
          <w:spacing w:val="-5"/>
          <w:sz w:val="20"/>
        </w:rPr>
        <w:t> </w:t>
      </w:r>
      <w:r>
        <w:rPr>
          <w:rFonts w:ascii="Calibri" w:hAnsi="Calibri"/>
          <w:sz w:val="20"/>
        </w:rPr>
        <w:t>finalidad</w:t>
      </w:r>
      <w:r>
        <w:rPr>
          <w:rFonts w:ascii="Calibri" w:hAnsi="Calibri"/>
          <w:spacing w:val="-8"/>
          <w:sz w:val="20"/>
        </w:rPr>
        <w:t> </w:t>
      </w:r>
      <w:r>
        <w:rPr>
          <w:rFonts w:ascii="Calibri" w:hAnsi="Calibri"/>
          <w:sz w:val="20"/>
        </w:rPr>
        <w:t>del</w:t>
      </w:r>
      <w:r>
        <w:rPr>
          <w:rFonts w:ascii="Calibri" w:hAnsi="Calibri"/>
          <w:spacing w:val="-6"/>
          <w:sz w:val="20"/>
        </w:rPr>
        <w:t> </w:t>
      </w:r>
      <w:r>
        <w:rPr>
          <w:rFonts w:ascii="Calibri" w:hAnsi="Calibri"/>
          <w:sz w:val="20"/>
        </w:rPr>
        <w:t>tratamiento,</w:t>
      </w:r>
      <w:r>
        <w:rPr>
          <w:rFonts w:ascii="Calibri" w:hAnsi="Calibri"/>
          <w:spacing w:val="-7"/>
          <w:sz w:val="20"/>
        </w:rPr>
        <w:t> </w:t>
      </w:r>
      <w:r>
        <w:rPr>
          <w:rFonts w:ascii="Calibri" w:hAnsi="Calibri"/>
          <w:sz w:val="20"/>
        </w:rPr>
        <w:t>la</w:t>
      </w:r>
      <w:r>
        <w:rPr>
          <w:rFonts w:ascii="Calibri" w:hAnsi="Calibri"/>
          <w:spacing w:val="-8"/>
          <w:sz w:val="20"/>
        </w:rPr>
        <w:t> </w:t>
      </w:r>
      <w:r>
        <w:rPr>
          <w:rFonts w:ascii="Calibri" w:hAnsi="Calibri"/>
          <w:sz w:val="20"/>
        </w:rPr>
        <w:t>base</w:t>
      </w:r>
      <w:r>
        <w:rPr>
          <w:rFonts w:ascii="Calibri" w:hAnsi="Calibri"/>
          <w:spacing w:val="-7"/>
          <w:sz w:val="20"/>
        </w:rPr>
        <w:t> </w:t>
      </w:r>
      <w:r>
        <w:rPr>
          <w:rFonts w:ascii="Calibri" w:hAnsi="Calibri"/>
          <w:sz w:val="20"/>
        </w:rPr>
        <w:t>jurídica,</w:t>
      </w:r>
      <w:r>
        <w:rPr>
          <w:rFonts w:ascii="Calibri" w:hAnsi="Calibri"/>
          <w:spacing w:val="-5"/>
          <w:sz w:val="20"/>
        </w:rPr>
        <w:t> </w:t>
      </w:r>
      <w:r>
        <w:rPr>
          <w:rFonts w:ascii="Calibri" w:hAnsi="Calibri"/>
          <w:sz w:val="20"/>
        </w:rPr>
        <w:t>los</w:t>
      </w:r>
      <w:r>
        <w:rPr>
          <w:rFonts w:ascii="Calibri" w:hAnsi="Calibri"/>
          <w:spacing w:val="-7"/>
          <w:sz w:val="20"/>
        </w:rPr>
        <w:t> </w:t>
      </w:r>
      <w:r>
        <w:rPr>
          <w:rFonts w:ascii="Calibri" w:hAnsi="Calibri"/>
          <w:sz w:val="20"/>
        </w:rPr>
        <w:t>tipos</w:t>
      </w:r>
      <w:r>
        <w:rPr>
          <w:rFonts w:ascii="Calibri" w:hAnsi="Calibri"/>
          <w:spacing w:val="-6"/>
          <w:sz w:val="20"/>
        </w:rPr>
        <w:t> </w:t>
      </w:r>
      <w:r>
        <w:rPr>
          <w:rFonts w:ascii="Calibri" w:hAnsi="Calibri"/>
          <w:sz w:val="20"/>
        </w:rPr>
        <w:t>de</w:t>
      </w:r>
      <w:r>
        <w:rPr>
          <w:rFonts w:ascii="Calibri" w:hAnsi="Calibri"/>
          <w:spacing w:val="-5"/>
          <w:sz w:val="20"/>
        </w:rPr>
        <w:t> </w:t>
      </w:r>
      <w:r>
        <w:rPr>
          <w:rFonts w:ascii="Calibri" w:hAnsi="Calibri"/>
          <w:sz w:val="20"/>
        </w:rPr>
        <w:t>interesados</w:t>
      </w:r>
      <w:r>
        <w:rPr>
          <w:rFonts w:ascii="Calibri" w:hAnsi="Calibri"/>
          <w:spacing w:val="-8"/>
          <w:sz w:val="20"/>
        </w:rPr>
        <w:t> </w:t>
      </w:r>
      <w:r>
        <w:rPr>
          <w:rFonts w:ascii="Calibri" w:hAnsi="Calibri"/>
          <w:sz w:val="20"/>
        </w:rPr>
        <w:t>y</w:t>
      </w:r>
      <w:r>
        <w:rPr>
          <w:rFonts w:ascii="Calibri" w:hAnsi="Calibri"/>
          <w:spacing w:val="-6"/>
          <w:sz w:val="20"/>
        </w:rPr>
        <w:t> </w:t>
      </w:r>
      <w:r>
        <w:rPr>
          <w:rFonts w:ascii="Calibri" w:hAnsi="Calibri"/>
          <w:sz w:val="20"/>
        </w:rPr>
        <w:t>datos, los destinatarios y</w:t>
      </w:r>
      <w:r>
        <w:rPr>
          <w:rFonts w:ascii="Calibri" w:hAnsi="Calibri"/>
          <w:spacing w:val="-3"/>
          <w:sz w:val="20"/>
        </w:rPr>
        <w:t> </w:t>
      </w:r>
      <w:r>
        <w:rPr>
          <w:rFonts w:ascii="Calibri" w:hAnsi="Calibri"/>
          <w:sz w:val="20"/>
        </w:rPr>
        <w:t>los plazos</w:t>
      </w:r>
      <w:r>
        <w:rPr>
          <w:rFonts w:ascii="Calibri" w:hAnsi="Calibri"/>
          <w:spacing w:val="-1"/>
          <w:sz w:val="20"/>
        </w:rPr>
        <w:t> </w:t>
      </w:r>
      <w:r>
        <w:rPr>
          <w:rFonts w:ascii="Calibri" w:hAnsi="Calibri"/>
          <w:sz w:val="20"/>
        </w:rPr>
        <w:t>de supresión.</w:t>
      </w:r>
      <w:r>
        <w:rPr>
          <w:rFonts w:ascii="Calibri" w:hAnsi="Calibri"/>
          <w:spacing w:val="-1"/>
          <w:sz w:val="20"/>
        </w:rPr>
        <w:t> </w:t>
      </w:r>
      <w:r>
        <w:rPr>
          <w:rFonts w:ascii="Calibri" w:hAnsi="Calibri"/>
          <w:sz w:val="20"/>
        </w:rPr>
        <w:t>El</w:t>
      </w:r>
      <w:r>
        <w:rPr>
          <w:rFonts w:ascii="Calibri" w:hAnsi="Calibri"/>
          <w:spacing w:val="-3"/>
          <w:sz w:val="20"/>
        </w:rPr>
        <w:t> </w:t>
      </w:r>
      <w:r>
        <w:rPr>
          <w:rFonts w:ascii="Calibri" w:hAnsi="Calibri"/>
          <w:sz w:val="20"/>
        </w:rPr>
        <w:t>registro</w:t>
      </w:r>
      <w:r>
        <w:rPr>
          <w:rFonts w:ascii="Calibri" w:hAnsi="Calibri"/>
          <w:spacing w:val="-1"/>
          <w:sz w:val="20"/>
        </w:rPr>
        <w:t> </w:t>
      </w:r>
      <w:r>
        <w:rPr>
          <w:rFonts w:ascii="Calibri" w:hAnsi="Calibri"/>
          <w:sz w:val="20"/>
        </w:rPr>
        <w:t>está</w:t>
      </w:r>
      <w:r>
        <w:rPr>
          <w:rFonts w:ascii="Calibri" w:hAnsi="Calibri"/>
          <w:spacing w:val="-3"/>
          <w:sz w:val="20"/>
        </w:rPr>
        <w:t> </w:t>
      </w:r>
      <w:r>
        <w:rPr>
          <w:rFonts w:ascii="Calibri" w:hAnsi="Calibri"/>
          <w:sz w:val="20"/>
        </w:rPr>
        <w:t>ordenado</w:t>
      </w:r>
      <w:r>
        <w:rPr>
          <w:rFonts w:ascii="Calibri" w:hAnsi="Calibri"/>
          <w:spacing w:val="-1"/>
          <w:sz w:val="20"/>
        </w:rPr>
        <w:t> </w:t>
      </w:r>
      <w:r>
        <w:rPr>
          <w:rFonts w:ascii="Calibri" w:hAnsi="Calibri"/>
          <w:sz w:val="20"/>
        </w:rPr>
        <w:t>por</w:t>
      </w:r>
      <w:r>
        <w:rPr>
          <w:rFonts w:ascii="Calibri" w:hAnsi="Calibri"/>
          <w:spacing w:val="-4"/>
          <w:sz w:val="20"/>
        </w:rPr>
        <w:t> </w:t>
      </w:r>
      <w:r>
        <w:rPr>
          <w:rFonts w:ascii="Calibri" w:hAnsi="Calibri"/>
          <w:sz w:val="20"/>
        </w:rPr>
        <w:t>las</w:t>
      </w:r>
      <w:r>
        <w:rPr>
          <w:rFonts w:ascii="Calibri" w:hAnsi="Calibri"/>
          <w:spacing w:val="-2"/>
          <w:sz w:val="20"/>
        </w:rPr>
        <w:t> </w:t>
      </w:r>
      <w:r>
        <w:rPr>
          <w:rFonts w:ascii="Calibri" w:hAnsi="Calibri"/>
          <w:sz w:val="20"/>
        </w:rPr>
        <w:t>distintas</w:t>
      </w:r>
      <w:r>
        <w:rPr>
          <w:rFonts w:ascii="Calibri" w:hAnsi="Calibri"/>
          <w:spacing w:val="-2"/>
          <w:sz w:val="20"/>
        </w:rPr>
        <w:t> </w:t>
      </w:r>
      <w:r>
        <w:rPr>
          <w:rFonts w:ascii="Calibri" w:hAnsi="Calibri"/>
          <w:sz w:val="20"/>
        </w:rPr>
        <w:t>áreas de gobierno del Ayuntamiento y los responsables de tratamiento dentro de cada una.</w:t>
      </w:r>
    </w:p>
    <w:p>
      <w:pPr>
        <w:spacing w:line="256" w:lineRule="auto" w:before="146"/>
        <w:ind w:left="2251" w:right="2018" w:firstLine="0"/>
        <w:jc w:val="both"/>
        <w:rPr>
          <w:rFonts w:ascii="Calibri" w:hAnsi="Calibri"/>
          <w:sz w:val="20"/>
        </w:rPr>
      </w:pPr>
      <w:r>
        <w:rPr>
          <w:rFonts w:ascii="Calibri" w:hAnsi="Calibri"/>
          <w:sz w:val="20"/>
        </w:rPr>
        <w:t>Igualmente, desde el Área de Movilidad, a través de su página web incluimos información sobre tratamiento de datos. Todo ello para facilitar la información en cualquiera de los canales previstos.</w:t>
      </w:r>
      <w:r>
        <w:rPr>
          <w:rFonts w:ascii="Calibri" w:hAnsi="Calibri"/>
          <w:spacing w:val="-3"/>
          <w:sz w:val="20"/>
        </w:rPr>
        <w:t> </w:t>
      </w:r>
      <w:r>
        <w:rPr>
          <w:rFonts w:ascii="Calibri" w:hAnsi="Calibri"/>
          <w:sz w:val="20"/>
        </w:rPr>
        <w:t>El</w:t>
      </w:r>
      <w:r>
        <w:rPr>
          <w:rFonts w:ascii="Calibri" w:hAnsi="Calibri"/>
          <w:spacing w:val="-2"/>
          <w:sz w:val="20"/>
        </w:rPr>
        <w:t> </w:t>
      </w:r>
      <w:r>
        <w:rPr>
          <w:rFonts w:ascii="Calibri" w:hAnsi="Calibri"/>
          <w:sz w:val="20"/>
        </w:rPr>
        <w:t>enlace</w:t>
      </w:r>
      <w:r>
        <w:rPr>
          <w:rFonts w:ascii="Calibri" w:hAnsi="Calibri"/>
          <w:spacing w:val="-1"/>
          <w:sz w:val="20"/>
        </w:rPr>
        <w:t> </w:t>
      </w:r>
      <w:r>
        <w:rPr>
          <w:rFonts w:ascii="Calibri" w:hAnsi="Calibri"/>
          <w:sz w:val="20"/>
        </w:rPr>
        <w:t>es: </w:t>
      </w:r>
      <w:hyperlink r:id="rId285">
        <w:r>
          <w:rPr>
            <w:rFonts w:ascii="Calibri" w:hAnsi="Calibri"/>
            <w:color w:val="0563C1"/>
            <w:sz w:val="20"/>
            <w:u w:val="single" w:color="0563C1"/>
          </w:rPr>
          <w:t>www.movilidad.malaga.eu</w:t>
        </w:r>
        <w:r>
          <w:rPr>
            <w:rFonts w:ascii="Calibri" w:hAnsi="Calibri"/>
            <w:sz w:val="20"/>
            <w:u w:val="none"/>
          </w:rPr>
          <w:t>,</w:t>
        </w:r>
      </w:hyperlink>
      <w:r>
        <w:rPr>
          <w:rFonts w:ascii="Calibri" w:hAnsi="Calibri"/>
          <w:sz w:val="20"/>
          <w:u w:val="none"/>
        </w:rPr>
        <w:t> con</w:t>
      </w:r>
      <w:r>
        <w:rPr>
          <w:rFonts w:ascii="Calibri" w:hAnsi="Calibri"/>
          <w:spacing w:val="-2"/>
          <w:sz w:val="20"/>
          <w:u w:val="none"/>
        </w:rPr>
        <w:t> </w:t>
      </w:r>
      <w:r>
        <w:rPr>
          <w:rFonts w:ascii="Calibri" w:hAnsi="Calibri"/>
          <w:sz w:val="20"/>
          <w:u w:val="none"/>
        </w:rPr>
        <w:t>un</w:t>
      </w:r>
      <w:r>
        <w:rPr>
          <w:rFonts w:ascii="Calibri" w:hAnsi="Calibri"/>
          <w:spacing w:val="-2"/>
          <w:sz w:val="20"/>
          <w:u w:val="none"/>
        </w:rPr>
        <w:t> </w:t>
      </w:r>
      <w:r>
        <w:rPr>
          <w:rFonts w:ascii="Calibri" w:hAnsi="Calibri"/>
          <w:sz w:val="20"/>
          <w:u w:val="none"/>
        </w:rPr>
        <w:t>enlace</w:t>
      </w:r>
      <w:r>
        <w:rPr>
          <w:rFonts w:ascii="Calibri" w:hAnsi="Calibri"/>
          <w:spacing w:val="-1"/>
          <w:sz w:val="20"/>
          <w:u w:val="none"/>
        </w:rPr>
        <w:t> </w:t>
      </w:r>
      <w:r>
        <w:rPr>
          <w:rFonts w:ascii="Calibri" w:hAnsi="Calibri"/>
          <w:sz w:val="20"/>
          <w:u w:val="none"/>
        </w:rPr>
        <w:t>directo a Política de Privacidad y tratamiento de datos.</w:t>
      </w:r>
    </w:p>
    <w:p>
      <w:pPr>
        <w:spacing w:before="143"/>
        <w:ind w:left="2251" w:right="0" w:firstLine="0"/>
        <w:jc w:val="both"/>
        <w:rPr>
          <w:rFonts w:ascii="Calibri" w:hAnsi="Calibri"/>
          <w:sz w:val="20"/>
        </w:rPr>
      </w:pPr>
      <w:r>
        <w:rPr>
          <w:rFonts w:ascii="Calibri" w:hAnsi="Calibri"/>
          <w:sz w:val="20"/>
        </w:rPr>
        <w:t>En</w:t>
      </w:r>
      <w:r>
        <w:rPr>
          <w:rFonts w:ascii="Calibri" w:hAnsi="Calibri"/>
          <w:spacing w:val="35"/>
          <w:sz w:val="20"/>
        </w:rPr>
        <w:t> </w:t>
      </w:r>
      <w:r>
        <w:rPr>
          <w:rFonts w:ascii="Calibri" w:hAnsi="Calibri"/>
          <w:sz w:val="20"/>
        </w:rPr>
        <w:t>lo</w:t>
      </w:r>
      <w:r>
        <w:rPr>
          <w:rFonts w:ascii="Calibri" w:hAnsi="Calibri"/>
          <w:spacing w:val="35"/>
          <w:sz w:val="20"/>
        </w:rPr>
        <w:t> </w:t>
      </w:r>
      <w:r>
        <w:rPr>
          <w:rFonts w:ascii="Calibri" w:hAnsi="Calibri"/>
          <w:sz w:val="20"/>
        </w:rPr>
        <w:t>que</w:t>
      </w:r>
      <w:r>
        <w:rPr>
          <w:rFonts w:ascii="Calibri" w:hAnsi="Calibri"/>
          <w:spacing w:val="35"/>
          <w:sz w:val="20"/>
        </w:rPr>
        <w:t> </w:t>
      </w:r>
      <w:r>
        <w:rPr>
          <w:rFonts w:ascii="Calibri" w:hAnsi="Calibri"/>
          <w:sz w:val="20"/>
        </w:rPr>
        <w:t>respecta</w:t>
      </w:r>
      <w:r>
        <w:rPr>
          <w:rFonts w:ascii="Calibri" w:hAnsi="Calibri"/>
          <w:spacing w:val="35"/>
          <w:sz w:val="20"/>
        </w:rPr>
        <w:t> </w:t>
      </w:r>
      <w:r>
        <w:rPr>
          <w:rFonts w:ascii="Calibri" w:hAnsi="Calibri"/>
          <w:sz w:val="20"/>
        </w:rPr>
        <w:t>a</w:t>
      </w:r>
      <w:r>
        <w:rPr>
          <w:rFonts w:ascii="Calibri" w:hAnsi="Calibri"/>
          <w:spacing w:val="38"/>
          <w:sz w:val="20"/>
        </w:rPr>
        <w:t> </w:t>
      </w:r>
      <w:r>
        <w:rPr>
          <w:rFonts w:ascii="Calibri" w:hAnsi="Calibri"/>
          <w:sz w:val="20"/>
        </w:rPr>
        <w:t>su</w:t>
      </w:r>
      <w:r>
        <w:rPr>
          <w:rFonts w:ascii="Calibri" w:hAnsi="Calibri"/>
          <w:spacing w:val="33"/>
          <w:sz w:val="20"/>
        </w:rPr>
        <w:t> </w:t>
      </w:r>
      <w:r>
        <w:rPr>
          <w:rFonts w:ascii="Calibri" w:hAnsi="Calibri"/>
          <w:sz w:val="20"/>
        </w:rPr>
        <w:t>entidad</w:t>
      </w:r>
      <w:r>
        <w:rPr>
          <w:rFonts w:ascii="Calibri" w:hAnsi="Calibri"/>
          <w:spacing w:val="34"/>
          <w:sz w:val="20"/>
        </w:rPr>
        <w:t> </w:t>
      </w:r>
      <w:r>
        <w:rPr>
          <w:rFonts w:ascii="Calibri" w:hAnsi="Calibri"/>
          <w:sz w:val="20"/>
        </w:rPr>
        <w:t>dependiente,</w:t>
      </w:r>
      <w:r>
        <w:rPr>
          <w:rFonts w:ascii="Calibri" w:hAnsi="Calibri"/>
          <w:spacing w:val="38"/>
          <w:sz w:val="20"/>
        </w:rPr>
        <w:t> </w:t>
      </w:r>
      <w:r>
        <w:rPr>
          <w:rFonts w:ascii="Calibri" w:hAnsi="Calibri"/>
          <w:sz w:val="20"/>
        </w:rPr>
        <w:t>la</w:t>
      </w:r>
      <w:r>
        <w:rPr>
          <w:rFonts w:ascii="Calibri" w:hAnsi="Calibri"/>
          <w:spacing w:val="37"/>
          <w:sz w:val="20"/>
        </w:rPr>
        <w:t> </w:t>
      </w:r>
      <w:r>
        <w:rPr>
          <w:rFonts w:ascii="Calibri" w:hAnsi="Calibri"/>
          <w:sz w:val="20"/>
        </w:rPr>
        <w:t>Empresa</w:t>
      </w:r>
      <w:r>
        <w:rPr>
          <w:rFonts w:ascii="Calibri" w:hAnsi="Calibri"/>
          <w:spacing w:val="36"/>
          <w:sz w:val="20"/>
        </w:rPr>
        <w:t> </w:t>
      </w:r>
      <w:r>
        <w:rPr>
          <w:rFonts w:ascii="Calibri" w:hAnsi="Calibri"/>
          <w:sz w:val="20"/>
        </w:rPr>
        <w:t>Malagueña</w:t>
      </w:r>
      <w:r>
        <w:rPr>
          <w:rFonts w:ascii="Calibri" w:hAnsi="Calibri"/>
          <w:spacing w:val="38"/>
          <w:sz w:val="20"/>
        </w:rPr>
        <w:t> </w:t>
      </w:r>
      <w:r>
        <w:rPr>
          <w:rFonts w:ascii="Calibri" w:hAnsi="Calibri"/>
          <w:sz w:val="20"/>
        </w:rPr>
        <w:t>de</w:t>
      </w:r>
      <w:r>
        <w:rPr>
          <w:rFonts w:ascii="Calibri" w:hAnsi="Calibri"/>
          <w:spacing w:val="38"/>
          <w:sz w:val="20"/>
        </w:rPr>
        <w:t> </w:t>
      </w:r>
      <w:r>
        <w:rPr>
          <w:rFonts w:ascii="Calibri" w:hAnsi="Calibri"/>
          <w:spacing w:val="-2"/>
          <w:sz w:val="20"/>
        </w:rPr>
        <w:t>Transportes,</w:t>
      </w:r>
    </w:p>
    <w:p>
      <w:pPr>
        <w:spacing w:line="256" w:lineRule="auto" w:before="20"/>
        <w:ind w:left="2251" w:right="2022" w:firstLine="0"/>
        <w:jc w:val="both"/>
        <w:rPr>
          <w:rFonts w:ascii="Calibri" w:hAnsi="Calibri"/>
          <w:sz w:val="20"/>
        </w:rPr>
      </w:pPr>
      <w:r>
        <w:rPr>
          <w:rFonts w:ascii="Calibri" w:hAnsi="Calibri"/>
          <w:sz w:val="20"/>
        </w:rPr>
        <w:t>S.A.M. (EMTSAM), se aclara que no se publica información relativa a directrices, instrucciones,</w:t>
      </w:r>
      <w:r>
        <w:rPr>
          <w:rFonts w:ascii="Calibri" w:hAnsi="Calibri"/>
          <w:spacing w:val="-5"/>
          <w:sz w:val="20"/>
        </w:rPr>
        <w:t> </w:t>
      </w:r>
      <w:r>
        <w:rPr>
          <w:rFonts w:ascii="Calibri" w:hAnsi="Calibri"/>
          <w:sz w:val="20"/>
        </w:rPr>
        <w:t>acuerdos,</w:t>
      </w:r>
      <w:r>
        <w:rPr>
          <w:rFonts w:ascii="Calibri" w:hAnsi="Calibri"/>
          <w:spacing w:val="-7"/>
          <w:sz w:val="20"/>
        </w:rPr>
        <w:t> </w:t>
      </w:r>
      <w:r>
        <w:rPr>
          <w:rFonts w:ascii="Calibri" w:hAnsi="Calibri"/>
          <w:sz w:val="20"/>
        </w:rPr>
        <w:t>circulares</w:t>
      </w:r>
      <w:r>
        <w:rPr>
          <w:rFonts w:ascii="Calibri" w:hAnsi="Calibri"/>
          <w:spacing w:val="-6"/>
          <w:sz w:val="20"/>
        </w:rPr>
        <w:t> </w:t>
      </w:r>
      <w:r>
        <w:rPr>
          <w:rFonts w:ascii="Calibri" w:hAnsi="Calibri"/>
          <w:sz w:val="20"/>
        </w:rPr>
        <w:t>o</w:t>
      </w:r>
      <w:r>
        <w:rPr>
          <w:rFonts w:ascii="Calibri" w:hAnsi="Calibri"/>
          <w:spacing w:val="-6"/>
          <w:sz w:val="20"/>
        </w:rPr>
        <w:t> </w:t>
      </w:r>
      <w:r>
        <w:rPr>
          <w:rFonts w:ascii="Calibri" w:hAnsi="Calibri"/>
          <w:sz w:val="20"/>
        </w:rPr>
        <w:t>respuestas</w:t>
      </w:r>
      <w:r>
        <w:rPr>
          <w:rFonts w:ascii="Calibri" w:hAnsi="Calibri"/>
          <w:spacing w:val="-10"/>
          <w:sz w:val="20"/>
        </w:rPr>
        <w:t> </w:t>
      </w:r>
      <w:r>
        <w:rPr>
          <w:rFonts w:ascii="Calibri" w:hAnsi="Calibri"/>
          <w:sz w:val="20"/>
        </w:rPr>
        <w:t>a</w:t>
      </w:r>
      <w:r>
        <w:rPr>
          <w:rFonts w:ascii="Calibri" w:hAnsi="Calibri"/>
          <w:spacing w:val="-6"/>
          <w:sz w:val="20"/>
        </w:rPr>
        <w:t> </w:t>
      </w:r>
      <w:r>
        <w:rPr>
          <w:rFonts w:ascii="Calibri" w:hAnsi="Calibri"/>
          <w:sz w:val="20"/>
        </w:rPr>
        <w:t>consultas</w:t>
      </w:r>
      <w:r>
        <w:rPr>
          <w:rFonts w:ascii="Calibri" w:hAnsi="Calibri"/>
          <w:spacing w:val="-5"/>
          <w:sz w:val="20"/>
        </w:rPr>
        <w:t> </w:t>
      </w:r>
      <w:r>
        <w:rPr>
          <w:rFonts w:ascii="Calibri" w:hAnsi="Calibri"/>
          <w:sz w:val="20"/>
        </w:rPr>
        <w:t>por</w:t>
      </w:r>
      <w:r>
        <w:rPr>
          <w:rFonts w:ascii="Calibri" w:hAnsi="Calibri"/>
          <w:spacing w:val="-5"/>
          <w:sz w:val="20"/>
        </w:rPr>
        <w:t> </w:t>
      </w:r>
      <w:r>
        <w:rPr>
          <w:rFonts w:ascii="Calibri" w:hAnsi="Calibri"/>
          <w:sz w:val="20"/>
        </w:rPr>
        <w:t>parte</w:t>
      </w:r>
      <w:r>
        <w:rPr>
          <w:rFonts w:ascii="Calibri" w:hAnsi="Calibri"/>
          <w:spacing w:val="-4"/>
          <w:sz w:val="20"/>
        </w:rPr>
        <w:t> </w:t>
      </w:r>
      <w:r>
        <w:rPr>
          <w:rFonts w:ascii="Calibri" w:hAnsi="Calibri"/>
          <w:sz w:val="20"/>
        </w:rPr>
        <w:t>de</w:t>
      </w:r>
      <w:r>
        <w:rPr>
          <w:rFonts w:ascii="Calibri" w:hAnsi="Calibri"/>
          <w:spacing w:val="-5"/>
          <w:sz w:val="20"/>
        </w:rPr>
        <w:t> </w:t>
      </w:r>
      <w:r>
        <w:rPr>
          <w:rFonts w:ascii="Calibri" w:hAnsi="Calibri"/>
          <w:sz w:val="20"/>
        </w:rPr>
        <w:t>la</w:t>
      </w:r>
      <w:r>
        <w:rPr>
          <w:rFonts w:ascii="Calibri" w:hAnsi="Calibri"/>
          <w:spacing w:val="-9"/>
          <w:sz w:val="20"/>
        </w:rPr>
        <w:t> </w:t>
      </w:r>
      <w:r>
        <w:rPr>
          <w:rFonts w:ascii="Calibri" w:hAnsi="Calibri"/>
          <w:sz w:val="20"/>
        </w:rPr>
        <w:t>entidad,</w:t>
      </w:r>
      <w:r>
        <w:rPr>
          <w:rFonts w:ascii="Calibri" w:hAnsi="Calibri"/>
          <w:spacing w:val="-7"/>
          <w:sz w:val="20"/>
        </w:rPr>
        <w:t> </w:t>
      </w:r>
      <w:r>
        <w:rPr>
          <w:rFonts w:ascii="Calibri" w:hAnsi="Calibri"/>
          <w:sz w:val="20"/>
        </w:rPr>
        <w:t>debido a</w:t>
      </w:r>
      <w:r>
        <w:rPr>
          <w:rFonts w:ascii="Calibri" w:hAnsi="Calibri"/>
          <w:spacing w:val="-1"/>
          <w:sz w:val="20"/>
        </w:rPr>
        <w:t> </w:t>
      </w:r>
      <w:r>
        <w:rPr>
          <w:rFonts w:ascii="Calibri" w:hAnsi="Calibri"/>
          <w:sz w:val="20"/>
        </w:rPr>
        <w:t>que no se generan</w:t>
      </w:r>
      <w:r>
        <w:rPr>
          <w:rFonts w:ascii="Calibri" w:hAnsi="Calibri"/>
          <w:spacing w:val="-1"/>
          <w:sz w:val="20"/>
        </w:rPr>
        <w:t> </w:t>
      </w:r>
      <w:r>
        <w:rPr>
          <w:rFonts w:ascii="Calibri" w:hAnsi="Calibri"/>
          <w:sz w:val="20"/>
        </w:rPr>
        <w:t>este tipo de documentos en el desarrollo ordinario de su actividad.</w:t>
      </w:r>
    </w:p>
    <w:p>
      <w:pPr>
        <w:spacing w:line="256" w:lineRule="auto" w:before="145"/>
        <w:ind w:left="2251" w:right="2016" w:firstLine="0"/>
        <w:jc w:val="both"/>
        <w:rPr>
          <w:rFonts w:ascii="Calibri" w:hAnsi="Calibri"/>
          <w:sz w:val="20"/>
        </w:rPr>
      </w:pPr>
      <w:r>
        <w:rPr>
          <w:rFonts w:ascii="Calibri" w:hAnsi="Calibri"/>
          <w:sz w:val="20"/>
        </w:rPr>
        <w:t>La EMTSAM, como sociedad anónima municipal, desarrolla su actividad bajo un marco jurídico claramente delimitado por la legislación de contratos del sector público, la normativa mercantil y las ordenanzas municipales, sin emitir directrices ni instrucciones con efectos jurídicos o interpretativos del derecho que requieran publicación en el portal de transparencia.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9" w:after="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615" name="Group 1615"/>
                <wp:cNvGraphicFramePr>
                  <a:graphicFrameLocks/>
                </wp:cNvGraphicFramePr>
                <a:graphic>
                  <a:graphicData uri="http://schemas.microsoft.com/office/word/2010/wordprocessingGroup">
                    <wpg:wgp>
                      <wpg:cNvPr id="1615" name="Group 1615"/>
                      <wpg:cNvGrpSpPr/>
                      <wpg:grpSpPr>
                        <a:xfrm>
                          <a:off x="0" y="0"/>
                          <a:ext cx="1870075" cy="6350"/>
                          <a:chExt cx="1870075" cy="6350"/>
                        </a:xfrm>
                      </wpg:grpSpPr>
                      <wps:wsp>
                        <wps:cNvPr id="1616" name="Graphic 1616"/>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199" coordorigin="0,0" coordsize="2945,10">
                <v:rect style="position:absolute;left:0;top:0;width:2945;height:10" id="docshape1200"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617" name="Group 1617"/>
                <wp:cNvGraphicFramePr>
                  <a:graphicFrameLocks/>
                </wp:cNvGraphicFramePr>
                <a:graphic>
                  <a:graphicData uri="http://schemas.microsoft.com/office/word/2010/wordprocessingGroup">
                    <wpg:wgp>
                      <wpg:cNvPr id="1617" name="Group 1617"/>
                      <wpg:cNvGrpSpPr/>
                      <wpg:grpSpPr>
                        <a:xfrm>
                          <a:off x="0" y="0"/>
                          <a:ext cx="841375" cy="6350"/>
                          <a:chExt cx="841375" cy="6350"/>
                        </a:xfrm>
                      </wpg:grpSpPr>
                      <wps:wsp>
                        <wps:cNvPr id="1618" name="Graphic 1618"/>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201" coordorigin="0,0" coordsize="1325,10">
                <v:rect style="position:absolute;left:0;top:0;width:1325;height:10" id="docshape1202"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82"/>
          <w:headerReference w:type="even" r:id="rId283"/>
          <w:footerReference w:type="default" r:id="rId284"/>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20224">
                <wp:simplePos x="0" y="0"/>
                <wp:positionH relativeFrom="page">
                  <wp:posOffset>4332186</wp:posOffset>
                </wp:positionH>
                <wp:positionV relativeFrom="paragraph">
                  <wp:posOffset>1412477</wp:posOffset>
                </wp:positionV>
                <wp:extent cx="53340" cy="100330"/>
                <wp:effectExtent l="0" t="0" r="0" b="0"/>
                <wp:wrapNone/>
                <wp:docPr id="1619" name="Textbox 1619"/>
                <wp:cNvGraphicFramePr>
                  <a:graphicFrameLocks/>
                </wp:cNvGraphicFramePr>
                <a:graphic>
                  <a:graphicData uri="http://schemas.microsoft.com/office/word/2010/wordprocessingShape">
                    <wps:wsp>
                      <wps:cNvPr id="1619" name="Textbox 1619"/>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96256" type="#_x0000_t202" id="docshape1203"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16"/>
        <w:gridCol w:w="2172"/>
        <w:gridCol w:w="881"/>
        <w:gridCol w:w="542"/>
        <w:gridCol w:w="1023"/>
        <w:gridCol w:w="818"/>
        <w:gridCol w:w="1248"/>
        <w:gridCol w:w="102"/>
        <w:gridCol w:w="1062"/>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16" w:type="dxa"/>
            <w:tcBorders>
              <w:left w:val="single" w:sz="6" w:space="0" w:color="000000"/>
              <w:bottom w:val="single" w:sz="6" w:space="0" w:color="000000"/>
              <w:right w:val="nil"/>
            </w:tcBorders>
          </w:tcPr>
          <w:p>
            <w:pPr>
              <w:pStyle w:val="TableParagraph"/>
              <w:rPr>
                <w:rFonts w:ascii="Times New Roman"/>
                <w:sz w:val="14"/>
              </w:rPr>
            </w:pPr>
          </w:p>
        </w:tc>
        <w:tc>
          <w:tcPr>
            <w:tcW w:w="2172" w:type="dxa"/>
            <w:tcBorders>
              <w:top w:val="nil"/>
              <w:left w:val="nil"/>
              <w:bottom w:val="single" w:sz="6" w:space="0" w:color="000000"/>
              <w:right w:val="nil"/>
            </w:tcBorders>
            <w:shd w:val="clear" w:color="auto" w:fill="000000"/>
          </w:tcPr>
          <w:p>
            <w:pPr>
              <w:pStyle w:val="TableParagraph"/>
              <w:rPr>
                <w:rFonts w:ascii="Times New Roman"/>
                <w:sz w:val="14"/>
              </w:rPr>
            </w:pPr>
          </w:p>
        </w:tc>
        <w:tc>
          <w:tcPr>
            <w:tcW w:w="1423" w:type="dxa"/>
            <w:gridSpan w:val="2"/>
            <w:tcBorders>
              <w:left w:val="nil"/>
              <w:bottom w:val="single" w:sz="6" w:space="0" w:color="000000"/>
              <w:right w:val="single" w:sz="6" w:space="0" w:color="000000"/>
            </w:tcBorders>
          </w:tcPr>
          <w:p>
            <w:pPr>
              <w:pStyle w:val="TableParagraph"/>
              <w:rPr>
                <w:rFonts w:ascii="Times New Roman"/>
                <w:sz w:val="14"/>
              </w:rPr>
            </w:pPr>
          </w:p>
        </w:tc>
        <w:tc>
          <w:tcPr>
            <w:tcW w:w="1023"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2"/>
              <w:rPr>
                <w:rFonts w:ascii="Arial"/>
                <w:position w:val="-1"/>
                <w:sz w:val="10"/>
              </w:rPr>
            </w:pPr>
            <w:r>
              <w:rPr>
                <w:rFonts w:ascii="Arial"/>
                <w:position w:val="-1"/>
                <w:sz w:val="10"/>
              </w:rPr>
              <w:drawing>
                <wp:inline distT="0" distB="0" distL="0" distR="0">
                  <wp:extent cx="266700" cy="66675"/>
                  <wp:effectExtent l="0" t="0" r="0" b="0"/>
                  <wp:docPr id="1620" name="Image 1620"/>
                  <wp:cNvGraphicFramePr>
                    <a:graphicFrameLocks/>
                  </wp:cNvGraphicFramePr>
                  <a:graphic>
                    <a:graphicData uri="http://schemas.openxmlformats.org/drawingml/2006/picture">
                      <pic:pic>
                        <pic:nvPicPr>
                          <pic:cNvPr id="1620" name="Image 1620"/>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6"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3"/>
              <w:rPr>
                <w:rFonts w:ascii="Arial"/>
                <w:position w:val="-2"/>
                <w:sz w:val="13"/>
              </w:rPr>
            </w:pPr>
            <w:r>
              <w:rPr>
                <w:rFonts w:ascii="Arial"/>
                <w:position w:val="-2"/>
                <w:sz w:val="13"/>
              </w:rPr>
              <w:drawing>
                <wp:inline distT="0" distB="0" distL="0" distR="0">
                  <wp:extent cx="498011" cy="85058"/>
                  <wp:effectExtent l="0" t="0" r="0" b="0"/>
                  <wp:docPr id="1621" name="Image 1621"/>
                  <wp:cNvGraphicFramePr>
                    <a:graphicFrameLocks/>
                  </wp:cNvGraphicFramePr>
                  <a:graphic>
                    <a:graphicData uri="http://schemas.openxmlformats.org/drawingml/2006/picture">
                      <pic:pic>
                        <pic:nvPicPr>
                          <pic:cNvPr id="1621" name="Image 1621"/>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02" w:type="dxa"/>
            <w:vMerge w:val="restart"/>
            <w:tcBorders>
              <w:top w:val="nil"/>
              <w:bottom w:val="nil"/>
              <w:right w:val="nil"/>
            </w:tcBorders>
          </w:tcPr>
          <w:p>
            <w:pPr>
              <w:pStyle w:val="TableParagraph"/>
              <w:rPr>
                <w:rFonts w:ascii="Times New Roman"/>
                <w:sz w:val="18"/>
              </w:rPr>
            </w:pPr>
          </w:p>
        </w:tc>
        <w:tc>
          <w:tcPr>
            <w:tcW w:w="1062" w:type="dxa"/>
            <w:vMerge w:val="restart"/>
            <w:tcBorders>
              <w:top w:val="nil"/>
              <w:left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11"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20736">
                      <wp:simplePos x="0" y="0"/>
                      <wp:positionH relativeFrom="column">
                        <wp:posOffset>-1298447</wp:posOffset>
                      </wp:positionH>
                      <wp:positionV relativeFrom="paragraph">
                        <wp:posOffset>-144895</wp:posOffset>
                      </wp:positionV>
                      <wp:extent cx="1298575" cy="417830"/>
                      <wp:effectExtent l="0" t="0" r="0" b="0"/>
                      <wp:wrapNone/>
                      <wp:docPr id="1622" name="Group 1622"/>
                      <wp:cNvGraphicFramePr>
                        <a:graphicFrameLocks/>
                      </wp:cNvGraphicFramePr>
                      <a:graphic>
                        <a:graphicData uri="http://schemas.microsoft.com/office/word/2010/wordprocessingGroup">
                          <wpg:wgp>
                            <wpg:cNvPr id="1622" name="Group 1622"/>
                            <wpg:cNvGrpSpPr/>
                            <wpg:grpSpPr>
                              <a:xfrm>
                                <a:off x="0" y="0"/>
                                <a:ext cx="1298575" cy="417830"/>
                                <a:chExt cx="1298575" cy="417830"/>
                              </a:xfrm>
                            </wpg:grpSpPr>
                            <wps:wsp>
                              <wps:cNvPr id="1623" name="Graphic 1623"/>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624" name="Image 1624"/>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895744" id="docshapegroup1204" coordorigin="-2045,-228" coordsize="2045,658">
                      <v:shape style="position:absolute;left:-2045;top:-229;width:2045;height:658" id="docshape1205" coordorigin="-2045,-228" coordsize="2045,658" path="m0,-228l-2045,-228,-2045,-10,-2045,-7,-2045,429,0,429,0,-7,0,-10,0,-228xe" filled="true" fillcolor="#cccccc" stroked="false">
                        <v:path arrowok="t"/>
                        <v:fill type="solid"/>
                      </v:shape>
                      <v:shape style="position:absolute;left:-1973;top:-154;width:1896;height:327" type="#_x0000_t75" id="docshape1206"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3"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3"/>
              <w:rPr>
                <w:rFonts w:ascii="Arial"/>
                <w:sz w:val="14"/>
              </w:rPr>
            </w:pPr>
            <w:r>
              <w:rPr>
                <w:rFonts w:ascii="Arial"/>
                <w:spacing w:val="-2"/>
                <w:sz w:val="14"/>
              </w:rPr>
              <w:t>Firmado</w:t>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380"/>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02" w:type="dxa"/>
            <w:vMerge/>
            <w:tcBorders>
              <w:top w:val="nil"/>
              <w:bottom w:val="nil"/>
              <w:right w:val="nil"/>
            </w:tcBorders>
          </w:tcPr>
          <w:p>
            <w:pPr>
              <w:rPr>
                <w:sz w:val="2"/>
                <w:szCs w:val="2"/>
              </w:rPr>
            </w:pPr>
          </w:p>
        </w:tc>
        <w:tc>
          <w:tcPr>
            <w:tcW w:w="1062"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625" name="Image 1625"/>
                  <wp:cNvGraphicFramePr>
                    <a:graphicFrameLocks/>
                  </wp:cNvGraphicFramePr>
                  <a:graphic>
                    <a:graphicData uri="http://schemas.openxmlformats.org/drawingml/2006/picture">
                      <pic:pic>
                        <pic:nvPicPr>
                          <pic:cNvPr id="1625" name="Image 1625"/>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11"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3"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2"/>
              <w:rPr>
                <w:rFonts w:ascii="Arial"/>
                <w:position w:val="-2"/>
                <w:sz w:val="13"/>
              </w:rPr>
            </w:pPr>
            <w:r>
              <w:rPr>
                <w:rFonts w:ascii="Arial"/>
                <w:position w:val="-2"/>
                <w:sz w:val="13"/>
              </w:rPr>
              <w:drawing>
                <wp:inline distT="0" distB="0" distL="0" distR="0">
                  <wp:extent cx="263120" cy="84010"/>
                  <wp:effectExtent l="0" t="0" r="0" b="0"/>
                  <wp:docPr id="1626" name="Image 1626"/>
                  <wp:cNvGraphicFramePr>
                    <a:graphicFrameLocks/>
                  </wp:cNvGraphicFramePr>
                  <a:graphic>
                    <a:graphicData uri="http://schemas.openxmlformats.org/drawingml/2006/picture">
                      <pic:pic>
                        <pic:nvPicPr>
                          <pic:cNvPr id="1626" name="Image 1626"/>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2"/>
              <w:jc w:val="center"/>
              <w:rPr>
                <w:rFonts w:ascii="Arial"/>
                <w:sz w:val="14"/>
              </w:rPr>
            </w:pPr>
            <w:r>
              <w:rPr>
                <w:rFonts w:ascii="Arial"/>
                <w:sz w:val="14"/>
              </w:rPr>
              <mc:AlternateContent>
                <mc:Choice Requires="wps">
                  <w:drawing>
                    <wp:anchor distT="0" distB="0" distL="0" distR="0" allowOverlap="1" layoutInCell="1" locked="0" behindDoc="1" simplePos="0" relativeHeight="474421248">
                      <wp:simplePos x="0" y="0"/>
                      <wp:positionH relativeFrom="column">
                        <wp:posOffset>1320546</wp:posOffset>
                      </wp:positionH>
                      <wp:positionV relativeFrom="paragraph">
                        <wp:posOffset>-311719</wp:posOffset>
                      </wp:positionV>
                      <wp:extent cx="734695" cy="753110"/>
                      <wp:effectExtent l="0" t="0" r="0" b="0"/>
                      <wp:wrapNone/>
                      <wp:docPr id="1627" name="Group 1627"/>
                      <wp:cNvGraphicFramePr>
                        <a:graphicFrameLocks/>
                      </wp:cNvGraphicFramePr>
                      <a:graphic>
                        <a:graphicData uri="http://schemas.microsoft.com/office/word/2010/wordprocessingGroup">
                          <wpg:wgp>
                            <wpg:cNvPr id="1627" name="Group 1627"/>
                            <wpg:cNvGrpSpPr/>
                            <wpg:grpSpPr>
                              <a:xfrm>
                                <a:off x="0" y="0"/>
                                <a:ext cx="734695" cy="753110"/>
                                <a:chExt cx="734695" cy="753110"/>
                              </a:xfrm>
                            </wpg:grpSpPr>
                            <pic:pic>
                              <pic:nvPicPr>
                                <pic:cNvPr id="1628" name="Image 1628"/>
                                <pic:cNvPicPr/>
                              </pic:nvPicPr>
                              <pic:blipFill>
                                <a:blip r:embed="rId276" cstate="print"/>
                                <a:stretch>
                                  <a:fillRect/>
                                </a:stretch>
                              </pic:blipFill>
                              <pic:spPr>
                                <a:xfrm>
                                  <a:off x="0" y="0"/>
                                  <a:ext cx="734567" cy="752840"/>
                                </a:xfrm>
                                <a:prstGeom prst="rect">
                                  <a:avLst/>
                                </a:prstGeom>
                              </pic:spPr>
                            </pic:pic>
                            <wps:wsp>
                              <wps:cNvPr id="1629" name="Graphic 1629"/>
                              <wps:cNvSpPr/>
                              <wps:spPr>
                                <a:xfrm>
                                  <a:off x="55524" y="60157"/>
                                  <a:ext cx="675005" cy="664845"/>
                                </a:xfrm>
                                <a:custGeom>
                                  <a:avLst/>
                                  <a:gdLst/>
                                  <a:ahLst/>
                                  <a:cxnLst/>
                                  <a:rect l="l" t="t" r="r" b="b"/>
                                  <a:pathLst>
                                    <a:path w="675005" h="664845">
                                      <a:moveTo>
                                        <a:pt x="674547" y="0"/>
                                      </a:moveTo>
                                      <a:lnTo>
                                        <a:pt x="0" y="0"/>
                                      </a:lnTo>
                                      <a:lnTo>
                                        <a:pt x="0" y="664502"/>
                                      </a:lnTo>
                                      <a:lnTo>
                                        <a:pt x="674547" y="664502"/>
                                      </a:lnTo>
                                      <a:lnTo>
                                        <a:pt x="674547"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895232" id="docshapegroup1207" coordorigin="2080,-491" coordsize="1157,1186">
                      <v:shape style="position:absolute;left:2079;top:-491;width:1157;height:1186" type="#_x0000_t75" id="docshape1208" stroked="false">
                        <v:imagedata r:id="rId276" o:title=""/>
                      </v:shape>
                      <v:rect style="position:absolute;left:2167;top:-397;width:1063;height:1047" id="docshape1209" filled="true" fillcolor="#000000" stroked="false">
                        <v:fill type="solid"/>
                      </v:rect>
                      <w10:wrap type="none"/>
                    </v:group>
                  </w:pict>
                </mc:Fallback>
              </mc:AlternateContent>
            </w:r>
            <w:r>
              <w:rPr>
                <w:rFonts w:ascii="Arial"/>
                <w:spacing w:val="-2"/>
                <w:sz w:val="14"/>
              </w:rPr>
              <w:t>27/40</w:t>
            </w:r>
          </w:p>
        </w:tc>
        <w:tc>
          <w:tcPr>
            <w:tcW w:w="102" w:type="dxa"/>
            <w:vMerge/>
            <w:tcBorders>
              <w:top w:val="nil"/>
              <w:bottom w:val="nil"/>
              <w:right w:val="nil"/>
            </w:tcBorders>
          </w:tcPr>
          <w:p>
            <w:pPr>
              <w:rPr>
                <w:sz w:val="2"/>
                <w:szCs w:val="2"/>
              </w:rPr>
            </w:pPr>
          </w:p>
        </w:tc>
        <w:tc>
          <w:tcPr>
            <w:tcW w:w="1062"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630" name="Image 1630"/>
                  <wp:cNvGraphicFramePr>
                    <a:graphicFrameLocks/>
                  </wp:cNvGraphicFramePr>
                  <a:graphic>
                    <a:graphicData uri="http://schemas.openxmlformats.org/drawingml/2006/picture">
                      <pic:pic>
                        <pic:nvPicPr>
                          <pic:cNvPr id="1630" name="Image 1630"/>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9"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3"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8" w:type="dxa"/>
            <w:tcBorders>
              <w:top w:val="single" w:sz="6" w:space="0" w:color="000000"/>
              <w:left w:val="nil"/>
              <w:bottom w:val="single" w:sz="6" w:space="0" w:color="000000"/>
            </w:tcBorders>
          </w:tcPr>
          <w:p>
            <w:pPr>
              <w:pStyle w:val="TableParagraph"/>
              <w:rPr>
                <w:rFonts w:ascii="Times New Roman"/>
                <w:sz w:val="14"/>
              </w:rPr>
            </w:pPr>
          </w:p>
        </w:tc>
        <w:tc>
          <w:tcPr>
            <w:tcW w:w="102" w:type="dxa"/>
            <w:vMerge/>
            <w:tcBorders>
              <w:top w:val="nil"/>
              <w:bottom w:val="nil"/>
              <w:right w:val="nil"/>
            </w:tcBorders>
          </w:tcPr>
          <w:p>
            <w:pPr>
              <w:rPr>
                <w:sz w:val="2"/>
                <w:szCs w:val="2"/>
              </w:rPr>
            </w:pPr>
          </w:p>
        </w:tc>
        <w:tc>
          <w:tcPr>
            <w:tcW w:w="1062" w:type="dxa"/>
            <w:vMerge/>
            <w:tcBorders>
              <w:top w:val="nil"/>
              <w:left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631" name="Image 1631"/>
                  <wp:cNvGraphicFramePr>
                    <a:graphicFrameLocks/>
                  </wp:cNvGraphicFramePr>
                  <a:graphic>
                    <a:graphicData uri="http://schemas.openxmlformats.org/drawingml/2006/picture">
                      <pic:pic>
                        <pic:nvPicPr>
                          <pic:cNvPr id="1631" name="Image 1631"/>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200"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02" w:type="dxa"/>
            <w:vMerge/>
            <w:tcBorders>
              <w:top w:val="nil"/>
              <w:bottom w:val="nil"/>
              <w:right w:val="nil"/>
            </w:tcBorders>
          </w:tcPr>
          <w:p>
            <w:pPr>
              <w:rPr>
                <w:sz w:val="2"/>
                <w:szCs w:val="2"/>
              </w:rPr>
            </w:pPr>
          </w:p>
        </w:tc>
        <w:tc>
          <w:tcPr>
            <w:tcW w:w="1062" w:type="dxa"/>
            <w:vMerge/>
            <w:tcBorders>
              <w:top w:val="nil"/>
              <w:left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2251" w:right="2024" w:firstLine="0"/>
        <w:jc w:val="both"/>
        <w:rPr>
          <w:rFonts w:ascii="Calibri" w:hAnsi="Calibri"/>
          <w:sz w:val="20"/>
        </w:rPr>
      </w:pPr>
      <w:r>
        <w:rPr>
          <w:rFonts w:ascii="Calibri" w:hAnsi="Calibri"/>
          <w:sz w:val="20"/>
        </w:rPr>
        <w:t>Por tanto, la ausencia de publicación no obedece a un incumplimiento de las obligaciones de publicidad activa, sino a la inexistencia de este tipo de actos administrativos o interpretativos dentro de la estructura y funciones de la entidad.</w:t>
      </w:r>
    </w:p>
    <w:p>
      <w:pPr>
        <w:spacing w:line="256" w:lineRule="auto" w:before="138"/>
        <w:ind w:left="2251" w:right="2022" w:firstLine="0"/>
        <w:jc w:val="both"/>
        <w:rPr>
          <w:rFonts w:ascii="Calibri" w:hAnsi="Calibri"/>
          <w:sz w:val="20"/>
        </w:rPr>
      </w:pPr>
      <w:r>
        <w:rPr>
          <w:rFonts w:ascii="Calibri" w:hAnsi="Calibri"/>
          <w:sz w:val="20"/>
        </w:rPr>
        <w:t>En</w:t>
      </w:r>
      <w:r>
        <w:rPr>
          <w:rFonts w:ascii="Calibri" w:hAnsi="Calibri"/>
          <w:spacing w:val="-7"/>
          <w:sz w:val="20"/>
        </w:rPr>
        <w:t> </w:t>
      </w:r>
      <w:r>
        <w:rPr>
          <w:rFonts w:ascii="Calibri" w:hAnsi="Calibri"/>
          <w:sz w:val="20"/>
        </w:rPr>
        <w:t>virtud</w:t>
      </w:r>
      <w:r>
        <w:rPr>
          <w:rFonts w:ascii="Calibri" w:hAnsi="Calibri"/>
          <w:spacing w:val="-6"/>
          <w:sz w:val="20"/>
        </w:rPr>
        <w:t> </w:t>
      </w:r>
      <w:r>
        <w:rPr>
          <w:rFonts w:ascii="Calibri" w:hAnsi="Calibri"/>
          <w:sz w:val="20"/>
        </w:rPr>
        <w:t>de</w:t>
      </w:r>
      <w:r>
        <w:rPr>
          <w:rFonts w:ascii="Calibri" w:hAnsi="Calibri"/>
          <w:spacing w:val="-5"/>
          <w:sz w:val="20"/>
        </w:rPr>
        <w:t> </w:t>
      </w:r>
      <w:r>
        <w:rPr>
          <w:rFonts w:ascii="Calibri" w:hAnsi="Calibri"/>
          <w:sz w:val="20"/>
        </w:rPr>
        <w:t>lo</w:t>
      </w:r>
      <w:r>
        <w:rPr>
          <w:rFonts w:ascii="Calibri" w:hAnsi="Calibri"/>
          <w:spacing w:val="-6"/>
          <w:sz w:val="20"/>
        </w:rPr>
        <w:t> </w:t>
      </w:r>
      <w:r>
        <w:rPr>
          <w:rFonts w:ascii="Calibri" w:hAnsi="Calibri"/>
          <w:sz w:val="20"/>
        </w:rPr>
        <w:t>anterior,</w:t>
      </w:r>
      <w:r>
        <w:rPr>
          <w:rFonts w:ascii="Calibri" w:hAnsi="Calibri"/>
          <w:spacing w:val="-6"/>
          <w:sz w:val="20"/>
        </w:rPr>
        <w:t> </w:t>
      </w:r>
      <w:r>
        <w:rPr>
          <w:rFonts w:ascii="Calibri" w:hAnsi="Calibri"/>
          <w:sz w:val="20"/>
        </w:rPr>
        <w:t>se</w:t>
      </w:r>
      <w:r>
        <w:rPr>
          <w:rFonts w:ascii="Calibri" w:hAnsi="Calibri"/>
          <w:spacing w:val="-6"/>
          <w:sz w:val="20"/>
        </w:rPr>
        <w:t> </w:t>
      </w:r>
      <w:r>
        <w:rPr>
          <w:rFonts w:ascii="Calibri" w:hAnsi="Calibri"/>
          <w:sz w:val="20"/>
        </w:rPr>
        <w:t>solicita</w:t>
      </w:r>
      <w:r>
        <w:rPr>
          <w:rFonts w:ascii="Calibri" w:hAnsi="Calibri"/>
          <w:spacing w:val="-8"/>
          <w:sz w:val="20"/>
        </w:rPr>
        <w:t> </w:t>
      </w:r>
      <w:r>
        <w:rPr>
          <w:rFonts w:ascii="Calibri" w:hAnsi="Calibri"/>
          <w:sz w:val="20"/>
        </w:rPr>
        <w:t>a</w:t>
      </w:r>
      <w:r>
        <w:rPr>
          <w:rFonts w:ascii="Calibri" w:hAnsi="Calibri"/>
          <w:spacing w:val="-11"/>
          <w:sz w:val="20"/>
        </w:rPr>
        <w:t> </w:t>
      </w:r>
      <w:r>
        <w:rPr>
          <w:rFonts w:ascii="Calibri" w:hAnsi="Calibri"/>
          <w:sz w:val="20"/>
        </w:rPr>
        <w:t>este</w:t>
      </w:r>
      <w:r>
        <w:rPr>
          <w:rFonts w:ascii="Calibri" w:hAnsi="Calibri"/>
          <w:spacing w:val="-11"/>
          <w:sz w:val="20"/>
        </w:rPr>
        <w:t> </w:t>
      </w:r>
      <w:r>
        <w:rPr>
          <w:rFonts w:ascii="Calibri" w:hAnsi="Calibri"/>
          <w:sz w:val="20"/>
        </w:rPr>
        <w:t>Tribunal</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Cuentas</w:t>
      </w:r>
      <w:r>
        <w:rPr>
          <w:rFonts w:ascii="Calibri" w:hAnsi="Calibri"/>
          <w:spacing w:val="-5"/>
          <w:sz w:val="20"/>
        </w:rPr>
        <w:t> </w:t>
      </w:r>
      <w:r>
        <w:rPr>
          <w:rFonts w:ascii="Calibri" w:hAnsi="Calibri"/>
          <w:sz w:val="20"/>
        </w:rPr>
        <w:t>que</w:t>
      </w:r>
      <w:r>
        <w:rPr>
          <w:rFonts w:ascii="Calibri" w:hAnsi="Calibri"/>
          <w:spacing w:val="-9"/>
          <w:sz w:val="20"/>
        </w:rPr>
        <w:t> </w:t>
      </w:r>
      <w:r>
        <w:rPr>
          <w:rFonts w:ascii="Calibri" w:hAnsi="Calibri"/>
          <w:sz w:val="20"/>
        </w:rPr>
        <w:t>tenga</w:t>
      </w:r>
      <w:r>
        <w:rPr>
          <w:rFonts w:ascii="Calibri" w:hAnsi="Calibri"/>
          <w:spacing w:val="-9"/>
          <w:sz w:val="20"/>
        </w:rPr>
        <w:t> </w:t>
      </w:r>
      <w:r>
        <w:rPr>
          <w:rFonts w:ascii="Calibri" w:hAnsi="Calibri"/>
          <w:sz w:val="20"/>
        </w:rPr>
        <w:t>por</w:t>
      </w:r>
      <w:r>
        <w:rPr>
          <w:rFonts w:ascii="Calibri" w:hAnsi="Calibri"/>
          <w:spacing w:val="-11"/>
          <w:sz w:val="20"/>
        </w:rPr>
        <w:t> </w:t>
      </w:r>
      <w:r>
        <w:rPr>
          <w:rFonts w:ascii="Calibri" w:hAnsi="Calibri"/>
          <w:sz w:val="20"/>
        </w:rPr>
        <w:t>acreditado</w:t>
      </w:r>
      <w:r>
        <w:rPr>
          <w:rFonts w:ascii="Calibri" w:hAnsi="Calibri"/>
          <w:spacing w:val="-7"/>
          <w:sz w:val="20"/>
        </w:rPr>
        <w:t> </w:t>
      </w:r>
      <w:r>
        <w:rPr>
          <w:rFonts w:ascii="Calibri" w:hAnsi="Calibri"/>
          <w:sz w:val="20"/>
        </w:rPr>
        <w:t>que tanto</w:t>
      </w:r>
      <w:r>
        <w:rPr>
          <w:rFonts w:ascii="Calibri" w:hAnsi="Calibri"/>
          <w:spacing w:val="-7"/>
          <w:sz w:val="20"/>
        </w:rPr>
        <w:t> </w:t>
      </w:r>
      <w:r>
        <w:rPr>
          <w:rFonts w:ascii="Calibri" w:hAnsi="Calibri"/>
          <w:sz w:val="20"/>
        </w:rPr>
        <w:t>el</w:t>
      </w:r>
      <w:r>
        <w:rPr>
          <w:rFonts w:ascii="Calibri" w:hAnsi="Calibri"/>
          <w:spacing w:val="-10"/>
          <w:sz w:val="20"/>
        </w:rPr>
        <w:t> </w:t>
      </w:r>
      <w:r>
        <w:rPr>
          <w:rFonts w:ascii="Calibri" w:hAnsi="Calibri"/>
          <w:sz w:val="20"/>
        </w:rPr>
        <w:t>Ayuntamiento</w:t>
      </w:r>
      <w:r>
        <w:rPr>
          <w:rFonts w:ascii="Calibri" w:hAnsi="Calibri"/>
          <w:spacing w:val="-7"/>
          <w:sz w:val="20"/>
        </w:rPr>
        <w:t> </w:t>
      </w:r>
      <w:r>
        <w:rPr>
          <w:rFonts w:ascii="Calibri" w:hAnsi="Calibri"/>
          <w:sz w:val="20"/>
        </w:rPr>
        <w:t>de</w:t>
      </w:r>
      <w:r>
        <w:rPr>
          <w:rFonts w:ascii="Calibri" w:hAnsi="Calibri"/>
          <w:spacing w:val="-10"/>
          <w:sz w:val="20"/>
        </w:rPr>
        <w:t> </w:t>
      </w:r>
      <w:r>
        <w:rPr>
          <w:rFonts w:ascii="Calibri" w:hAnsi="Calibri"/>
          <w:sz w:val="20"/>
        </w:rPr>
        <w:t>Málaga</w:t>
      </w:r>
      <w:r>
        <w:rPr>
          <w:rFonts w:ascii="Calibri" w:hAnsi="Calibri"/>
          <w:spacing w:val="-6"/>
          <w:sz w:val="20"/>
        </w:rPr>
        <w:t> </w:t>
      </w:r>
      <w:r>
        <w:rPr>
          <w:rFonts w:ascii="Calibri" w:hAnsi="Calibri"/>
          <w:sz w:val="20"/>
        </w:rPr>
        <w:t>como</w:t>
      </w:r>
      <w:r>
        <w:rPr>
          <w:rFonts w:ascii="Calibri" w:hAnsi="Calibri"/>
          <w:spacing w:val="-9"/>
          <w:sz w:val="20"/>
        </w:rPr>
        <w:t> </w:t>
      </w:r>
      <w:r>
        <w:rPr>
          <w:rFonts w:ascii="Calibri" w:hAnsi="Calibri"/>
          <w:sz w:val="20"/>
        </w:rPr>
        <w:t>su</w:t>
      </w:r>
      <w:r>
        <w:rPr>
          <w:rFonts w:ascii="Calibri" w:hAnsi="Calibri"/>
          <w:spacing w:val="-7"/>
          <w:sz w:val="20"/>
        </w:rPr>
        <w:t> </w:t>
      </w:r>
      <w:r>
        <w:rPr>
          <w:rFonts w:ascii="Calibri" w:hAnsi="Calibri"/>
          <w:sz w:val="20"/>
        </w:rPr>
        <w:t>entidad</w:t>
      </w:r>
      <w:r>
        <w:rPr>
          <w:rFonts w:ascii="Calibri" w:hAnsi="Calibri"/>
          <w:spacing w:val="-8"/>
          <w:sz w:val="20"/>
        </w:rPr>
        <w:t> </w:t>
      </w:r>
      <w:r>
        <w:rPr>
          <w:rFonts w:ascii="Calibri" w:hAnsi="Calibri"/>
          <w:sz w:val="20"/>
        </w:rPr>
        <w:t>dependiente,</w:t>
      </w:r>
      <w:r>
        <w:rPr>
          <w:rFonts w:ascii="Calibri" w:hAnsi="Calibri"/>
          <w:spacing w:val="-7"/>
          <w:sz w:val="20"/>
        </w:rPr>
        <w:t> </w:t>
      </w:r>
      <w:r>
        <w:rPr>
          <w:rFonts w:ascii="Calibri" w:hAnsi="Calibri"/>
          <w:sz w:val="20"/>
        </w:rPr>
        <w:t>la</w:t>
      </w:r>
      <w:r>
        <w:rPr>
          <w:rFonts w:ascii="Calibri" w:hAnsi="Calibri"/>
          <w:spacing w:val="-6"/>
          <w:sz w:val="20"/>
        </w:rPr>
        <w:t> </w:t>
      </w:r>
      <w:r>
        <w:rPr>
          <w:rFonts w:ascii="Calibri" w:hAnsi="Calibri"/>
          <w:sz w:val="20"/>
        </w:rPr>
        <w:t>Empresa</w:t>
      </w:r>
      <w:r>
        <w:rPr>
          <w:rFonts w:ascii="Calibri" w:hAnsi="Calibri"/>
          <w:spacing w:val="-6"/>
          <w:sz w:val="20"/>
        </w:rPr>
        <w:t> </w:t>
      </w:r>
      <w:r>
        <w:rPr>
          <w:rFonts w:ascii="Calibri" w:hAnsi="Calibri"/>
          <w:sz w:val="20"/>
        </w:rPr>
        <w:t>Malagueña</w:t>
      </w:r>
      <w:r>
        <w:rPr>
          <w:rFonts w:ascii="Calibri" w:hAnsi="Calibri"/>
          <w:spacing w:val="-9"/>
          <w:sz w:val="20"/>
        </w:rPr>
        <w:t> </w:t>
      </w:r>
      <w:r>
        <w:rPr>
          <w:rFonts w:ascii="Calibri" w:hAnsi="Calibri"/>
          <w:sz w:val="20"/>
        </w:rPr>
        <w:t>de Transportes, S.A.M. (EMTSAM), cumplen plenamente con las obligaciones de publicidad activa y transparencia. El Ayuntamiento continúa ampliando progresivamente la información publicada en su portal de transparencia, mientras que la EMT no dispone de directrices,</w:t>
      </w:r>
      <w:r>
        <w:rPr>
          <w:rFonts w:ascii="Calibri" w:hAnsi="Calibri"/>
          <w:spacing w:val="-9"/>
          <w:sz w:val="20"/>
        </w:rPr>
        <w:t> </w:t>
      </w:r>
      <w:r>
        <w:rPr>
          <w:rFonts w:ascii="Calibri" w:hAnsi="Calibri"/>
          <w:sz w:val="20"/>
        </w:rPr>
        <w:t>instrucciones</w:t>
      </w:r>
      <w:r>
        <w:rPr>
          <w:rFonts w:ascii="Calibri" w:hAnsi="Calibri"/>
          <w:spacing w:val="-8"/>
          <w:sz w:val="20"/>
        </w:rPr>
        <w:t> </w:t>
      </w:r>
      <w:r>
        <w:rPr>
          <w:rFonts w:ascii="Calibri" w:hAnsi="Calibri"/>
          <w:sz w:val="20"/>
        </w:rPr>
        <w:t>o</w:t>
      </w:r>
      <w:r>
        <w:rPr>
          <w:rFonts w:ascii="Calibri" w:hAnsi="Calibri"/>
          <w:spacing w:val="-9"/>
          <w:sz w:val="20"/>
        </w:rPr>
        <w:t> </w:t>
      </w:r>
      <w:r>
        <w:rPr>
          <w:rFonts w:ascii="Calibri" w:hAnsi="Calibri"/>
          <w:sz w:val="20"/>
        </w:rPr>
        <w:t>acuerdos</w:t>
      </w:r>
      <w:r>
        <w:rPr>
          <w:rFonts w:ascii="Calibri" w:hAnsi="Calibri"/>
          <w:spacing w:val="-8"/>
          <w:sz w:val="20"/>
        </w:rPr>
        <w:t> </w:t>
      </w:r>
      <w:r>
        <w:rPr>
          <w:rFonts w:ascii="Calibri" w:hAnsi="Calibri"/>
          <w:sz w:val="20"/>
        </w:rPr>
        <w:t>con</w:t>
      </w:r>
      <w:r>
        <w:rPr>
          <w:rFonts w:ascii="Calibri" w:hAnsi="Calibri"/>
          <w:spacing w:val="-10"/>
          <w:sz w:val="20"/>
        </w:rPr>
        <w:t> </w:t>
      </w:r>
      <w:r>
        <w:rPr>
          <w:rFonts w:ascii="Calibri" w:hAnsi="Calibri"/>
          <w:sz w:val="20"/>
        </w:rPr>
        <w:t>efectos</w:t>
      </w:r>
      <w:r>
        <w:rPr>
          <w:rFonts w:ascii="Calibri" w:hAnsi="Calibri"/>
          <w:spacing w:val="-6"/>
          <w:sz w:val="20"/>
        </w:rPr>
        <w:t> </w:t>
      </w:r>
      <w:r>
        <w:rPr>
          <w:rFonts w:ascii="Calibri" w:hAnsi="Calibri"/>
          <w:sz w:val="20"/>
        </w:rPr>
        <w:t>jurídicos</w:t>
      </w:r>
      <w:r>
        <w:rPr>
          <w:rFonts w:ascii="Calibri" w:hAnsi="Calibri"/>
          <w:spacing w:val="-8"/>
          <w:sz w:val="20"/>
        </w:rPr>
        <w:t> </w:t>
      </w:r>
      <w:r>
        <w:rPr>
          <w:rFonts w:ascii="Calibri" w:hAnsi="Calibri"/>
          <w:sz w:val="20"/>
        </w:rPr>
        <w:t>cuya</w:t>
      </w:r>
      <w:r>
        <w:rPr>
          <w:rFonts w:ascii="Calibri" w:hAnsi="Calibri"/>
          <w:spacing w:val="-9"/>
          <w:sz w:val="20"/>
        </w:rPr>
        <w:t> </w:t>
      </w:r>
      <w:r>
        <w:rPr>
          <w:rFonts w:ascii="Calibri" w:hAnsi="Calibri"/>
          <w:sz w:val="20"/>
        </w:rPr>
        <w:t>publicación</w:t>
      </w:r>
      <w:r>
        <w:rPr>
          <w:rFonts w:ascii="Calibri" w:hAnsi="Calibri"/>
          <w:spacing w:val="-10"/>
          <w:sz w:val="20"/>
        </w:rPr>
        <w:t> </w:t>
      </w:r>
      <w:r>
        <w:rPr>
          <w:rFonts w:ascii="Calibri" w:hAnsi="Calibri"/>
          <w:sz w:val="20"/>
        </w:rPr>
        <w:t>resulte</w:t>
      </w:r>
      <w:r>
        <w:rPr>
          <w:rFonts w:ascii="Calibri" w:hAnsi="Calibri"/>
          <w:spacing w:val="-9"/>
          <w:sz w:val="20"/>
        </w:rPr>
        <w:t> </w:t>
      </w:r>
      <w:r>
        <w:rPr>
          <w:rFonts w:ascii="Calibri" w:hAnsi="Calibri"/>
          <w:sz w:val="20"/>
        </w:rPr>
        <w:t>exigible, por no generarse tales documentos en el ámbito de su actividad.</w:t>
      </w:r>
    </w:p>
    <w:p>
      <w:pPr>
        <w:spacing w:line="259" w:lineRule="auto" w:before="146"/>
        <w:ind w:left="2251" w:right="2020" w:firstLine="0"/>
        <w:jc w:val="both"/>
        <w:rPr>
          <w:rFonts w:ascii="Calibri" w:hAnsi="Calibri"/>
          <w:sz w:val="20"/>
        </w:rPr>
      </w:pPr>
      <w:r>
        <w:rPr>
          <w:rFonts w:ascii="Calibri" w:hAnsi="Calibri"/>
          <w:sz w:val="20"/>
          <w:u w:val="single"/>
        </w:rPr>
        <w:t>En consecuencia, al no existir incumplimiento alguno y ajustarse la actuación de ambas</w:t>
      </w:r>
      <w:r>
        <w:rPr>
          <w:rFonts w:ascii="Calibri" w:hAnsi="Calibri"/>
          <w:sz w:val="20"/>
          <w:u w:val="none"/>
        </w:rPr>
        <w:t> </w:t>
      </w:r>
      <w:r>
        <w:rPr>
          <w:rFonts w:ascii="Calibri" w:hAnsi="Calibri"/>
          <w:sz w:val="20"/>
          <w:u w:val="single"/>
        </w:rPr>
        <w:t>entidades a la normativa de transparencia vigente, se solicita la supresión de dicha</w:t>
      </w:r>
      <w:r>
        <w:rPr>
          <w:rFonts w:ascii="Calibri" w:hAnsi="Calibri"/>
          <w:sz w:val="20"/>
          <w:u w:val="none"/>
        </w:rPr>
        <w:t> </w:t>
      </w:r>
      <w:r>
        <w:rPr>
          <w:rFonts w:ascii="Calibri" w:hAnsi="Calibri"/>
          <w:sz w:val="20"/>
          <w:u w:val="single"/>
        </w:rPr>
        <w:t>observación en el texto definitivo del informe.</w:t>
      </w:r>
    </w:p>
    <w:p>
      <w:pPr>
        <w:pStyle w:val="BodyText"/>
        <w:rPr>
          <w:rFonts w:ascii="Calibri"/>
          <w:sz w:val="20"/>
        </w:rPr>
      </w:pPr>
    </w:p>
    <w:p>
      <w:pPr>
        <w:pStyle w:val="BodyText"/>
        <w:spacing w:before="58"/>
        <w:rPr>
          <w:rFonts w:ascii="Calibri"/>
          <w:sz w:val="20"/>
        </w:rPr>
      </w:pPr>
    </w:p>
    <w:p>
      <w:pPr>
        <w:pStyle w:val="ListParagraph"/>
        <w:numPr>
          <w:ilvl w:val="0"/>
          <w:numId w:val="18"/>
        </w:numPr>
        <w:tabs>
          <w:tab w:pos="2179" w:val="left" w:leader="none"/>
        </w:tabs>
        <w:spacing w:line="240" w:lineRule="auto" w:before="0" w:after="0"/>
        <w:ind w:left="2179" w:right="0" w:hanging="254"/>
        <w:jc w:val="left"/>
        <w:rPr>
          <w:rFonts w:ascii="Calibri"/>
          <w:sz w:val="20"/>
        </w:rPr>
      </w:pPr>
      <w:r>
        <w:rPr>
          <w:rFonts w:ascii="Calibri"/>
          <w:sz w:val="20"/>
        </w:rPr>
        <w:t>CONCLUSIONES</w:t>
      </w:r>
      <w:r>
        <w:rPr>
          <w:rFonts w:ascii="Calibri"/>
          <w:spacing w:val="-6"/>
          <w:sz w:val="20"/>
        </w:rPr>
        <w:t> </w:t>
      </w:r>
      <w:r>
        <w:rPr>
          <w:rFonts w:ascii="Calibri"/>
          <w:sz w:val="20"/>
        </w:rPr>
        <w:t>Y</w:t>
      </w:r>
      <w:r>
        <w:rPr>
          <w:rFonts w:ascii="Calibri"/>
          <w:spacing w:val="-3"/>
          <w:sz w:val="20"/>
        </w:rPr>
        <w:t> </w:t>
      </w:r>
      <w:r>
        <w:rPr>
          <w:rFonts w:ascii="Calibri"/>
          <w:spacing w:val="-2"/>
          <w:sz w:val="20"/>
        </w:rPr>
        <w:t>RECOMENDACIONES</w:t>
      </w:r>
    </w:p>
    <w:p>
      <w:pPr>
        <w:spacing w:before="161"/>
        <w:ind w:left="1925" w:right="0" w:firstLine="0"/>
        <w:jc w:val="left"/>
        <w:rPr>
          <w:rFonts w:ascii="Calibri" w:hAnsi="Calibri"/>
          <w:sz w:val="20"/>
        </w:rPr>
      </w:pPr>
      <w:r>
        <w:rPr>
          <w:rFonts w:ascii="Calibri" w:hAnsi="Calibri"/>
          <w:sz w:val="20"/>
        </w:rPr>
        <w:t>III.2.</w:t>
      </w:r>
      <w:r>
        <w:rPr>
          <w:rFonts w:ascii="Calibri" w:hAnsi="Calibri"/>
          <w:spacing w:val="-2"/>
          <w:sz w:val="20"/>
        </w:rPr>
        <w:t> </w:t>
      </w:r>
      <w:r>
        <w:rPr>
          <w:rFonts w:ascii="Calibri" w:hAnsi="Calibri"/>
          <w:sz w:val="20"/>
        </w:rPr>
        <w:t>RELATIVAS A</w:t>
      </w:r>
      <w:r>
        <w:rPr>
          <w:rFonts w:ascii="Calibri" w:hAnsi="Calibri"/>
          <w:spacing w:val="1"/>
          <w:sz w:val="20"/>
        </w:rPr>
        <w:t> </w:t>
      </w:r>
      <w:r>
        <w:rPr>
          <w:rFonts w:ascii="Calibri" w:hAnsi="Calibri"/>
          <w:sz w:val="20"/>
        </w:rPr>
        <w:t>LA</w:t>
      </w:r>
      <w:r>
        <w:rPr>
          <w:rFonts w:ascii="Calibri" w:hAnsi="Calibri"/>
          <w:spacing w:val="2"/>
          <w:sz w:val="20"/>
        </w:rPr>
        <w:t> </w:t>
      </w:r>
      <w:r>
        <w:rPr>
          <w:rFonts w:ascii="Calibri" w:hAnsi="Calibri"/>
          <w:sz w:val="20"/>
        </w:rPr>
        <w:t>PLANIFICACIÓN</w:t>
      </w:r>
      <w:r>
        <w:rPr>
          <w:rFonts w:ascii="Calibri" w:hAnsi="Calibri"/>
          <w:spacing w:val="2"/>
          <w:sz w:val="20"/>
        </w:rPr>
        <w:t> </w:t>
      </w:r>
      <w:r>
        <w:rPr>
          <w:rFonts w:ascii="Calibri" w:hAnsi="Calibri"/>
          <w:sz w:val="20"/>
        </w:rPr>
        <w:t>SOBRE MOVILIDAD </w:t>
      </w:r>
      <w:r>
        <w:rPr>
          <w:rFonts w:ascii="Calibri" w:hAnsi="Calibri"/>
          <w:spacing w:val="-2"/>
          <w:sz w:val="20"/>
        </w:rPr>
        <w:t>SOSTENIBLE</w:t>
      </w:r>
    </w:p>
    <w:p>
      <w:pPr>
        <w:spacing w:line="256" w:lineRule="auto" w:before="162"/>
        <w:ind w:left="2251" w:right="2021" w:hanging="327"/>
        <w:jc w:val="both"/>
        <w:rPr>
          <w:rFonts w:ascii="Calibri" w:hAnsi="Calibri"/>
          <w:i/>
          <w:sz w:val="20"/>
        </w:rPr>
      </w:pPr>
      <w:r>
        <w:rPr>
          <w:rFonts w:ascii="Calibri" w:hAnsi="Calibri"/>
          <w:color w:val="4472C4"/>
          <w:sz w:val="20"/>
        </w:rPr>
        <w:t>-</w:t>
      </w:r>
      <w:r>
        <w:rPr>
          <w:rFonts w:ascii="Calibri" w:hAnsi="Calibri"/>
          <w:color w:val="4472C4"/>
          <w:spacing w:val="80"/>
          <w:sz w:val="20"/>
        </w:rPr>
        <w:t>  </w:t>
      </w:r>
      <w:r>
        <w:rPr>
          <w:rFonts w:ascii="Calibri" w:hAnsi="Calibri"/>
          <w:i/>
          <w:color w:val="4472C4"/>
          <w:sz w:val="20"/>
        </w:rPr>
        <w:t>En la</w:t>
      </w:r>
      <w:r>
        <w:rPr>
          <w:rFonts w:ascii="Calibri" w:hAnsi="Calibri"/>
          <w:i/>
          <w:color w:val="4472C4"/>
          <w:spacing w:val="25"/>
          <w:sz w:val="20"/>
        </w:rPr>
        <w:t> </w:t>
      </w:r>
      <w:r>
        <w:rPr>
          <w:rFonts w:ascii="Calibri" w:hAnsi="Calibri"/>
          <w:i/>
          <w:color w:val="4472C4"/>
          <w:sz w:val="20"/>
        </w:rPr>
        <w:t>Pág</w:t>
      </w:r>
      <w:r>
        <w:rPr>
          <w:rFonts w:ascii="Calibri" w:hAnsi="Calibri"/>
          <w:i/>
          <w:color w:val="4472C4"/>
          <w:spacing w:val="26"/>
          <w:sz w:val="20"/>
        </w:rPr>
        <w:t> </w:t>
      </w:r>
      <w:r>
        <w:rPr>
          <w:rFonts w:ascii="Calibri" w:hAnsi="Calibri"/>
          <w:i/>
          <w:color w:val="4472C4"/>
          <w:sz w:val="20"/>
        </w:rPr>
        <w:t>97 se establece lo</w:t>
      </w:r>
      <w:r>
        <w:rPr>
          <w:rFonts w:ascii="Calibri" w:hAnsi="Calibri"/>
          <w:i/>
          <w:color w:val="4472C4"/>
          <w:spacing w:val="25"/>
          <w:sz w:val="20"/>
        </w:rPr>
        <w:t> </w:t>
      </w:r>
      <w:r>
        <w:rPr>
          <w:rFonts w:ascii="Calibri" w:hAnsi="Calibri"/>
          <w:i/>
          <w:color w:val="4472C4"/>
          <w:sz w:val="20"/>
        </w:rPr>
        <w:t>siguiente:</w:t>
      </w:r>
      <w:r>
        <w:rPr>
          <w:rFonts w:ascii="Calibri" w:hAnsi="Calibri"/>
          <w:i/>
          <w:color w:val="4472C4"/>
          <w:spacing w:val="26"/>
          <w:sz w:val="20"/>
        </w:rPr>
        <w:t> </w:t>
      </w:r>
      <w:r>
        <w:rPr>
          <w:rFonts w:ascii="Calibri" w:hAnsi="Calibri"/>
          <w:i/>
          <w:color w:val="4472C4"/>
          <w:sz w:val="20"/>
        </w:rPr>
        <w:t>“</w:t>
      </w:r>
      <w:r>
        <w:rPr>
          <w:rFonts w:ascii="Calibri" w:hAnsi="Calibri"/>
          <w:i/>
          <w:color w:val="4472C4"/>
          <w:sz w:val="20"/>
          <w:u w:val="single" w:color="4472C4"/>
        </w:rPr>
        <w:t>los PMUS de la</w:t>
      </w:r>
      <w:r>
        <w:rPr>
          <w:rFonts w:ascii="Calibri" w:hAnsi="Calibri"/>
          <w:i/>
          <w:color w:val="4472C4"/>
          <w:spacing w:val="26"/>
          <w:sz w:val="20"/>
          <w:u w:val="single" w:color="4472C4"/>
        </w:rPr>
        <w:t> </w:t>
      </w:r>
      <w:r>
        <w:rPr>
          <w:rFonts w:ascii="Calibri" w:hAnsi="Calibri"/>
          <w:i/>
          <w:color w:val="4472C4"/>
          <w:sz w:val="20"/>
          <w:u w:val="single" w:color="4472C4"/>
        </w:rPr>
        <w:t>mayoría de los ayuntamientos,</w:t>
      </w:r>
      <w:r>
        <w:rPr>
          <w:rFonts w:ascii="Calibri" w:hAnsi="Calibri"/>
          <w:i/>
          <w:color w:val="4472C4"/>
          <w:sz w:val="20"/>
          <w:u w:val="none"/>
        </w:rPr>
        <w:t> </w:t>
      </w:r>
      <w:r>
        <w:rPr>
          <w:rFonts w:ascii="Calibri" w:hAnsi="Calibri"/>
          <w:i/>
          <w:color w:val="4472C4"/>
          <w:sz w:val="20"/>
          <w:u w:val="single" w:color="4472C4"/>
        </w:rPr>
        <w:t>salvo</w:t>
      </w:r>
      <w:r>
        <w:rPr>
          <w:rFonts w:ascii="Calibri" w:hAnsi="Calibri"/>
          <w:i/>
          <w:color w:val="4472C4"/>
          <w:spacing w:val="40"/>
          <w:sz w:val="20"/>
          <w:u w:val="single" w:color="4472C4"/>
        </w:rPr>
        <w:t> </w:t>
      </w:r>
      <w:r>
        <w:rPr>
          <w:rFonts w:ascii="Calibri" w:hAnsi="Calibri"/>
          <w:i/>
          <w:color w:val="4472C4"/>
          <w:sz w:val="20"/>
          <w:u w:val="single" w:color="4472C4"/>
        </w:rPr>
        <w:t>el</w:t>
      </w:r>
      <w:r>
        <w:rPr>
          <w:rFonts w:ascii="Calibri" w:hAnsi="Calibri"/>
          <w:i/>
          <w:color w:val="4472C4"/>
          <w:spacing w:val="37"/>
          <w:sz w:val="20"/>
          <w:u w:val="single" w:color="4472C4"/>
        </w:rPr>
        <w:t> </w:t>
      </w:r>
      <w:r>
        <w:rPr>
          <w:rFonts w:ascii="Calibri" w:hAnsi="Calibri"/>
          <w:i/>
          <w:color w:val="4472C4"/>
          <w:sz w:val="20"/>
          <w:u w:val="single" w:color="4472C4"/>
        </w:rPr>
        <w:t>del</w:t>
      </w:r>
      <w:r>
        <w:rPr>
          <w:rFonts w:ascii="Calibri" w:hAnsi="Calibri"/>
          <w:i/>
          <w:color w:val="4472C4"/>
          <w:spacing w:val="40"/>
          <w:sz w:val="20"/>
          <w:u w:val="single" w:color="4472C4"/>
        </w:rPr>
        <w:t> </w:t>
      </w:r>
      <w:r>
        <w:rPr>
          <w:rFonts w:ascii="Calibri" w:hAnsi="Calibri"/>
          <w:i/>
          <w:color w:val="4472C4"/>
          <w:sz w:val="20"/>
          <w:u w:val="single" w:color="4472C4"/>
        </w:rPr>
        <w:t>Ayuntamiento</w:t>
      </w:r>
      <w:r>
        <w:rPr>
          <w:rFonts w:ascii="Calibri" w:hAnsi="Calibri"/>
          <w:i/>
          <w:color w:val="4472C4"/>
          <w:spacing w:val="37"/>
          <w:sz w:val="20"/>
          <w:u w:val="single" w:color="4472C4"/>
        </w:rPr>
        <w:t> </w:t>
      </w:r>
      <w:r>
        <w:rPr>
          <w:rFonts w:ascii="Calibri" w:hAnsi="Calibri"/>
          <w:i/>
          <w:color w:val="4472C4"/>
          <w:sz w:val="20"/>
          <w:u w:val="single" w:color="4472C4"/>
        </w:rPr>
        <w:t>de</w:t>
      </w:r>
      <w:r>
        <w:rPr>
          <w:rFonts w:ascii="Calibri" w:hAnsi="Calibri"/>
          <w:i/>
          <w:color w:val="4472C4"/>
          <w:spacing w:val="37"/>
          <w:sz w:val="20"/>
          <w:u w:val="single" w:color="4472C4"/>
        </w:rPr>
        <w:t> </w:t>
      </w:r>
      <w:r>
        <w:rPr>
          <w:rFonts w:ascii="Calibri" w:hAnsi="Calibri"/>
          <w:i/>
          <w:color w:val="4472C4"/>
          <w:sz w:val="20"/>
          <w:u w:val="single" w:color="4472C4"/>
        </w:rPr>
        <w:t>Palma,</w:t>
      </w:r>
      <w:r>
        <w:rPr>
          <w:rFonts w:ascii="Calibri" w:hAnsi="Calibri"/>
          <w:i/>
          <w:color w:val="4472C4"/>
          <w:spacing w:val="37"/>
          <w:sz w:val="20"/>
          <w:u w:val="single" w:color="4472C4"/>
        </w:rPr>
        <w:t> </w:t>
      </w:r>
      <w:r>
        <w:rPr>
          <w:rFonts w:ascii="Calibri" w:hAnsi="Calibri"/>
          <w:i/>
          <w:color w:val="4472C4"/>
          <w:sz w:val="20"/>
          <w:u w:val="single" w:color="4472C4"/>
        </w:rPr>
        <w:t>se</w:t>
      </w:r>
      <w:r>
        <w:rPr>
          <w:rFonts w:ascii="Calibri" w:hAnsi="Calibri"/>
          <w:i/>
          <w:color w:val="4472C4"/>
          <w:spacing w:val="40"/>
          <w:sz w:val="20"/>
          <w:u w:val="single" w:color="4472C4"/>
        </w:rPr>
        <w:t> </w:t>
      </w:r>
      <w:r>
        <w:rPr>
          <w:rFonts w:ascii="Calibri" w:hAnsi="Calibri"/>
          <w:i/>
          <w:color w:val="4472C4"/>
          <w:sz w:val="20"/>
          <w:u w:val="single" w:color="4472C4"/>
        </w:rPr>
        <w:t>"aprobaron</w:t>
      </w:r>
      <w:r>
        <w:rPr>
          <w:rFonts w:ascii="Calibri" w:hAnsi="Calibri"/>
          <w:i/>
          <w:color w:val="4472C4"/>
          <w:spacing w:val="38"/>
          <w:sz w:val="20"/>
          <w:u w:val="single" w:color="4472C4"/>
        </w:rPr>
        <w:t> </w:t>
      </w:r>
      <w:r>
        <w:rPr>
          <w:rFonts w:ascii="Calibri" w:hAnsi="Calibri"/>
          <w:i/>
          <w:color w:val="4472C4"/>
          <w:sz w:val="20"/>
          <w:u w:val="single" w:color="4472C4"/>
        </w:rPr>
        <w:t>con</w:t>
      </w:r>
      <w:r>
        <w:rPr>
          <w:rFonts w:ascii="Calibri" w:hAnsi="Calibri"/>
          <w:i/>
          <w:color w:val="4472C4"/>
          <w:spacing w:val="40"/>
          <w:sz w:val="20"/>
          <w:u w:val="single" w:color="4472C4"/>
        </w:rPr>
        <w:t> </w:t>
      </w:r>
      <w:r>
        <w:rPr>
          <w:rFonts w:ascii="Calibri" w:hAnsi="Calibri"/>
          <w:i/>
          <w:color w:val="4472C4"/>
          <w:sz w:val="20"/>
          <w:u w:val="single" w:color="4472C4"/>
        </w:rPr>
        <w:t>anterioridad</w:t>
      </w:r>
      <w:r>
        <w:rPr>
          <w:rFonts w:ascii="Calibri" w:hAnsi="Calibri"/>
          <w:i/>
          <w:color w:val="4472C4"/>
          <w:spacing w:val="38"/>
          <w:sz w:val="20"/>
          <w:u w:val="single" w:color="4472C4"/>
        </w:rPr>
        <w:t> </w:t>
      </w:r>
      <w:r>
        <w:rPr>
          <w:rFonts w:ascii="Calibri" w:hAnsi="Calibri"/>
          <w:i/>
          <w:color w:val="4472C4"/>
          <w:sz w:val="20"/>
          <w:u w:val="single" w:color="4472C4"/>
        </w:rPr>
        <w:t>a</w:t>
      </w:r>
      <w:r>
        <w:rPr>
          <w:rFonts w:ascii="Calibri" w:hAnsi="Calibri"/>
          <w:i/>
          <w:color w:val="4472C4"/>
          <w:spacing w:val="40"/>
          <w:sz w:val="20"/>
          <w:u w:val="single" w:color="4472C4"/>
        </w:rPr>
        <w:t> </w:t>
      </w:r>
      <w:r>
        <w:rPr>
          <w:rFonts w:ascii="Calibri" w:hAnsi="Calibri"/>
          <w:i/>
          <w:color w:val="4472C4"/>
          <w:sz w:val="20"/>
          <w:u w:val="single" w:color="4472C4"/>
        </w:rPr>
        <w:t>la</w:t>
      </w:r>
      <w:r>
        <w:rPr>
          <w:rFonts w:ascii="Calibri" w:hAnsi="Calibri"/>
          <w:i/>
          <w:color w:val="4472C4"/>
          <w:spacing w:val="37"/>
          <w:sz w:val="20"/>
          <w:u w:val="single" w:color="4472C4"/>
        </w:rPr>
        <w:t> </w:t>
      </w:r>
      <w:r>
        <w:rPr>
          <w:rFonts w:ascii="Calibri" w:hAnsi="Calibri"/>
          <w:i/>
          <w:color w:val="4472C4"/>
          <w:sz w:val="20"/>
          <w:u w:val="single" w:color="4472C4"/>
        </w:rPr>
        <w:t>entrada</w:t>
      </w:r>
      <w:r>
        <w:rPr>
          <w:rFonts w:ascii="Calibri" w:hAnsi="Calibri"/>
          <w:i/>
          <w:color w:val="4472C4"/>
          <w:spacing w:val="39"/>
          <w:sz w:val="20"/>
          <w:u w:val="single" w:color="4472C4"/>
        </w:rPr>
        <w:t> </w:t>
      </w:r>
      <w:r>
        <w:rPr>
          <w:rFonts w:ascii="Calibri" w:hAnsi="Calibri"/>
          <w:i/>
          <w:color w:val="4472C4"/>
          <w:sz w:val="20"/>
          <w:u w:val="single" w:color="4472C4"/>
        </w:rPr>
        <w:t>en</w:t>
      </w:r>
      <w:r>
        <w:rPr>
          <w:rFonts w:ascii="Calibri" w:hAnsi="Calibri"/>
          <w:i/>
          <w:color w:val="4472C4"/>
          <w:sz w:val="20"/>
          <w:u w:val="none"/>
        </w:rPr>
        <w:t> </w:t>
      </w:r>
      <w:r>
        <w:rPr>
          <w:rFonts w:ascii="Calibri" w:hAnsi="Calibri"/>
          <w:i/>
          <w:color w:val="4472C4"/>
          <w:sz w:val="20"/>
          <w:u w:val="single" w:color="4472C4"/>
        </w:rPr>
        <w:t>vigor de la Ley de cambio climático y transición energética, sin que se hayan llevado</w:t>
      </w:r>
      <w:r>
        <w:rPr>
          <w:rFonts w:ascii="Calibri" w:hAnsi="Calibri"/>
          <w:i/>
          <w:color w:val="4472C4"/>
          <w:spacing w:val="35"/>
          <w:sz w:val="20"/>
          <w:u w:val="single" w:color="4472C4"/>
        </w:rPr>
        <w:t> </w:t>
      </w:r>
      <w:r>
        <w:rPr>
          <w:rFonts w:ascii="Calibri" w:hAnsi="Calibri"/>
          <w:i/>
          <w:color w:val="4472C4"/>
          <w:sz w:val="20"/>
          <w:u w:val="single" w:color="4472C4"/>
        </w:rPr>
        <w:t>a</w:t>
      </w:r>
      <w:r>
        <w:rPr>
          <w:rFonts w:ascii="Calibri" w:hAnsi="Calibri"/>
          <w:i/>
          <w:color w:val="4472C4"/>
          <w:spacing w:val="40"/>
          <w:sz w:val="20"/>
          <w:u w:val="none"/>
        </w:rPr>
        <w:t> </w:t>
      </w:r>
      <w:r>
        <w:rPr>
          <w:rFonts w:ascii="Calibri" w:hAnsi="Calibri"/>
          <w:i/>
          <w:color w:val="4472C4"/>
          <w:sz w:val="20"/>
          <w:u w:val="single" w:color="4472C4"/>
        </w:rPr>
        <w:t>cabo las modificaciones necesarias para adaptarlos al contenido mínimo previsto. El del</w:t>
      </w:r>
      <w:r>
        <w:rPr>
          <w:rFonts w:ascii="Calibri" w:hAnsi="Calibri"/>
          <w:i/>
          <w:color w:val="4472C4"/>
          <w:sz w:val="20"/>
          <w:u w:val="none"/>
        </w:rPr>
        <w:t> </w:t>
      </w:r>
      <w:r>
        <w:rPr>
          <w:rFonts w:ascii="Calibri" w:hAnsi="Calibri"/>
          <w:i/>
          <w:color w:val="4472C4"/>
          <w:sz w:val="20"/>
          <w:u w:val="single" w:color="4472C4"/>
        </w:rPr>
        <w:t>Ayuntamiento</w:t>
      </w:r>
      <w:r>
        <w:rPr>
          <w:rFonts w:ascii="Calibri" w:hAnsi="Calibri"/>
          <w:i/>
          <w:color w:val="4472C4"/>
          <w:spacing w:val="16"/>
          <w:sz w:val="20"/>
          <w:u w:val="single" w:color="4472C4"/>
        </w:rPr>
        <w:t> </w:t>
      </w:r>
      <w:r>
        <w:rPr>
          <w:rFonts w:ascii="Calibri" w:hAnsi="Calibri"/>
          <w:i/>
          <w:color w:val="4472C4"/>
          <w:sz w:val="20"/>
          <w:u w:val="single" w:color="4472C4"/>
        </w:rPr>
        <w:t>de</w:t>
      </w:r>
      <w:r>
        <w:rPr>
          <w:rFonts w:ascii="Calibri" w:hAnsi="Calibri"/>
          <w:i/>
          <w:color w:val="4472C4"/>
          <w:spacing w:val="14"/>
          <w:sz w:val="20"/>
          <w:u w:val="single" w:color="4472C4"/>
        </w:rPr>
        <w:t> </w:t>
      </w:r>
      <w:r>
        <w:rPr>
          <w:rFonts w:ascii="Calibri" w:hAnsi="Calibri"/>
          <w:i/>
          <w:color w:val="4472C4"/>
          <w:sz w:val="20"/>
          <w:u w:val="single" w:color="4472C4"/>
        </w:rPr>
        <w:t>Málaga,</w:t>
      </w:r>
      <w:r>
        <w:rPr>
          <w:rFonts w:ascii="Calibri" w:hAnsi="Calibri"/>
          <w:i/>
          <w:color w:val="4472C4"/>
          <w:spacing w:val="15"/>
          <w:sz w:val="20"/>
          <w:u w:val="single" w:color="4472C4"/>
        </w:rPr>
        <w:t> </w:t>
      </w:r>
      <w:r>
        <w:rPr>
          <w:rFonts w:ascii="Calibri" w:hAnsi="Calibri"/>
          <w:i/>
          <w:color w:val="4472C4"/>
          <w:sz w:val="20"/>
          <w:u w:val="single" w:color="4472C4"/>
        </w:rPr>
        <w:t>aunque</w:t>
      </w:r>
      <w:r>
        <w:rPr>
          <w:rFonts w:ascii="Calibri" w:hAnsi="Calibri"/>
          <w:i/>
          <w:color w:val="4472C4"/>
          <w:spacing w:val="14"/>
          <w:sz w:val="20"/>
          <w:u w:val="single" w:color="4472C4"/>
        </w:rPr>
        <w:t> </w:t>
      </w:r>
      <w:r>
        <w:rPr>
          <w:rFonts w:ascii="Calibri" w:hAnsi="Calibri"/>
          <w:i/>
          <w:color w:val="4472C4"/>
          <w:sz w:val="20"/>
          <w:u w:val="single" w:color="4472C4"/>
        </w:rPr>
        <w:t>se</w:t>
      </w:r>
      <w:r>
        <w:rPr>
          <w:rFonts w:ascii="Calibri" w:hAnsi="Calibri"/>
          <w:i/>
          <w:color w:val="4472C4"/>
          <w:spacing w:val="14"/>
          <w:sz w:val="20"/>
          <w:u w:val="single" w:color="4472C4"/>
        </w:rPr>
        <w:t> </w:t>
      </w:r>
      <w:r>
        <w:rPr>
          <w:rFonts w:ascii="Calibri" w:hAnsi="Calibri"/>
          <w:i/>
          <w:color w:val="4472C4"/>
          <w:sz w:val="20"/>
          <w:u w:val="single" w:color="4472C4"/>
        </w:rPr>
        <w:t>aprobó</w:t>
      </w:r>
      <w:r>
        <w:rPr>
          <w:rFonts w:ascii="Calibri" w:hAnsi="Calibri"/>
          <w:i/>
          <w:color w:val="4472C4"/>
          <w:spacing w:val="16"/>
          <w:sz w:val="20"/>
          <w:u w:val="single" w:color="4472C4"/>
        </w:rPr>
        <w:t> </w:t>
      </w:r>
      <w:r>
        <w:rPr>
          <w:rFonts w:ascii="Calibri" w:hAnsi="Calibri"/>
          <w:i/>
          <w:color w:val="4472C4"/>
          <w:sz w:val="20"/>
          <w:u w:val="single" w:color="4472C4"/>
        </w:rPr>
        <w:t>un</w:t>
      </w:r>
      <w:r>
        <w:rPr>
          <w:rFonts w:ascii="Calibri" w:hAnsi="Calibri"/>
          <w:i/>
          <w:color w:val="4472C4"/>
          <w:spacing w:val="16"/>
          <w:sz w:val="20"/>
          <w:u w:val="single" w:color="4472C4"/>
        </w:rPr>
        <w:t> </w:t>
      </w:r>
      <w:r>
        <w:rPr>
          <w:rFonts w:ascii="Calibri" w:hAnsi="Calibri"/>
          <w:i/>
          <w:color w:val="4472C4"/>
          <w:sz w:val="20"/>
          <w:u w:val="single" w:color="4472C4"/>
        </w:rPr>
        <w:t>mes</w:t>
      </w:r>
      <w:r>
        <w:rPr>
          <w:rFonts w:ascii="Calibri" w:hAnsi="Calibri"/>
          <w:i/>
          <w:color w:val="4472C4"/>
          <w:spacing w:val="14"/>
          <w:sz w:val="20"/>
          <w:u w:val="single" w:color="4472C4"/>
        </w:rPr>
        <w:t> </w:t>
      </w:r>
      <w:r>
        <w:rPr>
          <w:rFonts w:ascii="Calibri" w:hAnsi="Calibri"/>
          <w:i/>
          <w:color w:val="4472C4"/>
          <w:sz w:val="20"/>
          <w:u w:val="single" w:color="4472C4"/>
        </w:rPr>
        <w:t>más</w:t>
      </w:r>
      <w:r>
        <w:rPr>
          <w:rFonts w:ascii="Calibri" w:hAnsi="Calibri"/>
          <w:i/>
          <w:color w:val="4472C4"/>
          <w:spacing w:val="15"/>
          <w:sz w:val="20"/>
          <w:u w:val="single" w:color="4472C4"/>
        </w:rPr>
        <w:t> </w:t>
      </w:r>
      <w:r>
        <w:rPr>
          <w:rFonts w:ascii="Calibri" w:hAnsi="Calibri"/>
          <w:i/>
          <w:color w:val="4472C4"/>
          <w:sz w:val="20"/>
          <w:u w:val="single" w:color="4472C4"/>
        </w:rPr>
        <w:t>tarde</w:t>
      </w:r>
      <w:r>
        <w:rPr>
          <w:rFonts w:ascii="Calibri" w:hAnsi="Calibri"/>
          <w:i/>
          <w:color w:val="4472C4"/>
          <w:spacing w:val="14"/>
          <w:sz w:val="20"/>
          <w:u w:val="single" w:color="4472C4"/>
        </w:rPr>
        <w:t> </w:t>
      </w:r>
      <w:r>
        <w:rPr>
          <w:rFonts w:ascii="Calibri" w:hAnsi="Calibri"/>
          <w:i/>
          <w:color w:val="4472C4"/>
          <w:sz w:val="20"/>
          <w:u w:val="single" w:color="4472C4"/>
        </w:rPr>
        <w:t>a</w:t>
      </w:r>
      <w:r>
        <w:rPr>
          <w:rFonts w:ascii="Calibri" w:hAnsi="Calibri"/>
          <w:i/>
          <w:color w:val="4472C4"/>
          <w:spacing w:val="14"/>
          <w:sz w:val="20"/>
          <w:u w:val="single" w:color="4472C4"/>
        </w:rPr>
        <w:t> </w:t>
      </w:r>
      <w:r>
        <w:rPr>
          <w:rFonts w:ascii="Calibri" w:hAnsi="Calibri"/>
          <w:i/>
          <w:color w:val="4472C4"/>
          <w:sz w:val="20"/>
          <w:u w:val="single" w:color="4472C4"/>
        </w:rPr>
        <w:t>la</w:t>
      </w:r>
      <w:r>
        <w:rPr>
          <w:rFonts w:ascii="Calibri" w:hAnsi="Calibri"/>
          <w:i/>
          <w:color w:val="4472C4"/>
          <w:spacing w:val="14"/>
          <w:sz w:val="20"/>
          <w:u w:val="single" w:color="4472C4"/>
        </w:rPr>
        <w:t> </w:t>
      </w:r>
      <w:r>
        <w:rPr>
          <w:rFonts w:ascii="Calibri" w:hAnsi="Calibri"/>
          <w:i/>
          <w:color w:val="4472C4"/>
          <w:sz w:val="20"/>
          <w:u w:val="single" w:color="4472C4"/>
        </w:rPr>
        <w:t>entrada</w:t>
      </w:r>
      <w:r>
        <w:rPr>
          <w:rFonts w:ascii="Calibri" w:hAnsi="Calibri"/>
          <w:i/>
          <w:color w:val="4472C4"/>
          <w:spacing w:val="15"/>
          <w:sz w:val="20"/>
          <w:u w:val="single" w:color="4472C4"/>
        </w:rPr>
        <w:t> </w:t>
      </w:r>
      <w:r>
        <w:rPr>
          <w:rFonts w:ascii="Calibri" w:hAnsi="Calibri"/>
          <w:i/>
          <w:color w:val="4472C4"/>
          <w:sz w:val="20"/>
          <w:u w:val="single" w:color="4472C4"/>
        </w:rPr>
        <w:t>en</w:t>
      </w:r>
      <w:r>
        <w:rPr>
          <w:rFonts w:ascii="Calibri" w:hAnsi="Calibri"/>
          <w:i/>
          <w:color w:val="4472C4"/>
          <w:spacing w:val="18"/>
          <w:sz w:val="20"/>
          <w:u w:val="single" w:color="4472C4"/>
        </w:rPr>
        <w:t> </w:t>
      </w:r>
      <w:r>
        <w:rPr>
          <w:rFonts w:ascii="Calibri" w:hAnsi="Calibri"/>
          <w:i/>
          <w:color w:val="4472C4"/>
          <w:sz w:val="20"/>
          <w:u w:val="single" w:color="4472C4"/>
        </w:rPr>
        <w:t>vigor</w:t>
      </w:r>
      <w:r>
        <w:rPr>
          <w:rFonts w:ascii="Calibri" w:hAnsi="Calibri"/>
          <w:i/>
          <w:color w:val="4472C4"/>
          <w:spacing w:val="16"/>
          <w:sz w:val="20"/>
          <w:u w:val="single" w:color="4472C4"/>
        </w:rPr>
        <w:t> </w:t>
      </w:r>
      <w:r>
        <w:rPr>
          <w:rFonts w:ascii="Calibri" w:hAnsi="Calibri"/>
          <w:i/>
          <w:color w:val="4472C4"/>
          <w:sz w:val="20"/>
          <w:u w:val="single" w:color="4472C4"/>
        </w:rPr>
        <w:t>de</w:t>
      </w:r>
      <w:r>
        <w:rPr>
          <w:rFonts w:ascii="Calibri" w:hAnsi="Calibri"/>
          <w:i/>
          <w:color w:val="4472C4"/>
          <w:sz w:val="20"/>
          <w:u w:val="none"/>
        </w:rPr>
        <w:t> </w:t>
      </w:r>
      <w:r>
        <w:rPr>
          <w:rFonts w:ascii="Calibri" w:hAnsi="Calibri"/>
          <w:i/>
          <w:color w:val="4472C4"/>
          <w:sz w:val="20"/>
          <w:u w:val="single" w:color="4472C4"/>
        </w:rPr>
        <w:t>la Ley, se había elaborado y tramitado antes de esa fecha, sin que tampoco se haya</w:t>
      </w:r>
      <w:r>
        <w:rPr>
          <w:rFonts w:ascii="Calibri" w:hAnsi="Calibri"/>
          <w:i/>
          <w:color w:val="4472C4"/>
          <w:sz w:val="20"/>
          <w:u w:val="none"/>
        </w:rPr>
        <w:t> </w:t>
      </w:r>
      <w:r>
        <w:rPr>
          <w:rFonts w:ascii="Calibri" w:hAnsi="Calibri"/>
          <w:i/>
          <w:color w:val="4472C4"/>
          <w:sz w:val="20"/>
          <w:u w:val="single" w:color="4472C4"/>
        </w:rPr>
        <w:t>modificado. RECOMENDACIÓN 1: Los ayuntamientos fiscalizados, salvo el Ayuntamiento</w:t>
      </w:r>
      <w:r>
        <w:rPr>
          <w:rFonts w:ascii="Calibri" w:hAnsi="Calibri"/>
          <w:i/>
          <w:color w:val="4472C4"/>
          <w:spacing w:val="40"/>
          <w:sz w:val="20"/>
          <w:u w:val="none"/>
        </w:rPr>
        <w:t> </w:t>
      </w:r>
      <w:r>
        <w:rPr>
          <w:rFonts w:ascii="Calibri" w:hAnsi="Calibri"/>
          <w:i/>
          <w:color w:val="4472C4"/>
          <w:sz w:val="20"/>
          <w:u w:val="single" w:color="4472C4"/>
        </w:rPr>
        <w:t>de Palma, deberían adoptar las medidas necesarias para adaptar los PMUS a las</w:t>
      </w:r>
      <w:r>
        <w:rPr>
          <w:rFonts w:ascii="Calibri" w:hAnsi="Calibri"/>
          <w:i/>
          <w:color w:val="4472C4"/>
          <w:sz w:val="20"/>
          <w:u w:val="none"/>
        </w:rPr>
        <w:t> </w:t>
      </w:r>
      <w:r>
        <w:rPr>
          <w:rFonts w:ascii="Calibri" w:hAnsi="Calibri"/>
          <w:i/>
          <w:color w:val="4472C4"/>
          <w:sz w:val="20"/>
          <w:u w:val="single" w:color="4472C4"/>
        </w:rPr>
        <w:t>previsiones contenidas en la Ley de cambio climático y transición energética</w:t>
      </w:r>
      <w:r>
        <w:rPr>
          <w:rFonts w:ascii="Calibri" w:hAnsi="Calibri"/>
          <w:i/>
          <w:color w:val="4472C4"/>
          <w:sz w:val="20"/>
          <w:u w:val="none"/>
        </w:rPr>
        <w:t>.”</w:t>
      </w:r>
    </w:p>
    <w:p>
      <w:pPr>
        <w:spacing w:line="259" w:lineRule="auto" w:before="145"/>
        <w:ind w:left="2251" w:right="2023" w:firstLine="0"/>
        <w:jc w:val="both"/>
        <w:rPr>
          <w:rFonts w:ascii="Calibri" w:hAnsi="Calibri"/>
          <w:sz w:val="20"/>
        </w:rPr>
      </w:pPr>
      <w:r>
        <w:rPr>
          <w:rFonts w:ascii="Calibri" w:hAnsi="Calibri"/>
          <w:sz w:val="20"/>
        </w:rPr>
        <w:t>Efectivamente, el Plan de Movilidad Urbana Sostenible de la Ciudad de Málaga se aprobó en</w:t>
      </w:r>
      <w:r>
        <w:rPr>
          <w:rFonts w:ascii="Calibri" w:hAnsi="Calibri"/>
          <w:spacing w:val="-3"/>
          <w:sz w:val="20"/>
        </w:rPr>
        <w:t> </w:t>
      </w:r>
      <w:r>
        <w:rPr>
          <w:rFonts w:ascii="Calibri" w:hAnsi="Calibri"/>
          <w:sz w:val="20"/>
        </w:rPr>
        <w:t>junio</w:t>
      </w:r>
      <w:r>
        <w:rPr>
          <w:rFonts w:ascii="Calibri" w:hAnsi="Calibri"/>
          <w:spacing w:val="-6"/>
          <w:sz w:val="20"/>
        </w:rPr>
        <w:t> </w:t>
      </w:r>
      <w:r>
        <w:rPr>
          <w:rFonts w:ascii="Calibri" w:hAnsi="Calibri"/>
          <w:sz w:val="20"/>
        </w:rPr>
        <w:t>de</w:t>
      </w:r>
      <w:r>
        <w:rPr>
          <w:rFonts w:ascii="Calibri" w:hAnsi="Calibri"/>
          <w:spacing w:val="-6"/>
          <w:sz w:val="20"/>
        </w:rPr>
        <w:t> </w:t>
      </w:r>
      <w:r>
        <w:rPr>
          <w:rFonts w:ascii="Calibri" w:hAnsi="Calibri"/>
          <w:sz w:val="20"/>
        </w:rPr>
        <w:t>2021,</w:t>
      </w:r>
      <w:r>
        <w:rPr>
          <w:rFonts w:ascii="Calibri" w:hAnsi="Calibri"/>
          <w:spacing w:val="-5"/>
          <w:sz w:val="20"/>
        </w:rPr>
        <w:t> </w:t>
      </w:r>
      <w:r>
        <w:rPr>
          <w:rFonts w:ascii="Calibri" w:hAnsi="Calibri"/>
          <w:sz w:val="20"/>
        </w:rPr>
        <w:t>casi</w:t>
      </w:r>
      <w:r>
        <w:rPr>
          <w:rFonts w:ascii="Calibri" w:hAnsi="Calibri"/>
          <w:spacing w:val="-7"/>
          <w:sz w:val="20"/>
        </w:rPr>
        <w:t> </w:t>
      </w:r>
      <w:r>
        <w:rPr>
          <w:rFonts w:ascii="Calibri" w:hAnsi="Calibri"/>
          <w:sz w:val="20"/>
        </w:rPr>
        <w:t>coincidente,</w:t>
      </w:r>
      <w:r>
        <w:rPr>
          <w:rFonts w:ascii="Calibri" w:hAnsi="Calibri"/>
          <w:spacing w:val="-4"/>
          <w:sz w:val="20"/>
        </w:rPr>
        <w:t> </w:t>
      </w:r>
      <w:r>
        <w:rPr>
          <w:rFonts w:ascii="Calibri" w:hAnsi="Calibri"/>
          <w:sz w:val="20"/>
        </w:rPr>
        <w:t>por</w:t>
      </w:r>
      <w:r>
        <w:rPr>
          <w:rFonts w:ascii="Calibri" w:hAnsi="Calibri"/>
          <w:spacing w:val="-4"/>
          <w:sz w:val="20"/>
        </w:rPr>
        <w:t> </w:t>
      </w:r>
      <w:r>
        <w:rPr>
          <w:rFonts w:ascii="Calibri" w:hAnsi="Calibri"/>
          <w:sz w:val="20"/>
        </w:rPr>
        <w:t>tanto,</w:t>
      </w:r>
      <w:r>
        <w:rPr>
          <w:rFonts w:ascii="Calibri" w:hAnsi="Calibri"/>
          <w:spacing w:val="-5"/>
          <w:sz w:val="20"/>
        </w:rPr>
        <w:t> </w:t>
      </w:r>
      <w:r>
        <w:rPr>
          <w:rFonts w:ascii="Calibri" w:hAnsi="Calibri"/>
          <w:sz w:val="20"/>
        </w:rPr>
        <w:t>con</w:t>
      </w:r>
      <w:r>
        <w:rPr>
          <w:rFonts w:ascii="Calibri" w:hAnsi="Calibri"/>
          <w:spacing w:val="-3"/>
          <w:sz w:val="20"/>
        </w:rPr>
        <w:t> </w:t>
      </w:r>
      <w:r>
        <w:rPr>
          <w:rFonts w:ascii="Calibri" w:hAnsi="Calibri"/>
          <w:sz w:val="20"/>
        </w:rPr>
        <w:t>la</w:t>
      </w:r>
      <w:r>
        <w:rPr>
          <w:rFonts w:ascii="Calibri" w:hAnsi="Calibri"/>
          <w:spacing w:val="-6"/>
          <w:sz w:val="20"/>
        </w:rPr>
        <w:t> </w:t>
      </w:r>
      <w:r>
        <w:rPr>
          <w:rFonts w:ascii="Calibri" w:hAnsi="Calibri"/>
          <w:sz w:val="20"/>
        </w:rPr>
        <w:t>Ley</w:t>
      </w:r>
      <w:r>
        <w:rPr>
          <w:rFonts w:ascii="Calibri" w:hAnsi="Calibri"/>
          <w:spacing w:val="-7"/>
          <w:sz w:val="20"/>
        </w:rPr>
        <w:t> </w:t>
      </w:r>
      <w:r>
        <w:rPr>
          <w:rFonts w:ascii="Calibri" w:hAnsi="Calibri"/>
          <w:sz w:val="20"/>
        </w:rPr>
        <w:t>7/2021,</w:t>
      </w:r>
      <w:r>
        <w:rPr>
          <w:rFonts w:ascii="Calibri" w:hAnsi="Calibri"/>
          <w:spacing w:val="-3"/>
          <w:sz w:val="20"/>
        </w:rPr>
        <w:t> </w:t>
      </w:r>
      <w:r>
        <w:rPr>
          <w:rFonts w:ascii="Calibri" w:hAnsi="Calibri"/>
          <w:sz w:val="20"/>
        </w:rPr>
        <w:t>de</w:t>
      </w:r>
      <w:r>
        <w:rPr>
          <w:rFonts w:ascii="Calibri" w:hAnsi="Calibri"/>
          <w:spacing w:val="-4"/>
          <w:sz w:val="20"/>
        </w:rPr>
        <w:t> </w:t>
      </w:r>
      <w:r>
        <w:rPr>
          <w:rFonts w:ascii="Calibri" w:hAnsi="Calibri"/>
          <w:sz w:val="20"/>
        </w:rPr>
        <w:t>20</w:t>
      </w:r>
      <w:r>
        <w:rPr>
          <w:rFonts w:ascii="Calibri" w:hAnsi="Calibri"/>
          <w:spacing w:val="-7"/>
          <w:sz w:val="20"/>
        </w:rPr>
        <w:t> </w:t>
      </w:r>
      <w:r>
        <w:rPr>
          <w:rFonts w:ascii="Calibri" w:hAnsi="Calibri"/>
          <w:sz w:val="20"/>
        </w:rPr>
        <w:t>de</w:t>
      </w:r>
      <w:r>
        <w:rPr>
          <w:rFonts w:ascii="Calibri" w:hAnsi="Calibri"/>
          <w:spacing w:val="-5"/>
          <w:sz w:val="20"/>
        </w:rPr>
        <w:t> </w:t>
      </w:r>
      <w:r>
        <w:rPr>
          <w:rFonts w:ascii="Calibri" w:hAnsi="Calibri"/>
          <w:sz w:val="20"/>
        </w:rPr>
        <w:t>mayo,</w:t>
      </w:r>
      <w:r>
        <w:rPr>
          <w:rFonts w:ascii="Calibri" w:hAnsi="Calibri"/>
          <w:spacing w:val="-10"/>
          <w:sz w:val="20"/>
        </w:rPr>
        <w:t> </w:t>
      </w:r>
      <w:r>
        <w:rPr>
          <w:rFonts w:ascii="Calibri" w:hAnsi="Calibri"/>
          <w:sz w:val="20"/>
        </w:rPr>
        <w:t>de</w:t>
      </w:r>
      <w:r>
        <w:rPr>
          <w:rFonts w:ascii="Calibri" w:hAnsi="Calibri"/>
          <w:spacing w:val="-4"/>
          <w:sz w:val="20"/>
        </w:rPr>
        <w:t> </w:t>
      </w:r>
      <w:r>
        <w:rPr>
          <w:rFonts w:ascii="Calibri" w:hAnsi="Calibri"/>
          <w:sz w:val="20"/>
        </w:rPr>
        <w:t>Cambio Climático y Transición Energética.</w:t>
      </w:r>
    </w:p>
    <w:p>
      <w:pPr>
        <w:spacing w:line="256" w:lineRule="auto" w:before="138"/>
        <w:ind w:left="2251" w:right="2018" w:firstLine="0"/>
        <w:jc w:val="both"/>
        <w:rPr>
          <w:rFonts w:ascii="Calibri" w:hAnsi="Calibri"/>
          <w:sz w:val="20"/>
        </w:rPr>
      </w:pPr>
      <w:r>
        <w:rPr>
          <w:rFonts w:ascii="Calibri" w:hAnsi="Calibri"/>
          <w:sz w:val="20"/>
        </w:rPr>
        <w:t>En este sentido, y aunque es sobradamente conocido que un Documento (PMUS) de esta entidad, con 500 páginas A-3 entre todos sus capítulos (Documento A: Introducción, Memorias y Estudio Económico-Financiero - Documento B: Planos - Documento C: Memoria de participación y alegaciones), puede tardar años en su elaboración, más aún cuando</w:t>
      </w:r>
      <w:r>
        <w:rPr>
          <w:rFonts w:ascii="Calibri" w:hAnsi="Calibri"/>
          <w:spacing w:val="-3"/>
          <w:sz w:val="20"/>
        </w:rPr>
        <w:t> </w:t>
      </w:r>
      <w:r>
        <w:rPr>
          <w:rFonts w:ascii="Calibri" w:hAnsi="Calibri"/>
          <w:sz w:val="20"/>
        </w:rPr>
        <w:t>se</w:t>
      </w:r>
      <w:r>
        <w:rPr>
          <w:rFonts w:ascii="Calibri" w:hAnsi="Calibri"/>
          <w:spacing w:val="-7"/>
          <w:sz w:val="20"/>
        </w:rPr>
        <w:t> </w:t>
      </w:r>
      <w:r>
        <w:rPr>
          <w:rFonts w:ascii="Calibri" w:hAnsi="Calibri"/>
          <w:sz w:val="20"/>
        </w:rPr>
        <w:t>incluye</w:t>
      </w:r>
      <w:r>
        <w:rPr>
          <w:rFonts w:ascii="Calibri" w:hAnsi="Calibri"/>
          <w:spacing w:val="-5"/>
          <w:sz w:val="20"/>
        </w:rPr>
        <w:t> </w:t>
      </w:r>
      <w:r>
        <w:rPr>
          <w:rFonts w:ascii="Calibri" w:hAnsi="Calibri"/>
          <w:sz w:val="20"/>
        </w:rPr>
        <w:t>una</w:t>
      </w:r>
      <w:r>
        <w:rPr>
          <w:rFonts w:ascii="Calibri" w:hAnsi="Calibri"/>
          <w:spacing w:val="-6"/>
          <w:sz w:val="20"/>
        </w:rPr>
        <w:t> </w:t>
      </w:r>
      <w:r>
        <w:rPr>
          <w:rFonts w:ascii="Calibri" w:hAnsi="Calibri"/>
          <w:sz w:val="20"/>
        </w:rPr>
        <w:t>tramitación</w:t>
      </w:r>
      <w:r>
        <w:rPr>
          <w:rFonts w:ascii="Calibri" w:hAnsi="Calibri"/>
          <w:spacing w:val="-5"/>
          <w:sz w:val="20"/>
        </w:rPr>
        <w:t> </w:t>
      </w:r>
      <w:r>
        <w:rPr>
          <w:rFonts w:ascii="Calibri" w:hAnsi="Calibri"/>
          <w:sz w:val="20"/>
        </w:rPr>
        <w:t>faseada</w:t>
      </w:r>
      <w:r>
        <w:rPr>
          <w:rFonts w:ascii="Calibri" w:hAnsi="Calibri"/>
          <w:spacing w:val="-7"/>
          <w:sz w:val="20"/>
        </w:rPr>
        <w:t> </w:t>
      </w:r>
      <w:r>
        <w:rPr>
          <w:rFonts w:ascii="Calibri" w:hAnsi="Calibri"/>
          <w:sz w:val="20"/>
        </w:rPr>
        <w:t>(Documentos</w:t>
      </w:r>
      <w:r>
        <w:rPr>
          <w:rFonts w:ascii="Calibri" w:hAnsi="Calibri"/>
          <w:spacing w:val="-3"/>
          <w:sz w:val="20"/>
        </w:rPr>
        <w:t> </w:t>
      </w:r>
      <w:r>
        <w:rPr>
          <w:rFonts w:ascii="Calibri" w:hAnsi="Calibri"/>
          <w:sz w:val="20"/>
        </w:rPr>
        <w:t>de</w:t>
      </w:r>
      <w:r>
        <w:rPr>
          <w:rFonts w:ascii="Calibri" w:hAnsi="Calibri"/>
          <w:spacing w:val="-7"/>
          <w:sz w:val="20"/>
        </w:rPr>
        <w:t> </w:t>
      </w:r>
      <w:r>
        <w:rPr>
          <w:rFonts w:ascii="Calibri" w:hAnsi="Calibri"/>
          <w:sz w:val="20"/>
        </w:rPr>
        <w:t>Avance,</w:t>
      </w:r>
      <w:r>
        <w:rPr>
          <w:rFonts w:ascii="Calibri" w:hAnsi="Calibri"/>
          <w:spacing w:val="-4"/>
          <w:sz w:val="20"/>
        </w:rPr>
        <w:t> </w:t>
      </w:r>
      <w:r>
        <w:rPr>
          <w:rFonts w:ascii="Calibri" w:hAnsi="Calibri"/>
          <w:sz w:val="20"/>
        </w:rPr>
        <w:t>Borradores,</w:t>
      </w:r>
      <w:r>
        <w:rPr>
          <w:rFonts w:ascii="Calibri" w:hAnsi="Calibri"/>
          <w:spacing w:val="-3"/>
          <w:sz w:val="20"/>
        </w:rPr>
        <w:t> </w:t>
      </w:r>
      <w:r>
        <w:rPr>
          <w:rFonts w:ascii="Calibri" w:hAnsi="Calibri"/>
          <w:sz w:val="20"/>
        </w:rPr>
        <w:t>etc,</w:t>
      </w:r>
      <w:r>
        <w:rPr>
          <w:rFonts w:ascii="Calibri" w:hAnsi="Calibri"/>
          <w:spacing w:val="-7"/>
          <w:sz w:val="20"/>
        </w:rPr>
        <w:t> </w:t>
      </w:r>
      <w:r>
        <w:rPr>
          <w:rFonts w:ascii="Calibri" w:hAnsi="Calibri"/>
          <w:sz w:val="20"/>
        </w:rPr>
        <w:t>hasta llegar</w:t>
      </w:r>
      <w:r>
        <w:rPr>
          <w:rFonts w:ascii="Calibri" w:hAnsi="Calibri"/>
          <w:spacing w:val="-8"/>
          <w:sz w:val="20"/>
        </w:rPr>
        <w:t> </w:t>
      </w:r>
      <w:r>
        <w:rPr>
          <w:rFonts w:ascii="Calibri" w:hAnsi="Calibri"/>
          <w:sz w:val="20"/>
        </w:rPr>
        <w:t>a</w:t>
      </w:r>
      <w:r>
        <w:rPr>
          <w:rFonts w:ascii="Calibri" w:hAnsi="Calibri"/>
          <w:spacing w:val="-6"/>
          <w:sz w:val="20"/>
        </w:rPr>
        <w:t> </w:t>
      </w:r>
      <w:r>
        <w:rPr>
          <w:rFonts w:ascii="Calibri" w:hAnsi="Calibri"/>
          <w:sz w:val="20"/>
        </w:rPr>
        <w:t>su</w:t>
      </w:r>
      <w:r>
        <w:rPr>
          <w:rFonts w:ascii="Calibri" w:hAnsi="Calibri"/>
          <w:spacing w:val="-11"/>
          <w:sz w:val="20"/>
        </w:rPr>
        <w:t> </w:t>
      </w:r>
      <w:r>
        <w:rPr>
          <w:rFonts w:ascii="Calibri" w:hAnsi="Calibri"/>
          <w:sz w:val="20"/>
        </w:rPr>
        <w:t>Documento</w:t>
      </w:r>
      <w:r>
        <w:rPr>
          <w:rFonts w:ascii="Calibri" w:hAnsi="Calibri"/>
          <w:spacing w:val="-6"/>
          <w:sz w:val="20"/>
        </w:rPr>
        <w:t> </w:t>
      </w:r>
      <w:r>
        <w:rPr>
          <w:rFonts w:ascii="Calibri" w:hAnsi="Calibri"/>
          <w:sz w:val="20"/>
        </w:rPr>
        <w:t>Final),</w:t>
      </w:r>
      <w:r>
        <w:rPr>
          <w:rFonts w:ascii="Calibri" w:hAnsi="Calibri"/>
          <w:spacing w:val="-6"/>
          <w:sz w:val="20"/>
        </w:rPr>
        <w:t> </w:t>
      </w:r>
      <w:r>
        <w:rPr>
          <w:rFonts w:ascii="Calibri" w:hAnsi="Calibri"/>
          <w:sz w:val="20"/>
        </w:rPr>
        <w:t>se</w:t>
      </w:r>
      <w:r>
        <w:rPr>
          <w:rFonts w:ascii="Calibri" w:hAnsi="Calibri"/>
          <w:spacing w:val="-9"/>
          <w:sz w:val="20"/>
        </w:rPr>
        <w:t> </w:t>
      </w:r>
      <w:r>
        <w:rPr>
          <w:rFonts w:ascii="Calibri" w:hAnsi="Calibri"/>
          <w:sz w:val="20"/>
        </w:rPr>
        <w:t>considera</w:t>
      </w:r>
      <w:r>
        <w:rPr>
          <w:rFonts w:ascii="Calibri" w:hAnsi="Calibri"/>
          <w:spacing w:val="-7"/>
          <w:sz w:val="20"/>
        </w:rPr>
        <w:t> </w:t>
      </w:r>
      <w:r>
        <w:rPr>
          <w:rFonts w:ascii="Calibri" w:hAnsi="Calibri"/>
          <w:sz w:val="20"/>
        </w:rPr>
        <w:t>que</w:t>
      </w:r>
      <w:r>
        <w:rPr>
          <w:rFonts w:ascii="Calibri" w:hAnsi="Calibri"/>
          <w:spacing w:val="-9"/>
          <w:sz w:val="20"/>
        </w:rPr>
        <w:t> </w:t>
      </w:r>
      <w:r>
        <w:rPr>
          <w:rFonts w:ascii="Calibri" w:hAnsi="Calibri"/>
          <w:sz w:val="20"/>
        </w:rPr>
        <w:t>sí</w:t>
      </w:r>
      <w:r>
        <w:rPr>
          <w:rFonts w:ascii="Calibri" w:hAnsi="Calibri"/>
          <w:spacing w:val="-8"/>
          <w:sz w:val="20"/>
        </w:rPr>
        <w:t> </w:t>
      </w:r>
      <w:r>
        <w:rPr>
          <w:rFonts w:ascii="Calibri" w:hAnsi="Calibri"/>
          <w:sz w:val="20"/>
        </w:rPr>
        <w:t>incluye</w:t>
      </w:r>
      <w:r>
        <w:rPr>
          <w:rFonts w:ascii="Calibri" w:hAnsi="Calibri"/>
          <w:spacing w:val="-7"/>
          <w:sz w:val="20"/>
        </w:rPr>
        <w:t> </w:t>
      </w:r>
      <w:r>
        <w:rPr>
          <w:rFonts w:ascii="Calibri" w:hAnsi="Calibri"/>
          <w:sz w:val="20"/>
        </w:rPr>
        <w:t>las</w:t>
      </w:r>
      <w:r>
        <w:rPr>
          <w:rFonts w:ascii="Calibri" w:hAnsi="Calibri"/>
          <w:spacing w:val="-9"/>
          <w:sz w:val="20"/>
        </w:rPr>
        <w:t> </w:t>
      </w:r>
      <w:r>
        <w:rPr>
          <w:rFonts w:ascii="Calibri" w:hAnsi="Calibri"/>
          <w:sz w:val="20"/>
        </w:rPr>
        <w:t>cuestiones</w:t>
      </w:r>
      <w:r>
        <w:rPr>
          <w:rFonts w:ascii="Calibri" w:hAnsi="Calibri"/>
          <w:spacing w:val="-7"/>
          <w:sz w:val="20"/>
        </w:rPr>
        <w:t> </w:t>
      </w:r>
      <w:r>
        <w:rPr>
          <w:rFonts w:ascii="Calibri" w:hAnsi="Calibri"/>
          <w:sz w:val="20"/>
        </w:rPr>
        <w:t>necesarias</w:t>
      </w:r>
      <w:r>
        <w:rPr>
          <w:rFonts w:ascii="Calibri" w:hAnsi="Calibri"/>
          <w:spacing w:val="-5"/>
          <w:sz w:val="20"/>
        </w:rPr>
        <w:t> </w:t>
      </w:r>
      <w:r>
        <w:rPr>
          <w:rFonts w:ascii="Calibri" w:hAnsi="Calibri"/>
          <w:sz w:val="20"/>
        </w:rPr>
        <w:t>referidas en la citada Ley, pese a ser elaborada antes de su legislación.</w:t>
      </w:r>
    </w:p>
    <w:p>
      <w:pPr>
        <w:spacing w:line="256" w:lineRule="auto" w:before="146"/>
        <w:ind w:left="2251" w:right="2019" w:firstLine="0"/>
        <w:jc w:val="both"/>
        <w:rPr>
          <w:rFonts w:ascii="Calibri" w:hAnsi="Calibri"/>
          <w:sz w:val="20"/>
        </w:rPr>
      </w:pPr>
      <w:r>
        <w:rPr>
          <w:rFonts w:ascii="Calibri" w:hAnsi="Calibri"/>
          <w:sz w:val="20"/>
        </w:rPr>
        <w:t>Ello muestra, además, que la planificación municipal de la movilidad está alineada con los objtivos de “facilitar la descarbonización de la economía española, su transición a un modelo</w:t>
      </w:r>
      <w:r>
        <w:rPr>
          <w:rFonts w:ascii="Calibri" w:hAnsi="Calibri"/>
          <w:spacing w:val="19"/>
          <w:sz w:val="20"/>
        </w:rPr>
        <w:t> </w:t>
      </w:r>
      <w:r>
        <w:rPr>
          <w:rFonts w:ascii="Calibri" w:hAnsi="Calibri"/>
          <w:sz w:val="20"/>
        </w:rPr>
        <w:t>circular,</w:t>
      </w:r>
      <w:r>
        <w:rPr>
          <w:rFonts w:ascii="Calibri" w:hAnsi="Calibri"/>
          <w:spacing w:val="19"/>
          <w:sz w:val="20"/>
        </w:rPr>
        <w:t> </w:t>
      </w:r>
      <w:r>
        <w:rPr>
          <w:rFonts w:ascii="Calibri" w:hAnsi="Calibri"/>
          <w:sz w:val="20"/>
        </w:rPr>
        <w:t>de</w:t>
      </w:r>
      <w:r>
        <w:rPr>
          <w:rFonts w:ascii="Calibri" w:hAnsi="Calibri"/>
          <w:spacing w:val="20"/>
          <w:sz w:val="20"/>
        </w:rPr>
        <w:t> </w:t>
      </w:r>
      <w:r>
        <w:rPr>
          <w:rFonts w:ascii="Calibri" w:hAnsi="Calibri"/>
          <w:sz w:val="20"/>
        </w:rPr>
        <w:t>modo</w:t>
      </w:r>
      <w:r>
        <w:rPr>
          <w:rFonts w:ascii="Calibri" w:hAnsi="Calibri"/>
          <w:spacing w:val="19"/>
          <w:sz w:val="20"/>
        </w:rPr>
        <w:t> </w:t>
      </w:r>
      <w:r>
        <w:rPr>
          <w:rFonts w:ascii="Calibri" w:hAnsi="Calibri"/>
          <w:sz w:val="20"/>
        </w:rPr>
        <w:t>que</w:t>
      </w:r>
      <w:r>
        <w:rPr>
          <w:rFonts w:ascii="Calibri" w:hAnsi="Calibri"/>
          <w:spacing w:val="22"/>
          <w:sz w:val="20"/>
        </w:rPr>
        <w:t> </w:t>
      </w:r>
      <w:r>
        <w:rPr>
          <w:rFonts w:ascii="Calibri" w:hAnsi="Calibri"/>
          <w:sz w:val="20"/>
        </w:rPr>
        <w:t>se</w:t>
      </w:r>
      <w:r>
        <w:rPr>
          <w:rFonts w:ascii="Calibri" w:hAnsi="Calibri"/>
          <w:spacing w:val="19"/>
          <w:sz w:val="20"/>
        </w:rPr>
        <w:t> </w:t>
      </w:r>
      <w:r>
        <w:rPr>
          <w:rFonts w:ascii="Calibri" w:hAnsi="Calibri"/>
          <w:sz w:val="20"/>
        </w:rPr>
        <w:t>garantice</w:t>
      </w:r>
      <w:r>
        <w:rPr>
          <w:rFonts w:ascii="Calibri" w:hAnsi="Calibri"/>
          <w:spacing w:val="18"/>
          <w:sz w:val="20"/>
        </w:rPr>
        <w:t> </w:t>
      </w:r>
      <w:r>
        <w:rPr>
          <w:rFonts w:ascii="Calibri" w:hAnsi="Calibri"/>
          <w:sz w:val="20"/>
        </w:rPr>
        <w:t>el</w:t>
      </w:r>
      <w:r>
        <w:rPr>
          <w:rFonts w:ascii="Calibri" w:hAnsi="Calibri"/>
          <w:spacing w:val="18"/>
          <w:sz w:val="20"/>
        </w:rPr>
        <w:t> </w:t>
      </w:r>
      <w:r>
        <w:rPr>
          <w:rFonts w:ascii="Calibri" w:hAnsi="Calibri"/>
          <w:sz w:val="20"/>
        </w:rPr>
        <w:t>uso</w:t>
      </w:r>
      <w:r>
        <w:rPr>
          <w:rFonts w:ascii="Calibri" w:hAnsi="Calibri"/>
          <w:spacing w:val="21"/>
          <w:sz w:val="20"/>
        </w:rPr>
        <w:t> </w:t>
      </w:r>
      <w:r>
        <w:rPr>
          <w:rFonts w:ascii="Calibri" w:hAnsi="Calibri"/>
          <w:sz w:val="20"/>
        </w:rPr>
        <w:t>racional</w:t>
      </w:r>
      <w:r>
        <w:rPr>
          <w:rFonts w:ascii="Calibri" w:hAnsi="Calibri"/>
          <w:spacing w:val="21"/>
          <w:sz w:val="20"/>
        </w:rPr>
        <w:t> </w:t>
      </w:r>
      <w:r>
        <w:rPr>
          <w:rFonts w:ascii="Calibri" w:hAnsi="Calibri"/>
          <w:sz w:val="20"/>
        </w:rPr>
        <w:t>y</w:t>
      </w:r>
      <w:r>
        <w:rPr>
          <w:rFonts w:ascii="Calibri" w:hAnsi="Calibri"/>
          <w:spacing w:val="17"/>
          <w:sz w:val="20"/>
        </w:rPr>
        <w:t> </w:t>
      </w:r>
      <w:r>
        <w:rPr>
          <w:rFonts w:ascii="Calibri" w:hAnsi="Calibri"/>
          <w:sz w:val="20"/>
        </w:rPr>
        <w:t>solidario</w:t>
      </w:r>
      <w:r>
        <w:rPr>
          <w:rFonts w:ascii="Calibri" w:hAnsi="Calibri"/>
          <w:spacing w:val="21"/>
          <w:sz w:val="20"/>
        </w:rPr>
        <w:t> </w:t>
      </w:r>
      <w:r>
        <w:rPr>
          <w:rFonts w:ascii="Calibri" w:hAnsi="Calibri"/>
          <w:sz w:val="20"/>
        </w:rPr>
        <w:t>de</w:t>
      </w:r>
      <w:r>
        <w:rPr>
          <w:rFonts w:ascii="Calibri" w:hAnsi="Calibri"/>
          <w:spacing w:val="23"/>
          <w:sz w:val="20"/>
        </w:rPr>
        <w:t> </w:t>
      </w:r>
      <w:r>
        <w:rPr>
          <w:rFonts w:ascii="Calibri" w:hAnsi="Calibri"/>
          <w:sz w:val="20"/>
        </w:rPr>
        <w:t>los</w:t>
      </w:r>
      <w:r>
        <w:rPr>
          <w:rFonts w:ascii="Calibri" w:hAnsi="Calibri"/>
          <w:spacing w:val="17"/>
          <w:sz w:val="20"/>
        </w:rPr>
        <w:t> </w:t>
      </w:r>
      <w:r>
        <w:rPr>
          <w:rFonts w:ascii="Calibri" w:hAnsi="Calibri"/>
          <w:sz w:val="20"/>
        </w:rPr>
        <w:t>recursos;</w:t>
      </w:r>
      <w:r>
        <w:rPr>
          <w:rFonts w:ascii="Calibri" w:hAnsi="Calibri"/>
          <w:spacing w:val="19"/>
          <w:sz w:val="20"/>
        </w:rPr>
        <w:t> </w:t>
      </w:r>
      <w:r>
        <w:rPr>
          <w:rFonts w:ascii="Calibri" w:hAnsi="Calibri"/>
          <w:sz w:val="20"/>
        </w:rPr>
        <w:t>y</w:t>
      </w:r>
    </w:p>
    <w:p>
      <w:pPr>
        <w:pStyle w:val="BodyText"/>
        <w:spacing w:before="188"/>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648" name="Group 1648"/>
                <wp:cNvGraphicFramePr>
                  <a:graphicFrameLocks/>
                </wp:cNvGraphicFramePr>
                <a:graphic>
                  <a:graphicData uri="http://schemas.microsoft.com/office/word/2010/wordprocessingGroup">
                    <wpg:wgp>
                      <wpg:cNvPr id="1648" name="Group 1648"/>
                      <wpg:cNvGrpSpPr/>
                      <wpg:grpSpPr>
                        <a:xfrm>
                          <a:off x="0" y="0"/>
                          <a:ext cx="1870075" cy="6350"/>
                          <a:chExt cx="1870075" cy="6350"/>
                        </a:xfrm>
                      </wpg:grpSpPr>
                      <wps:wsp>
                        <wps:cNvPr id="1649" name="Graphic 1649"/>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222" coordorigin="0,0" coordsize="2945,10">
                <v:rect style="position:absolute;left:0;top:0;width:2945;height:10" id="docshape1223"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650" name="Group 1650"/>
                <wp:cNvGraphicFramePr>
                  <a:graphicFrameLocks/>
                </wp:cNvGraphicFramePr>
                <a:graphic>
                  <a:graphicData uri="http://schemas.microsoft.com/office/word/2010/wordprocessingGroup">
                    <wpg:wgp>
                      <wpg:cNvPr id="1650" name="Group 1650"/>
                      <wpg:cNvGrpSpPr/>
                      <wpg:grpSpPr>
                        <a:xfrm>
                          <a:off x="0" y="0"/>
                          <a:ext cx="841375" cy="6350"/>
                          <a:chExt cx="841375" cy="6350"/>
                        </a:xfrm>
                      </wpg:grpSpPr>
                      <wps:wsp>
                        <wps:cNvPr id="1651" name="Graphic 1651"/>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224" coordorigin="0,0" coordsize="1325,10">
                <v:rect style="position:absolute;left:0;top:0;width:1325;height:10" id="docshape1225"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86"/>
          <w:headerReference w:type="default" r:id="rId287"/>
          <w:footerReference w:type="even" r:id="rId288"/>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23296">
                <wp:simplePos x="0" y="0"/>
                <wp:positionH relativeFrom="page">
                  <wp:posOffset>4384239</wp:posOffset>
                </wp:positionH>
                <wp:positionV relativeFrom="paragraph">
                  <wp:posOffset>1412477</wp:posOffset>
                </wp:positionV>
                <wp:extent cx="53340" cy="100330"/>
                <wp:effectExtent l="0" t="0" r="0" b="0"/>
                <wp:wrapNone/>
                <wp:docPr id="1652" name="Textbox 1652"/>
                <wp:cNvGraphicFramePr>
                  <a:graphicFrameLocks/>
                </wp:cNvGraphicFramePr>
                <a:graphic>
                  <a:graphicData uri="http://schemas.microsoft.com/office/word/2010/wordprocessingShape">
                    <wps:wsp>
                      <wps:cNvPr id="1652" name="Textbox 1652"/>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F</w:t>
                            </w:r>
                          </w:p>
                        </w:txbxContent>
                      </wps:txbx>
                      <wps:bodyPr wrap="square" lIns="0" tIns="0" rIns="0" bIns="0" rtlCol="0">
                        <a:noAutofit/>
                      </wps:bodyPr>
                    </wps:wsp>
                  </a:graphicData>
                </a:graphic>
              </wp:anchor>
            </w:drawing>
          </mc:Choice>
          <mc:Fallback>
            <w:pict>
              <v:shape style="position:absolute;margin-left:345.215698pt;margin-top:111.218727pt;width:4.2pt;height:7.9pt;mso-position-horizontal-relative:page;mso-position-vertical-relative:paragraph;z-index:-28893184" type="#_x0000_t202" id="docshape1226" filled="false" stroked="false">
                <v:textbox inset="0,0,0,0">
                  <w:txbxContent>
                    <w:p>
                      <w:pPr>
                        <w:spacing w:line="158" w:lineRule="exact" w:before="0"/>
                        <w:ind w:left="0" w:right="0" w:firstLine="0"/>
                        <w:jc w:val="left"/>
                        <w:rPr>
                          <w:rFonts w:ascii="Courier New"/>
                          <w:sz w:val="14"/>
                        </w:rPr>
                      </w:pPr>
                      <w:r>
                        <w:rPr>
                          <w:rFonts w:ascii="Courier New"/>
                          <w:spacing w:val="-12"/>
                          <w:sz w:val="14"/>
                        </w:rPr>
                        <w:t>F</w:t>
                      </w:r>
                    </w:p>
                  </w:txbxContent>
                </v:textbox>
                <w10:wrap type="none"/>
              </v:shape>
            </w:pict>
          </mc:Fallback>
        </mc:AlternateContent>
      </w:r>
      <w:r>
        <w:rPr>
          <w:sz w:val="16"/>
        </w:rPr>
        <mc:AlternateContent>
          <mc:Choice Requires="wps">
            <w:drawing>
              <wp:anchor distT="0" distB="0" distL="0" distR="0" allowOverlap="1" layoutInCell="1" locked="0" behindDoc="1" simplePos="0" relativeHeight="474423808">
                <wp:simplePos x="0" y="0"/>
                <wp:positionH relativeFrom="page">
                  <wp:posOffset>172212</wp:posOffset>
                </wp:positionH>
                <wp:positionV relativeFrom="paragraph">
                  <wp:posOffset>954200</wp:posOffset>
                </wp:positionV>
                <wp:extent cx="1298575" cy="417830"/>
                <wp:effectExtent l="0" t="0" r="0" b="0"/>
                <wp:wrapNone/>
                <wp:docPr id="1653" name="Group 1653"/>
                <wp:cNvGraphicFramePr>
                  <a:graphicFrameLocks/>
                </wp:cNvGraphicFramePr>
                <a:graphic>
                  <a:graphicData uri="http://schemas.microsoft.com/office/word/2010/wordprocessingGroup">
                    <wpg:wgp>
                      <wpg:cNvPr id="1653" name="Group 1653"/>
                      <wpg:cNvGrpSpPr/>
                      <wpg:grpSpPr>
                        <a:xfrm>
                          <a:off x="0" y="0"/>
                          <a:ext cx="1298575" cy="417830"/>
                          <a:chExt cx="1298575" cy="417830"/>
                        </a:xfrm>
                      </wpg:grpSpPr>
                      <wps:wsp>
                        <wps:cNvPr id="1654" name="Graphic 1654"/>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655" name="Image 1655"/>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892672" id="docshapegroup1227" coordorigin="271,1503" coordsize="2045,658">
                <v:shape style="position:absolute;left:271;top:1502;width:2045;height:658" id="docshape1228" coordorigin="271,1503" coordsize="2045,658" path="m2316,1503l271,1503,271,1721,271,1723,271,2160,2316,2160,2316,1723,2316,1721,2316,1503xe" filled="true" fillcolor="#cccccc" stroked="false">
                  <v:path arrowok="t"/>
                  <v:fill type="solid"/>
                </v:shape>
                <v:shape style="position:absolute;left:343;top:1577;width:1896;height:327" type="#_x0000_t75" id="docshape1229" stroked="false">
                  <v:imagedata r:id="rId219" o:title=""/>
                </v:shape>
                <w10:wrap type="none"/>
              </v:group>
            </w:pict>
          </mc:Fallback>
        </mc:AlternateContent>
      </w:r>
      <w:r>
        <w:rPr>
          <w:sz w:val="16"/>
        </w:rPr>
        <mc:AlternateContent>
          <mc:Choice Requires="wps">
            <w:drawing>
              <wp:anchor distT="0" distB="0" distL="0" distR="0" allowOverlap="1" layoutInCell="1" locked="0" behindDoc="1" simplePos="0" relativeHeight="474424320">
                <wp:simplePos x="0" y="0"/>
                <wp:positionH relativeFrom="page">
                  <wp:posOffset>4424641</wp:posOffset>
                </wp:positionH>
                <wp:positionV relativeFrom="paragraph">
                  <wp:posOffset>1412556</wp:posOffset>
                </wp:positionV>
                <wp:extent cx="1459230" cy="102870"/>
                <wp:effectExtent l="0" t="0" r="0" b="0"/>
                <wp:wrapNone/>
                <wp:docPr id="1656" name="Graphic 1656"/>
                <wp:cNvGraphicFramePr>
                  <a:graphicFrameLocks/>
                </wp:cNvGraphicFramePr>
                <a:graphic>
                  <a:graphicData uri="http://schemas.microsoft.com/office/word/2010/wordprocessingShape">
                    <wps:wsp>
                      <wps:cNvPr id="1656" name="Graphic 1656"/>
                      <wps:cNvSpPr/>
                      <wps:spPr>
                        <a:xfrm>
                          <a:off x="0" y="0"/>
                          <a:ext cx="1459230" cy="102870"/>
                        </a:xfrm>
                        <a:custGeom>
                          <a:avLst/>
                          <a:gdLst/>
                          <a:ahLst/>
                          <a:cxnLst/>
                          <a:rect l="l" t="t" r="r" b="b"/>
                          <a:pathLst>
                            <a:path w="1459230" h="102870">
                              <a:moveTo>
                                <a:pt x="1458899" y="0"/>
                              </a:moveTo>
                              <a:lnTo>
                                <a:pt x="0" y="0"/>
                              </a:lnTo>
                              <a:lnTo>
                                <a:pt x="0" y="102819"/>
                              </a:lnTo>
                              <a:lnTo>
                                <a:pt x="1458899" y="102819"/>
                              </a:lnTo>
                              <a:lnTo>
                                <a:pt x="145889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8.397pt;margin-top:111.224892pt;width:114.874pt;height:8.096pt;mso-position-horizontal-relative:page;mso-position-vertical-relative:paragraph;z-index:-28892160" id="docshape1230" filled="true" fillcolor="#000000" stroked="false">
                <v:fill type="solid"/>
                <w10:wrap type="none"/>
              </v:rect>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657" name="Textbox 1657"/>
                <wp:cNvGraphicFramePr>
                  <a:graphicFrameLocks/>
                </wp:cNvGraphicFramePr>
                <a:graphic>
                  <a:graphicData uri="http://schemas.microsoft.com/office/word/2010/wordprocessingShape">
                    <wps:wsp>
                      <wps:cNvPr id="1657" name="Textbox 1657"/>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5109" w:type="dxa"/>
                                  <w:tcBorders>
                                    <w:top w:val="nil"/>
                                    <w:left w:val="single" w:sz="6" w:space="0" w:color="000000"/>
                                    <w:bottom w:val="single" w:sz="6" w:space="0" w:color="000000"/>
                                    <w:right w:val="single" w:sz="6" w:space="0" w:color="000000"/>
                                  </w:tcBorders>
                                  <w:shd w:val="clear" w:color="auto" w:fill="000000"/>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658" name="Image 1658"/>
                                        <wp:cNvGraphicFramePr>
                                          <a:graphicFrameLocks/>
                                        </wp:cNvGraphicFramePr>
                                        <a:graphic>
                                          <a:graphicData uri="http://schemas.openxmlformats.org/drawingml/2006/picture">
                                            <pic:pic>
                                              <pic:nvPicPr>
                                                <pic:cNvPr id="1658" name="Image 1658"/>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659" name="Image 1659"/>
                                        <wp:cNvGraphicFramePr>
                                          <a:graphicFrameLocks/>
                                        </wp:cNvGraphicFramePr>
                                        <a:graphic>
                                          <a:graphicData uri="http://schemas.openxmlformats.org/drawingml/2006/picture">
                                            <pic:pic>
                                              <pic:nvPicPr>
                                                <pic:cNvPr id="1659" name="Image 1659"/>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660" name="Image 1660"/>
                                        <wp:cNvGraphicFramePr>
                                          <a:graphicFrameLocks/>
                                        </wp:cNvGraphicFramePr>
                                        <a:graphic>
                                          <a:graphicData uri="http://schemas.openxmlformats.org/drawingml/2006/picture">
                                            <pic:pic>
                                              <pic:nvPicPr>
                                                <pic:cNvPr id="1660" name="Image 1660"/>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661" name="Image 1661"/>
                                        <wp:cNvGraphicFramePr>
                                          <a:graphicFrameLocks/>
                                        </wp:cNvGraphicFramePr>
                                        <a:graphic>
                                          <a:graphicData uri="http://schemas.openxmlformats.org/drawingml/2006/picture">
                                            <pic:pic>
                                              <pic:nvPicPr>
                                                <pic:cNvPr id="1661" name="Image 1661"/>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28/40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662" name="Image 1662"/>
                                        <wp:cNvGraphicFramePr>
                                          <a:graphicFrameLocks/>
                                        </wp:cNvGraphicFramePr>
                                        <a:graphic>
                                          <a:graphicData uri="http://schemas.openxmlformats.org/drawingml/2006/picture">
                                            <pic:pic>
                                              <pic:nvPicPr>
                                                <pic:cNvPr id="1662" name="Image 1662"/>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211">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663" name="Image 1663"/>
                                        <wp:cNvGraphicFramePr>
                                          <a:graphicFrameLocks/>
                                        </wp:cNvGraphicFramePr>
                                        <a:graphic>
                                          <a:graphicData uri="http://schemas.openxmlformats.org/drawingml/2006/picture">
                                            <pic:pic>
                                              <pic:nvPicPr>
                                                <pic:cNvPr id="1663" name="Image 1663"/>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1231"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5109" w:type="dxa"/>
                            <w:tcBorders>
                              <w:top w:val="nil"/>
                              <w:left w:val="single" w:sz="6" w:space="0" w:color="000000"/>
                              <w:bottom w:val="single" w:sz="6" w:space="0" w:color="000000"/>
                              <w:right w:val="single" w:sz="6" w:space="0" w:color="000000"/>
                            </w:tcBorders>
                            <w:shd w:val="clear" w:color="auto" w:fill="000000"/>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664" name="Image 1664"/>
                                  <wp:cNvGraphicFramePr>
                                    <a:graphicFrameLocks/>
                                  </wp:cNvGraphicFramePr>
                                  <a:graphic>
                                    <a:graphicData uri="http://schemas.openxmlformats.org/drawingml/2006/picture">
                                      <pic:pic>
                                        <pic:nvPicPr>
                                          <pic:cNvPr id="1664" name="Image 1664"/>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665" name="Image 1665"/>
                                  <wp:cNvGraphicFramePr>
                                    <a:graphicFrameLocks/>
                                  </wp:cNvGraphicFramePr>
                                  <a:graphic>
                                    <a:graphicData uri="http://schemas.openxmlformats.org/drawingml/2006/picture">
                                      <pic:pic>
                                        <pic:nvPicPr>
                                          <pic:cNvPr id="1665" name="Image 1665"/>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666" name="Image 1666"/>
                                  <wp:cNvGraphicFramePr>
                                    <a:graphicFrameLocks/>
                                  </wp:cNvGraphicFramePr>
                                  <a:graphic>
                                    <a:graphicData uri="http://schemas.openxmlformats.org/drawingml/2006/picture">
                                      <pic:pic>
                                        <pic:nvPicPr>
                                          <pic:cNvPr id="1666" name="Image 1666"/>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667" name="Image 1667"/>
                                  <wp:cNvGraphicFramePr>
                                    <a:graphicFrameLocks/>
                                  </wp:cNvGraphicFramePr>
                                  <a:graphic>
                                    <a:graphicData uri="http://schemas.openxmlformats.org/drawingml/2006/picture">
                                      <pic:pic>
                                        <pic:nvPicPr>
                                          <pic:cNvPr id="1667" name="Image 1667"/>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28/40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668" name="Image 1668"/>
                                  <wp:cNvGraphicFramePr>
                                    <a:graphicFrameLocks/>
                                  </wp:cNvGraphicFramePr>
                                  <a:graphic>
                                    <a:graphicData uri="http://schemas.openxmlformats.org/drawingml/2006/picture">
                                      <pic:pic>
                                        <pic:nvPicPr>
                                          <pic:cNvPr id="1668" name="Image 1668"/>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211">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669" name="Image 1669"/>
                                  <wp:cNvGraphicFramePr>
                                    <a:graphicFrameLocks/>
                                  </wp:cNvGraphicFramePr>
                                  <a:graphic>
                                    <a:graphicData uri="http://schemas.openxmlformats.org/drawingml/2006/picture">
                                      <pic:pic>
                                        <pic:nvPicPr>
                                          <pic:cNvPr id="1669" name="Image 1669"/>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670" name="Group 1670"/>
                <wp:cNvGraphicFramePr>
                  <a:graphicFrameLocks/>
                </wp:cNvGraphicFramePr>
                <a:graphic>
                  <a:graphicData uri="http://schemas.microsoft.com/office/word/2010/wordprocessingGroup">
                    <wpg:wgp>
                      <wpg:cNvPr id="1670" name="Group 1670"/>
                      <wpg:cNvGrpSpPr/>
                      <wpg:grpSpPr>
                        <a:xfrm>
                          <a:off x="0" y="0"/>
                          <a:ext cx="734695" cy="753110"/>
                          <a:chExt cx="734695" cy="753110"/>
                        </a:xfrm>
                      </wpg:grpSpPr>
                      <pic:pic>
                        <pic:nvPicPr>
                          <pic:cNvPr id="1671" name="Image 1671"/>
                          <pic:cNvPicPr/>
                        </pic:nvPicPr>
                        <pic:blipFill>
                          <a:blip r:embed="rId224" cstate="print"/>
                          <a:stretch>
                            <a:fillRect/>
                          </a:stretch>
                        </pic:blipFill>
                        <pic:spPr>
                          <a:xfrm>
                            <a:off x="0" y="0"/>
                            <a:ext cx="734567" cy="752840"/>
                          </a:xfrm>
                          <a:prstGeom prst="rect">
                            <a:avLst/>
                          </a:prstGeom>
                        </pic:spPr>
                      </pic:pic>
                      <wps:wsp>
                        <wps:cNvPr id="1672" name="Graphic 1672"/>
                        <wps:cNvSpPr/>
                        <wps:spPr>
                          <a:xfrm>
                            <a:off x="60515" y="55153"/>
                            <a:ext cx="669925" cy="689610"/>
                          </a:xfrm>
                          <a:custGeom>
                            <a:avLst/>
                            <a:gdLst/>
                            <a:ahLst/>
                            <a:cxnLst/>
                            <a:rect l="l" t="t" r="r" b="b"/>
                            <a:pathLst>
                              <a:path w="669925" h="689610">
                                <a:moveTo>
                                  <a:pt x="669556" y="0"/>
                                </a:moveTo>
                                <a:lnTo>
                                  <a:pt x="0" y="0"/>
                                </a:lnTo>
                                <a:lnTo>
                                  <a:pt x="0" y="689483"/>
                                </a:lnTo>
                                <a:lnTo>
                                  <a:pt x="669556" y="689483"/>
                                </a:lnTo>
                                <a:lnTo>
                                  <a:pt x="66955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1232" coordorigin="0,0" coordsize="1157,1186">
                <v:shape style="position:absolute;left:0;top:0;width:1157;height:1186" type="#_x0000_t75" id="docshape1233" stroked="false">
                  <v:imagedata r:id="rId224" o:title=""/>
                </v:shape>
                <v:rect style="position:absolute;left:95;top:86;width:1055;height:1086" id="docshape1234"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2251" w:right="2022" w:firstLine="0"/>
        <w:jc w:val="both"/>
        <w:rPr>
          <w:rFonts w:ascii="Calibri" w:hAnsi="Calibri"/>
          <w:sz w:val="20"/>
        </w:rPr>
      </w:pPr>
      <w:r>
        <w:rPr>
          <w:rFonts w:ascii="Calibri" w:hAnsi="Calibri"/>
          <w:sz w:val="20"/>
        </w:rPr>
        <w:t>promover la adaptación a los impactos del cambio climático y la implantación de un modelo</w:t>
      </w:r>
      <w:r>
        <w:rPr>
          <w:rFonts w:ascii="Calibri" w:hAnsi="Calibri"/>
          <w:spacing w:val="-10"/>
          <w:sz w:val="20"/>
        </w:rPr>
        <w:t> </w:t>
      </w:r>
      <w:r>
        <w:rPr>
          <w:rFonts w:ascii="Calibri" w:hAnsi="Calibri"/>
          <w:sz w:val="20"/>
        </w:rPr>
        <w:t>de</w:t>
      </w:r>
      <w:r>
        <w:rPr>
          <w:rFonts w:ascii="Calibri" w:hAnsi="Calibri"/>
          <w:spacing w:val="-10"/>
          <w:sz w:val="20"/>
        </w:rPr>
        <w:t> </w:t>
      </w:r>
      <w:r>
        <w:rPr>
          <w:rFonts w:ascii="Calibri" w:hAnsi="Calibri"/>
          <w:sz w:val="20"/>
        </w:rPr>
        <w:t>desarrollo</w:t>
      </w:r>
      <w:r>
        <w:rPr>
          <w:rFonts w:ascii="Calibri" w:hAnsi="Calibri"/>
          <w:spacing w:val="-9"/>
          <w:sz w:val="20"/>
        </w:rPr>
        <w:t> </w:t>
      </w:r>
      <w:r>
        <w:rPr>
          <w:rFonts w:ascii="Calibri" w:hAnsi="Calibri"/>
          <w:sz w:val="20"/>
        </w:rPr>
        <w:t>sostenible</w:t>
      </w:r>
      <w:r>
        <w:rPr>
          <w:rFonts w:ascii="Calibri" w:hAnsi="Calibri"/>
          <w:spacing w:val="-8"/>
          <w:sz w:val="20"/>
        </w:rPr>
        <w:t> </w:t>
      </w:r>
      <w:r>
        <w:rPr>
          <w:rFonts w:ascii="Calibri" w:hAnsi="Calibri"/>
          <w:sz w:val="20"/>
        </w:rPr>
        <w:t>que</w:t>
      </w:r>
      <w:r>
        <w:rPr>
          <w:rFonts w:ascii="Calibri" w:hAnsi="Calibri"/>
          <w:spacing w:val="-9"/>
          <w:sz w:val="20"/>
        </w:rPr>
        <w:t> </w:t>
      </w:r>
      <w:r>
        <w:rPr>
          <w:rFonts w:ascii="Calibri" w:hAnsi="Calibri"/>
          <w:sz w:val="20"/>
        </w:rPr>
        <w:t>genere</w:t>
      </w:r>
      <w:r>
        <w:rPr>
          <w:rFonts w:ascii="Calibri" w:hAnsi="Calibri"/>
          <w:spacing w:val="-9"/>
          <w:sz w:val="20"/>
        </w:rPr>
        <w:t> </w:t>
      </w:r>
      <w:r>
        <w:rPr>
          <w:rFonts w:ascii="Calibri" w:hAnsi="Calibri"/>
          <w:sz w:val="20"/>
        </w:rPr>
        <w:t>empleo</w:t>
      </w:r>
      <w:r>
        <w:rPr>
          <w:rFonts w:ascii="Calibri" w:hAnsi="Calibri"/>
          <w:spacing w:val="-8"/>
          <w:sz w:val="20"/>
        </w:rPr>
        <w:t> </w:t>
      </w:r>
      <w:r>
        <w:rPr>
          <w:rFonts w:ascii="Calibri" w:hAnsi="Calibri"/>
          <w:sz w:val="20"/>
        </w:rPr>
        <w:t>decente</w:t>
      </w:r>
      <w:r>
        <w:rPr>
          <w:rFonts w:ascii="Calibri" w:hAnsi="Calibri"/>
          <w:spacing w:val="-9"/>
          <w:sz w:val="20"/>
        </w:rPr>
        <w:t> </w:t>
      </w:r>
      <w:r>
        <w:rPr>
          <w:rFonts w:ascii="Calibri" w:hAnsi="Calibri"/>
          <w:sz w:val="20"/>
        </w:rPr>
        <w:t>y</w:t>
      </w:r>
      <w:r>
        <w:rPr>
          <w:rFonts w:ascii="Calibri" w:hAnsi="Calibri"/>
          <w:spacing w:val="-10"/>
          <w:sz w:val="20"/>
        </w:rPr>
        <w:t> </w:t>
      </w:r>
      <w:r>
        <w:rPr>
          <w:rFonts w:ascii="Calibri" w:hAnsi="Calibri"/>
          <w:sz w:val="20"/>
        </w:rPr>
        <w:t>contribuya</w:t>
      </w:r>
      <w:r>
        <w:rPr>
          <w:rFonts w:ascii="Calibri" w:hAnsi="Calibri"/>
          <w:spacing w:val="-9"/>
          <w:sz w:val="20"/>
        </w:rPr>
        <w:t> </w:t>
      </w:r>
      <w:r>
        <w:rPr>
          <w:rFonts w:ascii="Calibri" w:hAnsi="Calibri"/>
          <w:sz w:val="20"/>
        </w:rPr>
        <w:t>a</w:t>
      </w:r>
      <w:r>
        <w:rPr>
          <w:rFonts w:ascii="Calibri" w:hAnsi="Calibri"/>
          <w:spacing w:val="-9"/>
          <w:sz w:val="20"/>
        </w:rPr>
        <w:t> </w:t>
      </w:r>
      <w:r>
        <w:rPr>
          <w:rFonts w:ascii="Calibri" w:hAnsi="Calibri"/>
          <w:sz w:val="20"/>
        </w:rPr>
        <w:t>la</w:t>
      </w:r>
      <w:r>
        <w:rPr>
          <w:rFonts w:ascii="Calibri" w:hAnsi="Calibri"/>
          <w:spacing w:val="-11"/>
          <w:sz w:val="20"/>
        </w:rPr>
        <w:t> </w:t>
      </w:r>
      <w:r>
        <w:rPr>
          <w:rFonts w:ascii="Calibri" w:hAnsi="Calibri"/>
          <w:sz w:val="20"/>
        </w:rPr>
        <w:t>reducción</w:t>
      </w:r>
      <w:r>
        <w:rPr>
          <w:rFonts w:ascii="Calibri" w:hAnsi="Calibri"/>
          <w:spacing w:val="-10"/>
          <w:sz w:val="20"/>
        </w:rPr>
        <w:t> </w:t>
      </w:r>
      <w:r>
        <w:rPr>
          <w:rFonts w:ascii="Calibri" w:hAnsi="Calibri"/>
          <w:sz w:val="20"/>
        </w:rPr>
        <w:t>de las desigualdades”</w:t>
      </w:r>
    </w:p>
    <w:p>
      <w:pPr>
        <w:spacing w:line="259" w:lineRule="auto" w:before="138"/>
        <w:ind w:left="2251" w:right="2023" w:firstLine="0"/>
        <w:jc w:val="both"/>
        <w:rPr>
          <w:rFonts w:ascii="Calibri" w:hAnsi="Calibri"/>
          <w:sz w:val="20"/>
        </w:rPr>
      </w:pPr>
      <w:r>
        <w:rPr>
          <w:rFonts w:ascii="Calibri" w:hAnsi="Calibri"/>
          <w:sz w:val="20"/>
        </w:rPr>
        <w:t>En esta misma línea, se incide en que el PMUS Málaga incluye diagnósticos y propuestas enmarcadas</w:t>
      </w:r>
      <w:r>
        <w:rPr>
          <w:rFonts w:ascii="Calibri" w:hAnsi="Calibri"/>
          <w:spacing w:val="-2"/>
          <w:sz w:val="20"/>
        </w:rPr>
        <w:t> </w:t>
      </w:r>
      <w:r>
        <w:rPr>
          <w:rFonts w:ascii="Calibri" w:hAnsi="Calibri"/>
          <w:sz w:val="20"/>
        </w:rPr>
        <w:t>en</w:t>
      </w:r>
      <w:r>
        <w:rPr>
          <w:rFonts w:ascii="Calibri" w:hAnsi="Calibri"/>
          <w:spacing w:val="-2"/>
          <w:sz w:val="20"/>
        </w:rPr>
        <w:t> </w:t>
      </w:r>
      <w:r>
        <w:rPr>
          <w:rFonts w:ascii="Calibri" w:hAnsi="Calibri"/>
          <w:sz w:val="20"/>
        </w:rPr>
        <w:t>la</w:t>
      </w:r>
      <w:r>
        <w:rPr>
          <w:rFonts w:ascii="Calibri" w:hAnsi="Calibri"/>
          <w:spacing w:val="-6"/>
          <w:sz w:val="20"/>
        </w:rPr>
        <w:t> </w:t>
      </w:r>
      <w:r>
        <w:rPr>
          <w:rFonts w:ascii="Calibri" w:hAnsi="Calibri"/>
          <w:sz w:val="20"/>
        </w:rPr>
        <w:t>Ley</w:t>
      </w:r>
      <w:r>
        <w:rPr>
          <w:rFonts w:ascii="Calibri" w:hAnsi="Calibri"/>
          <w:spacing w:val="-4"/>
          <w:sz w:val="20"/>
        </w:rPr>
        <w:t> </w:t>
      </w:r>
      <w:r>
        <w:rPr>
          <w:rFonts w:ascii="Calibri" w:hAnsi="Calibri"/>
          <w:sz w:val="20"/>
        </w:rPr>
        <w:t>7/2021,</w:t>
      </w:r>
      <w:r>
        <w:rPr>
          <w:rFonts w:ascii="Calibri" w:hAnsi="Calibri"/>
          <w:spacing w:val="-5"/>
          <w:sz w:val="20"/>
        </w:rPr>
        <w:t> </w:t>
      </w:r>
      <w:r>
        <w:rPr>
          <w:rFonts w:ascii="Calibri" w:hAnsi="Calibri"/>
          <w:sz w:val="20"/>
        </w:rPr>
        <w:t>concretamente</w:t>
      </w:r>
      <w:r>
        <w:rPr>
          <w:rFonts w:ascii="Calibri" w:hAnsi="Calibri"/>
          <w:spacing w:val="-5"/>
          <w:sz w:val="20"/>
        </w:rPr>
        <w:t> </w:t>
      </w:r>
      <w:r>
        <w:rPr>
          <w:rFonts w:ascii="Calibri" w:hAnsi="Calibri"/>
          <w:sz w:val="20"/>
        </w:rPr>
        <w:t>en</w:t>
      </w:r>
      <w:r>
        <w:rPr>
          <w:rFonts w:ascii="Calibri" w:hAnsi="Calibri"/>
          <w:spacing w:val="-5"/>
          <w:sz w:val="20"/>
        </w:rPr>
        <w:t> </w:t>
      </w:r>
      <w:r>
        <w:rPr>
          <w:rFonts w:ascii="Calibri" w:hAnsi="Calibri"/>
          <w:sz w:val="20"/>
        </w:rPr>
        <w:t>sus</w:t>
      </w:r>
      <w:r>
        <w:rPr>
          <w:rFonts w:ascii="Calibri" w:hAnsi="Calibri"/>
          <w:spacing w:val="-4"/>
          <w:sz w:val="20"/>
        </w:rPr>
        <w:t> </w:t>
      </w:r>
      <w:r>
        <w:rPr>
          <w:rFonts w:ascii="Calibri" w:hAnsi="Calibri"/>
          <w:sz w:val="20"/>
        </w:rPr>
        <w:t>“Artículo</w:t>
      </w:r>
      <w:r>
        <w:rPr>
          <w:rFonts w:ascii="Calibri" w:hAnsi="Calibri"/>
          <w:spacing w:val="-5"/>
          <w:sz w:val="20"/>
        </w:rPr>
        <w:t> </w:t>
      </w:r>
      <w:r>
        <w:rPr>
          <w:rFonts w:ascii="Calibri" w:hAnsi="Calibri"/>
          <w:sz w:val="20"/>
        </w:rPr>
        <w:t>14.</w:t>
      </w:r>
      <w:r>
        <w:rPr>
          <w:rFonts w:ascii="Calibri" w:hAnsi="Calibri"/>
          <w:spacing w:val="-5"/>
          <w:sz w:val="20"/>
        </w:rPr>
        <w:t> </w:t>
      </w:r>
      <w:r>
        <w:rPr>
          <w:rFonts w:ascii="Calibri" w:hAnsi="Calibri"/>
          <w:sz w:val="20"/>
        </w:rPr>
        <w:t>Promoción</w:t>
      </w:r>
      <w:r>
        <w:rPr>
          <w:rFonts w:ascii="Calibri" w:hAnsi="Calibri"/>
          <w:spacing w:val="-5"/>
          <w:sz w:val="20"/>
        </w:rPr>
        <w:t> </w:t>
      </w:r>
      <w:r>
        <w:rPr>
          <w:rFonts w:ascii="Calibri" w:hAnsi="Calibri"/>
          <w:sz w:val="20"/>
        </w:rPr>
        <w:t>de</w:t>
      </w:r>
      <w:r>
        <w:rPr>
          <w:rFonts w:ascii="Calibri" w:hAnsi="Calibri"/>
          <w:spacing w:val="-5"/>
          <w:sz w:val="20"/>
        </w:rPr>
        <w:t> </w:t>
      </w:r>
      <w:r>
        <w:rPr>
          <w:rFonts w:ascii="Calibri" w:hAnsi="Calibri"/>
          <w:sz w:val="20"/>
        </w:rPr>
        <w:t>movilidad sin emisiones” y</w:t>
      </w:r>
      <w:r>
        <w:rPr>
          <w:rFonts w:ascii="Calibri" w:hAnsi="Calibri"/>
          <w:spacing w:val="-1"/>
          <w:sz w:val="20"/>
        </w:rPr>
        <w:t> </w:t>
      </w:r>
      <w:r>
        <w:rPr>
          <w:rFonts w:ascii="Calibri" w:hAnsi="Calibri"/>
          <w:sz w:val="20"/>
        </w:rPr>
        <w:t>“Artículo 15. Instalación de</w:t>
      </w:r>
      <w:r>
        <w:rPr>
          <w:rFonts w:ascii="Calibri" w:hAnsi="Calibri"/>
          <w:spacing w:val="-1"/>
          <w:sz w:val="20"/>
        </w:rPr>
        <w:t> </w:t>
      </w:r>
      <w:r>
        <w:rPr>
          <w:rFonts w:ascii="Calibri" w:hAnsi="Calibri"/>
          <w:sz w:val="20"/>
        </w:rPr>
        <w:t>puntos de</w:t>
      </w:r>
      <w:r>
        <w:rPr>
          <w:rFonts w:ascii="Calibri" w:hAnsi="Calibri"/>
          <w:spacing w:val="-2"/>
          <w:sz w:val="20"/>
        </w:rPr>
        <w:t> </w:t>
      </w:r>
      <w:r>
        <w:rPr>
          <w:rFonts w:ascii="Calibri" w:hAnsi="Calibri"/>
          <w:sz w:val="20"/>
        </w:rPr>
        <w:t>recarga eléctrica”.</w:t>
      </w:r>
    </w:p>
    <w:p>
      <w:pPr>
        <w:spacing w:line="259" w:lineRule="auto" w:before="137"/>
        <w:ind w:left="2251" w:right="2020" w:firstLine="0"/>
        <w:jc w:val="both"/>
        <w:rPr>
          <w:rFonts w:ascii="Calibri" w:hAnsi="Calibri"/>
          <w:sz w:val="20"/>
        </w:rPr>
      </w:pPr>
      <w:r>
        <w:rPr>
          <w:rFonts w:ascii="Calibri" w:hAnsi="Calibri"/>
          <w:sz w:val="20"/>
        </w:rPr>
        <w:t>Como prueba de ello, y a modo de ejemplo, se muestran algunas capturas del PMUS Málaga que así lo evidencian:</w:t>
      </w:r>
    </w:p>
    <w:p>
      <w:pPr>
        <w:pStyle w:val="ListParagraph"/>
        <w:numPr>
          <w:ilvl w:val="0"/>
          <w:numId w:val="19"/>
        </w:numPr>
        <w:tabs>
          <w:tab w:pos="2565" w:val="left" w:leader="none"/>
        </w:tabs>
        <w:spacing w:line="256" w:lineRule="auto" w:before="143" w:after="0"/>
        <w:ind w:left="2251" w:right="2027" w:firstLine="0"/>
        <w:jc w:val="both"/>
        <w:rPr>
          <w:rFonts w:ascii="Calibri" w:hAnsi="Calibri"/>
          <w:sz w:val="20"/>
        </w:rPr>
      </w:pPr>
      <w:r>
        <w:rPr>
          <w:rFonts w:ascii="Calibri" w:hAnsi="Calibri"/>
          <w:sz w:val="20"/>
        </w:rPr>
        <w:t>Páginas 206 y 207 del PMUS Málaga, donde se siguen la planificación de la Ley de Cambio Climático y Transición Energética, en</w:t>
      </w:r>
      <w:r>
        <w:rPr>
          <w:rFonts w:ascii="Calibri" w:hAnsi="Calibri"/>
          <w:spacing w:val="-1"/>
          <w:sz w:val="20"/>
        </w:rPr>
        <w:t> </w:t>
      </w:r>
      <w:r>
        <w:rPr>
          <w:rFonts w:ascii="Calibri" w:hAnsi="Calibri"/>
          <w:sz w:val="20"/>
        </w:rPr>
        <w:t>este caso, por el solapamiento de las fechas cronológicas ya comentadas, con el entonces Anteproyecto de Ley.</w:t>
      </w:r>
    </w:p>
    <w:p>
      <w:pPr>
        <w:pStyle w:val="BodyText"/>
        <w:spacing w:before="151"/>
        <w:rPr>
          <w:rFonts w:ascii="Calibri"/>
          <w:sz w:val="20"/>
        </w:rPr>
      </w:pPr>
      <w:r>
        <w:rPr>
          <w:rFonts w:ascii="Calibri"/>
          <w:sz w:val="20"/>
        </w:rPr>
        <mc:AlternateContent>
          <mc:Choice Requires="wps">
            <w:drawing>
              <wp:anchor distT="0" distB="0" distL="0" distR="0" allowOverlap="1" layoutInCell="1" locked="0" behindDoc="1" simplePos="0" relativeHeight="487746048">
                <wp:simplePos x="0" y="0"/>
                <wp:positionH relativeFrom="page">
                  <wp:posOffset>1527047</wp:posOffset>
                </wp:positionH>
                <wp:positionV relativeFrom="paragraph">
                  <wp:posOffset>266809</wp:posOffset>
                </wp:positionV>
                <wp:extent cx="4889500" cy="3763010"/>
                <wp:effectExtent l="0" t="0" r="0" b="0"/>
                <wp:wrapTopAndBottom/>
                <wp:docPr id="1689" name="Group 1689"/>
                <wp:cNvGraphicFramePr>
                  <a:graphicFrameLocks/>
                </wp:cNvGraphicFramePr>
                <a:graphic>
                  <a:graphicData uri="http://schemas.microsoft.com/office/word/2010/wordprocessingGroup">
                    <wpg:wgp>
                      <wpg:cNvPr id="1689" name="Group 1689"/>
                      <wpg:cNvGrpSpPr/>
                      <wpg:grpSpPr>
                        <a:xfrm>
                          <a:off x="0" y="0"/>
                          <a:ext cx="4889500" cy="3763010"/>
                          <a:chExt cx="4889500" cy="3763010"/>
                        </a:xfrm>
                      </wpg:grpSpPr>
                      <pic:pic>
                        <pic:nvPicPr>
                          <pic:cNvPr id="1690" name="Image 1690"/>
                          <pic:cNvPicPr/>
                        </pic:nvPicPr>
                        <pic:blipFill>
                          <a:blip r:embed="rId292" cstate="print"/>
                          <a:stretch>
                            <a:fillRect/>
                          </a:stretch>
                        </pic:blipFill>
                        <pic:spPr>
                          <a:xfrm>
                            <a:off x="7619" y="9143"/>
                            <a:ext cx="4872228" cy="3744467"/>
                          </a:xfrm>
                          <a:prstGeom prst="rect">
                            <a:avLst/>
                          </a:prstGeom>
                        </pic:spPr>
                      </pic:pic>
                      <wps:wsp>
                        <wps:cNvPr id="1691" name="Graphic 1691"/>
                        <wps:cNvSpPr/>
                        <wps:spPr>
                          <a:xfrm>
                            <a:off x="4571" y="4571"/>
                            <a:ext cx="4879975" cy="3754120"/>
                          </a:xfrm>
                          <a:custGeom>
                            <a:avLst/>
                            <a:gdLst/>
                            <a:ahLst/>
                            <a:cxnLst/>
                            <a:rect l="l" t="t" r="r" b="b"/>
                            <a:pathLst>
                              <a:path w="4879975" h="3754120">
                                <a:moveTo>
                                  <a:pt x="0" y="3753611"/>
                                </a:moveTo>
                                <a:lnTo>
                                  <a:pt x="4879847" y="3753611"/>
                                </a:lnTo>
                                <a:lnTo>
                                  <a:pt x="4879847" y="0"/>
                                </a:lnTo>
                                <a:lnTo>
                                  <a:pt x="0" y="0"/>
                                </a:lnTo>
                                <a:lnTo>
                                  <a:pt x="0" y="3753611"/>
                                </a:lnTo>
                                <a:close/>
                              </a:path>
                            </a:pathLst>
                          </a:custGeom>
                          <a:ln w="9143">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20.239998pt;margin-top:21.00864pt;width:385pt;height:296.3pt;mso-position-horizontal-relative:page;mso-position-vertical-relative:paragraph;z-index:-15570432;mso-wrap-distance-left:0;mso-wrap-distance-right:0" id="docshapegroup1247" coordorigin="2405,420" coordsize="7700,5926">
                <v:shape style="position:absolute;left:2416;top:434;width:7673;height:5897" type="#_x0000_t75" id="docshape1248" stroked="false">
                  <v:imagedata r:id="rId292" o:title=""/>
                </v:shape>
                <v:rect style="position:absolute;left:2412;top:427;width:7685;height:5912" id="docshape1249" filled="false" stroked="true" strokeweight=".72pt" strokecolor="#000000">
                  <v:stroke dashstyle="solid"/>
                </v:rect>
                <w10:wrap type="topAndBottom"/>
              </v:group>
            </w:pict>
          </mc:Fallback>
        </mc:AlternateConten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8"/>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692" name="Group 1692"/>
                <wp:cNvGraphicFramePr>
                  <a:graphicFrameLocks/>
                </wp:cNvGraphicFramePr>
                <a:graphic>
                  <a:graphicData uri="http://schemas.microsoft.com/office/word/2010/wordprocessingGroup">
                    <wpg:wgp>
                      <wpg:cNvPr id="1692" name="Group 1692"/>
                      <wpg:cNvGrpSpPr/>
                      <wpg:grpSpPr>
                        <a:xfrm>
                          <a:off x="0" y="0"/>
                          <a:ext cx="1870075" cy="6350"/>
                          <a:chExt cx="1870075" cy="6350"/>
                        </a:xfrm>
                      </wpg:grpSpPr>
                      <wps:wsp>
                        <wps:cNvPr id="1693" name="Graphic 1693"/>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250" coordorigin="0,0" coordsize="2945,10">
                <v:rect style="position:absolute;left:0;top:0;width:2945;height:10" id="docshape1251"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694" name="Group 1694"/>
                <wp:cNvGraphicFramePr>
                  <a:graphicFrameLocks/>
                </wp:cNvGraphicFramePr>
                <a:graphic>
                  <a:graphicData uri="http://schemas.microsoft.com/office/word/2010/wordprocessingGroup">
                    <wpg:wgp>
                      <wpg:cNvPr id="1694" name="Group 1694"/>
                      <wpg:cNvGrpSpPr/>
                      <wpg:grpSpPr>
                        <a:xfrm>
                          <a:off x="0" y="0"/>
                          <a:ext cx="841375" cy="6350"/>
                          <a:chExt cx="841375" cy="6350"/>
                        </a:xfrm>
                      </wpg:grpSpPr>
                      <wps:wsp>
                        <wps:cNvPr id="1695" name="Graphic 1695"/>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252" coordorigin="0,0" coordsize="1325,10">
                <v:rect style="position:absolute;left:0;top:0;width:1325;height:10" id="docshape1253"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289"/>
          <w:headerReference w:type="even" r:id="rId290"/>
          <w:footerReference w:type="default" r:id="rId291"/>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26880">
                <wp:simplePos x="0" y="0"/>
                <wp:positionH relativeFrom="page">
                  <wp:posOffset>4332186</wp:posOffset>
                </wp:positionH>
                <wp:positionV relativeFrom="paragraph">
                  <wp:posOffset>1412477</wp:posOffset>
                </wp:positionV>
                <wp:extent cx="53340" cy="100330"/>
                <wp:effectExtent l="0" t="0" r="0" b="0"/>
                <wp:wrapNone/>
                <wp:docPr id="1696" name="Textbox 1696"/>
                <wp:cNvGraphicFramePr>
                  <a:graphicFrameLocks/>
                </wp:cNvGraphicFramePr>
                <a:graphic>
                  <a:graphicData uri="http://schemas.microsoft.com/office/word/2010/wordprocessingShape">
                    <wps:wsp>
                      <wps:cNvPr id="1696" name="Textbox 1696"/>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89600" type="#_x0000_t202" id="docshape1254"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427392">
                <wp:simplePos x="0" y="0"/>
                <wp:positionH relativeFrom="page">
                  <wp:posOffset>2413406</wp:posOffset>
                </wp:positionH>
                <wp:positionV relativeFrom="paragraph">
                  <wp:posOffset>986179</wp:posOffset>
                </wp:positionV>
                <wp:extent cx="1459230" cy="85090"/>
                <wp:effectExtent l="0" t="0" r="0" b="0"/>
                <wp:wrapNone/>
                <wp:docPr id="1697" name="Graphic 1697"/>
                <wp:cNvGraphicFramePr>
                  <a:graphicFrameLocks/>
                </wp:cNvGraphicFramePr>
                <a:graphic>
                  <a:graphicData uri="http://schemas.microsoft.com/office/word/2010/wordprocessingShape">
                    <wps:wsp>
                      <wps:cNvPr id="1697" name="Graphic 1697"/>
                      <wps:cNvSpPr/>
                      <wps:spPr>
                        <a:xfrm>
                          <a:off x="0" y="0"/>
                          <a:ext cx="1459230" cy="85090"/>
                        </a:xfrm>
                        <a:custGeom>
                          <a:avLst/>
                          <a:gdLst/>
                          <a:ahLst/>
                          <a:cxnLst/>
                          <a:rect l="l" t="t" r="r" b="b"/>
                          <a:pathLst>
                            <a:path w="1459230" h="85090">
                              <a:moveTo>
                                <a:pt x="1459039" y="0"/>
                              </a:moveTo>
                              <a:lnTo>
                                <a:pt x="0" y="0"/>
                              </a:lnTo>
                              <a:lnTo>
                                <a:pt x="0" y="84937"/>
                              </a:lnTo>
                              <a:lnTo>
                                <a:pt x="1459039" y="84937"/>
                              </a:lnTo>
                              <a:lnTo>
                                <a:pt x="145903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90.032pt;margin-top:77.651893pt;width:114.885pt;height:6.688pt;mso-position-horizontal-relative:page;mso-position-vertical-relative:paragraph;z-index:-28889088" id="docshape1255" filled="true" fillcolor="#000000" stroked="false">
                <v:fill type="solid"/>
                <w10:wrap type="none"/>
              </v:rect>
            </w:pict>
          </mc:Fallback>
        </mc:AlternateContent>
      </w:r>
      <w:r>
        <w:rPr>
          <w:sz w:val="16"/>
        </w:rPr>
        <mc:AlternateContent>
          <mc:Choice Requires="wps">
            <w:drawing>
              <wp:anchor distT="0" distB="0" distL="0" distR="0" allowOverlap="1" layoutInCell="1" locked="0" behindDoc="1" simplePos="0" relativeHeight="474427904">
                <wp:simplePos x="0" y="0"/>
                <wp:positionH relativeFrom="page">
                  <wp:posOffset>4371543</wp:posOffset>
                </wp:positionH>
                <wp:positionV relativeFrom="paragraph">
                  <wp:posOffset>1412556</wp:posOffset>
                </wp:positionV>
                <wp:extent cx="1512570" cy="102870"/>
                <wp:effectExtent l="0" t="0" r="0" b="0"/>
                <wp:wrapNone/>
                <wp:docPr id="1698" name="Graphic 1698"/>
                <wp:cNvGraphicFramePr>
                  <a:graphicFrameLocks/>
                </wp:cNvGraphicFramePr>
                <a:graphic>
                  <a:graphicData uri="http://schemas.microsoft.com/office/word/2010/wordprocessingShape">
                    <wps:wsp>
                      <wps:cNvPr id="1698" name="Graphic 1698"/>
                      <wps:cNvSpPr/>
                      <wps:spPr>
                        <a:xfrm>
                          <a:off x="0" y="0"/>
                          <a:ext cx="1512570" cy="102870"/>
                        </a:xfrm>
                        <a:custGeom>
                          <a:avLst/>
                          <a:gdLst/>
                          <a:ahLst/>
                          <a:cxnLst/>
                          <a:rect l="l" t="t" r="r" b="b"/>
                          <a:pathLst>
                            <a:path w="1512570" h="102870">
                              <a:moveTo>
                                <a:pt x="1511998" y="0"/>
                              </a:moveTo>
                              <a:lnTo>
                                <a:pt x="0" y="0"/>
                              </a:lnTo>
                              <a:lnTo>
                                <a:pt x="0" y="102819"/>
                              </a:lnTo>
                              <a:lnTo>
                                <a:pt x="1511998" y="102819"/>
                              </a:lnTo>
                              <a:lnTo>
                                <a:pt x="15119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4.216pt;margin-top:111.224892pt;width:119.055pt;height:8.096pt;mso-position-horizontal-relative:page;mso-position-vertical-relative:paragraph;z-index:-28888576" id="docshape1256" filled="true" fillcolor="#000000" stroked="false">
                <v:fill type="solid"/>
                <w10:wrap type="none"/>
              </v:rect>
            </w:pict>
          </mc:Fallback>
        </mc:AlternateContent>
      </w:r>
      <w:r>
        <w:rPr>
          <w:sz w:val="16"/>
        </w:rPr>
        <w:drawing>
          <wp:anchor distT="0" distB="0" distL="0" distR="0" allowOverlap="1" layoutInCell="1" locked="0" behindDoc="0" simplePos="0" relativeHeight="15890432">
            <wp:simplePos x="0" y="0"/>
            <wp:positionH relativeFrom="page">
              <wp:posOffset>217931</wp:posOffset>
            </wp:positionH>
            <wp:positionV relativeFrom="paragraph">
              <wp:posOffset>1001444</wp:posOffset>
            </wp:positionV>
            <wp:extent cx="1203959" cy="207263"/>
            <wp:effectExtent l="0" t="0" r="0" b="0"/>
            <wp:wrapNone/>
            <wp:docPr id="1699" name="Image 1699"/>
            <wp:cNvGraphicFramePr>
              <a:graphicFrameLocks/>
            </wp:cNvGraphicFramePr>
            <a:graphic>
              <a:graphicData uri="http://schemas.openxmlformats.org/drawingml/2006/picture">
                <pic:pic>
                  <pic:nvPicPr>
                    <pic:cNvPr id="1699" name="Image 1699"/>
                    <pic:cNvPicPr/>
                  </pic:nvPicPr>
                  <pic:blipFill>
                    <a:blip r:embed="rId219" cstate="print"/>
                    <a:stretch>
                      <a:fillRect/>
                    </a:stretch>
                  </pic:blipFill>
                  <pic:spPr>
                    <a:xfrm>
                      <a:off x="0" y="0"/>
                      <a:ext cx="1203959" cy="207263"/>
                    </a:xfrm>
                    <a:prstGeom prst="rect">
                      <a:avLst/>
                    </a:prstGeom>
                  </pic:spPr>
                </pic:pic>
              </a:graphicData>
            </a:graphic>
          </wp:anchor>
        </w:drawing>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700" name="Textbox 1700"/>
                <wp:cNvGraphicFramePr>
                  <a:graphicFrameLocks/>
                </wp:cNvGraphicFramePr>
                <a:graphic>
                  <a:graphicData uri="http://schemas.microsoft.com/office/word/2010/wordprocessingShape">
                    <wps:wsp>
                      <wps:cNvPr id="1700" name="Textbox 1700"/>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701" name="Image 1701"/>
                                        <wp:cNvGraphicFramePr>
                                          <a:graphicFrameLocks/>
                                        </wp:cNvGraphicFramePr>
                                        <a:graphic>
                                          <a:graphicData uri="http://schemas.openxmlformats.org/drawingml/2006/picture">
                                            <pic:pic>
                                              <pic:nvPicPr>
                                                <pic:cNvPr id="1701" name="Image 170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702" name="Image 1702"/>
                                        <wp:cNvGraphicFramePr>
                                          <a:graphicFrameLocks/>
                                        </wp:cNvGraphicFramePr>
                                        <a:graphic>
                                          <a:graphicData uri="http://schemas.openxmlformats.org/drawingml/2006/picture">
                                            <pic:pic>
                                              <pic:nvPicPr>
                                                <pic:cNvPr id="1702" name="Image 170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703" name="Image 1703"/>
                                        <wp:cNvGraphicFramePr>
                                          <a:graphicFrameLocks/>
                                        </wp:cNvGraphicFramePr>
                                        <a:graphic>
                                          <a:graphicData uri="http://schemas.openxmlformats.org/drawingml/2006/picture">
                                            <pic:pic>
                                              <pic:nvPicPr>
                                                <pic:cNvPr id="1703" name="Image 170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704" name="Image 1704"/>
                                        <wp:cNvGraphicFramePr>
                                          <a:graphicFrameLocks/>
                                        </wp:cNvGraphicFramePr>
                                        <a:graphic>
                                          <a:graphicData uri="http://schemas.openxmlformats.org/drawingml/2006/picture">
                                            <pic:pic>
                                              <pic:nvPicPr>
                                                <pic:cNvPr id="1704" name="Image 1704"/>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29/40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705" name="Image 1705"/>
                                        <wp:cNvGraphicFramePr>
                                          <a:graphicFrameLocks/>
                                        </wp:cNvGraphicFramePr>
                                        <a:graphic>
                                          <a:graphicData uri="http://schemas.openxmlformats.org/drawingml/2006/picture">
                                            <pic:pic>
                                              <pic:nvPicPr>
                                                <pic:cNvPr id="1705" name="Image 1705"/>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706" name="Image 1706"/>
                                        <wp:cNvGraphicFramePr>
                                          <a:graphicFrameLocks/>
                                        </wp:cNvGraphicFramePr>
                                        <a:graphic>
                                          <a:graphicData uri="http://schemas.openxmlformats.org/drawingml/2006/picture">
                                            <pic:pic>
                                              <pic:nvPicPr>
                                                <pic:cNvPr id="1706" name="Image 1706"/>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1257"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707" name="Image 1707"/>
                                  <wp:cNvGraphicFramePr>
                                    <a:graphicFrameLocks/>
                                  </wp:cNvGraphicFramePr>
                                  <a:graphic>
                                    <a:graphicData uri="http://schemas.openxmlformats.org/drawingml/2006/picture">
                                      <pic:pic>
                                        <pic:nvPicPr>
                                          <pic:cNvPr id="1707" name="Image 1707"/>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708" name="Image 1708"/>
                                  <wp:cNvGraphicFramePr>
                                    <a:graphicFrameLocks/>
                                  </wp:cNvGraphicFramePr>
                                  <a:graphic>
                                    <a:graphicData uri="http://schemas.openxmlformats.org/drawingml/2006/picture">
                                      <pic:pic>
                                        <pic:nvPicPr>
                                          <pic:cNvPr id="1708" name="Image 1708"/>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709" name="Image 1709"/>
                                  <wp:cNvGraphicFramePr>
                                    <a:graphicFrameLocks/>
                                  </wp:cNvGraphicFramePr>
                                  <a:graphic>
                                    <a:graphicData uri="http://schemas.openxmlformats.org/drawingml/2006/picture">
                                      <pic:pic>
                                        <pic:nvPicPr>
                                          <pic:cNvPr id="1709" name="Image 1709"/>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710" name="Image 1710"/>
                                  <wp:cNvGraphicFramePr>
                                    <a:graphicFrameLocks/>
                                  </wp:cNvGraphicFramePr>
                                  <a:graphic>
                                    <a:graphicData uri="http://schemas.openxmlformats.org/drawingml/2006/picture">
                                      <pic:pic>
                                        <pic:nvPicPr>
                                          <pic:cNvPr id="1710" name="Image 1710"/>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29/40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711" name="Image 1711"/>
                                  <wp:cNvGraphicFramePr>
                                    <a:graphicFrameLocks/>
                                  </wp:cNvGraphicFramePr>
                                  <a:graphic>
                                    <a:graphicData uri="http://schemas.openxmlformats.org/drawingml/2006/picture">
                                      <pic:pic>
                                        <pic:nvPicPr>
                                          <pic:cNvPr id="1711" name="Image 1711"/>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712" name="Image 1712"/>
                                  <wp:cNvGraphicFramePr>
                                    <a:graphicFrameLocks/>
                                  </wp:cNvGraphicFramePr>
                                  <a:graphic>
                                    <a:graphicData uri="http://schemas.openxmlformats.org/drawingml/2006/picture">
                                      <pic:pic>
                                        <pic:nvPicPr>
                                          <pic:cNvPr id="1712" name="Image 1712"/>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713" name="Group 1713"/>
                <wp:cNvGraphicFramePr>
                  <a:graphicFrameLocks/>
                </wp:cNvGraphicFramePr>
                <a:graphic>
                  <a:graphicData uri="http://schemas.microsoft.com/office/word/2010/wordprocessingGroup">
                    <wpg:wgp>
                      <wpg:cNvPr id="1713" name="Group 1713"/>
                      <wpg:cNvGrpSpPr/>
                      <wpg:grpSpPr>
                        <a:xfrm>
                          <a:off x="0" y="0"/>
                          <a:ext cx="734695" cy="753110"/>
                          <a:chExt cx="734695" cy="753110"/>
                        </a:xfrm>
                      </wpg:grpSpPr>
                      <pic:pic>
                        <pic:nvPicPr>
                          <pic:cNvPr id="1714" name="Image 1714"/>
                          <pic:cNvPicPr/>
                        </pic:nvPicPr>
                        <pic:blipFill>
                          <a:blip r:embed="rId293" cstate="print"/>
                          <a:stretch>
                            <a:fillRect/>
                          </a:stretch>
                        </pic:blipFill>
                        <pic:spPr>
                          <a:xfrm>
                            <a:off x="0" y="0"/>
                            <a:ext cx="734567" cy="752840"/>
                          </a:xfrm>
                          <a:prstGeom prst="rect">
                            <a:avLst/>
                          </a:prstGeom>
                        </pic:spPr>
                      </pic:pic>
                      <wps:wsp>
                        <wps:cNvPr id="1715" name="Graphic 1715"/>
                        <wps:cNvSpPr/>
                        <wps:spPr>
                          <a:xfrm>
                            <a:off x="30530" y="50162"/>
                            <a:ext cx="654685" cy="659765"/>
                          </a:xfrm>
                          <a:custGeom>
                            <a:avLst/>
                            <a:gdLst/>
                            <a:ahLst/>
                            <a:cxnLst/>
                            <a:rect l="l" t="t" r="r" b="b"/>
                            <a:pathLst>
                              <a:path w="654685" h="659765">
                                <a:moveTo>
                                  <a:pt x="654571" y="0"/>
                                </a:moveTo>
                                <a:lnTo>
                                  <a:pt x="0" y="0"/>
                                </a:lnTo>
                                <a:lnTo>
                                  <a:pt x="0" y="659511"/>
                                </a:lnTo>
                                <a:lnTo>
                                  <a:pt x="654571" y="659511"/>
                                </a:lnTo>
                                <a:lnTo>
                                  <a:pt x="65457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1258" coordorigin="0,0" coordsize="1157,1186">
                <v:shape style="position:absolute;left:0;top:0;width:1157;height:1186" type="#_x0000_t75" id="docshape1259" stroked="false">
                  <v:imagedata r:id="rId293" o:title=""/>
                </v:shape>
                <v:rect style="position:absolute;left:48;top:79;width:1031;height:1039" id="docshape1260"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69"/>
        <w:rPr>
          <w:sz w:val="20"/>
        </w:rPr>
      </w:pPr>
    </w:p>
    <w:p>
      <w:pPr>
        <w:spacing w:line="240" w:lineRule="auto"/>
        <w:ind w:left="2263" w:right="0" w:firstLine="0"/>
        <w:rPr>
          <w:sz w:val="20"/>
        </w:rPr>
      </w:pPr>
      <w:r>
        <w:rPr>
          <w:sz w:val="20"/>
        </w:rPr>
        <mc:AlternateContent>
          <mc:Choice Requires="wps">
            <w:drawing>
              <wp:inline distT="0" distB="0" distL="0" distR="0">
                <wp:extent cx="4889500" cy="3789045"/>
                <wp:effectExtent l="9525" t="0" r="0" b="1904"/>
                <wp:docPr id="1732" name="Group 1732"/>
                <wp:cNvGraphicFramePr>
                  <a:graphicFrameLocks/>
                </wp:cNvGraphicFramePr>
                <a:graphic>
                  <a:graphicData uri="http://schemas.microsoft.com/office/word/2010/wordprocessingGroup">
                    <wpg:wgp>
                      <wpg:cNvPr id="1732" name="Group 1732"/>
                      <wpg:cNvGrpSpPr/>
                      <wpg:grpSpPr>
                        <a:xfrm>
                          <a:off x="0" y="0"/>
                          <a:ext cx="4889500" cy="3789045"/>
                          <a:chExt cx="4889500" cy="3789045"/>
                        </a:xfrm>
                      </wpg:grpSpPr>
                      <pic:pic>
                        <pic:nvPicPr>
                          <pic:cNvPr id="1733" name="Image 1733"/>
                          <pic:cNvPicPr/>
                        </pic:nvPicPr>
                        <pic:blipFill>
                          <a:blip r:embed="rId297" cstate="print"/>
                          <a:stretch>
                            <a:fillRect/>
                          </a:stretch>
                        </pic:blipFill>
                        <pic:spPr>
                          <a:xfrm>
                            <a:off x="7619" y="9143"/>
                            <a:ext cx="4872228" cy="3771900"/>
                          </a:xfrm>
                          <a:prstGeom prst="rect">
                            <a:avLst/>
                          </a:prstGeom>
                        </pic:spPr>
                      </pic:pic>
                      <wps:wsp>
                        <wps:cNvPr id="1734" name="Graphic 1734"/>
                        <wps:cNvSpPr/>
                        <wps:spPr>
                          <a:xfrm>
                            <a:off x="4571" y="4571"/>
                            <a:ext cx="4879975" cy="3779520"/>
                          </a:xfrm>
                          <a:custGeom>
                            <a:avLst/>
                            <a:gdLst/>
                            <a:ahLst/>
                            <a:cxnLst/>
                            <a:rect l="l" t="t" r="r" b="b"/>
                            <a:pathLst>
                              <a:path w="4879975" h="3779520">
                                <a:moveTo>
                                  <a:pt x="0" y="3779519"/>
                                </a:moveTo>
                                <a:lnTo>
                                  <a:pt x="4879847" y="3779519"/>
                                </a:lnTo>
                                <a:lnTo>
                                  <a:pt x="4879847" y="0"/>
                                </a:lnTo>
                                <a:lnTo>
                                  <a:pt x="0" y="0"/>
                                </a:lnTo>
                                <a:lnTo>
                                  <a:pt x="0" y="3779519"/>
                                </a:lnTo>
                                <a:close/>
                              </a:path>
                            </a:pathLst>
                          </a:custGeom>
                          <a:ln w="9143">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85pt;height:298.350pt;mso-position-horizontal-relative:char;mso-position-vertical-relative:line" id="docshapegroup1273" coordorigin="0,0" coordsize="7700,5967">
                <v:shape style="position:absolute;left:12;top:14;width:7673;height:5940" type="#_x0000_t75" id="docshape1274" stroked="false">
                  <v:imagedata r:id="rId297" o:title=""/>
                </v:shape>
                <v:rect style="position:absolute;left:7;top:7;width:7685;height:5952" id="docshape1275" filled="false" stroked="true" strokeweight=".72pt" strokecolor="#000000">
                  <v:stroke dashstyle="solid"/>
                </v:rect>
              </v:group>
            </w:pict>
          </mc:Fallback>
        </mc:AlternateContent>
      </w:r>
      <w:r>
        <w:rPr>
          <w:sz w:val="20"/>
        </w:rPr>
      </w:r>
    </w:p>
    <w:p>
      <w:pPr>
        <w:pStyle w:val="BodyText"/>
        <w:rPr>
          <w:sz w:val="20"/>
        </w:rPr>
      </w:pPr>
    </w:p>
    <w:p>
      <w:pPr>
        <w:pStyle w:val="BodyText"/>
        <w:spacing w:before="84"/>
        <w:rPr>
          <w:sz w:val="20"/>
        </w:rPr>
      </w:pPr>
    </w:p>
    <w:p>
      <w:pPr>
        <w:spacing w:line="256" w:lineRule="auto" w:before="0"/>
        <w:ind w:left="2251" w:right="2024" w:firstLine="0"/>
        <w:jc w:val="both"/>
        <w:rPr>
          <w:rFonts w:ascii="Calibri" w:hAnsi="Calibri"/>
          <w:sz w:val="20"/>
        </w:rPr>
      </w:pPr>
      <w:r>
        <w:rPr>
          <w:rFonts w:ascii="Calibri" w:hAnsi="Calibri"/>
          <w:sz w:val="20"/>
        </w:rPr>
        <w:t>Extracto del PMUS de Málaga (2021), donde se hace referencia al Anteproyecto de Ley de Cambio Climático y Transición Energética, por entonces, último avance temporal de la ya actual Ley materializada.</w:t>
      </w:r>
    </w:p>
    <w:p>
      <w:pPr>
        <w:pStyle w:val="ListParagraph"/>
        <w:numPr>
          <w:ilvl w:val="0"/>
          <w:numId w:val="19"/>
        </w:numPr>
        <w:tabs>
          <w:tab w:pos="2566" w:val="left" w:leader="none"/>
        </w:tabs>
        <w:spacing w:line="259" w:lineRule="auto" w:before="145" w:after="0"/>
        <w:ind w:left="2251" w:right="2023" w:firstLine="0"/>
        <w:jc w:val="left"/>
        <w:rPr>
          <w:rFonts w:ascii="Calibri" w:hAnsi="Calibri"/>
          <w:sz w:val="20"/>
        </w:rPr>
      </w:pPr>
      <w:r>
        <w:rPr>
          <w:rFonts w:ascii="Calibri" w:hAnsi="Calibri"/>
          <w:sz w:val="20"/>
        </w:rPr>
        <w:t>Páginas 381 y 382 del PMUS Málaga, donde ya se planificaba la implantación de una ZBE como medida de promoción de movilidad sin emisiones.</w:t>
      </w:r>
    </w:p>
    <w:p>
      <w:pPr>
        <w:pStyle w:val="BodyText"/>
        <w:spacing w:before="148"/>
        <w:rPr>
          <w:rFonts w:ascii="Calibri"/>
          <w:sz w:val="20"/>
        </w:rPr>
      </w:pPr>
      <w:r>
        <w:rPr>
          <w:rFonts w:ascii="Calibri"/>
          <w:sz w:val="20"/>
        </w:rPr>
        <mc:AlternateContent>
          <mc:Choice Requires="wps">
            <w:drawing>
              <wp:anchor distT="0" distB="0" distL="0" distR="0" allowOverlap="1" layoutInCell="1" locked="0" behindDoc="1" simplePos="0" relativeHeight="487750656">
                <wp:simplePos x="0" y="0"/>
                <wp:positionH relativeFrom="page">
                  <wp:posOffset>1527047</wp:posOffset>
                </wp:positionH>
                <wp:positionV relativeFrom="paragraph">
                  <wp:posOffset>265051</wp:posOffset>
                </wp:positionV>
                <wp:extent cx="4889500" cy="1379220"/>
                <wp:effectExtent l="0" t="0" r="0" b="0"/>
                <wp:wrapTopAndBottom/>
                <wp:docPr id="1735" name="Group 1735"/>
                <wp:cNvGraphicFramePr>
                  <a:graphicFrameLocks/>
                </wp:cNvGraphicFramePr>
                <a:graphic>
                  <a:graphicData uri="http://schemas.microsoft.com/office/word/2010/wordprocessingGroup">
                    <wpg:wgp>
                      <wpg:cNvPr id="1735" name="Group 1735"/>
                      <wpg:cNvGrpSpPr/>
                      <wpg:grpSpPr>
                        <a:xfrm>
                          <a:off x="0" y="0"/>
                          <a:ext cx="4889500" cy="1379220"/>
                          <a:chExt cx="4889500" cy="1379220"/>
                        </a:xfrm>
                      </wpg:grpSpPr>
                      <pic:pic>
                        <pic:nvPicPr>
                          <pic:cNvPr id="1736" name="Image 1736"/>
                          <pic:cNvPicPr/>
                        </pic:nvPicPr>
                        <pic:blipFill>
                          <a:blip r:embed="rId298" cstate="print"/>
                          <a:stretch>
                            <a:fillRect/>
                          </a:stretch>
                        </pic:blipFill>
                        <pic:spPr>
                          <a:xfrm>
                            <a:off x="7619" y="7619"/>
                            <a:ext cx="4867818" cy="1340409"/>
                          </a:xfrm>
                          <a:prstGeom prst="rect">
                            <a:avLst/>
                          </a:prstGeom>
                        </pic:spPr>
                      </pic:pic>
                      <wps:wsp>
                        <wps:cNvPr id="1737" name="Graphic 1737"/>
                        <wps:cNvSpPr/>
                        <wps:spPr>
                          <a:xfrm>
                            <a:off x="4571" y="4571"/>
                            <a:ext cx="4879975" cy="1370330"/>
                          </a:xfrm>
                          <a:custGeom>
                            <a:avLst/>
                            <a:gdLst/>
                            <a:ahLst/>
                            <a:cxnLst/>
                            <a:rect l="l" t="t" r="r" b="b"/>
                            <a:pathLst>
                              <a:path w="4879975" h="1370330">
                                <a:moveTo>
                                  <a:pt x="0" y="1370075"/>
                                </a:moveTo>
                                <a:lnTo>
                                  <a:pt x="4879847" y="1370075"/>
                                </a:lnTo>
                                <a:lnTo>
                                  <a:pt x="4879847" y="0"/>
                                </a:lnTo>
                                <a:lnTo>
                                  <a:pt x="0" y="0"/>
                                </a:lnTo>
                                <a:lnTo>
                                  <a:pt x="0" y="1370075"/>
                                </a:lnTo>
                                <a:close/>
                              </a:path>
                            </a:pathLst>
                          </a:custGeom>
                          <a:ln w="9143">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20.239998pt;margin-top:20.870192pt;width:385pt;height:108.6pt;mso-position-horizontal-relative:page;mso-position-vertical-relative:paragraph;z-index:-15565824;mso-wrap-distance-left:0;mso-wrap-distance-right:0" id="docshapegroup1276" coordorigin="2405,417" coordsize="7700,2172">
                <v:shape style="position:absolute;left:2416;top:429;width:7666;height:2111" type="#_x0000_t75" id="docshape1277" stroked="false">
                  <v:imagedata r:id="rId298" o:title=""/>
                </v:shape>
                <v:rect style="position:absolute;left:2412;top:424;width:7685;height:2158" id="docshape1278" filled="false" stroked="true" strokeweight=".72pt" strokecolor="#000000">
                  <v:stroke dashstyle="solid"/>
                </v:rect>
                <w10:wrap type="topAndBottom"/>
              </v:group>
            </w:pict>
          </mc:Fallback>
        </mc:AlternateConten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3" w:after="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738" name="Group 1738"/>
                <wp:cNvGraphicFramePr>
                  <a:graphicFrameLocks/>
                </wp:cNvGraphicFramePr>
                <a:graphic>
                  <a:graphicData uri="http://schemas.microsoft.com/office/word/2010/wordprocessingGroup">
                    <wpg:wgp>
                      <wpg:cNvPr id="1738" name="Group 1738"/>
                      <wpg:cNvGrpSpPr/>
                      <wpg:grpSpPr>
                        <a:xfrm>
                          <a:off x="0" y="0"/>
                          <a:ext cx="1870075" cy="6350"/>
                          <a:chExt cx="1870075" cy="6350"/>
                        </a:xfrm>
                      </wpg:grpSpPr>
                      <wps:wsp>
                        <wps:cNvPr id="1739" name="Graphic 1739"/>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279" coordorigin="0,0" coordsize="2945,10">
                <v:rect style="position:absolute;left:0;top:0;width:2945;height:10" id="docshape1280"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740" name="Group 1740"/>
                <wp:cNvGraphicFramePr>
                  <a:graphicFrameLocks/>
                </wp:cNvGraphicFramePr>
                <a:graphic>
                  <a:graphicData uri="http://schemas.microsoft.com/office/word/2010/wordprocessingGroup">
                    <wpg:wgp>
                      <wpg:cNvPr id="1740" name="Group 1740"/>
                      <wpg:cNvGrpSpPr/>
                      <wpg:grpSpPr>
                        <a:xfrm>
                          <a:off x="0" y="0"/>
                          <a:ext cx="841375" cy="6350"/>
                          <a:chExt cx="841375" cy="6350"/>
                        </a:xfrm>
                      </wpg:grpSpPr>
                      <wps:wsp>
                        <wps:cNvPr id="1741" name="Graphic 1741"/>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281" coordorigin="0,0" coordsize="1325,10">
                <v:rect style="position:absolute;left:0;top:0;width:1325;height:10" id="docshape1282"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294"/>
          <w:headerReference w:type="default" r:id="rId295"/>
          <w:footerReference w:type="even" r:id="rId296"/>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31488">
                <wp:simplePos x="0" y="0"/>
                <wp:positionH relativeFrom="page">
                  <wp:posOffset>4332186</wp:posOffset>
                </wp:positionH>
                <wp:positionV relativeFrom="paragraph">
                  <wp:posOffset>1412477</wp:posOffset>
                </wp:positionV>
                <wp:extent cx="53340" cy="100330"/>
                <wp:effectExtent l="0" t="0" r="0" b="0"/>
                <wp:wrapNone/>
                <wp:docPr id="1742" name="Textbox 1742"/>
                <wp:cNvGraphicFramePr>
                  <a:graphicFrameLocks/>
                </wp:cNvGraphicFramePr>
                <a:graphic>
                  <a:graphicData uri="http://schemas.microsoft.com/office/word/2010/wordprocessingShape">
                    <wps:wsp>
                      <wps:cNvPr id="1742" name="Textbox 1742"/>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84992" type="#_x0000_t202" id="docshape1283"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432000">
                <wp:simplePos x="0" y="0"/>
                <wp:positionH relativeFrom="page">
                  <wp:posOffset>2442286</wp:posOffset>
                </wp:positionH>
                <wp:positionV relativeFrom="paragraph">
                  <wp:posOffset>999005</wp:posOffset>
                </wp:positionV>
                <wp:extent cx="1299210" cy="99060"/>
                <wp:effectExtent l="0" t="0" r="0" b="0"/>
                <wp:wrapNone/>
                <wp:docPr id="1743" name="Graphic 1743"/>
                <wp:cNvGraphicFramePr>
                  <a:graphicFrameLocks/>
                </wp:cNvGraphicFramePr>
                <a:graphic>
                  <a:graphicData uri="http://schemas.microsoft.com/office/word/2010/wordprocessingShape">
                    <wps:wsp>
                      <wps:cNvPr id="1743" name="Graphic 1743"/>
                      <wps:cNvSpPr/>
                      <wps:spPr>
                        <a:xfrm>
                          <a:off x="0" y="0"/>
                          <a:ext cx="1299210" cy="99060"/>
                        </a:xfrm>
                        <a:custGeom>
                          <a:avLst/>
                          <a:gdLst/>
                          <a:ahLst/>
                          <a:cxnLst/>
                          <a:rect l="l" t="t" r="r" b="b"/>
                          <a:pathLst>
                            <a:path w="1299210" h="99060">
                              <a:moveTo>
                                <a:pt x="1298981" y="0"/>
                              </a:moveTo>
                              <a:lnTo>
                                <a:pt x="0" y="0"/>
                              </a:lnTo>
                              <a:lnTo>
                                <a:pt x="0" y="98742"/>
                              </a:lnTo>
                              <a:lnTo>
                                <a:pt x="1298981" y="98742"/>
                              </a:lnTo>
                              <a:lnTo>
                                <a:pt x="12989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92.306pt;margin-top:78.661887pt;width:102.282pt;height:7.775pt;mso-position-horizontal-relative:page;mso-position-vertical-relative:paragraph;z-index:-28884480" id="docshape1284" filled="true" fillcolor="#000000" stroked="false">
                <v:fill type="solid"/>
                <w10:wrap type="none"/>
              </v:rect>
            </w:pict>
          </mc:Fallback>
        </mc:AlternateContent>
      </w:r>
      <w:r>
        <w:rPr>
          <w:sz w:val="16"/>
        </w:rPr>
        <mc:AlternateContent>
          <mc:Choice Requires="wps">
            <w:drawing>
              <wp:anchor distT="0" distB="0" distL="0" distR="0" allowOverlap="1" layoutInCell="1" locked="0" behindDoc="1" simplePos="0" relativeHeight="474432512">
                <wp:simplePos x="0" y="0"/>
                <wp:positionH relativeFrom="page">
                  <wp:posOffset>4371543</wp:posOffset>
                </wp:positionH>
                <wp:positionV relativeFrom="paragraph">
                  <wp:posOffset>1412556</wp:posOffset>
                </wp:positionV>
                <wp:extent cx="1192530" cy="102870"/>
                <wp:effectExtent l="0" t="0" r="0" b="0"/>
                <wp:wrapNone/>
                <wp:docPr id="1744" name="Graphic 1744"/>
                <wp:cNvGraphicFramePr>
                  <a:graphicFrameLocks/>
                </wp:cNvGraphicFramePr>
                <a:graphic>
                  <a:graphicData uri="http://schemas.microsoft.com/office/word/2010/wordprocessingShape">
                    <wps:wsp>
                      <wps:cNvPr id="1744" name="Graphic 1744"/>
                      <wps:cNvSpPr/>
                      <wps:spPr>
                        <a:xfrm>
                          <a:off x="0" y="0"/>
                          <a:ext cx="1192530" cy="102870"/>
                        </a:xfrm>
                        <a:custGeom>
                          <a:avLst/>
                          <a:gdLst/>
                          <a:ahLst/>
                          <a:cxnLst/>
                          <a:rect l="l" t="t" r="r" b="b"/>
                          <a:pathLst>
                            <a:path w="1192530" h="102870">
                              <a:moveTo>
                                <a:pt x="1192225" y="0"/>
                              </a:moveTo>
                              <a:lnTo>
                                <a:pt x="0" y="0"/>
                              </a:lnTo>
                              <a:lnTo>
                                <a:pt x="0" y="102819"/>
                              </a:lnTo>
                              <a:lnTo>
                                <a:pt x="1192225" y="102819"/>
                              </a:lnTo>
                              <a:lnTo>
                                <a:pt x="11922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4.216pt;margin-top:111.224892pt;width:93.876pt;height:8.096pt;mso-position-horizontal-relative:page;mso-position-vertical-relative:paragraph;z-index:-28883968" id="docshape1285" filled="true" fillcolor="#000000" stroked="false">
                <v:fill type="solid"/>
                <w10:wrap type="none"/>
              </v:rect>
            </w:pict>
          </mc:Fallback>
        </mc:AlternateContent>
      </w:r>
      <w:r>
        <w:rPr>
          <w:sz w:val="16"/>
        </w:rPr>
        <w:drawing>
          <wp:anchor distT="0" distB="0" distL="0" distR="0" allowOverlap="1" layoutInCell="1" locked="0" behindDoc="0" simplePos="0" relativeHeight="15895040">
            <wp:simplePos x="0" y="0"/>
            <wp:positionH relativeFrom="page">
              <wp:posOffset>217931</wp:posOffset>
            </wp:positionH>
            <wp:positionV relativeFrom="paragraph">
              <wp:posOffset>1001444</wp:posOffset>
            </wp:positionV>
            <wp:extent cx="1203959" cy="207263"/>
            <wp:effectExtent l="0" t="0" r="0" b="0"/>
            <wp:wrapNone/>
            <wp:docPr id="1745" name="Image 1745"/>
            <wp:cNvGraphicFramePr>
              <a:graphicFrameLocks/>
            </wp:cNvGraphicFramePr>
            <a:graphic>
              <a:graphicData uri="http://schemas.openxmlformats.org/drawingml/2006/picture">
                <pic:pic>
                  <pic:nvPicPr>
                    <pic:cNvPr id="1745" name="Image 1745"/>
                    <pic:cNvPicPr/>
                  </pic:nvPicPr>
                  <pic:blipFill>
                    <a:blip r:embed="rId219" cstate="print"/>
                    <a:stretch>
                      <a:fillRect/>
                    </a:stretch>
                  </pic:blipFill>
                  <pic:spPr>
                    <a:xfrm>
                      <a:off x="0" y="0"/>
                      <a:ext cx="1203959" cy="207263"/>
                    </a:xfrm>
                    <a:prstGeom prst="rect">
                      <a:avLst/>
                    </a:prstGeom>
                  </pic:spPr>
                </pic:pic>
              </a:graphicData>
            </a:graphic>
          </wp:anchor>
        </w:drawing>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746" name="Textbox 1746"/>
                <wp:cNvGraphicFramePr>
                  <a:graphicFrameLocks/>
                </wp:cNvGraphicFramePr>
                <a:graphic>
                  <a:graphicData uri="http://schemas.microsoft.com/office/word/2010/wordprocessingShape">
                    <wps:wsp>
                      <wps:cNvPr id="1746" name="Textbox 1746"/>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747" name="Image 1747"/>
                                        <wp:cNvGraphicFramePr>
                                          <a:graphicFrameLocks/>
                                        </wp:cNvGraphicFramePr>
                                        <a:graphic>
                                          <a:graphicData uri="http://schemas.openxmlformats.org/drawingml/2006/picture">
                                            <pic:pic>
                                              <pic:nvPicPr>
                                                <pic:cNvPr id="1747" name="Image 1747"/>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748" name="Image 1748"/>
                                        <wp:cNvGraphicFramePr>
                                          <a:graphicFrameLocks/>
                                        </wp:cNvGraphicFramePr>
                                        <a:graphic>
                                          <a:graphicData uri="http://schemas.openxmlformats.org/drawingml/2006/picture">
                                            <pic:pic>
                                              <pic:nvPicPr>
                                                <pic:cNvPr id="1748" name="Image 1748"/>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749" name="Image 1749"/>
                                        <wp:cNvGraphicFramePr>
                                          <a:graphicFrameLocks/>
                                        </wp:cNvGraphicFramePr>
                                        <a:graphic>
                                          <a:graphicData uri="http://schemas.openxmlformats.org/drawingml/2006/picture">
                                            <pic:pic>
                                              <pic:nvPicPr>
                                                <pic:cNvPr id="1749" name="Image 1749"/>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750" name="Image 1750"/>
                                        <wp:cNvGraphicFramePr>
                                          <a:graphicFrameLocks/>
                                        </wp:cNvGraphicFramePr>
                                        <a:graphic>
                                          <a:graphicData uri="http://schemas.openxmlformats.org/drawingml/2006/picture">
                                            <pic:pic>
                                              <pic:nvPicPr>
                                                <pic:cNvPr id="1750" name="Image 1750"/>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30/40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751" name="Image 1751"/>
                                        <wp:cNvGraphicFramePr>
                                          <a:graphicFrameLocks/>
                                        </wp:cNvGraphicFramePr>
                                        <a:graphic>
                                          <a:graphicData uri="http://schemas.openxmlformats.org/drawingml/2006/picture">
                                            <pic:pic>
                                              <pic:nvPicPr>
                                                <pic:cNvPr id="1751" name="Image 1751"/>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tabs>
                                      <w:tab w:pos="5189" w:val="left" w:leader="none"/>
                                    </w:tabs>
                                    <w:spacing w:line="127" w:lineRule="exact" w:before="56"/>
                                    <w:ind w:left="6"/>
                                    <w:jc w:val="center"/>
                                    <w:rPr>
                                      <w:rFonts w:ascii="Courier New"/>
                                      <w:sz w:val="14"/>
                                    </w:rPr>
                                  </w:pPr>
                                  <w:hyperlink r:id="rId187">
                                    <w:r>
                                      <w:rPr>
                                        <w:rFonts w:ascii="Courier New"/>
                                        <w:spacing w:val="-2"/>
                                        <w:sz w:val="14"/>
                                      </w:rPr>
                                      <w:t>https://valida.malaga.eu/verifirma/code</w:t>
                                    </w:r>
                                  </w:hyperlink>
                                  <w:r>
                                    <w:rPr>
                                      <w:rFonts w:ascii="Courier New"/>
                                      <w:sz w:val="14"/>
                                    </w:rPr>
                                    <w:tab/>
                                  </w:r>
                                  <w:r>
                                    <w:rPr>
                                      <w:rFonts w:ascii="Courier New"/>
                                      <w:spacing w:val="-2"/>
                                      <w:sz w:val="14"/>
                                    </w:rPr>
                                    <w:t>%3D%3D</w:t>
                                  </w: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752" name="Image 1752"/>
                                        <wp:cNvGraphicFramePr>
                                          <a:graphicFrameLocks/>
                                        </wp:cNvGraphicFramePr>
                                        <a:graphic>
                                          <a:graphicData uri="http://schemas.openxmlformats.org/drawingml/2006/picture">
                                            <pic:pic>
                                              <pic:nvPicPr>
                                                <pic:cNvPr id="1752" name="Image 1752"/>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1286"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753" name="Image 1753"/>
                                  <wp:cNvGraphicFramePr>
                                    <a:graphicFrameLocks/>
                                  </wp:cNvGraphicFramePr>
                                  <a:graphic>
                                    <a:graphicData uri="http://schemas.openxmlformats.org/drawingml/2006/picture">
                                      <pic:pic>
                                        <pic:nvPicPr>
                                          <pic:cNvPr id="1753" name="Image 1753"/>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754" name="Image 1754"/>
                                  <wp:cNvGraphicFramePr>
                                    <a:graphicFrameLocks/>
                                  </wp:cNvGraphicFramePr>
                                  <a:graphic>
                                    <a:graphicData uri="http://schemas.openxmlformats.org/drawingml/2006/picture">
                                      <pic:pic>
                                        <pic:nvPicPr>
                                          <pic:cNvPr id="1754" name="Image 1754"/>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755" name="Image 1755"/>
                                  <wp:cNvGraphicFramePr>
                                    <a:graphicFrameLocks/>
                                  </wp:cNvGraphicFramePr>
                                  <a:graphic>
                                    <a:graphicData uri="http://schemas.openxmlformats.org/drawingml/2006/picture">
                                      <pic:pic>
                                        <pic:nvPicPr>
                                          <pic:cNvPr id="1755" name="Image 1755"/>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756" name="Image 1756"/>
                                  <wp:cNvGraphicFramePr>
                                    <a:graphicFrameLocks/>
                                  </wp:cNvGraphicFramePr>
                                  <a:graphic>
                                    <a:graphicData uri="http://schemas.openxmlformats.org/drawingml/2006/picture">
                                      <pic:pic>
                                        <pic:nvPicPr>
                                          <pic:cNvPr id="1756" name="Image 1756"/>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30/40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757" name="Image 1757"/>
                                  <wp:cNvGraphicFramePr>
                                    <a:graphicFrameLocks/>
                                  </wp:cNvGraphicFramePr>
                                  <a:graphic>
                                    <a:graphicData uri="http://schemas.openxmlformats.org/drawingml/2006/picture">
                                      <pic:pic>
                                        <pic:nvPicPr>
                                          <pic:cNvPr id="1757" name="Image 1757"/>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tabs>
                                <w:tab w:pos="5189" w:val="left" w:leader="none"/>
                              </w:tabs>
                              <w:spacing w:line="127" w:lineRule="exact" w:before="56"/>
                              <w:ind w:left="6"/>
                              <w:jc w:val="center"/>
                              <w:rPr>
                                <w:rFonts w:ascii="Courier New"/>
                                <w:sz w:val="14"/>
                              </w:rPr>
                            </w:pPr>
                            <w:hyperlink r:id="rId187">
                              <w:r>
                                <w:rPr>
                                  <w:rFonts w:ascii="Courier New"/>
                                  <w:spacing w:val="-2"/>
                                  <w:sz w:val="14"/>
                                </w:rPr>
                                <w:t>https://valida.malaga.eu/verifirma/code</w:t>
                              </w:r>
                            </w:hyperlink>
                            <w:r>
                              <w:rPr>
                                <w:rFonts w:ascii="Courier New"/>
                                <w:sz w:val="14"/>
                              </w:rPr>
                              <w:tab/>
                            </w:r>
                            <w:r>
                              <w:rPr>
                                <w:rFonts w:ascii="Courier New"/>
                                <w:spacing w:val="-2"/>
                                <w:sz w:val="14"/>
                              </w:rPr>
                              <w:t>%3D%3D</w:t>
                            </w: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758" name="Image 1758"/>
                                  <wp:cNvGraphicFramePr>
                                    <a:graphicFrameLocks/>
                                  </wp:cNvGraphicFramePr>
                                  <a:graphic>
                                    <a:graphicData uri="http://schemas.openxmlformats.org/drawingml/2006/picture">
                                      <pic:pic>
                                        <pic:nvPicPr>
                                          <pic:cNvPr id="1758" name="Image 1758"/>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9525" t="0" r="0" b="8890"/>
                <wp:docPr id="1759" name="Group 1759"/>
                <wp:cNvGraphicFramePr>
                  <a:graphicFrameLocks/>
                </wp:cNvGraphicFramePr>
                <a:graphic>
                  <a:graphicData uri="http://schemas.microsoft.com/office/word/2010/wordprocessingGroup">
                    <wpg:wgp>
                      <wpg:cNvPr id="1759" name="Group 1759"/>
                      <wpg:cNvGrpSpPr/>
                      <wpg:grpSpPr>
                        <a:xfrm>
                          <a:off x="0" y="0"/>
                          <a:ext cx="734695" cy="753110"/>
                          <a:chExt cx="734695" cy="753110"/>
                        </a:xfrm>
                      </wpg:grpSpPr>
                      <wps:wsp>
                        <wps:cNvPr id="1760" name="Graphic 1760"/>
                        <wps:cNvSpPr/>
                        <wps:spPr>
                          <a:xfrm>
                            <a:off x="3809" y="749030"/>
                            <a:ext cx="727075" cy="1270"/>
                          </a:xfrm>
                          <a:custGeom>
                            <a:avLst/>
                            <a:gdLst/>
                            <a:ahLst/>
                            <a:cxnLst/>
                            <a:rect l="l" t="t" r="r" b="b"/>
                            <a:pathLst>
                              <a:path w="727075" h="0">
                                <a:moveTo>
                                  <a:pt x="0" y="0"/>
                                </a:moveTo>
                                <a:lnTo>
                                  <a:pt x="71688" y="0"/>
                                </a:lnTo>
                              </a:path>
                              <a:path w="727075" h="0">
                                <a:moveTo>
                                  <a:pt x="706282" y="0"/>
                                </a:moveTo>
                                <a:lnTo>
                                  <a:pt x="726947" y="0"/>
                                </a:lnTo>
                              </a:path>
                            </a:pathLst>
                          </a:custGeom>
                          <a:ln w="7619">
                            <a:solidFill>
                              <a:srgbClr val="000000"/>
                            </a:solidFill>
                            <a:prstDash val="solid"/>
                          </a:ln>
                        </wps:spPr>
                        <wps:bodyPr wrap="square" lIns="0" tIns="0" rIns="0" bIns="0" rtlCol="0">
                          <a:prstTxWarp prst="textNoShape">
                            <a:avLst/>
                          </a:prstTxWarp>
                          <a:noAutofit/>
                        </wps:bodyPr>
                      </wps:wsp>
                      <pic:pic>
                        <pic:nvPicPr>
                          <pic:cNvPr id="1761" name="Image 1761"/>
                          <pic:cNvPicPr/>
                        </pic:nvPicPr>
                        <pic:blipFill>
                          <a:blip r:embed="rId299" cstate="print"/>
                          <a:stretch>
                            <a:fillRect/>
                          </a:stretch>
                        </pic:blipFill>
                        <pic:spPr>
                          <a:xfrm>
                            <a:off x="0" y="0"/>
                            <a:ext cx="734567" cy="749030"/>
                          </a:xfrm>
                          <a:prstGeom prst="rect">
                            <a:avLst/>
                          </a:prstGeom>
                        </pic:spPr>
                      </pic:pic>
                      <wps:wsp>
                        <wps:cNvPr id="1762" name="Graphic 1762"/>
                        <wps:cNvSpPr/>
                        <wps:spPr>
                          <a:xfrm>
                            <a:off x="75501" y="30172"/>
                            <a:ext cx="635000" cy="720090"/>
                          </a:xfrm>
                          <a:custGeom>
                            <a:avLst/>
                            <a:gdLst/>
                            <a:ahLst/>
                            <a:cxnLst/>
                            <a:rect l="l" t="t" r="r" b="b"/>
                            <a:pathLst>
                              <a:path w="635000" h="720090">
                                <a:moveTo>
                                  <a:pt x="634580" y="0"/>
                                </a:moveTo>
                                <a:lnTo>
                                  <a:pt x="0" y="0"/>
                                </a:lnTo>
                                <a:lnTo>
                                  <a:pt x="0" y="719467"/>
                                </a:lnTo>
                                <a:lnTo>
                                  <a:pt x="634580" y="719467"/>
                                </a:lnTo>
                                <a:lnTo>
                                  <a:pt x="63458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1287" coordorigin="0,0" coordsize="1157,1186">
                <v:shape style="position:absolute;left:6;top:1179;width:1145;height:2" id="docshape1288" coordorigin="6,1180" coordsize="1145,0" path="m6,1180l119,1180m1118,1180l1151,1180e" filled="false" stroked="true" strokeweight=".6pt" strokecolor="#000000">
                  <v:path arrowok="t"/>
                  <v:stroke dashstyle="solid"/>
                </v:shape>
                <v:shape style="position:absolute;left:0;top:0;width:1157;height:1180" type="#_x0000_t75" id="docshape1289" stroked="false">
                  <v:imagedata r:id="rId299" o:title=""/>
                </v:shape>
                <v:rect style="position:absolute;left:118;top:47;width:1000;height:1134" id="docshape1290"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69"/>
        <w:rPr>
          <w:sz w:val="20"/>
        </w:rPr>
      </w:pPr>
    </w:p>
    <w:p>
      <w:pPr>
        <w:spacing w:line="240" w:lineRule="auto"/>
        <w:ind w:left="2263" w:right="0" w:firstLine="0"/>
        <w:rPr>
          <w:sz w:val="20"/>
        </w:rPr>
      </w:pPr>
      <w:r>
        <w:rPr>
          <w:sz w:val="20"/>
        </w:rPr>
        <mc:AlternateContent>
          <mc:Choice Requires="wps">
            <w:drawing>
              <wp:inline distT="0" distB="0" distL="0" distR="0">
                <wp:extent cx="4889500" cy="4518660"/>
                <wp:effectExtent l="9525" t="0" r="0" b="5714"/>
                <wp:docPr id="1779" name="Group 1779"/>
                <wp:cNvGraphicFramePr>
                  <a:graphicFrameLocks/>
                </wp:cNvGraphicFramePr>
                <a:graphic>
                  <a:graphicData uri="http://schemas.microsoft.com/office/word/2010/wordprocessingGroup">
                    <wpg:wgp>
                      <wpg:cNvPr id="1779" name="Group 1779"/>
                      <wpg:cNvGrpSpPr/>
                      <wpg:grpSpPr>
                        <a:xfrm>
                          <a:off x="0" y="0"/>
                          <a:ext cx="4889500" cy="4518660"/>
                          <a:chExt cx="4889500" cy="4518660"/>
                        </a:xfrm>
                      </wpg:grpSpPr>
                      <pic:pic>
                        <pic:nvPicPr>
                          <pic:cNvPr id="1780" name="Image 1780"/>
                          <pic:cNvPicPr/>
                        </pic:nvPicPr>
                        <pic:blipFill>
                          <a:blip r:embed="rId303" cstate="print"/>
                          <a:stretch>
                            <a:fillRect/>
                          </a:stretch>
                        </pic:blipFill>
                        <pic:spPr>
                          <a:xfrm>
                            <a:off x="7619" y="7619"/>
                            <a:ext cx="4845309" cy="4501895"/>
                          </a:xfrm>
                          <a:prstGeom prst="rect">
                            <a:avLst/>
                          </a:prstGeom>
                        </pic:spPr>
                      </pic:pic>
                      <wps:wsp>
                        <wps:cNvPr id="1781" name="Graphic 1781"/>
                        <wps:cNvSpPr/>
                        <wps:spPr>
                          <a:xfrm>
                            <a:off x="4571" y="4571"/>
                            <a:ext cx="4879975" cy="4509770"/>
                          </a:xfrm>
                          <a:custGeom>
                            <a:avLst/>
                            <a:gdLst/>
                            <a:ahLst/>
                            <a:cxnLst/>
                            <a:rect l="l" t="t" r="r" b="b"/>
                            <a:pathLst>
                              <a:path w="4879975" h="4509770">
                                <a:moveTo>
                                  <a:pt x="0" y="4509515"/>
                                </a:moveTo>
                                <a:lnTo>
                                  <a:pt x="4879847" y="4509515"/>
                                </a:lnTo>
                                <a:lnTo>
                                  <a:pt x="4879847" y="0"/>
                                </a:lnTo>
                                <a:lnTo>
                                  <a:pt x="0" y="0"/>
                                </a:lnTo>
                                <a:lnTo>
                                  <a:pt x="0" y="4509515"/>
                                </a:lnTo>
                                <a:close/>
                              </a:path>
                            </a:pathLst>
                          </a:custGeom>
                          <a:ln w="9143">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85pt;height:355.8pt;mso-position-horizontal-relative:char;mso-position-vertical-relative:line" id="docshapegroup1303" coordorigin="0,0" coordsize="7700,7116">
                <v:shape style="position:absolute;left:12;top:12;width:7631;height:7090" type="#_x0000_t75" id="docshape1304" stroked="false">
                  <v:imagedata r:id="rId303" o:title=""/>
                </v:shape>
                <v:rect style="position:absolute;left:7;top:7;width:7685;height:7102" id="docshape1305" filled="false" stroked="true" strokeweight=".72pt" strokecolor="#000000">
                  <v:stroke dashstyle="solid"/>
                </v:rect>
              </v:group>
            </w:pict>
          </mc:Fallback>
        </mc:AlternateContent>
      </w:r>
      <w:r>
        <w:rPr>
          <w:sz w:val="20"/>
        </w:rPr>
      </w:r>
    </w:p>
    <w:p>
      <w:pPr>
        <w:tabs>
          <w:tab w:pos="3806" w:val="left" w:leader="none"/>
        </w:tabs>
        <w:spacing w:line="256" w:lineRule="auto" w:before="121"/>
        <w:ind w:left="2251" w:right="2020" w:firstLine="45"/>
        <w:jc w:val="both"/>
        <w:rPr>
          <w:rFonts w:ascii="Calibri" w:hAnsi="Calibri"/>
          <w:sz w:val="20"/>
        </w:rPr>
      </w:pPr>
      <w:r>
        <w:rPr>
          <w:rFonts w:ascii="Calibri" w:hAnsi="Calibri"/>
          <w:sz w:val="20"/>
        </w:rPr>
        <w:t>Extracto del PMUS de</w:t>
      </w:r>
      <w:r>
        <w:rPr>
          <w:rFonts w:ascii="Calibri" w:hAnsi="Calibri"/>
          <w:spacing w:val="-1"/>
          <w:sz w:val="20"/>
        </w:rPr>
        <w:t> </w:t>
      </w:r>
      <w:r>
        <w:rPr>
          <w:rFonts w:ascii="Calibri" w:hAnsi="Calibri"/>
          <w:sz w:val="20"/>
        </w:rPr>
        <w:t>Málaga (2021),</w:t>
      </w:r>
      <w:r>
        <w:rPr>
          <w:rFonts w:ascii="Calibri" w:hAnsi="Calibri"/>
          <w:spacing w:val="-2"/>
          <w:sz w:val="20"/>
        </w:rPr>
        <w:t> </w:t>
      </w:r>
      <w:r>
        <w:rPr>
          <w:rFonts w:ascii="Calibri" w:hAnsi="Calibri"/>
          <w:sz w:val="20"/>
        </w:rPr>
        <w:t>donde</w:t>
      </w:r>
      <w:r>
        <w:rPr>
          <w:rFonts w:ascii="Calibri" w:hAnsi="Calibri"/>
          <w:spacing w:val="-4"/>
          <w:sz w:val="20"/>
        </w:rPr>
        <w:t> </w:t>
      </w:r>
      <w:r>
        <w:rPr>
          <w:rFonts w:ascii="Calibri" w:hAnsi="Calibri"/>
          <w:sz w:val="20"/>
        </w:rPr>
        <w:t>ya</w:t>
      </w:r>
      <w:r>
        <w:rPr>
          <w:rFonts w:ascii="Calibri" w:hAnsi="Calibri"/>
          <w:spacing w:val="-2"/>
          <w:sz w:val="20"/>
        </w:rPr>
        <w:t> </w:t>
      </w:r>
      <w:r>
        <w:rPr>
          <w:rFonts w:ascii="Calibri" w:hAnsi="Calibri"/>
          <w:sz w:val="20"/>
        </w:rPr>
        <w:t>se</w:t>
      </w:r>
      <w:r>
        <w:rPr>
          <w:rFonts w:ascii="Calibri" w:hAnsi="Calibri"/>
          <w:spacing w:val="-1"/>
          <w:sz w:val="20"/>
        </w:rPr>
        <w:t> </w:t>
      </w:r>
      <w:r>
        <w:rPr>
          <w:rFonts w:ascii="Calibri" w:hAnsi="Calibri"/>
          <w:sz w:val="20"/>
        </w:rPr>
        <w:t>planificaba la implantación de una ZBE, como medida de promoción de movilidad sin emisiones, ZBE que finalmente se ha materializado en 2024, con la implantación del Proyecto Técnico ZBE Málaga según RD </w:t>
      </w:r>
      <w:r>
        <w:rPr>
          <w:rFonts w:ascii="Calibri" w:hAnsi="Calibri"/>
          <w:spacing w:val="-2"/>
          <w:sz w:val="20"/>
        </w:rPr>
        <w:t>1052/2022</w:t>
      </w:r>
      <w:r>
        <w:rPr>
          <w:rFonts w:ascii="Calibri" w:hAnsi="Calibri"/>
          <w:sz w:val="20"/>
        </w:rPr>
        <w:tab/>
      </w:r>
      <w:hyperlink r:id="rId304">
        <w:r>
          <w:rPr>
            <w:rFonts w:ascii="Calibri" w:hAnsi="Calibri"/>
            <w:spacing w:val="-2"/>
            <w:sz w:val="20"/>
          </w:rPr>
          <w:t>(https://movilidad.malaga.eu/opencms/export/sites/movilidad/.galeria-</w:t>
        </w:r>
      </w:hyperlink>
      <w:r>
        <w:rPr>
          <w:rFonts w:ascii="Calibri" w:hAnsi="Calibri"/>
          <w:spacing w:val="-2"/>
          <w:sz w:val="20"/>
        </w:rPr>
        <w:t>descargas/proyecto-zbe.pdf)-</w:t>
      </w:r>
    </w:p>
    <w:p>
      <w:pPr>
        <w:spacing w:line="256" w:lineRule="auto" w:before="146"/>
        <w:ind w:left="2251" w:right="2022" w:firstLine="0"/>
        <w:jc w:val="both"/>
        <w:rPr>
          <w:rFonts w:ascii="Calibri" w:hAnsi="Calibri"/>
          <w:sz w:val="20"/>
        </w:rPr>
      </w:pPr>
      <w:r>
        <w:rPr>
          <w:rFonts w:ascii="Calibri" w:hAnsi="Calibri"/>
          <w:sz w:val="20"/>
        </w:rPr>
        <w:t>Y</w:t>
      </w:r>
      <w:r>
        <w:rPr>
          <w:rFonts w:ascii="Calibri" w:hAnsi="Calibri"/>
          <w:spacing w:val="-2"/>
          <w:sz w:val="20"/>
        </w:rPr>
        <w:t> </w:t>
      </w:r>
      <w:r>
        <w:rPr>
          <w:rFonts w:ascii="Calibri" w:hAnsi="Calibri"/>
          <w:sz w:val="20"/>
        </w:rPr>
        <w:t>a</w:t>
      </w:r>
      <w:r>
        <w:rPr>
          <w:rFonts w:ascii="Calibri" w:hAnsi="Calibri"/>
          <w:spacing w:val="-1"/>
          <w:sz w:val="20"/>
        </w:rPr>
        <w:t> </w:t>
      </w:r>
      <w:r>
        <w:rPr>
          <w:rFonts w:ascii="Calibri" w:hAnsi="Calibri"/>
          <w:sz w:val="20"/>
        </w:rPr>
        <w:t>todo</w:t>
      </w:r>
      <w:r>
        <w:rPr>
          <w:rFonts w:ascii="Calibri" w:hAnsi="Calibri"/>
          <w:spacing w:val="-4"/>
          <w:sz w:val="20"/>
        </w:rPr>
        <w:t> </w:t>
      </w:r>
      <w:r>
        <w:rPr>
          <w:rFonts w:ascii="Calibri" w:hAnsi="Calibri"/>
          <w:sz w:val="20"/>
        </w:rPr>
        <w:t>ello</w:t>
      </w:r>
      <w:r>
        <w:rPr>
          <w:rFonts w:ascii="Calibri" w:hAnsi="Calibri"/>
          <w:spacing w:val="-1"/>
          <w:sz w:val="20"/>
        </w:rPr>
        <w:t> </w:t>
      </w:r>
      <w:r>
        <w:rPr>
          <w:rFonts w:ascii="Calibri" w:hAnsi="Calibri"/>
          <w:sz w:val="20"/>
        </w:rPr>
        <w:t>hay</w:t>
      </w:r>
      <w:r>
        <w:rPr>
          <w:rFonts w:ascii="Calibri" w:hAnsi="Calibri"/>
          <w:spacing w:val="-3"/>
          <w:sz w:val="20"/>
        </w:rPr>
        <w:t> </w:t>
      </w:r>
      <w:r>
        <w:rPr>
          <w:rFonts w:ascii="Calibri" w:hAnsi="Calibri"/>
          <w:sz w:val="20"/>
        </w:rPr>
        <w:t>que</w:t>
      </w:r>
      <w:r>
        <w:rPr>
          <w:rFonts w:ascii="Calibri" w:hAnsi="Calibri"/>
          <w:spacing w:val="-2"/>
          <w:sz w:val="20"/>
        </w:rPr>
        <w:t> </w:t>
      </w:r>
      <w:r>
        <w:rPr>
          <w:rFonts w:ascii="Calibri" w:hAnsi="Calibri"/>
          <w:sz w:val="20"/>
        </w:rPr>
        <w:t>sumar,</w:t>
      </w:r>
      <w:r>
        <w:rPr>
          <w:rFonts w:ascii="Calibri" w:hAnsi="Calibri"/>
          <w:spacing w:val="-3"/>
          <w:sz w:val="20"/>
        </w:rPr>
        <w:t> </w:t>
      </w:r>
      <w:r>
        <w:rPr>
          <w:rFonts w:ascii="Calibri" w:hAnsi="Calibri"/>
          <w:sz w:val="20"/>
        </w:rPr>
        <w:t>además,</w:t>
      </w:r>
      <w:r>
        <w:rPr>
          <w:rFonts w:ascii="Calibri" w:hAnsi="Calibri"/>
          <w:spacing w:val="-1"/>
          <w:sz w:val="20"/>
        </w:rPr>
        <w:t> </w:t>
      </w:r>
      <w:r>
        <w:rPr>
          <w:rFonts w:ascii="Calibri" w:hAnsi="Calibri"/>
          <w:sz w:val="20"/>
        </w:rPr>
        <w:t>el</w:t>
      </w:r>
      <w:r>
        <w:rPr>
          <w:rFonts w:ascii="Calibri" w:hAnsi="Calibri"/>
          <w:spacing w:val="-2"/>
          <w:sz w:val="20"/>
        </w:rPr>
        <w:t> </w:t>
      </w:r>
      <w:r>
        <w:rPr>
          <w:rFonts w:ascii="Calibri" w:hAnsi="Calibri"/>
          <w:sz w:val="20"/>
        </w:rPr>
        <w:t>hecho de</w:t>
      </w:r>
      <w:r>
        <w:rPr>
          <w:rFonts w:ascii="Calibri" w:hAnsi="Calibri"/>
          <w:spacing w:val="-4"/>
          <w:sz w:val="20"/>
        </w:rPr>
        <w:t> </w:t>
      </w:r>
      <w:r>
        <w:rPr>
          <w:rFonts w:ascii="Calibri" w:hAnsi="Calibri"/>
          <w:sz w:val="20"/>
        </w:rPr>
        <w:t>que</w:t>
      </w:r>
      <w:r>
        <w:rPr>
          <w:rFonts w:ascii="Calibri" w:hAnsi="Calibri"/>
          <w:spacing w:val="-3"/>
          <w:sz w:val="20"/>
        </w:rPr>
        <w:t> </w:t>
      </w:r>
      <w:r>
        <w:rPr>
          <w:rFonts w:ascii="Calibri" w:hAnsi="Calibri"/>
          <w:sz w:val="20"/>
        </w:rPr>
        <w:t>la</w:t>
      </w:r>
      <w:r>
        <w:rPr>
          <w:rFonts w:ascii="Calibri" w:hAnsi="Calibri"/>
          <w:spacing w:val="-1"/>
          <w:sz w:val="20"/>
        </w:rPr>
        <w:t> </w:t>
      </w:r>
      <w:r>
        <w:rPr>
          <w:rFonts w:ascii="Calibri" w:hAnsi="Calibri"/>
          <w:sz w:val="20"/>
        </w:rPr>
        <w:t>ciudad</w:t>
      </w:r>
      <w:r>
        <w:rPr>
          <w:rFonts w:ascii="Calibri" w:hAnsi="Calibri"/>
          <w:spacing w:val="-5"/>
          <w:sz w:val="20"/>
        </w:rPr>
        <w:t> </w:t>
      </w:r>
      <w:r>
        <w:rPr>
          <w:rFonts w:ascii="Calibri" w:hAnsi="Calibri"/>
          <w:sz w:val="20"/>
        </w:rPr>
        <w:t>de</w:t>
      </w:r>
      <w:r>
        <w:rPr>
          <w:rFonts w:ascii="Calibri" w:hAnsi="Calibri"/>
          <w:spacing w:val="-1"/>
          <w:sz w:val="20"/>
        </w:rPr>
        <w:t> </w:t>
      </w:r>
      <w:r>
        <w:rPr>
          <w:rFonts w:ascii="Calibri" w:hAnsi="Calibri"/>
          <w:sz w:val="20"/>
        </w:rPr>
        <w:t>Málaga</w:t>
      </w:r>
      <w:r>
        <w:rPr>
          <w:rFonts w:ascii="Calibri" w:hAnsi="Calibri"/>
          <w:spacing w:val="-3"/>
          <w:sz w:val="20"/>
        </w:rPr>
        <w:t> </w:t>
      </w:r>
      <w:r>
        <w:rPr>
          <w:rFonts w:ascii="Calibri" w:hAnsi="Calibri"/>
          <w:sz w:val="20"/>
        </w:rPr>
        <w:t>ha</w:t>
      </w:r>
      <w:r>
        <w:rPr>
          <w:rFonts w:ascii="Calibri" w:hAnsi="Calibri"/>
          <w:spacing w:val="-1"/>
          <w:sz w:val="20"/>
        </w:rPr>
        <w:t> </w:t>
      </w:r>
      <w:r>
        <w:rPr>
          <w:rFonts w:ascii="Calibri" w:hAnsi="Calibri"/>
          <w:sz w:val="20"/>
        </w:rPr>
        <w:t>sido</w:t>
      </w:r>
      <w:r>
        <w:rPr>
          <w:rFonts w:ascii="Calibri" w:hAnsi="Calibri"/>
          <w:spacing w:val="-1"/>
          <w:sz w:val="20"/>
        </w:rPr>
        <w:t> </w:t>
      </w:r>
      <w:r>
        <w:rPr>
          <w:rFonts w:ascii="Calibri" w:hAnsi="Calibri"/>
          <w:sz w:val="20"/>
        </w:rPr>
        <w:t>incluida como Nodo Urbano de la Red Red Transeuropea de Transporte (TENT-T), por lo que, atendiendo al propio reglamento de la TEN-T, se deberá contar con un plan de movilidad urbana sostenible homogeneizado con el resto de nodos antes de diciembre de 2027. En este sentido, el Ayuntamiento de Málaga ya está trabajando en dicha homogeneización, desde su metodología concreta hasta en la propia elaboración de indicadores. Será para esta fecha cuando se pretende dar continuidad al PMUS Málaga 2021, haciendo ya menciones expresas a la Ley 7/2021, de 20 de mayo, de Cambio Climático y Transición </w:t>
      </w:r>
      <w:r>
        <w:rPr>
          <w:rFonts w:ascii="Calibri" w:hAnsi="Calibri"/>
          <w:spacing w:val="-2"/>
          <w:sz w:val="20"/>
        </w:rPr>
        <w:t>Energética.</w:t>
      </w:r>
    </w:p>
    <w:p>
      <w:pPr>
        <w:pStyle w:val="BodyText"/>
        <w:rPr>
          <w:rFonts w:ascii="Calibri"/>
          <w:sz w:val="20"/>
        </w:rPr>
      </w:pPr>
    </w:p>
    <w:p>
      <w:pPr>
        <w:pStyle w:val="BodyText"/>
        <w:spacing w:before="92"/>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782" name="Group 1782"/>
                <wp:cNvGraphicFramePr>
                  <a:graphicFrameLocks/>
                </wp:cNvGraphicFramePr>
                <a:graphic>
                  <a:graphicData uri="http://schemas.microsoft.com/office/word/2010/wordprocessingGroup">
                    <wpg:wgp>
                      <wpg:cNvPr id="1782" name="Group 1782"/>
                      <wpg:cNvGrpSpPr/>
                      <wpg:grpSpPr>
                        <a:xfrm>
                          <a:off x="0" y="0"/>
                          <a:ext cx="1870075" cy="6350"/>
                          <a:chExt cx="1870075" cy="6350"/>
                        </a:xfrm>
                      </wpg:grpSpPr>
                      <wps:wsp>
                        <wps:cNvPr id="1783" name="Graphic 1783"/>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306" coordorigin="0,0" coordsize="2945,10">
                <v:rect style="position:absolute;left:0;top:0;width:2945;height:10" id="docshape1307"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784" name="Group 1784"/>
                <wp:cNvGraphicFramePr>
                  <a:graphicFrameLocks/>
                </wp:cNvGraphicFramePr>
                <a:graphic>
                  <a:graphicData uri="http://schemas.microsoft.com/office/word/2010/wordprocessingGroup">
                    <wpg:wgp>
                      <wpg:cNvPr id="1784" name="Group 1784"/>
                      <wpg:cNvGrpSpPr/>
                      <wpg:grpSpPr>
                        <a:xfrm>
                          <a:off x="0" y="0"/>
                          <a:ext cx="841375" cy="6350"/>
                          <a:chExt cx="841375" cy="6350"/>
                        </a:xfrm>
                      </wpg:grpSpPr>
                      <wps:wsp>
                        <wps:cNvPr id="1785" name="Graphic 1785"/>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308" coordorigin="0,0" coordsize="1325,10">
                <v:rect style="position:absolute;left:0;top:0;width:1325;height:10" id="docshape1309"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300"/>
          <w:headerReference w:type="even" r:id="rId301"/>
          <w:footerReference w:type="default" r:id="rId302"/>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35072">
                <wp:simplePos x="0" y="0"/>
                <wp:positionH relativeFrom="page">
                  <wp:posOffset>4332186</wp:posOffset>
                </wp:positionH>
                <wp:positionV relativeFrom="paragraph">
                  <wp:posOffset>1412477</wp:posOffset>
                </wp:positionV>
                <wp:extent cx="53340" cy="100330"/>
                <wp:effectExtent l="0" t="0" r="0" b="0"/>
                <wp:wrapNone/>
                <wp:docPr id="1786" name="Textbox 1786"/>
                <wp:cNvGraphicFramePr>
                  <a:graphicFrameLocks/>
                </wp:cNvGraphicFramePr>
                <a:graphic>
                  <a:graphicData uri="http://schemas.microsoft.com/office/word/2010/wordprocessingShape">
                    <wps:wsp>
                      <wps:cNvPr id="1786" name="Textbox 1786"/>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81408" type="#_x0000_t202" id="docshape1310"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00"/>
        <w:gridCol w:w="2345"/>
        <w:gridCol w:w="723"/>
        <w:gridCol w:w="541"/>
        <w:gridCol w:w="1022"/>
        <w:gridCol w:w="817"/>
        <w:gridCol w:w="1247"/>
        <w:gridCol w:w="93"/>
        <w:gridCol w:w="1070"/>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00" w:type="dxa"/>
            <w:tcBorders>
              <w:left w:val="single" w:sz="6" w:space="0" w:color="000000"/>
              <w:bottom w:val="single" w:sz="6" w:space="0" w:color="000000"/>
              <w:right w:val="nil"/>
            </w:tcBorders>
          </w:tcPr>
          <w:p>
            <w:pPr>
              <w:pStyle w:val="TableParagraph"/>
              <w:rPr>
                <w:rFonts w:ascii="Times New Roman"/>
                <w:sz w:val="14"/>
              </w:rPr>
            </w:pPr>
          </w:p>
        </w:tc>
        <w:tc>
          <w:tcPr>
            <w:tcW w:w="2345" w:type="dxa"/>
            <w:tcBorders>
              <w:top w:val="nil"/>
              <w:left w:val="nil"/>
              <w:bottom w:val="single" w:sz="6" w:space="0" w:color="000000"/>
              <w:right w:val="nil"/>
            </w:tcBorders>
            <w:shd w:val="clear" w:color="auto" w:fill="000000"/>
          </w:tcPr>
          <w:p>
            <w:pPr>
              <w:pStyle w:val="TableParagraph"/>
              <w:rPr>
                <w:rFonts w:ascii="Times New Roman"/>
                <w:sz w:val="14"/>
              </w:rPr>
            </w:pPr>
          </w:p>
        </w:tc>
        <w:tc>
          <w:tcPr>
            <w:tcW w:w="1264"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787" name="Image 1787"/>
                  <wp:cNvGraphicFramePr>
                    <a:graphicFrameLocks/>
                  </wp:cNvGraphicFramePr>
                  <a:graphic>
                    <a:graphicData uri="http://schemas.openxmlformats.org/drawingml/2006/picture">
                      <pic:pic>
                        <pic:nvPicPr>
                          <pic:cNvPr id="1787" name="Image 1787"/>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788" name="Image 1788"/>
                  <wp:cNvGraphicFramePr>
                    <a:graphicFrameLocks/>
                  </wp:cNvGraphicFramePr>
                  <a:graphic>
                    <a:graphicData uri="http://schemas.openxmlformats.org/drawingml/2006/picture">
                      <pic:pic>
                        <pic:nvPicPr>
                          <pic:cNvPr id="1788" name="Image 1788"/>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93" w:type="dxa"/>
            <w:vMerge w:val="restart"/>
            <w:tcBorders>
              <w:top w:val="nil"/>
              <w:left w:val="nil"/>
              <w:bottom w:val="nil"/>
              <w:right w:val="nil"/>
            </w:tcBorders>
            <w:shd w:val="clear" w:color="auto" w:fill="000000"/>
          </w:tcPr>
          <w:p>
            <w:pPr>
              <w:pStyle w:val="TableParagraph"/>
              <w:rPr>
                <w:rFonts w:ascii="Times New Roman"/>
                <w:sz w:val="18"/>
              </w:rPr>
            </w:pPr>
          </w:p>
        </w:tc>
        <w:tc>
          <w:tcPr>
            <w:tcW w:w="1070" w:type="dxa"/>
            <w:vMerge w:val="restart"/>
            <w:tcBorders>
              <w:top w:val="nil"/>
              <w:left w:val="nil"/>
              <w:bottom w:val="single" w:sz="6" w:space="0" w:color="000000"/>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35584">
                      <wp:simplePos x="0" y="0"/>
                      <wp:positionH relativeFrom="column">
                        <wp:posOffset>-1298447</wp:posOffset>
                      </wp:positionH>
                      <wp:positionV relativeFrom="paragraph">
                        <wp:posOffset>-144895</wp:posOffset>
                      </wp:positionV>
                      <wp:extent cx="1298575" cy="417830"/>
                      <wp:effectExtent l="0" t="0" r="0" b="0"/>
                      <wp:wrapNone/>
                      <wp:docPr id="1789" name="Group 1789"/>
                      <wp:cNvGraphicFramePr>
                        <a:graphicFrameLocks/>
                      </wp:cNvGraphicFramePr>
                      <a:graphic>
                        <a:graphicData uri="http://schemas.microsoft.com/office/word/2010/wordprocessingGroup">
                          <wpg:wgp>
                            <wpg:cNvPr id="1789" name="Group 1789"/>
                            <wpg:cNvGrpSpPr/>
                            <wpg:grpSpPr>
                              <a:xfrm>
                                <a:off x="0" y="0"/>
                                <a:ext cx="1298575" cy="417830"/>
                                <a:chExt cx="1298575" cy="417830"/>
                              </a:xfrm>
                            </wpg:grpSpPr>
                            <wps:wsp>
                              <wps:cNvPr id="1790" name="Graphic 1790"/>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791" name="Image 1791"/>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880896" id="docshapegroup1311" coordorigin="-2045,-228" coordsize="2045,658">
                      <v:shape style="position:absolute;left:-2045;top:-229;width:2045;height:658" id="docshape1312" coordorigin="-2045,-228" coordsize="2045,658" path="m0,-228l-2045,-228,-2045,-10,-2045,-7,-2045,429,0,429,0,-7,0,-10,0,-228xe" filled="true" fillcolor="#cccccc" stroked="false">
                        <v:path arrowok="t"/>
                        <v:fill type="solid"/>
                      </v:shape>
                      <v:shape style="position:absolute;left:-1973;top:-154;width:1896;height:327" type="#_x0000_t75" id="docshape1313"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93" w:type="dxa"/>
            <w:vMerge/>
            <w:tcBorders>
              <w:top w:val="nil"/>
              <w:left w:val="nil"/>
              <w:bottom w:val="nil"/>
              <w:right w:val="nil"/>
            </w:tcBorders>
            <w:shd w:val="clear" w:color="auto" w:fill="000000"/>
          </w:tcPr>
          <w:p>
            <w:pPr>
              <w:rPr>
                <w:sz w:val="2"/>
                <w:szCs w:val="2"/>
              </w:rPr>
            </w:pPr>
          </w:p>
        </w:tc>
        <w:tc>
          <w:tcPr>
            <w:tcW w:w="1070" w:type="dxa"/>
            <w:vMerge/>
            <w:tcBorders>
              <w:top w:val="nil"/>
              <w:left w:val="nil"/>
              <w:bottom w:val="single" w:sz="6" w:space="0" w:color="000000"/>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792" name="Image 1792"/>
                  <wp:cNvGraphicFramePr>
                    <a:graphicFrameLocks/>
                  </wp:cNvGraphicFramePr>
                  <a:graphic>
                    <a:graphicData uri="http://schemas.openxmlformats.org/drawingml/2006/picture">
                      <pic:pic>
                        <pic:nvPicPr>
                          <pic:cNvPr id="1792" name="Image 1792"/>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793" name="Image 1793"/>
                  <wp:cNvGraphicFramePr>
                    <a:graphicFrameLocks/>
                  </wp:cNvGraphicFramePr>
                  <a:graphic>
                    <a:graphicData uri="http://schemas.openxmlformats.org/drawingml/2006/picture">
                      <pic:pic>
                        <pic:nvPicPr>
                          <pic:cNvPr id="1793" name="Image 1793"/>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2"/>
              <w:jc w:val="center"/>
              <w:rPr>
                <w:rFonts w:ascii="Arial"/>
                <w:sz w:val="14"/>
              </w:rPr>
            </w:pPr>
            <w:r>
              <w:rPr>
                <w:rFonts w:ascii="Arial"/>
                <w:sz w:val="14"/>
              </w:rPr>
              <mc:AlternateContent>
                <mc:Choice Requires="wps">
                  <w:drawing>
                    <wp:anchor distT="0" distB="0" distL="0" distR="0" allowOverlap="1" layoutInCell="1" locked="0" behindDoc="1" simplePos="0" relativeHeight="474436096">
                      <wp:simplePos x="0" y="0"/>
                      <wp:positionH relativeFrom="column">
                        <wp:posOffset>1320546</wp:posOffset>
                      </wp:positionH>
                      <wp:positionV relativeFrom="paragraph">
                        <wp:posOffset>-311719</wp:posOffset>
                      </wp:positionV>
                      <wp:extent cx="745490" cy="749300"/>
                      <wp:effectExtent l="0" t="0" r="0" b="0"/>
                      <wp:wrapNone/>
                      <wp:docPr id="1794" name="Group 1794"/>
                      <wp:cNvGraphicFramePr>
                        <a:graphicFrameLocks/>
                      </wp:cNvGraphicFramePr>
                      <a:graphic>
                        <a:graphicData uri="http://schemas.microsoft.com/office/word/2010/wordprocessingGroup">
                          <wpg:wgp>
                            <wpg:cNvPr id="1794" name="Group 1794"/>
                            <wpg:cNvGrpSpPr/>
                            <wpg:grpSpPr>
                              <a:xfrm>
                                <a:off x="0" y="0"/>
                                <a:ext cx="745490" cy="749300"/>
                                <a:chExt cx="745490" cy="749300"/>
                              </a:xfrm>
                            </wpg:grpSpPr>
                            <pic:pic>
                              <pic:nvPicPr>
                                <pic:cNvPr id="1795" name="Image 1795"/>
                                <pic:cNvPicPr/>
                              </pic:nvPicPr>
                              <pic:blipFill>
                                <a:blip r:embed="rId305" cstate="print"/>
                                <a:stretch>
                                  <a:fillRect/>
                                </a:stretch>
                              </pic:blipFill>
                              <pic:spPr>
                                <a:xfrm>
                                  <a:off x="0" y="0"/>
                                  <a:ext cx="730757" cy="749030"/>
                                </a:xfrm>
                                <a:prstGeom prst="rect">
                                  <a:avLst/>
                                </a:prstGeom>
                              </pic:spPr>
                            </pic:pic>
                            <wps:wsp>
                              <wps:cNvPr id="1796" name="Graphic 1796"/>
                              <wps:cNvSpPr/>
                              <wps:spPr>
                                <a:xfrm>
                                  <a:off x="50520" y="50162"/>
                                  <a:ext cx="694690" cy="675005"/>
                                </a:xfrm>
                                <a:custGeom>
                                  <a:avLst/>
                                  <a:gdLst/>
                                  <a:ahLst/>
                                  <a:cxnLst/>
                                  <a:rect l="l" t="t" r="r" b="b"/>
                                  <a:pathLst>
                                    <a:path w="694690" h="675005">
                                      <a:moveTo>
                                        <a:pt x="694550" y="0"/>
                                      </a:moveTo>
                                      <a:lnTo>
                                        <a:pt x="0" y="0"/>
                                      </a:lnTo>
                                      <a:lnTo>
                                        <a:pt x="0" y="674497"/>
                                      </a:lnTo>
                                      <a:lnTo>
                                        <a:pt x="694550" y="674497"/>
                                      </a:lnTo>
                                      <a:lnTo>
                                        <a:pt x="69455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8.7pt;height:59pt;mso-position-horizontal-relative:column;mso-position-vertical-relative:paragraph;z-index:-28880384" id="docshapegroup1314" coordorigin="2080,-491" coordsize="1174,1180">
                      <v:shape style="position:absolute;left:2079;top:-491;width:1151;height:1180" type="#_x0000_t75" id="docshape1315" stroked="false">
                        <v:imagedata r:id="rId305" o:title=""/>
                      </v:shape>
                      <v:rect style="position:absolute;left:2159;top:-412;width:1094;height:1063" id="docshape1316" filled="true" fillcolor="#000000" stroked="false">
                        <v:fill type="solid"/>
                      </v:rect>
                      <w10:wrap type="none"/>
                    </v:group>
                  </w:pict>
                </mc:Fallback>
              </mc:AlternateContent>
            </w:r>
            <w:r>
              <w:rPr>
                <w:rFonts w:ascii="Arial"/>
                <w:spacing w:val="-2"/>
                <w:sz w:val="14"/>
              </w:rPr>
              <w:t>31/40</w:t>
            </w:r>
          </w:p>
        </w:tc>
        <w:tc>
          <w:tcPr>
            <w:tcW w:w="93" w:type="dxa"/>
            <w:vMerge/>
            <w:tcBorders>
              <w:top w:val="nil"/>
              <w:left w:val="nil"/>
              <w:bottom w:val="nil"/>
              <w:right w:val="nil"/>
            </w:tcBorders>
            <w:shd w:val="clear" w:color="auto" w:fill="000000"/>
          </w:tcPr>
          <w:p>
            <w:pPr>
              <w:rPr>
                <w:sz w:val="2"/>
                <w:szCs w:val="2"/>
              </w:rPr>
            </w:pPr>
          </w:p>
        </w:tc>
        <w:tc>
          <w:tcPr>
            <w:tcW w:w="1070" w:type="dxa"/>
            <w:vMerge/>
            <w:tcBorders>
              <w:top w:val="nil"/>
              <w:left w:val="nil"/>
              <w:bottom w:val="single" w:sz="6" w:space="0" w:color="000000"/>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797" name="Image 1797"/>
                  <wp:cNvGraphicFramePr>
                    <a:graphicFrameLocks/>
                  </wp:cNvGraphicFramePr>
                  <a:graphic>
                    <a:graphicData uri="http://schemas.openxmlformats.org/drawingml/2006/picture">
                      <pic:pic>
                        <pic:nvPicPr>
                          <pic:cNvPr id="1797" name="Image 1797"/>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93" w:type="dxa"/>
            <w:vMerge/>
            <w:tcBorders>
              <w:top w:val="nil"/>
              <w:left w:val="nil"/>
              <w:bottom w:val="nil"/>
              <w:right w:val="nil"/>
            </w:tcBorders>
            <w:shd w:val="clear" w:color="auto" w:fill="000000"/>
          </w:tcPr>
          <w:p>
            <w:pPr>
              <w:rPr>
                <w:sz w:val="2"/>
                <w:szCs w:val="2"/>
              </w:rPr>
            </w:pPr>
          </w:p>
        </w:tc>
        <w:tc>
          <w:tcPr>
            <w:tcW w:w="1070" w:type="dxa"/>
            <w:vMerge/>
            <w:tcBorders>
              <w:top w:val="nil"/>
              <w:left w:val="nil"/>
              <w:bottom w:val="single" w:sz="6" w:space="0" w:color="000000"/>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798" name="Image 1798"/>
                  <wp:cNvGraphicFramePr>
                    <a:graphicFrameLocks/>
                  </wp:cNvGraphicFramePr>
                  <a:graphic>
                    <a:graphicData uri="http://schemas.openxmlformats.org/drawingml/2006/picture">
                      <pic:pic>
                        <pic:nvPicPr>
                          <pic:cNvPr id="1798" name="Image 1798"/>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93" w:type="dxa"/>
            <w:vMerge/>
            <w:tcBorders>
              <w:top w:val="nil"/>
              <w:left w:val="nil"/>
              <w:bottom w:val="nil"/>
              <w:right w:val="nil"/>
            </w:tcBorders>
            <w:shd w:val="clear" w:color="auto" w:fill="000000"/>
          </w:tcPr>
          <w:p>
            <w:pPr>
              <w:rPr>
                <w:sz w:val="2"/>
                <w:szCs w:val="2"/>
              </w:rPr>
            </w:pPr>
          </w:p>
        </w:tc>
        <w:tc>
          <w:tcPr>
            <w:tcW w:w="1070" w:type="dxa"/>
            <w:vMerge/>
            <w:tcBorders>
              <w:top w:val="nil"/>
              <w:left w:val="nil"/>
              <w:bottom w:val="single" w:sz="6" w:space="0" w:color="000000"/>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2251" w:right="2024" w:firstLine="0"/>
        <w:jc w:val="both"/>
        <w:rPr>
          <w:rFonts w:ascii="Calibri" w:hAnsi="Calibri"/>
          <w:sz w:val="20"/>
        </w:rPr>
      </w:pPr>
      <w:r>
        <w:rPr>
          <w:rFonts w:ascii="Calibri" w:hAnsi="Calibri"/>
          <w:sz w:val="20"/>
        </w:rPr>
        <w:t>Por todo lo anterior, </w:t>
      </w:r>
      <w:r>
        <w:rPr>
          <w:rFonts w:ascii="Calibri" w:hAnsi="Calibri"/>
          <w:sz w:val="20"/>
          <w:u w:val="single"/>
        </w:rPr>
        <w:t>se solicita que en el texto definitivo del informe se incluya que el</w:t>
      </w:r>
      <w:r>
        <w:rPr>
          <w:rFonts w:ascii="Calibri" w:hAnsi="Calibri"/>
          <w:sz w:val="20"/>
          <w:u w:val="none"/>
        </w:rPr>
        <w:t> </w:t>
      </w:r>
      <w:r>
        <w:rPr>
          <w:rFonts w:ascii="Calibri" w:hAnsi="Calibri"/>
          <w:sz w:val="20"/>
          <w:u w:val="single"/>
        </w:rPr>
        <w:t>Ayuntamiento de Málaga sí dispone de un PMUS alineado con la Ley 7/2021, de 20 de</w:t>
      </w:r>
      <w:r>
        <w:rPr>
          <w:rFonts w:ascii="Calibri" w:hAnsi="Calibri"/>
          <w:sz w:val="20"/>
          <w:u w:val="none"/>
        </w:rPr>
        <w:t> </w:t>
      </w:r>
      <w:r>
        <w:rPr>
          <w:rFonts w:ascii="Calibri" w:hAnsi="Calibri"/>
          <w:sz w:val="20"/>
          <w:u w:val="single"/>
        </w:rPr>
        <w:t>mayo, de Cambio Climático y Transición Energética</w:t>
      </w:r>
      <w:r>
        <w:rPr>
          <w:rFonts w:ascii="Calibri" w:hAnsi="Calibri"/>
          <w:sz w:val="20"/>
          <w:u w:val="none"/>
        </w:rPr>
        <w:t>.</w:t>
      </w:r>
    </w:p>
    <w:p>
      <w:pPr>
        <w:pStyle w:val="BodyText"/>
        <w:rPr>
          <w:rFonts w:ascii="Calibri"/>
          <w:sz w:val="20"/>
        </w:rPr>
      </w:pPr>
    </w:p>
    <w:p>
      <w:pPr>
        <w:pStyle w:val="BodyText"/>
        <w:spacing w:before="57"/>
        <w:rPr>
          <w:rFonts w:ascii="Calibri"/>
          <w:sz w:val="20"/>
        </w:rPr>
      </w:pPr>
    </w:p>
    <w:p>
      <w:pPr>
        <w:spacing w:line="256" w:lineRule="auto" w:before="0"/>
        <w:ind w:left="2251" w:right="2023" w:hanging="327"/>
        <w:jc w:val="both"/>
        <w:rPr>
          <w:rFonts w:ascii="Calibri" w:hAnsi="Calibri"/>
          <w:i/>
          <w:sz w:val="20"/>
        </w:rPr>
      </w:pPr>
      <w:r>
        <w:rPr>
          <w:rFonts w:ascii="Calibri" w:hAnsi="Calibri"/>
          <w:color w:val="4472C4"/>
          <w:sz w:val="20"/>
        </w:rPr>
        <w:t>-</w:t>
      </w:r>
      <w:r>
        <w:rPr>
          <w:rFonts w:ascii="Calibri" w:hAnsi="Calibri"/>
          <w:color w:val="4472C4"/>
          <w:spacing w:val="80"/>
          <w:sz w:val="20"/>
        </w:rPr>
        <w:t> </w:t>
      </w:r>
      <w:r>
        <w:rPr>
          <w:rFonts w:ascii="Calibri" w:hAnsi="Calibri"/>
          <w:i/>
          <w:color w:val="4472C4"/>
          <w:sz w:val="20"/>
        </w:rPr>
        <w:t>Pag 99: RECOMENDACIÓN 3: </w:t>
      </w:r>
      <w:r>
        <w:rPr>
          <w:rFonts w:ascii="Calibri" w:hAnsi="Calibri"/>
          <w:i/>
          <w:color w:val="4472C4"/>
          <w:sz w:val="20"/>
          <w:u w:val="single" w:color="4472C4"/>
        </w:rPr>
        <w:t>Los ayuntamientos fiscalizados deberían concretar en los</w:t>
      </w:r>
      <w:r>
        <w:rPr>
          <w:rFonts w:ascii="Calibri" w:hAnsi="Calibri"/>
          <w:i/>
          <w:color w:val="4472C4"/>
          <w:sz w:val="20"/>
          <w:u w:val="none"/>
        </w:rPr>
        <w:t> </w:t>
      </w:r>
      <w:r>
        <w:rPr>
          <w:rFonts w:ascii="Calibri" w:hAnsi="Calibri"/>
          <w:i/>
          <w:color w:val="4472C4"/>
          <w:sz w:val="20"/>
          <w:u w:val="single" w:color="4472C4"/>
        </w:rPr>
        <w:t>planes sobre movilidad el número de autobuses que prevén adquirir a fin de renovar la</w:t>
      </w:r>
      <w:r>
        <w:rPr>
          <w:rFonts w:ascii="Calibri" w:hAnsi="Calibri"/>
          <w:i/>
          <w:color w:val="4472C4"/>
          <w:sz w:val="20"/>
          <w:u w:val="none"/>
        </w:rPr>
        <w:t> </w:t>
      </w:r>
      <w:r>
        <w:rPr>
          <w:rFonts w:ascii="Calibri" w:hAnsi="Calibri"/>
          <w:i/>
          <w:color w:val="4472C4"/>
          <w:sz w:val="20"/>
          <w:u w:val="single" w:color="4472C4"/>
        </w:rPr>
        <w:t>flota y lograr la descarbonización de la movilidad urbana, el tipo de combustible que han</w:t>
      </w:r>
      <w:r>
        <w:rPr>
          <w:rFonts w:ascii="Calibri" w:hAnsi="Calibri"/>
          <w:i/>
          <w:color w:val="4472C4"/>
          <w:sz w:val="20"/>
          <w:u w:val="none"/>
        </w:rPr>
        <w:t> </w:t>
      </w:r>
      <w:r>
        <w:rPr>
          <w:rFonts w:ascii="Calibri" w:hAnsi="Calibri"/>
          <w:i/>
          <w:color w:val="4472C4"/>
          <w:sz w:val="20"/>
          <w:u w:val="single" w:color="4472C4"/>
        </w:rPr>
        <w:t>de</w:t>
      </w:r>
      <w:r>
        <w:rPr>
          <w:rFonts w:ascii="Calibri" w:hAnsi="Calibri"/>
          <w:i/>
          <w:color w:val="4472C4"/>
          <w:spacing w:val="15"/>
          <w:sz w:val="20"/>
          <w:u w:val="single" w:color="4472C4"/>
        </w:rPr>
        <w:t> </w:t>
      </w:r>
      <w:r>
        <w:rPr>
          <w:rFonts w:ascii="Calibri" w:hAnsi="Calibri"/>
          <w:i/>
          <w:color w:val="4472C4"/>
          <w:sz w:val="20"/>
          <w:u w:val="single" w:color="4472C4"/>
        </w:rPr>
        <w:t>utilizar</w:t>
      </w:r>
      <w:r>
        <w:rPr>
          <w:rFonts w:ascii="Calibri" w:hAnsi="Calibri"/>
          <w:i/>
          <w:color w:val="4472C4"/>
          <w:spacing w:val="12"/>
          <w:sz w:val="20"/>
          <w:u w:val="single" w:color="4472C4"/>
        </w:rPr>
        <w:t> </w:t>
      </w:r>
      <w:r>
        <w:rPr>
          <w:rFonts w:ascii="Calibri" w:hAnsi="Calibri"/>
          <w:i/>
          <w:color w:val="4472C4"/>
          <w:sz w:val="20"/>
          <w:u w:val="single" w:color="4472C4"/>
        </w:rPr>
        <w:t>y</w:t>
      </w:r>
      <w:r>
        <w:rPr>
          <w:rFonts w:ascii="Calibri" w:hAnsi="Calibri"/>
          <w:i/>
          <w:color w:val="4472C4"/>
          <w:spacing w:val="14"/>
          <w:sz w:val="20"/>
          <w:u w:val="single" w:color="4472C4"/>
        </w:rPr>
        <w:t> </w:t>
      </w:r>
      <w:r>
        <w:rPr>
          <w:rFonts w:ascii="Calibri" w:hAnsi="Calibri"/>
          <w:i/>
          <w:color w:val="4472C4"/>
          <w:sz w:val="20"/>
          <w:u w:val="single" w:color="4472C4"/>
        </w:rPr>
        <w:t>el</w:t>
      </w:r>
      <w:r>
        <w:rPr>
          <w:rFonts w:ascii="Calibri" w:hAnsi="Calibri"/>
          <w:i/>
          <w:color w:val="4472C4"/>
          <w:spacing w:val="13"/>
          <w:sz w:val="20"/>
          <w:u w:val="single" w:color="4472C4"/>
        </w:rPr>
        <w:t> </w:t>
      </w:r>
      <w:r>
        <w:rPr>
          <w:rFonts w:ascii="Calibri" w:hAnsi="Calibri"/>
          <w:i/>
          <w:color w:val="4472C4"/>
          <w:sz w:val="20"/>
          <w:u w:val="single" w:color="4472C4"/>
        </w:rPr>
        <w:t>periodo</w:t>
      </w:r>
      <w:r>
        <w:rPr>
          <w:rFonts w:ascii="Calibri" w:hAnsi="Calibri"/>
          <w:i/>
          <w:color w:val="4472C4"/>
          <w:spacing w:val="13"/>
          <w:sz w:val="20"/>
          <w:u w:val="single" w:color="4472C4"/>
        </w:rPr>
        <w:t> </w:t>
      </w:r>
      <w:r>
        <w:rPr>
          <w:rFonts w:ascii="Calibri" w:hAnsi="Calibri"/>
          <w:i/>
          <w:color w:val="4472C4"/>
          <w:sz w:val="20"/>
          <w:u w:val="single" w:color="4472C4"/>
        </w:rPr>
        <w:t>temporal</w:t>
      </w:r>
      <w:r>
        <w:rPr>
          <w:rFonts w:ascii="Calibri" w:hAnsi="Calibri"/>
          <w:i/>
          <w:color w:val="4472C4"/>
          <w:spacing w:val="11"/>
          <w:sz w:val="20"/>
          <w:u w:val="single" w:color="4472C4"/>
        </w:rPr>
        <w:t> </w:t>
      </w:r>
      <w:r>
        <w:rPr>
          <w:rFonts w:ascii="Calibri" w:hAnsi="Calibri"/>
          <w:i/>
          <w:color w:val="4472C4"/>
          <w:sz w:val="20"/>
          <w:u w:val="single" w:color="4472C4"/>
        </w:rPr>
        <w:t>en</w:t>
      </w:r>
      <w:r>
        <w:rPr>
          <w:rFonts w:ascii="Calibri" w:hAnsi="Calibri"/>
          <w:i/>
          <w:color w:val="4472C4"/>
          <w:spacing w:val="12"/>
          <w:sz w:val="20"/>
          <w:u w:val="single" w:color="4472C4"/>
        </w:rPr>
        <w:t> </w:t>
      </w:r>
      <w:r>
        <w:rPr>
          <w:rFonts w:ascii="Calibri" w:hAnsi="Calibri"/>
          <w:i/>
          <w:color w:val="4472C4"/>
          <w:sz w:val="20"/>
          <w:u w:val="single" w:color="4472C4"/>
        </w:rPr>
        <w:t>el</w:t>
      </w:r>
      <w:r>
        <w:rPr>
          <w:rFonts w:ascii="Calibri" w:hAnsi="Calibri"/>
          <w:i/>
          <w:color w:val="4472C4"/>
          <w:spacing w:val="13"/>
          <w:sz w:val="20"/>
          <w:u w:val="single" w:color="4472C4"/>
        </w:rPr>
        <w:t> </w:t>
      </w:r>
      <w:r>
        <w:rPr>
          <w:rFonts w:ascii="Calibri" w:hAnsi="Calibri"/>
          <w:i/>
          <w:color w:val="4472C4"/>
          <w:sz w:val="20"/>
          <w:u w:val="single" w:color="4472C4"/>
        </w:rPr>
        <w:t>que habrían</w:t>
      </w:r>
      <w:r>
        <w:rPr>
          <w:rFonts w:ascii="Calibri" w:hAnsi="Calibri"/>
          <w:i/>
          <w:color w:val="4472C4"/>
          <w:spacing w:val="12"/>
          <w:sz w:val="20"/>
          <w:u w:val="single" w:color="4472C4"/>
        </w:rPr>
        <w:t> </w:t>
      </w:r>
      <w:r>
        <w:rPr>
          <w:rFonts w:ascii="Calibri" w:hAnsi="Calibri"/>
          <w:i/>
          <w:color w:val="4472C4"/>
          <w:sz w:val="20"/>
          <w:u w:val="single" w:color="4472C4"/>
        </w:rPr>
        <w:t>de</w:t>
      </w:r>
      <w:r>
        <w:rPr>
          <w:rFonts w:ascii="Calibri" w:hAnsi="Calibri"/>
          <w:i/>
          <w:color w:val="4472C4"/>
          <w:spacing w:val="13"/>
          <w:sz w:val="20"/>
          <w:u w:val="single" w:color="4472C4"/>
        </w:rPr>
        <w:t> </w:t>
      </w:r>
      <w:r>
        <w:rPr>
          <w:rFonts w:ascii="Calibri" w:hAnsi="Calibri"/>
          <w:i/>
          <w:color w:val="4472C4"/>
          <w:sz w:val="20"/>
          <w:u w:val="single" w:color="4472C4"/>
        </w:rPr>
        <w:t>realizarse</w:t>
      </w:r>
      <w:r>
        <w:rPr>
          <w:rFonts w:ascii="Calibri" w:hAnsi="Calibri"/>
          <w:i/>
          <w:color w:val="4472C4"/>
          <w:spacing w:val="11"/>
          <w:sz w:val="20"/>
          <w:u w:val="single" w:color="4472C4"/>
        </w:rPr>
        <w:t> </w:t>
      </w:r>
      <w:r>
        <w:rPr>
          <w:rFonts w:ascii="Calibri" w:hAnsi="Calibri"/>
          <w:i/>
          <w:color w:val="4472C4"/>
          <w:sz w:val="20"/>
          <w:u w:val="single" w:color="4472C4"/>
        </w:rPr>
        <w:t>las</w:t>
      </w:r>
      <w:r>
        <w:rPr>
          <w:rFonts w:ascii="Calibri" w:hAnsi="Calibri"/>
          <w:i/>
          <w:color w:val="4472C4"/>
          <w:spacing w:val="12"/>
          <w:sz w:val="20"/>
          <w:u w:val="single" w:color="4472C4"/>
        </w:rPr>
        <w:t> </w:t>
      </w:r>
      <w:r>
        <w:rPr>
          <w:rFonts w:ascii="Calibri" w:hAnsi="Calibri"/>
          <w:i/>
          <w:color w:val="4472C4"/>
          <w:sz w:val="20"/>
          <w:u w:val="single" w:color="4472C4"/>
        </w:rPr>
        <w:t>compras,</w:t>
      </w:r>
      <w:r>
        <w:rPr>
          <w:rFonts w:ascii="Calibri" w:hAnsi="Calibri"/>
          <w:i/>
          <w:color w:val="4472C4"/>
          <w:spacing w:val="11"/>
          <w:sz w:val="20"/>
          <w:u w:val="single" w:color="4472C4"/>
        </w:rPr>
        <w:t> </w:t>
      </w:r>
      <w:r>
        <w:rPr>
          <w:rFonts w:ascii="Calibri" w:hAnsi="Calibri"/>
          <w:i/>
          <w:color w:val="4472C4"/>
          <w:sz w:val="20"/>
          <w:u w:val="single" w:color="4472C4"/>
        </w:rPr>
        <w:t>con</w:t>
      </w:r>
      <w:r>
        <w:rPr>
          <w:rFonts w:ascii="Calibri" w:hAnsi="Calibri"/>
          <w:i/>
          <w:color w:val="4472C4"/>
          <w:spacing w:val="12"/>
          <w:sz w:val="20"/>
          <w:u w:val="single" w:color="4472C4"/>
        </w:rPr>
        <w:t> </w:t>
      </w:r>
      <w:r>
        <w:rPr>
          <w:rFonts w:ascii="Calibri" w:hAnsi="Calibri"/>
          <w:i/>
          <w:color w:val="4472C4"/>
          <w:sz w:val="20"/>
          <w:u w:val="single" w:color="4472C4"/>
        </w:rPr>
        <w:t>arreglo</w:t>
      </w:r>
      <w:r>
        <w:rPr>
          <w:rFonts w:ascii="Calibri" w:hAnsi="Calibri"/>
          <w:i/>
          <w:color w:val="4472C4"/>
          <w:sz w:val="20"/>
          <w:u w:val="none"/>
        </w:rPr>
        <w:t> </w:t>
      </w:r>
      <w:r>
        <w:rPr>
          <w:rFonts w:ascii="Calibri" w:hAnsi="Calibri"/>
          <w:i/>
          <w:color w:val="4472C4"/>
          <w:sz w:val="20"/>
          <w:u w:val="single" w:color="4472C4"/>
        </w:rPr>
        <w:t>a</w:t>
      </w:r>
      <w:r>
        <w:rPr>
          <w:rFonts w:ascii="Calibri" w:hAnsi="Calibri"/>
          <w:i/>
          <w:color w:val="4472C4"/>
          <w:spacing w:val="18"/>
          <w:sz w:val="20"/>
          <w:u w:val="single" w:color="4472C4"/>
        </w:rPr>
        <w:t> </w:t>
      </w:r>
      <w:r>
        <w:rPr>
          <w:rFonts w:ascii="Calibri" w:hAnsi="Calibri"/>
          <w:i/>
          <w:color w:val="4472C4"/>
          <w:sz w:val="20"/>
          <w:u w:val="single" w:color="4472C4"/>
        </w:rPr>
        <w:t>los</w:t>
      </w:r>
      <w:r>
        <w:rPr>
          <w:rFonts w:ascii="Calibri" w:hAnsi="Calibri"/>
          <w:i/>
          <w:color w:val="4472C4"/>
          <w:spacing w:val="19"/>
          <w:sz w:val="20"/>
          <w:u w:val="single" w:color="4472C4"/>
        </w:rPr>
        <w:t> </w:t>
      </w:r>
      <w:r>
        <w:rPr>
          <w:rFonts w:ascii="Calibri" w:hAnsi="Calibri"/>
          <w:i/>
          <w:color w:val="4472C4"/>
          <w:sz w:val="20"/>
          <w:u w:val="single" w:color="4472C4"/>
        </w:rPr>
        <w:t>estudios</w:t>
      </w:r>
      <w:r>
        <w:rPr>
          <w:rFonts w:ascii="Calibri" w:hAnsi="Calibri"/>
          <w:i/>
          <w:color w:val="4472C4"/>
          <w:spacing w:val="14"/>
          <w:sz w:val="20"/>
          <w:u w:val="single" w:color="4472C4"/>
        </w:rPr>
        <w:t> </w:t>
      </w:r>
      <w:r>
        <w:rPr>
          <w:rFonts w:ascii="Calibri" w:hAnsi="Calibri"/>
          <w:i/>
          <w:color w:val="4472C4"/>
          <w:sz w:val="20"/>
          <w:u w:val="single" w:color="4472C4"/>
        </w:rPr>
        <w:t>previos</w:t>
      </w:r>
      <w:r>
        <w:rPr>
          <w:rFonts w:ascii="Calibri" w:hAnsi="Calibri"/>
          <w:i/>
          <w:color w:val="4472C4"/>
          <w:spacing w:val="14"/>
          <w:sz w:val="20"/>
          <w:u w:val="single" w:color="4472C4"/>
        </w:rPr>
        <w:t> </w:t>
      </w:r>
      <w:r>
        <w:rPr>
          <w:rFonts w:ascii="Calibri" w:hAnsi="Calibri"/>
          <w:i/>
          <w:color w:val="4472C4"/>
          <w:sz w:val="20"/>
          <w:u w:val="single" w:color="4472C4"/>
        </w:rPr>
        <w:t>que</w:t>
      </w:r>
      <w:r>
        <w:rPr>
          <w:rFonts w:ascii="Calibri" w:hAnsi="Calibri"/>
          <w:i/>
          <w:color w:val="4472C4"/>
          <w:spacing w:val="14"/>
          <w:sz w:val="20"/>
          <w:u w:val="single" w:color="4472C4"/>
        </w:rPr>
        <w:t> </w:t>
      </w:r>
      <w:r>
        <w:rPr>
          <w:rFonts w:ascii="Calibri" w:hAnsi="Calibri"/>
          <w:i/>
          <w:color w:val="4472C4"/>
          <w:sz w:val="20"/>
          <w:u w:val="single" w:color="4472C4"/>
        </w:rPr>
        <w:t>sean</w:t>
      </w:r>
      <w:r>
        <w:rPr>
          <w:rFonts w:ascii="Calibri" w:hAnsi="Calibri"/>
          <w:i/>
          <w:color w:val="4472C4"/>
          <w:spacing w:val="16"/>
          <w:sz w:val="20"/>
          <w:u w:val="single" w:color="4472C4"/>
        </w:rPr>
        <w:t> </w:t>
      </w:r>
      <w:r>
        <w:rPr>
          <w:rFonts w:ascii="Calibri" w:hAnsi="Calibri"/>
          <w:i/>
          <w:color w:val="4472C4"/>
          <w:sz w:val="20"/>
          <w:u w:val="single" w:color="4472C4"/>
        </w:rPr>
        <w:t>precisos</w:t>
      </w:r>
      <w:r>
        <w:rPr>
          <w:rFonts w:ascii="Calibri" w:hAnsi="Calibri"/>
          <w:i/>
          <w:color w:val="4472C4"/>
          <w:spacing w:val="14"/>
          <w:sz w:val="20"/>
          <w:u w:val="single" w:color="4472C4"/>
        </w:rPr>
        <w:t> </w:t>
      </w:r>
      <w:r>
        <w:rPr>
          <w:rFonts w:ascii="Calibri" w:hAnsi="Calibri"/>
          <w:i/>
          <w:color w:val="4472C4"/>
          <w:sz w:val="20"/>
          <w:u w:val="single" w:color="4472C4"/>
        </w:rPr>
        <w:t>y</w:t>
      </w:r>
      <w:r>
        <w:rPr>
          <w:rFonts w:ascii="Calibri" w:hAnsi="Calibri"/>
          <w:i/>
          <w:color w:val="4472C4"/>
          <w:spacing w:val="15"/>
          <w:sz w:val="20"/>
          <w:u w:val="single" w:color="4472C4"/>
        </w:rPr>
        <w:t> </w:t>
      </w:r>
      <w:r>
        <w:rPr>
          <w:rFonts w:ascii="Calibri" w:hAnsi="Calibri"/>
          <w:i/>
          <w:color w:val="4472C4"/>
          <w:sz w:val="20"/>
          <w:u w:val="single" w:color="4472C4"/>
        </w:rPr>
        <w:t>los</w:t>
      </w:r>
      <w:r>
        <w:rPr>
          <w:rFonts w:ascii="Calibri" w:hAnsi="Calibri"/>
          <w:i/>
          <w:color w:val="4472C4"/>
          <w:spacing w:val="18"/>
          <w:sz w:val="20"/>
          <w:u w:val="single" w:color="4472C4"/>
        </w:rPr>
        <w:t> </w:t>
      </w:r>
      <w:r>
        <w:rPr>
          <w:rFonts w:ascii="Calibri" w:hAnsi="Calibri"/>
          <w:i/>
          <w:color w:val="4472C4"/>
          <w:sz w:val="20"/>
          <w:u w:val="single" w:color="4472C4"/>
        </w:rPr>
        <w:t>recursos</w:t>
      </w:r>
      <w:r>
        <w:rPr>
          <w:rFonts w:ascii="Calibri" w:hAnsi="Calibri"/>
          <w:i/>
          <w:color w:val="4472C4"/>
          <w:spacing w:val="14"/>
          <w:sz w:val="20"/>
          <w:u w:val="single" w:color="4472C4"/>
        </w:rPr>
        <w:t> </w:t>
      </w:r>
      <w:r>
        <w:rPr>
          <w:rFonts w:ascii="Calibri" w:hAnsi="Calibri"/>
          <w:i/>
          <w:color w:val="4472C4"/>
          <w:sz w:val="20"/>
          <w:u w:val="single" w:color="4472C4"/>
        </w:rPr>
        <w:t>económicos</w:t>
      </w:r>
      <w:r>
        <w:rPr>
          <w:rFonts w:ascii="Calibri" w:hAnsi="Calibri"/>
          <w:i/>
          <w:color w:val="4472C4"/>
          <w:spacing w:val="14"/>
          <w:sz w:val="20"/>
          <w:u w:val="single" w:color="4472C4"/>
        </w:rPr>
        <w:t> </w:t>
      </w:r>
      <w:r>
        <w:rPr>
          <w:rFonts w:ascii="Calibri" w:hAnsi="Calibri"/>
          <w:i/>
          <w:color w:val="4472C4"/>
          <w:sz w:val="20"/>
          <w:u w:val="single" w:color="4472C4"/>
        </w:rPr>
        <w:t>disponibles.</w:t>
      </w:r>
      <w:r>
        <w:rPr>
          <w:rFonts w:ascii="Calibri" w:hAnsi="Calibri"/>
          <w:i/>
          <w:color w:val="4472C4"/>
          <w:spacing w:val="17"/>
          <w:sz w:val="20"/>
          <w:u w:val="single" w:color="4472C4"/>
        </w:rPr>
        <w:t> </w:t>
      </w:r>
      <w:r>
        <w:rPr>
          <w:rFonts w:ascii="Calibri" w:hAnsi="Calibri"/>
          <w:i/>
          <w:color w:val="4472C4"/>
          <w:sz w:val="20"/>
          <w:u w:val="single" w:color="4472C4"/>
        </w:rPr>
        <w:t>Todo</w:t>
      </w:r>
      <w:r>
        <w:rPr>
          <w:rFonts w:ascii="Calibri" w:hAnsi="Calibri"/>
          <w:i/>
          <w:color w:val="4472C4"/>
          <w:spacing w:val="18"/>
          <w:sz w:val="20"/>
          <w:u w:val="single" w:color="4472C4"/>
        </w:rPr>
        <w:t> </w:t>
      </w:r>
      <w:r>
        <w:rPr>
          <w:rFonts w:ascii="Calibri" w:hAnsi="Calibri"/>
          <w:i/>
          <w:color w:val="4472C4"/>
          <w:sz w:val="20"/>
          <w:u w:val="single" w:color="4472C4"/>
        </w:rPr>
        <w:t>ello</w:t>
      </w:r>
      <w:r>
        <w:rPr>
          <w:rFonts w:ascii="Calibri" w:hAnsi="Calibri"/>
          <w:i/>
          <w:color w:val="4472C4"/>
          <w:sz w:val="20"/>
          <w:u w:val="none"/>
        </w:rPr>
        <w:t> </w:t>
      </w:r>
      <w:r>
        <w:rPr>
          <w:rFonts w:ascii="Calibri" w:hAnsi="Calibri"/>
          <w:i/>
          <w:color w:val="4472C4"/>
          <w:sz w:val="20"/>
          <w:u w:val="single" w:color="4472C4"/>
        </w:rPr>
        <w:t>a</w:t>
      </w:r>
      <w:r>
        <w:rPr>
          <w:rFonts w:ascii="Calibri" w:hAnsi="Calibri"/>
          <w:i/>
          <w:color w:val="4472C4"/>
          <w:spacing w:val="24"/>
          <w:sz w:val="20"/>
          <w:u w:val="single" w:color="4472C4"/>
        </w:rPr>
        <w:t> </w:t>
      </w:r>
      <w:r>
        <w:rPr>
          <w:rFonts w:ascii="Calibri" w:hAnsi="Calibri"/>
          <w:i/>
          <w:color w:val="4472C4"/>
          <w:sz w:val="20"/>
          <w:u w:val="single" w:color="4472C4"/>
        </w:rPr>
        <w:t>fin</w:t>
      </w:r>
      <w:r>
        <w:rPr>
          <w:rFonts w:ascii="Calibri" w:hAnsi="Calibri"/>
          <w:i/>
          <w:color w:val="4472C4"/>
          <w:spacing w:val="24"/>
          <w:sz w:val="20"/>
          <w:u w:val="single" w:color="4472C4"/>
        </w:rPr>
        <w:t> </w:t>
      </w:r>
      <w:r>
        <w:rPr>
          <w:rFonts w:ascii="Calibri" w:hAnsi="Calibri"/>
          <w:i/>
          <w:color w:val="4472C4"/>
          <w:sz w:val="20"/>
          <w:u w:val="single" w:color="4472C4"/>
        </w:rPr>
        <w:t>de</w:t>
      </w:r>
      <w:r>
        <w:rPr>
          <w:rFonts w:ascii="Calibri" w:hAnsi="Calibri"/>
          <w:i/>
          <w:color w:val="4472C4"/>
          <w:spacing w:val="22"/>
          <w:sz w:val="20"/>
          <w:u w:val="single" w:color="4472C4"/>
        </w:rPr>
        <w:t> </w:t>
      </w:r>
      <w:r>
        <w:rPr>
          <w:rFonts w:ascii="Calibri" w:hAnsi="Calibri"/>
          <w:i/>
          <w:color w:val="4472C4"/>
          <w:sz w:val="20"/>
          <w:u w:val="single" w:color="4472C4"/>
        </w:rPr>
        <w:t>poder realizar un</w:t>
      </w:r>
      <w:r>
        <w:rPr>
          <w:rFonts w:ascii="Calibri" w:hAnsi="Calibri"/>
          <w:i/>
          <w:color w:val="4472C4"/>
          <w:spacing w:val="22"/>
          <w:sz w:val="20"/>
          <w:u w:val="single" w:color="4472C4"/>
        </w:rPr>
        <w:t> </w:t>
      </w:r>
      <w:r>
        <w:rPr>
          <w:rFonts w:ascii="Calibri" w:hAnsi="Calibri"/>
          <w:i/>
          <w:color w:val="4472C4"/>
          <w:sz w:val="20"/>
          <w:u w:val="single" w:color="4472C4"/>
        </w:rPr>
        <w:t>seguimiento</w:t>
      </w:r>
      <w:r>
        <w:rPr>
          <w:rFonts w:ascii="Calibri" w:hAnsi="Calibri"/>
          <w:i/>
          <w:color w:val="4472C4"/>
          <w:spacing w:val="24"/>
          <w:sz w:val="20"/>
          <w:u w:val="single" w:color="4472C4"/>
        </w:rPr>
        <w:t> </w:t>
      </w:r>
      <w:r>
        <w:rPr>
          <w:rFonts w:ascii="Calibri" w:hAnsi="Calibri"/>
          <w:i/>
          <w:color w:val="4472C4"/>
          <w:sz w:val="20"/>
          <w:u w:val="single" w:color="4472C4"/>
        </w:rPr>
        <w:t>adecuado</w:t>
      </w:r>
      <w:r>
        <w:rPr>
          <w:rFonts w:ascii="Calibri" w:hAnsi="Calibri"/>
          <w:i/>
          <w:color w:val="4472C4"/>
          <w:spacing w:val="24"/>
          <w:sz w:val="20"/>
          <w:u w:val="single" w:color="4472C4"/>
        </w:rPr>
        <w:t> </w:t>
      </w:r>
      <w:r>
        <w:rPr>
          <w:rFonts w:ascii="Calibri" w:hAnsi="Calibri"/>
          <w:i/>
          <w:color w:val="4472C4"/>
          <w:sz w:val="20"/>
          <w:u w:val="single" w:color="4472C4"/>
        </w:rPr>
        <w:t>que permita</w:t>
      </w:r>
      <w:r>
        <w:rPr>
          <w:rFonts w:ascii="Calibri" w:hAnsi="Calibri"/>
          <w:i/>
          <w:color w:val="4472C4"/>
          <w:spacing w:val="22"/>
          <w:sz w:val="20"/>
          <w:u w:val="single" w:color="4472C4"/>
        </w:rPr>
        <w:t> </w:t>
      </w:r>
      <w:r>
        <w:rPr>
          <w:rFonts w:ascii="Calibri" w:hAnsi="Calibri"/>
          <w:i/>
          <w:color w:val="4472C4"/>
          <w:sz w:val="20"/>
          <w:u w:val="single" w:color="4472C4"/>
        </w:rPr>
        <w:t>valorar la consecución</w:t>
      </w:r>
      <w:r>
        <w:rPr>
          <w:rFonts w:ascii="Calibri" w:hAnsi="Calibri"/>
          <w:i/>
          <w:color w:val="4472C4"/>
          <w:spacing w:val="22"/>
          <w:sz w:val="20"/>
          <w:u w:val="single" w:color="4472C4"/>
        </w:rPr>
        <w:t> </w:t>
      </w:r>
      <w:r>
        <w:rPr>
          <w:rFonts w:ascii="Calibri" w:hAnsi="Calibri"/>
          <w:i/>
          <w:color w:val="4472C4"/>
          <w:sz w:val="20"/>
          <w:u w:val="single" w:color="4472C4"/>
        </w:rPr>
        <w:t>de</w:t>
      </w:r>
      <w:r>
        <w:rPr>
          <w:rFonts w:ascii="Calibri" w:hAnsi="Calibri"/>
          <w:i/>
          <w:color w:val="4472C4"/>
          <w:sz w:val="20"/>
          <w:u w:val="none"/>
        </w:rPr>
        <w:t> </w:t>
      </w:r>
      <w:r>
        <w:rPr>
          <w:rFonts w:ascii="Calibri" w:hAnsi="Calibri"/>
          <w:i/>
          <w:color w:val="4472C4"/>
          <w:sz w:val="20"/>
          <w:u w:val="single" w:color="4472C4"/>
        </w:rPr>
        <w:t>los objetivos previstos.</w:t>
      </w:r>
    </w:p>
    <w:p>
      <w:pPr>
        <w:spacing w:line="256" w:lineRule="auto" w:before="147"/>
        <w:ind w:left="2251" w:right="2021" w:firstLine="45"/>
        <w:jc w:val="both"/>
        <w:rPr>
          <w:rFonts w:ascii="Calibri" w:hAnsi="Calibri"/>
          <w:sz w:val="20"/>
        </w:rPr>
      </w:pPr>
      <w:r>
        <w:rPr>
          <w:rFonts w:ascii="Calibri" w:hAnsi="Calibri"/>
          <w:sz w:val="20"/>
        </w:rPr>
        <w:t>El Plan de Movilidad Urbana Sostenible (PMUS) de Málaga analiza detalladamente la situación de la flota de autobuses urbanos en el momento de su elaboración. En la página 107 se recoge que la Empresa Malagueña de Transportes (E.M.T.) dispone de una flota</w:t>
      </w:r>
      <w:r>
        <w:rPr>
          <w:rFonts w:ascii="Calibri" w:hAnsi="Calibri"/>
          <w:spacing w:val="-1"/>
          <w:sz w:val="20"/>
        </w:rPr>
        <w:t> </w:t>
      </w:r>
      <w:r>
        <w:rPr>
          <w:rFonts w:ascii="Calibri" w:hAnsi="Calibri"/>
          <w:sz w:val="20"/>
        </w:rPr>
        <w:t>de</w:t>
      </w:r>
    </w:p>
    <w:p>
      <w:pPr>
        <w:spacing w:line="259" w:lineRule="auto" w:before="0"/>
        <w:ind w:left="2251" w:right="2019" w:firstLine="0"/>
        <w:jc w:val="both"/>
        <w:rPr>
          <w:rFonts w:ascii="Calibri" w:hAnsi="Calibri"/>
          <w:sz w:val="20"/>
        </w:rPr>
      </w:pPr>
      <w:r>
        <w:rPr>
          <w:rFonts w:ascii="Calibri" w:hAnsi="Calibri"/>
          <w:sz w:val="20"/>
        </w:rPr>
        <w:t>258 vehículos, con una componente significativamente ecológica: 4 autobuses con tecnología de gas natural comprimido (GNC), 15 autobuses eléctricos-híbridos, 1 autobús eléctrico,</w:t>
      </w:r>
      <w:r>
        <w:rPr>
          <w:rFonts w:ascii="Calibri" w:hAnsi="Calibri"/>
          <w:spacing w:val="40"/>
          <w:sz w:val="20"/>
        </w:rPr>
        <w:t> </w:t>
      </w:r>
      <w:r>
        <w:rPr>
          <w:rFonts w:ascii="Calibri" w:hAnsi="Calibri"/>
          <w:sz w:val="20"/>
        </w:rPr>
        <w:t>40</w:t>
      </w:r>
      <w:r>
        <w:rPr>
          <w:rFonts w:ascii="Calibri" w:hAnsi="Calibri"/>
          <w:spacing w:val="40"/>
          <w:sz w:val="20"/>
        </w:rPr>
        <w:t> </w:t>
      </w:r>
      <w:r>
        <w:rPr>
          <w:rFonts w:ascii="Calibri" w:hAnsi="Calibri"/>
          <w:sz w:val="20"/>
        </w:rPr>
        <w:t>autobuses</w:t>
      </w:r>
      <w:r>
        <w:rPr>
          <w:rFonts w:ascii="Calibri" w:hAnsi="Calibri"/>
          <w:spacing w:val="40"/>
          <w:sz w:val="20"/>
        </w:rPr>
        <w:t> </w:t>
      </w:r>
      <w:r>
        <w:rPr>
          <w:rFonts w:ascii="Calibri" w:hAnsi="Calibri"/>
          <w:sz w:val="20"/>
        </w:rPr>
        <w:t>EURO</w:t>
      </w:r>
      <w:r>
        <w:rPr>
          <w:rFonts w:ascii="Calibri" w:hAnsi="Calibri"/>
          <w:spacing w:val="40"/>
          <w:sz w:val="20"/>
        </w:rPr>
        <w:t> </w:t>
      </w:r>
      <w:r>
        <w:rPr>
          <w:rFonts w:ascii="Calibri" w:hAnsi="Calibri"/>
          <w:sz w:val="20"/>
        </w:rPr>
        <w:t>2,</w:t>
      </w:r>
      <w:r>
        <w:rPr>
          <w:rFonts w:ascii="Calibri" w:hAnsi="Calibri"/>
          <w:spacing w:val="40"/>
          <w:sz w:val="20"/>
        </w:rPr>
        <w:t> </w:t>
      </w:r>
      <w:r>
        <w:rPr>
          <w:rFonts w:ascii="Calibri" w:hAnsi="Calibri"/>
          <w:sz w:val="20"/>
        </w:rPr>
        <w:t>79</w:t>
      </w:r>
      <w:r>
        <w:rPr>
          <w:rFonts w:ascii="Calibri" w:hAnsi="Calibri"/>
          <w:spacing w:val="40"/>
          <w:sz w:val="20"/>
        </w:rPr>
        <w:t> </w:t>
      </w:r>
      <w:r>
        <w:rPr>
          <w:rFonts w:ascii="Calibri" w:hAnsi="Calibri"/>
          <w:sz w:val="20"/>
        </w:rPr>
        <w:t>autobuses</w:t>
      </w:r>
      <w:r>
        <w:rPr>
          <w:rFonts w:ascii="Calibri" w:hAnsi="Calibri"/>
          <w:spacing w:val="40"/>
          <w:sz w:val="20"/>
        </w:rPr>
        <w:t> </w:t>
      </w:r>
      <w:r>
        <w:rPr>
          <w:rFonts w:ascii="Calibri" w:hAnsi="Calibri"/>
          <w:sz w:val="20"/>
        </w:rPr>
        <w:t>EURO</w:t>
      </w:r>
      <w:r>
        <w:rPr>
          <w:rFonts w:ascii="Calibri" w:hAnsi="Calibri"/>
          <w:spacing w:val="40"/>
          <w:sz w:val="20"/>
        </w:rPr>
        <w:t> </w:t>
      </w:r>
      <w:r>
        <w:rPr>
          <w:rFonts w:ascii="Calibri" w:hAnsi="Calibri"/>
          <w:sz w:val="20"/>
        </w:rPr>
        <w:t>3,</w:t>
      </w:r>
      <w:r>
        <w:rPr>
          <w:rFonts w:ascii="Calibri" w:hAnsi="Calibri"/>
          <w:spacing w:val="40"/>
          <w:sz w:val="20"/>
        </w:rPr>
        <w:t> </w:t>
      </w:r>
      <w:r>
        <w:rPr>
          <w:rFonts w:ascii="Calibri" w:hAnsi="Calibri"/>
          <w:sz w:val="20"/>
        </w:rPr>
        <w:t>51</w:t>
      </w:r>
      <w:r>
        <w:rPr>
          <w:rFonts w:ascii="Calibri" w:hAnsi="Calibri"/>
          <w:spacing w:val="40"/>
          <w:sz w:val="20"/>
        </w:rPr>
        <w:t> </w:t>
      </w:r>
      <w:r>
        <w:rPr>
          <w:rFonts w:ascii="Calibri" w:hAnsi="Calibri"/>
          <w:sz w:val="20"/>
        </w:rPr>
        <w:t>autobuses</w:t>
      </w:r>
      <w:r>
        <w:rPr>
          <w:rFonts w:ascii="Calibri" w:hAnsi="Calibri"/>
          <w:spacing w:val="40"/>
          <w:sz w:val="20"/>
        </w:rPr>
        <w:t> </w:t>
      </w:r>
      <w:r>
        <w:rPr>
          <w:rFonts w:ascii="Calibri" w:hAnsi="Calibri"/>
          <w:sz w:val="20"/>
        </w:rPr>
        <w:t>EURO</w:t>
      </w:r>
      <w:r>
        <w:rPr>
          <w:rFonts w:ascii="Calibri" w:hAnsi="Calibri"/>
          <w:spacing w:val="40"/>
          <w:sz w:val="20"/>
        </w:rPr>
        <w:t> </w:t>
      </w:r>
      <w:r>
        <w:rPr>
          <w:rFonts w:ascii="Calibri" w:hAnsi="Calibri"/>
          <w:sz w:val="20"/>
        </w:rPr>
        <w:t>5</w:t>
      </w:r>
      <w:r>
        <w:rPr>
          <w:rFonts w:ascii="Calibri" w:hAnsi="Calibri"/>
          <w:spacing w:val="40"/>
          <w:sz w:val="20"/>
        </w:rPr>
        <w:t> </w:t>
      </w:r>
      <w:r>
        <w:rPr>
          <w:rFonts w:ascii="Calibri" w:hAnsi="Calibri"/>
          <w:sz w:val="20"/>
        </w:rPr>
        <w:t>y</w:t>
      </w:r>
      <w:r>
        <w:rPr>
          <w:rFonts w:ascii="Calibri" w:hAnsi="Calibri"/>
          <w:spacing w:val="40"/>
          <w:sz w:val="20"/>
        </w:rPr>
        <w:t> </w:t>
      </w:r>
      <w:r>
        <w:rPr>
          <w:rFonts w:ascii="Calibri" w:hAnsi="Calibri"/>
          <w:sz w:val="20"/>
        </w:rPr>
        <w:t>68</w:t>
      </w:r>
    </w:p>
    <w:p>
      <w:pPr>
        <w:spacing w:line="238" w:lineRule="exact" w:before="0"/>
        <w:ind w:left="2251" w:right="0" w:firstLine="0"/>
        <w:jc w:val="both"/>
        <w:rPr>
          <w:rFonts w:ascii="Calibri"/>
          <w:sz w:val="20"/>
        </w:rPr>
      </w:pPr>
      <w:r>
        <w:rPr>
          <w:rFonts w:ascii="Calibri"/>
          <w:spacing w:val="-2"/>
          <w:sz w:val="20"/>
        </w:rPr>
        <w:t>autobuses</w:t>
      </w:r>
      <w:r>
        <w:rPr>
          <w:rFonts w:ascii="Calibri"/>
          <w:spacing w:val="-4"/>
          <w:sz w:val="20"/>
        </w:rPr>
        <w:t> </w:t>
      </w:r>
      <w:r>
        <w:rPr>
          <w:rFonts w:ascii="Calibri"/>
          <w:spacing w:val="-2"/>
          <w:sz w:val="20"/>
        </w:rPr>
        <w:t>EURO </w:t>
      </w:r>
      <w:r>
        <w:rPr>
          <w:rFonts w:ascii="Calibri"/>
          <w:spacing w:val="-5"/>
          <w:sz w:val="20"/>
        </w:rPr>
        <w:t>6.</w:t>
      </w:r>
    </w:p>
    <w:p>
      <w:pPr>
        <w:spacing w:line="256" w:lineRule="auto" w:before="163"/>
        <w:ind w:left="2251" w:right="2021" w:firstLine="0"/>
        <w:jc w:val="both"/>
        <w:rPr>
          <w:rFonts w:ascii="Calibri" w:hAnsi="Calibri"/>
          <w:sz w:val="20"/>
        </w:rPr>
      </w:pPr>
      <w:r>
        <w:rPr>
          <w:rFonts w:ascii="Calibri" w:hAnsi="Calibri"/>
          <w:sz w:val="20"/>
        </w:rPr>
        <w:t>Asimismo, el PMUS incluye en su Plan de Acción la medida TP6: “Continuar la gestión del autobús urbano hacia la sostenibilidad y la eficiencia, así como mejorar la flota de autobuses renovándola, adquiriendo vehículos más eficientes y menos contaminantes, cumpliendo siempre los estándares de accesibilidad”.</w:t>
      </w:r>
    </w:p>
    <w:p>
      <w:pPr>
        <w:spacing w:line="256" w:lineRule="auto" w:before="143"/>
        <w:ind w:left="2251" w:right="2023" w:firstLine="0"/>
        <w:jc w:val="both"/>
        <w:rPr>
          <w:rFonts w:ascii="Calibri" w:hAnsi="Calibri"/>
          <w:sz w:val="20"/>
        </w:rPr>
      </w:pPr>
      <w:r>
        <w:rPr>
          <w:rFonts w:ascii="Calibri" w:hAnsi="Calibri"/>
          <w:sz w:val="20"/>
        </w:rPr>
        <w:t>Para el seguimiento de este objetivo, el plan</w:t>
      </w:r>
      <w:r>
        <w:rPr>
          <w:rFonts w:ascii="Calibri" w:hAnsi="Calibri"/>
          <w:spacing w:val="-2"/>
          <w:sz w:val="20"/>
        </w:rPr>
        <w:t> </w:t>
      </w:r>
      <w:r>
        <w:rPr>
          <w:rFonts w:ascii="Calibri" w:hAnsi="Calibri"/>
          <w:sz w:val="20"/>
        </w:rPr>
        <w:t>contempla un indicador</w:t>
      </w:r>
      <w:r>
        <w:rPr>
          <w:rFonts w:ascii="Calibri" w:hAnsi="Calibri"/>
          <w:spacing w:val="-2"/>
          <w:sz w:val="20"/>
        </w:rPr>
        <w:t> </w:t>
      </w:r>
      <w:r>
        <w:rPr>
          <w:rFonts w:ascii="Calibri" w:hAnsi="Calibri"/>
          <w:sz w:val="20"/>
        </w:rPr>
        <w:t>específico</w:t>
      </w:r>
      <w:r>
        <w:rPr>
          <w:rFonts w:ascii="Calibri" w:hAnsi="Calibri"/>
          <w:spacing w:val="-1"/>
          <w:sz w:val="20"/>
        </w:rPr>
        <w:t> </w:t>
      </w:r>
      <w:r>
        <w:rPr>
          <w:rFonts w:ascii="Calibri" w:hAnsi="Calibri"/>
          <w:sz w:val="20"/>
        </w:rPr>
        <w:t>(Indicador 17: Autobuses urbanos eléctricos, híbridos y GNC), que permite medir tanto en número absoluto</w:t>
      </w:r>
      <w:r>
        <w:rPr>
          <w:rFonts w:ascii="Calibri" w:hAnsi="Calibri"/>
          <w:spacing w:val="-1"/>
          <w:sz w:val="20"/>
        </w:rPr>
        <w:t> </w:t>
      </w:r>
      <w:r>
        <w:rPr>
          <w:rFonts w:ascii="Calibri" w:hAnsi="Calibri"/>
          <w:sz w:val="20"/>
        </w:rPr>
        <w:t>como en</w:t>
      </w:r>
      <w:r>
        <w:rPr>
          <w:rFonts w:ascii="Calibri" w:hAnsi="Calibri"/>
          <w:spacing w:val="-3"/>
          <w:sz w:val="20"/>
        </w:rPr>
        <w:t> </w:t>
      </w:r>
      <w:r>
        <w:rPr>
          <w:rFonts w:ascii="Calibri" w:hAnsi="Calibri"/>
          <w:sz w:val="20"/>
        </w:rPr>
        <w:t>porcentaje el grado de implantación</w:t>
      </w:r>
      <w:r>
        <w:rPr>
          <w:rFonts w:ascii="Calibri" w:hAnsi="Calibri"/>
          <w:spacing w:val="-3"/>
          <w:sz w:val="20"/>
        </w:rPr>
        <w:t> </w:t>
      </w:r>
      <w:r>
        <w:rPr>
          <w:rFonts w:ascii="Calibri" w:hAnsi="Calibri"/>
          <w:sz w:val="20"/>
        </w:rPr>
        <w:t>de vehículos sostenibles</w:t>
      </w:r>
      <w:r>
        <w:rPr>
          <w:rFonts w:ascii="Calibri" w:hAnsi="Calibri"/>
          <w:spacing w:val="-3"/>
          <w:sz w:val="20"/>
        </w:rPr>
        <w:t> </w:t>
      </w:r>
      <w:r>
        <w:rPr>
          <w:rFonts w:ascii="Calibri" w:hAnsi="Calibri"/>
          <w:sz w:val="20"/>
        </w:rPr>
        <w:t>en</w:t>
      </w:r>
      <w:r>
        <w:rPr>
          <w:rFonts w:ascii="Calibri" w:hAnsi="Calibri"/>
          <w:spacing w:val="-1"/>
          <w:sz w:val="20"/>
        </w:rPr>
        <w:t> </w:t>
      </w:r>
      <w:r>
        <w:rPr>
          <w:rFonts w:ascii="Calibri" w:hAnsi="Calibri"/>
          <w:sz w:val="20"/>
        </w:rPr>
        <w:t>la flota municipal,</w:t>
      </w:r>
      <w:r>
        <w:rPr>
          <w:rFonts w:ascii="Calibri" w:hAnsi="Calibri"/>
          <w:spacing w:val="-2"/>
          <w:sz w:val="20"/>
        </w:rPr>
        <w:t> </w:t>
      </w:r>
      <w:r>
        <w:rPr>
          <w:rFonts w:ascii="Calibri" w:hAnsi="Calibri"/>
          <w:sz w:val="20"/>
        </w:rPr>
        <w:t>facilitando</w:t>
      </w:r>
      <w:r>
        <w:rPr>
          <w:rFonts w:ascii="Calibri" w:hAnsi="Calibri"/>
          <w:spacing w:val="-2"/>
          <w:sz w:val="20"/>
        </w:rPr>
        <w:t> </w:t>
      </w:r>
      <w:r>
        <w:rPr>
          <w:rFonts w:ascii="Calibri" w:hAnsi="Calibri"/>
          <w:sz w:val="20"/>
        </w:rPr>
        <w:t>así</w:t>
      </w:r>
      <w:r>
        <w:rPr>
          <w:rFonts w:ascii="Calibri" w:hAnsi="Calibri"/>
          <w:spacing w:val="-5"/>
          <w:sz w:val="20"/>
        </w:rPr>
        <w:t> </w:t>
      </w:r>
      <w:r>
        <w:rPr>
          <w:rFonts w:ascii="Calibri" w:hAnsi="Calibri"/>
          <w:sz w:val="20"/>
        </w:rPr>
        <w:t>la</w:t>
      </w:r>
      <w:r>
        <w:rPr>
          <w:rFonts w:ascii="Calibri" w:hAnsi="Calibri"/>
          <w:spacing w:val="-6"/>
          <w:sz w:val="20"/>
        </w:rPr>
        <w:t> </w:t>
      </w:r>
      <w:r>
        <w:rPr>
          <w:rFonts w:ascii="Calibri" w:hAnsi="Calibri"/>
          <w:sz w:val="20"/>
        </w:rPr>
        <w:t>evaluación</w:t>
      </w:r>
      <w:r>
        <w:rPr>
          <w:rFonts w:ascii="Calibri" w:hAnsi="Calibri"/>
          <w:spacing w:val="-4"/>
          <w:sz w:val="20"/>
        </w:rPr>
        <w:t> </w:t>
      </w:r>
      <w:r>
        <w:rPr>
          <w:rFonts w:ascii="Calibri" w:hAnsi="Calibri"/>
          <w:sz w:val="20"/>
        </w:rPr>
        <w:t>del</w:t>
      </w:r>
      <w:r>
        <w:rPr>
          <w:rFonts w:ascii="Calibri" w:hAnsi="Calibri"/>
          <w:spacing w:val="-5"/>
          <w:sz w:val="20"/>
        </w:rPr>
        <w:t> </w:t>
      </w:r>
      <w:r>
        <w:rPr>
          <w:rFonts w:ascii="Calibri" w:hAnsi="Calibri"/>
          <w:sz w:val="20"/>
        </w:rPr>
        <w:t>avance</w:t>
      </w:r>
      <w:r>
        <w:rPr>
          <w:rFonts w:ascii="Calibri" w:hAnsi="Calibri"/>
          <w:spacing w:val="-5"/>
          <w:sz w:val="20"/>
        </w:rPr>
        <w:t> </w:t>
      </w:r>
      <w:r>
        <w:rPr>
          <w:rFonts w:ascii="Calibri" w:hAnsi="Calibri"/>
          <w:sz w:val="20"/>
        </w:rPr>
        <w:t>hacia</w:t>
      </w:r>
      <w:r>
        <w:rPr>
          <w:rFonts w:ascii="Calibri" w:hAnsi="Calibri"/>
          <w:spacing w:val="-2"/>
          <w:sz w:val="20"/>
        </w:rPr>
        <w:t> </w:t>
      </w:r>
      <w:r>
        <w:rPr>
          <w:rFonts w:ascii="Calibri" w:hAnsi="Calibri"/>
          <w:sz w:val="20"/>
        </w:rPr>
        <w:t>la</w:t>
      </w:r>
      <w:r>
        <w:rPr>
          <w:rFonts w:ascii="Calibri" w:hAnsi="Calibri"/>
          <w:spacing w:val="-2"/>
          <w:sz w:val="20"/>
        </w:rPr>
        <w:t> </w:t>
      </w:r>
      <w:r>
        <w:rPr>
          <w:rFonts w:ascii="Calibri" w:hAnsi="Calibri"/>
          <w:sz w:val="20"/>
        </w:rPr>
        <w:t>descarbonización</w:t>
      </w:r>
      <w:r>
        <w:rPr>
          <w:rFonts w:ascii="Calibri" w:hAnsi="Calibri"/>
          <w:spacing w:val="-1"/>
          <w:sz w:val="20"/>
        </w:rPr>
        <w:t> </w:t>
      </w:r>
      <w:r>
        <w:rPr>
          <w:rFonts w:ascii="Calibri" w:hAnsi="Calibri"/>
          <w:sz w:val="20"/>
        </w:rPr>
        <w:t>del</w:t>
      </w:r>
      <w:r>
        <w:rPr>
          <w:rFonts w:ascii="Calibri" w:hAnsi="Calibri"/>
          <w:spacing w:val="-4"/>
          <w:sz w:val="20"/>
        </w:rPr>
        <w:t> </w:t>
      </w:r>
      <w:r>
        <w:rPr>
          <w:rFonts w:ascii="Calibri" w:hAnsi="Calibri"/>
          <w:sz w:val="20"/>
        </w:rPr>
        <w:t>transporte </w:t>
      </w:r>
      <w:r>
        <w:rPr>
          <w:rFonts w:ascii="Calibri" w:hAnsi="Calibri"/>
          <w:spacing w:val="-2"/>
          <w:sz w:val="20"/>
        </w:rPr>
        <w:t>urbano.</w:t>
      </w:r>
    </w:p>
    <w:p>
      <w:pPr>
        <w:spacing w:line="256" w:lineRule="auto" w:before="146"/>
        <w:ind w:left="2251" w:right="2021" w:firstLine="0"/>
        <w:jc w:val="both"/>
        <w:rPr>
          <w:rFonts w:ascii="Calibri" w:hAnsi="Calibri"/>
          <w:sz w:val="20"/>
        </w:rPr>
      </w:pPr>
      <w:r>
        <w:rPr>
          <w:rFonts w:ascii="Calibri" w:hAnsi="Calibri"/>
          <w:sz w:val="20"/>
        </w:rPr>
        <w:t>No obstante, el PMUS no establece un número concreto de vehículos a adquirir ni un calendario</w:t>
      </w:r>
      <w:r>
        <w:rPr>
          <w:rFonts w:ascii="Calibri" w:hAnsi="Calibri"/>
          <w:spacing w:val="-1"/>
          <w:sz w:val="20"/>
        </w:rPr>
        <w:t> </w:t>
      </w:r>
      <w:r>
        <w:rPr>
          <w:rFonts w:ascii="Calibri" w:hAnsi="Calibri"/>
          <w:sz w:val="20"/>
        </w:rPr>
        <w:t>cerrado de</w:t>
      </w:r>
      <w:r>
        <w:rPr>
          <w:rFonts w:ascii="Calibri" w:hAnsi="Calibri"/>
          <w:spacing w:val="-1"/>
          <w:sz w:val="20"/>
        </w:rPr>
        <w:t> </w:t>
      </w:r>
      <w:r>
        <w:rPr>
          <w:rFonts w:ascii="Calibri" w:hAnsi="Calibri"/>
          <w:sz w:val="20"/>
        </w:rPr>
        <w:t>renovación, considerando que</w:t>
      </w:r>
      <w:r>
        <w:rPr>
          <w:rFonts w:ascii="Calibri" w:hAnsi="Calibri"/>
          <w:spacing w:val="-1"/>
          <w:sz w:val="20"/>
        </w:rPr>
        <w:t> </w:t>
      </w:r>
      <w:r>
        <w:rPr>
          <w:rFonts w:ascii="Calibri" w:hAnsi="Calibri"/>
          <w:sz w:val="20"/>
        </w:rPr>
        <w:t>dicha planificación</w:t>
      </w:r>
      <w:r>
        <w:rPr>
          <w:rFonts w:ascii="Calibri" w:hAnsi="Calibri"/>
          <w:spacing w:val="-4"/>
          <w:sz w:val="20"/>
        </w:rPr>
        <w:t> </w:t>
      </w:r>
      <w:r>
        <w:rPr>
          <w:rFonts w:ascii="Calibri" w:hAnsi="Calibri"/>
          <w:sz w:val="20"/>
        </w:rPr>
        <w:t>debe</w:t>
      </w:r>
      <w:r>
        <w:rPr>
          <w:rFonts w:ascii="Calibri" w:hAnsi="Calibri"/>
          <w:spacing w:val="-1"/>
          <w:sz w:val="20"/>
        </w:rPr>
        <w:t> </w:t>
      </w:r>
      <w:r>
        <w:rPr>
          <w:rFonts w:ascii="Calibri" w:hAnsi="Calibri"/>
          <w:sz w:val="20"/>
        </w:rPr>
        <w:t>mantenerse flexible y adaptativa, en función de la disponibilidad presupuestaria anual, las convocatorias de ayudas europeas y estatales, y las nuevas normativas o directrices ambientales que pudieran reforzar los compromisos de sostenibilidad asumidos por las </w:t>
      </w:r>
      <w:r>
        <w:rPr>
          <w:rFonts w:ascii="Calibri" w:hAnsi="Calibri"/>
          <w:spacing w:val="-2"/>
          <w:sz w:val="20"/>
        </w:rPr>
        <w:t>ciudades.</w:t>
      </w:r>
    </w:p>
    <w:p>
      <w:pPr>
        <w:spacing w:line="256" w:lineRule="auto" w:before="146"/>
        <w:ind w:left="2251" w:right="2021" w:firstLine="0"/>
        <w:jc w:val="both"/>
        <w:rPr>
          <w:rFonts w:ascii="Calibri" w:hAnsi="Calibri"/>
          <w:sz w:val="20"/>
        </w:rPr>
      </w:pPr>
      <w:r>
        <w:rPr>
          <w:rFonts w:ascii="Calibri" w:hAnsi="Calibri"/>
          <w:sz w:val="20"/>
        </w:rPr>
        <w:t>En</w:t>
      </w:r>
      <w:r>
        <w:rPr>
          <w:rFonts w:ascii="Calibri" w:hAnsi="Calibri"/>
          <w:spacing w:val="-6"/>
          <w:sz w:val="20"/>
        </w:rPr>
        <w:t> </w:t>
      </w:r>
      <w:r>
        <w:rPr>
          <w:rFonts w:ascii="Calibri" w:hAnsi="Calibri"/>
          <w:sz w:val="20"/>
        </w:rPr>
        <w:t>este</w:t>
      </w:r>
      <w:r>
        <w:rPr>
          <w:rFonts w:ascii="Calibri" w:hAnsi="Calibri"/>
          <w:spacing w:val="-6"/>
          <w:sz w:val="20"/>
        </w:rPr>
        <w:t> </w:t>
      </w:r>
      <w:r>
        <w:rPr>
          <w:rFonts w:ascii="Calibri" w:hAnsi="Calibri"/>
          <w:sz w:val="20"/>
        </w:rPr>
        <w:t>sentido,</w:t>
      </w:r>
      <w:r>
        <w:rPr>
          <w:rFonts w:ascii="Calibri" w:hAnsi="Calibri"/>
          <w:spacing w:val="-6"/>
          <w:sz w:val="20"/>
        </w:rPr>
        <w:t> </w:t>
      </w:r>
      <w:r>
        <w:rPr>
          <w:rFonts w:ascii="Calibri" w:hAnsi="Calibri"/>
          <w:sz w:val="20"/>
        </w:rPr>
        <w:t>el</w:t>
      </w:r>
      <w:r>
        <w:rPr>
          <w:rFonts w:ascii="Calibri" w:hAnsi="Calibri"/>
          <w:spacing w:val="-5"/>
          <w:sz w:val="20"/>
        </w:rPr>
        <w:t> </w:t>
      </w:r>
      <w:r>
        <w:rPr>
          <w:rFonts w:ascii="Calibri" w:hAnsi="Calibri"/>
          <w:sz w:val="20"/>
        </w:rPr>
        <w:t>PMUS</w:t>
      </w:r>
      <w:r>
        <w:rPr>
          <w:rFonts w:ascii="Calibri" w:hAnsi="Calibri"/>
          <w:spacing w:val="-7"/>
          <w:sz w:val="20"/>
        </w:rPr>
        <w:t> </w:t>
      </w:r>
      <w:r>
        <w:rPr>
          <w:rFonts w:ascii="Calibri" w:hAnsi="Calibri"/>
          <w:sz w:val="20"/>
        </w:rPr>
        <w:t>se</w:t>
      </w:r>
      <w:r>
        <w:rPr>
          <w:rFonts w:ascii="Calibri" w:hAnsi="Calibri"/>
          <w:spacing w:val="-6"/>
          <w:sz w:val="20"/>
        </w:rPr>
        <w:t> </w:t>
      </w:r>
      <w:r>
        <w:rPr>
          <w:rFonts w:ascii="Calibri" w:hAnsi="Calibri"/>
          <w:sz w:val="20"/>
        </w:rPr>
        <w:t>alinea</w:t>
      </w:r>
      <w:r>
        <w:rPr>
          <w:rFonts w:ascii="Calibri" w:hAnsi="Calibri"/>
          <w:spacing w:val="-5"/>
          <w:sz w:val="20"/>
        </w:rPr>
        <w:t> </w:t>
      </w:r>
      <w:r>
        <w:rPr>
          <w:rFonts w:ascii="Calibri" w:hAnsi="Calibri"/>
          <w:sz w:val="20"/>
        </w:rPr>
        <w:t>con</w:t>
      </w:r>
      <w:r>
        <w:rPr>
          <w:rFonts w:ascii="Calibri" w:hAnsi="Calibri"/>
          <w:spacing w:val="-6"/>
          <w:sz w:val="20"/>
        </w:rPr>
        <w:t> </w:t>
      </w:r>
      <w:r>
        <w:rPr>
          <w:rFonts w:ascii="Calibri" w:hAnsi="Calibri"/>
          <w:sz w:val="20"/>
        </w:rPr>
        <w:t>los</w:t>
      </w:r>
      <w:r>
        <w:rPr>
          <w:rFonts w:ascii="Calibri" w:hAnsi="Calibri"/>
          <w:spacing w:val="-6"/>
          <w:sz w:val="20"/>
        </w:rPr>
        <w:t> </w:t>
      </w:r>
      <w:r>
        <w:rPr>
          <w:rFonts w:ascii="Calibri" w:hAnsi="Calibri"/>
          <w:sz w:val="20"/>
        </w:rPr>
        <w:t>objetivos</w:t>
      </w:r>
      <w:r>
        <w:rPr>
          <w:rFonts w:ascii="Calibri" w:hAnsi="Calibri"/>
          <w:spacing w:val="-6"/>
          <w:sz w:val="20"/>
        </w:rPr>
        <w:t> </w:t>
      </w:r>
      <w:r>
        <w:rPr>
          <w:rFonts w:ascii="Calibri" w:hAnsi="Calibri"/>
          <w:sz w:val="20"/>
        </w:rPr>
        <w:t>de</w:t>
      </w:r>
      <w:r>
        <w:rPr>
          <w:rFonts w:ascii="Calibri" w:hAnsi="Calibri"/>
          <w:spacing w:val="-3"/>
          <w:sz w:val="20"/>
        </w:rPr>
        <w:t> </w:t>
      </w:r>
      <w:r>
        <w:rPr>
          <w:rFonts w:ascii="Calibri" w:hAnsi="Calibri"/>
          <w:sz w:val="20"/>
        </w:rPr>
        <w:t>descarbonización</w:t>
      </w:r>
      <w:r>
        <w:rPr>
          <w:rFonts w:ascii="Calibri" w:hAnsi="Calibri"/>
          <w:spacing w:val="-8"/>
          <w:sz w:val="20"/>
        </w:rPr>
        <w:t> </w:t>
      </w:r>
      <w:r>
        <w:rPr>
          <w:rFonts w:ascii="Calibri" w:hAnsi="Calibri"/>
          <w:sz w:val="20"/>
        </w:rPr>
        <w:t>establecidos</w:t>
      </w:r>
      <w:r>
        <w:rPr>
          <w:rFonts w:ascii="Calibri" w:hAnsi="Calibri"/>
          <w:spacing w:val="-3"/>
          <w:sz w:val="20"/>
        </w:rPr>
        <w:t> </w:t>
      </w:r>
      <w:r>
        <w:rPr>
          <w:rFonts w:ascii="Calibri" w:hAnsi="Calibri"/>
          <w:sz w:val="20"/>
        </w:rPr>
        <w:t>en</w:t>
      </w:r>
      <w:r>
        <w:rPr>
          <w:rFonts w:ascii="Calibri" w:hAnsi="Calibri"/>
          <w:spacing w:val="-4"/>
          <w:sz w:val="20"/>
        </w:rPr>
        <w:t> </w:t>
      </w:r>
      <w:r>
        <w:rPr>
          <w:rFonts w:ascii="Calibri" w:hAnsi="Calibri"/>
          <w:sz w:val="20"/>
        </w:rPr>
        <w:t>la Ley de Cambio Climático y Transición Energética y en la Estrategia de Descarbonización a 2050.</w:t>
      </w:r>
      <w:r>
        <w:rPr>
          <w:rFonts w:ascii="Calibri" w:hAnsi="Calibri"/>
          <w:spacing w:val="-4"/>
          <w:sz w:val="20"/>
        </w:rPr>
        <w:t> </w:t>
      </w:r>
      <w:r>
        <w:rPr>
          <w:rFonts w:ascii="Calibri" w:hAnsi="Calibri"/>
          <w:sz w:val="20"/>
        </w:rPr>
        <w:t>Sin</w:t>
      </w:r>
      <w:r>
        <w:rPr>
          <w:rFonts w:ascii="Calibri" w:hAnsi="Calibri"/>
          <w:spacing w:val="-1"/>
          <w:sz w:val="20"/>
        </w:rPr>
        <w:t> </w:t>
      </w:r>
      <w:r>
        <w:rPr>
          <w:rFonts w:ascii="Calibri" w:hAnsi="Calibri"/>
          <w:sz w:val="20"/>
        </w:rPr>
        <w:t>embargo,</w:t>
      </w:r>
      <w:r>
        <w:rPr>
          <w:rFonts w:ascii="Calibri" w:hAnsi="Calibri"/>
          <w:spacing w:val="-3"/>
          <w:sz w:val="20"/>
        </w:rPr>
        <w:t> </w:t>
      </w:r>
      <w:r>
        <w:rPr>
          <w:rFonts w:ascii="Calibri" w:hAnsi="Calibri"/>
          <w:sz w:val="20"/>
        </w:rPr>
        <w:t>el</w:t>
      </w:r>
      <w:r>
        <w:rPr>
          <w:rFonts w:ascii="Calibri" w:hAnsi="Calibri"/>
          <w:spacing w:val="-2"/>
          <w:sz w:val="20"/>
        </w:rPr>
        <w:t> </w:t>
      </w:r>
      <w:r>
        <w:rPr>
          <w:rFonts w:ascii="Calibri" w:hAnsi="Calibri"/>
          <w:sz w:val="20"/>
        </w:rPr>
        <w:t>Ayuntamiento de</w:t>
      </w:r>
      <w:r>
        <w:rPr>
          <w:rFonts w:ascii="Calibri" w:hAnsi="Calibri"/>
          <w:spacing w:val="-2"/>
          <w:sz w:val="20"/>
        </w:rPr>
        <w:t> </w:t>
      </w:r>
      <w:r>
        <w:rPr>
          <w:rFonts w:ascii="Calibri" w:hAnsi="Calibri"/>
          <w:sz w:val="20"/>
        </w:rPr>
        <w:t>Málaga</w:t>
      </w:r>
      <w:r>
        <w:rPr>
          <w:rFonts w:ascii="Calibri" w:hAnsi="Calibri"/>
          <w:spacing w:val="-1"/>
          <w:sz w:val="20"/>
        </w:rPr>
        <w:t> </w:t>
      </w:r>
      <w:r>
        <w:rPr>
          <w:rFonts w:ascii="Calibri" w:hAnsi="Calibri"/>
          <w:sz w:val="20"/>
        </w:rPr>
        <w:t>ha</w:t>
      </w:r>
      <w:r>
        <w:rPr>
          <w:rFonts w:ascii="Calibri" w:hAnsi="Calibri"/>
          <w:spacing w:val="-1"/>
          <w:sz w:val="20"/>
        </w:rPr>
        <w:t> </w:t>
      </w:r>
      <w:r>
        <w:rPr>
          <w:rFonts w:ascii="Calibri" w:hAnsi="Calibri"/>
          <w:sz w:val="20"/>
        </w:rPr>
        <w:t>adoptado actualmente</w:t>
      </w:r>
      <w:r>
        <w:rPr>
          <w:rFonts w:ascii="Calibri" w:hAnsi="Calibri"/>
          <w:spacing w:val="-2"/>
          <w:sz w:val="20"/>
        </w:rPr>
        <w:t> </w:t>
      </w:r>
      <w:r>
        <w:rPr>
          <w:rFonts w:ascii="Calibri" w:hAnsi="Calibri"/>
          <w:sz w:val="20"/>
        </w:rPr>
        <w:t>un compromiso más ambicioso, trabajando en la elaboración de un Acuerdo Climático que permita su adhesión</w:t>
      </w:r>
      <w:r>
        <w:rPr>
          <w:rFonts w:ascii="Calibri" w:hAnsi="Calibri"/>
          <w:spacing w:val="-2"/>
          <w:sz w:val="20"/>
        </w:rPr>
        <w:t> </w:t>
      </w:r>
      <w:r>
        <w:rPr>
          <w:rFonts w:ascii="Calibri" w:hAnsi="Calibri"/>
          <w:sz w:val="20"/>
        </w:rPr>
        <w:t>a</w:t>
      </w:r>
      <w:r>
        <w:rPr>
          <w:rFonts w:ascii="Calibri" w:hAnsi="Calibri"/>
          <w:spacing w:val="-3"/>
          <w:sz w:val="20"/>
        </w:rPr>
        <w:t> </w:t>
      </w:r>
      <w:r>
        <w:rPr>
          <w:rFonts w:ascii="Calibri" w:hAnsi="Calibri"/>
          <w:sz w:val="20"/>
        </w:rPr>
        <w:t>las</w:t>
      </w:r>
      <w:r>
        <w:rPr>
          <w:rFonts w:ascii="Calibri" w:hAnsi="Calibri"/>
          <w:spacing w:val="-2"/>
          <w:sz w:val="20"/>
        </w:rPr>
        <w:t> </w:t>
      </w:r>
      <w:r>
        <w:rPr>
          <w:rFonts w:ascii="Calibri" w:hAnsi="Calibri"/>
          <w:sz w:val="20"/>
        </w:rPr>
        <w:t>“Misiones</w:t>
      </w:r>
      <w:r>
        <w:rPr>
          <w:rFonts w:ascii="Calibri" w:hAnsi="Calibri"/>
          <w:spacing w:val="-3"/>
          <w:sz w:val="20"/>
        </w:rPr>
        <w:t> </w:t>
      </w:r>
      <w:r>
        <w:rPr>
          <w:rFonts w:ascii="Calibri" w:hAnsi="Calibri"/>
          <w:sz w:val="20"/>
        </w:rPr>
        <w:t>Europeas”,</w:t>
      </w:r>
      <w:r>
        <w:rPr>
          <w:rFonts w:ascii="Calibri" w:hAnsi="Calibri"/>
          <w:spacing w:val="-1"/>
          <w:sz w:val="20"/>
        </w:rPr>
        <w:t> </w:t>
      </w:r>
      <w:r>
        <w:rPr>
          <w:rFonts w:ascii="Calibri" w:hAnsi="Calibri"/>
          <w:sz w:val="20"/>
        </w:rPr>
        <w:t>con</w:t>
      </w:r>
      <w:r>
        <w:rPr>
          <w:rFonts w:ascii="Calibri" w:hAnsi="Calibri"/>
          <w:spacing w:val="-5"/>
          <w:sz w:val="20"/>
        </w:rPr>
        <w:t> </w:t>
      </w:r>
      <w:r>
        <w:rPr>
          <w:rFonts w:ascii="Calibri" w:hAnsi="Calibri"/>
          <w:sz w:val="20"/>
        </w:rPr>
        <w:t>el</w:t>
      </w:r>
      <w:r>
        <w:rPr>
          <w:rFonts w:ascii="Calibri" w:hAnsi="Calibri"/>
          <w:spacing w:val="-6"/>
          <w:sz w:val="20"/>
        </w:rPr>
        <w:t> </w:t>
      </w:r>
      <w:r>
        <w:rPr>
          <w:rFonts w:ascii="Calibri" w:hAnsi="Calibri"/>
          <w:sz w:val="20"/>
        </w:rPr>
        <w:t>objetivo de alcanzar</w:t>
      </w:r>
      <w:r>
        <w:rPr>
          <w:rFonts w:ascii="Calibri" w:hAnsi="Calibri"/>
          <w:spacing w:val="-1"/>
          <w:sz w:val="20"/>
        </w:rPr>
        <w:t> </w:t>
      </w:r>
      <w:r>
        <w:rPr>
          <w:rFonts w:ascii="Calibri" w:hAnsi="Calibri"/>
          <w:sz w:val="20"/>
        </w:rPr>
        <w:t>la</w:t>
      </w:r>
      <w:r>
        <w:rPr>
          <w:rFonts w:ascii="Calibri" w:hAnsi="Calibri"/>
          <w:spacing w:val="-3"/>
          <w:sz w:val="20"/>
        </w:rPr>
        <w:t> </w:t>
      </w:r>
      <w:r>
        <w:rPr>
          <w:rFonts w:ascii="Calibri" w:hAnsi="Calibri"/>
          <w:sz w:val="20"/>
        </w:rPr>
        <w:t>neutralidad</w:t>
      </w:r>
      <w:r>
        <w:rPr>
          <w:rFonts w:ascii="Calibri" w:hAnsi="Calibri"/>
          <w:spacing w:val="-2"/>
          <w:sz w:val="20"/>
        </w:rPr>
        <w:t> </w:t>
      </w:r>
      <w:r>
        <w:rPr>
          <w:rFonts w:ascii="Calibri" w:hAnsi="Calibri"/>
          <w:sz w:val="20"/>
        </w:rPr>
        <w:t>climática</w:t>
      </w:r>
      <w:r>
        <w:rPr>
          <w:rFonts w:ascii="Calibri" w:hAnsi="Calibri"/>
          <w:spacing w:val="-3"/>
          <w:sz w:val="20"/>
        </w:rPr>
        <w:t> </w:t>
      </w:r>
      <w:r>
        <w:rPr>
          <w:rFonts w:ascii="Calibri" w:hAnsi="Calibri"/>
          <w:sz w:val="20"/>
        </w:rPr>
        <w:t>en </w:t>
      </w:r>
      <w:r>
        <w:rPr>
          <w:rFonts w:ascii="Calibri" w:hAnsi="Calibri"/>
          <w:spacing w:val="-2"/>
          <w:sz w:val="20"/>
        </w:rPr>
        <w:t>2030.</w:t>
      </w:r>
    </w:p>
    <w:p>
      <w:pPr>
        <w:pStyle w:val="BodyText"/>
        <w:spacing w:before="215"/>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815" name="Group 1815"/>
                <wp:cNvGraphicFramePr>
                  <a:graphicFrameLocks/>
                </wp:cNvGraphicFramePr>
                <a:graphic>
                  <a:graphicData uri="http://schemas.microsoft.com/office/word/2010/wordprocessingGroup">
                    <wpg:wgp>
                      <wpg:cNvPr id="1815" name="Group 1815"/>
                      <wpg:cNvGrpSpPr/>
                      <wpg:grpSpPr>
                        <a:xfrm>
                          <a:off x="0" y="0"/>
                          <a:ext cx="1870075" cy="6350"/>
                          <a:chExt cx="1870075" cy="6350"/>
                        </a:xfrm>
                      </wpg:grpSpPr>
                      <wps:wsp>
                        <wps:cNvPr id="1816" name="Graphic 1816"/>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329" coordorigin="0,0" coordsize="2945,10">
                <v:rect style="position:absolute;left:0;top:0;width:2945;height:10" id="docshape1330"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817" name="Group 1817"/>
                <wp:cNvGraphicFramePr>
                  <a:graphicFrameLocks/>
                </wp:cNvGraphicFramePr>
                <a:graphic>
                  <a:graphicData uri="http://schemas.microsoft.com/office/word/2010/wordprocessingGroup">
                    <wpg:wgp>
                      <wpg:cNvPr id="1817" name="Group 1817"/>
                      <wpg:cNvGrpSpPr/>
                      <wpg:grpSpPr>
                        <a:xfrm>
                          <a:off x="0" y="0"/>
                          <a:ext cx="841375" cy="6350"/>
                          <a:chExt cx="841375" cy="6350"/>
                        </a:xfrm>
                      </wpg:grpSpPr>
                      <wps:wsp>
                        <wps:cNvPr id="1818" name="Graphic 1818"/>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331" coordorigin="0,0" coordsize="1325,10">
                <v:rect style="position:absolute;left:0;top:0;width:1325;height:10" id="docshape1332"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306"/>
          <w:headerReference w:type="default" r:id="rId307"/>
          <w:footerReference w:type="even" r:id="rId308"/>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38144">
                <wp:simplePos x="0" y="0"/>
                <wp:positionH relativeFrom="page">
                  <wp:posOffset>4332186</wp:posOffset>
                </wp:positionH>
                <wp:positionV relativeFrom="paragraph">
                  <wp:posOffset>1412477</wp:posOffset>
                </wp:positionV>
                <wp:extent cx="53340" cy="100330"/>
                <wp:effectExtent l="0" t="0" r="0" b="0"/>
                <wp:wrapNone/>
                <wp:docPr id="1819" name="Textbox 1819"/>
                <wp:cNvGraphicFramePr>
                  <a:graphicFrameLocks/>
                </wp:cNvGraphicFramePr>
                <a:graphic>
                  <a:graphicData uri="http://schemas.microsoft.com/office/word/2010/wordprocessingShape">
                    <wps:wsp>
                      <wps:cNvPr id="1819" name="Textbox 1819"/>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78336" type="#_x0000_t202" id="docshape1333"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438656">
                <wp:simplePos x="0" y="0"/>
                <wp:positionH relativeFrom="page">
                  <wp:posOffset>2368435</wp:posOffset>
                </wp:positionH>
                <wp:positionV relativeFrom="paragraph">
                  <wp:posOffset>1001164</wp:posOffset>
                </wp:positionV>
                <wp:extent cx="1419225" cy="90170"/>
                <wp:effectExtent l="0" t="0" r="0" b="0"/>
                <wp:wrapNone/>
                <wp:docPr id="1820" name="Graphic 1820"/>
                <wp:cNvGraphicFramePr>
                  <a:graphicFrameLocks/>
                </wp:cNvGraphicFramePr>
                <a:graphic>
                  <a:graphicData uri="http://schemas.microsoft.com/office/word/2010/wordprocessingShape">
                    <wps:wsp>
                      <wps:cNvPr id="1820" name="Graphic 1820"/>
                      <wps:cNvSpPr/>
                      <wps:spPr>
                        <a:xfrm>
                          <a:off x="0" y="0"/>
                          <a:ext cx="1419225" cy="90170"/>
                        </a:xfrm>
                        <a:custGeom>
                          <a:avLst/>
                          <a:gdLst/>
                          <a:ahLst/>
                          <a:cxnLst/>
                          <a:rect l="l" t="t" r="r" b="b"/>
                          <a:pathLst>
                            <a:path w="1419225" h="90170">
                              <a:moveTo>
                                <a:pt x="1419059" y="0"/>
                              </a:moveTo>
                              <a:lnTo>
                                <a:pt x="0" y="0"/>
                              </a:lnTo>
                              <a:lnTo>
                                <a:pt x="0" y="89928"/>
                              </a:lnTo>
                              <a:lnTo>
                                <a:pt x="1419059" y="89928"/>
                              </a:lnTo>
                              <a:lnTo>
                                <a:pt x="141905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86.491pt;margin-top:78.831888pt;width:111.737pt;height:7.081pt;mso-position-horizontal-relative:page;mso-position-vertical-relative:paragraph;z-index:-28877824" id="docshape1334" filled="true" fillcolor="#000000" stroked="false">
                <v:fill type="solid"/>
                <w10:wrap type="none"/>
              </v:rect>
            </w:pict>
          </mc:Fallback>
        </mc:AlternateContent>
      </w:r>
      <w:r>
        <w:rPr>
          <w:sz w:val="16"/>
        </w:rPr>
        <mc:AlternateContent>
          <mc:Choice Requires="wps">
            <w:drawing>
              <wp:anchor distT="0" distB="0" distL="0" distR="0" allowOverlap="1" layoutInCell="1" locked="0" behindDoc="1" simplePos="0" relativeHeight="474439168">
                <wp:simplePos x="0" y="0"/>
                <wp:positionH relativeFrom="page">
                  <wp:posOffset>4371543</wp:posOffset>
                </wp:positionH>
                <wp:positionV relativeFrom="paragraph">
                  <wp:posOffset>1412556</wp:posOffset>
                </wp:positionV>
                <wp:extent cx="1512570" cy="102870"/>
                <wp:effectExtent l="0" t="0" r="0" b="0"/>
                <wp:wrapNone/>
                <wp:docPr id="1821" name="Graphic 1821"/>
                <wp:cNvGraphicFramePr>
                  <a:graphicFrameLocks/>
                </wp:cNvGraphicFramePr>
                <a:graphic>
                  <a:graphicData uri="http://schemas.microsoft.com/office/word/2010/wordprocessingShape">
                    <wps:wsp>
                      <wps:cNvPr id="1821" name="Graphic 1821"/>
                      <wps:cNvSpPr/>
                      <wps:spPr>
                        <a:xfrm>
                          <a:off x="0" y="0"/>
                          <a:ext cx="1512570" cy="102870"/>
                        </a:xfrm>
                        <a:custGeom>
                          <a:avLst/>
                          <a:gdLst/>
                          <a:ahLst/>
                          <a:cxnLst/>
                          <a:rect l="l" t="t" r="r" b="b"/>
                          <a:pathLst>
                            <a:path w="1512570" h="102870">
                              <a:moveTo>
                                <a:pt x="1511998" y="0"/>
                              </a:moveTo>
                              <a:lnTo>
                                <a:pt x="0" y="0"/>
                              </a:lnTo>
                              <a:lnTo>
                                <a:pt x="0" y="102819"/>
                              </a:lnTo>
                              <a:lnTo>
                                <a:pt x="1511998" y="102819"/>
                              </a:lnTo>
                              <a:lnTo>
                                <a:pt x="15119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4.216pt;margin-top:111.224892pt;width:119.055pt;height:8.096pt;mso-position-horizontal-relative:page;mso-position-vertical-relative:paragraph;z-index:-28877312" id="docshape1335" filled="true" fillcolor="#000000" stroked="false">
                <v:fill type="solid"/>
                <w10:wrap type="none"/>
              </v:rect>
            </w:pict>
          </mc:Fallback>
        </mc:AlternateContent>
      </w:r>
      <w:r>
        <w:rPr>
          <w:sz w:val="16"/>
        </w:rPr>
        <w:drawing>
          <wp:anchor distT="0" distB="0" distL="0" distR="0" allowOverlap="1" layoutInCell="1" locked="0" behindDoc="0" simplePos="0" relativeHeight="15901696">
            <wp:simplePos x="0" y="0"/>
            <wp:positionH relativeFrom="page">
              <wp:posOffset>217931</wp:posOffset>
            </wp:positionH>
            <wp:positionV relativeFrom="paragraph">
              <wp:posOffset>1001444</wp:posOffset>
            </wp:positionV>
            <wp:extent cx="1203959" cy="207263"/>
            <wp:effectExtent l="0" t="0" r="0" b="0"/>
            <wp:wrapNone/>
            <wp:docPr id="1822" name="Image 1822"/>
            <wp:cNvGraphicFramePr>
              <a:graphicFrameLocks/>
            </wp:cNvGraphicFramePr>
            <a:graphic>
              <a:graphicData uri="http://schemas.openxmlformats.org/drawingml/2006/picture">
                <pic:pic>
                  <pic:nvPicPr>
                    <pic:cNvPr id="1822" name="Image 1822"/>
                    <pic:cNvPicPr/>
                  </pic:nvPicPr>
                  <pic:blipFill>
                    <a:blip r:embed="rId219" cstate="print"/>
                    <a:stretch>
                      <a:fillRect/>
                    </a:stretch>
                  </pic:blipFill>
                  <pic:spPr>
                    <a:xfrm>
                      <a:off x="0" y="0"/>
                      <a:ext cx="1203959" cy="207263"/>
                    </a:xfrm>
                    <a:prstGeom prst="rect">
                      <a:avLst/>
                    </a:prstGeom>
                  </pic:spPr>
                </pic:pic>
              </a:graphicData>
            </a:graphic>
          </wp:anchor>
        </w:drawing>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823" name="Textbox 1823"/>
                <wp:cNvGraphicFramePr>
                  <a:graphicFrameLocks/>
                </wp:cNvGraphicFramePr>
                <a:graphic>
                  <a:graphicData uri="http://schemas.microsoft.com/office/word/2010/wordprocessingShape">
                    <wps:wsp>
                      <wps:cNvPr id="1823" name="Textbox 1823"/>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824" name="Image 1824"/>
                                        <wp:cNvGraphicFramePr>
                                          <a:graphicFrameLocks/>
                                        </wp:cNvGraphicFramePr>
                                        <a:graphic>
                                          <a:graphicData uri="http://schemas.openxmlformats.org/drawingml/2006/picture">
                                            <pic:pic>
                                              <pic:nvPicPr>
                                                <pic:cNvPr id="1824" name="Image 1824"/>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825" name="Image 1825"/>
                                        <wp:cNvGraphicFramePr>
                                          <a:graphicFrameLocks/>
                                        </wp:cNvGraphicFramePr>
                                        <a:graphic>
                                          <a:graphicData uri="http://schemas.openxmlformats.org/drawingml/2006/picture">
                                            <pic:pic>
                                              <pic:nvPicPr>
                                                <pic:cNvPr id="1825" name="Image 1825"/>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826" name="Image 1826"/>
                                        <wp:cNvGraphicFramePr>
                                          <a:graphicFrameLocks/>
                                        </wp:cNvGraphicFramePr>
                                        <a:graphic>
                                          <a:graphicData uri="http://schemas.openxmlformats.org/drawingml/2006/picture">
                                            <pic:pic>
                                              <pic:nvPicPr>
                                                <pic:cNvPr id="1826" name="Image 1826"/>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827" name="Image 1827"/>
                                        <wp:cNvGraphicFramePr>
                                          <a:graphicFrameLocks/>
                                        </wp:cNvGraphicFramePr>
                                        <a:graphic>
                                          <a:graphicData uri="http://schemas.openxmlformats.org/drawingml/2006/picture">
                                            <pic:pic>
                                              <pic:nvPicPr>
                                                <pic:cNvPr id="1827" name="Image 1827"/>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32/40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828" name="Image 1828"/>
                                        <wp:cNvGraphicFramePr>
                                          <a:graphicFrameLocks/>
                                        </wp:cNvGraphicFramePr>
                                        <a:graphic>
                                          <a:graphicData uri="http://schemas.openxmlformats.org/drawingml/2006/picture">
                                            <pic:pic>
                                              <pic:nvPicPr>
                                                <pic:cNvPr id="1828" name="Image 1828"/>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829" name="Image 1829"/>
                                        <wp:cNvGraphicFramePr>
                                          <a:graphicFrameLocks/>
                                        </wp:cNvGraphicFramePr>
                                        <a:graphic>
                                          <a:graphicData uri="http://schemas.openxmlformats.org/drawingml/2006/picture">
                                            <pic:pic>
                                              <pic:nvPicPr>
                                                <pic:cNvPr id="1829" name="Image 1829"/>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1336"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5109"/>
                        <w:gridCol w:w="1022"/>
                        <w:gridCol w:w="2065"/>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1830" name="Image 1830"/>
                                  <wp:cNvGraphicFramePr>
                                    <a:graphicFrameLocks/>
                                  </wp:cNvGraphicFramePr>
                                  <a:graphic>
                                    <a:graphicData uri="http://schemas.openxmlformats.org/drawingml/2006/picture">
                                      <pic:pic>
                                        <pic:nvPicPr>
                                          <pic:cNvPr id="1830" name="Image 1830"/>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5"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1831" name="Image 1831"/>
                                  <wp:cNvGraphicFramePr>
                                    <a:graphicFrameLocks/>
                                  </wp:cNvGraphicFramePr>
                                  <a:graphic>
                                    <a:graphicData uri="http://schemas.openxmlformats.org/drawingml/2006/picture">
                                      <pic:pic>
                                        <pic:nvPicPr>
                                          <pic:cNvPr id="1831" name="Image 1831"/>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5109"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832" name="Image 1832"/>
                                  <wp:cNvGraphicFramePr>
                                    <a:graphicFrameLocks/>
                                  </wp:cNvGraphicFramePr>
                                  <a:graphic>
                                    <a:graphicData uri="http://schemas.openxmlformats.org/drawingml/2006/picture">
                                      <pic:pic>
                                        <pic:nvPicPr>
                                          <pic:cNvPr id="1832" name="Image 1832"/>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1833" name="Image 1833"/>
                                  <wp:cNvGraphicFramePr>
                                    <a:graphicFrameLocks/>
                                  </wp:cNvGraphicFramePr>
                                  <a:graphic>
                                    <a:graphicData uri="http://schemas.openxmlformats.org/drawingml/2006/picture">
                                      <pic:pic>
                                        <pic:nvPicPr>
                                          <pic:cNvPr id="1833" name="Image 1833"/>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5" w:type="dxa"/>
                            <w:tcBorders>
                              <w:top w:val="single" w:sz="6" w:space="0" w:color="000000"/>
                              <w:left w:val="single" w:sz="6" w:space="0" w:color="000000"/>
                              <w:bottom w:val="single" w:sz="6" w:space="0" w:color="000000"/>
                            </w:tcBorders>
                          </w:tcPr>
                          <w:p>
                            <w:pPr>
                              <w:pStyle w:val="TableParagraph"/>
                              <w:spacing w:line="145" w:lineRule="exact" w:before="39"/>
                              <w:ind w:left="9"/>
                              <w:jc w:val="center"/>
                              <w:rPr>
                                <w:rFonts w:ascii="Arial"/>
                                <w:sz w:val="14"/>
                              </w:rPr>
                            </w:pPr>
                            <w:r>
                              <w:rPr>
                                <w:rFonts w:ascii="Arial"/>
                                <w:spacing w:val="-2"/>
                                <w:sz w:val="14"/>
                              </w:rPr>
                              <w:t>32/40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834" name="Image 1834"/>
                                  <wp:cNvGraphicFramePr>
                                    <a:graphicFrameLocks/>
                                  </wp:cNvGraphicFramePr>
                                  <a:graphic>
                                    <a:graphicData uri="http://schemas.openxmlformats.org/drawingml/2006/picture">
                                      <pic:pic>
                                        <pic:nvPicPr>
                                          <pic:cNvPr id="1834" name="Image 1834"/>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6" w:type="dxa"/>
                            <w:gridSpan w:val="3"/>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835" name="Image 1835"/>
                                  <wp:cNvGraphicFramePr>
                                    <a:graphicFrameLocks/>
                                  </wp:cNvGraphicFramePr>
                                  <a:graphic>
                                    <a:graphicData uri="http://schemas.openxmlformats.org/drawingml/2006/picture">
                                      <pic:pic>
                                        <pic:nvPicPr>
                                          <pic:cNvPr id="1835" name="Image 1835"/>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6" w:type="dxa"/>
                            <w:gridSpan w:val="3"/>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836" name="Group 1836"/>
                <wp:cNvGraphicFramePr>
                  <a:graphicFrameLocks/>
                </wp:cNvGraphicFramePr>
                <a:graphic>
                  <a:graphicData uri="http://schemas.microsoft.com/office/word/2010/wordprocessingGroup">
                    <wpg:wgp>
                      <wpg:cNvPr id="1836" name="Group 1836"/>
                      <wpg:cNvGrpSpPr/>
                      <wpg:grpSpPr>
                        <a:xfrm>
                          <a:off x="0" y="0"/>
                          <a:ext cx="734695" cy="753110"/>
                          <a:chExt cx="734695" cy="753110"/>
                        </a:xfrm>
                      </wpg:grpSpPr>
                      <wps:wsp>
                        <wps:cNvPr id="1837" name="Graphic 1837"/>
                        <wps:cNvSpPr/>
                        <wps:spPr>
                          <a:xfrm>
                            <a:off x="710092" y="749030"/>
                            <a:ext cx="20955" cy="1270"/>
                          </a:xfrm>
                          <a:custGeom>
                            <a:avLst/>
                            <a:gdLst/>
                            <a:ahLst/>
                            <a:cxnLst/>
                            <a:rect l="l" t="t" r="r" b="b"/>
                            <a:pathLst>
                              <a:path w="20955" h="0">
                                <a:moveTo>
                                  <a:pt x="0" y="0"/>
                                </a:moveTo>
                                <a:lnTo>
                                  <a:pt x="20665" y="0"/>
                                </a:lnTo>
                              </a:path>
                            </a:pathLst>
                          </a:custGeom>
                          <a:ln w="7619">
                            <a:solidFill>
                              <a:srgbClr val="000000"/>
                            </a:solidFill>
                            <a:prstDash val="solid"/>
                          </a:ln>
                        </wps:spPr>
                        <wps:bodyPr wrap="square" lIns="0" tIns="0" rIns="0" bIns="0" rtlCol="0">
                          <a:prstTxWarp prst="textNoShape">
                            <a:avLst/>
                          </a:prstTxWarp>
                          <a:noAutofit/>
                        </wps:bodyPr>
                      </wps:wsp>
                      <pic:pic>
                        <pic:nvPicPr>
                          <pic:cNvPr id="1838" name="Image 1838"/>
                          <pic:cNvPicPr/>
                        </pic:nvPicPr>
                        <pic:blipFill>
                          <a:blip r:embed="rId309" cstate="print"/>
                          <a:stretch>
                            <a:fillRect/>
                          </a:stretch>
                        </pic:blipFill>
                        <pic:spPr>
                          <a:xfrm>
                            <a:off x="0" y="0"/>
                            <a:ext cx="734567" cy="749030"/>
                          </a:xfrm>
                          <a:prstGeom prst="rect">
                            <a:avLst/>
                          </a:prstGeom>
                        </pic:spPr>
                      </pic:pic>
                      <wps:wsp>
                        <wps:cNvPr id="1839" name="Graphic 1839"/>
                        <wps:cNvSpPr/>
                        <wps:spPr>
                          <a:xfrm>
                            <a:off x="45529" y="65148"/>
                            <a:ext cx="664845" cy="684530"/>
                          </a:xfrm>
                          <a:custGeom>
                            <a:avLst/>
                            <a:gdLst/>
                            <a:ahLst/>
                            <a:cxnLst/>
                            <a:rect l="l" t="t" r="r" b="b"/>
                            <a:pathLst>
                              <a:path w="664845" h="684530">
                                <a:moveTo>
                                  <a:pt x="664552" y="0"/>
                                </a:moveTo>
                                <a:lnTo>
                                  <a:pt x="0" y="0"/>
                                </a:lnTo>
                                <a:lnTo>
                                  <a:pt x="0" y="684491"/>
                                </a:lnTo>
                                <a:lnTo>
                                  <a:pt x="664552" y="684491"/>
                                </a:lnTo>
                                <a:lnTo>
                                  <a:pt x="664552"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1337" coordorigin="0,0" coordsize="1157,1186">
                <v:line style="position:absolute" from="1118,1180" to="1151,1180" stroked="true" strokeweight=".6pt" strokecolor="#000000">
                  <v:stroke dashstyle="solid"/>
                </v:line>
                <v:shape style="position:absolute;left:0;top:0;width:1157;height:1180" type="#_x0000_t75" id="docshape1338" stroked="false">
                  <v:imagedata r:id="rId309" o:title=""/>
                </v:shape>
                <v:rect style="position:absolute;left:71;top:102;width:1047;height:1078" id="docshape1339"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2251" w:right="2019" w:firstLine="0"/>
        <w:jc w:val="both"/>
        <w:rPr>
          <w:rFonts w:ascii="Calibri" w:hAnsi="Calibri"/>
          <w:sz w:val="20"/>
        </w:rPr>
      </w:pPr>
      <w:r>
        <w:rPr>
          <w:rFonts w:ascii="Calibri" w:hAnsi="Calibri"/>
          <w:sz w:val="20"/>
        </w:rPr>
        <w:t>En coherencia con este compromiso, la E.M.T. está desarrollando un proceso de electrificación progresiva de su flota, con el propósito de que ésta esté compuesta íntegramente por vehículos de cero emisiones antes del año 2030.</w:t>
      </w:r>
    </w:p>
    <w:p>
      <w:pPr>
        <w:spacing w:line="256" w:lineRule="auto" w:before="138"/>
        <w:ind w:left="2251" w:right="2020" w:firstLine="0"/>
        <w:jc w:val="both"/>
        <w:rPr>
          <w:rFonts w:ascii="Calibri" w:hAnsi="Calibri"/>
          <w:sz w:val="20"/>
        </w:rPr>
      </w:pPr>
      <w:r>
        <w:rPr>
          <w:rFonts w:ascii="Calibri" w:hAnsi="Calibri"/>
          <w:sz w:val="20"/>
        </w:rPr>
        <w:t>Por</w:t>
      </w:r>
      <w:r>
        <w:rPr>
          <w:rFonts w:ascii="Calibri" w:hAnsi="Calibri"/>
          <w:spacing w:val="-8"/>
          <w:sz w:val="20"/>
        </w:rPr>
        <w:t> </w:t>
      </w:r>
      <w:r>
        <w:rPr>
          <w:rFonts w:ascii="Calibri" w:hAnsi="Calibri"/>
          <w:sz w:val="20"/>
        </w:rPr>
        <w:t>todo</w:t>
      </w:r>
      <w:r>
        <w:rPr>
          <w:rFonts w:ascii="Calibri" w:hAnsi="Calibri"/>
          <w:spacing w:val="-8"/>
          <w:sz w:val="20"/>
        </w:rPr>
        <w:t> </w:t>
      </w:r>
      <w:r>
        <w:rPr>
          <w:rFonts w:ascii="Calibri" w:hAnsi="Calibri"/>
          <w:sz w:val="20"/>
        </w:rPr>
        <w:t>lo</w:t>
      </w:r>
      <w:r>
        <w:rPr>
          <w:rFonts w:ascii="Calibri" w:hAnsi="Calibri"/>
          <w:spacing w:val="-8"/>
          <w:sz w:val="20"/>
        </w:rPr>
        <w:t> </w:t>
      </w:r>
      <w:r>
        <w:rPr>
          <w:rFonts w:ascii="Calibri" w:hAnsi="Calibri"/>
          <w:sz w:val="20"/>
        </w:rPr>
        <w:t>anterior,</w:t>
      </w:r>
      <w:r>
        <w:rPr>
          <w:rFonts w:ascii="Calibri" w:hAnsi="Calibri"/>
          <w:spacing w:val="-5"/>
          <w:sz w:val="20"/>
        </w:rPr>
        <w:t> </w:t>
      </w:r>
      <w:r>
        <w:rPr>
          <w:rFonts w:ascii="Calibri" w:hAnsi="Calibri"/>
          <w:sz w:val="20"/>
          <w:u w:val="single"/>
        </w:rPr>
        <w:t>se</w:t>
      </w:r>
      <w:r>
        <w:rPr>
          <w:rFonts w:ascii="Calibri" w:hAnsi="Calibri"/>
          <w:spacing w:val="-9"/>
          <w:sz w:val="20"/>
          <w:u w:val="single"/>
        </w:rPr>
        <w:t> </w:t>
      </w:r>
      <w:r>
        <w:rPr>
          <w:rFonts w:ascii="Calibri" w:hAnsi="Calibri"/>
          <w:sz w:val="20"/>
          <w:u w:val="single"/>
        </w:rPr>
        <w:t>solicita</w:t>
      </w:r>
      <w:r>
        <w:rPr>
          <w:rFonts w:ascii="Calibri" w:hAnsi="Calibri"/>
          <w:spacing w:val="-7"/>
          <w:sz w:val="20"/>
          <w:u w:val="single"/>
        </w:rPr>
        <w:t> </w:t>
      </w:r>
      <w:r>
        <w:rPr>
          <w:rFonts w:ascii="Calibri" w:hAnsi="Calibri"/>
          <w:sz w:val="20"/>
          <w:u w:val="single"/>
        </w:rPr>
        <w:t>que</w:t>
      </w:r>
      <w:r>
        <w:rPr>
          <w:rFonts w:ascii="Calibri" w:hAnsi="Calibri"/>
          <w:spacing w:val="-8"/>
          <w:sz w:val="20"/>
          <w:u w:val="single"/>
        </w:rPr>
        <w:t> </w:t>
      </w:r>
      <w:r>
        <w:rPr>
          <w:rFonts w:ascii="Calibri" w:hAnsi="Calibri"/>
          <w:sz w:val="20"/>
          <w:u w:val="single"/>
        </w:rPr>
        <w:t>en</w:t>
      </w:r>
      <w:r>
        <w:rPr>
          <w:rFonts w:ascii="Calibri" w:hAnsi="Calibri"/>
          <w:spacing w:val="-4"/>
          <w:sz w:val="20"/>
          <w:u w:val="single"/>
        </w:rPr>
        <w:t> </w:t>
      </w:r>
      <w:r>
        <w:rPr>
          <w:rFonts w:ascii="Calibri" w:hAnsi="Calibri"/>
          <w:sz w:val="20"/>
          <w:u w:val="single"/>
        </w:rPr>
        <w:t>el</w:t>
      </w:r>
      <w:r>
        <w:rPr>
          <w:rFonts w:ascii="Calibri" w:hAnsi="Calibri"/>
          <w:spacing w:val="-6"/>
          <w:sz w:val="20"/>
          <w:u w:val="single"/>
        </w:rPr>
        <w:t> </w:t>
      </w:r>
      <w:r>
        <w:rPr>
          <w:rFonts w:ascii="Calibri" w:hAnsi="Calibri"/>
          <w:sz w:val="20"/>
          <w:u w:val="single"/>
        </w:rPr>
        <w:t>texto</w:t>
      </w:r>
      <w:r>
        <w:rPr>
          <w:rFonts w:ascii="Calibri" w:hAnsi="Calibri"/>
          <w:spacing w:val="-5"/>
          <w:sz w:val="20"/>
          <w:u w:val="single"/>
        </w:rPr>
        <w:t> </w:t>
      </w:r>
      <w:r>
        <w:rPr>
          <w:rFonts w:ascii="Calibri" w:hAnsi="Calibri"/>
          <w:sz w:val="20"/>
          <w:u w:val="single"/>
        </w:rPr>
        <w:t>definitivo</w:t>
      </w:r>
      <w:r>
        <w:rPr>
          <w:rFonts w:ascii="Calibri" w:hAnsi="Calibri"/>
          <w:spacing w:val="-6"/>
          <w:sz w:val="20"/>
          <w:u w:val="single"/>
        </w:rPr>
        <w:t> </w:t>
      </w:r>
      <w:r>
        <w:rPr>
          <w:rFonts w:ascii="Calibri" w:hAnsi="Calibri"/>
          <w:sz w:val="20"/>
          <w:u w:val="single"/>
        </w:rPr>
        <w:t>del</w:t>
      </w:r>
      <w:r>
        <w:rPr>
          <w:rFonts w:ascii="Calibri" w:hAnsi="Calibri"/>
          <w:spacing w:val="-8"/>
          <w:sz w:val="20"/>
          <w:u w:val="single"/>
        </w:rPr>
        <w:t> </w:t>
      </w:r>
      <w:r>
        <w:rPr>
          <w:rFonts w:ascii="Calibri" w:hAnsi="Calibri"/>
          <w:sz w:val="20"/>
          <w:u w:val="single"/>
        </w:rPr>
        <w:t>informe</w:t>
      </w:r>
      <w:r>
        <w:rPr>
          <w:rFonts w:ascii="Calibri" w:hAnsi="Calibri"/>
          <w:spacing w:val="-5"/>
          <w:sz w:val="20"/>
          <w:u w:val="single"/>
        </w:rPr>
        <w:t> </w:t>
      </w:r>
      <w:r>
        <w:rPr>
          <w:rFonts w:ascii="Calibri" w:hAnsi="Calibri"/>
          <w:sz w:val="20"/>
          <w:u w:val="single"/>
        </w:rPr>
        <w:t>se</w:t>
      </w:r>
      <w:r>
        <w:rPr>
          <w:rFonts w:ascii="Calibri" w:hAnsi="Calibri"/>
          <w:spacing w:val="-7"/>
          <w:sz w:val="20"/>
          <w:u w:val="single"/>
        </w:rPr>
        <w:t> </w:t>
      </w:r>
      <w:r>
        <w:rPr>
          <w:rFonts w:ascii="Calibri" w:hAnsi="Calibri"/>
          <w:sz w:val="20"/>
          <w:u w:val="single"/>
        </w:rPr>
        <w:t>haga</w:t>
      </w:r>
      <w:r>
        <w:rPr>
          <w:rFonts w:ascii="Calibri" w:hAnsi="Calibri"/>
          <w:spacing w:val="-5"/>
          <w:sz w:val="20"/>
          <w:u w:val="single"/>
        </w:rPr>
        <w:t> </w:t>
      </w:r>
      <w:r>
        <w:rPr>
          <w:rFonts w:ascii="Calibri" w:hAnsi="Calibri"/>
          <w:sz w:val="20"/>
          <w:u w:val="single"/>
        </w:rPr>
        <w:t>constar</w:t>
      </w:r>
      <w:r>
        <w:rPr>
          <w:rFonts w:ascii="Calibri" w:hAnsi="Calibri"/>
          <w:spacing w:val="-7"/>
          <w:sz w:val="20"/>
          <w:u w:val="single"/>
        </w:rPr>
        <w:t> </w:t>
      </w:r>
      <w:r>
        <w:rPr>
          <w:rFonts w:ascii="Calibri" w:hAnsi="Calibri"/>
          <w:sz w:val="20"/>
          <w:u w:val="single"/>
        </w:rPr>
        <w:t>que</w:t>
      </w:r>
      <w:r>
        <w:rPr>
          <w:rFonts w:ascii="Calibri" w:hAnsi="Calibri"/>
          <w:spacing w:val="-3"/>
          <w:sz w:val="20"/>
          <w:u w:val="single"/>
        </w:rPr>
        <w:t> </w:t>
      </w:r>
      <w:r>
        <w:rPr>
          <w:rFonts w:ascii="Calibri" w:hAnsi="Calibri"/>
          <w:sz w:val="20"/>
          <w:u w:val="single"/>
        </w:rPr>
        <w:t>el</w:t>
      </w:r>
      <w:r>
        <w:rPr>
          <w:rFonts w:ascii="Calibri" w:hAnsi="Calibri"/>
          <w:sz w:val="20"/>
          <w:u w:val="none"/>
        </w:rPr>
        <w:t> </w:t>
      </w:r>
      <w:r>
        <w:rPr>
          <w:rFonts w:ascii="Calibri" w:hAnsi="Calibri"/>
          <w:sz w:val="20"/>
          <w:u w:val="single"/>
        </w:rPr>
        <w:t>Ayuntamiento de Málaga incluye en sus planes de acción específicos indicadores de</w:t>
      </w:r>
      <w:r>
        <w:rPr>
          <w:rFonts w:ascii="Calibri" w:hAnsi="Calibri"/>
          <w:sz w:val="20"/>
          <w:u w:val="none"/>
        </w:rPr>
        <w:t> </w:t>
      </w:r>
      <w:r>
        <w:rPr>
          <w:rFonts w:ascii="Calibri" w:hAnsi="Calibri"/>
          <w:sz w:val="20"/>
          <w:u w:val="single"/>
        </w:rPr>
        <w:t>seguimiento para valorar</w:t>
      </w:r>
      <w:r>
        <w:rPr>
          <w:rFonts w:ascii="Calibri" w:hAnsi="Calibri"/>
          <w:spacing w:val="-2"/>
          <w:sz w:val="20"/>
          <w:u w:val="single"/>
        </w:rPr>
        <w:t> </w:t>
      </w:r>
      <w:r>
        <w:rPr>
          <w:rFonts w:ascii="Calibri" w:hAnsi="Calibri"/>
          <w:sz w:val="20"/>
          <w:u w:val="single"/>
        </w:rPr>
        <w:t>el grado de cumplimiento de los objetivos generales del PMUS y</w:t>
      </w:r>
      <w:r>
        <w:rPr>
          <w:rFonts w:ascii="Calibri" w:hAnsi="Calibri"/>
          <w:sz w:val="20"/>
          <w:u w:val="none"/>
        </w:rPr>
        <w:t> </w:t>
      </w:r>
      <w:r>
        <w:rPr>
          <w:rFonts w:ascii="Calibri" w:hAnsi="Calibri"/>
          <w:sz w:val="20"/>
          <w:u w:val="single"/>
        </w:rPr>
        <w:t>que, adicionalmente, la ciudad ha asumido metas más ambiciosas orientadas a la</w:t>
      </w:r>
      <w:r>
        <w:rPr>
          <w:rFonts w:ascii="Calibri" w:hAnsi="Calibri"/>
          <w:sz w:val="20"/>
          <w:u w:val="none"/>
        </w:rPr>
        <w:t> </w:t>
      </w:r>
      <w:r>
        <w:rPr>
          <w:rFonts w:ascii="Calibri" w:hAnsi="Calibri"/>
          <w:sz w:val="20"/>
          <w:u w:val="single"/>
        </w:rPr>
        <w:t>neutralidad climática en 2030</w:t>
      </w:r>
      <w:r>
        <w:rPr>
          <w:rFonts w:ascii="Calibri" w:hAnsi="Calibri"/>
          <w:sz w:val="20"/>
          <w:u w:val="none"/>
        </w:rPr>
        <w:t>.</w:t>
      </w:r>
    </w:p>
    <w:p>
      <w:pPr>
        <w:spacing w:line="256" w:lineRule="auto" w:before="148"/>
        <w:ind w:left="2251" w:right="2019" w:firstLine="0"/>
        <w:jc w:val="both"/>
        <w:rPr>
          <w:rFonts w:ascii="Calibri" w:hAnsi="Calibri"/>
          <w:sz w:val="20"/>
        </w:rPr>
      </w:pPr>
      <w:r>
        <w:rPr>
          <w:rFonts w:ascii="Calibri" w:hAnsi="Calibri"/>
          <w:sz w:val="20"/>
        </w:rPr>
        <w:t>Asimismo, se considera oportuno precisar que la utilización de mecanismos contractuales flexibles</w:t>
      </w:r>
      <w:r>
        <w:rPr>
          <w:rFonts w:ascii="Calibri" w:hAnsi="Calibri"/>
          <w:spacing w:val="-10"/>
          <w:sz w:val="20"/>
        </w:rPr>
        <w:t> </w:t>
      </w:r>
      <w:r>
        <w:rPr>
          <w:rFonts w:ascii="Calibri" w:hAnsi="Calibri"/>
          <w:sz w:val="20"/>
        </w:rPr>
        <w:t>en</w:t>
      </w:r>
      <w:r>
        <w:rPr>
          <w:rFonts w:ascii="Calibri" w:hAnsi="Calibri"/>
          <w:spacing w:val="-6"/>
          <w:sz w:val="20"/>
        </w:rPr>
        <w:t> </w:t>
      </w:r>
      <w:r>
        <w:rPr>
          <w:rFonts w:ascii="Calibri" w:hAnsi="Calibri"/>
          <w:sz w:val="20"/>
        </w:rPr>
        <w:t>los</w:t>
      </w:r>
      <w:r>
        <w:rPr>
          <w:rFonts w:ascii="Calibri" w:hAnsi="Calibri"/>
          <w:spacing w:val="-6"/>
          <w:sz w:val="20"/>
        </w:rPr>
        <w:t> </w:t>
      </w:r>
      <w:r>
        <w:rPr>
          <w:rFonts w:ascii="Calibri" w:hAnsi="Calibri"/>
          <w:sz w:val="20"/>
        </w:rPr>
        <w:t>procesos</w:t>
      </w:r>
      <w:r>
        <w:rPr>
          <w:rFonts w:ascii="Calibri" w:hAnsi="Calibri"/>
          <w:spacing w:val="-6"/>
          <w:sz w:val="20"/>
        </w:rPr>
        <w:t> </w:t>
      </w:r>
      <w:r>
        <w:rPr>
          <w:rFonts w:ascii="Calibri" w:hAnsi="Calibri"/>
          <w:sz w:val="20"/>
        </w:rPr>
        <w:t>de</w:t>
      </w:r>
      <w:r>
        <w:rPr>
          <w:rFonts w:ascii="Calibri" w:hAnsi="Calibri"/>
          <w:spacing w:val="-8"/>
          <w:sz w:val="20"/>
        </w:rPr>
        <w:t> </w:t>
      </w:r>
      <w:r>
        <w:rPr>
          <w:rFonts w:ascii="Calibri" w:hAnsi="Calibri"/>
          <w:sz w:val="20"/>
        </w:rPr>
        <w:t>renovación</w:t>
      </w:r>
      <w:r>
        <w:rPr>
          <w:rFonts w:ascii="Calibri" w:hAnsi="Calibri"/>
          <w:spacing w:val="-7"/>
          <w:sz w:val="20"/>
        </w:rPr>
        <w:t> </w:t>
      </w:r>
      <w:r>
        <w:rPr>
          <w:rFonts w:ascii="Calibri" w:hAnsi="Calibri"/>
          <w:sz w:val="20"/>
        </w:rPr>
        <w:t>de</w:t>
      </w:r>
      <w:r>
        <w:rPr>
          <w:rFonts w:ascii="Calibri" w:hAnsi="Calibri"/>
          <w:spacing w:val="-6"/>
          <w:sz w:val="20"/>
        </w:rPr>
        <w:t> </w:t>
      </w:r>
      <w:r>
        <w:rPr>
          <w:rFonts w:ascii="Calibri" w:hAnsi="Calibri"/>
          <w:sz w:val="20"/>
        </w:rPr>
        <w:t>la</w:t>
      </w:r>
      <w:r>
        <w:rPr>
          <w:rFonts w:ascii="Calibri" w:hAnsi="Calibri"/>
          <w:spacing w:val="-7"/>
          <w:sz w:val="20"/>
        </w:rPr>
        <w:t> </w:t>
      </w:r>
      <w:r>
        <w:rPr>
          <w:rFonts w:ascii="Calibri" w:hAnsi="Calibri"/>
          <w:sz w:val="20"/>
        </w:rPr>
        <w:t>flota</w:t>
      </w:r>
      <w:r>
        <w:rPr>
          <w:rFonts w:ascii="Calibri" w:hAnsi="Calibri"/>
          <w:spacing w:val="-7"/>
          <w:sz w:val="20"/>
        </w:rPr>
        <w:t> </w:t>
      </w:r>
      <w:r>
        <w:rPr>
          <w:rFonts w:ascii="Calibri" w:hAnsi="Calibri"/>
          <w:sz w:val="20"/>
        </w:rPr>
        <w:t>no</w:t>
      </w:r>
      <w:r>
        <w:rPr>
          <w:rFonts w:ascii="Calibri" w:hAnsi="Calibri"/>
          <w:spacing w:val="-7"/>
          <w:sz w:val="20"/>
        </w:rPr>
        <w:t> </w:t>
      </w:r>
      <w:r>
        <w:rPr>
          <w:rFonts w:ascii="Calibri" w:hAnsi="Calibri"/>
          <w:sz w:val="20"/>
        </w:rPr>
        <w:t>implica</w:t>
      </w:r>
      <w:r>
        <w:rPr>
          <w:rFonts w:ascii="Calibri" w:hAnsi="Calibri"/>
          <w:spacing w:val="-9"/>
          <w:sz w:val="20"/>
        </w:rPr>
        <w:t> </w:t>
      </w:r>
      <w:r>
        <w:rPr>
          <w:rFonts w:ascii="Calibri" w:hAnsi="Calibri"/>
          <w:sz w:val="20"/>
        </w:rPr>
        <w:t>ausencia</w:t>
      </w:r>
      <w:r>
        <w:rPr>
          <w:rFonts w:ascii="Calibri" w:hAnsi="Calibri"/>
          <w:spacing w:val="-7"/>
          <w:sz w:val="20"/>
        </w:rPr>
        <w:t> </w:t>
      </w:r>
      <w:r>
        <w:rPr>
          <w:rFonts w:ascii="Calibri" w:hAnsi="Calibri"/>
          <w:sz w:val="20"/>
        </w:rPr>
        <w:t>de</w:t>
      </w:r>
      <w:r>
        <w:rPr>
          <w:rFonts w:ascii="Calibri" w:hAnsi="Calibri"/>
          <w:spacing w:val="-9"/>
          <w:sz w:val="20"/>
        </w:rPr>
        <w:t> </w:t>
      </w:r>
      <w:r>
        <w:rPr>
          <w:rFonts w:ascii="Calibri" w:hAnsi="Calibri"/>
          <w:sz w:val="20"/>
        </w:rPr>
        <w:t>planificación,</w:t>
      </w:r>
      <w:r>
        <w:rPr>
          <w:rFonts w:ascii="Calibri" w:hAnsi="Calibri"/>
          <w:spacing w:val="-6"/>
          <w:sz w:val="20"/>
        </w:rPr>
        <w:t> </w:t>
      </w:r>
      <w:r>
        <w:rPr>
          <w:rFonts w:ascii="Calibri" w:hAnsi="Calibri"/>
          <w:sz w:val="20"/>
        </w:rPr>
        <w:t>sino que responde a una estrategia de gestión eficiente y anticipada, amparada por la normativa vigente, que permite adaptar la ejecución de las adquisiciones a la evolución tecnológica y a la disponibilidad de recursos.</w:t>
      </w:r>
    </w:p>
    <w:p>
      <w:pPr>
        <w:pStyle w:val="BodyText"/>
        <w:rPr>
          <w:rFonts w:ascii="Calibri"/>
          <w:sz w:val="20"/>
        </w:rPr>
      </w:pPr>
    </w:p>
    <w:p>
      <w:pPr>
        <w:pStyle w:val="BodyText"/>
        <w:rPr>
          <w:rFonts w:ascii="Calibri"/>
          <w:sz w:val="20"/>
        </w:rPr>
      </w:pPr>
    </w:p>
    <w:p>
      <w:pPr>
        <w:pStyle w:val="BodyText"/>
        <w:spacing w:before="224"/>
        <w:rPr>
          <w:rFonts w:ascii="Calibri"/>
          <w:sz w:val="20"/>
        </w:rPr>
      </w:pPr>
    </w:p>
    <w:p>
      <w:pPr>
        <w:spacing w:line="256" w:lineRule="auto" w:before="1"/>
        <w:ind w:left="2251" w:right="2021" w:hanging="327"/>
        <w:jc w:val="both"/>
        <w:rPr>
          <w:rFonts w:ascii="Calibri" w:hAnsi="Calibri"/>
          <w:i/>
          <w:sz w:val="20"/>
        </w:rPr>
      </w:pPr>
      <w:r>
        <w:rPr>
          <w:rFonts w:ascii="Calibri" w:hAnsi="Calibri"/>
          <w:color w:val="4472C4"/>
          <w:sz w:val="20"/>
        </w:rPr>
        <w:t>-</w:t>
      </w:r>
      <w:r>
        <w:rPr>
          <w:rFonts w:ascii="Calibri" w:hAnsi="Calibri"/>
          <w:color w:val="4472C4"/>
          <w:spacing w:val="80"/>
          <w:sz w:val="20"/>
        </w:rPr>
        <w:t>  </w:t>
      </w:r>
      <w:r>
        <w:rPr>
          <w:rFonts w:ascii="Calibri" w:hAnsi="Calibri"/>
          <w:i/>
          <w:color w:val="4472C4"/>
          <w:sz w:val="20"/>
        </w:rPr>
        <w:t>En las pág 99-100 se pone de manifiesto lo siguiente: “</w:t>
      </w:r>
      <w:r>
        <w:rPr>
          <w:rFonts w:ascii="Calibri" w:hAnsi="Calibri"/>
          <w:i/>
          <w:color w:val="4472C4"/>
          <w:sz w:val="20"/>
          <w:u w:val="single" w:color="4472C4"/>
        </w:rPr>
        <w:t>En la adquisición de autobuses se</w:t>
      </w:r>
      <w:r>
        <w:rPr>
          <w:rFonts w:ascii="Calibri" w:hAnsi="Calibri"/>
          <w:i/>
          <w:color w:val="4472C4"/>
          <w:sz w:val="20"/>
          <w:u w:val="none"/>
        </w:rPr>
        <w:t> </w:t>
      </w:r>
      <w:r>
        <w:rPr>
          <w:rFonts w:ascii="Calibri" w:hAnsi="Calibri"/>
          <w:i/>
          <w:color w:val="4472C4"/>
          <w:sz w:val="20"/>
          <w:u w:val="single" w:color="4472C4"/>
        </w:rPr>
        <w:t>han</w:t>
      </w:r>
      <w:r>
        <w:rPr>
          <w:rFonts w:ascii="Calibri" w:hAnsi="Calibri"/>
          <w:i/>
          <w:color w:val="4472C4"/>
          <w:spacing w:val="18"/>
          <w:sz w:val="20"/>
          <w:u w:val="single" w:color="4472C4"/>
        </w:rPr>
        <w:t> </w:t>
      </w:r>
      <w:r>
        <w:rPr>
          <w:rFonts w:ascii="Calibri" w:hAnsi="Calibri"/>
          <w:i/>
          <w:color w:val="4472C4"/>
          <w:sz w:val="20"/>
          <w:u w:val="single" w:color="4472C4"/>
        </w:rPr>
        <w:t>detectado</w:t>
      </w:r>
      <w:r>
        <w:rPr>
          <w:rFonts w:ascii="Calibri" w:hAnsi="Calibri"/>
          <w:i/>
          <w:color w:val="4472C4"/>
          <w:spacing w:val="15"/>
          <w:sz w:val="20"/>
          <w:u w:val="single" w:color="4472C4"/>
        </w:rPr>
        <w:t> </w:t>
      </w:r>
      <w:r>
        <w:rPr>
          <w:rFonts w:ascii="Calibri" w:hAnsi="Calibri"/>
          <w:i/>
          <w:color w:val="4472C4"/>
          <w:sz w:val="20"/>
          <w:u w:val="single" w:color="4472C4"/>
        </w:rPr>
        <w:t>incidencias: deficiencias</w:t>
      </w:r>
      <w:r>
        <w:rPr>
          <w:rFonts w:ascii="Calibri" w:hAnsi="Calibri"/>
          <w:i/>
          <w:color w:val="4472C4"/>
          <w:spacing w:val="14"/>
          <w:sz w:val="20"/>
          <w:u w:val="single" w:color="4472C4"/>
        </w:rPr>
        <w:t> </w:t>
      </w:r>
      <w:r>
        <w:rPr>
          <w:rFonts w:ascii="Calibri" w:hAnsi="Calibri"/>
          <w:i/>
          <w:color w:val="4472C4"/>
          <w:sz w:val="20"/>
          <w:u w:val="single" w:color="4472C4"/>
        </w:rPr>
        <w:t>en</w:t>
      </w:r>
      <w:r>
        <w:rPr>
          <w:rFonts w:ascii="Calibri" w:hAnsi="Calibri"/>
          <w:i/>
          <w:color w:val="4472C4"/>
          <w:spacing w:val="18"/>
          <w:sz w:val="20"/>
          <w:u w:val="single" w:color="4472C4"/>
        </w:rPr>
        <w:t> </w:t>
      </w:r>
      <w:r>
        <w:rPr>
          <w:rFonts w:ascii="Calibri" w:hAnsi="Calibri"/>
          <w:i/>
          <w:color w:val="4472C4"/>
          <w:sz w:val="20"/>
          <w:u w:val="single" w:color="4472C4"/>
        </w:rPr>
        <w:t>la</w:t>
      </w:r>
      <w:r>
        <w:rPr>
          <w:rFonts w:ascii="Calibri" w:hAnsi="Calibri"/>
          <w:i/>
          <w:color w:val="4472C4"/>
          <w:spacing w:val="14"/>
          <w:sz w:val="20"/>
          <w:u w:val="single" w:color="4472C4"/>
        </w:rPr>
        <w:t> </w:t>
      </w:r>
      <w:r>
        <w:rPr>
          <w:rFonts w:ascii="Calibri" w:hAnsi="Calibri"/>
          <w:i/>
          <w:color w:val="4472C4"/>
          <w:sz w:val="20"/>
          <w:u w:val="single" w:color="4472C4"/>
        </w:rPr>
        <w:t>planificación</w:t>
      </w:r>
      <w:r>
        <w:rPr>
          <w:rFonts w:ascii="Calibri" w:hAnsi="Calibri"/>
          <w:i/>
          <w:color w:val="4472C4"/>
          <w:spacing w:val="20"/>
          <w:sz w:val="20"/>
          <w:u w:val="single" w:color="4472C4"/>
        </w:rPr>
        <w:t> </w:t>
      </w:r>
      <w:r>
        <w:rPr>
          <w:rFonts w:ascii="Calibri" w:hAnsi="Calibri"/>
          <w:i/>
          <w:color w:val="4472C4"/>
          <w:sz w:val="20"/>
          <w:u w:val="single" w:color="4472C4"/>
        </w:rPr>
        <w:t>sobre</w:t>
      </w:r>
      <w:r>
        <w:rPr>
          <w:rFonts w:ascii="Calibri" w:hAnsi="Calibri"/>
          <w:i/>
          <w:color w:val="4472C4"/>
          <w:spacing w:val="18"/>
          <w:sz w:val="20"/>
          <w:u w:val="single" w:color="4472C4"/>
        </w:rPr>
        <w:t> </w:t>
      </w:r>
      <w:r>
        <w:rPr>
          <w:rFonts w:ascii="Calibri" w:hAnsi="Calibri"/>
          <w:i/>
          <w:color w:val="4472C4"/>
          <w:sz w:val="20"/>
          <w:u w:val="single" w:color="4472C4"/>
        </w:rPr>
        <w:t>el</w:t>
      </w:r>
      <w:r>
        <w:rPr>
          <w:rFonts w:ascii="Calibri" w:hAnsi="Calibri"/>
          <w:i/>
          <w:color w:val="4472C4"/>
          <w:spacing w:val="19"/>
          <w:sz w:val="20"/>
          <w:u w:val="single" w:color="4472C4"/>
        </w:rPr>
        <w:t> </w:t>
      </w:r>
      <w:r>
        <w:rPr>
          <w:rFonts w:ascii="Calibri" w:hAnsi="Calibri"/>
          <w:i/>
          <w:color w:val="4472C4"/>
          <w:sz w:val="20"/>
          <w:u w:val="single" w:color="4472C4"/>
        </w:rPr>
        <w:t>número</w:t>
      </w:r>
      <w:r>
        <w:rPr>
          <w:rFonts w:ascii="Calibri" w:hAnsi="Calibri"/>
          <w:i/>
          <w:color w:val="4472C4"/>
          <w:spacing w:val="18"/>
          <w:sz w:val="20"/>
          <w:u w:val="single" w:color="4472C4"/>
        </w:rPr>
        <w:t> </w:t>
      </w:r>
      <w:r>
        <w:rPr>
          <w:rFonts w:ascii="Calibri" w:hAnsi="Calibri"/>
          <w:i/>
          <w:color w:val="4472C4"/>
          <w:sz w:val="20"/>
          <w:u w:val="single" w:color="4472C4"/>
        </w:rPr>
        <w:t>de autobuses</w:t>
      </w:r>
      <w:r>
        <w:rPr>
          <w:rFonts w:ascii="Calibri" w:hAnsi="Calibri"/>
          <w:i/>
          <w:color w:val="4472C4"/>
          <w:sz w:val="20"/>
          <w:u w:val="none"/>
        </w:rPr>
        <w:t> </w:t>
      </w:r>
      <w:r>
        <w:rPr>
          <w:rFonts w:ascii="Calibri" w:hAnsi="Calibri"/>
          <w:i/>
          <w:color w:val="4472C4"/>
          <w:sz w:val="20"/>
          <w:u w:val="single" w:color="4472C4"/>
        </w:rPr>
        <w:t>a adquirir −Ayuntamiento de Málaga. RECOMENDACIÓN 4: Igualmente, el Ayuntamiento</w:t>
      </w:r>
      <w:r>
        <w:rPr>
          <w:rFonts w:ascii="Calibri" w:hAnsi="Calibri"/>
          <w:i/>
          <w:color w:val="4472C4"/>
          <w:sz w:val="20"/>
          <w:u w:val="none"/>
        </w:rPr>
        <w:t> </w:t>
      </w:r>
      <w:r>
        <w:rPr>
          <w:rFonts w:ascii="Calibri" w:hAnsi="Calibri"/>
          <w:i/>
          <w:color w:val="4472C4"/>
          <w:sz w:val="20"/>
          <w:u w:val="single" w:color="4472C4"/>
        </w:rPr>
        <w:t>de Málaga debería fijar con mayor precisión el número de autobuses que tiene previsto</w:t>
      </w:r>
      <w:r>
        <w:rPr>
          <w:rFonts w:ascii="Calibri" w:hAnsi="Calibri"/>
          <w:i/>
          <w:color w:val="4472C4"/>
          <w:sz w:val="20"/>
          <w:u w:val="none"/>
        </w:rPr>
        <w:t> </w:t>
      </w:r>
      <w:r>
        <w:rPr>
          <w:rFonts w:ascii="Calibri" w:hAnsi="Calibri"/>
          <w:i/>
          <w:color w:val="4472C4"/>
          <w:sz w:val="20"/>
          <w:u w:val="single" w:color="4472C4"/>
        </w:rPr>
        <w:t>comprar, máxime cuando la percepción de subvenciones para la financiación de las</w:t>
      </w:r>
      <w:r>
        <w:rPr>
          <w:rFonts w:ascii="Calibri" w:hAnsi="Calibri"/>
          <w:i/>
          <w:color w:val="4472C4"/>
          <w:sz w:val="20"/>
          <w:u w:val="none"/>
        </w:rPr>
        <w:t> </w:t>
      </w:r>
      <w:r>
        <w:rPr>
          <w:rFonts w:ascii="Calibri" w:hAnsi="Calibri"/>
          <w:i/>
          <w:color w:val="4472C4"/>
          <w:sz w:val="20"/>
          <w:u w:val="single" w:color="4472C4"/>
        </w:rPr>
        <w:t>adquisiciones dependa del cumplimiento de los plazos de ejecución estipulados o de la</w:t>
      </w:r>
      <w:r>
        <w:rPr>
          <w:rFonts w:ascii="Calibri" w:hAnsi="Calibri"/>
          <w:i/>
          <w:color w:val="4472C4"/>
          <w:sz w:val="20"/>
          <w:u w:val="none"/>
        </w:rPr>
        <w:t> </w:t>
      </w:r>
      <w:r>
        <w:rPr>
          <w:rFonts w:ascii="Calibri" w:hAnsi="Calibri"/>
          <w:i/>
          <w:color w:val="4472C4"/>
          <w:sz w:val="20"/>
          <w:u w:val="single" w:color="4472C4"/>
        </w:rPr>
        <w:t>concreción del número de vehículos que está previsto adquirir.”</w:t>
      </w:r>
    </w:p>
    <w:p>
      <w:pPr>
        <w:pStyle w:val="BodyText"/>
        <w:rPr>
          <w:rFonts w:ascii="Calibri"/>
          <w:i/>
          <w:sz w:val="20"/>
        </w:rPr>
      </w:pPr>
    </w:p>
    <w:p>
      <w:pPr>
        <w:pStyle w:val="BodyText"/>
        <w:spacing w:before="64"/>
        <w:rPr>
          <w:rFonts w:ascii="Calibri"/>
          <w:i/>
          <w:sz w:val="20"/>
        </w:rPr>
      </w:pPr>
    </w:p>
    <w:p>
      <w:pPr>
        <w:spacing w:line="256" w:lineRule="auto" w:before="0"/>
        <w:ind w:left="2251" w:right="2022" w:firstLine="0"/>
        <w:jc w:val="both"/>
        <w:rPr>
          <w:rFonts w:ascii="Calibri" w:hAnsi="Calibri"/>
          <w:sz w:val="20"/>
        </w:rPr>
      </w:pPr>
      <w:r>
        <w:rPr>
          <w:rFonts w:ascii="Calibri" w:hAnsi="Calibri"/>
          <w:sz w:val="20"/>
        </w:rPr>
        <w:t>En relación con la apreciación efectuada, este Ayuntamiento no comparte la conclusión alcanzada, ya que la adquisición de este tipo de suministros de gran entidad y elevado coste</w:t>
      </w:r>
      <w:r>
        <w:rPr>
          <w:rFonts w:ascii="Calibri" w:hAnsi="Calibri"/>
          <w:spacing w:val="-2"/>
          <w:sz w:val="20"/>
        </w:rPr>
        <w:t> </w:t>
      </w:r>
      <w:r>
        <w:rPr>
          <w:rFonts w:ascii="Calibri" w:hAnsi="Calibri"/>
          <w:sz w:val="20"/>
        </w:rPr>
        <w:t>depende necesariamente de la</w:t>
      </w:r>
      <w:r>
        <w:rPr>
          <w:rFonts w:ascii="Calibri" w:hAnsi="Calibri"/>
          <w:spacing w:val="-2"/>
          <w:sz w:val="20"/>
        </w:rPr>
        <w:t> </w:t>
      </w:r>
      <w:r>
        <w:rPr>
          <w:rFonts w:ascii="Calibri" w:hAnsi="Calibri"/>
          <w:sz w:val="20"/>
        </w:rPr>
        <w:t>disponibilidad</w:t>
      </w:r>
      <w:r>
        <w:rPr>
          <w:rFonts w:ascii="Calibri" w:hAnsi="Calibri"/>
          <w:spacing w:val="-1"/>
          <w:sz w:val="20"/>
        </w:rPr>
        <w:t> </w:t>
      </w:r>
      <w:r>
        <w:rPr>
          <w:rFonts w:ascii="Calibri" w:hAnsi="Calibri"/>
          <w:sz w:val="20"/>
        </w:rPr>
        <w:t>de</w:t>
      </w:r>
      <w:r>
        <w:rPr>
          <w:rFonts w:ascii="Calibri" w:hAnsi="Calibri"/>
          <w:spacing w:val="-2"/>
          <w:sz w:val="20"/>
        </w:rPr>
        <w:t> </w:t>
      </w:r>
      <w:r>
        <w:rPr>
          <w:rFonts w:ascii="Calibri" w:hAnsi="Calibri"/>
          <w:sz w:val="20"/>
        </w:rPr>
        <w:t>financiación,</w:t>
      </w:r>
      <w:r>
        <w:rPr>
          <w:rFonts w:ascii="Calibri" w:hAnsi="Calibri"/>
          <w:spacing w:val="-1"/>
          <w:sz w:val="20"/>
        </w:rPr>
        <w:t> </w:t>
      </w:r>
      <w:r>
        <w:rPr>
          <w:rFonts w:ascii="Calibri" w:hAnsi="Calibri"/>
          <w:sz w:val="20"/>
        </w:rPr>
        <w:t>tanto</w:t>
      </w:r>
      <w:r>
        <w:rPr>
          <w:rFonts w:ascii="Calibri" w:hAnsi="Calibri"/>
          <w:spacing w:val="-2"/>
          <w:sz w:val="20"/>
        </w:rPr>
        <w:t> </w:t>
      </w:r>
      <w:r>
        <w:rPr>
          <w:rFonts w:ascii="Calibri" w:hAnsi="Calibri"/>
          <w:sz w:val="20"/>
        </w:rPr>
        <w:t>municipal</w:t>
      </w:r>
      <w:r>
        <w:rPr>
          <w:rFonts w:ascii="Calibri" w:hAnsi="Calibri"/>
          <w:spacing w:val="-3"/>
          <w:sz w:val="20"/>
        </w:rPr>
        <w:t> </w:t>
      </w:r>
      <w:r>
        <w:rPr>
          <w:rFonts w:ascii="Calibri" w:hAnsi="Calibri"/>
          <w:sz w:val="20"/>
        </w:rPr>
        <w:t>como externa (fondos europeos o estatales).</w:t>
      </w:r>
    </w:p>
    <w:p>
      <w:pPr>
        <w:spacing w:line="256" w:lineRule="auto" w:before="143"/>
        <w:ind w:left="2251" w:right="2023" w:firstLine="0"/>
        <w:jc w:val="both"/>
        <w:rPr>
          <w:rFonts w:ascii="Calibri" w:hAnsi="Calibri"/>
          <w:sz w:val="20"/>
        </w:rPr>
      </w:pPr>
      <w:r>
        <w:rPr>
          <w:rFonts w:ascii="Calibri" w:hAnsi="Calibri"/>
          <w:sz w:val="20"/>
        </w:rPr>
        <w:t>Lejos de reflejar una falta de planificación, los pliegos de contratación elaborados por la Empresa</w:t>
      </w:r>
      <w:r>
        <w:rPr>
          <w:rFonts w:ascii="Calibri" w:hAnsi="Calibri"/>
          <w:spacing w:val="-12"/>
          <w:sz w:val="20"/>
        </w:rPr>
        <w:t> </w:t>
      </w:r>
      <w:r>
        <w:rPr>
          <w:rFonts w:ascii="Calibri" w:hAnsi="Calibri"/>
          <w:sz w:val="20"/>
        </w:rPr>
        <w:t>Malagueña</w:t>
      </w:r>
      <w:r>
        <w:rPr>
          <w:rFonts w:ascii="Calibri" w:hAnsi="Calibri"/>
          <w:spacing w:val="-11"/>
          <w:sz w:val="20"/>
        </w:rPr>
        <w:t> </w:t>
      </w:r>
      <w:r>
        <w:rPr>
          <w:rFonts w:ascii="Calibri" w:hAnsi="Calibri"/>
          <w:sz w:val="20"/>
        </w:rPr>
        <w:t>de</w:t>
      </w:r>
      <w:r>
        <w:rPr>
          <w:rFonts w:ascii="Calibri" w:hAnsi="Calibri"/>
          <w:spacing w:val="-11"/>
          <w:sz w:val="20"/>
        </w:rPr>
        <w:t> </w:t>
      </w:r>
      <w:r>
        <w:rPr>
          <w:rFonts w:ascii="Calibri" w:hAnsi="Calibri"/>
          <w:sz w:val="20"/>
        </w:rPr>
        <w:t>Transportes,</w:t>
      </w:r>
      <w:r>
        <w:rPr>
          <w:rFonts w:ascii="Calibri" w:hAnsi="Calibri"/>
          <w:spacing w:val="-12"/>
          <w:sz w:val="20"/>
        </w:rPr>
        <w:t> </w:t>
      </w:r>
      <w:r>
        <w:rPr>
          <w:rFonts w:ascii="Calibri" w:hAnsi="Calibri"/>
          <w:sz w:val="20"/>
        </w:rPr>
        <w:t>S.A.M.</w:t>
      </w:r>
      <w:r>
        <w:rPr>
          <w:rFonts w:ascii="Calibri" w:hAnsi="Calibri"/>
          <w:spacing w:val="-11"/>
          <w:sz w:val="20"/>
        </w:rPr>
        <w:t> </w:t>
      </w:r>
      <w:r>
        <w:rPr>
          <w:rFonts w:ascii="Calibri" w:hAnsi="Calibri"/>
          <w:sz w:val="20"/>
        </w:rPr>
        <w:t>(EMTSAM)</w:t>
      </w:r>
      <w:r>
        <w:rPr>
          <w:rFonts w:ascii="Calibri" w:hAnsi="Calibri"/>
          <w:spacing w:val="-11"/>
          <w:sz w:val="20"/>
        </w:rPr>
        <w:t> </w:t>
      </w:r>
      <w:r>
        <w:rPr>
          <w:rFonts w:ascii="Calibri" w:hAnsi="Calibri"/>
          <w:sz w:val="20"/>
        </w:rPr>
        <w:t>prevén</w:t>
      </w:r>
      <w:r>
        <w:rPr>
          <w:rFonts w:ascii="Calibri" w:hAnsi="Calibri"/>
          <w:spacing w:val="-12"/>
          <w:sz w:val="20"/>
        </w:rPr>
        <w:t> </w:t>
      </w:r>
      <w:r>
        <w:rPr>
          <w:rFonts w:ascii="Calibri" w:hAnsi="Calibri"/>
          <w:sz w:val="20"/>
        </w:rPr>
        <w:t>expresamente</w:t>
      </w:r>
      <w:r>
        <w:rPr>
          <w:rFonts w:ascii="Calibri" w:hAnsi="Calibri"/>
          <w:spacing w:val="-11"/>
          <w:sz w:val="20"/>
        </w:rPr>
        <w:t> </w:t>
      </w:r>
      <w:r>
        <w:rPr>
          <w:rFonts w:ascii="Calibri" w:hAnsi="Calibri"/>
          <w:sz w:val="20"/>
        </w:rPr>
        <w:t>instrumentos jurídicos como la Disposición Adicional 33ª de la Ley 9/2017, de Contratos del Sector Público (LCSP), precisamente para anticipar y gestionar posibles ampliaciones del número de unidades a adquirir, en función de la financiación finalmente disponible.</w:t>
      </w:r>
    </w:p>
    <w:p>
      <w:pPr>
        <w:spacing w:line="256" w:lineRule="auto" w:before="146"/>
        <w:ind w:left="2251" w:right="2023" w:firstLine="0"/>
        <w:jc w:val="both"/>
        <w:rPr>
          <w:rFonts w:ascii="Calibri" w:hAnsi="Calibri"/>
          <w:sz w:val="20"/>
        </w:rPr>
      </w:pPr>
      <w:r>
        <w:rPr>
          <w:rFonts w:ascii="Calibri" w:hAnsi="Calibri"/>
          <w:sz w:val="20"/>
        </w:rPr>
        <w:t>De</w:t>
      </w:r>
      <w:r>
        <w:rPr>
          <w:rFonts w:ascii="Calibri" w:hAnsi="Calibri"/>
          <w:spacing w:val="-4"/>
          <w:sz w:val="20"/>
        </w:rPr>
        <w:t> </w:t>
      </w:r>
      <w:r>
        <w:rPr>
          <w:rFonts w:ascii="Calibri" w:hAnsi="Calibri"/>
          <w:sz w:val="20"/>
        </w:rPr>
        <w:t>este</w:t>
      </w:r>
      <w:r>
        <w:rPr>
          <w:rFonts w:ascii="Calibri" w:hAnsi="Calibri"/>
          <w:spacing w:val="-6"/>
          <w:sz w:val="20"/>
        </w:rPr>
        <w:t> </w:t>
      </w:r>
      <w:r>
        <w:rPr>
          <w:rFonts w:ascii="Calibri" w:hAnsi="Calibri"/>
          <w:sz w:val="20"/>
        </w:rPr>
        <w:t>modo,</w:t>
      </w:r>
      <w:r>
        <w:rPr>
          <w:rFonts w:ascii="Calibri" w:hAnsi="Calibri"/>
          <w:spacing w:val="-5"/>
          <w:sz w:val="20"/>
        </w:rPr>
        <w:t> </w:t>
      </w:r>
      <w:r>
        <w:rPr>
          <w:rFonts w:ascii="Calibri" w:hAnsi="Calibri"/>
          <w:sz w:val="20"/>
        </w:rPr>
        <w:t>se</w:t>
      </w:r>
      <w:r>
        <w:rPr>
          <w:rFonts w:ascii="Calibri" w:hAnsi="Calibri"/>
          <w:spacing w:val="-5"/>
          <w:sz w:val="20"/>
        </w:rPr>
        <w:t> </w:t>
      </w:r>
      <w:r>
        <w:rPr>
          <w:rFonts w:ascii="Calibri" w:hAnsi="Calibri"/>
          <w:sz w:val="20"/>
        </w:rPr>
        <w:t>logra</w:t>
      </w:r>
      <w:r>
        <w:rPr>
          <w:rFonts w:ascii="Calibri" w:hAnsi="Calibri"/>
          <w:spacing w:val="-5"/>
          <w:sz w:val="20"/>
        </w:rPr>
        <w:t> </w:t>
      </w:r>
      <w:r>
        <w:rPr>
          <w:rFonts w:ascii="Calibri" w:hAnsi="Calibri"/>
          <w:sz w:val="20"/>
        </w:rPr>
        <w:t>una</w:t>
      </w:r>
      <w:r>
        <w:rPr>
          <w:rFonts w:ascii="Calibri" w:hAnsi="Calibri"/>
          <w:spacing w:val="-5"/>
          <w:sz w:val="20"/>
        </w:rPr>
        <w:t> </w:t>
      </w:r>
      <w:r>
        <w:rPr>
          <w:rFonts w:ascii="Calibri" w:hAnsi="Calibri"/>
          <w:sz w:val="20"/>
        </w:rPr>
        <w:t>planificación</w:t>
      </w:r>
      <w:r>
        <w:rPr>
          <w:rFonts w:ascii="Calibri" w:hAnsi="Calibri"/>
          <w:spacing w:val="-4"/>
          <w:sz w:val="20"/>
        </w:rPr>
        <w:t> </w:t>
      </w:r>
      <w:r>
        <w:rPr>
          <w:rFonts w:ascii="Calibri" w:hAnsi="Calibri"/>
          <w:sz w:val="20"/>
        </w:rPr>
        <w:t>prudente</w:t>
      </w:r>
      <w:r>
        <w:rPr>
          <w:rFonts w:ascii="Calibri" w:hAnsi="Calibri"/>
          <w:spacing w:val="-6"/>
          <w:sz w:val="20"/>
        </w:rPr>
        <w:t> </w:t>
      </w:r>
      <w:r>
        <w:rPr>
          <w:rFonts w:ascii="Calibri" w:hAnsi="Calibri"/>
          <w:sz w:val="20"/>
        </w:rPr>
        <w:t>y</w:t>
      </w:r>
      <w:r>
        <w:rPr>
          <w:rFonts w:ascii="Calibri" w:hAnsi="Calibri"/>
          <w:spacing w:val="-1"/>
          <w:sz w:val="20"/>
        </w:rPr>
        <w:t> </w:t>
      </w:r>
      <w:r>
        <w:rPr>
          <w:rFonts w:ascii="Calibri" w:hAnsi="Calibri"/>
          <w:sz w:val="20"/>
        </w:rPr>
        <w:t>adaptable,</w:t>
      </w:r>
      <w:r>
        <w:rPr>
          <w:rFonts w:ascii="Calibri" w:hAnsi="Calibri"/>
          <w:spacing w:val="-4"/>
          <w:sz w:val="20"/>
        </w:rPr>
        <w:t> </w:t>
      </w:r>
      <w:r>
        <w:rPr>
          <w:rFonts w:ascii="Calibri" w:hAnsi="Calibri"/>
          <w:sz w:val="20"/>
        </w:rPr>
        <w:t>que</w:t>
      </w:r>
      <w:r>
        <w:rPr>
          <w:rFonts w:ascii="Calibri" w:hAnsi="Calibri"/>
          <w:spacing w:val="-4"/>
          <w:sz w:val="20"/>
        </w:rPr>
        <w:t> </w:t>
      </w:r>
      <w:r>
        <w:rPr>
          <w:rFonts w:ascii="Calibri" w:hAnsi="Calibri"/>
          <w:sz w:val="20"/>
        </w:rPr>
        <w:t>asegura</w:t>
      </w:r>
      <w:r>
        <w:rPr>
          <w:rFonts w:ascii="Calibri" w:hAnsi="Calibri"/>
          <w:spacing w:val="-5"/>
          <w:sz w:val="20"/>
        </w:rPr>
        <w:t> </w:t>
      </w:r>
      <w:r>
        <w:rPr>
          <w:rFonts w:ascii="Calibri" w:hAnsi="Calibri"/>
          <w:sz w:val="20"/>
        </w:rPr>
        <w:t>la</w:t>
      </w:r>
      <w:r>
        <w:rPr>
          <w:rFonts w:ascii="Calibri" w:hAnsi="Calibri"/>
          <w:spacing w:val="-8"/>
          <w:sz w:val="20"/>
        </w:rPr>
        <w:t> </w:t>
      </w:r>
      <w:r>
        <w:rPr>
          <w:rFonts w:ascii="Calibri" w:hAnsi="Calibri"/>
          <w:sz w:val="20"/>
        </w:rPr>
        <w:t>continuidad del servicio público y el cumplimiento de los objetivos de sostenibilidad y modernización del transporte urbano.</w:t>
      </w:r>
    </w:p>
    <w:p>
      <w:pPr>
        <w:spacing w:line="254" w:lineRule="auto" w:before="147"/>
        <w:ind w:left="2251" w:right="2022" w:firstLine="0"/>
        <w:jc w:val="both"/>
        <w:rPr>
          <w:rFonts w:ascii="Calibri" w:hAnsi="Calibri"/>
          <w:sz w:val="20"/>
        </w:rPr>
      </w:pPr>
      <w:r>
        <w:rPr>
          <w:rFonts w:ascii="Calibri" w:hAnsi="Calibri"/>
          <w:sz w:val="20"/>
        </w:rPr>
        <w:t>En</w:t>
      </w:r>
      <w:r>
        <w:rPr>
          <w:rFonts w:ascii="Calibri" w:hAnsi="Calibri"/>
          <w:spacing w:val="-7"/>
          <w:sz w:val="20"/>
        </w:rPr>
        <w:t> </w:t>
      </w:r>
      <w:r>
        <w:rPr>
          <w:rFonts w:ascii="Calibri" w:hAnsi="Calibri"/>
          <w:sz w:val="20"/>
        </w:rPr>
        <w:t>virtud</w:t>
      </w:r>
      <w:r>
        <w:rPr>
          <w:rFonts w:ascii="Calibri" w:hAnsi="Calibri"/>
          <w:spacing w:val="-6"/>
          <w:sz w:val="20"/>
        </w:rPr>
        <w:t> </w:t>
      </w:r>
      <w:r>
        <w:rPr>
          <w:rFonts w:ascii="Calibri" w:hAnsi="Calibri"/>
          <w:sz w:val="20"/>
        </w:rPr>
        <w:t>de</w:t>
      </w:r>
      <w:r>
        <w:rPr>
          <w:rFonts w:ascii="Calibri" w:hAnsi="Calibri"/>
          <w:spacing w:val="-5"/>
          <w:sz w:val="20"/>
        </w:rPr>
        <w:t> </w:t>
      </w:r>
      <w:r>
        <w:rPr>
          <w:rFonts w:ascii="Calibri" w:hAnsi="Calibri"/>
          <w:sz w:val="20"/>
        </w:rPr>
        <w:t>lo</w:t>
      </w:r>
      <w:r>
        <w:rPr>
          <w:rFonts w:ascii="Calibri" w:hAnsi="Calibri"/>
          <w:spacing w:val="-6"/>
          <w:sz w:val="20"/>
        </w:rPr>
        <w:t> </w:t>
      </w:r>
      <w:r>
        <w:rPr>
          <w:rFonts w:ascii="Calibri" w:hAnsi="Calibri"/>
          <w:sz w:val="20"/>
        </w:rPr>
        <w:t>anterior,</w:t>
      </w:r>
      <w:r>
        <w:rPr>
          <w:rFonts w:ascii="Calibri" w:hAnsi="Calibri"/>
          <w:spacing w:val="-6"/>
          <w:sz w:val="20"/>
        </w:rPr>
        <w:t> </w:t>
      </w:r>
      <w:r>
        <w:rPr>
          <w:rFonts w:ascii="Calibri" w:hAnsi="Calibri"/>
          <w:sz w:val="20"/>
        </w:rPr>
        <w:t>se</w:t>
      </w:r>
      <w:r>
        <w:rPr>
          <w:rFonts w:ascii="Calibri" w:hAnsi="Calibri"/>
          <w:spacing w:val="-6"/>
          <w:sz w:val="20"/>
        </w:rPr>
        <w:t> </w:t>
      </w:r>
      <w:r>
        <w:rPr>
          <w:rFonts w:ascii="Calibri" w:hAnsi="Calibri"/>
          <w:sz w:val="20"/>
        </w:rPr>
        <w:t>solicita</w:t>
      </w:r>
      <w:r>
        <w:rPr>
          <w:rFonts w:ascii="Calibri" w:hAnsi="Calibri"/>
          <w:spacing w:val="-8"/>
          <w:sz w:val="20"/>
        </w:rPr>
        <w:t> </w:t>
      </w:r>
      <w:r>
        <w:rPr>
          <w:rFonts w:ascii="Calibri" w:hAnsi="Calibri"/>
          <w:sz w:val="20"/>
        </w:rPr>
        <w:t>a</w:t>
      </w:r>
      <w:r>
        <w:rPr>
          <w:rFonts w:ascii="Calibri" w:hAnsi="Calibri"/>
          <w:spacing w:val="-11"/>
          <w:sz w:val="20"/>
        </w:rPr>
        <w:t> </w:t>
      </w:r>
      <w:r>
        <w:rPr>
          <w:rFonts w:ascii="Calibri" w:hAnsi="Calibri"/>
          <w:sz w:val="20"/>
        </w:rPr>
        <w:t>este</w:t>
      </w:r>
      <w:r>
        <w:rPr>
          <w:rFonts w:ascii="Calibri" w:hAnsi="Calibri"/>
          <w:spacing w:val="-11"/>
          <w:sz w:val="20"/>
        </w:rPr>
        <w:t> </w:t>
      </w:r>
      <w:r>
        <w:rPr>
          <w:rFonts w:ascii="Calibri" w:hAnsi="Calibri"/>
          <w:sz w:val="20"/>
        </w:rPr>
        <w:t>Tribunal</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Cuentas</w:t>
      </w:r>
      <w:r>
        <w:rPr>
          <w:rFonts w:ascii="Calibri" w:hAnsi="Calibri"/>
          <w:spacing w:val="-5"/>
          <w:sz w:val="20"/>
        </w:rPr>
        <w:t> </w:t>
      </w:r>
      <w:r>
        <w:rPr>
          <w:rFonts w:ascii="Calibri" w:hAnsi="Calibri"/>
          <w:sz w:val="20"/>
        </w:rPr>
        <w:t>que</w:t>
      </w:r>
      <w:r>
        <w:rPr>
          <w:rFonts w:ascii="Calibri" w:hAnsi="Calibri"/>
          <w:spacing w:val="-9"/>
          <w:sz w:val="20"/>
        </w:rPr>
        <w:t> </w:t>
      </w:r>
      <w:r>
        <w:rPr>
          <w:rFonts w:ascii="Calibri" w:hAnsi="Calibri"/>
          <w:sz w:val="20"/>
        </w:rPr>
        <w:t>tenga</w:t>
      </w:r>
      <w:r>
        <w:rPr>
          <w:rFonts w:ascii="Calibri" w:hAnsi="Calibri"/>
          <w:spacing w:val="-9"/>
          <w:sz w:val="20"/>
        </w:rPr>
        <w:t> </w:t>
      </w:r>
      <w:r>
        <w:rPr>
          <w:rFonts w:ascii="Calibri" w:hAnsi="Calibri"/>
          <w:sz w:val="20"/>
        </w:rPr>
        <w:t>por</w:t>
      </w:r>
      <w:r>
        <w:rPr>
          <w:rFonts w:ascii="Calibri" w:hAnsi="Calibri"/>
          <w:spacing w:val="-11"/>
          <w:sz w:val="20"/>
        </w:rPr>
        <w:t> </w:t>
      </w:r>
      <w:r>
        <w:rPr>
          <w:rFonts w:ascii="Calibri" w:hAnsi="Calibri"/>
          <w:sz w:val="20"/>
        </w:rPr>
        <w:t>acreditado</w:t>
      </w:r>
      <w:r>
        <w:rPr>
          <w:rFonts w:ascii="Calibri" w:hAnsi="Calibri"/>
          <w:spacing w:val="-7"/>
          <w:sz w:val="20"/>
        </w:rPr>
        <w:t> </w:t>
      </w:r>
      <w:r>
        <w:rPr>
          <w:rFonts w:ascii="Calibri" w:hAnsi="Calibri"/>
          <w:sz w:val="20"/>
        </w:rPr>
        <w:t>que la</w:t>
      </w:r>
      <w:r>
        <w:rPr>
          <w:rFonts w:ascii="Calibri" w:hAnsi="Calibri"/>
          <w:spacing w:val="66"/>
          <w:sz w:val="20"/>
        </w:rPr>
        <w:t> </w:t>
      </w:r>
      <w:r>
        <w:rPr>
          <w:rFonts w:ascii="Calibri" w:hAnsi="Calibri"/>
          <w:sz w:val="20"/>
        </w:rPr>
        <w:t>adquisición</w:t>
      </w:r>
      <w:r>
        <w:rPr>
          <w:rFonts w:ascii="Calibri" w:hAnsi="Calibri"/>
          <w:spacing w:val="64"/>
          <w:sz w:val="20"/>
        </w:rPr>
        <w:t> </w:t>
      </w:r>
      <w:r>
        <w:rPr>
          <w:rFonts w:ascii="Calibri" w:hAnsi="Calibri"/>
          <w:sz w:val="20"/>
        </w:rPr>
        <w:t>de</w:t>
      </w:r>
      <w:r>
        <w:rPr>
          <w:rFonts w:ascii="Calibri" w:hAnsi="Calibri"/>
          <w:spacing w:val="68"/>
          <w:sz w:val="20"/>
        </w:rPr>
        <w:t> </w:t>
      </w:r>
      <w:r>
        <w:rPr>
          <w:rFonts w:ascii="Calibri" w:hAnsi="Calibri"/>
          <w:sz w:val="20"/>
        </w:rPr>
        <w:t>autobuses</w:t>
      </w:r>
      <w:r>
        <w:rPr>
          <w:rFonts w:ascii="Calibri" w:hAnsi="Calibri"/>
          <w:spacing w:val="67"/>
          <w:sz w:val="20"/>
        </w:rPr>
        <w:t> </w:t>
      </w:r>
      <w:r>
        <w:rPr>
          <w:rFonts w:ascii="Calibri" w:hAnsi="Calibri"/>
          <w:sz w:val="20"/>
        </w:rPr>
        <w:t>por</w:t>
      </w:r>
      <w:r>
        <w:rPr>
          <w:rFonts w:ascii="Calibri" w:hAnsi="Calibri"/>
          <w:spacing w:val="64"/>
          <w:sz w:val="20"/>
        </w:rPr>
        <w:t> </w:t>
      </w:r>
      <w:r>
        <w:rPr>
          <w:rFonts w:ascii="Calibri" w:hAnsi="Calibri"/>
          <w:sz w:val="20"/>
        </w:rPr>
        <w:t>parte</w:t>
      </w:r>
      <w:r>
        <w:rPr>
          <w:rFonts w:ascii="Calibri" w:hAnsi="Calibri"/>
          <w:spacing w:val="65"/>
          <w:sz w:val="20"/>
        </w:rPr>
        <w:t> </w:t>
      </w:r>
      <w:r>
        <w:rPr>
          <w:rFonts w:ascii="Calibri" w:hAnsi="Calibri"/>
          <w:sz w:val="20"/>
        </w:rPr>
        <w:t>del</w:t>
      </w:r>
      <w:r>
        <w:rPr>
          <w:rFonts w:ascii="Calibri" w:hAnsi="Calibri"/>
          <w:spacing w:val="65"/>
          <w:sz w:val="20"/>
        </w:rPr>
        <w:t> </w:t>
      </w:r>
      <w:r>
        <w:rPr>
          <w:rFonts w:ascii="Calibri" w:hAnsi="Calibri"/>
          <w:sz w:val="20"/>
        </w:rPr>
        <w:t>Ayuntamiento</w:t>
      </w:r>
      <w:r>
        <w:rPr>
          <w:rFonts w:ascii="Calibri" w:hAnsi="Calibri"/>
          <w:spacing w:val="66"/>
          <w:sz w:val="20"/>
        </w:rPr>
        <w:t> </w:t>
      </w:r>
      <w:r>
        <w:rPr>
          <w:rFonts w:ascii="Calibri" w:hAnsi="Calibri"/>
          <w:sz w:val="20"/>
        </w:rPr>
        <w:t>de</w:t>
      </w:r>
      <w:r>
        <w:rPr>
          <w:rFonts w:ascii="Calibri" w:hAnsi="Calibri"/>
          <w:spacing w:val="65"/>
          <w:sz w:val="20"/>
        </w:rPr>
        <w:t> </w:t>
      </w:r>
      <w:r>
        <w:rPr>
          <w:rFonts w:ascii="Calibri" w:hAnsi="Calibri"/>
          <w:sz w:val="20"/>
        </w:rPr>
        <w:t>Málaga</w:t>
      </w:r>
      <w:r>
        <w:rPr>
          <w:rFonts w:ascii="Calibri" w:hAnsi="Calibri"/>
          <w:spacing w:val="66"/>
          <w:sz w:val="20"/>
        </w:rPr>
        <w:t> </w:t>
      </w:r>
      <w:r>
        <w:rPr>
          <w:rFonts w:ascii="Calibri" w:hAnsi="Calibri"/>
          <w:sz w:val="20"/>
        </w:rPr>
        <w:t>y</w:t>
      </w:r>
      <w:r>
        <w:rPr>
          <w:rFonts w:ascii="Calibri" w:hAnsi="Calibri"/>
          <w:spacing w:val="64"/>
          <w:sz w:val="20"/>
        </w:rPr>
        <w:t> </w:t>
      </w:r>
      <w:r>
        <w:rPr>
          <w:rFonts w:ascii="Calibri" w:hAnsi="Calibri"/>
          <w:sz w:val="20"/>
        </w:rPr>
        <w:t>la</w:t>
      </w:r>
      <w:r>
        <w:rPr>
          <w:rFonts w:ascii="Calibri" w:hAnsi="Calibri"/>
          <w:spacing w:val="64"/>
          <w:sz w:val="20"/>
        </w:rPr>
        <w:t> </w:t>
      </w:r>
      <w:r>
        <w:rPr>
          <w:rFonts w:ascii="Calibri" w:hAnsi="Calibri"/>
          <w:sz w:val="20"/>
        </w:rPr>
        <w:t>Empresa</w:t>
      </w:r>
    </w:p>
    <w:p>
      <w:pPr>
        <w:pStyle w:val="BodyText"/>
        <w:rPr>
          <w:rFonts w:ascii="Calibri"/>
          <w:sz w:val="20"/>
        </w:rPr>
      </w:pPr>
    </w:p>
    <w:p>
      <w:pPr>
        <w:pStyle w:val="BodyText"/>
        <w:spacing w:before="63"/>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856" name="Group 1856"/>
                <wp:cNvGraphicFramePr>
                  <a:graphicFrameLocks/>
                </wp:cNvGraphicFramePr>
                <a:graphic>
                  <a:graphicData uri="http://schemas.microsoft.com/office/word/2010/wordprocessingGroup">
                    <wpg:wgp>
                      <wpg:cNvPr id="1856" name="Group 1856"/>
                      <wpg:cNvGrpSpPr/>
                      <wpg:grpSpPr>
                        <a:xfrm>
                          <a:off x="0" y="0"/>
                          <a:ext cx="1870075" cy="6350"/>
                          <a:chExt cx="1870075" cy="6350"/>
                        </a:xfrm>
                      </wpg:grpSpPr>
                      <wps:wsp>
                        <wps:cNvPr id="1857" name="Graphic 1857"/>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352" coordorigin="0,0" coordsize="2945,10">
                <v:rect style="position:absolute;left:0;top:0;width:2945;height:10" id="docshape1353"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858" name="Group 1858"/>
                <wp:cNvGraphicFramePr>
                  <a:graphicFrameLocks/>
                </wp:cNvGraphicFramePr>
                <a:graphic>
                  <a:graphicData uri="http://schemas.microsoft.com/office/word/2010/wordprocessingGroup">
                    <wpg:wgp>
                      <wpg:cNvPr id="1858" name="Group 1858"/>
                      <wpg:cNvGrpSpPr/>
                      <wpg:grpSpPr>
                        <a:xfrm>
                          <a:off x="0" y="0"/>
                          <a:ext cx="841375" cy="6350"/>
                          <a:chExt cx="841375" cy="6350"/>
                        </a:xfrm>
                      </wpg:grpSpPr>
                      <wps:wsp>
                        <wps:cNvPr id="1859" name="Graphic 1859"/>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354" coordorigin="0,0" coordsize="1325,10">
                <v:rect style="position:absolute;left:0;top:0;width:1325;height:10" id="docshape1355"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310"/>
          <w:headerReference w:type="even" r:id="rId311"/>
          <w:footerReference w:type="default" r:id="rId312"/>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41728">
                <wp:simplePos x="0" y="0"/>
                <wp:positionH relativeFrom="page">
                  <wp:posOffset>4332186</wp:posOffset>
                </wp:positionH>
                <wp:positionV relativeFrom="paragraph">
                  <wp:posOffset>1412477</wp:posOffset>
                </wp:positionV>
                <wp:extent cx="53340" cy="100330"/>
                <wp:effectExtent l="0" t="0" r="0" b="0"/>
                <wp:wrapNone/>
                <wp:docPr id="1860" name="Textbox 1860"/>
                <wp:cNvGraphicFramePr>
                  <a:graphicFrameLocks/>
                </wp:cNvGraphicFramePr>
                <a:graphic>
                  <a:graphicData uri="http://schemas.microsoft.com/office/word/2010/wordprocessingShape">
                    <wps:wsp>
                      <wps:cNvPr id="1860" name="Textbox 1860"/>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74752" type="#_x0000_t202" id="docshape1356"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442240">
                <wp:simplePos x="0" y="0"/>
                <wp:positionH relativeFrom="page">
                  <wp:posOffset>2378430</wp:posOffset>
                </wp:positionH>
                <wp:positionV relativeFrom="paragraph">
                  <wp:posOffset>996186</wp:posOffset>
                </wp:positionV>
                <wp:extent cx="1604010" cy="120014"/>
                <wp:effectExtent l="0" t="0" r="0" b="0"/>
                <wp:wrapNone/>
                <wp:docPr id="1861" name="Graphic 1861"/>
                <wp:cNvGraphicFramePr>
                  <a:graphicFrameLocks/>
                </wp:cNvGraphicFramePr>
                <a:graphic>
                  <a:graphicData uri="http://schemas.microsoft.com/office/word/2010/wordprocessingShape">
                    <wps:wsp>
                      <wps:cNvPr id="1861" name="Graphic 1861"/>
                      <wps:cNvSpPr/>
                      <wps:spPr>
                        <a:xfrm>
                          <a:off x="0" y="0"/>
                          <a:ext cx="1604010" cy="120014"/>
                        </a:xfrm>
                        <a:custGeom>
                          <a:avLst/>
                          <a:gdLst/>
                          <a:ahLst/>
                          <a:cxnLst/>
                          <a:rect l="l" t="t" r="r" b="b"/>
                          <a:pathLst>
                            <a:path w="1604010" h="120014">
                              <a:moveTo>
                                <a:pt x="1603933" y="19964"/>
                              </a:moveTo>
                              <a:lnTo>
                                <a:pt x="1528991" y="19964"/>
                              </a:lnTo>
                              <a:lnTo>
                                <a:pt x="1528991" y="0"/>
                              </a:lnTo>
                              <a:lnTo>
                                <a:pt x="24980" y="0"/>
                              </a:lnTo>
                              <a:lnTo>
                                <a:pt x="24980" y="19964"/>
                              </a:lnTo>
                              <a:lnTo>
                                <a:pt x="0" y="19964"/>
                              </a:lnTo>
                              <a:lnTo>
                                <a:pt x="0" y="119888"/>
                              </a:lnTo>
                              <a:lnTo>
                                <a:pt x="1603933" y="119888"/>
                              </a:lnTo>
                              <a:lnTo>
                                <a:pt x="1603933" y="1996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87.278015pt;margin-top:78.439888pt;width:126.3pt;height:9.450pt;mso-position-horizontal-relative:page;mso-position-vertical-relative:paragraph;z-index:-28874240" id="docshape1357" coordorigin="3746,1569" coordsize="2526,189" path="m6271,1600l6153,1600,6153,1569,3785,1569,3785,1600,3746,1600,3746,1758,6271,1758,6271,1600xe" filled="true" fillcolor="#000000" stroked="false">
                <v:path arrowok="t"/>
                <v:fill type="solid"/>
                <w10:wrap type="none"/>
              </v:shape>
            </w:pict>
          </mc:Fallback>
        </mc:AlternateContent>
      </w:r>
      <w:r>
        <w:rPr>
          <w:sz w:val="16"/>
        </w:rPr>
        <mc:AlternateContent>
          <mc:Choice Requires="wps">
            <w:drawing>
              <wp:anchor distT="0" distB="0" distL="0" distR="0" allowOverlap="1" layoutInCell="1" locked="0" behindDoc="1" simplePos="0" relativeHeight="474442752">
                <wp:simplePos x="0" y="0"/>
                <wp:positionH relativeFrom="page">
                  <wp:posOffset>4371543</wp:posOffset>
                </wp:positionH>
                <wp:positionV relativeFrom="paragraph">
                  <wp:posOffset>1412568</wp:posOffset>
                </wp:positionV>
                <wp:extent cx="1512570" cy="102870"/>
                <wp:effectExtent l="0" t="0" r="0" b="0"/>
                <wp:wrapNone/>
                <wp:docPr id="1862" name="Graphic 1862"/>
                <wp:cNvGraphicFramePr>
                  <a:graphicFrameLocks/>
                </wp:cNvGraphicFramePr>
                <a:graphic>
                  <a:graphicData uri="http://schemas.microsoft.com/office/word/2010/wordprocessingShape">
                    <wps:wsp>
                      <wps:cNvPr id="1862" name="Graphic 1862"/>
                      <wps:cNvSpPr/>
                      <wps:spPr>
                        <a:xfrm>
                          <a:off x="0" y="0"/>
                          <a:ext cx="1512570" cy="102870"/>
                        </a:xfrm>
                        <a:custGeom>
                          <a:avLst/>
                          <a:gdLst/>
                          <a:ahLst/>
                          <a:cxnLst/>
                          <a:rect l="l" t="t" r="r" b="b"/>
                          <a:pathLst>
                            <a:path w="1512570" h="102870">
                              <a:moveTo>
                                <a:pt x="1511998" y="0"/>
                              </a:moveTo>
                              <a:lnTo>
                                <a:pt x="0" y="0"/>
                              </a:lnTo>
                              <a:lnTo>
                                <a:pt x="0" y="102819"/>
                              </a:lnTo>
                              <a:lnTo>
                                <a:pt x="1511998" y="102819"/>
                              </a:lnTo>
                              <a:lnTo>
                                <a:pt x="15119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4.216pt;margin-top:111.225892pt;width:119.055pt;height:8.096pt;mso-position-horizontal-relative:page;mso-position-vertical-relative:paragraph;z-index:-28873728" id="docshape1358" filled="true" fillcolor="#000000" stroked="false">
                <v:fill type="solid"/>
                <w10:wrap type="none"/>
              </v:rect>
            </w:pict>
          </mc:Fallback>
        </mc:AlternateContent>
      </w:r>
      <w:r>
        <w:rPr>
          <w:sz w:val="16"/>
        </w:rPr>
        <w:drawing>
          <wp:anchor distT="0" distB="0" distL="0" distR="0" allowOverlap="1" layoutInCell="1" locked="0" behindDoc="0" simplePos="0" relativeHeight="15905280">
            <wp:simplePos x="0" y="0"/>
            <wp:positionH relativeFrom="page">
              <wp:posOffset>217931</wp:posOffset>
            </wp:positionH>
            <wp:positionV relativeFrom="paragraph">
              <wp:posOffset>1001444</wp:posOffset>
            </wp:positionV>
            <wp:extent cx="1203959" cy="207263"/>
            <wp:effectExtent l="0" t="0" r="0" b="0"/>
            <wp:wrapNone/>
            <wp:docPr id="1863" name="Image 1863"/>
            <wp:cNvGraphicFramePr>
              <a:graphicFrameLocks/>
            </wp:cNvGraphicFramePr>
            <a:graphic>
              <a:graphicData uri="http://schemas.openxmlformats.org/drawingml/2006/picture">
                <pic:pic>
                  <pic:nvPicPr>
                    <pic:cNvPr id="1863" name="Image 1863"/>
                    <pic:cNvPicPr/>
                  </pic:nvPicPr>
                  <pic:blipFill>
                    <a:blip r:embed="rId179" cstate="print"/>
                    <a:stretch>
                      <a:fillRect/>
                    </a:stretch>
                  </pic:blipFill>
                  <pic:spPr>
                    <a:xfrm>
                      <a:off x="0" y="0"/>
                      <a:ext cx="1203959" cy="207263"/>
                    </a:xfrm>
                    <a:prstGeom prst="rect">
                      <a:avLst/>
                    </a:prstGeom>
                  </pic:spPr>
                </pic:pic>
              </a:graphicData>
            </a:graphic>
          </wp:anchor>
        </w:drawing>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1864" name="Textbox 1864"/>
                <wp:cNvGraphicFramePr>
                  <a:graphicFrameLocks/>
                </wp:cNvGraphicFramePr>
                <a:graphic>
                  <a:graphicData uri="http://schemas.microsoft.com/office/word/2010/wordprocessingShape">
                    <wps:wsp>
                      <wps:cNvPr id="1864" name="Textbox 1864"/>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29"/>
                              <w:gridCol w:w="2525"/>
                              <w:gridCol w:w="1153"/>
                              <w:gridCol w:w="1021"/>
                              <w:gridCol w:w="2064"/>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1429" w:type="dxa"/>
                                  <w:tcBorders>
                                    <w:left w:val="single" w:sz="6" w:space="0" w:color="000000"/>
                                    <w:bottom w:val="single" w:sz="6" w:space="0" w:color="000000"/>
                                    <w:right w:val="nil"/>
                                  </w:tcBorders>
                                </w:tcPr>
                                <w:p>
                                  <w:pPr>
                                    <w:pStyle w:val="TableParagraph"/>
                                    <w:rPr>
                                      <w:rFonts w:ascii="Times New Roman"/>
                                      <w:sz w:val="14"/>
                                    </w:rPr>
                                  </w:pPr>
                                </w:p>
                              </w:tc>
                              <w:tc>
                                <w:tcPr>
                                  <w:tcW w:w="2525" w:type="dxa"/>
                                  <w:tcBorders>
                                    <w:left w:val="nil"/>
                                    <w:bottom w:val="nil"/>
                                    <w:right w:val="nil"/>
                                  </w:tcBorders>
                                </w:tcPr>
                                <w:p>
                                  <w:pPr>
                                    <w:pStyle w:val="TableParagraph"/>
                                    <w:rPr>
                                      <w:rFonts w:ascii="Times New Roman"/>
                                      <w:sz w:val="14"/>
                                    </w:rPr>
                                  </w:pPr>
                                </w:p>
                              </w:tc>
                              <w:tc>
                                <w:tcPr>
                                  <w:tcW w:w="1153" w:type="dxa"/>
                                  <w:tcBorders>
                                    <w:left w:val="nil"/>
                                    <w:bottom w:val="single" w:sz="6" w:space="0" w:color="000000"/>
                                    <w:right w:val="single" w:sz="6" w:space="0" w:color="000000"/>
                                  </w:tcBorders>
                                </w:tcPr>
                                <w:p>
                                  <w:pPr>
                                    <w:pStyle w:val="TableParagraph"/>
                                    <w:rPr>
                                      <w:rFonts w:ascii="Times New Roman"/>
                                      <w:sz w:val="14"/>
                                    </w:rPr>
                                  </w:pPr>
                                </w:p>
                              </w:tc>
                              <w:tc>
                                <w:tcPr>
                                  <w:tcW w:w="1021"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6"/>
                                    <w:rPr>
                                      <w:rFonts w:ascii="Arial"/>
                                      <w:position w:val="-1"/>
                                      <w:sz w:val="10"/>
                                    </w:rPr>
                                  </w:pPr>
                                  <w:r>
                                    <w:rPr>
                                      <w:rFonts w:ascii="Arial"/>
                                      <w:position w:val="-1"/>
                                      <w:sz w:val="10"/>
                                    </w:rPr>
                                    <w:drawing>
                                      <wp:inline distT="0" distB="0" distL="0" distR="0">
                                        <wp:extent cx="266700" cy="66675"/>
                                        <wp:effectExtent l="0" t="0" r="0" b="0"/>
                                        <wp:docPr id="1865" name="Image 1865"/>
                                        <wp:cNvGraphicFramePr>
                                          <a:graphicFrameLocks/>
                                        </wp:cNvGraphicFramePr>
                                        <a:graphic>
                                          <a:graphicData uri="http://schemas.openxmlformats.org/drawingml/2006/picture">
                                            <pic:pic>
                                              <pic:nvPicPr>
                                                <pic:cNvPr id="1865" name="Image 1865"/>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9"/>
                                    <w:rPr>
                                      <w:rFonts w:ascii="Arial"/>
                                      <w:position w:val="-2"/>
                                      <w:sz w:val="13"/>
                                    </w:rPr>
                                  </w:pPr>
                                  <w:r>
                                    <w:rPr>
                                      <w:rFonts w:ascii="Arial"/>
                                      <w:position w:val="-2"/>
                                      <w:sz w:val="13"/>
                                    </w:rPr>
                                    <w:drawing>
                                      <wp:inline distT="0" distB="0" distL="0" distR="0">
                                        <wp:extent cx="498011" cy="85058"/>
                                        <wp:effectExtent l="0" t="0" r="0" b="0"/>
                                        <wp:docPr id="1866" name="Image 1866"/>
                                        <wp:cNvGraphicFramePr>
                                          <a:graphicFrameLocks/>
                                        </wp:cNvGraphicFramePr>
                                        <a:graphic>
                                          <a:graphicData uri="http://schemas.openxmlformats.org/drawingml/2006/picture">
                                            <pic:pic>
                                              <pic:nvPicPr>
                                                <pic:cNvPr id="1866" name="Image 1866"/>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3954" w:type="dxa"/>
                                  <w:gridSpan w:val="2"/>
                                  <w:tcBorders>
                                    <w:top w:val="nil"/>
                                    <w:left w:val="single" w:sz="6" w:space="0" w:color="000000"/>
                                    <w:bottom w:val="single" w:sz="6" w:space="0" w:color="000000"/>
                                    <w:right w:val="nil"/>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153" w:type="dxa"/>
                                  <w:tcBorders>
                                    <w:top w:val="single" w:sz="6" w:space="0" w:color="000000"/>
                                    <w:left w:val="nil"/>
                                    <w:bottom w:val="single" w:sz="6" w:space="0" w:color="000000"/>
                                    <w:right w:val="single" w:sz="6" w:space="0" w:color="000000"/>
                                  </w:tcBorders>
                                </w:tcPr>
                                <w:p>
                                  <w:pPr>
                                    <w:pStyle w:val="TableParagraph"/>
                                    <w:rPr>
                                      <w:rFonts w:ascii="Times New Roman"/>
                                      <w:sz w:val="14"/>
                                    </w:rPr>
                                  </w:pPr>
                                </w:p>
                              </w:tc>
                              <w:tc>
                                <w:tcPr>
                                  <w:tcW w:w="1021"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7"/>
                                    <w:rPr>
                                      <w:rFonts w:ascii="Arial"/>
                                      <w:sz w:val="14"/>
                                    </w:rPr>
                                  </w:pPr>
                                  <w:r>
                                    <w:rPr>
                                      <w:rFonts w:ascii="Arial"/>
                                      <w:spacing w:val="-2"/>
                                      <w:sz w:val="14"/>
                                    </w:rPr>
                                    <w:t>Firmado</w:t>
                                  </w:r>
                                </w:p>
                              </w:tc>
                              <w:tc>
                                <w:tcPr>
                                  <w:tcW w:w="2064" w:type="dxa"/>
                                  <w:tcBorders>
                                    <w:top w:val="single" w:sz="6" w:space="0" w:color="000000"/>
                                    <w:left w:val="single" w:sz="6" w:space="0" w:color="000000"/>
                                    <w:bottom w:val="single" w:sz="6" w:space="0" w:color="000000"/>
                                  </w:tcBorders>
                                </w:tcPr>
                                <w:p>
                                  <w:pPr>
                                    <w:pStyle w:val="TableParagraph"/>
                                    <w:spacing w:line="145" w:lineRule="exact" w:before="39"/>
                                    <w:ind w:left="16"/>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867" name="Image 1867"/>
                                        <wp:cNvGraphicFramePr>
                                          <a:graphicFrameLocks/>
                                        </wp:cNvGraphicFramePr>
                                        <a:graphic>
                                          <a:graphicData uri="http://schemas.openxmlformats.org/drawingml/2006/picture">
                                            <pic:pic>
                                              <pic:nvPicPr>
                                                <pic:cNvPr id="1867" name="Image 1867"/>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7" w:type="dxa"/>
                                  <w:gridSpan w:val="3"/>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1"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6"/>
                                    <w:rPr>
                                      <w:rFonts w:ascii="Arial"/>
                                      <w:position w:val="-2"/>
                                      <w:sz w:val="13"/>
                                    </w:rPr>
                                  </w:pPr>
                                  <w:r>
                                    <w:rPr>
                                      <w:rFonts w:ascii="Arial"/>
                                      <w:position w:val="-2"/>
                                      <w:sz w:val="13"/>
                                    </w:rPr>
                                    <w:drawing>
                                      <wp:inline distT="0" distB="0" distL="0" distR="0">
                                        <wp:extent cx="263096" cy="84010"/>
                                        <wp:effectExtent l="0" t="0" r="0" b="0"/>
                                        <wp:docPr id="1868" name="Image 1868"/>
                                        <wp:cNvGraphicFramePr>
                                          <a:graphicFrameLocks/>
                                        </wp:cNvGraphicFramePr>
                                        <a:graphic>
                                          <a:graphicData uri="http://schemas.openxmlformats.org/drawingml/2006/picture">
                                            <pic:pic>
                                              <pic:nvPicPr>
                                                <pic:cNvPr id="1868" name="Image 1868"/>
                                                <pic:cNvPicPr/>
                                              </pic:nvPicPr>
                                              <pic:blipFill>
                                                <a:blip r:embed="rId185" cstate="print"/>
                                                <a:stretch>
                                                  <a:fillRect/>
                                                </a:stretch>
                                              </pic:blipFill>
                                              <pic:spPr>
                                                <a:xfrm>
                                                  <a:off x="0" y="0"/>
                                                  <a:ext cx="263096" cy="84010"/>
                                                </a:xfrm>
                                                <a:prstGeom prst="rect">
                                                  <a:avLst/>
                                                </a:prstGeom>
                                              </pic:spPr>
                                            </pic:pic>
                                          </a:graphicData>
                                        </a:graphic>
                                      </wp:inline>
                                    </w:drawing>
                                  </w:r>
                                  <w:r>
                                    <w:rPr>
                                      <w:rFonts w:ascii="Arial"/>
                                      <w:position w:val="-2"/>
                                      <w:sz w:val="13"/>
                                    </w:rPr>
                                  </w:r>
                                </w:p>
                              </w:tc>
                              <w:tc>
                                <w:tcPr>
                                  <w:tcW w:w="2064" w:type="dxa"/>
                                  <w:tcBorders>
                                    <w:top w:val="single" w:sz="6" w:space="0" w:color="000000"/>
                                    <w:left w:val="single" w:sz="6" w:space="0" w:color="000000"/>
                                    <w:bottom w:val="single" w:sz="6" w:space="0" w:color="000000"/>
                                  </w:tcBorders>
                                </w:tcPr>
                                <w:p>
                                  <w:pPr>
                                    <w:pStyle w:val="TableParagraph"/>
                                    <w:spacing w:line="145" w:lineRule="exact" w:before="39"/>
                                    <w:ind w:left="16"/>
                                    <w:jc w:val="center"/>
                                    <w:rPr>
                                      <w:rFonts w:ascii="Arial"/>
                                      <w:sz w:val="14"/>
                                    </w:rPr>
                                  </w:pPr>
                                  <w:r>
                                    <w:rPr>
                                      <w:rFonts w:ascii="Arial"/>
                                      <w:spacing w:val="-2"/>
                                      <w:sz w:val="14"/>
                                    </w:rPr>
                                    <w:t>33/40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869" name="Image 1869"/>
                                        <wp:cNvGraphicFramePr>
                                          <a:graphicFrameLocks/>
                                        </wp:cNvGraphicFramePr>
                                        <a:graphic>
                                          <a:graphicData uri="http://schemas.openxmlformats.org/drawingml/2006/picture">
                                            <pic:pic>
                                              <pic:nvPicPr>
                                                <pic:cNvPr id="1869" name="Image 1869"/>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2" w:type="dxa"/>
                                  <w:gridSpan w:val="5"/>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870" name="Image 1870"/>
                                        <wp:cNvGraphicFramePr>
                                          <a:graphicFrameLocks/>
                                        </wp:cNvGraphicFramePr>
                                        <a:graphic>
                                          <a:graphicData uri="http://schemas.openxmlformats.org/drawingml/2006/picture">
                                            <pic:pic>
                                              <pic:nvPicPr>
                                                <pic:cNvPr id="1870" name="Image 1870"/>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2" w:type="dxa"/>
                                  <w:gridSpan w:val="5"/>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1359"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29"/>
                        <w:gridCol w:w="2525"/>
                        <w:gridCol w:w="1153"/>
                        <w:gridCol w:w="1021"/>
                        <w:gridCol w:w="2064"/>
                      </w:tblGrid>
                      <w:tr>
                        <w:trPr>
                          <w:trHeight w:val="209" w:hRule="atLeast"/>
                        </w:trPr>
                        <w:tc>
                          <w:tcPr>
                            <w:tcW w:w="2065" w:type="dxa"/>
                            <w:tcBorders>
                              <w:bottom w:val="single" w:sz="6" w:space="0" w:color="000000"/>
                              <w:right w:val="single" w:sz="6" w:space="0" w:color="000000"/>
                            </w:tcBorders>
                            <w:shd w:val="clear" w:color="auto" w:fill="CCCCCC"/>
                          </w:tcPr>
                          <w:p>
                            <w:pPr>
                              <w:pStyle w:val="TableParagraph"/>
                              <w:rPr>
                                <w:rFonts w:ascii="Times New Roman"/>
                                <w:sz w:val="14"/>
                              </w:rPr>
                            </w:pPr>
                          </w:p>
                        </w:tc>
                        <w:tc>
                          <w:tcPr>
                            <w:tcW w:w="1429" w:type="dxa"/>
                            <w:tcBorders>
                              <w:left w:val="single" w:sz="6" w:space="0" w:color="000000"/>
                              <w:bottom w:val="single" w:sz="6" w:space="0" w:color="000000"/>
                              <w:right w:val="nil"/>
                            </w:tcBorders>
                          </w:tcPr>
                          <w:p>
                            <w:pPr>
                              <w:pStyle w:val="TableParagraph"/>
                              <w:rPr>
                                <w:rFonts w:ascii="Times New Roman"/>
                                <w:sz w:val="14"/>
                              </w:rPr>
                            </w:pPr>
                          </w:p>
                        </w:tc>
                        <w:tc>
                          <w:tcPr>
                            <w:tcW w:w="2525" w:type="dxa"/>
                            <w:tcBorders>
                              <w:left w:val="nil"/>
                              <w:bottom w:val="nil"/>
                              <w:right w:val="nil"/>
                            </w:tcBorders>
                          </w:tcPr>
                          <w:p>
                            <w:pPr>
                              <w:pStyle w:val="TableParagraph"/>
                              <w:rPr>
                                <w:rFonts w:ascii="Times New Roman"/>
                                <w:sz w:val="14"/>
                              </w:rPr>
                            </w:pPr>
                          </w:p>
                        </w:tc>
                        <w:tc>
                          <w:tcPr>
                            <w:tcW w:w="1153" w:type="dxa"/>
                            <w:tcBorders>
                              <w:left w:val="nil"/>
                              <w:bottom w:val="single" w:sz="6" w:space="0" w:color="000000"/>
                              <w:right w:val="single" w:sz="6" w:space="0" w:color="000000"/>
                            </w:tcBorders>
                          </w:tcPr>
                          <w:p>
                            <w:pPr>
                              <w:pStyle w:val="TableParagraph"/>
                              <w:rPr>
                                <w:rFonts w:ascii="Times New Roman"/>
                                <w:sz w:val="14"/>
                              </w:rPr>
                            </w:pPr>
                          </w:p>
                        </w:tc>
                        <w:tc>
                          <w:tcPr>
                            <w:tcW w:w="1021"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6"/>
                              <w:rPr>
                                <w:rFonts w:ascii="Arial"/>
                                <w:position w:val="-1"/>
                                <w:sz w:val="10"/>
                              </w:rPr>
                            </w:pPr>
                            <w:r>
                              <w:rPr>
                                <w:rFonts w:ascii="Arial"/>
                                <w:position w:val="-1"/>
                                <w:sz w:val="10"/>
                              </w:rPr>
                              <w:drawing>
                                <wp:inline distT="0" distB="0" distL="0" distR="0">
                                  <wp:extent cx="266700" cy="66675"/>
                                  <wp:effectExtent l="0" t="0" r="0" b="0"/>
                                  <wp:docPr id="1871" name="Image 1871"/>
                                  <wp:cNvGraphicFramePr>
                                    <a:graphicFrameLocks/>
                                  </wp:cNvGraphicFramePr>
                                  <a:graphic>
                                    <a:graphicData uri="http://schemas.openxmlformats.org/drawingml/2006/picture">
                                      <pic:pic>
                                        <pic:nvPicPr>
                                          <pic:cNvPr id="1871" name="Image 187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9"/>
                              <w:rPr>
                                <w:rFonts w:ascii="Arial"/>
                                <w:position w:val="-2"/>
                                <w:sz w:val="13"/>
                              </w:rPr>
                            </w:pPr>
                            <w:r>
                              <w:rPr>
                                <w:rFonts w:ascii="Arial"/>
                                <w:position w:val="-2"/>
                                <w:sz w:val="13"/>
                              </w:rPr>
                              <w:drawing>
                                <wp:inline distT="0" distB="0" distL="0" distR="0">
                                  <wp:extent cx="498011" cy="85058"/>
                                  <wp:effectExtent l="0" t="0" r="0" b="0"/>
                                  <wp:docPr id="1872" name="Image 1872"/>
                                  <wp:cNvGraphicFramePr>
                                    <a:graphicFrameLocks/>
                                  </wp:cNvGraphicFramePr>
                                  <a:graphic>
                                    <a:graphicData uri="http://schemas.openxmlformats.org/drawingml/2006/picture">
                                      <pic:pic>
                                        <pic:nvPicPr>
                                          <pic:cNvPr id="1872" name="Image 187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rPr>
                                <w:rFonts w:ascii="Times New Roman"/>
                                <w:sz w:val="14"/>
                              </w:rPr>
                            </w:pPr>
                          </w:p>
                        </w:tc>
                        <w:tc>
                          <w:tcPr>
                            <w:tcW w:w="3954" w:type="dxa"/>
                            <w:gridSpan w:val="2"/>
                            <w:tcBorders>
                              <w:top w:val="nil"/>
                              <w:left w:val="single" w:sz="6" w:space="0" w:color="000000"/>
                              <w:bottom w:val="single" w:sz="6" w:space="0" w:color="000000"/>
                              <w:right w:val="nil"/>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153" w:type="dxa"/>
                            <w:tcBorders>
                              <w:top w:val="single" w:sz="6" w:space="0" w:color="000000"/>
                              <w:left w:val="nil"/>
                              <w:bottom w:val="single" w:sz="6" w:space="0" w:color="000000"/>
                              <w:right w:val="single" w:sz="6" w:space="0" w:color="000000"/>
                            </w:tcBorders>
                          </w:tcPr>
                          <w:p>
                            <w:pPr>
                              <w:pStyle w:val="TableParagraph"/>
                              <w:rPr>
                                <w:rFonts w:ascii="Times New Roman"/>
                                <w:sz w:val="14"/>
                              </w:rPr>
                            </w:pPr>
                          </w:p>
                        </w:tc>
                        <w:tc>
                          <w:tcPr>
                            <w:tcW w:w="1021"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7"/>
                              <w:rPr>
                                <w:rFonts w:ascii="Arial"/>
                                <w:sz w:val="14"/>
                              </w:rPr>
                            </w:pPr>
                            <w:r>
                              <w:rPr>
                                <w:rFonts w:ascii="Arial"/>
                                <w:spacing w:val="-2"/>
                                <w:sz w:val="14"/>
                              </w:rPr>
                              <w:t>Firmado</w:t>
                            </w:r>
                          </w:p>
                        </w:tc>
                        <w:tc>
                          <w:tcPr>
                            <w:tcW w:w="2064" w:type="dxa"/>
                            <w:tcBorders>
                              <w:top w:val="single" w:sz="6" w:space="0" w:color="000000"/>
                              <w:left w:val="single" w:sz="6" w:space="0" w:color="000000"/>
                              <w:bottom w:val="single" w:sz="6" w:space="0" w:color="000000"/>
                            </w:tcBorders>
                          </w:tcPr>
                          <w:p>
                            <w:pPr>
                              <w:pStyle w:val="TableParagraph"/>
                              <w:spacing w:line="145" w:lineRule="exact" w:before="39"/>
                              <w:ind w:left="16"/>
                              <w:jc w:val="center"/>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873" name="Image 1873"/>
                                  <wp:cNvGraphicFramePr>
                                    <a:graphicFrameLocks/>
                                  </wp:cNvGraphicFramePr>
                                  <a:graphic>
                                    <a:graphicData uri="http://schemas.openxmlformats.org/drawingml/2006/picture">
                                      <pic:pic>
                                        <pic:nvPicPr>
                                          <pic:cNvPr id="1873" name="Image 187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7" w:type="dxa"/>
                            <w:gridSpan w:val="3"/>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1"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6"/>
                              <w:rPr>
                                <w:rFonts w:ascii="Arial"/>
                                <w:position w:val="-2"/>
                                <w:sz w:val="13"/>
                              </w:rPr>
                            </w:pPr>
                            <w:r>
                              <w:rPr>
                                <w:rFonts w:ascii="Arial"/>
                                <w:position w:val="-2"/>
                                <w:sz w:val="13"/>
                              </w:rPr>
                              <w:drawing>
                                <wp:inline distT="0" distB="0" distL="0" distR="0">
                                  <wp:extent cx="263096" cy="84010"/>
                                  <wp:effectExtent l="0" t="0" r="0" b="0"/>
                                  <wp:docPr id="1874" name="Image 1874"/>
                                  <wp:cNvGraphicFramePr>
                                    <a:graphicFrameLocks/>
                                  </wp:cNvGraphicFramePr>
                                  <a:graphic>
                                    <a:graphicData uri="http://schemas.openxmlformats.org/drawingml/2006/picture">
                                      <pic:pic>
                                        <pic:nvPicPr>
                                          <pic:cNvPr id="1874" name="Image 1874"/>
                                          <pic:cNvPicPr/>
                                        </pic:nvPicPr>
                                        <pic:blipFill>
                                          <a:blip r:embed="rId185" cstate="print"/>
                                          <a:stretch>
                                            <a:fillRect/>
                                          </a:stretch>
                                        </pic:blipFill>
                                        <pic:spPr>
                                          <a:xfrm>
                                            <a:off x="0" y="0"/>
                                            <a:ext cx="263096" cy="84010"/>
                                          </a:xfrm>
                                          <a:prstGeom prst="rect">
                                            <a:avLst/>
                                          </a:prstGeom>
                                        </pic:spPr>
                                      </pic:pic>
                                    </a:graphicData>
                                  </a:graphic>
                                </wp:inline>
                              </w:drawing>
                            </w:r>
                            <w:r>
                              <w:rPr>
                                <w:rFonts w:ascii="Arial"/>
                                <w:position w:val="-2"/>
                                <w:sz w:val="13"/>
                              </w:rPr>
                            </w:r>
                          </w:p>
                        </w:tc>
                        <w:tc>
                          <w:tcPr>
                            <w:tcW w:w="2064" w:type="dxa"/>
                            <w:tcBorders>
                              <w:top w:val="single" w:sz="6" w:space="0" w:color="000000"/>
                              <w:left w:val="single" w:sz="6" w:space="0" w:color="000000"/>
                              <w:bottom w:val="single" w:sz="6" w:space="0" w:color="000000"/>
                            </w:tcBorders>
                          </w:tcPr>
                          <w:p>
                            <w:pPr>
                              <w:pStyle w:val="TableParagraph"/>
                              <w:spacing w:line="145" w:lineRule="exact" w:before="39"/>
                              <w:ind w:left="16"/>
                              <w:jc w:val="center"/>
                              <w:rPr>
                                <w:rFonts w:ascii="Arial"/>
                                <w:sz w:val="14"/>
                              </w:rPr>
                            </w:pPr>
                            <w:r>
                              <w:rPr>
                                <w:rFonts w:ascii="Arial"/>
                                <w:spacing w:val="-2"/>
                                <w:sz w:val="14"/>
                              </w:rPr>
                              <w:t>33/40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875" name="Image 1875"/>
                                  <wp:cNvGraphicFramePr>
                                    <a:graphicFrameLocks/>
                                  </wp:cNvGraphicFramePr>
                                  <a:graphic>
                                    <a:graphicData uri="http://schemas.openxmlformats.org/drawingml/2006/picture">
                                      <pic:pic>
                                        <pic:nvPicPr>
                                          <pic:cNvPr id="1875" name="Image 1875"/>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8192" w:type="dxa"/>
                            <w:gridSpan w:val="5"/>
                            <w:tcBorders>
                              <w:top w:val="single" w:sz="6" w:space="0" w:color="000000"/>
                              <w:left w:val="single" w:sz="6" w:space="0" w:color="000000"/>
                              <w:bottom w:val="single" w:sz="6" w:space="0" w:color="000000"/>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876" name="Image 1876"/>
                                  <wp:cNvGraphicFramePr>
                                    <a:graphicFrameLocks/>
                                  </wp:cNvGraphicFramePr>
                                  <a:graphic>
                                    <a:graphicData uri="http://schemas.openxmlformats.org/drawingml/2006/picture">
                                      <pic:pic>
                                        <pic:nvPicPr>
                                          <pic:cNvPr id="1876" name="Image 1876"/>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2" w:type="dxa"/>
                            <w:gridSpan w:val="5"/>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1877" name="Group 1877"/>
                <wp:cNvGraphicFramePr>
                  <a:graphicFrameLocks/>
                </wp:cNvGraphicFramePr>
                <a:graphic>
                  <a:graphicData uri="http://schemas.microsoft.com/office/word/2010/wordprocessingGroup">
                    <wpg:wgp>
                      <wpg:cNvPr id="1877" name="Group 1877"/>
                      <wpg:cNvGrpSpPr/>
                      <wpg:grpSpPr>
                        <a:xfrm>
                          <a:off x="0" y="0"/>
                          <a:ext cx="734695" cy="753110"/>
                          <a:chExt cx="734695" cy="753110"/>
                        </a:xfrm>
                      </wpg:grpSpPr>
                      <pic:pic>
                        <pic:nvPicPr>
                          <pic:cNvPr id="1878" name="Image 1878"/>
                          <pic:cNvPicPr/>
                        </pic:nvPicPr>
                        <pic:blipFill>
                          <a:blip r:embed="rId197" cstate="print"/>
                          <a:stretch>
                            <a:fillRect/>
                          </a:stretch>
                        </pic:blipFill>
                        <pic:spPr>
                          <a:xfrm>
                            <a:off x="0" y="0"/>
                            <a:ext cx="734552" cy="752855"/>
                          </a:xfrm>
                          <a:prstGeom prst="rect">
                            <a:avLst/>
                          </a:prstGeom>
                        </pic:spPr>
                      </pic:pic>
                      <wps:wsp>
                        <wps:cNvPr id="1879" name="Graphic 1879"/>
                        <wps:cNvSpPr/>
                        <wps:spPr>
                          <a:xfrm>
                            <a:off x="60515" y="50177"/>
                            <a:ext cx="645160" cy="684530"/>
                          </a:xfrm>
                          <a:custGeom>
                            <a:avLst/>
                            <a:gdLst/>
                            <a:ahLst/>
                            <a:cxnLst/>
                            <a:rect l="l" t="t" r="r" b="b"/>
                            <a:pathLst>
                              <a:path w="645160" h="684530">
                                <a:moveTo>
                                  <a:pt x="644575" y="0"/>
                                </a:moveTo>
                                <a:lnTo>
                                  <a:pt x="0" y="0"/>
                                </a:lnTo>
                                <a:lnTo>
                                  <a:pt x="0" y="684491"/>
                                </a:lnTo>
                                <a:lnTo>
                                  <a:pt x="644575" y="684491"/>
                                </a:lnTo>
                                <a:lnTo>
                                  <a:pt x="64457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1360" coordorigin="0,0" coordsize="1157,1186">
                <v:shape style="position:absolute;left:0;top:0;width:1157;height:1186" type="#_x0000_t75" id="docshape1361" stroked="false">
                  <v:imagedata r:id="rId197" o:title=""/>
                </v:shape>
                <v:rect style="position:absolute;left:95;top:79;width:1016;height:1078" id="docshape1362"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2251" w:right="2023" w:firstLine="0"/>
        <w:jc w:val="both"/>
        <w:rPr>
          <w:rFonts w:ascii="Calibri" w:hAnsi="Calibri"/>
          <w:sz w:val="20"/>
        </w:rPr>
      </w:pPr>
      <w:r>
        <w:rPr>
          <w:rFonts w:ascii="Calibri" w:hAnsi="Calibri"/>
          <w:sz w:val="20"/>
        </w:rPr>
        <w:t>Malagueña de Transportes, S.A.M. (EMTSAM), se planifica conforme a criterios de prudencia, previsión y disponibilidad financiera, utilizando instrumentos legales como la Disposición Adicional 33ª de la LCSP para adaptar las adquisiciones a la financiación efectiva procedente de fondos municipales o externos.</w:t>
      </w:r>
    </w:p>
    <w:p>
      <w:pPr>
        <w:spacing w:line="256" w:lineRule="auto" w:before="148"/>
        <w:ind w:left="2251" w:right="2021" w:firstLine="0"/>
        <w:jc w:val="both"/>
        <w:rPr>
          <w:rFonts w:ascii="Calibri" w:hAnsi="Calibri"/>
          <w:sz w:val="20"/>
        </w:rPr>
      </w:pPr>
      <w:r>
        <w:rPr>
          <w:rFonts w:ascii="Calibri" w:hAnsi="Calibri"/>
          <w:sz w:val="20"/>
        </w:rPr>
        <w:t>En consecuencia, al no apreciarse deficiencia alguna de planificación, sino el uso de mecanismos jurídicos previstos expresamente para garantizar la correcta ejecución y gestión del</w:t>
      </w:r>
      <w:r>
        <w:rPr>
          <w:rFonts w:ascii="Calibri" w:hAnsi="Calibri"/>
          <w:spacing w:val="-1"/>
          <w:sz w:val="20"/>
        </w:rPr>
        <w:t> </w:t>
      </w:r>
      <w:r>
        <w:rPr>
          <w:rFonts w:ascii="Calibri" w:hAnsi="Calibri"/>
          <w:sz w:val="20"/>
        </w:rPr>
        <w:t>gasto público, </w:t>
      </w:r>
      <w:r>
        <w:rPr>
          <w:rFonts w:ascii="Calibri" w:hAnsi="Calibri"/>
          <w:sz w:val="20"/>
          <w:u w:val="single"/>
        </w:rPr>
        <w:t>se</w:t>
      </w:r>
      <w:r>
        <w:rPr>
          <w:rFonts w:ascii="Calibri" w:hAnsi="Calibri"/>
          <w:spacing w:val="-2"/>
          <w:sz w:val="20"/>
          <w:u w:val="single"/>
        </w:rPr>
        <w:t> </w:t>
      </w:r>
      <w:r>
        <w:rPr>
          <w:rFonts w:ascii="Calibri" w:hAnsi="Calibri"/>
          <w:sz w:val="20"/>
          <w:u w:val="single"/>
        </w:rPr>
        <w:t>solicita la</w:t>
      </w:r>
      <w:r>
        <w:rPr>
          <w:rFonts w:ascii="Calibri" w:hAnsi="Calibri"/>
          <w:spacing w:val="-2"/>
          <w:sz w:val="20"/>
          <w:u w:val="single"/>
        </w:rPr>
        <w:t> </w:t>
      </w:r>
      <w:r>
        <w:rPr>
          <w:rFonts w:ascii="Calibri" w:hAnsi="Calibri"/>
          <w:sz w:val="20"/>
          <w:u w:val="single"/>
        </w:rPr>
        <w:t>supresión de la observación y la Recomendación</w:t>
      </w:r>
      <w:r>
        <w:rPr>
          <w:rFonts w:ascii="Calibri" w:hAnsi="Calibri"/>
          <w:spacing w:val="-2"/>
          <w:sz w:val="20"/>
          <w:u w:val="single"/>
        </w:rPr>
        <w:t> </w:t>
      </w:r>
      <w:r>
        <w:rPr>
          <w:rFonts w:ascii="Calibri" w:hAnsi="Calibri"/>
          <w:sz w:val="20"/>
          <w:u w:val="single"/>
        </w:rPr>
        <w:t>nº</w:t>
      </w:r>
      <w:r>
        <w:rPr>
          <w:rFonts w:ascii="Calibri" w:hAnsi="Calibri"/>
          <w:sz w:val="20"/>
          <w:u w:val="none"/>
        </w:rPr>
        <w:t> </w:t>
      </w:r>
      <w:r>
        <w:rPr>
          <w:rFonts w:ascii="Calibri" w:hAnsi="Calibri"/>
          <w:sz w:val="20"/>
          <w:u w:val="single"/>
        </w:rPr>
        <w:t>4 del texto definitivo del informe</w:t>
      </w:r>
      <w:r>
        <w:rPr>
          <w:rFonts w:ascii="Calibri" w:hAnsi="Calibri"/>
          <w:sz w:val="20"/>
          <w:u w:val="none"/>
        </w:rPr>
        <w:t>.</w:t>
      </w:r>
    </w:p>
    <w:p>
      <w:pPr>
        <w:pStyle w:val="BodyText"/>
        <w:rPr>
          <w:rFonts w:ascii="Calibri"/>
          <w:sz w:val="20"/>
        </w:rPr>
      </w:pPr>
    </w:p>
    <w:p>
      <w:pPr>
        <w:pStyle w:val="BodyText"/>
        <w:spacing w:before="60"/>
        <w:rPr>
          <w:rFonts w:ascii="Calibri"/>
          <w:sz w:val="20"/>
        </w:rPr>
      </w:pPr>
    </w:p>
    <w:p>
      <w:pPr>
        <w:spacing w:line="256" w:lineRule="auto" w:before="0"/>
        <w:ind w:left="2251" w:right="2021" w:hanging="327"/>
        <w:jc w:val="both"/>
        <w:rPr>
          <w:rFonts w:ascii="Calibri" w:hAnsi="Calibri"/>
          <w:i/>
          <w:sz w:val="20"/>
        </w:rPr>
      </w:pPr>
      <w:r>
        <w:rPr>
          <w:rFonts w:ascii="Calibri" w:hAnsi="Calibri"/>
          <w:color w:val="4472C4"/>
          <w:sz w:val="20"/>
        </w:rPr>
        <w:t>-</w:t>
      </w:r>
      <w:r>
        <w:rPr>
          <w:rFonts w:ascii="Calibri" w:hAnsi="Calibri"/>
          <w:color w:val="4472C4"/>
          <w:spacing w:val="80"/>
          <w:w w:val="150"/>
          <w:sz w:val="20"/>
        </w:rPr>
        <w:t> </w:t>
      </w:r>
      <w:r>
        <w:rPr>
          <w:rFonts w:ascii="Calibri" w:hAnsi="Calibri"/>
          <w:i/>
          <w:color w:val="4472C4"/>
          <w:sz w:val="20"/>
        </w:rPr>
        <w:t>En la pág. 100-101 se hace referencia a lo siguiente: “</w:t>
      </w:r>
      <w:r>
        <w:rPr>
          <w:rFonts w:ascii="Calibri" w:hAnsi="Calibri"/>
          <w:i/>
          <w:color w:val="4472C4"/>
          <w:sz w:val="20"/>
          <w:u w:val="single" w:color="4472C4"/>
        </w:rPr>
        <w:t>Se han detectado incidencias en los</w:t>
      </w:r>
      <w:r>
        <w:rPr>
          <w:rFonts w:ascii="Calibri" w:hAnsi="Calibri"/>
          <w:i/>
          <w:color w:val="4472C4"/>
          <w:sz w:val="20"/>
          <w:u w:val="none"/>
        </w:rPr>
        <w:t> </w:t>
      </w:r>
      <w:r>
        <w:rPr>
          <w:rFonts w:ascii="Calibri" w:hAnsi="Calibri"/>
          <w:i/>
          <w:color w:val="4472C4"/>
          <w:sz w:val="20"/>
          <w:u w:val="single" w:color="4472C4"/>
        </w:rPr>
        <w:t>contratos de obras de los Ayuntamientos de Bilbao, Las Palmas de Gran Canaria, Málaga,</w:t>
      </w:r>
      <w:r>
        <w:rPr>
          <w:rFonts w:ascii="Calibri" w:hAnsi="Calibri"/>
          <w:i/>
          <w:color w:val="4472C4"/>
          <w:sz w:val="20"/>
          <w:u w:val="none"/>
        </w:rPr>
        <w:t> </w:t>
      </w:r>
      <w:r>
        <w:rPr>
          <w:rFonts w:ascii="Calibri" w:hAnsi="Calibri"/>
          <w:i/>
          <w:color w:val="4472C4"/>
          <w:sz w:val="20"/>
          <w:u w:val="single" w:color="4472C4"/>
        </w:rPr>
        <w:t>Murcia, Palma y Sevilla, celebrados bien por estas entidades, sus empresas municipales o</w:t>
      </w:r>
      <w:r>
        <w:rPr>
          <w:rFonts w:ascii="Calibri" w:hAnsi="Calibri"/>
          <w:i/>
          <w:color w:val="4472C4"/>
          <w:sz w:val="20"/>
          <w:u w:val="none"/>
        </w:rPr>
        <w:t> </w:t>
      </w:r>
      <w:r>
        <w:rPr>
          <w:rFonts w:ascii="Calibri" w:hAnsi="Calibri"/>
          <w:i/>
          <w:color w:val="4472C4"/>
          <w:sz w:val="20"/>
          <w:u w:val="single" w:color="4472C4"/>
        </w:rPr>
        <w:t>las empresas concesionarias. En concreto, se han producido demoras y/o ampliaciones de</w:t>
      </w:r>
      <w:r>
        <w:rPr>
          <w:rFonts w:ascii="Calibri" w:hAnsi="Calibri"/>
          <w:i/>
          <w:color w:val="4472C4"/>
          <w:sz w:val="20"/>
          <w:u w:val="none"/>
        </w:rPr>
        <w:t> </w:t>
      </w:r>
      <w:r>
        <w:rPr>
          <w:rFonts w:ascii="Calibri" w:hAnsi="Calibri"/>
          <w:i/>
          <w:color w:val="4472C4"/>
          <w:sz w:val="20"/>
          <w:u w:val="single" w:color="4472C4"/>
        </w:rPr>
        <w:t>plazo</w:t>
      </w:r>
      <w:r>
        <w:rPr>
          <w:rFonts w:ascii="Calibri" w:hAnsi="Calibri"/>
          <w:i/>
          <w:color w:val="4472C4"/>
          <w:spacing w:val="40"/>
          <w:sz w:val="20"/>
          <w:u w:val="single" w:color="4472C4"/>
        </w:rPr>
        <w:t> </w:t>
      </w:r>
      <w:r>
        <w:rPr>
          <w:rFonts w:ascii="Calibri" w:hAnsi="Calibri"/>
          <w:i/>
          <w:color w:val="4472C4"/>
          <w:sz w:val="20"/>
          <w:u w:val="single" w:color="4472C4"/>
        </w:rPr>
        <w:t>en</w:t>
      </w:r>
      <w:r>
        <w:rPr>
          <w:rFonts w:ascii="Calibri" w:hAnsi="Calibri"/>
          <w:i/>
          <w:color w:val="4472C4"/>
          <w:spacing w:val="40"/>
          <w:sz w:val="20"/>
          <w:u w:val="single" w:color="4472C4"/>
        </w:rPr>
        <w:t> </w:t>
      </w:r>
      <w:r>
        <w:rPr>
          <w:rFonts w:ascii="Calibri" w:hAnsi="Calibri"/>
          <w:i/>
          <w:color w:val="4472C4"/>
          <w:sz w:val="20"/>
          <w:u w:val="single" w:color="4472C4"/>
        </w:rPr>
        <w:t>la</w:t>
      </w:r>
      <w:r>
        <w:rPr>
          <w:rFonts w:ascii="Calibri" w:hAnsi="Calibri"/>
          <w:i/>
          <w:color w:val="4472C4"/>
          <w:spacing w:val="40"/>
          <w:sz w:val="20"/>
          <w:u w:val="single" w:color="4472C4"/>
        </w:rPr>
        <w:t> </w:t>
      </w:r>
      <w:r>
        <w:rPr>
          <w:rFonts w:ascii="Calibri" w:hAnsi="Calibri"/>
          <w:i/>
          <w:color w:val="4472C4"/>
          <w:sz w:val="20"/>
          <w:u w:val="single" w:color="4472C4"/>
        </w:rPr>
        <w:t>ejecución</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algunas</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las</w:t>
      </w:r>
      <w:r>
        <w:rPr>
          <w:rFonts w:ascii="Calibri" w:hAnsi="Calibri"/>
          <w:i/>
          <w:color w:val="4472C4"/>
          <w:spacing w:val="40"/>
          <w:sz w:val="20"/>
          <w:u w:val="single" w:color="4472C4"/>
        </w:rPr>
        <w:t> </w:t>
      </w:r>
      <w:r>
        <w:rPr>
          <w:rFonts w:ascii="Calibri" w:hAnsi="Calibri"/>
          <w:i/>
          <w:color w:val="4472C4"/>
          <w:sz w:val="20"/>
          <w:u w:val="single" w:color="4472C4"/>
        </w:rPr>
        <w:t>obras</w:t>
      </w:r>
      <w:r>
        <w:rPr>
          <w:rFonts w:ascii="Calibri" w:hAnsi="Calibri"/>
          <w:i/>
          <w:color w:val="4472C4"/>
          <w:spacing w:val="40"/>
          <w:sz w:val="20"/>
          <w:u w:val="single" w:color="4472C4"/>
        </w:rPr>
        <w:t> </w:t>
      </w:r>
      <w:r>
        <w:rPr>
          <w:rFonts w:ascii="Calibri" w:hAnsi="Calibri"/>
          <w:i/>
          <w:color w:val="4472C4"/>
          <w:sz w:val="20"/>
          <w:u w:val="single" w:color="4472C4"/>
        </w:rPr>
        <w:t>ejecutadas</w:t>
      </w:r>
      <w:r>
        <w:rPr>
          <w:rFonts w:ascii="Calibri" w:hAnsi="Calibri"/>
          <w:i/>
          <w:color w:val="4472C4"/>
          <w:spacing w:val="40"/>
          <w:sz w:val="20"/>
          <w:u w:val="single" w:color="4472C4"/>
        </w:rPr>
        <w:t> </w:t>
      </w:r>
      <w:r>
        <w:rPr>
          <w:rFonts w:ascii="Calibri" w:hAnsi="Calibri"/>
          <w:i/>
          <w:color w:val="4472C4"/>
          <w:sz w:val="20"/>
          <w:u w:val="single" w:color="4472C4"/>
        </w:rPr>
        <w:t>por</w:t>
      </w:r>
      <w:r>
        <w:rPr>
          <w:rFonts w:ascii="Calibri" w:hAnsi="Calibri"/>
          <w:i/>
          <w:color w:val="4472C4"/>
          <w:spacing w:val="40"/>
          <w:sz w:val="20"/>
          <w:u w:val="single" w:color="4472C4"/>
        </w:rPr>
        <w:t> </w:t>
      </w:r>
      <w:r>
        <w:rPr>
          <w:rFonts w:ascii="Calibri" w:hAnsi="Calibri"/>
          <w:i/>
          <w:color w:val="4472C4"/>
          <w:sz w:val="20"/>
          <w:u w:val="single" w:color="4472C4"/>
        </w:rPr>
        <w:t>los</w:t>
      </w:r>
      <w:r>
        <w:rPr>
          <w:rFonts w:ascii="Calibri" w:hAnsi="Calibri"/>
          <w:i/>
          <w:color w:val="4472C4"/>
          <w:spacing w:val="40"/>
          <w:sz w:val="20"/>
          <w:u w:val="single" w:color="4472C4"/>
        </w:rPr>
        <w:t> </w:t>
      </w:r>
      <w:r>
        <w:rPr>
          <w:rFonts w:ascii="Calibri" w:hAnsi="Calibri"/>
          <w:i/>
          <w:color w:val="4472C4"/>
          <w:sz w:val="20"/>
          <w:u w:val="single" w:color="4472C4"/>
        </w:rPr>
        <w:t>Ayuntamientos</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z w:val="20"/>
          <w:u w:val="none"/>
        </w:rPr>
        <w:t> </w:t>
      </w:r>
      <w:r>
        <w:rPr>
          <w:rFonts w:ascii="Calibri" w:hAnsi="Calibri"/>
          <w:i/>
          <w:color w:val="4472C4"/>
          <w:sz w:val="20"/>
          <w:u w:val="single" w:color="4472C4"/>
        </w:rPr>
        <w:t>Bilbao, Las Palmas de Gran Canaria, Málaga. se han aprobado modificaciones de</w:t>
      </w:r>
      <w:r>
        <w:rPr>
          <w:rFonts w:ascii="Calibri" w:hAnsi="Calibri"/>
          <w:i/>
          <w:color w:val="4472C4"/>
          <w:spacing w:val="40"/>
          <w:sz w:val="20"/>
          <w:u w:val="none"/>
        </w:rPr>
        <w:t> </w:t>
      </w:r>
      <w:r>
        <w:rPr>
          <w:rFonts w:ascii="Calibri" w:hAnsi="Calibri"/>
          <w:i/>
          <w:color w:val="4472C4"/>
          <w:sz w:val="20"/>
          <w:u w:val="single" w:color="4472C4"/>
        </w:rPr>
        <w:t>contratos de los Ayuntamientos de Las Palmas de Gran Canaria, Málaga y Sevilla.</w:t>
      </w:r>
      <w:r>
        <w:rPr>
          <w:rFonts w:ascii="Calibri" w:hAnsi="Calibri"/>
          <w:i/>
          <w:color w:val="4472C4"/>
          <w:sz w:val="20"/>
          <w:u w:val="none"/>
        </w:rPr>
        <w:t> </w:t>
      </w:r>
      <w:r>
        <w:rPr>
          <w:rFonts w:ascii="Calibri" w:hAnsi="Calibri"/>
          <w:i/>
          <w:color w:val="4472C4"/>
          <w:sz w:val="20"/>
          <w:u w:val="single" w:color="4472C4"/>
        </w:rPr>
        <w:t>(Subepígrafe II.3.2.3). RECOMENDACIÓN 5: Los Ayuntamientos de Alicante, Bilbao, Las</w:t>
      </w:r>
      <w:r>
        <w:rPr>
          <w:rFonts w:ascii="Calibri" w:hAnsi="Calibri"/>
          <w:i/>
          <w:color w:val="4472C4"/>
          <w:sz w:val="20"/>
          <w:u w:val="none"/>
        </w:rPr>
        <w:t> </w:t>
      </w:r>
      <w:r>
        <w:rPr>
          <w:rFonts w:ascii="Calibri" w:hAnsi="Calibri"/>
          <w:i/>
          <w:color w:val="4472C4"/>
          <w:sz w:val="20"/>
          <w:u w:val="single" w:color="4472C4"/>
        </w:rPr>
        <w:t>Palmas</w:t>
      </w:r>
      <w:r>
        <w:rPr>
          <w:rFonts w:ascii="Calibri" w:hAnsi="Calibri"/>
          <w:i/>
          <w:color w:val="4472C4"/>
          <w:spacing w:val="15"/>
          <w:sz w:val="20"/>
          <w:u w:val="single" w:color="4472C4"/>
        </w:rPr>
        <w:t> </w:t>
      </w:r>
      <w:r>
        <w:rPr>
          <w:rFonts w:ascii="Calibri" w:hAnsi="Calibri"/>
          <w:i/>
          <w:color w:val="4472C4"/>
          <w:sz w:val="20"/>
          <w:u w:val="single" w:color="4472C4"/>
        </w:rPr>
        <w:t>de</w:t>
      </w:r>
      <w:r>
        <w:rPr>
          <w:rFonts w:ascii="Calibri" w:hAnsi="Calibri"/>
          <w:i/>
          <w:color w:val="4472C4"/>
          <w:spacing w:val="15"/>
          <w:sz w:val="20"/>
          <w:u w:val="single" w:color="4472C4"/>
        </w:rPr>
        <w:t> </w:t>
      </w:r>
      <w:r>
        <w:rPr>
          <w:rFonts w:ascii="Calibri" w:hAnsi="Calibri"/>
          <w:i/>
          <w:color w:val="4472C4"/>
          <w:sz w:val="20"/>
          <w:u w:val="single" w:color="4472C4"/>
        </w:rPr>
        <w:t>Gran</w:t>
      </w:r>
      <w:r>
        <w:rPr>
          <w:rFonts w:ascii="Calibri" w:hAnsi="Calibri"/>
          <w:i/>
          <w:color w:val="4472C4"/>
          <w:spacing w:val="21"/>
          <w:sz w:val="20"/>
          <w:u w:val="single" w:color="4472C4"/>
        </w:rPr>
        <w:t> </w:t>
      </w:r>
      <w:r>
        <w:rPr>
          <w:rFonts w:ascii="Calibri" w:hAnsi="Calibri"/>
          <w:i/>
          <w:color w:val="4472C4"/>
          <w:sz w:val="20"/>
          <w:u w:val="single" w:color="4472C4"/>
        </w:rPr>
        <w:t>Canaria,</w:t>
      </w:r>
      <w:r>
        <w:rPr>
          <w:rFonts w:ascii="Calibri" w:hAnsi="Calibri"/>
          <w:i/>
          <w:color w:val="4472C4"/>
          <w:spacing w:val="15"/>
          <w:sz w:val="20"/>
          <w:u w:val="single" w:color="4472C4"/>
        </w:rPr>
        <w:t> </w:t>
      </w:r>
      <w:r>
        <w:rPr>
          <w:rFonts w:ascii="Calibri" w:hAnsi="Calibri"/>
          <w:i/>
          <w:color w:val="4472C4"/>
          <w:sz w:val="20"/>
          <w:u w:val="single" w:color="4472C4"/>
        </w:rPr>
        <w:t>Málaga,</w:t>
      </w:r>
      <w:r>
        <w:rPr>
          <w:rFonts w:ascii="Calibri" w:hAnsi="Calibri"/>
          <w:i/>
          <w:color w:val="4472C4"/>
          <w:spacing w:val="17"/>
          <w:sz w:val="20"/>
          <w:u w:val="single" w:color="4472C4"/>
        </w:rPr>
        <w:t> </w:t>
      </w:r>
      <w:r>
        <w:rPr>
          <w:rFonts w:ascii="Calibri" w:hAnsi="Calibri"/>
          <w:i/>
          <w:color w:val="4472C4"/>
          <w:sz w:val="20"/>
          <w:u w:val="single" w:color="4472C4"/>
        </w:rPr>
        <w:t>Murcia,</w:t>
      </w:r>
      <w:r>
        <w:rPr>
          <w:rFonts w:ascii="Calibri" w:hAnsi="Calibri"/>
          <w:i/>
          <w:color w:val="4472C4"/>
          <w:spacing w:val="19"/>
          <w:sz w:val="20"/>
          <w:u w:val="single" w:color="4472C4"/>
        </w:rPr>
        <w:t> </w:t>
      </w:r>
      <w:r>
        <w:rPr>
          <w:rFonts w:ascii="Calibri" w:hAnsi="Calibri"/>
          <w:i/>
          <w:color w:val="4472C4"/>
          <w:sz w:val="20"/>
          <w:u w:val="single" w:color="4472C4"/>
        </w:rPr>
        <w:t>Palma</w:t>
      </w:r>
      <w:r>
        <w:rPr>
          <w:rFonts w:ascii="Calibri" w:hAnsi="Calibri"/>
          <w:i/>
          <w:color w:val="4472C4"/>
          <w:spacing w:val="20"/>
          <w:sz w:val="20"/>
          <w:u w:val="single" w:color="4472C4"/>
        </w:rPr>
        <w:t> </w:t>
      </w:r>
      <w:r>
        <w:rPr>
          <w:rFonts w:ascii="Calibri" w:hAnsi="Calibri"/>
          <w:i/>
          <w:color w:val="4472C4"/>
          <w:sz w:val="20"/>
          <w:u w:val="single" w:color="4472C4"/>
        </w:rPr>
        <w:t>y</w:t>
      </w:r>
      <w:r>
        <w:rPr>
          <w:rFonts w:ascii="Calibri" w:hAnsi="Calibri"/>
          <w:i/>
          <w:color w:val="4472C4"/>
          <w:spacing w:val="17"/>
          <w:sz w:val="20"/>
          <w:u w:val="single" w:color="4472C4"/>
        </w:rPr>
        <w:t> </w:t>
      </w:r>
      <w:r>
        <w:rPr>
          <w:rFonts w:ascii="Calibri" w:hAnsi="Calibri"/>
          <w:i/>
          <w:color w:val="4472C4"/>
          <w:sz w:val="20"/>
          <w:u w:val="single" w:color="4472C4"/>
        </w:rPr>
        <w:t>Sevilla</w:t>
      </w:r>
      <w:r>
        <w:rPr>
          <w:rFonts w:ascii="Calibri" w:hAnsi="Calibri"/>
          <w:i/>
          <w:color w:val="4472C4"/>
          <w:spacing w:val="20"/>
          <w:sz w:val="20"/>
          <w:u w:val="single" w:color="4472C4"/>
        </w:rPr>
        <w:t> </w:t>
      </w:r>
      <w:r>
        <w:rPr>
          <w:rFonts w:ascii="Calibri" w:hAnsi="Calibri"/>
          <w:i/>
          <w:color w:val="4472C4"/>
          <w:sz w:val="20"/>
          <w:u w:val="single" w:color="4472C4"/>
        </w:rPr>
        <w:t>deberían</w:t>
      </w:r>
      <w:r>
        <w:rPr>
          <w:rFonts w:ascii="Calibri" w:hAnsi="Calibri"/>
          <w:i/>
          <w:color w:val="4472C4"/>
          <w:spacing w:val="21"/>
          <w:sz w:val="20"/>
          <w:u w:val="single" w:color="4472C4"/>
        </w:rPr>
        <w:t> </w:t>
      </w:r>
      <w:r>
        <w:rPr>
          <w:rFonts w:ascii="Calibri" w:hAnsi="Calibri"/>
          <w:i/>
          <w:color w:val="4472C4"/>
          <w:sz w:val="20"/>
          <w:u w:val="single" w:color="4472C4"/>
        </w:rPr>
        <w:t>extremar</w:t>
      </w:r>
      <w:r>
        <w:rPr>
          <w:rFonts w:ascii="Calibri" w:hAnsi="Calibri"/>
          <w:i/>
          <w:color w:val="4472C4"/>
          <w:spacing w:val="18"/>
          <w:sz w:val="20"/>
          <w:u w:val="single" w:color="4472C4"/>
        </w:rPr>
        <w:t> </w:t>
      </w:r>
      <w:r>
        <w:rPr>
          <w:rFonts w:ascii="Calibri" w:hAnsi="Calibri"/>
          <w:i/>
          <w:color w:val="4472C4"/>
          <w:sz w:val="20"/>
          <w:u w:val="single" w:color="4472C4"/>
        </w:rPr>
        <w:t>el</w:t>
      </w:r>
      <w:r>
        <w:rPr>
          <w:rFonts w:ascii="Calibri" w:hAnsi="Calibri"/>
          <w:i/>
          <w:color w:val="4472C4"/>
          <w:spacing w:val="22"/>
          <w:sz w:val="20"/>
          <w:u w:val="single" w:color="4472C4"/>
        </w:rPr>
        <w:t> </w:t>
      </w:r>
      <w:r>
        <w:rPr>
          <w:rFonts w:ascii="Calibri" w:hAnsi="Calibri"/>
          <w:i/>
          <w:color w:val="4472C4"/>
          <w:sz w:val="20"/>
          <w:u w:val="single" w:color="4472C4"/>
        </w:rPr>
        <w:t>rigor</w:t>
      </w:r>
      <w:r>
        <w:rPr>
          <w:rFonts w:ascii="Calibri" w:hAnsi="Calibri"/>
          <w:i/>
          <w:color w:val="4472C4"/>
          <w:spacing w:val="22"/>
          <w:sz w:val="20"/>
          <w:u w:val="single" w:color="4472C4"/>
        </w:rPr>
        <w:t> </w:t>
      </w:r>
      <w:r>
        <w:rPr>
          <w:rFonts w:ascii="Calibri" w:hAnsi="Calibri"/>
          <w:i/>
          <w:color w:val="4472C4"/>
          <w:sz w:val="20"/>
          <w:u w:val="single" w:color="4472C4"/>
        </w:rPr>
        <w:t>en</w:t>
      </w:r>
      <w:r>
        <w:rPr>
          <w:rFonts w:ascii="Calibri" w:hAnsi="Calibri"/>
          <w:i/>
          <w:color w:val="4472C4"/>
          <w:sz w:val="20"/>
          <w:u w:val="none"/>
        </w:rPr>
        <w:t> </w:t>
      </w:r>
      <w:r>
        <w:rPr>
          <w:rFonts w:ascii="Calibri" w:hAnsi="Calibri"/>
          <w:i/>
          <w:color w:val="4472C4"/>
          <w:sz w:val="20"/>
          <w:u w:val="single" w:color="4472C4"/>
        </w:rPr>
        <w:t>la planificación, preparación, adjudicación y supervisión de los contratos, especialmente</w:t>
      </w:r>
      <w:r>
        <w:rPr>
          <w:rFonts w:ascii="Calibri" w:hAnsi="Calibri"/>
          <w:i/>
          <w:color w:val="4472C4"/>
          <w:spacing w:val="80"/>
          <w:sz w:val="20"/>
          <w:u w:val="none"/>
        </w:rPr>
        <w:t> </w:t>
      </w:r>
      <w:r>
        <w:rPr>
          <w:rFonts w:ascii="Calibri" w:hAnsi="Calibri"/>
          <w:i/>
          <w:color w:val="4472C4"/>
          <w:sz w:val="20"/>
          <w:u w:val="single" w:color="4472C4"/>
        </w:rPr>
        <w:t>en los de obras de grandes proyectos de infraestructuras, a fin de evitar que se produzcan</w:t>
      </w:r>
      <w:r>
        <w:rPr>
          <w:rFonts w:ascii="Calibri" w:hAnsi="Calibri"/>
          <w:i/>
          <w:color w:val="4472C4"/>
          <w:sz w:val="20"/>
          <w:u w:val="none"/>
        </w:rPr>
        <w:t> </w:t>
      </w:r>
      <w:r>
        <w:rPr>
          <w:rFonts w:ascii="Calibri" w:hAnsi="Calibri"/>
          <w:i/>
          <w:color w:val="4472C4"/>
          <w:sz w:val="20"/>
          <w:u w:val="single" w:color="4472C4"/>
        </w:rPr>
        <w:t>incidencias en su ejecución que desvirtúen las condiciones en las que fueron</w:t>
      </w:r>
      <w:r>
        <w:rPr>
          <w:rFonts w:ascii="Calibri" w:hAnsi="Calibri"/>
          <w:i/>
          <w:color w:val="4472C4"/>
          <w:sz w:val="20"/>
          <w:u w:val="none"/>
        </w:rPr>
        <w:t> </w:t>
      </w:r>
      <w:r>
        <w:rPr>
          <w:rFonts w:ascii="Calibri" w:hAnsi="Calibri"/>
          <w:i/>
          <w:color w:val="4472C4"/>
          <w:sz w:val="20"/>
          <w:u w:val="single" w:color="4472C4"/>
        </w:rPr>
        <w:t>originariamente licitadas, tales como demoras, modificaciones contractuales que</w:t>
      </w:r>
      <w:r>
        <w:rPr>
          <w:rFonts w:ascii="Calibri" w:hAnsi="Calibri"/>
          <w:i/>
          <w:color w:val="4472C4"/>
          <w:sz w:val="20"/>
          <w:u w:val="none"/>
        </w:rPr>
        <w:t> </w:t>
      </w:r>
      <w:r>
        <w:rPr>
          <w:rFonts w:ascii="Calibri" w:hAnsi="Calibri"/>
          <w:i/>
          <w:color w:val="4472C4"/>
          <w:sz w:val="20"/>
          <w:u w:val="single" w:color="4472C4"/>
        </w:rPr>
        <w:t>frecuentemente implican ampliaciones de plazo e incrementos de costes, suspensiones y</w:t>
      </w:r>
      <w:r>
        <w:rPr>
          <w:rFonts w:ascii="Calibri" w:hAnsi="Calibri"/>
          <w:i/>
          <w:color w:val="4472C4"/>
          <w:sz w:val="20"/>
          <w:u w:val="none"/>
        </w:rPr>
        <w:t> </w:t>
      </w:r>
      <w:r>
        <w:rPr>
          <w:rFonts w:ascii="Calibri" w:hAnsi="Calibri"/>
          <w:i/>
          <w:color w:val="4472C4"/>
          <w:sz w:val="20"/>
          <w:u w:val="single" w:color="4472C4"/>
        </w:rPr>
        <w:t>resoluciones de contratos con el consiguiente abono en muchos casos de la</w:t>
      </w:r>
      <w:r>
        <w:rPr>
          <w:rFonts w:ascii="Calibri" w:hAnsi="Calibri"/>
          <w:i/>
          <w:color w:val="4472C4"/>
          <w:sz w:val="20"/>
          <w:u w:val="none"/>
        </w:rPr>
        <w:t> </w:t>
      </w:r>
      <w:r>
        <w:rPr>
          <w:rFonts w:ascii="Calibri" w:hAnsi="Calibri"/>
          <w:i/>
          <w:color w:val="4472C4"/>
          <w:sz w:val="20"/>
          <w:u w:val="single" w:color="4472C4"/>
        </w:rPr>
        <w:t>correspondiente indemnización de daños y perjuicios a favor del contratista”.</w:t>
      </w:r>
    </w:p>
    <w:p>
      <w:pPr>
        <w:pStyle w:val="BodyText"/>
        <w:rPr>
          <w:rFonts w:ascii="Calibri"/>
          <w:i/>
          <w:sz w:val="20"/>
        </w:rPr>
      </w:pPr>
    </w:p>
    <w:p>
      <w:pPr>
        <w:pStyle w:val="BodyText"/>
        <w:spacing w:before="67"/>
        <w:rPr>
          <w:rFonts w:ascii="Calibri"/>
          <w:i/>
          <w:sz w:val="20"/>
        </w:rPr>
      </w:pPr>
    </w:p>
    <w:p>
      <w:pPr>
        <w:spacing w:line="256" w:lineRule="auto" w:before="1"/>
        <w:ind w:left="2251" w:right="2020" w:firstLine="0"/>
        <w:jc w:val="both"/>
        <w:rPr>
          <w:rFonts w:ascii="Calibri" w:hAnsi="Calibri"/>
          <w:sz w:val="20"/>
        </w:rPr>
      </w:pPr>
      <w:r>
        <w:rPr>
          <w:rFonts w:ascii="Calibri" w:hAnsi="Calibri"/>
          <w:sz w:val="20"/>
        </w:rPr>
        <w:t>En relación a la Recomendación 5 en lo que al Ayuntamiento de Málaga se refiere, cabe apreciar que el servicio público de transporte urbano se caracteriza por su complejidad técnica y operativa, así como por la necesidad de adaptarse de forma continua a las condiciones del</w:t>
      </w:r>
      <w:r>
        <w:rPr>
          <w:rFonts w:ascii="Calibri" w:hAnsi="Calibri"/>
          <w:spacing w:val="-3"/>
          <w:sz w:val="20"/>
        </w:rPr>
        <w:t> </w:t>
      </w:r>
      <w:r>
        <w:rPr>
          <w:rFonts w:ascii="Calibri" w:hAnsi="Calibri"/>
          <w:sz w:val="20"/>
        </w:rPr>
        <w:t>viario,</w:t>
      </w:r>
      <w:r>
        <w:rPr>
          <w:rFonts w:ascii="Calibri" w:hAnsi="Calibri"/>
          <w:spacing w:val="-1"/>
          <w:sz w:val="20"/>
        </w:rPr>
        <w:t> </w:t>
      </w:r>
      <w:r>
        <w:rPr>
          <w:rFonts w:ascii="Calibri" w:hAnsi="Calibri"/>
          <w:sz w:val="20"/>
        </w:rPr>
        <w:t>a la</w:t>
      </w:r>
      <w:r>
        <w:rPr>
          <w:rFonts w:ascii="Calibri" w:hAnsi="Calibri"/>
          <w:spacing w:val="-4"/>
          <w:sz w:val="20"/>
        </w:rPr>
        <w:t> </w:t>
      </w:r>
      <w:r>
        <w:rPr>
          <w:rFonts w:ascii="Calibri" w:hAnsi="Calibri"/>
          <w:sz w:val="20"/>
        </w:rPr>
        <w:t>evolución de la movilidad urbana y a</w:t>
      </w:r>
      <w:r>
        <w:rPr>
          <w:rFonts w:ascii="Calibri" w:hAnsi="Calibri"/>
          <w:spacing w:val="-2"/>
          <w:sz w:val="20"/>
        </w:rPr>
        <w:t> </w:t>
      </w:r>
      <w:r>
        <w:rPr>
          <w:rFonts w:ascii="Calibri" w:hAnsi="Calibri"/>
          <w:sz w:val="20"/>
        </w:rPr>
        <w:t>las demandas del servicio.</w:t>
      </w:r>
    </w:p>
    <w:p>
      <w:pPr>
        <w:spacing w:line="256" w:lineRule="auto" w:before="145"/>
        <w:ind w:left="2251" w:right="2019" w:firstLine="0"/>
        <w:jc w:val="both"/>
        <w:rPr>
          <w:rFonts w:ascii="Calibri" w:hAnsi="Calibri"/>
          <w:sz w:val="20"/>
        </w:rPr>
      </w:pPr>
      <w:r>
        <w:rPr>
          <w:rFonts w:ascii="Calibri" w:hAnsi="Calibri"/>
          <w:sz w:val="20"/>
        </w:rPr>
        <w:t>En este contexto, las obras vinculadas a la mejora del transporte público, tales como la construcción o adecuación de paradas y la priorización del viario, se desarrollan en entornos urbanos consolidados donde aparecen con frecuencia circunstancias sobrevenidas</w:t>
      </w:r>
      <w:r>
        <w:rPr>
          <w:rFonts w:ascii="Calibri" w:hAnsi="Calibri"/>
          <w:spacing w:val="-9"/>
          <w:sz w:val="20"/>
        </w:rPr>
        <w:t> </w:t>
      </w:r>
      <w:r>
        <w:rPr>
          <w:rFonts w:ascii="Calibri" w:hAnsi="Calibri"/>
          <w:sz w:val="20"/>
        </w:rPr>
        <w:t>(infraestructuras</w:t>
      </w:r>
      <w:r>
        <w:rPr>
          <w:rFonts w:ascii="Calibri" w:hAnsi="Calibri"/>
          <w:spacing w:val="-6"/>
          <w:sz w:val="20"/>
        </w:rPr>
        <w:t> </w:t>
      </w:r>
      <w:r>
        <w:rPr>
          <w:rFonts w:ascii="Calibri" w:hAnsi="Calibri"/>
          <w:sz w:val="20"/>
        </w:rPr>
        <w:t>no</w:t>
      </w:r>
      <w:r>
        <w:rPr>
          <w:rFonts w:ascii="Calibri" w:hAnsi="Calibri"/>
          <w:spacing w:val="-8"/>
          <w:sz w:val="20"/>
        </w:rPr>
        <w:t> </w:t>
      </w:r>
      <w:r>
        <w:rPr>
          <w:rFonts w:ascii="Calibri" w:hAnsi="Calibri"/>
          <w:sz w:val="20"/>
        </w:rPr>
        <w:t>previstas,</w:t>
      </w:r>
      <w:r>
        <w:rPr>
          <w:rFonts w:ascii="Calibri" w:hAnsi="Calibri"/>
          <w:spacing w:val="-8"/>
          <w:sz w:val="20"/>
        </w:rPr>
        <w:t> </w:t>
      </w:r>
      <w:r>
        <w:rPr>
          <w:rFonts w:ascii="Calibri" w:hAnsi="Calibri"/>
          <w:sz w:val="20"/>
        </w:rPr>
        <w:t>coordinación</w:t>
      </w:r>
      <w:r>
        <w:rPr>
          <w:rFonts w:ascii="Calibri" w:hAnsi="Calibri"/>
          <w:spacing w:val="-7"/>
          <w:sz w:val="20"/>
        </w:rPr>
        <w:t> </w:t>
      </w:r>
      <w:r>
        <w:rPr>
          <w:rFonts w:ascii="Calibri" w:hAnsi="Calibri"/>
          <w:sz w:val="20"/>
        </w:rPr>
        <w:t>con</w:t>
      </w:r>
      <w:r>
        <w:rPr>
          <w:rFonts w:ascii="Calibri" w:hAnsi="Calibri"/>
          <w:spacing w:val="-9"/>
          <w:sz w:val="20"/>
        </w:rPr>
        <w:t> </w:t>
      </w:r>
      <w:r>
        <w:rPr>
          <w:rFonts w:ascii="Calibri" w:hAnsi="Calibri"/>
          <w:sz w:val="20"/>
        </w:rPr>
        <w:t>otros</w:t>
      </w:r>
      <w:r>
        <w:rPr>
          <w:rFonts w:ascii="Calibri" w:hAnsi="Calibri"/>
          <w:spacing w:val="-11"/>
          <w:sz w:val="20"/>
        </w:rPr>
        <w:t> </w:t>
      </w:r>
      <w:r>
        <w:rPr>
          <w:rFonts w:ascii="Calibri" w:hAnsi="Calibri"/>
          <w:sz w:val="20"/>
        </w:rPr>
        <w:t>servicios</w:t>
      </w:r>
      <w:r>
        <w:rPr>
          <w:rFonts w:ascii="Calibri" w:hAnsi="Calibri"/>
          <w:spacing w:val="-7"/>
          <w:sz w:val="20"/>
        </w:rPr>
        <w:t> </w:t>
      </w:r>
      <w:r>
        <w:rPr>
          <w:rFonts w:ascii="Calibri" w:hAnsi="Calibri"/>
          <w:sz w:val="20"/>
        </w:rPr>
        <w:t>municipales</w:t>
      </w:r>
      <w:r>
        <w:rPr>
          <w:rFonts w:ascii="Calibri" w:hAnsi="Calibri"/>
          <w:spacing w:val="-8"/>
          <w:sz w:val="20"/>
        </w:rPr>
        <w:t> </w:t>
      </w:r>
      <w:r>
        <w:rPr>
          <w:rFonts w:ascii="Calibri" w:hAnsi="Calibri"/>
          <w:sz w:val="20"/>
        </w:rPr>
        <w:t>o alteraciones en las líneas de autobuses) que pueden afectar a los plazos de ejecución o requerir ajustes técnicos puntuales.</w:t>
      </w:r>
    </w:p>
    <w:p>
      <w:pPr>
        <w:spacing w:line="256" w:lineRule="auto" w:before="147"/>
        <w:ind w:left="2251" w:right="2021" w:firstLine="0"/>
        <w:jc w:val="both"/>
        <w:rPr>
          <w:rFonts w:ascii="Calibri" w:hAnsi="Calibri"/>
          <w:sz w:val="20"/>
        </w:rPr>
      </w:pPr>
      <w:r>
        <w:rPr>
          <w:rFonts w:ascii="Calibri" w:hAnsi="Calibri"/>
          <w:sz w:val="20"/>
        </w:rPr>
        <w:t>Estas incidencias, como se ha explicado anteriormente al dar respuesta a la observación relativa al contrato de “Obras de priorización del viario y construcción de paradas accesibles</w:t>
      </w:r>
      <w:r>
        <w:rPr>
          <w:rFonts w:ascii="Calibri" w:hAnsi="Calibri"/>
          <w:spacing w:val="40"/>
          <w:sz w:val="20"/>
        </w:rPr>
        <w:t> </w:t>
      </w:r>
      <w:r>
        <w:rPr>
          <w:rFonts w:ascii="Calibri" w:hAnsi="Calibri"/>
          <w:sz w:val="20"/>
        </w:rPr>
        <w:t>para</w:t>
      </w:r>
      <w:r>
        <w:rPr>
          <w:rFonts w:ascii="Calibri" w:hAnsi="Calibri"/>
          <w:spacing w:val="40"/>
          <w:sz w:val="20"/>
        </w:rPr>
        <w:t> </w:t>
      </w:r>
      <w:r>
        <w:rPr>
          <w:rFonts w:ascii="Calibri" w:hAnsi="Calibri"/>
          <w:sz w:val="20"/>
        </w:rPr>
        <w:t>el</w:t>
      </w:r>
      <w:r>
        <w:rPr>
          <w:rFonts w:ascii="Calibri" w:hAnsi="Calibri"/>
          <w:spacing w:val="40"/>
          <w:sz w:val="20"/>
        </w:rPr>
        <w:t> </w:t>
      </w:r>
      <w:r>
        <w:rPr>
          <w:rFonts w:ascii="Calibri" w:hAnsi="Calibri"/>
          <w:sz w:val="20"/>
        </w:rPr>
        <w:t>transporte</w:t>
      </w:r>
      <w:r>
        <w:rPr>
          <w:rFonts w:ascii="Calibri" w:hAnsi="Calibri"/>
          <w:spacing w:val="40"/>
          <w:sz w:val="20"/>
        </w:rPr>
        <w:t> </w:t>
      </w:r>
      <w:r>
        <w:rPr>
          <w:rFonts w:ascii="Calibri" w:hAnsi="Calibri"/>
          <w:sz w:val="20"/>
        </w:rPr>
        <w:t>urbano”y</w:t>
      </w:r>
      <w:r>
        <w:rPr>
          <w:rFonts w:ascii="Calibri" w:hAnsi="Calibri"/>
          <w:spacing w:val="40"/>
          <w:sz w:val="20"/>
        </w:rPr>
        <w:t> </w:t>
      </w:r>
      <w:r>
        <w:rPr>
          <w:rFonts w:ascii="Calibri" w:hAnsi="Calibri"/>
          <w:sz w:val="20"/>
        </w:rPr>
        <w:t>a</w:t>
      </w:r>
      <w:r>
        <w:rPr>
          <w:rFonts w:ascii="Calibri" w:hAnsi="Calibri"/>
          <w:spacing w:val="40"/>
          <w:sz w:val="20"/>
        </w:rPr>
        <w:t> </w:t>
      </w:r>
      <w:r>
        <w:rPr>
          <w:rFonts w:ascii="Calibri" w:hAnsi="Calibri"/>
          <w:sz w:val="20"/>
        </w:rPr>
        <w:t>cuyos</w:t>
      </w:r>
      <w:r>
        <w:rPr>
          <w:rFonts w:ascii="Calibri" w:hAnsi="Calibri"/>
          <w:spacing w:val="40"/>
          <w:sz w:val="20"/>
        </w:rPr>
        <w:t> </w:t>
      </w:r>
      <w:r>
        <w:rPr>
          <w:rFonts w:ascii="Calibri" w:hAnsi="Calibri"/>
          <w:sz w:val="20"/>
        </w:rPr>
        <w:t>argumentos</w:t>
      </w:r>
      <w:r>
        <w:rPr>
          <w:rFonts w:ascii="Calibri" w:hAnsi="Calibri"/>
          <w:spacing w:val="40"/>
          <w:sz w:val="20"/>
        </w:rPr>
        <w:t> </w:t>
      </w:r>
      <w:r>
        <w:rPr>
          <w:rFonts w:ascii="Calibri" w:hAnsi="Calibri"/>
          <w:sz w:val="20"/>
        </w:rPr>
        <w:t>nos</w:t>
      </w:r>
      <w:r>
        <w:rPr>
          <w:rFonts w:ascii="Calibri" w:hAnsi="Calibri"/>
          <w:spacing w:val="40"/>
          <w:sz w:val="20"/>
        </w:rPr>
        <w:t> </w:t>
      </w:r>
      <w:r>
        <w:rPr>
          <w:rFonts w:ascii="Calibri" w:hAnsi="Calibri"/>
          <w:sz w:val="20"/>
        </w:rPr>
        <w:t>remitimos</w:t>
      </w:r>
      <w:r>
        <w:rPr>
          <w:rFonts w:ascii="Calibri" w:hAnsi="Calibri"/>
          <w:spacing w:val="40"/>
          <w:sz w:val="20"/>
        </w:rPr>
        <w:t> </w:t>
      </w:r>
      <w:r>
        <w:rPr>
          <w:rFonts w:ascii="Calibri" w:hAnsi="Calibri"/>
          <w:sz w:val="20"/>
        </w:rPr>
        <w:t>para</w:t>
      </w:r>
      <w:r>
        <w:rPr>
          <w:rFonts w:ascii="Calibri" w:hAnsi="Calibri"/>
          <w:spacing w:val="40"/>
          <w:sz w:val="20"/>
        </w:rPr>
        <w:t> </w:t>
      </w:r>
      <w:r>
        <w:rPr>
          <w:rFonts w:ascii="Calibri" w:hAnsi="Calibri"/>
          <w:sz w:val="20"/>
        </w:rPr>
        <w:t>no</w:t>
      </w:r>
    </w:p>
    <w:p>
      <w:pPr>
        <w:pStyle w:val="BodyText"/>
        <w:spacing w:before="213" w:after="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896" name="Group 1896"/>
                <wp:cNvGraphicFramePr>
                  <a:graphicFrameLocks/>
                </wp:cNvGraphicFramePr>
                <a:graphic>
                  <a:graphicData uri="http://schemas.microsoft.com/office/word/2010/wordprocessingGroup">
                    <wpg:wgp>
                      <wpg:cNvPr id="1896" name="Group 1896"/>
                      <wpg:cNvGrpSpPr/>
                      <wpg:grpSpPr>
                        <a:xfrm>
                          <a:off x="0" y="0"/>
                          <a:ext cx="1870075" cy="6350"/>
                          <a:chExt cx="1870075" cy="6350"/>
                        </a:xfrm>
                      </wpg:grpSpPr>
                      <wps:wsp>
                        <wps:cNvPr id="1897" name="Graphic 1897"/>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375" coordorigin="0,0" coordsize="2945,10">
                <v:rect style="position:absolute;left:0;top:0;width:2945;height:10" id="docshape1376"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898" name="Group 1898"/>
                <wp:cNvGraphicFramePr>
                  <a:graphicFrameLocks/>
                </wp:cNvGraphicFramePr>
                <a:graphic>
                  <a:graphicData uri="http://schemas.microsoft.com/office/word/2010/wordprocessingGroup">
                    <wpg:wgp>
                      <wpg:cNvPr id="1898" name="Group 1898"/>
                      <wpg:cNvGrpSpPr/>
                      <wpg:grpSpPr>
                        <a:xfrm>
                          <a:off x="0" y="0"/>
                          <a:ext cx="841375" cy="6350"/>
                          <a:chExt cx="841375" cy="6350"/>
                        </a:xfrm>
                      </wpg:grpSpPr>
                      <wps:wsp>
                        <wps:cNvPr id="1899" name="Graphic 1899"/>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377" coordorigin="0,0" coordsize="1325,10">
                <v:rect style="position:absolute;left:0;top:0;width:1325;height:10" id="docshape1378"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313"/>
          <w:headerReference w:type="default" r:id="rId314"/>
          <w:footerReference w:type="even" r:id="rId315"/>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44800">
                <wp:simplePos x="0" y="0"/>
                <wp:positionH relativeFrom="page">
                  <wp:posOffset>4332186</wp:posOffset>
                </wp:positionH>
                <wp:positionV relativeFrom="paragraph">
                  <wp:posOffset>1412477</wp:posOffset>
                </wp:positionV>
                <wp:extent cx="53340" cy="100330"/>
                <wp:effectExtent l="0" t="0" r="0" b="0"/>
                <wp:wrapNone/>
                <wp:docPr id="1900" name="Textbox 1900"/>
                <wp:cNvGraphicFramePr>
                  <a:graphicFrameLocks/>
                </wp:cNvGraphicFramePr>
                <a:graphic>
                  <a:graphicData uri="http://schemas.microsoft.com/office/word/2010/wordprocessingShape">
                    <wps:wsp>
                      <wps:cNvPr id="1900" name="Textbox 1900"/>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71680" type="#_x0000_t202" id="docshape1379"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32"/>
        <w:gridCol w:w="2164"/>
        <w:gridCol w:w="873"/>
        <w:gridCol w:w="542"/>
        <w:gridCol w:w="1023"/>
        <w:gridCol w:w="818"/>
        <w:gridCol w:w="1248"/>
        <w:gridCol w:w="102"/>
        <w:gridCol w:w="1062"/>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32" w:type="dxa"/>
            <w:tcBorders>
              <w:left w:val="single" w:sz="6" w:space="0" w:color="000000"/>
              <w:bottom w:val="single" w:sz="6" w:space="0" w:color="000000"/>
              <w:right w:val="nil"/>
            </w:tcBorders>
          </w:tcPr>
          <w:p>
            <w:pPr>
              <w:pStyle w:val="TableParagraph"/>
              <w:rPr>
                <w:rFonts w:ascii="Times New Roman"/>
                <w:sz w:val="14"/>
              </w:rPr>
            </w:pPr>
          </w:p>
        </w:tc>
        <w:tc>
          <w:tcPr>
            <w:tcW w:w="2164" w:type="dxa"/>
            <w:tcBorders>
              <w:top w:val="nil"/>
              <w:left w:val="nil"/>
              <w:bottom w:val="nil"/>
              <w:right w:val="nil"/>
            </w:tcBorders>
            <w:shd w:val="clear" w:color="auto" w:fill="000000"/>
          </w:tcPr>
          <w:p>
            <w:pPr>
              <w:pStyle w:val="TableParagraph"/>
              <w:rPr>
                <w:rFonts w:ascii="Times New Roman"/>
                <w:sz w:val="14"/>
              </w:rPr>
            </w:pPr>
          </w:p>
        </w:tc>
        <w:tc>
          <w:tcPr>
            <w:tcW w:w="1415" w:type="dxa"/>
            <w:gridSpan w:val="2"/>
            <w:tcBorders>
              <w:left w:val="nil"/>
              <w:bottom w:val="single" w:sz="6" w:space="0" w:color="000000"/>
              <w:right w:val="single" w:sz="6" w:space="0" w:color="000000"/>
            </w:tcBorders>
          </w:tcPr>
          <w:p>
            <w:pPr>
              <w:pStyle w:val="TableParagraph"/>
              <w:rPr>
                <w:rFonts w:ascii="Times New Roman"/>
                <w:sz w:val="14"/>
              </w:rPr>
            </w:pPr>
          </w:p>
        </w:tc>
        <w:tc>
          <w:tcPr>
            <w:tcW w:w="1023"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2"/>
              <w:rPr>
                <w:rFonts w:ascii="Arial"/>
                <w:position w:val="-1"/>
                <w:sz w:val="10"/>
              </w:rPr>
            </w:pPr>
            <w:r>
              <w:rPr>
                <w:rFonts w:ascii="Arial"/>
                <w:position w:val="-1"/>
                <w:sz w:val="10"/>
              </w:rPr>
              <w:drawing>
                <wp:inline distT="0" distB="0" distL="0" distR="0">
                  <wp:extent cx="266700" cy="66675"/>
                  <wp:effectExtent l="0" t="0" r="0" b="0"/>
                  <wp:docPr id="1901" name="Image 1901"/>
                  <wp:cNvGraphicFramePr>
                    <a:graphicFrameLocks/>
                  </wp:cNvGraphicFramePr>
                  <a:graphic>
                    <a:graphicData uri="http://schemas.openxmlformats.org/drawingml/2006/picture">
                      <pic:pic>
                        <pic:nvPicPr>
                          <pic:cNvPr id="1901" name="Image 190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6"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3"/>
              <w:rPr>
                <w:rFonts w:ascii="Arial"/>
                <w:position w:val="-2"/>
                <w:sz w:val="13"/>
              </w:rPr>
            </w:pPr>
            <w:r>
              <w:rPr>
                <w:rFonts w:ascii="Arial"/>
                <w:position w:val="-2"/>
                <w:sz w:val="13"/>
              </w:rPr>
              <w:drawing>
                <wp:inline distT="0" distB="0" distL="0" distR="0">
                  <wp:extent cx="498011" cy="85058"/>
                  <wp:effectExtent l="0" t="0" r="0" b="0"/>
                  <wp:docPr id="1902" name="Image 1902"/>
                  <wp:cNvGraphicFramePr>
                    <a:graphicFrameLocks/>
                  </wp:cNvGraphicFramePr>
                  <a:graphic>
                    <a:graphicData uri="http://schemas.openxmlformats.org/drawingml/2006/picture">
                      <pic:pic>
                        <pic:nvPicPr>
                          <pic:cNvPr id="1902" name="Image 190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02" w:type="dxa"/>
            <w:vMerge w:val="restart"/>
            <w:tcBorders>
              <w:top w:val="nil"/>
              <w:bottom w:val="nil"/>
              <w:right w:val="nil"/>
            </w:tcBorders>
          </w:tcPr>
          <w:p>
            <w:pPr>
              <w:pStyle w:val="TableParagraph"/>
              <w:rPr>
                <w:rFonts w:ascii="Times New Roman"/>
                <w:sz w:val="18"/>
              </w:rPr>
            </w:pPr>
          </w:p>
        </w:tc>
        <w:tc>
          <w:tcPr>
            <w:tcW w:w="1062" w:type="dxa"/>
            <w:vMerge w:val="restart"/>
            <w:tcBorders>
              <w:top w:val="nil"/>
              <w:left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11" w:type="dxa"/>
            <w:gridSpan w:val="4"/>
            <w:tcBorders>
              <w:top w:val="nil"/>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45312">
                      <wp:simplePos x="0" y="0"/>
                      <wp:positionH relativeFrom="column">
                        <wp:posOffset>-1298447</wp:posOffset>
                      </wp:positionH>
                      <wp:positionV relativeFrom="paragraph">
                        <wp:posOffset>-144895</wp:posOffset>
                      </wp:positionV>
                      <wp:extent cx="1298575" cy="417830"/>
                      <wp:effectExtent l="0" t="0" r="0" b="0"/>
                      <wp:wrapNone/>
                      <wp:docPr id="1903" name="Group 1903"/>
                      <wp:cNvGraphicFramePr>
                        <a:graphicFrameLocks/>
                      </wp:cNvGraphicFramePr>
                      <a:graphic>
                        <a:graphicData uri="http://schemas.microsoft.com/office/word/2010/wordprocessingGroup">
                          <wpg:wgp>
                            <wpg:cNvPr id="1903" name="Group 1903"/>
                            <wpg:cNvGrpSpPr/>
                            <wpg:grpSpPr>
                              <a:xfrm>
                                <a:off x="0" y="0"/>
                                <a:ext cx="1298575" cy="417830"/>
                                <a:chExt cx="1298575" cy="417830"/>
                              </a:xfrm>
                            </wpg:grpSpPr>
                            <wps:wsp>
                              <wps:cNvPr id="1904" name="Graphic 1904"/>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905" name="Image 1905"/>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871168" id="docshapegroup1380" coordorigin="-2045,-228" coordsize="2045,658">
                      <v:shape style="position:absolute;left:-2045;top:-229;width:2045;height:658" id="docshape1381" coordorigin="-2045,-228" coordsize="2045,658" path="m0,-228l-2045,-228,-2045,-10,-2045,-7,-2045,429,0,429,0,-7,0,-10,0,-228xe" filled="true" fillcolor="#cccccc" stroked="false">
                        <v:path arrowok="t"/>
                        <v:fill type="solid"/>
                      </v:shape>
                      <v:shape style="position:absolute;left:-1973;top:-154;width:1896;height:327" type="#_x0000_t75" id="docshape1382"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3"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3"/>
              <w:rPr>
                <w:rFonts w:ascii="Arial"/>
                <w:sz w:val="14"/>
              </w:rPr>
            </w:pPr>
            <w:r>
              <w:rPr>
                <w:rFonts w:ascii="Arial"/>
                <w:spacing w:val="-2"/>
                <w:sz w:val="14"/>
              </w:rPr>
              <w:t>Firmado</w:t>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380"/>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02" w:type="dxa"/>
            <w:vMerge/>
            <w:tcBorders>
              <w:top w:val="nil"/>
              <w:bottom w:val="nil"/>
              <w:right w:val="nil"/>
            </w:tcBorders>
          </w:tcPr>
          <w:p>
            <w:pPr>
              <w:rPr>
                <w:sz w:val="2"/>
                <w:szCs w:val="2"/>
              </w:rPr>
            </w:pPr>
          </w:p>
        </w:tc>
        <w:tc>
          <w:tcPr>
            <w:tcW w:w="1062"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906" name="Image 1906"/>
                  <wp:cNvGraphicFramePr>
                    <a:graphicFrameLocks/>
                  </wp:cNvGraphicFramePr>
                  <a:graphic>
                    <a:graphicData uri="http://schemas.openxmlformats.org/drawingml/2006/picture">
                      <pic:pic>
                        <pic:nvPicPr>
                          <pic:cNvPr id="1906" name="Image 1906"/>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11"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3"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2"/>
              <w:rPr>
                <w:rFonts w:ascii="Arial"/>
                <w:position w:val="-2"/>
                <w:sz w:val="13"/>
              </w:rPr>
            </w:pPr>
            <w:r>
              <w:rPr>
                <w:rFonts w:ascii="Arial"/>
                <w:position w:val="-2"/>
                <w:sz w:val="13"/>
              </w:rPr>
              <w:drawing>
                <wp:inline distT="0" distB="0" distL="0" distR="0">
                  <wp:extent cx="263120" cy="84010"/>
                  <wp:effectExtent l="0" t="0" r="0" b="0"/>
                  <wp:docPr id="1907" name="Image 1907"/>
                  <wp:cNvGraphicFramePr>
                    <a:graphicFrameLocks/>
                  </wp:cNvGraphicFramePr>
                  <a:graphic>
                    <a:graphicData uri="http://schemas.openxmlformats.org/drawingml/2006/picture">
                      <pic:pic>
                        <pic:nvPicPr>
                          <pic:cNvPr id="1907" name="Image 1907"/>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6" w:type="dxa"/>
            <w:gridSpan w:val="2"/>
            <w:tcBorders>
              <w:top w:val="single" w:sz="6" w:space="0" w:color="000000"/>
              <w:left w:val="single" w:sz="6" w:space="0" w:color="000000"/>
              <w:bottom w:val="single" w:sz="6" w:space="0" w:color="000000"/>
            </w:tcBorders>
          </w:tcPr>
          <w:p>
            <w:pPr>
              <w:pStyle w:val="TableParagraph"/>
              <w:spacing w:line="145" w:lineRule="exact" w:before="39"/>
              <w:ind w:left="2"/>
              <w:jc w:val="center"/>
              <w:rPr>
                <w:rFonts w:ascii="Arial"/>
                <w:sz w:val="14"/>
              </w:rPr>
            </w:pPr>
            <w:r>
              <w:rPr>
                <w:rFonts w:ascii="Arial"/>
                <w:sz w:val="14"/>
              </w:rPr>
              <mc:AlternateContent>
                <mc:Choice Requires="wps">
                  <w:drawing>
                    <wp:anchor distT="0" distB="0" distL="0" distR="0" allowOverlap="1" layoutInCell="1" locked="0" behindDoc="1" simplePos="0" relativeHeight="474445824">
                      <wp:simplePos x="0" y="0"/>
                      <wp:positionH relativeFrom="column">
                        <wp:posOffset>1320546</wp:posOffset>
                      </wp:positionH>
                      <wp:positionV relativeFrom="paragraph">
                        <wp:posOffset>-311719</wp:posOffset>
                      </wp:positionV>
                      <wp:extent cx="734695" cy="753110"/>
                      <wp:effectExtent l="0" t="0" r="0" b="0"/>
                      <wp:wrapNone/>
                      <wp:docPr id="1908" name="Group 1908"/>
                      <wp:cNvGraphicFramePr>
                        <a:graphicFrameLocks/>
                      </wp:cNvGraphicFramePr>
                      <a:graphic>
                        <a:graphicData uri="http://schemas.microsoft.com/office/word/2010/wordprocessingGroup">
                          <wpg:wgp>
                            <wpg:cNvPr id="1908" name="Group 1908"/>
                            <wpg:cNvGrpSpPr/>
                            <wpg:grpSpPr>
                              <a:xfrm>
                                <a:off x="0" y="0"/>
                                <a:ext cx="734695" cy="753110"/>
                                <a:chExt cx="734695" cy="753110"/>
                              </a:xfrm>
                            </wpg:grpSpPr>
                            <pic:pic>
                              <pic:nvPicPr>
                                <pic:cNvPr id="1909" name="Image 1909"/>
                                <pic:cNvPicPr/>
                              </pic:nvPicPr>
                              <pic:blipFill>
                                <a:blip r:embed="rId316" cstate="print"/>
                                <a:stretch>
                                  <a:fillRect/>
                                </a:stretch>
                              </pic:blipFill>
                              <pic:spPr>
                                <a:xfrm>
                                  <a:off x="0" y="0"/>
                                  <a:ext cx="734567" cy="752840"/>
                                </a:xfrm>
                                <a:prstGeom prst="rect">
                                  <a:avLst/>
                                </a:prstGeom>
                              </pic:spPr>
                            </pic:pic>
                            <wps:wsp>
                              <wps:cNvPr id="1910" name="Graphic 1910"/>
                              <wps:cNvSpPr/>
                              <wps:spPr>
                                <a:xfrm>
                                  <a:off x="55524" y="55153"/>
                                  <a:ext cx="675005" cy="669925"/>
                                </a:xfrm>
                                <a:custGeom>
                                  <a:avLst/>
                                  <a:gdLst/>
                                  <a:ahLst/>
                                  <a:cxnLst/>
                                  <a:rect l="l" t="t" r="r" b="b"/>
                                  <a:pathLst>
                                    <a:path w="675005" h="669925">
                                      <a:moveTo>
                                        <a:pt x="674547" y="0"/>
                                      </a:moveTo>
                                      <a:lnTo>
                                        <a:pt x="0" y="0"/>
                                      </a:lnTo>
                                      <a:lnTo>
                                        <a:pt x="0" y="669505"/>
                                      </a:lnTo>
                                      <a:lnTo>
                                        <a:pt x="674547" y="669505"/>
                                      </a:lnTo>
                                      <a:lnTo>
                                        <a:pt x="674547"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870656" id="docshapegroup1383" coordorigin="2080,-491" coordsize="1157,1186">
                      <v:shape style="position:absolute;left:2079;top:-491;width:1157;height:1186" type="#_x0000_t75" id="docshape1384" stroked="false">
                        <v:imagedata r:id="rId316" o:title=""/>
                      </v:shape>
                      <v:rect style="position:absolute;left:2167;top:-405;width:1063;height:1055" id="docshape1385" filled="true" fillcolor="#000000" stroked="false">
                        <v:fill type="solid"/>
                      </v:rect>
                      <w10:wrap type="none"/>
                    </v:group>
                  </w:pict>
                </mc:Fallback>
              </mc:AlternateContent>
            </w:r>
            <w:r>
              <w:rPr>
                <w:rFonts w:ascii="Arial"/>
                <w:spacing w:val="-2"/>
                <w:sz w:val="14"/>
              </w:rPr>
              <w:t>34/40</w:t>
            </w:r>
          </w:p>
        </w:tc>
        <w:tc>
          <w:tcPr>
            <w:tcW w:w="102" w:type="dxa"/>
            <w:vMerge/>
            <w:tcBorders>
              <w:top w:val="nil"/>
              <w:bottom w:val="nil"/>
              <w:right w:val="nil"/>
            </w:tcBorders>
          </w:tcPr>
          <w:p>
            <w:pPr>
              <w:rPr>
                <w:sz w:val="2"/>
                <w:szCs w:val="2"/>
              </w:rPr>
            </w:pPr>
          </w:p>
        </w:tc>
        <w:tc>
          <w:tcPr>
            <w:tcW w:w="1062"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911" name="Image 1911"/>
                  <wp:cNvGraphicFramePr>
                    <a:graphicFrameLocks/>
                  </wp:cNvGraphicFramePr>
                  <a:graphic>
                    <a:graphicData uri="http://schemas.openxmlformats.org/drawingml/2006/picture">
                      <pic:pic>
                        <pic:nvPicPr>
                          <pic:cNvPr id="1911" name="Image 1911"/>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9"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3"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8" w:type="dxa"/>
            <w:tcBorders>
              <w:top w:val="single" w:sz="6" w:space="0" w:color="000000"/>
              <w:left w:val="nil"/>
              <w:bottom w:val="single" w:sz="6" w:space="0" w:color="000000"/>
            </w:tcBorders>
          </w:tcPr>
          <w:p>
            <w:pPr>
              <w:pStyle w:val="TableParagraph"/>
              <w:rPr>
                <w:rFonts w:ascii="Times New Roman"/>
                <w:sz w:val="14"/>
              </w:rPr>
            </w:pPr>
          </w:p>
        </w:tc>
        <w:tc>
          <w:tcPr>
            <w:tcW w:w="102" w:type="dxa"/>
            <w:vMerge/>
            <w:tcBorders>
              <w:top w:val="nil"/>
              <w:bottom w:val="nil"/>
              <w:right w:val="nil"/>
            </w:tcBorders>
          </w:tcPr>
          <w:p>
            <w:pPr>
              <w:rPr>
                <w:sz w:val="2"/>
                <w:szCs w:val="2"/>
              </w:rPr>
            </w:pPr>
          </w:p>
        </w:tc>
        <w:tc>
          <w:tcPr>
            <w:tcW w:w="1062" w:type="dxa"/>
            <w:vMerge/>
            <w:tcBorders>
              <w:top w:val="nil"/>
              <w:left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912" name="Image 1912"/>
                  <wp:cNvGraphicFramePr>
                    <a:graphicFrameLocks/>
                  </wp:cNvGraphicFramePr>
                  <a:graphic>
                    <a:graphicData uri="http://schemas.openxmlformats.org/drawingml/2006/picture">
                      <pic:pic>
                        <pic:nvPicPr>
                          <pic:cNvPr id="1912" name="Image 1912"/>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200"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02" w:type="dxa"/>
            <w:vMerge/>
            <w:tcBorders>
              <w:top w:val="nil"/>
              <w:bottom w:val="nil"/>
              <w:right w:val="nil"/>
            </w:tcBorders>
          </w:tcPr>
          <w:p>
            <w:pPr>
              <w:rPr>
                <w:sz w:val="2"/>
                <w:szCs w:val="2"/>
              </w:rPr>
            </w:pPr>
          </w:p>
        </w:tc>
        <w:tc>
          <w:tcPr>
            <w:tcW w:w="1062" w:type="dxa"/>
            <w:vMerge/>
            <w:tcBorders>
              <w:top w:val="nil"/>
              <w:left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2251" w:right="2021" w:firstLine="0"/>
        <w:jc w:val="both"/>
        <w:rPr>
          <w:rFonts w:ascii="Calibri" w:hAnsi="Calibri"/>
          <w:sz w:val="20"/>
        </w:rPr>
      </w:pPr>
      <w:r>
        <w:rPr>
          <w:rFonts w:ascii="Calibri" w:hAnsi="Calibri"/>
          <w:sz w:val="20"/>
        </w:rPr>
        <w:t>extendernos en demasía, son inherentes a la naturaleza urbana y funcional de las actuaciones, no reflejan una deficiente planificación y se gestionan conforme a los procedimientos adecuados, garantizando siempre la legalidad, proporcionalidad y eficiencia de los recursos públicos.</w:t>
      </w:r>
    </w:p>
    <w:p>
      <w:pPr>
        <w:spacing w:line="256" w:lineRule="auto" w:before="148"/>
        <w:ind w:left="2251" w:right="2027" w:firstLine="0"/>
        <w:jc w:val="both"/>
        <w:rPr>
          <w:rFonts w:ascii="Calibri" w:hAnsi="Calibri"/>
          <w:sz w:val="20"/>
        </w:rPr>
      </w:pPr>
      <w:r>
        <w:rPr>
          <w:rFonts w:ascii="Calibri" w:hAnsi="Calibri"/>
          <w:sz w:val="20"/>
        </w:rPr>
        <w:t>En relación con la observación formulada, se ha de precisar que el contrato de “Obras de priorización del viario y construcción de paradas accesibles para el transporte urbano”</w:t>
      </w:r>
    </w:p>
    <w:p>
      <w:pPr>
        <w:spacing w:line="259" w:lineRule="auto" w:before="142"/>
        <w:ind w:left="2251" w:right="2017" w:firstLine="0"/>
        <w:jc w:val="both"/>
        <w:rPr>
          <w:rFonts w:ascii="Calibri" w:hAnsi="Calibri"/>
          <w:sz w:val="20"/>
        </w:rPr>
      </w:pPr>
      <w:r>
        <w:rPr>
          <w:rFonts w:ascii="Calibri" w:hAnsi="Calibri"/>
          <w:sz w:val="20"/>
        </w:rPr>
        <w:t>Por todo ello, </w:t>
      </w:r>
      <w:r>
        <w:rPr>
          <w:rFonts w:ascii="Calibri" w:hAnsi="Calibri"/>
          <w:sz w:val="20"/>
          <w:u w:val="single"/>
        </w:rPr>
        <w:t>se solicita que en el texto definitivo del informe se tengan en cuenta las</w:t>
      </w:r>
      <w:r>
        <w:rPr>
          <w:rFonts w:ascii="Calibri" w:hAnsi="Calibri"/>
          <w:sz w:val="20"/>
          <w:u w:val="none"/>
        </w:rPr>
        <w:t> </w:t>
      </w:r>
      <w:r>
        <w:rPr>
          <w:rFonts w:ascii="Calibri" w:hAnsi="Calibri"/>
          <w:sz w:val="20"/>
          <w:u w:val="single"/>
        </w:rPr>
        <w:t>justificaciones proporcionadas al objeto de demostrar que la actuación del Ayuntamiento</w:t>
      </w:r>
      <w:r>
        <w:rPr>
          <w:rFonts w:ascii="Calibri" w:hAnsi="Calibri"/>
          <w:sz w:val="20"/>
          <w:u w:val="none"/>
        </w:rPr>
        <w:t> </w:t>
      </w:r>
      <w:r>
        <w:rPr>
          <w:rFonts w:ascii="Calibri" w:hAnsi="Calibri"/>
          <w:sz w:val="20"/>
          <w:u w:val="single"/>
        </w:rPr>
        <w:t>de Málaga</w:t>
      </w:r>
      <w:r>
        <w:rPr>
          <w:rFonts w:ascii="Calibri" w:hAnsi="Calibri"/>
          <w:spacing w:val="-4"/>
          <w:sz w:val="20"/>
          <w:u w:val="single"/>
        </w:rPr>
        <w:t> </w:t>
      </w:r>
      <w:r>
        <w:rPr>
          <w:rFonts w:ascii="Calibri" w:hAnsi="Calibri"/>
          <w:sz w:val="20"/>
          <w:u w:val="single"/>
        </w:rPr>
        <w:t>fue del</w:t>
      </w:r>
      <w:r>
        <w:rPr>
          <w:rFonts w:ascii="Calibri" w:hAnsi="Calibri"/>
          <w:spacing w:val="-2"/>
          <w:sz w:val="20"/>
          <w:u w:val="single"/>
        </w:rPr>
        <w:t> </w:t>
      </w:r>
      <w:r>
        <w:rPr>
          <w:rFonts w:ascii="Calibri" w:hAnsi="Calibri"/>
          <w:sz w:val="20"/>
          <w:u w:val="single"/>
        </w:rPr>
        <w:t>todo</w:t>
      </w:r>
      <w:r>
        <w:rPr>
          <w:rFonts w:ascii="Calibri" w:hAnsi="Calibri"/>
          <w:spacing w:val="-1"/>
          <w:sz w:val="20"/>
          <w:u w:val="single"/>
        </w:rPr>
        <w:t> </w:t>
      </w:r>
      <w:r>
        <w:rPr>
          <w:rFonts w:ascii="Calibri" w:hAnsi="Calibri"/>
          <w:sz w:val="20"/>
          <w:u w:val="single"/>
        </w:rPr>
        <w:t>adecuada,</w:t>
      </w:r>
      <w:r>
        <w:rPr>
          <w:rFonts w:ascii="Calibri" w:hAnsi="Calibri"/>
          <w:spacing w:val="-2"/>
          <w:sz w:val="20"/>
          <w:u w:val="single"/>
        </w:rPr>
        <w:t> </w:t>
      </w:r>
      <w:r>
        <w:rPr>
          <w:rFonts w:ascii="Calibri" w:hAnsi="Calibri"/>
          <w:sz w:val="20"/>
          <w:u w:val="single"/>
        </w:rPr>
        <w:t>sin</w:t>
      </w:r>
      <w:r>
        <w:rPr>
          <w:rFonts w:ascii="Calibri" w:hAnsi="Calibri"/>
          <w:spacing w:val="-1"/>
          <w:sz w:val="20"/>
          <w:u w:val="single"/>
        </w:rPr>
        <w:t> </w:t>
      </w:r>
      <w:r>
        <w:rPr>
          <w:rFonts w:ascii="Calibri" w:hAnsi="Calibri"/>
          <w:sz w:val="20"/>
          <w:u w:val="single"/>
        </w:rPr>
        <w:t>que</w:t>
      </w:r>
      <w:r>
        <w:rPr>
          <w:rFonts w:ascii="Calibri" w:hAnsi="Calibri"/>
          <w:spacing w:val="-2"/>
          <w:sz w:val="20"/>
          <w:u w:val="single"/>
        </w:rPr>
        <w:t> </w:t>
      </w:r>
      <w:r>
        <w:rPr>
          <w:rFonts w:ascii="Calibri" w:hAnsi="Calibri"/>
          <w:sz w:val="20"/>
          <w:u w:val="single"/>
        </w:rPr>
        <w:t>ello deba</w:t>
      </w:r>
      <w:r>
        <w:rPr>
          <w:rFonts w:ascii="Calibri" w:hAnsi="Calibri"/>
          <w:spacing w:val="-1"/>
          <w:sz w:val="20"/>
          <w:u w:val="single"/>
        </w:rPr>
        <w:t> </w:t>
      </w:r>
      <w:r>
        <w:rPr>
          <w:rFonts w:ascii="Calibri" w:hAnsi="Calibri"/>
          <w:sz w:val="20"/>
          <w:u w:val="single"/>
        </w:rPr>
        <w:t>interpretarse</w:t>
      </w:r>
      <w:r>
        <w:rPr>
          <w:rFonts w:ascii="Calibri" w:hAnsi="Calibri"/>
          <w:spacing w:val="-2"/>
          <w:sz w:val="20"/>
          <w:u w:val="single"/>
        </w:rPr>
        <w:t> </w:t>
      </w:r>
      <w:r>
        <w:rPr>
          <w:rFonts w:ascii="Calibri" w:hAnsi="Calibri"/>
          <w:sz w:val="20"/>
          <w:u w:val="single"/>
        </w:rPr>
        <w:t>como</w:t>
      </w:r>
      <w:r>
        <w:rPr>
          <w:rFonts w:ascii="Calibri" w:hAnsi="Calibri"/>
          <w:spacing w:val="-2"/>
          <w:sz w:val="20"/>
          <w:u w:val="single"/>
        </w:rPr>
        <w:t> </w:t>
      </w:r>
      <w:r>
        <w:rPr>
          <w:rFonts w:ascii="Calibri" w:hAnsi="Calibri"/>
          <w:sz w:val="20"/>
          <w:u w:val="single"/>
        </w:rPr>
        <w:t>una deficiencia en</w:t>
      </w:r>
      <w:r>
        <w:rPr>
          <w:rFonts w:ascii="Calibri" w:hAnsi="Calibri"/>
          <w:sz w:val="20"/>
          <w:u w:val="none"/>
        </w:rPr>
        <w:t> </w:t>
      </w:r>
      <w:r>
        <w:rPr>
          <w:rFonts w:ascii="Calibri" w:hAnsi="Calibri"/>
          <w:sz w:val="20"/>
          <w:u w:val="single"/>
        </w:rPr>
        <w:t>la planificación o gestión de los contratos</w:t>
      </w:r>
      <w:r>
        <w:rPr>
          <w:rFonts w:ascii="Calibri" w:hAnsi="Calibri"/>
          <w:sz w:val="20"/>
          <w:u w:val="none"/>
        </w:rPr>
        <w:t>.</w:t>
      </w:r>
    </w:p>
    <w:p>
      <w:pPr>
        <w:spacing w:line="256" w:lineRule="auto" w:before="138"/>
        <w:ind w:left="2251" w:right="2018" w:hanging="327"/>
        <w:jc w:val="both"/>
        <w:rPr>
          <w:rFonts w:ascii="Calibri" w:hAnsi="Calibri"/>
          <w:i/>
          <w:sz w:val="20"/>
        </w:rPr>
      </w:pPr>
      <w:r>
        <w:rPr>
          <w:rFonts w:ascii="Calibri" w:hAnsi="Calibri"/>
          <w:color w:val="4472C4"/>
          <w:sz w:val="20"/>
        </w:rPr>
        <w:t>-</w:t>
      </w:r>
      <w:r>
        <w:rPr>
          <w:rFonts w:ascii="Calibri" w:hAnsi="Calibri"/>
          <w:color w:val="4472C4"/>
          <w:spacing w:val="80"/>
          <w:sz w:val="20"/>
        </w:rPr>
        <w:t> </w:t>
      </w:r>
      <w:r>
        <w:rPr>
          <w:rFonts w:ascii="Calibri" w:hAnsi="Calibri"/>
          <w:i/>
          <w:color w:val="4472C4"/>
          <w:sz w:val="20"/>
        </w:rPr>
        <w:t>En la la Pág. 102 se recoge lo siguiente: “</w:t>
      </w:r>
      <w:r>
        <w:rPr>
          <w:rFonts w:ascii="Calibri" w:hAnsi="Calibri"/>
          <w:i/>
          <w:color w:val="4472C4"/>
          <w:sz w:val="20"/>
          <w:u w:val="single" w:color="4472C4"/>
        </w:rPr>
        <w:t>La agrupación de municipios formada por los</w:t>
      </w:r>
      <w:r>
        <w:rPr>
          <w:rFonts w:ascii="Calibri" w:hAnsi="Calibri"/>
          <w:i/>
          <w:color w:val="4472C4"/>
          <w:sz w:val="20"/>
          <w:u w:val="none"/>
        </w:rPr>
        <w:t> </w:t>
      </w:r>
      <w:r>
        <w:rPr>
          <w:rFonts w:ascii="Calibri" w:hAnsi="Calibri"/>
          <w:i/>
          <w:color w:val="4472C4"/>
          <w:sz w:val="20"/>
          <w:u w:val="single" w:color="4472C4"/>
        </w:rPr>
        <w:t>Ayuntamientos de Málaga, Palma y Las Palmas de Gran Canaria, junto con el de San</w:t>
      </w:r>
      <w:r>
        <w:rPr>
          <w:rFonts w:ascii="Calibri" w:hAnsi="Calibri"/>
          <w:i/>
          <w:color w:val="4472C4"/>
          <w:sz w:val="20"/>
          <w:u w:val="none"/>
        </w:rPr>
        <w:t> </w:t>
      </w:r>
      <w:r>
        <w:rPr>
          <w:rFonts w:ascii="Calibri" w:hAnsi="Calibri"/>
          <w:i/>
          <w:color w:val="4472C4"/>
          <w:sz w:val="20"/>
          <w:u w:val="single" w:color="4472C4"/>
        </w:rPr>
        <w:t>Sebastián, para solicitar subvenciones del Programa de ayudas para la transformación</w:t>
      </w:r>
      <w:r>
        <w:rPr>
          <w:rFonts w:ascii="Calibri" w:hAnsi="Calibri"/>
          <w:i/>
          <w:color w:val="4472C4"/>
          <w:sz w:val="20"/>
          <w:u w:val="none"/>
        </w:rPr>
        <w:t> </w:t>
      </w:r>
      <w:r>
        <w:rPr>
          <w:rFonts w:ascii="Calibri" w:hAnsi="Calibri"/>
          <w:i/>
          <w:color w:val="4472C4"/>
          <w:sz w:val="20"/>
          <w:u w:val="single" w:color="4472C4"/>
        </w:rPr>
        <w:t>digital y sostenible del transporte urbano, PRTR, tampoco ha llevado a cabo las</w:t>
      </w:r>
      <w:r>
        <w:rPr>
          <w:rFonts w:ascii="Calibri" w:hAnsi="Calibri"/>
          <w:i/>
          <w:color w:val="4472C4"/>
          <w:sz w:val="20"/>
          <w:u w:val="none"/>
        </w:rPr>
        <w:t> </w:t>
      </w:r>
      <w:r>
        <w:rPr>
          <w:rFonts w:ascii="Calibri" w:hAnsi="Calibri"/>
          <w:i/>
          <w:color w:val="4472C4"/>
          <w:sz w:val="20"/>
          <w:u w:val="single" w:color="4472C4"/>
        </w:rPr>
        <w:t>actuaciones de seguimiento y puesta en común de las conclusiones, procesos y, en la</w:t>
      </w:r>
      <w:r>
        <w:rPr>
          <w:rFonts w:ascii="Calibri" w:hAnsi="Calibri"/>
          <w:i/>
          <w:color w:val="4472C4"/>
          <w:sz w:val="20"/>
          <w:u w:val="none"/>
        </w:rPr>
        <w:t> </w:t>
      </w:r>
      <w:r>
        <w:rPr>
          <w:rFonts w:ascii="Calibri" w:hAnsi="Calibri"/>
          <w:i/>
          <w:color w:val="4472C4"/>
          <w:sz w:val="20"/>
          <w:u w:val="single" w:color="4472C4"/>
        </w:rPr>
        <w:t>medida</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lo</w:t>
      </w:r>
      <w:r>
        <w:rPr>
          <w:rFonts w:ascii="Calibri" w:hAnsi="Calibri"/>
          <w:i/>
          <w:color w:val="4472C4"/>
          <w:spacing w:val="40"/>
          <w:sz w:val="20"/>
          <w:u w:val="single" w:color="4472C4"/>
        </w:rPr>
        <w:t> </w:t>
      </w:r>
      <w:r>
        <w:rPr>
          <w:rFonts w:ascii="Calibri" w:hAnsi="Calibri"/>
          <w:i/>
          <w:color w:val="4472C4"/>
          <w:sz w:val="20"/>
          <w:u w:val="single" w:color="4472C4"/>
        </w:rPr>
        <w:t>posible,</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desarrollo</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software</w:t>
      </w:r>
      <w:r>
        <w:rPr>
          <w:rFonts w:ascii="Calibri" w:hAnsi="Calibri"/>
          <w:i/>
          <w:color w:val="4472C4"/>
          <w:spacing w:val="40"/>
          <w:sz w:val="20"/>
          <w:u w:val="single" w:color="4472C4"/>
        </w:rPr>
        <w:t> </w:t>
      </w:r>
      <w:r>
        <w:rPr>
          <w:rFonts w:ascii="Calibri" w:hAnsi="Calibri"/>
          <w:i/>
          <w:color w:val="4472C4"/>
          <w:sz w:val="20"/>
          <w:u w:val="single" w:color="4472C4"/>
        </w:rPr>
        <w:t>común</w:t>
      </w:r>
      <w:r>
        <w:rPr>
          <w:rFonts w:ascii="Calibri" w:hAnsi="Calibri"/>
          <w:i/>
          <w:color w:val="4472C4"/>
          <w:spacing w:val="40"/>
          <w:sz w:val="20"/>
          <w:u w:val="single" w:color="4472C4"/>
        </w:rPr>
        <w:t> </w:t>
      </w:r>
      <w:r>
        <w:rPr>
          <w:rFonts w:ascii="Calibri" w:hAnsi="Calibri"/>
          <w:i/>
          <w:color w:val="4472C4"/>
          <w:sz w:val="20"/>
          <w:u w:val="single" w:color="4472C4"/>
        </w:rPr>
        <w:t>para</w:t>
      </w:r>
      <w:r>
        <w:rPr>
          <w:rFonts w:ascii="Calibri" w:hAnsi="Calibri"/>
          <w:i/>
          <w:color w:val="4472C4"/>
          <w:spacing w:val="40"/>
          <w:sz w:val="20"/>
          <w:u w:val="single" w:color="4472C4"/>
        </w:rPr>
        <w:t> </w:t>
      </w:r>
      <w:r>
        <w:rPr>
          <w:rFonts w:ascii="Calibri" w:hAnsi="Calibri"/>
          <w:i/>
          <w:color w:val="4472C4"/>
          <w:sz w:val="20"/>
          <w:u w:val="single" w:color="4472C4"/>
        </w:rPr>
        <w:t>abaratar</w:t>
      </w:r>
      <w:r>
        <w:rPr>
          <w:rFonts w:ascii="Calibri" w:hAnsi="Calibri"/>
          <w:i/>
          <w:color w:val="4472C4"/>
          <w:spacing w:val="40"/>
          <w:sz w:val="20"/>
          <w:u w:val="single" w:color="4472C4"/>
        </w:rPr>
        <w:t> </w:t>
      </w:r>
      <w:r>
        <w:rPr>
          <w:rFonts w:ascii="Calibri" w:hAnsi="Calibri"/>
          <w:i/>
          <w:color w:val="4472C4"/>
          <w:sz w:val="20"/>
          <w:u w:val="single" w:color="4472C4"/>
        </w:rPr>
        <w:t>los</w:t>
      </w:r>
      <w:r>
        <w:rPr>
          <w:rFonts w:ascii="Calibri" w:hAnsi="Calibri"/>
          <w:i/>
          <w:color w:val="4472C4"/>
          <w:spacing w:val="40"/>
          <w:sz w:val="20"/>
          <w:u w:val="single" w:color="4472C4"/>
        </w:rPr>
        <w:t> </w:t>
      </w:r>
      <w:r>
        <w:rPr>
          <w:rFonts w:ascii="Calibri" w:hAnsi="Calibri"/>
          <w:i/>
          <w:color w:val="4472C4"/>
          <w:sz w:val="20"/>
          <w:u w:val="single" w:color="4472C4"/>
        </w:rPr>
        <w:t>costes</w:t>
      </w:r>
      <w:r>
        <w:rPr>
          <w:rFonts w:ascii="Calibri" w:hAnsi="Calibri"/>
          <w:i/>
          <w:color w:val="4472C4"/>
          <w:spacing w:val="40"/>
          <w:sz w:val="20"/>
          <w:u w:val="single" w:color="4472C4"/>
        </w:rPr>
        <w:t> </w:t>
      </w:r>
      <w:r>
        <w:rPr>
          <w:rFonts w:ascii="Calibri" w:hAnsi="Calibri"/>
          <w:i/>
          <w:color w:val="4472C4"/>
          <w:sz w:val="20"/>
          <w:u w:val="single" w:color="4472C4"/>
        </w:rPr>
        <w:t>y</w:t>
      </w:r>
      <w:r>
        <w:rPr>
          <w:rFonts w:ascii="Calibri" w:hAnsi="Calibri"/>
          <w:i/>
          <w:color w:val="4472C4"/>
          <w:sz w:val="20"/>
          <w:u w:val="none"/>
        </w:rPr>
        <w:t> </w:t>
      </w:r>
      <w:r>
        <w:rPr>
          <w:rFonts w:ascii="Calibri" w:hAnsi="Calibri"/>
          <w:i/>
          <w:color w:val="4472C4"/>
          <w:sz w:val="20"/>
          <w:u w:val="single" w:color="4472C4"/>
        </w:rPr>
        <w:t>trabajar a favor de la estandarización de los sistemas, previstas en el convenio por el que</w:t>
      </w:r>
      <w:r>
        <w:rPr>
          <w:rFonts w:ascii="Calibri" w:hAnsi="Calibri"/>
          <w:i/>
          <w:color w:val="4472C4"/>
          <w:sz w:val="20"/>
          <w:u w:val="none"/>
        </w:rPr>
        <w:t> </w:t>
      </w:r>
      <w:r>
        <w:rPr>
          <w:rFonts w:ascii="Calibri" w:hAnsi="Calibri"/>
          <w:i/>
          <w:color w:val="4472C4"/>
          <w:sz w:val="20"/>
          <w:u w:val="single" w:color="4472C4"/>
        </w:rPr>
        <w:t>se constituyó. El Comité del Proyecto se ha reunido únicamente en tres ocasiones, todas</w:t>
      </w:r>
      <w:r>
        <w:rPr>
          <w:rFonts w:ascii="Calibri" w:hAnsi="Calibri"/>
          <w:i/>
          <w:color w:val="4472C4"/>
          <w:sz w:val="20"/>
          <w:u w:val="none"/>
        </w:rPr>
        <w:t> </w:t>
      </w:r>
      <w:r>
        <w:rPr>
          <w:rFonts w:ascii="Calibri" w:hAnsi="Calibri"/>
          <w:i/>
          <w:color w:val="4472C4"/>
          <w:sz w:val="20"/>
          <w:u w:val="single" w:color="4472C4"/>
        </w:rPr>
        <w:t>ellas en 2024, con el único objetivo de revisar la ejecución del proyecto y adoptar</w:t>
      </w:r>
      <w:r>
        <w:rPr>
          <w:rFonts w:ascii="Calibri" w:hAnsi="Calibri"/>
          <w:i/>
          <w:color w:val="4472C4"/>
          <w:sz w:val="20"/>
          <w:u w:val="none"/>
        </w:rPr>
        <w:t> </w:t>
      </w:r>
      <w:r>
        <w:rPr>
          <w:rFonts w:ascii="Calibri" w:hAnsi="Calibri"/>
          <w:i/>
          <w:color w:val="4472C4"/>
          <w:sz w:val="20"/>
          <w:u w:val="single" w:color="4472C4"/>
        </w:rPr>
        <w:t>decisiones sobre transferencias internas de presupuesto y evitar de esta manera posibles</w:t>
      </w:r>
      <w:r>
        <w:rPr>
          <w:rFonts w:ascii="Calibri" w:hAnsi="Calibri"/>
          <w:i/>
          <w:color w:val="4472C4"/>
          <w:sz w:val="20"/>
          <w:u w:val="none"/>
        </w:rPr>
        <w:t> </w:t>
      </w:r>
      <w:r>
        <w:rPr>
          <w:rFonts w:ascii="Calibri" w:hAnsi="Calibri"/>
          <w:i/>
          <w:color w:val="4472C4"/>
          <w:sz w:val="20"/>
          <w:u w:val="single" w:color="4472C4"/>
        </w:rPr>
        <w:t>incumplimientos en algunas de las actuaciones previstas en el proyecto.</w:t>
      </w:r>
      <w:r>
        <w:rPr>
          <w:rFonts w:ascii="Calibri" w:hAnsi="Calibri"/>
          <w:i/>
          <w:color w:val="4472C4"/>
          <w:spacing w:val="80"/>
          <w:sz w:val="20"/>
          <w:u w:val="none"/>
        </w:rPr>
        <w:t> </w:t>
      </w:r>
      <w:r>
        <w:rPr>
          <w:rFonts w:ascii="Calibri" w:hAnsi="Calibri"/>
          <w:i/>
          <w:color w:val="4472C4"/>
          <w:sz w:val="20"/>
          <w:u w:val="single" w:color="4472C4"/>
        </w:rPr>
        <w:t>RECOMENDACIÓN nº 6: Los ayuntamientos fiscalizados deberían establecer los</w:t>
      </w:r>
      <w:r>
        <w:rPr>
          <w:rFonts w:ascii="Calibri" w:hAnsi="Calibri"/>
          <w:i/>
          <w:color w:val="4472C4"/>
          <w:sz w:val="20"/>
          <w:u w:val="none"/>
        </w:rPr>
        <w:t> </w:t>
      </w:r>
      <w:r>
        <w:rPr>
          <w:rFonts w:ascii="Calibri" w:hAnsi="Calibri"/>
          <w:i/>
          <w:color w:val="4472C4"/>
          <w:sz w:val="20"/>
          <w:u w:val="single" w:color="4472C4"/>
        </w:rPr>
        <w:t>procedimientos que sean precisos para verificar el grado de ejecución y la efectividad de</w:t>
      </w:r>
      <w:r>
        <w:rPr>
          <w:rFonts w:ascii="Calibri" w:hAnsi="Calibri"/>
          <w:i/>
          <w:color w:val="4472C4"/>
          <w:spacing w:val="40"/>
          <w:sz w:val="20"/>
          <w:u w:val="none"/>
        </w:rPr>
        <w:t> </w:t>
      </w:r>
      <w:r>
        <w:rPr>
          <w:rFonts w:ascii="Calibri" w:hAnsi="Calibri"/>
          <w:i/>
          <w:color w:val="4472C4"/>
          <w:sz w:val="20"/>
          <w:u w:val="single" w:color="4472C4"/>
        </w:rPr>
        <w:t>las actuaciones realizadas para lograr la movilidad del transporte público colectivo y su</w:t>
      </w:r>
      <w:r>
        <w:rPr>
          <w:rFonts w:ascii="Calibri" w:hAnsi="Calibri"/>
          <w:i/>
          <w:color w:val="4472C4"/>
          <w:sz w:val="20"/>
          <w:u w:val="none"/>
        </w:rPr>
        <w:t> </w:t>
      </w:r>
      <w:r>
        <w:rPr>
          <w:rFonts w:ascii="Calibri" w:hAnsi="Calibri"/>
          <w:i/>
          <w:color w:val="4472C4"/>
          <w:sz w:val="20"/>
          <w:u w:val="single" w:color="4472C4"/>
        </w:rPr>
        <w:t>adecuación a las necesidades del servicio. Dicho seguimiento debería servir también para</w:t>
      </w:r>
      <w:r>
        <w:rPr>
          <w:rFonts w:ascii="Calibri" w:hAnsi="Calibri"/>
          <w:i/>
          <w:color w:val="4472C4"/>
          <w:sz w:val="20"/>
          <w:u w:val="none"/>
        </w:rPr>
        <w:t> </w:t>
      </w:r>
      <w:r>
        <w:rPr>
          <w:rFonts w:ascii="Calibri" w:hAnsi="Calibri"/>
          <w:i/>
          <w:color w:val="4472C4"/>
          <w:sz w:val="20"/>
          <w:u w:val="single" w:color="4472C4"/>
        </w:rPr>
        <w:t>identificar aspectos susceptibles de mejora y/o de actualización, a la vista de los</w:t>
      </w:r>
      <w:r>
        <w:rPr>
          <w:rFonts w:ascii="Calibri" w:hAnsi="Calibri"/>
          <w:i/>
          <w:color w:val="4472C4"/>
          <w:spacing w:val="80"/>
          <w:sz w:val="20"/>
          <w:u w:val="none"/>
        </w:rPr>
        <w:t> </w:t>
      </w:r>
      <w:r>
        <w:rPr>
          <w:rFonts w:ascii="Calibri" w:hAnsi="Calibri"/>
          <w:i/>
          <w:color w:val="4472C4"/>
          <w:sz w:val="20"/>
          <w:u w:val="single" w:color="4472C4"/>
        </w:rPr>
        <w:t>resultados obtenidos y de las novedades que, en áreas como la digitalización, puedan</w:t>
      </w:r>
      <w:r>
        <w:rPr>
          <w:rFonts w:ascii="Calibri" w:hAnsi="Calibri"/>
          <w:i/>
          <w:color w:val="4472C4"/>
          <w:sz w:val="20"/>
          <w:u w:val="none"/>
        </w:rPr>
        <w:t> </w:t>
      </w:r>
      <w:r>
        <w:rPr>
          <w:rFonts w:ascii="Calibri" w:hAnsi="Calibri"/>
          <w:i/>
          <w:color w:val="4472C4"/>
          <w:sz w:val="20"/>
          <w:u w:val="single" w:color="4472C4"/>
        </w:rPr>
        <w:t>surgir periódicamente en el sector</w:t>
      </w:r>
    </w:p>
    <w:p>
      <w:pPr>
        <w:pStyle w:val="BodyText"/>
        <w:rPr>
          <w:rFonts w:ascii="Calibri"/>
          <w:i/>
          <w:sz w:val="20"/>
        </w:rPr>
      </w:pPr>
    </w:p>
    <w:p>
      <w:pPr>
        <w:pStyle w:val="BodyText"/>
        <w:spacing w:before="66"/>
        <w:rPr>
          <w:rFonts w:ascii="Calibri"/>
          <w:i/>
          <w:sz w:val="20"/>
        </w:rPr>
      </w:pPr>
    </w:p>
    <w:p>
      <w:pPr>
        <w:spacing w:line="256" w:lineRule="auto" w:before="0"/>
        <w:ind w:left="2251" w:right="2025" w:firstLine="0"/>
        <w:jc w:val="both"/>
        <w:rPr>
          <w:rFonts w:ascii="Calibri" w:hAnsi="Calibri"/>
          <w:sz w:val="20"/>
        </w:rPr>
      </w:pPr>
      <w:r>
        <w:rPr>
          <w:rFonts w:ascii="Calibri" w:hAnsi="Calibri"/>
          <w:sz w:val="20"/>
        </w:rPr>
        <w:t>En relación a esta recomendación, nos reiteramos en lo esgrimido en las observaciones anteriores, concretamente en la alegación formulada respecto de la página 80 del anteproyecto, en la que se expuso detalladamente que la Agrupación de Municipios Innobus-Tur, de la que forma parte el Ayuntamiento de Málaga, sí ha desarrollado actuaciones continuadas de coordinación técnica, seguimiento y puesta en común de </w:t>
      </w:r>
      <w:r>
        <w:rPr>
          <w:rFonts w:ascii="Calibri" w:hAnsi="Calibri"/>
          <w:spacing w:val="-2"/>
          <w:sz w:val="20"/>
        </w:rPr>
        <w:t>resultados.</w:t>
      </w:r>
    </w:p>
    <w:p>
      <w:pPr>
        <w:spacing w:line="256" w:lineRule="auto" w:before="146"/>
        <w:ind w:left="2251" w:right="2023" w:firstLine="0"/>
        <w:jc w:val="both"/>
        <w:rPr>
          <w:rFonts w:ascii="Calibri" w:hAnsi="Calibri"/>
          <w:sz w:val="20"/>
        </w:rPr>
      </w:pPr>
      <w:r>
        <w:rPr>
          <w:rFonts w:ascii="Calibri" w:hAnsi="Calibri"/>
          <w:sz w:val="20"/>
        </w:rPr>
        <w:t>La</w:t>
      </w:r>
      <w:r>
        <w:rPr>
          <w:rFonts w:ascii="Calibri" w:hAnsi="Calibri"/>
          <w:spacing w:val="-3"/>
          <w:sz w:val="20"/>
        </w:rPr>
        <w:t> </w:t>
      </w:r>
      <w:r>
        <w:rPr>
          <w:rFonts w:ascii="Calibri" w:hAnsi="Calibri"/>
          <w:sz w:val="20"/>
        </w:rPr>
        <w:t>Agrupación</w:t>
      </w:r>
      <w:r>
        <w:rPr>
          <w:rFonts w:ascii="Calibri" w:hAnsi="Calibri"/>
          <w:spacing w:val="-5"/>
          <w:sz w:val="20"/>
        </w:rPr>
        <w:t> </w:t>
      </w:r>
      <w:r>
        <w:rPr>
          <w:rFonts w:ascii="Calibri" w:hAnsi="Calibri"/>
          <w:sz w:val="20"/>
        </w:rPr>
        <w:t>cuenta</w:t>
      </w:r>
      <w:r>
        <w:rPr>
          <w:rFonts w:ascii="Calibri" w:hAnsi="Calibri"/>
          <w:spacing w:val="-3"/>
          <w:sz w:val="20"/>
        </w:rPr>
        <w:t> </w:t>
      </w:r>
      <w:r>
        <w:rPr>
          <w:rFonts w:ascii="Calibri" w:hAnsi="Calibri"/>
          <w:sz w:val="20"/>
        </w:rPr>
        <w:t>con</w:t>
      </w:r>
      <w:r>
        <w:rPr>
          <w:rFonts w:ascii="Calibri" w:hAnsi="Calibri"/>
          <w:spacing w:val="-7"/>
          <w:sz w:val="20"/>
        </w:rPr>
        <w:t> </w:t>
      </w:r>
      <w:r>
        <w:rPr>
          <w:rFonts w:ascii="Calibri" w:hAnsi="Calibri"/>
          <w:sz w:val="20"/>
        </w:rPr>
        <w:t>una</w:t>
      </w:r>
      <w:r>
        <w:rPr>
          <w:rFonts w:ascii="Calibri" w:hAnsi="Calibri"/>
          <w:spacing w:val="-3"/>
          <w:sz w:val="20"/>
        </w:rPr>
        <w:t> </w:t>
      </w:r>
      <w:r>
        <w:rPr>
          <w:rFonts w:ascii="Calibri" w:hAnsi="Calibri"/>
          <w:sz w:val="20"/>
        </w:rPr>
        <w:t>Comisión</w:t>
      </w:r>
      <w:r>
        <w:rPr>
          <w:rFonts w:ascii="Calibri" w:hAnsi="Calibri"/>
          <w:spacing w:val="-5"/>
          <w:sz w:val="20"/>
        </w:rPr>
        <w:t> </w:t>
      </w:r>
      <w:r>
        <w:rPr>
          <w:rFonts w:ascii="Calibri" w:hAnsi="Calibri"/>
          <w:sz w:val="20"/>
        </w:rPr>
        <w:t>Técnica</w:t>
      </w:r>
      <w:r>
        <w:rPr>
          <w:rFonts w:ascii="Calibri" w:hAnsi="Calibri"/>
          <w:spacing w:val="-8"/>
          <w:sz w:val="20"/>
        </w:rPr>
        <w:t> </w:t>
      </w:r>
      <w:r>
        <w:rPr>
          <w:rFonts w:ascii="Calibri" w:hAnsi="Calibri"/>
          <w:sz w:val="20"/>
        </w:rPr>
        <w:t>activa</w:t>
      </w:r>
      <w:r>
        <w:rPr>
          <w:rFonts w:ascii="Calibri" w:hAnsi="Calibri"/>
          <w:spacing w:val="-3"/>
          <w:sz w:val="20"/>
        </w:rPr>
        <w:t> </w:t>
      </w:r>
      <w:r>
        <w:rPr>
          <w:rFonts w:ascii="Calibri" w:hAnsi="Calibri"/>
          <w:sz w:val="20"/>
        </w:rPr>
        <w:t>desde</w:t>
      </w:r>
      <w:r>
        <w:rPr>
          <w:rFonts w:ascii="Calibri" w:hAnsi="Calibri"/>
          <w:spacing w:val="-4"/>
          <w:sz w:val="20"/>
        </w:rPr>
        <w:t> </w:t>
      </w:r>
      <w:r>
        <w:rPr>
          <w:rFonts w:ascii="Calibri" w:hAnsi="Calibri"/>
          <w:sz w:val="20"/>
        </w:rPr>
        <w:t>el</w:t>
      </w:r>
      <w:r>
        <w:rPr>
          <w:rFonts w:ascii="Calibri" w:hAnsi="Calibri"/>
          <w:spacing w:val="-6"/>
          <w:sz w:val="20"/>
        </w:rPr>
        <w:t> </w:t>
      </w:r>
      <w:r>
        <w:rPr>
          <w:rFonts w:ascii="Calibri" w:hAnsi="Calibri"/>
          <w:sz w:val="20"/>
        </w:rPr>
        <w:t>15</w:t>
      </w:r>
      <w:r>
        <w:rPr>
          <w:rFonts w:ascii="Calibri" w:hAnsi="Calibri"/>
          <w:spacing w:val="-2"/>
          <w:sz w:val="20"/>
        </w:rPr>
        <w:t> </w:t>
      </w:r>
      <w:r>
        <w:rPr>
          <w:rFonts w:ascii="Calibri" w:hAnsi="Calibri"/>
          <w:sz w:val="20"/>
        </w:rPr>
        <w:t>de</w:t>
      </w:r>
      <w:r>
        <w:rPr>
          <w:rFonts w:ascii="Calibri" w:hAnsi="Calibri"/>
          <w:spacing w:val="-3"/>
          <w:sz w:val="20"/>
        </w:rPr>
        <w:t> </w:t>
      </w:r>
      <w:r>
        <w:rPr>
          <w:rFonts w:ascii="Calibri" w:hAnsi="Calibri"/>
          <w:sz w:val="20"/>
        </w:rPr>
        <w:t>septiembre</w:t>
      </w:r>
      <w:r>
        <w:rPr>
          <w:rFonts w:ascii="Calibri" w:hAnsi="Calibri"/>
          <w:spacing w:val="-4"/>
          <w:sz w:val="20"/>
        </w:rPr>
        <w:t> </w:t>
      </w:r>
      <w:r>
        <w:rPr>
          <w:rFonts w:ascii="Calibri" w:hAnsi="Calibri"/>
          <w:sz w:val="20"/>
        </w:rPr>
        <w:t>de</w:t>
      </w:r>
      <w:r>
        <w:rPr>
          <w:rFonts w:ascii="Calibri" w:hAnsi="Calibri"/>
          <w:spacing w:val="-8"/>
          <w:sz w:val="20"/>
        </w:rPr>
        <w:t> </w:t>
      </w:r>
      <w:r>
        <w:rPr>
          <w:rFonts w:ascii="Calibri" w:hAnsi="Calibri"/>
          <w:sz w:val="20"/>
        </w:rPr>
        <w:t>2022, integrada por técnicos de las empresas de transporte de los municipios participantes, la cual</w:t>
      </w:r>
      <w:r>
        <w:rPr>
          <w:rFonts w:ascii="Calibri" w:hAnsi="Calibri"/>
          <w:spacing w:val="-2"/>
          <w:sz w:val="20"/>
        </w:rPr>
        <w:t> </w:t>
      </w:r>
      <w:r>
        <w:rPr>
          <w:rFonts w:ascii="Calibri" w:hAnsi="Calibri"/>
          <w:sz w:val="20"/>
        </w:rPr>
        <w:t>se</w:t>
      </w:r>
      <w:r>
        <w:rPr>
          <w:rFonts w:ascii="Calibri" w:hAnsi="Calibri"/>
          <w:spacing w:val="-1"/>
          <w:sz w:val="20"/>
        </w:rPr>
        <w:t> </w:t>
      </w:r>
      <w:r>
        <w:rPr>
          <w:rFonts w:ascii="Calibri" w:hAnsi="Calibri"/>
          <w:sz w:val="20"/>
        </w:rPr>
        <w:t>reúne</w:t>
      </w:r>
      <w:r>
        <w:rPr>
          <w:rFonts w:ascii="Calibri" w:hAnsi="Calibri"/>
          <w:spacing w:val="-3"/>
          <w:sz w:val="20"/>
        </w:rPr>
        <w:t> </w:t>
      </w:r>
      <w:r>
        <w:rPr>
          <w:rFonts w:ascii="Calibri" w:hAnsi="Calibri"/>
          <w:sz w:val="20"/>
        </w:rPr>
        <w:t>periódicamente cada</w:t>
      </w:r>
      <w:r>
        <w:rPr>
          <w:rFonts w:ascii="Calibri" w:hAnsi="Calibri"/>
          <w:spacing w:val="-1"/>
          <w:sz w:val="20"/>
        </w:rPr>
        <w:t> </w:t>
      </w:r>
      <w:r>
        <w:rPr>
          <w:rFonts w:ascii="Calibri" w:hAnsi="Calibri"/>
          <w:sz w:val="20"/>
        </w:rPr>
        <w:t>mes</w:t>
      </w:r>
      <w:r>
        <w:rPr>
          <w:rFonts w:ascii="Calibri" w:hAnsi="Calibri"/>
          <w:spacing w:val="-7"/>
          <w:sz w:val="20"/>
        </w:rPr>
        <w:t> </w:t>
      </w:r>
      <w:r>
        <w:rPr>
          <w:rFonts w:ascii="Calibri" w:hAnsi="Calibri"/>
          <w:sz w:val="20"/>
        </w:rPr>
        <w:t>y</w:t>
      </w:r>
      <w:r>
        <w:rPr>
          <w:rFonts w:ascii="Calibri" w:hAnsi="Calibri"/>
          <w:spacing w:val="-1"/>
          <w:sz w:val="20"/>
        </w:rPr>
        <w:t> </w:t>
      </w:r>
      <w:r>
        <w:rPr>
          <w:rFonts w:ascii="Calibri" w:hAnsi="Calibri"/>
          <w:sz w:val="20"/>
        </w:rPr>
        <w:t>medio</w:t>
      </w:r>
      <w:r>
        <w:rPr>
          <w:rFonts w:ascii="Calibri" w:hAnsi="Calibri"/>
          <w:spacing w:val="-1"/>
          <w:sz w:val="20"/>
        </w:rPr>
        <w:t> </w:t>
      </w:r>
      <w:r>
        <w:rPr>
          <w:rFonts w:ascii="Calibri" w:hAnsi="Calibri"/>
          <w:sz w:val="20"/>
        </w:rPr>
        <w:t>y</w:t>
      </w:r>
      <w:r>
        <w:rPr>
          <w:rFonts w:ascii="Calibri" w:hAnsi="Calibri"/>
          <w:spacing w:val="-5"/>
          <w:sz w:val="20"/>
        </w:rPr>
        <w:t> </w:t>
      </w:r>
      <w:r>
        <w:rPr>
          <w:rFonts w:ascii="Calibri" w:hAnsi="Calibri"/>
          <w:sz w:val="20"/>
        </w:rPr>
        <w:t>constituye</w:t>
      </w:r>
      <w:r>
        <w:rPr>
          <w:rFonts w:ascii="Calibri" w:hAnsi="Calibri"/>
          <w:spacing w:val="-2"/>
          <w:sz w:val="20"/>
        </w:rPr>
        <w:t> </w:t>
      </w:r>
      <w:r>
        <w:rPr>
          <w:rFonts w:ascii="Calibri" w:hAnsi="Calibri"/>
          <w:sz w:val="20"/>
        </w:rPr>
        <w:t>el</w:t>
      </w:r>
      <w:r>
        <w:rPr>
          <w:rFonts w:ascii="Calibri" w:hAnsi="Calibri"/>
          <w:spacing w:val="-2"/>
          <w:sz w:val="20"/>
        </w:rPr>
        <w:t> </w:t>
      </w:r>
      <w:r>
        <w:rPr>
          <w:rFonts w:ascii="Calibri" w:hAnsi="Calibri"/>
          <w:sz w:val="20"/>
        </w:rPr>
        <w:t>principal</w:t>
      </w:r>
      <w:r>
        <w:rPr>
          <w:rFonts w:ascii="Calibri" w:hAnsi="Calibri"/>
          <w:spacing w:val="-1"/>
          <w:sz w:val="20"/>
        </w:rPr>
        <w:t> </w:t>
      </w:r>
      <w:r>
        <w:rPr>
          <w:rFonts w:ascii="Calibri" w:hAnsi="Calibri"/>
          <w:sz w:val="20"/>
        </w:rPr>
        <w:t>órgano</w:t>
      </w:r>
      <w:r>
        <w:rPr>
          <w:rFonts w:ascii="Calibri" w:hAnsi="Calibri"/>
          <w:spacing w:val="-2"/>
          <w:sz w:val="20"/>
        </w:rPr>
        <w:t> </w:t>
      </w:r>
      <w:r>
        <w:rPr>
          <w:rFonts w:ascii="Calibri" w:hAnsi="Calibri"/>
          <w:sz w:val="20"/>
        </w:rPr>
        <w:t>operativo de coordinación y seguimiento del proyecto.</w:t>
      </w:r>
    </w:p>
    <w:p>
      <w:pPr>
        <w:pStyle w:val="BodyText"/>
        <w:rPr>
          <w:rFonts w:ascii="Calibri"/>
          <w:sz w:val="20"/>
        </w:rPr>
      </w:pPr>
    </w:p>
    <w:p>
      <w:pPr>
        <w:pStyle w:val="BodyText"/>
        <w:spacing w:before="114" w:after="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929" name="Group 1929"/>
                <wp:cNvGraphicFramePr>
                  <a:graphicFrameLocks/>
                </wp:cNvGraphicFramePr>
                <a:graphic>
                  <a:graphicData uri="http://schemas.microsoft.com/office/word/2010/wordprocessingGroup">
                    <wpg:wgp>
                      <wpg:cNvPr id="1929" name="Group 1929"/>
                      <wpg:cNvGrpSpPr/>
                      <wpg:grpSpPr>
                        <a:xfrm>
                          <a:off x="0" y="0"/>
                          <a:ext cx="1870075" cy="6350"/>
                          <a:chExt cx="1870075" cy="6350"/>
                        </a:xfrm>
                      </wpg:grpSpPr>
                      <wps:wsp>
                        <wps:cNvPr id="1930" name="Graphic 1930"/>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398" coordorigin="0,0" coordsize="2945,10">
                <v:rect style="position:absolute;left:0;top:0;width:2945;height:10" id="docshape1399"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931" name="Group 1931"/>
                <wp:cNvGraphicFramePr>
                  <a:graphicFrameLocks/>
                </wp:cNvGraphicFramePr>
                <a:graphic>
                  <a:graphicData uri="http://schemas.microsoft.com/office/word/2010/wordprocessingGroup">
                    <wpg:wgp>
                      <wpg:cNvPr id="1931" name="Group 1931"/>
                      <wpg:cNvGrpSpPr/>
                      <wpg:grpSpPr>
                        <a:xfrm>
                          <a:off x="0" y="0"/>
                          <a:ext cx="841375" cy="6350"/>
                          <a:chExt cx="841375" cy="6350"/>
                        </a:xfrm>
                      </wpg:grpSpPr>
                      <wps:wsp>
                        <wps:cNvPr id="1932" name="Graphic 1932"/>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400" coordorigin="0,0" coordsize="1325,10">
                <v:rect style="position:absolute;left:0;top:0;width:1325;height:10" id="docshape1401"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317"/>
          <w:headerReference w:type="even" r:id="rId318"/>
          <w:footerReference w:type="default" r:id="rId319"/>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47360">
                <wp:simplePos x="0" y="0"/>
                <wp:positionH relativeFrom="page">
                  <wp:posOffset>4332186</wp:posOffset>
                </wp:positionH>
                <wp:positionV relativeFrom="paragraph">
                  <wp:posOffset>1412477</wp:posOffset>
                </wp:positionV>
                <wp:extent cx="53340" cy="100330"/>
                <wp:effectExtent l="0" t="0" r="0" b="0"/>
                <wp:wrapNone/>
                <wp:docPr id="1933" name="Textbox 1933"/>
                <wp:cNvGraphicFramePr>
                  <a:graphicFrameLocks/>
                </wp:cNvGraphicFramePr>
                <a:graphic>
                  <a:graphicData uri="http://schemas.microsoft.com/office/word/2010/wordprocessingShape">
                    <wps:wsp>
                      <wps:cNvPr id="1933" name="Textbox 1933"/>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69120" type="#_x0000_t202" id="docshape1402"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47"/>
        <w:gridCol w:w="2100"/>
        <w:gridCol w:w="919"/>
        <w:gridCol w:w="541"/>
        <w:gridCol w:w="1022"/>
        <w:gridCol w:w="817"/>
        <w:gridCol w:w="1247"/>
        <w:gridCol w:w="1155"/>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47" w:type="dxa"/>
            <w:tcBorders>
              <w:left w:val="single" w:sz="6" w:space="0" w:color="000000"/>
              <w:bottom w:val="single" w:sz="6" w:space="0" w:color="000000"/>
              <w:right w:val="nil"/>
            </w:tcBorders>
          </w:tcPr>
          <w:p>
            <w:pPr>
              <w:pStyle w:val="TableParagraph"/>
              <w:rPr>
                <w:rFonts w:ascii="Times New Roman"/>
                <w:sz w:val="14"/>
              </w:rPr>
            </w:pPr>
          </w:p>
        </w:tc>
        <w:tc>
          <w:tcPr>
            <w:tcW w:w="2100" w:type="dxa"/>
            <w:tcBorders>
              <w:top w:val="nil"/>
              <w:left w:val="nil"/>
              <w:bottom w:val="single" w:sz="6" w:space="0" w:color="000000"/>
              <w:right w:val="nil"/>
            </w:tcBorders>
            <w:shd w:val="clear" w:color="auto" w:fill="000000"/>
          </w:tcPr>
          <w:p>
            <w:pPr>
              <w:pStyle w:val="TableParagraph"/>
              <w:rPr>
                <w:rFonts w:ascii="Times New Roman"/>
                <w:sz w:val="14"/>
              </w:rPr>
            </w:pPr>
          </w:p>
        </w:tc>
        <w:tc>
          <w:tcPr>
            <w:tcW w:w="1460"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6"/>
              <w:rPr>
                <w:rFonts w:ascii="Arial"/>
                <w:position w:val="-1"/>
                <w:sz w:val="10"/>
              </w:rPr>
            </w:pPr>
            <w:r>
              <w:rPr>
                <w:rFonts w:ascii="Arial"/>
                <w:position w:val="-1"/>
                <w:sz w:val="10"/>
              </w:rPr>
              <w:drawing>
                <wp:inline distT="0" distB="0" distL="0" distR="0">
                  <wp:extent cx="266700" cy="66675"/>
                  <wp:effectExtent l="0" t="0" r="0" b="0"/>
                  <wp:docPr id="1934" name="Image 1934"/>
                  <wp:cNvGraphicFramePr>
                    <a:graphicFrameLocks/>
                  </wp:cNvGraphicFramePr>
                  <a:graphic>
                    <a:graphicData uri="http://schemas.openxmlformats.org/drawingml/2006/picture">
                      <pic:pic>
                        <pic:nvPicPr>
                          <pic:cNvPr id="1934" name="Image 1934"/>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8"/>
              <w:rPr>
                <w:rFonts w:ascii="Arial"/>
                <w:position w:val="-2"/>
                <w:sz w:val="13"/>
              </w:rPr>
            </w:pPr>
            <w:r>
              <w:rPr>
                <w:rFonts w:ascii="Arial"/>
                <w:position w:val="-2"/>
                <w:sz w:val="13"/>
              </w:rPr>
              <w:drawing>
                <wp:inline distT="0" distB="0" distL="0" distR="0">
                  <wp:extent cx="498011" cy="85058"/>
                  <wp:effectExtent l="0" t="0" r="0" b="0"/>
                  <wp:docPr id="1935" name="Image 1935"/>
                  <wp:cNvGraphicFramePr>
                    <a:graphicFrameLocks/>
                  </wp:cNvGraphicFramePr>
                  <a:graphic>
                    <a:graphicData uri="http://schemas.openxmlformats.org/drawingml/2006/picture">
                      <pic:pic>
                        <pic:nvPicPr>
                          <pic:cNvPr id="1935" name="Image 1935"/>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55" w:type="dxa"/>
            <w:vMerge w:val="restart"/>
            <w:tcBorders>
              <w:top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7"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47872">
                      <wp:simplePos x="0" y="0"/>
                      <wp:positionH relativeFrom="column">
                        <wp:posOffset>-1298447</wp:posOffset>
                      </wp:positionH>
                      <wp:positionV relativeFrom="paragraph">
                        <wp:posOffset>-144895</wp:posOffset>
                      </wp:positionV>
                      <wp:extent cx="1298575" cy="417830"/>
                      <wp:effectExtent l="0" t="0" r="0" b="0"/>
                      <wp:wrapNone/>
                      <wp:docPr id="1936" name="Group 1936"/>
                      <wp:cNvGraphicFramePr>
                        <a:graphicFrameLocks/>
                      </wp:cNvGraphicFramePr>
                      <a:graphic>
                        <a:graphicData uri="http://schemas.microsoft.com/office/word/2010/wordprocessingGroup">
                          <wpg:wgp>
                            <wpg:cNvPr id="1936" name="Group 1936"/>
                            <wpg:cNvGrpSpPr/>
                            <wpg:grpSpPr>
                              <a:xfrm>
                                <a:off x="0" y="0"/>
                                <a:ext cx="1298575" cy="417830"/>
                                <a:chExt cx="1298575" cy="417830"/>
                              </a:xfrm>
                            </wpg:grpSpPr>
                            <wps:wsp>
                              <wps:cNvPr id="1937" name="Graphic 1937"/>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938" name="Image 1938"/>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868608" id="docshapegroup1403" coordorigin="-2045,-228" coordsize="2045,658">
                      <v:shape style="position:absolute;left:-2045;top:-229;width:2045;height:658" id="docshape1404" coordorigin="-2045,-228" coordsize="2045,658" path="m0,-228l-2045,-228,-2045,-10,-2045,-7,-2045,429,0,429,0,-7,0,-10,0,-228xe" filled="true" fillcolor="#cccccc" stroked="false">
                        <v:path arrowok="t"/>
                        <v:fill type="solid"/>
                      </v:shape>
                      <v:shape style="position:absolute;left:-1973;top:-154;width:1896;height:327" type="#_x0000_t75" id="docshape1405"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7"/>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5"/>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55"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939" name="Image 1939"/>
                  <wp:cNvGraphicFramePr>
                    <a:graphicFrameLocks/>
                  </wp:cNvGraphicFramePr>
                  <a:graphic>
                    <a:graphicData uri="http://schemas.openxmlformats.org/drawingml/2006/picture">
                      <pic:pic>
                        <pic:nvPicPr>
                          <pic:cNvPr id="1939" name="Image 1939"/>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7"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6"/>
              <w:rPr>
                <w:rFonts w:ascii="Arial"/>
                <w:position w:val="-2"/>
                <w:sz w:val="13"/>
              </w:rPr>
            </w:pPr>
            <w:r>
              <w:rPr>
                <w:rFonts w:ascii="Arial"/>
                <w:position w:val="-2"/>
                <w:sz w:val="13"/>
              </w:rPr>
              <w:drawing>
                <wp:inline distT="0" distB="0" distL="0" distR="0">
                  <wp:extent cx="263120" cy="84010"/>
                  <wp:effectExtent l="0" t="0" r="0" b="0"/>
                  <wp:docPr id="1940" name="Image 1940"/>
                  <wp:cNvGraphicFramePr>
                    <a:graphicFrameLocks/>
                  </wp:cNvGraphicFramePr>
                  <a:graphic>
                    <a:graphicData uri="http://schemas.openxmlformats.org/drawingml/2006/picture">
                      <pic:pic>
                        <pic:nvPicPr>
                          <pic:cNvPr id="1940" name="Image 1940"/>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2"/>
              <w:jc w:val="center"/>
              <w:rPr>
                <w:rFonts w:ascii="Arial"/>
                <w:sz w:val="14"/>
              </w:rPr>
            </w:pPr>
            <w:r>
              <w:rPr>
                <w:rFonts w:ascii="Arial"/>
                <w:sz w:val="14"/>
              </w:rPr>
              <mc:AlternateContent>
                <mc:Choice Requires="wps">
                  <w:drawing>
                    <wp:anchor distT="0" distB="0" distL="0" distR="0" allowOverlap="1" layoutInCell="1" locked="0" behindDoc="1" simplePos="0" relativeHeight="474448384">
                      <wp:simplePos x="0" y="0"/>
                      <wp:positionH relativeFrom="column">
                        <wp:posOffset>1320546</wp:posOffset>
                      </wp:positionH>
                      <wp:positionV relativeFrom="paragraph">
                        <wp:posOffset>-311719</wp:posOffset>
                      </wp:positionV>
                      <wp:extent cx="734695" cy="753110"/>
                      <wp:effectExtent l="0" t="0" r="0" b="0"/>
                      <wp:wrapNone/>
                      <wp:docPr id="1941" name="Group 1941"/>
                      <wp:cNvGraphicFramePr>
                        <a:graphicFrameLocks/>
                      </wp:cNvGraphicFramePr>
                      <a:graphic>
                        <a:graphicData uri="http://schemas.microsoft.com/office/word/2010/wordprocessingGroup">
                          <wpg:wgp>
                            <wpg:cNvPr id="1941" name="Group 1941"/>
                            <wpg:cNvGrpSpPr/>
                            <wpg:grpSpPr>
                              <a:xfrm>
                                <a:off x="0" y="0"/>
                                <a:ext cx="734695" cy="753110"/>
                                <a:chExt cx="734695" cy="753110"/>
                              </a:xfrm>
                            </wpg:grpSpPr>
                            <pic:pic>
                              <pic:nvPicPr>
                                <pic:cNvPr id="1942" name="Image 1942"/>
                                <pic:cNvPicPr/>
                              </pic:nvPicPr>
                              <pic:blipFill>
                                <a:blip r:embed="rId320" cstate="print"/>
                                <a:stretch>
                                  <a:fillRect/>
                                </a:stretch>
                              </pic:blipFill>
                              <pic:spPr>
                                <a:xfrm>
                                  <a:off x="0" y="0"/>
                                  <a:ext cx="734567" cy="752840"/>
                                </a:xfrm>
                                <a:prstGeom prst="rect">
                                  <a:avLst/>
                                </a:prstGeom>
                              </pic:spPr>
                            </pic:pic>
                            <wps:wsp>
                              <wps:cNvPr id="1943" name="Graphic 1943"/>
                              <wps:cNvSpPr/>
                              <wps:spPr>
                                <a:xfrm>
                                  <a:off x="35534" y="25181"/>
                                  <a:ext cx="689610" cy="694690"/>
                                </a:xfrm>
                                <a:custGeom>
                                  <a:avLst/>
                                  <a:gdLst/>
                                  <a:ahLst/>
                                  <a:cxnLst/>
                                  <a:rect l="l" t="t" r="r" b="b"/>
                                  <a:pathLst>
                                    <a:path w="689610" h="694690">
                                      <a:moveTo>
                                        <a:pt x="689546" y="0"/>
                                      </a:moveTo>
                                      <a:lnTo>
                                        <a:pt x="0" y="0"/>
                                      </a:lnTo>
                                      <a:lnTo>
                                        <a:pt x="0" y="694474"/>
                                      </a:lnTo>
                                      <a:lnTo>
                                        <a:pt x="689546" y="694474"/>
                                      </a:lnTo>
                                      <a:lnTo>
                                        <a:pt x="689546"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868096" id="docshapegroup1406" coordorigin="2080,-491" coordsize="1157,1186">
                      <v:shape style="position:absolute;left:2079;top:-491;width:1157;height:1186" type="#_x0000_t75" id="docshape1407" stroked="false">
                        <v:imagedata r:id="rId320" o:title=""/>
                      </v:shape>
                      <v:rect style="position:absolute;left:2135;top:-452;width:1086;height:1094" id="docshape1408" filled="true" fillcolor="#000000" stroked="false">
                        <v:fill type="solid"/>
                      </v:rect>
                      <w10:wrap type="none"/>
                    </v:group>
                  </w:pict>
                </mc:Fallback>
              </mc:AlternateContent>
            </w:r>
            <w:r>
              <w:rPr>
                <w:rFonts w:ascii="Arial"/>
                <w:spacing w:val="-2"/>
                <w:sz w:val="14"/>
              </w:rPr>
              <w:t>35/40</w:t>
            </w:r>
          </w:p>
        </w:tc>
        <w:tc>
          <w:tcPr>
            <w:tcW w:w="1155"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944" name="Image 1944"/>
                  <wp:cNvGraphicFramePr>
                    <a:graphicFrameLocks/>
                  </wp:cNvGraphicFramePr>
                  <a:graphic>
                    <a:graphicData uri="http://schemas.openxmlformats.org/drawingml/2006/picture">
                      <pic:pic>
                        <pic:nvPicPr>
                          <pic:cNvPr id="1944" name="Image 1944"/>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6"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155" w:type="dxa"/>
            <w:vMerge/>
            <w:tcBorders>
              <w:top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945" name="Image 1945"/>
                  <wp:cNvGraphicFramePr>
                    <a:graphicFrameLocks/>
                  </wp:cNvGraphicFramePr>
                  <a:graphic>
                    <a:graphicData uri="http://schemas.openxmlformats.org/drawingml/2006/picture">
                      <pic:pic>
                        <pic:nvPicPr>
                          <pic:cNvPr id="1945" name="Image 1945"/>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3"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55" w:type="dxa"/>
            <w:vMerge/>
            <w:tcBorders>
              <w:top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2251" w:right="2021" w:firstLine="0"/>
        <w:jc w:val="both"/>
        <w:rPr>
          <w:rFonts w:ascii="Calibri" w:hAnsi="Calibri"/>
          <w:sz w:val="20"/>
        </w:rPr>
      </w:pPr>
      <w:r>
        <w:rPr>
          <w:rFonts w:ascii="Calibri" w:hAnsi="Calibri"/>
          <w:sz w:val="20"/>
        </w:rPr>
        <w:t>En</w:t>
      </w:r>
      <w:r>
        <w:rPr>
          <w:rFonts w:ascii="Calibri" w:hAnsi="Calibri"/>
          <w:spacing w:val="-5"/>
          <w:sz w:val="20"/>
        </w:rPr>
        <w:t> </w:t>
      </w:r>
      <w:r>
        <w:rPr>
          <w:rFonts w:ascii="Calibri" w:hAnsi="Calibri"/>
          <w:sz w:val="20"/>
        </w:rPr>
        <w:t>el</w:t>
      </w:r>
      <w:r>
        <w:rPr>
          <w:rFonts w:ascii="Calibri" w:hAnsi="Calibri"/>
          <w:spacing w:val="-5"/>
          <w:sz w:val="20"/>
        </w:rPr>
        <w:t> </w:t>
      </w:r>
      <w:r>
        <w:rPr>
          <w:rFonts w:ascii="Calibri" w:hAnsi="Calibri"/>
          <w:sz w:val="20"/>
        </w:rPr>
        <w:t>seno</w:t>
      </w:r>
      <w:r>
        <w:rPr>
          <w:rFonts w:ascii="Calibri" w:hAnsi="Calibri"/>
          <w:spacing w:val="-4"/>
          <w:sz w:val="20"/>
        </w:rPr>
        <w:t> </w:t>
      </w:r>
      <w:r>
        <w:rPr>
          <w:rFonts w:ascii="Calibri" w:hAnsi="Calibri"/>
          <w:sz w:val="20"/>
        </w:rPr>
        <w:t>de</w:t>
      </w:r>
      <w:r>
        <w:rPr>
          <w:rFonts w:ascii="Calibri" w:hAnsi="Calibri"/>
          <w:spacing w:val="-5"/>
          <w:sz w:val="20"/>
        </w:rPr>
        <w:t> </w:t>
      </w:r>
      <w:r>
        <w:rPr>
          <w:rFonts w:ascii="Calibri" w:hAnsi="Calibri"/>
          <w:sz w:val="20"/>
        </w:rPr>
        <w:t>esta</w:t>
      </w:r>
      <w:r>
        <w:rPr>
          <w:rFonts w:ascii="Calibri" w:hAnsi="Calibri"/>
          <w:spacing w:val="-7"/>
          <w:sz w:val="20"/>
        </w:rPr>
        <w:t> </w:t>
      </w:r>
      <w:r>
        <w:rPr>
          <w:rFonts w:ascii="Calibri" w:hAnsi="Calibri"/>
          <w:sz w:val="20"/>
        </w:rPr>
        <w:t>Comisión</w:t>
      </w:r>
      <w:r>
        <w:rPr>
          <w:rFonts w:ascii="Calibri" w:hAnsi="Calibri"/>
          <w:spacing w:val="-5"/>
          <w:sz w:val="20"/>
        </w:rPr>
        <w:t> </w:t>
      </w:r>
      <w:r>
        <w:rPr>
          <w:rFonts w:ascii="Calibri" w:hAnsi="Calibri"/>
          <w:sz w:val="20"/>
        </w:rPr>
        <w:t>se</w:t>
      </w:r>
      <w:r>
        <w:rPr>
          <w:rFonts w:ascii="Calibri" w:hAnsi="Calibri"/>
          <w:spacing w:val="-7"/>
          <w:sz w:val="20"/>
        </w:rPr>
        <w:t> </w:t>
      </w:r>
      <w:r>
        <w:rPr>
          <w:rFonts w:ascii="Calibri" w:hAnsi="Calibri"/>
          <w:sz w:val="20"/>
        </w:rPr>
        <w:t>han</w:t>
      </w:r>
      <w:r>
        <w:rPr>
          <w:rFonts w:ascii="Calibri" w:hAnsi="Calibri"/>
          <w:spacing w:val="-4"/>
          <w:sz w:val="20"/>
        </w:rPr>
        <w:t> </w:t>
      </w:r>
      <w:r>
        <w:rPr>
          <w:rFonts w:ascii="Calibri" w:hAnsi="Calibri"/>
          <w:sz w:val="20"/>
        </w:rPr>
        <w:t>venido</w:t>
      </w:r>
      <w:r>
        <w:rPr>
          <w:rFonts w:ascii="Calibri" w:hAnsi="Calibri"/>
          <w:spacing w:val="-7"/>
          <w:sz w:val="20"/>
        </w:rPr>
        <w:t> </w:t>
      </w:r>
      <w:r>
        <w:rPr>
          <w:rFonts w:ascii="Calibri" w:hAnsi="Calibri"/>
          <w:sz w:val="20"/>
        </w:rPr>
        <w:t>analizando</w:t>
      </w:r>
      <w:r>
        <w:rPr>
          <w:rFonts w:ascii="Calibri" w:hAnsi="Calibri"/>
          <w:spacing w:val="-4"/>
          <w:sz w:val="20"/>
        </w:rPr>
        <w:t> </w:t>
      </w:r>
      <w:r>
        <w:rPr>
          <w:rFonts w:ascii="Calibri" w:hAnsi="Calibri"/>
          <w:sz w:val="20"/>
        </w:rPr>
        <w:t>de</w:t>
      </w:r>
      <w:r>
        <w:rPr>
          <w:rFonts w:ascii="Calibri" w:hAnsi="Calibri"/>
          <w:spacing w:val="-3"/>
          <w:sz w:val="20"/>
        </w:rPr>
        <w:t> </w:t>
      </w:r>
      <w:r>
        <w:rPr>
          <w:rFonts w:ascii="Calibri" w:hAnsi="Calibri"/>
          <w:sz w:val="20"/>
        </w:rPr>
        <w:t>forma</w:t>
      </w:r>
      <w:r>
        <w:rPr>
          <w:rFonts w:ascii="Calibri" w:hAnsi="Calibri"/>
          <w:spacing w:val="-5"/>
          <w:sz w:val="20"/>
        </w:rPr>
        <w:t> </w:t>
      </w:r>
      <w:r>
        <w:rPr>
          <w:rFonts w:ascii="Calibri" w:hAnsi="Calibri"/>
          <w:sz w:val="20"/>
        </w:rPr>
        <w:t>conjunta</w:t>
      </w:r>
      <w:r>
        <w:rPr>
          <w:rFonts w:ascii="Calibri" w:hAnsi="Calibri"/>
          <w:spacing w:val="-8"/>
          <w:sz w:val="20"/>
        </w:rPr>
        <w:t> </w:t>
      </w:r>
      <w:r>
        <w:rPr>
          <w:rFonts w:ascii="Calibri" w:hAnsi="Calibri"/>
          <w:sz w:val="20"/>
        </w:rPr>
        <w:t>los</w:t>
      </w:r>
      <w:r>
        <w:rPr>
          <w:rFonts w:ascii="Calibri" w:hAnsi="Calibri"/>
          <w:spacing w:val="-7"/>
          <w:sz w:val="20"/>
        </w:rPr>
        <w:t> </w:t>
      </w:r>
      <w:r>
        <w:rPr>
          <w:rFonts w:ascii="Calibri" w:hAnsi="Calibri"/>
          <w:sz w:val="20"/>
        </w:rPr>
        <w:t>avances</w:t>
      </w:r>
      <w:r>
        <w:rPr>
          <w:rFonts w:ascii="Calibri" w:hAnsi="Calibri"/>
          <w:spacing w:val="-5"/>
          <w:sz w:val="20"/>
        </w:rPr>
        <w:t> </w:t>
      </w:r>
      <w:r>
        <w:rPr>
          <w:rFonts w:ascii="Calibri" w:hAnsi="Calibri"/>
          <w:sz w:val="20"/>
        </w:rPr>
        <w:t>en</w:t>
      </w:r>
      <w:r>
        <w:rPr>
          <w:rFonts w:ascii="Calibri" w:hAnsi="Calibri"/>
          <w:spacing w:val="-5"/>
          <w:sz w:val="20"/>
        </w:rPr>
        <w:t> </w:t>
      </w:r>
      <w:r>
        <w:rPr>
          <w:rFonts w:ascii="Calibri" w:hAnsi="Calibri"/>
          <w:sz w:val="20"/>
        </w:rPr>
        <w:t>los distintos</w:t>
      </w:r>
      <w:r>
        <w:rPr>
          <w:rFonts w:ascii="Calibri" w:hAnsi="Calibri"/>
          <w:spacing w:val="-10"/>
          <w:sz w:val="20"/>
        </w:rPr>
        <w:t> </w:t>
      </w:r>
      <w:r>
        <w:rPr>
          <w:rFonts w:ascii="Calibri" w:hAnsi="Calibri"/>
          <w:sz w:val="20"/>
        </w:rPr>
        <w:t>proyectos,</w:t>
      </w:r>
      <w:r>
        <w:rPr>
          <w:rFonts w:ascii="Calibri" w:hAnsi="Calibri"/>
          <w:spacing w:val="-8"/>
          <w:sz w:val="20"/>
        </w:rPr>
        <w:t> </w:t>
      </w:r>
      <w:r>
        <w:rPr>
          <w:rFonts w:ascii="Calibri" w:hAnsi="Calibri"/>
          <w:sz w:val="20"/>
        </w:rPr>
        <w:t>los</w:t>
      </w:r>
      <w:r>
        <w:rPr>
          <w:rFonts w:ascii="Calibri" w:hAnsi="Calibri"/>
          <w:spacing w:val="-9"/>
          <w:sz w:val="20"/>
        </w:rPr>
        <w:t> </w:t>
      </w:r>
      <w:r>
        <w:rPr>
          <w:rFonts w:ascii="Calibri" w:hAnsi="Calibri"/>
          <w:sz w:val="20"/>
        </w:rPr>
        <w:t>procesos</w:t>
      </w:r>
      <w:r>
        <w:rPr>
          <w:rFonts w:ascii="Calibri" w:hAnsi="Calibri"/>
          <w:spacing w:val="-9"/>
          <w:sz w:val="20"/>
        </w:rPr>
        <w:t> </w:t>
      </w:r>
      <w:r>
        <w:rPr>
          <w:rFonts w:ascii="Calibri" w:hAnsi="Calibri"/>
          <w:sz w:val="20"/>
        </w:rPr>
        <w:t>técnicos</w:t>
      </w:r>
      <w:r>
        <w:rPr>
          <w:rFonts w:ascii="Calibri" w:hAnsi="Calibri"/>
          <w:spacing w:val="-10"/>
          <w:sz w:val="20"/>
        </w:rPr>
        <w:t> </w:t>
      </w:r>
      <w:r>
        <w:rPr>
          <w:rFonts w:ascii="Calibri" w:hAnsi="Calibri"/>
          <w:sz w:val="20"/>
        </w:rPr>
        <w:t>y</w:t>
      </w:r>
      <w:r>
        <w:rPr>
          <w:rFonts w:ascii="Calibri" w:hAnsi="Calibri"/>
          <w:spacing w:val="-7"/>
          <w:sz w:val="20"/>
        </w:rPr>
        <w:t> </w:t>
      </w:r>
      <w:r>
        <w:rPr>
          <w:rFonts w:ascii="Calibri" w:hAnsi="Calibri"/>
          <w:sz w:val="20"/>
        </w:rPr>
        <w:t>de</w:t>
      </w:r>
      <w:r>
        <w:rPr>
          <w:rFonts w:ascii="Calibri" w:hAnsi="Calibri"/>
          <w:spacing w:val="-6"/>
          <w:sz w:val="20"/>
        </w:rPr>
        <w:t> </w:t>
      </w:r>
      <w:r>
        <w:rPr>
          <w:rFonts w:ascii="Calibri" w:hAnsi="Calibri"/>
          <w:sz w:val="20"/>
        </w:rPr>
        <w:t>digitalización,</w:t>
      </w:r>
      <w:r>
        <w:rPr>
          <w:rFonts w:ascii="Calibri" w:hAnsi="Calibri"/>
          <w:spacing w:val="-9"/>
          <w:sz w:val="20"/>
        </w:rPr>
        <w:t> </w:t>
      </w:r>
      <w:r>
        <w:rPr>
          <w:rFonts w:ascii="Calibri" w:hAnsi="Calibri"/>
          <w:sz w:val="20"/>
        </w:rPr>
        <w:t>los</w:t>
      </w:r>
      <w:r>
        <w:rPr>
          <w:rFonts w:ascii="Calibri" w:hAnsi="Calibri"/>
          <w:spacing w:val="-8"/>
          <w:sz w:val="20"/>
        </w:rPr>
        <w:t> </w:t>
      </w:r>
      <w:r>
        <w:rPr>
          <w:rFonts w:ascii="Calibri" w:hAnsi="Calibri"/>
          <w:sz w:val="20"/>
        </w:rPr>
        <w:t>resultados</w:t>
      </w:r>
      <w:r>
        <w:rPr>
          <w:rFonts w:ascii="Calibri" w:hAnsi="Calibri"/>
          <w:spacing w:val="-10"/>
          <w:sz w:val="20"/>
        </w:rPr>
        <w:t> </w:t>
      </w:r>
      <w:r>
        <w:rPr>
          <w:rFonts w:ascii="Calibri" w:hAnsi="Calibri"/>
          <w:sz w:val="20"/>
        </w:rPr>
        <w:t>alcanzados</w:t>
      </w:r>
      <w:r>
        <w:rPr>
          <w:rFonts w:ascii="Calibri" w:hAnsi="Calibri"/>
          <w:spacing w:val="-7"/>
          <w:sz w:val="20"/>
        </w:rPr>
        <w:t> </w:t>
      </w:r>
      <w:r>
        <w:rPr>
          <w:rFonts w:ascii="Calibri" w:hAnsi="Calibri"/>
          <w:sz w:val="20"/>
        </w:rPr>
        <w:t>y</w:t>
      </w:r>
      <w:r>
        <w:rPr>
          <w:rFonts w:ascii="Calibri" w:hAnsi="Calibri"/>
          <w:spacing w:val="-7"/>
          <w:sz w:val="20"/>
        </w:rPr>
        <w:t> </w:t>
      </w:r>
      <w:r>
        <w:rPr>
          <w:rFonts w:ascii="Calibri" w:hAnsi="Calibri"/>
          <w:sz w:val="20"/>
        </w:rPr>
        <w:t>las buenas prácticas aplicadas en cada una de las ciudades.</w:t>
      </w:r>
    </w:p>
    <w:p>
      <w:pPr>
        <w:spacing w:line="259" w:lineRule="auto" w:before="138"/>
        <w:ind w:left="2251" w:right="2022" w:firstLine="0"/>
        <w:jc w:val="both"/>
        <w:rPr>
          <w:rFonts w:ascii="Calibri" w:hAnsi="Calibri"/>
          <w:sz w:val="20"/>
        </w:rPr>
      </w:pPr>
      <w:r>
        <w:rPr>
          <w:rFonts w:ascii="Calibri" w:hAnsi="Calibri"/>
          <w:sz w:val="20"/>
        </w:rPr>
        <w:t>Asimismo, se prevé la celebración de una última reunión del Comité de Proyecto antes de finalizar 2025, destinada a la presentación y cierre de la justificación final, así como a la planificación de la liquidación del convenio y adenda.</w:t>
      </w:r>
    </w:p>
    <w:p>
      <w:pPr>
        <w:spacing w:line="259" w:lineRule="auto" w:before="137"/>
        <w:ind w:left="2251" w:right="2021" w:firstLine="0"/>
        <w:jc w:val="both"/>
        <w:rPr>
          <w:rFonts w:ascii="Calibri" w:hAnsi="Calibri"/>
          <w:sz w:val="20"/>
        </w:rPr>
      </w:pPr>
      <w:r>
        <w:rPr>
          <w:rFonts w:ascii="Calibri" w:hAnsi="Calibri"/>
          <w:sz w:val="20"/>
        </w:rPr>
        <w:t>Por tanto, las consideraciones, argumentos y pruebas documentales ya aportadas en la alegación anterior resultan plenamente aplicables al presente punto.</w:t>
      </w:r>
    </w:p>
    <w:p>
      <w:pPr>
        <w:spacing w:line="256" w:lineRule="auto" w:before="143"/>
        <w:ind w:left="2251" w:right="2020" w:firstLine="0"/>
        <w:jc w:val="both"/>
        <w:rPr>
          <w:rFonts w:ascii="Calibri" w:hAnsi="Calibri"/>
          <w:sz w:val="20"/>
        </w:rPr>
      </w:pPr>
      <w:r>
        <w:rPr>
          <w:rFonts w:ascii="Calibri" w:hAnsi="Calibri"/>
          <w:sz w:val="20"/>
        </w:rPr>
        <w:t>En</w:t>
      </w:r>
      <w:r>
        <w:rPr>
          <w:rFonts w:ascii="Calibri" w:hAnsi="Calibri"/>
          <w:spacing w:val="-7"/>
          <w:sz w:val="20"/>
        </w:rPr>
        <w:t> </w:t>
      </w:r>
      <w:r>
        <w:rPr>
          <w:rFonts w:ascii="Calibri" w:hAnsi="Calibri"/>
          <w:sz w:val="20"/>
        </w:rPr>
        <w:t>virtud</w:t>
      </w:r>
      <w:r>
        <w:rPr>
          <w:rFonts w:ascii="Calibri" w:hAnsi="Calibri"/>
          <w:spacing w:val="-6"/>
          <w:sz w:val="20"/>
        </w:rPr>
        <w:t> </w:t>
      </w:r>
      <w:r>
        <w:rPr>
          <w:rFonts w:ascii="Calibri" w:hAnsi="Calibri"/>
          <w:sz w:val="20"/>
        </w:rPr>
        <w:t>de</w:t>
      </w:r>
      <w:r>
        <w:rPr>
          <w:rFonts w:ascii="Calibri" w:hAnsi="Calibri"/>
          <w:spacing w:val="-5"/>
          <w:sz w:val="20"/>
        </w:rPr>
        <w:t> </w:t>
      </w:r>
      <w:r>
        <w:rPr>
          <w:rFonts w:ascii="Calibri" w:hAnsi="Calibri"/>
          <w:sz w:val="20"/>
        </w:rPr>
        <w:t>lo</w:t>
      </w:r>
      <w:r>
        <w:rPr>
          <w:rFonts w:ascii="Calibri" w:hAnsi="Calibri"/>
          <w:spacing w:val="-5"/>
          <w:sz w:val="20"/>
        </w:rPr>
        <w:t> </w:t>
      </w:r>
      <w:r>
        <w:rPr>
          <w:rFonts w:ascii="Calibri" w:hAnsi="Calibri"/>
          <w:sz w:val="20"/>
        </w:rPr>
        <w:t>anterior,</w:t>
      </w:r>
      <w:r>
        <w:rPr>
          <w:rFonts w:ascii="Calibri" w:hAnsi="Calibri"/>
          <w:spacing w:val="-5"/>
          <w:sz w:val="20"/>
        </w:rPr>
        <w:t> </w:t>
      </w:r>
      <w:r>
        <w:rPr>
          <w:rFonts w:ascii="Calibri" w:hAnsi="Calibri"/>
          <w:sz w:val="20"/>
        </w:rPr>
        <w:t>se</w:t>
      </w:r>
      <w:r>
        <w:rPr>
          <w:rFonts w:ascii="Calibri" w:hAnsi="Calibri"/>
          <w:spacing w:val="-6"/>
          <w:sz w:val="20"/>
        </w:rPr>
        <w:t> </w:t>
      </w:r>
      <w:r>
        <w:rPr>
          <w:rFonts w:ascii="Calibri" w:hAnsi="Calibri"/>
          <w:sz w:val="20"/>
        </w:rPr>
        <w:t>solicita</w:t>
      </w:r>
      <w:r>
        <w:rPr>
          <w:rFonts w:ascii="Calibri" w:hAnsi="Calibri"/>
          <w:spacing w:val="-8"/>
          <w:sz w:val="20"/>
        </w:rPr>
        <w:t> </w:t>
      </w:r>
      <w:r>
        <w:rPr>
          <w:rFonts w:ascii="Calibri" w:hAnsi="Calibri"/>
          <w:sz w:val="20"/>
        </w:rPr>
        <w:t>a</w:t>
      </w:r>
      <w:r>
        <w:rPr>
          <w:rFonts w:ascii="Calibri" w:hAnsi="Calibri"/>
          <w:spacing w:val="-10"/>
          <w:sz w:val="20"/>
        </w:rPr>
        <w:t> </w:t>
      </w:r>
      <w:r>
        <w:rPr>
          <w:rFonts w:ascii="Calibri" w:hAnsi="Calibri"/>
          <w:sz w:val="20"/>
        </w:rPr>
        <w:t>este</w:t>
      </w:r>
      <w:r>
        <w:rPr>
          <w:rFonts w:ascii="Calibri" w:hAnsi="Calibri"/>
          <w:spacing w:val="-10"/>
          <w:sz w:val="20"/>
        </w:rPr>
        <w:t> </w:t>
      </w:r>
      <w:r>
        <w:rPr>
          <w:rFonts w:ascii="Calibri" w:hAnsi="Calibri"/>
          <w:sz w:val="20"/>
        </w:rPr>
        <w:t>Tribunal</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Cuentas</w:t>
      </w:r>
      <w:r>
        <w:rPr>
          <w:rFonts w:ascii="Calibri" w:hAnsi="Calibri"/>
          <w:spacing w:val="-5"/>
          <w:sz w:val="20"/>
        </w:rPr>
        <w:t> </w:t>
      </w:r>
      <w:r>
        <w:rPr>
          <w:rFonts w:ascii="Calibri" w:hAnsi="Calibri"/>
          <w:sz w:val="20"/>
        </w:rPr>
        <w:t>que</w:t>
      </w:r>
      <w:r>
        <w:rPr>
          <w:rFonts w:ascii="Calibri" w:hAnsi="Calibri"/>
          <w:spacing w:val="-9"/>
          <w:sz w:val="20"/>
        </w:rPr>
        <w:t> </w:t>
      </w:r>
      <w:r>
        <w:rPr>
          <w:rFonts w:ascii="Calibri" w:hAnsi="Calibri"/>
          <w:sz w:val="20"/>
        </w:rPr>
        <w:t>tenga</w:t>
      </w:r>
      <w:r>
        <w:rPr>
          <w:rFonts w:ascii="Calibri" w:hAnsi="Calibri"/>
          <w:spacing w:val="-9"/>
          <w:sz w:val="20"/>
        </w:rPr>
        <w:t> </w:t>
      </w:r>
      <w:r>
        <w:rPr>
          <w:rFonts w:ascii="Calibri" w:hAnsi="Calibri"/>
          <w:sz w:val="20"/>
        </w:rPr>
        <w:t>por</w:t>
      </w:r>
      <w:r>
        <w:rPr>
          <w:rFonts w:ascii="Calibri" w:hAnsi="Calibri"/>
          <w:spacing w:val="-10"/>
          <w:sz w:val="20"/>
        </w:rPr>
        <w:t> </w:t>
      </w:r>
      <w:r>
        <w:rPr>
          <w:rFonts w:ascii="Calibri" w:hAnsi="Calibri"/>
          <w:sz w:val="20"/>
        </w:rPr>
        <w:t>acreditado</w:t>
      </w:r>
      <w:r>
        <w:rPr>
          <w:rFonts w:ascii="Calibri" w:hAnsi="Calibri"/>
          <w:spacing w:val="-7"/>
          <w:sz w:val="20"/>
        </w:rPr>
        <w:t> </w:t>
      </w:r>
      <w:r>
        <w:rPr>
          <w:rFonts w:ascii="Calibri" w:hAnsi="Calibri"/>
          <w:sz w:val="20"/>
        </w:rPr>
        <w:t>que la Agrupación de Municipios Innobus-Tur, de la que forma parte el Ayuntamiento de Málaga, ha mantenido una coordinación técnica y un seguimiento continuado del proyecto, mediante reuniones periódicas y mecanismos efectivos de intercambio de </w:t>
      </w:r>
      <w:r>
        <w:rPr>
          <w:rFonts w:ascii="Calibri" w:hAnsi="Calibri"/>
          <w:spacing w:val="-2"/>
          <w:sz w:val="20"/>
        </w:rPr>
        <w:t>información.</w:t>
      </w:r>
    </w:p>
    <w:p>
      <w:pPr>
        <w:spacing w:line="256" w:lineRule="auto" w:before="146"/>
        <w:ind w:left="2251" w:right="2020" w:firstLine="0"/>
        <w:jc w:val="both"/>
        <w:rPr>
          <w:rFonts w:ascii="Calibri" w:hAnsi="Calibri"/>
          <w:sz w:val="20"/>
        </w:rPr>
      </w:pPr>
      <w:r>
        <w:rPr>
          <w:rFonts w:ascii="Calibri" w:hAnsi="Calibri"/>
          <w:sz w:val="20"/>
        </w:rPr>
        <w:t>En consecuencia, y al quedar demostrado que sí se han llevado a cabo actuaciones de coordinación</w:t>
      </w:r>
      <w:r>
        <w:rPr>
          <w:rFonts w:ascii="Calibri" w:hAnsi="Calibri"/>
          <w:spacing w:val="-8"/>
          <w:sz w:val="20"/>
        </w:rPr>
        <w:t> </w:t>
      </w:r>
      <w:r>
        <w:rPr>
          <w:rFonts w:ascii="Calibri" w:hAnsi="Calibri"/>
          <w:sz w:val="20"/>
        </w:rPr>
        <w:t>y</w:t>
      </w:r>
      <w:r>
        <w:rPr>
          <w:rFonts w:ascii="Calibri" w:hAnsi="Calibri"/>
          <w:spacing w:val="-7"/>
          <w:sz w:val="20"/>
        </w:rPr>
        <w:t> </w:t>
      </w:r>
      <w:r>
        <w:rPr>
          <w:rFonts w:ascii="Calibri" w:hAnsi="Calibri"/>
          <w:sz w:val="20"/>
        </w:rPr>
        <w:t>evaluación,</w:t>
      </w:r>
      <w:r>
        <w:rPr>
          <w:rFonts w:ascii="Calibri" w:hAnsi="Calibri"/>
          <w:spacing w:val="-8"/>
          <w:sz w:val="20"/>
        </w:rPr>
        <w:t> </w:t>
      </w:r>
      <w:r>
        <w:rPr>
          <w:rFonts w:ascii="Calibri" w:hAnsi="Calibri"/>
          <w:sz w:val="20"/>
          <w:u w:val="single"/>
        </w:rPr>
        <w:t>se</w:t>
      </w:r>
      <w:r>
        <w:rPr>
          <w:rFonts w:ascii="Calibri" w:hAnsi="Calibri"/>
          <w:spacing w:val="-10"/>
          <w:sz w:val="20"/>
          <w:u w:val="single"/>
        </w:rPr>
        <w:t> </w:t>
      </w:r>
      <w:r>
        <w:rPr>
          <w:rFonts w:ascii="Calibri" w:hAnsi="Calibri"/>
          <w:sz w:val="20"/>
          <w:u w:val="single"/>
        </w:rPr>
        <w:t>solicita</w:t>
      </w:r>
      <w:r>
        <w:rPr>
          <w:rFonts w:ascii="Calibri" w:hAnsi="Calibri"/>
          <w:spacing w:val="-8"/>
          <w:sz w:val="20"/>
          <w:u w:val="single"/>
        </w:rPr>
        <w:t> </w:t>
      </w:r>
      <w:r>
        <w:rPr>
          <w:rFonts w:ascii="Calibri" w:hAnsi="Calibri"/>
          <w:sz w:val="20"/>
          <w:u w:val="single"/>
        </w:rPr>
        <w:t>la</w:t>
      </w:r>
      <w:r>
        <w:rPr>
          <w:rFonts w:ascii="Calibri" w:hAnsi="Calibri"/>
          <w:spacing w:val="-9"/>
          <w:sz w:val="20"/>
          <w:u w:val="single"/>
        </w:rPr>
        <w:t> </w:t>
      </w:r>
      <w:r>
        <w:rPr>
          <w:rFonts w:ascii="Calibri" w:hAnsi="Calibri"/>
          <w:sz w:val="20"/>
          <w:u w:val="single"/>
        </w:rPr>
        <w:t>supresión</w:t>
      </w:r>
      <w:r>
        <w:rPr>
          <w:rFonts w:ascii="Calibri" w:hAnsi="Calibri"/>
          <w:spacing w:val="-10"/>
          <w:sz w:val="20"/>
          <w:u w:val="single"/>
        </w:rPr>
        <w:t> </w:t>
      </w:r>
      <w:r>
        <w:rPr>
          <w:rFonts w:ascii="Calibri" w:hAnsi="Calibri"/>
          <w:sz w:val="20"/>
          <w:u w:val="single"/>
        </w:rPr>
        <w:t>de</w:t>
      </w:r>
      <w:r>
        <w:rPr>
          <w:rFonts w:ascii="Calibri" w:hAnsi="Calibri"/>
          <w:spacing w:val="-8"/>
          <w:sz w:val="20"/>
          <w:u w:val="single"/>
        </w:rPr>
        <w:t> </w:t>
      </w:r>
      <w:r>
        <w:rPr>
          <w:rFonts w:ascii="Calibri" w:hAnsi="Calibri"/>
          <w:sz w:val="20"/>
          <w:u w:val="single"/>
        </w:rPr>
        <w:t>la</w:t>
      </w:r>
      <w:r>
        <w:rPr>
          <w:rFonts w:ascii="Calibri" w:hAnsi="Calibri"/>
          <w:spacing w:val="-7"/>
          <w:sz w:val="20"/>
          <w:u w:val="single"/>
        </w:rPr>
        <w:t> </w:t>
      </w:r>
      <w:r>
        <w:rPr>
          <w:rFonts w:ascii="Calibri" w:hAnsi="Calibri"/>
          <w:sz w:val="20"/>
          <w:u w:val="single"/>
        </w:rPr>
        <w:t>observación</w:t>
      </w:r>
      <w:r>
        <w:rPr>
          <w:rFonts w:ascii="Calibri" w:hAnsi="Calibri"/>
          <w:spacing w:val="-8"/>
          <w:sz w:val="20"/>
          <w:u w:val="single"/>
        </w:rPr>
        <w:t> </w:t>
      </w:r>
      <w:r>
        <w:rPr>
          <w:rFonts w:ascii="Calibri" w:hAnsi="Calibri"/>
          <w:sz w:val="20"/>
          <w:u w:val="single"/>
        </w:rPr>
        <w:t>y</w:t>
      </w:r>
      <w:r>
        <w:rPr>
          <w:rFonts w:ascii="Calibri" w:hAnsi="Calibri"/>
          <w:spacing w:val="-8"/>
          <w:sz w:val="20"/>
          <w:u w:val="single"/>
        </w:rPr>
        <w:t> </w:t>
      </w:r>
      <w:r>
        <w:rPr>
          <w:rFonts w:ascii="Calibri" w:hAnsi="Calibri"/>
          <w:sz w:val="20"/>
          <w:u w:val="single"/>
        </w:rPr>
        <w:t>de</w:t>
      </w:r>
      <w:r>
        <w:rPr>
          <w:rFonts w:ascii="Calibri" w:hAnsi="Calibri"/>
          <w:spacing w:val="-5"/>
          <w:sz w:val="20"/>
          <w:u w:val="single"/>
        </w:rPr>
        <w:t> </w:t>
      </w:r>
      <w:r>
        <w:rPr>
          <w:rFonts w:ascii="Calibri" w:hAnsi="Calibri"/>
          <w:sz w:val="20"/>
          <w:u w:val="single"/>
        </w:rPr>
        <w:t>la</w:t>
      </w:r>
      <w:r>
        <w:rPr>
          <w:rFonts w:ascii="Calibri" w:hAnsi="Calibri"/>
          <w:spacing w:val="-9"/>
          <w:sz w:val="20"/>
          <w:u w:val="single"/>
        </w:rPr>
        <w:t> </w:t>
      </w:r>
      <w:r>
        <w:rPr>
          <w:rFonts w:ascii="Calibri" w:hAnsi="Calibri"/>
          <w:sz w:val="20"/>
          <w:u w:val="single"/>
        </w:rPr>
        <w:t>Recomendación</w:t>
      </w:r>
      <w:r>
        <w:rPr>
          <w:rFonts w:ascii="Calibri" w:hAnsi="Calibri"/>
          <w:sz w:val="20"/>
          <w:u w:val="none"/>
        </w:rPr>
        <w:t> </w:t>
      </w:r>
      <w:r>
        <w:rPr>
          <w:rFonts w:ascii="Calibri" w:hAnsi="Calibri"/>
          <w:sz w:val="20"/>
          <w:u w:val="single"/>
        </w:rPr>
        <w:t>nº 6 en el texto definitivo del informe</w:t>
      </w:r>
      <w:r>
        <w:rPr>
          <w:rFonts w:ascii="Calibri" w:hAnsi="Calibri"/>
          <w:sz w:val="20"/>
          <w:u w:val="none"/>
        </w:rPr>
        <w:t>.</w:t>
      </w:r>
    </w:p>
    <w:p>
      <w:pPr>
        <w:pStyle w:val="BodyText"/>
        <w:rPr>
          <w:rFonts w:ascii="Calibri"/>
          <w:sz w:val="20"/>
        </w:rPr>
      </w:pPr>
    </w:p>
    <w:p>
      <w:pPr>
        <w:pStyle w:val="BodyText"/>
        <w:spacing w:before="60"/>
        <w:rPr>
          <w:rFonts w:ascii="Calibri"/>
          <w:sz w:val="20"/>
        </w:rPr>
      </w:pPr>
    </w:p>
    <w:p>
      <w:pPr>
        <w:spacing w:line="256" w:lineRule="auto" w:before="0"/>
        <w:ind w:left="2251" w:right="2022" w:hanging="327"/>
        <w:jc w:val="both"/>
        <w:rPr>
          <w:rFonts w:ascii="Calibri" w:hAnsi="Calibri"/>
          <w:i/>
          <w:sz w:val="20"/>
        </w:rPr>
      </w:pPr>
      <w:r>
        <w:rPr>
          <w:rFonts w:ascii="Calibri" w:hAnsi="Calibri"/>
          <w:color w:val="4472C4"/>
          <w:sz w:val="20"/>
        </w:rPr>
        <w:t>-</w:t>
      </w:r>
      <w:r>
        <w:rPr>
          <w:rFonts w:ascii="Calibri" w:hAnsi="Calibri"/>
          <w:color w:val="4472C4"/>
          <w:spacing w:val="80"/>
          <w:sz w:val="20"/>
        </w:rPr>
        <w:t> </w:t>
      </w:r>
      <w:r>
        <w:rPr>
          <w:rFonts w:ascii="Calibri" w:hAnsi="Calibri"/>
          <w:i/>
          <w:color w:val="4472C4"/>
          <w:sz w:val="20"/>
        </w:rPr>
        <w:t>Pág. 103 y 104: </w:t>
      </w:r>
      <w:r>
        <w:rPr>
          <w:rFonts w:ascii="Calibri" w:hAnsi="Calibri"/>
          <w:i/>
          <w:color w:val="4472C4"/>
          <w:sz w:val="20"/>
          <w:u w:val="single" w:color="4472C4"/>
        </w:rPr>
        <w:t>“Todas las entidades fiscalizadas han aprobado un Plan de Medidas</w:t>
      </w:r>
      <w:r>
        <w:rPr>
          <w:rFonts w:ascii="Calibri" w:hAnsi="Calibri"/>
          <w:i/>
          <w:color w:val="4472C4"/>
          <w:sz w:val="20"/>
          <w:u w:val="none"/>
        </w:rPr>
        <w:t> </w:t>
      </w:r>
      <w:r>
        <w:rPr>
          <w:rFonts w:ascii="Calibri" w:hAnsi="Calibri"/>
          <w:i/>
          <w:color w:val="4472C4"/>
          <w:sz w:val="20"/>
          <w:u w:val="single" w:color="4472C4"/>
        </w:rPr>
        <w:t>Antifraude (PMA) con posterioridad a la presentación de la solicitud de las subvenciones,</w:t>
      </w:r>
      <w:r>
        <w:rPr>
          <w:rFonts w:ascii="Calibri" w:hAnsi="Calibri"/>
          <w:i/>
          <w:color w:val="4472C4"/>
          <w:spacing w:val="80"/>
          <w:sz w:val="20"/>
          <w:u w:val="none"/>
        </w:rPr>
        <w:t> </w:t>
      </w:r>
      <w:r>
        <w:rPr>
          <w:rFonts w:ascii="Calibri" w:hAnsi="Calibri"/>
          <w:i/>
          <w:color w:val="4472C4"/>
          <w:sz w:val="20"/>
          <w:u w:val="single" w:color="4472C4"/>
        </w:rPr>
        <w:t>si bien todas ellas los aprobaron antes de la resolución de concesión de las ayudas. Todos</w:t>
      </w:r>
      <w:r>
        <w:rPr>
          <w:rFonts w:ascii="Calibri" w:hAnsi="Calibri"/>
          <w:i/>
          <w:color w:val="4472C4"/>
          <w:sz w:val="20"/>
          <w:u w:val="none"/>
        </w:rPr>
        <w:t> </w:t>
      </w:r>
      <w:r>
        <w:rPr>
          <w:rFonts w:ascii="Calibri" w:hAnsi="Calibri"/>
          <w:i/>
          <w:color w:val="4472C4"/>
          <w:sz w:val="20"/>
          <w:u w:val="single" w:color="4472C4"/>
        </w:rPr>
        <w:t>los PMA, salvo los de los Ayuntamientos de Málaga y Palma, han sido actualizados con</w:t>
      </w:r>
      <w:r>
        <w:rPr>
          <w:rFonts w:ascii="Calibri" w:hAnsi="Calibri"/>
          <w:i/>
          <w:color w:val="4472C4"/>
          <w:sz w:val="20"/>
          <w:u w:val="none"/>
        </w:rPr>
        <w:t> </w:t>
      </w:r>
      <w:r>
        <w:rPr>
          <w:rFonts w:ascii="Calibri" w:hAnsi="Calibri"/>
          <w:i/>
          <w:color w:val="4472C4"/>
          <w:sz w:val="20"/>
          <w:u w:val="single" w:color="4472C4"/>
        </w:rPr>
        <w:t>posterioridad. Todos los ayuntamientos constituyeron una unidad o comisión antifraude,</w:t>
      </w:r>
      <w:r>
        <w:rPr>
          <w:rFonts w:ascii="Calibri" w:hAnsi="Calibri"/>
          <w:i/>
          <w:color w:val="4472C4"/>
          <w:sz w:val="20"/>
          <w:u w:val="none"/>
        </w:rPr>
        <w:t> </w:t>
      </w:r>
      <w:r>
        <w:rPr>
          <w:rFonts w:ascii="Calibri" w:hAnsi="Calibri"/>
          <w:i/>
          <w:color w:val="4472C4"/>
          <w:sz w:val="20"/>
          <w:u w:val="single" w:color="4472C4"/>
        </w:rPr>
        <w:t>aunque no</w:t>
      </w:r>
      <w:r>
        <w:rPr>
          <w:rFonts w:ascii="Calibri" w:hAnsi="Calibri"/>
          <w:i/>
          <w:color w:val="4472C4"/>
          <w:spacing w:val="18"/>
          <w:sz w:val="20"/>
          <w:u w:val="single" w:color="4472C4"/>
        </w:rPr>
        <w:t> </w:t>
      </w:r>
      <w:r>
        <w:rPr>
          <w:rFonts w:ascii="Calibri" w:hAnsi="Calibri"/>
          <w:i/>
          <w:color w:val="4472C4"/>
          <w:sz w:val="20"/>
          <w:u w:val="single" w:color="4472C4"/>
        </w:rPr>
        <w:t>en todos los casos han estado activas.</w:t>
      </w:r>
      <w:r>
        <w:rPr>
          <w:rFonts w:ascii="Calibri" w:hAnsi="Calibri"/>
          <w:i/>
          <w:color w:val="4472C4"/>
          <w:spacing w:val="18"/>
          <w:sz w:val="20"/>
          <w:u w:val="single" w:color="4472C4"/>
        </w:rPr>
        <w:t> </w:t>
      </w:r>
      <w:r>
        <w:rPr>
          <w:rFonts w:ascii="Calibri" w:hAnsi="Calibri"/>
          <w:i/>
          <w:color w:val="4472C4"/>
          <w:sz w:val="20"/>
          <w:u w:val="single" w:color="4472C4"/>
        </w:rPr>
        <w:t>Solo consta que se</w:t>
      </w:r>
      <w:r>
        <w:rPr>
          <w:rFonts w:ascii="Calibri" w:hAnsi="Calibri"/>
          <w:i/>
          <w:color w:val="4472C4"/>
          <w:spacing w:val="18"/>
          <w:sz w:val="20"/>
          <w:u w:val="single" w:color="4472C4"/>
        </w:rPr>
        <w:t> </w:t>
      </w:r>
      <w:r>
        <w:rPr>
          <w:rFonts w:ascii="Calibri" w:hAnsi="Calibri"/>
          <w:i/>
          <w:color w:val="4472C4"/>
          <w:sz w:val="20"/>
          <w:u w:val="single" w:color="4472C4"/>
        </w:rPr>
        <w:t>han</w:t>
      </w:r>
      <w:r>
        <w:rPr>
          <w:rFonts w:ascii="Calibri" w:hAnsi="Calibri"/>
          <w:i/>
          <w:color w:val="4472C4"/>
          <w:spacing w:val="20"/>
          <w:sz w:val="20"/>
          <w:u w:val="single" w:color="4472C4"/>
        </w:rPr>
        <w:t> </w:t>
      </w:r>
      <w:r>
        <w:rPr>
          <w:rFonts w:ascii="Calibri" w:hAnsi="Calibri"/>
          <w:i/>
          <w:color w:val="4472C4"/>
          <w:sz w:val="20"/>
          <w:u w:val="single" w:color="4472C4"/>
        </w:rPr>
        <w:t>reunido</w:t>
      </w:r>
      <w:r>
        <w:rPr>
          <w:rFonts w:ascii="Calibri" w:hAnsi="Calibri"/>
          <w:i/>
          <w:color w:val="4472C4"/>
          <w:spacing w:val="18"/>
          <w:sz w:val="20"/>
          <w:u w:val="single" w:color="4472C4"/>
        </w:rPr>
        <w:t> </w:t>
      </w:r>
      <w:r>
        <w:rPr>
          <w:rFonts w:ascii="Calibri" w:hAnsi="Calibri"/>
          <w:i/>
          <w:color w:val="4472C4"/>
          <w:sz w:val="20"/>
          <w:u w:val="single" w:color="4472C4"/>
        </w:rPr>
        <w:t>las</w:t>
      </w:r>
      <w:r>
        <w:rPr>
          <w:rFonts w:ascii="Calibri" w:hAnsi="Calibri"/>
          <w:i/>
          <w:color w:val="4472C4"/>
          <w:spacing w:val="18"/>
          <w:sz w:val="20"/>
          <w:u w:val="single" w:color="4472C4"/>
        </w:rPr>
        <w:t> </w:t>
      </w:r>
      <w:r>
        <w:rPr>
          <w:rFonts w:ascii="Calibri" w:hAnsi="Calibri"/>
          <w:i/>
          <w:color w:val="4472C4"/>
          <w:sz w:val="20"/>
          <w:u w:val="single" w:color="4472C4"/>
        </w:rPr>
        <w:t>de</w:t>
      </w:r>
      <w:r>
        <w:rPr>
          <w:rFonts w:ascii="Calibri" w:hAnsi="Calibri"/>
          <w:i/>
          <w:color w:val="4472C4"/>
          <w:sz w:val="20"/>
          <w:u w:val="none"/>
        </w:rPr>
        <w:t> </w:t>
      </w:r>
      <w:r>
        <w:rPr>
          <w:rFonts w:ascii="Calibri" w:hAnsi="Calibri"/>
          <w:i/>
          <w:color w:val="4472C4"/>
          <w:sz w:val="20"/>
          <w:u w:val="single" w:color="4472C4"/>
        </w:rPr>
        <w:t>los Ayuntamientos de Murcia y Palma durante el periodo de ejecución de los proyectos</w:t>
      </w:r>
      <w:r>
        <w:rPr>
          <w:rFonts w:ascii="Calibri" w:hAnsi="Calibri"/>
          <w:i/>
          <w:color w:val="4472C4"/>
          <w:sz w:val="20"/>
          <w:u w:val="none"/>
        </w:rPr>
        <w:t> </w:t>
      </w:r>
      <w:r>
        <w:rPr>
          <w:rFonts w:ascii="Calibri" w:hAnsi="Calibri"/>
          <w:i/>
          <w:color w:val="4472C4"/>
          <w:spacing w:val="-2"/>
          <w:sz w:val="20"/>
          <w:u w:val="single" w:color="4472C4"/>
        </w:rPr>
        <w:t>subvencionados.</w:t>
      </w:r>
    </w:p>
    <w:p>
      <w:pPr>
        <w:spacing w:line="256" w:lineRule="auto" w:before="147"/>
        <w:ind w:left="2251" w:right="2024" w:firstLine="0"/>
        <w:jc w:val="both"/>
        <w:rPr>
          <w:rFonts w:ascii="Calibri" w:hAnsi="Calibri"/>
          <w:i/>
          <w:sz w:val="20"/>
        </w:rPr>
      </w:pPr>
      <w:r>
        <w:rPr>
          <w:rFonts w:ascii="Calibri" w:hAnsi="Calibri"/>
          <w:i/>
          <w:color w:val="4472C4"/>
          <w:sz w:val="20"/>
          <w:u w:val="single" w:color="4472C4"/>
        </w:rPr>
        <w:t>Recomendación nº 7: Se recomienda a los Ayuntamientos de Málaga y Palma que</w:t>
      </w:r>
      <w:r>
        <w:rPr>
          <w:rFonts w:ascii="Calibri" w:hAnsi="Calibri"/>
          <w:i/>
          <w:color w:val="4472C4"/>
          <w:sz w:val="20"/>
          <w:u w:val="none"/>
        </w:rPr>
        <w:t> </w:t>
      </w:r>
      <w:r>
        <w:rPr>
          <w:rFonts w:ascii="Calibri" w:hAnsi="Calibri"/>
          <w:i/>
          <w:color w:val="4472C4"/>
          <w:sz w:val="20"/>
          <w:u w:val="single" w:color="4472C4"/>
        </w:rPr>
        <w:t>establezcan procedimientos que permitan la revisión periódica de los PMA y su</w:t>
      </w:r>
      <w:r>
        <w:rPr>
          <w:rFonts w:ascii="Calibri" w:hAnsi="Calibri"/>
          <w:i/>
          <w:color w:val="4472C4"/>
          <w:spacing w:val="80"/>
          <w:sz w:val="20"/>
          <w:u w:val="none"/>
        </w:rPr>
        <w:t> </w:t>
      </w:r>
      <w:r>
        <w:rPr>
          <w:rFonts w:ascii="Calibri" w:hAnsi="Calibri"/>
          <w:i/>
          <w:color w:val="4472C4"/>
          <w:sz w:val="20"/>
          <w:u w:val="single" w:color="4472C4"/>
        </w:rPr>
        <w:t>adaptación a las circunstancias acaecidas con posterioridad a su aprobación, dotándose</w:t>
      </w:r>
      <w:r>
        <w:rPr>
          <w:rFonts w:ascii="Calibri" w:hAnsi="Calibri"/>
          <w:i/>
          <w:color w:val="4472C4"/>
          <w:spacing w:val="40"/>
          <w:sz w:val="20"/>
          <w:u w:val="none"/>
        </w:rPr>
        <w:t> </w:t>
      </w:r>
      <w:r>
        <w:rPr>
          <w:rFonts w:ascii="Calibri" w:hAnsi="Calibri"/>
          <w:i/>
          <w:color w:val="4472C4"/>
          <w:sz w:val="20"/>
          <w:u w:val="single" w:color="4472C4"/>
        </w:rPr>
        <w:t>de los medios adecuados para poder realizar estos procesos internamente.”</w:t>
      </w:r>
    </w:p>
    <w:p>
      <w:pPr>
        <w:pStyle w:val="BodyText"/>
        <w:rPr>
          <w:rFonts w:ascii="Calibri"/>
          <w:i/>
          <w:sz w:val="20"/>
        </w:rPr>
      </w:pPr>
    </w:p>
    <w:p>
      <w:pPr>
        <w:pStyle w:val="BodyText"/>
        <w:spacing w:before="62"/>
        <w:rPr>
          <w:rFonts w:ascii="Calibri"/>
          <w:i/>
          <w:sz w:val="20"/>
        </w:rPr>
      </w:pPr>
    </w:p>
    <w:p>
      <w:pPr>
        <w:spacing w:line="256" w:lineRule="auto" w:before="1"/>
        <w:ind w:left="2251" w:right="2024" w:firstLine="0"/>
        <w:jc w:val="both"/>
        <w:rPr>
          <w:rFonts w:ascii="Calibri" w:hAnsi="Calibri"/>
          <w:sz w:val="20"/>
        </w:rPr>
      </w:pPr>
      <w:r>
        <w:rPr>
          <w:rFonts w:ascii="Calibri" w:hAnsi="Calibri"/>
          <w:sz w:val="20"/>
        </w:rPr>
        <w:t>En lo que respecta al Ayuntamiento de Málaga, debe aclararse que, si bien el Plan de Medidas Antifraude (PMA) no ha sido objeto de modificación formal posterior a su aprobación, ello no implica la inactividad del Comité Antifraude ni la falta de seguimiento del propio Plan.</w:t>
      </w:r>
    </w:p>
    <w:p>
      <w:pPr>
        <w:spacing w:line="256" w:lineRule="auto" w:before="148"/>
        <w:ind w:left="2251" w:right="2026" w:firstLine="0"/>
        <w:jc w:val="both"/>
        <w:rPr>
          <w:rFonts w:ascii="Calibri" w:hAnsi="Calibri"/>
          <w:sz w:val="20"/>
        </w:rPr>
      </w:pPr>
      <w:r>
        <w:rPr>
          <w:rFonts w:ascii="Calibri" w:hAnsi="Calibri"/>
          <w:sz w:val="20"/>
        </w:rPr>
        <w:t>Por el contrario, el Comité Antifraude se ha reunido de forma periódica desde la aprobación del PMA, realizando un seguimiento continuo de su aplicación y eficacia.</w:t>
      </w:r>
    </w:p>
    <w:p>
      <w:pPr>
        <w:pStyle w:val="BodyText"/>
        <w:rPr>
          <w:rFonts w:ascii="Calibri"/>
          <w:sz w:val="20"/>
        </w:rPr>
      </w:pPr>
    </w:p>
    <w:p>
      <w:pPr>
        <w:pStyle w:val="BodyText"/>
        <w:rPr>
          <w:rFonts w:ascii="Calibri"/>
          <w:sz w:val="20"/>
        </w:rPr>
      </w:pPr>
    </w:p>
    <w:p>
      <w:pPr>
        <w:pStyle w:val="BodyText"/>
        <w:spacing w:before="75"/>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962" name="Group 1962"/>
                <wp:cNvGraphicFramePr>
                  <a:graphicFrameLocks/>
                </wp:cNvGraphicFramePr>
                <a:graphic>
                  <a:graphicData uri="http://schemas.microsoft.com/office/word/2010/wordprocessingGroup">
                    <wpg:wgp>
                      <wpg:cNvPr id="1962" name="Group 1962"/>
                      <wpg:cNvGrpSpPr/>
                      <wpg:grpSpPr>
                        <a:xfrm>
                          <a:off x="0" y="0"/>
                          <a:ext cx="1870075" cy="6350"/>
                          <a:chExt cx="1870075" cy="6350"/>
                        </a:xfrm>
                      </wpg:grpSpPr>
                      <wps:wsp>
                        <wps:cNvPr id="1963" name="Graphic 1963"/>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421" coordorigin="0,0" coordsize="2945,10">
                <v:rect style="position:absolute;left:0;top:0;width:2945;height:10" id="docshape1422"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964" name="Group 1964"/>
                <wp:cNvGraphicFramePr>
                  <a:graphicFrameLocks/>
                </wp:cNvGraphicFramePr>
                <a:graphic>
                  <a:graphicData uri="http://schemas.microsoft.com/office/word/2010/wordprocessingGroup">
                    <wpg:wgp>
                      <wpg:cNvPr id="1964" name="Group 1964"/>
                      <wpg:cNvGrpSpPr/>
                      <wpg:grpSpPr>
                        <a:xfrm>
                          <a:off x="0" y="0"/>
                          <a:ext cx="841375" cy="6350"/>
                          <a:chExt cx="841375" cy="6350"/>
                        </a:xfrm>
                      </wpg:grpSpPr>
                      <wps:wsp>
                        <wps:cNvPr id="1965" name="Graphic 1965"/>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423" coordorigin="0,0" coordsize="1325,10">
                <v:rect style="position:absolute;left:0;top:0;width:1325;height:10" id="docshape1424"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321"/>
          <w:headerReference w:type="default" r:id="rId322"/>
          <w:footerReference w:type="even" r:id="rId323"/>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49920">
                <wp:simplePos x="0" y="0"/>
                <wp:positionH relativeFrom="page">
                  <wp:posOffset>4332186</wp:posOffset>
                </wp:positionH>
                <wp:positionV relativeFrom="paragraph">
                  <wp:posOffset>1412477</wp:posOffset>
                </wp:positionV>
                <wp:extent cx="53340" cy="100330"/>
                <wp:effectExtent l="0" t="0" r="0" b="0"/>
                <wp:wrapNone/>
                <wp:docPr id="1966" name="Textbox 1966"/>
                <wp:cNvGraphicFramePr>
                  <a:graphicFrameLocks/>
                </wp:cNvGraphicFramePr>
                <a:graphic>
                  <a:graphicData uri="http://schemas.microsoft.com/office/word/2010/wordprocessingShape">
                    <wps:wsp>
                      <wps:cNvPr id="1966" name="Textbox 1966"/>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66560" type="#_x0000_t202" id="docshape1425"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00"/>
        <w:gridCol w:w="2203"/>
        <w:gridCol w:w="864"/>
        <w:gridCol w:w="541"/>
        <w:gridCol w:w="1022"/>
        <w:gridCol w:w="817"/>
        <w:gridCol w:w="1247"/>
        <w:gridCol w:w="93"/>
        <w:gridCol w:w="1046"/>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00" w:type="dxa"/>
            <w:tcBorders>
              <w:left w:val="single" w:sz="6" w:space="0" w:color="000000"/>
              <w:bottom w:val="single" w:sz="6" w:space="0" w:color="000000"/>
              <w:right w:val="nil"/>
            </w:tcBorders>
          </w:tcPr>
          <w:p>
            <w:pPr>
              <w:pStyle w:val="TableParagraph"/>
              <w:rPr>
                <w:rFonts w:ascii="Times New Roman"/>
                <w:sz w:val="14"/>
              </w:rPr>
            </w:pPr>
          </w:p>
        </w:tc>
        <w:tc>
          <w:tcPr>
            <w:tcW w:w="2203" w:type="dxa"/>
            <w:tcBorders>
              <w:top w:val="nil"/>
              <w:left w:val="nil"/>
              <w:bottom w:val="single" w:sz="6" w:space="0" w:color="000000"/>
              <w:right w:val="nil"/>
            </w:tcBorders>
            <w:shd w:val="clear" w:color="auto" w:fill="000000"/>
          </w:tcPr>
          <w:p>
            <w:pPr>
              <w:pStyle w:val="TableParagraph"/>
              <w:rPr>
                <w:rFonts w:ascii="Times New Roman"/>
                <w:sz w:val="14"/>
              </w:rPr>
            </w:pPr>
          </w:p>
        </w:tc>
        <w:tc>
          <w:tcPr>
            <w:tcW w:w="1405"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1967" name="Image 1967"/>
                  <wp:cNvGraphicFramePr>
                    <a:graphicFrameLocks/>
                  </wp:cNvGraphicFramePr>
                  <a:graphic>
                    <a:graphicData uri="http://schemas.openxmlformats.org/drawingml/2006/picture">
                      <pic:pic>
                        <pic:nvPicPr>
                          <pic:cNvPr id="1967" name="Image 1967"/>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1968" name="Image 1968"/>
                  <wp:cNvGraphicFramePr>
                    <a:graphicFrameLocks/>
                  </wp:cNvGraphicFramePr>
                  <a:graphic>
                    <a:graphicData uri="http://schemas.openxmlformats.org/drawingml/2006/picture">
                      <pic:pic>
                        <pic:nvPicPr>
                          <pic:cNvPr id="1968" name="Image 1968"/>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93" w:type="dxa"/>
            <w:vMerge w:val="restart"/>
            <w:tcBorders>
              <w:top w:val="nil"/>
              <w:left w:val="nil"/>
              <w:bottom w:val="nil"/>
              <w:right w:val="nil"/>
            </w:tcBorders>
            <w:shd w:val="clear" w:color="auto" w:fill="000000"/>
          </w:tcPr>
          <w:p>
            <w:pPr>
              <w:pStyle w:val="TableParagraph"/>
              <w:rPr>
                <w:rFonts w:ascii="Times New Roman"/>
                <w:sz w:val="18"/>
              </w:rPr>
            </w:pPr>
          </w:p>
        </w:tc>
        <w:tc>
          <w:tcPr>
            <w:tcW w:w="1046" w:type="dxa"/>
            <w:vMerge w:val="restart"/>
            <w:tcBorders>
              <w:top w:val="nil"/>
              <w:left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50432">
                      <wp:simplePos x="0" y="0"/>
                      <wp:positionH relativeFrom="column">
                        <wp:posOffset>-1298447</wp:posOffset>
                      </wp:positionH>
                      <wp:positionV relativeFrom="paragraph">
                        <wp:posOffset>-144895</wp:posOffset>
                      </wp:positionV>
                      <wp:extent cx="1298575" cy="417830"/>
                      <wp:effectExtent l="0" t="0" r="0" b="0"/>
                      <wp:wrapNone/>
                      <wp:docPr id="1969" name="Group 1969"/>
                      <wp:cNvGraphicFramePr>
                        <a:graphicFrameLocks/>
                      </wp:cNvGraphicFramePr>
                      <a:graphic>
                        <a:graphicData uri="http://schemas.microsoft.com/office/word/2010/wordprocessingGroup">
                          <wpg:wgp>
                            <wpg:cNvPr id="1969" name="Group 1969"/>
                            <wpg:cNvGrpSpPr/>
                            <wpg:grpSpPr>
                              <a:xfrm>
                                <a:off x="0" y="0"/>
                                <a:ext cx="1298575" cy="417830"/>
                                <a:chExt cx="1298575" cy="417830"/>
                              </a:xfrm>
                            </wpg:grpSpPr>
                            <wps:wsp>
                              <wps:cNvPr id="1970" name="Graphic 1970"/>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1971" name="Image 1971"/>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866048" id="docshapegroup1426" coordorigin="-2045,-228" coordsize="2045,658">
                      <v:shape style="position:absolute;left:-2045;top:-229;width:2045;height:658" id="docshape1427" coordorigin="-2045,-228" coordsize="2045,658" path="m0,-228l-2045,-228,-2045,-10,-2045,-7,-2045,429,0,429,0,-7,0,-10,0,-228xe" filled="true" fillcolor="#cccccc" stroked="false">
                        <v:path arrowok="t"/>
                        <v:fill type="solid"/>
                      </v:shape>
                      <v:shape style="position:absolute;left:-1973;top:-154;width:1896;height:327" type="#_x0000_t75" id="docshape1428"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93" w:type="dxa"/>
            <w:vMerge/>
            <w:tcBorders>
              <w:top w:val="nil"/>
              <w:left w:val="nil"/>
              <w:bottom w:val="nil"/>
              <w:right w:val="nil"/>
            </w:tcBorders>
            <w:shd w:val="clear" w:color="auto" w:fill="000000"/>
          </w:tcPr>
          <w:p>
            <w:pPr>
              <w:rPr>
                <w:sz w:val="2"/>
                <w:szCs w:val="2"/>
              </w:rPr>
            </w:pPr>
          </w:p>
        </w:tc>
        <w:tc>
          <w:tcPr>
            <w:tcW w:w="1046"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1972" name="Image 1972"/>
                  <wp:cNvGraphicFramePr>
                    <a:graphicFrameLocks/>
                  </wp:cNvGraphicFramePr>
                  <a:graphic>
                    <a:graphicData uri="http://schemas.openxmlformats.org/drawingml/2006/picture">
                      <pic:pic>
                        <pic:nvPicPr>
                          <pic:cNvPr id="1972" name="Image 1972"/>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1973" name="Image 1973"/>
                  <wp:cNvGraphicFramePr>
                    <a:graphicFrameLocks/>
                  </wp:cNvGraphicFramePr>
                  <a:graphic>
                    <a:graphicData uri="http://schemas.openxmlformats.org/drawingml/2006/picture">
                      <pic:pic>
                        <pic:nvPicPr>
                          <pic:cNvPr id="1973" name="Image 1973"/>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4"/>
              <w:jc w:val="center"/>
              <w:rPr>
                <w:rFonts w:ascii="Arial"/>
                <w:sz w:val="14"/>
              </w:rPr>
            </w:pPr>
            <w:r>
              <w:rPr>
                <w:rFonts w:ascii="Arial"/>
                <w:sz w:val="14"/>
              </w:rPr>
              <mc:AlternateContent>
                <mc:Choice Requires="wps">
                  <w:drawing>
                    <wp:anchor distT="0" distB="0" distL="0" distR="0" allowOverlap="1" layoutInCell="1" locked="0" behindDoc="1" simplePos="0" relativeHeight="474450944">
                      <wp:simplePos x="0" y="0"/>
                      <wp:positionH relativeFrom="column">
                        <wp:posOffset>1320546</wp:posOffset>
                      </wp:positionH>
                      <wp:positionV relativeFrom="paragraph">
                        <wp:posOffset>-311719</wp:posOffset>
                      </wp:positionV>
                      <wp:extent cx="734695" cy="753110"/>
                      <wp:effectExtent l="0" t="0" r="0" b="0"/>
                      <wp:wrapNone/>
                      <wp:docPr id="1974" name="Group 1974"/>
                      <wp:cNvGraphicFramePr>
                        <a:graphicFrameLocks/>
                      </wp:cNvGraphicFramePr>
                      <a:graphic>
                        <a:graphicData uri="http://schemas.microsoft.com/office/word/2010/wordprocessingGroup">
                          <wpg:wgp>
                            <wpg:cNvPr id="1974" name="Group 1974"/>
                            <wpg:cNvGrpSpPr/>
                            <wpg:grpSpPr>
                              <a:xfrm>
                                <a:off x="0" y="0"/>
                                <a:ext cx="734695" cy="753110"/>
                                <a:chExt cx="734695" cy="753110"/>
                              </a:xfrm>
                            </wpg:grpSpPr>
                            <pic:pic>
                              <pic:nvPicPr>
                                <pic:cNvPr id="1975" name="Image 1975"/>
                                <pic:cNvPicPr/>
                              </pic:nvPicPr>
                              <pic:blipFill>
                                <a:blip r:embed="rId276" cstate="print"/>
                                <a:stretch>
                                  <a:fillRect/>
                                </a:stretch>
                              </pic:blipFill>
                              <pic:spPr>
                                <a:xfrm>
                                  <a:off x="0" y="0"/>
                                  <a:ext cx="734567" cy="752840"/>
                                </a:xfrm>
                                <a:prstGeom prst="rect">
                                  <a:avLst/>
                                </a:prstGeom>
                              </pic:spPr>
                            </pic:pic>
                            <wps:wsp>
                              <wps:cNvPr id="1976" name="Graphic 1976"/>
                              <wps:cNvSpPr/>
                              <wps:spPr>
                                <a:xfrm>
                                  <a:off x="50520" y="55153"/>
                                  <a:ext cx="664845" cy="680085"/>
                                </a:xfrm>
                                <a:custGeom>
                                  <a:avLst/>
                                  <a:gdLst/>
                                  <a:ahLst/>
                                  <a:cxnLst/>
                                  <a:rect l="l" t="t" r="r" b="b"/>
                                  <a:pathLst>
                                    <a:path w="664845" h="680085">
                                      <a:moveTo>
                                        <a:pt x="664565" y="0"/>
                                      </a:moveTo>
                                      <a:lnTo>
                                        <a:pt x="0" y="0"/>
                                      </a:lnTo>
                                      <a:lnTo>
                                        <a:pt x="0" y="679500"/>
                                      </a:lnTo>
                                      <a:lnTo>
                                        <a:pt x="664565" y="679500"/>
                                      </a:lnTo>
                                      <a:lnTo>
                                        <a:pt x="66456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865536" id="docshapegroup1429" coordorigin="2080,-491" coordsize="1157,1186">
                      <v:shape style="position:absolute;left:2079;top:-491;width:1157;height:1186" type="#_x0000_t75" id="docshape1430" stroked="false">
                        <v:imagedata r:id="rId276" o:title=""/>
                      </v:shape>
                      <v:rect style="position:absolute;left:2159;top:-405;width:1047;height:1071" id="docshape1431" filled="true" fillcolor="#000000" stroked="false">
                        <v:fill type="solid"/>
                      </v:rect>
                      <w10:wrap type="none"/>
                    </v:group>
                  </w:pict>
                </mc:Fallback>
              </mc:AlternateContent>
            </w:r>
            <w:r>
              <w:rPr>
                <w:rFonts w:ascii="Arial"/>
                <w:spacing w:val="-2"/>
                <w:sz w:val="14"/>
              </w:rPr>
              <w:t>36/40</w:t>
            </w:r>
          </w:p>
        </w:tc>
        <w:tc>
          <w:tcPr>
            <w:tcW w:w="93" w:type="dxa"/>
            <w:vMerge/>
            <w:tcBorders>
              <w:top w:val="nil"/>
              <w:left w:val="nil"/>
              <w:bottom w:val="nil"/>
              <w:right w:val="nil"/>
            </w:tcBorders>
            <w:shd w:val="clear" w:color="auto" w:fill="000000"/>
          </w:tcPr>
          <w:p>
            <w:pPr>
              <w:rPr>
                <w:sz w:val="2"/>
                <w:szCs w:val="2"/>
              </w:rPr>
            </w:pPr>
          </w:p>
        </w:tc>
        <w:tc>
          <w:tcPr>
            <w:tcW w:w="1046"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1977" name="Image 1977"/>
                  <wp:cNvGraphicFramePr>
                    <a:graphicFrameLocks/>
                  </wp:cNvGraphicFramePr>
                  <a:graphic>
                    <a:graphicData uri="http://schemas.openxmlformats.org/drawingml/2006/picture">
                      <pic:pic>
                        <pic:nvPicPr>
                          <pic:cNvPr id="1977" name="Image 1977"/>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7"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93" w:type="dxa"/>
            <w:vMerge/>
            <w:tcBorders>
              <w:top w:val="nil"/>
              <w:left w:val="nil"/>
              <w:bottom w:val="nil"/>
              <w:right w:val="nil"/>
            </w:tcBorders>
            <w:shd w:val="clear" w:color="auto" w:fill="000000"/>
          </w:tcPr>
          <w:p>
            <w:pPr>
              <w:rPr>
                <w:sz w:val="2"/>
                <w:szCs w:val="2"/>
              </w:rPr>
            </w:pPr>
          </w:p>
        </w:tc>
        <w:tc>
          <w:tcPr>
            <w:tcW w:w="1046" w:type="dxa"/>
            <w:vMerge/>
            <w:tcBorders>
              <w:top w:val="nil"/>
              <w:left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1978" name="Image 1978"/>
                  <wp:cNvGraphicFramePr>
                    <a:graphicFrameLocks/>
                  </wp:cNvGraphicFramePr>
                  <a:graphic>
                    <a:graphicData uri="http://schemas.openxmlformats.org/drawingml/2006/picture">
                      <pic:pic>
                        <pic:nvPicPr>
                          <pic:cNvPr id="1978" name="Image 1978"/>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93" w:type="dxa"/>
            <w:vMerge/>
            <w:tcBorders>
              <w:top w:val="nil"/>
              <w:left w:val="nil"/>
              <w:bottom w:val="nil"/>
              <w:right w:val="nil"/>
            </w:tcBorders>
            <w:shd w:val="clear" w:color="auto" w:fill="000000"/>
          </w:tcPr>
          <w:p>
            <w:pPr>
              <w:rPr>
                <w:sz w:val="2"/>
                <w:szCs w:val="2"/>
              </w:rPr>
            </w:pPr>
          </w:p>
        </w:tc>
        <w:tc>
          <w:tcPr>
            <w:tcW w:w="1046" w:type="dxa"/>
            <w:vMerge/>
            <w:tcBorders>
              <w:top w:val="nil"/>
              <w:left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2251" w:right="2023" w:firstLine="0"/>
        <w:jc w:val="both"/>
        <w:rPr>
          <w:rFonts w:ascii="Calibri" w:hAnsi="Calibri"/>
          <w:sz w:val="20"/>
        </w:rPr>
      </w:pPr>
      <w:r>
        <w:rPr>
          <w:rFonts w:ascii="Calibri" w:hAnsi="Calibri"/>
          <w:sz w:val="20"/>
        </w:rPr>
        <w:t>Estas reuniones constan en actas que ya fueron remitidas al Tribunal de Cuentas en la primera petición de fiscalización, acreditando la actividad regular del Comité. Se adjuntan en</w:t>
      </w:r>
      <w:r>
        <w:rPr>
          <w:rFonts w:ascii="Calibri" w:hAnsi="Calibri"/>
          <w:spacing w:val="-7"/>
          <w:sz w:val="20"/>
        </w:rPr>
        <w:t> </w:t>
      </w:r>
      <w:r>
        <w:rPr>
          <w:rFonts w:ascii="Calibri" w:hAnsi="Calibri"/>
          <w:sz w:val="20"/>
        </w:rPr>
        <w:t>el</w:t>
      </w:r>
      <w:r>
        <w:rPr>
          <w:rFonts w:ascii="Calibri" w:hAnsi="Calibri"/>
          <w:spacing w:val="-6"/>
          <w:sz w:val="20"/>
        </w:rPr>
        <w:t> </w:t>
      </w:r>
      <w:r>
        <w:rPr>
          <w:rFonts w:ascii="Calibri" w:hAnsi="Calibri"/>
          <w:sz w:val="20"/>
        </w:rPr>
        <w:t>enlace</w:t>
      </w:r>
      <w:r>
        <w:rPr>
          <w:rFonts w:ascii="Calibri" w:hAnsi="Calibri"/>
          <w:spacing w:val="-6"/>
          <w:sz w:val="20"/>
        </w:rPr>
        <w:t> </w:t>
      </w:r>
      <w:r>
        <w:rPr>
          <w:rFonts w:ascii="Calibri" w:hAnsi="Calibri"/>
          <w:sz w:val="20"/>
        </w:rPr>
        <w:t>proporcionado</w:t>
      </w:r>
      <w:r>
        <w:rPr>
          <w:rFonts w:ascii="Calibri" w:hAnsi="Calibri"/>
          <w:spacing w:val="-7"/>
          <w:sz w:val="20"/>
        </w:rPr>
        <w:t> </w:t>
      </w:r>
      <w:r>
        <w:rPr>
          <w:rFonts w:ascii="Calibri" w:hAnsi="Calibri"/>
          <w:sz w:val="20"/>
        </w:rPr>
        <w:t>las</w:t>
      </w:r>
      <w:r>
        <w:rPr>
          <w:rFonts w:ascii="Calibri" w:hAnsi="Calibri"/>
          <w:spacing w:val="-7"/>
          <w:sz w:val="20"/>
        </w:rPr>
        <w:t> </w:t>
      </w:r>
      <w:r>
        <w:rPr>
          <w:rFonts w:ascii="Calibri" w:hAnsi="Calibri"/>
          <w:sz w:val="20"/>
        </w:rPr>
        <w:t>actas</w:t>
      </w:r>
      <w:r>
        <w:rPr>
          <w:rFonts w:ascii="Calibri" w:hAnsi="Calibri"/>
          <w:spacing w:val="-6"/>
          <w:sz w:val="20"/>
        </w:rPr>
        <w:t> </w:t>
      </w:r>
      <w:r>
        <w:rPr>
          <w:rFonts w:ascii="Calibri" w:hAnsi="Calibri"/>
          <w:sz w:val="20"/>
        </w:rPr>
        <w:t>de</w:t>
      </w:r>
      <w:r>
        <w:rPr>
          <w:rFonts w:ascii="Calibri" w:hAnsi="Calibri"/>
          <w:spacing w:val="-6"/>
          <w:sz w:val="20"/>
        </w:rPr>
        <w:t> </w:t>
      </w:r>
      <w:r>
        <w:rPr>
          <w:rFonts w:ascii="Calibri" w:hAnsi="Calibri"/>
          <w:sz w:val="20"/>
        </w:rPr>
        <w:t>las</w:t>
      </w:r>
      <w:r>
        <w:rPr>
          <w:rFonts w:ascii="Calibri" w:hAnsi="Calibri"/>
          <w:spacing w:val="-10"/>
          <w:sz w:val="20"/>
        </w:rPr>
        <w:t> </w:t>
      </w:r>
      <w:r>
        <w:rPr>
          <w:rFonts w:ascii="Calibri" w:hAnsi="Calibri"/>
          <w:sz w:val="20"/>
        </w:rPr>
        <w:t>dos</w:t>
      </w:r>
      <w:r>
        <w:rPr>
          <w:rFonts w:ascii="Calibri" w:hAnsi="Calibri"/>
          <w:spacing w:val="-7"/>
          <w:sz w:val="20"/>
        </w:rPr>
        <w:t> </w:t>
      </w:r>
      <w:r>
        <w:rPr>
          <w:rFonts w:ascii="Calibri" w:hAnsi="Calibri"/>
          <w:sz w:val="20"/>
        </w:rPr>
        <w:t>últimas</w:t>
      </w:r>
      <w:r>
        <w:rPr>
          <w:rFonts w:ascii="Calibri" w:hAnsi="Calibri"/>
          <w:spacing w:val="-10"/>
          <w:sz w:val="20"/>
        </w:rPr>
        <w:t> </w:t>
      </w:r>
      <w:r>
        <w:rPr>
          <w:rFonts w:ascii="Calibri" w:hAnsi="Calibri"/>
          <w:sz w:val="20"/>
        </w:rPr>
        <w:t>reuniones,</w:t>
      </w:r>
      <w:r>
        <w:rPr>
          <w:rFonts w:ascii="Calibri" w:hAnsi="Calibri"/>
          <w:spacing w:val="-6"/>
          <w:sz w:val="20"/>
        </w:rPr>
        <w:t> </w:t>
      </w:r>
      <w:r>
        <w:rPr>
          <w:rFonts w:ascii="Calibri" w:hAnsi="Calibri"/>
          <w:sz w:val="20"/>
        </w:rPr>
        <w:t>las</w:t>
      </w:r>
      <w:r>
        <w:rPr>
          <w:rFonts w:ascii="Calibri" w:hAnsi="Calibri"/>
          <w:spacing w:val="-6"/>
          <w:sz w:val="20"/>
        </w:rPr>
        <w:t> </w:t>
      </w:r>
      <w:r>
        <w:rPr>
          <w:rFonts w:ascii="Calibri" w:hAnsi="Calibri"/>
          <w:sz w:val="20"/>
        </w:rPr>
        <w:t>cuales</w:t>
      </w:r>
      <w:r>
        <w:rPr>
          <w:rFonts w:ascii="Calibri" w:hAnsi="Calibri"/>
          <w:spacing w:val="-6"/>
          <w:sz w:val="20"/>
        </w:rPr>
        <w:t> </w:t>
      </w:r>
      <w:r>
        <w:rPr>
          <w:rFonts w:ascii="Calibri" w:hAnsi="Calibri"/>
          <w:sz w:val="20"/>
        </w:rPr>
        <w:t>no</w:t>
      </w:r>
      <w:r>
        <w:rPr>
          <w:rFonts w:ascii="Calibri" w:hAnsi="Calibri"/>
          <w:spacing w:val="-6"/>
          <w:sz w:val="20"/>
        </w:rPr>
        <w:t> </w:t>
      </w:r>
      <w:r>
        <w:rPr>
          <w:rFonts w:ascii="Calibri" w:hAnsi="Calibri"/>
          <w:sz w:val="20"/>
        </w:rPr>
        <w:t>habían</w:t>
      </w:r>
      <w:r>
        <w:rPr>
          <w:rFonts w:ascii="Calibri" w:hAnsi="Calibri"/>
          <w:spacing w:val="-7"/>
          <w:sz w:val="20"/>
        </w:rPr>
        <w:t> </w:t>
      </w:r>
      <w:r>
        <w:rPr>
          <w:rFonts w:ascii="Calibri" w:hAnsi="Calibri"/>
          <w:sz w:val="20"/>
        </w:rPr>
        <w:t>sido aportadas anteriormente en la carpeta denominada “</w:t>
      </w:r>
      <w:r>
        <w:rPr>
          <w:rFonts w:ascii="Calibri" w:hAnsi="Calibri"/>
          <w:i/>
          <w:sz w:val="20"/>
        </w:rPr>
        <w:t>Actas Comité Antifraude</w:t>
      </w:r>
      <w:r>
        <w:rPr>
          <w:rFonts w:ascii="Calibri" w:hAnsi="Calibri"/>
          <w:sz w:val="20"/>
        </w:rPr>
        <w:t>”.</w:t>
      </w:r>
    </w:p>
    <w:p>
      <w:pPr>
        <w:spacing w:before="148"/>
        <w:ind w:left="2251" w:right="0" w:firstLine="0"/>
        <w:jc w:val="both"/>
        <w:rPr>
          <w:rFonts w:ascii="Calibri" w:hAnsi="Calibri"/>
          <w:sz w:val="20"/>
        </w:rPr>
      </w:pPr>
      <w:r>
        <w:rPr>
          <w:rFonts w:ascii="Calibri" w:hAnsi="Calibri"/>
          <w:spacing w:val="-2"/>
          <w:sz w:val="20"/>
        </w:rPr>
        <w:t>El</w:t>
      </w:r>
      <w:r>
        <w:rPr>
          <w:rFonts w:ascii="Calibri" w:hAnsi="Calibri"/>
          <w:spacing w:val="1"/>
          <w:sz w:val="20"/>
        </w:rPr>
        <w:t> </w:t>
      </w:r>
      <w:r>
        <w:rPr>
          <w:rFonts w:ascii="Calibri" w:hAnsi="Calibri"/>
          <w:spacing w:val="-2"/>
          <w:sz w:val="20"/>
        </w:rPr>
        <w:t>Comité</w:t>
      </w:r>
      <w:r>
        <w:rPr>
          <w:rFonts w:ascii="Calibri" w:hAnsi="Calibri"/>
          <w:spacing w:val="-1"/>
          <w:sz w:val="20"/>
        </w:rPr>
        <w:t> </w:t>
      </w:r>
      <w:r>
        <w:rPr>
          <w:rFonts w:ascii="Calibri" w:hAnsi="Calibri"/>
          <w:spacing w:val="-2"/>
          <w:sz w:val="20"/>
        </w:rPr>
        <w:t>Antifraude</w:t>
      </w:r>
      <w:r>
        <w:rPr>
          <w:rFonts w:ascii="Calibri" w:hAnsi="Calibri"/>
          <w:spacing w:val="-1"/>
          <w:sz w:val="20"/>
        </w:rPr>
        <w:t> </w:t>
      </w:r>
      <w:r>
        <w:rPr>
          <w:rFonts w:ascii="Calibri" w:hAnsi="Calibri"/>
          <w:spacing w:val="-2"/>
          <w:sz w:val="20"/>
        </w:rPr>
        <w:t>ha</w:t>
      </w:r>
      <w:r>
        <w:rPr>
          <w:rFonts w:ascii="Calibri" w:hAnsi="Calibri"/>
          <w:spacing w:val="-1"/>
          <w:sz w:val="20"/>
        </w:rPr>
        <w:t> </w:t>
      </w:r>
      <w:r>
        <w:rPr>
          <w:rFonts w:ascii="Calibri" w:hAnsi="Calibri"/>
          <w:spacing w:val="-2"/>
          <w:sz w:val="20"/>
        </w:rPr>
        <w:t>celebrado</w:t>
      </w:r>
      <w:r>
        <w:rPr>
          <w:rFonts w:ascii="Calibri" w:hAnsi="Calibri"/>
          <w:sz w:val="20"/>
        </w:rPr>
        <w:t> </w:t>
      </w:r>
      <w:r>
        <w:rPr>
          <w:rFonts w:ascii="Calibri" w:hAnsi="Calibri"/>
          <w:spacing w:val="-2"/>
          <w:sz w:val="20"/>
        </w:rPr>
        <w:t>reuniones</w:t>
      </w:r>
      <w:r>
        <w:rPr>
          <w:rFonts w:ascii="Calibri" w:hAnsi="Calibri"/>
          <w:spacing w:val="-6"/>
          <w:sz w:val="20"/>
        </w:rPr>
        <w:t> </w:t>
      </w:r>
      <w:r>
        <w:rPr>
          <w:rFonts w:ascii="Calibri" w:hAnsi="Calibri"/>
          <w:spacing w:val="-2"/>
          <w:sz w:val="20"/>
        </w:rPr>
        <w:t>en las</w:t>
      </w:r>
      <w:r>
        <w:rPr>
          <w:rFonts w:ascii="Calibri" w:hAnsi="Calibri"/>
          <w:spacing w:val="-1"/>
          <w:sz w:val="20"/>
        </w:rPr>
        <w:t> </w:t>
      </w:r>
      <w:r>
        <w:rPr>
          <w:rFonts w:ascii="Calibri" w:hAnsi="Calibri"/>
          <w:spacing w:val="-2"/>
          <w:sz w:val="20"/>
        </w:rPr>
        <w:t>siguientes</w:t>
      </w:r>
      <w:r>
        <w:rPr>
          <w:rFonts w:ascii="Calibri" w:hAnsi="Calibri"/>
          <w:spacing w:val="1"/>
          <w:sz w:val="20"/>
        </w:rPr>
        <w:t> </w:t>
      </w:r>
      <w:r>
        <w:rPr>
          <w:rFonts w:ascii="Calibri" w:hAnsi="Calibri"/>
          <w:spacing w:val="-2"/>
          <w:sz w:val="20"/>
        </w:rPr>
        <w:t>fechas:</w:t>
      </w:r>
    </w:p>
    <w:p>
      <w:pPr>
        <w:pStyle w:val="ListParagraph"/>
        <w:numPr>
          <w:ilvl w:val="0"/>
          <w:numId w:val="20"/>
        </w:numPr>
        <w:tabs>
          <w:tab w:pos="2899" w:val="left" w:leader="none"/>
        </w:tabs>
        <w:spacing w:line="240" w:lineRule="auto" w:before="163" w:after="0"/>
        <w:ind w:left="2899" w:right="0" w:hanging="324"/>
        <w:jc w:val="left"/>
        <w:rPr>
          <w:rFonts w:ascii="Calibri" w:hAnsi="Calibri"/>
          <w:sz w:val="20"/>
        </w:rPr>
      </w:pPr>
      <w:r>
        <w:rPr>
          <w:rFonts w:ascii="Calibri" w:hAnsi="Calibri"/>
          <w:spacing w:val="-2"/>
          <w:sz w:val="20"/>
        </w:rPr>
        <w:t>15/09/2022</w:t>
      </w:r>
    </w:p>
    <w:p>
      <w:pPr>
        <w:pStyle w:val="ListParagraph"/>
        <w:numPr>
          <w:ilvl w:val="0"/>
          <w:numId w:val="20"/>
        </w:numPr>
        <w:tabs>
          <w:tab w:pos="2899" w:val="left" w:leader="none"/>
        </w:tabs>
        <w:spacing w:line="240" w:lineRule="auto" w:before="14" w:after="0"/>
        <w:ind w:left="2899" w:right="0" w:hanging="324"/>
        <w:jc w:val="left"/>
        <w:rPr>
          <w:rFonts w:ascii="Calibri" w:hAnsi="Calibri"/>
          <w:sz w:val="20"/>
        </w:rPr>
      </w:pPr>
      <w:r>
        <w:rPr>
          <w:rFonts w:ascii="Calibri" w:hAnsi="Calibri"/>
          <w:spacing w:val="-2"/>
          <w:sz w:val="20"/>
        </w:rPr>
        <w:t>14/09/2023</w:t>
      </w:r>
    </w:p>
    <w:p>
      <w:pPr>
        <w:pStyle w:val="ListParagraph"/>
        <w:numPr>
          <w:ilvl w:val="0"/>
          <w:numId w:val="20"/>
        </w:numPr>
        <w:tabs>
          <w:tab w:pos="2899" w:val="left" w:leader="none"/>
        </w:tabs>
        <w:spacing w:line="240" w:lineRule="auto" w:before="19" w:after="0"/>
        <w:ind w:left="2899" w:right="0" w:hanging="324"/>
        <w:jc w:val="left"/>
        <w:rPr>
          <w:rFonts w:ascii="Calibri" w:hAnsi="Calibri"/>
          <w:sz w:val="20"/>
        </w:rPr>
      </w:pPr>
      <w:r>
        <w:rPr>
          <w:rFonts w:ascii="Calibri" w:hAnsi="Calibri"/>
          <w:spacing w:val="-2"/>
          <w:sz w:val="20"/>
        </w:rPr>
        <w:t>06/03/2024</w:t>
      </w:r>
    </w:p>
    <w:p>
      <w:pPr>
        <w:pStyle w:val="ListParagraph"/>
        <w:numPr>
          <w:ilvl w:val="0"/>
          <w:numId w:val="20"/>
        </w:numPr>
        <w:tabs>
          <w:tab w:pos="2899" w:val="left" w:leader="none"/>
        </w:tabs>
        <w:spacing w:line="240" w:lineRule="auto" w:before="18" w:after="0"/>
        <w:ind w:left="2899" w:right="0" w:hanging="324"/>
        <w:jc w:val="left"/>
        <w:rPr>
          <w:rFonts w:ascii="Calibri" w:hAnsi="Calibri"/>
          <w:sz w:val="20"/>
        </w:rPr>
      </w:pPr>
      <w:r>
        <w:rPr>
          <w:rFonts w:ascii="Calibri" w:hAnsi="Calibri"/>
          <w:spacing w:val="-2"/>
          <w:sz w:val="20"/>
        </w:rPr>
        <w:t>01/07/2025</w:t>
      </w:r>
    </w:p>
    <w:p>
      <w:pPr>
        <w:pStyle w:val="ListParagraph"/>
        <w:numPr>
          <w:ilvl w:val="0"/>
          <w:numId w:val="20"/>
        </w:numPr>
        <w:tabs>
          <w:tab w:pos="2899" w:val="left" w:leader="none"/>
        </w:tabs>
        <w:spacing w:line="240" w:lineRule="auto" w:before="17" w:after="0"/>
        <w:ind w:left="2899" w:right="0" w:hanging="324"/>
        <w:jc w:val="left"/>
        <w:rPr>
          <w:rFonts w:ascii="Calibri" w:hAnsi="Calibri"/>
          <w:sz w:val="20"/>
        </w:rPr>
      </w:pPr>
      <w:r>
        <w:rPr>
          <w:rFonts w:ascii="Calibri" w:hAnsi="Calibri"/>
          <w:spacing w:val="-2"/>
          <w:sz w:val="20"/>
        </w:rPr>
        <w:t>31/07/2025</w:t>
      </w:r>
      <w:r>
        <w:rPr>
          <w:rFonts w:ascii="Calibri" w:hAnsi="Calibri"/>
          <w:spacing w:val="3"/>
          <w:sz w:val="20"/>
        </w:rPr>
        <w:t> </w:t>
      </w:r>
      <w:r>
        <w:rPr>
          <w:rFonts w:ascii="Calibri" w:hAnsi="Calibri"/>
          <w:spacing w:val="-2"/>
          <w:sz w:val="20"/>
        </w:rPr>
        <w:t>(extraordinaria)</w:t>
      </w:r>
    </w:p>
    <w:p>
      <w:pPr>
        <w:spacing w:line="259" w:lineRule="auto" w:before="159"/>
        <w:ind w:left="2251" w:right="2021" w:firstLine="0"/>
        <w:jc w:val="both"/>
        <w:rPr>
          <w:rFonts w:ascii="Calibri" w:hAnsi="Calibri"/>
          <w:sz w:val="20"/>
        </w:rPr>
      </w:pPr>
      <w:r>
        <w:rPr>
          <w:rFonts w:ascii="Calibri" w:hAnsi="Calibri"/>
          <w:sz w:val="20"/>
        </w:rPr>
        <w:t>En todas ellas se abordaron cuestiones relativas al seguimiento del Plan de Medidas Antifraude,</w:t>
      </w:r>
      <w:r>
        <w:rPr>
          <w:rFonts w:ascii="Calibri" w:hAnsi="Calibri"/>
          <w:spacing w:val="-1"/>
          <w:sz w:val="20"/>
        </w:rPr>
        <w:t> </w:t>
      </w:r>
      <w:r>
        <w:rPr>
          <w:rFonts w:ascii="Calibri" w:hAnsi="Calibri"/>
          <w:sz w:val="20"/>
        </w:rPr>
        <w:t>la</w:t>
      </w:r>
      <w:r>
        <w:rPr>
          <w:rFonts w:ascii="Calibri" w:hAnsi="Calibri"/>
          <w:spacing w:val="-5"/>
          <w:sz w:val="20"/>
        </w:rPr>
        <w:t> </w:t>
      </w:r>
      <w:r>
        <w:rPr>
          <w:rFonts w:ascii="Calibri" w:hAnsi="Calibri"/>
          <w:sz w:val="20"/>
        </w:rPr>
        <w:t>evaluación</w:t>
      </w:r>
      <w:r>
        <w:rPr>
          <w:rFonts w:ascii="Calibri" w:hAnsi="Calibri"/>
          <w:spacing w:val="-3"/>
          <w:sz w:val="20"/>
        </w:rPr>
        <w:t> </w:t>
      </w:r>
      <w:r>
        <w:rPr>
          <w:rFonts w:ascii="Calibri" w:hAnsi="Calibri"/>
          <w:sz w:val="20"/>
        </w:rPr>
        <w:t>de</w:t>
      </w:r>
      <w:r>
        <w:rPr>
          <w:rFonts w:ascii="Calibri" w:hAnsi="Calibri"/>
          <w:spacing w:val="-4"/>
          <w:sz w:val="20"/>
        </w:rPr>
        <w:t> </w:t>
      </w:r>
      <w:r>
        <w:rPr>
          <w:rFonts w:ascii="Calibri" w:hAnsi="Calibri"/>
          <w:sz w:val="20"/>
        </w:rPr>
        <w:t>riesgos,</w:t>
      </w:r>
      <w:r>
        <w:rPr>
          <w:rFonts w:ascii="Calibri" w:hAnsi="Calibri"/>
          <w:spacing w:val="-3"/>
          <w:sz w:val="20"/>
        </w:rPr>
        <w:t> </w:t>
      </w:r>
      <w:r>
        <w:rPr>
          <w:rFonts w:ascii="Calibri" w:hAnsi="Calibri"/>
          <w:sz w:val="20"/>
        </w:rPr>
        <w:t>la</w:t>
      </w:r>
      <w:r>
        <w:rPr>
          <w:rFonts w:ascii="Calibri" w:hAnsi="Calibri"/>
          <w:spacing w:val="-3"/>
          <w:sz w:val="20"/>
        </w:rPr>
        <w:t> </w:t>
      </w:r>
      <w:r>
        <w:rPr>
          <w:rFonts w:ascii="Calibri" w:hAnsi="Calibri"/>
          <w:sz w:val="20"/>
        </w:rPr>
        <w:t>revisión</w:t>
      </w:r>
      <w:r>
        <w:rPr>
          <w:rFonts w:ascii="Calibri" w:hAnsi="Calibri"/>
          <w:spacing w:val="-5"/>
          <w:sz w:val="20"/>
        </w:rPr>
        <w:t> </w:t>
      </w:r>
      <w:r>
        <w:rPr>
          <w:rFonts w:ascii="Calibri" w:hAnsi="Calibri"/>
          <w:sz w:val="20"/>
        </w:rPr>
        <w:t>de</w:t>
      </w:r>
      <w:r>
        <w:rPr>
          <w:rFonts w:ascii="Calibri" w:hAnsi="Calibri"/>
          <w:spacing w:val="-3"/>
          <w:sz w:val="20"/>
        </w:rPr>
        <w:t> </w:t>
      </w:r>
      <w:r>
        <w:rPr>
          <w:rFonts w:ascii="Calibri" w:hAnsi="Calibri"/>
          <w:sz w:val="20"/>
        </w:rPr>
        <w:t>los</w:t>
      </w:r>
      <w:r>
        <w:rPr>
          <w:rFonts w:ascii="Calibri" w:hAnsi="Calibri"/>
          <w:spacing w:val="-4"/>
          <w:sz w:val="20"/>
        </w:rPr>
        <w:t> </w:t>
      </w:r>
      <w:r>
        <w:rPr>
          <w:rFonts w:ascii="Calibri" w:hAnsi="Calibri"/>
          <w:sz w:val="20"/>
        </w:rPr>
        <w:t>controles</w:t>
      </w:r>
      <w:r>
        <w:rPr>
          <w:rFonts w:ascii="Calibri" w:hAnsi="Calibri"/>
          <w:spacing w:val="-5"/>
          <w:sz w:val="20"/>
        </w:rPr>
        <w:t> </w:t>
      </w:r>
      <w:r>
        <w:rPr>
          <w:rFonts w:ascii="Calibri" w:hAnsi="Calibri"/>
          <w:sz w:val="20"/>
        </w:rPr>
        <w:t>internos</w:t>
      </w:r>
      <w:r>
        <w:rPr>
          <w:rFonts w:ascii="Calibri" w:hAnsi="Calibri"/>
          <w:spacing w:val="-7"/>
          <w:sz w:val="20"/>
        </w:rPr>
        <w:t> </w:t>
      </w:r>
      <w:r>
        <w:rPr>
          <w:rFonts w:ascii="Calibri" w:hAnsi="Calibri"/>
          <w:sz w:val="20"/>
        </w:rPr>
        <w:t>y</w:t>
      </w:r>
      <w:r>
        <w:rPr>
          <w:rFonts w:ascii="Calibri" w:hAnsi="Calibri"/>
          <w:spacing w:val="-3"/>
          <w:sz w:val="20"/>
        </w:rPr>
        <w:t> </w:t>
      </w:r>
      <w:r>
        <w:rPr>
          <w:rFonts w:ascii="Calibri" w:hAnsi="Calibri"/>
          <w:sz w:val="20"/>
        </w:rPr>
        <w:t>la</w:t>
      </w:r>
      <w:r>
        <w:rPr>
          <w:rFonts w:ascii="Calibri" w:hAnsi="Calibri"/>
          <w:spacing w:val="-5"/>
          <w:sz w:val="20"/>
        </w:rPr>
        <w:t> </w:t>
      </w:r>
      <w:r>
        <w:rPr>
          <w:rFonts w:ascii="Calibri" w:hAnsi="Calibri"/>
          <w:sz w:val="20"/>
        </w:rPr>
        <w:t>comunicación de posibles incidencias o alertas, dando cumplimiento efectivo a los principios de prevención, detección y corrección de posibles irregularidades.</w:t>
      </w:r>
    </w:p>
    <w:p>
      <w:pPr>
        <w:spacing w:line="256" w:lineRule="auto" w:before="138"/>
        <w:ind w:left="2251" w:right="2020" w:firstLine="0"/>
        <w:jc w:val="both"/>
        <w:rPr>
          <w:rFonts w:ascii="Calibri" w:hAnsi="Calibri"/>
          <w:sz w:val="20"/>
        </w:rPr>
      </w:pPr>
      <w:r>
        <w:rPr>
          <w:rFonts w:ascii="Calibri" w:hAnsi="Calibri"/>
          <w:sz w:val="20"/>
        </w:rPr>
        <w:t>En</w:t>
      </w:r>
      <w:r>
        <w:rPr>
          <w:rFonts w:ascii="Calibri" w:hAnsi="Calibri"/>
          <w:spacing w:val="-8"/>
          <w:sz w:val="20"/>
        </w:rPr>
        <w:t> </w:t>
      </w:r>
      <w:r>
        <w:rPr>
          <w:rFonts w:ascii="Calibri" w:hAnsi="Calibri"/>
          <w:sz w:val="20"/>
        </w:rPr>
        <w:t>consecuencia,</w:t>
      </w:r>
      <w:r>
        <w:rPr>
          <w:rFonts w:ascii="Calibri" w:hAnsi="Calibri"/>
          <w:spacing w:val="-6"/>
          <w:sz w:val="20"/>
        </w:rPr>
        <w:t> </w:t>
      </w:r>
      <w:r>
        <w:rPr>
          <w:rFonts w:ascii="Calibri" w:hAnsi="Calibri"/>
          <w:sz w:val="20"/>
          <w:u w:val="single"/>
        </w:rPr>
        <w:t>se</w:t>
      </w:r>
      <w:r>
        <w:rPr>
          <w:rFonts w:ascii="Calibri" w:hAnsi="Calibri"/>
          <w:spacing w:val="-11"/>
          <w:sz w:val="20"/>
          <w:u w:val="single"/>
        </w:rPr>
        <w:t> </w:t>
      </w:r>
      <w:r>
        <w:rPr>
          <w:rFonts w:ascii="Calibri" w:hAnsi="Calibri"/>
          <w:sz w:val="20"/>
          <w:u w:val="single"/>
        </w:rPr>
        <w:t>solicita</w:t>
      </w:r>
      <w:r>
        <w:rPr>
          <w:rFonts w:ascii="Calibri" w:hAnsi="Calibri"/>
          <w:spacing w:val="-8"/>
          <w:sz w:val="20"/>
          <w:u w:val="single"/>
        </w:rPr>
        <w:t> </w:t>
      </w:r>
      <w:r>
        <w:rPr>
          <w:rFonts w:ascii="Calibri" w:hAnsi="Calibri"/>
          <w:sz w:val="20"/>
          <w:u w:val="single"/>
        </w:rPr>
        <w:t>que</w:t>
      </w:r>
      <w:r>
        <w:rPr>
          <w:rFonts w:ascii="Calibri" w:hAnsi="Calibri"/>
          <w:spacing w:val="-6"/>
          <w:sz w:val="20"/>
          <w:u w:val="single"/>
        </w:rPr>
        <w:t> </w:t>
      </w:r>
      <w:r>
        <w:rPr>
          <w:rFonts w:ascii="Calibri" w:hAnsi="Calibri"/>
          <w:sz w:val="20"/>
          <w:u w:val="single"/>
        </w:rPr>
        <w:t>se</w:t>
      </w:r>
      <w:r>
        <w:rPr>
          <w:rFonts w:ascii="Calibri" w:hAnsi="Calibri"/>
          <w:spacing w:val="-8"/>
          <w:sz w:val="20"/>
          <w:u w:val="single"/>
        </w:rPr>
        <w:t> </w:t>
      </w:r>
      <w:r>
        <w:rPr>
          <w:rFonts w:ascii="Calibri" w:hAnsi="Calibri"/>
          <w:sz w:val="20"/>
          <w:u w:val="single"/>
        </w:rPr>
        <w:t>rectifique</w:t>
      </w:r>
      <w:r>
        <w:rPr>
          <w:rFonts w:ascii="Calibri" w:hAnsi="Calibri"/>
          <w:spacing w:val="-9"/>
          <w:sz w:val="20"/>
          <w:u w:val="single"/>
        </w:rPr>
        <w:t> </w:t>
      </w:r>
      <w:r>
        <w:rPr>
          <w:rFonts w:ascii="Calibri" w:hAnsi="Calibri"/>
          <w:sz w:val="20"/>
          <w:u w:val="single"/>
        </w:rPr>
        <w:t>la</w:t>
      </w:r>
      <w:r>
        <w:rPr>
          <w:rFonts w:ascii="Calibri" w:hAnsi="Calibri"/>
          <w:spacing w:val="-8"/>
          <w:sz w:val="20"/>
          <w:u w:val="single"/>
        </w:rPr>
        <w:t> </w:t>
      </w:r>
      <w:r>
        <w:rPr>
          <w:rFonts w:ascii="Calibri" w:hAnsi="Calibri"/>
          <w:sz w:val="20"/>
          <w:u w:val="single"/>
        </w:rPr>
        <w:t>observación</w:t>
      </w:r>
      <w:r>
        <w:rPr>
          <w:rFonts w:ascii="Calibri" w:hAnsi="Calibri"/>
          <w:spacing w:val="-8"/>
          <w:sz w:val="20"/>
          <w:u w:val="single"/>
        </w:rPr>
        <w:t> </w:t>
      </w:r>
      <w:r>
        <w:rPr>
          <w:rFonts w:ascii="Calibri" w:hAnsi="Calibri"/>
          <w:sz w:val="20"/>
          <w:u w:val="single"/>
        </w:rPr>
        <w:t>realizada</w:t>
      </w:r>
      <w:r>
        <w:rPr>
          <w:rFonts w:ascii="Calibri" w:hAnsi="Calibri"/>
          <w:spacing w:val="-7"/>
          <w:sz w:val="20"/>
          <w:u w:val="single"/>
        </w:rPr>
        <w:t> </w:t>
      </w:r>
      <w:r>
        <w:rPr>
          <w:rFonts w:ascii="Calibri" w:hAnsi="Calibri"/>
          <w:sz w:val="20"/>
          <w:u w:val="single"/>
        </w:rPr>
        <w:t>porque</w:t>
      </w:r>
      <w:r>
        <w:rPr>
          <w:rFonts w:ascii="Calibri" w:hAnsi="Calibri"/>
          <w:spacing w:val="-8"/>
          <w:sz w:val="20"/>
          <w:u w:val="single"/>
        </w:rPr>
        <w:t> </w:t>
      </w:r>
      <w:r>
        <w:rPr>
          <w:rFonts w:ascii="Calibri" w:hAnsi="Calibri"/>
          <w:sz w:val="20"/>
          <w:u w:val="single"/>
        </w:rPr>
        <w:t>si</w:t>
      </w:r>
      <w:r>
        <w:rPr>
          <w:rFonts w:ascii="Calibri" w:hAnsi="Calibri"/>
          <w:spacing w:val="-9"/>
          <w:sz w:val="20"/>
          <w:u w:val="single"/>
        </w:rPr>
        <w:t> </w:t>
      </w:r>
      <w:r>
        <w:rPr>
          <w:rFonts w:ascii="Calibri" w:hAnsi="Calibri"/>
          <w:sz w:val="20"/>
          <w:u w:val="single"/>
        </w:rPr>
        <w:t>bien</w:t>
      </w:r>
      <w:r>
        <w:rPr>
          <w:rFonts w:ascii="Calibri" w:hAnsi="Calibri"/>
          <w:spacing w:val="-7"/>
          <w:sz w:val="20"/>
          <w:u w:val="single"/>
        </w:rPr>
        <w:t> </w:t>
      </w:r>
      <w:r>
        <w:rPr>
          <w:rFonts w:ascii="Calibri" w:hAnsi="Calibri"/>
          <w:sz w:val="20"/>
          <w:u w:val="single"/>
        </w:rPr>
        <w:t>el</w:t>
      </w:r>
      <w:r>
        <w:rPr>
          <w:rFonts w:ascii="Calibri" w:hAnsi="Calibri"/>
          <w:spacing w:val="-8"/>
          <w:sz w:val="20"/>
          <w:u w:val="single"/>
        </w:rPr>
        <w:t> </w:t>
      </w:r>
      <w:r>
        <w:rPr>
          <w:rFonts w:ascii="Calibri" w:hAnsi="Calibri"/>
          <w:sz w:val="20"/>
          <w:u w:val="single"/>
        </w:rPr>
        <w:t>Plan</w:t>
      </w:r>
      <w:r>
        <w:rPr>
          <w:rFonts w:ascii="Calibri" w:hAnsi="Calibri"/>
          <w:sz w:val="20"/>
          <w:u w:val="none"/>
        </w:rPr>
        <w:t> </w:t>
      </w:r>
      <w:r>
        <w:rPr>
          <w:rFonts w:ascii="Calibri" w:hAnsi="Calibri"/>
          <w:sz w:val="20"/>
          <w:u w:val="single"/>
        </w:rPr>
        <w:t>de</w:t>
      </w:r>
      <w:r>
        <w:rPr>
          <w:rFonts w:ascii="Calibri" w:hAnsi="Calibri"/>
          <w:spacing w:val="-3"/>
          <w:sz w:val="20"/>
          <w:u w:val="single"/>
        </w:rPr>
        <w:t> </w:t>
      </w:r>
      <w:r>
        <w:rPr>
          <w:rFonts w:ascii="Calibri" w:hAnsi="Calibri"/>
          <w:sz w:val="20"/>
          <w:u w:val="single"/>
        </w:rPr>
        <w:t>Medidas</w:t>
      </w:r>
      <w:r>
        <w:rPr>
          <w:rFonts w:ascii="Calibri" w:hAnsi="Calibri"/>
          <w:spacing w:val="-6"/>
          <w:sz w:val="20"/>
          <w:u w:val="single"/>
        </w:rPr>
        <w:t> </w:t>
      </w:r>
      <w:r>
        <w:rPr>
          <w:rFonts w:ascii="Calibri" w:hAnsi="Calibri"/>
          <w:sz w:val="20"/>
          <w:u w:val="single"/>
        </w:rPr>
        <w:t>Antifraude</w:t>
      </w:r>
      <w:r>
        <w:rPr>
          <w:rFonts w:ascii="Calibri" w:hAnsi="Calibri"/>
          <w:spacing w:val="-6"/>
          <w:sz w:val="20"/>
          <w:u w:val="single"/>
        </w:rPr>
        <w:t> </w:t>
      </w:r>
      <w:r>
        <w:rPr>
          <w:rFonts w:ascii="Calibri" w:hAnsi="Calibri"/>
          <w:sz w:val="20"/>
          <w:u w:val="single"/>
        </w:rPr>
        <w:t>no</w:t>
      </w:r>
      <w:r>
        <w:rPr>
          <w:rFonts w:ascii="Calibri" w:hAnsi="Calibri"/>
          <w:spacing w:val="-7"/>
          <w:sz w:val="20"/>
          <w:u w:val="single"/>
        </w:rPr>
        <w:t> </w:t>
      </w:r>
      <w:r>
        <w:rPr>
          <w:rFonts w:ascii="Calibri" w:hAnsi="Calibri"/>
          <w:sz w:val="20"/>
          <w:u w:val="single"/>
        </w:rPr>
        <w:t>ha</w:t>
      </w:r>
      <w:r>
        <w:rPr>
          <w:rFonts w:ascii="Calibri" w:hAnsi="Calibri"/>
          <w:spacing w:val="-4"/>
          <w:sz w:val="20"/>
          <w:u w:val="single"/>
        </w:rPr>
        <w:t> </w:t>
      </w:r>
      <w:r>
        <w:rPr>
          <w:rFonts w:ascii="Calibri" w:hAnsi="Calibri"/>
          <w:sz w:val="20"/>
          <w:u w:val="single"/>
        </w:rPr>
        <w:t>sido</w:t>
      </w:r>
      <w:r>
        <w:rPr>
          <w:rFonts w:ascii="Calibri" w:hAnsi="Calibri"/>
          <w:spacing w:val="-4"/>
          <w:sz w:val="20"/>
          <w:u w:val="single"/>
        </w:rPr>
        <w:t> </w:t>
      </w:r>
      <w:r>
        <w:rPr>
          <w:rFonts w:ascii="Calibri" w:hAnsi="Calibri"/>
          <w:sz w:val="20"/>
          <w:u w:val="single"/>
        </w:rPr>
        <w:t>objeto</w:t>
      </w:r>
      <w:r>
        <w:rPr>
          <w:rFonts w:ascii="Calibri" w:hAnsi="Calibri"/>
          <w:spacing w:val="-4"/>
          <w:sz w:val="20"/>
          <w:u w:val="single"/>
        </w:rPr>
        <w:t> </w:t>
      </w:r>
      <w:r>
        <w:rPr>
          <w:rFonts w:ascii="Calibri" w:hAnsi="Calibri"/>
          <w:sz w:val="20"/>
          <w:u w:val="single"/>
        </w:rPr>
        <w:t>de</w:t>
      </w:r>
      <w:r>
        <w:rPr>
          <w:rFonts w:ascii="Calibri" w:hAnsi="Calibri"/>
          <w:spacing w:val="-6"/>
          <w:sz w:val="20"/>
          <w:u w:val="single"/>
        </w:rPr>
        <w:t> </w:t>
      </w:r>
      <w:r>
        <w:rPr>
          <w:rFonts w:ascii="Calibri" w:hAnsi="Calibri"/>
          <w:sz w:val="20"/>
          <w:u w:val="single"/>
        </w:rPr>
        <w:t>modificación,</w:t>
      </w:r>
      <w:r>
        <w:rPr>
          <w:rFonts w:ascii="Calibri" w:hAnsi="Calibri"/>
          <w:spacing w:val="-6"/>
          <w:sz w:val="20"/>
          <w:u w:val="single"/>
        </w:rPr>
        <w:t> </w:t>
      </w:r>
      <w:r>
        <w:rPr>
          <w:rFonts w:ascii="Calibri" w:hAnsi="Calibri"/>
          <w:sz w:val="20"/>
          <w:u w:val="single"/>
        </w:rPr>
        <w:t>sí</w:t>
      </w:r>
      <w:r>
        <w:rPr>
          <w:rFonts w:ascii="Calibri" w:hAnsi="Calibri"/>
          <w:spacing w:val="-8"/>
          <w:sz w:val="20"/>
          <w:u w:val="single"/>
        </w:rPr>
        <w:t> </w:t>
      </w:r>
      <w:r>
        <w:rPr>
          <w:rFonts w:ascii="Calibri" w:hAnsi="Calibri"/>
          <w:sz w:val="20"/>
          <w:u w:val="single"/>
        </w:rPr>
        <w:t>ha</w:t>
      </w:r>
      <w:r>
        <w:rPr>
          <w:rFonts w:ascii="Calibri" w:hAnsi="Calibri"/>
          <w:spacing w:val="-4"/>
          <w:sz w:val="20"/>
          <w:u w:val="single"/>
        </w:rPr>
        <w:t> </w:t>
      </w:r>
      <w:r>
        <w:rPr>
          <w:rFonts w:ascii="Calibri" w:hAnsi="Calibri"/>
          <w:sz w:val="20"/>
          <w:u w:val="single"/>
        </w:rPr>
        <w:t>sido</w:t>
      </w:r>
      <w:r>
        <w:rPr>
          <w:rFonts w:ascii="Calibri" w:hAnsi="Calibri"/>
          <w:spacing w:val="-7"/>
          <w:sz w:val="20"/>
          <w:u w:val="single"/>
        </w:rPr>
        <w:t> </w:t>
      </w:r>
      <w:r>
        <w:rPr>
          <w:rFonts w:ascii="Calibri" w:hAnsi="Calibri"/>
          <w:sz w:val="20"/>
          <w:u w:val="single"/>
        </w:rPr>
        <w:t>objeto</w:t>
      </w:r>
      <w:r>
        <w:rPr>
          <w:rFonts w:ascii="Calibri" w:hAnsi="Calibri"/>
          <w:spacing w:val="-4"/>
          <w:sz w:val="20"/>
          <w:u w:val="single"/>
        </w:rPr>
        <w:t> </w:t>
      </w:r>
      <w:r>
        <w:rPr>
          <w:rFonts w:ascii="Calibri" w:hAnsi="Calibri"/>
          <w:sz w:val="20"/>
          <w:u w:val="single"/>
        </w:rPr>
        <w:t>de</w:t>
      </w:r>
      <w:r>
        <w:rPr>
          <w:rFonts w:ascii="Calibri" w:hAnsi="Calibri"/>
          <w:spacing w:val="-3"/>
          <w:sz w:val="20"/>
          <w:u w:val="single"/>
        </w:rPr>
        <w:t> </w:t>
      </w:r>
      <w:r>
        <w:rPr>
          <w:rFonts w:ascii="Calibri" w:hAnsi="Calibri"/>
          <w:sz w:val="20"/>
          <w:u w:val="single"/>
        </w:rPr>
        <w:t>seguimiento</w:t>
      </w:r>
      <w:r>
        <w:rPr>
          <w:rFonts w:ascii="Calibri" w:hAnsi="Calibri"/>
          <w:sz w:val="20"/>
          <w:u w:val="none"/>
        </w:rPr>
        <w:t> </w:t>
      </w:r>
      <w:r>
        <w:rPr>
          <w:rFonts w:ascii="Calibri" w:hAnsi="Calibri"/>
          <w:sz w:val="20"/>
          <w:u w:val="single"/>
        </w:rPr>
        <w:t>y</w:t>
      </w:r>
      <w:r>
        <w:rPr>
          <w:rFonts w:ascii="Calibri" w:hAnsi="Calibri"/>
          <w:spacing w:val="-9"/>
          <w:sz w:val="20"/>
          <w:u w:val="single"/>
        </w:rPr>
        <w:t> </w:t>
      </w:r>
      <w:r>
        <w:rPr>
          <w:rFonts w:ascii="Calibri" w:hAnsi="Calibri"/>
          <w:sz w:val="20"/>
          <w:u w:val="single"/>
        </w:rPr>
        <w:t>control</w:t>
      </w:r>
      <w:r>
        <w:rPr>
          <w:rFonts w:ascii="Calibri" w:hAnsi="Calibri"/>
          <w:spacing w:val="-5"/>
          <w:sz w:val="20"/>
          <w:u w:val="single"/>
        </w:rPr>
        <w:t> </w:t>
      </w:r>
      <w:r>
        <w:rPr>
          <w:rFonts w:ascii="Calibri" w:hAnsi="Calibri"/>
          <w:sz w:val="20"/>
          <w:u w:val="single"/>
        </w:rPr>
        <w:t>continuo</w:t>
      </w:r>
      <w:r>
        <w:rPr>
          <w:rFonts w:ascii="Calibri" w:hAnsi="Calibri"/>
          <w:spacing w:val="-7"/>
          <w:sz w:val="20"/>
          <w:u w:val="single"/>
        </w:rPr>
        <w:t> </w:t>
      </w:r>
      <w:r>
        <w:rPr>
          <w:rFonts w:ascii="Calibri" w:hAnsi="Calibri"/>
          <w:sz w:val="20"/>
          <w:u w:val="single"/>
        </w:rPr>
        <w:t>por</w:t>
      </w:r>
      <w:r>
        <w:rPr>
          <w:rFonts w:ascii="Calibri" w:hAnsi="Calibri"/>
          <w:spacing w:val="-5"/>
          <w:sz w:val="20"/>
          <w:u w:val="single"/>
        </w:rPr>
        <w:t> </w:t>
      </w:r>
      <w:r>
        <w:rPr>
          <w:rFonts w:ascii="Calibri" w:hAnsi="Calibri"/>
          <w:sz w:val="20"/>
          <w:u w:val="single"/>
        </w:rPr>
        <w:t>parte</w:t>
      </w:r>
      <w:r>
        <w:rPr>
          <w:rFonts w:ascii="Calibri" w:hAnsi="Calibri"/>
          <w:spacing w:val="-6"/>
          <w:sz w:val="20"/>
          <w:u w:val="single"/>
        </w:rPr>
        <w:t> </w:t>
      </w:r>
      <w:r>
        <w:rPr>
          <w:rFonts w:ascii="Calibri" w:hAnsi="Calibri"/>
          <w:sz w:val="20"/>
          <w:u w:val="single"/>
        </w:rPr>
        <w:t>del</w:t>
      </w:r>
      <w:r>
        <w:rPr>
          <w:rFonts w:ascii="Calibri" w:hAnsi="Calibri"/>
          <w:spacing w:val="-5"/>
          <w:sz w:val="20"/>
          <w:u w:val="single"/>
        </w:rPr>
        <w:t> </w:t>
      </w:r>
      <w:r>
        <w:rPr>
          <w:rFonts w:ascii="Calibri" w:hAnsi="Calibri"/>
          <w:sz w:val="20"/>
          <w:u w:val="single"/>
        </w:rPr>
        <w:t>Comité</w:t>
      </w:r>
      <w:r>
        <w:rPr>
          <w:rFonts w:ascii="Calibri" w:hAnsi="Calibri"/>
          <w:spacing w:val="-2"/>
          <w:sz w:val="20"/>
          <w:u w:val="single"/>
        </w:rPr>
        <w:t> </w:t>
      </w:r>
      <w:r>
        <w:rPr>
          <w:rFonts w:ascii="Calibri" w:hAnsi="Calibri"/>
          <w:sz w:val="20"/>
          <w:u w:val="single"/>
        </w:rPr>
        <w:t>Antifraude,</w:t>
      </w:r>
      <w:r>
        <w:rPr>
          <w:rFonts w:ascii="Calibri" w:hAnsi="Calibri"/>
          <w:spacing w:val="-5"/>
          <w:sz w:val="20"/>
          <w:u w:val="single"/>
        </w:rPr>
        <w:t> </w:t>
      </w:r>
      <w:r>
        <w:rPr>
          <w:rFonts w:ascii="Calibri" w:hAnsi="Calibri"/>
          <w:sz w:val="20"/>
          <w:u w:val="single"/>
        </w:rPr>
        <w:t>que</w:t>
      </w:r>
      <w:r>
        <w:rPr>
          <w:rFonts w:ascii="Calibri" w:hAnsi="Calibri"/>
          <w:spacing w:val="-5"/>
          <w:sz w:val="20"/>
          <w:u w:val="single"/>
        </w:rPr>
        <w:t> </w:t>
      </w:r>
      <w:r>
        <w:rPr>
          <w:rFonts w:ascii="Calibri" w:hAnsi="Calibri"/>
          <w:sz w:val="20"/>
          <w:u w:val="single"/>
        </w:rPr>
        <w:t>ha</w:t>
      </w:r>
      <w:r>
        <w:rPr>
          <w:rFonts w:ascii="Calibri" w:hAnsi="Calibri"/>
          <w:spacing w:val="-5"/>
          <w:sz w:val="20"/>
          <w:u w:val="single"/>
        </w:rPr>
        <w:t> </w:t>
      </w:r>
      <w:r>
        <w:rPr>
          <w:rFonts w:ascii="Calibri" w:hAnsi="Calibri"/>
          <w:sz w:val="20"/>
          <w:u w:val="single"/>
        </w:rPr>
        <w:t>celebrado</w:t>
      </w:r>
      <w:r>
        <w:rPr>
          <w:rFonts w:ascii="Calibri" w:hAnsi="Calibri"/>
          <w:spacing w:val="-9"/>
          <w:sz w:val="20"/>
          <w:u w:val="single"/>
        </w:rPr>
        <w:t> </w:t>
      </w:r>
      <w:r>
        <w:rPr>
          <w:rFonts w:ascii="Calibri" w:hAnsi="Calibri"/>
          <w:sz w:val="20"/>
          <w:u w:val="single"/>
        </w:rPr>
        <w:t>reuniones</w:t>
      </w:r>
      <w:r>
        <w:rPr>
          <w:rFonts w:ascii="Calibri" w:hAnsi="Calibri"/>
          <w:spacing w:val="-6"/>
          <w:sz w:val="20"/>
          <w:u w:val="single"/>
        </w:rPr>
        <w:t> </w:t>
      </w:r>
      <w:r>
        <w:rPr>
          <w:rFonts w:ascii="Calibri" w:hAnsi="Calibri"/>
          <w:sz w:val="20"/>
          <w:u w:val="single"/>
        </w:rPr>
        <w:t>periódicas</w:t>
      </w:r>
      <w:r>
        <w:rPr>
          <w:rFonts w:ascii="Calibri" w:hAnsi="Calibri"/>
          <w:sz w:val="20"/>
          <w:u w:val="none"/>
        </w:rPr>
        <w:t> </w:t>
      </w:r>
      <w:r>
        <w:rPr>
          <w:rFonts w:ascii="Calibri" w:hAnsi="Calibri"/>
          <w:sz w:val="20"/>
          <w:u w:val="single"/>
        </w:rPr>
        <w:t>documentadas entre septiembre de 2022 y julio de 2025. Además, la actividad de dicho</w:t>
      </w:r>
      <w:r>
        <w:rPr>
          <w:rFonts w:ascii="Calibri" w:hAnsi="Calibri"/>
          <w:sz w:val="20"/>
          <w:u w:val="none"/>
        </w:rPr>
        <w:t> </w:t>
      </w:r>
      <w:r>
        <w:rPr>
          <w:rFonts w:ascii="Calibri" w:hAnsi="Calibri"/>
          <w:sz w:val="20"/>
          <w:u w:val="single"/>
        </w:rPr>
        <w:t>Comité</w:t>
      </w:r>
      <w:r>
        <w:rPr>
          <w:rFonts w:ascii="Calibri" w:hAnsi="Calibri"/>
          <w:spacing w:val="-3"/>
          <w:sz w:val="20"/>
          <w:u w:val="single"/>
        </w:rPr>
        <w:t> </w:t>
      </w:r>
      <w:r>
        <w:rPr>
          <w:rFonts w:ascii="Calibri" w:hAnsi="Calibri"/>
          <w:sz w:val="20"/>
          <w:u w:val="single"/>
        </w:rPr>
        <w:t>garantiza</w:t>
      </w:r>
      <w:r>
        <w:rPr>
          <w:rFonts w:ascii="Calibri" w:hAnsi="Calibri"/>
          <w:spacing w:val="-3"/>
          <w:sz w:val="20"/>
          <w:u w:val="single"/>
        </w:rPr>
        <w:t> </w:t>
      </w:r>
      <w:r>
        <w:rPr>
          <w:rFonts w:ascii="Calibri" w:hAnsi="Calibri"/>
          <w:sz w:val="20"/>
          <w:u w:val="single"/>
        </w:rPr>
        <w:t>la</w:t>
      </w:r>
      <w:r>
        <w:rPr>
          <w:rFonts w:ascii="Calibri" w:hAnsi="Calibri"/>
          <w:spacing w:val="-3"/>
          <w:sz w:val="20"/>
          <w:u w:val="single"/>
        </w:rPr>
        <w:t> </w:t>
      </w:r>
      <w:r>
        <w:rPr>
          <w:rFonts w:ascii="Calibri" w:hAnsi="Calibri"/>
          <w:sz w:val="20"/>
          <w:u w:val="single"/>
        </w:rPr>
        <w:t>eficacia</w:t>
      </w:r>
      <w:r>
        <w:rPr>
          <w:rFonts w:ascii="Calibri" w:hAnsi="Calibri"/>
          <w:spacing w:val="-4"/>
          <w:sz w:val="20"/>
          <w:u w:val="single"/>
        </w:rPr>
        <w:t> </w:t>
      </w:r>
      <w:r>
        <w:rPr>
          <w:rFonts w:ascii="Calibri" w:hAnsi="Calibri"/>
          <w:sz w:val="20"/>
          <w:u w:val="single"/>
        </w:rPr>
        <w:t>del</w:t>
      </w:r>
      <w:r>
        <w:rPr>
          <w:rFonts w:ascii="Calibri" w:hAnsi="Calibri"/>
          <w:spacing w:val="-4"/>
          <w:sz w:val="20"/>
          <w:u w:val="single"/>
        </w:rPr>
        <w:t> </w:t>
      </w:r>
      <w:r>
        <w:rPr>
          <w:rFonts w:ascii="Calibri" w:hAnsi="Calibri"/>
          <w:sz w:val="20"/>
          <w:u w:val="single"/>
        </w:rPr>
        <w:t>PMA</w:t>
      </w:r>
      <w:r>
        <w:rPr>
          <w:rFonts w:ascii="Calibri" w:hAnsi="Calibri"/>
          <w:spacing w:val="-4"/>
          <w:sz w:val="20"/>
          <w:u w:val="single"/>
        </w:rPr>
        <w:t> </w:t>
      </w:r>
      <w:r>
        <w:rPr>
          <w:rFonts w:ascii="Calibri" w:hAnsi="Calibri"/>
          <w:sz w:val="20"/>
          <w:u w:val="single"/>
        </w:rPr>
        <w:t>y</w:t>
      </w:r>
      <w:r>
        <w:rPr>
          <w:rFonts w:ascii="Calibri" w:hAnsi="Calibri"/>
          <w:spacing w:val="-4"/>
          <w:sz w:val="20"/>
          <w:u w:val="single"/>
        </w:rPr>
        <w:t> </w:t>
      </w:r>
      <w:r>
        <w:rPr>
          <w:rFonts w:ascii="Calibri" w:hAnsi="Calibri"/>
          <w:sz w:val="20"/>
          <w:u w:val="single"/>
        </w:rPr>
        <w:t>la</w:t>
      </w:r>
      <w:r>
        <w:rPr>
          <w:rFonts w:ascii="Calibri" w:hAnsi="Calibri"/>
          <w:spacing w:val="-7"/>
          <w:sz w:val="20"/>
          <w:u w:val="single"/>
        </w:rPr>
        <w:t> </w:t>
      </w:r>
      <w:r>
        <w:rPr>
          <w:rFonts w:ascii="Calibri" w:hAnsi="Calibri"/>
          <w:sz w:val="20"/>
          <w:u w:val="single"/>
        </w:rPr>
        <w:t>adaptación</w:t>
      </w:r>
      <w:r>
        <w:rPr>
          <w:rFonts w:ascii="Calibri" w:hAnsi="Calibri"/>
          <w:spacing w:val="-2"/>
          <w:sz w:val="20"/>
          <w:u w:val="single"/>
        </w:rPr>
        <w:t> </w:t>
      </w:r>
      <w:r>
        <w:rPr>
          <w:rFonts w:ascii="Calibri" w:hAnsi="Calibri"/>
          <w:sz w:val="20"/>
          <w:u w:val="single"/>
        </w:rPr>
        <w:t>práctica</w:t>
      </w:r>
      <w:r>
        <w:rPr>
          <w:rFonts w:ascii="Calibri" w:hAnsi="Calibri"/>
          <w:spacing w:val="-3"/>
          <w:sz w:val="20"/>
          <w:u w:val="single"/>
        </w:rPr>
        <w:t> </w:t>
      </w:r>
      <w:r>
        <w:rPr>
          <w:rFonts w:ascii="Calibri" w:hAnsi="Calibri"/>
          <w:sz w:val="20"/>
          <w:u w:val="single"/>
        </w:rPr>
        <w:t>de</w:t>
      </w:r>
      <w:r>
        <w:rPr>
          <w:rFonts w:ascii="Calibri" w:hAnsi="Calibri"/>
          <w:spacing w:val="-5"/>
          <w:sz w:val="20"/>
          <w:u w:val="single"/>
        </w:rPr>
        <w:t> </w:t>
      </w:r>
      <w:r>
        <w:rPr>
          <w:rFonts w:ascii="Calibri" w:hAnsi="Calibri"/>
          <w:sz w:val="20"/>
          <w:u w:val="single"/>
        </w:rPr>
        <w:t>sus</w:t>
      </w:r>
      <w:r>
        <w:rPr>
          <w:rFonts w:ascii="Calibri" w:hAnsi="Calibri"/>
          <w:spacing w:val="-8"/>
          <w:sz w:val="20"/>
          <w:u w:val="single"/>
        </w:rPr>
        <w:t> </w:t>
      </w:r>
      <w:r>
        <w:rPr>
          <w:rFonts w:ascii="Calibri" w:hAnsi="Calibri"/>
          <w:sz w:val="20"/>
          <w:u w:val="single"/>
        </w:rPr>
        <w:t>medidas</w:t>
      </w:r>
      <w:r>
        <w:rPr>
          <w:rFonts w:ascii="Calibri" w:hAnsi="Calibri"/>
          <w:spacing w:val="-4"/>
          <w:sz w:val="20"/>
          <w:u w:val="single"/>
        </w:rPr>
        <w:t> </w:t>
      </w:r>
      <w:r>
        <w:rPr>
          <w:rFonts w:ascii="Calibri" w:hAnsi="Calibri"/>
          <w:sz w:val="20"/>
          <w:u w:val="single"/>
        </w:rPr>
        <w:t>a</w:t>
      </w:r>
      <w:r>
        <w:rPr>
          <w:rFonts w:ascii="Calibri" w:hAnsi="Calibri"/>
          <w:spacing w:val="-4"/>
          <w:sz w:val="20"/>
          <w:u w:val="single"/>
        </w:rPr>
        <w:t> </w:t>
      </w:r>
      <w:r>
        <w:rPr>
          <w:rFonts w:ascii="Calibri" w:hAnsi="Calibri"/>
          <w:sz w:val="20"/>
          <w:u w:val="single"/>
        </w:rPr>
        <w:t>la</w:t>
      </w:r>
      <w:r>
        <w:rPr>
          <w:rFonts w:ascii="Calibri" w:hAnsi="Calibri"/>
          <w:spacing w:val="-4"/>
          <w:sz w:val="20"/>
          <w:u w:val="single"/>
        </w:rPr>
        <w:t> </w:t>
      </w:r>
      <w:r>
        <w:rPr>
          <w:rFonts w:ascii="Calibri" w:hAnsi="Calibri"/>
          <w:sz w:val="20"/>
          <w:u w:val="single"/>
        </w:rPr>
        <w:t>evolución</w:t>
      </w:r>
      <w:r>
        <w:rPr>
          <w:rFonts w:ascii="Calibri" w:hAnsi="Calibri"/>
          <w:sz w:val="20"/>
          <w:u w:val="none"/>
        </w:rPr>
        <w:t> </w:t>
      </w:r>
      <w:r>
        <w:rPr>
          <w:rFonts w:ascii="Calibri" w:hAnsi="Calibri"/>
          <w:sz w:val="20"/>
          <w:u w:val="single"/>
        </w:rPr>
        <w:t>de</w:t>
      </w:r>
      <w:r>
        <w:rPr>
          <w:rFonts w:ascii="Calibri" w:hAnsi="Calibri"/>
          <w:spacing w:val="-2"/>
          <w:sz w:val="20"/>
          <w:u w:val="single"/>
        </w:rPr>
        <w:t> </w:t>
      </w:r>
      <w:r>
        <w:rPr>
          <w:rFonts w:ascii="Calibri" w:hAnsi="Calibri"/>
          <w:sz w:val="20"/>
          <w:u w:val="single"/>
        </w:rPr>
        <w:t>los</w:t>
      </w:r>
      <w:r>
        <w:rPr>
          <w:rFonts w:ascii="Calibri" w:hAnsi="Calibri"/>
          <w:spacing w:val="-3"/>
          <w:sz w:val="20"/>
          <w:u w:val="single"/>
        </w:rPr>
        <w:t> </w:t>
      </w:r>
      <w:r>
        <w:rPr>
          <w:rFonts w:ascii="Calibri" w:hAnsi="Calibri"/>
          <w:sz w:val="20"/>
          <w:u w:val="single"/>
        </w:rPr>
        <w:t>proyectos</w:t>
      </w:r>
      <w:r>
        <w:rPr>
          <w:rFonts w:ascii="Calibri" w:hAnsi="Calibri"/>
          <w:spacing w:val="-3"/>
          <w:sz w:val="20"/>
          <w:u w:val="single"/>
        </w:rPr>
        <w:t> </w:t>
      </w:r>
      <w:r>
        <w:rPr>
          <w:rFonts w:ascii="Calibri" w:hAnsi="Calibri"/>
          <w:sz w:val="20"/>
          <w:u w:val="single"/>
        </w:rPr>
        <w:t>y</w:t>
      </w:r>
      <w:r>
        <w:rPr>
          <w:rFonts w:ascii="Calibri" w:hAnsi="Calibri"/>
          <w:spacing w:val="-6"/>
          <w:sz w:val="20"/>
          <w:u w:val="single"/>
        </w:rPr>
        <w:t> </w:t>
      </w:r>
      <w:r>
        <w:rPr>
          <w:rFonts w:ascii="Calibri" w:hAnsi="Calibri"/>
          <w:sz w:val="20"/>
          <w:u w:val="single"/>
        </w:rPr>
        <w:t>del</w:t>
      </w:r>
      <w:r>
        <w:rPr>
          <w:rFonts w:ascii="Calibri" w:hAnsi="Calibri"/>
          <w:spacing w:val="-6"/>
          <w:sz w:val="20"/>
          <w:u w:val="single"/>
        </w:rPr>
        <w:t> </w:t>
      </w:r>
      <w:r>
        <w:rPr>
          <w:rFonts w:ascii="Calibri" w:hAnsi="Calibri"/>
          <w:sz w:val="20"/>
          <w:u w:val="single"/>
        </w:rPr>
        <w:t>marco</w:t>
      </w:r>
      <w:r>
        <w:rPr>
          <w:rFonts w:ascii="Calibri" w:hAnsi="Calibri"/>
          <w:spacing w:val="-2"/>
          <w:sz w:val="20"/>
          <w:u w:val="single"/>
        </w:rPr>
        <w:t> </w:t>
      </w:r>
      <w:r>
        <w:rPr>
          <w:rFonts w:ascii="Calibri" w:hAnsi="Calibri"/>
          <w:sz w:val="20"/>
          <w:u w:val="single"/>
        </w:rPr>
        <w:t>de</w:t>
      </w:r>
      <w:r>
        <w:rPr>
          <w:rFonts w:ascii="Calibri" w:hAnsi="Calibri"/>
          <w:spacing w:val="-4"/>
          <w:sz w:val="20"/>
          <w:u w:val="single"/>
        </w:rPr>
        <w:t> </w:t>
      </w:r>
      <w:r>
        <w:rPr>
          <w:rFonts w:ascii="Calibri" w:hAnsi="Calibri"/>
          <w:sz w:val="20"/>
          <w:u w:val="single"/>
        </w:rPr>
        <w:t>gestión</w:t>
      </w:r>
      <w:r>
        <w:rPr>
          <w:rFonts w:ascii="Calibri" w:hAnsi="Calibri"/>
          <w:spacing w:val="-4"/>
          <w:sz w:val="20"/>
          <w:u w:val="single"/>
        </w:rPr>
        <w:t> </w:t>
      </w:r>
      <w:r>
        <w:rPr>
          <w:rFonts w:ascii="Calibri" w:hAnsi="Calibri"/>
          <w:sz w:val="20"/>
          <w:u w:val="single"/>
        </w:rPr>
        <w:t>de</w:t>
      </w:r>
      <w:r>
        <w:rPr>
          <w:rFonts w:ascii="Calibri" w:hAnsi="Calibri"/>
          <w:spacing w:val="-3"/>
          <w:sz w:val="20"/>
          <w:u w:val="single"/>
        </w:rPr>
        <w:t> </w:t>
      </w:r>
      <w:r>
        <w:rPr>
          <w:rFonts w:ascii="Calibri" w:hAnsi="Calibri"/>
          <w:sz w:val="20"/>
          <w:u w:val="single"/>
        </w:rPr>
        <w:t>los</w:t>
      </w:r>
      <w:r>
        <w:rPr>
          <w:rFonts w:ascii="Calibri" w:hAnsi="Calibri"/>
          <w:spacing w:val="-3"/>
          <w:sz w:val="20"/>
          <w:u w:val="single"/>
        </w:rPr>
        <w:t> </w:t>
      </w:r>
      <w:r>
        <w:rPr>
          <w:rFonts w:ascii="Calibri" w:hAnsi="Calibri"/>
          <w:sz w:val="20"/>
          <w:u w:val="single"/>
        </w:rPr>
        <w:t>fondos,</w:t>
      </w:r>
      <w:r>
        <w:rPr>
          <w:rFonts w:ascii="Calibri" w:hAnsi="Calibri"/>
          <w:spacing w:val="-4"/>
          <w:sz w:val="20"/>
          <w:u w:val="single"/>
        </w:rPr>
        <w:t> </w:t>
      </w:r>
      <w:r>
        <w:rPr>
          <w:rFonts w:ascii="Calibri" w:hAnsi="Calibri"/>
          <w:sz w:val="20"/>
          <w:u w:val="single"/>
        </w:rPr>
        <w:t>cumpliendo</w:t>
      </w:r>
      <w:r>
        <w:rPr>
          <w:rFonts w:ascii="Calibri" w:hAnsi="Calibri"/>
          <w:spacing w:val="-2"/>
          <w:sz w:val="20"/>
          <w:u w:val="single"/>
        </w:rPr>
        <w:t> </w:t>
      </w:r>
      <w:r>
        <w:rPr>
          <w:rFonts w:ascii="Calibri" w:hAnsi="Calibri"/>
          <w:sz w:val="20"/>
          <w:u w:val="single"/>
        </w:rPr>
        <w:t>así</w:t>
      </w:r>
      <w:r>
        <w:rPr>
          <w:rFonts w:ascii="Calibri" w:hAnsi="Calibri"/>
          <w:spacing w:val="-4"/>
          <w:sz w:val="20"/>
          <w:u w:val="single"/>
        </w:rPr>
        <w:t> </w:t>
      </w:r>
      <w:r>
        <w:rPr>
          <w:rFonts w:ascii="Calibri" w:hAnsi="Calibri"/>
          <w:sz w:val="20"/>
          <w:u w:val="single"/>
        </w:rPr>
        <w:t>con</w:t>
      </w:r>
      <w:r>
        <w:rPr>
          <w:rFonts w:ascii="Calibri" w:hAnsi="Calibri"/>
          <w:spacing w:val="-4"/>
          <w:sz w:val="20"/>
          <w:u w:val="single"/>
        </w:rPr>
        <w:t> </w:t>
      </w:r>
      <w:r>
        <w:rPr>
          <w:rFonts w:ascii="Calibri" w:hAnsi="Calibri"/>
          <w:sz w:val="20"/>
          <w:u w:val="single"/>
        </w:rPr>
        <w:t>los</w:t>
      </w:r>
      <w:r>
        <w:rPr>
          <w:rFonts w:ascii="Calibri" w:hAnsi="Calibri"/>
          <w:spacing w:val="-2"/>
          <w:sz w:val="20"/>
          <w:u w:val="single"/>
        </w:rPr>
        <w:t> </w:t>
      </w:r>
      <w:r>
        <w:rPr>
          <w:rFonts w:ascii="Calibri" w:hAnsi="Calibri"/>
          <w:sz w:val="20"/>
          <w:u w:val="single"/>
        </w:rPr>
        <w:t>principios</w:t>
      </w:r>
      <w:r>
        <w:rPr>
          <w:rFonts w:ascii="Calibri" w:hAnsi="Calibri"/>
          <w:spacing w:val="-3"/>
          <w:sz w:val="20"/>
          <w:u w:val="single"/>
        </w:rPr>
        <w:t> </w:t>
      </w:r>
      <w:r>
        <w:rPr>
          <w:rFonts w:ascii="Calibri" w:hAnsi="Calibri"/>
          <w:sz w:val="20"/>
          <w:u w:val="single"/>
        </w:rPr>
        <w:t>de</w:t>
      </w:r>
      <w:r>
        <w:rPr>
          <w:rFonts w:ascii="Calibri" w:hAnsi="Calibri"/>
          <w:sz w:val="20"/>
          <w:u w:val="none"/>
        </w:rPr>
        <w:t> </w:t>
      </w:r>
      <w:r>
        <w:rPr>
          <w:rFonts w:ascii="Calibri" w:hAnsi="Calibri"/>
          <w:sz w:val="20"/>
          <w:u w:val="single"/>
        </w:rPr>
        <w:t>prevención y revisión periódica recomendados.</w:t>
      </w:r>
    </w:p>
    <w:p>
      <w:pPr>
        <w:pStyle w:val="BodyText"/>
        <w:rPr>
          <w:rFonts w:ascii="Calibri"/>
          <w:sz w:val="20"/>
        </w:rPr>
      </w:pPr>
    </w:p>
    <w:p>
      <w:pPr>
        <w:pStyle w:val="BodyText"/>
        <w:spacing w:before="64"/>
        <w:rPr>
          <w:rFonts w:ascii="Calibri"/>
          <w:sz w:val="20"/>
        </w:rPr>
      </w:pPr>
    </w:p>
    <w:p>
      <w:pPr>
        <w:pStyle w:val="ListParagraph"/>
        <w:numPr>
          <w:ilvl w:val="0"/>
          <w:numId w:val="21"/>
        </w:numPr>
        <w:tabs>
          <w:tab w:pos="2251" w:val="left" w:leader="none"/>
        </w:tabs>
        <w:spacing w:line="256" w:lineRule="auto" w:before="0" w:after="0"/>
        <w:ind w:left="2251" w:right="2018" w:hanging="327"/>
        <w:jc w:val="both"/>
        <w:rPr>
          <w:rFonts w:ascii="Calibri" w:hAnsi="Calibri"/>
          <w:i/>
          <w:sz w:val="20"/>
        </w:rPr>
      </w:pPr>
      <w:r>
        <w:rPr>
          <w:rFonts w:ascii="Calibri" w:hAnsi="Calibri"/>
          <w:i/>
          <w:color w:val="4472C4"/>
          <w:sz w:val="20"/>
        </w:rPr>
        <w:t>Pag 104. </w:t>
      </w:r>
      <w:r>
        <w:rPr>
          <w:rFonts w:ascii="Calibri" w:hAnsi="Calibri"/>
          <w:i/>
          <w:color w:val="4472C4"/>
          <w:sz w:val="20"/>
          <w:u w:val="single" w:color="4472C4"/>
        </w:rPr>
        <w:t>Todas las entidades, salvo el Ayuntamiento de Málaga, han incluido en los</w:t>
      </w:r>
      <w:r>
        <w:rPr>
          <w:rFonts w:ascii="Calibri" w:hAnsi="Calibri"/>
          <w:i/>
          <w:color w:val="4472C4"/>
          <w:spacing w:val="40"/>
          <w:sz w:val="20"/>
          <w:u w:val="none"/>
        </w:rPr>
        <w:t> </w:t>
      </w:r>
      <w:r>
        <w:rPr>
          <w:rFonts w:ascii="Calibri" w:hAnsi="Calibri"/>
          <w:i/>
          <w:color w:val="4472C4"/>
          <w:sz w:val="20"/>
          <w:u w:val="single" w:color="4472C4"/>
        </w:rPr>
        <w:t>pliegos</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cláusulas</w:t>
      </w:r>
      <w:r>
        <w:rPr>
          <w:rFonts w:ascii="Calibri" w:hAnsi="Calibri"/>
          <w:i/>
          <w:color w:val="4472C4"/>
          <w:spacing w:val="40"/>
          <w:sz w:val="20"/>
          <w:u w:val="single" w:color="4472C4"/>
        </w:rPr>
        <w:t> </w:t>
      </w:r>
      <w:r>
        <w:rPr>
          <w:rFonts w:ascii="Calibri" w:hAnsi="Calibri"/>
          <w:i/>
          <w:color w:val="4472C4"/>
          <w:sz w:val="20"/>
          <w:u w:val="single" w:color="4472C4"/>
        </w:rPr>
        <w:t>administrativas</w:t>
      </w:r>
      <w:r>
        <w:rPr>
          <w:rFonts w:ascii="Calibri" w:hAnsi="Calibri"/>
          <w:i/>
          <w:color w:val="4472C4"/>
          <w:spacing w:val="40"/>
          <w:sz w:val="20"/>
          <w:u w:val="single" w:color="4472C4"/>
        </w:rPr>
        <w:t> </w:t>
      </w:r>
      <w:r>
        <w:rPr>
          <w:rFonts w:ascii="Calibri" w:hAnsi="Calibri"/>
          <w:i/>
          <w:color w:val="4472C4"/>
          <w:sz w:val="20"/>
          <w:u w:val="single" w:color="4472C4"/>
        </w:rPr>
        <w:t>particulares</w:t>
      </w:r>
      <w:r>
        <w:rPr>
          <w:rFonts w:ascii="Calibri" w:hAnsi="Calibri"/>
          <w:i/>
          <w:color w:val="4472C4"/>
          <w:spacing w:val="40"/>
          <w:sz w:val="20"/>
          <w:u w:val="single" w:color="4472C4"/>
        </w:rPr>
        <w:t> </w:t>
      </w:r>
      <w:r>
        <w:rPr>
          <w:rFonts w:ascii="Calibri" w:hAnsi="Calibri"/>
          <w:i/>
          <w:color w:val="4472C4"/>
          <w:sz w:val="20"/>
          <w:u w:val="single" w:color="4472C4"/>
        </w:rPr>
        <w:t>de</w:t>
      </w:r>
      <w:r>
        <w:rPr>
          <w:rFonts w:ascii="Calibri" w:hAnsi="Calibri"/>
          <w:i/>
          <w:color w:val="4472C4"/>
          <w:spacing w:val="40"/>
          <w:sz w:val="20"/>
          <w:u w:val="single" w:color="4472C4"/>
        </w:rPr>
        <w:t> </w:t>
      </w:r>
      <w:r>
        <w:rPr>
          <w:rFonts w:ascii="Calibri" w:hAnsi="Calibri"/>
          <w:i/>
          <w:color w:val="4472C4"/>
          <w:sz w:val="20"/>
          <w:u w:val="single" w:color="4472C4"/>
        </w:rPr>
        <w:t>los</w:t>
      </w:r>
      <w:r>
        <w:rPr>
          <w:rFonts w:ascii="Calibri" w:hAnsi="Calibri"/>
          <w:i/>
          <w:color w:val="4472C4"/>
          <w:spacing w:val="40"/>
          <w:sz w:val="20"/>
          <w:u w:val="single" w:color="4472C4"/>
        </w:rPr>
        <w:t> </w:t>
      </w:r>
      <w:r>
        <w:rPr>
          <w:rFonts w:ascii="Calibri" w:hAnsi="Calibri"/>
          <w:i/>
          <w:color w:val="4472C4"/>
          <w:sz w:val="20"/>
          <w:u w:val="single" w:color="4472C4"/>
        </w:rPr>
        <w:t>contratos</w:t>
      </w:r>
      <w:r>
        <w:rPr>
          <w:rFonts w:ascii="Calibri" w:hAnsi="Calibri"/>
          <w:i/>
          <w:color w:val="4472C4"/>
          <w:spacing w:val="40"/>
          <w:sz w:val="20"/>
          <w:u w:val="single" w:color="4472C4"/>
        </w:rPr>
        <w:t> </w:t>
      </w:r>
      <w:r>
        <w:rPr>
          <w:rFonts w:ascii="Calibri" w:hAnsi="Calibri"/>
          <w:i/>
          <w:color w:val="4472C4"/>
          <w:sz w:val="20"/>
          <w:u w:val="single" w:color="4472C4"/>
        </w:rPr>
        <w:t>examinados</w:t>
      </w:r>
      <w:r>
        <w:rPr>
          <w:rFonts w:ascii="Calibri" w:hAnsi="Calibri"/>
          <w:i/>
          <w:color w:val="4472C4"/>
          <w:sz w:val="20"/>
          <w:u w:val="none"/>
        </w:rPr>
        <w:t> </w:t>
      </w:r>
      <w:r>
        <w:rPr>
          <w:rFonts w:ascii="Calibri" w:hAnsi="Calibri"/>
          <w:i/>
          <w:color w:val="4472C4"/>
          <w:sz w:val="20"/>
          <w:u w:val="single" w:color="4472C4"/>
        </w:rPr>
        <w:t>condiciones especiales de ejecución con el fin de promover la igualdad en el mercado de</w:t>
      </w:r>
      <w:r>
        <w:rPr>
          <w:rFonts w:ascii="Calibri" w:hAnsi="Calibri"/>
          <w:i/>
          <w:color w:val="4472C4"/>
          <w:sz w:val="20"/>
          <w:u w:val="none"/>
        </w:rPr>
        <w:t> </w:t>
      </w:r>
      <w:r>
        <w:rPr>
          <w:rFonts w:ascii="Calibri" w:hAnsi="Calibri"/>
          <w:i/>
          <w:color w:val="4472C4"/>
          <w:sz w:val="20"/>
          <w:u w:val="single" w:color="4472C4"/>
        </w:rPr>
        <w:t>trabajo y/o medidas relacionadas con la igualdad de género como criterios de</w:t>
      </w:r>
      <w:r>
        <w:rPr>
          <w:rFonts w:ascii="Calibri" w:hAnsi="Calibri"/>
          <w:i/>
          <w:color w:val="4472C4"/>
          <w:spacing w:val="40"/>
          <w:sz w:val="20"/>
          <w:u w:val="none"/>
        </w:rPr>
        <w:t> </w:t>
      </w:r>
      <w:r>
        <w:rPr>
          <w:rFonts w:ascii="Calibri" w:hAnsi="Calibri"/>
          <w:i/>
          <w:color w:val="4472C4"/>
          <w:sz w:val="20"/>
          <w:u w:val="single" w:color="4472C4"/>
        </w:rPr>
        <w:t>adjudicación en caso de empate.</w:t>
      </w:r>
    </w:p>
    <w:p>
      <w:pPr>
        <w:spacing w:line="256" w:lineRule="auto" w:before="144"/>
        <w:ind w:left="2251" w:right="2021" w:firstLine="0"/>
        <w:jc w:val="both"/>
        <w:rPr>
          <w:rFonts w:ascii="Calibri" w:hAnsi="Calibri"/>
          <w:sz w:val="20"/>
        </w:rPr>
      </w:pPr>
      <w:r>
        <w:rPr>
          <w:rFonts w:ascii="Calibri" w:hAnsi="Calibri"/>
          <w:sz w:val="20"/>
        </w:rPr>
        <w:t>En cuanto a la observación incluida en su página 104 que “todas las entidades, salvo el Ayuntamiento de Málaga, han incluido en los pliegos de cláusulas administrativas particulares de los contratos examinados condiciones especiales de ejecución para promover la igualdad en el mercado de trabajo y/o medidas relacionadas con la igualdad de género como criterios de adjudicación en caso de empate”. Sin embargo, dicha observación no se ajusta a la realidad en el caso de las licitaciones tramitadas por la Empresa Malagueña de Transportes, S.A.M. (EMTSAM). A continuación, se detallan las razones, debidamente fundamentadas en la normativa aplicable y en los pliegos de EMTSAM, que desvirtúan la citada observación:</w:t>
      </w:r>
    </w:p>
    <w:p>
      <w:pPr>
        <w:pStyle w:val="ListParagraph"/>
        <w:numPr>
          <w:ilvl w:val="1"/>
          <w:numId w:val="21"/>
        </w:numPr>
        <w:tabs>
          <w:tab w:pos="2564" w:val="left" w:leader="none"/>
        </w:tabs>
        <w:spacing w:line="256" w:lineRule="auto" w:before="147" w:after="0"/>
        <w:ind w:left="2251" w:right="2022" w:firstLine="0"/>
        <w:jc w:val="left"/>
        <w:rPr>
          <w:rFonts w:ascii="Calibri" w:hAnsi="Calibri"/>
          <w:sz w:val="20"/>
        </w:rPr>
      </w:pPr>
      <w:r>
        <w:rPr>
          <w:rFonts w:ascii="Calibri" w:hAnsi="Calibri"/>
          <w:sz w:val="20"/>
        </w:rPr>
        <w:t>Todas</w:t>
      </w:r>
      <w:r>
        <w:rPr>
          <w:rFonts w:ascii="Calibri" w:hAnsi="Calibri"/>
          <w:spacing w:val="80"/>
          <w:w w:val="150"/>
          <w:sz w:val="20"/>
        </w:rPr>
        <w:t> </w:t>
      </w:r>
      <w:r>
        <w:rPr>
          <w:rFonts w:ascii="Calibri" w:hAnsi="Calibri"/>
          <w:sz w:val="20"/>
        </w:rPr>
        <w:t>las</w:t>
      </w:r>
      <w:r>
        <w:rPr>
          <w:rFonts w:ascii="Calibri" w:hAnsi="Calibri"/>
          <w:spacing w:val="80"/>
          <w:w w:val="150"/>
          <w:sz w:val="20"/>
        </w:rPr>
        <w:t> </w:t>
      </w:r>
      <w:r>
        <w:rPr>
          <w:rFonts w:ascii="Calibri" w:hAnsi="Calibri"/>
          <w:sz w:val="20"/>
        </w:rPr>
        <w:t>licitaciones</w:t>
      </w:r>
      <w:r>
        <w:rPr>
          <w:rFonts w:ascii="Calibri" w:hAnsi="Calibri"/>
          <w:spacing w:val="80"/>
          <w:sz w:val="20"/>
        </w:rPr>
        <w:t> </w:t>
      </w:r>
      <w:r>
        <w:rPr>
          <w:rFonts w:ascii="Calibri" w:hAnsi="Calibri"/>
          <w:sz w:val="20"/>
        </w:rPr>
        <w:t>de</w:t>
      </w:r>
      <w:r>
        <w:rPr>
          <w:rFonts w:ascii="Calibri" w:hAnsi="Calibri"/>
          <w:spacing w:val="80"/>
          <w:w w:val="150"/>
          <w:sz w:val="20"/>
        </w:rPr>
        <w:t> </w:t>
      </w:r>
      <w:r>
        <w:rPr>
          <w:rFonts w:ascii="Calibri" w:hAnsi="Calibri"/>
          <w:sz w:val="20"/>
        </w:rPr>
        <w:t>EMTSAM</w:t>
      </w:r>
      <w:r>
        <w:rPr>
          <w:rFonts w:ascii="Calibri" w:hAnsi="Calibri"/>
          <w:spacing w:val="80"/>
          <w:sz w:val="20"/>
        </w:rPr>
        <w:t> </w:t>
      </w:r>
      <w:r>
        <w:rPr>
          <w:rFonts w:ascii="Calibri" w:hAnsi="Calibri"/>
          <w:sz w:val="20"/>
        </w:rPr>
        <w:t>incorporan</w:t>
      </w:r>
      <w:r>
        <w:rPr>
          <w:rFonts w:ascii="Calibri" w:hAnsi="Calibri"/>
          <w:spacing w:val="80"/>
          <w:w w:val="150"/>
          <w:sz w:val="20"/>
        </w:rPr>
        <w:t> </w:t>
      </w:r>
      <w:r>
        <w:rPr>
          <w:rFonts w:ascii="Calibri" w:hAnsi="Calibri"/>
          <w:sz w:val="20"/>
        </w:rPr>
        <w:t>en</w:t>
      </w:r>
      <w:r>
        <w:rPr>
          <w:rFonts w:ascii="Calibri" w:hAnsi="Calibri"/>
          <w:spacing w:val="80"/>
          <w:w w:val="150"/>
          <w:sz w:val="20"/>
        </w:rPr>
        <w:t> </w:t>
      </w:r>
      <w:r>
        <w:rPr>
          <w:rFonts w:ascii="Calibri" w:hAnsi="Calibri"/>
          <w:sz w:val="20"/>
        </w:rPr>
        <w:t>sus</w:t>
      </w:r>
      <w:r>
        <w:rPr>
          <w:rFonts w:ascii="Calibri" w:hAnsi="Calibri"/>
          <w:spacing w:val="80"/>
          <w:sz w:val="20"/>
        </w:rPr>
        <w:t> </w:t>
      </w:r>
      <w:r>
        <w:rPr>
          <w:rFonts w:ascii="Calibri" w:hAnsi="Calibri"/>
          <w:sz w:val="20"/>
        </w:rPr>
        <w:t>Pliegos</w:t>
      </w:r>
      <w:r>
        <w:rPr>
          <w:rFonts w:ascii="Calibri" w:hAnsi="Calibri"/>
          <w:spacing w:val="80"/>
          <w:sz w:val="20"/>
        </w:rPr>
        <w:t> </w:t>
      </w:r>
      <w:r>
        <w:rPr>
          <w:rFonts w:ascii="Calibri" w:hAnsi="Calibri"/>
          <w:sz w:val="20"/>
        </w:rPr>
        <w:t>de</w:t>
      </w:r>
      <w:r>
        <w:rPr>
          <w:rFonts w:ascii="Calibri" w:hAnsi="Calibri"/>
          <w:spacing w:val="80"/>
          <w:w w:val="150"/>
          <w:sz w:val="20"/>
        </w:rPr>
        <w:t> </w:t>
      </w:r>
      <w:r>
        <w:rPr>
          <w:rFonts w:ascii="Calibri" w:hAnsi="Calibri"/>
          <w:sz w:val="20"/>
        </w:rPr>
        <w:t>Cláusulas Administrativas</w:t>
      </w:r>
      <w:r>
        <w:rPr>
          <w:rFonts w:ascii="Calibri" w:hAnsi="Calibri"/>
          <w:spacing w:val="27"/>
          <w:sz w:val="20"/>
        </w:rPr>
        <w:t> </w:t>
      </w:r>
      <w:r>
        <w:rPr>
          <w:rFonts w:ascii="Calibri" w:hAnsi="Calibri"/>
          <w:sz w:val="20"/>
        </w:rPr>
        <w:t>Particulares</w:t>
      </w:r>
      <w:r>
        <w:rPr>
          <w:rFonts w:ascii="Calibri" w:hAnsi="Calibri"/>
          <w:spacing w:val="28"/>
          <w:sz w:val="20"/>
        </w:rPr>
        <w:t> </w:t>
      </w:r>
      <w:r>
        <w:rPr>
          <w:rFonts w:ascii="Calibri" w:hAnsi="Calibri"/>
          <w:sz w:val="20"/>
        </w:rPr>
        <w:t>un</w:t>
      </w:r>
      <w:r>
        <w:rPr>
          <w:rFonts w:ascii="Calibri" w:hAnsi="Calibri"/>
          <w:spacing w:val="31"/>
          <w:sz w:val="20"/>
        </w:rPr>
        <w:t> </w:t>
      </w:r>
      <w:r>
        <w:rPr>
          <w:rFonts w:ascii="Calibri" w:hAnsi="Calibri"/>
          <w:sz w:val="20"/>
        </w:rPr>
        <w:t>Anexo</w:t>
      </w:r>
      <w:r>
        <w:rPr>
          <w:rFonts w:ascii="Calibri" w:hAnsi="Calibri"/>
          <w:spacing w:val="30"/>
          <w:sz w:val="20"/>
        </w:rPr>
        <w:t> </w:t>
      </w:r>
      <w:r>
        <w:rPr>
          <w:rFonts w:ascii="Calibri" w:hAnsi="Calibri"/>
          <w:sz w:val="20"/>
        </w:rPr>
        <w:t>VIII</w:t>
      </w:r>
      <w:r>
        <w:rPr>
          <w:rFonts w:ascii="Calibri" w:hAnsi="Calibri"/>
          <w:spacing w:val="27"/>
          <w:sz w:val="20"/>
        </w:rPr>
        <w:t> </w:t>
      </w:r>
      <w:r>
        <w:rPr>
          <w:rFonts w:ascii="Calibri" w:hAnsi="Calibri"/>
          <w:sz w:val="20"/>
        </w:rPr>
        <w:t>titulado</w:t>
      </w:r>
      <w:r>
        <w:rPr>
          <w:rFonts w:ascii="Calibri" w:hAnsi="Calibri"/>
          <w:spacing w:val="26"/>
          <w:sz w:val="20"/>
        </w:rPr>
        <w:t> </w:t>
      </w:r>
      <w:r>
        <w:rPr>
          <w:rFonts w:ascii="Calibri" w:hAnsi="Calibri"/>
          <w:sz w:val="20"/>
        </w:rPr>
        <w:t>“Declaración</w:t>
      </w:r>
      <w:r>
        <w:rPr>
          <w:rFonts w:ascii="Calibri" w:hAnsi="Calibri"/>
          <w:spacing w:val="24"/>
          <w:sz w:val="20"/>
        </w:rPr>
        <w:t> </w:t>
      </w:r>
      <w:r>
        <w:rPr>
          <w:rFonts w:ascii="Calibri" w:hAnsi="Calibri"/>
          <w:sz w:val="20"/>
        </w:rPr>
        <w:t>sobre</w:t>
      </w:r>
      <w:r>
        <w:rPr>
          <w:rFonts w:ascii="Calibri" w:hAnsi="Calibri"/>
          <w:spacing w:val="29"/>
          <w:sz w:val="20"/>
        </w:rPr>
        <w:t> </w:t>
      </w:r>
      <w:r>
        <w:rPr>
          <w:rFonts w:ascii="Calibri" w:hAnsi="Calibri"/>
          <w:sz w:val="20"/>
        </w:rPr>
        <w:t>la</w:t>
      </w:r>
      <w:r>
        <w:rPr>
          <w:rFonts w:ascii="Calibri" w:hAnsi="Calibri"/>
          <w:spacing w:val="28"/>
          <w:sz w:val="20"/>
        </w:rPr>
        <w:t> </w:t>
      </w:r>
      <w:r>
        <w:rPr>
          <w:rFonts w:ascii="Calibri" w:hAnsi="Calibri"/>
          <w:sz w:val="20"/>
        </w:rPr>
        <w:t>Promoción</w:t>
      </w:r>
      <w:r>
        <w:rPr>
          <w:rFonts w:ascii="Calibri" w:hAnsi="Calibri"/>
          <w:spacing w:val="28"/>
          <w:sz w:val="20"/>
        </w:rPr>
        <w:t> </w:t>
      </w:r>
      <w:r>
        <w:rPr>
          <w:rFonts w:ascii="Calibri" w:hAnsi="Calibri"/>
          <w:sz w:val="20"/>
        </w:rPr>
        <w:t>de</w:t>
      </w:r>
    </w:p>
    <w:p>
      <w:pPr>
        <w:pStyle w:val="BodyText"/>
        <w:rPr>
          <w:rFonts w:ascii="Calibri"/>
          <w:sz w:val="20"/>
        </w:rPr>
      </w:pPr>
    </w:p>
    <w:p>
      <w:pPr>
        <w:pStyle w:val="BodyText"/>
        <w:spacing w:before="34"/>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1995" name="Group 1995"/>
                <wp:cNvGraphicFramePr>
                  <a:graphicFrameLocks/>
                </wp:cNvGraphicFramePr>
                <a:graphic>
                  <a:graphicData uri="http://schemas.microsoft.com/office/word/2010/wordprocessingGroup">
                    <wpg:wgp>
                      <wpg:cNvPr id="1995" name="Group 1995"/>
                      <wpg:cNvGrpSpPr/>
                      <wpg:grpSpPr>
                        <a:xfrm>
                          <a:off x="0" y="0"/>
                          <a:ext cx="1870075" cy="6350"/>
                          <a:chExt cx="1870075" cy="6350"/>
                        </a:xfrm>
                      </wpg:grpSpPr>
                      <wps:wsp>
                        <wps:cNvPr id="1996" name="Graphic 1996"/>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444" coordorigin="0,0" coordsize="2945,10">
                <v:rect style="position:absolute;left:0;top:0;width:2945;height:10" id="docshape1445"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1997" name="Group 1997"/>
                <wp:cNvGraphicFramePr>
                  <a:graphicFrameLocks/>
                </wp:cNvGraphicFramePr>
                <a:graphic>
                  <a:graphicData uri="http://schemas.microsoft.com/office/word/2010/wordprocessingGroup">
                    <wpg:wgp>
                      <wpg:cNvPr id="1997" name="Group 1997"/>
                      <wpg:cNvGrpSpPr/>
                      <wpg:grpSpPr>
                        <a:xfrm>
                          <a:off x="0" y="0"/>
                          <a:ext cx="841375" cy="6350"/>
                          <a:chExt cx="841375" cy="6350"/>
                        </a:xfrm>
                      </wpg:grpSpPr>
                      <wps:wsp>
                        <wps:cNvPr id="1998" name="Graphic 1998"/>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446" coordorigin="0,0" coordsize="1325,10">
                <v:rect style="position:absolute;left:0;top:0;width:1325;height:10" id="docshape1447"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324"/>
          <w:headerReference w:type="even" r:id="rId325"/>
          <w:footerReference w:type="default" r:id="rId326"/>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52480">
                <wp:simplePos x="0" y="0"/>
                <wp:positionH relativeFrom="page">
                  <wp:posOffset>4332186</wp:posOffset>
                </wp:positionH>
                <wp:positionV relativeFrom="paragraph">
                  <wp:posOffset>1412477</wp:posOffset>
                </wp:positionV>
                <wp:extent cx="53340" cy="100330"/>
                <wp:effectExtent l="0" t="0" r="0" b="0"/>
                <wp:wrapNone/>
                <wp:docPr id="1999" name="Textbox 1999"/>
                <wp:cNvGraphicFramePr>
                  <a:graphicFrameLocks/>
                </wp:cNvGraphicFramePr>
                <a:graphic>
                  <a:graphicData uri="http://schemas.microsoft.com/office/word/2010/wordprocessingShape">
                    <wps:wsp>
                      <wps:cNvPr id="1999" name="Textbox 1999"/>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64000" type="#_x0000_t202" id="docshape1448"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45"/>
        <w:gridCol w:w="2195"/>
        <w:gridCol w:w="927"/>
        <w:gridCol w:w="541"/>
        <w:gridCol w:w="1022"/>
        <w:gridCol w:w="817"/>
        <w:gridCol w:w="1247"/>
        <w:gridCol w:w="1155"/>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45" w:type="dxa"/>
            <w:tcBorders>
              <w:left w:val="single" w:sz="6" w:space="0" w:color="000000"/>
              <w:bottom w:val="single" w:sz="6" w:space="0" w:color="000000"/>
              <w:right w:val="nil"/>
            </w:tcBorders>
          </w:tcPr>
          <w:p>
            <w:pPr>
              <w:pStyle w:val="TableParagraph"/>
              <w:rPr>
                <w:rFonts w:ascii="Times New Roman"/>
                <w:sz w:val="14"/>
              </w:rPr>
            </w:pPr>
          </w:p>
        </w:tc>
        <w:tc>
          <w:tcPr>
            <w:tcW w:w="2195" w:type="dxa"/>
            <w:tcBorders>
              <w:top w:val="nil"/>
              <w:left w:val="nil"/>
              <w:bottom w:val="nil"/>
              <w:right w:val="nil"/>
            </w:tcBorders>
            <w:shd w:val="clear" w:color="auto" w:fill="000000"/>
          </w:tcPr>
          <w:p>
            <w:pPr>
              <w:pStyle w:val="TableParagraph"/>
              <w:rPr>
                <w:rFonts w:ascii="Times New Roman"/>
                <w:sz w:val="14"/>
              </w:rPr>
            </w:pPr>
          </w:p>
        </w:tc>
        <w:tc>
          <w:tcPr>
            <w:tcW w:w="1468"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5"/>
              <w:rPr>
                <w:rFonts w:ascii="Arial"/>
                <w:position w:val="-1"/>
                <w:sz w:val="10"/>
              </w:rPr>
            </w:pPr>
            <w:r>
              <w:rPr>
                <w:rFonts w:ascii="Arial"/>
                <w:position w:val="-1"/>
                <w:sz w:val="10"/>
              </w:rPr>
              <w:drawing>
                <wp:inline distT="0" distB="0" distL="0" distR="0">
                  <wp:extent cx="266700" cy="66675"/>
                  <wp:effectExtent l="0" t="0" r="0" b="0"/>
                  <wp:docPr id="2000" name="Image 2000"/>
                  <wp:cNvGraphicFramePr>
                    <a:graphicFrameLocks/>
                  </wp:cNvGraphicFramePr>
                  <a:graphic>
                    <a:graphicData uri="http://schemas.openxmlformats.org/drawingml/2006/picture">
                      <pic:pic>
                        <pic:nvPicPr>
                          <pic:cNvPr id="2000" name="Image 2000"/>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7"/>
              <w:rPr>
                <w:rFonts w:ascii="Arial"/>
                <w:position w:val="-2"/>
                <w:sz w:val="13"/>
              </w:rPr>
            </w:pPr>
            <w:r>
              <w:rPr>
                <w:rFonts w:ascii="Arial"/>
                <w:position w:val="-2"/>
                <w:sz w:val="13"/>
              </w:rPr>
              <w:drawing>
                <wp:inline distT="0" distB="0" distL="0" distR="0">
                  <wp:extent cx="498011" cy="85058"/>
                  <wp:effectExtent l="0" t="0" r="0" b="0"/>
                  <wp:docPr id="2001" name="Image 2001"/>
                  <wp:cNvGraphicFramePr>
                    <a:graphicFrameLocks/>
                  </wp:cNvGraphicFramePr>
                  <a:graphic>
                    <a:graphicData uri="http://schemas.openxmlformats.org/drawingml/2006/picture">
                      <pic:pic>
                        <pic:nvPicPr>
                          <pic:cNvPr id="2001" name="Image 2001"/>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155" w:type="dxa"/>
            <w:vMerge w:val="restart"/>
            <w:tcBorders>
              <w:top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8" w:type="dxa"/>
            <w:gridSpan w:val="4"/>
            <w:tcBorders>
              <w:top w:val="nil"/>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52992">
                      <wp:simplePos x="0" y="0"/>
                      <wp:positionH relativeFrom="column">
                        <wp:posOffset>-1298447</wp:posOffset>
                      </wp:positionH>
                      <wp:positionV relativeFrom="paragraph">
                        <wp:posOffset>-144895</wp:posOffset>
                      </wp:positionV>
                      <wp:extent cx="1298575" cy="417830"/>
                      <wp:effectExtent l="0" t="0" r="0" b="0"/>
                      <wp:wrapNone/>
                      <wp:docPr id="2002" name="Group 2002"/>
                      <wp:cNvGraphicFramePr>
                        <a:graphicFrameLocks/>
                      </wp:cNvGraphicFramePr>
                      <a:graphic>
                        <a:graphicData uri="http://schemas.microsoft.com/office/word/2010/wordprocessingGroup">
                          <wpg:wgp>
                            <wpg:cNvPr id="2002" name="Group 2002"/>
                            <wpg:cNvGrpSpPr/>
                            <wpg:grpSpPr>
                              <a:xfrm>
                                <a:off x="0" y="0"/>
                                <a:ext cx="1298575" cy="417830"/>
                                <a:chExt cx="1298575" cy="417830"/>
                              </a:xfrm>
                            </wpg:grpSpPr>
                            <wps:wsp>
                              <wps:cNvPr id="2003" name="Graphic 2003"/>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2004" name="Image 2004"/>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863488" id="docshapegroup1449" coordorigin="-2045,-228" coordsize="2045,658">
                      <v:shape style="position:absolute;left:-2045;top:-229;width:2045;height:658" id="docshape1450" coordorigin="-2045,-228" coordsize="2045,658" path="m0,-228l-2045,-228,-2045,-10,-2045,-7,-2045,429,0,429,0,-7,0,-10,0,-228xe" filled="true" fillcolor="#cccccc" stroked="false">
                        <v:path arrowok="t"/>
                        <v:fill type="solid"/>
                      </v:shape>
                      <v:shape style="position:absolute;left:-1973;top:-154;width:1896;height:327" type="#_x0000_t75" id="docshape1451"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6"/>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4"/>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155"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2005" name="Image 2005"/>
                  <wp:cNvGraphicFramePr>
                    <a:graphicFrameLocks/>
                  </wp:cNvGraphicFramePr>
                  <a:graphic>
                    <a:graphicData uri="http://schemas.openxmlformats.org/drawingml/2006/picture">
                      <pic:pic>
                        <pic:nvPicPr>
                          <pic:cNvPr id="2005" name="Image 2005"/>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8"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5"/>
              <w:rPr>
                <w:rFonts w:ascii="Arial"/>
                <w:position w:val="-2"/>
                <w:sz w:val="13"/>
              </w:rPr>
            </w:pPr>
            <w:r>
              <w:rPr>
                <w:rFonts w:ascii="Arial"/>
                <w:position w:val="-2"/>
                <w:sz w:val="13"/>
              </w:rPr>
              <w:drawing>
                <wp:inline distT="0" distB="0" distL="0" distR="0">
                  <wp:extent cx="263120" cy="84010"/>
                  <wp:effectExtent l="0" t="0" r="0" b="0"/>
                  <wp:docPr id="2006" name="Image 2006"/>
                  <wp:cNvGraphicFramePr>
                    <a:graphicFrameLocks/>
                  </wp:cNvGraphicFramePr>
                  <a:graphic>
                    <a:graphicData uri="http://schemas.openxmlformats.org/drawingml/2006/picture">
                      <pic:pic>
                        <pic:nvPicPr>
                          <pic:cNvPr id="2006" name="Image 2006"/>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jc w:val="center"/>
              <w:rPr>
                <w:rFonts w:ascii="Arial"/>
                <w:sz w:val="14"/>
              </w:rPr>
            </w:pPr>
            <w:r>
              <w:rPr>
                <w:rFonts w:ascii="Arial"/>
                <w:sz w:val="14"/>
              </w:rPr>
              <mc:AlternateContent>
                <mc:Choice Requires="wps">
                  <w:drawing>
                    <wp:anchor distT="0" distB="0" distL="0" distR="0" allowOverlap="1" layoutInCell="1" locked="0" behindDoc="1" simplePos="0" relativeHeight="474453504">
                      <wp:simplePos x="0" y="0"/>
                      <wp:positionH relativeFrom="column">
                        <wp:posOffset>1320546</wp:posOffset>
                      </wp:positionH>
                      <wp:positionV relativeFrom="paragraph">
                        <wp:posOffset>-311719</wp:posOffset>
                      </wp:positionV>
                      <wp:extent cx="734695" cy="753110"/>
                      <wp:effectExtent l="0" t="0" r="0" b="0"/>
                      <wp:wrapNone/>
                      <wp:docPr id="2007" name="Group 2007"/>
                      <wp:cNvGraphicFramePr>
                        <a:graphicFrameLocks/>
                      </wp:cNvGraphicFramePr>
                      <a:graphic>
                        <a:graphicData uri="http://schemas.microsoft.com/office/word/2010/wordprocessingGroup">
                          <wpg:wgp>
                            <wpg:cNvPr id="2007" name="Group 2007"/>
                            <wpg:cNvGrpSpPr/>
                            <wpg:grpSpPr>
                              <a:xfrm>
                                <a:off x="0" y="0"/>
                                <a:ext cx="734695" cy="753110"/>
                                <a:chExt cx="734695" cy="753110"/>
                              </a:xfrm>
                            </wpg:grpSpPr>
                            <pic:pic>
                              <pic:nvPicPr>
                                <pic:cNvPr id="2008" name="Image 2008"/>
                                <pic:cNvPicPr/>
                              </pic:nvPicPr>
                              <pic:blipFill>
                                <a:blip r:embed="rId327" cstate="print"/>
                                <a:stretch>
                                  <a:fillRect/>
                                </a:stretch>
                              </pic:blipFill>
                              <pic:spPr>
                                <a:xfrm>
                                  <a:off x="0" y="0"/>
                                  <a:ext cx="734567" cy="752840"/>
                                </a:xfrm>
                                <a:prstGeom prst="rect">
                                  <a:avLst/>
                                </a:prstGeom>
                              </pic:spPr>
                            </pic:pic>
                            <wps:wsp>
                              <wps:cNvPr id="2009" name="Graphic 2009"/>
                              <wps:cNvSpPr/>
                              <wps:spPr>
                                <a:xfrm>
                                  <a:off x="20548" y="30172"/>
                                  <a:ext cx="704850" cy="709930"/>
                                </a:xfrm>
                                <a:custGeom>
                                  <a:avLst/>
                                  <a:gdLst/>
                                  <a:ahLst/>
                                  <a:cxnLst/>
                                  <a:rect l="l" t="t" r="r" b="b"/>
                                  <a:pathLst>
                                    <a:path w="704850" h="709930">
                                      <a:moveTo>
                                        <a:pt x="704532" y="0"/>
                                      </a:moveTo>
                                      <a:lnTo>
                                        <a:pt x="0" y="0"/>
                                      </a:lnTo>
                                      <a:lnTo>
                                        <a:pt x="0" y="709472"/>
                                      </a:lnTo>
                                      <a:lnTo>
                                        <a:pt x="704532" y="709472"/>
                                      </a:lnTo>
                                      <a:lnTo>
                                        <a:pt x="70453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3pt;mso-position-horizontal-relative:column;mso-position-vertical-relative:paragraph;z-index:-28862976" id="docshapegroup1452" coordorigin="2080,-491" coordsize="1157,1186">
                      <v:shape style="position:absolute;left:2079;top:-491;width:1157;height:1186" type="#_x0000_t75" id="docshape1453" stroked="false">
                        <v:imagedata r:id="rId327" o:title=""/>
                      </v:shape>
                      <v:rect style="position:absolute;left:2111;top:-444;width:1110;height:1118" id="docshape1454" filled="true" fillcolor="#000000" stroked="false">
                        <v:fill type="solid"/>
                      </v:rect>
                      <w10:wrap type="none"/>
                    </v:group>
                  </w:pict>
                </mc:Fallback>
              </mc:AlternateContent>
            </w:r>
            <w:r>
              <w:rPr>
                <w:rFonts w:ascii="Arial"/>
                <w:spacing w:val="-2"/>
                <w:sz w:val="14"/>
              </w:rPr>
              <w:t>37/40</w:t>
            </w:r>
          </w:p>
        </w:tc>
        <w:tc>
          <w:tcPr>
            <w:tcW w:w="1155" w:type="dxa"/>
            <w:vMerge/>
            <w:tcBorders>
              <w:top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2010" name="Image 2010"/>
                  <wp:cNvGraphicFramePr>
                    <a:graphicFrameLocks/>
                  </wp:cNvGraphicFramePr>
                  <a:graphic>
                    <a:graphicData uri="http://schemas.openxmlformats.org/drawingml/2006/picture">
                      <pic:pic>
                        <pic:nvPicPr>
                          <pic:cNvPr id="2010" name="Image 2010"/>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7"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155" w:type="dxa"/>
            <w:vMerge/>
            <w:tcBorders>
              <w:top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2011" name="Image 2011"/>
                  <wp:cNvGraphicFramePr>
                    <a:graphicFrameLocks/>
                  </wp:cNvGraphicFramePr>
                  <a:graphic>
                    <a:graphicData uri="http://schemas.openxmlformats.org/drawingml/2006/picture">
                      <pic:pic>
                        <pic:nvPicPr>
                          <pic:cNvPr id="2011" name="Image 2011"/>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4"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155" w:type="dxa"/>
            <w:vMerge/>
            <w:tcBorders>
              <w:top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2251" w:right="2019" w:firstLine="0"/>
        <w:jc w:val="both"/>
        <w:rPr>
          <w:rFonts w:ascii="Calibri" w:hAnsi="Calibri"/>
          <w:sz w:val="20"/>
        </w:rPr>
      </w:pPr>
      <w:r>
        <w:rPr>
          <w:rFonts w:ascii="Calibri" w:hAnsi="Calibri"/>
          <w:sz w:val="20"/>
        </w:rPr>
        <w:t>Igualdad”. En dicho anexo, las empresas licitadoras deben declarar y asumir un compromiso expreso con el principio de igualdad dentro de sus organizaciones. La declaración</w:t>
      </w:r>
      <w:r>
        <w:rPr>
          <w:rFonts w:ascii="Calibri" w:hAnsi="Calibri"/>
          <w:spacing w:val="-2"/>
          <w:sz w:val="20"/>
        </w:rPr>
        <w:t> </w:t>
      </w:r>
      <w:r>
        <w:rPr>
          <w:rFonts w:ascii="Calibri" w:hAnsi="Calibri"/>
          <w:sz w:val="20"/>
        </w:rPr>
        <w:t>enumera</w:t>
      </w:r>
      <w:r>
        <w:rPr>
          <w:rFonts w:ascii="Calibri" w:hAnsi="Calibri"/>
          <w:spacing w:val="-1"/>
          <w:sz w:val="20"/>
        </w:rPr>
        <w:t> </w:t>
      </w:r>
      <w:r>
        <w:rPr>
          <w:rFonts w:ascii="Calibri" w:hAnsi="Calibri"/>
          <w:sz w:val="20"/>
        </w:rPr>
        <w:t>medidas</w:t>
      </w:r>
      <w:r>
        <w:rPr>
          <w:rFonts w:ascii="Calibri" w:hAnsi="Calibri"/>
          <w:spacing w:val="-3"/>
          <w:sz w:val="20"/>
        </w:rPr>
        <w:t> </w:t>
      </w:r>
      <w:r>
        <w:rPr>
          <w:rFonts w:ascii="Calibri" w:hAnsi="Calibri"/>
          <w:sz w:val="20"/>
        </w:rPr>
        <w:t>concretas</w:t>
      </w:r>
      <w:r>
        <w:rPr>
          <w:rFonts w:ascii="Calibri" w:hAnsi="Calibri"/>
          <w:spacing w:val="-2"/>
          <w:sz w:val="20"/>
        </w:rPr>
        <w:t> </w:t>
      </w:r>
      <w:r>
        <w:rPr>
          <w:rFonts w:ascii="Calibri" w:hAnsi="Calibri"/>
          <w:sz w:val="20"/>
        </w:rPr>
        <w:t>de</w:t>
      </w:r>
      <w:r>
        <w:rPr>
          <w:rFonts w:ascii="Calibri" w:hAnsi="Calibri"/>
          <w:spacing w:val="-3"/>
          <w:sz w:val="20"/>
        </w:rPr>
        <w:t> </w:t>
      </w:r>
      <w:r>
        <w:rPr>
          <w:rFonts w:ascii="Calibri" w:hAnsi="Calibri"/>
          <w:sz w:val="20"/>
        </w:rPr>
        <w:t>fomento</w:t>
      </w:r>
      <w:r>
        <w:rPr>
          <w:rFonts w:ascii="Calibri" w:hAnsi="Calibri"/>
          <w:spacing w:val="-1"/>
          <w:sz w:val="20"/>
        </w:rPr>
        <w:t> </w:t>
      </w:r>
      <w:r>
        <w:rPr>
          <w:rFonts w:ascii="Calibri" w:hAnsi="Calibri"/>
          <w:sz w:val="20"/>
        </w:rPr>
        <w:t>de</w:t>
      </w:r>
      <w:r>
        <w:rPr>
          <w:rFonts w:ascii="Calibri" w:hAnsi="Calibri"/>
          <w:spacing w:val="-1"/>
          <w:sz w:val="20"/>
        </w:rPr>
        <w:t> </w:t>
      </w:r>
      <w:r>
        <w:rPr>
          <w:rFonts w:ascii="Calibri" w:hAnsi="Calibri"/>
          <w:sz w:val="20"/>
        </w:rPr>
        <w:t>la</w:t>
      </w:r>
      <w:r>
        <w:rPr>
          <w:rFonts w:ascii="Calibri" w:hAnsi="Calibri"/>
          <w:spacing w:val="-1"/>
          <w:sz w:val="20"/>
        </w:rPr>
        <w:t> </w:t>
      </w:r>
      <w:r>
        <w:rPr>
          <w:rFonts w:ascii="Calibri" w:hAnsi="Calibri"/>
          <w:sz w:val="20"/>
        </w:rPr>
        <w:t>igualdad</w:t>
      </w:r>
      <w:r>
        <w:rPr>
          <w:rFonts w:ascii="Calibri" w:hAnsi="Calibri"/>
          <w:spacing w:val="-1"/>
          <w:sz w:val="20"/>
        </w:rPr>
        <w:t> </w:t>
      </w:r>
      <w:r>
        <w:rPr>
          <w:rFonts w:ascii="Calibri" w:hAnsi="Calibri"/>
          <w:sz w:val="20"/>
        </w:rPr>
        <w:t>de</w:t>
      </w:r>
      <w:r>
        <w:rPr>
          <w:rFonts w:ascii="Calibri" w:hAnsi="Calibri"/>
          <w:spacing w:val="-3"/>
          <w:sz w:val="20"/>
        </w:rPr>
        <w:t> </w:t>
      </w:r>
      <w:r>
        <w:rPr>
          <w:rFonts w:ascii="Calibri" w:hAnsi="Calibri"/>
          <w:sz w:val="20"/>
        </w:rPr>
        <w:t>oportunidades</w:t>
      </w:r>
      <w:r>
        <w:rPr>
          <w:rFonts w:ascii="Calibri" w:hAnsi="Calibri"/>
          <w:spacing w:val="-1"/>
          <w:sz w:val="20"/>
        </w:rPr>
        <w:t> </w:t>
      </w:r>
      <w:r>
        <w:rPr>
          <w:rFonts w:ascii="Calibri" w:hAnsi="Calibri"/>
          <w:sz w:val="20"/>
        </w:rPr>
        <w:t>(por ejemplo,</w:t>
      </w:r>
      <w:r>
        <w:rPr>
          <w:rFonts w:ascii="Calibri" w:hAnsi="Calibri"/>
          <w:spacing w:val="-7"/>
          <w:sz w:val="20"/>
        </w:rPr>
        <w:t> </w:t>
      </w:r>
      <w:r>
        <w:rPr>
          <w:rFonts w:ascii="Calibri" w:hAnsi="Calibri"/>
          <w:sz w:val="20"/>
        </w:rPr>
        <w:t>elaboración</w:t>
      </w:r>
      <w:r>
        <w:rPr>
          <w:rFonts w:ascii="Calibri" w:hAnsi="Calibri"/>
          <w:spacing w:val="-11"/>
          <w:sz w:val="20"/>
        </w:rPr>
        <w:t> </w:t>
      </w:r>
      <w:r>
        <w:rPr>
          <w:rFonts w:ascii="Calibri" w:hAnsi="Calibri"/>
          <w:sz w:val="20"/>
        </w:rPr>
        <w:t>e</w:t>
      </w:r>
      <w:r>
        <w:rPr>
          <w:rFonts w:ascii="Calibri" w:hAnsi="Calibri"/>
          <w:spacing w:val="-5"/>
          <w:sz w:val="20"/>
        </w:rPr>
        <w:t> </w:t>
      </w:r>
      <w:r>
        <w:rPr>
          <w:rFonts w:ascii="Calibri" w:hAnsi="Calibri"/>
          <w:sz w:val="20"/>
        </w:rPr>
        <w:t>implantación</w:t>
      </w:r>
      <w:r>
        <w:rPr>
          <w:rFonts w:ascii="Calibri" w:hAnsi="Calibri"/>
          <w:spacing w:val="-6"/>
          <w:sz w:val="20"/>
        </w:rPr>
        <w:t> </w:t>
      </w:r>
      <w:r>
        <w:rPr>
          <w:rFonts w:ascii="Calibri" w:hAnsi="Calibri"/>
          <w:sz w:val="20"/>
        </w:rPr>
        <w:t>de</w:t>
      </w:r>
      <w:r>
        <w:rPr>
          <w:rFonts w:ascii="Calibri" w:hAnsi="Calibri"/>
          <w:spacing w:val="-6"/>
          <w:sz w:val="20"/>
        </w:rPr>
        <w:t> </w:t>
      </w:r>
      <w:r>
        <w:rPr>
          <w:rFonts w:ascii="Calibri" w:hAnsi="Calibri"/>
          <w:sz w:val="20"/>
        </w:rPr>
        <w:t>un</w:t>
      </w:r>
      <w:r>
        <w:rPr>
          <w:rFonts w:ascii="Calibri" w:hAnsi="Calibri"/>
          <w:spacing w:val="-12"/>
          <w:sz w:val="20"/>
        </w:rPr>
        <w:t> </w:t>
      </w:r>
      <w:r>
        <w:rPr>
          <w:rFonts w:ascii="Calibri" w:hAnsi="Calibri"/>
          <w:sz w:val="20"/>
        </w:rPr>
        <w:t>Plan</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Igualdad,</w:t>
      </w:r>
      <w:r>
        <w:rPr>
          <w:rFonts w:ascii="Calibri" w:hAnsi="Calibri"/>
          <w:spacing w:val="-8"/>
          <w:sz w:val="20"/>
        </w:rPr>
        <w:t> </w:t>
      </w:r>
      <w:r>
        <w:rPr>
          <w:rFonts w:ascii="Calibri" w:hAnsi="Calibri"/>
          <w:sz w:val="20"/>
        </w:rPr>
        <w:t>representación</w:t>
      </w:r>
      <w:r>
        <w:rPr>
          <w:rFonts w:ascii="Calibri" w:hAnsi="Calibri"/>
          <w:spacing w:val="-9"/>
          <w:sz w:val="20"/>
        </w:rPr>
        <w:t> </w:t>
      </w:r>
      <w:r>
        <w:rPr>
          <w:rFonts w:ascii="Calibri" w:hAnsi="Calibri"/>
          <w:sz w:val="20"/>
        </w:rPr>
        <w:t>equilibrada</w:t>
      </w:r>
      <w:r>
        <w:rPr>
          <w:rFonts w:ascii="Calibri" w:hAnsi="Calibri"/>
          <w:spacing w:val="-9"/>
          <w:sz w:val="20"/>
        </w:rPr>
        <w:t> </w:t>
      </w:r>
      <w:r>
        <w:rPr>
          <w:rFonts w:ascii="Calibri" w:hAnsi="Calibri"/>
          <w:sz w:val="20"/>
        </w:rPr>
        <w:t>de mujeres y hombres, medidas de conciliación, igualdad retributiva, prevención del acoso, etc.) que la empresa se compromete a aplicar, debiendo además facilitar a EMTSAM los datos necesarios para acreditar la veracidad de este compromiso. Esta exigencia como se puede comprobar consta en el Anexo VIII del PCAP, evidenciando que desde el inicio del procedimiento de contratación se promueve activamente la igualdad mediante una obligación formal para todos los licitadores de adherirse a estos principios.</w:t>
      </w:r>
    </w:p>
    <w:p>
      <w:pPr>
        <w:pStyle w:val="ListParagraph"/>
        <w:numPr>
          <w:ilvl w:val="1"/>
          <w:numId w:val="21"/>
        </w:numPr>
        <w:tabs>
          <w:tab w:pos="2564" w:val="left" w:leader="none"/>
        </w:tabs>
        <w:spacing w:line="256" w:lineRule="auto" w:before="150" w:after="0"/>
        <w:ind w:left="2251" w:right="2022" w:firstLine="0"/>
        <w:jc w:val="both"/>
        <w:rPr>
          <w:rFonts w:ascii="Calibri" w:hAnsi="Calibri"/>
          <w:sz w:val="20"/>
        </w:rPr>
      </w:pPr>
      <w:r>
        <w:rPr>
          <w:rFonts w:ascii="Calibri" w:hAnsi="Calibri"/>
          <w:sz w:val="20"/>
        </w:rPr>
        <w:t>En caso de empate entre ofertas, en las licitaciones de la empresa municipal de transportes, siempre se aplican criterios sociales de desempate previstos en la legislación vigente, concretamente los del artículo 147.2 de la Ley 9/2017, de Contratos del Sector Público (LCSP) y</w:t>
      </w:r>
      <w:r>
        <w:rPr>
          <w:rFonts w:ascii="Calibri" w:hAnsi="Calibri"/>
          <w:spacing w:val="-3"/>
          <w:sz w:val="20"/>
        </w:rPr>
        <w:t> </w:t>
      </w:r>
      <w:r>
        <w:rPr>
          <w:rFonts w:ascii="Calibri" w:hAnsi="Calibri"/>
          <w:sz w:val="20"/>
        </w:rPr>
        <w:t>su</w:t>
      </w:r>
      <w:r>
        <w:rPr>
          <w:rFonts w:ascii="Calibri" w:hAnsi="Calibri"/>
          <w:spacing w:val="-1"/>
          <w:sz w:val="20"/>
        </w:rPr>
        <w:t> </w:t>
      </w:r>
      <w:r>
        <w:rPr>
          <w:rFonts w:ascii="Calibri" w:hAnsi="Calibri"/>
          <w:sz w:val="20"/>
        </w:rPr>
        <w:t>correlativo artículo</w:t>
      </w:r>
      <w:r>
        <w:rPr>
          <w:rFonts w:ascii="Calibri" w:hAnsi="Calibri"/>
          <w:spacing w:val="-4"/>
          <w:sz w:val="20"/>
        </w:rPr>
        <w:t> </w:t>
      </w:r>
      <w:r>
        <w:rPr>
          <w:rFonts w:ascii="Calibri" w:hAnsi="Calibri"/>
          <w:sz w:val="20"/>
        </w:rPr>
        <w:t>66.11 del Real</w:t>
      </w:r>
      <w:r>
        <w:rPr>
          <w:rFonts w:ascii="Calibri" w:hAnsi="Calibri"/>
          <w:spacing w:val="-2"/>
          <w:sz w:val="20"/>
        </w:rPr>
        <w:t> </w:t>
      </w:r>
      <w:r>
        <w:rPr>
          <w:rFonts w:ascii="Calibri" w:hAnsi="Calibri"/>
          <w:sz w:val="20"/>
        </w:rPr>
        <w:t>Decreto-ley 3/2020, de 4</w:t>
      </w:r>
      <w:r>
        <w:rPr>
          <w:rFonts w:ascii="Calibri" w:hAnsi="Calibri"/>
          <w:spacing w:val="-2"/>
          <w:sz w:val="20"/>
        </w:rPr>
        <w:t> </w:t>
      </w:r>
      <w:r>
        <w:rPr>
          <w:rFonts w:ascii="Calibri" w:hAnsi="Calibri"/>
          <w:sz w:val="20"/>
        </w:rPr>
        <w:t>de</w:t>
      </w:r>
      <w:r>
        <w:rPr>
          <w:rFonts w:ascii="Calibri" w:hAnsi="Calibri"/>
          <w:spacing w:val="-2"/>
          <w:sz w:val="20"/>
        </w:rPr>
        <w:t> </w:t>
      </w:r>
      <w:r>
        <w:rPr>
          <w:rFonts w:ascii="Calibri" w:hAnsi="Calibri"/>
          <w:sz w:val="20"/>
        </w:rPr>
        <w:t>febrero.</w:t>
      </w:r>
    </w:p>
    <w:p>
      <w:pPr>
        <w:spacing w:line="256" w:lineRule="auto" w:before="143"/>
        <w:ind w:left="2251" w:right="2021" w:firstLine="0"/>
        <w:jc w:val="both"/>
        <w:rPr>
          <w:rFonts w:ascii="Calibri" w:hAnsi="Calibri"/>
          <w:sz w:val="20"/>
        </w:rPr>
      </w:pPr>
      <w:r>
        <w:rPr>
          <w:rFonts w:ascii="Calibri" w:hAnsi="Calibri"/>
          <w:sz w:val="20"/>
        </w:rPr>
        <w:t>Estos preceptos establecen que, ante un empate tras la evaluación de las ofertas, se dará preferencia, por orden, a las empresas que destaquen en ciertos aspectos de política social,</w:t>
      </w:r>
      <w:r>
        <w:rPr>
          <w:rFonts w:ascii="Calibri" w:hAnsi="Calibri"/>
          <w:spacing w:val="-6"/>
          <w:sz w:val="20"/>
        </w:rPr>
        <w:t> </w:t>
      </w:r>
      <w:r>
        <w:rPr>
          <w:rFonts w:ascii="Calibri" w:hAnsi="Calibri"/>
          <w:sz w:val="20"/>
        </w:rPr>
        <w:t>incluyendo,</w:t>
      </w:r>
      <w:r>
        <w:rPr>
          <w:rFonts w:ascii="Calibri" w:hAnsi="Calibri"/>
          <w:spacing w:val="-9"/>
          <w:sz w:val="20"/>
        </w:rPr>
        <w:t> </w:t>
      </w:r>
      <w:r>
        <w:rPr>
          <w:rFonts w:ascii="Calibri" w:hAnsi="Calibri"/>
          <w:sz w:val="20"/>
        </w:rPr>
        <w:t>entre</w:t>
      </w:r>
      <w:r>
        <w:rPr>
          <w:rFonts w:ascii="Calibri" w:hAnsi="Calibri"/>
          <w:spacing w:val="-9"/>
          <w:sz w:val="20"/>
        </w:rPr>
        <w:t> </w:t>
      </w:r>
      <w:r>
        <w:rPr>
          <w:rFonts w:ascii="Calibri" w:hAnsi="Calibri"/>
          <w:sz w:val="20"/>
        </w:rPr>
        <w:t>otros:</w:t>
      </w:r>
      <w:r>
        <w:rPr>
          <w:rFonts w:ascii="Calibri" w:hAnsi="Calibri"/>
          <w:spacing w:val="-7"/>
          <w:sz w:val="20"/>
        </w:rPr>
        <w:t> </w:t>
      </w:r>
      <w:r>
        <w:rPr>
          <w:rFonts w:ascii="Calibri" w:hAnsi="Calibri"/>
          <w:sz w:val="20"/>
        </w:rPr>
        <w:t>tener</w:t>
      </w:r>
      <w:r>
        <w:rPr>
          <w:rFonts w:ascii="Calibri" w:hAnsi="Calibri"/>
          <w:spacing w:val="-9"/>
          <w:sz w:val="20"/>
        </w:rPr>
        <w:t> </w:t>
      </w:r>
      <w:r>
        <w:rPr>
          <w:rFonts w:ascii="Calibri" w:hAnsi="Calibri"/>
          <w:sz w:val="20"/>
        </w:rPr>
        <w:t>mayor</w:t>
      </w:r>
      <w:r>
        <w:rPr>
          <w:rFonts w:ascii="Calibri" w:hAnsi="Calibri"/>
          <w:spacing w:val="-6"/>
          <w:sz w:val="20"/>
        </w:rPr>
        <w:t> </w:t>
      </w:r>
      <w:r>
        <w:rPr>
          <w:rFonts w:ascii="Calibri" w:hAnsi="Calibri"/>
          <w:sz w:val="20"/>
        </w:rPr>
        <w:t>porcentaje</w:t>
      </w:r>
      <w:r>
        <w:rPr>
          <w:rFonts w:ascii="Calibri" w:hAnsi="Calibri"/>
          <w:spacing w:val="-9"/>
          <w:sz w:val="20"/>
        </w:rPr>
        <w:t> </w:t>
      </w:r>
      <w:r>
        <w:rPr>
          <w:rFonts w:ascii="Calibri" w:hAnsi="Calibri"/>
          <w:sz w:val="20"/>
        </w:rPr>
        <w:t>de</w:t>
      </w:r>
      <w:r>
        <w:rPr>
          <w:rFonts w:ascii="Calibri" w:hAnsi="Calibri"/>
          <w:spacing w:val="-6"/>
          <w:sz w:val="20"/>
        </w:rPr>
        <w:t> </w:t>
      </w:r>
      <w:r>
        <w:rPr>
          <w:rFonts w:ascii="Calibri" w:hAnsi="Calibri"/>
          <w:sz w:val="20"/>
        </w:rPr>
        <w:t>trabajadores</w:t>
      </w:r>
      <w:r>
        <w:rPr>
          <w:rFonts w:ascii="Calibri" w:hAnsi="Calibri"/>
          <w:spacing w:val="-8"/>
          <w:sz w:val="20"/>
        </w:rPr>
        <w:t> </w:t>
      </w:r>
      <w:r>
        <w:rPr>
          <w:rFonts w:ascii="Calibri" w:hAnsi="Calibri"/>
          <w:sz w:val="20"/>
        </w:rPr>
        <w:t>con</w:t>
      </w:r>
      <w:r>
        <w:rPr>
          <w:rFonts w:ascii="Calibri" w:hAnsi="Calibri"/>
          <w:spacing w:val="-8"/>
          <w:sz w:val="20"/>
        </w:rPr>
        <w:t> </w:t>
      </w:r>
      <w:r>
        <w:rPr>
          <w:rFonts w:ascii="Calibri" w:hAnsi="Calibri"/>
          <w:sz w:val="20"/>
        </w:rPr>
        <w:t>discapacidad</w:t>
      </w:r>
      <w:r>
        <w:rPr>
          <w:rFonts w:ascii="Calibri" w:hAnsi="Calibri"/>
          <w:spacing w:val="-5"/>
          <w:sz w:val="20"/>
        </w:rPr>
        <w:t> </w:t>
      </w:r>
      <w:r>
        <w:rPr>
          <w:rFonts w:ascii="Calibri" w:hAnsi="Calibri"/>
          <w:sz w:val="20"/>
        </w:rPr>
        <w:t>o en exclusión social, tener menor porcentaje de contratos temporales, y contar con un mayor porcentaje de mujeres empleadas en la plantilla.</w:t>
      </w:r>
    </w:p>
    <w:p>
      <w:pPr>
        <w:spacing w:line="256" w:lineRule="auto" w:before="146"/>
        <w:ind w:left="2251" w:right="2022" w:firstLine="0"/>
        <w:jc w:val="both"/>
        <w:rPr>
          <w:rFonts w:ascii="Calibri" w:hAnsi="Calibri"/>
          <w:sz w:val="20"/>
        </w:rPr>
      </w:pPr>
      <w:r>
        <w:rPr>
          <w:rFonts w:ascii="Calibri" w:hAnsi="Calibri"/>
          <w:sz w:val="20"/>
        </w:rPr>
        <w:t>Así, por ejemplo, como se puede verificar la cláusula 11.6 del PCAP de EMTSAM del exp. 016/2022 recoge expresamente esta forma de resolver empates, disponiendo que el desempate</w:t>
      </w:r>
      <w:r>
        <w:rPr>
          <w:rFonts w:ascii="Calibri" w:hAnsi="Calibri"/>
          <w:spacing w:val="-2"/>
          <w:sz w:val="20"/>
        </w:rPr>
        <w:t> </w:t>
      </w:r>
      <w:r>
        <w:rPr>
          <w:rFonts w:ascii="Calibri" w:hAnsi="Calibri"/>
          <w:sz w:val="20"/>
        </w:rPr>
        <w:t>se</w:t>
      </w:r>
      <w:r>
        <w:rPr>
          <w:rFonts w:ascii="Calibri" w:hAnsi="Calibri"/>
          <w:spacing w:val="-5"/>
          <w:sz w:val="20"/>
        </w:rPr>
        <w:t> </w:t>
      </w:r>
      <w:r>
        <w:rPr>
          <w:rFonts w:ascii="Calibri" w:hAnsi="Calibri"/>
          <w:sz w:val="20"/>
        </w:rPr>
        <w:t>efectuará</w:t>
      </w:r>
      <w:r>
        <w:rPr>
          <w:rFonts w:ascii="Calibri" w:hAnsi="Calibri"/>
          <w:spacing w:val="-4"/>
          <w:sz w:val="20"/>
        </w:rPr>
        <w:t> </w:t>
      </w:r>
      <w:r>
        <w:rPr>
          <w:rFonts w:ascii="Calibri" w:hAnsi="Calibri"/>
          <w:sz w:val="20"/>
        </w:rPr>
        <w:t>mediante la</w:t>
      </w:r>
      <w:r>
        <w:rPr>
          <w:rFonts w:ascii="Calibri" w:hAnsi="Calibri"/>
          <w:spacing w:val="-4"/>
          <w:sz w:val="20"/>
        </w:rPr>
        <w:t> </w:t>
      </w:r>
      <w:r>
        <w:rPr>
          <w:rFonts w:ascii="Calibri" w:hAnsi="Calibri"/>
          <w:sz w:val="20"/>
        </w:rPr>
        <w:t>aplicación</w:t>
      </w:r>
      <w:r>
        <w:rPr>
          <w:rFonts w:ascii="Calibri" w:hAnsi="Calibri"/>
          <w:spacing w:val="-2"/>
          <w:sz w:val="20"/>
        </w:rPr>
        <w:t> </w:t>
      </w:r>
      <w:r>
        <w:rPr>
          <w:rFonts w:ascii="Calibri" w:hAnsi="Calibri"/>
          <w:sz w:val="20"/>
        </w:rPr>
        <w:t>de</w:t>
      </w:r>
      <w:r>
        <w:rPr>
          <w:rFonts w:ascii="Calibri" w:hAnsi="Calibri"/>
          <w:spacing w:val="-5"/>
          <w:sz w:val="20"/>
        </w:rPr>
        <w:t> </w:t>
      </w:r>
      <w:r>
        <w:rPr>
          <w:rFonts w:ascii="Calibri" w:hAnsi="Calibri"/>
          <w:sz w:val="20"/>
        </w:rPr>
        <w:t>dichos</w:t>
      </w:r>
      <w:r>
        <w:rPr>
          <w:rFonts w:ascii="Calibri" w:hAnsi="Calibri"/>
          <w:spacing w:val="-5"/>
          <w:sz w:val="20"/>
        </w:rPr>
        <w:t> </w:t>
      </w:r>
      <w:r>
        <w:rPr>
          <w:rFonts w:ascii="Calibri" w:hAnsi="Calibri"/>
          <w:sz w:val="20"/>
        </w:rPr>
        <w:t>criterios</w:t>
      </w:r>
      <w:r>
        <w:rPr>
          <w:rFonts w:ascii="Calibri" w:hAnsi="Calibri"/>
          <w:spacing w:val="-2"/>
          <w:sz w:val="20"/>
        </w:rPr>
        <w:t> </w:t>
      </w:r>
      <w:r>
        <w:rPr>
          <w:rFonts w:ascii="Calibri" w:hAnsi="Calibri"/>
          <w:sz w:val="20"/>
        </w:rPr>
        <w:t>sociales</w:t>
      </w:r>
      <w:r>
        <w:rPr>
          <w:rFonts w:ascii="Calibri" w:hAnsi="Calibri"/>
          <w:spacing w:val="-4"/>
          <w:sz w:val="20"/>
        </w:rPr>
        <w:t> </w:t>
      </w:r>
      <w:r>
        <w:rPr>
          <w:rFonts w:ascii="Calibri" w:hAnsi="Calibri"/>
          <w:sz w:val="20"/>
        </w:rPr>
        <w:t>legales.</w:t>
      </w:r>
      <w:r>
        <w:rPr>
          <w:rFonts w:ascii="Calibri" w:hAnsi="Calibri"/>
          <w:spacing w:val="-3"/>
          <w:sz w:val="20"/>
        </w:rPr>
        <w:t> </w:t>
      </w:r>
      <w:r>
        <w:rPr>
          <w:rFonts w:ascii="Calibri" w:hAnsi="Calibri"/>
          <w:sz w:val="20"/>
        </w:rPr>
        <w:t>En</w:t>
      </w:r>
      <w:r>
        <w:rPr>
          <w:rFonts w:ascii="Calibri" w:hAnsi="Calibri"/>
          <w:spacing w:val="-3"/>
          <w:sz w:val="20"/>
        </w:rPr>
        <w:t> </w:t>
      </w:r>
      <w:r>
        <w:rPr>
          <w:rFonts w:ascii="Calibri" w:hAnsi="Calibri"/>
          <w:sz w:val="20"/>
        </w:rPr>
        <w:t>caso de persistir el empate tras aplicar esos criterios de igualdad y laborales, se recurre finalmente al sorteo, conforme a la norma.</w:t>
      </w:r>
    </w:p>
    <w:p>
      <w:pPr>
        <w:spacing w:line="256" w:lineRule="auto" w:before="146"/>
        <w:ind w:left="2251" w:right="2026" w:firstLine="0"/>
        <w:jc w:val="both"/>
        <w:rPr>
          <w:rFonts w:ascii="Calibri" w:hAnsi="Calibri"/>
          <w:sz w:val="20"/>
        </w:rPr>
      </w:pPr>
      <w:r>
        <w:rPr>
          <w:rFonts w:ascii="Calibri" w:hAnsi="Calibri"/>
          <w:sz w:val="20"/>
        </w:rPr>
        <w:t>Por tanto, no es cierto que EMTSAM carezca de medidas relacionadas con la igualdad de género</w:t>
      </w:r>
      <w:r>
        <w:rPr>
          <w:rFonts w:ascii="Calibri" w:hAnsi="Calibri"/>
          <w:spacing w:val="-1"/>
          <w:sz w:val="20"/>
        </w:rPr>
        <w:t> </w:t>
      </w:r>
      <w:r>
        <w:rPr>
          <w:rFonts w:ascii="Calibri" w:hAnsi="Calibri"/>
          <w:sz w:val="20"/>
        </w:rPr>
        <w:t>en</w:t>
      </w:r>
      <w:r>
        <w:rPr>
          <w:rFonts w:ascii="Calibri" w:hAnsi="Calibri"/>
          <w:spacing w:val="-2"/>
          <w:sz w:val="20"/>
        </w:rPr>
        <w:t> </w:t>
      </w:r>
      <w:r>
        <w:rPr>
          <w:rFonts w:ascii="Calibri" w:hAnsi="Calibri"/>
          <w:sz w:val="20"/>
        </w:rPr>
        <w:t>caso de</w:t>
      </w:r>
      <w:r>
        <w:rPr>
          <w:rFonts w:ascii="Calibri" w:hAnsi="Calibri"/>
          <w:spacing w:val="-4"/>
          <w:sz w:val="20"/>
        </w:rPr>
        <w:t> </w:t>
      </w:r>
      <w:r>
        <w:rPr>
          <w:rFonts w:ascii="Calibri" w:hAnsi="Calibri"/>
          <w:sz w:val="20"/>
        </w:rPr>
        <w:t>empate,</w:t>
      </w:r>
      <w:r>
        <w:rPr>
          <w:rFonts w:ascii="Calibri" w:hAnsi="Calibri"/>
          <w:spacing w:val="-4"/>
          <w:sz w:val="20"/>
        </w:rPr>
        <w:t> </w:t>
      </w:r>
      <w:r>
        <w:rPr>
          <w:rFonts w:ascii="Calibri" w:hAnsi="Calibri"/>
          <w:sz w:val="20"/>
        </w:rPr>
        <w:t>pues</w:t>
      </w:r>
      <w:r>
        <w:rPr>
          <w:rFonts w:ascii="Calibri" w:hAnsi="Calibri"/>
          <w:spacing w:val="-3"/>
          <w:sz w:val="20"/>
        </w:rPr>
        <w:t> </w:t>
      </w:r>
      <w:r>
        <w:rPr>
          <w:rFonts w:ascii="Calibri" w:hAnsi="Calibri"/>
          <w:sz w:val="20"/>
        </w:rPr>
        <w:t>estas</w:t>
      </w:r>
      <w:r>
        <w:rPr>
          <w:rFonts w:ascii="Calibri" w:hAnsi="Calibri"/>
          <w:spacing w:val="-3"/>
          <w:sz w:val="20"/>
        </w:rPr>
        <w:t> </w:t>
      </w:r>
      <w:r>
        <w:rPr>
          <w:rFonts w:ascii="Calibri" w:hAnsi="Calibri"/>
          <w:sz w:val="20"/>
        </w:rPr>
        <w:t>están</w:t>
      </w:r>
      <w:r>
        <w:rPr>
          <w:rFonts w:ascii="Calibri" w:hAnsi="Calibri"/>
          <w:spacing w:val="-2"/>
          <w:sz w:val="20"/>
        </w:rPr>
        <w:t> </w:t>
      </w:r>
      <w:r>
        <w:rPr>
          <w:rFonts w:ascii="Calibri" w:hAnsi="Calibri"/>
          <w:sz w:val="20"/>
        </w:rPr>
        <w:t>incorporadas de pleno</w:t>
      </w:r>
      <w:r>
        <w:rPr>
          <w:rFonts w:ascii="Calibri" w:hAnsi="Calibri"/>
          <w:spacing w:val="-3"/>
          <w:sz w:val="20"/>
        </w:rPr>
        <w:t> </w:t>
      </w:r>
      <w:r>
        <w:rPr>
          <w:rFonts w:ascii="Calibri" w:hAnsi="Calibri"/>
          <w:sz w:val="20"/>
        </w:rPr>
        <w:t>derecho</w:t>
      </w:r>
      <w:r>
        <w:rPr>
          <w:rFonts w:ascii="Calibri" w:hAnsi="Calibri"/>
          <w:spacing w:val="-1"/>
          <w:sz w:val="20"/>
        </w:rPr>
        <w:t> </w:t>
      </w:r>
      <w:r>
        <w:rPr>
          <w:rFonts w:ascii="Calibri" w:hAnsi="Calibri"/>
          <w:sz w:val="20"/>
        </w:rPr>
        <w:t>vía</w:t>
      </w:r>
      <w:r>
        <w:rPr>
          <w:rFonts w:ascii="Calibri" w:hAnsi="Calibri"/>
          <w:spacing w:val="-5"/>
          <w:sz w:val="20"/>
        </w:rPr>
        <w:t> </w:t>
      </w:r>
      <w:r>
        <w:rPr>
          <w:rFonts w:ascii="Calibri" w:hAnsi="Calibri"/>
          <w:sz w:val="20"/>
        </w:rPr>
        <w:t>normativa estatal en todos sus procedimientos, tal como refleja su pliego.</w:t>
      </w:r>
    </w:p>
    <w:p>
      <w:pPr>
        <w:pStyle w:val="ListParagraph"/>
        <w:numPr>
          <w:ilvl w:val="1"/>
          <w:numId w:val="21"/>
        </w:numPr>
        <w:tabs>
          <w:tab w:pos="2564" w:val="left" w:leader="none"/>
        </w:tabs>
        <w:spacing w:line="256" w:lineRule="auto" w:before="145" w:after="0"/>
        <w:ind w:left="2251" w:right="2018" w:firstLine="0"/>
        <w:jc w:val="both"/>
        <w:rPr>
          <w:rFonts w:ascii="Calibri" w:hAnsi="Calibri"/>
          <w:sz w:val="20"/>
        </w:rPr>
      </w:pPr>
      <w:r>
        <w:rPr>
          <w:rFonts w:ascii="Calibri" w:hAnsi="Calibri"/>
          <w:sz w:val="20"/>
        </w:rPr>
        <w:t>Adicionalmente, conviene resaltar que antes de la adjudicación definitiva EMTSAM verifica el cumplimiento efectivo de las obligaciones legales en materia de igualdad por parte de la empresa adjudicataria. En particular, se requiere de forma obligatoria que las empresas</w:t>
      </w:r>
      <w:r>
        <w:rPr>
          <w:rFonts w:ascii="Calibri" w:hAnsi="Calibri"/>
          <w:spacing w:val="-6"/>
          <w:sz w:val="20"/>
        </w:rPr>
        <w:t> </w:t>
      </w:r>
      <w:r>
        <w:rPr>
          <w:rFonts w:ascii="Calibri" w:hAnsi="Calibri"/>
          <w:sz w:val="20"/>
        </w:rPr>
        <w:t>que</w:t>
      </w:r>
      <w:r>
        <w:rPr>
          <w:rFonts w:ascii="Calibri" w:hAnsi="Calibri"/>
          <w:spacing w:val="-4"/>
          <w:sz w:val="20"/>
        </w:rPr>
        <w:t> </w:t>
      </w:r>
      <w:r>
        <w:rPr>
          <w:rFonts w:ascii="Calibri" w:hAnsi="Calibri"/>
          <w:sz w:val="20"/>
        </w:rPr>
        <w:t>estén</w:t>
      </w:r>
      <w:r>
        <w:rPr>
          <w:rFonts w:ascii="Calibri" w:hAnsi="Calibri"/>
          <w:spacing w:val="-7"/>
          <w:sz w:val="20"/>
        </w:rPr>
        <w:t> </w:t>
      </w:r>
      <w:r>
        <w:rPr>
          <w:rFonts w:ascii="Calibri" w:hAnsi="Calibri"/>
          <w:sz w:val="20"/>
        </w:rPr>
        <w:t>legalmente</w:t>
      </w:r>
      <w:r>
        <w:rPr>
          <w:rFonts w:ascii="Calibri" w:hAnsi="Calibri"/>
          <w:spacing w:val="-4"/>
          <w:sz w:val="20"/>
        </w:rPr>
        <w:t> </w:t>
      </w:r>
      <w:r>
        <w:rPr>
          <w:rFonts w:ascii="Calibri" w:hAnsi="Calibri"/>
          <w:sz w:val="20"/>
        </w:rPr>
        <w:t>obligadas</w:t>
      </w:r>
      <w:r>
        <w:rPr>
          <w:rFonts w:ascii="Calibri" w:hAnsi="Calibri"/>
          <w:spacing w:val="-3"/>
          <w:sz w:val="20"/>
        </w:rPr>
        <w:t> </w:t>
      </w:r>
      <w:r>
        <w:rPr>
          <w:rFonts w:ascii="Calibri" w:hAnsi="Calibri"/>
          <w:sz w:val="20"/>
        </w:rPr>
        <w:t>a</w:t>
      </w:r>
      <w:r>
        <w:rPr>
          <w:rFonts w:ascii="Calibri" w:hAnsi="Calibri"/>
          <w:spacing w:val="-5"/>
          <w:sz w:val="20"/>
        </w:rPr>
        <w:t> </w:t>
      </w:r>
      <w:r>
        <w:rPr>
          <w:rFonts w:ascii="Calibri" w:hAnsi="Calibri"/>
          <w:sz w:val="20"/>
        </w:rPr>
        <w:t>disponer</w:t>
      </w:r>
      <w:r>
        <w:rPr>
          <w:rFonts w:ascii="Calibri" w:hAnsi="Calibri"/>
          <w:spacing w:val="-7"/>
          <w:sz w:val="20"/>
        </w:rPr>
        <w:t> </w:t>
      </w:r>
      <w:r>
        <w:rPr>
          <w:rFonts w:ascii="Calibri" w:hAnsi="Calibri"/>
          <w:sz w:val="20"/>
        </w:rPr>
        <w:t>de</w:t>
      </w:r>
      <w:r>
        <w:rPr>
          <w:rFonts w:ascii="Calibri" w:hAnsi="Calibri"/>
          <w:spacing w:val="-2"/>
          <w:sz w:val="20"/>
        </w:rPr>
        <w:t> </w:t>
      </w:r>
      <w:r>
        <w:rPr>
          <w:rFonts w:ascii="Calibri" w:hAnsi="Calibri"/>
          <w:sz w:val="20"/>
        </w:rPr>
        <w:t>un</w:t>
      </w:r>
      <w:r>
        <w:rPr>
          <w:rFonts w:ascii="Calibri" w:hAnsi="Calibri"/>
          <w:spacing w:val="-6"/>
          <w:sz w:val="20"/>
        </w:rPr>
        <w:t> </w:t>
      </w:r>
      <w:r>
        <w:rPr>
          <w:rFonts w:ascii="Calibri" w:hAnsi="Calibri"/>
          <w:sz w:val="20"/>
        </w:rPr>
        <w:t>Plan</w:t>
      </w:r>
      <w:r>
        <w:rPr>
          <w:rFonts w:ascii="Calibri" w:hAnsi="Calibri"/>
          <w:spacing w:val="-4"/>
          <w:sz w:val="20"/>
        </w:rPr>
        <w:t> </w:t>
      </w:r>
      <w:r>
        <w:rPr>
          <w:rFonts w:ascii="Calibri" w:hAnsi="Calibri"/>
          <w:sz w:val="20"/>
        </w:rPr>
        <w:t>de</w:t>
      </w:r>
      <w:r>
        <w:rPr>
          <w:rFonts w:ascii="Calibri" w:hAnsi="Calibri"/>
          <w:spacing w:val="-7"/>
          <w:sz w:val="20"/>
        </w:rPr>
        <w:t> </w:t>
      </w:r>
      <w:r>
        <w:rPr>
          <w:rFonts w:ascii="Calibri" w:hAnsi="Calibri"/>
          <w:sz w:val="20"/>
        </w:rPr>
        <w:t>Igualdad</w:t>
      </w:r>
      <w:r>
        <w:rPr>
          <w:rFonts w:ascii="Calibri" w:hAnsi="Calibri"/>
          <w:spacing w:val="-4"/>
          <w:sz w:val="20"/>
        </w:rPr>
        <w:t> </w:t>
      </w:r>
      <w:r>
        <w:rPr>
          <w:rFonts w:ascii="Calibri" w:hAnsi="Calibri"/>
          <w:sz w:val="20"/>
        </w:rPr>
        <w:t>aporten</w:t>
      </w:r>
      <w:r>
        <w:rPr>
          <w:rFonts w:ascii="Calibri" w:hAnsi="Calibri"/>
          <w:spacing w:val="-6"/>
          <w:sz w:val="20"/>
        </w:rPr>
        <w:t> </w:t>
      </w:r>
      <w:r>
        <w:rPr>
          <w:rFonts w:ascii="Calibri" w:hAnsi="Calibri"/>
          <w:sz w:val="20"/>
        </w:rPr>
        <w:t>copia vigente de dicho Plan durante el trámite de documentación previa a la adjudicación (conforme</w:t>
      </w:r>
      <w:r>
        <w:rPr>
          <w:rFonts w:ascii="Calibri" w:hAnsi="Calibri"/>
          <w:spacing w:val="-6"/>
          <w:sz w:val="20"/>
        </w:rPr>
        <w:t> </w:t>
      </w:r>
      <w:r>
        <w:rPr>
          <w:rFonts w:ascii="Calibri" w:hAnsi="Calibri"/>
          <w:sz w:val="20"/>
        </w:rPr>
        <w:t>a</w:t>
      </w:r>
      <w:r>
        <w:rPr>
          <w:rFonts w:ascii="Calibri" w:hAnsi="Calibri"/>
          <w:spacing w:val="-5"/>
          <w:sz w:val="20"/>
        </w:rPr>
        <w:t> </w:t>
      </w:r>
      <w:r>
        <w:rPr>
          <w:rFonts w:ascii="Calibri" w:hAnsi="Calibri"/>
          <w:sz w:val="20"/>
        </w:rPr>
        <w:t>la</w:t>
      </w:r>
      <w:r>
        <w:rPr>
          <w:rFonts w:ascii="Calibri" w:hAnsi="Calibri"/>
          <w:spacing w:val="-6"/>
          <w:sz w:val="20"/>
        </w:rPr>
        <w:t> </w:t>
      </w:r>
      <w:r>
        <w:rPr>
          <w:rFonts w:ascii="Calibri" w:hAnsi="Calibri"/>
          <w:sz w:val="20"/>
        </w:rPr>
        <w:t>Ley</w:t>
      </w:r>
      <w:r>
        <w:rPr>
          <w:rFonts w:ascii="Calibri" w:hAnsi="Calibri"/>
          <w:spacing w:val="-8"/>
          <w:sz w:val="20"/>
        </w:rPr>
        <w:t> </w:t>
      </w:r>
      <w:r>
        <w:rPr>
          <w:rFonts w:ascii="Calibri" w:hAnsi="Calibri"/>
          <w:sz w:val="20"/>
        </w:rPr>
        <w:t>Orgánica</w:t>
      </w:r>
      <w:r>
        <w:rPr>
          <w:rFonts w:ascii="Calibri" w:hAnsi="Calibri"/>
          <w:spacing w:val="-4"/>
          <w:sz w:val="20"/>
        </w:rPr>
        <w:t> </w:t>
      </w:r>
      <w:r>
        <w:rPr>
          <w:rFonts w:ascii="Calibri" w:hAnsi="Calibri"/>
          <w:sz w:val="20"/>
        </w:rPr>
        <w:t>3/2007,</w:t>
      </w:r>
      <w:r>
        <w:rPr>
          <w:rFonts w:ascii="Calibri" w:hAnsi="Calibri"/>
          <w:spacing w:val="-3"/>
          <w:sz w:val="20"/>
        </w:rPr>
        <w:t> </w:t>
      </w:r>
      <w:r>
        <w:rPr>
          <w:rFonts w:ascii="Calibri" w:hAnsi="Calibri"/>
          <w:sz w:val="20"/>
        </w:rPr>
        <w:t>de</w:t>
      </w:r>
      <w:r>
        <w:rPr>
          <w:rFonts w:ascii="Calibri" w:hAnsi="Calibri"/>
          <w:spacing w:val="-5"/>
          <w:sz w:val="20"/>
        </w:rPr>
        <w:t> </w:t>
      </w:r>
      <w:r>
        <w:rPr>
          <w:rFonts w:ascii="Calibri" w:hAnsi="Calibri"/>
          <w:sz w:val="20"/>
        </w:rPr>
        <w:t>22</w:t>
      </w:r>
      <w:r>
        <w:rPr>
          <w:rFonts w:ascii="Calibri" w:hAnsi="Calibri"/>
          <w:spacing w:val="-4"/>
          <w:sz w:val="20"/>
        </w:rPr>
        <w:t> </w:t>
      </w:r>
      <w:r>
        <w:rPr>
          <w:rFonts w:ascii="Calibri" w:hAnsi="Calibri"/>
          <w:sz w:val="20"/>
        </w:rPr>
        <w:t>de</w:t>
      </w:r>
      <w:r>
        <w:rPr>
          <w:rFonts w:ascii="Calibri" w:hAnsi="Calibri"/>
          <w:spacing w:val="-8"/>
          <w:sz w:val="20"/>
        </w:rPr>
        <w:t> </w:t>
      </w:r>
      <w:r>
        <w:rPr>
          <w:rFonts w:ascii="Calibri" w:hAnsi="Calibri"/>
          <w:sz w:val="20"/>
        </w:rPr>
        <w:t>marzo,</w:t>
      </w:r>
      <w:r>
        <w:rPr>
          <w:rFonts w:ascii="Calibri" w:hAnsi="Calibri"/>
          <w:spacing w:val="-11"/>
          <w:sz w:val="20"/>
        </w:rPr>
        <w:t> </w:t>
      </w:r>
      <w:r>
        <w:rPr>
          <w:rFonts w:ascii="Calibri" w:hAnsi="Calibri"/>
          <w:sz w:val="20"/>
        </w:rPr>
        <w:t>para</w:t>
      </w:r>
      <w:r>
        <w:rPr>
          <w:rFonts w:ascii="Calibri" w:hAnsi="Calibri"/>
          <w:spacing w:val="-9"/>
          <w:sz w:val="20"/>
        </w:rPr>
        <w:t> </w:t>
      </w:r>
      <w:r>
        <w:rPr>
          <w:rFonts w:ascii="Calibri" w:hAnsi="Calibri"/>
          <w:sz w:val="20"/>
        </w:rPr>
        <w:t>la</w:t>
      </w:r>
      <w:r>
        <w:rPr>
          <w:rFonts w:ascii="Calibri" w:hAnsi="Calibri"/>
          <w:spacing w:val="-6"/>
          <w:sz w:val="20"/>
        </w:rPr>
        <w:t> </w:t>
      </w:r>
      <w:r>
        <w:rPr>
          <w:rFonts w:ascii="Calibri" w:hAnsi="Calibri"/>
          <w:sz w:val="20"/>
        </w:rPr>
        <w:t>igualdad</w:t>
      </w:r>
      <w:r>
        <w:rPr>
          <w:rFonts w:ascii="Calibri" w:hAnsi="Calibri"/>
          <w:spacing w:val="-5"/>
          <w:sz w:val="20"/>
        </w:rPr>
        <w:t> </w:t>
      </w:r>
      <w:r>
        <w:rPr>
          <w:rFonts w:ascii="Calibri" w:hAnsi="Calibri"/>
          <w:sz w:val="20"/>
        </w:rPr>
        <w:t>efectiva</w:t>
      </w:r>
      <w:r>
        <w:rPr>
          <w:rFonts w:ascii="Calibri" w:hAnsi="Calibri"/>
          <w:spacing w:val="-8"/>
          <w:sz w:val="20"/>
        </w:rPr>
        <w:t> </w:t>
      </w:r>
      <w:r>
        <w:rPr>
          <w:rFonts w:ascii="Calibri" w:hAnsi="Calibri"/>
          <w:sz w:val="20"/>
        </w:rPr>
        <w:t>de</w:t>
      </w:r>
      <w:r>
        <w:rPr>
          <w:rFonts w:ascii="Calibri" w:hAnsi="Calibri"/>
          <w:spacing w:val="-6"/>
          <w:sz w:val="20"/>
        </w:rPr>
        <w:t> </w:t>
      </w:r>
      <w:r>
        <w:rPr>
          <w:rFonts w:ascii="Calibri" w:hAnsi="Calibri"/>
          <w:sz w:val="20"/>
        </w:rPr>
        <w:t>mujeres</w:t>
      </w:r>
      <w:r>
        <w:rPr>
          <w:rFonts w:ascii="Calibri" w:hAnsi="Calibri"/>
          <w:spacing w:val="-8"/>
          <w:sz w:val="20"/>
        </w:rPr>
        <w:t> </w:t>
      </w:r>
      <w:r>
        <w:rPr>
          <w:rFonts w:ascii="Calibri" w:hAnsi="Calibri"/>
          <w:sz w:val="20"/>
        </w:rPr>
        <w:t>y hombres, art. 45).</w:t>
      </w:r>
      <w:r>
        <w:rPr>
          <w:rFonts w:ascii="Calibri" w:hAnsi="Calibri"/>
          <w:spacing w:val="-2"/>
          <w:sz w:val="20"/>
        </w:rPr>
        <w:t> </w:t>
      </w:r>
      <w:r>
        <w:rPr>
          <w:rFonts w:ascii="Calibri" w:hAnsi="Calibri"/>
          <w:sz w:val="20"/>
        </w:rPr>
        <w:t>Esta</w:t>
      </w:r>
      <w:r>
        <w:rPr>
          <w:rFonts w:ascii="Calibri" w:hAnsi="Calibri"/>
          <w:spacing w:val="-3"/>
          <w:sz w:val="20"/>
        </w:rPr>
        <w:t> </w:t>
      </w:r>
      <w:r>
        <w:rPr>
          <w:rFonts w:ascii="Calibri" w:hAnsi="Calibri"/>
          <w:sz w:val="20"/>
        </w:rPr>
        <w:t>exigencia</w:t>
      </w:r>
      <w:r>
        <w:rPr>
          <w:rFonts w:ascii="Calibri" w:hAnsi="Calibri"/>
          <w:spacing w:val="-1"/>
          <w:sz w:val="20"/>
        </w:rPr>
        <w:t> </w:t>
      </w:r>
      <w:r>
        <w:rPr>
          <w:rFonts w:ascii="Calibri" w:hAnsi="Calibri"/>
          <w:sz w:val="20"/>
        </w:rPr>
        <w:t>consta por ejemplo</w:t>
      </w:r>
      <w:r>
        <w:rPr>
          <w:rFonts w:ascii="Calibri" w:hAnsi="Calibri"/>
          <w:spacing w:val="-3"/>
          <w:sz w:val="20"/>
        </w:rPr>
        <w:t> </w:t>
      </w:r>
      <w:r>
        <w:rPr>
          <w:rFonts w:ascii="Calibri" w:hAnsi="Calibri"/>
          <w:sz w:val="20"/>
        </w:rPr>
        <w:t>(al igual que se incluye en el resto de las licitaciones) en la cláusula 12.1 del PCAP 016/2022, relativa a la documentación que debe presentar la licitadora propuesta como adjudicataria, y se articula en coordinación con las citadas normas.</w:t>
      </w:r>
    </w:p>
    <w:p>
      <w:pPr>
        <w:spacing w:line="256" w:lineRule="auto" w:before="146"/>
        <w:ind w:left="2251" w:right="2026" w:firstLine="0"/>
        <w:jc w:val="both"/>
        <w:rPr>
          <w:rFonts w:ascii="Calibri" w:hAnsi="Calibri"/>
          <w:sz w:val="20"/>
        </w:rPr>
      </w:pPr>
      <w:r>
        <w:rPr>
          <w:rFonts w:ascii="Calibri" w:hAnsi="Calibri"/>
          <w:sz w:val="20"/>
        </w:rPr>
        <w:t>En coherencia con ello, si la empresa seleccionada no presentase el Plan de Igualdad exigible, no se podría formalizar el contrato y se tendría por retirada su oferta, al incurrir</w:t>
      </w:r>
    </w:p>
    <w:p>
      <w:pPr>
        <w:pStyle w:val="BodyText"/>
        <w:rPr>
          <w:rFonts w:ascii="Calibri"/>
          <w:sz w:val="20"/>
        </w:rPr>
      </w:pPr>
    </w:p>
    <w:p>
      <w:pPr>
        <w:pStyle w:val="BodyText"/>
        <w:spacing w:before="115"/>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2028" name="Group 2028"/>
                <wp:cNvGraphicFramePr>
                  <a:graphicFrameLocks/>
                </wp:cNvGraphicFramePr>
                <a:graphic>
                  <a:graphicData uri="http://schemas.microsoft.com/office/word/2010/wordprocessingGroup">
                    <wpg:wgp>
                      <wpg:cNvPr id="2028" name="Group 2028"/>
                      <wpg:cNvGrpSpPr/>
                      <wpg:grpSpPr>
                        <a:xfrm>
                          <a:off x="0" y="0"/>
                          <a:ext cx="1870075" cy="6350"/>
                          <a:chExt cx="1870075" cy="6350"/>
                        </a:xfrm>
                      </wpg:grpSpPr>
                      <wps:wsp>
                        <wps:cNvPr id="2029" name="Graphic 2029"/>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467" coordorigin="0,0" coordsize="2945,10">
                <v:rect style="position:absolute;left:0;top:0;width:2945;height:10" id="docshape1468"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2030" name="Group 2030"/>
                <wp:cNvGraphicFramePr>
                  <a:graphicFrameLocks/>
                </wp:cNvGraphicFramePr>
                <a:graphic>
                  <a:graphicData uri="http://schemas.microsoft.com/office/word/2010/wordprocessingGroup">
                    <wpg:wgp>
                      <wpg:cNvPr id="2030" name="Group 2030"/>
                      <wpg:cNvGrpSpPr/>
                      <wpg:grpSpPr>
                        <a:xfrm>
                          <a:off x="0" y="0"/>
                          <a:ext cx="841375" cy="6350"/>
                          <a:chExt cx="841375" cy="6350"/>
                        </a:xfrm>
                      </wpg:grpSpPr>
                      <wps:wsp>
                        <wps:cNvPr id="2031" name="Graphic 2031"/>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469" coordorigin="0,0" coordsize="1325,10">
                <v:rect style="position:absolute;left:0;top:0;width:1325;height:10" id="docshape1470"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328"/>
          <w:headerReference w:type="default" r:id="rId329"/>
          <w:footerReference w:type="even" r:id="rId330"/>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55040">
                <wp:simplePos x="0" y="0"/>
                <wp:positionH relativeFrom="page">
                  <wp:posOffset>4279090</wp:posOffset>
                </wp:positionH>
                <wp:positionV relativeFrom="paragraph">
                  <wp:posOffset>1412477</wp:posOffset>
                </wp:positionV>
                <wp:extent cx="53340" cy="100330"/>
                <wp:effectExtent l="0" t="0" r="0" b="0"/>
                <wp:wrapNone/>
                <wp:docPr id="2032" name="Textbox 2032"/>
                <wp:cNvGraphicFramePr>
                  <a:graphicFrameLocks/>
                </wp:cNvGraphicFramePr>
                <a:graphic>
                  <a:graphicData uri="http://schemas.microsoft.com/office/word/2010/wordprocessingShape">
                    <wps:wsp>
                      <wps:cNvPr id="2032" name="Textbox 2032"/>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e</w:t>
                            </w:r>
                          </w:p>
                        </w:txbxContent>
                      </wps:txbx>
                      <wps:bodyPr wrap="square" lIns="0" tIns="0" rIns="0" bIns="0" rtlCol="0">
                        <a:noAutofit/>
                      </wps:bodyPr>
                    </wps:wsp>
                  </a:graphicData>
                </a:graphic>
              </wp:anchor>
            </w:drawing>
          </mc:Choice>
          <mc:Fallback>
            <w:pict>
              <v:shape style="position:absolute;margin-left:336.936279pt;margin-top:111.218727pt;width:4.2pt;height:7.9pt;mso-position-horizontal-relative:page;mso-position-vertical-relative:paragraph;z-index:-28861440" type="#_x0000_t202" id="docshape1471" filled="false" stroked="false">
                <v:textbox inset="0,0,0,0">
                  <w:txbxContent>
                    <w:p>
                      <w:pPr>
                        <w:spacing w:line="158" w:lineRule="exact" w:before="0"/>
                        <w:ind w:left="0" w:right="0" w:firstLine="0"/>
                        <w:jc w:val="left"/>
                        <w:rPr>
                          <w:rFonts w:ascii="Courier New"/>
                          <w:sz w:val="14"/>
                        </w:rPr>
                      </w:pPr>
                      <w:r>
                        <w:rPr>
                          <w:rFonts w:ascii="Courier New"/>
                          <w:spacing w:val="-12"/>
                          <w:sz w:val="14"/>
                        </w:rPr>
                        <w:t>e</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0"/>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21"/>
        <w:gridCol w:w="2541"/>
        <w:gridCol w:w="522"/>
        <w:gridCol w:w="622"/>
        <w:gridCol w:w="1021"/>
        <w:gridCol w:w="816"/>
        <w:gridCol w:w="1246"/>
        <w:gridCol w:w="124"/>
        <w:gridCol w:w="1038"/>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21" w:type="dxa"/>
            <w:tcBorders>
              <w:left w:val="single" w:sz="6" w:space="0" w:color="000000"/>
              <w:bottom w:val="single" w:sz="6" w:space="0" w:color="000000"/>
              <w:right w:val="nil"/>
            </w:tcBorders>
          </w:tcPr>
          <w:p>
            <w:pPr>
              <w:pStyle w:val="TableParagraph"/>
              <w:rPr>
                <w:rFonts w:ascii="Times New Roman"/>
                <w:sz w:val="14"/>
              </w:rPr>
            </w:pPr>
          </w:p>
        </w:tc>
        <w:tc>
          <w:tcPr>
            <w:tcW w:w="2541" w:type="dxa"/>
            <w:tcBorders>
              <w:top w:val="nil"/>
              <w:left w:val="nil"/>
              <w:bottom w:val="single" w:sz="6" w:space="0" w:color="000000"/>
              <w:right w:val="nil"/>
            </w:tcBorders>
            <w:shd w:val="clear" w:color="auto" w:fill="000000"/>
          </w:tcPr>
          <w:p>
            <w:pPr>
              <w:pStyle w:val="TableParagraph"/>
              <w:rPr>
                <w:rFonts w:ascii="Times New Roman"/>
                <w:sz w:val="14"/>
              </w:rPr>
            </w:pPr>
          </w:p>
        </w:tc>
        <w:tc>
          <w:tcPr>
            <w:tcW w:w="1144" w:type="dxa"/>
            <w:gridSpan w:val="2"/>
            <w:tcBorders>
              <w:left w:val="nil"/>
              <w:bottom w:val="single" w:sz="6" w:space="0" w:color="000000"/>
              <w:right w:val="single" w:sz="6" w:space="0" w:color="000000"/>
            </w:tcBorders>
          </w:tcPr>
          <w:p>
            <w:pPr>
              <w:pStyle w:val="TableParagraph"/>
              <w:rPr>
                <w:rFonts w:ascii="Times New Roman"/>
                <w:sz w:val="14"/>
              </w:rPr>
            </w:pPr>
          </w:p>
        </w:tc>
        <w:tc>
          <w:tcPr>
            <w:tcW w:w="1021"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7"/>
              <w:rPr>
                <w:rFonts w:ascii="Arial"/>
                <w:position w:val="-1"/>
                <w:sz w:val="10"/>
              </w:rPr>
            </w:pPr>
            <w:r>
              <w:rPr>
                <w:rFonts w:ascii="Arial"/>
                <w:position w:val="-1"/>
                <w:sz w:val="10"/>
              </w:rPr>
              <w:drawing>
                <wp:inline distT="0" distB="0" distL="0" distR="0">
                  <wp:extent cx="266700" cy="66675"/>
                  <wp:effectExtent l="0" t="0" r="0" b="0"/>
                  <wp:docPr id="2033" name="Image 2033"/>
                  <wp:cNvGraphicFramePr>
                    <a:graphicFrameLocks/>
                  </wp:cNvGraphicFramePr>
                  <a:graphic>
                    <a:graphicData uri="http://schemas.openxmlformats.org/drawingml/2006/picture">
                      <pic:pic>
                        <pic:nvPicPr>
                          <pic:cNvPr id="2033" name="Image 2033"/>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2"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30"/>
              <w:rPr>
                <w:rFonts w:ascii="Arial"/>
                <w:position w:val="-2"/>
                <w:sz w:val="13"/>
              </w:rPr>
            </w:pPr>
            <w:r>
              <w:rPr>
                <w:rFonts w:ascii="Arial"/>
                <w:position w:val="-2"/>
                <w:sz w:val="13"/>
              </w:rPr>
              <w:drawing>
                <wp:inline distT="0" distB="0" distL="0" distR="0">
                  <wp:extent cx="498011" cy="85058"/>
                  <wp:effectExtent l="0" t="0" r="0" b="0"/>
                  <wp:docPr id="2034" name="Image 2034"/>
                  <wp:cNvGraphicFramePr>
                    <a:graphicFrameLocks/>
                  </wp:cNvGraphicFramePr>
                  <a:graphic>
                    <a:graphicData uri="http://schemas.openxmlformats.org/drawingml/2006/picture">
                      <pic:pic>
                        <pic:nvPicPr>
                          <pic:cNvPr id="2034" name="Image 2034"/>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24" w:type="dxa"/>
            <w:vMerge w:val="restart"/>
            <w:tcBorders>
              <w:top w:val="nil"/>
              <w:bottom w:val="single" w:sz="6" w:space="0" w:color="000000"/>
              <w:right w:val="nil"/>
            </w:tcBorders>
          </w:tcPr>
          <w:p>
            <w:pPr>
              <w:pStyle w:val="TableParagraph"/>
              <w:rPr>
                <w:rFonts w:ascii="Times New Roman"/>
                <w:sz w:val="18"/>
              </w:rPr>
            </w:pPr>
          </w:p>
        </w:tc>
        <w:tc>
          <w:tcPr>
            <w:tcW w:w="1038" w:type="dxa"/>
            <w:vMerge w:val="restart"/>
            <w:tcBorders>
              <w:top w:val="nil"/>
              <w:left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6"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55552">
                      <wp:simplePos x="0" y="0"/>
                      <wp:positionH relativeFrom="column">
                        <wp:posOffset>-1298447</wp:posOffset>
                      </wp:positionH>
                      <wp:positionV relativeFrom="paragraph">
                        <wp:posOffset>-144895</wp:posOffset>
                      </wp:positionV>
                      <wp:extent cx="1298575" cy="417830"/>
                      <wp:effectExtent l="0" t="0" r="0" b="0"/>
                      <wp:wrapNone/>
                      <wp:docPr id="2035" name="Group 2035"/>
                      <wp:cNvGraphicFramePr>
                        <a:graphicFrameLocks/>
                      </wp:cNvGraphicFramePr>
                      <a:graphic>
                        <a:graphicData uri="http://schemas.microsoft.com/office/word/2010/wordprocessingGroup">
                          <wpg:wgp>
                            <wpg:cNvPr id="2035" name="Group 2035"/>
                            <wpg:cNvGrpSpPr/>
                            <wpg:grpSpPr>
                              <a:xfrm>
                                <a:off x="0" y="0"/>
                                <a:ext cx="1298575" cy="417830"/>
                                <a:chExt cx="1298575" cy="417830"/>
                              </a:xfrm>
                            </wpg:grpSpPr>
                            <wps:wsp>
                              <wps:cNvPr id="2036" name="Graphic 2036"/>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2037" name="Image 2037"/>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860928" id="docshapegroup1472" coordorigin="-2045,-228" coordsize="2045,658">
                      <v:shape style="position:absolute;left:-2045;top:-229;width:2045;height:658" id="docshape1473" coordorigin="-2045,-228" coordsize="2045,658" path="m0,-228l-2045,-228,-2045,-10,-2045,-7,-2045,429,0,429,0,-7,0,-10,0,-228xe" filled="true" fillcolor="#cccccc" stroked="false">
                        <v:path arrowok="t"/>
                        <v:fill type="solid"/>
                      </v:shape>
                      <v:shape style="position:absolute;left:-1973;top:-154;width:1896;height:327" type="#_x0000_t75" id="docshape1474"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1"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8"/>
              <w:rPr>
                <w:rFonts w:ascii="Arial"/>
                <w:sz w:val="14"/>
              </w:rPr>
            </w:pPr>
            <w:r>
              <w:rPr>
                <w:rFonts w:ascii="Arial"/>
                <w:spacing w:val="-2"/>
                <w:sz w:val="14"/>
              </w:rPr>
              <w:t>Firmado</w:t>
            </w:r>
          </w:p>
        </w:tc>
        <w:tc>
          <w:tcPr>
            <w:tcW w:w="2062" w:type="dxa"/>
            <w:gridSpan w:val="2"/>
            <w:tcBorders>
              <w:top w:val="single" w:sz="6" w:space="0" w:color="000000"/>
              <w:left w:val="single" w:sz="6" w:space="0" w:color="000000"/>
              <w:bottom w:val="single" w:sz="6" w:space="0" w:color="000000"/>
            </w:tcBorders>
          </w:tcPr>
          <w:p>
            <w:pPr>
              <w:pStyle w:val="TableParagraph"/>
              <w:spacing w:line="145" w:lineRule="exact" w:before="39"/>
              <w:ind w:left="387"/>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24" w:type="dxa"/>
            <w:vMerge/>
            <w:tcBorders>
              <w:top w:val="nil"/>
              <w:bottom w:val="single" w:sz="6" w:space="0" w:color="000000"/>
              <w:right w:val="nil"/>
            </w:tcBorders>
          </w:tcPr>
          <w:p>
            <w:pPr>
              <w:rPr>
                <w:sz w:val="2"/>
                <w:szCs w:val="2"/>
              </w:rPr>
            </w:pPr>
          </w:p>
        </w:tc>
        <w:tc>
          <w:tcPr>
            <w:tcW w:w="1038"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2038" name="Image 2038"/>
                  <wp:cNvGraphicFramePr>
                    <a:graphicFrameLocks/>
                  </wp:cNvGraphicFramePr>
                  <a:graphic>
                    <a:graphicData uri="http://schemas.openxmlformats.org/drawingml/2006/picture">
                      <pic:pic>
                        <pic:nvPicPr>
                          <pic:cNvPr id="2038" name="Image 2038"/>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6"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1"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7"/>
              <w:rPr>
                <w:rFonts w:ascii="Arial"/>
                <w:position w:val="-2"/>
                <w:sz w:val="13"/>
              </w:rPr>
            </w:pPr>
            <w:r>
              <w:rPr>
                <w:rFonts w:ascii="Arial"/>
                <w:position w:val="-2"/>
                <w:sz w:val="13"/>
              </w:rPr>
              <w:drawing>
                <wp:inline distT="0" distB="0" distL="0" distR="0">
                  <wp:extent cx="263120" cy="84010"/>
                  <wp:effectExtent l="0" t="0" r="0" b="0"/>
                  <wp:docPr id="2039" name="Image 2039"/>
                  <wp:cNvGraphicFramePr>
                    <a:graphicFrameLocks/>
                  </wp:cNvGraphicFramePr>
                  <a:graphic>
                    <a:graphicData uri="http://schemas.openxmlformats.org/drawingml/2006/picture">
                      <pic:pic>
                        <pic:nvPicPr>
                          <pic:cNvPr id="2039" name="Image 2039"/>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2" w:type="dxa"/>
            <w:gridSpan w:val="2"/>
            <w:tcBorders>
              <w:top w:val="single" w:sz="6" w:space="0" w:color="000000"/>
              <w:left w:val="single" w:sz="6" w:space="0" w:color="000000"/>
              <w:bottom w:val="single" w:sz="6" w:space="0" w:color="000000"/>
            </w:tcBorders>
          </w:tcPr>
          <w:p>
            <w:pPr>
              <w:pStyle w:val="TableParagraph"/>
              <w:spacing w:line="145" w:lineRule="exact" w:before="39"/>
              <w:ind w:left="20"/>
              <w:jc w:val="center"/>
              <w:rPr>
                <w:rFonts w:ascii="Arial"/>
                <w:sz w:val="14"/>
              </w:rPr>
            </w:pPr>
            <w:r>
              <w:rPr>
                <w:rFonts w:ascii="Arial"/>
                <w:sz w:val="14"/>
              </w:rPr>
              <mc:AlternateContent>
                <mc:Choice Requires="wps">
                  <w:drawing>
                    <wp:anchor distT="0" distB="0" distL="0" distR="0" allowOverlap="1" layoutInCell="1" locked="0" behindDoc="1" simplePos="0" relativeHeight="474456064">
                      <wp:simplePos x="0" y="0"/>
                      <wp:positionH relativeFrom="column">
                        <wp:posOffset>1320546</wp:posOffset>
                      </wp:positionH>
                      <wp:positionV relativeFrom="paragraph">
                        <wp:posOffset>-311719</wp:posOffset>
                      </wp:positionV>
                      <wp:extent cx="734695" cy="755015"/>
                      <wp:effectExtent l="0" t="0" r="0" b="0"/>
                      <wp:wrapNone/>
                      <wp:docPr id="2040" name="Group 2040"/>
                      <wp:cNvGraphicFramePr>
                        <a:graphicFrameLocks/>
                      </wp:cNvGraphicFramePr>
                      <a:graphic>
                        <a:graphicData uri="http://schemas.microsoft.com/office/word/2010/wordprocessingGroup">
                          <wpg:wgp>
                            <wpg:cNvPr id="2040" name="Group 2040"/>
                            <wpg:cNvGrpSpPr/>
                            <wpg:grpSpPr>
                              <a:xfrm>
                                <a:off x="0" y="0"/>
                                <a:ext cx="734695" cy="755015"/>
                                <a:chExt cx="734695" cy="755015"/>
                              </a:xfrm>
                            </wpg:grpSpPr>
                            <pic:pic>
                              <pic:nvPicPr>
                                <pic:cNvPr id="2041" name="Image 2041"/>
                                <pic:cNvPicPr/>
                              </pic:nvPicPr>
                              <pic:blipFill>
                                <a:blip r:embed="rId331" cstate="print"/>
                                <a:stretch>
                                  <a:fillRect/>
                                </a:stretch>
                              </pic:blipFill>
                              <pic:spPr>
                                <a:xfrm>
                                  <a:off x="0" y="0"/>
                                  <a:ext cx="734567" cy="749030"/>
                                </a:xfrm>
                                <a:prstGeom prst="rect">
                                  <a:avLst/>
                                </a:prstGeom>
                              </pic:spPr>
                            </pic:pic>
                            <wps:wsp>
                              <wps:cNvPr id="2042" name="Graphic 2042"/>
                              <wps:cNvSpPr/>
                              <wps:spPr>
                                <a:xfrm>
                                  <a:off x="70510" y="10195"/>
                                  <a:ext cx="659765" cy="744855"/>
                                </a:xfrm>
                                <a:custGeom>
                                  <a:avLst/>
                                  <a:gdLst/>
                                  <a:ahLst/>
                                  <a:cxnLst/>
                                  <a:rect l="l" t="t" r="r" b="b"/>
                                  <a:pathLst>
                                    <a:path w="659765" h="744855">
                                      <a:moveTo>
                                        <a:pt x="659561" y="0"/>
                                      </a:moveTo>
                                      <a:lnTo>
                                        <a:pt x="0" y="0"/>
                                      </a:lnTo>
                                      <a:lnTo>
                                        <a:pt x="0" y="744435"/>
                                      </a:lnTo>
                                      <a:lnTo>
                                        <a:pt x="659561" y="744435"/>
                                      </a:lnTo>
                                      <a:lnTo>
                                        <a:pt x="65956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45pt;mso-position-horizontal-relative:column;mso-position-vertical-relative:paragraph;z-index:-28860416" id="docshapegroup1475" coordorigin="2080,-491" coordsize="1157,1189">
                      <v:shape style="position:absolute;left:2079;top:-491;width:1157;height:1180" type="#_x0000_t75" id="docshape1476" stroked="false">
                        <v:imagedata r:id="rId331" o:title=""/>
                      </v:shape>
                      <v:rect style="position:absolute;left:2190;top:-475;width:1039;height:1173" id="docshape1477" filled="true" fillcolor="#000000" stroked="false">
                        <v:fill type="solid"/>
                      </v:rect>
                      <w10:wrap type="none"/>
                    </v:group>
                  </w:pict>
                </mc:Fallback>
              </mc:AlternateContent>
            </w:r>
            <w:r>
              <w:rPr>
                <w:rFonts w:ascii="Arial"/>
                <w:spacing w:val="-2"/>
                <w:sz w:val="14"/>
              </w:rPr>
              <w:t>38/40</w:t>
            </w:r>
          </w:p>
        </w:tc>
        <w:tc>
          <w:tcPr>
            <w:tcW w:w="124" w:type="dxa"/>
            <w:vMerge/>
            <w:tcBorders>
              <w:top w:val="nil"/>
              <w:bottom w:val="single" w:sz="6" w:space="0" w:color="000000"/>
              <w:right w:val="nil"/>
            </w:tcBorders>
          </w:tcPr>
          <w:p>
            <w:pPr>
              <w:rPr>
                <w:sz w:val="2"/>
                <w:szCs w:val="2"/>
              </w:rPr>
            </w:pPr>
          </w:p>
        </w:tc>
        <w:tc>
          <w:tcPr>
            <w:tcW w:w="1038"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2043" name="Image 2043"/>
                  <wp:cNvGraphicFramePr>
                    <a:graphicFrameLocks/>
                  </wp:cNvGraphicFramePr>
                  <a:graphic>
                    <a:graphicData uri="http://schemas.openxmlformats.org/drawingml/2006/picture">
                      <pic:pic>
                        <pic:nvPicPr>
                          <pic:cNvPr id="2043" name="Image 2043"/>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484"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332">
              <w:r>
                <w:rPr>
                  <w:rFonts w:ascii="Courier New"/>
                  <w:spacing w:val="-2"/>
                  <w:sz w:val="14"/>
                </w:rPr>
                <w:t>https://valida.malaga.eu/verifirma/cod</w:t>
              </w:r>
            </w:hyperlink>
          </w:p>
        </w:tc>
        <w:tc>
          <w:tcPr>
            <w:tcW w:w="2459"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6" w:type="dxa"/>
            <w:tcBorders>
              <w:top w:val="single" w:sz="6" w:space="0" w:color="000000"/>
              <w:left w:val="nil"/>
              <w:bottom w:val="single" w:sz="6" w:space="0" w:color="000000"/>
            </w:tcBorders>
          </w:tcPr>
          <w:p>
            <w:pPr>
              <w:pStyle w:val="TableParagraph"/>
              <w:rPr>
                <w:rFonts w:ascii="Times New Roman"/>
                <w:sz w:val="14"/>
              </w:rPr>
            </w:pPr>
          </w:p>
        </w:tc>
        <w:tc>
          <w:tcPr>
            <w:tcW w:w="124" w:type="dxa"/>
            <w:vMerge/>
            <w:tcBorders>
              <w:top w:val="nil"/>
              <w:bottom w:val="single" w:sz="6" w:space="0" w:color="000000"/>
              <w:right w:val="nil"/>
            </w:tcBorders>
          </w:tcPr>
          <w:p>
            <w:pPr>
              <w:rPr>
                <w:sz w:val="2"/>
                <w:szCs w:val="2"/>
              </w:rPr>
            </w:pPr>
          </w:p>
        </w:tc>
        <w:tc>
          <w:tcPr>
            <w:tcW w:w="1038" w:type="dxa"/>
            <w:vMerge/>
            <w:tcBorders>
              <w:top w:val="nil"/>
              <w:left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2044" name="Image 2044"/>
                  <wp:cNvGraphicFramePr>
                    <a:graphicFrameLocks/>
                  </wp:cNvGraphicFramePr>
                  <a:graphic>
                    <a:graphicData uri="http://schemas.openxmlformats.org/drawingml/2006/picture">
                      <pic:pic>
                        <pic:nvPicPr>
                          <pic:cNvPr id="2044" name="Image 2044"/>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89"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24" w:type="dxa"/>
            <w:vMerge/>
            <w:tcBorders>
              <w:top w:val="nil"/>
              <w:bottom w:val="single" w:sz="6" w:space="0" w:color="000000"/>
              <w:right w:val="nil"/>
            </w:tcBorders>
          </w:tcPr>
          <w:p>
            <w:pPr>
              <w:rPr>
                <w:sz w:val="2"/>
                <w:szCs w:val="2"/>
              </w:rPr>
            </w:pPr>
          </w:p>
        </w:tc>
        <w:tc>
          <w:tcPr>
            <w:tcW w:w="1038" w:type="dxa"/>
            <w:vMerge/>
            <w:tcBorders>
              <w:top w:val="nil"/>
              <w:left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6" w:lineRule="auto" w:before="0"/>
        <w:ind w:left="2251" w:right="2022" w:firstLine="0"/>
        <w:jc w:val="both"/>
        <w:rPr>
          <w:rFonts w:ascii="Calibri" w:hAnsi="Calibri"/>
          <w:sz w:val="20"/>
        </w:rPr>
      </w:pPr>
      <w:r>
        <w:rPr>
          <w:rFonts w:ascii="Calibri" w:hAnsi="Calibri"/>
          <w:sz w:val="20"/>
        </w:rPr>
        <w:t>en</w:t>
      </w:r>
      <w:r>
        <w:rPr>
          <w:rFonts w:ascii="Calibri" w:hAnsi="Calibri"/>
          <w:spacing w:val="-2"/>
          <w:sz w:val="20"/>
        </w:rPr>
        <w:t> </w:t>
      </w:r>
      <w:r>
        <w:rPr>
          <w:rFonts w:ascii="Calibri" w:hAnsi="Calibri"/>
          <w:sz w:val="20"/>
        </w:rPr>
        <w:t>un</w:t>
      </w:r>
      <w:r>
        <w:rPr>
          <w:rFonts w:ascii="Calibri" w:hAnsi="Calibri"/>
          <w:spacing w:val="-2"/>
          <w:sz w:val="20"/>
        </w:rPr>
        <w:t> </w:t>
      </w:r>
      <w:r>
        <w:rPr>
          <w:rFonts w:ascii="Calibri" w:hAnsi="Calibri"/>
          <w:sz w:val="20"/>
        </w:rPr>
        <w:t>supuesto</w:t>
      </w:r>
      <w:r>
        <w:rPr>
          <w:rFonts w:ascii="Calibri" w:hAnsi="Calibri"/>
          <w:spacing w:val="-1"/>
          <w:sz w:val="20"/>
        </w:rPr>
        <w:t> </w:t>
      </w:r>
      <w:r>
        <w:rPr>
          <w:rFonts w:ascii="Calibri" w:hAnsi="Calibri"/>
          <w:sz w:val="20"/>
        </w:rPr>
        <w:t>legal</w:t>
      </w:r>
      <w:r>
        <w:rPr>
          <w:rFonts w:ascii="Calibri" w:hAnsi="Calibri"/>
          <w:spacing w:val="-4"/>
          <w:sz w:val="20"/>
        </w:rPr>
        <w:t> </w:t>
      </w:r>
      <w:r>
        <w:rPr>
          <w:rFonts w:ascii="Calibri" w:hAnsi="Calibri"/>
          <w:sz w:val="20"/>
        </w:rPr>
        <w:t>que</w:t>
      </w:r>
      <w:r>
        <w:rPr>
          <w:rFonts w:ascii="Calibri" w:hAnsi="Calibri"/>
          <w:spacing w:val="-1"/>
          <w:sz w:val="20"/>
        </w:rPr>
        <w:t> </w:t>
      </w:r>
      <w:r>
        <w:rPr>
          <w:rFonts w:ascii="Calibri" w:hAnsi="Calibri"/>
          <w:sz w:val="20"/>
        </w:rPr>
        <w:t>impide</w:t>
      </w:r>
      <w:r>
        <w:rPr>
          <w:rFonts w:ascii="Calibri" w:hAnsi="Calibri"/>
          <w:spacing w:val="-1"/>
          <w:sz w:val="20"/>
        </w:rPr>
        <w:t> </w:t>
      </w:r>
      <w:r>
        <w:rPr>
          <w:rFonts w:ascii="Calibri" w:hAnsi="Calibri"/>
          <w:sz w:val="20"/>
        </w:rPr>
        <w:t>la</w:t>
      </w:r>
      <w:r>
        <w:rPr>
          <w:rFonts w:ascii="Calibri" w:hAnsi="Calibri"/>
          <w:spacing w:val="-1"/>
          <w:sz w:val="20"/>
        </w:rPr>
        <w:t> </w:t>
      </w:r>
      <w:r>
        <w:rPr>
          <w:rFonts w:ascii="Calibri" w:hAnsi="Calibri"/>
          <w:sz w:val="20"/>
        </w:rPr>
        <w:t>contratación.</w:t>
      </w:r>
      <w:r>
        <w:rPr>
          <w:rFonts w:ascii="Calibri" w:hAnsi="Calibri"/>
          <w:spacing w:val="-2"/>
          <w:sz w:val="20"/>
        </w:rPr>
        <w:t> </w:t>
      </w:r>
      <w:r>
        <w:rPr>
          <w:rFonts w:ascii="Calibri" w:hAnsi="Calibri"/>
          <w:sz w:val="20"/>
        </w:rPr>
        <w:t>En</w:t>
      </w:r>
      <w:r>
        <w:rPr>
          <w:rFonts w:ascii="Calibri" w:hAnsi="Calibri"/>
          <w:spacing w:val="-1"/>
          <w:sz w:val="20"/>
        </w:rPr>
        <w:t> </w:t>
      </w:r>
      <w:r>
        <w:rPr>
          <w:rFonts w:ascii="Calibri" w:hAnsi="Calibri"/>
          <w:sz w:val="20"/>
        </w:rPr>
        <w:t>la práctica,</w:t>
      </w:r>
      <w:r>
        <w:rPr>
          <w:rFonts w:ascii="Calibri" w:hAnsi="Calibri"/>
          <w:spacing w:val="-3"/>
          <w:sz w:val="20"/>
        </w:rPr>
        <w:t> </w:t>
      </w:r>
      <w:r>
        <w:rPr>
          <w:rFonts w:ascii="Calibri" w:hAnsi="Calibri"/>
          <w:sz w:val="20"/>
        </w:rPr>
        <w:t>EMTSAM</w:t>
      </w:r>
      <w:r>
        <w:rPr>
          <w:rFonts w:ascii="Calibri" w:hAnsi="Calibri"/>
          <w:spacing w:val="-2"/>
          <w:sz w:val="20"/>
        </w:rPr>
        <w:t> </w:t>
      </w:r>
      <w:r>
        <w:rPr>
          <w:rFonts w:ascii="Calibri" w:hAnsi="Calibri"/>
          <w:sz w:val="20"/>
        </w:rPr>
        <w:t>asegura</w:t>
      </w:r>
      <w:r>
        <w:rPr>
          <w:rFonts w:ascii="Calibri" w:hAnsi="Calibri"/>
          <w:spacing w:val="-1"/>
          <w:sz w:val="20"/>
        </w:rPr>
        <w:t> </w:t>
      </w:r>
      <w:r>
        <w:rPr>
          <w:rFonts w:ascii="Calibri" w:hAnsi="Calibri"/>
          <w:sz w:val="20"/>
        </w:rPr>
        <w:t>con</w:t>
      </w:r>
      <w:r>
        <w:rPr>
          <w:rFonts w:ascii="Calibri" w:hAnsi="Calibri"/>
          <w:spacing w:val="-3"/>
          <w:sz w:val="20"/>
        </w:rPr>
        <w:t> </w:t>
      </w:r>
      <w:r>
        <w:rPr>
          <w:rFonts w:ascii="Calibri" w:hAnsi="Calibri"/>
          <w:sz w:val="20"/>
        </w:rPr>
        <w:t>este control que ninguna adjudicación sea formalizada sin que el contratista acredite su compromiso con la igualdad de género, reforzando así el cumplimiento de la normativa vigente en todos los contratos.</w:t>
      </w:r>
    </w:p>
    <w:p>
      <w:pPr>
        <w:pStyle w:val="ListParagraph"/>
        <w:numPr>
          <w:ilvl w:val="1"/>
          <w:numId w:val="21"/>
        </w:numPr>
        <w:tabs>
          <w:tab w:pos="2564" w:val="left" w:leader="none"/>
        </w:tabs>
        <w:spacing w:line="256" w:lineRule="auto" w:before="148" w:after="0"/>
        <w:ind w:left="2251" w:right="2020" w:firstLine="0"/>
        <w:jc w:val="both"/>
        <w:rPr>
          <w:rFonts w:ascii="Calibri" w:hAnsi="Calibri"/>
          <w:sz w:val="20"/>
        </w:rPr>
      </w:pPr>
      <w:r>
        <w:rPr>
          <w:rFonts w:ascii="Calibri" w:hAnsi="Calibri"/>
          <w:sz w:val="20"/>
        </w:rPr>
        <w:t>Por</w:t>
      </w:r>
      <w:r>
        <w:rPr>
          <w:rFonts w:ascii="Calibri" w:hAnsi="Calibri"/>
          <w:spacing w:val="-3"/>
          <w:sz w:val="20"/>
        </w:rPr>
        <w:t> </w:t>
      </w:r>
      <w:r>
        <w:rPr>
          <w:rFonts w:ascii="Calibri" w:hAnsi="Calibri"/>
          <w:sz w:val="20"/>
        </w:rPr>
        <w:t>último,</w:t>
      </w:r>
      <w:r>
        <w:rPr>
          <w:rFonts w:ascii="Calibri" w:hAnsi="Calibri"/>
          <w:spacing w:val="-3"/>
          <w:sz w:val="20"/>
        </w:rPr>
        <w:t> </w:t>
      </w:r>
      <w:r>
        <w:rPr>
          <w:rFonts w:ascii="Calibri" w:hAnsi="Calibri"/>
          <w:sz w:val="20"/>
        </w:rPr>
        <w:t>señalar, en</w:t>
      </w:r>
      <w:r>
        <w:rPr>
          <w:rFonts w:ascii="Calibri" w:hAnsi="Calibri"/>
          <w:spacing w:val="-3"/>
          <w:sz w:val="20"/>
        </w:rPr>
        <w:t> </w:t>
      </w:r>
      <w:r>
        <w:rPr>
          <w:rFonts w:ascii="Calibri" w:hAnsi="Calibri"/>
          <w:sz w:val="20"/>
        </w:rPr>
        <w:t>cuanto a las</w:t>
      </w:r>
      <w:r>
        <w:rPr>
          <w:rFonts w:ascii="Calibri" w:hAnsi="Calibri"/>
          <w:spacing w:val="-2"/>
          <w:sz w:val="20"/>
        </w:rPr>
        <w:t> </w:t>
      </w:r>
      <w:r>
        <w:rPr>
          <w:rFonts w:ascii="Calibri" w:hAnsi="Calibri"/>
          <w:sz w:val="20"/>
        </w:rPr>
        <w:t>condiciones</w:t>
      </w:r>
      <w:r>
        <w:rPr>
          <w:rFonts w:ascii="Calibri" w:hAnsi="Calibri"/>
          <w:spacing w:val="-3"/>
          <w:sz w:val="20"/>
        </w:rPr>
        <w:t> </w:t>
      </w:r>
      <w:r>
        <w:rPr>
          <w:rFonts w:ascii="Calibri" w:hAnsi="Calibri"/>
          <w:sz w:val="20"/>
        </w:rPr>
        <w:t>especiales</w:t>
      </w:r>
      <w:r>
        <w:rPr>
          <w:rFonts w:ascii="Calibri" w:hAnsi="Calibri"/>
          <w:spacing w:val="-2"/>
          <w:sz w:val="20"/>
        </w:rPr>
        <w:t> </w:t>
      </w:r>
      <w:r>
        <w:rPr>
          <w:rFonts w:ascii="Calibri" w:hAnsi="Calibri"/>
          <w:sz w:val="20"/>
        </w:rPr>
        <w:t>de</w:t>
      </w:r>
      <w:r>
        <w:rPr>
          <w:rFonts w:ascii="Calibri" w:hAnsi="Calibri"/>
          <w:spacing w:val="-2"/>
          <w:sz w:val="20"/>
        </w:rPr>
        <w:t> </w:t>
      </w:r>
      <w:r>
        <w:rPr>
          <w:rFonts w:ascii="Calibri" w:hAnsi="Calibri"/>
          <w:sz w:val="20"/>
        </w:rPr>
        <w:t>ejecución</w:t>
      </w:r>
      <w:r>
        <w:rPr>
          <w:rFonts w:ascii="Calibri" w:hAnsi="Calibri"/>
          <w:spacing w:val="-2"/>
          <w:sz w:val="20"/>
        </w:rPr>
        <w:t> </w:t>
      </w:r>
      <w:r>
        <w:rPr>
          <w:rFonts w:ascii="Calibri" w:hAnsi="Calibri"/>
          <w:sz w:val="20"/>
        </w:rPr>
        <w:t>previstas</w:t>
      </w:r>
      <w:r>
        <w:rPr>
          <w:rFonts w:ascii="Calibri" w:hAnsi="Calibri"/>
          <w:spacing w:val="-6"/>
          <w:sz w:val="20"/>
        </w:rPr>
        <w:t> </w:t>
      </w:r>
      <w:r>
        <w:rPr>
          <w:rFonts w:ascii="Calibri" w:hAnsi="Calibri"/>
          <w:sz w:val="20"/>
        </w:rPr>
        <w:t>en</w:t>
      </w:r>
      <w:r>
        <w:rPr>
          <w:rFonts w:ascii="Calibri" w:hAnsi="Calibri"/>
          <w:spacing w:val="-3"/>
          <w:sz w:val="20"/>
        </w:rPr>
        <w:t> </w:t>
      </w:r>
      <w:r>
        <w:rPr>
          <w:rFonts w:ascii="Calibri" w:hAnsi="Calibri"/>
          <w:sz w:val="20"/>
        </w:rPr>
        <w:t>el artículo 202 de la LCSP, la normativa solo exige introducir al menos una condición de esta naturaleza, vinculada al objeto del contrato. En este sentido EMTSAM, cumple rigurosamente con esta exigencia legal. En el caso de las licitaciones examinadas se ha incluido</w:t>
      </w:r>
      <w:r>
        <w:rPr>
          <w:rFonts w:ascii="Calibri" w:hAnsi="Calibri"/>
          <w:spacing w:val="-7"/>
          <w:sz w:val="20"/>
        </w:rPr>
        <w:t> </w:t>
      </w:r>
      <w:r>
        <w:rPr>
          <w:rFonts w:ascii="Calibri" w:hAnsi="Calibri"/>
          <w:sz w:val="20"/>
        </w:rPr>
        <w:t>una</w:t>
      </w:r>
      <w:r>
        <w:rPr>
          <w:rFonts w:ascii="Calibri" w:hAnsi="Calibri"/>
          <w:spacing w:val="-11"/>
          <w:sz w:val="20"/>
        </w:rPr>
        <w:t> </w:t>
      </w:r>
      <w:r>
        <w:rPr>
          <w:rFonts w:ascii="Calibri" w:hAnsi="Calibri"/>
          <w:sz w:val="20"/>
        </w:rPr>
        <w:t>condición</w:t>
      </w:r>
      <w:r>
        <w:rPr>
          <w:rFonts w:ascii="Calibri" w:hAnsi="Calibri"/>
          <w:spacing w:val="-9"/>
          <w:sz w:val="20"/>
        </w:rPr>
        <w:t> </w:t>
      </w:r>
      <w:r>
        <w:rPr>
          <w:rFonts w:ascii="Calibri" w:hAnsi="Calibri"/>
          <w:sz w:val="20"/>
        </w:rPr>
        <w:t>especial</w:t>
      </w:r>
      <w:r>
        <w:rPr>
          <w:rFonts w:ascii="Calibri" w:hAnsi="Calibri"/>
          <w:spacing w:val="-8"/>
          <w:sz w:val="20"/>
        </w:rPr>
        <w:t> </w:t>
      </w:r>
      <w:r>
        <w:rPr>
          <w:rFonts w:ascii="Calibri" w:hAnsi="Calibri"/>
          <w:sz w:val="20"/>
        </w:rPr>
        <w:t>de</w:t>
      </w:r>
      <w:r>
        <w:rPr>
          <w:rFonts w:ascii="Calibri" w:hAnsi="Calibri"/>
          <w:spacing w:val="-7"/>
          <w:sz w:val="20"/>
        </w:rPr>
        <w:t> </w:t>
      </w:r>
      <w:r>
        <w:rPr>
          <w:rFonts w:ascii="Calibri" w:hAnsi="Calibri"/>
          <w:sz w:val="20"/>
        </w:rPr>
        <w:t>ejecución</w:t>
      </w:r>
      <w:r>
        <w:rPr>
          <w:rFonts w:ascii="Calibri" w:hAnsi="Calibri"/>
          <w:spacing w:val="-9"/>
          <w:sz w:val="20"/>
        </w:rPr>
        <w:t> </w:t>
      </w:r>
      <w:r>
        <w:rPr>
          <w:rFonts w:ascii="Calibri" w:hAnsi="Calibri"/>
          <w:sz w:val="20"/>
        </w:rPr>
        <w:t>de</w:t>
      </w:r>
      <w:r>
        <w:rPr>
          <w:rFonts w:ascii="Calibri" w:hAnsi="Calibri"/>
          <w:spacing w:val="-7"/>
          <w:sz w:val="20"/>
        </w:rPr>
        <w:t> </w:t>
      </w:r>
      <w:r>
        <w:rPr>
          <w:rFonts w:ascii="Calibri" w:hAnsi="Calibri"/>
          <w:sz w:val="20"/>
        </w:rPr>
        <w:t>carácter</w:t>
      </w:r>
      <w:r>
        <w:rPr>
          <w:rFonts w:ascii="Calibri" w:hAnsi="Calibri"/>
          <w:spacing w:val="-9"/>
          <w:sz w:val="20"/>
        </w:rPr>
        <w:t> </w:t>
      </w:r>
      <w:r>
        <w:rPr>
          <w:rFonts w:ascii="Calibri" w:hAnsi="Calibri"/>
          <w:sz w:val="20"/>
        </w:rPr>
        <w:t>medioambiental,</w:t>
      </w:r>
      <w:r>
        <w:rPr>
          <w:rFonts w:ascii="Calibri" w:hAnsi="Calibri"/>
          <w:spacing w:val="-8"/>
          <w:sz w:val="20"/>
        </w:rPr>
        <w:t> </w:t>
      </w:r>
      <w:r>
        <w:rPr>
          <w:rFonts w:ascii="Calibri" w:hAnsi="Calibri"/>
          <w:sz w:val="20"/>
        </w:rPr>
        <w:t>por</w:t>
      </w:r>
      <w:r>
        <w:rPr>
          <w:rFonts w:ascii="Calibri" w:hAnsi="Calibri"/>
          <w:spacing w:val="-11"/>
          <w:sz w:val="20"/>
        </w:rPr>
        <w:t> </w:t>
      </w:r>
      <w:r>
        <w:rPr>
          <w:rFonts w:ascii="Calibri" w:hAnsi="Calibri"/>
          <w:sz w:val="20"/>
        </w:rPr>
        <w:t>considerarse la más adecuada dada la naturaleza técnica y ambiental del contrato. Esta decisión se ampara</w:t>
      </w:r>
      <w:r>
        <w:rPr>
          <w:rFonts w:ascii="Calibri" w:hAnsi="Calibri"/>
          <w:spacing w:val="-2"/>
          <w:sz w:val="20"/>
        </w:rPr>
        <w:t> </w:t>
      </w:r>
      <w:r>
        <w:rPr>
          <w:rFonts w:ascii="Calibri" w:hAnsi="Calibri"/>
          <w:sz w:val="20"/>
        </w:rPr>
        <w:t>en</w:t>
      </w:r>
      <w:r>
        <w:rPr>
          <w:rFonts w:ascii="Calibri" w:hAnsi="Calibri"/>
          <w:spacing w:val="-6"/>
          <w:sz w:val="20"/>
        </w:rPr>
        <w:t> </w:t>
      </w:r>
      <w:r>
        <w:rPr>
          <w:rFonts w:ascii="Calibri" w:hAnsi="Calibri"/>
          <w:sz w:val="20"/>
        </w:rPr>
        <w:t>que</w:t>
      </w:r>
      <w:r>
        <w:rPr>
          <w:rFonts w:ascii="Calibri" w:hAnsi="Calibri"/>
          <w:spacing w:val="-6"/>
          <w:sz w:val="20"/>
        </w:rPr>
        <w:t> </w:t>
      </w:r>
      <w:r>
        <w:rPr>
          <w:rFonts w:ascii="Calibri" w:hAnsi="Calibri"/>
          <w:sz w:val="20"/>
        </w:rPr>
        <w:t>el</w:t>
      </w:r>
      <w:r>
        <w:rPr>
          <w:rFonts w:ascii="Calibri" w:hAnsi="Calibri"/>
          <w:spacing w:val="-5"/>
          <w:sz w:val="20"/>
        </w:rPr>
        <w:t> </w:t>
      </w:r>
      <w:r>
        <w:rPr>
          <w:rFonts w:ascii="Calibri" w:hAnsi="Calibri"/>
          <w:sz w:val="20"/>
        </w:rPr>
        <w:t>objeto</w:t>
      </w:r>
      <w:r>
        <w:rPr>
          <w:rFonts w:ascii="Calibri" w:hAnsi="Calibri"/>
          <w:spacing w:val="-2"/>
          <w:sz w:val="20"/>
        </w:rPr>
        <w:t> </w:t>
      </w:r>
      <w:r>
        <w:rPr>
          <w:rFonts w:ascii="Calibri" w:hAnsi="Calibri"/>
          <w:sz w:val="20"/>
        </w:rPr>
        <w:t>del</w:t>
      </w:r>
      <w:r>
        <w:rPr>
          <w:rFonts w:ascii="Calibri" w:hAnsi="Calibri"/>
          <w:spacing w:val="-5"/>
          <w:sz w:val="20"/>
        </w:rPr>
        <w:t> </w:t>
      </w:r>
      <w:r>
        <w:rPr>
          <w:rFonts w:ascii="Calibri" w:hAnsi="Calibri"/>
          <w:sz w:val="20"/>
        </w:rPr>
        <w:t>contrato</w:t>
      </w:r>
      <w:r>
        <w:rPr>
          <w:rFonts w:ascii="Calibri" w:hAnsi="Calibri"/>
          <w:spacing w:val="-2"/>
          <w:sz w:val="20"/>
        </w:rPr>
        <w:t> </w:t>
      </w:r>
      <w:r>
        <w:rPr>
          <w:rFonts w:ascii="Calibri" w:hAnsi="Calibri"/>
          <w:sz w:val="20"/>
        </w:rPr>
        <w:t>de</w:t>
      </w:r>
      <w:r>
        <w:rPr>
          <w:rFonts w:ascii="Calibri" w:hAnsi="Calibri"/>
          <w:spacing w:val="-2"/>
          <w:sz w:val="20"/>
        </w:rPr>
        <w:t> </w:t>
      </w:r>
      <w:r>
        <w:rPr>
          <w:rFonts w:ascii="Calibri" w:hAnsi="Calibri"/>
          <w:sz w:val="20"/>
        </w:rPr>
        <w:t>las</w:t>
      </w:r>
      <w:r>
        <w:rPr>
          <w:rFonts w:ascii="Calibri" w:hAnsi="Calibri"/>
          <w:spacing w:val="-3"/>
          <w:sz w:val="20"/>
        </w:rPr>
        <w:t> </w:t>
      </w:r>
      <w:r>
        <w:rPr>
          <w:rFonts w:ascii="Calibri" w:hAnsi="Calibri"/>
          <w:sz w:val="20"/>
        </w:rPr>
        <w:t>licitaciones</w:t>
      </w:r>
      <w:r>
        <w:rPr>
          <w:rFonts w:ascii="Calibri" w:hAnsi="Calibri"/>
          <w:spacing w:val="-3"/>
          <w:sz w:val="20"/>
        </w:rPr>
        <w:t> </w:t>
      </w:r>
      <w:r>
        <w:rPr>
          <w:rFonts w:ascii="Calibri" w:hAnsi="Calibri"/>
          <w:sz w:val="20"/>
        </w:rPr>
        <w:t>objeto</w:t>
      </w:r>
      <w:r>
        <w:rPr>
          <w:rFonts w:ascii="Calibri" w:hAnsi="Calibri"/>
          <w:spacing w:val="-4"/>
          <w:sz w:val="20"/>
        </w:rPr>
        <w:t> </w:t>
      </w:r>
      <w:r>
        <w:rPr>
          <w:rFonts w:ascii="Calibri" w:hAnsi="Calibri"/>
          <w:sz w:val="20"/>
        </w:rPr>
        <w:t>de</w:t>
      </w:r>
      <w:r>
        <w:rPr>
          <w:rFonts w:ascii="Calibri" w:hAnsi="Calibri"/>
          <w:spacing w:val="-2"/>
          <w:sz w:val="20"/>
        </w:rPr>
        <w:t> </w:t>
      </w:r>
      <w:r>
        <w:rPr>
          <w:rFonts w:ascii="Calibri" w:hAnsi="Calibri"/>
          <w:sz w:val="20"/>
        </w:rPr>
        <w:t>la</w:t>
      </w:r>
      <w:r>
        <w:rPr>
          <w:rFonts w:ascii="Calibri" w:hAnsi="Calibri"/>
          <w:spacing w:val="-7"/>
          <w:sz w:val="20"/>
        </w:rPr>
        <w:t> </w:t>
      </w:r>
      <w:r>
        <w:rPr>
          <w:rFonts w:ascii="Calibri" w:hAnsi="Calibri"/>
          <w:sz w:val="20"/>
        </w:rPr>
        <w:t>muestra,</w:t>
      </w:r>
      <w:r>
        <w:rPr>
          <w:rFonts w:ascii="Calibri" w:hAnsi="Calibri"/>
          <w:spacing w:val="-3"/>
          <w:sz w:val="20"/>
        </w:rPr>
        <w:t> </w:t>
      </w:r>
      <w:r>
        <w:rPr>
          <w:rFonts w:ascii="Calibri" w:hAnsi="Calibri"/>
          <w:sz w:val="20"/>
        </w:rPr>
        <w:t>se</w:t>
      </w:r>
      <w:r>
        <w:rPr>
          <w:rFonts w:ascii="Calibri" w:hAnsi="Calibri"/>
          <w:spacing w:val="-7"/>
          <w:sz w:val="20"/>
        </w:rPr>
        <w:t> </w:t>
      </w:r>
      <w:r>
        <w:rPr>
          <w:rFonts w:ascii="Calibri" w:hAnsi="Calibri"/>
          <w:sz w:val="20"/>
        </w:rPr>
        <w:t>prestaban mejor a una cláusula ambiental específica, sin perjuicio de que el compromiso con la igualdad ya quede garantizado por las medidas descritas en los puntos anteriores. Cabe destacar que la LCSP no obliga a acumular múltiples condiciones especiales de ejecución, sino al menos una, por lo que no puede inferirse incumplimiento alguno por el hecho de que la condición escogida sea medioambiental.</w:t>
      </w:r>
    </w:p>
    <w:p>
      <w:pPr>
        <w:spacing w:line="256" w:lineRule="auto" w:before="146"/>
        <w:ind w:left="2251" w:right="2023" w:firstLine="0"/>
        <w:jc w:val="both"/>
        <w:rPr>
          <w:rFonts w:ascii="Calibri" w:hAnsi="Calibri"/>
          <w:sz w:val="20"/>
        </w:rPr>
      </w:pPr>
      <w:r>
        <w:rPr>
          <w:rFonts w:ascii="Calibri" w:hAnsi="Calibri"/>
          <w:sz w:val="20"/>
        </w:rPr>
        <w:t>Por todo lo expuesto se considera que las licitaciones de EMTSAM sí incorporan medidas efectivas de promoción de la igualdad de oportunidades y de género, aunque éstas adopten formas distintas, pero igualmente válidas a las señaladas en la observación del Tribunal de Cuentas.</w:t>
      </w:r>
    </w:p>
    <w:p>
      <w:pPr>
        <w:spacing w:line="256" w:lineRule="auto" w:before="146"/>
        <w:ind w:left="2251" w:right="2021" w:firstLine="0"/>
        <w:jc w:val="both"/>
        <w:rPr>
          <w:rFonts w:ascii="Calibri" w:hAnsi="Calibri"/>
          <w:sz w:val="20"/>
        </w:rPr>
      </w:pPr>
      <w:r>
        <w:rPr>
          <w:rFonts w:ascii="Calibri" w:hAnsi="Calibri"/>
          <w:sz w:val="20"/>
        </w:rPr>
        <w:t>Así, a través del Anexo VIII del pliego (declaración y compromiso expreso de las empresas licitadoras con la igualdad), de los criterios de desempate sociales legales aplicados (cláusula 11.6 o 147.2 de la LCSP), y de la exigencia preceptiva de disponer de un plan de igualdad a las empresas adjudicatarias (en caso de estar en el umbral que se establece en la norma), se estima que EMTSAM da pleno cumplimiento a la normativa en materia de igualdad en la contratación</w:t>
      </w:r>
      <w:r>
        <w:rPr>
          <w:rFonts w:ascii="Calibri" w:hAnsi="Calibri"/>
          <w:spacing w:val="-1"/>
          <w:sz w:val="20"/>
        </w:rPr>
        <w:t> </w:t>
      </w:r>
      <w:r>
        <w:rPr>
          <w:rFonts w:ascii="Calibri" w:hAnsi="Calibri"/>
          <w:sz w:val="20"/>
        </w:rPr>
        <w:t>pública. Por</w:t>
      </w:r>
      <w:r>
        <w:rPr>
          <w:rFonts w:ascii="Calibri" w:hAnsi="Calibri"/>
          <w:spacing w:val="-1"/>
          <w:sz w:val="20"/>
        </w:rPr>
        <w:t> </w:t>
      </w:r>
      <w:r>
        <w:rPr>
          <w:rFonts w:ascii="Calibri" w:hAnsi="Calibri"/>
          <w:sz w:val="20"/>
        </w:rPr>
        <w:t>lo tanto, la afirmación de que el Ayuntamiento de Málaga (y sus entidades, como EMTSAM) no habría incorporado tales consideraciones de igualdad en sus pliegos a nuestro entender no resulta ajustada a la realidad de los expedientes examinados, motivo por el cual se formula la presente alegación para la rectificación de la observación correspondiente en el informe definitivo.</w:t>
      </w:r>
    </w:p>
    <w:p>
      <w:pPr>
        <w:pStyle w:val="BodyText"/>
        <w:rPr>
          <w:rFonts w:ascii="Calibri"/>
          <w:sz w:val="20"/>
        </w:rPr>
      </w:pPr>
    </w:p>
    <w:p>
      <w:pPr>
        <w:pStyle w:val="BodyText"/>
        <w:rPr>
          <w:rFonts w:ascii="Calibri"/>
          <w:sz w:val="20"/>
        </w:rPr>
      </w:pPr>
    </w:p>
    <w:p>
      <w:pPr>
        <w:pStyle w:val="BodyText"/>
        <w:spacing w:before="226"/>
        <w:rPr>
          <w:rFonts w:ascii="Calibri"/>
          <w:sz w:val="20"/>
        </w:rPr>
      </w:pPr>
    </w:p>
    <w:p>
      <w:pPr>
        <w:spacing w:line="256" w:lineRule="auto" w:before="0"/>
        <w:ind w:left="1925" w:right="2022" w:firstLine="0"/>
        <w:jc w:val="both"/>
        <w:rPr>
          <w:rFonts w:ascii="Calibri" w:hAnsi="Calibri"/>
          <w:sz w:val="20"/>
        </w:rPr>
      </w:pPr>
      <w:r>
        <w:rPr>
          <w:rFonts w:ascii="Calibri" w:hAnsi="Calibri"/>
          <w:sz w:val="20"/>
        </w:rPr>
        <w:t>Por todo ello, se solicita que el Tribunal de Cuentas tenga por justificadas las actuaciones expuestas y, en consecuencia, proceda a la revisión, matización o supresión de las observaciones incluidas en el anteproyecto, reflejando en el informe definitivo la correcta gestión desarrollada por el Ayuntamiento de Málaga y la EMTSAM en el marco de la fiscalización sobre las medidas adoptadas para lograr una movilidad sostenible en el transporte público colectivo.</w:t>
      </w:r>
    </w:p>
    <w:p>
      <w:pPr>
        <w:pStyle w:val="BodyText"/>
        <w:rPr>
          <w:rFonts w:ascii="Calibri"/>
          <w:sz w:val="20"/>
        </w:rPr>
      </w:pPr>
    </w:p>
    <w:p>
      <w:pPr>
        <w:pStyle w:val="BodyText"/>
        <w:rPr>
          <w:rFonts w:ascii="Calibri"/>
          <w:sz w:val="20"/>
        </w:rPr>
      </w:pPr>
    </w:p>
    <w:p>
      <w:pPr>
        <w:pStyle w:val="BodyText"/>
        <w:spacing w:before="132" w:after="1"/>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2061" name="Group 2061"/>
                <wp:cNvGraphicFramePr>
                  <a:graphicFrameLocks/>
                </wp:cNvGraphicFramePr>
                <a:graphic>
                  <a:graphicData uri="http://schemas.microsoft.com/office/word/2010/wordprocessingGroup">
                    <wpg:wgp>
                      <wpg:cNvPr id="2061" name="Group 2061"/>
                      <wpg:cNvGrpSpPr/>
                      <wpg:grpSpPr>
                        <a:xfrm>
                          <a:off x="0" y="0"/>
                          <a:ext cx="1870075" cy="6350"/>
                          <a:chExt cx="1870075" cy="6350"/>
                        </a:xfrm>
                      </wpg:grpSpPr>
                      <wps:wsp>
                        <wps:cNvPr id="2062" name="Graphic 2062"/>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490" coordorigin="0,0" coordsize="2945,10">
                <v:rect style="position:absolute;left:0;top:0;width:2945;height:10" id="docshape1491"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2063" name="Group 2063"/>
                <wp:cNvGraphicFramePr>
                  <a:graphicFrameLocks/>
                </wp:cNvGraphicFramePr>
                <a:graphic>
                  <a:graphicData uri="http://schemas.microsoft.com/office/word/2010/wordprocessingGroup">
                    <wpg:wgp>
                      <wpg:cNvPr id="2063" name="Group 2063"/>
                      <wpg:cNvGrpSpPr/>
                      <wpg:grpSpPr>
                        <a:xfrm>
                          <a:off x="0" y="0"/>
                          <a:ext cx="841375" cy="6350"/>
                          <a:chExt cx="841375" cy="6350"/>
                        </a:xfrm>
                      </wpg:grpSpPr>
                      <wps:wsp>
                        <wps:cNvPr id="2064" name="Graphic 2064"/>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492" coordorigin="0,0" coordsize="1325,10">
                <v:rect style="position:absolute;left:0;top:0;width:1325;height:10" id="docshape1493"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default" r:id="rId333"/>
          <w:headerReference w:type="even" r:id="rId334"/>
          <w:footerReference w:type="default" r:id="rId335"/>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57600">
                <wp:simplePos x="0" y="0"/>
                <wp:positionH relativeFrom="page">
                  <wp:posOffset>4332186</wp:posOffset>
                </wp:positionH>
                <wp:positionV relativeFrom="paragraph">
                  <wp:posOffset>1412477</wp:posOffset>
                </wp:positionV>
                <wp:extent cx="53340" cy="100330"/>
                <wp:effectExtent l="0" t="0" r="0" b="0"/>
                <wp:wrapNone/>
                <wp:docPr id="2065" name="Textbox 2065"/>
                <wp:cNvGraphicFramePr>
                  <a:graphicFrameLocks/>
                </wp:cNvGraphicFramePr>
                <a:graphic>
                  <a:graphicData uri="http://schemas.microsoft.com/office/word/2010/wordprocessingShape">
                    <wps:wsp>
                      <wps:cNvPr id="2065" name="Textbox 2065"/>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58880" type="#_x0000_t202" id="docshape1494"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99"/>
        <w:rPr>
          <w:sz w:val="20"/>
        </w:rPr>
      </w:pPr>
    </w:p>
    <w:tbl>
      <w:tblPr>
        <w:tblW w:w="0" w:type="auto"/>
        <w:jc w:val="left"/>
        <w:tblInd w:w="13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453"/>
        <w:gridCol w:w="2345"/>
        <w:gridCol w:w="770"/>
        <w:gridCol w:w="541"/>
        <w:gridCol w:w="1022"/>
        <w:gridCol w:w="817"/>
        <w:gridCol w:w="1247"/>
        <w:gridCol w:w="101"/>
        <w:gridCol w:w="1038"/>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453" w:type="dxa"/>
            <w:tcBorders>
              <w:left w:val="single" w:sz="6" w:space="0" w:color="000000"/>
              <w:bottom w:val="single" w:sz="6" w:space="0" w:color="000000"/>
              <w:right w:val="nil"/>
            </w:tcBorders>
          </w:tcPr>
          <w:p>
            <w:pPr>
              <w:pStyle w:val="TableParagraph"/>
              <w:rPr>
                <w:rFonts w:ascii="Times New Roman"/>
                <w:sz w:val="14"/>
              </w:rPr>
            </w:pPr>
          </w:p>
        </w:tc>
        <w:tc>
          <w:tcPr>
            <w:tcW w:w="2345" w:type="dxa"/>
            <w:tcBorders>
              <w:top w:val="nil"/>
              <w:left w:val="nil"/>
              <w:bottom w:val="single" w:sz="6" w:space="0" w:color="000000"/>
              <w:right w:val="nil"/>
            </w:tcBorders>
            <w:shd w:val="clear" w:color="auto" w:fill="000000"/>
          </w:tcPr>
          <w:p>
            <w:pPr>
              <w:pStyle w:val="TableParagraph"/>
              <w:rPr>
                <w:rFonts w:ascii="Times New Roman"/>
                <w:sz w:val="14"/>
              </w:rPr>
            </w:pPr>
          </w:p>
        </w:tc>
        <w:tc>
          <w:tcPr>
            <w:tcW w:w="1311"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2066" name="Image 2066"/>
                  <wp:cNvGraphicFramePr>
                    <a:graphicFrameLocks/>
                  </wp:cNvGraphicFramePr>
                  <a:graphic>
                    <a:graphicData uri="http://schemas.openxmlformats.org/drawingml/2006/picture">
                      <pic:pic>
                        <pic:nvPicPr>
                          <pic:cNvPr id="2066" name="Image 2066"/>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2067" name="Image 2067"/>
                  <wp:cNvGraphicFramePr>
                    <a:graphicFrameLocks/>
                  </wp:cNvGraphicFramePr>
                  <a:graphic>
                    <a:graphicData uri="http://schemas.openxmlformats.org/drawingml/2006/picture">
                      <pic:pic>
                        <pic:nvPicPr>
                          <pic:cNvPr id="2067" name="Image 2067"/>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c>
          <w:tcPr>
            <w:tcW w:w="101" w:type="dxa"/>
            <w:vMerge w:val="restart"/>
            <w:tcBorders>
              <w:top w:val="nil"/>
              <w:bottom w:val="single" w:sz="6" w:space="0" w:color="000000"/>
              <w:right w:val="nil"/>
            </w:tcBorders>
          </w:tcPr>
          <w:p>
            <w:pPr>
              <w:pStyle w:val="TableParagraph"/>
              <w:rPr>
                <w:rFonts w:ascii="Times New Roman"/>
                <w:sz w:val="18"/>
              </w:rPr>
            </w:pPr>
          </w:p>
        </w:tc>
        <w:tc>
          <w:tcPr>
            <w:tcW w:w="1038" w:type="dxa"/>
            <w:vMerge w:val="restart"/>
            <w:tcBorders>
              <w:top w:val="nil"/>
              <w:left w:val="nil"/>
              <w:bottom w:val="nil"/>
              <w:right w:val="nil"/>
            </w:tcBorders>
          </w:tcPr>
          <w:p>
            <w:pPr>
              <w:pStyle w:val="TableParagraph"/>
              <w:rPr>
                <w:rFonts w:ascii="Times New Roman"/>
                <w:sz w:val="18"/>
              </w:rPr>
            </w:pP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mc:AlternateContent>
                <mc:Choice Requires="wps">
                  <w:drawing>
                    <wp:anchor distT="0" distB="0" distL="0" distR="0" allowOverlap="1" layoutInCell="1" locked="0" behindDoc="1" simplePos="0" relativeHeight="474458112">
                      <wp:simplePos x="0" y="0"/>
                      <wp:positionH relativeFrom="column">
                        <wp:posOffset>-1298447</wp:posOffset>
                      </wp:positionH>
                      <wp:positionV relativeFrom="paragraph">
                        <wp:posOffset>-144895</wp:posOffset>
                      </wp:positionV>
                      <wp:extent cx="1298575" cy="417830"/>
                      <wp:effectExtent l="0" t="0" r="0" b="0"/>
                      <wp:wrapNone/>
                      <wp:docPr id="2068" name="Group 2068"/>
                      <wp:cNvGraphicFramePr>
                        <a:graphicFrameLocks/>
                      </wp:cNvGraphicFramePr>
                      <a:graphic>
                        <a:graphicData uri="http://schemas.microsoft.com/office/word/2010/wordprocessingGroup">
                          <wpg:wgp>
                            <wpg:cNvPr id="2068" name="Group 2068"/>
                            <wpg:cNvGrpSpPr/>
                            <wpg:grpSpPr>
                              <a:xfrm>
                                <a:off x="0" y="0"/>
                                <a:ext cx="1298575" cy="417830"/>
                                <a:chExt cx="1298575" cy="417830"/>
                              </a:xfrm>
                            </wpg:grpSpPr>
                            <wps:wsp>
                              <wps:cNvPr id="2069" name="Graphic 2069"/>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2070" name="Image 2070"/>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02.239998pt;margin-top:-11.409081pt;width:102.25pt;height:32.9pt;mso-position-horizontal-relative:column;mso-position-vertical-relative:paragraph;z-index:-28858368" id="docshapegroup1495" coordorigin="-2045,-228" coordsize="2045,658">
                      <v:shape style="position:absolute;left:-2045;top:-229;width:2045;height:658" id="docshape1496" coordorigin="-2045,-228" coordsize="2045,658" path="m0,-228l-2045,-228,-2045,-10,-2045,-7,-2045,429,0,429,0,-7,0,-10,0,-228xe" filled="true" fillcolor="#cccccc" stroked="false">
                        <v:path arrowok="t"/>
                        <v:fill type="solid"/>
                      </v:shape>
                      <v:shape style="position:absolute;left:-1973;top:-154;width:1896;height:327" type="#_x0000_t75" id="docshape1497" stroked="false">
                        <v:imagedata r:id="rId219" o:title=""/>
                      </v:shape>
                      <w10:wrap type="none"/>
                    </v:group>
                  </w:pict>
                </mc:Fallback>
              </mc:AlternateContent>
            </w: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c>
          <w:tcPr>
            <w:tcW w:w="101" w:type="dxa"/>
            <w:vMerge/>
            <w:tcBorders>
              <w:top w:val="nil"/>
              <w:bottom w:val="single" w:sz="6" w:space="0" w:color="000000"/>
              <w:right w:val="nil"/>
            </w:tcBorders>
          </w:tcPr>
          <w:p>
            <w:pPr>
              <w:rPr>
                <w:sz w:val="2"/>
                <w:szCs w:val="2"/>
              </w:rPr>
            </w:pPr>
          </w:p>
        </w:tc>
        <w:tc>
          <w:tcPr>
            <w:tcW w:w="1038"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2071" name="Image 2071"/>
                  <wp:cNvGraphicFramePr>
                    <a:graphicFrameLocks/>
                  </wp:cNvGraphicFramePr>
                  <a:graphic>
                    <a:graphicData uri="http://schemas.openxmlformats.org/drawingml/2006/picture">
                      <pic:pic>
                        <pic:nvPicPr>
                          <pic:cNvPr id="2071" name="Image 2071"/>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2072" name="Image 2072"/>
                  <wp:cNvGraphicFramePr>
                    <a:graphicFrameLocks/>
                  </wp:cNvGraphicFramePr>
                  <a:graphic>
                    <a:graphicData uri="http://schemas.openxmlformats.org/drawingml/2006/picture">
                      <pic:pic>
                        <pic:nvPicPr>
                          <pic:cNvPr id="2072" name="Image 2072"/>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2" w:right="2"/>
              <w:jc w:val="center"/>
              <w:rPr>
                <w:rFonts w:ascii="Arial"/>
                <w:sz w:val="14"/>
              </w:rPr>
            </w:pPr>
            <w:r>
              <w:rPr>
                <w:rFonts w:ascii="Arial"/>
                <w:sz w:val="14"/>
              </w:rPr>
              <mc:AlternateContent>
                <mc:Choice Requires="wps">
                  <w:drawing>
                    <wp:anchor distT="0" distB="0" distL="0" distR="0" allowOverlap="1" layoutInCell="1" locked="0" behindDoc="1" simplePos="0" relativeHeight="474458624">
                      <wp:simplePos x="0" y="0"/>
                      <wp:positionH relativeFrom="column">
                        <wp:posOffset>1320546</wp:posOffset>
                      </wp:positionH>
                      <wp:positionV relativeFrom="paragraph">
                        <wp:posOffset>-311719</wp:posOffset>
                      </wp:positionV>
                      <wp:extent cx="734695" cy="749935"/>
                      <wp:effectExtent l="0" t="0" r="0" b="0"/>
                      <wp:wrapNone/>
                      <wp:docPr id="2073" name="Group 2073"/>
                      <wp:cNvGraphicFramePr>
                        <a:graphicFrameLocks/>
                      </wp:cNvGraphicFramePr>
                      <a:graphic>
                        <a:graphicData uri="http://schemas.microsoft.com/office/word/2010/wordprocessingGroup">
                          <wpg:wgp>
                            <wpg:cNvPr id="2073" name="Group 2073"/>
                            <wpg:cNvGrpSpPr/>
                            <wpg:grpSpPr>
                              <a:xfrm>
                                <a:off x="0" y="0"/>
                                <a:ext cx="734695" cy="749935"/>
                                <a:chExt cx="734695" cy="749935"/>
                              </a:xfrm>
                            </wpg:grpSpPr>
                            <pic:pic>
                              <pic:nvPicPr>
                                <pic:cNvPr id="2074" name="Image 2074"/>
                                <pic:cNvPicPr/>
                              </pic:nvPicPr>
                              <pic:blipFill>
                                <a:blip r:embed="rId336" cstate="print"/>
                                <a:stretch>
                                  <a:fillRect/>
                                </a:stretch>
                              </pic:blipFill>
                              <pic:spPr>
                                <a:xfrm>
                                  <a:off x="0" y="0"/>
                                  <a:ext cx="734567" cy="749030"/>
                                </a:xfrm>
                                <a:prstGeom prst="rect">
                                  <a:avLst/>
                                </a:prstGeom>
                              </pic:spPr>
                            </pic:pic>
                            <wps:wsp>
                              <wps:cNvPr id="2075" name="Graphic 2075"/>
                              <wps:cNvSpPr/>
                              <wps:spPr>
                                <a:xfrm>
                                  <a:off x="55524" y="70152"/>
                                  <a:ext cx="659765" cy="680085"/>
                                </a:xfrm>
                                <a:custGeom>
                                  <a:avLst/>
                                  <a:gdLst/>
                                  <a:ahLst/>
                                  <a:cxnLst/>
                                  <a:rect l="l" t="t" r="r" b="b"/>
                                  <a:pathLst>
                                    <a:path w="659765" h="680085">
                                      <a:moveTo>
                                        <a:pt x="659561" y="0"/>
                                      </a:moveTo>
                                      <a:lnTo>
                                        <a:pt x="0" y="0"/>
                                      </a:lnTo>
                                      <a:lnTo>
                                        <a:pt x="0" y="679488"/>
                                      </a:lnTo>
                                      <a:lnTo>
                                        <a:pt x="659561" y="679488"/>
                                      </a:lnTo>
                                      <a:lnTo>
                                        <a:pt x="65956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3.980003pt;margin-top:-24.54488pt;width:57.85pt;height:59.05pt;mso-position-horizontal-relative:column;mso-position-vertical-relative:paragraph;z-index:-28857856" id="docshapegroup1498" coordorigin="2080,-491" coordsize="1157,1181">
                      <v:shape style="position:absolute;left:2079;top:-491;width:1157;height:1180" type="#_x0000_t75" id="docshape1499" stroked="false">
                        <v:imagedata r:id="rId336" o:title=""/>
                      </v:shape>
                      <v:rect style="position:absolute;left:2167;top:-381;width:1039;height:1071" id="docshape1500" filled="true" fillcolor="#000000" stroked="false">
                        <v:fill type="solid"/>
                      </v:rect>
                      <w10:wrap type="none"/>
                    </v:group>
                  </w:pict>
                </mc:Fallback>
              </mc:AlternateContent>
            </w:r>
            <w:r>
              <w:rPr>
                <w:rFonts w:ascii="Arial"/>
                <w:spacing w:val="-2"/>
                <w:sz w:val="14"/>
              </w:rPr>
              <w:t>39/40</w:t>
            </w:r>
          </w:p>
        </w:tc>
        <w:tc>
          <w:tcPr>
            <w:tcW w:w="101" w:type="dxa"/>
            <w:vMerge/>
            <w:tcBorders>
              <w:top w:val="nil"/>
              <w:bottom w:val="single" w:sz="6" w:space="0" w:color="000000"/>
              <w:right w:val="nil"/>
            </w:tcBorders>
          </w:tcPr>
          <w:p>
            <w:pPr>
              <w:rPr>
                <w:sz w:val="2"/>
                <w:szCs w:val="2"/>
              </w:rPr>
            </w:pPr>
          </w:p>
        </w:tc>
        <w:tc>
          <w:tcPr>
            <w:tcW w:w="1038" w:type="dxa"/>
            <w:vMerge/>
            <w:tcBorders>
              <w:top w:val="nil"/>
              <w:left w:val="nil"/>
              <w:bottom w:val="nil"/>
              <w:right w:val="nil"/>
            </w:tcBorders>
          </w:tcPr>
          <w:p>
            <w:pPr>
              <w:rPr>
                <w:sz w:val="2"/>
                <w:szCs w:val="2"/>
              </w:rPr>
            </w:pP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2076" name="Image 2076"/>
                  <wp:cNvGraphicFramePr>
                    <a:graphicFrameLocks/>
                  </wp:cNvGraphicFramePr>
                  <a:graphic>
                    <a:graphicData uri="http://schemas.openxmlformats.org/drawingml/2006/picture">
                      <pic:pic>
                        <pic:nvPicPr>
                          <pic:cNvPr id="2076" name="Image 2076"/>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c>
          <w:tcPr>
            <w:tcW w:w="101" w:type="dxa"/>
            <w:vMerge/>
            <w:tcBorders>
              <w:top w:val="nil"/>
              <w:bottom w:val="single" w:sz="6" w:space="0" w:color="000000"/>
              <w:right w:val="nil"/>
            </w:tcBorders>
          </w:tcPr>
          <w:p>
            <w:pPr>
              <w:rPr>
                <w:sz w:val="2"/>
                <w:szCs w:val="2"/>
              </w:rPr>
            </w:pPr>
          </w:p>
        </w:tc>
        <w:tc>
          <w:tcPr>
            <w:tcW w:w="1038" w:type="dxa"/>
            <w:vMerge/>
            <w:tcBorders>
              <w:top w:val="nil"/>
              <w:left w:val="nil"/>
              <w:bottom w:val="nil"/>
              <w:right w:val="nil"/>
            </w:tcBorders>
          </w:tcPr>
          <w:p>
            <w:pPr>
              <w:rPr>
                <w:sz w:val="2"/>
                <w:szCs w:val="2"/>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2077" name="Image 2077"/>
                  <wp:cNvGraphicFramePr>
                    <a:graphicFrameLocks/>
                  </wp:cNvGraphicFramePr>
                  <a:graphic>
                    <a:graphicData uri="http://schemas.openxmlformats.org/drawingml/2006/picture">
                      <pic:pic>
                        <pic:nvPicPr>
                          <pic:cNvPr id="2077" name="Image 2077"/>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c>
          <w:tcPr>
            <w:tcW w:w="101" w:type="dxa"/>
            <w:vMerge/>
            <w:tcBorders>
              <w:top w:val="nil"/>
              <w:bottom w:val="single" w:sz="6" w:space="0" w:color="000000"/>
              <w:right w:val="nil"/>
            </w:tcBorders>
          </w:tcPr>
          <w:p>
            <w:pPr>
              <w:rPr>
                <w:sz w:val="2"/>
                <w:szCs w:val="2"/>
              </w:rPr>
            </w:pPr>
          </w:p>
        </w:tc>
        <w:tc>
          <w:tcPr>
            <w:tcW w:w="1038" w:type="dxa"/>
            <w:vMerge/>
            <w:tcBorders>
              <w:top w:val="nil"/>
              <w:left w:val="nil"/>
              <w:bottom w:val="nil"/>
              <w:right w:val="nil"/>
            </w:tcBorders>
          </w:tcPr>
          <w:p>
            <w:pPr>
              <w:rPr>
                <w:sz w:val="2"/>
                <w:szCs w:val="2"/>
              </w:rPr>
            </w:pPr>
          </w:p>
        </w:tc>
      </w:tr>
    </w:tbl>
    <w:p>
      <w:pPr>
        <w:spacing w:after="0"/>
        <w:rPr>
          <w:sz w:val="2"/>
          <w:szCs w:val="2"/>
        </w:rPr>
        <w:sectPr>
          <w:type w:val="continuous"/>
          <w:pgSz w:w="11910" w:h="16840"/>
          <w:pgMar w:header="828" w:footer="0" w:top="1680" w:bottom="280" w:left="141" w:right="141"/>
        </w:sectPr>
      </w:pPr>
    </w:p>
    <w:p>
      <w:pPr>
        <w:pStyle w:val="BodyText"/>
        <w:rPr>
          <w:sz w:val="20"/>
        </w:rPr>
      </w:pPr>
    </w:p>
    <w:p>
      <w:pPr>
        <w:pStyle w:val="BodyText"/>
        <w:spacing w:before="52"/>
        <w:rPr>
          <w:sz w:val="20"/>
        </w:rPr>
      </w:pPr>
    </w:p>
    <w:p>
      <w:pPr>
        <w:spacing w:line="259" w:lineRule="auto" w:before="0"/>
        <w:ind w:left="1925" w:right="1279" w:firstLine="0"/>
        <w:jc w:val="left"/>
        <w:rPr>
          <w:rFonts w:ascii="Calibri" w:hAnsi="Calibri"/>
          <w:sz w:val="20"/>
        </w:rPr>
      </w:pPr>
      <w:r>
        <w:rPr>
          <w:rFonts w:ascii="Calibri" w:hAnsi="Calibri"/>
          <w:sz w:val="20"/>
        </w:rPr>
        <w:t>En</w:t>
      </w:r>
      <w:r>
        <w:rPr>
          <w:rFonts w:ascii="Calibri" w:hAnsi="Calibri"/>
          <w:spacing w:val="40"/>
          <w:sz w:val="20"/>
        </w:rPr>
        <w:t> </w:t>
      </w:r>
      <w:r>
        <w:rPr>
          <w:rFonts w:ascii="Calibri" w:hAnsi="Calibri"/>
          <w:sz w:val="20"/>
        </w:rPr>
        <w:t>virtud</w:t>
      </w:r>
      <w:r>
        <w:rPr>
          <w:rFonts w:ascii="Calibri" w:hAnsi="Calibri"/>
          <w:spacing w:val="40"/>
          <w:sz w:val="20"/>
        </w:rPr>
        <w:t> </w:t>
      </w:r>
      <w:r>
        <w:rPr>
          <w:rFonts w:ascii="Calibri" w:hAnsi="Calibri"/>
          <w:sz w:val="20"/>
        </w:rPr>
        <w:t>de</w:t>
      </w:r>
      <w:r>
        <w:rPr>
          <w:rFonts w:ascii="Calibri" w:hAnsi="Calibri"/>
          <w:spacing w:val="40"/>
          <w:sz w:val="20"/>
        </w:rPr>
        <w:t> </w:t>
      </w:r>
      <w:r>
        <w:rPr>
          <w:rFonts w:ascii="Calibri" w:hAnsi="Calibri"/>
          <w:sz w:val="20"/>
        </w:rPr>
        <w:t>lo</w:t>
      </w:r>
      <w:r>
        <w:rPr>
          <w:rFonts w:ascii="Calibri" w:hAnsi="Calibri"/>
          <w:spacing w:val="40"/>
          <w:sz w:val="20"/>
        </w:rPr>
        <w:t> </w:t>
      </w:r>
      <w:r>
        <w:rPr>
          <w:rFonts w:ascii="Calibri" w:hAnsi="Calibri"/>
          <w:sz w:val="20"/>
        </w:rPr>
        <w:t>expuesto,</w:t>
      </w:r>
      <w:r>
        <w:rPr>
          <w:rFonts w:ascii="Calibri" w:hAnsi="Calibri"/>
          <w:spacing w:val="40"/>
          <w:sz w:val="20"/>
        </w:rPr>
        <w:t> </w:t>
      </w:r>
      <w:r>
        <w:rPr>
          <w:rFonts w:ascii="Calibri" w:hAnsi="Calibri"/>
          <w:sz w:val="20"/>
        </w:rPr>
        <w:t>se</w:t>
      </w:r>
      <w:r>
        <w:rPr>
          <w:rFonts w:ascii="Calibri" w:hAnsi="Calibri"/>
          <w:spacing w:val="40"/>
          <w:sz w:val="20"/>
        </w:rPr>
        <w:t> </w:t>
      </w:r>
      <w:r>
        <w:rPr>
          <w:rFonts w:ascii="Calibri" w:hAnsi="Calibri"/>
          <w:sz w:val="20"/>
        </w:rPr>
        <w:t>solicita</w:t>
      </w:r>
      <w:r>
        <w:rPr>
          <w:rFonts w:ascii="Calibri" w:hAnsi="Calibri"/>
          <w:spacing w:val="40"/>
          <w:sz w:val="20"/>
        </w:rPr>
        <w:t> </w:t>
      </w:r>
      <w:r>
        <w:rPr>
          <w:rFonts w:ascii="Calibri" w:hAnsi="Calibri"/>
          <w:sz w:val="20"/>
        </w:rPr>
        <w:t>se</w:t>
      </w:r>
      <w:r>
        <w:rPr>
          <w:rFonts w:ascii="Calibri" w:hAnsi="Calibri"/>
          <w:spacing w:val="40"/>
          <w:sz w:val="20"/>
        </w:rPr>
        <w:t> </w:t>
      </w:r>
      <w:r>
        <w:rPr>
          <w:rFonts w:ascii="Calibri" w:hAnsi="Calibri"/>
          <w:sz w:val="20"/>
        </w:rPr>
        <w:t>tenga</w:t>
      </w:r>
      <w:r>
        <w:rPr>
          <w:rFonts w:ascii="Calibri" w:hAnsi="Calibri"/>
          <w:spacing w:val="40"/>
          <w:sz w:val="20"/>
        </w:rPr>
        <w:t> </w:t>
      </w:r>
      <w:r>
        <w:rPr>
          <w:rFonts w:ascii="Calibri" w:hAnsi="Calibri"/>
          <w:sz w:val="20"/>
        </w:rPr>
        <w:t>por</w:t>
      </w:r>
      <w:r>
        <w:rPr>
          <w:rFonts w:ascii="Calibri" w:hAnsi="Calibri"/>
          <w:spacing w:val="40"/>
          <w:sz w:val="20"/>
        </w:rPr>
        <w:t> </w:t>
      </w:r>
      <w:r>
        <w:rPr>
          <w:rFonts w:ascii="Calibri" w:hAnsi="Calibri"/>
          <w:sz w:val="20"/>
        </w:rPr>
        <w:t>presentado</w:t>
      </w:r>
      <w:r>
        <w:rPr>
          <w:rFonts w:ascii="Calibri" w:hAnsi="Calibri"/>
          <w:spacing w:val="40"/>
          <w:sz w:val="20"/>
        </w:rPr>
        <w:t> </w:t>
      </w:r>
      <w:r>
        <w:rPr>
          <w:rFonts w:ascii="Calibri" w:hAnsi="Calibri"/>
          <w:sz w:val="20"/>
        </w:rPr>
        <w:t>el</w:t>
      </w:r>
      <w:r>
        <w:rPr>
          <w:rFonts w:ascii="Calibri" w:hAnsi="Calibri"/>
          <w:spacing w:val="40"/>
          <w:sz w:val="20"/>
        </w:rPr>
        <w:t> </w:t>
      </w:r>
      <w:r>
        <w:rPr>
          <w:rFonts w:ascii="Calibri" w:hAnsi="Calibri"/>
          <w:sz w:val="20"/>
        </w:rPr>
        <w:t>presente</w:t>
      </w:r>
      <w:r>
        <w:rPr>
          <w:rFonts w:ascii="Calibri" w:hAnsi="Calibri"/>
          <w:spacing w:val="40"/>
          <w:sz w:val="20"/>
        </w:rPr>
        <w:t> </w:t>
      </w:r>
      <w:r>
        <w:rPr>
          <w:rFonts w:ascii="Calibri" w:hAnsi="Calibri"/>
          <w:sz w:val="20"/>
        </w:rPr>
        <w:t>escrito</w:t>
      </w:r>
      <w:r>
        <w:rPr>
          <w:rFonts w:ascii="Calibri" w:hAnsi="Calibri"/>
          <w:spacing w:val="40"/>
          <w:sz w:val="20"/>
        </w:rPr>
        <w:t> </w:t>
      </w:r>
      <w:r>
        <w:rPr>
          <w:rFonts w:ascii="Calibri" w:hAnsi="Calibri"/>
          <w:sz w:val="20"/>
        </w:rPr>
        <w:t>y</w:t>
      </w:r>
      <w:r>
        <w:rPr>
          <w:rFonts w:ascii="Calibri" w:hAnsi="Calibri"/>
          <w:spacing w:val="40"/>
          <w:sz w:val="20"/>
        </w:rPr>
        <w:t> </w:t>
      </w:r>
      <w:r>
        <w:rPr>
          <w:rFonts w:ascii="Calibri" w:hAnsi="Calibri"/>
          <w:sz w:val="20"/>
        </w:rPr>
        <w:t>la</w:t>
      </w:r>
      <w:r>
        <w:rPr>
          <w:rFonts w:ascii="Calibri" w:hAnsi="Calibri"/>
          <w:spacing w:val="80"/>
          <w:sz w:val="20"/>
        </w:rPr>
        <w:t> </w:t>
      </w:r>
      <w:r>
        <w:rPr>
          <w:rFonts w:ascii="Calibri" w:hAnsi="Calibri"/>
          <w:sz w:val="20"/>
        </w:rPr>
        <w:t>documentación al efecto por parte de la Corporación Municipal a la que represento.</w:t>
      </w:r>
    </w:p>
    <w:p>
      <w:pPr>
        <w:pStyle w:val="BodyText"/>
        <w:rPr>
          <w:rFonts w:ascii="Calibri"/>
          <w:sz w:val="20"/>
        </w:rPr>
      </w:pPr>
    </w:p>
    <w:p>
      <w:pPr>
        <w:pStyle w:val="BodyText"/>
        <w:spacing w:before="59"/>
        <w:rPr>
          <w:rFonts w:ascii="Calibri"/>
          <w:sz w:val="20"/>
        </w:rPr>
      </w:pPr>
    </w:p>
    <w:p>
      <w:pPr>
        <w:spacing w:line="398" w:lineRule="auto" w:before="0"/>
        <w:ind w:left="1925" w:right="6211" w:firstLine="0"/>
        <w:jc w:val="left"/>
        <w:rPr>
          <w:rFonts w:ascii="Calibri" w:hAnsi="Calibri"/>
          <w:sz w:val="20"/>
        </w:rPr>
      </w:pPr>
      <w:r>
        <w:rPr>
          <w:rFonts w:ascii="Calibri" w:hAnsi="Calibri"/>
          <w:sz w:val="20"/>
        </w:rPr>
        <w:t>En</w:t>
      </w:r>
      <w:r>
        <w:rPr>
          <w:rFonts w:ascii="Calibri" w:hAnsi="Calibri"/>
          <w:spacing w:val="-12"/>
          <w:sz w:val="20"/>
        </w:rPr>
        <w:t> </w:t>
      </w:r>
      <w:r>
        <w:rPr>
          <w:rFonts w:ascii="Calibri" w:hAnsi="Calibri"/>
          <w:sz w:val="20"/>
        </w:rPr>
        <w:t>Málaga,</w:t>
      </w:r>
      <w:r>
        <w:rPr>
          <w:rFonts w:ascii="Calibri" w:hAnsi="Calibri"/>
          <w:spacing w:val="-9"/>
          <w:sz w:val="20"/>
        </w:rPr>
        <w:t> </w:t>
      </w:r>
      <w:r>
        <w:rPr>
          <w:rFonts w:ascii="Calibri" w:hAnsi="Calibri"/>
          <w:sz w:val="20"/>
        </w:rPr>
        <w:t>a</w:t>
      </w:r>
      <w:r>
        <w:rPr>
          <w:rFonts w:ascii="Calibri" w:hAnsi="Calibri"/>
          <w:spacing w:val="-12"/>
          <w:sz w:val="20"/>
        </w:rPr>
        <w:t> </w:t>
      </w:r>
      <w:r>
        <w:rPr>
          <w:rFonts w:ascii="Calibri" w:hAnsi="Calibri"/>
          <w:sz w:val="20"/>
        </w:rPr>
        <w:t>fecha</w:t>
      </w:r>
      <w:r>
        <w:rPr>
          <w:rFonts w:ascii="Calibri" w:hAnsi="Calibri"/>
          <w:spacing w:val="-11"/>
          <w:sz w:val="20"/>
        </w:rPr>
        <w:t> </w:t>
      </w:r>
      <w:r>
        <w:rPr>
          <w:rFonts w:ascii="Calibri" w:hAnsi="Calibri"/>
          <w:sz w:val="20"/>
        </w:rPr>
        <w:t>de</w:t>
      </w:r>
      <w:r>
        <w:rPr>
          <w:rFonts w:ascii="Calibri" w:hAnsi="Calibri"/>
          <w:spacing w:val="-7"/>
          <w:sz w:val="20"/>
        </w:rPr>
        <w:t> </w:t>
      </w:r>
      <w:r>
        <w:rPr>
          <w:rFonts w:ascii="Calibri" w:hAnsi="Calibri"/>
          <w:sz w:val="20"/>
        </w:rPr>
        <w:t>la</w:t>
      </w:r>
      <w:r>
        <w:rPr>
          <w:rFonts w:ascii="Calibri" w:hAnsi="Calibri"/>
          <w:spacing w:val="-10"/>
          <w:sz w:val="20"/>
        </w:rPr>
        <w:t> </w:t>
      </w:r>
      <w:r>
        <w:rPr>
          <w:rFonts w:ascii="Calibri" w:hAnsi="Calibri"/>
          <w:sz w:val="20"/>
        </w:rPr>
        <w:t>firma</w:t>
      </w:r>
      <w:r>
        <w:rPr>
          <w:rFonts w:ascii="Calibri" w:hAnsi="Calibri"/>
          <w:spacing w:val="-12"/>
          <w:sz w:val="20"/>
        </w:rPr>
        <w:t> </w:t>
      </w:r>
      <w:r>
        <w:rPr>
          <w:rFonts w:ascii="Calibri" w:hAnsi="Calibri"/>
          <w:sz w:val="20"/>
        </w:rPr>
        <w:t>electrónica. El Alcalde - Presidente</w:t>
      </w:r>
    </w:p>
    <w:p>
      <w:pPr>
        <w:spacing w:before="1"/>
        <w:ind w:left="1925" w:right="0" w:firstLine="0"/>
        <w:jc w:val="left"/>
        <w:rPr>
          <w:rFonts w:ascii="Calibri"/>
          <w:sz w:val="20"/>
        </w:rPr>
      </w:pPr>
      <w:r>
        <w:rPr>
          <w:rFonts w:ascii="Calibri"/>
          <w:spacing w:val="-2"/>
          <w:sz w:val="20"/>
        </w:rPr>
        <w:t>Fdo.:</w:t>
      </w:r>
      <w:r>
        <w:rPr>
          <w:rFonts w:ascii="Calibri"/>
          <w:spacing w:val="-3"/>
          <w:sz w:val="20"/>
        </w:rPr>
        <w:t> </w:t>
      </w:r>
      <w:r>
        <w:rPr>
          <w:rFonts w:ascii="Calibri"/>
          <w:spacing w:val="-2"/>
          <w:sz w:val="20"/>
        </w:rPr>
        <w:t>Francisco</w:t>
      </w:r>
      <w:r>
        <w:rPr>
          <w:rFonts w:ascii="Calibri"/>
          <w:spacing w:val="-4"/>
          <w:sz w:val="20"/>
        </w:rPr>
        <w:t> </w:t>
      </w:r>
      <w:r>
        <w:rPr>
          <w:rFonts w:ascii="Calibri"/>
          <w:spacing w:val="-2"/>
          <w:sz w:val="20"/>
        </w:rPr>
        <w:t>de</w:t>
      </w:r>
      <w:r>
        <w:rPr>
          <w:rFonts w:ascii="Calibri"/>
          <w:spacing w:val="-5"/>
          <w:sz w:val="20"/>
        </w:rPr>
        <w:t> </w:t>
      </w:r>
      <w:r>
        <w:rPr>
          <w:rFonts w:ascii="Calibri"/>
          <w:spacing w:val="-2"/>
          <w:sz w:val="20"/>
        </w:rPr>
        <w:t>la</w:t>
      </w:r>
      <w:r>
        <w:rPr>
          <w:rFonts w:ascii="Calibri"/>
          <w:spacing w:val="-6"/>
          <w:sz w:val="20"/>
        </w:rPr>
        <w:t> </w:t>
      </w:r>
      <w:r>
        <w:rPr>
          <w:rFonts w:ascii="Calibri"/>
          <w:spacing w:val="-2"/>
          <w:sz w:val="20"/>
        </w:rPr>
        <w:t>Torre</w:t>
      </w:r>
      <w:r>
        <w:rPr>
          <w:rFonts w:ascii="Calibri"/>
          <w:spacing w:val="-7"/>
          <w:sz w:val="20"/>
        </w:rPr>
        <w:t> </w:t>
      </w:r>
      <w:r>
        <w:rPr>
          <w:rFonts w:ascii="Calibri"/>
          <w:spacing w:val="-2"/>
          <w:sz w:val="20"/>
        </w:rPr>
        <w:t>Prados.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6"/>
        <w:rPr>
          <w:rFonts w:ascii="Calibri"/>
          <w:sz w:val="20"/>
        </w:rPr>
      </w:pPr>
    </w:p>
    <w:p>
      <w:pPr>
        <w:spacing w:line="20" w:lineRule="exact"/>
        <w:ind w:left="5203" w:right="0" w:firstLine="0"/>
        <w:jc w:val="left"/>
        <w:rPr>
          <w:rFonts w:ascii="Calibri"/>
          <w:sz w:val="2"/>
        </w:rPr>
      </w:pPr>
      <w:r>
        <w:rPr>
          <w:rFonts w:ascii="Calibri"/>
          <w:sz w:val="2"/>
        </w:rPr>
        <mc:AlternateContent>
          <mc:Choice Requires="wps">
            <w:drawing>
              <wp:inline distT="0" distB="0" distL="0" distR="0">
                <wp:extent cx="1870075" cy="6350"/>
                <wp:effectExtent l="0" t="0" r="0" b="0"/>
                <wp:docPr id="2086" name="Group 2086"/>
                <wp:cNvGraphicFramePr>
                  <a:graphicFrameLocks/>
                </wp:cNvGraphicFramePr>
                <a:graphic>
                  <a:graphicData uri="http://schemas.microsoft.com/office/word/2010/wordprocessingGroup">
                    <wpg:wgp>
                      <wpg:cNvPr id="2086" name="Group 2086"/>
                      <wpg:cNvGrpSpPr/>
                      <wpg:grpSpPr>
                        <a:xfrm>
                          <a:off x="0" y="0"/>
                          <a:ext cx="1870075" cy="6350"/>
                          <a:chExt cx="1870075" cy="6350"/>
                        </a:xfrm>
                      </wpg:grpSpPr>
                      <wps:wsp>
                        <wps:cNvPr id="2087" name="Graphic 2087"/>
                        <wps:cNvSpPr/>
                        <wps:spPr>
                          <a:xfrm>
                            <a:off x="0" y="0"/>
                            <a:ext cx="1870075" cy="6350"/>
                          </a:xfrm>
                          <a:custGeom>
                            <a:avLst/>
                            <a:gdLst/>
                            <a:ahLst/>
                            <a:cxnLst/>
                            <a:rect l="l" t="t" r="r" b="b"/>
                            <a:pathLst>
                              <a:path w="1870075" h="6350">
                                <a:moveTo>
                                  <a:pt x="1869948" y="0"/>
                                </a:moveTo>
                                <a:lnTo>
                                  <a:pt x="0" y="0"/>
                                </a:lnTo>
                                <a:lnTo>
                                  <a:pt x="0" y="6096"/>
                                </a:lnTo>
                                <a:lnTo>
                                  <a:pt x="1869948" y="6096"/>
                                </a:lnTo>
                                <a:lnTo>
                                  <a:pt x="1869948"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147.25pt;height:.5pt;mso-position-horizontal-relative:char;mso-position-vertical-relative:line" id="docshapegroup1507" coordorigin="0,0" coordsize="2945,10">
                <v:rect style="position:absolute;left:0;top:0;width:2945;height:10" id="docshape1508" filled="true" fillcolor="#00587c" stroked="false">
                  <v:fill type="solid"/>
                </v:rect>
              </v:group>
            </w:pict>
          </mc:Fallback>
        </mc:AlternateContent>
      </w:r>
      <w:r>
        <w:rPr>
          <w:rFonts w:ascii="Calibri"/>
          <w:sz w:val="2"/>
        </w:rPr>
      </w:r>
      <w:r>
        <w:rPr>
          <w:rFonts w:ascii="Times New Roman"/>
          <w:spacing w:val="107"/>
          <w:sz w:val="2"/>
        </w:rPr>
        <w:t> </w:t>
      </w:r>
      <w:r>
        <w:rPr>
          <w:rFonts w:ascii="Calibri"/>
          <w:spacing w:val="107"/>
          <w:sz w:val="2"/>
        </w:rPr>
        <mc:AlternateContent>
          <mc:Choice Requires="wps">
            <w:drawing>
              <wp:inline distT="0" distB="0" distL="0" distR="0">
                <wp:extent cx="841375" cy="6350"/>
                <wp:effectExtent l="0" t="0" r="0" b="0"/>
                <wp:docPr id="2088" name="Group 2088"/>
                <wp:cNvGraphicFramePr>
                  <a:graphicFrameLocks/>
                </wp:cNvGraphicFramePr>
                <a:graphic>
                  <a:graphicData uri="http://schemas.microsoft.com/office/word/2010/wordprocessingGroup">
                    <wpg:wgp>
                      <wpg:cNvPr id="2088" name="Group 2088"/>
                      <wpg:cNvGrpSpPr/>
                      <wpg:grpSpPr>
                        <a:xfrm>
                          <a:off x="0" y="0"/>
                          <a:ext cx="841375" cy="6350"/>
                          <a:chExt cx="841375" cy="6350"/>
                        </a:xfrm>
                      </wpg:grpSpPr>
                      <wps:wsp>
                        <wps:cNvPr id="2089" name="Graphic 2089"/>
                        <wps:cNvSpPr/>
                        <wps:spPr>
                          <a:xfrm>
                            <a:off x="0" y="0"/>
                            <a:ext cx="841375" cy="6350"/>
                          </a:xfrm>
                          <a:custGeom>
                            <a:avLst/>
                            <a:gdLst/>
                            <a:ahLst/>
                            <a:cxnLst/>
                            <a:rect l="l" t="t" r="r" b="b"/>
                            <a:pathLst>
                              <a:path w="841375" h="6350">
                                <a:moveTo>
                                  <a:pt x="841247" y="0"/>
                                </a:moveTo>
                                <a:lnTo>
                                  <a:pt x="0" y="0"/>
                                </a:lnTo>
                                <a:lnTo>
                                  <a:pt x="0" y="6096"/>
                                </a:lnTo>
                                <a:lnTo>
                                  <a:pt x="841247" y="6096"/>
                                </a:lnTo>
                                <a:lnTo>
                                  <a:pt x="841247" y="0"/>
                                </a:lnTo>
                                <a:close/>
                              </a:path>
                            </a:pathLst>
                          </a:custGeom>
                          <a:solidFill>
                            <a:srgbClr val="00587C"/>
                          </a:solidFill>
                        </wps:spPr>
                        <wps:bodyPr wrap="square" lIns="0" tIns="0" rIns="0" bIns="0" rtlCol="0">
                          <a:prstTxWarp prst="textNoShape">
                            <a:avLst/>
                          </a:prstTxWarp>
                          <a:noAutofit/>
                        </wps:bodyPr>
                      </wps:wsp>
                    </wpg:wgp>
                  </a:graphicData>
                </a:graphic>
              </wp:inline>
            </w:drawing>
          </mc:Choice>
          <mc:Fallback>
            <w:pict>
              <v:group style="width:66.25pt;height:.5pt;mso-position-horizontal-relative:char;mso-position-vertical-relative:line" id="docshapegroup1509" coordorigin="0,0" coordsize="1325,10">
                <v:rect style="position:absolute;left:0;top:0;width:1325;height:10" id="docshape1510" filled="true" fillcolor="#00587c" stroked="false">
                  <v:fill type="solid"/>
                </v:rect>
              </v:group>
            </w:pict>
          </mc:Fallback>
        </mc:AlternateContent>
      </w:r>
      <w:r>
        <w:rPr>
          <w:rFonts w:ascii="Calibri"/>
          <w:spacing w:val="107"/>
          <w:sz w:val="2"/>
        </w:rPr>
      </w:r>
    </w:p>
    <w:p>
      <w:pPr>
        <w:spacing w:after="0" w:line="20" w:lineRule="exact"/>
        <w:jc w:val="left"/>
        <w:rPr>
          <w:rFonts w:ascii="Calibri"/>
          <w:sz w:val="2"/>
        </w:rPr>
        <w:sectPr>
          <w:headerReference w:type="even" r:id="rId337"/>
          <w:footerReference w:type="even" r:id="rId338"/>
          <w:pgSz w:w="11910" w:h="16840"/>
          <w:pgMar w:header="828" w:footer="0" w:top="1500" w:bottom="0" w:left="141" w:right="141"/>
        </w:sectPr>
      </w:pPr>
    </w:p>
    <w:p>
      <w:pPr>
        <w:spacing w:line="181" w:lineRule="exact" w:before="63"/>
        <w:ind w:left="5206" w:right="0" w:firstLine="0"/>
        <w:jc w:val="left"/>
        <w:rPr>
          <w:sz w:val="16"/>
        </w:rPr>
      </w:pPr>
      <w:r>
        <w:rPr>
          <w:color w:val="00587C"/>
          <w:spacing w:val="2"/>
          <w:sz w:val="16"/>
        </w:rPr>
        <w:t>Ayuntamiento</w:t>
      </w:r>
      <w:r>
        <w:rPr>
          <w:color w:val="00587C"/>
          <w:spacing w:val="18"/>
          <w:sz w:val="16"/>
        </w:rPr>
        <w:t> </w:t>
      </w:r>
      <w:r>
        <w:rPr>
          <w:color w:val="00587C"/>
          <w:spacing w:val="2"/>
          <w:sz w:val="16"/>
        </w:rPr>
        <w:t>de</w:t>
      </w:r>
      <w:r>
        <w:rPr>
          <w:color w:val="00587C"/>
          <w:spacing w:val="17"/>
          <w:sz w:val="16"/>
        </w:rPr>
        <w:t> </w:t>
      </w:r>
      <w:r>
        <w:rPr>
          <w:color w:val="00587C"/>
          <w:spacing w:val="-2"/>
          <w:sz w:val="16"/>
        </w:rPr>
        <w:t>Málaga</w:t>
      </w:r>
    </w:p>
    <w:p>
      <w:pPr>
        <w:spacing w:line="232" w:lineRule="auto" w:before="1"/>
        <w:ind w:left="5206" w:right="0" w:firstLine="0"/>
        <w:jc w:val="left"/>
        <w:rPr>
          <w:sz w:val="16"/>
        </w:rPr>
      </w:pPr>
      <w:r>
        <w:rPr>
          <w:sz w:val="16"/>
        </w:rPr>
        <mc:AlternateContent>
          <mc:Choice Requires="wps">
            <w:drawing>
              <wp:anchor distT="0" distB="0" distL="0" distR="0" allowOverlap="1" layoutInCell="1" locked="0" behindDoc="1" simplePos="0" relativeHeight="474460672">
                <wp:simplePos x="0" y="0"/>
                <wp:positionH relativeFrom="page">
                  <wp:posOffset>4332186</wp:posOffset>
                </wp:positionH>
                <wp:positionV relativeFrom="paragraph">
                  <wp:posOffset>1412477</wp:posOffset>
                </wp:positionV>
                <wp:extent cx="53340" cy="100330"/>
                <wp:effectExtent l="0" t="0" r="0" b="0"/>
                <wp:wrapNone/>
                <wp:docPr id="2090" name="Textbox 2090"/>
                <wp:cNvGraphicFramePr>
                  <a:graphicFrameLocks/>
                </wp:cNvGraphicFramePr>
                <a:graphic>
                  <a:graphicData uri="http://schemas.microsoft.com/office/word/2010/wordprocessingShape">
                    <wps:wsp>
                      <wps:cNvPr id="2090" name="Textbox 2090"/>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111.218727pt;width:4.2pt;height:7.9pt;mso-position-horizontal-relative:page;mso-position-vertical-relative:paragraph;z-index:-28855808" type="#_x0000_t202" id="docshape1511"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16"/>
        </w:rPr>
        <mc:AlternateContent>
          <mc:Choice Requires="wps">
            <w:drawing>
              <wp:anchor distT="0" distB="0" distL="0" distR="0" allowOverlap="1" layoutInCell="1" locked="0" behindDoc="1" simplePos="0" relativeHeight="474461184">
                <wp:simplePos x="0" y="0"/>
                <wp:positionH relativeFrom="page">
                  <wp:posOffset>172212</wp:posOffset>
                </wp:positionH>
                <wp:positionV relativeFrom="paragraph">
                  <wp:posOffset>954200</wp:posOffset>
                </wp:positionV>
                <wp:extent cx="1298575" cy="417830"/>
                <wp:effectExtent l="0" t="0" r="0" b="0"/>
                <wp:wrapNone/>
                <wp:docPr id="2091" name="Group 2091"/>
                <wp:cNvGraphicFramePr>
                  <a:graphicFrameLocks/>
                </wp:cNvGraphicFramePr>
                <a:graphic>
                  <a:graphicData uri="http://schemas.microsoft.com/office/word/2010/wordprocessingGroup">
                    <wpg:wgp>
                      <wpg:cNvPr id="2091" name="Group 2091"/>
                      <wpg:cNvGrpSpPr/>
                      <wpg:grpSpPr>
                        <a:xfrm>
                          <a:off x="0" y="0"/>
                          <a:ext cx="1298575" cy="417830"/>
                          <a:chExt cx="1298575" cy="417830"/>
                        </a:xfrm>
                      </wpg:grpSpPr>
                      <wps:wsp>
                        <wps:cNvPr id="2092" name="Graphic 2092"/>
                        <wps:cNvSpPr/>
                        <wps:spPr>
                          <a:xfrm>
                            <a:off x="0" y="0"/>
                            <a:ext cx="1298575" cy="417830"/>
                          </a:xfrm>
                          <a:custGeom>
                            <a:avLst/>
                            <a:gdLst/>
                            <a:ahLst/>
                            <a:cxnLst/>
                            <a:rect l="l" t="t" r="r" b="b"/>
                            <a:pathLst>
                              <a:path w="1298575" h="417830">
                                <a:moveTo>
                                  <a:pt x="1298448" y="0"/>
                                </a:moveTo>
                                <a:lnTo>
                                  <a:pt x="0" y="0"/>
                                </a:lnTo>
                                <a:lnTo>
                                  <a:pt x="0" y="138684"/>
                                </a:lnTo>
                                <a:lnTo>
                                  <a:pt x="0" y="140208"/>
                                </a:lnTo>
                                <a:lnTo>
                                  <a:pt x="0" y="417576"/>
                                </a:lnTo>
                                <a:lnTo>
                                  <a:pt x="1298448" y="417576"/>
                                </a:lnTo>
                                <a:lnTo>
                                  <a:pt x="1298448" y="140208"/>
                                </a:lnTo>
                                <a:lnTo>
                                  <a:pt x="1298448" y="138684"/>
                                </a:lnTo>
                                <a:lnTo>
                                  <a:pt x="1298448" y="0"/>
                                </a:lnTo>
                                <a:close/>
                              </a:path>
                            </a:pathLst>
                          </a:custGeom>
                          <a:solidFill>
                            <a:srgbClr val="CCCCCC"/>
                          </a:solidFill>
                        </wps:spPr>
                        <wps:bodyPr wrap="square" lIns="0" tIns="0" rIns="0" bIns="0" rtlCol="0">
                          <a:prstTxWarp prst="textNoShape">
                            <a:avLst/>
                          </a:prstTxWarp>
                          <a:noAutofit/>
                        </wps:bodyPr>
                      </wps:wsp>
                      <pic:pic>
                        <pic:nvPicPr>
                          <pic:cNvPr id="2093" name="Image 2093"/>
                          <pic:cNvPicPr/>
                        </pic:nvPicPr>
                        <pic:blipFill>
                          <a:blip r:embed="rId219" cstate="print"/>
                          <a:stretch>
                            <a:fillRect/>
                          </a:stretch>
                        </pic:blipFill>
                        <pic:spPr>
                          <a:xfrm>
                            <a:off x="45720" y="47244"/>
                            <a:ext cx="1203959" cy="207263"/>
                          </a:xfrm>
                          <a:prstGeom prst="rect">
                            <a:avLst/>
                          </a:prstGeom>
                        </pic:spPr>
                      </pic:pic>
                    </wpg:wgp>
                  </a:graphicData>
                </a:graphic>
              </wp:anchor>
            </w:drawing>
          </mc:Choice>
          <mc:Fallback>
            <w:pict>
              <v:group style="position:absolute;margin-left:13.56pt;margin-top:75.133888pt;width:102.25pt;height:32.9pt;mso-position-horizontal-relative:page;mso-position-vertical-relative:paragraph;z-index:-28855296" id="docshapegroup1512" coordorigin="271,1503" coordsize="2045,658">
                <v:shape style="position:absolute;left:271;top:1502;width:2045;height:658" id="docshape1513" coordorigin="271,1503" coordsize="2045,658" path="m2316,1503l271,1503,271,1721,271,1723,271,2160,2316,2160,2316,1723,2316,1721,2316,1503xe" filled="true" fillcolor="#cccccc" stroked="false">
                  <v:path arrowok="t"/>
                  <v:fill type="solid"/>
                </v:shape>
                <v:shape style="position:absolute;left:343;top:1577;width:1896;height:327" type="#_x0000_t75" id="docshape1514" stroked="false">
                  <v:imagedata r:id="rId219" o:title=""/>
                </v:shape>
                <w10:wrap type="none"/>
              </v:group>
            </w:pict>
          </mc:Fallback>
        </mc:AlternateContent>
      </w:r>
      <w:r>
        <w:rPr>
          <w:color w:val="00587C"/>
          <w:sz w:val="16"/>
        </w:rPr>
        <w:t>Casa</w:t>
      </w:r>
      <w:r>
        <w:rPr>
          <w:color w:val="00587C"/>
          <w:spacing w:val="-5"/>
          <w:sz w:val="16"/>
        </w:rPr>
        <w:t> </w:t>
      </w:r>
      <w:r>
        <w:rPr>
          <w:color w:val="00587C"/>
          <w:sz w:val="16"/>
        </w:rPr>
        <w:t>Consistorial.</w:t>
      </w:r>
      <w:r>
        <w:rPr>
          <w:color w:val="00587C"/>
          <w:spacing w:val="-3"/>
          <w:sz w:val="16"/>
        </w:rPr>
        <w:t> </w:t>
      </w:r>
      <w:r>
        <w:rPr>
          <w:color w:val="00587C"/>
          <w:sz w:val="16"/>
        </w:rPr>
        <w:t>Av.</w:t>
      </w:r>
      <w:r>
        <w:rPr>
          <w:color w:val="00587C"/>
          <w:spacing w:val="-5"/>
          <w:sz w:val="16"/>
        </w:rPr>
        <w:t> </w:t>
      </w:r>
      <w:r>
        <w:rPr>
          <w:color w:val="00587C"/>
          <w:sz w:val="16"/>
        </w:rPr>
        <w:t>Cervantes,</w:t>
      </w:r>
      <w:r>
        <w:rPr>
          <w:color w:val="00587C"/>
          <w:spacing w:val="-4"/>
          <w:sz w:val="16"/>
        </w:rPr>
        <w:t> </w:t>
      </w:r>
      <w:r>
        <w:rPr>
          <w:color w:val="00587C"/>
          <w:sz w:val="16"/>
        </w:rPr>
        <w:t>4. 29016</w:t>
      </w:r>
      <w:r>
        <w:rPr>
          <w:color w:val="00587C"/>
          <w:spacing w:val="-4"/>
          <w:sz w:val="16"/>
        </w:rPr>
        <w:t> </w:t>
      </w:r>
      <w:r>
        <w:rPr>
          <w:color w:val="00587C"/>
          <w:sz w:val="16"/>
        </w:rPr>
        <w:t>Málaga</w:t>
      </w:r>
    </w:p>
    <w:p>
      <w:pPr>
        <w:spacing w:line="181" w:lineRule="exact" w:before="63"/>
        <w:ind w:left="572" w:right="0" w:firstLine="0"/>
        <w:jc w:val="left"/>
        <w:rPr>
          <w:sz w:val="16"/>
        </w:rPr>
      </w:pPr>
      <w:r>
        <w:rPr/>
        <w:br w:type="column"/>
      </w:r>
      <w:r>
        <w:rPr>
          <w:color w:val="00587C"/>
          <w:sz w:val="16"/>
        </w:rPr>
        <w:t>+34</w:t>
      </w:r>
      <w:r>
        <w:rPr>
          <w:color w:val="00587C"/>
          <w:spacing w:val="-7"/>
          <w:sz w:val="16"/>
        </w:rPr>
        <w:t> </w:t>
      </w:r>
      <w:r>
        <w:rPr>
          <w:color w:val="00587C"/>
          <w:sz w:val="16"/>
        </w:rPr>
        <w:t>951</w:t>
      </w:r>
      <w:r>
        <w:rPr>
          <w:color w:val="00587C"/>
          <w:spacing w:val="-6"/>
          <w:sz w:val="16"/>
        </w:rPr>
        <w:t> </w:t>
      </w:r>
      <w:r>
        <w:rPr>
          <w:color w:val="00587C"/>
          <w:sz w:val="16"/>
        </w:rPr>
        <w:t>926</w:t>
      </w:r>
      <w:r>
        <w:rPr>
          <w:color w:val="00587C"/>
          <w:spacing w:val="-5"/>
          <w:sz w:val="16"/>
        </w:rPr>
        <w:t> 010</w:t>
      </w:r>
    </w:p>
    <w:p>
      <w:pPr>
        <w:spacing w:line="232" w:lineRule="auto" w:before="1"/>
        <w:ind w:left="581" w:right="994" w:hanging="20"/>
        <w:jc w:val="left"/>
        <w:rPr>
          <w:sz w:val="16"/>
        </w:rPr>
      </w:pPr>
      <w:hyperlink r:id="rId180">
        <w:r>
          <w:rPr>
            <w:color w:val="00587C"/>
            <w:spacing w:val="-2"/>
            <w:sz w:val="16"/>
          </w:rPr>
          <w:t>info@malaga.eu</w:t>
        </w:r>
      </w:hyperlink>
      <w:r>
        <w:rPr>
          <w:color w:val="00587C"/>
          <w:spacing w:val="-2"/>
          <w:sz w:val="16"/>
        </w:rPr>
        <w:t> </w:t>
      </w:r>
      <w:hyperlink r:id="rId181">
        <w:r>
          <w:rPr>
            <w:color w:val="00587C"/>
            <w:spacing w:val="-2"/>
            <w:sz w:val="16"/>
          </w:rPr>
          <w:t>www.malaga.eu</w:t>
        </w:r>
      </w:hyperlink>
    </w:p>
    <w:p>
      <w:pPr>
        <w:spacing w:after="0" w:line="232" w:lineRule="auto"/>
        <w:jc w:val="left"/>
        <w:rPr>
          <w:sz w:val="16"/>
        </w:rPr>
        <w:sectPr>
          <w:type w:val="continuous"/>
          <w:pgSz w:w="11910" w:h="16840"/>
          <w:pgMar w:header="828" w:footer="0" w:top="1680" w:bottom="280" w:left="141" w:right="141"/>
          <w:cols w:num="2" w:equalWidth="0">
            <w:col w:w="7801" w:space="40"/>
            <w:col w:w="3787"/>
          </w:cols>
        </w:sectPr>
      </w:pPr>
    </w:p>
    <w:p>
      <w:pPr>
        <w:pStyle w:val="BodyText"/>
        <w:rPr>
          <w:sz w:val="20"/>
        </w:rPr>
      </w:pPr>
    </w:p>
    <w:p>
      <w:pPr>
        <w:pStyle w:val="BodyText"/>
        <w:rPr>
          <w:sz w:val="20"/>
        </w:rPr>
      </w:pPr>
    </w:p>
    <w:p>
      <w:pPr>
        <w:pStyle w:val="BodyText"/>
        <w:rPr>
          <w:sz w:val="20"/>
        </w:rPr>
      </w:pPr>
    </w:p>
    <w:p>
      <w:pPr>
        <w:pStyle w:val="BodyText"/>
        <w:spacing w:before="180"/>
        <w:rPr>
          <w:sz w:val="20"/>
        </w:rPr>
      </w:pPr>
    </w:p>
    <w:p>
      <w:pPr>
        <w:spacing w:line="240" w:lineRule="auto"/>
        <w:ind w:left="103" w:right="0" w:firstLine="0"/>
        <w:jc w:val="left"/>
        <w:rPr>
          <w:sz w:val="20"/>
        </w:rPr>
      </w:pPr>
      <w:r>
        <w:rPr>
          <w:position w:val="2"/>
          <w:sz w:val="20"/>
        </w:rPr>
        <mc:AlternateContent>
          <mc:Choice Requires="wps">
            <w:drawing>
              <wp:inline distT="0" distB="0" distL="0" distR="0">
                <wp:extent cx="6524625" cy="727710"/>
                <wp:effectExtent l="0" t="0" r="0" b="0"/>
                <wp:docPr id="2094" name="Textbox 2094"/>
                <wp:cNvGraphicFramePr>
                  <a:graphicFrameLocks/>
                </wp:cNvGraphicFramePr>
                <a:graphic>
                  <a:graphicData uri="http://schemas.microsoft.com/office/word/2010/wordprocessingShape">
                    <wps:wsp>
                      <wps:cNvPr id="2094" name="Textbox 2094"/>
                      <wps:cNvSpPr txBox="1"/>
                      <wps:spPr>
                        <a:xfrm>
                          <a:off x="0" y="0"/>
                          <a:ext cx="6524625" cy="727710"/>
                        </a:xfrm>
                        <a:prstGeom prst="rect">
                          <a:avLst/>
                        </a:prstGeom>
                      </wps:spPr>
                      <wps:txbx>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08"/>
                              <w:gridCol w:w="2384"/>
                              <w:gridCol w:w="676"/>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08" w:type="dxa"/>
                                  <w:tcBorders>
                                    <w:left w:val="single" w:sz="6" w:space="0" w:color="000000"/>
                                    <w:bottom w:val="single" w:sz="6" w:space="0" w:color="000000"/>
                                    <w:right w:val="nil"/>
                                  </w:tcBorders>
                                </w:tcPr>
                                <w:p>
                                  <w:pPr>
                                    <w:pStyle w:val="TableParagraph"/>
                                    <w:rPr>
                                      <w:rFonts w:ascii="Times New Roman"/>
                                      <w:sz w:val="14"/>
                                    </w:rPr>
                                  </w:pPr>
                                </w:p>
                              </w:tc>
                              <w:tc>
                                <w:tcPr>
                                  <w:tcW w:w="2384" w:type="dxa"/>
                                  <w:tcBorders>
                                    <w:top w:val="nil"/>
                                    <w:left w:val="nil"/>
                                    <w:bottom w:val="single" w:sz="6" w:space="0" w:color="000000"/>
                                    <w:right w:val="nil"/>
                                  </w:tcBorders>
                                  <w:shd w:val="clear" w:color="auto" w:fill="000000"/>
                                </w:tcPr>
                                <w:p>
                                  <w:pPr>
                                    <w:pStyle w:val="TableParagraph"/>
                                    <w:rPr>
                                      <w:rFonts w:ascii="Times New Roman"/>
                                      <w:sz w:val="14"/>
                                    </w:rPr>
                                  </w:pPr>
                                </w:p>
                              </w:tc>
                              <w:tc>
                                <w:tcPr>
                                  <w:tcW w:w="1217"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2095" name="Image 2095"/>
                                        <wp:cNvGraphicFramePr>
                                          <a:graphicFrameLocks/>
                                        </wp:cNvGraphicFramePr>
                                        <a:graphic>
                                          <a:graphicData uri="http://schemas.openxmlformats.org/drawingml/2006/picture">
                                            <pic:pic>
                                              <pic:nvPicPr>
                                                <pic:cNvPr id="2095" name="Image 2095"/>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2096" name="Image 2096"/>
                                        <wp:cNvGraphicFramePr>
                                          <a:graphicFrameLocks/>
                                        </wp:cNvGraphicFramePr>
                                        <a:graphic>
                                          <a:graphicData uri="http://schemas.openxmlformats.org/drawingml/2006/picture">
                                            <pic:pic>
                                              <pic:nvPicPr>
                                                <pic:cNvPr id="2096" name="Image 2096"/>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2097" name="Image 2097"/>
                                        <wp:cNvGraphicFramePr>
                                          <a:graphicFrameLocks/>
                                        </wp:cNvGraphicFramePr>
                                        <a:graphic>
                                          <a:graphicData uri="http://schemas.openxmlformats.org/drawingml/2006/picture">
                                            <pic:pic>
                                              <pic:nvPicPr>
                                                <pic:cNvPr id="2097" name="Image 2097"/>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2098" name="Image 2098"/>
                                        <wp:cNvGraphicFramePr>
                                          <a:graphicFrameLocks/>
                                        </wp:cNvGraphicFramePr>
                                        <a:graphic>
                                          <a:graphicData uri="http://schemas.openxmlformats.org/drawingml/2006/picture">
                                            <pic:pic>
                                              <pic:nvPicPr>
                                                <pic:cNvPr id="2098" name="Image 2098"/>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6"/>
                                    <w:jc w:val="center"/>
                                    <w:rPr>
                                      <w:rFonts w:ascii="Arial"/>
                                      <w:sz w:val="14"/>
                                    </w:rPr>
                                  </w:pPr>
                                  <w:r>
                                    <w:rPr>
                                      <w:rFonts w:ascii="Arial"/>
                                      <w:spacing w:val="-2"/>
                                      <w:sz w:val="14"/>
                                    </w:rPr>
                                    <w:t>40/40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2099" name="Image 2099"/>
                                        <wp:cNvGraphicFramePr>
                                          <a:graphicFrameLocks/>
                                        </wp:cNvGraphicFramePr>
                                        <a:graphic>
                                          <a:graphicData uri="http://schemas.openxmlformats.org/drawingml/2006/picture">
                                            <pic:pic>
                                              <pic:nvPicPr>
                                                <pic:cNvPr id="2099" name="Image 2099"/>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2100" name="Image 2100"/>
                                        <wp:cNvGraphicFramePr>
                                          <a:graphicFrameLocks/>
                                        </wp:cNvGraphicFramePr>
                                        <a:graphic>
                                          <a:graphicData uri="http://schemas.openxmlformats.org/drawingml/2006/picture">
                                            <pic:pic>
                                              <pic:nvPicPr>
                                                <pic:cNvPr id="2100" name="Image 2100"/>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wps:txbx>
                      <wps:bodyPr wrap="square" lIns="0" tIns="0" rIns="0" bIns="0" rtlCol="0">
                        <a:noAutofit/>
                      </wps:bodyPr>
                    </wps:wsp>
                  </a:graphicData>
                </a:graphic>
              </wp:inline>
            </w:drawing>
          </mc:Choice>
          <mc:Fallback>
            <w:pict>
              <v:shape style="width:513.75pt;height:57.3pt;mso-position-horizontal-relative:char;mso-position-vertical-relative:line" type="#_x0000_t202" id="docshape1515" filled="false" stroked="false">
                <w10:anchorlock/>
                <v:textbox inset="0,0,0,0">
                  <w:txbxContent>
                    <w:tbl>
                      <w:tblPr>
                        <w:tblW w:w="0" w:type="auto"/>
                        <w:jc w:val="left"/>
                        <w:tblInd w:w="7"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065"/>
                        <w:gridCol w:w="1508"/>
                        <w:gridCol w:w="2384"/>
                        <w:gridCol w:w="676"/>
                        <w:gridCol w:w="541"/>
                        <w:gridCol w:w="1022"/>
                        <w:gridCol w:w="817"/>
                        <w:gridCol w:w="1247"/>
                      </w:tblGrid>
                      <w:tr>
                        <w:trPr>
                          <w:trHeight w:val="209" w:hRule="atLeast"/>
                        </w:trPr>
                        <w:tc>
                          <w:tcPr>
                            <w:tcW w:w="2065" w:type="dxa"/>
                            <w:tcBorders>
                              <w:bottom w:val="single" w:sz="6" w:space="0" w:color="000000"/>
                              <w:right w:val="single" w:sz="6" w:space="0" w:color="000000"/>
                            </w:tcBorders>
                          </w:tcPr>
                          <w:p>
                            <w:pPr>
                              <w:pStyle w:val="TableParagraph"/>
                              <w:rPr>
                                <w:rFonts w:ascii="Times New Roman"/>
                                <w:sz w:val="14"/>
                              </w:rPr>
                            </w:pPr>
                          </w:p>
                        </w:tc>
                        <w:tc>
                          <w:tcPr>
                            <w:tcW w:w="1508" w:type="dxa"/>
                            <w:tcBorders>
                              <w:left w:val="single" w:sz="6" w:space="0" w:color="000000"/>
                              <w:bottom w:val="single" w:sz="6" w:space="0" w:color="000000"/>
                              <w:right w:val="nil"/>
                            </w:tcBorders>
                          </w:tcPr>
                          <w:p>
                            <w:pPr>
                              <w:pStyle w:val="TableParagraph"/>
                              <w:rPr>
                                <w:rFonts w:ascii="Times New Roman"/>
                                <w:sz w:val="14"/>
                              </w:rPr>
                            </w:pPr>
                          </w:p>
                        </w:tc>
                        <w:tc>
                          <w:tcPr>
                            <w:tcW w:w="2384" w:type="dxa"/>
                            <w:tcBorders>
                              <w:top w:val="nil"/>
                              <w:left w:val="nil"/>
                              <w:bottom w:val="single" w:sz="6" w:space="0" w:color="000000"/>
                              <w:right w:val="nil"/>
                            </w:tcBorders>
                            <w:shd w:val="clear" w:color="auto" w:fill="000000"/>
                          </w:tcPr>
                          <w:p>
                            <w:pPr>
                              <w:pStyle w:val="TableParagraph"/>
                              <w:rPr>
                                <w:rFonts w:ascii="Times New Roman"/>
                                <w:sz w:val="14"/>
                              </w:rPr>
                            </w:pPr>
                          </w:p>
                        </w:tc>
                        <w:tc>
                          <w:tcPr>
                            <w:tcW w:w="1217" w:type="dxa"/>
                            <w:gridSpan w:val="2"/>
                            <w:tcBorders>
                              <w:left w:val="nil"/>
                              <w:bottom w:val="single" w:sz="6" w:space="0" w:color="000000"/>
                              <w:right w:val="single" w:sz="6" w:space="0" w:color="000000"/>
                            </w:tcBorders>
                          </w:tcPr>
                          <w:p>
                            <w:pPr>
                              <w:pStyle w:val="TableParagraph"/>
                              <w:rPr>
                                <w:rFonts w:ascii="Times New Roman"/>
                                <w:sz w:val="14"/>
                              </w:rPr>
                            </w:pPr>
                          </w:p>
                        </w:tc>
                        <w:tc>
                          <w:tcPr>
                            <w:tcW w:w="1022" w:type="dxa"/>
                            <w:tcBorders>
                              <w:left w:val="single" w:sz="6" w:space="0" w:color="000000"/>
                              <w:bottom w:val="single" w:sz="6" w:space="0" w:color="000000"/>
                              <w:right w:val="single" w:sz="6" w:space="0" w:color="000000"/>
                            </w:tcBorders>
                            <w:shd w:val="clear" w:color="auto" w:fill="CCCCCC"/>
                          </w:tcPr>
                          <w:p>
                            <w:pPr>
                              <w:pStyle w:val="TableParagraph"/>
                              <w:spacing w:before="4"/>
                              <w:rPr>
                                <w:rFonts w:ascii="Arial"/>
                                <w:sz w:val="6"/>
                              </w:rPr>
                            </w:pPr>
                          </w:p>
                          <w:p>
                            <w:pPr>
                              <w:pStyle w:val="TableParagraph"/>
                              <w:spacing w:line="105" w:lineRule="exact"/>
                              <w:ind w:left="304"/>
                              <w:rPr>
                                <w:rFonts w:ascii="Arial"/>
                                <w:position w:val="-1"/>
                                <w:sz w:val="10"/>
                              </w:rPr>
                            </w:pPr>
                            <w:r>
                              <w:rPr>
                                <w:rFonts w:ascii="Arial"/>
                                <w:position w:val="-1"/>
                                <w:sz w:val="10"/>
                              </w:rPr>
                              <w:drawing>
                                <wp:inline distT="0" distB="0" distL="0" distR="0">
                                  <wp:extent cx="266700" cy="66675"/>
                                  <wp:effectExtent l="0" t="0" r="0" b="0"/>
                                  <wp:docPr id="2101" name="Image 2101"/>
                                  <wp:cNvGraphicFramePr>
                                    <a:graphicFrameLocks/>
                                  </wp:cNvGraphicFramePr>
                                  <a:graphic>
                                    <a:graphicData uri="http://schemas.openxmlformats.org/drawingml/2006/picture">
                                      <pic:pic>
                                        <pic:nvPicPr>
                                          <pic:cNvPr id="2101" name="Image 2101"/>
                                          <pic:cNvPicPr/>
                                        </pic:nvPicPr>
                                        <pic:blipFill>
                                          <a:blip r:embed="rId182" cstate="print"/>
                                          <a:stretch>
                                            <a:fillRect/>
                                          </a:stretch>
                                        </pic:blipFill>
                                        <pic:spPr>
                                          <a:xfrm>
                                            <a:off x="0" y="0"/>
                                            <a:ext cx="266700" cy="66675"/>
                                          </a:xfrm>
                                          <a:prstGeom prst="rect">
                                            <a:avLst/>
                                          </a:prstGeom>
                                        </pic:spPr>
                                      </pic:pic>
                                    </a:graphicData>
                                  </a:graphic>
                                </wp:inline>
                              </w:drawing>
                            </w:r>
                            <w:r>
                              <w:rPr>
                                <w:rFonts w:ascii="Arial"/>
                                <w:position w:val="-1"/>
                                <w:sz w:val="10"/>
                              </w:rPr>
                            </w:r>
                          </w:p>
                        </w:tc>
                        <w:tc>
                          <w:tcPr>
                            <w:tcW w:w="2064" w:type="dxa"/>
                            <w:gridSpan w:val="2"/>
                            <w:tcBorders>
                              <w:left w:val="single" w:sz="6" w:space="0" w:color="000000"/>
                              <w:bottom w:val="single" w:sz="6" w:space="0" w:color="000000"/>
                            </w:tcBorders>
                            <w:shd w:val="clear" w:color="auto" w:fill="CCCCCC"/>
                          </w:tcPr>
                          <w:p>
                            <w:pPr>
                              <w:pStyle w:val="TableParagraph"/>
                              <w:spacing w:before="4"/>
                              <w:rPr>
                                <w:rFonts w:ascii="Arial"/>
                                <w:sz w:val="6"/>
                              </w:rPr>
                            </w:pPr>
                          </w:p>
                          <w:p>
                            <w:pPr>
                              <w:pStyle w:val="TableParagraph"/>
                              <w:spacing w:line="133" w:lineRule="exact"/>
                              <w:ind w:left="626"/>
                              <w:rPr>
                                <w:rFonts w:ascii="Arial"/>
                                <w:position w:val="-2"/>
                                <w:sz w:val="13"/>
                              </w:rPr>
                            </w:pPr>
                            <w:r>
                              <w:rPr>
                                <w:rFonts w:ascii="Arial"/>
                                <w:position w:val="-2"/>
                                <w:sz w:val="13"/>
                              </w:rPr>
                              <w:drawing>
                                <wp:inline distT="0" distB="0" distL="0" distR="0">
                                  <wp:extent cx="498011" cy="85058"/>
                                  <wp:effectExtent l="0" t="0" r="0" b="0"/>
                                  <wp:docPr id="2102" name="Image 2102"/>
                                  <wp:cNvGraphicFramePr>
                                    <a:graphicFrameLocks/>
                                  </wp:cNvGraphicFramePr>
                                  <a:graphic>
                                    <a:graphicData uri="http://schemas.openxmlformats.org/drawingml/2006/picture">
                                      <pic:pic>
                                        <pic:nvPicPr>
                                          <pic:cNvPr id="2102" name="Image 2102"/>
                                          <pic:cNvPicPr/>
                                        </pic:nvPicPr>
                                        <pic:blipFill>
                                          <a:blip r:embed="rId183" cstate="print"/>
                                          <a:stretch>
                                            <a:fillRect/>
                                          </a:stretch>
                                        </pic:blipFill>
                                        <pic:spPr>
                                          <a:xfrm>
                                            <a:off x="0" y="0"/>
                                            <a:ext cx="498011" cy="85058"/>
                                          </a:xfrm>
                                          <a:prstGeom prst="rect">
                                            <a:avLst/>
                                          </a:prstGeom>
                                        </pic:spPr>
                                      </pic:pic>
                                    </a:graphicData>
                                  </a:graphic>
                                </wp:inline>
                              </w:drawing>
                            </w:r>
                            <w:r>
                              <w:rPr>
                                <w:rFonts w:ascii="Arial"/>
                                <w:position w:val="-2"/>
                                <w:sz w:val="13"/>
                              </w:rPr>
                            </w:r>
                          </w:p>
                        </w:tc>
                      </w:tr>
                      <w:tr>
                        <w:trPr>
                          <w:trHeight w:val="203" w:hRule="atLeast"/>
                        </w:trPr>
                        <w:tc>
                          <w:tcPr>
                            <w:tcW w:w="2065" w:type="dxa"/>
                            <w:tcBorders>
                              <w:top w:val="single" w:sz="6" w:space="0" w:color="000000"/>
                              <w:bottom w:val="single" w:sz="6" w:space="0" w:color="000000"/>
                              <w:right w:val="single" w:sz="6" w:space="0" w:color="000000"/>
                            </w:tcBorders>
                          </w:tcPr>
                          <w:p>
                            <w:pPr>
                              <w:pStyle w:val="TableParagraph"/>
                              <w:rPr>
                                <w:rFonts w:ascii="Times New Roman"/>
                                <w:sz w:val="14"/>
                              </w:rPr>
                            </w:pP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36"/>
                              <w:rPr>
                                <w:rFonts w:ascii="Arial"/>
                                <w:sz w:val="14"/>
                              </w:rPr>
                            </w:pPr>
                            <w:r>
                              <w:rPr>
                                <w:rFonts w:ascii="Arial"/>
                                <w:sz w:val="14"/>
                              </w:rPr>
                              <w:t>Francisco</w:t>
                            </w:r>
                            <w:r>
                              <w:rPr>
                                <w:rFonts w:ascii="Arial"/>
                                <w:spacing w:val="-8"/>
                                <w:sz w:val="14"/>
                              </w:rPr>
                              <w:t> </w:t>
                            </w:r>
                            <w:r>
                              <w:rPr>
                                <w:rFonts w:ascii="Arial"/>
                                <w:sz w:val="14"/>
                              </w:rPr>
                              <w:t>de</w:t>
                            </w:r>
                            <w:r>
                              <w:rPr>
                                <w:rFonts w:ascii="Arial"/>
                                <w:spacing w:val="-6"/>
                                <w:sz w:val="14"/>
                              </w:rPr>
                              <w:t> </w:t>
                            </w:r>
                            <w:r>
                              <w:rPr>
                                <w:rFonts w:ascii="Arial"/>
                                <w:sz w:val="14"/>
                              </w:rPr>
                              <w:t>la</w:t>
                            </w:r>
                            <w:r>
                              <w:rPr>
                                <w:rFonts w:ascii="Arial"/>
                                <w:spacing w:val="-5"/>
                                <w:sz w:val="14"/>
                              </w:rPr>
                              <w:t> </w:t>
                            </w:r>
                            <w:r>
                              <w:rPr>
                                <w:rFonts w:ascii="Arial"/>
                                <w:sz w:val="14"/>
                              </w:rPr>
                              <w:t>Torre</w:t>
                            </w:r>
                            <w:r>
                              <w:rPr>
                                <w:rFonts w:ascii="Arial"/>
                                <w:spacing w:val="-5"/>
                                <w:sz w:val="14"/>
                              </w:rPr>
                              <w:t> </w:t>
                            </w:r>
                            <w:r>
                              <w:rPr>
                                <w:rFonts w:ascii="Arial"/>
                                <w:sz w:val="14"/>
                              </w:rPr>
                              <w:t>Prados</w:t>
                            </w:r>
                            <w:r>
                              <w:rPr>
                                <w:rFonts w:ascii="Arial"/>
                                <w:spacing w:val="-7"/>
                                <w:sz w:val="14"/>
                              </w:rPr>
                              <w:t> </w:t>
                            </w:r>
                            <w:r>
                              <w:rPr>
                                <w:rFonts w:ascii="Arial"/>
                                <w:sz w:val="14"/>
                              </w:rPr>
                              <w:t>-</w:t>
                            </w:r>
                            <w:r>
                              <w:rPr>
                                <w:rFonts w:ascii="Arial"/>
                                <w:spacing w:val="-7"/>
                                <w:sz w:val="14"/>
                              </w:rPr>
                              <w:t> </w:t>
                            </w:r>
                            <w:r>
                              <w:rPr>
                                <w:rFonts w:ascii="Arial"/>
                                <w:sz w:val="14"/>
                              </w:rPr>
                              <w:t>Alcalde</w:t>
                            </w:r>
                            <w:r>
                              <w:rPr>
                                <w:rFonts w:ascii="Arial"/>
                                <w:spacing w:val="-7"/>
                                <w:sz w:val="14"/>
                              </w:rPr>
                              <w:t> </w:t>
                            </w:r>
                            <w:r>
                              <w:rPr>
                                <w:rFonts w:ascii="Arial"/>
                                <w:spacing w:val="-2"/>
                                <w:sz w:val="14"/>
                              </w:rPr>
                              <w:t>Presidente</w:t>
                            </w:r>
                          </w:p>
                        </w:tc>
                        <w:tc>
                          <w:tcPr>
                            <w:tcW w:w="1022" w:type="dxa"/>
                            <w:tcBorders>
                              <w:top w:val="single" w:sz="6" w:space="0" w:color="000000"/>
                              <w:left w:val="single" w:sz="6" w:space="0" w:color="000000"/>
                              <w:bottom w:val="single" w:sz="6" w:space="0" w:color="000000"/>
                              <w:right w:val="single" w:sz="6" w:space="0" w:color="000000"/>
                            </w:tcBorders>
                          </w:tcPr>
                          <w:p>
                            <w:pPr>
                              <w:pStyle w:val="TableParagraph"/>
                              <w:spacing w:line="145" w:lineRule="exact" w:before="39"/>
                              <w:ind w:left="255"/>
                              <w:rPr>
                                <w:rFonts w:ascii="Arial"/>
                                <w:sz w:val="14"/>
                              </w:rPr>
                            </w:pPr>
                            <w:r>
                              <w:rPr>
                                <w:rFonts w:ascii="Arial"/>
                                <w:spacing w:val="-2"/>
                                <w:sz w:val="14"/>
                              </w:rPr>
                              <w:t>Firmado</w:t>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383"/>
                              <w:rPr>
                                <w:rFonts w:ascii="Arial"/>
                                <w:sz w:val="14"/>
                              </w:rPr>
                            </w:pPr>
                            <w:r>
                              <w:rPr>
                                <w:rFonts w:ascii="Arial"/>
                                <w:spacing w:val="-2"/>
                                <w:sz w:val="14"/>
                              </w:rPr>
                              <w:t>04/11/2025</w:t>
                            </w:r>
                            <w:r>
                              <w:rPr>
                                <w:rFonts w:ascii="Arial"/>
                                <w:spacing w:val="1"/>
                                <w:sz w:val="14"/>
                              </w:rPr>
                              <w:t> </w:t>
                            </w:r>
                            <w:r>
                              <w:rPr>
                                <w:rFonts w:ascii="Arial"/>
                                <w:spacing w:val="-2"/>
                                <w:sz w:val="14"/>
                              </w:rPr>
                              <w:t>12:11:01</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07" w:lineRule="exact"/>
                              <w:ind w:left="565"/>
                              <w:rPr>
                                <w:rFonts w:ascii="Arial"/>
                                <w:position w:val="-1"/>
                                <w:sz w:val="10"/>
                              </w:rPr>
                            </w:pPr>
                            <w:r>
                              <w:rPr>
                                <w:rFonts w:ascii="Arial"/>
                                <w:position w:val="-1"/>
                                <w:sz w:val="10"/>
                              </w:rPr>
                              <w:drawing>
                                <wp:inline distT="0" distB="0" distL="0" distR="0">
                                  <wp:extent cx="580339" cy="68008"/>
                                  <wp:effectExtent l="0" t="0" r="0" b="0"/>
                                  <wp:docPr id="2103" name="Image 2103"/>
                                  <wp:cNvGraphicFramePr>
                                    <a:graphicFrameLocks/>
                                  </wp:cNvGraphicFramePr>
                                  <a:graphic>
                                    <a:graphicData uri="http://schemas.openxmlformats.org/drawingml/2006/picture">
                                      <pic:pic>
                                        <pic:nvPicPr>
                                          <pic:cNvPr id="2103" name="Image 2103"/>
                                          <pic:cNvPicPr/>
                                        </pic:nvPicPr>
                                        <pic:blipFill>
                                          <a:blip r:embed="rId184" cstate="print"/>
                                          <a:stretch>
                                            <a:fillRect/>
                                          </a:stretch>
                                        </pic:blipFill>
                                        <pic:spPr>
                                          <a:xfrm>
                                            <a:off x="0" y="0"/>
                                            <a:ext cx="580339" cy="68008"/>
                                          </a:xfrm>
                                          <a:prstGeom prst="rect">
                                            <a:avLst/>
                                          </a:prstGeom>
                                        </pic:spPr>
                                      </pic:pic>
                                    </a:graphicData>
                                  </a:graphic>
                                </wp:inline>
                              </w:drawing>
                            </w:r>
                            <w:r>
                              <w:rPr>
                                <w:rFonts w:ascii="Arial"/>
                                <w:position w:val="-1"/>
                                <w:sz w:val="10"/>
                              </w:rPr>
                            </w:r>
                          </w:p>
                        </w:tc>
                        <w:tc>
                          <w:tcPr>
                            <w:tcW w:w="5109" w:type="dxa"/>
                            <w:gridSpan w:val="4"/>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4"/>
                              </w:rPr>
                            </w:pPr>
                          </w:p>
                        </w:tc>
                        <w:tc>
                          <w:tcPr>
                            <w:tcW w:w="1022"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rPr>
                                <w:rFonts w:ascii="Arial"/>
                                <w:sz w:val="6"/>
                              </w:rPr>
                            </w:pPr>
                          </w:p>
                          <w:p>
                            <w:pPr>
                              <w:pStyle w:val="TableParagraph"/>
                              <w:spacing w:line="132" w:lineRule="exact"/>
                              <w:ind w:left="304"/>
                              <w:rPr>
                                <w:rFonts w:ascii="Arial"/>
                                <w:position w:val="-2"/>
                                <w:sz w:val="13"/>
                              </w:rPr>
                            </w:pPr>
                            <w:r>
                              <w:rPr>
                                <w:rFonts w:ascii="Arial"/>
                                <w:position w:val="-2"/>
                                <w:sz w:val="13"/>
                              </w:rPr>
                              <w:drawing>
                                <wp:inline distT="0" distB="0" distL="0" distR="0">
                                  <wp:extent cx="263120" cy="84010"/>
                                  <wp:effectExtent l="0" t="0" r="0" b="0"/>
                                  <wp:docPr id="2104" name="Image 2104"/>
                                  <wp:cNvGraphicFramePr>
                                    <a:graphicFrameLocks/>
                                  </wp:cNvGraphicFramePr>
                                  <a:graphic>
                                    <a:graphicData uri="http://schemas.openxmlformats.org/drawingml/2006/picture">
                                      <pic:pic>
                                        <pic:nvPicPr>
                                          <pic:cNvPr id="2104" name="Image 2104"/>
                                          <pic:cNvPicPr/>
                                        </pic:nvPicPr>
                                        <pic:blipFill>
                                          <a:blip r:embed="rId185" cstate="print"/>
                                          <a:stretch>
                                            <a:fillRect/>
                                          </a:stretch>
                                        </pic:blipFill>
                                        <pic:spPr>
                                          <a:xfrm>
                                            <a:off x="0" y="0"/>
                                            <a:ext cx="263120" cy="84010"/>
                                          </a:xfrm>
                                          <a:prstGeom prst="rect">
                                            <a:avLst/>
                                          </a:prstGeom>
                                        </pic:spPr>
                                      </pic:pic>
                                    </a:graphicData>
                                  </a:graphic>
                                </wp:inline>
                              </w:drawing>
                            </w:r>
                            <w:r>
                              <w:rPr>
                                <w:rFonts w:ascii="Arial"/>
                                <w:position w:val="-2"/>
                                <w:sz w:val="13"/>
                              </w:rPr>
                            </w:r>
                          </w:p>
                        </w:tc>
                        <w:tc>
                          <w:tcPr>
                            <w:tcW w:w="2064" w:type="dxa"/>
                            <w:gridSpan w:val="2"/>
                            <w:tcBorders>
                              <w:top w:val="single" w:sz="6" w:space="0" w:color="000000"/>
                              <w:left w:val="single" w:sz="6" w:space="0" w:color="000000"/>
                              <w:bottom w:val="single" w:sz="6" w:space="0" w:color="000000"/>
                            </w:tcBorders>
                          </w:tcPr>
                          <w:p>
                            <w:pPr>
                              <w:pStyle w:val="TableParagraph"/>
                              <w:spacing w:line="145" w:lineRule="exact" w:before="39"/>
                              <w:ind w:left="16" w:right="6"/>
                              <w:jc w:val="center"/>
                              <w:rPr>
                                <w:rFonts w:ascii="Arial"/>
                                <w:sz w:val="14"/>
                              </w:rPr>
                            </w:pPr>
                            <w:r>
                              <w:rPr>
                                <w:rFonts w:ascii="Arial"/>
                                <w:spacing w:val="-2"/>
                                <w:sz w:val="14"/>
                              </w:rPr>
                              <w:t>40/40</w:t>
                            </w:r>
                          </w:p>
                        </w:tc>
                      </w:tr>
                      <w:tr>
                        <w:trPr>
                          <w:trHeight w:val="203" w:hRule="atLeast"/>
                        </w:trPr>
                        <w:tc>
                          <w:tcPr>
                            <w:tcW w:w="2065" w:type="dxa"/>
                            <w:tcBorders>
                              <w:top w:val="single" w:sz="6" w:space="0" w:color="000000"/>
                              <w:bottom w:val="single" w:sz="6" w:space="0" w:color="000000"/>
                              <w:right w:val="single" w:sz="6" w:space="0" w:color="000000"/>
                            </w:tcBorders>
                            <w:shd w:val="clear" w:color="auto" w:fill="CCCCCC"/>
                          </w:tcPr>
                          <w:p>
                            <w:pPr>
                              <w:pStyle w:val="TableParagraph"/>
                              <w:spacing w:before="9"/>
                              <w:rPr>
                                <w:rFonts w:ascii="Arial"/>
                                <w:sz w:val="5"/>
                              </w:rPr>
                            </w:pPr>
                          </w:p>
                          <w:p>
                            <w:pPr>
                              <w:pStyle w:val="TableParagraph"/>
                              <w:spacing w:line="111" w:lineRule="exact"/>
                              <w:ind w:left="457"/>
                              <w:rPr>
                                <w:rFonts w:ascii="Arial"/>
                                <w:position w:val="-1"/>
                                <w:sz w:val="11"/>
                              </w:rPr>
                            </w:pPr>
                            <w:r>
                              <w:rPr>
                                <w:rFonts w:ascii="Arial"/>
                                <w:position w:val="-1"/>
                                <w:sz w:val="11"/>
                              </w:rPr>
                              <w:drawing>
                                <wp:inline distT="0" distB="0" distL="0" distR="0">
                                  <wp:extent cx="728264" cy="70675"/>
                                  <wp:effectExtent l="0" t="0" r="0" b="0"/>
                                  <wp:docPr id="2105" name="Image 2105"/>
                                  <wp:cNvGraphicFramePr>
                                    <a:graphicFrameLocks/>
                                  </wp:cNvGraphicFramePr>
                                  <a:graphic>
                                    <a:graphicData uri="http://schemas.openxmlformats.org/drawingml/2006/picture">
                                      <pic:pic>
                                        <pic:nvPicPr>
                                          <pic:cNvPr id="2105" name="Image 2105"/>
                                          <pic:cNvPicPr/>
                                        </pic:nvPicPr>
                                        <pic:blipFill>
                                          <a:blip r:embed="rId186" cstate="print"/>
                                          <a:stretch>
                                            <a:fillRect/>
                                          </a:stretch>
                                        </pic:blipFill>
                                        <pic:spPr>
                                          <a:xfrm>
                                            <a:off x="0" y="0"/>
                                            <a:ext cx="728264" cy="70675"/>
                                          </a:xfrm>
                                          <a:prstGeom prst="rect">
                                            <a:avLst/>
                                          </a:prstGeom>
                                        </pic:spPr>
                                      </pic:pic>
                                    </a:graphicData>
                                  </a:graphic>
                                </wp:inline>
                              </w:drawing>
                            </w:r>
                            <w:r>
                              <w:rPr>
                                <w:rFonts w:ascii="Arial"/>
                                <w:position w:val="-1"/>
                                <w:sz w:val="11"/>
                              </w:rPr>
                            </w:r>
                          </w:p>
                        </w:tc>
                        <w:tc>
                          <w:tcPr>
                            <w:tcW w:w="4568" w:type="dxa"/>
                            <w:gridSpan w:val="3"/>
                            <w:tcBorders>
                              <w:top w:val="single" w:sz="6" w:space="0" w:color="000000"/>
                              <w:left w:val="single" w:sz="6" w:space="0" w:color="000000"/>
                              <w:bottom w:val="single" w:sz="6" w:space="0" w:color="000000"/>
                              <w:right w:val="nil"/>
                            </w:tcBorders>
                          </w:tcPr>
                          <w:p>
                            <w:pPr>
                              <w:pStyle w:val="TableParagraph"/>
                              <w:spacing w:line="127" w:lineRule="exact" w:before="56"/>
                              <w:ind w:left="1244"/>
                              <w:rPr>
                                <w:rFonts w:ascii="Courier New"/>
                                <w:sz w:val="14"/>
                              </w:rPr>
                            </w:pPr>
                            <w:hyperlink r:id="rId187">
                              <w:r>
                                <w:rPr>
                                  <w:rFonts w:ascii="Courier New"/>
                                  <w:spacing w:val="-2"/>
                                  <w:sz w:val="14"/>
                                </w:rPr>
                                <w:t>https://valida.malaga.eu/verifirma/code</w:t>
                              </w:r>
                            </w:hyperlink>
                          </w:p>
                        </w:tc>
                        <w:tc>
                          <w:tcPr>
                            <w:tcW w:w="2380" w:type="dxa"/>
                            <w:gridSpan w:val="3"/>
                            <w:tcBorders>
                              <w:top w:val="single" w:sz="6" w:space="0" w:color="000000"/>
                              <w:left w:val="nil"/>
                              <w:bottom w:val="single" w:sz="6" w:space="0" w:color="000000"/>
                              <w:right w:val="nil"/>
                            </w:tcBorders>
                            <w:shd w:val="clear" w:color="auto" w:fill="000000"/>
                          </w:tcPr>
                          <w:p>
                            <w:pPr>
                              <w:pStyle w:val="TableParagraph"/>
                              <w:rPr>
                                <w:rFonts w:ascii="Times New Roman"/>
                                <w:sz w:val="14"/>
                              </w:rPr>
                            </w:pPr>
                          </w:p>
                        </w:tc>
                        <w:tc>
                          <w:tcPr>
                            <w:tcW w:w="1247" w:type="dxa"/>
                            <w:tcBorders>
                              <w:top w:val="single" w:sz="6" w:space="0" w:color="000000"/>
                              <w:left w:val="nil"/>
                              <w:bottom w:val="single" w:sz="6" w:space="0" w:color="000000"/>
                            </w:tcBorders>
                          </w:tcPr>
                          <w:p>
                            <w:pPr>
                              <w:pStyle w:val="TableParagraph"/>
                              <w:rPr>
                                <w:rFonts w:ascii="Times New Roman"/>
                                <w:sz w:val="14"/>
                              </w:rPr>
                            </w:pPr>
                          </w:p>
                        </w:tc>
                      </w:tr>
                      <w:tr>
                        <w:trPr>
                          <w:trHeight w:val="208" w:hRule="atLeast"/>
                        </w:trPr>
                        <w:tc>
                          <w:tcPr>
                            <w:tcW w:w="2065" w:type="dxa"/>
                            <w:tcBorders>
                              <w:top w:val="single" w:sz="6" w:space="0" w:color="000000"/>
                              <w:right w:val="single" w:sz="6" w:space="0" w:color="000000"/>
                            </w:tcBorders>
                            <w:shd w:val="clear" w:color="auto" w:fill="CCCCCC"/>
                          </w:tcPr>
                          <w:p>
                            <w:pPr>
                              <w:pStyle w:val="TableParagraph"/>
                              <w:rPr>
                                <w:rFonts w:ascii="Arial"/>
                                <w:sz w:val="6"/>
                              </w:rPr>
                            </w:pPr>
                          </w:p>
                          <w:p>
                            <w:pPr>
                              <w:pStyle w:val="TableParagraph"/>
                              <w:spacing w:line="105" w:lineRule="exact"/>
                              <w:ind w:left="716"/>
                              <w:rPr>
                                <w:rFonts w:ascii="Arial"/>
                                <w:position w:val="-1"/>
                                <w:sz w:val="10"/>
                              </w:rPr>
                            </w:pPr>
                            <w:r>
                              <w:rPr>
                                <w:rFonts w:ascii="Arial"/>
                                <w:position w:val="-1"/>
                                <w:sz w:val="10"/>
                              </w:rPr>
                              <w:drawing>
                                <wp:inline distT="0" distB="0" distL="0" distR="0">
                                  <wp:extent cx="392473" cy="66675"/>
                                  <wp:effectExtent l="0" t="0" r="0" b="0"/>
                                  <wp:docPr id="2106" name="Image 2106"/>
                                  <wp:cNvGraphicFramePr>
                                    <a:graphicFrameLocks/>
                                  </wp:cNvGraphicFramePr>
                                  <a:graphic>
                                    <a:graphicData uri="http://schemas.openxmlformats.org/drawingml/2006/picture">
                                      <pic:pic>
                                        <pic:nvPicPr>
                                          <pic:cNvPr id="2106" name="Image 2106"/>
                                          <pic:cNvPicPr/>
                                        </pic:nvPicPr>
                                        <pic:blipFill>
                                          <a:blip r:embed="rId188" cstate="print"/>
                                          <a:stretch>
                                            <a:fillRect/>
                                          </a:stretch>
                                        </pic:blipFill>
                                        <pic:spPr>
                                          <a:xfrm>
                                            <a:off x="0" y="0"/>
                                            <a:ext cx="392473" cy="66675"/>
                                          </a:xfrm>
                                          <a:prstGeom prst="rect">
                                            <a:avLst/>
                                          </a:prstGeom>
                                        </pic:spPr>
                                      </pic:pic>
                                    </a:graphicData>
                                  </a:graphic>
                                </wp:inline>
                              </w:drawing>
                            </w:r>
                            <w:r>
                              <w:rPr>
                                <w:rFonts w:ascii="Arial"/>
                                <w:position w:val="-1"/>
                                <w:sz w:val="10"/>
                              </w:rPr>
                            </w:r>
                          </w:p>
                        </w:tc>
                        <w:tc>
                          <w:tcPr>
                            <w:tcW w:w="8195" w:type="dxa"/>
                            <w:gridSpan w:val="7"/>
                            <w:tcBorders>
                              <w:top w:val="single" w:sz="6" w:space="0" w:color="000000"/>
                              <w:left w:val="single" w:sz="6" w:space="0" w:color="000000"/>
                            </w:tcBorders>
                          </w:tcPr>
                          <w:p>
                            <w:pPr>
                              <w:pStyle w:val="TableParagraph"/>
                              <w:spacing w:line="148" w:lineRule="exact" w:before="41"/>
                              <w:ind w:left="36"/>
                              <w:rPr>
                                <w:rFonts w:ascii="Arial" w:hAnsi="Arial"/>
                                <w:sz w:val="14"/>
                              </w:rPr>
                            </w:pPr>
                            <w:r>
                              <w:rPr>
                                <w:rFonts w:ascii="Arial" w:hAnsi="Arial"/>
                                <w:sz w:val="14"/>
                              </w:rPr>
                              <w:t>Este</w:t>
                            </w:r>
                            <w:r>
                              <w:rPr>
                                <w:rFonts w:ascii="Arial" w:hAnsi="Arial"/>
                                <w:spacing w:val="-6"/>
                                <w:sz w:val="14"/>
                              </w:rPr>
                              <w:t> </w:t>
                            </w:r>
                            <w:r>
                              <w:rPr>
                                <w:rFonts w:ascii="Arial" w:hAnsi="Arial"/>
                                <w:sz w:val="14"/>
                              </w:rPr>
                              <w:t>informe</w:t>
                            </w:r>
                            <w:r>
                              <w:rPr>
                                <w:rFonts w:ascii="Arial" w:hAnsi="Arial"/>
                                <w:spacing w:val="-8"/>
                                <w:sz w:val="14"/>
                              </w:rPr>
                              <w:t> </w:t>
                            </w:r>
                            <w:r>
                              <w:rPr>
                                <w:rFonts w:ascii="Arial" w:hAnsi="Arial"/>
                                <w:sz w:val="14"/>
                              </w:rPr>
                              <w:t>tiene</w:t>
                            </w:r>
                            <w:r>
                              <w:rPr>
                                <w:rFonts w:ascii="Arial" w:hAnsi="Arial"/>
                                <w:spacing w:val="-7"/>
                                <w:sz w:val="14"/>
                              </w:rPr>
                              <w:t> </w:t>
                            </w:r>
                            <w:r>
                              <w:rPr>
                                <w:rFonts w:ascii="Arial" w:hAnsi="Arial"/>
                                <w:sz w:val="14"/>
                              </w:rPr>
                              <w:t>carácter</w:t>
                            </w:r>
                            <w:r>
                              <w:rPr>
                                <w:rFonts w:ascii="Arial" w:hAnsi="Arial"/>
                                <w:spacing w:val="-6"/>
                                <w:sz w:val="14"/>
                              </w:rPr>
                              <w:t> </w:t>
                            </w:r>
                            <w:r>
                              <w:rPr>
                                <w:rFonts w:ascii="Arial" w:hAnsi="Arial"/>
                                <w:sz w:val="14"/>
                              </w:rPr>
                              <w:t>de</w:t>
                            </w:r>
                            <w:r>
                              <w:rPr>
                                <w:rFonts w:ascii="Arial" w:hAnsi="Arial"/>
                                <w:spacing w:val="-8"/>
                                <w:sz w:val="14"/>
                              </w:rPr>
                              <w:t> </w:t>
                            </w:r>
                            <w:r>
                              <w:rPr>
                                <w:rFonts w:ascii="Arial" w:hAnsi="Arial"/>
                                <w:sz w:val="14"/>
                              </w:rPr>
                              <w:t>copia</w:t>
                            </w:r>
                            <w:r>
                              <w:rPr>
                                <w:rFonts w:ascii="Arial" w:hAnsi="Arial"/>
                                <w:spacing w:val="-9"/>
                                <w:sz w:val="14"/>
                              </w:rPr>
                              <w:t> </w:t>
                            </w:r>
                            <w:r>
                              <w:rPr>
                                <w:rFonts w:ascii="Arial" w:hAnsi="Arial"/>
                                <w:sz w:val="14"/>
                              </w:rPr>
                              <w:t>electrónica</w:t>
                            </w:r>
                            <w:r>
                              <w:rPr>
                                <w:rFonts w:ascii="Arial" w:hAnsi="Arial"/>
                                <w:spacing w:val="-6"/>
                                <w:sz w:val="14"/>
                              </w:rPr>
                              <w:t> </w:t>
                            </w:r>
                            <w:r>
                              <w:rPr>
                                <w:rFonts w:ascii="Arial" w:hAnsi="Arial"/>
                                <w:sz w:val="14"/>
                              </w:rPr>
                              <w:t>auténtica</w:t>
                            </w:r>
                            <w:r>
                              <w:rPr>
                                <w:rFonts w:ascii="Arial" w:hAnsi="Arial"/>
                                <w:spacing w:val="-7"/>
                                <w:sz w:val="14"/>
                              </w:rPr>
                              <w:t> </w:t>
                            </w:r>
                            <w:r>
                              <w:rPr>
                                <w:rFonts w:ascii="Arial" w:hAnsi="Arial"/>
                                <w:sz w:val="14"/>
                              </w:rPr>
                              <w:t>con</w:t>
                            </w:r>
                            <w:r>
                              <w:rPr>
                                <w:rFonts w:ascii="Arial" w:hAnsi="Arial"/>
                                <w:spacing w:val="-8"/>
                                <w:sz w:val="14"/>
                              </w:rPr>
                              <w:t> </w:t>
                            </w:r>
                            <w:r>
                              <w:rPr>
                                <w:rFonts w:ascii="Arial" w:hAnsi="Arial"/>
                                <w:sz w:val="14"/>
                              </w:rPr>
                              <w:t>validez</w:t>
                            </w:r>
                            <w:r>
                              <w:rPr>
                                <w:rFonts w:ascii="Arial" w:hAnsi="Arial"/>
                                <w:spacing w:val="-8"/>
                                <w:sz w:val="14"/>
                              </w:rPr>
                              <w:t> </w:t>
                            </w:r>
                            <w:r>
                              <w:rPr>
                                <w:rFonts w:ascii="Arial" w:hAnsi="Arial"/>
                                <w:sz w:val="14"/>
                              </w:rPr>
                              <w:t>y</w:t>
                            </w:r>
                            <w:r>
                              <w:rPr>
                                <w:rFonts w:ascii="Arial" w:hAnsi="Arial"/>
                                <w:spacing w:val="-7"/>
                                <w:sz w:val="14"/>
                              </w:rPr>
                              <w:t> </w:t>
                            </w:r>
                            <w:r>
                              <w:rPr>
                                <w:rFonts w:ascii="Arial" w:hAnsi="Arial"/>
                                <w:sz w:val="14"/>
                              </w:rPr>
                              <w:t>eficacia</w:t>
                            </w:r>
                            <w:r>
                              <w:rPr>
                                <w:rFonts w:ascii="Arial" w:hAnsi="Arial"/>
                                <w:spacing w:val="-9"/>
                                <w:sz w:val="14"/>
                              </w:rPr>
                              <w:t> </w:t>
                            </w:r>
                            <w:r>
                              <w:rPr>
                                <w:rFonts w:ascii="Arial" w:hAnsi="Arial"/>
                                <w:sz w:val="14"/>
                              </w:rPr>
                              <w:t>administrativa</w:t>
                            </w:r>
                            <w:r>
                              <w:rPr>
                                <w:rFonts w:ascii="Arial" w:hAnsi="Arial"/>
                                <w:spacing w:val="-7"/>
                                <w:sz w:val="14"/>
                              </w:rPr>
                              <w:t> </w:t>
                            </w:r>
                            <w:r>
                              <w:rPr>
                                <w:rFonts w:ascii="Arial" w:hAnsi="Arial"/>
                                <w:sz w:val="14"/>
                              </w:rPr>
                              <w:t>de</w:t>
                            </w:r>
                            <w:r>
                              <w:rPr>
                                <w:rFonts w:ascii="Arial" w:hAnsi="Arial"/>
                                <w:spacing w:val="-6"/>
                                <w:sz w:val="14"/>
                              </w:rPr>
                              <w:t> </w:t>
                            </w:r>
                            <w:r>
                              <w:rPr>
                                <w:rFonts w:ascii="Arial" w:hAnsi="Arial"/>
                                <w:sz w:val="14"/>
                              </w:rPr>
                              <w:t>ORIGINAL</w:t>
                            </w:r>
                            <w:r>
                              <w:rPr>
                                <w:rFonts w:ascii="Arial" w:hAnsi="Arial"/>
                                <w:spacing w:val="-7"/>
                                <w:sz w:val="14"/>
                              </w:rPr>
                              <w:t> </w:t>
                            </w:r>
                            <w:r>
                              <w:rPr>
                                <w:rFonts w:ascii="Arial" w:hAnsi="Arial"/>
                                <w:sz w:val="14"/>
                              </w:rPr>
                              <w:t>(art.</w:t>
                            </w:r>
                            <w:r>
                              <w:rPr>
                                <w:rFonts w:ascii="Arial" w:hAnsi="Arial"/>
                                <w:spacing w:val="-9"/>
                                <w:sz w:val="14"/>
                              </w:rPr>
                              <w:t> </w:t>
                            </w:r>
                            <w:r>
                              <w:rPr>
                                <w:rFonts w:ascii="Arial" w:hAnsi="Arial"/>
                                <w:sz w:val="14"/>
                              </w:rPr>
                              <w:t>27</w:t>
                            </w:r>
                            <w:r>
                              <w:rPr>
                                <w:rFonts w:ascii="Arial" w:hAnsi="Arial"/>
                                <w:spacing w:val="-7"/>
                                <w:sz w:val="14"/>
                              </w:rPr>
                              <w:t> </w:t>
                            </w:r>
                            <w:r>
                              <w:rPr>
                                <w:rFonts w:ascii="Arial" w:hAnsi="Arial"/>
                                <w:sz w:val="14"/>
                              </w:rPr>
                              <w:t>Ley</w:t>
                            </w:r>
                            <w:r>
                              <w:rPr>
                                <w:rFonts w:ascii="Arial" w:hAnsi="Arial"/>
                                <w:spacing w:val="-8"/>
                                <w:sz w:val="14"/>
                              </w:rPr>
                              <w:t> </w:t>
                            </w:r>
                            <w:r>
                              <w:rPr>
                                <w:rFonts w:ascii="Arial" w:hAnsi="Arial"/>
                                <w:spacing w:val="-2"/>
                                <w:sz w:val="14"/>
                              </w:rPr>
                              <w:t>39/2015).</w:t>
                            </w:r>
                          </w:p>
                        </w:tc>
                      </w:tr>
                    </w:tbl>
                    <w:p>
                      <w:pPr>
                        <w:pStyle w:val="BodyText"/>
                      </w:pPr>
                    </w:p>
                  </w:txbxContent>
                </v:textbox>
              </v:shape>
            </w:pict>
          </mc:Fallback>
        </mc:AlternateContent>
      </w:r>
      <w:r>
        <w:rPr>
          <w:position w:val="2"/>
          <w:sz w:val="20"/>
        </w:rPr>
      </w:r>
      <w:r>
        <w:rPr>
          <w:rFonts w:ascii="Times New Roman"/>
          <w:spacing w:val="-42"/>
          <w:position w:val="2"/>
          <w:sz w:val="20"/>
        </w:rPr>
        <w:t> </w:t>
      </w:r>
      <w:r>
        <w:rPr>
          <w:spacing w:val="-42"/>
          <w:sz w:val="20"/>
        </w:rPr>
        <mc:AlternateContent>
          <mc:Choice Requires="wps">
            <w:drawing>
              <wp:inline distT="0" distB="0" distL="0" distR="0">
                <wp:extent cx="734695" cy="753110"/>
                <wp:effectExtent l="0" t="0" r="0" b="8890"/>
                <wp:docPr id="2107" name="Group 2107"/>
                <wp:cNvGraphicFramePr>
                  <a:graphicFrameLocks/>
                </wp:cNvGraphicFramePr>
                <a:graphic>
                  <a:graphicData uri="http://schemas.microsoft.com/office/word/2010/wordprocessingGroup">
                    <wpg:wgp>
                      <wpg:cNvPr id="2107" name="Group 2107"/>
                      <wpg:cNvGrpSpPr/>
                      <wpg:grpSpPr>
                        <a:xfrm>
                          <a:off x="0" y="0"/>
                          <a:ext cx="734695" cy="753110"/>
                          <a:chExt cx="734695" cy="753110"/>
                        </a:xfrm>
                      </wpg:grpSpPr>
                      <pic:pic>
                        <pic:nvPicPr>
                          <pic:cNvPr id="2108" name="Image 2108"/>
                          <pic:cNvPicPr/>
                        </pic:nvPicPr>
                        <pic:blipFill>
                          <a:blip r:embed="rId339" cstate="print"/>
                          <a:stretch>
                            <a:fillRect/>
                          </a:stretch>
                        </pic:blipFill>
                        <pic:spPr>
                          <a:xfrm>
                            <a:off x="0" y="0"/>
                            <a:ext cx="734567" cy="752840"/>
                          </a:xfrm>
                          <a:prstGeom prst="rect">
                            <a:avLst/>
                          </a:prstGeom>
                        </pic:spPr>
                      </pic:pic>
                      <wps:wsp>
                        <wps:cNvPr id="2109" name="Graphic 2109"/>
                        <wps:cNvSpPr/>
                        <wps:spPr>
                          <a:xfrm>
                            <a:off x="65519" y="70152"/>
                            <a:ext cx="649605" cy="649605"/>
                          </a:xfrm>
                          <a:custGeom>
                            <a:avLst/>
                            <a:gdLst/>
                            <a:ahLst/>
                            <a:cxnLst/>
                            <a:rect l="l" t="t" r="r" b="b"/>
                            <a:pathLst>
                              <a:path w="649605" h="649605">
                                <a:moveTo>
                                  <a:pt x="649566" y="0"/>
                                </a:moveTo>
                                <a:lnTo>
                                  <a:pt x="0" y="0"/>
                                </a:lnTo>
                                <a:lnTo>
                                  <a:pt x="0" y="649503"/>
                                </a:lnTo>
                                <a:lnTo>
                                  <a:pt x="649566" y="649503"/>
                                </a:lnTo>
                                <a:lnTo>
                                  <a:pt x="64956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7.85pt;height:59.3pt;mso-position-horizontal-relative:char;mso-position-vertical-relative:line" id="docshapegroup1516" coordorigin="0,0" coordsize="1157,1186">
                <v:shape style="position:absolute;left:0;top:0;width:1157;height:1186" type="#_x0000_t75" id="docshape1517" stroked="false">
                  <v:imagedata r:id="rId339" o:title=""/>
                </v:shape>
                <v:rect style="position:absolute;left:103;top:110;width:1023;height:1023" id="docshape1518" filled="true" fillcolor="#000000" stroked="false">
                  <v:fill type="solid"/>
                </v:rect>
              </v:group>
            </w:pict>
          </mc:Fallback>
        </mc:AlternateContent>
      </w:r>
      <w:r>
        <w:rPr>
          <w:spacing w:val="-42"/>
          <w:sz w:val="20"/>
        </w:rPr>
      </w:r>
    </w:p>
    <w:p>
      <w:pPr>
        <w:spacing w:after="0" w:line="240" w:lineRule="auto"/>
        <w:jc w:val="left"/>
        <w:rPr>
          <w:sz w:val="20"/>
        </w:rPr>
        <w:sectPr>
          <w:type w:val="continuous"/>
          <w:pgSz w:w="11910" w:h="16840"/>
          <w:pgMar w:header="828" w:footer="0" w:top="1680" w:bottom="280" w:left="141" w:right="141"/>
        </w:sectPr>
      </w:pPr>
    </w:p>
    <w:p>
      <w:pPr>
        <w:spacing w:line="240" w:lineRule="auto"/>
        <w:ind w:left="1219" w:right="0" w:firstLine="0"/>
        <w:rPr>
          <w:sz w:val="20"/>
        </w:rPr>
      </w:pPr>
      <w:r>
        <w:rPr>
          <w:sz w:val="20"/>
        </w:rPr>
        <w:drawing>
          <wp:inline distT="0" distB="0" distL="0" distR="0">
            <wp:extent cx="1807250" cy="530351"/>
            <wp:effectExtent l="0" t="0" r="0" b="0"/>
            <wp:docPr id="2110" name="Image 2110"/>
            <wp:cNvGraphicFramePr>
              <a:graphicFrameLocks/>
            </wp:cNvGraphicFramePr>
            <a:graphic>
              <a:graphicData uri="http://schemas.openxmlformats.org/drawingml/2006/picture">
                <pic:pic>
                  <pic:nvPicPr>
                    <pic:cNvPr id="2110" name="Image 2110"/>
                    <pic:cNvPicPr/>
                  </pic:nvPicPr>
                  <pic:blipFill>
                    <a:blip r:embed="rId61" cstate="print"/>
                    <a:stretch>
                      <a:fillRect/>
                    </a:stretch>
                  </pic:blipFill>
                  <pic:spPr>
                    <a:xfrm>
                      <a:off x="0" y="0"/>
                      <a:ext cx="1807250" cy="530351"/>
                    </a:xfrm>
                    <a:prstGeom prst="rect">
                      <a:avLst/>
                    </a:prstGeom>
                  </pic:spPr>
                </pic:pic>
              </a:graphicData>
            </a:graphic>
          </wp:inline>
        </w:drawing>
      </w:r>
      <w:r>
        <w:rPr>
          <w:sz w:val="20"/>
        </w:rPr>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87"/>
        <w:rPr>
          <w:sz w:val="32"/>
        </w:rPr>
      </w:pPr>
    </w:p>
    <w:p>
      <w:pPr>
        <w:pStyle w:val="Heading1"/>
      </w:pPr>
      <w:r>
        <w:rPr/>
        <w:drawing>
          <wp:anchor distT="0" distB="0" distL="0" distR="0" allowOverlap="1" layoutInCell="1" locked="0" behindDoc="1" simplePos="0" relativeHeight="474461696">
            <wp:simplePos x="0" y="0"/>
            <wp:positionH relativeFrom="page">
              <wp:posOffset>900430</wp:posOffset>
            </wp:positionH>
            <wp:positionV relativeFrom="paragraph">
              <wp:posOffset>-3400944</wp:posOffset>
            </wp:positionV>
            <wp:extent cx="6137656" cy="7663733"/>
            <wp:effectExtent l="0" t="0" r="0" b="0"/>
            <wp:wrapNone/>
            <wp:docPr id="2111" name="Image 2111" descr="Forma  Descripción generada automáticamente con confianza baja"/>
            <wp:cNvGraphicFramePr>
              <a:graphicFrameLocks/>
            </wp:cNvGraphicFramePr>
            <a:graphic>
              <a:graphicData uri="http://schemas.openxmlformats.org/drawingml/2006/picture">
                <pic:pic>
                  <pic:nvPicPr>
                    <pic:cNvPr id="2111" name="Image 2111" descr="Forma  Descripción generada automáticamente con confianza baja"/>
                    <pic:cNvPicPr/>
                  </pic:nvPicPr>
                  <pic:blipFill>
                    <a:blip r:embed="rId9" cstate="print"/>
                    <a:stretch>
                      <a:fillRect/>
                    </a:stretch>
                  </pic:blipFill>
                  <pic:spPr>
                    <a:xfrm>
                      <a:off x="0" y="0"/>
                      <a:ext cx="6137656" cy="7663733"/>
                    </a:xfrm>
                    <a:prstGeom prst="rect">
                      <a:avLst/>
                    </a:prstGeom>
                  </pic:spPr>
                </pic:pic>
              </a:graphicData>
            </a:graphic>
          </wp:anchor>
        </w:drawing>
      </w:r>
      <w:r>
        <w:rPr/>
        <w:t>Alegaciones</w:t>
      </w:r>
      <w:r>
        <w:rPr>
          <w:spacing w:val="-10"/>
        </w:rPr>
        <w:t> </w:t>
      </w:r>
      <w:r>
        <w:rPr/>
        <w:t>formuladas</w:t>
      </w:r>
      <w:r>
        <w:rPr>
          <w:spacing w:val="-11"/>
        </w:rPr>
        <w:t> </w:t>
      </w:r>
      <w:r>
        <w:rPr/>
        <w:t>por</w:t>
      </w:r>
      <w:r>
        <w:rPr>
          <w:spacing w:val="-7"/>
        </w:rPr>
        <w:t> </w:t>
      </w:r>
      <w:r>
        <w:rPr/>
        <w:t>el</w:t>
      </w:r>
      <w:r>
        <w:rPr>
          <w:spacing w:val="-10"/>
        </w:rPr>
        <w:t> </w:t>
      </w:r>
      <w:r>
        <w:rPr/>
        <w:t>Alcalde</w:t>
      </w:r>
      <w:r>
        <w:rPr>
          <w:spacing w:val="-11"/>
        </w:rPr>
        <w:t> </w:t>
      </w:r>
      <w:r>
        <w:rPr/>
        <w:t>del</w:t>
      </w:r>
      <w:r>
        <w:rPr>
          <w:spacing w:val="-11"/>
        </w:rPr>
        <w:t> </w:t>
      </w:r>
      <w:r>
        <w:rPr/>
        <w:t>Ayuntamiento</w:t>
      </w:r>
      <w:r>
        <w:rPr>
          <w:spacing w:val="-10"/>
        </w:rPr>
        <w:t> </w:t>
      </w:r>
      <w:r>
        <w:rPr/>
        <w:t>de</w:t>
      </w:r>
      <w:r>
        <w:rPr>
          <w:spacing w:val="-11"/>
        </w:rPr>
        <w:t> </w:t>
      </w:r>
      <w:r>
        <w:rPr>
          <w:spacing w:val="-2"/>
        </w:rPr>
        <w:t>Murcia</w:t>
      </w:r>
    </w:p>
    <w:p>
      <w:pPr>
        <w:pStyle w:val="Heading1"/>
        <w:spacing w:after="0"/>
        <w:sectPr>
          <w:headerReference w:type="default" r:id="rId340"/>
          <w:footerReference w:type="default" r:id="rId341"/>
          <w:pgSz w:w="11910" w:h="16840"/>
          <w:pgMar w:header="0" w:footer="0" w:top="900" w:bottom="280" w:left="141" w:right="141"/>
        </w:sectPr>
      </w:pPr>
    </w:p>
    <w:p>
      <w:pPr>
        <w:pStyle w:val="BodyText"/>
        <w:spacing w:before="4"/>
        <w:rPr>
          <w:rFonts w:ascii="Calibri"/>
          <w:b/>
          <w:sz w:val="16"/>
        </w:rPr>
      </w:pPr>
    </w:p>
    <w:p>
      <w:pPr>
        <w:pStyle w:val="BodyText"/>
        <w:spacing w:after="0"/>
        <w:rPr>
          <w:rFonts w:ascii="Calibri"/>
          <w:b/>
          <w:sz w:val="16"/>
        </w:rPr>
        <w:sectPr>
          <w:headerReference w:type="even" r:id="rId342"/>
          <w:footerReference w:type="even" r:id="rId343"/>
          <w:pgSz w:w="11910" w:h="16840"/>
          <w:pgMar w:header="0" w:footer="0" w:top="1920" w:bottom="280" w:left="141" w:right="141"/>
        </w:sectPr>
      </w:pPr>
    </w:p>
    <w:p>
      <w:pPr>
        <w:pStyle w:val="BodyText"/>
        <w:rPr>
          <w:rFonts w:ascii="Calibri"/>
          <w:b/>
          <w:sz w:val="20"/>
        </w:rPr>
      </w:pPr>
    </w:p>
    <w:p>
      <w:pPr>
        <w:pStyle w:val="BodyText"/>
        <w:spacing w:before="31"/>
        <w:rPr>
          <w:rFonts w:ascii="Calibri"/>
          <w:b/>
          <w:sz w:val="20"/>
        </w:rPr>
      </w:pPr>
    </w:p>
    <w:p>
      <w:pPr>
        <w:spacing w:line="324" w:lineRule="auto" w:before="0"/>
        <w:ind w:left="1284" w:right="496" w:firstLine="0"/>
        <w:jc w:val="left"/>
        <w:rPr>
          <w:sz w:val="20"/>
        </w:rPr>
      </w:pPr>
      <w:r>
        <w:rPr>
          <w:sz w:val="20"/>
        </w:rPr>
        <w:t>MARIA</w:t>
      </w:r>
      <w:r>
        <w:rPr>
          <w:spacing w:val="-14"/>
          <w:sz w:val="20"/>
        </w:rPr>
        <w:t> </w:t>
      </w:r>
      <w:r>
        <w:rPr>
          <w:sz w:val="20"/>
        </w:rPr>
        <w:t>ISABEL</w:t>
      </w:r>
      <w:r>
        <w:rPr>
          <w:spacing w:val="-9"/>
          <w:sz w:val="20"/>
        </w:rPr>
        <w:t> </w:t>
      </w:r>
      <w:r>
        <w:rPr>
          <w:sz w:val="20"/>
        </w:rPr>
        <w:t>FERNANDEZ</w:t>
      </w:r>
      <w:r>
        <w:rPr>
          <w:spacing w:val="40"/>
          <w:sz w:val="20"/>
        </w:rPr>
        <w:t> </w:t>
      </w:r>
      <w:r>
        <w:rPr>
          <w:sz w:val="20"/>
        </w:rPr>
        <w:t>GUERRAS</w:t>
      </w:r>
      <w:r>
        <w:rPr>
          <w:spacing w:val="-7"/>
          <w:sz w:val="20"/>
        </w:rPr>
        <w:t> </w:t>
      </w:r>
      <w:r>
        <w:rPr>
          <w:sz w:val="20"/>
        </w:rPr>
        <w:t>con</w:t>
      </w:r>
      <w:r>
        <w:rPr>
          <w:spacing w:val="-7"/>
          <w:sz w:val="20"/>
        </w:rPr>
        <w:t> </w:t>
      </w:r>
      <w:r>
        <w:rPr>
          <w:sz w:val="20"/>
        </w:rPr>
        <w:t>DNI</w:t>
      </w:r>
      <w:r>
        <w:rPr>
          <w:spacing w:val="-20"/>
          <w:sz w:val="20"/>
        </w:rPr>
        <w:t> </w:t>
      </w:r>
      <w:r>
        <w:rPr>
          <w:spacing w:val="-20"/>
          <w:position w:val="-5"/>
          <w:sz w:val="20"/>
        </w:rPr>
        <w:drawing>
          <wp:inline distT="0" distB="0" distL="0" distR="0">
            <wp:extent cx="552068" cy="145237"/>
            <wp:effectExtent l="0" t="0" r="0" b="0"/>
            <wp:docPr id="2122" name="Image 2122"/>
            <wp:cNvGraphicFramePr>
              <a:graphicFrameLocks/>
            </wp:cNvGraphicFramePr>
            <a:graphic>
              <a:graphicData uri="http://schemas.openxmlformats.org/drawingml/2006/picture">
                <pic:pic>
                  <pic:nvPicPr>
                    <pic:cNvPr id="2122" name="Image 2122"/>
                    <pic:cNvPicPr/>
                  </pic:nvPicPr>
                  <pic:blipFill>
                    <a:blip r:embed="rId153" cstate="print"/>
                    <a:stretch>
                      <a:fillRect/>
                    </a:stretch>
                  </pic:blipFill>
                  <pic:spPr>
                    <a:xfrm>
                      <a:off x="0" y="0"/>
                      <a:ext cx="552068" cy="145237"/>
                    </a:xfrm>
                    <a:prstGeom prst="rect">
                      <a:avLst/>
                    </a:prstGeom>
                  </pic:spPr>
                </pic:pic>
              </a:graphicData>
            </a:graphic>
          </wp:inline>
        </w:drawing>
      </w:r>
      <w:r>
        <w:rPr>
          <w:spacing w:val="-20"/>
          <w:position w:val="-5"/>
          <w:sz w:val="20"/>
        </w:rPr>
      </w:r>
      <w:r>
        <w:rPr>
          <w:rFonts w:ascii="Times New Roman" w:hAnsi="Times New Roman"/>
          <w:spacing w:val="5"/>
          <w:sz w:val="20"/>
        </w:rPr>
        <w:t> </w:t>
      </w:r>
      <w:r>
        <w:rPr>
          <w:sz w:val="20"/>
        </w:rPr>
        <w:t>ha</w:t>
      </w:r>
      <w:r>
        <w:rPr>
          <w:spacing w:val="-7"/>
          <w:sz w:val="20"/>
        </w:rPr>
        <w:t> </w:t>
      </w:r>
      <w:r>
        <w:rPr>
          <w:sz w:val="20"/>
        </w:rPr>
        <w:t>registrado</w:t>
      </w:r>
      <w:r>
        <w:rPr>
          <w:spacing w:val="-7"/>
          <w:sz w:val="20"/>
        </w:rPr>
        <w:t> </w:t>
      </w:r>
      <w:r>
        <w:rPr>
          <w:sz w:val="20"/>
        </w:rPr>
        <w:t>el</w:t>
      </w:r>
      <w:r>
        <w:rPr>
          <w:spacing w:val="-7"/>
          <w:sz w:val="20"/>
        </w:rPr>
        <w:t> </w:t>
      </w:r>
      <w:r>
        <w:rPr>
          <w:sz w:val="20"/>
        </w:rPr>
        <w:t>trámite</w:t>
      </w:r>
      <w:r>
        <w:rPr>
          <w:spacing w:val="-5"/>
          <w:sz w:val="20"/>
        </w:rPr>
        <w:t> </w:t>
      </w:r>
      <w:r>
        <w:rPr>
          <w:sz w:val="20"/>
        </w:rPr>
        <w:t>Trámite</w:t>
      </w:r>
      <w:r>
        <w:rPr>
          <w:spacing w:val="-7"/>
          <w:sz w:val="20"/>
        </w:rPr>
        <w:t> </w:t>
      </w:r>
      <w:r>
        <w:rPr>
          <w:sz w:val="20"/>
        </w:rPr>
        <w:t>de</w:t>
      </w:r>
      <w:r>
        <w:rPr>
          <w:spacing w:val="-7"/>
          <w:sz w:val="20"/>
        </w:rPr>
        <w:t> </w:t>
      </w:r>
      <w:r>
        <w:rPr>
          <w:sz w:val="20"/>
        </w:rPr>
        <w:t>alegaciones</w:t>
      </w:r>
      <w:r>
        <w:rPr>
          <w:spacing w:val="-7"/>
          <w:sz w:val="20"/>
        </w:rPr>
        <w:t> </w:t>
      </w:r>
      <w:r>
        <w:rPr>
          <w:sz w:val="20"/>
        </w:rPr>
        <w:t>al Anteproyecto de Informe de Fiscalización sobre las medidas adoptadas por las entidades locales para lograr una movilidad sostenible en el transporte público colectivo, ejercicios 2023 y 2024 a las 09:12:24, el día </w:t>
      </w:r>
      <w:r>
        <w:rPr>
          <w:spacing w:val="-2"/>
          <w:sz w:val="20"/>
        </w:rPr>
        <w:t>31/10/2025.</w:t>
      </w:r>
    </w:p>
    <w:p>
      <w:pPr>
        <w:spacing w:before="14"/>
        <w:ind w:left="1284" w:right="0" w:firstLine="0"/>
        <w:jc w:val="left"/>
        <w:rPr>
          <w:sz w:val="20"/>
        </w:rPr>
      </w:pPr>
      <w:r>
        <w:rPr>
          <w:sz w:val="20"/>
        </w:rPr>
        <mc:AlternateContent>
          <mc:Choice Requires="wps">
            <w:drawing>
              <wp:anchor distT="0" distB="0" distL="0" distR="0" allowOverlap="1" layoutInCell="1" locked="0" behindDoc="0" simplePos="0" relativeHeight="15926272">
                <wp:simplePos x="0" y="0"/>
                <wp:positionH relativeFrom="page">
                  <wp:posOffset>2514015</wp:posOffset>
                </wp:positionH>
                <wp:positionV relativeFrom="paragraph">
                  <wp:posOffset>21823</wp:posOffset>
                </wp:positionV>
                <wp:extent cx="1080770" cy="145415"/>
                <wp:effectExtent l="0" t="0" r="0" b="0"/>
                <wp:wrapNone/>
                <wp:docPr id="2123" name="Graphic 2123"/>
                <wp:cNvGraphicFramePr>
                  <a:graphicFrameLocks/>
                </wp:cNvGraphicFramePr>
                <a:graphic>
                  <a:graphicData uri="http://schemas.microsoft.com/office/word/2010/wordprocessingShape">
                    <wps:wsp>
                      <wps:cNvPr id="2123" name="Graphic 2123"/>
                      <wps:cNvSpPr/>
                      <wps:spPr>
                        <a:xfrm>
                          <a:off x="0" y="0"/>
                          <a:ext cx="1080770" cy="145415"/>
                        </a:xfrm>
                        <a:custGeom>
                          <a:avLst/>
                          <a:gdLst/>
                          <a:ahLst/>
                          <a:cxnLst/>
                          <a:rect l="l" t="t" r="r" b="b"/>
                          <a:pathLst>
                            <a:path w="1080770" h="145415">
                              <a:moveTo>
                                <a:pt x="1080262" y="0"/>
                              </a:moveTo>
                              <a:lnTo>
                                <a:pt x="0" y="0"/>
                              </a:lnTo>
                              <a:lnTo>
                                <a:pt x="0" y="145224"/>
                              </a:lnTo>
                              <a:lnTo>
                                <a:pt x="1080262" y="145224"/>
                              </a:lnTo>
                              <a:lnTo>
                                <a:pt x="108026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97.954pt;margin-top:1.718401pt;width:85.06pt;height:11.435pt;mso-position-horizontal-relative:page;mso-position-vertical-relative:paragraph;z-index:15926272" id="docshape1523" filled="true" fillcolor="#000000" stroked="false">
                <v:fill type="solid"/>
                <w10:wrap type="none"/>
              </v:rect>
            </w:pict>
          </mc:Fallback>
        </mc:AlternateContent>
      </w:r>
      <w:r>
        <w:rPr>
          <w:sz w:val="20"/>
        </w:rPr>
        <w:t>Su</w:t>
      </w:r>
      <w:r>
        <w:rPr>
          <w:spacing w:val="-8"/>
          <w:sz w:val="20"/>
        </w:rPr>
        <w:t> </w:t>
      </w:r>
      <w:r>
        <w:rPr>
          <w:sz w:val="20"/>
        </w:rPr>
        <w:t>número</w:t>
      </w:r>
      <w:r>
        <w:rPr>
          <w:spacing w:val="-8"/>
          <w:sz w:val="20"/>
        </w:rPr>
        <w:t> </w:t>
      </w:r>
      <w:r>
        <w:rPr>
          <w:sz w:val="20"/>
        </w:rPr>
        <w:t>de</w:t>
      </w:r>
      <w:r>
        <w:rPr>
          <w:spacing w:val="-7"/>
          <w:sz w:val="20"/>
        </w:rPr>
        <w:t> </w:t>
      </w:r>
      <w:r>
        <w:rPr>
          <w:sz w:val="20"/>
        </w:rPr>
        <w:t>registro</w:t>
      </w:r>
      <w:r>
        <w:rPr>
          <w:spacing w:val="-8"/>
          <w:sz w:val="20"/>
        </w:rPr>
        <w:t> </w:t>
      </w:r>
      <w:r>
        <w:rPr>
          <w:sz w:val="20"/>
        </w:rPr>
        <w:t>es</w:t>
      </w:r>
      <w:r>
        <w:rPr>
          <w:spacing w:val="-7"/>
          <w:sz w:val="20"/>
        </w:rPr>
        <w:t> </w:t>
      </w:r>
      <w:r>
        <w:rPr>
          <w:spacing w:val="-5"/>
          <w:sz w:val="20"/>
        </w:rPr>
        <w:t>el</w:t>
      </w:r>
    </w:p>
    <w:p>
      <w:pPr>
        <w:pStyle w:val="BodyText"/>
        <w:spacing w:before="140"/>
        <w:rPr>
          <w:sz w:val="20"/>
        </w:rPr>
      </w:pPr>
    </w:p>
    <w:p>
      <w:pPr>
        <w:pStyle w:val="Heading3"/>
        <w:spacing w:line="276" w:lineRule="auto"/>
      </w:pPr>
      <w:r>
        <w:rPr/>
        <w:t>TRÁMITE DE ALEGACIONES AL ANTEPROYECTO DE INFORME DE FISCALIZACIÓN SOBRE</w:t>
      </w:r>
      <w:r>
        <w:rPr>
          <w:spacing w:val="-9"/>
        </w:rPr>
        <w:t> </w:t>
      </w:r>
      <w:r>
        <w:rPr/>
        <w:t>LAS</w:t>
      </w:r>
      <w:r>
        <w:rPr>
          <w:spacing w:val="-9"/>
        </w:rPr>
        <w:t> </w:t>
      </w:r>
      <w:r>
        <w:rPr/>
        <w:t>MEDIDAS</w:t>
      </w:r>
      <w:r>
        <w:rPr>
          <w:spacing w:val="-10"/>
        </w:rPr>
        <w:t> </w:t>
      </w:r>
      <w:r>
        <w:rPr/>
        <w:t>ADOPTADAS</w:t>
      </w:r>
      <w:r>
        <w:rPr>
          <w:spacing w:val="-10"/>
        </w:rPr>
        <w:t> </w:t>
      </w:r>
      <w:r>
        <w:rPr/>
        <w:t>POR</w:t>
      </w:r>
      <w:r>
        <w:rPr>
          <w:spacing w:val="-11"/>
        </w:rPr>
        <w:t> </w:t>
      </w:r>
      <w:r>
        <w:rPr/>
        <w:t>LAS</w:t>
      </w:r>
      <w:r>
        <w:rPr>
          <w:spacing w:val="-10"/>
        </w:rPr>
        <w:t> </w:t>
      </w:r>
      <w:r>
        <w:rPr/>
        <w:t>ENTIDADES</w:t>
      </w:r>
      <w:r>
        <w:rPr>
          <w:spacing w:val="-10"/>
        </w:rPr>
        <w:t> </w:t>
      </w:r>
      <w:r>
        <w:rPr/>
        <w:t>LOCALES</w:t>
      </w:r>
      <w:r>
        <w:rPr>
          <w:spacing w:val="-11"/>
        </w:rPr>
        <w:t> </w:t>
      </w:r>
      <w:r>
        <w:rPr/>
        <w:t>PARA</w:t>
      </w:r>
      <w:r>
        <w:rPr>
          <w:spacing w:val="-9"/>
        </w:rPr>
        <w:t> </w:t>
      </w:r>
      <w:r>
        <w:rPr/>
        <w:t>LOGRAR UNA MOVILIDAD SOSTENIBLE EN EL TRANSPORTE PÚBLICO COLECTIVO, EJERCICIOS 2023 Y 2024</w:t>
      </w:r>
    </w:p>
    <w:p>
      <w:pPr>
        <w:pStyle w:val="BodyText"/>
        <w:spacing w:before="83"/>
        <w:rPr>
          <w:b/>
          <w:sz w:val="24"/>
        </w:rPr>
      </w:pPr>
    </w:p>
    <w:p>
      <w:pPr>
        <w:spacing w:before="1"/>
        <w:ind w:left="799" w:right="0" w:firstLine="0"/>
        <w:jc w:val="center"/>
        <w:rPr>
          <w:b/>
          <w:sz w:val="20"/>
        </w:rPr>
      </w:pPr>
      <w:r>
        <w:rPr>
          <w:b/>
          <w:sz w:val="20"/>
        </w:rPr>
        <w:t>FORMULARIO</w:t>
      </w:r>
      <w:r>
        <w:rPr>
          <w:b/>
          <w:spacing w:val="-9"/>
          <w:sz w:val="20"/>
        </w:rPr>
        <w:t> </w:t>
      </w:r>
      <w:r>
        <w:rPr>
          <w:b/>
          <w:sz w:val="20"/>
        </w:rPr>
        <w:t>1:</w:t>
      </w:r>
      <w:r>
        <w:rPr>
          <w:b/>
          <w:spacing w:val="40"/>
          <w:sz w:val="20"/>
        </w:rPr>
        <w:t> </w:t>
      </w:r>
      <w:r>
        <w:rPr>
          <w:b/>
          <w:spacing w:val="-2"/>
          <w:sz w:val="20"/>
        </w:rPr>
        <w:t>IDENTIFICACIÓN</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783424">
                <wp:simplePos x="0" y="0"/>
                <wp:positionH relativeFrom="page">
                  <wp:posOffset>905255</wp:posOffset>
                </wp:positionH>
                <wp:positionV relativeFrom="paragraph">
                  <wp:posOffset>160144</wp:posOffset>
                </wp:positionV>
                <wp:extent cx="1580515" cy="1270"/>
                <wp:effectExtent l="0" t="0" r="0" b="0"/>
                <wp:wrapTopAndBottom/>
                <wp:docPr id="2124" name="Graphic 2124"/>
                <wp:cNvGraphicFramePr>
                  <a:graphicFrameLocks/>
                </wp:cNvGraphicFramePr>
                <a:graphic>
                  <a:graphicData uri="http://schemas.microsoft.com/office/word/2010/wordprocessingShape">
                    <wps:wsp>
                      <wps:cNvPr id="2124" name="Graphic 2124"/>
                      <wps:cNvSpPr/>
                      <wps:spPr>
                        <a:xfrm>
                          <a:off x="0" y="0"/>
                          <a:ext cx="1580515" cy="1270"/>
                        </a:xfrm>
                        <a:custGeom>
                          <a:avLst/>
                          <a:gdLst/>
                          <a:ahLst/>
                          <a:cxnLst/>
                          <a:rect l="l" t="t" r="r" b="b"/>
                          <a:pathLst>
                            <a:path w="1580515" h="0">
                              <a:moveTo>
                                <a:pt x="0" y="0"/>
                              </a:moveTo>
                              <a:lnTo>
                                <a:pt x="1580387"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09842pt;width:124.45pt;height:.1pt;mso-position-horizontal-relative:page;mso-position-vertical-relative:paragraph;z-index:-15533056;mso-wrap-distance-left:0;mso-wrap-distance-right:0" id="docshape1524" coordorigin="1426,252" coordsize="2489,0" path="m1426,252l3914,252e" filled="false" stroked="true" strokeweight=".72pt" strokecolor="#000000">
                <v:path arrowok="t"/>
                <v:stroke dashstyle="solid"/>
                <w10:wrap type="topAndBottom"/>
              </v:shape>
            </w:pict>
          </mc:Fallback>
        </mc:AlternateContent>
      </w:r>
      <w:r>
        <w:rPr>
          <w:b/>
          <w:spacing w:val="-2"/>
          <w:sz w:val="20"/>
        </w:rPr>
        <w:t>Identificación</w:t>
      </w:r>
      <w:r>
        <w:rPr>
          <w:b/>
          <w:spacing w:val="2"/>
          <w:sz w:val="20"/>
        </w:rPr>
        <w:t> </w:t>
      </w:r>
      <w:r>
        <w:rPr>
          <w:b/>
          <w:spacing w:val="-2"/>
          <w:sz w:val="20"/>
        </w:rPr>
        <w:t>del</w:t>
      </w:r>
      <w:r>
        <w:rPr>
          <w:b/>
          <w:spacing w:val="3"/>
          <w:sz w:val="20"/>
        </w:rPr>
        <w:t> </w:t>
      </w:r>
      <w:r>
        <w:rPr>
          <w:b/>
          <w:spacing w:val="-2"/>
          <w:sz w:val="20"/>
        </w:rPr>
        <w:t>alegante</w:t>
      </w:r>
    </w:p>
    <w:p>
      <w:pPr>
        <w:pStyle w:val="BodyText"/>
        <w:spacing w:before="146"/>
        <w:rPr>
          <w:b/>
          <w:sz w:val="20"/>
        </w:rPr>
      </w:pPr>
    </w:p>
    <w:p>
      <w:pPr>
        <w:spacing w:before="1"/>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9"/>
        <w:ind w:left="1284" w:right="0" w:firstLine="0"/>
        <w:jc w:val="left"/>
        <w:rPr>
          <w:b/>
          <w:sz w:val="20"/>
        </w:rPr>
      </w:pPr>
      <w:r>
        <w:rPr>
          <w:b/>
          <w:spacing w:val="-2"/>
          <w:sz w:val="20"/>
        </w:rPr>
        <w:t>JOSÉ</w:t>
      </w:r>
      <w:r>
        <w:rPr>
          <w:b/>
          <w:spacing w:val="-1"/>
          <w:sz w:val="20"/>
        </w:rPr>
        <w:t> </w:t>
      </w:r>
      <w:r>
        <w:rPr>
          <w:b/>
          <w:spacing w:val="-2"/>
          <w:sz w:val="20"/>
        </w:rPr>
        <w:t>FRANCISCO</w:t>
      </w:r>
      <w:r>
        <w:rPr>
          <w:b/>
          <w:spacing w:val="-1"/>
          <w:sz w:val="20"/>
        </w:rPr>
        <w:t> </w:t>
      </w:r>
      <w:r>
        <w:rPr>
          <w:b/>
          <w:spacing w:val="-2"/>
          <w:sz w:val="20"/>
        </w:rPr>
        <w:t>BALLESTA</w:t>
      </w:r>
      <w:r>
        <w:rPr>
          <w:b/>
          <w:spacing w:val="-1"/>
          <w:sz w:val="20"/>
        </w:rPr>
        <w:t> </w:t>
      </w:r>
      <w:r>
        <w:rPr>
          <w:b/>
          <w:spacing w:val="-2"/>
          <w:sz w:val="20"/>
        </w:rPr>
        <w:t>GERMÁN</w:t>
      </w:r>
    </w:p>
    <w:p>
      <w:pPr>
        <w:pStyle w:val="BodyText"/>
        <w:spacing w:before="176"/>
        <w:rPr>
          <w:b/>
          <w:sz w:val="20"/>
        </w:rPr>
      </w:pPr>
    </w:p>
    <w:p>
      <w:pPr>
        <w:spacing w:before="0"/>
        <w:ind w:left="1284" w:right="0" w:firstLine="0"/>
        <w:jc w:val="left"/>
        <w:rPr>
          <w:sz w:val="20"/>
        </w:rPr>
      </w:pPr>
      <w:r>
        <w:rPr>
          <w:spacing w:val="-4"/>
          <w:sz w:val="20"/>
        </w:rPr>
        <w:t>DNI:</w:t>
      </w:r>
    </w:p>
    <w:p>
      <w:pPr>
        <w:pStyle w:val="BodyText"/>
        <w:spacing w:before="7"/>
        <w:rPr>
          <w:sz w:val="7"/>
        </w:rPr>
      </w:pPr>
      <w:r>
        <w:rPr>
          <w:sz w:val="7"/>
        </w:rPr>
        <mc:AlternateContent>
          <mc:Choice Requires="wps">
            <w:drawing>
              <wp:anchor distT="0" distB="0" distL="0" distR="0" allowOverlap="1" layoutInCell="1" locked="0" behindDoc="1" simplePos="0" relativeHeight="487783936">
                <wp:simplePos x="0" y="0"/>
                <wp:positionH relativeFrom="page">
                  <wp:posOffset>892530</wp:posOffset>
                </wp:positionH>
                <wp:positionV relativeFrom="paragraph">
                  <wp:posOffset>70801</wp:posOffset>
                </wp:positionV>
                <wp:extent cx="678180" cy="119380"/>
                <wp:effectExtent l="0" t="0" r="0" b="0"/>
                <wp:wrapTopAndBottom/>
                <wp:docPr id="2125" name="Graphic 2125"/>
                <wp:cNvGraphicFramePr>
                  <a:graphicFrameLocks/>
                </wp:cNvGraphicFramePr>
                <a:graphic>
                  <a:graphicData uri="http://schemas.microsoft.com/office/word/2010/wordprocessingShape">
                    <wps:wsp>
                      <wps:cNvPr id="2125" name="Graphic 2125"/>
                      <wps:cNvSpPr/>
                      <wps:spPr>
                        <a:xfrm>
                          <a:off x="0" y="0"/>
                          <a:ext cx="678180" cy="119380"/>
                        </a:xfrm>
                        <a:custGeom>
                          <a:avLst/>
                          <a:gdLst/>
                          <a:ahLst/>
                          <a:cxnLst/>
                          <a:rect l="l" t="t" r="r" b="b"/>
                          <a:pathLst>
                            <a:path w="678180" h="119380">
                              <a:moveTo>
                                <a:pt x="678091" y="0"/>
                              </a:moveTo>
                              <a:lnTo>
                                <a:pt x="0" y="0"/>
                              </a:lnTo>
                              <a:lnTo>
                                <a:pt x="0" y="119189"/>
                              </a:lnTo>
                              <a:lnTo>
                                <a:pt x="678091" y="119189"/>
                              </a:lnTo>
                              <a:lnTo>
                                <a:pt x="6780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574871pt;width:53.393pt;height:9.385pt;mso-position-horizontal-relative:page;mso-position-vertical-relative:paragraph;z-index:-15532544;mso-wrap-distance-left:0;mso-wrap-distance-right:0" id="docshape1525" filled="true" fillcolor="#000000" stroked="false">
                <v:fill type="solid"/>
                <w10:wrap type="topAndBottom"/>
              </v:rect>
            </w:pict>
          </mc:Fallback>
        </mc:AlternateContent>
      </w:r>
    </w:p>
    <w:p>
      <w:pPr>
        <w:pStyle w:val="BodyText"/>
        <w:spacing w:before="196"/>
        <w:rPr>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27808">
                <wp:simplePos x="0" y="0"/>
                <wp:positionH relativeFrom="page">
                  <wp:posOffset>244784</wp:posOffset>
                </wp:positionH>
                <wp:positionV relativeFrom="paragraph">
                  <wp:posOffset>109108</wp:posOffset>
                </wp:positionV>
                <wp:extent cx="138430" cy="2155190"/>
                <wp:effectExtent l="0" t="0" r="0" b="0"/>
                <wp:wrapNone/>
                <wp:docPr id="2126" name="Textbox 2126"/>
                <wp:cNvGraphicFramePr>
                  <a:graphicFrameLocks/>
                </wp:cNvGraphicFramePr>
                <a:graphic>
                  <a:graphicData uri="http://schemas.microsoft.com/office/word/2010/wordprocessingShape">
                    <wps:wsp>
                      <wps:cNvPr id="2126" name="Textbox 2126"/>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8.591184pt;width:10.9pt;height:169.7pt;mso-position-horizontal-relative:page;mso-position-vertical-relative:paragraph;z-index:15927808" type="#_x0000_t202" id="docshape1526"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spacing w:val="-2"/>
          <w:sz w:val="20"/>
        </w:rPr>
        <w:t>Cargo:</w:t>
      </w:r>
    </w:p>
    <w:p>
      <w:pPr>
        <w:spacing w:before="89"/>
        <w:ind w:left="1284" w:right="0" w:firstLine="0"/>
        <w:jc w:val="left"/>
        <w:rPr>
          <w:b/>
          <w:sz w:val="20"/>
        </w:rPr>
      </w:pPr>
      <w:r>
        <w:rPr>
          <w:b/>
          <w:spacing w:val="-2"/>
          <w:sz w:val="20"/>
        </w:rPr>
        <w:t>ALCALDE</w:t>
      </w:r>
    </w:p>
    <w:p>
      <w:pPr>
        <w:pStyle w:val="BodyText"/>
        <w:spacing w:before="176"/>
        <w:rPr>
          <w:b/>
          <w:sz w:val="20"/>
        </w:rPr>
      </w:pPr>
    </w:p>
    <w:p>
      <w:pPr>
        <w:spacing w:before="0"/>
        <w:ind w:left="1284" w:right="0" w:firstLine="0"/>
        <w:jc w:val="left"/>
        <w:rPr>
          <w:sz w:val="20"/>
        </w:rPr>
      </w:pPr>
      <w:r>
        <w:rPr>
          <w:spacing w:val="-2"/>
          <w:sz w:val="20"/>
        </w:rPr>
        <w:t>Entidad:</w:t>
      </w:r>
    </w:p>
    <w:p>
      <w:pPr>
        <w:spacing w:before="89"/>
        <w:ind w:left="1284" w:right="0" w:firstLine="0"/>
        <w:jc w:val="left"/>
        <w:rPr>
          <w:b/>
          <w:sz w:val="20"/>
        </w:rPr>
      </w:pPr>
      <w:r>
        <w:rPr>
          <w:b/>
          <w:spacing w:val="-2"/>
          <w:sz w:val="20"/>
        </w:rPr>
        <w:t>AYUNTAMIENTO DE</w:t>
      </w:r>
      <w:r>
        <w:rPr>
          <w:b/>
          <w:spacing w:val="-3"/>
          <w:sz w:val="20"/>
        </w:rPr>
        <w:t> </w:t>
      </w:r>
      <w:r>
        <w:rPr>
          <w:b/>
          <w:spacing w:val="-2"/>
          <w:sz w:val="20"/>
        </w:rPr>
        <w:t>MURCIA</w:t>
      </w:r>
    </w:p>
    <w:p>
      <w:pPr>
        <w:pStyle w:val="BodyText"/>
        <w:spacing w:before="178"/>
        <w:rPr>
          <w:b/>
          <w:sz w:val="20"/>
        </w:rPr>
      </w:pPr>
    </w:p>
    <w:p>
      <w:pPr>
        <w:spacing w:before="1"/>
        <w:ind w:left="1284" w:right="0" w:firstLine="0"/>
        <w:jc w:val="left"/>
        <w:rPr>
          <w:sz w:val="20"/>
        </w:rPr>
      </w:pPr>
      <w:r>
        <w:rPr>
          <w:sz w:val="20"/>
        </w:rPr>
        <mc:AlternateContent>
          <mc:Choice Requires="wps">
            <w:drawing>
              <wp:anchor distT="0" distB="0" distL="0" distR="0" allowOverlap="1" layoutInCell="1" locked="0" behindDoc="0" simplePos="0" relativeHeight="15926784">
                <wp:simplePos x="0" y="0"/>
                <wp:positionH relativeFrom="page">
                  <wp:posOffset>130383</wp:posOffset>
                </wp:positionH>
                <wp:positionV relativeFrom="paragraph">
                  <wp:posOffset>136404</wp:posOffset>
                </wp:positionV>
                <wp:extent cx="138430" cy="2952750"/>
                <wp:effectExtent l="0" t="0" r="0" b="0"/>
                <wp:wrapNone/>
                <wp:docPr id="2127" name="Textbox 2127"/>
                <wp:cNvGraphicFramePr>
                  <a:graphicFrameLocks/>
                </wp:cNvGraphicFramePr>
                <a:graphic>
                  <a:graphicData uri="http://schemas.microsoft.com/office/word/2010/wordprocessingShape">
                    <wps:wsp>
                      <wps:cNvPr id="2127" name="Textbox 2127"/>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0.740531pt;width:10.9pt;height:232.5pt;mso-position-horizontal-relative:page;mso-position-vertical-relative:paragraph;z-index:15926784" type="#_x0000_t202" id="docshape1527"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sz w:val="20"/>
        </w:rPr>
        <mc:AlternateContent>
          <mc:Choice Requires="wps">
            <w:drawing>
              <wp:anchor distT="0" distB="0" distL="0" distR="0" allowOverlap="1" layoutInCell="1" locked="0" behindDoc="0" simplePos="0" relativeHeight="15928320">
                <wp:simplePos x="0" y="0"/>
                <wp:positionH relativeFrom="page">
                  <wp:posOffset>344030</wp:posOffset>
                </wp:positionH>
                <wp:positionV relativeFrom="paragraph">
                  <wp:posOffset>-47957</wp:posOffset>
                </wp:positionV>
                <wp:extent cx="163830" cy="2874645"/>
                <wp:effectExtent l="0" t="0" r="0" b="0"/>
                <wp:wrapNone/>
                <wp:docPr id="2128" name="Graphic 2128"/>
                <wp:cNvGraphicFramePr>
                  <a:graphicFrameLocks/>
                </wp:cNvGraphicFramePr>
                <a:graphic>
                  <a:graphicData uri="http://schemas.microsoft.com/office/word/2010/wordprocessingShape">
                    <wps:wsp>
                      <wps:cNvPr id="2128" name="Graphic 2128"/>
                      <wps:cNvSpPr/>
                      <wps:spPr>
                        <a:xfrm>
                          <a:off x="0" y="0"/>
                          <a:ext cx="163830" cy="2874645"/>
                        </a:xfrm>
                        <a:custGeom>
                          <a:avLst/>
                          <a:gdLst/>
                          <a:ahLst/>
                          <a:cxnLst/>
                          <a:rect l="l" t="t" r="r" b="b"/>
                          <a:pathLst>
                            <a:path w="163830" h="2874645">
                              <a:moveTo>
                                <a:pt x="163258" y="0"/>
                              </a:moveTo>
                              <a:lnTo>
                                <a:pt x="0" y="0"/>
                              </a:lnTo>
                              <a:lnTo>
                                <a:pt x="0" y="2874352"/>
                              </a:lnTo>
                              <a:lnTo>
                                <a:pt x="163258" y="2874352"/>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3.776161pt;width:12.855pt;height:226.327pt;mso-position-horizontal-relative:page;mso-position-vertical-relative:paragraph;z-index:15928320" id="docshape1528" filled="true" fillcolor="#000000" stroked="false">
                <v:fill type="solid"/>
                <w10:wrap type="none"/>
              </v:rect>
            </w:pict>
          </mc:Fallback>
        </mc:AlternateContent>
      </w:r>
      <w:r>
        <w:rPr>
          <w:spacing w:val="-2"/>
          <w:sz w:val="20"/>
        </w:rPr>
        <w:t>Periodo:</w:t>
      </w:r>
    </w:p>
    <w:p>
      <w:pPr>
        <w:spacing w:before="86"/>
        <w:ind w:left="1284" w:right="0" w:firstLine="0"/>
        <w:jc w:val="left"/>
        <w:rPr>
          <w:b/>
          <w:sz w:val="20"/>
        </w:rPr>
      </w:pPr>
      <w:r>
        <w:rPr>
          <w:b/>
          <w:sz w:val="20"/>
        </w:rPr>
        <w:t>Desde</w:t>
      </w:r>
      <w:r>
        <w:rPr>
          <w:b/>
          <w:spacing w:val="-7"/>
          <w:sz w:val="20"/>
        </w:rPr>
        <w:t> </w:t>
      </w:r>
      <w:r>
        <w:rPr>
          <w:b/>
          <w:sz w:val="20"/>
        </w:rPr>
        <w:t>17</w:t>
      </w:r>
      <w:r>
        <w:rPr>
          <w:b/>
          <w:spacing w:val="-6"/>
          <w:sz w:val="20"/>
        </w:rPr>
        <w:t> </w:t>
      </w:r>
      <w:r>
        <w:rPr>
          <w:b/>
          <w:sz w:val="20"/>
        </w:rPr>
        <w:t>de</w:t>
      </w:r>
      <w:r>
        <w:rPr>
          <w:b/>
          <w:spacing w:val="-6"/>
          <w:sz w:val="20"/>
        </w:rPr>
        <w:t> </w:t>
      </w:r>
      <w:r>
        <w:rPr>
          <w:b/>
          <w:sz w:val="20"/>
        </w:rPr>
        <w:t>junio</w:t>
      </w:r>
      <w:r>
        <w:rPr>
          <w:b/>
          <w:spacing w:val="-6"/>
          <w:sz w:val="20"/>
        </w:rPr>
        <w:t> </w:t>
      </w:r>
      <w:r>
        <w:rPr>
          <w:b/>
          <w:sz w:val="20"/>
        </w:rPr>
        <w:t>de</w:t>
      </w:r>
      <w:r>
        <w:rPr>
          <w:b/>
          <w:spacing w:val="-6"/>
          <w:sz w:val="20"/>
        </w:rPr>
        <w:t> </w:t>
      </w:r>
      <w:r>
        <w:rPr>
          <w:b/>
          <w:sz w:val="20"/>
        </w:rPr>
        <w:t>2023</w:t>
      </w:r>
      <w:r>
        <w:rPr>
          <w:b/>
          <w:spacing w:val="-6"/>
          <w:sz w:val="20"/>
        </w:rPr>
        <w:t> </w:t>
      </w:r>
      <w:r>
        <w:rPr>
          <w:b/>
          <w:sz w:val="20"/>
        </w:rPr>
        <w:t>hasta</w:t>
      </w:r>
      <w:r>
        <w:rPr>
          <w:b/>
          <w:spacing w:val="-6"/>
          <w:sz w:val="20"/>
        </w:rPr>
        <w:t> </w:t>
      </w:r>
      <w:r>
        <w:rPr>
          <w:b/>
          <w:sz w:val="20"/>
        </w:rPr>
        <w:t>la</w:t>
      </w:r>
      <w:r>
        <w:rPr>
          <w:b/>
          <w:spacing w:val="-7"/>
          <w:sz w:val="20"/>
        </w:rPr>
        <w:t> </w:t>
      </w:r>
      <w:r>
        <w:rPr>
          <w:b/>
          <w:spacing w:val="-2"/>
          <w:sz w:val="20"/>
        </w:rPr>
        <w:t>actualidad</w:t>
      </w:r>
    </w:p>
    <w:p>
      <w:pPr>
        <w:pStyle w:val="BodyText"/>
        <w:spacing w:before="179"/>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2"/>
        <w:rPr>
          <w:sz w:val="7"/>
        </w:rPr>
      </w:pPr>
      <w:r>
        <w:rPr>
          <w:sz w:val="7"/>
        </w:rPr>
        <mc:AlternateContent>
          <mc:Choice Requires="wps">
            <w:drawing>
              <wp:anchor distT="0" distB="0" distL="0" distR="0" allowOverlap="1" layoutInCell="1" locked="0" behindDoc="1" simplePos="0" relativeHeight="487784448">
                <wp:simplePos x="0" y="0"/>
                <wp:positionH relativeFrom="page">
                  <wp:posOffset>892530</wp:posOffset>
                </wp:positionH>
                <wp:positionV relativeFrom="paragraph">
                  <wp:posOffset>68132</wp:posOffset>
                </wp:positionV>
                <wp:extent cx="2129790" cy="145415"/>
                <wp:effectExtent l="0" t="0" r="0" b="0"/>
                <wp:wrapTopAndBottom/>
                <wp:docPr id="2129" name="Graphic 2129"/>
                <wp:cNvGraphicFramePr>
                  <a:graphicFrameLocks/>
                </wp:cNvGraphicFramePr>
                <a:graphic>
                  <a:graphicData uri="http://schemas.microsoft.com/office/word/2010/wordprocessingShape">
                    <wps:wsp>
                      <wps:cNvPr id="2129" name="Graphic 2129"/>
                      <wps:cNvSpPr/>
                      <wps:spPr>
                        <a:xfrm>
                          <a:off x="0" y="0"/>
                          <a:ext cx="2129790" cy="145415"/>
                        </a:xfrm>
                        <a:custGeom>
                          <a:avLst/>
                          <a:gdLst/>
                          <a:ahLst/>
                          <a:cxnLst/>
                          <a:rect l="l" t="t" r="r" b="b"/>
                          <a:pathLst>
                            <a:path w="2129790" h="145415">
                              <a:moveTo>
                                <a:pt x="2129231" y="0"/>
                              </a:moveTo>
                              <a:lnTo>
                                <a:pt x="0" y="0"/>
                              </a:lnTo>
                              <a:lnTo>
                                <a:pt x="0" y="145351"/>
                              </a:lnTo>
                              <a:lnTo>
                                <a:pt x="2129231" y="145351"/>
                              </a:lnTo>
                              <a:lnTo>
                                <a:pt x="212923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364737pt;width:167.656pt;height:11.445pt;mso-position-horizontal-relative:page;mso-position-vertical-relative:paragraph;z-index:-15532032;mso-wrap-distance-left:0;mso-wrap-distance-right:0" id="docshape1529" filled="true" fillcolor="#000000" stroked="false">
                <v:fill type="solid"/>
                <w10:wrap type="topAndBottom"/>
              </v:rect>
            </w:pict>
          </mc:Fallback>
        </mc:AlternateContent>
      </w:r>
    </w:p>
    <w:p>
      <w:pPr>
        <w:pStyle w:val="BodyText"/>
        <w:spacing w:before="159"/>
        <w:rPr>
          <w:sz w:val="20"/>
        </w:rPr>
      </w:pPr>
    </w:p>
    <w:p>
      <w:pPr>
        <w:spacing w:line="331" w:lineRule="auto" w:before="0"/>
        <w:ind w:left="1284" w:right="496" w:firstLine="0"/>
        <w:jc w:val="left"/>
        <w:rPr>
          <w:sz w:val="20"/>
        </w:rPr>
      </w:pPr>
      <w:r>
        <w:rPr>
          <w:sz w:val="20"/>
        </w:rPr>
        <mc:AlternateContent>
          <mc:Choice Requires="wps">
            <w:drawing>
              <wp:anchor distT="0" distB="0" distL="0" distR="0" allowOverlap="1" layoutInCell="1" locked="0" behindDoc="0" simplePos="0" relativeHeight="15927296">
                <wp:simplePos x="0" y="0"/>
                <wp:positionH relativeFrom="page">
                  <wp:posOffset>244784</wp:posOffset>
                </wp:positionH>
                <wp:positionV relativeFrom="paragraph">
                  <wp:posOffset>131323</wp:posOffset>
                </wp:positionV>
                <wp:extent cx="251460" cy="1744345"/>
                <wp:effectExtent l="0" t="0" r="0" b="0"/>
                <wp:wrapNone/>
                <wp:docPr id="2130" name="Textbox 2130"/>
                <wp:cNvGraphicFramePr>
                  <a:graphicFrameLocks/>
                </wp:cNvGraphicFramePr>
                <a:graphic>
                  <a:graphicData uri="http://schemas.microsoft.com/office/word/2010/wordprocessingShape">
                    <wps:wsp>
                      <wps:cNvPr id="2130" name="Textbox 2130"/>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10.340437pt;width:19.8pt;height:137.35pt;mso-position-horizontal-relative:page;mso-position-vertical-relative:paragraph;z-index:15927296" type="#_x0000_t202" id="docshape1530"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sz w:val="20"/>
        </w:rPr>
        <w:t>En</w:t>
      </w:r>
      <w:r>
        <w:rPr>
          <w:spacing w:val="-5"/>
          <w:sz w:val="20"/>
        </w:rPr>
        <w:t> </w:t>
      </w:r>
      <w:r>
        <w:rPr>
          <w:sz w:val="20"/>
        </w:rPr>
        <w:t>caso</w:t>
      </w:r>
      <w:r>
        <w:rPr>
          <w:spacing w:val="-6"/>
          <w:sz w:val="20"/>
        </w:rPr>
        <w:t> </w:t>
      </w:r>
      <w:r>
        <w:rPr>
          <w:sz w:val="20"/>
        </w:rPr>
        <w:t>de</w:t>
      </w:r>
      <w:r>
        <w:rPr>
          <w:spacing w:val="-3"/>
          <w:sz w:val="20"/>
        </w:rPr>
        <w:t> </w:t>
      </w:r>
      <w:r>
        <w:rPr>
          <w:sz w:val="20"/>
        </w:rPr>
        <w:t>que</w:t>
      </w:r>
      <w:r>
        <w:rPr>
          <w:spacing w:val="-5"/>
          <w:sz w:val="20"/>
        </w:rPr>
        <w:t> </w:t>
      </w:r>
      <w:r>
        <w:rPr>
          <w:sz w:val="20"/>
        </w:rPr>
        <w:t>el</w:t>
      </w:r>
      <w:r>
        <w:rPr>
          <w:spacing w:val="-7"/>
          <w:sz w:val="20"/>
        </w:rPr>
        <w:t> </w:t>
      </w:r>
      <w:r>
        <w:rPr>
          <w:sz w:val="20"/>
        </w:rPr>
        <w:t>Presidente/Expresidente</w:t>
      </w:r>
      <w:r>
        <w:rPr>
          <w:spacing w:val="-5"/>
          <w:sz w:val="20"/>
        </w:rPr>
        <w:t> </w:t>
      </w:r>
      <w:r>
        <w:rPr>
          <w:sz w:val="20"/>
        </w:rPr>
        <w:t>de</w:t>
      </w:r>
      <w:r>
        <w:rPr>
          <w:spacing w:val="-5"/>
          <w:sz w:val="20"/>
        </w:rPr>
        <w:t> </w:t>
      </w:r>
      <w:r>
        <w:rPr>
          <w:sz w:val="20"/>
        </w:rPr>
        <w:t>la</w:t>
      </w:r>
      <w:r>
        <w:rPr>
          <w:spacing w:val="-3"/>
          <w:sz w:val="20"/>
        </w:rPr>
        <w:t> </w:t>
      </w:r>
      <w:r>
        <w:rPr>
          <w:sz w:val="20"/>
        </w:rPr>
        <w:t>entidad</w:t>
      </w:r>
      <w:r>
        <w:rPr>
          <w:spacing w:val="-1"/>
          <w:sz w:val="20"/>
        </w:rPr>
        <w:t> </w:t>
      </w:r>
      <w:r>
        <w:rPr>
          <w:sz w:val="20"/>
        </w:rPr>
        <w:t>no</w:t>
      </w:r>
      <w:r>
        <w:rPr>
          <w:spacing w:val="-5"/>
          <w:sz w:val="20"/>
        </w:rPr>
        <w:t> </w:t>
      </w:r>
      <w:r>
        <w:rPr>
          <w:sz w:val="20"/>
        </w:rPr>
        <w:t>sea</w:t>
      </w:r>
      <w:r>
        <w:rPr>
          <w:spacing w:val="-3"/>
          <w:sz w:val="20"/>
        </w:rPr>
        <w:t> </w:t>
      </w:r>
      <w:r>
        <w:rPr>
          <w:sz w:val="20"/>
        </w:rPr>
        <w:t>quien</w:t>
      </w:r>
      <w:r>
        <w:rPr>
          <w:spacing w:val="-5"/>
          <w:sz w:val="20"/>
        </w:rPr>
        <w:t> </w:t>
      </w:r>
      <w:r>
        <w:rPr>
          <w:sz w:val="20"/>
        </w:rPr>
        <w:t>vaya</w:t>
      </w:r>
      <w:r>
        <w:rPr>
          <w:spacing w:val="-4"/>
          <w:sz w:val="20"/>
        </w:rPr>
        <w:t> </w:t>
      </w:r>
      <w:r>
        <w:rPr>
          <w:sz w:val="20"/>
        </w:rPr>
        <w:t>a</w:t>
      </w:r>
      <w:r>
        <w:rPr>
          <w:spacing w:val="-5"/>
          <w:sz w:val="20"/>
        </w:rPr>
        <w:t> </w:t>
      </w:r>
      <w:r>
        <w:rPr>
          <w:sz w:val="20"/>
        </w:rPr>
        <w:t>firmar</w:t>
      </w:r>
      <w:r>
        <w:rPr>
          <w:spacing w:val="-5"/>
          <w:sz w:val="20"/>
        </w:rPr>
        <w:t> </w:t>
      </w:r>
      <w:r>
        <w:rPr>
          <w:sz w:val="20"/>
        </w:rPr>
        <w:t>el</w:t>
      </w:r>
      <w:r>
        <w:rPr>
          <w:spacing w:val="-5"/>
          <w:sz w:val="20"/>
        </w:rPr>
        <w:t> </w:t>
      </w:r>
      <w:r>
        <w:rPr>
          <w:sz w:val="20"/>
        </w:rPr>
        <w:t>envío</w:t>
      </w:r>
      <w:r>
        <w:rPr>
          <w:spacing w:val="-6"/>
          <w:sz w:val="20"/>
        </w:rPr>
        <w:t> </w:t>
      </w:r>
      <w:r>
        <w:rPr>
          <w:sz w:val="20"/>
        </w:rPr>
        <w:t>telemático</w:t>
      </w:r>
      <w:r>
        <w:rPr>
          <w:spacing w:val="-6"/>
          <w:sz w:val="20"/>
        </w:rPr>
        <w:t> </w:t>
      </w:r>
      <w:r>
        <w:rPr>
          <w:sz w:val="20"/>
        </w:rPr>
        <w:t>de</w:t>
      </w:r>
      <w:r>
        <w:rPr>
          <w:spacing w:val="-5"/>
          <w:sz w:val="20"/>
        </w:rPr>
        <w:t> </w:t>
      </w:r>
      <w:r>
        <w:rPr>
          <w:sz w:val="20"/>
        </w:rPr>
        <w:t>las alegaciones marque "No" y cumplimente la información identificativa del representante. En otro caso marque </w:t>
      </w:r>
      <w:r>
        <w:rPr>
          <w:spacing w:val="-2"/>
          <w:sz w:val="20"/>
        </w:rPr>
        <w:t>"Sí".</w:t>
      </w:r>
    </w:p>
    <w:p>
      <w:pPr>
        <w:spacing w:before="3"/>
        <w:ind w:left="1284" w:right="0" w:firstLine="0"/>
        <w:jc w:val="left"/>
        <w:rPr>
          <w:b/>
          <w:sz w:val="20"/>
        </w:rPr>
      </w:pPr>
      <w:r>
        <w:rPr>
          <w:b/>
          <w:spacing w:val="-5"/>
          <w:sz w:val="20"/>
        </w:rPr>
        <w:t>No</w:t>
      </w:r>
    </w:p>
    <w:p>
      <w:pPr>
        <w:pStyle w:val="BodyText"/>
        <w:rPr>
          <w:b/>
          <w:sz w:val="20"/>
        </w:rPr>
      </w:pPr>
    </w:p>
    <w:p>
      <w:pPr>
        <w:pStyle w:val="BodyText"/>
        <w:rPr>
          <w:b/>
          <w:sz w:val="20"/>
        </w:rPr>
      </w:pPr>
    </w:p>
    <w:p>
      <w:pPr>
        <w:pStyle w:val="BodyText"/>
        <w:spacing w:before="35"/>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784960">
                <wp:simplePos x="0" y="0"/>
                <wp:positionH relativeFrom="page">
                  <wp:posOffset>905255</wp:posOffset>
                </wp:positionH>
                <wp:positionV relativeFrom="paragraph">
                  <wp:posOffset>161987</wp:posOffset>
                </wp:positionV>
                <wp:extent cx="3141345" cy="1270"/>
                <wp:effectExtent l="0" t="0" r="0" b="0"/>
                <wp:wrapTopAndBottom/>
                <wp:docPr id="2131" name="Graphic 2131"/>
                <wp:cNvGraphicFramePr>
                  <a:graphicFrameLocks/>
                </wp:cNvGraphicFramePr>
                <a:graphic>
                  <a:graphicData uri="http://schemas.microsoft.com/office/word/2010/wordprocessingShape">
                    <wps:wsp>
                      <wps:cNvPr id="2131" name="Graphic 2131"/>
                      <wps:cNvSpPr/>
                      <wps:spPr>
                        <a:xfrm>
                          <a:off x="0" y="0"/>
                          <a:ext cx="3141345" cy="1270"/>
                        </a:xfrm>
                        <a:custGeom>
                          <a:avLst/>
                          <a:gdLst/>
                          <a:ahLst/>
                          <a:cxnLst/>
                          <a:rect l="l" t="t" r="r" b="b"/>
                          <a:pathLst>
                            <a:path w="3141345" h="0">
                              <a:moveTo>
                                <a:pt x="0" y="0"/>
                              </a:moveTo>
                              <a:lnTo>
                                <a:pt x="3140963"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754926pt;width:247.35pt;height:.1pt;mso-position-horizontal-relative:page;mso-position-vertical-relative:paragraph;z-index:-15531520;mso-wrap-distance-left:0;mso-wrap-distance-right:0" id="docshape1531" coordorigin="1426,255" coordsize="4947,0" path="m1426,255l6372,255e" filled="false" stroked="true" strokeweight=".72pt" strokecolor="#000000">
                <v:path arrowok="t"/>
                <v:stroke dashstyle="solid"/>
                <w10:wrap type="topAndBottom"/>
              </v:shape>
            </w:pict>
          </mc:Fallback>
        </mc:AlternateContent>
      </w:r>
      <w:r>
        <w:rPr>
          <w:b/>
          <w:sz w:val="20"/>
        </w:rPr>
        <w:t>Identificación</w:t>
      </w:r>
      <w:r>
        <w:rPr>
          <w:b/>
          <w:spacing w:val="-12"/>
          <w:sz w:val="20"/>
        </w:rPr>
        <w:t> </w:t>
      </w:r>
      <w:r>
        <w:rPr>
          <w:b/>
          <w:sz w:val="20"/>
        </w:rPr>
        <w:t>de</w:t>
      </w:r>
      <w:r>
        <w:rPr>
          <w:b/>
          <w:spacing w:val="-10"/>
          <w:sz w:val="20"/>
        </w:rPr>
        <w:t> </w:t>
      </w:r>
      <w:r>
        <w:rPr>
          <w:b/>
          <w:sz w:val="20"/>
        </w:rPr>
        <w:t>la</w:t>
      </w:r>
      <w:r>
        <w:rPr>
          <w:b/>
          <w:spacing w:val="-10"/>
          <w:sz w:val="20"/>
        </w:rPr>
        <w:t> </w:t>
      </w:r>
      <w:r>
        <w:rPr>
          <w:b/>
          <w:sz w:val="20"/>
        </w:rPr>
        <w:t>persona</w:t>
      </w:r>
      <w:r>
        <w:rPr>
          <w:b/>
          <w:spacing w:val="-11"/>
          <w:sz w:val="20"/>
        </w:rPr>
        <w:t> </w:t>
      </w:r>
      <w:r>
        <w:rPr>
          <w:b/>
          <w:sz w:val="20"/>
        </w:rPr>
        <w:t>autorizada</w:t>
      </w:r>
      <w:r>
        <w:rPr>
          <w:b/>
          <w:spacing w:val="-10"/>
          <w:sz w:val="20"/>
        </w:rPr>
        <w:t> </w:t>
      </w:r>
      <w:r>
        <w:rPr>
          <w:b/>
          <w:sz w:val="20"/>
        </w:rPr>
        <w:t>para</w:t>
      </w:r>
      <w:r>
        <w:rPr>
          <w:b/>
          <w:spacing w:val="-11"/>
          <w:sz w:val="20"/>
        </w:rPr>
        <w:t> </w:t>
      </w:r>
      <w:r>
        <w:rPr>
          <w:b/>
          <w:sz w:val="20"/>
        </w:rPr>
        <w:t>el</w:t>
      </w:r>
      <w:r>
        <w:rPr>
          <w:b/>
          <w:spacing w:val="-10"/>
          <w:sz w:val="20"/>
        </w:rPr>
        <w:t> </w:t>
      </w:r>
      <w:r>
        <w:rPr>
          <w:b/>
          <w:spacing w:val="-2"/>
          <w:sz w:val="20"/>
        </w:rPr>
        <w:t>envío</w:t>
      </w:r>
    </w:p>
    <w:p>
      <w:pPr>
        <w:pStyle w:val="BodyText"/>
        <w:spacing w:before="146"/>
        <w:rPr>
          <w:b/>
          <w:sz w:val="20"/>
        </w:rPr>
      </w:pPr>
    </w:p>
    <w:p>
      <w:pPr>
        <w:spacing w:before="0"/>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7"/>
        <w:ind w:left="1284" w:right="0" w:firstLine="0"/>
        <w:jc w:val="left"/>
        <w:rPr>
          <w:b/>
          <w:sz w:val="20"/>
        </w:rPr>
      </w:pPr>
      <w:r>
        <w:rPr>
          <w:b/>
          <w:spacing w:val="-2"/>
          <w:sz w:val="20"/>
        </w:rPr>
        <w:t>MARÍA ISABEL</w:t>
      </w:r>
      <w:r>
        <w:rPr>
          <w:b/>
          <w:spacing w:val="1"/>
          <w:sz w:val="20"/>
        </w:rPr>
        <w:t> </w:t>
      </w:r>
      <w:r>
        <w:rPr>
          <w:b/>
          <w:spacing w:val="-2"/>
          <w:sz w:val="20"/>
        </w:rPr>
        <w:t>FERNÁNDEZ</w:t>
      </w:r>
      <w:r>
        <w:rPr>
          <w:b/>
          <w:spacing w:val="-5"/>
          <w:sz w:val="20"/>
        </w:rPr>
        <w:t> </w:t>
      </w:r>
      <w:r>
        <w:rPr>
          <w:b/>
          <w:spacing w:val="-2"/>
          <w:sz w:val="20"/>
        </w:rPr>
        <w:t>GUERRAS</w:t>
      </w:r>
    </w:p>
    <w:p>
      <w:pPr>
        <w:pStyle w:val="BodyText"/>
        <w:spacing w:before="178"/>
        <w:rPr>
          <w:b/>
          <w:sz w:val="20"/>
        </w:rPr>
      </w:pPr>
    </w:p>
    <w:p>
      <w:pPr>
        <w:spacing w:before="1"/>
        <w:ind w:left="1284" w:right="0" w:firstLine="0"/>
        <w:jc w:val="left"/>
        <w:rPr>
          <w:sz w:val="20"/>
        </w:rPr>
      </w:pPr>
      <w:r>
        <w:rPr>
          <w:spacing w:val="-4"/>
          <w:sz w:val="20"/>
        </w:rPr>
        <w:t>DNI:</w:t>
      </w:r>
    </w:p>
    <w:p>
      <w:pPr>
        <w:spacing w:after="0"/>
        <w:jc w:val="left"/>
        <w:rPr>
          <w:sz w:val="20"/>
        </w:rPr>
        <w:sectPr>
          <w:headerReference w:type="default" r:id="rId344"/>
          <w:headerReference w:type="even" r:id="rId345"/>
          <w:footerReference w:type="default" r:id="rId346"/>
          <w:footerReference w:type="even" r:id="rId347"/>
          <w:pgSz w:w="11910" w:h="16840"/>
          <w:pgMar w:header="314" w:footer="551" w:top="1240" w:bottom="740" w:left="141" w:right="141"/>
          <w:pgNumType w:start="1"/>
        </w:sectPr>
      </w:pPr>
    </w:p>
    <w:p>
      <w:pPr>
        <w:pStyle w:val="BodyText"/>
        <w:rPr>
          <w:sz w:val="20"/>
        </w:rPr>
      </w:pPr>
    </w:p>
    <w:p>
      <w:pPr>
        <w:pStyle w:val="BodyText"/>
        <w:spacing w:before="82"/>
        <w:rPr>
          <w:sz w:val="20"/>
        </w:rPr>
      </w:pPr>
    </w:p>
    <w:p>
      <w:pPr>
        <w:spacing w:line="187" w:lineRule="exact"/>
        <w:ind w:left="1264" w:right="0" w:firstLine="0"/>
        <w:rPr>
          <w:position w:val="-3"/>
          <w:sz w:val="18"/>
        </w:rPr>
      </w:pPr>
      <w:r>
        <w:rPr>
          <w:position w:val="-3"/>
          <w:sz w:val="18"/>
        </w:rPr>
        <mc:AlternateContent>
          <mc:Choice Requires="wps">
            <w:drawing>
              <wp:inline distT="0" distB="0" distL="0" distR="0">
                <wp:extent cx="678180" cy="119380"/>
                <wp:effectExtent l="0" t="0" r="0" b="0"/>
                <wp:docPr id="2132" name="Group 2132"/>
                <wp:cNvGraphicFramePr>
                  <a:graphicFrameLocks/>
                </wp:cNvGraphicFramePr>
                <a:graphic>
                  <a:graphicData uri="http://schemas.microsoft.com/office/word/2010/wordprocessingGroup">
                    <wpg:wgp>
                      <wpg:cNvPr id="2132" name="Group 2132"/>
                      <wpg:cNvGrpSpPr/>
                      <wpg:grpSpPr>
                        <a:xfrm>
                          <a:off x="0" y="0"/>
                          <a:ext cx="678180" cy="119380"/>
                          <a:chExt cx="678180" cy="119380"/>
                        </a:xfrm>
                      </wpg:grpSpPr>
                      <wps:wsp>
                        <wps:cNvPr id="2133" name="Graphic 2133"/>
                        <wps:cNvSpPr/>
                        <wps:spPr>
                          <a:xfrm>
                            <a:off x="0" y="0"/>
                            <a:ext cx="678180" cy="119380"/>
                          </a:xfrm>
                          <a:custGeom>
                            <a:avLst/>
                            <a:gdLst/>
                            <a:ahLst/>
                            <a:cxnLst/>
                            <a:rect l="l" t="t" r="r" b="b"/>
                            <a:pathLst>
                              <a:path w="678180" h="119380">
                                <a:moveTo>
                                  <a:pt x="678078" y="0"/>
                                </a:moveTo>
                                <a:lnTo>
                                  <a:pt x="0" y="0"/>
                                </a:lnTo>
                                <a:lnTo>
                                  <a:pt x="0" y="119189"/>
                                </a:lnTo>
                                <a:lnTo>
                                  <a:pt x="678078" y="119189"/>
                                </a:lnTo>
                                <a:lnTo>
                                  <a:pt x="678078"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3.4pt;height:9.4pt;mso-position-horizontal-relative:char;mso-position-vertical-relative:line" id="docshapegroup1532" coordorigin="0,0" coordsize="1068,188">
                <v:rect style="position:absolute;left:0;top:0;width:1068;height:188" id="docshape1533" filled="true" fillcolor="#000000" stroked="false">
                  <v:fill type="solid"/>
                </v:rect>
              </v:group>
            </w:pict>
          </mc:Fallback>
        </mc:AlternateContent>
      </w:r>
      <w:r>
        <w:rPr>
          <w:position w:val="-3"/>
          <w:sz w:val="18"/>
        </w:rPr>
      </w:r>
    </w:p>
    <w:p>
      <w:pPr>
        <w:pStyle w:val="BodyText"/>
        <w:spacing w:before="199"/>
        <w:rPr>
          <w:sz w:val="20"/>
        </w:rPr>
      </w:pPr>
    </w:p>
    <w:p>
      <w:pPr>
        <w:spacing w:before="0"/>
        <w:ind w:left="1284" w:right="0" w:firstLine="0"/>
        <w:jc w:val="left"/>
        <w:rPr>
          <w:sz w:val="20"/>
        </w:rPr>
      </w:pPr>
      <w:r>
        <w:rPr>
          <w:spacing w:val="-2"/>
          <w:sz w:val="20"/>
        </w:rPr>
        <w:t>Cargo:</w:t>
      </w:r>
    </w:p>
    <w:p>
      <w:pPr>
        <w:spacing w:before="87"/>
        <w:ind w:left="1284" w:right="0" w:firstLine="0"/>
        <w:jc w:val="left"/>
        <w:rPr>
          <w:b/>
          <w:sz w:val="20"/>
        </w:rPr>
      </w:pPr>
      <w:r>
        <w:rPr>
          <w:b/>
          <w:sz w:val="20"/>
        </w:rPr>
        <w:t>DIRECTORA</w:t>
      </w:r>
      <w:r>
        <w:rPr>
          <w:b/>
          <w:spacing w:val="-11"/>
          <w:sz w:val="20"/>
        </w:rPr>
        <w:t> </w:t>
      </w:r>
      <w:r>
        <w:rPr>
          <w:b/>
          <w:sz w:val="20"/>
        </w:rPr>
        <w:t>DE</w:t>
      </w:r>
      <w:r>
        <w:rPr>
          <w:b/>
          <w:spacing w:val="-9"/>
          <w:sz w:val="20"/>
        </w:rPr>
        <w:t> </w:t>
      </w:r>
      <w:r>
        <w:rPr>
          <w:b/>
          <w:sz w:val="20"/>
        </w:rPr>
        <w:t>TRÁFICO</w:t>
      </w:r>
      <w:r>
        <w:rPr>
          <w:b/>
          <w:spacing w:val="-10"/>
          <w:sz w:val="20"/>
        </w:rPr>
        <w:t> </w:t>
      </w:r>
      <w:r>
        <w:rPr>
          <w:b/>
          <w:sz w:val="20"/>
        </w:rPr>
        <w:t>Y</w:t>
      </w:r>
      <w:r>
        <w:rPr>
          <w:b/>
          <w:spacing w:val="-9"/>
          <w:sz w:val="20"/>
        </w:rPr>
        <w:t> </w:t>
      </w:r>
      <w:r>
        <w:rPr>
          <w:b/>
          <w:spacing w:val="-2"/>
          <w:sz w:val="20"/>
        </w:rPr>
        <w:t>TRANSPORTES</w:t>
      </w:r>
    </w:p>
    <w:p>
      <w:pPr>
        <w:pStyle w:val="BodyText"/>
        <w:spacing w:before="178"/>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5"/>
        <w:rPr>
          <w:sz w:val="7"/>
        </w:rPr>
      </w:pPr>
      <w:r>
        <w:rPr>
          <w:sz w:val="7"/>
        </w:rPr>
        <mc:AlternateContent>
          <mc:Choice Requires="wps">
            <w:drawing>
              <wp:anchor distT="0" distB="0" distL="0" distR="0" allowOverlap="1" layoutInCell="1" locked="0" behindDoc="1" simplePos="0" relativeHeight="487788544">
                <wp:simplePos x="0" y="0"/>
                <wp:positionH relativeFrom="page">
                  <wp:posOffset>892530</wp:posOffset>
                </wp:positionH>
                <wp:positionV relativeFrom="paragraph">
                  <wp:posOffset>69772</wp:posOffset>
                </wp:positionV>
                <wp:extent cx="1671955" cy="145415"/>
                <wp:effectExtent l="0" t="0" r="0" b="0"/>
                <wp:wrapTopAndBottom/>
                <wp:docPr id="2134" name="Graphic 2134"/>
                <wp:cNvGraphicFramePr>
                  <a:graphicFrameLocks/>
                </wp:cNvGraphicFramePr>
                <a:graphic>
                  <a:graphicData uri="http://schemas.microsoft.com/office/word/2010/wordprocessingShape">
                    <wps:wsp>
                      <wps:cNvPr id="2134" name="Graphic 2134"/>
                      <wps:cNvSpPr/>
                      <wps:spPr>
                        <a:xfrm>
                          <a:off x="0" y="0"/>
                          <a:ext cx="1671955" cy="145415"/>
                        </a:xfrm>
                        <a:custGeom>
                          <a:avLst/>
                          <a:gdLst/>
                          <a:ahLst/>
                          <a:cxnLst/>
                          <a:rect l="l" t="t" r="r" b="b"/>
                          <a:pathLst>
                            <a:path w="1671955" h="145415">
                              <a:moveTo>
                                <a:pt x="1671510" y="0"/>
                              </a:moveTo>
                              <a:lnTo>
                                <a:pt x="0" y="0"/>
                              </a:lnTo>
                              <a:lnTo>
                                <a:pt x="0" y="145351"/>
                              </a:lnTo>
                              <a:lnTo>
                                <a:pt x="1671510" y="145351"/>
                              </a:lnTo>
                              <a:lnTo>
                                <a:pt x="167151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493867pt;width:131.615pt;height:11.445pt;mso-position-horizontal-relative:page;mso-position-vertical-relative:paragraph;z-index:-15527936;mso-wrap-distance-left:0;mso-wrap-distance-right:0" id="docshape1534" filled="true" fillcolor="#000000" stroked="false">
                <v:fill type="solid"/>
                <w10:wrap type="topAndBottom"/>
              </v:rect>
            </w:pict>
          </mc:Fallback>
        </mc:AlternateContent>
      </w:r>
    </w:p>
    <w:p>
      <w:pPr>
        <w:pStyle w:val="BodyText"/>
        <w:spacing w:before="156"/>
        <w:rPr>
          <w:sz w:val="20"/>
        </w:rPr>
      </w:pPr>
    </w:p>
    <w:p>
      <w:pPr>
        <w:spacing w:before="0"/>
        <w:ind w:left="1284" w:right="0" w:firstLine="0"/>
        <w:jc w:val="left"/>
        <w:rPr>
          <w:sz w:val="20"/>
        </w:rPr>
      </w:pPr>
      <w:r>
        <w:rPr>
          <w:sz w:val="20"/>
        </w:rPr>
        <w:t>Anexos</w:t>
      </w:r>
      <w:r>
        <w:rPr>
          <w:spacing w:val="-7"/>
          <w:sz w:val="20"/>
        </w:rPr>
        <w:t> </w:t>
      </w:r>
      <w:r>
        <w:rPr>
          <w:sz w:val="20"/>
        </w:rPr>
        <w:t>de</w:t>
      </w:r>
      <w:r>
        <w:rPr>
          <w:spacing w:val="-3"/>
          <w:sz w:val="20"/>
        </w:rPr>
        <w:t> </w:t>
      </w:r>
      <w:r>
        <w:rPr>
          <w:sz w:val="20"/>
        </w:rPr>
        <w:t>la</w:t>
      </w:r>
      <w:r>
        <w:rPr>
          <w:spacing w:val="-6"/>
          <w:sz w:val="20"/>
        </w:rPr>
        <w:t> </w:t>
      </w:r>
      <w:r>
        <w:rPr>
          <w:spacing w:val="-2"/>
          <w:sz w:val="20"/>
        </w:rPr>
        <w:t>sección:</w:t>
      </w:r>
    </w:p>
    <w:p>
      <w:pPr>
        <w:spacing w:before="90"/>
        <w:ind w:left="1284" w:right="0" w:firstLine="0"/>
        <w:jc w:val="left"/>
        <w:rPr>
          <w:b/>
          <w:sz w:val="20"/>
        </w:rPr>
      </w:pPr>
      <w:r>
        <w:rPr>
          <w:b/>
          <w:spacing w:val="-2"/>
          <w:sz w:val="20"/>
        </w:rPr>
        <w:t>Nombre:</w:t>
      </w:r>
      <w:r>
        <w:rPr>
          <w:b/>
          <w:spacing w:val="3"/>
          <w:sz w:val="20"/>
        </w:rPr>
        <w:t> </w:t>
      </w:r>
      <w:r>
        <w:rPr>
          <w:b/>
          <w:spacing w:val="-2"/>
          <w:sz w:val="20"/>
        </w:rPr>
        <w:t>Autoriz</w:t>
      </w:r>
      <w:r>
        <w:rPr>
          <w:b/>
          <w:sz w:val="20"/>
        </w:rPr>
        <w:t> </w:t>
      </w:r>
      <w:r>
        <w:rPr>
          <w:b/>
          <w:spacing w:val="-2"/>
          <w:sz w:val="20"/>
        </w:rPr>
        <w:t>Remision</w:t>
      </w:r>
      <w:r>
        <w:rPr>
          <w:b/>
          <w:spacing w:val="2"/>
          <w:sz w:val="20"/>
        </w:rPr>
        <w:t> </w:t>
      </w:r>
      <w:r>
        <w:rPr>
          <w:b/>
          <w:spacing w:val="-2"/>
          <w:sz w:val="20"/>
        </w:rPr>
        <w:t>Alegaciones.pdf,</w:t>
      </w:r>
      <w:r>
        <w:rPr>
          <w:b/>
          <w:spacing w:val="2"/>
          <w:sz w:val="20"/>
        </w:rPr>
        <w:t> </w:t>
      </w:r>
      <w:r>
        <w:rPr>
          <w:b/>
          <w:spacing w:val="-2"/>
          <w:sz w:val="20"/>
        </w:rPr>
        <w:t>Hash:</w:t>
      </w:r>
      <w:r>
        <w:rPr>
          <w:b/>
          <w:spacing w:val="2"/>
          <w:sz w:val="20"/>
        </w:rPr>
        <w:t> </w:t>
      </w:r>
      <w:r>
        <w:rPr>
          <w:b/>
          <w:spacing w:val="-2"/>
          <w:sz w:val="20"/>
        </w:rPr>
        <w:t>3olxL3b9jH7H0nTNnPDo9A==</w:t>
      </w:r>
    </w:p>
    <w:p>
      <w:pPr>
        <w:pStyle w:val="BodyText"/>
        <w:spacing w:before="175"/>
        <w:rPr>
          <w:b/>
          <w:sz w:val="20"/>
        </w:rPr>
      </w:pPr>
    </w:p>
    <w:p>
      <w:pPr>
        <w:spacing w:before="1"/>
        <w:ind w:left="4663" w:right="0" w:firstLine="0"/>
        <w:jc w:val="left"/>
        <w:rPr>
          <w:b/>
          <w:sz w:val="20"/>
        </w:rPr>
      </w:pPr>
      <w:r>
        <w:rPr>
          <w:b/>
          <w:sz w:val="20"/>
        </w:rPr>
        <w:t>FORMULARIO</w:t>
      </w:r>
      <w:r>
        <w:rPr>
          <w:b/>
          <w:spacing w:val="-14"/>
          <w:sz w:val="20"/>
        </w:rPr>
        <w:t> </w:t>
      </w:r>
      <w:r>
        <w:rPr>
          <w:b/>
          <w:sz w:val="20"/>
        </w:rPr>
        <w:t>2:</w:t>
      </w:r>
      <w:r>
        <w:rPr>
          <w:b/>
          <w:spacing w:val="-14"/>
          <w:sz w:val="20"/>
        </w:rPr>
        <w:t> </w:t>
      </w:r>
      <w:r>
        <w:rPr>
          <w:b/>
          <w:spacing w:val="-2"/>
          <w:sz w:val="20"/>
        </w:rPr>
        <w:t>ALEGACIONES</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789056">
                <wp:simplePos x="0" y="0"/>
                <wp:positionH relativeFrom="page">
                  <wp:posOffset>905255</wp:posOffset>
                </wp:positionH>
                <wp:positionV relativeFrom="paragraph">
                  <wp:posOffset>160170</wp:posOffset>
                </wp:positionV>
                <wp:extent cx="1714500" cy="1270"/>
                <wp:effectExtent l="0" t="0" r="0" b="0"/>
                <wp:wrapTopAndBottom/>
                <wp:docPr id="2135" name="Graphic 2135"/>
                <wp:cNvGraphicFramePr>
                  <a:graphicFrameLocks/>
                </wp:cNvGraphicFramePr>
                <a:graphic>
                  <a:graphicData uri="http://schemas.microsoft.com/office/word/2010/wordprocessingShape">
                    <wps:wsp>
                      <wps:cNvPr id="2135" name="Graphic 2135"/>
                      <wps:cNvSpPr/>
                      <wps:spPr>
                        <a:xfrm>
                          <a:off x="0" y="0"/>
                          <a:ext cx="1714500" cy="1270"/>
                        </a:xfrm>
                        <a:custGeom>
                          <a:avLst/>
                          <a:gdLst/>
                          <a:ahLst/>
                          <a:cxnLst/>
                          <a:rect l="l" t="t" r="r" b="b"/>
                          <a:pathLst>
                            <a:path w="1714500" h="0">
                              <a:moveTo>
                                <a:pt x="0" y="0"/>
                              </a:moveTo>
                              <a:lnTo>
                                <a:pt x="1714499"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11859pt;width:135pt;height:.1pt;mso-position-horizontal-relative:page;mso-position-vertical-relative:paragraph;z-index:-15527424;mso-wrap-distance-left:0;mso-wrap-distance-right:0" id="docshape1535" coordorigin="1426,252" coordsize="2700,0" path="m1426,252l4126,252e" filled="false" stroked="true" strokeweight=".72pt" strokecolor="#000000">
                <v:path arrowok="t"/>
                <v:stroke dashstyle="solid"/>
                <w10:wrap type="topAndBottom"/>
              </v:shape>
            </w:pict>
          </mc:Fallback>
        </mc:AlternateContent>
      </w:r>
      <w:r>
        <w:rPr>
          <w:b/>
          <w:sz w:val="20"/>
        </w:rPr>
        <w:t>Alegaciones</w:t>
      </w:r>
      <w:r>
        <w:rPr>
          <w:b/>
          <w:spacing w:val="-13"/>
          <w:sz w:val="20"/>
        </w:rPr>
        <w:t> </w:t>
      </w:r>
      <w:r>
        <w:rPr>
          <w:b/>
          <w:sz w:val="20"/>
        </w:rPr>
        <w:t>al</w:t>
      </w:r>
      <w:r>
        <w:rPr>
          <w:b/>
          <w:spacing w:val="-12"/>
          <w:sz w:val="20"/>
        </w:rPr>
        <w:t> </w:t>
      </w:r>
      <w:r>
        <w:rPr>
          <w:b/>
          <w:spacing w:val="-2"/>
          <w:sz w:val="20"/>
        </w:rPr>
        <w:t>anteproyecto</w:t>
      </w:r>
    </w:p>
    <w:p>
      <w:pPr>
        <w:pStyle w:val="BodyText"/>
        <w:spacing w:before="146"/>
        <w:rPr>
          <w:b/>
          <w:sz w:val="20"/>
        </w:rPr>
      </w:pPr>
    </w:p>
    <w:p>
      <w:pPr>
        <w:spacing w:before="1"/>
        <w:ind w:left="1284" w:right="0" w:firstLine="0"/>
        <w:jc w:val="left"/>
        <w:rPr>
          <w:i/>
          <w:sz w:val="20"/>
        </w:rPr>
      </w:pPr>
      <w:r>
        <w:rPr>
          <w:i/>
          <w:sz w:val="20"/>
        </w:rPr>
        <w:t>Grupo</w:t>
      </w:r>
      <w:r>
        <w:rPr>
          <w:i/>
          <w:spacing w:val="-5"/>
          <w:sz w:val="20"/>
        </w:rPr>
        <w:t> </w:t>
      </w:r>
      <w:r>
        <w:rPr>
          <w:i/>
          <w:sz w:val="20"/>
        </w:rPr>
        <w:t>1</w:t>
      </w:r>
      <w:r>
        <w:rPr>
          <w:i/>
          <w:spacing w:val="-5"/>
          <w:sz w:val="20"/>
        </w:rPr>
        <w:t> </w:t>
      </w:r>
      <w:r>
        <w:rPr>
          <w:i/>
          <w:sz w:val="20"/>
        </w:rPr>
        <w:t>de</w:t>
      </w:r>
      <w:r>
        <w:rPr>
          <w:i/>
          <w:spacing w:val="-5"/>
          <w:sz w:val="20"/>
        </w:rPr>
        <w:t> </w:t>
      </w:r>
      <w:r>
        <w:rPr>
          <w:i/>
          <w:spacing w:val="-12"/>
          <w:sz w:val="20"/>
        </w:rPr>
        <w:t>1</w:t>
      </w:r>
    </w:p>
    <w:p>
      <w:pPr>
        <w:pStyle w:val="BodyText"/>
        <w:spacing w:before="175"/>
        <w:rPr>
          <w:i/>
          <w:sz w:val="20"/>
        </w:rPr>
      </w:pPr>
    </w:p>
    <w:p>
      <w:pPr>
        <w:spacing w:before="1"/>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z w:val="20"/>
        </w:rPr>
        <mc:AlternateContent>
          <mc:Choice Requires="wps">
            <w:drawing>
              <wp:anchor distT="0" distB="0" distL="0" distR="0" allowOverlap="1" layoutInCell="1" locked="0" behindDoc="0" simplePos="0" relativeHeight="15931392">
                <wp:simplePos x="0" y="0"/>
                <wp:positionH relativeFrom="page">
                  <wp:posOffset>244784</wp:posOffset>
                </wp:positionH>
                <wp:positionV relativeFrom="paragraph">
                  <wp:posOffset>164490</wp:posOffset>
                </wp:positionV>
                <wp:extent cx="138430" cy="2155190"/>
                <wp:effectExtent l="0" t="0" r="0" b="0"/>
                <wp:wrapNone/>
                <wp:docPr id="2136" name="Textbox 2136"/>
                <wp:cNvGraphicFramePr>
                  <a:graphicFrameLocks/>
                </wp:cNvGraphicFramePr>
                <a:graphic>
                  <a:graphicData uri="http://schemas.microsoft.com/office/word/2010/wordprocessingShape">
                    <wps:wsp>
                      <wps:cNvPr id="2136" name="Textbox 2136"/>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12.952044pt;width:10.9pt;height:169.7pt;mso-position-horizontal-relative:page;mso-position-vertical-relative:paragraph;z-index:15931392" type="#_x0000_t202" id="docshape1536"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pacing w:val="-2"/>
          <w:sz w:val="20"/>
        </w:rPr>
        <w:t>21,94,100,</w:t>
      </w:r>
    </w:p>
    <w:p>
      <w:pPr>
        <w:pStyle w:val="BodyText"/>
        <w:spacing w:before="178"/>
        <w:rPr>
          <w:b/>
          <w:sz w:val="20"/>
        </w:rPr>
      </w:pPr>
    </w:p>
    <w:p>
      <w:pPr>
        <w:spacing w:before="0"/>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pStyle w:val="ListParagraph"/>
        <w:numPr>
          <w:ilvl w:val="0"/>
          <w:numId w:val="22"/>
        </w:numPr>
        <w:tabs>
          <w:tab w:pos="1503" w:val="left" w:leader="none"/>
        </w:tabs>
        <w:spacing w:line="331" w:lineRule="auto" w:before="87" w:after="0"/>
        <w:ind w:left="1284" w:right="525" w:firstLine="0"/>
        <w:jc w:val="left"/>
        <w:rPr>
          <w:b/>
          <w:sz w:val="20"/>
        </w:rPr>
      </w:pPr>
      <w:r>
        <w:rPr>
          <w:b/>
          <w:sz w:val="20"/>
        </w:rPr>
        <mc:AlternateContent>
          <mc:Choice Requires="wps">
            <w:drawing>
              <wp:anchor distT="0" distB="0" distL="0" distR="0" allowOverlap="1" layoutInCell="1" locked="0" behindDoc="0" simplePos="0" relativeHeight="15930368">
                <wp:simplePos x="0" y="0"/>
                <wp:positionH relativeFrom="page">
                  <wp:posOffset>130383</wp:posOffset>
                </wp:positionH>
                <wp:positionV relativeFrom="paragraph">
                  <wp:posOffset>799445</wp:posOffset>
                </wp:positionV>
                <wp:extent cx="138430" cy="2952750"/>
                <wp:effectExtent l="0" t="0" r="0" b="0"/>
                <wp:wrapNone/>
                <wp:docPr id="2137" name="Textbox 2137"/>
                <wp:cNvGraphicFramePr>
                  <a:graphicFrameLocks/>
                </wp:cNvGraphicFramePr>
                <a:graphic>
                  <a:graphicData uri="http://schemas.microsoft.com/office/word/2010/wordprocessingShape">
                    <wps:wsp>
                      <wps:cNvPr id="2137" name="Textbox 2137"/>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62.94846pt;width:10.9pt;height:232.5pt;mso-position-horizontal-relative:page;mso-position-vertical-relative:paragraph;z-index:15930368" type="#_x0000_t202" id="docshape1537"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31904">
                <wp:simplePos x="0" y="0"/>
                <wp:positionH relativeFrom="page">
                  <wp:posOffset>344030</wp:posOffset>
                </wp:positionH>
                <wp:positionV relativeFrom="paragraph">
                  <wp:posOffset>615083</wp:posOffset>
                </wp:positionV>
                <wp:extent cx="163830" cy="2874645"/>
                <wp:effectExtent l="0" t="0" r="0" b="0"/>
                <wp:wrapNone/>
                <wp:docPr id="2138" name="Graphic 2138"/>
                <wp:cNvGraphicFramePr>
                  <a:graphicFrameLocks/>
                </wp:cNvGraphicFramePr>
                <a:graphic>
                  <a:graphicData uri="http://schemas.microsoft.com/office/word/2010/wordprocessingShape">
                    <wps:wsp>
                      <wps:cNvPr id="2138" name="Graphic 2138"/>
                      <wps:cNvSpPr/>
                      <wps:spPr>
                        <a:xfrm>
                          <a:off x="0" y="0"/>
                          <a:ext cx="163830" cy="2874645"/>
                        </a:xfrm>
                        <a:custGeom>
                          <a:avLst/>
                          <a:gdLst/>
                          <a:ahLst/>
                          <a:cxnLst/>
                          <a:rect l="l" t="t" r="r" b="b"/>
                          <a:pathLst>
                            <a:path w="163830" h="2874645">
                              <a:moveTo>
                                <a:pt x="163258" y="0"/>
                              </a:moveTo>
                              <a:lnTo>
                                <a:pt x="0" y="0"/>
                              </a:lnTo>
                              <a:lnTo>
                                <a:pt x="0" y="2874352"/>
                              </a:lnTo>
                              <a:lnTo>
                                <a:pt x="163258" y="2874352"/>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48.431769pt;width:12.855pt;height:226.327pt;mso-position-horizontal-relative:page;mso-position-vertical-relative:paragraph;z-index:15931904" id="docshape1538" filled="true" fillcolor="#000000" stroked="false">
                <v:fill type="solid"/>
                <w10:wrap type="none"/>
              </v:rect>
            </w:pict>
          </mc:Fallback>
        </mc:AlternateContent>
      </w:r>
      <w:r>
        <w:rPr>
          <w:b/>
          <w:sz w:val="20"/>
        </w:rPr>
        <w:t>Se señala por ese Tribunal de Cuentas en la página 21 del citado Anteproyecto de informe, en relación con PMUS, que el Ayuntamiento de Murcia -entre otros- habían aprobado PMUS con anterioridad</w:t>
      </w:r>
      <w:r>
        <w:rPr>
          <w:b/>
          <w:spacing w:val="-4"/>
          <w:sz w:val="20"/>
        </w:rPr>
        <w:t> </w:t>
      </w:r>
      <w:r>
        <w:rPr>
          <w:b/>
          <w:sz w:val="20"/>
        </w:rPr>
        <w:t>a</w:t>
      </w:r>
      <w:r>
        <w:rPr>
          <w:b/>
          <w:spacing w:val="-4"/>
          <w:sz w:val="20"/>
        </w:rPr>
        <w:t> </w:t>
      </w:r>
      <w:r>
        <w:rPr>
          <w:b/>
          <w:sz w:val="20"/>
        </w:rPr>
        <w:t>la</w:t>
      </w:r>
      <w:r>
        <w:rPr>
          <w:b/>
          <w:spacing w:val="-4"/>
          <w:sz w:val="20"/>
        </w:rPr>
        <w:t> </w:t>
      </w:r>
      <w:r>
        <w:rPr>
          <w:b/>
          <w:sz w:val="20"/>
        </w:rPr>
        <w:t>entrada</w:t>
      </w:r>
      <w:r>
        <w:rPr>
          <w:b/>
          <w:spacing w:val="-4"/>
          <w:sz w:val="20"/>
        </w:rPr>
        <w:t> </w:t>
      </w:r>
      <w:r>
        <w:rPr>
          <w:b/>
          <w:sz w:val="20"/>
        </w:rPr>
        <w:t>en</w:t>
      </w:r>
      <w:r>
        <w:rPr>
          <w:b/>
          <w:spacing w:val="-4"/>
          <w:sz w:val="20"/>
        </w:rPr>
        <w:t> </w:t>
      </w:r>
      <w:r>
        <w:rPr>
          <w:b/>
          <w:sz w:val="20"/>
        </w:rPr>
        <w:t>vigor</w:t>
      </w:r>
      <w:r>
        <w:rPr>
          <w:b/>
          <w:spacing w:val="-2"/>
          <w:sz w:val="20"/>
        </w:rPr>
        <w:t> </w:t>
      </w:r>
      <w:r>
        <w:rPr>
          <w:b/>
          <w:sz w:val="20"/>
        </w:rPr>
        <w:t>de</w:t>
      </w:r>
      <w:r>
        <w:rPr>
          <w:b/>
          <w:spacing w:val="-4"/>
          <w:sz w:val="20"/>
        </w:rPr>
        <w:t> </w:t>
      </w:r>
      <w:r>
        <w:rPr>
          <w:b/>
          <w:sz w:val="20"/>
        </w:rPr>
        <w:t>la</w:t>
      </w:r>
      <w:r>
        <w:rPr>
          <w:b/>
          <w:spacing w:val="-4"/>
          <w:sz w:val="20"/>
        </w:rPr>
        <w:t> </w:t>
      </w:r>
      <w:r>
        <w:rPr>
          <w:b/>
          <w:sz w:val="20"/>
        </w:rPr>
        <w:t>Ley</w:t>
      </w:r>
      <w:r>
        <w:rPr>
          <w:b/>
          <w:spacing w:val="-2"/>
          <w:sz w:val="20"/>
        </w:rPr>
        <w:t> </w:t>
      </w:r>
      <w:r>
        <w:rPr>
          <w:b/>
          <w:sz w:val="20"/>
        </w:rPr>
        <w:t>a</w:t>
      </w:r>
      <w:r>
        <w:rPr>
          <w:b/>
          <w:spacing w:val="-4"/>
          <w:sz w:val="20"/>
        </w:rPr>
        <w:t> </w:t>
      </w:r>
      <w:r>
        <w:rPr>
          <w:b/>
          <w:sz w:val="20"/>
        </w:rPr>
        <w:t>la</w:t>
      </w:r>
      <w:r>
        <w:rPr>
          <w:b/>
          <w:spacing w:val="-4"/>
          <w:sz w:val="20"/>
        </w:rPr>
        <w:t> </w:t>
      </w:r>
      <w:r>
        <w:rPr>
          <w:b/>
          <w:sz w:val="20"/>
        </w:rPr>
        <w:t>que</w:t>
      </w:r>
      <w:r>
        <w:rPr>
          <w:b/>
          <w:spacing w:val="-5"/>
          <w:sz w:val="20"/>
        </w:rPr>
        <w:t> </w:t>
      </w:r>
      <w:r>
        <w:rPr>
          <w:b/>
          <w:sz w:val="20"/>
        </w:rPr>
        <w:t>se</w:t>
      </w:r>
      <w:r>
        <w:rPr>
          <w:b/>
          <w:spacing w:val="-2"/>
          <w:sz w:val="20"/>
        </w:rPr>
        <w:t> </w:t>
      </w:r>
      <w:r>
        <w:rPr>
          <w:b/>
          <w:sz w:val="20"/>
        </w:rPr>
        <w:t>refiere</w:t>
      </w:r>
      <w:r>
        <w:rPr>
          <w:b/>
          <w:spacing w:val="-4"/>
          <w:sz w:val="20"/>
        </w:rPr>
        <w:t> </w:t>
      </w:r>
      <w:r>
        <w:rPr>
          <w:b/>
          <w:sz w:val="20"/>
        </w:rPr>
        <w:t>el</w:t>
      </w:r>
      <w:r>
        <w:rPr>
          <w:b/>
          <w:spacing w:val="-4"/>
          <w:sz w:val="20"/>
        </w:rPr>
        <w:t> </w:t>
      </w:r>
      <w:r>
        <w:rPr>
          <w:b/>
          <w:sz w:val="20"/>
        </w:rPr>
        <w:t>Anteproyecto,</w:t>
      </w:r>
      <w:r>
        <w:rPr>
          <w:b/>
          <w:spacing w:val="-4"/>
          <w:sz w:val="20"/>
        </w:rPr>
        <w:t> </w:t>
      </w:r>
      <w:r>
        <w:rPr>
          <w:b/>
          <w:sz w:val="20"/>
        </w:rPr>
        <w:t>sin</w:t>
      </w:r>
      <w:r>
        <w:rPr>
          <w:b/>
          <w:spacing w:val="-2"/>
          <w:sz w:val="20"/>
        </w:rPr>
        <w:t> </w:t>
      </w:r>
      <w:r>
        <w:rPr>
          <w:b/>
          <w:sz w:val="20"/>
        </w:rPr>
        <w:t>que</w:t>
      </w:r>
      <w:r>
        <w:rPr>
          <w:b/>
          <w:spacing w:val="-2"/>
          <w:sz w:val="20"/>
        </w:rPr>
        <w:t> </w:t>
      </w:r>
      <w:r>
        <w:rPr>
          <w:b/>
          <w:sz w:val="20"/>
        </w:rPr>
        <w:t>se</w:t>
      </w:r>
      <w:r>
        <w:rPr>
          <w:b/>
          <w:spacing w:val="-4"/>
          <w:sz w:val="20"/>
        </w:rPr>
        <w:t> </w:t>
      </w:r>
      <w:r>
        <w:rPr>
          <w:b/>
          <w:sz w:val="20"/>
        </w:rPr>
        <w:t>hayan</w:t>
      </w:r>
      <w:r>
        <w:rPr>
          <w:b/>
          <w:spacing w:val="-4"/>
          <w:sz w:val="20"/>
        </w:rPr>
        <w:t> </w:t>
      </w:r>
      <w:r>
        <w:rPr>
          <w:b/>
          <w:sz w:val="20"/>
        </w:rPr>
        <w:t>llevado a cabo las modificaciones necesarias para adaptarlos, precisando en nota a pie de página (14), que el Ayuntamiento</w:t>
      </w:r>
      <w:r>
        <w:rPr>
          <w:b/>
          <w:spacing w:val="-6"/>
          <w:sz w:val="20"/>
        </w:rPr>
        <w:t> </w:t>
      </w:r>
      <w:r>
        <w:rPr>
          <w:b/>
          <w:sz w:val="20"/>
        </w:rPr>
        <w:t>de</w:t>
      </w:r>
      <w:r>
        <w:rPr>
          <w:b/>
          <w:spacing w:val="-6"/>
          <w:sz w:val="20"/>
        </w:rPr>
        <w:t> </w:t>
      </w:r>
      <w:r>
        <w:rPr>
          <w:b/>
          <w:sz w:val="20"/>
        </w:rPr>
        <w:t>Las</w:t>
      </w:r>
      <w:r>
        <w:rPr>
          <w:b/>
          <w:spacing w:val="-4"/>
          <w:sz w:val="20"/>
        </w:rPr>
        <w:t> </w:t>
      </w:r>
      <w:r>
        <w:rPr>
          <w:b/>
          <w:sz w:val="20"/>
        </w:rPr>
        <w:t>Palmas</w:t>
      </w:r>
      <w:r>
        <w:rPr>
          <w:b/>
          <w:spacing w:val="-6"/>
          <w:sz w:val="20"/>
        </w:rPr>
        <w:t> </w:t>
      </w:r>
      <w:r>
        <w:rPr>
          <w:b/>
          <w:sz w:val="20"/>
        </w:rPr>
        <w:t>de</w:t>
      </w:r>
      <w:r>
        <w:rPr>
          <w:b/>
          <w:spacing w:val="-6"/>
          <w:sz w:val="20"/>
        </w:rPr>
        <w:t> </w:t>
      </w:r>
      <w:r>
        <w:rPr>
          <w:b/>
          <w:sz w:val="20"/>
        </w:rPr>
        <w:t>Gran</w:t>
      </w:r>
      <w:r>
        <w:rPr>
          <w:b/>
          <w:spacing w:val="-6"/>
          <w:sz w:val="20"/>
        </w:rPr>
        <w:t> </w:t>
      </w:r>
      <w:r>
        <w:rPr>
          <w:b/>
          <w:sz w:val="20"/>
        </w:rPr>
        <w:t>Canaria</w:t>
      </w:r>
      <w:r>
        <w:rPr>
          <w:b/>
          <w:spacing w:val="-6"/>
          <w:sz w:val="20"/>
        </w:rPr>
        <w:t> </w:t>
      </w:r>
      <w:r>
        <w:rPr>
          <w:b/>
          <w:sz w:val="20"/>
        </w:rPr>
        <w:t>formalizó</w:t>
      </w:r>
      <w:r>
        <w:rPr>
          <w:b/>
          <w:spacing w:val="-8"/>
          <w:sz w:val="20"/>
        </w:rPr>
        <w:t> </w:t>
      </w:r>
      <w:r>
        <w:rPr>
          <w:b/>
          <w:sz w:val="20"/>
        </w:rPr>
        <w:t>-en</w:t>
      </w:r>
      <w:r>
        <w:rPr>
          <w:b/>
          <w:spacing w:val="-4"/>
          <w:sz w:val="20"/>
        </w:rPr>
        <w:t> </w:t>
      </w:r>
      <w:r>
        <w:rPr>
          <w:b/>
          <w:sz w:val="20"/>
        </w:rPr>
        <w:t>mayo</w:t>
      </w:r>
      <w:r>
        <w:rPr>
          <w:b/>
          <w:spacing w:val="-5"/>
          <w:sz w:val="20"/>
        </w:rPr>
        <w:t> </w:t>
      </w:r>
      <w:r>
        <w:rPr>
          <w:b/>
          <w:sz w:val="20"/>
        </w:rPr>
        <w:t>de</w:t>
      </w:r>
      <w:r>
        <w:rPr>
          <w:b/>
          <w:spacing w:val="-6"/>
          <w:sz w:val="20"/>
        </w:rPr>
        <w:t> </w:t>
      </w:r>
      <w:r>
        <w:rPr>
          <w:b/>
          <w:sz w:val="20"/>
        </w:rPr>
        <w:t>2025-</w:t>
      </w:r>
      <w:r>
        <w:rPr>
          <w:b/>
          <w:spacing w:val="-8"/>
          <w:sz w:val="20"/>
        </w:rPr>
        <w:t> </w:t>
      </w:r>
      <w:r>
        <w:rPr>
          <w:b/>
          <w:sz w:val="20"/>
        </w:rPr>
        <w:t>un</w:t>
      </w:r>
      <w:r>
        <w:rPr>
          <w:b/>
          <w:spacing w:val="-4"/>
          <w:sz w:val="20"/>
        </w:rPr>
        <w:t> </w:t>
      </w:r>
      <w:r>
        <w:rPr>
          <w:b/>
          <w:sz w:val="20"/>
        </w:rPr>
        <w:t>contrato</w:t>
      </w:r>
      <w:r>
        <w:rPr>
          <w:b/>
          <w:spacing w:val="-6"/>
          <w:sz w:val="20"/>
        </w:rPr>
        <w:t> </w:t>
      </w:r>
      <w:r>
        <w:rPr>
          <w:b/>
          <w:sz w:val="20"/>
        </w:rPr>
        <w:t>de</w:t>
      </w:r>
      <w:r>
        <w:rPr>
          <w:b/>
          <w:spacing w:val="-4"/>
          <w:sz w:val="20"/>
        </w:rPr>
        <w:t> </w:t>
      </w:r>
      <w:r>
        <w:rPr>
          <w:b/>
          <w:sz w:val="20"/>
        </w:rPr>
        <w:t>consultoría</w:t>
      </w:r>
      <w:r>
        <w:rPr>
          <w:b/>
          <w:spacing w:val="-3"/>
          <w:sz w:val="20"/>
        </w:rPr>
        <w:t> </w:t>
      </w:r>
      <w:r>
        <w:rPr>
          <w:b/>
          <w:sz w:val="20"/>
        </w:rPr>
        <w:t>y asistencia para la actualización del PMUS. Esa misma consideración se hace en el apartado de Conclusiones, III.2 (‘Relativas a la Planificación sobre movilidad sostenible’), página 94 del Anteproyecto de informe.</w:t>
      </w:r>
    </w:p>
    <w:p>
      <w:pPr>
        <w:pStyle w:val="BodyText"/>
        <w:spacing w:before="99"/>
        <w:rPr>
          <w:b/>
          <w:sz w:val="20"/>
        </w:rPr>
      </w:pPr>
    </w:p>
    <w:p>
      <w:pPr>
        <w:pStyle w:val="ListParagraph"/>
        <w:numPr>
          <w:ilvl w:val="0"/>
          <w:numId w:val="22"/>
        </w:numPr>
        <w:tabs>
          <w:tab w:pos="1503" w:val="left" w:leader="none"/>
        </w:tabs>
        <w:spacing w:line="331" w:lineRule="auto" w:before="0" w:after="0"/>
        <w:ind w:left="1284" w:right="757" w:firstLine="0"/>
        <w:jc w:val="left"/>
        <w:rPr>
          <w:b/>
          <w:sz w:val="20"/>
        </w:rPr>
      </w:pPr>
      <w:r>
        <w:rPr>
          <w:b/>
          <w:sz w:val="20"/>
        </w:rPr>
        <mc:AlternateContent>
          <mc:Choice Requires="wps">
            <w:drawing>
              <wp:anchor distT="0" distB="0" distL="0" distR="0" allowOverlap="1" layoutInCell="1" locked="0" behindDoc="0" simplePos="0" relativeHeight="15930880">
                <wp:simplePos x="0" y="0"/>
                <wp:positionH relativeFrom="page">
                  <wp:posOffset>244784</wp:posOffset>
                </wp:positionH>
                <wp:positionV relativeFrom="paragraph">
                  <wp:posOffset>131508</wp:posOffset>
                </wp:positionV>
                <wp:extent cx="251460" cy="1744345"/>
                <wp:effectExtent l="0" t="0" r="0" b="0"/>
                <wp:wrapNone/>
                <wp:docPr id="2139" name="Textbox 2139"/>
                <wp:cNvGraphicFramePr>
                  <a:graphicFrameLocks/>
                </wp:cNvGraphicFramePr>
                <a:graphic>
                  <a:graphicData uri="http://schemas.microsoft.com/office/word/2010/wordprocessingShape">
                    <wps:wsp>
                      <wps:cNvPr id="2139" name="Textbox 2139"/>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10.354984pt;width:19.8pt;height:137.35pt;mso-position-horizontal-relative:page;mso-position-vertical-relative:paragraph;z-index:15930880" type="#_x0000_t202" id="docshape1539"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w:t>No</w:t>
      </w:r>
      <w:r>
        <w:rPr>
          <w:b/>
          <w:spacing w:val="-1"/>
          <w:sz w:val="20"/>
        </w:rPr>
        <w:t> </w:t>
      </w:r>
      <w:r>
        <w:rPr>
          <w:b/>
          <w:sz w:val="20"/>
        </w:rPr>
        <w:t>consta</w:t>
      </w:r>
      <w:r>
        <w:rPr>
          <w:b/>
          <w:spacing w:val="-1"/>
          <w:sz w:val="20"/>
        </w:rPr>
        <w:t> </w:t>
      </w:r>
      <w:r>
        <w:rPr>
          <w:b/>
          <w:sz w:val="20"/>
        </w:rPr>
        <w:t>que</w:t>
      </w:r>
      <w:r>
        <w:rPr>
          <w:b/>
          <w:spacing w:val="-1"/>
          <w:sz w:val="20"/>
        </w:rPr>
        <w:t> </w:t>
      </w:r>
      <w:r>
        <w:rPr>
          <w:b/>
          <w:sz w:val="20"/>
        </w:rPr>
        <w:t>los</w:t>
      </w:r>
      <w:r>
        <w:rPr>
          <w:b/>
          <w:spacing w:val="-1"/>
          <w:sz w:val="20"/>
        </w:rPr>
        <w:t> </w:t>
      </w:r>
      <w:r>
        <w:rPr>
          <w:b/>
          <w:sz w:val="20"/>
        </w:rPr>
        <w:t>Ayuntamientos</w:t>
      </w:r>
      <w:r>
        <w:rPr>
          <w:b/>
          <w:spacing w:val="-1"/>
          <w:sz w:val="20"/>
        </w:rPr>
        <w:t> </w:t>
      </w:r>
      <w:r>
        <w:rPr>
          <w:b/>
          <w:sz w:val="20"/>
        </w:rPr>
        <w:t>de</w:t>
      </w:r>
      <w:r>
        <w:rPr>
          <w:b/>
          <w:spacing w:val="-1"/>
          <w:sz w:val="20"/>
        </w:rPr>
        <w:t> </w:t>
      </w:r>
      <w:r>
        <w:rPr>
          <w:b/>
          <w:sz w:val="20"/>
        </w:rPr>
        <w:t>Murcia</w:t>
      </w:r>
      <w:r>
        <w:rPr>
          <w:b/>
          <w:spacing w:val="-1"/>
          <w:sz w:val="20"/>
        </w:rPr>
        <w:t> </w:t>
      </w:r>
      <w:r>
        <w:rPr>
          <w:b/>
          <w:sz w:val="20"/>
        </w:rPr>
        <w:t>(…)</w:t>
      </w:r>
      <w:r>
        <w:rPr>
          <w:b/>
          <w:spacing w:val="-1"/>
          <w:sz w:val="20"/>
        </w:rPr>
        <w:t> </w:t>
      </w:r>
      <w:r>
        <w:rPr>
          <w:b/>
          <w:sz w:val="20"/>
        </w:rPr>
        <w:t>hayan</w:t>
      </w:r>
      <w:r>
        <w:rPr>
          <w:b/>
          <w:spacing w:val="-1"/>
          <w:sz w:val="20"/>
        </w:rPr>
        <w:t> </w:t>
      </w:r>
      <w:r>
        <w:rPr>
          <w:b/>
          <w:sz w:val="20"/>
        </w:rPr>
        <w:t>informado,</w:t>
      </w:r>
      <w:r>
        <w:rPr>
          <w:b/>
          <w:spacing w:val="-1"/>
          <w:sz w:val="20"/>
        </w:rPr>
        <w:t> </w:t>
      </w:r>
      <w:r>
        <w:rPr>
          <w:b/>
          <w:sz w:val="20"/>
        </w:rPr>
        <w:t>al Ministerio</w:t>
      </w:r>
      <w:r>
        <w:rPr>
          <w:b/>
          <w:spacing w:val="-2"/>
          <w:sz w:val="20"/>
        </w:rPr>
        <w:t> </w:t>
      </w:r>
      <w:r>
        <w:rPr>
          <w:b/>
          <w:sz w:val="20"/>
        </w:rPr>
        <w:t>concedente</w:t>
      </w:r>
      <w:r>
        <w:rPr>
          <w:b/>
          <w:spacing w:val="-1"/>
          <w:sz w:val="20"/>
        </w:rPr>
        <w:t> </w:t>
      </w:r>
      <w:r>
        <w:rPr>
          <w:b/>
          <w:sz w:val="20"/>
        </w:rPr>
        <w:t>de</w:t>
      </w:r>
      <w:r>
        <w:rPr>
          <w:b/>
          <w:spacing w:val="-1"/>
          <w:sz w:val="20"/>
        </w:rPr>
        <w:t> </w:t>
      </w:r>
      <w:r>
        <w:rPr>
          <w:b/>
          <w:sz w:val="20"/>
        </w:rPr>
        <w:t>las ayudas, la percepción de otras subvenciones o ayudas para una misma actuación. En el caso del Ayuntamiento</w:t>
      </w:r>
      <w:r>
        <w:rPr>
          <w:b/>
          <w:spacing w:val="-6"/>
          <w:sz w:val="20"/>
        </w:rPr>
        <w:t> </w:t>
      </w:r>
      <w:r>
        <w:rPr>
          <w:b/>
          <w:sz w:val="20"/>
        </w:rPr>
        <w:t>de</w:t>
      </w:r>
      <w:r>
        <w:rPr>
          <w:b/>
          <w:spacing w:val="-6"/>
          <w:sz w:val="20"/>
        </w:rPr>
        <w:t> </w:t>
      </w:r>
      <w:r>
        <w:rPr>
          <w:b/>
          <w:sz w:val="20"/>
        </w:rPr>
        <w:t>Murcia,</w:t>
      </w:r>
      <w:r>
        <w:rPr>
          <w:b/>
          <w:spacing w:val="-6"/>
          <w:sz w:val="20"/>
        </w:rPr>
        <w:t> </w:t>
      </w:r>
      <w:r>
        <w:rPr>
          <w:b/>
          <w:sz w:val="20"/>
        </w:rPr>
        <w:t>la</w:t>
      </w:r>
      <w:r>
        <w:rPr>
          <w:b/>
          <w:spacing w:val="-6"/>
          <w:sz w:val="20"/>
        </w:rPr>
        <w:t> </w:t>
      </w:r>
      <w:r>
        <w:rPr>
          <w:b/>
          <w:sz w:val="20"/>
        </w:rPr>
        <w:t>percepción</w:t>
      </w:r>
      <w:r>
        <w:rPr>
          <w:b/>
          <w:spacing w:val="-6"/>
          <w:sz w:val="20"/>
        </w:rPr>
        <w:t> </w:t>
      </w:r>
      <w:r>
        <w:rPr>
          <w:b/>
          <w:sz w:val="20"/>
        </w:rPr>
        <w:t>de</w:t>
      </w:r>
      <w:r>
        <w:rPr>
          <w:b/>
          <w:spacing w:val="-4"/>
          <w:sz w:val="20"/>
        </w:rPr>
        <w:t> </w:t>
      </w:r>
      <w:r>
        <w:rPr>
          <w:b/>
          <w:sz w:val="20"/>
        </w:rPr>
        <w:t>fondos</w:t>
      </w:r>
      <w:r>
        <w:rPr>
          <w:b/>
          <w:spacing w:val="-6"/>
          <w:sz w:val="20"/>
        </w:rPr>
        <w:t> </w:t>
      </w:r>
      <w:r>
        <w:rPr>
          <w:b/>
          <w:sz w:val="20"/>
        </w:rPr>
        <w:t>FEDER</w:t>
      </w:r>
      <w:r>
        <w:rPr>
          <w:b/>
          <w:spacing w:val="-6"/>
          <w:sz w:val="20"/>
        </w:rPr>
        <w:t> </w:t>
      </w:r>
      <w:r>
        <w:rPr>
          <w:b/>
          <w:sz w:val="20"/>
        </w:rPr>
        <w:t>para</w:t>
      </w:r>
      <w:r>
        <w:rPr>
          <w:b/>
          <w:spacing w:val="-6"/>
          <w:sz w:val="20"/>
        </w:rPr>
        <w:t> </w:t>
      </w:r>
      <w:r>
        <w:rPr>
          <w:b/>
          <w:sz w:val="20"/>
        </w:rPr>
        <w:t>la</w:t>
      </w:r>
      <w:r>
        <w:rPr>
          <w:b/>
          <w:spacing w:val="-6"/>
          <w:sz w:val="20"/>
        </w:rPr>
        <w:t> </w:t>
      </w:r>
      <w:r>
        <w:rPr>
          <w:b/>
          <w:sz w:val="20"/>
        </w:rPr>
        <w:t>ampliación</w:t>
      </w:r>
      <w:r>
        <w:rPr>
          <w:b/>
          <w:spacing w:val="-6"/>
          <w:sz w:val="20"/>
        </w:rPr>
        <w:t> </w:t>
      </w:r>
      <w:r>
        <w:rPr>
          <w:b/>
          <w:sz w:val="20"/>
        </w:rPr>
        <w:t>de</w:t>
      </w:r>
      <w:r>
        <w:rPr>
          <w:b/>
          <w:spacing w:val="-6"/>
          <w:sz w:val="20"/>
        </w:rPr>
        <w:t> </w:t>
      </w:r>
      <w:r>
        <w:rPr>
          <w:b/>
          <w:sz w:val="20"/>
        </w:rPr>
        <w:t>la</w:t>
      </w:r>
      <w:r>
        <w:rPr>
          <w:b/>
          <w:spacing w:val="-6"/>
          <w:sz w:val="20"/>
        </w:rPr>
        <w:t> </w:t>
      </w:r>
      <w:r>
        <w:rPr>
          <w:b/>
          <w:sz w:val="20"/>
        </w:rPr>
        <w:t>red</w:t>
      </w:r>
      <w:r>
        <w:rPr>
          <w:b/>
          <w:spacing w:val="-6"/>
          <w:sz w:val="20"/>
        </w:rPr>
        <w:t> </w:t>
      </w:r>
      <w:r>
        <w:rPr>
          <w:b/>
          <w:sz w:val="20"/>
        </w:rPr>
        <w:t>de</w:t>
      </w:r>
      <w:r>
        <w:rPr>
          <w:b/>
          <w:spacing w:val="-6"/>
          <w:sz w:val="20"/>
        </w:rPr>
        <w:t> </w:t>
      </w:r>
      <w:r>
        <w:rPr>
          <w:b/>
          <w:sz w:val="20"/>
        </w:rPr>
        <w:t>plataformas reservadas destinadas a carriles bici y bus e implantación de líneas BTR, (…).</w:t>
      </w:r>
    </w:p>
    <w:p>
      <w:pPr>
        <w:pStyle w:val="BodyText"/>
        <w:spacing w:before="92"/>
        <w:rPr>
          <w:b/>
          <w:sz w:val="20"/>
        </w:rPr>
      </w:pPr>
    </w:p>
    <w:p>
      <w:pPr>
        <w:spacing w:before="0"/>
        <w:ind w:left="1284" w:right="0" w:firstLine="0"/>
        <w:jc w:val="left"/>
        <w:rPr>
          <w:sz w:val="20"/>
        </w:rPr>
      </w:pPr>
      <w:r>
        <w:rPr>
          <w:spacing w:val="-2"/>
          <w:sz w:val="20"/>
        </w:rPr>
        <w:t>Alegación:</w:t>
      </w:r>
    </w:p>
    <w:p>
      <w:pPr>
        <w:pStyle w:val="ListParagraph"/>
        <w:numPr>
          <w:ilvl w:val="0"/>
          <w:numId w:val="23"/>
        </w:numPr>
        <w:tabs>
          <w:tab w:pos="1503" w:val="left" w:leader="none"/>
        </w:tabs>
        <w:spacing w:line="333" w:lineRule="auto" w:before="89" w:after="0"/>
        <w:ind w:left="1284" w:right="726" w:firstLine="0"/>
        <w:jc w:val="left"/>
        <w:rPr>
          <w:b/>
          <w:sz w:val="20"/>
        </w:rPr>
      </w:pPr>
      <w:r>
        <w:rPr>
          <w:b/>
          <w:sz w:val="20"/>
        </w:rPr>
        <w:t>El Ayuntamiento de Murcia facilitó documentación acreditativa sobre el acuerdo de Junta de Gobierno celebrada en sesión ordinaria del día 18 de febrero de 2022 por el que se aprobó el ‘ENCARGO DE REDACCIÓN DE PROYECTOS PARA LA IMPLANTACIÓN DE TRES LÍNEAS DE TRANSPORTE PÚBLICO COLECTIVO DE LA TIPOLOGÍA DE BUS DE TRÁNSITO RÁPIDO (BTR) Y ACTUALIZACIÓN</w:t>
      </w:r>
      <w:r>
        <w:rPr>
          <w:b/>
          <w:spacing w:val="-7"/>
          <w:sz w:val="20"/>
        </w:rPr>
        <w:t> </w:t>
      </w:r>
      <w:r>
        <w:rPr>
          <w:b/>
          <w:sz w:val="20"/>
        </w:rPr>
        <w:t>Y</w:t>
      </w:r>
      <w:r>
        <w:rPr>
          <w:b/>
          <w:spacing w:val="-7"/>
          <w:sz w:val="20"/>
        </w:rPr>
        <w:t> </w:t>
      </w:r>
      <w:r>
        <w:rPr>
          <w:b/>
          <w:sz w:val="20"/>
        </w:rPr>
        <w:t>REVISIÓN</w:t>
      </w:r>
      <w:r>
        <w:rPr>
          <w:b/>
          <w:spacing w:val="-7"/>
          <w:sz w:val="20"/>
        </w:rPr>
        <w:t> </w:t>
      </w:r>
      <w:r>
        <w:rPr>
          <w:b/>
          <w:sz w:val="20"/>
        </w:rPr>
        <w:t>DEL</w:t>
      </w:r>
      <w:r>
        <w:rPr>
          <w:b/>
          <w:spacing w:val="-7"/>
          <w:sz w:val="20"/>
        </w:rPr>
        <w:t> </w:t>
      </w:r>
      <w:r>
        <w:rPr>
          <w:b/>
          <w:sz w:val="20"/>
        </w:rPr>
        <w:t>PLAN</w:t>
      </w:r>
      <w:r>
        <w:rPr>
          <w:b/>
          <w:spacing w:val="-7"/>
          <w:sz w:val="20"/>
        </w:rPr>
        <w:t> </w:t>
      </w:r>
      <w:r>
        <w:rPr>
          <w:b/>
          <w:sz w:val="20"/>
        </w:rPr>
        <w:t>DE</w:t>
      </w:r>
      <w:r>
        <w:rPr>
          <w:b/>
          <w:spacing w:val="-5"/>
          <w:sz w:val="20"/>
        </w:rPr>
        <w:t> </w:t>
      </w:r>
      <w:r>
        <w:rPr>
          <w:b/>
          <w:sz w:val="20"/>
        </w:rPr>
        <w:t>MOVILIDAD</w:t>
      </w:r>
      <w:r>
        <w:rPr>
          <w:b/>
          <w:spacing w:val="-7"/>
          <w:sz w:val="20"/>
        </w:rPr>
        <w:t> </w:t>
      </w:r>
      <w:r>
        <w:rPr>
          <w:b/>
          <w:sz w:val="20"/>
        </w:rPr>
        <w:t>URBANA</w:t>
      </w:r>
      <w:r>
        <w:rPr>
          <w:b/>
          <w:spacing w:val="-7"/>
          <w:sz w:val="20"/>
        </w:rPr>
        <w:t> </w:t>
      </w:r>
      <w:r>
        <w:rPr>
          <w:b/>
          <w:sz w:val="20"/>
        </w:rPr>
        <w:t>SOSTENIBLE</w:t>
      </w:r>
      <w:r>
        <w:rPr>
          <w:b/>
          <w:spacing w:val="-7"/>
          <w:sz w:val="20"/>
        </w:rPr>
        <w:t> </w:t>
      </w:r>
      <w:r>
        <w:rPr>
          <w:b/>
          <w:sz w:val="20"/>
        </w:rPr>
        <w:t>DE</w:t>
      </w:r>
      <w:r>
        <w:rPr>
          <w:b/>
          <w:spacing w:val="-7"/>
          <w:sz w:val="20"/>
        </w:rPr>
        <w:t> </w:t>
      </w:r>
      <w:r>
        <w:rPr>
          <w:b/>
          <w:sz w:val="20"/>
        </w:rPr>
        <w:t>MURCIA</w:t>
      </w:r>
      <w:r>
        <w:rPr>
          <w:b/>
          <w:spacing w:val="-6"/>
          <w:sz w:val="20"/>
        </w:rPr>
        <w:t> </w:t>
      </w:r>
      <w:r>
        <w:rPr>
          <w:b/>
          <w:sz w:val="20"/>
        </w:rPr>
        <w:t>EN</w:t>
      </w:r>
      <w:r>
        <w:rPr>
          <w:b/>
          <w:spacing w:val="-7"/>
          <w:sz w:val="20"/>
        </w:rPr>
        <w:t> </w:t>
      </w:r>
      <w:r>
        <w:rPr>
          <w:b/>
          <w:sz w:val="20"/>
        </w:rPr>
        <w:t>SUS</w:t>
      </w:r>
    </w:p>
    <w:p>
      <w:pPr>
        <w:spacing w:line="225" w:lineRule="exact" w:before="0"/>
        <w:ind w:left="1284" w:right="0" w:firstLine="0"/>
        <w:jc w:val="left"/>
        <w:rPr>
          <w:b/>
          <w:sz w:val="20"/>
        </w:rPr>
      </w:pPr>
      <w:r>
        <w:rPr>
          <w:b/>
          <w:sz w:val="20"/>
        </w:rPr>
        <w:t>FASES</w:t>
      </w:r>
      <w:r>
        <w:rPr>
          <w:b/>
          <w:spacing w:val="-10"/>
          <w:sz w:val="20"/>
        </w:rPr>
        <w:t> </w:t>
      </w:r>
      <w:r>
        <w:rPr>
          <w:b/>
          <w:sz w:val="20"/>
        </w:rPr>
        <w:t>I</w:t>
      </w:r>
      <w:r>
        <w:rPr>
          <w:b/>
          <w:spacing w:val="-9"/>
          <w:sz w:val="20"/>
        </w:rPr>
        <w:t> </w:t>
      </w:r>
      <w:r>
        <w:rPr>
          <w:b/>
          <w:sz w:val="20"/>
        </w:rPr>
        <w:t>Y</w:t>
      </w:r>
      <w:r>
        <w:rPr>
          <w:b/>
          <w:spacing w:val="-7"/>
          <w:sz w:val="20"/>
        </w:rPr>
        <w:t> </w:t>
      </w:r>
      <w:r>
        <w:rPr>
          <w:b/>
          <w:sz w:val="20"/>
        </w:rPr>
        <w:t>II’</w:t>
      </w:r>
      <w:r>
        <w:rPr>
          <w:b/>
          <w:spacing w:val="-9"/>
          <w:sz w:val="20"/>
        </w:rPr>
        <w:t> </w:t>
      </w:r>
      <w:r>
        <w:rPr>
          <w:b/>
          <w:sz w:val="20"/>
        </w:rPr>
        <w:t>a</w:t>
      </w:r>
      <w:r>
        <w:rPr>
          <w:b/>
          <w:spacing w:val="-9"/>
          <w:sz w:val="20"/>
        </w:rPr>
        <w:t> </w:t>
      </w:r>
      <w:r>
        <w:rPr>
          <w:b/>
          <w:sz w:val="20"/>
        </w:rPr>
        <w:t>la</w:t>
      </w:r>
      <w:r>
        <w:rPr>
          <w:b/>
          <w:spacing w:val="-8"/>
          <w:sz w:val="20"/>
        </w:rPr>
        <w:t> </w:t>
      </w:r>
      <w:r>
        <w:rPr>
          <w:b/>
          <w:sz w:val="20"/>
        </w:rPr>
        <w:t>mercantil</w:t>
      </w:r>
      <w:r>
        <w:rPr>
          <w:b/>
          <w:spacing w:val="-9"/>
          <w:sz w:val="20"/>
        </w:rPr>
        <w:t> </w:t>
      </w:r>
      <w:r>
        <w:rPr>
          <w:b/>
          <w:sz w:val="20"/>
        </w:rPr>
        <w:t>Urbanizadora</w:t>
      </w:r>
      <w:r>
        <w:rPr>
          <w:b/>
          <w:spacing w:val="-9"/>
          <w:sz w:val="20"/>
        </w:rPr>
        <w:t> </w:t>
      </w:r>
      <w:r>
        <w:rPr>
          <w:b/>
          <w:sz w:val="20"/>
        </w:rPr>
        <w:t>Municipal,</w:t>
      </w:r>
      <w:r>
        <w:rPr>
          <w:b/>
          <w:spacing w:val="-9"/>
          <w:sz w:val="20"/>
        </w:rPr>
        <w:t> </w:t>
      </w:r>
      <w:r>
        <w:rPr>
          <w:b/>
          <w:sz w:val="20"/>
        </w:rPr>
        <w:t>S.A.</w:t>
      </w:r>
      <w:r>
        <w:rPr>
          <w:b/>
          <w:spacing w:val="-9"/>
          <w:sz w:val="20"/>
        </w:rPr>
        <w:t> </w:t>
      </w:r>
      <w:r>
        <w:rPr>
          <w:b/>
          <w:sz w:val="20"/>
        </w:rPr>
        <w:t>(URBAMUSA),</w:t>
      </w:r>
      <w:r>
        <w:rPr>
          <w:b/>
          <w:spacing w:val="-8"/>
          <w:sz w:val="20"/>
        </w:rPr>
        <w:t> </w:t>
      </w:r>
      <w:r>
        <w:rPr>
          <w:b/>
          <w:sz w:val="20"/>
        </w:rPr>
        <w:t>y</w:t>
      </w:r>
      <w:r>
        <w:rPr>
          <w:b/>
          <w:spacing w:val="-9"/>
          <w:sz w:val="20"/>
        </w:rPr>
        <w:t> </w:t>
      </w:r>
      <w:r>
        <w:rPr>
          <w:b/>
          <w:sz w:val="20"/>
        </w:rPr>
        <w:t>acuerdo</w:t>
      </w:r>
      <w:r>
        <w:rPr>
          <w:b/>
          <w:spacing w:val="-9"/>
          <w:sz w:val="20"/>
        </w:rPr>
        <w:t> </w:t>
      </w:r>
      <w:r>
        <w:rPr>
          <w:b/>
          <w:sz w:val="20"/>
        </w:rPr>
        <w:t>de</w:t>
      </w:r>
      <w:r>
        <w:rPr>
          <w:b/>
          <w:spacing w:val="-9"/>
          <w:sz w:val="20"/>
        </w:rPr>
        <w:t> </w:t>
      </w:r>
      <w:r>
        <w:rPr>
          <w:b/>
          <w:sz w:val="20"/>
        </w:rPr>
        <w:t>28</w:t>
      </w:r>
      <w:r>
        <w:rPr>
          <w:b/>
          <w:spacing w:val="-8"/>
          <w:sz w:val="20"/>
        </w:rPr>
        <w:t> </w:t>
      </w:r>
      <w:r>
        <w:rPr>
          <w:b/>
          <w:sz w:val="20"/>
        </w:rPr>
        <w:t>de</w:t>
      </w:r>
      <w:r>
        <w:rPr>
          <w:b/>
          <w:spacing w:val="-9"/>
          <w:sz w:val="20"/>
        </w:rPr>
        <w:t> </w:t>
      </w:r>
      <w:r>
        <w:rPr>
          <w:b/>
          <w:sz w:val="20"/>
        </w:rPr>
        <w:t>marzo</w:t>
      </w:r>
      <w:r>
        <w:rPr>
          <w:b/>
          <w:spacing w:val="-9"/>
          <w:sz w:val="20"/>
        </w:rPr>
        <w:t> </w:t>
      </w:r>
      <w:r>
        <w:rPr>
          <w:b/>
          <w:spacing w:val="-5"/>
          <w:sz w:val="20"/>
        </w:rPr>
        <w:t>de</w:t>
      </w:r>
    </w:p>
    <w:p>
      <w:pPr>
        <w:spacing w:after="0" w:line="225" w:lineRule="exact"/>
        <w:jc w:val="left"/>
        <w:rPr>
          <w:b/>
          <w:sz w:val="20"/>
        </w:rPr>
        <w:sectPr>
          <w:pgSz w:w="11910" w:h="16840"/>
          <w:pgMar w:header="314" w:footer="481" w:top="1240" w:bottom="680" w:left="141" w:right="141"/>
        </w:sectPr>
      </w:pPr>
    </w:p>
    <w:p>
      <w:pPr>
        <w:pStyle w:val="BodyText"/>
        <w:rPr>
          <w:b/>
          <w:sz w:val="20"/>
        </w:rPr>
      </w:pPr>
    </w:p>
    <w:p>
      <w:pPr>
        <w:pStyle w:val="BodyText"/>
        <w:spacing w:before="59"/>
        <w:rPr>
          <w:b/>
          <w:sz w:val="20"/>
        </w:rPr>
      </w:pPr>
    </w:p>
    <w:p>
      <w:pPr>
        <w:spacing w:line="331" w:lineRule="auto" w:before="1"/>
        <w:ind w:left="1284" w:right="769" w:firstLine="0"/>
        <w:jc w:val="left"/>
        <w:rPr>
          <w:b/>
          <w:sz w:val="20"/>
        </w:rPr>
      </w:pPr>
      <w:r>
        <w:rPr>
          <w:b/>
          <w:sz w:val="20"/>
        </w:rPr>
        <w:t>2025</w:t>
      </w:r>
      <w:r>
        <w:rPr>
          <w:b/>
          <w:spacing w:val="-1"/>
          <w:sz w:val="20"/>
        </w:rPr>
        <w:t> </w:t>
      </w:r>
      <w:r>
        <w:rPr>
          <w:b/>
          <w:sz w:val="20"/>
        </w:rPr>
        <w:t>de</w:t>
      </w:r>
      <w:r>
        <w:rPr>
          <w:b/>
          <w:spacing w:val="-1"/>
          <w:sz w:val="20"/>
        </w:rPr>
        <w:t> </w:t>
      </w:r>
      <w:r>
        <w:rPr>
          <w:b/>
          <w:sz w:val="20"/>
        </w:rPr>
        <w:t>la</w:t>
      </w:r>
      <w:r>
        <w:rPr>
          <w:b/>
          <w:spacing w:val="-1"/>
          <w:sz w:val="20"/>
        </w:rPr>
        <w:t> </w:t>
      </w:r>
      <w:r>
        <w:rPr>
          <w:b/>
          <w:sz w:val="20"/>
        </w:rPr>
        <w:t>Junta</w:t>
      </w:r>
      <w:r>
        <w:rPr>
          <w:b/>
          <w:spacing w:val="-1"/>
          <w:sz w:val="20"/>
        </w:rPr>
        <w:t> </w:t>
      </w:r>
      <w:r>
        <w:rPr>
          <w:b/>
          <w:sz w:val="20"/>
        </w:rPr>
        <w:t>de</w:t>
      </w:r>
      <w:r>
        <w:rPr>
          <w:b/>
          <w:spacing w:val="-1"/>
          <w:sz w:val="20"/>
        </w:rPr>
        <w:t> </w:t>
      </w:r>
      <w:r>
        <w:rPr>
          <w:b/>
          <w:sz w:val="20"/>
        </w:rPr>
        <w:t>Gobierno</w:t>
      </w:r>
      <w:r>
        <w:rPr>
          <w:b/>
          <w:spacing w:val="-1"/>
          <w:sz w:val="20"/>
        </w:rPr>
        <w:t> </w:t>
      </w:r>
      <w:r>
        <w:rPr>
          <w:b/>
          <w:sz w:val="20"/>
        </w:rPr>
        <w:t>de</w:t>
      </w:r>
      <w:r>
        <w:rPr>
          <w:b/>
          <w:spacing w:val="-1"/>
          <w:sz w:val="20"/>
        </w:rPr>
        <w:t> </w:t>
      </w:r>
      <w:r>
        <w:rPr>
          <w:b/>
          <w:sz w:val="20"/>
        </w:rPr>
        <w:t>ampliación</w:t>
      </w:r>
      <w:r>
        <w:rPr>
          <w:b/>
          <w:spacing w:val="-1"/>
          <w:sz w:val="20"/>
        </w:rPr>
        <w:t> </w:t>
      </w:r>
      <w:r>
        <w:rPr>
          <w:b/>
          <w:sz w:val="20"/>
        </w:rPr>
        <w:t>del</w:t>
      </w:r>
      <w:r>
        <w:rPr>
          <w:b/>
          <w:spacing w:val="-1"/>
          <w:sz w:val="20"/>
        </w:rPr>
        <w:t> </w:t>
      </w:r>
      <w:r>
        <w:rPr>
          <w:b/>
          <w:sz w:val="20"/>
        </w:rPr>
        <w:t>periodo</w:t>
      </w:r>
      <w:r>
        <w:rPr>
          <w:b/>
          <w:spacing w:val="-1"/>
          <w:sz w:val="20"/>
        </w:rPr>
        <w:t> </w:t>
      </w:r>
      <w:r>
        <w:rPr>
          <w:b/>
          <w:sz w:val="20"/>
        </w:rPr>
        <w:t>de</w:t>
      </w:r>
      <w:r>
        <w:rPr>
          <w:b/>
          <w:spacing w:val="-1"/>
          <w:sz w:val="20"/>
        </w:rPr>
        <w:t> </w:t>
      </w:r>
      <w:r>
        <w:rPr>
          <w:b/>
          <w:sz w:val="20"/>
        </w:rPr>
        <w:t>ejecución del</w:t>
      </w:r>
      <w:r>
        <w:rPr>
          <w:b/>
          <w:spacing w:val="-1"/>
          <w:sz w:val="20"/>
        </w:rPr>
        <w:t> </w:t>
      </w:r>
      <w:r>
        <w:rPr>
          <w:b/>
          <w:sz w:val="20"/>
        </w:rPr>
        <w:t>citado encargo hasta</w:t>
      </w:r>
      <w:r>
        <w:rPr>
          <w:b/>
          <w:spacing w:val="-1"/>
          <w:sz w:val="20"/>
        </w:rPr>
        <w:t> </w:t>
      </w:r>
      <w:r>
        <w:rPr>
          <w:b/>
          <w:sz w:val="20"/>
        </w:rPr>
        <w:t>31</w:t>
      </w:r>
      <w:r>
        <w:rPr>
          <w:b/>
          <w:spacing w:val="-1"/>
          <w:sz w:val="20"/>
        </w:rPr>
        <w:t> </w:t>
      </w:r>
      <w:r>
        <w:rPr>
          <w:b/>
          <w:sz w:val="20"/>
        </w:rPr>
        <w:t>de octubre de 2025; de hecho, con fecha 19 de octubre de 2025, el nuevo PMUS actualizado fue presentado ante el Consejo Social de la Ciudad, tal y como figura publicado en la página WEB del Ayuntamiento de Murcia (Sección noticias: </w:t>
      </w:r>
      <w:hyperlink r:id="rId348">
        <w:r>
          <w:rPr>
            <w:b/>
            <w:sz w:val="20"/>
          </w:rPr>
          <w:t>https://web.murcia.es/noticia/murcia-presenta-su-nuevo-</w:t>
        </w:r>
      </w:hyperlink>
      <w:r>
        <w:rPr>
          <w:b/>
          <w:sz w:val="20"/>
        </w:rPr>
        <w:t>modelo-de-movilidad-ante-elconsejo- social-de-la-ciudad). Puede concluirse, por tanto, que por esta Entidad</w:t>
      </w:r>
      <w:r>
        <w:rPr>
          <w:b/>
          <w:spacing w:val="-4"/>
          <w:sz w:val="20"/>
        </w:rPr>
        <w:t> </w:t>
      </w:r>
      <w:r>
        <w:rPr>
          <w:b/>
          <w:sz w:val="20"/>
        </w:rPr>
        <w:t>se</w:t>
      </w:r>
      <w:r>
        <w:rPr>
          <w:b/>
          <w:spacing w:val="-6"/>
          <w:sz w:val="20"/>
        </w:rPr>
        <w:t> </w:t>
      </w:r>
      <w:r>
        <w:rPr>
          <w:b/>
          <w:sz w:val="20"/>
        </w:rPr>
        <w:t>han</w:t>
      </w:r>
      <w:r>
        <w:rPr>
          <w:b/>
          <w:spacing w:val="-6"/>
          <w:sz w:val="20"/>
        </w:rPr>
        <w:t> </w:t>
      </w:r>
      <w:r>
        <w:rPr>
          <w:b/>
          <w:sz w:val="20"/>
        </w:rPr>
        <w:t>llevado</w:t>
      </w:r>
      <w:r>
        <w:rPr>
          <w:b/>
          <w:spacing w:val="-7"/>
          <w:sz w:val="20"/>
        </w:rPr>
        <w:t> </w:t>
      </w:r>
      <w:r>
        <w:rPr>
          <w:b/>
          <w:sz w:val="20"/>
        </w:rPr>
        <w:t>a</w:t>
      </w:r>
      <w:r>
        <w:rPr>
          <w:b/>
          <w:spacing w:val="-4"/>
          <w:sz w:val="20"/>
        </w:rPr>
        <w:t> </w:t>
      </w:r>
      <w:r>
        <w:rPr>
          <w:b/>
          <w:sz w:val="20"/>
        </w:rPr>
        <w:t>cabo</w:t>
      </w:r>
      <w:r>
        <w:rPr>
          <w:b/>
          <w:spacing w:val="-6"/>
          <w:sz w:val="20"/>
        </w:rPr>
        <w:t> </w:t>
      </w:r>
      <w:r>
        <w:rPr>
          <w:b/>
          <w:sz w:val="20"/>
        </w:rPr>
        <w:t>actuaciones</w:t>
      </w:r>
      <w:r>
        <w:rPr>
          <w:b/>
          <w:spacing w:val="-4"/>
          <w:sz w:val="20"/>
        </w:rPr>
        <w:t> </w:t>
      </w:r>
      <w:r>
        <w:rPr>
          <w:b/>
          <w:sz w:val="20"/>
        </w:rPr>
        <w:t>en</w:t>
      </w:r>
      <w:r>
        <w:rPr>
          <w:b/>
          <w:spacing w:val="-7"/>
          <w:sz w:val="20"/>
        </w:rPr>
        <w:t> </w:t>
      </w:r>
      <w:r>
        <w:rPr>
          <w:b/>
          <w:sz w:val="20"/>
        </w:rPr>
        <w:t>orden</w:t>
      </w:r>
      <w:r>
        <w:rPr>
          <w:b/>
          <w:spacing w:val="-6"/>
          <w:sz w:val="20"/>
        </w:rPr>
        <w:t> </w:t>
      </w:r>
      <w:r>
        <w:rPr>
          <w:b/>
          <w:sz w:val="20"/>
        </w:rPr>
        <w:t>a</w:t>
      </w:r>
      <w:r>
        <w:rPr>
          <w:b/>
          <w:spacing w:val="-6"/>
          <w:sz w:val="20"/>
        </w:rPr>
        <w:t> </w:t>
      </w:r>
      <w:r>
        <w:rPr>
          <w:b/>
          <w:sz w:val="20"/>
        </w:rPr>
        <w:t>la</w:t>
      </w:r>
      <w:r>
        <w:rPr>
          <w:b/>
          <w:spacing w:val="-6"/>
          <w:sz w:val="20"/>
        </w:rPr>
        <w:t> </w:t>
      </w:r>
      <w:r>
        <w:rPr>
          <w:b/>
          <w:sz w:val="20"/>
        </w:rPr>
        <w:t>adaptación</w:t>
      </w:r>
      <w:r>
        <w:rPr>
          <w:b/>
          <w:spacing w:val="-6"/>
          <w:sz w:val="20"/>
        </w:rPr>
        <w:t> </w:t>
      </w:r>
      <w:r>
        <w:rPr>
          <w:b/>
          <w:sz w:val="20"/>
        </w:rPr>
        <w:t>y</w:t>
      </w:r>
      <w:r>
        <w:rPr>
          <w:b/>
          <w:spacing w:val="-6"/>
          <w:sz w:val="20"/>
        </w:rPr>
        <w:t> </w:t>
      </w:r>
      <w:r>
        <w:rPr>
          <w:b/>
          <w:sz w:val="20"/>
        </w:rPr>
        <w:t>actualización</w:t>
      </w:r>
      <w:r>
        <w:rPr>
          <w:b/>
          <w:spacing w:val="-6"/>
          <w:sz w:val="20"/>
        </w:rPr>
        <w:t> </w:t>
      </w:r>
      <w:r>
        <w:rPr>
          <w:b/>
          <w:sz w:val="20"/>
        </w:rPr>
        <w:t>del</w:t>
      </w:r>
      <w:r>
        <w:rPr>
          <w:b/>
          <w:spacing w:val="-6"/>
          <w:sz w:val="20"/>
        </w:rPr>
        <w:t> </w:t>
      </w:r>
      <w:r>
        <w:rPr>
          <w:b/>
          <w:sz w:val="20"/>
        </w:rPr>
        <w:t>PMUS.</w:t>
      </w:r>
      <w:r>
        <w:rPr>
          <w:b/>
          <w:spacing w:val="-6"/>
          <w:sz w:val="20"/>
        </w:rPr>
        <w:t> </w:t>
      </w:r>
      <w:r>
        <w:rPr>
          <w:b/>
          <w:sz w:val="20"/>
        </w:rPr>
        <w:t>Véase registro en la Sede de ese Tribunal núm. 202599900065209, 24/06/2025, 15:04:44 horas;</w:t>
      </w:r>
      <w:r>
        <w:rPr>
          <w:b/>
          <w:spacing w:val="-1"/>
          <w:sz w:val="20"/>
        </w:rPr>
        <w:t> </w:t>
      </w:r>
      <w:r>
        <w:rPr>
          <w:b/>
          <w:sz w:val="20"/>
        </w:rPr>
        <w:t>ó número de registro 202599900059345, del día 05/06/2025.</w:t>
      </w:r>
    </w:p>
    <w:p>
      <w:pPr>
        <w:pStyle w:val="BodyText"/>
        <w:spacing w:before="98"/>
        <w:rPr>
          <w:b/>
          <w:sz w:val="20"/>
        </w:rPr>
      </w:pPr>
    </w:p>
    <w:p>
      <w:pPr>
        <w:pStyle w:val="ListParagraph"/>
        <w:numPr>
          <w:ilvl w:val="0"/>
          <w:numId w:val="23"/>
        </w:numPr>
        <w:tabs>
          <w:tab w:pos="1503" w:val="left" w:leader="none"/>
        </w:tabs>
        <w:spacing w:line="331" w:lineRule="auto" w:before="1" w:after="0"/>
        <w:ind w:left="1284" w:right="646" w:firstLine="0"/>
        <w:jc w:val="left"/>
        <w:rPr>
          <w:b/>
          <w:sz w:val="20"/>
        </w:rPr>
      </w:pPr>
      <w:r>
        <w:rPr>
          <w:b/>
          <w:sz w:val="20"/>
        </w:rPr>
        <w:t>El Ayuntamiento de Murcia comunicó al Ministerio la percepción de fondos FEDER, lo que fue acreditado</w:t>
      </w:r>
      <w:r>
        <w:rPr>
          <w:b/>
          <w:spacing w:val="-7"/>
          <w:sz w:val="20"/>
        </w:rPr>
        <w:t> </w:t>
      </w:r>
      <w:r>
        <w:rPr>
          <w:b/>
          <w:sz w:val="20"/>
        </w:rPr>
        <w:t>durante</w:t>
      </w:r>
      <w:r>
        <w:rPr>
          <w:b/>
          <w:spacing w:val="-7"/>
          <w:sz w:val="20"/>
        </w:rPr>
        <w:t> </w:t>
      </w:r>
      <w:r>
        <w:rPr>
          <w:b/>
          <w:sz w:val="20"/>
        </w:rPr>
        <w:t>el</w:t>
      </w:r>
      <w:r>
        <w:rPr>
          <w:b/>
          <w:spacing w:val="-6"/>
          <w:sz w:val="20"/>
        </w:rPr>
        <w:t> </w:t>
      </w:r>
      <w:r>
        <w:rPr>
          <w:b/>
          <w:sz w:val="20"/>
        </w:rPr>
        <w:t>procedimiento</w:t>
      </w:r>
      <w:r>
        <w:rPr>
          <w:b/>
          <w:spacing w:val="-7"/>
          <w:sz w:val="20"/>
        </w:rPr>
        <w:t> </w:t>
      </w:r>
      <w:r>
        <w:rPr>
          <w:b/>
          <w:sz w:val="20"/>
        </w:rPr>
        <w:t>de</w:t>
      </w:r>
      <w:r>
        <w:rPr>
          <w:b/>
          <w:spacing w:val="-7"/>
          <w:sz w:val="20"/>
        </w:rPr>
        <w:t> </w:t>
      </w:r>
      <w:r>
        <w:rPr>
          <w:b/>
          <w:sz w:val="20"/>
        </w:rPr>
        <w:t>fiscalización</w:t>
      </w:r>
      <w:r>
        <w:rPr>
          <w:b/>
          <w:spacing w:val="-7"/>
          <w:sz w:val="20"/>
        </w:rPr>
        <w:t> </w:t>
      </w:r>
      <w:r>
        <w:rPr>
          <w:b/>
          <w:sz w:val="20"/>
        </w:rPr>
        <w:t>seguido</w:t>
      </w:r>
      <w:r>
        <w:rPr>
          <w:b/>
          <w:spacing w:val="-7"/>
          <w:sz w:val="20"/>
        </w:rPr>
        <w:t> </w:t>
      </w:r>
      <w:r>
        <w:rPr>
          <w:b/>
          <w:sz w:val="20"/>
        </w:rPr>
        <w:t>mediante</w:t>
      </w:r>
      <w:r>
        <w:rPr>
          <w:b/>
          <w:spacing w:val="-7"/>
          <w:sz w:val="20"/>
        </w:rPr>
        <w:t> </w:t>
      </w:r>
      <w:r>
        <w:rPr>
          <w:b/>
          <w:sz w:val="20"/>
        </w:rPr>
        <w:t>la</w:t>
      </w:r>
      <w:r>
        <w:rPr>
          <w:b/>
          <w:spacing w:val="-8"/>
          <w:sz w:val="20"/>
        </w:rPr>
        <w:t> </w:t>
      </w:r>
      <w:r>
        <w:rPr>
          <w:b/>
          <w:sz w:val="20"/>
        </w:rPr>
        <w:t>aportación</w:t>
      </w:r>
      <w:r>
        <w:rPr>
          <w:b/>
          <w:spacing w:val="-6"/>
          <w:sz w:val="20"/>
        </w:rPr>
        <w:t> </w:t>
      </w:r>
      <w:r>
        <w:rPr>
          <w:b/>
          <w:sz w:val="20"/>
        </w:rPr>
        <w:t>a</w:t>
      </w:r>
      <w:r>
        <w:rPr>
          <w:b/>
          <w:spacing w:val="-7"/>
          <w:sz w:val="20"/>
        </w:rPr>
        <w:t> </w:t>
      </w:r>
      <w:r>
        <w:rPr>
          <w:b/>
          <w:sz w:val="20"/>
        </w:rPr>
        <w:t>ese</w:t>
      </w:r>
      <w:r>
        <w:rPr>
          <w:b/>
          <w:spacing w:val="-6"/>
          <w:sz w:val="20"/>
        </w:rPr>
        <w:t> </w:t>
      </w:r>
      <w:r>
        <w:rPr>
          <w:b/>
          <w:sz w:val="20"/>
        </w:rPr>
        <w:t>Tribunal</w:t>
      </w:r>
      <w:r>
        <w:rPr>
          <w:b/>
          <w:spacing w:val="-7"/>
          <w:sz w:val="20"/>
        </w:rPr>
        <w:t> </w:t>
      </w:r>
      <w:r>
        <w:rPr>
          <w:b/>
          <w:sz w:val="20"/>
        </w:rPr>
        <w:t>de la Memoria Técnica y Financiera en su día presentada al Ministerio, figurando expresamente en sus apartados 2.2 y 6.2 la alusión a tales fondos percibidos:</w:t>
      </w:r>
    </w:p>
    <w:p>
      <w:pPr>
        <w:pStyle w:val="BodyText"/>
        <w:spacing w:before="91"/>
        <w:rPr>
          <w:b/>
          <w:sz w:val="20"/>
        </w:rPr>
      </w:pPr>
    </w:p>
    <w:p>
      <w:pPr>
        <w:spacing w:line="333" w:lineRule="auto" w:before="0"/>
        <w:ind w:left="1284" w:right="516" w:firstLine="0"/>
        <w:jc w:val="left"/>
        <w:rPr>
          <w:b/>
          <w:sz w:val="20"/>
        </w:rPr>
      </w:pPr>
      <w:r>
        <w:rPr>
          <w:b/>
          <w:sz w:val="20"/>
        </w:rPr>
        <mc:AlternateContent>
          <mc:Choice Requires="wps">
            <w:drawing>
              <wp:anchor distT="0" distB="0" distL="0" distR="0" allowOverlap="1" layoutInCell="1" locked="0" behindDoc="0" simplePos="0" relativeHeight="15932416">
                <wp:simplePos x="0" y="0"/>
                <wp:positionH relativeFrom="page">
                  <wp:posOffset>130383</wp:posOffset>
                </wp:positionH>
                <wp:positionV relativeFrom="paragraph">
                  <wp:posOffset>2766425</wp:posOffset>
                </wp:positionV>
                <wp:extent cx="138430" cy="2952750"/>
                <wp:effectExtent l="0" t="0" r="0" b="0"/>
                <wp:wrapNone/>
                <wp:docPr id="2140" name="Textbox 2140"/>
                <wp:cNvGraphicFramePr>
                  <a:graphicFrameLocks/>
                </wp:cNvGraphicFramePr>
                <a:graphic>
                  <a:graphicData uri="http://schemas.microsoft.com/office/word/2010/wordprocessingShape">
                    <wps:wsp>
                      <wps:cNvPr id="2140" name="Textbox 2140"/>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217.828766pt;width:10.9pt;height:232.5pt;mso-position-horizontal-relative:page;mso-position-vertical-relative:paragraph;z-index:15932416" type="#_x0000_t202" id="docshape1540"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32928">
                <wp:simplePos x="0" y="0"/>
                <wp:positionH relativeFrom="page">
                  <wp:posOffset>244784</wp:posOffset>
                </wp:positionH>
                <wp:positionV relativeFrom="paragraph">
                  <wp:posOffset>3974891</wp:posOffset>
                </wp:positionV>
                <wp:extent cx="251460" cy="1744345"/>
                <wp:effectExtent l="0" t="0" r="0" b="0"/>
                <wp:wrapNone/>
                <wp:docPr id="2141" name="Textbox 2141"/>
                <wp:cNvGraphicFramePr>
                  <a:graphicFrameLocks/>
                </wp:cNvGraphicFramePr>
                <a:graphic>
                  <a:graphicData uri="http://schemas.microsoft.com/office/word/2010/wordprocessingShape">
                    <wps:wsp>
                      <wps:cNvPr id="2141" name="Textbox 2141"/>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312.983551pt;width:19.8pt;height:137.35pt;mso-position-horizontal-relative:page;mso-position-vertical-relative:paragraph;z-index:15932928" type="#_x0000_t202" id="docshape1541"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33440">
                <wp:simplePos x="0" y="0"/>
                <wp:positionH relativeFrom="page">
                  <wp:posOffset>244784</wp:posOffset>
                </wp:positionH>
                <wp:positionV relativeFrom="paragraph">
                  <wp:posOffset>1525083</wp:posOffset>
                </wp:positionV>
                <wp:extent cx="138430" cy="2155190"/>
                <wp:effectExtent l="0" t="0" r="0" b="0"/>
                <wp:wrapNone/>
                <wp:docPr id="2142" name="Textbox 2142"/>
                <wp:cNvGraphicFramePr>
                  <a:graphicFrameLocks/>
                </wp:cNvGraphicFramePr>
                <a:graphic>
                  <a:graphicData uri="http://schemas.microsoft.com/office/word/2010/wordprocessingShape">
                    <wps:wsp>
                      <wps:cNvPr id="2142" name="Textbox 2142"/>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120.085289pt;width:10.9pt;height:169.7pt;mso-position-horizontal-relative:page;mso-position-vertical-relative:paragraph;z-index:15933440" type="#_x0000_t202" id="docshape1542"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mc:AlternateContent>
          <mc:Choice Requires="wps">
            <w:drawing>
              <wp:anchor distT="0" distB="0" distL="0" distR="0" allowOverlap="1" layoutInCell="1" locked="0" behindDoc="0" simplePos="0" relativeHeight="15933952">
                <wp:simplePos x="0" y="0"/>
                <wp:positionH relativeFrom="page">
                  <wp:posOffset>344030</wp:posOffset>
                </wp:positionH>
                <wp:positionV relativeFrom="paragraph">
                  <wp:posOffset>2582063</wp:posOffset>
                </wp:positionV>
                <wp:extent cx="163830" cy="2874645"/>
                <wp:effectExtent l="0" t="0" r="0" b="0"/>
                <wp:wrapNone/>
                <wp:docPr id="2143" name="Graphic 2143"/>
                <wp:cNvGraphicFramePr>
                  <a:graphicFrameLocks/>
                </wp:cNvGraphicFramePr>
                <a:graphic>
                  <a:graphicData uri="http://schemas.microsoft.com/office/word/2010/wordprocessingShape">
                    <wps:wsp>
                      <wps:cNvPr id="2143" name="Graphic 2143"/>
                      <wps:cNvSpPr/>
                      <wps:spPr>
                        <a:xfrm>
                          <a:off x="0" y="0"/>
                          <a:ext cx="163830" cy="2874645"/>
                        </a:xfrm>
                        <a:custGeom>
                          <a:avLst/>
                          <a:gdLst/>
                          <a:ahLst/>
                          <a:cxnLst/>
                          <a:rect l="l" t="t" r="r" b="b"/>
                          <a:pathLst>
                            <a:path w="163830" h="2874645">
                              <a:moveTo>
                                <a:pt x="163258" y="0"/>
                              </a:moveTo>
                              <a:lnTo>
                                <a:pt x="0" y="0"/>
                              </a:lnTo>
                              <a:lnTo>
                                <a:pt x="0" y="2874352"/>
                              </a:lnTo>
                              <a:lnTo>
                                <a:pt x="163258" y="2874352"/>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203.312076pt;width:12.855pt;height:226.327pt;mso-position-horizontal-relative:page;mso-position-vertical-relative:paragraph;z-index:15933952" id="docshape1543" filled="true" fillcolor="#000000" stroked="false">
                <v:fill type="solid"/>
                <w10:wrap type="none"/>
              </v:rect>
            </w:pict>
          </mc:Fallback>
        </mc:AlternateContent>
      </w:r>
      <w:r>
        <w:rPr>
          <w:b/>
          <w:sz w:val="20"/>
        </w:rPr>
        <w:t>-En el apartado 2.2 de esa Memoria (‘Contribución de las actuaciones propuestas a un plan global o a un instrumento de planificación existente o plan estratégico y resultados esperados’) se precisó lo siguiente: ‘Todas las actuaciones están relacionadas con el Proyecto de Servicio de la Nueva Red de Transporte Público Colectivo Mediante Autobús Urbano de la Ciudad de Murcia aprobado inicialmente en Junta de Gobierno el 16 de julio de 2021 y cuya fase de información pública terminó el 15 de septiembre de 2021. Este proyecto estaba previsto en el eje Nº1 del PMUS. También encajan con los objetivos de desarrollo inteligente y mejora de la movilidad marcados en la Estrategia de Desarrollo Urbano Sostenible Integrado (EDUSI) 2020, con un presupuesto total de 17.588.716 € financiado en un 80% por los Fondos FEDER, y en un</w:t>
      </w:r>
      <w:r>
        <w:rPr>
          <w:b/>
          <w:spacing w:val="-2"/>
          <w:sz w:val="20"/>
        </w:rPr>
        <w:t> </w:t>
      </w:r>
      <w:r>
        <w:rPr>
          <w:b/>
          <w:sz w:val="20"/>
        </w:rPr>
        <w:t>20%</w:t>
      </w:r>
      <w:r>
        <w:rPr>
          <w:b/>
          <w:spacing w:val="-2"/>
          <w:sz w:val="20"/>
        </w:rPr>
        <w:t> </w:t>
      </w:r>
      <w:r>
        <w:rPr>
          <w:b/>
          <w:sz w:val="20"/>
        </w:rPr>
        <w:t>por el Ayuntamiento, financiando actuaciones de carriles bici y peatonalización del centro urbano. Las actuaciones también están en línea con el proyecto “MI MURCIA,</w:t>
      </w:r>
      <w:r>
        <w:rPr>
          <w:b/>
          <w:spacing w:val="-6"/>
          <w:sz w:val="20"/>
        </w:rPr>
        <w:t> </w:t>
      </w:r>
      <w:r>
        <w:rPr>
          <w:b/>
          <w:sz w:val="20"/>
        </w:rPr>
        <w:t>tu</w:t>
      </w:r>
      <w:r>
        <w:rPr>
          <w:b/>
          <w:spacing w:val="-6"/>
          <w:sz w:val="20"/>
        </w:rPr>
        <w:t> </w:t>
      </w:r>
      <w:r>
        <w:rPr>
          <w:b/>
          <w:sz w:val="20"/>
        </w:rPr>
        <w:t>ayuntamiento</w:t>
      </w:r>
      <w:r>
        <w:rPr>
          <w:b/>
          <w:spacing w:val="-6"/>
          <w:sz w:val="20"/>
        </w:rPr>
        <w:t> </w:t>
      </w:r>
      <w:r>
        <w:rPr>
          <w:b/>
          <w:sz w:val="20"/>
        </w:rPr>
        <w:t>inteligente,</w:t>
      </w:r>
      <w:r>
        <w:rPr>
          <w:b/>
          <w:spacing w:val="-6"/>
          <w:sz w:val="20"/>
        </w:rPr>
        <w:t> </w:t>
      </w:r>
      <w:r>
        <w:rPr>
          <w:b/>
          <w:sz w:val="20"/>
        </w:rPr>
        <w:t>cercano,</w:t>
      </w:r>
      <w:r>
        <w:rPr>
          <w:b/>
          <w:spacing w:val="-6"/>
          <w:sz w:val="20"/>
        </w:rPr>
        <w:t> </w:t>
      </w:r>
      <w:r>
        <w:rPr>
          <w:b/>
          <w:sz w:val="20"/>
        </w:rPr>
        <w:t>abierto</w:t>
      </w:r>
      <w:r>
        <w:rPr>
          <w:b/>
          <w:spacing w:val="-6"/>
          <w:sz w:val="20"/>
        </w:rPr>
        <w:t> </w:t>
      </w:r>
      <w:r>
        <w:rPr>
          <w:b/>
          <w:sz w:val="20"/>
        </w:rPr>
        <w:t>e</w:t>
      </w:r>
      <w:r>
        <w:rPr>
          <w:b/>
          <w:spacing w:val="-6"/>
          <w:sz w:val="20"/>
        </w:rPr>
        <w:t> </w:t>
      </w:r>
      <w:r>
        <w:rPr>
          <w:b/>
          <w:sz w:val="20"/>
        </w:rPr>
        <w:t>innovador”,</w:t>
      </w:r>
      <w:r>
        <w:rPr>
          <w:b/>
          <w:spacing w:val="-5"/>
          <w:sz w:val="20"/>
        </w:rPr>
        <w:t> </w:t>
      </w:r>
      <w:r>
        <w:rPr>
          <w:b/>
          <w:sz w:val="20"/>
        </w:rPr>
        <w:t>de</w:t>
      </w:r>
      <w:r>
        <w:rPr>
          <w:b/>
          <w:spacing w:val="-6"/>
          <w:sz w:val="20"/>
        </w:rPr>
        <w:t> </w:t>
      </w:r>
      <w:r>
        <w:rPr>
          <w:b/>
          <w:sz w:val="20"/>
        </w:rPr>
        <w:t>7.018,82</w:t>
      </w:r>
      <w:r>
        <w:rPr>
          <w:b/>
          <w:spacing w:val="-6"/>
          <w:sz w:val="20"/>
        </w:rPr>
        <w:t> </w:t>
      </w:r>
      <w:r>
        <w:rPr>
          <w:b/>
          <w:sz w:val="20"/>
        </w:rPr>
        <w:t>€</w:t>
      </w:r>
      <w:r>
        <w:rPr>
          <w:b/>
          <w:spacing w:val="-7"/>
          <w:sz w:val="20"/>
        </w:rPr>
        <w:t> </w:t>
      </w:r>
      <w:r>
        <w:rPr>
          <w:b/>
          <w:sz w:val="20"/>
        </w:rPr>
        <w:t>aportados</w:t>
      </w:r>
      <w:r>
        <w:rPr>
          <w:b/>
          <w:spacing w:val="-6"/>
          <w:sz w:val="20"/>
        </w:rPr>
        <w:t> </w:t>
      </w:r>
      <w:r>
        <w:rPr>
          <w:b/>
          <w:sz w:val="20"/>
        </w:rPr>
        <w:t>en</w:t>
      </w:r>
      <w:r>
        <w:rPr>
          <w:b/>
          <w:spacing w:val="-6"/>
          <w:sz w:val="20"/>
        </w:rPr>
        <w:t> </w:t>
      </w:r>
      <w:r>
        <w:rPr>
          <w:b/>
          <w:sz w:val="20"/>
        </w:rPr>
        <w:t>un</w:t>
      </w:r>
      <w:r>
        <w:rPr>
          <w:b/>
          <w:spacing w:val="-6"/>
          <w:sz w:val="20"/>
        </w:rPr>
        <w:t> </w:t>
      </w:r>
      <w:r>
        <w:rPr>
          <w:b/>
          <w:sz w:val="20"/>
        </w:rPr>
        <w:t>69% por el Ministerio de Energía, Turismo y Agenda Digital, a través de Red. es, y en un 31% por el Ayuntamiento de Murcia, donde también se incluyen proyectos de digitalización y fomento de la movilidad</w:t>
      </w:r>
      <w:r>
        <w:rPr>
          <w:b/>
          <w:spacing w:val="-4"/>
          <w:sz w:val="20"/>
        </w:rPr>
        <w:t> </w:t>
      </w:r>
      <w:r>
        <w:rPr>
          <w:b/>
          <w:sz w:val="20"/>
        </w:rPr>
        <w:t>ciclista</w:t>
      </w:r>
      <w:r>
        <w:rPr>
          <w:b/>
          <w:spacing w:val="-4"/>
          <w:sz w:val="20"/>
        </w:rPr>
        <w:t> </w:t>
      </w:r>
      <w:r>
        <w:rPr>
          <w:b/>
          <w:sz w:val="20"/>
        </w:rPr>
        <w:t>y</w:t>
      </w:r>
      <w:r>
        <w:rPr>
          <w:b/>
          <w:spacing w:val="-4"/>
          <w:sz w:val="20"/>
        </w:rPr>
        <w:t> </w:t>
      </w:r>
      <w:r>
        <w:rPr>
          <w:b/>
          <w:sz w:val="20"/>
        </w:rPr>
        <w:t>peatonal.</w:t>
      </w:r>
      <w:r>
        <w:rPr>
          <w:b/>
          <w:spacing w:val="-4"/>
          <w:sz w:val="20"/>
        </w:rPr>
        <w:t> </w:t>
      </w:r>
      <w:r>
        <w:rPr>
          <w:b/>
          <w:sz w:val="20"/>
        </w:rPr>
        <w:t>(…)’.</w:t>
      </w:r>
      <w:r>
        <w:rPr>
          <w:b/>
          <w:spacing w:val="-4"/>
          <w:sz w:val="20"/>
        </w:rPr>
        <w:t> </w:t>
      </w:r>
      <w:r>
        <w:rPr>
          <w:b/>
          <w:sz w:val="20"/>
        </w:rPr>
        <w:t>-Y</w:t>
      </w:r>
      <w:r>
        <w:rPr>
          <w:b/>
          <w:spacing w:val="-2"/>
          <w:sz w:val="20"/>
        </w:rPr>
        <w:t> </w:t>
      </w:r>
      <w:r>
        <w:rPr>
          <w:b/>
          <w:sz w:val="20"/>
        </w:rPr>
        <w:t>en</w:t>
      </w:r>
      <w:r>
        <w:rPr>
          <w:b/>
          <w:spacing w:val="-4"/>
          <w:sz w:val="20"/>
        </w:rPr>
        <w:t> </w:t>
      </w:r>
      <w:r>
        <w:rPr>
          <w:b/>
          <w:sz w:val="20"/>
        </w:rPr>
        <w:t>su</w:t>
      </w:r>
      <w:r>
        <w:rPr>
          <w:b/>
          <w:spacing w:val="-4"/>
          <w:sz w:val="20"/>
        </w:rPr>
        <w:t> </w:t>
      </w:r>
      <w:r>
        <w:rPr>
          <w:b/>
          <w:sz w:val="20"/>
        </w:rPr>
        <w:t>apartado</w:t>
      </w:r>
      <w:r>
        <w:rPr>
          <w:b/>
          <w:spacing w:val="-2"/>
          <w:sz w:val="20"/>
        </w:rPr>
        <w:t> </w:t>
      </w:r>
      <w:r>
        <w:rPr>
          <w:b/>
          <w:sz w:val="20"/>
        </w:rPr>
        <w:t>6.2</w:t>
      </w:r>
      <w:r>
        <w:rPr>
          <w:b/>
          <w:spacing w:val="-4"/>
          <w:sz w:val="20"/>
        </w:rPr>
        <w:t> </w:t>
      </w:r>
      <w:r>
        <w:rPr>
          <w:b/>
          <w:sz w:val="20"/>
        </w:rPr>
        <w:t>(‘Complementariedad</w:t>
      </w:r>
      <w:r>
        <w:rPr>
          <w:b/>
          <w:spacing w:val="-4"/>
          <w:sz w:val="20"/>
        </w:rPr>
        <w:t> </w:t>
      </w:r>
      <w:r>
        <w:rPr>
          <w:b/>
          <w:sz w:val="20"/>
        </w:rPr>
        <w:t>o</w:t>
      </w:r>
      <w:r>
        <w:rPr>
          <w:b/>
          <w:spacing w:val="-2"/>
          <w:sz w:val="20"/>
        </w:rPr>
        <w:t> </w:t>
      </w:r>
      <w:r>
        <w:rPr>
          <w:b/>
          <w:sz w:val="20"/>
        </w:rPr>
        <w:t>relación</w:t>
      </w:r>
      <w:r>
        <w:rPr>
          <w:b/>
          <w:spacing w:val="-2"/>
          <w:sz w:val="20"/>
        </w:rPr>
        <w:t> </w:t>
      </w:r>
      <w:r>
        <w:rPr>
          <w:b/>
          <w:sz w:val="20"/>
        </w:rPr>
        <w:t>de</w:t>
      </w:r>
      <w:r>
        <w:rPr>
          <w:b/>
          <w:spacing w:val="-1"/>
          <w:sz w:val="20"/>
        </w:rPr>
        <w:t> </w:t>
      </w:r>
      <w:r>
        <w:rPr>
          <w:b/>
          <w:sz w:val="20"/>
        </w:rPr>
        <w:t>la</w:t>
      </w:r>
      <w:r>
        <w:rPr>
          <w:b/>
          <w:spacing w:val="-4"/>
          <w:sz w:val="20"/>
        </w:rPr>
        <w:t> </w:t>
      </w:r>
      <w:r>
        <w:rPr>
          <w:b/>
          <w:sz w:val="20"/>
        </w:rPr>
        <w:t>solicitud con</w:t>
      </w:r>
      <w:r>
        <w:rPr>
          <w:b/>
          <w:spacing w:val="-1"/>
          <w:sz w:val="20"/>
        </w:rPr>
        <w:t> </w:t>
      </w:r>
      <w:r>
        <w:rPr>
          <w:b/>
          <w:sz w:val="20"/>
        </w:rPr>
        <w:t>otras</w:t>
      </w:r>
      <w:r>
        <w:rPr>
          <w:b/>
          <w:spacing w:val="-1"/>
          <w:sz w:val="20"/>
        </w:rPr>
        <w:t> </w:t>
      </w:r>
      <w:r>
        <w:rPr>
          <w:b/>
          <w:sz w:val="20"/>
        </w:rPr>
        <w:t>propuestas</w:t>
      </w:r>
      <w:r>
        <w:rPr>
          <w:b/>
          <w:spacing w:val="-1"/>
          <w:sz w:val="20"/>
        </w:rPr>
        <w:t> </w:t>
      </w:r>
      <w:r>
        <w:rPr>
          <w:b/>
          <w:sz w:val="20"/>
        </w:rPr>
        <w:t>presentadas’):</w:t>
      </w:r>
      <w:r>
        <w:rPr>
          <w:b/>
          <w:spacing w:val="-1"/>
          <w:sz w:val="20"/>
        </w:rPr>
        <w:t> </w:t>
      </w:r>
      <w:r>
        <w:rPr>
          <w:b/>
          <w:sz w:val="20"/>
        </w:rPr>
        <w:t>‘Las</w:t>
      </w:r>
      <w:r>
        <w:rPr>
          <w:b/>
          <w:spacing w:val="-1"/>
          <w:sz w:val="20"/>
        </w:rPr>
        <w:t> </w:t>
      </w:r>
      <w:r>
        <w:rPr>
          <w:b/>
          <w:sz w:val="20"/>
        </w:rPr>
        <w:t>5</w:t>
      </w:r>
      <w:r>
        <w:rPr>
          <w:b/>
          <w:spacing w:val="-1"/>
          <w:sz w:val="20"/>
        </w:rPr>
        <w:t> </w:t>
      </w:r>
      <w:r>
        <w:rPr>
          <w:b/>
          <w:sz w:val="20"/>
        </w:rPr>
        <w:t>actuaciones también</w:t>
      </w:r>
      <w:r>
        <w:rPr>
          <w:b/>
          <w:spacing w:val="-1"/>
          <w:sz w:val="20"/>
        </w:rPr>
        <w:t> </w:t>
      </w:r>
      <w:r>
        <w:rPr>
          <w:b/>
          <w:sz w:val="20"/>
        </w:rPr>
        <w:t>están</w:t>
      </w:r>
      <w:r>
        <w:rPr>
          <w:b/>
          <w:spacing w:val="-3"/>
          <w:sz w:val="20"/>
        </w:rPr>
        <w:t> </w:t>
      </w:r>
      <w:r>
        <w:rPr>
          <w:b/>
          <w:sz w:val="20"/>
        </w:rPr>
        <w:t>relacionadas</w:t>
      </w:r>
      <w:r>
        <w:rPr>
          <w:b/>
          <w:spacing w:val="-1"/>
          <w:sz w:val="20"/>
        </w:rPr>
        <w:t> </w:t>
      </w:r>
      <w:r>
        <w:rPr>
          <w:b/>
          <w:sz w:val="20"/>
        </w:rPr>
        <w:t>con el</w:t>
      </w:r>
      <w:r>
        <w:rPr>
          <w:b/>
          <w:spacing w:val="-1"/>
          <w:sz w:val="20"/>
        </w:rPr>
        <w:t> </w:t>
      </w:r>
      <w:r>
        <w:rPr>
          <w:b/>
          <w:sz w:val="20"/>
        </w:rPr>
        <w:t>proyecto</w:t>
      </w:r>
      <w:r>
        <w:rPr>
          <w:b/>
          <w:spacing w:val="-1"/>
          <w:sz w:val="20"/>
        </w:rPr>
        <w:t> </w:t>
      </w:r>
      <w:r>
        <w:rPr>
          <w:b/>
          <w:sz w:val="20"/>
        </w:rPr>
        <w:t>de “Reordenación y acondicionamiento del viario público para la implantación de transporte público colectivo de energías alternativas, promoción de la movilidad peatonal e implantación de carril bici (BTR)” con número de expediente FEDER-EELL 2019-001348, presentado a la Convocatoria del programa de ayudas a proyectos singulares de entidades locales que favorezcan el paso a una economía baja en carbono en el marco Programa Operativo FEDER de crecimiento sostenible 2014-2020, cuya resolución se espera en el último trimestre de 2021. Este proyecto está relacionado con las</w:t>
      </w:r>
      <w:r>
        <w:rPr>
          <w:b/>
          <w:sz w:val="20"/>
        </w:rPr>
        <w:t> 5</w:t>
      </w:r>
      <w:r>
        <w:rPr>
          <w:b/>
          <w:spacing w:val="-2"/>
          <w:sz w:val="20"/>
        </w:rPr>
        <w:t> </w:t>
      </w:r>
      <w:r>
        <w:rPr>
          <w:b/>
          <w:sz w:val="20"/>
        </w:rPr>
        <w:t>actuaciones</w:t>
      </w:r>
      <w:r>
        <w:rPr>
          <w:b/>
          <w:spacing w:val="-2"/>
          <w:sz w:val="20"/>
        </w:rPr>
        <w:t> </w:t>
      </w:r>
      <w:r>
        <w:rPr>
          <w:b/>
          <w:sz w:val="20"/>
        </w:rPr>
        <w:t>a</w:t>
      </w:r>
      <w:r>
        <w:rPr>
          <w:b/>
          <w:spacing w:val="-2"/>
          <w:sz w:val="20"/>
        </w:rPr>
        <w:t> </w:t>
      </w:r>
      <w:r>
        <w:rPr>
          <w:b/>
          <w:sz w:val="20"/>
        </w:rPr>
        <w:t>presentar,</w:t>
      </w:r>
      <w:r>
        <w:rPr>
          <w:b/>
          <w:spacing w:val="-2"/>
          <w:sz w:val="20"/>
        </w:rPr>
        <w:t> </w:t>
      </w:r>
      <w:r>
        <w:rPr>
          <w:b/>
          <w:sz w:val="20"/>
        </w:rPr>
        <w:t>ya que</w:t>
      </w:r>
      <w:r>
        <w:rPr>
          <w:b/>
          <w:spacing w:val="-2"/>
          <w:sz w:val="20"/>
        </w:rPr>
        <w:t> </w:t>
      </w:r>
      <w:r>
        <w:rPr>
          <w:b/>
          <w:sz w:val="20"/>
        </w:rPr>
        <w:t>conformaría</w:t>
      </w:r>
      <w:r>
        <w:rPr>
          <w:b/>
          <w:spacing w:val="-2"/>
          <w:sz w:val="20"/>
        </w:rPr>
        <w:t> </w:t>
      </w:r>
      <w:r>
        <w:rPr>
          <w:b/>
          <w:sz w:val="20"/>
        </w:rPr>
        <w:t>la</w:t>
      </w:r>
      <w:r>
        <w:rPr>
          <w:b/>
          <w:spacing w:val="-1"/>
          <w:sz w:val="20"/>
        </w:rPr>
        <w:t> </w:t>
      </w:r>
      <w:r>
        <w:rPr>
          <w:b/>
          <w:sz w:val="20"/>
        </w:rPr>
        <w:t>red</w:t>
      </w:r>
      <w:r>
        <w:rPr>
          <w:b/>
          <w:spacing w:val="-2"/>
          <w:sz w:val="20"/>
        </w:rPr>
        <w:t> </w:t>
      </w:r>
      <w:r>
        <w:rPr>
          <w:b/>
          <w:sz w:val="20"/>
        </w:rPr>
        <w:t>de transporte</w:t>
      </w:r>
      <w:r>
        <w:rPr>
          <w:b/>
          <w:spacing w:val="-2"/>
          <w:sz w:val="20"/>
        </w:rPr>
        <w:t> </w:t>
      </w:r>
      <w:r>
        <w:rPr>
          <w:b/>
          <w:sz w:val="20"/>
        </w:rPr>
        <w:t>público</w:t>
      </w:r>
      <w:r>
        <w:rPr>
          <w:b/>
          <w:spacing w:val="-2"/>
          <w:sz w:val="20"/>
        </w:rPr>
        <w:t> </w:t>
      </w:r>
      <w:r>
        <w:rPr>
          <w:b/>
          <w:sz w:val="20"/>
        </w:rPr>
        <w:t>y</w:t>
      </w:r>
      <w:r>
        <w:rPr>
          <w:b/>
          <w:spacing w:val="-2"/>
          <w:sz w:val="20"/>
        </w:rPr>
        <w:t> </w:t>
      </w:r>
      <w:r>
        <w:rPr>
          <w:b/>
          <w:sz w:val="20"/>
        </w:rPr>
        <w:t>carriles</w:t>
      </w:r>
      <w:r>
        <w:rPr>
          <w:b/>
          <w:spacing w:val="-2"/>
          <w:sz w:val="20"/>
        </w:rPr>
        <w:t> </w:t>
      </w:r>
      <w:r>
        <w:rPr>
          <w:b/>
          <w:sz w:val="20"/>
        </w:rPr>
        <w:t>bicis</w:t>
      </w:r>
      <w:r>
        <w:rPr>
          <w:b/>
          <w:spacing w:val="-2"/>
          <w:sz w:val="20"/>
        </w:rPr>
        <w:t> </w:t>
      </w:r>
      <w:r>
        <w:rPr>
          <w:b/>
          <w:sz w:val="20"/>
        </w:rPr>
        <w:t>de</w:t>
      </w:r>
      <w:r>
        <w:rPr>
          <w:b/>
          <w:spacing w:val="-2"/>
          <w:sz w:val="20"/>
        </w:rPr>
        <w:t> </w:t>
      </w:r>
      <w:r>
        <w:rPr>
          <w:b/>
          <w:sz w:val="20"/>
        </w:rPr>
        <w:t>la</w:t>
      </w:r>
      <w:r>
        <w:rPr>
          <w:b/>
          <w:spacing w:val="-2"/>
          <w:sz w:val="20"/>
        </w:rPr>
        <w:t> </w:t>
      </w:r>
      <w:r>
        <w:rPr>
          <w:b/>
          <w:sz w:val="20"/>
        </w:rPr>
        <w:t>ciudad, así como estará relacionada con las actuaciones 1, 2 y 3 de esta solicitud. (…)’. Se acompaña con las presentes alegaciones la citada Memoria Técnica y Financiera, presentada -junto con otra documentación-</w:t>
      </w:r>
      <w:r>
        <w:rPr>
          <w:b/>
          <w:spacing w:val="-2"/>
          <w:sz w:val="20"/>
        </w:rPr>
        <w:t> </w:t>
      </w:r>
      <w:r>
        <w:rPr>
          <w:b/>
          <w:sz w:val="20"/>
        </w:rPr>
        <w:t>a través</w:t>
      </w:r>
      <w:r>
        <w:rPr>
          <w:b/>
          <w:spacing w:val="-2"/>
          <w:sz w:val="20"/>
        </w:rPr>
        <w:t> </w:t>
      </w:r>
      <w:r>
        <w:rPr>
          <w:b/>
          <w:sz w:val="20"/>
        </w:rPr>
        <w:t>de</w:t>
      </w:r>
      <w:r>
        <w:rPr>
          <w:b/>
          <w:spacing w:val="-2"/>
          <w:sz w:val="20"/>
        </w:rPr>
        <w:t> </w:t>
      </w:r>
      <w:r>
        <w:rPr>
          <w:b/>
          <w:sz w:val="20"/>
        </w:rPr>
        <w:t>la</w:t>
      </w:r>
      <w:r>
        <w:rPr>
          <w:b/>
          <w:spacing w:val="-2"/>
          <w:sz w:val="20"/>
        </w:rPr>
        <w:t> </w:t>
      </w:r>
      <w:r>
        <w:rPr>
          <w:b/>
          <w:sz w:val="20"/>
        </w:rPr>
        <w:t>Sede</w:t>
      </w:r>
      <w:r>
        <w:rPr>
          <w:b/>
          <w:spacing w:val="-2"/>
          <w:sz w:val="20"/>
        </w:rPr>
        <w:t> </w:t>
      </w:r>
      <w:r>
        <w:rPr>
          <w:b/>
          <w:sz w:val="20"/>
        </w:rPr>
        <w:t>Electrónica</w:t>
      </w:r>
      <w:r>
        <w:rPr>
          <w:b/>
          <w:spacing w:val="-2"/>
          <w:sz w:val="20"/>
        </w:rPr>
        <w:t> </w:t>
      </w:r>
      <w:r>
        <w:rPr>
          <w:b/>
          <w:sz w:val="20"/>
        </w:rPr>
        <w:t>de</w:t>
      </w:r>
      <w:r>
        <w:rPr>
          <w:b/>
          <w:spacing w:val="-2"/>
          <w:sz w:val="20"/>
        </w:rPr>
        <w:t> </w:t>
      </w:r>
      <w:r>
        <w:rPr>
          <w:b/>
          <w:sz w:val="20"/>
        </w:rPr>
        <w:t>ese</w:t>
      </w:r>
      <w:r>
        <w:rPr>
          <w:b/>
          <w:spacing w:val="-2"/>
          <w:sz w:val="20"/>
        </w:rPr>
        <w:t> </w:t>
      </w:r>
      <w:r>
        <w:rPr>
          <w:b/>
          <w:sz w:val="20"/>
        </w:rPr>
        <w:t>Tribunal de</w:t>
      </w:r>
      <w:r>
        <w:rPr>
          <w:b/>
          <w:spacing w:val="-2"/>
          <w:sz w:val="20"/>
        </w:rPr>
        <w:t> </w:t>
      </w:r>
      <w:r>
        <w:rPr>
          <w:b/>
          <w:sz w:val="20"/>
        </w:rPr>
        <w:t>Cuentas</w:t>
      </w:r>
      <w:r>
        <w:rPr>
          <w:b/>
          <w:spacing w:val="-2"/>
          <w:sz w:val="20"/>
        </w:rPr>
        <w:t> </w:t>
      </w:r>
      <w:r>
        <w:rPr>
          <w:b/>
          <w:sz w:val="20"/>
        </w:rPr>
        <w:t>el</w:t>
      </w:r>
      <w:r>
        <w:rPr>
          <w:b/>
          <w:spacing w:val="-2"/>
          <w:sz w:val="20"/>
        </w:rPr>
        <w:t> </w:t>
      </w:r>
      <w:r>
        <w:rPr>
          <w:b/>
          <w:sz w:val="20"/>
        </w:rPr>
        <w:t>pasado</w:t>
      </w:r>
      <w:r>
        <w:rPr>
          <w:b/>
          <w:spacing w:val="-2"/>
          <w:sz w:val="20"/>
        </w:rPr>
        <w:t> </w:t>
      </w:r>
      <w:r>
        <w:rPr>
          <w:b/>
          <w:sz w:val="20"/>
        </w:rPr>
        <w:t>10 de</w:t>
      </w:r>
      <w:r>
        <w:rPr>
          <w:b/>
          <w:spacing w:val="-2"/>
          <w:sz w:val="20"/>
        </w:rPr>
        <w:t> </w:t>
      </w:r>
      <w:r>
        <w:rPr>
          <w:b/>
          <w:sz w:val="20"/>
        </w:rPr>
        <w:t>octubre</w:t>
      </w:r>
      <w:r>
        <w:rPr>
          <w:b/>
          <w:spacing w:val="-2"/>
          <w:sz w:val="20"/>
        </w:rPr>
        <w:t> </w:t>
      </w:r>
      <w:r>
        <w:rPr>
          <w:b/>
          <w:sz w:val="20"/>
        </w:rPr>
        <w:t>de 2025, a las 13:56 h., núm. de registro 202599900091075, así como correo electrónico remitido a ese Tribunal el mismo día a las 10:27 h. (dirección de correo electrónico: D6f. Transporte sostenible"</w:t>
      </w:r>
    </w:p>
    <w:p>
      <w:pPr>
        <w:spacing w:line="200" w:lineRule="exact" w:before="0"/>
        <w:ind w:left="1284" w:right="0" w:firstLine="0"/>
        <w:jc w:val="left"/>
        <w:rPr>
          <w:b/>
          <w:sz w:val="20"/>
        </w:rPr>
      </w:pPr>
      <w:hyperlink r:id="rId349">
        <w:r>
          <w:rPr>
            <w:b/>
            <w:spacing w:val="-2"/>
            <w:sz w:val="20"/>
          </w:rPr>
          <w:t>&lt;d6f.transporte.sostenible@tcu.es&gt;</w:t>
        </w:r>
      </w:hyperlink>
      <w:r>
        <w:rPr>
          <w:b/>
          <w:spacing w:val="-2"/>
          <w:sz w:val="20"/>
        </w:rPr>
        <w:t>,),</w:t>
      </w:r>
      <w:r>
        <w:rPr>
          <w:b/>
          <w:spacing w:val="2"/>
          <w:sz w:val="20"/>
        </w:rPr>
        <w:t> </w:t>
      </w:r>
      <w:r>
        <w:rPr>
          <w:b/>
          <w:spacing w:val="-2"/>
          <w:sz w:val="20"/>
        </w:rPr>
        <w:t>anticipando</w:t>
      </w:r>
      <w:r>
        <w:rPr>
          <w:b/>
          <w:spacing w:val="3"/>
          <w:sz w:val="20"/>
        </w:rPr>
        <w:t> </w:t>
      </w:r>
      <w:r>
        <w:rPr>
          <w:b/>
          <w:spacing w:val="-2"/>
          <w:sz w:val="20"/>
        </w:rPr>
        <w:t>la</w:t>
      </w:r>
      <w:r>
        <w:rPr>
          <w:b/>
          <w:spacing w:val="3"/>
          <w:sz w:val="20"/>
        </w:rPr>
        <w:t> </w:t>
      </w:r>
      <w:r>
        <w:rPr>
          <w:b/>
          <w:spacing w:val="-2"/>
          <w:sz w:val="20"/>
        </w:rPr>
        <w:t>información.</w:t>
      </w:r>
      <w:r>
        <w:rPr>
          <w:b/>
          <w:spacing w:val="3"/>
          <w:sz w:val="20"/>
        </w:rPr>
        <w:t> </w:t>
      </w:r>
      <w:r>
        <w:rPr>
          <w:b/>
          <w:spacing w:val="-2"/>
          <w:sz w:val="20"/>
        </w:rPr>
        <w:t>La</w:t>
      </w:r>
      <w:r>
        <w:rPr>
          <w:b/>
          <w:spacing w:val="3"/>
          <w:sz w:val="20"/>
        </w:rPr>
        <w:t> </w:t>
      </w:r>
      <w:r>
        <w:rPr>
          <w:b/>
          <w:spacing w:val="-2"/>
          <w:sz w:val="20"/>
        </w:rPr>
        <w:t>licitación</w:t>
      </w:r>
      <w:r>
        <w:rPr>
          <w:b/>
          <w:spacing w:val="3"/>
          <w:sz w:val="20"/>
        </w:rPr>
        <w:t> </w:t>
      </w:r>
      <w:r>
        <w:rPr>
          <w:b/>
          <w:spacing w:val="-2"/>
          <w:sz w:val="20"/>
        </w:rPr>
        <w:t>conjunta</w:t>
      </w:r>
      <w:r>
        <w:rPr>
          <w:b/>
          <w:spacing w:val="5"/>
          <w:sz w:val="20"/>
        </w:rPr>
        <w:t> </w:t>
      </w:r>
      <w:r>
        <w:rPr>
          <w:b/>
          <w:spacing w:val="-2"/>
          <w:sz w:val="20"/>
        </w:rPr>
        <w:t>de</w:t>
      </w:r>
      <w:r>
        <w:rPr>
          <w:b/>
          <w:spacing w:val="3"/>
          <w:sz w:val="20"/>
        </w:rPr>
        <w:t> </w:t>
      </w:r>
      <w:r>
        <w:rPr>
          <w:b/>
          <w:spacing w:val="-5"/>
          <w:sz w:val="20"/>
        </w:rPr>
        <w:t>las</w:t>
      </w:r>
    </w:p>
    <w:p>
      <w:pPr>
        <w:spacing w:line="333" w:lineRule="auto" w:before="87"/>
        <w:ind w:left="1284" w:right="769" w:firstLine="0"/>
        <w:jc w:val="left"/>
        <w:rPr>
          <w:b/>
          <w:sz w:val="20"/>
        </w:rPr>
      </w:pPr>
      <w:r>
        <w:rPr>
          <w:b/>
          <w:sz w:val="20"/>
        </w:rPr>
        <w:t>actuaciones</w:t>
      </w:r>
      <w:r>
        <w:rPr>
          <w:b/>
          <w:spacing w:val="-6"/>
          <w:sz w:val="20"/>
        </w:rPr>
        <w:t> </w:t>
      </w:r>
      <w:r>
        <w:rPr>
          <w:b/>
          <w:sz w:val="20"/>
        </w:rPr>
        <w:t>carriles</w:t>
      </w:r>
      <w:r>
        <w:rPr>
          <w:b/>
          <w:spacing w:val="-6"/>
          <w:sz w:val="20"/>
        </w:rPr>
        <w:t> </w:t>
      </w:r>
      <w:r>
        <w:rPr>
          <w:b/>
          <w:sz w:val="20"/>
        </w:rPr>
        <w:t>bus/BTR</w:t>
      </w:r>
      <w:r>
        <w:rPr>
          <w:b/>
          <w:spacing w:val="-6"/>
          <w:sz w:val="20"/>
        </w:rPr>
        <w:t> </w:t>
      </w:r>
      <w:r>
        <w:rPr>
          <w:b/>
          <w:sz w:val="20"/>
        </w:rPr>
        <w:t>y</w:t>
      </w:r>
      <w:r>
        <w:rPr>
          <w:b/>
          <w:spacing w:val="-6"/>
          <w:sz w:val="20"/>
        </w:rPr>
        <w:t> </w:t>
      </w:r>
      <w:r>
        <w:rPr>
          <w:b/>
          <w:sz w:val="20"/>
        </w:rPr>
        <w:t>bicicleta</w:t>
      </w:r>
      <w:r>
        <w:rPr>
          <w:b/>
          <w:spacing w:val="-6"/>
          <w:sz w:val="20"/>
        </w:rPr>
        <w:t> </w:t>
      </w:r>
      <w:r>
        <w:rPr>
          <w:b/>
          <w:sz w:val="20"/>
        </w:rPr>
        <w:t>obedece</w:t>
      </w:r>
      <w:r>
        <w:rPr>
          <w:b/>
          <w:spacing w:val="-6"/>
          <w:sz w:val="20"/>
        </w:rPr>
        <w:t> </w:t>
      </w:r>
      <w:r>
        <w:rPr>
          <w:b/>
          <w:sz w:val="20"/>
        </w:rPr>
        <w:t>a</w:t>
      </w:r>
      <w:r>
        <w:rPr>
          <w:b/>
          <w:spacing w:val="-6"/>
          <w:sz w:val="20"/>
        </w:rPr>
        <w:t> </w:t>
      </w:r>
      <w:r>
        <w:rPr>
          <w:b/>
          <w:sz w:val="20"/>
        </w:rPr>
        <w:t>las</w:t>
      </w:r>
      <w:r>
        <w:rPr>
          <w:b/>
          <w:spacing w:val="-6"/>
          <w:sz w:val="20"/>
        </w:rPr>
        <w:t> </w:t>
      </w:r>
      <w:r>
        <w:rPr>
          <w:b/>
          <w:sz w:val="20"/>
        </w:rPr>
        <w:t>necesidades</w:t>
      </w:r>
      <w:r>
        <w:rPr>
          <w:b/>
          <w:spacing w:val="-6"/>
          <w:sz w:val="20"/>
        </w:rPr>
        <w:t> </w:t>
      </w:r>
      <w:r>
        <w:rPr>
          <w:b/>
          <w:sz w:val="20"/>
        </w:rPr>
        <w:t>de</w:t>
      </w:r>
      <w:r>
        <w:rPr>
          <w:b/>
          <w:spacing w:val="-6"/>
          <w:sz w:val="20"/>
        </w:rPr>
        <w:t> </w:t>
      </w:r>
      <w:r>
        <w:rPr>
          <w:b/>
          <w:sz w:val="20"/>
        </w:rPr>
        <w:t>la</w:t>
      </w:r>
      <w:r>
        <w:rPr>
          <w:b/>
          <w:spacing w:val="-6"/>
          <w:sz w:val="20"/>
        </w:rPr>
        <w:t> </w:t>
      </w:r>
      <w:r>
        <w:rPr>
          <w:b/>
          <w:sz w:val="20"/>
        </w:rPr>
        <w:t>ejecución</w:t>
      </w:r>
      <w:r>
        <w:rPr>
          <w:b/>
          <w:spacing w:val="-4"/>
          <w:sz w:val="20"/>
        </w:rPr>
        <w:t> </w:t>
      </w:r>
      <w:r>
        <w:rPr>
          <w:b/>
          <w:sz w:val="20"/>
        </w:rPr>
        <w:t>de</w:t>
      </w:r>
      <w:r>
        <w:rPr>
          <w:b/>
          <w:spacing w:val="-6"/>
          <w:sz w:val="20"/>
        </w:rPr>
        <w:t> </w:t>
      </w:r>
      <w:r>
        <w:rPr>
          <w:b/>
          <w:sz w:val="20"/>
        </w:rPr>
        <w:t>los</w:t>
      </w:r>
      <w:r>
        <w:rPr>
          <w:b/>
          <w:spacing w:val="-6"/>
          <w:sz w:val="20"/>
        </w:rPr>
        <w:t> </w:t>
      </w:r>
      <w:r>
        <w:rPr>
          <w:b/>
          <w:sz w:val="20"/>
        </w:rPr>
        <w:t>proyectos con el menor impacto y afección a los viales.</w:t>
      </w:r>
    </w:p>
    <w:p>
      <w:pPr>
        <w:spacing w:after="0" w:line="333" w:lineRule="auto"/>
        <w:jc w:val="left"/>
        <w:rPr>
          <w:b/>
          <w:sz w:val="20"/>
        </w:rPr>
        <w:sectPr>
          <w:pgSz w:w="11910" w:h="16840"/>
          <w:pgMar w:header="314" w:footer="551" w:top="1240" w:bottom="680" w:left="141" w:right="141"/>
        </w:sectPr>
      </w:pPr>
    </w:p>
    <w:p>
      <w:pPr>
        <w:pStyle w:val="BodyText"/>
        <w:rPr>
          <w:b/>
          <w:sz w:val="20"/>
        </w:rPr>
      </w:pPr>
    </w:p>
    <w:p>
      <w:pPr>
        <w:pStyle w:val="BodyText"/>
        <w:spacing w:before="59"/>
        <w:rPr>
          <w:b/>
          <w:sz w:val="20"/>
        </w:rPr>
      </w:pPr>
    </w:p>
    <w:p>
      <w:pPr>
        <w:spacing w:line="331" w:lineRule="auto" w:before="1"/>
        <w:ind w:left="1284" w:right="490" w:firstLine="0"/>
        <w:jc w:val="left"/>
        <w:rPr>
          <w:b/>
          <w:sz w:val="20"/>
        </w:rPr>
      </w:pPr>
      <w:r>
        <w:rPr>
          <w:b/>
          <w:sz w:val="20"/>
        </w:rPr>
        <w:t>Como se ha reiterado, el Ayuntamiento de Murcia elevó consulta al MITMA, cuya respuesta se facilita (pregunta 1.32 del documento ‘Resolución provisional del Programa de Ayudas a municipios para la implantación de zonas de bajas emisiones y transformación sostenible del transporte (convocatoria 2021)’. Además, en el documento elaborado por el Ministerio de Transportes, Movilidad y Agenda Urbana“Preguntas</w:t>
      </w:r>
      <w:r>
        <w:rPr>
          <w:b/>
          <w:spacing w:val="-1"/>
          <w:sz w:val="20"/>
        </w:rPr>
        <w:t> </w:t>
      </w:r>
      <w:r>
        <w:rPr>
          <w:b/>
          <w:sz w:val="20"/>
        </w:rPr>
        <w:t>y</w:t>
      </w:r>
      <w:r>
        <w:rPr>
          <w:b/>
          <w:spacing w:val="-3"/>
          <w:sz w:val="20"/>
        </w:rPr>
        <w:t> </w:t>
      </w:r>
      <w:r>
        <w:rPr>
          <w:b/>
          <w:sz w:val="20"/>
        </w:rPr>
        <w:t>Respuestas</w:t>
      </w:r>
      <w:r>
        <w:rPr>
          <w:b/>
          <w:spacing w:val="-3"/>
          <w:sz w:val="20"/>
        </w:rPr>
        <w:t> </w:t>
      </w:r>
      <w:r>
        <w:rPr>
          <w:b/>
          <w:sz w:val="20"/>
        </w:rPr>
        <w:t>sobre</w:t>
      </w:r>
      <w:r>
        <w:rPr>
          <w:b/>
          <w:spacing w:val="-3"/>
          <w:sz w:val="20"/>
        </w:rPr>
        <w:t> </w:t>
      </w:r>
      <w:r>
        <w:rPr>
          <w:b/>
          <w:sz w:val="20"/>
        </w:rPr>
        <w:t>el</w:t>
      </w:r>
      <w:r>
        <w:rPr>
          <w:b/>
          <w:spacing w:val="-3"/>
          <w:sz w:val="20"/>
        </w:rPr>
        <w:t> </w:t>
      </w:r>
      <w:r>
        <w:rPr>
          <w:b/>
          <w:sz w:val="20"/>
        </w:rPr>
        <w:t>programa</w:t>
      </w:r>
      <w:r>
        <w:rPr>
          <w:b/>
          <w:spacing w:val="-3"/>
          <w:sz w:val="20"/>
        </w:rPr>
        <w:t> </w:t>
      </w:r>
      <w:r>
        <w:rPr>
          <w:b/>
          <w:sz w:val="20"/>
        </w:rPr>
        <w:t>ayudas</w:t>
      </w:r>
      <w:r>
        <w:rPr>
          <w:b/>
          <w:spacing w:val="-3"/>
          <w:sz w:val="20"/>
        </w:rPr>
        <w:t> </w:t>
      </w:r>
      <w:r>
        <w:rPr>
          <w:b/>
          <w:sz w:val="20"/>
        </w:rPr>
        <w:t>a</w:t>
      </w:r>
      <w:r>
        <w:rPr>
          <w:b/>
          <w:spacing w:val="-3"/>
          <w:sz w:val="20"/>
        </w:rPr>
        <w:t> </w:t>
      </w:r>
      <w:r>
        <w:rPr>
          <w:b/>
          <w:sz w:val="20"/>
        </w:rPr>
        <w:t>municipios</w:t>
      </w:r>
      <w:r>
        <w:rPr>
          <w:b/>
          <w:spacing w:val="-3"/>
          <w:sz w:val="20"/>
        </w:rPr>
        <w:t> </w:t>
      </w:r>
      <w:r>
        <w:rPr>
          <w:b/>
          <w:sz w:val="20"/>
        </w:rPr>
        <w:t>para</w:t>
      </w:r>
      <w:r>
        <w:rPr>
          <w:b/>
          <w:spacing w:val="-3"/>
          <w:sz w:val="20"/>
        </w:rPr>
        <w:t> </w:t>
      </w:r>
      <w:r>
        <w:rPr>
          <w:b/>
          <w:sz w:val="20"/>
        </w:rPr>
        <w:t>la</w:t>
      </w:r>
      <w:r>
        <w:rPr>
          <w:b/>
          <w:spacing w:val="-3"/>
          <w:sz w:val="20"/>
        </w:rPr>
        <w:t> </w:t>
      </w:r>
      <w:r>
        <w:rPr>
          <w:b/>
          <w:sz w:val="20"/>
        </w:rPr>
        <w:t>implantación</w:t>
      </w:r>
      <w:r>
        <w:rPr>
          <w:b/>
          <w:spacing w:val="-3"/>
          <w:sz w:val="20"/>
        </w:rPr>
        <w:t> </w:t>
      </w:r>
      <w:r>
        <w:rPr>
          <w:b/>
          <w:sz w:val="20"/>
        </w:rPr>
        <w:t>de</w:t>
      </w:r>
      <w:r>
        <w:rPr>
          <w:b/>
          <w:spacing w:val="-1"/>
          <w:sz w:val="20"/>
        </w:rPr>
        <w:t> </w:t>
      </w:r>
      <w:r>
        <w:rPr>
          <w:b/>
          <w:sz w:val="20"/>
        </w:rPr>
        <w:t>zonas de bajas emisiones y la transformación digital y sostenible del transporte urbano” (3/09/2021),</w:t>
      </w:r>
      <w:r>
        <w:rPr>
          <w:b/>
          <w:sz w:val="20"/>
        </w:rPr>
        <w:t> publicado en la página WEB del Ministerio (</w:t>
      </w:r>
      <w:hyperlink r:id="rId350">
        <w:r>
          <w:rPr>
            <w:b/>
            <w:sz w:val="20"/>
          </w:rPr>
          <w:t>https://femp-fondos-europa.es/documentos/pyr-programa-</w:t>
        </w:r>
      </w:hyperlink>
      <w:r>
        <w:rPr>
          <w:b/>
          <w:sz w:val="20"/>
        </w:rPr>
        <w:t>de-ayudas-a-municipios-zbey- transf-digital-y-sostenible-del-transporte-urbano/ , archivo llamado PyR programa ayudas a municpios zbe y td transp 3-9-21 ), constan dos preguntas formuladas por esta Entidad en referencia a esta situación (3.11 ¿Son compatibles las ayudas con cargo al Mecanismo de Reconstrucción</w:t>
      </w:r>
      <w:r>
        <w:rPr>
          <w:b/>
          <w:spacing w:val="-1"/>
          <w:sz w:val="20"/>
        </w:rPr>
        <w:t> </w:t>
      </w:r>
      <w:r>
        <w:rPr>
          <w:b/>
          <w:sz w:val="20"/>
        </w:rPr>
        <w:t>y</w:t>
      </w:r>
      <w:r>
        <w:rPr>
          <w:b/>
          <w:spacing w:val="-2"/>
          <w:sz w:val="20"/>
        </w:rPr>
        <w:t> </w:t>
      </w:r>
      <w:r>
        <w:rPr>
          <w:b/>
          <w:sz w:val="20"/>
        </w:rPr>
        <w:t>Resiliencia</w:t>
      </w:r>
      <w:r>
        <w:rPr>
          <w:b/>
          <w:spacing w:val="-2"/>
          <w:sz w:val="20"/>
        </w:rPr>
        <w:t> </w:t>
      </w:r>
      <w:r>
        <w:rPr>
          <w:b/>
          <w:sz w:val="20"/>
        </w:rPr>
        <w:t>con</w:t>
      </w:r>
      <w:r>
        <w:rPr>
          <w:b/>
          <w:spacing w:val="-2"/>
          <w:sz w:val="20"/>
        </w:rPr>
        <w:t> </w:t>
      </w:r>
      <w:r>
        <w:rPr>
          <w:b/>
          <w:sz w:val="20"/>
        </w:rPr>
        <w:t>otros</w:t>
      </w:r>
      <w:r>
        <w:rPr>
          <w:b/>
          <w:spacing w:val="-2"/>
          <w:sz w:val="20"/>
        </w:rPr>
        <w:t> </w:t>
      </w:r>
      <w:r>
        <w:rPr>
          <w:b/>
          <w:sz w:val="20"/>
        </w:rPr>
        <w:t>fondos</w:t>
      </w:r>
      <w:r>
        <w:rPr>
          <w:b/>
          <w:spacing w:val="-2"/>
          <w:sz w:val="20"/>
        </w:rPr>
        <w:t> </w:t>
      </w:r>
      <w:r>
        <w:rPr>
          <w:b/>
          <w:sz w:val="20"/>
        </w:rPr>
        <w:t>europeos</w:t>
      </w:r>
      <w:r>
        <w:rPr>
          <w:b/>
          <w:spacing w:val="-2"/>
          <w:sz w:val="20"/>
        </w:rPr>
        <w:t> </w:t>
      </w:r>
      <w:r>
        <w:rPr>
          <w:b/>
          <w:sz w:val="20"/>
        </w:rPr>
        <w:t>como</w:t>
      </w:r>
      <w:r>
        <w:rPr>
          <w:b/>
          <w:spacing w:val="-2"/>
          <w:sz w:val="20"/>
        </w:rPr>
        <w:t> </w:t>
      </w:r>
      <w:r>
        <w:rPr>
          <w:b/>
          <w:sz w:val="20"/>
        </w:rPr>
        <w:t>Innovation Funds</w:t>
      </w:r>
      <w:r>
        <w:rPr>
          <w:b/>
          <w:spacing w:val="-2"/>
          <w:sz w:val="20"/>
        </w:rPr>
        <w:t> </w:t>
      </w:r>
      <w:r>
        <w:rPr>
          <w:b/>
          <w:sz w:val="20"/>
        </w:rPr>
        <w:t>o</w:t>
      </w:r>
      <w:r>
        <w:rPr>
          <w:b/>
          <w:spacing w:val="-2"/>
          <w:sz w:val="20"/>
        </w:rPr>
        <w:t> </w:t>
      </w:r>
      <w:r>
        <w:rPr>
          <w:b/>
          <w:sz w:val="20"/>
        </w:rPr>
        <w:t>FEDER?</w:t>
      </w:r>
      <w:r>
        <w:rPr>
          <w:b/>
          <w:spacing w:val="-2"/>
          <w:sz w:val="20"/>
        </w:rPr>
        <w:t> </w:t>
      </w:r>
      <w:r>
        <w:rPr>
          <w:b/>
          <w:sz w:val="20"/>
        </w:rPr>
        <w:t>¿Y</w:t>
      </w:r>
      <w:r>
        <w:rPr>
          <w:b/>
          <w:spacing w:val="-2"/>
          <w:sz w:val="20"/>
        </w:rPr>
        <w:t> </w:t>
      </w:r>
      <w:r>
        <w:rPr>
          <w:b/>
          <w:sz w:val="20"/>
        </w:rPr>
        <w:t>con</w:t>
      </w:r>
      <w:r>
        <w:rPr>
          <w:b/>
          <w:spacing w:val="-2"/>
          <w:sz w:val="20"/>
        </w:rPr>
        <w:t> </w:t>
      </w:r>
      <w:r>
        <w:rPr>
          <w:b/>
          <w:sz w:val="20"/>
        </w:rPr>
        <w:t>los fondos</w:t>
      </w:r>
      <w:r>
        <w:rPr>
          <w:b/>
          <w:spacing w:val="-7"/>
          <w:sz w:val="20"/>
        </w:rPr>
        <w:t> </w:t>
      </w:r>
      <w:r>
        <w:rPr>
          <w:b/>
          <w:sz w:val="20"/>
        </w:rPr>
        <w:t>nacionales</w:t>
      </w:r>
      <w:r>
        <w:rPr>
          <w:b/>
          <w:spacing w:val="-7"/>
          <w:sz w:val="20"/>
        </w:rPr>
        <w:t> </w:t>
      </w:r>
      <w:r>
        <w:rPr>
          <w:b/>
          <w:sz w:val="20"/>
        </w:rPr>
        <w:t>o</w:t>
      </w:r>
      <w:r>
        <w:rPr>
          <w:b/>
          <w:spacing w:val="-7"/>
          <w:sz w:val="20"/>
        </w:rPr>
        <w:t> </w:t>
      </w:r>
      <w:r>
        <w:rPr>
          <w:b/>
          <w:sz w:val="20"/>
        </w:rPr>
        <w:t>procedentes</w:t>
      </w:r>
      <w:r>
        <w:rPr>
          <w:b/>
          <w:spacing w:val="-7"/>
          <w:sz w:val="20"/>
        </w:rPr>
        <w:t> </w:t>
      </w:r>
      <w:r>
        <w:rPr>
          <w:b/>
          <w:sz w:val="20"/>
        </w:rPr>
        <w:t>de</w:t>
      </w:r>
      <w:r>
        <w:rPr>
          <w:b/>
          <w:spacing w:val="-7"/>
          <w:sz w:val="20"/>
        </w:rPr>
        <w:t> </w:t>
      </w:r>
      <w:r>
        <w:rPr>
          <w:b/>
          <w:sz w:val="20"/>
        </w:rPr>
        <w:t>una</w:t>
      </w:r>
      <w:r>
        <w:rPr>
          <w:b/>
          <w:spacing w:val="-7"/>
          <w:sz w:val="20"/>
        </w:rPr>
        <w:t> </w:t>
      </w:r>
      <w:r>
        <w:rPr>
          <w:b/>
          <w:sz w:val="20"/>
        </w:rPr>
        <w:t>subvención</w:t>
      </w:r>
      <w:r>
        <w:rPr>
          <w:b/>
          <w:spacing w:val="-7"/>
          <w:sz w:val="20"/>
        </w:rPr>
        <w:t> </w:t>
      </w:r>
      <w:r>
        <w:rPr>
          <w:b/>
          <w:sz w:val="20"/>
        </w:rPr>
        <w:t>autonómica?),</w:t>
      </w:r>
      <w:r>
        <w:rPr>
          <w:b/>
          <w:spacing w:val="-7"/>
          <w:sz w:val="20"/>
        </w:rPr>
        <w:t> </w:t>
      </w:r>
      <w:r>
        <w:rPr>
          <w:b/>
          <w:sz w:val="20"/>
        </w:rPr>
        <w:t>siendo</w:t>
      </w:r>
      <w:r>
        <w:rPr>
          <w:b/>
          <w:spacing w:val="-7"/>
          <w:sz w:val="20"/>
        </w:rPr>
        <w:t> </w:t>
      </w:r>
      <w:r>
        <w:rPr>
          <w:b/>
          <w:sz w:val="20"/>
        </w:rPr>
        <w:t>la</w:t>
      </w:r>
      <w:r>
        <w:rPr>
          <w:b/>
          <w:spacing w:val="-5"/>
          <w:sz w:val="20"/>
        </w:rPr>
        <w:t> </w:t>
      </w:r>
      <w:r>
        <w:rPr>
          <w:b/>
          <w:sz w:val="20"/>
        </w:rPr>
        <w:t>respuesta:</w:t>
      </w:r>
      <w:r>
        <w:rPr>
          <w:b/>
          <w:spacing w:val="-7"/>
          <w:sz w:val="20"/>
        </w:rPr>
        <w:t> </w:t>
      </w:r>
      <w:r>
        <w:rPr>
          <w:b/>
          <w:sz w:val="20"/>
        </w:rPr>
        <w:t>Ver</w:t>
      </w:r>
      <w:r>
        <w:rPr>
          <w:b/>
          <w:spacing w:val="-5"/>
          <w:sz w:val="20"/>
        </w:rPr>
        <w:t> </w:t>
      </w:r>
      <w:r>
        <w:rPr>
          <w:b/>
          <w:sz w:val="20"/>
        </w:rPr>
        <w:t>artículo</w:t>
      </w:r>
      <w:r>
        <w:rPr>
          <w:b/>
          <w:spacing w:val="-7"/>
          <w:sz w:val="20"/>
        </w:rPr>
        <w:t> </w:t>
      </w:r>
      <w:r>
        <w:rPr>
          <w:b/>
          <w:sz w:val="20"/>
        </w:rPr>
        <w:t>18 de la OM que regula las bases. En el caso de que exista alguna subvención para el desarrollo de una actuación para la que se solicita ayudas, ésta debe reflejarse tanto en la memoria técnica y financiera como en el Anexo IV Declaración responsable sobre cumplimiento de requisitos exigidos al beneficiario, todo lo cual fue cumplimentado por parte de la Entidad. Por todo lo anterior, debe considerarse</w:t>
      </w:r>
      <w:r>
        <w:rPr>
          <w:b/>
          <w:spacing w:val="-3"/>
          <w:sz w:val="20"/>
        </w:rPr>
        <w:t> </w:t>
      </w:r>
      <w:r>
        <w:rPr>
          <w:b/>
          <w:sz w:val="20"/>
        </w:rPr>
        <w:t>efectuada</w:t>
      </w:r>
      <w:r>
        <w:rPr>
          <w:b/>
          <w:spacing w:val="-3"/>
          <w:sz w:val="20"/>
        </w:rPr>
        <w:t> </w:t>
      </w:r>
      <w:r>
        <w:rPr>
          <w:b/>
          <w:sz w:val="20"/>
        </w:rPr>
        <w:t>por</w:t>
      </w:r>
      <w:r>
        <w:rPr>
          <w:b/>
          <w:spacing w:val="-3"/>
          <w:sz w:val="20"/>
        </w:rPr>
        <w:t> </w:t>
      </w:r>
      <w:r>
        <w:rPr>
          <w:b/>
          <w:sz w:val="20"/>
        </w:rPr>
        <w:t>el</w:t>
      </w:r>
      <w:r>
        <w:rPr>
          <w:b/>
          <w:spacing w:val="-3"/>
          <w:sz w:val="20"/>
        </w:rPr>
        <w:t> </w:t>
      </w:r>
      <w:r>
        <w:rPr>
          <w:b/>
          <w:sz w:val="20"/>
        </w:rPr>
        <w:t>Ayuntamiento</w:t>
      </w:r>
      <w:r>
        <w:rPr>
          <w:b/>
          <w:spacing w:val="-3"/>
          <w:sz w:val="20"/>
        </w:rPr>
        <w:t> </w:t>
      </w:r>
      <w:r>
        <w:rPr>
          <w:b/>
          <w:sz w:val="20"/>
        </w:rPr>
        <w:t>de</w:t>
      </w:r>
      <w:r>
        <w:rPr>
          <w:b/>
          <w:spacing w:val="-3"/>
          <w:sz w:val="20"/>
        </w:rPr>
        <w:t> </w:t>
      </w:r>
      <w:r>
        <w:rPr>
          <w:b/>
          <w:sz w:val="20"/>
        </w:rPr>
        <w:t>Murcia</w:t>
      </w:r>
      <w:r>
        <w:rPr>
          <w:b/>
          <w:spacing w:val="-3"/>
          <w:sz w:val="20"/>
        </w:rPr>
        <w:t> </w:t>
      </w:r>
      <w:r>
        <w:rPr>
          <w:b/>
          <w:sz w:val="20"/>
        </w:rPr>
        <w:t>la</w:t>
      </w:r>
      <w:r>
        <w:rPr>
          <w:b/>
          <w:spacing w:val="-3"/>
          <w:sz w:val="20"/>
        </w:rPr>
        <w:t> </w:t>
      </w:r>
      <w:r>
        <w:rPr>
          <w:b/>
          <w:sz w:val="20"/>
        </w:rPr>
        <w:t>comunicación</w:t>
      </w:r>
      <w:r>
        <w:rPr>
          <w:b/>
          <w:spacing w:val="-3"/>
          <w:sz w:val="20"/>
        </w:rPr>
        <w:t> </w:t>
      </w:r>
      <w:r>
        <w:rPr>
          <w:b/>
          <w:sz w:val="20"/>
        </w:rPr>
        <w:t>al</w:t>
      </w:r>
      <w:r>
        <w:rPr>
          <w:b/>
          <w:spacing w:val="-3"/>
          <w:sz w:val="20"/>
        </w:rPr>
        <w:t> </w:t>
      </w:r>
      <w:r>
        <w:rPr>
          <w:b/>
          <w:sz w:val="20"/>
        </w:rPr>
        <w:t>Ministerio</w:t>
      </w:r>
      <w:r>
        <w:rPr>
          <w:b/>
          <w:spacing w:val="-3"/>
          <w:sz w:val="20"/>
        </w:rPr>
        <w:t> </w:t>
      </w:r>
      <w:r>
        <w:rPr>
          <w:b/>
          <w:sz w:val="20"/>
        </w:rPr>
        <w:t>concedente de</w:t>
      </w:r>
      <w:r>
        <w:rPr>
          <w:b/>
          <w:spacing w:val="-3"/>
          <w:sz w:val="20"/>
        </w:rPr>
        <w:t> </w:t>
      </w:r>
      <w:r>
        <w:rPr>
          <w:b/>
          <w:sz w:val="20"/>
        </w:rPr>
        <w:t>las ayudas sobre percepción de otras subvenciones/ayudas para una misma actuación por el Ayuntamiento de Murcia.</w:t>
      </w:r>
    </w:p>
    <w:p>
      <w:pPr>
        <w:pStyle w:val="BodyText"/>
        <w:spacing w:before="111"/>
        <w:rPr>
          <w:b/>
          <w:sz w:val="20"/>
        </w:rPr>
      </w:pPr>
    </w:p>
    <w:p>
      <w:pPr>
        <w:spacing w:before="0"/>
        <w:ind w:left="1284" w:right="0" w:firstLine="0"/>
        <w:jc w:val="left"/>
        <w:rPr>
          <w:sz w:val="20"/>
        </w:rPr>
      </w:pPr>
      <w:r>
        <w:rPr>
          <w:sz w:val="20"/>
        </w:rPr>
        <w:t>Documentos</w:t>
      </w:r>
      <w:r>
        <w:rPr>
          <w:spacing w:val="-14"/>
          <w:sz w:val="20"/>
        </w:rPr>
        <w:t> </w:t>
      </w:r>
      <w:r>
        <w:rPr>
          <w:sz w:val="20"/>
        </w:rPr>
        <w:t>(descripción</w:t>
      </w:r>
      <w:r>
        <w:rPr>
          <w:spacing w:val="-13"/>
          <w:sz w:val="20"/>
        </w:rPr>
        <w:t> </w:t>
      </w:r>
      <w:r>
        <w:rPr>
          <w:sz w:val="20"/>
        </w:rPr>
        <w:t>de</w:t>
      </w:r>
      <w:r>
        <w:rPr>
          <w:spacing w:val="-11"/>
          <w:sz w:val="20"/>
        </w:rPr>
        <w:t> </w:t>
      </w:r>
      <w:r>
        <w:rPr>
          <w:sz w:val="20"/>
        </w:rPr>
        <w:t>los</w:t>
      </w:r>
      <w:r>
        <w:rPr>
          <w:spacing w:val="-11"/>
          <w:sz w:val="20"/>
        </w:rPr>
        <w:t> </w:t>
      </w:r>
      <w:r>
        <w:rPr>
          <w:sz w:val="20"/>
        </w:rPr>
        <w:t>documentos</w:t>
      </w:r>
      <w:r>
        <w:rPr>
          <w:spacing w:val="-14"/>
          <w:sz w:val="20"/>
        </w:rPr>
        <w:t> </w:t>
      </w:r>
      <w:r>
        <w:rPr>
          <w:spacing w:val="-2"/>
          <w:sz w:val="20"/>
        </w:rPr>
        <w:t>aportados):</w:t>
      </w:r>
    </w:p>
    <w:p>
      <w:pPr>
        <w:spacing w:before="87"/>
        <w:ind w:left="1284" w:right="0" w:firstLine="0"/>
        <w:jc w:val="left"/>
        <w:rPr>
          <w:b/>
          <w:sz w:val="20"/>
        </w:rPr>
      </w:pPr>
      <w:r>
        <w:rPr>
          <w:b/>
          <w:sz w:val="20"/>
        </w:rPr>
        <mc:AlternateContent>
          <mc:Choice Requires="wps">
            <w:drawing>
              <wp:anchor distT="0" distB="0" distL="0" distR="0" allowOverlap="1" layoutInCell="1" locked="0" behindDoc="0" simplePos="0" relativeHeight="15935488">
                <wp:simplePos x="0" y="0"/>
                <wp:positionH relativeFrom="page">
                  <wp:posOffset>244784</wp:posOffset>
                </wp:positionH>
                <wp:positionV relativeFrom="paragraph">
                  <wp:posOffset>164524</wp:posOffset>
                </wp:positionV>
                <wp:extent cx="138430" cy="2155190"/>
                <wp:effectExtent l="0" t="0" r="0" b="0"/>
                <wp:wrapNone/>
                <wp:docPr id="2144" name="Textbox 2144"/>
                <wp:cNvGraphicFramePr>
                  <a:graphicFrameLocks/>
                </wp:cNvGraphicFramePr>
                <a:graphic>
                  <a:graphicData uri="http://schemas.microsoft.com/office/word/2010/wordprocessingShape">
                    <wps:wsp>
                      <wps:cNvPr id="2144" name="Textbox 2144"/>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12.954719pt;width:10.9pt;height:169.7pt;mso-position-horizontal-relative:page;mso-position-vertical-relative:paragraph;z-index:15935488" type="#_x0000_t202" id="docshape1544"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w:t>Escrito</w:t>
      </w:r>
      <w:r>
        <w:rPr>
          <w:b/>
          <w:spacing w:val="-12"/>
          <w:sz w:val="20"/>
        </w:rPr>
        <w:t> </w:t>
      </w:r>
      <w:r>
        <w:rPr>
          <w:b/>
          <w:sz w:val="20"/>
        </w:rPr>
        <w:t>principal</w:t>
      </w:r>
      <w:r>
        <w:rPr>
          <w:b/>
          <w:spacing w:val="-12"/>
          <w:sz w:val="20"/>
        </w:rPr>
        <w:t> </w:t>
      </w:r>
      <w:r>
        <w:rPr>
          <w:b/>
          <w:sz w:val="20"/>
        </w:rPr>
        <w:t>de</w:t>
      </w:r>
      <w:r>
        <w:rPr>
          <w:b/>
          <w:spacing w:val="-12"/>
          <w:sz w:val="20"/>
        </w:rPr>
        <w:t> </w:t>
      </w:r>
      <w:r>
        <w:rPr>
          <w:b/>
          <w:sz w:val="20"/>
        </w:rPr>
        <w:t>alegaciones,</w:t>
      </w:r>
      <w:r>
        <w:rPr>
          <w:b/>
          <w:spacing w:val="-11"/>
          <w:sz w:val="20"/>
        </w:rPr>
        <w:t> </w:t>
      </w:r>
      <w:r>
        <w:rPr>
          <w:b/>
          <w:sz w:val="20"/>
        </w:rPr>
        <w:t>justificantes</w:t>
      </w:r>
      <w:r>
        <w:rPr>
          <w:b/>
          <w:spacing w:val="-12"/>
          <w:sz w:val="20"/>
        </w:rPr>
        <w:t> </w:t>
      </w:r>
      <w:r>
        <w:rPr>
          <w:b/>
          <w:sz w:val="20"/>
        </w:rPr>
        <w:t>comunicación</w:t>
      </w:r>
      <w:r>
        <w:rPr>
          <w:b/>
          <w:spacing w:val="-10"/>
          <w:sz w:val="20"/>
        </w:rPr>
        <w:t> </w:t>
      </w:r>
      <w:r>
        <w:rPr>
          <w:b/>
          <w:sz w:val="20"/>
        </w:rPr>
        <w:t>a</w:t>
      </w:r>
      <w:r>
        <w:rPr>
          <w:b/>
          <w:spacing w:val="-12"/>
          <w:sz w:val="20"/>
        </w:rPr>
        <w:t> </w:t>
      </w:r>
      <w:r>
        <w:rPr>
          <w:b/>
          <w:sz w:val="20"/>
        </w:rPr>
        <w:t>ese</w:t>
      </w:r>
      <w:r>
        <w:rPr>
          <w:b/>
          <w:spacing w:val="-12"/>
          <w:sz w:val="20"/>
        </w:rPr>
        <w:t> </w:t>
      </w:r>
      <w:r>
        <w:rPr>
          <w:b/>
          <w:sz w:val="20"/>
        </w:rPr>
        <w:t>Tribunal</w:t>
      </w:r>
      <w:r>
        <w:rPr>
          <w:b/>
          <w:spacing w:val="-12"/>
          <w:sz w:val="20"/>
        </w:rPr>
        <w:t> </w:t>
      </w:r>
      <w:r>
        <w:rPr>
          <w:b/>
          <w:sz w:val="20"/>
        </w:rPr>
        <w:t>de</w:t>
      </w:r>
      <w:r>
        <w:rPr>
          <w:b/>
          <w:spacing w:val="-7"/>
          <w:sz w:val="20"/>
        </w:rPr>
        <w:t> </w:t>
      </w:r>
      <w:r>
        <w:rPr>
          <w:b/>
          <w:sz w:val="20"/>
        </w:rPr>
        <w:t>Cuentas,</w:t>
      </w:r>
      <w:r>
        <w:rPr>
          <w:b/>
          <w:spacing w:val="-12"/>
          <w:sz w:val="20"/>
        </w:rPr>
        <w:t> </w:t>
      </w:r>
      <w:r>
        <w:rPr>
          <w:b/>
          <w:sz w:val="20"/>
        </w:rPr>
        <w:t>enlaces</w:t>
      </w:r>
      <w:r>
        <w:rPr>
          <w:b/>
          <w:spacing w:val="-12"/>
          <w:sz w:val="20"/>
        </w:rPr>
        <w:t> </w:t>
      </w:r>
      <w:r>
        <w:rPr>
          <w:b/>
          <w:sz w:val="20"/>
        </w:rPr>
        <w:t>a</w:t>
      </w:r>
      <w:r>
        <w:rPr>
          <w:b/>
          <w:spacing w:val="-12"/>
          <w:sz w:val="20"/>
        </w:rPr>
        <w:t> </w:t>
      </w:r>
      <w:r>
        <w:rPr>
          <w:b/>
          <w:spacing w:val="-5"/>
          <w:sz w:val="20"/>
        </w:rPr>
        <w:t>WEB</w:t>
      </w:r>
    </w:p>
    <w:p>
      <w:pPr>
        <w:pStyle w:val="BodyText"/>
        <w:spacing w:before="178"/>
        <w:rPr>
          <w:b/>
          <w:sz w:val="20"/>
        </w:rPr>
      </w:pPr>
    </w:p>
    <w:p>
      <w:pPr>
        <w:spacing w:before="0"/>
        <w:ind w:left="1284" w:right="0" w:firstLine="0"/>
        <w:jc w:val="left"/>
        <w:rPr>
          <w:sz w:val="20"/>
        </w:rPr>
      </w:pPr>
      <w:r>
        <w:rPr>
          <w:spacing w:val="-2"/>
          <w:sz w:val="20"/>
        </w:rPr>
        <w:t>Documentos:</w:t>
      </w:r>
    </w:p>
    <w:p>
      <w:pPr>
        <w:spacing w:line="333" w:lineRule="auto" w:before="87"/>
        <w:ind w:left="1284" w:right="0" w:firstLine="0"/>
        <w:jc w:val="left"/>
        <w:rPr>
          <w:b/>
          <w:sz w:val="20"/>
        </w:rPr>
      </w:pPr>
      <w:r>
        <w:rPr>
          <w:b/>
          <w:sz w:val="20"/>
        </w:rPr>
        <mc:AlternateContent>
          <mc:Choice Requires="wps">
            <w:drawing>
              <wp:anchor distT="0" distB="0" distL="0" distR="0" allowOverlap="1" layoutInCell="1" locked="0" behindDoc="0" simplePos="0" relativeHeight="15936000">
                <wp:simplePos x="0" y="0"/>
                <wp:positionH relativeFrom="page">
                  <wp:posOffset>344030</wp:posOffset>
                </wp:positionH>
                <wp:positionV relativeFrom="paragraph">
                  <wp:posOffset>615117</wp:posOffset>
                </wp:positionV>
                <wp:extent cx="163830" cy="2874645"/>
                <wp:effectExtent l="0" t="0" r="0" b="0"/>
                <wp:wrapNone/>
                <wp:docPr id="2145" name="Graphic 2145"/>
                <wp:cNvGraphicFramePr>
                  <a:graphicFrameLocks/>
                </wp:cNvGraphicFramePr>
                <a:graphic>
                  <a:graphicData uri="http://schemas.microsoft.com/office/word/2010/wordprocessingShape">
                    <wps:wsp>
                      <wps:cNvPr id="2145" name="Graphic 2145"/>
                      <wps:cNvSpPr/>
                      <wps:spPr>
                        <a:xfrm>
                          <a:off x="0" y="0"/>
                          <a:ext cx="163830" cy="2874645"/>
                        </a:xfrm>
                        <a:custGeom>
                          <a:avLst/>
                          <a:gdLst/>
                          <a:ahLst/>
                          <a:cxnLst/>
                          <a:rect l="l" t="t" r="r" b="b"/>
                          <a:pathLst>
                            <a:path w="163830" h="2874645">
                              <a:moveTo>
                                <a:pt x="163258" y="0"/>
                              </a:moveTo>
                              <a:lnTo>
                                <a:pt x="0" y="0"/>
                              </a:lnTo>
                              <a:lnTo>
                                <a:pt x="0" y="2874352"/>
                              </a:lnTo>
                              <a:lnTo>
                                <a:pt x="163258" y="2874352"/>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48.434443pt;width:12.855pt;height:226.327pt;mso-position-horizontal-relative:page;mso-position-vertical-relative:paragraph;z-index:15936000" id="docshape1545" filled="true" fillcolor="#000000" stroked="false">
                <v:fill type="solid"/>
                <w10:wrap type="none"/>
              </v:rect>
            </w:pict>
          </mc:Fallback>
        </mc:AlternateContent>
      </w:r>
      <w:r>
        <w:rPr>
          <w:b/>
          <w:sz w:val="20"/>
        </w:rPr>
        <w:t>Nombre:</w:t>
      </w:r>
      <w:r>
        <w:rPr>
          <w:b/>
          <w:spacing w:val="-9"/>
          <w:sz w:val="20"/>
        </w:rPr>
        <w:t> </w:t>
      </w:r>
      <w:r>
        <w:rPr>
          <w:b/>
          <w:sz w:val="20"/>
        </w:rPr>
        <w:t>10</w:t>
      </w:r>
      <w:r>
        <w:rPr>
          <w:b/>
          <w:spacing w:val="-10"/>
          <w:sz w:val="20"/>
        </w:rPr>
        <w:t> </w:t>
      </w:r>
      <w:r>
        <w:rPr>
          <w:b/>
          <w:sz w:val="20"/>
        </w:rPr>
        <w:t>10</w:t>
      </w:r>
      <w:r>
        <w:rPr>
          <w:b/>
          <w:spacing w:val="-10"/>
          <w:sz w:val="20"/>
        </w:rPr>
        <w:t> </w:t>
      </w:r>
      <w:r>
        <w:rPr>
          <w:b/>
          <w:sz w:val="20"/>
        </w:rPr>
        <w:t>2025</w:t>
      </w:r>
      <w:r>
        <w:rPr>
          <w:b/>
          <w:spacing w:val="-10"/>
          <w:sz w:val="20"/>
        </w:rPr>
        <w:t> </w:t>
      </w:r>
      <w:r>
        <w:rPr>
          <w:b/>
          <w:sz w:val="20"/>
        </w:rPr>
        <w:t>Justif</w:t>
      </w:r>
      <w:r>
        <w:rPr>
          <w:b/>
          <w:spacing w:val="-10"/>
          <w:sz w:val="20"/>
        </w:rPr>
        <w:t> </w:t>
      </w:r>
      <w:r>
        <w:rPr>
          <w:b/>
          <w:sz w:val="20"/>
        </w:rPr>
        <w:t>presenta_Justif</w:t>
      </w:r>
      <w:r>
        <w:rPr>
          <w:b/>
          <w:spacing w:val="-10"/>
          <w:sz w:val="20"/>
        </w:rPr>
        <w:t> </w:t>
      </w:r>
      <w:r>
        <w:rPr>
          <w:b/>
          <w:sz w:val="20"/>
        </w:rPr>
        <w:t>presentac</w:t>
      </w:r>
      <w:r>
        <w:rPr>
          <w:b/>
          <w:spacing w:val="-10"/>
          <w:sz w:val="20"/>
        </w:rPr>
        <w:t> </w:t>
      </w:r>
      <w:r>
        <w:rPr>
          <w:b/>
          <w:sz w:val="20"/>
        </w:rPr>
        <w:t>MITMA.pdf,</w:t>
      </w:r>
      <w:r>
        <w:rPr>
          <w:b/>
          <w:spacing w:val="-10"/>
          <w:sz w:val="20"/>
        </w:rPr>
        <w:t> </w:t>
      </w:r>
      <w:r>
        <w:rPr>
          <w:b/>
          <w:sz w:val="20"/>
        </w:rPr>
        <w:t>Hash:</w:t>
      </w:r>
      <w:r>
        <w:rPr>
          <w:b/>
          <w:spacing w:val="-10"/>
          <w:sz w:val="20"/>
        </w:rPr>
        <w:t> </w:t>
      </w:r>
      <w:r>
        <w:rPr>
          <w:b/>
          <w:sz w:val="20"/>
        </w:rPr>
        <w:t>n+NnXAx8Hi8h4QhESMX4lg== Nombre: Mail 10 10 2025 Isabel Fdez Re 4 Petic Murcia Fiscaliz mov sost.pdf, Hash: </w:t>
      </w:r>
      <w:r>
        <w:rPr>
          <w:b/>
          <w:spacing w:val="-2"/>
          <w:sz w:val="20"/>
        </w:rPr>
        <w:t>fuWmK+xvaNm67P+Rho527A==</w:t>
      </w:r>
    </w:p>
    <w:p>
      <w:pPr>
        <w:spacing w:line="228" w:lineRule="exact" w:before="0"/>
        <w:ind w:left="1284" w:right="0" w:firstLine="0"/>
        <w:jc w:val="left"/>
        <w:rPr>
          <w:b/>
          <w:sz w:val="20"/>
        </w:rPr>
      </w:pPr>
      <w:r>
        <w:rPr>
          <w:b/>
          <w:sz w:val="20"/>
        </w:rPr>
        <mc:AlternateContent>
          <mc:Choice Requires="wps">
            <w:drawing>
              <wp:anchor distT="0" distB="0" distL="0" distR="0" allowOverlap="1" layoutInCell="1" locked="0" behindDoc="0" simplePos="0" relativeHeight="15934464">
                <wp:simplePos x="0" y="0"/>
                <wp:positionH relativeFrom="page">
                  <wp:posOffset>130383</wp:posOffset>
                </wp:positionH>
                <wp:positionV relativeFrom="paragraph">
                  <wp:posOffset>135257</wp:posOffset>
                </wp:positionV>
                <wp:extent cx="138430" cy="2952750"/>
                <wp:effectExtent l="0" t="0" r="0" b="0"/>
                <wp:wrapNone/>
                <wp:docPr id="2146" name="Textbox 2146"/>
                <wp:cNvGraphicFramePr>
                  <a:graphicFrameLocks/>
                </wp:cNvGraphicFramePr>
                <a:graphic>
                  <a:graphicData uri="http://schemas.microsoft.com/office/word/2010/wordprocessingShape">
                    <wps:wsp>
                      <wps:cNvPr id="2146" name="Textbox 2146"/>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0.650208pt;width:10.9pt;height:232.5pt;mso-position-horizontal-relative:page;mso-position-vertical-relative:paragraph;z-index:15934464" type="#_x0000_t202" id="docshape1546"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w:t>Nombre:</w:t>
      </w:r>
      <w:r>
        <w:rPr>
          <w:b/>
          <w:spacing w:val="-9"/>
          <w:sz w:val="20"/>
        </w:rPr>
        <w:t> </w:t>
      </w:r>
      <w:r>
        <w:rPr>
          <w:b/>
          <w:sz w:val="20"/>
        </w:rPr>
        <w:t>Alegaciones</w:t>
      </w:r>
      <w:r>
        <w:rPr>
          <w:b/>
          <w:spacing w:val="-10"/>
          <w:sz w:val="20"/>
        </w:rPr>
        <w:t> </w:t>
      </w:r>
      <w:r>
        <w:rPr>
          <w:b/>
          <w:sz w:val="20"/>
        </w:rPr>
        <w:t>al</w:t>
      </w:r>
      <w:r>
        <w:rPr>
          <w:b/>
          <w:spacing w:val="-8"/>
          <w:sz w:val="20"/>
        </w:rPr>
        <w:t> </w:t>
      </w:r>
      <w:r>
        <w:rPr>
          <w:b/>
          <w:sz w:val="20"/>
        </w:rPr>
        <w:t>inf</w:t>
      </w:r>
      <w:r>
        <w:rPr>
          <w:b/>
          <w:spacing w:val="-10"/>
          <w:sz w:val="20"/>
        </w:rPr>
        <w:t> </w:t>
      </w:r>
      <w:r>
        <w:rPr>
          <w:b/>
          <w:sz w:val="20"/>
        </w:rPr>
        <w:t>prov</w:t>
      </w:r>
      <w:r>
        <w:rPr>
          <w:b/>
          <w:spacing w:val="-10"/>
          <w:sz w:val="20"/>
        </w:rPr>
        <w:t> </w:t>
      </w:r>
      <w:r>
        <w:rPr>
          <w:b/>
          <w:sz w:val="20"/>
        </w:rPr>
        <w:t>T</w:t>
      </w:r>
      <w:r>
        <w:rPr>
          <w:b/>
          <w:spacing w:val="-9"/>
          <w:sz w:val="20"/>
        </w:rPr>
        <w:t> </w:t>
      </w:r>
      <w:r>
        <w:rPr>
          <w:b/>
          <w:sz w:val="20"/>
        </w:rPr>
        <w:t>Ctas</w:t>
      </w:r>
      <w:r>
        <w:rPr>
          <w:b/>
          <w:spacing w:val="-10"/>
          <w:sz w:val="20"/>
        </w:rPr>
        <w:t> </w:t>
      </w:r>
      <w:r>
        <w:rPr>
          <w:b/>
          <w:sz w:val="20"/>
        </w:rPr>
        <w:t>Fdo.pdf,</w:t>
      </w:r>
      <w:r>
        <w:rPr>
          <w:b/>
          <w:spacing w:val="-8"/>
          <w:sz w:val="20"/>
        </w:rPr>
        <w:t> </w:t>
      </w:r>
      <w:r>
        <w:rPr>
          <w:b/>
          <w:sz w:val="20"/>
        </w:rPr>
        <w:t>Hash:</w:t>
      </w:r>
      <w:r>
        <w:rPr>
          <w:b/>
          <w:spacing w:val="-10"/>
          <w:sz w:val="20"/>
        </w:rPr>
        <w:t> </w:t>
      </w:r>
      <w:r>
        <w:rPr>
          <w:b/>
          <w:spacing w:val="-2"/>
          <w:sz w:val="20"/>
        </w:rPr>
        <w:t>7XiUHDXX90g0zF3QPd3shQ==</w:t>
      </w:r>
    </w:p>
    <w:p>
      <w:pPr>
        <w:spacing w:before="87"/>
        <w:ind w:left="1284" w:right="0" w:firstLine="0"/>
        <w:jc w:val="left"/>
        <w:rPr>
          <w:b/>
          <w:sz w:val="20"/>
        </w:rPr>
      </w:pPr>
      <w:r>
        <w:rPr>
          <w:b/>
          <w:sz w:val="20"/>
        </w:rPr>
        <mc:AlternateContent>
          <mc:Choice Requires="wps">
            <w:drawing>
              <wp:anchor distT="0" distB="0" distL="0" distR="0" allowOverlap="1" layoutInCell="1" locked="0" behindDoc="0" simplePos="0" relativeHeight="15934976">
                <wp:simplePos x="0" y="0"/>
                <wp:positionH relativeFrom="page">
                  <wp:posOffset>244784</wp:posOffset>
                </wp:positionH>
                <wp:positionV relativeFrom="paragraph">
                  <wp:posOffset>1198662</wp:posOffset>
                </wp:positionV>
                <wp:extent cx="251460" cy="1744345"/>
                <wp:effectExtent l="0" t="0" r="0" b="0"/>
                <wp:wrapNone/>
                <wp:docPr id="2147" name="Textbox 2147"/>
                <wp:cNvGraphicFramePr>
                  <a:graphicFrameLocks/>
                </wp:cNvGraphicFramePr>
                <a:graphic>
                  <a:graphicData uri="http://schemas.microsoft.com/office/word/2010/wordprocessingShape">
                    <wps:wsp>
                      <wps:cNvPr id="2147" name="Textbox 2147"/>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94.382858pt;width:19.8pt;height:137.35pt;mso-position-horizontal-relative:page;mso-position-vertical-relative:paragraph;z-index:15934976" type="#_x0000_t202" id="docshape1547"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pacing w:val="-2"/>
          <w:sz w:val="20"/>
        </w:rPr>
        <w:t>Nombre:</w:t>
      </w:r>
      <w:r>
        <w:rPr>
          <w:b/>
          <w:spacing w:val="7"/>
          <w:sz w:val="20"/>
        </w:rPr>
        <w:t> </w:t>
      </w:r>
      <w:r>
        <w:rPr>
          <w:b/>
          <w:spacing w:val="-2"/>
          <w:sz w:val="20"/>
        </w:rPr>
        <w:t>Memoria_tecnica_y_financiera_1_MURCIA_completa.pdf,</w:t>
      </w:r>
      <w:r>
        <w:rPr>
          <w:b/>
          <w:spacing w:val="7"/>
          <w:sz w:val="20"/>
        </w:rPr>
        <w:t> </w:t>
      </w:r>
      <w:r>
        <w:rPr>
          <w:b/>
          <w:spacing w:val="-2"/>
          <w:sz w:val="20"/>
        </w:rPr>
        <w:t>Hash:</w:t>
      </w:r>
      <w:r>
        <w:rPr>
          <w:b/>
          <w:spacing w:val="8"/>
          <w:sz w:val="20"/>
        </w:rPr>
        <w:t> </w:t>
      </w:r>
      <w:r>
        <w:rPr>
          <w:b/>
          <w:spacing w:val="-2"/>
          <w:sz w:val="20"/>
        </w:rPr>
        <w:t>Qoe/otjyAlZ8oURR0qda+w==</w:t>
      </w:r>
    </w:p>
    <w:p>
      <w:pPr>
        <w:spacing w:after="0"/>
        <w:jc w:val="left"/>
        <w:rPr>
          <w:b/>
          <w:sz w:val="20"/>
        </w:rPr>
        <w:sectPr>
          <w:pgSz w:w="11910" w:h="16840"/>
          <w:pgMar w:header="314" w:footer="481" w:top="1240" w:bottom="680" w:left="141" w:right="141"/>
        </w:sectPr>
      </w:pPr>
    </w:p>
    <w:p>
      <w:pPr>
        <w:spacing w:line="240" w:lineRule="auto"/>
        <w:ind w:left="1219" w:right="0" w:firstLine="0"/>
        <w:rPr>
          <w:sz w:val="20"/>
        </w:rPr>
      </w:pPr>
      <w:r>
        <w:rPr>
          <w:sz w:val="20"/>
        </w:rPr>
        <w:drawing>
          <wp:inline distT="0" distB="0" distL="0" distR="0">
            <wp:extent cx="1807250" cy="530351"/>
            <wp:effectExtent l="0" t="0" r="0" b="0"/>
            <wp:docPr id="2148" name="Image 2148"/>
            <wp:cNvGraphicFramePr>
              <a:graphicFrameLocks/>
            </wp:cNvGraphicFramePr>
            <a:graphic>
              <a:graphicData uri="http://schemas.openxmlformats.org/drawingml/2006/picture">
                <pic:pic>
                  <pic:nvPicPr>
                    <pic:cNvPr id="2148" name="Image 2148"/>
                    <pic:cNvPicPr/>
                  </pic:nvPicPr>
                  <pic:blipFill>
                    <a:blip r:embed="rId61" cstate="print"/>
                    <a:stretch>
                      <a:fillRect/>
                    </a:stretch>
                  </pic:blipFill>
                  <pic:spPr>
                    <a:xfrm>
                      <a:off x="0" y="0"/>
                      <a:ext cx="1807250" cy="530351"/>
                    </a:xfrm>
                    <a:prstGeom prst="rect">
                      <a:avLst/>
                    </a:prstGeom>
                  </pic:spPr>
                </pic:pic>
              </a:graphicData>
            </a:graphic>
          </wp:inline>
        </w:drawing>
      </w:r>
      <w:r>
        <w:rPr>
          <w:sz w:val="20"/>
        </w:rPr>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87"/>
        <w:rPr>
          <w:b/>
          <w:sz w:val="32"/>
        </w:rPr>
      </w:pPr>
    </w:p>
    <w:p>
      <w:pPr>
        <w:pStyle w:val="Heading1"/>
      </w:pPr>
      <w:r>
        <w:rPr/>
        <w:drawing>
          <wp:anchor distT="0" distB="0" distL="0" distR="0" allowOverlap="1" layoutInCell="1" locked="0" behindDoc="1" simplePos="0" relativeHeight="474474496">
            <wp:simplePos x="0" y="0"/>
            <wp:positionH relativeFrom="page">
              <wp:posOffset>900430</wp:posOffset>
            </wp:positionH>
            <wp:positionV relativeFrom="paragraph">
              <wp:posOffset>-3400944</wp:posOffset>
            </wp:positionV>
            <wp:extent cx="6137656" cy="7663733"/>
            <wp:effectExtent l="0" t="0" r="0" b="0"/>
            <wp:wrapNone/>
            <wp:docPr id="2149" name="Image 2149" descr="Forma  Descripción generada automáticamente con confianza baja"/>
            <wp:cNvGraphicFramePr>
              <a:graphicFrameLocks/>
            </wp:cNvGraphicFramePr>
            <a:graphic>
              <a:graphicData uri="http://schemas.openxmlformats.org/drawingml/2006/picture">
                <pic:pic>
                  <pic:nvPicPr>
                    <pic:cNvPr id="2149" name="Image 2149" descr="Forma  Descripción generada automáticamente con confianza baja"/>
                    <pic:cNvPicPr/>
                  </pic:nvPicPr>
                  <pic:blipFill>
                    <a:blip r:embed="rId9" cstate="print"/>
                    <a:stretch>
                      <a:fillRect/>
                    </a:stretch>
                  </pic:blipFill>
                  <pic:spPr>
                    <a:xfrm>
                      <a:off x="0" y="0"/>
                      <a:ext cx="6137656" cy="7663733"/>
                    </a:xfrm>
                    <a:prstGeom prst="rect">
                      <a:avLst/>
                    </a:prstGeom>
                  </pic:spPr>
                </pic:pic>
              </a:graphicData>
            </a:graphic>
          </wp:anchor>
        </w:drawing>
      </w:r>
      <w:r>
        <w:rPr/>
        <w:t>Alegaciones</w:t>
      </w:r>
      <w:r>
        <w:rPr>
          <w:spacing w:val="-10"/>
        </w:rPr>
        <w:t> </w:t>
      </w:r>
      <w:r>
        <w:rPr/>
        <w:t>formuladas</w:t>
      </w:r>
      <w:r>
        <w:rPr>
          <w:spacing w:val="-11"/>
        </w:rPr>
        <w:t> </w:t>
      </w:r>
      <w:r>
        <w:rPr/>
        <w:t>por</w:t>
      </w:r>
      <w:r>
        <w:rPr>
          <w:spacing w:val="-7"/>
        </w:rPr>
        <w:t> </w:t>
      </w:r>
      <w:r>
        <w:rPr/>
        <w:t>el</w:t>
      </w:r>
      <w:r>
        <w:rPr>
          <w:spacing w:val="-10"/>
        </w:rPr>
        <w:t> </w:t>
      </w:r>
      <w:r>
        <w:rPr/>
        <w:t>Alcalde</w:t>
      </w:r>
      <w:r>
        <w:rPr>
          <w:spacing w:val="-11"/>
        </w:rPr>
        <w:t> </w:t>
      </w:r>
      <w:r>
        <w:rPr/>
        <w:t>del</w:t>
      </w:r>
      <w:r>
        <w:rPr>
          <w:spacing w:val="-11"/>
        </w:rPr>
        <w:t> </w:t>
      </w:r>
      <w:r>
        <w:rPr/>
        <w:t>Ayuntamiento</w:t>
      </w:r>
      <w:r>
        <w:rPr>
          <w:spacing w:val="-10"/>
        </w:rPr>
        <w:t> </w:t>
      </w:r>
      <w:r>
        <w:rPr/>
        <w:t>de</w:t>
      </w:r>
      <w:r>
        <w:rPr>
          <w:spacing w:val="-11"/>
        </w:rPr>
        <w:t> </w:t>
      </w:r>
      <w:r>
        <w:rPr>
          <w:spacing w:val="-2"/>
        </w:rPr>
        <w:t>Palma</w:t>
      </w:r>
    </w:p>
    <w:p>
      <w:pPr>
        <w:pStyle w:val="Heading1"/>
        <w:spacing w:after="0"/>
        <w:sectPr>
          <w:headerReference w:type="default" r:id="rId351"/>
          <w:footerReference w:type="default" r:id="rId352"/>
          <w:pgSz w:w="11910" w:h="16840"/>
          <w:pgMar w:header="0" w:footer="0" w:top="900" w:bottom="280" w:left="141" w:right="141"/>
        </w:sectPr>
      </w:pPr>
    </w:p>
    <w:p>
      <w:pPr>
        <w:pStyle w:val="BodyText"/>
        <w:spacing w:before="4"/>
        <w:rPr>
          <w:rFonts w:ascii="Calibri"/>
          <w:b/>
          <w:sz w:val="16"/>
        </w:rPr>
      </w:pPr>
    </w:p>
    <w:p>
      <w:pPr>
        <w:pStyle w:val="BodyText"/>
        <w:spacing w:after="0"/>
        <w:rPr>
          <w:rFonts w:ascii="Calibri"/>
          <w:b/>
          <w:sz w:val="16"/>
        </w:rPr>
        <w:sectPr>
          <w:headerReference w:type="even" r:id="rId353"/>
          <w:footerReference w:type="even" r:id="rId354"/>
          <w:pgSz w:w="11910" w:h="16840"/>
          <w:pgMar w:header="0" w:footer="0" w:top="1920" w:bottom="280" w:left="141" w:right="141"/>
        </w:sectPr>
      </w:pPr>
    </w:p>
    <w:p>
      <w:pPr>
        <w:pStyle w:val="BodyText"/>
        <w:rPr>
          <w:rFonts w:ascii="Calibri"/>
          <w:b/>
          <w:sz w:val="20"/>
        </w:rPr>
      </w:pPr>
    </w:p>
    <w:p>
      <w:pPr>
        <w:pStyle w:val="BodyText"/>
        <w:spacing w:before="31"/>
        <w:rPr>
          <w:rFonts w:ascii="Calibri"/>
          <w:b/>
          <w:sz w:val="20"/>
        </w:rPr>
      </w:pPr>
    </w:p>
    <w:p>
      <w:pPr>
        <w:spacing w:line="319" w:lineRule="auto" w:before="0"/>
        <w:ind w:left="1284" w:right="496" w:firstLine="0"/>
        <w:jc w:val="left"/>
        <w:rPr>
          <w:sz w:val="20"/>
        </w:rPr>
      </w:pPr>
      <w:r>
        <w:rPr>
          <w:sz w:val="20"/>
        </w:rPr>
        <w:t>JUAN</w:t>
      </w:r>
      <w:r>
        <w:rPr>
          <w:spacing w:val="-14"/>
          <w:sz w:val="20"/>
        </w:rPr>
        <w:t> </w:t>
      </w:r>
      <w:r>
        <w:rPr>
          <w:sz w:val="20"/>
        </w:rPr>
        <w:t>JOSE</w:t>
      </w:r>
      <w:r>
        <w:rPr>
          <w:spacing w:val="-7"/>
          <w:sz w:val="20"/>
        </w:rPr>
        <w:t> </w:t>
      </w:r>
      <w:r>
        <w:rPr>
          <w:sz w:val="20"/>
        </w:rPr>
        <w:t>ELIAS</w:t>
      </w:r>
      <w:r>
        <w:rPr>
          <w:spacing w:val="40"/>
          <w:sz w:val="20"/>
        </w:rPr>
        <w:t> </w:t>
      </w:r>
      <w:r>
        <w:rPr>
          <w:sz w:val="20"/>
        </w:rPr>
        <w:t>PEREZ</w:t>
      </w:r>
      <w:r>
        <w:rPr>
          <w:spacing w:val="-7"/>
          <w:sz w:val="20"/>
        </w:rPr>
        <w:t> </w:t>
      </w:r>
      <w:r>
        <w:rPr>
          <w:sz w:val="20"/>
        </w:rPr>
        <w:t>con</w:t>
      </w:r>
      <w:r>
        <w:rPr>
          <w:spacing w:val="-7"/>
          <w:sz w:val="20"/>
        </w:rPr>
        <w:t> </w:t>
      </w:r>
      <w:r>
        <w:rPr>
          <w:sz w:val="20"/>
        </w:rPr>
        <w:t>DNI</w:t>
      </w:r>
      <w:r>
        <w:rPr>
          <w:spacing w:val="-20"/>
          <w:sz w:val="20"/>
        </w:rPr>
        <w:t> </w:t>
      </w:r>
      <w:r>
        <w:rPr>
          <w:spacing w:val="-20"/>
          <w:position w:val="-5"/>
          <w:sz w:val="20"/>
        </w:rPr>
        <w:drawing>
          <wp:inline distT="0" distB="0" distL="0" distR="0">
            <wp:extent cx="552475" cy="145364"/>
            <wp:effectExtent l="0" t="0" r="0" b="0"/>
            <wp:docPr id="2160" name="Image 2160"/>
            <wp:cNvGraphicFramePr>
              <a:graphicFrameLocks/>
            </wp:cNvGraphicFramePr>
            <a:graphic>
              <a:graphicData uri="http://schemas.openxmlformats.org/drawingml/2006/picture">
                <pic:pic>
                  <pic:nvPicPr>
                    <pic:cNvPr id="2160" name="Image 2160"/>
                    <pic:cNvPicPr/>
                  </pic:nvPicPr>
                  <pic:blipFill>
                    <a:blip r:embed="rId153" cstate="print"/>
                    <a:stretch>
                      <a:fillRect/>
                    </a:stretch>
                  </pic:blipFill>
                  <pic:spPr>
                    <a:xfrm>
                      <a:off x="0" y="0"/>
                      <a:ext cx="552475" cy="145364"/>
                    </a:xfrm>
                    <a:prstGeom prst="rect">
                      <a:avLst/>
                    </a:prstGeom>
                  </pic:spPr>
                </pic:pic>
              </a:graphicData>
            </a:graphic>
          </wp:inline>
        </w:drawing>
      </w:r>
      <w:r>
        <w:rPr>
          <w:spacing w:val="-20"/>
          <w:position w:val="-5"/>
          <w:sz w:val="20"/>
        </w:rPr>
      </w:r>
      <w:r>
        <w:rPr>
          <w:rFonts w:ascii="Times New Roman" w:hAnsi="Times New Roman"/>
          <w:spacing w:val="5"/>
          <w:sz w:val="20"/>
        </w:rPr>
        <w:t> </w:t>
      </w:r>
      <w:r>
        <w:rPr>
          <w:sz w:val="20"/>
        </w:rPr>
        <w:t>ha</w:t>
      </w:r>
      <w:r>
        <w:rPr>
          <w:spacing w:val="-7"/>
          <w:sz w:val="20"/>
        </w:rPr>
        <w:t> </w:t>
      </w:r>
      <w:r>
        <w:rPr>
          <w:sz w:val="20"/>
        </w:rPr>
        <w:t>registrado</w:t>
      </w:r>
      <w:r>
        <w:rPr>
          <w:spacing w:val="-7"/>
          <w:sz w:val="20"/>
        </w:rPr>
        <w:t> </w:t>
      </w:r>
      <w:r>
        <w:rPr>
          <w:sz w:val="20"/>
        </w:rPr>
        <w:t>el</w:t>
      </w:r>
      <w:r>
        <w:rPr>
          <w:spacing w:val="-6"/>
          <w:sz w:val="20"/>
        </w:rPr>
        <w:t> </w:t>
      </w:r>
      <w:r>
        <w:rPr>
          <w:sz w:val="20"/>
        </w:rPr>
        <w:t>trámite</w:t>
      </w:r>
      <w:r>
        <w:rPr>
          <w:spacing w:val="-8"/>
          <w:sz w:val="20"/>
        </w:rPr>
        <w:t> </w:t>
      </w:r>
      <w:r>
        <w:rPr>
          <w:sz w:val="20"/>
        </w:rPr>
        <w:t>Trámite</w:t>
      </w:r>
      <w:r>
        <w:rPr>
          <w:spacing w:val="-7"/>
          <w:sz w:val="20"/>
        </w:rPr>
        <w:t> </w:t>
      </w:r>
      <w:r>
        <w:rPr>
          <w:sz w:val="20"/>
        </w:rPr>
        <w:t>de</w:t>
      </w:r>
      <w:r>
        <w:rPr>
          <w:spacing w:val="-5"/>
          <w:sz w:val="20"/>
        </w:rPr>
        <w:t> </w:t>
      </w:r>
      <w:r>
        <w:rPr>
          <w:sz w:val="20"/>
        </w:rPr>
        <w:t>alegaciones</w:t>
      </w:r>
      <w:r>
        <w:rPr>
          <w:spacing w:val="-8"/>
          <w:sz w:val="20"/>
        </w:rPr>
        <w:t> </w:t>
      </w:r>
      <w:r>
        <w:rPr>
          <w:sz w:val="20"/>
        </w:rPr>
        <w:t>al</w:t>
      </w:r>
      <w:r>
        <w:rPr>
          <w:spacing w:val="-7"/>
          <w:sz w:val="20"/>
        </w:rPr>
        <w:t> </w:t>
      </w:r>
      <w:r>
        <w:rPr>
          <w:sz w:val="20"/>
        </w:rPr>
        <w:t>Anteproyecto de Informe de Fiscalización sobre las medidas adoptadas por las entidades locales para lograr una movilidad sostenible en el transporte público colectivo, ejercicios 2023 y 2024 a las 14:13:23, el día 05/11/2025.</w:t>
      </w:r>
    </w:p>
    <w:p>
      <w:pPr>
        <w:spacing w:before="19"/>
        <w:ind w:left="1284" w:right="0" w:firstLine="0"/>
        <w:jc w:val="left"/>
        <w:rPr>
          <w:sz w:val="20"/>
        </w:rPr>
      </w:pPr>
      <w:r>
        <w:rPr>
          <w:sz w:val="20"/>
        </w:rPr>
        <mc:AlternateContent>
          <mc:Choice Requires="wps">
            <w:drawing>
              <wp:anchor distT="0" distB="0" distL="0" distR="0" allowOverlap="1" layoutInCell="1" locked="0" behindDoc="0" simplePos="0" relativeHeight="15939584">
                <wp:simplePos x="0" y="0"/>
                <wp:positionH relativeFrom="page">
                  <wp:posOffset>2796400</wp:posOffset>
                </wp:positionH>
                <wp:positionV relativeFrom="paragraph">
                  <wp:posOffset>24993</wp:posOffset>
                </wp:positionV>
                <wp:extent cx="798195" cy="145415"/>
                <wp:effectExtent l="0" t="0" r="0" b="0"/>
                <wp:wrapNone/>
                <wp:docPr id="2161" name="Graphic 2161"/>
                <wp:cNvGraphicFramePr>
                  <a:graphicFrameLocks/>
                </wp:cNvGraphicFramePr>
                <a:graphic>
                  <a:graphicData uri="http://schemas.microsoft.com/office/word/2010/wordprocessingShape">
                    <wps:wsp>
                      <wps:cNvPr id="2161" name="Graphic 2161"/>
                      <wps:cNvSpPr/>
                      <wps:spPr>
                        <a:xfrm>
                          <a:off x="0" y="0"/>
                          <a:ext cx="798195" cy="145415"/>
                        </a:xfrm>
                        <a:custGeom>
                          <a:avLst/>
                          <a:gdLst/>
                          <a:ahLst/>
                          <a:cxnLst/>
                          <a:rect l="l" t="t" r="r" b="b"/>
                          <a:pathLst>
                            <a:path w="798195" h="145415">
                              <a:moveTo>
                                <a:pt x="797877" y="0"/>
                              </a:moveTo>
                              <a:lnTo>
                                <a:pt x="0" y="0"/>
                              </a:lnTo>
                              <a:lnTo>
                                <a:pt x="0" y="145224"/>
                              </a:lnTo>
                              <a:lnTo>
                                <a:pt x="797877" y="145224"/>
                              </a:lnTo>
                              <a:lnTo>
                                <a:pt x="79787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20.189pt;margin-top:1.968014pt;width:62.825pt;height:11.435pt;mso-position-horizontal-relative:page;mso-position-vertical-relative:paragraph;z-index:15939584" id="docshape1552" filled="true" fillcolor="#000000" stroked="false">
                <v:fill type="solid"/>
                <w10:wrap type="none"/>
              </v:rect>
            </w:pict>
          </mc:Fallback>
        </mc:AlternateContent>
      </w:r>
      <w:r>
        <w:rPr>
          <w:sz w:val="20"/>
        </w:rPr>
        <w:t>Su</w:t>
      </w:r>
      <w:r>
        <w:rPr>
          <w:spacing w:val="-7"/>
          <w:sz w:val="20"/>
        </w:rPr>
        <w:t> </w:t>
      </w:r>
      <w:r>
        <w:rPr>
          <w:sz w:val="20"/>
        </w:rPr>
        <w:t>número</w:t>
      </w:r>
      <w:r>
        <w:rPr>
          <w:spacing w:val="-6"/>
          <w:sz w:val="20"/>
        </w:rPr>
        <w:t> </w:t>
      </w:r>
      <w:r>
        <w:rPr>
          <w:sz w:val="20"/>
        </w:rPr>
        <w:t>de</w:t>
      </w:r>
      <w:r>
        <w:rPr>
          <w:spacing w:val="-5"/>
          <w:sz w:val="20"/>
        </w:rPr>
        <w:t> </w:t>
      </w:r>
      <w:r>
        <w:rPr>
          <w:sz w:val="20"/>
        </w:rPr>
        <w:t>registro</w:t>
      </w:r>
      <w:r>
        <w:rPr>
          <w:spacing w:val="-6"/>
          <w:sz w:val="20"/>
        </w:rPr>
        <w:t> </w:t>
      </w:r>
      <w:r>
        <w:rPr>
          <w:sz w:val="20"/>
        </w:rPr>
        <w:t>es</w:t>
      </w:r>
      <w:r>
        <w:rPr>
          <w:spacing w:val="-6"/>
          <w:sz w:val="20"/>
        </w:rPr>
        <w:t> </w:t>
      </w:r>
      <w:r>
        <w:rPr>
          <w:sz w:val="20"/>
        </w:rPr>
        <w:t>el</w:t>
      </w:r>
      <w:r>
        <w:rPr>
          <w:spacing w:val="42"/>
          <w:sz w:val="20"/>
        </w:rPr>
        <w:t> </w:t>
      </w:r>
      <w:r>
        <w:rPr>
          <w:spacing w:val="-4"/>
          <w:sz w:val="20"/>
        </w:rPr>
        <w:t>2025</w:t>
      </w:r>
    </w:p>
    <w:p>
      <w:pPr>
        <w:pStyle w:val="BodyText"/>
        <w:spacing w:before="140"/>
        <w:rPr>
          <w:sz w:val="20"/>
        </w:rPr>
      </w:pPr>
    </w:p>
    <w:p>
      <w:pPr>
        <w:pStyle w:val="Heading3"/>
        <w:spacing w:line="276" w:lineRule="auto"/>
      </w:pPr>
      <w:r>
        <w:rPr/>
        <w:t>TRÁMITE DE ALEGACIONES AL ANTEPROYECTO DE INFORME DE FISCALIZACIÓN SOBRE</w:t>
      </w:r>
      <w:r>
        <w:rPr>
          <w:spacing w:val="-9"/>
        </w:rPr>
        <w:t> </w:t>
      </w:r>
      <w:r>
        <w:rPr/>
        <w:t>LAS</w:t>
      </w:r>
      <w:r>
        <w:rPr>
          <w:spacing w:val="-9"/>
        </w:rPr>
        <w:t> </w:t>
      </w:r>
      <w:r>
        <w:rPr/>
        <w:t>MEDIDAS</w:t>
      </w:r>
      <w:r>
        <w:rPr>
          <w:spacing w:val="-10"/>
        </w:rPr>
        <w:t> </w:t>
      </w:r>
      <w:r>
        <w:rPr/>
        <w:t>ADOPTADAS</w:t>
      </w:r>
      <w:r>
        <w:rPr>
          <w:spacing w:val="-10"/>
        </w:rPr>
        <w:t> </w:t>
      </w:r>
      <w:r>
        <w:rPr/>
        <w:t>POR</w:t>
      </w:r>
      <w:r>
        <w:rPr>
          <w:spacing w:val="-11"/>
        </w:rPr>
        <w:t> </w:t>
      </w:r>
      <w:r>
        <w:rPr/>
        <w:t>LAS</w:t>
      </w:r>
      <w:r>
        <w:rPr>
          <w:spacing w:val="-10"/>
        </w:rPr>
        <w:t> </w:t>
      </w:r>
      <w:r>
        <w:rPr/>
        <w:t>ENTIDADES</w:t>
      </w:r>
      <w:r>
        <w:rPr>
          <w:spacing w:val="-10"/>
        </w:rPr>
        <w:t> </w:t>
      </w:r>
      <w:r>
        <w:rPr/>
        <w:t>LOCALES</w:t>
      </w:r>
      <w:r>
        <w:rPr>
          <w:spacing w:val="-11"/>
        </w:rPr>
        <w:t> </w:t>
      </w:r>
      <w:r>
        <w:rPr/>
        <w:t>PARA</w:t>
      </w:r>
      <w:r>
        <w:rPr>
          <w:spacing w:val="-9"/>
        </w:rPr>
        <w:t> </w:t>
      </w:r>
      <w:r>
        <w:rPr/>
        <w:t>LOGRAR UNA MOVILIDAD SOSTENIBLE EN EL TRANSPORTE PÚBLICO COLECTIVO, EJERCICIOS 2023 Y 2024</w:t>
      </w:r>
    </w:p>
    <w:p>
      <w:pPr>
        <w:pStyle w:val="BodyText"/>
        <w:spacing w:before="83"/>
        <w:rPr>
          <w:b/>
          <w:sz w:val="24"/>
        </w:rPr>
      </w:pPr>
    </w:p>
    <w:p>
      <w:pPr>
        <w:spacing w:before="1"/>
        <w:ind w:left="799" w:right="0" w:firstLine="0"/>
        <w:jc w:val="center"/>
        <w:rPr>
          <w:b/>
          <w:sz w:val="20"/>
        </w:rPr>
      </w:pPr>
      <w:r>
        <w:rPr>
          <w:b/>
          <w:sz w:val="20"/>
        </w:rPr>
        <w:t>FORMULARIO</w:t>
      </w:r>
      <w:r>
        <w:rPr>
          <w:b/>
          <w:spacing w:val="-9"/>
          <w:sz w:val="20"/>
        </w:rPr>
        <w:t> </w:t>
      </w:r>
      <w:r>
        <w:rPr>
          <w:b/>
          <w:sz w:val="20"/>
        </w:rPr>
        <w:t>1:</w:t>
      </w:r>
      <w:r>
        <w:rPr>
          <w:b/>
          <w:spacing w:val="40"/>
          <w:sz w:val="20"/>
        </w:rPr>
        <w:t> </w:t>
      </w:r>
      <w:r>
        <w:rPr>
          <w:b/>
          <w:spacing w:val="-2"/>
          <w:sz w:val="20"/>
        </w:rPr>
        <w:t>IDENTIFICACIÓN</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796224">
                <wp:simplePos x="0" y="0"/>
                <wp:positionH relativeFrom="page">
                  <wp:posOffset>905255</wp:posOffset>
                </wp:positionH>
                <wp:positionV relativeFrom="paragraph">
                  <wp:posOffset>160191</wp:posOffset>
                </wp:positionV>
                <wp:extent cx="1580515" cy="1270"/>
                <wp:effectExtent l="0" t="0" r="0" b="0"/>
                <wp:wrapTopAndBottom/>
                <wp:docPr id="2162" name="Graphic 2162"/>
                <wp:cNvGraphicFramePr>
                  <a:graphicFrameLocks/>
                </wp:cNvGraphicFramePr>
                <a:graphic>
                  <a:graphicData uri="http://schemas.microsoft.com/office/word/2010/wordprocessingShape">
                    <wps:wsp>
                      <wps:cNvPr id="2162" name="Graphic 2162"/>
                      <wps:cNvSpPr/>
                      <wps:spPr>
                        <a:xfrm>
                          <a:off x="0" y="0"/>
                          <a:ext cx="1580515" cy="1270"/>
                        </a:xfrm>
                        <a:custGeom>
                          <a:avLst/>
                          <a:gdLst/>
                          <a:ahLst/>
                          <a:cxnLst/>
                          <a:rect l="l" t="t" r="r" b="b"/>
                          <a:pathLst>
                            <a:path w="1580515" h="0">
                              <a:moveTo>
                                <a:pt x="0" y="0"/>
                              </a:moveTo>
                              <a:lnTo>
                                <a:pt x="1580387"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13465pt;width:124.45pt;height:.1pt;mso-position-horizontal-relative:page;mso-position-vertical-relative:paragraph;z-index:-15520256;mso-wrap-distance-left:0;mso-wrap-distance-right:0" id="docshape1553" coordorigin="1426,252" coordsize="2489,0" path="m1426,252l3914,252e" filled="false" stroked="true" strokeweight=".72pt" strokecolor="#000000">
                <v:path arrowok="t"/>
                <v:stroke dashstyle="solid"/>
                <w10:wrap type="topAndBottom"/>
              </v:shape>
            </w:pict>
          </mc:Fallback>
        </mc:AlternateContent>
      </w:r>
      <w:r>
        <w:rPr>
          <w:b/>
          <w:spacing w:val="-2"/>
          <w:sz w:val="20"/>
        </w:rPr>
        <w:t>Identificación</w:t>
      </w:r>
      <w:r>
        <w:rPr>
          <w:b/>
          <w:spacing w:val="2"/>
          <w:sz w:val="20"/>
        </w:rPr>
        <w:t> </w:t>
      </w:r>
      <w:r>
        <w:rPr>
          <w:b/>
          <w:spacing w:val="-2"/>
          <w:sz w:val="20"/>
        </w:rPr>
        <w:t>del</w:t>
      </w:r>
      <w:r>
        <w:rPr>
          <w:b/>
          <w:spacing w:val="3"/>
          <w:sz w:val="20"/>
        </w:rPr>
        <w:t> </w:t>
      </w:r>
      <w:r>
        <w:rPr>
          <w:b/>
          <w:spacing w:val="-2"/>
          <w:sz w:val="20"/>
        </w:rPr>
        <w:t>alegante</w:t>
      </w:r>
    </w:p>
    <w:p>
      <w:pPr>
        <w:pStyle w:val="BodyText"/>
        <w:spacing w:before="146"/>
        <w:rPr>
          <w:b/>
          <w:sz w:val="20"/>
        </w:rPr>
      </w:pPr>
    </w:p>
    <w:p>
      <w:pPr>
        <w:spacing w:before="1"/>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9"/>
        <w:ind w:left="1284" w:right="0" w:firstLine="0"/>
        <w:jc w:val="left"/>
        <w:rPr>
          <w:b/>
          <w:sz w:val="20"/>
        </w:rPr>
      </w:pPr>
      <w:r>
        <w:rPr>
          <w:b/>
          <w:sz w:val="20"/>
        </w:rPr>
        <w:t>Jaime</w:t>
      </w:r>
      <w:r>
        <w:rPr>
          <w:b/>
          <w:spacing w:val="-13"/>
          <w:sz w:val="20"/>
        </w:rPr>
        <w:t> </w:t>
      </w:r>
      <w:r>
        <w:rPr>
          <w:b/>
          <w:sz w:val="20"/>
        </w:rPr>
        <w:t>Martinez</w:t>
      </w:r>
      <w:r>
        <w:rPr>
          <w:b/>
          <w:spacing w:val="-13"/>
          <w:sz w:val="20"/>
        </w:rPr>
        <w:t> </w:t>
      </w:r>
      <w:r>
        <w:rPr>
          <w:b/>
          <w:spacing w:val="-2"/>
          <w:sz w:val="20"/>
        </w:rPr>
        <w:t>Llabres</w:t>
      </w:r>
    </w:p>
    <w:p>
      <w:pPr>
        <w:pStyle w:val="BodyText"/>
        <w:spacing w:before="176"/>
        <w:rPr>
          <w:b/>
          <w:sz w:val="20"/>
        </w:rPr>
      </w:pPr>
    </w:p>
    <w:p>
      <w:pPr>
        <w:spacing w:before="0"/>
        <w:ind w:left="1284" w:right="0" w:firstLine="0"/>
        <w:jc w:val="left"/>
        <w:rPr>
          <w:sz w:val="20"/>
        </w:rPr>
      </w:pPr>
      <w:r>
        <w:rPr>
          <w:spacing w:val="-4"/>
          <w:sz w:val="20"/>
        </w:rPr>
        <w:t>DNI:</w:t>
      </w:r>
    </w:p>
    <w:p>
      <w:pPr>
        <w:pStyle w:val="BodyText"/>
        <w:spacing w:before="7"/>
        <w:rPr>
          <w:sz w:val="7"/>
        </w:rPr>
      </w:pPr>
      <w:r>
        <w:rPr>
          <w:sz w:val="7"/>
        </w:rPr>
        <mc:AlternateContent>
          <mc:Choice Requires="wps">
            <w:drawing>
              <wp:anchor distT="0" distB="0" distL="0" distR="0" allowOverlap="1" layoutInCell="1" locked="0" behindDoc="1" simplePos="0" relativeHeight="487796736">
                <wp:simplePos x="0" y="0"/>
                <wp:positionH relativeFrom="page">
                  <wp:posOffset>892530</wp:posOffset>
                </wp:positionH>
                <wp:positionV relativeFrom="paragraph">
                  <wp:posOffset>70877</wp:posOffset>
                </wp:positionV>
                <wp:extent cx="678180" cy="119380"/>
                <wp:effectExtent l="0" t="0" r="0" b="0"/>
                <wp:wrapTopAndBottom/>
                <wp:docPr id="2163" name="Graphic 2163"/>
                <wp:cNvGraphicFramePr>
                  <a:graphicFrameLocks/>
                </wp:cNvGraphicFramePr>
                <a:graphic>
                  <a:graphicData uri="http://schemas.microsoft.com/office/word/2010/wordprocessingShape">
                    <wps:wsp>
                      <wps:cNvPr id="2163" name="Graphic 2163"/>
                      <wps:cNvSpPr/>
                      <wps:spPr>
                        <a:xfrm>
                          <a:off x="0" y="0"/>
                          <a:ext cx="678180" cy="119380"/>
                        </a:xfrm>
                        <a:custGeom>
                          <a:avLst/>
                          <a:gdLst/>
                          <a:ahLst/>
                          <a:cxnLst/>
                          <a:rect l="l" t="t" r="r" b="b"/>
                          <a:pathLst>
                            <a:path w="678180" h="119380">
                              <a:moveTo>
                                <a:pt x="678091" y="0"/>
                              </a:moveTo>
                              <a:lnTo>
                                <a:pt x="0" y="0"/>
                              </a:lnTo>
                              <a:lnTo>
                                <a:pt x="0" y="119189"/>
                              </a:lnTo>
                              <a:lnTo>
                                <a:pt x="678091" y="119189"/>
                              </a:lnTo>
                              <a:lnTo>
                                <a:pt x="6780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580881pt;width:53.393pt;height:9.385pt;mso-position-horizontal-relative:page;mso-position-vertical-relative:paragraph;z-index:-15519744;mso-wrap-distance-left:0;mso-wrap-distance-right:0" id="docshape1554" filled="true" fillcolor="#000000" stroked="false">
                <v:fill type="solid"/>
                <w10:wrap type="topAndBottom"/>
              </v:rect>
            </w:pict>
          </mc:Fallback>
        </mc:AlternateContent>
      </w:r>
    </w:p>
    <w:p>
      <w:pPr>
        <w:pStyle w:val="BodyText"/>
        <w:spacing w:before="198"/>
        <w:rPr>
          <w:sz w:val="20"/>
        </w:rPr>
      </w:pPr>
    </w:p>
    <w:p>
      <w:pPr>
        <w:spacing w:before="0"/>
        <w:ind w:left="1284" w:right="0" w:firstLine="0"/>
        <w:jc w:val="left"/>
        <w:rPr>
          <w:sz w:val="20"/>
        </w:rPr>
      </w:pPr>
      <w:r>
        <w:rPr>
          <w:spacing w:val="-2"/>
          <w:sz w:val="20"/>
        </w:rPr>
        <w:t>Cargo:</w:t>
      </w:r>
    </w:p>
    <w:p>
      <w:pPr>
        <w:spacing w:before="87"/>
        <w:ind w:left="1284" w:right="0" w:firstLine="0"/>
        <w:jc w:val="left"/>
        <w:rPr>
          <w:b/>
          <w:sz w:val="20"/>
        </w:rPr>
      </w:pPr>
      <w:r>
        <w:rPr>
          <w:b/>
          <w:sz w:val="20"/>
        </w:rPr>
        <mc:AlternateContent>
          <mc:Choice Requires="wps">
            <w:drawing>
              <wp:anchor distT="0" distB="0" distL="0" distR="0" allowOverlap="1" layoutInCell="1" locked="0" behindDoc="0" simplePos="0" relativeHeight="15941120">
                <wp:simplePos x="0" y="0"/>
                <wp:positionH relativeFrom="page">
                  <wp:posOffset>244784</wp:posOffset>
                </wp:positionH>
                <wp:positionV relativeFrom="paragraph">
                  <wp:posOffset>164416</wp:posOffset>
                </wp:positionV>
                <wp:extent cx="138430" cy="2155190"/>
                <wp:effectExtent l="0" t="0" r="0" b="0"/>
                <wp:wrapNone/>
                <wp:docPr id="2164" name="Textbox 2164"/>
                <wp:cNvGraphicFramePr>
                  <a:graphicFrameLocks/>
                </wp:cNvGraphicFramePr>
                <a:graphic>
                  <a:graphicData uri="http://schemas.microsoft.com/office/word/2010/wordprocessingShape">
                    <wps:wsp>
                      <wps:cNvPr id="2164" name="Textbox 2164"/>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12.94616pt;width:10.9pt;height:169.7pt;mso-position-horizontal-relative:page;mso-position-vertical-relative:paragraph;z-index:15941120" type="#_x0000_t202" id="docshape1555"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pacing w:val="-2"/>
          <w:sz w:val="20"/>
        </w:rPr>
        <w:t>Alcalde</w:t>
      </w:r>
    </w:p>
    <w:p>
      <w:pPr>
        <w:pStyle w:val="BodyText"/>
        <w:spacing w:before="178"/>
        <w:rPr>
          <w:b/>
          <w:sz w:val="20"/>
        </w:rPr>
      </w:pPr>
    </w:p>
    <w:p>
      <w:pPr>
        <w:spacing w:before="0"/>
        <w:ind w:left="1284" w:right="0" w:firstLine="0"/>
        <w:jc w:val="left"/>
        <w:rPr>
          <w:sz w:val="20"/>
        </w:rPr>
      </w:pPr>
      <w:r>
        <w:rPr>
          <w:spacing w:val="-2"/>
          <w:sz w:val="20"/>
        </w:rPr>
        <w:t>Entidad:</w:t>
      </w:r>
    </w:p>
    <w:p>
      <w:pPr>
        <w:spacing w:before="87"/>
        <w:ind w:left="1284" w:right="0" w:firstLine="0"/>
        <w:jc w:val="left"/>
        <w:rPr>
          <w:b/>
          <w:sz w:val="20"/>
        </w:rPr>
      </w:pPr>
      <w:r>
        <w:rPr>
          <w:b/>
          <w:sz w:val="20"/>
        </w:rPr>
        <w:t>Ayuntamiento</w:t>
      </w:r>
      <w:r>
        <w:rPr>
          <w:b/>
          <w:spacing w:val="-13"/>
          <w:sz w:val="20"/>
        </w:rPr>
        <w:t> </w:t>
      </w:r>
      <w:r>
        <w:rPr>
          <w:b/>
          <w:sz w:val="20"/>
        </w:rPr>
        <w:t>de</w:t>
      </w:r>
      <w:r>
        <w:rPr>
          <w:b/>
          <w:spacing w:val="-13"/>
          <w:sz w:val="20"/>
        </w:rPr>
        <w:t> </w:t>
      </w:r>
      <w:r>
        <w:rPr>
          <w:b/>
          <w:spacing w:val="-2"/>
          <w:sz w:val="20"/>
        </w:rPr>
        <w:t>Palma</w:t>
      </w:r>
    </w:p>
    <w:p>
      <w:pPr>
        <w:pStyle w:val="BodyText"/>
        <w:spacing w:before="178"/>
        <w:rPr>
          <w:b/>
          <w:sz w:val="20"/>
        </w:rPr>
      </w:pPr>
    </w:p>
    <w:p>
      <w:pPr>
        <w:spacing w:before="1"/>
        <w:ind w:left="1284" w:right="0" w:firstLine="0"/>
        <w:jc w:val="left"/>
        <w:rPr>
          <w:sz w:val="20"/>
        </w:rPr>
      </w:pPr>
      <w:r>
        <w:rPr>
          <w:sz w:val="20"/>
        </w:rPr>
        <mc:AlternateContent>
          <mc:Choice Requires="wps">
            <w:drawing>
              <wp:anchor distT="0" distB="0" distL="0" distR="0" allowOverlap="1" layoutInCell="1" locked="0" behindDoc="0" simplePos="0" relativeHeight="15941632">
                <wp:simplePos x="0" y="0"/>
                <wp:positionH relativeFrom="page">
                  <wp:posOffset>344030</wp:posOffset>
                </wp:positionH>
                <wp:positionV relativeFrom="paragraph">
                  <wp:posOffset>148270</wp:posOffset>
                </wp:positionV>
                <wp:extent cx="163830" cy="2880995"/>
                <wp:effectExtent l="0" t="0" r="0" b="0"/>
                <wp:wrapNone/>
                <wp:docPr id="2165" name="Graphic 2165"/>
                <wp:cNvGraphicFramePr>
                  <a:graphicFrameLocks/>
                </wp:cNvGraphicFramePr>
                <a:graphic>
                  <a:graphicData uri="http://schemas.microsoft.com/office/word/2010/wordprocessingShape">
                    <wps:wsp>
                      <wps:cNvPr id="2165" name="Graphic 2165"/>
                      <wps:cNvSpPr/>
                      <wps:spPr>
                        <a:xfrm>
                          <a:off x="0" y="0"/>
                          <a:ext cx="163830" cy="2880995"/>
                        </a:xfrm>
                        <a:custGeom>
                          <a:avLst/>
                          <a:gdLst/>
                          <a:ahLst/>
                          <a:cxnLst/>
                          <a:rect l="l" t="t" r="r" b="b"/>
                          <a:pathLst>
                            <a:path w="163830" h="2880995">
                              <a:moveTo>
                                <a:pt x="163258" y="0"/>
                              </a:moveTo>
                              <a:lnTo>
                                <a:pt x="0" y="0"/>
                              </a:lnTo>
                              <a:lnTo>
                                <a:pt x="0" y="2880741"/>
                              </a:lnTo>
                              <a:lnTo>
                                <a:pt x="163258" y="2880741"/>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11.674839pt;width:12.855pt;height:226.83pt;mso-position-horizontal-relative:page;mso-position-vertical-relative:paragraph;z-index:15941632" id="docshape1556" filled="true" fillcolor="#000000" stroked="false">
                <v:fill type="solid"/>
                <w10:wrap type="none"/>
              </v:rect>
            </w:pict>
          </mc:Fallback>
        </mc:AlternateContent>
      </w:r>
      <w:r>
        <w:rPr>
          <w:spacing w:val="-2"/>
          <w:sz w:val="20"/>
        </w:rPr>
        <w:t>Periodo:</w:t>
      </w:r>
    </w:p>
    <w:p>
      <w:pPr>
        <w:spacing w:before="89"/>
        <w:ind w:left="1284" w:right="0" w:firstLine="0"/>
        <w:jc w:val="left"/>
        <w:rPr>
          <w:b/>
          <w:sz w:val="20"/>
        </w:rPr>
      </w:pPr>
      <w:r>
        <w:rPr>
          <w:b/>
          <w:sz w:val="20"/>
        </w:rPr>
        <mc:AlternateContent>
          <mc:Choice Requires="wps">
            <w:drawing>
              <wp:anchor distT="0" distB="0" distL="0" distR="0" allowOverlap="1" layoutInCell="1" locked="0" behindDoc="0" simplePos="0" relativeHeight="15940096">
                <wp:simplePos x="0" y="0"/>
                <wp:positionH relativeFrom="page">
                  <wp:posOffset>130383</wp:posOffset>
                </wp:positionH>
                <wp:positionV relativeFrom="paragraph">
                  <wp:posOffset>192347</wp:posOffset>
                </wp:positionV>
                <wp:extent cx="138430" cy="2952750"/>
                <wp:effectExtent l="0" t="0" r="0" b="0"/>
                <wp:wrapNone/>
                <wp:docPr id="2166" name="Textbox 2166"/>
                <wp:cNvGraphicFramePr>
                  <a:graphicFrameLocks/>
                </wp:cNvGraphicFramePr>
                <a:graphic>
                  <a:graphicData uri="http://schemas.microsoft.com/office/word/2010/wordprocessingShape">
                    <wps:wsp>
                      <wps:cNvPr id="2166" name="Textbox 2166"/>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5.145508pt;width:10.9pt;height:232.5pt;mso-position-horizontal-relative:page;mso-position-vertical-relative:paragraph;z-index:15940096" type="#_x0000_t202" id="docshape1557"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pacing w:val="-4"/>
          <w:sz w:val="20"/>
        </w:rPr>
        <w:t>2023-2027</w:t>
      </w:r>
    </w:p>
    <w:p>
      <w:pPr>
        <w:pStyle w:val="BodyText"/>
        <w:spacing w:before="176"/>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4"/>
        <w:rPr>
          <w:sz w:val="7"/>
        </w:rPr>
      </w:pPr>
      <w:r>
        <w:rPr>
          <w:sz w:val="7"/>
        </w:rPr>
        <mc:AlternateContent>
          <mc:Choice Requires="wps">
            <w:drawing>
              <wp:anchor distT="0" distB="0" distL="0" distR="0" allowOverlap="1" layoutInCell="1" locked="0" behindDoc="1" simplePos="0" relativeHeight="487797248">
                <wp:simplePos x="0" y="0"/>
                <wp:positionH relativeFrom="page">
                  <wp:posOffset>892530</wp:posOffset>
                </wp:positionH>
                <wp:positionV relativeFrom="paragraph">
                  <wp:posOffset>69516</wp:posOffset>
                </wp:positionV>
                <wp:extent cx="1019810" cy="145415"/>
                <wp:effectExtent l="0" t="0" r="0" b="0"/>
                <wp:wrapTopAndBottom/>
                <wp:docPr id="2167" name="Graphic 2167"/>
                <wp:cNvGraphicFramePr>
                  <a:graphicFrameLocks/>
                </wp:cNvGraphicFramePr>
                <a:graphic>
                  <a:graphicData uri="http://schemas.microsoft.com/office/word/2010/wordprocessingShape">
                    <wps:wsp>
                      <wps:cNvPr id="2167" name="Graphic 2167"/>
                      <wps:cNvSpPr/>
                      <wps:spPr>
                        <a:xfrm>
                          <a:off x="0" y="0"/>
                          <a:ext cx="1019810" cy="145415"/>
                        </a:xfrm>
                        <a:custGeom>
                          <a:avLst/>
                          <a:gdLst/>
                          <a:ahLst/>
                          <a:cxnLst/>
                          <a:rect l="l" t="t" r="r" b="b"/>
                          <a:pathLst>
                            <a:path w="1019810" h="145415">
                              <a:moveTo>
                                <a:pt x="1019594" y="0"/>
                              </a:moveTo>
                              <a:lnTo>
                                <a:pt x="879005" y="0"/>
                              </a:lnTo>
                              <a:lnTo>
                                <a:pt x="853605" y="0"/>
                              </a:lnTo>
                              <a:lnTo>
                                <a:pt x="0" y="0"/>
                              </a:lnTo>
                              <a:lnTo>
                                <a:pt x="0" y="145351"/>
                              </a:lnTo>
                              <a:lnTo>
                                <a:pt x="853605" y="145351"/>
                              </a:lnTo>
                              <a:lnTo>
                                <a:pt x="879005" y="145351"/>
                              </a:lnTo>
                              <a:lnTo>
                                <a:pt x="1019594" y="145351"/>
                              </a:lnTo>
                              <a:lnTo>
                                <a:pt x="10195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0.278pt;margin-top:5.473729pt;width:80.3pt;height:11.45pt;mso-position-horizontal-relative:page;mso-position-vertical-relative:paragraph;z-index:-15519232;mso-wrap-distance-left:0;mso-wrap-distance-right:0" id="docshape1558" coordorigin="1406,109" coordsize="1606,229" path="m3011,109l2790,109,2750,109,1406,109,1406,338,2750,338,2790,338,3011,338,3011,109xe" filled="true" fillcolor="#000000" stroked="false">
                <v:path arrowok="t"/>
                <v:fill type="solid"/>
                <w10:wrap type="topAndBottom"/>
              </v:shape>
            </w:pict>
          </mc:Fallback>
        </mc:AlternateContent>
      </w:r>
    </w:p>
    <w:p>
      <w:pPr>
        <w:pStyle w:val="BodyText"/>
        <w:spacing w:before="156"/>
        <w:rPr>
          <w:sz w:val="20"/>
        </w:rPr>
      </w:pPr>
    </w:p>
    <w:p>
      <w:pPr>
        <w:spacing w:line="333" w:lineRule="auto" w:before="1"/>
        <w:ind w:left="1284" w:right="496" w:firstLine="0"/>
        <w:jc w:val="left"/>
        <w:rPr>
          <w:sz w:val="20"/>
        </w:rPr>
      </w:pPr>
      <w:r>
        <w:rPr>
          <w:sz w:val="20"/>
        </w:rPr>
        <mc:AlternateContent>
          <mc:Choice Requires="wps">
            <w:drawing>
              <wp:anchor distT="0" distB="0" distL="0" distR="0" allowOverlap="1" layoutInCell="1" locked="0" behindDoc="0" simplePos="0" relativeHeight="15940608">
                <wp:simplePos x="0" y="0"/>
                <wp:positionH relativeFrom="page">
                  <wp:posOffset>244784</wp:posOffset>
                </wp:positionH>
                <wp:positionV relativeFrom="paragraph">
                  <wp:posOffset>334460</wp:posOffset>
                </wp:positionV>
                <wp:extent cx="251460" cy="1744345"/>
                <wp:effectExtent l="0" t="0" r="0" b="0"/>
                <wp:wrapNone/>
                <wp:docPr id="2168" name="Textbox 2168"/>
                <wp:cNvGraphicFramePr>
                  <a:graphicFrameLocks/>
                </wp:cNvGraphicFramePr>
                <a:graphic>
                  <a:graphicData uri="http://schemas.microsoft.com/office/word/2010/wordprocessingShape">
                    <wps:wsp>
                      <wps:cNvPr id="2168" name="Textbox 2168"/>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26.335438pt;width:19.8pt;height:137.35pt;mso-position-horizontal-relative:page;mso-position-vertical-relative:paragraph;z-index:15940608" type="#_x0000_t202" id="docshape1559"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sz w:val="20"/>
        </w:rPr>
        <w:t>En</w:t>
      </w:r>
      <w:r>
        <w:rPr>
          <w:spacing w:val="-5"/>
          <w:sz w:val="20"/>
        </w:rPr>
        <w:t> </w:t>
      </w:r>
      <w:r>
        <w:rPr>
          <w:sz w:val="20"/>
        </w:rPr>
        <w:t>caso</w:t>
      </w:r>
      <w:r>
        <w:rPr>
          <w:spacing w:val="-6"/>
          <w:sz w:val="20"/>
        </w:rPr>
        <w:t> </w:t>
      </w:r>
      <w:r>
        <w:rPr>
          <w:sz w:val="20"/>
        </w:rPr>
        <w:t>de</w:t>
      </w:r>
      <w:r>
        <w:rPr>
          <w:spacing w:val="-3"/>
          <w:sz w:val="20"/>
        </w:rPr>
        <w:t> </w:t>
      </w:r>
      <w:r>
        <w:rPr>
          <w:sz w:val="20"/>
        </w:rPr>
        <w:t>que</w:t>
      </w:r>
      <w:r>
        <w:rPr>
          <w:spacing w:val="-5"/>
          <w:sz w:val="20"/>
        </w:rPr>
        <w:t> </w:t>
      </w:r>
      <w:r>
        <w:rPr>
          <w:sz w:val="20"/>
        </w:rPr>
        <w:t>el</w:t>
      </w:r>
      <w:r>
        <w:rPr>
          <w:spacing w:val="-7"/>
          <w:sz w:val="20"/>
        </w:rPr>
        <w:t> </w:t>
      </w:r>
      <w:r>
        <w:rPr>
          <w:sz w:val="20"/>
        </w:rPr>
        <w:t>Presidente/Expresidente</w:t>
      </w:r>
      <w:r>
        <w:rPr>
          <w:spacing w:val="-5"/>
          <w:sz w:val="20"/>
        </w:rPr>
        <w:t> </w:t>
      </w:r>
      <w:r>
        <w:rPr>
          <w:sz w:val="20"/>
        </w:rPr>
        <w:t>de</w:t>
      </w:r>
      <w:r>
        <w:rPr>
          <w:spacing w:val="-5"/>
          <w:sz w:val="20"/>
        </w:rPr>
        <w:t> </w:t>
      </w:r>
      <w:r>
        <w:rPr>
          <w:sz w:val="20"/>
        </w:rPr>
        <w:t>la</w:t>
      </w:r>
      <w:r>
        <w:rPr>
          <w:spacing w:val="-3"/>
          <w:sz w:val="20"/>
        </w:rPr>
        <w:t> </w:t>
      </w:r>
      <w:r>
        <w:rPr>
          <w:sz w:val="20"/>
        </w:rPr>
        <w:t>entidad</w:t>
      </w:r>
      <w:r>
        <w:rPr>
          <w:spacing w:val="-1"/>
          <w:sz w:val="20"/>
        </w:rPr>
        <w:t> </w:t>
      </w:r>
      <w:r>
        <w:rPr>
          <w:sz w:val="20"/>
        </w:rPr>
        <w:t>no</w:t>
      </w:r>
      <w:r>
        <w:rPr>
          <w:spacing w:val="-5"/>
          <w:sz w:val="20"/>
        </w:rPr>
        <w:t> </w:t>
      </w:r>
      <w:r>
        <w:rPr>
          <w:sz w:val="20"/>
        </w:rPr>
        <w:t>sea</w:t>
      </w:r>
      <w:r>
        <w:rPr>
          <w:spacing w:val="-3"/>
          <w:sz w:val="20"/>
        </w:rPr>
        <w:t> </w:t>
      </w:r>
      <w:r>
        <w:rPr>
          <w:sz w:val="20"/>
        </w:rPr>
        <w:t>quien</w:t>
      </w:r>
      <w:r>
        <w:rPr>
          <w:spacing w:val="-5"/>
          <w:sz w:val="20"/>
        </w:rPr>
        <w:t> </w:t>
      </w:r>
      <w:r>
        <w:rPr>
          <w:sz w:val="20"/>
        </w:rPr>
        <w:t>vaya</w:t>
      </w:r>
      <w:r>
        <w:rPr>
          <w:spacing w:val="-4"/>
          <w:sz w:val="20"/>
        </w:rPr>
        <w:t> </w:t>
      </w:r>
      <w:r>
        <w:rPr>
          <w:sz w:val="20"/>
        </w:rPr>
        <w:t>a</w:t>
      </w:r>
      <w:r>
        <w:rPr>
          <w:spacing w:val="-5"/>
          <w:sz w:val="20"/>
        </w:rPr>
        <w:t> </w:t>
      </w:r>
      <w:r>
        <w:rPr>
          <w:sz w:val="20"/>
        </w:rPr>
        <w:t>firmar</w:t>
      </w:r>
      <w:r>
        <w:rPr>
          <w:spacing w:val="-5"/>
          <w:sz w:val="20"/>
        </w:rPr>
        <w:t> </w:t>
      </w:r>
      <w:r>
        <w:rPr>
          <w:sz w:val="20"/>
        </w:rPr>
        <w:t>el</w:t>
      </w:r>
      <w:r>
        <w:rPr>
          <w:spacing w:val="-5"/>
          <w:sz w:val="20"/>
        </w:rPr>
        <w:t> </w:t>
      </w:r>
      <w:r>
        <w:rPr>
          <w:sz w:val="20"/>
        </w:rPr>
        <w:t>envío</w:t>
      </w:r>
      <w:r>
        <w:rPr>
          <w:spacing w:val="-6"/>
          <w:sz w:val="20"/>
        </w:rPr>
        <w:t> </w:t>
      </w:r>
      <w:r>
        <w:rPr>
          <w:sz w:val="20"/>
        </w:rPr>
        <w:t>telemático</w:t>
      </w:r>
      <w:r>
        <w:rPr>
          <w:spacing w:val="-6"/>
          <w:sz w:val="20"/>
        </w:rPr>
        <w:t> </w:t>
      </w:r>
      <w:r>
        <w:rPr>
          <w:sz w:val="20"/>
        </w:rPr>
        <w:t>de</w:t>
      </w:r>
      <w:r>
        <w:rPr>
          <w:spacing w:val="-5"/>
          <w:sz w:val="20"/>
        </w:rPr>
        <w:t> </w:t>
      </w:r>
      <w:r>
        <w:rPr>
          <w:sz w:val="20"/>
        </w:rPr>
        <w:t>las alegaciones marque "No" y cumplimente la información identificativa del representante. En otro caso marque </w:t>
      </w:r>
      <w:r>
        <w:rPr>
          <w:spacing w:val="-2"/>
          <w:sz w:val="20"/>
        </w:rPr>
        <w:t>"Sí".</w:t>
      </w:r>
    </w:p>
    <w:p>
      <w:pPr>
        <w:spacing w:line="226" w:lineRule="exact" w:before="0"/>
        <w:ind w:left="1284" w:right="0" w:firstLine="0"/>
        <w:jc w:val="left"/>
        <w:rPr>
          <w:b/>
          <w:sz w:val="20"/>
        </w:rPr>
      </w:pPr>
      <w:r>
        <w:rPr>
          <w:b/>
          <w:spacing w:val="-5"/>
          <w:sz w:val="20"/>
        </w:rPr>
        <w:t>No</w:t>
      </w:r>
    </w:p>
    <w:p>
      <w:pPr>
        <w:pStyle w:val="BodyText"/>
        <w:rPr>
          <w:b/>
          <w:sz w:val="20"/>
        </w:rPr>
      </w:pPr>
    </w:p>
    <w:p>
      <w:pPr>
        <w:pStyle w:val="BodyText"/>
        <w:rPr>
          <w:b/>
          <w:sz w:val="20"/>
        </w:rPr>
      </w:pPr>
    </w:p>
    <w:p>
      <w:pPr>
        <w:pStyle w:val="BodyText"/>
        <w:spacing w:before="35"/>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797760">
                <wp:simplePos x="0" y="0"/>
                <wp:positionH relativeFrom="page">
                  <wp:posOffset>905255</wp:posOffset>
                </wp:positionH>
                <wp:positionV relativeFrom="paragraph">
                  <wp:posOffset>161695</wp:posOffset>
                </wp:positionV>
                <wp:extent cx="3141345" cy="1270"/>
                <wp:effectExtent l="0" t="0" r="0" b="0"/>
                <wp:wrapTopAndBottom/>
                <wp:docPr id="2169" name="Graphic 2169"/>
                <wp:cNvGraphicFramePr>
                  <a:graphicFrameLocks/>
                </wp:cNvGraphicFramePr>
                <a:graphic>
                  <a:graphicData uri="http://schemas.microsoft.com/office/word/2010/wordprocessingShape">
                    <wps:wsp>
                      <wps:cNvPr id="2169" name="Graphic 2169"/>
                      <wps:cNvSpPr/>
                      <wps:spPr>
                        <a:xfrm>
                          <a:off x="0" y="0"/>
                          <a:ext cx="3141345" cy="1270"/>
                        </a:xfrm>
                        <a:custGeom>
                          <a:avLst/>
                          <a:gdLst/>
                          <a:ahLst/>
                          <a:cxnLst/>
                          <a:rect l="l" t="t" r="r" b="b"/>
                          <a:pathLst>
                            <a:path w="3141345" h="0">
                              <a:moveTo>
                                <a:pt x="0" y="0"/>
                              </a:moveTo>
                              <a:lnTo>
                                <a:pt x="3140963"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731891pt;width:247.35pt;height:.1pt;mso-position-horizontal-relative:page;mso-position-vertical-relative:paragraph;z-index:-15518720;mso-wrap-distance-left:0;mso-wrap-distance-right:0" id="docshape1560" coordorigin="1426,255" coordsize="4947,0" path="m1426,255l6372,255e" filled="false" stroked="true" strokeweight=".72pt" strokecolor="#000000">
                <v:path arrowok="t"/>
                <v:stroke dashstyle="solid"/>
                <w10:wrap type="topAndBottom"/>
              </v:shape>
            </w:pict>
          </mc:Fallback>
        </mc:AlternateContent>
      </w:r>
      <w:r>
        <w:rPr>
          <w:b/>
          <w:sz w:val="20"/>
        </w:rPr>
        <w:t>Identificación</w:t>
      </w:r>
      <w:r>
        <w:rPr>
          <w:b/>
          <w:spacing w:val="-12"/>
          <w:sz w:val="20"/>
        </w:rPr>
        <w:t> </w:t>
      </w:r>
      <w:r>
        <w:rPr>
          <w:b/>
          <w:sz w:val="20"/>
        </w:rPr>
        <w:t>de</w:t>
      </w:r>
      <w:r>
        <w:rPr>
          <w:b/>
          <w:spacing w:val="-10"/>
          <w:sz w:val="20"/>
        </w:rPr>
        <w:t> </w:t>
      </w:r>
      <w:r>
        <w:rPr>
          <w:b/>
          <w:sz w:val="20"/>
        </w:rPr>
        <w:t>la</w:t>
      </w:r>
      <w:r>
        <w:rPr>
          <w:b/>
          <w:spacing w:val="-10"/>
          <w:sz w:val="20"/>
        </w:rPr>
        <w:t> </w:t>
      </w:r>
      <w:r>
        <w:rPr>
          <w:b/>
          <w:sz w:val="20"/>
        </w:rPr>
        <w:t>persona</w:t>
      </w:r>
      <w:r>
        <w:rPr>
          <w:b/>
          <w:spacing w:val="-11"/>
          <w:sz w:val="20"/>
        </w:rPr>
        <w:t> </w:t>
      </w:r>
      <w:r>
        <w:rPr>
          <w:b/>
          <w:sz w:val="20"/>
        </w:rPr>
        <w:t>autorizada</w:t>
      </w:r>
      <w:r>
        <w:rPr>
          <w:b/>
          <w:spacing w:val="-10"/>
          <w:sz w:val="20"/>
        </w:rPr>
        <w:t> </w:t>
      </w:r>
      <w:r>
        <w:rPr>
          <w:b/>
          <w:sz w:val="20"/>
        </w:rPr>
        <w:t>para</w:t>
      </w:r>
      <w:r>
        <w:rPr>
          <w:b/>
          <w:spacing w:val="-11"/>
          <w:sz w:val="20"/>
        </w:rPr>
        <w:t> </w:t>
      </w:r>
      <w:r>
        <w:rPr>
          <w:b/>
          <w:sz w:val="20"/>
        </w:rPr>
        <w:t>el</w:t>
      </w:r>
      <w:r>
        <w:rPr>
          <w:b/>
          <w:spacing w:val="-10"/>
          <w:sz w:val="20"/>
        </w:rPr>
        <w:t> </w:t>
      </w:r>
      <w:r>
        <w:rPr>
          <w:b/>
          <w:spacing w:val="-2"/>
          <w:sz w:val="20"/>
        </w:rPr>
        <w:t>envío</w:t>
      </w:r>
    </w:p>
    <w:p>
      <w:pPr>
        <w:pStyle w:val="BodyText"/>
        <w:spacing w:before="146"/>
        <w:rPr>
          <w:b/>
          <w:sz w:val="20"/>
        </w:rPr>
      </w:pPr>
    </w:p>
    <w:p>
      <w:pPr>
        <w:spacing w:before="0"/>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9"/>
        <w:ind w:left="1284" w:right="0" w:firstLine="0"/>
        <w:jc w:val="left"/>
        <w:rPr>
          <w:b/>
          <w:sz w:val="20"/>
        </w:rPr>
      </w:pPr>
      <w:r>
        <w:rPr>
          <w:b/>
          <w:sz w:val="20"/>
        </w:rPr>
        <w:t>Juan</w:t>
      </w:r>
      <w:r>
        <w:rPr>
          <w:b/>
          <w:spacing w:val="-9"/>
          <w:sz w:val="20"/>
        </w:rPr>
        <w:t> </w:t>
      </w:r>
      <w:r>
        <w:rPr>
          <w:b/>
          <w:sz w:val="20"/>
        </w:rPr>
        <w:t>José</w:t>
      </w:r>
      <w:r>
        <w:rPr>
          <w:b/>
          <w:spacing w:val="-8"/>
          <w:sz w:val="20"/>
        </w:rPr>
        <w:t> </w:t>
      </w:r>
      <w:r>
        <w:rPr>
          <w:b/>
          <w:sz w:val="20"/>
        </w:rPr>
        <w:t>Elías</w:t>
      </w:r>
      <w:r>
        <w:rPr>
          <w:b/>
          <w:spacing w:val="-8"/>
          <w:sz w:val="20"/>
        </w:rPr>
        <w:t> </w:t>
      </w:r>
      <w:r>
        <w:rPr>
          <w:b/>
          <w:spacing w:val="-4"/>
          <w:sz w:val="20"/>
        </w:rPr>
        <w:t>Perez</w:t>
      </w:r>
    </w:p>
    <w:p>
      <w:pPr>
        <w:pStyle w:val="BodyText"/>
        <w:spacing w:before="176"/>
        <w:rPr>
          <w:b/>
          <w:sz w:val="20"/>
        </w:rPr>
      </w:pPr>
    </w:p>
    <w:p>
      <w:pPr>
        <w:spacing w:before="0"/>
        <w:ind w:left="1284" w:right="0" w:firstLine="0"/>
        <w:jc w:val="left"/>
        <w:rPr>
          <w:sz w:val="20"/>
        </w:rPr>
      </w:pPr>
      <w:r>
        <w:rPr>
          <w:spacing w:val="-4"/>
          <w:sz w:val="20"/>
        </w:rPr>
        <w:t>DNI:</w:t>
      </w:r>
    </w:p>
    <w:p>
      <w:pPr>
        <w:pStyle w:val="BodyText"/>
        <w:spacing w:before="7"/>
        <w:rPr>
          <w:sz w:val="7"/>
        </w:rPr>
      </w:pPr>
      <w:r>
        <w:rPr>
          <w:sz w:val="7"/>
        </w:rPr>
        <mc:AlternateContent>
          <mc:Choice Requires="wps">
            <w:drawing>
              <wp:anchor distT="0" distB="0" distL="0" distR="0" allowOverlap="1" layoutInCell="1" locked="0" behindDoc="1" simplePos="0" relativeHeight="487798272">
                <wp:simplePos x="0" y="0"/>
                <wp:positionH relativeFrom="page">
                  <wp:posOffset>892530</wp:posOffset>
                </wp:positionH>
                <wp:positionV relativeFrom="paragraph">
                  <wp:posOffset>70798</wp:posOffset>
                </wp:positionV>
                <wp:extent cx="671195" cy="119380"/>
                <wp:effectExtent l="0" t="0" r="0" b="0"/>
                <wp:wrapTopAndBottom/>
                <wp:docPr id="2170" name="Graphic 2170"/>
                <wp:cNvGraphicFramePr>
                  <a:graphicFrameLocks/>
                </wp:cNvGraphicFramePr>
                <a:graphic>
                  <a:graphicData uri="http://schemas.microsoft.com/office/word/2010/wordprocessingShape">
                    <wps:wsp>
                      <wps:cNvPr id="2170" name="Graphic 2170"/>
                      <wps:cNvSpPr/>
                      <wps:spPr>
                        <a:xfrm>
                          <a:off x="0" y="0"/>
                          <a:ext cx="671195" cy="119380"/>
                        </a:xfrm>
                        <a:custGeom>
                          <a:avLst/>
                          <a:gdLst/>
                          <a:ahLst/>
                          <a:cxnLst/>
                          <a:rect l="l" t="t" r="r" b="b"/>
                          <a:pathLst>
                            <a:path w="671195" h="119380">
                              <a:moveTo>
                                <a:pt x="671004" y="0"/>
                              </a:moveTo>
                              <a:lnTo>
                                <a:pt x="0" y="0"/>
                              </a:lnTo>
                              <a:lnTo>
                                <a:pt x="0" y="119062"/>
                              </a:lnTo>
                              <a:lnTo>
                                <a:pt x="671004" y="119062"/>
                              </a:lnTo>
                              <a:lnTo>
                                <a:pt x="6710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574658pt;width:52.835pt;height:9.375pt;mso-position-horizontal-relative:page;mso-position-vertical-relative:paragraph;z-index:-15518208;mso-wrap-distance-left:0;mso-wrap-distance-right:0" id="docshape1561" filled="true" fillcolor="#000000" stroked="false">
                <v:fill type="solid"/>
                <w10:wrap type="topAndBottom"/>
              </v:rect>
            </w:pict>
          </mc:Fallback>
        </mc:AlternateContent>
      </w:r>
    </w:p>
    <w:p>
      <w:pPr>
        <w:pStyle w:val="BodyText"/>
        <w:spacing w:after="0"/>
        <w:rPr>
          <w:sz w:val="7"/>
        </w:rPr>
        <w:sectPr>
          <w:headerReference w:type="default" r:id="rId355"/>
          <w:headerReference w:type="even" r:id="rId356"/>
          <w:footerReference w:type="default" r:id="rId357"/>
          <w:footerReference w:type="even" r:id="rId358"/>
          <w:pgSz w:w="11910" w:h="16840"/>
          <w:pgMar w:header="314" w:footer="481" w:top="1240" w:bottom="680" w:left="141" w:right="141"/>
          <w:pgNumType w:start="1"/>
        </w:sectPr>
      </w:pPr>
    </w:p>
    <w:p>
      <w:pPr>
        <w:pStyle w:val="BodyText"/>
        <w:rPr>
          <w:sz w:val="20"/>
        </w:rPr>
      </w:pPr>
    </w:p>
    <w:p>
      <w:pPr>
        <w:pStyle w:val="BodyText"/>
        <w:rPr>
          <w:sz w:val="20"/>
        </w:rPr>
      </w:pPr>
    </w:p>
    <w:p>
      <w:pPr>
        <w:pStyle w:val="BodyText"/>
        <w:spacing w:before="149"/>
        <w:rPr>
          <w:sz w:val="20"/>
        </w:rPr>
      </w:pPr>
    </w:p>
    <w:p>
      <w:pPr>
        <w:spacing w:before="0"/>
        <w:ind w:left="1284" w:right="0" w:firstLine="0"/>
        <w:jc w:val="left"/>
        <w:rPr>
          <w:sz w:val="20"/>
        </w:rPr>
      </w:pPr>
      <w:r>
        <w:rPr>
          <w:spacing w:val="-2"/>
          <w:sz w:val="20"/>
        </w:rPr>
        <w:t>Cargo:</w:t>
      </w:r>
    </w:p>
    <w:p>
      <w:pPr>
        <w:spacing w:before="89"/>
        <w:ind w:left="1284" w:right="0" w:firstLine="0"/>
        <w:jc w:val="left"/>
        <w:rPr>
          <w:b/>
          <w:sz w:val="20"/>
        </w:rPr>
      </w:pPr>
      <w:r>
        <w:rPr>
          <w:b/>
          <w:sz w:val="20"/>
        </w:rPr>
        <w:t>Director</w:t>
      </w:r>
      <w:r>
        <w:rPr>
          <w:b/>
          <w:spacing w:val="-11"/>
          <w:sz w:val="20"/>
        </w:rPr>
        <w:t> </w:t>
      </w:r>
      <w:r>
        <w:rPr>
          <w:b/>
          <w:sz w:val="20"/>
        </w:rPr>
        <w:t>Gerente</w:t>
      </w:r>
      <w:r>
        <w:rPr>
          <w:b/>
          <w:spacing w:val="-12"/>
          <w:sz w:val="20"/>
        </w:rPr>
        <w:t> </w:t>
      </w:r>
      <w:r>
        <w:rPr>
          <w:b/>
          <w:sz w:val="20"/>
        </w:rPr>
        <w:t>EMT</w:t>
      </w:r>
      <w:r>
        <w:rPr>
          <w:b/>
          <w:spacing w:val="-13"/>
          <w:sz w:val="20"/>
        </w:rPr>
        <w:t> </w:t>
      </w:r>
      <w:r>
        <w:rPr>
          <w:b/>
          <w:spacing w:val="-2"/>
          <w:sz w:val="20"/>
        </w:rPr>
        <w:t>Palma</w:t>
      </w:r>
    </w:p>
    <w:p>
      <w:pPr>
        <w:pStyle w:val="BodyText"/>
        <w:spacing w:before="176"/>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5"/>
        <w:rPr>
          <w:sz w:val="7"/>
        </w:rPr>
      </w:pPr>
      <w:r>
        <w:rPr>
          <w:sz w:val="7"/>
        </w:rPr>
        <mc:AlternateContent>
          <mc:Choice Requires="wps">
            <w:drawing>
              <wp:anchor distT="0" distB="0" distL="0" distR="0" allowOverlap="1" layoutInCell="1" locked="0" behindDoc="1" simplePos="0" relativeHeight="487801344">
                <wp:simplePos x="0" y="0"/>
                <wp:positionH relativeFrom="page">
                  <wp:posOffset>892530</wp:posOffset>
                </wp:positionH>
                <wp:positionV relativeFrom="paragraph">
                  <wp:posOffset>69733</wp:posOffset>
                </wp:positionV>
                <wp:extent cx="956944" cy="145415"/>
                <wp:effectExtent l="0" t="0" r="0" b="0"/>
                <wp:wrapTopAndBottom/>
                <wp:docPr id="2171" name="Graphic 2171"/>
                <wp:cNvGraphicFramePr>
                  <a:graphicFrameLocks/>
                </wp:cNvGraphicFramePr>
                <a:graphic>
                  <a:graphicData uri="http://schemas.microsoft.com/office/word/2010/wordprocessingShape">
                    <wps:wsp>
                      <wps:cNvPr id="2171" name="Graphic 2171"/>
                      <wps:cNvSpPr/>
                      <wps:spPr>
                        <a:xfrm>
                          <a:off x="0" y="0"/>
                          <a:ext cx="956944" cy="145415"/>
                        </a:xfrm>
                        <a:custGeom>
                          <a:avLst/>
                          <a:gdLst/>
                          <a:ahLst/>
                          <a:cxnLst/>
                          <a:rect l="l" t="t" r="r" b="b"/>
                          <a:pathLst>
                            <a:path w="956944" h="145415">
                              <a:moveTo>
                                <a:pt x="956348" y="0"/>
                              </a:moveTo>
                              <a:lnTo>
                                <a:pt x="0" y="0"/>
                              </a:lnTo>
                              <a:lnTo>
                                <a:pt x="0" y="145351"/>
                              </a:lnTo>
                              <a:lnTo>
                                <a:pt x="956348" y="145351"/>
                              </a:lnTo>
                              <a:lnTo>
                                <a:pt x="95634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490847pt;width:75.303pt;height:11.445pt;mso-position-horizontal-relative:page;mso-position-vertical-relative:paragraph;z-index:-15515136;mso-wrap-distance-left:0;mso-wrap-distance-right:0" id="docshape1562" filled="true" fillcolor="#000000" stroked="false">
                <v:fill type="solid"/>
                <w10:wrap type="topAndBottom"/>
              </v:rect>
            </w:pict>
          </mc:Fallback>
        </mc:AlternateContent>
      </w:r>
    </w:p>
    <w:p>
      <w:pPr>
        <w:pStyle w:val="BodyText"/>
        <w:spacing w:before="156"/>
        <w:rPr>
          <w:sz w:val="20"/>
        </w:rPr>
      </w:pPr>
    </w:p>
    <w:p>
      <w:pPr>
        <w:spacing w:before="1"/>
        <w:ind w:left="1284" w:right="0" w:firstLine="0"/>
        <w:jc w:val="left"/>
        <w:rPr>
          <w:sz w:val="20"/>
        </w:rPr>
      </w:pPr>
      <w:r>
        <w:rPr>
          <w:sz w:val="20"/>
        </w:rPr>
        <w:t>Anexos</w:t>
      </w:r>
      <w:r>
        <w:rPr>
          <w:spacing w:val="-7"/>
          <w:sz w:val="20"/>
        </w:rPr>
        <w:t> </w:t>
      </w:r>
      <w:r>
        <w:rPr>
          <w:sz w:val="20"/>
        </w:rPr>
        <w:t>de</w:t>
      </w:r>
      <w:r>
        <w:rPr>
          <w:spacing w:val="-3"/>
          <w:sz w:val="20"/>
        </w:rPr>
        <w:t> </w:t>
      </w:r>
      <w:r>
        <w:rPr>
          <w:sz w:val="20"/>
        </w:rPr>
        <w:t>la</w:t>
      </w:r>
      <w:r>
        <w:rPr>
          <w:spacing w:val="-6"/>
          <w:sz w:val="20"/>
        </w:rPr>
        <w:t> </w:t>
      </w:r>
      <w:r>
        <w:rPr>
          <w:spacing w:val="-2"/>
          <w:sz w:val="20"/>
        </w:rPr>
        <w:t>sección:</w:t>
      </w:r>
    </w:p>
    <w:p>
      <w:pPr>
        <w:spacing w:line="333" w:lineRule="auto" w:before="89"/>
        <w:ind w:left="1284" w:right="0" w:firstLine="0"/>
        <w:jc w:val="left"/>
        <w:rPr>
          <w:b/>
          <w:sz w:val="20"/>
        </w:rPr>
      </w:pPr>
      <w:r>
        <w:rPr>
          <w:b/>
          <w:spacing w:val="-2"/>
          <w:sz w:val="20"/>
        </w:rPr>
        <w:t>Nombre: MODELO_AUTORIZACION_TRIBUNAL_DE_CUENTAS_-_SEFYCU_4214742.pdf, Hash: 00O0tC8AaGHVUVZu8UOs9g==</w:t>
      </w:r>
    </w:p>
    <w:p>
      <w:pPr>
        <w:pStyle w:val="BodyText"/>
        <w:spacing w:before="85"/>
        <w:rPr>
          <w:b/>
          <w:sz w:val="20"/>
        </w:rPr>
      </w:pPr>
    </w:p>
    <w:p>
      <w:pPr>
        <w:spacing w:before="1"/>
        <w:ind w:left="4663" w:right="0" w:firstLine="0"/>
        <w:jc w:val="left"/>
        <w:rPr>
          <w:b/>
          <w:sz w:val="20"/>
        </w:rPr>
      </w:pPr>
      <w:r>
        <w:rPr>
          <w:b/>
          <w:sz w:val="20"/>
        </w:rPr>
        <w:t>FORMULARIO</w:t>
      </w:r>
      <w:r>
        <w:rPr>
          <w:b/>
          <w:spacing w:val="-14"/>
          <w:sz w:val="20"/>
        </w:rPr>
        <w:t> </w:t>
      </w:r>
      <w:r>
        <w:rPr>
          <w:b/>
          <w:sz w:val="20"/>
        </w:rPr>
        <w:t>2:</w:t>
      </w:r>
      <w:r>
        <w:rPr>
          <w:b/>
          <w:spacing w:val="-14"/>
          <w:sz w:val="20"/>
        </w:rPr>
        <w:t> </w:t>
      </w:r>
      <w:r>
        <w:rPr>
          <w:b/>
          <w:spacing w:val="-2"/>
          <w:sz w:val="20"/>
        </w:rPr>
        <w:t>ALEGACIONES</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801856">
                <wp:simplePos x="0" y="0"/>
                <wp:positionH relativeFrom="page">
                  <wp:posOffset>905255</wp:posOffset>
                </wp:positionH>
                <wp:positionV relativeFrom="paragraph">
                  <wp:posOffset>160129</wp:posOffset>
                </wp:positionV>
                <wp:extent cx="1714500" cy="1270"/>
                <wp:effectExtent l="0" t="0" r="0" b="0"/>
                <wp:wrapTopAndBottom/>
                <wp:docPr id="2172" name="Graphic 2172"/>
                <wp:cNvGraphicFramePr>
                  <a:graphicFrameLocks/>
                </wp:cNvGraphicFramePr>
                <a:graphic>
                  <a:graphicData uri="http://schemas.microsoft.com/office/word/2010/wordprocessingShape">
                    <wps:wsp>
                      <wps:cNvPr id="2172" name="Graphic 2172"/>
                      <wps:cNvSpPr/>
                      <wps:spPr>
                        <a:xfrm>
                          <a:off x="0" y="0"/>
                          <a:ext cx="1714500" cy="1270"/>
                        </a:xfrm>
                        <a:custGeom>
                          <a:avLst/>
                          <a:gdLst/>
                          <a:ahLst/>
                          <a:cxnLst/>
                          <a:rect l="l" t="t" r="r" b="b"/>
                          <a:pathLst>
                            <a:path w="1714500" h="0">
                              <a:moveTo>
                                <a:pt x="0" y="0"/>
                              </a:moveTo>
                              <a:lnTo>
                                <a:pt x="1714499"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08598pt;width:135pt;height:.1pt;mso-position-horizontal-relative:page;mso-position-vertical-relative:paragraph;z-index:-15514624;mso-wrap-distance-left:0;mso-wrap-distance-right:0" id="docshape1563" coordorigin="1426,252" coordsize="2700,0" path="m1426,252l4126,252e" filled="false" stroked="true" strokeweight=".72pt" strokecolor="#000000">
                <v:path arrowok="t"/>
                <v:stroke dashstyle="solid"/>
                <w10:wrap type="topAndBottom"/>
              </v:shape>
            </w:pict>
          </mc:Fallback>
        </mc:AlternateContent>
      </w:r>
      <w:r>
        <w:rPr>
          <w:b/>
          <w:sz w:val="20"/>
        </w:rPr>
        <w:t>Alegaciones</w:t>
      </w:r>
      <w:r>
        <w:rPr>
          <w:b/>
          <w:spacing w:val="-13"/>
          <w:sz w:val="20"/>
        </w:rPr>
        <w:t> </w:t>
      </w:r>
      <w:r>
        <w:rPr>
          <w:b/>
          <w:sz w:val="20"/>
        </w:rPr>
        <w:t>al</w:t>
      </w:r>
      <w:r>
        <w:rPr>
          <w:b/>
          <w:spacing w:val="-12"/>
          <w:sz w:val="20"/>
        </w:rPr>
        <w:t> </w:t>
      </w:r>
      <w:r>
        <w:rPr>
          <w:b/>
          <w:spacing w:val="-2"/>
          <w:sz w:val="20"/>
        </w:rPr>
        <w:t>anteproyecto</w:t>
      </w:r>
    </w:p>
    <w:p>
      <w:pPr>
        <w:pStyle w:val="BodyText"/>
        <w:spacing w:before="146"/>
        <w:rPr>
          <w:b/>
          <w:sz w:val="20"/>
        </w:rPr>
      </w:pPr>
    </w:p>
    <w:p>
      <w:pPr>
        <w:spacing w:before="1"/>
        <w:ind w:left="1284" w:right="0" w:firstLine="0"/>
        <w:jc w:val="left"/>
        <w:rPr>
          <w:i/>
          <w:sz w:val="20"/>
        </w:rPr>
      </w:pPr>
      <w:r>
        <w:rPr>
          <w:i/>
          <w:sz w:val="20"/>
        </w:rPr>
        <w:t>Grupo</w:t>
      </w:r>
      <w:r>
        <w:rPr>
          <w:i/>
          <w:spacing w:val="-5"/>
          <w:sz w:val="20"/>
        </w:rPr>
        <w:t> </w:t>
      </w:r>
      <w:r>
        <w:rPr>
          <w:i/>
          <w:sz w:val="20"/>
        </w:rPr>
        <w:t>1</w:t>
      </w:r>
      <w:r>
        <w:rPr>
          <w:i/>
          <w:spacing w:val="-5"/>
          <w:sz w:val="20"/>
        </w:rPr>
        <w:t> </w:t>
      </w:r>
      <w:r>
        <w:rPr>
          <w:i/>
          <w:sz w:val="20"/>
        </w:rPr>
        <w:t>de</w:t>
      </w:r>
      <w:r>
        <w:rPr>
          <w:i/>
          <w:spacing w:val="-5"/>
          <w:sz w:val="20"/>
        </w:rPr>
        <w:t> </w:t>
      </w:r>
      <w:r>
        <w:rPr>
          <w:i/>
          <w:spacing w:val="-12"/>
          <w:sz w:val="20"/>
        </w:rPr>
        <w:t>3</w:t>
      </w:r>
    </w:p>
    <w:p>
      <w:pPr>
        <w:pStyle w:val="BodyText"/>
        <w:spacing w:before="175"/>
        <w:rPr>
          <w:i/>
          <w:sz w:val="20"/>
        </w:rPr>
      </w:pPr>
    </w:p>
    <w:p>
      <w:pPr>
        <w:spacing w:before="1"/>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z w:val="20"/>
        </w:rPr>
        <mc:AlternateContent>
          <mc:Choice Requires="wps">
            <w:drawing>
              <wp:anchor distT="0" distB="0" distL="0" distR="0" allowOverlap="1" layoutInCell="1" locked="0" behindDoc="0" simplePos="0" relativeHeight="15944192">
                <wp:simplePos x="0" y="0"/>
                <wp:positionH relativeFrom="page">
                  <wp:posOffset>244784</wp:posOffset>
                </wp:positionH>
                <wp:positionV relativeFrom="paragraph">
                  <wp:posOffset>164490</wp:posOffset>
                </wp:positionV>
                <wp:extent cx="138430" cy="2155190"/>
                <wp:effectExtent l="0" t="0" r="0" b="0"/>
                <wp:wrapNone/>
                <wp:docPr id="2173" name="Textbox 2173"/>
                <wp:cNvGraphicFramePr>
                  <a:graphicFrameLocks/>
                </wp:cNvGraphicFramePr>
                <a:graphic>
                  <a:graphicData uri="http://schemas.microsoft.com/office/word/2010/wordprocessingShape">
                    <wps:wsp>
                      <wps:cNvPr id="2173" name="Textbox 2173"/>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12.952044pt;width:10.9pt;height:169.7pt;mso-position-horizontal-relative:page;mso-position-vertical-relative:paragraph;z-index:15944192" type="#_x0000_t202" id="docshape1564"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pacing w:val="-5"/>
          <w:sz w:val="20"/>
        </w:rPr>
        <w:t>34</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pacing w:val="-10"/>
          <w:sz w:val="20"/>
        </w:rPr>
        <w:t>7</w:t>
      </w:r>
    </w:p>
    <w:p>
      <w:pPr>
        <w:pStyle w:val="BodyText"/>
        <w:spacing w:before="179"/>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44704">
                <wp:simplePos x="0" y="0"/>
                <wp:positionH relativeFrom="page">
                  <wp:posOffset>344030</wp:posOffset>
                </wp:positionH>
                <wp:positionV relativeFrom="paragraph">
                  <wp:posOffset>147710</wp:posOffset>
                </wp:positionV>
                <wp:extent cx="163830" cy="2880995"/>
                <wp:effectExtent l="0" t="0" r="0" b="0"/>
                <wp:wrapNone/>
                <wp:docPr id="2174" name="Graphic 2174"/>
                <wp:cNvGraphicFramePr>
                  <a:graphicFrameLocks/>
                </wp:cNvGraphicFramePr>
                <a:graphic>
                  <a:graphicData uri="http://schemas.microsoft.com/office/word/2010/wordprocessingShape">
                    <wps:wsp>
                      <wps:cNvPr id="2174" name="Graphic 2174"/>
                      <wps:cNvSpPr/>
                      <wps:spPr>
                        <a:xfrm>
                          <a:off x="0" y="0"/>
                          <a:ext cx="163830" cy="2880995"/>
                        </a:xfrm>
                        <a:custGeom>
                          <a:avLst/>
                          <a:gdLst/>
                          <a:ahLst/>
                          <a:cxnLst/>
                          <a:rect l="l" t="t" r="r" b="b"/>
                          <a:pathLst>
                            <a:path w="163830" h="2880995">
                              <a:moveTo>
                                <a:pt x="163258" y="0"/>
                              </a:moveTo>
                              <a:lnTo>
                                <a:pt x="0" y="0"/>
                              </a:lnTo>
                              <a:lnTo>
                                <a:pt x="0" y="2880741"/>
                              </a:lnTo>
                              <a:lnTo>
                                <a:pt x="163258" y="2880741"/>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11.630722pt;width:12.855pt;height:226.83pt;mso-position-horizontal-relative:page;mso-position-vertical-relative:paragraph;z-index:15944704" id="docshape1565" filled="true" fillcolor="#000000" stroked="false">
                <v:fill type="solid"/>
                <w10:wrap type="none"/>
              </v:rect>
            </w:pict>
          </mc:Fallback>
        </mc:AlternateContent>
      </w: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496" w:firstLine="0"/>
        <w:jc w:val="left"/>
        <w:rPr>
          <w:b/>
          <w:sz w:val="20"/>
        </w:rPr>
      </w:pPr>
      <w:r>
        <w:rPr>
          <w:b/>
          <w:sz w:val="20"/>
        </w:rPr>
        <mc:AlternateContent>
          <mc:Choice Requires="wps">
            <w:drawing>
              <wp:anchor distT="0" distB="0" distL="0" distR="0" allowOverlap="1" layoutInCell="1" locked="0" behindDoc="0" simplePos="0" relativeHeight="15943168">
                <wp:simplePos x="0" y="0"/>
                <wp:positionH relativeFrom="page">
                  <wp:posOffset>130383</wp:posOffset>
                </wp:positionH>
                <wp:positionV relativeFrom="paragraph">
                  <wp:posOffset>192422</wp:posOffset>
                </wp:positionV>
                <wp:extent cx="138430" cy="2952750"/>
                <wp:effectExtent l="0" t="0" r="0" b="0"/>
                <wp:wrapNone/>
                <wp:docPr id="2175" name="Textbox 2175"/>
                <wp:cNvGraphicFramePr>
                  <a:graphicFrameLocks/>
                </wp:cNvGraphicFramePr>
                <a:graphic>
                  <a:graphicData uri="http://schemas.microsoft.com/office/word/2010/wordprocessingShape">
                    <wps:wsp>
                      <wps:cNvPr id="2175" name="Textbox 2175"/>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5.15139pt;width:10.9pt;height:232.5pt;mso-position-horizontal-relative:page;mso-position-vertical-relative:paragraph;z-index:15943168" type="#_x0000_t202" id="docshape1566"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w:t>A diciembre de 2022 la empresa contaba con una planta fotovoltaica situada en el centro de operaciones y disponía de luminarias de bajo consumo energético en este centro y en su centro administrativo,</w:t>
      </w:r>
      <w:r>
        <w:rPr>
          <w:b/>
          <w:spacing w:val="-4"/>
          <w:sz w:val="20"/>
        </w:rPr>
        <w:t> </w:t>
      </w:r>
      <w:r>
        <w:rPr>
          <w:b/>
          <w:sz w:val="20"/>
        </w:rPr>
        <w:t>pero</w:t>
      </w:r>
      <w:r>
        <w:rPr>
          <w:b/>
          <w:spacing w:val="-7"/>
          <w:sz w:val="20"/>
        </w:rPr>
        <w:t> </w:t>
      </w:r>
      <w:r>
        <w:rPr>
          <w:b/>
          <w:sz w:val="20"/>
        </w:rPr>
        <w:t>no</w:t>
      </w:r>
      <w:r>
        <w:rPr>
          <w:b/>
          <w:spacing w:val="-3"/>
          <w:sz w:val="20"/>
        </w:rPr>
        <w:t> </w:t>
      </w:r>
      <w:r>
        <w:rPr>
          <w:b/>
          <w:sz w:val="20"/>
        </w:rPr>
        <w:t>en</w:t>
      </w:r>
      <w:r>
        <w:rPr>
          <w:b/>
          <w:spacing w:val="-5"/>
          <w:sz w:val="20"/>
        </w:rPr>
        <w:t> </w:t>
      </w:r>
      <w:r>
        <w:rPr>
          <w:b/>
          <w:sz w:val="20"/>
        </w:rPr>
        <w:t>el</w:t>
      </w:r>
      <w:r>
        <w:rPr>
          <w:b/>
          <w:spacing w:val="-5"/>
          <w:sz w:val="20"/>
        </w:rPr>
        <w:t> </w:t>
      </w:r>
      <w:r>
        <w:rPr>
          <w:b/>
          <w:sz w:val="20"/>
        </w:rPr>
        <w:t>centro</w:t>
      </w:r>
      <w:r>
        <w:rPr>
          <w:b/>
          <w:spacing w:val="-5"/>
          <w:sz w:val="20"/>
        </w:rPr>
        <w:t> </w:t>
      </w:r>
      <w:r>
        <w:rPr>
          <w:b/>
          <w:sz w:val="20"/>
        </w:rPr>
        <w:t>logístico,</w:t>
      </w:r>
      <w:r>
        <w:rPr>
          <w:b/>
          <w:spacing w:val="-4"/>
          <w:sz w:val="20"/>
        </w:rPr>
        <w:t> </w:t>
      </w:r>
      <w:r>
        <w:rPr>
          <w:b/>
          <w:sz w:val="20"/>
        </w:rPr>
        <w:t>en</w:t>
      </w:r>
      <w:r>
        <w:rPr>
          <w:b/>
          <w:spacing w:val="-7"/>
          <w:sz w:val="20"/>
        </w:rPr>
        <w:t> </w:t>
      </w:r>
      <w:r>
        <w:rPr>
          <w:b/>
          <w:sz w:val="20"/>
        </w:rPr>
        <w:t>el</w:t>
      </w:r>
      <w:r>
        <w:rPr>
          <w:b/>
          <w:spacing w:val="-3"/>
          <w:sz w:val="20"/>
        </w:rPr>
        <w:t> </w:t>
      </w:r>
      <w:r>
        <w:rPr>
          <w:b/>
          <w:sz w:val="20"/>
        </w:rPr>
        <w:t>que</w:t>
      </w:r>
      <w:r>
        <w:rPr>
          <w:b/>
          <w:spacing w:val="-5"/>
          <w:sz w:val="20"/>
        </w:rPr>
        <w:t> </w:t>
      </w:r>
      <w:r>
        <w:rPr>
          <w:b/>
          <w:sz w:val="20"/>
        </w:rPr>
        <w:t>se</w:t>
      </w:r>
      <w:r>
        <w:rPr>
          <w:b/>
          <w:spacing w:val="-5"/>
          <w:sz w:val="20"/>
        </w:rPr>
        <w:t> </w:t>
      </w:r>
      <w:r>
        <w:rPr>
          <w:b/>
          <w:sz w:val="20"/>
        </w:rPr>
        <w:t>ubican</w:t>
      </w:r>
      <w:r>
        <w:rPr>
          <w:b/>
          <w:spacing w:val="-5"/>
          <w:sz w:val="20"/>
        </w:rPr>
        <w:t> </w:t>
      </w:r>
      <w:r>
        <w:rPr>
          <w:b/>
          <w:sz w:val="20"/>
        </w:rPr>
        <w:t>el</w:t>
      </w:r>
      <w:r>
        <w:rPr>
          <w:b/>
          <w:spacing w:val="-5"/>
          <w:sz w:val="20"/>
        </w:rPr>
        <w:t> </w:t>
      </w:r>
      <w:r>
        <w:rPr>
          <w:b/>
          <w:sz w:val="20"/>
        </w:rPr>
        <w:t>aparcamiento</w:t>
      </w:r>
      <w:r>
        <w:rPr>
          <w:b/>
          <w:spacing w:val="-5"/>
          <w:sz w:val="20"/>
        </w:rPr>
        <w:t> </w:t>
      </w:r>
      <w:r>
        <w:rPr>
          <w:b/>
          <w:sz w:val="20"/>
        </w:rPr>
        <w:t>de</w:t>
      </w:r>
      <w:r>
        <w:rPr>
          <w:b/>
          <w:spacing w:val="-5"/>
          <w:sz w:val="20"/>
        </w:rPr>
        <w:t> </w:t>
      </w:r>
      <w:r>
        <w:rPr>
          <w:b/>
          <w:sz w:val="20"/>
        </w:rPr>
        <w:t>autobuses</w:t>
      </w:r>
      <w:r>
        <w:rPr>
          <w:b/>
          <w:spacing w:val="-5"/>
          <w:sz w:val="20"/>
        </w:rPr>
        <w:t> </w:t>
      </w:r>
      <w:r>
        <w:rPr>
          <w:b/>
          <w:sz w:val="20"/>
        </w:rPr>
        <w:t>y</w:t>
      </w:r>
      <w:r>
        <w:rPr>
          <w:b/>
          <w:spacing w:val="-5"/>
          <w:sz w:val="20"/>
        </w:rPr>
        <w:t> </w:t>
      </w:r>
      <w:r>
        <w:rPr>
          <w:b/>
          <w:sz w:val="20"/>
        </w:rPr>
        <w:t>el taller de mantenimiento y reparaciones.</w:t>
      </w:r>
    </w:p>
    <w:p>
      <w:pPr>
        <w:pStyle w:val="BodyText"/>
        <w:spacing w:before="91"/>
        <w:rPr>
          <w:b/>
          <w:sz w:val="20"/>
        </w:rPr>
      </w:pPr>
    </w:p>
    <w:p>
      <w:pPr>
        <w:spacing w:before="0"/>
        <w:ind w:left="1284" w:right="0" w:firstLine="0"/>
        <w:jc w:val="left"/>
        <w:rPr>
          <w:sz w:val="20"/>
        </w:rPr>
      </w:pPr>
      <w:r>
        <w:rPr>
          <w:spacing w:val="-2"/>
          <w:sz w:val="20"/>
        </w:rPr>
        <w:t>Alegación:</w:t>
      </w:r>
    </w:p>
    <w:p>
      <w:pPr>
        <w:spacing w:line="331" w:lineRule="auto" w:before="90"/>
        <w:ind w:left="1284" w:right="779" w:firstLine="0"/>
        <w:jc w:val="both"/>
        <w:rPr>
          <w:b/>
          <w:sz w:val="20"/>
        </w:rPr>
      </w:pPr>
      <w:r>
        <w:rPr>
          <w:b/>
          <w:sz w:val="20"/>
        </w:rPr>
        <mc:AlternateContent>
          <mc:Choice Requires="wps">
            <w:drawing>
              <wp:anchor distT="0" distB="0" distL="0" distR="0" allowOverlap="1" layoutInCell="1" locked="0" behindDoc="0" simplePos="0" relativeHeight="15943680">
                <wp:simplePos x="0" y="0"/>
                <wp:positionH relativeFrom="page">
                  <wp:posOffset>244784</wp:posOffset>
                </wp:positionH>
                <wp:positionV relativeFrom="paragraph">
                  <wp:posOffset>188385</wp:posOffset>
                </wp:positionV>
                <wp:extent cx="251460" cy="1744345"/>
                <wp:effectExtent l="0" t="0" r="0" b="0"/>
                <wp:wrapNone/>
                <wp:docPr id="2176" name="Textbox 2176"/>
                <wp:cNvGraphicFramePr>
                  <a:graphicFrameLocks/>
                </wp:cNvGraphicFramePr>
                <a:graphic>
                  <a:graphicData uri="http://schemas.microsoft.com/office/word/2010/wordprocessingShape">
                    <wps:wsp>
                      <wps:cNvPr id="2176" name="Textbox 2176"/>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14.8335pt;width:19.8pt;height:137.35pt;mso-position-horizontal-relative:page;mso-position-vertical-relative:paragraph;z-index:15943680" type="#_x0000_t202" id="docshape1567"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w:t>Cabe</w:t>
      </w:r>
      <w:r>
        <w:rPr>
          <w:b/>
          <w:spacing w:val="-4"/>
          <w:sz w:val="20"/>
        </w:rPr>
        <w:t> </w:t>
      </w:r>
      <w:r>
        <w:rPr>
          <w:b/>
          <w:sz w:val="20"/>
        </w:rPr>
        <w:t>indicar</w:t>
      </w:r>
      <w:r>
        <w:rPr>
          <w:b/>
          <w:spacing w:val="-4"/>
          <w:sz w:val="20"/>
        </w:rPr>
        <w:t> </w:t>
      </w:r>
      <w:r>
        <w:rPr>
          <w:b/>
          <w:sz w:val="20"/>
        </w:rPr>
        <w:t>que</w:t>
      </w:r>
      <w:r>
        <w:rPr>
          <w:b/>
          <w:spacing w:val="-5"/>
          <w:sz w:val="20"/>
        </w:rPr>
        <w:t> </w:t>
      </w:r>
      <w:r>
        <w:rPr>
          <w:b/>
          <w:sz w:val="20"/>
        </w:rPr>
        <w:t>el</w:t>
      </w:r>
      <w:r>
        <w:rPr>
          <w:b/>
          <w:spacing w:val="-5"/>
          <w:sz w:val="20"/>
        </w:rPr>
        <w:t> </w:t>
      </w:r>
      <w:r>
        <w:rPr>
          <w:b/>
          <w:sz w:val="20"/>
        </w:rPr>
        <w:t>centro</w:t>
      </w:r>
      <w:r>
        <w:rPr>
          <w:b/>
          <w:spacing w:val="-5"/>
          <w:sz w:val="20"/>
        </w:rPr>
        <w:t> </w:t>
      </w:r>
      <w:r>
        <w:rPr>
          <w:b/>
          <w:sz w:val="20"/>
        </w:rPr>
        <w:t>de</w:t>
      </w:r>
      <w:r>
        <w:rPr>
          <w:b/>
          <w:spacing w:val="-5"/>
          <w:sz w:val="20"/>
        </w:rPr>
        <w:t> </w:t>
      </w:r>
      <w:r>
        <w:rPr>
          <w:b/>
          <w:sz w:val="20"/>
        </w:rPr>
        <w:t>operaciones</w:t>
      </w:r>
      <w:r>
        <w:rPr>
          <w:b/>
          <w:spacing w:val="-5"/>
          <w:sz w:val="20"/>
        </w:rPr>
        <w:t> </w:t>
      </w:r>
      <w:r>
        <w:rPr>
          <w:b/>
          <w:sz w:val="20"/>
        </w:rPr>
        <w:t>y</w:t>
      </w:r>
      <w:r>
        <w:rPr>
          <w:b/>
          <w:spacing w:val="-5"/>
          <w:sz w:val="20"/>
        </w:rPr>
        <w:t> </w:t>
      </w:r>
      <w:r>
        <w:rPr>
          <w:b/>
          <w:sz w:val="20"/>
        </w:rPr>
        <w:t>el</w:t>
      </w:r>
      <w:r>
        <w:rPr>
          <w:b/>
          <w:spacing w:val="-5"/>
          <w:sz w:val="20"/>
        </w:rPr>
        <w:t> </w:t>
      </w:r>
      <w:r>
        <w:rPr>
          <w:b/>
          <w:sz w:val="20"/>
        </w:rPr>
        <w:t>centro</w:t>
      </w:r>
      <w:r>
        <w:rPr>
          <w:b/>
          <w:spacing w:val="-5"/>
          <w:sz w:val="20"/>
        </w:rPr>
        <w:t> </w:t>
      </w:r>
      <w:r>
        <w:rPr>
          <w:b/>
          <w:sz w:val="20"/>
        </w:rPr>
        <w:t>logístico</w:t>
      </w:r>
      <w:r>
        <w:rPr>
          <w:b/>
          <w:spacing w:val="-5"/>
          <w:sz w:val="20"/>
        </w:rPr>
        <w:t> </w:t>
      </w:r>
      <w:r>
        <w:rPr>
          <w:b/>
          <w:sz w:val="20"/>
        </w:rPr>
        <w:t>de</w:t>
      </w:r>
      <w:r>
        <w:rPr>
          <w:b/>
          <w:spacing w:val="-5"/>
          <w:sz w:val="20"/>
        </w:rPr>
        <w:t> </w:t>
      </w:r>
      <w:r>
        <w:rPr>
          <w:b/>
          <w:sz w:val="20"/>
        </w:rPr>
        <w:t>la</w:t>
      </w:r>
      <w:r>
        <w:rPr>
          <w:b/>
          <w:spacing w:val="-5"/>
          <w:sz w:val="20"/>
        </w:rPr>
        <w:t> </w:t>
      </w:r>
      <w:r>
        <w:rPr>
          <w:b/>
          <w:sz w:val="20"/>
        </w:rPr>
        <w:t>EMT-Palma</w:t>
      </w:r>
      <w:r>
        <w:rPr>
          <w:b/>
          <w:spacing w:val="-5"/>
          <w:sz w:val="20"/>
        </w:rPr>
        <w:t> </w:t>
      </w:r>
      <w:r>
        <w:rPr>
          <w:b/>
          <w:sz w:val="20"/>
        </w:rPr>
        <w:t>son</w:t>
      </w:r>
      <w:r>
        <w:rPr>
          <w:b/>
          <w:spacing w:val="-4"/>
          <w:sz w:val="20"/>
        </w:rPr>
        <w:t> </w:t>
      </w:r>
      <w:r>
        <w:rPr>
          <w:b/>
          <w:sz w:val="20"/>
        </w:rPr>
        <w:t>el</w:t>
      </w:r>
      <w:r>
        <w:rPr>
          <w:b/>
          <w:spacing w:val="-5"/>
          <w:sz w:val="20"/>
        </w:rPr>
        <w:t> </w:t>
      </w:r>
      <w:r>
        <w:rPr>
          <w:b/>
          <w:sz w:val="20"/>
        </w:rPr>
        <w:t>mismo</w:t>
      </w:r>
      <w:r>
        <w:rPr>
          <w:b/>
          <w:spacing w:val="-5"/>
          <w:sz w:val="20"/>
        </w:rPr>
        <w:t> </w:t>
      </w:r>
      <w:r>
        <w:rPr>
          <w:b/>
          <w:sz w:val="20"/>
        </w:rPr>
        <w:t>centro por lo</w:t>
      </w:r>
      <w:r>
        <w:rPr>
          <w:b/>
          <w:spacing w:val="-3"/>
          <w:sz w:val="20"/>
        </w:rPr>
        <w:t> </w:t>
      </w:r>
      <w:r>
        <w:rPr>
          <w:b/>
          <w:sz w:val="20"/>
        </w:rPr>
        <w:t>que</w:t>
      </w:r>
      <w:r>
        <w:rPr>
          <w:b/>
          <w:spacing w:val="-3"/>
          <w:sz w:val="20"/>
        </w:rPr>
        <w:t> </w:t>
      </w:r>
      <w:r>
        <w:rPr>
          <w:b/>
          <w:sz w:val="20"/>
        </w:rPr>
        <w:t>solicitamos</w:t>
      </w:r>
      <w:r>
        <w:rPr>
          <w:b/>
          <w:spacing w:val="-3"/>
          <w:sz w:val="20"/>
        </w:rPr>
        <w:t> </w:t>
      </w:r>
      <w:r>
        <w:rPr>
          <w:b/>
          <w:sz w:val="20"/>
        </w:rPr>
        <w:t>la</w:t>
      </w:r>
      <w:r>
        <w:rPr>
          <w:b/>
          <w:spacing w:val="-3"/>
          <w:sz w:val="20"/>
        </w:rPr>
        <w:t> </w:t>
      </w:r>
      <w:r>
        <w:rPr>
          <w:b/>
          <w:sz w:val="20"/>
        </w:rPr>
        <w:t>corrección</w:t>
      </w:r>
      <w:r>
        <w:rPr>
          <w:b/>
          <w:spacing w:val="-4"/>
          <w:sz w:val="20"/>
        </w:rPr>
        <w:t> </w:t>
      </w:r>
      <w:r>
        <w:rPr>
          <w:b/>
          <w:sz w:val="20"/>
        </w:rPr>
        <w:t>del</w:t>
      </w:r>
      <w:r>
        <w:rPr>
          <w:b/>
          <w:spacing w:val="-3"/>
          <w:sz w:val="20"/>
        </w:rPr>
        <w:t> </w:t>
      </w:r>
      <w:r>
        <w:rPr>
          <w:b/>
          <w:sz w:val="20"/>
        </w:rPr>
        <w:t>parágrafo</w:t>
      </w:r>
      <w:r>
        <w:rPr>
          <w:b/>
          <w:spacing w:val="-1"/>
          <w:sz w:val="20"/>
        </w:rPr>
        <w:t> </w:t>
      </w:r>
      <w:r>
        <w:rPr>
          <w:b/>
          <w:sz w:val="20"/>
        </w:rPr>
        <w:t>anterior.</w:t>
      </w:r>
      <w:r>
        <w:rPr>
          <w:b/>
          <w:spacing w:val="-1"/>
          <w:sz w:val="20"/>
        </w:rPr>
        <w:t> </w:t>
      </w:r>
      <w:r>
        <w:rPr>
          <w:b/>
          <w:sz w:val="20"/>
        </w:rPr>
        <w:t>Por</w:t>
      </w:r>
      <w:r>
        <w:rPr>
          <w:b/>
          <w:spacing w:val="-3"/>
          <w:sz w:val="20"/>
        </w:rPr>
        <w:t> </w:t>
      </w:r>
      <w:r>
        <w:rPr>
          <w:b/>
          <w:sz w:val="20"/>
        </w:rPr>
        <w:t>lo</w:t>
      </w:r>
      <w:r>
        <w:rPr>
          <w:b/>
          <w:spacing w:val="-3"/>
          <w:sz w:val="20"/>
        </w:rPr>
        <w:t> </w:t>
      </w:r>
      <w:r>
        <w:rPr>
          <w:b/>
          <w:sz w:val="20"/>
        </w:rPr>
        <w:t>que</w:t>
      </w:r>
      <w:r>
        <w:rPr>
          <w:b/>
          <w:spacing w:val="-3"/>
          <w:sz w:val="20"/>
        </w:rPr>
        <w:t> </w:t>
      </w:r>
      <w:r>
        <w:rPr>
          <w:b/>
          <w:sz w:val="20"/>
        </w:rPr>
        <w:t>la</w:t>
      </w:r>
      <w:r>
        <w:rPr>
          <w:b/>
          <w:spacing w:val="-3"/>
          <w:sz w:val="20"/>
        </w:rPr>
        <w:t> </w:t>
      </w:r>
      <w:r>
        <w:rPr>
          <w:b/>
          <w:sz w:val="20"/>
        </w:rPr>
        <w:t>EMT</w:t>
      </w:r>
      <w:r>
        <w:rPr>
          <w:b/>
          <w:spacing w:val="-3"/>
          <w:sz w:val="20"/>
        </w:rPr>
        <w:t> </w:t>
      </w:r>
      <w:r>
        <w:rPr>
          <w:b/>
          <w:sz w:val="20"/>
        </w:rPr>
        <w:t>Palma</w:t>
      </w:r>
      <w:r>
        <w:rPr>
          <w:b/>
          <w:spacing w:val="-3"/>
          <w:sz w:val="20"/>
        </w:rPr>
        <w:t> </w:t>
      </w:r>
      <w:r>
        <w:rPr>
          <w:b/>
          <w:sz w:val="20"/>
        </w:rPr>
        <w:t>disponía</w:t>
      </w:r>
      <w:r>
        <w:rPr>
          <w:b/>
          <w:spacing w:val="-1"/>
          <w:sz w:val="20"/>
        </w:rPr>
        <w:t> </w:t>
      </w:r>
      <w:r>
        <w:rPr>
          <w:b/>
          <w:sz w:val="20"/>
        </w:rPr>
        <w:t>de</w:t>
      </w:r>
      <w:r>
        <w:rPr>
          <w:b/>
          <w:spacing w:val="-3"/>
          <w:sz w:val="20"/>
        </w:rPr>
        <w:t> </w:t>
      </w:r>
      <w:r>
        <w:rPr>
          <w:b/>
          <w:sz w:val="20"/>
        </w:rPr>
        <w:t>una planta fotovoltaica cumpliendo los estándares vigentes.</w:t>
      </w:r>
    </w:p>
    <w:p>
      <w:pPr>
        <w:pStyle w:val="BodyText"/>
        <w:rPr>
          <w:b/>
          <w:sz w:val="20"/>
        </w:rPr>
      </w:pPr>
    </w:p>
    <w:p>
      <w:pPr>
        <w:pStyle w:val="BodyText"/>
        <w:spacing w:before="179"/>
        <w:rPr>
          <w:b/>
          <w:sz w:val="20"/>
        </w:rPr>
      </w:pPr>
    </w:p>
    <w:p>
      <w:pPr>
        <w:spacing w:before="0"/>
        <w:ind w:left="1284" w:right="0" w:firstLine="0"/>
        <w:jc w:val="left"/>
        <w:rPr>
          <w:i/>
          <w:sz w:val="20"/>
        </w:rPr>
      </w:pPr>
      <w:r>
        <w:rPr>
          <w:i/>
          <w:sz w:val="20"/>
        </w:rPr>
        <w:t>Grupo</w:t>
      </w:r>
      <w:r>
        <w:rPr>
          <w:i/>
          <w:spacing w:val="-5"/>
          <w:sz w:val="20"/>
        </w:rPr>
        <w:t> </w:t>
      </w:r>
      <w:r>
        <w:rPr>
          <w:i/>
          <w:sz w:val="20"/>
        </w:rPr>
        <w:t>2</w:t>
      </w:r>
      <w:r>
        <w:rPr>
          <w:i/>
          <w:spacing w:val="-5"/>
          <w:sz w:val="20"/>
        </w:rPr>
        <w:t> </w:t>
      </w:r>
      <w:r>
        <w:rPr>
          <w:i/>
          <w:sz w:val="20"/>
        </w:rPr>
        <w:t>de</w:t>
      </w:r>
      <w:r>
        <w:rPr>
          <w:i/>
          <w:spacing w:val="-5"/>
          <w:sz w:val="20"/>
        </w:rPr>
        <w:t> </w:t>
      </w:r>
      <w:r>
        <w:rPr>
          <w:i/>
          <w:spacing w:val="-12"/>
          <w:sz w:val="20"/>
        </w:rPr>
        <w:t>3</w:t>
      </w:r>
    </w:p>
    <w:p>
      <w:pPr>
        <w:pStyle w:val="BodyText"/>
        <w:spacing w:before="178"/>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6"/>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90"/>
        <w:ind w:left="1284" w:right="0" w:firstLine="0"/>
        <w:jc w:val="left"/>
        <w:rPr>
          <w:b/>
          <w:sz w:val="20"/>
        </w:rPr>
      </w:pPr>
      <w:r>
        <w:rPr>
          <w:b/>
          <w:spacing w:val="-5"/>
          <w:sz w:val="20"/>
        </w:rPr>
        <w:t>77</w:t>
      </w:r>
    </w:p>
    <w:p>
      <w:pPr>
        <w:spacing w:after="0"/>
        <w:jc w:val="left"/>
        <w:rPr>
          <w:b/>
          <w:sz w:val="20"/>
        </w:rPr>
        <w:sectPr>
          <w:pgSz w:w="11910" w:h="16840"/>
          <w:pgMar w:header="314" w:footer="481" w:top="1240" w:bottom="680" w:left="141" w:right="141"/>
        </w:sectPr>
      </w:pPr>
    </w:p>
    <w:p>
      <w:pPr>
        <w:pStyle w:val="BodyText"/>
        <w:rPr>
          <w:b/>
          <w:sz w:val="20"/>
        </w:rPr>
      </w:pPr>
    </w:p>
    <w:p>
      <w:pPr>
        <w:pStyle w:val="BodyText"/>
        <w:rPr>
          <w:b/>
          <w:sz w:val="20"/>
        </w:rPr>
      </w:pPr>
    </w:p>
    <w:p>
      <w:pPr>
        <w:pStyle w:val="BodyText"/>
        <w:spacing w:before="149"/>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9"/>
        <w:ind w:left="1284" w:right="0" w:firstLine="0"/>
        <w:jc w:val="left"/>
        <w:rPr>
          <w:b/>
          <w:sz w:val="20"/>
        </w:rPr>
      </w:pPr>
      <w:r>
        <w:rPr>
          <w:b/>
          <w:spacing w:val="-10"/>
          <w:sz w:val="20"/>
        </w:rPr>
        <w:t>7</w:t>
      </w:r>
    </w:p>
    <w:p>
      <w:pPr>
        <w:pStyle w:val="BodyText"/>
        <w:spacing w:before="176"/>
        <w:rPr>
          <w:b/>
          <w:sz w:val="20"/>
        </w:rPr>
      </w:pPr>
    </w:p>
    <w:p>
      <w:pPr>
        <w:spacing w:before="0"/>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490" w:firstLine="0"/>
        <w:jc w:val="left"/>
        <w:rPr>
          <w:b/>
          <w:sz w:val="20"/>
        </w:rPr>
      </w:pPr>
      <w:r>
        <w:rPr>
          <w:b/>
          <w:sz w:val="20"/>
        </w:rPr>
        <w:t>Pese a estas previsiones, el Comité se ha reunido únicamente en tres ocasiones, todas ellas en 2024 con el único objetivo de revisar la ejecución del proyecto y adoptar decisiones sobre transferencias internas de presupuesto entre actuaciones ejecutadas por cada socio o traspasos entre ciudades y evitar</w:t>
      </w:r>
      <w:r>
        <w:rPr>
          <w:b/>
          <w:spacing w:val="-6"/>
          <w:sz w:val="20"/>
        </w:rPr>
        <w:t> </w:t>
      </w:r>
      <w:r>
        <w:rPr>
          <w:b/>
          <w:sz w:val="20"/>
        </w:rPr>
        <w:t>de</w:t>
      </w:r>
      <w:r>
        <w:rPr>
          <w:b/>
          <w:spacing w:val="-6"/>
          <w:sz w:val="20"/>
        </w:rPr>
        <w:t> </w:t>
      </w:r>
      <w:r>
        <w:rPr>
          <w:b/>
          <w:sz w:val="20"/>
        </w:rPr>
        <w:t>esta</w:t>
      </w:r>
      <w:r>
        <w:rPr>
          <w:b/>
          <w:spacing w:val="-6"/>
          <w:sz w:val="20"/>
        </w:rPr>
        <w:t> </w:t>
      </w:r>
      <w:r>
        <w:rPr>
          <w:b/>
          <w:sz w:val="20"/>
        </w:rPr>
        <w:t>manera</w:t>
      </w:r>
      <w:r>
        <w:rPr>
          <w:b/>
          <w:spacing w:val="-6"/>
          <w:sz w:val="20"/>
        </w:rPr>
        <w:t> </w:t>
      </w:r>
      <w:r>
        <w:rPr>
          <w:b/>
          <w:sz w:val="20"/>
        </w:rPr>
        <w:t>posibles</w:t>
      </w:r>
      <w:r>
        <w:rPr>
          <w:b/>
          <w:spacing w:val="-6"/>
          <w:sz w:val="20"/>
        </w:rPr>
        <w:t> </w:t>
      </w:r>
      <w:r>
        <w:rPr>
          <w:b/>
          <w:sz w:val="20"/>
        </w:rPr>
        <w:t>incumplimientos</w:t>
      </w:r>
      <w:r>
        <w:rPr>
          <w:b/>
          <w:spacing w:val="-6"/>
          <w:sz w:val="20"/>
        </w:rPr>
        <w:t> </w:t>
      </w:r>
      <w:r>
        <w:rPr>
          <w:b/>
          <w:sz w:val="20"/>
        </w:rPr>
        <w:t>en</w:t>
      </w:r>
      <w:r>
        <w:rPr>
          <w:b/>
          <w:spacing w:val="-6"/>
          <w:sz w:val="20"/>
        </w:rPr>
        <w:t> </w:t>
      </w:r>
      <w:r>
        <w:rPr>
          <w:b/>
          <w:sz w:val="20"/>
        </w:rPr>
        <w:t>algunas</w:t>
      </w:r>
      <w:r>
        <w:rPr>
          <w:b/>
          <w:spacing w:val="-4"/>
          <w:sz w:val="20"/>
        </w:rPr>
        <w:t> </w:t>
      </w:r>
      <w:r>
        <w:rPr>
          <w:b/>
          <w:sz w:val="20"/>
        </w:rPr>
        <w:t>de</w:t>
      </w:r>
      <w:r>
        <w:rPr>
          <w:b/>
          <w:spacing w:val="-6"/>
          <w:sz w:val="20"/>
        </w:rPr>
        <w:t> </w:t>
      </w:r>
      <w:r>
        <w:rPr>
          <w:b/>
          <w:sz w:val="20"/>
        </w:rPr>
        <w:t>las</w:t>
      </w:r>
      <w:r>
        <w:rPr>
          <w:b/>
          <w:spacing w:val="-6"/>
          <w:sz w:val="20"/>
        </w:rPr>
        <w:t> </w:t>
      </w:r>
      <w:r>
        <w:rPr>
          <w:b/>
          <w:sz w:val="20"/>
        </w:rPr>
        <w:t>actuaciones</w:t>
      </w:r>
      <w:r>
        <w:rPr>
          <w:b/>
          <w:spacing w:val="-6"/>
          <w:sz w:val="20"/>
        </w:rPr>
        <w:t> </w:t>
      </w:r>
      <w:r>
        <w:rPr>
          <w:b/>
          <w:sz w:val="20"/>
        </w:rPr>
        <w:t>previstas</w:t>
      </w:r>
      <w:r>
        <w:rPr>
          <w:b/>
          <w:spacing w:val="-6"/>
          <w:sz w:val="20"/>
        </w:rPr>
        <w:t> </w:t>
      </w:r>
      <w:r>
        <w:rPr>
          <w:b/>
          <w:sz w:val="20"/>
        </w:rPr>
        <w:t>en</w:t>
      </w:r>
      <w:r>
        <w:rPr>
          <w:b/>
          <w:spacing w:val="-6"/>
          <w:sz w:val="20"/>
        </w:rPr>
        <w:t> </w:t>
      </w:r>
      <w:r>
        <w:rPr>
          <w:b/>
          <w:sz w:val="20"/>
        </w:rPr>
        <w:t>el</w:t>
      </w:r>
      <w:r>
        <w:rPr>
          <w:b/>
          <w:spacing w:val="-6"/>
          <w:sz w:val="20"/>
        </w:rPr>
        <w:t> </w:t>
      </w:r>
      <w:r>
        <w:rPr>
          <w:b/>
          <w:sz w:val="20"/>
        </w:rPr>
        <w:t>proyecto. Sin embargo, no se abordaron en estas reuniones otras cuestiones para la puesta en común de las conclusiones, procesos y de desarrollo de software común, tal y como se preveía al constituirse la </w:t>
      </w:r>
      <w:r>
        <w:rPr>
          <w:b/>
          <w:spacing w:val="-2"/>
          <w:sz w:val="20"/>
        </w:rPr>
        <w:t>agrupación</w:t>
      </w:r>
    </w:p>
    <w:p>
      <w:pPr>
        <w:pStyle w:val="BodyText"/>
        <w:spacing w:before="97"/>
        <w:rPr>
          <w:b/>
          <w:sz w:val="20"/>
        </w:rPr>
      </w:pPr>
    </w:p>
    <w:p>
      <w:pPr>
        <w:spacing w:before="0"/>
        <w:ind w:left="1284" w:right="0" w:firstLine="0"/>
        <w:jc w:val="left"/>
        <w:rPr>
          <w:sz w:val="20"/>
        </w:rPr>
      </w:pPr>
      <w:r>
        <w:rPr>
          <w:spacing w:val="-2"/>
          <w:sz w:val="20"/>
        </w:rPr>
        <w:t>Alegación:</w:t>
      </w:r>
    </w:p>
    <w:p>
      <w:pPr>
        <w:spacing w:line="331" w:lineRule="auto" w:before="87"/>
        <w:ind w:left="1284" w:right="501" w:firstLine="0"/>
        <w:jc w:val="left"/>
        <w:rPr>
          <w:b/>
          <w:sz w:val="20"/>
        </w:rPr>
      </w:pPr>
      <w:r>
        <w:rPr>
          <w:b/>
          <w:sz w:val="20"/>
        </w:rPr>
        <mc:AlternateContent>
          <mc:Choice Requires="wps">
            <w:drawing>
              <wp:anchor distT="0" distB="0" distL="0" distR="0" allowOverlap="1" layoutInCell="1" locked="0" behindDoc="0" simplePos="0" relativeHeight="15945216">
                <wp:simplePos x="0" y="0"/>
                <wp:positionH relativeFrom="page">
                  <wp:posOffset>130383</wp:posOffset>
                </wp:positionH>
                <wp:positionV relativeFrom="paragraph">
                  <wp:posOffset>2821646</wp:posOffset>
                </wp:positionV>
                <wp:extent cx="138430" cy="2952750"/>
                <wp:effectExtent l="0" t="0" r="0" b="0"/>
                <wp:wrapNone/>
                <wp:docPr id="2177" name="Textbox 2177"/>
                <wp:cNvGraphicFramePr>
                  <a:graphicFrameLocks/>
                </wp:cNvGraphicFramePr>
                <a:graphic>
                  <a:graphicData uri="http://schemas.microsoft.com/office/word/2010/wordprocessingShape">
                    <wps:wsp>
                      <wps:cNvPr id="2177" name="Textbox 2177"/>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222.17691pt;width:10.9pt;height:232.5pt;mso-position-horizontal-relative:page;mso-position-vertical-relative:paragraph;z-index:15945216" type="#_x0000_t202" id="docshape1568"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45728">
                <wp:simplePos x="0" y="0"/>
                <wp:positionH relativeFrom="page">
                  <wp:posOffset>244784</wp:posOffset>
                </wp:positionH>
                <wp:positionV relativeFrom="paragraph">
                  <wp:posOffset>4030112</wp:posOffset>
                </wp:positionV>
                <wp:extent cx="251460" cy="1744345"/>
                <wp:effectExtent l="0" t="0" r="0" b="0"/>
                <wp:wrapNone/>
                <wp:docPr id="2178" name="Textbox 2178"/>
                <wp:cNvGraphicFramePr>
                  <a:graphicFrameLocks/>
                </wp:cNvGraphicFramePr>
                <a:graphic>
                  <a:graphicData uri="http://schemas.microsoft.com/office/word/2010/wordprocessingShape">
                    <wps:wsp>
                      <wps:cNvPr id="2178" name="Textbox 2178"/>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317.331696pt;width:19.8pt;height:137.35pt;mso-position-horizontal-relative:page;mso-position-vertical-relative:paragraph;z-index:15945728" type="#_x0000_t202" id="docshape1569"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46240">
                <wp:simplePos x="0" y="0"/>
                <wp:positionH relativeFrom="page">
                  <wp:posOffset>244784</wp:posOffset>
                </wp:positionH>
                <wp:positionV relativeFrom="paragraph">
                  <wp:posOffset>1580304</wp:posOffset>
                </wp:positionV>
                <wp:extent cx="138430" cy="2155190"/>
                <wp:effectExtent l="0" t="0" r="0" b="0"/>
                <wp:wrapNone/>
                <wp:docPr id="2179" name="Textbox 2179"/>
                <wp:cNvGraphicFramePr>
                  <a:graphicFrameLocks/>
                </wp:cNvGraphicFramePr>
                <a:graphic>
                  <a:graphicData uri="http://schemas.microsoft.com/office/word/2010/wordprocessingShape">
                    <wps:wsp>
                      <wps:cNvPr id="2179" name="Textbox 2179"/>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124.433434pt;width:10.9pt;height:169.7pt;mso-position-horizontal-relative:page;mso-position-vertical-relative:paragraph;z-index:15946240" type="#_x0000_t202" id="docshape1570"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mc:AlternateContent>
          <mc:Choice Requires="wps">
            <w:drawing>
              <wp:anchor distT="0" distB="0" distL="0" distR="0" allowOverlap="1" layoutInCell="1" locked="0" behindDoc="0" simplePos="0" relativeHeight="15946752">
                <wp:simplePos x="0" y="0"/>
                <wp:positionH relativeFrom="page">
                  <wp:posOffset>344017</wp:posOffset>
                </wp:positionH>
                <wp:positionV relativeFrom="paragraph">
                  <wp:posOffset>2630896</wp:posOffset>
                </wp:positionV>
                <wp:extent cx="163830" cy="2880995"/>
                <wp:effectExtent l="0" t="0" r="0" b="0"/>
                <wp:wrapNone/>
                <wp:docPr id="2180" name="Graphic 2180"/>
                <wp:cNvGraphicFramePr>
                  <a:graphicFrameLocks/>
                </wp:cNvGraphicFramePr>
                <a:graphic>
                  <a:graphicData uri="http://schemas.microsoft.com/office/word/2010/wordprocessingShape">
                    <wps:wsp>
                      <wps:cNvPr id="2180" name="Graphic 2180"/>
                      <wps:cNvSpPr/>
                      <wps:spPr>
                        <a:xfrm>
                          <a:off x="0" y="0"/>
                          <a:ext cx="163830" cy="2880995"/>
                        </a:xfrm>
                        <a:custGeom>
                          <a:avLst/>
                          <a:gdLst/>
                          <a:ahLst/>
                          <a:cxnLst/>
                          <a:rect l="l" t="t" r="r" b="b"/>
                          <a:pathLst>
                            <a:path w="163830" h="2880995">
                              <a:moveTo>
                                <a:pt x="163258" y="0"/>
                              </a:moveTo>
                              <a:lnTo>
                                <a:pt x="0" y="0"/>
                              </a:lnTo>
                              <a:lnTo>
                                <a:pt x="0" y="2454897"/>
                              </a:lnTo>
                              <a:lnTo>
                                <a:pt x="0" y="2481656"/>
                              </a:lnTo>
                              <a:lnTo>
                                <a:pt x="0" y="2512415"/>
                              </a:lnTo>
                              <a:lnTo>
                                <a:pt x="0" y="2536533"/>
                              </a:lnTo>
                              <a:lnTo>
                                <a:pt x="0" y="2880753"/>
                              </a:lnTo>
                              <a:lnTo>
                                <a:pt x="163258" y="2880753"/>
                              </a:lnTo>
                              <a:lnTo>
                                <a:pt x="163258" y="2536533"/>
                              </a:lnTo>
                              <a:lnTo>
                                <a:pt x="163258" y="2512415"/>
                              </a:lnTo>
                              <a:lnTo>
                                <a:pt x="163258" y="2481656"/>
                              </a:lnTo>
                              <a:lnTo>
                                <a:pt x="163258" y="2454897"/>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27.088001pt;margin-top:207.157211pt;width:12.9pt;height:226.85pt;mso-position-horizontal-relative:page;mso-position-vertical-relative:paragraph;z-index:15946752" id="docshape1571" coordorigin="542,4143" coordsize="258,4537" path="m799,4143l542,4143,542,8009,542,8051,542,8100,542,8138,542,8680,799,8680,799,8138,799,8100,799,8051,799,8009,799,4143xe" filled="true" fillcolor="#000000" stroked="false">
                <v:path arrowok="t"/>
                <v:fill type="solid"/>
                <w10:wrap type="none"/>
              </v:shape>
            </w:pict>
          </mc:Fallback>
        </mc:AlternateContent>
      </w:r>
      <w:r>
        <w:rPr>
          <w:b/>
          <w:sz w:val="20"/>
        </w:rPr>
        <w:t>La observación incluida en el informe no se ajusta a la realidad organizativa ni al funcionamiento efectivo de la Agrupación Innobus-Tur. Además del Comité de Proyecto, la Agrupación cuenta con una Comisión Técnica que viene reuniéndose de manera periódica desde el 15 de septiembre de 2022, aproximadamente cada mes y medio, manteniendo su actividad de forma continuada hasta junio de 2025. Se aportan como documentación complementaria las actas de las reuniones celebradas durante dicho periodo, recopiladas en la carpeta denominada “Reuniones INNOBUS”. Esta Comisión Técnica está</w:t>
      </w:r>
      <w:r>
        <w:rPr>
          <w:b/>
          <w:spacing w:val="-6"/>
          <w:sz w:val="20"/>
        </w:rPr>
        <w:t> </w:t>
      </w:r>
      <w:r>
        <w:rPr>
          <w:b/>
          <w:sz w:val="20"/>
        </w:rPr>
        <w:t>compuesta</w:t>
      </w:r>
      <w:r>
        <w:rPr>
          <w:b/>
          <w:spacing w:val="-6"/>
          <w:sz w:val="20"/>
        </w:rPr>
        <w:t> </w:t>
      </w:r>
      <w:r>
        <w:rPr>
          <w:b/>
          <w:sz w:val="20"/>
        </w:rPr>
        <w:t>por</w:t>
      </w:r>
      <w:r>
        <w:rPr>
          <w:b/>
          <w:spacing w:val="-6"/>
          <w:sz w:val="20"/>
        </w:rPr>
        <w:t> </w:t>
      </w:r>
      <w:r>
        <w:rPr>
          <w:b/>
          <w:sz w:val="20"/>
        </w:rPr>
        <w:t>técnicos</w:t>
      </w:r>
      <w:r>
        <w:rPr>
          <w:b/>
          <w:spacing w:val="-6"/>
          <w:sz w:val="20"/>
        </w:rPr>
        <w:t> </w:t>
      </w:r>
      <w:r>
        <w:rPr>
          <w:b/>
          <w:sz w:val="20"/>
        </w:rPr>
        <w:t>representantes</w:t>
      </w:r>
      <w:r>
        <w:rPr>
          <w:b/>
          <w:spacing w:val="-6"/>
          <w:sz w:val="20"/>
        </w:rPr>
        <w:t> </w:t>
      </w:r>
      <w:r>
        <w:rPr>
          <w:b/>
          <w:sz w:val="20"/>
        </w:rPr>
        <w:t>de</w:t>
      </w:r>
      <w:r>
        <w:rPr>
          <w:b/>
          <w:spacing w:val="-6"/>
          <w:sz w:val="20"/>
        </w:rPr>
        <w:t> </w:t>
      </w:r>
      <w:r>
        <w:rPr>
          <w:b/>
          <w:sz w:val="20"/>
        </w:rPr>
        <w:t>cada</w:t>
      </w:r>
      <w:r>
        <w:rPr>
          <w:b/>
          <w:spacing w:val="-6"/>
          <w:sz w:val="20"/>
        </w:rPr>
        <w:t> </w:t>
      </w:r>
      <w:r>
        <w:rPr>
          <w:b/>
          <w:sz w:val="20"/>
        </w:rPr>
        <w:t>una</w:t>
      </w:r>
      <w:r>
        <w:rPr>
          <w:b/>
          <w:spacing w:val="-6"/>
          <w:sz w:val="20"/>
        </w:rPr>
        <w:t> </w:t>
      </w:r>
      <w:r>
        <w:rPr>
          <w:b/>
          <w:sz w:val="20"/>
        </w:rPr>
        <w:t>de</w:t>
      </w:r>
      <w:r>
        <w:rPr>
          <w:b/>
          <w:spacing w:val="-4"/>
          <w:sz w:val="20"/>
        </w:rPr>
        <w:t> </w:t>
      </w:r>
      <w:r>
        <w:rPr>
          <w:b/>
          <w:sz w:val="20"/>
        </w:rPr>
        <w:t>las</w:t>
      </w:r>
      <w:r>
        <w:rPr>
          <w:b/>
          <w:spacing w:val="-6"/>
          <w:sz w:val="20"/>
        </w:rPr>
        <w:t> </w:t>
      </w:r>
      <w:r>
        <w:rPr>
          <w:b/>
          <w:sz w:val="20"/>
        </w:rPr>
        <w:t>empresas</w:t>
      </w:r>
      <w:r>
        <w:rPr>
          <w:b/>
          <w:spacing w:val="-6"/>
          <w:sz w:val="20"/>
        </w:rPr>
        <w:t> </w:t>
      </w:r>
      <w:r>
        <w:rPr>
          <w:b/>
          <w:sz w:val="20"/>
        </w:rPr>
        <w:t>de</w:t>
      </w:r>
      <w:r>
        <w:rPr>
          <w:b/>
          <w:spacing w:val="-4"/>
          <w:sz w:val="20"/>
        </w:rPr>
        <w:t> </w:t>
      </w:r>
      <w:r>
        <w:rPr>
          <w:b/>
          <w:sz w:val="20"/>
        </w:rPr>
        <w:t>transporte</w:t>
      </w:r>
      <w:r>
        <w:rPr>
          <w:b/>
          <w:spacing w:val="-6"/>
          <w:sz w:val="20"/>
        </w:rPr>
        <w:t> </w:t>
      </w:r>
      <w:r>
        <w:rPr>
          <w:b/>
          <w:sz w:val="20"/>
        </w:rPr>
        <w:t>que</w:t>
      </w:r>
      <w:r>
        <w:rPr>
          <w:b/>
          <w:spacing w:val="-6"/>
          <w:sz w:val="20"/>
        </w:rPr>
        <w:t> </w:t>
      </w:r>
      <w:r>
        <w:rPr>
          <w:b/>
          <w:sz w:val="20"/>
        </w:rPr>
        <w:t>integran</w:t>
      </w:r>
      <w:r>
        <w:rPr>
          <w:b/>
          <w:spacing w:val="-6"/>
          <w:sz w:val="20"/>
        </w:rPr>
        <w:t> </w:t>
      </w:r>
      <w:r>
        <w:rPr>
          <w:b/>
          <w:sz w:val="20"/>
        </w:rPr>
        <w:t>la Agrupación de Municipios Innobus-Tur, entre ellas la EMT de Palma. Su cometido principal es</w:t>
      </w:r>
      <w:r>
        <w:rPr>
          <w:b/>
          <w:sz w:val="20"/>
        </w:rPr>
        <w:t> coordinar los aspectos técnicos, operativos y tecnológicos de las distintas actuaciones vinculadas al proyecto. Durante estas sesiones se han analizado y compartido los avances en la ejecución de los proyectos, los resultados obtenidos, las metodologías implantadas y las soluciones técnicas desarrolladas. Dichos encuentros han constituido el foro principal de trabajo y coordinación técnica entre los socios, facilitando la unificación de criterios, el intercambio de información y la coherencia global</w:t>
      </w:r>
      <w:r>
        <w:rPr>
          <w:b/>
          <w:spacing w:val="-6"/>
          <w:sz w:val="20"/>
        </w:rPr>
        <w:t> </w:t>
      </w:r>
      <w:r>
        <w:rPr>
          <w:b/>
          <w:sz w:val="20"/>
        </w:rPr>
        <w:t>del</w:t>
      </w:r>
      <w:r>
        <w:rPr>
          <w:b/>
          <w:spacing w:val="-6"/>
          <w:sz w:val="20"/>
        </w:rPr>
        <w:t> </w:t>
      </w:r>
      <w:r>
        <w:rPr>
          <w:b/>
          <w:sz w:val="20"/>
        </w:rPr>
        <w:t>proyecto</w:t>
      </w:r>
      <w:r>
        <w:rPr>
          <w:b/>
          <w:spacing w:val="-6"/>
          <w:sz w:val="20"/>
        </w:rPr>
        <w:t> </w:t>
      </w:r>
      <w:r>
        <w:rPr>
          <w:b/>
          <w:sz w:val="20"/>
        </w:rPr>
        <w:t>en</w:t>
      </w:r>
      <w:r>
        <w:rPr>
          <w:b/>
          <w:spacing w:val="-4"/>
          <w:sz w:val="20"/>
        </w:rPr>
        <w:t> </w:t>
      </w:r>
      <w:r>
        <w:rPr>
          <w:b/>
          <w:sz w:val="20"/>
        </w:rPr>
        <w:t>las</w:t>
      </w:r>
      <w:r>
        <w:rPr>
          <w:b/>
          <w:spacing w:val="-6"/>
          <w:sz w:val="20"/>
        </w:rPr>
        <w:t> </w:t>
      </w:r>
      <w:r>
        <w:rPr>
          <w:b/>
          <w:sz w:val="20"/>
        </w:rPr>
        <w:t>diferentes</w:t>
      </w:r>
      <w:r>
        <w:rPr>
          <w:b/>
          <w:spacing w:val="-6"/>
          <w:sz w:val="20"/>
        </w:rPr>
        <w:t> </w:t>
      </w:r>
      <w:r>
        <w:rPr>
          <w:b/>
          <w:sz w:val="20"/>
        </w:rPr>
        <w:t>ciudades</w:t>
      </w:r>
      <w:r>
        <w:rPr>
          <w:b/>
          <w:spacing w:val="-6"/>
          <w:sz w:val="20"/>
        </w:rPr>
        <w:t> </w:t>
      </w:r>
      <w:r>
        <w:rPr>
          <w:b/>
          <w:sz w:val="20"/>
        </w:rPr>
        <w:t>participantes.Por</w:t>
      </w:r>
      <w:r>
        <w:rPr>
          <w:b/>
          <w:spacing w:val="-4"/>
          <w:sz w:val="20"/>
        </w:rPr>
        <w:t> </w:t>
      </w:r>
      <w:r>
        <w:rPr>
          <w:b/>
          <w:sz w:val="20"/>
        </w:rPr>
        <w:t>tanto,</w:t>
      </w:r>
      <w:r>
        <w:rPr>
          <w:b/>
          <w:spacing w:val="-6"/>
          <w:sz w:val="20"/>
        </w:rPr>
        <w:t> </w:t>
      </w:r>
      <w:r>
        <w:rPr>
          <w:b/>
          <w:sz w:val="20"/>
        </w:rPr>
        <w:t>aunque</w:t>
      </w:r>
      <w:r>
        <w:rPr>
          <w:b/>
          <w:spacing w:val="-6"/>
          <w:sz w:val="20"/>
        </w:rPr>
        <w:t> </w:t>
      </w:r>
      <w:r>
        <w:rPr>
          <w:b/>
          <w:sz w:val="20"/>
        </w:rPr>
        <w:t>las</w:t>
      </w:r>
      <w:r>
        <w:rPr>
          <w:b/>
          <w:spacing w:val="-6"/>
          <w:sz w:val="20"/>
        </w:rPr>
        <w:t> </w:t>
      </w:r>
      <w:r>
        <w:rPr>
          <w:b/>
          <w:sz w:val="20"/>
        </w:rPr>
        <w:t>reuniones</w:t>
      </w:r>
      <w:r>
        <w:rPr>
          <w:b/>
          <w:spacing w:val="-6"/>
          <w:sz w:val="20"/>
        </w:rPr>
        <w:t> </w:t>
      </w:r>
      <w:r>
        <w:rPr>
          <w:b/>
          <w:sz w:val="20"/>
        </w:rPr>
        <w:t>del</w:t>
      </w:r>
      <w:r>
        <w:rPr>
          <w:b/>
          <w:spacing w:val="-6"/>
          <w:sz w:val="20"/>
        </w:rPr>
        <w:t> </w:t>
      </w:r>
      <w:r>
        <w:rPr>
          <w:b/>
          <w:sz w:val="20"/>
        </w:rPr>
        <w:t>Comité de Proyecto han tenido un carácter más puntual y centrado en aspectos de gestión económica y administrativa, la coordinación técnica y operativa del proyecto se ha mantenido de forma constante y efectiva gracias a la labor desarrollada por la Comisión Técnica, que cumple precisamente las funciones de seguimiento, evaluación y puesta en común de resultados. Cabe señalar, además, que está prevista la celebración de una reunión final del Comité de Proyecto antes de la finalización de 2025, destinada a cerrar la justificación y la liquidación del proyecto, asegurando así el cumplimiento íntegro de las previsiones del convenio. En consecuencia, se solicita a este Tribunal de Cuentas que considere acreditado que la Agrupación de Municipios Innobus-Tur ha mantenido una actividad continuada de coordinación y seguimiento técnico durante toda la ejecución del proyecto, cumpliendo los objetivos de intercambio de información, procesos y resultados establecidos en el convenio. Por todo lo expuesto, y habiéndose aportado la documentación acreditativa correspondiente, se solicita la retirada de la observación formulada en el texto definitivo del informe.</w:t>
      </w:r>
    </w:p>
    <w:p>
      <w:pPr>
        <w:pStyle w:val="BodyText"/>
        <w:spacing w:before="119"/>
        <w:rPr>
          <w:b/>
          <w:sz w:val="20"/>
        </w:rPr>
      </w:pPr>
    </w:p>
    <w:p>
      <w:pPr>
        <w:spacing w:before="1"/>
        <w:ind w:left="1284" w:right="0" w:firstLine="0"/>
        <w:jc w:val="left"/>
        <w:rPr>
          <w:sz w:val="20"/>
        </w:rPr>
      </w:pPr>
      <w:r>
        <w:rPr>
          <w:sz w:val="20"/>
        </w:rPr>
        <w:t>Documentos</w:t>
      </w:r>
      <w:r>
        <w:rPr>
          <w:spacing w:val="-14"/>
          <w:sz w:val="20"/>
        </w:rPr>
        <w:t> </w:t>
      </w:r>
      <w:r>
        <w:rPr>
          <w:sz w:val="20"/>
        </w:rPr>
        <w:t>(descripción</w:t>
      </w:r>
      <w:r>
        <w:rPr>
          <w:spacing w:val="-13"/>
          <w:sz w:val="20"/>
        </w:rPr>
        <w:t> </w:t>
      </w:r>
      <w:r>
        <w:rPr>
          <w:sz w:val="20"/>
        </w:rPr>
        <w:t>de</w:t>
      </w:r>
      <w:r>
        <w:rPr>
          <w:spacing w:val="-11"/>
          <w:sz w:val="20"/>
        </w:rPr>
        <w:t> </w:t>
      </w:r>
      <w:r>
        <w:rPr>
          <w:sz w:val="20"/>
        </w:rPr>
        <w:t>los</w:t>
      </w:r>
      <w:r>
        <w:rPr>
          <w:spacing w:val="-11"/>
          <w:sz w:val="20"/>
        </w:rPr>
        <w:t> </w:t>
      </w:r>
      <w:r>
        <w:rPr>
          <w:sz w:val="20"/>
        </w:rPr>
        <w:t>documentos</w:t>
      </w:r>
      <w:r>
        <w:rPr>
          <w:spacing w:val="-14"/>
          <w:sz w:val="20"/>
        </w:rPr>
        <w:t> </w:t>
      </w:r>
      <w:r>
        <w:rPr>
          <w:spacing w:val="-2"/>
          <w:sz w:val="20"/>
        </w:rPr>
        <w:t>aportados):</w:t>
      </w:r>
    </w:p>
    <w:p>
      <w:pPr>
        <w:spacing w:before="87"/>
        <w:ind w:left="1284" w:right="0" w:firstLine="0"/>
        <w:jc w:val="left"/>
        <w:rPr>
          <w:b/>
          <w:sz w:val="20"/>
        </w:rPr>
      </w:pPr>
      <w:r>
        <w:rPr>
          <w:b/>
          <w:sz w:val="20"/>
        </w:rPr>
        <w:t>actas</w:t>
      </w:r>
      <w:r>
        <w:rPr>
          <w:b/>
          <w:spacing w:val="-11"/>
          <w:sz w:val="20"/>
        </w:rPr>
        <w:t> </w:t>
      </w:r>
      <w:r>
        <w:rPr>
          <w:b/>
          <w:spacing w:val="-2"/>
          <w:sz w:val="20"/>
        </w:rPr>
        <w:t>reuniones</w:t>
      </w:r>
    </w:p>
    <w:p>
      <w:pPr>
        <w:pStyle w:val="BodyText"/>
        <w:spacing w:before="178"/>
        <w:rPr>
          <w:b/>
          <w:sz w:val="20"/>
        </w:rPr>
      </w:pPr>
    </w:p>
    <w:p>
      <w:pPr>
        <w:spacing w:before="0"/>
        <w:ind w:left="1284" w:right="0" w:firstLine="0"/>
        <w:jc w:val="left"/>
        <w:rPr>
          <w:sz w:val="20"/>
        </w:rPr>
      </w:pPr>
      <w:r>
        <w:rPr>
          <w:spacing w:val="-2"/>
          <w:sz w:val="20"/>
        </w:rPr>
        <w:t>Documentos:</w:t>
      </w:r>
    </w:p>
    <w:p>
      <w:pPr>
        <w:spacing w:after="0"/>
        <w:jc w:val="left"/>
        <w:rPr>
          <w:sz w:val="20"/>
        </w:rPr>
        <w:sectPr>
          <w:pgSz w:w="11910" w:h="16840"/>
          <w:pgMar w:header="314" w:footer="481" w:top="1240" w:bottom="740" w:left="141" w:right="141"/>
        </w:sectPr>
      </w:pPr>
    </w:p>
    <w:p>
      <w:pPr>
        <w:pStyle w:val="BodyText"/>
        <w:rPr>
          <w:sz w:val="20"/>
        </w:rPr>
      </w:pPr>
    </w:p>
    <w:p>
      <w:pPr>
        <w:pStyle w:val="BodyText"/>
        <w:spacing w:before="59"/>
        <w:rPr>
          <w:sz w:val="20"/>
        </w:rPr>
      </w:pPr>
    </w:p>
    <w:p>
      <w:pPr>
        <w:spacing w:before="1"/>
        <w:ind w:left="1284" w:right="0" w:firstLine="0"/>
        <w:jc w:val="left"/>
        <w:rPr>
          <w:b/>
          <w:sz w:val="20"/>
        </w:rPr>
      </w:pPr>
      <w:r>
        <w:rPr>
          <w:b/>
          <w:spacing w:val="-2"/>
          <w:sz w:val="20"/>
        </w:rPr>
        <w:t>Nombre:</w:t>
      </w:r>
      <w:r>
        <w:rPr>
          <w:b/>
          <w:spacing w:val="1"/>
          <w:sz w:val="20"/>
        </w:rPr>
        <w:t> </w:t>
      </w:r>
      <w:r>
        <w:rPr>
          <w:b/>
          <w:spacing w:val="-2"/>
          <w:sz w:val="20"/>
        </w:rPr>
        <w:t>Reuniones</w:t>
      </w:r>
      <w:r>
        <w:rPr>
          <w:b/>
          <w:spacing w:val="1"/>
          <w:sz w:val="20"/>
        </w:rPr>
        <w:t> </w:t>
      </w:r>
      <w:r>
        <w:rPr>
          <w:b/>
          <w:spacing w:val="-2"/>
          <w:sz w:val="20"/>
        </w:rPr>
        <w:t>INNOBUS.zip,</w:t>
      </w:r>
      <w:r>
        <w:rPr>
          <w:b/>
          <w:spacing w:val="2"/>
          <w:sz w:val="20"/>
        </w:rPr>
        <w:t> </w:t>
      </w:r>
      <w:r>
        <w:rPr>
          <w:b/>
          <w:spacing w:val="-2"/>
          <w:sz w:val="20"/>
        </w:rPr>
        <w:t>Hash:</w:t>
      </w:r>
      <w:r>
        <w:rPr>
          <w:b/>
          <w:spacing w:val="1"/>
          <w:sz w:val="20"/>
        </w:rPr>
        <w:t> </w:t>
      </w:r>
      <w:r>
        <w:rPr>
          <w:b/>
          <w:spacing w:val="-2"/>
          <w:sz w:val="20"/>
        </w:rPr>
        <w:t>+89PC2G6xRoRtt9hBrd5fA==</w:t>
      </w:r>
    </w:p>
    <w:p>
      <w:pPr>
        <w:pStyle w:val="BodyText"/>
        <w:spacing w:before="178"/>
        <w:rPr>
          <w:b/>
          <w:sz w:val="20"/>
        </w:rPr>
      </w:pPr>
    </w:p>
    <w:p>
      <w:pPr>
        <w:spacing w:before="0"/>
        <w:ind w:left="1284" w:right="0" w:firstLine="0"/>
        <w:jc w:val="left"/>
        <w:rPr>
          <w:i/>
          <w:sz w:val="20"/>
        </w:rPr>
      </w:pPr>
      <w:r>
        <w:rPr>
          <w:i/>
          <w:sz w:val="20"/>
        </w:rPr>
        <w:t>Grupo</w:t>
      </w:r>
      <w:r>
        <w:rPr>
          <w:i/>
          <w:spacing w:val="-5"/>
          <w:sz w:val="20"/>
        </w:rPr>
        <w:t> </w:t>
      </w:r>
      <w:r>
        <w:rPr>
          <w:i/>
          <w:sz w:val="20"/>
        </w:rPr>
        <w:t>3</w:t>
      </w:r>
      <w:r>
        <w:rPr>
          <w:i/>
          <w:spacing w:val="-5"/>
          <w:sz w:val="20"/>
        </w:rPr>
        <w:t> </w:t>
      </w:r>
      <w:r>
        <w:rPr>
          <w:i/>
          <w:sz w:val="20"/>
        </w:rPr>
        <w:t>de</w:t>
      </w:r>
      <w:r>
        <w:rPr>
          <w:i/>
          <w:spacing w:val="-5"/>
          <w:sz w:val="20"/>
        </w:rPr>
        <w:t> </w:t>
      </w:r>
      <w:r>
        <w:rPr>
          <w:i/>
          <w:spacing w:val="-12"/>
          <w:sz w:val="20"/>
        </w:rPr>
        <w:t>3</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6"/>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9"/>
        <w:ind w:left="1284" w:right="0" w:firstLine="0"/>
        <w:jc w:val="left"/>
        <w:rPr>
          <w:b/>
          <w:sz w:val="20"/>
        </w:rPr>
      </w:pPr>
      <w:r>
        <w:rPr>
          <w:b/>
          <w:spacing w:val="-5"/>
          <w:sz w:val="20"/>
        </w:rPr>
        <w:t>99</w:t>
      </w:r>
    </w:p>
    <w:p>
      <w:pPr>
        <w:pStyle w:val="BodyText"/>
        <w:spacing w:before="176"/>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90"/>
        <w:ind w:left="1284" w:right="0" w:firstLine="0"/>
        <w:jc w:val="left"/>
        <w:rPr>
          <w:b/>
          <w:sz w:val="20"/>
        </w:rPr>
      </w:pPr>
      <w:r>
        <w:rPr>
          <w:b/>
          <w:spacing w:val="-2"/>
          <w:sz w:val="20"/>
        </w:rPr>
        <w:t>3-</w:t>
      </w:r>
      <w:r>
        <w:rPr>
          <w:b/>
          <w:spacing w:val="-10"/>
          <w:sz w:val="20"/>
        </w:rPr>
        <w:t>4</w:t>
      </w:r>
    </w:p>
    <w:p>
      <w:pPr>
        <w:pStyle w:val="BodyText"/>
        <w:spacing w:before="178"/>
        <w:rPr>
          <w:b/>
          <w:sz w:val="20"/>
        </w:rPr>
      </w:pPr>
    </w:p>
    <w:p>
      <w:pPr>
        <w:spacing w:before="0"/>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7"/>
        <w:ind w:left="1284" w:right="490" w:firstLine="0"/>
        <w:jc w:val="left"/>
        <w:rPr>
          <w:b/>
          <w:sz w:val="20"/>
        </w:rPr>
      </w:pPr>
      <w:r>
        <w:rPr>
          <w:b/>
          <w:sz w:val="20"/>
        </w:rPr>
        <mc:AlternateContent>
          <mc:Choice Requires="wps">
            <w:drawing>
              <wp:anchor distT="0" distB="0" distL="0" distR="0" allowOverlap="1" layoutInCell="1" locked="0" behindDoc="0" simplePos="0" relativeHeight="15947264">
                <wp:simplePos x="0" y="0"/>
                <wp:positionH relativeFrom="page">
                  <wp:posOffset>130383</wp:posOffset>
                </wp:positionH>
                <wp:positionV relativeFrom="paragraph">
                  <wp:posOffset>2821486</wp:posOffset>
                </wp:positionV>
                <wp:extent cx="138430" cy="2952750"/>
                <wp:effectExtent l="0" t="0" r="0" b="0"/>
                <wp:wrapNone/>
                <wp:docPr id="2181" name="Textbox 2181"/>
                <wp:cNvGraphicFramePr>
                  <a:graphicFrameLocks/>
                </wp:cNvGraphicFramePr>
                <a:graphic>
                  <a:graphicData uri="http://schemas.microsoft.com/office/word/2010/wordprocessingShape">
                    <wps:wsp>
                      <wps:cNvPr id="2181" name="Textbox 2181"/>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222.164322pt;width:10.9pt;height:232.5pt;mso-position-horizontal-relative:page;mso-position-vertical-relative:paragraph;z-index:15947264" type="#_x0000_t202" id="docshape1572"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48288">
                <wp:simplePos x="0" y="0"/>
                <wp:positionH relativeFrom="page">
                  <wp:posOffset>244784</wp:posOffset>
                </wp:positionH>
                <wp:positionV relativeFrom="paragraph">
                  <wp:posOffset>1580144</wp:posOffset>
                </wp:positionV>
                <wp:extent cx="138430" cy="2155190"/>
                <wp:effectExtent l="0" t="0" r="0" b="0"/>
                <wp:wrapNone/>
                <wp:docPr id="2182" name="Textbox 2182"/>
                <wp:cNvGraphicFramePr>
                  <a:graphicFrameLocks/>
                </wp:cNvGraphicFramePr>
                <a:graphic>
                  <a:graphicData uri="http://schemas.microsoft.com/office/word/2010/wordprocessingShape">
                    <wps:wsp>
                      <wps:cNvPr id="2182" name="Textbox 2182"/>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124.42083pt;width:10.9pt;height:169.7pt;mso-position-horizontal-relative:page;mso-position-vertical-relative:paragraph;z-index:15948288" type="#_x0000_t202" id="docshape1573"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mc:AlternateContent>
          <mc:Choice Requires="wps">
            <w:drawing>
              <wp:anchor distT="0" distB="0" distL="0" distR="0" allowOverlap="1" layoutInCell="1" locked="0" behindDoc="0" simplePos="0" relativeHeight="15948800">
                <wp:simplePos x="0" y="0"/>
                <wp:positionH relativeFrom="page">
                  <wp:posOffset>344030</wp:posOffset>
                </wp:positionH>
                <wp:positionV relativeFrom="paragraph">
                  <wp:posOffset>2630736</wp:posOffset>
                </wp:positionV>
                <wp:extent cx="163830" cy="2880995"/>
                <wp:effectExtent l="0" t="0" r="0" b="0"/>
                <wp:wrapNone/>
                <wp:docPr id="2183" name="Graphic 2183"/>
                <wp:cNvGraphicFramePr>
                  <a:graphicFrameLocks/>
                </wp:cNvGraphicFramePr>
                <a:graphic>
                  <a:graphicData uri="http://schemas.microsoft.com/office/word/2010/wordprocessingShape">
                    <wps:wsp>
                      <wps:cNvPr id="2183" name="Graphic 2183"/>
                      <wps:cNvSpPr/>
                      <wps:spPr>
                        <a:xfrm>
                          <a:off x="0" y="0"/>
                          <a:ext cx="163830" cy="2880995"/>
                        </a:xfrm>
                        <a:custGeom>
                          <a:avLst/>
                          <a:gdLst/>
                          <a:ahLst/>
                          <a:cxnLst/>
                          <a:rect l="l" t="t" r="r" b="b"/>
                          <a:pathLst>
                            <a:path w="163830" h="2880995">
                              <a:moveTo>
                                <a:pt x="163258" y="0"/>
                              </a:moveTo>
                              <a:lnTo>
                                <a:pt x="0" y="0"/>
                              </a:lnTo>
                              <a:lnTo>
                                <a:pt x="0" y="2880741"/>
                              </a:lnTo>
                              <a:lnTo>
                                <a:pt x="163258" y="2880741"/>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207.144626pt;width:12.855pt;height:226.83pt;mso-position-horizontal-relative:page;mso-position-vertical-relative:paragraph;z-index:15948800" id="docshape1574" filled="true" fillcolor="#000000" stroked="false">
                <v:fill type="solid"/>
                <w10:wrap type="none"/>
              </v:rect>
            </w:pict>
          </mc:Fallback>
        </mc:AlternateContent>
      </w:r>
      <w:r>
        <w:rPr>
          <w:b/>
          <w:sz w:val="20"/>
        </w:rPr>
        <w:t>La agrupación de municipios formada por los Ayuntamientos de Málaga, Palma y Las Palmas de Gran Canaria, junto con el de San Sebastián, para solicitar subvenciones del Programa de ayudas para la transformación digital y sostenible del transporte urbano, PRTR, tampoco ha llevado a cabo las actuaciones de seguimiento y puesta en común de las conclusiones, procesos y, en la medida de lo posible, de desarrollo de software común para abaratar los costes y trabajar a favor de la estandarización de los sistemas, previstas en el convenio por el que se constituyó. El Comité del Proyecto se ha reunido únicamente en tres ocasiones, todas ellas en 2024, con el único objetivo de revisar la ejecución del proyecto y adoptar decisiones sobre transferencias internas de presupuesto y evitar</w:t>
      </w:r>
      <w:r>
        <w:rPr>
          <w:b/>
          <w:spacing w:val="-6"/>
          <w:sz w:val="20"/>
        </w:rPr>
        <w:t> </w:t>
      </w:r>
      <w:r>
        <w:rPr>
          <w:b/>
          <w:sz w:val="20"/>
        </w:rPr>
        <w:t>de</w:t>
      </w:r>
      <w:r>
        <w:rPr>
          <w:b/>
          <w:spacing w:val="-6"/>
          <w:sz w:val="20"/>
        </w:rPr>
        <w:t> </w:t>
      </w:r>
      <w:r>
        <w:rPr>
          <w:b/>
          <w:sz w:val="20"/>
        </w:rPr>
        <w:t>esta</w:t>
      </w:r>
      <w:r>
        <w:rPr>
          <w:b/>
          <w:spacing w:val="-6"/>
          <w:sz w:val="20"/>
        </w:rPr>
        <w:t> </w:t>
      </w:r>
      <w:r>
        <w:rPr>
          <w:b/>
          <w:sz w:val="20"/>
        </w:rPr>
        <w:t>manera</w:t>
      </w:r>
      <w:r>
        <w:rPr>
          <w:b/>
          <w:spacing w:val="-6"/>
          <w:sz w:val="20"/>
        </w:rPr>
        <w:t> </w:t>
      </w:r>
      <w:r>
        <w:rPr>
          <w:b/>
          <w:sz w:val="20"/>
        </w:rPr>
        <w:t>posibles</w:t>
      </w:r>
      <w:r>
        <w:rPr>
          <w:b/>
          <w:spacing w:val="-6"/>
          <w:sz w:val="20"/>
        </w:rPr>
        <w:t> </w:t>
      </w:r>
      <w:r>
        <w:rPr>
          <w:b/>
          <w:sz w:val="20"/>
        </w:rPr>
        <w:t>incumplimientos</w:t>
      </w:r>
      <w:r>
        <w:rPr>
          <w:b/>
          <w:spacing w:val="-6"/>
          <w:sz w:val="20"/>
        </w:rPr>
        <w:t> </w:t>
      </w:r>
      <w:r>
        <w:rPr>
          <w:b/>
          <w:sz w:val="20"/>
        </w:rPr>
        <w:t>en</w:t>
      </w:r>
      <w:r>
        <w:rPr>
          <w:b/>
          <w:spacing w:val="-6"/>
          <w:sz w:val="20"/>
        </w:rPr>
        <w:t> </w:t>
      </w:r>
      <w:r>
        <w:rPr>
          <w:b/>
          <w:sz w:val="20"/>
        </w:rPr>
        <w:t>algunas</w:t>
      </w:r>
      <w:r>
        <w:rPr>
          <w:b/>
          <w:spacing w:val="-4"/>
          <w:sz w:val="20"/>
        </w:rPr>
        <w:t> </w:t>
      </w:r>
      <w:r>
        <w:rPr>
          <w:b/>
          <w:sz w:val="20"/>
        </w:rPr>
        <w:t>de</w:t>
      </w:r>
      <w:r>
        <w:rPr>
          <w:b/>
          <w:spacing w:val="-6"/>
          <w:sz w:val="20"/>
        </w:rPr>
        <w:t> </w:t>
      </w:r>
      <w:r>
        <w:rPr>
          <w:b/>
          <w:sz w:val="20"/>
        </w:rPr>
        <w:t>las</w:t>
      </w:r>
      <w:r>
        <w:rPr>
          <w:b/>
          <w:spacing w:val="-6"/>
          <w:sz w:val="20"/>
        </w:rPr>
        <w:t> </w:t>
      </w:r>
      <w:r>
        <w:rPr>
          <w:b/>
          <w:sz w:val="20"/>
        </w:rPr>
        <w:t>actuaciones</w:t>
      </w:r>
      <w:r>
        <w:rPr>
          <w:b/>
          <w:spacing w:val="-6"/>
          <w:sz w:val="20"/>
        </w:rPr>
        <w:t> </w:t>
      </w:r>
      <w:r>
        <w:rPr>
          <w:b/>
          <w:sz w:val="20"/>
        </w:rPr>
        <w:t>previstas</w:t>
      </w:r>
      <w:r>
        <w:rPr>
          <w:b/>
          <w:spacing w:val="-6"/>
          <w:sz w:val="20"/>
        </w:rPr>
        <w:t> </w:t>
      </w:r>
      <w:r>
        <w:rPr>
          <w:b/>
          <w:sz w:val="20"/>
        </w:rPr>
        <w:t>en</w:t>
      </w:r>
      <w:r>
        <w:rPr>
          <w:b/>
          <w:spacing w:val="-6"/>
          <w:sz w:val="20"/>
        </w:rPr>
        <w:t> </w:t>
      </w:r>
      <w:r>
        <w:rPr>
          <w:b/>
          <w:sz w:val="20"/>
        </w:rPr>
        <w:t>el</w:t>
      </w:r>
      <w:r>
        <w:rPr>
          <w:b/>
          <w:spacing w:val="-6"/>
          <w:sz w:val="20"/>
        </w:rPr>
        <w:t> </w:t>
      </w:r>
      <w:r>
        <w:rPr>
          <w:b/>
          <w:sz w:val="20"/>
        </w:rPr>
        <w:t>proyecto. Los ayuntamientos examinados o las empresas concesionarias del servicio de transporte público colectivo</w:t>
      </w:r>
      <w:r>
        <w:rPr>
          <w:b/>
          <w:spacing w:val="-6"/>
          <w:sz w:val="20"/>
        </w:rPr>
        <w:t> </w:t>
      </w:r>
      <w:r>
        <w:rPr>
          <w:b/>
          <w:sz w:val="20"/>
        </w:rPr>
        <w:t>urbano</w:t>
      </w:r>
      <w:r>
        <w:rPr>
          <w:b/>
          <w:spacing w:val="-4"/>
          <w:sz w:val="20"/>
        </w:rPr>
        <w:t> </w:t>
      </w:r>
      <w:r>
        <w:rPr>
          <w:b/>
          <w:sz w:val="20"/>
        </w:rPr>
        <w:t>realizan</w:t>
      </w:r>
      <w:r>
        <w:rPr>
          <w:b/>
          <w:spacing w:val="-6"/>
          <w:sz w:val="20"/>
        </w:rPr>
        <w:t> </w:t>
      </w:r>
      <w:r>
        <w:rPr>
          <w:b/>
          <w:sz w:val="20"/>
        </w:rPr>
        <w:t>encuestas</w:t>
      </w:r>
      <w:r>
        <w:rPr>
          <w:b/>
          <w:spacing w:val="-4"/>
          <w:sz w:val="20"/>
        </w:rPr>
        <w:t> </w:t>
      </w:r>
      <w:r>
        <w:rPr>
          <w:b/>
          <w:sz w:val="20"/>
        </w:rPr>
        <w:t>de</w:t>
      </w:r>
      <w:r>
        <w:rPr>
          <w:b/>
          <w:spacing w:val="-4"/>
          <w:sz w:val="20"/>
        </w:rPr>
        <w:t> </w:t>
      </w:r>
      <w:r>
        <w:rPr>
          <w:b/>
          <w:sz w:val="20"/>
        </w:rPr>
        <w:t>satisfacción</w:t>
      </w:r>
      <w:r>
        <w:rPr>
          <w:b/>
          <w:spacing w:val="-4"/>
          <w:sz w:val="20"/>
        </w:rPr>
        <w:t> </w:t>
      </w:r>
      <w:r>
        <w:rPr>
          <w:b/>
          <w:sz w:val="20"/>
        </w:rPr>
        <w:t>a</w:t>
      </w:r>
      <w:r>
        <w:rPr>
          <w:b/>
          <w:spacing w:val="-4"/>
          <w:sz w:val="20"/>
        </w:rPr>
        <w:t> </w:t>
      </w:r>
      <w:r>
        <w:rPr>
          <w:b/>
          <w:sz w:val="20"/>
        </w:rPr>
        <w:t>los</w:t>
      </w:r>
      <w:r>
        <w:rPr>
          <w:b/>
          <w:spacing w:val="-4"/>
          <w:sz w:val="20"/>
        </w:rPr>
        <w:t> </w:t>
      </w:r>
      <w:r>
        <w:rPr>
          <w:b/>
          <w:sz w:val="20"/>
        </w:rPr>
        <w:t>usuarios,</w:t>
      </w:r>
      <w:r>
        <w:rPr>
          <w:b/>
          <w:spacing w:val="-4"/>
          <w:sz w:val="20"/>
        </w:rPr>
        <w:t> </w:t>
      </w:r>
      <w:r>
        <w:rPr>
          <w:b/>
          <w:sz w:val="20"/>
        </w:rPr>
        <w:t>que</w:t>
      </w:r>
      <w:r>
        <w:rPr>
          <w:b/>
          <w:spacing w:val="-4"/>
          <w:sz w:val="20"/>
        </w:rPr>
        <w:t> </w:t>
      </w:r>
      <w:r>
        <w:rPr>
          <w:b/>
          <w:sz w:val="20"/>
        </w:rPr>
        <w:t>les</w:t>
      </w:r>
      <w:r>
        <w:rPr>
          <w:b/>
          <w:spacing w:val="-2"/>
          <w:sz w:val="20"/>
        </w:rPr>
        <w:t> </w:t>
      </w:r>
      <w:r>
        <w:rPr>
          <w:b/>
          <w:sz w:val="20"/>
        </w:rPr>
        <w:t>permiten</w:t>
      </w:r>
      <w:r>
        <w:rPr>
          <w:b/>
          <w:spacing w:val="-4"/>
          <w:sz w:val="20"/>
        </w:rPr>
        <w:t> </w:t>
      </w:r>
      <w:r>
        <w:rPr>
          <w:b/>
          <w:sz w:val="20"/>
        </w:rPr>
        <w:t>conocer</w:t>
      </w:r>
      <w:r>
        <w:rPr>
          <w:b/>
          <w:spacing w:val="-4"/>
          <w:sz w:val="20"/>
        </w:rPr>
        <w:t> </w:t>
      </w:r>
      <w:r>
        <w:rPr>
          <w:b/>
          <w:sz w:val="20"/>
        </w:rPr>
        <w:t>la</w:t>
      </w:r>
      <w:r>
        <w:rPr>
          <w:b/>
          <w:spacing w:val="-4"/>
          <w:sz w:val="20"/>
        </w:rPr>
        <w:t> </w:t>
      </w:r>
      <w:r>
        <w:rPr>
          <w:b/>
          <w:sz w:val="20"/>
        </w:rPr>
        <w:t>opinión de los viajeros sobre la calidad del servicio, la infraestructura, la seguridad, los precios y la cobertura, utilizando cuestionarios para identificar áreas de mejora y evaluar la experiencia del usuario. (Subapartado II.4) RECOMENDACIÓN N.º 6: Los ayuntamientos fiscalizados deberían establecer los procedimientos que sean precisos para verificar el grado de ejecución y la efectividad de las actuaciones realizadas para lograr la movilidad del transporte público colectivo y su adecuación a las necesidades del servicio. Dicho seguimiento debería servir también para identificar aspectos susceptibles de mejora y/o de actualización, a la vista de los resultados obtenidos y de las novedades que, en áreas como la digitalización, puedan surgir periódicamente en el sector.</w:t>
      </w:r>
    </w:p>
    <w:p>
      <w:pPr>
        <w:pStyle w:val="BodyText"/>
        <w:spacing w:before="111"/>
        <w:rPr>
          <w:b/>
          <w:sz w:val="20"/>
        </w:rPr>
      </w:pPr>
    </w:p>
    <w:p>
      <w:pPr>
        <w:spacing w:before="1"/>
        <w:ind w:left="1284" w:right="0" w:firstLine="0"/>
        <w:jc w:val="left"/>
        <w:rPr>
          <w:sz w:val="20"/>
        </w:rPr>
      </w:pPr>
      <w:r>
        <w:rPr>
          <w:sz w:val="20"/>
        </w:rPr>
        <mc:AlternateContent>
          <mc:Choice Requires="wps">
            <w:drawing>
              <wp:anchor distT="0" distB="0" distL="0" distR="0" allowOverlap="1" layoutInCell="1" locked="0" behindDoc="0" simplePos="0" relativeHeight="15947776">
                <wp:simplePos x="0" y="0"/>
                <wp:positionH relativeFrom="page">
                  <wp:posOffset>244784</wp:posOffset>
                </wp:positionH>
                <wp:positionV relativeFrom="paragraph">
                  <wp:posOffset>-70921</wp:posOffset>
                </wp:positionV>
                <wp:extent cx="251460" cy="1744345"/>
                <wp:effectExtent l="0" t="0" r="0" b="0"/>
                <wp:wrapNone/>
                <wp:docPr id="2184" name="Textbox 2184"/>
                <wp:cNvGraphicFramePr>
                  <a:graphicFrameLocks/>
                </wp:cNvGraphicFramePr>
                <a:graphic>
                  <a:graphicData uri="http://schemas.microsoft.com/office/word/2010/wordprocessingShape">
                    <wps:wsp>
                      <wps:cNvPr id="2184" name="Textbox 2184"/>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5.584332pt;width:19.8pt;height:137.35pt;mso-position-horizontal-relative:page;mso-position-vertical-relative:paragraph;z-index:15947776" type="#_x0000_t202" id="docshape1575"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spacing w:val="-2"/>
          <w:sz w:val="20"/>
        </w:rPr>
        <w:t>Alegación:</w:t>
      </w:r>
    </w:p>
    <w:p>
      <w:pPr>
        <w:spacing w:line="333" w:lineRule="auto" w:before="86"/>
        <w:ind w:left="1284" w:right="496" w:firstLine="0"/>
        <w:jc w:val="left"/>
        <w:rPr>
          <w:b/>
          <w:sz w:val="20"/>
        </w:rPr>
      </w:pPr>
      <w:r>
        <w:rPr>
          <w:b/>
          <w:sz w:val="20"/>
        </w:rPr>
        <w:t>En relación con esta recomendación, se reitera lo ya expuesto en alegaciones anteriores, concretamente en la formulada respecto a la página 80 del anteproyecto, donde se detalló que la Agrupación de Municipios Innobus-Tur, de la que forma parte el Ayuntamiento de Palma, ha venido desarrollando de manera continuada actuaciones de coordinación técnica, seguimiento y puesta en común de resultados. La Agrupación dispone de una Comisión Técnica que se encuentra activa desde el 15 de septiembre de 2022, integrada por técnicos representantes de las empresas de transporte de los</w:t>
      </w:r>
      <w:r>
        <w:rPr>
          <w:b/>
          <w:spacing w:val="-4"/>
          <w:sz w:val="20"/>
        </w:rPr>
        <w:t> </w:t>
      </w:r>
      <w:r>
        <w:rPr>
          <w:b/>
          <w:sz w:val="20"/>
        </w:rPr>
        <w:t>municipios</w:t>
      </w:r>
      <w:r>
        <w:rPr>
          <w:b/>
          <w:spacing w:val="-6"/>
          <w:sz w:val="20"/>
        </w:rPr>
        <w:t> </w:t>
      </w:r>
      <w:r>
        <w:rPr>
          <w:b/>
          <w:sz w:val="20"/>
        </w:rPr>
        <w:t>participantes.</w:t>
      </w:r>
      <w:r>
        <w:rPr>
          <w:b/>
          <w:spacing w:val="-6"/>
          <w:sz w:val="20"/>
        </w:rPr>
        <w:t> </w:t>
      </w:r>
      <w:r>
        <w:rPr>
          <w:b/>
          <w:sz w:val="20"/>
        </w:rPr>
        <w:t>Esta</w:t>
      </w:r>
      <w:r>
        <w:rPr>
          <w:b/>
          <w:spacing w:val="-6"/>
          <w:sz w:val="20"/>
        </w:rPr>
        <w:t> </w:t>
      </w:r>
      <w:r>
        <w:rPr>
          <w:b/>
          <w:sz w:val="20"/>
        </w:rPr>
        <w:t>Comisión</w:t>
      </w:r>
      <w:r>
        <w:rPr>
          <w:b/>
          <w:spacing w:val="-4"/>
          <w:sz w:val="20"/>
        </w:rPr>
        <w:t> </w:t>
      </w:r>
      <w:r>
        <w:rPr>
          <w:b/>
          <w:sz w:val="20"/>
        </w:rPr>
        <w:t>se</w:t>
      </w:r>
      <w:r>
        <w:rPr>
          <w:b/>
          <w:spacing w:val="-6"/>
          <w:sz w:val="20"/>
        </w:rPr>
        <w:t> </w:t>
      </w:r>
      <w:r>
        <w:rPr>
          <w:b/>
          <w:sz w:val="20"/>
        </w:rPr>
        <w:t>reúne</w:t>
      </w:r>
      <w:r>
        <w:rPr>
          <w:b/>
          <w:spacing w:val="-6"/>
          <w:sz w:val="20"/>
        </w:rPr>
        <w:t> </w:t>
      </w:r>
      <w:r>
        <w:rPr>
          <w:b/>
          <w:sz w:val="20"/>
        </w:rPr>
        <w:t>con</w:t>
      </w:r>
      <w:r>
        <w:rPr>
          <w:b/>
          <w:spacing w:val="-6"/>
          <w:sz w:val="20"/>
        </w:rPr>
        <w:t> </w:t>
      </w:r>
      <w:r>
        <w:rPr>
          <w:b/>
          <w:sz w:val="20"/>
        </w:rPr>
        <w:t>una</w:t>
      </w:r>
      <w:r>
        <w:rPr>
          <w:b/>
          <w:spacing w:val="-6"/>
          <w:sz w:val="20"/>
        </w:rPr>
        <w:t> </w:t>
      </w:r>
      <w:r>
        <w:rPr>
          <w:b/>
          <w:sz w:val="20"/>
        </w:rPr>
        <w:t>periodicidad</w:t>
      </w:r>
      <w:r>
        <w:rPr>
          <w:b/>
          <w:spacing w:val="-6"/>
          <w:sz w:val="20"/>
        </w:rPr>
        <w:t> </w:t>
      </w:r>
      <w:r>
        <w:rPr>
          <w:b/>
          <w:sz w:val="20"/>
        </w:rPr>
        <w:t>aproximada</w:t>
      </w:r>
      <w:r>
        <w:rPr>
          <w:b/>
          <w:spacing w:val="-6"/>
          <w:sz w:val="20"/>
        </w:rPr>
        <w:t> </w:t>
      </w:r>
      <w:r>
        <w:rPr>
          <w:b/>
          <w:sz w:val="20"/>
        </w:rPr>
        <w:t>de</w:t>
      </w:r>
      <w:r>
        <w:rPr>
          <w:b/>
          <w:spacing w:val="-6"/>
          <w:sz w:val="20"/>
        </w:rPr>
        <w:t> </w:t>
      </w:r>
      <w:r>
        <w:rPr>
          <w:b/>
          <w:sz w:val="20"/>
        </w:rPr>
        <w:t>mes</w:t>
      </w:r>
      <w:r>
        <w:rPr>
          <w:b/>
          <w:spacing w:val="-6"/>
          <w:sz w:val="20"/>
        </w:rPr>
        <w:t> </w:t>
      </w:r>
      <w:r>
        <w:rPr>
          <w:b/>
          <w:sz w:val="20"/>
        </w:rPr>
        <w:t>y</w:t>
      </w:r>
      <w:r>
        <w:rPr>
          <w:b/>
          <w:spacing w:val="-6"/>
          <w:sz w:val="20"/>
        </w:rPr>
        <w:t> </w:t>
      </w:r>
      <w:r>
        <w:rPr>
          <w:b/>
          <w:sz w:val="20"/>
        </w:rPr>
        <w:t>medio y constituye el principal órgano de trabajo y coordinación operativa del proyecto. En el marco</w:t>
      </w:r>
      <w:r>
        <w:rPr>
          <w:b/>
          <w:spacing w:val="-2"/>
          <w:sz w:val="20"/>
        </w:rPr>
        <w:t> </w:t>
      </w:r>
      <w:r>
        <w:rPr>
          <w:b/>
          <w:sz w:val="20"/>
        </w:rPr>
        <w:t>de estas reuniones se han analizado conjuntamente los progresos de las distintas actuaciones, los procesos técnicos y de digitalización implantados, así como los resultados obtenidos y las buenas prácticas</w:t>
      </w:r>
    </w:p>
    <w:p>
      <w:pPr>
        <w:spacing w:after="0" w:line="333" w:lineRule="auto"/>
        <w:jc w:val="left"/>
        <w:rPr>
          <w:b/>
          <w:sz w:val="20"/>
        </w:rPr>
        <w:sectPr>
          <w:pgSz w:w="11910" w:h="16840"/>
          <w:pgMar w:header="314" w:footer="481" w:top="1240" w:bottom="680" w:left="141" w:right="141"/>
        </w:sectPr>
      </w:pPr>
    </w:p>
    <w:p>
      <w:pPr>
        <w:pStyle w:val="BodyText"/>
        <w:rPr>
          <w:b/>
          <w:sz w:val="20"/>
        </w:rPr>
      </w:pPr>
      <w:r>
        <w:rPr>
          <w:b/>
          <w:sz w:val="20"/>
        </w:rPr>
        <mc:AlternateContent>
          <mc:Choice Requires="wps">
            <w:drawing>
              <wp:anchor distT="0" distB="0" distL="0" distR="0" allowOverlap="1" layoutInCell="1" locked="0" behindDoc="0" simplePos="0" relativeHeight="15949312">
                <wp:simplePos x="0" y="0"/>
                <wp:positionH relativeFrom="page">
                  <wp:posOffset>130383</wp:posOffset>
                </wp:positionH>
                <wp:positionV relativeFrom="page">
                  <wp:posOffset>6716378</wp:posOffset>
                </wp:positionV>
                <wp:extent cx="138430" cy="2952750"/>
                <wp:effectExtent l="0" t="0" r="0" b="0"/>
                <wp:wrapNone/>
                <wp:docPr id="2185" name="Textbox 2185"/>
                <wp:cNvGraphicFramePr>
                  <a:graphicFrameLocks/>
                </wp:cNvGraphicFramePr>
                <a:graphic>
                  <a:graphicData uri="http://schemas.microsoft.com/office/word/2010/wordprocessingShape">
                    <wps:wsp>
                      <wps:cNvPr id="2185" name="Textbox 2185"/>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528.848694pt;width:10.9pt;height:232.5pt;mso-position-horizontal-relative:page;mso-position-vertical-relative:page;z-index:15949312" type="#_x0000_t202" id="docshape1576"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49824">
                <wp:simplePos x="0" y="0"/>
                <wp:positionH relativeFrom="page">
                  <wp:posOffset>244784</wp:posOffset>
                </wp:positionH>
                <wp:positionV relativeFrom="page">
                  <wp:posOffset>7924844</wp:posOffset>
                </wp:positionV>
                <wp:extent cx="251460" cy="1744345"/>
                <wp:effectExtent l="0" t="0" r="0" b="0"/>
                <wp:wrapNone/>
                <wp:docPr id="2186" name="Textbox 2186"/>
                <wp:cNvGraphicFramePr>
                  <a:graphicFrameLocks/>
                </wp:cNvGraphicFramePr>
                <a:graphic>
                  <a:graphicData uri="http://schemas.microsoft.com/office/word/2010/wordprocessingShape">
                    <wps:wsp>
                      <wps:cNvPr id="2186" name="Textbox 2186"/>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624.003479pt;width:19.8pt;height:137.35pt;mso-position-horizontal-relative:page;mso-position-vertical-relative:page;z-index:15949824" type="#_x0000_t202" id="docshape1577"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50336">
                <wp:simplePos x="0" y="0"/>
                <wp:positionH relativeFrom="page">
                  <wp:posOffset>244784</wp:posOffset>
                </wp:positionH>
                <wp:positionV relativeFrom="page">
                  <wp:posOffset>5475036</wp:posOffset>
                </wp:positionV>
                <wp:extent cx="138430" cy="2155190"/>
                <wp:effectExtent l="0" t="0" r="0" b="0"/>
                <wp:wrapNone/>
                <wp:docPr id="2187" name="Textbox 2187"/>
                <wp:cNvGraphicFramePr>
                  <a:graphicFrameLocks/>
                </wp:cNvGraphicFramePr>
                <a:graphic>
                  <a:graphicData uri="http://schemas.microsoft.com/office/word/2010/wordprocessingShape">
                    <wps:wsp>
                      <wps:cNvPr id="2187" name="Textbox 2187"/>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431.105225pt;width:10.9pt;height:169.7pt;mso-position-horizontal-relative:page;mso-position-vertical-relative:page;z-index:15950336" type="#_x0000_t202" id="docshape1578"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mc:AlternateContent>
          <mc:Choice Requires="wps">
            <w:drawing>
              <wp:anchor distT="0" distB="0" distL="0" distR="0" allowOverlap="1" layoutInCell="1" locked="0" behindDoc="0" simplePos="0" relativeHeight="15950848">
                <wp:simplePos x="0" y="0"/>
                <wp:positionH relativeFrom="page">
                  <wp:posOffset>344030</wp:posOffset>
                </wp:positionH>
                <wp:positionV relativeFrom="page">
                  <wp:posOffset>6525628</wp:posOffset>
                </wp:positionV>
                <wp:extent cx="163830" cy="2880995"/>
                <wp:effectExtent l="0" t="0" r="0" b="0"/>
                <wp:wrapNone/>
                <wp:docPr id="2188" name="Graphic 2188"/>
                <wp:cNvGraphicFramePr>
                  <a:graphicFrameLocks/>
                </wp:cNvGraphicFramePr>
                <a:graphic>
                  <a:graphicData uri="http://schemas.microsoft.com/office/word/2010/wordprocessingShape">
                    <wps:wsp>
                      <wps:cNvPr id="2188" name="Graphic 2188"/>
                      <wps:cNvSpPr/>
                      <wps:spPr>
                        <a:xfrm>
                          <a:off x="0" y="0"/>
                          <a:ext cx="163830" cy="2880995"/>
                        </a:xfrm>
                        <a:custGeom>
                          <a:avLst/>
                          <a:gdLst/>
                          <a:ahLst/>
                          <a:cxnLst/>
                          <a:rect l="l" t="t" r="r" b="b"/>
                          <a:pathLst>
                            <a:path w="163830" h="2880995">
                              <a:moveTo>
                                <a:pt x="163258" y="0"/>
                              </a:moveTo>
                              <a:lnTo>
                                <a:pt x="0" y="0"/>
                              </a:lnTo>
                              <a:lnTo>
                                <a:pt x="0" y="2880741"/>
                              </a:lnTo>
                              <a:lnTo>
                                <a:pt x="163258" y="2880741"/>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513.829043pt;width:12.855pt;height:226.83pt;mso-position-horizontal-relative:page;mso-position-vertical-relative:page;z-index:15950848" id="docshape1579" filled="true" fillcolor="#000000" stroked="false">
                <v:fill type="solid"/>
                <w10:wrap type="none"/>
              </v:rect>
            </w:pict>
          </mc:Fallback>
        </mc:AlternateContent>
      </w:r>
    </w:p>
    <w:p>
      <w:pPr>
        <w:pStyle w:val="BodyText"/>
        <w:spacing w:before="59"/>
        <w:rPr>
          <w:b/>
          <w:sz w:val="20"/>
        </w:rPr>
      </w:pPr>
    </w:p>
    <w:p>
      <w:pPr>
        <w:spacing w:line="331" w:lineRule="auto" w:before="1"/>
        <w:ind w:left="1284" w:right="516" w:firstLine="0"/>
        <w:jc w:val="left"/>
        <w:rPr>
          <w:b/>
          <w:sz w:val="20"/>
        </w:rPr>
      </w:pPr>
      <w:r>
        <w:rPr>
          <w:b/>
          <w:sz w:val="20"/>
        </w:rPr>
        <w:t>compartidas entre las ciudades implicadas. Del mismo modo, está prevista la celebración de una sesión final del Comité de Proyecto antes de concluir 2025, con el propósito de presentar la justificación definitiva y planificar la liquidación del convenio y su adenda, garantizando así el cierre ordenado</w:t>
      </w:r>
      <w:r>
        <w:rPr>
          <w:b/>
          <w:spacing w:val="-6"/>
          <w:sz w:val="20"/>
        </w:rPr>
        <w:t> </w:t>
      </w:r>
      <w:r>
        <w:rPr>
          <w:b/>
          <w:sz w:val="20"/>
        </w:rPr>
        <w:t>del</w:t>
      </w:r>
      <w:r>
        <w:rPr>
          <w:b/>
          <w:spacing w:val="-4"/>
          <w:sz w:val="20"/>
        </w:rPr>
        <w:t> </w:t>
      </w:r>
      <w:r>
        <w:rPr>
          <w:b/>
          <w:sz w:val="20"/>
        </w:rPr>
        <w:t>proyecto.</w:t>
      </w:r>
      <w:r>
        <w:rPr>
          <w:b/>
          <w:spacing w:val="-6"/>
          <w:sz w:val="20"/>
        </w:rPr>
        <w:t> </w:t>
      </w:r>
      <w:r>
        <w:rPr>
          <w:b/>
          <w:sz w:val="20"/>
        </w:rPr>
        <w:t>Por</w:t>
      </w:r>
      <w:r>
        <w:rPr>
          <w:b/>
          <w:spacing w:val="-6"/>
          <w:sz w:val="20"/>
        </w:rPr>
        <w:t> </w:t>
      </w:r>
      <w:r>
        <w:rPr>
          <w:b/>
          <w:sz w:val="20"/>
        </w:rPr>
        <w:t>todo</w:t>
      </w:r>
      <w:r>
        <w:rPr>
          <w:b/>
          <w:spacing w:val="-6"/>
          <w:sz w:val="20"/>
        </w:rPr>
        <w:t> </w:t>
      </w:r>
      <w:r>
        <w:rPr>
          <w:b/>
          <w:sz w:val="20"/>
        </w:rPr>
        <w:t>ello,</w:t>
      </w:r>
      <w:r>
        <w:rPr>
          <w:b/>
          <w:spacing w:val="-6"/>
          <w:sz w:val="20"/>
        </w:rPr>
        <w:t> </w:t>
      </w:r>
      <w:r>
        <w:rPr>
          <w:b/>
          <w:sz w:val="20"/>
        </w:rPr>
        <w:t>los</w:t>
      </w:r>
      <w:r>
        <w:rPr>
          <w:b/>
          <w:spacing w:val="-6"/>
          <w:sz w:val="20"/>
        </w:rPr>
        <w:t> </w:t>
      </w:r>
      <w:r>
        <w:rPr>
          <w:b/>
          <w:sz w:val="20"/>
        </w:rPr>
        <w:t>argumentos</w:t>
      </w:r>
      <w:r>
        <w:rPr>
          <w:b/>
          <w:spacing w:val="-4"/>
          <w:sz w:val="20"/>
        </w:rPr>
        <w:t> </w:t>
      </w:r>
      <w:r>
        <w:rPr>
          <w:b/>
          <w:sz w:val="20"/>
        </w:rPr>
        <w:t>y</w:t>
      </w:r>
      <w:r>
        <w:rPr>
          <w:b/>
          <w:spacing w:val="-6"/>
          <w:sz w:val="20"/>
        </w:rPr>
        <w:t> </w:t>
      </w:r>
      <w:r>
        <w:rPr>
          <w:b/>
          <w:sz w:val="20"/>
        </w:rPr>
        <w:t>la</w:t>
      </w:r>
      <w:r>
        <w:rPr>
          <w:b/>
          <w:spacing w:val="-6"/>
          <w:sz w:val="20"/>
        </w:rPr>
        <w:t> </w:t>
      </w:r>
      <w:r>
        <w:rPr>
          <w:b/>
          <w:sz w:val="20"/>
        </w:rPr>
        <w:t>documentación</w:t>
      </w:r>
      <w:r>
        <w:rPr>
          <w:b/>
          <w:spacing w:val="-4"/>
          <w:sz w:val="20"/>
        </w:rPr>
        <w:t> </w:t>
      </w:r>
      <w:r>
        <w:rPr>
          <w:b/>
          <w:sz w:val="20"/>
        </w:rPr>
        <w:t>ya</w:t>
      </w:r>
      <w:r>
        <w:rPr>
          <w:b/>
          <w:spacing w:val="-6"/>
          <w:sz w:val="20"/>
        </w:rPr>
        <w:t> </w:t>
      </w:r>
      <w:r>
        <w:rPr>
          <w:b/>
          <w:sz w:val="20"/>
        </w:rPr>
        <w:t>aportados</w:t>
      </w:r>
      <w:r>
        <w:rPr>
          <w:b/>
          <w:spacing w:val="-6"/>
          <w:sz w:val="20"/>
        </w:rPr>
        <w:t> </w:t>
      </w:r>
      <w:r>
        <w:rPr>
          <w:b/>
          <w:sz w:val="20"/>
        </w:rPr>
        <w:t>en</w:t>
      </w:r>
      <w:r>
        <w:rPr>
          <w:b/>
          <w:spacing w:val="-5"/>
          <w:sz w:val="20"/>
        </w:rPr>
        <w:t> </w:t>
      </w:r>
      <w:r>
        <w:rPr>
          <w:b/>
          <w:sz w:val="20"/>
        </w:rPr>
        <w:t>la</w:t>
      </w:r>
      <w:r>
        <w:rPr>
          <w:b/>
          <w:spacing w:val="-6"/>
          <w:sz w:val="20"/>
        </w:rPr>
        <w:t> </w:t>
      </w:r>
      <w:r>
        <w:rPr>
          <w:b/>
          <w:sz w:val="20"/>
        </w:rPr>
        <w:t>alegación anterior resultan plenamente aplicables al presente apartado. En consecuencia, se solicita a este Tribunal</w:t>
      </w:r>
      <w:r>
        <w:rPr>
          <w:b/>
          <w:spacing w:val="-6"/>
          <w:sz w:val="20"/>
        </w:rPr>
        <w:t> </w:t>
      </w:r>
      <w:r>
        <w:rPr>
          <w:b/>
          <w:sz w:val="20"/>
        </w:rPr>
        <w:t>de</w:t>
      </w:r>
      <w:r>
        <w:rPr>
          <w:b/>
          <w:spacing w:val="-6"/>
          <w:sz w:val="20"/>
        </w:rPr>
        <w:t> </w:t>
      </w:r>
      <w:r>
        <w:rPr>
          <w:b/>
          <w:sz w:val="20"/>
        </w:rPr>
        <w:t>Cuentas</w:t>
      </w:r>
      <w:r>
        <w:rPr>
          <w:b/>
          <w:spacing w:val="-6"/>
          <w:sz w:val="20"/>
        </w:rPr>
        <w:t> </w:t>
      </w:r>
      <w:r>
        <w:rPr>
          <w:b/>
          <w:sz w:val="20"/>
        </w:rPr>
        <w:t>que</w:t>
      </w:r>
      <w:r>
        <w:rPr>
          <w:b/>
          <w:spacing w:val="-4"/>
          <w:sz w:val="20"/>
        </w:rPr>
        <w:t> </w:t>
      </w:r>
      <w:r>
        <w:rPr>
          <w:b/>
          <w:sz w:val="20"/>
        </w:rPr>
        <w:t>considere</w:t>
      </w:r>
      <w:r>
        <w:rPr>
          <w:b/>
          <w:spacing w:val="-7"/>
          <w:sz w:val="20"/>
        </w:rPr>
        <w:t> </w:t>
      </w:r>
      <w:r>
        <w:rPr>
          <w:b/>
          <w:sz w:val="20"/>
        </w:rPr>
        <w:t>acreditado</w:t>
      </w:r>
      <w:r>
        <w:rPr>
          <w:b/>
          <w:spacing w:val="-4"/>
          <w:sz w:val="20"/>
        </w:rPr>
        <w:t> </w:t>
      </w:r>
      <w:r>
        <w:rPr>
          <w:b/>
          <w:sz w:val="20"/>
        </w:rPr>
        <w:t>que</w:t>
      </w:r>
      <w:r>
        <w:rPr>
          <w:b/>
          <w:spacing w:val="-6"/>
          <w:sz w:val="20"/>
        </w:rPr>
        <w:t> </w:t>
      </w:r>
      <w:r>
        <w:rPr>
          <w:b/>
          <w:sz w:val="20"/>
        </w:rPr>
        <w:t>la</w:t>
      </w:r>
      <w:r>
        <w:rPr>
          <w:b/>
          <w:spacing w:val="-4"/>
          <w:sz w:val="20"/>
        </w:rPr>
        <w:t> </w:t>
      </w:r>
      <w:r>
        <w:rPr>
          <w:b/>
          <w:sz w:val="20"/>
        </w:rPr>
        <w:t>Agrupación</w:t>
      </w:r>
      <w:r>
        <w:rPr>
          <w:b/>
          <w:spacing w:val="-8"/>
          <w:sz w:val="20"/>
        </w:rPr>
        <w:t> </w:t>
      </w:r>
      <w:r>
        <w:rPr>
          <w:b/>
          <w:sz w:val="20"/>
        </w:rPr>
        <w:t>de</w:t>
      </w:r>
      <w:r>
        <w:rPr>
          <w:b/>
          <w:spacing w:val="-6"/>
          <w:sz w:val="20"/>
        </w:rPr>
        <w:t> </w:t>
      </w:r>
      <w:r>
        <w:rPr>
          <w:b/>
          <w:sz w:val="20"/>
        </w:rPr>
        <w:t>Municipios</w:t>
      </w:r>
      <w:r>
        <w:rPr>
          <w:b/>
          <w:spacing w:val="-4"/>
          <w:sz w:val="20"/>
        </w:rPr>
        <w:t> </w:t>
      </w:r>
      <w:r>
        <w:rPr>
          <w:b/>
          <w:sz w:val="20"/>
        </w:rPr>
        <w:t>Innobus-Tur,</w:t>
      </w:r>
      <w:r>
        <w:rPr>
          <w:b/>
          <w:spacing w:val="-5"/>
          <w:sz w:val="20"/>
        </w:rPr>
        <w:t> </w:t>
      </w:r>
      <w:r>
        <w:rPr>
          <w:b/>
          <w:sz w:val="20"/>
        </w:rPr>
        <w:t>de</w:t>
      </w:r>
      <w:r>
        <w:rPr>
          <w:b/>
          <w:spacing w:val="-6"/>
          <w:sz w:val="20"/>
        </w:rPr>
        <w:t> </w:t>
      </w:r>
      <w:r>
        <w:rPr>
          <w:b/>
          <w:sz w:val="20"/>
        </w:rPr>
        <w:t>la</w:t>
      </w:r>
      <w:r>
        <w:rPr>
          <w:b/>
          <w:spacing w:val="-4"/>
          <w:sz w:val="20"/>
        </w:rPr>
        <w:t> </w:t>
      </w:r>
      <w:r>
        <w:rPr>
          <w:b/>
          <w:sz w:val="20"/>
        </w:rPr>
        <w:t>que forma parte el Ayuntamiento de Palma, ha mantenido una coordinación técnica y un seguimiento continuado del proyecto, mediante reuniones periódicas y mecanismos efectivos de intercambio de información. Por tanto, al quedar demostrado documentalmente que se han realizado actuaciones constantes de coordinación y evaluación, se solicita la supresión de la observación y de la Recomendación nº 6 del texto definitivo del informe</w:t>
      </w:r>
    </w:p>
    <w:p>
      <w:pPr>
        <w:pStyle w:val="BodyText"/>
        <w:spacing w:before="101"/>
        <w:rPr>
          <w:b/>
          <w:sz w:val="20"/>
        </w:rPr>
      </w:pPr>
    </w:p>
    <w:p>
      <w:pPr>
        <w:spacing w:before="1"/>
        <w:ind w:left="1284" w:right="0" w:firstLine="0"/>
        <w:jc w:val="left"/>
        <w:rPr>
          <w:sz w:val="20"/>
        </w:rPr>
      </w:pPr>
      <w:r>
        <w:rPr>
          <w:sz w:val="20"/>
        </w:rPr>
        <w:t>Documentos</w:t>
      </w:r>
      <w:r>
        <w:rPr>
          <w:spacing w:val="-14"/>
          <w:sz w:val="20"/>
        </w:rPr>
        <w:t> </w:t>
      </w:r>
      <w:r>
        <w:rPr>
          <w:sz w:val="20"/>
        </w:rPr>
        <w:t>(descripción</w:t>
      </w:r>
      <w:r>
        <w:rPr>
          <w:spacing w:val="-13"/>
          <w:sz w:val="20"/>
        </w:rPr>
        <w:t> </w:t>
      </w:r>
      <w:r>
        <w:rPr>
          <w:sz w:val="20"/>
        </w:rPr>
        <w:t>de</w:t>
      </w:r>
      <w:r>
        <w:rPr>
          <w:spacing w:val="-11"/>
          <w:sz w:val="20"/>
        </w:rPr>
        <w:t> </w:t>
      </w:r>
      <w:r>
        <w:rPr>
          <w:sz w:val="20"/>
        </w:rPr>
        <w:t>los</w:t>
      </w:r>
      <w:r>
        <w:rPr>
          <w:spacing w:val="-11"/>
          <w:sz w:val="20"/>
        </w:rPr>
        <w:t> </w:t>
      </w:r>
      <w:r>
        <w:rPr>
          <w:sz w:val="20"/>
        </w:rPr>
        <w:t>documentos</w:t>
      </w:r>
      <w:r>
        <w:rPr>
          <w:spacing w:val="-14"/>
          <w:sz w:val="20"/>
        </w:rPr>
        <w:t> </w:t>
      </w:r>
      <w:r>
        <w:rPr>
          <w:spacing w:val="-2"/>
          <w:sz w:val="20"/>
        </w:rPr>
        <w:t>aportados):</w:t>
      </w:r>
    </w:p>
    <w:p>
      <w:pPr>
        <w:spacing w:before="89"/>
        <w:ind w:left="1284" w:right="0" w:firstLine="0"/>
        <w:jc w:val="left"/>
        <w:rPr>
          <w:b/>
          <w:sz w:val="20"/>
        </w:rPr>
      </w:pPr>
      <w:r>
        <w:rPr>
          <w:b/>
          <w:sz w:val="20"/>
        </w:rPr>
        <w:t>actas</w:t>
      </w:r>
      <w:r>
        <w:rPr>
          <w:b/>
          <w:spacing w:val="-12"/>
          <w:sz w:val="20"/>
        </w:rPr>
        <w:t> </w:t>
      </w:r>
      <w:r>
        <w:rPr>
          <w:b/>
          <w:sz w:val="20"/>
        </w:rPr>
        <w:t>reuniones</w:t>
      </w:r>
      <w:r>
        <w:rPr>
          <w:b/>
          <w:spacing w:val="-11"/>
          <w:sz w:val="20"/>
        </w:rPr>
        <w:t> </w:t>
      </w:r>
      <w:r>
        <w:rPr>
          <w:b/>
          <w:sz w:val="20"/>
        </w:rPr>
        <w:t>enviadas</w:t>
      </w:r>
      <w:r>
        <w:rPr>
          <w:b/>
          <w:spacing w:val="-11"/>
          <w:sz w:val="20"/>
        </w:rPr>
        <w:t> </w:t>
      </w:r>
      <w:r>
        <w:rPr>
          <w:b/>
          <w:sz w:val="20"/>
        </w:rPr>
        <w:t>en</w:t>
      </w:r>
      <w:r>
        <w:rPr>
          <w:b/>
          <w:spacing w:val="-12"/>
          <w:sz w:val="20"/>
        </w:rPr>
        <w:t> </w:t>
      </w:r>
      <w:r>
        <w:rPr>
          <w:b/>
          <w:sz w:val="20"/>
        </w:rPr>
        <w:t>punto</w:t>
      </w:r>
      <w:r>
        <w:rPr>
          <w:b/>
          <w:spacing w:val="-13"/>
          <w:sz w:val="20"/>
        </w:rPr>
        <w:t> </w:t>
      </w:r>
      <w:r>
        <w:rPr>
          <w:b/>
          <w:spacing w:val="-2"/>
          <w:sz w:val="20"/>
        </w:rPr>
        <w:t>anterior</w:t>
      </w:r>
    </w:p>
    <w:p>
      <w:pPr>
        <w:spacing w:after="0"/>
        <w:jc w:val="left"/>
        <w:rPr>
          <w:b/>
          <w:sz w:val="20"/>
        </w:rPr>
        <w:sectPr>
          <w:pgSz w:w="11910" w:h="16840"/>
          <w:pgMar w:header="314" w:footer="481" w:top="1240" w:bottom="680" w:left="141" w:right="141"/>
        </w:sectPr>
      </w:pPr>
    </w:p>
    <w:p>
      <w:pPr>
        <w:pStyle w:val="BodyText"/>
        <w:spacing w:before="4"/>
        <w:rPr>
          <w:b/>
          <w:sz w:val="17"/>
        </w:rPr>
      </w:pPr>
    </w:p>
    <w:p>
      <w:pPr>
        <w:pStyle w:val="BodyText"/>
        <w:spacing w:after="0"/>
        <w:rPr>
          <w:b/>
          <w:sz w:val="17"/>
        </w:rPr>
        <w:sectPr>
          <w:headerReference w:type="even" r:id="rId359"/>
          <w:footerReference w:type="even" r:id="rId360"/>
          <w:pgSz w:w="11910" w:h="16840"/>
          <w:pgMar w:header="0" w:footer="0" w:top="1920" w:bottom="280" w:left="141" w:right="141"/>
        </w:sectPr>
      </w:pPr>
    </w:p>
    <w:p>
      <w:pPr>
        <w:spacing w:line="240" w:lineRule="auto"/>
        <w:ind w:left="1219" w:right="0" w:firstLine="0"/>
        <w:rPr>
          <w:sz w:val="20"/>
        </w:rPr>
      </w:pPr>
      <w:r>
        <w:rPr>
          <w:sz w:val="20"/>
        </w:rPr>
        <w:drawing>
          <wp:inline distT="0" distB="0" distL="0" distR="0">
            <wp:extent cx="1807250" cy="530351"/>
            <wp:effectExtent l="0" t="0" r="0" b="0"/>
            <wp:docPr id="2189" name="Image 2189"/>
            <wp:cNvGraphicFramePr>
              <a:graphicFrameLocks/>
            </wp:cNvGraphicFramePr>
            <a:graphic>
              <a:graphicData uri="http://schemas.openxmlformats.org/drawingml/2006/picture">
                <pic:pic>
                  <pic:nvPicPr>
                    <pic:cNvPr id="2189" name="Image 2189"/>
                    <pic:cNvPicPr/>
                  </pic:nvPicPr>
                  <pic:blipFill>
                    <a:blip r:embed="rId61" cstate="print"/>
                    <a:stretch>
                      <a:fillRect/>
                    </a:stretch>
                  </pic:blipFill>
                  <pic:spPr>
                    <a:xfrm>
                      <a:off x="0" y="0"/>
                      <a:ext cx="1807250" cy="530351"/>
                    </a:xfrm>
                    <a:prstGeom prst="rect">
                      <a:avLst/>
                    </a:prstGeom>
                  </pic:spPr>
                </pic:pic>
              </a:graphicData>
            </a:graphic>
          </wp:inline>
        </w:drawing>
      </w:r>
      <w:r>
        <w:rPr>
          <w:sz w:val="20"/>
        </w:rPr>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87"/>
        <w:rPr>
          <w:b/>
          <w:sz w:val="32"/>
        </w:rPr>
      </w:pPr>
    </w:p>
    <w:p>
      <w:pPr>
        <w:pStyle w:val="Heading1"/>
      </w:pPr>
      <w:r>
        <w:rPr/>
        <w:drawing>
          <wp:anchor distT="0" distB="0" distL="0" distR="0" allowOverlap="1" layoutInCell="1" locked="0" behindDoc="1" simplePos="0" relativeHeight="474489344">
            <wp:simplePos x="0" y="0"/>
            <wp:positionH relativeFrom="page">
              <wp:posOffset>900430</wp:posOffset>
            </wp:positionH>
            <wp:positionV relativeFrom="paragraph">
              <wp:posOffset>-3400944</wp:posOffset>
            </wp:positionV>
            <wp:extent cx="6137656" cy="7663733"/>
            <wp:effectExtent l="0" t="0" r="0" b="0"/>
            <wp:wrapNone/>
            <wp:docPr id="2190" name="Image 2190" descr="Forma  Descripción generada automáticamente con confianza baja"/>
            <wp:cNvGraphicFramePr>
              <a:graphicFrameLocks/>
            </wp:cNvGraphicFramePr>
            <a:graphic>
              <a:graphicData uri="http://schemas.openxmlformats.org/drawingml/2006/picture">
                <pic:pic>
                  <pic:nvPicPr>
                    <pic:cNvPr id="2190" name="Image 2190" descr="Forma  Descripción generada automáticamente con confianza baja"/>
                    <pic:cNvPicPr/>
                  </pic:nvPicPr>
                  <pic:blipFill>
                    <a:blip r:embed="rId9" cstate="print"/>
                    <a:stretch>
                      <a:fillRect/>
                    </a:stretch>
                  </pic:blipFill>
                  <pic:spPr>
                    <a:xfrm>
                      <a:off x="0" y="0"/>
                      <a:ext cx="6137656" cy="7663733"/>
                    </a:xfrm>
                    <a:prstGeom prst="rect">
                      <a:avLst/>
                    </a:prstGeom>
                  </pic:spPr>
                </pic:pic>
              </a:graphicData>
            </a:graphic>
          </wp:anchor>
        </w:drawing>
      </w:r>
      <w:r>
        <w:rPr/>
        <w:t>Alegaciones</w:t>
      </w:r>
      <w:r>
        <w:rPr>
          <w:spacing w:val="-11"/>
        </w:rPr>
        <w:t> </w:t>
      </w:r>
      <w:r>
        <w:rPr/>
        <w:t>formuladas</w:t>
      </w:r>
      <w:r>
        <w:rPr>
          <w:spacing w:val="-10"/>
        </w:rPr>
        <w:t> </w:t>
      </w:r>
      <w:r>
        <w:rPr/>
        <w:t>por</w:t>
      </w:r>
      <w:r>
        <w:rPr>
          <w:spacing w:val="-8"/>
        </w:rPr>
        <w:t> </w:t>
      </w:r>
      <w:r>
        <w:rPr/>
        <w:t>la</w:t>
      </w:r>
      <w:r>
        <w:rPr>
          <w:spacing w:val="-11"/>
        </w:rPr>
        <w:t> </w:t>
      </w:r>
      <w:r>
        <w:rPr/>
        <w:t>Alcaldesa</w:t>
      </w:r>
      <w:r>
        <w:rPr>
          <w:spacing w:val="-11"/>
        </w:rPr>
        <w:t> </w:t>
      </w:r>
      <w:r>
        <w:rPr/>
        <w:t>del</w:t>
      </w:r>
      <w:r>
        <w:rPr>
          <w:spacing w:val="-11"/>
        </w:rPr>
        <w:t> </w:t>
      </w:r>
      <w:r>
        <w:rPr/>
        <w:t>Ayuntamiento</w:t>
      </w:r>
      <w:r>
        <w:rPr>
          <w:spacing w:val="-11"/>
        </w:rPr>
        <w:t> </w:t>
      </w:r>
      <w:r>
        <w:rPr/>
        <w:t>de</w:t>
      </w:r>
      <w:r>
        <w:rPr>
          <w:spacing w:val="-11"/>
        </w:rPr>
        <w:t> </w:t>
      </w:r>
      <w:r>
        <w:rPr>
          <w:spacing w:val="-2"/>
        </w:rPr>
        <w:t>Zaragoza</w:t>
      </w:r>
    </w:p>
    <w:p>
      <w:pPr>
        <w:pStyle w:val="Heading1"/>
        <w:spacing w:after="0"/>
        <w:sectPr>
          <w:headerReference w:type="default" r:id="rId361"/>
          <w:footerReference w:type="default" r:id="rId362"/>
          <w:pgSz w:w="11910" w:h="16840"/>
          <w:pgMar w:header="0" w:footer="0" w:top="900" w:bottom="280" w:left="141" w:right="141"/>
        </w:sectPr>
      </w:pPr>
    </w:p>
    <w:p>
      <w:pPr>
        <w:pStyle w:val="BodyText"/>
        <w:spacing w:before="4"/>
        <w:rPr>
          <w:rFonts w:ascii="Calibri"/>
          <w:b/>
          <w:sz w:val="16"/>
        </w:rPr>
      </w:pPr>
    </w:p>
    <w:p>
      <w:pPr>
        <w:pStyle w:val="BodyText"/>
        <w:spacing w:after="0"/>
        <w:rPr>
          <w:rFonts w:ascii="Calibri"/>
          <w:b/>
          <w:sz w:val="16"/>
        </w:rPr>
        <w:sectPr>
          <w:headerReference w:type="even" r:id="rId363"/>
          <w:footerReference w:type="even" r:id="rId364"/>
          <w:pgSz w:w="11910" w:h="16840"/>
          <w:pgMar w:header="0" w:footer="0" w:top="1920" w:bottom="280" w:left="141" w:right="141"/>
        </w:sectPr>
      </w:pPr>
    </w:p>
    <w:p>
      <w:pPr>
        <w:pStyle w:val="BodyText"/>
        <w:rPr>
          <w:rFonts w:ascii="Calibri"/>
          <w:b/>
          <w:sz w:val="20"/>
        </w:rPr>
      </w:pPr>
    </w:p>
    <w:p>
      <w:pPr>
        <w:pStyle w:val="BodyText"/>
        <w:spacing w:before="31"/>
        <w:rPr>
          <w:rFonts w:ascii="Calibri"/>
          <w:b/>
          <w:sz w:val="20"/>
        </w:rPr>
      </w:pPr>
    </w:p>
    <w:p>
      <w:pPr>
        <w:spacing w:line="324" w:lineRule="auto" w:before="0"/>
        <w:ind w:left="1284" w:right="496" w:firstLine="0"/>
        <w:jc w:val="left"/>
        <w:rPr>
          <w:sz w:val="20"/>
        </w:rPr>
      </w:pPr>
      <w:r>
        <w:rPr>
          <w:sz w:val="20"/>
        </w:rPr>
        <w:t>EDUARDO E BERMUDO</w:t>
      </w:r>
      <w:r>
        <w:rPr>
          <w:spacing w:val="40"/>
          <w:sz w:val="20"/>
        </w:rPr>
        <w:t> </w:t>
      </w:r>
      <w:r>
        <w:rPr>
          <w:sz w:val="20"/>
        </w:rPr>
        <w:t>FUSTERO con DNI</w:t>
      </w:r>
      <w:r>
        <w:rPr>
          <w:spacing w:val="-18"/>
          <w:sz w:val="20"/>
        </w:rPr>
        <w:t> </w:t>
      </w:r>
      <w:r>
        <w:rPr>
          <w:spacing w:val="-21"/>
          <w:position w:val="-5"/>
          <w:sz w:val="20"/>
        </w:rPr>
        <w:drawing>
          <wp:inline distT="0" distB="0" distL="0" distR="0">
            <wp:extent cx="551751" cy="145364"/>
            <wp:effectExtent l="0" t="0" r="0" b="0"/>
            <wp:docPr id="2201" name="Image 2201"/>
            <wp:cNvGraphicFramePr>
              <a:graphicFrameLocks/>
            </wp:cNvGraphicFramePr>
            <a:graphic>
              <a:graphicData uri="http://schemas.openxmlformats.org/drawingml/2006/picture">
                <pic:pic>
                  <pic:nvPicPr>
                    <pic:cNvPr id="2201" name="Image 2201"/>
                    <pic:cNvPicPr/>
                  </pic:nvPicPr>
                  <pic:blipFill>
                    <a:blip r:embed="rId153" cstate="print"/>
                    <a:stretch>
                      <a:fillRect/>
                    </a:stretch>
                  </pic:blipFill>
                  <pic:spPr>
                    <a:xfrm>
                      <a:off x="0" y="0"/>
                      <a:ext cx="551751" cy="145364"/>
                    </a:xfrm>
                    <a:prstGeom prst="rect">
                      <a:avLst/>
                    </a:prstGeom>
                  </pic:spPr>
                </pic:pic>
              </a:graphicData>
            </a:graphic>
          </wp:inline>
        </w:drawing>
      </w:r>
      <w:r>
        <w:rPr>
          <w:spacing w:val="-21"/>
          <w:position w:val="-5"/>
          <w:sz w:val="20"/>
        </w:rPr>
      </w:r>
      <w:r>
        <w:rPr>
          <w:rFonts w:ascii="Times New Roman" w:hAnsi="Times New Roman"/>
          <w:spacing w:val="12"/>
          <w:sz w:val="20"/>
        </w:rPr>
        <w:t> </w:t>
      </w:r>
      <w:r>
        <w:rPr>
          <w:sz w:val="20"/>
        </w:rPr>
        <w:t>ha registrado el trámite Trámite de alegaciones al Anteproyecto</w:t>
      </w:r>
      <w:r>
        <w:rPr>
          <w:spacing w:val="-6"/>
          <w:sz w:val="20"/>
        </w:rPr>
        <w:t> </w:t>
      </w:r>
      <w:r>
        <w:rPr>
          <w:sz w:val="20"/>
        </w:rPr>
        <w:t>de</w:t>
      </w:r>
      <w:r>
        <w:rPr>
          <w:spacing w:val="-4"/>
          <w:sz w:val="20"/>
        </w:rPr>
        <w:t> </w:t>
      </w:r>
      <w:r>
        <w:rPr>
          <w:sz w:val="20"/>
        </w:rPr>
        <w:t>Informe</w:t>
      </w:r>
      <w:r>
        <w:rPr>
          <w:spacing w:val="-6"/>
          <w:sz w:val="20"/>
        </w:rPr>
        <w:t> </w:t>
      </w:r>
      <w:r>
        <w:rPr>
          <w:sz w:val="20"/>
        </w:rPr>
        <w:t>de</w:t>
      </w:r>
      <w:r>
        <w:rPr>
          <w:spacing w:val="-6"/>
          <w:sz w:val="20"/>
        </w:rPr>
        <w:t> </w:t>
      </w:r>
      <w:r>
        <w:rPr>
          <w:sz w:val="20"/>
        </w:rPr>
        <w:t>Fiscalización</w:t>
      </w:r>
      <w:r>
        <w:rPr>
          <w:spacing w:val="-6"/>
          <w:sz w:val="20"/>
        </w:rPr>
        <w:t> </w:t>
      </w:r>
      <w:r>
        <w:rPr>
          <w:sz w:val="20"/>
        </w:rPr>
        <w:t>sobre</w:t>
      </w:r>
      <w:r>
        <w:rPr>
          <w:spacing w:val="-6"/>
          <w:sz w:val="20"/>
        </w:rPr>
        <w:t> </w:t>
      </w:r>
      <w:r>
        <w:rPr>
          <w:sz w:val="20"/>
        </w:rPr>
        <w:t>las</w:t>
      </w:r>
      <w:r>
        <w:rPr>
          <w:spacing w:val="-7"/>
          <w:sz w:val="20"/>
        </w:rPr>
        <w:t> </w:t>
      </w:r>
      <w:r>
        <w:rPr>
          <w:sz w:val="20"/>
        </w:rPr>
        <w:t>medidas</w:t>
      </w:r>
      <w:r>
        <w:rPr>
          <w:spacing w:val="-5"/>
          <w:sz w:val="20"/>
        </w:rPr>
        <w:t> </w:t>
      </w:r>
      <w:r>
        <w:rPr>
          <w:sz w:val="20"/>
        </w:rPr>
        <w:t>adoptadas</w:t>
      </w:r>
      <w:r>
        <w:rPr>
          <w:spacing w:val="-5"/>
          <w:sz w:val="20"/>
        </w:rPr>
        <w:t> </w:t>
      </w:r>
      <w:r>
        <w:rPr>
          <w:sz w:val="20"/>
        </w:rPr>
        <w:t>por</w:t>
      </w:r>
      <w:r>
        <w:rPr>
          <w:spacing w:val="-6"/>
          <w:sz w:val="20"/>
        </w:rPr>
        <w:t> </w:t>
      </w:r>
      <w:r>
        <w:rPr>
          <w:sz w:val="20"/>
        </w:rPr>
        <w:t>las</w:t>
      </w:r>
      <w:r>
        <w:rPr>
          <w:spacing w:val="-6"/>
          <w:sz w:val="20"/>
        </w:rPr>
        <w:t> </w:t>
      </w:r>
      <w:r>
        <w:rPr>
          <w:sz w:val="20"/>
        </w:rPr>
        <w:t>entidades</w:t>
      </w:r>
      <w:r>
        <w:rPr>
          <w:spacing w:val="-6"/>
          <w:sz w:val="20"/>
        </w:rPr>
        <w:t> </w:t>
      </w:r>
      <w:r>
        <w:rPr>
          <w:sz w:val="20"/>
        </w:rPr>
        <w:t>locales</w:t>
      </w:r>
      <w:r>
        <w:rPr>
          <w:spacing w:val="-7"/>
          <w:sz w:val="20"/>
        </w:rPr>
        <w:t> </w:t>
      </w:r>
      <w:r>
        <w:rPr>
          <w:sz w:val="20"/>
        </w:rPr>
        <w:t>para</w:t>
      </w:r>
      <w:r>
        <w:rPr>
          <w:spacing w:val="-6"/>
          <w:sz w:val="20"/>
        </w:rPr>
        <w:t> </w:t>
      </w:r>
      <w:r>
        <w:rPr>
          <w:sz w:val="20"/>
        </w:rPr>
        <w:t>lograr una movilidad sostenible en el transporte público colectivo, ejercicios 2023 y 2024 a las 12:12:51, el día </w:t>
      </w:r>
      <w:r>
        <w:rPr>
          <w:spacing w:val="-2"/>
          <w:sz w:val="20"/>
        </w:rPr>
        <w:t>05/11/2025.</w:t>
      </w:r>
    </w:p>
    <w:p>
      <w:pPr>
        <w:spacing w:before="14"/>
        <w:ind w:left="1284" w:right="0" w:firstLine="0"/>
        <w:jc w:val="left"/>
        <w:rPr>
          <w:sz w:val="20"/>
        </w:rPr>
      </w:pPr>
      <w:r>
        <w:rPr>
          <w:sz w:val="20"/>
        </w:rPr>
        <mc:AlternateContent>
          <mc:Choice Requires="wps">
            <w:drawing>
              <wp:anchor distT="0" distB="0" distL="0" distR="0" allowOverlap="1" layoutInCell="1" locked="0" behindDoc="0" simplePos="0" relativeHeight="15953920">
                <wp:simplePos x="0" y="0"/>
                <wp:positionH relativeFrom="page">
                  <wp:posOffset>2796400</wp:posOffset>
                </wp:positionH>
                <wp:positionV relativeFrom="paragraph">
                  <wp:posOffset>21823</wp:posOffset>
                </wp:positionV>
                <wp:extent cx="833119" cy="145415"/>
                <wp:effectExtent l="0" t="0" r="0" b="0"/>
                <wp:wrapNone/>
                <wp:docPr id="2202" name="Graphic 2202"/>
                <wp:cNvGraphicFramePr>
                  <a:graphicFrameLocks/>
                </wp:cNvGraphicFramePr>
                <a:graphic>
                  <a:graphicData uri="http://schemas.microsoft.com/office/word/2010/wordprocessingShape">
                    <wps:wsp>
                      <wps:cNvPr id="2202" name="Graphic 2202"/>
                      <wps:cNvSpPr/>
                      <wps:spPr>
                        <a:xfrm>
                          <a:off x="0" y="0"/>
                          <a:ext cx="833119" cy="145415"/>
                        </a:xfrm>
                        <a:custGeom>
                          <a:avLst/>
                          <a:gdLst/>
                          <a:ahLst/>
                          <a:cxnLst/>
                          <a:rect l="l" t="t" r="r" b="b"/>
                          <a:pathLst>
                            <a:path w="833119" h="145415">
                              <a:moveTo>
                                <a:pt x="832891" y="0"/>
                              </a:moveTo>
                              <a:lnTo>
                                <a:pt x="0" y="0"/>
                              </a:lnTo>
                              <a:lnTo>
                                <a:pt x="0" y="145224"/>
                              </a:lnTo>
                              <a:lnTo>
                                <a:pt x="832891" y="145224"/>
                              </a:lnTo>
                              <a:lnTo>
                                <a:pt x="8328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20.189pt;margin-top:1.718401pt;width:65.582pt;height:11.435pt;mso-position-horizontal-relative:page;mso-position-vertical-relative:paragraph;z-index:15953920" id="docshape1584" filled="true" fillcolor="#000000" stroked="false">
                <v:fill type="solid"/>
                <w10:wrap type="none"/>
              </v:rect>
            </w:pict>
          </mc:Fallback>
        </mc:AlternateContent>
      </w:r>
      <w:r>
        <w:rPr>
          <w:sz w:val="20"/>
        </w:rPr>
        <w:t>Su</w:t>
      </w:r>
      <w:r>
        <w:rPr>
          <w:spacing w:val="-7"/>
          <w:sz w:val="20"/>
        </w:rPr>
        <w:t> </w:t>
      </w:r>
      <w:r>
        <w:rPr>
          <w:sz w:val="20"/>
        </w:rPr>
        <w:t>número</w:t>
      </w:r>
      <w:r>
        <w:rPr>
          <w:spacing w:val="-6"/>
          <w:sz w:val="20"/>
        </w:rPr>
        <w:t> </w:t>
      </w:r>
      <w:r>
        <w:rPr>
          <w:sz w:val="20"/>
        </w:rPr>
        <w:t>de</w:t>
      </w:r>
      <w:r>
        <w:rPr>
          <w:spacing w:val="-5"/>
          <w:sz w:val="20"/>
        </w:rPr>
        <w:t> </w:t>
      </w:r>
      <w:r>
        <w:rPr>
          <w:sz w:val="20"/>
        </w:rPr>
        <w:t>registro</w:t>
      </w:r>
      <w:r>
        <w:rPr>
          <w:spacing w:val="-6"/>
          <w:sz w:val="20"/>
        </w:rPr>
        <w:t> </w:t>
      </w:r>
      <w:r>
        <w:rPr>
          <w:sz w:val="20"/>
        </w:rPr>
        <w:t>es</w:t>
      </w:r>
      <w:r>
        <w:rPr>
          <w:spacing w:val="-6"/>
          <w:sz w:val="20"/>
        </w:rPr>
        <w:t> </w:t>
      </w:r>
      <w:r>
        <w:rPr>
          <w:sz w:val="20"/>
        </w:rPr>
        <w:t>el</w:t>
      </w:r>
      <w:r>
        <w:rPr>
          <w:spacing w:val="42"/>
          <w:sz w:val="20"/>
        </w:rPr>
        <w:t> </w:t>
      </w:r>
      <w:r>
        <w:rPr>
          <w:spacing w:val="-4"/>
          <w:sz w:val="20"/>
        </w:rPr>
        <w:t>2025</w:t>
      </w:r>
    </w:p>
    <w:p>
      <w:pPr>
        <w:pStyle w:val="BodyText"/>
        <w:spacing w:before="140"/>
        <w:rPr>
          <w:sz w:val="20"/>
        </w:rPr>
      </w:pPr>
    </w:p>
    <w:p>
      <w:pPr>
        <w:pStyle w:val="Heading3"/>
        <w:spacing w:line="276" w:lineRule="auto"/>
      </w:pPr>
      <w:r>
        <w:rPr/>
        <w:t>TRÁMITE DE ALEGACIONES AL ANTEPROYECTO DE INFORME DE FISCALIZACIÓN SOBRE</w:t>
      </w:r>
      <w:r>
        <w:rPr>
          <w:spacing w:val="-9"/>
        </w:rPr>
        <w:t> </w:t>
      </w:r>
      <w:r>
        <w:rPr/>
        <w:t>LAS</w:t>
      </w:r>
      <w:r>
        <w:rPr>
          <w:spacing w:val="-9"/>
        </w:rPr>
        <w:t> </w:t>
      </w:r>
      <w:r>
        <w:rPr/>
        <w:t>MEDIDAS</w:t>
      </w:r>
      <w:r>
        <w:rPr>
          <w:spacing w:val="-10"/>
        </w:rPr>
        <w:t> </w:t>
      </w:r>
      <w:r>
        <w:rPr/>
        <w:t>ADOPTADAS</w:t>
      </w:r>
      <w:r>
        <w:rPr>
          <w:spacing w:val="-10"/>
        </w:rPr>
        <w:t> </w:t>
      </w:r>
      <w:r>
        <w:rPr/>
        <w:t>POR</w:t>
      </w:r>
      <w:r>
        <w:rPr>
          <w:spacing w:val="-11"/>
        </w:rPr>
        <w:t> </w:t>
      </w:r>
      <w:r>
        <w:rPr/>
        <w:t>LAS</w:t>
      </w:r>
      <w:r>
        <w:rPr>
          <w:spacing w:val="-10"/>
        </w:rPr>
        <w:t> </w:t>
      </w:r>
      <w:r>
        <w:rPr/>
        <w:t>ENTIDADES</w:t>
      </w:r>
      <w:r>
        <w:rPr>
          <w:spacing w:val="-10"/>
        </w:rPr>
        <w:t> </w:t>
      </w:r>
      <w:r>
        <w:rPr/>
        <w:t>LOCALES</w:t>
      </w:r>
      <w:r>
        <w:rPr>
          <w:spacing w:val="-11"/>
        </w:rPr>
        <w:t> </w:t>
      </w:r>
      <w:r>
        <w:rPr/>
        <w:t>PARA</w:t>
      </w:r>
      <w:r>
        <w:rPr>
          <w:spacing w:val="-9"/>
        </w:rPr>
        <w:t> </w:t>
      </w:r>
      <w:r>
        <w:rPr/>
        <w:t>LOGRAR UNA MOVILIDAD SOSTENIBLE EN EL TRANSPORTE PÚBLICO COLECTIVO, EJERCICIOS 2023 Y 2024</w:t>
      </w:r>
    </w:p>
    <w:p>
      <w:pPr>
        <w:pStyle w:val="BodyText"/>
        <w:spacing w:before="83"/>
        <w:rPr>
          <w:b/>
          <w:sz w:val="24"/>
        </w:rPr>
      </w:pPr>
    </w:p>
    <w:p>
      <w:pPr>
        <w:spacing w:before="1"/>
        <w:ind w:left="799" w:right="0" w:firstLine="0"/>
        <w:jc w:val="center"/>
        <w:rPr>
          <w:b/>
          <w:sz w:val="20"/>
        </w:rPr>
      </w:pPr>
      <w:r>
        <w:rPr>
          <w:b/>
          <w:sz w:val="20"/>
        </w:rPr>
        <w:t>FORMULARIO</w:t>
      </w:r>
      <w:r>
        <w:rPr>
          <w:b/>
          <w:spacing w:val="-9"/>
          <w:sz w:val="20"/>
        </w:rPr>
        <w:t> </w:t>
      </w:r>
      <w:r>
        <w:rPr>
          <w:b/>
          <w:sz w:val="20"/>
        </w:rPr>
        <w:t>1:</w:t>
      </w:r>
      <w:r>
        <w:rPr>
          <w:b/>
          <w:spacing w:val="40"/>
          <w:sz w:val="20"/>
        </w:rPr>
        <w:t> </w:t>
      </w:r>
      <w:r>
        <w:rPr>
          <w:b/>
          <w:spacing w:val="-2"/>
          <w:sz w:val="20"/>
        </w:rPr>
        <w:t>IDENTIFICACIÓN</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811072">
                <wp:simplePos x="0" y="0"/>
                <wp:positionH relativeFrom="page">
                  <wp:posOffset>905255</wp:posOffset>
                </wp:positionH>
                <wp:positionV relativeFrom="paragraph">
                  <wp:posOffset>160144</wp:posOffset>
                </wp:positionV>
                <wp:extent cx="1580515" cy="1270"/>
                <wp:effectExtent l="0" t="0" r="0" b="0"/>
                <wp:wrapTopAndBottom/>
                <wp:docPr id="2203" name="Graphic 2203"/>
                <wp:cNvGraphicFramePr>
                  <a:graphicFrameLocks/>
                </wp:cNvGraphicFramePr>
                <a:graphic>
                  <a:graphicData uri="http://schemas.microsoft.com/office/word/2010/wordprocessingShape">
                    <wps:wsp>
                      <wps:cNvPr id="2203" name="Graphic 2203"/>
                      <wps:cNvSpPr/>
                      <wps:spPr>
                        <a:xfrm>
                          <a:off x="0" y="0"/>
                          <a:ext cx="1580515" cy="1270"/>
                        </a:xfrm>
                        <a:custGeom>
                          <a:avLst/>
                          <a:gdLst/>
                          <a:ahLst/>
                          <a:cxnLst/>
                          <a:rect l="l" t="t" r="r" b="b"/>
                          <a:pathLst>
                            <a:path w="1580515" h="0">
                              <a:moveTo>
                                <a:pt x="0" y="0"/>
                              </a:moveTo>
                              <a:lnTo>
                                <a:pt x="1580387"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09842pt;width:124.45pt;height:.1pt;mso-position-horizontal-relative:page;mso-position-vertical-relative:paragraph;z-index:-15505408;mso-wrap-distance-left:0;mso-wrap-distance-right:0" id="docshape1585" coordorigin="1426,252" coordsize="2489,0" path="m1426,252l3914,252e" filled="false" stroked="true" strokeweight=".72pt" strokecolor="#000000">
                <v:path arrowok="t"/>
                <v:stroke dashstyle="solid"/>
                <w10:wrap type="topAndBottom"/>
              </v:shape>
            </w:pict>
          </mc:Fallback>
        </mc:AlternateContent>
      </w:r>
      <w:r>
        <w:rPr>
          <w:b/>
          <w:spacing w:val="-2"/>
          <w:sz w:val="20"/>
        </w:rPr>
        <w:t>Identificación</w:t>
      </w:r>
      <w:r>
        <w:rPr>
          <w:b/>
          <w:spacing w:val="2"/>
          <w:sz w:val="20"/>
        </w:rPr>
        <w:t> </w:t>
      </w:r>
      <w:r>
        <w:rPr>
          <w:b/>
          <w:spacing w:val="-2"/>
          <w:sz w:val="20"/>
        </w:rPr>
        <w:t>del</w:t>
      </w:r>
      <w:r>
        <w:rPr>
          <w:b/>
          <w:spacing w:val="3"/>
          <w:sz w:val="20"/>
        </w:rPr>
        <w:t> </w:t>
      </w:r>
      <w:r>
        <w:rPr>
          <w:b/>
          <w:spacing w:val="-2"/>
          <w:sz w:val="20"/>
        </w:rPr>
        <w:t>alegante</w:t>
      </w:r>
    </w:p>
    <w:p>
      <w:pPr>
        <w:pStyle w:val="BodyText"/>
        <w:spacing w:before="146"/>
        <w:rPr>
          <w:b/>
          <w:sz w:val="20"/>
        </w:rPr>
      </w:pPr>
    </w:p>
    <w:p>
      <w:pPr>
        <w:spacing w:before="1"/>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9"/>
        <w:ind w:left="1284" w:right="0" w:firstLine="0"/>
        <w:jc w:val="left"/>
        <w:rPr>
          <w:b/>
          <w:sz w:val="20"/>
        </w:rPr>
      </w:pPr>
      <w:r>
        <w:rPr>
          <w:b/>
          <w:spacing w:val="-2"/>
          <w:sz w:val="20"/>
        </w:rPr>
        <w:t>NATALIA CHUECA</w:t>
      </w:r>
      <w:r>
        <w:rPr>
          <w:b/>
          <w:spacing w:val="-3"/>
          <w:sz w:val="20"/>
        </w:rPr>
        <w:t> </w:t>
      </w:r>
      <w:r>
        <w:rPr>
          <w:b/>
          <w:spacing w:val="-2"/>
          <w:sz w:val="20"/>
        </w:rPr>
        <w:t>MUÑOZ</w:t>
      </w:r>
    </w:p>
    <w:p>
      <w:pPr>
        <w:pStyle w:val="BodyText"/>
        <w:spacing w:before="176"/>
        <w:rPr>
          <w:b/>
          <w:sz w:val="20"/>
        </w:rPr>
      </w:pPr>
    </w:p>
    <w:p>
      <w:pPr>
        <w:spacing w:before="0"/>
        <w:ind w:left="1284" w:right="0" w:firstLine="0"/>
        <w:jc w:val="left"/>
        <w:rPr>
          <w:sz w:val="20"/>
        </w:rPr>
      </w:pPr>
      <w:r>
        <w:rPr>
          <w:spacing w:val="-4"/>
          <w:sz w:val="20"/>
        </w:rPr>
        <w:t>DNI:</w:t>
      </w:r>
    </w:p>
    <w:p>
      <w:pPr>
        <w:pStyle w:val="BodyText"/>
        <w:spacing w:before="7"/>
        <w:rPr>
          <w:sz w:val="7"/>
        </w:rPr>
      </w:pPr>
      <w:r>
        <w:rPr>
          <w:sz w:val="7"/>
        </w:rPr>
        <mc:AlternateContent>
          <mc:Choice Requires="wps">
            <w:drawing>
              <wp:anchor distT="0" distB="0" distL="0" distR="0" allowOverlap="1" layoutInCell="1" locked="0" behindDoc="1" simplePos="0" relativeHeight="487811584">
                <wp:simplePos x="0" y="0"/>
                <wp:positionH relativeFrom="page">
                  <wp:posOffset>892530</wp:posOffset>
                </wp:positionH>
                <wp:positionV relativeFrom="paragraph">
                  <wp:posOffset>70801</wp:posOffset>
                </wp:positionV>
                <wp:extent cx="678180" cy="119380"/>
                <wp:effectExtent l="0" t="0" r="0" b="0"/>
                <wp:wrapTopAndBottom/>
                <wp:docPr id="2204" name="Graphic 2204"/>
                <wp:cNvGraphicFramePr>
                  <a:graphicFrameLocks/>
                </wp:cNvGraphicFramePr>
                <a:graphic>
                  <a:graphicData uri="http://schemas.microsoft.com/office/word/2010/wordprocessingShape">
                    <wps:wsp>
                      <wps:cNvPr id="2204" name="Graphic 2204"/>
                      <wps:cNvSpPr/>
                      <wps:spPr>
                        <a:xfrm>
                          <a:off x="0" y="0"/>
                          <a:ext cx="678180" cy="119380"/>
                        </a:xfrm>
                        <a:custGeom>
                          <a:avLst/>
                          <a:gdLst/>
                          <a:ahLst/>
                          <a:cxnLst/>
                          <a:rect l="l" t="t" r="r" b="b"/>
                          <a:pathLst>
                            <a:path w="678180" h="119380">
                              <a:moveTo>
                                <a:pt x="678091" y="0"/>
                              </a:moveTo>
                              <a:lnTo>
                                <a:pt x="0" y="0"/>
                              </a:lnTo>
                              <a:lnTo>
                                <a:pt x="0" y="119189"/>
                              </a:lnTo>
                              <a:lnTo>
                                <a:pt x="678091" y="119189"/>
                              </a:lnTo>
                              <a:lnTo>
                                <a:pt x="6780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574871pt;width:53.393pt;height:9.385pt;mso-position-horizontal-relative:page;mso-position-vertical-relative:paragraph;z-index:-15504896;mso-wrap-distance-left:0;mso-wrap-distance-right:0" id="docshape1586" filled="true" fillcolor="#000000" stroked="false">
                <v:fill type="solid"/>
                <w10:wrap type="topAndBottom"/>
              </v:rect>
            </w:pict>
          </mc:Fallback>
        </mc:AlternateContent>
      </w:r>
    </w:p>
    <w:p>
      <w:pPr>
        <w:pStyle w:val="BodyText"/>
        <w:spacing w:before="196"/>
        <w:rPr>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55456">
                <wp:simplePos x="0" y="0"/>
                <wp:positionH relativeFrom="page">
                  <wp:posOffset>244784</wp:posOffset>
                </wp:positionH>
                <wp:positionV relativeFrom="paragraph">
                  <wp:posOffset>109108</wp:posOffset>
                </wp:positionV>
                <wp:extent cx="138430" cy="2155190"/>
                <wp:effectExtent l="0" t="0" r="0" b="0"/>
                <wp:wrapNone/>
                <wp:docPr id="2205" name="Textbox 2205"/>
                <wp:cNvGraphicFramePr>
                  <a:graphicFrameLocks/>
                </wp:cNvGraphicFramePr>
                <a:graphic>
                  <a:graphicData uri="http://schemas.microsoft.com/office/word/2010/wordprocessingShape">
                    <wps:wsp>
                      <wps:cNvPr id="2205" name="Textbox 2205"/>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8.591184pt;width:10.9pt;height:169.7pt;mso-position-horizontal-relative:page;mso-position-vertical-relative:paragraph;z-index:15955456" type="#_x0000_t202" id="docshape1587"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spacing w:val="-2"/>
          <w:sz w:val="20"/>
        </w:rPr>
        <w:t>Cargo:</w:t>
      </w:r>
    </w:p>
    <w:p>
      <w:pPr>
        <w:spacing w:before="89"/>
        <w:ind w:left="1284" w:right="0" w:firstLine="0"/>
        <w:jc w:val="left"/>
        <w:rPr>
          <w:b/>
          <w:sz w:val="20"/>
        </w:rPr>
      </w:pPr>
      <w:r>
        <w:rPr>
          <w:b/>
          <w:spacing w:val="-2"/>
          <w:sz w:val="20"/>
        </w:rPr>
        <w:t>ALCALDESA</w:t>
      </w:r>
      <w:r>
        <w:rPr>
          <w:b/>
          <w:spacing w:val="-3"/>
          <w:sz w:val="20"/>
        </w:rPr>
        <w:t> </w:t>
      </w:r>
      <w:r>
        <w:rPr>
          <w:b/>
          <w:spacing w:val="-2"/>
          <w:sz w:val="20"/>
        </w:rPr>
        <w:t>DEL AYUNTAMIENTO DE</w:t>
      </w:r>
      <w:r>
        <w:rPr>
          <w:b/>
          <w:spacing w:val="-1"/>
          <w:sz w:val="20"/>
        </w:rPr>
        <w:t> </w:t>
      </w:r>
      <w:r>
        <w:rPr>
          <w:b/>
          <w:spacing w:val="-2"/>
          <w:sz w:val="20"/>
        </w:rPr>
        <w:t>ZARAGOZA</w:t>
      </w:r>
    </w:p>
    <w:p>
      <w:pPr>
        <w:pStyle w:val="BodyText"/>
        <w:spacing w:before="176"/>
        <w:rPr>
          <w:b/>
          <w:sz w:val="20"/>
        </w:rPr>
      </w:pPr>
    </w:p>
    <w:p>
      <w:pPr>
        <w:spacing w:before="0"/>
        <w:ind w:left="1284" w:right="0" w:firstLine="0"/>
        <w:jc w:val="left"/>
        <w:rPr>
          <w:sz w:val="20"/>
        </w:rPr>
      </w:pPr>
      <w:r>
        <w:rPr>
          <w:spacing w:val="-2"/>
          <w:sz w:val="20"/>
        </w:rPr>
        <w:t>Entidad:</w:t>
      </w:r>
    </w:p>
    <w:p>
      <w:pPr>
        <w:spacing w:before="89"/>
        <w:ind w:left="1284" w:right="0" w:firstLine="0"/>
        <w:jc w:val="left"/>
        <w:rPr>
          <w:b/>
          <w:sz w:val="20"/>
        </w:rPr>
      </w:pPr>
      <w:r>
        <w:rPr>
          <w:b/>
          <w:sz w:val="20"/>
        </w:rPr>
        <mc:AlternateContent>
          <mc:Choice Requires="wps">
            <w:drawing>
              <wp:anchor distT="0" distB="0" distL="0" distR="0" allowOverlap="1" layoutInCell="1" locked="0" behindDoc="0" simplePos="0" relativeHeight="15955968">
                <wp:simplePos x="0" y="0"/>
                <wp:positionH relativeFrom="page">
                  <wp:posOffset>344030</wp:posOffset>
                </wp:positionH>
                <wp:positionV relativeFrom="paragraph">
                  <wp:posOffset>277303</wp:posOffset>
                </wp:positionV>
                <wp:extent cx="163830" cy="2953385"/>
                <wp:effectExtent l="0" t="0" r="0" b="0"/>
                <wp:wrapNone/>
                <wp:docPr id="2206" name="Graphic 2206"/>
                <wp:cNvGraphicFramePr>
                  <a:graphicFrameLocks/>
                </wp:cNvGraphicFramePr>
                <a:graphic>
                  <a:graphicData uri="http://schemas.microsoft.com/office/word/2010/wordprocessingShape">
                    <wps:wsp>
                      <wps:cNvPr id="2206" name="Graphic 2206"/>
                      <wps:cNvSpPr/>
                      <wps:spPr>
                        <a:xfrm>
                          <a:off x="0" y="0"/>
                          <a:ext cx="163830" cy="2953385"/>
                        </a:xfrm>
                        <a:custGeom>
                          <a:avLst/>
                          <a:gdLst/>
                          <a:ahLst/>
                          <a:cxnLst/>
                          <a:rect l="l" t="t" r="r" b="b"/>
                          <a:pathLst>
                            <a:path w="163830" h="2953385">
                              <a:moveTo>
                                <a:pt x="163258" y="0"/>
                              </a:moveTo>
                              <a:lnTo>
                                <a:pt x="0" y="0"/>
                              </a:lnTo>
                              <a:lnTo>
                                <a:pt x="0" y="2953016"/>
                              </a:lnTo>
                              <a:lnTo>
                                <a:pt x="163258" y="2953016"/>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21.834885pt;width:12.855pt;height:232.521pt;mso-position-horizontal-relative:page;mso-position-vertical-relative:paragraph;z-index:15955968" id="docshape1588" filled="true" fillcolor="#000000" stroked="false">
                <v:fill type="solid"/>
                <w10:wrap type="none"/>
              </v:rect>
            </w:pict>
          </mc:Fallback>
        </mc:AlternateContent>
      </w:r>
      <w:r>
        <w:rPr>
          <w:b/>
          <w:spacing w:val="-2"/>
          <w:sz w:val="20"/>
        </w:rPr>
        <w:t>AYUNTAMIENTO DE</w:t>
      </w:r>
      <w:r>
        <w:rPr>
          <w:b/>
          <w:spacing w:val="-3"/>
          <w:sz w:val="20"/>
        </w:rPr>
        <w:t> </w:t>
      </w:r>
      <w:r>
        <w:rPr>
          <w:b/>
          <w:spacing w:val="-2"/>
          <w:sz w:val="20"/>
        </w:rPr>
        <w:t>ZARAGOZA</w:t>
      </w:r>
    </w:p>
    <w:p>
      <w:pPr>
        <w:pStyle w:val="BodyText"/>
        <w:spacing w:before="178"/>
        <w:rPr>
          <w:b/>
          <w:sz w:val="20"/>
        </w:rPr>
      </w:pPr>
    </w:p>
    <w:p>
      <w:pPr>
        <w:spacing w:before="1"/>
        <w:ind w:left="1284" w:right="0" w:firstLine="0"/>
        <w:jc w:val="left"/>
        <w:rPr>
          <w:sz w:val="20"/>
        </w:rPr>
      </w:pPr>
      <w:r>
        <w:rPr>
          <w:sz w:val="20"/>
        </w:rPr>
        <mc:AlternateContent>
          <mc:Choice Requires="wps">
            <w:drawing>
              <wp:anchor distT="0" distB="0" distL="0" distR="0" allowOverlap="1" layoutInCell="1" locked="0" behindDoc="0" simplePos="0" relativeHeight="15954432">
                <wp:simplePos x="0" y="0"/>
                <wp:positionH relativeFrom="page">
                  <wp:posOffset>130383</wp:posOffset>
                </wp:positionH>
                <wp:positionV relativeFrom="paragraph">
                  <wp:posOffset>136404</wp:posOffset>
                </wp:positionV>
                <wp:extent cx="138430" cy="2952750"/>
                <wp:effectExtent l="0" t="0" r="0" b="0"/>
                <wp:wrapNone/>
                <wp:docPr id="2207" name="Textbox 2207"/>
                <wp:cNvGraphicFramePr>
                  <a:graphicFrameLocks/>
                </wp:cNvGraphicFramePr>
                <a:graphic>
                  <a:graphicData uri="http://schemas.microsoft.com/office/word/2010/wordprocessingShape">
                    <wps:wsp>
                      <wps:cNvPr id="2207" name="Textbox 2207"/>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0.740531pt;width:10.9pt;height:232.5pt;mso-position-horizontal-relative:page;mso-position-vertical-relative:paragraph;z-index:15954432" type="#_x0000_t202" id="docshape1589"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spacing w:val="-2"/>
          <w:sz w:val="20"/>
        </w:rPr>
        <w:t>Periodo:</w:t>
      </w:r>
    </w:p>
    <w:p>
      <w:pPr>
        <w:spacing w:before="86"/>
        <w:ind w:left="1284" w:right="0" w:firstLine="0"/>
        <w:jc w:val="left"/>
        <w:rPr>
          <w:b/>
          <w:sz w:val="20"/>
        </w:rPr>
      </w:pPr>
      <w:r>
        <w:rPr>
          <w:b/>
          <w:spacing w:val="-4"/>
          <w:sz w:val="20"/>
        </w:rPr>
        <w:t>2023-2027</w:t>
      </w:r>
    </w:p>
    <w:p>
      <w:pPr>
        <w:pStyle w:val="BodyText"/>
        <w:spacing w:before="179"/>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2"/>
        <w:rPr>
          <w:sz w:val="7"/>
        </w:rPr>
      </w:pPr>
      <w:r>
        <w:rPr>
          <w:sz w:val="7"/>
        </w:rPr>
        <mc:AlternateContent>
          <mc:Choice Requires="wps">
            <w:drawing>
              <wp:anchor distT="0" distB="0" distL="0" distR="0" allowOverlap="1" layoutInCell="1" locked="0" behindDoc="1" simplePos="0" relativeHeight="487812096">
                <wp:simplePos x="0" y="0"/>
                <wp:positionH relativeFrom="page">
                  <wp:posOffset>892530</wp:posOffset>
                </wp:positionH>
                <wp:positionV relativeFrom="paragraph">
                  <wp:posOffset>68132</wp:posOffset>
                </wp:positionV>
                <wp:extent cx="1434465" cy="145415"/>
                <wp:effectExtent l="0" t="0" r="0" b="0"/>
                <wp:wrapTopAndBottom/>
                <wp:docPr id="2208" name="Graphic 2208"/>
                <wp:cNvGraphicFramePr>
                  <a:graphicFrameLocks/>
                </wp:cNvGraphicFramePr>
                <a:graphic>
                  <a:graphicData uri="http://schemas.microsoft.com/office/word/2010/wordprocessingShape">
                    <wps:wsp>
                      <wps:cNvPr id="2208" name="Graphic 2208"/>
                      <wps:cNvSpPr/>
                      <wps:spPr>
                        <a:xfrm>
                          <a:off x="0" y="0"/>
                          <a:ext cx="1434465" cy="145415"/>
                        </a:xfrm>
                        <a:custGeom>
                          <a:avLst/>
                          <a:gdLst/>
                          <a:ahLst/>
                          <a:cxnLst/>
                          <a:rect l="l" t="t" r="r" b="b"/>
                          <a:pathLst>
                            <a:path w="1434465" h="145415">
                              <a:moveTo>
                                <a:pt x="1433931" y="0"/>
                              </a:moveTo>
                              <a:lnTo>
                                <a:pt x="0" y="0"/>
                              </a:lnTo>
                              <a:lnTo>
                                <a:pt x="0" y="145351"/>
                              </a:lnTo>
                              <a:lnTo>
                                <a:pt x="1433931" y="145351"/>
                              </a:lnTo>
                              <a:lnTo>
                                <a:pt x="143393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364737pt;width:112.908pt;height:11.445pt;mso-position-horizontal-relative:page;mso-position-vertical-relative:paragraph;z-index:-15504384;mso-wrap-distance-left:0;mso-wrap-distance-right:0" id="docshape1590" filled="true" fillcolor="#000000" stroked="false">
                <v:fill type="solid"/>
                <w10:wrap type="topAndBottom"/>
              </v:rect>
            </w:pict>
          </mc:Fallback>
        </mc:AlternateContent>
      </w:r>
    </w:p>
    <w:p>
      <w:pPr>
        <w:pStyle w:val="BodyText"/>
        <w:spacing w:before="159"/>
        <w:rPr>
          <w:sz w:val="20"/>
        </w:rPr>
      </w:pPr>
    </w:p>
    <w:p>
      <w:pPr>
        <w:spacing w:line="331" w:lineRule="auto" w:before="0"/>
        <w:ind w:left="1284" w:right="496" w:firstLine="0"/>
        <w:jc w:val="left"/>
        <w:rPr>
          <w:sz w:val="20"/>
        </w:rPr>
      </w:pPr>
      <w:r>
        <w:rPr>
          <w:sz w:val="20"/>
        </w:rPr>
        <mc:AlternateContent>
          <mc:Choice Requires="wps">
            <w:drawing>
              <wp:anchor distT="0" distB="0" distL="0" distR="0" allowOverlap="1" layoutInCell="1" locked="0" behindDoc="0" simplePos="0" relativeHeight="15954944">
                <wp:simplePos x="0" y="0"/>
                <wp:positionH relativeFrom="page">
                  <wp:posOffset>244784</wp:posOffset>
                </wp:positionH>
                <wp:positionV relativeFrom="paragraph">
                  <wp:posOffset>131323</wp:posOffset>
                </wp:positionV>
                <wp:extent cx="251460" cy="1744345"/>
                <wp:effectExtent l="0" t="0" r="0" b="0"/>
                <wp:wrapNone/>
                <wp:docPr id="2209" name="Textbox 2209"/>
                <wp:cNvGraphicFramePr>
                  <a:graphicFrameLocks/>
                </wp:cNvGraphicFramePr>
                <a:graphic>
                  <a:graphicData uri="http://schemas.microsoft.com/office/word/2010/wordprocessingShape">
                    <wps:wsp>
                      <wps:cNvPr id="2209" name="Textbox 2209"/>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wps:txbx>
                      <wps:bodyPr wrap="square" lIns="0" tIns="0" rIns="0" bIns="0" rtlCol="0" vert="vert270">
                        <a:noAutofit/>
                      </wps:bodyPr>
                    </wps:wsp>
                  </a:graphicData>
                </a:graphic>
              </wp:anchor>
            </w:drawing>
          </mc:Choice>
          <mc:Fallback>
            <w:pict>
              <v:shape style="position:absolute;margin-left:19.274403pt;margin-top:10.340437pt;width:19.8pt;height:137.35pt;mso-position-horizontal-relative:page;mso-position-vertical-relative:paragraph;z-index:15954944" type="#_x0000_t202" id="docshape1591"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CSV: 0</w:t>
                      </w:r>
                    </w:p>
                  </w:txbxContent>
                </v:textbox>
                <w10:wrap type="none"/>
              </v:shape>
            </w:pict>
          </mc:Fallback>
        </mc:AlternateContent>
      </w:r>
      <w:r>
        <w:rPr>
          <w:sz w:val="20"/>
        </w:rPr>
        <w:t>En</w:t>
      </w:r>
      <w:r>
        <w:rPr>
          <w:spacing w:val="-5"/>
          <w:sz w:val="20"/>
        </w:rPr>
        <w:t> </w:t>
      </w:r>
      <w:r>
        <w:rPr>
          <w:sz w:val="20"/>
        </w:rPr>
        <w:t>caso</w:t>
      </w:r>
      <w:r>
        <w:rPr>
          <w:spacing w:val="-6"/>
          <w:sz w:val="20"/>
        </w:rPr>
        <w:t> </w:t>
      </w:r>
      <w:r>
        <w:rPr>
          <w:sz w:val="20"/>
        </w:rPr>
        <w:t>de</w:t>
      </w:r>
      <w:r>
        <w:rPr>
          <w:spacing w:val="-3"/>
          <w:sz w:val="20"/>
        </w:rPr>
        <w:t> </w:t>
      </w:r>
      <w:r>
        <w:rPr>
          <w:sz w:val="20"/>
        </w:rPr>
        <w:t>que</w:t>
      </w:r>
      <w:r>
        <w:rPr>
          <w:spacing w:val="-5"/>
          <w:sz w:val="20"/>
        </w:rPr>
        <w:t> </w:t>
      </w:r>
      <w:r>
        <w:rPr>
          <w:sz w:val="20"/>
        </w:rPr>
        <w:t>el</w:t>
      </w:r>
      <w:r>
        <w:rPr>
          <w:spacing w:val="-7"/>
          <w:sz w:val="20"/>
        </w:rPr>
        <w:t> </w:t>
      </w:r>
      <w:r>
        <w:rPr>
          <w:sz w:val="20"/>
        </w:rPr>
        <w:t>Presidente/Expresidente</w:t>
      </w:r>
      <w:r>
        <w:rPr>
          <w:spacing w:val="-5"/>
          <w:sz w:val="20"/>
        </w:rPr>
        <w:t> </w:t>
      </w:r>
      <w:r>
        <w:rPr>
          <w:sz w:val="20"/>
        </w:rPr>
        <w:t>de</w:t>
      </w:r>
      <w:r>
        <w:rPr>
          <w:spacing w:val="-5"/>
          <w:sz w:val="20"/>
        </w:rPr>
        <w:t> </w:t>
      </w:r>
      <w:r>
        <w:rPr>
          <w:sz w:val="20"/>
        </w:rPr>
        <w:t>la</w:t>
      </w:r>
      <w:r>
        <w:rPr>
          <w:spacing w:val="-3"/>
          <w:sz w:val="20"/>
        </w:rPr>
        <w:t> </w:t>
      </w:r>
      <w:r>
        <w:rPr>
          <w:sz w:val="20"/>
        </w:rPr>
        <w:t>entidad</w:t>
      </w:r>
      <w:r>
        <w:rPr>
          <w:spacing w:val="-1"/>
          <w:sz w:val="20"/>
        </w:rPr>
        <w:t> </w:t>
      </w:r>
      <w:r>
        <w:rPr>
          <w:sz w:val="20"/>
        </w:rPr>
        <w:t>no</w:t>
      </w:r>
      <w:r>
        <w:rPr>
          <w:spacing w:val="-5"/>
          <w:sz w:val="20"/>
        </w:rPr>
        <w:t> </w:t>
      </w:r>
      <w:r>
        <w:rPr>
          <w:sz w:val="20"/>
        </w:rPr>
        <w:t>sea</w:t>
      </w:r>
      <w:r>
        <w:rPr>
          <w:spacing w:val="-3"/>
          <w:sz w:val="20"/>
        </w:rPr>
        <w:t> </w:t>
      </w:r>
      <w:r>
        <w:rPr>
          <w:sz w:val="20"/>
        </w:rPr>
        <w:t>quien</w:t>
      </w:r>
      <w:r>
        <w:rPr>
          <w:spacing w:val="-5"/>
          <w:sz w:val="20"/>
        </w:rPr>
        <w:t> </w:t>
      </w:r>
      <w:r>
        <w:rPr>
          <w:sz w:val="20"/>
        </w:rPr>
        <w:t>vaya</w:t>
      </w:r>
      <w:r>
        <w:rPr>
          <w:spacing w:val="-4"/>
          <w:sz w:val="20"/>
        </w:rPr>
        <w:t> </w:t>
      </w:r>
      <w:r>
        <w:rPr>
          <w:sz w:val="20"/>
        </w:rPr>
        <w:t>a</w:t>
      </w:r>
      <w:r>
        <w:rPr>
          <w:spacing w:val="-5"/>
          <w:sz w:val="20"/>
        </w:rPr>
        <w:t> </w:t>
      </w:r>
      <w:r>
        <w:rPr>
          <w:sz w:val="20"/>
        </w:rPr>
        <w:t>firmar</w:t>
      </w:r>
      <w:r>
        <w:rPr>
          <w:spacing w:val="-5"/>
          <w:sz w:val="20"/>
        </w:rPr>
        <w:t> </w:t>
      </w:r>
      <w:r>
        <w:rPr>
          <w:sz w:val="20"/>
        </w:rPr>
        <w:t>el</w:t>
      </w:r>
      <w:r>
        <w:rPr>
          <w:spacing w:val="-5"/>
          <w:sz w:val="20"/>
        </w:rPr>
        <w:t> </w:t>
      </w:r>
      <w:r>
        <w:rPr>
          <w:sz w:val="20"/>
        </w:rPr>
        <w:t>envío</w:t>
      </w:r>
      <w:r>
        <w:rPr>
          <w:spacing w:val="-6"/>
          <w:sz w:val="20"/>
        </w:rPr>
        <w:t> </w:t>
      </w:r>
      <w:r>
        <w:rPr>
          <w:sz w:val="20"/>
        </w:rPr>
        <w:t>telemático</w:t>
      </w:r>
      <w:r>
        <w:rPr>
          <w:spacing w:val="-6"/>
          <w:sz w:val="20"/>
        </w:rPr>
        <w:t> </w:t>
      </w:r>
      <w:r>
        <w:rPr>
          <w:sz w:val="20"/>
        </w:rPr>
        <w:t>de</w:t>
      </w:r>
      <w:r>
        <w:rPr>
          <w:spacing w:val="-5"/>
          <w:sz w:val="20"/>
        </w:rPr>
        <w:t> </w:t>
      </w:r>
      <w:r>
        <w:rPr>
          <w:sz w:val="20"/>
        </w:rPr>
        <w:t>las alegaciones marque "No" y cumplimente la información identificativa del representante. En otro caso marque </w:t>
      </w:r>
      <w:r>
        <w:rPr>
          <w:spacing w:val="-2"/>
          <w:sz w:val="20"/>
        </w:rPr>
        <w:t>"Sí".</w:t>
      </w:r>
    </w:p>
    <w:p>
      <w:pPr>
        <w:spacing w:before="3"/>
        <w:ind w:left="1284" w:right="0" w:firstLine="0"/>
        <w:jc w:val="left"/>
        <w:rPr>
          <w:b/>
          <w:sz w:val="20"/>
        </w:rPr>
      </w:pPr>
      <w:r>
        <w:rPr>
          <w:b/>
          <w:spacing w:val="-5"/>
          <w:sz w:val="20"/>
        </w:rPr>
        <w:t>No</w:t>
      </w:r>
    </w:p>
    <w:p>
      <w:pPr>
        <w:pStyle w:val="BodyText"/>
        <w:rPr>
          <w:b/>
          <w:sz w:val="20"/>
        </w:rPr>
      </w:pPr>
    </w:p>
    <w:p>
      <w:pPr>
        <w:pStyle w:val="BodyText"/>
        <w:rPr>
          <w:b/>
          <w:sz w:val="20"/>
        </w:rPr>
      </w:pPr>
    </w:p>
    <w:p>
      <w:pPr>
        <w:pStyle w:val="BodyText"/>
        <w:spacing w:before="35"/>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812608">
                <wp:simplePos x="0" y="0"/>
                <wp:positionH relativeFrom="page">
                  <wp:posOffset>905255</wp:posOffset>
                </wp:positionH>
                <wp:positionV relativeFrom="paragraph">
                  <wp:posOffset>161987</wp:posOffset>
                </wp:positionV>
                <wp:extent cx="3141345" cy="1270"/>
                <wp:effectExtent l="0" t="0" r="0" b="0"/>
                <wp:wrapTopAndBottom/>
                <wp:docPr id="2210" name="Graphic 2210"/>
                <wp:cNvGraphicFramePr>
                  <a:graphicFrameLocks/>
                </wp:cNvGraphicFramePr>
                <a:graphic>
                  <a:graphicData uri="http://schemas.microsoft.com/office/word/2010/wordprocessingShape">
                    <wps:wsp>
                      <wps:cNvPr id="2210" name="Graphic 2210"/>
                      <wps:cNvSpPr/>
                      <wps:spPr>
                        <a:xfrm>
                          <a:off x="0" y="0"/>
                          <a:ext cx="3141345" cy="1270"/>
                        </a:xfrm>
                        <a:custGeom>
                          <a:avLst/>
                          <a:gdLst/>
                          <a:ahLst/>
                          <a:cxnLst/>
                          <a:rect l="l" t="t" r="r" b="b"/>
                          <a:pathLst>
                            <a:path w="3141345" h="0">
                              <a:moveTo>
                                <a:pt x="0" y="0"/>
                              </a:moveTo>
                              <a:lnTo>
                                <a:pt x="3140963"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754926pt;width:247.35pt;height:.1pt;mso-position-horizontal-relative:page;mso-position-vertical-relative:paragraph;z-index:-15503872;mso-wrap-distance-left:0;mso-wrap-distance-right:0" id="docshape1592" coordorigin="1426,255" coordsize="4947,0" path="m1426,255l6372,255e" filled="false" stroked="true" strokeweight=".72pt" strokecolor="#000000">
                <v:path arrowok="t"/>
                <v:stroke dashstyle="solid"/>
                <w10:wrap type="topAndBottom"/>
              </v:shape>
            </w:pict>
          </mc:Fallback>
        </mc:AlternateContent>
      </w:r>
      <w:r>
        <w:rPr>
          <w:b/>
          <w:sz w:val="20"/>
        </w:rPr>
        <w:t>Identificación</w:t>
      </w:r>
      <w:r>
        <w:rPr>
          <w:b/>
          <w:spacing w:val="-12"/>
          <w:sz w:val="20"/>
        </w:rPr>
        <w:t> </w:t>
      </w:r>
      <w:r>
        <w:rPr>
          <w:b/>
          <w:sz w:val="20"/>
        </w:rPr>
        <w:t>de</w:t>
      </w:r>
      <w:r>
        <w:rPr>
          <w:b/>
          <w:spacing w:val="-10"/>
          <w:sz w:val="20"/>
        </w:rPr>
        <w:t> </w:t>
      </w:r>
      <w:r>
        <w:rPr>
          <w:b/>
          <w:sz w:val="20"/>
        </w:rPr>
        <w:t>la</w:t>
      </w:r>
      <w:r>
        <w:rPr>
          <w:b/>
          <w:spacing w:val="-10"/>
          <w:sz w:val="20"/>
        </w:rPr>
        <w:t> </w:t>
      </w:r>
      <w:r>
        <w:rPr>
          <w:b/>
          <w:sz w:val="20"/>
        </w:rPr>
        <w:t>persona</w:t>
      </w:r>
      <w:r>
        <w:rPr>
          <w:b/>
          <w:spacing w:val="-11"/>
          <w:sz w:val="20"/>
        </w:rPr>
        <w:t> </w:t>
      </w:r>
      <w:r>
        <w:rPr>
          <w:b/>
          <w:sz w:val="20"/>
        </w:rPr>
        <w:t>autorizada</w:t>
      </w:r>
      <w:r>
        <w:rPr>
          <w:b/>
          <w:spacing w:val="-10"/>
          <w:sz w:val="20"/>
        </w:rPr>
        <w:t> </w:t>
      </w:r>
      <w:r>
        <w:rPr>
          <w:b/>
          <w:sz w:val="20"/>
        </w:rPr>
        <w:t>para</w:t>
      </w:r>
      <w:r>
        <w:rPr>
          <w:b/>
          <w:spacing w:val="-11"/>
          <w:sz w:val="20"/>
        </w:rPr>
        <w:t> </w:t>
      </w:r>
      <w:r>
        <w:rPr>
          <w:b/>
          <w:sz w:val="20"/>
        </w:rPr>
        <w:t>el</w:t>
      </w:r>
      <w:r>
        <w:rPr>
          <w:b/>
          <w:spacing w:val="-10"/>
          <w:sz w:val="20"/>
        </w:rPr>
        <w:t> </w:t>
      </w:r>
      <w:r>
        <w:rPr>
          <w:b/>
          <w:spacing w:val="-2"/>
          <w:sz w:val="20"/>
        </w:rPr>
        <w:t>envío</w:t>
      </w:r>
    </w:p>
    <w:p>
      <w:pPr>
        <w:pStyle w:val="BodyText"/>
        <w:spacing w:before="146"/>
        <w:rPr>
          <w:b/>
          <w:sz w:val="20"/>
        </w:rPr>
      </w:pPr>
    </w:p>
    <w:p>
      <w:pPr>
        <w:spacing w:before="0"/>
        <w:ind w:left="1284" w:right="0" w:firstLine="0"/>
        <w:jc w:val="left"/>
        <w:rPr>
          <w:sz w:val="20"/>
        </w:rPr>
      </w:pPr>
      <w:r>
        <w:rPr>
          <w:sz w:val="20"/>
        </w:rPr>
        <w:t>Nombre</w:t>
      </w:r>
      <w:r>
        <w:rPr>
          <w:spacing w:val="-7"/>
          <w:sz w:val="20"/>
        </w:rPr>
        <w:t> </w:t>
      </w:r>
      <w:r>
        <w:rPr>
          <w:sz w:val="20"/>
        </w:rPr>
        <w:t>y</w:t>
      </w:r>
      <w:r>
        <w:rPr>
          <w:spacing w:val="-7"/>
          <w:sz w:val="20"/>
        </w:rPr>
        <w:t> </w:t>
      </w:r>
      <w:r>
        <w:rPr>
          <w:spacing w:val="-2"/>
          <w:sz w:val="20"/>
        </w:rPr>
        <w:t>apellidos:</w:t>
      </w:r>
    </w:p>
    <w:p>
      <w:pPr>
        <w:spacing w:before="87"/>
        <w:ind w:left="1284" w:right="0" w:firstLine="0"/>
        <w:jc w:val="left"/>
        <w:rPr>
          <w:b/>
          <w:sz w:val="20"/>
        </w:rPr>
      </w:pPr>
      <w:r>
        <w:rPr>
          <w:b/>
          <w:spacing w:val="-2"/>
          <w:sz w:val="20"/>
        </w:rPr>
        <w:t>EDUARDO ENRIQUE</w:t>
      </w:r>
      <w:r>
        <w:rPr>
          <w:b/>
          <w:spacing w:val="-1"/>
          <w:sz w:val="20"/>
        </w:rPr>
        <w:t> </w:t>
      </w:r>
      <w:r>
        <w:rPr>
          <w:b/>
          <w:spacing w:val="-2"/>
          <w:sz w:val="20"/>
        </w:rPr>
        <w:t>BERMUDO</w:t>
      </w:r>
      <w:r>
        <w:rPr>
          <w:b/>
          <w:spacing w:val="-1"/>
          <w:sz w:val="20"/>
        </w:rPr>
        <w:t> </w:t>
      </w:r>
      <w:r>
        <w:rPr>
          <w:b/>
          <w:spacing w:val="-2"/>
          <w:sz w:val="20"/>
        </w:rPr>
        <w:t>FUSTERO</w:t>
      </w:r>
    </w:p>
    <w:p>
      <w:pPr>
        <w:pStyle w:val="BodyText"/>
        <w:spacing w:before="178"/>
        <w:rPr>
          <w:b/>
          <w:sz w:val="20"/>
        </w:rPr>
      </w:pPr>
    </w:p>
    <w:p>
      <w:pPr>
        <w:spacing w:before="1"/>
        <w:ind w:left="1284" w:right="0" w:firstLine="0"/>
        <w:jc w:val="left"/>
        <w:rPr>
          <w:sz w:val="20"/>
        </w:rPr>
      </w:pPr>
      <w:r>
        <w:rPr>
          <w:spacing w:val="-4"/>
          <w:sz w:val="20"/>
        </w:rPr>
        <w:t>DNI:</w:t>
      </w:r>
    </w:p>
    <w:p>
      <w:pPr>
        <w:spacing w:after="0"/>
        <w:jc w:val="left"/>
        <w:rPr>
          <w:sz w:val="20"/>
        </w:rPr>
        <w:sectPr>
          <w:headerReference w:type="default" r:id="rId365"/>
          <w:headerReference w:type="even" r:id="rId366"/>
          <w:footerReference w:type="default" r:id="rId367"/>
          <w:footerReference w:type="even" r:id="rId368"/>
          <w:pgSz w:w="11910" w:h="16840"/>
          <w:pgMar w:header="314" w:footer="551" w:top="1240" w:bottom="740" w:left="141" w:right="141"/>
          <w:pgNumType w:start="1"/>
        </w:sectPr>
      </w:pPr>
    </w:p>
    <w:p>
      <w:pPr>
        <w:pStyle w:val="BodyText"/>
        <w:rPr>
          <w:sz w:val="20"/>
        </w:rPr>
      </w:pPr>
    </w:p>
    <w:p>
      <w:pPr>
        <w:pStyle w:val="BodyText"/>
        <w:spacing w:before="82"/>
        <w:rPr>
          <w:sz w:val="20"/>
        </w:rPr>
      </w:pPr>
    </w:p>
    <w:p>
      <w:pPr>
        <w:spacing w:line="187" w:lineRule="exact"/>
        <w:ind w:left="1264" w:right="0" w:firstLine="0"/>
        <w:rPr>
          <w:position w:val="-3"/>
          <w:sz w:val="18"/>
        </w:rPr>
      </w:pPr>
      <w:r>
        <w:rPr>
          <w:position w:val="-3"/>
          <w:sz w:val="18"/>
        </w:rPr>
        <mc:AlternateContent>
          <mc:Choice Requires="wps">
            <w:drawing>
              <wp:inline distT="0" distB="0" distL="0" distR="0">
                <wp:extent cx="664210" cy="119380"/>
                <wp:effectExtent l="0" t="0" r="0" b="0"/>
                <wp:docPr id="2211" name="Group 2211"/>
                <wp:cNvGraphicFramePr>
                  <a:graphicFrameLocks/>
                </wp:cNvGraphicFramePr>
                <a:graphic>
                  <a:graphicData uri="http://schemas.microsoft.com/office/word/2010/wordprocessingGroup">
                    <wpg:wgp>
                      <wpg:cNvPr id="2211" name="Group 2211"/>
                      <wpg:cNvGrpSpPr/>
                      <wpg:grpSpPr>
                        <a:xfrm>
                          <a:off x="0" y="0"/>
                          <a:ext cx="664210" cy="119380"/>
                          <a:chExt cx="664210" cy="119380"/>
                        </a:xfrm>
                      </wpg:grpSpPr>
                      <wps:wsp>
                        <wps:cNvPr id="2212" name="Graphic 2212"/>
                        <wps:cNvSpPr/>
                        <wps:spPr>
                          <a:xfrm>
                            <a:off x="0" y="0"/>
                            <a:ext cx="664210" cy="119380"/>
                          </a:xfrm>
                          <a:custGeom>
                            <a:avLst/>
                            <a:gdLst/>
                            <a:ahLst/>
                            <a:cxnLst/>
                            <a:rect l="l" t="t" r="r" b="b"/>
                            <a:pathLst>
                              <a:path w="664210" h="119380">
                                <a:moveTo>
                                  <a:pt x="663917" y="0"/>
                                </a:moveTo>
                                <a:lnTo>
                                  <a:pt x="0" y="0"/>
                                </a:lnTo>
                                <a:lnTo>
                                  <a:pt x="0" y="119189"/>
                                </a:lnTo>
                                <a:lnTo>
                                  <a:pt x="663917" y="119189"/>
                                </a:lnTo>
                                <a:lnTo>
                                  <a:pt x="66391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2.3pt;height:9.4pt;mso-position-horizontal-relative:char;mso-position-vertical-relative:line" id="docshapegroup1593" coordorigin="0,0" coordsize="1046,188">
                <v:rect style="position:absolute;left:0;top:0;width:1046;height:188" id="docshape1594" filled="true" fillcolor="#000000" stroked="false">
                  <v:fill type="solid"/>
                </v:rect>
              </v:group>
            </w:pict>
          </mc:Fallback>
        </mc:AlternateContent>
      </w:r>
      <w:r>
        <w:rPr>
          <w:position w:val="-3"/>
          <w:sz w:val="18"/>
        </w:rPr>
      </w:r>
    </w:p>
    <w:p>
      <w:pPr>
        <w:pStyle w:val="BodyText"/>
        <w:spacing w:before="199"/>
        <w:rPr>
          <w:sz w:val="20"/>
        </w:rPr>
      </w:pPr>
    </w:p>
    <w:p>
      <w:pPr>
        <w:spacing w:before="0"/>
        <w:ind w:left="1284" w:right="0" w:firstLine="0"/>
        <w:jc w:val="left"/>
        <w:rPr>
          <w:sz w:val="20"/>
        </w:rPr>
      </w:pPr>
      <w:r>
        <w:rPr>
          <w:spacing w:val="-2"/>
          <w:sz w:val="20"/>
        </w:rPr>
        <w:t>Cargo:</w:t>
      </w:r>
    </w:p>
    <w:p>
      <w:pPr>
        <w:spacing w:before="87"/>
        <w:ind w:left="1284" w:right="0" w:firstLine="0"/>
        <w:jc w:val="left"/>
        <w:rPr>
          <w:b/>
          <w:sz w:val="20"/>
        </w:rPr>
      </w:pPr>
      <w:r>
        <w:rPr>
          <w:b/>
          <w:sz w:val="20"/>
        </w:rPr>
        <w:t>JEFE</w:t>
      </w:r>
      <w:r>
        <w:rPr>
          <w:b/>
          <w:spacing w:val="-10"/>
          <w:sz w:val="20"/>
        </w:rPr>
        <w:t> </w:t>
      </w:r>
      <w:r>
        <w:rPr>
          <w:b/>
          <w:sz w:val="20"/>
        </w:rPr>
        <w:t>DE</w:t>
      </w:r>
      <w:r>
        <w:rPr>
          <w:b/>
          <w:spacing w:val="-10"/>
          <w:sz w:val="20"/>
        </w:rPr>
        <w:t> </w:t>
      </w:r>
      <w:r>
        <w:rPr>
          <w:b/>
          <w:sz w:val="20"/>
        </w:rPr>
        <w:t>LA</w:t>
      </w:r>
      <w:r>
        <w:rPr>
          <w:b/>
          <w:spacing w:val="-10"/>
          <w:sz w:val="20"/>
        </w:rPr>
        <w:t> </w:t>
      </w:r>
      <w:r>
        <w:rPr>
          <w:b/>
          <w:sz w:val="20"/>
        </w:rPr>
        <w:t>OFICINA</w:t>
      </w:r>
      <w:r>
        <w:rPr>
          <w:b/>
          <w:spacing w:val="-10"/>
          <w:sz w:val="20"/>
        </w:rPr>
        <w:t> </w:t>
      </w:r>
      <w:r>
        <w:rPr>
          <w:b/>
          <w:sz w:val="20"/>
        </w:rPr>
        <w:t>JURIDICA</w:t>
      </w:r>
      <w:r>
        <w:rPr>
          <w:b/>
          <w:spacing w:val="-10"/>
          <w:sz w:val="20"/>
        </w:rPr>
        <w:t> </w:t>
      </w:r>
      <w:r>
        <w:rPr>
          <w:b/>
          <w:sz w:val="20"/>
        </w:rPr>
        <w:t>MEDIO</w:t>
      </w:r>
      <w:r>
        <w:rPr>
          <w:b/>
          <w:spacing w:val="-10"/>
          <w:sz w:val="20"/>
        </w:rPr>
        <w:t> </w:t>
      </w:r>
      <w:r>
        <w:rPr>
          <w:b/>
          <w:sz w:val="20"/>
        </w:rPr>
        <w:t>AMBIENTE</w:t>
      </w:r>
      <w:r>
        <w:rPr>
          <w:b/>
          <w:spacing w:val="-10"/>
          <w:sz w:val="20"/>
        </w:rPr>
        <w:t> </w:t>
      </w:r>
      <w:r>
        <w:rPr>
          <w:b/>
          <w:sz w:val="20"/>
        </w:rPr>
        <w:t>Y</w:t>
      </w:r>
      <w:r>
        <w:rPr>
          <w:b/>
          <w:spacing w:val="-8"/>
          <w:sz w:val="20"/>
        </w:rPr>
        <w:t> </w:t>
      </w:r>
      <w:r>
        <w:rPr>
          <w:b/>
          <w:spacing w:val="-2"/>
          <w:sz w:val="20"/>
        </w:rPr>
        <w:t>MOVILIDAD</w:t>
      </w:r>
    </w:p>
    <w:p>
      <w:pPr>
        <w:pStyle w:val="BodyText"/>
        <w:spacing w:before="178"/>
        <w:rPr>
          <w:b/>
          <w:sz w:val="20"/>
        </w:rPr>
      </w:pPr>
    </w:p>
    <w:p>
      <w:pPr>
        <w:spacing w:before="0"/>
        <w:ind w:left="1284" w:right="0" w:firstLine="0"/>
        <w:jc w:val="left"/>
        <w:rPr>
          <w:sz w:val="20"/>
        </w:rPr>
      </w:pPr>
      <w:r>
        <w:rPr>
          <w:sz w:val="20"/>
        </w:rPr>
        <w:t>Correo</w:t>
      </w:r>
      <w:r>
        <w:rPr>
          <w:spacing w:val="-12"/>
          <w:sz w:val="20"/>
        </w:rPr>
        <w:t> </w:t>
      </w:r>
      <w:r>
        <w:rPr>
          <w:spacing w:val="-2"/>
          <w:sz w:val="20"/>
        </w:rPr>
        <w:t>electrónico:</w:t>
      </w:r>
    </w:p>
    <w:p>
      <w:pPr>
        <w:pStyle w:val="BodyText"/>
        <w:spacing w:before="5"/>
        <w:rPr>
          <w:sz w:val="7"/>
        </w:rPr>
      </w:pPr>
      <w:r>
        <w:rPr>
          <w:sz w:val="7"/>
        </w:rPr>
        <mc:AlternateContent>
          <mc:Choice Requires="wps">
            <w:drawing>
              <wp:anchor distT="0" distB="0" distL="0" distR="0" allowOverlap="1" layoutInCell="1" locked="0" behindDoc="1" simplePos="0" relativeHeight="487816192">
                <wp:simplePos x="0" y="0"/>
                <wp:positionH relativeFrom="page">
                  <wp:posOffset>892530</wp:posOffset>
                </wp:positionH>
                <wp:positionV relativeFrom="paragraph">
                  <wp:posOffset>69772</wp:posOffset>
                </wp:positionV>
                <wp:extent cx="1475105" cy="145415"/>
                <wp:effectExtent l="0" t="0" r="0" b="0"/>
                <wp:wrapTopAndBottom/>
                <wp:docPr id="2213" name="Graphic 2213"/>
                <wp:cNvGraphicFramePr>
                  <a:graphicFrameLocks/>
                </wp:cNvGraphicFramePr>
                <a:graphic>
                  <a:graphicData uri="http://schemas.microsoft.com/office/word/2010/wordprocessingShape">
                    <wps:wsp>
                      <wps:cNvPr id="2213" name="Graphic 2213"/>
                      <wps:cNvSpPr/>
                      <wps:spPr>
                        <a:xfrm>
                          <a:off x="0" y="0"/>
                          <a:ext cx="1475105" cy="145415"/>
                        </a:xfrm>
                        <a:custGeom>
                          <a:avLst/>
                          <a:gdLst/>
                          <a:ahLst/>
                          <a:cxnLst/>
                          <a:rect l="l" t="t" r="r" b="b"/>
                          <a:pathLst>
                            <a:path w="1475105" h="145415">
                              <a:moveTo>
                                <a:pt x="1475079" y="0"/>
                              </a:moveTo>
                              <a:lnTo>
                                <a:pt x="0" y="0"/>
                              </a:lnTo>
                              <a:lnTo>
                                <a:pt x="0" y="145351"/>
                              </a:lnTo>
                              <a:lnTo>
                                <a:pt x="1475079" y="145351"/>
                              </a:lnTo>
                              <a:lnTo>
                                <a:pt x="147507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278pt;margin-top:5.493867pt;width:116.148pt;height:11.445pt;mso-position-horizontal-relative:page;mso-position-vertical-relative:paragraph;z-index:-15500288;mso-wrap-distance-left:0;mso-wrap-distance-right:0" id="docshape1595" filled="true" fillcolor="#000000" stroked="false">
                <v:fill type="solid"/>
                <w10:wrap type="topAndBottom"/>
              </v:rect>
            </w:pict>
          </mc:Fallback>
        </mc:AlternateContent>
      </w:r>
    </w:p>
    <w:p>
      <w:pPr>
        <w:pStyle w:val="BodyText"/>
        <w:spacing w:before="156"/>
        <w:rPr>
          <w:sz w:val="20"/>
        </w:rPr>
      </w:pPr>
    </w:p>
    <w:p>
      <w:pPr>
        <w:spacing w:before="0"/>
        <w:ind w:left="1284" w:right="0" w:firstLine="0"/>
        <w:jc w:val="left"/>
        <w:rPr>
          <w:sz w:val="20"/>
        </w:rPr>
      </w:pPr>
      <w:r>
        <w:rPr>
          <w:sz w:val="20"/>
        </w:rPr>
        <w:t>Anexos</w:t>
      </w:r>
      <w:r>
        <w:rPr>
          <w:spacing w:val="-7"/>
          <w:sz w:val="20"/>
        </w:rPr>
        <w:t> </w:t>
      </w:r>
      <w:r>
        <w:rPr>
          <w:sz w:val="20"/>
        </w:rPr>
        <w:t>de</w:t>
      </w:r>
      <w:r>
        <w:rPr>
          <w:spacing w:val="-3"/>
          <w:sz w:val="20"/>
        </w:rPr>
        <w:t> </w:t>
      </w:r>
      <w:r>
        <w:rPr>
          <w:sz w:val="20"/>
        </w:rPr>
        <w:t>la</w:t>
      </w:r>
      <w:r>
        <w:rPr>
          <w:spacing w:val="-6"/>
          <w:sz w:val="20"/>
        </w:rPr>
        <w:t> </w:t>
      </w:r>
      <w:r>
        <w:rPr>
          <w:spacing w:val="-2"/>
          <w:sz w:val="20"/>
        </w:rPr>
        <w:t>sección:</w:t>
      </w:r>
    </w:p>
    <w:p>
      <w:pPr>
        <w:spacing w:before="90"/>
        <w:ind w:left="1284" w:right="0" w:firstLine="0"/>
        <w:jc w:val="left"/>
        <w:rPr>
          <w:b/>
          <w:sz w:val="20"/>
        </w:rPr>
      </w:pPr>
      <w:r>
        <w:rPr>
          <w:b/>
          <w:spacing w:val="-2"/>
          <w:sz w:val="20"/>
        </w:rPr>
        <w:t>Nombre:</w:t>
      </w:r>
      <w:r>
        <w:rPr>
          <w:b/>
          <w:spacing w:val="4"/>
          <w:sz w:val="20"/>
        </w:rPr>
        <w:t> </w:t>
      </w:r>
      <w:r>
        <w:rPr>
          <w:b/>
          <w:spacing w:val="-2"/>
          <w:sz w:val="20"/>
        </w:rPr>
        <w:t>Autorizacion.pdf,</w:t>
      </w:r>
      <w:r>
        <w:rPr>
          <w:b/>
          <w:spacing w:val="3"/>
          <w:sz w:val="20"/>
        </w:rPr>
        <w:t> </w:t>
      </w:r>
      <w:r>
        <w:rPr>
          <w:b/>
          <w:spacing w:val="-2"/>
          <w:sz w:val="20"/>
        </w:rPr>
        <w:t>Hash:</w:t>
      </w:r>
      <w:r>
        <w:rPr>
          <w:b/>
          <w:spacing w:val="3"/>
          <w:sz w:val="20"/>
        </w:rPr>
        <w:t> </w:t>
      </w:r>
      <w:r>
        <w:rPr>
          <w:b/>
          <w:spacing w:val="-2"/>
          <w:sz w:val="20"/>
        </w:rPr>
        <w:t>m9ZQm/IMhpH64MCFvH8JnQ==</w:t>
      </w:r>
    </w:p>
    <w:p>
      <w:pPr>
        <w:pStyle w:val="BodyText"/>
        <w:spacing w:before="175"/>
        <w:rPr>
          <w:b/>
          <w:sz w:val="20"/>
        </w:rPr>
      </w:pPr>
    </w:p>
    <w:p>
      <w:pPr>
        <w:spacing w:before="1"/>
        <w:ind w:left="4663" w:right="0" w:firstLine="0"/>
        <w:jc w:val="left"/>
        <w:rPr>
          <w:b/>
          <w:sz w:val="20"/>
        </w:rPr>
      </w:pPr>
      <w:r>
        <w:rPr>
          <w:b/>
          <w:sz w:val="20"/>
        </w:rPr>
        <w:t>FORMULARIO</w:t>
      </w:r>
      <w:r>
        <w:rPr>
          <w:b/>
          <w:spacing w:val="-14"/>
          <w:sz w:val="20"/>
        </w:rPr>
        <w:t> </w:t>
      </w:r>
      <w:r>
        <w:rPr>
          <w:b/>
          <w:sz w:val="20"/>
        </w:rPr>
        <w:t>2:</w:t>
      </w:r>
      <w:r>
        <w:rPr>
          <w:b/>
          <w:spacing w:val="-14"/>
          <w:sz w:val="20"/>
        </w:rPr>
        <w:t> </w:t>
      </w:r>
      <w:r>
        <w:rPr>
          <w:b/>
          <w:spacing w:val="-2"/>
          <w:sz w:val="20"/>
        </w:rPr>
        <w:t>ALEGACIONES</w:t>
      </w:r>
    </w:p>
    <w:p>
      <w:pPr>
        <w:pStyle w:val="BodyText"/>
        <w:spacing w:before="178"/>
        <w:rPr>
          <w:b/>
          <w:sz w:val="20"/>
        </w:rPr>
      </w:pPr>
    </w:p>
    <w:p>
      <w:pPr>
        <w:spacing w:before="0"/>
        <w:ind w:left="1284" w:right="0" w:firstLine="0"/>
        <w:jc w:val="left"/>
        <w:rPr>
          <w:b/>
          <w:sz w:val="20"/>
        </w:rPr>
      </w:pPr>
      <w:r>
        <w:rPr>
          <w:b/>
          <w:sz w:val="20"/>
        </w:rPr>
        <mc:AlternateContent>
          <mc:Choice Requires="wps">
            <w:drawing>
              <wp:anchor distT="0" distB="0" distL="0" distR="0" allowOverlap="1" layoutInCell="1" locked="0" behindDoc="1" simplePos="0" relativeHeight="487816704">
                <wp:simplePos x="0" y="0"/>
                <wp:positionH relativeFrom="page">
                  <wp:posOffset>905255</wp:posOffset>
                </wp:positionH>
                <wp:positionV relativeFrom="paragraph">
                  <wp:posOffset>160170</wp:posOffset>
                </wp:positionV>
                <wp:extent cx="1714500" cy="1270"/>
                <wp:effectExtent l="0" t="0" r="0" b="0"/>
                <wp:wrapTopAndBottom/>
                <wp:docPr id="2214" name="Graphic 2214"/>
                <wp:cNvGraphicFramePr>
                  <a:graphicFrameLocks/>
                </wp:cNvGraphicFramePr>
                <a:graphic>
                  <a:graphicData uri="http://schemas.microsoft.com/office/word/2010/wordprocessingShape">
                    <wps:wsp>
                      <wps:cNvPr id="2214" name="Graphic 2214"/>
                      <wps:cNvSpPr/>
                      <wps:spPr>
                        <a:xfrm>
                          <a:off x="0" y="0"/>
                          <a:ext cx="1714500" cy="1270"/>
                        </a:xfrm>
                        <a:custGeom>
                          <a:avLst/>
                          <a:gdLst/>
                          <a:ahLst/>
                          <a:cxnLst/>
                          <a:rect l="l" t="t" r="r" b="b"/>
                          <a:pathLst>
                            <a:path w="1714500" h="0">
                              <a:moveTo>
                                <a:pt x="0" y="0"/>
                              </a:moveTo>
                              <a:lnTo>
                                <a:pt x="1714499" y="0"/>
                              </a:lnTo>
                            </a:path>
                          </a:pathLst>
                        </a:custGeom>
                        <a:ln w="9143">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279999pt;margin-top:12.611859pt;width:135pt;height:.1pt;mso-position-horizontal-relative:page;mso-position-vertical-relative:paragraph;z-index:-15499776;mso-wrap-distance-left:0;mso-wrap-distance-right:0" id="docshape1596" coordorigin="1426,252" coordsize="2700,0" path="m1426,252l4126,252e" filled="false" stroked="true" strokeweight=".72pt" strokecolor="#000000">
                <v:path arrowok="t"/>
                <v:stroke dashstyle="solid"/>
                <w10:wrap type="topAndBottom"/>
              </v:shape>
            </w:pict>
          </mc:Fallback>
        </mc:AlternateContent>
      </w:r>
      <w:r>
        <w:rPr>
          <w:b/>
          <w:sz w:val="20"/>
        </w:rPr>
        <w:t>Alegaciones</w:t>
      </w:r>
      <w:r>
        <w:rPr>
          <w:b/>
          <w:spacing w:val="-13"/>
          <w:sz w:val="20"/>
        </w:rPr>
        <w:t> </w:t>
      </w:r>
      <w:r>
        <w:rPr>
          <w:b/>
          <w:sz w:val="20"/>
        </w:rPr>
        <w:t>al</w:t>
      </w:r>
      <w:r>
        <w:rPr>
          <w:b/>
          <w:spacing w:val="-12"/>
          <w:sz w:val="20"/>
        </w:rPr>
        <w:t> </w:t>
      </w:r>
      <w:r>
        <w:rPr>
          <w:b/>
          <w:spacing w:val="-2"/>
          <w:sz w:val="20"/>
        </w:rPr>
        <w:t>anteproyecto</w:t>
      </w:r>
    </w:p>
    <w:p>
      <w:pPr>
        <w:pStyle w:val="BodyText"/>
        <w:spacing w:before="146"/>
        <w:rPr>
          <w:b/>
          <w:sz w:val="20"/>
        </w:rPr>
      </w:pPr>
    </w:p>
    <w:p>
      <w:pPr>
        <w:spacing w:before="1"/>
        <w:ind w:left="1284" w:right="0" w:firstLine="0"/>
        <w:jc w:val="left"/>
        <w:rPr>
          <w:i/>
          <w:sz w:val="20"/>
        </w:rPr>
      </w:pPr>
      <w:r>
        <w:rPr>
          <w:i/>
          <w:sz w:val="20"/>
        </w:rPr>
        <w:t>Grupo</w:t>
      </w:r>
      <w:r>
        <w:rPr>
          <w:i/>
          <w:spacing w:val="-5"/>
          <w:sz w:val="20"/>
        </w:rPr>
        <w:t> </w:t>
      </w:r>
      <w:r>
        <w:rPr>
          <w:i/>
          <w:sz w:val="20"/>
        </w:rPr>
        <w:t>1</w:t>
      </w:r>
      <w:r>
        <w:rPr>
          <w:i/>
          <w:spacing w:val="-5"/>
          <w:sz w:val="20"/>
        </w:rPr>
        <w:t> </w:t>
      </w:r>
      <w:r>
        <w:rPr>
          <w:i/>
          <w:sz w:val="20"/>
        </w:rPr>
        <w:t>de</w:t>
      </w:r>
      <w:r>
        <w:rPr>
          <w:i/>
          <w:spacing w:val="-5"/>
          <w:sz w:val="20"/>
        </w:rPr>
        <w:t> </w:t>
      </w:r>
      <w:r>
        <w:rPr>
          <w:i/>
          <w:spacing w:val="-7"/>
          <w:sz w:val="20"/>
        </w:rPr>
        <w:t>14</w:t>
      </w:r>
    </w:p>
    <w:p>
      <w:pPr>
        <w:pStyle w:val="BodyText"/>
        <w:spacing w:before="175"/>
        <w:rPr>
          <w:i/>
          <w:sz w:val="20"/>
        </w:rPr>
      </w:pPr>
    </w:p>
    <w:p>
      <w:pPr>
        <w:spacing w:before="1"/>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z w:val="20"/>
        </w:rPr>
        <mc:AlternateContent>
          <mc:Choice Requires="wps">
            <w:drawing>
              <wp:anchor distT="0" distB="0" distL="0" distR="0" allowOverlap="1" layoutInCell="1" locked="0" behindDoc="0" simplePos="0" relativeHeight="15959040">
                <wp:simplePos x="0" y="0"/>
                <wp:positionH relativeFrom="page">
                  <wp:posOffset>244784</wp:posOffset>
                </wp:positionH>
                <wp:positionV relativeFrom="paragraph">
                  <wp:posOffset>164490</wp:posOffset>
                </wp:positionV>
                <wp:extent cx="251460" cy="2155190"/>
                <wp:effectExtent l="0" t="0" r="0" b="0"/>
                <wp:wrapNone/>
                <wp:docPr id="2215" name="Textbox 2215"/>
                <wp:cNvGraphicFramePr>
                  <a:graphicFrameLocks/>
                </wp:cNvGraphicFramePr>
                <a:graphic>
                  <a:graphicData uri="http://schemas.microsoft.com/office/word/2010/wordprocessingShape">
                    <wps:wsp>
                      <wps:cNvPr id="2215" name="Textbox 2215"/>
                      <wps:cNvSpPr txBox="1"/>
                      <wps:spPr>
                        <a:xfrm>
                          <a:off x="0" y="0"/>
                          <a:ext cx="251460" cy="2155190"/>
                        </a:xfrm>
                        <a:prstGeom prst="rect">
                          <a:avLst/>
                        </a:prstGeom>
                      </wps:spPr>
                      <wps:txbx>
                        <w:txbxContent>
                          <w:p>
                            <w:pPr>
                              <w:spacing w:line="181" w:lineRule="exact"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p>
                            <w:pPr>
                              <w:spacing w:line="181" w:lineRule="exact" w:before="0"/>
                              <w:ind w:left="356" w:right="0" w:firstLine="0"/>
                              <w:jc w:val="center"/>
                              <w:rPr>
                                <w:sz w:val="16"/>
                              </w:rPr>
                            </w:pPr>
                            <w:r>
                              <w:rPr>
                                <w:spacing w:val="-10"/>
                                <w:sz w:val="16"/>
                              </w:rPr>
                              <w:t>Z</w:t>
                            </w:r>
                          </w:p>
                        </w:txbxContent>
                      </wps:txbx>
                      <wps:bodyPr wrap="square" lIns="0" tIns="0" rIns="0" bIns="0" rtlCol="0" vert="vert270">
                        <a:noAutofit/>
                      </wps:bodyPr>
                    </wps:wsp>
                  </a:graphicData>
                </a:graphic>
              </wp:anchor>
            </w:drawing>
          </mc:Choice>
          <mc:Fallback>
            <w:pict>
              <v:shape style="position:absolute;margin-left:19.274403pt;margin-top:12.952044pt;width:19.8pt;height:169.7pt;mso-position-horizontal-relative:page;mso-position-vertical-relative:paragraph;z-index:15959040" type="#_x0000_t202" id="docshape1597" filled="false" stroked="false">
                <v:textbox inset="0,0,0,0" style="layout-flow:vertical;mso-layout-flow-alt:bottom-to-top">
                  <w:txbxContent>
                    <w:p>
                      <w:pPr>
                        <w:spacing w:line="181" w:lineRule="exact"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p>
                      <w:pPr>
                        <w:spacing w:line="181" w:lineRule="exact" w:before="0"/>
                        <w:ind w:left="356" w:right="0" w:firstLine="0"/>
                        <w:jc w:val="center"/>
                        <w:rPr>
                          <w:sz w:val="16"/>
                        </w:rPr>
                      </w:pPr>
                      <w:r>
                        <w:rPr>
                          <w:spacing w:val="-10"/>
                          <w:sz w:val="16"/>
                        </w:rPr>
                        <w:t>Z</w:t>
                      </w:r>
                    </w:p>
                  </w:txbxContent>
                </v:textbox>
                <w10:wrap type="none"/>
              </v:shape>
            </w:pict>
          </mc:Fallback>
        </mc:AlternateContent>
      </w:r>
      <w:r>
        <w:rPr>
          <w:b/>
          <w:spacing w:val="-5"/>
          <w:sz w:val="20"/>
        </w:rPr>
        <w:t>21</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pacing w:val="-10"/>
          <w:sz w:val="20"/>
        </w:rPr>
        <w:t>5</w:t>
      </w:r>
    </w:p>
    <w:p>
      <w:pPr>
        <w:pStyle w:val="BodyText"/>
        <w:spacing w:before="179"/>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59552">
                <wp:simplePos x="0" y="0"/>
                <wp:positionH relativeFrom="page">
                  <wp:posOffset>344030</wp:posOffset>
                </wp:positionH>
                <wp:positionV relativeFrom="paragraph">
                  <wp:posOffset>79422</wp:posOffset>
                </wp:positionV>
                <wp:extent cx="163830" cy="2949575"/>
                <wp:effectExtent l="0" t="0" r="0" b="0"/>
                <wp:wrapNone/>
                <wp:docPr id="2216" name="Graphic 2216"/>
                <wp:cNvGraphicFramePr>
                  <a:graphicFrameLocks/>
                </wp:cNvGraphicFramePr>
                <a:graphic>
                  <a:graphicData uri="http://schemas.microsoft.com/office/word/2010/wordprocessingShape">
                    <wps:wsp>
                      <wps:cNvPr id="2216" name="Graphic 2216"/>
                      <wps:cNvSpPr/>
                      <wps:spPr>
                        <a:xfrm>
                          <a:off x="0" y="0"/>
                          <a:ext cx="163830" cy="2949575"/>
                        </a:xfrm>
                        <a:custGeom>
                          <a:avLst/>
                          <a:gdLst/>
                          <a:ahLst/>
                          <a:cxnLst/>
                          <a:rect l="l" t="t" r="r" b="b"/>
                          <a:pathLst>
                            <a:path w="163830" h="2949575">
                              <a:moveTo>
                                <a:pt x="163258" y="0"/>
                              </a:moveTo>
                              <a:lnTo>
                                <a:pt x="0" y="0"/>
                              </a:lnTo>
                              <a:lnTo>
                                <a:pt x="0" y="2949028"/>
                              </a:lnTo>
                              <a:lnTo>
                                <a:pt x="163258" y="2949028"/>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6.253722pt;width:12.855pt;height:232.207pt;mso-position-horizontal-relative:page;mso-position-vertical-relative:paragraph;z-index:15959552" id="docshape1598" filled="true" fillcolor="#000000" stroked="false">
                <v:fill type="solid"/>
                <w10:wrap type="none"/>
              </v:rect>
            </w:pict>
          </mc:Fallback>
        </mc:AlternateContent>
      </w: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pStyle w:val="ListParagraph"/>
        <w:numPr>
          <w:ilvl w:val="0"/>
          <w:numId w:val="24"/>
        </w:numPr>
        <w:tabs>
          <w:tab w:pos="1503" w:val="left" w:leader="none"/>
        </w:tabs>
        <w:spacing w:line="331" w:lineRule="auto" w:before="89" w:after="0"/>
        <w:ind w:left="1284" w:right="544" w:firstLine="0"/>
        <w:jc w:val="left"/>
        <w:rPr>
          <w:b/>
          <w:sz w:val="20"/>
        </w:rPr>
      </w:pPr>
      <w:r>
        <w:rPr>
          <w:b/>
          <w:sz w:val="20"/>
        </w:rPr>
        <mc:AlternateContent>
          <mc:Choice Requires="wps">
            <w:drawing>
              <wp:anchor distT="0" distB="0" distL="0" distR="0" allowOverlap="1" layoutInCell="1" locked="0" behindDoc="0" simplePos="0" relativeHeight="15958016">
                <wp:simplePos x="0" y="0"/>
                <wp:positionH relativeFrom="page">
                  <wp:posOffset>130383</wp:posOffset>
                </wp:positionH>
                <wp:positionV relativeFrom="paragraph">
                  <wp:posOffset>192422</wp:posOffset>
                </wp:positionV>
                <wp:extent cx="138430" cy="2952750"/>
                <wp:effectExtent l="0" t="0" r="0" b="0"/>
                <wp:wrapNone/>
                <wp:docPr id="2217" name="Textbox 2217"/>
                <wp:cNvGraphicFramePr>
                  <a:graphicFrameLocks/>
                </wp:cNvGraphicFramePr>
                <a:graphic>
                  <a:graphicData uri="http://schemas.microsoft.com/office/word/2010/wordprocessingShape">
                    <wps:wsp>
                      <wps:cNvPr id="2217" name="Textbox 2217"/>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5.15139pt;width:10.9pt;height:232.5pt;mso-position-horizontal-relative:page;mso-position-vertical-relative:paragraph;z-index:15958016" type="#_x0000_t202" id="docshape1599"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w:t>En</w:t>
      </w:r>
      <w:r>
        <w:rPr>
          <w:b/>
          <w:spacing w:val="-5"/>
          <w:sz w:val="20"/>
        </w:rPr>
        <w:t> </w:t>
      </w:r>
      <w:r>
        <w:rPr>
          <w:b/>
          <w:sz w:val="20"/>
        </w:rPr>
        <w:t>la</w:t>
      </w:r>
      <w:r>
        <w:rPr>
          <w:b/>
          <w:spacing w:val="-5"/>
          <w:sz w:val="20"/>
        </w:rPr>
        <w:t> </w:t>
      </w:r>
      <w:r>
        <w:rPr>
          <w:b/>
          <w:sz w:val="20"/>
        </w:rPr>
        <w:t>página</w:t>
      </w:r>
      <w:r>
        <w:rPr>
          <w:b/>
          <w:spacing w:val="-5"/>
          <w:sz w:val="20"/>
        </w:rPr>
        <w:t> </w:t>
      </w:r>
      <w:r>
        <w:rPr>
          <w:b/>
          <w:sz w:val="20"/>
        </w:rPr>
        <w:t>21</w:t>
      </w:r>
      <w:r>
        <w:rPr>
          <w:b/>
          <w:spacing w:val="-5"/>
          <w:sz w:val="20"/>
        </w:rPr>
        <w:t> </w:t>
      </w:r>
      <w:r>
        <w:rPr>
          <w:b/>
          <w:sz w:val="20"/>
        </w:rPr>
        <w:t>se</w:t>
      </w:r>
      <w:r>
        <w:rPr>
          <w:b/>
          <w:spacing w:val="-5"/>
          <w:sz w:val="20"/>
        </w:rPr>
        <w:t> </w:t>
      </w:r>
      <w:r>
        <w:rPr>
          <w:b/>
          <w:sz w:val="20"/>
        </w:rPr>
        <w:t>indica</w:t>
      </w:r>
      <w:r>
        <w:rPr>
          <w:b/>
          <w:spacing w:val="-3"/>
          <w:sz w:val="20"/>
        </w:rPr>
        <w:t> </w:t>
      </w:r>
      <w:r>
        <w:rPr>
          <w:b/>
          <w:sz w:val="20"/>
        </w:rPr>
        <w:t>que</w:t>
      </w:r>
      <w:r>
        <w:rPr>
          <w:b/>
          <w:spacing w:val="-5"/>
          <w:sz w:val="20"/>
        </w:rPr>
        <w:t> </w:t>
      </w:r>
      <w:r>
        <w:rPr>
          <w:b/>
          <w:sz w:val="20"/>
        </w:rPr>
        <w:t>no</w:t>
      </w:r>
      <w:r>
        <w:rPr>
          <w:b/>
          <w:spacing w:val="-5"/>
          <w:sz w:val="20"/>
        </w:rPr>
        <w:t> </w:t>
      </w:r>
      <w:r>
        <w:rPr>
          <w:b/>
          <w:sz w:val="20"/>
        </w:rPr>
        <w:t>se</w:t>
      </w:r>
      <w:r>
        <w:rPr>
          <w:b/>
          <w:spacing w:val="-5"/>
          <w:sz w:val="20"/>
        </w:rPr>
        <w:t> </w:t>
      </w:r>
      <w:r>
        <w:rPr>
          <w:b/>
          <w:sz w:val="20"/>
        </w:rPr>
        <w:t>han</w:t>
      </w:r>
      <w:r>
        <w:rPr>
          <w:b/>
          <w:spacing w:val="-5"/>
          <w:sz w:val="20"/>
        </w:rPr>
        <w:t> </w:t>
      </w:r>
      <w:r>
        <w:rPr>
          <w:b/>
          <w:sz w:val="20"/>
        </w:rPr>
        <w:t>llevado</w:t>
      </w:r>
      <w:r>
        <w:rPr>
          <w:b/>
          <w:spacing w:val="-5"/>
          <w:sz w:val="20"/>
        </w:rPr>
        <w:t> </w:t>
      </w:r>
      <w:r>
        <w:rPr>
          <w:b/>
          <w:sz w:val="20"/>
        </w:rPr>
        <w:t>a</w:t>
      </w:r>
      <w:r>
        <w:rPr>
          <w:b/>
          <w:spacing w:val="-5"/>
          <w:sz w:val="20"/>
        </w:rPr>
        <w:t> </w:t>
      </w:r>
      <w:r>
        <w:rPr>
          <w:b/>
          <w:sz w:val="20"/>
        </w:rPr>
        <w:t>cabo</w:t>
      </w:r>
      <w:r>
        <w:rPr>
          <w:b/>
          <w:spacing w:val="-3"/>
          <w:sz w:val="20"/>
        </w:rPr>
        <w:t> </w:t>
      </w:r>
      <w:r>
        <w:rPr>
          <w:b/>
          <w:sz w:val="20"/>
        </w:rPr>
        <w:t>las</w:t>
      </w:r>
      <w:r>
        <w:rPr>
          <w:b/>
          <w:spacing w:val="-5"/>
          <w:sz w:val="20"/>
        </w:rPr>
        <w:t> </w:t>
      </w:r>
      <w:r>
        <w:rPr>
          <w:b/>
          <w:sz w:val="20"/>
        </w:rPr>
        <w:t>modificaciones</w:t>
      </w:r>
      <w:r>
        <w:rPr>
          <w:b/>
          <w:spacing w:val="-5"/>
          <w:sz w:val="20"/>
        </w:rPr>
        <w:t> </w:t>
      </w:r>
      <w:r>
        <w:rPr>
          <w:b/>
          <w:sz w:val="20"/>
        </w:rPr>
        <w:t>necesarias</w:t>
      </w:r>
      <w:r>
        <w:rPr>
          <w:b/>
          <w:spacing w:val="-5"/>
          <w:sz w:val="20"/>
        </w:rPr>
        <w:t> </w:t>
      </w:r>
      <w:r>
        <w:rPr>
          <w:b/>
          <w:sz w:val="20"/>
        </w:rPr>
        <w:t>para</w:t>
      </w:r>
      <w:r>
        <w:rPr>
          <w:b/>
          <w:spacing w:val="-5"/>
          <w:sz w:val="20"/>
        </w:rPr>
        <w:t> </w:t>
      </w:r>
      <w:r>
        <w:rPr>
          <w:b/>
          <w:sz w:val="20"/>
        </w:rPr>
        <w:t>adaptar</w:t>
      </w:r>
      <w:r>
        <w:rPr>
          <w:b/>
          <w:spacing w:val="-3"/>
          <w:sz w:val="20"/>
        </w:rPr>
        <w:t> </w:t>
      </w:r>
      <w:r>
        <w:rPr>
          <w:b/>
          <w:sz w:val="20"/>
        </w:rPr>
        <w:t>el PMUS al contenido mínimo previsto en la Ley de cambio climático y transición energética.</w:t>
      </w:r>
    </w:p>
    <w:p>
      <w:pPr>
        <w:pStyle w:val="BodyText"/>
        <w:spacing w:before="90"/>
        <w:rPr>
          <w:b/>
          <w:sz w:val="20"/>
        </w:rPr>
      </w:pPr>
    </w:p>
    <w:p>
      <w:pPr>
        <w:spacing w:before="0"/>
        <w:ind w:left="1284" w:right="0" w:firstLine="0"/>
        <w:jc w:val="left"/>
        <w:rPr>
          <w:sz w:val="20"/>
        </w:rPr>
      </w:pPr>
      <w:r>
        <w:rPr>
          <w:spacing w:val="-2"/>
          <w:sz w:val="20"/>
        </w:rPr>
        <w:t>Alegación:</w:t>
      </w:r>
    </w:p>
    <w:p>
      <w:pPr>
        <w:spacing w:line="333" w:lineRule="auto" w:before="87"/>
        <w:ind w:left="1284" w:right="563" w:firstLine="0"/>
        <w:jc w:val="left"/>
        <w:rPr>
          <w:b/>
          <w:sz w:val="20"/>
        </w:rPr>
      </w:pPr>
      <w:r>
        <w:rPr>
          <w:b/>
          <w:sz w:val="20"/>
        </w:rPr>
        <mc:AlternateContent>
          <mc:Choice Requires="wps">
            <w:drawing>
              <wp:anchor distT="0" distB="0" distL="0" distR="0" allowOverlap="1" layoutInCell="1" locked="0" behindDoc="0" simplePos="0" relativeHeight="15958528">
                <wp:simplePos x="0" y="0"/>
                <wp:positionH relativeFrom="page">
                  <wp:posOffset>244784</wp:posOffset>
                </wp:positionH>
                <wp:positionV relativeFrom="paragraph">
                  <wp:posOffset>592084</wp:posOffset>
                </wp:positionV>
                <wp:extent cx="251460" cy="1744345"/>
                <wp:effectExtent l="0" t="0" r="0" b="0"/>
                <wp:wrapNone/>
                <wp:docPr id="2218" name="Textbox 2218"/>
                <wp:cNvGraphicFramePr>
                  <a:graphicFrameLocks/>
                </wp:cNvGraphicFramePr>
                <a:graphic>
                  <a:graphicData uri="http://schemas.microsoft.com/office/word/2010/wordprocessingShape">
                    <wps:wsp>
                      <wps:cNvPr id="2218" name="Textbox 2218"/>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46.620804pt;width:19.8pt;height:137.35pt;mso-position-horizontal-relative:page;mso-position-vertical-relative:paragraph;z-index:15958528" type="#_x0000_t202" id="docshape1600"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w:t>En</w:t>
      </w:r>
      <w:r>
        <w:rPr>
          <w:b/>
          <w:spacing w:val="-6"/>
          <w:sz w:val="20"/>
        </w:rPr>
        <w:t> </w:t>
      </w:r>
      <w:r>
        <w:rPr>
          <w:b/>
          <w:sz w:val="20"/>
        </w:rPr>
        <w:t>este</w:t>
      </w:r>
      <w:r>
        <w:rPr>
          <w:b/>
          <w:spacing w:val="-6"/>
          <w:sz w:val="20"/>
        </w:rPr>
        <w:t> </w:t>
      </w:r>
      <w:r>
        <w:rPr>
          <w:b/>
          <w:sz w:val="20"/>
        </w:rPr>
        <w:t>sentido,</w:t>
      </w:r>
      <w:r>
        <w:rPr>
          <w:b/>
          <w:spacing w:val="-6"/>
          <w:sz w:val="20"/>
        </w:rPr>
        <w:t> </w:t>
      </w:r>
      <w:r>
        <w:rPr>
          <w:b/>
          <w:sz w:val="20"/>
        </w:rPr>
        <w:t>cabe</w:t>
      </w:r>
      <w:r>
        <w:rPr>
          <w:b/>
          <w:spacing w:val="-6"/>
          <w:sz w:val="20"/>
        </w:rPr>
        <w:t> </w:t>
      </w:r>
      <w:r>
        <w:rPr>
          <w:b/>
          <w:sz w:val="20"/>
        </w:rPr>
        <w:t>señalar</w:t>
      </w:r>
      <w:r>
        <w:rPr>
          <w:b/>
          <w:spacing w:val="-6"/>
          <w:sz w:val="20"/>
        </w:rPr>
        <w:t> </w:t>
      </w:r>
      <w:r>
        <w:rPr>
          <w:b/>
          <w:sz w:val="20"/>
        </w:rPr>
        <w:t>que</w:t>
      </w:r>
      <w:r>
        <w:rPr>
          <w:b/>
          <w:spacing w:val="-6"/>
          <w:sz w:val="20"/>
        </w:rPr>
        <w:t> </w:t>
      </w:r>
      <w:r>
        <w:rPr>
          <w:b/>
          <w:sz w:val="20"/>
        </w:rPr>
        <w:t>dicha</w:t>
      </w:r>
      <w:r>
        <w:rPr>
          <w:b/>
          <w:spacing w:val="-6"/>
          <w:sz w:val="20"/>
        </w:rPr>
        <w:t> </w:t>
      </w:r>
      <w:r>
        <w:rPr>
          <w:b/>
          <w:sz w:val="20"/>
        </w:rPr>
        <w:t>adaptación</w:t>
      </w:r>
      <w:r>
        <w:rPr>
          <w:b/>
          <w:spacing w:val="-6"/>
          <w:sz w:val="20"/>
        </w:rPr>
        <w:t> </w:t>
      </w:r>
      <w:r>
        <w:rPr>
          <w:b/>
          <w:sz w:val="20"/>
        </w:rPr>
        <w:t>se</w:t>
      </w:r>
      <w:r>
        <w:rPr>
          <w:b/>
          <w:spacing w:val="-6"/>
          <w:sz w:val="20"/>
        </w:rPr>
        <w:t> </w:t>
      </w:r>
      <w:r>
        <w:rPr>
          <w:b/>
          <w:sz w:val="20"/>
        </w:rPr>
        <w:t>realizará</w:t>
      </w:r>
      <w:r>
        <w:rPr>
          <w:b/>
          <w:spacing w:val="-6"/>
          <w:sz w:val="20"/>
        </w:rPr>
        <w:t> </w:t>
      </w:r>
      <w:r>
        <w:rPr>
          <w:b/>
          <w:sz w:val="20"/>
        </w:rPr>
        <w:t>en</w:t>
      </w:r>
      <w:r>
        <w:rPr>
          <w:b/>
          <w:spacing w:val="-6"/>
          <w:sz w:val="20"/>
        </w:rPr>
        <w:t> </w:t>
      </w:r>
      <w:r>
        <w:rPr>
          <w:b/>
          <w:sz w:val="20"/>
        </w:rPr>
        <w:t>la</w:t>
      </w:r>
      <w:r>
        <w:rPr>
          <w:b/>
          <w:spacing w:val="-4"/>
          <w:sz w:val="20"/>
        </w:rPr>
        <w:t> </w:t>
      </w:r>
      <w:r>
        <w:rPr>
          <w:b/>
          <w:sz w:val="20"/>
        </w:rPr>
        <w:t>próxima</w:t>
      </w:r>
      <w:r>
        <w:rPr>
          <w:b/>
          <w:spacing w:val="-6"/>
          <w:sz w:val="20"/>
        </w:rPr>
        <w:t> </w:t>
      </w:r>
      <w:r>
        <w:rPr>
          <w:b/>
          <w:sz w:val="20"/>
        </w:rPr>
        <w:t>revisión</w:t>
      </w:r>
      <w:r>
        <w:rPr>
          <w:b/>
          <w:spacing w:val="-4"/>
          <w:sz w:val="20"/>
        </w:rPr>
        <w:t> </w:t>
      </w:r>
      <w:r>
        <w:rPr>
          <w:b/>
          <w:sz w:val="20"/>
        </w:rPr>
        <w:t>del</w:t>
      </w:r>
      <w:r>
        <w:rPr>
          <w:b/>
          <w:spacing w:val="-6"/>
          <w:sz w:val="20"/>
        </w:rPr>
        <w:t> </w:t>
      </w:r>
      <w:r>
        <w:rPr>
          <w:b/>
          <w:sz w:val="20"/>
        </w:rPr>
        <w:t>PMUS,</w:t>
      </w:r>
      <w:r>
        <w:rPr>
          <w:b/>
          <w:spacing w:val="-6"/>
          <w:sz w:val="20"/>
        </w:rPr>
        <w:t> </w:t>
      </w:r>
      <w:r>
        <w:rPr>
          <w:b/>
          <w:sz w:val="20"/>
        </w:rPr>
        <w:t>que ha de completarse en todo caso antes del 31 de diciembre de 2027.</w:t>
      </w:r>
    </w:p>
    <w:p>
      <w:pPr>
        <w:pStyle w:val="BodyText"/>
        <w:rPr>
          <w:b/>
          <w:sz w:val="20"/>
        </w:rPr>
      </w:pPr>
    </w:p>
    <w:p>
      <w:pPr>
        <w:pStyle w:val="BodyText"/>
        <w:spacing w:before="175"/>
        <w:rPr>
          <w:b/>
          <w:sz w:val="20"/>
        </w:rPr>
      </w:pPr>
    </w:p>
    <w:p>
      <w:pPr>
        <w:spacing w:before="0"/>
        <w:ind w:left="1284" w:right="0" w:firstLine="0"/>
        <w:jc w:val="left"/>
        <w:rPr>
          <w:i/>
          <w:sz w:val="20"/>
        </w:rPr>
      </w:pPr>
      <w:r>
        <w:rPr>
          <w:i/>
          <w:sz w:val="20"/>
        </w:rPr>
        <w:t>Grupo</w:t>
      </w:r>
      <w:r>
        <w:rPr>
          <w:i/>
          <w:spacing w:val="-5"/>
          <w:sz w:val="20"/>
        </w:rPr>
        <w:t> </w:t>
      </w:r>
      <w:r>
        <w:rPr>
          <w:i/>
          <w:sz w:val="20"/>
        </w:rPr>
        <w:t>2</w:t>
      </w:r>
      <w:r>
        <w:rPr>
          <w:i/>
          <w:spacing w:val="-5"/>
          <w:sz w:val="20"/>
        </w:rPr>
        <w:t> </w:t>
      </w:r>
      <w:r>
        <w:rPr>
          <w:i/>
          <w:sz w:val="20"/>
        </w:rPr>
        <w:t>de</w:t>
      </w:r>
      <w:r>
        <w:rPr>
          <w:i/>
          <w:spacing w:val="-5"/>
          <w:sz w:val="20"/>
        </w:rPr>
        <w:t> </w:t>
      </w:r>
      <w:r>
        <w:rPr>
          <w:i/>
          <w:spacing w:val="-7"/>
          <w:sz w:val="20"/>
        </w:rPr>
        <w:t>14</w:t>
      </w:r>
    </w:p>
    <w:p>
      <w:pPr>
        <w:pStyle w:val="BodyText"/>
        <w:spacing w:before="178"/>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7"/>
        <w:ind w:left="1284" w:right="0" w:firstLine="0"/>
        <w:jc w:val="left"/>
        <w:rPr>
          <w:b/>
          <w:sz w:val="20"/>
        </w:rPr>
      </w:pPr>
      <w:r>
        <w:rPr>
          <w:b/>
          <w:sz w:val="20"/>
        </w:rPr>
        <w:t>Al</w:t>
      </w:r>
      <w:r>
        <w:rPr>
          <w:b/>
          <w:spacing w:val="-3"/>
          <w:sz w:val="20"/>
        </w:rPr>
        <w:t> </w:t>
      </w:r>
      <w:r>
        <w:rPr>
          <w:b/>
          <w:spacing w:val="-2"/>
          <w:sz w:val="20"/>
        </w:rPr>
        <w:t>texto</w:t>
      </w:r>
    </w:p>
    <w:p>
      <w:pPr>
        <w:pStyle w:val="BodyText"/>
        <w:spacing w:before="179"/>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9"/>
        <w:ind w:left="1284" w:right="0" w:firstLine="0"/>
        <w:jc w:val="left"/>
        <w:rPr>
          <w:b/>
          <w:sz w:val="20"/>
        </w:rPr>
      </w:pPr>
      <w:r>
        <w:rPr>
          <w:b/>
          <w:spacing w:val="-5"/>
          <w:sz w:val="20"/>
        </w:rPr>
        <w:t>23</w:t>
      </w:r>
    </w:p>
    <w:p>
      <w:pPr>
        <w:pStyle w:val="BodyText"/>
        <w:spacing w:before="176"/>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9"/>
        <w:ind w:left="1284" w:right="0" w:firstLine="0"/>
        <w:jc w:val="left"/>
        <w:rPr>
          <w:b/>
          <w:sz w:val="20"/>
        </w:rPr>
      </w:pPr>
      <w:r>
        <w:rPr>
          <w:b/>
          <w:spacing w:val="-10"/>
          <w:sz w:val="20"/>
        </w:rPr>
        <w:t>1</w:t>
      </w:r>
    </w:p>
    <w:p>
      <w:pPr>
        <w:spacing w:after="0"/>
        <w:jc w:val="left"/>
        <w:rPr>
          <w:b/>
          <w:sz w:val="20"/>
        </w:rPr>
        <w:sectPr>
          <w:pgSz w:w="11910" w:h="16840"/>
          <w:pgMar w:header="314" w:footer="481" w:top="1240" w:bottom="680" w:left="141" w:right="141"/>
        </w:sectPr>
      </w:pPr>
    </w:p>
    <w:p>
      <w:pPr>
        <w:pStyle w:val="BodyText"/>
        <w:rPr>
          <w:b/>
          <w:sz w:val="20"/>
        </w:rPr>
      </w:pPr>
    </w:p>
    <w:p>
      <w:pPr>
        <w:pStyle w:val="BodyText"/>
        <w:rPr>
          <w:b/>
          <w:sz w:val="20"/>
        </w:rPr>
      </w:pPr>
    </w:p>
    <w:p>
      <w:pPr>
        <w:pStyle w:val="BodyText"/>
        <w:spacing w:before="149"/>
        <w:rPr>
          <w:b/>
          <w:sz w:val="20"/>
        </w:rPr>
      </w:pPr>
    </w:p>
    <w:p>
      <w:pPr>
        <w:spacing w:before="0"/>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496" w:firstLine="0"/>
        <w:jc w:val="left"/>
        <w:rPr>
          <w:b/>
          <w:sz w:val="20"/>
        </w:rPr>
      </w:pPr>
      <w:r>
        <w:rPr>
          <w:b/>
          <w:sz w:val="20"/>
        </w:rPr>
        <w:t>En</w:t>
      </w:r>
      <w:r>
        <w:rPr>
          <w:b/>
          <w:spacing w:val="-2"/>
          <w:sz w:val="20"/>
        </w:rPr>
        <w:t> </w:t>
      </w:r>
      <w:r>
        <w:rPr>
          <w:b/>
          <w:sz w:val="20"/>
        </w:rPr>
        <w:t>la</w:t>
      </w:r>
      <w:r>
        <w:rPr>
          <w:b/>
          <w:spacing w:val="-2"/>
          <w:sz w:val="20"/>
        </w:rPr>
        <w:t> </w:t>
      </w:r>
      <w:r>
        <w:rPr>
          <w:b/>
          <w:sz w:val="20"/>
        </w:rPr>
        <w:t>página</w:t>
      </w:r>
      <w:r>
        <w:rPr>
          <w:b/>
          <w:spacing w:val="-2"/>
          <w:sz w:val="20"/>
        </w:rPr>
        <w:t> </w:t>
      </w:r>
      <w:r>
        <w:rPr>
          <w:b/>
          <w:sz w:val="20"/>
        </w:rPr>
        <w:t>23 se</w:t>
      </w:r>
      <w:r>
        <w:rPr>
          <w:b/>
          <w:spacing w:val="-2"/>
          <w:sz w:val="20"/>
        </w:rPr>
        <w:t> </w:t>
      </w:r>
      <w:r>
        <w:rPr>
          <w:b/>
          <w:sz w:val="20"/>
        </w:rPr>
        <w:t>mencionan</w:t>
      </w:r>
      <w:r>
        <w:rPr>
          <w:b/>
          <w:spacing w:val="-2"/>
          <w:sz w:val="20"/>
        </w:rPr>
        <w:t> </w:t>
      </w:r>
      <w:r>
        <w:rPr>
          <w:b/>
          <w:sz w:val="20"/>
        </w:rPr>
        <w:t>ciertos</w:t>
      </w:r>
      <w:r>
        <w:rPr>
          <w:b/>
          <w:spacing w:val="-2"/>
          <w:sz w:val="20"/>
        </w:rPr>
        <w:t> </w:t>
      </w:r>
      <w:r>
        <w:rPr>
          <w:b/>
          <w:sz w:val="20"/>
        </w:rPr>
        <w:t>municipios</w:t>
      </w:r>
      <w:r>
        <w:rPr>
          <w:b/>
          <w:spacing w:val="-2"/>
          <w:sz w:val="20"/>
        </w:rPr>
        <w:t> </w:t>
      </w:r>
      <w:r>
        <w:rPr>
          <w:b/>
          <w:sz w:val="20"/>
        </w:rPr>
        <w:t>que</w:t>
      </w:r>
      <w:r>
        <w:rPr>
          <w:b/>
          <w:spacing w:val="-2"/>
          <w:sz w:val="20"/>
        </w:rPr>
        <w:t> </w:t>
      </w:r>
      <w:r>
        <w:rPr>
          <w:b/>
          <w:sz w:val="20"/>
        </w:rPr>
        <w:t>disponen</w:t>
      </w:r>
      <w:r>
        <w:rPr>
          <w:b/>
          <w:spacing w:val="-2"/>
          <w:sz w:val="20"/>
        </w:rPr>
        <w:t> </w:t>
      </w:r>
      <w:r>
        <w:rPr>
          <w:b/>
          <w:sz w:val="20"/>
        </w:rPr>
        <w:t>de</w:t>
      </w:r>
      <w:r>
        <w:rPr>
          <w:b/>
          <w:spacing w:val="-1"/>
          <w:sz w:val="20"/>
        </w:rPr>
        <w:t> </w:t>
      </w:r>
      <w:r>
        <w:rPr>
          <w:b/>
          <w:sz w:val="20"/>
        </w:rPr>
        <w:t>programas</w:t>
      </w:r>
      <w:r>
        <w:rPr>
          <w:b/>
          <w:spacing w:val="-2"/>
          <w:sz w:val="20"/>
        </w:rPr>
        <w:t> </w:t>
      </w:r>
      <w:r>
        <w:rPr>
          <w:b/>
          <w:sz w:val="20"/>
        </w:rPr>
        <w:t>o</w:t>
      </w:r>
      <w:r>
        <w:rPr>
          <w:b/>
          <w:spacing w:val="-2"/>
          <w:sz w:val="20"/>
        </w:rPr>
        <w:t> </w:t>
      </w:r>
      <w:r>
        <w:rPr>
          <w:b/>
          <w:sz w:val="20"/>
        </w:rPr>
        <w:t>planes</w:t>
      </w:r>
      <w:r>
        <w:rPr>
          <w:b/>
          <w:spacing w:val="-2"/>
          <w:sz w:val="20"/>
        </w:rPr>
        <w:t> </w:t>
      </w:r>
      <w:r>
        <w:rPr>
          <w:b/>
          <w:sz w:val="20"/>
        </w:rPr>
        <w:t>de contratación para</w:t>
      </w:r>
      <w:r>
        <w:rPr>
          <w:b/>
          <w:spacing w:val="-6"/>
          <w:sz w:val="20"/>
        </w:rPr>
        <w:t> </w:t>
      </w:r>
      <w:r>
        <w:rPr>
          <w:b/>
          <w:sz w:val="20"/>
        </w:rPr>
        <w:t>la</w:t>
      </w:r>
      <w:r>
        <w:rPr>
          <w:b/>
          <w:spacing w:val="-6"/>
          <w:sz w:val="20"/>
        </w:rPr>
        <w:t> </w:t>
      </w:r>
      <w:r>
        <w:rPr>
          <w:b/>
          <w:sz w:val="20"/>
        </w:rPr>
        <w:t>renovación</w:t>
      </w:r>
      <w:r>
        <w:rPr>
          <w:b/>
          <w:spacing w:val="-6"/>
          <w:sz w:val="20"/>
        </w:rPr>
        <w:t> </w:t>
      </w:r>
      <w:r>
        <w:rPr>
          <w:b/>
          <w:sz w:val="20"/>
        </w:rPr>
        <w:t>de</w:t>
      </w:r>
      <w:r>
        <w:rPr>
          <w:b/>
          <w:spacing w:val="-6"/>
          <w:sz w:val="20"/>
        </w:rPr>
        <w:t> </w:t>
      </w:r>
      <w:r>
        <w:rPr>
          <w:b/>
          <w:sz w:val="20"/>
        </w:rPr>
        <w:t>la</w:t>
      </w:r>
      <w:r>
        <w:rPr>
          <w:b/>
          <w:spacing w:val="-4"/>
          <w:sz w:val="20"/>
        </w:rPr>
        <w:t> </w:t>
      </w:r>
      <w:r>
        <w:rPr>
          <w:b/>
          <w:sz w:val="20"/>
        </w:rPr>
        <w:t>flota</w:t>
      </w:r>
      <w:r>
        <w:rPr>
          <w:b/>
          <w:spacing w:val="-6"/>
          <w:sz w:val="20"/>
        </w:rPr>
        <w:t> </w:t>
      </w:r>
      <w:r>
        <w:rPr>
          <w:b/>
          <w:sz w:val="20"/>
        </w:rPr>
        <w:t>de</w:t>
      </w:r>
      <w:r>
        <w:rPr>
          <w:b/>
          <w:spacing w:val="-4"/>
          <w:sz w:val="20"/>
        </w:rPr>
        <w:t> </w:t>
      </w:r>
      <w:r>
        <w:rPr>
          <w:b/>
          <w:sz w:val="20"/>
        </w:rPr>
        <w:t>autobuses,</w:t>
      </w:r>
      <w:r>
        <w:rPr>
          <w:b/>
          <w:spacing w:val="-6"/>
          <w:sz w:val="20"/>
        </w:rPr>
        <w:t> </w:t>
      </w:r>
      <w:r>
        <w:rPr>
          <w:b/>
          <w:sz w:val="20"/>
        </w:rPr>
        <w:t>suministros</w:t>
      </w:r>
      <w:r>
        <w:rPr>
          <w:b/>
          <w:spacing w:val="-4"/>
          <w:sz w:val="20"/>
        </w:rPr>
        <w:t> </w:t>
      </w:r>
      <w:r>
        <w:rPr>
          <w:b/>
          <w:sz w:val="20"/>
        </w:rPr>
        <w:t>de</w:t>
      </w:r>
      <w:r>
        <w:rPr>
          <w:b/>
          <w:spacing w:val="-6"/>
          <w:sz w:val="20"/>
        </w:rPr>
        <w:t> </w:t>
      </w:r>
      <w:r>
        <w:rPr>
          <w:b/>
          <w:sz w:val="20"/>
        </w:rPr>
        <w:t>sistemas</w:t>
      </w:r>
      <w:r>
        <w:rPr>
          <w:b/>
          <w:spacing w:val="-6"/>
          <w:sz w:val="20"/>
        </w:rPr>
        <w:t> </w:t>
      </w:r>
      <w:r>
        <w:rPr>
          <w:b/>
          <w:sz w:val="20"/>
        </w:rPr>
        <w:t>de</w:t>
      </w:r>
      <w:r>
        <w:rPr>
          <w:b/>
          <w:spacing w:val="-6"/>
          <w:sz w:val="20"/>
        </w:rPr>
        <w:t> </w:t>
      </w:r>
      <w:r>
        <w:rPr>
          <w:b/>
          <w:sz w:val="20"/>
        </w:rPr>
        <w:t>ayuda</w:t>
      </w:r>
      <w:r>
        <w:rPr>
          <w:b/>
          <w:spacing w:val="-6"/>
          <w:sz w:val="20"/>
        </w:rPr>
        <w:t> </w:t>
      </w:r>
      <w:r>
        <w:rPr>
          <w:b/>
          <w:sz w:val="20"/>
        </w:rPr>
        <w:t>a</w:t>
      </w:r>
      <w:r>
        <w:rPr>
          <w:b/>
          <w:spacing w:val="-4"/>
          <w:sz w:val="20"/>
        </w:rPr>
        <w:t> </w:t>
      </w:r>
      <w:r>
        <w:rPr>
          <w:b/>
          <w:sz w:val="20"/>
        </w:rPr>
        <w:t>la</w:t>
      </w:r>
      <w:r>
        <w:rPr>
          <w:b/>
          <w:spacing w:val="-6"/>
          <w:sz w:val="20"/>
        </w:rPr>
        <w:t> </w:t>
      </w:r>
      <w:r>
        <w:rPr>
          <w:b/>
          <w:sz w:val="20"/>
        </w:rPr>
        <w:t>explotación,</w:t>
      </w:r>
      <w:r>
        <w:rPr>
          <w:b/>
          <w:spacing w:val="-6"/>
          <w:sz w:val="20"/>
        </w:rPr>
        <w:t> </w:t>
      </w:r>
      <w:r>
        <w:rPr>
          <w:b/>
          <w:sz w:val="20"/>
        </w:rPr>
        <w:t>billetaje y monética y otros; sin incluir a Zaragoza en esa mención.</w:t>
      </w:r>
    </w:p>
    <w:p>
      <w:pPr>
        <w:pStyle w:val="BodyText"/>
        <w:spacing w:before="92"/>
        <w:rPr>
          <w:b/>
          <w:sz w:val="20"/>
        </w:rPr>
      </w:pPr>
    </w:p>
    <w:p>
      <w:pPr>
        <w:spacing w:before="0"/>
        <w:ind w:left="1284" w:right="0" w:firstLine="0"/>
        <w:jc w:val="left"/>
        <w:rPr>
          <w:sz w:val="20"/>
        </w:rPr>
      </w:pPr>
      <w:r>
        <w:rPr>
          <w:spacing w:val="-2"/>
          <w:sz w:val="20"/>
        </w:rPr>
        <w:t>Alegación:</w:t>
      </w:r>
    </w:p>
    <w:p>
      <w:pPr>
        <w:spacing w:line="333" w:lineRule="auto" w:before="87"/>
        <w:ind w:left="1284" w:right="496" w:firstLine="0"/>
        <w:jc w:val="left"/>
        <w:rPr>
          <w:b/>
          <w:sz w:val="20"/>
        </w:rPr>
      </w:pPr>
      <w:r>
        <w:rPr>
          <w:b/>
          <w:sz w:val="20"/>
        </w:rPr>
        <w:t>Al respecto cabe señalar que en el caso de Zaragoza, al haberse licitado muy recientemente el nuevo contrato de concesión de servicio público (anuncio publicado en la Plataforma de Contratación del Sector Público el 28 de octubre de 2025), tales medidas se han incorporado a los pliegos de dicho contrato. Todos los detalles pueden consultarse en los documentos integrantes del Pliego de Prescripciones Técnicas Particulares y sus anexos, en el siguiente vínculo: </w:t>
      </w:r>
      <w:hyperlink r:id="rId369">
        <w:r>
          <w:rPr>
            <w:b/>
            <w:spacing w:val="-2"/>
            <w:sz w:val="20"/>
          </w:rPr>
          <w:t>https://contrataciondelestado.es/wps/poc?uri=deeplink:detalle_licitacion&amp;idEvl=n2Ss33rl5KadkQsA7R</w:t>
        </w:r>
      </w:hyperlink>
      <w:r>
        <w:rPr>
          <w:b/>
          <w:spacing w:val="-2"/>
          <w:sz w:val="20"/>
        </w:rPr>
        <w:t> Ovsg%3D%3D</w:t>
      </w:r>
    </w:p>
    <w:p>
      <w:pPr>
        <w:spacing w:line="222" w:lineRule="exact" w:before="0"/>
        <w:ind w:left="1284" w:right="0" w:firstLine="0"/>
        <w:jc w:val="left"/>
        <w:rPr>
          <w:b/>
          <w:sz w:val="20"/>
        </w:rPr>
      </w:pPr>
      <w:r>
        <w:rPr>
          <w:b/>
          <w:sz w:val="20"/>
        </w:rPr>
        <w:t>Así,</w:t>
      </w:r>
      <w:r>
        <w:rPr>
          <w:b/>
          <w:spacing w:val="-11"/>
          <w:sz w:val="20"/>
        </w:rPr>
        <w:t> </w:t>
      </w:r>
      <w:r>
        <w:rPr>
          <w:b/>
          <w:sz w:val="20"/>
        </w:rPr>
        <w:t>en</w:t>
      </w:r>
      <w:r>
        <w:rPr>
          <w:b/>
          <w:spacing w:val="-10"/>
          <w:sz w:val="20"/>
        </w:rPr>
        <w:t> </w:t>
      </w:r>
      <w:r>
        <w:rPr>
          <w:b/>
          <w:sz w:val="20"/>
        </w:rPr>
        <w:t>concreto,</w:t>
      </w:r>
      <w:r>
        <w:rPr>
          <w:b/>
          <w:spacing w:val="-10"/>
          <w:sz w:val="20"/>
        </w:rPr>
        <w:t> </w:t>
      </w:r>
      <w:r>
        <w:rPr>
          <w:b/>
          <w:sz w:val="20"/>
        </w:rPr>
        <w:t>los</w:t>
      </w:r>
      <w:r>
        <w:rPr>
          <w:b/>
          <w:spacing w:val="-10"/>
          <w:sz w:val="20"/>
        </w:rPr>
        <w:t> </w:t>
      </w:r>
      <w:r>
        <w:rPr>
          <w:b/>
          <w:sz w:val="20"/>
        </w:rPr>
        <w:t>nuevos</w:t>
      </w:r>
      <w:r>
        <w:rPr>
          <w:b/>
          <w:spacing w:val="-11"/>
          <w:sz w:val="20"/>
        </w:rPr>
        <w:t> </w:t>
      </w:r>
      <w:r>
        <w:rPr>
          <w:b/>
          <w:sz w:val="20"/>
        </w:rPr>
        <w:t>pliegos</w:t>
      </w:r>
      <w:r>
        <w:rPr>
          <w:b/>
          <w:spacing w:val="-10"/>
          <w:sz w:val="20"/>
        </w:rPr>
        <w:t> </w:t>
      </w:r>
      <w:r>
        <w:rPr>
          <w:b/>
          <w:sz w:val="20"/>
        </w:rPr>
        <w:t>contemplan</w:t>
      </w:r>
      <w:r>
        <w:rPr>
          <w:b/>
          <w:spacing w:val="-10"/>
          <w:sz w:val="20"/>
        </w:rPr>
        <w:t> </w:t>
      </w:r>
      <w:r>
        <w:rPr>
          <w:b/>
          <w:sz w:val="20"/>
        </w:rPr>
        <w:t>entre</w:t>
      </w:r>
      <w:r>
        <w:rPr>
          <w:b/>
          <w:spacing w:val="-10"/>
          <w:sz w:val="20"/>
        </w:rPr>
        <w:t> </w:t>
      </w:r>
      <w:r>
        <w:rPr>
          <w:b/>
          <w:sz w:val="20"/>
        </w:rPr>
        <w:t>otras</w:t>
      </w:r>
      <w:r>
        <w:rPr>
          <w:b/>
          <w:spacing w:val="-10"/>
          <w:sz w:val="20"/>
        </w:rPr>
        <w:t> </w:t>
      </w:r>
      <w:r>
        <w:rPr>
          <w:b/>
          <w:spacing w:val="-2"/>
          <w:sz w:val="20"/>
        </w:rPr>
        <w:t>medidas:</w:t>
      </w:r>
    </w:p>
    <w:p>
      <w:pPr>
        <w:pStyle w:val="ListParagraph"/>
        <w:numPr>
          <w:ilvl w:val="0"/>
          <w:numId w:val="25"/>
        </w:numPr>
        <w:tabs>
          <w:tab w:pos="1463" w:val="left" w:leader="none"/>
        </w:tabs>
        <w:spacing w:line="333" w:lineRule="auto" w:before="89" w:after="0"/>
        <w:ind w:left="1284" w:right="500" w:firstLine="55"/>
        <w:jc w:val="left"/>
        <w:rPr>
          <w:b/>
          <w:sz w:val="20"/>
        </w:rPr>
      </w:pPr>
      <w:r>
        <w:rPr>
          <w:b/>
          <w:sz w:val="20"/>
        </w:rPr>
        <w:t>Renovación</w:t>
      </w:r>
      <w:r>
        <w:rPr>
          <w:b/>
          <w:spacing w:val="-4"/>
          <w:sz w:val="20"/>
        </w:rPr>
        <w:t> </w:t>
      </w:r>
      <w:r>
        <w:rPr>
          <w:b/>
          <w:sz w:val="20"/>
        </w:rPr>
        <w:t>de</w:t>
      </w:r>
      <w:r>
        <w:rPr>
          <w:b/>
          <w:spacing w:val="-4"/>
          <w:sz w:val="20"/>
        </w:rPr>
        <w:t> </w:t>
      </w:r>
      <w:r>
        <w:rPr>
          <w:b/>
          <w:sz w:val="20"/>
        </w:rPr>
        <w:t>la</w:t>
      </w:r>
      <w:r>
        <w:rPr>
          <w:b/>
          <w:spacing w:val="-6"/>
          <w:sz w:val="20"/>
        </w:rPr>
        <w:t> </w:t>
      </w:r>
      <w:r>
        <w:rPr>
          <w:b/>
          <w:sz w:val="20"/>
        </w:rPr>
        <w:t>flota:</w:t>
      </w:r>
      <w:r>
        <w:rPr>
          <w:b/>
          <w:spacing w:val="-6"/>
          <w:sz w:val="20"/>
        </w:rPr>
        <w:t> </w:t>
      </w:r>
      <w:r>
        <w:rPr>
          <w:b/>
          <w:sz w:val="20"/>
        </w:rPr>
        <w:t>incorporación</w:t>
      </w:r>
      <w:r>
        <w:rPr>
          <w:b/>
          <w:spacing w:val="-4"/>
          <w:sz w:val="20"/>
        </w:rPr>
        <w:t> </w:t>
      </w:r>
      <w:r>
        <w:rPr>
          <w:b/>
          <w:sz w:val="20"/>
        </w:rPr>
        <w:t>de</w:t>
      </w:r>
      <w:r>
        <w:rPr>
          <w:b/>
          <w:spacing w:val="-4"/>
          <w:sz w:val="20"/>
        </w:rPr>
        <w:t> </w:t>
      </w:r>
      <w:r>
        <w:rPr>
          <w:b/>
          <w:sz w:val="20"/>
        </w:rPr>
        <w:t>vehículos</w:t>
      </w:r>
      <w:r>
        <w:rPr>
          <w:b/>
          <w:spacing w:val="-6"/>
          <w:sz w:val="20"/>
        </w:rPr>
        <w:t> </w:t>
      </w:r>
      <w:r>
        <w:rPr>
          <w:b/>
          <w:sz w:val="20"/>
        </w:rPr>
        <w:t>limpios,</w:t>
      </w:r>
      <w:r>
        <w:rPr>
          <w:b/>
          <w:spacing w:val="-4"/>
          <w:sz w:val="20"/>
        </w:rPr>
        <w:t> </w:t>
      </w:r>
      <w:r>
        <w:rPr>
          <w:b/>
          <w:sz w:val="20"/>
        </w:rPr>
        <w:t>con</w:t>
      </w:r>
      <w:r>
        <w:rPr>
          <w:b/>
          <w:spacing w:val="-6"/>
          <w:sz w:val="20"/>
        </w:rPr>
        <w:t> </w:t>
      </w:r>
      <w:r>
        <w:rPr>
          <w:b/>
          <w:sz w:val="20"/>
        </w:rPr>
        <w:t>objetivo</w:t>
      </w:r>
      <w:r>
        <w:rPr>
          <w:b/>
          <w:spacing w:val="-6"/>
          <w:sz w:val="20"/>
        </w:rPr>
        <w:t> </w:t>
      </w:r>
      <w:r>
        <w:rPr>
          <w:b/>
          <w:sz w:val="20"/>
        </w:rPr>
        <w:t>de</w:t>
      </w:r>
      <w:r>
        <w:rPr>
          <w:b/>
          <w:spacing w:val="-6"/>
          <w:sz w:val="20"/>
        </w:rPr>
        <w:t> </w:t>
      </w:r>
      <w:r>
        <w:rPr>
          <w:b/>
          <w:sz w:val="20"/>
        </w:rPr>
        <w:t>que</w:t>
      </w:r>
      <w:r>
        <w:rPr>
          <w:b/>
          <w:spacing w:val="-2"/>
          <w:sz w:val="20"/>
        </w:rPr>
        <w:t> </w:t>
      </w:r>
      <w:r>
        <w:rPr>
          <w:b/>
          <w:sz w:val="20"/>
        </w:rPr>
        <w:t>al</w:t>
      </w:r>
      <w:r>
        <w:rPr>
          <w:b/>
          <w:spacing w:val="-6"/>
          <w:sz w:val="20"/>
        </w:rPr>
        <w:t> </w:t>
      </w:r>
      <w:r>
        <w:rPr>
          <w:b/>
          <w:sz w:val="20"/>
        </w:rPr>
        <w:t>final</w:t>
      </w:r>
      <w:r>
        <w:rPr>
          <w:b/>
          <w:spacing w:val="-6"/>
          <w:sz w:val="20"/>
        </w:rPr>
        <w:t> </w:t>
      </w:r>
      <w:r>
        <w:rPr>
          <w:b/>
          <w:sz w:val="20"/>
        </w:rPr>
        <w:t>del</w:t>
      </w:r>
      <w:r>
        <w:rPr>
          <w:b/>
          <w:spacing w:val="-6"/>
          <w:sz w:val="20"/>
        </w:rPr>
        <w:t> </w:t>
      </w:r>
      <w:r>
        <w:rPr>
          <w:b/>
          <w:sz w:val="20"/>
        </w:rPr>
        <w:t>contrato</w:t>
      </w:r>
      <w:r>
        <w:rPr>
          <w:b/>
          <w:spacing w:val="-6"/>
          <w:sz w:val="20"/>
        </w:rPr>
        <w:t> </w:t>
      </w:r>
      <w:r>
        <w:rPr>
          <w:b/>
          <w:sz w:val="20"/>
        </w:rPr>
        <w:t>la totalidad de la flota sea de cero emisiones (apartado 2.1..4 PPTP).</w:t>
      </w:r>
    </w:p>
    <w:p>
      <w:pPr>
        <w:pStyle w:val="ListParagraph"/>
        <w:numPr>
          <w:ilvl w:val="0"/>
          <w:numId w:val="25"/>
        </w:numPr>
        <w:tabs>
          <w:tab w:pos="1408" w:val="left" w:leader="none"/>
        </w:tabs>
        <w:spacing w:line="333" w:lineRule="auto" w:before="0" w:after="0"/>
        <w:ind w:left="1284" w:right="1528" w:firstLine="0"/>
        <w:jc w:val="left"/>
        <w:rPr>
          <w:b/>
          <w:sz w:val="20"/>
        </w:rPr>
      </w:pPr>
      <w:r>
        <w:rPr>
          <w:b/>
          <w:sz w:val="20"/>
        </w:rPr>
        <w:t>Sistemas</w:t>
      </w:r>
      <w:r>
        <w:rPr>
          <w:b/>
          <w:spacing w:val="-6"/>
          <w:sz w:val="20"/>
        </w:rPr>
        <w:t> </w:t>
      </w:r>
      <w:r>
        <w:rPr>
          <w:b/>
          <w:sz w:val="20"/>
        </w:rPr>
        <w:t>de</w:t>
      </w:r>
      <w:r>
        <w:rPr>
          <w:b/>
          <w:spacing w:val="-4"/>
          <w:sz w:val="20"/>
        </w:rPr>
        <w:t> </w:t>
      </w:r>
      <w:r>
        <w:rPr>
          <w:b/>
          <w:sz w:val="20"/>
        </w:rPr>
        <w:t>ayuda</w:t>
      </w:r>
      <w:r>
        <w:rPr>
          <w:b/>
          <w:spacing w:val="-6"/>
          <w:sz w:val="20"/>
        </w:rPr>
        <w:t> </w:t>
      </w:r>
      <w:r>
        <w:rPr>
          <w:b/>
          <w:sz w:val="20"/>
        </w:rPr>
        <w:t>a</w:t>
      </w:r>
      <w:r>
        <w:rPr>
          <w:b/>
          <w:spacing w:val="-6"/>
          <w:sz w:val="20"/>
        </w:rPr>
        <w:t> </w:t>
      </w:r>
      <w:r>
        <w:rPr>
          <w:b/>
          <w:sz w:val="20"/>
        </w:rPr>
        <w:t>la</w:t>
      </w:r>
      <w:r>
        <w:rPr>
          <w:b/>
          <w:spacing w:val="-3"/>
          <w:sz w:val="20"/>
        </w:rPr>
        <w:t> </w:t>
      </w:r>
      <w:r>
        <w:rPr>
          <w:b/>
          <w:sz w:val="20"/>
        </w:rPr>
        <w:t>explotación:</w:t>
      </w:r>
      <w:r>
        <w:rPr>
          <w:b/>
          <w:spacing w:val="-6"/>
          <w:sz w:val="20"/>
        </w:rPr>
        <w:t> </w:t>
      </w:r>
      <w:r>
        <w:rPr>
          <w:b/>
          <w:sz w:val="20"/>
        </w:rPr>
        <w:t>con</w:t>
      </w:r>
      <w:r>
        <w:rPr>
          <w:b/>
          <w:spacing w:val="-5"/>
          <w:sz w:val="20"/>
        </w:rPr>
        <w:t> </w:t>
      </w:r>
      <w:r>
        <w:rPr>
          <w:b/>
          <w:sz w:val="20"/>
        </w:rPr>
        <w:t>definición</w:t>
      </w:r>
      <w:r>
        <w:rPr>
          <w:b/>
          <w:spacing w:val="-6"/>
          <w:sz w:val="20"/>
        </w:rPr>
        <w:t> </w:t>
      </w:r>
      <w:r>
        <w:rPr>
          <w:b/>
          <w:sz w:val="20"/>
        </w:rPr>
        <w:t>de</w:t>
      </w:r>
      <w:r>
        <w:rPr>
          <w:b/>
          <w:spacing w:val="-6"/>
          <w:sz w:val="20"/>
        </w:rPr>
        <w:t> </w:t>
      </w:r>
      <w:r>
        <w:rPr>
          <w:b/>
          <w:sz w:val="20"/>
        </w:rPr>
        <w:t>un</w:t>
      </w:r>
      <w:r>
        <w:rPr>
          <w:b/>
          <w:spacing w:val="-4"/>
          <w:sz w:val="20"/>
        </w:rPr>
        <w:t> </w:t>
      </w:r>
      <w:r>
        <w:rPr>
          <w:b/>
          <w:sz w:val="20"/>
        </w:rPr>
        <w:t>Centro</w:t>
      </w:r>
      <w:r>
        <w:rPr>
          <w:b/>
          <w:spacing w:val="-5"/>
          <w:sz w:val="20"/>
        </w:rPr>
        <w:t> </w:t>
      </w:r>
      <w:r>
        <w:rPr>
          <w:b/>
          <w:sz w:val="20"/>
        </w:rPr>
        <w:t>de</w:t>
      </w:r>
      <w:r>
        <w:rPr>
          <w:b/>
          <w:spacing w:val="-6"/>
          <w:sz w:val="20"/>
        </w:rPr>
        <w:t> </w:t>
      </w:r>
      <w:r>
        <w:rPr>
          <w:b/>
          <w:sz w:val="20"/>
        </w:rPr>
        <w:t>control</w:t>
      </w:r>
      <w:r>
        <w:rPr>
          <w:b/>
          <w:spacing w:val="-5"/>
          <w:sz w:val="20"/>
        </w:rPr>
        <w:t> </w:t>
      </w:r>
      <w:r>
        <w:rPr>
          <w:b/>
          <w:sz w:val="20"/>
        </w:rPr>
        <w:t>del</w:t>
      </w:r>
      <w:r>
        <w:rPr>
          <w:b/>
          <w:spacing w:val="-6"/>
          <w:sz w:val="20"/>
        </w:rPr>
        <w:t> </w:t>
      </w:r>
      <w:r>
        <w:rPr>
          <w:b/>
          <w:sz w:val="20"/>
        </w:rPr>
        <w:t>SAE,</w:t>
      </w:r>
      <w:r>
        <w:rPr>
          <w:b/>
          <w:spacing w:val="-6"/>
          <w:sz w:val="20"/>
        </w:rPr>
        <w:t> </w:t>
      </w:r>
      <w:r>
        <w:rPr>
          <w:b/>
          <w:sz w:val="20"/>
        </w:rPr>
        <w:t>equipo embarcado en los autobuses y Centro de control del Ayuntamiento (Anexo 8 al PPTP).</w:t>
      </w:r>
    </w:p>
    <w:p>
      <w:pPr>
        <w:pStyle w:val="ListParagraph"/>
        <w:numPr>
          <w:ilvl w:val="0"/>
          <w:numId w:val="25"/>
        </w:numPr>
        <w:tabs>
          <w:tab w:pos="1463" w:val="left" w:leader="none"/>
        </w:tabs>
        <w:spacing w:line="229" w:lineRule="exact" w:before="0" w:after="0"/>
        <w:ind w:left="1463" w:right="0" w:hanging="124"/>
        <w:jc w:val="left"/>
        <w:rPr>
          <w:b/>
          <w:sz w:val="20"/>
        </w:rPr>
      </w:pPr>
      <w:r>
        <w:rPr>
          <w:b/>
          <w:sz w:val="20"/>
        </w:rPr>
        <w:t>Sistemas</w:t>
      </w:r>
      <w:r>
        <w:rPr>
          <w:b/>
          <w:spacing w:val="-10"/>
          <w:sz w:val="20"/>
        </w:rPr>
        <w:t> </w:t>
      </w:r>
      <w:r>
        <w:rPr>
          <w:b/>
          <w:sz w:val="20"/>
        </w:rPr>
        <w:t>avanzados</w:t>
      </w:r>
      <w:r>
        <w:rPr>
          <w:b/>
          <w:spacing w:val="-10"/>
          <w:sz w:val="20"/>
        </w:rPr>
        <w:t> </w:t>
      </w:r>
      <w:r>
        <w:rPr>
          <w:b/>
          <w:sz w:val="20"/>
        </w:rPr>
        <w:t>de</w:t>
      </w:r>
      <w:r>
        <w:rPr>
          <w:b/>
          <w:spacing w:val="-8"/>
          <w:sz w:val="20"/>
        </w:rPr>
        <w:t> </w:t>
      </w:r>
      <w:r>
        <w:rPr>
          <w:b/>
          <w:sz w:val="20"/>
        </w:rPr>
        <w:t>billetaje</w:t>
      </w:r>
      <w:r>
        <w:rPr>
          <w:b/>
          <w:spacing w:val="-10"/>
          <w:sz w:val="20"/>
        </w:rPr>
        <w:t> </w:t>
      </w:r>
      <w:r>
        <w:rPr>
          <w:b/>
          <w:sz w:val="20"/>
        </w:rPr>
        <w:t>y</w:t>
      </w:r>
      <w:r>
        <w:rPr>
          <w:b/>
          <w:spacing w:val="-8"/>
          <w:sz w:val="20"/>
        </w:rPr>
        <w:t> </w:t>
      </w:r>
      <w:r>
        <w:rPr>
          <w:b/>
          <w:sz w:val="20"/>
        </w:rPr>
        <w:t>validación</w:t>
      </w:r>
      <w:r>
        <w:rPr>
          <w:b/>
          <w:spacing w:val="-10"/>
          <w:sz w:val="20"/>
        </w:rPr>
        <w:t> </w:t>
      </w:r>
      <w:r>
        <w:rPr>
          <w:b/>
          <w:sz w:val="20"/>
        </w:rPr>
        <w:t>(Anexo</w:t>
      </w:r>
      <w:r>
        <w:rPr>
          <w:b/>
          <w:spacing w:val="-11"/>
          <w:sz w:val="20"/>
        </w:rPr>
        <w:t> </w:t>
      </w:r>
      <w:r>
        <w:rPr>
          <w:b/>
          <w:sz w:val="20"/>
        </w:rPr>
        <w:t>8</w:t>
      </w:r>
      <w:r>
        <w:rPr>
          <w:b/>
          <w:spacing w:val="-6"/>
          <w:sz w:val="20"/>
        </w:rPr>
        <w:t> </w:t>
      </w:r>
      <w:r>
        <w:rPr>
          <w:b/>
          <w:sz w:val="20"/>
        </w:rPr>
        <w:t>al</w:t>
      </w:r>
      <w:r>
        <w:rPr>
          <w:b/>
          <w:spacing w:val="-10"/>
          <w:sz w:val="20"/>
        </w:rPr>
        <w:t> </w:t>
      </w:r>
      <w:r>
        <w:rPr>
          <w:b/>
          <w:spacing w:val="-2"/>
          <w:sz w:val="20"/>
        </w:rPr>
        <w:t>PPTP).</w:t>
      </w:r>
    </w:p>
    <w:p>
      <w:pPr>
        <w:pStyle w:val="BodyText"/>
        <w:rPr>
          <w:b/>
          <w:sz w:val="20"/>
        </w:rPr>
      </w:pPr>
    </w:p>
    <w:p>
      <w:pPr>
        <w:pStyle w:val="BodyText"/>
        <w:rPr>
          <w:b/>
          <w:sz w:val="20"/>
        </w:rPr>
      </w:pPr>
    </w:p>
    <w:p>
      <w:pPr>
        <w:pStyle w:val="BodyText"/>
        <w:spacing w:before="32"/>
        <w:rPr>
          <w:b/>
          <w:sz w:val="20"/>
        </w:rPr>
      </w:pPr>
    </w:p>
    <w:p>
      <w:pPr>
        <w:spacing w:before="0"/>
        <w:ind w:left="1284" w:right="0" w:firstLine="0"/>
        <w:jc w:val="left"/>
        <w:rPr>
          <w:i/>
          <w:sz w:val="20"/>
        </w:rPr>
      </w:pPr>
      <w:r>
        <w:rPr>
          <w:i/>
          <w:sz w:val="20"/>
        </w:rPr>
        <mc:AlternateContent>
          <mc:Choice Requires="wps">
            <w:drawing>
              <wp:anchor distT="0" distB="0" distL="0" distR="0" allowOverlap="1" layoutInCell="1" locked="0" behindDoc="0" simplePos="0" relativeHeight="15961088">
                <wp:simplePos x="0" y="0"/>
                <wp:positionH relativeFrom="page">
                  <wp:posOffset>244784</wp:posOffset>
                </wp:positionH>
                <wp:positionV relativeFrom="paragraph">
                  <wp:posOffset>-93335</wp:posOffset>
                </wp:positionV>
                <wp:extent cx="138430" cy="2155190"/>
                <wp:effectExtent l="0" t="0" r="0" b="0"/>
                <wp:wrapNone/>
                <wp:docPr id="2219" name="Textbox 2219"/>
                <wp:cNvGraphicFramePr>
                  <a:graphicFrameLocks/>
                </wp:cNvGraphicFramePr>
                <a:graphic>
                  <a:graphicData uri="http://schemas.microsoft.com/office/word/2010/wordprocessingShape">
                    <wps:wsp>
                      <wps:cNvPr id="2219" name="Textbox 2219"/>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7.349261pt;width:10.9pt;height:169.7pt;mso-position-horizontal-relative:page;mso-position-vertical-relative:paragraph;z-index:15961088" type="#_x0000_t202" id="docshape1601"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i/>
          <w:sz w:val="20"/>
        </w:rPr>
        <w:t>Grupo</w:t>
      </w:r>
      <w:r>
        <w:rPr>
          <w:i/>
          <w:spacing w:val="-5"/>
          <w:sz w:val="20"/>
        </w:rPr>
        <w:t> </w:t>
      </w:r>
      <w:r>
        <w:rPr>
          <w:i/>
          <w:sz w:val="20"/>
        </w:rPr>
        <w:t>3</w:t>
      </w:r>
      <w:r>
        <w:rPr>
          <w:i/>
          <w:spacing w:val="-5"/>
          <w:sz w:val="20"/>
        </w:rPr>
        <w:t> </w:t>
      </w:r>
      <w:r>
        <w:rPr>
          <w:i/>
          <w:sz w:val="20"/>
        </w:rPr>
        <w:t>de</w:t>
      </w:r>
      <w:r>
        <w:rPr>
          <w:i/>
          <w:spacing w:val="-5"/>
          <w:sz w:val="20"/>
        </w:rPr>
        <w:t> </w:t>
      </w:r>
      <w:r>
        <w:rPr>
          <w:i/>
          <w:spacing w:val="-7"/>
          <w:sz w:val="20"/>
        </w:rPr>
        <w:t>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mc:AlternateContent>
          <mc:Choice Requires="wps">
            <w:drawing>
              <wp:anchor distT="0" distB="0" distL="0" distR="0" allowOverlap="1" layoutInCell="1" locked="0" behindDoc="0" simplePos="0" relativeHeight="15961600">
                <wp:simplePos x="0" y="0"/>
                <wp:positionH relativeFrom="page">
                  <wp:posOffset>344030</wp:posOffset>
                </wp:positionH>
                <wp:positionV relativeFrom="paragraph">
                  <wp:posOffset>277411</wp:posOffset>
                </wp:positionV>
                <wp:extent cx="163830" cy="3011170"/>
                <wp:effectExtent l="0" t="0" r="0" b="0"/>
                <wp:wrapNone/>
                <wp:docPr id="2220" name="Graphic 2220"/>
                <wp:cNvGraphicFramePr>
                  <a:graphicFrameLocks/>
                </wp:cNvGraphicFramePr>
                <a:graphic>
                  <a:graphicData uri="http://schemas.microsoft.com/office/word/2010/wordprocessingShape">
                    <wps:wsp>
                      <wps:cNvPr id="2220" name="Graphic 2220"/>
                      <wps:cNvSpPr/>
                      <wps:spPr>
                        <a:xfrm>
                          <a:off x="0" y="0"/>
                          <a:ext cx="163830" cy="3011170"/>
                        </a:xfrm>
                        <a:custGeom>
                          <a:avLst/>
                          <a:gdLst/>
                          <a:ahLst/>
                          <a:cxnLst/>
                          <a:rect l="l" t="t" r="r" b="b"/>
                          <a:pathLst>
                            <a:path w="163830" h="3011170">
                              <a:moveTo>
                                <a:pt x="163258" y="0"/>
                              </a:moveTo>
                              <a:lnTo>
                                <a:pt x="0" y="0"/>
                              </a:lnTo>
                              <a:lnTo>
                                <a:pt x="0" y="3010712"/>
                              </a:lnTo>
                              <a:lnTo>
                                <a:pt x="163258" y="3010712"/>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21.843465pt;width:12.855pt;height:237.064pt;mso-position-horizontal-relative:page;mso-position-vertical-relative:paragraph;z-index:15961600" id="docshape1602" filled="true" fillcolor="#000000" stroked="false">
                <v:fill type="solid"/>
                <w10:wrap type="none"/>
              </v:rect>
            </w:pict>
          </mc:Fallback>
        </mc:AlternateContent>
      </w:r>
      <w:r>
        <w:rPr>
          <w:b/>
          <w:sz w:val="20"/>
        </w:rPr>
        <w:t>Al</w:t>
      </w:r>
      <w:r>
        <w:rPr>
          <w:b/>
          <w:spacing w:val="-3"/>
          <w:sz w:val="20"/>
        </w:rPr>
        <w:t> </w:t>
      </w:r>
      <w:r>
        <w:rPr>
          <w:b/>
          <w:spacing w:val="-2"/>
          <w:sz w:val="20"/>
        </w:rPr>
        <w:t>texto</w:t>
      </w:r>
    </w:p>
    <w:p>
      <w:pPr>
        <w:pStyle w:val="BodyText"/>
        <w:spacing w:before="179"/>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60064">
                <wp:simplePos x="0" y="0"/>
                <wp:positionH relativeFrom="page">
                  <wp:posOffset>130383</wp:posOffset>
                </wp:positionH>
                <wp:positionV relativeFrom="paragraph">
                  <wp:posOffset>135878</wp:posOffset>
                </wp:positionV>
                <wp:extent cx="138430" cy="2952750"/>
                <wp:effectExtent l="0" t="0" r="0" b="0"/>
                <wp:wrapNone/>
                <wp:docPr id="2221" name="Textbox 2221"/>
                <wp:cNvGraphicFramePr>
                  <a:graphicFrameLocks/>
                </wp:cNvGraphicFramePr>
                <a:graphic>
                  <a:graphicData uri="http://schemas.microsoft.com/office/word/2010/wordprocessingShape">
                    <wps:wsp>
                      <wps:cNvPr id="2221" name="Textbox 2221"/>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0.69911pt;width:10.9pt;height:232.5pt;mso-position-horizontal-relative:page;mso-position-vertical-relative:paragraph;z-index:15960064" type="#_x0000_t202" id="docshape1603"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pacing w:val="-5"/>
          <w:sz w:val="20"/>
        </w:rPr>
        <w:t>38</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pacing w:val="-10"/>
          <w:sz w:val="20"/>
        </w:rPr>
        <w:t>4</w:t>
      </w:r>
    </w:p>
    <w:p>
      <w:pPr>
        <w:pStyle w:val="BodyText"/>
        <w:spacing w:before="178"/>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60576">
                <wp:simplePos x="0" y="0"/>
                <wp:positionH relativeFrom="page">
                  <wp:posOffset>244784</wp:posOffset>
                </wp:positionH>
                <wp:positionV relativeFrom="paragraph">
                  <wp:posOffset>131568</wp:posOffset>
                </wp:positionV>
                <wp:extent cx="251460" cy="1744345"/>
                <wp:effectExtent l="0" t="0" r="0" b="0"/>
                <wp:wrapNone/>
                <wp:docPr id="2222" name="Textbox 2222"/>
                <wp:cNvGraphicFramePr>
                  <a:graphicFrameLocks/>
                </wp:cNvGraphicFramePr>
                <a:graphic>
                  <a:graphicData uri="http://schemas.microsoft.com/office/word/2010/wordprocessingShape">
                    <wps:wsp>
                      <wps:cNvPr id="2222" name="Textbox 2222"/>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10.359735pt;width:19.8pt;height:137.35pt;mso-position-horizontal-relative:page;mso-position-vertical-relative:paragraph;z-index:15960576" type="#_x0000_t202" id="docshape1604"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0" w:firstLine="0"/>
        <w:jc w:val="left"/>
        <w:rPr>
          <w:b/>
          <w:sz w:val="20"/>
        </w:rPr>
      </w:pPr>
      <w:r>
        <w:rPr>
          <w:b/>
          <w:sz w:val="20"/>
        </w:rPr>
        <w:t>En</w:t>
      </w:r>
      <w:r>
        <w:rPr>
          <w:b/>
          <w:spacing w:val="-5"/>
          <w:sz w:val="20"/>
        </w:rPr>
        <w:t> </w:t>
      </w:r>
      <w:r>
        <w:rPr>
          <w:b/>
          <w:sz w:val="20"/>
        </w:rPr>
        <w:t>la</w:t>
      </w:r>
      <w:r>
        <w:rPr>
          <w:b/>
          <w:spacing w:val="-5"/>
          <w:sz w:val="20"/>
        </w:rPr>
        <w:t> </w:t>
      </w:r>
      <w:r>
        <w:rPr>
          <w:b/>
          <w:sz w:val="20"/>
        </w:rPr>
        <w:t>página</w:t>
      </w:r>
      <w:r>
        <w:rPr>
          <w:b/>
          <w:spacing w:val="-5"/>
          <w:sz w:val="20"/>
        </w:rPr>
        <w:t> </w:t>
      </w:r>
      <w:r>
        <w:rPr>
          <w:b/>
          <w:sz w:val="20"/>
        </w:rPr>
        <w:t>38</w:t>
      </w:r>
      <w:r>
        <w:rPr>
          <w:b/>
          <w:spacing w:val="-3"/>
          <w:sz w:val="20"/>
        </w:rPr>
        <w:t> </w:t>
      </w:r>
      <w:r>
        <w:rPr>
          <w:b/>
          <w:sz w:val="20"/>
        </w:rPr>
        <w:t>se</w:t>
      </w:r>
      <w:r>
        <w:rPr>
          <w:b/>
          <w:spacing w:val="-5"/>
          <w:sz w:val="20"/>
        </w:rPr>
        <w:t> </w:t>
      </w:r>
      <w:r>
        <w:rPr>
          <w:b/>
          <w:sz w:val="20"/>
        </w:rPr>
        <w:t>señala</w:t>
      </w:r>
      <w:r>
        <w:rPr>
          <w:b/>
          <w:spacing w:val="-5"/>
          <w:sz w:val="20"/>
        </w:rPr>
        <w:t> </w:t>
      </w:r>
      <w:r>
        <w:rPr>
          <w:b/>
          <w:sz w:val="20"/>
        </w:rPr>
        <w:t>que</w:t>
      </w:r>
      <w:r>
        <w:rPr>
          <w:b/>
          <w:spacing w:val="-6"/>
          <w:sz w:val="20"/>
        </w:rPr>
        <w:t> </w:t>
      </w:r>
      <w:r>
        <w:rPr>
          <w:b/>
          <w:sz w:val="20"/>
        </w:rPr>
        <w:t>la</w:t>
      </w:r>
      <w:r>
        <w:rPr>
          <w:b/>
          <w:spacing w:val="-3"/>
          <w:sz w:val="20"/>
        </w:rPr>
        <w:t> </w:t>
      </w:r>
      <w:r>
        <w:rPr>
          <w:b/>
          <w:sz w:val="20"/>
        </w:rPr>
        <w:t>entidad</w:t>
      </w:r>
      <w:r>
        <w:rPr>
          <w:b/>
          <w:spacing w:val="-5"/>
          <w:sz w:val="20"/>
        </w:rPr>
        <w:t> </w:t>
      </w:r>
      <w:r>
        <w:rPr>
          <w:b/>
          <w:sz w:val="20"/>
        </w:rPr>
        <w:t>no</w:t>
      </w:r>
      <w:r>
        <w:rPr>
          <w:b/>
          <w:spacing w:val="-5"/>
          <w:sz w:val="20"/>
        </w:rPr>
        <w:t> </w:t>
      </w:r>
      <w:r>
        <w:rPr>
          <w:b/>
          <w:sz w:val="20"/>
        </w:rPr>
        <w:t>tenía</w:t>
      </w:r>
      <w:r>
        <w:rPr>
          <w:b/>
          <w:spacing w:val="-3"/>
          <w:sz w:val="20"/>
        </w:rPr>
        <w:t> </w:t>
      </w:r>
      <w:r>
        <w:rPr>
          <w:b/>
          <w:sz w:val="20"/>
        </w:rPr>
        <w:t>implantado</w:t>
      </w:r>
      <w:r>
        <w:rPr>
          <w:b/>
          <w:spacing w:val="-5"/>
          <w:sz w:val="20"/>
        </w:rPr>
        <w:t> </w:t>
      </w:r>
      <w:r>
        <w:rPr>
          <w:b/>
          <w:sz w:val="20"/>
        </w:rPr>
        <w:t>un</w:t>
      </w:r>
      <w:r>
        <w:rPr>
          <w:b/>
          <w:spacing w:val="-3"/>
          <w:sz w:val="20"/>
        </w:rPr>
        <w:t> </w:t>
      </w:r>
      <w:r>
        <w:rPr>
          <w:b/>
          <w:sz w:val="20"/>
        </w:rPr>
        <w:t>sistema</w:t>
      </w:r>
      <w:r>
        <w:rPr>
          <w:b/>
          <w:spacing w:val="-5"/>
          <w:sz w:val="20"/>
        </w:rPr>
        <w:t> </w:t>
      </w:r>
      <w:r>
        <w:rPr>
          <w:b/>
          <w:sz w:val="20"/>
        </w:rPr>
        <w:t>de</w:t>
      </w:r>
      <w:r>
        <w:rPr>
          <w:b/>
          <w:spacing w:val="-5"/>
          <w:sz w:val="20"/>
        </w:rPr>
        <w:t> </w:t>
      </w:r>
      <w:r>
        <w:rPr>
          <w:b/>
          <w:sz w:val="20"/>
        </w:rPr>
        <w:t>gestión</w:t>
      </w:r>
      <w:r>
        <w:rPr>
          <w:b/>
          <w:spacing w:val="-5"/>
          <w:sz w:val="20"/>
        </w:rPr>
        <w:t> </w:t>
      </w:r>
      <w:r>
        <w:rPr>
          <w:b/>
          <w:sz w:val="20"/>
        </w:rPr>
        <w:t>ambiental</w:t>
      </w:r>
      <w:r>
        <w:rPr>
          <w:b/>
          <w:spacing w:val="-4"/>
          <w:sz w:val="20"/>
        </w:rPr>
        <w:t> </w:t>
      </w:r>
      <w:r>
        <w:rPr>
          <w:b/>
          <w:sz w:val="20"/>
        </w:rPr>
        <w:t>ni</w:t>
      </w:r>
      <w:r>
        <w:rPr>
          <w:b/>
          <w:spacing w:val="-5"/>
          <w:sz w:val="20"/>
        </w:rPr>
        <w:t> </w:t>
      </w:r>
      <w:r>
        <w:rPr>
          <w:b/>
          <w:sz w:val="20"/>
        </w:rPr>
        <w:t>había recibido alguna certificación sobre la gestión medioambiental.</w:t>
      </w:r>
    </w:p>
    <w:p>
      <w:pPr>
        <w:pStyle w:val="BodyText"/>
        <w:spacing w:before="91"/>
        <w:rPr>
          <w:b/>
          <w:sz w:val="20"/>
        </w:rPr>
      </w:pPr>
    </w:p>
    <w:p>
      <w:pPr>
        <w:spacing w:before="0"/>
        <w:ind w:left="1284" w:right="0" w:firstLine="0"/>
        <w:jc w:val="left"/>
        <w:rPr>
          <w:sz w:val="20"/>
        </w:rPr>
      </w:pPr>
      <w:r>
        <w:rPr>
          <w:spacing w:val="-2"/>
          <w:sz w:val="20"/>
        </w:rPr>
        <w:t>Alegación:</w:t>
      </w:r>
    </w:p>
    <w:p>
      <w:pPr>
        <w:spacing w:line="333" w:lineRule="auto" w:before="87"/>
        <w:ind w:left="1284" w:right="496" w:firstLine="0"/>
        <w:jc w:val="left"/>
        <w:rPr>
          <w:b/>
          <w:sz w:val="20"/>
        </w:rPr>
      </w:pPr>
      <w:r>
        <w:rPr>
          <w:b/>
          <w:sz w:val="20"/>
        </w:rPr>
        <w:t>Al respecto ha de señalarse que la entidad gestora del transporte urbano colectivo en autobús, AVANZA</w:t>
      </w:r>
      <w:r>
        <w:rPr>
          <w:b/>
          <w:spacing w:val="-7"/>
          <w:sz w:val="20"/>
        </w:rPr>
        <w:t> </w:t>
      </w:r>
      <w:r>
        <w:rPr>
          <w:b/>
          <w:sz w:val="20"/>
        </w:rPr>
        <w:t>ZARAGOZA,</w:t>
      </w:r>
      <w:r>
        <w:rPr>
          <w:b/>
          <w:spacing w:val="-7"/>
          <w:sz w:val="20"/>
        </w:rPr>
        <w:t> </w:t>
      </w:r>
      <w:r>
        <w:rPr>
          <w:b/>
          <w:sz w:val="20"/>
        </w:rPr>
        <w:t>S.A.U.,</w:t>
      </w:r>
      <w:r>
        <w:rPr>
          <w:b/>
          <w:spacing w:val="-5"/>
          <w:sz w:val="20"/>
        </w:rPr>
        <w:t> </w:t>
      </w:r>
      <w:r>
        <w:rPr>
          <w:b/>
          <w:sz w:val="20"/>
        </w:rPr>
        <w:t>disponía</w:t>
      </w:r>
      <w:r>
        <w:rPr>
          <w:b/>
          <w:spacing w:val="-7"/>
          <w:sz w:val="20"/>
        </w:rPr>
        <w:t> </w:t>
      </w:r>
      <w:r>
        <w:rPr>
          <w:b/>
          <w:sz w:val="20"/>
        </w:rPr>
        <w:t>en</w:t>
      </w:r>
      <w:r>
        <w:rPr>
          <w:b/>
          <w:spacing w:val="-7"/>
          <w:sz w:val="20"/>
        </w:rPr>
        <w:t> </w:t>
      </w:r>
      <w:r>
        <w:rPr>
          <w:b/>
          <w:sz w:val="20"/>
        </w:rPr>
        <w:t>la</w:t>
      </w:r>
      <w:r>
        <w:rPr>
          <w:b/>
          <w:spacing w:val="-7"/>
          <w:sz w:val="20"/>
        </w:rPr>
        <w:t> </w:t>
      </w:r>
      <w:r>
        <w:rPr>
          <w:b/>
          <w:sz w:val="20"/>
        </w:rPr>
        <w:t>fecha</w:t>
      </w:r>
      <w:r>
        <w:rPr>
          <w:b/>
          <w:spacing w:val="-7"/>
          <w:sz w:val="20"/>
        </w:rPr>
        <w:t> </w:t>
      </w:r>
      <w:r>
        <w:rPr>
          <w:b/>
          <w:sz w:val="20"/>
        </w:rPr>
        <w:t>de</w:t>
      </w:r>
      <w:r>
        <w:rPr>
          <w:b/>
          <w:spacing w:val="-5"/>
          <w:sz w:val="20"/>
        </w:rPr>
        <w:t> </w:t>
      </w:r>
      <w:r>
        <w:rPr>
          <w:b/>
          <w:sz w:val="20"/>
        </w:rPr>
        <w:t>referencia</w:t>
      </w:r>
      <w:r>
        <w:rPr>
          <w:b/>
          <w:spacing w:val="-7"/>
          <w:sz w:val="20"/>
        </w:rPr>
        <w:t> </w:t>
      </w:r>
      <w:r>
        <w:rPr>
          <w:b/>
          <w:sz w:val="20"/>
        </w:rPr>
        <w:t>(31/12/2022)</w:t>
      </w:r>
      <w:r>
        <w:rPr>
          <w:b/>
          <w:spacing w:val="-7"/>
          <w:sz w:val="20"/>
        </w:rPr>
        <w:t> </w:t>
      </w:r>
      <w:r>
        <w:rPr>
          <w:b/>
          <w:sz w:val="20"/>
        </w:rPr>
        <w:t>un</w:t>
      </w:r>
      <w:r>
        <w:rPr>
          <w:b/>
          <w:spacing w:val="-5"/>
          <w:sz w:val="20"/>
        </w:rPr>
        <w:t> </w:t>
      </w:r>
      <w:r>
        <w:rPr>
          <w:b/>
          <w:sz w:val="20"/>
        </w:rPr>
        <w:t>sistema</w:t>
      </w:r>
      <w:r>
        <w:rPr>
          <w:b/>
          <w:spacing w:val="-7"/>
          <w:sz w:val="20"/>
        </w:rPr>
        <w:t> </w:t>
      </w:r>
      <w:r>
        <w:rPr>
          <w:b/>
          <w:sz w:val="20"/>
        </w:rPr>
        <w:t>implantado</w:t>
      </w:r>
      <w:r>
        <w:rPr>
          <w:b/>
          <w:spacing w:val="-7"/>
          <w:sz w:val="20"/>
        </w:rPr>
        <w:t> </w:t>
      </w:r>
      <w:r>
        <w:rPr>
          <w:b/>
          <w:sz w:val="20"/>
        </w:rPr>
        <w:t>y certificado</w:t>
      </w:r>
      <w:r>
        <w:rPr>
          <w:b/>
          <w:spacing w:val="-2"/>
          <w:sz w:val="20"/>
        </w:rPr>
        <w:t> </w:t>
      </w:r>
      <w:r>
        <w:rPr>
          <w:b/>
          <w:sz w:val="20"/>
        </w:rPr>
        <w:t>en varias</w:t>
      </w:r>
      <w:r>
        <w:rPr>
          <w:b/>
          <w:spacing w:val="-2"/>
          <w:sz w:val="20"/>
        </w:rPr>
        <w:t> </w:t>
      </w:r>
      <w:r>
        <w:rPr>
          <w:b/>
          <w:sz w:val="20"/>
        </w:rPr>
        <w:t>normas</w:t>
      </w:r>
      <w:r>
        <w:rPr>
          <w:b/>
          <w:spacing w:val="-2"/>
          <w:sz w:val="20"/>
        </w:rPr>
        <w:t> </w:t>
      </w:r>
      <w:r>
        <w:rPr>
          <w:b/>
          <w:sz w:val="20"/>
        </w:rPr>
        <w:t>vinculadas</w:t>
      </w:r>
      <w:r>
        <w:rPr>
          <w:b/>
          <w:spacing w:val="-2"/>
          <w:sz w:val="20"/>
        </w:rPr>
        <w:t> </w:t>
      </w:r>
      <w:r>
        <w:rPr>
          <w:b/>
          <w:sz w:val="20"/>
        </w:rPr>
        <w:t>a</w:t>
      </w:r>
      <w:r>
        <w:rPr>
          <w:b/>
          <w:spacing w:val="-2"/>
          <w:sz w:val="20"/>
        </w:rPr>
        <w:t> </w:t>
      </w:r>
      <w:r>
        <w:rPr>
          <w:b/>
          <w:sz w:val="20"/>
        </w:rPr>
        <w:t>la</w:t>
      </w:r>
      <w:r>
        <w:rPr>
          <w:b/>
          <w:spacing w:val="-2"/>
          <w:sz w:val="20"/>
        </w:rPr>
        <w:t> </w:t>
      </w:r>
      <w:r>
        <w:rPr>
          <w:b/>
          <w:sz w:val="20"/>
        </w:rPr>
        <w:t>gestión</w:t>
      </w:r>
      <w:r>
        <w:rPr>
          <w:b/>
          <w:spacing w:val="-4"/>
          <w:sz w:val="20"/>
        </w:rPr>
        <w:t> </w:t>
      </w:r>
      <w:r>
        <w:rPr>
          <w:b/>
          <w:sz w:val="20"/>
        </w:rPr>
        <w:t>ambiental,</w:t>
      </w:r>
      <w:r>
        <w:rPr>
          <w:b/>
          <w:spacing w:val="-1"/>
          <w:sz w:val="20"/>
        </w:rPr>
        <w:t> </w:t>
      </w:r>
      <w:r>
        <w:rPr>
          <w:b/>
          <w:sz w:val="20"/>
        </w:rPr>
        <w:t>contando con</w:t>
      </w:r>
      <w:r>
        <w:rPr>
          <w:b/>
          <w:spacing w:val="-2"/>
          <w:sz w:val="20"/>
        </w:rPr>
        <w:t> </w:t>
      </w:r>
      <w:r>
        <w:rPr>
          <w:b/>
          <w:sz w:val="20"/>
        </w:rPr>
        <w:t>certificados</w:t>
      </w:r>
      <w:r>
        <w:rPr>
          <w:b/>
          <w:spacing w:val="-2"/>
          <w:sz w:val="20"/>
        </w:rPr>
        <w:t> </w:t>
      </w:r>
      <w:r>
        <w:rPr>
          <w:b/>
          <w:sz w:val="20"/>
        </w:rPr>
        <w:t>ISO</w:t>
      </w:r>
      <w:r>
        <w:rPr>
          <w:b/>
          <w:spacing w:val="-1"/>
          <w:sz w:val="20"/>
        </w:rPr>
        <w:t> </w:t>
      </w:r>
      <w:r>
        <w:rPr>
          <w:b/>
          <w:sz w:val="20"/>
        </w:rPr>
        <w:t>14001 Sistema de Gestión Ambiental e ISO 50001 Sistemas de Gestión Energética.</w:t>
      </w:r>
      <w:r>
        <w:rPr>
          <w:b/>
          <w:spacing w:val="40"/>
          <w:sz w:val="20"/>
        </w:rPr>
        <w:t> </w:t>
      </w:r>
      <w:r>
        <w:rPr>
          <w:b/>
          <w:sz w:val="20"/>
        </w:rPr>
        <w:t>Se adjuntan ambos </w:t>
      </w:r>
      <w:r>
        <w:rPr>
          <w:b/>
          <w:spacing w:val="-2"/>
          <w:sz w:val="20"/>
        </w:rPr>
        <w:t>certificados.</w:t>
      </w:r>
    </w:p>
    <w:p>
      <w:pPr>
        <w:pStyle w:val="BodyText"/>
        <w:spacing w:before="84"/>
        <w:rPr>
          <w:b/>
          <w:sz w:val="20"/>
        </w:rPr>
      </w:pPr>
    </w:p>
    <w:p>
      <w:pPr>
        <w:spacing w:before="0"/>
        <w:ind w:left="1284" w:right="0" w:firstLine="0"/>
        <w:jc w:val="left"/>
        <w:rPr>
          <w:sz w:val="20"/>
        </w:rPr>
      </w:pPr>
      <w:r>
        <w:rPr>
          <w:sz w:val="20"/>
        </w:rPr>
        <w:t>Documentos</w:t>
      </w:r>
      <w:r>
        <w:rPr>
          <w:spacing w:val="-14"/>
          <w:sz w:val="20"/>
        </w:rPr>
        <w:t> </w:t>
      </w:r>
      <w:r>
        <w:rPr>
          <w:sz w:val="20"/>
        </w:rPr>
        <w:t>(descripción</w:t>
      </w:r>
      <w:r>
        <w:rPr>
          <w:spacing w:val="-13"/>
          <w:sz w:val="20"/>
        </w:rPr>
        <w:t> </w:t>
      </w:r>
      <w:r>
        <w:rPr>
          <w:sz w:val="20"/>
        </w:rPr>
        <w:t>de</w:t>
      </w:r>
      <w:r>
        <w:rPr>
          <w:spacing w:val="-11"/>
          <w:sz w:val="20"/>
        </w:rPr>
        <w:t> </w:t>
      </w:r>
      <w:r>
        <w:rPr>
          <w:sz w:val="20"/>
        </w:rPr>
        <w:t>los</w:t>
      </w:r>
      <w:r>
        <w:rPr>
          <w:spacing w:val="-11"/>
          <w:sz w:val="20"/>
        </w:rPr>
        <w:t> </w:t>
      </w:r>
      <w:r>
        <w:rPr>
          <w:sz w:val="20"/>
        </w:rPr>
        <w:t>documentos</w:t>
      </w:r>
      <w:r>
        <w:rPr>
          <w:spacing w:val="-14"/>
          <w:sz w:val="20"/>
        </w:rPr>
        <w:t> </w:t>
      </w:r>
      <w:r>
        <w:rPr>
          <w:spacing w:val="-2"/>
          <w:sz w:val="20"/>
        </w:rPr>
        <w:t>aportados):</w:t>
      </w:r>
    </w:p>
    <w:p>
      <w:pPr>
        <w:spacing w:after="0"/>
        <w:jc w:val="left"/>
        <w:rPr>
          <w:sz w:val="20"/>
        </w:rPr>
        <w:sectPr>
          <w:pgSz w:w="11910" w:h="16840"/>
          <w:pgMar w:header="314" w:footer="551" w:top="1240" w:bottom="740" w:left="141" w:right="141"/>
        </w:sectPr>
      </w:pPr>
    </w:p>
    <w:p>
      <w:pPr>
        <w:pStyle w:val="BodyText"/>
        <w:rPr>
          <w:sz w:val="20"/>
        </w:rPr>
      </w:pPr>
    </w:p>
    <w:p>
      <w:pPr>
        <w:pStyle w:val="BodyText"/>
        <w:spacing w:before="59"/>
        <w:rPr>
          <w:sz w:val="20"/>
        </w:rPr>
      </w:pPr>
    </w:p>
    <w:p>
      <w:pPr>
        <w:spacing w:before="1"/>
        <w:ind w:left="1284" w:right="0" w:firstLine="0"/>
        <w:jc w:val="left"/>
        <w:rPr>
          <w:b/>
          <w:sz w:val="20"/>
        </w:rPr>
      </w:pPr>
      <w:r>
        <w:rPr>
          <w:b/>
          <w:spacing w:val="-2"/>
          <w:sz w:val="20"/>
        </w:rPr>
        <w:t>Certificados</w:t>
      </w:r>
      <w:r>
        <w:rPr>
          <w:b/>
          <w:spacing w:val="5"/>
          <w:sz w:val="20"/>
        </w:rPr>
        <w:t> </w:t>
      </w:r>
      <w:r>
        <w:rPr>
          <w:b/>
          <w:spacing w:val="-2"/>
          <w:sz w:val="20"/>
        </w:rPr>
        <w:t>AENOR</w:t>
      </w:r>
    </w:p>
    <w:p>
      <w:pPr>
        <w:pStyle w:val="BodyText"/>
        <w:spacing w:before="178"/>
        <w:rPr>
          <w:b/>
          <w:sz w:val="20"/>
        </w:rPr>
      </w:pPr>
    </w:p>
    <w:p>
      <w:pPr>
        <w:spacing w:before="0"/>
        <w:ind w:left="1284" w:right="0" w:firstLine="0"/>
        <w:jc w:val="left"/>
        <w:rPr>
          <w:sz w:val="20"/>
        </w:rPr>
      </w:pPr>
      <w:r>
        <w:rPr>
          <w:spacing w:val="-2"/>
          <w:sz w:val="20"/>
        </w:rPr>
        <w:t>Documentos:</w:t>
      </w:r>
    </w:p>
    <w:p>
      <w:pPr>
        <w:spacing w:line="333" w:lineRule="auto" w:before="87"/>
        <w:ind w:left="1284" w:right="1279" w:firstLine="0"/>
        <w:jc w:val="left"/>
        <w:rPr>
          <w:b/>
          <w:sz w:val="20"/>
        </w:rPr>
      </w:pPr>
      <w:r>
        <w:rPr>
          <w:b/>
          <w:sz w:val="20"/>
        </w:rPr>
        <w:t>Nombre:</w:t>
      </w:r>
      <w:r>
        <w:rPr>
          <w:b/>
          <w:spacing w:val="-12"/>
          <w:sz w:val="20"/>
        </w:rPr>
        <w:t> </w:t>
      </w:r>
      <w:r>
        <w:rPr>
          <w:b/>
          <w:sz w:val="20"/>
        </w:rPr>
        <w:t>Cerfificado</w:t>
      </w:r>
      <w:r>
        <w:rPr>
          <w:b/>
          <w:spacing w:val="-13"/>
          <w:sz w:val="20"/>
        </w:rPr>
        <w:t> </w:t>
      </w:r>
      <w:r>
        <w:rPr>
          <w:b/>
          <w:sz w:val="20"/>
        </w:rPr>
        <w:t>Sistema</w:t>
      </w:r>
      <w:r>
        <w:rPr>
          <w:b/>
          <w:spacing w:val="-13"/>
          <w:sz w:val="20"/>
        </w:rPr>
        <w:t> </w:t>
      </w:r>
      <w:r>
        <w:rPr>
          <w:b/>
          <w:sz w:val="20"/>
        </w:rPr>
        <w:t>Gestion</w:t>
      </w:r>
      <w:r>
        <w:rPr>
          <w:b/>
          <w:spacing w:val="-13"/>
          <w:sz w:val="20"/>
        </w:rPr>
        <w:t> </w:t>
      </w:r>
      <w:r>
        <w:rPr>
          <w:b/>
          <w:sz w:val="20"/>
        </w:rPr>
        <w:t>Energetica.pdf,</w:t>
      </w:r>
      <w:r>
        <w:rPr>
          <w:b/>
          <w:spacing w:val="-13"/>
          <w:sz w:val="20"/>
        </w:rPr>
        <w:t> </w:t>
      </w:r>
      <w:r>
        <w:rPr>
          <w:b/>
          <w:sz w:val="20"/>
        </w:rPr>
        <w:t>Hash:</w:t>
      </w:r>
      <w:r>
        <w:rPr>
          <w:b/>
          <w:spacing w:val="-13"/>
          <w:sz w:val="20"/>
        </w:rPr>
        <w:t> </w:t>
      </w:r>
      <w:r>
        <w:rPr>
          <w:b/>
          <w:sz w:val="20"/>
        </w:rPr>
        <w:t>Nrrdgr+1CbSdnQgZ0n2khw== Nombre:</w:t>
      </w:r>
      <w:r>
        <w:rPr>
          <w:b/>
          <w:spacing w:val="-2"/>
          <w:sz w:val="20"/>
        </w:rPr>
        <w:t> </w:t>
      </w:r>
      <w:r>
        <w:rPr>
          <w:b/>
          <w:sz w:val="20"/>
        </w:rPr>
        <w:t>Certificado</w:t>
      </w:r>
      <w:r>
        <w:rPr>
          <w:b/>
          <w:spacing w:val="-3"/>
          <w:sz w:val="20"/>
        </w:rPr>
        <w:t> </w:t>
      </w:r>
      <w:r>
        <w:rPr>
          <w:b/>
          <w:sz w:val="20"/>
        </w:rPr>
        <w:t>Sistema</w:t>
      </w:r>
      <w:r>
        <w:rPr>
          <w:b/>
          <w:spacing w:val="-3"/>
          <w:sz w:val="20"/>
        </w:rPr>
        <w:t> </w:t>
      </w:r>
      <w:r>
        <w:rPr>
          <w:b/>
          <w:sz w:val="20"/>
        </w:rPr>
        <w:t>Gestion</w:t>
      </w:r>
      <w:r>
        <w:rPr>
          <w:b/>
          <w:spacing w:val="-3"/>
          <w:sz w:val="20"/>
        </w:rPr>
        <w:t> </w:t>
      </w:r>
      <w:r>
        <w:rPr>
          <w:b/>
          <w:sz w:val="20"/>
        </w:rPr>
        <w:t>Ambiental.pdf,</w:t>
      </w:r>
      <w:r>
        <w:rPr>
          <w:b/>
          <w:spacing w:val="-3"/>
          <w:sz w:val="20"/>
        </w:rPr>
        <w:t> </w:t>
      </w:r>
      <w:r>
        <w:rPr>
          <w:b/>
          <w:sz w:val="20"/>
        </w:rPr>
        <w:t>Hash:</w:t>
      </w:r>
      <w:r>
        <w:rPr>
          <w:b/>
          <w:spacing w:val="-2"/>
          <w:sz w:val="20"/>
        </w:rPr>
        <w:t> </w:t>
      </w:r>
      <w:r>
        <w:rPr>
          <w:b/>
          <w:sz w:val="20"/>
        </w:rPr>
        <w:t>2FUbguGyFja0EyT8ViN1DA==</w:t>
      </w:r>
    </w:p>
    <w:p>
      <w:pPr>
        <w:pStyle w:val="BodyText"/>
        <w:spacing w:before="88"/>
        <w:rPr>
          <w:b/>
          <w:sz w:val="20"/>
        </w:rPr>
      </w:pPr>
    </w:p>
    <w:p>
      <w:pPr>
        <w:spacing w:before="0"/>
        <w:ind w:left="1284" w:right="0" w:firstLine="0"/>
        <w:jc w:val="left"/>
        <w:rPr>
          <w:i/>
          <w:sz w:val="20"/>
        </w:rPr>
      </w:pPr>
      <w:r>
        <w:rPr>
          <w:i/>
          <w:sz w:val="20"/>
        </w:rPr>
        <w:t>Grupo</w:t>
      </w:r>
      <w:r>
        <w:rPr>
          <w:i/>
          <w:spacing w:val="-5"/>
          <w:sz w:val="20"/>
        </w:rPr>
        <w:t> </w:t>
      </w:r>
      <w:r>
        <w:rPr>
          <w:i/>
          <w:sz w:val="20"/>
        </w:rPr>
        <w:t>4</w:t>
      </w:r>
      <w:r>
        <w:rPr>
          <w:i/>
          <w:spacing w:val="-5"/>
          <w:sz w:val="20"/>
        </w:rPr>
        <w:t> </w:t>
      </w:r>
      <w:r>
        <w:rPr>
          <w:i/>
          <w:sz w:val="20"/>
        </w:rPr>
        <w:t>de</w:t>
      </w:r>
      <w:r>
        <w:rPr>
          <w:i/>
          <w:spacing w:val="-5"/>
          <w:sz w:val="20"/>
        </w:rPr>
        <w:t> </w:t>
      </w:r>
      <w:r>
        <w:rPr>
          <w:i/>
          <w:spacing w:val="-7"/>
          <w:sz w:val="20"/>
        </w:rPr>
        <w:t>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6"/>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9"/>
        <w:ind w:left="1284" w:right="0" w:firstLine="0"/>
        <w:jc w:val="left"/>
        <w:rPr>
          <w:b/>
          <w:sz w:val="20"/>
        </w:rPr>
      </w:pPr>
      <w:r>
        <w:rPr>
          <w:b/>
          <w:spacing w:val="-5"/>
          <w:sz w:val="20"/>
        </w:rPr>
        <w:t>45</w:t>
      </w:r>
    </w:p>
    <w:p>
      <w:pPr>
        <w:pStyle w:val="BodyText"/>
        <w:spacing w:before="176"/>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90"/>
        <w:ind w:left="1284" w:right="0" w:firstLine="0"/>
        <w:jc w:val="left"/>
        <w:rPr>
          <w:b/>
          <w:sz w:val="20"/>
        </w:rPr>
      </w:pPr>
      <w:r>
        <w:rPr>
          <w:b/>
          <w:spacing w:val="-10"/>
          <w:sz w:val="20"/>
        </w:rPr>
        <w:t>7</w:t>
      </w:r>
    </w:p>
    <w:p>
      <w:pPr>
        <w:pStyle w:val="BodyText"/>
        <w:spacing w:before="175"/>
        <w:rPr>
          <w:b/>
          <w:sz w:val="20"/>
        </w:rPr>
      </w:pPr>
    </w:p>
    <w:p>
      <w:pPr>
        <w:spacing w:before="1"/>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3" w:lineRule="auto" w:before="89"/>
        <w:ind w:left="1284" w:right="1279" w:firstLine="0"/>
        <w:jc w:val="left"/>
        <w:rPr>
          <w:b/>
          <w:sz w:val="20"/>
        </w:rPr>
      </w:pPr>
      <w:r>
        <w:rPr>
          <w:b/>
          <w:sz w:val="20"/>
        </w:rPr>
        <w:t>En</w:t>
      </w:r>
      <w:r>
        <w:rPr>
          <w:b/>
          <w:spacing w:val="-5"/>
          <w:sz w:val="20"/>
        </w:rPr>
        <w:t> </w:t>
      </w:r>
      <w:r>
        <w:rPr>
          <w:b/>
          <w:sz w:val="20"/>
        </w:rPr>
        <w:t>la</w:t>
      </w:r>
      <w:r>
        <w:rPr>
          <w:b/>
          <w:spacing w:val="-5"/>
          <w:sz w:val="20"/>
        </w:rPr>
        <w:t> </w:t>
      </w:r>
      <w:r>
        <w:rPr>
          <w:b/>
          <w:sz w:val="20"/>
        </w:rPr>
        <w:t>página</w:t>
      </w:r>
      <w:r>
        <w:rPr>
          <w:b/>
          <w:spacing w:val="-5"/>
          <w:sz w:val="20"/>
        </w:rPr>
        <w:t> </w:t>
      </w:r>
      <w:r>
        <w:rPr>
          <w:b/>
          <w:sz w:val="20"/>
        </w:rPr>
        <w:t>45,</w:t>
      </w:r>
      <w:r>
        <w:rPr>
          <w:b/>
          <w:spacing w:val="-3"/>
          <w:sz w:val="20"/>
        </w:rPr>
        <w:t> </w:t>
      </w:r>
      <w:r>
        <w:rPr>
          <w:b/>
          <w:sz w:val="20"/>
        </w:rPr>
        <w:t>se</w:t>
      </w:r>
      <w:r>
        <w:rPr>
          <w:b/>
          <w:spacing w:val="-5"/>
          <w:sz w:val="20"/>
        </w:rPr>
        <w:t> </w:t>
      </w:r>
      <w:r>
        <w:rPr>
          <w:b/>
          <w:sz w:val="20"/>
        </w:rPr>
        <w:t>señala</w:t>
      </w:r>
      <w:r>
        <w:rPr>
          <w:b/>
          <w:spacing w:val="-5"/>
          <w:sz w:val="20"/>
        </w:rPr>
        <w:t> </w:t>
      </w:r>
      <w:r>
        <w:rPr>
          <w:b/>
          <w:sz w:val="20"/>
        </w:rPr>
        <w:t>que</w:t>
      </w:r>
      <w:r>
        <w:rPr>
          <w:b/>
          <w:spacing w:val="-6"/>
          <w:sz w:val="20"/>
        </w:rPr>
        <w:t> </w:t>
      </w:r>
      <w:r>
        <w:rPr>
          <w:b/>
          <w:sz w:val="20"/>
        </w:rPr>
        <w:t>se</w:t>
      </w:r>
      <w:r>
        <w:rPr>
          <w:b/>
          <w:spacing w:val="-5"/>
          <w:sz w:val="20"/>
        </w:rPr>
        <w:t> </w:t>
      </w:r>
      <w:r>
        <w:rPr>
          <w:b/>
          <w:sz w:val="20"/>
        </w:rPr>
        <w:t>han</w:t>
      </w:r>
      <w:r>
        <w:rPr>
          <w:b/>
          <w:spacing w:val="-5"/>
          <w:sz w:val="20"/>
        </w:rPr>
        <w:t> </w:t>
      </w:r>
      <w:r>
        <w:rPr>
          <w:b/>
          <w:sz w:val="20"/>
        </w:rPr>
        <w:t>producido</w:t>
      </w:r>
      <w:r>
        <w:rPr>
          <w:b/>
          <w:spacing w:val="-3"/>
          <w:sz w:val="20"/>
        </w:rPr>
        <w:t> </w:t>
      </w:r>
      <w:r>
        <w:rPr>
          <w:b/>
          <w:sz w:val="20"/>
        </w:rPr>
        <w:t>ligeros</w:t>
      </w:r>
      <w:r>
        <w:rPr>
          <w:b/>
          <w:spacing w:val="-5"/>
          <w:sz w:val="20"/>
        </w:rPr>
        <w:t> </w:t>
      </w:r>
      <w:r>
        <w:rPr>
          <w:b/>
          <w:sz w:val="20"/>
        </w:rPr>
        <w:t>retrasos</w:t>
      </w:r>
      <w:r>
        <w:rPr>
          <w:b/>
          <w:spacing w:val="-5"/>
          <w:sz w:val="20"/>
        </w:rPr>
        <w:t> </w:t>
      </w:r>
      <w:r>
        <w:rPr>
          <w:b/>
          <w:sz w:val="20"/>
        </w:rPr>
        <w:t>en</w:t>
      </w:r>
      <w:r>
        <w:rPr>
          <w:b/>
          <w:spacing w:val="-5"/>
          <w:sz w:val="20"/>
        </w:rPr>
        <w:t> </w:t>
      </w:r>
      <w:r>
        <w:rPr>
          <w:b/>
          <w:sz w:val="20"/>
        </w:rPr>
        <w:t>la</w:t>
      </w:r>
      <w:r>
        <w:rPr>
          <w:b/>
          <w:spacing w:val="-5"/>
          <w:sz w:val="20"/>
        </w:rPr>
        <w:t> </w:t>
      </w:r>
      <w:r>
        <w:rPr>
          <w:b/>
          <w:sz w:val="20"/>
        </w:rPr>
        <w:t>entrega</w:t>
      </w:r>
      <w:r>
        <w:rPr>
          <w:b/>
          <w:spacing w:val="-5"/>
          <w:sz w:val="20"/>
        </w:rPr>
        <w:t> </w:t>
      </w:r>
      <w:r>
        <w:rPr>
          <w:b/>
          <w:sz w:val="20"/>
        </w:rPr>
        <w:t>de</w:t>
      </w:r>
      <w:r>
        <w:rPr>
          <w:b/>
          <w:spacing w:val="-5"/>
          <w:sz w:val="20"/>
        </w:rPr>
        <w:t> </w:t>
      </w:r>
      <w:r>
        <w:rPr>
          <w:b/>
          <w:sz w:val="20"/>
        </w:rPr>
        <w:t>los</w:t>
      </w:r>
      <w:r>
        <w:rPr>
          <w:b/>
          <w:spacing w:val="-5"/>
          <w:sz w:val="20"/>
        </w:rPr>
        <w:t> </w:t>
      </w:r>
      <w:r>
        <w:rPr>
          <w:b/>
          <w:sz w:val="20"/>
        </w:rPr>
        <w:t>vehículos adquiridos por la concesionaria del servicio.</w:t>
      </w:r>
    </w:p>
    <w:p>
      <w:pPr>
        <w:pStyle w:val="BodyText"/>
        <w:spacing w:before="86"/>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63136">
                <wp:simplePos x="0" y="0"/>
                <wp:positionH relativeFrom="page">
                  <wp:posOffset>244784</wp:posOffset>
                </wp:positionH>
                <wp:positionV relativeFrom="paragraph">
                  <wp:posOffset>109082</wp:posOffset>
                </wp:positionV>
                <wp:extent cx="138430" cy="2155190"/>
                <wp:effectExtent l="0" t="0" r="0" b="0"/>
                <wp:wrapNone/>
                <wp:docPr id="2223" name="Textbox 2223"/>
                <wp:cNvGraphicFramePr>
                  <a:graphicFrameLocks/>
                </wp:cNvGraphicFramePr>
                <a:graphic>
                  <a:graphicData uri="http://schemas.microsoft.com/office/word/2010/wordprocessingShape">
                    <wps:wsp>
                      <wps:cNvPr id="2223" name="Textbox 2223"/>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8.589191pt;width:10.9pt;height:169.7pt;mso-position-horizontal-relative:page;mso-position-vertical-relative:paragraph;z-index:15963136" type="#_x0000_t202" id="docshape1605"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spacing w:val="-2"/>
          <w:sz w:val="20"/>
        </w:rPr>
        <w:t>Alegación:</w:t>
      </w:r>
    </w:p>
    <w:p>
      <w:pPr>
        <w:spacing w:line="333" w:lineRule="auto" w:before="89"/>
        <w:ind w:left="1284" w:right="496" w:firstLine="0"/>
        <w:jc w:val="left"/>
        <w:rPr>
          <w:b/>
          <w:sz w:val="20"/>
        </w:rPr>
      </w:pPr>
      <w:r>
        <w:rPr>
          <w:b/>
          <w:sz w:val="20"/>
        </w:rPr>
        <mc:AlternateContent>
          <mc:Choice Requires="wps">
            <w:drawing>
              <wp:anchor distT="0" distB="0" distL="0" distR="0" allowOverlap="1" layoutInCell="1" locked="0" behindDoc="0" simplePos="0" relativeHeight="15962112">
                <wp:simplePos x="0" y="0"/>
                <wp:positionH relativeFrom="page">
                  <wp:posOffset>130383</wp:posOffset>
                </wp:positionH>
                <wp:positionV relativeFrom="paragraph">
                  <wp:posOffset>1204387</wp:posOffset>
                </wp:positionV>
                <wp:extent cx="138430" cy="2952750"/>
                <wp:effectExtent l="0" t="0" r="0" b="0"/>
                <wp:wrapNone/>
                <wp:docPr id="2224" name="Textbox 2224"/>
                <wp:cNvGraphicFramePr>
                  <a:graphicFrameLocks/>
                </wp:cNvGraphicFramePr>
                <a:graphic>
                  <a:graphicData uri="http://schemas.microsoft.com/office/word/2010/wordprocessingShape">
                    <wps:wsp>
                      <wps:cNvPr id="2224" name="Textbox 2224"/>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94.833656pt;width:10.9pt;height:232.5pt;mso-position-horizontal-relative:page;mso-position-vertical-relative:paragraph;z-index:15962112" type="#_x0000_t202" id="docshape1606"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63648">
                <wp:simplePos x="0" y="0"/>
                <wp:positionH relativeFrom="page">
                  <wp:posOffset>344030</wp:posOffset>
                </wp:positionH>
                <wp:positionV relativeFrom="paragraph">
                  <wp:posOffset>883665</wp:posOffset>
                </wp:positionV>
                <wp:extent cx="163830" cy="3011170"/>
                <wp:effectExtent l="0" t="0" r="0" b="0"/>
                <wp:wrapNone/>
                <wp:docPr id="2225" name="Graphic 2225"/>
                <wp:cNvGraphicFramePr>
                  <a:graphicFrameLocks/>
                </wp:cNvGraphicFramePr>
                <a:graphic>
                  <a:graphicData uri="http://schemas.microsoft.com/office/word/2010/wordprocessingShape">
                    <wps:wsp>
                      <wps:cNvPr id="2225" name="Graphic 2225"/>
                      <wps:cNvSpPr/>
                      <wps:spPr>
                        <a:xfrm>
                          <a:off x="0" y="0"/>
                          <a:ext cx="163830" cy="3011170"/>
                        </a:xfrm>
                        <a:custGeom>
                          <a:avLst/>
                          <a:gdLst/>
                          <a:ahLst/>
                          <a:cxnLst/>
                          <a:rect l="l" t="t" r="r" b="b"/>
                          <a:pathLst>
                            <a:path w="163830" h="3011170">
                              <a:moveTo>
                                <a:pt x="163258" y="0"/>
                              </a:moveTo>
                              <a:lnTo>
                                <a:pt x="0" y="0"/>
                              </a:lnTo>
                              <a:lnTo>
                                <a:pt x="0" y="3010712"/>
                              </a:lnTo>
                              <a:lnTo>
                                <a:pt x="163258" y="3010712"/>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69.579966pt;width:12.855pt;height:237.064pt;mso-position-horizontal-relative:page;mso-position-vertical-relative:paragraph;z-index:15963648" id="docshape1607" filled="true" fillcolor="#000000" stroked="false">
                <v:fill type="solid"/>
                <w10:wrap type="none"/>
              </v:rect>
            </w:pict>
          </mc:Fallback>
        </mc:AlternateContent>
      </w:r>
      <w:r>
        <w:rPr>
          <w:b/>
          <w:sz w:val="20"/>
        </w:rPr>
        <w:t>Siendo ello así, ha de tenerse en cuenta la crisis global de producción de estos equipos, como consecuencia de las dificultades de suministro de materias primas y componentes derivadas de la pandemia</w:t>
      </w:r>
      <w:r>
        <w:rPr>
          <w:b/>
          <w:spacing w:val="-5"/>
          <w:sz w:val="20"/>
        </w:rPr>
        <w:t> </w:t>
      </w:r>
      <w:r>
        <w:rPr>
          <w:b/>
          <w:sz w:val="20"/>
        </w:rPr>
        <w:t>de</w:t>
      </w:r>
      <w:r>
        <w:rPr>
          <w:b/>
          <w:spacing w:val="-5"/>
          <w:sz w:val="20"/>
        </w:rPr>
        <w:t> </w:t>
      </w:r>
      <w:r>
        <w:rPr>
          <w:b/>
          <w:sz w:val="20"/>
        </w:rPr>
        <w:t>Covid-19,</w:t>
      </w:r>
      <w:r>
        <w:rPr>
          <w:b/>
          <w:spacing w:val="-5"/>
          <w:sz w:val="20"/>
        </w:rPr>
        <w:t> </w:t>
      </w:r>
      <w:r>
        <w:rPr>
          <w:b/>
          <w:sz w:val="20"/>
        </w:rPr>
        <w:t>y</w:t>
      </w:r>
      <w:r>
        <w:rPr>
          <w:b/>
          <w:spacing w:val="-5"/>
          <w:sz w:val="20"/>
        </w:rPr>
        <w:t> </w:t>
      </w:r>
      <w:r>
        <w:rPr>
          <w:b/>
          <w:sz w:val="20"/>
        </w:rPr>
        <w:t>de</w:t>
      </w:r>
      <w:r>
        <w:rPr>
          <w:b/>
          <w:spacing w:val="-5"/>
          <w:sz w:val="20"/>
        </w:rPr>
        <w:t> </w:t>
      </w:r>
      <w:r>
        <w:rPr>
          <w:b/>
          <w:sz w:val="20"/>
        </w:rPr>
        <w:t>la</w:t>
      </w:r>
      <w:r>
        <w:rPr>
          <w:b/>
          <w:spacing w:val="-5"/>
          <w:sz w:val="20"/>
        </w:rPr>
        <w:t> </w:t>
      </w:r>
      <w:r>
        <w:rPr>
          <w:b/>
          <w:sz w:val="20"/>
        </w:rPr>
        <w:t>guerra</w:t>
      </w:r>
      <w:r>
        <w:rPr>
          <w:b/>
          <w:spacing w:val="-5"/>
          <w:sz w:val="20"/>
        </w:rPr>
        <w:t> </w:t>
      </w:r>
      <w:r>
        <w:rPr>
          <w:b/>
          <w:sz w:val="20"/>
        </w:rPr>
        <w:t>de</w:t>
      </w:r>
      <w:r>
        <w:rPr>
          <w:b/>
          <w:spacing w:val="-5"/>
          <w:sz w:val="20"/>
        </w:rPr>
        <w:t> </w:t>
      </w:r>
      <w:r>
        <w:rPr>
          <w:b/>
          <w:sz w:val="20"/>
        </w:rPr>
        <w:t>Ucrania,</w:t>
      </w:r>
      <w:r>
        <w:rPr>
          <w:b/>
          <w:spacing w:val="-5"/>
          <w:sz w:val="20"/>
        </w:rPr>
        <w:t> </w:t>
      </w:r>
      <w:r>
        <w:rPr>
          <w:b/>
          <w:sz w:val="20"/>
        </w:rPr>
        <w:t>crisis</w:t>
      </w:r>
      <w:r>
        <w:rPr>
          <w:b/>
          <w:spacing w:val="-5"/>
          <w:sz w:val="20"/>
        </w:rPr>
        <w:t> </w:t>
      </w:r>
      <w:r>
        <w:rPr>
          <w:b/>
          <w:sz w:val="20"/>
        </w:rPr>
        <w:t>global</w:t>
      </w:r>
      <w:r>
        <w:rPr>
          <w:b/>
          <w:spacing w:val="-5"/>
          <w:sz w:val="20"/>
        </w:rPr>
        <w:t> </w:t>
      </w:r>
      <w:r>
        <w:rPr>
          <w:b/>
          <w:sz w:val="20"/>
        </w:rPr>
        <w:t>que</w:t>
      </w:r>
      <w:r>
        <w:rPr>
          <w:b/>
          <w:spacing w:val="-5"/>
          <w:sz w:val="20"/>
        </w:rPr>
        <w:t> </w:t>
      </w:r>
      <w:r>
        <w:rPr>
          <w:b/>
          <w:sz w:val="20"/>
        </w:rPr>
        <w:t>ha</w:t>
      </w:r>
      <w:r>
        <w:rPr>
          <w:b/>
          <w:spacing w:val="-5"/>
          <w:sz w:val="20"/>
        </w:rPr>
        <w:t> </w:t>
      </w:r>
      <w:r>
        <w:rPr>
          <w:b/>
          <w:sz w:val="20"/>
        </w:rPr>
        <w:t>afectado</w:t>
      </w:r>
      <w:r>
        <w:rPr>
          <w:b/>
          <w:spacing w:val="-3"/>
          <w:sz w:val="20"/>
        </w:rPr>
        <w:t> </w:t>
      </w:r>
      <w:r>
        <w:rPr>
          <w:b/>
          <w:sz w:val="20"/>
        </w:rPr>
        <w:t>a</w:t>
      </w:r>
      <w:r>
        <w:rPr>
          <w:b/>
          <w:spacing w:val="-3"/>
          <w:sz w:val="20"/>
        </w:rPr>
        <w:t> </w:t>
      </w:r>
      <w:r>
        <w:rPr>
          <w:b/>
          <w:sz w:val="20"/>
        </w:rPr>
        <w:t>todas</w:t>
      </w:r>
      <w:r>
        <w:rPr>
          <w:b/>
          <w:spacing w:val="-5"/>
          <w:sz w:val="20"/>
        </w:rPr>
        <w:t> </w:t>
      </w:r>
      <w:r>
        <w:rPr>
          <w:b/>
          <w:sz w:val="20"/>
        </w:rPr>
        <w:t>los</w:t>
      </w:r>
      <w:r>
        <w:rPr>
          <w:b/>
          <w:spacing w:val="-5"/>
          <w:sz w:val="20"/>
        </w:rPr>
        <w:t> </w:t>
      </w:r>
      <w:r>
        <w:rPr>
          <w:b/>
          <w:sz w:val="20"/>
        </w:rPr>
        <w:t>sectores</w:t>
      </w:r>
      <w:r>
        <w:rPr>
          <w:b/>
          <w:spacing w:val="-5"/>
          <w:sz w:val="20"/>
        </w:rPr>
        <w:t> </w:t>
      </w:r>
      <w:r>
        <w:rPr>
          <w:b/>
          <w:sz w:val="20"/>
        </w:rPr>
        <w:t>y que de forma evidente escapa de las posibilidades de control y corrección por parte de esta o de cualquier otra administración local.</w:t>
      </w:r>
    </w:p>
    <w:p>
      <w:pPr>
        <w:pStyle w:val="BodyText"/>
        <w:rPr>
          <w:b/>
          <w:sz w:val="20"/>
        </w:rPr>
      </w:pPr>
    </w:p>
    <w:p>
      <w:pPr>
        <w:pStyle w:val="BodyText"/>
        <w:spacing w:before="171"/>
        <w:rPr>
          <w:b/>
          <w:sz w:val="20"/>
        </w:rPr>
      </w:pPr>
    </w:p>
    <w:p>
      <w:pPr>
        <w:spacing w:before="0"/>
        <w:ind w:left="1284" w:right="0" w:firstLine="0"/>
        <w:jc w:val="left"/>
        <w:rPr>
          <w:i/>
          <w:sz w:val="20"/>
        </w:rPr>
      </w:pPr>
      <w:r>
        <w:rPr>
          <w:i/>
          <w:sz w:val="20"/>
        </w:rPr>
        <w:t>Grupo</w:t>
      </w:r>
      <w:r>
        <w:rPr>
          <w:i/>
          <w:spacing w:val="-5"/>
          <w:sz w:val="20"/>
        </w:rPr>
        <w:t> </w:t>
      </w:r>
      <w:r>
        <w:rPr>
          <w:i/>
          <w:sz w:val="20"/>
        </w:rPr>
        <w:t>5</w:t>
      </w:r>
      <w:r>
        <w:rPr>
          <w:i/>
          <w:spacing w:val="-5"/>
          <w:sz w:val="20"/>
        </w:rPr>
        <w:t> </w:t>
      </w:r>
      <w:r>
        <w:rPr>
          <w:i/>
          <w:sz w:val="20"/>
        </w:rPr>
        <w:t>de</w:t>
      </w:r>
      <w:r>
        <w:rPr>
          <w:i/>
          <w:spacing w:val="-5"/>
          <w:sz w:val="20"/>
        </w:rPr>
        <w:t> </w:t>
      </w:r>
      <w:r>
        <w:rPr>
          <w:i/>
          <w:spacing w:val="-7"/>
          <w:sz w:val="20"/>
        </w:rPr>
        <w:t>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9"/>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62624">
                <wp:simplePos x="0" y="0"/>
                <wp:positionH relativeFrom="page">
                  <wp:posOffset>244784</wp:posOffset>
                </wp:positionH>
                <wp:positionV relativeFrom="paragraph">
                  <wp:posOffset>-71411</wp:posOffset>
                </wp:positionV>
                <wp:extent cx="251460" cy="1744345"/>
                <wp:effectExtent l="0" t="0" r="0" b="0"/>
                <wp:wrapNone/>
                <wp:docPr id="2226" name="Textbox 2226"/>
                <wp:cNvGraphicFramePr>
                  <a:graphicFrameLocks/>
                </wp:cNvGraphicFramePr>
                <a:graphic>
                  <a:graphicData uri="http://schemas.microsoft.com/office/word/2010/wordprocessingShape">
                    <wps:wsp>
                      <wps:cNvPr id="2226" name="Textbox 2226"/>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5.622955pt;width:19.8pt;height:137.35pt;mso-position-horizontal-relative:page;mso-position-vertical-relative:paragraph;z-index:15962624" type="#_x0000_t202" id="docshape1608"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pacing w:val="-5"/>
          <w:sz w:val="20"/>
        </w:rPr>
        <w:t>60</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pacing w:val="-10"/>
          <w:sz w:val="20"/>
        </w:rPr>
        <w:t>3</w:t>
      </w:r>
    </w:p>
    <w:p>
      <w:pPr>
        <w:pStyle w:val="BodyText"/>
        <w:spacing w:before="178"/>
        <w:rPr>
          <w:b/>
          <w:sz w:val="20"/>
        </w:rPr>
      </w:pPr>
    </w:p>
    <w:p>
      <w:pPr>
        <w:spacing w:before="0"/>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496" w:firstLine="0"/>
        <w:jc w:val="left"/>
        <w:rPr>
          <w:b/>
          <w:sz w:val="20"/>
        </w:rPr>
      </w:pPr>
      <w:r>
        <w:rPr>
          <w:b/>
          <w:sz w:val="20"/>
        </w:rPr>
        <w:t>En</w:t>
      </w:r>
      <w:r>
        <w:rPr>
          <w:b/>
          <w:spacing w:val="-6"/>
          <w:sz w:val="20"/>
        </w:rPr>
        <w:t> </w:t>
      </w:r>
      <w:r>
        <w:rPr>
          <w:b/>
          <w:sz w:val="20"/>
        </w:rPr>
        <w:t>la</w:t>
      </w:r>
      <w:r>
        <w:rPr>
          <w:b/>
          <w:spacing w:val="-6"/>
          <w:sz w:val="20"/>
        </w:rPr>
        <w:t> </w:t>
      </w:r>
      <w:r>
        <w:rPr>
          <w:b/>
          <w:sz w:val="20"/>
        </w:rPr>
        <w:t>página</w:t>
      </w:r>
      <w:r>
        <w:rPr>
          <w:b/>
          <w:spacing w:val="-6"/>
          <w:sz w:val="20"/>
        </w:rPr>
        <w:t> </w:t>
      </w:r>
      <w:r>
        <w:rPr>
          <w:b/>
          <w:sz w:val="20"/>
        </w:rPr>
        <w:t>60,</w:t>
      </w:r>
      <w:r>
        <w:rPr>
          <w:b/>
          <w:spacing w:val="-4"/>
          <w:sz w:val="20"/>
        </w:rPr>
        <w:t> </w:t>
      </w:r>
      <w:r>
        <w:rPr>
          <w:b/>
          <w:sz w:val="20"/>
        </w:rPr>
        <w:t>tercer</w:t>
      </w:r>
      <w:r>
        <w:rPr>
          <w:b/>
          <w:spacing w:val="-7"/>
          <w:sz w:val="20"/>
        </w:rPr>
        <w:t> </w:t>
      </w:r>
      <w:r>
        <w:rPr>
          <w:b/>
          <w:sz w:val="20"/>
        </w:rPr>
        <w:t>párrafo,</w:t>
      </w:r>
      <w:r>
        <w:rPr>
          <w:b/>
          <w:spacing w:val="-6"/>
          <w:sz w:val="20"/>
        </w:rPr>
        <w:t> </w:t>
      </w:r>
      <w:r>
        <w:rPr>
          <w:b/>
          <w:sz w:val="20"/>
        </w:rPr>
        <w:t>se</w:t>
      </w:r>
      <w:r>
        <w:rPr>
          <w:b/>
          <w:spacing w:val="-6"/>
          <w:sz w:val="20"/>
        </w:rPr>
        <w:t> </w:t>
      </w:r>
      <w:r>
        <w:rPr>
          <w:b/>
          <w:sz w:val="20"/>
        </w:rPr>
        <w:t>mencionan</w:t>
      </w:r>
      <w:r>
        <w:rPr>
          <w:b/>
          <w:spacing w:val="-4"/>
          <w:sz w:val="20"/>
        </w:rPr>
        <w:t> </w:t>
      </w:r>
      <w:r>
        <w:rPr>
          <w:b/>
          <w:sz w:val="20"/>
        </w:rPr>
        <w:t>las</w:t>
      </w:r>
      <w:r>
        <w:rPr>
          <w:b/>
          <w:spacing w:val="-6"/>
          <w:sz w:val="20"/>
        </w:rPr>
        <w:t> </w:t>
      </w:r>
      <w:r>
        <w:rPr>
          <w:b/>
          <w:sz w:val="20"/>
        </w:rPr>
        <w:t>obras</w:t>
      </w:r>
      <w:r>
        <w:rPr>
          <w:b/>
          <w:spacing w:val="-7"/>
          <w:sz w:val="20"/>
        </w:rPr>
        <w:t> </w:t>
      </w:r>
      <w:r>
        <w:rPr>
          <w:b/>
          <w:sz w:val="20"/>
        </w:rPr>
        <w:t>de</w:t>
      </w:r>
      <w:r>
        <w:rPr>
          <w:b/>
          <w:spacing w:val="-6"/>
          <w:sz w:val="20"/>
        </w:rPr>
        <w:t> </w:t>
      </w:r>
      <w:r>
        <w:rPr>
          <w:b/>
          <w:sz w:val="20"/>
        </w:rPr>
        <w:t>colocación</w:t>
      </w:r>
      <w:r>
        <w:rPr>
          <w:b/>
          <w:spacing w:val="-6"/>
          <w:sz w:val="20"/>
        </w:rPr>
        <w:t> </w:t>
      </w:r>
      <w:r>
        <w:rPr>
          <w:b/>
          <w:sz w:val="20"/>
        </w:rPr>
        <w:t>de</w:t>
      </w:r>
      <w:r>
        <w:rPr>
          <w:b/>
          <w:spacing w:val="-4"/>
          <w:sz w:val="20"/>
        </w:rPr>
        <w:t> </w:t>
      </w:r>
      <w:r>
        <w:rPr>
          <w:b/>
          <w:sz w:val="20"/>
        </w:rPr>
        <w:t>plataformas</w:t>
      </w:r>
      <w:r>
        <w:rPr>
          <w:b/>
          <w:spacing w:val="-6"/>
          <w:sz w:val="20"/>
        </w:rPr>
        <w:t> </w:t>
      </w:r>
      <w:r>
        <w:rPr>
          <w:b/>
          <w:sz w:val="20"/>
        </w:rPr>
        <w:t>en</w:t>
      </w:r>
      <w:r>
        <w:rPr>
          <w:b/>
          <w:spacing w:val="-6"/>
          <w:sz w:val="20"/>
        </w:rPr>
        <w:t> </w:t>
      </w:r>
      <w:r>
        <w:rPr>
          <w:b/>
          <w:sz w:val="20"/>
        </w:rPr>
        <w:t>las</w:t>
      </w:r>
      <w:r>
        <w:rPr>
          <w:b/>
          <w:spacing w:val="-6"/>
          <w:sz w:val="20"/>
        </w:rPr>
        <w:t> </w:t>
      </w:r>
      <w:r>
        <w:rPr>
          <w:b/>
          <w:sz w:val="20"/>
        </w:rPr>
        <w:t>paradas, con un importe total certificado de 307.722,69 euros.</w:t>
      </w:r>
    </w:p>
    <w:p>
      <w:pPr>
        <w:pStyle w:val="BodyText"/>
        <w:spacing w:before="91"/>
        <w:rPr>
          <w:b/>
          <w:sz w:val="20"/>
        </w:rPr>
      </w:pPr>
    </w:p>
    <w:p>
      <w:pPr>
        <w:spacing w:before="0"/>
        <w:ind w:left="1284" w:right="0" w:firstLine="0"/>
        <w:jc w:val="left"/>
        <w:rPr>
          <w:sz w:val="20"/>
        </w:rPr>
      </w:pPr>
      <w:r>
        <w:rPr>
          <w:spacing w:val="-2"/>
          <w:sz w:val="20"/>
        </w:rPr>
        <w:t>Alegación:</w:t>
      </w:r>
    </w:p>
    <w:p>
      <w:pPr>
        <w:spacing w:after="0"/>
        <w:jc w:val="left"/>
        <w:rPr>
          <w:sz w:val="20"/>
        </w:rPr>
        <w:sectPr>
          <w:pgSz w:w="11910" w:h="16840"/>
          <w:pgMar w:header="314" w:footer="481" w:top="1240" w:bottom="740" w:left="141" w:right="141"/>
        </w:sectPr>
      </w:pPr>
    </w:p>
    <w:p>
      <w:pPr>
        <w:pStyle w:val="BodyText"/>
        <w:rPr>
          <w:sz w:val="20"/>
        </w:rPr>
      </w:pPr>
    </w:p>
    <w:p>
      <w:pPr>
        <w:pStyle w:val="BodyText"/>
        <w:spacing w:before="59"/>
        <w:rPr>
          <w:sz w:val="20"/>
        </w:rPr>
      </w:pPr>
    </w:p>
    <w:p>
      <w:pPr>
        <w:spacing w:line="333" w:lineRule="auto" w:before="1"/>
        <w:ind w:left="1284" w:right="0" w:firstLine="0"/>
        <w:jc w:val="left"/>
        <w:rPr>
          <w:b/>
          <w:sz w:val="20"/>
        </w:rPr>
      </w:pPr>
      <w:r>
        <w:rPr>
          <w:b/>
          <w:sz w:val="20"/>
        </w:rPr>
        <w:t>Al</w:t>
      </w:r>
      <w:r>
        <w:rPr>
          <w:b/>
          <w:spacing w:val="-2"/>
          <w:sz w:val="20"/>
        </w:rPr>
        <w:t> </w:t>
      </w:r>
      <w:r>
        <w:rPr>
          <w:b/>
          <w:sz w:val="20"/>
        </w:rPr>
        <w:t>respecto</w:t>
      </w:r>
      <w:r>
        <w:rPr>
          <w:b/>
          <w:spacing w:val="-7"/>
          <w:sz w:val="20"/>
        </w:rPr>
        <w:t> </w:t>
      </w:r>
      <w:r>
        <w:rPr>
          <w:b/>
          <w:sz w:val="20"/>
        </w:rPr>
        <w:t>cabe</w:t>
      </w:r>
      <w:r>
        <w:rPr>
          <w:b/>
          <w:spacing w:val="-6"/>
          <w:sz w:val="20"/>
        </w:rPr>
        <w:t> </w:t>
      </w:r>
      <w:r>
        <w:rPr>
          <w:b/>
          <w:sz w:val="20"/>
        </w:rPr>
        <w:t>tan</w:t>
      </w:r>
      <w:r>
        <w:rPr>
          <w:b/>
          <w:spacing w:val="-5"/>
          <w:sz w:val="20"/>
        </w:rPr>
        <w:t> </w:t>
      </w:r>
      <w:r>
        <w:rPr>
          <w:b/>
          <w:sz w:val="20"/>
        </w:rPr>
        <w:t>solo</w:t>
      </w:r>
      <w:r>
        <w:rPr>
          <w:b/>
          <w:spacing w:val="-6"/>
          <w:sz w:val="20"/>
        </w:rPr>
        <w:t> </w:t>
      </w:r>
      <w:r>
        <w:rPr>
          <w:b/>
          <w:sz w:val="20"/>
        </w:rPr>
        <w:t>precisar</w:t>
      </w:r>
      <w:r>
        <w:rPr>
          <w:b/>
          <w:spacing w:val="-7"/>
          <w:sz w:val="20"/>
        </w:rPr>
        <w:t> </w:t>
      </w:r>
      <w:r>
        <w:rPr>
          <w:b/>
          <w:sz w:val="20"/>
        </w:rPr>
        <w:t>que</w:t>
      </w:r>
      <w:r>
        <w:rPr>
          <w:b/>
          <w:spacing w:val="-6"/>
          <w:sz w:val="20"/>
        </w:rPr>
        <w:t> </w:t>
      </w:r>
      <w:r>
        <w:rPr>
          <w:b/>
          <w:sz w:val="20"/>
        </w:rPr>
        <w:t>esa</w:t>
      </w:r>
      <w:r>
        <w:rPr>
          <w:b/>
          <w:spacing w:val="-6"/>
          <w:sz w:val="20"/>
        </w:rPr>
        <w:t> </w:t>
      </w:r>
      <w:r>
        <w:rPr>
          <w:b/>
          <w:sz w:val="20"/>
        </w:rPr>
        <w:t>cantidad</w:t>
      </w:r>
      <w:r>
        <w:rPr>
          <w:b/>
          <w:spacing w:val="-6"/>
          <w:sz w:val="20"/>
        </w:rPr>
        <w:t> </w:t>
      </w:r>
      <w:r>
        <w:rPr>
          <w:b/>
          <w:sz w:val="20"/>
        </w:rPr>
        <w:t>incluye,</w:t>
      </w:r>
      <w:r>
        <w:rPr>
          <w:b/>
          <w:spacing w:val="-6"/>
          <w:sz w:val="20"/>
        </w:rPr>
        <w:t> </w:t>
      </w:r>
      <w:r>
        <w:rPr>
          <w:b/>
          <w:sz w:val="20"/>
        </w:rPr>
        <w:t>junto</w:t>
      </w:r>
      <w:r>
        <w:rPr>
          <w:b/>
          <w:spacing w:val="-4"/>
          <w:sz w:val="20"/>
        </w:rPr>
        <w:t> </w:t>
      </w:r>
      <w:r>
        <w:rPr>
          <w:b/>
          <w:sz w:val="20"/>
        </w:rPr>
        <w:t>con</w:t>
      </w:r>
      <w:r>
        <w:rPr>
          <w:b/>
          <w:spacing w:val="-6"/>
          <w:sz w:val="20"/>
        </w:rPr>
        <w:t> </w:t>
      </w:r>
      <w:r>
        <w:rPr>
          <w:b/>
          <w:sz w:val="20"/>
        </w:rPr>
        <w:t>la</w:t>
      </w:r>
      <w:r>
        <w:rPr>
          <w:b/>
          <w:spacing w:val="-6"/>
          <w:sz w:val="20"/>
        </w:rPr>
        <w:t> </w:t>
      </w:r>
      <w:r>
        <w:rPr>
          <w:b/>
          <w:sz w:val="20"/>
        </w:rPr>
        <w:t>colocación</w:t>
      </w:r>
      <w:r>
        <w:rPr>
          <w:b/>
          <w:spacing w:val="-4"/>
          <w:sz w:val="20"/>
        </w:rPr>
        <w:t> </w:t>
      </w:r>
      <w:r>
        <w:rPr>
          <w:b/>
          <w:sz w:val="20"/>
        </w:rPr>
        <w:t>de</w:t>
      </w:r>
      <w:r>
        <w:rPr>
          <w:b/>
          <w:spacing w:val="-6"/>
          <w:sz w:val="20"/>
        </w:rPr>
        <w:t> </w:t>
      </w:r>
      <w:r>
        <w:rPr>
          <w:b/>
          <w:sz w:val="20"/>
        </w:rPr>
        <w:t>plataformas propiamente dicha, el acondicionamiento de la zona adyacente que en cada caso fuera preciso.</w:t>
      </w:r>
    </w:p>
    <w:p>
      <w:pPr>
        <w:pStyle w:val="BodyText"/>
        <w:rPr>
          <w:b/>
          <w:sz w:val="20"/>
        </w:rPr>
      </w:pPr>
    </w:p>
    <w:p>
      <w:pPr>
        <w:pStyle w:val="BodyText"/>
        <w:spacing w:before="175"/>
        <w:rPr>
          <w:b/>
          <w:sz w:val="20"/>
        </w:rPr>
      </w:pPr>
    </w:p>
    <w:p>
      <w:pPr>
        <w:spacing w:before="0"/>
        <w:ind w:left="1284" w:right="0" w:firstLine="0"/>
        <w:jc w:val="left"/>
        <w:rPr>
          <w:i/>
          <w:sz w:val="20"/>
        </w:rPr>
      </w:pPr>
      <w:r>
        <w:rPr>
          <w:i/>
          <w:sz w:val="20"/>
        </w:rPr>
        <w:t>Grupo</w:t>
      </w:r>
      <w:r>
        <w:rPr>
          <w:i/>
          <w:spacing w:val="-5"/>
          <w:sz w:val="20"/>
        </w:rPr>
        <w:t> </w:t>
      </w:r>
      <w:r>
        <w:rPr>
          <w:i/>
          <w:sz w:val="20"/>
        </w:rPr>
        <w:t>6</w:t>
      </w:r>
      <w:r>
        <w:rPr>
          <w:i/>
          <w:spacing w:val="-5"/>
          <w:sz w:val="20"/>
        </w:rPr>
        <w:t> </w:t>
      </w:r>
      <w:r>
        <w:rPr>
          <w:i/>
          <w:sz w:val="20"/>
        </w:rPr>
        <w:t>de</w:t>
      </w:r>
      <w:r>
        <w:rPr>
          <w:i/>
          <w:spacing w:val="-5"/>
          <w:sz w:val="20"/>
        </w:rPr>
        <w:t> </w:t>
      </w:r>
      <w:r>
        <w:rPr>
          <w:i/>
          <w:spacing w:val="-7"/>
          <w:sz w:val="20"/>
        </w:rPr>
        <w:t>14</w:t>
      </w:r>
    </w:p>
    <w:p>
      <w:pPr>
        <w:pStyle w:val="BodyText"/>
        <w:spacing w:before="178"/>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7"/>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pacing w:val="-5"/>
          <w:sz w:val="20"/>
        </w:rPr>
        <w:t>72</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90"/>
        <w:ind w:left="1284" w:right="0" w:firstLine="0"/>
        <w:jc w:val="left"/>
        <w:rPr>
          <w:b/>
          <w:sz w:val="20"/>
        </w:rPr>
      </w:pPr>
      <w:r>
        <w:rPr>
          <w:b/>
          <w:spacing w:val="-10"/>
          <w:sz w:val="20"/>
        </w:rPr>
        <w:t>3</w:t>
      </w:r>
    </w:p>
    <w:p>
      <w:pPr>
        <w:pStyle w:val="BodyText"/>
        <w:spacing w:before="176"/>
        <w:rPr>
          <w:b/>
          <w:sz w:val="20"/>
        </w:rPr>
      </w:pPr>
    </w:p>
    <w:p>
      <w:pPr>
        <w:spacing w:before="0"/>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0" w:firstLine="0"/>
        <w:jc w:val="left"/>
        <w:rPr>
          <w:b/>
          <w:sz w:val="20"/>
        </w:rPr>
      </w:pPr>
      <w:r>
        <w:rPr>
          <w:b/>
          <w:sz w:val="20"/>
        </w:rPr>
        <w:t>En</w:t>
      </w:r>
      <w:r>
        <w:rPr>
          <w:b/>
          <w:spacing w:val="-6"/>
          <w:sz w:val="20"/>
        </w:rPr>
        <w:t> </w:t>
      </w:r>
      <w:r>
        <w:rPr>
          <w:b/>
          <w:sz w:val="20"/>
        </w:rPr>
        <w:t>la</w:t>
      </w:r>
      <w:r>
        <w:rPr>
          <w:b/>
          <w:spacing w:val="-6"/>
          <w:sz w:val="20"/>
        </w:rPr>
        <w:t> </w:t>
      </w:r>
      <w:r>
        <w:rPr>
          <w:b/>
          <w:sz w:val="20"/>
        </w:rPr>
        <w:t>página</w:t>
      </w:r>
      <w:r>
        <w:rPr>
          <w:b/>
          <w:spacing w:val="-6"/>
          <w:sz w:val="20"/>
        </w:rPr>
        <w:t> </w:t>
      </w:r>
      <w:r>
        <w:rPr>
          <w:b/>
          <w:sz w:val="20"/>
        </w:rPr>
        <w:t>72,</w:t>
      </w:r>
      <w:r>
        <w:rPr>
          <w:b/>
          <w:spacing w:val="-4"/>
          <w:sz w:val="20"/>
        </w:rPr>
        <w:t> </w:t>
      </w:r>
      <w:r>
        <w:rPr>
          <w:b/>
          <w:sz w:val="20"/>
        </w:rPr>
        <w:t>apartado</w:t>
      </w:r>
      <w:r>
        <w:rPr>
          <w:b/>
          <w:spacing w:val="-4"/>
          <w:sz w:val="20"/>
        </w:rPr>
        <w:t> </w:t>
      </w:r>
      <w:r>
        <w:rPr>
          <w:b/>
          <w:sz w:val="20"/>
        </w:rPr>
        <w:t>II.3.2.4,</w:t>
      </w:r>
      <w:r>
        <w:rPr>
          <w:b/>
          <w:spacing w:val="-6"/>
          <w:sz w:val="20"/>
        </w:rPr>
        <w:t> </w:t>
      </w:r>
      <w:r>
        <w:rPr>
          <w:b/>
          <w:sz w:val="20"/>
        </w:rPr>
        <w:t>no</w:t>
      </w:r>
      <w:r>
        <w:rPr>
          <w:b/>
          <w:spacing w:val="-5"/>
          <w:sz w:val="20"/>
        </w:rPr>
        <w:t> </w:t>
      </w:r>
      <w:r>
        <w:rPr>
          <w:b/>
          <w:sz w:val="20"/>
        </w:rPr>
        <w:t>se</w:t>
      </w:r>
      <w:r>
        <w:rPr>
          <w:b/>
          <w:spacing w:val="-6"/>
          <w:sz w:val="20"/>
        </w:rPr>
        <w:t> </w:t>
      </w:r>
      <w:r>
        <w:rPr>
          <w:b/>
          <w:sz w:val="20"/>
        </w:rPr>
        <w:t>menciona</w:t>
      </w:r>
      <w:r>
        <w:rPr>
          <w:b/>
          <w:spacing w:val="-6"/>
          <w:sz w:val="20"/>
        </w:rPr>
        <w:t> </w:t>
      </w:r>
      <w:r>
        <w:rPr>
          <w:b/>
          <w:sz w:val="20"/>
        </w:rPr>
        <w:t>a</w:t>
      </w:r>
      <w:r>
        <w:rPr>
          <w:b/>
          <w:spacing w:val="-6"/>
          <w:sz w:val="20"/>
        </w:rPr>
        <w:t> </w:t>
      </w:r>
      <w:r>
        <w:rPr>
          <w:b/>
          <w:sz w:val="20"/>
        </w:rPr>
        <w:t>Zaragoza</w:t>
      </w:r>
      <w:r>
        <w:rPr>
          <w:b/>
          <w:spacing w:val="-4"/>
          <w:sz w:val="20"/>
        </w:rPr>
        <w:t> </w:t>
      </w:r>
      <w:r>
        <w:rPr>
          <w:b/>
          <w:sz w:val="20"/>
        </w:rPr>
        <w:t>como</w:t>
      </w:r>
      <w:r>
        <w:rPr>
          <w:b/>
          <w:spacing w:val="-5"/>
          <w:sz w:val="20"/>
        </w:rPr>
        <w:t> </w:t>
      </w:r>
      <w:r>
        <w:rPr>
          <w:b/>
          <w:sz w:val="20"/>
        </w:rPr>
        <w:t>uno</w:t>
      </w:r>
      <w:r>
        <w:rPr>
          <w:b/>
          <w:spacing w:val="-6"/>
          <w:sz w:val="20"/>
        </w:rPr>
        <w:t> </w:t>
      </w:r>
      <w:r>
        <w:rPr>
          <w:b/>
          <w:sz w:val="20"/>
        </w:rPr>
        <w:t>de</w:t>
      </w:r>
      <w:r>
        <w:rPr>
          <w:b/>
          <w:spacing w:val="-6"/>
          <w:sz w:val="20"/>
        </w:rPr>
        <w:t> </w:t>
      </w:r>
      <w:r>
        <w:rPr>
          <w:b/>
          <w:sz w:val="20"/>
        </w:rPr>
        <w:t>los</w:t>
      </w:r>
      <w:r>
        <w:rPr>
          <w:b/>
          <w:spacing w:val="-3"/>
          <w:sz w:val="20"/>
        </w:rPr>
        <w:t> </w:t>
      </w:r>
      <w:r>
        <w:rPr>
          <w:b/>
          <w:sz w:val="20"/>
        </w:rPr>
        <w:t>ayuntamientos</w:t>
      </w:r>
      <w:r>
        <w:rPr>
          <w:b/>
          <w:spacing w:val="-6"/>
          <w:sz w:val="20"/>
        </w:rPr>
        <w:t> </w:t>
      </w:r>
      <w:r>
        <w:rPr>
          <w:b/>
          <w:sz w:val="20"/>
        </w:rPr>
        <w:t>que</w:t>
      </w:r>
      <w:r>
        <w:rPr>
          <w:b/>
          <w:spacing w:val="-6"/>
          <w:sz w:val="20"/>
        </w:rPr>
        <w:t> </w:t>
      </w:r>
      <w:r>
        <w:rPr>
          <w:b/>
          <w:sz w:val="20"/>
        </w:rPr>
        <w:t>han realizado actuaciones de información y difusión del transporte colectivo sostenible.</w:t>
      </w:r>
    </w:p>
    <w:p>
      <w:pPr>
        <w:pStyle w:val="BodyText"/>
        <w:spacing w:before="90"/>
        <w:rPr>
          <w:b/>
          <w:sz w:val="20"/>
        </w:rPr>
      </w:pPr>
    </w:p>
    <w:p>
      <w:pPr>
        <w:spacing w:before="0"/>
        <w:ind w:left="1284" w:right="0" w:firstLine="0"/>
        <w:jc w:val="left"/>
        <w:rPr>
          <w:sz w:val="20"/>
        </w:rPr>
      </w:pPr>
      <w:r>
        <w:rPr>
          <w:spacing w:val="-2"/>
          <w:sz w:val="20"/>
        </w:rPr>
        <w:t>Alegación:</w:t>
      </w:r>
    </w:p>
    <w:p>
      <w:pPr>
        <w:spacing w:line="331" w:lineRule="auto" w:before="90"/>
        <w:ind w:left="1284" w:right="907" w:firstLine="0"/>
        <w:jc w:val="left"/>
        <w:rPr>
          <w:b/>
          <w:sz w:val="20"/>
        </w:rPr>
      </w:pPr>
      <w:r>
        <w:rPr>
          <w:b/>
          <w:sz w:val="20"/>
        </w:rPr>
        <mc:AlternateContent>
          <mc:Choice Requires="wps">
            <w:drawing>
              <wp:anchor distT="0" distB="0" distL="0" distR="0" allowOverlap="1" layoutInCell="1" locked="0" behindDoc="0" simplePos="0" relativeHeight="15965184">
                <wp:simplePos x="0" y="0"/>
                <wp:positionH relativeFrom="page">
                  <wp:posOffset>244784</wp:posOffset>
                </wp:positionH>
                <wp:positionV relativeFrom="paragraph">
                  <wp:posOffset>367261</wp:posOffset>
                </wp:positionV>
                <wp:extent cx="251460" cy="2155190"/>
                <wp:effectExtent l="0" t="0" r="0" b="0"/>
                <wp:wrapNone/>
                <wp:docPr id="2227" name="Textbox 2227"/>
                <wp:cNvGraphicFramePr>
                  <a:graphicFrameLocks/>
                </wp:cNvGraphicFramePr>
                <a:graphic>
                  <a:graphicData uri="http://schemas.microsoft.com/office/word/2010/wordprocessingShape">
                    <wps:wsp>
                      <wps:cNvPr id="2227" name="Textbox 2227"/>
                      <wps:cNvSpPr txBox="1"/>
                      <wps:spPr>
                        <a:xfrm>
                          <a:off x="0" y="0"/>
                          <a:ext cx="251460" cy="2155190"/>
                        </a:xfrm>
                        <a:prstGeom prst="rect">
                          <a:avLst/>
                        </a:prstGeom>
                      </wps:spPr>
                      <wps:txbx>
                        <w:txbxContent>
                          <w:p>
                            <w:pPr>
                              <w:spacing w:line="181" w:lineRule="exact"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p>
                            <w:pPr>
                              <w:spacing w:line="181" w:lineRule="exact" w:before="0"/>
                              <w:ind w:left="356" w:right="0" w:firstLine="0"/>
                              <w:jc w:val="center"/>
                              <w:rPr>
                                <w:sz w:val="16"/>
                              </w:rPr>
                            </w:pPr>
                            <w:r>
                              <w:rPr>
                                <w:spacing w:val="-10"/>
                                <w:sz w:val="16"/>
                              </w:rPr>
                              <w:t>Z</w:t>
                            </w:r>
                          </w:p>
                        </w:txbxContent>
                      </wps:txbx>
                      <wps:bodyPr wrap="square" lIns="0" tIns="0" rIns="0" bIns="0" rtlCol="0" vert="vert270">
                        <a:noAutofit/>
                      </wps:bodyPr>
                    </wps:wsp>
                  </a:graphicData>
                </a:graphic>
              </wp:anchor>
            </w:drawing>
          </mc:Choice>
          <mc:Fallback>
            <w:pict>
              <v:shape style="position:absolute;margin-left:19.274403pt;margin-top:28.918196pt;width:19.8pt;height:169.7pt;mso-position-horizontal-relative:page;mso-position-vertical-relative:paragraph;z-index:15965184" type="#_x0000_t202" id="docshape1609" filled="false" stroked="false">
                <v:textbox inset="0,0,0,0" style="layout-flow:vertical;mso-layout-flow-alt:bottom-to-top">
                  <w:txbxContent>
                    <w:p>
                      <w:pPr>
                        <w:spacing w:line="181" w:lineRule="exact"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p>
                      <w:pPr>
                        <w:spacing w:line="181" w:lineRule="exact" w:before="0"/>
                        <w:ind w:left="356" w:right="0" w:firstLine="0"/>
                        <w:jc w:val="center"/>
                        <w:rPr>
                          <w:sz w:val="16"/>
                        </w:rPr>
                      </w:pPr>
                      <w:r>
                        <w:rPr>
                          <w:spacing w:val="-10"/>
                          <w:sz w:val="16"/>
                        </w:rPr>
                        <w:t>Z</w:t>
                      </w:r>
                    </w:p>
                  </w:txbxContent>
                </v:textbox>
                <w10:wrap type="none"/>
              </v:shape>
            </w:pict>
          </mc:Fallback>
        </mc:AlternateContent>
      </w:r>
      <w:r>
        <w:rPr>
          <w:b/>
          <w:sz w:val="20"/>
        </w:rPr>
        <w:t>Debe</w:t>
      </w:r>
      <w:r>
        <w:rPr>
          <w:b/>
          <w:spacing w:val="-4"/>
          <w:sz w:val="20"/>
        </w:rPr>
        <w:t> </w:t>
      </w:r>
      <w:r>
        <w:rPr>
          <w:b/>
          <w:sz w:val="20"/>
        </w:rPr>
        <w:t>al</w:t>
      </w:r>
      <w:r>
        <w:rPr>
          <w:b/>
          <w:spacing w:val="-6"/>
          <w:sz w:val="20"/>
        </w:rPr>
        <w:t> </w:t>
      </w:r>
      <w:r>
        <w:rPr>
          <w:b/>
          <w:sz w:val="20"/>
        </w:rPr>
        <w:t>respecto</w:t>
      </w:r>
      <w:r>
        <w:rPr>
          <w:b/>
          <w:spacing w:val="-8"/>
          <w:sz w:val="20"/>
        </w:rPr>
        <w:t> </w:t>
      </w:r>
      <w:r>
        <w:rPr>
          <w:b/>
          <w:sz w:val="20"/>
        </w:rPr>
        <w:t>recordarse</w:t>
      </w:r>
      <w:r>
        <w:rPr>
          <w:b/>
          <w:spacing w:val="-6"/>
          <w:sz w:val="20"/>
        </w:rPr>
        <w:t> </w:t>
      </w:r>
      <w:r>
        <w:rPr>
          <w:b/>
          <w:sz w:val="20"/>
        </w:rPr>
        <w:t>que</w:t>
      </w:r>
      <w:r>
        <w:rPr>
          <w:b/>
          <w:spacing w:val="-4"/>
          <w:sz w:val="20"/>
        </w:rPr>
        <w:t> </w:t>
      </w:r>
      <w:r>
        <w:rPr>
          <w:b/>
          <w:sz w:val="20"/>
        </w:rPr>
        <w:t>desde</w:t>
      </w:r>
      <w:r>
        <w:rPr>
          <w:b/>
          <w:spacing w:val="-6"/>
          <w:sz w:val="20"/>
        </w:rPr>
        <w:t> </w:t>
      </w:r>
      <w:r>
        <w:rPr>
          <w:b/>
          <w:sz w:val="20"/>
        </w:rPr>
        <w:t>este</w:t>
      </w:r>
      <w:r>
        <w:rPr>
          <w:b/>
          <w:spacing w:val="-6"/>
          <w:sz w:val="20"/>
        </w:rPr>
        <w:t> </w:t>
      </w:r>
      <w:r>
        <w:rPr>
          <w:b/>
          <w:sz w:val="20"/>
        </w:rPr>
        <w:t>ayuntamiento</w:t>
      </w:r>
      <w:r>
        <w:rPr>
          <w:b/>
          <w:spacing w:val="-5"/>
          <w:sz w:val="20"/>
        </w:rPr>
        <w:t> </w:t>
      </w:r>
      <w:r>
        <w:rPr>
          <w:b/>
          <w:sz w:val="20"/>
        </w:rPr>
        <w:t>se</w:t>
      </w:r>
      <w:r>
        <w:rPr>
          <w:b/>
          <w:spacing w:val="-6"/>
          <w:sz w:val="20"/>
        </w:rPr>
        <w:t> </w:t>
      </w:r>
      <w:r>
        <w:rPr>
          <w:b/>
          <w:sz w:val="20"/>
        </w:rPr>
        <w:t>han</w:t>
      </w:r>
      <w:r>
        <w:rPr>
          <w:b/>
          <w:spacing w:val="-8"/>
          <w:sz w:val="20"/>
        </w:rPr>
        <w:t> </w:t>
      </w:r>
      <w:r>
        <w:rPr>
          <w:b/>
          <w:sz w:val="20"/>
        </w:rPr>
        <w:t>efectuado</w:t>
      </w:r>
      <w:r>
        <w:rPr>
          <w:b/>
          <w:spacing w:val="-6"/>
          <w:sz w:val="20"/>
        </w:rPr>
        <w:t> </w:t>
      </w:r>
      <w:r>
        <w:rPr>
          <w:b/>
          <w:sz w:val="20"/>
        </w:rPr>
        <w:t>las</w:t>
      </w:r>
      <w:r>
        <w:rPr>
          <w:b/>
          <w:spacing w:val="-6"/>
          <w:sz w:val="20"/>
        </w:rPr>
        <w:t> </w:t>
      </w:r>
      <w:r>
        <w:rPr>
          <w:b/>
          <w:sz w:val="20"/>
        </w:rPr>
        <w:t>campañas</w:t>
      </w:r>
      <w:r>
        <w:rPr>
          <w:b/>
          <w:spacing w:val="-6"/>
          <w:sz w:val="20"/>
        </w:rPr>
        <w:t> </w:t>
      </w:r>
      <w:r>
        <w:rPr>
          <w:b/>
          <w:sz w:val="20"/>
        </w:rPr>
        <w:t>que</w:t>
      </w:r>
      <w:r>
        <w:rPr>
          <w:b/>
          <w:spacing w:val="-6"/>
          <w:sz w:val="20"/>
        </w:rPr>
        <w:t> </w:t>
      </w:r>
      <w:r>
        <w:rPr>
          <w:b/>
          <w:sz w:val="20"/>
        </w:rPr>
        <w:t>se relacionan en el documento anexo.</w:t>
      </w:r>
    </w:p>
    <w:p>
      <w:pPr>
        <w:pStyle w:val="BodyText"/>
        <w:spacing w:before="90"/>
        <w:rPr>
          <w:b/>
          <w:sz w:val="20"/>
        </w:rPr>
      </w:pPr>
    </w:p>
    <w:p>
      <w:pPr>
        <w:spacing w:before="0"/>
        <w:ind w:left="1284" w:right="0" w:firstLine="0"/>
        <w:jc w:val="left"/>
        <w:rPr>
          <w:sz w:val="20"/>
        </w:rPr>
      </w:pPr>
      <w:r>
        <w:rPr>
          <w:sz w:val="20"/>
        </w:rPr>
        <w:t>Documentos</w:t>
      </w:r>
      <w:r>
        <w:rPr>
          <w:spacing w:val="-14"/>
          <w:sz w:val="20"/>
        </w:rPr>
        <w:t> </w:t>
      </w:r>
      <w:r>
        <w:rPr>
          <w:sz w:val="20"/>
        </w:rPr>
        <w:t>(descripción</w:t>
      </w:r>
      <w:r>
        <w:rPr>
          <w:spacing w:val="-13"/>
          <w:sz w:val="20"/>
        </w:rPr>
        <w:t> </w:t>
      </w:r>
      <w:r>
        <w:rPr>
          <w:sz w:val="20"/>
        </w:rPr>
        <w:t>de</w:t>
      </w:r>
      <w:r>
        <w:rPr>
          <w:spacing w:val="-11"/>
          <w:sz w:val="20"/>
        </w:rPr>
        <w:t> </w:t>
      </w:r>
      <w:r>
        <w:rPr>
          <w:sz w:val="20"/>
        </w:rPr>
        <w:t>los</w:t>
      </w:r>
      <w:r>
        <w:rPr>
          <w:spacing w:val="-11"/>
          <w:sz w:val="20"/>
        </w:rPr>
        <w:t> </w:t>
      </w:r>
      <w:r>
        <w:rPr>
          <w:sz w:val="20"/>
        </w:rPr>
        <w:t>documentos</w:t>
      </w:r>
      <w:r>
        <w:rPr>
          <w:spacing w:val="-14"/>
          <w:sz w:val="20"/>
        </w:rPr>
        <w:t> </w:t>
      </w:r>
      <w:r>
        <w:rPr>
          <w:spacing w:val="-2"/>
          <w:sz w:val="20"/>
        </w:rPr>
        <w:t>aportados):</w:t>
      </w:r>
    </w:p>
    <w:p>
      <w:pPr>
        <w:spacing w:before="87"/>
        <w:ind w:left="1284" w:right="0" w:firstLine="0"/>
        <w:jc w:val="left"/>
        <w:rPr>
          <w:b/>
          <w:sz w:val="20"/>
        </w:rPr>
      </w:pPr>
      <w:r>
        <w:rPr>
          <w:b/>
          <w:sz w:val="20"/>
        </w:rPr>
        <w:t>Campañas</w:t>
      </w:r>
      <w:r>
        <w:rPr>
          <w:b/>
          <w:spacing w:val="-14"/>
          <w:sz w:val="20"/>
        </w:rPr>
        <w:t> </w:t>
      </w:r>
      <w:r>
        <w:rPr>
          <w:b/>
          <w:sz w:val="20"/>
        </w:rPr>
        <w:t>difusión</w:t>
      </w:r>
      <w:r>
        <w:rPr>
          <w:b/>
          <w:spacing w:val="-13"/>
          <w:sz w:val="20"/>
        </w:rPr>
        <w:t> </w:t>
      </w:r>
      <w:r>
        <w:rPr>
          <w:b/>
          <w:spacing w:val="-2"/>
          <w:sz w:val="20"/>
        </w:rPr>
        <w:t>transporte</w:t>
      </w:r>
    </w:p>
    <w:p>
      <w:pPr>
        <w:pStyle w:val="BodyText"/>
        <w:spacing w:before="178"/>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65696">
                <wp:simplePos x="0" y="0"/>
                <wp:positionH relativeFrom="page">
                  <wp:posOffset>344030</wp:posOffset>
                </wp:positionH>
                <wp:positionV relativeFrom="paragraph">
                  <wp:posOffset>79776</wp:posOffset>
                </wp:positionV>
                <wp:extent cx="163830" cy="2949575"/>
                <wp:effectExtent l="0" t="0" r="0" b="0"/>
                <wp:wrapNone/>
                <wp:docPr id="2228" name="Graphic 2228"/>
                <wp:cNvGraphicFramePr>
                  <a:graphicFrameLocks/>
                </wp:cNvGraphicFramePr>
                <a:graphic>
                  <a:graphicData uri="http://schemas.microsoft.com/office/word/2010/wordprocessingShape">
                    <wps:wsp>
                      <wps:cNvPr id="2228" name="Graphic 2228"/>
                      <wps:cNvSpPr/>
                      <wps:spPr>
                        <a:xfrm>
                          <a:off x="0" y="0"/>
                          <a:ext cx="163830" cy="2949575"/>
                        </a:xfrm>
                        <a:custGeom>
                          <a:avLst/>
                          <a:gdLst/>
                          <a:ahLst/>
                          <a:cxnLst/>
                          <a:rect l="l" t="t" r="r" b="b"/>
                          <a:pathLst>
                            <a:path w="163830" h="2949575">
                              <a:moveTo>
                                <a:pt x="163258" y="0"/>
                              </a:moveTo>
                              <a:lnTo>
                                <a:pt x="0" y="0"/>
                              </a:lnTo>
                              <a:lnTo>
                                <a:pt x="0" y="2949028"/>
                              </a:lnTo>
                              <a:lnTo>
                                <a:pt x="163258" y="2949028"/>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6.281593pt;width:12.855pt;height:232.207pt;mso-position-horizontal-relative:page;mso-position-vertical-relative:paragraph;z-index:15965696" id="docshape1610" filled="true" fillcolor="#000000" stroked="false">
                <v:fill type="solid"/>
                <w10:wrap type="none"/>
              </v:rect>
            </w:pict>
          </mc:Fallback>
        </mc:AlternateContent>
      </w:r>
      <w:r>
        <w:rPr>
          <w:spacing w:val="-2"/>
          <w:sz w:val="20"/>
        </w:rPr>
        <w:t>Documentos:</w:t>
      </w:r>
    </w:p>
    <w:p>
      <w:pPr>
        <w:spacing w:before="89"/>
        <w:ind w:left="1284" w:right="0" w:firstLine="0"/>
        <w:jc w:val="left"/>
        <w:rPr>
          <w:b/>
          <w:sz w:val="20"/>
        </w:rPr>
      </w:pPr>
      <w:r>
        <w:rPr>
          <w:b/>
          <w:sz w:val="20"/>
        </w:rPr>
        <mc:AlternateContent>
          <mc:Choice Requires="wps">
            <w:drawing>
              <wp:anchor distT="0" distB="0" distL="0" distR="0" allowOverlap="1" layoutInCell="1" locked="0" behindDoc="0" simplePos="0" relativeHeight="15964160">
                <wp:simplePos x="0" y="0"/>
                <wp:positionH relativeFrom="page">
                  <wp:posOffset>130383</wp:posOffset>
                </wp:positionH>
                <wp:positionV relativeFrom="paragraph">
                  <wp:posOffset>192776</wp:posOffset>
                </wp:positionV>
                <wp:extent cx="138430" cy="2952750"/>
                <wp:effectExtent l="0" t="0" r="0" b="0"/>
                <wp:wrapNone/>
                <wp:docPr id="2229" name="Textbox 2229"/>
                <wp:cNvGraphicFramePr>
                  <a:graphicFrameLocks/>
                </wp:cNvGraphicFramePr>
                <a:graphic>
                  <a:graphicData uri="http://schemas.microsoft.com/office/word/2010/wordprocessingShape">
                    <wps:wsp>
                      <wps:cNvPr id="2229" name="Textbox 2229"/>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5.179261pt;width:10.9pt;height:232.5pt;mso-position-horizontal-relative:page;mso-position-vertical-relative:paragraph;z-index:15964160" type="#_x0000_t202" id="docshape1611"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pacing w:val="-2"/>
          <w:sz w:val="20"/>
        </w:rPr>
        <w:t>Nombre:</w:t>
      </w:r>
      <w:r>
        <w:rPr>
          <w:b/>
          <w:spacing w:val="1"/>
          <w:sz w:val="20"/>
        </w:rPr>
        <w:t> </w:t>
      </w:r>
      <w:r>
        <w:rPr>
          <w:b/>
          <w:spacing w:val="-2"/>
          <w:sz w:val="20"/>
        </w:rPr>
        <w:t>Campanas</w:t>
      </w:r>
      <w:r>
        <w:rPr>
          <w:b/>
          <w:spacing w:val="1"/>
          <w:sz w:val="20"/>
        </w:rPr>
        <w:t> </w:t>
      </w:r>
      <w:r>
        <w:rPr>
          <w:b/>
          <w:spacing w:val="-2"/>
          <w:sz w:val="20"/>
        </w:rPr>
        <w:t>difusion</w:t>
      </w:r>
      <w:r>
        <w:rPr>
          <w:b/>
          <w:spacing w:val="2"/>
          <w:sz w:val="20"/>
        </w:rPr>
        <w:t> </w:t>
      </w:r>
      <w:r>
        <w:rPr>
          <w:b/>
          <w:spacing w:val="-2"/>
          <w:sz w:val="20"/>
        </w:rPr>
        <w:t>transporte.odt,</w:t>
      </w:r>
      <w:r>
        <w:rPr>
          <w:b/>
          <w:spacing w:val="1"/>
          <w:sz w:val="20"/>
        </w:rPr>
        <w:t> </w:t>
      </w:r>
      <w:r>
        <w:rPr>
          <w:b/>
          <w:spacing w:val="-2"/>
          <w:sz w:val="20"/>
        </w:rPr>
        <w:t>Hash:</w:t>
      </w:r>
      <w:r>
        <w:rPr>
          <w:b/>
          <w:spacing w:val="3"/>
          <w:sz w:val="20"/>
        </w:rPr>
        <w:t> </w:t>
      </w:r>
      <w:r>
        <w:rPr>
          <w:b/>
          <w:spacing w:val="-2"/>
          <w:sz w:val="20"/>
        </w:rPr>
        <w:t>KZKgfiWA2+AOWapNBH+hGw==</w:t>
      </w:r>
    </w:p>
    <w:p>
      <w:pPr>
        <w:pStyle w:val="BodyText"/>
        <w:spacing w:before="176"/>
        <w:rPr>
          <w:b/>
          <w:sz w:val="20"/>
        </w:rPr>
      </w:pPr>
    </w:p>
    <w:p>
      <w:pPr>
        <w:spacing w:before="0"/>
        <w:ind w:left="1284" w:right="0" w:firstLine="0"/>
        <w:jc w:val="left"/>
        <w:rPr>
          <w:i/>
          <w:sz w:val="20"/>
        </w:rPr>
      </w:pPr>
      <w:r>
        <w:rPr>
          <w:i/>
          <w:sz w:val="20"/>
        </w:rPr>
        <w:t>Grupo</w:t>
      </w:r>
      <w:r>
        <w:rPr>
          <w:i/>
          <w:spacing w:val="-5"/>
          <w:sz w:val="20"/>
        </w:rPr>
        <w:t> </w:t>
      </w:r>
      <w:r>
        <w:rPr>
          <w:i/>
          <w:sz w:val="20"/>
        </w:rPr>
        <w:t>7</w:t>
      </w:r>
      <w:r>
        <w:rPr>
          <w:i/>
          <w:spacing w:val="-5"/>
          <w:sz w:val="20"/>
        </w:rPr>
        <w:t> </w:t>
      </w:r>
      <w:r>
        <w:rPr>
          <w:i/>
          <w:sz w:val="20"/>
        </w:rPr>
        <w:t>de</w:t>
      </w:r>
      <w:r>
        <w:rPr>
          <w:i/>
          <w:spacing w:val="-5"/>
          <w:sz w:val="20"/>
        </w:rPr>
        <w:t> </w:t>
      </w:r>
      <w:r>
        <w:rPr>
          <w:i/>
          <w:spacing w:val="-7"/>
          <w:sz w:val="20"/>
        </w:rPr>
        <w:t>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90"/>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64672">
                <wp:simplePos x="0" y="0"/>
                <wp:positionH relativeFrom="page">
                  <wp:posOffset>244784</wp:posOffset>
                </wp:positionH>
                <wp:positionV relativeFrom="paragraph">
                  <wp:posOffset>-71236</wp:posOffset>
                </wp:positionV>
                <wp:extent cx="251460" cy="1744345"/>
                <wp:effectExtent l="0" t="0" r="0" b="0"/>
                <wp:wrapNone/>
                <wp:docPr id="2230" name="Textbox 2230"/>
                <wp:cNvGraphicFramePr>
                  <a:graphicFrameLocks/>
                </wp:cNvGraphicFramePr>
                <a:graphic>
                  <a:graphicData uri="http://schemas.microsoft.com/office/word/2010/wordprocessingShape">
                    <wps:wsp>
                      <wps:cNvPr id="2230" name="Textbox 2230"/>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5.609137pt;width:19.8pt;height:137.35pt;mso-position-horizontal-relative:page;mso-position-vertical-relative:paragraph;z-index:15964672" type="#_x0000_t202" id="docshape1612"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pacing w:val="-5"/>
          <w:sz w:val="20"/>
        </w:rPr>
        <w:t>89</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pacing w:val="-10"/>
          <w:sz w:val="20"/>
        </w:rPr>
        <w:t>5</w:t>
      </w:r>
    </w:p>
    <w:p>
      <w:pPr>
        <w:pStyle w:val="BodyText"/>
        <w:spacing w:before="178"/>
        <w:rPr>
          <w:b/>
          <w:sz w:val="20"/>
        </w:rPr>
      </w:pPr>
    </w:p>
    <w:p>
      <w:pPr>
        <w:spacing w:before="1"/>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0" w:firstLine="0"/>
        <w:jc w:val="left"/>
        <w:rPr>
          <w:b/>
          <w:sz w:val="20"/>
        </w:rPr>
      </w:pPr>
      <w:r>
        <w:rPr>
          <w:b/>
          <w:sz w:val="20"/>
        </w:rPr>
        <w:t>En</w:t>
      </w:r>
      <w:r>
        <w:rPr>
          <w:b/>
          <w:spacing w:val="-6"/>
          <w:sz w:val="20"/>
        </w:rPr>
        <w:t> </w:t>
      </w:r>
      <w:r>
        <w:rPr>
          <w:b/>
          <w:sz w:val="20"/>
        </w:rPr>
        <w:t>la</w:t>
      </w:r>
      <w:r>
        <w:rPr>
          <w:b/>
          <w:spacing w:val="-6"/>
          <w:sz w:val="20"/>
        </w:rPr>
        <w:t> </w:t>
      </w:r>
      <w:r>
        <w:rPr>
          <w:b/>
          <w:sz w:val="20"/>
        </w:rPr>
        <w:t>página</w:t>
      </w:r>
      <w:r>
        <w:rPr>
          <w:b/>
          <w:spacing w:val="-6"/>
          <w:sz w:val="20"/>
        </w:rPr>
        <w:t> </w:t>
      </w:r>
      <w:r>
        <w:rPr>
          <w:b/>
          <w:sz w:val="20"/>
        </w:rPr>
        <w:t>89,</w:t>
      </w:r>
      <w:r>
        <w:rPr>
          <w:b/>
          <w:spacing w:val="-4"/>
          <w:sz w:val="20"/>
        </w:rPr>
        <w:t> </w:t>
      </w:r>
      <w:r>
        <w:rPr>
          <w:b/>
          <w:sz w:val="20"/>
        </w:rPr>
        <w:t>apartado</w:t>
      </w:r>
      <w:r>
        <w:rPr>
          <w:b/>
          <w:spacing w:val="-4"/>
          <w:sz w:val="20"/>
        </w:rPr>
        <w:t> </w:t>
      </w:r>
      <w:r>
        <w:rPr>
          <w:b/>
          <w:sz w:val="20"/>
        </w:rPr>
        <w:t>II.6.1.2,</w:t>
      </w:r>
      <w:r>
        <w:rPr>
          <w:b/>
          <w:spacing w:val="-6"/>
          <w:sz w:val="20"/>
        </w:rPr>
        <w:t> </w:t>
      </w:r>
      <w:r>
        <w:rPr>
          <w:b/>
          <w:sz w:val="20"/>
        </w:rPr>
        <w:t>no</w:t>
      </w:r>
      <w:r>
        <w:rPr>
          <w:b/>
          <w:spacing w:val="-5"/>
          <w:sz w:val="20"/>
        </w:rPr>
        <w:t> </w:t>
      </w:r>
      <w:r>
        <w:rPr>
          <w:b/>
          <w:sz w:val="20"/>
        </w:rPr>
        <w:t>se</w:t>
      </w:r>
      <w:r>
        <w:rPr>
          <w:b/>
          <w:spacing w:val="-6"/>
          <w:sz w:val="20"/>
        </w:rPr>
        <w:t> </w:t>
      </w:r>
      <w:r>
        <w:rPr>
          <w:b/>
          <w:sz w:val="20"/>
        </w:rPr>
        <w:t>menciona</w:t>
      </w:r>
      <w:r>
        <w:rPr>
          <w:b/>
          <w:spacing w:val="-6"/>
          <w:sz w:val="20"/>
        </w:rPr>
        <w:t> </w:t>
      </w:r>
      <w:r>
        <w:rPr>
          <w:b/>
          <w:sz w:val="20"/>
        </w:rPr>
        <w:t>a</w:t>
      </w:r>
      <w:r>
        <w:rPr>
          <w:b/>
          <w:spacing w:val="-6"/>
          <w:sz w:val="20"/>
        </w:rPr>
        <w:t> </w:t>
      </w:r>
      <w:r>
        <w:rPr>
          <w:b/>
          <w:sz w:val="20"/>
        </w:rPr>
        <w:t>Zaragoza</w:t>
      </w:r>
      <w:r>
        <w:rPr>
          <w:b/>
          <w:spacing w:val="-4"/>
          <w:sz w:val="20"/>
        </w:rPr>
        <w:t> </w:t>
      </w:r>
      <w:r>
        <w:rPr>
          <w:b/>
          <w:sz w:val="20"/>
        </w:rPr>
        <w:t>como</w:t>
      </w:r>
      <w:r>
        <w:rPr>
          <w:b/>
          <w:spacing w:val="-5"/>
          <w:sz w:val="20"/>
        </w:rPr>
        <w:t> </w:t>
      </w:r>
      <w:r>
        <w:rPr>
          <w:b/>
          <w:sz w:val="20"/>
        </w:rPr>
        <w:t>uno</w:t>
      </w:r>
      <w:r>
        <w:rPr>
          <w:b/>
          <w:spacing w:val="-6"/>
          <w:sz w:val="20"/>
        </w:rPr>
        <w:t> </w:t>
      </w:r>
      <w:r>
        <w:rPr>
          <w:b/>
          <w:sz w:val="20"/>
        </w:rPr>
        <w:t>de</w:t>
      </w:r>
      <w:r>
        <w:rPr>
          <w:b/>
          <w:spacing w:val="-6"/>
          <w:sz w:val="20"/>
        </w:rPr>
        <w:t> </w:t>
      </w:r>
      <w:r>
        <w:rPr>
          <w:b/>
          <w:sz w:val="20"/>
        </w:rPr>
        <w:t>los</w:t>
      </w:r>
      <w:r>
        <w:rPr>
          <w:b/>
          <w:spacing w:val="-3"/>
          <w:sz w:val="20"/>
        </w:rPr>
        <w:t> </w:t>
      </w:r>
      <w:r>
        <w:rPr>
          <w:b/>
          <w:sz w:val="20"/>
        </w:rPr>
        <w:t>ayuntamientos</w:t>
      </w:r>
      <w:r>
        <w:rPr>
          <w:b/>
          <w:spacing w:val="-6"/>
          <w:sz w:val="20"/>
        </w:rPr>
        <w:t> </w:t>
      </w:r>
      <w:r>
        <w:rPr>
          <w:b/>
          <w:sz w:val="20"/>
        </w:rPr>
        <w:t>que</w:t>
      </w:r>
      <w:r>
        <w:rPr>
          <w:b/>
          <w:spacing w:val="-6"/>
          <w:sz w:val="20"/>
        </w:rPr>
        <w:t> </w:t>
      </w:r>
      <w:r>
        <w:rPr>
          <w:b/>
          <w:sz w:val="20"/>
        </w:rPr>
        <w:t>han introducido en enfoque de género en el ámbito de la movilidad urbana.</w:t>
      </w:r>
    </w:p>
    <w:p>
      <w:pPr>
        <w:pStyle w:val="BodyText"/>
        <w:spacing w:before="90"/>
        <w:rPr>
          <w:b/>
          <w:sz w:val="20"/>
        </w:rPr>
      </w:pPr>
    </w:p>
    <w:p>
      <w:pPr>
        <w:spacing w:before="0"/>
        <w:ind w:left="1284" w:right="0" w:firstLine="0"/>
        <w:jc w:val="left"/>
        <w:rPr>
          <w:sz w:val="20"/>
        </w:rPr>
      </w:pPr>
      <w:r>
        <w:rPr>
          <w:spacing w:val="-2"/>
          <w:sz w:val="20"/>
        </w:rPr>
        <w:t>Alegación:</w:t>
      </w:r>
    </w:p>
    <w:p>
      <w:pPr>
        <w:spacing w:after="0"/>
        <w:jc w:val="left"/>
        <w:rPr>
          <w:sz w:val="20"/>
        </w:rPr>
        <w:sectPr>
          <w:pgSz w:w="11910" w:h="16840"/>
          <w:pgMar w:header="314" w:footer="551" w:top="1240" w:bottom="740" w:left="141" w:right="141"/>
        </w:sectPr>
      </w:pPr>
    </w:p>
    <w:p>
      <w:pPr>
        <w:pStyle w:val="BodyText"/>
        <w:rPr>
          <w:sz w:val="20"/>
        </w:rPr>
      </w:pPr>
    </w:p>
    <w:p>
      <w:pPr>
        <w:pStyle w:val="BodyText"/>
        <w:spacing w:before="59"/>
        <w:rPr>
          <w:sz w:val="20"/>
        </w:rPr>
      </w:pPr>
    </w:p>
    <w:p>
      <w:pPr>
        <w:spacing w:line="331" w:lineRule="auto" w:before="1"/>
        <w:ind w:left="1284" w:right="1199" w:firstLine="0"/>
        <w:jc w:val="left"/>
        <w:rPr>
          <w:b/>
          <w:sz w:val="20"/>
        </w:rPr>
      </w:pPr>
      <w:r>
        <w:rPr>
          <w:b/>
          <w:sz w:val="20"/>
        </w:rPr>
        <w:t>Debe</w:t>
      </w:r>
      <w:r>
        <w:rPr>
          <w:b/>
          <w:spacing w:val="-4"/>
          <w:sz w:val="20"/>
        </w:rPr>
        <w:t> </w:t>
      </w:r>
      <w:r>
        <w:rPr>
          <w:b/>
          <w:sz w:val="20"/>
        </w:rPr>
        <w:t>sin</w:t>
      </w:r>
      <w:r>
        <w:rPr>
          <w:b/>
          <w:spacing w:val="-8"/>
          <w:sz w:val="20"/>
        </w:rPr>
        <w:t> </w:t>
      </w:r>
      <w:r>
        <w:rPr>
          <w:b/>
          <w:sz w:val="20"/>
        </w:rPr>
        <w:t>embargo</w:t>
      </w:r>
      <w:r>
        <w:rPr>
          <w:b/>
          <w:spacing w:val="-4"/>
          <w:sz w:val="20"/>
        </w:rPr>
        <w:t> </w:t>
      </w:r>
      <w:r>
        <w:rPr>
          <w:b/>
          <w:sz w:val="20"/>
        </w:rPr>
        <w:t>señalarse</w:t>
      </w:r>
      <w:r>
        <w:rPr>
          <w:b/>
          <w:spacing w:val="-7"/>
          <w:sz w:val="20"/>
        </w:rPr>
        <w:t> </w:t>
      </w:r>
      <w:r>
        <w:rPr>
          <w:b/>
          <w:sz w:val="20"/>
        </w:rPr>
        <w:t>que</w:t>
      </w:r>
      <w:r>
        <w:rPr>
          <w:b/>
          <w:spacing w:val="-6"/>
          <w:sz w:val="20"/>
        </w:rPr>
        <w:t> </w:t>
      </w:r>
      <w:r>
        <w:rPr>
          <w:b/>
          <w:sz w:val="20"/>
        </w:rPr>
        <w:t>el</w:t>
      </w:r>
      <w:r>
        <w:rPr>
          <w:b/>
          <w:spacing w:val="-6"/>
          <w:sz w:val="20"/>
        </w:rPr>
        <w:t> </w:t>
      </w:r>
      <w:r>
        <w:rPr>
          <w:b/>
          <w:sz w:val="20"/>
        </w:rPr>
        <w:t>PMUS</w:t>
      </w:r>
      <w:r>
        <w:rPr>
          <w:b/>
          <w:spacing w:val="-4"/>
          <w:sz w:val="20"/>
        </w:rPr>
        <w:t> </w:t>
      </w:r>
      <w:r>
        <w:rPr>
          <w:b/>
          <w:sz w:val="20"/>
        </w:rPr>
        <w:t>sí</w:t>
      </w:r>
      <w:r>
        <w:rPr>
          <w:b/>
          <w:spacing w:val="-6"/>
          <w:sz w:val="20"/>
        </w:rPr>
        <w:t> </w:t>
      </w:r>
      <w:r>
        <w:rPr>
          <w:b/>
          <w:sz w:val="20"/>
        </w:rPr>
        <w:t>recoge</w:t>
      </w:r>
      <w:r>
        <w:rPr>
          <w:b/>
          <w:spacing w:val="-6"/>
          <w:sz w:val="20"/>
        </w:rPr>
        <w:t> </w:t>
      </w:r>
      <w:r>
        <w:rPr>
          <w:b/>
          <w:sz w:val="20"/>
        </w:rPr>
        <w:t>este</w:t>
      </w:r>
      <w:r>
        <w:rPr>
          <w:b/>
          <w:spacing w:val="-6"/>
          <w:sz w:val="20"/>
        </w:rPr>
        <w:t> </w:t>
      </w:r>
      <w:r>
        <w:rPr>
          <w:b/>
          <w:sz w:val="20"/>
        </w:rPr>
        <w:t>enfoque,</w:t>
      </w:r>
      <w:r>
        <w:rPr>
          <w:b/>
          <w:spacing w:val="-4"/>
          <w:sz w:val="20"/>
        </w:rPr>
        <w:t> </w:t>
      </w:r>
      <w:r>
        <w:rPr>
          <w:b/>
          <w:sz w:val="20"/>
        </w:rPr>
        <w:t>como</w:t>
      </w:r>
      <w:r>
        <w:rPr>
          <w:b/>
          <w:spacing w:val="-5"/>
          <w:sz w:val="20"/>
        </w:rPr>
        <w:t> </w:t>
      </w:r>
      <w:r>
        <w:rPr>
          <w:b/>
          <w:sz w:val="20"/>
        </w:rPr>
        <w:t>se</w:t>
      </w:r>
      <w:r>
        <w:rPr>
          <w:b/>
          <w:spacing w:val="-6"/>
          <w:sz w:val="20"/>
        </w:rPr>
        <w:t> </w:t>
      </w:r>
      <w:r>
        <w:rPr>
          <w:b/>
          <w:sz w:val="20"/>
        </w:rPr>
        <w:t>puede</w:t>
      </w:r>
      <w:r>
        <w:rPr>
          <w:b/>
          <w:spacing w:val="-6"/>
          <w:sz w:val="20"/>
        </w:rPr>
        <w:t> </w:t>
      </w:r>
      <w:r>
        <w:rPr>
          <w:b/>
          <w:sz w:val="20"/>
        </w:rPr>
        <w:t>observar</w:t>
      </w:r>
      <w:r>
        <w:rPr>
          <w:b/>
          <w:spacing w:val="-4"/>
          <w:sz w:val="20"/>
        </w:rPr>
        <w:t> </w:t>
      </w:r>
      <w:r>
        <w:rPr>
          <w:b/>
          <w:sz w:val="20"/>
        </w:rPr>
        <w:t>en</w:t>
      </w:r>
      <w:r>
        <w:rPr>
          <w:b/>
          <w:spacing w:val="-6"/>
          <w:sz w:val="20"/>
        </w:rPr>
        <w:t> </w:t>
      </w:r>
      <w:r>
        <w:rPr>
          <w:b/>
          <w:sz w:val="20"/>
        </w:rPr>
        <w:t>el documento de diagnóstico, que puede consultarse en el siguiente enlace: </w:t>
      </w:r>
      <w:hyperlink r:id="rId370">
        <w:r>
          <w:rPr>
            <w:b/>
            <w:spacing w:val="-2"/>
            <w:sz w:val="20"/>
          </w:rPr>
          <w:t>https://www.zaragoza.es/contenidos/movilidad/pdf/INDICE-INFORME_DIAGNOSTICO-</w:t>
        </w:r>
      </w:hyperlink>
      <w:r>
        <w:rPr>
          <w:b/>
          <w:spacing w:val="-2"/>
          <w:sz w:val="20"/>
        </w:rPr>
        <w:t>PMUS_Zaragoza_VF.pdf</w:t>
      </w:r>
    </w:p>
    <w:p>
      <w:pPr>
        <w:spacing w:before="5"/>
        <w:ind w:left="1284" w:right="0" w:firstLine="0"/>
        <w:jc w:val="left"/>
        <w:rPr>
          <w:b/>
          <w:sz w:val="20"/>
        </w:rPr>
      </w:pPr>
      <w:r>
        <w:rPr>
          <w:b/>
          <w:sz w:val="20"/>
        </w:rPr>
        <w:t>En</w:t>
      </w:r>
      <w:r>
        <w:rPr>
          <w:b/>
          <w:spacing w:val="-11"/>
          <w:sz w:val="20"/>
        </w:rPr>
        <w:t> </w:t>
      </w:r>
      <w:r>
        <w:rPr>
          <w:b/>
          <w:sz w:val="20"/>
        </w:rPr>
        <w:t>particular,</w:t>
      </w:r>
      <w:r>
        <w:rPr>
          <w:b/>
          <w:spacing w:val="-10"/>
          <w:sz w:val="20"/>
        </w:rPr>
        <w:t> </w:t>
      </w:r>
      <w:r>
        <w:rPr>
          <w:b/>
          <w:sz w:val="20"/>
        </w:rPr>
        <w:t>el</w:t>
      </w:r>
      <w:r>
        <w:rPr>
          <w:b/>
          <w:spacing w:val="-11"/>
          <w:sz w:val="20"/>
        </w:rPr>
        <w:t> </w:t>
      </w:r>
      <w:r>
        <w:rPr>
          <w:b/>
          <w:sz w:val="20"/>
        </w:rPr>
        <w:t>apartado</w:t>
      </w:r>
      <w:r>
        <w:rPr>
          <w:b/>
          <w:spacing w:val="-10"/>
          <w:sz w:val="20"/>
        </w:rPr>
        <w:t> </w:t>
      </w:r>
      <w:r>
        <w:rPr>
          <w:b/>
          <w:sz w:val="20"/>
        </w:rPr>
        <w:t>4.2.1.</w:t>
      </w:r>
      <w:r>
        <w:rPr>
          <w:b/>
          <w:spacing w:val="-11"/>
          <w:sz w:val="20"/>
        </w:rPr>
        <w:t> </w:t>
      </w:r>
      <w:r>
        <w:rPr>
          <w:b/>
          <w:sz w:val="20"/>
        </w:rPr>
        <w:t>“características</w:t>
      </w:r>
      <w:r>
        <w:rPr>
          <w:b/>
          <w:spacing w:val="-10"/>
          <w:sz w:val="20"/>
        </w:rPr>
        <w:t> </w:t>
      </w:r>
      <w:r>
        <w:rPr>
          <w:b/>
          <w:sz w:val="20"/>
        </w:rPr>
        <w:t>de</w:t>
      </w:r>
      <w:r>
        <w:rPr>
          <w:b/>
          <w:spacing w:val="-11"/>
          <w:sz w:val="20"/>
        </w:rPr>
        <w:t> </w:t>
      </w:r>
      <w:r>
        <w:rPr>
          <w:b/>
          <w:sz w:val="20"/>
        </w:rPr>
        <w:t>las</w:t>
      </w:r>
      <w:r>
        <w:rPr>
          <w:b/>
          <w:spacing w:val="-10"/>
          <w:sz w:val="20"/>
        </w:rPr>
        <w:t> </w:t>
      </w:r>
      <w:r>
        <w:rPr>
          <w:b/>
          <w:sz w:val="20"/>
        </w:rPr>
        <w:t>movilidad</w:t>
      </w:r>
      <w:r>
        <w:rPr>
          <w:b/>
          <w:spacing w:val="-12"/>
          <w:sz w:val="20"/>
        </w:rPr>
        <w:t> </w:t>
      </w:r>
      <w:r>
        <w:rPr>
          <w:b/>
          <w:sz w:val="20"/>
        </w:rPr>
        <w:t>por</w:t>
      </w:r>
      <w:r>
        <w:rPr>
          <w:b/>
          <w:spacing w:val="-9"/>
          <w:sz w:val="20"/>
        </w:rPr>
        <w:t> </w:t>
      </w:r>
      <w:r>
        <w:rPr>
          <w:b/>
          <w:sz w:val="20"/>
        </w:rPr>
        <w:t>género”,</w:t>
      </w:r>
      <w:r>
        <w:rPr>
          <w:b/>
          <w:spacing w:val="-11"/>
          <w:sz w:val="20"/>
        </w:rPr>
        <w:t> </w:t>
      </w:r>
      <w:r>
        <w:rPr>
          <w:b/>
          <w:sz w:val="20"/>
        </w:rPr>
        <w:t>así</w:t>
      </w:r>
      <w:r>
        <w:rPr>
          <w:b/>
          <w:spacing w:val="-10"/>
          <w:sz w:val="20"/>
        </w:rPr>
        <w:t> </w:t>
      </w:r>
      <w:r>
        <w:rPr>
          <w:b/>
          <w:sz w:val="20"/>
        </w:rPr>
        <w:t>como</w:t>
      </w:r>
      <w:r>
        <w:rPr>
          <w:b/>
          <w:spacing w:val="-9"/>
          <w:sz w:val="20"/>
        </w:rPr>
        <w:t> </w:t>
      </w:r>
      <w:r>
        <w:rPr>
          <w:b/>
          <w:sz w:val="20"/>
        </w:rPr>
        <w:t>los</w:t>
      </w:r>
      <w:r>
        <w:rPr>
          <w:b/>
          <w:spacing w:val="-9"/>
          <w:sz w:val="20"/>
        </w:rPr>
        <w:t> </w:t>
      </w:r>
      <w:r>
        <w:rPr>
          <w:b/>
          <w:spacing w:val="-2"/>
          <w:sz w:val="20"/>
        </w:rPr>
        <w:t>gráficos</w:t>
      </w:r>
    </w:p>
    <w:p>
      <w:pPr>
        <w:spacing w:before="89"/>
        <w:ind w:left="1284" w:right="0" w:firstLine="0"/>
        <w:jc w:val="left"/>
        <w:rPr>
          <w:b/>
          <w:sz w:val="20"/>
        </w:rPr>
      </w:pPr>
      <w:r>
        <w:rPr>
          <w:b/>
          <w:sz w:val="20"/>
        </w:rPr>
        <w:t>4.71</w:t>
      </w:r>
      <w:r>
        <w:rPr>
          <w:b/>
          <w:spacing w:val="-7"/>
          <w:sz w:val="20"/>
        </w:rPr>
        <w:t> </w:t>
      </w:r>
      <w:r>
        <w:rPr>
          <w:b/>
          <w:sz w:val="20"/>
        </w:rPr>
        <w:t>a</w:t>
      </w:r>
      <w:r>
        <w:rPr>
          <w:b/>
          <w:spacing w:val="-6"/>
          <w:sz w:val="20"/>
        </w:rPr>
        <w:t> </w:t>
      </w:r>
      <w:r>
        <w:rPr>
          <w:b/>
          <w:sz w:val="20"/>
        </w:rPr>
        <w:t>4.76,</w:t>
      </w:r>
      <w:r>
        <w:rPr>
          <w:b/>
          <w:spacing w:val="-6"/>
          <w:sz w:val="20"/>
        </w:rPr>
        <w:t> </w:t>
      </w:r>
      <w:r>
        <w:rPr>
          <w:b/>
          <w:sz w:val="20"/>
        </w:rPr>
        <w:t>y</w:t>
      </w:r>
      <w:r>
        <w:rPr>
          <w:b/>
          <w:spacing w:val="-6"/>
          <w:sz w:val="20"/>
        </w:rPr>
        <w:t> </w:t>
      </w:r>
      <w:r>
        <w:rPr>
          <w:b/>
          <w:sz w:val="20"/>
        </w:rPr>
        <w:t>las</w:t>
      </w:r>
      <w:r>
        <w:rPr>
          <w:b/>
          <w:spacing w:val="-7"/>
          <w:sz w:val="20"/>
        </w:rPr>
        <w:t> </w:t>
      </w:r>
      <w:r>
        <w:rPr>
          <w:b/>
          <w:sz w:val="20"/>
        </w:rPr>
        <w:t>ilustraciones</w:t>
      </w:r>
      <w:r>
        <w:rPr>
          <w:b/>
          <w:spacing w:val="-6"/>
          <w:sz w:val="20"/>
        </w:rPr>
        <w:t> </w:t>
      </w:r>
      <w:r>
        <w:rPr>
          <w:b/>
          <w:sz w:val="20"/>
        </w:rPr>
        <w:t>4.6</w:t>
      </w:r>
      <w:r>
        <w:rPr>
          <w:b/>
          <w:spacing w:val="-6"/>
          <w:sz w:val="20"/>
        </w:rPr>
        <w:t> </w:t>
      </w:r>
      <w:r>
        <w:rPr>
          <w:b/>
          <w:sz w:val="20"/>
        </w:rPr>
        <w:t>a</w:t>
      </w:r>
      <w:r>
        <w:rPr>
          <w:b/>
          <w:spacing w:val="-6"/>
          <w:sz w:val="20"/>
        </w:rPr>
        <w:t> </w:t>
      </w:r>
      <w:r>
        <w:rPr>
          <w:b/>
          <w:sz w:val="20"/>
        </w:rPr>
        <w:t>4.12</w:t>
      </w:r>
      <w:r>
        <w:rPr>
          <w:b/>
          <w:spacing w:val="-6"/>
          <w:sz w:val="20"/>
        </w:rPr>
        <w:t> </w:t>
      </w:r>
      <w:r>
        <w:rPr>
          <w:b/>
          <w:sz w:val="20"/>
        </w:rPr>
        <w:t>y</w:t>
      </w:r>
      <w:r>
        <w:rPr>
          <w:b/>
          <w:spacing w:val="-7"/>
          <w:sz w:val="20"/>
        </w:rPr>
        <w:t> </w:t>
      </w:r>
      <w:r>
        <w:rPr>
          <w:b/>
          <w:sz w:val="20"/>
        </w:rPr>
        <w:t>7.76</w:t>
      </w:r>
      <w:r>
        <w:rPr>
          <w:b/>
          <w:spacing w:val="-6"/>
          <w:sz w:val="20"/>
        </w:rPr>
        <w:t> </w:t>
      </w:r>
      <w:r>
        <w:rPr>
          <w:b/>
          <w:sz w:val="20"/>
        </w:rPr>
        <w:t>y</w:t>
      </w:r>
      <w:r>
        <w:rPr>
          <w:b/>
          <w:spacing w:val="-6"/>
          <w:sz w:val="20"/>
        </w:rPr>
        <w:t> </w:t>
      </w:r>
      <w:r>
        <w:rPr>
          <w:b/>
          <w:spacing w:val="-2"/>
          <w:sz w:val="20"/>
        </w:rPr>
        <w:t>siguientes.</w:t>
      </w:r>
    </w:p>
    <w:p>
      <w:pPr>
        <w:pStyle w:val="BodyText"/>
        <w:rPr>
          <w:b/>
          <w:sz w:val="20"/>
        </w:rPr>
      </w:pPr>
    </w:p>
    <w:p>
      <w:pPr>
        <w:pStyle w:val="BodyText"/>
        <w:rPr>
          <w:b/>
          <w:sz w:val="20"/>
        </w:rPr>
      </w:pPr>
    </w:p>
    <w:p>
      <w:pPr>
        <w:pStyle w:val="BodyText"/>
        <w:spacing w:before="35"/>
        <w:rPr>
          <w:b/>
          <w:sz w:val="20"/>
        </w:rPr>
      </w:pPr>
    </w:p>
    <w:p>
      <w:pPr>
        <w:spacing w:before="0"/>
        <w:ind w:left="1284" w:right="0" w:firstLine="0"/>
        <w:jc w:val="left"/>
        <w:rPr>
          <w:i/>
          <w:sz w:val="20"/>
        </w:rPr>
      </w:pPr>
      <w:r>
        <w:rPr>
          <w:i/>
          <w:sz w:val="20"/>
        </w:rPr>
        <w:t>Grupo</w:t>
      </w:r>
      <w:r>
        <w:rPr>
          <w:i/>
          <w:spacing w:val="-5"/>
          <w:sz w:val="20"/>
        </w:rPr>
        <w:t> </w:t>
      </w:r>
      <w:r>
        <w:rPr>
          <w:i/>
          <w:sz w:val="20"/>
        </w:rPr>
        <w:t>8</w:t>
      </w:r>
      <w:r>
        <w:rPr>
          <w:i/>
          <w:spacing w:val="-5"/>
          <w:sz w:val="20"/>
        </w:rPr>
        <w:t> </w:t>
      </w:r>
      <w:r>
        <w:rPr>
          <w:i/>
          <w:sz w:val="20"/>
        </w:rPr>
        <w:t>de</w:t>
      </w:r>
      <w:r>
        <w:rPr>
          <w:i/>
          <w:spacing w:val="-5"/>
          <w:sz w:val="20"/>
        </w:rPr>
        <w:t> </w:t>
      </w:r>
      <w:r>
        <w:rPr>
          <w:i/>
          <w:spacing w:val="-7"/>
          <w:sz w:val="20"/>
        </w:rPr>
        <w:t>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1"/>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6"/>
        <w:ind w:left="1284" w:right="0" w:firstLine="0"/>
        <w:jc w:val="left"/>
        <w:rPr>
          <w:b/>
          <w:sz w:val="20"/>
        </w:rPr>
      </w:pPr>
      <w:r>
        <w:rPr>
          <w:b/>
          <w:spacing w:val="-5"/>
          <w:sz w:val="20"/>
        </w:rPr>
        <w:t>91</w:t>
      </w:r>
    </w:p>
    <w:p>
      <w:pPr>
        <w:pStyle w:val="BodyText"/>
        <w:spacing w:before="179"/>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6"/>
        <w:ind w:left="1284" w:right="0" w:firstLine="0"/>
        <w:jc w:val="left"/>
        <w:rPr>
          <w:b/>
          <w:sz w:val="20"/>
        </w:rPr>
      </w:pPr>
      <w:r>
        <w:rPr>
          <w:b/>
          <w:spacing w:val="-10"/>
          <w:sz w:val="20"/>
        </w:rPr>
        <w:t>4</w:t>
      </w:r>
    </w:p>
    <w:p>
      <w:pPr>
        <w:pStyle w:val="BodyText"/>
        <w:spacing w:before="179"/>
        <w:rPr>
          <w:b/>
          <w:sz w:val="20"/>
        </w:rPr>
      </w:pPr>
    </w:p>
    <w:p>
      <w:pPr>
        <w:spacing w:before="0"/>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1" w:lineRule="auto" w:before="89"/>
        <w:ind w:left="1284" w:right="0" w:firstLine="0"/>
        <w:jc w:val="left"/>
        <w:rPr>
          <w:b/>
          <w:sz w:val="20"/>
        </w:rPr>
      </w:pPr>
      <w:r>
        <w:rPr>
          <w:b/>
          <w:sz w:val="20"/>
        </w:rPr>
        <mc:AlternateContent>
          <mc:Choice Requires="wps">
            <w:drawing>
              <wp:anchor distT="0" distB="0" distL="0" distR="0" allowOverlap="1" layoutInCell="1" locked="0" behindDoc="0" simplePos="0" relativeHeight="15967232">
                <wp:simplePos x="0" y="0"/>
                <wp:positionH relativeFrom="page">
                  <wp:posOffset>244784</wp:posOffset>
                </wp:positionH>
                <wp:positionV relativeFrom="paragraph">
                  <wp:posOffset>367019</wp:posOffset>
                </wp:positionV>
                <wp:extent cx="251460" cy="2155190"/>
                <wp:effectExtent l="0" t="0" r="0" b="0"/>
                <wp:wrapNone/>
                <wp:docPr id="2231" name="Textbox 2231"/>
                <wp:cNvGraphicFramePr>
                  <a:graphicFrameLocks/>
                </wp:cNvGraphicFramePr>
                <a:graphic>
                  <a:graphicData uri="http://schemas.microsoft.com/office/word/2010/wordprocessingShape">
                    <wps:wsp>
                      <wps:cNvPr id="2231" name="Textbox 2231"/>
                      <wps:cNvSpPr txBox="1"/>
                      <wps:spPr>
                        <a:xfrm>
                          <a:off x="0" y="0"/>
                          <a:ext cx="251460" cy="2155190"/>
                        </a:xfrm>
                        <a:prstGeom prst="rect">
                          <a:avLst/>
                        </a:prstGeom>
                      </wps:spPr>
                      <wps:txbx>
                        <w:txbxContent>
                          <w:p>
                            <w:pPr>
                              <w:spacing w:line="181" w:lineRule="exact"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p>
                            <w:pPr>
                              <w:spacing w:line="181" w:lineRule="exact" w:before="0"/>
                              <w:ind w:left="356" w:right="0" w:firstLine="0"/>
                              <w:jc w:val="center"/>
                              <w:rPr>
                                <w:sz w:val="16"/>
                              </w:rPr>
                            </w:pPr>
                            <w:r>
                              <w:rPr>
                                <w:spacing w:val="-10"/>
                                <w:sz w:val="16"/>
                              </w:rPr>
                              <w:t>Z</w:t>
                            </w:r>
                          </w:p>
                        </w:txbxContent>
                      </wps:txbx>
                      <wps:bodyPr wrap="square" lIns="0" tIns="0" rIns="0" bIns="0" rtlCol="0" vert="vert270">
                        <a:noAutofit/>
                      </wps:bodyPr>
                    </wps:wsp>
                  </a:graphicData>
                </a:graphic>
              </wp:anchor>
            </w:drawing>
          </mc:Choice>
          <mc:Fallback>
            <w:pict>
              <v:shape style="position:absolute;margin-left:19.274403pt;margin-top:28.899153pt;width:19.8pt;height:169.7pt;mso-position-horizontal-relative:page;mso-position-vertical-relative:paragraph;z-index:15967232" type="#_x0000_t202" id="docshape1613" filled="false" stroked="false">
                <v:textbox inset="0,0,0,0" style="layout-flow:vertical;mso-layout-flow-alt:bottom-to-top">
                  <w:txbxContent>
                    <w:p>
                      <w:pPr>
                        <w:spacing w:line="181" w:lineRule="exact"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p>
                      <w:pPr>
                        <w:spacing w:line="181" w:lineRule="exact" w:before="0"/>
                        <w:ind w:left="356" w:right="0" w:firstLine="0"/>
                        <w:jc w:val="center"/>
                        <w:rPr>
                          <w:sz w:val="16"/>
                        </w:rPr>
                      </w:pPr>
                      <w:r>
                        <w:rPr>
                          <w:spacing w:val="-10"/>
                          <w:sz w:val="16"/>
                        </w:rPr>
                        <w:t>Z</w:t>
                      </w:r>
                    </w:p>
                  </w:txbxContent>
                </v:textbox>
                <w10:wrap type="none"/>
              </v:shape>
            </w:pict>
          </mc:Fallback>
        </mc:AlternateContent>
      </w:r>
      <w:r>
        <w:rPr>
          <w:b/>
          <w:sz w:val="20"/>
        </w:rPr>
        <w:t>En la página 91, apartado II.6.2.1, en relación con la publicidad activa de las información institucional, organizativa</w:t>
      </w:r>
      <w:r>
        <w:rPr>
          <w:b/>
          <w:spacing w:val="-6"/>
          <w:sz w:val="20"/>
        </w:rPr>
        <w:t> </w:t>
      </w:r>
      <w:r>
        <w:rPr>
          <w:b/>
          <w:sz w:val="20"/>
        </w:rPr>
        <w:t>y</w:t>
      </w:r>
      <w:r>
        <w:rPr>
          <w:b/>
          <w:spacing w:val="-6"/>
          <w:sz w:val="20"/>
        </w:rPr>
        <w:t> </w:t>
      </w:r>
      <w:r>
        <w:rPr>
          <w:b/>
          <w:sz w:val="20"/>
        </w:rPr>
        <w:t>de</w:t>
      </w:r>
      <w:r>
        <w:rPr>
          <w:b/>
          <w:spacing w:val="-6"/>
          <w:sz w:val="20"/>
        </w:rPr>
        <w:t> </w:t>
      </w:r>
      <w:r>
        <w:rPr>
          <w:b/>
          <w:sz w:val="20"/>
        </w:rPr>
        <w:t>planificación,</w:t>
      </w:r>
      <w:r>
        <w:rPr>
          <w:b/>
          <w:spacing w:val="-6"/>
          <w:sz w:val="20"/>
        </w:rPr>
        <w:t> </w:t>
      </w:r>
      <w:r>
        <w:rPr>
          <w:b/>
          <w:sz w:val="20"/>
        </w:rPr>
        <w:t>se</w:t>
      </w:r>
      <w:r>
        <w:rPr>
          <w:b/>
          <w:spacing w:val="-6"/>
          <w:sz w:val="20"/>
        </w:rPr>
        <w:t> </w:t>
      </w:r>
      <w:r>
        <w:rPr>
          <w:b/>
          <w:sz w:val="20"/>
        </w:rPr>
        <w:t>señala</w:t>
      </w:r>
      <w:r>
        <w:rPr>
          <w:b/>
          <w:spacing w:val="-6"/>
          <w:sz w:val="20"/>
        </w:rPr>
        <w:t> </w:t>
      </w:r>
      <w:r>
        <w:rPr>
          <w:b/>
          <w:sz w:val="20"/>
        </w:rPr>
        <w:t>que</w:t>
      </w:r>
      <w:r>
        <w:rPr>
          <w:b/>
          <w:spacing w:val="-4"/>
          <w:sz w:val="20"/>
        </w:rPr>
        <w:t> </w:t>
      </w:r>
      <w:r>
        <w:rPr>
          <w:b/>
          <w:sz w:val="20"/>
        </w:rPr>
        <w:t>este</w:t>
      </w:r>
      <w:r>
        <w:rPr>
          <w:b/>
          <w:spacing w:val="-4"/>
          <w:sz w:val="20"/>
        </w:rPr>
        <w:t> </w:t>
      </w:r>
      <w:r>
        <w:rPr>
          <w:b/>
          <w:sz w:val="20"/>
        </w:rPr>
        <w:t>ayuntamiento</w:t>
      </w:r>
      <w:r>
        <w:rPr>
          <w:b/>
          <w:spacing w:val="-4"/>
          <w:sz w:val="20"/>
        </w:rPr>
        <w:t> </w:t>
      </w:r>
      <w:r>
        <w:rPr>
          <w:b/>
          <w:sz w:val="20"/>
        </w:rPr>
        <w:t>no</w:t>
      </w:r>
      <w:r>
        <w:rPr>
          <w:b/>
          <w:spacing w:val="-6"/>
          <w:sz w:val="20"/>
        </w:rPr>
        <w:t> </w:t>
      </w:r>
      <w:r>
        <w:rPr>
          <w:b/>
          <w:sz w:val="20"/>
        </w:rPr>
        <w:t>ha</w:t>
      </w:r>
      <w:r>
        <w:rPr>
          <w:b/>
          <w:spacing w:val="-6"/>
          <w:sz w:val="20"/>
        </w:rPr>
        <w:t> </w:t>
      </w:r>
      <w:r>
        <w:rPr>
          <w:b/>
          <w:sz w:val="20"/>
        </w:rPr>
        <w:t>publicado</w:t>
      </w:r>
      <w:r>
        <w:rPr>
          <w:b/>
          <w:spacing w:val="-6"/>
          <w:sz w:val="20"/>
        </w:rPr>
        <w:t> </w:t>
      </w:r>
      <w:r>
        <w:rPr>
          <w:b/>
          <w:sz w:val="20"/>
        </w:rPr>
        <w:t>la</w:t>
      </w:r>
      <w:r>
        <w:rPr>
          <w:b/>
          <w:spacing w:val="-4"/>
          <w:sz w:val="20"/>
        </w:rPr>
        <w:t> </w:t>
      </w:r>
      <w:r>
        <w:rPr>
          <w:b/>
          <w:sz w:val="20"/>
        </w:rPr>
        <w:t>normativa</w:t>
      </w:r>
      <w:r>
        <w:rPr>
          <w:b/>
          <w:spacing w:val="-4"/>
          <w:sz w:val="20"/>
        </w:rPr>
        <w:t> </w:t>
      </w:r>
      <w:r>
        <w:rPr>
          <w:b/>
          <w:sz w:val="20"/>
        </w:rPr>
        <w:t>estatal</w:t>
      </w:r>
      <w:r>
        <w:rPr>
          <w:b/>
          <w:spacing w:val="-6"/>
          <w:sz w:val="20"/>
        </w:rPr>
        <w:t> </w:t>
      </w:r>
      <w:r>
        <w:rPr>
          <w:b/>
          <w:sz w:val="20"/>
        </w:rPr>
        <w:t>y autonómica de aplicación en estos ámbitos.</w:t>
      </w:r>
    </w:p>
    <w:p>
      <w:pPr>
        <w:pStyle w:val="BodyText"/>
        <w:spacing w:before="90"/>
        <w:rPr>
          <w:b/>
          <w:sz w:val="20"/>
        </w:rPr>
      </w:pPr>
    </w:p>
    <w:p>
      <w:pPr>
        <w:spacing w:before="0"/>
        <w:ind w:left="1284" w:right="0" w:firstLine="0"/>
        <w:jc w:val="left"/>
        <w:rPr>
          <w:sz w:val="20"/>
        </w:rPr>
      </w:pPr>
      <w:r>
        <w:rPr>
          <w:spacing w:val="-2"/>
          <w:sz w:val="20"/>
        </w:rPr>
        <w:t>Alegación:</w:t>
      </w:r>
    </w:p>
    <w:p>
      <w:pPr>
        <w:spacing w:line="333" w:lineRule="auto" w:before="89"/>
        <w:ind w:left="1284" w:right="496" w:firstLine="0"/>
        <w:jc w:val="left"/>
        <w:rPr>
          <w:b/>
          <w:sz w:val="20"/>
        </w:rPr>
      </w:pPr>
      <w:r>
        <w:rPr>
          <w:b/>
          <w:sz w:val="20"/>
        </w:rPr>
        <mc:AlternateContent>
          <mc:Choice Requires="wps">
            <w:drawing>
              <wp:anchor distT="0" distB="0" distL="0" distR="0" allowOverlap="1" layoutInCell="1" locked="0" behindDoc="0" simplePos="0" relativeHeight="15966208">
                <wp:simplePos x="0" y="0"/>
                <wp:positionH relativeFrom="page">
                  <wp:posOffset>130383</wp:posOffset>
                </wp:positionH>
                <wp:positionV relativeFrom="paragraph">
                  <wp:posOffset>598025</wp:posOffset>
                </wp:positionV>
                <wp:extent cx="138430" cy="2952750"/>
                <wp:effectExtent l="0" t="0" r="0" b="0"/>
                <wp:wrapNone/>
                <wp:docPr id="2232" name="Textbox 2232"/>
                <wp:cNvGraphicFramePr>
                  <a:graphicFrameLocks/>
                </wp:cNvGraphicFramePr>
                <a:graphic>
                  <a:graphicData uri="http://schemas.microsoft.com/office/word/2010/wordprocessingShape">
                    <wps:wsp>
                      <wps:cNvPr id="2232" name="Textbox 2232"/>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47.088634pt;width:10.9pt;height:232.5pt;mso-position-horizontal-relative:page;mso-position-vertical-relative:paragraph;z-index:15966208" type="#_x0000_t202" id="docshape1614"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67744">
                <wp:simplePos x="0" y="0"/>
                <wp:positionH relativeFrom="page">
                  <wp:posOffset>344030</wp:posOffset>
                </wp:positionH>
                <wp:positionV relativeFrom="paragraph">
                  <wp:posOffset>338987</wp:posOffset>
                </wp:positionV>
                <wp:extent cx="163830" cy="2949575"/>
                <wp:effectExtent l="0" t="0" r="0" b="0"/>
                <wp:wrapNone/>
                <wp:docPr id="2233" name="Graphic 2233"/>
                <wp:cNvGraphicFramePr>
                  <a:graphicFrameLocks/>
                </wp:cNvGraphicFramePr>
                <a:graphic>
                  <a:graphicData uri="http://schemas.microsoft.com/office/word/2010/wordprocessingShape">
                    <wps:wsp>
                      <wps:cNvPr id="2233" name="Graphic 2233"/>
                      <wps:cNvSpPr/>
                      <wps:spPr>
                        <a:xfrm>
                          <a:off x="0" y="0"/>
                          <a:ext cx="163830" cy="2949575"/>
                        </a:xfrm>
                        <a:custGeom>
                          <a:avLst/>
                          <a:gdLst/>
                          <a:ahLst/>
                          <a:cxnLst/>
                          <a:rect l="l" t="t" r="r" b="b"/>
                          <a:pathLst>
                            <a:path w="163830" h="2949575">
                              <a:moveTo>
                                <a:pt x="163258" y="0"/>
                              </a:moveTo>
                              <a:lnTo>
                                <a:pt x="0" y="0"/>
                              </a:lnTo>
                              <a:lnTo>
                                <a:pt x="0" y="2949028"/>
                              </a:lnTo>
                              <a:lnTo>
                                <a:pt x="163258" y="2949028"/>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26.691945pt;width:12.855pt;height:232.207pt;mso-position-horizontal-relative:page;mso-position-vertical-relative:paragraph;z-index:15967744" id="docshape1615" filled="true" fillcolor="#000000" stroked="false">
                <v:fill type="solid"/>
                <w10:wrap type="none"/>
              </v:rect>
            </w:pict>
          </mc:Fallback>
        </mc:AlternateContent>
      </w:r>
      <w:r>
        <w:rPr>
          <w:b/>
          <w:sz w:val="20"/>
        </w:rPr>
        <w:t>Al respecto cabe indicar que, entendiendo que la apreciación manifestada se refiere a la normativa referente</w:t>
      </w:r>
      <w:r>
        <w:rPr>
          <w:b/>
          <w:spacing w:val="-6"/>
          <w:sz w:val="20"/>
        </w:rPr>
        <w:t> </w:t>
      </w:r>
      <w:r>
        <w:rPr>
          <w:b/>
          <w:sz w:val="20"/>
        </w:rPr>
        <w:t>a</w:t>
      </w:r>
      <w:r>
        <w:rPr>
          <w:b/>
          <w:spacing w:val="-6"/>
          <w:sz w:val="20"/>
        </w:rPr>
        <w:t> </w:t>
      </w:r>
      <w:r>
        <w:rPr>
          <w:b/>
          <w:sz w:val="20"/>
        </w:rPr>
        <w:t>la</w:t>
      </w:r>
      <w:r>
        <w:rPr>
          <w:b/>
          <w:spacing w:val="-6"/>
          <w:sz w:val="20"/>
        </w:rPr>
        <w:t> </w:t>
      </w:r>
      <w:r>
        <w:rPr>
          <w:b/>
          <w:sz w:val="20"/>
        </w:rPr>
        <w:t>organización,</w:t>
      </w:r>
      <w:r>
        <w:rPr>
          <w:b/>
          <w:spacing w:val="-6"/>
          <w:sz w:val="20"/>
        </w:rPr>
        <w:t> </w:t>
      </w:r>
      <w:r>
        <w:rPr>
          <w:b/>
          <w:sz w:val="20"/>
        </w:rPr>
        <w:t>se</w:t>
      </w:r>
      <w:r>
        <w:rPr>
          <w:b/>
          <w:spacing w:val="-6"/>
          <w:sz w:val="20"/>
        </w:rPr>
        <w:t> </w:t>
      </w:r>
      <w:r>
        <w:rPr>
          <w:b/>
          <w:sz w:val="20"/>
        </w:rPr>
        <w:t>procederá</w:t>
      </w:r>
      <w:r>
        <w:rPr>
          <w:b/>
          <w:spacing w:val="-6"/>
          <w:sz w:val="20"/>
        </w:rPr>
        <w:t> </w:t>
      </w:r>
      <w:r>
        <w:rPr>
          <w:b/>
          <w:sz w:val="20"/>
        </w:rPr>
        <w:t>a</w:t>
      </w:r>
      <w:r>
        <w:rPr>
          <w:b/>
          <w:spacing w:val="-6"/>
          <w:sz w:val="20"/>
        </w:rPr>
        <w:t> </w:t>
      </w:r>
      <w:r>
        <w:rPr>
          <w:b/>
          <w:sz w:val="20"/>
        </w:rPr>
        <w:t>incluir</w:t>
      </w:r>
      <w:r>
        <w:rPr>
          <w:b/>
          <w:spacing w:val="-6"/>
          <w:sz w:val="20"/>
        </w:rPr>
        <w:t> </w:t>
      </w:r>
      <w:r>
        <w:rPr>
          <w:b/>
          <w:sz w:val="20"/>
        </w:rPr>
        <w:t>en</w:t>
      </w:r>
      <w:r>
        <w:rPr>
          <w:b/>
          <w:spacing w:val="-6"/>
          <w:sz w:val="20"/>
        </w:rPr>
        <w:t> </w:t>
      </w:r>
      <w:r>
        <w:rPr>
          <w:b/>
          <w:sz w:val="20"/>
        </w:rPr>
        <w:t>la</w:t>
      </w:r>
      <w:r>
        <w:rPr>
          <w:b/>
          <w:spacing w:val="-6"/>
          <w:sz w:val="20"/>
        </w:rPr>
        <w:t> </w:t>
      </w:r>
      <w:r>
        <w:rPr>
          <w:b/>
          <w:sz w:val="20"/>
        </w:rPr>
        <w:t>información</w:t>
      </w:r>
      <w:r>
        <w:rPr>
          <w:b/>
          <w:spacing w:val="-4"/>
          <w:sz w:val="20"/>
        </w:rPr>
        <w:t> </w:t>
      </w:r>
      <w:r>
        <w:rPr>
          <w:b/>
          <w:sz w:val="20"/>
        </w:rPr>
        <w:t>publicada</w:t>
      </w:r>
      <w:r>
        <w:rPr>
          <w:b/>
          <w:spacing w:val="-6"/>
          <w:sz w:val="20"/>
        </w:rPr>
        <w:t> </w:t>
      </w:r>
      <w:r>
        <w:rPr>
          <w:b/>
          <w:sz w:val="20"/>
        </w:rPr>
        <w:t>la</w:t>
      </w:r>
      <w:r>
        <w:rPr>
          <w:b/>
          <w:spacing w:val="-4"/>
          <w:sz w:val="20"/>
        </w:rPr>
        <w:t> </w:t>
      </w:r>
      <w:r>
        <w:rPr>
          <w:b/>
          <w:sz w:val="20"/>
        </w:rPr>
        <w:t>relativa</w:t>
      </w:r>
      <w:r>
        <w:rPr>
          <w:b/>
          <w:spacing w:val="-4"/>
          <w:sz w:val="20"/>
        </w:rPr>
        <w:t> </w:t>
      </w:r>
      <w:r>
        <w:rPr>
          <w:b/>
          <w:sz w:val="20"/>
        </w:rPr>
        <w:t>a</w:t>
      </w:r>
      <w:r>
        <w:rPr>
          <w:b/>
          <w:spacing w:val="-6"/>
          <w:sz w:val="20"/>
        </w:rPr>
        <w:t> </w:t>
      </w:r>
      <w:r>
        <w:rPr>
          <w:b/>
          <w:sz w:val="20"/>
        </w:rPr>
        <w:t>la</w:t>
      </w:r>
      <w:r>
        <w:rPr>
          <w:b/>
          <w:spacing w:val="-6"/>
          <w:sz w:val="20"/>
        </w:rPr>
        <w:t> </w:t>
      </w:r>
      <w:r>
        <w:rPr>
          <w:b/>
          <w:sz w:val="20"/>
        </w:rPr>
        <w:t>normativa estatal y autonómica vigente en la materia, esencialmente:</w:t>
      </w:r>
    </w:p>
    <w:p>
      <w:pPr>
        <w:spacing w:line="226" w:lineRule="exact" w:before="0"/>
        <w:ind w:left="1284" w:right="0" w:firstLine="0"/>
        <w:jc w:val="left"/>
        <w:rPr>
          <w:b/>
          <w:sz w:val="20"/>
        </w:rPr>
      </w:pPr>
      <w:r>
        <w:rPr>
          <w:b/>
          <w:spacing w:val="-2"/>
          <w:sz w:val="20"/>
        </w:rPr>
        <w:t>Normativa estatal:</w:t>
      </w:r>
    </w:p>
    <w:p>
      <w:pPr>
        <w:spacing w:before="90"/>
        <w:ind w:left="1284" w:right="0" w:firstLine="0"/>
        <w:jc w:val="left"/>
        <w:rPr>
          <w:b/>
          <w:sz w:val="20"/>
        </w:rPr>
      </w:pPr>
      <w:r>
        <w:rPr>
          <w:b/>
          <w:sz w:val="20"/>
        </w:rPr>
        <w:t>-Ley</w:t>
      </w:r>
      <w:r>
        <w:rPr>
          <w:b/>
          <w:spacing w:val="-9"/>
          <w:sz w:val="20"/>
        </w:rPr>
        <w:t> </w:t>
      </w:r>
      <w:r>
        <w:rPr>
          <w:b/>
          <w:sz w:val="20"/>
        </w:rPr>
        <w:t>7/1985,</w:t>
      </w:r>
      <w:r>
        <w:rPr>
          <w:b/>
          <w:spacing w:val="-8"/>
          <w:sz w:val="20"/>
        </w:rPr>
        <w:t> </w:t>
      </w:r>
      <w:r>
        <w:rPr>
          <w:b/>
          <w:sz w:val="20"/>
        </w:rPr>
        <w:t>de</w:t>
      </w:r>
      <w:r>
        <w:rPr>
          <w:b/>
          <w:spacing w:val="-9"/>
          <w:sz w:val="20"/>
        </w:rPr>
        <w:t> </w:t>
      </w:r>
      <w:r>
        <w:rPr>
          <w:b/>
          <w:sz w:val="20"/>
        </w:rPr>
        <w:t>2</w:t>
      </w:r>
      <w:r>
        <w:rPr>
          <w:b/>
          <w:spacing w:val="-8"/>
          <w:sz w:val="20"/>
        </w:rPr>
        <w:t> </w:t>
      </w:r>
      <w:r>
        <w:rPr>
          <w:b/>
          <w:sz w:val="20"/>
        </w:rPr>
        <w:t>de</w:t>
      </w:r>
      <w:r>
        <w:rPr>
          <w:b/>
          <w:spacing w:val="-9"/>
          <w:sz w:val="20"/>
        </w:rPr>
        <w:t> </w:t>
      </w:r>
      <w:r>
        <w:rPr>
          <w:b/>
          <w:sz w:val="20"/>
        </w:rPr>
        <w:t>abril,</w:t>
      </w:r>
      <w:r>
        <w:rPr>
          <w:b/>
          <w:spacing w:val="-8"/>
          <w:sz w:val="20"/>
        </w:rPr>
        <w:t> </w:t>
      </w:r>
      <w:r>
        <w:rPr>
          <w:b/>
          <w:sz w:val="20"/>
        </w:rPr>
        <w:t>reguladora</w:t>
      </w:r>
      <w:r>
        <w:rPr>
          <w:b/>
          <w:spacing w:val="-7"/>
          <w:sz w:val="20"/>
        </w:rPr>
        <w:t> </w:t>
      </w:r>
      <w:r>
        <w:rPr>
          <w:b/>
          <w:sz w:val="20"/>
        </w:rPr>
        <w:t>de</w:t>
      </w:r>
      <w:r>
        <w:rPr>
          <w:b/>
          <w:spacing w:val="-8"/>
          <w:sz w:val="20"/>
        </w:rPr>
        <w:t> </w:t>
      </w:r>
      <w:r>
        <w:rPr>
          <w:b/>
          <w:sz w:val="20"/>
        </w:rPr>
        <w:t>las</w:t>
      </w:r>
      <w:r>
        <w:rPr>
          <w:b/>
          <w:spacing w:val="-7"/>
          <w:sz w:val="20"/>
        </w:rPr>
        <w:t> </w:t>
      </w:r>
      <w:r>
        <w:rPr>
          <w:b/>
          <w:sz w:val="20"/>
        </w:rPr>
        <w:t>Bases</w:t>
      </w:r>
      <w:r>
        <w:rPr>
          <w:b/>
          <w:spacing w:val="-9"/>
          <w:sz w:val="20"/>
        </w:rPr>
        <w:t> </w:t>
      </w:r>
      <w:r>
        <w:rPr>
          <w:b/>
          <w:sz w:val="20"/>
        </w:rPr>
        <w:t>del</w:t>
      </w:r>
      <w:r>
        <w:rPr>
          <w:b/>
          <w:spacing w:val="-8"/>
          <w:sz w:val="20"/>
        </w:rPr>
        <w:t> </w:t>
      </w:r>
      <w:r>
        <w:rPr>
          <w:b/>
          <w:sz w:val="20"/>
        </w:rPr>
        <w:t>Régimen</w:t>
      </w:r>
      <w:r>
        <w:rPr>
          <w:b/>
          <w:spacing w:val="-9"/>
          <w:sz w:val="20"/>
        </w:rPr>
        <w:t> </w:t>
      </w:r>
      <w:r>
        <w:rPr>
          <w:b/>
          <w:spacing w:val="-2"/>
          <w:sz w:val="20"/>
        </w:rPr>
        <w:t>Local.</w:t>
      </w:r>
    </w:p>
    <w:p>
      <w:pPr>
        <w:spacing w:line="331" w:lineRule="auto" w:before="89"/>
        <w:ind w:left="1284" w:right="0" w:firstLine="0"/>
        <w:jc w:val="left"/>
        <w:rPr>
          <w:b/>
          <w:sz w:val="20"/>
        </w:rPr>
      </w:pPr>
      <w:r>
        <w:rPr>
          <w:b/>
          <w:sz w:val="20"/>
        </w:rPr>
        <w:t>-Real</w:t>
      </w:r>
      <w:r>
        <w:rPr>
          <w:b/>
          <w:spacing w:val="-3"/>
          <w:sz w:val="20"/>
        </w:rPr>
        <w:t> </w:t>
      </w:r>
      <w:r>
        <w:rPr>
          <w:b/>
          <w:sz w:val="20"/>
        </w:rPr>
        <w:t>Decreto</w:t>
      </w:r>
      <w:r>
        <w:rPr>
          <w:b/>
          <w:spacing w:val="-5"/>
          <w:sz w:val="20"/>
        </w:rPr>
        <w:t> </w:t>
      </w:r>
      <w:r>
        <w:rPr>
          <w:b/>
          <w:sz w:val="20"/>
        </w:rPr>
        <w:t>Legislativo</w:t>
      </w:r>
      <w:r>
        <w:rPr>
          <w:b/>
          <w:spacing w:val="-5"/>
          <w:sz w:val="20"/>
        </w:rPr>
        <w:t> </w:t>
      </w:r>
      <w:r>
        <w:rPr>
          <w:b/>
          <w:sz w:val="20"/>
        </w:rPr>
        <w:t>781/1986,</w:t>
      </w:r>
      <w:r>
        <w:rPr>
          <w:b/>
          <w:spacing w:val="-5"/>
          <w:sz w:val="20"/>
        </w:rPr>
        <w:t> </w:t>
      </w:r>
      <w:r>
        <w:rPr>
          <w:b/>
          <w:sz w:val="20"/>
        </w:rPr>
        <w:t>de</w:t>
      </w:r>
      <w:r>
        <w:rPr>
          <w:b/>
          <w:spacing w:val="-5"/>
          <w:sz w:val="20"/>
        </w:rPr>
        <w:t> </w:t>
      </w:r>
      <w:r>
        <w:rPr>
          <w:b/>
          <w:sz w:val="20"/>
        </w:rPr>
        <w:t>18</w:t>
      </w:r>
      <w:r>
        <w:rPr>
          <w:b/>
          <w:spacing w:val="-5"/>
          <w:sz w:val="20"/>
        </w:rPr>
        <w:t> </w:t>
      </w:r>
      <w:r>
        <w:rPr>
          <w:b/>
          <w:sz w:val="20"/>
        </w:rPr>
        <w:t>de</w:t>
      </w:r>
      <w:r>
        <w:rPr>
          <w:b/>
          <w:spacing w:val="-5"/>
          <w:sz w:val="20"/>
        </w:rPr>
        <w:t> </w:t>
      </w:r>
      <w:r>
        <w:rPr>
          <w:b/>
          <w:sz w:val="20"/>
        </w:rPr>
        <w:t>abril,</w:t>
      </w:r>
      <w:r>
        <w:rPr>
          <w:b/>
          <w:spacing w:val="-5"/>
          <w:sz w:val="20"/>
        </w:rPr>
        <w:t> </w:t>
      </w:r>
      <w:r>
        <w:rPr>
          <w:b/>
          <w:sz w:val="20"/>
        </w:rPr>
        <w:t>por</w:t>
      </w:r>
      <w:r>
        <w:rPr>
          <w:b/>
          <w:spacing w:val="-5"/>
          <w:sz w:val="20"/>
        </w:rPr>
        <w:t> </w:t>
      </w:r>
      <w:r>
        <w:rPr>
          <w:b/>
          <w:sz w:val="20"/>
        </w:rPr>
        <w:t>el</w:t>
      </w:r>
      <w:r>
        <w:rPr>
          <w:b/>
          <w:spacing w:val="-5"/>
          <w:sz w:val="20"/>
        </w:rPr>
        <w:t> </w:t>
      </w:r>
      <w:r>
        <w:rPr>
          <w:b/>
          <w:sz w:val="20"/>
        </w:rPr>
        <w:t>que</w:t>
      </w:r>
      <w:r>
        <w:rPr>
          <w:b/>
          <w:spacing w:val="-5"/>
          <w:sz w:val="20"/>
        </w:rPr>
        <w:t> </w:t>
      </w:r>
      <w:r>
        <w:rPr>
          <w:b/>
          <w:sz w:val="20"/>
        </w:rPr>
        <w:t>se</w:t>
      </w:r>
      <w:r>
        <w:rPr>
          <w:b/>
          <w:spacing w:val="-5"/>
          <w:sz w:val="20"/>
        </w:rPr>
        <w:t> </w:t>
      </w:r>
      <w:r>
        <w:rPr>
          <w:b/>
          <w:sz w:val="20"/>
        </w:rPr>
        <w:t>aprueba</w:t>
      </w:r>
      <w:r>
        <w:rPr>
          <w:b/>
          <w:spacing w:val="-5"/>
          <w:sz w:val="20"/>
        </w:rPr>
        <w:t> </w:t>
      </w:r>
      <w:r>
        <w:rPr>
          <w:b/>
          <w:sz w:val="20"/>
        </w:rPr>
        <w:t>el</w:t>
      </w:r>
      <w:r>
        <w:rPr>
          <w:b/>
          <w:spacing w:val="-5"/>
          <w:sz w:val="20"/>
        </w:rPr>
        <w:t> </w:t>
      </w:r>
      <w:r>
        <w:rPr>
          <w:b/>
          <w:sz w:val="20"/>
        </w:rPr>
        <w:t>Texto</w:t>
      </w:r>
      <w:r>
        <w:rPr>
          <w:b/>
          <w:spacing w:val="-7"/>
          <w:sz w:val="20"/>
        </w:rPr>
        <w:t> </w:t>
      </w:r>
      <w:r>
        <w:rPr>
          <w:b/>
          <w:sz w:val="20"/>
        </w:rPr>
        <w:t>refundido</w:t>
      </w:r>
      <w:r>
        <w:rPr>
          <w:b/>
          <w:spacing w:val="-3"/>
          <w:sz w:val="20"/>
        </w:rPr>
        <w:t> </w:t>
      </w:r>
      <w:r>
        <w:rPr>
          <w:b/>
          <w:sz w:val="20"/>
        </w:rPr>
        <w:t>de</w:t>
      </w:r>
      <w:r>
        <w:rPr>
          <w:b/>
          <w:spacing w:val="-5"/>
          <w:sz w:val="20"/>
        </w:rPr>
        <w:t> </w:t>
      </w:r>
      <w:r>
        <w:rPr>
          <w:b/>
          <w:sz w:val="20"/>
        </w:rPr>
        <w:t>las disposiciones legales vigentes en</w:t>
      </w:r>
      <w:r>
        <w:rPr>
          <w:b/>
          <w:spacing w:val="40"/>
          <w:sz w:val="20"/>
        </w:rPr>
        <w:t> </w:t>
      </w:r>
      <w:r>
        <w:rPr>
          <w:b/>
          <w:sz w:val="20"/>
        </w:rPr>
        <w:t>materia de Régimen Local.</w:t>
      </w:r>
      <w:r>
        <w:rPr>
          <w:b/>
          <w:spacing w:val="40"/>
          <w:sz w:val="20"/>
        </w:rPr>
        <w:t> </w:t>
      </w:r>
      <w:r>
        <w:rPr>
          <w:b/>
          <w:sz w:val="20"/>
        </w:rPr>
        <w:t>Normativa autonómica:</w:t>
      </w:r>
    </w:p>
    <w:p>
      <w:pPr>
        <w:spacing w:before="1"/>
        <w:ind w:left="1284" w:right="0" w:firstLine="0"/>
        <w:jc w:val="left"/>
        <w:rPr>
          <w:b/>
          <w:sz w:val="20"/>
        </w:rPr>
      </w:pPr>
      <w:r>
        <w:rPr>
          <w:b/>
          <w:sz w:val="20"/>
        </w:rPr>
        <w:t>-Ley</w:t>
      </w:r>
      <w:r>
        <w:rPr>
          <w:b/>
          <w:spacing w:val="-9"/>
          <w:sz w:val="20"/>
        </w:rPr>
        <w:t> </w:t>
      </w:r>
      <w:r>
        <w:rPr>
          <w:b/>
          <w:sz w:val="20"/>
        </w:rPr>
        <w:t>7/1999,</w:t>
      </w:r>
      <w:r>
        <w:rPr>
          <w:b/>
          <w:spacing w:val="-8"/>
          <w:sz w:val="20"/>
        </w:rPr>
        <w:t> </w:t>
      </w:r>
      <w:r>
        <w:rPr>
          <w:b/>
          <w:sz w:val="20"/>
        </w:rPr>
        <w:t>de</w:t>
      </w:r>
      <w:r>
        <w:rPr>
          <w:b/>
          <w:spacing w:val="-8"/>
          <w:sz w:val="20"/>
        </w:rPr>
        <w:t> </w:t>
      </w:r>
      <w:r>
        <w:rPr>
          <w:b/>
          <w:sz w:val="20"/>
        </w:rPr>
        <w:t>9</w:t>
      </w:r>
      <w:r>
        <w:rPr>
          <w:b/>
          <w:spacing w:val="-9"/>
          <w:sz w:val="20"/>
        </w:rPr>
        <w:t> </w:t>
      </w:r>
      <w:r>
        <w:rPr>
          <w:b/>
          <w:sz w:val="20"/>
        </w:rPr>
        <w:t>de</w:t>
      </w:r>
      <w:r>
        <w:rPr>
          <w:b/>
          <w:spacing w:val="-8"/>
          <w:sz w:val="20"/>
        </w:rPr>
        <w:t> </w:t>
      </w:r>
      <w:r>
        <w:rPr>
          <w:b/>
          <w:sz w:val="20"/>
        </w:rPr>
        <w:t>abril,</w:t>
      </w:r>
      <w:r>
        <w:rPr>
          <w:b/>
          <w:spacing w:val="-8"/>
          <w:sz w:val="20"/>
        </w:rPr>
        <w:t> </w:t>
      </w:r>
      <w:r>
        <w:rPr>
          <w:b/>
          <w:sz w:val="20"/>
        </w:rPr>
        <w:t>de</w:t>
      </w:r>
      <w:r>
        <w:rPr>
          <w:b/>
          <w:spacing w:val="-8"/>
          <w:sz w:val="20"/>
        </w:rPr>
        <w:t> </w:t>
      </w:r>
      <w:r>
        <w:rPr>
          <w:b/>
          <w:sz w:val="20"/>
        </w:rPr>
        <w:t>Administración</w:t>
      </w:r>
      <w:r>
        <w:rPr>
          <w:b/>
          <w:spacing w:val="-9"/>
          <w:sz w:val="20"/>
        </w:rPr>
        <w:t> </w:t>
      </w:r>
      <w:r>
        <w:rPr>
          <w:b/>
          <w:sz w:val="20"/>
        </w:rPr>
        <w:t>Local</w:t>
      </w:r>
      <w:r>
        <w:rPr>
          <w:b/>
          <w:spacing w:val="-8"/>
          <w:sz w:val="20"/>
        </w:rPr>
        <w:t> </w:t>
      </w:r>
      <w:r>
        <w:rPr>
          <w:b/>
          <w:sz w:val="20"/>
        </w:rPr>
        <w:t>de</w:t>
      </w:r>
      <w:r>
        <w:rPr>
          <w:b/>
          <w:spacing w:val="-8"/>
          <w:sz w:val="20"/>
        </w:rPr>
        <w:t> </w:t>
      </w:r>
      <w:r>
        <w:rPr>
          <w:b/>
          <w:spacing w:val="-2"/>
          <w:sz w:val="20"/>
        </w:rPr>
        <w:t>Aragón.</w:t>
      </w:r>
    </w:p>
    <w:p>
      <w:pPr>
        <w:spacing w:line="333" w:lineRule="auto" w:before="89"/>
        <w:ind w:left="1284" w:right="907" w:firstLine="0"/>
        <w:jc w:val="left"/>
        <w:rPr>
          <w:b/>
          <w:sz w:val="20"/>
        </w:rPr>
      </w:pPr>
      <w:r>
        <w:rPr>
          <w:b/>
          <w:sz w:val="20"/>
        </w:rPr>
        <mc:AlternateContent>
          <mc:Choice Requires="wps">
            <w:drawing>
              <wp:anchor distT="0" distB="0" distL="0" distR="0" allowOverlap="1" layoutInCell="1" locked="0" behindDoc="0" simplePos="0" relativeHeight="15966720">
                <wp:simplePos x="0" y="0"/>
                <wp:positionH relativeFrom="page">
                  <wp:posOffset>244784</wp:posOffset>
                </wp:positionH>
                <wp:positionV relativeFrom="paragraph">
                  <wp:posOffset>188011</wp:posOffset>
                </wp:positionV>
                <wp:extent cx="251460" cy="1744345"/>
                <wp:effectExtent l="0" t="0" r="0" b="0"/>
                <wp:wrapNone/>
                <wp:docPr id="2234" name="Textbox 2234"/>
                <wp:cNvGraphicFramePr>
                  <a:graphicFrameLocks/>
                </wp:cNvGraphicFramePr>
                <a:graphic>
                  <a:graphicData uri="http://schemas.microsoft.com/office/word/2010/wordprocessingShape">
                    <wps:wsp>
                      <wps:cNvPr id="2234" name="Textbox 2234"/>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14.804022pt;width:19.8pt;height:137.35pt;mso-position-horizontal-relative:page;mso-position-vertical-relative:paragraph;z-index:15966720" type="#_x0000_t202" id="docshape1616"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w:t>-Ley</w:t>
      </w:r>
      <w:r>
        <w:rPr>
          <w:b/>
          <w:spacing w:val="-6"/>
          <w:sz w:val="20"/>
        </w:rPr>
        <w:t> </w:t>
      </w:r>
      <w:r>
        <w:rPr>
          <w:b/>
          <w:sz w:val="20"/>
        </w:rPr>
        <w:t>10/2017,</w:t>
      </w:r>
      <w:r>
        <w:rPr>
          <w:b/>
          <w:spacing w:val="-6"/>
          <w:sz w:val="20"/>
        </w:rPr>
        <w:t> </w:t>
      </w:r>
      <w:r>
        <w:rPr>
          <w:b/>
          <w:sz w:val="20"/>
        </w:rPr>
        <w:t>de</w:t>
      </w:r>
      <w:r>
        <w:rPr>
          <w:b/>
          <w:spacing w:val="-6"/>
          <w:sz w:val="20"/>
        </w:rPr>
        <w:t> </w:t>
      </w:r>
      <w:r>
        <w:rPr>
          <w:b/>
          <w:sz w:val="20"/>
        </w:rPr>
        <w:t>30</w:t>
      </w:r>
      <w:r>
        <w:rPr>
          <w:b/>
          <w:spacing w:val="-6"/>
          <w:sz w:val="20"/>
        </w:rPr>
        <w:t> </w:t>
      </w:r>
      <w:r>
        <w:rPr>
          <w:b/>
          <w:sz w:val="20"/>
        </w:rPr>
        <w:t>de</w:t>
      </w:r>
      <w:r>
        <w:rPr>
          <w:b/>
          <w:spacing w:val="-6"/>
          <w:sz w:val="20"/>
        </w:rPr>
        <w:t> </w:t>
      </w:r>
      <w:r>
        <w:rPr>
          <w:b/>
          <w:sz w:val="20"/>
        </w:rPr>
        <w:t>noviembre,</w:t>
      </w:r>
      <w:r>
        <w:rPr>
          <w:b/>
          <w:spacing w:val="-6"/>
          <w:sz w:val="20"/>
        </w:rPr>
        <w:t> </w:t>
      </w:r>
      <w:r>
        <w:rPr>
          <w:b/>
          <w:sz w:val="20"/>
        </w:rPr>
        <w:t>de</w:t>
      </w:r>
      <w:r>
        <w:rPr>
          <w:b/>
          <w:spacing w:val="-6"/>
          <w:sz w:val="20"/>
        </w:rPr>
        <w:t> </w:t>
      </w:r>
      <w:r>
        <w:rPr>
          <w:b/>
          <w:sz w:val="20"/>
        </w:rPr>
        <w:t>régimen</w:t>
      </w:r>
      <w:r>
        <w:rPr>
          <w:b/>
          <w:spacing w:val="-5"/>
          <w:sz w:val="20"/>
        </w:rPr>
        <w:t> </w:t>
      </w:r>
      <w:r>
        <w:rPr>
          <w:b/>
          <w:sz w:val="20"/>
        </w:rPr>
        <w:t>especial</w:t>
      </w:r>
      <w:r>
        <w:rPr>
          <w:b/>
          <w:spacing w:val="-6"/>
          <w:sz w:val="20"/>
        </w:rPr>
        <w:t> </w:t>
      </w:r>
      <w:r>
        <w:rPr>
          <w:b/>
          <w:sz w:val="20"/>
        </w:rPr>
        <w:t>del</w:t>
      </w:r>
      <w:r>
        <w:rPr>
          <w:b/>
          <w:spacing w:val="-6"/>
          <w:sz w:val="20"/>
        </w:rPr>
        <w:t> </w:t>
      </w:r>
      <w:r>
        <w:rPr>
          <w:b/>
          <w:sz w:val="20"/>
        </w:rPr>
        <w:t>municipio</w:t>
      </w:r>
      <w:r>
        <w:rPr>
          <w:b/>
          <w:spacing w:val="-4"/>
          <w:sz w:val="20"/>
        </w:rPr>
        <w:t> </w:t>
      </w:r>
      <w:r>
        <w:rPr>
          <w:b/>
          <w:sz w:val="20"/>
        </w:rPr>
        <w:t>de</w:t>
      </w:r>
      <w:r>
        <w:rPr>
          <w:b/>
          <w:spacing w:val="-6"/>
          <w:sz w:val="20"/>
        </w:rPr>
        <w:t> </w:t>
      </w:r>
      <w:r>
        <w:rPr>
          <w:b/>
          <w:sz w:val="20"/>
        </w:rPr>
        <w:t>Zaragoza</w:t>
      </w:r>
      <w:r>
        <w:rPr>
          <w:b/>
          <w:spacing w:val="-6"/>
          <w:sz w:val="20"/>
        </w:rPr>
        <w:t> </w:t>
      </w:r>
      <w:r>
        <w:rPr>
          <w:b/>
          <w:sz w:val="20"/>
        </w:rPr>
        <w:t>como</w:t>
      </w:r>
      <w:r>
        <w:rPr>
          <w:b/>
          <w:spacing w:val="-6"/>
          <w:sz w:val="20"/>
        </w:rPr>
        <w:t> </w:t>
      </w:r>
      <w:r>
        <w:rPr>
          <w:b/>
          <w:sz w:val="20"/>
        </w:rPr>
        <w:t>capital</w:t>
      </w:r>
      <w:r>
        <w:rPr>
          <w:b/>
          <w:spacing w:val="-6"/>
          <w:sz w:val="20"/>
        </w:rPr>
        <w:t> </w:t>
      </w:r>
      <w:r>
        <w:rPr>
          <w:b/>
          <w:sz w:val="20"/>
        </w:rPr>
        <w:t>de </w:t>
      </w:r>
      <w:r>
        <w:rPr>
          <w:b/>
          <w:spacing w:val="-2"/>
          <w:sz w:val="20"/>
        </w:rPr>
        <w:t>Aragón.</w:t>
      </w:r>
    </w:p>
    <w:p>
      <w:pPr>
        <w:pStyle w:val="BodyText"/>
        <w:rPr>
          <w:b/>
          <w:sz w:val="20"/>
        </w:rPr>
      </w:pPr>
    </w:p>
    <w:p>
      <w:pPr>
        <w:pStyle w:val="BodyText"/>
        <w:spacing w:before="175"/>
        <w:rPr>
          <w:b/>
          <w:sz w:val="20"/>
        </w:rPr>
      </w:pPr>
    </w:p>
    <w:p>
      <w:pPr>
        <w:spacing w:before="0"/>
        <w:ind w:left="1284" w:right="0" w:firstLine="0"/>
        <w:jc w:val="left"/>
        <w:rPr>
          <w:i/>
          <w:sz w:val="20"/>
        </w:rPr>
      </w:pPr>
      <w:r>
        <w:rPr>
          <w:i/>
          <w:sz w:val="20"/>
        </w:rPr>
        <w:t>Grupo</w:t>
      </w:r>
      <w:r>
        <w:rPr>
          <w:i/>
          <w:spacing w:val="-5"/>
          <w:sz w:val="20"/>
        </w:rPr>
        <w:t> </w:t>
      </w:r>
      <w:r>
        <w:rPr>
          <w:i/>
          <w:sz w:val="20"/>
        </w:rPr>
        <w:t>9</w:t>
      </w:r>
      <w:r>
        <w:rPr>
          <w:i/>
          <w:spacing w:val="-5"/>
          <w:sz w:val="20"/>
        </w:rPr>
        <w:t> </w:t>
      </w:r>
      <w:r>
        <w:rPr>
          <w:i/>
          <w:sz w:val="20"/>
        </w:rPr>
        <w:t>de</w:t>
      </w:r>
      <w:r>
        <w:rPr>
          <w:i/>
          <w:spacing w:val="-5"/>
          <w:sz w:val="20"/>
        </w:rPr>
        <w:t> </w:t>
      </w:r>
      <w:r>
        <w:rPr>
          <w:i/>
          <w:spacing w:val="-7"/>
          <w:sz w:val="20"/>
        </w:rPr>
        <w:t>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6"/>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90"/>
        <w:ind w:left="1284" w:right="0" w:firstLine="0"/>
        <w:jc w:val="left"/>
        <w:rPr>
          <w:b/>
          <w:sz w:val="20"/>
        </w:rPr>
      </w:pPr>
      <w:r>
        <w:rPr>
          <w:b/>
          <w:spacing w:val="-5"/>
          <w:sz w:val="20"/>
        </w:rPr>
        <w:t>91</w:t>
      </w:r>
    </w:p>
    <w:p>
      <w:pPr>
        <w:spacing w:after="0"/>
        <w:jc w:val="left"/>
        <w:rPr>
          <w:b/>
          <w:sz w:val="20"/>
        </w:rPr>
        <w:sectPr>
          <w:pgSz w:w="11910" w:h="16840"/>
          <w:pgMar w:header="314" w:footer="481" w:top="1240" w:bottom="680" w:left="141" w:right="141"/>
        </w:sectPr>
      </w:pPr>
    </w:p>
    <w:p>
      <w:pPr>
        <w:pStyle w:val="BodyText"/>
        <w:rPr>
          <w:b/>
          <w:sz w:val="20"/>
        </w:rPr>
      </w:pPr>
    </w:p>
    <w:p>
      <w:pPr>
        <w:pStyle w:val="BodyText"/>
        <w:spacing w:before="59"/>
        <w:rPr>
          <w:b/>
          <w:sz w:val="20"/>
        </w:rPr>
      </w:pPr>
    </w:p>
    <w:p>
      <w:pPr>
        <w:spacing w:before="1"/>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9"/>
        <w:ind w:left="1284" w:right="0" w:firstLine="0"/>
        <w:jc w:val="left"/>
        <w:rPr>
          <w:b/>
          <w:sz w:val="20"/>
        </w:rPr>
      </w:pPr>
      <w:r>
        <w:rPr>
          <w:b/>
          <w:sz w:val="20"/>
        </w:rPr>
        <w:t>10</w:t>
      </w:r>
      <w:r>
        <w:rPr>
          <w:b/>
          <w:spacing w:val="-5"/>
          <w:sz w:val="20"/>
        </w:rPr>
        <w:t> </w:t>
      </w:r>
      <w:r>
        <w:rPr>
          <w:b/>
          <w:spacing w:val="-2"/>
          <w:sz w:val="20"/>
        </w:rPr>
        <w:t>(último)</w:t>
      </w:r>
    </w:p>
    <w:p>
      <w:pPr>
        <w:pStyle w:val="BodyText"/>
        <w:spacing w:before="176"/>
        <w:rPr>
          <w:b/>
          <w:sz w:val="20"/>
        </w:rPr>
      </w:pPr>
    </w:p>
    <w:p>
      <w:pPr>
        <w:spacing w:before="0"/>
        <w:ind w:left="1284" w:right="0" w:firstLine="0"/>
        <w:jc w:val="left"/>
        <w:rPr>
          <w:sz w:val="20"/>
        </w:rPr>
      </w:pPr>
      <w:r>
        <w:rPr>
          <w:sz w:val="20"/>
        </w:rPr>
        <w:t>Texto</w:t>
      </w:r>
      <w:r>
        <w:rPr>
          <w:spacing w:val="-9"/>
          <w:sz w:val="20"/>
        </w:rPr>
        <w:t> </w:t>
      </w:r>
      <w:r>
        <w:rPr>
          <w:sz w:val="20"/>
        </w:rPr>
        <w:t>sobre</w:t>
      </w:r>
      <w:r>
        <w:rPr>
          <w:spacing w:val="-6"/>
          <w:sz w:val="20"/>
        </w:rPr>
        <w:t> </w:t>
      </w:r>
      <w:r>
        <w:rPr>
          <w:sz w:val="20"/>
        </w:rPr>
        <w:t>el</w:t>
      </w:r>
      <w:r>
        <w:rPr>
          <w:spacing w:val="-9"/>
          <w:sz w:val="20"/>
        </w:rPr>
        <w:t> </w:t>
      </w:r>
      <w:r>
        <w:rPr>
          <w:sz w:val="20"/>
        </w:rPr>
        <w:t>que</w:t>
      </w:r>
      <w:r>
        <w:rPr>
          <w:spacing w:val="-8"/>
          <w:sz w:val="20"/>
        </w:rPr>
        <w:t> </w:t>
      </w:r>
      <w:r>
        <w:rPr>
          <w:sz w:val="20"/>
        </w:rPr>
        <w:t>se</w:t>
      </w:r>
      <w:r>
        <w:rPr>
          <w:spacing w:val="-8"/>
          <w:sz w:val="20"/>
        </w:rPr>
        <w:t> </w:t>
      </w:r>
      <w:r>
        <w:rPr>
          <w:sz w:val="20"/>
        </w:rPr>
        <w:t>presentan</w:t>
      </w:r>
      <w:r>
        <w:rPr>
          <w:spacing w:val="-7"/>
          <w:sz w:val="20"/>
        </w:rPr>
        <w:t> </w:t>
      </w:r>
      <w:r>
        <w:rPr>
          <w:spacing w:val="-2"/>
          <w:sz w:val="20"/>
        </w:rPr>
        <w:t>alegaciones:</w:t>
      </w:r>
    </w:p>
    <w:p>
      <w:pPr>
        <w:spacing w:line="333" w:lineRule="auto" w:before="89"/>
        <w:ind w:left="1284" w:right="0" w:firstLine="0"/>
        <w:jc w:val="left"/>
        <w:rPr>
          <w:b/>
          <w:sz w:val="20"/>
        </w:rPr>
      </w:pPr>
      <w:r>
        <w:rPr>
          <w:b/>
          <w:sz w:val="20"/>
        </w:rPr>
        <w:t>En</w:t>
      </w:r>
      <w:r>
        <w:rPr>
          <w:b/>
          <w:spacing w:val="-5"/>
          <w:sz w:val="20"/>
        </w:rPr>
        <w:t> </w:t>
      </w:r>
      <w:r>
        <w:rPr>
          <w:b/>
          <w:sz w:val="20"/>
        </w:rPr>
        <w:t>la</w:t>
      </w:r>
      <w:r>
        <w:rPr>
          <w:b/>
          <w:spacing w:val="-5"/>
          <w:sz w:val="20"/>
        </w:rPr>
        <w:t> </w:t>
      </w:r>
      <w:r>
        <w:rPr>
          <w:b/>
          <w:sz w:val="20"/>
        </w:rPr>
        <w:t>misma</w:t>
      </w:r>
      <w:r>
        <w:rPr>
          <w:b/>
          <w:spacing w:val="-5"/>
          <w:sz w:val="20"/>
        </w:rPr>
        <w:t> </w:t>
      </w:r>
      <w:r>
        <w:rPr>
          <w:b/>
          <w:sz w:val="20"/>
        </w:rPr>
        <w:t>página</w:t>
      </w:r>
      <w:r>
        <w:rPr>
          <w:b/>
          <w:spacing w:val="-5"/>
          <w:sz w:val="20"/>
        </w:rPr>
        <w:t> </w:t>
      </w:r>
      <w:r>
        <w:rPr>
          <w:b/>
          <w:sz w:val="20"/>
        </w:rPr>
        <w:t>91,</w:t>
      </w:r>
      <w:r>
        <w:rPr>
          <w:b/>
          <w:spacing w:val="-5"/>
          <w:sz w:val="20"/>
        </w:rPr>
        <w:t> </w:t>
      </w:r>
      <w:r>
        <w:rPr>
          <w:b/>
          <w:sz w:val="20"/>
        </w:rPr>
        <w:t>apartado</w:t>
      </w:r>
      <w:r>
        <w:rPr>
          <w:b/>
          <w:spacing w:val="-5"/>
          <w:sz w:val="20"/>
        </w:rPr>
        <w:t> </w:t>
      </w:r>
      <w:r>
        <w:rPr>
          <w:b/>
          <w:sz w:val="20"/>
        </w:rPr>
        <w:t>II.6.2.2</w:t>
      </w:r>
      <w:r>
        <w:rPr>
          <w:b/>
          <w:spacing w:val="-5"/>
          <w:sz w:val="20"/>
        </w:rPr>
        <w:t> </w:t>
      </w:r>
      <w:r>
        <w:rPr>
          <w:b/>
          <w:sz w:val="20"/>
        </w:rPr>
        <w:t>se</w:t>
      </w:r>
      <w:r>
        <w:rPr>
          <w:b/>
          <w:spacing w:val="-5"/>
          <w:sz w:val="20"/>
        </w:rPr>
        <w:t> </w:t>
      </w:r>
      <w:r>
        <w:rPr>
          <w:b/>
          <w:sz w:val="20"/>
        </w:rPr>
        <w:t>afirma</w:t>
      </w:r>
      <w:r>
        <w:rPr>
          <w:b/>
          <w:spacing w:val="-5"/>
          <w:sz w:val="20"/>
        </w:rPr>
        <w:t> </w:t>
      </w:r>
      <w:r>
        <w:rPr>
          <w:b/>
          <w:sz w:val="20"/>
        </w:rPr>
        <w:t>que</w:t>
      </w:r>
      <w:r>
        <w:rPr>
          <w:b/>
          <w:spacing w:val="-5"/>
          <w:sz w:val="20"/>
        </w:rPr>
        <w:t> </w:t>
      </w:r>
      <w:r>
        <w:rPr>
          <w:b/>
          <w:sz w:val="20"/>
        </w:rPr>
        <w:t>el</w:t>
      </w:r>
      <w:r>
        <w:rPr>
          <w:b/>
          <w:spacing w:val="-5"/>
          <w:sz w:val="20"/>
        </w:rPr>
        <w:t> </w:t>
      </w:r>
      <w:r>
        <w:rPr>
          <w:b/>
          <w:sz w:val="20"/>
        </w:rPr>
        <w:t>Ayuntamiento</w:t>
      </w:r>
      <w:r>
        <w:rPr>
          <w:b/>
          <w:spacing w:val="-5"/>
          <w:sz w:val="20"/>
        </w:rPr>
        <w:t> </w:t>
      </w:r>
      <w:r>
        <w:rPr>
          <w:b/>
          <w:sz w:val="20"/>
        </w:rPr>
        <w:t>de</w:t>
      </w:r>
      <w:r>
        <w:rPr>
          <w:b/>
          <w:spacing w:val="-5"/>
          <w:sz w:val="20"/>
        </w:rPr>
        <w:t> </w:t>
      </w:r>
      <w:r>
        <w:rPr>
          <w:b/>
          <w:sz w:val="20"/>
        </w:rPr>
        <w:t>Zaragoza</w:t>
      </w:r>
      <w:r>
        <w:rPr>
          <w:b/>
          <w:spacing w:val="-5"/>
          <w:sz w:val="20"/>
        </w:rPr>
        <w:t> </w:t>
      </w:r>
      <w:r>
        <w:rPr>
          <w:b/>
          <w:sz w:val="20"/>
        </w:rPr>
        <w:t>no</w:t>
      </w:r>
      <w:r>
        <w:rPr>
          <w:b/>
          <w:spacing w:val="-4"/>
          <w:sz w:val="20"/>
        </w:rPr>
        <w:t> </w:t>
      </w:r>
      <w:r>
        <w:rPr>
          <w:b/>
          <w:sz w:val="20"/>
        </w:rPr>
        <w:t>tiene</w:t>
      </w:r>
      <w:r>
        <w:rPr>
          <w:b/>
          <w:spacing w:val="-5"/>
          <w:sz w:val="20"/>
        </w:rPr>
        <w:t> </w:t>
      </w:r>
      <w:r>
        <w:rPr>
          <w:b/>
          <w:sz w:val="20"/>
        </w:rPr>
        <w:t>enlace</w:t>
      </w:r>
      <w:r>
        <w:rPr>
          <w:b/>
          <w:spacing w:val="-5"/>
          <w:sz w:val="20"/>
        </w:rPr>
        <w:t> </w:t>
      </w:r>
      <w:r>
        <w:rPr>
          <w:b/>
          <w:sz w:val="20"/>
        </w:rPr>
        <w:t>a</w:t>
      </w:r>
      <w:r>
        <w:rPr>
          <w:b/>
          <w:spacing w:val="-2"/>
          <w:sz w:val="20"/>
        </w:rPr>
        <w:t> </w:t>
      </w:r>
      <w:r>
        <w:rPr>
          <w:b/>
          <w:sz w:val="20"/>
        </w:rPr>
        <w:t>la Plataforma de Contratación del Sector Público.</w:t>
      </w:r>
    </w:p>
    <w:p>
      <w:pPr>
        <w:pStyle w:val="BodyText"/>
        <w:spacing w:before="86"/>
        <w:rPr>
          <w:b/>
          <w:sz w:val="20"/>
        </w:rPr>
      </w:pPr>
    </w:p>
    <w:p>
      <w:pPr>
        <w:spacing w:before="0"/>
        <w:ind w:left="1284" w:right="0" w:firstLine="0"/>
        <w:jc w:val="left"/>
        <w:rPr>
          <w:sz w:val="20"/>
        </w:rPr>
      </w:pPr>
      <w:r>
        <w:rPr>
          <w:spacing w:val="-2"/>
          <w:sz w:val="20"/>
        </w:rPr>
        <w:t>Alegación:</w:t>
      </w:r>
    </w:p>
    <w:p>
      <w:pPr>
        <w:spacing w:line="333" w:lineRule="auto" w:before="89"/>
        <w:ind w:left="1284" w:right="496" w:firstLine="0"/>
        <w:jc w:val="left"/>
        <w:rPr>
          <w:b/>
          <w:sz w:val="20"/>
        </w:rPr>
      </w:pPr>
      <w:r>
        <w:rPr>
          <w:b/>
          <w:sz w:val="20"/>
        </w:rPr>
        <w:t>Al</w:t>
      </w:r>
      <w:r>
        <w:rPr>
          <w:b/>
          <w:spacing w:val="-2"/>
          <w:sz w:val="20"/>
        </w:rPr>
        <w:t> </w:t>
      </w:r>
      <w:r>
        <w:rPr>
          <w:b/>
          <w:sz w:val="20"/>
        </w:rPr>
        <w:t>respecto</w:t>
      </w:r>
      <w:r>
        <w:rPr>
          <w:b/>
          <w:spacing w:val="-7"/>
          <w:sz w:val="20"/>
        </w:rPr>
        <w:t> </w:t>
      </w:r>
      <w:r>
        <w:rPr>
          <w:b/>
          <w:sz w:val="20"/>
        </w:rPr>
        <w:t>cabe</w:t>
      </w:r>
      <w:r>
        <w:rPr>
          <w:b/>
          <w:spacing w:val="-7"/>
          <w:sz w:val="20"/>
        </w:rPr>
        <w:t> </w:t>
      </w:r>
      <w:r>
        <w:rPr>
          <w:b/>
          <w:sz w:val="20"/>
        </w:rPr>
        <w:t>señalar</w:t>
      </w:r>
      <w:r>
        <w:rPr>
          <w:b/>
          <w:spacing w:val="-7"/>
          <w:sz w:val="20"/>
        </w:rPr>
        <w:t> </w:t>
      </w:r>
      <w:r>
        <w:rPr>
          <w:b/>
          <w:sz w:val="20"/>
        </w:rPr>
        <w:t>que</w:t>
      </w:r>
      <w:r>
        <w:rPr>
          <w:b/>
          <w:spacing w:val="-7"/>
          <w:sz w:val="20"/>
        </w:rPr>
        <w:t> </w:t>
      </w:r>
      <w:r>
        <w:rPr>
          <w:b/>
          <w:sz w:val="20"/>
        </w:rPr>
        <w:t>todas</w:t>
      </w:r>
      <w:r>
        <w:rPr>
          <w:b/>
          <w:spacing w:val="-5"/>
          <w:sz w:val="20"/>
        </w:rPr>
        <w:t> </w:t>
      </w:r>
      <w:r>
        <w:rPr>
          <w:b/>
          <w:sz w:val="20"/>
        </w:rPr>
        <w:t>las</w:t>
      </w:r>
      <w:r>
        <w:rPr>
          <w:b/>
          <w:spacing w:val="-7"/>
          <w:sz w:val="20"/>
        </w:rPr>
        <w:t> </w:t>
      </w:r>
      <w:r>
        <w:rPr>
          <w:b/>
          <w:sz w:val="20"/>
        </w:rPr>
        <w:t>licitaciones</w:t>
      </w:r>
      <w:r>
        <w:rPr>
          <w:b/>
          <w:spacing w:val="-7"/>
          <w:sz w:val="20"/>
        </w:rPr>
        <w:t> </w:t>
      </w:r>
      <w:r>
        <w:rPr>
          <w:b/>
          <w:sz w:val="20"/>
        </w:rPr>
        <w:t>publicadas</w:t>
      </w:r>
      <w:r>
        <w:rPr>
          <w:b/>
          <w:spacing w:val="-7"/>
          <w:sz w:val="20"/>
        </w:rPr>
        <w:t> </w:t>
      </w:r>
      <w:r>
        <w:rPr>
          <w:b/>
          <w:sz w:val="20"/>
        </w:rPr>
        <w:t>en</w:t>
      </w:r>
      <w:r>
        <w:rPr>
          <w:b/>
          <w:spacing w:val="-7"/>
          <w:sz w:val="20"/>
        </w:rPr>
        <w:t> </w:t>
      </w:r>
      <w:r>
        <w:rPr>
          <w:b/>
          <w:sz w:val="20"/>
        </w:rPr>
        <w:t>la</w:t>
      </w:r>
      <w:r>
        <w:rPr>
          <w:b/>
          <w:spacing w:val="-4"/>
          <w:sz w:val="20"/>
        </w:rPr>
        <w:t> </w:t>
      </w:r>
      <w:r>
        <w:rPr>
          <w:b/>
          <w:sz w:val="20"/>
        </w:rPr>
        <w:t>Plataforma</w:t>
      </w:r>
      <w:r>
        <w:rPr>
          <w:b/>
          <w:spacing w:val="-7"/>
          <w:sz w:val="20"/>
        </w:rPr>
        <w:t> </w:t>
      </w:r>
      <w:r>
        <w:rPr>
          <w:b/>
          <w:sz w:val="20"/>
        </w:rPr>
        <w:t>de</w:t>
      </w:r>
      <w:r>
        <w:rPr>
          <w:b/>
          <w:spacing w:val="-7"/>
          <w:sz w:val="20"/>
        </w:rPr>
        <w:t> </w:t>
      </w:r>
      <w:r>
        <w:rPr>
          <w:b/>
          <w:sz w:val="20"/>
        </w:rPr>
        <w:t>Contratación</w:t>
      </w:r>
      <w:r>
        <w:rPr>
          <w:b/>
          <w:spacing w:val="-7"/>
          <w:sz w:val="20"/>
        </w:rPr>
        <w:t> </w:t>
      </w:r>
      <w:r>
        <w:rPr>
          <w:b/>
          <w:sz w:val="20"/>
        </w:rPr>
        <w:t>tienen un enlace accesible desde el detalle de dicha licitación</w:t>
      </w:r>
      <w:r>
        <w:rPr>
          <w:b/>
          <w:spacing w:val="-2"/>
          <w:sz w:val="20"/>
        </w:rPr>
        <w:t> </w:t>
      </w:r>
      <w:r>
        <w:rPr>
          <w:b/>
          <w:sz w:val="20"/>
        </w:rPr>
        <w:t>en el servicio de visualización de contratación pública del Ayuntamiento de Zaragoza. No obstante, y atendiendo a la recomendación efectuada por ese Tribunal, se va a generar una página con el enlace directo a Plataforma de Contratación de los diferentes órganos de contratación.</w:t>
      </w:r>
    </w:p>
    <w:p>
      <w:pPr>
        <w:pStyle w:val="BodyText"/>
        <w:rPr>
          <w:b/>
          <w:sz w:val="20"/>
        </w:rPr>
      </w:pPr>
    </w:p>
    <w:p>
      <w:pPr>
        <w:pStyle w:val="BodyText"/>
        <w:spacing w:before="171"/>
        <w:rPr>
          <w:b/>
          <w:sz w:val="20"/>
        </w:rPr>
      </w:pPr>
    </w:p>
    <w:p>
      <w:pPr>
        <w:spacing w:before="0"/>
        <w:ind w:left="1284" w:right="0" w:firstLine="0"/>
        <w:jc w:val="left"/>
        <w:rPr>
          <w:i/>
          <w:sz w:val="20"/>
        </w:rPr>
      </w:pPr>
      <w:r>
        <w:rPr>
          <w:i/>
          <w:sz w:val="20"/>
        </w:rPr>
        <w:t>Grupo</w:t>
      </w:r>
      <w:r>
        <w:rPr>
          <w:i/>
          <w:spacing w:val="-8"/>
          <w:sz w:val="20"/>
        </w:rPr>
        <w:t> </w:t>
      </w:r>
      <w:r>
        <w:rPr>
          <w:i/>
          <w:sz w:val="20"/>
        </w:rPr>
        <w:t>10</w:t>
      </w:r>
      <w:r>
        <w:rPr>
          <w:i/>
          <w:spacing w:val="-6"/>
          <w:sz w:val="20"/>
        </w:rPr>
        <w:t> </w:t>
      </w:r>
      <w:r>
        <w:rPr>
          <w:i/>
          <w:sz w:val="20"/>
        </w:rPr>
        <w:t>de</w:t>
      </w:r>
      <w:r>
        <w:rPr>
          <w:i/>
          <w:spacing w:val="-5"/>
          <w:sz w:val="20"/>
        </w:rPr>
        <w:t> 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9"/>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z w:val="20"/>
        </w:rPr>
        <mc:AlternateContent>
          <mc:Choice Requires="wps">
            <w:drawing>
              <wp:anchor distT="0" distB="0" distL="0" distR="0" allowOverlap="1" layoutInCell="1" locked="0" behindDoc="0" simplePos="0" relativeHeight="15969280">
                <wp:simplePos x="0" y="0"/>
                <wp:positionH relativeFrom="page">
                  <wp:posOffset>244784</wp:posOffset>
                </wp:positionH>
                <wp:positionV relativeFrom="paragraph">
                  <wp:posOffset>164278</wp:posOffset>
                </wp:positionV>
                <wp:extent cx="251460" cy="2155190"/>
                <wp:effectExtent l="0" t="0" r="0" b="0"/>
                <wp:wrapNone/>
                <wp:docPr id="2235" name="Textbox 2235"/>
                <wp:cNvGraphicFramePr>
                  <a:graphicFrameLocks/>
                </wp:cNvGraphicFramePr>
                <a:graphic>
                  <a:graphicData uri="http://schemas.microsoft.com/office/word/2010/wordprocessingShape">
                    <wps:wsp>
                      <wps:cNvPr id="2235" name="Textbox 2235"/>
                      <wps:cNvSpPr txBox="1"/>
                      <wps:spPr>
                        <a:xfrm>
                          <a:off x="0" y="0"/>
                          <a:ext cx="251460" cy="2155190"/>
                        </a:xfrm>
                        <a:prstGeom prst="rect">
                          <a:avLst/>
                        </a:prstGeom>
                      </wps:spPr>
                      <wps:txbx>
                        <w:txbxContent>
                          <w:p>
                            <w:pPr>
                              <w:spacing w:line="181" w:lineRule="exact"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p>
                            <w:pPr>
                              <w:spacing w:line="181" w:lineRule="exact" w:before="0"/>
                              <w:ind w:left="356" w:right="0" w:firstLine="0"/>
                              <w:jc w:val="center"/>
                              <w:rPr>
                                <w:sz w:val="16"/>
                              </w:rPr>
                            </w:pPr>
                            <w:r>
                              <w:rPr>
                                <w:spacing w:val="-10"/>
                                <w:sz w:val="16"/>
                              </w:rPr>
                              <w:t>Z</w:t>
                            </w:r>
                          </w:p>
                        </w:txbxContent>
                      </wps:txbx>
                      <wps:bodyPr wrap="square" lIns="0" tIns="0" rIns="0" bIns="0" rtlCol="0" vert="vert270">
                        <a:noAutofit/>
                      </wps:bodyPr>
                    </wps:wsp>
                  </a:graphicData>
                </a:graphic>
              </wp:anchor>
            </w:drawing>
          </mc:Choice>
          <mc:Fallback>
            <w:pict>
              <v:shape style="position:absolute;margin-left:19.274403pt;margin-top:12.935334pt;width:19.8pt;height:169.7pt;mso-position-horizontal-relative:page;mso-position-vertical-relative:paragraph;z-index:15969280" type="#_x0000_t202" id="docshape1617" filled="false" stroked="false">
                <v:textbox inset="0,0,0,0" style="layout-flow:vertical;mso-layout-flow-alt:bottom-to-top">
                  <w:txbxContent>
                    <w:p>
                      <w:pPr>
                        <w:spacing w:line="181" w:lineRule="exact"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p>
                      <w:pPr>
                        <w:spacing w:line="181" w:lineRule="exact" w:before="0"/>
                        <w:ind w:left="356" w:right="0" w:firstLine="0"/>
                        <w:jc w:val="center"/>
                        <w:rPr>
                          <w:sz w:val="16"/>
                        </w:rPr>
                      </w:pPr>
                      <w:r>
                        <w:rPr>
                          <w:spacing w:val="-10"/>
                          <w:sz w:val="16"/>
                        </w:rPr>
                        <w:t>Z</w:t>
                      </w:r>
                    </w:p>
                  </w:txbxContent>
                </v:textbox>
                <w10:wrap type="none"/>
              </v:shape>
            </w:pict>
          </mc:Fallback>
        </mc:AlternateContent>
      </w:r>
      <w:r>
        <w:rPr>
          <w:b/>
          <w:spacing w:val="-5"/>
          <w:sz w:val="20"/>
        </w:rPr>
        <w:t>94</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pacing w:val="-2"/>
          <w:sz w:val="20"/>
        </w:rPr>
        <w:t>5</w:t>
      </w:r>
      <w:r>
        <w:rPr>
          <w:b/>
          <w:spacing w:val="-1"/>
          <w:sz w:val="20"/>
        </w:rPr>
        <w:t> </w:t>
      </w:r>
      <w:r>
        <w:rPr>
          <w:b/>
          <w:spacing w:val="-2"/>
          <w:sz w:val="20"/>
        </w:rPr>
        <w:t>(recomendación</w:t>
      </w:r>
      <w:r>
        <w:rPr>
          <w:b/>
          <w:spacing w:val="1"/>
          <w:sz w:val="20"/>
        </w:rPr>
        <w:t> </w:t>
      </w:r>
      <w:r>
        <w:rPr>
          <w:b/>
          <w:spacing w:val="-5"/>
          <w:sz w:val="20"/>
        </w:rPr>
        <w:t>1)</w:t>
      </w:r>
    </w:p>
    <w:p>
      <w:pPr>
        <w:pStyle w:val="BodyText"/>
        <w:spacing w:before="178"/>
        <w:rPr>
          <w:b/>
          <w:sz w:val="20"/>
        </w:rPr>
      </w:pPr>
    </w:p>
    <w:p>
      <w:pPr>
        <w:spacing w:before="0"/>
        <w:ind w:left="1284" w:right="0" w:firstLine="0"/>
        <w:jc w:val="left"/>
        <w:rPr>
          <w:sz w:val="20"/>
        </w:rPr>
      </w:pPr>
      <w:r>
        <w:rPr>
          <w:sz w:val="20"/>
        </w:rPr>
        <mc:AlternateContent>
          <mc:Choice Requires="wps">
            <w:drawing>
              <wp:anchor distT="0" distB="0" distL="0" distR="0" allowOverlap="1" layoutInCell="1" locked="0" behindDoc="0" simplePos="0" relativeHeight="15969792">
                <wp:simplePos x="0" y="0"/>
                <wp:positionH relativeFrom="page">
                  <wp:posOffset>344030</wp:posOffset>
                </wp:positionH>
                <wp:positionV relativeFrom="paragraph">
                  <wp:posOffset>79845</wp:posOffset>
                </wp:positionV>
                <wp:extent cx="163830" cy="2949575"/>
                <wp:effectExtent l="0" t="0" r="0" b="0"/>
                <wp:wrapNone/>
                <wp:docPr id="2236" name="Graphic 2236"/>
                <wp:cNvGraphicFramePr>
                  <a:graphicFrameLocks/>
                </wp:cNvGraphicFramePr>
                <a:graphic>
                  <a:graphicData uri="http://schemas.microsoft.com/office/word/2010/wordprocessingShape">
                    <wps:wsp>
                      <wps:cNvPr id="2236" name="Graphic 2236"/>
                      <wps:cNvSpPr/>
                      <wps:spPr>
                        <a:xfrm>
                          <a:off x="0" y="0"/>
                          <a:ext cx="163830" cy="2949575"/>
                        </a:xfrm>
                        <a:custGeom>
                          <a:avLst/>
                          <a:gdLst/>
                          <a:ahLst/>
                          <a:cxnLst/>
                          <a:rect l="l" t="t" r="r" b="b"/>
                          <a:pathLst>
                            <a:path w="163830" h="2949575">
                              <a:moveTo>
                                <a:pt x="163258" y="0"/>
                              </a:moveTo>
                              <a:lnTo>
                                <a:pt x="0" y="0"/>
                              </a:lnTo>
                              <a:lnTo>
                                <a:pt x="0" y="2949028"/>
                              </a:lnTo>
                              <a:lnTo>
                                <a:pt x="163258" y="2949028"/>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6.287013pt;width:12.855pt;height:232.207pt;mso-position-horizontal-relative:page;mso-position-vertical-relative:paragraph;z-index:15969792" id="docshape1618" filled="true" fillcolor="#000000" stroked="false">
                <v:fill type="solid"/>
                <w10:wrap type="none"/>
              </v:rect>
            </w:pict>
          </mc:Fallback>
        </mc:AlternateContent>
      </w:r>
      <w:r>
        <w:rPr>
          <w:spacing w:val="-2"/>
          <w:sz w:val="20"/>
        </w:rPr>
        <w:t>Alegación:</w:t>
      </w:r>
    </w:p>
    <w:p>
      <w:pPr>
        <w:spacing w:line="331" w:lineRule="auto" w:before="90"/>
        <w:ind w:left="1284" w:right="496" w:firstLine="0"/>
        <w:jc w:val="left"/>
        <w:rPr>
          <w:b/>
          <w:sz w:val="20"/>
        </w:rPr>
      </w:pPr>
      <w:r>
        <w:rPr>
          <w:b/>
          <w:sz w:val="20"/>
        </w:rPr>
        <mc:AlternateContent>
          <mc:Choice Requires="wps">
            <w:drawing>
              <wp:anchor distT="0" distB="0" distL="0" distR="0" allowOverlap="1" layoutInCell="1" locked="0" behindDoc="0" simplePos="0" relativeHeight="15968256">
                <wp:simplePos x="0" y="0"/>
                <wp:positionH relativeFrom="page">
                  <wp:posOffset>130383</wp:posOffset>
                </wp:positionH>
                <wp:positionV relativeFrom="paragraph">
                  <wp:posOffset>192845</wp:posOffset>
                </wp:positionV>
                <wp:extent cx="138430" cy="2952750"/>
                <wp:effectExtent l="0" t="0" r="0" b="0"/>
                <wp:wrapNone/>
                <wp:docPr id="2237" name="Textbox 2237"/>
                <wp:cNvGraphicFramePr>
                  <a:graphicFrameLocks/>
                </wp:cNvGraphicFramePr>
                <a:graphic>
                  <a:graphicData uri="http://schemas.microsoft.com/office/word/2010/wordprocessingShape">
                    <wps:wsp>
                      <wps:cNvPr id="2237" name="Textbox 2237"/>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15.184681pt;width:10.9pt;height:232.5pt;mso-position-horizontal-relative:page;mso-position-vertical-relative:paragraph;z-index:15968256" type="#_x0000_t202" id="docshape1619"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w:t>A la recomendación nº 1, que tal y como ya se ha manifestado con anterioridad, se procederá a la adaptación</w:t>
      </w:r>
      <w:r>
        <w:rPr>
          <w:b/>
          <w:spacing w:val="-5"/>
          <w:sz w:val="20"/>
        </w:rPr>
        <w:t> </w:t>
      </w:r>
      <w:r>
        <w:rPr>
          <w:b/>
          <w:sz w:val="20"/>
        </w:rPr>
        <w:t>del</w:t>
      </w:r>
      <w:r>
        <w:rPr>
          <w:b/>
          <w:spacing w:val="-6"/>
          <w:sz w:val="20"/>
        </w:rPr>
        <w:t> </w:t>
      </w:r>
      <w:r>
        <w:rPr>
          <w:b/>
          <w:sz w:val="20"/>
        </w:rPr>
        <w:t>Plan</w:t>
      </w:r>
      <w:r>
        <w:rPr>
          <w:b/>
          <w:spacing w:val="-6"/>
          <w:sz w:val="20"/>
        </w:rPr>
        <w:t> </w:t>
      </w:r>
      <w:r>
        <w:rPr>
          <w:b/>
          <w:sz w:val="20"/>
        </w:rPr>
        <w:t>de</w:t>
      </w:r>
      <w:r>
        <w:rPr>
          <w:b/>
          <w:spacing w:val="-6"/>
          <w:sz w:val="20"/>
        </w:rPr>
        <w:t> </w:t>
      </w:r>
      <w:r>
        <w:rPr>
          <w:b/>
          <w:sz w:val="20"/>
        </w:rPr>
        <w:t>Movilidad</w:t>
      </w:r>
      <w:r>
        <w:rPr>
          <w:b/>
          <w:spacing w:val="-6"/>
          <w:sz w:val="20"/>
        </w:rPr>
        <w:t> </w:t>
      </w:r>
      <w:r>
        <w:rPr>
          <w:b/>
          <w:sz w:val="20"/>
        </w:rPr>
        <w:t>Urbana</w:t>
      </w:r>
      <w:r>
        <w:rPr>
          <w:b/>
          <w:spacing w:val="-6"/>
          <w:sz w:val="20"/>
        </w:rPr>
        <w:t> </w:t>
      </w:r>
      <w:r>
        <w:rPr>
          <w:b/>
          <w:sz w:val="20"/>
        </w:rPr>
        <w:t>Sostenible</w:t>
      </w:r>
      <w:r>
        <w:rPr>
          <w:b/>
          <w:spacing w:val="-6"/>
          <w:sz w:val="20"/>
        </w:rPr>
        <w:t> </w:t>
      </w:r>
      <w:r>
        <w:rPr>
          <w:b/>
          <w:sz w:val="20"/>
        </w:rPr>
        <w:t>a</w:t>
      </w:r>
      <w:r>
        <w:rPr>
          <w:b/>
          <w:spacing w:val="-6"/>
          <w:sz w:val="20"/>
        </w:rPr>
        <w:t> </w:t>
      </w:r>
      <w:r>
        <w:rPr>
          <w:b/>
          <w:sz w:val="20"/>
        </w:rPr>
        <w:t>las</w:t>
      </w:r>
      <w:r>
        <w:rPr>
          <w:b/>
          <w:spacing w:val="-6"/>
          <w:sz w:val="20"/>
        </w:rPr>
        <w:t> </w:t>
      </w:r>
      <w:r>
        <w:rPr>
          <w:b/>
          <w:sz w:val="20"/>
        </w:rPr>
        <w:t>disposiciones</w:t>
      </w:r>
      <w:r>
        <w:rPr>
          <w:b/>
          <w:spacing w:val="-6"/>
          <w:sz w:val="20"/>
        </w:rPr>
        <w:t> </w:t>
      </w:r>
      <w:r>
        <w:rPr>
          <w:b/>
          <w:sz w:val="20"/>
        </w:rPr>
        <w:t>de</w:t>
      </w:r>
      <w:r>
        <w:rPr>
          <w:b/>
          <w:spacing w:val="-6"/>
          <w:sz w:val="20"/>
        </w:rPr>
        <w:t> </w:t>
      </w:r>
      <w:r>
        <w:rPr>
          <w:b/>
          <w:sz w:val="20"/>
        </w:rPr>
        <w:t>la</w:t>
      </w:r>
      <w:r>
        <w:rPr>
          <w:b/>
          <w:spacing w:val="-6"/>
          <w:sz w:val="20"/>
        </w:rPr>
        <w:t> </w:t>
      </w:r>
      <w:r>
        <w:rPr>
          <w:b/>
          <w:sz w:val="20"/>
        </w:rPr>
        <w:t>Ley</w:t>
      </w:r>
      <w:r>
        <w:rPr>
          <w:b/>
          <w:spacing w:val="-4"/>
          <w:sz w:val="20"/>
        </w:rPr>
        <w:t> </w:t>
      </w:r>
      <w:r>
        <w:rPr>
          <w:b/>
          <w:sz w:val="20"/>
        </w:rPr>
        <w:t>de</w:t>
      </w:r>
      <w:r>
        <w:rPr>
          <w:b/>
          <w:spacing w:val="-6"/>
          <w:sz w:val="20"/>
        </w:rPr>
        <w:t> </w:t>
      </w:r>
      <w:r>
        <w:rPr>
          <w:b/>
          <w:sz w:val="20"/>
        </w:rPr>
        <w:t>cambio</w:t>
      </w:r>
      <w:r>
        <w:rPr>
          <w:b/>
          <w:spacing w:val="-6"/>
          <w:sz w:val="20"/>
        </w:rPr>
        <w:t> </w:t>
      </w:r>
      <w:r>
        <w:rPr>
          <w:b/>
          <w:sz w:val="20"/>
        </w:rPr>
        <w:t>climático</w:t>
      </w:r>
      <w:r>
        <w:rPr>
          <w:b/>
          <w:spacing w:val="-6"/>
          <w:sz w:val="20"/>
        </w:rPr>
        <w:t> </w:t>
      </w:r>
      <w:r>
        <w:rPr>
          <w:b/>
          <w:sz w:val="20"/>
        </w:rPr>
        <w:t>y transición energética en la primera revisión de dicho plan, que en todo caso se prevé esté completada en el año 2027.</w:t>
      </w:r>
    </w:p>
    <w:p>
      <w:pPr>
        <w:pStyle w:val="BodyText"/>
        <w:rPr>
          <w:b/>
          <w:sz w:val="20"/>
        </w:rPr>
      </w:pPr>
    </w:p>
    <w:p>
      <w:pPr>
        <w:pStyle w:val="BodyText"/>
        <w:spacing w:before="180"/>
        <w:rPr>
          <w:b/>
          <w:sz w:val="20"/>
        </w:rPr>
      </w:pPr>
    </w:p>
    <w:p>
      <w:pPr>
        <w:spacing w:before="0"/>
        <w:ind w:left="1284" w:right="0" w:firstLine="0"/>
        <w:jc w:val="left"/>
        <w:rPr>
          <w:i/>
          <w:sz w:val="20"/>
        </w:rPr>
      </w:pPr>
      <w:r>
        <w:rPr>
          <w:i/>
          <w:sz w:val="20"/>
        </w:rPr>
        <mc:AlternateContent>
          <mc:Choice Requires="wps">
            <w:drawing>
              <wp:anchor distT="0" distB="0" distL="0" distR="0" allowOverlap="1" layoutInCell="1" locked="0" behindDoc="0" simplePos="0" relativeHeight="15968768">
                <wp:simplePos x="0" y="0"/>
                <wp:positionH relativeFrom="page">
                  <wp:posOffset>244784</wp:posOffset>
                </wp:positionH>
                <wp:positionV relativeFrom="paragraph">
                  <wp:posOffset>131658</wp:posOffset>
                </wp:positionV>
                <wp:extent cx="251460" cy="1744345"/>
                <wp:effectExtent l="0" t="0" r="0" b="0"/>
                <wp:wrapNone/>
                <wp:docPr id="2238" name="Textbox 2238"/>
                <wp:cNvGraphicFramePr>
                  <a:graphicFrameLocks/>
                </wp:cNvGraphicFramePr>
                <a:graphic>
                  <a:graphicData uri="http://schemas.microsoft.com/office/word/2010/wordprocessingShape">
                    <wps:wsp>
                      <wps:cNvPr id="2238" name="Textbox 2238"/>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10.366791pt;width:19.8pt;height:137.35pt;mso-position-horizontal-relative:page;mso-position-vertical-relative:paragraph;z-index:15968768" type="#_x0000_t202" id="docshape1620"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i/>
          <w:sz w:val="20"/>
        </w:rPr>
        <w:t>Grupo</w:t>
      </w:r>
      <w:r>
        <w:rPr>
          <w:i/>
          <w:spacing w:val="-8"/>
          <w:sz w:val="20"/>
        </w:rPr>
        <w:t> </w:t>
      </w:r>
      <w:r>
        <w:rPr>
          <w:i/>
          <w:sz w:val="20"/>
        </w:rPr>
        <w:t>11</w:t>
      </w:r>
      <w:r>
        <w:rPr>
          <w:i/>
          <w:spacing w:val="-6"/>
          <w:sz w:val="20"/>
        </w:rPr>
        <w:t> </w:t>
      </w:r>
      <w:r>
        <w:rPr>
          <w:i/>
          <w:sz w:val="20"/>
        </w:rPr>
        <w:t>de</w:t>
      </w:r>
      <w:r>
        <w:rPr>
          <w:i/>
          <w:spacing w:val="-5"/>
          <w:sz w:val="20"/>
        </w:rPr>
        <w:t> 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90"/>
        <w:ind w:left="1284" w:right="0" w:firstLine="0"/>
        <w:jc w:val="left"/>
        <w:rPr>
          <w:b/>
          <w:sz w:val="20"/>
        </w:rPr>
      </w:pPr>
      <w:r>
        <w:rPr>
          <w:b/>
          <w:sz w:val="20"/>
        </w:rPr>
        <w:t>Al</w:t>
      </w:r>
      <w:r>
        <w:rPr>
          <w:b/>
          <w:spacing w:val="-3"/>
          <w:sz w:val="20"/>
        </w:rPr>
        <w:t> </w:t>
      </w:r>
      <w:r>
        <w:rPr>
          <w:b/>
          <w:spacing w:val="-2"/>
          <w:sz w:val="20"/>
        </w:rPr>
        <w:t>texto</w:t>
      </w:r>
    </w:p>
    <w:p>
      <w:pPr>
        <w:pStyle w:val="BodyText"/>
        <w:spacing w:before="175"/>
        <w:rPr>
          <w:b/>
          <w:sz w:val="20"/>
        </w:rPr>
      </w:pPr>
    </w:p>
    <w:p>
      <w:pPr>
        <w:spacing w:before="1"/>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9"/>
        <w:ind w:left="1284" w:right="0" w:firstLine="0"/>
        <w:jc w:val="left"/>
        <w:rPr>
          <w:b/>
          <w:sz w:val="20"/>
        </w:rPr>
      </w:pPr>
      <w:r>
        <w:rPr>
          <w:b/>
          <w:spacing w:val="-5"/>
          <w:sz w:val="20"/>
        </w:rPr>
        <w:t>95</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7"/>
        <w:ind w:left="1284" w:right="0" w:firstLine="0"/>
        <w:jc w:val="left"/>
        <w:rPr>
          <w:b/>
          <w:sz w:val="20"/>
        </w:rPr>
      </w:pPr>
      <w:r>
        <w:rPr>
          <w:b/>
          <w:spacing w:val="-2"/>
          <w:sz w:val="20"/>
        </w:rPr>
        <w:t>4</w:t>
      </w:r>
      <w:r>
        <w:rPr>
          <w:b/>
          <w:spacing w:val="-1"/>
          <w:sz w:val="20"/>
        </w:rPr>
        <w:t> </w:t>
      </w:r>
      <w:r>
        <w:rPr>
          <w:b/>
          <w:spacing w:val="-2"/>
          <w:sz w:val="20"/>
        </w:rPr>
        <w:t>(recomendación</w:t>
      </w:r>
      <w:r>
        <w:rPr>
          <w:b/>
          <w:spacing w:val="1"/>
          <w:sz w:val="20"/>
        </w:rPr>
        <w:t> </w:t>
      </w:r>
      <w:r>
        <w:rPr>
          <w:b/>
          <w:spacing w:val="-5"/>
          <w:sz w:val="20"/>
        </w:rPr>
        <w:t>2)</w:t>
      </w:r>
    </w:p>
    <w:p>
      <w:pPr>
        <w:pStyle w:val="BodyText"/>
        <w:spacing w:before="178"/>
        <w:rPr>
          <w:b/>
          <w:sz w:val="20"/>
        </w:rPr>
      </w:pPr>
    </w:p>
    <w:p>
      <w:pPr>
        <w:spacing w:before="1"/>
        <w:ind w:left="1284" w:right="0" w:firstLine="0"/>
        <w:jc w:val="left"/>
        <w:rPr>
          <w:sz w:val="20"/>
        </w:rPr>
      </w:pPr>
      <w:r>
        <w:rPr>
          <w:spacing w:val="-2"/>
          <w:sz w:val="20"/>
        </w:rPr>
        <w:t>Alegación:</w:t>
      </w:r>
    </w:p>
    <w:p>
      <w:pPr>
        <w:spacing w:after="0"/>
        <w:jc w:val="left"/>
        <w:rPr>
          <w:sz w:val="20"/>
        </w:rPr>
        <w:sectPr>
          <w:pgSz w:w="11910" w:h="16840"/>
          <w:pgMar w:header="314" w:footer="551" w:top="1240" w:bottom="740" w:left="141" w:right="141"/>
        </w:sectPr>
      </w:pPr>
    </w:p>
    <w:p>
      <w:pPr>
        <w:pStyle w:val="BodyText"/>
        <w:rPr>
          <w:sz w:val="20"/>
        </w:rPr>
      </w:pPr>
    </w:p>
    <w:p>
      <w:pPr>
        <w:pStyle w:val="BodyText"/>
        <w:spacing w:before="59"/>
        <w:rPr>
          <w:sz w:val="20"/>
        </w:rPr>
      </w:pPr>
    </w:p>
    <w:p>
      <w:pPr>
        <w:spacing w:line="331" w:lineRule="auto" w:before="1"/>
        <w:ind w:left="1284" w:right="496" w:firstLine="0"/>
        <w:jc w:val="left"/>
        <w:rPr>
          <w:b/>
          <w:sz w:val="20"/>
        </w:rPr>
      </w:pPr>
      <w:r>
        <w:rPr>
          <w:b/>
          <w:sz w:val="20"/>
        </w:rPr>
        <w:t>A la recomendación número 2, señalar que, se procederá a recabar los datos resultantes de los indicadores</w:t>
      </w:r>
      <w:r>
        <w:rPr>
          <w:b/>
          <w:spacing w:val="-6"/>
          <w:sz w:val="20"/>
        </w:rPr>
        <w:t> </w:t>
      </w:r>
      <w:r>
        <w:rPr>
          <w:b/>
          <w:sz w:val="20"/>
        </w:rPr>
        <w:t>durante</w:t>
      </w:r>
      <w:r>
        <w:rPr>
          <w:b/>
          <w:spacing w:val="-6"/>
          <w:sz w:val="20"/>
        </w:rPr>
        <w:t> </w:t>
      </w:r>
      <w:r>
        <w:rPr>
          <w:b/>
          <w:sz w:val="20"/>
        </w:rPr>
        <w:t>los</w:t>
      </w:r>
      <w:r>
        <w:rPr>
          <w:b/>
          <w:spacing w:val="-6"/>
          <w:sz w:val="20"/>
        </w:rPr>
        <w:t> </w:t>
      </w:r>
      <w:r>
        <w:rPr>
          <w:b/>
          <w:sz w:val="20"/>
        </w:rPr>
        <w:t>cinco</w:t>
      </w:r>
      <w:r>
        <w:rPr>
          <w:b/>
          <w:spacing w:val="-6"/>
          <w:sz w:val="20"/>
        </w:rPr>
        <w:t> </w:t>
      </w:r>
      <w:r>
        <w:rPr>
          <w:b/>
          <w:sz w:val="20"/>
        </w:rPr>
        <w:t>primeros</w:t>
      </w:r>
      <w:r>
        <w:rPr>
          <w:b/>
          <w:spacing w:val="-6"/>
          <w:sz w:val="20"/>
        </w:rPr>
        <w:t> </w:t>
      </w:r>
      <w:r>
        <w:rPr>
          <w:b/>
          <w:sz w:val="20"/>
        </w:rPr>
        <w:t>años</w:t>
      </w:r>
      <w:r>
        <w:rPr>
          <w:b/>
          <w:spacing w:val="-5"/>
          <w:sz w:val="20"/>
        </w:rPr>
        <w:t> </w:t>
      </w:r>
      <w:r>
        <w:rPr>
          <w:b/>
          <w:sz w:val="20"/>
        </w:rPr>
        <w:t>de</w:t>
      </w:r>
      <w:r>
        <w:rPr>
          <w:b/>
          <w:spacing w:val="-6"/>
          <w:sz w:val="20"/>
        </w:rPr>
        <w:t> </w:t>
      </w:r>
      <w:r>
        <w:rPr>
          <w:b/>
          <w:sz w:val="20"/>
        </w:rPr>
        <w:t>vigencia</w:t>
      </w:r>
      <w:r>
        <w:rPr>
          <w:b/>
          <w:spacing w:val="-6"/>
          <w:sz w:val="20"/>
        </w:rPr>
        <w:t> </w:t>
      </w:r>
      <w:r>
        <w:rPr>
          <w:b/>
          <w:sz w:val="20"/>
        </w:rPr>
        <w:t>del</w:t>
      </w:r>
      <w:r>
        <w:rPr>
          <w:b/>
          <w:spacing w:val="-6"/>
          <w:sz w:val="20"/>
        </w:rPr>
        <w:t> </w:t>
      </w:r>
      <w:r>
        <w:rPr>
          <w:b/>
          <w:sz w:val="20"/>
        </w:rPr>
        <w:t>PMUS,</w:t>
      </w:r>
      <w:r>
        <w:rPr>
          <w:b/>
          <w:spacing w:val="-6"/>
          <w:sz w:val="20"/>
        </w:rPr>
        <w:t> </w:t>
      </w:r>
      <w:r>
        <w:rPr>
          <w:b/>
          <w:sz w:val="20"/>
        </w:rPr>
        <w:t>al</w:t>
      </w:r>
      <w:r>
        <w:rPr>
          <w:b/>
          <w:spacing w:val="-6"/>
          <w:sz w:val="20"/>
        </w:rPr>
        <w:t> </w:t>
      </w:r>
      <w:r>
        <w:rPr>
          <w:b/>
          <w:sz w:val="20"/>
        </w:rPr>
        <w:t>objeto</w:t>
      </w:r>
      <w:r>
        <w:rPr>
          <w:b/>
          <w:spacing w:val="-6"/>
          <w:sz w:val="20"/>
        </w:rPr>
        <w:t> </w:t>
      </w:r>
      <w:r>
        <w:rPr>
          <w:b/>
          <w:sz w:val="20"/>
        </w:rPr>
        <w:t>de</w:t>
      </w:r>
      <w:r>
        <w:rPr>
          <w:b/>
          <w:spacing w:val="-6"/>
          <w:sz w:val="20"/>
        </w:rPr>
        <w:t> </w:t>
      </w:r>
      <w:r>
        <w:rPr>
          <w:b/>
          <w:sz w:val="20"/>
        </w:rPr>
        <w:t>elaborar</w:t>
      </w:r>
      <w:r>
        <w:rPr>
          <w:b/>
          <w:spacing w:val="-6"/>
          <w:sz w:val="20"/>
        </w:rPr>
        <w:t> </w:t>
      </w:r>
      <w:r>
        <w:rPr>
          <w:b/>
          <w:sz w:val="20"/>
        </w:rPr>
        <w:t>un</w:t>
      </w:r>
      <w:r>
        <w:rPr>
          <w:b/>
          <w:spacing w:val="-5"/>
          <w:sz w:val="20"/>
        </w:rPr>
        <w:t> </w:t>
      </w:r>
      <w:r>
        <w:rPr>
          <w:b/>
          <w:sz w:val="20"/>
        </w:rPr>
        <w:t>informe periódico. De acuerdo con la recomendación efectuada por ese Tribunal, se establecerán los procedimientos necesarios para realizar dicho seguimiento.</w:t>
      </w:r>
    </w:p>
    <w:p>
      <w:pPr>
        <w:pStyle w:val="BodyText"/>
        <w:rPr>
          <w:b/>
          <w:sz w:val="20"/>
        </w:rPr>
      </w:pPr>
    </w:p>
    <w:p>
      <w:pPr>
        <w:pStyle w:val="BodyText"/>
        <w:spacing w:before="183"/>
        <w:rPr>
          <w:b/>
          <w:sz w:val="20"/>
        </w:rPr>
      </w:pPr>
    </w:p>
    <w:p>
      <w:pPr>
        <w:spacing w:before="0"/>
        <w:ind w:left="1284" w:right="0" w:firstLine="0"/>
        <w:jc w:val="left"/>
        <w:rPr>
          <w:i/>
          <w:sz w:val="20"/>
        </w:rPr>
      </w:pPr>
      <w:r>
        <w:rPr>
          <w:i/>
          <w:sz w:val="20"/>
        </w:rPr>
        <w:t>Grupo</w:t>
      </w:r>
      <w:r>
        <w:rPr>
          <w:i/>
          <w:spacing w:val="-8"/>
          <w:sz w:val="20"/>
        </w:rPr>
        <w:t> </w:t>
      </w:r>
      <w:r>
        <w:rPr>
          <w:i/>
          <w:sz w:val="20"/>
        </w:rPr>
        <w:t>12</w:t>
      </w:r>
      <w:r>
        <w:rPr>
          <w:i/>
          <w:spacing w:val="-6"/>
          <w:sz w:val="20"/>
        </w:rPr>
        <w:t> </w:t>
      </w:r>
      <w:r>
        <w:rPr>
          <w:i/>
          <w:sz w:val="20"/>
        </w:rPr>
        <w:t>de</w:t>
      </w:r>
      <w:r>
        <w:rPr>
          <w:i/>
          <w:spacing w:val="-5"/>
          <w:sz w:val="20"/>
        </w:rPr>
        <w:t> 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6"/>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9"/>
        <w:ind w:left="1284" w:right="0" w:firstLine="0"/>
        <w:jc w:val="left"/>
        <w:rPr>
          <w:b/>
          <w:sz w:val="20"/>
        </w:rPr>
      </w:pPr>
      <w:r>
        <w:rPr>
          <w:b/>
          <w:spacing w:val="-5"/>
          <w:sz w:val="20"/>
        </w:rPr>
        <w:t>96</w:t>
      </w:r>
    </w:p>
    <w:p>
      <w:pPr>
        <w:pStyle w:val="BodyText"/>
        <w:spacing w:before="176"/>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90"/>
        <w:ind w:left="1284" w:right="0" w:firstLine="0"/>
        <w:jc w:val="left"/>
        <w:rPr>
          <w:b/>
          <w:sz w:val="20"/>
        </w:rPr>
      </w:pPr>
      <w:r>
        <w:rPr>
          <w:b/>
          <w:spacing w:val="-2"/>
          <w:sz w:val="20"/>
        </w:rPr>
        <w:t>2</w:t>
      </w:r>
      <w:r>
        <w:rPr>
          <w:b/>
          <w:spacing w:val="-1"/>
          <w:sz w:val="20"/>
        </w:rPr>
        <w:t> </w:t>
      </w:r>
      <w:r>
        <w:rPr>
          <w:b/>
          <w:spacing w:val="-2"/>
          <w:sz w:val="20"/>
        </w:rPr>
        <w:t>(recomendación</w:t>
      </w:r>
      <w:r>
        <w:rPr>
          <w:b/>
          <w:spacing w:val="1"/>
          <w:sz w:val="20"/>
        </w:rPr>
        <w:t> </w:t>
      </w:r>
      <w:r>
        <w:rPr>
          <w:b/>
          <w:spacing w:val="-5"/>
          <w:sz w:val="20"/>
        </w:rPr>
        <w:t>3)</w:t>
      </w:r>
    </w:p>
    <w:p>
      <w:pPr>
        <w:pStyle w:val="BodyText"/>
        <w:spacing w:before="175"/>
        <w:rPr>
          <w:b/>
          <w:sz w:val="20"/>
        </w:rPr>
      </w:pPr>
    </w:p>
    <w:p>
      <w:pPr>
        <w:spacing w:before="0"/>
        <w:ind w:left="1284" w:right="0" w:firstLine="0"/>
        <w:jc w:val="left"/>
        <w:rPr>
          <w:sz w:val="20"/>
        </w:rPr>
      </w:pPr>
      <w:r>
        <w:rPr>
          <w:spacing w:val="-2"/>
          <w:sz w:val="20"/>
        </w:rPr>
        <w:t>Alegación:</w:t>
      </w:r>
    </w:p>
    <w:p>
      <w:pPr>
        <w:spacing w:line="333" w:lineRule="auto" w:before="90"/>
        <w:ind w:left="1284" w:right="496" w:firstLine="0"/>
        <w:jc w:val="left"/>
        <w:rPr>
          <w:b/>
          <w:sz w:val="20"/>
        </w:rPr>
      </w:pPr>
      <w:r>
        <w:rPr>
          <w:b/>
          <w:sz w:val="20"/>
        </w:rPr>
        <mc:AlternateContent>
          <mc:Choice Requires="wps">
            <w:drawing>
              <wp:anchor distT="0" distB="0" distL="0" distR="0" allowOverlap="1" layoutInCell="1" locked="0" behindDoc="0" simplePos="0" relativeHeight="15971328">
                <wp:simplePos x="0" y="0"/>
                <wp:positionH relativeFrom="page">
                  <wp:posOffset>244784</wp:posOffset>
                </wp:positionH>
                <wp:positionV relativeFrom="paragraph">
                  <wp:posOffset>772747</wp:posOffset>
                </wp:positionV>
                <wp:extent cx="138430" cy="2155190"/>
                <wp:effectExtent l="0" t="0" r="0" b="0"/>
                <wp:wrapNone/>
                <wp:docPr id="2239" name="Textbox 2239"/>
                <wp:cNvGraphicFramePr>
                  <a:graphicFrameLocks/>
                </wp:cNvGraphicFramePr>
                <a:graphic>
                  <a:graphicData uri="http://schemas.microsoft.com/office/word/2010/wordprocessingShape">
                    <wps:wsp>
                      <wps:cNvPr id="2239" name="Textbox 2239"/>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60.846222pt;width:10.9pt;height:169.7pt;mso-position-horizontal-relative:page;mso-position-vertical-relative:paragraph;z-index:15971328" type="#_x0000_t202" id="docshape1621"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w:t>Sobre la recomendación número 3, se ha de señalar que el nuevo contrato, cuya licitación se ha publicado</w:t>
      </w:r>
      <w:r>
        <w:rPr>
          <w:b/>
          <w:spacing w:val="-5"/>
          <w:sz w:val="20"/>
        </w:rPr>
        <w:t> </w:t>
      </w:r>
      <w:r>
        <w:rPr>
          <w:b/>
          <w:sz w:val="20"/>
        </w:rPr>
        <w:t>muy</w:t>
      </w:r>
      <w:r>
        <w:rPr>
          <w:b/>
          <w:spacing w:val="-6"/>
          <w:sz w:val="20"/>
        </w:rPr>
        <w:t> </w:t>
      </w:r>
      <w:r>
        <w:rPr>
          <w:b/>
          <w:sz w:val="20"/>
        </w:rPr>
        <w:t>recientemente,</w:t>
      </w:r>
      <w:r>
        <w:rPr>
          <w:b/>
          <w:spacing w:val="-6"/>
          <w:sz w:val="20"/>
        </w:rPr>
        <w:t> </w:t>
      </w:r>
      <w:r>
        <w:rPr>
          <w:b/>
          <w:sz w:val="20"/>
        </w:rPr>
        <w:t>establece</w:t>
      </w:r>
      <w:r>
        <w:rPr>
          <w:b/>
          <w:spacing w:val="-6"/>
          <w:sz w:val="20"/>
        </w:rPr>
        <w:t> </w:t>
      </w:r>
      <w:r>
        <w:rPr>
          <w:b/>
          <w:sz w:val="20"/>
        </w:rPr>
        <w:t>en</w:t>
      </w:r>
      <w:r>
        <w:rPr>
          <w:b/>
          <w:spacing w:val="-6"/>
          <w:sz w:val="20"/>
        </w:rPr>
        <w:t> </w:t>
      </w:r>
      <w:r>
        <w:rPr>
          <w:b/>
          <w:sz w:val="20"/>
        </w:rPr>
        <w:t>sus</w:t>
      </w:r>
      <w:r>
        <w:rPr>
          <w:b/>
          <w:spacing w:val="-6"/>
          <w:sz w:val="20"/>
        </w:rPr>
        <w:t> </w:t>
      </w:r>
      <w:r>
        <w:rPr>
          <w:b/>
          <w:sz w:val="20"/>
        </w:rPr>
        <w:t>pliegos</w:t>
      </w:r>
      <w:r>
        <w:rPr>
          <w:b/>
          <w:spacing w:val="-5"/>
          <w:sz w:val="20"/>
        </w:rPr>
        <w:t> </w:t>
      </w:r>
      <w:r>
        <w:rPr>
          <w:b/>
          <w:sz w:val="20"/>
        </w:rPr>
        <w:t>las</w:t>
      </w:r>
      <w:r>
        <w:rPr>
          <w:b/>
          <w:spacing w:val="-6"/>
          <w:sz w:val="20"/>
        </w:rPr>
        <w:t> </w:t>
      </w:r>
      <w:r>
        <w:rPr>
          <w:b/>
          <w:sz w:val="20"/>
        </w:rPr>
        <w:t>obligaciones</w:t>
      </w:r>
      <w:r>
        <w:rPr>
          <w:b/>
          <w:spacing w:val="-6"/>
          <w:sz w:val="20"/>
        </w:rPr>
        <w:t> </w:t>
      </w:r>
      <w:r>
        <w:rPr>
          <w:b/>
          <w:sz w:val="20"/>
        </w:rPr>
        <w:t>relativas</w:t>
      </w:r>
      <w:r>
        <w:rPr>
          <w:b/>
          <w:spacing w:val="-6"/>
          <w:sz w:val="20"/>
        </w:rPr>
        <w:t> </w:t>
      </w:r>
      <w:r>
        <w:rPr>
          <w:b/>
          <w:sz w:val="20"/>
        </w:rPr>
        <w:t>a</w:t>
      </w:r>
      <w:r>
        <w:rPr>
          <w:b/>
          <w:spacing w:val="-5"/>
          <w:sz w:val="20"/>
        </w:rPr>
        <w:t> </w:t>
      </w:r>
      <w:r>
        <w:rPr>
          <w:b/>
          <w:sz w:val="20"/>
        </w:rPr>
        <w:t>la</w:t>
      </w:r>
      <w:r>
        <w:rPr>
          <w:b/>
          <w:spacing w:val="-6"/>
          <w:sz w:val="20"/>
        </w:rPr>
        <w:t> </w:t>
      </w:r>
      <w:r>
        <w:rPr>
          <w:b/>
          <w:sz w:val="20"/>
        </w:rPr>
        <w:t>renovación</w:t>
      </w:r>
      <w:r>
        <w:rPr>
          <w:b/>
          <w:spacing w:val="-6"/>
          <w:sz w:val="20"/>
        </w:rPr>
        <w:t> </w:t>
      </w:r>
      <w:r>
        <w:rPr>
          <w:b/>
          <w:sz w:val="20"/>
        </w:rPr>
        <w:t>de</w:t>
      </w:r>
      <w:r>
        <w:rPr>
          <w:b/>
          <w:spacing w:val="-6"/>
          <w:sz w:val="20"/>
        </w:rPr>
        <w:t> </w:t>
      </w:r>
      <w:r>
        <w:rPr>
          <w:b/>
          <w:sz w:val="20"/>
        </w:rPr>
        <w:t>la flota, en los siguiente términos:</w:t>
      </w:r>
      <w:r>
        <w:rPr>
          <w:b/>
          <w:spacing w:val="40"/>
          <w:sz w:val="20"/>
        </w:rPr>
        <w:t> </w:t>
      </w:r>
      <w:r>
        <w:rPr>
          <w:b/>
          <w:sz w:val="20"/>
        </w:rPr>
        <w:t>El porcentaje de autobuses de combustión se va reduciendo anualmente. Los objetivos establecidos en el futuro contrato de concesión actualmente en licitación son los siguientes:</w:t>
      </w:r>
    </w:p>
    <w:p>
      <w:pPr>
        <w:pStyle w:val="ListParagraph"/>
        <w:numPr>
          <w:ilvl w:val="0"/>
          <w:numId w:val="26"/>
        </w:numPr>
        <w:tabs>
          <w:tab w:pos="1408" w:val="left" w:leader="none"/>
        </w:tabs>
        <w:spacing w:line="331" w:lineRule="auto" w:before="0" w:after="0"/>
        <w:ind w:left="1284" w:right="554" w:firstLine="0"/>
        <w:jc w:val="left"/>
        <w:rPr>
          <w:b/>
          <w:sz w:val="20"/>
        </w:rPr>
      </w:pPr>
      <w:r>
        <w:rPr>
          <w:b/>
          <w:sz w:val="20"/>
        </w:rPr>
        <w:t>A</w:t>
      </w:r>
      <w:r>
        <w:rPr>
          <w:b/>
          <w:spacing w:val="-6"/>
          <w:sz w:val="20"/>
        </w:rPr>
        <w:t> </w:t>
      </w:r>
      <w:r>
        <w:rPr>
          <w:b/>
          <w:sz w:val="20"/>
        </w:rPr>
        <w:t>31</w:t>
      </w:r>
      <w:r>
        <w:rPr>
          <w:b/>
          <w:spacing w:val="-6"/>
          <w:sz w:val="20"/>
        </w:rPr>
        <w:t> </w:t>
      </w:r>
      <w:r>
        <w:rPr>
          <w:b/>
          <w:sz w:val="20"/>
        </w:rPr>
        <w:t>de</w:t>
      </w:r>
      <w:r>
        <w:rPr>
          <w:b/>
          <w:spacing w:val="-4"/>
          <w:sz w:val="20"/>
        </w:rPr>
        <w:t> </w:t>
      </w:r>
      <w:r>
        <w:rPr>
          <w:b/>
          <w:sz w:val="20"/>
        </w:rPr>
        <w:t>diciembre</w:t>
      </w:r>
      <w:r>
        <w:rPr>
          <w:b/>
          <w:spacing w:val="-6"/>
          <w:sz w:val="20"/>
        </w:rPr>
        <w:t> </w:t>
      </w:r>
      <w:r>
        <w:rPr>
          <w:b/>
          <w:sz w:val="20"/>
        </w:rPr>
        <w:t>de</w:t>
      </w:r>
      <w:r>
        <w:rPr>
          <w:b/>
          <w:spacing w:val="-6"/>
          <w:sz w:val="20"/>
        </w:rPr>
        <w:t> </w:t>
      </w:r>
      <w:r>
        <w:rPr>
          <w:b/>
          <w:sz w:val="20"/>
        </w:rPr>
        <w:t>2027</w:t>
      </w:r>
      <w:r>
        <w:rPr>
          <w:b/>
          <w:spacing w:val="-4"/>
          <w:sz w:val="20"/>
        </w:rPr>
        <w:t> </w:t>
      </w:r>
      <w:r>
        <w:rPr>
          <w:b/>
          <w:sz w:val="20"/>
        </w:rPr>
        <w:t>se</w:t>
      </w:r>
      <w:r>
        <w:rPr>
          <w:b/>
          <w:spacing w:val="-6"/>
          <w:sz w:val="20"/>
        </w:rPr>
        <w:t> </w:t>
      </w:r>
      <w:r>
        <w:rPr>
          <w:b/>
          <w:sz w:val="20"/>
        </w:rPr>
        <w:t>renuevan</w:t>
      </w:r>
      <w:r>
        <w:rPr>
          <w:b/>
          <w:spacing w:val="-6"/>
          <w:sz w:val="20"/>
        </w:rPr>
        <w:t> </w:t>
      </w:r>
      <w:r>
        <w:rPr>
          <w:b/>
          <w:sz w:val="20"/>
        </w:rPr>
        <w:t>vehículos</w:t>
      </w:r>
      <w:r>
        <w:rPr>
          <w:b/>
          <w:spacing w:val="-3"/>
          <w:sz w:val="20"/>
        </w:rPr>
        <w:t> </w:t>
      </w:r>
      <w:r>
        <w:rPr>
          <w:b/>
          <w:sz w:val="20"/>
        </w:rPr>
        <w:t>para</w:t>
      </w:r>
      <w:r>
        <w:rPr>
          <w:b/>
          <w:spacing w:val="-6"/>
          <w:sz w:val="20"/>
        </w:rPr>
        <w:t> </w:t>
      </w:r>
      <w:r>
        <w:rPr>
          <w:b/>
          <w:sz w:val="20"/>
        </w:rPr>
        <w:t>conseguir</w:t>
      </w:r>
      <w:r>
        <w:rPr>
          <w:b/>
          <w:spacing w:val="-6"/>
          <w:sz w:val="20"/>
        </w:rPr>
        <w:t> </w:t>
      </w:r>
      <w:r>
        <w:rPr>
          <w:b/>
          <w:sz w:val="20"/>
        </w:rPr>
        <w:t>que</w:t>
      </w:r>
      <w:r>
        <w:rPr>
          <w:b/>
          <w:spacing w:val="-6"/>
          <w:sz w:val="20"/>
        </w:rPr>
        <w:t> </w:t>
      </w:r>
      <w:r>
        <w:rPr>
          <w:b/>
          <w:sz w:val="20"/>
        </w:rPr>
        <w:t>todos</w:t>
      </w:r>
      <w:r>
        <w:rPr>
          <w:b/>
          <w:spacing w:val="-6"/>
          <w:sz w:val="20"/>
        </w:rPr>
        <w:t> </w:t>
      </w:r>
      <w:r>
        <w:rPr>
          <w:b/>
          <w:sz w:val="20"/>
        </w:rPr>
        <w:t>tengan</w:t>
      </w:r>
      <w:r>
        <w:rPr>
          <w:b/>
          <w:spacing w:val="-6"/>
          <w:sz w:val="20"/>
        </w:rPr>
        <w:t> </w:t>
      </w:r>
      <w:r>
        <w:rPr>
          <w:b/>
          <w:sz w:val="20"/>
        </w:rPr>
        <w:t>menos</w:t>
      </w:r>
      <w:r>
        <w:rPr>
          <w:b/>
          <w:spacing w:val="-4"/>
          <w:sz w:val="20"/>
        </w:rPr>
        <w:t> </w:t>
      </w:r>
      <w:r>
        <w:rPr>
          <w:b/>
          <w:sz w:val="20"/>
        </w:rPr>
        <w:t>de</w:t>
      </w:r>
      <w:r>
        <w:rPr>
          <w:b/>
          <w:spacing w:val="-6"/>
          <w:sz w:val="20"/>
        </w:rPr>
        <w:t> </w:t>
      </w:r>
      <w:r>
        <w:rPr>
          <w:b/>
          <w:sz w:val="20"/>
        </w:rPr>
        <w:t>16</w:t>
      </w:r>
      <w:r>
        <w:rPr>
          <w:b/>
          <w:spacing w:val="-4"/>
          <w:sz w:val="20"/>
        </w:rPr>
        <w:t> </w:t>
      </w:r>
      <w:r>
        <w:rPr>
          <w:b/>
          <w:sz w:val="20"/>
        </w:rPr>
        <w:t>años y que el 45% de la flota sea eléctrica.</w:t>
      </w:r>
    </w:p>
    <w:p>
      <w:pPr>
        <w:pStyle w:val="ListParagraph"/>
        <w:numPr>
          <w:ilvl w:val="1"/>
          <w:numId w:val="26"/>
        </w:numPr>
        <w:tabs>
          <w:tab w:pos="1518" w:val="left" w:leader="none"/>
        </w:tabs>
        <w:spacing w:line="240" w:lineRule="auto" w:before="0" w:after="0"/>
        <w:ind w:left="1518" w:right="0" w:hanging="124"/>
        <w:jc w:val="left"/>
        <w:rPr>
          <w:b/>
          <w:sz w:val="20"/>
        </w:rPr>
      </w:pPr>
      <w:r>
        <w:rPr>
          <w:b/>
          <w:sz w:val="20"/>
        </w:rPr>
        <w:t>A</w:t>
      </w:r>
      <w:r>
        <w:rPr>
          <w:b/>
          <w:spacing w:val="-6"/>
          <w:sz w:val="20"/>
        </w:rPr>
        <w:t> </w:t>
      </w:r>
      <w:r>
        <w:rPr>
          <w:b/>
          <w:sz w:val="20"/>
        </w:rPr>
        <w:t>31</w:t>
      </w:r>
      <w:r>
        <w:rPr>
          <w:b/>
          <w:spacing w:val="-6"/>
          <w:sz w:val="20"/>
        </w:rPr>
        <w:t> </w:t>
      </w:r>
      <w:r>
        <w:rPr>
          <w:b/>
          <w:sz w:val="20"/>
        </w:rPr>
        <w:t>de</w:t>
      </w:r>
      <w:r>
        <w:rPr>
          <w:b/>
          <w:spacing w:val="-6"/>
          <w:sz w:val="20"/>
        </w:rPr>
        <w:t> </w:t>
      </w:r>
      <w:r>
        <w:rPr>
          <w:b/>
          <w:sz w:val="20"/>
        </w:rPr>
        <w:t>diciembre</w:t>
      </w:r>
      <w:r>
        <w:rPr>
          <w:b/>
          <w:spacing w:val="-6"/>
          <w:sz w:val="20"/>
        </w:rPr>
        <w:t> </w:t>
      </w:r>
      <w:r>
        <w:rPr>
          <w:b/>
          <w:sz w:val="20"/>
        </w:rPr>
        <w:t>de</w:t>
      </w:r>
      <w:r>
        <w:rPr>
          <w:b/>
          <w:spacing w:val="-6"/>
          <w:sz w:val="20"/>
        </w:rPr>
        <w:t> </w:t>
      </w:r>
      <w:r>
        <w:rPr>
          <w:b/>
          <w:sz w:val="20"/>
        </w:rPr>
        <w:t>2030,</w:t>
      </w:r>
      <w:r>
        <w:rPr>
          <w:b/>
          <w:spacing w:val="-6"/>
          <w:sz w:val="20"/>
        </w:rPr>
        <w:t> </w:t>
      </w:r>
      <w:r>
        <w:rPr>
          <w:b/>
          <w:sz w:val="20"/>
        </w:rPr>
        <w:t>el</w:t>
      </w:r>
      <w:r>
        <w:rPr>
          <w:b/>
          <w:spacing w:val="-6"/>
          <w:sz w:val="20"/>
        </w:rPr>
        <w:t> </w:t>
      </w:r>
      <w:r>
        <w:rPr>
          <w:b/>
          <w:sz w:val="20"/>
        </w:rPr>
        <w:t>65%</w:t>
      </w:r>
      <w:r>
        <w:rPr>
          <w:b/>
          <w:spacing w:val="-6"/>
          <w:sz w:val="20"/>
        </w:rPr>
        <w:t> </w:t>
      </w:r>
      <w:r>
        <w:rPr>
          <w:b/>
          <w:sz w:val="20"/>
        </w:rPr>
        <w:t>de</w:t>
      </w:r>
      <w:r>
        <w:rPr>
          <w:b/>
          <w:spacing w:val="-6"/>
          <w:sz w:val="20"/>
        </w:rPr>
        <w:t> </w:t>
      </w:r>
      <w:r>
        <w:rPr>
          <w:b/>
          <w:sz w:val="20"/>
        </w:rPr>
        <w:t>la</w:t>
      </w:r>
      <w:r>
        <w:rPr>
          <w:b/>
          <w:spacing w:val="-6"/>
          <w:sz w:val="20"/>
        </w:rPr>
        <w:t> </w:t>
      </w:r>
      <w:r>
        <w:rPr>
          <w:b/>
          <w:sz w:val="20"/>
        </w:rPr>
        <w:t>flota</w:t>
      </w:r>
      <w:r>
        <w:rPr>
          <w:b/>
          <w:spacing w:val="-6"/>
          <w:sz w:val="20"/>
        </w:rPr>
        <w:t> </w:t>
      </w:r>
      <w:r>
        <w:rPr>
          <w:b/>
          <w:sz w:val="20"/>
        </w:rPr>
        <w:t>será</w:t>
      </w:r>
      <w:r>
        <w:rPr>
          <w:b/>
          <w:spacing w:val="-6"/>
          <w:sz w:val="20"/>
        </w:rPr>
        <w:t> </w:t>
      </w:r>
      <w:r>
        <w:rPr>
          <w:b/>
          <w:spacing w:val="-2"/>
          <w:sz w:val="20"/>
        </w:rPr>
        <w:t>eléctrica.</w:t>
      </w:r>
    </w:p>
    <w:p>
      <w:pPr>
        <w:pStyle w:val="ListParagraph"/>
        <w:numPr>
          <w:ilvl w:val="1"/>
          <w:numId w:val="26"/>
        </w:numPr>
        <w:tabs>
          <w:tab w:pos="1463" w:val="left" w:leader="none"/>
        </w:tabs>
        <w:spacing w:line="331" w:lineRule="auto" w:before="85" w:after="0"/>
        <w:ind w:left="1284" w:right="556" w:firstLine="55"/>
        <w:jc w:val="left"/>
        <w:rPr>
          <w:b/>
          <w:sz w:val="20"/>
        </w:rPr>
      </w:pPr>
      <w:r>
        <w:rPr>
          <w:b/>
          <w:sz w:val="20"/>
        </w:rPr>
        <mc:AlternateContent>
          <mc:Choice Requires="wps">
            <w:drawing>
              <wp:anchor distT="0" distB="0" distL="0" distR="0" allowOverlap="1" layoutInCell="1" locked="0" behindDoc="0" simplePos="0" relativeHeight="15970304">
                <wp:simplePos x="0" y="0"/>
                <wp:positionH relativeFrom="page">
                  <wp:posOffset>130383</wp:posOffset>
                </wp:positionH>
                <wp:positionV relativeFrom="paragraph">
                  <wp:posOffset>392876</wp:posOffset>
                </wp:positionV>
                <wp:extent cx="138430" cy="2952750"/>
                <wp:effectExtent l="0" t="0" r="0" b="0"/>
                <wp:wrapNone/>
                <wp:docPr id="2240" name="Textbox 2240"/>
                <wp:cNvGraphicFramePr>
                  <a:graphicFrameLocks/>
                </wp:cNvGraphicFramePr>
                <a:graphic>
                  <a:graphicData uri="http://schemas.microsoft.com/office/word/2010/wordprocessingShape">
                    <wps:wsp>
                      <wps:cNvPr id="2240" name="Textbox 2240"/>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30.935169pt;width:10.9pt;height:232.5pt;mso-position-horizontal-relative:page;mso-position-vertical-relative:paragraph;z-index:15970304" type="#_x0000_t202" id="docshape1622"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71840">
                <wp:simplePos x="0" y="0"/>
                <wp:positionH relativeFrom="page">
                  <wp:posOffset>344030</wp:posOffset>
                </wp:positionH>
                <wp:positionV relativeFrom="paragraph">
                  <wp:posOffset>72154</wp:posOffset>
                </wp:positionV>
                <wp:extent cx="163830" cy="3011170"/>
                <wp:effectExtent l="0" t="0" r="0" b="0"/>
                <wp:wrapNone/>
                <wp:docPr id="2241" name="Graphic 2241"/>
                <wp:cNvGraphicFramePr>
                  <a:graphicFrameLocks/>
                </wp:cNvGraphicFramePr>
                <a:graphic>
                  <a:graphicData uri="http://schemas.microsoft.com/office/word/2010/wordprocessingShape">
                    <wps:wsp>
                      <wps:cNvPr id="2241" name="Graphic 2241"/>
                      <wps:cNvSpPr/>
                      <wps:spPr>
                        <a:xfrm>
                          <a:off x="0" y="0"/>
                          <a:ext cx="163830" cy="3011170"/>
                        </a:xfrm>
                        <a:custGeom>
                          <a:avLst/>
                          <a:gdLst/>
                          <a:ahLst/>
                          <a:cxnLst/>
                          <a:rect l="l" t="t" r="r" b="b"/>
                          <a:pathLst>
                            <a:path w="163830" h="3011170">
                              <a:moveTo>
                                <a:pt x="163258" y="0"/>
                              </a:moveTo>
                              <a:lnTo>
                                <a:pt x="0" y="0"/>
                              </a:lnTo>
                              <a:lnTo>
                                <a:pt x="0" y="3010712"/>
                              </a:lnTo>
                              <a:lnTo>
                                <a:pt x="163258" y="3010712"/>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5.681477pt;width:12.855pt;height:237.064pt;mso-position-horizontal-relative:page;mso-position-vertical-relative:paragraph;z-index:15971840" id="docshape1623" filled="true" fillcolor="#000000" stroked="false">
                <v:fill type="solid"/>
                <w10:wrap type="none"/>
              </v:rect>
            </w:pict>
          </mc:Fallback>
        </mc:AlternateContent>
      </w:r>
      <w:r>
        <w:rPr>
          <w:b/>
          <w:sz w:val="20"/>
        </w:rPr>
        <w:t>Tras</w:t>
      </w:r>
      <w:r>
        <w:rPr>
          <w:b/>
          <w:spacing w:val="-6"/>
          <w:sz w:val="20"/>
        </w:rPr>
        <w:t> </w:t>
      </w:r>
      <w:r>
        <w:rPr>
          <w:b/>
          <w:sz w:val="20"/>
        </w:rPr>
        <w:t>la</w:t>
      </w:r>
      <w:r>
        <w:rPr>
          <w:b/>
          <w:spacing w:val="-6"/>
          <w:sz w:val="20"/>
        </w:rPr>
        <w:t> </w:t>
      </w:r>
      <w:r>
        <w:rPr>
          <w:b/>
          <w:sz w:val="20"/>
        </w:rPr>
        <w:t>renovación</w:t>
      </w:r>
      <w:r>
        <w:rPr>
          <w:b/>
          <w:spacing w:val="-7"/>
          <w:sz w:val="20"/>
        </w:rPr>
        <w:t> </w:t>
      </w:r>
      <w:r>
        <w:rPr>
          <w:b/>
          <w:sz w:val="20"/>
        </w:rPr>
        <w:t>de</w:t>
      </w:r>
      <w:r>
        <w:rPr>
          <w:b/>
          <w:spacing w:val="-6"/>
          <w:sz w:val="20"/>
        </w:rPr>
        <w:t> </w:t>
      </w:r>
      <w:r>
        <w:rPr>
          <w:b/>
          <w:sz w:val="20"/>
        </w:rPr>
        <w:t>flota</w:t>
      </w:r>
      <w:r>
        <w:rPr>
          <w:b/>
          <w:spacing w:val="-6"/>
          <w:sz w:val="20"/>
        </w:rPr>
        <w:t> </w:t>
      </w:r>
      <w:r>
        <w:rPr>
          <w:b/>
          <w:sz w:val="20"/>
        </w:rPr>
        <w:t>del</w:t>
      </w:r>
      <w:r>
        <w:rPr>
          <w:b/>
          <w:spacing w:val="-6"/>
          <w:sz w:val="20"/>
        </w:rPr>
        <w:t> </w:t>
      </w:r>
      <w:r>
        <w:rPr>
          <w:b/>
          <w:sz w:val="20"/>
        </w:rPr>
        <w:t>año</w:t>
      </w:r>
      <w:r>
        <w:rPr>
          <w:b/>
          <w:spacing w:val="-4"/>
          <w:sz w:val="20"/>
        </w:rPr>
        <w:t> </w:t>
      </w:r>
      <w:r>
        <w:rPr>
          <w:b/>
          <w:sz w:val="20"/>
        </w:rPr>
        <w:t>2032,</w:t>
      </w:r>
      <w:r>
        <w:rPr>
          <w:b/>
          <w:spacing w:val="-6"/>
          <w:sz w:val="20"/>
        </w:rPr>
        <w:t> </w:t>
      </w:r>
      <w:r>
        <w:rPr>
          <w:b/>
          <w:sz w:val="20"/>
        </w:rPr>
        <w:t>solo</w:t>
      </w:r>
      <w:r>
        <w:rPr>
          <w:b/>
          <w:spacing w:val="-4"/>
          <w:sz w:val="20"/>
        </w:rPr>
        <w:t> </w:t>
      </w:r>
      <w:r>
        <w:rPr>
          <w:b/>
          <w:sz w:val="20"/>
        </w:rPr>
        <w:t>quedarán</w:t>
      </w:r>
      <w:r>
        <w:rPr>
          <w:b/>
          <w:spacing w:val="-6"/>
          <w:sz w:val="20"/>
        </w:rPr>
        <w:t> </w:t>
      </w:r>
      <w:r>
        <w:rPr>
          <w:b/>
          <w:sz w:val="20"/>
        </w:rPr>
        <w:t>autobuses</w:t>
      </w:r>
      <w:r>
        <w:rPr>
          <w:b/>
          <w:spacing w:val="-4"/>
          <w:sz w:val="20"/>
        </w:rPr>
        <w:t> </w:t>
      </w:r>
      <w:r>
        <w:rPr>
          <w:b/>
          <w:sz w:val="20"/>
        </w:rPr>
        <w:t>híbridos</w:t>
      </w:r>
      <w:r>
        <w:rPr>
          <w:b/>
          <w:spacing w:val="-7"/>
          <w:sz w:val="20"/>
        </w:rPr>
        <w:t> </w:t>
      </w:r>
      <w:r>
        <w:rPr>
          <w:b/>
          <w:sz w:val="20"/>
        </w:rPr>
        <w:t>y</w:t>
      </w:r>
      <w:r>
        <w:rPr>
          <w:b/>
          <w:spacing w:val="-4"/>
          <w:sz w:val="20"/>
        </w:rPr>
        <w:t> </w:t>
      </w:r>
      <w:r>
        <w:rPr>
          <w:b/>
          <w:sz w:val="20"/>
        </w:rPr>
        <w:t>eléctricos</w:t>
      </w:r>
      <w:r>
        <w:rPr>
          <w:b/>
          <w:spacing w:val="-6"/>
          <w:sz w:val="20"/>
        </w:rPr>
        <w:t> </w:t>
      </w:r>
      <w:r>
        <w:rPr>
          <w:b/>
          <w:sz w:val="20"/>
        </w:rPr>
        <w:t>en</w:t>
      </w:r>
      <w:r>
        <w:rPr>
          <w:b/>
          <w:spacing w:val="-6"/>
          <w:sz w:val="20"/>
        </w:rPr>
        <w:t> </w:t>
      </w:r>
      <w:r>
        <w:rPr>
          <w:b/>
          <w:sz w:val="20"/>
        </w:rPr>
        <w:t>el</w:t>
      </w:r>
      <w:r>
        <w:rPr>
          <w:b/>
          <w:spacing w:val="-6"/>
          <w:sz w:val="20"/>
        </w:rPr>
        <w:t> </w:t>
      </w:r>
      <w:r>
        <w:rPr>
          <w:b/>
          <w:sz w:val="20"/>
        </w:rPr>
        <w:t>servicio ordinario, quedando un único autobús de combustión para (autobús especialmente diseñado para personas con movilidad reducida) en toda la flota.</w:t>
      </w:r>
    </w:p>
    <w:p>
      <w:pPr>
        <w:pStyle w:val="ListParagraph"/>
        <w:numPr>
          <w:ilvl w:val="1"/>
          <w:numId w:val="26"/>
        </w:numPr>
        <w:tabs>
          <w:tab w:pos="1463" w:val="left" w:leader="none"/>
        </w:tabs>
        <w:spacing w:line="331" w:lineRule="auto" w:before="3" w:after="0"/>
        <w:ind w:left="1284" w:right="601" w:firstLine="55"/>
        <w:jc w:val="left"/>
        <w:rPr>
          <w:b/>
          <w:sz w:val="20"/>
        </w:rPr>
      </w:pPr>
      <w:r>
        <w:rPr>
          <w:b/>
          <w:sz w:val="20"/>
        </w:rPr>
        <w:t>Al final de 2036, el objetivo es que toda la flota esté compuesta por vehículos de cero emisiones. Todo</w:t>
      </w:r>
      <w:r>
        <w:rPr>
          <w:b/>
          <w:spacing w:val="-8"/>
          <w:sz w:val="20"/>
        </w:rPr>
        <w:t> </w:t>
      </w:r>
      <w:r>
        <w:rPr>
          <w:b/>
          <w:sz w:val="20"/>
        </w:rPr>
        <w:t>ello</w:t>
      </w:r>
      <w:r>
        <w:rPr>
          <w:b/>
          <w:spacing w:val="-7"/>
          <w:sz w:val="20"/>
        </w:rPr>
        <w:t> </w:t>
      </w:r>
      <w:r>
        <w:rPr>
          <w:b/>
          <w:sz w:val="20"/>
        </w:rPr>
        <w:t>considerando</w:t>
      </w:r>
      <w:r>
        <w:rPr>
          <w:b/>
          <w:spacing w:val="-8"/>
          <w:sz w:val="20"/>
        </w:rPr>
        <w:t> </w:t>
      </w:r>
      <w:r>
        <w:rPr>
          <w:b/>
          <w:sz w:val="20"/>
        </w:rPr>
        <w:t>que</w:t>
      </w:r>
      <w:r>
        <w:rPr>
          <w:b/>
          <w:spacing w:val="-6"/>
          <w:sz w:val="20"/>
        </w:rPr>
        <w:t> </w:t>
      </w:r>
      <w:r>
        <w:rPr>
          <w:b/>
          <w:sz w:val="20"/>
        </w:rPr>
        <w:t>el</w:t>
      </w:r>
      <w:r>
        <w:rPr>
          <w:b/>
          <w:spacing w:val="-6"/>
          <w:sz w:val="20"/>
        </w:rPr>
        <w:t> </w:t>
      </w:r>
      <w:r>
        <w:rPr>
          <w:b/>
          <w:sz w:val="20"/>
        </w:rPr>
        <w:t>nuevo</w:t>
      </w:r>
      <w:r>
        <w:rPr>
          <w:b/>
          <w:spacing w:val="-6"/>
          <w:sz w:val="20"/>
        </w:rPr>
        <w:t> </w:t>
      </w:r>
      <w:r>
        <w:rPr>
          <w:b/>
          <w:sz w:val="20"/>
        </w:rPr>
        <w:t>contrato</w:t>
      </w:r>
      <w:r>
        <w:rPr>
          <w:b/>
          <w:spacing w:val="-6"/>
          <w:sz w:val="20"/>
        </w:rPr>
        <w:t> </w:t>
      </w:r>
      <w:r>
        <w:rPr>
          <w:b/>
          <w:sz w:val="20"/>
        </w:rPr>
        <w:t>con</w:t>
      </w:r>
      <w:r>
        <w:rPr>
          <w:b/>
          <w:spacing w:val="-6"/>
          <w:sz w:val="20"/>
        </w:rPr>
        <w:t> </w:t>
      </w:r>
      <w:r>
        <w:rPr>
          <w:b/>
          <w:sz w:val="20"/>
        </w:rPr>
        <w:t>los</w:t>
      </w:r>
      <w:r>
        <w:rPr>
          <w:b/>
          <w:spacing w:val="-4"/>
          <w:sz w:val="20"/>
        </w:rPr>
        <w:t> </w:t>
      </w:r>
      <w:r>
        <w:rPr>
          <w:b/>
          <w:sz w:val="20"/>
        </w:rPr>
        <w:t>nuevos</w:t>
      </w:r>
      <w:r>
        <w:rPr>
          <w:b/>
          <w:spacing w:val="-6"/>
          <w:sz w:val="20"/>
        </w:rPr>
        <w:t> </w:t>
      </w:r>
      <w:r>
        <w:rPr>
          <w:b/>
          <w:sz w:val="20"/>
        </w:rPr>
        <w:t>requerimientos</w:t>
      </w:r>
      <w:r>
        <w:rPr>
          <w:b/>
          <w:spacing w:val="-6"/>
          <w:sz w:val="20"/>
        </w:rPr>
        <w:t> </w:t>
      </w:r>
      <w:r>
        <w:rPr>
          <w:b/>
          <w:sz w:val="20"/>
        </w:rPr>
        <w:t>entra</w:t>
      </w:r>
      <w:r>
        <w:rPr>
          <w:b/>
          <w:spacing w:val="-6"/>
          <w:sz w:val="20"/>
        </w:rPr>
        <w:t> </w:t>
      </w:r>
      <w:r>
        <w:rPr>
          <w:b/>
          <w:sz w:val="20"/>
        </w:rPr>
        <w:t>en</w:t>
      </w:r>
      <w:r>
        <w:rPr>
          <w:b/>
          <w:spacing w:val="-6"/>
          <w:sz w:val="20"/>
        </w:rPr>
        <w:t> </w:t>
      </w:r>
      <w:r>
        <w:rPr>
          <w:b/>
          <w:sz w:val="20"/>
        </w:rPr>
        <w:t>funcionamiento no mas tarde del 1 de enero de 2027.</w:t>
      </w:r>
    </w:p>
    <w:p>
      <w:pPr>
        <w:pStyle w:val="BodyText"/>
        <w:rPr>
          <w:b/>
          <w:sz w:val="20"/>
        </w:rPr>
      </w:pPr>
    </w:p>
    <w:p>
      <w:pPr>
        <w:pStyle w:val="BodyText"/>
        <w:spacing w:before="182"/>
        <w:rPr>
          <w:b/>
          <w:sz w:val="20"/>
        </w:rPr>
      </w:pPr>
    </w:p>
    <w:p>
      <w:pPr>
        <w:spacing w:before="0"/>
        <w:ind w:left="1284" w:right="0" w:firstLine="0"/>
        <w:jc w:val="left"/>
        <w:rPr>
          <w:i/>
          <w:sz w:val="20"/>
        </w:rPr>
      </w:pPr>
      <w:r>
        <w:rPr>
          <w:i/>
          <w:sz w:val="20"/>
        </w:rPr>
        <mc:AlternateContent>
          <mc:Choice Requires="wps">
            <w:drawing>
              <wp:anchor distT="0" distB="0" distL="0" distR="0" allowOverlap="1" layoutInCell="1" locked="0" behindDoc="0" simplePos="0" relativeHeight="15970816">
                <wp:simplePos x="0" y="0"/>
                <wp:positionH relativeFrom="page">
                  <wp:posOffset>244784</wp:posOffset>
                </wp:positionH>
                <wp:positionV relativeFrom="paragraph">
                  <wp:posOffset>-71374</wp:posOffset>
                </wp:positionV>
                <wp:extent cx="251460" cy="1744345"/>
                <wp:effectExtent l="0" t="0" r="0" b="0"/>
                <wp:wrapNone/>
                <wp:docPr id="2242" name="Textbox 2242"/>
                <wp:cNvGraphicFramePr>
                  <a:graphicFrameLocks/>
                </wp:cNvGraphicFramePr>
                <a:graphic>
                  <a:graphicData uri="http://schemas.microsoft.com/office/word/2010/wordprocessingShape">
                    <wps:wsp>
                      <wps:cNvPr id="2242" name="Textbox 2242"/>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5.620026pt;width:19.8pt;height:137.35pt;mso-position-horizontal-relative:page;mso-position-vertical-relative:paragraph;z-index:15970816" type="#_x0000_t202" id="docshape1624"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i/>
          <w:sz w:val="20"/>
        </w:rPr>
        <w:t>Grupo</w:t>
      </w:r>
      <w:r>
        <w:rPr>
          <w:i/>
          <w:spacing w:val="-8"/>
          <w:sz w:val="20"/>
        </w:rPr>
        <w:t> </w:t>
      </w:r>
      <w:r>
        <w:rPr>
          <w:i/>
          <w:sz w:val="20"/>
        </w:rPr>
        <w:t>13</w:t>
      </w:r>
      <w:r>
        <w:rPr>
          <w:i/>
          <w:spacing w:val="-6"/>
          <w:sz w:val="20"/>
        </w:rPr>
        <w:t> </w:t>
      </w:r>
      <w:r>
        <w:rPr>
          <w:i/>
          <w:sz w:val="20"/>
        </w:rPr>
        <w:t>de</w:t>
      </w:r>
      <w:r>
        <w:rPr>
          <w:i/>
          <w:spacing w:val="-5"/>
          <w:sz w:val="20"/>
        </w:rPr>
        <w:t> 14</w:t>
      </w:r>
    </w:p>
    <w:p>
      <w:pPr>
        <w:pStyle w:val="BodyText"/>
        <w:spacing w:before="176"/>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9"/>
        <w:ind w:left="1284" w:right="0" w:firstLine="0"/>
        <w:jc w:val="left"/>
        <w:rPr>
          <w:b/>
          <w:sz w:val="20"/>
        </w:rPr>
      </w:pPr>
      <w:r>
        <w:rPr>
          <w:b/>
          <w:sz w:val="20"/>
        </w:rPr>
        <w:t>Al</w:t>
      </w:r>
      <w:r>
        <w:rPr>
          <w:b/>
          <w:spacing w:val="-3"/>
          <w:sz w:val="20"/>
        </w:rPr>
        <w:t> </w:t>
      </w:r>
      <w:r>
        <w:rPr>
          <w:b/>
          <w:spacing w:val="-2"/>
          <w:sz w:val="20"/>
        </w:rPr>
        <w:t>texto</w:t>
      </w:r>
    </w:p>
    <w:p>
      <w:pPr>
        <w:pStyle w:val="BodyText"/>
        <w:spacing w:before="176"/>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9"/>
        <w:ind w:left="1284" w:right="0" w:firstLine="0"/>
        <w:jc w:val="left"/>
        <w:rPr>
          <w:b/>
          <w:sz w:val="20"/>
        </w:rPr>
      </w:pPr>
      <w:r>
        <w:rPr>
          <w:b/>
          <w:spacing w:val="-5"/>
          <w:sz w:val="20"/>
        </w:rPr>
        <w:t>97</w:t>
      </w:r>
    </w:p>
    <w:p>
      <w:pPr>
        <w:pStyle w:val="BodyText"/>
        <w:spacing w:before="176"/>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89"/>
        <w:ind w:left="1284" w:right="0" w:firstLine="0"/>
        <w:jc w:val="left"/>
        <w:rPr>
          <w:b/>
          <w:sz w:val="20"/>
        </w:rPr>
      </w:pPr>
      <w:r>
        <w:rPr>
          <w:b/>
          <w:spacing w:val="-2"/>
          <w:sz w:val="20"/>
        </w:rPr>
        <w:t>4</w:t>
      </w:r>
      <w:r>
        <w:rPr>
          <w:b/>
          <w:spacing w:val="-1"/>
          <w:sz w:val="20"/>
        </w:rPr>
        <w:t> </w:t>
      </w:r>
      <w:r>
        <w:rPr>
          <w:b/>
          <w:spacing w:val="-2"/>
          <w:sz w:val="20"/>
        </w:rPr>
        <w:t>(recomendación</w:t>
      </w:r>
      <w:r>
        <w:rPr>
          <w:b/>
          <w:spacing w:val="1"/>
          <w:sz w:val="20"/>
        </w:rPr>
        <w:t> </w:t>
      </w:r>
      <w:r>
        <w:rPr>
          <w:b/>
          <w:spacing w:val="-5"/>
          <w:sz w:val="20"/>
        </w:rPr>
        <w:t>4)</w:t>
      </w:r>
    </w:p>
    <w:p>
      <w:pPr>
        <w:spacing w:after="0"/>
        <w:jc w:val="left"/>
        <w:rPr>
          <w:b/>
          <w:sz w:val="20"/>
        </w:rPr>
        <w:sectPr>
          <w:pgSz w:w="11910" w:h="16840"/>
          <w:pgMar w:header="314" w:footer="481" w:top="1240" w:bottom="680" w:left="141" w:right="141"/>
        </w:sectPr>
      </w:pPr>
    </w:p>
    <w:p>
      <w:pPr>
        <w:pStyle w:val="BodyText"/>
        <w:rPr>
          <w:b/>
          <w:sz w:val="20"/>
        </w:rPr>
      </w:pPr>
    </w:p>
    <w:p>
      <w:pPr>
        <w:pStyle w:val="BodyText"/>
        <w:spacing w:before="59"/>
        <w:rPr>
          <w:b/>
          <w:sz w:val="20"/>
        </w:rPr>
      </w:pPr>
    </w:p>
    <w:p>
      <w:pPr>
        <w:spacing w:before="1"/>
        <w:ind w:left="1284" w:right="0" w:firstLine="0"/>
        <w:jc w:val="left"/>
        <w:rPr>
          <w:sz w:val="20"/>
        </w:rPr>
      </w:pPr>
      <w:r>
        <w:rPr>
          <w:spacing w:val="-2"/>
          <w:sz w:val="20"/>
        </w:rPr>
        <w:t>Alegación:</w:t>
      </w:r>
    </w:p>
    <w:p>
      <w:pPr>
        <w:spacing w:line="331" w:lineRule="auto" w:before="89"/>
        <w:ind w:left="1284" w:right="496" w:firstLine="0"/>
        <w:jc w:val="left"/>
        <w:rPr>
          <w:b/>
          <w:sz w:val="20"/>
        </w:rPr>
      </w:pPr>
      <w:r>
        <w:rPr>
          <w:b/>
          <w:sz w:val="20"/>
        </w:rPr>
        <w:t>A</w:t>
      </w:r>
      <w:r>
        <w:rPr>
          <w:b/>
          <w:spacing w:val="-6"/>
          <w:sz w:val="20"/>
        </w:rPr>
        <w:t> </w:t>
      </w:r>
      <w:r>
        <w:rPr>
          <w:b/>
          <w:sz w:val="20"/>
        </w:rPr>
        <w:t>la</w:t>
      </w:r>
      <w:r>
        <w:rPr>
          <w:b/>
          <w:spacing w:val="-6"/>
          <w:sz w:val="20"/>
        </w:rPr>
        <w:t> </w:t>
      </w:r>
      <w:r>
        <w:rPr>
          <w:b/>
          <w:sz w:val="20"/>
        </w:rPr>
        <w:t>recomendación</w:t>
      </w:r>
      <w:r>
        <w:rPr>
          <w:b/>
          <w:spacing w:val="-4"/>
          <w:sz w:val="20"/>
        </w:rPr>
        <w:t> </w:t>
      </w:r>
      <w:r>
        <w:rPr>
          <w:b/>
          <w:sz w:val="20"/>
        </w:rPr>
        <w:t>número</w:t>
      </w:r>
      <w:r>
        <w:rPr>
          <w:b/>
          <w:spacing w:val="-6"/>
          <w:sz w:val="20"/>
        </w:rPr>
        <w:t> </w:t>
      </w:r>
      <w:r>
        <w:rPr>
          <w:b/>
          <w:sz w:val="20"/>
        </w:rPr>
        <w:t>4,</w:t>
      </w:r>
      <w:r>
        <w:rPr>
          <w:b/>
          <w:spacing w:val="-6"/>
          <w:sz w:val="20"/>
        </w:rPr>
        <w:t> </w:t>
      </w:r>
      <w:r>
        <w:rPr>
          <w:b/>
          <w:sz w:val="20"/>
        </w:rPr>
        <w:t>indicar</w:t>
      </w:r>
      <w:r>
        <w:rPr>
          <w:b/>
          <w:spacing w:val="-6"/>
          <w:sz w:val="20"/>
        </w:rPr>
        <w:t> </w:t>
      </w:r>
      <w:r>
        <w:rPr>
          <w:b/>
          <w:sz w:val="20"/>
        </w:rPr>
        <w:t>que</w:t>
      </w:r>
      <w:r>
        <w:rPr>
          <w:b/>
          <w:spacing w:val="-6"/>
          <w:sz w:val="20"/>
        </w:rPr>
        <w:t> </w:t>
      </w:r>
      <w:r>
        <w:rPr>
          <w:b/>
          <w:sz w:val="20"/>
        </w:rPr>
        <w:t>el</w:t>
      </w:r>
      <w:r>
        <w:rPr>
          <w:b/>
          <w:spacing w:val="-6"/>
          <w:sz w:val="20"/>
        </w:rPr>
        <w:t> </w:t>
      </w:r>
      <w:r>
        <w:rPr>
          <w:b/>
          <w:sz w:val="20"/>
        </w:rPr>
        <w:t>nuevo</w:t>
      </w:r>
      <w:r>
        <w:rPr>
          <w:b/>
          <w:spacing w:val="-6"/>
          <w:sz w:val="20"/>
        </w:rPr>
        <w:t> </w:t>
      </w:r>
      <w:r>
        <w:rPr>
          <w:b/>
          <w:sz w:val="20"/>
        </w:rPr>
        <w:t>contrato</w:t>
      </w:r>
      <w:r>
        <w:rPr>
          <w:b/>
          <w:spacing w:val="-6"/>
          <w:sz w:val="20"/>
        </w:rPr>
        <w:t> </w:t>
      </w:r>
      <w:r>
        <w:rPr>
          <w:b/>
          <w:sz w:val="20"/>
        </w:rPr>
        <w:t>actualmente</w:t>
      </w:r>
      <w:r>
        <w:rPr>
          <w:b/>
          <w:spacing w:val="-6"/>
          <w:sz w:val="20"/>
        </w:rPr>
        <w:t> </w:t>
      </w:r>
      <w:r>
        <w:rPr>
          <w:b/>
          <w:sz w:val="20"/>
        </w:rPr>
        <w:t>en</w:t>
      </w:r>
      <w:r>
        <w:rPr>
          <w:b/>
          <w:spacing w:val="-5"/>
          <w:sz w:val="20"/>
        </w:rPr>
        <w:t> </w:t>
      </w:r>
      <w:r>
        <w:rPr>
          <w:b/>
          <w:sz w:val="20"/>
        </w:rPr>
        <w:t>licitación</w:t>
      </w:r>
      <w:r>
        <w:rPr>
          <w:b/>
          <w:spacing w:val="-6"/>
          <w:sz w:val="20"/>
        </w:rPr>
        <w:t> </w:t>
      </w:r>
      <w:r>
        <w:rPr>
          <w:b/>
          <w:sz w:val="20"/>
        </w:rPr>
        <w:t>recoge</w:t>
      </w:r>
      <w:r>
        <w:rPr>
          <w:b/>
          <w:spacing w:val="-3"/>
          <w:sz w:val="20"/>
        </w:rPr>
        <w:t> </w:t>
      </w:r>
      <w:r>
        <w:rPr>
          <w:b/>
          <w:sz w:val="20"/>
        </w:rPr>
        <w:t>el</w:t>
      </w:r>
      <w:r>
        <w:rPr>
          <w:b/>
          <w:spacing w:val="-6"/>
          <w:sz w:val="20"/>
        </w:rPr>
        <w:t> </w:t>
      </w:r>
      <w:r>
        <w:rPr>
          <w:b/>
          <w:sz w:val="20"/>
        </w:rPr>
        <w:t>plan</w:t>
      </w:r>
      <w:r>
        <w:rPr>
          <w:b/>
          <w:spacing w:val="-7"/>
          <w:sz w:val="20"/>
        </w:rPr>
        <w:t> </w:t>
      </w:r>
      <w:r>
        <w:rPr>
          <w:b/>
          <w:sz w:val="20"/>
        </w:rPr>
        <w:t>de renovación de la flota, mediante la progresiva incorporación de vehículos limpios, con el objetivo final de que al término de la concesión, cuyo plazo se fija en diez años, la totalidad de la flota sea “cero </w:t>
      </w:r>
      <w:r>
        <w:rPr>
          <w:b/>
          <w:spacing w:val="-2"/>
          <w:sz w:val="20"/>
        </w:rPr>
        <w:t>emisiones”.</w:t>
      </w:r>
    </w:p>
    <w:p>
      <w:pPr>
        <w:spacing w:line="331" w:lineRule="auto" w:before="5"/>
        <w:ind w:left="1284" w:right="769" w:firstLine="0"/>
        <w:jc w:val="left"/>
        <w:rPr>
          <w:b/>
          <w:sz w:val="20"/>
        </w:rPr>
      </w:pPr>
      <w:r>
        <w:rPr>
          <w:b/>
          <w:sz w:val="20"/>
        </w:rPr>
        <w:t>Dicho plan de renovación se contempla en el apartado 2.1.4 del Pliego de Prescripciones Técnicas. El eventual incumplimiento de dicho plan o de sus fechas de incorporación de nuevas unidades constituye</w:t>
      </w:r>
      <w:r>
        <w:rPr>
          <w:b/>
          <w:spacing w:val="-6"/>
          <w:sz w:val="20"/>
        </w:rPr>
        <w:t> </w:t>
      </w:r>
      <w:r>
        <w:rPr>
          <w:b/>
          <w:sz w:val="20"/>
        </w:rPr>
        <w:t>causa</w:t>
      </w:r>
      <w:r>
        <w:rPr>
          <w:b/>
          <w:spacing w:val="-6"/>
          <w:sz w:val="20"/>
        </w:rPr>
        <w:t> </w:t>
      </w:r>
      <w:r>
        <w:rPr>
          <w:b/>
          <w:sz w:val="20"/>
        </w:rPr>
        <w:t>de</w:t>
      </w:r>
      <w:r>
        <w:rPr>
          <w:b/>
          <w:spacing w:val="-6"/>
          <w:sz w:val="20"/>
        </w:rPr>
        <w:t> </w:t>
      </w:r>
      <w:r>
        <w:rPr>
          <w:b/>
          <w:sz w:val="20"/>
        </w:rPr>
        <w:t>imposición</w:t>
      </w:r>
      <w:r>
        <w:rPr>
          <w:b/>
          <w:spacing w:val="-6"/>
          <w:sz w:val="20"/>
        </w:rPr>
        <w:t> </w:t>
      </w:r>
      <w:r>
        <w:rPr>
          <w:b/>
          <w:sz w:val="20"/>
        </w:rPr>
        <w:t>de</w:t>
      </w:r>
      <w:r>
        <w:rPr>
          <w:b/>
          <w:spacing w:val="-6"/>
          <w:sz w:val="20"/>
        </w:rPr>
        <w:t> </w:t>
      </w:r>
      <w:r>
        <w:rPr>
          <w:b/>
          <w:sz w:val="20"/>
        </w:rPr>
        <w:t>penalidades,</w:t>
      </w:r>
      <w:r>
        <w:rPr>
          <w:b/>
          <w:spacing w:val="-4"/>
          <w:sz w:val="20"/>
        </w:rPr>
        <w:t> </w:t>
      </w:r>
      <w:r>
        <w:rPr>
          <w:b/>
          <w:sz w:val="20"/>
        </w:rPr>
        <w:t>en</w:t>
      </w:r>
      <w:r>
        <w:rPr>
          <w:b/>
          <w:spacing w:val="-8"/>
          <w:sz w:val="20"/>
        </w:rPr>
        <w:t> </w:t>
      </w:r>
      <w:r>
        <w:rPr>
          <w:b/>
          <w:sz w:val="20"/>
        </w:rPr>
        <w:t>los</w:t>
      </w:r>
      <w:r>
        <w:rPr>
          <w:b/>
          <w:spacing w:val="-6"/>
          <w:sz w:val="20"/>
        </w:rPr>
        <w:t> </w:t>
      </w:r>
      <w:r>
        <w:rPr>
          <w:b/>
          <w:sz w:val="20"/>
        </w:rPr>
        <w:t>términos</w:t>
      </w:r>
      <w:r>
        <w:rPr>
          <w:b/>
          <w:spacing w:val="-5"/>
          <w:sz w:val="20"/>
        </w:rPr>
        <w:t> </w:t>
      </w:r>
      <w:r>
        <w:rPr>
          <w:b/>
          <w:sz w:val="20"/>
        </w:rPr>
        <w:t>establecidos</w:t>
      </w:r>
      <w:r>
        <w:rPr>
          <w:b/>
          <w:spacing w:val="-6"/>
          <w:sz w:val="20"/>
        </w:rPr>
        <w:t> </w:t>
      </w:r>
      <w:r>
        <w:rPr>
          <w:b/>
          <w:sz w:val="20"/>
        </w:rPr>
        <w:t>en</w:t>
      </w:r>
      <w:r>
        <w:rPr>
          <w:b/>
          <w:spacing w:val="-6"/>
          <w:sz w:val="20"/>
        </w:rPr>
        <w:t> </w:t>
      </w:r>
      <w:r>
        <w:rPr>
          <w:b/>
          <w:sz w:val="20"/>
        </w:rPr>
        <w:t>la</w:t>
      </w:r>
      <w:r>
        <w:rPr>
          <w:b/>
          <w:spacing w:val="-6"/>
          <w:sz w:val="20"/>
        </w:rPr>
        <w:t> </w:t>
      </w:r>
      <w:r>
        <w:rPr>
          <w:b/>
          <w:sz w:val="20"/>
        </w:rPr>
        <w:t>cláusula</w:t>
      </w:r>
      <w:r>
        <w:rPr>
          <w:b/>
          <w:spacing w:val="-6"/>
          <w:sz w:val="20"/>
        </w:rPr>
        <w:t> </w:t>
      </w:r>
      <w:r>
        <w:rPr>
          <w:b/>
          <w:sz w:val="20"/>
        </w:rPr>
        <w:t>18.2</w:t>
      </w:r>
      <w:r>
        <w:rPr>
          <w:b/>
          <w:spacing w:val="-6"/>
          <w:sz w:val="20"/>
        </w:rPr>
        <w:t> </w:t>
      </w:r>
      <w:r>
        <w:rPr>
          <w:b/>
          <w:sz w:val="20"/>
        </w:rPr>
        <w:t>del Pliego de Condiciones Administrativas Particulares.</w:t>
      </w:r>
    </w:p>
    <w:p>
      <w:pPr>
        <w:pStyle w:val="BodyText"/>
        <w:rPr>
          <w:b/>
          <w:sz w:val="20"/>
        </w:rPr>
      </w:pPr>
    </w:p>
    <w:p>
      <w:pPr>
        <w:pStyle w:val="BodyText"/>
        <w:spacing w:before="180"/>
        <w:rPr>
          <w:b/>
          <w:sz w:val="20"/>
        </w:rPr>
      </w:pPr>
    </w:p>
    <w:p>
      <w:pPr>
        <w:spacing w:before="1"/>
        <w:ind w:left="1284" w:right="0" w:firstLine="0"/>
        <w:jc w:val="left"/>
        <w:rPr>
          <w:i/>
          <w:sz w:val="20"/>
        </w:rPr>
      </w:pPr>
      <w:r>
        <w:rPr>
          <w:i/>
          <w:sz w:val="20"/>
        </w:rPr>
        <w:t>Grupo</w:t>
      </w:r>
      <w:r>
        <w:rPr>
          <w:i/>
          <w:spacing w:val="-8"/>
          <w:sz w:val="20"/>
        </w:rPr>
        <w:t> </w:t>
      </w:r>
      <w:r>
        <w:rPr>
          <w:i/>
          <w:sz w:val="20"/>
        </w:rPr>
        <w:t>14</w:t>
      </w:r>
      <w:r>
        <w:rPr>
          <w:i/>
          <w:spacing w:val="-6"/>
          <w:sz w:val="20"/>
        </w:rPr>
        <w:t> </w:t>
      </w:r>
      <w:r>
        <w:rPr>
          <w:i/>
          <w:sz w:val="20"/>
        </w:rPr>
        <w:t>de</w:t>
      </w:r>
      <w:r>
        <w:rPr>
          <w:i/>
          <w:spacing w:val="-5"/>
          <w:sz w:val="20"/>
        </w:rPr>
        <w:t> 14</w:t>
      </w:r>
    </w:p>
    <w:p>
      <w:pPr>
        <w:pStyle w:val="BodyText"/>
        <w:spacing w:before="178"/>
        <w:rPr>
          <w:i/>
          <w:sz w:val="20"/>
        </w:rPr>
      </w:pPr>
    </w:p>
    <w:p>
      <w:pPr>
        <w:spacing w:before="0"/>
        <w:ind w:left="1284" w:right="0" w:firstLine="0"/>
        <w:jc w:val="left"/>
        <w:rPr>
          <w:sz w:val="20"/>
        </w:rPr>
      </w:pPr>
      <w:r>
        <w:rPr>
          <w:sz w:val="20"/>
        </w:rPr>
        <w:t>Tipo</w:t>
      </w:r>
      <w:r>
        <w:rPr>
          <w:spacing w:val="-6"/>
          <w:sz w:val="20"/>
        </w:rPr>
        <w:t> </w:t>
      </w:r>
      <w:r>
        <w:rPr>
          <w:sz w:val="20"/>
        </w:rPr>
        <w:t>de</w:t>
      </w:r>
      <w:r>
        <w:rPr>
          <w:spacing w:val="-6"/>
          <w:sz w:val="20"/>
        </w:rPr>
        <w:t> </w:t>
      </w:r>
      <w:r>
        <w:rPr>
          <w:spacing w:val="-2"/>
          <w:sz w:val="20"/>
        </w:rPr>
        <w:t>alegación</w:t>
      </w:r>
    </w:p>
    <w:p>
      <w:pPr>
        <w:spacing w:before="87"/>
        <w:ind w:left="1284" w:right="0" w:firstLine="0"/>
        <w:jc w:val="left"/>
        <w:rPr>
          <w:b/>
          <w:sz w:val="20"/>
        </w:rPr>
      </w:pPr>
      <w:r>
        <w:rPr>
          <w:b/>
          <w:sz w:val="20"/>
        </w:rPr>
        <w:t>Al</w:t>
      </w:r>
      <w:r>
        <w:rPr>
          <w:b/>
          <w:spacing w:val="-3"/>
          <w:sz w:val="20"/>
        </w:rPr>
        <w:t> </w:t>
      </w:r>
      <w:r>
        <w:rPr>
          <w:b/>
          <w:spacing w:val="-2"/>
          <w:sz w:val="20"/>
        </w:rPr>
        <w:t>texto</w:t>
      </w:r>
    </w:p>
    <w:p>
      <w:pPr>
        <w:pStyle w:val="BodyText"/>
        <w:spacing w:before="178"/>
        <w:rPr>
          <w:b/>
          <w:sz w:val="20"/>
        </w:rPr>
      </w:pPr>
    </w:p>
    <w:p>
      <w:pPr>
        <w:spacing w:before="0"/>
        <w:ind w:left="1284" w:right="0" w:firstLine="0"/>
        <w:jc w:val="left"/>
        <w:rPr>
          <w:sz w:val="20"/>
        </w:rPr>
      </w:pPr>
      <w:r>
        <w:rPr>
          <w:sz w:val="20"/>
        </w:rPr>
        <w:t>Número</w:t>
      </w:r>
      <w:r>
        <w:rPr>
          <w:spacing w:val="-8"/>
          <w:sz w:val="20"/>
        </w:rPr>
        <w:t> </w:t>
      </w:r>
      <w:r>
        <w:rPr>
          <w:sz w:val="20"/>
        </w:rPr>
        <w:t>de</w:t>
      </w:r>
      <w:r>
        <w:rPr>
          <w:spacing w:val="-8"/>
          <w:sz w:val="20"/>
        </w:rPr>
        <w:t> </w:t>
      </w:r>
      <w:r>
        <w:rPr>
          <w:sz w:val="20"/>
        </w:rPr>
        <w:t>página</w:t>
      </w:r>
      <w:r>
        <w:rPr>
          <w:spacing w:val="-7"/>
          <w:sz w:val="20"/>
        </w:rPr>
        <w:t> </w:t>
      </w:r>
      <w:r>
        <w:rPr>
          <w:sz w:val="20"/>
        </w:rPr>
        <w:t>del</w:t>
      </w:r>
      <w:r>
        <w:rPr>
          <w:spacing w:val="-7"/>
          <w:sz w:val="20"/>
        </w:rPr>
        <w:t> </w:t>
      </w:r>
      <w:r>
        <w:rPr>
          <w:sz w:val="20"/>
        </w:rPr>
        <w:t>texto</w:t>
      </w:r>
      <w:r>
        <w:rPr>
          <w:spacing w:val="-8"/>
          <w:sz w:val="20"/>
        </w:rPr>
        <w:t> </w:t>
      </w:r>
      <w:r>
        <w:rPr>
          <w:sz w:val="20"/>
        </w:rPr>
        <w:t>(o</w:t>
      </w:r>
      <w:r>
        <w:rPr>
          <w:spacing w:val="-7"/>
          <w:sz w:val="20"/>
        </w:rPr>
        <w:t> </w:t>
      </w:r>
      <w:r>
        <w:rPr>
          <w:sz w:val="20"/>
        </w:rPr>
        <w:t>número</w:t>
      </w:r>
      <w:r>
        <w:rPr>
          <w:spacing w:val="-8"/>
          <w:sz w:val="20"/>
        </w:rPr>
        <w:t> </w:t>
      </w:r>
      <w:r>
        <w:rPr>
          <w:sz w:val="20"/>
        </w:rPr>
        <w:t>de</w:t>
      </w:r>
      <w:r>
        <w:rPr>
          <w:spacing w:val="-8"/>
          <w:sz w:val="20"/>
        </w:rPr>
        <w:t> </w:t>
      </w:r>
      <w:r>
        <w:rPr>
          <w:sz w:val="20"/>
        </w:rPr>
        <w:t>cuadro</w:t>
      </w:r>
      <w:r>
        <w:rPr>
          <w:spacing w:val="-7"/>
          <w:sz w:val="20"/>
        </w:rPr>
        <w:t> </w:t>
      </w:r>
      <w:r>
        <w:rPr>
          <w:sz w:val="20"/>
        </w:rPr>
        <w:t>o</w:t>
      </w:r>
      <w:r>
        <w:rPr>
          <w:spacing w:val="-8"/>
          <w:sz w:val="20"/>
        </w:rPr>
        <w:t> </w:t>
      </w:r>
      <w:r>
        <w:rPr>
          <w:spacing w:val="-2"/>
          <w:sz w:val="20"/>
        </w:rPr>
        <w:t>anexo):</w:t>
      </w:r>
    </w:p>
    <w:p>
      <w:pPr>
        <w:spacing w:before="87"/>
        <w:ind w:left="1284" w:right="0" w:firstLine="0"/>
        <w:jc w:val="left"/>
        <w:rPr>
          <w:b/>
          <w:sz w:val="20"/>
        </w:rPr>
      </w:pPr>
      <w:r>
        <w:rPr>
          <w:b/>
          <w:spacing w:val="-5"/>
          <w:sz w:val="20"/>
        </w:rPr>
        <w:t>99</w:t>
      </w:r>
    </w:p>
    <w:p>
      <w:pPr>
        <w:pStyle w:val="BodyText"/>
        <w:spacing w:before="178"/>
        <w:rPr>
          <w:b/>
          <w:sz w:val="20"/>
        </w:rPr>
      </w:pPr>
    </w:p>
    <w:p>
      <w:pPr>
        <w:spacing w:before="0"/>
        <w:ind w:left="1284" w:right="0" w:firstLine="0"/>
        <w:jc w:val="left"/>
        <w:rPr>
          <w:sz w:val="20"/>
        </w:rPr>
      </w:pPr>
      <w:r>
        <w:rPr>
          <w:sz w:val="20"/>
        </w:rPr>
        <w:t>Párrafo</w:t>
      </w:r>
      <w:r>
        <w:rPr>
          <w:spacing w:val="-7"/>
          <w:sz w:val="20"/>
        </w:rPr>
        <w:t> </w:t>
      </w:r>
      <w:r>
        <w:rPr>
          <w:sz w:val="20"/>
        </w:rPr>
        <w:t>del</w:t>
      </w:r>
      <w:r>
        <w:rPr>
          <w:spacing w:val="-8"/>
          <w:sz w:val="20"/>
        </w:rPr>
        <w:t> </w:t>
      </w:r>
      <w:r>
        <w:rPr>
          <w:sz w:val="20"/>
        </w:rPr>
        <w:t>texto</w:t>
      </w:r>
      <w:r>
        <w:rPr>
          <w:spacing w:val="-7"/>
          <w:sz w:val="20"/>
        </w:rPr>
        <w:t> </w:t>
      </w:r>
      <w:r>
        <w:rPr>
          <w:sz w:val="20"/>
        </w:rPr>
        <w:t>(o</w:t>
      </w:r>
      <w:r>
        <w:rPr>
          <w:spacing w:val="-6"/>
          <w:sz w:val="20"/>
        </w:rPr>
        <w:t> </w:t>
      </w:r>
      <w:r>
        <w:rPr>
          <w:sz w:val="20"/>
        </w:rPr>
        <w:t>línea</w:t>
      </w:r>
      <w:r>
        <w:rPr>
          <w:spacing w:val="-7"/>
          <w:sz w:val="20"/>
        </w:rPr>
        <w:t> </w:t>
      </w:r>
      <w:r>
        <w:rPr>
          <w:sz w:val="20"/>
        </w:rPr>
        <w:t>del</w:t>
      </w:r>
      <w:r>
        <w:rPr>
          <w:spacing w:val="-8"/>
          <w:sz w:val="20"/>
        </w:rPr>
        <w:t> </w:t>
      </w:r>
      <w:r>
        <w:rPr>
          <w:sz w:val="20"/>
        </w:rPr>
        <w:t>cuadro</w:t>
      </w:r>
      <w:r>
        <w:rPr>
          <w:spacing w:val="-7"/>
          <w:sz w:val="20"/>
        </w:rPr>
        <w:t> </w:t>
      </w:r>
      <w:r>
        <w:rPr>
          <w:sz w:val="20"/>
        </w:rPr>
        <w:t>o</w:t>
      </w:r>
      <w:r>
        <w:rPr>
          <w:spacing w:val="-6"/>
          <w:sz w:val="20"/>
        </w:rPr>
        <w:t> </w:t>
      </w:r>
      <w:r>
        <w:rPr>
          <w:spacing w:val="-2"/>
          <w:sz w:val="20"/>
        </w:rPr>
        <w:t>anexo):</w:t>
      </w:r>
    </w:p>
    <w:p>
      <w:pPr>
        <w:spacing w:before="90"/>
        <w:ind w:left="1284" w:right="0" w:firstLine="0"/>
        <w:jc w:val="left"/>
        <w:rPr>
          <w:b/>
          <w:sz w:val="20"/>
        </w:rPr>
      </w:pPr>
      <w:r>
        <w:rPr>
          <w:b/>
          <w:spacing w:val="-2"/>
          <w:sz w:val="20"/>
        </w:rPr>
        <w:t>7</w:t>
      </w:r>
      <w:r>
        <w:rPr>
          <w:b/>
          <w:spacing w:val="-1"/>
          <w:sz w:val="20"/>
        </w:rPr>
        <w:t> </w:t>
      </w:r>
      <w:r>
        <w:rPr>
          <w:b/>
          <w:spacing w:val="-2"/>
          <w:sz w:val="20"/>
        </w:rPr>
        <w:t>(recomendación</w:t>
      </w:r>
      <w:r>
        <w:rPr>
          <w:b/>
          <w:spacing w:val="1"/>
          <w:sz w:val="20"/>
        </w:rPr>
        <w:t> </w:t>
      </w:r>
      <w:r>
        <w:rPr>
          <w:b/>
          <w:spacing w:val="-5"/>
          <w:sz w:val="20"/>
        </w:rPr>
        <w:t>6)</w:t>
      </w:r>
    </w:p>
    <w:p>
      <w:pPr>
        <w:pStyle w:val="BodyText"/>
        <w:spacing w:before="175"/>
        <w:rPr>
          <w:b/>
          <w:sz w:val="20"/>
        </w:rPr>
      </w:pPr>
    </w:p>
    <w:p>
      <w:pPr>
        <w:spacing w:before="1"/>
        <w:ind w:left="1284" w:right="0" w:firstLine="0"/>
        <w:jc w:val="left"/>
        <w:rPr>
          <w:sz w:val="20"/>
        </w:rPr>
      </w:pPr>
      <w:r>
        <w:rPr>
          <w:sz w:val="20"/>
        </w:rPr>
        <mc:AlternateContent>
          <mc:Choice Requires="wps">
            <w:drawing>
              <wp:anchor distT="0" distB="0" distL="0" distR="0" allowOverlap="1" layoutInCell="1" locked="0" behindDoc="0" simplePos="0" relativeHeight="15973376">
                <wp:simplePos x="0" y="0"/>
                <wp:positionH relativeFrom="page">
                  <wp:posOffset>244784</wp:posOffset>
                </wp:positionH>
                <wp:positionV relativeFrom="paragraph">
                  <wp:posOffset>-93070</wp:posOffset>
                </wp:positionV>
                <wp:extent cx="138430" cy="2155190"/>
                <wp:effectExtent l="0" t="0" r="0" b="0"/>
                <wp:wrapNone/>
                <wp:docPr id="2243" name="Textbox 2243"/>
                <wp:cNvGraphicFramePr>
                  <a:graphicFrameLocks/>
                </wp:cNvGraphicFramePr>
                <a:graphic>
                  <a:graphicData uri="http://schemas.microsoft.com/office/word/2010/wordprocessingShape">
                    <wps:wsp>
                      <wps:cNvPr id="2243" name="Textbox 2243"/>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7.328387pt;width:10.9pt;height:169.7pt;mso-position-horizontal-relative:page;mso-position-vertical-relative:paragraph;z-index:15973376" type="#_x0000_t202" id="docshape1625"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spacing w:val="-2"/>
          <w:sz w:val="20"/>
        </w:rPr>
        <w:t>Alegación:</w:t>
      </w:r>
    </w:p>
    <w:p>
      <w:pPr>
        <w:spacing w:line="331" w:lineRule="auto" w:before="89"/>
        <w:ind w:left="1284" w:right="0" w:firstLine="0"/>
        <w:jc w:val="left"/>
        <w:rPr>
          <w:b/>
          <w:sz w:val="20"/>
        </w:rPr>
      </w:pPr>
      <w:r>
        <w:rPr>
          <w:b/>
          <w:sz w:val="20"/>
        </w:rPr>
        <w:t>En cuanto a la recomendación nº 6, finalmente, cabe manifestar que el nuevo contrato actualmente en licitación</w:t>
      </w:r>
      <w:r>
        <w:rPr>
          <w:b/>
          <w:spacing w:val="-7"/>
          <w:sz w:val="20"/>
        </w:rPr>
        <w:t> </w:t>
      </w:r>
      <w:r>
        <w:rPr>
          <w:b/>
          <w:sz w:val="20"/>
        </w:rPr>
        <w:t>ya</w:t>
      </w:r>
      <w:r>
        <w:rPr>
          <w:b/>
          <w:spacing w:val="-7"/>
          <w:sz w:val="20"/>
        </w:rPr>
        <w:t> </w:t>
      </w:r>
      <w:r>
        <w:rPr>
          <w:b/>
          <w:sz w:val="20"/>
        </w:rPr>
        <w:t>prevé</w:t>
      </w:r>
      <w:r>
        <w:rPr>
          <w:b/>
          <w:spacing w:val="-7"/>
          <w:sz w:val="20"/>
        </w:rPr>
        <w:t> </w:t>
      </w:r>
      <w:r>
        <w:rPr>
          <w:b/>
          <w:sz w:val="20"/>
        </w:rPr>
        <w:t>procedimientos</w:t>
      </w:r>
      <w:r>
        <w:rPr>
          <w:b/>
          <w:spacing w:val="-7"/>
          <w:sz w:val="20"/>
        </w:rPr>
        <w:t> </w:t>
      </w:r>
      <w:r>
        <w:rPr>
          <w:b/>
          <w:sz w:val="20"/>
        </w:rPr>
        <w:t>para</w:t>
      </w:r>
      <w:r>
        <w:rPr>
          <w:b/>
          <w:spacing w:val="-6"/>
          <w:sz w:val="20"/>
        </w:rPr>
        <w:t> </w:t>
      </w:r>
      <w:r>
        <w:rPr>
          <w:b/>
          <w:sz w:val="20"/>
        </w:rPr>
        <w:t>verificar</w:t>
      </w:r>
      <w:r>
        <w:rPr>
          <w:b/>
          <w:spacing w:val="-7"/>
          <w:sz w:val="20"/>
        </w:rPr>
        <w:t> </w:t>
      </w:r>
      <w:r>
        <w:rPr>
          <w:b/>
          <w:sz w:val="20"/>
        </w:rPr>
        <w:t>el</w:t>
      </w:r>
      <w:r>
        <w:rPr>
          <w:b/>
          <w:spacing w:val="-7"/>
          <w:sz w:val="20"/>
        </w:rPr>
        <w:t> </w:t>
      </w:r>
      <w:r>
        <w:rPr>
          <w:b/>
          <w:sz w:val="20"/>
        </w:rPr>
        <w:t>grado</w:t>
      </w:r>
      <w:r>
        <w:rPr>
          <w:b/>
          <w:spacing w:val="-6"/>
          <w:sz w:val="20"/>
        </w:rPr>
        <w:t> </w:t>
      </w:r>
      <w:r>
        <w:rPr>
          <w:b/>
          <w:sz w:val="20"/>
        </w:rPr>
        <w:t>de</w:t>
      </w:r>
      <w:r>
        <w:rPr>
          <w:b/>
          <w:spacing w:val="-7"/>
          <w:sz w:val="20"/>
        </w:rPr>
        <w:t> </w:t>
      </w:r>
      <w:r>
        <w:rPr>
          <w:b/>
          <w:sz w:val="20"/>
        </w:rPr>
        <w:t>ejecución</w:t>
      </w:r>
      <w:r>
        <w:rPr>
          <w:b/>
          <w:spacing w:val="-9"/>
          <w:sz w:val="20"/>
        </w:rPr>
        <w:t> </w:t>
      </w:r>
      <w:r>
        <w:rPr>
          <w:b/>
          <w:sz w:val="20"/>
        </w:rPr>
        <w:t>y</w:t>
      </w:r>
      <w:r>
        <w:rPr>
          <w:b/>
          <w:spacing w:val="-2"/>
          <w:sz w:val="20"/>
        </w:rPr>
        <w:t> </w:t>
      </w:r>
      <w:r>
        <w:rPr>
          <w:b/>
          <w:sz w:val="20"/>
        </w:rPr>
        <w:t>efectividad</w:t>
      </w:r>
      <w:r>
        <w:rPr>
          <w:b/>
          <w:spacing w:val="-5"/>
          <w:sz w:val="20"/>
        </w:rPr>
        <w:t> </w:t>
      </w:r>
      <w:r>
        <w:rPr>
          <w:b/>
          <w:sz w:val="20"/>
        </w:rPr>
        <w:t>de</w:t>
      </w:r>
      <w:r>
        <w:rPr>
          <w:b/>
          <w:spacing w:val="-5"/>
          <w:sz w:val="20"/>
        </w:rPr>
        <w:t> </w:t>
      </w:r>
      <w:r>
        <w:rPr>
          <w:b/>
          <w:sz w:val="20"/>
        </w:rPr>
        <w:t>las</w:t>
      </w:r>
      <w:r>
        <w:rPr>
          <w:b/>
          <w:spacing w:val="-7"/>
          <w:sz w:val="20"/>
        </w:rPr>
        <w:t> </w:t>
      </w:r>
      <w:r>
        <w:rPr>
          <w:b/>
          <w:sz w:val="20"/>
        </w:rPr>
        <w:t>actuaciones.</w:t>
      </w:r>
    </w:p>
    <w:p>
      <w:pPr>
        <w:pStyle w:val="BodyText"/>
        <w:spacing w:before="90"/>
        <w:rPr>
          <w:b/>
          <w:sz w:val="20"/>
        </w:rPr>
      </w:pPr>
    </w:p>
    <w:p>
      <w:pPr>
        <w:spacing w:line="331" w:lineRule="auto" w:before="0"/>
        <w:ind w:left="1284" w:right="496" w:firstLine="0"/>
        <w:jc w:val="left"/>
        <w:rPr>
          <w:b/>
          <w:sz w:val="20"/>
        </w:rPr>
      </w:pPr>
      <w:r>
        <w:rPr>
          <w:b/>
          <w:sz w:val="20"/>
        </w:rPr>
        <mc:AlternateContent>
          <mc:Choice Requires="wps">
            <w:drawing>
              <wp:anchor distT="0" distB="0" distL="0" distR="0" allowOverlap="1" layoutInCell="1" locked="0" behindDoc="0" simplePos="0" relativeHeight="15972352">
                <wp:simplePos x="0" y="0"/>
                <wp:positionH relativeFrom="page">
                  <wp:posOffset>130383</wp:posOffset>
                </wp:positionH>
                <wp:positionV relativeFrom="paragraph">
                  <wp:posOffset>338832</wp:posOffset>
                </wp:positionV>
                <wp:extent cx="138430" cy="2952750"/>
                <wp:effectExtent l="0" t="0" r="0" b="0"/>
                <wp:wrapNone/>
                <wp:docPr id="2244" name="Textbox 2244"/>
                <wp:cNvGraphicFramePr>
                  <a:graphicFrameLocks/>
                </wp:cNvGraphicFramePr>
                <a:graphic>
                  <a:graphicData uri="http://schemas.microsoft.com/office/word/2010/wordprocessingShape">
                    <wps:wsp>
                      <wps:cNvPr id="2244" name="Textbox 2244"/>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26.67975pt;width:10.9pt;height:232.5pt;mso-position-horizontal-relative:page;mso-position-vertical-relative:paragraph;z-index:15972352" type="#_x0000_t202" id="docshape1626"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73888">
                <wp:simplePos x="0" y="0"/>
                <wp:positionH relativeFrom="page">
                  <wp:posOffset>344030</wp:posOffset>
                </wp:positionH>
                <wp:positionV relativeFrom="paragraph">
                  <wp:posOffset>18110</wp:posOffset>
                </wp:positionV>
                <wp:extent cx="163830" cy="3011170"/>
                <wp:effectExtent l="0" t="0" r="0" b="0"/>
                <wp:wrapNone/>
                <wp:docPr id="2245" name="Graphic 2245"/>
                <wp:cNvGraphicFramePr>
                  <a:graphicFrameLocks/>
                </wp:cNvGraphicFramePr>
                <a:graphic>
                  <a:graphicData uri="http://schemas.microsoft.com/office/word/2010/wordprocessingShape">
                    <wps:wsp>
                      <wps:cNvPr id="2245" name="Graphic 2245"/>
                      <wps:cNvSpPr/>
                      <wps:spPr>
                        <a:xfrm>
                          <a:off x="0" y="0"/>
                          <a:ext cx="163830" cy="3011170"/>
                        </a:xfrm>
                        <a:custGeom>
                          <a:avLst/>
                          <a:gdLst/>
                          <a:ahLst/>
                          <a:cxnLst/>
                          <a:rect l="l" t="t" r="r" b="b"/>
                          <a:pathLst>
                            <a:path w="163830" h="3011170">
                              <a:moveTo>
                                <a:pt x="163258" y="0"/>
                              </a:moveTo>
                              <a:lnTo>
                                <a:pt x="0" y="0"/>
                              </a:lnTo>
                              <a:lnTo>
                                <a:pt x="0" y="3010712"/>
                              </a:lnTo>
                              <a:lnTo>
                                <a:pt x="163258" y="3010712"/>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1.426058pt;width:12.855pt;height:237.064pt;mso-position-horizontal-relative:page;mso-position-vertical-relative:paragraph;z-index:15973888" id="docshape1627" filled="true" fillcolor="#000000" stroked="false">
                <v:fill type="solid"/>
                <w10:wrap type="none"/>
              </v:rect>
            </w:pict>
          </mc:Fallback>
        </mc:AlternateContent>
      </w:r>
      <w:r>
        <w:rPr>
          <w:b/>
          <w:sz w:val="20"/>
        </w:rPr>
        <w:t>Estos procedimientos se concretan en el anexo 10 del Pliego de Prescripciones Técnicas Particulares del contrato, donde se describen los distintos indicadores de calidad y disponiblidad que permiten evaluar</w:t>
      </w:r>
      <w:r>
        <w:rPr>
          <w:b/>
          <w:spacing w:val="-6"/>
          <w:sz w:val="20"/>
        </w:rPr>
        <w:t> </w:t>
      </w:r>
      <w:r>
        <w:rPr>
          <w:b/>
          <w:sz w:val="20"/>
        </w:rPr>
        <w:t>la</w:t>
      </w:r>
      <w:r>
        <w:rPr>
          <w:b/>
          <w:spacing w:val="-6"/>
          <w:sz w:val="20"/>
        </w:rPr>
        <w:t> </w:t>
      </w:r>
      <w:r>
        <w:rPr>
          <w:b/>
          <w:sz w:val="20"/>
        </w:rPr>
        <w:t>calidad</w:t>
      </w:r>
      <w:r>
        <w:rPr>
          <w:b/>
          <w:spacing w:val="-6"/>
          <w:sz w:val="20"/>
        </w:rPr>
        <w:t> </w:t>
      </w:r>
      <w:r>
        <w:rPr>
          <w:b/>
          <w:sz w:val="20"/>
        </w:rPr>
        <w:t>del</w:t>
      </w:r>
      <w:r>
        <w:rPr>
          <w:b/>
          <w:spacing w:val="-6"/>
          <w:sz w:val="20"/>
        </w:rPr>
        <w:t> </w:t>
      </w:r>
      <w:r>
        <w:rPr>
          <w:b/>
          <w:sz w:val="20"/>
        </w:rPr>
        <w:t>servicio</w:t>
      </w:r>
      <w:r>
        <w:rPr>
          <w:b/>
          <w:spacing w:val="-8"/>
          <w:sz w:val="20"/>
        </w:rPr>
        <w:t> </w:t>
      </w:r>
      <w:r>
        <w:rPr>
          <w:b/>
          <w:sz w:val="20"/>
        </w:rPr>
        <w:t>prestado</w:t>
      </w:r>
      <w:r>
        <w:rPr>
          <w:b/>
          <w:spacing w:val="-5"/>
          <w:sz w:val="20"/>
        </w:rPr>
        <w:t> </w:t>
      </w:r>
      <w:r>
        <w:rPr>
          <w:b/>
          <w:sz w:val="20"/>
        </w:rPr>
        <w:t>por</w:t>
      </w:r>
      <w:r>
        <w:rPr>
          <w:b/>
          <w:spacing w:val="-6"/>
          <w:sz w:val="20"/>
        </w:rPr>
        <w:t> </w:t>
      </w:r>
      <w:r>
        <w:rPr>
          <w:b/>
          <w:sz w:val="20"/>
        </w:rPr>
        <w:t>el</w:t>
      </w:r>
      <w:r>
        <w:rPr>
          <w:b/>
          <w:spacing w:val="-5"/>
          <w:sz w:val="20"/>
        </w:rPr>
        <w:t> </w:t>
      </w:r>
      <w:r>
        <w:rPr>
          <w:b/>
          <w:sz w:val="20"/>
        </w:rPr>
        <w:t>operador</w:t>
      </w:r>
      <w:r>
        <w:rPr>
          <w:b/>
          <w:spacing w:val="-6"/>
          <w:sz w:val="20"/>
        </w:rPr>
        <w:t> </w:t>
      </w:r>
      <w:r>
        <w:rPr>
          <w:b/>
          <w:sz w:val="20"/>
        </w:rPr>
        <w:t>de</w:t>
      </w:r>
      <w:r>
        <w:rPr>
          <w:b/>
          <w:spacing w:val="-6"/>
          <w:sz w:val="20"/>
        </w:rPr>
        <w:t> </w:t>
      </w:r>
      <w:r>
        <w:rPr>
          <w:b/>
          <w:sz w:val="20"/>
        </w:rPr>
        <w:t>transporte.</w:t>
      </w:r>
      <w:r>
        <w:rPr>
          <w:b/>
          <w:spacing w:val="-6"/>
          <w:sz w:val="20"/>
        </w:rPr>
        <w:t> </w:t>
      </w:r>
      <w:r>
        <w:rPr>
          <w:b/>
          <w:sz w:val="20"/>
        </w:rPr>
        <w:t>Estos</w:t>
      </w:r>
      <w:r>
        <w:rPr>
          <w:b/>
          <w:spacing w:val="-6"/>
          <w:sz w:val="20"/>
        </w:rPr>
        <w:t> </w:t>
      </w:r>
      <w:r>
        <w:rPr>
          <w:b/>
          <w:sz w:val="20"/>
        </w:rPr>
        <w:t>indicadores</w:t>
      </w:r>
      <w:r>
        <w:rPr>
          <w:b/>
          <w:spacing w:val="-6"/>
          <w:sz w:val="20"/>
        </w:rPr>
        <w:t> </w:t>
      </w:r>
      <w:r>
        <w:rPr>
          <w:b/>
          <w:sz w:val="20"/>
        </w:rPr>
        <w:t>se</w:t>
      </w:r>
      <w:r>
        <w:rPr>
          <w:b/>
          <w:spacing w:val="-6"/>
          <w:sz w:val="20"/>
        </w:rPr>
        <w:t> </w:t>
      </w:r>
      <w:r>
        <w:rPr>
          <w:b/>
          <w:sz w:val="20"/>
        </w:rPr>
        <w:t>distribuyen en seis indicadores de calidad y tres indicadores de disponibilidad:</w:t>
      </w:r>
    </w:p>
    <w:p>
      <w:pPr>
        <w:spacing w:before="5"/>
        <w:ind w:left="1339" w:right="0" w:firstLine="0"/>
        <w:jc w:val="left"/>
        <w:rPr>
          <w:b/>
          <w:sz w:val="20"/>
        </w:rPr>
      </w:pPr>
      <w:r>
        <w:rPr>
          <w:b/>
          <w:sz w:val="20"/>
        </w:rPr>
        <w:t>Indicadores</w:t>
      </w:r>
      <w:r>
        <w:rPr>
          <w:b/>
          <w:spacing w:val="-14"/>
          <w:sz w:val="20"/>
        </w:rPr>
        <w:t> </w:t>
      </w:r>
      <w:r>
        <w:rPr>
          <w:b/>
          <w:sz w:val="20"/>
        </w:rPr>
        <w:t>de</w:t>
      </w:r>
      <w:r>
        <w:rPr>
          <w:b/>
          <w:spacing w:val="-13"/>
          <w:sz w:val="20"/>
        </w:rPr>
        <w:t> </w:t>
      </w:r>
      <w:r>
        <w:rPr>
          <w:b/>
          <w:spacing w:val="-2"/>
          <w:sz w:val="20"/>
        </w:rPr>
        <w:t>calidad:</w:t>
      </w:r>
    </w:p>
    <w:p>
      <w:pPr>
        <w:pStyle w:val="ListParagraph"/>
        <w:numPr>
          <w:ilvl w:val="0"/>
          <w:numId w:val="27"/>
        </w:numPr>
        <w:tabs>
          <w:tab w:pos="1503" w:val="left" w:leader="none"/>
        </w:tabs>
        <w:spacing w:line="240" w:lineRule="auto" w:before="87" w:after="0"/>
        <w:ind w:left="1503" w:right="0" w:hanging="219"/>
        <w:jc w:val="left"/>
        <w:rPr>
          <w:b/>
          <w:sz w:val="20"/>
        </w:rPr>
      </w:pPr>
      <w:r>
        <w:rPr>
          <w:b/>
          <w:sz w:val="20"/>
        </w:rPr>
        <w:t>Índice</w:t>
      </w:r>
      <w:r>
        <w:rPr>
          <w:b/>
          <w:spacing w:val="-10"/>
          <w:sz w:val="20"/>
        </w:rPr>
        <w:t> </w:t>
      </w:r>
      <w:r>
        <w:rPr>
          <w:b/>
          <w:sz w:val="20"/>
        </w:rPr>
        <w:t>de</w:t>
      </w:r>
      <w:r>
        <w:rPr>
          <w:b/>
          <w:spacing w:val="-10"/>
          <w:sz w:val="20"/>
        </w:rPr>
        <w:t> </w:t>
      </w:r>
      <w:r>
        <w:rPr>
          <w:b/>
          <w:sz w:val="20"/>
        </w:rPr>
        <w:t>calidad</w:t>
      </w:r>
      <w:r>
        <w:rPr>
          <w:b/>
          <w:spacing w:val="-10"/>
          <w:sz w:val="20"/>
        </w:rPr>
        <w:t> </w:t>
      </w:r>
      <w:r>
        <w:rPr>
          <w:b/>
          <w:sz w:val="20"/>
        </w:rPr>
        <w:t>horaria,</w:t>
      </w:r>
      <w:r>
        <w:rPr>
          <w:b/>
          <w:spacing w:val="-9"/>
          <w:sz w:val="20"/>
        </w:rPr>
        <w:t> </w:t>
      </w:r>
      <w:r>
        <w:rPr>
          <w:b/>
          <w:sz w:val="20"/>
        </w:rPr>
        <w:t>que</w:t>
      </w:r>
      <w:r>
        <w:rPr>
          <w:b/>
          <w:spacing w:val="-10"/>
          <w:sz w:val="20"/>
        </w:rPr>
        <w:t> </w:t>
      </w:r>
      <w:r>
        <w:rPr>
          <w:b/>
          <w:sz w:val="20"/>
        </w:rPr>
        <w:t>incluye</w:t>
      </w:r>
      <w:r>
        <w:rPr>
          <w:b/>
          <w:spacing w:val="-10"/>
          <w:sz w:val="20"/>
        </w:rPr>
        <w:t> </w:t>
      </w:r>
      <w:r>
        <w:rPr>
          <w:b/>
          <w:sz w:val="20"/>
        </w:rPr>
        <w:t>índice</w:t>
      </w:r>
      <w:r>
        <w:rPr>
          <w:b/>
          <w:spacing w:val="-10"/>
          <w:sz w:val="20"/>
        </w:rPr>
        <w:t> </w:t>
      </w:r>
      <w:r>
        <w:rPr>
          <w:b/>
          <w:sz w:val="20"/>
        </w:rPr>
        <w:t>de</w:t>
      </w:r>
      <w:r>
        <w:rPr>
          <w:b/>
          <w:spacing w:val="-10"/>
          <w:sz w:val="20"/>
        </w:rPr>
        <w:t> </w:t>
      </w:r>
      <w:r>
        <w:rPr>
          <w:b/>
          <w:sz w:val="20"/>
        </w:rPr>
        <w:t>expediciones</w:t>
      </w:r>
      <w:r>
        <w:rPr>
          <w:b/>
          <w:spacing w:val="-10"/>
          <w:sz w:val="20"/>
        </w:rPr>
        <w:t> </w:t>
      </w:r>
      <w:r>
        <w:rPr>
          <w:b/>
          <w:sz w:val="20"/>
        </w:rPr>
        <w:t>realizadas</w:t>
      </w:r>
      <w:r>
        <w:rPr>
          <w:b/>
          <w:spacing w:val="-10"/>
          <w:sz w:val="20"/>
        </w:rPr>
        <w:t> </w:t>
      </w:r>
      <w:r>
        <w:rPr>
          <w:b/>
          <w:sz w:val="20"/>
        </w:rPr>
        <w:t>y</w:t>
      </w:r>
      <w:r>
        <w:rPr>
          <w:b/>
          <w:spacing w:val="-10"/>
          <w:sz w:val="20"/>
        </w:rPr>
        <w:t> </w:t>
      </w:r>
      <w:r>
        <w:rPr>
          <w:b/>
          <w:sz w:val="20"/>
        </w:rPr>
        <w:t>de</w:t>
      </w:r>
      <w:r>
        <w:rPr>
          <w:b/>
          <w:spacing w:val="-10"/>
          <w:sz w:val="20"/>
        </w:rPr>
        <w:t> </w:t>
      </w:r>
      <w:r>
        <w:rPr>
          <w:b/>
          <w:spacing w:val="-2"/>
          <w:sz w:val="20"/>
        </w:rPr>
        <w:t>puntualidad.</w:t>
      </w:r>
    </w:p>
    <w:p>
      <w:pPr>
        <w:pStyle w:val="ListParagraph"/>
        <w:numPr>
          <w:ilvl w:val="0"/>
          <w:numId w:val="27"/>
        </w:numPr>
        <w:tabs>
          <w:tab w:pos="1503" w:val="left" w:leader="none"/>
        </w:tabs>
        <w:spacing w:line="333" w:lineRule="auto" w:before="89" w:after="0"/>
        <w:ind w:left="1284" w:right="800" w:firstLine="0"/>
        <w:jc w:val="left"/>
        <w:rPr>
          <w:b/>
          <w:sz w:val="20"/>
        </w:rPr>
      </w:pPr>
      <w:r>
        <w:rPr>
          <w:b/>
          <w:sz w:val="20"/>
        </w:rPr>
        <mc:AlternateContent>
          <mc:Choice Requires="wps">
            <w:drawing>
              <wp:anchor distT="0" distB="0" distL="0" distR="0" allowOverlap="1" layoutInCell="1" locked="0" behindDoc="0" simplePos="0" relativeHeight="15972864">
                <wp:simplePos x="0" y="0"/>
                <wp:positionH relativeFrom="page">
                  <wp:posOffset>244784</wp:posOffset>
                </wp:positionH>
                <wp:positionV relativeFrom="paragraph">
                  <wp:posOffset>390675</wp:posOffset>
                </wp:positionV>
                <wp:extent cx="251460" cy="1744345"/>
                <wp:effectExtent l="0" t="0" r="0" b="0"/>
                <wp:wrapNone/>
                <wp:docPr id="2246" name="Textbox 2246"/>
                <wp:cNvGraphicFramePr>
                  <a:graphicFrameLocks/>
                </wp:cNvGraphicFramePr>
                <a:graphic>
                  <a:graphicData uri="http://schemas.microsoft.com/office/word/2010/wordprocessingShape">
                    <wps:wsp>
                      <wps:cNvPr id="2246" name="Textbox 2246"/>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30.76186pt;width:19.8pt;height:137.35pt;mso-position-horizontal-relative:page;mso-position-vertical-relative:paragraph;z-index:15972864" type="#_x0000_t202" id="docshape1628"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w:t>Indice</w:t>
      </w:r>
      <w:r>
        <w:rPr>
          <w:b/>
          <w:spacing w:val="-6"/>
          <w:sz w:val="20"/>
        </w:rPr>
        <w:t> </w:t>
      </w:r>
      <w:r>
        <w:rPr>
          <w:b/>
          <w:sz w:val="20"/>
        </w:rPr>
        <w:t>de</w:t>
      </w:r>
      <w:r>
        <w:rPr>
          <w:b/>
          <w:spacing w:val="-7"/>
          <w:sz w:val="20"/>
        </w:rPr>
        <w:t> </w:t>
      </w:r>
      <w:r>
        <w:rPr>
          <w:b/>
          <w:sz w:val="20"/>
        </w:rPr>
        <w:t>calidad</w:t>
      </w:r>
      <w:r>
        <w:rPr>
          <w:b/>
          <w:spacing w:val="-7"/>
          <w:sz w:val="20"/>
        </w:rPr>
        <w:t> </w:t>
      </w:r>
      <w:r>
        <w:rPr>
          <w:b/>
          <w:sz w:val="20"/>
        </w:rPr>
        <w:t>de</w:t>
      </w:r>
      <w:r>
        <w:rPr>
          <w:b/>
          <w:spacing w:val="-7"/>
          <w:sz w:val="20"/>
        </w:rPr>
        <w:t> </w:t>
      </w:r>
      <w:r>
        <w:rPr>
          <w:b/>
          <w:sz w:val="20"/>
        </w:rPr>
        <w:t>los</w:t>
      </w:r>
      <w:r>
        <w:rPr>
          <w:b/>
          <w:spacing w:val="-7"/>
          <w:sz w:val="20"/>
        </w:rPr>
        <w:t> </w:t>
      </w:r>
      <w:r>
        <w:rPr>
          <w:b/>
          <w:sz w:val="20"/>
        </w:rPr>
        <w:t>autobuses,</w:t>
      </w:r>
      <w:r>
        <w:rPr>
          <w:b/>
          <w:spacing w:val="-7"/>
          <w:sz w:val="20"/>
        </w:rPr>
        <w:t> </w:t>
      </w:r>
      <w:r>
        <w:rPr>
          <w:b/>
          <w:sz w:val="20"/>
        </w:rPr>
        <w:t>que</w:t>
      </w:r>
      <w:r>
        <w:rPr>
          <w:b/>
          <w:spacing w:val="-7"/>
          <w:sz w:val="20"/>
        </w:rPr>
        <w:t> </w:t>
      </w:r>
      <w:r>
        <w:rPr>
          <w:b/>
          <w:sz w:val="20"/>
        </w:rPr>
        <w:t>incluyen</w:t>
      </w:r>
      <w:r>
        <w:rPr>
          <w:b/>
          <w:spacing w:val="-7"/>
          <w:sz w:val="20"/>
        </w:rPr>
        <w:t> </w:t>
      </w:r>
      <w:r>
        <w:rPr>
          <w:b/>
          <w:sz w:val="20"/>
        </w:rPr>
        <w:t>índices</w:t>
      </w:r>
      <w:r>
        <w:rPr>
          <w:b/>
          <w:spacing w:val="-5"/>
          <w:sz w:val="20"/>
        </w:rPr>
        <w:t> </w:t>
      </w:r>
      <w:r>
        <w:rPr>
          <w:b/>
          <w:sz w:val="20"/>
        </w:rPr>
        <w:t>de</w:t>
      </w:r>
      <w:r>
        <w:rPr>
          <w:b/>
          <w:spacing w:val="-7"/>
          <w:sz w:val="20"/>
        </w:rPr>
        <w:t> </w:t>
      </w:r>
      <w:r>
        <w:rPr>
          <w:b/>
          <w:sz w:val="20"/>
        </w:rPr>
        <w:t>información,</w:t>
      </w:r>
      <w:r>
        <w:rPr>
          <w:b/>
          <w:spacing w:val="-7"/>
          <w:sz w:val="20"/>
        </w:rPr>
        <w:t> </w:t>
      </w:r>
      <w:r>
        <w:rPr>
          <w:b/>
          <w:sz w:val="20"/>
        </w:rPr>
        <w:t>limpieza,</w:t>
      </w:r>
      <w:r>
        <w:rPr>
          <w:b/>
          <w:spacing w:val="-7"/>
          <w:sz w:val="20"/>
        </w:rPr>
        <w:t> </w:t>
      </w:r>
      <w:r>
        <w:rPr>
          <w:b/>
          <w:sz w:val="20"/>
        </w:rPr>
        <w:t>mantenimiento, atención al cliente y seguridad en la conducción.</w:t>
      </w:r>
    </w:p>
    <w:p>
      <w:pPr>
        <w:pStyle w:val="ListParagraph"/>
        <w:numPr>
          <w:ilvl w:val="0"/>
          <w:numId w:val="27"/>
        </w:numPr>
        <w:tabs>
          <w:tab w:pos="1503" w:val="left" w:leader="none"/>
        </w:tabs>
        <w:spacing w:line="229" w:lineRule="exact" w:before="0" w:after="0"/>
        <w:ind w:left="1503" w:right="0" w:hanging="219"/>
        <w:jc w:val="left"/>
        <w:rPr>
          <w:b/>
          <w:sz w:val="20"/>
        </w:rPr>
      </w:pPr>
      <w:r>
        <w:rPr>
          <w:b/>
          <w:sz w:val="20"/>
        </w:rPr>
        <w:t>Índice</w:t>
      </w:r>
      <w:r>
        <w:rPr>
          <w:b/>
          <w:spacing w:val="-8"/>
          <w:sz w:val="20"/>
        </w:rPr>
        <w:t> </w:t>
      </w:r>
      <w:r>
        <w:rPr>
          <w:b/>
          <w:sz w:val="20"/>
        </w:rPr>
        <w:t>de</w:t>
      </w:r>
      <w:r>
        <w:rPr>
          <w:b/>
          <w:spacing w:val="-9"/>
          <w:sz w:val="20"/>
        </w:rPr>
        <w:t> </w:t>
      </w:r>
      <w:r>
        <w:rPr>
          <w:b/>
          <w:sz w:val="20"/>
        </w:rPr>
        <w:t>calidad</w:t>
      </w:r>
      <w:r>
        <w:rPr>
          <w:b/>
          <w:spacing w:val="-8"/>
          <w:sz w:val="20"/>
        </w:rPr>
        <w:t> </w:t>
      </w:r>
      <w:r>
        <w:rPr>
          <w:b/>
          <w:sz w:val="20"/>
        </w:rPr>
        <w:t>en</w:t>
      </w:r>
      <w:r>
        <w:rPr>
          <w:b/>
          <w:spacing w:val="-8"/>
          <w:sz w:val="20"/>
        </w:rPr>
        <w:t> </w:t>
      </w:r>
      <w:r>
        <w:rPr>
          <w:b/>
          <w:spacing w:val="-2"/>
          <w:sz w:val="20"/>
        </w:rPr>
        <w:t>paradas</w:t>
      </w:r>
    </w:p>
    <w:p>
      <w:pPr>
        <w:pStyle w:val="ListParagraph"/>
        <w:numPr>
          <w:ilvl w:val="0"/>
          <w:numId w:val="27"/>
        </w:numPr>
        <w:tabs>
          <w:tab w:pos="1558" w:val="left" w:leader="none"/>
        </w:tabs>
        <w:spacing w:line="240" w:lineRule="auto" w:before="87" w:after="0"/>
        <w:ind w:left="1558" w:right="0" w:hanging="219"/>
        <w:jc w:val="left"/>
        <w:rPr>
          <w:b/>
          <w:sz w:val="20"/>
        </w:rPr>
      </w:pPr>
      <w:r>
        <w:rPr>
          <w:b/>
          <w:sz w:val="20"/>
        </w:rPr>
        <w:t>Índice</w:t>
      </w:r>
      <w:r>
        <w:rPr>
          <w:b/>
          <w:spacing w:val="-9"/>
          <w:sz w:val="20"/>
        </w:rPr>
        <w:t> </w:t>
      </w:r>
      <w:r>
        <w:rPr>
          <w:b/>
          <w:sz w:val="20"/>
        </w:rPr>
        <w:t>de</w:t>
      </w:r>
      <w:r>
        <w:rPr>
          <w:b/>
          <w:spacing w:val="-9"/>
          <w:sz w:val="20"/>
        </w:rPr>
        <w:t> </w:t>
      </w:r>
      <w:r>
        <w:rPr>
          <w:b/>
          <w:sz w:val="20"/>
        </w:rPr>
        <w:t>calidad</w:t>
      </w:r>
      <w:r>
        <w:rPr>
          <w:b/>
          <w:spacing w:val="-11"/>
          <w:sz w:val="20"/>
        </w:rPr>
        <w:t> </w:t>
      </w:r>
      <w:r>
        <w:rPr>
          <w:b/>
          <w:sz w:val="20"/>
        </w:rPr>
        <w:t>en</w:t>
      </w:r>
      <w:r>
        <w:rPr>
          <w:b/>
          <w:spacing w:val="-8"/>
          <w:sz w:val="20"/>
        </w:rPr>
        <w:t> </w:t>
      </w:r>
      <w:r>
        <w:rPr>
          <w:b/>
          <w:sz w:val="20"/>
        </w:rPr>
        <w:t>la</w:t>
      </w:r>
      <w:r>
        <w:rPr>
          <w:b/>
          <w:spacing w:val="-9"/>
          <w:sz w:val="20"/>
        </w:rPr>
        <w:t> </w:t>
      </w:r>
      <w:r>
        <w:rPr>
          <w:b/>
          <w:sz w:val="20"/>
        </w:rPr>
        <w:t>información</w:t>
      </w:r>
      <w:r>
        <w:rPr>
          <w:b/>
          <w:spacing w:val="-9"/>
          <w:sz w:val="20"/>
        </w:rPr>
        <w:t> </w:t>
      </w:r>
      <w:r>
        <w:rPr>
          <w:b/>
          <w:spacing w:val="-2"/>
          <w:sz w:val="20"/>
        </w:rPr>
        <w:t>dinámica</w:t>
      </w:r>
    </w:p>
    <w:p>
      <w:pPr>
        <w:pStyle w:val="ListParagraph"/>
        <w:numPr>
          <w:ilvl w:val="0"/>
          <w:numId w:val="27"/>
        </w:numPr>
        <w:tabs>
          <w:tab w:pos="1503" w:val="left" w:leader="none"/>
        </w:tabs>
        <w:spacing w:line="240" w:lineRule="auto" w:before="89" w:after="0"/>
        <w:ind w:left="1503" w:right="0" w:hanging="219"/>
        <w:jc w:val="left"/>
        <w:rPr>
          <w:b/>
          <w:sz w:val="20"/>
        </w:rPr>
      </w:pPr>
      <w:r>
        <w:rPr>
          <w:b/>
          <w:sz w:val="20"/>
        </w:rPr>
        <w:t>Índice</w:t>
      </w:r>
      <w:r>
        <w:rPr>
          <w:b/>
          <w:spacing w:val="-8"/>
          <w:sz w:val="20"/>
        </w:rPr>
        <w:t> </w:t>
      </w:r>
      <w:r>
        <w:rPr>
          <w:b/>
          <w:sz w:val="20"/>
        </w:rPr>
        <w:t>de</w:t>
      </w:r>
      <w:r>
        <w:rPr>
          <w:b/>
          <w:spacing w:val="-8"/>
          <w:sz w:val="20"/>
        </w:rPr>
        <w:t> </w:t>
      </w:r>
      <w:r>
        <w:rPr>
          <w:b/>
          <w:sz w:val="20"/>
        </w:rPr>
        <w:t>calidad</w:t>
      </w:r>
      <w:r>
        <w:rPr>
          <w:b/>
          <w:spacing w:val="-9"/>
          <w:sz w:val="20"/>
        </w:rPr>
        <w:t> </w:t>
      </w:r>
      <w:r>
        <w:rPr>
          <w:b/>
          <w:sz w:val="20"/>
        </w:rPr>
        <w:t>en</w:t>
      </w:r>
      <w:r>
        <w:rPr>
          <w:b/>
          <w:spacing w:val="-7"/>
          <w:sz w:val="20"/>
        </w:rPr>
        <w:t> </w:t>
      </w:r>
      <w:r>
        <w:rPr>
          <w:b/>
          <w:sz w:val="20"/>
        </w:rPr>
        <w:t>el</w:t>
      </w:r>
      <w:r>
        <w:rPr>
          <w:b/>
          <w:spacing w:val="-8"/>
          <w:sz w:val="20"/>
        </w:rPr>
        <w:t> </w:t>
      </w:r>
      <w:r>
        <w:rPr>
          <w:b/>
          <w:sz w:val="20"/>
        </w:rPr>
        <w:t>tratamiento</w:t>
      </w:r>
      <w:r>
        <w:rPr>
          <w:b/>
          <w:spacing w:val="-9"/>
          <w:sz w:val="20"/>
        </w:rPr>
        <w:t> </w:t>
      </w:r>
      <w:r>
        <w:rPr>
          <w:b/>
          <w:sz w:val="20"/>
        </w:rPr>
        <w:t>de</w:t>
      </w:r>
      <w:r>
        <w:rPr>
          <w:b/>
          <w:spacing w:val="-8"/>
          <w:sz w:val="20"/>
        </w:rPr>
        <w:t> </w:t>
      </w:r>
      <w:r>
        <w:rPr>
          <w:b/>
          <w:sz w:val="20"/>
        </w:rPr>
        <w:t>las</w:t>
      </w:r>
      <w:r>
        <w:rPr>
          <w:b/>
          <w:spacing w:val="-9"/>
          <w:sz w:val="20"/>
        </w:rPr>
        <w:t> </w:t>
      </w:r>
      <w:r>
        <w:rPr>
          <w:b/>
          <w:spacing w:val="-2"/>
          <w:sz w:val="20"/>
        </w:rPr>
        <w:t>reclamaciones.</w:t>
      </w:r>
    </w:p>
    <w:p>
      <w:pPr>
        <w:pStyle w:val="ListParagraph"/>
        <w:numPr>
          <w:ilvl w:val="0"/>
          <w:numId w:val="27"/>
        </w:numPr>
        <w:tabs>
          <w:tab w:pos="1503" w:val="left" w:leader="none"/>
        </w:tabs>
        <w:spacing w:line="331" w:lineRule="auto" w:before="89" w:after="0"/>
        <w:ind w:left="1284" w:right="7086" w:firstLine="0"/>
        <w:jc w:val="left"/>
        <w:rPr>
          <w:b/>
          <w:sz w:val="20"/>
        </w:rPr>
      </w:pPr>
      <w:r>
        <w:rPr>
          <w:b/>
          <w:sz w:val="20"/>
        </w:rPr>
        <w:t>Índice</w:t>
      </w:r>
      <w:r>
        <w:rPr>
          <w:b/>
          <w:spacing w:val="-12"/>
          <w:sz w:val="20"/>
        </w:rPr>
        <w:t> </w:t>
      </w:r>
      <w:r>
        <w:rPr>
          <w:b/>
          <w:sz w:val="20"/>
        </w:rPr>
        <w:t>de</w:t>
      </w:r>
      <w:r>
        <w:rPr>
          <w:b/>
          <w:spacing w:val="-13"/>
          <w:sz w:val="20"/>
        </w:rPr>
        <w:t> </w:t>
      </w:r>
      <w:r>
        <w:rPr>
          <w:b/>
          <w:sz w:val="20"/>
        </w:rPr>
        <w:t>satisfacción</w:t>
      </w:r>
      <w:r>
        <w:rPr>
          <w:b/>
          <w:spacing w:val="-11"/>
          <w:sz w:val="20"/>
        </w:rPr>
        <w:t> </w:t>
      </w:r>
      <w:r>
        <w:rPr>
          <w:b/>
          <w:sz w:val="20"/>
        </w:rPr>
        <w:t>al</w:t>
      </w:r>
      <w:r>
        <w:rPr>
          <w:b/>
          <w:spacing w:val="-13"/>
          <w:sz w:val="20"/>
        </w:rPr>
        <w:t> </w:t>
      </w:r>
      <w:r>
        <w:rPr>
          <w:b/>
          <w:sz w:val="20"/>
        </w:rPr>
        <w:t>cliente. Indicadores de disponibilidad:</w:t>
      </w:r>
    </w:p>
    <w:p>
      <w:pPr>
        <w:pStyle w:val="ListParagraph"/>
        <w:numPr>
          <w:ilvl w:val="1"/>
          <w:numId w:val="27"/>
        </w:numPr>
        <w:tabs>
          <w:tab w:pos="1503" w:val="left" w:leader="none"/>
        </w:tabs>
        <w:spacing w:line="240" w:lineRule="auto" w:before="1" w:after="0"/>
        <w:ind w:left="1503" w:right="0" w:hanging="219"/>
        <w:jc w:val="left"/>
        <w:rPr>
          <w:b/>
          <w:sz w:val="20"/>
        </w:rPr>
      </w:pPr>
      <w:r>
        <w:rPr>
          <w:b/>
          <w:sz w:val="20"/>
        </w:rPr>
        <w:t>Índice</w:t>
      </w:r>
      <w:r>
        <w:rPr>
          <w:b/>
          <w:spacing w:val="-11"/>
          <w:sz w:val="20"/>
        </w:rPr>
        <w:t> </w:t>
      </w:r>
      <w:r>
        <w:rPr>
          <w:b/>
          <w:sz w:val="20"/>
        </w:rPr>
        <w:t>de</w:t>
      </w:r>
      <w:r>
        <w:rPr>
          <w:b/>
          <w:spacing w:val="-11"/>
          <w:sz w:val="20"/>
        </w:rPr>
        <w:t> </w:t>
      </w:r>
      <w:r>
        <w:rPr>
          <w:b/>
          <w:sz w:val="20"/>
        </w:rPr>
        <w:t>disponibilidad</w:t>
      </w:r>
      <w:r>
        <w:rPr>
          <w:b/>
          <w:spacing w:val="-11"/>
          <w:sz w:val="20"/>
        </w:rPr>
        <w:t> </w:t>
      </w:r>
      <w:r>
        <w:rPr>
          <w:b/>
          <w:sz w:val="20"/>
        </w:rPr>
        <w:t>del</w:t>
      </w:r>
      <w:r>
        <w:rPr>
          <w:b/>
          <w:spacing w:val="-11"/>
          <w:sz w:val="20"/>
        </w:rPr>
        <w:t> </w:t>
      </w:r>
      <w:r>
        <w:rPr>
          <w:b/>
          <w:spacing w:val="-2"/>
          <w:sz w:val="20"/>
        </w:rPr>
        <w:t>autobús.</w:t>
      </w:r>
    </w:p>
    <w:p>
      <w:pPr>
        <w:pStyle w:val="ListParagraph"/>
        <w:numPr>
          <w:ilvl w:val="1"/>
          <w:numId w:val="27"/>
        </w:numPr>
        <w:tabs>
          <w:tab w:pos="1503" w:val="left" w:leader="none"/>
        </w:tabs>
        <w:spacing w:line="240" w:lineRule="auto" w:before="90" w:after="0"/>
        <w:ind w:left="1503" w:right="0" w:hanging="219"/>
        <w:jc w:val="left"/>
        <w:rPr>
          <w:b/>
          <w:sz w:val="20"/>
        </w:rPr>
      </w:pPr>
      <w:r>
        <w:rPr>
          <w:b/>
          <w:sz w:val="20"/>
        </w:rPr>
        <w:t>Indice</w:t>
      </w:r>
      <w:r>
        <w:rPr>
          <w:b/>
          <w:spacing w:val="-11"/>
          <w:sz w:val="20"/>
        </w:rPr>
        <w:t> </w:t>
      </w:r>
      <w:r>
        <w:rPr>
          <w:b/>
          <w:sz w:val="20"/>
        </w:rPr>
        <w:t>de</w:t>
      </w:r>
      <w:r>
        <w:rPr>
          <w:b/>
          <w:spacing w:val="-11"/>
          <w:sz w:val="20"/>
        </w:rPr>
        <w:t> </w:t>
      </w:r>
      <w:r>
        <w:rPr>
          <w:b/>
          <w:sz w:val="20"/>
        </w:rPr>
        <w:t>disponibilidad</w:t>
      </w:r>
      <w:r>
        <w:rPr>
          <w:b/>
          <w:spacing w:val="-12"/>
          <w:sz w:val="20"/>
        </w:rPr>
        <w:t> </w:t>
      </w:r>
      <w:r>
        <w:rPr>
          <w:b/>
          <w:sz w:val="20"/>
        </w:rPr>
        <w:t>del</w:t>
      </w:r>
      <w:r>
        <w:rPr>
          <w:b/>
          <w:spacing w:val="-11"/>
          <w:sz w:val="20"/>
        </w:rPr>
        <w:t> </w:t>
      </w:r>
      <w:r>
        <w:rPr>
          <w:b/>
          <w:sz w:val="20"/>
        </w:rPr>
        <w:t>autobús</w:t>
      </w:r>
      <w:r>
        <w:rPr>
          <w:b/>
          <w:spacing w:val="-12"/>
          <w:sz w:val="20"/>
        </w:rPr>
        <w:t> </w:t>
      </w:r>
      <w:r>
        <w:rPr>
          <w:b/>
          <w:sz w:val="20"/>
        </w:rPr>
        <w:t>en</w:t>
      </w:r>
      <w:r>
        <w:rPr>
          <w:b/>
          <w:spacing w:val="-10"/>
          <w:sz w:val="20"/>
        </w:rPr>
        <w:t> </w:t>
      </w:r>
      <w:r>
        <w:rPr>
          <w:b/>
          <w:sz w:val="20"/>
        </w:rPr>
        <w:t>primeras</w:t>
      </w:r>
      <w:r>
        <w:rPr>
          <w:b/>
          <w:spacing w:val="-12"/>
          <w:sz w:val="20"/>
        </w:rPr>
        <w:t> </w:t>
      </w:r>
      <w:r>
        <w:rPr>
          <w:b/>
          <w:spacing w:val="-2"/>
          <w:sz w:val="20"/>
        </w:rPr>
        <w:t>salidas</w:t>
      </w:r>
    </w:p>
    <w:p>
      <w:pPr>
        <w:pStyle w:val="ListParagraph"/>
        <w:numPr>
          <w:ilvl w:val="1"/>
          <w:numId w:val="27"/>
        </w:numPr>
        <w:tabs>
          <w:tab w:pos="1503" w:val="left" w:leader="none"/>
        </w:tabs>
        <w:spacing w:line="240" w:lineRule="auto" w:before="89" w:after="0"/>
        <w:ind w:left="1503" w:right="0" w:hanging="219"/>
        <w:jc w:val="left"/>
        <w:rPr>
          <w:b/>
          <w:sz w:val="20"/>
        </w:rPr>
      </w:pPr>
      <w:r>
        <w:rPr>
          <w:b/>
          <w:sz w:val="20"/>
        </w:rPr>
        <w:t>Índice</w:t>
      </w:r>
      <w:r>
        <w:rPr>
          <w:b/>
          <w:spacing w:val="-16"/>
          <w:sz w:val="20"/>
        </w:rPr>
        <w:t> </w:t>
      </w:r>
      <w:r>
        <w:rPr>
          <w:b/>
          <w:sz w:val="20"/>
        </w:rPr>
        <w:t>de</w:t>
      </w:r>
      <w:r>
        <w:rPr>
          <w:b/>
          <w:spacing w:val="-13"/>
          <w:sz w:val="20"/>
        </w:rPr>
        <w:t> </w:t>
      </w:r>
      <w:r>
        <w:rPr>
          <w:b/>
          <w:sz w:val="20"/>
        </w:rPr>
        <w:t>disponibilidad</w:t>
      </w:r>
      <w:r>
        <w:rPr>
          <w:b/>
          <w:spacing w:val="-14"/>
          <w:sz w:val="20"/>
        </w:rPr>
        <w:t> </w:t>
      </w:r>
      <w:r>
        <w:rPr>
          <w:b/>
          <w:sz w:val="20"/>
        </w:rPr>
        <w:t>en</w:t>
      </w:r>
      <w:r>
        <w:rPr>
          <w:b/>
          <w:spacing w:val="-13"/>
          <w:sz w:val="20"/>
        </w:rPr>
        <w:t> </w:t>
      </w:r>
      <w:r>
        <w:rPr>
          <w:b/>
          <w:sz w:val="20"/>
        </w:rPr>
        <w:t>equipamiento</w:t>
      </w:r>
      <w:r>
        <w:rPr>
          <w:b/>
          <w:spacing w:val="-12"/>
          <w:sz w:val="20"/>
        </w:rPr>
        <w:t> </w:t>
      </w:r>
      <w:r>
        <w:rPr>
          <w:b/>
          <w:spacing w:val="-2"/>
          <w:sz w:val="20"/>
        </w:rPr>
        <w:t>embarcado.</w:t>
      </w:r>
    </w:p>
    <w:p>
      <w:pPr>
        <w:spacing w:line="333" w:lineRule="auto" w:before="87"/>
        <w:ind w:left="1284" w:right="907" w:firstLine="0"/>
        <w:jc w:val="left"/>
        <w:rPr>
          <w:b/>
          <w:sz w:val="20"/>
        </w:rPr>
      </w:pPr>
      <w:r>
        <w:rPr>
          <w:b/>
          <w:sz w:val="20"/>
        </w:rPr>
        <w:t>En</w:t>
      </w:r>
      <w:r>
        <w:rPr>
          <w:b/>
          <w:spacing w:val="-6"/>
          <w:sz w:val="20"/>
        </w:rPr>
        <w:t> </w:t>
      </w:r>
      <w:r>
        <w:rPr>
          <w:b/>
          <w:sz w:val="20"/>
        </w:rPr>
        <w:t>los</w:t>
      </w:r>
      <w:r>
        <w:rPr>
          <w:b/>
          <w:spacing w:val="-6"/>
          <w:sz w:val="20"/>
        </w:rPr>
        <w:t> </w:t>
      </w:r>
      <w:r>
        <w:rPr>
          <w:b/>
          <w:sz w:val="20"/>
        </w:rPr>
        <w:t>anexos10</w:t>
      </w:r>
      <w:r>
        <w:rPr>
          <w:b/>
          <w:spacing w:val="-4"/>
          <w:sz w:val="20"/>
        </w:rPr>
        <w:t> </w:t>
      </w:r>
      <w:r>
        <w:rPr>
          <w:b/>
          <w:sz w:val="20"/>
        </w:rPr>
        <w:t>y</w:t>
      </w:r>
      <w:r>
        <w:rPr>
          <w:b/>
          <w:spacing w:val="-6"/>
          <w:sz w:val="20"/>
        </w:rPr>
        <w:t> </w:t>
      </w:r>
      <w:r>
        <w:rPr>
          <w:b/>
          <w:sz w:val="20"/>
        </w:rPr>
        <w:t>11</w:t>
      </w:r>
      <w:r>
        <w:rPr>
          <w:b/>
          <w:spacing w:val="-6"/>
          <w:sz w:val="20"/>
        </w:rPr>
        <w:t> </w:t>
      </w:r>
      <w:r>
        <w:rPr>
          <w:b/>
          <w:sz w:val="20"/>
        </w:rPr>
        <w:t>del</w:t>
      </w:r>
      <w:r>
        <w:rPr>
          <w:b/>
          <w:spacing w:val="-6"/>
          <w:sz w:val="20"/>
        </w:rPr>
        <w:t> </w:t>
      </w:r>
      <w:r>
        <w:rPr>
          <w:b/>
          <w:sz w:val="20"/>
        </w:rPr>
        <w:t>PPTP</w:t>
      </w:r>
      <w:r>
        <w:rPr>
          <w:b/>
          <w:spacing w:val="-6"/>
          <w:sz w:val="20"/>
        </w:rPr>
        <w:t> </w:t>
      </w:r>
      <w:r>
        <w:rPr>
          <w:b/>
          <w:sz w:val="20"/>
        </w:rPr>
        <w:t>se</w:t>
      </w:r>
      <w:r>
        <w:rPr>
          <w:b/>
          <w:spacing w:val="-6"/>
          <w:sz w:val="20"/>
        </w:rPr>
        <w:t> </w:t>
      </w:r>
      <w:r>
        <w:rPr>
          <w:b/>
          <w:sz w:val="20"/>
        </w:rPr>
        <w:t>concretan</w:t>
      </w:r>
      <w:r>
        <w:rPr>
          <w:b/>
          <w:spacing w:val="-6"/>
          <w:sz w:val="20"/>
        </w:rPr>
        <w:t> </w:t>
      </w:r>
      <w:r>
        <w:rPr>
          <w:b/>
          <w:sz w:val="20"/>
        </w:rPr>
        <w:t>aspectos</w:t>
      </w:r>
      <w:r>
        <w:rPr>
          <w:b/>
          <w:spacing w:val="-4"/>
          <w:sz w:val="20"/>
        </w:rPr>
        <w:t> </w:t>
      </w:r>
      <w:r>
        <w:rPr>
          <w:b/>
          <w:sz w:val="20"/>
        </w:rPr>
        <w:t>relacionados</w:t>
      </w:r>
      <w:r>
        <w:rPr>
          <w:b/>
          <w:spacing w:val="-4"/>
          <w:sz w:val="20"/>
        </w:rPr>
        <w:t> </w:t>
      </w:r>
      <w:r>
        <w:rPr>
          <w:b/>
          <w:sz w:val="20"/>
        </w:rPr>
        <w:t>con</w:t>
      </w:r>
      <w:r>
        <w:rPr>
          <w:b/>
          <w:spacing w:val="-4"/>
          <w:sz w:val="20"/>
        </w:rPr>
        <w:t> </w:t>
      </w:r>
      <w:r>
        <w:rPr>
          <w:b/>
          <w:sz w:val="20"/>
        </w:rPr>
        <w:t>la</w:t>
      </w:r>
      <w:r>
        <w:rPr>
          <w:b/>
          <w:spacing w:val="-6"/>
          <w:sz w:val="20"/>
        </w:rPr>
        <w:t> </w:t>
      </w:r>
      <w:r>
        <w:rPr>
          <w:b/>
          <w:sz w:val="20"/>
        </w:rPr>
        <w:t>medición</w:t>
      </w:r>
      <w:r>
        <w:rPr>
          <w:b/>
          <w:spacing w:val="-6"/>
          <w:sz w:val="20"/>
        </w:rPr>
        <w:t> </w:t>
      </w:r>
      <w:r>
        <w:rPr>
          <w:b/>
          <w:sz w:val="20"/>
        </w:rPr>
        <w:t>del</w:t>
      </w:r>
      <w:r>
        <w:rPr>
          <w:b/>
          <w:spacing w:val="-6"/>
          <w:sz w:val="20"/>
        </w:rPr>
        <w:t> </w:t>
      </w:r>
      <w:r>
        <w:rPr>
          <w:b/>
          <w:sz w:val="20"/>
        </w:rPr>
        <w:t>índice</w:t>
      </w:r>
      <w:r>
        <w:rPr>
          <w:b/>
          <w:spacing w:val="-6"/>
          <w:sz w:val="20"/>
        </w:rPr>
        <w:t> </w:t>
      </w:r>
      <w:r>
        <w:rPr>
          <w:b/>
          <w:sz w:val="20"/>
        </w:rPr>
        <w:t>de calidad del autobús y el índice de satisfacción al cliente.</w:t>
      </w:r>
    </w:p>
    <w:p>
      <w:pPr>
        <w:spacing w:line="229" w:lineRule="exact" w:before="0"/>
        <w:ind w:left="1284" w:right="0" w:firstLine="0"/>
        <w:jc w:val="left"/>
        <w:rPr>
          <w:b/>
          <w:sz w:val="20"/>
        </w:rPr>
      </w:pPr>
      <w:r>
        <w:rPr>
          <w:b/>
          <w:sz w:val="20"/>
        </w:rPr>
        <w:t>Para</w:t>
      </w:r>
      <w:r>
        <w:rPr>
          <w:b/>
          <w:spacing w:val="-9"/>
          <w:sz w:val="20"/>
        </w:rPr>
        <w:t> </w:t>
      </w:r>
      <w:r>
        <w:rPr>
          <w:b/>
          <w:sz w:val="20"/>
        </w:rPr>
        <w:t>evaluar</w:t>
      </w:r>
      <w:r>
        <w:rPr>
          <w:b/>
          <w:spacing w:val="-10"/>
          <w:sz w:val="20"/>
        </w:rPr>
        <w:t> </w:t>
      </w:r>
      <w:r>
        <w:rPr>
          <w:b/>
          <w:sz w:val="20"/>
        </w:rPr>
        <w:t>todos</w:t>
      </w:r>
      <w:r>
        <w:rPr>
          <w:b/>
          <w:spacing w:val="-11"/>
          <w:sz w:val="20"/>
        </w:rPr>
        <w:t> </w:t>
      </w:r>
      <w:r>
        <w:rPr>
          <w:b/>
          <w:sz w:val="20"/>
        </w:rPr>
        <w:t>estos</w:t>
      </w:r>
      <w:r>
        <w:rPr>
          <w:b/>
          <w:spacing w:val="-10"/>
          <w:sz w:val="20"/>
        </w:rPr>
        <w:t> </w:t>
      </w:r>
      <w:r>
        <w:rPr>
          <w:b/>
          <w:sz w:val="20"/>
        </w:rPr>
        <w:t>aspectos,</w:t>
      </w:r>
      <w:r>
        <w:rPr>
          <w:b/>
          <w:spacing w:val="-10"/>
          <w:sz w:val="20"/>
        </w:rPr>
        <w:t> </w:t>
      </w:r>
      <w:r>
        <w:rPr>
          <w:b/>
          <w:sz w:val="20"/>
        </w:rPr>
        <w:t>el</w:t>
      </w:r>
      <w:r>
        <w:rPr>
          <w:b/>
          <w:spacing w:val="-11"/>
          <w:sz w:val="20"/>
        </w:rPr>
        <w:t> </w:t>
      </w:r>
      <w:r>
        <w:rPr>
          <w:b/>
          <w:sz w:val="20"/>
        </w:rPr>
        <w:t>ayuntamiento</w:t>
      </w:r>
      <w:r>
        <w:rPr>
          <w:b/>
          <w:spacing w:val="-11"/>
          <w:sz w:val="20"/>
        </w:rPr>
        <w:t> </w:t>
      </w:r>
      <w:r>
        <w:rPr>
          <w:b/>
          <w:sz w:val="20"/>
        </w:rPr>
        <w:t>de</w:t>
      </w:r>
      <w:r>
        <w:rPr>
          <w:b/>
          <w:spacing w:val="-11"/>
          <w:sz w:val="20"/>
        </w:rPr>
        <w:t> </w:t>
      </w:r>
      <w:r>
        <w:rPr>
          <w:b/>
          <w:sz w:val="20"/>
        </w:rPr>
        <w:t>Zaragoza</w:t>
      </w:r>
      <w:r>
        <w:rPr>
          <w:b/>
          <w:spacing w:val="-11"/>
          <w:sz w:val="20"/>
        </w:rPr>
        <w:t> </w:t>
      </w:r>
      <w:r>
        <w:rPr>
          <w:b/>
          <w:sz w:val="20"/>
        </w:rPr>
        <w:t>contará</w:t>
      </w:r>
      <w:r>
        <w:rPr>
          <w:b/>
          <w:spacing w:val="-11"/>
          <w:sz w:val="20"/>
        </w:rPr>
        <w:t> </w:t>
      </w:r>
      <w:r>
        <w:rPr>
          <w:b/>
          <w:sz w:val="20"/>
        </w:rPr>
        <w:t>con</w:t>
      </w:r>
      <w:r>
        <w:rPr>
          <w:b/>
          <w:spacing w:val="-9"/>
          <w:sz w:val="20"/>
        </w:rPr>
        <w:t> </w:t>
      </w:r>
      <w:r>
        <w:rPr>
          <w:b/>
          <w:sz w:val="20"/>
        </w:rPr>
        <w:t>una</w:t>
      </w:r>
      <w:r>
        <w:rPr>
          <w:b/>
          <w:spacing w:val="-10"/>
          <w:sz w:val="20"/>
        </w:rPr>
        <w:t> </w:t>
      </w:r>
      <w:r>
        <w:rPr>
          <w:b/>
          <w:sz w:val="20"/>
        </w:rPr>
        <w:t>asistencia</w:t>
      </w:r>
      <w:r>
        <w:rPr>
          <w:b/>
          <w:spacing w:val="-10"/>
          <w:sz w:val="20"/>
        </w:rPr>
        <w:t> </w:t>
      </w:r>
      <w:r>
        <w:rPr>
          <w:b/>
          <w:sz w:val="20"/>
        </w:rPr>
        <w:t>técnica</w:t>
      </w:r>
      <w:r>
        <w:rPr>
          <w:b/>
          <w:spacing w:val="-10"/>
          <w:sz w:val="20"/>
        </w:rPr>
        <w:t> a</w:t>
      </w:r>
    </w:p>
    <w:p>
      <w:pPr>
        <w:spacing w:after="0" w:line="229" w:lineRule="exact"/>
        <w:jc w:val="left"/>
        <w:rPr>
          <w:b/>
          <w:sz w:val="20"/>
        </w:rPr>
        <w:sectPr>
          <w:pgSz w:w="11910" w:h="16840"/>
          <w:pgMar w:header="314" w:footer="551" w:top="1240" w:bottom="680" w:left="141" w:right="141"/>
        </w:sectPr>
      </w:pPr>
    </w:p>
    <w:p>
      <w:pPr>
        <w:pStyle w:val="BodyText"/>
        <w:rPr>
          <w:b/>
          <w:sz w:val="20"/>
        </w:rPr>
      </w:pPr>
      <w:r>
        <w:rPr>
          <w:b/>
          <w:sz w:val="20"/>
        </w:rPr>
        <mc:AlternateContent>
          <mc:Choice Requires="wps">
            <w:drawing>
              <wp:anchor distT="0" distB="0" distL="0" distR="0" allowOverlap="1" layoutInCell="1" locked="0" behindDoc="0" simplePos="0" relativeHeight="15974400">
                <wp:simplePos x="0" y="0"/>
                <wp:positionH relativeFrom="page">
                  <wp:posOffset>130383</wp:posOffset>
                </wp:positionH>
                <wp:positionV relativeFrom="page">
                  <wp:posOffset>6716378</wp:posOffset>
                </wp:positionV>
                <wp:extent cx="138430" cy="2952750"/>
                <wp:effectExtent l="0" t="0" r="0" b="0"/>
                <wp:wrapNone/>
                <wp:docPr id="2247" name="Textbox 2247"/>
                <wp:cNvGraphicFramePr>
                  <a:graphicFrameLocks/>
                </wp:cNvGraphicFramePr>
                <a:graphic>
                  <a:graphicData uri="http://schemas.microsoft.com/office/word/2010/wordprocessingShape">
                    <wps:wsp>
                      <wps:cNvPr id="2247" name="Textbox 2247"/>
                      <wps:cNvSpPr txBox="1"/>
                      <wps:spPr>
                        <a:xfrm>
                          <a:off x="0" y="0"/>
                          <a:ext cx="138430" cy="2952750"/>
                        </a:xfrm>
                        <a:prstGeom prst="rect">
                          <a:avLst/>
                        </a:prstGeom>
                      </wps:spPr>
                      <wps:txbx>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wps:txbx>
                      <wps:bodyPr wrap="square" lIns="0" tIns="0" rIns="0" bIns="0" rtlCol="0" vert="vert270">
                        <a:noAutofit/>
                      </wps:bodyPr>
                    </wps:wsp>
                  </a:graphicData>
                </a:graphic>
              </wp:anchor>
            </w:drawing>
          </mc:Choice>
          <mc:Fallback>
            <w:pict>
              <v:shape style="position:absolute;margin-left:10.266402pt;margin-top:528.848694pt;width:10.9pt;height:232.5pt;mso-position-horizontal-relative:page;mso-position-vertical-relative:page;z-index:15974400" type="#_x0000_t202" id="docshape1629" filled="false" stroked="false">
                <v:textbox inset="0,0,0,0" style="layout-flow:vertical;mso-layout-flow-alt:bottom-to-top">
                  <w:txbxContent>
                    <w:p>
                      <w:pPr>
                        <w:spacing w:before="14"/>
                        <w:ind w:left="20" w:right="0" w:firstLine="0"/>
                        <w:jc w:val="left"/>
                        <w:rPr>
                          <w:sz w:val="16"/>
                        </w:rPr>
                      </w:pPr>
                      <w:r>
                        <w:rPr>
                          <w:sz w:val="16"/>
                        </w:rPr>
                        <w:t>Documento</w:t>
                      </w:r>
                      <w:r>
                        <w:rPr>
                          <w:spacing w:val="-11"/>
                          <w:sz w:val="16"/>
                        </w:rPr>
                        <w:t> </w:t>
                      </w:r>
                      <w:r>
                        <w:rPr>
                          <w:sz w:val="16"/>
                        </w:rPr>
                        <w:t>firmado</w:t>
                      </w:r>
                      <w:r>
                        <w:rPr>
                          <w:spacing w:val="-9"/>
                          <w:sz w:val="16"/>
                        </w:rPr>
                        <w:t> </w:t>
                      </w:r>
                      <w:r>
                        <w:rPr>
                          <w:sz w:val="16"/>
                        </w:rPr>
                        <w:t>electrónicamente</w:t>
                      </w:r>
                      <w:r>
                        <w:rPr>
                          <w:spacing w:val="-8"/>
                          <w:sz w:val="16"/>
                        </w:rPr>
                        <w:t> </w:t>
                      </w:r>
                      <w:r>
                        <w:rPr>
                          <w:sz w:val="16"/>
                        </w:rPr>
                        <w:t>por</w:t>
                      </w:r>
                      <w:r>
                        <w:rPr>
                          <w:spacing w:val="-11"/>
                          <w:sz w:val="16"/>
                        </w:rPr>
                        <w:t> </w:t>
                      </w:r>
                      <w:r>
                        <w:rPr>
                          <w:sz w:val="16"/>
                        </w:rPr>
                        <w:t>el</w:t>
                      </w:r>
                      <w:r>
                        <w:rPr>
                          <w:spacing w:val="-8"/>
                          <w:sz w:val="16"/>
                        </w:rPr>
                        <w:t> </w:t>
                      </w:r>
                      <w:r>
                        <w:rPr>
                          <w:sz w:val="16"/>
                        </w:rPr>
                        <w:t>Tribunal</w:t>
                      </w:r>
                      <w:r>
                        <w:rPr>
                          <w:spacing w:val="-10"/>
                          <w:sz w:val="16"/>
                        </w:rPr>
                        <w:t> </w:t>
                      </w:r>
                      <w:r>
                        <w:rPr>
                          <w:sz w:val="16"/>
                        </w:rPr>
                        <w:t>de</w:t>
                      </w:r>
                      <w:r>
                        <w:rPr>
                          <w:spacing w:val="-10"/>
                          <w:sz w:val="16"/>
                        </w:rPr>
                        <w:t> </w:t>
                      </w:r>
                      <w:r>
                        <w:rPr>
                          <w:spacing w:val="-2"/>
                          <w:sz w:val="16"/>
                        </w:rPr>
                        <w:t>Cuentas.</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74912">
                <wp:simplePos x="0" y="0"/>
                <wp:positionH relativeFrom="page">
                  <wp:posOffset>244784</wp:posOffset>
                </wp:positionH>
                <wp:positionV relativeFrom="page">
                  <wp:posOffset>7924844</wp:posOffset>
                </wp:positionV>
                <wp:extent cx="251460" cy="1744345"/>
                <wp:effectExtent l="0" t="0" r="0" b="0"/>
                <wp:wrapNone/>
                <wp:docPr id="2248" name="Textbox 2248"/>
                <wp:cNvGraphicFramePr>
                  <a:graphicFrameLocks/>
                </wp:cNvGraphicFramePr>
                <a:graphic>
                  <a:graphicData uri="http://schemas.microsoft.com/office/word/2010/wordprocessingShape">
                    <wps:wsp>
                      <wps:cNvPr id="2248" name="Textbox 2248"/>
                      <wps:cNvSpPr txBox="1"/>
                      <wps:spPr>
                        <a:xfrm>
                          <a:off x="0" y="0"/>
                          <a:ext cx="251460" cy="1744345"/>
                        </a:xfrm>
                        <a:prstGeom prst="rect">
                          <a:avLst/>
                        </a:prstGeom>
                      </wps:spPr>
                      <wps:txbx>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wps:txbx>
                      <wps:bodyPr wrap="square" lIns="0" tIns="0" rIns="0" bIns="0" rtlCol="0" vert="vert270">
                        <a:noAutofit/>
                      </wps:bodyPr>
                    </wps:wsp>
                  </a:graphicData>
                </a:graphic>
              </wp:anchor>
            </w:drawing>
          </mc:Choice>
          <mc:Fallback>
            <w:pict>
              <v:shape style="position:absolute;margin-left:19.274403pt;margin-top:624.003479pt;width:19.8pt;height:137.35pt;mso-position-horizontal-relative:page;mso-position-vertical-relative:page;z-index:15974912" type="#_x0000_t202" id="docshape1630" filled="false" stroked="false">
                <v:textbox inset="0,0,0,0" style="layout-flow:vertical;mso-layout-flow-alt:bottom-to-top">
                  <w:txbxContent>
                    <w:p>
                      <w:pPr>
                        <w:spacing w:line="232" w:lineRule="auto" w:before="18"/>
                        <w:ind w:left="20" w:right="0" w:firstLine="0"/>
                        <w:jc w:val="left"/>
                        <w:rPr>
                          <w:sz w:val="16"/>
                        </w:rPr>
                      </w:pPr>
                      <w:r>
                        <w:rPr>
                          <w:sz w:val="16"/>
                        </w:rPr>
                        <w:t>Autenticidad</w:t>
                      </w:r>
                      <w:r>
                        <w:rPr>
                          <w:spacing w:val="-12"/>
                          <w:sz w:val="16"/>
                        </w:rPr>
                        <w:t> </w:t>
                      </w:r>
                      <w:r>
                        <w:rPr>
                          <w:sz w:val="16"/>
                        </w:rPr>
                        <w:t>verificable</w:t>
                      </w:r>
                      <w:r>
                        <w:rPr>
                          <w:spacing w:val="-11"/>
                          <w:sz w:val="16"/>
                        </w:rPr>
                        <w:t> </w:t>
                      </w:r>
                      <w:r>
                        <w:rPr>
                          <w:sz w:val="16"/>
                        </w:rPr>
                        <w:t>mediante</w:t>
                      </w:r>
                      <w:r>
                        <w:rPr>
                          <w:spacing w:val="-11"/>
                          <w:sz w:val="16"/>
                        </w:rPr>
                        <w:t> </w:t>
                      </w:r>
                      <w:r>
                        <w:rPr>
                          <w:sz w:val="16"/>
                        </w:rPr>
                        <w:t>Códi </w:t>
                      </w:r>
                      <w:r>
                        <w:rPr>
                          <w:spacing w:val="-4"/>
                          <w:sz w:val="16"/>
                        </w:rPr>
                        <w:t>CSV:</w:t>
                      </w:r>
                    </w:p>
                  </w:txbxContent>
                </v:textbox>
                <w10:wrap type="none"/>
              </v:shape>
            </w:pict>
          </mc:Fallback>
        </mc:AlternateContent>
      </w:r>
      <w:r>
        <w:rPr>
          <w:b/>
          <w:sz w:val="20"/>
        </w:rPr>
        <mc:AlternateContent>
          <mc:Choice Requires="wps">
            <w:drawing>
              <wp:anchor distT="0" distB="0" distL="0" distR="0" allowOverlap="1" layoutInCell="1" locked="0" behindDoc="0" simplePos="0" relativeHeight="15975424">
                <wp:simplePos x="0" y="0"/>
                <wp:positionH relativeFrom="page">
                  <wp:posOffset>244784</wp:posOffset>
                </wp:positionH>
                <wp:positionV relativeFrom="page">
                  <wp:posOffset>5475036</wp:posOffset>
                </wp:positionV>
                <wp:extent cx="138430" cy="2155190"/>
                <wp:effectExtent l="0" t="0" r="0" b="0"/>
                <wp:wrapNone/>
                <wp:docPr id="2249" name="Textbox 2249"/>
                <wp:cNvGraphicFramePr>
                  <a:graphicFrameLocks/>
                </wp:cNvGraphicFramePr>
                <a:graphic>
                  <a:graphicData uri="http://schemas.microsoft.com/office/word/2010/wordprocessingShape">
                    <wps:wsp>
                      <wps:cNvPr id="2249" name="Textbox 2249"/>
                      <wps:cNvSpPr txBox="1"/>
                      <wps:spPr>
                        <a:xfrm>
                          <a:off x="0" y="0"/>
                          <a:ext cx="138430" cy="2155190"/>
                        </a:xfrm>
                        <a:prstGeom prst="rect">
                          <a:avLst/>
                        </a:prstGeom>
                      </wps:spPr>
                      <wps:txbx>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wps:txbx>
                      <wps:bodyPr wrap="square" lIns="0" tIns="0" rIns="0" bIns="0" rtlCol="0" vert="vert270">
                        <a:noAutofit/>
                      </wps:bodyPr>
                    </wps:wsp>
                  </a:graphicData>
                </a:graphic>
              </wp:anchor>
            </w:drawing>
          </mc:Choice>
          <mc:Fallback>
            <w:pict>
              <v:shape style="position:absolute;margin-left:19.274403pt;margin-top:431.105225pt;width:10.9pt;height:169.7pt;mso-position-horizontal-relative:page;mso-position-vertical-relative:page;z-index:15975424" type="#_x0000_t202" id="docshape1631" filled="false" stroked="false">
                <v:textbox inset="0,0,0,0" style="layout-flow:vertical;mso-layout-flow-alt:bottom-to-top">
                  <w:txbxContent>
                    <w:p>
                      <w:pPr>
                        <w:spacing w:before="14"/>
                        <w:ind w:left="20" w:right="0" w:firstLine="0"/>
                        <w:jc w:val="left"/>
                        <w:rPr>
                          <w:sz w:val="16"/>
                        </w:rPr>
                      </w:pPr>
                      <w:r>
                        <w:rPr>
                          <w:sz w:val="16"/>
                        </w:rPr>
                        <w:t>uro</w:t>
                      </w:r>
                      <w:r>
                        <w:rPr>
                          <w:spacing w:val="-8"/>
                          <w:sz w:val="16"/>
                        </w:rPr>
                        <w:t> </w:t>
                      </w:r>
                      <w:r>
                        <w:rPr>
                          <w:sz w:val="16"/>
                        </w:rPr>
                        <w:t>de</w:t>
                      </w:r>
                      <w:r>
                        <w:rPr>
                          <w:spacing w:val="-9"/>
                          <w:sz w:val="16"/>
                        </w:rPr>
                        <w:t> </w:t>
                      </w:r>
                      <w:r>
                        <w:rPr>
                          <w:sz w:val="16"/>
                        </w:rPr>
                        <w:t>Verificación</w:t>
                      </w:r>
                      <w:r>
                        <w:rPr>
                          <w:spacing w:val="-5"/>
                          <w:sz w:val="16"/>
                        </w:rPr>
                        <w:t> </w:t>
                      </w:r>
                      <w:r>
                        <w:rPr>
                          <w:sz w:val="16"/>
                        </w:rPr>
                        <w:t>(CSV)</w:t>
                      </w:r>
                      <w:r>
                        <w:rPr>
                          <w:spacing w:val="-8"/>
                          <w:sz w:val="16"/>
                        </w:rPr>
                        <w:t> </w:t>
                      </w:r>
                      <w:r>
                        <w:rPr>
                          <w:sz w:val="16"/>
                        </w:rPr>
                        <w:t>en</w:t>
                      </w:r>
                      <w:r>
                        <w:rPr>
                          <w:spacing w:val="-9"/>
                          <w:sz w:val="16"/>
                        </w:rPr>
                        <w:t> </w:t>
                      </w:r>
                      <w:hyperlink r:id="rId154">
                        <w:r>
                          <w:rPr>
                            <w:spacing w:val="-2"/>
                            <w:sz w:val="16"/>
                          </w:rPr>
                          <w:t>https://sede.tcu.es</w:t>
                        </w:r>
                      </w:hyperlink>
                    </w:p>
                  </w:txbxContent>
                </v:textbox>
                <w10:wrap type="none"/>
              </v:shape>
            </w:pict>
          </mc:Fallback>
        </mc:AlternateContent>
      </w:r>
      <w:r>
        <w:rPr>
          <w:b/>
          <w:sz w:val="20"/>
        </w:rPr>
        <mc:AlternateContent>
          <mc:Choice Requires="wps">
            <w:drawing>
              <wp:anchor distT="0" distB="0" distL="0" distR="0" allowOverlap="1" layoutInCell="1" locked="0" behindDoc="0" simplePos="0" relativeHeight="15975936">
                <wp:simplePos x="0" y="0"/>
                <wp:positionH relativeFrom="page">
                  <wp:posOffset>344030</wp:posOffset>
                </wp:positionH>
                <wp:positionV relativeFrom="page">
                  <wp:posOffset>6395656</wp:posOffset>
                </wp:positionV>
                <wp:extent cx="163830" cy="3011170"/>
                <wp:effectExtent l="0" t="0" r="0" b="0"/>
                <wp:wrapNone/>
                <wp:docPr id="2250" name="Graphic 2250"/>
                <wp:cNvGraphicFramePr>
                  <a:graphicFrameLocks/>
                </wp:cNvGraphicFramePr>
                <a:graphic>
                  <a:graphicData uri="http://schemas.microsoft.com/office/word/2010/wordprocessingShape">
                    <wps:wsp>
                      <wps:cNvPr id="2250" name="Graphic 2250"/>
                      <wps:cNvSpPr/>
                      <wps:spPr>
                        <a:xfrm>
                          <a:off x="0" y="0"/>
                          <a:ext cx="163830" cy="3011170"/>
                        </a:xfrm>
                        <a:custGeom>
                          <a:avLst/>
                          <a:gdLst/>
                          <a:ahLst/>
                          <a:cxnLst/>
                          <a:rect l="l" t="t" r="r" b="b"/>
                          <a:pathLst>
                            <a:path w="163830" h="3011170">
                              <a:moveTo>
                                <a:pt x="163258" y="0"/>
                              </a:moveTo>
                              <a:lnTo>
                                <a:pt x="0" y="0"/>
                              </a:lnTo>
                              <a:lnTo>
                                <a:pt x="0" y="3010712"/>
                              </a:lnTo>
                              <a:lnTo>
                                <a:pt x="163258" y="3010712"/>
                              </a:lnTo>
                              <a:lnTo>
                                <a:pt x="16325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089pt;margin-top:503.595004pt;width:12.855pt;height:237.064pt;mso-position-horizontal-relative:page;mso-position-vertical-relative:page;z-index:15975936" id="docshape1632" filled="true" fillcolor="#000000" stroked="false">
                <v:fill type="solid"/>
                <w10:wrap type="none"/>
              </v:rect>
            </w:pict>
          </mc:Fallback>
        </mc:AlternateContent>
      </w:r>
    </w:p>
    <w:p>
      <w:pPr>
        <w:pStyle w:val="BodyText"/>
        <w:spacing w:before="59"/>
        <w:rPr>
          <w:b/>
          <w:sz w:val="20"/>
        </w:rPr>
      </w:pPr>
    </w:p>
    <w:p>
      <w:pPr>
        <w:spacing w:line="333" w:lineRule="auto" w:before="1"/>
        <w:ind w:left="1284" w:right="496" w:firstLine="0"/>
        <w:jc w:val="left"/>
        <w:rPr>
          <w:b/>
          <w:sz w:val="20"/>
        </w:rPr>
      </w:pPr>
      <w:r>
        <w:rPr>
          <w:b/>
          <w:sz w:val="20"/>
        </w:rPr>
        <w:t>la</w:t>
      </w:r>
      <w:r>
        <w:rPr>
          <w:b/>
          <w:spacing w:val="-6"/>
          <w:sz w:val="20"/>
        </w:rPr>
        <w:t> </w:t>
      </w:r>
      <w:r>
        <w:rPr>
          <w:b/>
          <w:sz w:val="20"/>
        </w:rPr>
        <w:t>operación</w:t>
      </w:r>
      <w:r>
        <w:rPr>
          <w:b/>
          <w:spacing w:val="-6"/>
          <w:sz w:val="20"/>
        </w:rPr>
        <w:t> </w:t>
      </w:r>
      <w:r>
        <w:rPr>
          <w:b/>
          <w:sz w:val="20"/>
        </w:rPr>
        <w:t>del</w:t>
      </w:r>
      <w:r>
        <w:rPr>
          <w:b/>
          <w:spacing w:val="-6"/>
          <w:sz w:val="20"/>
        </w:rPr>
        <w:t> </w:t>
      </w:r>
      <w:r>
        <w:rPr>
          <w:b/>
          <w:sz w:val="20"/>
        </w:rPr>
        <w:t>autobús,</w:t>
      </w:r>
      <w:r>
        <w:rPr>
          <w:b/>
          <w:spacing w:val="-6"/>
          <w:sz w:val="20"/>
        </w:rPr>
        <w:t> </w:t>
      </w:r>
      <w:r>
        <w:rPr>
          <w:b/>
          <w:sz w:val="20"/>
        </w:rPr>
        <w:t>que</w:t>
      </w:r>
      <w:r>
        <w:rPr>
          <w:b/>
          <w:spacing w:val="-6"/>
          <w:sz w:val="20"/>
        </w:rPr>
        <w:t> </w:t>
      </w:r>
      <w:r>
        <w:rPr>
          <w:b/>
          <w:sz w:val="20"/>
        </w:rPr>
        <w:t>se</w:t>
      </w:r>
      <w:r>
        <w:rPr>
          <w:b/>
          <w:spacing w:val="-4"/>
          <w:sz w:val="20"/>
        </w:rPr>
        <w:t> </w:t>
      </w:r>
      <w:r>
        <w:rPr>
          <w:b/>
          <w:sz w:val="20"/>
        </w:rPr>
        <w:t>licitará</w:t>
      </w:r>
      <w:r>
        <w:rPr>
          <w:b/>
          <w:spacing w:val="-6"/>
          <w:sz w:val="20"/>
        </w:rPr>
        <w:t> </w:t>
      </w:r>
      <w:r>
        <w:rPr>
          <w:b/>
          <w:sz w:val="20"/>
        </w:rPr>
        <w:t>próximamente,</w:t>
      </w:r>
      <w:r>
        <w:rPr>
          <w:b/>
          <w:spacing w:val="-6"/>
          <w:sz w:val="20"/>
        </w:rPr>
        <w:t> </w:t>
      </w:r>
      <w:r>
        <w:rPr>
          <w:b/>
          <w:sz w:val="20"/>
        </w:rPr>
        <w:t>y</w:t>
      </w:r>
      <w:r>
        <w:rPr>
          <w:b/>
          <w:spacing w:val="-6"/>
          <w:sz w:val="20"/>
        </w:rPr>
        <w:t> </w:t>
      </w:r>
      <w:r>
        <w:rPr>
          <w:b/>
          <w:sz w:val="20"/>
        </w:rPr>
        <w:t>que</w:t>
      </w:r>
      <w:r>
        <w:rPr>
          <w:b/>
          <w:spacing w:val="-6"/>
          <w:sz w:val="20"/>
        </w:rPr>
        <w:t> </w:t>
      </w:r>
      <w:r>
        <w:rPr>
          <w:b/>
          <w:sz w:val="20"/>
        </w:rPr>
        <w:t>ayudará</w:t>
      </w:r>
      <w:r>
        <w:rPr>
          <w:b/>
          <w:spacing w:val="-6"/>
          <w:sz w:val="20"/>
        </w:rPr>
        <w:t> </w:t>
      </w:r>
      <w:r>
        <w:rPr>
          <w:b/>
          <w:sz w:val="20"/>
        </w:rPr>
        <w:t>al</w:t>
      </w:r>
      <w:r>
        <w:rPr>
          <w:b/>
          <w:spacing w:val="-6"/>
          <w:sz w:val="20"/>
        </w:rPr>
        <w:t> </w:t>
      </w:r>
      <w:r>
        <w:rPr>
          <w:b/>
          <w:sz w:val="20"/>
        </w:rPr>
        <w:t>Servicio</w:t>
      </w:r>
      <w:r>
        <w:rPr>
          <w:b/>
          <w:spacing w:val="-6"/>
          <w:sz w:val="20"/>
        </w:rPr>
        <w:t> </w:t>
      </w:r>
      <w:r>
        <w:rPr>
          <w:b/>
          <w:sz w:val="20"/>
        </w:rPr>
        <w:t>de</w:t>
      </w:r>
      <w:r>
        <w:rPr>
          <w:b/>
          <w:spacing w:val="-7"/>
          <w:sz w:val="20"/>
        </w:rPr>
        <w:t> </w:t>
      </w:r>
      <w:r>
        <w:rPr>
          <w:b/>
          <w:sz w:val="20"/>
        </w:rPr>
        <w:t>Transporte</w:t>
      </w:r>
      <w:r>
        <w:rPr>
          <w:b/>
          <w:spacing w:val="-6"/>
          <w:sz w:val="20"/>
        </w:rPr>
        <w:t> </w:t>
      </w:r>
      <w:r>
        <w:rPr>
          <w:b/>
          <w:sz w:val="20"/>
        </w:rPr>
        <w:t>público en la gestión del control de la calidad y la disponibilidad del sistema de transporte por autobús.</w:t>
      </w:r>
    </w:p>
    <w:sectPr>
      <w:pgSz w:w="11910" w:h="16840"/>
      <w:pgMar w:header="314" w:footer="481" w:top="1240" w:bottom="680" w:left="141" w:right="141"/>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Arial Narrow">
    <w:altName w:val="Arial Narrow"/>
    <w:charset w:val="0"/>
    <w:family w:val="swiss"/>
    <w:pitch w:val="variable"/>
  </w:font>
  <w:font w:name="Bradley Hand ITC">
    <w:altName w:val="Bradley Hand ITC"/>
    <w:charset w:val="0"/>
    <w:family w:val="script"/>
    <w:pitch w:val="variable"/>
  </w:font>
  <w:font w:name="Cambria Math">
    <w:altName w:val="Cambria Math"/>
    <w:charset w:val="0"/>
    <w:family w:val="roman"/>
    <w:pitch w:val="variable"/>
  </w:font>
  <w:font w:name="Courier New">
    <w:altName w:val="Courier New"/>
    <w:charset w:val="0"/>
    <w:family w:val="modern"/>
    <w:pitch w:val="fixed"/>
  </w:font>
  <w:font w:name="Verdana">
    <w:altName w:val="Verdana"/>
    <w:charset w:val="0"/>
    <w:family w:val="swiss"/>
    <w:pitch w:val="variable"/>
  </w:font>
  <w:font w:name="Segoe UI Symbol">
    <w:altName w:val="Segoe UI Symbo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67648">
              <wp:simplePos x="0" y="0"/>
              <wp:positionH relativeFrom="page">
                <wp:posOffset>701344</wp:posOffset>
              </wp:positionH>
              <wp:positionV relativeFrom="page">
                <wp:posOffset>9981895</wp:posOffset>
              </wp:positionV>
              <wp:extent cx="6158230" cy="6350"/>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85.976013pt;width:484.9pt;height:.47998pt;mso-position-horizontal-relative:page;mso-position-vertical-relative:page;z-index:-29048832" id="docshape2"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68160">
              <wp:simplePos x="0" y="0"/>
              <wp:positionH relativeFrom="page">
                <wp:posOffset>706932</wp:posOffset>
              </wp:positionH>
              <wp:positionV relativeFrom="page">
                <wp:posOffset>9990994</wp:posOffset>
              </wp:positionV>
              <wp:extent cx="5586095" cy="15367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5586095" cy="153670"/>
                      </a:xfrm>
                      <a:prstGeom prst="rect">
                        <a:avLst/>
                      </a:prstGeom>
                    </wps:spPr>
                    <wps:txbx>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5.664001pt;margin-top:786.692505pt;width:439.85pt;height:12.1pt;mso-position-horizontal-relative:page;mso-position-vertical-relative:page;z-index:-29048320" type="#_x0000_t202" id="docshape3" filled="false" stroked="false">
              <v:textbox inset="0,0,0,0">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68672">
              <wp:simplePos x="0" y="0"/>
              <wp:positionH relativeFrom="page">
                <wp:posOffset>6739128</wp:posOffset>
              </wp:positionH>
              <wp:positionV relativeFrom="page">
                <wp:posOffset>9990994</wp:posOffset>
              </wp:positionV>
              <wp:extent cx="153035" cy="15367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1</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530.640015pt;margin-top:786.692505pt;width:12.05pt;height:12.1pt;mso-position-horizontal-relative:page;mso-position-vertical-relative:page;z-index:-29047808" type="#_x0000_t202" id="docshape4"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1</w:t>
                    </w:r>
                    <w:r>
                      <w:rPr>
                        <w:spacing w:val="-10"/>
                        <w:sz w:val="18"/>
                      </w:rPr>
                      <w:fldChar w:fldCharType="end"/>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16"/>
      </w:rPr>
    </w:pPr>
    <w:r>
      <w:rPr>
        <w:sz w:val="16"/>
      </w:rPr>
      <mc:AlternateContent>
        <mc:Choice Requires="wps">
          <w:drawing>
            <wp:anchor distT="0" distB="0" distL="0" distR="0" allowOverlap="1" layoutInCell="1" locked="0" behindDoc="1" simplePos="0" relativeHeight="474279936">
              <wp:simplePos x="0" y="0"/>
              <wp:positionH relativeFrom="page">
                <wp:posOffset>701344</wp:posOffset>
              </wp:positionH>
              <wp:positionV relativeFrom="page">
                <wp:posOffset>9981895</wp:posOffset>
              </wp:positionV>
              <wp:extent cx="6158230" cy="6350"/>
              <wp:effectExtent l="0" t="0" r="0" b="0"/>
              <wp:wrapNone/>
              <wp:docPr id="35" name="Graphic 35"/>
              <wp:cNvGraphicFramePr>
                <a:graphicFrameLocks/>
              </wp:cNvGraphicFramePr>
              <a:graphic>
                <a:graphicData uri="http://schemas.microsoft.com/office/word/2010/wordprocessingShape">
                  <wps:wsp>
                    <wps:cNvPr id="35" name="Graphic 35"/>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85.976013pt;width:484.9pt;height:.47998pt;mso-position-horizontal-relative:page;mso-position-vertical-relative:page;z-index:-29036544" id="docshape24" filled="true" fillcolor="#000000" stroked="false">
              <v:fill type="solid"/>
              <w10:wrap type="none"/>
            </v:rect>
          </w:pict>
        </mc:Fallback>
      </mc:AlternateContent>
    </w:r>
    <w:r>
      <w:rPr>
        <w:sz w:val="16"/>
      </w:rPr>
      <mc:AlternateContent>
        <mc:Choice Requires="wps">
          <w:drawing>
            <wp:anchor distT="0" distB="0" distL="0" distR="0" allowOverlap="1" layoutInCell="1" locked="0" behindDoc="1" simplePos="0" relativeHeight="474280448">
              <wp:simplePos x="0" y="0"/>
              <wp:positionH relativeFrom="page">
                <wp:posOffset>706932</wp:posOffset>
              </wp:positionH>
              <wp:positionV relativeFrom="page">
                <wp:posOffset>9990994</wp:posOffset>
              </wp:positionV>
              <wp:extent cx="5586095" cy="153670"/>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5586095" cy="153670"/>
                      </a:xfrm>
                      <a:prstGeom prst="rect">
                        <a:avLst/>
                      </a:prstGeom>
                    </wps:spPr>
                    <wps:txbx>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wps:txbx>
                    <wps:bodyPr wrap="square" lIns="0" tIns="0" rIns="0" bIns="0" rtlCol="0">
                      <a:noAutofit/>
                    </wps:bodyPr>
                  </wps:wsp>
                </a:graphicData>
              </a:graphic>
            </wp:anchor>
          </w:drawing>
        </mc:Choice>
        <mc:Fallback>
          <w:pict>
            <v:shape style="position:absolute;margin-left:55.664001pt;margin-top:786.692505pt;width:439.85pt;height:12.1pt;mso-position-horizontal-relative:page;mso-position-vertical-relative:page;z-index:-29036032" type="#_x0000_t202" id="docshape25" filled="false" stroked="false">
              <v:textbox inset="0,0,0,0">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v:textbox>
              <w10:wrap type="none"/>
            </v:shape>
          </w:pict>
        </mc:Fallback>
      </mc:AlternateContent>
    </w:r>
    <w:r>
      <w:rPr>
        <w:sz w:val="16"/>
      </w:rPr>
      <mc:AlternateContent>
        <mc:Choice Requires="wps">
          <w:drawing>
            <wp:anchor distT="0" distB="0" distL="0" distR="0" allowOverlap="1" layoutInCell="1" locked="0" behindDoc="1" simplePos="0" relativeHeight="474280960">
              <wp:simplePos x="0" y="0"/>
              <wp:positionH relativeFrom="page">
                <wp:posOffset>6638035</wp:posOffset>
              </wp:positionH>
              <wp:positionV relativeFrom="page">
                <wp:posOffset>9990994</wp:posOffset>
              </wp:positionV>
              <wp:extent cx="255904" cy="153670"/>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255904" cy="153670"/>
                      </a:xfrm>
                      <a:prstGeom prst="rect">
                        <a:avLst/>
                      </a:prstGeom>
                    </wps:spPr>
                    <wps:txbx>
                      <w:txbxContent>
                        <w:p>
                          <w:pPr>
                            <w:spacing w:before="14"/>
                            <w:ind w:left="2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100</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2.679993pt;margin-top:786.692505pt;width:20.150pt;height:12.1pt;mso-position-horizontal-relative:page;mso-position-vertical-relative:page;z-index:-29035520" type="#_x0000_t202" id="docshape26" filled="false" stroked="false">
              <v:textbox inset="0,0,0,0">
                <w:txbxContent>
                  <w:p>
                    <w:pPr>
                      <w:spacing w:before="14"/>
                      <w:ind w:left="2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100</w:t>
                    </w:r>
                    <w:r>
                      <w:rPr>
                        <w:spacing w:val="-5"/>
                        <w:sz w:val="18"/>
                      </w:rPr>
                      <w:fldChar w:fldCharType="end"/>
                    </w:r>
                  </w:p>
                </w:txbxContent>
              </v:textbox>
              <w10:wrap type="none"/>
            </v:shape>
          </w:pict>
        </mc:Fallback>
      </mc:AlternateContent>
    </w:r>
  </w:p>
</w:ftr>
</file>

<file path=word/footer10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0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567168">
              <wp:simplePos x="0" y="0"/>
              <wp:positionH relativeFrom="page">
                <wp:posOffset>19811</wp:posOffset>
              </wp:positionH>
              <wp:positionV relativeFrom="page">
                <wp:posOffset>10212323</wp:posOffset>
              </wp:positionV>
              <wp:extent cx="7522845" cy="1270"/>
              <wp:effectExtent l="0" t="0" r="0" b="0"/>
              <wp:wrapNone/>
              <wp:docPr id="2118" name="Graphic 2118"/>
              <wp:cNvGraphicFramePr>
                <a:graphicFrameLocks/>
              </wp:cNvGraphicFramePr>
              <a:graphic>
                <a:graphicData uri="http://schemas.microsoft.com/office/word/2010/wordprocessingShape">
                  <wps:wsp>
                    <wps:cNvPr id="2118" name="Graphic 2118"/>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49312"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67680">
              <wp:simplePos x="0" y="0"/>
              <wp:positionH relativeFrom="page">
                <wp:posOffset>3097822</wp:posOffset>
              </wp:positionH>
              <wp:positionV relativeFrom="page">
                <wp:posOffset>10313833</wp:posOffset>
              </wp:positionV>
              <wp:extent cx="792480" cy="167005"/>
              <wp:effectExtent l="0" t="0" r="0" b="0"/>
              <wp:wrapNone/>
              <wp:docPr id="2119" name="Textbox 2119"/>
              <wp:cNvGraphicFramePr>
                <a:graphicFrameLocks/>
              </wp:cNvGraphicFramePr>
              <a:graphic>
                <a:graphicData uri="http://schemas.microsoft.com/office/word/2010/wordprocessingShape">
                  <wps:wsp>
                    <wps:cNvPr id="2119" name="Textbox 2119"/>
                    <wps:cNvSpPr txBox="1"/>
                    <wps:spPr>
                      <a:xfrm>
                        <a:off x="0" y="0"/>
                        <a:ext cx="7924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1</w:t>
                          </w:r>
                          <w:r>
                            <w:rPr>
                              <w:sz w:val="20"/>
                            </w:rPr>
                            <w:fldChar w:fldCharType="end"/>
                          </w:r>
                          <w:r>
                            <w:rPr>
                              <w:spacing w:val="-5"/>
                              <w:sz w:val="20"/>
                            </w:rPr>
                            <w:t> </w:t>
                          </w:r>
                          <w:r>
                            <w:rPr>
                              <w:sz w:val="20"/>
                            </w:rPr>
                            <w:t>de</w:t>
                          </w:r>
                          <w:r>
                            <w:rPr>
                              <w:spacing w:val="-23"/>
                              <w:sz w:val="20"/>
                            </w:rPr>
                            <w:t> </w:t>
                          </w:r>
                          <w:r>
                            <w:rPr>
                              <w:spacing w:val="-10"/>
                              <w:sz w:val="20"/>
                            </w:rPr>
                            <w:t>4</w:t>
                          </w:r>
                        </w:p>
                      </w:txbxContent>
                    </wps:txbx>
                    <wps:bodyPr wrap="square" lIns="0" tIns="0" rIns="0" bIns="0" rtlCol="0">
                      <a:noAutofit/>
                    </wps:bodyPr>
                  </wps:wsp>
                </a:graphicData>
              </a:graphic>
            </wp:anchor>
          </w:drawing>
        </mc:Choice>
        <mc:Fallback>
          <w:pict>
            <v:shape style="position:absolute;margin-left:243.923004pt;margin-top:812.112854pt;width:62.4pt;height:13.15pt;mso-position-horizontal-relative:page;mso-position-vertical-relative:page;z-index:-28748800" type="#_x0000_t202" id="docshape1521" filled="false" stroked="false">
              <v:textbox inset="0,0,0,0">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1</w:t>
                    </w:r>
                    <w:r>
                      <w:rPr>
                        <w:sz w:val="20"/>
                      </w:rPr>
                      <w:fldChar w:fldCharType="end"/>
                    </w:r>
                    <w:r>
                      <w:rPr>
                        <w:spacing w:val="-5"/>
                        <w:sz w:val="20"/>
                      </w:rPr>
                      <w:t> </w:t>
                    </w:r>
                    <w:r>
                      <w:rPr>
                        <w:sz w:val="20"/>
                      </w:rPr>
                      <w:t>de</w:t>
                    </w:r>
                    <w:r>
                      <w:rPr>
                        <w:spacing w:val="-23"/>
                        <w:sz w:val="20"/>
                      </w:rPr>
                      <w:t> </w:t>
                    </w:r>
                    <w:r>
                      <w:rPr>
                        <w:spacing w:val="-10"/>
                        <w:sz w:val="20"/>
                      </w:rPr>
                      <w:t>4</w:t>
                    </w:r>
                  </w:p>
                </w:txbxContent>
              </v:textbox>
              <w10:wrap type="none"/>
            </v:shape>
          </w:pict>
        </mc:Fallback>
      </mc:AlternateContent>
    </w:r>
  </w:p>
</w:ftr>
</file>

<file path=word/footer10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568192">
              <wp:simplePos x="0" y="0"/>
              <wp:positionH relativeFrom="page">
                <wp:posOffset>19811</wp:posOffset>
              </wp:positionH>
              <wp:positionV relativeFrom="page">
                <wp:posOffset>10212323</wp:posOffset>
              </wp:positionV>
              <wp:extent cx="7522845" cy="1270"/>
              <wp:effectExtent l="0" t="0" r="0" b="0"/>
              <wp:wrapNone/>
              <wp:docPr id="2120" name="Graphic 2120"/>
              <wp:cNvGraphicFramePr>
                <a:graphicFrameLocks/>
              </wp:cNvGraphicFramePr>
              <a:graphic>
                <a:graphicData uri="http://schemas.microsoft.com/office/word/2010/wordprocessingShape">
                  <wps:wsp>
                    <wps:cNvPr id="2120" name="Graphic 2120"/>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48288"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68704">
              <wp:simplePos x="0" y="0"/>
              <wp:positionH relativeFrom="page">
                <wp:posOffset>3097822</wp:posOffset>
              </wp:positionH>
              <wp:positionV relativeFrom="page">
                <wp:posOffset>10313833</wp:posOffset>
              </wp:positionV>
              <wp:extent cx="792480" cy="167005"/>
              <wp:effectExtent l="0" t="0" r="0" b="0"/>
              <wp:wrapNone/>
              <wp:docPr id="2121" name="Textbox 2121"/>
              <wp:cNvGraphicFramePr>
                <a:graphicFrameLocks/>
              </wp:cNvGraphicFramePr>
              <a:graphic>
                <a:graphicData uri="http://schemas.microsoft.com/office/word/2010/wordprocessingShape">
                  <wps:wsp>
                    <wps:cNvPr id="2121" name="Textbox 2121"/>
                    <wps:cNvSpPr txBox="1"/>
                    <wps:spPr>
                      <a:xfrm>
                        <a:off x="0" y="0"/>
                        <a:ext cx="7924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2</w:t>
                          </w:r>
                          <w:r>
                            <w:rPr>
                              <w:sz w:val="20"/>
                            </w:rPr>
                            <w:fldChar w:fldCharType="end"/>
                          </w:r>
                          <w:r>
                            <w:rPr>
                              <w:spacing w:val="-5"/>
                              <w:sz w:val="20"/>
                            </w:rPr>
                            <w:t> </w:t>
                          </w:r>
                          <w:r>
                            <w:rPr>
                              <w:sz w:val="20"/>
                            </w:rPr>
                            <w:t>de</w:t>
                          </w:r>
                          <w:r>
                            <w:rPr>
                              <w:spacing w:val="-23"/>
                              <w:sz w:val="20"/>
                            </w:rPr>
                            <w:t> </w:t>
                          </w:r>
                          <w:r>
                            <w:rPr>
                              <w:spacing w:val="-10"/>
                              <w:sz w:val="20"/>
                            </w:rPr>
                            <w:t>4</w:t>
                          </w:r>
                        </w:p>
                      </w:txbxContent>
                    </wps:txbx>
                    <wps:bodyPr wrap="square" lIns="0" tIns="0" rIns="0" bIns="0" rtlCol="0">
                      <a:noAutofit/>
                    </wps:bodyPr>
                  </wps:wsp>
                </a:graphicData>
              </a:graphic>
            </wp:anchor>
          </w:drawing>
        </mc:Choice>
        <mc:Fallback>
          <w:pict>
            <v:shape style="position:absolute;margin-left:243.923004pt;margin-top:812.112854pt;width:62.4pt;height:13.15pt;mso-position-horizontal-relative:page;mso-position-vertical-relative:page;z-index:-28747776" type="#_x0000_t202" id="docshape1522" filled="false" stroked="false">
              <v:textbox inset="0,0,0,0">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2</w:t>
                    </w:r>
                    <w:r>
                      <w:rPr>
                        <w:sz w:val="20"/>
                      </w:rPr>
                      <w:fldChar w:fldCharType="end"/>
                    </w:r>
                    <w:r>
                      <w:rPr>
                        <w:spacing w:val="-5"/>
                        <w:sz w:val="20"/>
                      </w:rPr>
                      <w:t> </w:t>
                    </w:r>
                    <w:r>
                      <w:rPr>
                        <w:sz w:val="20"/>
                      </w:rPr>
                      <w:t>de</w:t>
                    </w:r>
                    <w:r>
                      <w:rPr>
                        <w:spacing w:val="-23"/>
                        <w:sz w:val="20"/>
                      </w:rPr>
                      <w:t> </w:t>
                    </w:r>
                    <w:r>
                      <w:rPr>
                        <w:spacing w:val="-10"/>
                        <w:sz w:val="20"/>
                      </w:rPr>
                      <w:t>4</w:t>
                    </w:r>
                  </w:p>
                </w:txbxContent>
              </v:textbox>
              <w10:wrap type="none"/>
            </v:shape>
          </w:pict>
        </mc:Fallback>
      </mc:AlternateContent>
    </w:r>
  </w:p>
</w:ftr>
</file>

<file path=word/footer10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0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0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572288">
              <wp:simplePos x="0" y="0"/>
              <wp:positionH relativeFrom="page">
                <wp:posOffset>19811</wp:posOffset>
              </wp:positionH>
              <wp:positionV relativeFrom="page">
                <wp:posOffset>10212323</wp:posOffset>
              </wp:positionV>
              <wp:extent cx="7522845" cy="1270"/>
              <wp:effectExtent l="0" t="0" r="0" b="0"/>
              <wp:wrapNone/>
              <wp:docPr id="2156" name="Graphic 2156"/>
              <wp:cNvGraphicFramePr>
                <a:graphicFrameLocks/>
              </wp:cNvGraphicFramePr>
              <a:graphic>
                <a:graphicData uri="http://schemas.microsoft.com/office/word/2010/wordprocessingShape">
                  <wps:wsp>
                    <wps:cNvPr id="2156" name="Graphic 2156"/>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44192"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72800">
              <wp:simplePos x="0" y="0"/>
              <wp:positionH relativeFrom="page">
                <wp:posOffset>3097822</wp:posOffset>
              </wp:positionH>
              <wp:positionV relativeFrom="page">
                <wp:posOffset>10313833</wp:posOffset>
              </wp:positionV>
              <wp:extent cx="792480" cy="167005"/>
              <wp:effectExtent l="0" t="0" r="0" b="0"/>
              <wp:wrapNone/>
              <wp:docPr id="2157" name="Textbox 2157"/>
              <wp:cNvGraphicFramePr>
                <a:graphicFrameLocks/>
              </wp:cNvGraphicFramePr>
              <a:graphic>
                <a:graphicData uri="http://schemas.microsoft.com/office/word/2010/wordprocessingShape">
                  <wps:wsp>
                    <wps:cNvPr id="2157" name="Textbox 2157"/>
                    <wps:cNvSpPr txBox="1"/>
                    <wps:spPr>
                      <a:xfrm>
                        <a:off x="0" y="0"/>
                        <a:ext cx="7924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1</w:t>
                          </w:r>
                          <w:r>
                            <w:rPr>
                              <w:sz w:val="20"/>
                            </w:rPr>
                            <w:fldChar w:fldCharType="end"/>
                          </w:r>
                          <w:r>
                            <w:rPr>
                              <w:spacing w:val="-5"/>
                              <w:sz w:val="20"/>
                            </w:rPr>
                            <w:t> </w:t>
                          </w:r>
                          <w:r>
                            <w:rPr>
                              <w:sz w:val="20"/>
                            </w:rPr>
                            <w:t>de</w:t>
                          </w:r>
                          <w:r>
                            <w:rPr>
                              <w:spacing w:val="-23"/>
                              <w:sz w:val="20"/>
                            </w:rPr>
                            <w:t> </w:t>
                          </w:r>
                          <w:r>
                            <w:rPr>
                              <w:spacing w:val="-10"/>
                              <w:sz w:val="20"/>
                            </w:rPr>
                            <w:t>5</w:t>
                          </w:r>
                        </w:p>
                      </w:txbxContent>
                    </wps:txbx>
                    <wps:bodyPr wrap="square" lIns="0" tIns="0" rIns="0" bIns="0" rtlCol="0">
                      <a:noAutofit/>
                    </wps:bodyPr>
                  </wps:wsp>
                </a:graphicData>
              </a:graphic>
            </wp:anchor>
          </w:drawing>
        </mc:Choice>
        <mc:Fallback>
          <w:pict>
            <v:shape style="position:absolute;margin-left:243.923004pt;margin-top:812.112854pt;width:62.4pt;height:13.15pt;mso-position-horizontal-relative:page;mso-position-vertical-relative:page;z-index:-28743680" type="#_x0000_t202" id="docshape1550" filled="false" stroked="false">
              <v:textbox inset="0,0,0,0">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1</w:t>
                    </w:r>
                    <w:r>
                      <w:rPr>
                        <w:sz w:val="20"/>
                      </w:rPr>
                      <w:fldChar w:fldCharType="end"/>
                    </w:r>
                    <w:r>
                      <w:rPr>
                        <w:spacing w:val="-5"/>
                        <w:sz w:val="20"/>
                      </w:rPr>
                      <w:t> </w:t>
                    </w:r>
                    <w:r>
                      <w:rPr>
                        <w:sz w:val="20"/>
                      </w:rPr>
                      <w:t>de</w:t>
                    </w:r>
                    <w:r>
                      <w:rPr>
                        <w:spacing w:val="-23"/>
                        <w:sz w:val="20"/>
                      </w:rPr>
                      <w:t> </w:t>
                    </w:r>
                    <w:r>
                      <w:rPr>
                        <w:spacing w:val="-10"/>
                        <w:sz w:val="20"/>
                      </w:rPr>
                      <w:t>5</w:t>
                    </w:r>
                  </w:p>
                </w:txbxContent>
              </v:textbox>
              <w10:wrap type="none"/>
            </v:shape>
          </w:pict>
        </mc:Fallback>
      </mc:AlternateContent>
    </w:r>
  </w:p>
</w:ftr>
</file>

<file path=word/footer10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573312">
              <wp:simplePos x="0" y="0"/>
              <wp:positionH relativeFrom="page">
                <wp:posOffset>19811</wp:posOffset>
              </wp:positionH>
              <wp:positionV relativeFrom="page">
                <wp:posOffset>10212323</wp:posOffset>
              </wp:positionV>
              <wp:extent cx="7522845" cy="1270"/>
              <wp:effectExtent l="0" t="0" r="0" b="0"/>
              <wp:wrapNone/>
              <wp:docPr id="2158" name="Graphic 2158"/>
              <wp:cNvGraphicFramePr>
                <a:graphicFrameLocks/>
              </wp:cNvGraphicFramePr>
              <a:graphic>
                <a:graphicData uri="http://schemas.microsoft.com/office/word/2010/wordprocessingShape">
                  <wps:wsp>
                    <wps:cNvPr id="2158" name="Graphic 2158"/>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43168"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73824">
              <wp:simplePos x="0" y="0"/>
              <wp:positionH relativeFrom="page">
                <wp:posOffset>3097822</wp:posOffset>
              </wp:positionH>
              <wp:positionV relativeFrom="page">
                <wp:posOffset>10313833</wp:posOffset>
              </wp:positionV>
              <wp:extent cx="792480" cy="167005"/>
              <wp:effectExtent l="0" t="0" r="0" b="0"/>
              <wp:wrapNone/>
              <wp:docPr id="2159" name="Textbox 2159"/>
              <wp:cNvGraphicFramePr>
                <a:graphicFrameLocks/>
              </wp:cNvGraphicFramePr>
              <a:graphic>
                <a:graphicData uri="http://schemas.microsoft.com/office/word/2010/wordprocessingShape">
                  <wps:wsp>
                    <wps:cNvPr id="2159" name="Textbox 2159"/>
                    <wps:cNvSpPr txBox="1"/>
                    <wps:spPr>
                      <a:xfrm>
                        <a:off x="0" y="0"/>
                        <a:ext cx="7924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2</w:t>
                          </w:r>
                          <w:r>
                            <w:rPr>
                              <w:sz w:val="20"/>
                            </w:rPr>
                            <w:fldChar w:fldCharType="end"/>
                          </w:r>
                          <w:r>
                            <w:rPr>
                              <w:spacing w:val="-5"/>
                              <w:sz w:val="20"/>
                            </w:rPr>
                            <w:t> </w:t>
                          </w:r>
                          <w:r>
                            <w:rPr>
                              <w:sz w:val="20"/>
                            </w:rPr>
                            <w:t>de</w:t>
                          </w:r>
                          <w:r>
                            <w:rPr>
                              <w:spacing w:val="-23"/>
                              <w:sz w:val="20"/>
                            </w:rPr>
                            <w:t> </w:t>
                          </w:r>
                          <w:r>
                            <w:rPr>
                              <w:spacing w:val="-10"/>
                              <w:sz w:val="20"/>
                            </w:rPr>
                            <w:t>5</w:t>
                          </w:r>
                        </w:p>
                      </w:txbxContent>
                    </wps:txbx>
                    <wps:bodyPr wrap="square" lIns="0" tIns="0" rIns="0" bIns="0" rtlCol="0">
                      <a:noAutofit/>
                    </wps:bodyPr>
                  </wps:wsp>
                </a:graphicData>
              </a:graphic>
            </wp:anchor>
          </w:drawing>
        </mc:Choice>
        <mc:Fallback>
          <w:pict>
            <v:shape style="position:absolute;margin-left:243.923004pt;margin-top:812.112854pt;width:62.4pt;height:13.15pt;mso-position-horizontal-relative:page;mso-position-vertical-relative:page;z-index:-28742656" type="#_x0000_t202" id="docshape1551" filled="false" stroked="false">
              <v:textbox inset="0,0,0,0">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2</w:t>
                    </w:r>
                    <w:r>
                      <w:rPr>
                        <w:sz w:val="20"/>
                      </w:rPr>
                      <w:fldChar w:fldCharType="end"/>
                    </w:r>
                    <w:r>
                      <w:rPr>
                        <w:spacing w:val="-5"/>
                        <w:sz w:val="20"/>
                      </w:rPr>
                      <w:t> </w:t>
                    </w:r>
                    <w:r>
                      <w:rPr>
                        <w:sz w:val="20"/>
                      </w:rPr>
                      <w:t>de</w:t>
                    </w:r>
                    <w:r>
                      <w:rPr>
                        <w:spacing w:val="-23"/>
                        <w:sz w:val="20"/>
                      </w:rPr>
                      <w:t> </w:t>
                    </w:r>
                    <w:r>
                      <w:rPr>
                        <w:spacing w:val="-10"/>
                        <w:sz w:val="20"/>
                      </w:rPr>
                      <w:t>5</w:t>
                    </w:r>
                  </w:p>
                </w:txbxContent>
              </v:textbox>
              <w10:wrap type="none"/>
            </v:shape>
          </w:pict>
        </mc:Fallback>
      </mc:AlternateContent>
    </w:r>
  </w:p>
</w:ftr>
</file>

<file path=word/footer10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0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0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577408">
              <wp:simplePos x="0" y="0"/>
              <wp:positionH relativeFrom="page">
                <wp:posOffset>19811</wp:posOffset>
              </wp:positionH>
              <wp:positionV relativeFrom="page">
                <wp:posOffset>10212323</wp:posOffset>
              </wp:positionV>
              <wp:extent cx="7522845" cy="1270"/>
              <wp:effectExtent l="0" t="0" r="0" b="0"/>
              <wp:wrapNone/>
              <wp:docPr id="2197" name="Graphic 2197"/>
              <wp:cNvGraphicFramePr>
                <a:graphicFrameLocks/>
              </wp:cNvGraphicFramePr>
              <a:graphic>
                <a:graphicData uri="http://schemas.microsoft.com/office/word/2010/wordprocessingShape">
                  <wps:wsp>
                    <wps:cNvPr id="2197" name="Graphic 2197"/>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39072"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77920">
              <wp:simplePos x="0" y="0"/>
              <wp:positionH relativeFrom="page">
                <wp:posOffset>3097822</wp:posOffset>
              </wp:positionH>
              <wp:positionV relativeFrom="page">
                <wp:posOffset>10313833</wp:posOffset>
              </wp:positionV>
              <wp:extent cx="862965" cy="167005"/>
              <wp:effectExtent l="0" t="0" r="0" b="0"/>
              <wp:wrapNone/>
              <wp:docPr id="2198" name="Textbox 2198"/>
              <wp:cNvGraphicFramePr>
                <a:graphicFrameLocks/>
              </wp:cNvGraphicFramePr>
              <a:graphic>
                <a:graphicData uri="http://schemas.microsoft.com/office/word/2010/wordprocessingShape">
                  <wps:wsp>
                    <wps:cNvPr id="2198" name="Textbox 2198"/>
                    <wps:cNvSpPr txBox="1"/>
                    <wps:spPr>
                      <a:xfrm>
                        <a:off x="0" y="0"/>
                        <a:ext cx="862965"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1</w:t>
                          </w:r>
                          <w:r>
                            <w:rPr>
                              <w:sz w:val="20"/>
                            </w:rPr>
                            <w:fldChar w:fldCharType="end"/>
                          </w:r>
                          <w:r>
                            <w:rPr>
                              <w:spacing w:val="-5"/>
                              <w:sz w:val="20"/>
                            </w:rPr>
                            <w:t> </w:t>
                          </w:r>
                          <w:r>
                            <w:rPr>
                              <w:sz w:val="20"/>
                            </w:rPr>
                            <w:t>de</w:t>
                          </w:r>
                          <w:r>
                            <w:rPr>
                              <w:spacing w:val="-23"/>
                              <w:sz w:val="20"/>
                            </w:rPr>
                            <w:t> </w:t>
                          </w:r>
                          <w:r>
                            <w:rPr>
                              <w:spacing w:val="-5"/>
                              <w:sz w:val="20"/>
                            </w:rPr>
                            <w:t>10</w:t>
                          </w:r>
                        </w:p>
                      </w:txbxContent>
                    </wps:txbx>
                    <wps:bodyPr wrap="square" lIns="0" tIns="0" rIns="0" bIns="0" rtlCol="0">
                      <a:noAutofit/>
                    </wps:bodyPr>
                  </wps:wsp>
                </a:graphicData>
              </a:graphic>
            </wp:anchor>
          </w:drawing>
        </mc:Choice>
        <mc:Fallback>
          <w:pict>
            <v:shape style="position:absolute;margin-left:243.923004pt;margin-top:812.112854pt;width:67.95pt;height:13.15pt;mso-position-horizontal-relative:page;mso-position-vertical-relative:page;z-index:-28738560" type="#_x0000_t202" id="docshape1582" filled="false" stroked="false">
              <v:textbox inset="0,0,0,0">
                <w:txbxContent>
                  <w:p>
                    <w:pPr>
                      <w:spacing w:before="12"/>
                      <w:ind w:left="20" w:right="0" w:firstLine="0"/>
                      <w:jc w:val="left"/>
                      <w:rPr>
                        <w:sz w:val="20"/>
                      </w:rPr>
                    </w:pPr>
                    <w:r>
                      <w:rPr>
                        <w:sz w:val="20"/>
                      </w:rPr>
                      <w:t>Página</w:t>
                    </w:r>
                    <w:r>
                      <w:rPr>
                        <w:spacing w:val="-10"/>
                        <w:sz w:val="20"/>
                      </w:rPr>
                      <w:t> </w:t>
                    </w:r>
                    <w:r>
                      <w:rPr>
                        <w:sz w:val="20"/>
                      </w:rPr>
                      <w:fldChar w:fldCharType="begin"/>
                    </w:r>
                    <w:r>
                      <w:rPr>
                        <w:sz w:val="20"/>
                      </w:rPr>
                      <w:instrText> PAGE </w:instrText>
                    </w:r>
                    <w:r>
                      <w:rPr>
                        <w:sz w:val="20"/>
                      </w:rPr>
                      <w:fldChar w:fldCharType="separate"/>
                    </w:r>
                    <w:r>
                      <w:rPr>
                        <w:sz w:val="20"/>
                      </w:rPr>
                      <w:t>1</w:t>
                    </w:r>
                    <w:r>
                      <w:rPr>
                        <w:sz w:val="20"/>
                      </w:rPr>
                      <w:fldChar w:fldCharType="end"/>
                    </w:r>
                    <w:r>
                      <w:rPr>
                        <w:spacing w:val="-5"/>
                        <w:sz w:val="20"/>
                      </w:rPr>
                      <w:t> </w:t>
                    </w:r>
                    <w:r>
                      <w:rPr>
                        <w:sz w:val="20"/>
                      </w:rPr>
                      <w:t>de</w:t>
                    </w:r>
                    <w:r>
                      <w:rPr>
                        <w:spacing w:val="-23"/>
                        <w:sz w:val="20"/>
                      </w:rPr>
                      <w:t> </w:t>
                    </w:r>
                    <w:r>
                      <w:rPr>
                        <w:spacing w:val="-5"/>
                        <w:sz w:val="20"/>
                      </w:rPr>
                      <w:t>10</w:t>
                    </w:r>
                  </w:p>
                </w:txbxContent>
              </v:textbox>
              <w10:wrap type="none"/>
            </v:shape>
          </w:pict>
        </mc:Fallback>
      </mc:AlternateContent>
    </w:r>
  </w:p>
</w:ftr>
</file>

<file path=word/footer1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578432">
              <wp:simplePos x="0" y="0"/>
              <wp:positionH relativeFrom="page">
                <wp:posOffset>19811</wp:posOffset>
              </wp:positionH>
              <wp:positionV relativeFrom="page">
                <wp:posOffset>10212323</wp:posOffset>
              </wp:positionV>
              <wp:extent cx="7522845" cy="1270"/>
              <wp:effectExtent l="0" t="0" r="0" b="0"/>
              <wp:wrapNone/>
              <wp:docPr id="2199" name="Graphic 2199"/>
              <wp:cNvGraphicFramePr>
                <a:graphicFrameLocks/>
              </wp:cNvGraphicFramePr>
              <a:graphic>
                <a:graphicData uri="http://schemas.microsoft.com/office/word/2010/wordprocessingShape">
                  <wps:wsp>
                    <wps:cNvPr id="2199" name="Graphic 2199"/>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38048"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78944">
              <wp:simplePos x="0" y="0"/>
              <wp:positionH relativeFrom="page">
                <wp:posOffset>3035363</wp:posOffset>
              </wp:positionH>
              <wp:positionV relativeFrom="page">
                <wp:posOffset>10313833</wp:posOffset>
              </wp:positionV>
              <wp:extent cx="925194" cy="167005"/>
              <wp:effectExtent l="0" t="0" r="0" b="0"/>
              <wp:wrapNone/>
              <wp:docPr id="2200" name="Textbox 2200"/>
              <wp:cNvGraphicFramePr>
                <a:graphicFrameLocks/>
              </wp:cNvGraphicFramePr>
              <a:graphic>
                <a:graphicData uri="http://schemas.microsoft.com/office/word/2010/wordprocessingShape">
                  <wps:wsp>
                    <wps:cNvPr id="2200" name="Textbox 2200"/>
                    <wps:cNvSpPr txBox="1"/>
                    <wps:spPr>
                      <a:xfrm>
                        <a:off x="0" y="0"/>
                        <a:ext cx="925194" cy="167005"/>
                      </a:xfrm>
                      <a:prstGeom prst="rect">
                        <a:avLst/>
                      </a:prstGeom>
                    </wps:spPr>
                    <wps:txbx>
                      <w:txbxContent>
                        <w:p>
                          <w:pPr>
                            <w:spacing w:before="12"/>
                            <w:ind w:left="20" w:right="0" w:firstLine="0"/>
                            <w:jc w:val="left"/>
                            <w:rPr>
                              <w:sz w:val="20"/>
                            </w:rPr>
                          </w:pPr>
                          <w:r>
                            <w:rPr>
                              <w:sz w:val="20"/>
                            </w:rPr>
                            <w:t>Página</w:t>
                          </w:r>
                          <w:r>
                            <w:rPr>
                              <w:spacing w:val="-11"/>
                              <w:sz w:val="20"/>
                            </w:rPr>
                            <w:t> </w:t>
                          </w:r>
                          <w:r>
                            <w:rPr>
                              <w:sz w:val="20"/>
                            </w:rPr>
                            <w:fldChar w:fldCharType="begin"/>
                          </w:r>
                          <w:r>
                            <w:rPr>
                              <w:sz w:val="20"/>
                            </w:rPr>
                            <w:instrText> PAGE </w:instrText>
                          </w:r>
                          <w:r>
                            <w:rPr>
                              <w:sz w:val="20"/>
                            </w:rPr>
                            <w:fldChar w:fldCharType="separate"/>
                          </w:r>
                          <w:r>
                            <w:rPr>
                              <w:sz w:val="20"/>
                            </w:rPr>
                            <w:t>10</w:t>
                          </w:r>
                          <w:r>
                            <w:rPr>
                              <w:sz w:val="20"/>
                            </w:rPr>
                            <w:fldChar w:fldCharType="end"/>
                          </w:r>
                          <w:r>
                            <w:rPr>
                              <w:spacing w:val="-8"/>
                              <w:sz w:val="20"/>
                            </w:rPr>
                            <w:t> </w:t>
                          </w:r>
                          <w:r>
                            <w:rPr>
                              <w:sz w:val="20"/>
                            </w:rPr>
                            <w:t>de</w:t>
                          </w:r>
                          <w:r>
                            <w:rPr>
                              <w:spacing w:val="-34"/>
                              <w:sz w:val="20"/>
                            </w:rPr>
                            <w:t> </w:t>
                          </w:r>
                          <w:r>
                            <w:rPr>
                              <w:spacing w:val="-5"/>
                              <w:sz w:val="20"/>
                            </w:rPr>
                            <w:t>10</w:t>
                          </w:r>
                        </w:p>
                      </w:txbxContent>
                    </wps:txbx>
                    <wps:bodyPr wrap="square" lIns="0" tIns="0" rIns="0" bIns="0" rtlCol="0">
                      <a:noAutofit/>
                    </wps:bodyPr>
                  </wps:wsp>
                </a:graphicData>
              </a:graphic>
            </wp:anchor>
          </w:drawing>
        </mc:Choice>
        <mc:Fallback>
          <w:pict>
            <v:shape style="position:absolute;margin-left:239.005005pt;margin-top:812.112854pt;width:72.850pt;height:13.15pt;mso-position-horizontal-relative:page;mso-position-vertical-relative:page;z-index:-28737536" type="#_x0000_t202" id="docshape1583" filled="false" stroked="false">
              <v:textbox inset="0,0,0,0">
                <w:txbxContent>
                  <w:p>
                    <w:pPr>
                      <w:spacing w:before="12"/>
                      <w:ind w:left="20" w:right="0" w:firstLine="0"/>
                      <w:jc w:val="left"/>
                      <w:rPr>
                        <w:sz w:val="20"/>
                      </w:rPr>
                    </w:pPr>
                    <w:r>
                      <w:rPr>
                        <w:sz w:val="20"/>
                      </w:rPr>
                      <w:t>Página</w:t>
                    </w:r>
                    <w:r>
                      <w:rPr>
                        <w:spacing w:val="-11"/>
                        <w:sz w:val="20"/>
                      </w:rPr>
                      <w:t> </w:t>
                    </w:r>
                    <w:r>
                      <w:rPr>
                        <w:sz w:val="20"/>
                      </w:rPr>
                      <w:fldChar w:fldCharType="begin"/>
                    </w:r>
                    <w:r>
                      <w:rPr>
                        <w:sz w:val="20"/>
                      </w:rPr>
                      <w:instrText> PAGE </w:instrText>
                    </w:r>
                    <w:r>
                      <w:rPr>
                        <w:sz w:val="20"/>
                      </w:rPr>
                      <w:fldChar w:fldCharType="separate"/>
                    </w:r>
                    <w:r>
                      <w:rPr>
                        <w:sz w:val="20"/>
                      </w:rPr>
                      <w:t>10</w:t>
                    </w:r>
                    <w:r>
                      <w:rPr>
                        <w:sz w:val="20"/>
                      </w:rPr>
                      <w:fldChar w:fldCharType="end"/>
                    </w:r>
                    <w:r>
                      <w:rPr>
                        <w:spacing w:val="-8"/>
                        <w:sz w:val="20"/>
                      </w:rPr>
                      <w:t> </w:t>
                    </w:r>
                    <w:r>
                      <w:rPr>
                        <w:sz w:val="20"/>
                      </w:rPr>
                      <w:t>de</w:t>
                    </w:r>
                    <w:r>
                      <w:rPr>
                        <w:spacing w:val="-34"/>
                        <w:sz w:val="20"/>
                      </w:rPr>
                      <w:t> </w:t>
                    </w:r>
                    <w:r>
                      <w:rPr>
                        <w:spacing w:val="-5"/>
                        <w:sz w:val="20"/>
                      </w:rPr>
                      <w:t>10</w:t>
                    </w:r>
                  </w:p>
                </w:txbxContent>
              </v:textbox>
              <w10:wrap type="none"/>
            </v:shape>
          </w:pict>
        </mc:Fallback>
      </mc:AlternateContent>
    </w: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81984">
              <wp:simplePos x="0" y="0"/>
              <wp:positionH relativeFrom="page">
                <wp:posOffset>701344</wp:posOffset>
              </wp:positionH>
              <wp:positionV relativeFrom="page">
                <wp:posOffset>10080955</wp:posOffset>
              </wp:positionV>
              <wp:extent cx="6158230" cy="6350"/>
              <wp:effectExtent l="0" t="0" r="0" b="0"/>
              <wp:wrapNone/>
              <wp:docPr id="240" name="Graphic 240"/>
              <wp:cNvGraphicFramePr>
                <a:graphicFrameLocks/>
              </wp:cNvGraphicFramePr>
              <a:graphic>
                <a:graphicData uri="http://schemas.microsoft.com/office/word/2010/wordprocessingShape">
                  <wps:wsp>
                    <wps:cNvPr id="240" name="Graphic 240"/>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34496" id="docshape215"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82496">
              <wp:simplePos x="0" y="0"/>
              <wp:positionH relativeFrom="page">
                <wp:posOffset>706932</wp:posOffset>
              </wp:positionH>
              <wp:positionV relativeFrom="page">
                <wp:posOffset>10113284</wp:posOffset>
              </wp:positionV>
              <wp:extent cx="5570855" cy="139700"/>
              <wp:effectExtent l="0" t="0" r="0" b="0"/>
              <wp:wrapNone/>
              <wp:docPr id="241" name="Textbox 241"/>
              <wp:cNvGraphicFramePr>
                <a:graphicFrameLocks/>
              </wp:cNvGraphicFramePr>
              <a:graphic>
                <a:graphicData uri="http://schemas.microsoft.com/office/word/2010/wordprocessingShape">
                  <wps:wsp>
                    <wps:cNvPr id="241" name="Textbox 241"/>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33984" type="#_x0000_t202" id="docshape21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83008">
              <wp:simplePos x="0" y="0"/>
              <wp:positionH relativeFrom="page">
                <wp:posOffset>6612635</wp:posOffset>
              </wp:positionH>
              <wp:positionV relativeFrom="page">
                <wp:posOffset>10102246</wp:posOffset>
              </wp:positionV>
              <wp:extent cx="281305" cy="153670"/>
              <wp:effectExtent l="0" t="0" r="0" b="0"/>
              <wp:wrapNone/>
              <wp:docPr id="242" name="Textbox 242"/>
              <wp:cNvGraphicFramePr>
                <a:graphicFrameLocks/>
              </wp:cNvGraphicFramePr>
              <a:graphic>
                <a:graphicData uri="http://schemas.microsoft.com/office/word/2010/wordprocessingShape">
                  <wps:wsp>
                    <wps:cNvPr id="242" name="Textbox 242"/>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105</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33472" type="#_x0000_t202" id="docshape217"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105</w:t>
                    </w:r>
                    <w:r>
                      <w:rPr>
                        <w:spacing w:val="-5"/>
                        <w:sz w:val="18"/>
                      </w:rPr>
                      <w:fldChar w:fldCharType="end"/>
                    </w:r>
                  </w:p>
                </w:txbxContent>
              </v:textbox>
              <w10:wrap type="none"/>
            </v:shape>
          </w:pict>
        </mc:Fallback>
      </mc:AlternateContent>
    </w: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85568">
              <wp:simplePos x="0" y="0"/>
              <wp:positionH relativeFrom="page">
                <wp:posOffset>701344</wp:posOffset>
              </wp:positionH>
              <wp:positionV relativeFrom="page">
                <wp:posOffset>10080955</wp:posOffset>
              </wp:positionV>
              <wp:extent cx="6158230" cy="6350"/>
              <wp:effectExtent l="0" t="0" r="0" b="0"/>
              <wp:wrapNone/>
              <wp:docPr id="248" name="Graphic 248"/>
              <wp:cNvGraphicFramePr>
                <a:graphicFrameLocks/>
              </wp:cNvGraphicFramePr>
              <a:graphic>
                <a:graphicData uri="http://schemas.microsoft.com/office/word/2010/wordprocessingShape">
                  <wps:wsp>
                    <wps:cNvPr id="248" name="Graphic 248"/>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30912" id="docshape22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86080">
              <wp:simplePos x="0" y="0"/>
              <wp:positionH relativeFrom="page">
                <wp:posOffset>706932</wp:posOffset>
              </wp:positionH>
              <wp:positionV relativeFrom="page">
                <wp:posOffset>10113284</wp:posOffset>
              </wp:positionV>
              <wp:extent cx="5570855" cy="139700"/>
              <wp:effectExtent l="0" t="0" r="0" b="0"/>
              <wp:wrapNone/>
              <wp:docPr id="249" name="Textbox 249"/>
              <wp:cNvGraphicFramePr>
                <a:graphicFrameLocks/>
              </wp:cNvGraphicFramePr>
              <a:graphic>
                <a:graphicData uri="http://schemas.microsoft.com/office/word/2010/wordprocessingShape">
                  <wps:wsp>
                    <wps:cNvPr id="249" name="Textbox 249"/>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30400" type="#_x0000_t202" id="docshape222"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86592">
              <wp:simplePos x="0" y="0"/>
              <wp:positionH relativeFrom="page">
                <wp:posOffset>6612635</wp:posOffset>
              </wp:positionH>
              <wp:positionV relativeFrom="page">
                <wp:posOffset>10102246</wp:posOffset>
              </wp:positionV>
              <wp:extent cx="281305" cy="153670"/>
              <wp:effectExtent l="0" t="0" r="0" b="0"/>
              <wp:wrapNone/>
              <wp:docPr id="250" name="Textbox 250"/>
              <wp:cNvGraphicFramePr>
                <a:graphicFrameLocks/>
              </wp:cNvGraphicFramePr>
              <a:graphic>
                <a:graphicData uri="http://schemas.microsoft.com/office/word/2010/wordprocessingShape">
                  <wps:wsp>
                    <wps:cNvPr id="250" name="Textbox 250"/>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107</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29888" type="#_x0000_t202" id="docshape223"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107</w:t>
                    </w:r>
                    <w:r>
                      <w:rPr>
                        <w:spacing w:val="-5"/>
                        <w:sz w:val="18"/>
                      </w:rPr>
                      <w:fldChar w:fldCharType="end"/>
                    </w:r>
                  </w:p>
                </w:txbxContent>
              </v:textbox>
              <w10:wrap type="none"/>
            </v:shape>
          </w:pict>
        </mc:Fallback>
      </mc:AlternateContent>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87104">
              <wp:simplePos x="0" y="0"/>
              <wp:positionH relativeFrom="page">
                <wp:posOffset>701344</wp:posOffset>
              </wp:positionH>
              <wp:positionV relativeFrom="page">
                <wp:posOffset>10080955</wp:posOffset>
              </wp:positionV>
              <wp:extent cx="6158230" cy="6350"/>
              <wp:effectExtent l="0" t="0" r="0" b="0"/>
              <wp:wrapNone/>
              <wp:docPr id="251" name="Graphic 251"/>
              <wp:cNvGraphicFramePr>
                <a:graphicFrameLocks/>
              </wp:cNvGraphicFramePr>
              <a:graphic>
                <a:graphicData uri="http://schemas.microsoft.com/office/word/2010/wordprocessingShape">
                  <wps:wsp>
                    <wps:cNvPr id="251" name="Graphic 251"/>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29376" id="docshape224"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87616">
              <wp:simplePos x="0" y="0"/>
              <wp:positionH relativeFrom="page">
                <wp:posOffset>706932</wp:posOffset>
              </wp:positionH>
              <wp:positionV relativeFrom="page">
                <wp:posOffset>10113284</wp:posOffset>
              </wp:positionV>
              <wp:extent cx="5570855" cy="139700"/>
              <wp:effectExtent l="0" t="0" r="0" b="0"/>
              <wp:wrapNone/>
              <wp:docPr id="252" name="Textbox 252"/>
              <wp:cNvGraphicFramePr>
                <a:graphicFrameLocks/>
              </wp:cNvGraphicFramePr>
              <a:graphic>
                <a:graphicData uri="http://schemas.microsoft.com/office/word/2010/wordprocessingShape">
                  <wps:wsp>
                    <wps:cNvPr id="252" name="Textbox 252"/>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28864" type="#_x0000_t202" id="docshape225"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88128">
              <wp:simplePos x="0" y="0"/>
              <wp:positionH relativeFrom="page">
                <wp:posOffset>6612635</wp:posOffset>
              </wp:positionH>
              <wp:positionV relativeFrom="page">
                <wp:posOffset>10102246</wp:posOffset>
              </wp:positionV>
              <wp:extent cx="281305" cy="153670"/>
              <wp:effectExtent l="0" t="0" r="0" b="0"/>
              <wp:wrapNone/>
              <wp:docPr id="253" name="Textbox 253"/>
              <wp:cNvGraphicFramePr>
                <a:graphicFrameLocks/>
              </wp:cNvGraphicFramePr>
              <a:graphic>
                <a:graphicData uri="http://schemas.microsoft.com/office/word/2010/wordprocessingShape">
                  <wps:wsp>
                    <wps:cNvPr id="253" name="Textbox 253"/>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108</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28352" type="#_x0000_t202" id="docshape226"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108</w:t>
                    </w:r>
                    <w:r>
                      <w:rPr>
                        <w:spacing w:val="-5"/>
                        <w:sz w:val="18"/>
                      </w:rPr>
                      <w:fldChar w:fldCharType="end"/>
                    </w:r>
                  </w:p>
                </w:txbxContent>
              </v:textbox>
              <w10:wrap type="none"/>
            </v:shape>
          </w:pict>
        </mc:Fallback>
      </mc:AlternateContent>
    </w: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90688">
              <wp:simplePos x="0" y="0"/>
              <wp:positionH relativeFrom="page">
                <wp:posOffset>701344</wp:posOffset>
              </wp:positionH>
              <wp:positionV relativeFrom="page">
                <wp:posOffset>10080955</wp:posOffset>
              </wp:positionV>
              <wp:extent cx="6158230" cy="6350"/>
              <wp:effectExtent l="0" t="0" r="0" b="0"/>
              <wp:wrapNone/>
              <wp:docPr id="258" name="Graphic 258"/>
              <wp:cNvGraphicFramePr>
                <a:graphicFrameLocks/>
              </wp:cNvGraphicFramePr>
              <a:graphic>
                <a:graphicData uri="http://schemas.microsoft.com/office/word/2010/wordprocessingShape">
                  <wps:wsp>
                    <wps:cNvPr id="258" name="Graphic 258"/>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25792" id="docshape229"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91200">
              <wp:simplePos x="0" y="0"/>
              <wp:positionH relativeFrom="page">
                <wp:posOffset>706932</wp:posOffset>
              </wp:positionH>
              <wp:positionV relativeFrom="page">
                <wp:posOffset>10113284</wp:posOffset>
              </wp:positionV>
              <wp:extent cx="5570855" cy="139700"/>
              <wp:effectExtent l="0" t="0" r="0" b="0"/>
              <wp:wrapNone/>
              <wp:docPr id="259" name="Textbox 259"/>
              <wp:cNvGraphicFramePr>
                <a:graphicFrameLocks/>
              </wp:cNvGraphicFramePr>
              <a:graphic>
                <a:graphicData uri="http://schemas.microsoft.com/office/word/2010/wordprocessingShape">
                  <wps:wsp>
                    <wps:cNvPr id="259" name="Textbox 259"/>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25280" type="#_x0000_t202" id="docshape230"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91712">
              <wp:simplePos x="0" y="0"/>
              <wp:positionH relativeFrom="page">
                <wp:posOffset>6612635</wp:posOffset>
              </wp:positionH>
              <wp:positionV relativeFrom="page">
                <wp:posOffset>10102246</wp:posOffset>
              </wp:positionV>
              <wp:extent cx="281305" cy="153670"/>
              <wp:effectExtent l="0" t="0" r="0" b="0"/>
              <wp:wrapNone/>
              <wp:docPr id="260" name="Textbox 260"/>
              <wp:cNvGraphicFramePr>
                <a:graphicFrameLocks/>
              </wp:cNvGraphicFramePr>
              <a:graphic>
                <a:graphicData uri="http://schemas.microsoft.com/office/word/2010/wordprocessingShape">
                  <wps:wsp>
                    <wps:cNvPr id="260" name="Textbox 260"/>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109</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24768" type="#_x0000_t202" id="docshape231"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109</w:t>
                    </w:r>
                    <w:r>
                      <w:rPr>
                        <w:spacing w:val="-5"/>
                        <w:sz w:val="18"/>
                      </w:rPr>
                      <w:fldChar w:fldCharType="end"/>
                    </w:r>
                  </w:p>
                </w:txbxContent>
              </v:textbox>
              <w10:wrap type="none"/>
            </v:shape>
          </w:pict>
        </mc:Fallback>
      </mc:AlternateContent>
    </w: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92224">
              <wp:simplePos x="0" y="0"/>
              <wp:positionH relativeFrom="page">
                <wp:posOffset>701344</wp:posOffset>
              </wp:positionH>
              <wp:positionV relativeFrom="page">
                <wp:posOffset>10080955</wp:posOffset>
              </wp:positionV>
              <wp:extent cx="6158230" cy="6350"/>
              <wp:effectExtent l="0" t="0" r="0" b="0"/>
              <wp:wrapNone/>
              <wp:docPr id="261" name="Graphic 261"/>
              <wp:cNvGraphicFramePr>
                <a:graphicFrameLocks/>
              </wp:cNvGraphicFramePr>
              <a:graphic>
                <a:graphicData uri="http://schemas.microsoft.com/office/word/2010/wordprocessingShape">
                  <wps:wsp>
                    <wps:cNvPr id="261" name="Graphic 261"/>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24256" id="docshape232"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92736">
              <wp:simplePos x="0" y="0"/>
              <wp:positionH relativeFrom="page">
                <wp:posOffset>706932</wp:posOffset>
              </wp:positionH>
              <wp:positionV relativeFrom="page">
                <wp:posOffset>10113284</wp:posOffset>
              </wp:positionV>
              <wp:extent cx="5570855" cy="139700"/>
              <wp:effectExtent l="0" t="0" r="0" b="0"/>
              <wp:wrapNone/>
              <wp:docPr id="262" name="Textbox 262"/>
              <wp:cNvGraphicFramePr>
                <a:graphicFrameLocks/>
              </wp:cNvGraphicFramePr>
              <a:graphic>
                <a:graphicData uri="http://schemas.microsoft.com/office/word/2010/wordprocessingShape">
                  <wps:wsp>
                    <wps:cNvPr id="262" name="Textbox 262"/>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23744" type="#_x0000_t202" id="docshape233"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93248">
              <wp:simplePos x="0" y="0"/>
              <wp:positionH relativeFrom="page">
                <wp:posOffset>6612635</wp:posOffset>
              </wp:positionH>
              <wp:positionV relativeFrom="page">
                <wp:posOffset>10102246</wp:posOffset>
              </wp:positionV>
              <wp:extent cx="281305" cy="153670"/>
              <wp:effectExtent l="0" t="0" r="0" b="0"/>
              <wp:wrapNone/>
              <wp:docPr id="263" name="Textbox 263"/>
              <wp:cNvGraphicFramePr>
                <a:graphicFrameLocks/>
              </wp:cNvGraphicFramePr>
              <a:graphic>
                <a:graphicData uri="http://schemas.microsoft.com/office/word/2010/wordprocessingShape">
                  <wps:wsp>
                    <wps:cNvPr id="263" name="Textbox 263"/>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110</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23232" type="#_x0000_t202" id="docshape234"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110</w:t>
                    </w:r>
                    <w:r>
                      <w:rPr>
                        <w:spacing w:val="-5"/>
                        <w:sz w:val="18"/>
                      </w:rPr>
                      <w:fldChar w:fldCharType="end"/>
                    </w:r>
                  </w:p>
                </w:txbxContent>
              </v:textbox>
              <w10:wrap type="none"/>
            </v:shape>
          </w:pict>
        </mc:Fallback>
      </mc:AlternateContent>
    </w: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95808">
              <wp:simplePos x="0" y="0"/>
              <wp:positionH relativeFrom="page">
                <wp:posOffset>701344</wp:posOffset>
              </wp:positionH>
              <wp:positionV relativeFrom="page">
                <wp:posOffset>10080955</wp:posOffset>
              </wp:positionV>
              <wp:extent cx="6158230" cy="6350"/>
              <wp:effectExtent l="0" t="0" r="0" b="0"/>
              <wp:wrapNone/>
              <wp:docPr id="268" name="Graphic 268"/>
              <wp:cNvGraphicFramePr>
                <a:graphicFrameLocks/>
              </wp:cNvGraphicFramePr>
              <a:graphic>
                <a:graphicData uri="http://schemas.microsoft.com/office/word/2010/wordprocessingShape">
                  <wps:wsp>
                    <wps:cNvPr id="268" name="Graphic 268"/>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20672" id="docshape237"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96320">
              <wp:simplePos x="0" y="0"/>
              <wp:positionH relativeFrom="page">
                <wp:posOffset>706932</wp:posOffset>
              </wp:positionH>
              <wp:positionV relativeFrom="page">
                <wp:posOffset>10113284</wp:posOffset>
              </wp:positionV>
              <wp:extent cx="5570855" cy="139700"/>
              <wp:effectExtent l="0" t="0" r="0" b="0"/>
              <wp:wrapNone/>
              <wp:docPr id="269" name="Textbox 269"/>
              <wp:cNvGraphicFramePr>
                <a:graphicFrameLocks/>
              </wp:cNvGraphicFramePr>
              <a:graphic>
                <a:graphicData uri="http://schemas.microsoft.com/office/word/2010/wordprocessingShape">
                  <wps:wsp>
                    <wps:cNvPr id="269" name="Textbox 269"/>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20160" type="#_x0000_t202" id="docshape238"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96832">
              <wp:simplePos x="0" y="0"/>
              <wp:positionH relativeFrom="page">
                <wp:posOffset>6612635</wp:posOffset>
              </wp:positionH>
              <wp:positionV relativeFrom="page">
                <wp:posOffset>10102246</wp:posOffset>
              </wp:positionV>
              <wp:extent cx="281305" cy="153670"/>
              <wp:effectExtent l="0" t="0" r="0" b="0"/>
              <wp:wrapNone/>
              <wp:docPr id="270" name="Textbox 270"/>
              <wp:cNvGraphicFramePr>
                <a:graphicFrameLocks/>
              </wp:cNvGraphicFramePr>
              <a:graphic>
                <a:graphicData uri="http://schemas.microsoft.com/office/word/2010/wordprocessingShape">
                  <wps:wsp>
                    <wps:cNvPr id="270" name="Textbox 270"/>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111</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19648" type="#_x0000_t202" id="docshape239"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111</w:t>
                    </w:r>
                    <w:r>
                      <w:rPr>
                        <w:spacing w:val="-5"/>
                        <w:sz w:val="18"/>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69184">
              <wp:simplePos x="0" y="0"/>
              <wp:positionH relativeFrom="page">
                <wp:posOffset>701344</wp:posOffset>
              </wp:positionH>
              <wp:positionV relativeFrom="page">
                <wp:posOffset>9981895</wp:posOffset>
              </wp:positionV>
              <wp:extent cx="6158230" cy="6350"/>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85.976013pt;width:484.9pt;height:.47998pt;mso-position-horizontal-relative:page;mso-position-vertical-relative:page;z-index:-29047296" id="docshape5"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69696">
              <wp:simplePos x="0" y="0"/>
              <wp:positionH relativeFrom="page">
                <wp:posOffset>706932</wp:posOffset>
              </wp:positionH>
              <wp:positionV relativeFrom="page">
                <wp:posOffset>9990994</wp:posOffset>
              </wp:positionV>
              <wp:extent cx="5586095" cy="153670"/>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5586095" cy="153670"/>
                      </a:xfrm>
                      <a:prstGeom prst="rect">
                        <a:avLst/>
                      </a:prstGeom>
                    </wps:spPr>
                    <wps:txbx>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wps:txbx>
                    <wps:bodyPr wrap="square" lIns="0" tIns="0" rIns="0" bIns="0" rtlCol="0">
                      <a:noAutofit/>
                    </wps:bodyPr>
                  </wps:wsp>
                </a:graphicData>
              </a:graphic>
            </wp:anchor>
          </w:drawing>
        </mc:Choice>
        <mc:Fallback>
          <w:pict>
            <v:shape style="position:absolute;margin-left:55.664001pt;margin-top:786.692505pt;width:439.85pt;height:12.1pt;mso-position-horizontal-relative:page;mso-position-vertical-relative:page;z-index:-29046784" type="#_x0000_t202" id="docshape6" filled="false" stroked="false">
              <v:textbox inset="0,0,0,0">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70208">
              <wp:simplePos x="0" y="0"/>
              <wp:positionH relativeFrom="page">
                <wp:posOffset>6764528</wp:posOffset>
              </wp:positionH>
              <wp:positionV relativeFrom="page">
                <wp:posOffset>9990994</wp:posOffset>
              </wp:positionV>
              <wp:extent cx="89535" cy="153670"/>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89535" cy="153670"/>
                      </a:xfrm>
                      <a:prstGeom prst="rect">
                        <a:avLst/>
                      </a:prstGeom>
                    </wps:spPr>
                    <wps:txbx>
                      <w:txbxContent>
                        <w:p>
                          <w:pPr>
                            <w:spacing w:before="14"/>
                            <w:ind w:left="20" w:right="0" w:firstLine="0"/>
                            <w:jc w:val="left"/>
                            <w:rPr>
                              <w:sz w:val="18"/>
                            </w:rPr>
                          </w:pPr>
                          <w:r>
                            <w:rPr>
                              <w:spacing w:val="-10"/>
                              <w:sz w:val="18"/>
                            </w:rPr>
                            <w:t>2</w:t>
                          </w:r>
                        </w:p>
                      </w:txbxContent>
                    </wps:txbx>
                    <wps:bodyPr wrap="square" lIns="0" tIns="0" rIns="0" bIns="0" rtlCol="0">
                      <a:noAutofit/>
                    </wps:bodyPr>
                  </wps:wsp>
                </a:graphicData>
              </a:graphic>
            </wp:anchor>
          </w:drawing>
        </mc:Choice>
        <mc:Fallback>
          <w:pict>
            <v:shape style="position:absolute;margin-left:532.640015pt;margin-top:786.692505pt;width:7.05pt;height:12.1pt;mso-position-horizontal-relative:page;mso-position-vertical-relative:page;z-index:-29046272" type="#_x0000_t202" id="docshape7" filled="false" stroked="false">
              <v:textbox inset="0,0,0,0">
                <w:txbxContent>
                  <w:p>
                    <w:pPr>
                      <w:spacing w:before="14"/>
                      <w:ind w:left="20" w:right="0" w:firstLine="0"/>
                      <w:jc w:val="left"/>
                      <w:rPr>
                        <w:sz w:val="18"/>
                      </w:rPr>
                    </w:pPr>
                    <w:r>
                      <w:rPr>
                        <w:spacing w:val="-10"/>
                        <w:sz w:val="18"/>
                      </w:rPr>
                      <w:t>2</w:t>
                    </w:r>
                  </w:p>
                </w:txbxContent>
              </v:textbox>
              <w10:wrap type="none"/>
            </v:shape>
          </w:pict>
        </mc:Fallback>
      </mc:AlternateContent>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97344">
              <wp:simplePos x="0" y="0"/>
              <wp:positionH relativeFrom="page">
                <wp:posOffset>701344</wp:posOffset>
              </wp:positionH>
              <wp:positionV relativeFrom="page">
                <wp:posOffset>10080955</wp:posOffset>
              </wp:positionV>
              <wp:extent cx="6158230" cy="6350"/>
              <wp:effectExtent l="0" t="0" r="0" b="0"/>
              <wp:wrapNone/>
              <wp:docPr id="271" name="Graphic 271"/>
              <wp:cNvGraphicFramePr>
                <a:graphicFrameLocks/>
              </wp:cNvGraphicFramePr>
              <a:graphic>
                <a:graphicData uri="http://schemas.microsoft.com/office/word/2010/wordprocessingShape">
                  <wps:wsp>
                    <wps:cNvPr id="271" name="Graphic 271"/>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19136" id="docshape240"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97856">
              <wp:simplePos x="0" y="0"/>
              <wp:positionH relativeFrom="page">
                <wp:posOffset>706932</wp:posOffset>
              </wp:positionH>
              <wp:positionV relativeFrom="page">
                <wp:posOffset>10113284</wp:posOffset>
              </wp:positionV>
              <wp:extent cx="5570855" cy="139700"/>
              <wp:effectExtent l="0" t="0" r="0" b="0"/>
              <wp:wrapNone/>
              <wp:docPr id="272" name="Textbox 272"/>
              <wp:cNvGraphicFramePr>
                <a:graphicFrameLocks/>
              </wp:cNvGraphicFramePr>
              <a:graphic>
                <a:graphicData uri="http://schemas.microsoft.com/office/word/2010/wordprocessingShape">
                  <wps:wsp>
                    <wps:cNvPr id="272" name="Textbox 272"/>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18624" type="#_x0000_t202" id="docshape241"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98368">
              <wp:simplePos x="0" y="0"/>
              <wp:positionH relativeFrom="page">
                <wp:posOffset>6612635</wp:posOffset>
              </wp:positionH>
              <wp:positionV relativeFrom="page">
                <wp:posOffset>10102246</wp:posOffset>
              </wp:positionV>
              <wp:extent cx="281305" cy="153670"/>
              <wp:effectExtent l="0" t="0" r="0" b="0"/>
              <wp:wrapNone/>
              <wp:docPr id="273" name="Textbox 273"/>
              <wp:cNvGraphicFramePr>
                <a:graphicFrameLocks/>
              </wp:cNvGraphicFramePr>
              <a:graphic>
                <a:graphicData uri="http://schemas.microsoft.com/office/word/2010/wordprocessingShape">
                  <wps:wsp>
                    <wps:cNvPr id="273" name="Textbox 273"/>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112</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18112" type="#_x0000_t202" id="docshape242"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112</w:t>
                    </w:r>
                    <w:r>
                      <w:rPr>
                        <w:spacing w:val="-5"/>
                        <w:sz w:val="18"/>
                      </w:rPr>
                      <w:fldChar w:fldCharType="end"/>
                    </w:r>
                  </w:p>
                </w:txbxContent>
              </v:textbox>
              <w10:wrap type="none"/>
            </v:shape>
          </w:pict>
        </mc:Fallback>
      </mc:AlternateContent>
    </w: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00928">
              <wp:simplePos x="0" y="0"/>
              <wp:positionH relativeFrom="page">
                <wp:posOffset>701344</wp:posOffset>
              </wp:positionH>
              <wp:positionV relativeFrom="page">
                <wp:posOffset>10080955</wp:posOffset>
              </wp:positionV>
              <wp:extent cx="6158230" cy="6350"/>
              <wp:effectExtent l="0" t="0" r="0" b="0"/>
              <wp:wrapNone/>
              <wp:docPr id="278" name="Graphic 278"/>
              <wp:cNvGraphicFramePr>
                <a:graphicFrameLocks/>
              </wp:cNvGraphicFramePr>
              <a:graphic>
                <a:graphicData uri="http://schemas.microsoft.com/office/word/2010/wordprocessingShape">
                  <wps:wsp>
                    <wps:cNvPr id="278" name="Graphic 278"/>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15552" id="docshape245"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01440">
              <wp:simplePos x="0" y="0"/>
              <wp:positionH relativeFrom="page">
                <wp:posOffset>706932</wp:posOffset>
              </wp:positionH>
              <wp:positionV relativeFrom="page">
                <wp:posOffset>10113284</wp:posOffset>
              </wp:positionV>
              <wp:extent cx="5570855" cy="139700"/>
              <wp:effectExtent l="0" t="0" r="0" b="0"/>
              <wp:wrapNone/>
              <wp:docPr id="279" name="Textbox 279"/>
              <wp:cNvGraphicFramePr>
                <a:graphicFrameLocks/>
              </wp:cNvGraphicFramePr>
              <a:graphic>
                <a:graphicData uri="http://schemas.microsoft.com/office/word/2010/wordprocessingShape">
                  <wps:wsp>
                    <wps:cNvPr id="279" name="Textbox 279"/>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15040" type="#_x0000_t202" id="docshape24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01952">
              <wp:simplePos x="0" y="0"/>
              <wp:positionH relativeFrom="page">
                <wp:posOffset>6612635</wp:posOffset>
              </wp:positionH>
              <wp:positionV relativeFrom="page">
                <wp:posOffset>10102246</wp:posOffset>
              </wp:positionV>
              <wp:extent cx="281305" cy="153670"/>
              <wp:effectExtent l="0" t="0" r="0" b="0"/>
              <wp:wrapNone/>
              <wp:docPr id="280" name="Textbox 280"/>
              <wp:cNvGraphicFramePr>
                <a:graphicFrameLocks/>
              </wp:cNvGraphicFramePr>
              <a:graphic>
                <a:graphicData uri="http://schemas.microsoft.com/office/word/2010/wordprocessingShape">
                  <wps:wsp>
                    <wps:cNvPr id="280" name="Textbox 280"/>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113</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14528" type="#_x0000_t202" id="docshape247"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113</w:t>
                    </w:r>
                    <w:r>
                      <w:rPr>
                        <w:spacing w:val="-5"/>
                        <w:sz w:val="18"/>
                      </w:rPr>
                      <w:fldChar w:fldCharType="end"/>
                    </w:r>
                  </w:p>
                </w:txbxContent>
              </v:textbox>
              <w10:wrap type="none"/>
            </v:shape>
          </w:pict>
        </mc:Fallback>
      </mc:AlternateContent>
    </w:r>
  </w:p>
</w:ftr>
</file>

<file path=word/footer2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02464">
              <wp:simplePos x="0" y="0"/>
              <wp:positionH relativeFrom="page">
                <wp:posOffset>701344</wp:posOffset>
              </wp:positionH>
              <wp:positionV relativeFrom="page">
                <wp:posOffset>10080955</wp:posOffset>
              </wp:positionV>
              <wp:extent cx="6158230" cy="6350"/>
              <wp:effectExtent l="0" t="0" r="0" b="0"/>
              <wp:wrapNone/>
              <wp:docPr id="281" name="Graphic 281"/>
              <wp:cNvGraphicFramePr>
                <a:graphicFrameLocks/>
              </wp:cNvGraphicFramePr>
              <a:graphic>
                <a:graphicData uri="http://schemas.microsoft.com/office/word/2010/wordprocessingShape">
                  <wps:wsp>
                    <wps:cNvPr id="281" name="Graphic 281"/>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14016" id="docshape248"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02976">
              <wp:simplePos x="0" y="0"/>
              <wp:positionH relativeFrom="page">
                <wp:posOffset>706932</wp:posOffset>
              </wp:positionH>
              <wp:positionV relativeFrom="page">
                <wp:posOffset>10113284</wp:posOffset>
              </wp:positionV>
              <wp:extent cx="5570855" cy="139700"/>
              <wp:effectExtent l="0" t="0" r="0" b="0"/>
              <wp:wrapNone/>
              <wp:docPr id="282" name="Textbox 282"/>
              <wp:cNvGraphicFramePr>
                <a:graphicFrameLocks/>
              </wp:cNvGraphicFramePr>
              <a:graphic>
                <a:graphicData uri="http://schemas.microsoft.com/office/word/2010/wordprocessingShape">
                  <wps:wsp>
                    <wps:cNvPr id="282" name="Textbox 282"/>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13504" type="#_x0000_t202" id="docshape249"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03488">
              <wp:simplePos x="0" y="0"/>
              <wp:positionH relativeFrom="page">
                <wp:posOffset>6612635</wp:posOffset>
              </wp:positionH>
              <wp:positionV relativeFrom="page">
                <wp:posOffset>10102246</wp:posOffset>
              </wp:positionV>
              <wp:extent cx="281305" cy="153670"/>
              <wp:effectExtent l="0" t="0" r="0" b="0"/>
              <wp:wrapNone/>
              <wp:docPr id="283" name="Textbox 283"/>
              <wp:cNvGraphicFramePr>
                <a:graphicFrameLocks/>
              </wp:cNvGraphicFramePr>
              <a:graphic>
                <a:graphicData uri="http://schemas.microsoft.com/office/word/2010/wordprocessingShape">
                  <wps:wsp>
                    <wps:cNvPr id="283" name="Textbox 283"/>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114</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12992" type="#_x0000_t202" id="docshape250"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114</w:t>
                    </w:r>
                    <w:r>
                      <w:rPr>
                        <w:spacing w:val="-5"/>
                        <w:sz w:val="18"/>
                      </w:rPr>
                      <w:fldChar w:fldCharType="end"/>
                    </w:r>
                  </w:p>
                </w:txbxContent>
              </v:textbox>
              <w10:wrap type="none"/>
            </v:shape>
          </w:pict>
        </mc:Fallback>
      </mc:AlternateContent>
    </w:r>
  </w:p>
</w:ftr>
</file>

<file path=word/footer2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06048">
              <wp:simplePos x="0" y="0"/>
              <wp:positionH relativeFrom="page">
                <wp:posOffset>701344</wp:posOffset>
              </wp:positionH>
              <wp:positionV relativeFrom="page">
                <wp:posOffset>10080955</wp:posOffset>
              </wp:positionV>
              <wp:extent cx="6158230" cy="6350"/>
              <wp:effectExtent l="0" t="0" r="0" b="0"/>
              <wp:wrapNone/>
              <wp:docPr id="288" name="Graphic 288"/>
              <wp:cNvGraphicFramePr>
                <a:graphicFrameLocks/>
              </wp:cNvGraphicFramePr>
              <a:graphic>
                <a:graphicData uri="http://schemas.microsoft.com/office/word/2010/wordprocessingShape">
                  <wps:wsp>
                    <wps:cNvPr id="288" name="Graphic 288"/>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10432" id="docshape253"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06560">
              <wp:simplePos x="0" y="0"/>
              <wp:positionH relativeFrom="page">
                <wp:posOffset>706932</wp:posOffset>
              </wp:positionH>
              <wp:positionV relativeFrom="page">
                <wp:posOffset>10113284</wp:posOffset>
              </wp:positionV>
              <wp:extent cx="5570855" cy="139700"/>
              <wp:effectExtent l="0" t="0" r="0" b="0"/>
              <wp:wrapNone/>
              <wp:docPr id="289" name="Textbox 289"/>
              <wp:cNvGraphicFramePr>
                <a:graphicFrameLocks/>
              </wp:cNvGraphicFramePr>
              <a:graphic>
                <a:graphicData uri="http://schemas.microsoft.com/office/word/2010/wordprocessingShape">
                  <wps:wsp>
                    <wps:cNvPr id="289" name="Textbox 289"/>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09920" type="#_x0000_t202" id="docshape254"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07072">
              <wp:simplePos x="0" y="0"/>
              <wp:positionH relativeFrom="page">
                <wp:posOffset>6612635</wp:posOffset>
              </wp:positionH>
              <wp:positionV relativeFrom="page">
                <wp:posOffset>10102246</wp:posOffset>
              </wp:positionV>
              <wp:extent cx="281305" cy="153670"/>
              <wp:effectExtent l="0" t="0" r="0" b="0"/>
              <wp:wrapNone/>
              <wp:docPr id="290" name="Textbox 290"/>
              <wp:cNvGraphicFramePr>
                <a:graphicFrameLocks/>
              </wp:cNvGraphicFramePr>
              <a:graphic>
                <a:graphicData uri="http://schemas.microsoft.com/office/word/2010/wordprocessingShape">
                  <wps:wsp>
                    <wps:cNvPr id="290" name="Textbox 290"/>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115</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09408" type="#_x0000_t202" id="docshape255"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115</w:t>
                    </w:r>
                    <w:r>
                      <w:rPr>
                        <w:spacing w:val="-5"/>
                        <w:sz w:val="18"/>
                      </w:rPr>
                      <w:fldChar w:fldCharType="end"/>
                    </w:r>
                  </w:p>
                </w:txbxContent>
              </v:textbox>
              <w10:wrap type="none"/>
            </v:shape>
          </w:pict>
        </mc:Fallback>
      </mc:AlternateContent>
    </w:r>
  </w:p>
</w:ftr>
</file>

<file path=word/footer2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07584">
              <wp:simplePos x="0" y="0"/>
              <wp:positionH relativeFrom="page">
                <wp:posOffset>701344</wp:posOffset>
              </wp:positionH>
              <wp:positionV relativeFrom="page">
                <wp:posOffset>10080955</wp:posOffset>
              </wp:positionV>
              <wp:extent cx="6158230" cy="6350"/>
              <wp:effectExtent l="0" t="0" r="0" b="0"/>
              <wp:wrapNone/>
              <wp:docPr id="291" name="Graphic 291"/>
              <wp:cNvGraphicFramePr>
                <a:graphicFrameLocks/>
              </wp:cNvGraphicFramePr>
              <a:graphic>
                <a:graphicData uri="http://schemas.microsoft.com/office/word/2010/wordprocessingShape">
                  <wps:wsp>
                    <wps:cNvPr id="291" name="Graphic 291"/>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08896" id="docshape256"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08096">
              <wp:simplePos x="0" y="0"/>
              <wp:positionH relativeFrom="page">
                <wp:posOffset>706932</wp:posOffset>
              </wp:positionH>
              <wp:positionV relativeFrom="page">
                <wp:posOffset>10113284</wp:posOffset>
              </wp:positionV>
              <wp:extent cx="5570855" cy="139700"/>
              <wp:effectExtent l="0" t="0" r="0" b="0"/>
              <wp:wrapNone/>
              <wp:docPr id="292" name="Textbox 292"/>
              <wp:cNvGraphicFramePr>
                <a:graphicFrameLocks/>
              </wp:cNvGraphicFramePr>
              <a:graphic>
                <a:graphicData uri="http://schemas.microsoft.com/office/word/2010/wordprocessingShape">
                  <wps:wsp>
                    <wps:cNvPr id="292" name="Textbox 292"/>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08384" type="#_x0000_t202" id="docshape257"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08608">
              <wp:simplePos x="0" y="0"/>
              <wp:positionH relativeFrom="page">
                <wp:posOffset>6612635</wp:posOffset>
              </wp:positionH>
              <wp:positionV relativeFrom="page">
                <wp:posOffset>10102246</wp:posOffset>
              </wp:positionV>
              <wp:extent cx="281305" cy="153670"/>
              <wp:effectExtent l="0" t="0" r="0" b="0"/>
              <wp:wrapNone/>
              <wp:docPr id="293" name="Textbox 293"/>
              <wp:cNvGraphicFramePr>
                <a:graphicFrameLocks/>
              </wp:cNvGraphicFramePr>
              <a:graphic>
                <a:graphicData uri="http://schemas.microsoft.com/office/word/2010/wordprocessingShape">
                  <wps:wsp>
                    <wps:cNvPr id="293" name="Textbox 293"/>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116</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07872" type="#_x0000_t202" id="docshape258"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116</w:t>
                    </w:r>
                    <w:r>
                      <w:rPr>
                        <w:spacing w:val="-5"/>
                        <w:sz w:val="18"/>
                      </w:rPr>
                      <w:fldChar w:fldCharType="end"/>
                    </w:r>
                  </w:p>
                </w:txbxContent>
              </v:textbox>
              <w10:wrap type="none"/>
            </v:shape>
          </w:pict>
        </mc:Fallback>
      </mc:AlternateContent>
    </w:r>
  </w:p>
</w:ftr>
</file>

<file path=word/footer2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11168">
              <wp:simplePos x="0" y="0"/>
              <wp:positionH relativeFrom="page">
                <wp:posOffset>701344</wp:posOffset>
              </wp:positionH>
              <wp:positionV relativeFrom="page">
                <wp:posOffset>10080955</wp:posOffset>
              </wp:positionV>
              <wp:extent cx="6158230" cy="6350"/>
              <wp:effectExtent l="0" t="0" r="0" b="0"/>
              <wp:wrapNone/>
              <wp:docPr id="329" name="Graphic 329"/>
              <wp:cNvGraphicFramePr>
                <a:graphicFrameLocks/>
              </wp:cNvGraphicFramePr>
              <a:graphic>
                <a:graphicData uri="http://schemas.microsoft.com/office/word/2010/wordprocessingShape">
                  <wps:wsp>
                    <wps:cNvPr id="329" name="Graphic 329"/>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3.776001pt;width:484.9pt;height:.47998pt;mso-position-horizontal-relative:page;mso-position-vertical-relative:page;z-index:-29005312" id="docshape280"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11680">
              <wp:simplePos x="0" y="0"/>
              <wp:positionH relativeFrom="page">
                <wp:posOffset>706932</wp:posOffset>
              </wp:positionH>
              <wp:positionV relativeFrom="page">
                <wp:posOffset>10113284</wp:posOffset>
              </wp:positionV>
              <wp:extent cx="5570855" cy="139700"/>
              <wp:effectExtent l="0" t="0" r="0" b="0"/>
              <wp:wrapNone/>
              <wp:docPr id="330" name="Textbox 330"/>
              <wp:cNvGraphicFramePr>
                <a:graphicFrameLocks/>
              </wp:cNvGraphicFramePr>
              <a:graphic>
                <a:graphicData uri="http://schemas.microsoft.com/office/word/2010/wordprocessingShape">
                  <wps:wsp>
                    <wps:cNvPr id="330" name="Textbox 330"/>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04800" type="#_x0000_t202" id="docshape281"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12192">
              <wp:simplePos x="0" y="0"/>
              <wp:positionH relativeFrom="page">
                <wp:posOffset>6612635</wp:posOffset>
              </wp:positionH>
              <wp:positionV relativeFrom="page">
                <wp:posOffset>10102246</wp:posOffset>
              </wp:positionV>
              <wp:extent cx="281305" cy="153670"/>
              <wp:effectExtent l="0" t="0" r="0" b="0"/>
              <wp:wrapNone/>
              <wp:docPr id="331" name="Textbox 331"/>
              <wp:cNvGraphicFramePr>
                <a:graphicFrameLocks/>
              </wp:cNvGraphicFramePr>
              <a:graphic>
                <a:graphicData uri="http://schemas.microsoft.com/office/word/2010/wordprocessingShape">
                  <wps:wsp>
                    <wps:cNvPr id="331" name="Textbox 331"/>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117</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04288" type="#_x0000_t202" id="docshape282"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117</w:t>
                    </w:r>
                    <w:r>
                      <w:rPr>
                        <w:spacing w:val="-5"/>
                        <w:sz w:val="18"/>
                      </w:rPr>
                      <w:fldChar w:fldCharType="end"/>
                    </w:r>
                  </w:p>
                </w:txbxContent>
              </v:textbox>
              <w10:wrap type="none"/>
            </v:shape>
          </w:pict>
        </mc:Fallback>
      </mc:AlternateContent>
    </w:r>
  </w:p>
</w:ftr>
</file>

<file path=word/footer2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12704">
              <wp:simplePos x="0" y="0"/>
              <wp:positionH relativeFrom="page">
                <wp:posOffset>701344</wp:posOffset>
              </wp:positionH>
              <wp:positionV relativeFrom="page">
                <wp:posOffset>10094671</wp:posOffset>
              </wp:positionV>
              <wp:extent cx="6158230" cy="6350"/>
              <wp:effectExtent l="0" t="0" r="0" b="0"/>
              <wp:wrapNone/>
              <wp:docPr id="332" name="Graphic 332"/>
              <wp:cNvGraphicFramePr>
                <a:graphicFrameLocks/>
              </wp:cNvGraphicFramePr>
              <a:graphic>
                <a:graphicData uri="http://schemas.microsoft.com/office/word/2010/wordprocessingShape">
                  <wps:wsp>
                    <wps:cNvPr id="332" name="Graphic 332"/>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9003776" id="docshape283"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13216">
              <wp:simplePos x="0" y="0"/>
              <wp:positionH relativeFrom="page">
                <wp:posOffset>706932</wp:posOffset>
              </wp:positionH>
              <wp:positionV relativeFrom="page">
                <wp:posOffset>10113284</wp:posOffset>
              </wp:positionV>
              <wp:extent cx="5570855" cy="139700"/>
              <wp:effectExtent l="0" t="0" r="0" b="0"/>
              <wp:wrapNone/>
              <wp:docPr id="333" name="Textbox 333"/>
              <wp:cNvGraphicFramePr>
                <a:graphicFrameLocks/>
              </wp:cNvGraphicFramePr>
              <a:graphic>
                <a:graphicData uri="http://schemas.microsoft.com/office/word/2010/wordprocessingShape">
                  <wps:wsp>
                    <wps:cNvPr id="333" name="Textbox 333"/>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9003264" type="#_x0000_t202" id="docshape284"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13728">
              <wp:simplePos x="0" y="0"/>
              <wp:positionH relativeFrom="page">
                <wp:posOffset>6612635</wp:posOffset>
              </wp:positionH>
              <wp:positionV relativeFrom="page">
                <wp:posOffset>10102246</wp:posOffset>
              </wp:positionV>
              <wp:extent cx="281305" cy="153670"/>
              <wp:effectExtent l="0" t="0" r="0" b="0"/>
              <wp:wrapNone/>
              <wp:docPr id="334" name="Textbox 334"/>
              <wp:cNvGraphicFramePr>
                <a:graphicFrameLocks/>
              </wp:cNvGraphicFramePr>
              <a:graphic>
                <a:graphicData uri="http://schemas.microsoft.com/office/word/2010/wordprocessingShape">
                  <wps:wsp>
                    <wps:cNvPr id="334" name="Textbox 334"/>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118</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9002752" type="#_x0000_t202" id="docshape285"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118</w:t>
                    </w:r>
                    <w:r>
                      <w:rPr>
                        <w:spacing w:val="-5"/>
                        <w:sz w:val="18"/>
                      </w:rPr>
                      <w:fldChar w:fldCharType="end"/>
                    </w:r>
                  </w:p>
                </w:txbxContent>
              </v:textbox>
              <w10:wrap type="none"/>
            </v:shape>
          </w:pict>
        </mc:Fallback>
      </mc:AlternateContent>
    </w:r>
  </w:p>
</w:ftr>
</file>

<file path=word/footer2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16288">
              <wp:simplePos x="0" y="0"/>
              <wp:positionH relativeFrom="page">
                <wp:posOffset>701344</wp:posOffset>
              </wp:positionH>
              <wp:positionV relativeFrom="page">
                <wp:posOffset>10094671</wp:posOffset>
              </wp:positionV>
              <wp:extent cx="6158230" cy="6350"/>
              <wp:effectExtent l="0" t="0" r="0" b="0"/>
              <wp:wrapNone/>
              <wp:docPr id="339" name="Graphic 339"/>
              <wp:cNvGraphicFramePr>
                <a:graphicFrameLocks/>
              </wp:cNvGraphicFramePr>
              <a:graphic>
                <a:graphicData uri="http://schemas.microsoft.com/office/word/2010/wordprocessingShape">
                  <wps:wsp>
                    <wps:cNvPr id="339" name="Graphic 339"/>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9000192" id="docshape288"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16800">
              <wp:simplePos x="0" y="0"/>
              <wp:positionH relativeFrom="page">
                <wp:posOffset>706932</wp:posOffset>
              </wp:positionH>
              <wp:positionV relativeFrom="page">
                <wp:posOffset>10113284</wp:posOffset>
              </wp:positionV>
              <wp:extent cx="5570855" cy="139700"/>
              <wp:effectExtent l="0" t="0" r="0" b="0"/>
              <wp:wrapNone/>
              <wp:docPr id="340" name="Textbox 340"/>
              <wp:cNvGraphicFramePr>
                <a:graphicFrameLocks/>
              </wp:cNvGraphicFramePr>
              <a:graphic>
                <a:graphicData uri="http://schemas.microsoft.com/office/word/2010/wordprocessingShape">
                  <wps:wsp>
                    <wps:cNvPr id="340" name="Textbox 340"/>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99680" type="#_x0000_t202" id="docshape289"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17312">
              <wp:simplePos x="0" y="0"/>
              <wp:positionH relativeFrom="page">
                <wp:posOffset>6612635</wp:posOffset>
              </wp:positionH>
              <wp:positionV relativeFrom="page">
                <wp:posOffset>10102246</wp:posOffset>
              </wp:positionV>
              <wp:extent cx="281305" cy="153670"/>
              <wp:effectExtent l="0" t="0" r="0" b="0"/>
              <wp:wrapNone/>
              <wp:docPr id="341" name="Textbox 341"/>
              <wp:cNvGraphicFramePr>
                <a:graphicFrameLocks/>
              </wp:cNvGraphicFramePr>
              <a:graphic>
                <a:graphicData uri="http://schemas.microsoft.com/office/word/2010/wordprocessingShape">
                  <wps:wsp>
                    <wps:cNvPr id="341" name="Textbox 341"/>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119</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99168" type="#_x0000_t202" id="docshape290"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119</w:t>
                    </w:r>
                    <w:r>
                      <w:rPr>
                        <w:spacing w:val="-5"/>
                        <w:sz w:val="18"/>
                      </w:rPr>
                      <w:fldChar w:fldCharType="end"/>
                    </w:r>
                  </w:p>
                </w:txbxContent>
              </v:textbox>
              <w10:wrap type="none"/>
            </v:shape>
          </w:pict>
        </mc:Fallback>
      </mc:AlternateContent>
    </w:r>
  </w:p>
</w:ftr>
</file>

<file path=word/footer2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17824">
              <wp:simplePos x="0" y="0"/>
              <wp:positionH relativeFrom="page">
                <wp:posOffset>701344</wp:posOffset>
              </wp:positionH>
              <wp:positionV relativeFrom="page">
                <wp:posOffset>10094671</wp:posOffset>
              </wp:positionV>
              <wp:extent cx="6158230" cy="6350"/>
              <wp:effectExtent l="0" t="0" r="0" b="0"/>
              <wp:wrapNone/>
              <wp:docPr id="342" name="Graphic 342"/>
              <wp:cNvGraphicFramePr>
                <a:graphicFrameLocks/>
              </wp:cNvGraphicFramePr>
              <a:graphic>
                <a:graphicData uri="http://schemas.microsoft.com/office/word/2010/wordprocessingShape">
                  <wps:wsp>
                    <wps:cNvPr id="342" name="Graphic 342"/>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98656" id="docshape29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18336">
              <wp:simplePos x="0" y="0"/>
              <wp:positionH relativeFrom="page">
                <wp:posOffset>706932</wp:posOffset>
              </wp:positionH>
              <wp:positionV relativeFrom="page">
                <wp:posOffset>10113284</wp:posOffset>
              </wp:positionV>
              <wp:extent cx="5570855" cy="139700"/>
              <wp:effectExtent l="0" t="0" r="0" b="0"/>
              <wp:wrapNone/>
              <wp:docPr id="343" name="Textbox 343"/>
              <wp:cNvGraphicFramePr>
                <a:graphicFrameLocks/>
              </wp:cNvGraphicFramePr>
              <a:graphic>
                <a:graphicData uri="http://schemas.microsoft.com/office/word/2010/wordprocessingShape">
                  <wps:wsp>
                    <wps:cNvPr id="343" name="Textbox 343"/>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98144" type="#_x0000_t202" id="docshape292"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18848">
              <wp:simplePos x="0" y="0"/>
              <wp:positionH relativeFrom="page">
                <wp:posOffset>6612635</wp:posOffset>
              </wp:positionH>
              <wp:positionV relativeFrom="page">
                <wp:posOffset>10102246</wp:posOffset>
              </wp:positionV>
              <wp:extent cx="281305" cy="153670"/>
              <wp:effectExtent l="0" t="0" r="0" b="0"/>
              <wp:wrapNone/>
              <wp:docPr id="344" name="Textbox 344"/>
              <wp:cNvGraphicFramePr>
                <a:graphicFrameLocks/>
              </wp:cNvGraphicFramePr>
              <a:graphic>
                <a:graphicData uri="http://schemas.microsoft.com/office/word/2010/wordprocessingShape">
                  <wps:wsp>
                    <wps:cNvPr id="344" name="Textbox 344"/>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120</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97632" type="#_x0000_t202" id="docshape293"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120</w:t>
                    </w:r>
                    <w:r>
                      <w:rPr>
                        <w:spacing w:val="-5"/>
                        <w:sz w:val="18"/>
                      </w:rPr>
                      <w:fldChar w:fldCharType="end"/>
                    </w:r>
                  </w:p>
                </w:txbxContent>
              </v:textbox>
              <w10:wrap type="none"/>
            </v:shape>
          </w:pict>
        </mc:Fallback>
      </mc:AlternateContent>
    </w:r>
  </w:p>
</w:ftr>
</file>

<file path=word/footer2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21408">
              <wp:simplePos x="0" y="0"/>
              <wp:positionH relativeFrom="page">
                <wp:posOffset>701344</wp:posOffset>
              </wp:positionH>
              <wp:positionV relativeFrom="page">
                <wp:posOffset>10094671</wp:posOffset>
              </wp:positionV>
              <wp:extent cx="6158230" cy="6350"/>
              <wp:effectExtent l="0" t="0" r="0" b="0"/>
              <wp:wrapNone/>
              <wp:docPr id="371" name="Graphic 371"/>
              <wp:cNvGraphicFramePr>
                <a:graphicFrameLocks/>
              </wp:cNvGraphicFramePr>
              <a:graphic>
                <a:graphicData uri="http://schemas.microsoft.com/office/word/2010/wordprocessingShape">
                  <wps:wsp>
                    <wps:cNvPr id="371" name="Graphic 371"/>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95072" id="docshape318"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21920">
              <wp:simplePos x="0" y="0"/>
              <wp:positionH relativeFrom="page">
                <wp:posOffset>706932</wp:posOffset>
              </wp:positionH>
              <wp:positionV relativeFrom="page">
                <wp:posOffset>10113284</wp:posOffset>
              </wp:positionV>
              <wp:extent cx="5570855" cy="139700"/>
              <wp:effectExtent l="0" t="0" r="0" b="0"/>
              <wp:wrapNone/>
              <wp:docPr id="372" name="Textbox 372"/>
              <wp:cNvGraphicFramePr>
                <a:graphicFrameLocks/>
              </wp:cNvGraphicFramePr>
              <a:graphic>
                <a:graphicData uri="http://schemas.microsoft.com/office/word/2010/wordprocessingShape">
                  <wps:wsp>
                    <wps:cNvPr id="372" name="Textbox 372"/>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94560" type="#_x0000_t202" id="docshape319"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22432">
              <wp:simplePos x="0" y="0"/>
              <wp:positionH relativeFrom="page">
                <wp:posOffset>6612635</wp:posOffset>
              </wp:positionH>
              <wp:positionV relativeFrom="page">
                <wp:posOffset>10102246</wp:posOffset>
              </wp:positionV>
              <wp:extent cx="281305" cy="153670"/>
              <wp:effectExtent l="0" t="0" r="0" b="0"/>
              <wp:wrapNone/>
              <wp:docPr id="373" name="Textbox 373"/>
              <wp:cNvGraphicFramePr>
                <a:graphicFrameLocks/>
              </wp:cNvGraphicFramePr>
              <a:graphic>
                <a:graphicData uri="http://schemas.microsoft.com/office/word/2010/wordprocessingShape">
                  <wps:wsp>
                    <wps:cNvPr id="373" name="Textbox 373"/>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121</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94048" type="#_x0000_t202" id="docshape320"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121</w:t>
                    </w:r>
                    <w:r>
                      <w:rPr>
                        <w:spacing w:val="-5"/>
                        <w:sz w:val="18"/>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71744">
              <wp:simplePos x="0" y="0"/>
              <wp:positionH relativeFrom="page">
                <wp:posOffset>701344</wp:posOffset>
              </wp:positionH>
              <wp:positionV relativeFrom="page">
                <wp:posOffset>9981895</wp:posOffset>
              </wp:positionV>
              <wp:extent cx="6158230" cy="6350"/>
              <wp:effectExtent l="0" t="0" r="0" b="0"/>
              <wp:wrapNone/>
              <wp:docPr id="16" name="Graphic 16"/>
              <wp:cNvGraphicFramePr>
                <a:graphicFrameLocks/>
              </wp:cNvGraphicFramePr>
              <a:graphic>
                <a:graphicData uri="http://schemas.microsoft.com/office/word/2010/wordprocessingShape">
                  <wps:wsp>
                    <wps:cNvPr id="16" name="Graphic 16"/>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85.976013pt;width:484.9pt;height:.47998pt;mso-position-horizontal-relative:page;mso-position-vertical-relative:page;z-index:-29044736" id="docshape9"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72256">
              <wp:simplePos x="0" y="0"/>
              <wp:positionH relativeFrom="page">
                <wp:posOffset>706932</wp:posOffset>
              </wp:positionH>
              <wp:positionV relativeFrom="page">
                <wp:posOffset>9990994</wp:posOffset>
              </wp:positionV>
              <wp:extent cx="5586095" cy="153670"/>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5586095" cy="153670"/>
                      </a:xfrm>
                      <a:prstGeom prst="rect">
                        <a:avLst/>
                      </a:prstGeom>
                    </wps:spPr>
                    <wps:txbx>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wps:txbx>
                    <wps:bodyPr wrap="square" lIns="0" tIns="0" rIns="0" bIns="0" rtlCol="0">
                      <a:noAutofit/>
                    </wps:bodyPr>
                  </wps:wsp>
                </a:graphicData>
              </a:graphic>
            </wp:anchor>
          </w:drawing>
        </mc:Choice>
        <mc:Fallback>
          <w:pict>
            <v:shape style="position:absolute;margin-left:55.664001pt;margin-top:786.692505pt;width:439.85pt;height:12.1pt;mso-position-horizontal-relative:page;mso-position-vertical-relative:page;z-index:-29044224" type="#_x0000_t202" id="docshape10" filled="false" stroked="false">
              <v:textbox inset="0,0,0,0">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72768">
              <wp:simplePos x="0" y="0"/>
              <wp:positionH relativeFrom="page">
                <wp:posOffset>6739128</wp:posOffset>
              </wp:positionH>
              <wp:positionV relativeFrom="page">
                <wp:posOffset>9990994</wp:posOffset>
              </wp:positionV>
              <wp:extent cx="153035" cy="153670"/>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3</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530.640015pt;margin-top:786.692505pt;width:12.05pt;height:12.1pt;mso-position-horizontal-relative:page;mso-position-vertical-relative:page;z-index:-29043712" type="#_x0000_t202" id="docshape11"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3</w:t>
                    </w:r>
                    <w:r>
                      <w:rPr>
                        <w:spacing w:val="-10"/>
                        <w:sz w:val="18"/>
                      </w:rPr>
                      <w:fldChar w:fldCharType="end"/>
                    </w:r>
                  </w:p>
                </w:txbxContent>
              </v:textbox>
              <w10:wrap type="none"/>
            </v:shape>
          </w:pict>
        </mc:Fallback>
      </mc:AlternateContent>
    </w:r>
  </w:p>
</w:ftr>
</file>

<file path=word/footer3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22944">
              <wp:simplePos x="0" y="0"/>
              <wp:positionH relativeFrom="page">
                <wp:posOffset>701344</wp:posOffset>
              </wp:positionH>
              <wp:positionV relativeFrom="page">
                <wp:posOffset>10094671</wp:posOffset>
              </wp:positionV>
              <wp:extent cx="6158230" cy="6350"/>
              <wp:effectExtent l="0" t="0" r="0" b="0"/>
              <wp:wrapNone/>
              <wp:docPr id="374" name="Graphic 374"/>
              <wp:cNvGraphicFramePr>
                <a:graphicFrameLocks/>
              </wp:cNvGraphicFramePr>
              <a:graphic>
                <a:graphicData uri="http://schemas.microsoft.com/office/word/2010/wordprocessingShape">
                  <wps:wsp>
                    <wps:cNvPr id="374" name="Graphic 374"/>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93536" id="docshape32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23456">
              <wp:simplePos x="0" y="0"/>
              <wp:positionH relativeFrom="page">
                <wp:posOffset>706932</wp:posOffset>
              </wp:positionH>
              <wp:positionV relativeFrom="page">
                <wp:posOffset>10113284</wp:posOffset>
              </wp:positionV>
              <wp:extent cx="5570855" cy="139700"/>
              <wp:effectExtent l="0" t="0" r="0" b="0"/>
              <wp:wrapNone/>
              <wp:docPr id="375" name="Textbox 375"/>
              <wp:cNvGraphicFramePr>
                <a:graphicFrameLocks/>
              </wp:cNvGraphicFramePr>
              <a:graphic>
                <a:graphicData uri="http://schemas.microsoft.com/office/word/2010/wordprocessingShape">
                  <wps:wsp>
                    <wps:cNvPr id="375" name="Textbox 375"/>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93024" type="#_x0000_t202" id="docshape322"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23968">
              <wp:simplePos x="0" y="0"/>
              <wp:positionH relativeFrom="page">
                <wp:posOffset>6612635</wp:posOffset>
              </wp:positionH>
              <wp:positionV relativeFrom="page">
                <wp:posOffset>10102246</wp:posOffset>
              </wp:positionV>
              <wp:extent cx="281305" cy="153670"/>
              <wp:effectExtent l="0" t="0" r="0" b="0"/>
              <wp:wrapNone/>
              <wp:docPr id="376" name="Textbox 376"/>
              <wp:cNvGraphicFramePr>
                <a:graphicFrameLocks/>
              </wp:cNvGraphicFramePr>
              <a:graphic>
                <a:graphicData uri="http://schemas.microsoft.com/office/word/2010/wordprocessingShape">
                  <wps:wsp>
                    <wps:cNvPr id="376" name="Textbox 376"/>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122</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92512" type="#_x0000_t202" id="docshape323"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122</w:t>
                    </w:r>
                    <w:r>
                      <w:rPr>
                        <w:spacing w:val="-5"/>
                        <w:sz w:val="18"/>
                      </w:rPr>
                      <w:fldChar w:fldCharType="end"/>
                    </w:r>
                  </w:p>
                </w:txbxContent>
              </v:textbox>
              <w10:wrap type="none"/>
            </v:shape>
          </w:pict>
        </mc:Fallback>
      </mc:AlternateContent>
    </w:r>
  </w:p>
</w:ftr>
</file>

<file path=word/footer3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26528">
              <wp:simplePos x="0" y="0"/>
              <wp:positionH relativeFrom="page">
                <wp:posOffset>701344</wp:posOffset>
              </wp:positionH>
              <wp:positionV relativeFrom="page">
                <wp:posOffset>10094671</wp:posOffset>
              </wp:positionV>
              <wp:extent cx="6158230" cy="6350"/>
              <wp:effectExtent l="0" t="0" r="0" b="0"/>
              <wp:wrapNone/>
              <wp:docPr id="397" name="Graphic 397"/>
              <wp:cNvGraphicFramePr>
                <a:graphicFrameLocks/>
              </wp:cNvGraphicFramePr>
              <a:graphic>
                <a:graphicData uri="http://schemas.microsoft.com/office/word/2010/wordprocessingShape">
                  <wps:wsp>
                    <wps:cNvPr id="397" name="Graphic 397"/>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89952" id="docshape342"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27040">
              <wp:simplePos x="0" y="0"/>
              <wp:positionH relativeFrom="page">
                <wp:posOffset>706932</wp:posOffset>
              </wp:positionH>
              <wp:positionV relativeFrom="page">
                <wp:posOffset>10113284</wp:posOffset>
              </wp:positionV>
              <wp:extent cx="5570855" cy="139700"/>
              <wp:effectExtent l="0" t="0" r="0" b="0"/>
              <wp:wrapNone/>
              <wp:docPr id="398" name="Textbox 398"/>
              <wp:cNvGraphicFramePr>
                <a:graphicFrameLocks/>
              </wp:cNvGraphicFramePr>
              <a:graphic>
                <a:graphicData uri="http://schemas.microsoft.com/office/word/2010/wordprocessingShape">
                  <wps:wsp>
                    <wps:cNvPr id="398" name="Textbox 398"/>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89440" type="#_x0000_t202" id="docshape343"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27552">
              <wp:simplePos x="0" y="0"/>
              <wp:positionH relativeFrom="page">
                <wp:posOffset>6612635</wp:posOffset>
              </wp:positionH>
              <wp:positionV relativeFrom="page">
                <wp:posOffset>10102246</wp:posOffset>
              </wp:positionV>
              <wp:extent cx="281305" cy="153670"/>
              <wp:effectExtent l="0" t="0" r="0" b="0"/>
              <wp:wrapNone/>
              <wp:docPr id="399" name="Textbox 399"/>
              <wp:cNvGraphicFramePr>
                <a:graphicFrameLocks/>
              </wp:cNvGraphicFramePr>
              <a:graphic>
                <a:graphicData uri="http://schemas.microsoft.com/office/word/2010/wordprocessingShape">
                  <wps:wsp>
                    <wps:cNvPr id="399" name="Textbox 399"/>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123</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88928" type="#_x0000_t202" id="docshape344"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123</w:t>
                    </w:r>
                    <w:r>
                      <w:rPr>
                        <w:spacing w:val="-5"/>
                        <w:sz w:val="18"/>
                      </w:rPr>
                      <w:fldChar w:fldCharType="end"/>
                    </w:r>
                  </w:p>
                </w:txbxContent>
              </v:textbox>
              <w10:wrap type="none"/>
            </v:shape>
          </w:pict>
        </mc:Fallback>
      </mc:AlternateContent>
    </w:r>
  </w:p>
</w:ftr>
</file>

<file path=word/footer3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28064">
              <wp:simplePos x="0" y="0"/>
              <wp:positionH relativeFrom="page">
                <wp:posOffset>701344</wp:posOffset>
              </wp:positionH>
              <wp:positionV relativeFrom="page">
                <wp:posOffset>10094671</wp:posOffset>
              </wp:positionV>
              <wp:extent cx="6158230" cy="6350"/>
              <wp:effectExtent l="0" t="0" r="0" b="0"/>
              <wp:wrapNone/>
              <wp:docPr id="400" name="Graphic 400"/>
              <wp:cNvGraphicFramePr>
                <a:graphicFrameLocks/>
              </wp:cNvGraphicFramePr>
              <a:graphic>
                <a:graphicData uri="http://schemas.microsoft.com/office/word/2010/wordprocessingShape">
                  <wps:wsp>
                    <wps:cNvPr id="400" name="Graphic 400"/>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88416" id="docshape345"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28576">
              <wp:simplePos x="0" y="0"/>
              <wp:positionH relativeFrom="page">
                <wp:posOffset>706932</wp:posOffset>
              </wp:positionH>
              <wp:positionV relativeFrom="page">
                <wp:posOffset>10113284</wp:posOffset>
              </wp:positionV>
              <wp:extent cx="5570855" cy="139700"/>
              <wp:effectExtent l="0" t="0" r="0" b="0"/>
              <wp:wrapNone/>
              <wp:docPr id="401" name="Textbox 401"/>
              <wp:cNvGraphicFramePr>
                <a:graphicFrameLocks/>
              </wp:cNvGraphicFramePr>
              <a:graphic>
                <a:graphicData uri="http://schemas.microsoft.com/office/word/2010/wordprocessingShape">
                  <wps:wsp>
                    <wps:cNvPr id="401" name="Textbox 401"/>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87904" type="#_x0000_t202" id="docshape34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29088">
              <wp:simplePos x="0" y="0"/>
              <wp:positionH relativeFrom="page">
                <wp:posOffset>6612635</wp:posOffset>
              </wp:positionH>
              <wp:positionV relativeFrom="page">
                <wp:posOffset>10102246</wp:posOffset>
              </wp:positionV>
              <wp:extent cx="281305" cy="153670"/>
              <wp:effectExtent l="0" t="0" r="0" b="0"/>
              <wp:wrapNone/>
              <wp:docPr id="402" name="Textbox 402"/>
              <wp:cNvGraphicFramePr>
                <a:graphicFrameLocks/>
              </wp:cNvGraphicFramePr>
              <a:graphic>
                <a:graphicData uri="http://schemas.microsoft.com/office/word/2010/wordprocessingShape">
                  <wps:wsp>
                    <wps:cNvPr id="402" name="Textbox 402"/>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124</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87392" type="#_x0000_t202" id="docshape347"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124</w:t>
                    </w:r>
                    <w:r>
                      <w:rPr>
                        <w:spacing w:val="-5"/>
                        <w:sz w:val="18"/>
                      </w:rPr>
                      <w:fldChar w:fldCharType="end"/>
                    </w:r>
                  </w:p>
                </w:txbxContent>
              </v:textbox>
              <w10:wrap type="none"/>
            </v:shape>
          </w:pict>
        </mc:Fallback>
      </mc:AlternateContent>
    </w:r>
  </w:p>
</w:ftr>
</file>

<file path=word/footer3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31648">
              <wp:simplePos x="0" y="0"/>
              <wp:positionH relativeFrom="page">
                <wp:posOffset>701344</wp:posOffset>
              </wp:positionH>
              <wp:positionV relativeFrom="page">
                <wp:posOffset>10094671</wp:posOffset>
              </wp:positionV>
              <wp:extent cx="6158230" cy="6350"/>
              <wp:effectExtent l="0" t="0" r="0" b="0"/>
              <wp:wrapNone/>
              <wp:docPr id="430" name="Graphic 430"/>
              <wp:cNvGraphicFramePr>
                <a:graphicFrameLocks/>
              </wp:cNvGraphicFramePr>
              <a:graphic>
                <a:graphicData uri="http://schemas.microsoft.com/office/word/2010/wordprocessingShape">
                  <wps:wsp>
                    <wps:cNvPr id="430" name="Graphic 430"/>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84832" id="docshape373"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32160">
              <wp:simplePos x="0" y="0"/>
              <wp:positionH relativeFrom="page">
                <wp:posOffset>706932</wp:posOffset>
              </wp:positionH>
              <wp:positionV relativeFrom="page">
                <wp:posOffset>10113284</wp:posOffset>
              </wp:positionV>
              <wp:extent cx="5570855" cy="139700"/>
              <wp:effectExtent l="0" t="0" r="0" b="0"/>
              <wp:wrapNone/>
              <wp:docPr id="431" name="Textbox 431"/>
              <wp:cNvGraphicFramePr>
                <a:graphicFrameLocks/>
              </wp:cNvGraphicFramePr>
              <a:graphic>
                <a:graphicData uri="http://schemas.microsoft.com/office/word/2010/wordprocessingShape">
                  <wps:wsp>
                    <wps:cNvPr id="431" name="Textbox 431"/>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84320" type="#_x0000_t202" id="docshape374"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32672">
              <wp:simplePos x="0" y="0"/>
              <wp:positionH relativeFrom="page">
                <wp:posOffset>6612635</wp:posOffset>
              </wp:positionH>
              <wp:positionV relativeFrom="page">
                <wp:posOffset>10102246</wp:posOffset>
              </wp:positionV>
              <wp:extent cx="281305" cy="153670"/>
              <wp:effectExtent l="0" t="0" r="0" b="0"/>
              <wp:wrapNone/>
              <wp:docPr id="432" name="Textbox 432"/>
              <wp:cNvGraphicFramePr>
                <a:graphicFrameLocks/>
              </wp:cNvGraphicFramePr>
              <a:graphic>
                <a:graphicData uri="http://schemas.microsoft.com/office/word/2010/wordprocessingShape">
                  <wps:wsp>
                    <wps:cNvPr id="432" name="Textbox 432"/>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125</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83808" type="#_x0000_t202" id="docshape375"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125</w:t>
                    </w:r>
                    <w:r>
                      <w:rPr>
                        <w:spacing w:val="-5"/>
                        <w:sz w:val="18"/>
                      </w:rPr>
                      <w:fldChar w:fldCharType="end"/>
                    </w:r>
                  </w:p>
                </w:txbxContent>
              </v:textbox>
              <w10:wrap type="none"/>
            </v:shape>
          </w:pict>
        </mc:Fallback>
      </mc:AlternateContent>
    </w:r>
  </w:p>
</w:ftr>
</file>

<file path=word/footer3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33184">
              <wp:simplePos x="0" y="0"/>
              <wp:positionH relativeFrom="page">
                <wp:posOffset>701344</wp:posOffset>
              </wp:positionH>
              <wp:positionV relativeFrom="page">
                <wp:posOffset>10094671</wp:posOffset>
              </wp:positionV>
              <wp:extent cx="6158230" cy="6350"/>
              <wp:effectExtent l="0" t="0" r="0" b="0"/>
              <wp:wrapNone/>
              <wp:docPr id="433" name="Graphic 433"/>
              <wp:cNvGraphicFramePr>
                <a:graphicFrameLocks/>
              </wp:cNvGraphicFramePr>
              <a:graphic>
                <a:graphicData uri="http://schemas.microsoft.com/office/word/2010/wordprocessingShape">
                  <wps:wsp>
                    <wps:cNvPr id="433" name="Graphic 433"/>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83296" id="docshape376"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33696">
              <wp:simplePos x="0" y="0"/>
              <wp:positionH relativeFrom="page">
                <wp:posOffset>706932</wp:posOffset>
              </wp:positionH>
              <wp:positionV relativeFrom="page">
                <wp:posOffset>10113284</wp:posOffset>
              </wp:positionV>
              <wp:extent cx="5570855" cy="139700"/>
              <wp:effectExtent l="0" t="0" r="0" b="0"/>
              <wp:wrapNone/>
              <wp:docPr id="434" name="Textbox 434"/>
              <wp:cNvGraphicFramePr>
                <a:graphicFrameLocks/>
              </wp:cNvGraphicFramePr>
              <a:graphic>
                <a:graphicData uri="http://schemas.microsoft.com/office/word/2010/wordprocessingShape">
                  <wps:wsp>
                    <wps:cNvPr id="434" name="Textbox 434"/>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82784" type="#_x0000_t202" id="docshape377"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34208">
              <wp:simplePos x="0" y="0"/>
              <wp:positionH relativeFrom="page">
                <wp:posOffset>6612635</wp:posOffset>
              </wp:positionH>
              <wp:positionV relativeFrom="page">
                <wp:posOffset>10102246</wp:posOffset>
              </wp:positionV>
              <wp:extent cx="281305" cy="153670"/>
              <wp:effectExtent l="0" t="0" r="0" b="0"/>
              <wp:wrapNone/>
              <wp:docPr id="435" name="Textbox 435"/>
              <wp:cNvGraphicFramePr>
                <a:graphicFrameLocks/>
              </wp:cNvGraphicFramePr>
              <a:graphic>
                <a:graphicData uri="http://schemas.microsoft.com/office/word/2010/wordprocessingShape">
                  <wps:wsp>
                    <wps:cNvPr id="435" name="Textbox 435"/>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126</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82272" type="#_x0000_t202" id="docshape378"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126</w:t>
                    </w:r>
                    <w:r>
                      <w:rPr>
                        <w:spacing w:val="-5"/>
                        <w:sz w:val="18"/>
                      </w:rPr>
                      <w:fldChar w:fldCharType="end"/>
                    </w:r>
                  </w:p>
                </w:txbxContent>
              </v:textbox>
              <w10:wrap type="none"/>
            </v:shape>
          </w:pict>
        </mc:Fallback>
      </mc:AlternateContent>
    </w:r>
  </w:p>
</w:ftr>
</file>

<file path=word/footer3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36768">
              <wp:simplePos x="0" y="0"/>
              <wp:positionH relativeFrom="page">
                <wp:posOffset>701344</wp:posOffset>
              </wp:positionH>
              <wp:positionV relativeFrom="page">
                <wp:posOffset>10094671</wp:posOffset>
              </wp:positionV>
              <wp:extent cx="6158230" cy="6350"/>
              <wp:effectExtent l="0" t="0" r="0" b="0"/>
              <wp:wrapNone/>
              <wp:docPr id="440" name="Graphic 440"/>
              <wp:cNvGraphicFramePr>
                <a:graphicFrameLocks/>
              </wp:cNvGraphicFramePr>
              <a:graphic>
                <a:graphicData uri="http://schemas.microsoft.com/office/word/2010/wordprocessingShape">
                  <wps:wsp>
                    <wps:cNvPr id="440" name="Graphic 440"/>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79712" id="docshape38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37280">
              <wp:simplePos x="0" y="0"/>
              <wp:positionH relativeFrom="page">
                <wp:posOffset>706932</wp:posOffset>
              </wp:positionH>
              <wp:positionV relativeFrom="page">
                <wp:posOffset>10113284</wp:posOffset>
              </wp:positionV>
              <wp:extent cx="5570855" cy="139700"/>
              <wp:effectExtent l="0" t="0" r="0" b="0"/>
              <wp:wrapNone/>
              <wp:docPr id="441" name="Textbox 441"/>
              <wp:cNvGraphicFramePr>
                <a:graphicFrameLocks/>
              </wp:cNvGraphicFramePr>
              <a:graphic>
                <a:graphicData uri="http://schemas.microsoft.com/office/word/2010/wordprocessingShape">
                  <wps:wsp>
                    <wps:cNvPr id="441" name="Textbox 441"/>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79200" type="#_x0000_t202" id="docshape382"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37792">
              <wp:simplePos x="0" y="0"/>
              <wp:positionH relativeFrom="page">
                <wp:posOffset>6612635</wp:posOffset>
              </wp:positionH>
              <wp:positionV relativeFrom="page">
                <wp:posOffset>10102246</wp:posOffset>
              </wp:positionV>
              <wp:extent cx="281305" cy="153670"/>
              <wp:effectExtent l="0" t="0" r="0" b="0"/>
              <wp:wrapNone/>
              <wp:docPr id="442" name="Textbox 442"/>
              <wp:cNvGraphicFramePr>
                <a:graphicFrameLocks/>
              </wp:cNvGraphicFramePr>
              <a:graphic>
                <a:graphicData uri="http://schemas.microsoft.com/office/word/2010/wordprocessingShape">
                  <wps:wsp>
                    <wps:cNvPr id="442" name="Textbox 442"/>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127</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78688" type="#_x0000_t202" id="docshape383"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127</w:t>
                    </w:r>
                    <w:r>
                      <w:rPr>
                        <w:spacing w:val="-5"/>
                        <w:sz w:val="18"/>
                      </w:rPr>
                      <w:fldChar w:fldCharType="end"/>
                    </w:r>
                  </w:p>
                </w:txbxContent>
              </v:textbox>
              <w10:wrap type="none"/>
            </v:shape>
          </w:pict>
        </mc:Fallback>
      </mc:AlternateContent>
    </w:r>
  </w:p>
</w:ftr>
</file>

<file path=word/footer3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38304">
              <wp:simplePos x="0" y="0"/>
              <wp:positionH relativeFrom="page">
                <wp:posOffset>701344</wp:posOffset>
              </wp:positionH>
              <wp:positionV relativeFrom="page">
                <wp:posOffset>10094671</wp:posOffset>
              </wp:positionV>
              <wp:extent cx="6158230" cy="6350"/>
              <wp:effectExtent l="0" t="0" r="0" b="0"/>
              <wp:wrapNone/>
              <wp:docPr id="443" name="Graphic 443"/>
              <wp:cNvGraphicFramePr>
                <a:graphicFrameLocks/>
              </wp:cNvGraphicFramePr>
              <a:graphic>
                <a:graphicData uri="http://schemas.microsoft.com/office/word/2010/wordprocessingShape">
                  <wps:wsp>
                    <wps:cNvPr id="443" name="Graphic 443"/>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78176" id="docshape384"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38816">
              <wp:simplePos x="0" y="0"/>
              <wp:positionH relativeFrom="page">
                <wp:posOffset>706932</wp:posOffset>
              </wp:positionH>
              <wp:positionV relativeFrom="page">
                <wp:posOffset>10113284</wp:posOffset>
              </wp:positionV>
              <wp:extent cx="5570855" cy="139700"/>
              <wp:effectExtent l="0" t="0" r="0" b="0"/>
              <wp:wrapNone/>
              <wp:docPr id="444" name="Textbox 444"/>
              <wp:cNvGraphicFramePr>
                <a:graphicFrameLocks/>
              </wp:cNvGraphicFramePr>
              <a:graphic>
                <a:graphicData uri="http://schemas.microsoft.com/office/word/2010/wordprocessingShape">
                  <wps:wsp>
                    <wps:cNvPr id="444" name="Textbox 444"/>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77664" type="#_x0000_t202" id="docshape385"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39328">
              <wp:simplePos x="0" y="0"/>
              <wp:positionH relativeFrom="page">
                <wp:posOffset>6612635</wp:posOffset>
              </wp:positionH>
              <wp:positionV relativeFrom="page">
                <wp:posOffset>10102246</wp:posOffset>
              </wp:positionV>
              <wp:extent cx="281305" cy="153670"/>
              <wp:effectExtent l="0" t="0" r="0" b="0"/>
              <wp:wrapNone/>
              <wp:docPr id="445" name="Textbox 445"/>
              <wp:cNvGraphicFramePr>
                <a:graphicFrameLocks/>
              </wp:cNvGraphicFramePr>
              <a:graphic>
                <a:graphicData uri="http://schemas.microsoft.com/office/word/2010/wordprocessingShape">
                  <wps:wsp>
                    <wps:cNvPr id="445" name="Textbox 445"/>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128</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77152" type="#_x0000_t202" id="docshape386"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128</w:t>
                    </w:r>
                    <w:r>
                      <w:rPr>
                        <w:spacing w:val="-5"/>
                        <w:sz w:val="18"/>
                      </w:rPr>
                      <w:fldChar w:fldCharType="end"/>
                    </w:r>
                  </w:p>
                </w:txbxContent>
              </v:textbox>
              <w10:wrap type="none"/>
            </v:shape>
          </w:pict>
        </mc:Fallback>
      </mc:AlternateContent>
    </w:r>
  </w:p>
</w:ftr>
</file>

<file path=word/footer3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41888">
              <wp:simplePos x="0" y="0"/>
              <wp:positionH relativeFrom="page">
                <wp:posOffset>701344</wp:posOffset>
              </wp:positionH>
              <wp:positionV relativeFrom="page">
                <wp:posOffset>10094671</wp:posOffset>
              </wp:positionV>
              <wp:extent cx="6158230" cy="6350"/>
              <wp:effectExtent l="0" t="0" r="0" b="0"/>
              <wp:wrapNone/>
              <wp:docPr id="476" name="Graphic 476"/>
              <wp:cNvGraphicFramePr>
                <a:graphicFrameLocks/>
              </wp:cNvGraphicFramePr>
              <a:graphic>
                <a:graphicData uri="http://schemas.microsoft.com/office/word/2010/wordprocessingShape">
                  <wps:wsp>
                    <wps:cNvPr id="476" name="Graphic 476"/>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74592" id="docshape415"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42400">
              <wp:simplePos x="0" y="0"/>
              <wp:positionH relativeFrom="page">
                <wp:posOffset>706932</wp:posOffset>
              </wp:positionH>
              <wp:positionV relativeFrom="page">
                <wp:posOffset>10113284</wp:posOffset>
              </wp:positionV>
              <wp:extent cx="5570855" cy="139700"/>
              <wp:effectExtent l="0" t="0" r="0" b="0"/>
              <wp:wrapNone/>
              <wp:docPr id="477" name="Textbox 477"/>
              <wp:cNvGraphicFramePr>
                <a:graphicFrameLocks/>
              </wp:cNvGraphicFramePr>
              <a:graphic>
                <a:graphicData uri="http://schemas.microsoft.com/office/word/2010/wordprocessingShape">
                  <wps:wsp>
                    <wps:cNvPr id="477" name="Textbox 477"/>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74080" type="#_x0000_t202" id="docshape41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42912">
              <wp:simplePos x="0" y="0"/>
              <wp:positionH relativeFrom="page">
                <wp:posOffset>6612635</wp:posOffset>
              </wp:positionH>
              <wp:positionV relativeFrom="page">
                <wp:posOffset>10102246</wp:posOffset>
              </wp:positionV>
              <wp:extent cx="281305" cy="153670"/>
              <wp:effectExtent l="0" t="0" r="0" b="0"/>
              <wp:wrapNone/>
              <wp:docPr id="478" name="Textbox 478"/>
              <wp:cNvGraphicFramePr>
                <a:graphicFrameLocks/>
              </wp:cNvGraphicFramePr>
              <a:graphic>
                <a:graphicData uri="http://schemas.microsoft.com/office/word/2010/wordprocessingShape">
                  <wps:wsp>
                    <wps:cNvPr id="478" name="Textbox 478"/>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129</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73568" type="#_x0000_t202" id="docshape417"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129</w:t>
                    </w:r>
                    <w:r>
                      <w:rPr>
                        <w:spacing w:val="-5"/>
                        <w:sz w:val="18"/>
                      </w:rPr>
                      <w:fldChar w:fldCharType="end"/>
                    </w:r>
                  </w:p>
                </w:txbxContent>
              </v:textbox>
              <w10:wrap type="none"/>
            </v:shape>
          </w:pict>
        </mc:Fallback>
      </mc:AlternateContent>
    </w:r>
  </w:p>
</w:ftr>
</file>

<file path=word/footer3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43424">
              <wp:simplePos x="0" y="0"/>
              <wp:positionH relativeFrom="page">
                <wp:posOffset>701344</wp:posOffset>
              </wp:positionH>
              <wp:positionV relativeFrom="page">
                <wp:posOffset>10094671</wp:posOffset>
              </wp:positionV>
              <wp:extent cx="6158230" cy="6350"/>
              <wp:effectExtent l="0" t="0" r="0" b="0"/>
              <wp:wrapNone/>
              <wp:docPr id="479" name="Graphic 479"/>
              <wp:cNvGraphicFramePr>
                <a:graphicFrameLocks/>
              </wp:cNvGraphicFramePr>
              <a:graphic>
                <a:graphicData uri="http://schemas.microsoft.com/office/word/2010/wordprocessingShape">
                  <wps:wsp>
                    <wps:cNvPr id="479" name="Graphic 479"/>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94.856018pt;width:484.9pt;height:.47998pt;mso-position-horizontal-relative:page;mso-position-vertical-relative:page;z-index:-28973056" id="docshape418"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43936">
              <wp:simplePos x="0" y="0"/>
              <wp:positionH relativeFrom="page">
                <wp:posOffset>706932</wp:posOffset>
              </wp:positionH>
              <wp:positionV relativeFrom="page">
                <wp:posOffset>10113284</wp:posOffset>
              </wp:positionV>
              <wp:extent cx="5570855" cy="139700"/>
              <wp:effectExtent l="0" t="0" r="0" b="0"/>
              <wp:wrapNone/>
              <wp:docPr id="480" name="Textbox 480"/>
              <wp:cNvGraphicFramePr>
                <a:graphicFrameLocks/>
              </wp:cNvGraphicFramePr>
              <a:graphic>
                <a:graphicData uri="http://schemas.microsoft.com/office/word/2010/wordprocessingShape">
                  <wps:wsp>
                    <wps:cNvPr id="480" name="Textbox 480"/>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64001pt;margin-top:796.321594pt;width:438.65pt;height:11pt;mso-position-horizontal-relative:page;mso-position-vertical-relative:page;z-index:-28972544" type="#_x0000_t202" id="docshape419"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44448">
              <wp:simplePos x="0" y="0"/>
              <wp:positionH relativeFrom="page">
                <wp:posOffset>6612635</wp:posOffset>
              </wp:positionH>
              <wp:positionV relativeFrom="page">
                <wp:posOffset>10102246</wp:posOffset>
              </wp:positionV>
              <wp:extent cx="281305" cy="153670"/>
              <wp:effectExtent l="0" t="0" r="0" b="0"/>
              <wp:wrapNone/>
              <wp:docPr id="481" name="Textbox 481"/>
              <wp:cNvGraphicFramePr>
                <a:graphicFrameLocks/>
              </wp:cNvGraphicFramePr>
              <a:graphic>
                <a:graphicData uri="http://schemas.microsoft.com/office/word/2010/wordprocessingShape">
                  <wps:wsp>
                    <wps:cNvPr id="481" name="Textbox 481"/>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130</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95.452515pt;width:22.15pt;height:12.1pt;mso-position-horizontal-relative:page;mso-position-vertical-relative:page;z-index:-28972032" type="#_x0000_t202" id="docshape420"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130</w:t>
                    </w:r>
                    <w:r>
                      <w:rPr>
                        <w:spacing w:val="-5"/>
                        <w:sz w:val="18"/>
                      </w:rPr>
                      <w:fldChar w:fldCharType="end"/>
                    </w:r>
                  </w:p>
                </w:txbxContent>
              </v:textbox>
              <w10:wrap type="none"/>
            </v:shape>
          </w:pict>
        </mc:Fallback>
      </mc:AlternateContent>
    </w:r>
  </w:p>
</w:ftr>
</file>

<file path=word/footer3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44960">
              <wp:simplePos x="0" y="0"/>
              <wp:positionH relativeFrom="page">
                <wp:posOffset>706627</wp:posOffset>
              </wp:positionH>
              <wp:positionV relativeFrom="page">
                <wp:posOffset>6981464</wp:posOffset>
              </wp:positionV>
              <wp:extent cx="5570855" cy="139700"/>
              <wp:effectExtent l="0" t="0" r="0" b="0"/>
              <wp:wrapNone/>
              <wp:docPr id="482" name="Textbox 482"/>
              <wp:cNvGraphicFramePr>
                <a:graphicFrameLocks/>
              </wp:cNvGraphicFramePr>
              <a:graphic>
                <a:graphicData uri="http://schemas.microsoft.com/office/word/2010/wordprocessingShape">
                  <wps:wsp>
                    <wps:cNvPr id="482" name="Textbox 482"/>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39999pt;margin-top:549.721619pt;width:438.65pt;height:11pt;mso-position-horizontal-relative:page;mso-position-vertical-relative:page;z-index:-28971520" type="#_x0000_t202" id="docshape421"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45472">
              <wp:simplePos x="0" y="0"/>
              <wp:positionH relativeFrom="page">
                <wp:posOffset>8868918</wp:posOffset>
              </wp:positionH>
              <wp:positionV relativeFrom="page">
                <wp:posOffset>6970427</wp:posOffset>
              </wp:positionV>
              <wp:extent cx="217804" cy="153670"/>
              <wp:effectExtent l="0" t="0" r="0" b="0"/>
              <wp:wrapNone/>
              <wp:docPr id="483" name="Textbox 483"/>
              <wp:cNvGraphicFramePr>
                <a:graphicFrameLocks/>
              </wp:cNvGraphicFramePr>
              <a:graphic>
                <a:graphicData uri="http://schemas.microsoft.com/office/word/2010/wordprocessingShape">
                  <wps:wsp>
                    <wps:cNvPr id="483" name="Textbox 483"/>
                    <wps:cNvSpPr txBox="1"/>
                    <wps:spPr>
                      <a:xfrm>
                        <a:off x="0" y="0"/>
                        <a:ext cx="217804" cy="153670"/>
                      </a:xfrm>
                      <a:prstGeom prst="rect">
                        <a:avLst/>
                      </a:prstGeom>
                    </wps:spPr>
                    <wps:txbx>
                      <w:txbxContent>
                        <w:p>
                          <w:pPr>
                            <w:spacing w:before="14"/>
                            <w:ind w:left="20" w:right="0" w:firstLine="0"/>
                            <w:jc w:val="left"/>
                            <w:rPr>
                              <w:sz w:val="18"/>
                            </w:rPr>
                          </w:pPr>
                          <w:r>
                            <w:rPr>
                              <w:spacing w:val="-5"/>
                              <w:sz w:val="18"/>
                            </w:rPr>
                            <w:t>131</w:t>
                          </w:r>
                        </w:p>
                      </w:txbxContent>
                    </wps:txbx>
                    <wps:bodyPr wrap="square" lIns="0" tIns="0" rIns="0" bIns="0" rtlCol="0">
                      <a:noAutofit/>
                    </wps:bodyPr>
                  </wps:wsp>
                </a:graphicData>
              </a:graphic>
            </wp:anchor>
          </w:drawing>
        </mc:Choice>
        <mc:Fallback>
          <w:pict>
            <v:shape style="position:absolute;margin-left:698.340027pt;margin-top:548.852539pt;width:17.150pt;height:12.1pt;mso-position-horizontal-relative:page;mso-position-vertical-relative:page;z-index:-28971008" type="#_x0000_t202" id="docshape422" filled="false" stroked="false">
              <v:textbox inset="0,0,0,0">
                <w:txbxContent>
                  <w:p>
                    <w:pPr>
                      <w:spacing w:before="14"/>
                      <w:ind w:left="20" w:right="0" w:firstLine="0"/>
                      <w:jc w:val="left"/>
                      <w:rPr>
                        <w:sz w:val="18"/>
                      </w:rPr>
                    </w:pPr>
                    <w:r>
                      <w:rPr>
                        <w:spacing w:val="-5"/>
                        <w:sz w:val="18"/>
                      </w:rPr>
                      <w:t>131</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45984">
              <wp:simplePos x="0" y="0"/>
              <wp:positionH relativeFrom="page">
                <wp:posOffset>706627</wp:posOffset>
              </wp:positionH>
              <wp:positionV relativeFrom="page">
                <wp:posOffset>6981464</wp:posOffset>
              </wp:positionV>
              <wp:extent cx="5570855" cy="139700"/>
              <wp:effectExtent l="0" t="0" r="0" b="0"/>
              <wp:wrapNone/>
              <wp:docPr id="484" name="Textbox 484"/>
              <wp:cNvGraphicFramePr>
                <a:graphicFrameLocks/>
              </wp:cNvGraphicFramePr>
              <a:graphic>
                <a:graphicData uri="http://schemas.microsoft.com/office/word/2010/wordprocessingShape">
                  <wps:wsp>
                    <wps:cNvPr id="484" name="Textbox 484"/>
                    <wps:cNvSpPr txBox="1"/>
                    <wps:spPr>
                      <a:xfrm>
                        <a:off x="0" y="0"/>
                        <a:ext cx="557085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wps:txbx>
                    <wps:bodyPr wrap="square" lIns="0" tIns="0" rIns="0" bIns="0" rtlCol="0">
                      <a:noAutofit/>
                    </wps:bodyPr>
                  </wps:wsp>
                </a:graphicData>
              </a:graphic>
            </wp:anchor>
          </w:drawing>
        </mc:Choice>
        <mc:Fallback>
          <w:pict>
            <v:shape style="position:absolute;margin-left:55.639999pt;margin-top:549.721619pt;width:438.65pt;height:11pt;mso-position-horizontal-relative:page;mso-position-vertical-relative:page;z-index:-28970496" type="#_x0000_t202" id="docshape423"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5"/>
                        <w:sz w:val="16"/>
                      </w:rPr>
                      <w:t> </w:t>
                    </w:r>
                    <w:r>
                      <w:rPr>
                        <w:sz w:val="16"/>
                      </w:rPr>
                      <w:t>DE</w:t>
                    </w:r>
                    <w:r>
                      <w:rPr>
                        <w:spacing w:val="-4"/>
                        <w:sz w:val="16"/>
                      </w:rPr>
                      <w:t> </w:t>
                    </w:r>
                    <w:r>
                      <w:rPr>
                        <w:sz w:val="16"/>
                      </w:rPr>
                      <w:t>FISCALIZACIÓN</w:t>
                    </w:r>
                    <w:r>
                      <w:rPr>
                        <w:spacing w:val="-7"/>
                        <w:sz w:val="16"/>
                      </w:rPr>
                      <w:t> </w:t>
                    </w:r>
                    <w:r>
                      <w:rPr>
                        <w:sz w:val="16"/>
                      </w:rPr>
                      <w:t>APROBADO</w:t>
                    </w:r>
                    <w:r>
                      <w:rPr>
                        <w:spacing w:val="-5"/>
                        <w:sz w:val="16"/>
                      </w:rPr>
                      <w:t> </w:t>
                    </w:r>
                    <w:r>
                      <w:rPr>
                        <w:sz w:val="16"/>
                      </w:rPr>
                      <w:t>POR</w:t>
                    </w:r>
                    <w:r>
                      <w:rPr>
                        <w:spacing w:val="-7"/>
                        <w:sz w:val="16"/>
                      </w:rPr>
                      <w:t> </w:t>
                    </w:r>
                    <w:r>
                      <w:rPr>
                        <w:sz w:val="16"/>
                      </w:rPr>
                      <w:t>EL</w:t>
                    </w:r>
                    <w:r>
                      <w:rPr>
                        <w:spacing w:val="-6"/>
                        <w:sz w:val="16"/>
                      </w:rPr>
                      <w:t> </w:t>
                    </w:r>
                    <w:r>
                      <w:rPr>
                        <w:sz w:val="16"/>
                      </w:rPr>
                      <w:t>PLENO</w:t>
                    </w:r>
                    <w:r>
                      <w:rPr>
                        <w:spacing w:val="-6"/>
                        <w:sz w:val="16"/>
                      </w:rPr>
                      <w:t> </w:t>
                    </w:r>
                    <w:r>
                      <w:rPr>
                        <w:sz w:val="16"/>
                      </w:rPr>
                      <w:t>DEL</w:t>
                    </w:r>
                    <w:r>
                      <w:rPr>
                        <w:spacing w:val="-7"/>
                        <w:sz w:val="16"/>
                      </w:rPr>
                      <w:t> </w:t>
                    </w:r>
                    <w:r>
                      <w:rPr>
                        <w:sz w:val="16"/>
                      </w:rPr>
                      <w:t>TRIBUNAL</w:t>
                    </w:r>
                    <w:r>
                      <w:rPr>
                        <w:spacing w:val="-3"/>
                        <w:sz w:val="16"/>
                      </w:rPr>
                      <w:t> </w:t>
                    </w:r>
                    <w:r>
                      <w:rPr>
                        <w:sz w:val="16"/>
                      </w:rPr>
                      <w:t>DE</w:t>
                    </w:r>
                    <w:r>
                      <w:rPr>
                        <w:spacing w:val="-3"/>
                        <w:sz w:val="16"/>
                      </w:rPr>
                      <w:t> </w:t>
                    </w:r>
                    <w:r>
                      <w:rPr>
                        <w:sz w:val="16"/>
                      </w:rPr>
                      <w:t>CUENTAS</w:t>
                    </w:r>
                    <w:r>
                      <w:rPr>
                        <w:spacing w:val="-5"/>
                        <w:sz w:val="16"/>
                      </w:rPr>
                      <w:t> </w:t>
                    </w:r>
                    <w:r>
                      <w:rPr>
                        <w:sz w:val="16"/>
                      </w:rPr>
                      <w:t>EL</w:t>
                    </w:r>
                    <w:r>
                      <w:rPr>
                        <w:spacing w:val="-6"/>
                        <w:sz w:val="16"/>
                      </w:rPr>
                      <w:t> </w:t>
                    </w:r>
                    <w:r>
                      <w:rPr>
                        <w:spacing w:val="-2"/>
                        <w:sz w:val="16"/>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46496">
              <wp:simplePos x="0" y="0"/>
              <wp:positionH relativeFrom="page">
                <wp:posOffset>8868918</wp:posOffset>
              </wp:positionH>
              <wp:positionV relativeFrom="page">
                <wp:posOffset>6970427</wp:posOffset>
              </wp:positionV>
              <wp:extent cx="217804" cy="153670"/>
              <wp:effectExtent l="0" t="0" r="0" b="0"/>
              <wp:wrapNone/>
              <wp:docPr id="485" name="Textbox 485"/>
              <wp:cNvGraphicFramePr>
                <a:graphicFrameLocks/>
              </wp:cNvGraphicFramePr>
              <a:graphic>
                <a:graphicData uri="http://schemas.microsoft.com/office/word/2010/wordprocessingShape">
                  <wps:wsp>
                    <wps:cNvPr id="485" name="Textbox 485"/>
                    <wps:cNvSpPr txBox="1"/>
                    <wps:spPr>
                      <a:xfrm>
                        <a:off x="0" y="0"/>
                        <a:ext cx="217804" cy="153670"/>
                      </a:xfrm>
                      <a:prstGeom prst="rect">
                        <a:avLst/>
                      </a:prstGeom>
                    </wps:spPr>
                    <wps:txbx>
                      <w:txbxContent>
                        <w:p>
                          <w:pPr>
                            <w:spacing w:before="14"/>
                            <w:ind w:left="20" w:right="0" w:firstLine="0"/>
                            <w:jc w:val="left"/>
                            <w:rPr>
                              <w:sz w:val="18"/>
                            </w:rPr>
                          </w:pPr>
                          <w:r>
                            <w:rPr>
                              <w:spacing w:val="-5"/>
                              <w:sz w:val="18"/>
                            </w:rPr>
                            <w:t>132</w:t>
                          </w:r>
                        </w:p>
                      </w:txbxContent>
                    </wps:txbx>
                    <wps:bodyPr wrap="square" lIns="0" tIns="0" rIns="0" bIns="0" rtlCol="0">
                      <a:noAutofit/>
                    </wps:bodyPr>
                  </wps:wsp>
                </a:graphicData>
              </a:graphic>
            </wp:anchor>
          </w:drawing>
        </mc:Choice>
        <mc:Fallback>
          <w:pict>
            <v:shape style="position:absolute;margin-left:698.340027pt;margin-top:548.852539pt;width:17.150pt;height:12.1pt;mso-position-horizontal-relative:page;mso-position-vertical-relative:page;z-index:-28969984" type="#_x0000_t202" id="docshape424" filled="false" stroked="false">
              <v:textbox inset="0,0,0,0">
                <w:txbxContent>
                  <w:p>
                    <w:pPr>
                      <w:spacing w:before="14"/>
                      <w:ind w:left="20" w:right="0" w:firstLine="0"/>
                      <w:jc w:val="left"/>
                      <w:rPr>
                        <w:sz w:val="18"/>
                      </w:rPr>
                    </w:pPr>
                    <w:r>
                      <w:rPr>
                        <w:spacing w:val="-5"/>
                        <w:sz w:val="18"/>
                      </w:rPr>
                      <w:t>132</w:t>
                    </w:r>
                  </w:p>
                </w:txbxContent>
              </v:textbox>
              <w10:wrap type="none"/>
            </v:shape>
          </w:pict>
        </mc:Fallback>
      </mc:AlternateContent>
    </w:r>
  </w:p>
</w:ftr>
</file>

<file path=word/footer4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47520">
              <wp:simplePos x="0" y="0"/>
              <wp:positionH relativeFrom="page">
                <wp:posOffset>701344</wp:posOffset>
              </wp:positionH>
              <wp:positionV relativeFrom="page">
                <wp:posOffset>9955986</wp:posOffset>
              </wp:positionV>
              <wp:extent cx="6158230" cy="6350"/>
              <wp:effectExtent l="0" t="0" r="0" b="0"/>
              <wp:wrapNone/>
              <wp:docPr id="495" name="Graphic 495"/>
              <wp:cNvGraphicFramePr>
                <a:graphicFrameLocks/>
              </wp:cNvGraphicFramePr>
              <a:graphic>
                <a:graphicData uri="http://schemas.microsoft.com/office/word/2010/wordprocessingShape">
                  <wps:wsp>
                    <wps:cNvPr id="495" name="Graphic 495"/>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83.935974pt;width:484.9pt;height:.47998pt;mso-position-horizontal-relative:page;mso-position-vertical-relative:page;z-index:-28968960" id="docshape429"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48032">
              <wp:simplePos x="0" y="0"/>
              <wp:positionH relativeFrom="page">
                <wp:posOffset>706932</wp:posOffset>
              </wp:positionH>
              <wp:positionV relativeFrom="page">
                <wp:posOffset>9976973</wp:posOffset>
              </wp:positionV>
              <wp:extent cx="5585460" cy="153670"/>
              <wp:effectExtent l="0" t="0" r="0" b="0"/>
              <wp:wrapNone/>
              <wp:docPr id="496" name="Textbox 496"/>
              <wp:cNvGraphicFramePr>
                <a:graphicFrameLocks/>
              </wp:cNvGraphicFramePr>
              <a:graphic>
                <a:graphicData uri="http://schemas.microsoft.com/office/word/2010/wordprocessingShape">
                  <wps:wsp>
                    <wps:cNvPr id="496" name="Textbox 496"/>
                    <wps:cNvSpPr txBox="1"/>
                    <wps:spPr>
                      <a:xfrm>
                        <a:off x="0" y="0"/>
                        <a:ext cx="5585460" cy="153670"/>
                      </a:xfrm>
                      <a:prstGeom prst="rect">
                        <a:avLst/>
                      </a:prstGeom>
                    </wps:spPr>
                    <wps:txbx>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3"/>
                              <w:sz w:val="18"/>
                            </w:rPr>
                            <w:t> </w:t>
                          </w:r>
                          <w:r>
                            <w:rPr>
                              <w:sz w:val="18"/>
                            </w:rPr>
                            <w:t>APROBADO</w:t>
                          </w:r>
                          <w:r>
                            <w:rPr>
                              <w:spacing w:val="-4"/>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18/12/2025</w:t>
                          </w:r>
                        </w:p>
                      </w:txbxContent>
                    </wps:txbx>
                    <wps:bodyPr wrap="square" lIns="0" tIns="0" rIns="0" bIns="0" rtlCol="0">
                      <a:noAutofit/>
                    </wps:bodyPr>
                  </wps:wsp>
                </a:graphicData>
              </a:graphic>
            </wp:anchor>
          </w:drawing>
        </mc:Choice>
        <mc:Fallback>
          <w:pict>
            <v:shape style="position:absolute;margin-left:55.664001pt;margin-top:785.588501pt;width:439.8pt;height:12.1pt;mso-position-horizontal-relative:page;mso-position-vertical-relative:page;z-index:-28968448" type="#_x0000_t202" id="docshape430" filled="false" stroked="false">
              <v:textbox inset="0,0,0,0">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3"/>
                        <w:sz w:val="18"/>
                      </w:rPr>
                      <w:t> </w:t>
                    </w:r>
                    <w:r>
                      <w:rPr>
                        <w:sz w:val="18"/>
                      </w:rPr>
                      <w:t>APROBADO</w:t>
                    </w:r>
                    <w:r>
                      <w:rPr>
                        <w:spacing w:val="-4"/>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48544">
              <wp:simplePos x="0" y="0"/>
              <wp:positionH relativeFrom="page">
                <wp:posOffset>6612635</wp:posOffset>
              </wp:positionH>
              <wp:positionV relativeFrom="page">
                <wp:posOffset>9976973</wp:posOffset>
              </wp:positionV>
              <wp:extent cx="281305" cy="153670"/>
              <wp:effectExtent l="0" t="0" r="0" b="0"/>
              <wp:wrapNone/>
              <wp:docPr id="497" name="Textbox 497"/>
              <wp:cNvGraphicFramePr>
                <a:graphicFrameLocks/>
              </wp:cNvGraphicFramePr>
              <a:graphic>
                <a:graphicData uri="http://schemas.microsoft.com/office/word/2010/wordprocessingShape">
                  <wps:wsp>
                    <wps:cNvPr id="497" name="Textbox 497"/>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135</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85.588501pt;width:22.15pt;height:12.1pt;mso-position-horizontal-relative:page;mso-position-vertical-relative:page;z-index:-28967936" type="#_x0000_t202" id="docshape431"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135</w:t>
                    </w:r>
                    <w:r>
                      <w:rPr>
                        <w:spacing w:val="-5"/>
                        <w:sz w:val="18"/>
                      </w:rPr>
                      <w:fldChar w:fldCharType="end"/>
                    </w:r>
                  </w:p>
                </w:txbxContent>
              </v:textbox>
              <w10:wrap type="none"/>
            </v:shape>
          </w:pict>
        </mc:Fallback>
      </mc:AlternateContent>
    </w:r>
  </w:p>
</w:ftr>
</file>

<file path=word/footer4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49568">
              <wp:simplePos x="0" y="0"/>
              <wp:positionH relativeFrom="page">
                <wp:posOffset>701344</wp:posOffset>
              </wp:positionH>
              <wp:positionV relativeFrom="page">
                <wp:posOffset>9955986</wp:posOffset>
              </wp:positionV>
              <wp:extent cx="6158230" cy="6350"/>
              <wp:effectExtent l="0" t="0" r="0" b="0"/>
              <wp:wrapNone/>
              <wp:docPr id="499" name="Graphic 499"/>
              <wp:cNvGraphicFramePr>
                <a:graphicFrameLocks/>
              </wp:cNvGraphicFramePr>
              <a:graphic>
                <a:graphicData uri="http://schemas.microsoft.com/office/word/2010/wordprocessingShape">
                  <wps:wsp>
                    <wps:cNvPr id="499" name="Graphic 499"/>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83.935974pt;width:484.9pt;height:.47998pt;mso-position-horizontal-relative:page;mso-position-vertical-relative:page;z-index:-28966912" id="docshape432"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350080">
              <wp:simplePos x="0" y="0"/>
              <wp:positionH relativeFrom="page">
                <wp:posOffset>706932</wp:posOffset>
              </wp:positionH>
              <wp:positionV relativeFrom="page">
                <wp:posOffset>9976973</wp:posOffset>
              </wp:positionV>
              <wp:extent cx="5585460" cy="153670"/>
              <wp:effectExtent l="0" t="0" r="0" b="0"/>
              <wp:wrapNone/>
              <wp:docPr id="500" name="Textbox 500"/>
              <wp:cNvGraphicFramePr>
                <a:graphicFrameLocks/>
              </wp:cNvGraphicFramePr>
              <a:graphic>
                <a:graphicData uri="http://schemas.microsoft.com/office/word/2010/wordprocessingShape">
                  <wps:wsp>
                    <wps:cNvPr id="500" name="Textbox 500"/>
                    <wps:cNvSpPr txBox="1"/>
                    <wps:spPr>
                      <a:xfrm>
                        <a:off x="0" y="0"/>
                        <a:ext cx="5585460" cy="153670"/>
                      </a:xfrm>
                      <a:prstGeom prst="rect">
                        <a:avLst/>
                      </a:prstGeom>
                    </wps:spPr>
                    <wps:txbx>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3"/>
                              <w:sz w:val="18"/>
                            </w:rPr>
                            <w:t> </w:t>
                          </w:r>
                          <w:r>
                            <w:rPr>
                              <w:sz w:val="18"/>
                            </w:rPr>
                            <w:t>APROBADO</w:t>
                          </w:r>
                          <w:r>
                            <w:rPr>
                              <w:spacing w:val="-4"/>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18/12/2025</w:t>
                          </w:r>
                        </w:p>
                      </w:txbxContent>
                    </wps:txbx>
                    <wps:bodyPr wrap="square" lIns="0" tIns="0" rIns="0" bIns="0" rtlCol="0">
                      <a:noAutofit/>
                    </wps:bodyPr>
                  </wps:wsp>
                </a:graphicData>
              </a:graphic>
            </wp:anchor>
          </w:drawing>
        </mc:Choice>
        <mc:Fallback>
          <w:pict>
            <v:shape style="position:absolute;margin-left:55.664001pt;margin-top:785.588501pt;width:439.8pt;height:12.1pt;mso-position-horizontal-relative:page;mso-position-vertical-relative:page;z-index:-28966400" type="#_x0000_t202" id="docshape433" filled="false" stroked="false">
              <v:textbox inset="0,0,0,0">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3"/>
                        <w:sz w:val="18"/>
                      </w:rPr>
                      <w:t> </w:t>
                    </w:r>
                    <w:r>
                      <w:rPr>
                        <w:sz w:val="18"/>
                      </w:rPr>
                      <w:t>APROBADO</w:t>
                    </w:r>
                    <w:r>
                      <w:rPr>
                        <w:spacing w:val="-4"/>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50592">
              <wp:simplePos x="0" y="0"/>
              <wp:positionH relativeFrom="page">
                <wp:posOffset>6612635</wp:posOffset>
              </wp:positionH>
              <wp:positionV relativeFrom="page">
                <wp:posOffset>9976973</wp:posOffset>
              </wp:positionV>
              <wp:extent cx="281305" cy="153670"/>
              <wp:effectExtent l="0" t="0" r="0" b="0"/>
              <wp:wrapNone/>
              <wp:docPr id="501" name="Textbox 501"/>
              <wp:cNvGraphicFramePr>
                <a:graphicFrameLocks/>
              </wp:cNvGraphicFramePr>
              <a:graphic>
                <a:graphicData uri="http://schemas.microsoft.com/office/word/2010/wordprocessingShape">
                  <wps:wsp>
                    <wps:cNvPr id="501" name="Textbox 501"/>
                    <wps:cNvSpPr txBox="1"/>
                    <wps:spPr>
                      <a:xfrm>
                        <a:off x="0" y="0"/>
                        <a:ext cx="281305" cy="153670"/>
                      </a:xfrm>
                      <a:prstGeom prst="rect">
                        <a:avLst/>
                      </a:prstGeom>
                    </wps:spPr>
                    <wps:txbx>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137</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0.679993pt;margin-top:785.588501pt;width:22.15pt;height:12.1pt;mso-position-horizontal-relative:page;mso-position-vertical-relative:page;z-index:-28965888" type="#_x0000_t202" id="docshape434" filled="false" stroked="false">
              <v:textbox inset="0,0,0,0">
                <w:txbxContent>
                  <w:p>
                    <w:pPr>
                      <w:spacing w:before="14"/>
                      <w:ind w:left="6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137</w:t>
                    </w:r>
                    <w:r>
                      <w:rPr>
                        <w:spacing w:val="-5"/>
                        <w:sz w:val="18"/>
                      </w:rPr>
                      <w:fldChar w:fldCharType="end"/>
                    </w:r>
                  </w:p>
                </w:txbxContent>
              </v:textbox>
              <w10:wrap type="none"/>
            </v:shape>
          </w:pict>
        </mc:Fallback>
      </mc:AlternateContent>
    </w:r>
  </w:p>
</w:ftr>
</file>

<file path=word/footer4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51104">
              <wp:simplePos x="0" y="0"/>
              <wp:positionH relativeFrom="page">
                <wp:posOffset>19811</wp:posOffset>
              </wp:positionH>
              <wp:positionV relativeFrom="page">
                <wp:posOffset>10212323</wp:posOffset>
              </wp:positionV>
              <wp:extent cx="7522845" cy="1270"/>
              <wp:effectExtent l="0" t="0" r="0" b="0"/>
              <wp:wrapNone/>
              <wp:docPr id="505" name="Graphic 505"/>
              <wp:cNvGraphicFramePr>
                <a:graphicFrameLocks/>
              </wp:cNvGraphicFramePr>
              <a:graphic>
                <a:graphicData uri="http://schemas.microsoft.com/office/word/2010/wordprocessingShape">
                  <wps:wsp>
                    <wps:cNvPr id="505" name="Graphic 505"/>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65376"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51616">
              <wp:simplePos x="0" y="0"/>
              <wp:positionH relativeFrom="page">
                <wp:posOffset>892530</wp:posOffset>
              </wp:positionH>
              <wp:positionV relativeFrom="page">
                <wp:posOffset>10010595</wp:posOffset>
              </wp:positionV>
              <wp:extent cx="275590" cy="167005"/>
              <wp:effectExtent l="0" t="0" r="0" b="0"/>
              <wp:wrapNone/>
              <wp:docPr id="506" name="Textbox 506"/>
              <wp:cNvGraphicFramePr>
                <a:graphicFrameLocks/>
              </wp:cNvGraphicFramePr>
              <a:graphic>
                <a:graphicData uri="http://schemas.microsoft.com/office/word/2010/wordprocessingShape">
                  <wps:wsp>
                    <wps:cNvPr id="506" name="Textbox 506"/>
                    <wps:cNvSpPr txBox="1"/>
                    <wps:spPr>
                      <a:xfrm>
                        <a:off x="0" y="0"/>
                        <a:ext cx="275590" cy="167005"/>
                      </a:xfrm>
                      <a:prstGeom prst="rect">
                        <a:avLst/>
                      </a:prstGeom>
                    </wps:spPr>
                    <wps:txbx>
                      <w:txbxContent>
                        <w:p>
                          <w:pPr>
                            <w:spacing w:before="12"/>
                            <w:ind w:left="20" w:right="0" w:firstLine="0"/>
                            <w:jc w:val="left"/>
                            <w:rPr>
                              <w:sz w:val="20"/>
                            </w:rPr>
                          </w:pPr>
                          <w:r>
                            <w:rPr>
                              <w:spacing w:val="-4"/>
                              <w:sz w:val="20"/>
                            </w:rPr>
                            <w:t>DNI:</w:t>
                          </w:r>
                        </w:p>
                      </w:txbxContent>
                    </wps:txbx>
                    <wps:bodyPr wrap="square" lIns="0" tIns="0" rIns="0" bIns="0" rtlCol="0">
                      <a:noAutofit/>
                    </wps:bodyPr>
                  </wps:wsp>
                </a:graphicData>
              </a:graphic>
            </wp:anchor>
          </w:drawing>
        </mc:Choice>
        <mc:Fallback>
          <w:pict>
            <v:shape style="position:absolute;margin-left:70.278pt;margin-top:788.23584pt;width:21.7pt;height:13.15pt;mso-position-horizontal-relative:page;mso-position-vertical-relative:page;z-index:-28964864" type="#_x0000_t202" id="docshape436" filled="false" stroked="false">
              <v:textbox inset="0,0,0,0">
                <w:txbxContent>
                  <w:p>
                    <w:pPr>
                      <w:spacing w:before="12"/>
                      <w:ind w:left="20" w:right="0" w:firstLine="0"/>
                      <w:jc w:val="left"/>
                      <w:rPr>
                        <w:sz w:val="20"/>
                      </w:rPr>
                    </w:pPr>
                    <w:r>
                      <w:rPr>
                        <w:spacing w:val="-4"/>
                        <w:sz w:val="20"/>
                      </w:rPr>
                      <w:t>DNI:</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52128">
              <wp:simplePos x="0" y="0"/>
              <wp:positionH relativeFrom="page">
                <wp:posOffset>3097822</wp:posOffset>
              </wp:positionH>
              <wp:positionV relativeFrom="page">
                <wp:posOffset>10313833</wp:posOffset>
              </wp:positionV>
              <wp:extent cx="830580" cy="167005"/>
              <wp:effectExtent l="0" t="0" r="0" b="0"/>
              <wp:wrapNone/>
              <wp:docPr id="507" name="Textbox 507"/>
              <wp:cNvGraphicFramePr>
                <a:graphicFrameLocks/>
              </wp:cNvGraphicFramePr>
              <a:graphic>
                <a:graphicData uri="http://schemas.microsoft.com/office/word/2010/wordprocessingShape">
                  <wps:wsp>
                    <wps:cNvPr id="507" name="Textbox 507"/>
                    <wps:cNvSpPr txBox="1"/>
                    <wps:spPr>
                      <a:xfrm>
                        <a:off x="0" y="0"/>
                        <a:ext cx="8305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t>1</w:t>
                          </w:r>
                          <w:r>
                            <w:rPr>
                              <w:spacing w:val="-5"/>
                              <w:sz w:val="20"/>
                            </w:rPr>
                            <w:t> </w:t>
                          </w:r>
                          <w:r>
                            <w:rPr>
                              <w:sz w:val="20"/>
                            </w:rPr>
                            <w:t>de</w:t>
                          </w:r>
                          <w:r>
                            <w:rPr>
                              <w:spacing w:val="-23"/>
                              <w:sz w:val="20"/>
                            </w:rPr>
                            <w:t> </w:t>
                          </w:r>
                          <w:r>
                            <w:rPr>
                              <w:spacing w:val="-10"/>
                              <w:sz w:val="20"/>
                            </w:rPr>
                            <w:fldChar w:fldCharType="begin"/>
                          </w:r>
                          <w:r>
                            <w:rPr>
                              <w:spacing w:val="-10"/>
                              <w:sz w:val="20"/>
                            </w:rPr>
                            <w:instrText> PAGE </w:instrText>
                          </w:r>
                          <w:r>
                            <w:rPr>
                              <w:spacing w:val="-10"/>
                              <w:sz w:val="20"/>
                            </w:rPr>
                            <w:fldChar w:fldCharType="separate"/>
                          </w:r>
                          <w:r>
                            <w:rPr>
                              <w:spacing w:val="-10"/>
                              <w:sz w:val="20"/>
                            </w:rPr>
                            <w:t>2</w:t>
                          </w:r>
                          <w:r>
                            <w:rPr>
                              <w:spacing w:val="-10"/>
                              <w:sz w:val="20"/>
                            </w:rPr>
                            <w:fldChar w:fldCharType="end"/>
                          </w:r>
                        </w:p>
                      </w:txbxContent>
                    </wps:txbx>
                    <wps:bodyPr wrap="square" lIns="0" tIns="0" rIns="0" bIns="0" rtlCol="0">
                      <a:noAutofit/>
                    </wps:bodyPr>
                  </wps:wsp>
                </a:graphicData>
              </a:graphic>
            </wp:anchor>
          </w:drawing>
        </mc:Choice>
        <mc:Fallback>
          <w:pict>
            <v:shape style="position:absolute;margin-left:243.923004pt;margin-top:812.112854pt;width:65.4pt;height:13.15pt;mso-position-horizontal-relative:page;mso-position-vertical-relative:page;z-index:-28964352" type="#_x0000_t202" id="docshape437" filled="false" stroked="false">
              <v:textbox inset="0,0,0,0">
                <w:txbxContent>
                  <w:p>
                    <w:pPr>
                      <w:spacing w:before="12"/>
                      <w:ind w:left="20" w:right="0" w:firstLine="0"/>
                      <w:jc w:val="left"/>
                      <w:rPr>
                        <w:sz w:val="20"/>
                      </w:rPr>
                    </w:pPr>
                    <w:r>
                      <w:rPr>
                        <w:sz w:val="20"/>
                      </w:rPr>
                      <w:t>Página</w:t>
                    </w:r>
                    <w:r>
                      <w:rPr>
                        <w:spacing w:val="-10"/>
                        <w:sz w:val="20"/>
                      </w:rPr>
                      <w:t> </w:t>
                    </w:r>
                    <w:r>
                      <w:rPr>
                        <w:sz w:val="20"/>
                      </w:rPr>
                      <w:t>1</w:t>
                    </w:r>
                    <w:r>
                      <w:rPr>
                        <w:spacing w:val="-5"/>
                        <w:sz w:val="20"/>
                      </w:rPr>
                      <w:t> </w:t>
                    </w:r>
                    <w:r>
                      <w:rPr>
                        <w:sz w:val="20"/>
                      </w:rPr>
                      <w:t>de</w:t>
                    </w:r>
                    <w:r>
                      <w:rPr>
                        <w:spacing w:val="-23"/>
                        <w:sz w:val="20"/>
                      </w:rPr>
                      <w:t> </w:t>
                    </w:r>
                    <w:r>
                      <w:rPr>
                        <w:spacing w:val="-10"/>
                        <w:sz w:val="20"/>
                      </w:rPr>
                      <w:fldChar w:fldCharType="begin"/>
                    </w:r>
                    <w:r>
                      <w:rPr>
                        <w:spacing w:val="-10"/>
                        <w:sz w:val="20"/>
                      </w:rPr>
                      <w:instrText> PAGE </w:instrText>
                    </w:r>
                    <w:r>
                      <w:rPr>
                        <w:spacing w:val="-10"/>
                        <w:sz w:val="20"/>
                      </w:rPr>
                      <w:fldChar w:fldCharType="separate"/>
                    </w:r>
                    <w:r>
                      <w:rPr>
                        <w:spacing w:val="-10"/>
                        <w:sz w:val="20"/>
                      </w:rPr>
                      <w:t>2</w:t>
                    </w:r>
                    <w:r>
                      <w:rPr>
                        <w:spacing w:val="-10"/>
                        <w:sz w:val="20"/>
                      </w:rPr>
                      <w:fldChar w:fldCharType="end"/>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73792">
              <wp:simplePos x="0" y="0"/>
              <wp:positionH relativeFrom="page">
                <wp:posOffset>701344</wp:posOffset>
              </wp:positionH>
              <wp:positionV relativeFrom="page">
                <wp:posOffset>9981895</wp:posOffset>
              </wp:positionV>
              <wp:extent cx="6158230" cy="6350"/>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85.976013pt;width:484.9pt;height:.47998pt;mso-position-horizontal-relative:page;mso-position-vertical-relative:page;z-index:-29042688" id="docshape13"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74304">
              <wp:simplePos x="0" y="0"/>
              <wp:positionH relativeFrom="page">
                <wp:posOffset>706932</wp:posOffset>
              </wp:positionH>
              <wp:positionV relativeFrom="page">
                <wp:posOffset>9990994</wp:posOffset>
              </wp:positionV>
              <wp:extent cx="5586095" cy="15367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5586095" cy="153670"/>
                      </a:xfrm>
                      <a:prstGeom prst="rect">
                        <a:avLst/>
                      </a:prstGeom>
                    </wps:spPr>
                    <wps:txbx>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wps:txbx>
                    <wps:bodyPr wrap="square" lIns="0" tIns="0" rIns="0" bIns="0" rtlCol="0">
                      <a:noAutofit/>
                    </wps:bodyPr>
                  </wps:wsp>
                </a:graphicData>
              </a:graphic>
            </wp:anchor>
          </w:drawing>
        </mc:Choice>
        <mc:Fallback>
          <w:pict>
            <v:shape style="position:absolute;margin-left:55.664001pt;margin-top:786.692505pt;width:439.85pt;height:12.1pt;mso-position-horizontal-relative:page;mso-position-vertical-relative:page;z-index:-29042176" type="#_x0000_t202" id="docshape14" filled="false" stroked="false">
              <v:textbox inset="0,0,0,0">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74816">
              <wp:simplePos x="0" y="0"/>
              <wp:positionH relativeFrom="page">
                <wp:posOffset>6739128</wp:posOffset>
              </wp:positionH>
              <wp:positionV relativeFrom="page">
                <wp:posOffset>9990994</wp:posOffset>
              </wp:positionV>
              <wp:extent cx="153035" cy="153670"/>
              <wp:effectExtent l="0" t="0" r="0" b="0"/>
              <wp:wrapNone/>
              <wp:docPr id="23" name="Textbox 23"/>
              <wp:cNvGraphicFramePr>
                <a:graphicFrameLocks/>
              </wp:cNvGraphicFramePr>
              <a:graphic>
                <a:graphicData uri="http://schemas.microsoft.com/office/word/2010/wordprocessingShape">
                  <wps:wsp>
                    <wps:cNvPr id="23" name="Textbox 23"/>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5</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530.640015pt;margin-top:786.692505pt;width:12.05pt;height:12.1pt;mso-position-horizontal-relative:page;mso-position-vertical-relative:page;z-index:-29041664" type="#_x0000_t202" id="docshape15"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5</w:t>
                    </w:r>
                    <w:r>
                      <w:rPr>
                        <w:spacing w:val="-10"/>
                        <w:sz w:val="18"/>
                      </w:rPr>
                      <w:fldChar w:fldCharType="end"/>
                    </w:r>
                  </w:p>
                </w:txbxContent>
              </v:textbox>
              <w10:wrap type="none"/>
            </v:shape>
          </w:pict>
        </mc:Fallback>
      </mc:AlternateContent>
    </w:r>
  </w:p>
</w:ftr>
</file>

<file path=word/footer5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54176">
              <wp:simplePos x="0" y="0"/>
              <wp:positionH relativeFrom="page">
                <wp:posOffset>19811</wp:posOffset>
              </wp:positionH>
              <wp:positionV relativeFrom="page">
                <wp:posOffset>10212323</wp:posOffset>
              </wp:positionV>
              <wp:extent cx="7522845" cy="1270"/>
              <wp:effectExtent l="0" t="0" r="0" b="0"/>
              <wp:wrapNone/>
              <wp:docPr id="523" name="Graphic 523"/>
              <wp:cNvGraphicFramePr>
                <a:graphicFrameLocks/>
              </wp:cNvGraphicFramePr>
              <a:graphic>
                <a:graphicData uri="http://schemas.microsoft.com/office/word/2010/wordprocessingShape">
                  <wps:wsp>
                    <wps:cNvPr id="523" name="Graphic 523"/>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62304"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54688">
              <wp:simplePos x="0" y="0"/>
              <wp:positionH relativeFrom="page">
                <wp:posOffset>3097822</wp:posOffset>
              </wp:positionH>
              <wp:positionV relativeFrom="page">
                <wp:posOffset>10313833</wp:posOffset>
              </wp:positionV>
              <wp:extent cx="830580" cy="167005"/>
              <wp:effectExtent l="0" t="0" r="0" b="0"/>
              <wp:wrapNone/>
              <wp:docPr id="524" name="Textbox 524"/>
              <wp:cNvGraphicFramePr>
                <a:graphicFrameLocks/>
              </wp:cNvGraphicFramePr>
              <a:graphic>
                <a:graphicData uri="http://schemas.microsoft.com/office/word/2010/wordprocessingShape">
                  <wps:wsp>
                    <wps:cNvPr id="524" name="Textbox 524"/>
                    <wps:cNvSpPr txBox="1"/>
                    <wps:spPr>
                      <a:xfrm>
                        <a:off x="0" y="0"/>
                        <a:ext cx="8305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t>2</w:t>
                          </w:r>
                          <w:r>
                            <w:rPr>
                              <w:spacing w:val="-5"/>
                              <w:sz w:val="20"/>
                            </w:rPr>
                            <w:t> </w:t>
                          </w:r>
                          <w:r>
                            <w:rPr>
                              <w:sz w:val="20"/>
                            </w:rPr>
                            <w:t>de</w:t>
                          </w:r>
                          <w:r>
                            <w:rPr>
                              <w:spacing w:val="-23"/>
                              <w:sz w:val="20"/>
                            </w:rPr>
                            <w:t> </w:t>
                          </w:r>
                          <w:r>
                            <w:rPr>
                              <w:spacing w:val="-10"/>
                              <w:sz w:val="20"/>
                            </w:rPr>
                            <w:fldChar w:fldCharType="begin"/>
                          </w:r>
                          <w:r>
                            <w:rPr>
                              <w:spacing w:val="-10"/>
                              <w:sz w:val="20"/>
                            </w:rPr>
                            <w:instrText> PAGE </w:instrText>
                          </w:r>
                          <w:r>
                            <w:rPr>
                              <w:spacing w:val="-10"/>
                              <w:sz w:val="20"/>
                            </w:rPr>
                            <w:fldChar w:fldCharType="separate"/>
                          </w:r>
                          <w:r>
                            <w:rPr>
                              <w:spacing w:val="-10"/>
                              <w:sz w:val="20"/>
                            </w:rPr>
                            <w:t>2</w:t>
                          </w:r>
                          <w:r>
                            <w:rPr>
                              <w:spacing w:val="-10"/>
                              <w:sz w:val="20"/>
                            </w:rPr>
                            <w:fldChar w:fldCharType="end"/>
                          </w:r>
                        </w:p>
                      </w:txbxContent>
                    </wps:txbx>
                    <wps:bodyPr wrap="square" lIns="0" tIns="0" rIns="0" bIns="0" rtlCol="0">
                      <a:noAutofit/>
                    </wps:bodyPr>
                  </wps:wsp>
                </a:graphicData>
              </a:graphic>
            </wp:anchor>
          </w:drawing>
        </mc:Choice>
        <mc:Fallback>
          <w:pict>
            <v:shape style="position:absolute;margin-left:243.923004pt;margin-top:812.112854pt;width:65.4pt;height:13.15pt;mso-position-horizontal-relative:page;mso-position-vertical-relative:page;z-index:-28961792" type="#_x0000_t202" id="docshape448" filled="false" stroked="false">
              <v:textbox inset="0,0,0,0">
                <w:txbxContent>
                  <w:p>
                    <w:pPr>
                      <w:spacing w:before="12"/>
                      <w:ind w:left="20" w:right="0" w:firstLine="0"/>
                      <w:jc w:val="left"/>
                      <w:rPr>
                        <w:sz w:val="20"/>
                      </w:rPr>
                    </w:pPr>
                    <w:r>
                      <w:rPr>
                        <w:sz w:val="20"/>
                      </w:rPr>
                      <w:t>Página</w:t>
                    </w:r>
                    <w:r>
                      <w:rPr>
                        <w:spacing w:val="-10"/>
                        <w:sz w:val="20"/>
                      </w:rPr>
                      <w:t> </w:t>
                    </w:r>
                    <w:r>
                      <w:rPr>
                        <w:sz w:val="20"/>
                      </w:rPr>
                      <w:t>2</w:t>
                    </w:r>
                    <w:r>
                      <w:rPr>
                        <w:spacing w:val="-5"/>
                        <w:sz w:val="20"/>
                      </w:rPr>
                      <w:t> </w:t>
                    </w:r>
                    <w:r>
                      <w:rPr>
                        <w:sz w:val="20"/>
                      </w:rPr>
                      <w:t>de</w:t>
                    </w:r>
                    <w:r>
                      <w:rPr>
                        <w:spacing w:val="-23"/>
                        <w:sz w:val="20"/>
                      </w:rPr>
                      <w:t> </w:t>
                    </w:r>
                    <w:r>
                      <w:rPr>
                        <w:spacing w:val="-10"/>
                        <w:sz w:val="20"/>
                      </w:rPr>
                      <w:fldChar w:fldCharType="begin"/>
                    </w:r>
                    <w:r>
                      <w:rPr>
                        <w:spacing w:val="-10"/>
                        <w:sz w:val="20"/>
                      </w:rPr>
                      <w:instrText> PAGE </w:instrText>
                    </w:r>
                    <w:r>
                      <w:rPr>
                        <w:spacing w:val="-10"/>
                        <w:sz w:val="20"/>
                      </w:rPr>
                      <w:fldChar w:fldCharType="separate"/>
                    </w:r>
                    <w:r>
                      <w:rPr>
                        <w:spacing w:val="-10"/>
                        <w:sz w:val="20"/>
                      </w:rPr>
                      <w:t>2</w:t>
                    </w:r>
                    <w:r>
                      <w:rPr>
                        <w:spacing w:val="-10"/>
                        <w:sz w:val="20"/>
                      </w:rPr>
                      <w:fldChar w:fldCharType="end"/>
                    </w:r>
                  </w:p>
                </w:txbxContent>
              </v:textbox>
              <w10:wrap type="none"/>
            </v:shape>
          </w:pict>
        </mc:Fallback>
      </mc:AlternateContent>
    </w:r>
  </w:p>
</w:ftr>
</file>

<file path=word/footer5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58272">
              <wp:simplePos x="0" y="0"/>
              <wp:positionH relativeFrom="page">
                <wp:posOffset>19811</wp:posOffset>
              </wp:positionH>
              <wp:positionV relativeFrom="page">
                <wp:posOffset>10212323</wp:posOffset>
              </wp:positionV>
              <wp:extent cx="7522845" cy="1270"/>
              <wp:effectExtent l="0" t="0" r="0" b="0"/>
              <wp:wrapNone/>
              <wp:docPr id="541" name="Graphic 541"/>
              <wp:cNvGraphicFramePr>
                <a:graphicFrameLocks/>
              </wp:cNvGraphicFramePr>
              <a:graphic>
                <a:graphicData uri="http://schemas.microsoft.com/office/word/2010/wordprocessingShape">
                  <wps:wsp>
                    <wps:cNvPr id="541" name="Graphic 541"/>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58208"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58784">
              <wp:simplePos x="0" y="0"/>
              <wp:positionH relativeFrom="page">
                <wp:posOffset>892530</wp:posOffset>
              </wp:positionH>
              <wp:positionV relativeFrom="page">
                <wp:posOffset>10010595</wp:posOffset>
              </wp:positionV>
              <wp:extent cx="275590" cy="167005"/>
              <wp:effectExtent l="0" t="0" r="0" b="0"/>
              <wp:wrapNone/>
              <wp:docPr id="542" name="Textbox 542"/>
              <wp:cNvGraphicFramePr>
                <a:graphicFrameLocks/>
              </wp:cNvGraphicFramePr>
              <a:graphic>
                <a:graphicData uri="http://schemas.microsoft.com/office/word/2010/wordprocessingShape">
                  <wps:wsp>
                    <wps:cNvPr id="542" name="Textbox 542"/>
                    <wps:cNvSpPr txBox="1"/>
                    <wps:spPr>
                      <a:xfrm>
                        <a:off x="0" y="0"/>
                        <a:ext cx="275590" cy="167005"/>
                      </a:xfrm>
                      <a:prstGeom prst="rect">
                        <a:avLst/>
                      </a:prstGeom>
                    </wps:spPr>
                    <wps:txbx>
                      <w:txbxContent>
                        <w:p>
                          <w:pPr>
                            <w:spacing w:before="12"/>
                            <w:ind w:left="20" w:right="0" w:firstLine="0"/>
                            <w:jc w:val="left"/>
                            <w:rPr>
                              <w:sz w:val="20"/>
                            </w:rPr>
                          </w:pPr>
                          <w:r>
                            <w:rPr>
                              <w:spacing w:val="-4"/>
                              <w:sz w:val="20"/>
                            </w:rPr>
                            <w:t>DNI:</w:t>
                          </w:r>
                        </w:p>
                      </w:txbxContent>
                    </wps:txbx>
                    <wps:bodyPr wrap="square" lIns="0" tIns="0" rIns="0" bIns="0" rtlCol="0">
                      <a:noAutofit/>
                    </wps:bodyPr>
                  </wps:wsp>
                </a:graphicData>
              </a:graphic>
            </wp:anchor>
          </w:drawing>
        </mc:Choice>
        <mc:Fallback>
          <w:pict>
            <v:shape style="position:absolute;margin-left:70.278pt;margin-top:788.23584pt;width:21.7pt;height:13.15pt;mso-position-horizontal-relative:page;mso-position-vertical-relative:page;z-index:-28957696" type="#_x0000_t202" id="docshape459" filled="false" stroked="false">
              <v:textbox inset="0,0,0,0">
                <w:txbxContent>
                  <w:p>
                    <w:pPr>
                      <w:spacing w:before="12"/>
                      <w:ind w:left="20" w:right="0" w:firstLine="0"/>
                      <w:jc w:val="left"/>
                      <w:rPr>
                        <w:sz w:val="20"/>
                      </w:rPr>
                    </w:pPr>
                    <w:r>
                      <w:rPr>
                        <w:spacing w:val="-4"/>
                        <w:sz w:val="20"/>
                      </w:rPr>
                      <w:t>DNI:</w:t>
                    </w:r>
                  </w:p>
                </w:txbxContent>
              </v:textbox>
              <w10:wrap type="none"/>
            </v:shape>
          </w:pict>
        </mc:Fallback>
      </mc:AlternateContent>
    </w:r>
    <w:r>
      <w:rPr>
        <w:sz w:val="20"/>
      </w:rPr>
      <mc:AlternateContent>
        <mc:Choice Requires="wps">
          <w:drawing>
            <wp:anchor distT="0" distB="0" distL="0" distR="0" allowOverlap="1" layoutInCell="1" locked="0" behindDoc="1" simplePos="0" relativeHeight="474359296">
              <wp:simplePos x="0" y="0"/>
              <wp:positionH relativeFrom="page">
                <wp:posOffset>3097822</wp:posOffset>
              </wp:positionH>
              <wp:positionV relativeFrom="page">
                <wp:posOffset>10313833</wp:posOffset>
              </wp:positionV>
              <wp:extent cx="830580" cy="167005"/>
              <wp:effectExtent l="0" t="0" r="0" b="0"/>
              <wp:wrapNone/>
              <wp:docPr id="543" name="Textbox 543"/>
              <wp:cNvGraphicFramePr>
                <a:graphicFrameLocks/>
              </wp:cNvGraphicFramePr>
              <a:graphic>
                <a:graphicData uri="http://schemas.microsoft.com/office/word/2010/wordprocessingShape">
                  <wps:wsp>
                    <wps:cNvPr id="543" name="Textbox 543"/>
                    <wps:cNvSpPr txBox="1"/>
                    <wps:spPr>
                      <a:xfrm>
                        <a:off x="0" y="0"/>
                        <a:ext cx="8305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t>1</w:t>
                          </w:r>
                          <w:r>
                            <w:rPr>
                              <w:spacing w:val="-5"/>
                              <w:sz w:val="20"/>
                            </w:rPr>
                            <w:t> </w:t>
                          </w:r>
                          <w:r>
                            <w:rPr>
                              <w:sz w:val="20"/>
                            </w:rPr>
                            <w:t>de</w:t>
                          </w:r>
                          <w:r>
                            <w:rPr>
                              <w:spacing w:val="-23"/>
                              <w:sz w:val="20"/>
                            </w:rPr>
                            <w:t> </w:t>
                          </w:r>
                          <w:r>
                            <w:rPr>
                              <w:spacing w:val="-10"/>
                              <w:sz w:val="20"/>
                            </w:rPr>
                            <w:fldChar w:fldCharType="begin"/>
                          </w:r>
                          <w:r>
                            <w:rPr>
                              <w:spacing w:val="-10"/>
                              <w:sz w:val="20"/>
                            </w:rPr>
                            <w:instrText> PAGE </w:instrText>
                          </w:r>
                          <w:r>
                            <w:rPr>
                              <w:spacing w:val="-10"/>
                              <w:sz w:val="20"/>
                            </w:rPr>
                            <w:fldChar w:fldCharType="separate"/>
                          </w:r>
                          <w:r>
                            <w:rPr>
                              <w:spacing w:val="-10"/>
                              <w:sz w:val="20"/>
                            </w:rPr>
                            <w:t>4</w:t>
                          </w:r>
                          <w:r>
                            <w:rPr>
                              <w:spacing w:val="-10"/>
                              <w:sz w:val="20"/>
                            </w:rPr>
                            <w:fldChar w:fldCharType="end"/>
                          </w:r>
                        </w:p>
                      </w:txbxContent>
                    </wps:txbx>
                    <wps:bodyPr wrap="square" lIns="0" tIns="0" rIns="0" bIns="0" rtlCol="0">
                      <a:noAutofit/>
                    </wps:bodyPr>
                  </wps:wsp>
                </a:graphicData>
              </a:graphic>
            </wp:anchor>
          </w:drawing>
        </mc:Choice>
        <mc:Fallback>
          <w:pict>
            <v:shape style="position:absolute;margin-left:243.923004pt;margin-top:812.112854pt;width:65.4pt;height:13.15pt;mso-position-horizontal-relative:page;mso-position-vertical-relative:page;z-index:-28957184" type="#_x0000_t202" id="docshape460" filled="false" stroked="false">
              <v:textbox inset="0,0,0,0">
                <w:txbxContent>
                  <w:p>
                    <w:pPr>
                      <w:spacing w:before="12"/>
                      <w:ind w:left="20" w:right="0" w:firstLine="0"/>
                      <w:jc w:val="left"/>
                      <w:rPr>
                        <w:sz w:val="20"/>
                      </w:rPr>
                    </w:pPr>
                    <w:r>
                      <w:rPr>
                        <w:sz w:val="20"/>
                      </w:rPr>
                      <w:t>Página</w:t>
                    </w:r>
                    <w:r>
                      <w:rPr>
                        <w:spacing w:val="-10"/>
                        <w:sz w:val="20"/>
                      </w:rPr>
                      <w:t> </w:t>
                    </w:r>
                    <w:r>
                      <w:rPr>
                        <w:sz w:val="20"/>
                      </w:rPr>
                      <w:t>1</w:t>
                    </w:r>
                    <w:r>
                      <w:rPr>
                        <w:spacing w:val="-5"/>
                        <w:sz w:val="20"/>
                      </w:rPr>
                      <w:t> </w:t>
                    </w:r>
                    <w:r>
                      <w:rPr>
                        <w:sz w:val="20"/>
                      </w:rPr>
                      <w:t>de</w:t>
                    </w:r>
                    <w:r>
                      <w:rPr>
                        <w:spacing w:val="-23"/>
                        <w:sz w:val="20"/>
                      </w:rPr>
                      <w:t> </w:t>
                    </w:r>
                    <w:r>
                      <w:rPr>
                        <w:spacing w:val="-10"/>
                        <w:sz w:val="20"/>
                      </w:rPr>
                      <w:fldChar w:fldCharType="begin"/>
                    </w:r>
                    <w:r>
                      <w:rPr>
                        <w:spacing w:val="-10"/>
                        <w:sz w:val="20"/>
                      </w:rPr>
                      <w:instrText> PAGE </w:instrText>
                    </w:r>
                    <w:r>
                      <w:rPr>
                        <w:spacing w:val="-10"/>
                        <w:sz w:val="20"/>
                      </w:rPr>
                      <w:fldChar w:fldCharType="separate"/>
                    </w:r>
                    <w:r>
                      <w:rPr>
                        <w:spacing w:val="-10"/>
                        <w:sz w:val="20"/>
                      </w:rPr>
                      <w:t>4</w:t>
                    </w:r>
                    <w:r>
                      <w:rPr>
                        <w:spacing w:val="-10"/>
                        <w:sz w:val="20"/>
                      </w:rPr>
                      <w:fldChar w:fldCharType="end"/>
                    </w:r>
                  </w:p>
                </w:txbxContent>
              </v:textbox>
              <w10:wrap type="none"/>
            </v:shape>
          </w:pict>
        </mc:Fallback>
      </mc:AlternateContent>
    </w:r>
  </w:p>
</w:ftr>
</file>

<file path=word/footer5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59808">
              <wp:simplePos x="0" y="0"/>
              <wp:positionH relativeFrom="page">
                <wp:posOffset>19811</wp:posOffset>
              </wp:positionH>
              <wp:positionV relativeFrom="page">
                <wp:posOffset>10212323</wp:posOffset>
              </wp:positionV>
              <wp:extent cx="7522845" cy="1270"/>
              <wp:effectExtent l="0" t="0" r="0" b="0"/>
              <wp:wrapNone/>
              <wp:docPr id="554" name="Graphic 554"/>
              <wp:cNvGraphicFramePr>
                <a:graphicFrameLocks/>
              </wp:cNvGraphicFramePr>
              <a:graphic>
                <a:graphicData uri="http://schemas.microsoft.com/office/word/2010/wordprocessingShape">
                  <wps:wsp>
                    <wps:cNvPr id="554" name="Graphic 554"/>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56672"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60320">
              <wp:simplePos x="0" y="0"/>
              <wp:positionH relativeFrom="page">
                <wp:posOffset>3097822</wp:posOffset>
              </wp:positionH>
              <wp:positionV relativeFrom="page">
                <wp:posOffset>10313833</wp:posOffset>
              </wp:positionV>
              <wp:extent cx="830580" cy="167005"/>
              <wp:effectExtent l="0" t="0" r="0" b="0"/>
              <wp:wrapNone/>
              <wp:docPr id="555" name="Textbox 555"/>
              <wp:cNvGraphicFramePr>
                <a:graphicFrameLocks/>
              </wp:cNvGraphicFramePr>
              <a:graphic>
                <a:graphicData uri="http://schemas.microsoft.com/office/word/2010/wordprocessingShape">
                  <wps:wsp>
                    <wps:cNvPr id="555" name="Textbox 555"/>
                    <wps:cNvSpPr txBox="1"/>
                    <wps:spPr>
                      <a:xfrm>
                        <a:off x="0" y="0"/>
                        <a:ext cx="8305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t>2</w:t>
                          </w:r>
                          <w:r>
                            <w:rPr>
                              <w:spacing w:val="-5"/>
                              <w:sz w:val="20"/>
                            </w:rPr>
                            <w:t> </w:t>
                          </w:r>
                          <w:r>
                            <w:rPr>
                              <w:sz w:val="20"/>
                            </w:rPr>
                            <w:t>de</w:t>
                          </w:r>
                          <w:r>
                            <w:rPr>
                              <w:spacing w:val="-23"/>
                              <w:sz w:val="20"/>
                            </w:rPr>
                            <w:t> </w:t>
                          </w:r>
                          <w:r>
                            <w:rPr>
                              <w:spacing w:val="-10"/>
                              <w:sz w:val="20"/>
                            </w:rPr>
                            <w:fldChar w:fldCharType="begin"/>
                          </w:r>
                          <w:r>
                            <w:rPr>
                              <w:spacing w:val="-10"/>
                              <w:sz w:val="20"/>
                            </w:rPr>
                            <w:instrText> PAGE </w:instrText>
                          </w:r>
                          <w:r>
                            <w:rPr>
                              <w:spacing w:val="-10"/>
                              <w:sz w:val="20"/>
                            </w:rPr>
                            <w:fldChar w:fldCharType="separate"/>
                          </w:r>
                          <w:r>
                            <w:rPr>
                              <w:spacing w:val="-10"/>
                              <w:sz w:val="20"/>
                            </w:rPr>
                            <w:t>4</w:t>
                          </w:r>
                          <w:r>
                            <w:rPr>
                              <w:spacing w:val="-10"/>
                              <w:sz w:val="20"/>
                            </w:rPr>
                            <w:fldChar w:fldCharType="end"/>
                          </w:r>
                        </w:p>
                      </w:txbxContent>
                    </wps:txbx>
                    <wps:bodyPr wrap="square" lIns="0" tIns="0" rIns="0" bIns="0" rtlCol="0">
                      <a:noAutofit/>
                    </wps:bodyPr>
                  </wps:wsp>
                </a:graphicData>
              </a:graphic>
            </wp:anchor>
          </w:drawing>
        </mc:Choice>
        <mc:Fallback>
          <w:pict>
            <v:shape style="position:absolute;margin-left:243.923004pt;margin-top:812.112854pt;width:65.4pt;height:13.15pt;mso-position-horizontal-relative:page;mso-position-vertical-relative:page;z-index:-28956160" type="#_x0000_t202" id="docshape470" filled="false" stroked="false">
              <v:textbox inset="0,0,0,0">
                <w:txbxContent>
                  <w:p>
                    <w:pPr>
                      <w:spacing w:before="12"/>
                      <w:ind w:left="20" w:right="0" w:firstLine="0"/>
                      <w:jc w:val="left"/>
                      <w:rPr>
                        <w:sz w:val="20"/>
                      </w:rPr>
                    </w:pPr>
                    <w:r>
                      <w:rPr>
                        <w:sz w:val="20"/>
                      </w:rPr>
                      <w:t>Página</w:t>
                    </w:r>
                    <w:r>
                      <w:rPr>
                        <w:spacing w:val="-10"/>
                        <w:sz w:val="20"/>
                      </w:rPr>
                      <w:t> </w:t>
                    </w:r>
                    <w:r>
                      <w:rPr>
                        <w:sz w:val="20"/>
                      </w:rPr>
                      <w:t>2</w:t>
                    </w:r>
                    <w:r>
                      <w:rPr>
                        <w:spacing w:val="-5"/>
                        <w:sz w:val="20"/>
                      </w:rPr>
                      <w:t> </w:t>
                    </w:r>
                    <w:r>
                      <w:rPr>
                        <w:sz w:val="20"/>
                      </w:rPr>
                      <w:t>de</w:t>
                    </w:r>
                    <w:r>
                      <w:rPr>
                        <w:spacing w:val="-23"/>
                        <w:sz w:val="20"/>
                      </w:rPr>
                      <w:t> </w:t>
                    </w:r>
                    <w:r>
                      <w:rPr>
                        <w:spacing w:val="-10"/>
                        <w:sz w:val="20"/>
                      </w:rPr>
                      <w:fldChar w:fldCharType="begin"/>
                    </w:r>
                    <w:r>
                      <w:rPr>
                        <w:spacing w:val="-10"/>
                        <w:sz w:val="20"/>
                      </w:rPr>
                      <w:instrText> PAGE </w:instrText>
                    </w:r>
                    <w:r>
                      <w:rPr>
                        <w:spacing w:val="-10"/>
                        <w:sz w:val="20"/>
                      </w:rPr>
                      <w:fldChar w:fldCharType="separate"/>
                    </w:r>
                    <w:r>
                      <w:rPr>
                        <w:spacing w:val="-10"/>
                        <w:sz w:val="20"/>
                      </w:rPr>
                      <w:t>4</w:t>
                    </w:r>
                    <w:r>
                      <w:rPr>
                        <w:spacing w:val="-10"/>
                        <w:sz w:val="20"/>
                      </w:rPr>
                      <w:fldChar w:fldCharType="end"/>
                    </w:r>
                  </w:p>
                </w:txbxContent>
              </v:textbox>
              <w10:wrap type="none"/>
            </v:shape>
          </w:pict>
        </mc:Fallback>
      </mc:AlternateContent>
    </w:r>
  </w:p>
</w:ftr>
</file>

<file path=word/footer5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60832">
              <wp:simplePos x="0" y="0"/>
              <wp:positionH relativeFrom="page">
                <wp:posOffset>19811</wp:posOffset>
              </wp:positionH>
              <wp:positionV relativeFrom="page">
                <wp:posOffset>10212323</wp:posOffset>
              </wp:positionV>
              <wp:extent cx="7522845" cy="1270"/>
              <wp:effectExtent l="0" t="0" r="0" b="0"/>
              <wp:wrapNone/>
              <wp:docPr id="556" name="Graphic 556"/>
              <wp:cNvGraphicFramePr>
                <a:graphicFrameLocks/>
              </wp:cNvGraphicFramePr>
              <a:graphic>
                <a:graphicData uri="http://schemas.microsoft.com/office/word/2010/wordprocessingShape">
                  <wps:wsp>
                    <wps:cNvPr id="556" name="Graphic 556"/>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55648"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61344">
              <wp:simplePos x="0" y="0"/>
              <wp:positionH relativeFrom="page">
                <wp:posOffset>3097822</wp:posOffset>
              </wp:positionH>
              <wp:positionV relativeFrom="page">
                <wp:posOffset>10313833</wp:posOffset>
              </wp:positionV>
              <wp:extent cx="792480" cy="167005"/>
              <wp:effectExtent l="0" t="0" r="0" b="0"/>
              <wp:wrapNone/>
              <wp:docPr id="557" name="Textbox 557"/>
              <wp:cNvGraphicFramePr>
                <a:graphicFrameLocks/>
              </wp:cNvGraphicFramePr>
              <a:graphic>
                <a:graphicData uri="http://schemas.microsoft.com/office/word/2010/wordprocessingShape">
                  <wps:wsp>
                    <wps:cNvPr id="557" name="Textbox 557"/>
                    <wps:cNvSpPr txBox="1"/>
                    <wps:spPr>
                      <a:xfrm>
                        <a:off x="0" y="0"/>
                        <a:ext cx="7924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t>3</w:t>
                          </w:r>
                          <w:r>
                            <w:rPr>
                              <w:spacing w:val="-5"/>
                              <w:sz w:val="20"/>
                            </w:rPr>
                            <w:t> </w:t>
                          </w:r>
                          <w:r>
                            <w:rPr>
                              <w:sz w:val="20"/>
                            </w:rPr>
                            <w:t>de</w:t>
                          </w:r>
                          <w:r>
                            <w:rPr>
                              <w:spacing w:val="-23"/>
                              <w:sz w:val="20"/>
                            </w:rPr>
                            <w:t> </w:t>
                          </w:r>
                          <w:r>
                            <w:rPr>
                              <w:spacing w:val="-10"/>
                              <w:sz w:val="20"/>
                            </w:rPr>
                            <w:t>4</w:t>
                          </w:r>
                        </w:p>
                      </w:txbxContent>
                    </wps:txbx>
                    <wps:bodyPr wrap="square" lIns="0" tIns="0" rIns="0" bIns="0" rtlCol="0">
                      <a:noAutofit/>
                    </wps:bodyPr>
                  </wps:wsp>
                </a:graphicData>
              </a:graphic>
            </wp:anchor>
          </w:drawing>
        </mc:Choice>
        <mc:Fallback>
          <w:pict>
            <v:shape style="position:absolute;margin-left:243.923004pt;margin-top:812.112854pt;width:62.4pt;height:13.15pt;mso-position-horizontal-relative:page;mso-position-vertical-relative:page;z-index:-28955136" type="#_x0000_t202" id="docshape471" filled="false" stroked="false">
              <v:textbox inset="0,0,0,0">
                <w:txbxContent>
                  <w:p>
                    <w:pPr>
                      <w:spacing w:before="12"/>
                      <w:ind w:left="20" w:right="0" w:firstLine="0"/>
                      <w:jc w:val="left"/>
                      <w:rPr>
                        <w:sz w:val="20"/>
                      </w:rPr>
                    </w:pPr>
                    <w:r>
                      <w:rPr>
                        <w:sz w:val="20"/>
                      </w:rPr>
                      <w:t>Página</w:t>
                    </w:r>
                    <w:r>
                      <w:rPr>
                        <w:spacing w:val="-10"/>
                        <w:sz w:val="20"/>
                      </w:rPr>
                      <w:t> </w:t>
                    </w:r>
                    <w:r>
                      <w:rPr>
                        <w:sz w:val="20"/>
                      </w:rPr>
                      <w:t>3</w:t>
                    </w:r>
                    <w:r>
                      <w:rPr>
                        <w:spacing w:val="-5"/>
                        <w:sz w:val="20"/>
                      </w:rPr>
                      <w:t> </w:t>
                    </w:r>
                    <w:r>
                      <w:rPr>
                        <w:sz w:val="20"/>
                      </w:rPr>
                      <w:t>de</w:t>
                    </w:r>
                    <w:r>
                      <w:rPr>
                        <w:spacing w:val="-23"/>
                        <w:sz w:val="20"/>
                      </w:rPr>
                      <w:t> </w:t>
                    </w:r>
                    <w:r>
                      <w:rPr>
                        <w:spacing w:val="-10"/>
                        <w:sz w:val="20"/>
                      </w:rPr>
                      <w:t>4</w:t>
                    </w:r>
                  </w:p>
                </w:txbxContent>
              </v:textbox>
              <w10:wrap type="none"/>
            </v:shape>
          </w:pict>
        </mc:Fallback>
      </mc:AlternateContent>
    </w:r>
  </w:p>
</w:ftr>
</file>

<file path=word/footer5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364928">
              <wp:simplePos x="0" y="0"/>
              <wp:positionH relativeFrom="page">
                <wp:posOffset>19811</wp:posOffset>
              </wp:positionH>
              <wp:positionV relativeFrom="page">
                <wp:posOffset>10212323</wp:posOffset>
              </wp:positionV>
              <wp:extent cx="7522845" cy="1270"/>
              <wp:effectExtent l="0" t="0" r="0" b="0"/>
              <wp:wrapNone/>
              <wp:docPr id="576" name="Graphic 576"/>
              <wp:cNvGraphicFramePr>
                <a:graphicFrameLocks/>
              </wp:cNvGraphicFramePr>
              <a:graphic>
                <a:graphicData uri="http://schemas.microsoft.com/office/word/2010/wordprocessingShape">
                  <wps:wsp>
                    <wps:cNvPr id="576" name="Graphic 576"/>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51552" from="1.56pt,804.119995pt" to="593.879987pt,804.119995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65440">
              <wp:simplePos x="0" y="0"/>
              <wp:positionH relativeFrom="page">
                <wp:posOffset>3097822</wp:posOffset>
              </wp:positionH>
              <wp:positionV relativeFrom="page">
                <wp:posOffset>10313833</wp:posOffset>
              </wp:positionV>
              <wp:extent cx="792480" cy="167005"/>
              <wp:effectExtent l="0" t="0" r="0" b="0"/>
              <wp:wrapNone/>
              <wp:docPr id="577" name="Textbox 577"/>
              <wp:cNvGraphicFramePr>
                <a:graphicFrameLocks/>
              </wp:cNvGraphicFramePr>
              <a:graphic>
                <a:graphicData uri="http://schemas.microsoft.com/office/word/2010/wordprocessingShape">
                  <wps:wsp>
                    <wps:cNvPr id="577" name="Textbox 577"/>
                    <wps:cNvSpPr txBox="1"/>
                    <wps:spPr>
                      <a:xfrm>
                        <a:off x="0" y="0"/>
                        <a:ext cx="792480" cy="167005"/>
                      </a:xfrm>
                      <a:prstGeom prst="rect">
                        <a:avLst/>
                      </a:prstGeom>
                    </wps:spPr>
                    <wps:txbx>
                      <w:txbxContent>
                        <w:p>
                          <w:pPr>
                            <w:spacing w:before="12"/>
                            <w:ind w:left="20" w:right="0" w:firstLine="0"/>
                            <w:jc w:val="left"/>
                            <w:rPr>
                              <w:sz w:val="20"/>
                            </w:rPr>
                          </w:pPr>
                          <w:r>
                            <w:rPr>
                              <w:sz w:val="20"/>
                            </w:rPr>
                            <w:t>Página</w:t>
                          </w:r>
                          <w:r>
                            <w:rPr>
                              <w:spacing w:val="-10"/>
                              <w:sz w:val="20"/>
                            </w:rPr>
                            <w:t> </w:t>
                          </w:r>
                          <w:r>
                            <w:rPr>
                              <w:sz w:val="20"/>
                            </w:rPr>
                            <w:t>4</w:t>
                          </w:r>
                          <w:r>
                            <w:rPr>
                              <w:spacing w:val="-5"/>
                              <w:sz w:val="20"/>
                            </w:rPr>
                            <w:t> </w:t>
                          </w:r>
                          <w:r>
                            <w:rPr>
                              <w:sz w:val="20"/>
                            </w:rPr>
                            <w:t>de</w:t>
                          </w:r>
                          <w:r>
                            <w:rPr>
                              <w:spacing w:val="-23"/>
                              <w:sz w:val="20"/>
                            </w:rPr>
                            <w:t> </w:t>
                          </w:r>
                          <w:r>
                            <w:rPr>
                              <w:spacing w:val="-10"/>
                              <w:sz w:val="20"/>
                            </w:rPr>
                            <w:t>4</w:t>
                          </w:r>
                        </w:p>
                      </w:txbxContent>
                    </wps:txbx>
                    <wps:bodyPr wrap="square" lIns="0" tIns="0" rIns="0" bIns="0" rtlCol="0">
                      <a:noAutofit/>
                    </wps:bodyPr>
                  </wps:wsp>
                </a:graphicData>
              </a:graphic>
            </wp:anchor>
          </w:drawing>
        </mc:Choice>
        <mc:Fallback>
          <w:pict>
            <v:shape style="position:absolute;margin-left:243.923004pt;margin-top:812.112854pt;width:62.4pt;height:13.15pt;mso-position-horizontal-relative:page;mso-position-vertical-relative:page;z-index:-28951040" type="#_x0000_t202" id="docshape486" filled="false" stroked="false">
              <v:textbox inset="0,0,0,0">
                <w:txbxContent>
                  <w:p>
                    <w:pPr>
                      <w:spacing w:before="12"/>
                      <w:ind w:left="20" w:right="0" w:firstLine="0"/>
                      <w:jc w:val="left"/>
                      <w:rPr>
                        <w:sz w:val="20"/>
                      </w:rPr>
                    </w:pPr>
                    <w:r>
                      <w:rPr>
                        <w:sz w:val="20"/>
                      </w:rPr>
                      <w:t>Página</w:t>
                    </w:r>
                    <w:r>
                      <w:rPr>
                        <w:spacing w:val="-10"/>
                        <w:sz w:val="20"/>
                      </w:rPr>
                      <w:t> </w:t>
                    </w:r>
                    <w:r>
                      <w:rPr>
                        <w:sz w:val="20"/>
                      </w:rPr>
                      <w:t>4</w:t>
                    </w:r>
                    <w:r>
                      <w:rPr>
                        <w:spacing w:val="-5"/>
                        <w:sz w:val="20"/>
                      </w:rPr>
                      <w:t> </w:t>
                    </w:r>
                    <w:r>
                      <w:rPr>
                        <w:sz w:val="20"/>
                      </w:rPr>
                      <w:t>de</w:t>
                    </w:r>
                    <w:r>
                      <w:rPr>
                        <w:spacing w:val="-23"/>
                        <w:sz w:val="20"/>
                      </w:rPr>
                      <w:t> </w:t>
                    </w:r>
                    <w:r>
                      <w:rPr>
                        <w:spacing w:val="-10"/>
                        <w:sz w:val="20"/>
                      </w:rPr>
                      <w:t>4</w:t>
                    </w:r>
                  </w:p>
                </w:txbxContent>
              </v:textbox>
              <w10:wrap type="none"/>
            </v:shape>
          </w:pict>
        </mc:Fallback>
      </mc:AlternateContent>
    </w:r>
  </w:p>
</w:ftr>
</file>

<file path=word/footer5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275840">
              <wp:simplePos x="0" y="0"/>
              <wp:positionH relativeFrom="page">
                <wp:posOffset>701344</wp:posOffset>
              </wp:positionH>
              <wp:positionV relativeFrom="page">
                <wp:posOffset>9981895</wp:posOffset>
              </wp:positionV>
              <wp:extent cx="6158230" cy="6350"/>
              <wp:effectExtent l="0" t="0" r="0" b="0"/>
              <wp:wrapNone/>
              <wp:docPr id="26" name="Graphic 26"/>
              <wp:cNvGraphicFramePr>
                <a:graphicFrameLocks/>
              </wp:cNvGraphicFramePr>
              <a:graphic>
                <a:graphicData uri="http://schemas.microsoft.com/office/word/2010/wordprocessingShape">
                  <wps:wsp>
                    <wps:cNvPr id="26" name="Graphic 26"/>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85.976013pt;width:484.9pt;height:.47998pt;mso-position-horizontal-relative:page;mso-position-vertical-relative:page;z-index:-29040640" id="docshape17"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74276352">
              <wp:simplePos x="0" y="0"/>
              <wp:positionH relativeFrom="page">
                <wp:posOffset>706932</wp:posOffset>
              </wp:positionH>
              <wp:positionV relativeFrom="page">
                <wp:posOffset>9990994</wp:posOffset>
              </wp:positionV>
              <wp:extent cx="5586095" cy="153670"/>
              <wp:effectExtent l="0" t="0" r="0" b="0"/>
              <wp:wrapNone/>
              <wp:docPr id="27" name="Textbox 27"/>
              <wp:cNvGraphicFramePr>
                <a:graphicFrameLocks/>
              </wp:cNvGraphicFramePr>
              <a:graphic>
                <a:graphicData uri="http://schemas.microsoft.com/office/word/2010/wordprocessingShape">
                  <wps:wsp>
                    <wps:cNvPr id="27" name="Textbox 27"/>
                    <wps:cNvSpPr txBox="1"/>
                    <wps:spPr>
                      <a:xfrm>
                        <a:off x="0" y="0"/>
                        <a:ext cx="5586095" cy="153670"/>
                      </a:xfrm>
                      <a:prstGeom prst="rect">
                        <a:avLst/>
                      </a:prstGeom>
                    </wps:spPr>
                    <wps:txbx>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wps:txbx>
                    <wps:bodyPr wrap="square" lIns="0" tIns="0" rIns="0" bIns="0" rtlCol="0">
                      <a:noAutofit/>
                    </wps:bodyPr>
                  </wps:wsp>
                </a:graphicData>
              </a:graphic>
            </wp:anchor>
          </w:drawing>
        </mc:Choice>
        <mc:Fallback>
          <w:pict>
            <v:shape style="position:absolute;margin-left:55.664001pt;margin-top:786.692505pt;width:439.85pt;height:12.1pt;mso-position-horizontal-relative:page;mso-position-vertical-relative:page;z-index:-29040128" type="#_x0000_t202" id="docshape18" filled="false" stroked="false">
              <v:textbox inset="0,0,0,0">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v:textbox>
              <w10:wrap type="none"/>
            </v:shape>
          </w:pict>
        </mc:Fallback>
      </mc:AlternateContent>
    </w:r>
    <w:r>
      <w:rPr>
        <w:sz w:val="20"/>
      </w:rPr>
      <mc:AlternateContent>
        <mc:Choice Requires="wps">
          <w:drawing>
            <wp:anchor distT="0" distB="0" distL="0" distR="0" allowOverlap="1" layoutInCell="1" locked="0" behindDoc="1" simplePos="0" relativeHeight="474276864">
              <wp:simplePos x="0" y="0"/>
              <wp:positionH relativeFrom="page">
                <wp:posOffset>6739128</wp:posOffset>
              </wp:positionH>
              <wp:positionV relativeFrom="page">
                <wp:posOffset>9990994</wp:posOffset>
              </wp:positionV>
              <wp:extent cx="153035" cy="153670"/>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7</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530.640015pt;margin-top:786.692505pt;width:12.05pt;height:12.1pt;mso-position-horizontal-relative:page;mso-position-vertical-relative:page;z-index:-29039616" type="#_x0000_t202" id="docshape19"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7</w:t>
                    </w:r>
                    <w:r>
                      <w:rPr>
                        <w:spacing w:val="-10"/>
                        <w:sz w:val="18"/>
                      </w:rPr>
                      <w:fldChar w:fldCharType="end"/>
                    </w:r>
                  </w:p>
                </w:txbxContent>
              </v:textbox>
              <w10:wrap type="none"/>
            </v:shape>
          </w:pict>
        </mc:Fallback>
      </mc:AlternateContent>
    </w:r>
  </w:p>
</w:ftr>
</file>

<file path=word/footer7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483712">
              <wp:simplePos x="0" y="0"/>
              <wp:positionH relativeFrom="page">
                <wp:posOffset>4332186</wp:posOffset>
              </wp:positionH>
              <wp:positionV relativeFrom="page">
                <wp:posOffset>10278933</wp:posOffset>
              </wp:positionV>
              <wp:extent cx="53340" cy="100330"/>
              <wp:effectExtent l="0" t="0" r="0" b="0"/>
              <wp:wrapNone/>
              <wp:docPr id="1436" name="Textbox 1436"/>
              <wp:cNvGraphicFramePr>
                <a:graphicFrameLocks/>
              </wp:cNvGraphicFramePr>
              <a:graphic>
                <a:graphicData uri="http://schemas.microsoft.com/office/word/2010/wordprocessingShape">
                  <wps:wsp>
                    <wps:cNvPr id="1436" name="Textbox 1436"/>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809.364868pt;width:4.2pt;height:7.9pt;mso-position-horizontal-relative:page;mso-position-vertical-relative:page;z-index:-28832768" type="#_x0000_t202" id="docshape1041"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20"/>
      </w:rPr>
      <mc:AlternateContent>
        <mc:Choice Requires="wps">
          <w:drawing>
            <wp:anchor distT="0" distB="0" distL="0" distR="0" allowOverlap="1" layoutInCell="1" locked="0" behindDoc="1" simplePos="0" relativeHeight="474484224">
              <wp:simplePos x="0" y="0"/>
              <wp:positionH relativeFrom="page">
                <wp:posOffset>142494</wp:posOffset>
              </wp:positionH>
              <wp:positionV relativeFrom="page">
                <wp:posOffset>9792477</wp:posOffset>
              </wp:positionV>
              <wp:extent cx="7277100" cy="753110"/>
              <wp:effectExtent l="0" t="0" r="0" b="0"/>
              <wp:wrapNone/>
              <wp:docPr id="1437" name="Group 1437"/>
              <wp:cNvGraphicFramePr>
                <a:graphicFrameLocks/>
              </wp:cNvGraphicFramePr>
              <a:graphic>
                <a:graphicData uri="http://schemas.microsoft.com/office/word/2010/wordprocessingGroup">
                  <wpg:wgp>
                    <wpg:cNvPr id="1437" name="Group 1437"/>
                    <wpg:cNvGrpSpPr/>
                    <wpg:grpSpPr>
                      <a:xfrm>
                        <a:off x="0" y="0"/>
                        <a:ext cx="7277100" cy="753110"/>
                        <a:chExt cx="7277100" cy="753110"/>
                      </a:xfrm>
                    </wpg:grpSpPr>
                    <wps:wsp>
                      <wps:cNvPr id="1438" name="Graphic 1438"/>
                      <wps:cNvSpPr/>
                      <wps:spPr>
                        <a:xfrm>
                          <a:off x="29718" y="28178"/>
                          <a:ext cx="6490970" cy="696595"/>
                        </a:xfrm>
                        <a:custGeom>
                          <a:avLst/>
                          <a:gdLst/>
                          <a:ahLst/>
                          <a:cxnLst/>
                          <a:rect l="l" t="t" r="r" b="b"/>
                          <a:pathLst>
                            <a:path w="6490970" h="696595">
                              <a:moveTo>
                                <a:pt x="1298448" y="0"/>
                              </a:moveTo>
                              <a:lnTo>
                                <a:pt x="0" y="0"/>
                              </a:lnTo>
                              <a:lnTo>
                                <a:pt x="0" y="138684"/>
                              </a:lnTo>
                              <a:lnTo>
                                <a:pt x="0" y="140208"/>
                              </a:lnTo>
                              <a:lnTo>
                                <a:pt x="0" y="417576"/>
                              </a:lnTo>
                              <a:lnTo>
                                <a:pt x="0" y="696468"/>
                              </a:lnTo>
                              <a:lnTo>
                                <a:pt x="1298448" y="696468"/>
                              </a:lnTo>
                              <a:lnTo>
                                <a:pt x="1298448" y="417576"/>
                              </a:lnTo>
                              <a:lnTo>
                                <a:pt x="1298448" y="140208"/>
                              </a:lnTo>
                              <a:lnTo>
                                <a:pt x="1298448" y="138684"/>
                              </a:lnTo>
                              <a:lnTo>
                                <a:pt x="1298448" y="0"/>
                              </a:lnTo>
                              <a:close/>
                            </a:path>
                            <a:path w="6490970" h="696595">
                              <a:moveTo>
                                <a:pt x="5192268" y="277368"/>
                              </a:moveTo>
                              <a:lnTo>
                                <a:pt x="4543044" y="277368"/>
                              </a:lnTo>
                              <a:lnTo>
                                <a:pt x="4543044" y="417576"/>
                              </a:lnTo>
                              <a:lnTo>
                                <a:pt x="5192268" y="417576"/>
                              </a:lnTo>
                              <a:lnTo>
                                <a:pt x="5192268" y="277368"/>
                              </a:lnTo>
                              <a:close/>
                            </a:path>
                            <a:path w="6490970" h="696595">
                              <a:moveTo>
                                <a:pt x="6490716" y="0"/>
                              </a:moveTo>
                              <a:lnTo>
                                <a:pt x="4543044" y="0"/>
                              </a:lnTo>
                              <a:lnTo>
                                <a:pt x="4543044" y="140208"/>
                              </a:lnTo>
                              <a:lnTo>
                                <a:pt x="6490716" y="140208"/>
                              </a:lnTo>
                              <a:lnTo>
                                <a:pt x="6490716" y="0"/>
                              </a:lnTo>
                              <a:close/>
                            </a:path>
                          </a:pathLst>
                        </a:custGeom>
                        <a:solidFill>
                          <a:srgbClr val="CCCCCC"/>
                        </a:solidFill>
                      </wps:spPr>
                      <wps:bodyPr wrap="square" lIns="0" tIns="0" rIns="0" bIns="0" rtlCol="0">
                        <a:prstTxWarp prst="textNoShape">
                          <a:avLst/>
                        </a:prstTxWarp>
                        <a:noAutofit/>
                      </wps:bodyPr>
                    </wps:wsp>
                    <wps:wsp>
                      <wps:cNvPr id="1439" name="Graphic 1439"/>
                      <wps:cNvSpPr/>
                      <wps:spPr>
                        <a:xfrm>
                          <a:off x="3809" y="3809"/>
                          <a:ext cx="6543040" cy="745490"/>
                        </a:xfrm>
                        <a:custGeom>
                          <a:avLst/>
                          <a:gdLst/>
                          <a:ahLst/>
                          <a:cxnLst/>
                          <a:rect l="l" t="t" r="r" b="b"/>
                          <a:pathLst>
                            <a:path w="6543040" h="745490">
                              <a:moveTo>
                                <a:pt x="0" y="745220"/>
                              </a:moveTo>
                              <a:lnTo>
                                <a:pt x="6542531" y="745220"/>
                              </a:lnTo>
                            </a:path>
                            <a:path w="6543040" h="745490">
                              <a:moveTo>
                                <a:pt x="6542531" y="745220"/>
                              </a:moveTo>
                              <a:lnTo>
                                <a:pt x="6542531" y="0"/>
                              </a:lnTo>
                            </a:path>
                            <a:path w="6543040" h="745490">
                              <a:moveTo>
                                <a:pt x="6542531" y="0"/>
                              </a:moveTo>
                              <a:lnTo>
                                <a:pt x="0" y="0"/>
                              </a:lnTo>
                            </a:path>
                            <a:path w="6543040" h="745490">
                              <a:moveTo>
                                <a:pt x="0" y="0"/>
                              </a:moveTo>
                              <a:lnTo>
                                <a:pt x="0" y="745220"/>
                              </a:lnTo>
                            </a:path>
                          </a:pathLst>
                        </a:custGeom>
                        <a:ln w="7619">
                          <a:solidFill>
                            <a:srgbClr val="000000"/>
                          </a:solidFill>
                          <a:prstDash val="solid"/>
                        </a:ln>
                      </wps:spPr>
                      <wps:bodyPr wrap="square" lIns="0" tIns="0" rIns="0" bIns="0" rtlCol="0">
                        <a:prstTxWarp prst="textNoShape">
                          <a:avLst/>
                        </a:prstTxWarp>
                        <a:noAutofit/>
                      </wps:bodyPr>
                    </wps:wsp>
                    <wps:wsp>
                      <wps:cNvPr id="1440" name="Graphic 1440"/>
                      <wps:cNvSpPr/>
                      <wps:spPr>
                        <a:xfrm>
                          <a:off x="29717" y="28178"/>
                          <a:ext cx="1298575" cy="140335"/>
                        </a:xfrm>
                        <a:custGeom>
                          <a:avLst/>
                          <a:gdLst/>
                          <a:ahLst/>
                          <a:cxnLst/>
                          <a:rect l="l" t="t" r="r" b="b"/>
                          <a:pathLst>
                            <a:path w="1298575" h="140335">
                              <a:moveTo>
                                <a:pt x="0" y="140207"/>
                              </a:moveTo>
                              <a:lnTo>
                                <a:pt x="1298447" y="140207"/>
                              </a:lnTo>
                              <a:lnTo>
                                <a:pt x="1298447"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441" name="Graphic 1441"/>
                      <wps:cNvSpPr/>
                      <wps:spPr>
                        <a:xfrm>
                          <a:off x="1328166" y="28178"/>
                          <a:ext cx="3244850" cy="140335"/>
                        </a:xfrm>
                        <a:custGeom>
                          <a:avLst/>
                          <a:gdLst/>
                          <a:ahLst/>
                          <a:cxnLst/>
                          <a:rect l="l" t="t" r="r" b="b"/>
                          <a:pathLst>
                            <a:path w="3244850" h="140335">
                              <a:moveTo>
                                <a:pt x="0" y="140207"/>
                              </a:moveTo>
                              <a:lnTo>
                                <a:pt x="3244595" y="140207"/>
                              </a:lnTo>
                            </a:path>
                            <a:path w="3244850" h="140335">
                              <a:moveTo>
                                <a:pt x="3244595" y="140207"/>
                              </a:moveTo>
                              <a:lnTo>
                                <a:pt x="3244595" y="0"/>
                              </a:lnTo>
                            </a:path>
                            <a:path w="3244850" h="140335">
                              <a:moveTo>
                                <a:pt x="3244595" y="0"/>
                              </a:moveTo>
                              <a:lnTo>
                                <a:pt x="0" y="0"/>
                              </a:lnTo>
                            </a:path>
                            <a:path w="3244850" h="140335">
                              <a:moveTo>
                                <a:pt x="0" y="0"/>
                              </a:moveTo>
                              <a:lnTo>
                                <a:pt x="0" y="140207"/>
                              </a:lnTo>
                            </a:path>
                          </a:pathLst>
                        </a:custGeom>
                        <a:ln w="7619">
                          <a:solidFill>
                            <a:srgbClr val="000000"/>
                          </a:solidFill>
                          <a:prstDash val="solid"/>
                        </a:ln>
                      </wps:spPr>
                      <wps:bodyPr wrap="square" lIns="0" tIns="0" rIns="0" bIns="0" rtlCol="0">
                        <a:prstTxWarp prst="textNoShape">
                          <a:avLst/>
                        </a:prstTxWarp>
                        <a:noAutofit/>
                      </wps:bodyPr>
                    </wps:wsp>
                    <wps:wsp>
                      <wps:cNvPr id="1442" name="Graphic 1442"/>
                      <wps:cNvSpPr/>
                      <wps:spPr>
                        <a:xfrm>
                          <a:off x="4572761" y="28178"/>
                          <a:ext cx="649605" cy="140335"/>
                        </a:xfrm>
                        <a:custGeom>
                          <a:avLst/>
                          <a:gdLst/>
                          <a:ahLst/>
                          <a:cxnLst/>
                          <a:rect l="l" t="t" r="r" b="b"/>
                          <a:pathLst>
                            <a:path w="649605" h="140335">
                              <a:moveTo>
                                <a:pt x="0" y="140207"/>
                              </a:moveTo>
                              <a:lnTo>
                                <a:pt x="649223" y="140207"/>
                              </a:lnTo>
                              <a:lnTo>
                                <a:pt x="649223"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443" name="Graphic 1443"/>
                      <wps:cNvSpPr/>
                      <wps:spPr>
                        <a:xfrm>
                          <a:off x="5221985" y="28178"/>
                          <a:ext cx="1298575" cy="140335"/>
                        </a:xfrm>
                        <a:custGeom>
                          <a:avLst/>
                          <a:gdLst/>
                          <a:ahLst/>
                          <a:cxnLst/>
                          <a:rect l="l" t="t" r="r" b="b"/>
                          <a:pathLst>
                            <a:path w="1298575" h="140335">
                              <a:moveTo>
                                <a:pt x="0" y="140207"/>
                              </a:moveTo>
                              <a:lnTo>
                                <a:pt x="1298447" y="140207"/>
                              </a:lnTo>
                              <a:lnTo>
                                <a:pt x="1298447"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444" name="Graphic 1444"/>
                      <wps:cNvSpPr/>
                      <wps:spPr>
                        <a:xfrm>
                          <a:off x="29717" y="168386"/>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45" name="Graphic 1445"/>
                      <wps:cNvSpPr/>
                      <wps:spPr>
                        <a:xfrm>
                          <a:off x="1328166" y="168386"/>
                          <a:ext cx="3244850" cy="139065"/>
                        </a:xfrm>
                        <a:custGeom>
                          <a:avLst/>
                          <a:gdLst/>
                          <a:ahLst/>
                          <a:cxnLst/>
                          <a:rect l="l" t="t" r="r" b="b"/>
                          <a:pathLst>
                            <a:path w="3244850" h="139065">
                              <a:moveTo>
                                <a:pt x="0" y="138683"/>
                              </a:moveTo>
                              <a:lnTo>
                                <a:pt x="3244595" y="138683"/>
                              </a:lnTo>
                              <a:lnTo>
                                <a:pt x="3244595"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46" name="Graphic 1446"/>
                      <wps:cNvSpPr/>
                      <wps:spPr>
                        <a:xfrm>
                          <a:off x="4572761" y="168386"/>
                          <a:ext cx="649605" cy="139065"/>
                        </a:xfrm>
                        <a:custGeom>
                          <a:avLst/>
                          <a:gdLst/>
                          <a:ahLst/>
                          <a:cxnLst/>
                          <a:rect l="l" t="t" r="r" b="b"/>
                          <a:pathLst>
                            <a:path w="649605" h="139065">
                              <a:moveTo>
                                <a:pt x="0" y="138683"/>
                              </a:moveTo>
                              <a:lnTo>
                                <a:pt x="649223" y="138683"/>
                              </a:lnTo>
                              <a:lnTo>
                                <a:pt x="649223"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47" name="Graphic 1447"/>
                      <wps:cNvSpPr/>
                      <wps:spPr>
                        <a:xfrm>
                          <a:off x="5221985" y="168386"/>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48" name="Graphic 1448"/>
                      <wps:cNvSpPr/>
                      <wps:spPr>
                        <a:xfrm>
                          <a:off x="29717" y="307070"/>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49" name="Graphic 1449"/>
                      <wps:cNvSpPr/>
                      <wps:spPr>
                        <a:xfrm>
                          <a:off x="1328166" y="307070"/>
                          <a:ext cx="3244850" cy="139065"/>
                        </a:xfrm>
                        <a:custGeom>
                          <a:avLst/>
                          <a:gdLst/>
                          <a:ahLst/>
                          <a:cxnLst/>
                          <a:rect l="l" t="t" r="r" b="b"/>
                          <a:pathLst>
                            <a:path w="3244850" h="139065">
                              <a:moveTo>
                                <a:pt x="0" y="138683"/>
                              </a:moveTo>
                              <a:lnTo>
                                <a:pt x="3244595" y="138683"/>
                              </a:lnTo>
                              <a:lnTo>
                                <a:pt x="3244595"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50" name="Graphic 1450"/>
                      <wps:cNvSpPr/>
                      <wps:spPr>
                        <a:xfrm>
                          <a:off x="4572761" y="307070"/>
                          <a:ext cx="649605" cy="139065"/>
                        </a:xfrm>
                        <a:custGeom>
                          <a:avLst/>
                          <a:gdLst/>
                          <a:ahLst/>
                          <a:cxnLst/>
                          <a:rect l="l" t="t" r="r" b="b"/>
                          <a:pathLst>
                            <a:path w="649605" h="139065">
                              <a:moveTo>
                                <a:pt x="0" y="138683"/>
                              </a:moveTo>
                              <a:lnTo>
                                <a:pt x="649223" y="138683"/>
                              </a:lnTo>
                              <a:lnTo>
                                <a:pt x="649223"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51" name="Graphic 1451"/>
                      <wps:cNvSpPr/>
                      <wps:spPr>
                        <a:xfrm>
                          <a:off x="5221985" y="307070"/>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52" name="Graphic 1452"/>
                      <wps:cNvSpPr/>
                      <wps:spPr>
                        <a:xfrm>
                          <a:off x="29717" y="445754"/>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53" name="Graphic 1453"/>
                      <wps:cNvSpPr/>
                      <wps:spPr>
                        <a:xfrm>
                          <a:off x="1328166" y="445754"/>
                          <a:ext cx="5192395" cy="139065"/>
                        </a:xfrm>
                        <a:custGeom>
                          <a:avLst/>
                          <a:gdLst/>
                          <a:ahLst/>
                          <a:cxnLst/>
                          <a:rect l="l" t="t" r="r" b="b"/>
                          <a:pathLst>
                            <a:path w="5192395" h="139065">
                              <a:moveTo>
                                <a:pt x="0" y="138683"/>
                              </a:moveTo>
                              <a:lnTo>
                                <a:pt x="2900888" y="138683"/>
                              </a:lnTo>
                            </a:path>
                            <a:path w="5192395" h="139065">
                              <a:moveTo>
                                <a:pt x="4412879" y="138683"/>
                              </a:moveTo>
                              <a:lnTo>
                                <a:pt x="5192267" y="138683"/>
                              </a:lnTo>
                            </a:path>
                            <a:path w="5192395" h="139065">
                              <a:moveTo>
                                <a:pt x="5192267" y="138683"/>
                              </a:moveTo>
                              <a:lnTo>
                                <a:pt x="5192267" y="0"/>
                              </a:lnTo>
                            </a:path>
                            <a:path w="5192395" h="139065">
                              <a:moveTo>
                                <a:pt x="5192267" y="0"/>
                              </a:moveTo>
                              <a:lnTo>
                                <a:pt x="0" y="0"/>
                              </a:lnTo>
                            </a:path>
                            <a:path w="5192395" h="139065">
                              <a:moveTo>
                                <a:pt x="0" y="0"/>
                              </a:moveTo>
                              <a:lnTo>
                                <a:pt x="0" y="138683"/>
                              </a:lnTo>
                            </a:path>
                          </a:pathLst>
                        </a:custGeom>
                        <a:ln w="7619">
                          <a:solidFill>
                            <a:srgbClr val="000000"/>
                          </a:solidFill>
                          <a:prstDash val="solid"/>
                        </a:ln>
                      </wps:spPr>
                      <wps:bodyPr wrap="square" lIns="0" tIns="0" rIns="0" bIns="0" rtlCol="0">
                        <a:prstTxWarp prst="textNoShape">
                          <a:avLst/>
                        </a:prstTxWarp>
                        <a:noAutofit/>
                      </wps:bodyPr>
                    </wps:wsp>
                    <wps:wsp>
                      <wps:cNvPr id="1454" name="Graphic 1454"/>
                      <wps:cNvSpPr/>
                      <wps:spPr>
                        <a:xfrm>
                          <a:off x="29717" y="584438"/>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455" name="Graphic 1455"/>
                      <wps:cNvSpPr/>
                      <wps:spPr>
                        <a:xfrm>
                          <a:off x="1328166" y="584438"/>
                          <a:ext cx="5192395" cy="139065"/>
                        </a:xfrm>
                        <a:custGeom>
                          <a:avLst/>
                          <a:gdLst/>
                          <a:ahLst/>
                          <a:cxnLst/>
                          <a:rect l="l" t="t" r="r" b="b"/>
                          <a:pathLst>
                            <a:path w="5192395" h="139065">
                              <a:moveTo>
                                <a:pt x="0" y="138683"/>
                              </a:moveTo>
                              <a:lnTo>
                                <a:pt x="5192267" y="138683"/>
                              </a:lnTo>
                              <a:lnTo>
                                <a:pt x="519226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pic:pic>
                      <pic:nvPicPr>
                        <pic:cNvPr id="1456" name="Image 1456"/>
                        <pic:cNvPicPr/>
                      </pic:nvPicPr>
                      <pic:blipFill>
                        <a:blip r:embed="rId1" cstate="print"/>
                        <a:stretch>
                          <a:fillRect/>
                        </a:stretch>
                      </pic:blipFill>
                      <pic:spPr>
                        <a:xfrm>
                          <a:off x="75438" y="75422"/>
                          <a:ext cx="1203959" cy="207263"/>
                        </a:xfrm>
                        <a:prstGeom prst="rect">
                          <a:avLst/>
                        </a:prstGeom>
                      </pic:spPr>
                    </pic:pic>
                    <pic:pic>
                      <pic:nvPicPr>
                        <pic:cNvPr id="1457" name="Image 1457"/>
                        <pic:cNvPicPr/>
                      </pic:nvPicPr>
                      <pic:blipFill>
                        <a:blip r:embed="rId2" cstate="print"/>
                        <a:stretch>
                          <a:fillRect/>
                        </a:stretch>
                      </pic:blipFill>
                      <pic:spPr>
                        <a:xfrm>
                          <a:off x="4766309" y="76946"/>
                          <a:ext cx="268223" cy="67055"/>
                        </a:xfrm>
                        <a:prstGeom prst="rect">
                          <a:avLst/>
                        </a:prstGeom>
                      </pic:spPr>
                    </pic:pic>
                    <pic:pic>
                      <pic:nvPicPr>
                        <pic:cNvPr id="1458" name="Image 1458"/>
                        <pic:cNvPicPr/>
                      </pic:nvPicPr>
                      <pic:blipFill>
                        <a:blip r:embed="rId3" cstate="print"/>
                        <a:stretch>
                          <a:fillRect/>
                        </a:stretch>
                      </pic:blipFill>
                      <pic:spPr>
                        <a:xfrm>
                          <a:off x="5619750" y="76946"/>
                          <a:ext cx="507491" cy="86867"/>
                        </a:xfrm>
                        <a:prstGeom prst="rect">
                          <a:avLst/>
                        </a:prstGeom>
                      </pic:spPr>
                    </pic:pic>
                    <pic:pic>
                      <pic:nvPicPr>
                        <pic:cNvPr id="1459" name="Image 1459"/>
                        <pic:cNvPicPr/>
                      </pic:nvPicPr>
                      <pic:blipFill>
                        <a:blip r:embed="rId4" cstate="print"/>
                        <a:stretch>
                          <a:fillRect/>
                        </a:stretch>
                      </pic:blipFill>
                      <pic:spPr>
                        <a:xfrm>
                          <a:off x="386334" y="354314"/>
                          <a:ext cx="585215" cy="68579"/>
                        </a:xfrm>
                        <a:prstGeom prst="rect">
                          <a:avLst/>
                        </a:prstGeom>
                      </pic:spPr>
                    </pic:pic>
                    <pic:pic>
                      <pic:nvPicPr>
                        <pic:cNvPr id="1460" name="Image 1460"/>
                        <pic:cNvPicPr/>
                      </pic:nvPicPr>
                      <pic:blipFill>
                        <a:blip r:embed="rId5" cstate="print"/>
                        <a:stretch>
                          <a:fillRect/>
                        </a:stretch>
                      </pic:blipFill>
                      <pic:spPr>
                        <a:xfrm>
                          <a:off x="4766309" y="355838"/>
                          <a:ext cx="266699" cy="85343"/>
                        </a:xfrm>
                        <a:prstGeom prst="rect">
                          <a:avLst/>
                        </a:prstGeom>
                      </pic:spPr>
                    </pic:pic>
                    <pic:pic>
                      <pic:nvPicPr>
                        <pic:cNvPr id="1461" name="Image 1461"/>
                        <pic:cNvPicPr/>
                      </pic:nvPicPr>
                      <pic:blipFill>
                        <a:blip r:embed="rId6" cstate="print"/>
                        <a:stretch>
                          <a:fillRect/>
                        </a:stretch>
                      </pic:blipFill>
                      <pic:spPr>
                        <a:xfrm>
                          <a:off x="317754" y="492998"/>
                          <a:ext cx="722375" cy="70103"/>
                        </a:xfrm>
                        <a:prstGeom prst="rect">
                          <a:avLst/>
                        </a:prstGeom>
                      </pic:spPr>
                    </pic:pic>
                    <pic:pic>
                      <pic:nvPicPr>
                        <pic:cNvPr id="1462" name="Image 1462"/>
                        <pic:cNvPicPr/>
                      </pic:nvPicPr>
                      <pic:blipFill>
                        <a:blip r:embed="rId7" cstate="print"/>
                        <a:stretch>
                          <a:fillRect/>
                        </a:stretch>
                      </pic:blipFill>
                      <pic:spPr>
                        <a:xfrm>
                          <a:off x="482345" y="633206"/>
                          <a:ext cx="394715" cy="67055"/>
                        </a:xfrm>
                        <a:prstGeom prst="rect">
                          <a:avLst/>
                        </a:prstGeom>
                      </pic:spPr>
                    </pic:pic>
                    <pic:pic>
                      <pic:nvPicPr>
                        <pic:cNvPr id="1463" name="Image 1463"/>
                        <pic:cNvPicPr/>
                      </pic:nvPicPr>
                      <pic:blipFill>
                        <a:blip r:embed="rId8" cstate="print"/>
                        <a:stretch>
                          <a:fillRect/>
                        </a:stretch>
                      </pic:blipFill>
                      <pic:spPr>
                        <a:xfrm>
                          <a:off x="6542531" y="0"/>
                          <a:ext cx="734567" cy="752840"/>
                        </a:xfrm>
                        <a:prstGeom prst="rect">
                          <a:avLst/>
                        </a:prstGeom>
                      </pic:spPr>
                    </pic:pic>
                    <wps:wsp>
                      <wps:cNvPr id="1464" name="Graphic 1464"/>
                      <wps:cNvSpPr/>
                      <wps:spPr>
                        <a:xfrm>
                          <a:off x="2300884" y="45171"/>
                          <a:ext cx="4932045" cy="669925"/>
                        </a:xfrm>
                        <a:custGeom>
                          <a:avLst/>
                          <a:gdLst/>
                          <a:ahLst/>
                          <a:cxnLst/>
                          <a:rect l="l" t="t" r="r" b="b"/>
                          <a:pathLst>
                            <a:path w="4932045" h="669925">
                              <a:moveTo>
                                <a:pt x="1384084" y="0"/>
                              </a:moveTo>
                              <a:lnTo>
                                <a:pt x="0" y="0"/>
                              </a:lnTo>
                              <a:lnTo>
                                <a:pt x="0" y="104927"/>
                              </a:lnTo>
                              <a:lnTo>
                                <a:pt x="1384084" y="104927"/>
                              </a:lnTo>
                              <a:lnTo>
                                <a:pt x="1384084" y="0"/>
                              </a:lnTo>
                              <a:close/>
                            </a:path>
                            <a:path w="4932045" h="669925">
                              <a:moveTo>
                                <a:pt x="3440150" y="441375"/>
                              </a:moveTo>
                              <a:lnTo>
                                <a:pt x="1928152" y="441375"/>
                              </a:lnTo>
                              <a:lnTo>
                                <a:pt x="1928152" y="544195"/>
                              </a:lnTo>
                              <a:lnTo>
                                <a:pt x="3440150" y="544195"/>
                              </a:lnTo>
                              <a:lnTo>
                                <a:pt x="3440150" y="441375"/>
                              </a:lnTo>
                              <a:close/>
                            </a:path>
                            <a:path w="4932045" h="669925">
                              <a:moveTo>
                                <a:pt x="4931753" y="24980"/>
                              </a:moveTo>
                              <a:lnTo>
                                <a:pt x="4282173" y="24980"/>
                              </a:lnTo>
                              <a:lnTo>
                                <a:pt x="4282173" y="669493"/>
                              </a:lnTo>
                              <a:lnTo>
                                <a:pt x="4931753" y="669493"/>
                              </a:lnTo>
                              <a:lnTo>
                                <a:pt x="4931753" y="2498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1.22pt;margin-top:771.061218pt;width:573pt;height:59.3pt;mso-position-horizontal-relative:page;mso-position-vertical-relative:page;z-index:-28832256" id="docshapegroup1042" coordorigin="224,15421" coordsize="11460,1186">
              <v:shape style="position:absolute;left:271;top:15465;width:10222;height:1097" id="docshape1043" coordorigin="271,15466" coordsize="10222,1097" path="m2316,15466l271,15466,271,15684,271,15686,271,16123,271,16562,2316,16562,2316,16123,2316,15686,2316,15684,2316,15466xm8448,15902l7426,15902,7426,16123,8448,16123,8448,15902xm10493,15466l7426,15466,7426,15686,10493,15686,10493,15466xe" filled="true" fillcolor="#cccccc" stroked="false">
                <v:path arrowok="t"/>
                <v:fill type="solid"/>
              </v:shape>
              <v:shape style="position:absolute;left:230;top:15427;width:10304;height:1174" id="docshape1044" coordorigin="230,15427" coordsize="10304,1174" path="m230,16601l10534,16601m10534,16601l10534,15427m10534,15427l230,15427m230,15427l230,16601e" filled="false" stroked="true" strokeweight=".6pt" strokecolor="#000000">
                <v:path arrowok="t"/>
                <v:stroke dashstyle="solid"/>
              </v:shape>
              <v:rect style="position:absolute;left:271;top:15465;width:2045;height:221" id="docshape1045" filled="false" stroked="true" strokeweight=".6pt" strokecolor="#000000">
                <v:stroke dashstyle="solid"/>
              </v:rect>
              <v:shape style="position:absolute;left:2316;top:15465;width:5110;height:221" id="docshape1046" coordorigin="2316,15466" coordsize="5110,221" path="m2316,15686l7426,15686m7426,15686l7426,15466m7426,15466l2316,15466m2316,15466l2316,15686e" filled="false" stroked="true" strokeweight=".6pt" strokecolor="#000000">
                <v:path arrowok="t"/>
                <v:stroke dashstyle="solid"/>
              </v:shape>
              <v:rect style="position:absolute;left:7425;top:15465;width:1023;height:221" id="docshape1047" filled="false" stroked="true" strokeweight=".6pt" strokecolor="#000000">
                <v:stroke dashstyle="solid"/>
              </v:rect>
              <v:rect style="position:absolute;left:8448;top:15465;width:2045;height:221" id="docshape1048" filled="false" stroked="true" strokeweight=".6pt" strokecolor="#000000">
                <v:stroke dashstyle="solid"/>
              </v:rect>
              <v:rect style="position:absolute;left:271;top:15686;width:2045;height:219" id="docshape1049" filled="false" stroked="true" strokeweight=".6pt" strokecolor="#000000">
                <v:stroke dashstyle="solid"/>
              </v:rect>
              <v:rect style="position:absolute;left:2316;top:15686;width:5110;height:219" id="docshape1050" filled="false" stroked="true" strokeweight=".6pt" strokecolor="#000000">
                <v:stroke dashstyle="solid"/>
              </v:rect>
              <v:rect style="position:absolute;left:7425;top:15686;width:1023;height:219" id="docshape1051" filled="false" stroked="true" strokeweight=".6pt" strokecolor="#000000">
                <v:stroke dashstyle="solid"/>
              </v:rect>
              <v:rect style="position:absolute;left:8448;top:15686;width:2045;height:219" id="docshape1052" filled="false" stroked="true" strokeweight=".6pt" strokecolor="#000000">
                <v:stroke dashstyle="solid"/>
              </v:rect>
              <v:rect style="position:absolute;left:271;top:15904;width:2045;height:219" id="docshape1053" filled="false" stroked="true" strokeweight=".6pt" strokecolor="#000000">
                <v:stroke dashstyle="solid"/>
              </v:rect>
              <v:rect style="position:absolute;left:2316;top:15904;width:5110;height:219" id="docshape1054" filled="false" stroked="true" strokeweight=".6pt" strokecolor="#000000">
                <v:stroke dashstyle="solid"/>
              </v:rect>
              <v:rect style="position:absolute;left:7425;top:15904;width:1023;height:219" id="docshape1055" filled="false" stroked="true" strokeweight=".6pt" strokecolor="#000000">
                <v:stroke dashstyle="solid"/>
              </v:rect>
              <v:rect style="position:absolute;left:8448;top:15904;width:2045;height:219" id="docshape1056" filled="false" stroked="true" strokeweight=".6pt" strokecolor="#000000">
                <v:stroke dashstyle="solid"/>
              </v:rect>
              <v:rect style="position:absolute;left:271;top:16123;width:2045;height:219" id="docshape1057" filled="false" stroked="true" strokeweight=".6pt" strokecolor="#000000">
                <v:stroke dashstyle="solid"/>
              </v:rect>
              <v:shape style="position:absolute;left:2316;top:16123;width:8177;height:219" id="docshape1058" coordorigin="2316,16123" coordsize="8177,219" path="m2316,16342l6884,16342m9265,16342l10493,16342m10493,16342l10493,16123m10493,16123l2316,16123m2316,16123l2316,16342e" filled="false" stroked="true" strokeweight=".6pt" strokecolor="#000000">
                <v:path arrowok="t"/>
                <v:stroke dashstyle="solid"/>
              </v:shape>
              <v:rect style="position:absolute;left:271;top:16341;width:2045;height:219" id="docshape1059" filled="false" stroked="true" strokeweight=".6pt" strokecolor="#000000">
                <v:stroke dashstyle="solid"/>
              </v:rect>
              <v:rect style="position:absolute;left:2316;top:16341;width:8177;height:219" id="docshape1060" filled="false" stroked="true" strokeweight=".6pt" strokecolor="#000000">
                <v:stroke dashstyle="solid"/>
              </v:rect>
              <v:shape style="position:absolute;left:343;top:15540;width:1896;height:327" type="#_x0000_t75" id="docshape1061" stroked="false">
                <v:imagedata r:id="rId1" o:title=""/>
              </v:shape>
              <v:shape style="position:absolute;left:7730;top:15542;width:423;height:106" type="#_x0000_t75" id="docshape1062" stroked="false">
                <v:imagedata r:id="rId2" o:title=""/>
              </v:shape>
              <v:shape style="position:absolute;left:9074;top:15542;width:800;height:137" type="#_x0000_t75" id="docshape1063" stroked="false">
                <v:imagedata r:id="rId3" o:title=""/>
              </v:shape>
              <v:shape style="position:absolute;left:832;top:15979;width:922;height:108" type="#_x0000_t75" id="docshape1064" stroked="false">
                <v:imagedata r:id="rId4" o:title=""/>
              </v:shape>
              <v:shape style="position:absolute;left:7730;top:15981;width:420;height:135" type="#_x0000_t75" id="docshape1065" stroked="false">
                <v:imagedata r:id="rId5" o:title=""/>
              </v:shape>
              <v:shape style="position:absolute;left:724;top:16197;width:1138;height:111" type="#_x0000_t75" id="docshape1066" stroked="false">
                <v:imagedata r:id="rId6" o:title=""/>
              </v:shape>
              <v:shape style="position:absolute;left:984;top:16418;width:622;height:106" type="#_x0000_t75" id="docshape1067" stroked="false">
                <v:imagedata r:id="rId7" o:title=""/>
              </v:shape>
              <v:shape style="position:absolute;left:10527;top:15421;width:1157;height:1186" type="#_x0000_t75" id="docshape1068" stroked="false">
                <v:imagedata r:id="rId8" o:title=""/>
              </v:shape>
              <v:shape style="position:absolute;left:3847;top:15492;width:7767;height:1055" id="docshape1069" coordorigin="3848,15492" coordsize="7767,1055" path="m6028,15492l3848,15492,3848,15658,6028,15658,6028,15492xm9265,16187l6884,16187,6884,16349,9265,16349,9265,16187xm11614,15532l10591,15532,10591,16547,11614,16547,11614,15532xe" filled="true" fillcolor="#000000"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84736">
              <wp:simplePos x="0" y="0"/>
              <wp:positionH relativeFrom="page">
                <wp:posOffset>1482216</wp:posOffset>
              </wp:positionH>
              <wp:positionV relativeFrom="page">
                <wp:posOffset>9980903</wp:posOffset>
              </wp:positionV>
              <wp:extent cx="1983105" cy="124460"/>
              <wp:effectExtent l="0" t="0" r="0" b="0"/>
              <wp:wrapNone/>
              <wp:docPr id="1465" name="Textbox 1465"/>
              <wp:cNvGraphicFramePr>
                <a:graphicFrameLocks/>
              </wp:cNvGraphicFramePr>
              <a:graphic>
                <a:graphicData uri="http://schemas.microsoft.com/office/word/2010/wordprocessingShape">
                  <wps:wsp>
                    <wps:cNvPr id="1465" name="Textbox 1465"/>
                    <wps:cNvSpPr txBox="1"/>
                    <wps:spPr>
                      <a:xfrm>
                        <a:off x="0" y="0"/>
                        <a:ext cx="1983105" cy="124460"/>
                      </a:xfrm>
                      <a:prstGeom prst="rect">
                        <a:avLst/>
                      </a:prstGeom>
                    </wps:spPr>
                    <wps:txbx>
                      <w:txbxContent>
                        <w:p>
                          <w:pPr>
                            <w:spacing w:before="15"/>
                            <w:ind w:left="20" w:right="0" w:firstLine="0"/>
                            <w:jc w:val="left"/>
                            <w:rPr>
                              <w:sz w:val="14"/>
                            </w:rPr>
                          </w:pPr>
                          <w:r>
                            <w:rPr>
                              <w:sz w:val="14"/>
                            </w:rPr>
                            <w:t>Francisco</w:t>
                          </w:r>
                          <w:r>
                            <w:rPr>
                              <w:spacing w:val="-8"/>
                              <w:sz w:val="14"/>
                            </w:rPr>
                            <w:t> </w:t>
                          </w:r>
                          <w:r>
                            <w:rPr>
                              <w:sz w:val="14"/>
                            </w:rPr>
                            <w:t>de</w:t>
                          </w:r>
                          <w:r>
                            <w:rPr>
                              <w:spacing w:val="-6"/>
                              <w:sz w:val="14"/>
                            </w:rPr>
                            <w:t> </w:t>
                          </w:r>
                          <w:r>
                            <w:rPr>
                              <w:sz w:val="14"/>
                            </w:rPr>
                            <w:t>la</w:t>
                          </w:r>
                          <w:r>
                            <w:rPr>
                              <w:spacing w:val="-5"/>
                              <w:sz w:val="14"/>
                            </w:rPr>
                            <w:t> </w:t>
                          </w:r>
                          <w:r>
                            <w:rPr>
                              <w:sz w:val="14"/>
                            </w:rPr>
                            <w:t>Torre</w:t>
                          </w:r>
                          <w:r>
                            <w:rPr>
                              <w:spacing w:val="-5"/>
                              <w:sz w:val="14"/>
                            </w:rPr>
                            <w:t> </w:t>
                          </w:r>
                          <w:r>
                            <w:rPr>
                              <w:sz w:val="14"/>
                            </w:rPr>
                            <w:t>Prados</w:t>
                          </w:r>
                          <w:r>
                            <w:rPr>
                              <w:spacing w:val="-7"/>
                              <w:sz w:val="14"/>
                            </w:rPr>
                            <w:t> </w:t>
                          </w:r>
                          <w:r>
                            <w:rPr>
                              <w:sz w:val="14"/>
                            </w:rPr>
                            <w:t>-</w:t>
                          </w:r>
                          <w:r>
                            <w:rPr>
                              <w:spacing w:val="-7"/>
                              <w:sz w:val="14"/>
                            </w:rPr>
                            <w:t> </w:t>
                          </w:r>
                          <w:r>
                            <w:rPr>
                              <w:sz w:val="14"/>
                            </w:rPr>
                            <w:t>Alcalde</w:t>
                          </w:r>
                          <w:r>
                            <w:rPr>
                              <w:spacing w:val="-7"/>
                              <w:sz w:val="14"/>
                            </w:rPr>
                            <w:t> </w:t>
                          </w:r>
                          <w:r>
                            <w:rPr>
                              <w:spacing w:val="-2"/>
                              <w:sz w:val="14"/>
                            </w:rPr>
                            <w:t>Presidente</w:t>
                          </w:r>
                        </w:p>
                      </w:txbxContent>
                    </wps:txbx>
                    <wps:bodyPr wrap="square" lIns="0" tIns="0" rIns="0" bIns="0" rtlCol="0">
                      <a:noAutofit/>
                    </wps:bodyPr>
                  </wps:wsp>
                </a:graphicData>
              </a:graphic>
            </wp:anchor>
          </w:drawing>
        </mc:Choice>
        <mc:Fallback>
          <w:pict>
            <v:shape style="position:absolute;margin-left:116.709999pt;margin-top:785.897949pt;width:156.15pt;height:9.8pt;mso-position-horizontal-relative:page;mso-position-vertical-relative:page;z-index:-28831744" type="#_x0000_t202" id="docshape1070" filled="false" stroked="false">
              <v:textbox inset="0,0,0,0">
                <w:txbxContent>
                  <w:p>
                    <w:pPr>
                      <w:spacing w:before="15"/>
                      <w:ind w:left="20" w:right="0" w:firstLine="0"/>
                      <w:jc w:val="left"/>
                      <w:rPr>
                        <w:sz w:val="14"/>
                      </w:rPr>
                    </w:pPr>
                    <w:r>
                      <w:rPr>
                        <w:sz w:val="14"/>
                      </w:rPr>
                      <w:t>Francisco</w:t>
                    </w:r>
                    <w:r>
                      <w:rPr>
                        <w:spacing w:val="-8"/>
                        <w:sz w:val="14"/>
                      </w:rPr>
                      <w:t> </w:t>
                    </w:r>
                    <w:r>
                      <w:rPr>
                        <w:sz w:val="14"/>
                      </w:rPr>
                      <w:t>de</w:t>
                    </w:r>
                    <w:r>
                      <w:rPr>
                        <w:spacing w:val="-6"/>
                        <w:sz w:val="14"/>
                      </w:rPr>
                      <w:t> </w:t>
                    </w:r>
                    <w:r>
                      <w:rPr>
                        <w:sz w:val="14"/>
                      </w:rPr>
                      <w:t>la</w:t>
                    </w:r>
                    <w:r>
                      <w:rPr>
                        <w:spacing w:val="-5"/>
                        <w:sz w:val="14"/>
                      </w:rPr>
                      <w:t> </w:t>
                    </w:r>
                    <w:r>
                      <w:rPr>
                        <w:sz w:val="14"/>
                      </w:rPr>
                      <w:t>Torre</w:t>
                    </w:r>
                    <w:r>
                      <w:rPr>
                        <w:spacing w:val="-5"/>
                        <w:sz w:val="14"/>
                      </w:rPr>
                      <w:t> </w:t>
                    </w:r>
                    <w:r>
                      <w:rPr>
                        <w:sz w:val="14"/>
                      </w:rPr>
                      <w:t>Prados</w:t>
                    </w:r>
                    <w:r>
                      <w:rPr>
                        <w:spacing w:val="-7"/>
                        <w:sz w:val="14"/>
                      </w:rPr>
                      <w:t> </w:t>
                    </w:r>
                    <w:r>
                      <w:rPr>
                        <w:sz w:val="14"/>
                      </w:rPr>
                      <w:t>-</w:t>
                    </w:r>
                    <w:r>
                      <w:rPr>
                        <w:spacing w:val="-7"/>
                        <w:sz w:val="14"/>
                      </w:rPr>
                      <w:t> </w:t>
                    </w:r>
                    <w:r>
                      <w:rPr>
                        <w:sz w:val="14"/>
                      </w:rPr>
                      <w:t>Alcalde</w:t>
                    </w:r>
                    <w:r>
                      <w:rPr>
                        <w:spacing w:val="-7"/>
                        <w:sz w:val="14"/>
                      </w:rPr>
                      <w:t> </w:t>
                    </w:r>
                    <w:r>
                      <w:rPr>
                        <w:spacing w:val="-2"/>
                        <w:sz w:val="14"/>
                      </w:rPr>
                      <w:t>Presidente</w:t>
                    </w:r>
                  </w:p>
                </w:txbxContent>
              </v:textbox>
              <w10:wrap type="none"/>
            </v:shape>
          </w:pict>
        </mc:Fallback>
      </mc:AlternateContent>
    </w:r>
    <w:r>
      <w:rPr>
        <w:sz w:val="20"/>
      </w:rPr>
      <mc:AlternateContent>
        <mc:Choice Requires="wps">
          <w:drawing>
            <wp:anchor distT="0" distB="0" distL="0" distR="0" allowOverlap="1" layoutInCell="1" locked="0" behindDoc="1" simplePos="0" relativeHeight="474485248">
              <wp:simplePos x="0" y="0"/>
              <wp:positionH relativeFrom="page">
                <wp:posOffset>4865331</wp:posOffset>
              </wp:positionH>
              <wp:positionV relativeFrom="page">
                <wp:posOffset>9980903</wp:posOffset>
              </wp:positionV>
              <wp:extent cx="349250" cy="124460"/>
              <wp:effectExtent l="0" t="0" r="0" b="0"/>
              <wp:wrapNone/>
              <wp:docPr id="1466" name="Textbox 1466"/>
              <wp:cNvGraphicFramePr>
                <a:graphicFrameLocks/>
              </wp:cNvGraphicFramePr>
              <a:graphic>
                <a:graphicData uri="http://schemas.microsoft.com/office/word/2010/wordprocessingShape">
                  <wps:wsp>
                    <wps:cNvPr id="1466" name="Textbox 1466"/>
                    <wps:cNvSpPr txBox="1"/>
                    <wps:spPr>
                      <a:xfrm>
                        <a:off x="0" y="0"/>
                        <a:ext cx="349250" cy="124460"/>
                      </a:xfrm>
                      <a:prstGeom prst="rect">
                        <a:avLst/>
                      </a:prstGeom>
                    </wps:spPr>
                    <wps:txbx>
                      <w:txbxContent>
                        <w:p>
                          <w:pPr>
                            <w:spacing w:before="15"/>
                            <w:ind w:left="20" w:right="0" w:firstLine="0"/>
                            <w:jc w:val="left"/>
                            <w:rPr>
                              <w:sz w:val="14"/>
                            </w:rPr>
                          </w:pPr>
                          <w:r>
                            <w:rPr>
                              <w:spacing w:val="-2"/>
                              <w:sz w:val="14"/>
                            </w:rPr>
                            <w:t>Firmado</w:t>
                          </w:r>
                        </w:p>
                      </w:txbxContent>
                    </wps:txbx>
                    <wps:bodyPr wrap="square" lIns="0" tIns="0" rIns="0" bIns="0" rtlCol="0">
                      <a:noAutofit/>
                    </wps:bodyPr>
                  </wps:wsp>
                </a:graphicData>
              </a:graphic>
            </wp:anchor>
          </w:drawing>
        </mc:Choice>
        <mc:Fallback>
          <w:pict>
            <v:shape style="position:absolute;margin-left:383.096985pt;margin-top:785.897949pt;width:27.5pt;height:9.8pt;mso-position-horizontal-relative:page;mso-position-vertical-relative:page;z-index:-28831232" type="#_x0000_t202" id="docshape1071" filled="false" stroked="false">
              <v:textbox inset="0,0,0,0">
                <w:txbxContent>
                  <w:p>
                    <w:pPr>
                      <w:spacing w:before="15"/>
                      <w:ind w:left="20" w:right="0" w:firstLine="0"/>
                      <w:jc w:val="left"/>
                      <w:rPr>
                        <w:sz w:val="14"/>
                      </w:rPr>
                    </w:pPr>
                    <w:r>
                      <w:rPr>
                        <w:spacing w:val="-2"/>
                        <w:sz w:val="14"/>
                      </w:rPr>
                      <w:t>Firmado</w:t>
                    </w:r>
                  </w:p>
                </w:txbxContent>
              </v:textbox>
              <w10:wrap type="none"/>
            </v:shape>
          </w:pict>
        </mc:Fallback>
      </mc:AlternateContent>
    </w:r>
    <w:r>
      <w:rPr>
        <w:sz w:val="20"/>
      </w:rPr>
      <mc:AlternateContent>
        <mc:Choice Requires="wps">
          <w:drawing>
            <wp:anchor distT="0" distB="0" distL="0" distR="0" allowOverlap="1" layoutInCell="1" locked="0" behindDoc="1" simplePos="0" relativeHeight="474485760">
              <wp:simplePos x="0" y="0"/>
              <wp:positionH relativeFrom="page">
                <wp:posOffset>5595226</wp:posOffset>
              </wp:positionH>
              <wp:positionV relativeFrom="page">
                <wp:posOffset>9980903</wp:posOffset>
              </wp:positionV>
              <wp:extent cx="837565" cy="262890"/>
              <wp:effectExtent l="0" t="0" r="0" b="0"/>
              <wp:wrapNone/>
              <wp:docPr id="1467" name="Textbox 1467"/>
              <wp:cNvGraphicFramePr>
                <a:graphicFrameLocks/>
              </wp:cNvGraphicFramePr>
              <a:graphic>
                <a:graphicData uri="http://schemas.microsoft.com/office/word/2010/wordprocessingShape">
                  <wps:wsp>
                    <wps:cNvPr id="1467" name="Textbox 1467"/>
                    <wps:cNvSpPr txBox="1"/>
                    <wps:spPr>
                      <a:xfrm>
                        <a:off x="0" y="0"/>
                        <a:ext cx="837565" cy="262890"/>
                      </a:xfrm>
                      <a:prstGeom prst="rect">
                        <a:avLst/>
                      </a:prstGeom>
                    </wps:spPr>
                    <wps:txbx>
                      <w:txbxContent>
                        <w:p>
                          <w:pPr>
                            <w:spacing w:before="15"/>
                            <w:ind w:left="14" w:right="14" w:firstLine="0"/>
                            <w:jc w:val="center"/>
                            <w:rPr>
                              <w:sz w:val="14"/>
                            </w:rPr>
                          </w:pPr>
                          <w:r>
                            <w:rPr>
                              <w:spacing w:val="-2"/>
                              <w:sz w:val="14"/>
                            </w:rPr>
                            <w:t>04/11/2025</w:t>
                          </w:r>
                          <w:r>
                            <w:rPr>
                              <w:spacing w:val="1"/>
                              <w:sz w:val="14"/>
                            </w:rPr>
                            <w:t> </w:t>
                          </w:r>
                          <w:r>
                            <w:rPr>
                              <w:spacing w:val="-2"/>
                              <w:sz w:val="14"/>
                            </w:rPr>
                            <w:t>12:11:01</w:t>
                          </w:r>
                        </w:p>
                        <w:p>
                          <w:pPr>
                            <w:spacing w:before="57"/>
                            <w:ind w:left="14" w:right="14" w:firstLine="0"/>
                            <w:jc w:val="center"/>
                            <w:rPr>
                              <w:sz w:val="14"/>
                            </w:rPr>
                          </w:pPr>
                          <w:r>
                            <w:rPr>
                              <w:spacing w:val="-2"/>
                              <w:sz w:val="14"/>
                            </w:rPr>
                            <w:fldChar w:fldCharType="begin"/>
                          </w:r>
                          <w:r>
                            <w:rPr>
                              <w:spacing w:val="-2"/>
                              <w:sz w:val="14"/>
                            </w:rPr>
                            <w:instrText> PAGE </w:instrText>
                          </w:r>
                          <w:r>
                            <w:rPr>
                              <w:spacing w:val="-2"/>
                              <w:sz w:val="14"/>
                            </w:rPr>
                            <w:fldChar w:fldCharType="separate"/>
                          </w:r>
                          <w:r>
                            <w:rPr>
                              <w:spacing w:val="-2"/>
                              <w:sz w:val="14"/>
                            </w:rPr>
                            <w:t>23</w:t>
                          </w:r>
                          <w:r>
                            <w:rPr>
                              <w:spacing w:val="-2"/>
                              <w:sz w:val="14"/>
                            </w:rPr>
                            <w:fldChar w:fldCharType="end"/>
                          </w:r>
                          <w:r>
                            <w:rPr>
                              <w:spacing w:val="-2"/>
                              <w:sz w:val="14"/>
                            </w:rPr>
                            <w:t>/40</w:t>
                          </w:r>
                        </w:p>
                      </w:txbxContent>
                    </wps:txbx>
                    <wps:bodyPr wrap="square" lIns="0" tIns="0" rIns="0" bIns="0" rtlCol="0">
                      <a:noAutofit/>
                    </wps:bodyPr>
                  </wps:wsp>
                </a:graphicData>
              </a:graphic>
            </wp:anchor>
          </w:drawing>
        </mc:Choice>
        <mc:Fallback>
          <w:pict>
            <v:shape style="position:absolute;margin-left:440.569pt;margin-top:785.897949pt;width:65.95pt;height:20.7pt;mso-position-horizontal-relative:page;mso-position-vertical-relative:page;z-index:-28830720" type="#_x0000_t202" id="docshape1072" filled="false" stroked="false">
              <v:textbox inset="0,0,0,0">
                <w:txbxContent>
                  <w:p>
                    <w:pPr>
                      <w:spacing w:before="15"/>
                      <w:ind w:left="14" w:right="14" w:firstLine="0"/>
                      <w:jc w:val="center"/>
                      <w:rPr>
                        <w:sz w:val="14"/>
                      </w:rPr>
                    </w:pPr>
                    <w:r>
                      <w:rPr>
                        <w:spacing w:val="-2"/>
                        <w:sz w:val="14"/>
                      </w:rPr>
                      <w:t>04/11/2025</w:t>
                    </w:r>
                    <w:r>
                      <w:rPr>
                        <w:spacing w:val="1"/>
                        <w:sz w:val="14"/>
                      </w:rPr>
                      <w:t> </w:t>
                    </w:r>
                    <w:r>
                      <w:rPr>
                        <w:spacing w:val="-2"/>
                        <w:sz w:val="14"/>
                      </w:rPr>
                      <w:t>12:11:01</w:t>
                    </w:r>
                  </w:p>
                  <w:p>
                    <w:pPr>
                      <w:spacing w:before="57"/>
                      <w:ind w:left="14" w:right="14" w:firstLine="0"/>
                      <w:jc w:val="center"/>
                      <w:rPr>
                        <w:sz w:val="14"/>
                      </w:rPr>
                    </w:pPr>
                    <w:r>
                      <w:rPr>
                        <w:spacing w:val="-2"/>
                        <w:sz w:val="14"/>
                      </w:rPr>
                      <w:fldChar w:fldCharType="begin"/>
                    </w:r>
                    <w:r>
                      <w:rPr>
                        <w:spacing w:val="-2"/>
                        <w:sz w:val="14"/>
                      </w:rPr>
                      <w:instrText> PAGE </w:instrText>
                    </w:r>
                    <w:r>
                      <w:rPr>
                        <w:spacing w:val="-2"/>
                        <w:sz w:val="14"/>
                      </w:rPr>
                      <w:fldChar w:fldCharType="separate"/>
                    </w:r>
                    <w:r>
                      <w:rPr>
                        <w:spacing w:val="-2"/>
                        <w:sz w:val="14"/>
                      </w:rPr>
                      <w:t>23</w:t>
                    </w:r>
                    <w:r>
                      <w:rPr>
                        <w:spacing w:val="-2"/>
                        <w:sz w:val="14"/>
                      </w:rPr>
                      <w:fldChar w:fldCharType="end"/>
                    </w:r>
                    <w:r>
                      <w:rPr>
                        <w:spacing w:val="-2"/>
                        <w:sz w:val="14"/>
                      </w:rPr>
                      <w:t>/40</w:t>
                    </w:r>
                  </w:p>
                </w:txbxContent>
              </v:textbox>
              <w10:wrap type="none"/>
            </v:shape>
          </w:pict>
        </mc:Fallback>
      </mc:AlternateContent>
    </w:r>
    <w:r>
      <w:rPr>
        <w:sz w:val="20"/>
      </w:rPr>
      <mc:AlternateContent>
        <mc:Choice Requires="wps">
          <w:drawing>
            <wp:anchor distT="0" distB="0" distL="0" distR="0" allowOverlap="1" layoutInCell="1" locked="0" behindDoc="1" simplePos="0" relativeHeight="474486272">
              <wp:simplePos x="0" y="0"/>
              <wp:positionH relativeFrom="page">
                <wp:posOffset>1482216</wp:posOffset>
              </wp:positionH>
              <wp:positionV relativeFrom="page">
                <wp:posOffset>10266233</wp:posOffset>
              </wp:positionV>
              <wp:extent cx="5149850" cy="256540"/>
              <wp:effectExtent l="0" t="0" r="0" b="0"/>
              <wp:wrapNone/>
              <wp:docPr id="1468" name="Textbox 1468"/>
              <wp:cNvGraphicFramePr>
                <a:graphicFrameLocks/>
              </wp:cNvGraphicFramePr>
              <a:graphic>
                <a:graphicData uri="http://schemas.microsoft.com/office/word/2010/wordprocessingShape">
                  <wps:wsp>
                    <wps:cNvPr id="1468" name="Textbox 1468"/>
                    <wps:cNvSpPr txBox="1"/>
                    <wps:spPr>
                      <a:xfrm>
                        <a:off x="0" y="0"/>
                        <a:ext cx="5149850" cy="256540"/>
                      </a:xfrm>
                      <a:prstGeom prst="rect">
                        <a:avLst/>
                      </a:prstGeom>
                    </wps:spPr>
                    <wps:txbx>
                      <w:txbxContent>
                        <w:p>
                          <w:pPr>
                            <w:spacing w:before="19"/>
                            <w:ind w:left="1227" w:right="0" w:firstLine="0"/>
                            <w:jc w:val="left"/>
                            <w:rPr>
                              <w:rFonts w:ascii="Courier New"/>
                              <w:sz w:val="14"/>
                            </w:rPr>
                          </w:pPr>
                          <w:hyperlink r:id="rId9">
                            <w:r>
                              <w:rPr>
                                <w:rFonts w:ascii="Courier New"/>
                                <w:spacing w:val="-2"/>
                                <w:sz w:val="14"/>
                              </w:rPr>
                              <w:t>https://valida.malaga.eu/verifirma/code</w:t>
                            </w:r>
                          </w:hyperlink>
                        </w:p>
                        <w:p>
                          <w:pPr>
                            <w:spacing w:before="45"/>
                            <w:ind w:left="20" w:right="0" w:firstLine="0"/>
                            <w:jc w:val="left"/>
                            <w:rPr>
                              <w:sz w:val="14"/>
                            </w:rPr>
                          </w:pPr>
                          <w:r>
                            <w:rPr>
                              <w:sz w:val="14"/>
                            </w:rPr>
                            <w:t>Este</w:t>
                          </w:r>
                          <w:r>
                            <w:rPr>
                              <w:spacing w:val="-6"/>
                              <w:sz w:val="14"/>
                            </w:rPr>
                            <w:t> </w:t>
                          </w:r>
                          <w:r>
                            <w:rPr>
                              <w:sz w:val="14"/>
                            </w:rPr>
                            <w:t>informe</w:t>
                          </w:r>
                          <w:r>
                            <w:rPr>
                              <w:spacing w:val="-8"/>
                              <w:sz w:val="14"/>
                            </w:rPr>
                            <w:t> </w:t>
                          </w:r>
                          <w:r>
                            <w:rPr>
                              <w:sz w:val="14"/>
                            </w:rPr>
                            <w:t>tiene</w:t>
                          </w:r>
                          <w:r>
                            <w:rPr>
                              <w:spacing w:val="-7"/>
                              <w:sz w:val="14"/>
                            </w:rPr>
                            <w:t> </w:t>
                          </w:r>
                          <w:r>
                            <w:rPr>
                              <w:sz w:val="14"/>
                            </w:rPr>
                            <w:t>carácter</w:t>
                          </w:r>
                          <w:r>
                            <w:rPr>
                              <w:spacing w:val="-6"/>
                              <w:sz w:val="14"/>
                            </w:rPr>
                            <w:t> </w:t>
                          </w:r>
                          <w:r>
                            <w:rPr>
                              <w:sz w:val="14"/>
                            </w:rPr>
                            <w:t>de</w:t>
                          </w:r>
                          <w:r>
                            <w:rPr>
                              <w:spacing w:val="-8"/>
                              <w:sz w:val="14"/>
                            </w:rPr>
                            <w:t> </w:t>
                          </w:r>
                          <w:r>
                            <w:rPr>
                              <w:sz w:val="14"/>
                            </w:rPr>
                            <w:t>copia</w:t>
                          </w:r>
                          <w:r>
                            <w:rPr>
                              <w:spacing w:val="-9"/>
                              <w:sz w:val="14"/>
                            </w:rPr>
                            <w:t> </w:t>
                          </w:r>
                          <w:r>
                            <w:rPr>
                              <w:sz w:val="14"/>
                            </w:rPr>
                            <w:t>electrónica</w:t>
                          </w:r>
                          <w:r>
                            <w:rPr>
                              <w:spacing w:val="-6"/>
                              <w:sz w:val="14"/>
                            </w:rPr>
                            <w:t> </w:t>
                          </w:r>
                          <w:r>
                            <w:rPr>
                              <w:sz w:val="14"/>
                            </w:rPr>
                            <w:t>auténtica</w:t>
                          </w:r>
                          <w:r>
                            <w:rPr>
                              <w:spacing w:val="-7"/>
                              <w:sz w:val="14"/>
                            </w:rPr>
                            <w:t> </w:t>
                          </w:r>
                          <w:r>
                            <w:rPr>
                              <w:sz w:val="14"/>
                            </w:rPr>
                            <w:t>con</w:t>
                          </w:r>
                          <w:r>
                            <w:rPr>
                              <w:spacing w:val="-8"/>
                              <w:sz w:val="14"/>
                            </w:rPr>
                            <w:t> </w:t>
                          </w:r>
                          <w:r>
                            <w:rPr>
                              <w:sz w:val="14"/>
                            </w:rPr>
                            <w:t>validez</w:t>
                          </w:r>
                          <w:r>
                            <w:rPr>
                              <w:spacing w:val="-8"/>
                              <w:sz w:val="14"/>
                            </w:rPr>
                            <w:t> </w:t>
                          </w:r>
                          <w:r>
                            <w:rPr>
                              <w:sz w:val="14"/>
                            </w:rPr>
                            <w:t>y</w:t>
                          </w:r>
                          <w:r>
                            <w:rPr>
                              <w:spacing w:val="-7"/>
                              <w:sz w:val="14"/>
                            </w:rPr>
                            <w:t> </w:t>
                          </w:r>
                          <w:r>
                            <w:rPr>
                              <w:sz w:val="14"/>
                            </w:rPr>
                            <w:t>eficacia</w:t>
                          </w:r>
                          <w:r>
                            <w:rPr>
                              <w:spacing w:val="-9"/>
                              <w:sz w:val="14"/>
                            </w:rPr>
                            <w:t> </w:t>
                          </w:r>
                          <w:r>
                            <w:rPr>
                              <w:sz w:val="14"/>
                            </w:rPr>
                            <w:t>administrativa</w:t>
                          </w:r>
                          <w:r>
                            <w:rPr>
                              <w:spacing w:val="-7"/>
                              <w:sz w:val="14"/>
                            </w:rPr>
                            <w:t> </w:t>
                          </w:r>
                          <w:r>
                            <w:rPr>
                              <w:sz w:val="14"/>
                            </w:rPr>
                            <w:t>de</w:t>
                          </w:r>
                          <w:r>
                            <w:rPr>
                              <w:spacing w:val="-6"/>
                              <w:sz w:val="14"/>
                            </w:rPr>
                            <w:t> </w:t>
                          </w:r>
                          <w:r>
                            <w:rPr>
                              <w:sz w:val="14"/>
                            </w:rPr>
                            <w:t>ORIGINAL</w:t>
                          </w:r>
                          <w:r>
                            <w:rPr>
                              <w:spacing w:val="-7"/>
                              <w:sz w:val="14"/>
                            </w:rPr>
                            <w:t> </w:t>
                          </w:r>
                          <w:r>
                            <w:rPr>
                              <w:sz w:val="14"/>
                            </w:rPr>
                            <w:t>(art.</w:t>
                          </w:r>
                          <w:r>
                            <w:rPr>
                              <w:spacing w:val="-9"/>
                              <w:sz w:val="14"/>
                            </w:rPr>
                            <w:t> </w:t>
                          </w:r>
                          <w:r>
                            <w:rPr>
                              <w:sz w:val="14"/>
                            </w:rPr>
                            <w:t>27</w:t>
                          </w:r>
                          <w:r>
                            <w:rPr>
                              <w:spacing w:val="-7"/>
                              <w:sz w:val="14"/>
                            </w:rPr>
                            <w:t> </w:t>
                          </w:r>
                          <w:r>
                            <w:rPr>
                              <w:sz w:val="14"/>
                            </w:rPr>
                            <w:t>Ley</w:t>
                          </w:r>
                          <w:r>
                            <w:rPr>
                              <w:spacing w:val="-8"/>
                              <w:sz w:val="14"/>
                            </w:rPr>
                            <w:t> </w:t>
                          </w:r>
                          <w:r>
                            <w:rPr>
                              <w:spacing w:val="-2"/>
                              <w:sz w:val="14"/>
                            </w:rPr>
                            <w:t>39/2015).</w:t>
                          </w:r>
                        </w:p>
                      </w:txbxContent>
                    </wps:txbx>
                    <wps:bodyPr wrap="square" lIns="0" tIns="0" rIns="0" bIns="0" rtlCol="0">
                      <a:noAutofit/>
                    </wps:bodyPr>
                  </wps:wsp>
                </a:graphicData>
              </a:graphic>
            </wp:anchor>
          </w:drawing>
        </mc:Choice>
        <mc:Fallback>
          <w:pict>
            <v:shape style="position:absolute;margin-left:116.709999pt;margin-top:808.364868pt;width:405.5pt;height:20.2pt;mso-position-horizontal-relative:page;mso-position-vertical-relative:page;z-index:-28830208" type="#_x0000_t202" id="docshape1073" filled="false" stroked="false">
              <v:textbox inset="0,0,0,0">
                <w:txbxContent>
                  <w:p>
                    <w:pPr>
                      <w:spacing w:before="19"/>
                      <w:ind w:left="1227" w:right="0" w:firstLine="0"/>
                      <w:jc w:val="left"/>
                      <w:rPr>
                        <w:rFonts w:ascii="Courier New"/>
                        <w:sz w:val="14"/>
                      </w:rPr>
                    </w:pPr>
                    <w:hyperlink r:id="rId9">
                      <w:r>
                        <w:rPr>
                          <w:rFonts w:ascii="Courier New"/>
                          <w:spacing w:val="-2"/>
                          <w:sz w:val="14"/>
                        </w:rPr>
                        <w:t>https://valida.malaga.eu/verifirma/code</w:t>
                      </w:r>
                    </w:hyperlink>
                  </w:p>
                  <w:p>
                    <w:pPr>
                      <w:spacing w:before="45"/>
                      <w:ind w:left="20" w:right="0" w:firstLine="0"/>
                      <w:jc w:val="left"/>
                      <w:rPr>
                        <w:sz w:val="14"/>
                      </w:rPr>
                    </w:pPr>
                    <w:r>
                      <w:rPr>
                        <w:sz w:val="14"/>
                      </w:rPr>
                      <w:t>Este</w:t>
                    </w:r>
                    <w:r>
                      <w:rPr>
                        <w:spacing w:val="-6"/>
                        <w:sz w:val="14"/>
                      </w:rPr>
                      <w:t> </w:t>
                    </w:r>
                    <w:r>
                      <w:rPr>
                        <w:sz w:val="14"/>
                      </w:rPr>
                      <w:t>informe</w:t>
                    </w:r>
                    <w:r>
                      <w:rPr>
                        <w:spacing w:val="-8"/>
                        <w:sz w:val="14"/>
                      </w:rPr>
                      <w:t> </w:t>
                    </w:r>
                    <w:r>
                      <w:rPr>
                        <w:sz w:val="14"/>
                      </w:rPr>
                      <w:t>tiene</w:t>
                    </w:r>
                    <w:r>
                      <w:rPr>
                        <w:spacing w:val="-7"/>
                        <w:sz w:val="14"/>
                      </w:rPr>
                      <w:t> </w:t>
                    </w:r>
                    <w:r>
                      <w:rPr>
                        <w:sz w:val="14"/>
                      </w:rPr>
                      <w:t>carácter</w:t>
                    </w:r>
                    <w:r>
                      <w:rPr>
                        <w:spacing w:val="-6"/>
                        <w:sz w:val="14"/>
                      </w:rPr>
                      <w:t> </w:t>
                    </w:r>
                    <w:r>
                      <w:rPr>
                        <w:sz w:val="14"/>
                      </w:rPr>
                      <w:t>de</w:t>
                    </w:r>
                    <w:r>
                      <w:rPr>
                        <w:spacing w:val="-8"/>
                        <w:sz w:val="14"/>
                      </w:rPr>
                      <w:t> </w:t>
                    </w:r>
                    <w:r>
                      <w:rPr>
                        <w:sz w:val="14"/>
                      </w:rPr>
                      <w:t>copia</w:t>
                    </w:r>
                    <w:r>
                      <w:rPr>
                        <w:spacing w:val="-9"/>
                        <w:sz w:val="14"/>
                      </w:rPr>
                      <w:t> </w:t>
                    </w:r>
                    <w:r>
                      <w:rPr>
                        <w:sz w:val="14"/>
                      </w:rPr>
                      <w:t>electrónica</w:t>
                    </w:r>
                    <w:r>
                      <w:rPr>
                        <w:spacing w:val="-6"/>
                        <w:sz w:val="14"/>
                      </w:rPr>
                      <w:t> </w:t>
                    </w:r>
                    <w:r>
                      <w:rPr>
                        <w:sz w:val="14"/>
                      </w:rPr>
                      <w:t>auténtica</w:t>
                    </w:r>
                    <w:r>
                      <w:rPr>
                        <w:spacing w:val="-7"/>
                        <w:sz w:val="14"/>
                      </w:rPr>
                      <w:t> </w:t>
                    </w:r>
                    <w:r>
                      <w:rPr>
                        <w:sz w:val="14"/>
                      </w:rPr>
                      <w:t>con</w:t>
                    </w:r>
                    <w:r>
                      <w:rPr>
                        <w:spacing w:val="-8"/>
                        <w:sz w:val="14"/>
                      </w:rPr>
                      <w:t> </w:t>
                    </w:r>
                    <w:r>
                      <w:rPr>
                        <w:sz w:val="14"/>
                      </w:rPr>
                      <w:t>validez</w:t>
                    </w:r>
                    <w:r>
                      <w:rPr>
                        <w:spacing w:val="-8"/>
                        <w:sz w:val="14"/>
                      </w:rPr>
                      <w:t> </w:t>
                    </w:r>
                    <w:r>
                      <w:rPr>
                        <w:sz w:val="14"/>
                      </w:rPr>
                      <w:t>y</w:t>
                    </w:r>
                    <w:r>
                      <w:rPr>
                        <w:spacing w:val="-7"/>
                        <w:sz w:val="14"/>
                      </w:rPr>
                      <w:t> </w:t>
                    </w:r>
                    <w:r>
                      <w:rPr>
                        <w:sz w:val="14"/>
                      </w:rPr>
                      <w:t>eficacia</w:t>
                    </w:r>
                    <w:r>
                      <w:rPr>
                        <w:spacing w:val="-9"/>
                        <w:sz w:val="14"/>
                      </w:rPr>
                      <w:t> </w:t>
                    </w:r>
                    <w:r>
                      <w:rPr>
                        <w:sz w:val="14"/>
                      </w:rPr>
                      <w:t>administrativa</w:t>
                    </w:r>
                    <w:r>
                      <w:rPr>
                        <w:spacing w:val="-7"/>
                        <w:sz w:val="14"/>
                      </w:rPr>
                      <w:t> </w:t>
                    </w:r>
                    <w:r>
                      <w:rPr>
                        <w:sz w:val="14"/>
                      </w:rPr>
                      <w:t>de</w:t>
                    </w:r>
                    <w:r>
                      <w:rPr>
                        <w:spacing w:val="-6"/>
                        <w:sz w:val="14"/>
                      </w:rPr>
                      <w:t> </w:t>
                    </w:r>
                    <w:r>
                      <w:rPr>
                        <w:sz w:val="14"/>
                      </w:rPr>
                      <w:t>ORIGINAL</w:t>
                    </w:r>
                    <w:r>
                      <w:rPr>
                        <w:spacing w:val="-7"/>
                        <w:sz w:val="14"/>
                      </w:rPr>
                      <w:t> </w:t>
                    </w:r>
                    <w:r>
                      <w:rPr>
                        <w:sz w:val="14"/>
                      </w:rPr>
                      <w:t>(art.</w:t>
                    </w:r>
                    <w:r>
                      <w:rPr>
                        <w:spacing w:val="-9"/>
                        <w:sz w:val="14"/>
                      </w:rPr>
                      <w:t> </w:t>
                    </w:r>
                    <w:r>
                      <w:rPr>
                        <w:sz w:val="14"/>
                      </w:rPr>
                      <w:t>27</w:t>
                    </w:r>
                    <w:r>
                      <w:rPr>
                        <w:spacing w:val="-7"/>
                        <w:sz w:val="14"/>
                      </w:rPr>
                      <w:t> </w:t>
                    </w:r>
                    <w:r>
                      <w:rPr>
                        <w:sz w:val="14"/>
                      </w:rPr>
                      <w:t>Ley</w:t>
                    </w:r>
                    <w:r>
                      <w:rPr>
                        <w:spacing w:val="-8"/>
                        <w:sz w:val="14"/>
                      </w:rPr>
                      <w:t> </w:t>
                    </w:r>
                    <w:r>
                      <w:rPr>
                        <w:spacing w:val="-2"/>
                        <w:sz w:val="14"/>
                      </w:rPr>
                      <w:t>39/2015).</w:t>
                    </w:r>
                  </w:p>
                </w:txbxContent>
              </v:textbox>
              <w10:wrap type="none"/>
            </v:shape>
          </w:pict>
        </mc:Fallback>
      </mc:AlternateContent>
    </w:r>
  </w:p>
</w:ftr>
</file>

<file path=word/footer8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4491904">
              <wp:simplePos x="0" y="0"/>
              <wp:positionH relativeFrom="page">
                <wp:posOffset>4332186</wp:posOffset>
              </wp:positionH>
              <wp:positionV relativeFrom="page">
                <wp:posOffset>10278933</wp:posOffset>
              </wp:positionV>
              <wp:extent cx="53340" cy="100330"/>
              <wp:effectExtent l="0" t="0" r="0" b="0"/>
              <wp:wrapNone/>
              <wp:docPr id="1526" name="Textbox 1526"/>
              <wp:cNvGraphicFramePr>
                <a:graphicFrameLocks/>
              </wp:cNvGraphicFramePr>
              <a:graphic>
                <a:graphicData uri="http://schemas.microsoft.com/office/word/2010/wordprocessingShape">
                  <wps:wsp>
                    <wps:cNvPr id="1526" name="Textbox 1526"/>
                    <wps:cNvSpPr txBox="1"/>
                    <wps:spPr>
                      <a:xfrm>
                        <a:off x="0" y="0"/>
                        <a:ext cx="53340" cy="100330"/>
                      </a:xfrm>
                      <a:prstGeom prst="rect">
                        <a:avLst/>
                      </a:prstGeom>
                    </wps:spPr>
                    <wps:txbx>
                      <w:txbxContent>
                        <w:p>
                          <w:pPr>
                            <w:spacing w:line="158" w:lineRule="exact" w:before="0"/>
                            <w:ind w:left="0" w:right="0" w:firstLine="0"/>
                            <w:jc w:val="left"/>
                            <w:rPr>
                              <w:rFonts w:ascii="Courier New"/>
                              <w:sz w:val="14"/>
                            </w:rPr>
                          </w:pPr>
                          <w:r>
                            <w:rPr>
                              <w:rFonts w:ascii="Courier New"/>
                              <w:spacing w:val="-12"/>
                              <w:sz w:val="14"/>
                            </w:rPr>
                            <w:t>/</w:t>
                          </w:r>
                        </w:p>
                      </w:txbxContent>
                    </wps:txbx>
                    <wps:bodyPr wrap="square" lIns="0" tIns="0" rIns="0" bIns="0" rtlCol="0">
                      <a:noAutofit/>
                    </wps:bodyPr>
                  </wps:wsp>
                </a:graphicData>
              </a:graphic>
            </wp:anchor>
          </w:drawing>
        </mc:Choice>
        <mc:Fallback>
          <w:pict>
            <v:shape style="position:absolute;margin-left:341.117065pt;margin-top:809.364868pt;width:4.2pt;height:7.9pt;mso-position-horizontal-relative:page;mso-position-vertical-relative:page;z-index:-28824576" type="#_x0000_t202" id="docshape1120" filled="false" stroked="false">
              <v:textbox inset="0,0,0,0">
                <w:txbxContent>
                  <w:p>
                    <w:pPr>
                      <w:spacing w:line="158" w:lineRule="exact" w:before="0"/>
                      <w:ind w:left="0" w:right="0" w:firstLine="0"/>
                      <w:jc w:val="left"/>
                      <w:rPr>
                        <w:rFonts w:ascii="Courier New"/>
                        <w:sz w:val="14"/>
                      </w:rPr>
                    </w:pPr>
                    <w:r>
                      <w:rPr>
                        <w:rFonts w:ascii="Courier New"/>
                        <w:spacing w:val="-12"/>
                        <w:sz w:val="14"/>
                      </w:rPr>
                      <w:t>/</w:t>
                    </w:r>
                  </w:p>
                </w:txbxContent>
              </v:textbox>
              <w10:wrap type="none"/>
            </v:shape>
          </w:pict>
        </mc:Fallback>
      </mc:AlternateContent>
    </w:r>
    <w:r>
      <w:rPr>
        <w:sz w:val="20"/>
      </w:rPr>
      <mc:AlternateContent>
        <mc:Choice Requires="wps">
          <w:drawing>
            <wp:anchor distT="0" distB="0" distL="0" distR="0" allowOverlap="1" layoutInCell="1" locked="0" behindDoc="1" simplePos="0" relativeHeight="474492416">
              <wp:simplePos x="0" y="0"/>
              <wp:positionH relativeFrom="page">
                <wp:posOffset>142494</wp:posOffset>
              </wp:positionH>
              <wp:positionV relativeFrom="page">
                <wp:posOffset>9792477</wp:posOffset>
              </wp:positionV>
              <wp:extent cx="7277100" cy="753110"/>
              <wp:effectExtent l="0" t="0" r="0" b="0"/>
              <wp:wrapNone/>
              <wp:docPr id="1527" name="Group 1527"/>
              <wp:cNvGraphicFramePr>
                <a:graphicFrameLocks/>
              </wp:cNvGraphicFramePr>
              <a:graphic>
                <a:graphicData uri="http://schemas.microsoft.com/office/word/2010/wordprocessingGroup">
                  <wpg:wgp>
                    <wpg:cNvPr id="1527" name="Group 1527"/>
                    <wpg:cNvGrpSpPr/>
                    <wpg:grpSpPr>
                      <a:xfrm>
                        <a:off x="0" y="0"/>
                        <a:ext cx="7277100" cy="753110"/>
                        <a:chExt cx="7277100" cy="753110"/>
                      </a:xfrm>
                    </wpg:grpSpPr>
                    <wps:wsp>
                      <wps:cNvPr id="1528" name="Graphic 1528"/>
                      <wps:cNvSpPr/>
                      <wps:spPr>
                        <a:xfrm>
                          <a:off x="29718" y="28178"/>
                          <a:ext cx="6490970" cy="696595"/>
                        </a:xfrm>
                        <a:custGeom>
                          <a:avLst/>
                          <a:gdLst/>
                          <a:ahLst/>
                          <a:cxnLst/>
                          <a:rect l="l" t="t" r="r" b="b"/>
                          <a:pathLst>
                            <a:path w="6490970" h="696595">
                              <a:moveTo>
                                <a:pt x="1298448" y="0"/>
                              </a:moveTo>
                              <a:lnTo>
                                <a:pt x="0" y="0"/>
                              </a:lnTo>
                              <a:lnTo>
                                <a:pt x="0" y="138684"/>
                              </a:lnTo>
                              <a:lnTo>
                                <a:pt x="0" y="140208"/>
                              </a:lnTo>
                              <a:lnTo>
                                <a:pt x="0" y="417576"/>
                              </a:lnTo>
                              <a:lnTo>
                                <a:pt x="0" y="696468"/>
                              </a:lnTo>
                              <a:lnTo>
                                <a:pt x="1298448" y="696468"/>
                              </a:lnTo>
                              <a:lnTo>
                                <a:pt x="1298448" y="417576"/>
                              </a:lnTo>
                              <a:lnTo>
                                <a:pt x="1298448" y="140208"/>
                              </a:lnTo>
                              <a:lnTo>
                                <a:pt x="1298448" y="138684"/>
                              </a:lnTo>
                              <a:lnTo>
                                <a:pt x="1298448" y="0"/>
                              </a:lnTo>
                              <a:close/>
                            </a:path>
                            <a:path w="6490970" h="696595">
                              <a:moveTo>
                                <a:pt x="5192268" y="277368"/>
                              </a:moveTo>
                              <a:lnTo>
                                <a:pt x="4543044" y="277368"/>
                              </a:lnTo>
                              <a:lnTo>
                                <a:pt x="4543044" y="417576"/>
                              </a:lnTo>
                              <a:lnTo>
                                <a:pt x="5192268" y="417576"/>
                              </a:lnTo>
                              <a:lnTo>
                                <a:pt x="5192268" y="277368"/>
                              </a:lnTo>
                              <a:close/>
                            </a:path>
                            <a:path w="6490970" h="696595">
                              <a:moveTo>
                                <a:pt x="6490716" y="0"/>
                              </a:moveTo>
                              <a:lnTo>
                                <a:pt x="4543044" y="0"/>
                              </a:lnTo>
                              <a:lnTo>
                                <a:pt x="4543044" y="140208"/>
                              </a:lnTo>
                              <a:lnTo>
                                <a:pt x="6490716" y="140208"/>
                              </a:lnTo>
                              <a:lnTo>
                                <a:pt x="6490716" y="0"/>
                              </a:lnTo>
                              <a:close/>
                            </a:path>
                          </a:pathLst>
                        </a:custGeom>
                        <a:solidFill>
                          <a:srgbClr val="CCCCCC"/>
                        </a:solidFill>
                      </wps:spPr>
                      <wps:bodyPr wrap="square" lIns="0" tIns="0" rIns="0" bIns="0" rtlCol="0">
                        <a:prstTxWarp prst="textNoShape">
                          <a:avLst/>
                        </a:prstTxWarp>
                        <a:noAutofit/>
                      </wps:bodyPr>
                    </wps:wsp>
                    <wps:wsp>
                      <wps:cNvPr id="1529" name="Graphic 1529"/>
                      <wps:cNvSpPr/>
                      <wps:spPr>
                        <a:xfrm>
                          <a:off x="3809" y="3809"/>
                          <a:ext cx="6543040" cy="745490"/>
                        </a:xfrm>
                        <a:custGeom>
                          <a:avLst/>
                          <a:gdLst/>
                          <a:ahLst/>
                          <a:cxnLst/>
                          <a:rect l="l" t="t" r="r" b="b"/>
                          <a:pathLst>
                            <a:path w="6543040" h="745490">
                              <a:moveTo>
                                <a:pt x="0" y="745220"/>
                              </a:moveTo>
                              <a:lnTo>
                                <a:pt x="6542531" y="745220"/>
                              </a:lnTo>
                            </a:path>
                            <a:path w="6543040" h="745490">
                              <a:moveTo>
                                <a:pt x="6542531" y="745220"/>
                              </a:moveTo>
                              <a:lnTo>
                                <a:pt x="6542531" y="0"/>
                              </a:lnTo>
                            </a:path>
                            <a:path w="6543040" h="745490">
                              <a:moveTo>
                                <a:pt x="6542531" y="0"/>
                              </a:moveTo>
                              <a:lnTo>
                                <a:pt x="0" y="0"/>
                              </a:lnTo>
                            </a:path>
                            <a:path w="6543040" h="745490">
                              <a:moveTo>
                                <a:pt x="0" y="0"/>
                              </a:moveTo>
                              <a:lnTo>
                                <a:pt x="0" y="745220"/>
                              </a:lnTo>
                            </a:path>
                          </a:pathLst>
                        </a:custGeom>
                        <a:ln w="7619">
                          <a:solidFill>
                            <a:srgbClr val="000000"/>
                          </a:solidFill>
                          <a:prstDash val="solid"/>
                        </a:ln>
                      </wps:spPr>
                      <wps:bodyPr wrap="square" lIns="0" tIns="0" rIns="0" bIns="0" rtlCol="0">
                        <a:prstTxWarp prst="textNoShape">
                          <a:avLst/>
                        </a:prstTxWarp>
                        <a:noAutofit/>
                      </wps:bodyPr>
                    </wps:wsp>
                    <wps:wsp>
                      <wps:cNvPr id="1530" name="Graphic 1530"/>
                      <wps:cNvSpPr/>
                      <wps:spPr>
                        <a:xfrm>
                          <a:off x="29717" y="28178"/>
                          <a:ext cx="1298575" cy="140335"/>
                        </a:xfrm>
                        <a:custGeom>
                          <a:avLst/>
                          <a:gdLst/>
                          <a:ahLst/>
                          <a:cxnLst/>
                          <a:rect l="l" t="t" r="r" b="b"/>
                          <a:pathLst>
                            <a:path w="1298575" h="140335">
                              <a:moveTo>
                                <a:pt x="0" y="140207"/>
                              </a:moveTo>
                              <a:lnTo>
                                <a:pt x="1298447" y="140207"/>
                              </a:lnTo>
                              <a:lnTo>
                                <a:pt x="1298447"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531" name="Graphic 1531"/>
                      <wps:cNvSpPr/>
                      <wps:spPr>
                        <a:xfrm>
                          <a:off x="1328166" y="28178"/>
                          <a:ext cx="3244850" cy="140335"/>
                        </a:xfrm>
                        <a:custGeom>
                          <a:avLst/>
                          <a:gdLst/>
                          <a:ahLst/>
                          <a:cxnLst/>
                          <a:rect l="l" t="t" r="r" b="b"/>
                          <a:pathLst>
                            <a:path w="3244850" h="140335">
                              <a:moveTo>
                                <a:pt x="0" y="140207"/>
                              </a:moveTo>
                              <a:lnTo>
                                <a:pt x="3244595" y="140207"/>
                              </a:lnTo>
                            </a:path>
                            <a:path w="3244850" h="140335">
                              <a:moveTo>
                                <a:pt x="3244595" y="140207"/>
                              </a:moveTo>
                              <a:lnTo>
                                <a:pt x="3244595" y="0"/>
                              </a:lnTo>
                            </a:path>
                            <a:path w="3244850" h="140335">
                              <a:moveTo>
                                <a:pt x="3244595" y="0"/>
                              </a:moveTo>
                              <a:lnTo>
                                <a:pt x="0" y="0"/>
                              </a:lnTo>
                            </a:path>
                            <a:path w="3244850" h="140335">
                              <a:moveTo>
                                <a:pt x="0" y="0"/>
                              </a:moveTo>
                              <a:lnTo>
                                <a:pt x="0" y="140207"/>
                              </a:lnTo>
                            </a:path>
                          </a:pathLst>
                        </a:custGeom>
                        <a:ln w="7619">
                          <a:solidFill>
                            <a:srgbClr val="000000"/>
                          </a:solidFill>
                          <a:prstDash val="solid"/>
                        </a:ln>
                      </wps:spPr>
                      <wps:bodyPr wrap="square" lIns="0" tIns="0" rIns="0" bIns="0" rtlCol="0">
                        <a:prstTxWarp prst="textNoShape">
                          <a:avLst/>
                        </a:prstTxWarp>
                        <a:noAutofit/>
                      </wps:bodyPr>
                    </wps:wsp>
                    <wps:wsp>
                      <wps:cNvPr id="1532" name="Graphic 1532"/>
                      <wps:cNvSpPr/>
                      <wps:spPr>
                        <a:xfrm>
                          <a:off x="4572761" y="28178"/>
                          <a:ext cx="649605" cy="140335"/>
                        </a:xfrm>
                        <a:custGeom>
                          <a:avLst/>
                          <a:gdLst/>
                          <a:ahLst/>
                          <a:cxnLst/>
                          <a:rect l="l" t="t" r="r" b="b"/>
                          <a:pathLst>
                            <a:path w="649605" h="140335">
                              <a:moveTo>
                                <a:pt x="0" y="140207"/>
                              </a:moveTo>
                              <a:lnTo>
                                <a:pt x="649223" y="140207"/>
                              </a:lnTo>
                              <a:lnTo>
                                <a:pt x="649223"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533" name="Graphic 1533"/>
                      <wps:cNvSpPr/>
                      <wps:spPr>
                        <a:xfrm>
                          <a:off x="5221985" y="28178"/>
                          <a:ext cx="1298575" cy="140335"/>
                        </a:xfrm>
                        <a:custGeom>
                          <a:avLst/>
                          <a:gdLst/>
                          <a:ahLst/>
                          <a:cxnLst/>
                          <a:rect l="l" t="t" r="r" b="b"/>
                          <a:pathLst>
                            <a:path w="1298575" h="140335">
                              <a:moveTo>
                                <a:pt x="0" y="140207"/>
                              </a:moveTo>
                              <a:lnTo>
                                <a:pt x="1298447" y="140207"/>
                              </a:lnTo>
                              <a:lnTo>
                                <a:pt x="1298447" y="0"/>
                              </a:lnTo>
                              <a:lnTo>
                                <a:pt x="0" y="0"/>
                              </a:lnTo>
                              <a:lnTo>
                                <a:pt x="0" y="140207"/>
                              </a:lnTo>
                              <a:close/>
                            </a:path>
                          </a:pathLst>
                        </a:custGeom>
                        <a:ln w="7619">
                          <a:solidFill>
                            <a:srgbClr val="000000"/>
                          </a:solidFill>
                          <a:prstDash val="solid"/>
                        </a:ln>
                      </wps:spPr>
                      <wps:bodyPr wrap="square" lIns="0" tIns="0" rIns="0" bIns="0" rtlCol="0">
                        <a:prstTxWarp prst="textNoShape">
                          <a:avLst/>
                        </a:prstTxWarp>
                        <a:noAutofit/>
                      </wps:bodyPr>
                    </wps:wsp>
                    <wps:wsp>
                      <wps:cNvPr id="1534" name="Graphic 1534"/>
                      <wps:cNvSpPr/>
                      <wps:spPr>
                        <a:xfrm>
                          <a:off x="29717" y="168386"/>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35" name="Graphic 1535"/>
                      <wps:cNvSpPr/>
                      <wps:spPr>
                        <a:xfrm>
                          <a:off x="1328166" y="168386"/>
                          <a:ext cx="3244850" cy="139065"/>
                        </a:xfrm>
                        <a:custGeom>
                          <a:avLst/>
                          <a:gdLst/>
                          <a:ahLst/>
                          <a:cxnLst/>
                          <a:rect l="l" t="t" r="r" b="b"/>
                          <a:pathLst>
                            <a:path w="3244850" h="139065">
                              <a:moveTo>
                                <a:pt x="0" y="138683"/>
                              </a:moveTo>
                              <a:lnTo>
                                <a:pt x="3244595" y="138683"/>
                              </a:lnTo>
                              <a:lnTo>
                                <a:pt x="3244595"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36" name="Graphic 1536"/>
                      <wps:cNvSpPr/>
                      <wps:spPr>
                        <a:xfrm>
                          <a:off x="4572761" y="168386"/>
                          <a:ext cx="649605" cy="139065"/>
                        </a:xfrm>
                        <a:custGeom>
                          <a:avLst/>
                          <a:gdLst/>
                          <a:ahLst/>
                          <a:cxnLst/>
                          <a:rect l="l" t="t" r="r" b="b"/>
                          <a:pathLst>
                            <a:path w="649605" h="139065">
                              <a:moveTo>
                                <a:pt x="0" y="138683"/>
                              </a:moveTo>
                              <a:lnTo>
                                <a:pt x="649223" y="138683"/>
                              </a:lnTo>
                              <a:lnTo>
                                <a:pt x="649223"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37" name="Graphic 1537"/>
                      <wps:cNvSpPr/>
                      <wps:spPr>
                        <a:xfrm>
                          <a:off x="5221985" y="168386"/>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38" name="Graphic 1538"/>
                      <wps:cNvSpPr/>
                      <wps:spPr>
                        <a:xfrm>
                          <a:off x="29717" y="307070"/>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39" name="Graphic 1539"/>
                      <wps:cNvSpPr/>
                      <wps:spPr>
                        <a:xfrm>
                          <a:off x="1328166" y="307070"/>
                          <a:ext cx="3244850" cy="139065"/>
                        </a:xfrm>
                        <a:custGeom>
                          <a:avLst/>
                          <a:gdLst/>
                          <a:ahLst/>
                          <a:cxnLst/>
                          <a:rect l="l" t="t" r="r" b="b"/>
                          <a:pathLst>
                            <a:path w="3244850" h="139065">
                              <a:moveTo>
                                <a:pt x="0" y="138683"/>
                              </a:moveTo>
                              <a:lnTo>
                                <a:pt x="3244595" y="138683"/>
                              </a:lnTo>
                              <a:lnTo>
                                <a:pt x="3244595"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40" name="Graphic 1540"/>
                      <wps:cNvSpPr/>
                      <wps:spPr>
                        <a:xfrm>
                          <a:off x="4572761" y="307070"/>
                          <a:ext cx="649605" cy="139065"/>
                        </a:xfrm>
                        <a:custGeom>
                          <a:avLst/>
                          <a:gdLst/>
                          <a:ahLst/>
                          <a:cxnLst/>
                          <a:rect l="l" t="t" r="r" b="b"/>
                          <a:pathLst>
                            <a:path w="649605" h="139065">
                              <a:moveTo>
                                <a:pt x="0" y="138683"/>
                              </a:moveTo>
                              <a:lnTo>
                                <a:pt x="649223" y="138683"/>
                              </a:lnTo>
                              <a:lnTo>
                                <a:pt x="649223"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41" name="Graphic 1541"/>
                      <wps:cNvSpPr/>
                      <wps:spPr>
                        <a:xfrm>
                          <a:off x="5221985" y="307070"/>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42" name="Graphic 1542"/>
                      <wps:cNvSpPr/>
                      <wps:spPr>
                        <a:xfrm>
                          <a:off x="29717" y="445754"/>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43" name="Graphic 1543"/>
                      <wps:cNvSpPr/>
                      <wps:spPr>
                        <a:xfrm>
                          <a:off x="1328166" y="445754"/>
                          <a:ext cx="5192395" cy="139065"/>
                        </a:xfrm>
                        <a:custGeom>
                          <a:avLst/>
                          <a:gdLst/>
                          <a:ahLst/>
                          <a:cxnLst/>
                          <a:rect l="l" t="t" r="r" b="b"/>
                          <a:pathLst>
                            <a:path w="5192395" h="139065">
                              <a:moveTo>
                                <a:pt x="0" y="138683"/>
                              </a:moveTo>
                              <a:lnTo>
                                <a:pt x="2900888" y="138683"/>
                              </a:lnTo>
                            </a:path>
                            <a:path w="5192395" h="139065">
                              <a:moveTo>
                                <a:pt x="4412879" y="138683"/>
                              </a:moveTo>
                              <a:lnTo>
                                <a:pt x="5192267" y="138683"/>
                              </a:lnTo>
                            </a:path>
                            <a:path w="5192395" h="139065">
                              <a:moveTo>
                                <a:pt x="5192267" y="138683"/>
                              </a:moveTo>
                              <a:lnTo>
                                <a:pt x="5192267" y="0"/>
                              </a:lnTo>
                            </a:path>
                            <a:path w="5192395" h="139065">
                              <a:moveTo>
                                <a:pt x="5192267" y="0"/>
                              </a:moveTo>
                              <a:lnTo>
                                <a:pt x="0" y="0"/>
                              </a:lnTo>
                            </a:path>
                            <a:path w="5192395" h="139065">
                              <a:moveTo>
                                <a:pt x="0" y="0"/>
                              </a:moveTo>
                              <a:lnTo>
                                <a:pt x="0" y="138683"/>
                              </a:lnTo>
                            </a:path>
                          </a:pathLst>
                        </a:custGeom>
                        <a:ln w="7619">
                          <a:solidFill>
                            <a:srgbClr val="000000"/>
                          </a:solidFill>
                          <a:prstDash val="solid"/>
                        </a:ln>
                      </wps:spPr>
                      <wps:bodyPr wrap="square" lIns="0" tIns="0" rIns="0" bIns="0" rtlCol="0">
                        <a:prstTxWarp prst="textNoShape">
                          <a:avLst/>
                        </a:prstTxWarp>
                        <a:noAutofit/>
                      </wps:bodyPr>
                    </wps:wsp>
                    <wps:wsp>
                      <wps:cNvPr id="1544" name="Graphic 1544"/>
                      <wps:cNvSpPr/>
                      <wps:spPr>
                        <a:xfrm>
                          <a:off x="29717" y="584438"/>
                          <a:ext cx="1298575" cy="139065"/>
                        </a:xfrm>
                        <a:custGeom>
                          <a:avLst/>
                          <a:gdLst/>
                          <a:ahLst/>
                          <a:cxnLst/>
                          <a:rect l="l" t="t" r="r" b="b"/>
                          <a:pathLst>
                            <a:path w="1298575" h="139065">
                              <a:moveTo>
                                <a:pt x="0" y="138683"/>
                              </a:moveTo>
                              <a:lnTo>
                                <a:pt x="1298447" y="138683"/>
                              </a:lnTo>
                              <a:lnTo>
                                <a:pt x="129844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wps:wsp>
                      <wps:cNvPr id="1545" name="Graphic 1545"/>
                      <wps:cNvSpPr/>
                      <wps:spPr>
                        <a:xfrm>
                          <a:off x="1328166" y="584438"/>
                          <a:ext cx="5192395" cy="139065"/>
                        </a:xfrm>
                        <a:custGeom>
                          <a:avLst/>
                          <a:gdLst/>
                          <a:ahLst/>
                          <a:cxnLst/>
                          <a:rect l="l" t="t" r="r" b="b"/>
                          <a:pathLst>
                            <a:path w="5192395" h="139065">
                              <a:moveTo>
                                <a:pt x="0" y="138683"/>
                              </a:moveTo>
                              <a:lnTo>
                                <a:pt x="5192267" y="138683"/>
                              </a:lnTo>
                              <a:lnTo>
                                <a:pt x="5192267" y="0"/>
                              </a:lnTo>
                              <a:lnTo>
                                <a:pt x="0" y="0"/>
                              </a:lnTo>
                              <a:lnTo>
                                <a:pt x="0" y="138683"/>
                              </a:lnTo>
                              <a:close/>
                            </a:path>
                          </a:pathLst>
                        </a:custGeom>
                        <a:ln w="7619">
                          <a:solidFill>
                            <a:srgbClr val="000000"/>
                          </a:solidFill>
                          <a:prstDash val="solid"/>
                        </a:ln>
                      </wps:spPr>
                      <wps:bodyPr wrap="square" lIns="0" tIns="0" rIns="0" bIns="0" rtlCol="0">
                        <a:prstTxWarp prst="textNoShape">
                          <a:avLst/>
                        </a:prstTxWarp>
                        <a:noAutofit/>
                      </wps:bodyPr>
                    </wps:wsp>
                    <pic:pic>
                      <pic:nvPicPr>
                        <pic:cNvPr id="1546" name="Image 1546"/>
                        <pic:cNvPicPr/>
                      </pic:nvPicPr>
                      <pic:blipFill>
                        <a:blip r:embed="rId1" cstate="print"/>
                        <a:stretch>
                          <a:fillRect/>
                        </a:stretch>
                      </pic:blipFill>
                      <pic:spPr>
                        <a:xfrm>
                          <a:off x="75438" y="75422"/>
                          <a:ext cx="1203959" cy="207263"/>
                        </a:xfrm>
                        <a:prstGeom prst="rect">
                          <a:avLst/>
                        </a:prstGeom>
                      </pic:spPr>
                    </pic:pic>
                    <pic:pic>
                      <pic:nvPicPr>
                        <pic:cNvPr id="1547" name="Image 1547"/>
                        <pic:cNvPicPr/>
                      </pic:nvPicPr>
                      <pic:blipFill>
                        <a:blip r:embed="rId2" cstate="print"/>
                        <a:stretch>
                          <a:fillRect/>
                        </a:stretch>
                      </pic:blipFill>
                      <pic:spPr>
                        <a:xfrm>
                          <a:off x="4766309" y="76946"/>
                          <a:ext cx="268223" cy="67055"/>
                        </a:xfrm>
                        <a:prstGeom prst="rect">
                          <a:avLst/>
                        </a:prstGeom>
                      </pic:spPr>
                    </pic:pic>
                    <pic:pic>
                      <pic:nvPicPr>
                        <pic:cNvPr id="1548" name="Image 1548"/>
                        <pic:cNvPicPr/>
                      </pic:nvPicPr>
                      <pic:blipFill>
                        <a:blip r:embed="rId3" cstate="print"/>
                        <a:stretch>
                          <a:fillRect/>
                        </a:stretch>
                      </pic:blipFill>
                      <pic:spPr>
                        <a:xfrm>
                          <a:off x="5619750" y="76946"/>
                          <a:ext cx="507491" cy="86867"/>
                        </a:xfrm>
                        <a:prstGeom prst="rect">
                          <a:avLst/>
                        </a:prstGeom>
                      </pic:spPr>
                    </pic:pic>
                    <pic:pic>
                      <pic:nvPicPr>
                        <pic:cNvPr id="1549" name="Image 1549"/>
                        <pic:cNvPicPr/>
                      </pic:nvPicPr>
                      <pic:blipFill>
                        <a:blip r:embed="rId4" cstate="print"/>
                        <a:stretch>
                          <a:fillRect/>
                        </a:stretch>
                      </pic:blipFill>
                      <pic:spPr>
                        <a:xfrm>
                          <a:off x="386334" y="354314"/>
                          <a:ext cx="585215" cy="68579"/>
                        </a:xfrm>
                        <a:prstGeom prst="rect">
                          <a:avLst/>
                        </a:prstGeom>
                      </pic:spPr>
                    </pic:pic>
                    <pic:pic>
                      <pic:nvPicPr>
                        <pic:cNvPr id="1550" name="Image 1550"/>
                        <pic:cNvPicPr/>
                      </pic:nvPicPr>
                      <pic:blipFill>
                        <a:blip r:embed="rId5" cstate="print"/>
                        <a:stretch>
                          <a:fillRect/>
                        </a:stretch>
                      </pic:blipFill>
                      <pic:spPr>
                        <a:xfrm>
                          <a:off x="4766309" y="355838"/>
                          <a:ext cx="266699" cy="85343"/>
                        </a:xfrm>
                        <a:prstGeom prst="rect">
                          <a:avLst/>
                        </a:prstGeom>
                      </pic:spPr>
                    </pic:pic>
                    <pic:pic>
                      <pic:nvPicPr>
                        <pic:cNvPr id="1551" name="Image 1551"/>
                        <pic:cNvPicPr/>
                      </pic:nvPicPr>
                      <pic:blipFill>
                        <a:blip r:embed="rId6" cstate="print"/>
                        <a:stretch>
                          <a:fillRect/>
                        </a:stretch>
                      </pic:blipFill>
                      <pic:spPr>
                        <a:xfrm>
                          <a:off x="317754" y="492998"/>
                          <a:ext cx="722375" cy="70103"/>
                        </a:xfrm>
                        <a:prstGeom prst="rect">
                          <a:avLst/>
                        </a:prstGeom>
                      </pic:spPr>
                    </pic:pic>
                    <pic:pic>
                      <pic:nvPicPr>
                        <pic:cNvPr id="1552" name="Image 1552"/>
                        <pic:cNvPicPr/>
                      </pic:nvPicPr>
                      <pic:blipFill>
                        <a:blip r:embed="rId7" cstate="print"/>
                        <a:stretch>
                          <a:fillRect/>
                        </a:stretch>
                      </pic:blipFill>
                      <pic:spPr>
                        <a:xfrm>
                          <a:off x="482345" y="633206"/>
                          <a:ext cx="394715" cy="67055"/>
                        </a:xfrm>
                        <a:prstGeom prst="rect">
                          <a:avLst/>
                        </a:prstGeom>
                      </pic:spPr>
                    </pic:pic>
                    <pic:pic>
                      <pic:nvPicPr>
                        <pic:cNvPr id="1553" name="Image 1553"/>
                        <pic:cNvPicPr/>
                      </pic:nvPicPr>
                      <pic:blipFill>
                        <a:blip r:embed="rId8" cstate="print"/>
                        <a:stretch>
                          <a:fillRect/>
                        </a:stretch>
                      </pic:blipFill>
                      <pic:spPr>
                        <a:xfrm>
                          <a:off x="6542531" y="0"/>
                          <a:ext cx="734567" cy="752840"/>
                        </a:xfrm>
                        <a:prstGeom prst="rect">
                          <a:avLst/>
                        </a:prstGeom>
                      </pic:spPr>
                    </pic:pic>
                    <wps:wsp>
                      <wps:cNvPr id="1554" name="Graphic 1554"/>
                      <wps:cNvSpPr/>
                      <wps:spPr>
                        <a:xfrm>
                          <a:off x="2285885" y="75156"/>
                          <a:ext cx="4947285" cy="654685"/>
                        </a:xfrm>
                        <a:custGeom>
                          <a:avLst/>
                          <a:gdLst/>
                          <a:ahLst/>
                          <a:cxnLst/>
                          <a:rect l="l" t="t" r="r" b="b"/>
                          <a:pathLst>
                            <a:path w="4947285" h="654685">
                              <a:moveTo>
                                <a:pt x="1309141" y="4978"/>
                              </a:moveTo>
                              <a:lnTo>
                                <a:pt x="0" y="4978"/>
                              </a:lnTo>
                              <a:lnTo>
                                <a:pt x="0" y="84924"/>
                              </a:lnTo>
                              <a:lnTo>
                                <a:pt x="1309141" y="84924"/>
                              </a:lnTo>
                              <a:lnTo>
                                <a:pt x="1309141" y="4978"/>
                              </a:lnTo>
                              <a:close/>
                            </a:path>
                            <a:path w="4947285" h="654685">
                              <a:moveTo>
                                <a:pt x="3455149" y="411391"/>
                              </a:moveTo>
                              <a:lnTo>
                                <a:pt x="1943150" y="411391"/>
                              </a:lnTo>
                              <a:lnTo>
                                <a:pt x="1943150" y="514210"/>
                              </a:lnTo>
                              <a:lnTo>
                                <a:pt x="3455149" y="514210"/>
                              </a:lnTo>
                              <a:lnTo>
                                <a:pt x="3455149" y="411391"/>
                              </a:lnTo>
                              <a:close/>
                            </a:path>
                            <a:path w="4947285" h="654685">
                              <a:moveTo>
                                <a:pt x="4946739" y="0"/>
                              </a:moveTo>
                              <a:lnTo>
                                <a:pt x="4302163" y="0"/>
                              </a:lnTo>
                              <a:lnTo>
                                <a:pt x="4302163" y="654507"/>
                              </a:lnTo>
                              <a:lnTo>
                                <a:pt x="4946739" y="654507"/>
                              </a:lnTo>
                              <a:lnTo>
                                <a:pt x="4946739"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1.22pt;margin-top:771.061218pt;width:573pt;height:59.3pt;mso-position-horizontal-relative:page;mso-position-vertical-relative:page;z-index:-28824064" id="docshapegroup1121" coordorigin="224,15421" coordsize="11460,1186">
              <v:shape style="position:absolute;left:271;top:15465;width:10222;height:1097" id="docshape1122" coordorigin="271,15466" coordsize="10222,1097" path="m2316,15466l271,15466,271,15684,271,15686,271,16123,271,16562,2316,16562,2316,16123,2316,15686,2316,15684,2316,15466xm8448,15902l7426,15902,7426,16123,8448,16123,8448,15902xm10493,15466l7426,15466,7426,15686,10493,15686,10493,15466xe" filled="true" fillcolor="#cccccc" stroked="false">
                <v:path arrowok="t"/>
                <v:fill type="solid"/>
              </v:shape>
              <v:shape style="position:absolute;left:230;top:15427;width:10304;height:1174" id="docshape1123" coordorigin="230,15427" coordsize="10304,1174" path="m230,16601l10534,16601m10534,16601l10534,15427m10534,15427l230,15427m230,15427l230,16601e" filled="false" stroked="true" strokeweight=".6pt" strokecolor="#000000">
                <v:path arrowok="t"/>
                <v:stroke dashstyle="solid"/>
              </v:shape>
              <v:rect style="position:absolute;left:271;top:15465;width:2045;height:221" id="docshape1124" filled="false" stroked="true" strokeweight=".6pt" strokecolor="#000000">
                <v:stroke dashstyle="solid"/>
              </v:rect>
              <v:shape style="position:absolute;left:2316;top:15465;width:5110;height:221" id="docshape1125" coordorigin="2316,15466" coordsize="5110,221" path="m2316,15686l7426,15686m7426,15686l7426,15466m7426,15466l2316,15466m2316,15466l2316,15686e" filled="false" stroked="true" strokeweight=".6pt" strokecolor="#000000">
                <v:path arrowok="t"/>
                <v:stroke dashstyle="solid"/>
              </v:shape>
              <v:rect style="position:absolute;left:7425;top:15465;width:1023;height:221" id="docshape1126" filled="false" stroked="true" strokeweight=".6pt" strokecolor="#000000">
                <v:stroke dashstyle="solid"/>
              </v:rect>
              <v:rect style="position:absolute;left:8448;top:15465;width:2045;height:221" id="docshape1127" filled="false" stroked="true" strokeweight=".6pt" strokecolor="#000000">
                <v:stroke dashstyle="solid"/>
              </v:rect>
              <v:rect style="position:absolute;left:271;top:15686;width:2045;height:219" id="docshape1128" filled="false" stroked="true" strokeweight=".6pt" strokecolor="#000000">
                <v:stroke dashstyle="solid"/>
              </v:rect>
              <v:rect style="position:absolute;left:2316;top:15686;width:5110;height:219" id="docshape1129" filled="false" stroked="true" strokeweight=".6pt" strokecolor="#000000">
                <v:stroke dashstyle="solid"/>
              </v:rect>
              <v:rect style="position:absolute;left:7425;top:15686;width:1023;height:219" id="docshape1130" filled="false" stroked="true" strokeweight=".6pt" strokecolor="#000000">
                <v:stroke dashstyle="solid"/>
              </v:rect>
              <v:rect style="position:absolute;left:8448;top:15686;width:2045;height:219" id="docshape1131" filled="false" stroked="true" strokeweight=".6pt" strokecolor="#000000">
                <v:stroke dashstyle="solid"/>
              </v:rect>
              <v:rect style="position:absolute;left:271;top:15904;width:2045;height:219" id="docshape1132" filled="false" stroked="true" strokeweight=".6pt" strokecolor="#000000">
                <v:stroke dashstyle="solid"/>
              </v:rect>
              <v:rect style="position:absolute;left:2316;top:15904;width:5110;height:219" id="docshape1133" filled="false" stroked="true" strokeweight=".6pt" strokecolor="#000000">
                <v:stroke dashstyle="solid"/>
              </v:rect>
              <v:rect style="position:absolute;left:7425;top:15904;width:1023;height:219" id="docshape1134" filled="false" stroked="true" strokeweight=".6pt" strokecolor="#000000">
                <v:stroke dashstyle="solid"/>
              </v:rect>
              <v:rect style="position:absolute;left:8448;top:15904;width:2045;height:219" id="docshape1135" filled="false" stroked="true" strokeweight=".6pt" strokecolor="#000000">
                <v:stroke dashstyle="solid"/>
              </v:rect>
              <v:rect style="position:absolute;left:271;top:16123;width:2045;height:219" id="docshape1136" filled="false" stroked="true" strokeweight=".6pt" strokecolor="#000000">
                <v:stroke dashstyle="solid"/>
              </v:rect>
              <v:shape style="position:absolute;left:2316;top:16123;width:8177;height:219" id="docshape1137" coordorigin="2316,16123" coordsize="8177,219" path="m2316,16342l6884,16342m9265,16342l10493,16342m10493,16342l10493,16123m10493,16123l2316,16123m2316,16123l2316,16342e" filled="false" stroked="true" strokeweight=".6pt" strokecolor="#000000">
                <v:path arrowok="t"/>
                <v:stroke dashstyle="solid"/>
              </v:shape>
              <v:rect style="position:absolute;left:271;top:16341;width:2045;height:219" id="docshape1138" filled="false" stroked="true" strokeweight=".6pt" strokecolor="#000000">
                <v:stroke dashstyle="solid"/>
              </v:rect>
              <v:rect style="position:absolute;left:2316;top:16341;width:8177;height:219" id="docshape1139" filled="false" stroked="true" strokeweight=".6pt" strokecolor="#000000">
                <v:stroke dashstyle="solid"/>
              </v:rect>
              <v:shape style="position:absolute;left:343;top:15540;width:1896;height:327" type="#_x0000_t75" id="docshape1140" stroked="false">
                <v:imagedata r:id="rId1" o:title=""/>
              </v:shape>
              <v:shape style="position:absolute;left:7730;top:15542;width:423;height:106" type="#_x0000_t75" id="docshape1141" stroked="false">
                <v:imagedata r:id="rId2" o:title=""/>
              </v:shape>
              <v:shape style="position:absolute;left:9074;top:15542;width:800;height:137" type="#_x0000_t75" id="docshape1142" stroked="false">
                <v:imagedata r:id="rId3" o:title=""/>
              </v:shape>
              <v:shape style="position:absolute;left:832;top:15979;width:922;height:108" type="#_x0000_t75" id="docshape1143" stroked="false">
                <v:imagedata r:id="rId4" o:title=""/>
              </v:shape>
              <v:shape style="position:absolute;left:7730;top:15981;width:420;height:135" type="#_x0000_t75" id="docshape1144" stroked="false">
                <v:imagedata r:id="rId5" o:title=""/>
              </v:shape>
              <v:shape style="position:absolute;left:724;top:16197;width:1138;height:111" type="#_x0000_t75" id="docshape1145" stroked="false">
                <v:imagedata r:id="rId6" o:title=""/>
              </v:shape>
              <v:shape style="position:absolute;left:984;top:16418;width:622;height:106" type="#_x0000_t75" id="docshape1146" stroked="false">
                <v:imagedata r:id="rId7" o:title=""/>
              </v:shape>
              <v:shape style="position:absolute;left:10527;top:15421;width:1157;height:1186" type="#_x0000_t75" id="docshape1147" stroked="false">
                <v:imagedata r:id="rId8" o:title=""/>
              </v:shape>
              <v:shape style="position:absolute;left:3824;top:15539;width:7791;height:1031" id="docshape1148" coordorigin="3824,15540" coordsize="7791,1031" path="m5886,15547l3824,15547,3824,15673,5886,15673,5886,15547xm9265,16187l6884,16187,6884,16349,9265,16349,9265,16187xm11614,15540l10599,15540,10599,16570,11614,16570,11614,15540xe" filled="true" fillcolor="#000000"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92928">
              <wp:simplePos x="0" y="0"/>
              <wp:positionH relativeFrom="page">
                <wp:posOffset>1482216</wp:posOffset>
              </wp:positionH>
              <wp:positionV relativeFrom="page">
                <wp:posOffset>9980903</wp:posOffset>
              </wp:positionV>
              <wp:extent cx="1983105" cy="124460"/>
              <wp:effectExtent l="0" t="0" r="0" b="0"/>
              <wp:wrapNone/>
              <wp:docPr id="1555" name="Textbox 1555"/>
              <wp:cNvGraphicFramePr>
                <a:graphicFrameLocks/>
              </wp:cNvGraphicFramePr>
              <a:graphic>
                <a:graphicData uri="http://schemas.microsoft.com/office/word/2010/wordprocessingShape">
                  <wps:wsp>
                    <wps:cNvPr id="1555" name="Textbox 1555"/>
                    <wps:cNvSpPr txBox="1"/>
                    <wps:spPr>
                      <a:xfrm>
                        <a:off x="0" y="0"/>
                        <a:ext cx="1983105" cy="124460"/>
                      </a:xfrm>
                      <a:prstGeom prst="rect">
                        <a:avLst/>
                      </a:prstGeom>
                    </wps:spPr>
                    <wps:txbx>
                      <w:txbxContent>
                        <w:p>
                          <w:pPr>
                            <w:spacing w:before="15"/>
                            <w:ind w:left="20" w:right="0" w:firstLine="0"/>
                            <w:jc w:val="left"/>
                            <w:rPr>
                              <w:sz w:val="14"/>
                            </w:rPr>
                          </w:pPr>
                          <w:r>
                            <w:rPr>
                              <w:sz w:val="14"/>
                            </w:rPr>
                            <w:t>Francisco</w:t>
                          </w:r>
                          <w:r>
                            <w:rPr>
                              <w:spacing w:val="-8"/>
                              <w:sz w:val="14"/>
                            </w:rPr>
                            <w:t> </w:t>
                          </w:r>
                          <w:r>
                            <w:rPr>
                              <w:sz w:val="14"/>
                            </w:rPr>
                            <w:t>de</w:t>
                          </w:r>
                          <w:r>
                            <w:rPr>
                              <w:spacing w:val="-6"/>
                              <w:sz w:val="14"/>
                            </w:rPr>
                            <w:t> </w:t>
                          </w:r>
                          <w:r>
                            <w:rPr>
                              <w:sz w:val="14"/>
                            </w:rPr>
                            <w:t>la</w:t>
                          </w:r>
                          <w:r>
                            <w:rPr>
                              <w:spacing w:val="-5"/>
                              <w:sz w:val="14"/>
                            </w:rPr>
                            <w:t> </w:t>
                          </w:r>
                          <w:r>
                            <w:rPr>
                              <w:sz w:val="14"/>
                            </w:rPr>
                            <w:t>Torre</w:t>
                          </w:r>
                          <w:r>
                            <w:rPr>
                              <w:spacing w:val="-5"/>
                              <w:sz w:val="14"/>
                            </w:rPr>
                            <w:t> </w:t>
                          </w:r>
                          <w:r>
                            <w:rPr>
                              <w:sz w:val="14"/>
                            </w:rPr>
                            <w:t>Prados</w:t>
                          </w:r>
                          <w:r>
                            <w:rPr>
                              <w:spacing w:val="-7"/>
                              <w:sz w:val="14"/>
                            </w:rPr>
                            <w:t> </w:t>
                          </w:r>
                          <w:r>
                            <w:rPr>
                              <w:sz w:val="14"/>
                            </w:rPr>
                            <w:t>-</w:t>
                          </w:r>
                          <w:r>
                            <w:rPr>
                              <w:spacing w:val="-7"/>
                              <w:sz w:val="14"/>
                            </w:rPr>
                            <w:t> </w:t>
                          </w:r>
                          <w:r>
                            <w:rPr>
                              <w:sz w:val="14"/>
                            </w:rPr>
                            <w:t>Alcalde</w:t>
                          </w:r>
                          <w:r>
                            <w:rPr>
                              <w:spacing w:val="-7"/>
                              <w:sz w:val="14"/>
                            </w:rPr>
                            <w:t> </w:t>
                          </w:r>
                          <w:r>
                            <w:rPr>
                              <w:spacing w:val="-2"/>
                              <w:sz w:val="14"/>
                            </w:rPr>
                            <w:t>Presidente</w:t>
                          </w:r>
                        </w:p>
                      </w:txbxContent>
                    </wps:txbx>
                    <wps:bodyPr wrap="square" lIns="0" tIns="0" rIns="0" bIns="0" rtlCol="0">
                      <a:noAutofit/>
                    </wps:bodyPr>
                  </wps:wsp>
                </a:graphicData>
              </a:graphic>
            </wp:anchor>
          </w:drawing>
        </mc:Choice>
        <mc:Fallback>
          <w:pict>
            <v:shape style="position:absolute;margin-left:116.709999pt;margin-top:785.897949pt;width:156.15pt;height:9.8pt;mso-position-horizontal-relative:page;mso-position-vertical-relative:page;z-index:-28823552" type="#_x0000_t202" id="docshape1149" filled="false" stroked="false">
              <v:textbox inset="0,0,0,0">
                <w:txbxContent>
                  <w:p>
                    <w:pPr>
                      <w:spacing w:before="15"/>
                      <w:ind w:left="20" w:right="0" w:firstLine="0"/>
                      <w:jc w:val="left"/>
                      <w:rPr>
                        <w:sz w:val="14"/>
                      </w:rPr>
                    </w:pPr>
                    <w:r>
                      <w:rPr>
                        <w:sz w:val="14"/>
                      </w:rPr>
                      <w:t>Francisco</w:t>
                    </w:r>
                    <w:r>
                      <w:rPr>
                        <w:spacing w:val="-8"/>
                        <w:sz w:val="14"/>
                      </w:rPr>
                      <w:t> </w:t>
                    </w:r>
                    <w:r>
                      <w:rPr>
                        <w:sz w:val="14"/>
                      </w:rPr>
                      <w:t>de</w:t>
                    </w:r>
                    <w:r>
                      <w:rPr>
                        <w:spacing w:val="-6"/>
                        <w:sz w:val="14"/>
                      </w:rPr>
                      <w:t> </w:t>
                    </w:r>
                    <w:r>
                      <w:rPr>
                        <w:sz w:val="14"/>
                      </w:rPr>
                      <w:t>la</w:t>
                    </w:r>
                    <w:r>
                      <w:rPr>
                        <w:spacing w:val="-5"/>
                        <w:sz w:val="14"/>
                      </w:rPr>
                      <w:t> </w:t>
                    </w:r>
                    <w:r>
                      <w:rPr>
                        <w:sz w:val="14"/>
                      </w:rPr>
                      <w:t>Torre</w:t>
                    </w:r>
                    <w:r>
                      <w:rPr>
                        <w:spacing w:val="-5"/>
                        <w:sz w:val="14"/>
                      </w:rPr>
                      <w:t> </w:t>
                    </w:r>
                    <w:r>
                      <w:rPr>
                        <w:sz w:val="14"/>
                      </w:rPr>
                      <w:t>Prados</w:t>
                    </w:r>
                    <w:r>
                      <w:rPr>
                        <w:spacing w:val="-7"/>
                        <w:sz w:val="14"/>
                      </w:rPr>
                      <w:t> </w:t>
                    </w:r>
                    <w:r>
                      <w:rPr>
                        <w:sz w:val="14"/>
                      </w:rPr>
                      <w:t>-</w:t>
                    </w:r>
                    <w:r>
                      <w:rPr>
                        <w:spacing w:val="-7"/>
                        <w:sz w:val="14"/>
                      </w:rPr>
                      <w:t> </w:t>
                    </w:r>
                    <w:r>
                      <w:rPr>
                        <w:sz w:val="14"/>
                      </w:rPr>
                      <w:t>Alcalde</w:t>
                    </w:r>
                    <w:r>
                      <w:rPr>
                        <w:spacing w:val="-7"/>
                        <w:sz w:val="14"/>
                      </w:rPr>
                      <w:t> </w:t>
                    </w:r>
                    <w:r>
                      <w:rPr>
                        <w:spacing w:val="-2"/>
                        <w:sz w:val="14"/>
                      </w:rPr>
                      <w:t>Presidente</w:t>
                    </w:r>
                  </w:p>
                </w:txbxContent>
              </v:textbox>
              <w10:wrap type="none"/>
            </v:shape>
          </w:pict>
        </mc:Fallback>
      </mc:AlternateContent>
    </w:r>
    <w:r>
      <w:rPr>
        <w:sz w:val="20"/>
      </w:rPr>
      <mc:AlternateContent>
        <mc:Choice Requires="wps">
          <w:drawing>
            <wp:anchor distT="0" distB="0" distL="0" distR="0" allowOverlap="1" layoutInCell="1" locked="0" behindDoc="1" simplePos="0" relativeHeight="474493440">
              <wp:simplePos x="0" y="0"/>
              <wp:positionH relativeFrom="page">
                <wp:posOffset>4865331</wp:posOffset>
              </wp:positionH>
              <wp:positionV relativeFrom="page">
                <wp:posOffset>9980903</wp:posOffset>
              </wp:positionV>
              <wp:extent cx="349250" cy="124460"/>
              <wp:effectExtent l="0" t="0" r="0" b="0"/>
              <wp:wrapNone/>
              <wp:docPr id="1556" name="Textbox 1556"/>
              <wp:cNvGraphicFramePr>
                <a:graphicFrameLocks/>
              </wp:cNvGraphicFramePr>
              <a:graphic>
                <a:graphicData uri="http://schemas.microsoft.com/office/word/2010/wordprocessingShape">
                  <wps:wsp>
                    <wps:cNvPr id="1556" name="Textbox 1556"/>
                    <wps:cNvSpPr txBox="1"/>
                    <wps:spPr>
                      <a:xfrm>
                        <a:off x="0" y="0"/>
                        <a:ext cx="349250" cy="124460"/>
                      </a:xfrm>
                      <a:prstGeom prst="rect">
                        <a:avLst/>
                      </a:prstGeom>
                    </wps:spPr>
                    <wps:txbx>
                      <w:txbxContent>
                        <w:p>
                          <w:pPr>
                            <w:spacing w:before="15"/>
                            <w:ind w:left="20" w:right="0" w:firstLine="0"/>
                            <w:jc w:val="left"/>
                            <w:rPr>
                              <w:sz w:val="14"/>
                            </w:rPr>
                          </w:pPr>
                          <w:r>
                            <w:rPr>
                              <w:spacing w:val="-2"/>
                              <w:sz w:val="14"/>
                            </w:rPr>
                            <w:t>Firmado</w:t>
                          </w:r>
                        </w:p>
                      </w:txbxContent>
                    </wps:txbx>
                    <wps:bodyPr wrap="square" lIns="0" tIns="0" rIns="0" bIns="0" rtlCol="0">
                      <a:noAutofit/>
                    </wps:bodyPr>
                  </wps:wsp>
                </a:graphicData>
              </a:graphic>
            </wp:anchor>
          </w:drawing>
        </mc:Choice>
        <mc:Fallback>
          <w:pict>
            <v:shape style="position:absolute;margin-left:383.096985pt;margin-top:785.897949pt;width:27.5pt;height:9.8pt;mso-position-horizontal-relative:page;mso-position-vertical-relative:page;z-index:-28823040" type="#_x0000_t202" id="docshape1150" filled="false" stroked="false">
              <v:textbox inset="0,0,0,0">
                <w:txbxContent>
                  <w:p>
                    <w:pPr>
                      <w:spacing w:before="15"/>
                      <w:ind w:left="20" w:right="0" w:firstLine="0"/>
                      <w:jc w:val="left"/>
                      <w:rPr>
                        <w:sz w:val="14"/>
                      </w:rPr>
                    </w:pPr>
                    <w:r>
                      <w:rPr>
                        <w:spacing w:val="-2"/>
                        <w:sz w:val="14"/>
                      </w:rPr>
                      <w:t>Firmado</w:t>
                    </w:r>
                  </w:p>
                </w:txbxContent>
              </v:textbox>
              <w10:wrap type="none"/>
            </v:shape>
          </w:pict>
        </mc:Fallback>
      </mc:AlternateContent>
    </w:r>
    <w:r>
      <w:rPr>
        <w:sz w:val="20"/>
      </w:rPr>
      <mc:AlternateContent>
        <mc:Choice Requires="wps">
          <w:drawing>
            <wp:anchor distT="0" distB="0" distL="0" distR="0" allowOverlap="1" layoutInCell="1" locked="0" behindDoc="1" simplePos="0" relativeHeight="474493952">
              <wp:simplePos x="0" y="0"/>
              <wp:positionH relativeFrom="page">
                <wp:posOffset>5595226</wp:posOffset>
              </wp:positionH>
              <wp:positionV relativeFrom="page">
                <wp:posOffset>9980903</wp:posOffset>
              </wp:positionV>
              <wp:extent cx="837565" cy="262890"/>
              <wp:effectExtent l="0" t="0" r="0" b="0"/>
              <wp:wrapNone/>
              <wp:docPr id="1557" name="Textbox 1557"/>
              <wp:cNvGraphicFramePr>
                <a:graphicFrameLocks/>
              </wp:cNvGraphicFramePr>
              <a:graphic>
                <a:graphicData uri="http://schemas.microsoft.com/office/word/2010/wordprocessingShape">
                  <wps:wsp>
                    <wps:cNvPr id="1557" name="Textbox 1557"/>
                    <wps:cNvSpPr txBox="1"/>
                    <wps:spPr>
                      <a:xfrm>
                        <a:off x="0" y="0"/>
                        <a:ext cx="837565" cy="262890"/>
                      </a:xfrm>
                      <a:prstGeom prst="rect">
                        <a:avLst/>
                      </a:prstGeom>
                    </wps:spPr>
                    <wps:txbx>
                      <w:txbxContent>
                        <w:p>
                          <w:pPr>
                            <w:spacing w:before="15"/>
                            <w:ind w:left="14" w:right="14" w:firstLine="0"/>
                            <w:jc w:val="center"/>
                            <w:rPr>
                              <w:sz w:val="14"/>
                            </w:rPr>
                          </w:pPr>
                          <w:r>
                            <w:rPr>
                              <w:spacing w:val="-2"/>
                              <w:sz w:val="14"/>
                            </w:rPr>
                            <w:t>04/11/2025</w:t>
                          </w:r>
                          <w:r>
                            <w:rPr>
                              <w:spacing w:val="1"/>
                              <w:sz w:val="14"/>
                            </w:rPr>
                            <w:t> </w:t>
                          </w:r>
                          <w:r>
                            <w:rPr>
                              <w:spacing w:val="-2"/>
                              <w:sz w:val="14"/>
                            </w:rPr>
                            <w:t>12:11:01</w:t>
                          </w:r>
                        </w:p>
                        <w:p>
                          <w:pPr>
                            <w:spacing w:before="57"/>
                            <w:ind w:left="14" w:right="14" w:firstLine="0"/>
                            <w:jc w:val="center"/>
                            <w:rPr>
                              <w:sz w:val="14"/>
                            </w:rPr>
                          </w:pPr>
                          <w:r>
                            <w:rPr>
                              <w:spacing w:val="-2"/>
                              <w:sz w:val="14"/>
                            </w:rPr>
                            <w:fldChar w:fldCharType="begin"/>
                          </w:r>
                          <w:r>
                            <w:rPr>
                              <w:spacing w:val="-2"/>
                              <w:sz w:val="14"/>
                            </w:rPr>
                            <w:instrText> PAGE </w:instrText>
                          </w:r>
                          <w:r>
                            <w:rPr>
                              <w:spacing w:val="-2"/>
                              <w:sz w:val="14"/>
                            </w:rPr>
                            <w:fldChar w:fldCharType="separate"/>
                          </w:r>
                          <w:r>
                            <w:rPr>
                              <w:spacing w:val="-2"/>
                              <w:sz w:val="14"/>
                            </w:rPr>
                            <w:t>25</w:t>
                          </w:r>
                          <w:r>
                            <w:rPr>
                              <w:spacing w:val="-2"/>
                              <w:sz w:val="14"/>
                            </w:rPr>
                            <w:fldChar w:fldCharType="end"/>
                          </w:r>
                          <w:r>
                            <w:rPr>
                              <w:spacing w:val="-2"/>
                              <w:sz w:val="14"/>
                            </w:rPr>
                            <w:t>/40</w:t>
                          </w:r>
                        </w:p>
                      </w:txbxContent>
                    </wps:txbx>
                    <wps:bodyPr wrap="square" lIns="0" tIns="0" rIns="0" bIns="0" rtlCol="0">
                      <a:noAutofit/>
                    </wps:bodyPr>
                  </wps:wsp>
                </a:graphicData>
              </a:graphic>
            </wp:anchor>
          </w:drawing>
        </mc:Choice>
        <mc:Fallback>
          <w:pict>
            <v:shape style="position:absolute;margin-left:440.569pt;margin-top:785.897949pt;width:65.95pt;height:20.7pt;mso-position-horizontal-relative:page;mso-position-vertical-relative:page;z-index:-28822528" type="#_x0000_t202" id="docshape1151" filled="false" stroked="false">
              <v:textbox inset="0,0,0,0">
                <w:txbxContent>
                  <w:p>
                    <w:pPr>
                      <w:spacing w:before="15"/>
                      <w:ind w:left="14" w:right="14" w:firstLine="0"/>
                      <w:jc w:val="center"/>
                      <w:rPr>
                        <w:sz w:val="14"/>
                      </w:rPr>
                    </w:pPr>
                    <w:r>
                      <w:rPr>
                        <w:spacing w:val="-2"/>
                        <w:sz w:val="14"/>
                      </w:rPr>
                      <w:t>04/11/2025</w:t>
                    </w:r>
                    <w:r>
                      <w:rPr>
                        <w:spacing w:val="1"/>
                        <w:sz w:val="14"/>
                      </w:rPr>
                      <w:t> </w:t>
                    </w:r>
                    <w:r>
                      <w:rPr>
                        <w:spacing w:val="-2"/>
                        <w:sz w:val="14"/>
                      </w:rPr>
                      <w:t>12:11:01</w:t>
                    </w:r>
                  </w:p>
                  <w:p>
                    <w:pPr>
                      <w:spacing w:before="57"/>
                      <w:ind w:left="14" w:right="14" w:firstLine="0"/>
                      <w:jc w:val="center"/>
                      <w:rPr>
                        <w:sz w:val="14"/>
                      </w:rPr>
                    </w:pPr>
                    <w:r>
                      <w:rPr>
                        <w:spacing w:val="-2"/>
                        <w:sz w:val="14"/>
                      </w:rPr>
                      <w:fldChar w:fldCharType="begin"/>
                    </w:r>
                    <w:r>
                      <w:rPr>
                        <w:spacing w:val="-2"/>
                        <w:sz w:val="14"/>
                      </w:rPr>
                      <w:instrText> PAGE </w:instrText>
                    </w:r>
                    <w:r>
                      <w:rPr>
                        <w:spacing w:val="-2"/>
                        <w:sz w:val="14"/>
                      </w:rPr>
                      <w:fldChar w:fldCharType="separate"/>
                    </w:r>
                    <w:r>
                      <w:rPr>
                        <w:spacing w:val="-2"/>
                        <w:sz w:val="14"/>
                      </w:rPr>
                      <w:t>25</w:t>
                    </w:r>
                    <w:r>
                      <w:rPr>
                        <w:spacing w:val="-2"/>
                        <w:sz w:val="14"/>
                      </w:rPr>
                      <w:fldChar w:fldCharType="end"/>
                    </w:r>
                    <w:r>
                      <w:rPr>
                        <w:spacing w:val="-2"/>
                        <w:sz w:val="14"/>
                      </w:rPr>
                      <w:t>/40</w:t>
                    </w:r>
                  </w:p>
                </w:txbxContent>
              </v:textbox>
              <w10:wrap type="none"/>
            </v:shape>
          </w:pict>
        </mc:Fallback>
      </mc:AlternateContent>
    </w:r>
    <w:r>
      <w:rPr>
        <w:sz w:val="20"/>
      </w:rPr>
      <mc:AlternateContent>
        <mc:Choice Requires="wps">
          <w:drawing>
            <wp:anchor distT="0" distB="0" distL="0" distR="0" allowOverlap="1" layoutInCell="1" locked="0" behindDoc="1" simplePos="0" relativeHeight="474494464">
              <wp:simplePos x="0" y="0"/>
              <wp:positionH relativeFrom="page">
                <wp:posOffset>1482216</wp:posOffset>
              </wp:positionH>
              <wp:positionV relativeFrom="page">
                <wp:posOffset>10266233</wp:posOffset>
              </wp:positionV>
              <wp:extent cx="5149850" cy="256540"/>
              <wp:effectExtent l="0" t="0" r="0" b="0"/>
              <wp:wrapNone/>
              <wp:docPr id="1558" name="Textbox 1558"/>
              <wp:cNvGraphicFramePr>
                <a:graphicFrameLocks/>
              </wp:cNvGraphicFramePr>
              <a:graphic>
                <a:graphicData uri="http://schemas.microsoft.com/office/word/2010/wordprocessingShape">
                  <wps:wsp>
                    <wps:cNvPr id="1558" name="Textbox 1558"/>
                    <wps:cNvSpPr txBox="1"/>
                    <wps:spPr>
                      <a:xfrm>
                        <a:off x="0" y="0"/>
                        <a:ext cx="5149850" cy="256540"/>
                      </a:xfrm>
                      <a:prstGeom prst="rect">
                        <a:avLst/>
                      </a:prstGeom>
                    </wps:spPr>
                    <wps:txbx>
                      <w:txbxContent>
                        <w:p>
                          <w:pPr>
                            <w:spacing w:before="19"/>
                            <w:ind w:left="1227" w:right="0" w:firstLine="0"/>
                            <w:jc w:val="left"/>
                            <w:rPr>
                              <w:rFonts w:ascii="Courier New"/>
                              <w:sz w:val="14"/>
                            </w:rPr>
                          </w:pPr>
                          <w:hyperlink r:id="rId9">
                            <w:r>
                              <w:rPr>
                                <w:rFonts w:ascii="Courier New"/>
                                <w:spacing w:val="-2"/>
                                <w:sz w:val="14"/>
                              </w:rPr>
                              <w:t>https://valida.malaga.eu/verifirma/code</w:t>
                            </w:r>
                          </w:hyperlink>
                        </w:p>
                        <w:p>
                          <w:pPr>
                            <w:spacing w:before="45"/>
                            <w:ind w:left="20" w:right="0" w:firstLine="0"/>
                            <w:jc w:val="left"/>
                            <w:rPr>
                              <w:sz w:val="14"/>
                            </w:rPr>
                          </w:pPr>
                          <w:r>
                            <w:rPr>
                              <w:sz w:val="14"/>
                            </w:rPr>
                            <w:t>Este</w:t>
                          </w:r>
                          <w:r>
                            <w:rPr>
                              <w:spacing w:val="-6"/>
                              <w:sz w:val="14"/>
                            </w:rPr>
                            <w:t> </w:t>
                          </w:r>
                          <w:r>
                            <w:rPr>
                              <w:sz w:val="14"/>
                            </w:rPr>
                            <w:t>informe</w:t>
                          </w:r>
                          <w:r>
                            <w:rPr>
                              <w:spacing w:val="-8"/>
                              <w:sz w:val="14"/>
                            </w:rPr>
                            <w:t> </w:t>
                          </w:r>
                          <w:r>
                            <w:rPr>
                              <w:sz w:val="14"/>
                            </w:rPr>
                            <w:t>tiene</w:t>
                          </w:r>
                          <w:r>
                            <w:rPr>
                              <w:spacing w:val="-7"/>
                              <w:sz w:val="14"/>
                            </w:rPr>
                            <w:t> </w:t>
                          </w:r>
                          <w:r>
                            <w:rPr>
                              <w:sz w:val="14"/>
                            </w:rPr>
                            <w:t>carácter</w:t>
                          </w:r>
                          <w:r>
                            <w:rPr>
                              <w:spacing w:val="-6"/>
                              <w:sz w:val="14"/>
                            </w:rPr>
                            <w:t> </w:t>
                          </w:r>
                          <w:r>
                            <w:rPr>
                              <w:sz w:val="14"/>
                            </w:rPr>
                            <w:t>de</w:t>
                          </w:r>
                          <w:r>
                            <w:rPr>
                              <w:spacing w:val="-8"/>
                              <w:sz w:val="14"/>
                            </w:rPr>
                            <w:t> </w:t>
                          </w:r>
                          <w:r>
                            <w:rPr>
                              <w:sz w:val="14"/>
                            </w:rPr>
                            <w:t>copia</w:t>
                          </w:r>
                          <w:r>
                            <w:rPr>
                              <w:spacing w:val="-9"/>
                              <w:sz w:val="14"/>
                            </w:rPr>
                            <w:t> </w:t>
                          </w:r>
                          <w:r>
                            <w:rPr>
                              <w:sz w:val="14"/>
                            </w:rPr>
                            <w:t>electrónica</w:t>
                          </w:r>
                          <w:r>
                            <w:rPr>
                              <w:spacing w:val="-6"/>
                              <w:sz w:val="14"/>
                            </w:rPr>
                            <w:t> </w:t>
                          </w:r>
                          <w:r>
                            <w:rPr>
                              <w:sz w:val="14"/>
                            </w:rPr>
                            <w:t>auténtica</w:t>
                          </w:r>
                          <w:r>
                            <w:rPr>
                              <w:spacing w:val="-7"/>
                              <w:sz w:val="14"/>
                            </w:rPr>
                            <w:t> </w:t>
                          </w:r>
                          <w:r>
                            <w:rPr>
                              <w:sz w:val="14"/>
                            </w:rPr>
                            <w:t>con</w:t>
                          </w:r>
                          <w:r>
                            <w:rPr>
                              <w:spacing w:val="-8"/>
                              <w:sz w:val="14"/>
                            </w:rPr>
                            <w:t> </w:t>
                          </w:r>
                          <w:r>
                            <w:rPr>
                              <w:sz w:val="14"/>
                            </w:rPr>
                            <w:t>validez</w:t>
                          </w:r>
                          <w:r>
                            <w:rPr>
                              <w:spacing w:val="-8"/>
                              <w:sz w:val="14"/>
                            </w:rPr>
                            <w:t> </w:t>
                          </w:r>
                          <w:r>
                            <w:rPr>
                              <w:sz w:val="14"/>
                            </w:rPr>
                            <w:t>y</w:t>
                          </w:r>
                          <w:r>
                            <w:rPr>
                              <w:spacing w:val="-7"/>
                              <w:sz w:val="14"/>
                            </w:rPr>
                            <w:t> </w:t>
                          </w:r>
                          <w:r>
                            <w:rPr>
                              <w:sz w:val="14"/>
                            </w:rPr>
                            <w:t>eficacia</w:t>
                          </w:r>
                          <w:r>
                            <w:rPr>
                              <w:spacing w:val="-9"/>
                              <w:sz w:val="14"/>
                            </w:rPr>
                            <w:t> </w:t>
                          </w:r>
                          <w:r>
                            <w:rPr>
                              <w:sz w:val="14"/>
                            </w:rPr>
                            <w:t>administrativa</w:t>
                          </w:r>
                          <w:r>
                            <w:rPr>
                              <w:spacing w:val="-7"/>
                              <w:sz w:val="14"/>
                            </w:rPr>
                            <w:t> </w:t>
                          </w:r>
                          <w:r>
                            <w:rPr>
                              <w:sz w:val="14"/>
                            </w:rPr>
                            <w:t>de</w:t>
                          </w:r>
                          <w:r>
                            <w:rPr>
                              <w:spacing w:val="-6"/>
                              <w:sz w:val="14"/>
                            </w:rPr>
                            <w:t> </w:t>
                          </w:r>
                          <w:r>
                            <w:rPr>
                              <w:sz w:val="14"/>
                            </w:rPr>
                            <w:t>ORIGINAL</w:t>
                          </w:r>
                          <w:r>
                            <w:rPr>
                              <w:spacing w:val="-7"/>
                              <w:sz w:val="14"/>
                            </w:rPr>
                            <w:t> </w:t>
                          </w:r>
                          <w:r>
                            <w:rPr>
                              <w:sz w:val="14"/>
                            </w:rPr>
                            <w:t>(art.</w:t>
                          </w:r>
                          <w:r>
                            <w:rPr>
                              <w:spacing w:val="-9"/>
                              <w:sz w:val="14"/>
                            </w:rPr>
                            <w:t> </w:t>
                          </w:r>
                          <w:r>
                            <w:rPr>
                              <w:sz w:val="14"/>
                            </w:rPr>
                            <w:t>27</w:t>
                          </w:r>
                          <w:r>
                            <w:rPr>
                              <w:spacing w:val="-7"/>
                              <w:sz w:val="14"/>
                            </w:rPr>
                            <w:t> </w:t>
                          </w:r>
                          <w:r>
                            <w:rPr>
                              <w:sz w:val="14"/>
                            </w:rPr>
                            <w:t>Ley</w:t>
                          </w:r>
                          <w:r>
                            <w:rPr>
                              <w:spacing w:val="-8"/>
                              <w:sz w:val="14"/>
                            </w:rPr>
                            <w:t> </w:t>
                          </w:r>
                          <w:r>
                            <w:rPr>
                              <w:spacing w:val="-2"/>
                              <w:sz w:val="14"/>
                            </w:rPr>
                            <w:t>39/2015).</w:t>
                          </w:r>
                        </w:p>
                      </w:txbxContent>
                    </wps:txbx>
                    <wps:bodyPr wrap="square" lIns="0" tIns="0" rIns="0" bIns="0" rtlCol="0">
                      <a:noAutofit/>
                    </wps:bodyPr>
                  </wps:wsp>
                </a:graphicData>
              </a:graphic>
            </wp:anchor>
          </w:drawing>
        </mc:Choice>
        <mc:Fallback>
          <w:pict>
            <v:shape style="position:absolute;margin-left:116.709999pt;margin-top:808.364868pt;width:405.5pt;height:20.2pt;mso-position-horizontal-relative:page;mso-position-vertical-relative:page;z-index:-28822016" type="#_x0000_t202" id="docshape1152" filled="false" stroked="false">
              <v:textbox inset="0,0,0,0">
                <w:txbxContent>
                  <w:p>
                    <w:pPr>
                      <w:spacing w:before="19"/>
                      <w:ind w:left="1227" w:right="0" w:firstLine="0"/>
                      <w:jc w:val="left"/>
                      <w:rPr>
                        <w:rFonts w:ascii="Courier New"/>
                        <w:sz w:val="14"/>
                      </w:rPr>
                    </w:pPr>
                    <w:hyperlink r:id="rId9">
                      <w:r>
                        <w:rPr>
                          <w:rFonts w:ascii="Courier New"/>
                          <w:spacing w:val="-2"/>
                          <w:sz w:val="14"/>
                        </w:rPr>
                        <w:t>https://valida.malaga.eu/verifirma/code</w:t>
                      </w:r>
                    </w:hyperlink>
                  </w:p>
                  <w:p>
                    <w:pPr>
                      <w:spacing w:before="45"/>
                      <w:ind w:left="20" w:right="0" w:firstLine="0"/>
                      <w:jc w:val="left"/>
                      <w:rPr>
                        <w:sz w:val="14"/>
                      </w:rPr>
                    </w:pPr>
                    <w:r>
                      <w:rPr>
                        <w:sz w:val="14"/>
                      </w:rPr>
                      <w:t>Este</w:t>
                    </w:r>
                    <w:r>
                      <w:rPr>
                        <w:spacing w:val="-6"/>
                        <w:sz w:val="14"/>
                      </w:rPr>
                      <w:t> </w:t>
                    </w:r>
                    <w:r>
                      <w:rPr>
                        <w:sz w:val="14"/>
                      </w:rPr>
                      <w:t>informe</w:t>
                    </w:r>
                    <w:r>
                      <w:rPr>
                        <w:spacing w:val="-8"/>
                        <w:sz w:val="14"/>
                      </w:rPr>
                      <w:t> </w:t>
                    </w:r>
                    <w:r>
                      <w:rPr>
                        <w:sz w:val="14"/>
                      </w:rPr>
                      <w:t>tiene</w:t>
                    </w:r>
                    <w:r>
                      <w:rPr>
                        <w:spacing w:val="-7"/>
                        <w:sz w:val="14"/>
                      </w:rPr>
                      <w:t> </w:t>
                    </w:r>
                    <w:r>
                      <w:rPr>
                        <w:sz w:val="14"/>
                      </w:rPr>
                      <w:t>carácter</w:t>
                    </w:r>
                    <w:r>
                      <w:rPr>
                        <w:spacing w:val="-6"/>
                        <w:sz w:val="14"/>
                      </w:rPr>
                      <w:t> </w:t>
                    </w:r>
                    <w:r>
                      <w:rPr>
                        <w:sz w:val="14"/>
                      </w:rPr>
                      <w:t>de</w:t>
                    </w:r>
                    <w:r>
                      <w:rPr>
                        <w:spacing w:val="-8"/>
                        <w:sz w:val="14"/>
                      </w:rPr>
                      <w:t> </w:t>
                    </w:r>
                    <w:r>
                      <w:rPr>
                        <w:sz w:val="14"/>
                      </w:rPr>
                      <w:t>copia</w:t>
                    </w:r>
                    <w:r>
                      <w:rPr>
                        <w:spacing w:val="-9"/>
                        <w:sz w:val="14"/>
                      </w:rPr>
                      <w:t> </w:t>
                    </w:r>
                    <w:r>
                      <w:rPr>
                        <w:sz w:val="14"/>
                      </w:rPr>
                      <w:t>electrónica</w:t>
                    </w:r>
                    <w:r>
                      <w:rPr>
                        <w:spacing w:val="-6"/>
                        <w:sz w:val="14"/>
                      </w:rPr>
                      <w:t> </w:t>
                    </w:r>
                    <w:r>
                      <w:rPr>
                        <w:sz w:val="14"/>
                      </w:rPr>
                      <w:t>auténtica</w:t>
                    </w:r>
                    <w:r>
                      <w:rPr>
                        <w:spacing w:val="-7"/>
                        <w:sz w:val="14"/>
                      </w:rPr>
                      <w:t> </w:t>
                    </w:r>
                    <w:r>
                      <w:rPr>
                        <w:sz w:val="14"/>
                      </w:rPr>
                      <w:t>con</w:t>
                    </w:r>
                    <w:r>
                      <w:rPr>
                        <w:spacing w:val="-8"/>
                        <w:sz w:val="14"/>
                      </w:rPr>
                      <w:t> </w:t>
                    </w:r>
                    <w:r>
                      <w:rPr>
                        <w:sz w:val="14"/>
                      </w:rPr>
                      <w:t>validez</w:t>
                    </w:r>
                    <w:r>
                      <w:rPr>
                        <w:spacing w:val="-8"/>
                        <w:sz w:val="14"/>
                      </w:rPr>
                      <w:t> </w:t>
                    </w:r>
                    <w:r>
                      <w:rPr>
                        <w:sz w:val="14"/>
                      </w:rPr>
                      <w:t>y</w:t>
                    </w:r>
                    <w:r>
                      <w:rPr>
                        <w:spacing w:val="-7"/>
                        <w:sz w:val="14"/>
                      </w:rPr>
                      <w:t> </w:t>
                    </w:r>
                    <w:r>
                      <w:rPr>
                        <w:sz w:val="14"/>
                      </w:rPr>
                      <w:t>eficacia</w:t>
                    </w:r>
                    <w:r>
                      <w:rPr>
                        <w:spacing w:val="-9"/>
                        <w:sz w:val="14"/>
                      </w:rPr>
                      <w:t> </w:t>
                    </w:r>
                    <w:r>
                      <w:rPr>
                        <w:sz w:val="14"/>
                      </w:rPr>
                      <w:t>administrativa</w:t>
                    </w:r>
                    <w:r>
                      <w:rPr>
                        <w:spacing w:val="-7"/>
                        <w:sz w:val="14"/>
                      </w:rPr>
                      <w:t> </w:t>
                    </w:r>
                    <w:r>
                      <w:rPr>
                        <w:sz w:val="14"/>
                      </w:rPr>
                      <w:t>de</w:t>
                    </w:r>
                    <w:r>
                      <w:rPr>
                        <w:spacing w:val="-6"/>
                        <w:sz w:val="14"/>
                      </w:rPr>
                      <w:t> </w:t>
                    </w:r>
                    <w:r>
                      <w:rPr>
                        <w:sz w:val="14"/>
                      </w:rPr>
                      <w:t>ORIGINAL</w:t>
                    </w:r>
                    <w:r>
                      <w:rPr>
                        <w:spacing w:val="-7"/>
                        <w:sz w:val="14"/>
                      </w:rPr>
                      <w:t> </w:t>
                    </w:r>
                    <w:r>
                      <w:rPr>
                        <w:sz w:val="14"/>
                      </w:rPr>
                      <w:t>(art.</w:t>
                    </w:r>
                    <w:r>
                      <w:rPr>
                        <w:spacing w:val="-9"/>
                        <w:sz w:val="14"/>
                      </w:rPr>
                      <w:t> </w:t>
                    </w:r>
                    <w:r>
                      <w:rPr>
                        <w:sz w:val="14"/>
                      </w:rPr>
                      <w:t>27</w:t>
                    </w:r>
                    <w:r>
                      <w:rPr>
                        <w:spacing w:val="-7"/>
                        <w:sz w:val="14"/>
                      </w:rPr>
                      <w:t> </w:t>
                    </w:r>
                    <w:r>
                      <w:rPr>
                        <w:sz w:val="14"/>
                      </w:rPr>
                      <w:t>Ley</w:t>
                    </w:r>
                    <w:r>
                      <w:rPr>
                        <w:spacing w:val="-8"/>
                        <w:sz w:val="14"/>
                      </w:rPr>
                      <w:t> </w:t>
                    </w:r>
                    <w:r>
                      <w:rPr>
                        <w:spacing w:val="-2"/>
                        <w:sz w:val="14"/>
                      </w:rPr>
                      <w:t>39/2015).</w:t>
                    </w:r>
                  </w:p>
                </w:txbxContent>
              </v:textbox>
              <w10:wrap type="none"/>
            </v:shape>
          </w:pict>
        </mc:Fallback>
      </mc:AlternateContent>
    </w:r>
  </w:p>
</w:ftr>
</file>

<file path=word/footer8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16"/>
      </w:rPr>
    </w:pPr>
    <w:r>
      <w:rPr>
        <w:sz w:val="16"/>
      </w:rPr>
      <mc:AlternateContent>
        <mc:Choice Requires="wps">
          <w:drawing>
            <wp:anchor distT="0" distB="0" distL="0" distR="0" allowOverlap="1" layoutInCell="1" locked="0" behindDoc="1" simplePos="0" relativeHeight="474278400">
              <wp:simplePos x="0" y="0"/>
              <wp:positionH relativeFrom="page">
                <wp:posOffset>701344</wp:posOffset>
              </wp:positionH>
              <wp:positionV relativeFrom="page">
                <wp:posOffset>9981895</wp:posOffset>
              </wp:positionV>
              <wp:extent cx="6158230" cy="6350"/>
              <wp:effectExtent l="0" t="0" r="0" b="0"/>
              <wp:wrapNone/>
              <wp:docPr id="32" name="Graphic 32"/>
              <wp:cNvGraphicFramePr>
                <a:graphicFrameLocks/>
              </wp:cNvGraphicFramePr>
              <a:graphic>
                <a:graphicData uri="http://schemas.microsoft.com/office/word/2010/wordprocessingShape">
                  <wps:wsp>
                    <wps:cNvPr id="32" name="Graphic 32"/>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23999pt;margin-top:785.976013pt;width:484.9pt;height:.47998pt;mso-position-horizontal-relative:page;mso-position-vertical-relative:page;z-index:-29038080" id="docshape21" filled="true" fillcolor="#000000" stroked="false">
              <v:fill type="solid"/>
              <w10:wrap type="none"/>
            </v:rect>
          </w:pict>
        </mc:Fallback>
      </mc:AlternateContent>
    </w:r>
    <w:r>
      <w:rPr>
        <w:sz w:val="16"/>
      </w:rPr>
      <mc:AlternateContent>
        <mc:Choice Requires="wps">
          <w:drawing>
            <wp:anchor distT="0" distB="0" distL="0" distR="0" allowOverlap="1" layoutInCell="1" locked="0" behindDoc="1" simplePos="0" relativeHeight="474278912">
              <wp:simplePos x="0" y="0"/>
              <wp:positionH relativeFrom="page">
                <wp:posOffset>706932</wp:posOffset>
              </wp:positionH>
              <wp:positionV relativeFrom="page">
                <wp:posOffset>9990994</wp:posOffset>
              </wp:positionV>
              <wp:extent cx="5586095" cy="153670"/>
              <wp:effectExtent l="0" t="0" r="0" b="0"/>
              <wp:wrapNone/>
              <wp:docPr id="33" name="Textbox 33"/>
              <wp:cNvGraphicFramePr>
                <a:graphicFrameLocks/>
              </wp:cNvGraphicFramePr>
              <a:graphic>
                <a:graphicData uri="http://schemas.microsoft.com/office/word/2010/wordprocessingShape">
                  <wps:wsp>
                    <wps:cNvPr id="33" name="Textbox 33"/>
                    <wps:cNvSpPr txBox="1"/>
                    <wps:spPr>
                      <a:xfrm>
                        <a:off x="0" y="0"/>
                        <a:ext cx="5586095" cy="153670"/>
                      </a:xfrm>
                      <a:prstGeom prst="rect">
                        <a:avLst/>
                      </a:prstGeom>
                    </wps:spPr>
                    <wps:txbx>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wps:txbx>
                    <wps:bodyPr wrap="square" lIns="0" tIns="0" rIns="0" bIns="0" rtlCol="0">
                      <a:noAutofit/>
                    </wps:bodyPr>
                  </wps:wsp>
                </a:graphicData>
              </a:graphic>
            </wp:anchor>
          </w:drawing>
        </mc:Choice>
        <mc:Fallback>
          <w:pict>
            <v:shape style="position:absolute;margin-left:55.664001pt;margin-top:786.692505pt;width:439.85pt;height:12.1pt;mso-position-horizontal-relative:page;mso-position-vertical-relative:page;z-index:-29037568" type="#_x0000_t202" id="docshape22" filled="false" stroked="false">
              <v:textbox inset="0,0,0,0">
                <w:txbxContent>
                  <w:p>
                    <w:pPr>
                      <w:spacing w:before="14"/>
                      <w:ind w:left="20" w:right="0" w:firstLine="0"/>
                      <w:jc w:val="left"/>
                      <w:rPr>
                        <w:sz w:val="18"/>
                      </w:rPr>
                    </w:pPr>
                    <w:r>
                      <w:rPr>
                        <w:sz w:val="18"/>
                      </w:rPr>
                      <w:t>INFORME</w:t>
                    </w:r>
                    <w:r>
                      <w:rPr>
                        <w:spacing w:val="-5"/>
                        <w:sz w:val="18"/>
                      </w:rPr>
                      <w:t> </w:t>
                    </w:r>
                    <w:r>
                      <w:rPr>
                        <w:sz w:val="18"/>
                      </w:rPr>
                      <w:t>DE</w:t>
                    </w:r>
                    <w:r>
                      <w:rPr>
                        <w:spacing w:val="-2"/>
                        <w:sz w:val="18"/>
                      </w:rPr>
                      <w:t> </w:t>
                    </w:r>
                    <w:r>
                      <w:rPr>
                        <w:sz w:val="18"/>
                      </w:rPr>
                      <w:t>FISCALIZACIÓN</w:t>
                    </w:r>
                    <w:r>
                      <w:rPr>
                        <w:spacing w:val="-2"/>
                        <w:sz w:val="18"/>
                      </w:rPr>
                      <w:t> </w:t>
                    </w:r>
                    <w:r>
                      <w:rPr>
                        <w:sz w:val="18"/>
                      </w:rPr>
                      <w:t>APROBADO</w:t>
                    </w:r>
                    <w:r>
                      <w:rPr>
                        <w:spacing w:val="-5"/>
                        <w:sz w:val="18"/>
                      </w:rPr>
                      <w:t> </w:t>
                    </w:r>
                    <w:r>
                      <w:rPr>
                        <w:sz w:val="18"/>
                      </w:rPr>
                      <w:t>POR</w:t>
                    </w:r>
                    <w:r>
                      <w:rPr>
                        <w:spacing w:val="-2"/>
                        <w:sz w:val="18"/>
                      </w:rPr>
                      <w:t> </w:t>
                    </w:r>
                    <w:r>
                      <w:rPr>
                        <w:sz w:val="18"/>
                      </w:rPr>
                      <w:t>EL</w:t>
                    </w:r>
                    <w:r>
                      <w:rPr>
                        <w:spacing w:val="-2"/>
                        <w:sz w:val="18"/>
                      </w:rPr>
                      <w:t> </w:t>
                    </w:r>
                    <w:r>
                      <w:rPr>
                        <w:sz w:val="18"/>
                      </w:rPr>
                      <w:t>PLENO</w:t>
                    </w:r>
                    <w:r>
                      <w:rPr>
                        <w:spacing w:val="-5"/>
                        <w:sz w:val="18"/>
                      </w:rPr>
                      <w:t> </w:t>
                    </w:r>
                    <w:r>
                      <w:rPr>
                        <w:sz w:val="18"/>
                      </w:rPr>
                      <w:t>DEL</w:t>
                    </w:r>
                    <w:r>
                      <w:rPr>
                        <w:spacing w:val="-2"/>
                        <w:sz w:val="18"/>
                      </w:rPr>
                      <w:t> </w:t>
                    </w:r>
                    <w:r>
                      <w:rPr>
                        <w:sz w:val="18"/>
                      </w:rPr>
                      <w:t>TRIBUNAL</w:t>
                    </w:r>
                    <w:r>
                      <w:rPr>
                        <w:spacing w:val="-2"/>
                        <w:sz w:val="18"/>
                      </w:rPr>
                      <w:t> </w:t>
                    </w:r>
                    <w:r>
                      <w:rPr>
                        <w:sz w:val="18"/>
                      </w:rPr>
                      <w:t>DE</w:t>
                    </w:r>
                    <w:r>
                      <w:rPr>
                        <w:spacing w:val="-3"/>
                        <w:sz w:val="18"/>
                      </w:rPr>
                      <w:t> </w:t>
                    </w:r>
                    <w:r>
                      <w:rPr>
                        <w:sz w:val="18"/>
                      </w:rPr>
                      <w:t>CUENTAS</w:t>
                    </w:r>
                    <w:r>
                      <w:rPr>
                        <w:spacing w:val="-2"/>
                        <w:sz w:val="18"/>
                      </w:rPr>
                      <w:t> </w:t>
                    </w:r>
                    <w:r>
                      <w:rPr>
                        <w:sz w:val="18"/>
                      </w:rPr>
                      <w:t>EL</w:t>
                    </w:r>
                    <w:r>
                      <w:rPr>
                        <w:spacing w:val="2"/>
                        <w:sz w:val="18"/>
                      </w:rPr>
                      <w:t> </w:t>
                    </w:r>
                    <w:r>
                      <w:rPr>
                        <w:spacing w:val="-2"/>
                        <w:sz w:val="18"/>
                      </w:rPr>
                      <w:t>18/12/2025</w:t>
                    </w:r>
                  </w:p>
                </w:txbxContent>
              </v:textbox>
              <w10:wrap type="none"/>
            </v:shape>
          </w:pict>
        </mc:Fallback>
      </mc:AlternateContent>
    </w:r>
    <w:r>
      <w:rPr>
        <w:sz w:val="16"/>
      </w:rPr>
      <mc:AlternateContent>
        <mc:Choice Requires="wps">
          <w:drawing>
            <wp:anchor distT="0" distB="0" distL="0" distR="0" allowOverlap="1" layoutInCell="1" locked="0" behindDoc="1" simplePos="0" relativeHeight="474279424">
              <wp:simplePos x="0" y="0"/>
              <wp:positionH relativeFrom="page">
                <wp:posOffset>6638035</wp:posOffset>
              </wp:positionH>
              <wp:positionV relativeFrom="page">
                <wp:posOffset>9990994</wp:posOffset>
              </wp:positionV>
              <wp:extent cx="255904" cy="153670"/>
              <wp:effectExtent l="0" t="0" r="0" b="0"/>
              <wp:wrapNone/>
              <wp:docPr id="34" name="Textbox 34"/>
              <wp:cNvGraphicFramePr>
                <a:graphicFrameLocks/>
              </wp:cNvGraphicFramePr>
              <a:graphic>
                <a:graphicData uri="http://schemas.microsoft.com/office/word/2010/wordprocessingShape">
                  <wps:wsp>
                    <wps:cNvPr id="34" name="Textbox 34"/>
                    <wps:cNvSpPr txBox="1"/>
                    <wps:spPr>
                      <a:xfrm>
                        <a:off x="0" y="0"/>
                        <a:ext cx="255904" cy="153670"/>
                      </a:xfrm>
                      <a:prstGeom prst="rect">
                        <a:avLst/>
                      </a:prstGeom>
                    </wps:spPr>
                    <wps:txbx>
                      <w:txbxContent>
                        <w:p>
                          <w:pPr>
                            <w:spacing w:before="14"/>
                            <w:ind w:left="2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101</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2.679993pt;margin-top:786.692505pt;width:20.150pt;height:12.1pt;mso-position-horizontal-relative:page;mso-position-vertical-relative:page;z-index:-29037056" type="#_x0000_t202" id="docshape23" filled="false" stroked="false">
              <v:textbox inset="0,0,0,0">
                <w:txbxContent>
                  <w:p>
                    <w:pPr>
                      <w:spacing w:before="14"/>
                      <w:ind w:left="2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101</w:t>
                    </w:r>
                    <w:r>
                      <w:rPr>
                        <w:spacing w:val="-5"/>
                        <w:sz w:val="18"/>
                      </w:rPr>
                      <w:fldChar w:fldCharType="end"/>
                    </w:r>
                  </w:p>
                </w:txbxContent>
              </v:textbox>
              <w10:wrap type="none"/>
            </v:shape>
          </w:pict>
        </mc:Fallback>
      </mc:AlternateContent>
    </w:r>
  </w:p>
</w:ftr>
</file>

<file path=word/footer9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66624">
          <wp:simplePos x="0" y="0"/>
          <wp:positionH relativeFrom="page">
            <wp:posOffset>720090</wp:posOffset>
          </wp:positionH>
          <wp:positionV relativeFrom="page">
            <wp:posOffset>543559</wp:posOffset>
          </wp:positionV>
          <wp:extent cx="1799589" cy="53085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1799589" cy="530859"/>
                  </a:xfrm>
                  <a:prstGeom prst="rect">
                    <a:avLst/>
                  </a:prstGeom>
                </pic:spPr>
              </pic:pic>
            </a:graphicData>
          </a:graphic>
        </wp:anchor>
      </w:drawing>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0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60672">
          <wp:simplePos x="0" y="0"/>
          <wp:positionH relativeFrom="page">
            <wp:posOffset>4315967</wp:posOffset>
          </wp:positionH>
          <wp:positionV relativeFrom="page">
            <wp:posOffset>525780</wp:posOffset>
          </wp:positionV>
          <wp:extent cx="316991" cy="70104"/>
          <wp:effectExtent l="0" t="0" r="0" b="0"/>
          <wp:wrapNone/>
          <wp:docPr id="1275" name="Image 1275"/>
          <wp:cNvGraphicFramePr>
            <a:graphicFrameLocks/>
          </wp:cNvGraphicFramePr>
          <a:graphic>
            <a:graphicData uri="http://schemas.openxmlformats.org/drawingml/2006/picture">
              <pic:pic>
                <pic:nvPicPr>
                  <pic:cNvPr id="1275" name="Image 1275"/>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61184">
              <wp:simplePos x="0" y="0"/>
              <wp:positionH relativeFrom="page">
                <wp:posOffset>5480303</wp:posOffset>
              </wp:positionH>
              <wp:positionV relativeFrom="page">
                <wp:posOffset>525780</wp:posOffset>
              </wp:positionV>
              <wp:extent cx="6350" cy="439420"/>
              <wp:effectExtent l="0" t="0" r="0" b="0"/>
              <wp:wrapNone/>
              <wp:docPr id="1276" name="Graphic 1276"/>
              <wp:cNvGraphicFramePr>
                <a:graphicFrameLocks/>
              </wp:cNvGraphicFramePr>
              <a:graphic>
                <a:graphicData uri="http://schemas.microsoft.com/office/word/2010/wordprocessingShape">
                  <wps:wsp>
                    <wps:cNvPr id="1276" name="Graphic 1276"/>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55296" id="docshape941" filled="true" fillcolor="#00587c" stroked="false">
              <v:fill type="solid"/>
              <w10:wrap type="none"/>
            </v:rect>
          </w:pict>
        </mc:Fallback>
      </mc:AlternateContent>
    </w:r>
    <w:r>
      <w:rPr>
        <w:sz w:val="20"/>
      </w:rPr>
      <w:drawing>
        <wp:anchor distT="0" distB="0" distL="0" distR="0" allowOverlap="1" layoutInCell="1" locked="0" behindDoc="1" simplePos="0" relativeHeight="474461696">
          <wp:simplePos x="0" y="0"/>
          <wp:positionH relativeFrom="page">
            <wp:posOffset>4721352</wp:posOffset>
          </wp:positionH>
          <wp:positionV relativeFrom="page">
            <wp:posOffset>612648</wp:posOffset>
          </wp:positionV>
          <wp:extent cx="681227" cy="292607"/>
          <wp:effectExtent l="0" t="0" r="0" b="0"/>
          <wp:wrapNone/>
          <wp:docPr id="1277" name="Image 1277"/>
          <wp:cNvGraphicFramePr>
            <a:graphicFrameLocks/>
          </wp:cNvGraphicFramePr>
          <a:graphic>
            <a:graphicData uri="http://schemas.openxmlformats.org/drawingml/2006/picture">
              <pic:pic>
                <pic:nvPicPr>
                  <pic:cNvPr id="1277" name="Image 1277"/>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62208">
              <wp:simplePos x="0" y="0"/>
              <wp:positionH relativeFrom="page">
                <wp:posOffset>4315967</wp:posOffset>
              </wp:positionH>
              <wp:positionV relativeFrom="page">
                <wp:posOffset>615696</wp:posOffset>
              </wp:positionV>
              <wp:extent cx="315595" cy="349250"/>
              <wp:effectExtent l="0" t="0" r="0" b="0"/>
              <wp:wrapNone/>
              <wp:docPr id="1278" name="Group 1278"/>
              <wp:cNvGraphicFramePr>
                <a:graphicFrameLocks/>
              </wp:cNvGraphicFramePr>
              <a:graphic>
                <a:graphicData uri="http://schemas.microsoft.com/office/word/2010/wordprocessingGroup">
                  <wpg:wgp>
                    <wpg:cNvPr id="1278" name="Group 1278"/>
                    <wpg:cNvGrpSpPr/>
                    <wpg:grpSpPr>
                      <a:xfrm>
                        <a:off x="0" y="0"/>
                        <a:ext cx="315595" cy="349250"/>
                        <a:chExt cx="315595" cy="349250"/>
                      </a:xfrm>
                    </wpg:grpSpPr>
                    <wps:wsp>
                      <wps:cNvPr id="1279" name="Graphic 1279"/>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280" name="Image 1280"/>
                        <pic:cNvPicPr/>
                      </pic:nvPicPr>
                      <pic:blipFill>
                        <a:blip r:embed="rId3" cstate="print"/>
                        <a:stretch>
                          <a:fillRect/>
                        </a:stretch>
                      </pic:blipFill>
                      <pic:spPr>
                        <a:xfrm>
                          <a:off x="39623" y="182618"/>
                          <a:ext cx="236220" cy="125102"/>
                        </a:xfrm>
                        <a:prstGeom prst="rect">
                          <a:avLst/>
                        </a:prstGeom>
                      </pic:spPr>
                    </pic:pic>
                    <wps:wsp>
                      <wps:cNvPr id="1281" name="Graphic 1281"/>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54272" id="docshapegroup942" coordorigin="6797,970" coordsize="497,550">
              <v:shape style="position:absolute;left:6859;top:1032;width:312;height:190" id="docshape94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944" stroked="false">
                <v:imagedata r:id="rId3" o:title=""/>
              </v:shape>
              <v:shape style="position:absolute;left:6796;top:969;width:497;height:550" id="docshape94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62720">
              <wp:simplePos x="0" y="0"/>
              <wp:positionH relativeFrom="page">
                <wp:posOffset>5571744</wp:posOffset>
              </wp:positionH>
              <wp:positionV relativeFrom="page">
                <wp:posOffset>704088</wp:posOffset>
              </wp:positionV>
              <wp:extent cx="608330" cy="76200"/>
              <wp:effectExtent l="0" t="0" r="0" b="0"/>
              <wp:wrapNone/>
              <wp:docPr id="1282" name="Graphic 1282"/>
              <wp:cNvGraphicFramePr>
                <a:graphicFrameLocks/>
              </wp:cNvGraphicFramePr>
              <a:graphic>
                <a:graphicData uri="http://schemas.microsoft.com/office/word/2010/wordprocessingShape">
                  <wps:wsp>
                    <wps:cNvPr id="1282" name="Graphic 1282"/>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53760" id="docshape94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0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63232">
          <wp:simplePos x="0" y="0"/>
          <wp:positionH relativeFrom="page">
            <wp:posOffset>4315967</wp:posOffset>
          </wp:positionH>
          <wp:positionV relativeFrom="page">
            <wp:posOffset>525780</wp:posOffset>
          </wp:positionV>
          <wp:extent cx="316991" cy="70104"/>
          <wp:effectExtent l="0" t="0" r="0" b="0"/>
          <wp:wrapNone/>
          <wp:docPr id="1307" name="Image 1307"/>
          <wp:cNvGraphicFramePr>
            <a:graphicFrameLocks/>
          </wp:cNvGraphicFramePr>
          <a:graphic>
            <a:graphicData uri="http://schemas.openxmlformats.org/drawingml/2006/picture">
              <pic:pic>
                <pic:nvPicPr>
                  <pic:cNvPr id="1307" name="Image 1307"/>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63744">
              <wp:simplePos x="0" y="0"/>
              <wp:positionH relativeFrom="page">
                <wp:posOffset>5480303</wp:posOffset>
              </wp:positionH>
              <wp:positionV relativeFrom="page">
                <wp:posOffset>525780</wp:posOffset>
              </wp:positionV>
              <wp:extent cx="6350" cy="439420"/>
              <wp:effectExtent l="0" t="0" r="0" b="0"/>
              <wp:wrapNone/>
              <wp:docPr id="1308" name="Graphic 1308"/>
              <wp:cNvGraphicFramePr>
                <a:graphicFrameLocks/>
              </wp:cNvGraphicFramePr>
              <a:graphic>
                <a:graphicData uri="http://schemas.microsoft.com/office/word/2010/wordprocessingShape">
                  <wps:wsp>
                    <wps:cNvPr id="1308" name="Graphic 1308"/>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52736" id="docshape958" filled="true" fillcolor="#00587c" stroked="false">
              <v:fill type="solid"/>
              <w10:wrap type="none"/>
            </v:rect>
          </w:pict>
        </mc:Fallback>
      </mc:AlternateContent>
    </w:r>
    <w:r>
      <w:rPr>
        <w:sz w:val="20"/>
      </w:rPr>
      <w:drawing>
        <wp:anchor distT="0" distB="0" distL="0" distR="0" allowOverlap="1" layoutInCell="1" locked="0" behindDoc="1" simplePos="0" relativeHeight="474464256">
          <wp:simplePos x="0" y="0"/>
          <wp:positionH relativeFrom="page">
            <wp:posOffset>4721352</wp:posOffset>
          </wp:positionH>
          <wp:positionV relativeFrom="page">
            <wp:posOffset>612648</wp:posOffset>
          </wp:positionV>
          <wp:extent cx="681227" cy="292607"/>
          <wp:effectExtent l="0" t="0" r="0" b="0"/>
          <wp:wrapNone/>
          <wp:docPr id="1309" name="Image 1309"/>
          <wp:cNvGraphicFramePr>
            <a:graphicFrameLocks/>
          </wp:cNvGraphicFramePr>
          <a:graphic>
            <a:graphicData uri="http://schemas.openxmlformats.org/drawingml/2006/picture">
              <pic:pic>
                <pic:nvPicPr>
                  <pic:cNvPr id="1309" name="Image 1309"/>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64768">
              <wp:simplePos x="0" y="0"/>
              <wp:positionH relativeFrom="page">
                <wp:posOffset>4315967</wp:posOffset>
              </wp:positionH>
              <wp:positionV relativeFrom="page">
                <wp:posOffset>615696</wp:posOffset>
              </wp:positionV>
              <wp:extent cx="315595" cy="349250"/>
              <wp:effectExtent l="0" t="0" r="0" b="0"/>
              <wp:wrapNone/>
              <wp:docPr id="1310" name="Group 1310"/>
              <wp:cNvGraphicFramePr>
                <a:graphicFrameLocks/>
              </wp:cNvGraphicFramePr>
              <a:graphic>
                <a:graphicData uri="http://schemas.microsoft.com/office/word/2010/wordprocessingGroup">
                  <wpg:wgp>
                    <wpg:cNvPr id="1310" name="Group 1310"/>
                    <wpg:cNvGrpSpPr/>
                    <wpg:grpSpPr>
                      <a:xfrm>
                        <a:off x="0" y="0"/>
                        <a:ext cx="315595" cy="349250"/>
                        <a:chExt cx="315595" cy="349250"/>
                      </a:xfrm>
                    </wpg:grpSpPr>
                    <wps:wsp>
                      <wps:cNvPr id="1311" name="Graphic 1311"/>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312" name="Image 1312"/>
                        <pic:cNvPicPr/>
                      </pic:nvPicPr>
                      <pic:blipFill>
                        <a:blip r:embed="rId3" cstate="print"/>
                        <a:stretch>
                          <a:fillRect/>
                        </a:stretch>
                      </pic:blipFill>
                      <pic:spPr>
                        <a:xfrm>
                          <a:off x="39623" y="182618"/>
                          <a:ext cx="236220" cy="125102"/>
                        </a:xfrm>
                        <a:prstGeom prst="rect">
                          <a:avLst/>
                        </a:prstGeom>
                      </pic:spPr>
                    </pic:pic>
                    <wps:wsp>
                      <wps:cNvPr id="1313" name="Graphic 1313"/>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51712" id="docshapegroup959" coordorigin="6797,970" coordsize="497,550">
              <v:shape style="position:absolute;left:6859;top:1032;width:312;height:190" id="docshape960"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961" stroked="false">
                <v:imagedata r:id="rId3" o:title=""/>
              </v:shape>
              <v:shape style="position:absolute;left:6796;top:969;width:497;height:550" id="docshape962"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65280">
              <wp:simplePos x="0" y="0"/>
              <wp:positionH relativeFrom="page">
                <wp:posOffset>5571744</wp:posOffset>
              </wp:positionH>
              <wp:positionV relativeFrom="page">
                <wp:posOffset>704088</wp:posOffset>
              </wp:positionV>
              <wp:extent cx="608330" cy="76200"/>
              <wp:effectExtent l="0" t="0" r="0" b="0"/>
              <wp:wrapNone/>
              <wp:docPr id="1314" name="Graphic 1314"/>
              <wp:cNvGraphicFramePr>
                <a:graphicFrameLocks/>
              </wp:cNvGraphicFramePr>
              <a:graphic>
                <a:graphicData uri="http://schemas.microsoft.com/office/word/2010/wordprocessingShape">
                  <wps:wsp>
                    <wps:cNvPr id="1314" name="Graphic 1314"/>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51200" id="docshape963"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0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65792">
          <wp:simplePos x="0" y="0"/>
          <wp:positionH relativeFrom="page">
            <wp:posOffset>4315967</wp:posOffset>
          </wp:positionH>
          <wp:positionV relativeFrom="page">
            <wp:posOffset>525780</wp:posOffset>
          </wp:positionV>
          <wp:extent cx="316991" cy="70104"/>
          <wp:effectExtent l="0" t="0" r="0" b="0"/>
          <wp:wrapNone/>
          <wp:docPr id="1315" name="Image 1315"/>
          <wp:cNvGraphicFramePr>
            <a:graphicFrameLocks/>
          </wp:cNvGraphicFramePr>
          <a:graphic>
            <a:graphicData uri="http://schemas.openxmlformats.org/drawingml/2006/picture">
              <pic:pic>
                <pic:nvPicPr>
                  <pic:cNvPr id="1315" name="Image 1315"/>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66304">
              <wp:simplePos x="0" y="0"/>
              <wp:positionH relativeFrom="page">
                <wp:posOffset>5480303</wp:posOffset>
              </wp:positionH>
              <wp:positionV relativeFrom="page">
                <wp:posOffset>525780</wp:posOffset>
              </wp:positionV>
              <wp:extent cx="6350" cy="439420"/>
              <wp:effectExtent l="0" t="0" r="0" b="0"/>
              <wp:wrapNone/>
              <wp:docPr id="1316" name="Graphic 1316"/>
              <wp:cNvGraphicFramePr>
                <a:graphicFrameLocks/>
              </wp:cNvGraphicFramePr>
              <a:graphic>
                <a:graphicData uri="http://schemas.microsoft.com/office/word/2010/wordprocessingShape">
                  <wps:wsp>
                    <wps:cNvPr id="1316" name="Graphic 1316"/>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50176" id="docshape964" filled="true" fillcolor="#00587c" stroked="false">
              <v:fill type="solid"/>
              <w10:wrap type="none"/>
            </v:rect>
          </w:pict>
        </mc:Fallback>
      </mc:AlternateContent>
    </w:r>
    <w:r>
      <w:rPr>
        <w:sz w:val="20"/>
      </w:rPr>
      <w:drawing>
        <wp:anchor distT="0" distB="0" distL="0" distR="0" allowOverlap="1" layoutInCell="1" locked="0" behindDoc="1" simplePos="0" relativeHeight="474466816">
          <wp:simplePos x="0" y="0"/>
          <wp:positionH relativeFrom="page">
            <wp:posOffset>4721352</wp:posOffset>
          </wp:positionH>
          <wp:positionV relativeFrom="page">
            <wp:posOffset>612648</wp:posOffset>
          </wp:positionV>
          <wp:extent cx="681227" cy="292607"/>
          <wp:effectExtent l="0" t="0" r="0" b="0"/>
          <wp:wrapNone/>
          <wp:docPr id="1317" name="Image 1317"/>
          <wp:cNvGraphicFramePr>
            <a:graphicFrameLocks/>
          </wp:cNvGraphicFramePr>
          <a:graphic>
            <a:graphicData uri="http://schemas.openxmlformats.org/drawingml/2006/picture">
              <pic:pic>
                <pic:nvPicPr>
                  <pic:cNvPr id="1317" name="Image 1317"/>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67328">
              <wp:simplePos x="0" y="0"/>
              <wp:positionH relativeFrom="page">
                <wp:posOffset>4315967</wp:posOffset>
              </wp:positionH>
              <wp:positionV relativeFrom="page">
                <wp:posOffset>615696</wp:posOffset>
              </wp:positionV>
              <wp:extent cx="315595" cy="349250"/>
              <wp:effectExtent l="0" t="0" r="0" b="0"/>
              <wp:wrapNone/>
              <wp:docPr id="1318" name="Group 1318"/>
              <wp:cNvGraphicFramePr>
                <a:graphicFrameLocks/>
              </wp:cNvGraphicFramePr>
              <a:graphic>
                <a:graphicData uri="http://schemas.microsoft.com/office/word/2010/wordprocessingGroup">
                  <wpg:wgp>
                    <wpg:cNvPr id="1318" name="Group 1318"/>
                    <wpg:cNvGrpSpPr/>
                    <wpg:grpSpPr>
                      <a:xfrm>
                        <a:off x="0" y="0"/>
                        <a:ext cx="315595" cy="349250"/>
                        <a:chExt cx="315595" cy="349250"/>
                      </a:xfrm>
                    </wpg:grpSpPr>
                    <wps:wsp>
                      <wps:cNvPr id="1319" name="Graphic 1319"/>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320" name="Image 1320"/>
                        <pic:cNvPicPr/>
                      </pic:nvPicPr>
                      <pic:blipFill>
                        <a:blip r:embed="rId3" cstate="print"/>
                        <a:stretch>
                          <a:fillRect/>
                        </a:stretch>
                      </pic:blipFill>
                      <pic:spPr>
                        <a:xfrm>
                          <a:off x="39623" y="182618"/>
                          <a:ext cx="236220" cy="125102"/>
                        </a:xfrm>
                        <a:prstGeom prst="rect">
                          <a:avLst/>
                        </a:prstGeom>
                      </pic:spPr>
                    </pic:pic>
                    <wps:wsp>
                      <wps:cNvPr id="1321" name="Graphic 1321"/>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49152" id="docshapegroup965" coordorigin="6797,970" coordsize="497,550">
              <v:shape style="position:absolute;left:6859;top:1032;width:312;height:190" id="docshape966"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967" stroked="false">
                <v:imagedata r:id="rId3" o:title=""/>
              </v:shape>
              <v:shape style="position:absolute;left:6796;top:969;width:497;height:550" id="docshape968"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67840">
              <wp:simplePos x="0" y="0"/>
              <wp:positionH relativeFrom="page">
                <wp:posOffset>5571744</wp:posOffset>
              </wp:positionH>
              <wp:positionV relativeFrom="page">
                <wp:posOffset>704088</wp:posOffset>
              </wp:positionV>
              <wp:extent cx="608330" cy="76200"/>
              <wp:effectExtent l="0" t="0" r="0" b="0"/>
              <wp:wrapNone/>
              <wp:docPr id="1322" name="Graphic 1322"/>
              <wp:cNvGraphicFramePr>
                <a:graphicFrameLocks/>
              </wp:cNvGraphicFramePr>
              <a:graphic>
                <a:graphicData uri="http://schemas.microsoft.com/office/word/2010/wordprocessingShape">
                  <wps:wsp>
                    <wps:cNvPr id="1322" name="Graphic 1322"/>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48640" id="docshape969"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0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68352">
          <wp:simplePos x="0" y="0"/>
          <wp:positionH relativeFrom="page">
            <wp:posOffset>4315967</wp:posOffset>
          </wp:positionH>
          <wp:positionV relativeFrom="page">
            <wp:posOffset>525780</wp:posOffset>
          </wp:positionV>
          <wp:extent cx="316991" cy="70104"/>
          <wp:effectExtent l="0" t="0" r="0" b="0"/>
          <wp:wrapNone/>
          <wp:docPr id="1347" name="Image 1347"/>
          <wp:cNvGraphicFramePr>
            <a:graphicFrameLocks/>
          </wp:cNvGraphicFramePr>
          <a:graphic>
            <a:graphicData uri="http://schemas.openxmlformats.org/drawingml/2006/picture">
              <pic:pic>
                <pic:nvPicPr>
                  <pic:cNvPr id="1347" name="Image 1347"/>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68864">
              <wp:simplePos x="0" y="0"/>
              <wp:positionH relativeFrom="page">
                <wp:posOffset>5480303</wp:posOffset>
              </wp:positionH>
              <wp:positionV relativeFrom="page">
                <wp:posOffset>525780</wp:posOffset>
              </wp:positionV>
              <wp:extent cx="6350" cy="439420"/>
              <wp:effectExtent l="0" t="0" r="0" b="0"/>
              <wp:wrapNone/>
              <wp:docPr id="1348" name="Graphic 1348"/>
              <wp:cNvGraphicFramePr>
                <a:graphicFrameLocks/>
              </wp:cNvGraphicFramePr>
              <a:graphic>
                <a:graphicData uri="http://schemas.microsoft.com/office/word/2010/wordprocessingShape">
                  <wps:wsp>
                    <wps:cNvPr id="1348" name="Graphic 1348"/>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47616" id="docshape982" filled="true" fillcolor="#00587c" stroked="false">
              <v:fill type="solid"/>
              <w10:wrap type="none"/>
            </v:rect>
          </w:pict>
        </mc:Fallback>
      </mc:AlternateContent>
    </w:r>
    <w:r>
      <w:rPr>
        <w:sz w:val="20"/>
      </w:rPr>
      <w:drawing>
        <wp:anchor distT="0" distB="0" distL="0" distR="0" allowOverlap="1" layoutInCell="1" locked="0" behindDoc="1" simplePos="0" relativeHeight="474469376">
          <wp:simplePos x="0" y="0"/>
          <wp:positionH relativeFrom="page">
            <wp:posOffset>4721352</wp:posOffset>
          </wp:positionH>
          <wp:positionV relativeFrom="page">
            <wp:posOffset>612648</wp:posOffset>
          </wp:positionV>
          <wp:extent cx="681227" cy="292607"/>
          <wp:effectExtent l="0" t="0" r="0" b="0"/>
          <wp:wrapNone/>
          <wp:docPr id="1349" name="Image 1349"/>
          <wp:cNvGraphicFramePr>
            <a:graphicFrameLocks/>
          </wp:cNvGraphicFramePr>
          <a:graphic>
            <a:graphicData uri="http://schemas.openxmlformats.org/drawingml/2006/picture">
              <pic:pic>
                <pic:nvPicPr>
                  <pic:cNvPr id="1349" name="Image 1349"/>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69888">
              <wp:simplePos x="0" y="0"/>
              <wp:positionH relativeFrom="page">
                <wp:posOffset>4315967</wp:posOffset>
              </wp:positionH>
              <wp:positionV relativeFrom="page">
                <wp:posOffset>615696</wp:posOffset>
              </wp:positionV>
              <wp:extent cx="315595" cy="349250"/>
              <wp:effectExtent l="0" t="0" r="0" b="0"/>
              <wp:wrapNone/>
              <wp:docPr id="1350" name="Group 1350"/>
              <wp:cNvGraphicFramePr>
                <a:graphicFrameLocks/>
              </wp:cNvGraphicFramePr>
              <a:graphic>
                <a:graphicData uri="http://schemas.microsoft.com/office/word/2010/wordprocessingGroup">
                  <wpg:wgp>
                    <wpg:cNvPr id="1350" name="Group 1350"/>
                    <wpg:cNvGrpSpPr/>
                    <wpg:grpSpPr>
                      <a:xfrm>
                        <a:off x="0" y="0"/>
                        <a:ext cx="315595" cy="349250"/>
                        <a:chExt cx="315595" cy="349250"/>
                      </a:xfrm>
                    </wpg:grpSpPr>
                    <wps:wsp>
                      <wps:cNvPr id="1351" name="Graphic 1351"/>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352" name="Image 1352"/>
                        <pic:cNvPicPr/>
                      </pic:nvPicPr>
                      <pic:blipFill>
                        <a:blip r:embed="rId3" cstate="print"/>
                        <a:stretch>
                          <a:fillRect/>
                        </a:stretch>
                      </pic:blipFill>
                      <pic:spPr>
                        <a:xfrm>
                          <a:off x="39623" y="182618"/>
                          <a:ext cx="236220" cy="125102"/>
                        </a:xfrm>
                        <a:prstGeom prst="rect">
                          <a:avLst/>
                        </a:prstGeom>
                      </pic:spPr>
                    </pic:pic>
                    <wps:wsp>
                      <wps:cNvPr id="1353" name="Graphic 1353"/>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46592" id="docshapegroup983" coordorigin="6797,970" coordsize="497,550">
              <v:shape style="position:absolute;left:6859;top:1032;width:312;height:190" id="docshape984"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985" stroked="false">
                <v:imagedata r:id="rId3" o:title=""/>
              </v:shape>
              <v:shape style="position:absolute;left:6796;top:969;width:497;height:550" id="docshape986"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70400">
              <wp:simplePos x="0" y="0"/>
              <wp:positionH relativeFrom="page">
                <wp:posOffset>5571744</wp:posOffset>
              </wp:positionH>
              <wp:positionV relativeFrom="page">
                <wp:posOffset>704088</wp:posOffset>
              </wp:positionV>
              <wp:extent cx="608330" cy="76200"/>
              <wp:effectExtent l="0" t="0" r="0" b="0"/>
              <wp:wrapNone/>
              <wp:docPr id="1354" name="Graphic 1354"/>
              <wp:cNvGraphicFramePr>
                <a:graphicFrameLocks/>
              </wp:cNvGraphicFramePr>
              <a:graphic>
                <a:graphicData uri="http://schemas.microsoft.com/office/word/2010/wordprocessingShape">
                  <wps:wsp>
                    <wps:cNvPr id="1354" name="Graphic 1354"/>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46080" id="docshape987"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0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70912">
          <wp:simplePos x="0" y="0"/>
          <wp:positionH relativeFrom="page">
            <wp:posOffset>4315967</wp:posOffset>
          </wp:positionH>
          <wp:positionV relativeFrom="page">
            <wp:posOffset>525780</wp:posOffset>
          </wp:positionV>
          <wp:extent cx="316991" cy="70104"/>
          <wp:effectExtent l="0" t="0" r="0" b="0"/>
          <wp:wrapNone/>
          <wp:docPr id="1355" name="Image 1355"/>
          <wp:cNvGraphicFramePr>
            <a:graphicFrameLocks/>
          </wp:cNvGraphicFramePr>
          <a:graphic>
            <a:graphicData uri="http://schemas.openxmlformats.org/drawingml/2006/picture">
              <pic:pic>
                <pic:nvPicPr>
                  <pic:cNvPr id="1355" name="Image 1355"/>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71424">
              <wp:simplePos x="0" y="0"/>
              <wp:positionH relativeFrom="page">
                <wp:posOffset>5480303</wp:posOffset>
              </wp:positionH>
              <wp:positionV relativeFrom="page">
                <wp:posOffset>525780</wp:posOffset>
              </wp:positionV>
              <wp:extent cx="6350" cy="439420"/>
              <wp:effectExtent l="0" t="0" r="0" b="0"/>
              <wp:wrapNone/>
              <wp:docPr id="1356" name="Graphic 1356"/>
              <wp:cNvGraphicFramePr>
                <a:graphicFrameLocks/>
              </wp:cNvGraphicFramePr>
              <a:graphic>
                <a:graphicData uri="http://schemas.microsoft.com/office/word/2010/wordprocessingShape">
                  <wps:wsp>
                    <wps:cNvPr id="1356" name="Graphic 1356"/>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45056" id="docshape988" filled="true" fillcolor="#00587c" stroked="false">
              <v:fill type="solid"/>
              <w10:wrap type="none"/>
            </v:rect>
          </w:pict>
        </mc:Fallback>
      </mc:AlternateContent>
    </w:r>
    <w:r>
      <w:rPr>
        <w:sz w:val="20"/>
      </w:rPr>
      <w:drawing>
        <wp:anchor distT="0" distB="0" distL="0" distR="0" allowOverlap="1" layoutInCell="1" locked="0" behindDoc="1" simplePos="0" relativeHeight="474471936">
          <wp:simplePos x="0" y="0"/>
          <wp:positionH relativeFrom="page">
            <wp:posOffset>4721352</wp:posOffset>
          </wp:positionH>
          <wp:positionV relativeFrom="page">
            <wp:posOffset>612648</wp:posOffset>
          </wp:positionV>
          <wp:extent cx="681227" cy="292607"/>
          <wp:effectExtent l="0" t="0" r="0" b="0"/>
          <wp:wrapNone/>
          <wp:docPr id="1357" name="Image 1357"/>
          <wp:cNvGraphicFramePr>
            <a:graphicFrameLocks/>
          </wp:cNvGraphicFramePr>
          <a:graphic>
            <a:graphicData uri="http://schemas.openxmlformats.org/drawingml/2006/picture">
              <pic:pic>
                <pic:nvPicPr>
                  <pic:cNvPr id="1357" name="Image 1357"/>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72448">
              <wp:simplePos x="0" y="0"/>
              <wp:positionH relativeFrom="page">
                <wp:posOffset>4315967</wp:posOffset>
              </wp:positionH>
              <wp:positionV relativeFrom="page">
                <wp:posOffset>615696</wp:posOffset>
              </wp:positionV>
              <wp:extent cx="315595" cy="349250"/>
              <wp:effectExtent l="0" t="0" r="0" b="0"/>
              <wp:wrapNone/>
              <wp:docPr id="1358" name="Group 1358"/>
              <wp:cNvGraphicFramePr>
                <a:graphicFrameLocks/>
              </wp:cNvGraphicFramePr>
              <a:graphic>
                <a:graphicData uri="http://schemas.microsoft.com/office/word/2010/wordprocessingGroup">
                  <wpg:wgp>
                    <wpg:cNvPr id="1358" name="Group 1358"/>
                    <wpg:cNvGrpSpPr/>
                    <wpg:grpSpPr>
                      <a:xfrm>
                        <a:off x="0" y="0"/>
                        <a:ext cx="315595" cy="349250"/>
                        <a:chExt cx="315595" cy="349250"/>
                      </a:xfrm>
                    </wpg:grpSpPr>
                    <wps:wsp>
                      <wps:cNvPr id="1359" name="Graphic 1359"/>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360" name="Image 1360"/>
                        <pic:cNvPicPr/>
                      </pic:nvPicPr>
                      <pic:blipFill>
                        <a:blip r:embed="rId3" cstate="print"/>
                        <a:stretch>
                          <a:fillRect/>
                        </a:stretch>
                      </pic:blipFill>
                      <pic:spPr>
                        <a:xfrm>
                          <a:off x="39623" y="182618"/>
                          <a:ext cx="236220" cy="125102"/>
                        </a:xfrm>
                        <a:prstGeom prst="rect">
                          <a:avLst/>
                        </a:prstGeom>
                      </pic:spPr>
                    </pic:pic>
                    <wps:wsp>
                      <wps:cNvPr id="1361" name="Graphic 1361"/>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44032" id="docshapegroup989" coordorigin="6797,970" coordsize="497,550">
              <v:shape style="position:absolute;left:6859;top:1032;width:312;height:190" id="docshape990"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991" stroked="false">
                <v:imagedata r:id="rId3" o:title=""/>
              </v:shape>
              <v:shape style="position:absolute;left:6796;top:969;width:497;height:550" id="docshape992"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72960">
              <wp:simplePos x="0" y="0"/>
              <wp:positionH relativeFrom="page">
                <wp:posOffset>5571744</wp:posOffset>
              </wp:positionH>
              <wp:positionV relativeFrom="page">
                <wp:posOffset>704088</wp:posOffset>
              </wp:positionV>
              <wp:extent cx="608330" cy="76200"/>
              <wp:effectExtent l="0" t="0" r="0" b="0"/>
              <wp:wrapNone/>
              <wp:docPr id="1362" name="Graphic 1362"/>
              <wp:cNvGraphicFramePr>
                <a:graphicFrameLocks/>
              </wp:cNvGraphicFramePr>
              <a:graphic>
                <a:graphicData uri="http://schemas.microsoft.com/office/word/2010/wordprocessingShape">
                  <wps:wsp>
                    <wps:cNvPr id="1362" name="Graphic 1362"/>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43520" id="docshape993"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0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73472">
          <wp:simplePos x="0" y="0"/>
          <wp:positionH relativeFrom="page">
            <wp:posOffset>4315967</wp:posOffset>
          </wp:positionH>
          <wp:positionV relativeFrom="page">
            <wp:posOffset>525780</wp:posOffset>
          </wp:positionV>
          <wp:extent cx="316991" cy="70104"/>
          <wp:effectExtent l="0" t="0" r="0" b="0"/>
          <wp:wrapNone/>
          <wp:docPr id="1380" name="Image 1380"/>
          <wp:cNvGraphicFramePr>
            <a:graphicFrameLocks/>
          </wp:cNvGraphicFramePr>
          <a:graphic>
            <a:graphicData uri="http://schemas.openxmlformats.org/drawingml/2006/picture">
              <pic:pic>
                <pic:nvPicPr>
                  <pic:cNvPr id="1380" name="Image 138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73984">
              <wp:simplePos x="0" y="0"/>
              <wp:positionH relativeFrom="page">
                <wp:posOffset>5480303</wp:posOffset>
              </wp:positionH>
              <wp:positionV relativeFrom="page">
                <wp:posOffset>525780</wp:posOffset>
              </wp:positionV>
              <wp:extent cx="6350" cy="439420"/>
              <wp:effectExtent l="0" t="0" r="0" b="0"/>
              <wp:wrapNone/>
              <wp:docPr id="1381" name="Graphic 1381"/>
              <wp:cNvGraphicFramePr>
                <a:graphicFrameLocks/>
              </wp:cNvGraphicFramePr>
              <a:graphic>
                <a:graphicData uri="http://schemas.microsoft.com/office/word/2010/wordprocessingShape">
                  <wps:wsp>
                    <wps:cNvPr id="1381" name="Graphic 138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42496" id="docshape1005" filled="true" fillcolor="#00587c" stroked="false">
              <v:fill type="solid"/>
              <w10:wrap type="none"/>
            </v:rect>
          </w:pict>
        </mc:Fallback>
      </mc:AlternateContent>
    </w:r>
    <w:r>
      <w:rPr>
        <w:sz w:val="20"/>
      </w:rPr>
      <w:drawing>
        <wp:anchor distT="0" distB="0" distL="0" distR="0" allowOverlap="1" layoutInCell="1" locked="0" behindDoc="1" simplePos="0" relativeHeight="474474496">
          <wp:simplePos x="0" y="0"/>
          <wp:positionH relativeFrom="page">
            <wp:posOffset>4721352</wp:posOffset>
          </wp:positionH>
          <wp:positionV relativeFrom="page">
            <wp:posOffset>612648</wp:posOffset>
          </wp:positionV>
          <wp:extent cx="681227" cy="292607"/>
          <wp:effectExtent l="0" t="0" r="0" b="0"/>
          <wp:wrapNone/>
          <wp:docPr id="1382" name="Image 1382"/>
          <wp:cNvGraphicFramePr>
            <a:graphicFrameLocks/>
          </wp:cNvGraphicFramePr>
          <a:graphic>
            <a:graphicData uri="http://schemas.openxmlformats.org/drawingml/2006/picture">
              <pic:pic>
                <pic:nvPicPr>
                  <pic:cNvPr id="1382" name="Image 138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75008">
              <wp:simplePos x="0" y="0"/>
              <wp:positionH relativeFrom="page">
                <wp:posOffset>4315967</wp:posOffset>
              </wp:positionH>
              <wp:positionV relativeFrom="page">
                <wp:posOffset>615696</wp:posOffset>
              </wp:positionV>
              <wp:extent cx="315595" cy="349250"/>
              <wp:effectExtent l="0" t="0" r="0" b="0"/>
              <wp:wrapNone/>
              <wp:docPr id="1383" name="Group 1383"/>
              <wp:cNvGraphicFramePr>
                <a:graphicFrameLocks/>
              </wp:cNvGraphicFramePr>
              <a:graphic>
                <a:graphicData uri="http://schemas.microsoft.com/office/word/2010/wordprocessingGroup">
                  <wpg:wgp>
                    <wpg:cNvPr id="1383" name="Group 1383"/>
                    <wpg:cNvGrpSpPr/>
                    <wpg:grpSpPr>
                      <a:xfrm>
                        <a:off x="0" y="0"/>
                        <a:ext cx="315595" cy="349250"/>
                        <a:chExt cx="315595" cy="349250"/>
                      </a:xfrm>
                    </wpg:grpSpPr>
                    <wps:wsp>
                      <wps:cNvPr id="1384" name="Graphic 138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385" name="Image 1385"/>
                        <pic:cNvPicPr/>
                      </pic:nvPicPr>
                      <pic:blipFill>
                        <a:blip r:embed="rId3" cstate="print"/>
                        <a:stretch>
                          <a:fillRect/>
                        </a:stretch>
                      </pic:blipFill>
                      <pic:spPr>
                        <a:xfrm>
                          <a:off x="39623" y="182618"/>
                          <a:ext cx="236220" cy="125102"/>
                        </a:xfrm>
                        <a:prstGeom prst="rect">
                          <a:avLst/>
                        </a:prstGeom>
                      </pic:spPr>
                    </pic:pic>
                    <wps:wsp>
                      <wps:cNvPr id="1386" name="Graphic 138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41472" id="docshapegroup1006" coordorigin="6797,970" coordsize="497,550">
              <v:shape style="position:absolute;left:6859;top:1032;width:312;height:190" id="docshape1007"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008" stroked="false">
                <v:imagedata r:id="rId3" o:title=""/>
              </v:shape>
              <v:shape style="position:absolute;left:6796;top:969;width:497;height:550" id="docshape1009"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75520">
              <wp:simplePos x="0" y="0"/>
              <wp:positionH relativeFrom="page">
                <wp:posOffset>5571744</wp:posOffset>
              </wp:positionH>
              <wp:positionV relativeFrom="page">
                <wp:posOffset>704088</wp:posOffset>
              </wp:positionV>
              <wp:extent cx="608330" cy="76200"/>
              <wp:effectExtent l="0" t="0" r="0" b="0"/>
              <wp:wrapNone/>
              <wp:docPr id="1387" name="Graphic 1387"/>
              <wp:cNvGraphicFramePr>
                <a:graphicFrameLocks/>
              </wp:cNvGraphicFramePr>
              <a:graphic>
                <a:graphicData uri="http://schemas.microsoft.com/office/word/2010/wordprocessingShape">
                  <wps:wsp>
                    <wps:cNvPr id="1387" name="Graphic 138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40960" id="docshape1010"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0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76032">
          <wp:simplePos x="0" y="0"/>
          <wp:positionH relativeFrom="page">
            <wp:posOffset>4315967</wp:posOffset>
          </wp:positionH>
          <wp:positionV relativeFrom="page">
            <wp:posOffset>525780</wp:posOffset>
          </wp:positionV>
          <wp:extent cx="316991" cy="70104"/>
          <wp:effectExtent l="0" t="0" r="0" b="0"/>
          <wp:wrapNone/>
          <wp:docPr id="1388" name="Image 1388"/>
          <wp:cNvGraphicFramePr>
            <a:graphicFrameLocks/>
          </wp:cNvGraphicFramePr>
          <a:graphic>
            <a:graphicData uri="http://schemas.openxmlformats.org/drawingml/2006/picture">
              <pic:pic>
                <pic:nvPicPr>
                  <pic:cNvPr id="1388" name="Image 138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76544">
              <wp:simplePos x="0" y="0"/>
              <wp:positionH relativeFrom="page">
                <wp:posOffset>5480303</wp:posOffset>
              </wp:positionH>
              <wp:positionV relativeFrom="page">
                <wp:posOffset>525780</wp:posOffset>
              </wp:positionV>
              <wp:extent cx="6350" cy="439420"/>
              <wp:effectExtent l="0" t="0" r="0" b="0"/>
              <wp:wrapNone/>
              <wp:docPr id="1389" name="Graphic 1389"/>
              <wp:cNvGraphicFramePr>
                <a:graphicFrameLocks/>
              </wp:cNvGraphicFramePr>
              <a:graphic>
                <a:graphicData uri="http://schemas.microsoft.com/office/word/2010/wordprocessingShape">
                  <wps:wsp>
                    <wps:cNvPr id="1389" name="Graphic 138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39936" id="docshape1011" filled="true" fillcolor="#00587c" stroked="false">
              <v:fill type="solid"/>
              <w10:wrap type="none"/>
            </v:rect>
          </w:pict>
        </mc:Fallback>
      </mc:AlternateContent>
    </w:r>
    <w:r>
      <w:rPr>
        <w:sz w:val="20"/>
      </w:rPr>
      <w:drawing>
        <wp:anchor distT="0" distB="0" distL="0" distR="0" allowOverlap="1" layoutInCell="1" locked="0" behindDoc="1" simplePos="0" relativeHeight="474477056">
          <wp:simplePos x="0" y="0"/>
          <wp:positionH relativeFrom="page">
            <wp:posOffset>4721352</wp:posOffset>
          </wp:positionH>
          <wp:positionV relativeFrom="page">
            <wp:posOffset>612648</wp:posOffset>
          </wp:positionV>
          <wp:extent cx="681227" cy="292607"/>
          <wp:effectExtent l="0" t="0" r="0" b="0"/>
          <wp:wrapNone/>
          <wp:docPr id="1390" name="Image 1390"/>
          <wp:cNvGraphicFramePr>
            <a:graphicFrameLocks/>
          </wp:cNvGraphicFramePr>
          <a:graphic>
            <a:graphicData uri="http://schemas.openxmlformats.org/drawingml/2006/picture">
              <pic:pic>
                <pic:nvPicPr>
                  <pic:cNvPr id="1390" name="Image 139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77568">
              <wp:simplePos x="0" y="0"/>
              <wp:positionH relativeFrom="page">
                <wp:posOffset>4315967</wp:posOffset>
              </wp:positionH>
              <wp:positionV relativeFrom="page">
                <wp:posOffset>615696</wp:posOffset>
              </wp:positionV>
              <wp:extent cx="315595" cy="349250"/>
              <wp:effectExtent l="0" t="0" r="0" b="0"/>
              <wp:wrapNone/>
              <wp:docPr id="1391" name="Group 1391"/>
              <wp:cNvGraphicFramePr>
                <a:graphicFrameLocks/>
              </wp:cNvGraphicFramePr>
              <a:graphic>
                <a:graphicData uri="http://schemas.microsoft.com/office/word/2010/wordprocessingGroup">
                  <wpg:wgp>
                    <wpg:cNvPr id="1391" name="Group 1391"/>
                    <wpg:cNvGrpSpPr/>
                    <wpg:grpSpPr>
                      <a:xfrm>
                        <a:off x="0" y="0"/>
                        <a:ext cx="315595" cy="349250"/>
                        <a:chExt cx="315595" cy="349250"/>
                      </a:xfrm>
                    </wpg:grpSpPr>
                    <wps:wsp>
                      <wps:cNvPr id="1392" name="Graphic 139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393" name="Image 1393"/>
                        <pic:cNvPicPr/>
                      </pic:nvPicPr>
                      <pic:blipFill>
                        <a:blip r:embed="rId3" cstate="print"/>
                        <a:stretch>
                          <a:fillRect/>
                        </a:stretch>
                      </pic:blipFill>
                      <pic:spPr>
                        <a:xfrm>
                          <a:off x="39623" y="182618"/>
                          <a:ext cx="236220" cy="125102"/>
                        </a:xfrm>
                        <a:prstGeom prst="rect">
                          <a:avLst/>
                        </a:prstGeom>
                      </pic:spPr>
                    </pic:pic>
                    <wps:wsp>
                      <wps:cNvPr id="1394" name="Graphic 139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38912" id="docshapegroup1012" coordorigin="6797,970" coordsize="497,550">
              <v:shape style="position:absolute;left:6859;top:1032;width:312;height:190" id="docshape101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014" stroked="false">
                <v:imagedata r:id="rId3" o:title=""/>
              </v:shape>
              <v:shape style="position:absolute;left:6796;top:969;width:497;height:550" id="docshape101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78080">
              <wp:simplePos x="0" y="0"/>
              <wp:positionH relativeFrom="page">
                <wp:posOffset>5571744</wp:posOffset>
              </wp:positionH>
              <wp:positionV relativeFrom="page">
                <wp:posOffset>704088</wp:posOffset>
              </wp:positionV>
              <wp:extent cx="608330" cy="76200"/>
              <wp:effectExtent l="0" t="0" r="0" b="0"/>
              <wp:wrapNone/>
              <wp:docPr id="1395" name="Graphic 1395"/>
              <wp:cNvGraphicFramePr>
                <a:graphicFrameLocks/>
              </wp:cNvGraphicFramePr>
              <a:graphic>
                <a:graphicData uri="http://schemas.microsoft.com/office/word/2010/wordprocessingShape">
                  <wps:wsp>
                    <wps:cNvPr id="1395" name="Graphic 139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38400" id="docshape101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0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78592">
          <wp:simplePos x="0" y="0"/>
          <wp:positionH relativeFrom="page">
            <wp:posOffset>4315967</wp:posOffset>
          </wp:positionH>
          <wp:positionV relativeFrom="page">
            <wp:posOffset>525780</wp:posOffset>
          </wp:positionV>
          <wp:extent cx="316991" cy="70104"/>
          <wp:effectExtent l="0" t="0" r="0" b="0"/>
          <wp:wrapNone/>
          <wp:docPr id="1420" name="Image 1420"/>
          <wp:cNvGraphicFramePr>
            <a:graphicFrameLocks/>
          </wp:cNvGraphicFramePr>
          <a:graphic>
            <a:graphicData uri="http://schemas.openxmlformats.org/drawingml/2006/picture">
              <pic:pic>
                <pic:nvPicPr>
                  <pic:cNvPr id="1420" name="Image 142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79104">
              <wp:simplePos x="0" y="0"/>
              <wp:positionH relativeFrom="page">
                <wp:posOffset>5480303</wp:posOffset>
              </wp:positionH>
              <wp:positionV relativeFrom="page">
                <wp:posOffset>525780</wp:posOffset>
              </wp:positionV>
              <wp:extent cx="6350" cy="439420"/>
              <wp:effectExtent l="0" t="0" r="0" b="0"/>
              <wp:wrapNone/>
              <wp:docPr id="1421" name="Graphic 1421"/>
              <wp:cNvGraphicFramePr>
                <a:graphicFrameLocks/>
              </wp:cNvGraphicFramePr>
              <a:graphic>
                <a:graphicData uri="http://schemas.microsoft.com/office/word/2010/wordprocessingShape">
                  <wps:wsp>
                    <wps:cNvPr id="1421" name="Graphic 142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37376" id="docshape1029" filled="true" fillcolor="#00587c" stroked="false">
              <v:fill type="solid"/>
              <w10:wrap type="none"/>
            </v:rect>
          </w:pict>
        </mc:Fallback>
      </mc:AlternateContent>
    </w:r>
    <w:r>
      <w:rPr>
        <w:sz w:val="20"/>
      </w:rPr>
      <w:drawing>
        <wp:anchor distT="0" distB="0" distL="0" distR="0" allowOverlap="1" layoutInCell="1" locked="0" behindDoc="1" simplePos="0" relativeHeight="474479616">
          <wp:simplePos x="0" y="0"/>
          <wp:positionH relativeFrom="page">
            <wp:posOffset>4721352</wp:posOffset>
          </wp:positionH>
          <wp:positionV relativeFrom="page">
            <wp:posOffset>612648</wp:posOffset>
          </wp:positionV>
          <wp:extent cx="681227" cy="292607"/>
          <wp:effectExtent l="0" t="0" r="0" b="0"/>
          <wp:wrapNone/>
          <wp:docPr id="1422" name="Image 1422"/>
          <wp:cNvGraphicFramePr>
            <a:graphicFrameLocks/>
          </wp:cNvGraphicFramePr>
          <a:graphic>
            <a:graphicData uri="http://schemas.openxmlformats.org/drawingml/2006/picture">
              <pic:pic>
                <pic:nvPicPr>
                  <pic:cNvPr id="1422" name="Image 142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80128">
              <wp:simplePos x="0" y="0"/>
              <wp:positionH relativeFrom="page">
                <wp:posOffset>4315967</wp:posOffset>
              </wp:positionH>
              <wp:positionV relativeFrom="page">
                <wp:posOffset>615696</wp:posOffset>
              </wp:positionV>
              <wp:extent cx="315595" cy="349250"/>
              <wp:effectExtent l="0" t="0" r="0" b="0"/>
              <wp:wrapNone/>
              <wp:docPr id="1423" name="Group 1423"/>
              <wp:cNvGraphicFramePr>
                <a:graphicFrameLocks/>
              </wp:cNvGraphicFramePr>
              <a:graphic>
                <a:graphicData uri="http://schemas.microsoft.com/office/word/2010/wordprocessingGroup">
                  <wpg:wgp>
                    <wpg:cNvPr id="1423" name="Group 1423"/>
                    <wpg:cNvGrpSpPr/>
                    <wpg:grpSpPr>
                      <a:xfrm>
                        <a:off x="0" y="0"/>
                        <a:ext cx="315595" cy="349250"/>
                        <a:chExt cx="315595" cy="349250"/>
                      </a:xfrm>
                    </wpg:grpSpPr>
                    <wps:wsp>
                      <wps:cNvPr id="1424" name="Graphic 142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425" name="Image 1425"/>
                        <pic:cNvPicPr/>
                      </pic:nvPicPr>
                      <pic:blipFill>
                        <a:blip r:embed="rId3" cstate="print"/>
                        <a:stretch>
                          <a:fillRect/>
                        </a:stretch>
                      </pic:blipFill>
                      <pic:spPr>
                        <a:xfrm>
                          <a:off x="39623" y="182618"/>
                          <a:ext cx="236220" cy="125102"/>
                        </a:xfrm>
                        <a:prstGeom prst="rect">
                          <a:avLst/>
                        </a:prstGeom>
                      </pic:spPr>
                    </pic:pic>
                    <wps:wsp>
                      <wps:cNvPr id="1426" name="Graphic 142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36352" id="docshapegroup1030" coordorigin="6797,970" coordsize="497,550">
              <v:shape style="position:absolute;left:6859;top:1032;width:312;height:190" id="docshape1031"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032" stroked="false">
                <v:imagedata r:id="rId3" o:title=""/>
              </v:shape>
              <v:shape style="position:absolute;left:6796;top:969;width:497;height:550" id="docshape1033"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80640">
              <wp:simplePos x="0" y="0"/>
              <wp:positionH relativeFrom="page">
                <wp:posOffset>5571744</wp:posOffset>
              </wp:positionH>
              <wp:positionV relativeFrom="page">
                <wp:posOffset>704088</wp:posOffset>
              </wp:positionV>
              <wp:extent cx="608330" cy="76200"/>
              <wp:effectExtent l="0" t="0" r="0" b="0"/>
              <wp:wrapNone/>
              <wp:docPr id="1427" name="Graphic 1427"/>
              <wp:cNvGraphicFramePr>
                <a:graphicFrameLocks/>
              </wp:cNvGraphicFramePr>
              <a:graphic>
                <a:graphicData uri="http://schemas.microsoft.com/office/word/2010/wordprocessingShape">
                  <wps:wsp>
                    <wps:cNvPr id="1427" name="Graphic 142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35840" id="docshape1034"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0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81152">
          <wp:simplePos x="0" y="0"/>
          <wp:positionH relativeFrom="page">
            <wp:posOffset>4315967</wp:posOffset>
          </wp:positionH>
          <wp:positionV relativeFrom="page">
            <wp:posOffset>525780</wp:posOffset>
          </wp:positionV>
          <wp:extent cx="316991" cy="70104"/>
          <wp:effectExtent l="0" t="0" r="0" b="0"/>
          <wp:wrapNone/>
          <wp:docPr id="1428" name="Image 1428"/>
          <wp:cNvGraphicFramePr>
            <a:graphicFrameLocks/>
          </wp:cNvGraphicFramePr>
          <a:graphic>
            <a:graphicData uri="http://schemas.openxmlformats.org/drawingml/2006/picture">
              <pic:pic>
                <pic:nvPicPr>
                  <pic:cNvPr id="1428" name="Image 142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81664">
              <wp:simplePos x="0" y="0"/>
              <wp:positionH relativeFrom="page">
                <wp:posOffset>5480303</wp:posOffset>
              </wp:positionH>
              <wp:positionV relativeFrom="page">
                <wp:posOffset>525780</wp:posOffset>
              </wp:positionV>
              <wp:extent cx="6350" cy="439420"/>
              <wp:effectExtent l="0" t="0" r="0" b="0"/>
              <wp:wrapNone/>
              <wp:docPr id="1429" name="Graphic 1429"/>
              <wp:cNvGraphicFramePr>
                <a:graphicFrameLocks/>
              </wp:cNvGraphicFramePr>
              <a:graphic>
                <a:graphicData uri="http://schemas.microsoft.com/office/word/2010/wordprocessingShape">
                  <wps:wsp>
                    <wps:cNvPr id="1429" name="Graphic 142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34816" id="docshape1035" filled="true" fillcolor="#00587c" stroked="false">
              <v:fill type="solid"/>
              <w10:wrap type="none"/>
            </v:rect>
          </w:pict>
        </mc:Fallback>
      </mc:AlternateContent>
    </w:r>
    <w:r>
      <w:rPr>
        <w:sz w:val="20"/>
      </w:rPr>
      <w:drawing>
        <wp:anchor distT="0" distB="0" distL="0" distR="0" allowOverlap="1" layoutInCell="1" locked="0" behindDoc="1" simplePos="0" relativeHeight="474482176">
          <wp:simplePos x="0" y="0"/>
          <wp:positionH relativeFrom="page">
            <wp:posOffset>4721352</wp:posOffset>
          </wp:positionH>
          <wp:positionV relativeFrom="page">
            <wp:posOffset>612648</wp:posOffset>
          </wp:positionV>
          <wp:extent cx="681227" cy="292607"/>
          <wp:effectExtent l="0" t="0" r="0" b="0"/>
          <wp:wrapNone/>
          <wp:docPr id="1430" name="Image 1430"/>
          <wp:cNvGraphicFramePr>
            <a:graphicFrameLocks/>
          </wp:cNvGraphicFramePr>
          <a:graphic>
            <a:graphicData uri="http://schemas.openxmlformats.org/drawingml/2006/picture">
              <pic:pic>
                <pic:nvPicPr>
                  <pic:cNvPr id="1430" name="Image 143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82688">
              <wp:simplePos x="0" y="0"/>
              <wp:positionH relativeFrom="page">
                <wp:posOffset>4315967</wp:posOffset>
              </wp:positionH>
              <wp:positionV relativeFrom="page">
                <wp:posOffset>615696</wp:posOffset>
              </wp:positionV>
              <wp:extent cx="315595" cy="349250"/>
              <wp:effectExtent l="0" t="0" r="0" b="0"/>
              <wp:wrapNone/>
              <wp:docPr id="1431" name="Group 1431"/>
              <wp:cNvGraphicFramePr>
                <a:graphicFrameLocks/>
              </wp:cNvGraphicFramePr>
              <a:graphic>
                <a:graphicData uri="http://schemas.microsoft.com/office/word/2010/wordprocessingGroup">
                  <wpg:wgp>
                    <wpg:cNvPr id="1431" name="Group 1431"/>
                    <wpg:cNvGrpSpPr/>
                    <wpg:grpSpPr>
                      <a:xfrm>
                        <a:off x="0" y="0"/>
                        <a:ext cx="315595" cy="349250"/>
                        <a:chExt cx="315595" cy="349250"/>
                      </a:xfrm>
                    </wpg:grpSpPr>
                    <wps:wsp>
                      <wps:cNvPr id="1432" name="Graphic 143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433" name="Image 1433"/>
                        <pic:cNvPicPr/>
                      </pic:nvPicPr>
                      <pic:blipFill>
                        <a:blip r:embed="rId3" cstate="print"/>
                        <a:stretch>
                          <a:fillRect/>
                        </a:stretch>
                      </pic:blipFill>
                      <pic:spPr>
                        <a:xfrm>
                          <a:off x="39623" y="182618"/>
                          <a:ext cx="236220" cy="125102"/>
                        </a:xfrm>
                        <a:prstGeom prst="rect">
                          <a:avLst/>
                        </a:prstGeom>
                      </pic:spPr>
                    </pic:pic>
                    <wps:wsp>
                      <wps:cNvPr id="1434" name="Graphic 143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33792" id="docshapegroup1036" coordorigin="6797,970" coordsize="497,550">
              <v:shape style="position:absolute;left:6859;top:1032;width:312;height:190" id="docshape1037"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038" stroked="false">
                <v:imagedata r:id="rId3" o:title=""/>
              </v:shape>
              <v:shape style="position:absolute;left:6796;top:969;width:497;height:550" id="docshape1039"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83200">
              <wp:simplePos x="0" y="0"/>
              <wp:positionH relativeFrom="page">
                <wp:posOffset>5571744</wp:posOffset>
              </wp:positionH>
              <wp:positionV relativeFrom="page">
                <wp:posOffset>704088</wp:posOffset>
              </wp:positionV>
              <wp:extent cx="608330" cy="76200"/>
              <wp:effectExtent l="0" t="0" r="0" b="0"/>
              <wp:wrapNone/>
              <wp:docPr id="1435" name="Graphic 1435"/>
              <wp:cNvGraphicFramePr>
                <a:graphicFrameLocks/>
              </wp:cNvGraphicFramePr>
              <a:graphic>
                <a:graphicData uri="http://schemas.microsoft.com/office/word/2010/wordprocessingShape">
                  <wps:wsp>
                    <wps:cNvPr id="1435" name="Graphic 143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33280" id="docshape1040"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0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86784">
          <wp:simplePos x="0" y="0"/>
          <wp:positionH relativeFrom="page">
            <wp:posOffset>4315967</wp:posOffset>
          </wp:positionH>
          <wp:positionV relativeFrom="page">
            <wp:posOffset>525780</wp:posOffset>
          </wp:positionV>
          <wp:extent cx="316991" cy="70104"/>
          <wp:effectExtent l="0" t="0" r="0" b="0"/>
          <wp:wrapNone/>
          <wp:docPr id="1510" name="Image 1510"/>
          <wp:cNvGraphicFramePr>
            <a:graphicFrameLocks/>
          </wp:cNvGraphicFramePr>
          <a:graphic>
            <a:graphicData uri="http://schemas.openxmlformats.org/drawingml/2006/picture">
              <pic:pic>
                <pic:nvPicPr>
                  <pic:cNvPr id="1510" name="Image 151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87296">
              <wp:simplePos x="0" y="0"/>
              <wp:positionH relativeFrom="page">
                <wp:posOffset>5480303</wp:posOffset>
              </wp:positionH>
              <wp:positionV relativeFrom="page">
                <wp:posOffset>525780</wp:posOffset>
              </wp:positionV>
              <wp:extent cx="6350" cy="439420"/>
              <wp:effectExtent l="0" t="0" r="0" b="0"/>
              <wp:wrapNone/>
              <wp:docPr id="1511" name="Graphic 1511"/>
              <wp:cNvGraphicFramePr>
                <a:graphicFrameLocks/>
              </wp:cNvGraphicFramePr>
              <a:graphic>
                <a:graphicData uri="http://schemas.microsoft.com/office/word/2010/wordprocessingShape">
                  <wps:wsp>
                    <wps:cNvPr id="1511" name="Graphic 151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29184" id="docshape1108" filled="true" fillcolor="#00587c" stroked="false">
              <v:fill type="solid"/>
              <w10:wrap type="none"/>
            </v:rect>
          </w:pict>
        </mc:Fallback>
      </mc:AlternateContent>
    </w:r>
    <w:r>
      <w:rPr>
        <w:sz w:val="20"/>
      </w:rPr>
      <w:drawing>
        <wp:anchor distT="0" distB="0" distL="0" distR="0" allowOverlap="1" layoutInCell="1" locked="0" behindDoc="1" simplePos="0" relativeHeight="474487808">
          <wp:simplePos x="0" y="0"/>
          <wp:positionH relativeFrom="page">
            <wp:posOffset>4721352</wp:posOffset>
          </wp:positionH>
          <wp:positionV relativeFrom="page">
            <wp:posOffset>612648</wp:posOffset>
          </wp:positionV>
          <wp:extent cx="681227" cy="292607"/>
          <wp:effectExtent l="0" t="0" r="0" b="0"/>
          <wp:wrapNone/>
          <wp:docPr id="1512" name="Image 1512"/>
          <wp:cNvGraphicFramePr>
            <a:graphicFrameLocks/>
          </wp:cNvGraphicFramePr>
          <a:graphic>
            <a:graphicData uri="http://schemas.openxmlformats.org/drawingml/2006/picture">
              <pic:pic>
                <pic:nvPicPr>
                  <pic:cNvPr id="1512" name="Image 151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88320">
              <wp:simplePos x="0" y="0"/>
              <wp:positionH relativeFrom="page">
                <wp:posOffset>4315967</wp:posOffset>
              </wp:positionH>
              <wp:positionV relativeFrom="page">
                <wp:posOffset>615696</wp:posOffset>
              </wp:positionV>
              <wp:extent cx="315595" cy="349250"/>
              <wp:effectExtent l="0" t="0" r="0" b="0"/>
              <wp:wrapNone/>
              <wp:docPr id="1513" name="Group 1513"/>
              <wp:cNvGraphicFramePr>
                <a:graphicFrameLocks/>
              </wp:cNvGraphicFramePr>
              <a:graphic>
                <a:graphicData uri="http://schemas.microsoft.com/office/word/2010/wordprocessingGroup">
                  <wpg:wgp>
                    <wpg:cNvPr id="1513" name="Group 1513"/>
                    <wpg:cNvGrpSpPr/>
                    <wpg:grpSpPr>
                      <a:xfrm>
                        <a:off x="0" y="0"/>
                        <a:ext cx="315595" cy="349250"/>
                        <a:chExt cx="315595" cy="349250"/>
                      </a:xfrm>
                    </wpg:grpSpPr>
                    <wps:wsp>
                      <wps:cNvPr id="1514" name="Graphic 151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515" name="Image 1515"/>
                        <pic:cNvPicPr/>
                      </pic:nvPicPr>
                      <pic:blipFill>
                        <a:blip r:embed="rId3" cstate="print"/>
                        <a:stretch>
                          <a:fillRect/>
                        </a:stretch>
                      </pic:blipFill>
                      <pic:spPr>
                        <a:xfrm>
                          <a:off x="39623" y="182618"/>
                          <a:ext cx="236220" cy="125102"/>
                        </a:xfrm>
                        <a:prstGeom prst="rect">
                          <a:avLst/>
                        </a:prstGeom>
                      </pic:spPr>
                    </pic:pic>
                    <wps:wsp>
                      <wps:cNvPr id="1516" name="Graphic 151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28160" id="docshapegroup1109" coordorigin="6797,970" coordsize="497,550">
              <v:shape style="position:absolute;left:6859;top:1032;width:312;height:190" id="docshape1110"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111" stroked="false">
                <v:imagedata r:id="rId3" o:title=""/>
              </v:shape>
              <v:shape style="position:absolute;left:6796;top:969;width:497;height:550" id="docshape1112"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88832">
              <wp:simplePos x="0" y="0"/>
              <wp:positionH relativeFrom="page">
                <wp:posOffset>5571744</wp:posOffset>
              </wp:positionH>
              <wp:positionV relativeFrom="page">
                <wp:posOffset>704088</wp:posOffset>
              </wp:positionV>
              <wp:extent cx="608330" cy="76200"/>
              <wp:effectExtent l="0" t="0" r="0" b="0"/>
              <wp:wrapNone/>
              <wp:docPr id="1517" name="Graphic 1517"/>
              <wp:cNvGraphicFramePr>
                <a:graphicFrameLocks/>
              </wp:cNvGraphicFramePr>
              <a:graphic>
                <a:graphicData uri="http://schemas.microsoft.com/office/word/2010/wordprocessingShape">
                  <wps:wsp>
                    <wps:cNvPr id="1517" name="Graphic 151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27648" id="docshape1113"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75328">
          <wp:simplePos x="0" y="0"/>
          <wp:positionH relativeFrom="page">
            <wp:posOffset>5068570</wp:posOffset>
          </wp:positionH>
          <wp:positionV relativeFrom="page">
            <wp:posOffset>611250</wp:posOffset>
          </wp:positionV>
          <wp:extent cx="1767204" cy="99695"/>
          <wp:effectExtent l="0" t="0" r="0" b="0"/>
          <wp:wrapNone/>
          <wp:docPr id="25" name="Image 25"/>
          <wp:cNvGraphicFramePr>
            <a:graphicFrameLocks/>
          </wp:cNvGraphicFramePr>
          <a:graphic>
            <a:graphicData uri="http://schemas.openxmlformats.org/drawingml/2006/picture">
              <pic:pic>
                <pic:nvPicPr>
                  <pic:cNvPr id="25" name="Image 25"/>
                  <pic:cNvPicPr/>
                </pic:nvPicPr>
                <pic:blipFill>
                  <a:blip r:embed="rId1" cstate="print"/>
                  <a:stretch>
                    <a:fillRect/>
                  </a:stretch>
                </pic:blipFill>
                <pic:spPr>
                  <a:xfrm>
                    <a:off x="0" y="0"/>
                    <a:ext cx="1767204" cy="99695"/>
                  </a:xfrm>
                  <a:prstGeom prst="rect">
                    <a:avLst/>
                  </a:prstGeom>
                </pic:spPr>
              </pic:pic>
            </a:graphicData>
          </a:graphic>
        </wp:anchor>
      </w:drawing>
    </w:r>
  </w:p>
</w:hdr>
</file>

<file path=word/header1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89344">
          <wp:simplePos x="0" y="0"/>
          <wp:positionH relativeFrom="page">
            <wp:posOffset>4315967</wp:posOffset>
          </wp:positionH>
          <wp:positionV relativeFrom="page">
            <wp:posOffset>525780</wp:posOffset>
          </wp:positionV>
          <wp:extent cx="316991" cy="70104"/>
          <wp:effectExtent l="0" t="0" r="0" b="0"/>
          <wp:wrapNone/>
          <wp:docPr id="1518" name="Image 1518"/>
          <wp:cNvGraphicFramePr>
            <a:graphicFrameLocks/>
          </wp:cNvGraphicFramePr>
          <a:graphic>
            <a:graphicData uri="http://schemas.openxmlformats.org/drawingml/2006/picture">
              <pic:pic>
                <pic:nvPicPr>
                  <pic:cNvPr id="1518" name="Image 151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89856">
              <wp:simplePos x="0" y="0"/>
              <wp:positionH relativeFrom="page">
                <wp:posOffset>5480303</wp:posOffset>
              </wp:positionH>
              <wp:positionV relativeFrom="page">
                <wp:posOffset>525780</wp:posOffset>
              </wp:positionV>
              <wp:extent cx="6350" cy="439420"/>
              <wp:effectExtent l="0" t="0" r="0" b="0"/>
              <wp:wrapNone/>
              <wp:docPr id="1519" name="Graphic 1519"/>
              <wp:cNvGraphicFramePr>
                <a:graphicFrameLocks/>
              </wp:cNvGraphicFramePr>
              <a:graphic>
                <a:graphicData uri="http://schemas.microsoft.com/office/word/2010/wordprocessingShape">
                  <wps:wsp>
                    <wps:cNvPr id="1519" name="Graphic 151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26624" id="docshape1114" filled="true" fillcolor="#00587c" stroked="false">
              <v:fill type="solid"/>
              <w10:wrap type="none"/>
            </v:rect>
          </w:pict>
        </mc:Fallback>
      </mc:AlternateContent>
    </w:r>
    <w:r>
      <w:rPr>
        <w:sz w:val="20"/>
      </w:rPr>
      <w:drawing>
        <wp:anchor distT="0" distB="0" distL="0" distR="0" allowOverlap="1" layoutInCell="1" locked="0" behindDoc="1" simplePos="0" relativeHeight="474490368">
          <wp:simplePos x="0" y="0"/>
          <wp:positionH relativeFrom="page">
            <wp:posOffset>4721352</wp:posOffset>
          </wp:positionH>
          <wp:positionV relativeFrom="page">
            <wp:posOffset>612648</wp:posOffset>
          </wp:positionV>
          <wp:extent cx="681227" cy="292607"/>
          <wp:effectExtent l="0" t="0" r="0" b="0"/>
          <wp:wrapNone/>
          <wp:docPr id="1520" name="Image 1520"/>
          <wp:cNvGraphicFramePr>
            <a:graphicFrameLocks/>
          </wp:cNvGraphicFramePr>
          <a:graphic>
            <a:graphicData uri="http://schemas.openxmlformats.org/drawingml/2006/picture">
              <pic:pic>
                <pic:nvPicPr>
                  <pic:cNvPr id="1520" name="Image 152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90880">
              <wp:simplePos x="0" y="0"/>
              <wp:positionH relativeFrom="page">
                <wp:posOffset>4315967</wp:posOffset>
              </wp:positionH>
              <wp:positionV relativeFrom="page">
                <wp:posOffset>615696</wp:posOffset>
              </wp:positionV>
              <wp:extent cx="315595" cy="349250"/>
              <wp:effectExtent l="0" t="0" r="0" b="0"/>
              <wp:wrapNone/>
              <wp:docPr id="1521" name="Group 1521"/>
              <wp:cNvGraphicFramePr>
                <a:graphicFrameLocks/>
              </wp:cNvGraphicFramePr>
              <a:graphic>
                <a:graphicData uri="http://schemas.microsoft.com/office/word/2010/wordprocessingGroup">
                  <wpg:wgp>
                    <wpg:cNvPr id="1521" name="Group 1521"/>
                    <wpg:cNvGrpSpPr/>
                    <wpg:grpSpPr>
                      <a:xfrm>
                        <a:off x="0" y="0"/>
                        <a:ext cx="315595" cy="349250"/>
                        <a:chExt cx="315595" cy="349250"/>
                      </a:xfrm>
                    </wpg:grpSpPr>
                    <wps:wsp>
                      <wps:cNvPr id="1522" name="Graphic 152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523" name="Image 1523"/>
                        <pic:cNvPicPr/>
                      </pic:nvPicPr>
                      <pic:blipFill>
                        <a:blip r:embed="rId3" cstate="print"/>
                        <a:stretch>
                          <a:fillRect/>
                        </a:stretch>
                      </pic:blipFill>
                      <pic:spPr>
                        <a:xfrm>
                          <a:off x="39623" y="182618"/>
                          <a:ext cx="236220" cy="125102"/>
                        </a:xfrm>
                        <a:prstGeom prst="rect">
                          <a:avLst/>
                        </a:prstGeom>
                      </pic:spPr>
                    </pic:pic>
                    <wps:wsp>
                      <wps:cNvPr id="1524" name="Graphic 152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25600" id="docshapegroup1115" coordorigin="6797,970" coordsize="497,550">
              <v:shape style="position:absolute;left:6859;top:1032;width:312;height:190" id="docshape1116"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117" stroked="false">
                <v:imagedata r:id="rId3" o:title=""/>
              </v:shape>
              <v:shape style="position:absolute;left:6796;top:969;width:497;height:550" id="docshape1118"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91392">
              <wp:simplePos x="0" y="0"/>
              <wp:positionH relativeFrom="page">
                <wp:posOffset>5571744</wp:posOffset>
              </wp:positionH>
              <wp:positionV relativeFrom="page">
                <wp:posOffset>704088</wp:posOffset>
              </wp:positionV>
              <wp:extent cx="608330" cy="76200"/>
              <wp:effectExtent l="0" t="0" r="0" b="0"/>
              <wp:wrapNone/>
              <wp:docPr id="1525" name="Graphic 1525"/>
              <wp:cNvGraphicFramePr>
                <a:graphicFrameLocks/>
              </wp:cNvGraphicFramePr>
              <a:graphic>
                <a:graphicData uri="http://schemas.microsoft.com/office/word/2010/wordprocessingShape">
                  <wps:wsp>
                    <wps:cNvPr id="1525" name="Graphic 152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25088" id="docshape1119"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94976">
          <wp:simplePos x="0" y="0"/>
          <wp:positionH relativeFrom="page">
            <wp:posOffset>4315967</wp:posOffset>
          </wp:positionH>
          <wp:positionV relativeFrom="page">
            <wp:posOffset>525780</wp:posOffset>
          </wp:positionV>
          <wp:extent cx="316991" cy="70104"/>
          <wp:effectExtent l="0" t="0" r="0" b="0"/>
          <wp:wrapNone/>
          <wp:docPr id="1599" name="Image 1599"/>
          <wp:cNvGraphicFramePr>
            <a:graphicFrameLocks/>
          </wp:cNvGraphicFramePr>
          <a:graphic>
            <a:graphicData uri="http://schemas.openxmlformats.org/drawingml/2006/picture">
              <pic:pic>
                <pic:nvPicPr>
                  <pic:cNvPr id="1599" name="Image 1599"/>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95488">
              <wp:simplePos x="0" y="0"/>
              <wp:positionH relativeFrom="page">
                <wp:posOffset>5480303</wp:posOffset>
              </wp:positionH>
              <wp:positionV relativeFrom="page">
                <wp:posOffset>525780</wp:posOffset>
              </wp:positionV>
              <wp:extent cx="6350" cy="439420"/>
              <wp:effectExtent l="0" t="0" r="0" b="0"/>
              <wp:wrapNone/>
              <wp:docPr id="1600" name="Graphic 1600"/>
              <wp:cNvGraphicFramePr>
                <a:graphicFrameLocks/>
              </wp:cNvGraphicFramePr>
              <a:graphic>
                <a:graphicData uri="http://schemas.microsoft.com/office/word/2010/wordprocessingShape">
                  <wps:wsp>
                    <wps:cNvPr id="1600" name="Graphic 1600"/>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20992" id="docshape1187" filled="true" fillcolor="#00587c" stroked="false">
              <v:fill type="solid"/>
              <w10:wrap type="none"/>
            </v:rect>
          </w:pict>
        </mc:Fallback>
      </mc:AlternateContent>
    </w:r>
    <w:r>
      <w:rPr>
        <w:sz w:val="20"/>
      </w:rPr>
      <w:drawing>
        <wp:anchor distT="0" distB="0" distL="0" distR="0" allowOverlap="1" layoutInCell="1" locked="0" behindDoc="1" simplePos="0" relativeHeight="474496000">
          <wp:simplePos x="0" y="0"/>
          <wp:positionH relativeFrom="page">
            <wp:posOffset>4721352</wp:posOffset>
          </wp:positionH>
          <wp:positionV relativeFrom="page">
            <wp:posOffset>612648</wp:posOffset>
          </wp:positionV>
          <wp:extent cx="681227" cy="292607"/>
          <wp:effectExtent l="0" t="0" r="0" b="0"/>
          <wp:wrapNone/>
          <wp:docPr id="1601" name="Image 1601"/>
          <wp:cNvGraphicFramePr>
            <a:graphicFrameLocks/>
          </wp:cNvGraphicFramePr>
          <a:graphic>
            <a:graphicData uri="http://schemas.openxmlformats.org/drawingml/2006/picture">
              <pic:pic>
                <pic:nvPicPr>
                  <pic:cNvPr id="1601" name="Image 1601"/>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96512">
              <wp:simplePos x="0" y="0"/>
              <wp:positionH relativeFrom="page">
                <wp:posOffset>4315967</wp:posOffset>
              </wp:positionH>
              <wp:positionV relativeFrom="page">
                <wp:posOffset>615696</wp:posOffset>
              </wp:positionV>
              <wp:extent cx="315595" cy="349250"/>
              <wp:effectExtent l="0" t="0" r="0" b="0"/>
              <wp:wrapNone/>
              <wp:docPr id="1602" name="Group 1602"/>
              <wp:cNvGraphicFramePr>
                <a:graphicFrameLocks/>
              </wp:cNvGraphicFramePr>
              <a:graphic>
                <a:graphicData uri="http://schemas.microsoft.com/office/word/2010/wordprocessingGroup">
                  <wpg:wgp>
                    <wpg:cNvPr id="1602" name="Group 1602"/>
                    <wpg:cNvGrpSpPr/>
                    <wpg:grpSpPr>
                      <a:xfrm>
                        <a:off x="0" y="0"/>
                        <a:ext cx="315595" cy="349250"/>
                        <a:chExt cx="315595" cy="349250"/>
                      </a:xfrm>
                    </wpg:grpSpPr>
                    <wps:wsp>
                      <wps:cNvPr id="1603" name="Graphic 1603"/>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604" name="Image 1604"/>
                        <pic:cNvPicPr/>
                      </pic:nvPicPr>
                      <pic:blipFill>
                        <a:blip r:embed="rId3" cstate="print"/>
                        <a:stretch>
                          <a:fillRect/>
                        </a:stretch>
                      </pic:blipFill>
                      <pic:spPr>
                        <a:xfrm>
                          <a:off x="39623" y="182618"/>
                          <a:ext cx="236220" cy="125102"/>
                        </a:xfrm>
                        <a:prstGeom prst="rect">
                          <a:avLst/>
                        </a:prstGeom>
                      </pic:spPr>
                    </pic:pic>
                    <wps:wsp>
                      <wps:cNvPr id="1605" name="Graphic 1605"/>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19968" id="docshapegroup1188" coordorigin="6797,970" coordsize="497,550">
              <v:shape style="position:absolute;left:6859;top:1032;width:312;height:190" id="docshape1189"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190" stroked="false">
                <v:imagedata r:id="rId3" o:title=""/>
              </v:shape>
              <v:shape style="position:absolute;left:6796;top:969;width:497;height:550" id="docshape1191"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97024">
              <wp:simplePos x="0" y="0"/>
              <wp:positionH relativeFrom="page">
                <wp:posOffset>5571744</wp:posOffset>
              </wp:positionH>
              <wp:positionV relativeFrom="page">
                <wp:posOffset>704088</wp:posOffset>
              </wp:positionV>
              <wp:extent cx="608330" cy="76200"/>
              <wp:effectExtent l="0" t="0" r="0" b="0"/>
              <wp:wrapNone/>
              <wp:docPr id="1606" name="Graphic 1606"/>
              <wp:cNvGraphicFramePr>
                <a:graphicFrameLocks/>
              </wp:cNvGraphicFramePr>
              <a:graphic>
                <a:graphicData uri="http://schemas.microsoft.com/office/word/2010/wordprocessingShape">
                  <wps:wsp>
                    <wps:cNvPr id="1606" name="Graphic 1606"/>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19456" id="docshape1192"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97536">
          <wp:simplePos x="0" y="0"/>
          <wp:positionH relativeFrom="page">
            <wp:posOffset>4315967</wp:posOffset>
          </wp:positionH>
          <wp:positionV relativeFrom="page">
            <wp:posOffset>525780</wp:posOffset>
          </wp:positionV>
          <wp:extent cx="316991" cy="70104"/>
          <wp:effectExtent l="0" t="0" r="0" b="0"/>
          <wp:wrapNone/>
          <wp:docPr id="1607" name="Image 1607"/>
          <wp:cNvGraphicFramePr>
            <a:graphicFrameLocks/>
          </wp:cNvGraphicFramePr>
          <a:graphic>
            <a:graphicData uri="http://schemas.openxmlformats.org/drawingml/2006/picture">
              <pic:pic>
                <pic:nvPicPr>
                  <pic:cNvPr id="1607" name="Image 1607"/>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98048">
              <wp:simplePos x="0" y="0"/>
              <wp:positionH relativeFrom="page">
                <wp:posOffset>5480303</wp:posOffset>
              </wp:positionH>
              <wp:positionV relativeFrom="page">
                <wp:posOffset>525780</wp:posOffset>
              </wp:positionV>
              <wp:extent cx="6350" cy="439420"/>
              <wp:effectExtent l="0" t="0" r="0" b="0"/>
              <wp:wrapNone/>
              <wp:docPr id="1608" name="Graphic 1608"/>
              <wp:cNvGraphicFramePr>
                <a:graphicFrameLocks/>
              </wp:cNvGraphicFramePr>
              <a:graphic>
                <a:graphicData uri="http://schemas.microsoft.com/office/word/2010/wordprocessingShape">
                  <wps:wsp>
                    <wps:cNvPr id="1608" name="Graphic 1608"/>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18432" id="docshape1193" filled="true" fillcolor="#00587c" stroked="false">
              <v:fill type="solid"/>
              <w10:wrap type="none"/>
            </v:rect>
          </w:pict>
        </mc:Fallback>
      </mc:AlternateContent>
    </w:r>
    <w:r>
      <w:rPr>
        <w:sz w:val="20"/>
      </w:rPr>
      <w:drawing>
        <wp:anchor distT="0" distB="0" distL="0" distR="0" allowOverlap="1" layoutInCell="1" locked="0" behindDoc="1" simplePos="0" relativeHeight="474498560">
          <wp:simplePos x="0" y="0"/>
          <wp:positionH relativeFrom="page">
            <wp:posOffset>4721352</wp:posOffset>
          </wp:positionH>
          <wp:positionV relativeFrom="page">
            <wp:posOffset>612648</wp:posOffset>
          </wp:positionV>
          <wp:extent cx="681227" cy="292607"/>
          <wp:effectExtent l="0" t="0" r="0" b="0"/>
          <wp:wrapNone/>
          <wp:docPr id="1609" name="Image 1609"/>
          <wp:cNvGraphicFramePr>
            <a:graphicFrameLocks/>
          </wp:cNvGraphicFramePr>
          <a:graphic>
            <a:graphicData uri="http://schemas.openxmlformats.org/drawingml/2006/picture">
              <pic:pic>
                <pic:nvPicPr>
                  <pic:cNvPr id="1609" name="Image 1609"/>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99072">
              <wp:simplePos x="0" y="0"/>
              <wp:positionH relativeFrom="page">
                <wp:posOffset>4315967</wp:posOffset>
              </wp:positionH>
              <wp:positionV relativeFrom="page">
                <wp:posOffset>615696</wp:posOffset>
              </wp:positionV>
              <wp:extent cx="315595" cy="349250"/>
              <wp:effectExtent l="0" t="0" r="0" b="0"/>
              <wp:wrapNone/>
              <wp:docPr id="1610" name="Group 1610"/>
              <wp:cNvGraphicFramePr>
                <a:graphicFrameLocks/>
              </wp:cNvGraphicFramePr>
              <a:graphic>
                <a:graphicData uri="http://schemas.microsoft.com/office/word/2010/wordprocessingGroup">
                  <wpg:wgp>
                    <wpg:cNvPr id="1610" name="Group 1610"/>
                    <wpg:cNvGrpSpPr/>
                    <wpg:grpSpPr>
                      <a:xfrm>
                        <a:off x="0" y="0"/>
                        <a:ext cx="315595" cy="349250"/>
                        <a:chExt cx="315595" cy="349250"/>
                      </a:xfrm>
                    </wpg:grpSpPr>
                    <wps:wsp>
                      <wps:cNvPr id="1611" name="Graphic 1611"/>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612" name="Image 1612"/>
                        <pic:cNvPicPr/>
                      </pic:nvPicPr>
                      <pic:blipFill>
                        <a:blip r:embed="rId3" cstate="print"/>
                        <a:stretch>
                          <a:fillRect/>
                        </a:stretch>
                      </pic:blipFill>
                      <pic:spPr>
                        <a:xfrm>
                          <a:off x="39623" y="182618"/>
                          <a:ext cx="236220" cy="125102"/>
                        </a:xfrm>
                        <a:prstGeom prst="rect">
                          <a:avLst/>
                        </a:prstGeom>
                      </pic:spPr>
                    </pic:pic>
                    <wps:wsp>
                      <wps:cNvPr id="1613" name="Graphic 1613"/>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17408" id="docshapegroup1194" coordorigin="6797,970" coordsize="497,550">
              <v:shape style="position:absolute;left:6859;top:1032;width:312;height:190" id="docshape1195"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196" stroked="false">
                <v:imagedata r:id="rId3" o:title=""/>
              </v:shape>
              <v:shape style="position:absolute;left:6796;top:969;width:497;height:550" id="docshape1197"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99584">
              <wp:simplePos x="0" y="0"/>
              <wp:positionH relativeFrom="page">
                <wp:posOffset>5571744</wp:posOffset>
              </wp:positionH>
              <wp:positionV relativeFrom="page">
                <wp:posOffset>704088</wp:posOffset>
              </wp:positionV>
              <wp:extent cx="608330" cy="76200"/>
              <wp:effectExtent l="0" t="0" r="0" b="0"/>
              <wp:wrapNone/>
              <wp:docPr id="1614" name="Graphic 1614"/>
              <wp:cNvGraphicFramePr>
                <a:graphicFrameLocks/>
              </wp:cNvGraphicFramePr>
              <a:graphic>
                <a:graphicData uri="http://schemas.microsoft.com/office/word/2010/wordprocessingShape">
                  <wps:wsp>
                    <wps:cNvPr id="1614" name="Graphic 1614"/>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16896" id="docshape1198"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00096">
          <wp:simplePos x="0" y="0"/>
          <wp:positionH relativeFrom="page">
            <wp:posOffset>4315967</wp:posOffset>
          </wp:positionH>
          <wp:positionV relativeFrom="page">
            <wp:posOffset>525780</wp:posOffset>
          </wp:positionV>
          <wp:extent cx="316991" cy="70104"/>
          <wp:effectExtent l="0" t="0" r="0" b="0"/>
          <wp:wrapNone/>
          <wp:docPr id="1632" name="Image 1632"/>
          <wp:cNvGraphicFramePr>
            <a:graphicFrameLocks/>
          </wp:cNvGraphicFramePr>
          <a:graphic>
            <a:graphicData uri="http://schemas.openxmlformats.org/drawingml/2006/picture">
              <pic:pic>
                <pic:nvPicPr>
                  <pic:cNvPr id="1632" name="Image 1632"/>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00608">
              <wp:simplePos x="0" y="0"/>
              <wp:positionH relativeFrom="page">
                <wp:posOffset>5480303</wp:posOffset>
              </wp:positionH>
              <wp:positionV relativeFrom="page">
                <wp:posOffset>525780</wp:posOffset>
              </wp:positionV>
              <wp:extent cx="6350" cy="439420"/>
              <wp:effectExtent l="0" t="0" r="0" b="0"/>
              <wp:wrapNone/>
              <wp:docPr id="1633" name="Graphic 1633"/>
              <wp:cNvGraphicFramePr>
                <a:graphicFrameLocks/>
              </wp:cNvGraphicFramePr>
              <a:graphic>
                <a:graphicData uri="http://schemas.microsoft.com/office/word/2010/wordprocessingShape">
                  <wps:wsp>
                    <wps:cNvPr id="1633" name="Graphic 1633"/>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15872" id="docshape1210" filled="true" fillcolor="#00587c" stroked="false">
              <v:fill type="solid"/>
              <w10:wrap type="none"/>
            </v:rect>
          </w:pict>
        </mc:Fallback>
      </mc:AlternateContent>
    </w:r>
    <w:r>
      <w:rPr>
        <w:sz w:val="20"/>
      </w:rPr>
      <w:drawing>
        <wp:anchor distT="0" distB="0" distL="0" distR="0" allowOverlap="1" layoutInCell="1" locked="0" behindDoc="1" simplePos="0" relativeHeight="474501120">
          <wp:simplePos x="0" y="0"/>
          <wp:positionH relativeFrom="page">
            <wp:posOffset>4721352</wp:posOffset>
          </wp:positionH>
          <wp:positionV relativeFrom="page">
            <wp:posOffset>612648</wp:posOffset>
          </wp:positionV>
          <wp:extent cx="681227" cy="292607"/>
          <wp:effectExtent l="0" t="0" r="0" b="0"/>
          <wp:wrapNone/>
          <wp:docPr id="1634" name="Image 1634"/>
          <wp:cNvGraphicFramePr>
            <a:graphicFrameLocks/>
          </wp:cNvGraphicFramePr>
          <a:graphic>
            <a:graphicData uri="http://schemas.openxmlformats.org/drawingml/2006/picture">
              <pic:pic>
                <pic:nvPicPr>
                  <pic:cNvPr id="1634" name="Image 1634"/>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01632">
              <wp:simplePos x="0" y="0"/>
              <wp:positionH relativeFrom="page">
                <wp:posOffset>4315967</wp:posOffset>
              </wp:positionH>
              <wp:positionV relativeFrom="page">
                <wp:posOffset>615696</wp:posOffset>
              </wp:positionV>
              <wp:extent cx="315595" cy="349250"/>
              <wp:effectExtent l="0" t="0" r="0" b="0"/>
              <wp:wrapNone/>
              <wp:docPr id="1635" name="Group 1635"/>
              <wp:cNvGraphicFramePr>
                <a:graphicFrameLocks/>
              </wp:cNvGraphicFramePr>
              <a:graphic>
                <a:graphicData uri="http://schemas.microsoft.com/office/word/2010/wordprocessingGroup">
                  <wpg:wgp>
                    <wpg:cNvPr id="1635" name="Group 1635"/>
                    <wpg:cNvGrpSpPr/>
                    <wpg:grpSpPr>
                      <a:xfrm>
                        <a:off x="0" y="0"/>
                        <a:ext cx="315595" cy="349250"/>
                        <a:chExt cx="315595" cy="349250"/>
                      </a:xfrm>
                    </wpg:grpSpPr>
                    <wps:wsp>
                      <wps:cNvPr id="1636" name="Graphic 1636"/>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637" name="Image 1637"/>
                        <pic:cNvPicPr/>
                      </pic:nvPicPr>
                      <pic:blipFill>
                        <a:blip r:embed="rId3" cstate="print"/>
                        <a:stretch>
                          <a:fillRect/>
                        </a:stretch>
                      </pic:blipFill>
                      <pic:spPr>
                        <a:xfrm>
                          <a:off x="39623" y="182618"/>
                          <a:ext cx="236220" cy="125102"/>
                        </a:xfrm>
                        <a:prstGeom prst="rect">
                          <a:avLst/>
                        </a:prstGeom>
                      </pic:spPr>
                    </pic:pic>
                    <wps:wsp>
                      <wps:cNvPr id="1638" name="Graphic 1638"/>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14848" id="docshapegroup1211" coordorigin="6797,970" coordsize="497,550">
              <v:shape style="position:absolute;left:6859;top:1032;width:312;height:190" id="docshape1212"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213" stroked="false">
                <v:imagedata r:id="rId3" o:title=""/>
              </v:shape>
              <v:shape style="position:absolute;left:6796;top:969;width:497;height:550" id="docshape1214"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02144">
              <wp:simplePos x="0" y="0"/>
              <wp:positionH relativeFrom="page">
                <wp:posOffset>5571744</wp:posOffset>
              </wp:positionH>
              <wp:positionV relativeFrom="page">
                <wp:posOffset>704088</wp:posOffset>
              </wp:positionV>
              <wp:extent cx="608330" cy="76200"/>
              <wp:effectExtent l="0" t="0" r="0" b="0"/>
              <wp:wrapNone/>
              <wp:docPr id="1639" name="Graphic 1639"/>
              <wp:cNvGraphicFramePr>
                <a:graphicFrameLocks/>
              </wp:cNvGraphicFramePr>
              <a:graphic>
                <a:graphicData uri="http://schemas.microsoft.com/office/word/2010/wordprocessingShape">
                  <wps:wsp>
                    <wps:cNvPr id="1639" name="Graphic 1639"/>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14336" id="docshape1215"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02656">
          <wp:simplePos x="0" y="0"/>
          <wp:positionH relativeFrom="page">
            <wp:posOffset>4315967</wp:posOffset>
          </wp:positionH>
          <wp:positionV relativeFrom="page">
            <wp:posOffset>525780</wp:posOffset>
          </wp:positionV>
          <wp:extent cx="316991" cy="70104"/>
          <wp:effectExtent l="0" t="0" r="0" b="0"/>
          <wp:wrapNone/>
          <wp:docPr id="1640" name="Image 1640"/>
          <wp:cNvGraphicFramePr>
            <a:graphicFrameLocks/>
          </wp:cNvGraphicFramePr>
          <a:graphic>
            <a:graphicData uri="http://schemas.openxmlformats.org/drawingml/2006/picture">
              <pic:pic>
                <pic:nvPicPr>
                  <pic:cNvPr id="1640" name="Image 164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03168">
              <wp:simplePos x="0" y="0"/>
              <wp:positionH relativeFrom="page">
                <wp:posOffset>5480303</wp:posOffset>
              </wp:positionH>
              <wp:positionV relativeFrom="page">
                <wp:posOffset>525780</wp:posOffset>
              </wp:positionV>
              <wp:extent cx="6350" cy="439420"/>
              <wp:effectExtent l="0" t="0" r="0" b="0"/>
              <wp:wrapNone/>
              <wp:docPr id="1641" name="Graphic 1641"/>
              <wp:cNvGraphicFramePr>
                <a:graphicFrameLocks/>
              </wp:cNvGraphicFramePr>
              <a:graphic>
                <a:graphicData uri="http://schemas.microsoft.com/office/word/2010/wordprocessingShape">
                  <wps:wsp>
                    <wps:cNvPr id="1641" name="Graphic 164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13312" id="docshape1216" filled="true" fillcolor="#00587c" stroked="false">
              <v:fill type="solid"/>
              <w10:wrap type="none"/>
            </v:rect>
          </w:pict>
        </mc:Fallback>
      </mc:AlternateContent>
    </w:r>
    <w:r>
      <w:rPr>
        <w:sz w:val="20"/>
      </w:rPr>
      <w:drawing>
        <wp:anchor distT="0" distB="0" distL="0" distR="0" allowOverlap="1" layoutInCell="1" locked="0" behindDoc="1" simplePos="0" relativeHeight="474503680">
          <wp:simplePos x="0" y="0"/>
          <wp:positionH relativeFrom="page">
            <wp:posOffset>4721352</wp:posOffset>
          </wp:positionH>
          <wp:positionV relativeFrom="page">
            <wp:posOffset>612648</wp:posOffset>
          </wp:positionV>
          <wp:extent cx="681227" cy="292607"/>
          <wp:effectExtent l="0" t="0" r="0" b="0"/>
          <wp:wrapNone/>
          <wp:docPr id="1642" name="Image 1642"/>
          <wp:cNvGraphicFramePr>
            <a:graphicFrameLocks/>
          </wp:cNvGraphicFramePr>
          <a:graphic>
            <a:graphicData uri="http://schemas.openxmlformats.org/drawingml/2006/picture">
              <pic:pic>
                <pic:nvPicPr>
                  <pic:cNvPr id="1642" name="Image 164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04192">
              <wp:simplePos x="0" y="0"/>
              <wp:positionH relativeFrom="page">
                <wp:posOffset>4315967</wp:posOffset>
              </wp:positionH>
              <wp:positionV relativeFrom="page">
                <wp:posOffset>615696</wp:posOffset>
              </wp:positionV>
              <wp:extent cx="315595" cy="349250"/>
              <wp:effectExtent l="0" t="0" r="0" b="0"/>
              <wp:wrapNone/>
              <wp:docPr id="1643" name="Group 1643"/>
              <wp:cNvGraphicFramePr>
                <a:graphicFrameLocks/>
              </wp:cNvGraphicFramePr>
              <a:graphic>
                <a:graphicData uri="http://schemas.microsoft.com/office/word/2010/wordprocessingGroup">
                  <wpg:wgp>
                    <wpg:cNvPr id="1643" name="Group 1643"/>
                    <wpg:cNvGrpSpPr/>
                    <wpg:grpSpPr>
                      <a:xfrm>
                        <a:off x="0" y="0"/>
                        <a:ext cx="315595" cy="349250"/>
                        <a:chExt cx="315595" cy="349250"/>
                      </a:xfrm>
                    </wpg:grpSpPr>
                    <wps:wsp>
                      <wps:cNvPr id="1644" name="Graphic 164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645" name="Image 1645"/>
                        <pic:cNvPicPr/>
                      </pic:nvPicPr>
                      <pic:blipFill>
                        <a:blip r:embed="rId3" cstate="print"/>
                        <a:stretch>
                          <a:fillRect/>
                        </a:stretch>
                      </pic:blipFill>
                      <pic:spPr>
                        <a:xfrm>
                          <a:off x="39623" y="182618"/>
                          <a:ext cx="236220" cy="125102"/>
                        </a:xfrm>
                        <a:prstGeom prst="rect">
                          <a:avLst/>
                        </a:prstGeom>
                      </pic:spPr>
                    </pic:pic>
                    <wps:wsp>
                      <wps:cNvPr id="1646" name="Graphic 164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12288" id="docshapegroup1217" coordorigin="6797,970" coordsize="497,550">
              <v:shape style="position:absolute;left:6859;top:1032;width:312;height:190" id="docshape1218"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219" stroked="false">
                <v:imagedata r:id="rId3" o:title=""/>
              </v:shape>
              <v:shape style="position:absolute;left:6796;top:969;width:497;height:550" id="docshape1220"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04704">
              <wp:simplePos x="0" y="0"/>
              <wp:positionH relativeFrom="page">
                <wp:posOffset>5571744</wp:posOffset>
              </wp:positionH>
              <wp:positionV relativeFrom="page">
                <wp:posOffset>704088</wp:posOffset>
              </wp:positionV>
              <wp:extent cx="608330" cy="76200"/>
              <wp:effectExtent l="0" t="0" r="0" b="0"/>
              <wp:wrapNone/>
              <wp:docPr id="1647" name="Graphic 1647"/>
              <wp:cNvGraphicFramePr>
                <a:graphicFrameLocks/>
              </wp:cNvGraphicFramePr>
              <a:graphic>
                <a:graphicData uri="http://schemas.microsoft.com/office/word/2010/wordprocessingShape">
                  <wps:wsp>
                    <wps:cNvPr id="1647" name="Graphic 164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11776" id="docshape1221"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05216">
          <wp:simplePos x="0" y="0"/>
          <wp:positionH relativeFrom="page">
            <wp:posOffset>4315967</wp:posOffset>
          </wp:positionH>
          <wp:positionV relativeFrom="page">
            <wp:posOffset>525780</wp:posOffset>
          </wp:positionV>
          <wp:extent cx="316991" cy="70104"/>
          <wp:effectExtent l="0" t="0" r="0" b="0"/>
          <wp:wrapNone/>
          <wp:docPr id="1673" name="Image 1673"/>
          <wp:cNvGraphicFramePr>
            <a:graphicFrameLocks/>
          </wp:cNvGraphicFramePr>
          <a:graphic>
            <a:graphicData uri="http://schemas.openxmlformats.org/drawingml/2006/picture">
              <pic:pic>
                <pic:nvPicPr>
                  <pic:cNvPr id="1673" name="Image 167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05728">
              <wp:simplePos x="0" y="0"/>
              <wp:positionH relativeFrom="page">
                <wp:posOffset>5480303</wp:posOffset>
              </wp:positionH>
              <wp:positionV relativeFrom="page">
                <wp:posOffset>525780</wp:posOffset>
              </wp:positionV>
              <wp:extent cx="6350" cy="439420"/>
              <wp:effectExtent l="0" t="0" r="0" b="0"/>
              <wp:wrapNone/>
              <wp:docPr id="1674" name="Graphic 1674"/>
              <wp:cNvGraphicFramePr>
                <a:graphicFrameLocks/>
              </wp:cNvGraphicFramePr>
              <a:graphic>
                <a:graphicData uri="http://schemas.microsoft.com/office/word/2010/wordprocessingShape">
                  <wps:wsp>
                    <wps:cNvPr id="1674" name="Graphic 167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10752" id="docshape1235" filled="true" fillcolor="#00587c" stroked="false">
              <v:fill type="solid"/>
              <w10:wrap type="none"/>
            </v:rect>
          </w:pict>
        </mc:Fallback>
      </mc:AlternateContent>
    </w:r>
    <w:r>
      <w:rPr>
        <w:sz w:val="20"/>
      </w:rPr>
      <w:drawing>
        <wp:anchor distT="0" distB="0" distL="0" distR="0" allowOverlap="1" layoutInCell="1" locked="0" behindDoc="1" simplePos="0" relativeHeight="474506240">
          <wp:simplePos x="0" y="0"/>
          <wp:positionH relativeFrom="page">
            <wp:posOffset>4721352</wp:posOffset>
          </wp:positionH>
          <wp:positionV relativeFrom="page">
            <wp:posOffset>612648</wp:posOffset>
          </wp:positionV>
          <wp:extent cx="681227" cy="292607"/>
          <wp:effectExtent l="0" t="0" r="0" b="0"/>
          <wp:wrapNone/>
          <wp:docPr id="1675" name="Image 1675"/>
          <wp:cNvGraphicFramePr>
            <a:graphicFrameLocks/>
          </wp:cNvGraphicFramePr>
          <a:graphic>
            <a:graphicData uri="http://schemas.openxmlformats.org/drawingml/2006/picture">
              <pic:pic>
                <pic:nvPicPr>
                  <pic:cNvPr id="1675" name="Image 167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06752">
              <wp:simplePos x="0" y="0"/>
              <wp:positionH relativeFrom="page">
                <wp:posOffset>4315967</wp:posOffset>
              </wp:positionH>
              <wp:positionV relativeFrom="page">
                <wp:posOffset>615696</wp:posOffset>
              </wp:positionV>
              <wp:extent cx="315595" cy="349250"/>
              <wp:effectExtent l="0" t="0" r="0" b="0"/>
              <wp:wrapNone/>
              <wp:docPr id="1676" name="Group 1676"/>
              <wp:cNvGraphicFramePr>
                <a:graphicFrameLocks/>
              </wp:cNvGraphicFramePr>
              <a:graphic>
                <a:graphicData uri="http://schemas.microsoft.com/office/word/2010/wordprocessingGroup">
                  <wpg:wgp>
                    <wpg:cNvPr id="1676" name="Group 1676"/>
                    <wpg:cNvGrpSpPr/>
                    <wpg:grpSpPr>
                      <a:xfrm>
                        <a:off x="0" y="0"/>
                        <a:ext cx="315595" cy="349250"/>
                        <a:chExt cx="315595" cy="349250"/>
                      </a:xfrm>
                    </wpg:grpSpPr>
                    <wps:wsp>
                      <wps:cNvPr id="1677" name="Graphic 167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678" name="Image 1678"/>
                        <pic:cNvPicPr/>
                      </pic:nvPicPr>
                      <pic:blipFill>
                        <a:blip r:embed="rId3" cstate="print"/>
                        <a:stretch>
                          <a:fillRect/>
                        </a:stretch>
                      </pic:blipFill>
                      <pic:spPr>
                        <a:xfrm>
                          <a:off x="39623" y="182618"/>
                          <a:ext cx="236220" cy="125102"/>
                        </a:xfrm>
                        <a:prstGeom prst="rect">
                          <a:avLst/>
                        </a:prstGeom>
                      </pic:spPr>
                    </pic:pic>
                    <wps:wsp>
                      <wps:cNvPr id="1679" name="Graphic 167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09728" id="docshapegroup1236" coordorigin="6797,970" coordsize="497,550">
              <v:shape style="position:absolute;left:6859;top:1032;width:312;height:190" id="docshape1237"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238" stroked="false">
                <v:imagedata r:id="rId3" o:title=""/>
              </v:shape>
              <v:shape style="position:absolute;left:6796;top:969;width:497;height:550" id="docshape1239"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07264">
              <wp:simplePos x="0" y="0"/>
              <wp:positionH relativeFrom="page">
                <wp:posOffset>5571744</wp:posOffset>
              </wp:positionH>
              <wp:positionV relativeFrom="page">
                <wp:posOffset>704088</wp:posOffset>
              </wp:positionV>
              <wp:extent cx="608330" cy="76200"/>
              <wp:effectExtent l="0" t="0" r="0" b="0"/>
              <wp:wrapNone/>
              <wp:docPr id="1680" name="Graphic 1680"/>
              <wp:cNvGraphicFramePr>
                <a:graphicFrameLocks/>
              </wp:cNvGraphicFramePr>
              <a:graphic>
                <a:graphicData uri="http://schemas.microsoft.com/office/word/2010/wordprocessingShape">
                  <wps:wsp>
                    <wps:cNvPr id="1680" name="Graphic 168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09216" id="docshape1240"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07776">
          <wp:simplePos x="0" y="0"/>
          <wp:positionH relativeFrom="page">
            <wp:posOffset>4315967</wp:posOffset>
          </wp:positionH>
          <wp:positionV relativeFrom="page">
            <wp:posOffset>525780</wp:posOffset>
          </wp:positionV>
          <wp:extent cx="316991" cy="70104"/>
          <wp:effectExtent l="0" t="0" r="0" b="0"/>
          <wp:wrapNone/>
          <wp:docPr id="1681" name="Image 1681"/>
          <wp:cNvGraphicFramePr>
            <a:graphicFrameLocks/>
          </wp:cNvGraphicFramePr>
          <a:graphic>
            <a:graphicData uri="http://schemas.openxmlformats.org/drawingml/2006/picture">
              <pic:pic>
                <pic:nvPicPr>
                  <pic:cNvPr id="1681" name="Image 1681"/>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08288">
              <wp:simplePos x="0" y="0"/>
              <wp:positionH relativeFrom="page">
                <wp:posOffset>5480303</wp:posOffset>
              </wp:positionH>
              <wp:positionV relativeFrom="page">
                <wp:posOffset>525780</wp:posOffset>
              </wp:positionV>
              <wp:extent cx="6350" cy="439420"/>
              <wp:effectExtent l="0" t="0" r="0" b="0"/>
              <wp:wrapNone/>
              <wp:docPr id="1682" name="Graphic 1682"/>
              <wp:cNvGraphicFramePr>
                <a:graphicFrameLocks/>
              </wp:cNvGraphicFramePr>
              <a:graphic>
                <a:graphicData uri="http://schemas.microsoft.com/office/word/2010/wordprocessingShape">
                  <wps:wsp>
                    <wps:cNvPr id="1682" name="Graphic 1682"/>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08192" id="docshape1241" filled="true" fillcolor="#00587c" stroked="false">
              <v:fill type="solid"/>
              <w10:wrap type="none"/>
            </v:rect>
          </w:pict>
        </mc:Fallback>
      </mc:AlternateContent>
    </w:r>
    <w:r>
      <w:rPr>
        <w:sz w:val="20"/>
      </w:rPr>
      <w:drawing>
        <wp:anchor distT="0" distB="0" distL="0" distR="0" allowOverlap="1" layoutInCell="1" locked="0" behindDoc="1" simplePos="0" relativeHeight="474508800">
          <wp:simplePos x="0" y="0"/>
          <wp:positionH relativeFrom="page">
            <wp:posOffset>4721352</wp:posOffset>
          </wp:positionH>
          <wp:positionV relativeFrom="page">
            <wp:posOffset>612648</wp:posOffset>
          </wp:positionV>
          <wp:extent cx="681227" cy="292607"/>
          <wp:effectExtent l="0" t="0" r="0" b="0"/>
          <wp:wrapNone/>
          <wp:docPr id="1683" name="Image 1683"/>
          <wp:cNvGraphicFramePr>
            <a:graphicFrameLocks/>
          </wp:cNvGraphicFramePr>
          <a:graphic>
            <a:graphicData uri="http://schemas.openxmlformats.org/drawingml/2006/picture">
              <pic:pic>
                <pic:nvPicPr>
                  <pic:cNvPr id="1683" name="Image 1683"/>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09312">
              <wp:simplePos x="0" y="0"/>
              <wp:positionH relativeFrom="page">
                <wp:posOffset>4315967</wp:posOffset>
              </wp:positionH>
              <wp:positionV relativeFrom="page">
                <wp:posOffset>615696</wp:posOffset>
              </wp:positionV>
              <wp:extent cx="315595" cy="349250"/>
              <wp:effectExtent l="0" t="0" r="0" b="0"/>
              <wp:wrapNone/>
              <wp:docPr id="1684" name="Group 1684"/>
              <wp:cNvGraphicFramePr>
                <a:graphicFrameLocks/>
              </wp:cNvGraphicFramePr>
              <a:graphic>
                <a:graphicData uri="http://schemas.microsoft.com/office/word/2010/wordprocessingGroup">
                  <wpg:wgp>
                    <wpg:cNvPr id="1684" name="Group 1684"/>
                    <wpg:cNvGrpSpPr/>
                    <wpg:grpSpPr>
                      <a:xfrm>
                        <a:off x="0" y="0"/>
                        <a:ext cx="315595" cy="349250"/>
                        <a:chExt cx="315595" cy="349250"/>
                      </a:xfrm>
                    </wpg:grpSpPr>
                    <wps:wsp>
                      <wps:cNvPr id="1685" name="Graphic 1685"/>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686" name="Image 1686"/>
                        <pic:cNvPicPr/>
                      </pic:nvPicPr>
                      <pic:blipFill>
                        <a:blip r:embed="rId3" cstate="print"/>
                        <a:stretch>
                          <a:fillRect/>
                        </a:stretch>
                      </pic:blipFill>
                      <pic:spPr>
                        <a:xfrm>
                          <a:off x="39623" y="182618"/>
                          <a:ext cx="236220" cy="125102"/>
                        </a:xfrm>
                        <a:prstGeom prst="rect">
                          <a:avLst/>
                        </a:prstGeom>
                      </pic:spPr>
                    </pic:pic>
                    <wps:wsp>
                      <wps:cNvPr id="1687" name="Graphic 1687"/>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07168" id="docshapegroup1242" coordorigin="6797,970" coordsize="497,550">
              <v:shape style="position:absolute;left:6859;top:1032;width:312;height:190" id="docshape124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244" stroked="false">
                <v:imagedata r:id="rId3" o:title=""/>
              </v:shape>
              <v:shape style="position:absolute;left:6796;top:969;width:497;height:550" id="docshape124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09824">
              <wp:simplePos x="0" y="0"/>
              <wp:positionH relativeFrom="page">
                <wp:posOffset>5571744</wp:posOffset>
              </wp:positionH>
              <wp:positionV relativeFrom="page">
                <wp:posOffset>704088</wp:posOffset>
              </wp:positionV>
              <wp:extent cx="608330" cy="76200"/>
              <wp:effectExtent l="0" t="0" r="0" b="0"/>
              <wp:wrapNone/>
              <wp:docPr id="1688" name="Graphic 1688"/>
              <wp:cNvGraphicFramePr>
                <a:graphicFrameLocks/>
              </wp:cNvGraphicFramePr>
              <a:graphic>
                <a:graphicData uri="http://schemas.microsoft.com/office/word/2010/wordprocessingShape">
                  <wps:wsp>
                    <wps:cNvPr id="1688" name="Graphic 1688"/>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06656" id="docshape124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10336">
          <wp:simplePos x="0" y="0"/>
          <wp:positionH relativeFrom="page">
            <wp:posOffset>4315967</wp:posOffset>
          </wp:positionH>
          <wp:positionV relativeFrom="page">
            <wp:posOffset>525780</wp:posOffset>
          </wp:positionV>
          <wp:extent cx="316991" cy="70104"/>
          <wp:effectExtent l="0" t="0" r="0" b="0"/>
          <wp:wrapNone/>
          <wp:docPr id="1716" name="Image 1716"/>
          <wp:cNvGraphicFramePr>
            <a:graphicFrameLocks/>
          </wp:cNvGraphicFramePr>
          <a:graphic>
            <a:graphicData uri="http://schemas.openxmlformats.org/drawingml/2006/picture">
              <pic:pic>
                <pic:nvPicPr>
                  <pic:cNvPr id="1716" name="Image 1716"/>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10848">
              <wp:simplePos x="0" y="0"/>
              <wp:positionH relativeFrom="page">
                <wp:posOffset>5480303</wp:posOffset>
              </wp:positionH>
              <wp:positionV relativeFrom="page">
                <wp:posOffset>525780</wp:posOffset>
              </wp:positionV>
              <wp:extent cx="6350" cy="439420"/>
              <wp:effectExtent l="0" t="0" r="0" b="0"/>
              <wp:wrapNone/>
              <wp:docPr id="1717" name="Graphic 1717"/>
              <wp:cNvGraphicFramePr>
                <a:graphicFrameLocks/>
              </wp:cNvGraphicFramePr>
              <a:graphic>
                <a:graphicData uri="http://schemas.microsoft.com/office/word/2010/wordprocessingShape">
                  <wps:wsp>
                    <wps:cNvPr id="1717" name="Graphic 1717"/>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05632" id="docshape1261" filled="true" fillcolor="#00587c" stroked="false">
              <v:fill type="solid"/>
              <w10:wrap type="none"/>
            </v:rect>
          </w:pict>
        </mc:Fallback>
      </mc:AlternateContent>
    </w:r>
    <w:r>
      <w:rPr>
        <w:sz w:val="20"/>
      </w:rPr>
      <w:drawing>
        <wp:anchor distT="0" distB="0" distL="0" distR="0" allowOverlap="1" layoutInCell="1" locked="0" behindDoc="1" simplePos="0" relativeHeight="474511360">
          <wp:simplePos x="0" y="0"/>
          <wp:positionH relativeFrom="page">
            <wp:posOffset>4721352</wp:posOffset>
          </wp:positionH>
          <wp:positionV relativeFrom="page">
            <wp:posOffset>612648</wp:posOffset>
          </wp:positionV>
          <wp:extent cx="681227" cy="292607"/>
          <wp:effectExtent l="0" t="0" r="0" b="0"/>
          <wp:wrapNone/>
          <wp:docPr id="1718" name="Image 1718"/>
          <wp:cNvGraphicFramePr>
            <a:graphicFrameLocks/>
          </wp:cNvGraphicFramePr>
          <a:graphic>
            <a:graphicData uri="http://schemas.openxmlformats.org/drawingml/2006/picture">
              <pic:pic>
                <pic:nvPicPr>
                  <pic:cNvPr id="1718" name="Image 1718"/>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11872">
              <wp:simplePos x="0" y="0"/>
              <wp:positionH relativeFrom="page">
                <wp:posOffset>4315967</wp:posOffset>
              </wp:positionH>
              <wp:positionV relativeFrom="page">
                <wp:posOffset>615696</wp:posOffset>
              </wp:positionV>
              <wp:extent cx="315595" cy="349250"/>
              <wp:effectExtent l="0" t="0" r="0" b="0"/>
              <wp:wrapNone/>
              <wp:docPr id="1719" name="Group 1719"/>
              <wp:cNvGraphicFramePr>
                <a:graphicFrameLocks/>
              </wp:cNvGraphicFramePr>
              <a:graphic>
                <a:graphicData uri="http://schemas.microsoft.com/office/word/2010/wordprocessingGroup">
                  <wpg:wgp>
                    <wpg:cNvPr id="1719" name="Group 1719"/>
                    <wpg:cNvGrpSpPr/>
                    <wpg:grpSpPr>
                      <a:xfrm>
                        <a:off x="0" y="0"/>
                        <a:ext cx="315595" cy="349250"/>
                        <a:chExt cx="315595" cy="349250"/>
                      </a:xfrm>
                    </wpg:grpSpPr>
                    <wps:wsp>
                      <wps:cNvPr id="1720" name="Graphic 1720"/>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721" name="Image 1721"/>
                        <pic:cNvPicPr/>
                      </pic:nvPicPr>
                      <pic:blipFill>
                        <a:blip r:embed="rId3" cstate="print"/>
                        <a:stretch>
                          <a:fillRect/>
                        </a:stretch>
                      </pic:blipFill>
                      <pic:spPr>
                        <a:xfrm>
                          <a:off x="39623" y="182618"/>
                          <a:ext cx="236220" cy="125102"/>
                        </a:xfrm>
                        <a:prstGeom prst="rect">
                          <a:avLst/>
                        </a:prstGeom>
                      </pic:spPr>
                    </pic:pic>
                    <wps:wsp>
                      <wps:cNvPr id="1722" name="Graphic 1722"/>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04608" id="docshapegroup1262" coordorigin="6797,970" coordsize="497,550">
              <v:shape style="position:absolute;left:6859;top:1032;width:312;height:190" id="docshape126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264" stroked="false">
                <v:imagedata r:id="rId3" o:title=""/>
              </v:shape>
              <v:shape style="position:absolute;left:6796;top:969;width:497;height:550" id="docshape126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12384">
              <wp:simplePos x="0" y="0"/>
              <wp:positionH relativeFrom="page">
                <wp:posOffset>5571744</wp:posOffset>
              </wp:positionH>
              <wp:positionV relativeFrom="page">
                <wp:posOffset>704088</wp:posOffset>
              </wp:positionV>
              <wp:extent cx="608330" cy="76200"/>
              <wp:effectExtent l="0" t="0" r="0" b="0"/>
              <wp:wrapNone/>
              <wp:docPr id="1723" name="Graphic 1723"/>
              <wp:cNvGraphicFramePr>
                <a:graphicFrameLocks/>
              </wp:cNvGraphicFramePr>
              <a:graphic>
                <a:graphicData uri="http://schemas.microsoft.com/office/word/2010/wordprocessingShape">
                  <wps:wsp>
                    <wps:cNvPr id="1723" name="Graphic 1723"/>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04096" id="docshape126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12896">
          <wp:simplePos x="0" y="0"/>
          <wp:positionH relativeFrom="page">
            <wp:posOffset>4315967</wp:posOffset>
          </wp:positionH>
          <wp:positionV relativeFrom="page">
            <wp:posOffset>525780</wp:posOffset>
          </wp:positionV>
          <wp:extent cx="316991" cy="70104"/>
          <wp:effectExtent l="0" t="0" r="0" b="0"/>
          <wp:wrapNone/>
          <wp:docPr id="1724" name="Image 1724"/>
          <wp:cNvGraphicFramePr>
            <a:graphicFrameLocks/>
          </wp:cNvGraphicFramePr>
          <a:graphic>
            <a:graphicData uri="http://schemas.openxmlformats.org/drawingml/2006/picture">
              <pic:pic>
                <pic:nvPicPr>
                  <pic:cNvPr id="1724" name="Image 1724"/>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13408">
              <wp:simplePos x="0" y="0"/>
              <wp:positionH relativeFrom="page">
                <wp:posOffset>5480303</wp:posOffset>
              </wp:positionH>
              <wp:positionV relativeFrom="page">
                <wp:posOffset>525780</wp:posOffset>
              </wp:positionV>
              <wp:extent cx="6350" cy="439420"/>
              <wp:effectExtent l="0" t="0" r="0" b="0"/>
              <wp:wrapNone/>
              <wp:docPr id="1725" name="Graphic 1725"/>
              <wp:cNvGraphicFramePr>
                <a:graphicFrameLocks/>
              </wp:cNvGraphicFramePr>
              <a:graphic>
                <a:graphicData uri="http://schemas.microsoft.com/office/word/2010/wordprocessingShape">
                  <wps:wsp>
                    <wps:cNvPr id="1725" name="Graphic 1725"/>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03072" id="docshape1267" filled="true" fillcolor="#00587c" stroked="false">
              <v:fill type="solid"/>
              <w10:wrap type="none"/>
            </v:rect>
          </w:pict>
        </mc:Fallback>
      </mc:AlternateContent>
    </w:r>
    <w:r>
      <w:rPr>
        <w:sz w:val="20"/>
      </w:rPr>
      <w:drawing>
        <wp:anchor distT="0" distB="0" distL="0" distR="0" allowOverlap="1" layoutInCell="1" locked="0" behindDoc="1" simplePos="0" relativeHeight="474513920">
          <wp:simplePos x="0" y="0"/>
          <wp:positionH relativeFrom="page">
            <wp:posOffset>4721352</wp:posOffset>
          </wp:positionH>
          <wp:positionV relativeFrom="page">
            <wp:posOffset>612648</wp:posOffset>
          </wp:positionV>
          <wp:extent cx="681227" cy="292607"/>
          <wp:effectExtent l="0" t="0" r="0" b="0"/>
          <wp:wrapNone/>
          <wp:docPr id="1726" name="Image 1726"/>
          <wp:cNvGraphicFramePr>
            <a:graphicFrameLocks/>
          </wp:cNvGraphicFramePr>
          <a:graphic>
            <a:graphicData uri="http://schemas.openxmlformats.org/drawingml/2006/picture">
              <pic:pic>
                <pic:nvPicPr>
                  <pic:cNvPr id="1726" name="Image 1726"/>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14432">
              <wp:simplePos x="0" y="0"/>
              <wp:positionH relativeFrom="page">
                <wp:posOffset>4315967</wp:posOffset>
              </wp:positionH>
              <wp:positionV relativeFrom="page">
                <wp:posOffset>615696</wp:posOffset>
              </wp:positionV>
              <wp:extent cx="315595" cy="349250"/>
              <wp:effectExtent l="0" t="0" r="0" b="0"/>
              <wp:wrapNone/>
              <wp:docPr id="1727" name="Group 1727"/>
              <wp:cNvGraphicFramePr>
                <a:graphicFrameLocks/>
              </wp:cNvGraphicFramePr>
              <a:graphic>
                <a:graphicData uri="http://schemas.microsoft.com/office/word/2010/wordprocessingGroup">
                  <wpg:wgp>
                    <wpg:cNvPr id="1727" name="Group 1727"/>
                    <wpg:cNvGrpSpPr/>
                    <wpg:grpSpPr>
                      <a:xfrm>
                        <a:off x="0" y="0"/>
                        <a:ext cx="315595" cy="349250"/>
                        <a:chExt cx="315595" cy="349250"/>
                      </a:xfrm>
                    </wpg:grpSpPr>
                    <wps:wsp>
                      <wps:cNvPr id="1728" name="Graphic 1728"/>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729" name="Image 1729"/>
                        <pic:cNvPicPr/>
                      </pic:nvPicPr>
                      <pic:blipFill>
                        <a:blip r:embed="rId3" cstate="print"/>
                        <a:stretch>
                          <a:fillRect/>
                        </a:stretch>
                      </pic:blipFill>
                      <pic:spPr>
                        <a:xfrm>
                          <a:off x="39623" y="182618"/>
                          <a:ext cx="236220" cy="125102"/>
                        </a:xfrm>
                        <a:prstGeom prst="rect">
                          <a:avLst/>
                        </a:prstGeom>
                      </pic:spPr>
                    </pic:pic>
                    <wps:wsp>
                      <wps:cNvPr id="1730" name="Graphic 1730"/>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02048" id="docshapegroup1268" coordorigin="6797,970" coordsize="497,550">
              <v:shape style="position:absolute;left:6859;top:1032;width:312;height:190" id="docshape1269"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270" stroked="false">
                <v:imagedata r:id="rId3" o:title=""/>
              </v:shape>
              <v:shape style="position:absolute;left:6796;top:969;width:497;height:550" id="docshape1271"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14944">
              <wp:simplePos x="0" y="0"/>
              <wp:positionH relativeFrom="page">
                <wp:posOffset>5571744</wp:posOffset>
              </wp:positionH>
              <wp:positionV relativeFrom="page">
                <wp:posOffset>704088</wp:posOffset>
              </wp:positionV>
              <wp:extent cx="608330" cy="76200"/>
              <wp:effectExtent l="0" t="0" r="0" b="0"/>
              <wp:wrapNone/>
              <wp:docPr id="1731" name="Graphic 1731"/>
              <wp:cNvGraphicFramePr>
                <a:graphicFrameLocks/>
              </wp:cNvGraphicFramePr>
              <a:graphic>
                <a:graphicData uri="http://schemas.microsoft.com/office/word/2010/wordprocessingShape">
                  <wps:wsp>
                    <wps:cNvPr id="1731" name="Graphic 1731"/>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01536" id="docshape1272"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15456">
          <wp:simplePos x="0" y="0"/>
          <wp:positionH relativeFrom="page">
            <wp:posOffset>4315967</wp:posOffset>
          </wp:positionH>
          <wp:positionV relativeFrom="page">
            <wp:posOffset>525780</wp:posOffset>
          </wp:positionV>
          <wp:extent cx="316991" cy="70104"/>
          <wp:effectExtent l="0" t="0" r="0" b="0"/>
          <wp:wrapNone/>
          <wp:docPr id="1763" name="Image 1763"/>
          <wp:cNvGraphicFramePr>
            <a:graphicFrameLocks/>
          </wp:cNvGraphicFramePr>
          <a:graphic>
            <a:graphicData uri="http://schemas.openxmlformats.org/drawingml/2006/picture">
              <pic:pic>
                <pic:nvPicPr>
                  <pic:cNvPr id="1763" name="Image 176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15968">
              <wp:simplePos x="0" y="0"/>
              <wp:positionH relativeFrom="page">
                <wp:posOffset>5480303</wp:posOffset>
              </wp:positionH>
              <wp:positionV relativeFrom="page">
                <wp:posOffset>525780</wp:posOffset>
              </wp:positionV>
              <wp:extent cx="6350" cy="439420"/>
              <wp:effectExtent l="0" t="0" r="0" b="0"/>
              <wp:wrapNone/>
              <wp:docPr id="1764" name="Graphic 1764"/>
              <wp:cNvGraphicFramePr>
                <a:graphicFrameLocks/>
              </wp:cNvGraphicFramePr>
              <a:graphic>
                <a:graphicData uri="http://schemas.microsoft.com/office/word/2010/wordprocessingShape">
                  <wps:wsp>
                    <wps:cNvPr id="1764" name="Graphic 176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00512" id="docshape1291" filled="true" fillcolor="#00587c" stroked="false">
              <v:fill type="solid"/>
              <w10:wrap type="none"/>
            </v:rect>
          </w:pict>
        </mc:Fallback>
      </mc:AlternateContent>
    </w:r>
    <w:r>
      <w:rPr>
        <w:sz w:val="20"/>
      </w:rPr>
      <w:drawing>
        <wp:anchor distT="0" distB="0" distL="0" distR="0" allowOverlap="1" layoutInCell="1" locked="0" behindDoc="1" simplePos="0" relativeHeight="474516480">
          <wp:simplePos x="0" y="0"/>
          <wp:positionH relativeFrom="page">
            <wp:posOffset>4721352</wp:posOffset>
          </wp:positionH>
          <wp:positionV relativeFrom="page">
            <wp:posOffset>612648</wp:posOffset>
          </wp:positionV>
          <wp:extent cx="681227" cy="292607"/>
          <wp:effectExtent l="0" t="0" r="0" b="0"/>
          <wp:wrapNone/>
          <wp:docPr id="1765" name="Image 1765"/>
          <wp:cNvGraphicFramePr>
            <a:graphicFrameLocks/>
          </wp:cNvGraphicFramePr>
          <a:graphic>
            <a:graphicData uri="http://schemas.openxmlformats.org/drawingml/2006/picture">
              <pic:pic>
                <pic:nvPicPr>
                  <pic:cNvPr id="1765" name="Image 176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16992">
              <wp:simplePos x="0" y="0"/>
              <wp:positionH relativeFrom="page">
                <wp:posOffset>4315967</wp:posOffset>
              </wp:positionH>
              <wp:positionV relativeFrom="page">
                <wp:posOffset>615696</wp:posOffset>
              </wp:positionV>
              <wp:extent cx="315595" cy="349250"/>
              <wp:effectExtent l="0" t="0" r="0" b="0"/>
              <wp:wrapNone/>
              <wp:docPr id="1766" name="Group 1766"/>
              <wp:cNvGraphicFramePr>
                <a:graphicFrameLocks/>
              </wp:cNvGraphicFramePr>
              <a:graphic>
                <a:graphicData uri="http://schemas.microsoft.com/office/word/2010/wordprocessingGroup">
                  <wpg:wgp>
                    <wpg:cNvPr id="1766" name="Group 1766"/>
                    <wpg:cNvGrpSpPr/>
                    <wpg:grpSpPr>
                      <a:xfrm>
                        <a:off x="0" y="0"/>
                        <a:ext cx="315595" cy="349250"/>
                        <a:chExt cx="315595" cy="349250"/>
                      </a:xfrm>
                    </wpg:grpSpPr>
                    <wps:wsp>
                      <wps:cNvPr id="1767" name="Graphic 176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768" name="Image 1768"/>
                        <pic:cNvPicPr/>
                      </pic:nvPicPr>
                      <pic:blipFill>
                        <a:blip r:embed="rId3" cstate="print"/>
                        <a:stretch>
                          <a:fillRect/>
                        </a:stretch>
                      </pic:blipFill>
                      <pic:spPr>
                        <a:xfrm>
                          <a:off x="39623" y="182618"/>
                          <a:ext cx="236220" cy="125102"/>
                        </a:xfrm>
                        <a:prstGeom prst="rect">
                          <a:avLst/>
                        </a:prstGeom>
                      </pic:spPr>
                    </pic:pic>
                    <wps:wsp>
                      <wps:cNvPr id="1769" name="Graphic 176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99488" id="docshapegroup1292" coordorigin="6797,970" coordsize="497,550">
              <v:shape style="position:absolute;left:6859;top:1032;width:312;height:190" id="docshape129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294" stroked="false">
                <v:imagedata r:id="rId3" o:title=""/>
              </v:shape>
              <v:shape style="position:absolute;left:6796;top:969;width:497;height:550" id="docshape129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17504">
              <wp:simplePos x="0" y="0"/>
              <wp:positionH relativeFrom="page">
                <wp:posOffset>5571744</wp:posOffset>
              </wp:positionH>
              <wp:positionV relativeFrom="page">
                <wp:posOffset>704088</wp:posOffset>
              </wp:positionV>
              <wp:extent cx="608330" cy="76200"/>
              <wp:effectExtent l="0" t="0" r="0" b="0"/>
              <wp:wrapNone/>
              <wp:docPr id="1770" name="Graphic 1770"/>
              <wp:cNvGraphicFramePr>
                <a:graphicFrameLocks/>
              </wp:cNvGraphicFramePr>
              <a:graphic>
                <a:graphicData uri="http://schemas.microsoft.com/office/word/2010/wordprocessingShape">
                  <wps:wsp>
                    <wps:cNvPr id="1770" name="Graphic 177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98976" id="docshape129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18016">
          <wp:simplePos x="0" y="0"/>
          <wp:positionH relativeFrom="page">
            <wp:posOffset>4315967</wp:posOffset>
          </wp:positionH>
          <wp:positionV relativeFrom="page">
            <wp:posOffset>525780</wp:posOffset>
          </wp:positionV>
          <wp:extent cx="316991" cy="70104"/>
          <wp:effectExtent l="0" t="0" r="0" b="0"/>
          <wp:wrapNone/>
          <wp:docPr id="1771" name="Image 1771"/>
          <wp:cNvGraphicFramePr>
            <a:graphicFrameLocks/>
          </wp:cNvGraphicFramePr>
          <a:graphic>
            <a:graphicData uri="http://schemas.openxmlformats.org/drawingml/2006/picture">
              <pic:pic>
                <pic:nvPicPr>
                  <pic:cNvPr id="1771" name="Image 1771"/>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18528">
              <wp:simplePos x="0" y="0"/>
              <wp:positionH relativeFrom="page">
                <wp:posOffset>5480303</wp:posOffset>
              </wp:positionH>
              <wp:positionV relativeFrom="page">
                <wp:posOffset>525780</wp:posOffset>
              </wp:positionV>
              <wp:extent cx="6350" cy="439420"/>
              <wp:effectExtent l="0" t="0" r="0" b="0"/>
              <wp:wrapNone/>
              <wp:docPr id="1772" name="Graphic 1772"/>
              <wp:cNvGraphicFramePr>
                <a:graphicFrameLocks/>
              </wp:cNvGraphicFramePr>
              <a:graphic>
                <a:graphicData uri="http://schemas.microsoft.com/office/word/2010/wordprocessingShape">
                  <wps:wsp>
                    <wps:cNvPr id="1772" name="Graphic 1772"/>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97952" id="docshape1297" filled="true" fillcolor="#00587c" stroked="false">
              <v:fill type="solid"/>
              <w10:wrap type="none"/>
            </v:rect>
          </w:pict>
        </mc:Fallback>
      </mc:AlternateContent>
    </w:r>
    <w:r>
      <w:rPr>
        <w:sz w:val="20"/>
      </w:rPr>
      <w:drawing>
        <wp:anchor distT="0" distB="0" distL="0" distR="0" allowOverlap="1" layoutInCell="1" locked="0" behindDoc="1" simplePos="0" relativeHeight="474519040">
          <wp:simplePos x="0" y="0"/>
          <wp:positionH relativeFrom="page">
            <wp:posOffset>4721352</wp:posOffset>
          </wp:positionH>
          <wp:positionV relativeFrom="page">
            <wp:posOffset>612648</wp:posOffset>
          </wp:positionV>
          <wp:extent cx="681227" cy="292607"/>
          <wp:effectExtent l="0" t="0" r="0" b="0"/>
          <wp:wrapNone/>
          <wp:docPr id="1773" name="Image 1773"/>
          <wp:cNvGraphicFramePr>
            <a:graphicFrameLocks/>
          </wp:cNvGraphicFramePr>
          <a:graphic>
            <a:graphicData uri="http://schemas.openxmlformats.org/drawingml/2006/picture">
              <pic:pic>
                <pic:nvPicPr>
                  <pic:cNvPr id="1773" name="Image 1773"/>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19552">
              <wp:simplePos x="0" y="0"/>
              <wp:positionH relativeFrom="page">
                <wp:posOffset>4315967</wp:posOffset>
              </wp:positionH>
              <wp:positionV relativeFrom="page">
                <wp:posOffset>615696</wp:posOffset>
              </wp:positionV>
              <wp:extent cx="315595" cy="349250"/>
              <wp:effectExtent l="0" t="0" r="0" b="0"/>
              <wp:wrapNone/>
              <wp:docPr id="1774" name="Group 1774"/>
              <wp:cNvGraphicFramePr>
                <a:graphicFrameLocks/>
              </wp:cNvGraphicFramePr>
              <a:graphic>
                <a:graphicData uri="http://schemas.microsoft.com/office/word/2010/wordprocessingGroup">
                  <wpg:wgp>
                    <wpg:cNvPr id="1774" name="Group 1774"/>
                    <wpg:cNvGrpSpPr/>
                    <wpg:grpSpPr>
                      <a:xfrm>
                        <a:off x="0" y="0"/>
                        <a:ext cx="315595" cy="349250"/>
                        <a:chExt cx="315595" cy="349250"/>
                      </a:xfrm>
                    </wpg:grpSpPr>
                    <wps:wsp>
                      <wps:cNvPr id="1775" name="Graphic 1775"/>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776" name="Image 1776"/>
                        <pic:cNvPicPr/>
                      </pic:nvPicPr>
                      <pic:blipFill>
                        <a:blip r:embed="rId3" cstate="print"/>
                        <a:stretch>
                          <a:fillRect/>
                        </a:stretch>
                      </pic:blipFill>
                      <pic:spPr>
                        <a:xfrm>
                          <a:off x="39623" y="182618"/>
                          <a:ext cx="236220" cy="125102"/>
                        </a:xfrm>
                        <a:prstGeom prst="rect">
                          <a:avLst/>
                        </a:prstGeom>
                      </pic:spPr>
                    </pic:pic>
                    <wps:wsp>
                      <wps:cNvPr id="1777" name="Graphic 1777"/>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96928" id="docshapegroup1298" coordorigin="6797,970" coordsize="497,550">
              <v:shape style="position:absolute;left:6859;top:1032;width:312;height:190" id="docshape1299"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300" stroked="false">
                <v:imagedata r:id="rId3" o:title=""/>
              </v:shape>
              <v:shape style="position:absolute;left:6796;top:969;width:497;height:550" id="docshape1301"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20064">
              <wp:simplePos x="0" y="0"/>
              <wp:positionH relativeFrom="page">
                <wp:posOffset>5571744</wp:posOffset>
              </wp:positionH>
              <wp:positionV relativeFrom="page">
                <wp:posOffset>704088</wp:posOffset>
              </wp:positionV>
              <wp:extent cx="608330" cy="76200"/>
              <wp:effectExtent l="0" t="0" r="0" b="0"/>
              <wp:wrapNone/>
              <wp:docPr id="1778" name="Graphic 1778"/>
              <wp:cNvGraphicFramePr>
                <a:graphicFrameLocks/>
              </wp:cNvGraphicFramePr>
              <a:graphic>
                <a:graphicData uri="http://schemas.microsoft.com/office/word/2010/wordprocessingShape">
                  <wps:wsp>
                    <wps:cNvPr id="1778" name="Graphic 1778"/>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96416" id="docshape1302"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20576">
          <wp:simplePos x="0" y="0"/>
          <wp:positionH relativeFrom="page">
            <wp:posOffset>4315967</wp:posOffset>
          </wp:positionH>
          <wp:positionV relativeFrom="page">
            <wp:posOffset>525780</wp:posOffset>
          </wp:positionV>
          <wp:extent cx="316991" cy="70104"/>
          <wp:effectExtent l="0" t="0" r="0" b="0"/>
          <wp:wrapNone/>
          <wp:docPr id="1799" name="Image 1799"/>
          <wp:cNvGraphicFramePr>
            <a:graphicFrameLocks/>
          </wp:cNvGraphicFramePr>
          <a:graphic>
            <a:graphicData uri="http://schemas.openxmlformats.org/drawingml/2006/picture">
              <pic:pic>
                <pic:nvPicPr>
                  <pic:cNvPr id="1799" name="Image 1799"/>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21088">
              <wp:simplePos x="0" y="0"/>
              <wp:positionH relativeFrom="page">
                <wp:posOffset>5480303</wp:posOffset>
              </wp:positionH>
              <wp:positionV relativeFrom="page">
                <wp:posOffset>525780</wp:posOffset>
              </wp:positionV>
              <wp:extent cx="6350" cy="439420"/>
              <wp:effectExtent l="0" t="0" r="0" b="0"/>
              <wp:wrapNone/>
              <wp:docPr id="1800" name="Graphic 1800"/>
              <wp:cNvGraphicFramePr>
                <a:graphicFrameLocks/>
              </wp:cNvGraphicFramePr>
              <a:graphic>
                <a:graphicData uri="http://schemas.microsoft.com/office/word/2010/wordprocessingShape">
                  <wps:wsp>
                    <wps:cNvPr id="1800" name="Graphic 1800"/>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95392" id="docshape1317" filled="true" fillcolor="#00587c" stroked="false">
              <v:fill type="solid"/>
              <w10:wrap type="none"/>
            </v:rect>
          </w:pict>
        </mc:Fallback>
      </mc:AlternateContent>
    </w:r>
    <w:r>
      <w:rPr>
        <w:sz w:val="20"/>
      </w:rPr>
      <w:drawing>
        <wp:anchor distT="0" distB="0" distL="0" distR="0" allowOverlap="1" layoutInCell="1" locked="0" behindDoc="1" simplePos="0" relativeHeight="474521600">
          <wp:simplePos x="0" y="0"/>
          <wp:positionH relativeFrom="page">
            <wp:posOffset>4721352</wp:posOffset>
          </wp:positionH>
          <wp:positionV relativeFrom="page">
            <wp:posOffset>612648</wp:posOffset>
          </wp:positionV>
          <wp:extent cx="681227" cy="292607"/>
          <wp:effectExtent l="0" t="0" r="0" b="0"/>
          <wp:wrapNone/>
          <wp:docPr id="1801" name="Image 1801"/>
          <wp:cNvGraphicFramePr>
            <a:graphicFrameLocks/>
          </wp:cNvGraphicFramePr>
          <a:graphic>
            <a:graphicData uri="http://schemas.openxmlformats.org/drawingml/2006/picture">
              <pic:pic>
                <pic:nvPicPr>
                  <pic:cNvPr id="1801" name="Image 1801"/>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22112">
              <wp:simplePos x="0" y="0"/>
              <wp:positionH relativeFrom="page">
                <wp:posOffset>4315967</wp:posOffset>
              </wp:positionH>
              <wp:positionV relativeFrom="page">
                <wp:posOffset>615696</wp:posOffset>
              </wp:positionV>
              <wp:extent cx="315595" cy="349250"/>
              <wp:effectExtent l="0" t="0" r="0" b="0"/>
              <wp:wrapNone/>
              <wp:docPr id="1802" name="Group 1802"/>
              <wp:cNvGraphicFramePr>
                <a:graphicFrameLocks/>
              </wp:cNvGraphicFramePr>
              <a:graphic>
                <a:graphicData uri="http://schemas.microsoft.com/office/word/2010/wordprocessingGroup">
                  <wpg:wgp>
                    <wpg:cNvPr id="1802" name="Group 1802"/>
                    <wpg:cNvGrpSpPr/>
                    <wpg:grpSpPr>
                      <a:xfrm>
                        <a:off x="0" y="0"/>
                        <a:ext cx="315595" cy="349250"/>
                        <a:chExt cx="315595" cy="349250"/>
                      </a:xfrm>
                    </wpg:grpSpPr>
                    <wps:wsp>
                      <wps:cNvPr id="1803" name="Graphic 1803"/>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804" name="Image 1804"/>
                        <pic:cNvPicPr/>
                      </pic:nvPicPr>
                      <pic:blipFill>
                        <a:blip r:embed="rId3" cstate="print"/>
                        <a:stretch>
                          <a:fillRect/>
                        </a:stretch>
                      </pic:blipFill>
                      <pic:spPr>
                        <a:xfrm>
                          <a:off x="39623" y="182618"/>
                          <a:ext cx="236220" cy="125102"/>
                        </a:xfrm>
                        <a:prstGeom prst="rect">
                          <a:avLst/>
                        </a:prstGeom>
                      </pic:spPr>
                    </pic:pic>
                    <wps:wsp>
                      <wps:cNvPr id="1805" name="Graphic 1805"/>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94368" id="docshapegroup1318" coordorigin="6797,970" coordsize="497,550">
              <v:shape style="position:absolute;left:6859;top:1032;width:312;height:190" id="docshape1319"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320" stroked="false">
                <v:imagedata r:id="rId3" o:title=""/>
              </v:shape>
              <v:shape style="position:absolute;left:6796;top:969;width:497;height:550" id="docshape1321"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22624">
              <wp:simplePos x="0" y="0"/>
              <wp:positionH relativeFrom="page">
                <wp:posOffset>5571744</wp:posOffset>
              </wp:positionH>
              <wp:positionV relativeFrom="page">
                <wp:posOffset>704088</wp:posOffset>
              </wp:positionV>
              <wp:extent cx="608330" cy="76200"/>
              <wp:effectExtent l="0" t="0" r="0" b="0"/>
              <wp:wrapNone/>
              <wp:docPr id="1806" name="Graphic 1806"/>
              <wp:cNvGraphicFramePr>
                <a:graphicFrameLocks/>
              </wp:cNvGraphicFramePr>
              <a:graphic>
                <a:graphicData uri="http://schemas.microsoft.com/office/word/2010/wordprocessingShape">
                  <wps:wsp>
                    <wps:cNvPr id="1806" name="Graphic 1806"/>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93856" id="docshape1322"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23136">
          <wp:simplePos x="0" y="0"/>
          <wp:positionH relativeFrom="page">
            <wp:posOffset>4315967</wp:posOffset>
          </wp:positionH>
          <wp:positionV relativeFrom="page">
            <wp:posOffset>525780</wp:posOffset>
          </wp:positionV>
          <wp:extent cx="316991" cy="70104"/>
          <wp:effectExtent l="0" t="0" r="0" b="0"/>
          <wp:wrapNone/>
          <wp:docPr id="1807" name="Image 1807"/>
          <wp:cNvGraphicFramePr>
            <a:graphicFrameLocks/>
          </wp:cNvGraphicFramePr>
          <a:graphic>
            <a:graphicData uri="http://schemas.openxmlformats.org/drawingml/2006/picture">
              <pic:pic>
                <pic:nvPicPr>
                  <pic:cNvPr id="1807" name="Image 1807"/>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23648">
              <wp:simplePos x="0" y="0"/>
              <wp:positionH relativeFrom="page">
                <wp:posOffset>5480303</wp:posOffset>
              </wp:positionH>
              <wp:positionV relativeFrom="page">
                <wp:posOffset>525780</wp:posOffset>
              </wp:positionV>
              <wp:extent cx="6350" cy="439420"/>
              <wp:effectExtent l="0" t="0" r="0" b="0"/>
              <wp:wrapNone/>
              <wp:docPr id="1808" name="Graphic 1808"/>
              <wp:cNvGraphicFramePr>
                <a:graphicFrameLocks/>
              </wp:cNvGraphicFramePr>
              <a:graphic>
                <a:graphicData uri="http://schemas.microsoft.com/office/word/2010/wordprocessingShape">
                  <wps:wsp>
                    <wps:cNvPr id="1808" name="Graphic 1808"/>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92832" id="docshape1323" filled="true" fillcolor="#00587c" stroked="false">
              <v:fill type="solid"/>
              <w10:wrap type="none"/>
            </v:rect>
          </w:pict>
        </mc:Fallback>
      </mc:AlternateContent>
    </w:r>
    <w:r>
      <w:rPr>
        <w:sz w:val="20"/>
      </w:rPr>
      <w:drawing>
        <wp:anchor distT="0" distB="0" distL="0" distR="0" allowOverlap="1" layoutInCell="1" locked="0" behindDoc="1" simplePos="0" relativeHeight="474524160">
          <wp:simplePos x="0" y="0"/>
          <wp:positionH relativeFrom="page">
            <wp:posOffset>4721352</wp:posOffset>
          </wp:positionH>
          <wp:positionV relativeFrom="page">
            <wp:posOffset>612648</wp:posOffset>
          </wp:positionV>
          <wp:extent cx="681227" cy="292607"/>
          <wp:effectExtent l="0" t="0" r="0" b="0"/>
          <wp:wrapNone/>
          <wp:docPr id="1809" name="Image 1809"/>
          <wp:cNvGraphicFramePr>
            <a:graphicFrameLocks/>
          </wp:cNvGraphicFramePr>
          <a:graphic>
            <a:graphicData uri="http://schemas.openxmlformats.org/drawingml/2006/picture">
              <pic:pic>
                <pic:nvPicPr>
                  <pic:cNvPr id="1809" name="Image 1809"/>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24672">
              <wp:simplePos x="0" y="0"/>
              <wp:positionH relativeFrom="page">
                <wp:posOffset>4315967</wp:posOffset>
              </wp:positionH>
              <wp:positionV relativeFrom="page">
                <wp:posOffset>615696</wp:posOffset>
              </wp:positionV>
              <wp:extent cx="315595" cy="349250"/>
              <wp:effectExtent l="0" t="0" r="0" b="0"/>
              <wp:wrapNone/>
              <wp:docPr id="1810" name="Group 1810"/>
              <wp:cNvGraphicFramePr>
                <a:graphicFrameLocks/>
              </wp:cNvGraphicFramePr>
              <a:graphic>
                <a:graphicData uri="http://schemas.microsoft.com/office/word/2010/wordprocessingGroup">
                  <wpg:wgp>
                    <wpg:cNvPr id="1810" name="Group 1810"/>
                    <wpg:cNvGrpSpPr/>
                    <wpg:grpSpPr>
                      <a:xfrm>
                        <a:off x="0" y="0"/>
                        <a:ext cx="315595" cy="349250"/>
                        <a:chExt cx="315595" cy="349250"/>
                      </a:xfrm>
                    </wpg:grpSpPr>
                    <wps:wsp>
                      <wps:cNvPr id="1811" name="Graphic 1811"/>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812" name="Image 1812"/>
                        <pic:cNvPicPr/>
                      </pic:nvPicPr>
                      <pic:blipFill>
                        <a:blip r:embed="rId3" cstate="print"/>
                        <a:stretch>
                          <a:fillRect/>
                        </a:stretch>
                      </pic:blipFill>
                      <pic:spPr>
                        <a:xfrm>
                          <a:off x="39623" y="182618"/>
                          <a:ext cx="236220" cy="125102"/>
                        </a:xfrm>
                        <a:prstGeom prst="rect">
                          <a:avLst/>
                        </a:prstGeom>
                      </pic:spPr>
                    </pic:pic>
                    <wps:wsp>
                      <wps:cNvPr id="1813" name="Graphic 1813"/>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91808" id="docshapegroup1324" coordorigin="6797,970" coordsize="497,550">
              <v:shape style="position:absolute;left:6859;top:1032;width:312;height:190" id="docshape1325"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326" stroked="false">
                <v:imagedata r:id="rId3" o:title=""/>
              </v:shape>
              <v:shape style="position:absolute;left:6796;top:969;width:497;height:550" id="docshape1327"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25184">
              <wp:simplePos x="0" y="0"/>
              <wp:positionH relativeFrom="page">
                <wp:posOffset>5571744</wp:posOffset>
              </wp:positionH>
              <wp:positionV relativeFrom="page">
                <wp:posOffset>704088</wp:posOffset>
              </wp:positionV>
              <wp:extent cx="608330" cy="76200"/>
              <wp:effectExtent l="0" t="0" r="0" b="0"/>
              <wp:wrapNone/>
              <wp:docPr id="1814" name="Graphic 1814"/>
              <wp:cNvGraphicFramePr>
                <a:graphicFrameLocks/>
              </wp:cNvGraphicFramePr>
              <a:graphic>
                <a:graphicData uri="http://schemas.microsoft.com/office/word/2010/wordprocessingShape">
                  <wps:wsp>
                    <wps:cNvPr id="1814" name="Graphic 1814"/>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91296" id="docshape1328"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25696">
          <wp:simplePos x="0" y="0"/>
          <wp:positionH relativeFrom="page">
            <wp:posOffset>4315967</wp:posOffset>
          </wp:positionH>
          <wp:positionV relativeFrom="page">
            <wp:posOffset>525780</wp:posOffset>
          </wp:positionV>
          <wp:extent cx="316991" cy="70104"/>
          <wp:effectExtent l="0" t="0" r="0" b="0"/>
          <wp:wrapNone/>
          <wp:docPr id="1840" name="Image 1840"/>
          <wp:cNvGraphicFramePr>
            <a:graphicFrameLocks/>
          </wp:cNvGraphicFramePr>
          <a:graphic>
            <a:graphicData uri="http://schemas.openxmlformats.org/drawingml/2006/picture">
              <pic:pic>
                <pic:nvPicPr>
                  <pic:cNvPr id="1840" name="Image 184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26208">
              <wp:simplePos x="0" y="0"/>
              <wp:positionH relativeFrom="page">
                <wp:posOffset>5480303</wp:posOffset>
              </wp:positionH>
              <wp:positionV relativeFrom="page">
                <wp:posOffset>525780</wp:posOffset>
              </wp:positionV>
              <wp:extent cx="6350" cy="439420"/>
              <wp:effectExtent l="0" t="0" r="0" b="0"/>
              <wp:wrapNone/>
              <wp:docPr id="1841" name="Graphic 1841"/>
              <wp:cNvGraphicFramePr>
                <a:graphicFrameLocks/>
              </wp:cNvGraphicFramePr>
              <a:graphic>
                <a:graphicData uri="http://schemas.microsoft.com/office/word/2010/wordprocessingShape">
                  <wps:wsp>
                    <wps:cNvPr id="1841" name="Graphic 184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90272" id="docshape1340" filled="true" fillcolor="#00587c" stroked="false">
              <v:fill type="solid"/>
              <w10:wrap type="none"/>
            </v:rect>
          </w:pict>
        </mc:Fallback>
      </mc:AlternateContent>
    </w:r>
    <w:r>
      <w:rPr>
        <w:sz w:val="20"/>
      </w:rPr>
      <w:drawing>
        <wp:anchor distT="0" distB="0" distL="0" distR="0" allowOverlap="1" layoutInCell="1" locked="0" behindDoc="1" simplePos="0" relativeHeight="474526720">
          <wp:simplePos x="0" y="0"/>
          <wp:positionH relativeFrom="page">
            <wp:posOffset>4721352</wp:posOffset>
          </wp:positionH>
          <wp:positionV relativeFrom="page">
            <wp:posOffset>612648</wp:posOffset>
          </wp:positionV>
          <wp:extent cx="681227" cy="292607"/>
          <wp:effectExtent l="0" t="0" r="0" b="0"/>
          <wp:wrapNone/>
          <wp:docPr id="1842" name="Image 1842"/>
          <wp:cNvGraphicFramePr>
            <a:graphicFrameLocks/>
          </wp:cNvGraphicFramePr>
          <a:graphic>
            <a:graphicData uri="http://schemas.openxmlformats.org/drawingml/2006/picture">
              <pic:pic>
                <pic:nvPicPr>
                  <pic:cNvPr id="1842" name="Image 184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27232">
              <wp:simplePos x="0" y="0"/>
              <wp:positionH relativeFrom="page">
                <wp:posOffset>4315967</wp:posOffset>
              </wp:positionH>
              <wp:positionV relativeFrom="page">
                <wp:posOffset>615696</wp:posOffset>
              </wp:positionV>
              <wp:extent cx="315595" cy="349250"/>
              <wp:effectExtent l="0" t="0" r="0" b="0"/>
              <wp:wrapNone/>
              <wp:docPr id="1843" name="Group 1843"/>
              <wp:cNvGraphicFramePr>
                <a:graphicFrameLocks/>
              </wp:cNvGraphicFramePr>
              <a:graphic>
                <a:graphicData uri="http://schemas.microsoft.com/office/word/2010/wordprocessingGroup">
                  <wpg:wgp>
                    <wpg:cNvPr id="1843" name="Group 1843"/>
                    <wpg:cNvGrpSpPr/>
                    <wpg:grpSpPr>
                      <a:xfrm>
                        <a:off x="0" y="0"/>
                        <a:ext cx="315595" cy="349250"/>
                        <a:chExt cx="315595" cy="349250"/>
                      </a:xfrm>
                    </wpg:grpSpPr>
                    <wps:wsp>
                      <wps:cNvPr id="1844" name="Graphic 184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845" name="Image 1845"/>
                        <pic:cNvPicPr/>
                      </pic:nvPicPr>
                      <pic:blipFill>
                        <a:blip r:embed="rId3" cstate="print"/>
                        <a:stretch>
                          <a:fillRect/>
                        </a:stretch>
                      </pic:blipFill>
                      <pic:spPr>
                        <a:xfrm>
                          <a:off x="39623" y="182618"/>
                          <a:ext cx="236220" cy="125102"/>
                        </a:xfrm>
                        <a:prstGeom prst="rect">
                          <a:avLst/>
                        </a:prstGeom>
                      </pic:spPr>
                    </pic:pic>
                    <wps:wsp>
                      <wps:cNvPr id="1846" name="Graphic 184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89248" id="docshapegroup1341" coordorigin="6797,970" coordsize="497,550">
              <v:shape style="position:absolute;left:6859;top:1032;width:312;height:190" id="docshape1342"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343" stroked="false">
                <v:imagedata r:id="rId3" o:title=""/>
              </v:shape>
              <v:shape style="position:absolute;left:6796;top:969;width:497;height:550" id="docshape1344"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27744">
              <wp:simplePos x="0" y="0"/>
              <wp:positionH relativeFrom="page">
                <wp:posOffset>5571744</wp:posOffset>
              </wp:positionH>
              <wp:positionV relativeFrom="page">
                <wp:posOffset>704088</wp:posOffset>
              </wp:positionV>
              <wp:extent cx="608330" cy="76200"/>
              <wp:effectExtent l="0" t="0" r="0" b="0"/>
              <wp:wrapNone/>
              <wp:docPr id="1847" name="Graphic 1847"/>
              <wp:cNvGraphicFramePr>
                <a:graphicFrameLocks/>
              </wp:cNvGraphicFramePr>
              <a:graphic>
                <a:graphicData uri="http://schemas.microsoft.com/office/word/2010/wordprocessingShape">
                  <wps:wsp>
                    <wps:cNvPr id="1847" name="Graphic 184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88736" id="docshape1345"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28256">
          <wp:simplePos x="0" y="0"/>
          <wp:positionH relativeFrom="page">
            <wp:posOffset>4315967</wp:posOffset>
          </wp:positionH>
          <wp:positionV relativeFrom="page">
            <wp:posOffset>525780</wp:posOffset>
          </wp:positionV>
          <wp:extent cx="316991" cy="70104"/>
          <wp:effectExtent l="0" t="0" r="0" b="0"/>
          <wp:wrapNone/>
          <wp:docPr id="1848" name="Image 1848"/>
          <wp:cNvGraphicFramePr>
            <a:graphicFrameLocks/>
          </wp:cNvGraphicFramePr>
          <a:graphic>
            <a:graphicData uri="http://schemas.openxmlformats.org/drawingml/2006/picture">
              <pic:pic>
                <pic:nvPicPr>
                  <pic:cNvPr id="1848" name="Image 184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28768">
              <wp:simplePos x="0" y="0"/>
              <wp:positionH relativeFrom="page">
                <wp:posOffset>5480303</wp:posOffset>
              </wp:positionH>
              <wp:positionV relativeFrom="page">
                <wp:posOffset>525780</wp:posOffset>
              </wp:positionV>
              <wp:extent cx="6350" cy="439420"/>
              <wp:effectExtent l="0" t="0" r="0" b="0"/>
              <wp:wrapNone/>
              <wp:docPr id="1849" name="Graphic 1849"/>
              <wp:cNvGraphicFramePr>
                <a:graphicFrameLocks/>
              </wp:cNvGraphicFramePr>
              <a:graphic>
                <a:graphicData uri="http://schemas.microsoft.com/office/word/2010/wordprocessingShape">
                  <wps:wsp>
                    <wps:cNvPr id="1849" name="Graphic 184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87712" id="docshape1346" filled="true" fillcolor="#00587c" stroked="false">
              <v:fill type="solid"/>
              <w10:wrap type="none"/>
            </v:rect>
          </w:pict>
        </mc:Fallback>
      </mc:AlternateContent>
    </w:r>
    <w:r>
      <w:rPr>
        <w:sz w:val="20"/>
      </w:rPr>
      <w:drawing>
        <wp:anchor distT="0" distB="0" distL="0" distR="0" allowOverlap="1" layoutInCell="1" locked="0" behindDoc="1" simplePos="0" relativeHeight="474529280">
          <wp:simplePos x="0" y="0"/>
          <wp:positionH relativeFrom="page">
            <wp:posOffset>4721352</wp:posOffset>
          </wp:positionH>
          <wp:positionV relativeFrom="page">
            <wp:posOffset>612648</wp:posOffset>
          </wp:positionV>
          <wp:extent cx="681227" cy="292607"/>
          <wp:effectExtent l="0" t="0" r="0" b="0"/>
          <wp:wrapNone/>
          <wp:docPr id="1850" name="Image 1850"/>
          <wp:cNvGraphicFramePr>
            <a:graphicFrameLocks/>
          </wp:cNvGraphicFramePr>
          <a:graphic>
            <a:graphicData uri="http://schemas.openxmlformats.org/drawingml/2006/picture">
              <pic:pic>
                <pic:nvPicPr>
                  <pic:cNvPr id="1850" name="Image 185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29792">
              <wp:simplePos x="0" y="0"/>
              <wp:positionH relativeFrom="page">
                <wp:posOffset>4315967</wp:posOffset>
              </wp:positionH>
              <wp:positionV relativeFrom="page">
                <wp:posOffset>615696</wp:posOffset>
              </wp:positionV>
              <wp:extent cx="315595" cy="349250"/>
              <wp:effectExtent l="0" t="0" r="0" b="0"/>
              <wp:wrapNone/>
              <wp:docPr id="1851" name="Group 1851"/>
              <wp:cNvGraphicFramePr>
                <a:graphicFrameLocks/>
              </wp:cNvGraphicFramePr>
              <a:graphic>
                <a:graphicData uri="http://schemas.microsoft.com/office/word/2010/wordprocessingGroup">
                  <wpg:wgp>
                    <wpg:cNvPr id="1851" name="Group 1851"/>
                    <wpg:cNvGrpSpPr/>
                    <wpg:grpSpPr>
                      <a:xfrm>
                        <a:off x="0" y="0"/>
                        <a:ext cx="315595" cy="349250"/>
                        <a:chExt cx="315595" cy="349250"/>
                      </a:xfrm>
                    </wpg:grpSpPr>
                    <wps:wsp>
                      <wps:cNvPr id="1852" name="Graphic 185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853" name="Image 1853"/>
                        <pic:cNvPicPr/>
                      </pic:nvPicPr>
                      <pic:blipFill>
                        <a:blip r:embed="rId3" cstate="print"/>
                        <a:stretch>
                          <a:fillRect/>
                        </a:stretch>
                      </pic:blipFill>
                      <pic:spPr>
                        <a:xfrm>
                          <a:off x="39623" y="182618"/>
                          <a:ext cx="236220" cy="125102"/>
                        </a:xfrm>
                        <a:prstGeom prst="rect">
                          <a:avLst/>
                        </a:prstGeom>
                      </pic:spPr>
                    </pic:pic>
                    <wps:wsp>
                      <wps:cNvPr id="1854" name="Graphic 185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86688" id="docshapegroup1347" coordorigin="6797,970" coordsize="497,550">
              <v:shape style="position:absolute;left:6859;top:1032;width:312;height:190" id="docshape1348"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349" stroked="false">
                <v:imagedata r:id="rId3" o:title=""/>
              </v:shape>
              <v:shape style="position:absolute;left:6796;top:969;width:497;height:550" id="docshape1350"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30304">
              <wp:simplePos x="0" y="0"/>
              <wp:positionH relativeFrom="page">
                <wp:posOffset>5571744</wp:posOffset>
              </wp:positionH>
              <wp:positionV relativeFrom="page">
                <wp:posOffset>704088</wp:posOffset>
              </wp:positionV>
              <wp:extent cx="608330" cy="76200"/>
              <wp:effectExtent l="0" t="0" r="0" b="0"/>
              <wp:wrapNone/>
              <wp:docPr id="1855" name="Graphic 1855"/>
              <wp:cNvGraphicFramePr>
                <a:graphicFrameLocks/>
              </wp:cNvGraphicFramePr>
              <a:graphic>
                <a:graphicData uri="http://schemas.microsoft.com/office/word/2010/wordprocessingShape">
                  <wps:wsp>
                    <wps:cNvPr id="1855" name="Graphic 185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86176" id="docshape1351"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30816">
          <wp:simplePos x="0" y="0"/>
          <wp:positionH relativeFrom="page">
            <wp:posOffset>4315967</wp:posOffset>
          </wp:positionH>
          <wp:positionV relativeFrom="page">
            <wp:posOffset>525780</wp:posOffset>
          </wp:positionV>
          <wp:extent cx="316991" cy="70104"/>
          <wp:effectExtent l="0" t="0" r="0" b="0"/>
          <wp:wrapNone/>
          <wp:docPr id="1880" name="Image 1880"/>
          <wp:cNvGraphicFramePr>
            <a:graphicFrameLocks/>
          </wp:cNvGraphicFramePr>
          <a:graphic>
            <a:graphicData uri="http://schemas.openxmlformats.org/drawingml/2006/picture">
              <pic:pic>
                <pic:nvPicPr>
                  <pic:cNvPr id="1880" name="Image 188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31328">
              <wp:simplePos x="0" y="0"/>
              <wp:positionH relativeFrom="page">
                <wp:posOffset>5480303</wp:posOffset>
              </wp:positionH>
              <wp:positionV relativeFrom="page">
                <wp:posOffset>525780</wp:posOffset>
              </wp:positionV>
              <wp:extent cx="6350" cy="439420"/>
              <wp:effectExtent l="0" t="0" r="0" b="0"/>
              <wp:wrapNone/>
              <wp:docPr id="1881" name="Graphic 1881"/>
              <wp:cNvGraphicFramePr>
                <a:graphicFrameLocks/>
              </wp:cNvGraphicFramePr>
              <a:graphic>
                <a:graphicData uri="http://schemas.microsoft.com/office/word/2010/wordprocessingShape">
                  <wps:wsp>
                    <wps:cNvPr id="1881" name="Graphic 188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85152" id="docshape1363" filled="true" fillcolor="#00587c" stroked="false">
              <v:fill type="solid"/>
              <w10:wrap type="none"/>
            </v:rect>
          </w:pict>
        </mc:Fallback>
      </mc:AlternateContent>
    </w:r>
    <w:r>
      <w:rPr>
        <w:sz w:val="20"/>
      </w:rPr>
      <w:drawing>
        <wp:anchor distT="0" distB="0" distL="0" distR="0" allowOverlap="1" layoutInCell="1" locked="0" behindDoc="1" simplePos="0" relativeHeight="474531840">
          <wp:simplePos x="0" y="0"/>
          <wp:positionH relativeFrom="page">
            <wp:posOffset>4721352</wp:posOffset>
          </wp:positionH>
          <wp:positionV relativeFrom="page">
            <wp:posOffset>612648</wp:posOffset>
          </wp:positionV>
          <wp:extent cx="681227" cy="292607"/>
          <wp:effectExtent l="0" t="0" r="0" b="0"/>
          <wp:wrapNone/>
          <wp:docPr id="1882" name="Image 1882"/>
          <wp:cNvGraphicFramePr>
            <a:graphicFrameLocks/>
          </wp:cNvGraphicFramePr>
          <a:graphic>
            <a:graphicData uri="http://schemas.openxmlformats.org/drawingml/2006/picture">
              <pic:pic>
                <pic:nvPicPr>
                  <pic:cNvPr id="1882" name="Image 188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32352">
              <wp:simplePos x="0" y="0"/>
              <wp:positionH relativeFrom="page">
                <wp:posOffset>4315967</wp:posOffset>
              </wp:positionH>
              <wp:positionV relativeFrom="page">
                <wp:posOffset>615696</wp:posOffset>
              </wp:positionV>
              <wp:extent cx="315595" cy="349250"/>
              <wp:effectExtent l="0" t="0" r="0" b="0"/>
              <wp:wrapNone/>
              <wp:docPr id="1883" name="Group 1883"/>
              <wp:cNvGraphicFramePr>
                <a:graphicFrameLocks/>
              </wp:cNvGraphicFramePr>
              <a:graphic>
                <a:graphicData uri="http://schemas.microsoft.com/office/word/2010/wordprocessingGroup">
                  <wpg:wgp>
                    <wpg:cNvPr id="1883" name="Group 1883"/>
                    <wpg:cNvGrpSpPr/>
                    <wpg:grpSpPr>
                      <a:xfrm>
                        <a:off x="0" y="0"/>
                        <a:ext cx="315595" cy="349250"/>
                        <a:chExt cx="315595" cy="349250"/>
                      </a:xfrm>
                    </wpg:grpSpPr>
                    <wps:wsp>
                      <wps:cNvPr id="1884" name="Graphic 188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885" name="Image 1885"/>
                        <pic:cNvPicPr/>
                      </pic:nvPicPr>
                      <pic:blipFill>
                        <a:blip r:embed="rId3" cstate="print"/>
                        <a:stretch>
                          <a:fillRect/>
                        </a:stretch>
                      </pic:blipFill>
                      <pic:spPr>
                        <a:xfrm>
                          <a:off x="39623" y="182618"/>
                          <a:ext cx="236220" cy="125102"/>
                        </a:xfrm>
                        <a:prstGeom prst="rect">
                          <a:avLst/>
                        </a:prstGeom>
                      </pic:spPr>
                    </pic:pic>
                    <wps:wsp>
                      <wps:cNvPr id="1886" name="Graphic 188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84128" id="docshapegroup1364" coordorigin="6797,970" coordsize="497,550">
              <v:shape style="position:absolute;left:6859;top:1032;width:312;height:190" id="docshape1365"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366" stroked="false">
                <v:imagedata r:id="rId3" o:title=""/>
              </v:shape>
              <v:shape style="position:absolute;left:6796;top:969;width:497;height:550" id="docshape1367"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32864">
              <wp:simplePos x="0" y="0"/>
              <wp:positionH relativeFrom="page">
                <wp:posOffset>5571744</wp:posOffset>
              </wp:positionH>
              <wp:positionV relativeFrom="page">
                <wp:posOffset>704088</wp:posOffset>
              </wp:positionV>
              <wp:extent cx="608330" cy="76200"/>
              <wp:effectExtent l="0" t="0" r="0" b="0"/>
              <wp:wrapNone/>
              <wp:docPr id="1887" name="Graphic 1887"/>
              <wp:cNvGraphicFramePr>
                <a:graphicFrameLocks/>
              </wp:cNvGraphicFramePr>
              <a:graphic>
                <a:graphicData uri="http://schemas.microsoft.com/office/word/2010/wordprocessingShape">
                  <wps:wsp>
                    <wps:cNvPr id="1887" name="Graphic 188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83616" id="docshape1368"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33376">
          <wp:simplePos x="0" y="0"/>
          <wp:positionH relativeFrom="page">
            <wp:posOffset>4315967</wp:posOffset>
          </wp:positionH>
          <wp:positionV relativeFrom="page">
            <wp:posOffset>525780</wp:posOffset>
          </wp:positionV>
          <wp:extent cx="316991" cy="70104"/>
          <wp:effectExtent l="0" t="0" r="0" b="0"/>
          <wp:wrapNone/>
          <wp:docPr id="1888" name="Image 1888"/>
          <wp:cNvGraphicFramePr>
            <a:graphicFrameLocks/>
          </wp:cNvGraphicFramePr>
          <a:graphic>
            <a:graphicData uri="http://schemas.openxmlformats.org/drawingml/2006/picture">
              <pic:pic>
                <pic:nvPicPr>
                  <pic:cNvPr id="1888" name="Image 188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33888">
              <wp:simplePos x="0" y="0"/>
              <wp:positionH relativeFrom="page">
                <wp:posOffset>5480303</wp:posOffset>
              </wp:positionH>
              <wp:positionV relativeFrom="page">
                <wp:posOffset>525780</wp:posOffset>
              </wp:positionV>
              <wp:extent cx="6350" cy="439420"/>
              <wp:effectExtent l="0" t="0" r="0" b="0"/>
              <wp:wrapNone/>
              <wp:docPr id="1889" name="Graphic 1889"/>
              <wp:cNvGraphicFramePr>
                <a:graphicFrameLocks/>
              </wp:cNvGraphicFramePr>
              <a:graphic>
                <a:graphicData uri="http://schemas.microsoft.com/office/word/2010/wordprocessingShape">
                  <wps:wsp>
                    <wps:cNvPr id="1889" name="Graphic 188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82592" id="docshape1369" filled="true" fillcolor="#00587c" stroked="false">
              <v:fill type="solid"/>
              <w10:wrap type="none"/>
            </v:rect>
          </w:pict>
        </mc:Fallback>
      </mc:AlternateContent>
    </w:r>
    <w:r>
      <w:rPr>
        <w:sz w:val="20"/>
      </w:rPr>
      <w:drawing>
        <wp:anchor distT="0" distB="0" distL="0" distR="0" allowOverlap="1" layoutInCell="1" locked="0" behindDoc="1" simplePos="0" relativeHeight="474534400">
          <wp:simplePos x="0" y="0"/>
          <wp:positionH relativeFrom="page">
            <wp:posOffset>4721352</wp:posOffset>
          </wp:positionH>
          <wp:positionV relativeFrom="page">
            <wp:posOffset>612648</wp:posOffset>
          </wp:positionV>
          <wp:extent cx="681227" cy="292607"/>
          <wp:effectExtent l="0" t="0" r="0" b="0"/>
          <wp:wrapNone/>
          <wp:docPr id="1890" name="Image 1890"/>
          <wp:cNvGraphicFramePr>
            <a:graphicFrameLocks/>
          </wp:cNvGraphicFramePr>
          <a:graphic>
            <a:graphicData uri="http://schemas.openxmlformats.org/drawingml/2006/picture">
              <pic:pic>
                <pic:nvPicPr>
                  <pic:cNvPr id="1890" name="Image 189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34912">
              <wp:simplePos x="0" y="0"/>
              <wp:positionH relativeFrom="page">
                <wp:posOffset>4315967</wp:posOffset>
              </wp:positionH>
              <wp:positionV relativeFrom="page">
                <wp:posOffset>615696</wp:posOffset>
              </wp:positionV>
              <wp:extent cx="315595" cy="349250"/>
              <wp:effectExtent l="0" t="0" r="0" b="0"/>
              <wp:wrapNone/>
              <wp:docPr id="1891" name="Group 1891"/>
              <wp:cNvGraphicFramePr>
                <a:graphicFrameLocks/>
              </wp:cNvGraphicFramePr>
              <a:graphic>
                <a:graphicData uri="http://schemas.microsoft.com/office/word/2010/wordprocessingGroup">
                  <wpg:wgp>
                    <wpg:cNvPr id="1891" name="Group 1891"/>
                    <wpg:cNvGrpSpPr/>
                    <wpg:grpSpPr>
                      <a:xfrm>
                        <a:off x="0" y="0"/>
                        <a:ext cx="315595" cy="349250"/>
                        <a:chExt cx="315595" cy="349250"/>
                      </a:xfrm>
                    </wpg:grpSpPr>
                    <wps:wsp>
                      <wps:cNvPr id="1892" name="Graphic 189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893" name="Image 1893"/>
                        <pic:cNvPicPr/>
                      </pic:nvPicPr>
                      <pic:blipFill>
                        <a:blip r:embed="rId3" cstate="print"/>
                        <a:stretch>
                          <a:fillRect/>
                        </a:stretch>
                      </pic:blipFill>
                      <pic:spPr>
                        <a:xfrm>
                          <a:off x="39623" y="182618"/>
                          <a:ext cx="236220" cy="125102"/>
                        </a:xfrm>
                        <a:prstGeom prst="rect">
                          <a:avLst/>
                        </a:prstGeom>
                      </pic:spPr>
                    </pic:pic>
                    <wps:wsp>
                      <wps:cNvPr id="1894" name="Graphic 189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81568" id="docshapegroup1370" coordorigin="6797,970" coordsize="497,550">
              <v:shape style="position:absolute;left:6859;top:1032;width:312;height:190" id="docshape1371"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372" stroked="false">
                <v:imagedata r:id="rId3" o:title=""/>
              </v:shape>
              <v:shape style="position:absolute;left:6796;top:969;width:497;height:550" id="docshape1373"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35424">
              <wp:simplePos x="0" y="0"/>
              <wp:positionH relativeFrom="page">
                <wp:posOffset>5571744</wp:posOffset>
              </wp:positionH>
              <wp:positionV relativeFrom="page">
                <wp:posOffset>704088</wp:posOffset>
              </wp:positionV>
              <wp:extent cx="608330" cy="76200"/>
              <wp:effectExtent l="0" t="0" r="0" b="0"/>
              <wp:wrapNone/>
              <wp:docPr id="1895" name="Graphic 1895"/>
              <wp:cNvGraphicFramePr>
                <a:graphicFrameLocks/>
              </wp:cNvGraphicFramePr>
              <a:graphic>
                <a:graphicData uri="http://schemas.microsoft.com/office/word/2010/wordprocessingShape">
                  <wps:wsp>
                    <wps:cNvPr id="1895" name="Graphic 189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81056" id="docshape1374"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35936">
          <wp:simplePos x="0" y="0"/>
          <wp:positionH relativeFrom="page">
            <wp:posOffset>4315967</wp:posOffset>
          </wp:positionH>
          <wp:positionV relativeFrom="page">
            <wp:posOffset>525780</wp:posOffset>
          </wp:positionV>
          <wp:extent cx="316991" cy="70104"/>
          <wp:effectExtent l="0" t="0" r="0" b="0"/>
          <wp:wrapNone/>
          <wp:docPr id="1913" name="Image 1913"/>
          <wp:cNvGraphicFramePr>
            <a:graphicFrameLocks/>
          </wp:cNvGraphicFramePr>
          <a:graphic>
            <a:graphicData uri="http://schemas.openxmlformats.org/drawingml/2006/picture">
              <pic:pic>
                <pic:nvPicPr>
                  <pic:cNvPr id="1913" name="Image 191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36448">
              <wp:simplePos x="0" y="0"/>
              <wp:positionH relativeFrom="page">
                <wp:posOffset>5480303</wp:posOffset>
              </wp:positionH>
              <wp:positionV relativeFrom="page">
                <wp:posOffset>525780</wp:posOffset>
              </wp:positionV>
              <wp:extent cx="6350" cy="439420"/>
              <wp:effectExtent l="0" t="0" r="0" b="0"/>
              <wp:wrapNone/>
              <wp:docPr id="1914" name="Graphic 1914"/>
              <wp:cNvGraphicFramePr>
                <a:graphicFrameLocks/>
              </wp:cNvGraphicFramePr>
              <a:graphic>
                <a:graphicData uri="http://schemas.microsoft.com/office/word/2010/wordprocessingShape">
                  <wps:wsp>
                    <wps:cNvPr id="1914" name="Graphic 191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80032" id="docshape1386" filled="true" fillcolor="#00587c" stroked="false">
              <v:fill type="solid"/>
              <w10:wrap type="none"/>
            </v:rect>
          </w:pict>
        </mc:Fallback>
      </mc:AlternateContent>
    </w:r>
    <w:r>
      <w:rPr>
        <w:sz w:val="20"/>
      </w:rPr>
      <w:drawing>
        <wp:anchor distT="0" distB="0" distL="0" distR="0" allowOverlap="1" layoutInCell="1" locked="0" behindDoc="1" simplePos="0" relativeHeight="474536960">
          <wp:simplePos x="0" y="0"/>
          <wp:positionH relativeFrom="page">
            <wp:posOffset>4721352</wp:posOffset>
          </wp:positionH>
          <wp:positionV relativeFrom="page">
            <wp:posOffset>612648</wp:posOffset>
          </wp:positionV>
          <wp:extent cx="681227" cy="292607"/>
          <wp:effectExtent l="0" t="0" r="0" b="0"/>
          <wp:wrapNone/>
          <wp:docPr id="1915" name="Image 1915"/>
          <wp:cNvGraphicFramePr>
            <a:graphicFrameLocks/>
          </wp:cNvGraphicFramePr>
          <a:graphic>
            <a:graphicData uri="http://schemas.openxmlformats.org/drawingml/2006/picture">
              <pic:pic>
                <pic:nvPicPr>
                  <pic:cNvPr id="1915" name="Image 191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37472">
              <wp:simplePos x="0" y="0"/>
              <wp:positionH relativeFrom="page">
                <wp:posOffset>4315967</wp:posOffset>
              </wp:positionH>
              <wp:positionV relativeFrom="page">
                <wp:posOffset>615696</wp:posOffset>
              </wp:positionV>
              <wp:extent cx="315595" cy="349250"/>
              <wp:effectExtent l="0" t="0" r="0" b="0"/>
              <wp:wrapNone/>
              <wp:docPr id="1916" name="Group 1916"/>
              <wp:cNvGraphicFramePr>
                <a:graphicFrameLocks/>
              </wp:cNvGraphicFramePr>
              <a:graphic>
                <a:graphicData uri="http://schemas.microsoft.com/office/word/2010/wordprocessingGroup">
                  <wpg:wgp>
                    <wpg:cNvPr id="1916" name="Group 1916"/>
                    <wpg:cNvGrpSpPr/>
                    <wpg:grpSpPr>
                      <a:xfrm>
                        <a:off x="0" y="0"/>
                        <a:ext cx="315595" cy="349250"/>
                        <a:chExt cx="315595" cy="349250"/>
                      </a:xfrm>
                    </wpg:grpSpPr>
                    <wps:wsp>
                      <wps:cNvPr id="1917" name="Graphic 191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918" name="Image 1918"/>
                        <pic:cNvPicPr/>
                      </pic:nvPicPr>
                      <pic:blipFill>
                        <a:blip r:embed="rId3" cstate="print"/>
                        <a:stretch>
                          <a:fillRect/>
                        </a:stretch>
                      </pic:blipFill>
                      <pic:spPr>
                        <a:xfrm>
                          <a:off x="39623" y="182618"/>
                          <a:ext cx="236220" cy="125102"/>
                        </a:xfrm>
                        <a:prstGeom prst="rect">
                          <a:avLst/>
                        </a:prstGeom>
                      </pic:spPr>
                    </pic:pic>
                    <wps:wsp>
                      <wps:cNvPr id="1919" name="Graphic 191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79008" id="docshapegroup1387" coordorigin="6797,970" coordsize="497,550">
              <v:shape style="position:absolute;left:6859;top:1032;width:312;height:190" id="docshape1388"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389" stroked="false">
                <v:imagedata r:id="rId3" o:title=""/>
              </v:shape>
              <v:shape style="position:absolute;left:6796;top:969;width:497;height:550" id="docshape1390"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37984">
              <wp:simplePos x="0" y="0"/>
              <wp:positionH relativeFrom="page">
                <wp:posOffset>5571744</wp:posOffset>
              </wp:positionH>
              <wp:positionV relativeFrom="page">
                <wp:posOffset>704088</wp:posOffset>
              </wp:positionV>
              <wp:extent cx="608330" cy="76200"/>
              <wp:effectExtent l="0" t="0" r="0" b="0"/>
              <wp:wrapNone/>
              <wp:docPr id="1920" name="Graphic 1920"/>
              <wp:cNvGraphicFramePr>
                <a:graphicFrameLocks/>
              </wp:cNvGraphicFramePr>
              <a:graphic>
                <a:graphicData uri="http://schemas.microsoft.com/office/word/2010/wordprocessingShape">
                  <wps:wsp>
                    <wps:cNvPr id="1920" name="Graphic 192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78496" id="docshape1391"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38496">
          <wp:simplePos x="0" y="0"/>
          <wp:positionH relativeFrom="page">
            <wp:posOffset>4315967</wp:posOffset>
          </wp:positionH>
          <wp:positionV relativeFrom="page">
            <wp:posOffset>525780</wp:posOffset>
          </wp:positionV>
          <wp:extent cx="316991" cy="70104"/>
          <wp:effectExtent l="0" t="0" r="0" b="0"/>
          <wp:wrapNone/>
          <wp:docPr id="1921" name="Image 1921"/>
          <wp:cNvGraphicFramePr>
            <a:graphicFrameLocks/>
          </wp:cNvGraphicFramePr>
          <a:graphic>
            <a:graphicData uri="http://schemas.openxmlformats.org/drawingml/2006/picture">
              <pic:pic>
                <pic:nvPicPr>
                  <pic:cNvPr id="1921" name="Image 1921"/>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39008">
              <wp:simplePos x="0" y="0"/>
              <wp:positionH relativeFrom="page">
                <wp:posOffset>5480303</wp:posOffset>
              </wp:positionH>
              <wp:positionV relativeFrom="page">
                <wp:posOffset>525780</wp:posOffset>
              </wp:positionV>
              <wp:extent cx="6350" cy="439420"/>
              <wp:effectExtent l="0" t="0" r="0" b="0"/>
              <wp:wrapNone/>
              <wp:docPr id="1922" name="Graphic 1922"/>
              <wp:cNvGraphicFramePr>
                <a:graphicFrameLocks/>
              </wp:cNvGraphicFramePr>
              <a:graphic>
                <a:graphicData uri="http://schemas.microsoft.com/office/word/2010/wordprocessingShape">
                  <wps:wsp>
                    <wps:cNvPr id="1922" name="Graphic 1922"/>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77472" id="docshape1392" filled="true" fillcolor="#00587c" stroked="false">
              <v:fill type="solid"/>
              <w10:wrap type="none"/>
            </v:rect>
          </w:pict>
        </mc:Fallback>
      </mc:AlternateContent>
    </w:r>
    <w:r>
      <w:rPr>
        <w:sz w:val="20"/>
      </w:rPr>
      <w:drawing>
        <wp:anchor distT="0" distB="0" distL="0" distR="0" allowOverlap="1" layoutInCell="1" locked="0" behindDoc="1" simplePos="0" relativeHeight="474539520">
          <wp:simplePos x="0" y="0"/>
          <wp:positionH relativeFrom="page">
            <wp:posOffset>4721352</wp:posOffset>
          </wp:positionH>
          <wp:positionV relativeFrom="page">
            <wp:posOffset>612648</wp:posOffset>
          </wp:positionV>
          <wp:extent cx="681227" cy="292607"/>
          <wp:effectExtent l="0" t="0" r="0" b="0"/>
          <wp:wrapNone/>
          <wp:docPr id="1923" name="Image 1923"/>
          <wp:cNvGraphicFramePr>
            <a:graphicFrameLocks/>
          </wp:cNvGraphicFramePr>
          <a:graphic>
            <a:graphicData uri="http://schemas.openxmlformats.org/drawingml/2006/picture">
              <pic:pic>
                <pic:nvPicPr>
                  <pic:cNvPr id="1923" name="Image 1923"/>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40032">
              <wp:simplePos x="0" y="0"/>
              <wp:positionH relativeFrom="page">
                <wp:posOffset>4315967</wp:posOffset>
              </wp:positionH>
              <wp:positionV relativeFrom="page">
                <wp:posOffset>615696</wp:posOffset>
              </wp:positionV>
              <wp:extent cx="315595" cy="349250"/>
              <wp:effectExtent l="0" t="0" r="0" b="0"/>
              <wp:wrapNone/>
              <wp:docPr id="1924" name="Group 1924"/>
              <wp:cNvGraphicFramePr>
                <a:graphicFrameLocks/>
              </wp:cNvGraphicFramePr>
              <a:graphic>
                <a:graphicData uri="http://schemas.microsoft.com/office/word/2010/wordprocessingGroup">
                  <wpg:wgp>
                    <wpg:cNvPr id="1924" name="Group 1924"/>
                    <wpg:cNvGrpSpPr/>
                    <wpg:grpSpPr>
                      <a:xfrm>
                        <a:off x="0" y="0"/>
                        <a:ext cx="315595" cy="349250"/>
                        <a:chExt cx="315595" cy="349250"/>
                      </a:xfrm>
                    </wpg:grpSpPr>
                    <wps:wsp>
                      <wps:cNvPr id="1925" name="Graphic 1925"/>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926" name="Image 1926"/>
                        <pic:cNvPicPr/>
                      </pic:nvPicPr>
                      <pic:blipFill>
                        <a:blip r:embed="rId3" cstate="print"/>
                        <a:stretch>
                          <a:fillRect/>
                        </a:stretch>
                      </pic:blipFill>
                      <pic:spPr>
                        <a:xfrm>
                          <a:off x="39623" y="182618"/>
                          <a:ext cx="236220" cy="125102"/>
                        </a:xfrm>
                        <a:prstGeom prst="rect">
                          <a:avLst/>
                        </a:prstGeom>
                      </pic:spPr>
                    </pic:pic>
                    <wps:wsp>
                      <wps:cNvPr id="1927" name="Graphic 1927"/>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76448" id="docshapegroup1393" coordorigin="6797,970" coordsize="497,550">
              <v:shape style="position:absolute;left:6859;top:1032;width:312;height:190" id="docshape1394"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395" stroked="false">
                <v:imagedata r:id="rId3" o:title=""/>
              </v:shape>
              <v:shape style="position:absolute;left:6796;top:969;width:497;height:550" id="docshape1396"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40544">
              <wp:simplePos x="0" y="0"/>
              <wp:positionH relativeFrom="page">
                <wp:posOffset>5571744</wp:posOffset>
              </wp:positionH>
              <wp:positionV relativeFrom="page">
                <wp:posOffset>704088</wp:posOffset>
              </wp:positionV>
              <wp:extent cx="608330" cy="76200"/>
              <wp:effectExtent l="0" t="0" r="0" b="0"/>
              <wp:wrapNone/>
              <wp:docPr id="1928" name="Graphic 1928"/>
              <wp:cNvGraphicFramePr>
                <a:graphicFrameLocks/>
              </wp:cNvGraphicFramePr>
              <a:graphic>
                <a:graphicData uri="http://schemas.microsoft.com/office/word/2010/wordprocessingShape">
                  <wps:wsp>
                    <wps:cNvPr id="1928" name="Graphic 1928"/>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75936" id="docshape1397"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2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41056">
          <wp:simplePos x="0" y="0"/>
          <wp:positionH relativeFrom="page">
            <wp:posOffset>4315967</wp:posOffset>
          </wp:positionH>
          <wp:positionV relativeFrom="page">
            <wp:posOffset>525780</wp:posOffset>
          </wp:positionV>
          <wp:extent cx="316991" cy="70104"/>
          <wp:effectExtent l="0" t="0" r="0" b="0"/>
          <wp:wrapNone/>
          <wp:docPr id="1946" name="Image 1946"/>
          <wp:cNvGraphicFramePr>
            <a:graphicFrameLocks/>
          </wp:cNvGraphicFramePr>
          <a:graphic>
            <a:graphicData uri="http://schemas.openxmlformats.org/drawingml/2006/picture">
              <pic:pic>
                <pic:nvPicPr>
                  <pic:cNvPr id="1946" name="Image 1946"/>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41568">
              <wp:simplePos x="0" y="0"/>
              <wp:positionH relativeFrom="page">
                <wp:posOffset>5480303</wp:posOffset>
              </wp:positionH>
              <wp:positionV relativeFrom="page">
                <wp:posOffset>525780</wp:posOffset>
              </wp:positionV>
              <wp:extent cx="6350" cy="439420"/>
              <wp:effectExtent l="0" t="0" r="0" b="0"/>
              <wp:wrapNone/>
              <wp:docPr id="1947" name="Graphic 1947"/>
              <wp:cNvGraphicFramePr>
                <a:graphicFrameLocks/>
              </wp:cNvGraphicFramePr>
              <a:graphic>
                <a:graphicData uri="http://schemas.microsoft.com/office/word/2010/wordprocessingShape">
                  <wps:wsp>
                    <wps:cNvPr id="1947" name="Graphic 1947"/>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74912" id="docshape1409" filled="true" fillcolor="#00587c" stroked="false">
              <v:fill type="solid"/>
              <w10:wrap type="none"/>
            </v:rect>
          </w:pict>
        </mc:Fallback>
      </mc:AlternateContent>
    </w:r>
    <w:r>
      <w:rPr>
        <w:sz w:val="20"/>
      </w:rPr>
      <w:drawing>
        <wp:anchor distT="0" distB="0" distL="0" distR="0" allowOverlap="1" layoutInCell="1" locked="0" behindDoc="1" simplePos="0" relativeHeight="474542080">
          <wp:simplePos x="0" y="0"/>
          <wp:positionH relativeFrom="page">
            <wp:posOffset>4721352</wp:posOffset>
          </wp:positionH>
          <wp:positionV relativeFrom="page">
            <wp:posOffset>612648</wp:posOffset>
          </wp:positionV>
          <wp:extent cx="681227" cy="292607"/>
          <wp:effectExtent l="0" t="0" r="0" b="0"/>
          <wp:wrapNone/>
          <wp:docPr id="1948" name="Image 1948"/>
          <wp:cNvGraphicFramePr>
            <a:graphicFrameLocks/>
          </wp:cNvGraphicFramePr>
          <a:graphic>
            <a:graphicData uri="http://schemas.openxmlformats.org/drawingml/2006/picture">
              <pic:pic>
                <pic:nvPicPr>
                  <pic:cNvPr id="1948" name="Image 1948"/>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42592">
              <wp:simplePos x="0" y="0"/>
              <wp:positionH relativeFrom="page">
                <wp:posOffset>4315967</wp:posOffset>
              </wp:positionH>
              <wp:positionV relativeFrom="page">
                <wp:posOffset>615696</wp:posOffset>
              </wp:positionV>
              <wp:extent cx="315595" cy="349250"/>
              <wp:effectExtent l="0" t="0" r="0" b="0"/>
              <wp:wrapNone/>
              <wp:docPr id="1949" name="Group 1949"/>
              <wp:cNvGraphicFramePr>
                <a:graphicFrameLocks/>
              </wp:cNvGraphicFramePr>
              <a:graphic>
                <a:graphicData uri="http://schemas.microsoft.com/office/word/2010/wordprocessingGroup">
                  <wpg:wgp>
                    <wpg:cNvPr id="1949" name="Group 1949"/>
                    <wpg:cNvGrpSpPr/>
                    <wpg:grpSpPr>
                      <a:xfrm>
                        <a:off x="0" y="0"/>
                        <a:ext cx="315595" cy="349250"/>
                        <a:chExt cx="315595" cy="349250"/>
                      </a:xfrm>
                    </wpg:grpSpPr>
                    <wps:wsp>
                      <wps:cNvPr id="1950" name="Graphic 1950"/>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951" name="Image 1951"/>
                        <pic:cNvPicPr/>
                      </pic:nvPicPr>
                      <pic:blipFill>
                        <a:blip r:embed="rId3" cstate="print"/>
                        <a:stretch>
                          <a:fillRect/>
                        </a:stretch>
                      </pic:blipFill>
                      <pic:spPr>
                        <a:xfrm>
                          <a:off x="39623" y="182618"/>
                          <a:ext cx="236220" cy="125102"/>
                        </a:xfrm>
                        <a:prstGeom prst="rect">
                          <a:avLst/>
                        </a:prstGeom>
                      </pic:spPr>
                    </pic:pic>
                    <wps:wsp>
                      <wps:cNvPr id="1952" name="Graphic 1952"/>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73888" id="docshapegroup1410" coordorigin="6797,970" coordsize="497,550">
              <v:shape style="position:absolute;left:6859;top:1032;width:312;height:190" id="docshape1411"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412" stroked="false">
                <v:imagedata r:id="rId3" o:title=""/>
              </v:shape>
              <v:shape style="position:absolute;left:6796;top:969;width:497;height:550" id="docshape1413"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43104">
              <wp:simplePos x="0" y="0"/>
              <wp:positionH relativeFrom="page">
                <wp:posOffset>5571744</wp:posOffset>
              </wp:positionH>
              <wp:positionV relativeFrom="page">
                <wp:posOffset>704088</wp:posOffset>
              </wp:positionV>
              <wp:extent cx="608330" cy="76200"/>
              <wp:effectExtent l="0" t="0" r="0" b="0"/>
              <wp:wrapNone/>
              <wp:docPr id="1953" name="Graphic 1953"/>
              <wp:cNvGraphicFramePr>
                <a:graphicFrameLocks/>
              </wp:cNvGraphicFramePr>
              <a:graphic>
                <a:graphicData uri="http://schemas.microsoft.com/office/word/2010/wordprocessingShape">
                  <wps:wsp>
                    <wps:cNvPr id="1953" name="Graphic 1953"/>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73376" id="docshape1414"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77376">
          <wp:simplePos x="0" y="0"/>
          <wp:positionH relativeFrom="page">
            <wp:posOffset>5068570</wp:posOffset>
          </wp:positionH>
          <wp:positionV relativeFrom="page">
            <wp:posOffset>806703</wp:posOffset>
          </wp:positionV>
          <wp:extent cx="1767204" cy="99695"/>
          <wp:effectExtent l="0" t="0" r="0" b="0"/>
          <wp:wrapNone/>
          <wp:docPr id="30" name="Image 30"/>
          <wp:cNvGraphicFramePr>
            <a:graphicFrameLocks/>
          </wp:cNvGraphicFramePr>
          <a:graphic>
            <a:graphicData uri="http://schemas.openxmlformats.org/drawingml/2006/picture">
              <pic:pic>
                <pic:nvPicPr>
                  <pic:cNvPr id="30" name="Image 30"/>
                  <pic:cNvPicPr/>
                </pic:nvPicPr>
                <pic:blipFill>
                  <a:blip r:embed="rId1" cstate="print"/>
                  <a:stretch>
                    <a:fillRect/>
                  </a:stretch>
                </pic:blipFill>
                <pic:spPr>
                  <a:xfrm>
                    <a:off x="0" y="0"/>
                    <a:ext cx="1767204" cy="99695"/>
                  </a:xfrm>
                  <a:prstGeom prst="rect">
                    <a:avLst/>
                  </a:prstGeom>
                </pic:spPr>
              </pic:pic>
            </a:graphicData>
          </a:graphic>
        </wp:anchor>
      </w:drawing>
    </w:r>
  </w:p>
</w:hdr>
</file>

<file path=word/header13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43616">
          <wp:simplePos x="0" y="0"/>
          <wp:positionH relativeFrom="page">
            <wp:posOffset>4315967</wp:posOffset>
          </wp:positionH>
          <wp:positionV relativeFrom="page">
            <wp:posOffset>525780</wp:posOffset>
          </wp:positionV>
          <wp:extent cx="316991" cy="70104"/>
          <wp:effectExtent l="0" t="0" r="0" b="0"/>
          <wp:wrapNone/>
          <wp:docPr id="1954" name="Image 1954"/>
          <wp:cNvGraphicFramePr>
            <a:graphicFrameLocks/>
          </wp:cNvGraphicFramePr>
          <a:graphic>
            <a:graphicData uri="http://schemas.openxmlformats.org/drawingml/2006/picture">
              <pic:pic>
                <pic:nvPicPr>
                  <pic:cNvPr id="1954" name="Image 1954"/>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44128">
              <wp:simplePos x="0" y="0"/>
              <wp:positionH relativeFrom="page">
                <wp:posOffset>5480303</wp:posOffset>
              </wp:positionH>
              <wp:positionV relativeFrom="page">
                <wp:posOffset>525780</wp:posOffset>
              </wp:positionV>
              <wp:extent cx="6350" cy="439420"/>
              <wp:effectExtent l="0" t="0" r="0" b="0"/>
              <wp:wrapNone/>
              <wp:docPr id="1955" name="Graphic 1955"/>
              <wp:cNvGraphicFramePr>
                <a:graphicFrameLocks/>
              </wp:cNvGraphicFramePr>
              <a:graphic>
                <a:graphicData uri="http://schemas.microsoft.com/office/word/2010/wordprocessingShape">
                  <wps:wsp>
                    <wps:cNvPr id="1955" name="Graphic 1955"/>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72352" id="docshape1415" filled="true" fillcolor="#00587c" stroked="false">
              <v:fill type="solid"/>
              <w10:wrap type="none"/>
            </v:rect>
          </w:pict>
        </mc:Fallback>
      </mc:AlternateContent>
    </w:r>
    <w:r>
      <w:rPr>
        <w:sz w:val="20"/>
      </w:rPr>
      <w:drawing>
        <wp:anchor distT="0" distB="0" distL="0" distR="0" allowOverlap="1" layoutInCell="1" locked="0" behindDoc="1" simplePos="0" relativeHeight="474544640">
          <wp:simplePos x="0" y="0"/>
          <wp:positionH relativeFrom="page">
            <wp:posOffset>4721352</wp:posOffset>
          </wp:positionH>
          <wp:positionV relativeFrom="page">
            <wp:posOffset>612648</wp:posOffset>
          </wp:positionV>
          <wp:extent cx="681227" cy="292607"/>
          <wp:effectExtent l="0" t="0" r="0" b="0"/>
          <wp:wrapNone/>
          <wp:docPr id="1956" name="Image 1956"/>
          <wp:cNvGraphicFramePr>
            <a:graphicFrameLocks/>
          </wp:cNvGraphicFramePr>
          <a:graphic>
            <a:graphicData uri="http://schemas.openxmlformats.org/drawingml/2006/picture">
              <pic:pic>
                <pic:nvPicPr>
                  <pic:cNvPr id="1956" name="Image 1956"/>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45152">
              <wp:simplePos x="0" y="0"/>
              <wp:positionH relativeFrom="page">
                <wp:posOffset>4315967</wp:posOffset>
              </wp:positionH>
              <wp:positionV relativeFrom="page">
                <wp:posOffset>615696</wp:posOffset>
              </wp:positionV>
              <wp:extent cx="315595" cy="349250"/>
              <wp:effectExtent l="0" t="0" r="0" b="0"/>
              <wp:wrapNone/>
              <wp:docPr id="1957" name="Group 1957"/>
              <wp:cNvGraphicFramePr>
                <a:graphicFrameLocks/>
              </wp:cNvGraphicFramePr>
              <a:graphic>
                <a:graphicData uri="http://schemas.microsoft.com/office/word/2010/wordprocessingGroup">
                  <wpg:wgp>
                    <wpg:cNvPr id="1957" name="Group 1957"/>
                    <wpg:cNvGrpSpPr/>
                    <wpg:grpSpPr>
                      <a:xfrm>
                        <a:off x="0" y="0"/>
                        <a:ext cx="315595" cy="349250"/>
                        <a:chExt cx="315595" cy="349250"/>
                      </a:xfrm>
                    </wpg:grpSpPr>
                    <wps:wsp>
                      <wps:cNvPr id="1958" name="Graphic 1958"/>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959" name="Image 1959"/>
                        <pic:cNvPicPr/>
                      </pic:nvPicPr>
                      <pic:blipFill>
                        <a:blip r:embed="rId3" cstate="print"/>
                        <a:stretch>
                          <a:fillRect/>
                        </a:stretch>
                      </pic:blipFill>
                      <pic:spPr>
                        <a:xfrm>
                          <a:off x="39623" y="182618"/>
                          <a:ext cx="236220" cy="125102"/>
                        </a:xfrm>
                        <a:prstGeom prst="rect">
                          <a:avLst/>
                        </a:prstGeom>
                      </pic:spPr>
                    </pic:pic>
                    <wps:wsp>
                      <wps:cNvPr id="1960" name="Graphic 1960"/>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71328" id="docshapegroup1416" coordorigin="6797,970" coordsize="497,550">
              <v:shape style="position:absolute;left:6859;top:1032;width:312;height:190" id="docshape1417"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418" stroked="false">
                <v:imagedata r:id="rId3" o:title=""/>
              </v:shape>
              <v:shape style="position:absolute;left:6796;top:969;width:497;height:550" id="docshape1419"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45664">
              <wp:simplePos x="0" y="0"/>
              <wp:positionH relativeFrom="page">
                <wp:posOffset>5571744</wp:posOffset>
              </wp:positionH>
              <wp:positionV relativeFrom="page">
                <wp:posOffset>704088</wp:posOffset>
              </wp:positionV>
              <wp:extent cx="608330" cy="76200"/>
              <wp:effectExtent l="0" t="0" r="0" b="0"/>
              <wp:wrapNone/>
              <wp:docPr id="1961" name="Graphic 1961"/>
              <wp:cNvGraphicFramePr>
                <a:graphicFrameLocks/>
              </wp:cNvGraphicFramePr>
              <a:graphic>
                <a:graphicData uri="http://schemas.microsoft.com/office/word/2010/wordprocessingShape">
                  <wps:wsp>
                    <wps:cNvPr id="1961" name="Graphic 1961"/>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70816" id="docshape1420"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3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46176">
          <wp:simplePos x="0" y="0"/>
          <wp:positionH relativeFrom="page">
            <wp:posOffset>4315967</wp:posOffset>
          </wp:positionH>
          <wp:positionV relativeFrom="page">
            <wp:posOffset>525780</wp:posOffset>
          </wp:positionV>
          <wp:extent cx="316991" cy="70104"/>
          <wp:effectExtent l="0" t="0" r="0" b="0"/>
          <wp:wrapNone/>
          <wp:docPr id="1979" name="Image 1979"/>
          <wp:cNvGraphicFramePr>
            <a:graphicFrameLocks/>
          </wp:cNvGraphicFramePr>
          <a:graphic>
            <a:graphicData uri="http://schemas.openxmlformats.org/drawingml/2006/picture">
              <pic:pic>
                <pic:nvPicPr>
                  <pic:cNvPr id="1979" name="Image 1979"/>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46688">
              <wp:simplePos x="0" y="0"/>
              <wp:positionH relativeFrom="page">
                <wp:posOffset>5480303</wp:posOffset>
              </wp:positionH>
              <wp:positionV relativeFrom="page">
                <wp:posOffset>525780</wp:posOffset>
              </wp:positionV>
              <wp:extent cx="6350" cy="439420"/>
              <wp:effectExtent l="0" t="0" r="0" b="0"/>
              <wp:wrapNone/>
              <wp:docPr id="1980" name="Graphic 1980"/>
              <wp:cNvGraphicFramePr>
                <a:graphicFrameLocks/>
              </wp:cNvGraphicFramePr>
              <a:graphic>
                <a:graphicData uri="http://schemas.microsoft.com/office/word/2010/wordprocessingShape">
                  <wps:wsp>
                    <wps:cNvPr id="1980" name="Graphic 1980"/>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69792" id="docshape1432" filled="true" fillcolor="#00587c" stroked="false">
              <v:fill type="solid"/>
              <w10:wrap type="none"/>
            </v:rect>
          </w:pict>
        </mc:Fallback>
      </mc:AlternateContent>
    </w:r>
    <w:r>
      <w:rPr>
        <w:sz w:val="20"/>
      </w:rPr>
      <w:drawing>
        <wp:anchor distT="0" distB="0" distL="0" distR="0" allowOverlap="1" layoutInCell="1" locked="0" behindDoc="1" simplePos="0" relativeHeight="474547200">
          <wp:simplePos x="0" y="0"/>
          <wp:positionH relativeFrom="page">
            <wp:posOffset>4721352</wp:posOffset>
          </wp:positionH>
          <wp:positionV relativeFrom="page">
            <wp:posOffset>612648</wp:posOffset>
          </wp:positionV>
          <wp:extent cx="681227" cy="292607"/>
          <wp:effectExtent l="0" t="0" r="0" b="0"/>
          <wp:wrapNone/>
          <wp:docPr id="1981" name="Image 1981"/>
          <wp:cNvGraphicFramePr>
            <a:graphicFrameLocks/>
          </wp:cNvGraphicFramePr>
          <a:graphic>
            <a:graphicData uri="http://schemas.openxmlformats.org/drawingml/2006/picture">
              <pic:pic>
                <pic:nvPicPr>
                  <pic:cNvPr id="1981" name="Image 1981"/>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47712">
              <wp:simplePos x="0" y="0"/>
              <wp:positionH relativeFrom="page">
                <wp:posOffset>4315967</wp:posOffset>
              </wp:positionH>
              <wp:positionV relativeFrom="page">
                <wp:posOffset>615696</wp:posOffset>
              </wp:positionV>
              <wp:extent cx="315595" cy="349250"/>
              <wp:effectExtent l="0" t="0" r="0" b="0"/>
              <wp:wrapNone/>
              <wp:docPr id="1982" name="Group 1982"/>
              <wp:cNvGraphicFramePr>
                <a:graphicFrameLocks/>
              </wp:cNvGraphicFramePr>
              <a:graphic>
                <a:graphicData uri="http://schemas.microsoft.com/office/word/2010/wordprocessingGroup">
                  <wpg:wgp>
                    <wpg:cNvPr id="1982" name="Group 1982"/>
                    <wpg:cNvGrpSpPr/>
                    <wpg:grpSpPr>
                      <a:xfrm>
                        <a:off x="0" y="0"/>
                        <a:ext cx="315595" cy="349250"/>
                        <a:chExt cx="315595" cy="349250"/>
                      </a:xfrm>
                    </wpg:grpSpPr>
                    <wps:wsp>
                      <wps:cNvPr id="1983" name="Graphic 1983"/>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984" name="Image 1984"/>
                        <pic:cNvPicPr/>
                      </pic:nvPicPr>
                      <pic:blipFill>
                        <a:blip r:embed="rId3" cstate="print"/>
                        <a:stretch>
                          <a:fillRect/>
                        </a:stretch>
                      </pic:blipFill>
                      <pic:spPr>
                        <a:xfrm>
                          <a:off x="39623" y="182618"/>
                          <a:ext cx="236220" cy="125102"/>
                        </a:xfrm>
                        <a:prstGeom prst="rect">
                          <a:avLst/>
                        </a:prstGeom>
                      </pic:spPr>
                    </pic:pic>
                    <wps:wsp>
                      <wps:cNvPr id="1985" name="Graphic 1985"/>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68768" id="docshapegroup1433" coordorigin="6797,970" coordsize="497,550">
              <v:shape style="position:absolute;left:6859;top:1032;width:312;height:190" id="docshape1434"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435" stroked="false">
                <v:imagedata r:id="rId3" o:title=""/>
              </v:shape>
              <v:shape style="position:absolute;left:6796;top:969;width:497;height:550" id="docshape1436"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48224">
              <wp:simplePos x="0" y="0"/>
              <wp:positionH relativeFrom="page">
                <wp:posOffset>5571744</wp:posOffset>
              </wp:positionH>
              <wp:positionV relativeFrom="page">
                <wp:posOffset>704088</wp:posOffset>
              </wp:positionV>
              <wp:extent cx="608330" cy="76200"/>
              <wp:effectExtent l="0" t="0" r="0" b="0"/>
              <wp:wrapNone/>
              <wp:docPr id="1986" name="Graphic 1986"/>
              <wp:cNvGraphicFramePr>
                <a:graphicFrameLocks/>
              </wp:cNvGraphicFramePr>
              <a:graphic>
                <a:graphicData uri="http://schemas.microsoft.com/office/word/2010/wordprocessingShape">
                  <wps:wsp>
                    <wps:cNvPr id="1986" name="Graphic 1986"/>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68256" id="docshape1437"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3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48736">
          <wp:simplePos x="0" y="0"/>
          <wp:positionH relativeFrom="page">
            <wp:posOffset>4315967</wp:posOffset>
          </wp:positionH>
          <wp:positionV relativeFrom="page">
            <wp:posOffset>525780</wp:posOffset>
          </wp:positionV>
          <wp:extent cx="316991" cy="70104"/>
          <wp:effectExtent l="0" t="0" r="0" b="0"/>
          <wp:wrapNone/>
          <wp:docPr id="1987" name="Image 1987"/>
          <wp:cNvGraphicFramePr>
            <a:graphicFrameLocks/>
          </wp:cNvGraphicFramePr>
          <a:graphic>
            <a:graphicData uri="http://schemas.openxmlformats.org/drawingml/2006/picture">
              <pic:pic>
                <pic:nvPicPr>
                  <pic:cNvPr id="1987" name="Image 1987"/>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49248">
              <wp:simplePos x="0" y="0"/>
              <wp:positionH relativeFrom="page">
                <wp:posOffset>5480303</wp:posOffset>
              </wp:positionH>
              <wp:positionV relativeFrom="page">
                <wp:posOffset>525780</wp:posOffset>
              </wp:positionV>
              <wp:extent cx="6350" cy="439420"/>
              <wp:effectExtent l="0" t="0" r="0" b="0"/>
              <wp:wrapNone/>
              <wp:docPr id="1988" name="Graphic 1988"/>
              <wp:cNvGraphicFramePr>
                <a:graphicFrameLocks/>
              </wp:cNvGraphicFramePr>
              <a:graphic>
                <a:graphicData uri="http://schemas.microsoft.com/office/word/2010/wordprocessingShape">
                  <wps:wsp>
                    <wps:cNvPr id="1988" name="Graphic 1988"/>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67232" id="docshape1438" filled="true" fillcolor="#00587c" stroked="false">
              <v:fill type="solid"/>
              <w10:wrap type="none"/>
            </v:rect>
          </w:pict>
        </mc:Fallback>
      </mc:AlternateContent>
    </w:r>
    <w:r>
      <w:rPr>
        <w:sz w:val="20"/>
      </w:rPr>
      <w:drawing>
        <wp:anchor distT="0" distB="0" distL="0" distR="0" allowOverlap="1" layoutInCell="1" locked="0" behindDoc="1" simplePos="0" relativeHeight="474549760">
          <wp:simplePos x="0" y="0"/>
          <wp:positionH relativeFrom="page">
            <wp:posOffset>4721352</wp:posOffset>
          </wp:positionH>
          <wp:positionV relativeFrom="page">
            <wp:posOffset>612648</wp:posOffset>
          </wp:positionV>
          <wp:extent cx="681227" cy="292607"/>
          <wp:effectExtent l="0" t="0" r="0" b="0"/>
          <wp:wrapNone/>
          <wp:docPr id="1989" name="Image 1989"/>
          <wp:cNvGraphicFramePr>
            <a:graphicFrameLocks/>
          </wp:cNvGraphicFramePr>
          <a:graphic>
            <a:graphicData uri="http://schemas.openxmlformats.org/drawingml/2006/picture">
              <pic:pic>
                <pic:nvPicPr>
                  <pic:cNvPr id="1989" name="Image 1989"/>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50272">
              <wp:simplePos x="0" y="0"/>
              <wp:positionH relativeFrom="page">
                <wp:posOffset>4315967</wp:posOffset>
              </wp:positionH>
              <wp:positionV relativeFrom="page">
                <wp:posOffset>615696</wp:posOffset>
              </wp:positionV>
              <wp:extent cx="315595" cy="349250"/>
              <wp:effectExtent l="0" t="0" r="0" b="0"/>
              <wp:wrapNone/>
              <wp:docPr id="1990" name="Group 1990"/>
              <wp:cNvGraphicFramePr>
                <a:graphicFrameLocks/>
              </wp:cNvGraphicFramePr>
              <a:graphic>
                <a:graphicData uri="http://schemas.microsoft.com/office/word/2010/wordprocessingGroup">
                  <wpg:wgp>
                    <wpg:cNvPr id="1990" name="Group 1990"/>
                    <wpg:cNvGrpSpPr/>
                    <wpg:grpSpPr>
                      <a:xfrm>
                        <a:off x="0" y="0"/>
                        <a:ext cx="315595" cy="349250"/>
                        <a:chExt cx="315595" cy="349250"/>
                      </a:xfrm>
                    </wpg:grpSpPr>
                    <wps:wsp>
                      <wps:cNvPr id="1991" name="Graphic 1991"/>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992" name="Image 1992"/>
                        <pic:cNvPicPr/>
                      </pic:nvPicPr>
                      <pic:blipFill>
                        <a:blip r:embed="rId3" cstate="print"/>
                        <a:stretch>
                          <a:fillRect/>
                        </a:stretch>
                      </pic:blipFill>
                      <pic:spPr>
                        <a:xfrm>
                          <a:off x="39623" y="182618"/>
                          <a:ext cx="236220" cy="125102"/>
                        </a:xfrm>
                        <a:prstGeom prst="rect">
                          <a:avLst/>
                        </a:prstGeom>
                      </pic:spPr>
                    </pic:pic>
                    <wps:wsp>
                      <wps:cNvPr id="1993" name="Graphic 1993"/>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66208" id="docshapegroup1439" coordorigin="6797,970" coordsize="497,550">
              <v:shape style="position:absolute;left:6859;top:1032;width:312;height:190" id="docshape1440"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441" stroked="false">
                <v:imagedata r:id="rId3" o:title=""/>
              </v:shape>
              <v:shape style="position:absolute;left:6796;top:969;width:497;height:550" id="docshape1442"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50784">
              <wp:simplePos x="0" y="0"/>
              <wp:positionH relativeFrom="page">
                <wp:posOffset>5571744</wp:posOffset>
              </wp:positionH>
              <wp:positionV relativeFrom="page">
                <wp:posOffset>704088</wp:posOffset>
              </wp:positionV>
              <wp:extent cx="608330" cy="76200"/>
              <wp:effectExtent l="0" t="0" r="0" b="0"/>
              <wp:wrapNone/>
              <wp:docPr id="1994" name="Graphic 1994"/>
              <wp:cNvGraphicFramePr>
                <a:graphicFrameLocks/>
              </wp:cNvGraphicFramePr>
              <a:graphic>
                <a:graphicData uri="http://schemas.microsoft.com/office/word/2010/wordprocessingShape">
                  <wps:wsp>
                    <wps:cNvPr id="1994" name="Graphic 1994"/>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65696" id="docshape1443"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3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51296">
          <wp:simplePos x="0" y="0"/>
          <wp:positionH relativeFrom="page">
            <wp:posOffset>4315967</wp:posOffset>
          </wp:positionH>
          <wp:positionV relativeFrom="page">
            <wp:posOffset>525780</wp:posOffset>
          </wp:positionV>
          <wp:extent cx="316991" cy="70104"/>
          <wp:effectExtent l="0" t="0" r="0" b="0"/>
          <wp:wrapNone/>
          <wp:docPr id="2012" name="Image 2012"/>
          <wp:cNvGraphicFramePr>
            <a:graphicFrameLocks/>
          </wp:cNvGraphicFramePr>
          <a:graphic>
            <a:graphicData uri="http://schemas.openxmlformats.org/drawingml/2006/picture">
              <pic:pic>
                <pic:nvPicPr>
                  <pic:cNvPr id="2012" name="Image 2012"/>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51808">
              <wp:simplePos x="0" y="0"/>
              <wp:positionH relativeFrom="page">
                <wp:posOffset>5480303</wp:posOffset>
              </wp:positionH>
              <wp:positionV relativeFrom="page">
                <wp:posOffset>525780</wp:posOffset>
              </wp:positionV>
              <wp:extent cx="6350" cy="439420"/>
              <wp:effectExtent l="0" t="0" r="0" b="0"/>
              <wp:wrapNone/>
              <wp:docPr id="2013" name="Graphic 2013"/>
              <wp:cNvGraphicFramePr>
                <a:graphicFrameLocks/>
              </wp:cNvGraphicFramePr>
              <a:graphic>
                <a:graphicData uri="http://schemas.microsoft.com/office/word/2010/wordprocessingShape">
                  <wps:wsp>
                    <wps:cNvPr id="2013" name="Graphic 2013"/>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64672" id="docshape1455" filled="true" fillcolor="#00587c" stroked="false">
              <v:fill type="solid"/>
              <w10:wrap type="none"/>
            </v:rect>
          </w:pict>
        </mc:Fallback>
      </mc:AlternateContent>
    </w:r>
    <w:r>
      <w:rPr>
        <w:sz w:val="20"/>
      </w:rPr>
      <w:drawing>
        <wp:anchor distT="0" distB="0" distL="0" distR="0" allowOverlap="1" layoutInCell="1" locked="0" behindDoc="1" simplePos="0" relativeHeight="474552320">
          <wp:simplePos x="0" y="0"/>
          <wp:positionH relativeFrom="page">
            <wp:posOffset>4721352</wp:posOffset>
          </wp:positionH>
          <wp:positionV relativeFrom="page">
            <wp:posOffset>612648</wp:posOffset>
          </wp:positionV>
          <wp:extent cx="681227" cy="292607"/>
          <wp:effectExtent l="0" t="0" r="0" b="0"/>
          <wp:wrapNone/>
          <wp:docPr id="2014" name="Image 2014"/>
          <wp:cNvGraphicFramePr>
            <a:graphicFrameLocks/>
          </wp:cNvGraphicFramePr>
          <a:graphic>
            <a:graphicData uri="http://schemas.openxmlformats.org/drawingml/2006/picture">
              <pic:pic>
                <pic:nvPicPr>
                  <pic:cNvPr id="2014" name="Image 2014"/>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52832">
              <wp:simplePos x="0" y="0"/>
              <wp:positionH relativeFrom="page">
                <wp:posOffset>4315967</wp:posOffset>
              </wp:positionH>
              <wp:positionV relativeFrom="page">
                <wp:posOffset>615696</wp:posOffset>
              </wp:positionV>
              <wp:extent cx="315595" cy="349250"/>
              <wp:effectExtent l="0" t="0" r="0" b="0"/>
              <wp:wrapNone/>
              <wp:docPr id="2015" name="Group 2015"/>
              <wp:cNvGraphicFramePr>
                <a:graphicFrameLocks/>
              </wp:cNvGraphicFramePr>
              <a:graphic>
                <a:graphicData uri="http://schemas.microsoft.com/office/word/2010/wordprocessingGroup">
                  <wpg:wgp>
                    <wpg:cNvPr id="2015" name="Group 2015"/>
                    <wpg:cNvGrpSpPr/>
                    <wpg:grpSpPr>
                      <a:xfrm>
                        <a:off x="0" y="0"/>
                        <a:ext cx="315595" cy="349250"/>
                        <a:chExt cx="315595" cy="349250"/>
                      </a:xfrm>
                    </wpg:grpSpPr>
                    <wps:wsp>
                      <wps:cNvPr id="2016" name="Graphic 2016"/>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2017" name="Image 2017"/>
                        <pic:cNvPicPr/>
                      </pic:nvPicPr>
                      <pic:blipFill>
                        <a:blip r:embed="rId3" cstate="print"/>
                        <a:stretch>
                          <a:fillRect/>
                        </a:stretch>
                      </pic:blipFill>
                      <pic:spPr>
                        <a:xfrm>
                          <a:off x="39623" y="182618"/>
                          <a:ext cx="236220" cy="125102"/>
                        </a:xfrm>
                        <a:prstGeom prst="rect">
                          <a:avLst/>
                        </a:prstGeom>
                      </pic:spPr>
                    </pic:pic>
                    <wps:wsp>
                      <wps:cNvPr id="2018" name="Graphic 2018"/>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63648" id="docshapegroup1456" coordorigin="6797,970" coordsize="497,550">
              <v:shape style="position:absolute;left:6859;top:1032;width:312;height:190" id="docshape1457"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458" stroked="false">
                <v:imagedata r:id="rId3" o:title=""/>
              </v:shape>
              <v:shape style="position:absolute;left:6796;top:969;width:497;height:550" id="docshape1459"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53344">
              <wp:simplePos x="0" y="0"/>
              <wp:positionH relativeFrom="page">
                <wp:posOffset>5571744</wp:posOffset>
              </wp:positionH>
              <wp:positionV relativeFrom="page">
                <wp:posOffset>704088</wp:posOffset>
              </wp:positionV>
              <wp:extent cx="608330" cy="76200"/>
              <wp:effectExtent l="0" t="0" r="0" b="0"/>
              <wp:wrapNone/>
              <wp:docPr id="2019" name="Graphic 2019"/>
              <wp:cNvGraphicFramePr>
                <a:graphicFrameLocks/>
              </wp:cNvGraphicFramePr>
              <a:graphic>
                <a:graphicData uri="http://schemas.microsoft.com/office/word/2010/wordprocessingShape">
                  <wps:wsp>
                    <wps:cNvPr id="2019" name="Graphic 2019"/>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63136" id="docshape1460"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3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53856">
          <wp:simplePos x="0" y="0"/>
          <wp:positionH relativeFrom="page">
            <wp:posOffset>4315967</wp:posOffset>
          </wp:positionH>
          <wp:positionV relativeFrom="page">
            <wp:posOffset>525780</wp:posOffset>
          </wp:positionV>
          <wp:extent cx="316991" cy="70104"/>
          <wp:effectExtent l="0" t="0" r="0" b="0"/>
          <wp:wrapNone/>
          <wp:docPr id="2020" name="Image 2020"/>
          <wp:cNvGraphicFramePr>
            <a:graphicFrameLocks/>
          </wp:cNvGraphicFramePr>
          <a:graphic>
            <a:graphicData uri="http://schemas.openxmlformats.org/drawingml/2006/picture">
              <pic:pic>
                <pic:nvPicPr>
                  <pic:cNvPr id="2020" name="Image 202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54368">
              <wp:simplePos x="0" y="0"/>
              <wp:positionH relativeFrom="page">
                <wp:posOffset>5480303</wp:posOffset>
              </wp:positionH>
              <wp:positionV relativeFrom="page">
                <wp:posOffset>525780</wp:posOffset>
              </wp:positionV>
              <wp:extent cx="6350" cy="439420"/>
              <wp:effectExtent l="0" t="0" r="0" b="0"/>
              <wp:wrapNone/>
              <wp:docPr id="2021" name="Graphic 2021"/>
              <wp:cNvGraphicFramePr>
                <a:graphicFrameLocks/>
              </wp:cNvGraphicFramePr>
              <a:graphic>
                <a:graphicData uri="http://schemas.microsoft.com/office/word/2010/wordprocessingShape">
                  <wps:wsp>
                    <wps:cNvPr id="2021" name="Graphic 202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62112" id="docshape1461" filled="true" fillcolor="#00587c" stroked="false">
              <v:fill type="solid"/>
              <w10:wrap type="none"/>
            </v:rect>
          </w:pict>
        </mc:Fallback>
      </mc:AlternateContent>
    </w:r>
    <w:r>
      <w:rPr>
        <w:sz w:val="20"/>
      </w:rPr>
      <w:drawing>
        <wp:anchor distT="0" distB="0" distL="0" distR="0" allowOverlap="1" layoutInCell="1" locked="0" behindDoc="1" simplePos="0" relativeHeight="474554880">
          <wp:simplePos x="0" y="0"/>
          <wp:positionH relativeFrom="page">
            <wp:posOffset>4721352</wp:posOffset>
          </wp:positionH>
          <wp:positionV relativeFrom="page">
            <wp:posOffset>612648</wp:posOffset>
          </wp:positionV>
          <wp:extent cx="681227" cy="292607"/>
          <wp:effectExtent l="0" t="0" r="0" b="0"/>
          <wp:wrapNone/>
          <wp:docPr id="2022" name="Image 2022"/>
          <wp:cNvGraphicFramePr>
            <a:graphicFrameLocks/>
          </wp:cNvGraphicFramePr>
          <a:graphic>
            <a:graphicData uri="http://schemas.openxmlformats.org/drawingml/2006/picture">
              <pic:pic>
                <pic:nvPicPr>
                  <pic:cNvPr id="2022" name="Image 202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55392">
              <wp:simplePos x="0" y="0"/>
              <wp:positionH relativeFrom="page">
                <wp:posOffset>4315967</wp:posOffset>
              </wp:positionH>
              <wp:positionV relativeFrom="page">
                <wp:posOffset>615696</wp:posOffset>
              </wp:positionV>
              <wp:extent cx="315595" cy="349250"/>
              <wp:effectExtent l="0" t="0" r="0" b="0"/>
              <wp:wrapNone/>
              <wp:docPr id="2023" name="Group 2023"/>
              <wp:cNvGraphicFramePr>
                <a:graphicFrameLocks/>
              </wp:cNvGraphicFramePr>
              <a:graphic>
                <a:graphicData uri="http://schemas.microsoft.com/office/word/2010/wordprocessingGroup">
                  <wpg:wgp>
                    <wpg:cNvPr id="2023" name="Group 2023"/>
                    <wpg:cNvGrpSpPr/>
                    <wpg:grpSpPr>
                      <a:xfrm>
                        <a:off x="0" y="0"/>
                        <a:ext cx="315595" cy="349250"/>
                        <a:chExt cx="315595" cy="349250"/>
                      </a:xfrm>
                    </wpg:grpSpPr>
                    <wps:wsp>
                      <wps:cNvPr id="2024" name="Graphic 202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2025" name="Image 2025"/>
                        <pic:cNvPicPr/>
                      </pic:nvPicPr>
                      <pic:blipFill>
                        <a:blip r:embed="rId3" cstate="print"/>
                        <a:stretch>
                          <a:fillRect/>
                        </a:stretch>
                      </pic:blipFill>
                      <pic:spPr>
                        <a:xfrm>
                          <a:off x="39623" y="182618"/>
                          <a:ext cx="236220" cy="125102"/>
                        </a:xfrm>
                        <a:prstGeom prst="rect">
                          <a:avLst/>
                        </a:prstGeom>
                      </pic:spPr>
                    </pic:pic>
                    <wps:wsp>
                      <wps:cNvPr id="2026" name="Graphic 202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61088" id="docshapegroup1462" coordorigin="6797,970" coordsize="497,550">
              <v:shape style="position:absolute;left:6859;top:1032;width:312;height:190" id="docshape146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464" stroked="false">
                <v:imagedata r:id="rId3" o:title=""/>
              </v:shape>
              <v:shape style="position:absolute;left:6796;top:969;width:497;height:550" id="docshape146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55904">
              <wp:simplePos x="0" y="0"/>
              <wp:positionH relativeFrom="page">
                <wp:posOffset>5571744</wp:posOffset>
              </wp:positionH>
              <wp:positionV relativeFrom="page">
                <wp:posOffset>704088</wp:posOffset>
              </wp:positionV>
              <wp:extent cx="608330" cy="76200"/>
              <wp:effectExtent l="0" t="0" r="0" b="0"/>
              <wp:wrapNone/>
              <wp:docPr id="2027" name="Graphic 2027"/>
              <wp:cNvGraphicFramePr>
                <a:graphicFrameLocks/>
              </wp:cNvGraphicFramePr>
              <a:graphic>
                <a:graphicData uri="http://schemas.microsoft.com/office/word/2010/wordprocessingShape">
                  <wps:wsp>
                    <wps:cNvPr id="2027" name="Graphic 202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60576" id="docshape146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3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56416">
          <wp:simplePos x="0" y="0"/>
          <wp:positionH relativeFrom="page">
            <wp:posOffset>4315967</wp:posOffset>
          </wp:positionH>
          <wp:positionV relativeFrom="page">
            <wp:posOffset>525780</wp:posOffset>
          </wp:positionV>
          <wp:extent cx="316991" cy="70104"/>
          <wp:effectExtent l="0" t="0" r="0" b="0"/>
          <wp:wrapNone/>
          <wp:docPr id="2045" name="Image 2045"/>
          <wp:cNvGraphicFramePr>
            <a:graphicFrameLocks/>
          </wp:cNvGraphicFramePr>
          <a:graphic>
            <a:graphicData uri="http://schemas.openxmlformats.org/drawingml/2006/picture">
              <pic:pic>
                <pic:nvPicPr>
                  <pic:cNvPr id="2045" name="Image 2045"/>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56928">
              <wp:simplePos x="0" y="0"/>
              <wp:positionH relativeFrom="page">
                <wp:posOffset>5480303</wp:posOffset>
              </wp:positionH>
              <wp:positionV relativeFrom="page">
                <wp:posOffset>525780</wp:posOffset>
              </wp:positionV>
              <wp:extent cx="6350" cy="439420"/>
              <wp:effectExtent l="0" t="0" r="0" b="0"/>
              <wp:wrapNone/>
              <wp:docPr id="2046" name="Graphic 2046"/>
              <wp:cNvGraphicFramePr>
                <a:graphicFrameLocks/>
              </wp:cNvGraphicFramePr>
              <a:graphic>
                <a:graphicData uri="http://schemas.microsoft.com/office/word/2010/wordprocessingShape">
                  <wps:wsp>
                    <wps:cNvPr id="2046" name="Graphic 2046"/>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59552" id="docshape1478" filled="true" fillcolor="#00587c" stroked="false">
              <v:fill type="solid"/>
              <w10:wrap type="none"/>
            </v:rect>
          </w:pict>
        </mc:Fallback>
      </mc:AlternateContent>
    </w:r>
    <w:r>
      <w:rPr>
        <w:sz w:val="20"/>
      </w:rPr>
      <w:drawing>
        <wp:anchor distT="0" distB="0" distL="0" distR="0" allowOverlap="1" layoutInCell="1" locked="0" behindDoc="1" simplePos="0" relativeHeight="474557440">
          <wp:simplePos x="0" y="0"/>
          <wp:positionH relativeFrom="page">
            <wp:posOffset>4721352</wp:posOffset>
          </wp:positionH>
          <wp:positionV relativeFrom="page">
            <wp:posOffset>612648</wp:posOffset>
          </wp:positionV>
          <wp:extent cx="681227" cy="292607"/>
          <wp:effectExtent l="0" t="0" r="0" b="0"/>
          <wp:wrapNone/>
          <wp:docPr id="2047" name="Image 2047"/>
          <wp:cNvGraphicFramePr>
            <a:graphicFrameLocks/>
          </wp:cNvGraphicFramePr>
          <a:graphic>
            <a:graphicData uri="http://schemas.openxmlformats.org/drawingml/2006/picture">
              <pic:pic>
                <pic:nvPicPr>
                  <pic:cNvPr id="2047" name="Image 2047"/>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57952">
              <wp:simplePos x="0" y="0"/>
              <wp:positionH relativeFrom="page">
                <wp:posOffset>4315967</wp:posOffset>
              </wp:positionH>
              <wp:positionV relativeFrom="page">
                <wp:posOffset>615696</wp:posOffset>
              </wp:positionV>
              <wp:extent cx="315595" cy="349250"/>
              <wp:effectExtent l="0" t="0" r="0" b="0"/>
              <wp:wrapNone/>
              <wp:docPr id="2048" name="Group 2048"/>
              <wp:cNvGraphicFramePr>
                <a:graphicFrameLocks/>
              </wp:cNvGraphicFramePr>
              <a:graphic>
                <a:graphicData uri="http://schemas.microsoft.com/office/word/2010/wordprocessingGroup">
                  <wpg:wgp>
                    <wpg:cNvPr id="2048" name="Group 2048"/>
                    <wpg:cNvGrpSpPr/>
                    <wpg:grpSpPr>
                      <a:xfrm>
                        <a:off x="0" y="0"/>
                        <a:ext cx="315595" cy="349250"/>
                        <a:chExt cx="315595" cy="349250"/>
                      </a:xfrm>
                    </wpg:grpSpPr>
                    <wps:wsp>
                      <wps:cNvPr id="2049" name="Graphic 2049"/>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2050" name="Image 2050"/>
                        <pic:cNvPicPr/>
                      </pic:nvPicPr>
                      <pic:blipFill>
                        <a:blip r:embed="rId3" cstate="print"/>
                        <a:stretch>
                          <a:fillRect/>
                        </a:stretch>
                      </pic:blipFill>
                      <pic:spPr>
                        <a:xfrm>
                          <a:off x="39623" y="182618"/>
                          <a:ext cx="236220" cy="125102"/>
                        </a:xfrm>
                        <a:prstGeom prst="rect">
                          <a:avLst/>
                        </a:prstGeom>
                      </pic:spPr>
                    </pic:pic>
                    <wps:wsp>
                      <wps:cNvPr id="2051" name="Graphic 2051"/>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58528" id="docshapegroup1479" coordorigin="6797,970" coordsize="497,550">
              <v:shape style="position:absolute;left:6859;top:1032;width:312;height:190" id="docshape1480"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481" stroked="false">
                <v:imagedata r:id="rId3" o:title=""/>
              </v:shape>
              <v:shape style="position:absolute;left:6796;top:969;width:497;height:550" id="docshape1482"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58464">
              <wp:simplePos x="0" y="0"/>
              <wp:positionH relativeFrom="page">
                <wp:posOffset>5571744</wp:posOffset>
              </wp:positionH>
              <wp:positionV relativeFrom="page">
                <wp:posOffset>704088</wp:posOffset>
              </wp:positionV>
              <wp:extent cx="608330" cy="76200"/>
              <wp:effectExtent l="0" t="0" r="0" b="0"/>
              <wp:wrapNone/>
              <wp:docPr id="2052" name="Graphic 2052"/>
              <wp:cNvGraphicFramePr>
                <a:graphicFrameLocks/>
              </wp:cNvGraphicFramePr>
              <a:graphic>
                <a:graphicData uri="http://schemas.microsoft.com/office/word/2010/wordprocessingShape">
                  <wps:wsp>
                    <wps:cNvPr id="2052" name="Graphic 2052"/>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58016" id="docshape1483"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3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58976">
          <wp:simplePos x="0" y="0"/>
          <wp:positionH relativeFrom="page">
            <wp:posOffset>4315967</wp:posOffset>
          </wp:positionH>
          <wp:positionV relativeFrom="page">
            <wp:posOffset>525780</wp:posOffset>
          </wp:positionV>
          <wp:extent cx="316991" cy="70104"/>
          <wp:effectExtent l="0" t="0" r="0" b="0"/>
          <wp:wrapNone/>
          <wp:docPr id="2053" name="Image 2053"/>
          <wp:cNvGraphicFramePr>
            <a:graphicFrameLocks/>
          </wp:cNvGraphicFramePr>
          <a:graphic>
            <a:graphicData uri="http://schemas.openxmlformats.org/drawingml/2006/picture">
              <pic:pic>
                <pic:nvPicPr>
                  <pic:cNvPr id="2053" name="Image 205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59488">
              <wp:simplePos x="0" y="0"/>
              <wp:positionH relativeFrom="page">
                <wp:posOffset>5480303</wp:posOffset>
              </wp:positionH>
              <wp:positionV relativeFrom="page">
                <wp:posOffset>525780</wp:posOffset>
              </wp:positionV>
              <wp:extent cx="6350" cy="439420"/>
              <wp:effectExtent l="0" t="0" r="0" b="0"/>
              <wp:wrapNone/>
              <wp:docPr id="2054" name="Graphic 2054"/>
              <wp:cNvGraphicFramePr>
                <a:graphicFrameLocks/>
              </wp:cNvGraphicFramePr>
              <a:graphic>
                <a:graphicData uri="http://schemas.microsoft.com/office/word/2010/wordprocessingShape">
                  <wps:wsp>
                    <wps:cNvPr id="2054" name="Graphic 205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56992" id="docshape1484" filled="true" fillcolor="#00587c" stroked="false">
              <v:fill type="solid"/>
              <w10:wrap type="none"/>
            </v:rect>
          </w:pict>
        </mc:Fallback>
      </mc:AlternateContent>
    </w:r>
    <w:r>
      <w:rPr>
        <w:sz w:val="20"/>
      </w:rPr>
      <w:drawing>
        <wp:anchor distT="0" distB="0" distL="0" distR="0" allowOverlap="1" layoutInCell="1" locked="0" behindDoc="1" simplePos="0" relativeHeight="474560000">
          <wp:simplePos x="0" y="0"/>
          <wp:positionH relativeFrom="page">
            <wp:posOffset>4721352</wp:posOffset>
          </wp:positionH>
          <wp:positionV relativeFrom="page">
            <wp:posOffset>612648</wp:posOffset>
          </wp:positionV>
          <wp:extent cx="681227" cy="292607"/>
          <wp:effectExtent l="0" t="0" r="0" b="0"/>
          <wp:wrapNone/>
          <wp:docPr id="2055" name="Image 2055"/>
          <wp:cNvGraphicFramePr>
            <a:graphicFrameLocks/>
          </wp:cNvGraphicFramePr>
          <a:graphic>
            <a:graphicData uri="http://schemas.openxmlformats.org/drawingml/2006/picture">
              <pic:pic>
                <pic:nvPicPr>
                  <pic:cNvPr id="2055" name="Image 205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60512">
              <wp:simplePos x="0" y="0"/>
              <wp:positionH relativeFrom="page">
                <wp:posOffset>4315967</wp:posOffset>
              </wp:positionH>
              <wp:positionV relativeFrom="page">
                <wp:posOffset>615696</wp:posOffset>
              </wp:positionV>
              <wp:extent cx="315595" cy="349250"/>
              <wp:effectExtent l="0" t="0" r="0" b="0"/>
              <wp:wrapNone/>
              <wp:docPr id="2056" name="Group 2056"/>
              <wp:cNvGraphicFramePr>
                <a:graphicFrameLocks/>
              </wp:cNvGraphicFramePr>
              <a:graphic>
                <a:graphicData uri="http://schemas.microsoft.com/office/word/2010/wordprocessingGroup">
                  <wpg:wgp>
                    <wpg:cNvPr id="2056" name="Group 2056"/>
                    <wpg:cNvGrpSpPr/>
                    <wpg:grpSpPr>
                      <a:xfrm>
                        <a:off x="0" y="0"/>
                        <a:ext cx="315595" cy="349250"/>
                        <a:chExt cx="315595" cy="349250"/>
                      </a:xfrm>
                    </wpg:grpSpPr>
                    <wps:wsp>
                      <wps:cNvPr id="2057" name="Graphic 205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2058" name="Image 2058"/>
                        <pic:cNvPicPr/>
                      </pic:nvPicPr>
                      <pic:blipFill>
                        <a:blip r:embed="rId3" cstate="print"/>
                        <a:stretch>
                          <a:fillRect/>
                        </a:stretch>
                      </pic:blipFill>
                      <pic:spPr>
                        <a:xfrm>
                          <a:off x="39623" y="182618"/>
                          <a:ext cx="236220" cy="125102"/>
                        </a:xfrm>
                        <a:prstGeom prst="rect">
                          <a:avLst/>
                        </a:prstGeom>
                      </pic:spPr>
                    </pic:pic>
                    <wps:wsp>
                      <wps:cNvPr id="2059" name="Graphic 205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55968" id="docshapegroup1485" coordorigin="6797,970" coordsize="497,550">
              <v:shape style="position:absolute;left:6859;top:1032;width:312;height:190" id="docshape1486"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487" stroked="false">
                <v:imagedata r:id="rId3" o:title=""/>
              </v:shape>
              <v:shape style="position:absolute;left:6796;top:969;width:497;height:550" id="docshape1488"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61024">
              <wp:simplePos x="0" y="0"/>
              <wp:positionH relativeFrom="page">
                <wp:posOffset>5571744</wp:posOffset>
              </wp:positionH>
              <wp:positionV relativeFrom="page">
                <wp:posOffset>704088</wp:posOffset>
              </wp:positionV>
              <wp:extent cx="608330" cy="76200"/>
              <wp:effectExtent l="0" t="0" r="0" b="0"/>
              <wp:wrapNone/>
              <wp:docPr id="2060" name="Graphic 2060"/>
              <wp:cNvGraphicFramePr>
                <a:graphicFrameLocks/>
              </wp:cNvGraphicFramePr>
              <a:graphic>
                <a:graphicData uri="http://schemas.microsoft.com/office/word/2010/wordprocessingShape">
                  <wps:wsp>
                    <wps:cNvPr id="2060" name="Graphic 206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55456" id="docshape1489"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3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61536">
          <wp:simplePos x="0" y="0"/>
          <wp:positionH relativeFrom="page">
            <wp:posOffset>4315967</wp:posOffset>
          </wp:positionH>
          <wp:positionV relativeFrom="page">
            <wp:posOffset>525780</wp:posOffset>
          </wp:positionV>
          <wp:extent cx="316991" cy="70104"/>
          <wp:effectExtent l="0" t="0" r="0" b="0"/>
          <wp:wrapNone/>
          <wp:docPr id="2078" name="Image 2078"/>
          <wp:cNvGraphicFramePr>
            <a:graphicFrameLocks/>
          </wp:cNvGraphicFramePr>
          <a:graphic>
            <a:graphicData uri="http://schemas.openxmlformats.org/drawingml/2006/picture">
              <pic:pic>
                <pic:nvPicPr>
                  <pic:cNvPr id="2078" name="Image 207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62048">
              <wp:simplePos x="0" y="0"/>
              <wp:positionH relativeFrom="page">
                <wp:posOffset>5480303</wp:posOffset>
              </wp:positionH>
              <wp:positionV relativeFrom="page">
                <wp:posOffset>525780</wp:posOffset>
              </wp:positionV>
              <wp:extent cx="6350" cy="439420"/>
              <wp:effectExtent l="0" t="0" r="0" b="0"/>
              <wp:wrapNone/>
              <wp:docPr id="2079" name="Graphic 2079"/>
              <wp:cNvGraphicFramePr>
                <a:graphicFrameLocks/>
              </wp:cNvGraphicFramePr>
              <a:graphic>
                <a:graphicData uri="http://schemas.microsoft.com/office/word/2010/wordprocessingShape">
                  <wps:wsp>
                    <wps:cNvPr id="2079" name="Graphic 207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754432" id="docshape1501" filled="true" fillcolor="#00587c" stroked="false">
              <v:fill type="solid"/>
              <w10:wrap type="none"/>
            </v:rect>
          </w:pict>
        </mc:Fallback>
      </mc:AlternateContent>
    </w:r>
    <w:r>
      <w:rPr>
        <w:sz w:val="20"/>
      </w:rPr>
      <w:drawing>
        <wp:anchor distT="0" distB="0" distL="0" distR="0" allowOverlap="1" layoutInCell="1" locked="0" behindDoc="1" simplePos="0" relativeHeight="474562560">
          <wp:simplePos x="0" y="0"/>
          <wp:positionH relativeFrom="page">
            <wp:posOffset>4721352</wp:posOffset>
          </wp:positionH>
          <wp:positionV relativeFrom="page">
            <wp:posOffset>612648</wp:posOffset>
          </wp:positionV>
          <wp:extent cx="681227" cy="292607"/>
          <wp:effectExtent l="0" t="0" r="0" b="0"/>
          <wp:wrapNone/>
          <wp:docPr id="2080" name="Image 2080"/>
          <wp:cNvGraphicFramePr>
            <a:graphicFrameLocks/>
          </wp:cNvGraphicFramePr>
          <a:graphic>
            <a:graphicData uri="http://schemas.openxmlformats.org/drawingml/2006/picture">
              <pic:pic>
                <pic:nvPicPr>
                  <pic:cNvPr id="2080" name="Image 208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63072">
              <wp:simplePos x="0" y="0"/>
              <wp:positionH relativeFrom="page">
                <wp:posOffset>4315967</wp:posOffset>
              </wp:positionH>
              <wp:positionV relativeFrom="page">
                <wp:posOffset>615696</wp:posOffset>
              </wp:positionV>
              <wp:extent cx="315595" cy="349250"/>
              <wp:effectExtent l="0" t="0" r="0" b="0"/>
              <wp:wrapNone/>
              <wp:docPr id="2081" name="Group 2081"/>
              <wp:cNvGraphicFramePr>
                <a:graphicFrameLocks/>
              </wp:cNvGraphicFramePr>
              <a:graphic>
                <a:graphicData uri="http://schemas.microsoft.com/office/word/2010/wordprocessingGroup">
                  <wpg:wgp>
                    <wpg:cNvPr id="2081" name="Group 2081"/>
                    <wpg:cNvGrpSpPr/>
                    <wpg:grpSpPr>
                      <a:xfrm>
                        <a:off x="0" y="0"/>
                        <a:ext cx="315595" cy="349250"/>
                        <a:chExt cx="315595" cy="349250"/>
                      </a:xfrm>
                    </wpg:grpSpPr>
                    <wps:wsp>
                      <wps:cNvPr id="2082" name="Graphic 208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2083" name="Image 2083"/>
                        <pic:cNvPicPr/>
                      </pic:nvPicPr>
                      <pic:blipFill>
                        <a:blip r:embed="rId3" cstate="print"/>
                        <a:stretch>
                          <a:fillRect/>
                        </a:stretch>
                      </pic:blipFill>
                      <pic:spPr>
                        <a:xfrm>
                          <a:off x="39623" y="182618"/>
                          <a:ext cx="236220" cy="125102"/>
                        </a:xfrm>
                        <a:prstGeom prst="rect">
                          <a:avLst/>
                        </a:prstGeom>
                      </pic:spPr>
                    </pic:pic>
                    <wps:wsp>
                      <wps:cNvPr id="2084" name="Graphic 208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753408" id="docshapegroup1502" coordorigin="6797,970" coordsize="497,550">
              <v:shape style="position:absolute;left:6859;top:1032;width:312;height:190" id="docshape150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1504" stroked="false">
                <v:imagedata r:id="rId3" o:title=""/>
              </v:shape>
              <v:shape style="position:absolute;left:6796;top:969;width:497;height:550" id="docshape150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563584">
              <wp:simplePos x="0" y="0"/>
              <wp:positionH relativeFrom="page">
                <wp:posOffset>5571744</wp:posOffset>
              </wp:positionH>
              <wp:positionV relativeFrom="page">
                <wp:posOffset>704088</wp:posOffset>
              </wp:positionV>
              <wp:extent cx="608330" cy="76200"/>
              <wp:effectExtent l="0" t="0" r="0" b="0"/>
              <wp:wrapNone/>
              <wp:docPr id="2085" name="Graphic 2085"/>
              <wp:cNvGraphicFramePr>
                <a:graphicFrameLocks/>
              </wp:cNvGraphicFramePr>
              <a:graphic>
                <a:graphicData uri="http://schemas.microsoft.com/office/word/2010/wordprocessingShape">
                  <wps:wsp>
                    <wps:cNvPr id="2085" name="Graphic 208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752896" id="docshape150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13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3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77888">
          <wp:simplePos x="0" y="0"/>
          <wp:positionH relativeFrom="page">
            <wp:posOffset>5068570</wp:posOffset>
          </wp:positionH>
          <wp:positionV relativeFrom="page">
            <wp:posOffset>806703</wp:posOffset>
          </wp:positionV>
          <wp:extent cx="1767204" cy="99695"/>
          <wp:effectExtent l="0" t="0" r="0" b="0"/>
          <wp:wrapNone/>
          <wp:docPr id="31" name="Image 31"/>
          <wp:cNvGraphicFramePr>
            <a:graphicFrameLocks/>
          </wp:cNvGraphicFramePr>
          <a:graphic>
            <a:graphicData uri="http://schemas.openxmlformats.org/drawingml/2006/picture">
              <pic:pic>
                <pic:nvPicPr>
                  <pic:cNvPr id="31" name="Image 31"/>
                  <pic:cNvPicPr/>
                </pic:nvPicPr>
                <pic:blipFill>
                  <a:blip r:embed="rId1" cstate="print"/>
                  <a:stretch>
                    <a:fillRect/>
                  </a:stretch>
                </pic:blipFill>
                <pic:spPr>
                  <a:xfrm>
                    <a:off x="0" y="0"/>
                    <a:ext cx="1767204" cy="99695"/>
                  </a:xfrm>
                  <a:prstGeom prst="rect">
                    <a:avLst/>
                  </a:prstGeom>
                </pic:spPr>
              </pic:pic>
            </a:graphicData>
          </a:graphic>
        </wp:anchor>
      </w:drawing>
    </w:r>
  </w:p>
</w:hdr>
</file>

<file path=word/header14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64096">
          <wp:simplePos x="0" y="0"/>
          <wp:positionH relativeFrom="page">
            <wp:posOffset>294131</wp:posOffset>
          </wp:positionH>
          <wp:positionV relativeFrom="page">
            <wp:posOffset>199558</wp:posOffset>
          </wp:positionV>
          <wp:extent cx="1316736" cy="364481"/>
          <wp:effectExtent l="0" t="0" r="0" b="0"/>
          <wp:wrapNone/>
          <wp:docPr id="2112" name="Image 2112"/>
          <wp:cNvGraphicFramePr>
            <a:graphicFrameLocks/>
          </wp:cNvGraphicFramePr>
          <a:graphic>
            <a:graphicData uri="http://schemas.openxmlformats.org/drawingml/2006/picture">
              <pic:pic>
                <pic:nvPicPr>
                  <pic:cNvPr id="2112" name="Image 2112"/>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64608">
              <wp:simplePos x="0" y="0"/>
              <wp:positionH relativeFrom="page">
                <wp:posOffset>19811</wp:posOffset>
              </wp:positionH>
              <wp:positionV relativeFrom="page">
                <wp:posOffset>784860</wp:posOffset>
              </wp:positionV>
              <wp:extent cx="7522845" cy="1270"/>
              <wp:effectExtent l="0" t="0" r="0" b="0"/>
              <wp:wrapNone/>
              <wp:docPr id="2113" name="Graphic 2113"/>
              <wp:cNvGraphicFramePr>
                <a:graphicFrameLocks/>
              </wp:cNvGraphicFramePr>
              <a:graphic>
                <a:graphicData uri="http://schemas.microsoft.com/office/word/2010/wordprocessingShape">
                  <wps:wsp>
                    <wps:cNvPr id="2113" name="Graphic 2113"/>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51872"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65120">
              <wp:simplePos x="0" y="0"/>
              <wp:positionH relativeFrom="page">
                <wp:posOffset>1913686</wp:posOffset>
              </wp:positionH>
              <wp:positionV relativeFrom="page">
                <wp:posOffset>457045</wp:posOffset>
              </wp:positionV>
              <wp:extent cx="3968115" cy="167005"/>
              <wp:effectExtent l="0" t="0" r="0" b="0"/>
              <wp:wrapNone/>
              <wp:docPr id="2114" name="Textbox 2114"/>
              <wp:cNvGraphicFramePr>
                <a:graphicFrameLocks/>
              </wp:cNvGraphicFramePr>
              <a:graphic>
                <a:graphicData uri="http://schemas.microsoft.com/office/word/2010/wordprocessingShape">
                  <wps:wsp>
                    <wps:cNvPr id="2114" name="Textbox 2114"/>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751360" type="#_x0000_t202" id="docshape1519"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14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65632">
          <wp:simplePos x="0" y="0"/>
          <wp:positionH relativeFrom="page">
            <wp:posOffset>294131</wp:posOffset>
          </wp:positionH>
          <wp:positionV relativeFrom="page">
            <wp:posOffset>199558</wp:posOffset>
          </wp:positionV>
          <wp:extent cx="1316736" cy="364481"/>
          <wp:effectExtent l="0" t="0" r="0" b="0"/>
          <wp:wrapNone/>
          <wp:docPr id="2115" name="Image 2115"/>
          <wp:cNvGraphicFramePr>
            <a:graphicFrameLocks/>
          </wp:cNvGraphicFramePr>
          <a:graphic>
            <a:graphicData uri="http://schemas.openxmlformats.org/drawingml/2006/picture">
              <pic:pic>
                <pic:nvPicPr>
                  <pic:cNvPr id="2115" name="Image 2115"/>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66144">
              <wp:simplePos x="0" y="0"/>
              <wp:positionH relativeFrom="page">
                <wp:posOffset>19811</wp:posOffset>
              </wp:positionH>
              <wp:positionV relativeFrom="page">
                <wp:posOffset>784860</wp:posOffset>
              </wp:positionV>
              <wp:extent cx="7522845" cy="1270"/>
              <wp:effectExtent l="0" t="0" r="0" b="0"/>
              <wp:wrapNone/>
              <wp:docPr id="2116" name="Graphic 2116"/>
              <wp:cNvGraphicFramePr>
                <a:graphicFrameLocks/>
              </wp:cNvGraphicFramePr>
              <a:graphic>
                <a:graphicData uri="http://schemas.microsoft.com/office/word/2010/wordprocessingShape">
                  <wps:wsp>
                    <wps:cNvPr id="2116" name="Graphic 2116"/>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50336"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66656">
              <wp:simplePos x="0" y="0"/>
              <wp:positionH relativeFrom="page">
                <wp:posOffset>1913686</wp:posOffset>
              </wp:positionH>
              <wp:positionV relativeFrom="page">
                <wp:posOffset>457045</wp:posOffset>
              </wp:positionV>
              <wp:extent cx="3968115" cy="167005"/>
              <wp:effectExtent l="0" t="0" r="0" b="0"/>
              <wp:wrapNone/>
              <wp:docPr id="2117" name="Textbox 2117"/>
              <wp:cNvGraphicFramePr>
                <a:graphicFrameLocks/>
              </wp:cNvGraphicFramePr>
              <a:graphic>
                <a:graphicData uri="http://schemas.microsoft.com/office/word/2010/wordprocessingShape">
                  <wps:wsp>
                    <wps:cNvPr id="2117" name="Textbox 2117"/>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749824" type="#_x0000_t202" id="docshape1520"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14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4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4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69216">
          <wp:simplePos x="0" y="0"/>
          <wp:positionH relativeFrom="page">
            <wp:posOffset>294131</wp:posOffset>
          </wp:positionH>
          <wp:positionV relativeFrom="page">
            <wp:posOffset>199558</wp:posOffset>
          </wp:positionV>
          <wp:extent cx="1316736" cy="364481"/>
          <wp:effectExtent l="0" t="0" r="0" b="0"/>
          <wp:wrapNone/>
          <wp:docPr id="2150" name="Image 2150"/>
          <wp:cNvGraphicFramePr>
            <a:graphicFrameLocks/>
          </wp:cNvGraphicFramePr>
          <a:graphic>
            <a:graphicData uri="http://schemas.openxmlformats.org/drawingml/2006/picture">
              <pic:pic>
                <pic:nvPicPr>
                  <pic:cNvPr id="2150" name="Image 2150"/>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69728">
              <wp:simplePos x="0" y="0"/>
              <wp:positionH relativeFrom="page">
                <wp:posOffset>19811</wp:posOffset>
              </wp:positionH>
              <wp:positionV relativeFrom="page">
                <wp:posOffset>784860</wp:posOffset>
              </wp:positionV>
              <wp:extent cx="7522845" cy="1270"/>
              <wp:effectExtent l="0" t="0" r="0" b="0"/>
              <wp:wrapNone/>
              <wp:docPr id="2151" name="Graphic 2151"/>
              <wp:cNvGraphicFramePr>
                <a:graphicFrameLocks/>
              </wp:cNvGraphicFramePr>
              <a:graphic>
                <a:graphicData uri="http://schemas.microsoft.com/office/word/2010/wordprocessingShape">
                  <wps:wsp>
                    <wps:cNvPr id="2151" name="Graphic 2151"/>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46752"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70240">
              <wp:simplePos x="0" y="0"/>
              <wp:positionH relativeFrom="page">
                <wp:posOffset>1913686</wp:posOffset>
              </wp:positionH>
              <wp:positionV relativeFrom="page">
                <wp:posOffset>457045</wp:posOffset>
              </wp:positionV>
              <wp:extent cx="3968115" cy="167005"/>
              <wp:effectExtent l="0" t="0" r="0" b="0"/>
              <wp:wrapNone/>
              <wp:docPr id="2152" name="Textbox 2152"/>
              <wp:cNvGraphicFramePr>
                <a:graphicFrameLocks/>
              </wp:cNvGraphicFramePr>
              <a:graphic>
                <a:graphicData uri="http://schemas.microsoft.com/office/word/2010/wordprocessingShape">
                  <wps:wsp>
                    <wps:cNvPr id="2152" name="Textbox 2152"/>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746240" type="#_x0000_t202" id="docshape1548"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14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70752">
          <wp:simplePos x="0" y="0"/>
          <wp:positionH relativeFrom="page">
            <wp:posOffset>294131</wp:posOffset>
          </wp:positionH>
          <wp:positionV relativeFrom="page">
            <wp:posOffset>199558</wp:posOffset>
          </wp:positionV>
          <wp:extent cx="1316736" cy="364481"/>
          <wp:effectExtent l="0" t="0" r="0" b="0"/>
          <wp:wrapNone/>
          <wp:docPr id="2153" name="Image 2153"/>
          <wp:cNvGraphicFramePr>
            <a:graphicFrameLocks/>
          </wp:cNvGraphicFramePr>
          <a:graphic>
            <a:graphicData uri="http://schemas.openxmlformats.org/drawingml/2006/picture">
              <pic:pic>
                <pic:nvPicPr>
                  <pic:cNvPr id="2153" name="Image 2153"/>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71264">
              <wp:simplePos x="0" y="0"/>
              <wp:positionH relativeFrom="page">
                <wp:posOffset>19811</wp:posOffset>
              </wp:positionH>
              <wp:positionV relativeFrom="page">
                <wp:posOffset>784860</wp:posOffset>
              </wp:positionV>
              <wp:extent cx="7522845" cy="1270"/>
              <wp:effectExtent l="0" t="0" r="0" b="0"/>
              <wp:wrapNone/>
              <wp:docPr id="2154" name="Graphic 2154"/>
              <wp:cNvGraphicFramePr>
                <a:graphicFrameLocks/>
              </wp:cNvGraphicFramePr>
              <a:graphic>
                <a:graphicData uri="http://schemas.microsoft.com/office/word/2010/wordprocessingShape">
                  <wps:wsp>
                    <wps:cNvPr id="2154" name="Graphic 2154"/>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45216"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71776">
              <wp:simplePos x="0" y="0"/>
              <wp:positionH relativeFrom="page">
                <wp:posOffset>1913686</wp:posOffset>
              </wp:positionH>
              <wp:positionV relativeFrom="page">
                <wp:posOffset>457045</wp:posOffset>
              </wp:positionV>
              <wp:extent cx="3968115" cy="167005"/>
              <wp:effectExtent l="0" t="0" r="0" b="0"/>
              <wp:wrapNone/>
              <wp:docPr id="2155" name="Textbox 2155"/>
              <wp:cNvGraphicFramePr>
                <a:graphicFrameLocks/>
              </wp:cNvGraphicFramePr>
              <a:graphic>
                <a:graphicData uri="http://schemas.microsoft.com/office/word/2010/wordprocessingShape">
                  <wps:wsp>
                    <wps:cNvPr id="2155" name="Textbox 2155"/>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744704" type="#_x0000_t202" id="docshape1549"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14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4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4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4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74336">
          <wp:simplePos x="0" y="0"/>
          <wp:positionH relativeFrom="page">
            <wp:posOffset>294131</wp:posOffset>
          </wp:positionH>
          <wp:positionV relativeFrom="page">
            <wp:posOffset>199558</wp:posOffset>
          </wp:positionV>
          <wp:extent cx="1316736" cy="364481"/>
          <wp:effectExtent l="0" t="0" r="0" b="0"/>
          <wp:wrapNone/>
          <wp:docPr id="2191" name="Image 2191"/>
          <wp:cNvGraphicFramePr>
            <a:graphicFrameLocks/>
          </wp:cNvGraphicFramePr>
          <a:graphic>
            <a:graphicData uri="http://schemas.openxmlformats.org/drawingml/2006/picture">
              <pic:pic>
                <pic:nvPicPr>
                  <pic:cNvPr id="2191" name="Image 2191"/>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74848">
              <wp:simplePos x="0" y="0"/>
              <wp:positionH relativeFrom="page">
                <wp:posOffset>19811</wp:posOffset>
              </wp:positionH>
              <wp:positionV relativeFrom="page">
                <wp:posOffset>784860</wp:posOffset>
              </wp:positionV>
              <wp:extent cx="7522845" cy="1270"/>
              <wp:effectExtent l="0" t="0" r="0" b="0"/>
              <wp:wrapNone/>
              <wp:docPr id="2192" name="Graphic 2192"/>
              <wp:cNvGraphicFramePr>
                <a:graphicFrameLocks/>
              </wp:cNvGraphicFramePr>
              <a:graphic>
                <a:graphicData uri="http://schemas.microsoft.com/office/word/2010/wordprocessingShape">
                  <wps:wsp>
                    <wps:cNvPr id="2192" name="Graphic 2192"/>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41632"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75360">
              <wp:simplePos x="0" y="0"/>
              <wp:positionH relativeFrom="page">
                <wp:posOffset>1913686</wp:posOffset>
              </wp:positionH>
              <wp:positionV relativeFrom="page">
                <wp:posOffset>457045</wp:posOffset>
              </wp:positionV>
              <wp:extent cx="3968115" cy="167005"/>
              <wp:effectExtent l="0" t="0" r="0" b="0"/>
              <wp:wrapNone/>
              <wp:docPr id="2193" name="Textbox 2193"/>
              <wp:cNvGraphicFramePr>
                <a:graphicFrameLocks/>
              </wp:cNvGraphicFramePr>
              <a:graphic>
                <a:graphicData uri="http://schemas.microsoft.com/office/word/2010/wordprocessingShape">
                  <wps:wsp>
                    <wps:cNvPr id="2193" name="Textbox 2193"/>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741120" type="#_x0000_t202" id="docshape1580"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5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575872">
          <wp:simplePos x="0" y="0"/>
          <wp:positionH relativeFrom="page">
            <wp:posOffset>294131</wp:posOffset>
          </wp:positionH>
          <wp:positionV relativeFrom="page">
            <wp:posOffset>199558</wp:posOffset>
          </wp:positionV>
          <wp:extent cx="1316736" cy="364481"/>
          <wp:effectExtent l="0" t="0" r="0" b="0"/>
          <wp:wrapNone/>
          <wp:docPr id="2194" name="Image 2194"/>
          <wp:cNvGraphicFramePr>
            <a:graphicFrameLocks/>
          </wp:cNvGraphicFramePr>
          <a:graphic>
            <a:graphicData uri="http://schemas.openxmlformats.org/drawingml/2006/picture">
              <pic:pic>
                <pic:nvPicPr>
                  <pic:cNvPr id="2194" name="Image 2194"/>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576384">
              <wp:simplePos x="0" y="0"/>
              <wp:positionH relativeFrom="page">
                <wp:posOffset>19811</wp:posOffset>
              </wp:positionH>
              <wp:positionV relativeFrom="page">
                <wp:posOffset>784860</wp:posOffset>
              </wp:positionV>
              <wp:extent cx="7522845" cy="1270"/>
              <wp:effectExtent l="0" t="0" r="0" b="0"/>
              <wp:wrapNone/>
              <wp:docPr id="2195" name="Graphic 2195"/>
              <wp:cNvGraphicFramePr>
                <a:graphicFrameLocks/>
              </wp:cNvGraphicFramePr>
              <a:graphic>
                <a:graphicData uri="http://schemas.microsoft.com/office/word/2010/wordprocessingShape">
                  <wps:wsp>
                    <wps:cNvPr id="2195" name="Graphic 2195"/>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740096"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576896">
              <wp:simplePos x="0" y="0"/>
              <wp:positionH relativeFrom="page">
                <wp:posOffset>1913686</wp:posOffset>
              </wp:positionH>
              <wp:positionV relativeFrom="page">
                <wp:posOffset>457045</wp:posOffset>
              </wp:positionV>
              <wp:extent cx="3968115" cy="167005"/>
              <wp:effectExtent l="0" t="0" r="0" b="0"/>
              <wp:wrapNone/>
              <wp:docPr id="2196" name="Textbox 2196"/>
              <wp:cNvGraphicFramePr>
                <a:graphicFrameLocks/>
              </wp:cNvGraphicFramePr>
              <a:graphic>
                <a:graphicData uri="http://schemas.microsoft.com/office/word/2010/wordprocessingShape">
                  <wps:wsp>
                    <wps:cNvPr id="2196" name="Textbox 2196"/>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739584" type="#_x0000_t202" id="docshape1581"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81472">
          <wp:simplePos x="0" y="0"/>
          <wp:positionH relativeFrom="page">
            <wp:posOffset>5069204</wp:posOffset>
          </wp:positionH>
          <wp:positionV relativeFrom="page">
            <wp:posOffset>806703</wp:posOffset>
          </wp:positionV>
          <wp:extent cx="1767204" cy="99695"/>
          <wp:effectExtent l="0" t="0" r="0" b="0"/>
          <wp:wrapNone/>
          <wp:docPr id="239" name="Image 239"/>
          <wp:cNvGraphicFramePr>
            <a:graphicFrameLocks/>
          </wp:cNvGraphicFramePr>
          <a:graphic>
            <a:graphicData uri="http://schemas.openxmlformats.org/drawingml/2006/picture">
              <pic:pic>
                <pic:nvPicPr>
                  <pic:cNvPr id="239" name="Image 239"/>
                  <pic:cNvPicPr/>
                </pic:nvPicPr>
                <pic:blipFill>
                  <a:blip r:embed="rId1" cstate="print"/>
                  <a:stretch>
                    <a:fillRect/>
                  </a:stretch>
                </pic:blipFill>
                <pic:spPr>
                  <a:xfrm>
                    <a:off x="0" y="0"/>
                    <a:ext cx="1767204" cy="99695"/>
                  </a:xfrm>
                  <a:prstGeom prst="rect">
                    <a:avLst/>
                  </a:prstGeom>
                </pic:spPr>
              </pic:pic>
            </a:graphicData>
          </a:graphic>
        </wp:anchor>
      </w:drawing>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83520">
          <wp:simplePos x="0" y="0"/>
          <wp:positionH relativeFrom="page">
            <wp:posOffset>5068570</wp:posOffset>
          </wp:positionH>
          <wp:positionV relativeFrom="page">
            <wp:posOffset>806703</wp:posOffset>
          </wp:positionV>
          <wp:extent cx="1767204" cy="99695"/>
          <wp:effectExtent l="0" t="0" r="0" b="0"/>
          <wp:wrapNone/>
          <wp:docPr id="244" name="Image 244"/>
          <wp:cNvGraphicFramePr>
            <a:graphicFrameLocks/>
          </wp:cNvGraphicFramePr>
          <a:graphic>
            <a:graphicData uri="http://schemas.openxmlformats.org/drawingml/2006/picture">
              <pic:pic>
                <pic:nvPicPr>
                  <pic:cNvPr id="244" name="Image 244"/>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284032">
              <wp:simplePos x="0" y="0"/>
              <wp:positionH relativeFrom="page">
                <wp:posOffset>6083046</wp:posOffset>
              </wp:positionH>
              <wp:positionV relativeFrom="page">
                <wp:posOffset>1611703</wp:posOffset>
              </wp:positionV>
              <wp:extent cx="772795" cy="182245"/>
              <wp:effectExtent l="0" t="0" r="0" b="0"/>
              <wp:wrapNone/>
              <wp:docPr id="245" name="Textbox 245"/>
              <wp:cNvGraphicFramePr>
                <a:graphicFrameLocks/>
              </wp:cNvGraphicFramePr>
              <a:graphic>
                <a:graphicData uri="http://schemas.microsoft.com/office/word/2010/wordprocessingShape">
                  <wps:wsp>
                    <wps:cNvPr id="245" name="Textbox 245"/>
                    <wps:cNvSpPr txBox="1"/>
                    <wps:spPr>
                      <a:xfrm>
                        <a:off x="0" y="0"/>
                        <a:ext cx="772795" cy="182245"/>
                      </a:xfrm>
                      <a:prstGeom prst="rect">
                        <a:avLst/>
                      </a:prstGeom>
                    </wps:spPr>
                    <wps:txbx>
                      <w:txbxContent>
                        <w:p>
                          <w:pPr>
                            <w:spacing w:before="13"/>
                            <w:ind w:left="20" w:right="0" w:firstLine="0"/>
                            <w:jc w:val="left"/>
                            <w:rPr>
                              <w:b/>
                              <w:sz w:val="22"/>
                            </w:rPr>
                          </w:pPr>
                          <w:r>
                            <w:rPr>
                              <w:b/>
                              <w:sz w:val="22"/>
                            </w:rPr>
                            <w:t>Anexo</w:t>
                          </w:r>
                          <w:r>
                            <w:rPr>
                              <w:b/>
                              <w:spacing w:val="-5"/>
                              <w:sz w:val="22"/>
                            </w:rPr>
                            <w:t> </w:t>
                          </w:r>
                          <w:r>
                            <w:rPr>
                              <w:b/>
                              <w:sz w:val="22"/>
                            </w:rPr>
                            <w:t>I/1-</w:t>
                          </w:r>
                          <w:r>
                            <w:rPr>
                              <w:b/>
                              <w:spacing w:val="-10"/>
                              <w:sz w:val="22"/>
                            </w:rPr>
                            <w:t>7</w:t>
                          </w:r>
                        </w:p>
                      </w:txbxContent>
                    </wps:txbx>
                    <wps:bodyPr wrap="square" lIns="0" tIns="0" rIns="0" bIns="0" rtlCol="0">
                      <a:noAutofit/>
                    </wps:bodyPr>
                  </wps:wsp>
                </a:graphicData>
              </a:graphic>
            </wp:anchor>
          </w:drawing>
        </mc:Choice>
        <mc:Fallback>
          <w:pict>
            <v:shape style="position:absolute;margin-left:478.980011pt;margin-top:126.905762pt;width:60.85pt;height:14.35pt;mso-position-horizontal-relative:page;mso-position-vertical-relative:page;z-index:-29032448" type="#_x0000_t202" id="docshape219" filled="false" stroked="false">
              <v:textbox inset="0,0,0,0">
                <w:txbxContent>
                  <w:p>
                    <w:pPr>
                      <w:spacing w:before="13"/>
                      <w:ind w:left="20" w:right="0" w:firstLine="0"/>
                      <w:jc w:val="left"/>
                      <w:rPr>
                        <w:b/>
                        <w:sz w:val="22"/>
                      </w:rPr>
                    </w:pPr>
                    <w:r>
                      <w:rPr>
                        <w:b/>
                        <w:sz w:val="22"/>
                      </w:rPr>
                      <w:t>Anexo</w:t>
                    </w:r>
                    <w:r>
                      <w:rPr>
                        <w:b/>
                        <w:spacing w:val="-5"/>
                        <w:sz w:val="22"/>
                      </w:rPr>
                      <w:t> </w:t>
                    </w:r>
                    <w:r>
                      <w:rPr>
                        <w:b/>
                        <w:sz w:val="22"/>
                      </w:rPr>
                      <w:t>I/1-</w:t>
                    </w:r>
                    <w:r>
                      <w:rPr>
                        <w:b/>
                        <w:spacing w:val="-10"/>
                        <w:sz w:val="22"/>
                      </w:rPr>
                      <w:t>7</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84544">
          <wp:simplePos x="0" y="0"/>
          <wp:positionH relativeFrom="page">
            <wp:posOffset>5068570</wp:posOffset>
          </wp:positionH>
          <wp:positionV relativeFrom="page">
            <wp:posOffset>806703</wp:posOffset>
          </wp:positionV>
          <wp:extent cx="1767204" cy="99695"/>
          <wp:effectExtent l="0" t="0" r="0" b="0"/>
          <wp:wrapNone/>
          <wp:docPr id="246" name="Image 246"/>
          <wp:cNvGraphicFramePr>
            <a:graphicFrameLocks/>
          </wp:cNvGraphicFramePr>
          <a:graphic>
            <a:graphicData uri="http://schemas.openxmlformats.org/drawingml/2006/picture">
              <pic:pic>
                <pic:nvPicPr>
                  <pic:cNvPr id="246" name="Image 246"/>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285056">
              <wp:simplePos x="0" y="0"/>
              <wp:positionH relativeFrom="page">
                <wp:posOffset>6083046</wp:posOffset>
              </wp:positionH>
              <wp:positionV relativeFrom="page">
                <wp:posOffset>1611703</wp:posOffset>
              </wp:positionV>
              <wp:extent cx="772795" cy="182245"/>
              <wp:effectExtent l="0" t="0" r="0" b="0"/>
              <wp:wrapNone/>
              <wp:docPr id="247" name="Textbox 247"/>
              <wp:cNvGraphicFramePr>
                <a:graphicFrameLocks/>
              </wp:cNvGraphicFramePr>
              <a:graphic>
                <a:graphicData uri="http://schemas.microsoft.com/office/word/2010/wordprocessingShape">
                  <wps:wsp>
                    <wps:cNvPr id="247" name="Textbox 247"/>
                    <wps:cNvSpPr txBox="1"/>
                    <wps:spPr>
                      <a:xfrm>
                        <a:off x="0" y="0"/>
                        <a:ext cx="772795" cy="182245"/>
                      </a:xfrm>
                      <a:prstGeom prst="rect">
                        <a:avLst/>
                      </a:prstGeom>
                    </wps:spPr>
                    <wps:txbx>
                      <w:txbxContent>
                        <w:p>
                          <w:pPr>
                            <w:spacing w:before="13"/>
                            <w:ind w:left="20" w:right="0" w:firstLine="0"/>
                            <w:jc w:val="left"/>
                            <w:rPr>
                              <w:b/>
                              <w:sz w:val="22"/>
                            </w:rPr>
                          </w:pPr>
                          <w:r>
                            <w:rPr>
                              <w:b/>
                              <w:sz w:val="22"/>
                            </w:rPr>
                            <w:t>Anexo</w:t>
                          </w:r>
                          <w:r>
                            <w:rPr>
                              <w:b/>
                              <w:spacing w:val="-5"/>
                              <w:sz w:val="22"/>
                            </w:rPr>
                            <w:t> </w:t>
                          </w:r>
                          <w:r>
                            <w:rPr>
                              <w:b/>
                              <w:sz w:val="22"/>
                            </w:rPr>
                            <w:t>I/2-</w:t>
                          </w:r>
                          <w:r>
                            <w:rPr>
                              <w:b/>
                              <w:spacing w:val="-10"/>
                              <w:sz w:val="22"/>
                            </w:rPr>
                            <w:t>7</w:t>
                          </w:r>
                        </w:p>
                      </w:txbxContent>
                    </wps:txbx>
                    <wps:bodyPr wrap="square" lIns="0" tIns="0" rIns="0" bIns="0" rtlCol="0">
                      <a:noAutofit/>
                    </wps:bodyPr>
                  </wps:wsp>
                </a:graphicData>
              </a:graphic>
            </wp:anchor>
          </w:drawing>
        </mc:Choice>
        <mc:Fallback>
          <w:pict>
            <v:shape style="position:absolute;margin-left:478.980011pt;margin-top:126.905762pt;width:60.85pt;height:14.35pt;mso-position-horizontal-relative:page;mso-position-vertical-relative:page;z-index:-29031424" type="#_x0000_t202" id="docshape220" filled="false" stroked="false">
              <v:textbox inset="0,0,0,0">
                <w:txbxContent>
                  <w:p>
                    <w:pPr>
                      <w:spacing w:before="13"/>
                      <w:ind w:left="20" w:right="0" w:firstLine="0"/>
                      <w:jc w:val="left"/>
                      <w:rPr>
                        <w:b/>
                        <w:sz w:val="22"/>
                      </w:rPr>
                    </w:pPr>
                    <w:r>
                      <w:rPr>
                        <w:b/>
                        <w:sz w:val="22"/>
                      </w:rPr>
                      <w:t>Anexo</w:t>
                    </w:r>
                    <w:r>
                      <w:rPr>
                        <w:b/>
                        <w:spacing w:val="-5"/>
                        <w:sz w:val="22"/>
                      </w:rPr>
                      <w:t> </w:t>
                    </w:r>
                    <w:r>
                      <w:rPr>
                        <w:b/>
                        <w:sz w:val="22"/>
                      </w:rPr>
                      <w:t>I/2-</w:t>
                    </w:r>
                    <w:r>
                      <w:rPr>
                        <w:b/>
                        <w:spacing w:val="-10"/>
                        <w:sz w:val="22"/>
                      </w:rPr>
                      <w:t>7</w:t>
                    </w:r>
                  </w:p>
                </w:txbxContent>
              </v:textbox>
              <w10:wrap type="none"/>
            </v:shape>
          </w:pict>
        </mc:Fallback>
      </mc:AlternateContent>
    </w:r>
  </w:p>
</w:hdr>
</file>

<file path=word/header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88640">
          <wp:simplePos x="0" y="0"/>
          <wp:positionH relativeFrom="page">
            <wp:posOffset>5068570</wp:posOffset>
          </wp:positionH>
          <wp:positionV relativeFrom="page">
            <wp:posOffset>806703</wp:posOffset>
          </wp:positionV>
          <wp:extent cx="1767204" cy="99695"/>
          <wp:effectExtent l="0" t="0" r="0" b="0"/>
          <wp:wrapNone/>
          <wp:docPr id="254" name="Image 254"/>
          <wp:cNvGraphicFramePr>
            <a:graphicFrameLocks/>
          </wp:cNvGraphicFramePr>
          <a:graphic>
            <a:graphicData uri="http://schemas.openxmlformats.org/drawingml/2006/picture">
              <pic:pic>
                <pic:nvPicPr>
                  <pic:cNvPr id="254" name="Image 254"/>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289152">
              <wp:simplePos x="0" y="0"/>
              <wp:positionH relativeFrom="page">
                <wp:posOffset>6083046</wp:posOffset>
              </wp:positionH>
              <wp:positionV relativeFrom="page">
                <wp:posOffset>1611703</wp:posOffset>
              </wp:positionV>
              <wp:extent cx="772795" cy="182245"/>
              <wp:effectExtent l="0" t="0" r="0" b="0"/>
              <wp:wrapNone/>
              <wp:docPr id="255" name="Textbox 255"/>
              <wp:cNvGraphicFramePr>
                <a:graphicFrameLocks/>
              </wp:cNvGraphicFramePr>
              <a:graphic>
                <a:graphicData uri="http://schemas.microsoft.com/office/word/2010/wordprocessingShape">
                  <wps:wsp>
                    <wps:cNvPr id="255" name="Textbox 255"/>
                    <wps:cNvSpPr txBox="1"/>
                    <wps:spPr>
                      <a:xfrm>
                        <a:off x="0" y="0"/>
                        <a:ext cx="772795" cy="182245"/>
                      </a:xfrm>
                      <a:prstGeom prst="rect">
                        <a:avLst/>
                      </a:prstGeom>
                    </wps:spPr>
                    <wps:txbx>
                      <w:txbxContent>
                        <w:p>
                          <w:pPr>
                            <w:spacing w:before="13"/>
                            <w:ind w:left="20" w:right="0" w:firstLine="0"/>
                            <w:jc w:val="left"/>
                            <w:rPr>
                              <w:b/>
                              <w:sz w:val="22"/>
                            </w:rPr>
                          </w:pPr>
                          <w:r>
                            <w:rPr>
                              <w:b/>
                              <w:sz w:val="22"/>
                            </w:rPr>
                            <w:t>Anexo</w:t>
                          </w:r>
                          <w:r>
                            <w:rPr>
                              <w:b/>
                              <w:spacing w:val="-5"/>
                              <w:sz w:val="22"/>
                            </w:rPr>
                            <w:t> </w:t>
                          </w:r>
                          <w:r>
                            <w:rPr>
                              <w:b/>
                              <w:sz w:val="22"/>
                            </w:rPr>
                            <w:t>I/3-</w:t>
                          </w:r>
                          <w:r>
                            <w:rPr>
                              <w:b/>
                              <w:spacing w:val="-10"/>
                              <w:sz w:val="22"/>
                            </w:rPr>
                            <w:t>7</w:t>
                          </w:r>
                        </w:p>
                      </w:txbxContent>
                    </wps:txbx>
                    <wps:bodyPr wrap="square" lIns="0" tIns="0" rIns="0" bIns="0" rtlCol="0">
                      <a:noAutofit/>
                    </wps:bodyPr>
                  </wps:wsp>
                </a:graphicData>
              </a:graphic>
            </wp:anchor>
          </w:drawing>
        </mc:Choice>
        <mc:Fallback>
          <w:pict>
            <v:shape style="position:absolute;margin-left:478.980011pt;margin-top:126.905762pt;width:60.85pt;height:14.35pt;mso-position-horizontal-relative:page;mso-position-vertical-relative:page;z-index:-29027328" type="#_x0000_t202" id="docshape227" filled="false" stroked="false">
              <v:textbox inset="0,0,0,0">
                <w:txbxContent>
                  <w:p>
                    <w:pPr>
                      <w:spacing w:before="13"/>
                      <w:ind w:left="20" w:right="0" w:firstLine="0"/>
                      <w:jc w:val="left"/>
                      <w:rPr>
                        <w:b/>
                        <w:sz w:val="22"/>
                      </w:rPr>
                    </w:pPr>
                    <w:r>
                      <w:rPr>
                        <w:b/>
                        <w:sz w:val="22"/>
                      </w:rPr>
                      <w:t>Anexo</w:t>
                    </w:r>
                    <w:r>
                      <w:rPr>
                        <w:b/>
                        <w:spacing w:val="-5"/>
                        <w:sz w:val="22"/>
                      </w:rPr>
                      <w:t> </w:t>
                    </w:r>
                    <w:r>
                      <w:rPr>
                        <w:b/>
                        <w:sz w:val="22"/>
                      </w:rPr>
                      <w:t>I/3-</w:t>
                    </w:r>
                    <w:r>
                      <w:rPr>
                        <w:b/>
                        <w:spacing w:val="-10"/>
                        <w:sz w:val="22"/>
                      </w:rPr>
                      <w:t>7</w:t>
                    </w:r>
                  </w:p>
                </w:txbxContent>
              </v:textbox>
              <w10:wrap type="none"/>
            </v:shape>
          </w:pict>
        </mc:Fallback>
      </mc:AlternateContent>
    </w:r>
  </w:p>
</w:hdr>
</file>

<file path=word/header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89664">
          <wp:simplePos x="0" y="0"/>
          <wp:positionH relativeFrom="page">
            <wp:posOffset>5068570</wp:posOffset>
          </wp:positionH>
          <wp:positionV relativeFrom="page">
            <wp:posOffset>806703</wp:posOffset>
          </wp:positionV>
          <wp:extent cx="1767204" cy="99695"/>
          <wp:effectExtent l="0" t="0" r="0" b="0"/>
          <wp:wrapNone/>
          <wp:docPr id="256" name="Image 256"/>
          <wp:cNvGraphicFramePr>
            <a:graphicFrameLocks/>
          </wp:cNvGraphicFramePr>
          <a:graphic>
            <a:graphicData uri="http://schemas.openxmlformats.org/drawingml/2006/picture">
              <pic:pic>
                <pic:nvPicPr>
                  <pic:cNvPr id="256" name="Image 256"/>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290176">
              <wp:simplePos x="0" y="0"/>
              <wp:positionH relativeFrom="page">
                <wp:posOffset>6083046</wp:posOffset>
              </wp:positionH>
              <wp:positionV relativeFrom="page">
                <wp:posOffset>1611703</wp:posOffset>
              </wp:positionV>
              <wp:extent cx="772795" cy="182245"/>
              <wp:effectExtent l="0" t="0" r="0" b="0"/>
              <wp:wrapNone/>
              <wp:docPr id="257" name="Textbox 257"/>
              <wp:cNvGraphicFramePr>
                <a:graphicFrameLocks/>
              </wp:cNvGraphicFramePr>
              <a:graphic>
                <a:graphicData uri="http://schemas.microsoft.com/office/word/2010/wordprocessingShape">
                  <wps:wsp>
                    <wps:cNvPr id="257" name="Textbox 257"/>
                    <wps:cNvSpPr txBox="1"/>
                    <wps:spPr>
                      <a:xfrm>
                        <a:off x="0" y="0"/>
                        <a:ext cx="772795" cy="182245"/>
                      </a:xfrm>
                      <a:prstGeom prst="rect">
                        <a:avLst/>
                      </a:prstGeom>
                    </wps:spPr>
                    <wps:txbx>
                      <w:txbxContent>
                        <w:p>
                          <w:pPr>
                            <w:spacing w:before="13"/>
                            <w:ind w:left="20" w:right="0" w:firstLine="0"/>
                            <w:jc w:val="left"/>
                            <w:rPr>
                              <w:b/>
                              <w:sz w:val="22"/>
                            </w:rPr>
                          </w:pPr>
                          <w:r>
                            <w:rPr>
                              <w:b/>
                              <w:sz w:val="22"/>
                            </w:rPr>
                            <w:t>Anexo</w:t>
                          </w:r>
                          <w:r>
                            <w:rPr>
                              <w:b/>
                              <w:spacing w:val="-5"/>
                              <w:sz w:val="22"/>
                            </w:rPr>
                            <w:t> </w:t>
                          </w:r>
                          <w:r>
                            <w:rPr>
                              <w:b/>
                              <w:sz w:val="22"/>
                            </w:rPr>
                            <w:t>I/4-</w:t>
                          </w:r>
                          <w:r>
                            <w:rPr>
                              <w:b/>
                              <w:spacing w:val="-10"/>
                              <w:sz w:val="22"/>
                            </w:rPr>
                            <w:t>7</w:t>
                          </w:r>
                        </w:p>
                      </w:txbxContent>
                    </wps:txbx>
                    <wps:bodyPr wrap="square" lIns="0" tIns="0" rIns="0" bIns="0" rtlCol="0">
                      <a:noAutofit/>
                    </wps:bodyPr>
                  </wps:wsp>
                </a:graphicData>
              </a:graphic>
            </wp:anchor>
          </w:drawing>
        </mc:Choice>
        <mc:Fallback>
          <w:pict>
            <v:shape style="position:absolute;margin-left:478.980011pt;margin-top:126.905762pt;width:60.85pt;height:14.35pt;mso-position-horizontal-relative:page;mso-position-vertical-relative:page;z-index:-29026304" type="#_x0000_t202" id="docshape228" filled="false" stroked="false">
              <v:textbox inset="0,0,0,0">
                <w:txbxContent>
                  <w:p>
                    <w:pPr>
                      <w:spacing w:before="13"/>
                      <w:ind w:left="20" w:right="0" w:firstLine="0"/>
                      <w:jc w:val="left"/>
                      <w:rPr>
                        <w:b/>
                        <w:sz w:val="22"/>
                      </w:rPr>
                    </w:pPr>
                    <w:r>
                      <w:rPr>
                        <w:b/>
                        <w:sz w:val="22"/>
                      </w:rPr>
                      <w:t>Anexo</w:t>
                    </w:r>
                    <w:r>
                      <w:rPr>
                        <w:b/>
                        <w:spacing w:val="-5"/>
                        <w:sz w:val="22"/>
                      </w:rPr>
                      <w:t> </w:t>
                    </w:r>
                    <w:r>
                      <w:rPr>
                        <w:b/>
                        <w:sz w:val="22"/>
                      </w:rPr>
                      <w:t>I/4-</w:t>
                    </w:r>
                    <w:r>
                      <w:rPr>
                        <w:b/>
                        <w:spacing w:val="-10"/>
                        <w:sz w:val="22"/>
                      </w:rPr>
                      <w:t>7</w:t>
                    </w:r>
                  </w:p>
                </w:txbxContent>
              </v:textbox>
              <w10:wrap type="none"/>
            </v:shape>
          </w:pict>
        </mc:Fallback>
      </mc:AlternateContent>
    </w:r>
  </w:p>
</w:hdr>
</file>

<file path=word/header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93760">
          <wp:simplePos x="0" y="0"/>
          <wp:positionH relativeFrom="page">
            <wp:posOffset>5068570</wp:posOffset>
          </wp:positionH>
          <wp:positionV relativeFrom="page">
            <wp:posOffset>806703</wp:posOffset>
          </wp:positionV>
          <wp:extent cx="1767204" cy="99695"/>
          <wp:effectExtent l="0" t="0" r="0" b="0"/>
          <wp:wrapNone/>
          <wp:docPr id="264" name="Image 264"/>
          <wp:cNvGraphicFramePr>
            <a:graphicFrameLocks/>
          </wp:cNvGraphicFramePr>
          <a:graphic>
            <a:graphicData uri="http://schemas.openxmlformats.org/drawingml/2006/picture">
              <pic:pic>
                <pic:nvPicPr>
                  <pic:cNvPr id="264" name="Image 264"/>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294272">
              <wp:simplePos x="0" y="0"/>
              <wp:positionH relativeFrom="page">
                <wp:posOffset>6083046</wp:posOffset>
              </wp:positionH>
              <wp:positionV relativeFrom="page">
                <wp:posOffset>1611703</wp:posOffset>
              </wp:positionV>
              <wp:extent cx="772795" cy="182245"/>
              <wp:effectExtent l="0" t="0" r="0" b="0"/>
              <wp:wrapNone/>
              <wp:docPr id="265" name="Textbox 265"/>
              <wp:cNvGraphicFramePr>
                <a:graphicFrameLocks/>
              </wp:cNvGraphicFramePr>
              <a:graphic>
                <a:graphicData uri="http://schemas.microsoft.com/office/word/2010/wordprocessingShape">
                  <wps:wsp>
                    <wps:cNvPr id="265" name="Textbox 265"/>
                    <wps:cNvSpPr txBox="1"/>
                    <wps:spPr>
                      <a:xfrm>
                        <a:off x="0" y="0"/>
                        <a:ext cx="772795" cy="182245"/>
                      </a:xfrm>
                      <a:prstGeom prst="rect">
                        <a:avLst/>
                      </a:prstGeom>
                    </wps:spPr>
                    <wps:txbx>
                      <w:txbxContent>
                        <w:p>
                          <w:pPr>
                            <w:spacing w:before="13"/>
                            <w:ind w:left="20" w:right="0" w:firstLine="0"/>
                            <w:jc w:val="left"/>
                            <w:rPr>
                              <w:b/>
                              <w:sz w:val="22"/>
                            </w:rPr>
                          </w:pPr>
                          <w:r>
                            <w:rPr>
                              <w:b/>
                              <w:sz w:val="22"/>
                            </w:rPr>
                            <w:t>Anexo</w:t>
                          </w:r>
                          <w:r>
                            <w:rPr>
                              <w:b/>
                              <w:spacing w:val="-5"/>
                              <w:sz w:val="22"/>
                            </w:rPr>
                            <w:t> </w:t>
                          </w:r>
                          <w:r>
                            <w:rPr>
                              <w:b/>
                              <w:sz w:val="22"/>
                            </w:rPr>
                            <w:t>I/5-</w:t>
                          </w:r>
                          <w:r>
                            <w:rPr>
                              <w:b/>
                              <w:spacing w:val="-10"/>
                              <w:sz w:val="22"/>
                            </w:rPr>
                            <w:t>7</w:t>
                          </w:r>
                        </w:p>
                      </w:txbxContent>
                    </wps:txbx>
                    <wps:bodyPr wrap="square" lIns="0" tIns="0" rIns="0" bIns="0" rtlCol="0">
                      <a:noAutofit/>
                    </wps:bodyPr>
                  </wps:wsp>
                </a:graphicData>
              </a:graphic>
            </wp:anchor>
          </w:drawing>
        </mc:Choice>
        <mc:Fallback>
          <w:pict>
            <v:shape style="position:absolute;margin-left:478.980011pt;margin-top:126.905762pt;width:60.85pt;height:14.35pt;mso-position-horizontal-relative:page;mso-position-vertical-relative:page;z-index:-29022208" type="#_x0000_t202" id="docshape235" filled="false" stroked="false">
              <v:textbox inset="0,0,0,0">
                <w:txbxContent>
                  <w:p>
                    <w:pPr>
                      <w:spacing w:before="13"/>
                      <w:ind w:left="20" w:right="0" w:firstLine="0"/>
                      <w:jc w:val="left"/>
                      <w:rPr>
                        <w:b/>
                        <w:sz w:val="22"/>
                      </w:rPr>
                    </w:pPr>
                    <w:r>
                      <w:rPr>
                        <w:b/>
                        <w:sz w:val="22"/>
                      </w:rPr>
                      <w:t>Anexo</w:t>
                    </w:r>
                    <w:r>
                      <w:rPr>
                        <w:b/>
                        <w:spacing w:val="-5"/>
                        <w:sz w:val="22"/>
                      </w:rPr>
                      <w:t> </w:t>
                    </w:r>
                    <w:r>
                      <w:rPr>
                        <w:b/>
                        <w:sz w:val="22"/>
                      </w:rPr>
                      <w:t>I/5-</w:t>
                    </w:r>
                    <w:r>
                      <w:rPr>
                        <w:b/>
                        <w:spacing w:val="-10"/>
                        <w:sz w:val="22"/>
                      </w:rPr>
                      <w:t>7</w:t>
                    </w:r>
                  </w:p>
                </w:txbxContent>
              </v:textbox>
              <w10:wrap type="none"/>
            </v:shape>
          </w:pict>
        </mc:Fallback>
      </mc:AlternateContent>
    </w:r>
  </w:p>
</w:hdr>
</file>

<file path=word/header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94784">
          <wp:simplePos x="0" y="0"/>
          <wp:positionH relativeFrom="page">
            <wp:posOffset>5068570</wp:posOffset>
          </wp:positionH>
          <wp:positionV relativeFrom="page">
            <wp:posOffset>806703</wp:posOffset>
          </wp:positionV>
          <wp:extent cx="1767204" cy="99695"/>
          <wp:effectExtent l="0" t="0" r="0" b="0"/>
          <wp:wrapNone/>
          <wp:docPr id="266" name="Image 266"/>
          <wp:cNvGraphicFramePr>
            <a:graphicFrameLocks/>
          </wp:cNvGraphicFramePr>
          <a:graphic>
            <a:graphicData uri="http://schemas.openxmlformats.org/drawingml/2006/picture">
              <pic:pic>
                <pic:nvPicPr>
                  <pic:cNvPr id="266" name="Image 266"/>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295296">
              <wp:simplePos x="0" y="0"/>
              <wp:positionH relativeFrom="page">
                <wp:posOffset>6083046</wp:posOffset>
              </wp:positionH>
              <wp:positionV relativeFrom="page">
                <wp:posOffset>1899739</wp:posOffset>
              </wp:positionV>
              <wp:extent cx="772795" cy="182245"/>
              <wp:effectExtent l="0" t="0" r="0" b="0"/>
              <wp:wrapNone/>
              <wp:docPr id="267" name="Textbox 267"/>
              <wp:cNvGraphicFramePr>
                <a:graphicFrameLocks/>
              </wp:cNvGraphicFramePr>
              <a:graphic>
                <a:graphicData uri="http://schemas.microsoft.com/office/word/2010/wordprocessingShape">
                  <wps:wsp>
                    <wps:cNvPr id="267" name="Textbox 267"/>
                    <wps:cNvSpPr txBox="1"/>
                    <wps:spPr>
                      <a:xfrm>
                        <a:off x="0" y="0"/>
                        <a:ext cx="772795" cy="182245"/>
                      </a:xfrm>
                      <a:prstGeom prst="rect">
                        <a:avLst/>
                      </a:prstGeom>
                    </wps:spPr>
                    <wps:txbx>
                      <w:txbxContent>
                        <w:p>
                          <w:pPr>
                            <w:spacing w:before="13"/>
                            <w:ind w:left="20" w:right="0" w:firstLine="0"/>
                            <w:jc w:val="left"/>
                            <w:rPr>
                              <w:b/>
                              <w:sz w:val="22"/>
                            </w:rPr>
                          </w:pPr>
                          <w:r>
                            <w:rPr>
                              <w:b/>
                              <w:sz w:val="22"/>
                            </w:rPr>
                            <w:t>Anexo</w:t>
                          </w:r>
                          <w:r>
                            <w:rPr>
                              <w:b/>
                              <w:spacing w:val="-4"/>
                              <w:sz w:val="22"/>
                            </w:rPr>
                            <w:t> </w:t>
                          </w:r>
                          <w:r>
                            <w:rPr>
                              <w:b/>
                              <w:sz w:val="22"/>
                            </w:rPr>
                            <w:t>I/6-</w:t>
                          </w:r>
                          <w:r>
                            <w:rPr>
                              <w:b/>
                              <w:spacing w:val="-10"/>
                              <w:sz w:val="22"/>
                            </w:rPr>
                            <w:t>7</w:t>
                          </w:r>
                        </w:p>
                      </w:txbxContent>
                    </wps:txbx>
                    <wps:bodyPr wrap="square" lIns="0" tIns="0" rIns="0" bIns="0" rtlCol="0">
                      <a:noAutofit/>
                    </wps:bodyPr>
                  </wps:wsp>
                </a:graphicData>
              </a:graphic>
            </wp:anchor>
          </w:drawing>
        </mc:Choice>
        <mc:Fallback>
          <w:pict>
            <v:shape style="position:absolute;margin-left:478.980011pt;margin-top:149.58577pt;width:60.85pt;height:14.35pt;mso-position-horizontal-relative:page;mso-position-vertical-relative:page;z-index:-29021184" type="#_x0000_t202" id="docshape236" filled="false" stroked="false">
              <v:textbox inset="0,0,0,0">
                <w:txbxContent>
                  <w:p>
                    <w:pPr>
                      <w:spacing w:before="13"/>
                      <w:ind w:left="20" w:right="0" w:firstLine="0"/>
                      <w:jc w:val="left"/>
                      <w:rPr>
                        <w:b/>
                        <w:sz w:val="22"/>
                      </w:rPr>
                    </w:pPr>
                    <w:r>
                      <w:rPr>
                        <w:b/>
                        <w:sz w:val="22"/>
                      </w:rPr>
                      <w:t>Anexo</w:t>
                    </w:r>
                    <w:r>
                      <w:rPr>
                        <w:b/>
                        <w:spacing w:val="-4"/>
                        <w:sz w:val="22"/>
                      </w:rPr>
                      <w:t> </w:t>
                    </w:r>
                    <w:r>
                      <w:rPr>
                        <w:b/>
                        <w:sz w:val="22"/>
                      </w:rPr>
                      <w:t>I/6-</w:t>
                    </w:r>
                    <w:r>
                      <w:rPr>
                        <w:b/>
                        <w:spacing w:val="-10"/>
                        <w:sz w:val="22"/>
                      </w:rPr>
                      <w:t>7</w:t>
                    </w:r>
                  </w:p>
                </w:txbxContent>
              </v:textbox>
              <w10:wrap type="none"/>
            </v:shape>
          </w:pict>
        </mc:Fallback>
      </mc:AlternateContent>
    </w:r>
  </w:p>
</w:hdr>
</file>

<file path=word/header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98880">
          <wp:simplePos x="0" y="0"/>
          <wp:positionH relativeFrom="page">
            <wp:posOffset>5068570</wp:posOffset>
          </wp:positionH>
          <wp:positionV relativeFrom="page">
            <wp:posOffset>806703</wp:posOffset>
          </wp:positionV>
          <wp:extent cx="1767204" cy="99695"/>
          <wp:effectExtent l="0" t="0" r="0" b="0"/>
          <wp:wrapNone/>
          <wp:docPr id="274" name="Image 274"/>
          <wp:cNvGraphicFramePr>
            <a:graphicFrameLocks/>
          </wp:cNvGraphicFramePr>
          <a:graphic>
            <a:graphicData uri="http://schemas.openxmlformats.org/drawingml/2006/picture">
              <pic:pic>
                <pic:nvPicPr>
                  <pic:cNvPr id="274" name="Image 274"/>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299392">
              <wp:simplePos x="0" y="0"/>
              <wp:positionH relativeFrom="page">
                <wp:posOffset>6083046</wp:posOffset>
              </wp:positionH>
              <wp:positionV relativeFrom="page">
                <wp:posOffset>1611703</wp:posOffset>
              </wp:positionV>
              <wp:extent cx="772795" cy="182245"/>
              <wp:effectExtent l="0" t="0" r="0" b="0"/>
              <wp:wrapNone/>
              <wp:docPr id="275" name="Textbox 275"/>
              <wp:cNvGraphicFramePr>
                <a:graphicFrameLocks/>
              </wp:cNvGraphicFramePr>
              <a:graphic>
                <a:graphicData uri="http://schemas.microsoft.com/office/word/2010/wordprocessingShape">
                  <wps:wsp>
                    <wps:cNvPr id="275" name="Textbox 275"/>
                    <wps:cNvSpPr txBox="1"/>
                    <wps:spPr>
                      <a:xfrm>
                        <a:off x="0" y="0"/>
                        <a:ext cx="772795" cy="182245"/>
                      </a:xfrm>
                      <a:prstGeom prst="rect">
                        <a:avLst/>
                      </a:prstGeom>
                    </wps:spPr>
                    <wps:txbx>
                      <w:txbxContent>
                        <w:p>
                          <w:pPr>
                            <w:spacing w:before="13"/>
                            <w:ind w:left="20" w:right="0" w:firstLine="0"/>
                            <w:jc w:val="left"/>
                            <w:rPr>
                              <w:b/>
                              <w:sz w:val="22"/>
                            </w:rPr>
                          </w:pPr>
                          <w:r>
                            <w:rPr>
                              <w:b/>
                              <w:sz w:val="22"/>
                            </w:rPr>
                            <w:t>Anexo</w:t>
                          </w:r>
                          <w:r>
                            <w:rPr>
                              <w:b/>
                              <w:spacing w:val="-5"/>
                              <w:sz w:val="22"/>
                            </w:rPr>
                            <w:t> </w:t>
                          </w:r>
                          <w:r>
                            <w:rPr>
                              <w:b/>
                              <w:sz w:val="22"/>
                            </w:rPr>
                            <w:t>I/7-</w:t>
                          </w:r>
                          <w:r>
                            <w:rPr>
                              <w:b/>
                              <w:spacing w:val="-10"/>
                              <w:sz w:val="22"/>
                            </w:rPr>
                            <w:t>7</w:t>
                          </w:r>
                        </w:p>
                      </w:txbxContent>
                    </wps:txbx>
                    <wps:bodyPr wrap="square" lIns="0" tIns="0" rIns="0" bIns="0" rtlCol="0">
                      <a:noAutofit/>
                    </wps:bodyPr>
                  </wps:wsp>
                </a:graphicData>
              </a:graphic>
            </wp:anchor>
          </w:drawing>
        </mc:Choice>
        <mc:Fallback>
          <w:pict>
            <v:shape style="position:absolute;margin-left:478.980011pt;margin-top:126.905762pt;width:60.85pt;height:14.35pt;mso-position-horizontal-relative:page;mso-position-vertical-relative:page;z-index:-29017088" type="#_x0000_t202" id="docshape243" filled="false" stroked="false">
              <v:textbox inset="0,0,0,0">
                <w:txbxContent>
                  <w:p>
                    <w:pPr>
                      <w:spacing w:before="13"/>
                      <w:ind w:left="20" w:right="0" w:firstLine="0"/>
                      <w:jc w:val="left"/>
                      <w:rPr>
                        <w:b/>
                        <w:sz w:val="22"/>
                      </w:rPr>
                    </w:pPr>
                    <w:r>
                      <w:rPr>
                        <w:b/>
                        <w:sz w:val="22"/>
                      </w:rPr>
                      <w:t>Anexo</w:t>
                    </w:r>
                    <w:r>
                      <w:rPr>
                        <w:b/>
                        <w:spacing w:val="-5"/>
                        <w:sz w:val="22"/>
                      </w:rPr>
                      <w:t> </w:t>
                    </w:r>
                    <w:r>
                      <w:rPr>
                        <w:b/>
                        <w:sz w:val="22"/>
                      </w:rPr>
                      <w:t>I/7-</w:t>
                    </w:r>
                    <w:r>
                      <w:rPr>
                        <w:b/>
                        <w:spacing w:val="-10"/>
                        <w:sz w:val="22"/>
                      </w:rPr>
                      <w:t>7</w:t>
                    </w:r>
                  </w:p>
                </w:txbxContent>
              </v:textbox>
              <w10:wrap type="none"/>
            </v:shape>
          </w:pict>
        </mc:Fallback>
      </mc:AlternateContent>
    </w:r>
  </w:p>
</w:hdr>
</file>

<file path=word/header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99904">
          <wp:simplePos x="0" y="0"/>
          <wp:positionH relativeFrom="page">
            <wp:posOffset>5068570</wp:posOffset>
          </wp:positionH>
          <wp:positionV relativeFrom="page">
            <wp:posOffset>806703</wp:posOffset>
          </wp:positionV>
          <wp:extent cx="1767204" cy="99695"/>
          <wp:effectExtent l="0" t="0" r="0" b="0"/>
          <wp:wrapNone/>
          <wp:docPr id="276" name="Image 276"/>
          <wp:cNvGraphicFramePr>
            <a:graphicFrameLocks/>
          </wp:cNvGraphicFramePr>
          <a:graphic>
            <a:graphicData uri="http://schemas.openxmlformats.org/drawingml/2006/picture">
              <pic:pic>
                <pic:nvPicPr>
                  <pic:cNvPr id="276" name="Image 276"/>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00416">
              <wp:simplePos x="0" y="0"/>
              <wp:positionH relativeFrom="page">
                <wp:posOffset>6043421</wp:posOffset>
              </wp:positionH>
              <wp:positionV relativeFrom="page">
                <wp:posOffset>1613227</wp:posOffset>
              </wp:positionV>
              <wp:extent cx="812800" cy="182245"/>
              <wp:effectExtent l="0" t="0" r="0" b="0"/>
              <wp:wrapNone/>
              <wp:docPr id="277" name="Textbox 277"/>
              <wp:cNvGraphicFramePr>
                <a:graphicFrameLocks/>
              </wp:cNvGraphicFramePr>
              <a:graphic>
                <a:graphicData uri="http://schemas.microsoft.com/office/word/2010/wordprocessingShape">
                  <wps:wsp>
                    <wps:cNvPr id="277" name="Textbox 277"/>
                    <wps:cNvSpPr txBox="1"/>
                    <wps:spPr>
                      <a:xfrm>
                        <a:off x="0" y="0"/>
                        <a:ext cx="812800" cy="182245"/>
                      </a:xfrm>
                      <a:prstGeom prst="rect">
                        <a:avLst/>
                      </a:prstGeom>
                    </wps:spPr>
                    <wps:txbx>
                      <w:txbxContent>
                        <w:p>
                          <w:pPr>
                            <w:spacing w:before="13"/>
                            <w:ind w:left="20" w:right="0" w:firstLine="0"/>
                            <w:jc w:val="left"/>
                            <w:rPr>
                              <w:b/>
                              <w:sz w:val="22"/>
                            </w:rPr>
                          </w:pPr>
                          <w:r>
                            <w:rPr>
                              <w:b/>
                              <w:sz w:val="22"/>
                            </w:rPr>
                            <w:t>Anexo</w:t>
                          </w:r>
                          <w:r>
                            <w:rPr>
                              <w:b/>
                              <w:spacing w:val="-6"/>
                              <w:sz w:val="22"/>
                            </w:rPr>
                            <w:t> </w:t>
                          </w:r>
                          <w:r>
                            <w:rPr>
                              <w:b/>
                              <w:sz w:val="22"/>
                            </w:rPr>
                            <w:t>II/1-</w:t>
                          </w:r>
                          <w:r>
                            <w:rPr>
                              <w:b/>
                              <w:spacing w:val="-10"/>
                              <w:sz w:val="22"/>
                            </w:rPr>
                            <w:t>2</w:t>
                          </w:r>
                        </w:p>
                      </w:txbxContent>
                    </wps:txbx>
                    <wps:bodyPr wrap="square" lIns="0" tIns="0" rIns="0" bIns="0" rtlCol="0">
                      <a:noAutofit/>
                    </wps:bodyPr>
                  </wps:wsp>
                </a:graphicData>
              </a:graphic>
            </wp:anchor>
          </w:drawing>
        </mc:Choice>
        <mc:Fallback>
          <w:pict>
            <v:shape style="position:absolute;margin-left:475.859985pt;margin-top:127.025764pt;width:64pt;height:14.35pt;mso-position-horizontal-relative:page;mso-position-vertical-relative:page;z-index:-29016064" type="#_x0000_t202" id="docshape244" filled="false" stroked="false">
              <v:textbox inset="0,0,0,0">
                <w:txbxContent>
                  <w:p>
                    <w:pPr>
                      <w:spacing w:before="13"/>
                      <w:ind w:left="20" w:right="0" w:firstLine="0"/>
                      <w:jc w:val="left"/>
                      <w:rPr>
                        <w:b/>
                        <w:sz w:val="22"/>
                      </w:rPr>
                    </w:pPr>
                    <w:r>
                      <w:rPr>
                        <w:b/>
                        <w:sz w:val="22"/>
                      </w:rPr>
                      <w:t>Anexo</w:t>
                    </w:r>
                    <w:r>
                      <w:rPr>
                        <w:b/>
                        <w:spacing w:val="-6"/>
                        <w:sz w:val="22"/>
                      </w:rPr>
                      <w:t> </w:t>
                    </w:r>
                    <w:r>
                      <w:rPr>
                        <w:b/>
                        <w:sz w:val="22"/>
                      </w:rPr>
                      <w:t>II/1-</w:t>
                    </w:r>
                    <w:r>
                      <w:rPr>
                        <w:b/>
                        <w:spacing w:val="-10"/>
                        <w:sz w:val="22"/>
                      </w:rPr>
                      <w:t>2</w:t>
                    </w:r>
                  </w:p>
                </w:txbxContent>
              </v:textbox>
              <w10:wrap type="none"/>
            </v:shape>
          </w:pict>
        </mc:Fallback>
      </mc:AlternateContent>
    </w:r>
  </w:p>
</w:hdr>
</file>

<file path=word/header2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04000">
          <wp:simplePos x="0" y="0"/>
          <wp:positionH relativeFrom="page">
            <wp:posOffset>5068570</wp:posOffset>
          </wp:positionH>
          <wp:positionV relativeFrom="page">
            <wp:posOffset>806703</wp:posOffset>
          </wp:positionV>
          <wp:extent cx="1767204" cy="99695"/>
          <wp:effectExtent l="0" t="0" r="0" b="0"/>
          <wp:wrapNone/>
          <wp:docPr id="284" name="Image 284"/>
          <wp:cNvGraphicFramePr>
            <a:graphicFrameLocks/>
          </wp:cNvGraphicFramePr>
          <a:graphic>
            <a:graphicData uri="http://schemas.openxmlformats.org/drawingml/2006/picture">
              <pic:pic>
                <pic:nvPicPr>
                  <pic:cNvPr id="284" name="Image 284"/>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04512">
              <wp:simplePos x="0" y="0"/>
              <wp:positionH relativeFrom="page">
                <wp:posOffset>6043421</wp:posOffset>
              </wp:positionH>
              <wp:positionV relativeFrom="page">
                <wp:posOffset>1611703</wp:posOffset>
              </wp:positionV>
              <wp:extent cx="812800" cy="182245"/>
              <wp:effectExtent l="0" t="0" r="0" b="0"/>
              <wp:wrapNone/>
              <wp:docPr id="285" name="Textbox 285"/>
              <wp:cNvGraphicFramePr>
                <a:graphicFrameLocks/>
              </wp:cNvGraphicFramePr>
              <a:graphic>
                <a:graphicData uri="http://schemas.microsoft.com/office/word/2010/wordprocessingShape">
                  <wps:wsp>
                    <wps:cNvPr id="285" name="Textbox 285"/>
                    <wps:cNvSpPr txBox="1"/>
                    <wps:spPr>
                      <a:xfrm>
                        <a:off x="0" y="0"/>
                        <a:ext cx="812800" cy="182245"/>
                      </a:xfrm>
                      <a:prstGeom prst="rect">
                        <a:avLst/>
                      </a:prstGeom>
                    </wps:spPr>
                    <wps:txbx>
                      <w:txbxContent>
                        <w:p>
                          <w:pPr>
                            <w:spacing w:before="13"/>
                            <w:ind w:left="20" w:right="0" w:firstLine="0"/>
                            <w:jc w:val="left"/>
                            <w:rPr>
                              <w:b/>
                              <w:sz w:val="22"/>
                            </w:rPr>
                          </w:pPr>
                          <w:r>
                            <w:rPr>
                              <w:b/>
                              <w:sz w:val="22"/>
                            </w:rPr>
                            <w:t>Anexo</w:t>
                          </w:r>
                          <w:r>
                            <w:rPr>
                              <w:b/>
                              <w:spacing w:val="-5"/>
                              <w:sz w:val="22"/>
                            </w:rPr>
                            <w:t> </w:t>
                          </w:r>
                          <w:r>
                            <w:rPr>
                              <w:b/>
                              <w:sz w:val="22"/>
                            </w:rPr>
                            <w:t>II/2-</w:t>
                          </w:r>
                          <w:r>
                            <w:rPr>
                              <w:b/>
                              <w:spacing w:val="-10"/>
                              <w:sz w:val="22"/>
                            </w:rPr>
                            <w:t>2</w:t>
                          </w:r>
                        </w:p>
                      </w:txbxContent>
                    </wps:txbx>
                    <wps:bodyPr wrap="square" lIns="0" tIns="0" rIns="0" bIns="0" rtlCol="0">
                      <a:noAutofit/>
                    </wps:bodyPr>
                  </wps:wsp>
                </a:graphicData>
              </a:graphic>
            </wp:anchor>
          </w:drawing>
        </mc:Choice>
        <mc:Fallback>
          <w:pict>
            <v:shape style="position:absolute;margin-left:475.859985pt;margin-top:126.905762pt;width:64pt;height:14.35pt;mso-position-horizontal-relative:page;mso-position-vertical-relative:page;z-index:-29011968" type="#_x0000_t202" id="docshape251" filled="false" stroked="false">
              <v:textbox inset="0,0,0,0">
                <w:txbxContent>
                  <w:p>
                    <w:pPr>
                      <w:spacing w:before="13"/>
                      <w:ind w:left="20" w:right="0" w:firstLine="0"/>
                      <w:jc w:val="left"/>
                      <w:rPr>
                        <w:b/>
                        <w:sz w:val="22"/>
                      </w:rPr>
                    </w:pPr>
                    <w:r>
                      <w:rPr>
                        <w:b/>
                        <w:sz w:val="22"/>
                      </w:rPr>
                      <w:t>Anexo</w:t>
                    </w:r>
                    <w:r>
                      <w:rPr>
                        <w:b/>
                        <w:spacing w:val="-5"/>
                        <w:sz w:val="22"/>
                      </w:rPr>
                      <w:t> </w:t>
                    </w:r>
                    <w:r>
                      <w:rPr>
                        <w:b/>
                        <w:sz w:val="22"/>
                      </w:rPr>
                      <w:t>II/2-</w:t>
                    </w:r>
                    <w:r>
                      <w:rPr>
                        <w:b/>
                        <w:spacing w:val="-10"/>
                        <w:sz w:val="22"/>
                      </w:rPr>
                      <w:t>2</w:t>
                    </w:r>
                  </w:p>
                </w:txbxContent>
              </v:textbox>
              <w10:wrap type="none"/>
            </v:shape>
          </w:pict>
        </mc:Fallback>
      </mc:AlternateContent>
    </w:r>
  </w:p>
</w:hdr>
</file>

<file path=word/header2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05024">
          <wp:simplePos x="0" y="0"/>
          <wp:positionH relativeFrom="page">
            <wp:posOffset>5068570</wp:posOffset>
          </wp:positionH>
          <wp:positionV relativeFrom="page">
            <wp:posOffset>806703</wp:posOffset>
          </wp:positionV>
          <wp:extent cx="1767204" cy="99695"/>
          <wp:effectExtent l="0" t="0" r="0" b="0"/>
          <wp:wrapNone/>
          <wp:docPr id="286" name="Image 286"/>
          <wp:cNvGraphicFramePr>
            <a:graphicFrameLocks/>
          </wp:cNvGraphicFramePr>
          <a:graphic>
            <a:graphicData uri="http://schemas.openxmlformats.org/drawingml/2006/picture">
              <pic:pic>
                <pic:nvPicPr>
                  <pic:cNvPr id="286" name="Image 286"/>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05536">
              <wp:simplePos x="0" y="0"/>
              <wp:positionH relativeFrom="page">
                <wp:posOffset>6246114</wp:posOffset>
              </wp:positionH>
              <wp:positionV relativeFrom="page">
                <wp:posOffset>1613227</wp:posOffset>
              </wp:positionV>
              <wp:extent cx="608330" cy="182245"/>
              <wp:effectExtent l="0" t="0" r="0" b="0"/>
              <wp:wrapNone/>
              <wp:docPr id="287" name="Textbox 287"/>
              <wp:cNvGraphicFramePr>
                <a:graphicFrameLocks/>
              </wp:cNvGraphicFramePr>
              <a:graphic>
                <a:graphicData uri="http://schemas.microsoft.com/office/word/2010/wordprocessingShape">
                  <wps:wsp>
                    <wps:cNvPr id="287" name="Textbox 287"/>
                    <wps:cNvSpPr txBox="1"/>
                    <wps:spPr>
                      <a:xfrm>
                        <a:off x="0" y="0"/>
                        <a:ext cx="608330" cy="182245"/>
                      </a:xfrm>
                      <a:prstGeom prst="rect">
                        <a:avLst/>
                      </a:prstGeom>
                    </wps:spPr>
                    <wps:txbx>
                      <w:txbxContent>
                        <w:p>
                          <w:pPr>
                            <w:spacing w:before="13"/>
                            <w:ind w:left="20" w:right="0" w:firstLine="0"/>
                            <w:jc w:val="left"/>
                            <w:rPr>
                              <w:b/>
                              <w:sz w:val="22"/>
                            </w:rPr>
                          </w:pPr>
                          <w:r>
                            <w:rPr>
                              <w:b/>
                              <w:sz w:val="22"/>
                            </w:rPr>
                            <w:t>Anexo</w:t>
                          </w:r>
                          <w:r>
                            <w:rPr>
                              <w:b/>
                              <w:spacing w:val="-3"/>
                              <w:sz w:val="22"/>
                            </w:rPr>
                            <w:t> </w:t>
                          </w:r>
                          <w:r>
                            <w:rPr>
                              <w:b/>
                              <w:spacing w:val="-5"/>
                              <w:sz w:val="22"/>
                            </w:rPr>
                            <w:t>III</w:t>
                          </w:r>
                        </w:p>
                      </w:txbxContent>
                    </wps:txbx>
                    <wps:bodyPr wrap="square" lIns="0" tIns="0" rIns="0" bIns="0" rtlCol="0">
                      <a:noAutofit/>
                    </wps:bodyPr>
                  </wps:wsp>
                </a:graphicData>
              </a:graphic>
            </wp:anchor>
          </w:drawing>
        </mc:Choice>
        <mc:Fallback>
          <w:pict>
            <v:shape style="position:absolute;margin-left:491.820007pt;margin-top:127.025764pt;width:47.9pt;height:14.35pt;mso-position-horizontal-relative:page;mso-position-vertical-relative:page;z-index:-29010944" type="#_x0000_t202" id="docshape252" filled="false" stroked="false">
              <v:textbox inset="0,0,0,0">
                <w:txbxContent>
                  <w:p>
                    <w:pPr>
                      <w:spacing w:before="13"/>
                      <w:ind w:left="20" w:right="0" w:firstLine="0"/>
                      <w:jc w:val="left"/>
                      <w:rPr>
                        <w:b/>
                        <w:sz w:val="22"/>
                      </w:rPr>
                    </w:pPr>
                    <w:r>
                      <w:rPr>
                        <w:b/>
                        <w:sz w:val="22"/>
                      </w:rPr>
                      <w:t>Anexo</w:t>
                    </w:r>
                    <w:r>
                      <w:rPr>
                        <w:b/>
                        <w:spacing w:val="-3"/>
                        <w:sz w:val="22"/>
                      </w:rPr>
                      <w:t> </w:t>
                    </w:r>
                    <w:r>
                      <w:rPr>
                        <w:b/>
                        <w:spacing w:val="-5"/>
                        <w:sz w:val="22"/>
                      </w:rPr>
                      <w:t>III</w:t>
                    </w:r>
                  </w:p>
                </w:txbxContent>
              </v:textbox>
              <w10:wrap type="none"/>
            </v:shape>
          </w:pict>
        </mc:Fallback>
      </mc:AlternateContent>
    </w:r>
  </w:p>
</w:hdr>
</file>

<file path=word/header2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09120">
          <wp:simplePos x="0" y="0"/>
          <wp:positionH relativeFrom="page">
            <wp:posOffset>5068570</wp:posOffset>
          </wp:positionH>
          <wp:positionV relativeFrom="page">
            <wp:posOffset>806703</wp:posOffset>
          </wp:positionV>
          <wp:extent cx="1767204" cy="99695"/>
          <wp:effectExtent l="0" t="0" r="0" b="0"/>
          <wp:wrapNone/>
          <wp:docPr id="325" name="Image 325"/>
          <wp:cNvGraphicFramePr>
            <a:graphicFrameLocks/>
          </wp:cNvGraphicFramePr>
          <a:graphic>
            <a:graphicData uri="http://schemas.openxmlformats.org/drawingml/2006/picture">
              <pic:pic>
                <pic:nvPicPr>
                  <pic:cNvPr id="325" name="Image 325"/>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09632">
              <wp:simplePos x="0" y="0"/>
              <wp:positionH relativeFrom="page">
                <wp:posOffset>6230873</wp:posOffset>
              </wp:positionH>
              <wp:positionV relativeFrom="page">
                <wp:posOffset>1613227</wp:posOffset>
              </wp:positionV>
              <wp:extent cx="626110" cy="182245"/>
              <wp:effectExtent l="0" t="0" r="0" b="0"/>
              <wp:wrapNone/>
              <wp:docPr id="326" name="Textbox 326"/>
              <wp:cNvGraphicFramePr>
                <a:graphicFrameLocks/>
              </wp:cNvGraphicFramePr>
              <a:graphic>
                <a:graphicData uri="http://schemas.microsoft.com/office/word/2010/wordprocessingShape">
                  <wps:wsp>
                    <wps:cNvPr id="326" name="Textbox 326"/>
                    <wps:cNvSpPr txBox="1"/>
                    <wps:spPr>
                      <a:xfrm>
                        <a:off x="0" y="0"/>
                        <a:ext cx="626110" cy="182245"/>
                      </a:xfrm>
                      <a:prstGeom prst="rect">
                        <a:avLst/>
                      </a:prstGeom>
                    </wps:spPr>
                    <wps:txbx>
                      <w:txbxContent>
                        <w:p>
                          <w:pPr>
                            <w:spacing w:before="13"/>
                            <w:ind w:left="20" w:right="0" w:firstLine="0"/>
                            <w:jc w:val="left"/>
                            <w:rPr>
                              <w:b/>
                              <w:sz w:val="22"/>
                            </w:rPr>
                          </w:pPr>
                          <w:r>
                            <w:rPr>
                              <w:b/>
                              <w:sz w:val="22"/>
                            </w:rPr>
                            <w:t>Anexo</w:t>
                          </w:r>
                          <w:r>
                            <w:rPr>
                              <w:b/>
                              <w:spacing w:val="-3"/>
                              <w:sz w:val="22"/>
                            </w:rPr>
                            <w:t> </w:t>
                          </w:r>
                          <w:r>
                            <w:rPr>
                              <w:b/>
                              <w:spacing w:val="-5"/>
                              <w:sz w:val="22"/>
                            </w:rPr>
                            <w:t>IV</w:t>
                          </w:r>
                        </w:p>
                      </w:txbxContent>
                    </wps:txbx>
                    <wps:bodyPr wrap="square" lIns="0" tIns="0" rIns="0" bIns="0" rtlCol="0">
                      <a:noAutofit/>
                    </wps:bodyPr>
                  </wps:wsp>
                </a:graphicData>
              </a:graphic>
            </wp:anchor>
          </w:drawing>
        </mc:Choice>
        <mc:Fallback>
          <w:pict>
            <v:shape style="position:absolute;margin-left:490.619995pt;margin-top:127.025764pt;width:49.3pt;height:14.35pt;mso-position-horizontal-relative:page;mso-position-vertical-relative:page;z-index:-29006848" type="#_x0000_t202" id="docshape278" filled="false" stroked="false">
              <v:textbox inset="0,0,0,0">
                <w:txbxContent>
                  <w:p>
                    <w:pPr>
                      <w:spacing w:before="13"/>
                      <w:ind w:left="20" w:right="0" w:firstLine="0"/>
                      <w:jc w:val="left"/>
                      <w:rPr>
                        <w:b/>
                        <w:sz w:val="22"/>
                      </w:rPr>
                    </w:pPr>
                    <w:r>
                      <w:rPr>
                        <w:b/>
                        <w:sz w:val="22"/>
                      </w:rPr>
                      <w:t>Anexo</w:t>
                    </w:r>
                    <w:r>
                      <w:rPr>
                        <w:b/>
                        <w:spacing w:val="-3"/>
                        <w:sz w:val="22"/>
                      </w:rPr>
                      <w:t> </w:t>
                    </w:r>
                    <w:r>
                      <w:rPr>
                        <w:b/>
                        <w:spacing w:val="-5"/>
                        <w:sz w:val="22"/>
                      </w:rPr>
                      <w:t>IV</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67136">
          <wp:simplePos x="0" y="0"/>
          <wp:positionH relativeFrom="page">
            <wp:posOffset>720090</wp:posOffset>
          </wp:positionH>
          <wp:positionV relativeFrom="page">
            <wp:posOffset>719454</wp:posOffset>
          </wp:positionV>
          <wp:extent cx="1799589" cy="530859"/>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1" cstate="print"/>
                  <a:stretch>
                    <a:fillRect/>
                  </a:stretch>
                </pic:blipFill>
                <pic:spPr>
                  <a:xfrm>
                    <a:off x="0" y="0"/>
                    <a:ext cx="1799589" cy="530859"/>
                  </a:xfrm>
                  <a:prstGeom prst="rect">
                    <a:avLst/>
                  </a:prstGeom>
                </pic:spPr>
              </pic:pic>
            </a:graphicData>
          </a:graphic>
        </wp:anchor>
      </w:drawing>
    </w:r>
  </w:p>
</w:hdr>
</file>

<file path=word/header3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10144">
          <wp:simplePos x="0" y="0"/>
          <wp:positionH relativeFrom="page">
            <wp:posOffset>5068570</wp:posOffset>
          </wp:positionH>
          <wp:positionV relativeFrom="page">
            <wp:posOffset>806703</wp:posOffset>
          </wp:positionV>
          <wp:extent cx="1767204" cy="99695"/>
          <wp:effectExtent l="0" t="0" r="0" b="0"/>
          <wp:wrapNone/>
          <wp:docPr id="327" name="Image 327"/>
          <wp:cNvGraphicFramePr>
            <a:graphicFrameLocks/>
          </wp:cNvGraphicFramePr>
          <a:graphic>
            <a:graphicData uri="http://schemas.openxmlformats.org/drawingml/2006/picture">
              <pic:pic>
                <pic:nvPicPr>
                  <pic:cNvPr id="327" name="Image 327"/>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10656">
              <wp:simplePos x="0" y="0"/>
              <wp:positionH relativeFrom="page">
                <wp:posOffset>6268973</wp:posOffset>
              </wp:positionH>
              <wp:positionV relativeFrom="page">
                <wp:posOffset>1613227</wp:posOffset>
              </wp:positionV>
              <wp:extent cx="586105" cy="182245"/>
              <wp:effectExtent l="0" t="0" r="0" b="0"/>
              <wp:wrapNone/>
              <wp:docPr id="328" name="Textbox 328"/>
              <wp:cNvGraphicFramePr>
                <a:graphicFrameLocks/>
              </wp:cNvGraphicFramePr>
              <a:graphic>
                <a:graphicData uri="http://schemas.microsoft.com/office/word/2010/wordprocessingShape">
                  <wps:wsp>
                    <wps:cNvPr id="328" name="Textbox 328"/>
                    <wps:cNvSpPr txBox="1"/>
                    <wps:spPr>
                      <a:xfrm>
                        <a:off x="0" y="0"/>
                        <a:ext cx="586105" cy="182245"/>
                      </a:xfrm>
                      <a:prstGeom prst="rect">
                        <a:avLst/>
                      </a:prstGeom>
                    </wps:spPr>
                    <wps:txbx>
                      <w:txbxContent>
                        <w:p>
                          <w:pPr>
                            <w:spacing w:before="13"/>
                            <w:ind w:left="20" w:right="0" w:firstLine="0"/>
                            <w:jc w:val="left"/>
                            <w:rPr>
                              <w:b/>
                              <w:sz w:val="22"/>
                            </w:rPr>
                          </w:pPr>
                          <w:r>
                            <w:rPr>
                              <w:b/>
                              <w:sz w:val="22"/>
                            </w:rPr>
                            <w:t>Anexo</w:t>
                          </w:r>
                          <w:r>
                            <w:rPr>
                              <w:b/>
                              <w:spacing w:val="-4"/>
                              <w:sz w:val="22"/>
                            </w:rPr>
                            <w:t> </w:t>
                          </w:r>
                          <w:r>
                            <w:rPr>
                              <w:b/>
                              <w:spacing w:val="-10"/>
                              <w:sz w:val="22"/>
                            </w:rPr>
                            <w:t>V</w:t>
                          </w:r>
                        </w:p>
                      </w:txbxContent>
                    </wps:txbx>
                    <wps:bodyPr wrap="square" lIns="0" tIns="0" rIns="0" bIns="0" rtlCol="0">
                      <a:noAutofit/>
                    </wps:bodyPr>
                  </wps:wsp>
                </a:graphicData>
              </a:graphic>
            </wp:anchor>
          </w:drawing>
        </mc:Choice>
        <mc:Fallback>
          <w:pict>
            <v:shape style="position:absolute;margin-left:493.619995pt;margin-top:127.025764pt;width:46.15pt;height:14.35pt;mso-position-horizontal-relative:page;mso-position-vertical-relative:page;z-index:-29005824" type="#_x0000_t202" id="docshape279" filled="false" stroked="false">
              <v:textbox inset="0,0,0,0">
                <w:txbxContent>
                  <w:p>
                    <w:pPr>
                      <w:spacing w:before="13"/>
                      <w:ind w:left="20" w:right="0" w:firstLine="0"/>
                      <w:jc w:val="left"/>
                      <w:rPr>
                        <w:b/>
                        <w:sz w:val="22"/>
                      </w:rPr>
                    </w:pPr>
                    <w:r>
                      <w:rPr>
                        <w:b/>
                        <w:sz w:val="22"/>
                      </w:rPr>
                      <w:t>Anexo</w:t>
                    </w:r>
                    <w:r>
                      <w:rPr>
                        <w:b/>
                        <w:spacing w:val="-4"/>
                        <w:sz w:val="22"/>
                      </w:rPr>
                      <w:t> </w:t>
                    </w:r>
                    <w:r>
                      <w:rPr>
                        <w:b/>
                        <w:spacing w:val="-10"/>
                        <w:sz w:val="22"/>
                      </w:rPr>
                      <w:t>V</w:t>
                    </w:r>
                  </w:p>
                </w:txbxContent>
              </v:textbox>
              <w10:wrap type="none"/>
            </v:shape>
          </w:pict>
        </mc:Fallback>
      </mc:AlternateContent>
    </w:r>
  </w:p>
</w:hdr>
</file>

<file path=word/header3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14240">
          <wp:simplePos x="0" y="0"/>
          <wp:positionH relativeFrom="page">
            <wp:posOffset>5068570</wp:posOffset>
          </wp:positionH>
          <wp:positionV relativeFrom="page">
            <wp:posOffset>806703</wp:posOffset>
          </wp:positionV>
          <wp:extent cx="1767204" cy="99695"/>
          <wp:effectExtent l="0" t="0" r="0" b="0"/>
          <wp:wrapNone/>
          <wp:docPr id="335" name="Image 335"/>
          <wp:cNvGraphicFramePr>
            <a:graphicFrameLocks/>
          </wp:cNvGraphicFramePr>
          <a:graphic>
            <a:graphicData uri="http://schemas.openxmlformats.org/drawingml/2006/picture">
              <pic:pic>
                <pic:nvPicPr>
                  <pic:cNvPr id="335" name="Image 335"/>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14752">
              <wp:simplePos x="0" y="0"/>
              <wp:positionH relativeFrom="page">
                <wp:posOffset>6230873</wp:posOffset>
              </wp:positionH>
              <wp:positionV relativeFrom="page">
                <wp:posOffset>1613227</wp:posOffset>
              </wp:positionV>
              <wp:extent cx="623570" cy="182245"/>
              <wp:effectExtent l="0" t="0" r="0" b="0"/>
              <wp:wrapNone/>
              <wp:docPr id="336" name="Textbox 336"/>
              <wp:cNvGraphicFramePr>
                <a:graphicFrameLocks/>
              </wp:cNvGraphicFramePr>
              <a:graphic>
                <a:graphicData uri="http://schemas.microsoft.com/office/word/2010/wordprocessingShape">
                  <wps:wsp>
                    <wps:cNvPr id="336" name="Textbox 336"/>
                    <wps:cNvSpPr txBox="1"/>
                    <wps:spPr>
                      <a:xfrm>
                        <a:off x="0" y="0"/>
                        <a:ext cx="623570" cy="182245"/>
                      </a:xfrm>
                      <a:prstGeom prst="rect">
                        <a:avLst/>
                      </a:prstGeom>
                    </wps:spPr>
                    <wps:txbx>
                      <w:txbxContent>
                        <w:p>
                          <w:pPr>
                            <w:spacing w:before="13"/>
                            <w:ind w:left="20" w:right="0" w:firstLine="0"/>
                            <w:jc w:val="left"/>
                            <w:rPr>
                              <w:b/>
                              <w:sz w:val="22"/>
                            </w:rPr>
                          </w:pPr>
                          <w:r>
                            <w:rPr>
                              <w:b/>
                              <w:sz w:val="22"/>
                            </w:rPr>
                            <w:t>Anexo</w:t>
                          </w:r>
                          <w:r>
                            <w:rPr>
                              <w:b/>
                              <w:spacing w:val="-4"/>
                              <w:sz w:val="22"/>
                            </w:rPr>
                            <w:t> </w:t>
                          </w:r>
                          <w:r>
                            <w:rPr>
                              <w:b/>
                              <w:spacing w:val="-5"/>
                              <w:sz w:val="22"/>
                            </w:rPr>
                            <w:t>VI</w:t>
                          </w:r>
                        </w:p>
                      </w:txbxContent>
                    </wps:txbx>
                    <wps:bodyPr wrap="square" lIns="0" tIns="0" rIns="0" bIns="0" rtlCol="0">
                      <a:noAutofit/>
                    </wps:bodyPr>
                  </wps:wsp>
                </a:graphicData>
              </a:graphic>
            </wp:anchor>
          </w:drawing>
        </mc:Choice>
        <mc:Fallback>
          <w:pict>
            <v:shape style="position:absolute;margin-left:490.619995pt;margin-top:127.025764pt;width:49.1pt;height:14.35pt;mso-position-horizontal-relative:page;mso-position-vertical-relative:page;z-index:-29001728" type="#_x0000_t202" id="docshape286" filled="false" stroked="false">
              <v:textbox inset="0,0,0,0">
                <w:txbxContent>
                  <w:p>
                    <w:pPr>
                      <w:spacing w:before="13"/>
                      <w:ind w:left="20" w:right="0" w:firstLine="0"/>
                      <w:jc w:val="left"/>
                      <w:rPr>
                        <w:b/>
                        <w:sz w:val="22"/>
                      </w:rPr>
                    </w:pPr>
                    <w:r>
                      <w:rPr>
                        <w:b/>
                        <w:sz w:val="22"/>
                      </w:rPr>
                      <w:t>Anexo</w:t>
                    </w:r>
                    <w:r>
                      <w:rPr>
                        <w:b/>
                        <w:spacing w:val="-4"/>
                        <w:sz w:val="22"/>
                      </w:rPr>
                      <w:t> </w:t>
                    </w:r>
                    <w:r>
                      <w:rPr>
                        <w:b/>
                        <w:spacing w:val="-5"/>
                        <w:sz w:val="22"/>
                      </w:rPr>
                      <w:t>VI</w:t>
                    </w:r>
                  </w:p>
                </w:txbxContent>
              </v:textbox>
              <w10:wrap type="none"/>
            </v:shape>
          </w:pict>
        </mc:Fallback>
      </mc:AlternateContent>
    </w:r>
  </w:p>
</w:hdr>
</file>

<file path=word/header3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15264">
          <wp:simplePos x="0" y="0"/>
          <wp:positionH relativeFrom="page">
            <wp:posOffset>5068570</wp:posOffset>
          </wp:positionH>
          <wp:positionV relativeFrom="page">
            <wp:posOffset>806703</wp:posOffset>
          </wp:positionV>
          <wp:extent cx="1767204" cy="99695"/>
          <wp:effectExtent l="0" t="0" r="0" b="0"/>
          <wp:wrapNone/>
          <wp:docPr id="337" name="Image 337"/>
          <wp:cNvGraphicFramePr>
            <a:graphicFrameLocks/>
          </wp:cNvGraphicFramePr>
          <a:graphic>
            <a:graphicData uri="http://schemas.openxmlformats.org/drawingml/2006/picture">
              <pic:pic>
                <pic:nvPicPr>
                  <pic:cNvPr id="337" name="Image 337"/>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15776">
              <wp:simplePos x="0" y="0"/>
              <wp:positionH relativeFrom="page">
                <wp:posOffset>6191250</wp:posOffset>
              </wp:positionH>
              <wp:positionV relativeFrom="page">
                <wp:posOffset>1613227</wp:posOffset>
              </wp:positionV>
              <wp:extent cx="663575" cy="182245"/>
              <wp:effectExtent l="0" t="0" r="0" b="0"/>
              <wp:wrapNone/>
              <wp:docPr id="338" name="Textbox 338"/>
              <wp:cNvGraphicFramePr>
                <a:graphicFrameLocks/>
              </wp:cNvGraphicFramePr>
              <a:graphic>
                <a:graphicData uri="http://schemas.microsoft.com/office/word/2010/wordprocessingShape">
                  <wps:wsp>
                    <wps:cNvPr id="338" name="Textbox 338"/>
                    <wps:cNvSpPr txBox="1"/>
                    <wps:spPr>
                      <a:xfrm>
                        <a:off x="0" y="0"/>
                        <a:ext cx="663575" cy="182245"/>
                      </a:xfrm>
                      <a:prstGeom prst="rect">
                        <a:avLst/>
                      </a:prstGeom>
                    </wps:spPr>
                    <wps:txbx>
                      <w:txbxContent>
                        <w:p>
                          <w:pPr>
                            <w:spacing w:before="13"/>
                            <w:ind w:left="20" w:right="0" w:firstLine="0"/>
                            <w:jc w:val="left"/>
                            <w:rPr>
                              <w:b/>
                              <w:sz w:val="22"/>
                            </w:rPr>
                          </w:pPr>
                          <w:r>
                            <w:rPr>
                              <w:b/>
                              <w:sz w:val="22"/>
                            </w:rPr>
                            <w:t>Anexo</w:t>
                          </w:r>
                          <w:r>
                            <w:rPr>
                              <w:b/>
                              <w:spacing w:val="-4"/>
                              <w:sz w:val="22"/>
                            </w:rPr>
                            <w:t> </w:t>
                          </w:r>
                          <w:r>
                            <w:rPr>
                              <w:b/>
                              <w:spacing w:val="-5"/>
                              <w:sz w:val="22"/>
                            </w:rPr>
                            <w:t>VII</w:t>
                          </w:r>
                        </w:p>
                      </w:txbxContent>
                    </wps:txbx>
                    <wps:bodyPr wrap="square" lIns="0" tIns="0" rIns="0" bIns="0" rtlCol="0">
                      <a:noAutofit/>
                    </wps:bodyPr>
                  </wps:wsp>
                </a:graphicData>
              </a:graphic>
            </wp:anchor>
          </w:drawing>
        </mc:Choice>
        <mc:Fallback>
          <w:pict>
            <v:shape style="position:absolute;margin-left:487.5pt;margin-top:127.025764pt;width:52.25pt;height:14.35pt;mso-position-horizontal-relative:page;mso-position-vertical-relative:page;z-index:-29000704" type="#_x0000_t202" id="docshape287" filled="false" stroked="false">
              <v:textbox inset="0,0,0,0">
                <w:txbxContent>
                  <w:p>
                    <w:pPr>
                      <w:spacing w:before="13"/>
                      <w:ind w:left="20" w:right="0" w:firstLine="0"/>
                      <w:jc w:val="left"/>
                      <w:rPr>
                        <w:b/>
                        <w:sz w:val="22"/>
                      </w:rPr>
                    </w:pPr>
                    <w:r>
                      <w:rPr>
                        <w:b/>
                        <w:sz w:val="22"/>
                      </w:rPr>
                      <w:t>Anexo</w:t>
                    </w:r>
                    <w:r>
                      <w:rPr>
                        <w:b/>
                        <w:spacing w:val="-4"/>
                        <w:sz w:val="22"/>
                      </w:rPr>
                      <w:t> </w:t>
                    </w:r>
                    <w:r>
                      <w:rPr>
                        <w:b/>
                        <w:spacing w:val="-5"/>
                        <w:sz w:val="22"/>
                      </w:rPr>
                      <w:t>VII</w:t>
                    </w:r>
                  </w:p>
                </w:txbxContent>
              </v:textbox>
              <w10:wrap type="none"/>
            </v:shape>
          </w:pict>
        </mc:Fallback>
      </mc:AlternateContent>
    </w:r>
  </w:p>
</w:hdr>
</file>

<file path=word/header3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19360">
          <wp:simplePos x="0" y="0"/>
          <wp:positionH relativeFrom="page">
            <wp:posOffset>5068570</wp:posOffset>
          </wp:positionH>
          <wp:positionV relativeFrom="page">
            <wp:posOffset>806703</wp:posOffset>
          </wp:positionV>
          <wp:extent cx="1767204" cy="99695"/>
          <wp:effectExtent l="0" t="0" r="0" b="0"/>
          <wp:wrapNone/>
          <wp:docPr id="367" name="Image 367"/>
          <wp:cNvGraphicFramePr>
            <a:graphicFrameLocks/>
          </wp:cNvGraphicFramePr>
          <a:graphic>
            <a:graphicData uri="http://schemas.openxmlformats.org/drawingml/2006/picture">
              <pic:pic>
                <pic:nvPicPr>
                  <pic:cNvPr id="367" name="Image 367"/>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19872">
              <wp:simplePos x="0" y="0"/>
              <wp:positionH relativeFrom="page">
                <wp:posOffset>6153150</wp:posOffset>
              </wp:positionH>
              <wp:positionV relativeFrom="page">
                <wp:posOffset>1613227</wp:posOffset>
              </wp:positionV>
              <wp:extent cx="701675" cy="182245"/>
              <wp:effectExtent l="0" t="0" r="0" b="0"/>
              <wp:wrapNone/>
              <wp:docPr id="368" name="Textbox 368"/>
              <wp:cNvGraphicFramePr>
                <a:graphicFrameLocks/>
              </wp:cNvGraphicFramePr>
              <a:graphic>
                <a:graphicData uri="http://schemas.microsoft.com/office/word/2010/wordprocessingShape">
                  <wps:wsp>
                    <wps:cNvPr id="368" name="Textbox 368"/>
                    <wps:cNvSpPr txBox="1"/>
                    <wps:spPr>
                      <a:xfrm>
                        <a:off x="0" y="0"/>
                        <a:ext cx="701675" cy="182245"/>
                      </a:xfrm>
                      <a:prstGeom prst="rect">
                        <a:avLst/>
                      </a:prstGeom>
                    </wps:spPr>
                    <wps:txbx>
                      <w:txbxContent>
                        <w:p>
                          <w:pPr>
                            <w:spacing w:before="13"/>
                            <w:ind w:left="20" w:right="0" w:firstLine="0"/>
                            <w:jc w:val="left"/>
                            <w:rPr>
                              <w:b/>
                              <w:sz w:val="22"/>
                            </w:rPr>
                          </w:pPr>
                          <w:r>
                            <w:rPr>
                              <w:b/>
                              <w:sz w:val="22"/>
                            </w:rPr>
                            <w:t>Anexo</w:t>
                          </w:r>
                          <w:r>
                            <w:rPr>
                              <w:b/>
                              <w:spacing w:val="-6"/>
                              <w:sz w:val="22"/>
                            </w:rPr>
                            <w:t> </w:t>
                          </w:r>
                          <w:r>
                            <w:rPr>
                              <w:b/>
                              <w:spacing w:val="-4"/>
                              <w:sz w:val="22"/>
                            </w:rPr>
                            <w:t>VIII</w:t>
                          </w:r>
                        </w:p>
                      </w:txbxContent>
                    </wps:txbx>
                    <wps:bodyPr wrap="square" lIns="0" tIns="0" rIns="0" bIns="0" rtlCol="0">
                      <a:noAutofit/>
                    </wps:bodyPr>
                  </wps:wsp>
                </a:graphicData>
              </a:graphic>
            </wp:anchor>
          </w:drawing>
        </mc:Choice>
        <mc:Fallback>
          <w:pict>
            <v:shape style="position:absolute;margin-left:484.5pt;margin-top:127.025764pt;width:55.25pt;height:14.35pt;mso-position-horizontal-relative:page;mso-position-vertical-relative:page;z-index:-28996608" type="#_x0000_t202" id="docshape316" filled="false" stroked="false">
              <v:textbox inset="0,0,0,0">
                <w:txbxContent>
                  <w:p>
                    <w:pPr>
                      <w:spacing w:before="13"/>
                      <w:ind w:left="20" w:right="0" w:firstLine="0"/>
                      <w:jc w:val="left"/>
                      <w:rPr>
                        <w:b/>
                        <w:sz w:val="22"/>
                      </w:rPr>
                    </w:pPr>
                    <w:r>
                      <w:rPr>
                        <w:b/>
                        <w:sz w:val="22"/>
                      </w:rPr>
                      <w:t>Anexo</w:t>
                    </w:r>
                    <w:r>
                      <w:rPr>
                        <w:b/>
                        <w:spacing w:val="-6"/>
                        <w:sz w:val="22"/>
                      </w:rPr>
                      <w:t> </w:t>
                    </w:r>
                    <w:r>
                      <w:rPr>
                        <w:b/>
                        <w:spacing w:val="-4"/>
                        <w:sz w:val="22"/>
                      </w:rPr>
                      <w:t>VIII</w:t>
                    </w:r>
                  </w:p>
                </w:txbxContent>
              </v:textbox>
              <w10:wrap type="none"/>
            </v:shape>
          </w:pict>
        </mc:Fallback>
      </mc:AlternateContent>
    </w:r>
  </w:p>
</w:hdr>
</file>

<file path=word/header3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20384">
          <wp:simplePos x="0" y="0"/>
          <wp:positionH relativeFrom="page">
            <wp:posOffset>5068570</wp:posOffset>
          </wp:positionH>
          <wp:positionV relativeFrom="page">
            <wp:posOffset>806703</wp:posOffset>
          </wp:positionV>
          <wp:extent cx="1767204" cy="99695"/>
          <wp:effectExtent l="0" t="0" r="0" b="0"/>
          <wp:wrapNone/>
          <wp:docPr id="369" name="Image 369"/>
          <wp:cNvGraphicFramePr>
            <a:graphicFrameLocks/>
          </wp:cNvGraphicFramePr>
          <a:graphic>
            <a:graphicData uri="http://schemas.openxmlformats.org/drawingml/2006/picture">
              <pic:pic>
                <pic:nvPicPr>
                  <pic:cNvPr id="369" name="Image 369"/>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20896">
              <wp:simplePos x="0" y="0"/>
              <wp:positionH relativeFrom="page">
                <wp:posOffset>5990082</wp:posOffset>
              </wp:positionH>
              <wp:positionV relativeFrom="page">
                <wp:posOffset>1613227</wp:posOffset>
              </wp:positionV>
              <wp:extent cx="866140" cy="182245"/>
              <wp:effectExtent l="0" t="0" r="0" b="0"/>
              <wp:wrapNone/>
              <wp:docPr id="370" name="Textbox 370"/>
              <wp:cNvGraphicFramePr>
                <a:graphicFrameLocks/>
              </wp:cNvGraphicFramePr>
              <a:graphic>
                <a:graphicData uri="http://schemas.microsoft.com/office/word/2010/wordprocessingShape">
                  <wps:wsp>
                    <wps:cNvPr id="370" name="Textbox 370"/>
                    <wps:cNvSpPr txBox="1"/>
                    <wps:spPr>
                      <a:xfrm>
                        <a:off x="0" y="0"/>
                        <a:ext cx="866140" cy="182245"/>
                      </a:xfrm>
                      <a:prstGeom prst="rect">
                        <a:avLst/>
                      </a:prstGeom>
                    </wps:spPr>
                    <wps:txbx>
                      <w:txbxContent>
                        <w:p>
                          <w:pPr>
                            <w:spacing w:before="13"/>
                            <w:ind w:left="20" w:right="0" w:firstLine="0"/>
                            <w:jc w:val="left"/>
                            <w:rPr>
                              <w:b/>
                              <w:sz w:val="22"/>
                            </w:rPr>
                          </w:pPr>
                          <w:r>
                            <w:rPr>
                              <w:b/>
                              <w:sz w:val="22"/>
                            </w:rPr>
                            <w:t>Anexo</w:t>
                          </w:r>
                          <w:r>
                            <w:rPr>
                              <w:b/>
                              <w:spacing w:val="-7"/>
                              <w:sz w:val="22"/>
                            </w:rPr>
                            <w:t> </w:t>
                          </w:r>
                          <w:r>
                            <w:rPr>
                              <w:b/>
                              <w:sz w:val="22"/>
                            </w:rPr>
                            <w:t>IX/1-</w:t>
                          </w:r>
                          <w:r>
                            <w:rPr>
                              <w:b/>
                              <w:spacing w:val="-10"/>
                              <w:sz w:val="22"/>
                            </w:rPr>
                            <w:t>2</w:t>
                          </w:r>
                        </w:p>
                      </w:txbxContent>
                    </wps:txbx>
                    <wps:bodyPr wrap="square" lIns="0" tIns="0" rIns="0" bIns="0" rtlCol="0">
                      <a:noAutofit/>
                    </wps:bodyPr>
                  </wps:wsp>
                </a:graphicData>
              </a:graphic>
            </wp:anchor>
          </w:drawing>
        </mc:Choice>
        <mc:Fallback>
          <w:pict>
            <v:shape style="position:absolute;margin-left:471.660004pt;margin-top:127.025764pt;width:68.2pt;height:14.35pt;mso-position-horizontal-relative:page;mso-position-vertical-relative:page;z-index:-28995584" type="#_x0000_t202" id="docshape317" filled="false" stroked="false">
              <v:textbox inset="0,0,0,0">
                <w:txbxContent>
                  <w:p>
                    <w:pPr>
                      <w:spacing w:before="13"/>
                      <w:ind w:left="20" w:right="0" w:firstLine="0"/>
                      <w:jc w:val="left"/>
                      <w:rPr>
                        <w:b/>
                        <w:sz w:val="22"/>
                      </w:rPr>
                    </w:pPr>
                    <w:r>
                      <w:rPr>
                        <w:b/>
                        <w:sz w:val="22"/>
                      </w:rPr>
                      <w:t>Anexo</w:t>
                    </w:r>
                    <w:r>
                      <w:rPr>
                        <w:b/>
                        <w:spacing w:val="-7"/>
                        <w:sz w:val="22"/>
                      </w:rPr>
                      <w:t> </w:t>
                    </w:r>
                    <w:r>
                      <w:rPr>
                        <w:b/>
                        <w:sz w:val="22"/>
                      </w:rPr>
                      <w:t>IX/1-</w:t>
                    </w:r>
                    <w:r>
                      <w:rPr>
                        <w:b/>
                        <w:spacing w:val="-10"/>
                        <w:sz w:val="22"/>
                      </w:rPr>
                      <w:t>2</w:t>
                    </w:r>
                  </w:p>
                </w:txbxContent>
              </v:textbox>
              <w10:wrap type="none"/>
            </v:shape>
          </w:pict>
        </mc:Fallback>
      </mc:AlternateContent>
    </w:r>
  </w:p>
</w:hdr>
</file>

<file path=word/header3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24480">
          <wp:simplePos x="0" y="0"/>
          <wp:positionH relativeFrom="page">
            <wp:posOffset>5068570</wp:posOffset>
          </wp:positionH>
          <wp:positionV relativeFrom="page">
            <wp:posOffset>806703</wp:posOffset>
          </wp:positionV>
          <wp:extent cx="1767204" cy="99695"/>
          <wp:effectExtent l="0" t="0" r="0" b="0"/>
          <wp:wrapNone/>
          <wp:docPr id="393" name="Image 393"/>
          <wp:cNvGraphicFramePr>
            <a:graphicFrameLocks/>
          </wp:cNvGraphicFramePr>
          <a:graphic>
            <a:graphicData uri="http://schemas.openxmlformats.org/drawingml/2006/picture">
              <pic:pic>
                <pic:nvPicPr>
                  <pic:cNvPr id="393" name="Image 393"/>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24992">
              <wp:simplePos x="0" y="0"/>
              <wp:positionH relativeFrom="page">
                <wp:posOffset>6262878</wp:posOffset>
              </wp:positionH>
              <wp:positionV relativeFrom="page">
                <wp:posOffset>1613227</wp:posOffset>
              </wp:positionV>
              <wp:extent cx="866140" cy="182245"/>
              <wp:effectExtent l="0" t="0" r="0" b="0"/>
              <wp:wrapNone/>
              <wp:docPr id="394" name="Textbox 394"/>
              <wp:cNvGraphicFramePr>
                <a:graphicFrameLocks/>
              </wp:cNvGraphicFramePr>
              <a:graphic>
                <a:graphicData uri="http://schemas.microsoft.com/office/word/2010/wordprocessingShape">
                  <wps:wsp>
                    <wps:cNvPr id="394" name="Textbox 394"/>
                    <wps:cNvSpPr txBox="1"/>
                    <wps:spPr>
                      <a:xfrm>
                        <a:off x="0" y="0"/>
                        <a:ext cx="866140" cy="182245"/>
                      </a:xfrm>
                      <a:prstGeom prst="rect">
                        <a:avLst/>
                      </a:prstGeom>
                    </wps:spPr>
                    <wps:txbx>
                      <w:txbxContent>
                        <w:p>
                          <w:pPr>
                            <w:spacing w:before="13"/>
                            <w:ind w:left="20" w:right="0" w:firstLine="0"/>
                            <w:jc w:val="left"/>
                            <w:rPr>
                              <w:b/>
                              <w:sz w:val="22"/>
                            </w:rPr>
                          </w:pPr>
                          <w:r>
                            <w:rPr>
                              <w:b/>
                              <w:sz w:val="22"/>
                            </w:rPr>
                            <w:t>Anexo</w:t>
                          </w:r>
                          <w:r>
                            <w:rPr>
                              <w:b/>
                              <w:spacing w:val="-8"/>
                              <w:sz w:val="22"/>
                            </w:rPr>
                            <w:t> </w:t>
                          </w:r>
                          <w:r>
                            <w:rPr>
                              <w:b/>
                              <w:sz w:val="22"/>
                            </w:rPr>
                            <w:t>IX/2-</w:t>
                          </w:r>
                          <w:r>
                            <w:rPr>
                              <w:b/>
                              <w:spacing w:val="-10"/>
                              <w:sz w:val="22"/>
                            </w:rPr>
                            <w:t>2</w:t>
                          </w:r>
                        </w:p>
                      </w:txbxContent>
                    </wps:txbx>
                    <wps:bodyPr wrap="square" lIns="0" tIns="0" rIns="0" bIns="0" rtlCol="0">
                      <a:noAutofit/>
                    </wps:bodyPr>
                  </wps:wsp>
                </a:graphicData>
              </a:graphic>
            </wp:anchor>
          </w:drawing>
        </mc:Choice>
        <mc:Fallback>
          <w:pict>
            <v:shape style="position:absolute;margin-left:493.140015pt;margin-top:127.025764pt;width:68.2pt;height:14.35pt;mso-position-horizontal-relative:page;mso-position-vertical-relative:page;z-index:-28991488" type="#_x0000_t202" id="docshape340" filled="false" stroked="false">
              <v:textbox inset="0,0,0,0">
                <w:txbxContent>
                  <w:p>
                    <w:pPr>
                      <w:spacing w:before="13"/>
                      <w:ind w:left="20" w:right="0" w:firstLine="0"/>
                      <w:jc w:val="left"/>
                      <w:rPr>
                        <w:b/>
                        <w:sz w:val="22"/>
                      </w:rPr>
                    </w:pPr>
                    <w:r>
                      <w:rPr>
                        <w:b/>
                        <w:sz w:val="22"/>
                      </w:rPr>
                      <w:t>Anexo</w:t>
                    </w:r>
                    <w:r>
                      <w:rPr>
                        <w:b/>
                        <w:spacing w:val="-8"/>
                        <w:sz w:val="22"/>
                      </w:rPr>
                      <w:t> </w:t>
                    </w:r>
                    <w:r>
                      <w:rPr>
                        <w:b/>
                        <w:sz w:val="22"/>
                      </w:rPr>
                      <w:t>IX/2-</w:t>
                    </w:r>
                    <w:r>
                      <w:rPr>
                        <w:b/>
                        <w:spacing w:val="-10"/>
                        <w:sz w:val="22"/>
                      </w:rPr>
                      <w:t>2</w:t>
                    </w:r>
                  </w:p>
                </w:txbxContent>
              </v:textbox>
              <w10:wrap type="none"/>
            </v:shape>
          </w:pict>
        </mc:Fallback>
      </mc:AlternateContent>
    </w:r>
  </w:p>
</w:hdr>
</file>

<file path=word/header3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25504">
          <wp:simplePos x="0" y="0"/>
          <wp:positionH relativeFrom="page">
            <wp:posOffset>5068570</wp:posOffset>
          </wp:positionH>
          <wp:positionV relativeFrom="page">
            <wp:posOffset>806703</wp:posOffset>
          </wp:positionV>
          <wp:extent cx="1767204" cy="99695"/>
          <wp:effectExtent l="0" t="0" r="0" b="0"/>
          <wp:wrapNone/>
          <wp:docPr id="395" name="Image 395"/>
          <wp:cNvGraphicFramePr>
            <a:graphicFrameLocks/>
          </wp:cNvGraphicFramePr>
          <a:graphic>
            <a:graphicData uri="http://schemas.openxmlformats.org/drawingml/2006/picture">
              <pic:pic>
                <pic:nvPicPr>
                  <pic:cNvPr id="395" name="Image 395"/>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26016">
              <wp:simplePos x="0" y="0"/>
              <wp:positionH relativeFrom="page">
                <wp:posOffset>6028182</wp:posOffset>
              </wp:positionH>
              <wp:positionV relativeFrom="page">
                <wp:posOffset>1613227</wp:posOffset>
              </wp:positionV>
              <wp:extent cx="828040" cy="182245"/>
              <wp:effectExtent l="0" t="0" r="0" b="0"/>
              <wp:wrapNone/>
              <wp:docPr id="396" name="Textbox 396"/>
              <wp:cNvGraphicFramePr>
                <a:graphicFrameLocks/>
              </wp:cNvGraphicFramePr>
              <a:graphic>
                <a:graphicData uri="http://schemas.microsoft.com/office/word/2010/wordprocessingShape">
                  <wps:wsp>
                    <wps:cNvPr id="396" name="Textbox 396"/>
                    <wps:cNvSpPr txBox="1"/>
                    <wps:spPr>
                      <a:xfrm>
                        <a:off x="0" y="0"/>
                        <a:ext cx="828040" cy="182245"/>
                      </a:xfrm>
                      <a:prstGeom prst="rect">
                        <a:avLst/>
                      </a:prstGeom>
                    </wps:spPr>
                    <wps:txbx>
                      <w:txbxContent>
                        <w:p>
                          <w:pPr>
                            <w:spacing w:before="13"/>
                            <w:ind w:left="20" w:right="0" w:firstLine="0"/>
                            <w:jc w:val="left"/>
                            <w:rPr>
                              <w:b/>
                              <w:sz w:val="22"/>
                            </w:rPr>
                          </w:pPr>
                          <w:r>
                            <w:rPr>
                              <w:b/>
                              <w:sz w:val="22"/>
                            </w:rPr>
                            <w:t>Anexo</w:t>
                          </w:r>
                          <w:r>
                            <w:rPr>
                              <w:b/>
                              <w:spacing w:val="-6"/>
                              <w:sz w:val="22"/>
                            </w:rPr>
                            <w:t> </w:t>
                          </w:r>
                          <w:r>
                            <w:rPr>
                              <w:b/>
                              <w:sz w:val="22"/>
                            </w:rPr>
                            <w:t>X/1-</w:t>
                          </w:r>
                          <w:r>
                            <w:rPr>
                              <w:b/>
                              <w:spacing w:val="-10"/>
                              <w:sz w:val="22"/>
                            </w:rPr>
                            <w:t>2</w:t>
                          </w:r>
                        </w:p>
                      </w:txbxContent>
                    </wps:txbx>
                    <wps:bodyPr wrap="square" lIns="0" tIns="0" rIns="0" bIns="0" rtlCol="0">
                      <a:noAutofit/>
                    </wps:bodyPr>
                  </wps:wsp>
                </a:graphicData>
              </a:graphic>
            </wp:anchor>
          </w:drawing>
        </mc:Choice>
        <mc:Fallback>
          <w:pict>
            <v:shape style="position:absolute;margin-left:474.660004pt;margin-top:127.025764pt;width:65.2pt;height:14.35pt;mso-position-horizontal-relative:page;mso-position-vertical-relative:page;z-index:-28990464" type="#_x0000_t202" id="docshape341" filled="false" stroked="false">
              <v:textbox inset="0,0,0,0">
                <w:txbxContent>
                  <w:p>
                    <w:pPr>
                      <w:spacing w:before="13"/>
                      <w:ind w:left="20" w:right="0" w:firstLine="0"/>
                      <w:jc w:val="left"/>
                      <w:rPr>
                        <w:b/>
                        <w:sz w:val="22"/>
                      </w:rPr>
                    </w:pPr>
                    <w:r>
                      <w:rPr>
                        <w:b/>
                        <w:sz w:val="22"/>
                      </w:rPr>
                      <w:t>Anexo</w:t>
                    </w:r>
                    <w:r>
                      <w:rPr>
                        <w:b/>
                        <w:spacing w:val="-6"/>
                        <w:sz w:val="22"/>
                      </w:rPr>
                      <w:t> </w:t>
                    </w:r>
                    <w:r>
                      <w:rPr>
                        <w:b/>
                        <w:sz w:val="22"/>
                      </w:rPr>
                      <w:t>X/1-</w:t>
                    </w:r>
                    <w:r>
                      <w:rPr>
                        <w:b/>
                        <w:spacing w:val="-10"/>
                        <w:sz w:val="22"/>
                      </w:rPr>
                      <w:t>2</w:t>
                    </w:r>
                  </w:p>
                </w:txbxContent>
              </v:textbox>
              <w10:wrap type="none"/>
            </v:shape>
          </w:pict>
        </mc:Fallback>
      </mc:AlternateContent>
    </w:r>
  </w:p>
</w:hdr>
</file>

<file path=word/header3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29600">
          <wp:simplePos x="0" y="0"/>
          <wp:positionH relativeFrom="page">
            <wp:posOffset>5068570</wp:posOffset>
          </wp:positionH>
          <wp:positionV relativeFrom="page">
            <wp:posOffset>806703</wp:posOffset>
          </wp:positionV>
          <wp:extent cx="1767204" cy="99695"/>
          <wp:effectExtent l="0" t="0" r="0" b="0"/>
          <wp:wrapNone/>
          <wp:docPr id="426" name="Image 426"/>
          <wp:cNvGraphicFramePr>
            <a:graphicFrameLocks/>
          </wp:cNvGraphicFramePr>
          <a:graphic>
            <a:graphicData uri="http://schemas.openxmlformats.org/drawingml/2006/picture">
              <pic:pic>
                <pic:nvPicPr>
                  <pic:cNvPr id="426" name="Image 426"/>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30112">
              <wp:simplePos x="0" y="0"/>
              <wp:positionH relativeFrom="page">
                <wp:posOffset>6435344</wp:posOffset>
              </wp:positionH>
              <wp:positionV relativeFrom="page">
                <wp:posOffset>1631515</wp:posOffset>
              </wp:positionV>
              <wp:extent cx="827405" cy="182245"/>
              <wp:effectExtent l="0" t="0" r="0" b="0"/>
              <wp:wrapNone/>
              <wp:docPr id="427" name="Textbox 427"/>
              <wp:cNvGraphicFramePr>
                <a:graphicFrameLocks/>
              </wp:cNvGraphicFramePr>
              <a:graphic>
                <a:graphicData uri="http://schemas.microsoft.com/office/word/2010/wordprocessingShape">
                  <wps:wsp>
                    <wps:cNvPr id="427" name="Textbox 427"/>
                    <wps:cNvSpPr txBox="1"/>
                    <wps:spPr>
                      <a:xfrm>
                        <a:off x="0" y="0"/>
                        <a:ext cx="827405" cy="182245"/>
                      </a:xfrm>
                      <a:prstGeom prst="rect">
                        <a:avLst/>
                      </a:prstGeom>
                    </wps:spPr>
                    <wps:txbx>
                      <w:txbxContent>
                        <w:p>
                          <w:pPr>
                            <w:spacing w:before="13"/>
                            <w:ind w:left="20" w:right="0" w:firstLine="0"/>
                            <w:jc w:val="left"/>
                            <w:rPr>
                              <w:b/>
                              <w:sz w:val="22"/>
                            </w:rPr>
                          </w:pPr>
                          <w:r>
                            <w:rPr>
                              <w:b/>
                              <w:sz w:val="22"/>
                            </w:rPr>
                            <w:t>Anexo</w:t>
                          </w:r>
                          <w:r>
                            <w:rPr>
                              <w:b/>
                              <w:spacing w:val="-6"/>
                              <w:sz w:val="22"/>
                            </w:rPr>
                            <w:t> </w:t>
                          </w:r>
                          <w:r>
                            <w:rPr>
                              <w:b/>
                              <w:sz w:val="22"/>
                            </w:rPr>
                            <w:t>X/2-</w:t>
                          </w:r>
                          <w:r>
                            <w:rPr>
                              <w:b/>
                              <w:spacing w:val="-10"/>
                              <w:sz w:val="22"/>
                            </w:rPr>
                            <w:t>2</w:t>
                          </w:r>
                        </w:p>
                      </w:txbxContent>
                    </wps:txbx>
                    <wps:bodyPr wrap="square" lIns="0" tIns="0" rIns="0" bIns="0" rtlCol="0">
                      <a:noAutofit/>
                    </wps:bodyPr>
                  </wps:wsp>
                </a:graphicData>
              </a:graphic>
            </wp:anchor>
          </w:drawing>
        </mc:Choice>
        <mc:Fallback>
          <w:pict>
            <v:shape style="position:absolute;margin-left:506.720001pt;margin-top:128.465759pt;width:65.1500pt;height:14.35pt;mso-position-horizontal-relative:page;mso-position-vertical-relative:page;z-index:-28986368" type="#_x0000_t202" id="docshape371" filled="false" stroked="false">
              <v:textbox inset="0,0,0,0">
                <w:txbxContent>
                  <w:p>
                    <w:pPr>
                      <w:spacing w:before="13"/>
                      <w:ind w:left="20" w:right="0" w:firstLine="0"/>
                      <w:jc w:val="left"/>
                      <w:rPr>
                        <w:b/>
                        <w:sz w:val="22"/>
                      </w:rPr>
                    </w:pPr>
                    <w:r>
                      <w:rPr>
                        <w:b/>
                        <w:sz w:val="22"/>
                      </w:rPr>
                      <w:t>Anexo</w:t>
                    </w:r>
                    <w:r>
                      <w:rPr>
                        <w:b/>
                        <w:spacing w:val="-6"/>
                        <w:sz w:val="22"/>
                      </w:rPr>
                      <w:t> </w:t>
                    </w:r>
                    <w:r>
                      <w:rPr>
                        <w:b/>
                        <w:sz w:val="22"/>
                      </w:rPr>
                      <w:t>X/2-</w:t>
                    </w:r>
                    <w:r>
                      <w:rPr>
                        <w:b/>
                        <w:spacing w:val="-10"/>
                        <w:sz w:val="22"/>
                      </w:rPr>
                      <w:t>2</w:t>
                    </w:r>
                  </w:p>
                </w:txbxContent>
              </v:textbox>
              <w10:wrap type="none"/>
            </v:shape>
          </w:pict>
        </mc:Fallback>
      </mc:AlternateContent>
    </w:r>
  </w:p>
</w:hdr>
</file>

<file path=word/header3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30624">
          <wp:simplePos x="0" y="0"/>
          <wp:positionH relativeFrom="page">
            <wp:posOffset>5068570</wp:posOffset>
          </wp:positionH>
          <wp:positionV relativeFrom="page">
            <wp:posOffset>806703</wp:posOffset>
          </wp:positionV>
          <wp:extent cx="1767204" cy="99695"/>
          <wp:effectExtent l="0" t="0" r="0" b="0"/>
          <wp:wrapNone/>
          <wp:docPr id="428" name="Image 428"/>
          <wp:cNvGraphicFramePr>
            <a:graphicFrameLocks/>
          </wp:cNvGraphicFramePr>
          <a:graphic>
            <a:graphicData uri="http://schemas.openxmlformats.org/drawingml/2006/picture">
              <pic:pic>
                <pic:nvPicPr>
                  <pic:cNvPr id="428" name="Image 428"/>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31136">
              <wp:simplePos x="0" y="0"/>
              <wp:positionH relativeFrom="page">
                <wp:posOffset>6230873</wp:posOffset>
              </wp:positionH>
              <wp:positionV relativeFrom="page">
                <wp:posOffset>1613227</wp:posOffset>
              </wp:positionV>
              <wp:extent cx="623570" cy="182245"/>
              <wp:effectExtent l="0" t="0" r="0" b="0"/>
              <wp:wrapNone/>
              <wp:docPr id="429" name="Textbox 429"/>
              <wp:cNvGraphicFramePr>
                <a:graphicFrameLocks/>
              </wp:cNvGraphicFramePr>
              <a:graphic>
                <a:graphicData uri="http://schemas.microsoft.com/office/word/2010/wordprocessingShape">
                  <wps:wsp>
                    <wps:cNvPr id="429" name="Textbox 429"/>
                    <wps:cNvSpPr txBox="1"/>
                    <wps:spPr>
                      <a:xfrm>
                        <a:off x="0" y="0"/>
                        <a:ext cx="623570" cy="182245"/>
                      </a:xfrm>
                      <a:prstGeom prst="rect">
                        <a:avLst/>
                      </a:prstGeom>
                    </wps:spPr>
                    <wps:txbx>
                      <w:txbxContent>
                        <w:p>
                          <w:pPr>
                            <w:spacing w:before="13"/>
                            <w:ind w:left="20" w:right="0" w:firstLine="0"/>
                            <w:jc w:val="left"/>
                            <w:rPr>
                              <w:b/>
                              <w:sz w:val="22"/>
                            </w:rPr>
                          </w:pPr>
                          <w:r>
                            <w:rPr>
                              <w:b/>
                              <w:sz w:val="22"/>
                            </w:rPr>
                            <w:t>Anexo</w:t>
                          </w:r>
                          <w:r>
                            <w:rPr>
                              <w:b/>
                              <w:spacing w:val="-4"/>
                              <w:sz w:val="22"/>
                            </w:rPr>
                            <w:t> </w:t>
                          </w:r>
                          <w:r>
                            <w:rPr>
                              <w:b/>
                              <w:spacing w:val="-5"/>
                              <w:sz w:val="22"/>
                            </w:rPr>
                            <w:t>XI</w:t>
                          </w:r>
                        </w:p>
                      </w:txbxContent>
                    </wps:txbx>
                    <wps:bodyPr wrap="square" lIns="0" tIns="0" rIns="0" bIns="0" rtlCol="0">
                      <a:noAutofit/>
                    </wps:bodyPr>
                  </wps:wsp>
                </a:graphicData>
              </a:graphic>
            </wp:anchor>
          </w:drawing>
        </mc:Choice>
        <mc:Fallback>
          <w:pict>
            <v:shape style="position:absolute;margin-left:490.619995pt;margin-top:127.025764pt;width:49.1pt;height:14.35pt;mso-position-horizontal-relative:page;mso-position-vertical-relative:page;z-index:-28985344" type="#_x0000_t202" id="docshape372" filled="false" stroked="false">
              <v:textbox inset="0,0,0,0">
                <w:txbxContent>
                  <w:p>
                    <w:pPr>
                      <w:spacing w:before="13"/>
                      <w:ind w:left="20" w:right="0" w:firstLine="0"/>
                      <w:jc w:val="left"/>
                      <w:rPr>
                        <w:b/>
                        <w:sz w:val="22"/>
                      </w:rPr>
                    </w:pPr>
                    <w:r>
                      <w:rPr>
                        <w:b/>
                        <w:sz w:val="22"/>
                      </w:rPr>
                      <w:t>Anexo</w:t>
                    </w:r>
                    <w:r>
                      <w:rPr>
                        <w:b/>
                        <w:spacing w:val="-4"/>
                        <w:sz w:val="22"/>
                      </w:rPr>
                      <w:t> </w:t>
                    </w:r>
                    <w:r>
                      <w:rPr>
                        <w:b/>
                        <w:spacing w:val="-5"/>
                        <w:sz w:val="22"/>
                      </w:rPr>
                      <w:t>XI</w:t>
                    </w:r>
                  </w:p>
                </w:txbxContent>
              </v:textbox>
              <w10:wrap type="none"/>
            </v:shape>
          </w:pict>
        </mc:Fallback>
      </mc:AlternateContent>
    </w:r>
  </w:p>
</w:hdr>
</file>

<file path=word/header3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34720">
          <wp:simplePos x="0" y="0"/>
          <wp:positionH relativeFrom="page">
            <wp:posOffset>5068570</wp:posOffset>
          </wp:positionH>
          <wp:positionV relativeFrom="page">
            <wp:posOffset>806703</wp:posOffset>
          </wp:positionV>
          <wp:extent cx="1767204" cy="99695"/>
          <wp:effectExtent l="0" t="0" r="0" b="0"/>
          <wp:wrapNone/>
          <wp:docPr id="436" name="Image 436"/>
          <wp:cNvGraphicFramePr>
            <a:graphicFrameLocks/>
          </wp:cNvGraphicFramePr>
          <a:graphic>
            <a:graphicData uri="http://schemas.openxmlformats.org/drawingml/2006/picture">
              <pic:pic>
                <pic:nvPicPr>
                  <pic:cNvPr id="436" name="Image 436"/>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35232">
              <wp:simplePos x="0" y="0"/>
              <wp:positionH relativeFrom="page">
                <wp:posOffset>5950458</wp:posOffset>
              </wp:positionH>
              <wp:positionV relativeFrom="page">
                <wp:posOffset>1613227</wp:posOffset>
              </wp:positionV>
              <wp:extent cx="905510" cy="182245"/>
              <wp:effectExtent l="0" t="0" r="0" b="0"/>
              <wp:wrapNone/>
              <wp:docPr id="437" name="Textbox 437"/>
              <wp:cNvGraphicFramePr>
                <a:graphicFrameLocks/>
              </wp:cNvGraphicFramePr>
              <a:graphic>
                <a:graphicData uri="http://schemas.microsoft.com/office/word/2010/wordprocessingShape">
                  <wps:wsp>
                    <wps:cNvPr id="437" name="Textbox 437"/>
                    <wps:cNvSpPr txBox="1"/>
                    <wps:spPr>
                      <a:xfrm>
                        <a:off x="0" y="0"/>
                        <a:ext cx="905510" cy="182245"/>
                      </a:xfrm>
                      <a:prstGeom prst="rect">
                        <a:avLst/>
                      </a:prstGeom>
                    </wps:spPr>
                    <wps:txbx>
                      <w:txbxContent>
                        <w:p>
                          <w:pPr>
                            <w:spacing w:before="13"/>
                            <w:ind w:left="20" w:right="0" w:firstLine="0"/>
                            <w:jc w:val="left"/>
                            <w:rPr>
                              <w:b/>
                              <w:sz w:val="22"/>
                            </w:rPr>
                          </w:pPr>
                          <w:r>
                            <w:rPr>
                              <w:b/>
                              <w:sz w:val="22"/>
                            </w:rPr>
                            <w:t>Anexo</w:t>
                          </w:r>
                          <w:r>
                            <w:rPr>
                              <w:b/>
                              <w:spacing w:val="-8"/>
                              <w:sz w:val="22"/>
                            </w:rPr>
                            <w:t> </w:t>
                          </w:r>
                          <w:r>
                            <w:rPr>
                              <w:b/>
                              <w:sz w:val="22"/>
                            </w:rPr>
                            <w:t>XII/1-</w:t>
                          </w:r>
                          <w:r>
                            <w:rPr>
                              <w:b/>
                              <w:spacing w:val="-10"/>
                              <w:sz w:val="22"/>
                            </w:rPr>
                            <w:t>2</w:t>
                          </w:r>
                        </w:p>
                      </w:txbxContent>
                    </wps:txbx>
                    <wps:bodyPr wrap="square" lIns="0" tIns="0" rIns="0" bIns="0" rtlCol="0">
                      <a:noAutofit/>
                    </wps:bodyPr>
                  </wps:wsp>
                </a:graphicData>
              </a:graphic>
            </wp:anchor>
          </w:drawing>
        </mc:Choice>
        <mc:Fallback>
          <w:pict>
            <v:shape style="position:absolute;margin-left:468.540009pt;margin-top:127.025764pt;width:71.3pt;height:14.35pt;mso-position-horizontal-relative:page;mso-position-vertical-relative:page;z-index:-28981248" type="#_x0000_t202" id="docshape379" filled="false" stroked="false">
              <v:textbox inset="0,0,0,0">
                <w:txbxContent>
                  <w:p>
                    <w:pPr>
                      <w:spacing w:before="13"/>
                      <w:ind w:left="20" w:right="0" w:firstLine="0"/>
                      <w:jc w:val="left"/>
                      <w:rPr>
                        <w:b/>
                        <w:sz w:val="22"/>
                      </w:rPr>
                    </w:pPr>
                    <w:r>
                      <w:rPr>
                        <w:b/>
                        <w:sz w:val="22"/>
                      </w:rPr>
                      <w:t>Anexo</w:t>
                    </w:r>
                    <w:r>
                      <w:rPr>
                        <w:b/>
                        <w:spacing w:val="-8"/>
                        <w:sz w:val="22"/>
                      </w:rPr>
                      <w:t> </w:t>
                    </w:r>
                    <w:r>
                      <w:rPr>
                        <w:b/>
                        <w:sz w:val="22"/>
                      </w:rPr>
                      <w:t>XII/1-</w:t>
                    </w:r>
                    <w:r>
                      <w:rPr>
                        <w:b/>
                        <w:spacing w:val="-10"/>
                        <w:sz w:val="22"/>
                      </w:rPr>
                      <w:t>2</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35744">
          <wp:simplePos x="0" y="0"/>
          <wp:positionH relativeFrom="page">
            <wp:posOffset>5068570</wp:posOffset>
          </wp:positionH>
          <wp:positionV relativeFrom="page">
            <wp:posOffset>806703</wp:posOffset>
          </wp:positionV>
          <wp:extent cx="1767204" cy="99695"/>
          <wp:effectExtent l="0" t="0" r="0" b="0"/>
          <wp:wrapNone/>
          <wp:docPr id="438" name="Image 438"/>
          <wp:cNvGraphicFramePr>
            <a:graphicFrameLocks/>
          </wp:cNvGraphicFramePr>
          <a:graphic>
            <a:graphicData uri="http://schemas.openxmlformats.org/drawingml/2006/picture">
              <pic:pic>
                <pic:nvPicPr>
                  <pic:cNvPr id="438" name="Image 438"/>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36256">
              <wp:simplePos x="0" y="0"/>
              <wp:positionH relativeFrom="page">
                <wp:posOffset>5947409</wp:posOffset>
              </wp:positionH>
              <wp:positionV relativeFrom="page">
                <wp:posOffset>1634563</wp:posOffset>
              </wp:positionV>
              <wp:extent cx="905510" cy="182245"/>
              <wp:effectExtent l="0" t="0" r="0" b="0"/>
              <wp:wrapNone/>
              <wp:docPr id="439" name="Textbox 439"/>
              <wp:cNvGraphicFramePr>
                <a:graphicFrameLocks/>
              </wp:cNvGraphicFramePr>
              <a:graphic>
                <a:graphicData uri="http://schemas.microsoft.com/office/word/2010/wordprocessingShape">
                  <wps:wsp>
                    <wps:cNvPr id="439" name="Textbox 439"/>
                    <wps:cNvSpPr txBox="1"/>
                    <wps:spPr>
                      <a:xfrm>
                        <a:off x="0" y="0"/>
                        <a:ext cx="905510" cy="182245"/>
                      </a:xfrm>
                      <a:prstGeom prst="rect">
                        <a:avLst/>
                      </a:prstGeom>
                    </wps:spPr>
                    <wps:txbx>
                      <w:txbxContent>
                        <w:p>
                          <w:pPr>
                            <w:spacing w:before="13"/>
                            <w:ind w:left="20" w:right="0" w:firstLine="0"/>
                            <w:jc w:val="left"/>
                            <w:rPr>
                              <w:b/>
                              <w:sz w:val="22"/>
                            </w:rPr>
                          </w:pPr>
                          <w:r>
                            <w:rPr>
                              <w:b/>
                              <w:sz w:val="22"/>
                            </w:rPr>
                            <w:t>Anexo</w:t>
                          </w:r>
                          <w:r>
                            <w:rPr>
                              <w:b/>
                              <w:spacing w:val="-8"/>
                              <w:sz w:val="22"/>
                            </w:rPr>
                            <w:t> </w:t>
                          </w:r>
                          <w:r>
                            <w:rPr>
                              <w:b/>
                              <w:sz w:val="22"/>
                            </w:rPr>
                            <w:t>XII/2-</w:t>
                          </w:r>
                          <w:r>
                            <w:rPr>
                              <w:b/>
                              <w:spacing w:val="-10"/>
                              <w:sz w:val="22"/>
                            </w:rPr>
                            <w:t>2</w:t>
                          </w:r>
                        </w:p>
                      </w:txbxContent>
                    </wps:txbx>
                    <wps:bodyPr wrap="square" lIns="0" tIns="0" rIns="0" bIns="0" rtlCol="0">
                      <a:noAutofit/>
                    </wps:bodyPr>
                  </wps:wsp>
                </a:graphicData>
              </a:graphic>
            </wp:anchor>
          </w:drawing>
        </mc:Choice>
        <mc:Fallback>
          <w:pict>
            <v:shape style="position:absolute;margin-left:468.299988pt;margin-top:128.705765pt;width:71.3pt;height:14.35pt;mso-position-horizontal-relative:page;mso-position-vertical-relative:page;z-index:-28980224" type="#_x0000_t202" id="docshape380" filled="false" stroked="false">
              <v:textbox inset="0,0,0,0">
                <w:txbxContent>
                  <w:p>
                    <w:pPr>
                      <w:spacing w:before="13"/>
                      <w:ind w:left="20" w:right="0" w:firstLine="0"/>
                      <w:jc w:val="left"/>
                      <w:rPr>
                        <w:b/>
                        <w:sz w:val="22"/>
                      </w:rPr>
                    </w:pPr>
                    <w:r>
                      <w:rPr>
                        <w:b/>
                        <w:sz w:val="22"/>
                      </w:rPr>
                      <w:t>Anexo</w:t>
                    </w:r>
                    <w:r>
                      <w:rPr>
                        <w:b/>
                        <w:spacing w:val="-8"/>
                        <w:sz w:val="22"/>
                      </w:rPr>
                      <w:t> </w:t>
                    </w:r>
                    <w:r>
                      <w:rPr>
                        <w:b/>
                        <w:sz w:val="22"/>
                      </w:rPr>
                      <w:t>XII/2-</w:t>
                    </w:r>
                    <w:r>
                      <w:rPr>
                        <w:b/>
                        <w:spacing w:val="-10"/>
                        <w:sz w:val="22"/>
                      </w:rPr>
                      <w:t>2</w:t>
                    </w:r>
                  </w:p>
                </w:txbxContent>
              </v:textbox>
              <w10:wrap type="none"/>
            </v:shape>
          </w:pict>
        </mc:Fallback>
      </mc:AlternateContent>
    </w:r>
  </w:p>
</w:hdr>
</file>

<file path=word/header4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39840">
          <wp:simplePos x="0" y="0"/>
          <wp:positionH relativeFrom="page">
            <wp:posOffset>5068570</wp:posOffset>
          </wp:positionH>
          <wp:positionV relativeFrom="page">
            <wp:posOffset>806703</wp:posOffset>
          </wp:positionV>
          <wp:extent cx="1767204" cy="99695"/>
          <wp:effectExtent l="0" t="0" r="0" b="0"/>
          <wp:wrapNone/>
          <wp:docPr id="472" name="Image 472"/>
          <wp:cNvGraphicFramePr>
            <a:graphicFrameLocks/>
          </wp:cNvGraphicFramePr>
          <a:graphic>
            <a:graphicData uri="http://schemas.openxmlformats.org/drawingml/2006/picture">
              <pic:pic>
                <pic:nvPicPr>
                  <pic:cNvPr id="472" name="Image 472"/>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40352">
              <wp:simplePos x="0" y="0"/>
              <wp:positionH relativeFrom="page">
                <wp:posOffset>6153150</wp:posOffset>
              </wp:positionH>
              <wp:positionV relativeFrom="page">
                <wp:posOffset>1613227</wp:posOffset>
              </wp:positionV>
              <wp:extent cx="701675" cy="182245"/>
              <wp:effectExtent l="0" t="0" r="0" b="0"/>
              <wp:wrapNone/>
              <wp:docPr id="473" name="Textbox 473"/>
              <wp:cNvGraphicFramePr>
                <a:graphicFrameLocks/>
              </wp:cNvGraphicFramePr>
              <a:graphic>
                <a:graphicData uri="http://schemas.microsoft.com/office/word/2010/wordprocessingShape">
                  <wps:wsp>
                    <wps:cNvPr id="473" name="Textbox 473"/>
                    <wps:cNvSpPr txBox="1"/>
                    <wps:spPr>
                      <a:xfrm>
                        <a:off x="0" y="0"/>
                        <a:ext cx="701675" cy="182245"/>
                      </a:xfrm>
                      <a:prstGeom prst="rect">
                        <a:avLst/>
                      </a:prstGeom>
                    </wps:spPr>
                    <wps:txbx>
                      <w:txbxContent>
                        <w:p>
                          <w:pPr>
                            <w:spacing w:before="13"/>
                            <w:ind w:left="20" w:right="0" w:firstLine="0"/>
                            <w:jc w:val="left"/>
                            <w:rPr>
                              <w:b/>
                              <w:sz w:val="22"/>
                            </w:rPr>
                          </w:pPr>
                          <w:r>
                            <w:rPr>
                              <w:b/>
                              <w:sz w:val="22"/>
                            </w:rPr>
                            <w:t>Anexo</w:t>
                          </w:r>
                          <w:r>
                            <w:rPr>
                              <w:b/>
                              <w:spacing w:val="-6"/>
                              <w:sz w:val="22"/>
                            </w:rPr>
                            <w:t> </w:t>
                          </w:r>
                          <w:r>
                            <w:rPr>
                              <w:b/>
                              <w:spacing w:val="-4"/>
                              <w:sz w:val="22"/>
                            </w:rPr>
                            <w:t>XIII</w:t>
                          </w:r>
                        </w:p>
                      </w:txbxContent>
                    </wps:txbx>
                    <wps:bodyPr wrap="square" lIns="0" tIns="0" rIns="0" bIns="0" rtlCol="0">
                      <a:noAutofit/>
                    </wps:bodyPr>
                  </wps:wsp>
                </a:graphicData>
              </a:graphic>
            </wp:anchor>
          </w:drawing>
        </mc:Choice>
        <mc:Fallback>
          <w:pict>
            <v:shape style="position:absolute;margin-left:484.5pt;margin-top:127.025764pt;width:55.25pt;height:14.35pt;mso-position-horizontal-relative:page;mso-position-vertical-relative:page;z-index:-28976128" type="#_x0000_t202" id="docshape413" filled="false" stroked="false">
              <v:textbox inset="0,0,0,0">
                <w:txbxContent>
                  <w:p>
                    <w:pPr>
                      <w:spacing w:before="13"/>
                      <w:ind w:left="20" w:right="0" w:firstLine="0"/>
                      <w:jc w:val="left"/>
                      <w:rPr>
                        <w:b/>
                        <w:sz w:val="22"/>
                      </w:rPr>
                    </w:pPr>
                    <w:r>
                      <w:rPr>
                        <w:b/>
                        <w:sz w:val="22"/>
                      </w:rPr>
                      <w:t>Anexo</w:t>
                    </w:r>
                    <w:r>
                      <w:rPr>
                        <w:b/>
                        <w:spacing w:val="-6"/>
                        <w:sz w:val="22"/>
                      </w:rPr>
                      <w:t> </w:t>
                    </w:r>
                    <w:r>
                      <w:rPr>
                        <w:b/>
                        <w:spacing w:val="-4"/>
                        <w:sz w:val="22"/>
                      </w:rPr>
                      <w:t>XIII</w:t>
                    </w:r>
                  </w:p>
                </w:txbxContent>
              </v:textbox>
              <w10:wrap type="none"/>
            </v:shape>
          </w:pict>
        </mc:Fallback>
      </mc:AlternateContent>
    </w:r>
  </w:p>
</w:hdr>
</file>

<file path=word/header4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40864">
          <wp:simplePos x="0" y="0"/>
          <wp:positionH relativeFrom="page">
            <wp:posOffset>5068570</wp:posOffset>
          </wp:positionH>
          <wp:positionV relativeFrom="page">
            <wp:posOffset>806703</wp:posOffset>
          </wp:positionV>
          <wp:extent cx="1767204" cy="99695"/>
          <wp:effectExtent l="0" t="0" r="0" b="0"/>
          <wp:wrapNone/>
          <wp:docPr id="474" name="Image 474"/>
          <wp:cNvGraphicFramePr>
            <a:graphicFrameLocks/>
          </wp:cNvGraphicFramePr>
          <a:graphic>
            <a:graphicData uri="http://schemas.openxmlformats.org/drawingml/2006/picture">
              <pic:pic>
                <pic:nvPicPr>
                  <pic:cNvPr id="474" name="Image 474"/>
                  <pic:cNvPicPr/>
                </pic:nvPicPr>
                <pic:blipFill>
                  <a:blip r:embed="rId1" cstate="print"/>
                  <a:stretch>
                    <a:fillRect/>
                  </a:stretch>
                </pic:blipFill>
                <pic:spPr>
                  <a:xfrm>
                    <a:off x="0" y="0"/>
                    <a:ext cx="1767204" cy="9969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41376">
              <wp:simplePos x="0" y="0"/>
              <wp:positionH relativeFrom="page">
                <wp:posOffset>6137909</wp:posOffset>
              </wp:positionH>
              <wp:positionV relativeFrom="page">
                <wp:posOffset>1613227</wp:posOffset>
              </wp:positionV>
              <wp:extent cx="718185" cy="182245"/>
              <wp:effectExtent l="0" t="0" r="0" b="0"/>
              <wp:wrapNone/>
              <wp:docPr id="475" name="Textbox 475"/>
              <wp:cNvGraphicFramePr>
                <a:graphicFrameLocks/>
              </wp:cNvGraphicFramePr>
              <a:graphic>
                <a:graphicData uri="http://schemas.microsoft.com/office/word/2010/wordprocessingShape">
                  <wps:wsp>
                    <wps:cNvPr id="475" name="Textbox 475"/>
                    <wps:cNvSpPr txBox="1"/>
                    <wps:spPr>
                      <a:xfrm>
                        <a:off x="0" y="0"/>
                        <a:ext cx="718185" cy="182245"/>
                      </a:xfrm>
                      <a:prstGeom prst="rect">
                        <a:avLst/>
                      </a:prstGeom>
                    </wps:spPr>
                    <wps:txbx>
                      <w:txbxContent>
                        <w:p>
                          <w:pPr>
                            <w:spacing w:before="13"/>
                            <w:ind w:left="20" w:right="0" w:firstLine="0"/>
                            <w:jc w:val="left"/>
                            <w:rPr>
                              <w:b/>
                              <w:sz w:val="22"/>
                            </w:rPr>
                          </w:pPr>
                          <w:r>
                            <w:rPr>
                              <w:b/>
                              <w:sz w:val="22"/>
                            </w:rPr>
                            <w:t>Anexo</w:t>
                          </w:r>
                          <w:r>
                            <w:rPr>
                              <w:b/>
                              <w:spacing w:val="-4"/>
                              <w:sz w:val="22"/>
                            </w:rPr>
                            <w:t> </w:t>
                          </w:r>
                          <w:r>
                            <w:rPr>
                              <w:b/>
                              <w:spacing w:val="-5"/>
                              <w:sz w:val="22"/>
                            </w:rPr>
                            <w:t>XIV</w:t>
                          </w:r>
                        </w:p>
                      </w:txbxContent>
                    </wps:txbx>
                    <wps:bodyPr wrap="square" lIns="0" tIns="0" rIns="0" bIns="0" rtlCol="0">
                      <a:noAutofit/>
                    </wps:bodyPr>
                  </wps:wsp>
                </a:graphicData>
              </a:graphic>
            </wp:anchor>
          </w:drawing>
        </mc:Choice>
        <mc:Fallback>
          <w:pict>
            <v:shape style="position:absolute;margin-left:483.299988pt;margin-top:127.025764pt;width:56.55pt;height:14.35pt;mso-position-horizontal-relative:page;mso-position-vertical-relative:page;z-index:-28975104" type="#_x0000_t202" id="docshape414" filled="false" stroked="false">
              <v:textbox inset="0,0,0,0">
                <w:txbxContent>
                  <w:p>
                    <w:pPr>
                      <w:spacing w:before="13"/>
                      <w:ind w:left="20" w:right="0" w:firstLine="0"/>
                      <w:jc w:val="left"/>
                      <w:rPr>
                        <w:b/>
                        <w:sz w:val="22"/>
                      </w:rPr>
                    </w:pPr>
                    <w:r>
                      <w:rPr>
                        <w:b/>
                        <w:sz w:val="22"/>
                      </w:rPr>
                      <w:t>Anexo</w:t>
                    </w:r>
                    <w:r>
                      <w:rPr>
                        <w:b/>
                        <w:spacing w:val="-4"/>
                        <w:sz w:val="22"/>
                      </w:rPr>
                      <w:t> </w:t>
                    </w:r>
                    <w:r>
                      <w:rPr>
                        <w:b/>
                        <w:spacing w:val="-5"/>
                        <w:sz w:val="22"/>
                      </w:rPr>
                      <w:t>XIV</w:t>
                    </w:r>
                  </w:p>
                </w:txbxContent>
              </v:textbox>
              <w10:wrap type="none"/>
            </v:shape>
          </w:pict>
        </mc:Fallback>
      </mc:AlternateContent>
    </w:r>
  </w:p>
</w:hdr>
</file>

<file path=word/header4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47008">
          <wp:simplePos x="0" y="0"/>
          <wp:positionH relativeFrom="page">
            <wp:posOffset>5073015</wp:posOffset>
          </wp:positionH>
          <wp:positionV relativeFrom="page">
            <wp:posOffset>550163</wp:posOffset>
          </wp:positionV>
          <wp:extent cx="1767205" cy="99695"/>
          <wp:effectExtent l="0" t="0" r="0" b="0"/>
          <wp:wrapNone/>
          <wp:docPr id="494" name="Image 494"/>
          <wp:cNvGraphicFramePr>
            <a:graphicFrameLocks/>
          </wp:cNvGraphicFramePr>
          <a:graphic>
            <a:graphicData uri="http://schemas.openxmlformats.org/drawingml/2006/picture">
              <pic:pic>
                <pic:nvPicPr>
                  <pic:cNvPr id="494" name="Image 494"/>
                  <pic:cNvPicPr/>
                </pic:nvPicPr>
                <pic:blipFill>
                  <a:blip r:embed="rId1" cstate="print"/>
                  <a:stretch>
                    <a:fillRect/>
                  </a:stretch>
                </pic:blipFill>
                <pic:spPr>
                  <a:xfrm>
                    <a:off x="0" y="0"/>
                    <a:ext cx="1767205" cy="99695"/>
                  </a:xfrm>
                  <a:prstGeom prst="rect">
                    <a:avLst/>
                  </a:prstGeom>
                </pic:spPr>
              </pic:pic>
            </a:graphicData>
          </a:graphic>
        </wp:anchor>
      </w:drawing>
    </w:r>
  </w:p>
</w:hdr>
</file>

<file path=word/header4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49056">
          <wp:simplePos x="0" y="0"/>
          <wp:positionH relativeFrom="page">
            <wp:posOffset>5073015</wp:posOffset>
          </wp:positionH>
          <wp:positionV relativeFrom="page">
            <wp:posOffset>550163</wp:posOffset>
          </wp:positionV>
          <wp:extent cx="1767205" cy="99695"/>
          <wp:effectExtent l="0" t="0" r="0" b="0"/>
          <wp:wrapNone/>
          <wp:docPr id="498" name="Image 498"/>
          <wp:cNvGraphicFramePr>
            <a:graphicFrameLocks/>
          </wp:cNvGraphicFramePr>
          <a:graphic>
            <a:graphicData uri="http://schemas.openxmlformats.org/drawingml/2006/picture">
              <pic:pic>
                <pic:nvPicPr>
                  <pic:cNvPr id="498" name="Image 498"/>
                  <pic:cNvPicPr/>
                </pic:nvPicPr>
                <pic:blipFill>
                  <a:blip r:embed="rId1" cstate="print"/>
                  <a:stretch>
                    <a:fillRect/>
                  </a:stretch>
                </pic:blipFill>
                <pic:spPr>
                  <a:xfrm>
                    <a:off x="0" y="0"/>
                    <a:ext cx="1767205" cy="99695"/>
                  </a:xfrm>
                  <a:prstGeom prst="rect">
                    <a:avLst/>
                  </a:prstGeom>
                </pic:spPr>
              </pic:pic>
            </a:graphicData>
          </a:graphic>
        </wp:anchor>
      </w:drawing>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52640">
          <wp:simplePos x="0" y="0"/>
          <wp:positionH relativeFrom="page">
            <wp:posOffset>294131</wp:posOffset>
          </wp:positionH>
          <wp:positionV relativeFrom="page">
            <wp:posOffset>199558</wp:posOffset>
          </wp:positionV>
          <wp:extent cx="1316736" cy="364481"/>
          <wp:effectExtent l="0" t="0" r="0" b="0"/>
          <wp:wrapNone/>
          <wp:docPr id="520" name="Image 520"/>
          <wp:cNvGraphicFramePr>
            <a:graphicFrameLocks/>
          </wp:cNvGraphicFramePr>
          <a:graphic>
            <a:graphicData uri="http://schemas.openxmlformats.org/drawingml/2006/picture">
              <pic:pic>
                <pic:nvPicPr>
                  <pic:cNvPr id="520" name="Image 520"/>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53152">
              <wp:simplePos x="0" y="0"/>
              <wp:positionH relativeFrom="page">
                <wp:posOffset>19811</wp:posOffset>
              </wp:positionH>
              <wp:positionV relativeFrom="page">
                <wp:posOffset>784860</wp:posOffset>
              </wp:positionV>
              <wp:extent cx="7522845" cy="1270"/>
              <wp:effectExtent l="0" t="0" r="0" b="0"/>
              <wp:wrapNone/>
              <wp:docPr id="521" name="Graphic 521"/>
              <wp:cNvGraphicFramePr>
                <a:graphicFrameLocks/>
              </wp:cNvGraphicFramePr>
              <a:graphic>
                <a:graphicData uri="http://schemas.microsoft.com/office/word/2010/wordprocessingShape">
                  <wps:wsp>
                    <wps:cNvPr id="521" name="Graphic 521"/>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63328"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53664">
              <wp:simplePos x="0" y="0"/>
              <wp:positionH relativeFrom="page">
                <wp:posOffset>1913686</wp:posOffset>
              </wp:positionH>
              <wp:positionV relativeFrom="page">
                <wp:posOffset>457045</wp:posOffset>
              </wp:positionV>
              <wp:extent cx="3968115" cy="167005"/>
              <wp:effectExtent l="0" t="0" r="0" b="0"/>
              <wp:wrapNone/>
              <wp:docPr id="522" name="Textbox 522"/>
              <wp:cNvGraphicFramePr>
                <a:graphicFrameLocks/>
              </wp:cNvGraphicFramePr>
              <a:graphic>
                <a:graphicData uri="http://schemas.microsoft.com/office/word/2010/wordprocessingShape">
                  <wps:wsp>
                    <wps:cNvPr id="522" name="Textbox 522"/>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962816" type="#_x0000_t202" id="docshape447"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5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55200">
          <wp:simplePos x="0" y="0"/>
          <wp:positionH relativeFrom="page">
            <wp:posOffset>294131</wp:posOffset>
          </wp:positionH>
          <wp:positionV relativeFrom="page">
            <wp:posOffset>199558</wp:posOffset>
          </wp:positionV>
          <wp:extent cx="1316736" cy="364481"/>
          <wp:effectExtent l="0" t="0" r="0" b="0"/>
          <wp:wrapNone/>
          <wp:docPr id="535" name="Image 535"/>
          <wp:cNvGraphicFramePr>
            <a:graphicFrameLocks/>
          </wp:cNvGraphicFramePr>
          <a:graphic>
            <a:graphicData uri="http://schemas.openxmlformats.org/drawingml/2006/picture">
              <pic:pic>
                <pic:nvPicPr>
                  <pic:cNvPr id="535" name="Image 535"/>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55712">
              <wp:simplePos x="0" y="0"/>
              <wp:positionH relativeFrom="page">
                <wp:posOffset>19811</wp:posOffset>
              </wp:positionH>
              <wp:positionV relativeFrom="page">
                <wp:posOffset>784860</wp:posOffset>
              </wp:positionV>
              <wp:extent cx="7522845" cy="1270"/>
              <wp:effectExtent l="0" t="0" r="0" b="0"/>
              <wp:wrapNone/>
              <wp:docPr id="536" name="Graphic 536"/>
              <wp:cNvGraphicFramePr>
                <a:graphicFrameLocks/>
              </wp:cNvGraphicFramePr>
              <a:graphic>
                <a:graphicData uri="http://schemas.microsoft.com/office/word/2010/wordprocessingShape">
                  <wps:wsp>
                    <wps:cNvPr id="536" name="Graphic 536"/>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60768"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56224">
              <wp:simplePos x="0" y="0"/>
              <wp:positionH relativeFrom="page">
                <wp:posOffset>1913686</wp:posOffset>
              </wp:positionH>
              <wp:positionV relativeFrom="page">
                <wp:posOffset>457045</wp:posOffset>
              </wp:positionV>
              <wp:extent cx="3968115" cy="167005"/>
              <wp:effectExtent l="0" t="0" r="0" b="0"/>
              <wp:wrapNone/>
              <wp:docPr id="537" name="Textbox 537"/>
              <wp:cNvGraphicFramePr>
                <a:graphicFrameLocks/>
              </wp:cNvGraphicFramePr>
              <a:graphic>
                <a:graphicData uri="http://schemas.microsoft.com/office/word/2010/wordprocessingShape">
                  <wps:wsp>
                    <wps:cNvPr id="537" name="Textbox 537"/>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960256" type="#_x0000_t202" id="docshape457"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5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56736">
          <wp:simplePos x="0" y="0"/>
          <wp:positionH relativeFrom="page">
            <wp:posOffset>294131</wp:posOffset>
          </wp:positionH>
          <wp:positionV relativeFrom="page">
            <wp:posOffset>199558</wp:posOffset>
          </wp:positionV>
          <wp:extent cx="1316736" cy="364481"/>
          <wp:effectExtent l="0" t="0" r="0" b="0"/>
          <wp:wrapNone/>
          <wp:docPr id="538" name="Image 538"/>
          <wp:cNvGraphicFramePr>
            <a:graphicFrameLocks/>
          </wp:cNvGraphicFramePr>
          <a:graphic>
            <a:graphicData uri="http://schemas.openxmlformats.org/drawingml/2006/picture">
              <pic:pic>
                <pic:nvPicPr>
                  <pic:cNvPr id="538" name="Image 538"/>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57248">
              <wp:simplePos x="0" y="0"/>
              <wp:positionH relativeFrom="page">
                <wp:posOffset>19811</wp:posOffset>
              </wp:positionH>
              <wp:positionV relativeFrom="page">
                <wp:posOffset>784860</wp:posOffset>
              </wp:positionV>
              <wp:extent cx="7522845" cy="1270"/>
              <wp:effectExtent l="0" t="0" r="0" b="0"/>
              <wp:wrapNone/>
              <wp:docPr id="539" name="Graphic 539"/>
              <wp:cNvGraphicFramePr>
                <a:graphicFrameLocks/>
              </wp:cNvGraphicFramePr>
              <a:graphic>
                <a:graphicData uri="http://schemas.microsoft.com/office/word/2010/wordprocessingShape">
                  <wps:wsp>
                    <wps:cNvPr id="539" name="Graphic 539"/>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59232"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57760">
              <wp:simplePos x="0" y="0"/>
              <wp:positionH relativeFrom="page">
                <wp:posOffset>1913686</wp:posOffset>
              </wp:positionH>
              <wp:positionV relativeFrom="page">
                <wp:posOffset>457045</wp:posOffset>
              </wp:positionV>
              <wp:extent cx="3968115" cy="167005"/>
              <wp:effectExtent l="0" t="0" r="0" b="0"/>
              <wp:wrapNone/>
              <wp:docPr id="540" name="Textbox 540"/>
              <wp:cNvGraphicFramePr>
                <a:graphicFrameLocks/>
              </wp:cNvGraphicFramePr>
              <a:graphic>
                <a:graphicData uri="http://schemas.microsoft.com/office/word/2010/wordprocessingShape">
                  <wps:wsp>
                    <wps:cNvPr id="540" name="Textbox 540"/>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958720" type="#_x0000_t202" id="docshape458"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5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61856">
          <wp:simplePos x="0" y="0"/>
          <wp:positionH relativeFrom="page">
            <wp:posOffset>294131</wp:posOffset>
          </wp:positionH>
          <wp:positionV relativeFrom="page">
            <wp:posOffset>199558</wp:posOffset>
          </wp:positionV>
          <wp:extent cx="1316736" cy="364481"/>
          <wp:effectExtent l="0" t="0" r="0" b="0"/>
          <wp:wrapNone/>
          <wp:docPr id="566" name="Image 566"/>
          <wp:cNvGraphicFramePr>
            <a:graphicFrameLocks/>
          </wp:cNvGraphicFramePr>
          <a:graphic>
            <a:graphicData uri="http://schemas.openxmlformats.org/drawingml/2006/picture">
              <pic:pic>
                <pic:nvPicPr>
                  <pic:cNvPr id="566" name="Image 566"/>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62368">
              <wp:simplePos x="0" y="0"/>
              <wp:positionH relativeFrom="page">
                <wp:posOffset>19811</wp:posOffset>
              </wp:positionH>
              <wp:positionV relativeFrom="page">
                <wp:posOffset>784860</wp:posOffset>
              </wp:positionV>
              <wp:extent cx="7522845" cy="1270"/>
              <wp:effectExtent l="0" t="0" r="0" b="0"/>
              <wp:wrapNone/>
              <wp:docPr id="567" name="Graphic 567"/>
              <wp:cNvGraphicFramePr>
                <a:graphicFrameLocks/>
              </wp:cNvGraphicFramePr>
              <a:graphic>
                <a:graphicData uri="http://schemas.microsoft.com/office/word/2010/wordprocessingShape">
                  <wps:wsp>
                    <wps:cNvPr id="567" name="Graphic 567"/>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54112"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62880">
              <wp:simplePos x="0" y="0"/>
              <wp:positionH relativeFrom="page">
                <wp:posOffset>1913686</wp:posOffset>
              </wp:positionH>
              <wp:positionV relativeFrom="page">
                <wp:posOffset>457045</wp:posOffset>
              </wp:positionV>
              <wp:extent cx="3968115" cy="167005"/>
              <wp:effectExtent l="0" t="0" r="0" b="0"/>
              <wp:wrapNone/>
              <wp:docPr id="568" name="Textbox 568"/>
              <wp:cNvGraphicFramePr>
                <a:graphicFrameLocks/>
              </wp:cNvGraphicFramePr>
              <a:graphic>
                <a:graphicData uri="http://schemas.microsoft.com/office/word/2010/wordprocessingShape">
                  <wps:wsp>
                    <wps:cNvPr id="568" name="Textbox 568"/>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953600" type="#_x0000_t202" id="docshape480"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70720">
          <wp:simplePos x="0" y="0"/>
          <wp:positionH relativeFrom="page">
            <wp:posOffset>5068570</wp:posOffset>
          </wp:positionH>
          <wp:positionV relativeFrom="page">
            <wp:posOffset>790955</wp:posOffset>
          </wp:positionV>
          <wp:extent cx="1767204" cy="99695"/>
          <wp:effectExtent l="0" t="0" r="0" b="0"/>
          <wp:wrapNone/>
          <wp:docPr id="14" name="Image 14"/>
          <wp:cNvGraphicFramePr>
            <a:graphicFrameLocks/>
          </wp:cNvGraphicFramePr>
          <a:graphic>
            <a:graphicData uri="http://schemas.openxmlformats.org/drawingml/2006/picture">
              <pic:pic>
                <pic:nvPicPr>
                  <pic:cNvPr id="14" name="Image 14"/>
                  <pic:cNvPicPr/>
                </pic:nvPicPr>
                <pic:blipFill>
                  <a:blip r:embed="rId1" cstate="print"/>
                  <a:stretch>
                    <a:fillRect/>
                  </a:stretch>
                </pic:blipFill>
                <pic:spPr>
                  <a:xfrm>
                    <a:off x="0" y="0"/>
                    <a:ext cx="1767204" cy="99695"/>
                  </a:xfrm>
                  <a:prstGeom prst="rect">
                    <a:avLst/>
                  </a:prstGeom>
                </pic:spPr>
              </pic:pic>
            </a:graphicData>
          </a:graphic>
        </wp:anchor>
      </w:drawing>
    </w:r>
  </w:p>
</w:hdr>
</file>

<file path=word/header6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63392">
          <wp:simplePos x="0" y="0"/>
          <wp:positionH relativeFrom="page">
            <wp:posOffset>294131</wp:posOffset>
          </wp:positionH>
          <wp:positionV relativeFrom="page">
            <wp:posOffset>199558</wp:posOffset>
          </wp:positionV>
          <wp:extent cx="1316736" cy="364481"/>
          <wp:effectExtent l="0" t="0" r="0" b="0"/>
          <wp:wrapNone/>
          <wp:docPr id="569" name="Image 569"/>
          <wp:cNvGraphicFramePr>
            <a:graphicFrameLocks/>
          </wp:cNvGraphicFramePr>
          <a:graphic>
            <a:graphicData uri="http://schemas.openxmlformats.org/drawingml/2006/picture">
              <pic:pic>
                <pic:nvPicPr>
                  <pic:cNvPr id="569" name="Image 569"/>
                  <pic:cNvPicPr/>
                </pic:nvPicPr>
                <pic:blipFill>
                  <a:blip r:embed="rId1" cstate="print"/>
                  <a:stretch>
                    <a:fillRect/>
                  </a:stretch>
                </pic:blipFill>
                <pic:spPr>
                  <a:xfrm>
                    <a:off x="0" y="0"/>
                    <a:ext cx="1316736" cy="36448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63904">
              <wp:simplePos x="0" y="0"/>
              <wp:positionH relativeFrom="page">
                <wp:posOffset>19811</wp:posOffset>
              </wp:positionH>
              <wp:positionV relativeFrom="page">
                <wp:posOffset>784860</wp:posOffset>
              </wp:positionV>
              <wp:extent cx="7522845" cy="1270"/>
              <wp:effectExtent l="0" t="0" r="0" b="0"/>
              <wp:wrapNone/>
              <wp:docPr id="570" name="Graphic 570"/>
              <wp:cNvGraphicFramePr>
                <a:graphicFrameLocks/>
              </wp:cNvGraphicFramePr>
              <a:graphic>
                <a:graphicData uri="http://schemas.microsoft.com/office/word/2010/wordprocessingShape">
                  <wps:wsp>
                    <wps:cNvPr id="570" name="Graphic 570"/>
                    <wps:cNvSpPr/>
                    <wps:spPr>
                      <a:xfrm>
                        <a:off x="0" y="0"/>
                        <a:ext cx="7522845" cy="1270"/>
                      </a:xfrm>
                      <a:custGeom>
                        <a:avLst/>
                        <a:gdLst/>
                        <a:ahLst/>
                        <a:cxnLst/>
                        <a:rect l="l" t="t" r="r" b="b"/>
                        <a:pathLst>
                          <a:path w="7522845" h="0">
                            <a:moveTo>
                              <a:pt x="0" y="0"/>
                            </a:moveTo>
                            <a:lnTo>
                              <a:pt x="7522463" y="0"/>
                            </a:lnTo>
                          </a:path>
                        </a:pathLst>
                      </a:custGeom>
                      <a:ln w="7619">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8952576" from="1.56pt,61.800014pt" to="593.879987pt,61.800014pt" stroked="true" strokeweight=".6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74364416">
              <wp:simplePos x="0" y="0"/>
              <wp:positionH relativeFrom="page">
                <wp:posOffset>1913686</wp:posOffset>
              </wp:positionH>
              <wp:positionV relativeFrom="page">
                <wp:posOffset>457045</wp:posOffset>
              </wp:positionV>
              <wp:extent cx="3968115" cy="167005"/>
              <wp:effectExtent l="0" t="0" r="0" b="0"/>
              <wp:wrapNone/>
              <wp:docPr id="571" name="Textbox 571"/>
              <wp:cNvGraphicFramePr>
                <a:graphicFrameLocks/>
              </wp:cNvGraphicFramePr>
              <a:graphic>
                <a:graphicData uri="http://schemas.microsoft.com/office/word/2010/wordprocessingShape">
                  <wps:wsp>
                    <wps:cNvPr id="571" name="Textbox 571"/>
                    <wps:cNvSpPr txBox="1"/>
                    <wps:spPr>
                      <a:xfrm>
                        <a:off x="0" y="0"/>
                        <a:ext cx="3968115" cy="167005"/>
                      </a:xfrm>
                      <a:prstGeom prst="rect">
                        <a:avLst/>
                      </a:prstGeom>
                    </wps:spPr>
                    <wps:txbx>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wps:txbx>
                    <wps:bodyPr wrap="square" lIns="0" tIns="0" rIns="0" bIns="0" rtlCol="0">
                      <a:noAutofit/>
                    </wps:bodyPr>
                  </wps:wsp>
                </a:graphicData>
              </a:graphic>
            </wp:anchor>
          </w:drawing>
        </mc:Choice>
        <mc:Fallback>
          <w:pict>
            <v:shape style="position:absolute;margin-left:150.684006pt;margin-top:35.987827pt;width:312.45pt;height:13.15pt;mso-position-horizontal-relative:page;mso-position-vertical-relative:page;z-index:-28952064" type="#_x0000_t202" id="docshape481" filled="false" stroked="false">
              <v:textbox inset="0,0,0,0">
                <w:txbxContent>
                  <w:p>
                    <w:pPr>
                      <w:spacing w:before="12"/>
                      <w:ind w:left="20" w:right="0" w:firstLine="0"/>
                      <w:jc w:val="left"/>
                      <w:rPr>
                        <w:sz w:val="20"/>
                      </w:rPr>
                    </w:pPr>
                    <w:r>
                      <w:rPr>
                        <w:sz w:val="20"/>
                      </w:rPr>
                      <w:t>Justificante</w:t>
                    </w:r>
                    <w:r>
                      <w:rPr>
                        <w:spacing w:val="-10"/>
                        <w:sz w:val="20"/>
                      </w:rPr>
                      <w:t> </w:t>
                    </w:r>
                    <w:r>
                      <w:rPr>
                        <w:sz w:val="20"/>
                      </w:rPr>
                      <w:t>de</w:t>
                    </w:r>
                    <w:r>
                      <w:rPr>
                        <w:spacing w:val="-9"/>
                        <w:sz w:val="20"/>
                      </w:rPr>
                      <w:t> </w:t>
                    </w:r>
                    <w:r>
                      <w:rPr>
                        <w:sz w:val="20"/>
                      </w:rPr>
                      <w:t>registro</w:t>
                    </w:r>
                    <w:r>
                      <w:rPr>
                        <w:spacing w:val="-9"/>
                        <w:sz w:val="20"/>
                      </w:rPr>
                      <w:t> </w:t>
                    </w:r>
                    <w:r>
                      <w:rPr>
                        <w:sz w:val="20"/>
                      </w:rPr>
                      <w:t>de</w:t>
                    </w:r>
                    <w:r>
                      <w:rPr>
                        <w:spacing w:val="-9"/>
                        <w:sz w:val="20"/>
                      </w:rPr>
                      <w:t> </w:t>
                    </w:r>
                    <w:r>
                      <w:rPr>
                        <w:sz w:val="20"/>
                      </w:rPr>
                      <w:t>la</w:t>
                    </w:r>
                    <w:r>
                      <w:rPr>
                        <w:spacing w:val="-10"/>
                        <w:sz w:val="20"/>
                      </w:rPr>
                      <w:t> </w:t>
                    </w:r>
                    <w:r>
                      <w:rPr>
                        <w:sz w:val="20"/>
                      </w:rPr>
                      <w:t>Sede</w:t>
                    </w:r>
                    <w:r>
                      <w:rPr>
                        <w:spacing w:val="-7"/>
                        <w:sz w:val="20"/>
                      </w:rPr>
                      <w:t> </w:t>
                    </w:r>
                    <w:r>
                      <w:rPr>
                        <w:sz w:val="20"/>
                      </w:rPr>
                      <w:t>Electrónica</w:t>
                    </w:r>
                    <w:r>
                      <w:rPr>
                        <w:spacing w:val="-10"/>
                        <w:sz w:val="20"/>
                      </w:rPr>
                      <w:t> </w:t>
                    </w:r>
                    <w:r>
                      <w:rPr>
                        <w:sz w:val="20"/>
                      </w:rPr>
                      <w:t>del</w:t>
                    </w:r>
                    <w:r>
                      <w:rPr>
                        <w:spacing w:val="-11"/>
                        <w:sz w:val="20"/>
                      </w:rPr>
                      <w:t> </w:t>
                    </w:r>
                    <w:r>
                      <w:rPr>
                        <w:sz w:val="20"/>
                      </w:rPr>
                      <w:t>Tribunal</w:t>
                    </w:r>
                    <w:r>
                      <w:rPr>
                        <w:spacing w:val="-10"/>
                        <w:sz w:val="20"/>
                      </w:rPr>
                      <w:t> </w:t>
                    </w:r>
                    <w:r>
                      <w:rPr>
                        <w:sz w:val="20"/>
                      </w:rPr>
                      <w:t>de</w:t>
                    </w:r>
                    <w:r>
                      <w:rPr>
                        <w:spacing w:val="-9"/>
                        <w:sz w:val="20"/>
                      </w:rPr>
                      <w:t> </w:t>
                    </w:r>
                    <w:r>
                      <w:rPr>
                        <w:spacing w:val="-2"/>
                        <w:sz w:val="20"/>
                      </w:rPr>
                      <w:t>Cuentas</w:t>
                    </w:r>
                  </w:p>
                </w:txbxContent>
              </v:textbox>
              <w10:wrap type="none"/>
            </v:shape>
          </w:pict>
        </mc:Fallback>
      </mc:AlternateContent>
    </w:r>
  </w:p>
</w:hdr>
</file>

<file path=word/header6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6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6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65952">
          <wp:simplePos x="0" y="0"/>
          <wp:positionH relativeFrom="page">
            <wp:posOffset>4315967</wp:posOffset>
          </wp:positionH>
          <wp:positionV relativeFrom="page">
            <wp:posOffset>525780</wp:posOffset>
          </wp:positionV>
          <wp:extent cx="316991" cy="70104"/>
          <wp:effectExtent l="0" t="0" r="0" b="0"/>
          <wp:wrapNone/>
          <wp:docPr id="584" name="Image 584"/>
          <wp:cNvGraphicFramePr>
            <a:graphicFrameLocks/>
          </wp:cNvGraphicFramePr>
          <a:graphic>
            <a:graphicData uri="http://schemas.openxmlformats.org/drawingml/2006/picture">
              <pic:pic>
                <pic:nvPicPr>
                  <pic:cNvPr id="584" name="Image 584"/>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66464">
              <wp:simplePos x="0" y="0"/>
              <wp:positionH relativeFrom="page">
                <wp:posOffset>5480303</wp:posOffset>
              </wp:positionH>
              <wp:positionV relativeFrom="page">
                <wp:posOffset>525780</wp:posOffset>
              </wp:positionV>
              <wp:extent cx="6350" cy="439420"/>
              <wp:effectExtent l="0" t="0" r="0" b="0"/>
              <wp:wrapNone/>
              <wp:docPr id="585" name="Graphic 585"/>
              <wp:cNvGraphicFramePr>
                <a:graphicFrameLocks/>
              </wp:cNvGraphicFramePr>
              <a:graphic>
                <a:graphicData uri="http://schemas.microsoft.com/office/word/2010/wordprocessingShape">
                  <wps:wsp>
                    <wps:cNvPr id="585" name="Graphic 585"/>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50016" id="docshape491" filled="true" fillcolor="#00587c" stroked="false">
              <v:fill type="solid"/>
              <w10:wrap type="none"/>
            </v:rect>
          </w:pict>
        </mc:Fallback>
      </mc:AlternateContent>
    </w:r>
    <w:r>
      <w:rPr>
        <w:sz w:val="20"/>
      </w:rPr>
      <w:drawing>
        <wp:anchor distT="0" distB="0" distL="0" distR="0" allowOverlap="1" layoutInCell="1" locked="0" behindDoc="1" simplePos="0" relativeHeight="474366976">
          <wp:simplePos x="0" y="0"/>
          <wp:positionH relativeFrom="page">
            <wp:posOffset>4721352</wp:posOffset>
          </wp:positionH>
          <wp:positionV relativeFrom="page">
            <wp:posOffset>612648</wp:posOffset>
          </wp:positionV>
          <wp:extent cx="681227" cy="292607"/>
          <wp:effectExtent l="0" t="0" r="0" b="0"/>
          <wp:wrapNone/>
          <wp:docPr id="586" name="Image 586"/>
          <wp:cNvGraphicFramePr>
            <a:graphicFrameLocks/>
          </wp:cNvGraphicFramePr>
          <a:graphic>
            <a:graphicData uri="http://schemas.openxmlformats.org/drawingml/2006/picture">
              <pic:pic>
                <pic:nvPicPr>
                  <pic:cNvPr id="586" name="Image 586"/>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67488">
              <wp:simplePos x="0" y="0"/>
              <wp:positionH relativeFrom="page">
                <wp:posOffset>4315967</wp:posOffset>
              </wp:positionH>
              <wp:positionV relativeFrom="page">
                <wp:posOffset>615696</wp:posOffset>
              </wp:positionV>
              <wp:extent cx="315595" cy="349250"/>
              <wp:effectExtent l="0" t="0" r="0" b="0"/>
              <wp:wrapNone/>
              <wp:docPr id="587" name="Group 587"/>
              <wp:cNvGraphicFramePr>
                <a:graphicFrameLocks/>
              </wp:cNvGraphicFramePr>
              <a:graphic>
                <a:graphicData uri="http://schemas.microsoft.com/office/word/2010/wordprocessingGroup">
                  <wpg:wgp>
                    <wpg:cNvPr id="587" name="Group 587"/>
                    <wpg:cNvGrpSpPr/>
                    <wpg:grpSpPr>
                      <a:xfrm>
                        <a:off x="0" y="0"/>
                        <a:ext cx="315595" cy="349250"/>
                        <a:chExt cx="315595" cy="349250"/>
                      </a:xfrm>
                    </wpg:grpSpPr>
                    <wps:wsp>
                      <wps:cNvPr id="588" name="Graphic 588"/>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589" name="Image 589"/>
                        <pic:cNvPicPr/>
                      </pic:nvPicPr>
                      <pic:blipFill>
                        <a:blip r:embed="rId3" cstate="print"/>
                        <a:stretch>
                          <a:fillRect/>
                        </a:stretch>
                      </pic:blipFill>
                      <pic:spPr>
                        <a:xfrm>
                          <a:off x="39623" y="182618"/>
                          <a:ext cx="236220" cy="125102"/>
                        </a:xfrm>
                        <a:prstGeom prst="rect">
                          <a:avLst/>
                        </a:prstGeom>
                      </pic:spPr>
                    </pic:pic>
                    <wps:wsp>
                      <wps:cNvPr id="590" name="Graphic 590"/>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48992" id="docshapegroup492" coordorigin="6797,970" coordsize="497,550">
              <v:shape style="position:absolute;left:6859;top:1032;width:312;height:190" id="docshape49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494" stroked="false">
                <v:imagedata r:id="rId3" o:title=""/>
              </v:shape>
              <v:shape style="position:absolute;left:6796;top:969;width:497;height:550" id="docshape49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68000">
              <wp:simplePos x="0" y="0"/>
              <wp:positionH relativeFrom="page">
                <wp:posOffset>5571744</wp:posOffset>
              </wp:positionH>
              <wp:positionV relativeFrom="page">
                <wp:posOffset>704088</wp:posOffset>
              </wp:positionV>
              <wp:extent cx="608330" cy="76200"/>
              <wp:effectExtent l="0" t="0" r="0" b="0"/>
              <wp:wrapNone/>
              <wp:docPr id="591" name="Graphic 591"/>
              <wp:cNvGraphicFramePr>
                <a:graphicFrameLocks/>
              </wp:cNvGraphicFramePr>
              <a:graphic>
                <a:graphicData uri="http://schemas.microsoft.com/office/word/2010/wordprocessingShape">
                  <wps:wsp>
                    <wps:cNvPr id="591" name="Graphic 591"/>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48480" id="docshape49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6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68512">
          <wp:simplePos x="0" y="0"/>
          <wp:positionH relativeFrom="page">
            <wp:posOffset>4315967</wp:posOffset>
          </wp:positionH>
          <wp:positionV relativeFrom="page">
            <wp:posOffset>525780</wp:posOffset>
          </wp:positionV>
          <wp:extent cx="316991" cy="70104"/>
          <wp:effectExtent l="0" t="0" r="0" b="0"/>
          <wp:wrapNone/>
          <wp:docPr id="592" name="Image 592"/>
          <wp:cNvGraphicFramePr>
            <a:graphicFrameLocks/>
          </wp:cNvGraphicFramePr>
          <a:graphic>
            <a:graphicData uri="http://schemas.openxmlformats.org/drawingml/2006/picture">
              <pic:pic>
                <pic:nvPicPr>
                  <pic:cNvPr id="592" name="Image 592"/>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69024">
              <wp:simplePos x="0" y="0"/>
              <wp:positionH relativeFrom="page">
                <wp:posOffset>5480303</wp:posOffset>
              </wp:positionH>
              <wp:positionV relativeFrom="page">
                <wp:posOffset>525780</wp:posOffset>
              </wp:positionV>
              <wp:extent cx="6350" cy="439420"/>
              <wp:effectExtent l="0" t="0" r="0" b="0"/>
              <wp:wrapNone/>
              <wp:docPr id="593" name="Graphic 593"/>
              <wp:cNvGraphicFramePr>
                <a:graphicFrameLocks/>
              </wp:cNvGraphicFramePr>
              <a:graphic>
                <a:graphicData uri="http://schemas.microsoft.com/office/word/2010/wordprocessingShape">
                  <wps:wsp>
                    <wps:cNvPr id="593" name="Graphic 593"/>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47456" id="docshape497" filled="true" fillcolor="#00587c" stroked="false">
              <v:fill type="solid"/>
              <w10:wrap type="none"/>
            </v:rect>
          </w:pict>
        </mc:Fallback>
      </mc:AlternateContent>
    </w:r>
    <w:r>
      <w:rPr>
        <w:sz w:val="20"/>
      </w:rPr>
      <w:drawing>
        <wp:anchor distT="0" distB="0" distL="0" distR="0" allowOverlap="1" layoutInCell="1" locked="0" behindDoc="1" simplePos="0" relativeHeight="474369536">
          <wp:simplePos x="0" y="0"/>
          <wp:positionH relativeFrom="page">
            <wp:posOffset>4721352</wp:posOffset>
          </wp:positionH>
          <wp:positionV relativeFrom="page">
            <wp:posOffset>612648</wp:posOffset>
          </wp:positionV>
          <wp:extent cx="681227" cy="292607"/>
          <wp:effectExtent l="0" t="0" r="0" b="0"/>
          <wp:wrapNone/>
          <wp:docPr id="594" name="Image 594"/>
          <wp:cNvGraphicFramePr>
            <a:graphicFrameLocks/>
          </wp:cNvGraphicFramePr>
          <a:graphic>
            <a:graphicData uri="http://schemas.openxmlformats.org/drawingml/2006/picture">
              <pic:pic>
                <pic:nvPicPr>
                  <pic:cNvPr id="594" name="Image 594"/>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70048">
              <wp:simplePos x="0" y="0"/>
              <wp:positionH relativeFrom="page">
                <wp:posOffset>4315967</wp:posOffset>
              </wp:positionH>
              <wp:positionV relativeFrom="page">
                <wp:posOffset>615696</wp:posOffset>
              </wp:positionV>
              <wp:extent cx="315595" cy="349250"/>
              <wp:effectExtent l="0" t="0" r="0" b="0"/>
              <wp:wrapNone/>
              <wp:docPr id="595" name="Group 595"/>
              <wp:cNvGraphicFramePr>
                <a:graphicFrameLocks/>
              </wp:cNvGraphicFramePr>
              <a:graphic>
                <a:graphicData uri="http://schemas.microsoft.com/office/word/2010/wordprocessingGroup">
                  <wpg:wgp>
                    <wpg:cNvPr id="595" name="Group 595"/>
                    <wpg:cNvGrpSpPr/>
                    <wpg:grpSpPr>
                      <a:xfrm>
                        <a:off x="0" y="0"/>
                        <a:ext cx="315595" cy="349250"/>
                        <a:chExt cx="315595" cy="349250"/>
                      </a:xfrm>
                    </wpg:grpSpPr>
                    <wps:wsp>
                      <wps:cNvPr id="596" name="Graphic 596"/>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597" name="Image 597"/>
                        <pic:cNvPicPr/>
                      </pic:nvPicPr>
                      <pic:blipFill>
                        <a:blip r:embed="rId3" cstate="print"/>
                        <a:stretch>
                          <a:fillRect/>
                        </a:stretch>
                      </pic:blipFill>
                      <pic:spPr>
                        <a:xfrm>
                          <a:off x="39623" y="182618"/>
                          <a:ext cx="236220" cy="125102"/>
                        </a:xfrm>
                        <a:prstGeom prst="rect">
                          <a:avLst/>
                        </a:prstGeom>
                      </pic:spPr>
                    </pic:pic>
                    <wps:wsp>
                      <wps:cNvPr id="598" name="Graphic 598"/>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46432" id="docshapegroup498" coordorigin="6797,970" coordsize="497,550">
              <v:shape style="position:absolute;left:6859;top:1032;width:312;height:190" id="docshape499"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500" stroked="false">
                <v:imagedata r:id="rId3" o:title=""/>
              </v:shape>
              <v:shape style="position:absolute;left:6796;top:969;width:497;height:550" id="docshape501"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70560">
              <wp:simplePos x="0" y="0"/>
              <wp:positionH relativeFrom="page">
                <wp:posOffset>5571744</wp:posOffset>
              </wp:positionH>
              <wp:positionV relativeFrom="page">
                <wp:posOffset>704088</wp:posOffset>
              </wp:positionV>
              <wp:extent cx="608330" cy="76200"/>
              <wp:effectExtent l="0" t="0" r="0" b="0"/>
              <wp:wrapNone/>
              <wp:docPr id="599" name="Graphic 599"/>
              <wp:cNvGraphicFramePr>
                <a:graphicFrameLocks/>
              </wp:cNvGraphicFramePr>
              <a:graphic>
                <a:graphicData uri="http://schemas.microsoft.com/office/word/2010/wordprocessingShape">
                  <wps:wsp>
                    <wps:cNvPr id="599" name="Graphic 599"/>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45920" id="docshape502"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6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71072">
          <wp:simplePos x="0" y="0"/>
          <wp:positionH relativeFrom="page">
            <wp:posOffset>4315967</wp:posOffset>
          </wp:positionH>
          <wp:positionV relativeFrom="page">
            <wp:posOffset>525780</wp:posOffset>
          </wp:positionV>
          <wp:extent cx="316991" cy="70104"/>
          <wp:effectExtent l="0" t="0" r="0" b="0"/>
          <wp:wrapNone/>
          <wp:docPr id="626" name="Image 626"/>
          <wp:cNvGraphicFramePr>
            <a:graphicFrameLocks/>
          </wp:cNvGraphicFramePr>
          <a:graphic>
            <a:graphicData uri="http://schemas.openxmlformats.org/drawingml/2006/picture">
              <pic:pic>
                <pic:nvPicPr>
                  <pic:cNvPr id="626" name="Image 626"/>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71584">
              <wp:simplePos x="0" y="0"/>
              <wp:positionH relativeFrom="page">
                <wp:posOffset>5480303</wp:posOffset>
              </wp:positionH>
              <wp:positionV relativeFrom="page">
                <wp:posOffset>525780</wp:posOffset>
              </wp:positionV>
              <wp:extent cx="6350" cy="439420"/>
              <wp:effectExtent l="0" t="0" r="0" b="0"/>
              <wp:wrapNone/>
              <wp:docPr id="627" name="Graphic 627"/>
              <wp:cNvGraphicFramePr>
                <a:graphicFrameLocks/>
              </wp:cNvGraphicFramePr>
              <a:graphic>
                <a:graphicData uri="http://schemas.microsoft.com/office/word/2010/wordprocessingShape">
                  <wps:wsp>
                    <wps:cNvPr id="627" name="Graphic 627"/>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44896" id="docshape516" filled="true" fillcolor="#00587c" stroked="false">
              <v:fill type="solid"/>
              <w10:wrap type="none"/>
            </v:rect>
          </w:pict>
        </mc:Fallback>
      </mc:AlternateContent>
    </w:r>
    <w:r>
      <w:rPr>
        <w:sz w:val="20"/>
      </w:rPr>
      <w:drawing>
        <wp:anchor distT="0" distB="0" distL="0" distR="0" allowOverlap="1" layoutInCell="1" locked="0" behindDoc="1" simplePos="0" relativeHeight="474372096">
          <wp:simplePos x="0" y="0"/>
          <wp:positionH relativeFrom="page">
            <wp:posOffset>4721352</wp:posOffset>
          </wp:positionH>
          <wp:positionV relativeFrom="page">
            <wp:posOffset>612648</wp:posOffset>
          </wp:positionV>
          <wp:extent cx="681227" cy="292607"/>
          <wp:effectExtent l="0" t="0" r="0" b="0"/>
          <wp:wrapNone/>
          <wp:docPr id="628" name="Image 628"/>
          <wp:cNvGraphicFramePr>
            <a:graphicFrameLocks/>
          </wp:cNvGraphicFramePr>
          <a:graphic>
            <a:graphicData uri="http://schemas.openxmlformats.org/drawingml/2006/picture">
              <pic:pic>
                <pic:nvPicPr>
                  <pic:cNvPr id="628" name="Image 628"/>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72608">
              <wp:simplePos x="0" y="0"/>
              <wp:positionH relativeFrom="page">
                <wp:posOffset>4315967</wp:posOffset>
              </wp:positionH>
              <wp:positionV relativeFrom="page">
                <wp:posOffset>615696</wp:posOffset>
              </wp:positionV>
              <wp:extent cx="315595" cy="349250"/>
              <wp:effectExtent l="0" t="0" r="0" b="0"/>
              <wp:wrapNone/>
              <wp:docPr id="629" name="Group 629"/>
              <wp:cNvGraphicFramePr>
                <a:graphicFrameLocks/>
              </wp:cNvGraphicFramePr>
              <a:graphic>
                <a:graphicData uri="http://schemas.microsoft.com/office/word/2010/wordprocessingGroup">
                  <wpg:wgp>
                    <wpg:cNvPr id="629" name="Group 629"/>
                    <wpg:cNvGrpSpPr/>
                    <wpg:grpSpPr>
                      <a:xfrm>
                        <a:off x="0" y="0"/>
                        <a:ext cx="315595" cy="349250"/>
                        <a:chExt cx="315595" cy="349250"/>
                      </a:xfrm>
                    </wpg:grpSpPr>
                    <wps:wsp>
                      <wps:cNvPr id="630" name="Graphic 630"/>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631" name="Image 631"/>
                        <pic:cNvPicPr/>
                      </pic:nvPicPr>
                      <pic:blipFill>
                        <a:blip r:embed="rId3" cstate="print"/>
                        <a:stretch>
                          <a:fillRect/>
                        </a:stretch>
                      </pic:blipFill>
                      <pic:spPr>
                        <a:xfrm>
                          <a:off x="39623" y="182618"/>
                          <a:ext cx="236220" cy="125102"/>
                        </a:xfrm>
                        <a:prstGeom prst="rect">
                          <a:avLst/>
                        </a:prstGeom>
                      </pic:spPr>
                    </pic:pic>
                    <wps:wsp>
                      <wps:cNvPr id="632" name="Graphic 632"/>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43872" id="docshapegroup517" coordorigin="6797,970" coordsize="497,550">
              <v:shape style="position:absolute;left:6859;top:1032;width:312;height:190" id="docshape518"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519" stroked="false">
                <v:imagedata r:id="rId3" o:title=""/>
              </v:shape>
              <v:shape style="position:absolute;left:6796;top:969;width:497;height:550" id="docshape520"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73120">
              <wp:simplePos x="0" y="0"/>
              <wp:positionH relativeFrom="page">
                <wp:posOffset>5571744</wp:posOffset>
              </wp:positionH>
              <wp:positionV relativeFrom="page">
                <wp:posOffset>704088</wp:posOffset>
              </wp:positionV>
              <wp:extent cx="608330" cy="76200"/>
              <wp:effectExtent l="0" t="0" r="0" b="0"/>
              <wp:wrapNone/>
              <wp:docPr id="633" name="Graphic 633"/>
              <wp:cNvGraphicFramePr>
                <a:graphicFrameLocks/>
              </wp:cNvGraphicFramePr>
              <a:graphic>
                <a:graphicData uri="http://schemas.microsoft.com/office/word/2010/wordprocessingShape">
                  <wps:wsp>
                    <wps:cNvPr id="633" name="Graphic 633"/>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43360" id="docshape521"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6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73632">
          <wp:simplePos x="0" y="0"/>
          <wp:positionH relativeFrom="page">
            <wp:posOffset>4315967</wp:posOffset>
          </wp:positionH>
          <wp:positionV relativeFrom="page">
            <wp:posOffset>525780</wp:posOffset>
          </wp:positionV>
          <wp:extent cx="316991" cy="70104"/>
          <wp:effectExtent l="0" t="0" r="0" b="0"/>
          <wp:wrapNone/>
          <wp:docPr id="634" name="Image 634"/>
          <wp:cNvGraphicFramePr>
            <a:graphicFrameLocks/>
          </wp:cNvGraphicFramePr>
          <a:graphic>
            <a:graphicData uri="http://schemas.openxmlformats.org/drawingml/2006/picture">
              <pic:pic>
                <pic:nvPicPr>
                  <pic:cNvPr id="634" name="Image 634"/>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74144">
              <wp:simplePos x="0" y="0"/>
              <wp:positionH relativeFrom="page">
                <wp:posOffset>5480303</wp:posOffset>
              </wp:positionH>
              <wp:positionV relativeFrom="page">
                <wp:posOffset>525780</wp:posOffset>
              </wp:positionV>
              <wp:extent cx="6350" cy="439420"/>
              <wp:effectExtent l="0" t="0" r="0" b="0"/>
              <wp:wrapNone/>
              <wp:docPr id="635" name="Graphic 635"/>
              <wp:cNvGraphicFramePr>
                <a:graphicFrameLocks/>
              </wp:cNvGraphicFramePr>
              <a:graphic>
                <a:graphicData uri="http://schemas.microsoft.com/office/word/2010/wordprocessingShape">
                  <wps:wsp>
                    <wps:cNvPr id="635" name="Graphic 635"/>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42336" id="docshape522" filled="true" fillcolor="#00587c" stroked="false">
              <v:fill type="solid"/>
              <w10:wrap type="none"/>
            </v:rect>
          </w:pict>
        </mc:Fallback>
      </mc:AlternateContent>
    </w:r>
    <w:r>
      <w:rPr>
        <w:sz w:val="20"/>
      </w:rPr>
      <w:drawing>
        <wp:anchor distT="0" distB="0" distL="0" distR="0" allowOverlap="1" layoutInCell="1" locked="0" behindDoc="1" simplePos="0" relativeHeight="474374656">
          <wp:simplePos x="0" y="0"/>
          <wp:positionH relativeFrom="page">
            <wp:posOffset>4721352</wp:posOffset>
          </wp:positionH>
          <wp:positionV relativeFrom="page">
            <wp:posOffset>612648</wp:posOffset>
          </wp:positionV>
          <wp:extent cx="681227" cy="292607"/>
          <wp:effectExtent l="0" t="0" r="0" b="0"/>
          <wp:wrapNone/>
          <wp:docPr id="636" name="Image 636"/>
          <wp:cNvGraphicFramePr>
            <a:graphicFrameLocks/>
          </wp:cNvGraphicFramePr>
          <a:graphic>
            <a:graphicData uri="http://schemas.openxmlformats.org/drawingml/2006/picture">
              <pic:pic>
                <pic:nvPicPr>
                  <pic:cNvPr id="636" name="Image 636"/>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75168">
              <wp:simplePos x="0" y="0"/>
              <wp:positionH relativeFrom="page">
                <wp:posOffset>4315967</wp:posOffset>
              </wp:positionH>
              <wp:positionV relativeFrom="page">
                <wp:posOffset>615696</wp:posOffset>
              </wp:positionV>
              <wp:extent cx="315595" cy="349250"/>
              <wp:effectExtent l="0" t="0" r="0" b="0"/>
              <wp:wrapNone/>
              <wp:docPr id="637" name="Group 637"/>
              <wp:cNvGraphicFramePr>
                <a:graphicFrameLocks/>
              </wp:cNvGraphicFramePr>
              <a:graphic>
                <a:graphicData uri="http://schemas.microsoft.com/office/word/2010/wordprocessingGroup">
                  <wpg:wgp>
                    <wpg:cNvPr id="637" name="Group 637"/>
                    <wpg:cNvGrpSpPr/>
                    <wpg:grpSpPr>
                      <a:xfrm>
                        <a:off x="0" y="0"/>
                        <a:ext cx="315595" cy="349250"/>
                        <a:chExt cx="315595" cy="349250"/>
                      </a:xfrm>
                    </wpg:grpSpPr>
                    <wps:wsp>
                      <wps:cNvPr id="638" name="Graphic 638"/>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639" name="Image 639"/>
                        <pic:cNvPicPr/>
                      </pic:nvPicPr>
                      <pic:blipFill>
                        <a:blip r:embed="rId3" cstate="print"/>
                        <a:stretch>
                          <a:fillRect/>
                        </a:stretch>
                      </pic:blipFill>
                      <pic:spPr>
                        <a:xfrm>
                          <a:off x="39623" y="182618"/>
                          <a:ext cx="236220" cy="125102"/>
                        </a:xfrm>
                        <a:prstGeom prst="rect">
                          <a:avLst/>
                        </a:prstGeom>
                      </pic:spPr>
                    </pic:pic>
                    <wps:wsp>
                      <wps:cNvPr id="640" name="Graphic 640"/>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41312" id="docshapegroup523" coordorigin="6797,970" coordsize="497,550">
              <v:shape style="position:absolute;left:6859;top:1032;width:312;height:190" id="docshape524"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525" stroked="false">
                <v:imagedata r:id="rId3" o:title=""/>
              </v:shape>
              <v:shape style="position:absolute;left:6796;top:969;width:497;height:550" id="docshape526"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75680">
              <wp:simplePos x="0" y="0"/>
              <wp:positionH relativeFrom="page">
                <wp:posOffset>5571744</wp:posOffset>
              </wp:positionH>
              <wp:positionV relativeFrom="page">
                <wp:posOffset>704088</wp:posOffset>
              </wp:positionV>
              <wp:extent cx="608330" cy="76200"/>
              <wp:effectExtent l="0" t="0" r="0" b="0"/>
              <wp:wrapNone/>
              <wp:docPr id="641" name="Graphic 641"/>
              <wp:cNvGraphicFramePr>
                <a:graphicFrameLocks/>
              </wp:cNvGraphicFramePr>
              <a:graphic>
                <a:graphicData uri="http://schemas.microsoft.com/office/word/2010/wordprocessingShape">
                  <wps:wsp>
                    <wps:cNvPr id="641" name="Graphic 641"/>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40800" id="docshape527"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6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76192">
          <wp:simplePos x="0" y="0"/>
          <wp:positionH relativeFrom="page">
            <wp:posOffset>4315967</wp:posOffset>
          </wp:positionH>
          <wp:positionV relativeFrom="page">
            <wp:posOffset>525780</wp:posOffset>
          </wp:positionV>
          <wp:extent cx="316991" cy="70104"/>
          <wp:effectExtent l="0" t="0" r="0" b="0"/>
          <wp:wrapNone/>
          <wp:docPr id="675" name="Image 675"/>
          <wp:cNvGraphicFramePr>
            <a:graphicFrameLocks/>
          </wp:cNvGraphicFramePr>
          <a:graphic>
            <a:graphicData uri="http://schemas.openxmlformats.org/drawingml/2006/picture">
              <pic:pic>
                <pic:nvPicPr>
                  <pic:cNvPr id="675" name="Image 675"/>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76704">
              <wp:simplePos x="0" y="0"/>
              <wp:positionH relativeFrom="page">
                <wp:posOffset>5480303</wp:posOffset>
              </wp:positionH>
              <wp:positionV relativeFrom="page">
                <wp:posOffset>525780</wp:posOffset>
              </wp:positionV>
              <wp:extent cx="6350" cy="439420"/>
              <wp:effectExtent l="0" t="0" r="0" b="0"/>
              <wp:wrapNone/>
              <wp:docPr id="676" name="Graphic 676"/>
              <wp:cNvGraphicFramePr>
                <a:graphicFrameLocks/>
              </wp:cNvGraphicFramePr>
              <a:graphic>
                <a:graphicData uri="http://schemas.microsoft.com/office/word/2010/wordprocessingShape">
                  <wps:wsp>
                    <wps:cNvPr id="676" name="Graphic 676"/>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39776" id="docshape548" filled="true" fillcolor="#00587c" stroked="false">
              <v:fill type="solid"/>
              <w10:wrap type="none"/>
            </v:rect>
          </w:pict>
        </mc:Fallback>
      </mc:AlternateContent>
    </w:r>
    <w:r>
      <w:rPr>
        <w:sz w:val="20"/>
      </w:rPr>
      <w:drawing>
        <wp:anchor distT="0" distB="0" distL="0" distR="0" allowOverlap="1" layoutInCell="1" locked="0" behindDoc="1" simplePos="0" relativeHeight="474377216">
          <wp:simplePos x="0" y="0"/>
          <wp:positionH relativeFrom="page">
            <wp:posOffset>4721352</wp:posOffset>
          </wp:positionH>
          <wp:positionV relativeFrom="page">
            <wp:posOffset>612648</wp:posOffset>
          </wp:positionV>
          <wp:extent cx="681227" cy="292607"/>
          <wp:effectExtent l="0" t="0" r="0" b="0"/>
          <wp:wrapNone/>
          <wp:docPr id="677" name="Image 677"/>
          <wp:cNvGraphicFramePr>
            <a:graphicFrameLocks/>
          </wp:cNvGraphicFramePr>
          <a:graphic>
            <a:graphicData uri="http://schemas.openxmlformats.org/drawingml/2006/picture">
              <pic:pic>
                <pic:nvPicPr>
                  <pic:cNvPr id="677" name="Image 677"/>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77728">
              <wp:simplePos x="0" y="0"/>
              <wp:positionH relativeFrom="page">
                <wp:posOffset>4315967</wp:posOffset>
              </wp:positionH>
              <wp:positionV relativeFrom="page">
                <wp:posOffset>615696</wp:posOffset>
              </wp:positionV>
              <wp:extent cx="315595" cy="349250"/>
              <wp:effectExtent l="0" t="0" r="0" b="0"/>
              <wp:wrapNone/>
              <wp:docPr id="678" name="Group 678"/>
              <wp:cNvGraphicFramePr>
                <a:graphicFrameLocks/>
              </wp:cNvGraphicFramePr>
              <a:graphic>
                <a:graphicData uri="http://schemas.microsoft.com/office/word/2010/wordprocessingGroup">
                  <wpg:wgp>
                    <wpg:cNvPr id="678" name="Group 678"/>
                    <wpg:cNvGrpSpPr/>
                    <wpg:grpSpPr>
                      <a:xfrm>
                        <a:off x="0" y="0"/>
                        <a:ext cx="315595" cy="349250"/>
                        <a:chExt cx="315595" cy="349250"/>
                      </a:xfrm>
                    </wpg:grpSpPr>
                    <wps:wsp>
                      <wps:cNvPr id="679" name="Graphic 679"/>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680" name="Image 680"/>
                        <pic:cNvPicPr/>
                      </pic:nvPicPr>
                      <pic:blipFill>
                        <a:blip r:embed="rId3" cstate="print"/>
                        <a:stretch>
                          <a:fillRect/>
                        </a:stretch>
                      </pic:blipFill>
                      <pic:spPr>
                        <a:xfrm>
                          <a:off x="39623" y="182618"/>
                          <a:ext cx="236220" cy="125102"/>
                        </a:xfrm>
                        <a:prstGeom prst="rect">
                          <a:avLst/>
                        </a:prstGeom>
                      </pic:spPr>
                    </pic:pic>
                    <wps:wsp>
                      <wps:cNvPr id="681" name="Graphic 681"/>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38752" id="docshapegroup549" coordorigin="6797,970" coordsize="497,550">
              <v:shape style="position:absolute;left:6859;top:1032;width:312;height:190" id="docshape550"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551" stroked="false">
                <v:imagedata r:id="rId3" o:title=""/>
              </v:shape>
              <v:shape style="position:absolute;left:6796;top:969;width:497;height:550" id="docshape552"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78240">
              <wp:simplePos x="0" y="0"/>
              <wp:positionH relativeFrom="page">
                <wp:posOffset>5571744</wp:posOffset>
              </wp:positionH>
              <wp:positionV relativeFrom="page">
                <wp:posOffset>704088</wp:posOffset>
              </wp:positionV>
              <wp:extent cx="608330" cy="76200"/>
              <wp:effectExtent l="0" t="0" r="0" b="0"/>
              <wp:wrapNone/>
              <wp:docPr id="682" name="Graphic 682"/>
              <wp:cNvGraphicFramePr>
                <a:graphicFrameLocks/>
              </wp:cNvGraphicFramePr>
              <a:graphic>
                <a:graphicData uri="http://schemas.microsoft.com/office/word/2010/wordprocessingShape">
                  <wps:wsp>
                    <wps:cNvPr id="682" name="Graphic 682"/>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38240" id="docshape553"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6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78752">
          <wp:simplePos x="0" y="0"/>
          <wp:positionH relativeFrom="page">
            <wp:posOffset>4315967</wp:posOffset>
          </wp:positionH>
          <wp:positionV relativeFrom="page">
            <wp:posOffset>525780</wp:posOffset>
          </wp:positionV>
          <wp:extent cx="316991" cy="70104"/>
          <wp:effectExtent l="0" t="0" r="0" b="0"/>
          <wp:wrapNone/>
          <wp:docPr id="683" name="Image 683"/>
          <wp:cNvGraphicFramePr>
            <a:graphicFrameLocks/>
          </wp:cNvGraphicFramePr>
          <a:graphic>
            <a:graphicData uri="http://schemas.openxmlformats.org/drawingml/2006/picture">
              <pic:pic>
                <pic:nvPicPr>
                  <pic:cNvPr id="683" name="Image 68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79264">
              <wp:simplePos x="0" y="0"/>
              <wp:positionH relativeFrom="page">
                <wp:posOffset>5480303</wp:posOffset>
              </wp:positionH>
              <wp:positionV relativeFrom="page">
                <wp:posOffset>525780</wp:posOffset>
              </wp:positionV>
              <wp:extent cx="6350" cy="439420"/>
              <wp:effectExtent l="0" t="0" r="0" b="0"/>
              <wp:wrapNone/>
              <wp:docPr id="684" name="Graphic 684"/>
              <wp:cNvGraphicFramePr>
                <a:graphicFrameLocks/>
              </wp:cNvGraphicFramePr>
              <a:graphic>
                <a:graphicData uri="http://schemas.microsoft.com/office/word/2010/wordprocessingShape">
                  <wps:wsp>
                    <wps:cNvPr id="684" name="Graphic 68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37216" id="docshape554" filled="true" fillcolor="#00587c" stroked="false">
              <v:fill type="solid"/>
              <w10:wrap type="none"/>
            </v:rect>
          </w:pict>
        </mc:Fallback>
      </mc:AlternateContent>
    </w:r>
    <w:r>
      <w:rPr>
        <w:sz w:val="20"/>
      </w:rPr>
      <w:drawing>
        <wp:anchor distT="0" distB="0" distL="0" distR="0" allowOverlap="1" layoutInCell="1" locked="0" behindDoc="1" simplePos="0" relativeHeight="474379776">
          <wp:simplePos x="0" y="0"/>
          <wp:positionH relativeFrom="page">
            <wp:posOffset>4721352</wp:posOffset>
          </wp:positionH>
          <wp:positionV relativeFrom="page">
            <wp:posOffset>612648</wp:posOffset>
          </wp:positionV>
          <wp:extent cx="681227" cy="292607"/>
          <wp:effectExtent l="0" t="0" r="0" b="0"/>
          <wp:wrapNone/>
          <wp:docPr id="685" name="Image 685"/>
          <wp:cNvGraphicFramePr>
            <a:graphicFrameLocks/>
          </wp:cNvGraphicFramePr>
          <a:graphic>
            <a:graphicData uri="http://schemas.openxmlformats.org/drawingml/2006/picture">
              <pic:pic>
                <pic:nvPicPr>
                  <pic:cNvPr id="685" name="Image 68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80288">
              <wp:simplePos x="0" y="0"/>
              <wp:positionH relativeFrom="page">
                <wp:posOffset>4315967</wp:posOffset>
              </wp:positionH>
              <wp:positionV relativeFrom="page">
                <wp:posOffset>615696</wp:posOffset>
              </wp:positionV>
              <wp:extent cx="315595" cy="349250"/>
              <wp:effectExtent l="0" t="0" r="0" b="0"/>
              <wp:wrapNone/>
              <wp:docPr id="686" name="Group 686"/>
              <wp:cNvGraphicFramePr>
                <a:graphicFrameLocks/>
              </wp:cNvGraphicFramePr>
              <a:graphic>
                <a:graphicData uri="http://schemas.microsoft.com/office/word/2010/wordprocessingGroup">
                  <wpg:wgp>
                    <wpg:cNvPr id="686" name="Group 686"/>
                    <wpg:cNvGrpSpPr/>
                    <wpg:grpSpPr>
                      <a:xfrm>
                        <a:off x="0" y="0"/>
                        <a:ext cx="315595" cy="349250"/>
                        <a:chExt cx="315595" cy="349250"/>
                      </a:xfrm>
                    </wpg:grpSpPr>
                    <wps:wsp>
                      <wps:cNvPr id="687" name="Graphic 68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688" name="Image 688"/>
                        <pic:cNvPicPr/>
                      </pic:nvPicPr>
                      <pic:blipFill>
                        <a:blip r:embed="rId3" cstate="print"/>
                        <a:stretch>
                          <a:fillRect/>
                        </a:stretch>
                      </pic:blipFill>
                      <pic:spPr>
                        <a:xfrm>
                          <a:off x="39623" y="182618"/>
                          <a:ext cx="236220" cy="125102"/>
                        </a:xfrm>
                        <a:prstGeom prst="rect">
                          <a:avLst/>
                        </a:prstGeom>
                      </pic:spPr>
                    </pic:pic>
                    <wps:wsp>
                      <wps:cNvPr id="689" name="Graphic 68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36192" id="docshapegroup555" coordorigin="6797,970" coordsize="497,550">
              <v:shape style="position:absolute;left:6859;top:1032;width:312;height:190" id="docshape556"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557" stroked="false">
                <v:imagedata r:id="rId3" o:title=""/>
              </v:shape>
              <v:shape style="position:absolute;left:6796;top:969;width:497;height:550" id="docshape558"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80800">
              <wp:simplePos x="0" y="0"/>
              <wp:positionH relativeFrom="page">
                <wp:posOffset>5571744</wp:posOffset>
              </wp:positionH>
              <wp:positionV relativeFrom="page">
                <wp:posOffset>704088</wp:posOffset>
              </wp:positionV>
              <wp:extent cx="608330" cy="76200"/>
              <wp:effectExtent l="0" t="0" r="0" b="0"/>
              <wp:wrapNone/>
              <wp:docPr id="690" name="Graphic 690"/>
              <wp:cNvGraphicFramePr>
                <a:graphicFrameLocks/>
              </wp:cNvGraphicFramePr>
              <a:graphic>
                <a:graphicData uri="http://schemas.microsoft.com/office/word/2010/wordprocessingShape">
                  <wps:wsp>
                    <wps:cNvPr id="690" name="Graphic 69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35680" id="docshape559"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6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81312">
          <wp:simplePos x="0" y="0"/>
          <wp:positionH relativeFrom="page">
            <wp:posOffset>4315967</wp:posOffset>
          </wp:positionH>
          <wp:positionV relativeFrom="page">
            <wp:posOffset>525780</wp:posOffset>
          </wp:positionV>
          <wp:extent cx="316991" cy="70104"/>
          <wp:effectExtent l="0" t="0" r="0" b="0"/>
          <wp:wrapNone/>
          <wp:docPr id="715" name="Image 715"/>
          <wp:cNvGraphicFramePr>
            <a:graphicFrameLocks/>
          </wp:cNvGraphicFramePr>
          <a:graphic>
            <a:graphicData uri="http://schemas.openxmlformats.org/drawingml/2006/picture">
              <pic:pic>
                <pic:nvPicPr>
                  <pic:cNvPr id="715" name="Image 715"/>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81824">
              <wp:simplePos x="0" y="0"/>
              <wp:positionH relativeFrom="page">
                <wp:posOffset>5480303</wp:posOffset>
              </wp:positionH>
              <wp:positionV relativeFrom="page">
                <wp:posOffset>525780</wp:posOffset>
              </wp:positionV>
              <wp:extent cx="6350" cy="439420"/>
              <wp:effectExtent l="0" t="0" r="0" b="0"/>
              <wp:wrapNone/>
              <wp:docPr id="716" name="Graphic 716"/>
              <wp:cNvGraphicFramePr>
                <a:graphicFrameLocks/>
              </wp:cNvGraphicFramePr>
              <a:graphic>
                <a:graphicData uri="http://schemas.microsoft.com/office/word/2010/wordprocessingShape">
                  <wps:wsp>
                    <wps:cNvPr id="716" name="Graphic 716"/>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34656" id="docshape571" filled="true" fillcolor="#00587c" stroked="false">
              <v:fill type="solid"/>
              <w10:wrap type="none"/>
            </v:rect>
          </w:pict>
        </mc:Fallback>
      </mc:AlternateContent>
    </w:r>
    <w:r>
      <w:rPr>
        <w:sz w:val="20"/>
      </w:rPr>
      <w:drawing>
        <wp:anchor distT="0" distB="0" distL="0" distR="0" allowOverlap="1" layoutInCell="1" locked="0" behindDoc="1" simplePos="0" relativeHeight="474382336">
          <wp:simplePos x="0" y="0"/>
          <wp:positionH relativeFrom="page">
            <wp:posOffset>4721352</wp:posOffset>
          </wp:positionH>
          <wp:positionV relativeFrom="page">
            <wp:posOffset>612648</wp:posOffset>
          </wp:positionV>
          <wp:extent cx="681227" cy="292607"/>
          <wp:effectExtent l="0" t="0" r="0" b="0"/>
          <wp:wrapNone/>
          <wp:docPr id="717" name="Image 717"/>
          <wp:cNvGraphicFramePr>
            <a:graphicFrameLocks/>
          </wp:cNvGraphicFramePr>
          <a:graphic>
            <a:graphicData uri="http://schemas.openxmlformats.org/drawingml/2006/picture">
              <pic:pic>
                <pic:nvPicPr>
                  <pic:cNvPr id="717" name="Image 717"/>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82848">
              <wp:simplePos x="0" y="0"/>
              <wp:positionH relativeFrom="page">
                <wp:posOffset>4315967</wp:posOffset>
              </wp:positionH>
              <wp:positionV relativeFrom="page">
                <wp:posOffset>615696</wp:posOffset>
              </wp:positionV>
              <wp:extent cx="315595" cy="349250"/>
              <wp:effectExtent l="0" t="0" r="0" b="0"/>
              <wp:wrapNone/>
              <wp:docPr id="718" name="Group 718"/>
              <wp:cNvGraphicFramePr>
                <a:graphicFrameLocks/>
              </wp:cNvGraphicFramePr>
              <a:graphic>
                <a:graphicData uri="http://schemas.microsoft.com/office/word/2010/wordprocessingGroup">
                  <wpg:wgp>
                    <wpg:cNvPr id="718" name="Group 718"/>
                    <wpg:cNvGrpSpPr/>
                    <wpg:grpSpPr>
                      <a:xfrm>
                        <a:off x="0" y="0"/>
                        <a:ext cx="315595" cy="349250"/>
                        <a:chExt cx="315595" cy="349250"/>
                      </a:xfrm>
                    </wpg:grpSpPr>
                    <wps:wsp>
                      <wps:cNvPr id="719" name="Graphic 719"/>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720" name="Image 720"/>
                        <pic:cNvPicPr/>
                      </pic:nvPicPr>
                      <pic:blipFill>
                        <a:blip r:embed="rId3" cstate="print"/>
                        <a:stretch>
                          <a:fillRect/>
                        </a:stretch>
                      </pic:blipFill>
                      <pic:spPr>
                        <a:xfrm>
                          <a:off x="39623" y="182618"/>
                          <a:ext cx="236220" cy="125102"/>
                        </a:xfrm>
                        <a:prstGeom prst="rect">
                          <a:avLst/>
                        </a:prstGeom>
                      </pic:spPr>
                    </pic:pic>
                    <wps:wsp>
                      <wps:cNvPr id="721" name="Graphic 721"/>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33632" id="docshapegroup572" coordorigin="6797,970" coordsize="497,550">
              <v:shape style="position:absolute;left:6859;top:1032;width:312;height:190" id="docshape57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574" stroked="false">
                <v:imagedata r:id="rId3" o:title=""/>
              </v:shape>
              <v:shape style="position:absolute;left:6796;top:969;width:497;height:550" id="docshape57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83360">
              <wp:simplePos x="0" y="0"/>
              <wp:positionH relativeFrom="page">
                <wp:posOffset>5571744</wp:posOffset>
              </wp:positionH>
              <wp:positionV relativeFrom="page">
                <wp:posOffset>704088</wp:posOffset>
              </wp:positionV>
              <wp:extent cx="608330" cy="76200"/>
              <wp:effectExtent l="0" t="0" r="0" b="0"/>
              <wp:wrapNone/>
              <wp:docPr id="722" name="Graphic 722"/>
              <wp:cNvGraphicFramePr>
                <a:graphicFrameLocks/>
              </wp:cNvGraphicFramePr>
              <a:graphic>
                <a:graphicData uri="http://schemas.microsoft.com/office/word/2010/wordprocessingShape">
                  <wps:wsp>
                    <wps:cNvPr id="722" name="Graphic 722"/>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33120" id="docshape57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71232">
          <wp:simplePos x="0" y="0"/>
          <wp:positionH relativeFrom="page">
            <wp:posOffset>5068570</wp:posOffset>
          </wp:positionH>
          <wp:positionV relativeFrom="page">
            <wp:posOffset>611250</wp:posOffset>
          </wp:positionV>
          <wp:extent cx="1767204" cy="99695"/>
          <wp:effectExtent l="0" t="0" r="0" b="0"/>
          <wp:wrapNone/>
          <wp:docPr id="15" name="Image 15"/>
          <wp:cNvGraphicFramePr>
            <a:graphicFrameLocks/>
          </wp:cNvGraphicFramePr>
          <a:graphic>
            <a:graphicData uri="http://schemas.openxmlformats.org/drawingml/2006/picture">
              <pic:pic>
                <pic:nvPicPr>
                  <pic:cNvPr id="15" name="Image 15"/>
                  <pic:cNvPicPr/>
                </pic:nvPicPr>
                <pic:blipFill>
                  <a:blip r:embed="rId1" cstate="print"/>
                  <a:stretch>
                    <a:fillRect/>
                  </a:stretch>
                </pic:blipFill>
                <pic:spPr>
                  <a:xfrm>
                    <a:off x="0" y="0"/>
                    <a:ext cx="1767204" cy="99695"/>
                  </a:xfrm>
                  <a:prstGeom prst="rect">
                    <a:avLst/>
                  </a:prstGeom>
                </pic:spPr>
              </pic:pic>
            </a:graphicData>
          </a:graphic>
        </wp:anchor>
      </w:drawing>
    </w:r>
  </w:p>
</w:hdr>
</file>

<file path=word/header7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83872">
          <wp:simplePos x="0" y="0"/>
          <wp:positionH relativeFrom="page">
            <wp:posOffset>4315967</wp:posOffset>
          </wp:positionH>
          <wp:positionV relativeFrom="page">
            <wp:posOffset>525780</wp:posOffset>
          </wp:positionV>
          <wp:extent cx="316991" cy="70104"/>
          <wp:effectExtent l="0" t="0" r="0" b="0"/>
          <wp:wrapNone/>
          <wp:docPr id="723" name="Image 723"/>
          <wp:cNvGraphicFramePr>
            <a:graphicFrameLocks/>
          </wp:cNvGraphicFramePr>
          <a:graphic>
            <a:graphicData uri="http://schemas.openxmlformats.org/drawingml/2006/picture">
              <pic:pic>
                <pic:nvPicPr>
                  <pic:cNvPr id="723" name="Image 72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84384">
              <wp:simplePos x="0" y="0"/>
              <wp:positionH relativeFrom="page">
                <wp:posOffset>5480303</wp:posOffset>
              </wp:positionH>
              <wp:positionV relativeFrom="page">
                <wp:posOffset>525780</wp:posOffset>
              </wp:positionV>
              <wp:extent cx="6350" cy="439420"/>
              <wp:effectExtent l="0" t="0" r="0" b="0"/>
              <wp:wrapNone/>
              <wp:docPr id="724" name="Graphic 724"/>
              <wp:cNvGraphicFramePr>
                <a:graphicFrameLocks/>
              </wp:cNvGraphicFramePr>
              <a:graphic>
                <a:graphicData uri="http://schemas.microsoft.com/office/word/2010/wordprocessingShape">
                  <wps:wsp>
                    <wps:cNvPr id="724" name="Graphic 72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32096" id="docshape577" filled="true" fillcolor="#00587c" stroked="false">
              <v:fill type="solid"/>
              <w10:wrap type="none"/>
            </v:rect>
          </w:pict>
        </mc:Fallback>
      </mc:AlternateContent>
    </w:r>
    <w:r>
      <w:rPr>
        <w:sz w:val="20"/>
      </w:rPr>
      <w:drawing>
        <wp:anchor distT="0" distB="0" distL="0" distR="0" allowOverlap="1" layoutInCell="1" locked="0" behindDoc="1" simplePos="0" relativeHeight="474384896">
          <wp:simplePos x="0" y="0"/>
          <wp:positionH relativeFrom="page">
            <wp:posOffset>4721352</wp:posOffset>
          </wp:positionH>
          <wp:positionV relativeFrom="page">
            <wp:posOffset>612648</wp:posOffset>
          </wp:positionV>
          <wp:extent cx="681227" cy="292607"/>
          <wp:effectExtent l="0" t="0" r="0" b="0"/>
          <wp:wrapNone/>
          <wp:docPr id="725" name="Image 725"/>
          <wp:cNvGraphicFramePr>
            <a:graphicFrameLocks/>
          </wp:cNvGraphicFramePr>
          <a:graphic>
            <a:graphicData uri="http://schemas.openxmlformats.org/drawingml/2006/picture">
              <pic:pic>
                <pic:nvPicPr>
                  <pic:cNvPr id="725" name="Image 72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85408">
              <wp:simplePos x="0" y="0"/>
              <wp:positionH relativeFrom="page">
                <wp:posOffset>4315967</wp:posOffset>
              </wp:positionH>
              <wp:positionV relativeFrom="page">
                <wp:posOffset>615696</wp:posOffset>
              </wp:positionV>
              <wp:extent cx="315595" cy="349250"/>
              <wp:effectExtent l="0" t="0" r="0" b="0"/>
              <wp:wrapNone/>
              <wp:docPr id="726" name="Group 726"/>
              <wp:cNvGraphicFramePr>
                <a:graphicFrameLocks/>
              </wp:cNvGraphicFramePr>
              <a:graphic>
                <a:graphicData uri="http://schemas.microsoft.com/office/word/2010/wordprocessingGroup">
                  <wpg:wgp>
                    <wpg:cNvPr id="726" name="Group 726"/>
                    <wpg:cNvGrpSpPr/>
                    <wpg:grpSpPr>
                      <a:xfrm>
                        <a:off x="0" y="0"/>
                        <a:ext cx="315595" cy="349250"/>
                        <a:chExt cx="315595" cy="349250"/>
                      </a:xfrm>
                    </wpg:grpSpPr>
                    <wps:wsp>
                      <wps:cNvPr id="727" name="Graphic 72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728" name="Image 728"/>
                        <pic:cNvPicPr/>
                      </pic:nvPicPr>
                      <pic:blipFill>
                        <a:blip r:embed="rId3" cstate="print"/>
                        <a:stretch>
                          <a:fillRect/>
                        </a:stretch>
                      </pic:blipFill>
                      <pic:spPr>
                        <a:xfrm>
                          <a:off x="39623" y="182618"/>
                          <a:ext cx="236220" cy="125102"/>
                        </a:xfrm>
                        <a:prstGeom prst="rect">
                          <a:avLst/>
                        </a:prstGeom>
                      </pic:spPr>
                    </pic:pic>
                    <wps:wsp>
                      <wps:cNvPr id="729" name="Graphic 72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31072" id="docshapegroup578" coordorigin="6797,970" coordsize="497,550">
              <v:shape style="position:absolute;left:6859;top:1032;width:312;height:190" id="docshape579"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580" stroked="false">
                <v:imagedata r:id="rId3" o:title=""/>
              </v:shape>
              <v:shape style="position:absolute;left:6796;top:969;width:497;height:550" id="docshape581"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85920">
              <wp:simplePos x="0" y="0"/>
              <wp:positionH relativeFrom="page">
                <wp:posOffset>5571744</wp:posOffset>
              </wp:positionH>
              <wp:positionV relativeFrom="page">
                <wp:posOffset>704088</wp:posOffset>
              </wp:positionV>
              <wp:extent cx="608330" cy="76200"/>
              <wp:effectExtent l="0" t="0" r="0" b="0"/>
              <wp:wrapNone/>
              <wp:docPr id="730" name="Graphic 730"/>
              <wp:cNvGraphicFramePr>
                <a:graphicFrameLocks/>
              </wp:cNvGraphicFramePr>
              <a:graphic>
                <a:graphicData uri="http://schemas.microsoft.com/office/word/2010/wordprocessingShape">
                  <wps:wsp>
                    <wps:cNvPr id="730" name="Graphic 73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30560" id="docshape582"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86432">
          <wp:simplePos x="0" y="0"/>
          <wp:positionH relativeFrom="page">
            <wp:posOffset>4315967</wp:posOffset>
          </wp:positionH>
          <wp:positionV relativeFrom="page">
            <wp:posOffset>525780</wp:posOffset>
          </wp:positionV>
          <wp:extent cx="316991" cy="70104"/>
          <wp:effectExtent l="0" t="0" r="0" b="0"/>
          <wp:wrapNone/>
          <wp:docPr id="761" name="Image 761"/>
          <wp:cNvGraphicFramePr>
            <a:graphicFrameLocks/>
          </wp:cNvGraphicFramePr>
          <a:graphic>
            <a:graphicData uri="http://schemas.openxmlformats.org/drawingml/2006/picture">
              <pic:pic>
                <pic:nvPicPr>
                  <pic:cNvPr id="761" name="Image 761"/>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86944">
              <wp:simplePos x="0" y="0"/>
              <wp:positionH relativeFrom="page">
                <wp:posOffset>5480303</wp:posOffset>
              </wp:positionH>
              <wp:positionV relativeFrom="page">
                <wp:posOffset>525780</wp:posOffset>
              </wp:positionV>
              <wp:extent cx="6350" cy="439420"/>
              <wp:effectExtent l="0" t="0" r="0" b="0"/>
              <wp:wrapNone/>
              <wp:docPr id="762" name="Graphic 762"/>
              <wp:cNvGraphicFramePr>
                <a:graphicFrameLocks/>
              </wp:cNvGraphicFramePr>
              <a:graphic>
                <a:graphicData uri="http://schemas.microsoft.com/office/word/2010/wordprocessingShape">
                  <wps:wsp>
                    <wps:cNvPr id="762" name="Graphic 762"/>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29536" id="docshape606" filled="true" fillcolor="#00587c" stroked="false">
              <v:fill type="solid"/>
              <w10:wrap type="none"/>
            </v:rect>
          </w:pict>
        </mc:Fallback>
      </mc:AlternateContent>
    </w:r>
    <w:r>
      <w:rPr>
        <w:sz w:val="20"/>
      </w:rPr>
      <w:drawing>
        <wp:anchor distT="0" distB="0" distL="0" distR="0" allowOverlap="1" layoutInCell="1" locked="0" behindDoc="1" simplePos="0" relativeHeight="474387456">
          <wp:simplePos x="0" y="0"/>
          <wp:positionH relativeFrom="page">
            <wp:posOffset>4721352</wp:posOffset>
          </wp:positionH>
          <wp:positionV relativeFrom="page">
            <wp:posOffset>612648</wp:posOffset>
          </wp:positionV>
          <wp:extent cx="681227" cy="292607"/>
          <wp:effectExtent l="0" t="0" r="0" b="0"/>
          <wp:wrapNone/>
          <wp:docPr id="763" name="Image 763"/>
          <wp:cNvGraphicFramePr>
            <a:graphicFrameLocks/>
          </wp:cNvGraphicFramePr>
          <a:graphic>
            <a:graphicData uri="http://schemas.openxmlformats.org/drawingml/2006/picture">
              <pic:pic>
                <pic:nvPicPr>
                  <pic:cNvPr id="763" name="Image 763"/>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87968">
              <wp:simplePos x="0" y="0"/>
              <wp:positionH relativeFrom="page">
                <wp:posOffset>4315967</wp:posOffset>
              </wp:positionH>
              <wp:positionV relativeFrom="page">
                <wp:posOffset>615696</wp:posOffset>
              </wp:positionV>
              <wp:extent cx="315595" cy="349250"/>
              <wp:effectExtent l="0" t="0" r="0" b="0"/>
              <wp:wrapNone/>
              <wp:docPr id="764" name="Group 764"/>
              <wp:cNvGraphicFramePr>
                <a:graphicFrameLocks/>
              </wp:cNvGraphicFramePr>
              <a:graphic>
                <a:graphicData uri="http://schemas.microsoft.com/office/word/2010/wordprocessingGroup">
                  <wpg:wgp>
                    <wpg:cNvPr id="764" name="Group 764"/>
                    <wpg:cNvGrpSpPr/>
                    <wpg:grpSpPr>
                      <a:xfrm>
                        <a:off x="0" y="0"/>
                        <a:ext cx="315595" cy="349250"/>
                        <a:chExt cx="315595" cy="349250"/>
                      </a:xfrm>
                    </wpg:grpSpPr>
                    <wps:wsp>
                      <wps:cNvPr id="765" name="Graphic 765"/>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766" name="Image 766"/>
                        <pic:cNvPicPr/>
                      </pic:nvPicPr>
                      <pic:blipFill>
                        <a:blip r:embed="rId3" cstate="print"/>
                        <a:stretch>
                          <a:fillRect/>
                        </a:stretch>
                      </pic:blipFill>
                      <pic:spPr>
                        <a:xfrm>
                          <a:off x="39623" y="182618"/>
                          <a:ext cx="236220" cy="125102"/>
                        </a:xfrm>
                        <a:prstGeom prst="rect">
                          <a:avLst/>
                        </a:prstGeom>
                      </pic:spPr>
                    </pic:pic>
                    <wps:wsp>
                      <wps:cNvPr id="767" name="Graphic 767"/>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28512" id="docshapegroup607" coordorigin="6797,970" coordsize="497,550">
              <v:shape style="position:absolute;left:6859;top:1032;width:312;height:190" id="docshape608"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609" stroked="false">
                <v:imagedata r:id="rId3" o:title=""/>
              </v:shape>
              <v:shape style="position:absolute;left:6796;top:969;width:497;height:550" id="docshape610"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88480">
              <wp:simplePos x="0" y="0"/>
              <wp:positionH relativeFrom="page">
                <wp:posOffset>5571744</wp:posOffset>
              </wp:positionH>
              <wp:positionV relativeFrom="page">
                <wp:posOffset>704088</wp:posOffset>
              </wp:positionV>
              <wp:extent cx="608330" cy="76200"/>
              <wp:effectExtent l="0" t="0" r="0" b="0"/>
              <wp:wrapNone/>
              <wp:docPr id="768" name="Graphic 768"/>
              <wp:cNvGraphicFramePr>
                <a:graphicFrameLocks/>
              </wp:cNvGraphicFramePr>
              <a:graphic>
                <a:graphicData uri="http://schemas.microsoft.com/office/word/2010/wordprocessingShape">
                  <wps:wsp>
                    <wps:cNvPr id="768" name="Graphic 768"/>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28000" id="docshape611"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88992">
          <wp:simplePos x="0" y="0"/>
          <wp:positionH relativeFrom="page">
            <wp:posOffset>4315967</wp:posOffset>
          </wp:positionH>
          <wp:positionV relativeFrom="page">
            <wp:posOffset>525780</wp:posOffset>
          </wp:positionV>
          <wp:extent cx="316991" cy="70104"/>
          <wp:effectExtent l="0" t="0" r="0" b="0"/>
          <wp:wrapNone/>
          <wp:docPr id="769" name="Image 769"/>
          <wp:cNvGraphicFramePr>
            <a:graphicFrameLocks/>
          </wp:cNvGraphicFramePr>
          <a:graphic>
            <a:graphicData uri="http://schemas.openxmlformats.org/drawingml/2006/picture">
              <pic:pic>
                <pic:nvPicPr>
                  <pic:cNvPr id="769" name="Image 769"/>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89504">
              <wp:simplePos x="0" y="0"/>
              <wp:positionH relativeFrom="page">
                <wp:posOffset>5480303</wp:posOffset>
              </wp:positionH>
              <wp:positionV relativeFrom="page">
                <wp:posOffset>525780</wp:posOffset>
              </wp:positionV>
              <wp:extent cx="6350" cy="439420"/>
              <wp:effectExtent l="0" t="0" r="0" b="0"/>
              <wp:wrapNone/>
              <wp:docPr id="770" name="Graphic 770"/>
              <wp:cNvGraphicFramePr>
                <a:graphicFrameLocks/>
              </wp:cNvGraphicFramePr>
              <a:graphic>
                <a:graphicData uri="http://schemas.microsoft.com/office/word/2010/wordprocessingShape">
                  <wps:wsp>
                    <wps:cNvPr id="770" name="Graphic 770"/>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26976" id="docshape612" filled="true" fillcolor="#00587c" stroked="false">
              <v:fill type="solid"/>
              <w10:wrap type="none"/>
            </v:rect>
          </w:pict>
        </mc:Fallback>
      </mc:AlternateContent>
    </w:r>
    <w:r>
      <w:rPr>
        <w:sz w:val="20"/>
      </w:rPr>
      <w:drawing>
        <wp:anchor distT="0" distB="0" distL="0" distR="0" allowOverlap="1" layoutInCell="1" locked="0" behindDoc="1" simplePos="0" relativeHeight="474390016">
          <wp:simplePos x="0" y="0"/>
          <wp:positionH relativeFrom="page">
            <wp:posOffset>4721352</wp:posOffset>
          </wp:positionH>
          <wp:positionV relativeFrom="page">
            <wp:posOffset>612648</wp:posOffset>
          </wp:positionV>
          <wp:extent cx="681227" cy="292607"/>
          <wp:effectExtent l="0" t="0" r="0" b="0"/>
          <wp:wrapNone/>
          <wp:docPr id="771" name="Image 771"/>
          <wp:cNvGraphicFramePr>
            <a:graphicFrameLocks/>
          </wp:cNvGraphicFramePr>
          <a:graphic>
            <a:graphicData uri="http://schemas.openxmlformats.org/drawingml/2006/picture">
              <pic:pic>
                <pic:nvPicPr>
                  <pic:cNvPr id="771" name="Image 771"/>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90528">
              <wp:simplePos x="0" y="0"/>
              <wp:positionH relativeFrom="page">
                <wp:posOffset>4315967</wp:posOffset>
              </wp:positionH>
              <wp:positionV relativeFrom="page">
                <wp:posOffset>615696</wp:posOffset>
              </wp:positionV>
              <wp:extent cx="315595" cy="349250"/>
              <wp:effectExtent l="0" t="0" r="0" b="0"/>
              <wp:wrapNone/>
              <wp:docPr id="772" name="Group 772"/>
              <wp:cNvGraphicFramePr>
                <a:graphicFrameLocks/>
              </wp:cNvGraphicFramePr>
              <a:graphic>
                <a:graphicData uri="http://schemas.microsoft.com/office/word/2010/wordprocessingGroup">
                  <wpg:wgp>
                    <wpg:cNvPr id="772" name="Group 772"/>
                    <wpg:cNvGrpSpPr/>
                    <wpg:grpSpPr>
                      <a:xfrm>
                        <a:off x="0" y="0"/>
                        <a:ext cx="315595" cy="349250"/>
                        <a:chExt cx="315595" cy="349250"/>
                      </a:xfrm>
                    </wpg:grpSpPr>
                    <wps:wsp>
                      <wps:cNvPr id="773" name="Graphic 773"/>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774" name="Image 774"/>
                        <pic:cNvPicPr/>
                      </pic:nvPicPr>
                      <pic:blipFill>
                        <a:blip r:embed="rId3" cstate="print"/>
                        <a:stretch>
                          <a:fillRect/>
                        </a:stretch>
                      </pic:blipFill>
                      <pic:spPr>
                        <a:xfrm>
                          <a:off x="39623" y="182618"/>
                          <a:ext cx="236220" cy="125102"/>
                        </a:xfrm>
                        <a:prstGeom prst="rect">
                          <a:avLst/>
                        </a:prstGeom>
                      </pic:spPr>
                    </pic:pic>
                    <wps:wsp>
                      <wps:cNvPr id="775" name="Graphic 775"/>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25952" id="docshapegroup613" coordorigin="6797,970" coordsize="497,550">
              <v:shape style="position:absolute;left:6859;top:1032;width:312;height:190" id="docshape614"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615" stroked="false">
                <v:imagedata r:id="rId3" o:title=""/>
              </v:shape>
              <v:shape style="position:absolute;left:6796;top:969;width:497;height:550" id="docshape616"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91040">
              <wp:simplePos x="0" y="0"/>
              <wp:positionH relativeFrom="page">
                <wp:posOffset>5571744</wp:posOffset>
              </wp:positionH>
              <wp:positionV relativeFrom="page">
                <wp:posOffset>704088</wp:posOffset>
              </wp:positionV>
              <wp:extent cx="608330" cy="76200"/>
              <wp:effectExtent l="0" t="0" r="0" b="0"/>
              <wp:wrapNone/>
              <wp:docPr id="776" name="Graphic 776"/>
              <wp:cNvGraphicFramePr>
                <a:graphicFrameLocks/>
              </wp:cNvGraphicFramePr>
              <a:graphic>
                <a:graphicData uri="http://schemas.microsoft.com/office/word/2010/wordprocessingShape">
                  <wps:wsp>
                    <wps:cNvPr id="776" name="Graphic 776"/>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25440" id="docshape617"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91552">
          <wp:simplePos x="0" y="0"/>
          <wp:positionH relativeFrom="page">
            <wp:posOffset>4315967</wp:posOffset>
          </wp:positionH>
          <wp:positionV relativeFrom="page">
            <wp:posOffset>525780</wp:posOffset>
          </wp:positionV>
          <wp:extent cx="316991" cy="70104"/>
          <wp:effectExtent l="0" t="0" r="0" b="0"/>
          <wp:wrapNone/>
          <wp:docPr id="801" name="Image 801"/>
          <wp:cNvGraphicFramePr>
            <a:graphicFrameLocks/>
          </wp:cNvGraphicFramePr>
          <a:graphic>
            <a:graphicData uri="http://schemas.openxmlformats.org/drawingml/2006/picture">
              <pic:pic>
                <pic:nvPicPr>
                  <pic:cNvPr id="801" name="Image 801"/>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92064">
              <wp:simplePos x="0" y="0"/>
              <wp:positionH relativeFrom="page">
                <wp:posOffset>5480303</wp:posOffset>
              </wp:positionH>
              <wp:positionV relativeFrom="page">
                <wp:posOffset>525780</wp:posOffset>
              </wp:positionV>
              <wp:extent cx="6350" cy="439420"/>
              <wp:effectExtent l="0" t="0" r="0" b="0"/>
              <wp:wrapNone/>
              <wp:docPr id="802" name="Graphic 802"/>
              <wp:cNvGraphicFramePr>
                <a:graphicFrameLocks/>
              </wp:cNvGraphicFramePr>
              <a:graphic>
                <a:graphicData uri="http://schemas.microsoft.com/office/word/2010/wordprocessingShape">
                  <wps:wsp>
                    <wps:cNvPr id="802" name="Graphic 802"/>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24416" id="docshape630" filled="true" fillcolor="#00587c" stroked="false">
              <v:fill type="solid"/>
              <w10:wrap type="none"/>
            </v:rect>
          </w:pict>
        </mc:Fallback>
      </mc:AlternateContent>
    </w:r>
    <w:r>
      <w:rPr>
        <w:sz w:val="20"/>
      </w:rPr>
      <w:drawing>
        <wp:anchor distT="0" distB="0" distL="0" distR="0" allowOverlap="1" layoutInCell="1" locked="0" behindDoc="1" simplePos="0" relativeHeight="474392576">
          <wp:simplePos x="0" y="0"/>
          <wp:positionH relativeFrom="page">
            <wp:posOffset>4721352</wp:posOffset>
          </wp:positionH>
          <wp:positionV relativeFrom="page">
            <wp:posOffset>612648</wp:posOffset>
          </wp:positionV>
          <wp:extent cx="681227" cy="292607"/>
          <wp:effectExtent l="0" t="0" r="0" b="0"/>
          <wp:wrapNone/>
          <wp:docPr id="803" name="Image 803"/>
          <wp:cNvGraphicFramePr>
            <a:graphicFrameLocks/>
          </wp:cNvGraphicFramePr>
          <a:graphic>
            <a:graphicData uri="http://schemas.openxmlformats.org/drawingml/2006/picture">
              <pic:pic>
                <pic:nvPicPr>
                  <pic:cNvPr id="803" name="Image 803"/>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93088">
              <wp:simplePos x="0" y="0"/>
              <wp:positionH relativeFrom="page">
                <wp:posOffset>4315967</wp:posOffset>
              </wp:positionH>
              <wp:positionV relativeFrom="page">
                <wp:posOffset>615696</wp:posOffset>
              </wp:positionV>
              <wp:extent cx="315595" cy="349250"/>
              <wp:effectExtent l="0" t="0" r="0" b="0"/>
              <wp:wrapNone/>
              <wp:docPr id="804" name="Group 804"/>
              <wp:cNvGraphicFramePr>
                <a:graphicFrameLocks/>
              </wp:cNvGraphicFramePr>
              <a:graphic>
                <a:graphicData uri="http://schemas.microsoft.com/office/word/2010/wordprocessingGroup">
                  <wpg:wgp>
                    <wpg:cNvPr id="804" name="Group 804"/>
                    <wpg:cNvGrpSpPr/>
                    <wpg:grpSpPr>
                      <a:xfrm>
                        <a:off x="0" y="0"/>
                        <a:ext cx="315595" cy="349250"/>
                        <a:chExt cx="315595" cy="349250"/>
                      </a:xfrm>
                    </wpg:grpSpPr>
                    <wps:wsp>
                      <wps:cNvPr id="805" name="Graphic 805"/>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806" name="Image 806"/>
                        <pic:cNvPicPr/>
                      </pic:nvPicPr>
                      <pic:blipFill>
                        <a:blip r:embed="rId3" cstate="print"/>
                        <a:stretch>
                          <a:fillRect/>
                        </a:stretch>
                      </pic:blipFill>
                      <pic:spPr>
                        <a:xfrm>
                          <a:off x="39623" y="182618"/>
                          <a:ext cx="236220" cy="125102"/>
                        </a:xfrm>
                        <a:prstGeom prst="rect">
                          <a:avLst/>
                        </a:prstGeom>
                      </pic:spPr>
                    </pic:pic>
                    <wps:wsp>
                      <wps:cNvPr id="807" name="Graphic 807"/>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23392" id="docshapegroup631" coordorigin="6797,970" coordsize="497,550">
              <v:shape style="position:absolute;left:6859;top:1032;width:312;height:190" id="docshape632"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633" stroked="false">
                <v:imagedata r:id="rId3" o:title=""/>
              </v:shape>
              <v:shape style="position:absolute;left:6796;top:969;width:497;height:550" id="docshape634"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93600">
              <wp:simplePos x="0" y="0"/>
              <wp:positionH relativeFrom="page">
                <wp:posOffset>5571744</wp:posOffset>
              </wp:positionH>
              <wp:positionV relativeFrom="page">
                <wp:posOffset>704088</wp:posOffset>
              </wp:positionV>
              <wp:extent cx="608330" cy="76200"/>
              <wp:effectExtent l="0" t="0" r="0" b="0"/>
              <wp:wrapNone/>
              <wp:docPr id="808" name="Graphic 808"/>
              <wp:cNvGraphicFramePr>
                <a:graphicFrameLocks/>
              </wp:cNvGraphicFramePr>
              <a:graphic>
                <a:graphicData uri="http://schemas.microsoft.com/office/word/2010/wordprocessingShape">
                  <wps:wsp>
                    <wps:cNvPr id="808" name="Graphic 808"/>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22880" id="docshape635"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94112">
          <wp:simplePos x="0" y="0"/>
          <wp:positionH relativeFrom="page">
            <wp:posOffset>4315967</wp:posOffset>
          </wp:positionH>
          <wp:positionV relativeFrom="page">
            <wp:posOffset>525780</wp:posOffset>
          </wp:positionV>
          <wp:extent cx="316991" cy="70104"/>
          <wp:effectExtent l="0" t="0" r="0" b="0"/>
          <wp:wrapNone/>
          <wp:docPr id="809" name="Image 809"/>
          <wp:cNvGraphicFramePr>
            <a:graphicFrameLocks/>
          </wp:cNvGraphicFramePr>
          <a:graphic>
            <a:graphicData uri="http://schemas.openxmlformats.org/drawingml/2006/picture">
              <pic:pic>
                <pic:nvPicPr>
                  <pic:cNvPr id="809" name="Image 809"/>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94624">
              <wp:simplePos x="0" y="0"/>
              <wp:positionH relativeFrom="page">
                <wp:posOffset>5480303</wp:posOffset>
              </wp:positionH>
              <wp:positionV relativeFrom="page">
                <wp:posOffset>525780</wp:posOffset>
              </wp:positionV>
              <wp:extent cx="6350" cy="439420"/>
              <wp:effectExtent l="0" t="0" r="0" b="0"/>
              <wp:wrapNone/>
              <wp:docPr id="810" name="Graphic 810"/>
              <wp:cNvGraphicFramePr>
                <a:graphicFrameLocks/>
              </wp:cNvGraphicFramePr>
              <a:graphic>
                <a:graphicData uri="http://schemas.microsoft.com/office/word/2010/wordprocessingShape">
                  <wps:wsp>
                    <wps:cNvPr id="810" name="Graphic 810"/>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21856" id="docshape636" filled="true" fillcolor="#00587c" stroked="false">
              <v:fill type="solid"/>
              <w10:wrap type="none"/>
            </v:rect>
          </w:pict>
        </mc:Fallback>
      </mc:AlternateContent>
    </w:r>
    <w:r>
      <w:rPr>
        <w:sz w:val="20"/>
      </w:rPr>
      <w:drawing>
        <wp:anchor distT="0" distB="0" distL="0" distR="0" allowOverlap="1" layoutInCell="1" locked="0" behindDoc="1" simplePos="0" relativeHeight="474395136">
          <wp:simplePos x="0" y="0"/>
          <wp:positionH relativeFrom="page">
            <wp:posOffset>4721352</wp:posOffset>
          </wp:positionH>
          <wp:positionV relativeFrom="page">
            <wp:posOffset>612648</wp:posOffset>
          </wp:positionV>
          <wp:extent cx="681227" cy="292607"/>
          <wp:effectExtent l="0" t="0" r="0" b="0"/>
          <wp:wrapNone/>
          <wp:docPr id="811" name="Image 811"/>
          <wp:cNvGraphicFramePr>
            <a:graphicFrameLocks/>
          </wp:cNvGraphicFramePr>
          <a:graphic>
            <a:graphicData uri="http://schemas.openxmlformats.org/drawingml/2006/picture">
              <pic:pic>
                <pic:nvPicPr>
                  <pic:cNvPr id="811" name="Image 811"/>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95648">
              <wp:simplePos x="0" y="0"/>
              <wp:positionH relativeFrom="page">
                <wp:posOffset>4315967</wp:posOffset>
              </wp:positionH>
              <wp:positionV relativeFrom="page">
                <wp:posOffset>615696</wp:posOffset>
              </wp:positionV>
              <wp:extent cx="315595" cy="349250"/>
              <wp:effectExtent l="0" t="0" r="0" b="0"/>
              <wp:wrapNone/>
              <wp:docPr id="812" name="Group 812"/>
              <wp:cNvGraphicFramePr>
                <a:graphicFrameLocks/>
              </wp:cNvGraphicFramePr>
              <a:graphic>
                <a:graphicData uri="http://schemas.microsoft.com/office/word/2010/wordprocessingGroup">
                  <wpg:wgp>
                    <wpg:cNvPr id="812" name="Group 812"/>
                    <wpg:cNvGrpSpPr/>
                    <wpg:grpSpPr>
                      <a:xfrm>
                        <a:off x="0" y="0"/>
                        <a:ext cx="315595" cy="349250"/>
                        <a:chExt cx="315595" cy="349250"/>
                      </a:xfrm>
                    </wpg:grpSpPr>
                    <wps:wsp>
                      <wps:cNvPr id="813" name="Graphic 813"/>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814" name="Image 814"/>
                        <pic:cNvPicPr/>
                      </pic:nvPicPr>
                      <pic:blipFill>
                        <a:blip r:embed="rId3" cstate="print"/>
                        <a:stretch>
                          <a:fillRect/>
                        </a:stretch>
                      </pic:blipFill>
                      <pic:spPr>
                        <a:xfrm>
                          <a:off x="39623" y="182618"/>
                          <a:ext cx="236220" cy="125102"/>
                        </a:xfrm>
                        <a:prstGeom prst="rect">
                          <a:avLst/>
                        </a:prstGeom>
                      </pic:spPr>
                    </pic:pic>
                    <wps:wsp>
                      <wps:cNvPr id="815" name="Graphic 815"/>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20832" id="docshapegroup637" coordorigin="6797,970" coordsize="497,550">
              <v:shape style="position:absolute;left:6859;top:1032;width:312;height:190" id="docshape638"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639" stroked="false">
                <v:imagedata r:id="rId3" o:title=""/>
              </v:shape>
              <v:shape style="position:absolute;left:6796;top:969;width:497;height:550" id="docshape640"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96160">
              <wp:simplePos x="0" y="0"/>
              <wp:positionH relativeFrom="page">
                <wp:posOffset>5571744</wp:posOffset>
              </wp:positionH>
              <wp:positionV relativeFrom="page">
                <wp:posOffset>704088</wp:posOffset>
              </wp:positionV>
              <wp:extent cx="608330" cy="76200"/>
              <wp:effectExtent l="0" t="0" r="0" b="0"/>
              <wp:wrapNone/>
              <wp:docPr id="816" name="Graphic 816"/>
              <wp:cNvGraphicFramePr>
                <a:graphicFrameLocks/>
              </wp:cNvGraphicFramePr>
              <a:graphic>
                <a:graphicData uri="http://schemas.microsoft.com/office/word/2010/wordprocessingShape">
                  <wps:wsp>
                    <wps:cNvPr id="816" name="Graphic 816"/>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20320" id="docshape641"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96672">
          <wp:simplePos x="0" y="0"/>
          <wp:positionH relativeFrom="page">
            <wp:posOffset>4315967</wp:posOffset>
          </wp:positionH>
          <wp:positionV relativeFrom="page">
            <wp:posOffset>525780</wp:posOffset>
          </wp:positionV>
          <wp:extent cx="316991" cy="70104"/>
          <wp:effectExtent l="0" t="0" r="0" b="0"/>
          <wp:wrapNone/>
          <wp:docPr id="833" name="Image 833"/>
          <wp:cNvGraphicFramePr>
            <a:graphicFrameLocks/>
          </wp:cNvGraphicFramePr>
          <a:graphic>
            <a:graphicData uri="http://schemas.openxmlformats.org/drawingml/2006/picture">
              <pic:pic>
                <pic:nvPicPr>
                  <pic:cNvPr id="833" name="Image 83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97184">
              <wp:simplePos x="0" y="0"/>
              <wp:positionH relativeFrom="page">
                <wp:posOffset>5480303</wp:posOffset>
              </wp:positionH>
              <wp:positionV relativeFrom="page">
                <wp:posOffset>525780</wp:posOffset>
              </wp:positionV>
              <wp:extent cx="6350" cy="439420"/>
              <wp:effectExtent l="0" t="0" r="0" b="0"/>
              <wp:wrapNone/>
              <wp:docPr id="834" name="Graphic 834"/>
              <wp:cNvGraphicFramePr>
                <a:graphicFrameLocks/>
              </wp:cNvGraphicFramePr>
              <a:graphic>
                <a:graphicData uri="http://schemas.microsoft.com/office/word/2010/wordprocessingShape">
                  <wps:wsp>
                    <wps:cNvPr id="834" name="Graphic 83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19296" id="docshape652" filled="true" fillcolor="#00587c" stroked="false">
              <v:fill type="solid"/>
              <w10:wrap type="none"/>
            </v:rect>
          </w:pict>
        </mc:Fallback>
      </mc:AlternateContent>
    </w:r>
    <w:r>
      <w:rPr>
        <w:sz w:val="20"/>
      </w:rPr>
      <w:drawing>
        <wp:anchor distT="0" distB="0" distL="0" distR="0" allowOverlap="1" layoutInCell="1" locked="0" behindDoc="1" simplePos="0" relativeHeight="474397696">
          <wp:simplePos x="0" y="0"/>
          <wp:positionH relativeFrom="page">
            <wp:posOffset>4721352</wp:posOffset>
          </wp:positionH>
          <wp:positionV relativeFrom="page">
            <wp:posOffset>612648</wp:posOffset>
          </wp:positionV>
          <wp:extent cx="681227" cy="292607"/>
          <wp:effectExtent l="0" t="0" r="0" b="0"/>
          <wp:wrapNone/>
          <wp:docPr id="835" name="Image 835"/>
          <wp:cNvGraphicFramePr>
            <a:graphicFrameLocks/>
          </wp:cNvGraphicFramePr>
          <a:graphic>
            <a:graphicData uri="http://schemas.openxmlformats.org/drawingml/2006/picture">
              <pic:pic>
                <pic:nvPicPr>
                  <pic:cNvPr id="835" name="Image 83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98208">
              <wp:simplePos x="0" y="0"/>
              <wp:positionH relativeFrom="page">
                <wp:posOffset>4315967</wp:posOffset>
              </wp:positionH>
              <wp:positionV relativeFrom="page">
                <wp:posOffset>615696</wp:posOffset>
              </wp:positionV>
              <wp:extent cx="315595" cy="349250"/>
              <wp:effectExtent l="0" t="0" r="0" b="0"/>
              <wp:wrapNone/>
              <wp:docPr id="836" name="Group 836"/>
              <wp:cNvGraphicFramePr>
                <a:graphicFrameLocks/>
              </wp:cNvGraphicFramePr>
              <a:graphic>
                <a:graphicData uri="http://schemas.microsoft.com/office/word/2010/wordprocessingGroup">
                  <wpg:wgp>
                    <wpg:cNvPr id="836" name="Group 836"/>
                    <wpg:cNvGrpSpPr/>
                    <wpg:grpSpPr>
                      <a:xfrm>
                        <a:off x="0" y="0"/>
                        <a:ext cx="315595" cy="349250"/>
                        <a:chExt cx="315595" cy="349250"/>
                      </a:xfrm>
                    </wpg:grpSpPr>
                    <wps:wsp>
                      <wps:cNvPr id="837" name="Graphic 83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838" name="Image 838"/>
                        <pic:cNvPicPr/>
                      </pic:nvPicPr>
                      <pic:blipFill>
                        <a:blip r:embed="rId3" cstate="print"/>
                        <a:stretch>
                          <a:fillRect/>
                        </a:stretch>
                      </pic:blipFill>
                      <pic:spPr>
                        <a:xfrm>
                          <a:off x="39623" y="182618"/>
                          <a:ext cx="236220" cy="125102"/>
                        </a:xfrm>
                        <a:prstGeom prst="rect">
                          <a:avLst/>
                        </a:prstGeom>
                      </pic:spPr>
                    </pic:pic>
                    <wps:wsp>
                      <wps:cNvPr id="839" name="Graphic 83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18272" id="docshapegroup653" coordorigin="6797,970" coordsize="497,550">
              <v:shape style="position:absolute;left:6859;top:1032;width:312;height:190" id="docshape654"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655" stroked="false">
                <v:imagedata r:id="rId3" o:title=""/>
              </v:shape>
              <v:shape style="position:absolute;left:6796;top:969;width:497;height:550" id="docshape656"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398720">
              <wp:simplePos x="0" y="0"/>
              <wp:positionH relativeFrom="page">
                <wp:posOffset>5571744</wp:posOffset>
              </wp:positionH>
              <wp:positionV relativeFrom="page">
                <wp:posOffset>704088</wp:posOffset>
              </wp:positionV>
              <wp:extent cx="608330" cy="76200"/>
              <wp:effectExtent l="0" t="0" r="0" b="0"/>
              <wp:wrapNone/>
              <wp:docPr id="840" name="Graphic 840"/>
              <wp:cNvGraphicFramePr>
                <a:graphicFrameLocks/>
              </wp:cNvGraphicFramePr>
              <a:graphic>
                <a:graphicData uri="http://schemas.microsoft.com/office/word/2010/wordprocessingShape">
                  <wps:wsp>
                    <wps:cNvPr id="840" name="Graphic 84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17760" id="docshape657"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399232">
          <wp:simplePos x="0" y="0"/>
          <wp:positionH relativeFrom="page">
            <wp:posOffset>4315967</wp:posOffset>
          </wp:positionH>
          <wp:positionV relativeFrom="page">
            <wp:posOffset>525780</wp:posOffset>
          </wp:positionV>
          <wp:extent cx="316991" cy="70104"/>
          <wp:effectExtent l="0" t="0" r="0" b="0"/>
          <wp:wrapNone/>
          <wp:docPr id="841" name="Image 841"/>
          <wp:cNvGraphicFramePr>
            <a:graphicFrameLocks/>
          </wp:cNvGraphicFramePr>
          <a:graphic>
            <a:graphicData uri="http://schemas.openxmlformats.org/drawingml/2006/picture">
              <pic:pic>
                <pic:nvPicPr>
                  <pic:cNvPr id="841" name="Image 841"/>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399744">
              <wp:simplePos x="0" y="0"/>
              <wp:positionH relativeFrom="page">
                <wp:posOffset>5480303</wp:posOffset>
              </wp:positionH>
              <wp:positionV relativeFrom="page">
                <wp:posOffset>525780</wp:posOffset>
              </wp:positionV>
              <wp:extent cx="6350" cy="439420"/>
              <wp:effectExtent l="0" t="0" r="0" b="0"/>
              <wp:wrapNone/>
              <wp:docPr id="842" name="Graphic 842"/>
              <wp:cNvGraphicFramePr>
                <a:graphicFrameLocks/>
              </wp:cNvGraphicFramePr>
              <a:graphic>
                <a:graphicData uri="http://schemas.microsoft.com/office/word/2010/wordprocessingShape">
                  <wps:wsp>
                    <wps:cNvPr id="842" name="Graphic 842"/>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16736" id="docshape658" filled="true" fillcolor="#00587c" stroked="false">
              <v:fill type="solid"/>
              <w10:wrap type="none"/>
            </v:rect>
          </w:pict>
        </mc:Fallback>
      </mc:AlternateContent>
    </w:r>
    <w:r>
      <w:rPr>
        <w:sz w:val="20"/>
      </w:rPr>
      <w:drawing>
        <wp:anchor distT="0" distB="0" distL="0" distR="0" allowOverlap="1" layoutInCell="1" locked="0" behindDoc="1" simplePos="0" relativeHeight="474400256">
          <wp:simplePos x="0" y="0"/>
          <wp:positionH relativeFrom="page">
            <wp:posOffset>4721352</wp:posOffset>
          </wp:positionH>
          <wp:positionV relativeFrom="page">
            <wp:posOffset>612648</wp:posOffset>
          </wp:positionV>
          <wp:extent cx="681227" cy="292607"/>
          <wp:effectExtent l="0" t="0" r="0" b="0"/>
          <wp:wrapNone/>
          <wp:docPr id="843" name="Image 843"/>
          <wp:cNvGraphicFramePr>
            <a:graphicFrameLocks/>
          </wp:cNvGraphicFramePr>
          <a:graphic>
            <a:graphicData uri="http://schemas.openxmlformats.org/drawingml/2006/picture">
              <pic:pic>
                <pic:nvPicPr>
                  <pic:cNvPr id="843" name="Image 843"/>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00768">
              <wp:simplePos x="0" y="0"/>
              <wp:positionH relativeFrom="page">
                <wp:posOffset>4315967</wp:posOffset>
              </wp:positionH>
              <wp:positionV relativeFrom="page">
                <wp:posOffset>615696</wp:posOffset>
              </wp:positionV>
              <wp:extent cx="315595" cy="349250"/>
              <wp:effectExtent l="0" t="0" r="0" b="0"/>
              <wp:wrapNone/>
              <wp:docPr id="844" name="Group 844"/>
              <wp:cNvGraphicFramePr>
                <a:graphicFrameLocks/>
              </wp:cNvGraphicFramePr>
              <a:graphic>
                <a:graphicData uri="http://schemas.microsoft.com/office/word/2010/wordprocessingGroup">
                  <wpg:wgp>
                    <wpg:cNvPr id="844" name="Group 844"/>
                    <wpg:cNvGrpSpPr/>
                    <wpg:grpSpPr>
                      <a:xfrm>
                        <a:off x="0" y="0"/>
                        <a:ext cx="315595" cy="349250"/>
                        <a:chExt cx="315595" cy="349250"/>
                      </a:xfrm>
                    </wpg:grpSpPr>
                    <wps:wsp>
                      <wps:cNvPr id="845" name="Graphic 845"/>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846" name="Image 846"/>
                        <pic:cNvPicPr/>
                      </pic:nvPicPr>
                      <pic:blipFill>
                        <a:blip r:embed="rId3" cstate="print"/>
                        <a:stretch>
                          <a:fillRect/>
                        </a:stretch>
                      </pic:blipFill>
                      <pic:spPr>
                        <a:xfrm>
                          <a:off x="39623" y="182618"/>
                          <a:ext cx="236220" cy="125102"/>
                        </a:xfrm>
                        <a:prstGeom prst="rect">
                          <a:avLst/>
                        </a:prstGeom>
                      </pic:spPr>
                    </pic:pic>
                    <wps:wsp>
                      <wps:cNvPr id="847" name="Graphic 847"/>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15712" id="docshapegroup659" coordorigin="6797,970" coordsize="497,550">
              <v:shape style="position:absolute;left:6859;top:1032;width:312;height:190" id="docshape660"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661" stroked="false">
                <v:imagedata r:id="rId3" o:title=""/>
              </v:shape>
              <v:shape style="position:absolute;left:6796;top:969;width:497;height:550" id="docshape662"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01280">
              <wp:simplePos x="0" y="0"/>
              <wp:positionH relativeFrom="page">
                <wp:posOffset>5571744</wp:posOffset>
              </wp:positionH>
              <wp:positionV relativeFrom="page">
                <wp:posOffset>704088</wp:posOffset>
              </wp:positionV>
              <wp:extent cx="608330" cy="76200"/>
              <wp:effectExtent l="0" t="0" r="0" b="0"/>
              <wp:wrapNone/>
              <wp:docPr id="848" name="Graphic 848"/>
              <wp:cNvGraphicFramePr>
                <a:graphicFrameLocks/>
              </wp:cNvGraphicFramePr>
              <a:graphic>
                <a:graphicData uri="http://schemas.microsoft.com/office/word/2010/wordprocessingShape">
                  <wps:wsp>
                    <wps:cNvPr id="848" name="Graphic 848"/>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15200" id="docshape663"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01792">
          <wp:simplePos x="0" y="0"/>
          <wp:positionH relativeFrom="page">
            <wp:posOffset>4315967</wp:posOffset>
          </wp:positionH>
          <wp:positionV relativeFrom="page">
            <wp:posOffset>525780</wp:posOffset>
          </wp:positionV>
          <wp:extent cx="316991" cy="70104"/>
          <wp:effectExtent l="0" t="0" r="0" b="0"/>
          <wp:wrapNone/>
          <wp:docPr id="867" name="Image 867"/>
          <wp:cNvGraphicFramePr>
            <a:graphicFrameLocks/>
          </wp:cNvGraphicFramePr>
          <a:graphic>
            <a:graphicData uri="http://schemas.openxmlformats.org/drawingml/2006/picture">
              <pic:pic>
                <pic:nvPicPr>
                  <pic:cNvPr id="867" name="Image 867"/>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02304">
              <wp:simplePos x="0" y="0"/>
              <wp:positionH relativeFrom="page">
                <wp:posOffset>5480303</wp:posOffset>
              </wp:positionH>
              <wp:positionV relativeFrom="page">
                <wp:posOffset>525780</wp:posOffset>
              </wp:positionV>
              <wp:extent cx="6350" cy="439420"/>
              <wp:effectExtent l="0" t="0" r="0" b="0"/>
              <wp:wrapNone/>
              <wp:docPr id="868" name="Graphic 868"/>
              <wp:cNvGraphicFramePr>
                <a:graphicFrameLocks/>
              </wp:cNvGraphicFramePr>
              <a:graphic>
                <a:graphicData uri="http://schemas.microsoft.com/office/word/2010/wordprocessingShape">
                  <wps:wsp>
                    <wps:cNvPr id="868" name="Graphic 868"/>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14176" id="docshape676" filled="true" fillcolor="#00587c" stroked="false">
              <v:fill type="solid"/>
              <w10:wrap type="none"/>
            </v:rect>
          </w:pict>
        </mc:Fallback>
      </mc:AlternateContent>
    </w:r>
    <w:r>
      <w:rPr>
        <w:sz w:val="20"/>
      </w:rPr>
      <w:drawing>
        <wp:anchor distT="0" distB="0" distL="0" distR="0" allowOverlap="1" layoutInCell="1" locked="0" behindDoc="1" simplePos="0" relativeHeight="474402816">
          <wp:simplePos x="0" y="0"/>
          <wp:positionH relativeFrom="page">
            <wp:posOffset>4721352</wp:posOffset>
          </wp:positionH>
          <wp:positionV relativeFrom="page">
            <wp:posOffset>612648</wp:posOffset>
          </wp:positionV>
          <wp:extent cx="681227" cy="292607"/>
          <wp:effectExtent l="0" t="0" r="0" b="0"/>
          <wp:wrapNone/>
          <wp:docPr id="869" name="Image 869"/>
          <wp:cNvGraphicFramePr>
            <a:graphicFrameLocks/>
          </wp:cNvGraphicFramePr>
          <a:graphic>
            <a:graphicData uri="http://schemas.openxmlformats.org/drawingml/2006/picture">
              <pic:pic>
                <pic:nvPicPr>
                  <pic:cNvPr id="869" name="Image 869"/>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03328">
              <wp:simplePos x="0" y="0"/>
              <wp:positionH relativeFrom="page">
                <wp:posOffset>4315967</wp:posOffset>
              </wp:positionH>
              <wp:positionV relativeFrom="page">
                <wp:posOffset>615696</wp:posOffset>
              </wp:positionV>
              <wp:extent cx="315595" cy="349250"/>
              <wp:effectExtent l="0" t="0" r="0" b="0"/>
              <wp:wrapNone/>
              <wp:docPr id="870" name="Group 870"/>
              <wp:cNvGraphicFramePr>
                <a:graphicFrameLocks/>
              </wp:cNvGraphicFramePr>
              <a:graphic>
                <a:graphicData uri="http://schemas.microsoft.com/office/word/2010/wordprocessingGroup">
                  <wpg:wgp>
                    <wpg:cNvPr id="870" name="Group 870"/>
                    <wpg:cNvGrpSpPr/>
                    <wpg:grpSpPr>
                      <a:xfrm>
                        <a:off x="0" y="0"/>
                        <a:ext cx="315595" cy="349250"/>
                        <a:chExt cx="315595" cy="349250"/>
                      </a:xfrm>
                    </wpg:grpSpPr>
                    <wps:wsp>
                      <wps:cNvPr id="871" name="Graphic 871"/>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872" name="Image 872"/>
                        <pic:cNvPicPr/>
                      </pic:nvPicPr>
                      <pic:blipFill>
                        <a:blip r:embed="rId3" cstate="print"/>
                        <a:stretch>
                          <a:fillRect/>
                        </a:stretch>
                      </pic:blipFill>
                      <pic:spPr>
                        <a:xfrm>
                          <a:off x="39623" y="182618"/>
                          <a:ext cx="236220" cy="125102"/>
                        </a:xfrm>
                        <a:prstGeom prst="rect">
                          <a:avLst/>
                        </a:prstGeom>
                      </pic:spPr>
                    </pic:pic>
                    <wps:wsp>
                      <wps:cNvPr id="873" name="Graphic 873"/>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13152" id="docshapegroup677" coordorigin="6797,970" coordsize="497,550">
              <v:shape style="position:absolute;left:6859;top:1032;width:312;height:190" id="docshape678"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679" stroked="false">
                <v:imagedata r:id="rId3" o:title=""/>
              </v:shape>
              <v:shape style="position:absolute;left:6796;top:969;width:497;height:550" id="docshape680"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03840">
              <wp:simplePos x="0" y="0"/>
              <wp:positionH relativeFrom="page">
                <wp:posOffset>5571744</wp:posOffset>
              </wp:positionH>
              <wp:positionV relativeFrom="page">
                <wp:posOffset>704088</wp:posOffset>
              </wp:positionV>
              <wp:extent cx="608330" cy="76200"/>
              <wp:effectExtent l="0" t="0" r="0" b="0"/>
              <wp:wrapNone/>
              <wp:docPr id="874" name="Graphic 874"/>
              <wp:cNvGraphicFramePr>
                <a:graphicFrameLocks/>
              </wp:cNvGraphicFramePr>
              <a:graphic>
                <a:graphicData uri="http://schemas.microsoft.com/office/word/2010/wordprocessingShape">
                  <wps:wsp>
                    <wps:cNvPr id="874" name="Graphic 874"/>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12640" id="docshape681"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04352">
          <wp:simplePos x="0" y="0"/>
          <wp:positionH relativeFrom="page">
            <wp:posOffset>4315967</wp:posOffset>
          </wp:positionH>
          <wp:positionV relativeFrom="page">
            <wp:posOffset>525780</wp:posOffset>
          </wp:positionV>
          <wp:extent cx="316991" cy="70104"/>
          <wp:effectExtent l="0" t="0" r="0" b="0"/>
          <wp:wrapNone/>
          <wp:docPr id="875" name="Image 875"/>
          <wp:cNvGraphicFramePr>
            <a:graphicFrameLocks/>
          </wp:cNvGraphicFramePr>
          <a:graphic>
            <a:graphicData uri="http://schemas.openxmlformats.org/drawingml/2006/picture">
              <pic:pic>
                <pic:nvPicPr>
                  <pic:cNvPr id="875" name="Image 875"/>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04864">
              <wp:simplePos x="0" y="0"/>
              <wp:positionH relativeFrom="page">
                <wp:posOffset>5480303</wp:posOffset>
              </wp:positionH>
              <wp:positionV relativeFrom="page">
                <wp:posOffset>525780</wp:posOffset>
              </wp:positionV>
              <wp:extent cx="6350" cy="439420"/>
              <wp:effectExtent l="0" t="0" r="0" b="0"/>
              <wp:wrapNone/>
              <wp:docPr id="876" name="Graphic 876"/>
              <wp:cNvGraphicFramePr>
                <a:graphicFrameLocks/>
              </wp:cNvGraphicFramePr>
              <a:graphic>
                <a:graphicData uri="http://schemas.microsoft.com/office/word/2010/wordprocessingShape">
                  <wps:wsp>
                    <wps:cNvPr id="876" name="Graphic 876"/>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11616" id="docshape682" filled="true" fillcolor="#00587c" stroked="false">
              <v:fill type="solid"/>
              <w10:wrap type="none"/>
            </v:rect>
          </w:pict>
        </mc:Fallback>
      </mc:AlternateContent>
    </w:r>
    <w:r>
      <w:rPr>
        <w:sz w:val="20"/>
      </w:rPr>
      <w:drawing>
        <wp:anchor distT="0" distB="0" distL="0" distR="0" allowOverlap="1" layoutInCell="1" locked="0" behindDoc="1" simplePos="0" relativeHeight="474405376">
          <wp:simplePos x="0" y="0"/>
          <wp:positionH relativeFrom="page">
            <wp:posOffset>4721352</wp:posOffset>
          </wp:positionH>
          <wp:positionV relativeFrom="page">
            <wp:posOffset>612648</wp:posOffset>
          </wp:positionV>
          <wp:extent cx="681227" cy="292607"/>
          <wp:effectExtent l="0" t="0" r="0" b="0"/>
          <wp:wrapNone/>
          <wp:docPr id="877" name="Image 877"/>
          <wp:cNvGraphicFramePr>
            <a:graphicFrameLocks/>
          </wp:cNvGraphicFramePr>
          <a:graphic>
            <a:graphicData uri="http://schemas.openxmlformats.org/drawingml/2006/picture">
              <pic:pic>
                <pic:nvPicPr>
                  <pic:cNvPr id="877" name="Image 877"/>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05888">
              <wp:simplePos x="0" y="0"/>
              <wp:positionH relativeFrom="page">
                <wp:posOffset>4315967</wp:posOffset>
              </wp:positionH>
              <wp:positionV relativeFrom="page">
                <wp:posOffset>615696</wp:posOffset>
              </wp:positionV>
              <wp:extent cx="315595" cy="349250"/>
              <wp:effectExtent l="0" t="0" r="0" b="0"/>
              <wp:wrapNone/>
              <wp:docPr id="878" name="Group 878"/>
              <wp:cNvGraphicFramePr>
                <a:graphicFrameLocks/>
              </wp:cNvGraphicFramePr>
              <a:graphic>
                <a:graphicData uri="http://schemas.microsoft.com/office/word/2010/wordprocessingGroup">
                  <wpg:wgp>
                    <wpg:cNvPr id="878" name="Group 878"/>
                    <wpg:cNvGrpSpPr/>
                    <wpg:grpSpPr>
                      <a:xfrm>
                        <a:off x="0" y="0"/>
                        <a:ext cx="315595" cy="349250"/>
                        <a:chExt cx="315595" cy="349250"/>
                      </a:xfrm>
                    </wpg:grpSpPr>
                    <wps:wsp>
                      <wps:cNvPr id="879" name="Graphic 879"/>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880" name="Image 880"/>
                        <pic:cNvPicPr/>
                      </pic:nvPicPr>
                      <pic:blipFill>
                        <a:blip r:embed="rId3" cstate="print"/>
                        <a:stretch>
                          <a:fillRect/>
                        </a:stretch>
                      </pic:blipFill>
                      <pic:spPr>
                        <a:xfrm>
                          <a:off x="39623" y="182618"/>
                          <a:ext cx="236220" cy="125102"/>
                        </a:xfrm>
                        <a:prstGeom prst="rect">
                          <a:avLst/>
                        </a:prstGeom>
                      </pic:spPr>
                    </pic:pic>
                    <wps:wsp>
                      <wps:cNvPr id="881" name="Graphic 881"/>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10592" id="docshapegroup683" coordorigin="6797,970" coordsize="497,550">
              <v:shape style="position:absolute;left:6859;top:1032;width:312;height:190" id="docshape684"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685" stroked="false">
                <v:imagedata r:id="rId3" o:title=""/>
              </v:shape>
              <v:shape style="position:absolute;left:6796;top:969;width:497;height:550" id="docshape686"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06400">
              <wp:simplePos x="0" y="0"/>
              <wp:positionH relativeFrom="page">
                <wp:posOffset>5571744</wp:posOffset>
              </wp:positionH>
              <wp:positionV relativeFrom="page">
                <wp:posOffset>704088</wp:posOffset>
              </wp:positionV>
              <wp:extent cx="608330" cy="76200"/>
              <wp:effectExtent l="0" t="0" r="0" b="0"/>
              <wp:wrapNone/>
              <wp:docPr id="882" name="Graphic 882"/>
              <wp:cNvGraphicFramePr>
                <a:graphicFrameLocks/>
              </wp:cNvGraphicFramePr>
              <a:graphic>
                <a:graphicData uri="http://schemas.microsoft.com/office/word/2010/wordprocessingShape">
                  <wps:wsp>
                    <wps:cNvPr id="882" name="Graphic 882"/>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10080" id="docshape687"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7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06912">
          <wp:simplePos x="0" y="0"/>
          <wp:positionH relativeFrom="page">
            <wp:posOffset>4315967</wp:posOffset>
          </wp:positionH>
          <wp:positionV relativeFrom="page">
            <wp:posOffset>525780</wp:posOffset>
          </wp:positionV>
          <wp:extent cx="316991" cy="70104"/>
          <wp:effectExtent l="0" t="0" r="0" b="0"/>
          <wp:wrapNone/>
          <wp:docPr id="900" name="Image 900"/>
          <wp:cNvGraphicFramePr>
            <a:graphicFrameLocks/>
          </wp:cNvGraphicFramePr>
          <a:graphic>
            <a:graphicData uri="http://schemas.openxmlformats.org/drawingml/2006/picture">
              <pic:pic>
                <pic:nvPicPr>
                  <pic:cNvPr id="900" name="Image 90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07424">
              <wp:simplePos x="0" y="0"/>
              <wp:positionH relativeFrom="page">
                <wp:posOffset>5480303</wp:posOffset>
              </wp:positionH>
              <wp:positionV relativeFrom="page">
                <wp:posOffset>525780</wp:posOffset>
              </wp:positionV>
              <wp:extent cx="6350" cy="439420"/>
              <wp:effectExtent l="0" t="0" r="0" b="0"/>
              <wp:wrapNone/>
              <wp:docPr id="901" name="Graphic 901"/>
              <wp:cNvGraphicFramePr>
                <a:graphicFrameLocks/>
              </wp:cNvGraphicFramePr>
              <a:graphic>
                <a:graphicData uri="http://schemas.microsoft.com/office/word/2010/wordprocessingShape">
                  <wps:wsp>
                    <wps:cNvPr id="901" name="Graphic 90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09056" id="docshape699" filled="true" fillcolor="#00587c" stroked="false">
              <v:fill type="solid"/>
              <w10:wrap type="none"/>
            </v:rect>
          </w:pict>
        </mc:Fallback>
      </mc:AlternateContent>
    </w:r>
    <w:r>
      <w:rPr>
        <w:sz w:val="20"/>
      </w:rPr>
      <w:drawing>
        <wp:anchor distT="0" distB="0" distL="0" distR="0" allowOverlap="1" layoutInCell="1" locked="0" behindDoc="1" simplePos="0" relativeHeight="474407936">
          <wp:simplePos x="0" y="0"/>
          <wp:positionH relativeFrom="page">
            <wp:posOffset>4721352</wp:posOffset>
          </wp:positionH>
          <wp:positionV relativeFrom="page">
            <wp:posOffset>612648</wp:posOffset>
          </wp:positionV>
          <wp:extent cx="681227" cy="292607"/>
          <wp:effectExtent l="0" t="0" r="0" b="0"/>
          <wp:wrapNone/>
          <wp:docPr id="902" name="Image 902"/>
          <wp:cNvGraphicFramePr>
            <a:graphicFrameLocks/>
          </wp:cNvGraphicFramePr>
          <a:graphic>
            <a:graphicData uri="http://schemas.openxmlformats.org/drawingml/2006/picture">
              <pic:pic>
                <pic:nvPicPr>
                  <pic:cNvPr id="902" name="Image 90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08448">
              <wp:simplePos x="0" y="0"/>
              <wp:positionH relativeFrom="page">
                <wp:posOffset>4315967</wp:posOffset>
              </wp:positionH>
              <wp:positionV relativeFrom="page">
                <wp:posOffset>615696</wp:posOffset>
              </wp:positionV>
              <wp:extent cx="315595" cy="349250"/>
              <wp:effectExtent l="0" t="0" r="0" b="0"/>
              <wp:wrapNone/>
              <wp:docPr id="903" name="Group 903"/>
              <wp:cNvGraphicFramePr>
                <a:graphicFrameLocks/>
              </wp:cNvGraphicFramePr>
              <a:graphic>
                <a:graphicData uri="http://schemas.microsoft.com/office/word/2010/wordprocessingGroup">
                  <wpg:wgp>
                    <wpg:cNvPr id="903" name="Group 903"/>
                    <wpg:cNvGrpSpPr/>
                    <wpg:grpSpPr>
                      <a:xfrm>
                        <a:off x="0" y="0"/>
                        <a:ext cx="315595" cy="349250"/>
                        <a:chExt cx="315595" cy="349250"/>
                      </a:xfrm>
                    </wpg:grpSpPr>
                    <wps:wsp>
                      <wps:cNvPr id="904" name="Graphic 90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905" name="Image 905"/>
                        <pic:cNvPicPr/>
                      </pic:nvPicPr>
                      <pic:blipFill>
                        <a:blip r:embed="rId3" cstate="print"/>
                        <a:stretch>
                          <a:fillRect/>
                        </a:stretch>
                      </pic:blipFill>
                      <pic:spPr>
                        <a:xfrm>
                          <a:off x="39623" y="182618"/>
                          <a:ext cx="236220" cy="125102"/>
                        </a:xfrm>
                        <a:prstGeom prst="rect">
                          <a:avLst/>
                        </a:prstGeom>
                      </pic:spPr>
                    </pic:pic>
                    <wps:wsp>
                      <wps:cNvPr id="906" name="Graphic 90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08032" id="docshapegroup700" coordorigin="6797,970" coordsize="497,550">
              <v:shape style="position:absolute;left:6859;top:1032;width:312;height:190" id="docshape701"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702" stroked="false">
                <v:imagedata r:id="rId3" o:title=""/>
              </v:shape>
              <v:shape style="position:absolute;left:6796;top:969;width:497;height:550" id="docshape703"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08960">
              <wp:simplePos x="0" y="0"/>
              <wp:positionH relativeFrom="page">
                <wp:posOffset>5571744</wp:posOffset>
              </wp:positionH>
              <wp:positionV relativeFrom="page">
                <wp:posOffset>704088</wp:posOffset>
              </wp:positionV>
              <wp:extent cx="608330" cy="76200"/>
              <wp:effectExtent l="0" t="0" r="0" b="0"/>
              <wp:wrapNone/>
              <wp:docPr id="907" name="Graphic 907"/>
              <wp:cNvGraphicFramePr>
                <a:graphicFrameLocks/>
              </wp:cNvGraphicFramePr>
              <a:graphic>
                <a:graphicData uri="http://schemas.microsoft.com/office/word/2010/wordprocessingShape">
                  <wps:wsp>
                    <wps:cNvPr id="907" name="Graphic 90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07520" id="docshape704"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8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09472">
          <wp:simplePos x="0" y="0"/>
          <wp:positionH relativeFrom="page">
            <wp:posOffset>4315967</wp:posOffset>
          </wp:positionH>
          <wp:positionV relativeFrom="page">
            <wp:posOffset>525780</wp:posOffset>
          </wp:positionV>
          <wp:extent cx="316991" cy="70104"/>
          <wp:effectExtent l="0" t="0" r="0" b="0"/>
          <wp:wrapNone/>
          <wp:docPr id="908" name="Image 908"/>
          <wp:cNvGraphicFramePr>
            <a:graphicFrameLocks/>
          </wp:cNvGraphicFramePr>
          <a:graphic>
            <a:graphicData uri="http://schemas.openxmlformats.org/drawingml/2006/picture">
              <pic:pic>
                <pic:nvPicPr>
                  <pic:cNvPr id="908" name="Image 90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09984">
              <wp:simplePos x="0" y="0"/>
              <wp:positionH relativeFrom="page">
                <wp:posOffset>5480303</wp:posOffset>
              </wp:positionH>
              <wp:positionV relativeFrom="page">
                <wp:posOffset>525780</wp:posOffset>
              </wp:positionV>
              <wp:extent cx="6350" cy="439420"/>
              <wp:effectExtent l="0" t="0" r="0" b="0"/>
              <wp:wrapNone/>
              <wp:docPr id="909" name="Graphic 909"/>
              <wp:cNvGraphicFramePr>
                <a:graphicFrameLocks/>
              </wp:cNvGraphicFramePr>
              <a:graphic>
                <a:graphicData uri="http://schemas.microsoft.com/office/word/2010/wordprocessingShape">
                  <wps:wsp>
                    <wps:cNvPr id="909" name="Graphic 90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06496" id="docshape705" filled="true" fillcolor="#00587c" stroked="false">
              <v:fill type="solid"/>
              <w10:wrap type="none"/>
            </v:rect>
          </w:pict>
        </mc:Fallback>
      </mc:AlternateContent>
    </w:r>
    <w:r>
      <w:rPr>
        <w:sz w:val="20"/>
      </w:rPr>
      <w:drawing>
        <wp:anchor distT="0" distB="0" distL="0" distR="0" allowOverlap="1" layoutInCell="1" locked="0" behindDoc="1" simplePos="0" relativeHeight="474410496">
          <wp:simplePos x="0" y="0"/>
          <wp:positionH relativeFrom="page">
            <wp:posOffset>4721352</wp:posOffset>
          </wp:positionH>
          <wp:positionV relativeFrom="page">
            <wp:posOffset>612648</wp:posOffset>
          </wp:positionV>
          <wp:extent cx="681227" cy="292607"/>
          <wp:effectExtent l="0" t="0" r="0" b="0"/>
          <wp:wrapNone/>
          <wp:docPr id="910" name="Image 910"/>
          <wp:cNvGraphicFramePr>
            <a:graphicFrameLocks/>
          </wp:cNvGraphicFramePr>
          <a:graphic>
            <a:graphicData uri="http://schemas.openxmlformats.org/drawingml/2006/picture">
              <pic:pic>
                <pic:nvPicPr>
                  <pic:cNvPr id="910" name="Image 91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11008">
              <wp:simplePos x="0" y="0"/>
              <wp:positionH relativeFrom="page">
                <wp:posOffset>4315967</wp:posOffset>
              </wp:positionH>
              <wp:positionV relativeFrom="page">
                <wp:posOffset>615696</wp:posOffset>
              </wp:positionV>
              <wp:extent cx="315595" cy="349250"/>
              <wp:effectExtent l="0" t="0" r="0" b="0"/>
              <wp:wrapNone/>
              <wp:docPr id="911" name="Group 911"/>
              <wp:cNvGraphicFramePr>
                <a:graphicFrameLocks/>
              </wp:cNvGraphicFramePr>
              <a:graphic>
                <a:graphicData uri="http://schemas.microsoft.com/office/word/2010/wordprocessingGroup">
                  <wpg:wgp>
                    <wpg:cNvPr id="911" name="Group 911"/>
                    <wpg:cNvGrpSpPr/>
                    <wpg:grpSpPr>
                      <a:xfrm>
                        <a:off x="0" y="0"/>
                        <a:ext cx="315595" cy="349250"/>
                        <a:chExt cx="315595" cy="349250"/>
                      </a:xfrm>
                    </wpg:grpSpPr>
                    <wps:wsp>
                      <wps:cNvPr id="912" name="Graphic 91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913" name="Image 913"/>
                        <pic:cNvPicPr/>
                      </pic:nvPicPr>
                      <pic:blipFill>
                        <a:blip r:embed="rId3" cstate="print"/>
                        <a:stretch>
                          <a:fillRect/>
                        </a:stretch>
                      </pic:blipFill>
                      <pic:spPr>
                        <a:xfrm>
                          <a:off x="39623" y="182618"/>
                          <a:ext cx="236220" cy="125102"/>
                        </a:xfrm>
                        <a:prstGeom prst="rect">
                          <a:avLst/>
                        </a:prstGeom>
                      </pic:spPr>
                    </pic:pic>
                    <wps:wsp>
                      <wps:cNvPr id="914" name="Graphic 91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05472" id="docshapegroup706" coordorigin="6797,970" coordsize="497,550">
              <v:shape style="position:absolute;left:6859;top:1032;width:312;height:190" id="docshape707"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708" stroked="false">
                <v:imagedata r:id="rId3" o:title=""/>
              </v:shape>
              <v:shape style="position:absolute;left:6796;top:969;width:497;height:550" id="docshape709"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11520">
              <wp:simplePos x="0" y="0"/>
              <wp:positionH relativeFrom="page">
                <wp:posOffset>5571744</wp:posOffset>
              </wp:positionH>
              <wp:positionV relativeFrom="page">
                <wp:posOffset>704088</wp:posOffset>
              </wp:positionV>
              <wp:extent cx="608330" cy="76200"/>
              <wp:effectExtent l="0" t="0" r="0" b="0"/>
              <wp:wrapNone/>
              <wp:docPr id="915" name="Graphic 915"/>
              <wp:cNvGraphicFramePr>
                <a:graphicFrameLocks/>
              </wp:cNvGraphicFramePr>
              <a:graphic>
                <a:graphicData uri="http://schemas.microsoft.com/office/word/2010/wordprocessingShape">
                  <wps:wsp>
                    <wps:cNvPr id="915" name="Graphic 91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04960" id="docshape710"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12032">
          <wp:simplePos x="0" y="0"/>
          <wp:positionH relativeFrom="page">
            <wp:posOffset>4315967</wp:posOffset>
          </wp:positionH>
          <wp:positionV relativeFrom="page">
            <wp:posOffset>525780</wp:posOffset>
          </wp:positionV>
          <wp:extent cx="316991" cy="70104"/>
          <wp:effectExtent l="0" t="0" r="0" b="0"/>
          <wp:wrapNone/>
          <wp:docPr id="940" name="Image 940"/>
          <wp:cNvGraphicFramePr>
            <a:graphicFrameLocks/>
          </wp:cNvGraphicFramePr>
          <a:graphic>
            <a:graphicData uri="http://schemas.openxmlformats.org/drawingml/2006/picture">
              <pic:pic>
                <pic:nvPicPr>
                  <pic:cNvPr id="940" name="Image 94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12544">
              <wp:simplePos x="0" y="0"/>
              <wp:positionH relativeFrom="page">
                <wp:posOffset>5480303</wp:posOffset>
              </wp:positionH>
              <wp:positionV relativeFrom="page">
                <wp:posOffset>525780</wp:posOffset>
              </wp:positionV>
              <wp:extent cx="6350" cy="439420"/>
              <wp:effectExtent l="0" t="0" r="0" b="0"/>
              <wp:wrapNone/>
              <wp:docPr id="941" name="Graphic 941"/>
              <wp:cNvGraphicFramePr>
                <a:graphicFrameLocks/>
              </wp:cNvGraphicFramePr>
              <a:graphic>
                <a:graphicData uri="http://schemas.microsoft.com/office/word/2010/wordprocessingShape">
                  <wps:wsp>
                    <wps:cNvPr id="941" name="Graphic 94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03936" id="docshape723" filled="true" fillcolor="#00587c" stroked="false">
              <v:fill type="solid"/>
              <w10:wrap type="none"/>
            </v:rect>
          </w:pict>
        </mc:Fallback>
      </mc:AlternateContent>
    </w:r>
    <w:r>
      <w:rPr>
        <w:sz w:val="20"/>
      </w:rPr>
      <w:drawing>
        <wp:anchor distT="0" distB="0" distL="0" distR="0" allowOverlap="1" layoutInCell="1" locked="0" behindDoc="1" simplePos="0" relativeHeight="474413056">
          <wp:simplePos x="0" y="0"/>
          <wp:positionH relativeFrom="page">
            <wp:posOffset>4721352</wp:posOffset>
          </wp:positionH>
          <wp:positionV relativeFrom="page">
            <wp:posOffset>612648</wp:posOffset>
          </wp:positionV>
          <wp:extent cx="681227" cy="292607"/>
          <wp:effectExtent l="0" t="0" r="0" b="0"/>
          <wp:wrapNone/>
          <wp:docPr id="942" name="Image 942"/>
          <wp:cNvGraphicFramePr>
            <a:graphicFrameLocks/>
          </wp:cNvGraphicFramePr>
          <a:graphic>
            <a:graphicData uri="http://schemas.openxmlformats.org/drawingml/2006/picture">
              <pic:pic>
                <pic:nvPicPr>
                  <pic:cNvPr id="942" name="Image 94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13568">
              <wp:simplePos x="0" y="0"/>
              <wp:positionH relativeFrom="page">
                <wp:posOffset>4315967</wp:posOffset>
              </wp:positionH>
              <wp:positionV relativeFrom="page">
                <wp:posOffset>615696</wp:posOffset>
              </wp:positionV>
              <wp:extent cx="315595" cy="349250"/>
              <wp:effectExtent l="0" t="0" r="0" b="0"/>
              <wp:wrapNone/>
              <wp:docPr id="943" name="Group 943"/>
              <wp:cNvGraphicFramePr>
                <a:graphicFrameLocks/>
              </wp:cNvGraphicFramePr>
              <a:graphic>
                <a:graphicData uri="http://schemas.microsoft.com/office/word/2010/wordprocessingGroup">
                  <wpg:wgp>
                    <wpg:cNvPr id="943" name="Group 943"/>
                    <wpg:cNvGrpSpPr/>
                    <wpg:grpSpPr>
                      <a:xfrm>
                        <a:off x="0" y="0"/>
                        <a:ext cx="315595" cy="349250"/>
                        <a:chExt cx="315595" cy="349250"/>
                      </a:xfrm>
                    </wpg:grpSpPr>
                    <wps:wsp>
                      <wps:cNvPr id="944" name="Graphic 94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945" name="Image 945"/>
                        <pic:cNvPicPr/>
                      </pic:nvPicPr>
                      <pic:blipFill>
                        <a:blip r:embed="rId3" cstate="print"/>
                        <a:stretch>
                          <a:fillRect/>
                        </a:stretch>
                      </pic:blipFill>
                      <pic:spPr>
                        <a:xfrm>
                          <a:off x="39623" y="182618"/>
                          <a:ext cx="236220" cy="125102"/>
                        </a:xfrm>
                        <a:prstGeom prst="rect">
                          <a:avLst/>
                        </a:prstGeom>
                      </pic:spPr>
                    </pic:pic>
                    <wps:wsp>
                      <wps:cNvPr id="946" name="Graphic 94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02912" id="docshapegroup724" coordorigin="6797,970" coordsize="497,550">
              <v:shape style="position:absolute;left:6859;top:1032;width:312;height:190" id="docshape725"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726" stroked="false">
                <v:imagedata r:id="rId3" o:title=""/>
              </v:shape>
              <v:shape style="position:absolute;left:6796;top:969;width:497;height:550" id="docshape727"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14080">
              <wp:simplePos x="0" y="0"/>
              <wp:positionH relativeFrom="page">
                <wp:posOffset>5571744</wp:posOffset>
              </wp:positionH>
              <wp:positionV relativeFrom="page">
                <wp:posOffset>704088</wp:posOffset>
              </wp:positionV>
              <wp:extent cx="608330" cy="76200"/>
              <wp:effectExtent l="0" t="0" r="0" b="0"/>
              <wp:wrapNone/>
              <wp:docPr id="947" name="Graphic 947"/>
              <wp:cNvGraphicFramePr>
                <a:graphicFrameLocks/>
              </wp:cNvGraphicFramePr>
              <a:graphic>
                <a:graphicData uri="http://schemas.microsoft.com/office/word/2010/wordprocessingShape">
                  <wps:wsp>
                    <wps:cNvPr id="947" name="Graphic 94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902400" id="docshape728"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14592">
          <wp:simplePos x="0" y="0"/>
          <wp:positionH relativeFrom="page">
            <wp:posOffset>4315967</wp:posOffset>
          </wp:positionH>
          <wp:positionV relativeFrom="page">
            <wp:posOffset>525780</wp:posOffset>
          </wp:positionV>
          <wp:extent cx="316991" cy="70104"/>
          <wp:effectExtent l="0" t="0" r="0" b="0"/>
          <wp:wrapNone/>
          <wp:docPr id="948" name="Image 948"/>
          <wp:cNvGraphicFramePr>
            <a:graphicFrameLocks/>
          </wp:cNvGraphicFramePr>
          <a:graphic>
            <a:graphicData uri="http://schemas.openxmlformats.org/drawingml/2006/picture">
              <pic:pic>
                <pic:nvPicPr>
                  <pic:cNvPr id="948" name="Image 94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15104">
              <wp:simplePos x="0" y="0"/>
              <wp:positionH relativeFrom="page">
                <wp:posOffset>5480303</wp:posOffset>
              </wp:positionH>
              <wp:positionV relativeFrom="page">
                <wp:posOffset>525780</wp:posOffset>
              </wp:positionV>
              <wp:extent cx="6350" cy="439420"/>
              <wp:effectExtent l="0" t="0" r="0" b="0"/>
              <wp:wrapNone/>
              <wp:docPr id="949" name="Graphic 949"/>
              <wp:cNvGraphicFramePr>
                <a:graphicFrameLocks/>
              </wp:cNvGraphicFramePr>
              <a:graphic>
                <a:graphicData uri="http://schemas.microsoft.com/office/word/2010/wordprocessingShape">
                  <wps:wsp>
                    <wps:cNvPr id="949" name="Graphic 94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901376" id="docshape729" filled="true" fillcolor="#00587c" stroked="false">
              <v:fill type="solid"/>
              <w10:wrap type="none"/>
            </v:rect>
          </w:pict>
        </mc:Fallback>
      </mc:AlternateContent>
    </w:r>
    <w:r>
      <w:rPr>
        <w:sz w:val="20"/>
      </w:rPr>
      <w:drawing>
        <wp:anchor distT="0" distB="0" distL="0" distR="0" allowOverlap="1" layoutInCell="1" locked="0" behindDoc="1" simplePos="0" relativeHeight="474415616">
          <wp:simplePos x="0" y="0"/>
          <wp:positionH relativeFrom="page">
            <wp:posOffset>4721352</wp:posOffset>
          </wp:positionH>
          <wp:positionV relativeFrom="page">
            <wp:posOffset>612648</wp:posOffset>
          </wp:positionV>
          <wp:extent cx="681227" cy="292607"/>
          <wp:effectExtent l="0" t="0" r="0" b="0"/>
          <wp:wrapNone/>
          <wp:docPr id="950" name="Image 950"/>
          <wp:cNvGraphicFramePr>
            <a:graphicFrameLocks/>
          </wp:cNvGraphicFramePr>
          <a:graphic>
            <a:graphicData uri="http://schemas.openxmlformats.org/drawingml/2006/picture">
              <pic:pic>
                <pic:nvPicPr>
                  <pic:cNvPr id="950" name="Image 95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16128">
              <wp:simplePos x="0" y="0"/>
              <wp:positionH relativeFrom="page">
                <wp:posOffset>4315967</wp:posOffset>
              </wp:positionH>
              <wp:positionV relativeFrom="page">
                <wp:posOffset>615696</wp:posOffset>
              </wp:positionV>
              <wp:extent cx="315595" cy="349250"/>
              <wp:effectExtent l="0" t="0" r="0" b="0"/>
              <wp:wrapNone/>
              <wp:docPr id="951" name="Group 951"/>
              <wp:cNvGraphicFramePr>
                <a:graphicFrameLocks/>
              </wp:cNvGraphicFramePr>
              <a:graphic>
                <a:graphicData uri="http://schemas.microsoft.com/office/word/2010/wordprocessingGroup">
                  <wpg:wgp>
                    <wpg:cNvPr id="951" name="Group 951"/>
                    <wpg:cNvGrpSpPr/>
                    <wpg:grpSpPr>
                      <a:xfrm>
                        <a:off x="0" y="0"/>
                        <a:ext cx="315595" cy="349250"/>
                        <a:chExt cx="315595" cy="349250"/>
                      </a:xfrm>
                    </wpg:grpSpPr>
                    <wps:wsp>
                      <wps:cNvPr id="952" name="Graphic 95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953" name="Image 953"/>
                        <pic:cNvPicPr/>
                      </pic:nvPicPr>
                      <pic:blipFill>
                        <a:blip r:embed="rId3" cstate="print"/>
                        <a:stretch>
                          <a:fillRect/>
                        </a:stretch>
                      </pic:blipFill>
                      <pic:spPr>
                        <a:xfrm>
                          <a:off x="39623" y="182618"/>
                          <a:ext cx="236220" cy="125102"/>
                        </a:xfrm>
                        <a:prstGeom prst="rect">
                          <a:avLst/>
                        </a:prstGeom>
                      </pic:spPr>
                    </pic:pic>
                    <wps:wsp>
                      <wps:cNvPr id="954" name="Graphic 95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900352" id="docshapegroup730" coordorigin="6797,970" coordsize="497,550">
              <v:shape style="position:absolute;left:6859;top:1032;width:312;height:190" id="docshape731"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732" stroked="false">
                <v:imagedata r:id="rId3" o:title=""/>
              </v:shape>
              <v:shape style="position:absolute;left:6796;top:969;width:497;height:550" id="docshape733"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16640">
              <wp:simplePos x="0" y="0"/>
              <wp:positionH relativeFrom="page">
                <wp:posOffset>5571744</wp:posOffset>
              </wp:positionH>
              <wp:positionV relativeFrom="page">
                <wp:posOffset>704088</wp:posOffset>
              </wp:positionV>
              <wp:extent cx="608330" cy="76200"/>
              <wp:effectExtent l="0" t="0" r="0" b="0"/>
              <wp:wrapNone/>
              <wp:docPr id="955" name="Graphic 955"/>
              <wp:cNvGraphicFramePr>
                <a:graphicFrameLocks/>
              </wp:cNvGraphicFramePr>
              <a:graphic>
                <a:graphicData uri="http://schemas.microsoft.com/office/word/2010/wordprocessingShape">
                  <wps:wsp>
                    <wps:cNvPr id="955" name="Graphic 95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99840" id="docshape734"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17152">
          <wp:simplePos x="0" y="0"/>
          <wp:positionH relativeFrom="page">
            <wp:posOffset>4315967</wp:posOffset>
          </wp:positionH>
          <wp:positionV relativeFrom="page">
            <wp:posOffset>525780</wp:posOffset>
          </wp:positionV>
          <wp:extent cx="316991" cy="70104"/>
          <wp:effectExtent l="0" t="0" r="0" b="0"/>
          <wp:wrapNone/>
          <wp:docPr id="980" name="Image 980"/>
          <wp:cNvGraphicFramePr>
            <a:graphicFrameLocks/>
          </wp:cNvGraphicFramePr>
          <a:graphic>
            <a:graphicData uri="http://schemas.openxmlformats.org/drawingml/2006/picture">
              <pic:pic>
                <pic:nvPicPr>
                  <pic:cNvPr id="980" name="Image 98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17664">
              <wp:simplePos x="0" y="0"/>
              <wp:positionH relativeFrom="page">
                <wp:posOffset>5480303</wp:posOffset>
              </wp:positionH>
              <wp:positionV relativeFrom="page">
                <wp:posOffset>525780</wp:posOffset>
              </wp:positionV>
              <wp:extent cx="6350" cy="439420"/>
              <wp:effectExtent l="0" t="0" r="0" b="0"/>
              <wp:wrapNone/>
              <wp:docPr id="981" name="Graphic 981"/>
              <wp:cNvGraphicFramePr>
                <a:graphicFrameLocks/>
              </wp:cNvGraphicFramePr>
              <a:graphic>
                <a:graphicData uri="http://schemas.microsoft.com/office/word/2010/wordprocessingShape">
                  <wps:wsp>
                    <wps:cNvPr id="981" name="Graphic 98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98816" id="docshape747" filled="true" fillcolor="#00587c" stroked="false">
              <v:fill type="solid"/>
              <w10:wrap type="none"/>
            </v:rect>
          </w:pict>
        </mc:Fallback>
      </mc:AlternateContent>
    </w:r>
    <w:r>
      <w:rPr>
        <w:sz w:val="20"/>
      </w:rPr>
      <w:drawing>
        <wp:anchor distT="0" distB="0" distL="0" distR="0" allowOverlap="1" layoutInCell="1" locked="0" behindDoc="1" simplePos="0" relativeHeight="474418176">
          <wp:simplePos x="0" y="0"/>
          <wp:positionH relativeFrom="page">
            <wp:posOffset>4721352</wp:posOffset>
          </wp:positionH>
          <wp:positionV relativeFrom="page">
            <wp:posOffset>612648</wp:posOffset>
          </wp:positionV>
          <wp:extent cx="681227" cy="292607"/>
          <wp:effectExtent l="0" t="0" r="0" b="0"/>
          <wp:wrapNone/>
          <wp:docPr id="982" name="Image 982"/>
          <wp:cNvGraphicFramePr>
            <a:graphicFrameLocks/>
          </wp:cNvGraphicFramePr>
          <a:graphic>
            <a:graphicData uri="http://schemas.openxmlformats.org/drawingml/2006/picture">
              <pic:pic>
                <pic:nvPicPr>
                  <pic:cNvPr id="982" name="Image 98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18688">
              <wp:simplePos x="0" y="0"/>
              <wp:positionH relativeFrom="page">
                <wp:posOffset>4315967</wp:posOffset>
              </wp:positionH>
              <wp:positionV relativeFrom="page">
                <wp:posOffset>615696</wp:posOffset>
              </wp:positionV>
              <wp:extent cx="315595" cy="349250"/>
              <wp:effectExtent l="0" t="0" r="0" b="0"/>
              <wp:wrapNone/>
              <wp:docPr id="983" name="Group 983"/>
              <wp:cNvGraphicFramePr>
                <a:graphicFrameLocks/>
              </wp:cNvGraphicFramePr>
              <a:graphic>
                <a:graphicData uri="http://schemas.microsoft.com/office/word/2010/wordprocessingGroup">
                  <wpg:wgp>
                    <wpg:cNvPr id="983" name="Group 983"/>
                    <wpg:cNvGrpSpPr/>
                    <wpg:grpSpPr>
                      <a:xfrm>
                        <a:off x="0" y="0"/>
                        <a:ext cx="315595" cy="349250"/>
                        <a:chExt cx="315595" cy="349250"/>
                      </a:xfrm>
                    </wpg:grpSpPr>
                    <wps:wsp>
                      <wps:cNvPr id="984" name="Graphic 98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985" name="Image 985"/>
                        <pic:cNvPicPr/>
                      </pic:nvPicPr>
                      <pic:blipFill>
                        <a:blip r:embed="rId3" cstate="print"/>
                        <a:stretch>
                          <a:fillRect/>
                        </a:stretch>
                      </pic:blipFill>
                      <pic:spPr>
                        <a:xfrm>
                          <a:off x="39623" y="182618"/>
                          <a:ext cx="236220" cy="125102"/>
                        </a:xfrm>
                        <a:prstGeom prst="rect">
                          <a:avLst/>
                        </a:prstGeom>
                      </pic:spPr>
                    </pic:pic>
                    <wps:wsp>
                      <wps:cNvPr id="986" name="Graphic 98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97792" id="docshapegroup748" coordorigin="6797,970" coordsize="497,550">
              <v:shape style="position:absolute;left:6859;top:1032;width:312;height:190" id="docshape749"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750" stroked="false">
                <v:imagedata r:id="rId3" o:title=""/>
              </v:shape>
              <v:shape style="position:absolute;left:6796;top:969;width:497;height:550" id="docshape751"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19200">
              <wp:simplePos x="0" y="0"/>
              <wp:positionH relativeFrom="page">
                <wp:posOffset>5571744</wp:posOffset>
              </wp:positionH>
              <wp:positionV relativeFrom="page">
                <wp:posOffset>704088</wp:posOffset>
              </wp:positionV>
              <wp:extent cx="608330" cy="76200"/>
              <wp:effectExtent l="0" t="0" r="0" b="0"/>
              <wp:wrapNone/>
              <wp:docPr id="987" name="Graphic 987"/>
              <wp:cNvGraphicFramePr>
                <a:graphicFrameLocks/>
              </wp:cNvGraphicFramePr>
              <a:graphic>
                <a:graphicData uri="http://schemas.microsoft.com/office/word/2010/wordprocessingShape">
                  <wps:wsp>
                    <wps:cNvPr id="987" name="Graphic 98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97280" id="docshape752"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19712">
          <wp:simplePos x="0" y="0"/>
          <wp:positionH relativeFrom="page">
            <wp:posOffset>4315967</wp:posOffset>
          </wp:positionH>
          <wp:positionV relativeFrom="page">
            <wp:posOffset>525780</wp:posOffset>
          </wp:positionV>
          <wp:extent cx="316991" cy="70104"/>
          <wp:effectExtent l="0" t="0" r="0" b="0"/>
          <wp:wrapNone/>
          <wp:docPr id="988" name="Image 988"/>
          <wp:cNvGraphicFramePr>
            <a:graphicFrameLocks/>
          </wp:cNvGraphicFramePr>
          <a:graphic>
            <a:graphicData uri="http://schemas.openxmlformats.org/drawingml/2006/picture">
              <pic:pic>
                <pic:nvPicPr>
                  <pic:cNvPr id="988" name="Image 98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20224">
              <wp:simplePos x="0" y="0"/>
              <wp:positionH relativeFrom="page">
                <wp:posOffset>5480303</wp:posOffset>
              </wp:positionH>
              <wp:positionV relativeFrom="page">
                <wp:posOffset>525780</wp:posOffset>
              </wp:positionV>
              <wp:extent cx="6350" cy="439420"/>
              <wp:effectExtent l="0" t="0" r="0" b="0"/>
              <wp:wrapNone/>
              <wp:docPr id="989" name="Graphic 989"/>
              <wp:cNvGraphicFramePr>
                <a:graphicFrameLocks/>
              </wp:cNvGraphicFramePr>
              <a:graphic>
                <a:graphicData uri="http://schemas.microsoft.com/office/word/2010/wordprocessingShape">
                  <wps:wsp>
                    <wps:cNvPr id="989" name="Graphic 98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96256" id="docshape753" filled="true" fillcolor="#00587c" stroked="false">
              <v:fill type="solid"/>
              <w10:wrap type="none"/>
            </v:rect>
          </w:pict>
        </mc:Fallback>
      </mc:AlternateContent>
    </w:r>
    <w:r>
      <w:rPr>
        <w:sz w:val="20"/>
      </w:rPr>
      <w:drawing>
        <wp:anchor distT="0" distB="0" distL="0" distR="0" allowOverlap="1" layoutInCell="1" locked="0" behindDoc="1" simplePos="0" relativeHeight="474420736">
          <wp:simplePos x="0" y="0"/>
          <wp:positionH relativeFrom="page">
            <wp:posOffset>4721352</wp:posOffset>
          </wp:positionH>
          <wp:positionV relativeFrom="page">
            <wp:posOffset>612648</wp:posOffset>
          </wp:positionV>
          <wp:extent cx="681227" cy="292607"/>
          <wp:effectExtent l="0" t="0" r="0" b="0"/>
          <wp:wrapNone/>
          <wp:docPr id="990" name="Image 990"/>
          <wp:cNvGraphicFramePr>
            <a:graphicFrameLocks/>
          </wp:cNvGraphicFramePr>
          <a:graphic>
            <a:graphicData uri="http://schemas.openxmlformats.org/drawingml/2006/picture">
              <pic:pic>
                <pic:nvPicPr>
                  <pic:cNvPr id="990" name="Image 99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21248">
              <wp:simplePos x="0" y="0"/>
              <wp:positionH relativeFrom="page">
                <wp:posOffset>4315967</wp:posOffset>
              </wp:positionH>
              <wp:positionV relativeFrom="page">
                <wp:posOffset>615696</wp:posOffset>
              </wp:positionV>
              <wp:extent cx="315595" cy="349250"/>
              <wp:effectExtent l="0" t="0" r="0" b="0"/>
              <wp:wrapNone/>
              <wp:docPr id="991" name="Group 991"/>
              <wp:cNvGraphicFramePr>
                <a:graphicFrameLocks/>
              </wp:cNvGraphicFramePr>
              <a:graphic>
                <a:graphicData uri="http://schemas.microsoft.com/office/word/2010/wordprocessingGroup">
                  <wpg:wgp>
                    <wpg:cNvPr id="991" name="Group 991"/>
                    <wpg:cNvGrpSpPr/>
                    <wpg:grpSpPr>
                      <a:xfrm>
                        <a:off x="0" y="0"/>
                        <a:ext cx="315595" cy="349250"/>
                        <a:chExt cx="315595" cy="349250"/>
                      </a:xfrm>
                    </wpg:grpSpPr>
                    <wps:wsp>
                      <wps:cNvPr id="992" name="Graphic 99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993" name="Image 993"/>
                        <pic:cNvPicPr/>
                      </pic:nvPicPr>
                      <pic:blipFill>
                        <a:blip r:embed="rId3" cstate="print"/>
                        <a:stretch>
                          <a:fillRect/>
                        </a:stretch>
                      </pic:blipFill>
                      <pic:spPr>
                        <a:xfrm>
                          <a:off x="39623" y="182618"/>
                          <a:ext cx="236220" cy="125102"/>
                        </a:xfrm>
                        <a:prstGeom prst="rect">
                          <a:avLst/>
                        </a:prstGeom>
                      </pic:spPr>
                    </pic:pic>
                    <wps:wsp>
                      <wps:cNvPr id="994" name="Graphic 99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95232" id="docshapegroup754" coordorigin="6797,970" coordsize="497,550">
              <v:shape style="position:absolute;left:6859;top:1032;width:312;height:190" id="docshape755"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756" stroked="false">
                <v:imagedata r:id="rId3" o:title=""/>
              </v:shape>
              <v:shape style="position:absolute;left:6796;top:969;width:497;height:550" id="docshape757"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21760">
              <wp:simplePos x="0" y="0"/>
              <wp:positionH relativeFrom="page">
                <wp:posOffset>5571744</wp:posOffset>
              </wp:positionH>
              <wp:positionV relativeFrom="page">
                <wp:posOffset>704088</wp:posOffset>
              </wp:positionV>
              <wp:extent cx="608330" cy="76200"/>
              <wp:effectExtent l="0" t="0" r="0" b="0"/>
              <wp:wrapNone/>
              <wp:docPr id="995" name="Graphic 995"/>
              <wp:cNvGraphicFramePr>
                <a:graphicFrameLocks/>
              </wp:cNvGraphicFramePr>
              <a:graphic>
                <a:graphicData uri="http://schemas.microsoft.com/office/word/2010/wordprocessingShape">
                  <wps:wsp>
                    <wps:cNvPr id="995" name="Graphic 99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94720" id="docshape758"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22272">
          <wp:simplePos x="0" y="0"/>
          <wp:positionH relativeFrom="page">
            <wp:posOffset>4315967</wp:posOffset>
          </wp:positionH>
          <wp:positionV relativeFrom="page">
            <wp:posOffset>525780</wp:posOffset>
          </wp:positionV>
          <wp:extent cx="316991" cy="70104"/>
          <wp:effectExtent l="0" t="0" r="0" b="0"/>
          <wp:wrapNone/>
          <wp:docPr id="1013" name="Image 1013"/>
          <wp:cNvGraphicFramePr>
            <a:graphicFrameLocks/>
          </wp:cNvGraphicFramePr>
          <a:graphic>
            <a:graphicData uri="http://schemas.openxmlformats.org/drawingml/2006/picture">
              <pic:pic>
                <pic:nvPicPr>
                  <pic:cNvPr id="1013" name="Image 101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22784">
              <wp:simplePos x="0" y="0"/>
              <wp:positionH relativeFrom="page">
                <wp:posOffset>5480303</wp:posOffset>
              </wp:positionH>
              <wp:positionV relativeFrom="page">
                <wp:posOffset>525780</wp:posOffset>
              </wp:positionV>
              <wp:extent cx="6350" cy="439420"/>
              <wp:effectExtent l="0" t="0" r="0" b="0"/>
              <wp:wrapNone/>
              <wp:docPr id="1014" name="Graphic 1014"/>
              <wp:cNvGraphicFramePr>
                <a:graphicFrameLocks/>
              </wp:cNvGraphicFramePr>
              <a:graphic>
                <a:graphicData uri="http://schemas.microsoft.com/office/word/2010/wordprocessingShape">
                  <wps:wsp>
                    <wps:cNvPr id="1014" name="Graphic 101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93696" id="docshape770" filled="true" fillcolor="#00587c" stroked="false">
              <v:fill type="solid"/>
              <w10:wrap type="none"/>
            </v:rect>
          </w:pict>
        </mc:Fallback>
      </mc:AlternateContent>
    </w:r>
    <w:r>
      <w:rPr>
        <w:sz w:val="20"/>
      </w:rPr>
      <w:drawing>
        <wp:anchor distT="0" distB="0" distL="0" distR="0" allowOverlap="1" layoutInCell="1" locked="0" behindDoc="1" simplePos="0" relativeHeight="474423296">
          <wp:simplePos x="0" y="0"/>
          <wp:positionH relativeFrom="page">
            <wp:posOffset>4721352</wp:posOffset>
          </wp:positionH>
          <wp:positionV relativeFrom="page">
            <wp:posOffset>612648</wp:posOffset>
          </wp:positionV>
          <wp:extent cx="681227" cy="292607"/>
          <wp:effectExtent l="0" t="0" r="0" b="0"/>
          <wp:wrapNone/>
          <wp:docPr id="1015" name="Image 1015"/>
          <wp:cNvGraphicFramePr>
            <a:graphicFrameLocks/>
          </wp:cNvGraphicFramePr>
          <a:graphic>
            <a:graphicData uri="http://schemas.openxmlformats.org/drawingml/2006/picture">
              <pic:pic>
                <pic:nvPicPr>
                  <pic:cNvPr id="1015" name="Image 101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23808">
              <wp:simplePos x="0" y="0"/>
              <wp:positionH relativeFrom="page">
                <wp:posOffset>4315967</wp:posOffset>
              </wp:positionH>
              <wp:positionV relativeFrom="page">
                <wp:posOffset>615696</wp:posOffset>
              </wp:positionV>
              <wp:extent cx="315595" cy="349250"/>
              <wp:effectExtent l="0" t="0" r="0" b="0"/>
              <wp:wrapNone/>
              <wp:docPr id="1016" name="Group 1016"/>
              <wp:cNvGraphicFramePr>
                <a:graphicFrameLocks/>
              </wp:cNvGraphicFramePr>
              <a:graphic>
                <a:graphicData uri="http://schemas.microsoft.com/office/word/2010/wordprocessingGroup">
                  <wpg:wgp>
                    <wpg:cNvPr id="1016" name="Group 1016"/>
                    <wpg:cNvGrpSpPr/>
                    <wpg:grpSpPr>
                      <a:xfrm>
                        <a:off x="0" y="0"/>
                        <a:ext cx="315595" cy="349250"/>
                        <a:chExt cx="315595" cy="349250"/>
                      </a:xfrm>
                    </wpg:grpSpPr>
                    <wps:wsp>
                      <wps:cNvPr id="1017" name="Graphic 101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018" name="Image 1018"/>
                        <pic:cNvPicPr/>
                      </pic:nvPicPr>
                      <pic:blipFill>
                        <a:blip r:embed="rId3" cstate="print"/>
                        <a:stretch>
                          <a:fillRect/>
                        </a:stretch>
                      </pic:blipFill>
                      <pic:spPr>
                        <a:xfrm>
                          <a:off x="39623" y="182618"/>
                          <a:ext cx="236220" cy="125102"/>
                        </a:xfrm>
                        <a:prstGeom prst="rect">
                          <a:avLst/>
                        </a:prstGeom>
                      </pic:spPr>
                    </pic:pic>
                    <wps:wsp>
                      <wps:cNvPr id="1019" name="Graphic 101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92672" id="docshapegroup771" coordorigin="6797,970" coordsize="497,550">
              <v:shape style="position:absolute;left:6859;top:1032;width:312;height:190" id="docshape772"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773" stroked="false">
                <v:imagedata r:id="rId3" o:title=""/>
              </v:shape>
              <v:shape style="position:absolute;left:6796;top:969;width:497;height:550" id="docshape774"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24320">
              <wp:simplePos x="0" y="0"/>
              <wp:positionH relativeFrom="page">
                <wp:posOffset>5571744</wp:posOffset>
              </wp:positionH>
              <wp:positionV relativeFrom="page">
                <wp:posOffset>704088</wp:posOffset>
              </wp:positionV>
              <wp:extent cx="608330" cy="76200"/>
              <wp:effectExtent l="0" t="0" r="0" b="0"/>
              <wp:wrapNone/>
              <wp:docPr id="1020" name="Graphic 1020"/>
              <wp:cNvGraphicFramePr>
                <a:graphicFrameLocks/>
              </wp:cNvGraphicFramePr>
              <a:graphic>
                <a:graphicData uri="http://schemas.microsoft.com/office/word/2010/wordprocessingShape">
                  <wps:wsp>
                    <wps:cNvPr id="1020" name="Graphic 102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92160" id="docshape775"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24832">
          <wp:simplePos x="0" y="0"/>
          <wp:positionH relativeFrom="page">
            <wp:posOffset>4315967</wp:posOffset>
          </wp:positionH>
          <wp:positionV relativeFrom="page">
            <wp:posOffset>525780</wp:posOffset>
          </wp:positionV>
          <wp:extent cx="316991" cy="70104"/>
          <wp:effectExtent l="0" t="0" r="0" b="0"/>
          <wp:wrapNone/>
          <wp:docPr id="1021" name="Image 1021"/>
          <wp:cNvGraphicFramePr>
            <a:graphicFrameLocks/>
          </wp:cNvGraphicFramePr>
          <a:graphic>
            <a:graphicData uri="http://schemas.openxmlformats.org/drawingml/2006/picture">
              <pic:pic>
                <pic:nvPicPr>
                  <pic:cNvPr id="1021" name="Image 1021"/>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25344">
              <wp:simplePos x="0" y="0"/>
              <wp:positionH relativeFrom="page">
                <wp:posOffset>5480303</wp:posOffset>
              </wp:positionH>
              <wp:positionV relativeFrom="page">
                <wp:posOffset>525780</wp:posOffset>
              </wp:positionV>
              <wp:extent cx="6350" cy="439420"/>
              <wp:effectExtent l="0" t="0" r="0" b="0"/>
              <wp:wrapNone/>
              <wp:docPr id="1022" name="Graphic 1022"/>
              <wp:cNvGraphicFramePr>
                <a:graphicFrameLocks/>
              </wp:cNvGraphicFramePr>
              <a:graphic>
                <a:graphicData uri="http://schemas.microsoft.com/office/word/2010/wordprocessingShape">
                  <wps:wsp>
                    <wps:cNvPr id="1022" name="Graphic 1022"/>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91136" id="docshape776" filled="true" fillcolor="#00587c" stroked="false">
              <v:fill type="solid"/>
              <w10:wrap type="none"/>
            </v:rect>
          </w:pict>
        </mc:Fallback>
      </mc:AlternateContent>
    </w:r>
    <w:r>
      <w:rPr>
        <w:sz w:val="20"/>
      </w:rPr>
      <w:drawing>
        <wp:anchor distT="0" distB="0" distL="0" distR="0" allowOverlap="1" layoutInCell="1" locked="0" behindDoc="1" simplePos="0" relativeHeight="474425856">
          <wp:simplePos x="0" y="0"/>
          <wp:positionH relativeFrom="page">
            <wp:posOffset>4721352</wp:posOffset>
          </wp:positionH>
          <wp:positionV relativeFrom="page">
            <wp:posOffset>612648</wp:posOffset>
          </wp:positionV>
          <wp:extent cx="681227" cy="292607"/>
          <wp:effectExtent l="0" t="0" r="0" b="0"/>
          <wp:wrapNone/>
          <wp:docPr id="1023" name="Image 1023"/>
          <wp:cNvGraphicFramePr>
            <a:graphicFrameLocks/>
          </wp:cNvGraphicFramePr>
          <a:graphic>
            <a:graphicData uri="http://schemas.openxmlformats.org/drawingml/2006/picture">
              <pic:pic>
                <pic:nvPicPr>
                  <pic:cNvPr id="1023" name="Image 1023"/>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26368">
              <wp:simplePos x="0" y="0"/>
              <wp:positionH relativeFrom="page">
                <wp:posOffset>4315967</wp:posOffset>
              </wp:positionH>
              <wp:positionV relativeFrom="page">
                <wp:posOffset>615696</wp:posOffset>
              </wp:positionV>
              <wp:extent cx="315595" cy="349250"/>
              <wp:effectExtent l="0" t="0" r="0" b="0"/>
              <wp:wrapNone/>
              <wp:docPr id="1024" name="Group 1024"/>
              <wp:cNvGraphicFramePr>
                <a:graphicFrameLocks/>
              </wp:cNvGraphicFramePr>
              <a:graphic>
                <a:graphicData uri="http://schemas.microsoft.com/office/word/2010/wordprocessingGroup">
                  <wpg:wgp>
                    <wpg:cNvPr id="1024" name="Group 1024"/>
                    <wpg:cNvGrpSpPr/>
                    <wpg:grpSpPr>
                      <a:xfrm>
                        <a:off x="0" y="0"/>
                        <a:ext cx="315595" cy="349250"/>
                        <a:chExt cx="315595" cy="349250"/>
                      </a:xfrm>
                    </wpg:grpSpPr>
                    <wps:wsp>
                      <wps:cNvPr id="1025" name="Graphic 1025"/>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026" name="Image 1026"/>
                        <pic:cNvPicPr/>
                      </pic:nvPicPr>
                      <pic:blipFill>
                        <a:blip r:embed="rId3" cstate="print"/>
                        <a:stretch>
                          <a:fillRect/>
                        </a:stretch>
                      </pic:blipFill>
                      <pic:spPr>
                        <a:xfrm>
                          <a:off x="39623" y="182618"/>
                          <a:ext cx="236220" cy="125102"/>
                        </a:xfrm>
                        <a:prstGeom prst="rect">
                          <a:avLst/>
                        </a:prstGeom>
                      </pic:spPr>
                    </pic:pic>
                    <wps:wsp>
                      <wps:cNvPr id="1027" name="Graphic 1027"/>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90112" id="docshapegroup777" coordorigin="6797,970" coordsize="497,550">
              <v:shape style="position:absolute;left:6859;top:1032;width:312;height:190" id="docshape778"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779" stroked="false">
                <v:imagedata r:id="rId3" o:title=""/>
              </v:shape>
              <v:shape style="position:absolute;left:6796;top:969;width:497;height:550" id="docshape780"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26880">
              <wp:simplePos x="0" y="0"/>
              <wp:positionH relativeFrom="page">
                <wp:posOffset>5571744</wp:posOffset>
              </wp:positionH>
              <wp:positionV relativeFrom="page">
                <wp:posOffset>704088</wp:posOffset>
              </wp:positionV>
              <wp:extent cx="608330" cy="76200"/>
              <wp:effectExtent l="0" t="0" r="0" b="0"/>
              <wp:wrapNone/>
              <wp:docPr id="1028" name="Graphic 1028"/>
              <wp:cNvGraphicFramePr>
                <a:graphicFrameLocks/>
              </wp:cNvGraphicFramePr>
              <a:graphic>
                <a:graphicData uri="http://schemas.microsoft.com/office/word/2010/wordprocessingShape">
                  <wps:wsp>
                    <wps:cNvPr id="1028" name="Graphic 1028"/>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89600" id="docshape781"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27392">
          <wp:simplePos x="0" y="0"/>
          <wp:positionH relativeFrom="page">
            <wp:posOffset>4315967</wp:posOffset>
          </wp:positionH>
          <wp:positionV relativeFrom="page">
            <wp:posOffset>525780</wp:posOffset>
          </wp:positionV>
          <wp:extent cx="316991" cy="70104"/>
          <wp:effectExtent l="0" t="0" r="0" b="0"/>
          <wp:wrapNone/>
          <wp:docPr id="1053" name="Image 1053"/>
          <wp:cNvGraphicFramePr>
            <a:graphicFrameLocks/>
          </wp:cNvGraphicFramePr>
          <a:graphic>
            <a:graphicData uri="http://schemas.openxmlformats.org/drawingml/2006/picture">
              <pic:pic>
                <pic:nvPicPr>
                  <pic:cNvPr id="1053" name="Image 105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27904">
              <wp:simplePos x="0" y="0"/>
              <wp:positionH relativeFrom="page">
                <wp:posOffset>5480303</wp:posOffset>
              </wp:positionH>
              <wp:positionV relativeFrom="page">
                <wp:posOffset>525780</wp:posOffset>
              </wp:positionV>
              <wp:extent cx="6350" cy="439420"/>
              <wp:effectExtent l="0" t="0" r="0" b="0"/>
              <wp:wrapNone/>
              <wp:docPr id="1054" name="Graphic 1054"/>
              <wp:cNvGraphicFramePr>
                <a:graphicFrameLocks/>
              </wp:cNvGraphicFramePr>
              <a:graphic>
                <a:graphicData uri="http://schemas.microsoft.com/office/word/2010/wordprocessingShape">
                  <wps:wsp>
                    <wps:cNvPr id="1054" name="Graphic 105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88576" id="docshape793" filled="true" fillcolor="#00587c" stroked="false">
              <v:fill type="solid"/>
              <w10:wrap type="none"/>
            </v:rect>
          </w:pict>
        </mc:Fallback>
      </mc:AlternateContent>
    </w:r>
    <w:r>
      <w:rPr>
        <w:sz w:val="20"/>
      </w:rPr>
      <w:drawing>
        <wp:anchor distT="0" distB="0" distL="0" distR="0" allowOverlap="1" layoutInCell="1" locked="0" behindDoc="1" simplePos="0" relativeHeight="474428416">
          <wp:simplePos x="0" y="0"/>
          <wp:positionH relativeFrom="page">
            <wp:posOffset>4721352</wp:posOffset>
          </wp:positionH>
          <wp:positionV relativeFrom="page">
            <wp:posOffset>612648</wp:posOffset>
          </wp:positionV>
          <wp:extent cx="681227" cy="292607"/>
          <wp:effectExtent l="0" t="0" r="0" b="0"/>
          <wp:wrapNone/>
          <wp:docPr id="1055" name="Image 1055"/>
          <wp:cNvGraphicFramePr>
            <a:graphicFrameLocks/>
          </wp:cNvGraphicFramePr>
          <a:graphic>
            <a:graphicData uri="http://schemas.openxmlformats.org/drawingml/2006/picture">
              <pic:pic>
                <pic:nvPicPr>
                  <pic:cNvPr id="1055" name="Image 105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28928">
              <wp:simplePos x="0" y="0"/>
              <wp:positionH relativeFrom="page">
                <wp:posOffset>4315967</wp:posOffset>
              </wp:positionH>
              <wp:positionV relativeFrom="page">
                <wp:posOffset>615696</wp:posOffset>
              </wp:positionV>
              <wp:extent cx="315595" cy="349250"/>
              <wp:effectExtent l="0" t="0" r="0" b="0"/>
              <wp:wrapNone/>
              <wp:docPr id="1056" name="Group 1056"/>
              <wp:cNvGraphicFramePr>
                <a:graphicFrameLocks/>
              </wp:cNvGraphicFramePr>
              <a:graphic>
                <a:graphicData uri="http://schemas.microsoft.com/office/word/2010/wordprocessingGroup">
                  <wpg:wgp>
                    <wpg:cNvPr id="1056" name="Group 1056"/>
                    <wpg:cNvGrpSpPr/>
                    <wpg:grpSpPr>
                      <a:xfrm>
                        <a:off x="0" y="0"/>
                        <a:ext cx="315595" cy="349250"/>
                        <a:chExt cx="315595" cy="349250"/>
                      </a:xfrm>
                    </wpg:grpSpPr>
                    <wps:wsp>
                      <wps:cNvPr id="1057" name="Graphic 105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058" name="Image 1058"/>
                        <pic:cNvPicPr/>
                      </pic:nvPicPr>
                      <pic:blipFill>
                        <a:blip r:embed="rId3" cstate="print"/>
                        <a:stretch>
                          <a:fillRect/>
                        </a:stretch>
                      </pic:blipFill>
                      <pic:spPr>
                        <a:xfrm>
                          <a:off x="39623" y="182618"/>
                          <a:ext cx="236220" cy="125102"/>
                        </a:xfrm>
                        <a:prstGeom prst="rect">
                          <a:avLst/>
                        </a:prstGeom>
                      </pic:spPr>
                    </pic:pic>
                    <wps:wsp>
                      <wps:cNvPr id="1059" name="Graphic 105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87552" id="docshapegroup794" coordorigin="6797,970" coordsize="497,550">
              <v:shape style="position:absolute;left:6859;top:1032;width:312;height:190" id="docshape795"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796" stroked="false">
                <v:imagedata r:id="rId3" o:title=""/>
              </v:shape>
              <v:shape style="position:absolute;left:6796;top:969;width:497;height:550" id="docshape797"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29440">
              <wp:simplePos x="0" y="0"/>
              <wp:positionH relativeFrom="page">
                <wp:posOffset>5571744</wp:posOffset>
              </wp:positionH>
              <wp:positionV relativeFrom="page">
                <wp:posOffset>704088</wp:posOffset>
              </wp:positionV>
              <wp:extent cx="608330" cy="76200"/>
              <wp:effectExtent l="0" t="0" r="0" b="0"/>
              <wp:wrapNone/>
              <wp:docPr id="1060" name="Graphic 1060"/>
              <wp:cNvGraphicFramePr>
                <a:graphicFrameLocks/>
              </wp:cNvGraphicFramePr>
              <a:graphic>
                <a:graphicData uri="http://schemas.microsoft.com/office/word/2010/wordprocessingShape">
                  <wps:wsp>
                    <wps:cNvPr id="1060" name="Graphic 106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87040" id="docshape798"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29952">
          <wp:simplePos x="0" y="0"/>
          <wp:positionH relativeFrom="page">
            <wp:posOffset>4315967</wp:posOffset>
          </wp:positionH>
          <wp:positionV relativeFrom="page">
            <wp:posOffset>525780</wp:posOffset>
          </wp:positionV>
          <wp:extent cx="316991" cy="70104"/>
          <wp:effectExtent l="0" t="0" r="0" b="0"/>
          <wp:wrapNone/>
          <wp:docPr id="1061" name="Image 1061"/>
          <wp:cNvGraphicFramePr>
            <a:graphicFrameLocks/>
          </wp:cNvGraphicFramePr>
          <a:graphic>
            <a:graphicData uri="http://schemas.openxmlformats.org/drawingml/2006/picture">
              <pic:pic>
                <pic:nvPicPr>
                  <pic:cNvPr id="1061" name="Image 1061"/>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30464">
              <wp:simplePos x="0" y="0"/>
              <wp:positionH relativeFrom="page">
                <wp:posOffset>5480303</wp:posOffset>
              </wp:positionH>
              <wp:positionV relativeFrom="page">
                <wp:posOffset>525780</wp:posOffset>
              </wp:positionV>
              <wp:extent cx="6350" cy="439420"/>
              <wp:effectExtent l="0" t="0" r="0" b="0"/>
              <wp:wrapNone/>
              <wp:docPr id="1062" name="Graphic 1062"/>
              <wp:cNvGraphicFramePr>
                <a:graphicFrameLocks/>
              </wp:cNvGraphicFramePr>
              <a:graphic>
                <a:graphicData uri="http://schemas.microsoft.com/office/word/2010/wordprocessingShape">
                  <wps:wsp>
                    <wps:cNvPr id="1062" name="Graphic 1062"/>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86016" id="docshape799" filled="true" fillcolor="#00587c" stroked="false">
              <v:fill type="solid"/>
              <w10:wrap type="none"/>
            </v:rect>
          </w:pict>
        </mc:Fallback>
      </mc:AlternateContent>
    </w:r>
    <w:r>
      <w:rPr>
        <w:sz w:val="20"/>
      </w:rPr>
      <w:drawing>
        <wp:anchor distT="0" distB="0" distL="0" distR="0" allowOverlap="1" layoutInCell="1" locked="0" behindDoc="1" simplePos="0" relativeHeight="474430976">
          <wp:simplePos x="0" y="0"/>
          <wp:positionH relativeFrom="page">
            <wp:posOffset>4721352</wp:posOffset>
          </wp:positionH>
          <wp:positionV relativeFrom="page">
            <wp:posOffset>612648</wp:posOffset>
          </wp:positionV>
          <wp:extent cx="681227" cy="292607"/>
          <wp:effectExtent l="0" t="0" r="0" b="0"/>
          <wp:wrapNone/>
          <wp:docPr id="1063" name="Image 1063"/>
          <wp:cNvGraphicFramePr>
            <a:graphicFrameLocks/>
          </wp:cNvGraphicFramePr>
          <a:graphic>
            <a:graphicData uri="http://schemas.openxmlformats.org/drawingml/2006/picture">
              <pic:pic>
                <pic:nvPicPr>
                  <pic:cNvPr id="1063" name="Image 1063"/>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31488">
              <wp:simplePos x="0" y="0"/>
              <wp:positionH relativeFrom="page">
                <wp:posOffset>4315967</wp:posOffset>
              </wp:positionH>
              <wp:positionV relativeFrom="page">
                <wp:posOffset>615696</wp:posOffset>
              </wp:positionV>
              <wp:extent cx="315595" cy="349250"/>
              <wp:effectExtent l="0" t="0" r="0" b="0"/>
              <wp:wrapNone/>
              <wp:docPr id="1064" name="Group 1064"/>
              <wp:cNvGraphicFramePr>
                <a:graphicFrameLocks/>
              </wp:cNvGraphicFramePr>
              <a:graphic>
                <a:graphicData uri="http://schemas.microsoft.com/office/word/2010/wordprocessingGroup">
                  <wpg:wgp>
                    <wpg:cNvPr id="1064" name="Group 1064"/>
                    <wpg:cNvGrpSpPr/>
                    <wpg:grpSpPr>
                      <a:xfrm>
                        <a:off x="0" y="0"/>
                        <a:ext cx="315595" cy="349250"/>
                        <a:chExt cx="315595" cy="349250"/>
                      </a:xfrm>
                    </wpg:grpSpPr>
                    <wps:wsp>
                      <wps:cNvPr id="1065" name="Graphic 1065"/>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066" name="Image 1066"/>
                        <pic:cNvPicPr/>
                      </pic:nvPicPr>
                      <pic:blipFill>
                        <a:blip r:embed="rId3" cstate="print"/>
                        <a:stretch>
                          <a:fillRect/>
                        </a:stretch>
                      </pic:blipFill>
                      <pic:spPr>
                        <a:xfrm>
                          <a:off x="39623" y="182618"/>
                          <a:ext cx="236220" cy="125102"/>
                        </a:xfrm>
                        <a:prstGeom prst="rect">
                          <a:avLst/>
                        </a:prstGeom>
                      </pic:spPr>
                    </pic:pic>
                    <wps:wsp>
                      <wps:cNvPr id="1067" name="Graphic 1067"/>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84992" id="docshapegroup800" coordorigin="6797,970" coordsize="497,550">
              <v:shape style="position:absolute;left:6859;top:1032;width:312;height:190" id="docshape801"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802" stroked="false">
                <v:imagedata r:id="rId3" o:title=""/>
              </v:shape>
              <v:shape style="position:absolute;left:6796;top:969;width:497;height:550" id="docshape803"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32000">
              <wp:simplePos x="0" y="0"/>
              <wp:positionH relativeFrom="page">
                <wp:posOffset>5571744</wp:posOffset>
              </wp:positionH>
              <wp:positionV relativeFrom="page">
                <wp:posOffset>704088</wp:posOffset>
              </wp:positionV>
              <wp:extent cx="608330" cy="76200"/>
              <wp:effectExtent l="0" t="0" r="0" b="0"/>
              <wp:wrapNone/>
              <wp:docPr id="1068" name="Graphic 1068"/>
              <wp:cNvGraphicFramePr>
                <a:graphicFrameLocks/>
              </wp:cNvGraphicFramePr>
              <a:graphic>
                <a:graphicData uri="http://schemas.microsoft.com/office/word/2010/wordprocessingShape">
                  <wps:wsp>
                    <wps:cNvPr id="1068" name="Graphic 1068"/>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84480" id="docshape804"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8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32512">
          <wp:simplePos x="0" y="0"/>
          <wp:positionH relativeFrom="page">
            <wp:posOffset>4315967</wp:posOffset>
          </wp:positionH>
          <wp:positionV relativeFrom="page">
            <wp:posOffset>525780</wp:posOffset>
          </wp:positionV>
          <wp:extent cx="316991" cy="70104"/>
          <wp:effectExtent l="0" t="0" r="0" b="0"/>
          <wp:wrapNone/>
          <wp:docPr id="1086" name="Image 1086"/>
          <wp:cNvGraphicFramePr>
            <a:graphicFrameLocks/>
          </wp:cNvGraphicFramePr>
          <a:graphic>
            <a:graphicData uri="http://schemas.openxmlformats.org/drawingml/2006/picture">
              <pic:pic>
                <pic:nvPicPr>
                  <pic:cNvPr id="1086" name="Image 1086"/>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33024">
              <wp:simplePos x="0" y="0"/>
              <wp:positionH relativeFrom="page">
                <wp:posOffset>5480303</wp:posOffset>
              </wp:positionH>
              <wp:positionV relativeFrom="page">
                <wp:posOffset>525780</wp:posOffset>
              </wp:positionV>
              <wp:extent cx="6350" cy="439420"/>
              <wp:effectExtent l="0" t="0" r="0" b="0"/>
              <wp:wrapNone/>
              <wp:docPr id="1087" name="Graphic 1087"/>
              <wp:cNvGraphicFramePr>
                <a:graphicFrameLocks/>
              </wp:cNvGraphicFramePr>
              <a:graphic>
                <a:graphicData uri="http://schemas.microsoft.com/office/word/2010/wordprocessingShape">
                  <wps:wsp>
                    <wps:cNvPr id="1087" name="Graphic 1087"/>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83456" id="docshape816" filled="true" fillcolor="#00587c" stroked="false">
              <v:fill type="solid"/>
              <w10:wrap type="none"/>
            </v:rect>
          </w:pict>
        </mc:Fallback>
      </mc:AlternateContent>
    </w:r>
    <w:r>
      <w:rPr>
        <w:sz w:val="20"/>
      </w:rPr>
      <w:drawing>
        <wp:anchor distT="0" distB="0" distL="0" distR="0" allowOverlap="1" layoutInCell="1" locked="0" behindDoc="1" simplePos="0" relativeHeight="474433536">
          <wp:simplePos x="0" y="0"/>
          <wp:positionH relativeFrom="page">
            <wp:posOffset>4721352</wp:posOffset>
          </wp:positionH>
          <wp:positionV relativeFrom="page">
            <wp:posOffset>612648</wp:posOffset>
          </wp:positionV>
          <wp:extent cx="681227" cy="292607"/>
          <wp:effectExtent l="0" t="0" r="0" b="0"/>
          <wp:wrapNone/>
          <wp:docPr id="1088" name="Image 1088"/>
          <wp:cNvGraphicFramePr>
            <a:graphicFrameLocks/>
          </wp:cNvGraphicFramePr>
          <a:graphic>
            <a:graphicData uri="http://schemas.openxmlformats.org/drawingml/2006/picture">
              <pic:pic>
                <pic:nvPicPr>
                  <pic:cNvPr id="1088" name="Image 1088"/>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34048">
              <wp:simplePos x="0" y="0"/>
              <wp:positionH relativeFrom="page">
                <wp:posOffset>4315967</wp:posOffset>
              </wp:positionH>
              <wp:positionV relativeFrom="page">
                <wp:posOffset>615696</wp:posOffset>
              </wp:positionV>
              <wp:extent cx="315595" cy="349250"/>
              <wp:effectExtent l="0" t="0" r="0" b="0"/>
              <wp:wrapNone/>
              <wp:docPr id="1089" name="Group 1089"/>
              <wp:cNvGraphicFramePr>
                <a:graphicFrameLocks/>
              </wp:cNvGraphicFramePr>
              <a:graphic>
                <a:graphicData uri="http://schemas.microsoft.com/office/word/2010/wordprocessingGroup">
                  <wpg:wgp>
                    <wpg:cNvPr id="1089" name="Group 1089"/>
                    <wpg:cNvGrpSpPr/>
                    <wpg:grpSpPr>
                      <a:xfrm>
                        <a:off x="0" y="0"/>
                        <a:ext cx="315595" cy="349250"/>
                        <a:chExt cx="315595" cy="349250"/>
                      </a:xfrm>
                    </wpg:grpSpPr>
                    <wps:wsp>
                      <wps:cNvPr id="1090" name="Graphic 1090"/>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091" name="Image 1091"/>
                        <pic:cNvPicPr/>
                      </pic:nvPicPr>
                      <pic:blipFill>
                        <a:blip r:embed="rId3" cstate="print"/>
                        <a:stretch>
                          <a:fillRect/>
                        </a:stretch>
                      </pic:blipFill>
                      <pic:spPr>
                        <a:xfrm>
                          <a:off x="39623" y="182618"/>
                          <a:ext cx="236220" cy="125102"/>
                        </a:xfrm>
                        <a:prstGeom prst="rect">
                          <a:avLst/>
                        </a:prstGeom>
                      </pic:spPr>
                    </pic:pic>
                    <wps:wsp>
                      <wps:cNvPr id="1092" name="Graphic 1092"/>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82432" id="docshapegroup817" coordorigin="6797,970" coordsize="497,550">
              <v:shape style="position:absolute;left:6859;top:1032;width:312;height:190" id="docshape818"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819" stroked="false">
                <v:imagedata r:id="rId3" o:title=""/>
              </v:shape>
              <v:shape style="position:absolute;left:6796;top:969;width:497;height:550" id="docshape820"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34560">
              <wp:simplePos x="0" y="0"/>
              <wp:positionH relativeFrom="page">
                <wp:posOffset>5571744</wp:posOffset>
              </wp:positionH>
              <wp:positionV relativeFrom="page">
                <wp:posOffset>704088</wp:posOffset>
              </wp:positionV>
              <wp:extent cx="608330" cy="76200"/>
              <wp:effectExtent l="0" t="0" r="0" b="0"/>
              <wp:wrapNone/>
              <wp:docPr id="1093" name="Graphic 1093"/>
              <wp:cNvGraphicFramePr>
                <a:graphicFrameLocks/>
              </wp:cNvGraphicFramePr>
              <a:graphic>
                <a:graphicData uri="http://schemas.microsoft.com/office/word/2010/wordprocessingShape">
                  <wps:wsp>
                    <wps:cNvPr id="1093" name="Graphic 1093"/>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81920" id="docshape821"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273280">
          <wp:simplePos x="0" y="0"/>
          <wp:positionH relativeFrom="page">
            <wp:posOffset>5068570</wp:posOffset>
          </wp:positionH>
          <wp:positionV relativeFrom="page">
            <wp:posOffset>611250</wp:posOffset>
          </wp:positionV>
          <wp:extent cx="1767204" cy="99695"/>
          <wp:effectExtent l="0" t="0" r="0" b="0"/>
          <wp:wrapNone/>
          <wp:docPr id="20" name="Image 20"/>
          <wp:cNvGraphicFramePr>
            <a:graphicFrameLocks/>
          </wp:cNvGraphicFramePr>
          <a:graphic>
            <a:graphicData uri="http://schemas.openxmlformats.org/drawingml/2006/picture">
              <pic:pic>
                <pic:nvPicPr>
                  <pic:cNvPr id="20" name="Image 20"/>
                  <pic:cNvPicPr/>
                </pic:nvPicPr>
                <pic:blipFill>
                  <a:blip r:embed="rId1" cstate="print"/>
                  <a:stretch>
                    <a:fillRect/>
                  </a:stretch>
                </pic:blipFill>
                <pic:spPr>
                  <a:xfrm>
                    <a:off x="0" y="0"/>
                    <a:ext cx="1767204" cy="99695"/>
                  </a:xfrm>
                  <a:prstGeom prst="rect">
                    <a:avLst/>
                  </a:prstGeom>
                </pic:spPr>
              </pic:pic>
            </a:graphicData>
          </a:graphic>
        </wp:anchor>
      </w:drawing>
    </w:r>
  </w:p>
</w:hdr>
</file>

<file path=word/header9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35072">
          <wp:simplePos x="0" y="0"/>
          <wp:positionH relativeFrom="page">
            <wp:posOffset>4315967</wp:posOffset>
          </wp:positionH>
          <wp:positionV relativeFrom="page">
            <wp:posOffset>525780</wp:posOffset>
          </wp:positionV>
          <wp:extent cx="316991" cy="70104"/>
          <wp:effectExtent l="0" t="0" r="0" b="0"/>
          <wp:wrapNone/>
          <wp:docPr id="1094" name="Image 1094"/>
          <wp:cNvGraphicFramePr>
            <a:graphicFrameLocks/>
          </wp:cNvGraphicFramePr>
          <a:graphic>
            <a:graphicData uri="http://schemas.openxmlformats.org/drawingml/2006/picture">
              <pic:pic>
                <pic:nvPicPr>
                  <pic:cNvPr id="1094" name="Image 1094"/>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35584">
              <wp:simplePos x="0" y="0"/>
              <wp:positionH relativeFrom="page">
                <wp:posOffset>5480303</wp:posOffset>
              </wp:positionH>
              <wp:positionV relativeFrom="page">
                <wp:posOffset>525780</wp:posOffset>
              </wp:positionV>
              <wp:extent cx="6350" cy="439420"/>
              <wp:effectExtent l="0" t="0" r="0" b="0"/>
              <wp:wrapNone/>
              <wp:docPr id="1095" name="Graphic 1095"/>
              <wp:cNvGraphicFramePr>
                <a:graphicFrameLocks/>
              </wp:cNvGraphicFramePr>
              <a:graphic>
                <a:graphicData uri="http://schemas.microsoft.com/office/word/2010/wordprocessingShape">
                  <wps:wsp>
                    <wps:cNvPr id="1095" name="Graphic 1095"/>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80896" id="docshape822" filled="true" fillcolor="#00587c" stroked="false">
              <v:fill type="solid"/>
              <w10:wrap type="none"/>
            </v:rect>
          </w:pict>
        </mc:Fallback>
      </mc:AlternateContent>
    </w:r>
    <w:r>
      <w:rPr>
        <w:sz w:val="20"/>
      </w:rPr>
      <w:drawing>
        <wp:anchor distT="0" distB="0" distL="0" distR="0" allowOverlap="1" layoutInCell="1" locked="0" behindDoc="1" simplePos="0" relativeHeight="474436096">
          <wp:simplePos x="0" y="0"/>
          <wp:positionH relativeFrom="page">
            <wp:posOffset>4721352</wp:posOffset>
          </wp:positionH>
          <wp:positionV relativeFrom="page">
            <wp:posOffset>612648</wp:posOffset>
          </wp:positionV>
          <wp:extent cx="681227" cy="292607"/>
          <wp:effectExtent l="0" t="0" r="0" b="0"/>
          <wp:wrapNone/>
          <wp:docPr id="1096" name="Image 1096"/>
          <wp:cNvGraphicFramePr>
            <a:graphicFrameLocks/>
          </wp:cNvGraphicFramePr>
          <a:graphic>
            <a:graphicData uri="http://schemas.openxmlformats.org/drawingml/2006/picture">
              <pic:pic>
                <pic:nvPicPr>
                  <pic:cNvPr id="1096" name="Image 1096"/>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36608">
              <wp:simplePos x="0" y="0"/>
              <wp:positionH relativeFrom="page">
                <wp:posOffset>4315967</wp:posOffset>
              </wp:positionH>
              <wp:positionV relativeFrom="page">
                <wp:posOffset>615696</wp:posOffset>
              </wp:positionV>
              <wp:extent cx="315595" cy="349250"/>
              <wp:effectExtent l="0" t="0" r="0" b="0"/>
              <wp:wrapNone/>
              <wp:docPr id="1097" name="Group 1097"/>
              <wp:cNvGraphicFramePr>
                <a:graphicFrameLocks/>
              </wp:cNvGraphicFramePr>
              <a:graphic>
                <a:graphicData uri="http://schemas.microsoft.com/office/word/2010/wordprocessingGroup">
                  <wpg:wgp>
                    <wpg:cNvPr id="1097" name="Group 1097"/>
                    <wpg:cNvGrpSpPr/>
                    <wpg:grpSpPr>
                      <a:xfrm>
                        <a:off x="0" y="0"/>
                        <a:ext cx="315595" cy="349250"/>
                        <a:chExt cx="315595" cy="349250"/>
                      </a:xfrm>
                    </wpg:grpSpPr>
                    <wps:wsp>
                      <wps:cNvPr id="1098" name="Graphic 1098"/>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099" name="Image 1099"/>
                        <pic:cNvPicPr/>
                      </pic:nvPicPr>
                      <pic:blipFill>
                        <a:blip r:embed="rId3" cstate="print"/>
                        <a:stretch>
                          <a:fillRect/>
                        </a:stretch>
                      </pic:blipFill>
                      <pic:spPr>
                        <a:xfrm>
                          <a:off x="39623" y="182618"/>
                          <a:ext cx="236220" cy="125102"/>
                        </a:xfrm>
                        <a:prstGeom prst="rect">
                          <a:avLst/>
                        </a:prstGeom>
                      </pic:spPr>
                    </pic:pic>
                    <wps:wsp>
                      <wps:cNvPr id="1100" name="Graphic 1100"/>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79872" id="docshapegroup823" coordorigin="6797,970" coordsize="497,550">
              <v:shape style="position:absolute;left:6859;top:1032;width:312;height:190" id="docshape824"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825" stroked="false">
                <v:imagedata r:id="rId3" o:title=""/>
              </v:shape>
              <v:shape style="position:absolute;left:6796;top:969;width:497;height:550" id="docshape826"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37120">
              <wp:simplePos x="0" y="0"/>
              <wp:positionH relativeFrom="page">
                <wp:posOffset>5571744</wp:posOffset>
              </wp:positionH>
              <wp:positionV relativeFrom="page">
                <wp:posOffset>704088</wp:posOffset>
              </wp:positionV>
              <wp:extent cx="608330" cy="76200"/>
              <wp:effectExtent l="0" t="0" r="0" b="0"/>
              <wp:wrapNone/>
              <wp:docPr id="1101" name="Graphic 1101"/>
              <wp:cNvGraphicFramePr>
                <a:graphicFrameLocks/>
              </wp:cNvGraphicFramePr>
              <a:graphic>
                <a:graphicData uri="http://schemas.microsoft.com/office/word/2010/wordprocessingShape">
                  <wps:wsp>
                    <wps:cNvPr id="1101" name="Graphic 1101"/>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79360" id="docshape827"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37632">
          <wp:simplePos x="0" y="0"/>
          <wp:positionH relativeFrom="page">
            <wp:posOffset>4315967</wp:posOffset>
          </wp:positionH>
          <wp:positionV relativeFrom="page">
            <wp:posOffset>525780</wp:posOffset>
          </wp:positionV>
          <wp:extent cx="316991" cy="70104"/>
          <wp:effectExtent l="0" t="0" r="0" b="0"/>
          <wp:wrapNone/>
          <wp:docPr id="1127" name="Image 1127"/>
          <wp:cNvGraphicFramePr>
            <a:graphicFrameLocks/>
          </wp:cNvGraphicFramePr>
          <a:graphic>
            <a:graphicData uri="http://schemas.openxmlformats.org/drawingml/2006/picture">
              <pic:pic>
                <pic:nvPicPr>
                  <pic:cNvPr id="1127" name="Image 1127"/>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38144">
              <wp:simplePos x="0" y="0"/>
              <wp:positionH relativeFrom="page">
                <wp:posOffset>5480303</wp:posOffset>
              </wp:positionH>
              <wp:positionV relativeFrom="page">
                <wp:posOffset>525780</wp:posOffset>
              </wp:positionV>
              <wp:extent cx="6350" cy="439420"/>
              <wp:effectExtent l="0" t="0" r="0" b="0"/>
              <wp:wrapNone/>
              <wp:docPr id="1128" name="Graphic 1128"/>
              <wp:cNvGraphicFramePr>
                <a:graphicFrameLocks/>
              </wp:cNvGraphicFramePr>
              <a:graphic>
                <a:graphicData uri="http://schemas.microsoft.com/office/word/2010/wordprocessingShape">
                  <wps:wsp>
                    <wps:cNvPr id="1128" name="Graphic 1128"/>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78336" id="docshape841" filled="true" fillcolor="#00587c" stroked="false">
              <v:fill type="solid"/>
              <w10:wrap type="none"/>
            </v:rect>
          </w:pict>
        </mc:Fallback>
      </mc:AlternateContent>
    </w:r>
    <w:r>
      <w:rPr>
        <w:sz w:val="20"/>
      </w:rPr>
      <w:drawing>
        <wp:anchor distT="0" distB="0" distL="0" distR="0" allowOverlap="1" layoutInCell="1" locked="0" behindDoc="1" simplePos="0" relativeHeight="474438656">
          <wp:simplePos x="0" y="0"/>
          <wp:positionH relativeFrom="page">
            <wp:posOffset>4721352</wp:posOffset>
          </wp:positionH>
          <wp:positionV relativeFrom="page">
            <wp:posOffset>612648</wp:posOffset>
          </wp:positionV>
          <wp:extent cx="681227" cy="292607"/>
          <wp:effectExtent l="0" t="0" r="0" b="0"/>
          <wp:wrapNone/>
          <wp:docPr id="1129" name="Image 1129"/>
          <wp:cNvGraphicFramePr>
            <a:graphicFrameLocks/>
          </wp:cNvGraphicFramePr>
          <a:graphic>
            <a:graphicData uri="http://schemas.openxmlformats.org/drawingml/2006/picture">
              <pic:pic>
                <pic:nvPicPr>
                  <pic:cNvPr id="1129" name="Image 1129"/>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39168">
              <wp:simplePos x="0" y="0"/>
              <wp:positionH relativeFrom="page">
                <wp:posOffset>4315967</wp:posOffset>
              </wp:positionH>
              <wp:positionV relativeFrom="page">
                <wp:posOffset>615696</wp:posOffset>
              </wp:positionV>
              <wp:extent cx="315595" cy="349250"/>
              <wp:effectExtent l="0" t="0" r="0" b="0"/>
              <wp:wrapNone/>
              <wp:docPr id="1130" name="Group 1130"/>
              <wp:cNvGraphicFramePr>
                <a:graphicFrameLocks/>
              </wp:cNvGraphicFramePr>
              <a:graphic>
                <a:graphicData uri="http://schemas.microsoft.com/office/word/2010/wordprocessingGroup">
                  <wpg:wgp>
                    <wpg:cNvPr id="1130" name="Group 1130"/>
                    <wpg:cNvGrpSpPr/>
                    <wpg:grpSpPr>
                      <a:xfrm>
                        <a:off x="0" y="0"/>
                        <a:ext cx="315595" cy="349250"/>
                        <a:chExt cx="315595" cy="349250"/>
                      </a:xfrm>
                    </wpg:grpSpPr>
                    <wps:wsp>
                      <wps:cNvPr id="1131" name="Graphic 1131"/>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132" name="Image 1132"/>
                        <pic:cNvPicPr/>
                      </pic:nvPicPr>
                      <pic:blipFill>
                        <a:blip r:embed="rId3" cstate="print"/>
                        <a:stretch>
                          <a:fillRect/>
                        </a:stretch>
                      </pic:blipFill>
                      <pic:spPr>
                        <a:xfrm>
                          <a:off x="39623" y="182618"/>
                          <a:ext cx="236220" cy="125102"/>
                        </a:xfrm>
                        <a:prstGeom prst="rect">
                          <a:avLst/>
                        </a:prstGeom>
                      </pic:spPr>
                    </pic:pic>
                    <wps:wsp>
                      <wps:cNvPr id="1133" name="Graphic 1133"/>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77312" id="docshapegroup842" coordorigin="6797,970" coordsize="497,550">
              <v:shape style="position:absolute;left:6859;top:1032;width:312;height:190" id="docshape84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844" stroked="false">
                <v:imagedata r:id="rId3" o:title=""/>
              </v:shape>
              <v:shape style="position:absolute;left:6796;top:969;width:497;height:550" id="docshape84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39680">
              <wp:simplePos x="0" y="0"/>
              <wp:positionH relativeFrom="page">
                <wp:posOffset>5571744</wp:posOffset>
              </wp:positionH>
              <wp:positionV relativeFrom="page">
                <wp:posOffset>704088</wp:posOffset>
              </wp:positionV>
              <wp:extent cx="608330" cy="76200"/>
              <wp:effectExtent l="0" t="0" r="0" b="0"/>
              <wp:wrapNone/>
              <wp:docPr id="1134" name="Graphic 1134"/>
              <wp:cNvGraphicFramePr>
                <a:graphicFrameLocks/>
              </wp:cNvGraphicFramePr>
              <a:graphic>
                <a:graphicData uri="http://schemas.microsoft.com/office/word/2010/wordprocessingShape">
                  <wps:wsp>
                    <wps:cNvPr id="1134" name="Graphic 1134"/>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76800" id="docshape84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40192">
          <wp:simplePos x="0" y="0"/>
          <wp:positionH relativeFrom="page">
            <wp:posOffset>4315967</wp:posOffset>
          </wp:positionH>
          <wp:positionV relativeFrom="page">
            <wp:posOffset>525780</wp:posOffset>
          </wp:positionV>
          <wp:extent cx="316991" cy="70104"/>
          <wp:effectExtent l="0" t="0" r="0" b="0"/>
          <wp:wrapNone/>
          <wp:docPr id="1135" name="Image 1135"/>
          <wp:cNvGraphicFramePr>
            <a:graphicFrameLocks/>
          </wp:cNvGraphicFramePr>
          <a:graphic>
            <a:graphicData uri="http://schemas.openxmlformats.org/drawingml/2006/picture">
              <pic:pic>
                <pic:nvPicPr>
                  <pic:cNvPr id="1135" name="Image 1135"/>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40704">
              <wp:simplePos x="0" y="0"/>
              <wp:positionH relativeFrom="page">
                <wp:posOffset>5480303</wp:posOffset>
              </wp:positionH>
              <wp:positionV relativeFrom="page">
                <wp:posOffset>525780</wp:posOffset>
              </wp:positionV>
              <wp:extent cx="6350" cy="439420"/>
              <wp:effectExtent l="0" t="0" r="0" b="0"/>
              <wp:wrapNone/>
              <wp:docPr id="1136" name="Graphic 1136"/>
              <wp:cNvGraphicFramePr>
                <a:graphicFrameLocks/>
              </wp:cNvGraphicFramePr>
              <a:graphic>
                <a:graphicData uri="http://schemas.microsoft.com/office/word/2010/wordprocessingShape">
                  <wps:wsp>
                    <wps:cNvPr id="1136" name="Graphic 1136"/>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75776" id="docshape847" filled="true" fillcolor="#00587c" stroked="false">
              <v:fill type="solid"/>
              <w10:wrap type="none"/>
            </v:rect>
          </w:pict>
        </mc:Fallback>
      </mc:AlternateContent>
    </w:r>
    <w:r>
      <w:rPr>
        <w:sz w:val="20"/>
      </w:rPr>
      <w:drawing>
        <wp:anchor distT="0" distB="0" distL="0" distR="0" allowOverlap="1" layoutInCell="1" locked="0" behindDoc="1" simplePos="0" relativeHeight="474441216">
          <wp:simplePos x="0" y="0"/>
          <wp:positionH relativeFrom="page">
            <wp:posOffset>4721352</wp:posOffset>
          </wp:positionH>
          <wp:positionV relativeFrom="page">
            <wp:posOffset>612648</wp:posOffset>
          </wp:positionV>
          <wp:extent cx="681227" cy="292607"/>
          <wp:effectExtent l="0" t="0" r="0" b="0"/>
          <wp:wrapNone/>
          <wp:docPr id="1137" name="Image 1137"/>
          <wp:cNvGraphicFramePr>
            <a:graphicFrameLocks/>
          </wp:cNvGraphicFramePr>
          <a:graphic>
            <a:graphicData uri="http://schemas.openxmlformats.org/drawingml/2006/picture">
              <pic:pic>
                <pic:nvPicPr>
                  <pic:cNvPr id="1137" name="Image 1137"/>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41728">
              <wp:simplePos x="0" y="0"/>
              <wp:positionH relativeFrom="page">
                <wp:posOffset>4315967</wp:posOffset>
              </wp:positionH>
              <wp:positionV relativeFrom="page">
                <wp:posOffset>615696</wp:posOffset>
              </wp:positionV>
              <wp:extent cx="315595" cy="349250"/>
              <wp:effectExtent l="0" t="0" r="0" b="0"/>
              <wp:wrapNone/>
              <wp:docPr id="1138" name="Group 1138"/>
              <wp:cNvGraphicFramePr>
                <a:graphicFrameLocks/>
              </wp:cNvGraphicFramePr>
              <a:graphic>
                <a:graphicData uri="http://schemas.microsoft.com/office/word/2010/wordprocessingGroup">
                  <wpg:wgp>
                    <wpg:cNvPr id="1138" name="Group 1138"/>
                    <wpg:cNvGrpSpPr/>
                    <wpg:grpSpPr>
                      <a:xfrm>
                        <a:off x="0" y="0"/>
                        <a:ext cx="315595" cy="349250"/>
                        <a:chExt cx="315595" cy="349250"/>
                      </a:xfrm>
                    </wpg:grpSpPr>
                    <wps:wsp>
                      <wps:cNvPr id="1139" name="Graphic 1139"/>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140" name="Image 1140"/>
                        <pic:cNvPicPr/>
                      </pic:nvPicPr>
                      <pic:blipFill>
                        <a:blip r:embed="rId3" cstate="print"/>
                        <a:stretch>
                          <a:fillRect/>
                        </a:stretch>
                      </pic:blipFill>
                      <pic:spPr>
                        <a:xfrm>
                          <a:off x="39623" y="182618"/>
                          <a:ext cx="236220" cy="125102"/>
                        </a:xfrm>
                        <a:prstGeom prst="rect">
                          <a:avLst/>
                        </a:prstGeom>
                      </pic:spPr>
                    </pic:pic>
                    <wps:wsp>
                      <wps:cNvPr id="1141" name="Graphic 1141"/>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74752" id="docshapegroup848" coordorigin="6797,970" coordsize="497,550">
              <v:shape style="position:absolute;left:6859;top:1032;width:312;height:190" id="docshape849"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850" stroked="false">
                <v:imagedata r:id="rId3" o:title=""/>
              </v:shape>
              <v:shape style="position:absolute;left:6796;top:969;width:497;height:550" id="docshape851"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42240">
              <wp:simplePos x="0" y="0"/>
              <wp:positionH relativeFrom="page">
                <wp:posOffset>5571744</wp:posOffset>
              </wp:positionH>
              <wp:positionV relativeFrom="page">
                <wp:posOffset>704088</wp:posOffset>
              </wp:positionV>
              <wp:extent cx="608330" cy="76200"/>
              <wp:effectExtent l="0" t="0" r="0" b="0"/>
              <wp:wrapNone/>
              <wp:docPr id="1142" name="Graphic 1142"/>
              <wp:cNvGraphicFramePr>
                <a:graphicFrameLocks/>
              </wp:cNvGraphicFramePr>
              <a:graphic>
                <a:graphicData uri="http://schemas.microsoft.com/office/word/2010/wordprocessingShape">
                  <wps:wsp>
                    <wps:cNvPr id="1142" name="Graphic 1142"/>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74240" id="docshape852"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42752">
          <wp:simplePos x="0" y="0"/>
          <wp:positionH relativeFrom="page">
            <wp:posOffset>4315967</wp:posOffset>
          </wp:positionH>
          <wp:positionV relativeFrom="page">
            <wp:posOffset>525780</wp:posOffset>
          </wp:positionV>
          <wp:extent cx="316991" cy="70104"/>
          <wp:effectExtent l="0" t="0" r="0" b="0"/>
          <wp:wrapNone/>
          <wp:docPr id="1167" name="Image 1167"/>
          <wp:cNvGraphicFramePr>
            <a:graphicFrameLocks/>
          </wp:cNvGraphicFramePr>
          <a:graphic>
            <a:graphicData uri="http://schemas.openxmlformats.org/drawingml/2006/picture">
              <pic:pic>
                <pic:nvPicPr>
                  <pic:cNvPr id="1167" name="Image 1167"/>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43264">
              <wp:simplePos x="0" y="0"/>
              <wp:positionH relativeFrom="page">
                <wp:posOffset>5480303</wp:posOffset>
              </wp:positionH>
              <wp:positionV relativeFrom="page">
                <wp:posOffset>525780</wp:posOffset>
              </wp:positionV>
              <wp:extent cx="6350" cy="439420"/>
              <wp:effectExtent l="0" t="0" r="0" b="0"/>
              <wp:wrapNone/>
              <wp:docPr id="1168" name="Graphic 1168"/>
              <wp:cNvGraphicFramePr>
                <a:graphicFrameLocks/>
              </wp:cNvGraphicFramePr>
              <a:graphic>
                <a:graphicData uri="http://schemas.microsoft.com/office/word/2010/wordprocessingShape">
                  <wps:wsp>
                    <wps:cNvPr id="1168" name="Graphic 1168"/>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73216" id="docshape865" filled="true" fillcolor="#00587c" stroked="false">
              <v:fill type="solid"/>
              <w10:wrap type="none"/>
            </v:rect>
          </w:pict>
        </mc:Fallback>
      </mc:AlternateContent>
    </w:r>
    <w:r>
      <w:rPr>
        <w:sz w:val="20"/>
      </w:rPr>
      <w:drawing>
        <wp:anchor distT="0" distB="0" distL="0" distR="0" allowOverlap="1" layoutInCell="1" locked="0" behindDoc="1" simplePos="0" relativeHeight="474443776">
          <wp:simplePos x="0" y="0"/>
          <wp:positionH relativeFrom="page">
            <wp:posOffset>4721352</wp:posOffset>
          </wp:positionH>
          <wp:positionV relativeFrom="page">
            <wp:posOffset>612648</wp:posOffset>
          </wp:positionV>
          <wp:extent cx="681227" cy="292607"/>
          <wp:effectExtent l="0" t="0" r="0" b="0"/>
          <wp:wrapNone/>
          <wp:docPr id="1169" name="Image 1169"/>
          <wp:cNvGraphicFramePr>
            <a:graphicFrameLocks/>
          </wp:cNvGraphicFramePr>
          <a:graphic>
            <a:graphicData uri="http://schemas.openxmlformats.org/drawingml/2006/picture">
              <pic:pic>
                <pic:nvPicPr>
                  <pic:cNvPr id="1169" name="Image 1169"/>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44288">
              <wp:simplePos x="0" y="0"/>
              <wp:positionH relativeFrom="page">
                <wp:posOffset>4315967</wp:posOffset>
              </wp:positionH>
              <wp:positionV relativeFrom="page">
                <wp:posOffset>615696</wp:posOffset>
              </wp:positionV>
              <wp:extent cx="315595" cy="349250"/>
              <wp:effectExtent l="0" t="0" r="0" b="0"/>
              <wp:wrapNone/>
              <wp:docPr id="1170" name="Group 1170"/>
              <wp:cNvGraphicFramePr>
                <a:graphicFrameLocks/>
              </wp:cNvGraphicFramePr>
              <a:graphic>
                <a:graphicData uri="http://schemas.microsoft.com/office/word/2010/wordprocessingGroup">
                  <wpg:wgp>
                    <wpg:cNvPr id="1170" name="Group 1170"/>
                    <wpg:cNvGrpSpPr/>
                    <wpg:grpSpPr>
                      <a:xfrm>
                        <a:off x="0" y="0"/>
                        <a:ext cx="315595" cy="349250"/>
                        <a:chExt cx="315595" cy="349250"/>
                      </a:xfrm>
                    </wpg:grpSpPr>
                    <wps:wsp>
                      <wps:cNvPr id="1171" name="Graphic 1171"/>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172" name="Image 1172"/>
                        <pic:cNvPicPr/>
                      </pic:nvPicPr>
                      <pic:blipFill>
                        <a:blip r:embed="rId3" cstate="print"/>
                        <a:stretch>
                          <a:fillRect/>
                        </a:stretch>
                      </pic:blipFill>
                      <pic:spPr>
                        <a:xfrm>
                          <a:off x="39623" y="182618"/>
                          <a:ext cx="236220" cy="125102"/>
                        </a:xfrm>
                        <a:prstGeom prst="rect">
                          <a:avLst/>
                        </a:prstGeom>
                      </pic:spPr>
                    </pic:pic>
                    <wps:wsp>
                      <wps:cNvPr id="1173" name="Graphic 1173"/>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72192" id="docshapegroup866" coordorigin="6797,970" coordsize="497,550">
              <v:shape style="position:absolute;left:6859;top:1032;width:312;height:190" id="docshape867"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868" stroked="false">
                <v:imagedata r:id="rId3" o:title=""/>
              </v:shape>
              <v:shape style="position:absolute;left:6796;top:969;width:497;height:550" id="docshape869"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44800">
              <wp:simplePos x="0" y="0"/>
              <wp:positionH relativeFrom="page">
                <wp:posOffset>5571744</wp:posOffset>
              </wp:positionH>
              <wp:positionV relativeFrom="page">
                <wp:posOffset>704088</wp:posOffset>
              </wp:positionV>
              <wp:extent cx="608330" cy="76200"/>
              <wp:effectExtent l="0" t="0" r="0" b="0"/>
              <wp:wrapNone/>
              <wp:docPr id="1174" name="Graphic 1174"/>
              <wp:cNvGraphicFramePr>
                <a:graphicFrameLocks/>
              </wp:cNvGraphicFramePr>
              <a:graphic>
                <a:graphicData uri="http://schemas.microsoft.com/office/word/2010/wordprocessingShape">
                  <wps:wsp>
                    <wps:cNvPr id="1174" name="Graphic 1174"/>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71680" id="docshape870"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45312">
          <wp:simplePos x="0" y="0"/>
          <wp:positionH relativeFrom="page">
            <wp:posOffset>4315967</wp:posOffset>
          </wp:positionH>
          <wp:positionV relativeFrom="page">
            <wp:posOffset>525780</wp:posOffset>
          </wp:positionV>
          <wp:extent cx="316991" cy="70104"/>
          <wp:effectExtent l="0" t="0" r="0" b="0"/>
          <wp:wrapNone/>
          <wp:docPr id="1175" name="Image 1175"/>
          <wp:cNvGraphicFramePr>
            <a:graphicFrameLocks/>
          </wp:cNvGraphicFramePr>
          <a:graphic>
            <a:graphicData uri="http://schemas.openxmlformats.org/drawingml/2006/picture">
              <pic:pic>
                <pic:nvPicPr>
                  <pic:cNvPr id="1175" name="Image 1175"/>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45824">
              <wp:simplePos x="0" y="0"/>
              <wp:positionH relativeFrom="page">
                <wp:posOffset>5480303</wp:posOffset>
              </wp:positionH>
              <wp:positionV relativeFrom="page">
                <wp:posOffset>525780</wp:posOffset>
              </wp:positionV>
              <wp:extent cx="6350" cy="439420"/>
              <wp:effectExtent l="0" t="0" r="0" b="0"/>
              <wp:wrapNone/>
              <wp:docPr id="1176" name="Graphic 1176"/>
              <wp:cNvGraphicFramePr>
                <a:graphicFrameLocks/>
              </wp:cNvGraphicFramePr>
              <a:graphic>
                <a:graphicData uri="http://schemas.microsoft.com/office/word/2010/wordprocessingShape">
                  <wps:wsp>
                    <wps:cNvPr id="1176" name="Graphic 1176"/>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70656" id="docshape871" filled="true" fillcolor="#00587c" stroked="false">
              <v:fill type="solid"/>
              <w10:wrap type="none"/>
            </v:rect>
          </w:pict>
        </mc:Fallback>
      </mc:AlternateContent>
    </w:r>
    <w:r>
      <w:rPr>
        <w:sz w:val="20"/>
      </w:rPr>
      <w:drawing>
        <wp:anchor distT="0" distB="0" distL="0" distR="0" allowOverlap="1" layoutInCell="1" locked="0" behindDoc="1" simplePos="0" relativeHeight="474446336">
          <wp:simplePos x="0" y="0"/>
          <wp:positionH relativeFrom="page">
            <wp:posOffset>4721352</wp:posOffset>
          </wp:positionH>
          <wp:positionV relativeFrom="page">
            <wp:posOffset>612648</wp:posOffset>
          </wp:positionV>
          <wp:extent cx="681227" cy="292607"/>
          <wp:effectExtent l="0" t="0" r="0" b="0"/>
          <wp:wrapNone/>
          <wp:docPr id="1177" name="Image 1177"/>
          <wp:cNvGraphicFramePr>
            <a:graphicFrameLocks/>
          </wp:cNvGraphicFramePr>
          <a:graphic>
            <a:graphicData uri="http://schemas.openxmlformats.org/drawingml/2006/picture">
              <pic:pic>
                <pic:nvPicPr>
                  <pic:cNvPr id="1177" name="Image 1177"/>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46848">
              <wp:simplePos x="0" y="0"/>
              <wp:positionH relativeFrom="page">
                <wp:posOffset>4315967</wp:posOffset>
              </wp:positionH>
              <wp:positionV relativeFrom="page">
                <wp:posOffset>615696</wp:posOffset>
              </wp:positionV>
              <wp:extent cx="315595" cy="349250"/>
              <wp:effectExtent l="0" t="0" r="0" b="0"/>
              <wp:wrapNone/>
              <wp:docPr id="1178" name="Group 1178"/>
              <wp:cNvGraphicFramePr>
                <a:graphicFrameLocks/>
              </wp:cNvGraphicFramePr>
              <a:graphic>
                <a:graphicData uri="http://schemas.microsoft.com/office/word/2010/wordprocessingGroup">
                  <wpg:wgp>
                    <wpg:cNvPr id="1178" name="Group 1178"/>
                    <wpg:cNvGrpSpPr/>
                    <wpg:grpSpPr>
                      <a:xfrm>
                        <a:off x="0" y="0"/>
                        <a:ext cx="315595" cy="349250"/>
                        <a:chExt cx="315595" cy="349250"/>
                      </a:xfrm>
                    </wpg:grpSpPr>
                    <wps:wsp>
                      <wps:cNvPr id="1179" name="Graphic 1179"/>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180" name="Image 1180"/>
                        <pic:cNvPicPr/>
                      </pic:nvPicPr>
                      <pic:blipFill>
                        <a:blip r:embed="rId3" cstate="print"/>
                        <a:stretch>
                          <a:fillRect/>
                        </a:stretch>
                      </pic:blipFill>
                      <pic:spPr>
                        <a:xfrm>
                          <a:off x="39623" y="182618"/>
                          <a:ext cx="236220" cy="125102"/>
                        </a:xfrm>
                        <a:prstGeom prst="rect">
                          <a:avLst/>
                        </a:prstGeom>
                      </pic:spPr>
                    </pic:pic>
                    <wps:wsp>
                      <wps:cNvPr id="1181" name="Graphic 1181"/>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69632" id="docshapegroup872" coordorigin="6797,970" coordsize="497,550">
              <v:shape style="position:absolute;left:6859;top:1032;width:312;height:190" id="docshape87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874" stroked="false">
                <v:imagedata r:id="rId3" o:title=""/>
              </v:shape>
              <v:shape style="position:absolute;left:6796;top:969;width:497;height:550" id="docshape87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47360">
              <wp:simplePos x="0" y="0"/>
              <wp:positionH relativeFrom="page">
                <wp:posOffset>5571744</wp:posOffset>
              </wp:positionH>
              <wp:positionV relativeFrom="page">
                <wp:posOffset>704088</wp:posOffset>
              </wp:positionV>
              <wp:extent cx="608330" cy="76200"/>
              <wp:effectExtent l="0" t="0" r="0" b="0"/>
              <wp:wrapNone/>
              <wp:docPr id="1182" name="Graphic 1182"/>
              <wp:cNvGraphicFramePr>
                <a:graphicFrameLocks/>
              </wp:cNvGraphicFramePr>
              <a:graphic>
                <a:graphicData uri="http://schemas.microsoft.com/office/word/2010/wordprocessingShape">
                  <wps:wsp>
                    <wps:cNvPr id="1182" name="Graphic 1182"/>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69120" id="docshape87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47872">
          <wp:simplePos x="0" y="0"/>
          <wp:positionH relativeFrom="page">
            <wp:posOffset>4315967</wp:posOffset>
          </wp:positionH>
          <wp:positionV relativeFrom="page">
            <wp:posOffset>525780</wp:posOffset>
          </wp:positionV>
          <wp:extent cx="316991" cy="70104"/>
          <wp:effectExtent l="0" t="0" r="0" b="0"/>
          <wp:wrapNone/>
          <wp:docPr id="1200" name="Image 1200"/>
          <wp:cNvGraphicFramePr>
            <a:graphicFrameLocks/>
          </wp:cNvGraphicFramePr>
          <a:graphic>
            <a:graphicData uri="http://schemas.openxmlformats.org/drawingml/2006/picture">
              <pic:pic>
                <pic:nvPicPr>
                  <pic:cNvPr id="1200" name="Image 1200"/>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48384">
              <wp:simplePos x="0" y="0"/>
              <wp:positionH relativeFrom="page">
                <wp:posOffset>5480303</wp:posOffset>
              </wp:positionH>
              <wp:positionV relativeFrom="page">
                <wp:posOffset>525780</wp:posOffset>
              </wp:positionV>
              <wp:extent cx="6350" cy="439420"/>
              <wp:effectExtent l="0" t="0" r="0" b="0"/>
              <wp:wrapNone/>
              <wp:docPr id="1201" name="Graphic 1201"/>
              <wp:cNvGraphicFramePr>
                <a:graphicFrameLocks/>
              </wp:cNvGraphicFramePr>
              <a:graphic>
                <a:graphicData uri="http://schemas.microsoft.com/office/word/2010/wordprocessingShape">
                  <wps:wsp>
                    <wps:cNvPr id="1201" name="Graphic 1201"/>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68096" id="docshape888" filled="true" fillcolor="#00587c" stroked="false">
              <v:fill type="solid"/>
              <w10:wrap type="none"/>
            </v:rect>
          </w:pict>
        </mc:Fallback>
      </mc:AlternateContent>
    </w:r>
    <w:r>
      <w:rPr>
        <w:sz w:val="20"/>
      </w:rPr>
      <w:drawing>
        <wp:anchor distT="0" distB="0" distL="0" distR="0" allowOverlap="1" layoutInCell="1" locked="0" behindDoc="1" simplePos="0" relativeHeight="474448896">
          <wp:simplePos x="0" y="0"/>
          <wp:positionH relativeFrom="page">
            <wp:posOffset>4721352</wp:posOffset>
          </wp:positionH>
          <wp:positionV relativeFrom="page">
            <wp:posOffset>612648</wp:posOffset>
          </wp:positionV>
          <wp:extent cx="681227" cy="292607"/>
          <wp:effectExtent l="0" t="0" r="0" b="0"/>
          <wp:wrapNone/>
          <wp:docPr id="1202" name="Image 1202"/>
          <wp:cNvGraphicFramePr>
            <a:graphicFrameLocks/>
          </wp:cNvGraphicFramePr>
          <a:graphic>
            <a:graphicData uri="http://schemas.openxmlformats.org/drawingml/2006/picture">
              <pic:pic>
                <pic:nvPicPr>
                  <pic:cNvPr id="1202" name="Image 1202"/>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49408">
              <wp:simplePos x="0" y="0"/>
              <wp:positionH relativeFrom="page">
                <wp:posOffset>4315967</wp:posOffset>
              </wp:positionH>
              <wp:positionV relativeFrom="page">
                <wp:posOffset>615696</wp:posOffset>
              </wp:positionV>
              <wp:extent cx="315595" cy="349250"/>
              <wp:effectExtent l="0" t="0" r="0" b="0"/>
              <wp:wrapNone/>
              <wp:docPr id="1203" name="Group 1203"/>
              <wp:cNvGraphicFramePr>
                <a:graphicFrameLocks/>
              </wp:cNvGraphicFramePr>
              <a:graphic>
                <a:graphicData uri="http://schemas.microsoft.com/office/word/2010/wordprocessingGroup">
                  <wpg:wgp>
                    <wpg:cNvPr id="1203" name="Group 1203"/>
                    <wpg:cNvGrpSpPr/>
                    <wpg:grpSpPr>
                      <a:xfrm>
                        <a:off x="0" y="0"/>
                        <a:ext cx="315595" cy="349250"/>
                        <a:chExt cx="315595" cy="349250"/>
                      </a:xfrm>
                    </wpg:grpSpPr>
                    <wps:wsp>
                      <wps:cNvPr id="1204" name="Graphic 1204"/>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205" name="Image 1205"/>
                        <pic:cNvPicPr/>
                      </pic:nvPicPr>
                      <pic:blipFill>
                        <a:blip r:embed="rId3" cstate="print"/>
                        <a:stretch>
                          <a:fillRect/>
                        </a:stretch>
                      </pic:blipFill>
                      <pic:spPr>
                        <a:xfrm>
                          <a:off x="39623" y="182618"/>
                          <a:ext cx="236220" cy="125102"/>
                        </a:xfrm>
                        <a:prstGeom prst="rect">
                          <a:avLst/>
                        </a:prstGeom>
                      </pic:spPr>
                    </pic:pic>
                    <wps:wsp>
                      <wps:cNvPr id="1206" name="Graphic 1206"/>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67072" id="docshapegroup889" coordorigin="6797,970" coordsize="497,550">
              <v:shape style="position:absolute;left:6859;top:1032;width:312;height:190" id="docshape890"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891" stroked="false">
                <v:imagedata r:id="rId3" o:title=""/>
              </v:shape>
              <v:shape style="position:absolute;left:6796;top:969;width:497;height:550" id="docshape892"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49920">
              <wp:simplePos x="0" y="0"/>
              <wp:positionH relativeFrom="page">
                <wp:posOffset>5571744</wp:posOffset>
              </wp:positionH>
              <wp:positionV relativeFrom="page">
                <wp:posOffset>704088</wp:posOffset>
              </wp:positionV>
              <wp:extent cx="608330" cy="76200"/>
              <wp:effectExtent l="0" t="0" r="0" b="0"/>
              <wp:wrapNone/>
              <wp:docPr id="1207" name="Graphic 1207"/>
              <wp:cNvGraphicFramePr>
                <a:graphicFrameLocks/>
              </wp:cNvGraphicFramePr>
              <a:graphic>
                <a:graphicData uri="http://schemas.microsoft.com/office/word/2010/wordprocessingShape">
                  <wps:wsp>
                    <wps:cNvPr id="1207" name="Graphic 1207"/>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66560" id="docshape893"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50432">
          <wp:simplePos x="0" y="0"/>
          <wp:positionH relativeFrom="page">
            <wp:posOffset>4315967</wp:posOffset>
          </wp:positionH>
          <wp:positionV relativeFrom="page">
            <wp:posOffset>525780</wp:posOffset>
          </wp:positionV>
          <wp:extent cx="316991" cy="70104"/>
          <wp:effectExtent l="0" t="0" r="0" b="0"/>
          <wp:wrapNone/>
          <wp:docPr id="1208" name="Image 1208"/>
          <wp:cNvGraphicFramePr>
            <a:graphicFrameLocks/>
          </wp:cNvGraphicFramePr>
          <a:graphic>
            <a:graphicData uri="http://schemas.openxmlformats.org/drawingml/2006/picture">
              <pic:pic>
                <pic:nvPicPr>
                  <pic:cNvPr id="1208" name="Image 1208"/>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50944">
              <wp:simplePos x="0" y="0"/>
              <wp:positionH relativeFrom="page">
                <wp:posOffset>5480303</wp:posOffset>
              </wp:positionH>
              <wp:positionV relativeFrom="page">
                <wp:posOffset>525780</wp:posOffset>
              </wp:positionV>
              <wp:extent cx="6350" cy="439420"/>
              <wp:effectExtent l="0" t="0" r="0" b="0"/>
              <wp:wrapNone/>
              <wp:docPr id="1209" name="Graphic 1209"/>
              <wp:cNvGraphicFramePr>
                <a:graphicFrameLocks/>
              </wp:cNvGraphicFramePr>
              <a:graphic>
                <a:graphicData uri="http://schemas.microsoft.com/office/word/2010/wordprocessingShape">
                  <wps:wsp>
                    <wps:cNvPr id="1209" name="Graphic 1209"/>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65536" id="docshape894" filled="true" fillcolor="#00587c" stroked="false">
              <v:fill type="solid"/>
              <w10:wrap type="none"/>
            </v:rect>
          </w:pict>
        </mc:Fallback>
      </mc:AlternateContent>
    </w:r>
    <w:r>
      <w:rPr>
        <w:sz w:val="20"/>
      </w:rPr>
      <w:drawing>
        <wp:anchor distT="0" distB="0" distL="0" distR="0" allowOverlap="1" layoutInCell="1" locked="0" behindDoc="1" simplePos="0" relativeHeight="474451456">
          <wp:simplePos x="0" y="0"/>
          <wp:positionH relativeFrom="page">
            <wp:posOffset>4721352</wp:posOffset>
          </wp:positionH>
          <wp:positionV relativeFrom="page">
            <wp:posOffset>612648</wp:posOffset>
          </wp:positionV>
          <wp:extent cx="681227" cy="292607"/>
          <wp:effectExtent l="0" t="0" r="0" b="0"/>
          <wp:wrapNone/>
          <wp:docPr id="1210" name="Image 1210"/>
          <wp:cNvGraphicFramePr>
            <a:graphicFrameLocks/>
          </wp:cNvGraphicFramePr>
          <a:graphic>
            <a:graphicData uri="http://schemas.openxmlformats.org/drawingml/2006/picture">
              <pic:pic>
                <pic:nvPicPr>
                  <pic:cNvPr id="1210" name="Image 1210"/>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51968">
              <wp:simplePos x="0" y="0"/>
              <wp:positionH relativeFrom="page">
                <wp:posOffset>4315967</wp:posOffset>
              </wp:positionH>
              <wp:positionV relativeFrom="page">
                <wp:posOffset>615696</wp:posOffset>
              </wp:positionV>
              <wp:extent cx="315595" cy="349250"/>
              <wp:effectExtent l="0" t="0" r="0" b="0"/>
              <wp:wrapNone/>
              <wp:docPr id="1211" name="Group 1211"/>
              <wp:cNvGraphicFramePr>
                <a:graphicFrameLocks/>
              </wp:cNvGraphicFramePr>
              <a:graphic>
                <a:graphicData uri="http://schemas.microsoft.com/office/word/2010/wordprocessingGroup">
                  <wpg:wgp>
                    <wpg:cNvPr id="1211" name="Group 1211"/>
                    <wpg:cNvGrpSpPr/>
                    <wpg:grpSpPr>
                      <a:xfrm>
                        <a:off x="0" y="0"/>
                        <a:ext cx="315595" cy="349250"/>
                        <a:chExt cx="315595" cy="349250"/>
                      </a:xfrm>
                    </wpg:grpSpPr>
                    <wps:wsp>
                      <wps:cNvPr id="1212" name="Graphic 1212"/>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213" name="Image 1213"/>
                        <pic:cNvPicPr/>
                      </pic:nvPicPr>
                      <pic:blipFill>
                        <a:blip r:embed="rId3" cstate="print"/>
                        <a:stretch>
                          <a:fillRect/>
                        </a:stretch>
                      </pic:blipFill>
                      <pic:spPr>
                        <a:xfrm>
                          <a:off x="39623" y="182618"/>
                          <a:ext cx="236220" cy="125102"/>
                        </a:xfrm>
                        <a:prstGeom prst="rect">
                          <a:avLst/>
                        </a:prstGeom>
                      </pic:spPr>
                    </pic:pic>
                    <wps:wsp>
                      <wps:cNvPr id="1214" name="Graphic 1214"/>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64512" id="docshapegroup895" coordorigin="6797,970" coordsize="497,550">
              <v:shape style="position:absolute;left:6859;top:1032;width:312;height:190" id="docshape896"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897" stroked="false">
                <v:imagedata r:id="rId3" o:title=""/>
              </v:shape>
              <v:shape style="position:absolute;left:6796;top:969;width:497;height:550" id="docshape898"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52480">
              <wp:simplePos x="0" y="0"/>
              <wp:positionH relativeFrom="page">
                <wp:posOffset>5571744</wp:posOffset>
              </wp:positionH>
              <wp:positionV relativeFrom="page">
                <wp:posOffset>704088</wp:posOffset>
              </wp:positionV>
              <wp:extent cx="608330" cy="76200"/>
              <wp:effectExtent l="0" t="0" r="0" b="0"/>
              <wp:wrapNone/>
              <wp:docPr id="1215" name="Graphic 1215"/>
              <wp:cNvGraphicFramePr>
                <a:graphicFrameLocks/>
              </wp:cNvGraphicFramePr>
              <a:graphic>
                <a:graphicData uri="http://schemas.microsoft.com/office/word/2010/wordprocessingShape">
                  <wps:wsp>
                    <wps:cNvPr id="1215" name="Graphic 1215"/>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64000" id="docshape899"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52992">
          <wp:simplePos x="0" y="0"/>
          <wp:positionH relativeFrom="page">
            <wp:posOffset>4315967</wp:posOffset>
          </wp:positionH>
          <wp:positionV relativeFrom="page">
            <wp:posOffset>525780</wp:posOffset>
          </wp:positionV>
          <wp:extent cx="316991" cy="70104"/>
          <wp:effectExtent l="0" t="0" r="0" b="0"/>
          <wp:wrapNone/>
          <wp:docPr id="1233" name="Image 1233"/>
          <wp:cNvGraphicFramePr>
            <a:graphicFrameLocks/>
          </wp:cNvGraphicFramePr>
          <a:graphic>
            <a:graphicData uri="http://schemas.openxmlformats.org/drawingml/2006/picture">
              <pic:pic>
                <pic:nvPicPr>
                  <pic:cNvPr id="1233" name="Image 1233"/>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53504">
              <wp:simplePos x="0" y="0"/>
              <wp:positionH relativeFrom="page">
                <wp:posOffset>5480303</wp:posOffset>
              </wp:positionH>
              <wp:positionV relativeFrom="page">
                <wp:posOffset>525780</wp:posOffset>
              </wp:positionV>
              <wp:extent cx="6350" cy="439420"/>
              <wp:effectExtent l="0" t="0" r="0" b="0"/>
              <wp:wrapNone/>
              <wp:docPr id="1234" name="Graphic 1234"/>
              <wp:cNvGraphicFramePr>
                <a:graphicFrameLocks/>
              </wp:cNvGraphicFramePr>
              <a:graphic>
                <a:graphicData uri="http://schemas.microsoft.com/office/word/2010/wordprocessingShape">
                  <wps:wsp>
                    <wps:cNvPr id="1234" name="Graphic 1234"/>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62976" id="docshape911" filled="true" fillcolor="#00587c" stroked="false">
              <v:fill type="solid"/>
              <w10:wrap type="none"/>
            </v:rect>
          </w:pict>
        </mc:Fallback>
      </mc:AlternateContent>
    </w:r>
    <w:r>
      <w:rPr>
        <w:sz w:val="20"/>
      </w:rPr>
      <w:drawing>
        <wp:anchor distT="0" distB="0" distL="0" distR="0" allowOverlap="1" layoutInCell="1" locked="0" behindDoc="1" simplePos="0" relativeHeight="474454016">
          <wp:simplePos x="0" y="0"/>
          <wp:positionH relativeFrom="page">
            <wp:posOffset>4721352</wp:posOffset>
          </wp:positionH>
          <wp:positionV relativeFrom="page">
            <wp:posOffset>612648</wp:posOffset>
          </wp:positionV>
          <wp:extent cx="681227" cy="292607"/>
          <wp:effectExtent l="0" t="0" r="0" b="0"/>
          <wp:wrapNone/>
          <wp:docPr id="1235" name="Image 1235"/>
          <wp:cNvGraphicFramePr>
            <a:graphicFrameLocks/>
          </wp:cNvGraphicFramePr>
          <a:graphic>
            <a:graphicData uri="http://schemas.openxmlformats.org/drawingml/2006/picture">
              <pic:pic>
                <pic:nvPicPr>
                  <pic:cNvPr id="1235" name="Image 1235"/>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54528">
              <wp:simplePos x="0" y="0"/>
              <wp:positionH relativeFrom="page">
                <wp:posOffset>4315967</wp:posOffset>
              </wp:positionH>
              <wp:positionV relativeFrom="page">
                <wp:posOffset>615696</wp:posOffset>
              </wp:positionV>
              <wp:extent cx="315595" cy="349250"/>
              <wp:effectExtent l="0" t="0" r="0" b="0"/>
              <wp:wrapNone/>
              <wp:docPr id="1236" name="Group 1236"/>
              <wp:cNvGraphicFramePr>
                <a:graphicFrameLocks/>
              </wp:cNvGraphicFramePr>
              <a:graphic>
                <a:graphicData uri="http://schemas.microsoft.com/office/word/2010/wordprocessingGroup">
                  <wpg:wgp>
                    <wpg:cNvPr id="1236" name="Group 1236"/>
                    <wpg:cNvGrpSpPr/>
                    <wpg:grpSpPr>
                      <a:xfrm>
                        <a:off x="0" y="0"/>
                        <a:ext cx="315595" cy="349250"/>
                        <a:chExt cx="315595" cy="349250"/>
                      </a:xfrm>
                    </wpg:grpSpPr>
                    <wps:wsp>
                      <wps:cNvPr id="1237" name="Graphic 1237"/>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238" name="Image 1238"/>
                        <pic:cNvPicPr/>
                      </pic:nvPicPr>
                      <pic:blipFill>
                        <a:blip r:embed="rId3" cstate="print"/>
                        <a:stretch>
                          <a:fillRect/>
                        </a:stretch>
                      </pic:blipFill>
                      <pic:spPr>
                        <a:xfrm>
                          <a:off x="39623" y="182618"/>
                          <a:ext cx="236220" cy="125102"/>
                        </a:xfrm>
                        <a:prstGeom prst="rect">
                          <a:avLst/>
                        </a:prstGeom>
                      </pic:spPr>
                    </pic:pic>
                    <wps:wsp>
                      <wps:cNvPr id="1239" name="Graphic 1239"/>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61952" id="docshapegroup912" coordorigin="6797,970" coordsize="497,550">
              <v:shape style="position:absolute;left:6859;top:1032;width:312;height:190" id="docshape913"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914" stroked="false">
                <v:imagedata r:id="rId3" o:title=""/>
              </v:shape>
              <v:shape style="position:absolute;left:6796;top:969;width:497;height:550" id="docshape915"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55040">
              <wp:simplePos x="0" y="0"/>
              <wp:positionH relativeFrom="page">
                <wp:posOffset>5571744</wp:posOffset>
              </wp:positionH>
              <wp:positionV relativeFrom="page">
                <wp:posOffset>704088</wp:posOffset>
              </wp:positionV>
              <wp:extent cx="608330" cy="76200"/>
              <wp:effectExtent l="0" t="0" r="0" b="0"/>
              <wp:wrapNone/>
              <wp:docPr id="1240" name="Graphic 1240"/>
              <wp:cNvGraphicFramePr>
                <a:graphicFrameLocks/>
              </wp:cNvGraphicFramePr>
              <a:graphic>
                <a:graphicData uri="http://schemas.microsoft.com/office/word/2010/wordprocessingShape">
                  <wps:wsp>
                    <wps:cNvPr id="1240" name="Graphic 1240"/>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61440" id="docshape916"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55552">
          <wp:simplePos x="0" y="0"/>
          <wp:positionH relativeFrom="page">
            <wp:posOffset>4315967</wp:posOffset>
          </wp:positionH>
          <wp:positionV relativeFrom="page">
            <wp:posOffset>525780</wp:posOffset>
          </wp:positionV>
          <wp:extent cx="316991" cy="70104"/>
          <wp:effectExtent l="0" t="0" r="0" b="0"/>
          <wp:wrapNone/>
          <wp:docPr id="1241" name="Image 1241"/>
          <wp:cNvGraphicFramePr>
            <a:graphicFrameLocks/>
          </wp:cNvGraphicFramePr>
          <a:graphic>
            <a:graphicData uri="http://schemas.openxmlformats.org/drawingml/2006/picture">
              <pic:pic>
                <pic:nvPicPr>
                  <pic:cNvPr id="1241" name="Image 1241"/>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56064">
              <wp:simplePos x="0" y="0"/>
              <wp:positionH relativeFrom="page">
                <wp:posOffset>5480303</wp:posOffset>
              </wp:positionH>
              <wp:positionV relativeFrom="page">
                <wp:posOffset>525780</wp:posOffset>
              </wp:positionV>
              <wp:extent cx="6350" cy="439420"/>
              <wp:effectExtent l="0" t="0" r="0" b="0"/>
              <wp:wrapNone/>
              <wp:docPr id="1242" name="Graphic 1242"/>
              <wp:cNvGraphicFramePr>
                <a:graphicFrameLocks/>
              </wp:cNvGraphicFramePr>
              <a:graphic>
                <a:graphicData uri="http://schemas.microsoft.com/office/word/2010/wordprocessingShape">
                  <wps:wsp>
                    <wps:cNvPr id="1242" name="Graphic 1242"/>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60416" id="docshape917" filled="true" fillcolor="#00587c" stroked="false">
              <v:fill type="solid"/>
              <w10:wrap type="none"/>
            </v:rect>
          </w:pict>
        </mc:Fallback>
      </mc:AlternateContent>
    </w:r>
    <w:r>
      <w:rPr>
        <w:sz w:val="20"/>
      </w:rPr>
      <w:drawing>
        <wp:anchor distT="0" distB="0" distL="0" distR="0" allowOverlap="1" layoutInCell="1" locked="0" behindDoc="1" simplePos="0" relativeHeight="474456576">
          <wp:simplePos x="0" y="0"/>
          <wp:positionH relativeFrom="page">
            <wp:posOffset>4721352</wp:posOffset>
          </wp:positionH>
          <wp:positionV relativeFrom="page">
            <wp:posOffset>612648</wp:posOffset>
          </wp:positionV>
          <wp:extent cx="681227" cy="292607"/>
          <wp:effectExtent l="0" t="0" r="0" b="0"/>
          <wp:wrapNone/>
          <wp:docPr id="1243" name="Image 1243"/>
          <wp:cNvGraphicFramePr>
            <a:graphicFrameLocks/>
          </wp:cNvGraphicFramePr>
          <a:graphic>
            <a:graphicData uri="http://schemas.openxmlformats.org/drawingml/2006/picture">
              <pic:pic>
                <pic:nvPicPr>
                  <pic:cNvPr id="1243" name="Image 1243"/>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57088">
              <wp:simplePos x="0" y="0"/>
              <wp:positionH relativeFrom="page">
                <wp:posOffset>4315967</wp:posOffset>
              </wp:positionH>
              <wp:positionV relativeFrom="page">
                <wp:posOffset>615696</wp:posOffset>
              </wp:positionV>
              <wp:extent cx="315595" cy="349250"/>
              <wp:effectExtent l="0" t="0" r="0" b="0"/>
              <wp:wrapNone/>
              <wp:docPr id="1244" name="Group 1244"/>
              <wp:cNvGraphicFramePr>
                <a:graphicFrameLocks/>
              </wp:cNvGraphicFramePr>
              <a:graphic>
                <a:graphicData uri="http://schemas.microsoft.com/office/word/2010/wordprocessingGroup">
                  <wpg:wgp>
                    <wpg:cNvPr id="1244" name="Group 1244"/>
                    <wpg:cNvGrpSpPr/>
                    <wpg:grpSpPr>
                      <a:xfrm>
                        <a:off x="0" y="0"/>
                        <a:ext cx="315595" cy="349250"/>
                        <a:chExt cx="315595" cy="349250"/>
                      </a:xfrm>
                    </wpg:grpSpPr>
                    <wps:wsp>
                      <wps:cNvPr id="1245" name="Graphic 1245"/>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246" name="Image 1246"/>
                        <pic:cNvPicPr/>
                      </pic:nvPicPr>
                      <pic:blipFill>
                        <a:blip r:embed="rId3" cstate="print"/>
                        <a:stretch>
                          <a:fillRect/>
                        </a:stretch>
                      </pic:blipFill>
                      <pic:spPr>
                        <a:xfrm>
                          <a:off x="39623" y="182618"/>
                          <a:ext cx="236220" cy="125102"/>
                        </a:xfrm>
                        <a:prstGeom prst="rect">
                          <a:avLst/>
                        </a:prstGeom>
                      </pic:spPr>
                    </pic:pic>
                    <wps:wsp>
                      <wps:cNvPr id="1247" name="Graphic 1247"/>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59392" id="docshapegroup918" coordorigin="6797,970" coordsize="497,550">
              <v:shape style="position:absolute;left:6859;top:1032;width:312;height:190" id="docshape919"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920" stroked="false">
                <v:imagedata r:id="rId3" o:title=""/>
              </v:shape>
              <v:shape style="position:absolute;left:6796;top:969;width:497;height:550" id="docshape921"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57600">
              <wp:simplePos x="0" y="0"/>
              <wp:positionH relativeFrom="page">
                <wp:posOffset>5571744</wp:posOffset>
              </wp:positionH>
              <wp:positionV relativeFrom="page">
                <wp:posOffset>704088</wp:posOffset>
              </wp:positionV>
              <wp:extent cx="608330" cy="76200"/>
              <wp:effectExtent l="0" t="0" r="0" b="0"/>
              <wp:wrapNone/>
              <wp:docPr id="1248" name="Graphic 1248"/>
              <wp:cNvGraphicFramePr>
                <a:graphicFrameLocks/>
              </wp:cNvGraphicFramePr>
              <a:graphic>
                <a:graphicData uri="http://schemas.microsoft.com/office/word/2010/wordprocessingShape">
                  <wps:wsp>
                    <wps:cNvPr id="1248" name="Graphic 1248"/>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58880" id="docshape922"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header9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74458112">
          <wp:simplePos x="0" y="0"/>
          <wp:positionH relativeFrom="page">
            <wp:posOffset>4315967</wp:posOffset>
          </wp:positionH>
          <wp:positionV relativeFrom="page">
            <wp:posOffset>525780</wp:posOffset>
          </wp:positionV>
          <wp:extent cx="316991" cy="70104"/>
          <wp:effectExtent l="0" t="0" r="0" b="0"/>
          <wp:wrapNone/>
          <wp:docPr id="1267" name="Image 1267"/>
          <wp:cNvGraphicFramePr>
            <a:graphicFrameLocks/>
          </wp:cNvGraphicFramePr>
          <a:graphic>
            <a:graphicData uri="http://schemas.openxmlformats.org/drawingml/2006/picture">
              <pic:pic>
                <pic:nvPicPr>
                  <pic:cNvPr id="1267" name="Image 1267"/>
                  <pic:cNvPicPr/>
                </pic:nvPicPr>
                <pic:blipFill>
                  <a:blip r:embed="rId1" cstate="print"/>
                  <a:stretch>
                    <a:fillRect/>
                  </a:stretch>
                </pic:blipFill>
                <pic:spPr>
                  <a:xfrm>
                    <a:off x="0" y="0"/>
                    <a:ext cx="316991" cy="7010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58624">
              <wp:simplePos x="0" y="0"/>
              <wp:positionH relativeFrom="page">
                <wp:posOffset>5480303</wp:posOffset>
              </wp:positionH>
              <wp:positionV relativeFrom="page">
                <wp:posOffset>525780</wp:posOffset>
              </wp:positionV>
              <wp:extent cx="6350" cy="439420"/>
              <wp:effectExtent l="0" t="0" r="0" b="0"/>
              <wp:wrapNone/>
              <wp:docPr id="1268" name="Graphic 1268"/>
              <wp:cNvGraphicFramePr>
                <a:graphicFrameLocks/>
              </wp:cNvGraphicFramePr>
              <a:graphic>
                <a:graphicData uri="http://schemas.microsoft.com/office/word/2010/wordprocessingShape">
                  <wps:wsp>
                    <wps:cNvPr id="1268" name="Graphic 1268"/>
                    <wps:cNvSpPr/>
                    <wps:spPr>
                      <a:xfrm>
                        <a:off x="0" y="0"/>
                        <a:ext cx="6350" cy="439420"/>
                      </a:xfrm>
                      <a:custGeom>
                        <a:avLst/>
                        <a:gdLst/>
                        <a:ahLst/>
                        <a:cxnLst/>
                        <a:rect l="l" t="t" r="r" b="b"/>
                        <a:pathLst>
                          <a:path w="6350" h="439420">
                            <a:moveTo>
                              <a:pt x="6096" y="0"/>
                            </a:moveTo>
                            <a:lnTo>
                              <a:pt x="0" y="0"/>
                            </a:lnTo>
                            <a:lnTo>
                              <a:pt x="0" y="438912"/>
                            </a:lnTo>
                            <a:lnTo>
                              <a:pt x="6096" y="438912"/>
                            </a:lnTo>
                            <a:lnTo>
                              <a:pt x="6096" y="0"/>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rect style="position:absolute;margin-left:431.519989pt;margin-top:41.400013pt;width:.48pt;height:34.56pt;mso-position-horizontal-relative:page;mso-position-vertical-relative:page;z-index:-28857856" id="docshape935" filled="true" fillcolor="#00587c" stroked="false">
              <v:fill type="solid"/>
              <w10:wrap type="none"/>
            </v:rect>
          </w:pict>
        </mc:Fallback>
      </mc:AlternateContent>
    </w:r>
    <w:r>
      <w:rPr>
        <w:sz w:val="20"/>
      </w:rPr>
      <w:drawing>
        <wp:anchor distT="0" distB="0" distL="0" distR="0" allowOverlap="1" layoutInCell="1" locked="0" behindDoc="1" simplePos="0" relativeHeight="474459136">
          <wp:simplePos x="0" y="0"/>
          <wp:positionH relativeFrom="page">
            <wp:posOffset>4721352</wp:posOffset>
          </wp:positionH>
          <wp:positionV relativeFrom="page">
            <wp:posOffset>612648</wp:posOffset>
          </wp:positionV>
          <wp:extent cx="681227" cy="292607"/>
          <wp:effectExtent l="0" t="0" r="0" b="0"/>
          <wp:wrapNone/>
          <wp:docPr id="1269" name="Image 1269"/>
          <wp:cNvGraphicFramePr>
            <a:graphicFrameLocks/>
          </wp:cNvGraphicFramePr>
          <a:graphic>
            <a:graphicData uri="http://schemas.openxmlformats.org/drawingml/2006/picture">
              <pic:pic>
                <pic:nvPicPr>
                  <pic:cNvPr id="1269" name="Image 1269"/>
                  <pic:cNvPicPr/>
                </pic:nvPicPr>
                <pic:blipFill>
                  <a:blip r:embed="rId2" cstate="print"/>
                  <a:stretch>
                    <a:fillRect/>
                  </a:stretch>
                </pic:blipFill>
                <pic:spPr>
                  <a:xfrm>
                    <a:off x="0" y="0"/>
                    <a:ext cx="681227" cy="29260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74459648">
              <wp:simplePos x="0" y="0"/>
              <wp:positionH relativeFrom="page">
                <wp:posOffset>4315967</wp:posOffset>
              </wp:positionH>
              <wp:positionV relativeFrom="page">
                <wp:posOffset>615696</wp:posOffset>
              </wp:positionV>
              <wp:extent cx="315595" cy="349250"/>
              <wp:effectExtent l="0" t="0" r="0" b="0"/>
              <wp:wrapNone/>
              <wp:docPr id="1270" name="Group 1270"/>
              <wp:cNvGraphicFramePr>
                <a:graphicFrameLocks/>
              </wp:cNvGraphicFramePr>
              <a:graphic>
                <a:graphicData uri="http://schemas.microsoft.com/office/word/2010/wordprocessingGroup">
                  <wpg:wgp>
                    <wpg:cNvPr id="1270" name="Group 1270"/>
                    <wpg:cNvGrpSpPr/>
                    <wpg:grpSpPr>
                      <a:xfrm>
                        <a:off x="0" y="0"/>
                        <a:ext cx="315595" cy="349250"/>
                        <a:chExt cx="315595" cy="349250"/>
                      </a:xfrm>
                    </wpg:grpSpPr>
                    <wps:wsp>
                      <wps:cNvPr id="1271" name="Graphic 1271"/>
                      <wps:cNvSpPr/>
                      <wps:spPr>
                        <a:xfrm>
                          <a:off x="39624" y="39750"/>
                          <a:ext cx="198120" cy="120650"/>
                        </a:xfrm>
                        <a:custGeom>
                          <a:avLst/>
                          <a:gdLst/>
                          <a:ahLst/>
                          <a:cxnLst/>
                          <a:rect l="l" t="t" r="r" b="b"/>
                          <a:pathLst>
                            <a:path w="198120" h="120650">
                              <a:moveTo>
                                <a:pt x="53340" y="22860"/>
                              </a:moveTo>
                              <a:lnTo>
                                <a:pt x="43688" y="21209"/>
                              </a:lnTo>
                              <a:lnTo>
                                <a:pt x="35953" y="16535"/>
                              </a:lnTo>
                              <a:lnTo>
                                <a:pt x="30810" y="9309"/>
                              </a:lnTo>
                              <a:lnTo>
                                <a:pt x="28956" y="0"/>
                              </a:lnTo>
                              <a:lnTo>
                                <a:pt x="24384" y="0"/>
                              </a:lnTo>
                              <a:lnTo>
                                <a:pt x="22491" y="9309"/>
                              </a:lnTo>
                              <a:lnTo>
                                <a:pt x="17335" y="16535"/>
                              </a:lnTo>
                              <a:lnTo>
                                <a:pt x="9588" y="21209"/>
                              </a:lnTo>
                              <a:lnTo>
                                <a:pt x="0" y="22860"/>
                              </a:lnTo>
                              <a:lnTo>
                                <a:pt x="0" y="28829"/>
                              </a:lnTo>
                              <a:lnTo>
                                <a:pt x="9588" y="30721"/>
                              </a:lnTo>
                              <a:lnTo>
                                <a:pt x="17335" y="35877"/>
                              </a:lnTo>
                              <a:lnTo>
                                <a:pt x="22491" y="43624"/>
                              </a:lnTo>
                              <a:lnTo>
                                <a:pt x="24384" y="53213"/>
                              </a:lnTo>
                              <a:lnTo>
                                <a:pt x="28956" y="53213"/>
                              </a:lnTo>
                              <a:lnTo>
                                <a:pt x="30810" y="43624"/>
                              </a:lnTo>
                              <a:lnTo>
                                <a:pt x="35953" y="35877"/>
                              </a:lnTo>
                              <a:lnTo>
                                <a:pt x="43688" y="30721"/>
                              </a:lnTo>
                              <a:lnTo>
                                <a:pt x="53340" y="28829"/>
                              </a:lnTo>
                              <a:lnTo>
                                <a:pt x="53340" y="22860"/>
                              </a:lnTo>
                              <a:close/>
                            </a:path>
                            <a:path w="198120" h="120650">
                              <a:moveTo>
                                <a:pt x="117348" y="22860"/>
                              </a:moveTo>
                              <a:lnTo>
                                <a:pt x="107924" y="21209"/>
                              </a:lnTo>
                              <a:lnTo>
                                <a:pt x="100723" y="16535"/>
                              </a:lnTo>
                              <a:lnTo>
                                <a:pt x="96100" y="9309"/>
                              </a:lnTo>
                              <a:lnTo>
                                <a:pt x="94488" y="0"/>
                              </a:lnTo>
                              <a:lnTo>
                                <a:pt x="88392" y="0"/>
                              </a:lnTo>
                              <a:lnTo>
                                <a:pt x="86499" y="9309"/>
                              </a:lnTo>
                              <a:lnTo>
                                <a:pt x="81343" y="16535"/>
                              </a:lnTo>
                              <a:lnTo>
                                <a:pt x="73596" y="21209"/>
                              </a:lnTo>
                              <a:lnTo>
                                <a:pt x="64008" y="22860"/>
                              </a:lnTo>
                              <a:lnTo>
                                <a:pt x="64008" y="28829"/>
                              </a:lnTo>
                              <a:lnTo>
                                <a:pt x="73596" y="30721"/>
                              </a:lnTo>
                              <a:lnTo>
                                <a:pt x="81343" y="35877"/>
                              </a:lnTo>
                              <a:lnTo>
                                <a:pt x="86499" y="43624"/>
                              </a:lnTo>
                              <a:lnTo>
                                <a:pt x="88392" y="53213"/>
                              </a:lnTo>
                              <a:lnTo>
                                <a:pt x="94488" y="53213"/>
                              </a:lnTo>
                              <a:lnTo>
                                <a:pt x="96100" y="43624"/>
                              </a:lnTo>
                              <a:lnTo>
                                <a:pt x="100723" y="35877"/>
                              </a:lnTo>
                              <a:lnTo>
                                <a:pt x="107924" y="30721"/>
                              </a:lnTo>
                              <a:lnTo>
                                <a:pt x="117348" y="28829"/>
                              </a:lnTo>
                              <a:lnTo>
                                <a:pt x="117348" y="22860"/>
                              </a:lnTo>
                              <a:close/>
                            </a:path>
                            <a:path w="198120" h="120650">
                              <a:moveTo>
                                <a:pt x="198120" y="95885"/>
                              </a:moveTo>
                              <a:lnTo>
                                <a:pt x="196596" y="88392"/>
                              </a:lnTo>
                              <a:lnTo>
                                <a:pt x="196596" y="82169"/>
                              </a:lnTo>
                              <a:lnTo>
                                <a:pt x="192024" y="77597"/>
                              </a:lnTo>
                              <a:lnTo>
                                <a:pt x="181483" y="77597"/>
                              </a:lnTo>
                              <a:lnTo>
                                <a:pt x="176784" y="82169"/>
                              </a:lnTo>
                              <a:lnTo>
                                <a:pt x="176784" y="120269"/>
                              </a:lnTo>
                              <a:lnTo>
                                <a:pt x="184404" y="118618"/>
                              </a:lnTo>
                              <a:lnTo>
                                <a:pt x="196596" y="118618"/>
                              </a:lnTo>
                              <a:lnTo>
                                <a:pt x="196596" y="95885"/>
                              </a:lnTo>
                              <a:lnTo>
                                <a:pt x="198120" y="95885"/>
                              </a:lnTo>
                              <a:close/>
                            </a:path>
                          </a:pathLst>
                        </a:custGeom>
                        <a:solidFill>
                          <a:srgbClr val="00587C"/>
                        </a:solidFill>
                      </wps:spPr>
                      <wps:bodyPr wrap="square" lIns="0" tIns="0" rIns="0" bIns="0" rtlCol="0">
                        <a:prstTxWarp prst="textNoShape">
                          <a:avLst/>
                        </a:prstTxWarp>
                        <a:noAutofit/>
                      </wps:bodyPr>
                    </wps:wsp>
                    <pic:pic>
                      <pic:nvPicPr>
                        <pic:cNvPr id="1272" name="Image 1272"/>
                        <pic:cNvPicPr/>
                      </pic:nvPicPr>
                      <pic:blipFill>
                        <a:blip r:embed="rId3" cstate="print"/>
                        <a:stretch>
                          <a:fillRect/>
                        </a:stretch>
                      </pic:blipFill>
                      <pic:spPr>
                        <a:xfrm>
                          <a:off x="39623" y="182618"/>
                          <a:ext cx="236220" cy="125102"/>
                        </a:xfrm>
                        <a:prstGeom prst="rect">
                          <a:avLst/>
                        </a:prstGeom>
                      </pic:spPr>
                    </pic:pic>
                    <wps:wsp>
                      <wps:cNvPr id="1273" name="Graphic 1273"/>
                      <wps:cNvSpPr/>
                      <wps:spPr>
                        <a:xfrm>
                          <a:off x="0" y="0"/>
                          <a:ext cx="315595" cy="349250"/>
                        </a:xfrm>
                        <a:custGeom>
                          <a:avLst/>
                          <a:gdLst/>
                          <a:ahLst/>
                          <a:cxnLst/>
                          <a:rect l="l" t="t" r="r" b="b"/>
                          <a:pathLst>
                            <a:path w="315595" h="349250">
                              <a:moveTo>
                                <a:pt x="315468" y="0"/>
                              </a:moveTo>
                              <a:lnTo>
                                <a:pt x="0" y="0"/>
                              </a:lnTo>
                              <a:lnTo>
                                <a:pt x="0" y="231648"/>
                              </a:lnTo>
                              <a:lnTo>
                                <a:pt x="1524" y="231648"/>
                              </a:lnTo>
                              <a:lnTo>
                                <a:pt x="5022" y="259101"/>
                              </a:lnTo>
                              <a:lnTo>
                                <a:pt x="16938" y="283257"/>
                              </a:lnTo>
                              <a:lnTo>
                                <a:pt x="35974" y="302531"/>
                              </a:lnTo>
                              <a:lnTo>
                                <a:pt x="60833" y="315341"/>
                              </a:lnTo>
                              <a:lnTo>
                                <a:pt x="156972" y="348996"/>
                              </a:lnTo>
                              <a:lnTo>
                                <a:pt x="214389" y="329184"/>
                              </a:lnTo>
                              <a:lnTo>
                                <a:pt x="156972" y="329184"/>
                              </a:lnTo>
                              <a:lnTo>
                                <a:pt x="67056" y="297180"/>
                              </a:lnTo>
                              <a:lnTo>
                                <a:pt x="32980" y="272480"/>
                              </a:lnTo>
                              <a:lnTo>
                                <a:pt x="19812" y="231648"/>
                              </a:lnTo>
                              <a:lnTo>
                                <a:pt x="19812" y="178435"/>
                              </a:lnTo>
                              <a:lnTo>
                                <a:pt x="59436" y="178435"/>
                              </a:lnTo>
                              <a:lnTo>
                                <a:pt x="59436" y="160020"/>
                              </a:lnTo>
                              <a:lnTo>
                                <a:pt x="39624" y="160020"/>
                              </a:lnTo>
                              <a:lnTo>
                                <a:pt x="33528" y="158496"/>
                              </a:lnTo>
                              <a:lnTo>
                                <a:pt x="25908" y="156972"/>
                              </a:lnTo>
                              <a:lnTo>
                                <a:pt x="19812" y="155448"/>
                              </a:lnTo>
                              <a:lnTo>
                                <a:pt x="19812" y="19812"/>
                              </a:lnTo>
                              <a:lnTo>
                                <a:pt x="315468" y="19812"/>
                              </a:lnTo>
                              <a:lnTo>
                                <a:pt x="315468" y="0"/>
                              </a:lnTo>
                              <a:close/>
                            </a:path>
                            <a:path w="315595" h="349250">
                              <a:moveTo>
                                <a:pt x="275844" y="77724"/>
                              </a:moveTo>
                              <a:lnTo>
                                <a:pt x="256032" y="77724"/>
                              </a:lnTo>
                              <a:lnTo>
                                <a:pt x="256032" y="160020"/>
                              </a:lnTo>
                              <a:lnTo>
                                <a:pt x="263652" y="160020"/>
                              </a:lnTo>
                              <a:lnTo>
                                <a:pt x="265176" y="161544"/>
                              </a:lnTo>
                              <a:lnTo>
                                <a:pt x="272796" y="161544"/>
                              </a:lnTo>
                              <a:lnTo>
                                <a:pt x="275844" y="163195"/>
                              </a:lnTo>
                              <a:lnTo>
                                <a:pt x="281813" y="164592"/>
                              </a:lnTo>
                              <a:lnTo>
                                <a:pt x="289433" y="166116"/>
                              </a:lnTo>
                              <a:lnTo>
                                <a:pt x="295656" y="169164"/>
                              </a:lnTo>
                              <a:lnTo>
                                <a:pt x="295656" y="231648"/>
                              </a:lnTo>
                              <a:lnTo>
                                <a:pt x="297053" y="231648"/>
                              </a:lnTo>
                              <a:lnTo>
                                <a:pt x="282380" y="272480"/>
                              </a:lnTo>
                              <a:lnTo>
                                <a:pt x="248411" y="297180"/>
                              </a:lnTo>
                              <a:lnTo>
                                <a:pt x="156972" y="329184"/>
                              </a:lnTo>
                              <a:lnTo>
                                <a:pt x="214389" y="329184"/>
                              </a:lnTo>
                              <a:lnTo>
                                <a:pt x="254508" y="315341"/>
                              </a:lnTo>
                              <a:lnTo>
                                <a:pt x="298704" y="283257"/>
                              </a:lnTo>
                              <a:lnTo>
                                <a:pt x="315468" y="231648"/>
                              </a:lnTo>
                              <a:lnTo>
                                <a:pt x="315468" y="146304"/>
                              </a:lnTo>
                              <a:lnTo>
                                <a:pt x="295656" y="146304"/>
                              </a:lnTo>
                              <a:lnTo>
                                <a:pt x="289433" y="143256"/>
                              </a:lnTo>
                              <a:lnTo>
                                <a:pt x="281813" y="141732"/>
                              </a:lnTo>
                              <a:lnTo>
                                <a:pt x="275844" y="140335"/>
                              </a:lnTo>
                              <a:lnTo>
                                <a:pt x="275844" y="77724"/>
                              </a:lnTo>
                              <a:close/>
                            </a:path>
                            <a:path w="315595" h="349250">
                              <a:moveTo>
                                <a:pt x="59436" y="178435"/>
                              </a:moveTo>
                              <a:lnTo>
                                <a:pt x="19812" y="178435"/>
                              </a:lnTo>
                              <a:lnTo>
                                <a:pt x="25908" y="181356"/>
                              </a:lnTo>
                              <a:lnTo>
                                <a:pt x="33528" y="182880"/>
                              </a:lnTo>
                              <a:lnTo>
                                <a:pt x="39624" y="184404"/>
                              </a:lnTo>
                              <a:lnTo>
                                <a:pt x="45593" y="184404"/>
                              </a:lnTo>
                              <a:lnTo>
                                <a:pt x="48768" y="186055"/>
                              </a:lnTo>
                              <a:lnTo>
                                <a:pt x="59436" y="186055"/>
                              </a:lnTo>
                              <a:lnTo>
                                <a:pt x="59436" y="178435"/>
                              </a:lnTo>
                              <a:close/>
                            </a:path>
                            <a:path w="315595" h="349250">
                              <a:moveTo>
                                <a:pt x="92964" y="132715"/>
                              </a:moveTo>
                              <a:lnTo>
                                <a:pt x="73152" y="132715"/>
                              </a:lnTo>
                              <a:lnTo>
                                <a:pt x="73152" y="186055"/>
                              </a:lnTo>
                              <a:lnTo>
                                <a:pt x="83693" y="186055"/>
                              </a:lnTo>
                              <a:lnTo>
                                <a:pt x="86868" y="184404"/>
                              </a:lnTo>
                              <a:lnTo>
                                <a:pt x="97536" y="184404"/>
                              </a:lnTo>
                              <a:lnTo>
                                <a:pt x="100584" y="182880"/>
                              </a:lnTo>
                              <a:lnTo>
                                <a:pt x="103632" y="182880"/>
                              </a:lnTo>
                              <a:lnTo>
                                <a:pt x="106553" y="181356"/>
                              </a:lnTo>
                              <a:lnTo>
                                <a:pt x="112776" y="181356"/>
                              </a:lnTo>
                              <a:lnTo>
                                <a:pt x="117348" y="179832"/>
                              </a:lnTo>
                              <a:lnTo>
                                <a:pt x="120396" y="179832"/>
                              </a:lnTo>
                              <a:lnTo>
                                <a:pt x="123444" y="178435"/>
                              </a:lnTo>
                              <a:lnTo>
                                <a:pt x="123444" y="160020"/>
                              </a:lnTo>
                              <a:lnTo>
                                <a:pt x="92964" y="160020"/>
                              </a:lnTo>
                              <a:lnTo>
                                <a:pt x="92964" y="132715"/>
                              </a:lnTo>
                              <a:close/>
                            </a:path>
                            <a:path w="315595" h="349250">
                              <a:moveTo>
                                <a:pt x="156972" y="132715"/>
                              </a:moveTo>
                              <a:lnTo>
                                <a:pt x="137033" y="132715"/>
                              </a:lnTo>
                              <a:lnTo>
                                <a:pt x="137033" y="175260"/>
                              </a:lnTo>
                              <a:lnTo>
                                <a:pt x="141732" y="173736"/>
                              </a:lnTo>
                              <a:lnTo>
                                <a:pt x="147828" y="173736"/>
                              </a:lnTo>
                              <a:lnTo>
                                <a:pt x="150876" y="172212"/>
                              </a:lnTo>
                              <a:lnTo>
                                <a:pt x="153924" y="170815"/>
                              </a:lnTo>
                              <a:lnTo>
                                <a:pt x="156972" y="170815"/>
                              </a:lnTo>
                              <a:lnTo>
                                <a:pt x="164592" y="169164"/>
                              </a:lnTo>
                              <a:lnTo>
                                <a:pt x="176784" y="166116"/>
                              </a:lnTo>
                              <a:lnTo>
                                <a:pt x="181356" y="164592"/>
                              </a:lnTo>
                              <a:lnTo>
                                <a:pt x="187452" y="164592"/>
                              </a:lnTo>
                              <a:lnTo>
                                <a:pt x="190500" y="163195"/>
                              </a:lnTo>
                              <a:lnTo>
                                <a:pt x="193548" y="163195"/>
                              </a:lnTo>
                              <a:lnTo>
                                <a:pt x="197993" y="161544"/>
                              </a:lnTo>
                              <a:lnTo>
                                <a:pt x="196596" y="161544"/>
                              </a:lnTo>
                              <a:lnTo>
                                <a:pt x="196596" y="147955"/>
                              </a:lnTo>
                              <a:lnTo>
                                <a:pt x="156972" y="147955"/>
                              </a:lnTo>
                              <a:lnTo>
                                <a:pt x="156972" y="132715"/>
                              </a:lnTo>
                              <a:close/>
                            </a:path>
                            <a:path w="315595" h="349250">
                              <a:moveTo>
                                <a:pt x="92964" y="112776"/>
                              </a:moveTo>
                              <a:lnTo>
                                <a:pt x="39624" y="112776"/>
                              </a:lnTo>
                              <a:lnTo>
                                <a:pt x="39624" y="160020"/>
                              </a:lnTo>
                              <a:lnTo>
                                <a:pt x="59436" y="160020"/>
                              </a:lnTo>
                              <a:lnTo>
                                <a:pt x="59436" y="132715"/>
                              </a:lnTo>
                              <a:lnTo>
                                <a:pt x="92964" y="132715"/>
                              </a:lnTo>
                              <a:lnTo>
                                <a:pt x="92964" y="112776"/>
                              </a:lnTo>
                              <a:close/>
                            </a:path>
                            <a:path w="315595" h="349250">
                              <a:moveTo>
                                <a:pt x="156972" y="112776"/>
                              </a:moveTo>
                              <a:lnTo>
                                <a:pt x="103632" y="112776"/>
                              </a:lnTo>
                              <a:lnTo>
                                <a:pt x="103632" y="158496"/>
                              </a:lnTo>
                              <a:lnTo>
                                <a:pt x="100584" y="160020"/>
                              </a:lnTo>
                              <a:lnTo>
                                <a:pt x="123444" y="160020"/>
                              </a:lnTo>
                              <a:lnTo>
                                <a:pt x="123444" y="132715"/>
                              </a:lnTo>
                              <a:lnTo>
                                <a:pt x="156972" y="132715"/>
                              </a:lnTo>
                              <a:lnTo>
                                <a:pt x="156972" y="112776"/>
                              </a:lnTo>
                              <a:close/>
                            </a:path>
                            <a:path w="315595" h="349250">
                              <a:moveTo>
                                <a:pt x="196596" y="39624"/>
                              </a:moveTo>
                              <a:lnTo>
                                <a:pt x="176784" y="39624"/>
                              </a:lnTo>
                              <a:lnTo>
                                <a:pt x="176784" y="141732"/>
                              </a:lnTo>
                              <a:lnTo>
                                <a:pt x="170688" y="144780"/>
                              </a:lnTo>
                              <a:lnTo>
                                <a:pt x="164592" y="144780"/>
                              </a:lnTo>
                              <a:lnTo>
                                <a:pt x="156972" y="147955"/>
                              </a:lnTo>
                              <a:lnTo>
                                <a:pt x="196596" y="147955"/>
                              </a:lnTo>
                              <a:lnTo>
                                <a:pt x="196596" y="77724"/>
                              </a:lnTo>
                              <a:lnTo>
                                <a:pt x="275844" y="77724"/>
                              </a:lnTo>
                              <a:lnTo>
                                <a:pt x="275844" y="57912"/>
                              </a:lnTo>
                              <a:lnTo>
                                <a:pt x="196596" y="57912"/>
                              </a:lnTo>
                              <a:lnTo>
                                <a:pt x="196596" y="39624"/>
                              </a:lnTo>
                              <a:close/>
                            </a:path>
                            <a:path w="315595" h="349250">
                              <a:moveTo>
                                <a:pt x="315468" y="19812"/>
                              </a:moveTo>
                              <a:lnTo>
                                <a:pt x="295656" y="19812"/>
                              </a:lnTo>
                              <a:lnTo>
                                <a:pt x="295656" y="146304"/>
                              </a:lnTo>
                              <a:lnTo>
                                <a:pt x="315468" y="146304"/>
                              </a:lnTo>
                              <a:lnTo>
                                <a:pt x="315468" y="19812"/>
                              </a:lnTo>
                              <a:close/>
                            </a:path>
                            <a:path w="315595" h="349250">
                              <a:moveTo>
                                <a:pt x="236093" y="39624"/>
                              </a:moveTo>
                              <a:lnTo>
                                <a:pt x="216408" y="39624"/>
                              </a:lnTo>
                              <a:lnTo>
                                <a:pt x="216408" y="57912"/>
                              </a:lnTo>
                              <a:lnTo>
                                <a:pt x="236093" y="57912"/>
                              </a:lnTo>
                              <a:lnTo>
                                <a:pt x="236093" y="39624"/>
                              </a:lnTo>
                              <a:close/>
                            </a:path>
                            <a:path w="315595" h="349250">
                              <a:moveTo>
                                <a:pt x="275844" y="39624"/>
                              </a:moveTo>
                              <a:lnTo>
                                <a:pt x="256032" y="39624"/>
                              </a:lnTo>
                              <a:lnTo>
                                <a:pt x="256032" y="57912"/>
                              </a:lnTo>
                              <a:lnTo>
                                <a:pt x="275844" y="57912"/>
                              </a:lnTo>
                              <a:lnTo>
                                <a:pt x="275844" y="39624"/>
                              </a:lnTo>
                              <a:close/>
                            </a:path>
                          </a:pathLst>
                        </a:custGeom>
                        <a:solidFill>
                          <a:srgbClr val="00587C"/>
                        </a:solidFill>
                      </wps:spPr>
                      <wps:bodyPr wrap="square" lIns="0" tIns="0" rIns="0" bIns="0" rtlCol="0">
                        <a:prstTxWarp prst="textNoShape">
                          <a:avLst/>
                        </a:prstTxWarp>
                        <a:noAutofit/>
                      </wps:bodyPr>
                    </wps:wsp>
                  </wpg:wgp>
                </a:graphicData>
              </a:graphic>
            </wp:anchor>
          </w:drawing>
        </mc:Choice>
        <mc:Fallback>
          <w:pict>
            <v:group style="position:absolute;margin-left:339.839996pt;margin-top:48.480015pt;width:24.85pt;height:27.5pt;mso-position-horizontal-relative:page;mso-position-vertical-relative:page;z-index:-28856832" id="docshapegroup936" coordorigin="6797,970" coordsize="497,550">
              <v:shape style="position:absolute;left:6859;top:1032;width:312;height:190" id="docshape937" coordorigin="6859,1032" coordsize="312,190" path="m6943,1068l6928,1066,6916,1058,6908,1047,6905,1032,6898,1032,6895,1047,6887,1058,6874,1066,6859,1068,6859,1078,6874,1081,6887,1089,6895,1101,6898,1116,6905,1116,6908,1101,6916,1089,6928,1081,6943,1078,6943,1068xm7044,1068l7029,1066,7018,1058,7011,1047,7008,1032,6998,1032,6995,1047,6987,1058,6975,1066,6960,1068,6960,1078,6975,1081,6987,1089,6995,1101,6998,1116,7008,1116,7011,1101,7018,1089,7029,1081,7044,1078,7044,1068xm7171,1183l7169,1171,7169,1162,7162,1154,7145,1154,7138,1162,7138,1222,7150,1219,7169,1219,7169,1183,7171,1183xe" filled="true" fillcolor="#00587c" stroked="false">
                <v:path arrowok="t"/>
                <v:fill type="solid"/>
              </v:shape>
              <v:shape style="position:absolute;left:6859;top:1257;width:372;height:198" type="#_x0000_t75" id="docshape938" stroked="false">
                <v:imagedata r:id="rId3" o:title=""/>
              </v:shape>
              <v:shape style="position:absolute;left:6796;top:969;width:497;height:550" id="docshape939" coordorigin="6797,970" coordsize="497,550" path="m7294,970l6797,970,6797,1334,6799,1334,6805,1378,6823,1416,6853,1446,6893,1466,7044,1519,7134,1488,7044,1488,6902,1438,6882,1428,6864,1415,6849,1399,6838,1380,6834,1369,6831,1357,6829,1346,6828,1334,6828,1251,6890,1251,6890,1222,6859,1222,6850,1219,6838,1217,6828,1214,6828,1001,7294,1001,7294,970xm7231,1092l7200,1092,7200,1222,7212,1222,7214,1224,7226,1224,7231,1227,7241,1229,7253,1231,7262,1236,7262,1334,7265,1334,7263,1346,7261,1357,7257,1369,7253,1380,7241,1399,7227,1415,7209,1428,7188,1438,7044,1488,7134,1488,7198,1466,7237,1446,7267,1416,7287,1378,7294,1334,7294,1200,7262,1200,7253,1195,7241,1193,7231,1191,7231,1092xm6890,1251l6828,1251,6838,1255,6850,1258,6859,1260,6869,1260,6874,1263,6890,1263,6890,1251xm6943,1179l6912,1179,6912,1263,6929,1263,6934,1260,6950,1260,6955,1258,6960,1258,6965,1255,6974,1255,6982,1253,6986,1253,6991,1251,6991,1222,6943,1222,6943,1179xm7044,1179l7013,1179,7013,1246,7020,1243,7030,1243,7034,1241,7039,1239,7044,1239,7056,1236,7075,1231,7082,1229,7092,1229,7097,1227,7102,1227,7109,1224,7106,1224,7106,1203,7044,1203,7044,1179xm6943,1147l6859,1147,6859,1222,6890,1222,6890,1179,6943,1179,6943,1147xm7044,1147l6960,1147,6960,1219,6955,1222,6991,1222,6991,1179,7044,1179,7044,1147xm7106,1032l7075,1032,7075,1193,7066,1198,7056,1198,7044,1203,7106,1203,7106,1092,7231,1092,7231,1061,7106,1061,7106,1032xm7294,1001l7262,1001,7262,1200,7294,1200,7294,1001xm7169,1032l7138,1032,7138,1061,7169,1061,7169,1032xm7231,1032l7200,1032,7200,1061,7231,1061,7231,1032xe" filled="true" fillcolor="#00587c"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74460160">
              <wp:simplePos x="0" y="0"/>
              <wp:positionH relativeFrom="page">
                <wp:posOffset>5571744</wp:posOffset>
              </wp:positionH>
              <wp:positionV relativeFrom="page">
                <wp:posOffset>704088</wp:posOffset>
              </wp:positionV>
              <wp:extent cx="608330" cy="76200"/>
              <wp:effectExtent l="0" t="0" r="0" b="0"/>
              <wp:wrapNone/>
              <wp:docPr id="1274" name="Graphic 1274"/>
              <wp:cNvGraphicFramePr>
                <a:graphicFrameLocks/>
              </wp:cNvGraphicFramePr>
              <a:graphic>
                <a:graphicData uri="http://schemas.microsoft.com/office/word/2010/wordprocessingShape">
                  <wps:wsp>
                    <wps:cNvPr id="1274" name="Graphic 1274"/>
                    <wps:cNvSpPr/>
                    <wps:spPr>
                      <a:xfrm>
                        <a:off x="0" y="0"/>
                        <a:ext cx="608330" cy="76200"/>
                      </a:xfrm>
                      <a:custGeom>
                        <a:avLst/>
                        <a:gdLst/>
                        <a:ahLst/>
                        <a:cxnLst/>
                        <a:rect l="l" t="t" r="r" b="b"/>
                        <a:pathLst>
                          <a:path w="608330" h="76200">
                            <a:moveTo>
                              <a:pt x="38100" y="0"/>
                            </a:moveTo>
                            <a:lnTo>
                              <a:pt x="28956" y="0"/>
                            </a:lnTo>
                            <a:lnTo>
                              <a:pt x="22987" y="12192"/>
                            </a:lnTo>
                            <a:lnTo>
                              <a:pt x="28956" y="12192"/>
                            </a:lnTo>
                            <a:lnTo>
                              <a:pt x="38100" y="0"/>
                            </a:lnTo>
                            <a:close/>
                          </a:path>
                          <a:path w="608330" h="76200">
                            <a:moveTo>
                              <a:pt x="30607" y="16764"/>
                            </a:moveTo>
                            <a:lnTo>
                              <a:pt x="22987" y="16764"/>
                            </a:lnTo>
                            <a:lnTo>
                              <a:pt x="0" y="76200"/>
                            </a:lnTo>
                            <a:lnTo>
                              <a:pt x="7746" y="76200"/>
                            </a:lnTo>
                            <a:lnTo>
                              <a:pt x="13716" y="60833"/>
                            </a:lnTo>
                            <a:lnTo>
                              <a:pt x="47368" y="60833"/>
                            </a:lnTo>
                            <a:lnTo>
                              <a:pt x="44470" y="53213"/>
                            </a:lnTo>
                            <a:lnTo>
                              <a:pt x="18288" y="53213"/>
                            </a:lnTo>
                            <a:lnTo>
                              <a:pt x="27432" y="27432"/>
                            </a:lnTo>
                            <a:lnTo>
                              <a:pt x="34664" y="27432"/>
                            </a:lnTo>
                            <a:lnTo>
                              <a:pt x="30607" y="16764"/>
                            </a:lnTo>
                            <a:close/>
                          </a:path>
                          <a:path w="608330" h="76200">
                            <a:moveTo>
                              <a:pt x="47368" y="60833"/>
                            </a:moveTo>
                            <a:lnTo>
                              <a:pt x="39624" y="60833"/>
                            </a:lnTo>
                            <a:lnTo>
                              <a:pt x="45593" y="76200"/>
                            </a:lnTo>
                            <a:lnTo>
                              <a:pt x="53212" y="76200"/>
                            </a:lnTo>
                            <a:lnTo>
                              <a:pt x="47368" y="60833"/>
                            </a:lnTo>
                            <a:close/>
                          </a:path>
                          <a:path w="608330" h="76200">
                            <a:moveTo>
                              <a:pt x="34664" y="27432"/>
                            </a:moveTo>
                            <a:lnTo>
                              <a:pt x="27432" y="27432"/>
                            </a:lnTo>
                            <a:lnTo>
                              <a:pt x="36576" y="53213"/>
                            </a:lnTo>
                            <a:lnTo>
                              <a:pt x="44470" y="53213"/>
                            </a:lnTo>
                            <a:lnTo>
                              <a:pt x="34664" y="27432"/>
                            </a:lnTo>
                            <a:close/>
                          </a:path>
                          <a:path w="608330" h="76200">
                            <a:moveTo>
                              <a:pt x="67056" y="33528"/>
                            </a:moveTo>
                            <a:lnTo>
                              <a:pt x="60833" y="33528"/>
                            </a:lnTo>
                            <a:lnTo>
                              <a:pt x="60833" y="76200"/>
                            </a:lnTo>
                            <a:lnTo>
                              <a:pt x="67056" y="76200"/>
                            </a:lnTo>
                            <a:lnTo>
                              <a:pt x="67056" y="45593"/>
                            </a:lnTo>
                            <a:lnTo>
                              <a:pt x="70039" y="42672"/>
                            </a:lnTo>
                            <a:lnTo>
                              <a:pt x="67056" y="42672"/>
                            </a:lnTo>
                            <a:lnTo>
                              <a:pt x="67056" y="33528"/>
                            </a:lnTo>
                            <a:close/>
                          </a:path>
                          <a:path w="608330" h="76200">
                            <a:moveTo>
                              <a:pt x="82296" y="32004"/>
                            </a:moveTo>
                            <a:lnTo>
                              <a:pt x="76200" y="32004"/>
                            </a:lnTo>
                            <a:lnTo>
                              <a:pt x="70104" y="36576"/>
                            </a:lnTo>
                            <a:lnTo>
                              <a:pt x="67056" y="42672"/>
                            </a:lnTo>
                            <a:lnTo>
                              <a:pt x="70039" y="42672"/>
                            </a:lnTo>
                            <a:lnTo>
                              <a:pt x="73152" y="39624"/>
                            </a:lnTo>
                            <a:lnTo>
                              <a:pt x="86868" y="39624"/>
                            </a:lnTo>
                            <a:lnTo>
                              <a:pt x="85344" y="33528"/>
                            </a:lnTo>
                            <a:lnTo>
                              <a:pt x="83693" y="33528"/>
                            </a:lnTo>
                            <a:lnTo>
                              <a:pt x="82296" y="32004"/>
                            </a:lnTo>
                            <a:close/>
                          </a:path>
                          <a:path w="608330" h="76200">
                            <a:moveTo>
                              <a:pt x="108204" y="32004"/>
                            </a:moveTo>
                            <a:lnTo>
                              <a:pt x="99964" y="33861"/>
                            </a:lnTo>
                            <a:lnTo>
                              <a:pt x="93726" y="38861"/>
                            </a:lnTo>
                            <a:lnTo>
                              <a:pt x="89773" y="46148"/>
                            </a:lnTo>
                            <a:lnTo>
                              <a:pt x="88392" y="54864"/>
                            </a:lnTo>
                            <a:lnTo>
                              <a:pt x="89796" y="63341"/>
                            </a:lnTo>
                            <a:lnTo>
                              <a:pt x="93916" y="70104"/>
                            </a:lnTo>
                            <a:lnTo>
                              <a:pt x="100607" y="74580"/>
                            </a:lnTo>
                            <a:lnTo>
                              <a:pt x="109728" y="76200"/>
                            </a:lnTo>
                            <a:lnTo>
                              <a:pt x="118872" y="76200"/>
                            </a:lnTo>
                            <a:lnTo>
                              <a:pt x="126492" y="71628"/>
                            </a:lnTo>
                            <a:lnTo>
                              <a:pt x="126796" y="70104"/>
                            </a:lnTo>
                            <a:lnTo>
                              <a:pt x="100584" y="70104"/>
                            </a:lnTo>
                            <a:lnTo>
                              <a:pt x="96012" y="64008"/>
                            </a:lnTo>
                            <a:lnTo>
                              <a:pt x="96012" y="56388"/>
                            </a:lnTo>
                            <a:lnTo>
                              <a:pt x="129413" y="56388"/>
                            </a:lnTo>
                            <a:lnTo>
                              <a:pt x="129413" y="53213"/>
                            </a:lnTo>
                            <a:lnTo>
                              <a:pt x="131064" y="53213"/>
                            </a:lnTo>
                            <a:lnTo>
                              <a:pt x="130244" y="50292"/>
                            </a:lnTo>
                            <a:lnTo>
                              <a:pt x="97536" y="50292"/>
                            </a:lnTo>
                            <a:lnTo>
                              <a:pt x="97536" y="42672"/>
                            </a:lnTo>
                            <a:lnTo>
                              <a:pt x="102107" y="38100"/>
                            </a:lnTo>
                            <a:lnTo>
                              <a:pt x="124135" y="38100"/>
                            </a:lnTo>
                            <a:lnTo>
                              <a:pt x="117276" y="33621"/>
                            </a:lnTo>
                            <a:lnTo>
                              <a:pt x="108204" y="32004"/>
                            </a:lnTo>
                            <a:close/>
                          </a:path>
                          <a:path w="608330" h="76200">
                            <a:moveTo>
                              <a:pt x="120396" y="62484"/>
                            </a:moveTo>
                            <a:lnTo>
                              <a:pt x="120396" y="67056"/>
                            </a:lnTo>
                            <a:lnTo>
                              <a:pt x="115823" y="70104"/>
                            </a:lnTo>
                            <a:lnTo>
                              <a:pt x="126796" y="70104"/>
                            </a:lnTo>
                            <a:lnTo>
                              <a:pt x="128016" y="64008"/>
                            </a:lnTo>
                            <a:lnTo>
                              <a:pt x="120396" y="62484"/>
                            </a:lnTo>
                            <a:close/>
                          </a:path>
                          <a:path w="608330" h="76200">
                            <a:moveTo>
                              <a:pt x="124121" y="38100"/>
                            </a:moveTo>
                            <a:lnTo>
                              <a:pt x="115824" y="38100"/>
                            </a:lnTo>
                            <a:lnTo>
                              <a:pt x="120396" y="42672"/>
                            </a:lnTo>
                            <a:lnTo>
                              <a:pt x="121793" y="50292"/>
                            </a:lnTo>
                            <a:lnTo>
                              <a:pt x="130244" y="50292"/>
                            </a:lnTo>
                            <a:lnTo>
                              <a:pt x="128706" y="44809"/>
                            </a:lnTo>
                            <a:lnTo>
                              <a:pt x="124121" y="38100"/>
                            </a:lnTo>
                            <a:close/>
                          </a:path>
                          <a:path w="608330" h="76200">
                            <a:moveTo>
                              <a:pt x="170688" y="38100"/>
                            </a:moveTo>
                            <a:lnTo>
                              <a:pt x="159893" y="38100"/>
                            </a:lnTo>
                            <a:lnTo>
                              <a:pt x="164592" y="42672"/>
                            </a:lnTo>
                            <a:lnTo>
                              <a:pt x="164592" y="48768"/>
                            </a:lnTo>
                            <a:lnTo>
                              <a:pt x="155448" y="50292"/>
                            </a:lnTo>
                            <a:lnTo>
                              <a:pt x="141732" y="51816"/>
                            </a:lnTo>
                            <a:lnTo>
                              <a:pt x="135636" y="56388"/>
                            </a:lnTo>
                            <a:lnTo>
                              <a:pt x="135636" y="71628"/>
                            </a:lnTo>
                            <a:lnTo>
                              <a:pt x="141732" y="76200"/>
                            </a:lnTo>
                            <a:lnTo>
                              <a:pt x="156972" y="76200"/>
                            </a:lnTo>
                            <a:lnTo>
                              <a:pt x="161544" y="73152"/>
                            </a:lnTo>
                            <a:lnTo>
                              <a:pt x="163521" y="70104"/>
                            </a:lnTo>
                            <a:lnTo>
                              <a:pt x="146304" y="70104"/>
                            </a:lnTo>
                            <a:lnTo>
                              <a:pt x="143256" y="67056"/>
                            </a:lnTo>
                            <a:lnTo>
                              <a:pt x="143256" y="59436"/>
                            </a:lnTo>
                            <a:lnTo>
                              <a:pt x="147828" y="56388"/>
                            </a:lnTo>
                            <a:lnTo>
                              <a:pt x="155448" y="54864"/>
                            </a:lnTo>
                            <a:lnTo>
                              <a:pt x="170688" y="54864"/>
                            </a:lnTo>
                            <a:lnTo>
                              <a:pt x="170688" y="38100"/>
                            </a:lnTo>
                            <a:close/>
                          </a:path>
                          <a:path w="608330" h="76200">
                            <a:moveTo>
                              <a:pt x="170688" y="68453"/>
                            </a:moveTo>
                            <a:lnTo>
                              <a:pt x="164592" y="68453"/>
                            </a:lnTo>
                            <a:lnTo>
                              <a:pt x="164592" y="76200"/>
                            </a:lnTo>
                            <a:lnTo>
                              <a:pt x="170688" y="76200"/>
                            </a:lnTo>
                            <a:lnTo>
                              <a:pt x="170688" y="68453"/>
                            </a:lnTo>
                            <a:close/>
                          </a:path>
                          <a:path w="608330" h="76200">
                            <a:moveTo>
                              <a:pt x="170688" y="54864"/>
                            </a:moveTo>
                            <a:lnTo>
                              <a:pt x="164592" y="54864"/>
                            </a:lnTo>
                            <a:lnTo>
                              <a:pt x="164592" y="65532"/>
                            </a:lnTo>
                            <a:lnTo>
                              <a:pt x="159893" y="70104"/>
                            </a:lnTo>
                            <a:lnTo>
                              <a:pt x="163521" y="70104"/>
                            </a:lnTo>
                            <a:lnTo>
                              <a:pt x="164592" y="68453"/>
                            </a:lnTo>
                            <a:lnTo>
                              <a:pt x="170688" y="68453"/>
                            </a:lnTo>
                            <a:lnTo>
                              <a:pt x="170688" y="54864"/>
                            </a:lnTo>
                            <a:close/>
                          </a:path>
                          <a:path w="608330" h="76200">
                            <a:moveTo>
                              <a:pt x="164592" y="32004"/>
                            </a:moveTo>
                            <a:lnTo>
                              <a:pt x="144653" y="32004"/>
                            </a:lnTo>
                            <a:lnTo>
                              <a:pt x="137033" y="38100"/>
                            </a:lnTo>
                            <a:lnTo>
                              <a:pt x="137033" y="47244"/>
                            </a:lnTo>
                            <a:lnTo>
                              <a:pt x="143256" y="47244"/>
                            </a:lnTo>
                            <a:lnTo>
                              <a:pt x="143256" y="42672"/>
                            </a:lnTo>
                            <a:lnTo>
                              <a:pt x="147828" y="38100"/>
                            </a:lnTo>
                            <a:lnTo>
                              <a:pt x="170688" y="38100"/>
                            </a:lnTo>
                            <a:lnTo>
                              <a:pt x="164592" y="32004"/>
                            </a:lnTo>
                            <a:close/>
                          </a:path>
                          <a:path w="608330" h="76200">
                            <a:moveTo>
                              <a:pt x="227076" y="32004"/>
                            </a:moveTo>
                            <a:lnTo>
                              <a:pt x="220853" y="32004"/>
                            </a:lnTo>
                            <a:lnTo>
                              <a:pt x="212044" y="33861"/>
                            </a:lnTo>
                            <a:lnTo>
                              <a:pt x="205914" y="38861"/>
                            </a:lnTo>
                            <a:lnTo>
                              <a:pt x="202332" y="46148"/>
                            </a:lnTo>
                            <a:lnTo>
                              <a:pt x="201168" y="54864"/>
                            </a:lnTo>
                            <a:lnTo>
                              <a:pt x="202332" y="63341"/>
                            </a:lnTo>
                            <a:lnTo>
                              <a:pt x="205914" y="70104"/>
                            </a:lnTo>
                            <a:lnTo>
                              <a:pt x="212044" y="74580"/>
                            </a:lnTo>
                            <a:lnTo>
                              <a:pt x="220853" y="76200"/>
                            </a:lnTo>
                            <a:lnTo>
                              <a:pt x="227076" y="76200"/>
                            </a:lnTo>
                            <a:lnTo>
                              <a:pt x="233172" y="73152"/>
                            </a:lnTo>
                            <a:lnTo>
                              <a:pt x="234696" y="70104"/>
                            </a:lnTo>
                            <a:lnTo>
                              <a:pt x="213233" y="70104"/>
                            </a:lnTo>
                            <a:lnTo>
                              <a:pt x="208787" y="64008"/>
                            </a:lnTo>
                            <a:lnTo>
                              <a:pt x="208787" y="45593"/>
                            </a:lnTo>
                            <a:lnTo>
                              <a:pt x="213233" y="39624"/>
                            </a:lnTo>
                            <a:lnTo>
                              <a:pt x="234696" y="39624"/>
                            </a:lnTo>
                            <a:lnTo>
                              <a:pt x="231648" y="35052"/>
                            </a:lnTo>
                            <a:lnTo>
                              <a:pt x="227076" y="32004"/>
                            </a:lnTo>
                            <a:close/>
                          </a:path>
                          <a:path w="608330" h="76200">
                            <a:moveTo>
                              <a:pt x="242315" y="16764"/>
                            </a:moveTo>
                            <a:lnTo>
                              <a:pt x="234696" y="16764"/>
                            </a:lnTo>
                            <a:lnTo>
                              <a:pt x="234696" y="39624"/>
                            </a:lnTo>
                            <a:lnTo>
                              <a:pt x="230123" y="39624"/>
                            </a:lnTo>
                            <a:lnTo>
                              <a:pt x="236093" y="45593"/>
                            </a:lnTo>
                            <a:lnTo>
                              <a:pt x="236093" y="64008"/>
                            </a:lnTo>
                            <a:lnTo>
                              <a:pt x="230123" y="70104"/>
                            </a:lnTo>
                            <a:lnTo>
                              <a:pt x="234696" y="70104"/>
                            </a:lnTo>
                            <a:lnTo>
                              <a:pt x="234696" y="76200"/>
                            </a:lnTo>
                            <a:lnTo>
                              <a:pt x="242315" y="76200"/>
                            </a:lnTo>
                            <a:lnTo>
                              <a:pt x="242315" y="16764"/>
                            </a:lnTo>
                            <a:close/>
                          </a:path>
                          <a:path w="608330" h="76200">
                            <a:moveTo>
                              <a:pt x="271272" y="32004"/>
                            </a:moveTo>
                            <a:lnTo>
                              <a:pt x="262959" y="33861"/>
                            </a:lnTo>
                            <a:lnTo>
                              <a:pt x="256682" y="38861"/>
                            </a:lnTo>
                            <a:lnTo>
                              <a:pt x="252716" y="46148"/>
                            </a:lnTo>
                            <a:lnTo>
                              <a:pt x="251333" y="54864"/>
                            </a:lnTo>
                            <a:lnTo>
                              <a:pt x="252739" y="63341"/>
                            </a:lnTo>
                            <a:lnTo>
                              <a:pt x="256873" y="70104"/>
                            </a:lnTo>
                            <a:lnTo>
                              <a:pt x="263602" y="74580"/>
                            </a:lnTo>
                            <a:lnTo>
                              <a:pt x="272796" y="76200"/>
                            </a:lnTo>
                            <a:lnTo>
                              <a:pt x="281813" y="76200"/>
                            </a:lnTo>
                            <a:lnTo>
                              <a:pt x="289433" y="71628"/>
                            </a:lnTo>
                            <a:lnTo>
                              <a:pt x="289763" y="70104"/>
                            </a:lnTo>
                            <a:lnTo>
                              <a:pt x="265176" y="70104"/>
                            </a:lnTo>
                            <a:lnTo>
                              <a:pt x="258953" y="64008"/>
                            </a:lnTo>
                            <a:lnTo>
                              <a:pt x="258953" y="56388"/>
                            </a:lnTo>
                            <a:lnTo>
                              <a:pt x="292608" y="56388"/>
                            </a:lnTo>
                            <a:lnTo>
                              <a:pt x="292608" y="53213"/>
                            </a:lnTo>
                            <a:lnTo>
                              <a:pt x="294132" y="53213"/>
                            </a:lnTo>
                            <a:lnTo>
                              <a:pt x="293337" y="50292"/>
                            </a:lnTo>
                            <a:lnTo>
                              <a:pt x="260604" y="50292"/>
                            </a:lnTo>
                            <a:lnTo>
                              <a:pt x="260604" y="42672"/>
                            </a:lnTo>
                            <a:lnTo>
                              <a:pt x="265176" y="38100"/>
                            </a:lnTo>
                            <a:lnTo>
                              <a:pt x="287298" y="38100"/>
                            </a:lnTo>
                            <a:lnTo>
                              <a:pt x="280416" y="33621"/>
                            </a:lnTo>
                            <a:lnTo>
                              <a:pt x="271272" y="32004"/>
                            </a:lnTo>
                            <a:close/>
                          </a:path>
                          <a:path w="608330" h="76200">
                            <a:moveTo>
                              <a:pt x="284988" y="62484"/>
                            </a:moveTo>
                            <a:lnTo>
                              <a:pt x="283464" y="67056"/>
                            </a:lnTo>
                            <a:lnTo>
                              <a:pt x="278892" y="70104"/>
                            </a:lnTo>
                            <a:lnTo>
                              <a:pt x="289763" y="70104"/>
                            </a:lnTo>
                            <a:lnTo>
                              <a:pt x="291084" y="64008"/>
                            </a:lnTo>
                            <a:lnTo>
                              <a:pt x="284988" y="62484"/>
                            </a:lnTo>
                            <a:close/>
                          </a:path>
                          <a:path w="608330" h="76200">
                            <a:moveTo>
                              <a:pt x="287284" y="38100"/>
                            </a:moveTo>
                            <a:lnTo>
                              <a:pt x="280416" y="38100"/>
                            </a:lnTo>
                            <a:lnTo>
                              <a:pt x="283464" y="42672"/>
                            </a:lnTo>
                            <a:lnTo>
                              <a:pt x="284988" y="50292"/>
                            </a:lnTo>
                            <a:lnTo>
                              <a:pt x="293337" y="50292"/>
                            </a:lnTo>
                            <a:lnTo>
                              <a:pt x="291846" y="44809"/>
                            </a:lnTo>
                            <a:lnTo>
                              <a:pt x="287284" y="38100"/>
                            </a:lnTo>
                            <a:close/>
                          </a:path>
                          <a:path w="608330" h="76200">
                            <a:moveTo>
                              <a:pt x="347472" y="16764"/>
                            </a:moveTo>
                            <a:lnTo>
                              <a:pt x="339852" y="16764"/>
                            </a:lnTo>
                            <a:lnTo>
                              <a:pt x="316992" y="76200"/>
                            </a:lnTo>
                            <a:lnTo>
                              <a:pt x="324612" y="76200"/>
                            </a:lnTo>
                            <a:lnTo>
                              <a:pt x="330708" y="60833"/>
                            </a:lnTo>
                            <a:lnTo>
                              <a:pt x="364421" y="60833"/>
                            </a:lnTo>
                            <a:lnTo>
                              <a:pt x="361490" y="53213"/>
                            </a:lnTo>
                            <a:lnTo>
                              <a:pt x="335153" y="53213"/>
                            </a:lnTo>
                            <a:lnTo>
                              <a:pt x="344424" y="27432"/>
                            </a:lnTo>
                            <a:lnTo>
                              <a:pt x="351575" y="27431"/>
                            </a:lnTo>
                            <a:lnTo>
                              <a:pt x="347472" y="16764"/>
                            </a:lnTo>
                            <a:close/>
                          </a:path>
                          <a:path w="608330" h="76200">
                            <a:moveTo>
                              <a:pt x="364421" y="60833"/>
                            </a:moveTo>
                            <a:lnTo>
                              <a:pt x="356616" y="60833"/>
                            </a:lnTo>
                            <a:lnTo>
                              <a:pt x="362712" y="76200"/>
                            </a:lnTo>
                            <a:lnTo>
                              <a:pt x="370332" y="76200"/>
                            </a:lnTo>
                            <a:lnTo>
                              <a:pt x="364421" y="60833"/>
                            </a:lnTo>
                            <a:close/>
                          </a:path>
                          <a:path w="608330" h="76200">
                            <a:moveTo>
                              <a:pt x="351575" y="27431"/>
                            </a:moveTo>
                            <a:lnTo>
                              <a:pt x="344424" y="27432"/>
                            </a:lnTo>
                            <a:lnTo>
                              <a:pt x="355092" y="53213"/>
                            </a:lnTo>
                            <a:lnTo>
                              <a:pt x="361490" y="53213"/>
                            </a:lnTo>
                            <a:lnTo>
                              <a:pt x="351575" y="27431"/>
                            </a:lnTo>
                            <a:close/>
                          </a:path>
                          <a:path w="608330" h="76200">
                            <a:moveTo>
                              <a:pt x="384048" y="16764"/>
                            </a:moveTo>
                            <a:lnTo>
                              <a:pt x="377952" y="16764"/>
                            </a:lnTo>
                            <a:lnTo>
                              <a:pt x="377952" y="76200"/>
                            </a:lnTo>
                            <a:lnTo>
                              <a:pt x="384048" y="76200"/>
                            </a:lnTo>
                            <a:lnTo>
                              <a:pt x="384048" y="16764"/>
                            </a:lnTo>
                            <a:close/>
                          </a:path>
                          <a:path w="608330" h="76200">
                            <a:moveTo>
                              <a:pt x="425196" y="32004"/>
                            </a:moveTo>
                            <a:lnTo>
                              <a:pt x="414528" y="32004"/>
                            </a:lnTo>
                            <a:lnTo>
                              <a:pt x="406050" y="33647"/>
                            </a:lnTo>
                            <a:lnTo>
                              <a:pt x="399288" y="38290"/>
                            </a:lnTo>
                            <a:lnTo>
                              <a:pt x="396569" y="42672"/>
                            </a:lnTo>
                            <a:lnTo>
                              <a:pt x="394796" y="45593"/>
                            </a:lnTo>
                            <a:lnTo>
                              <a:pt x="393192" y="54864"/>
                            </a:lnTo>
                            <a:lnTo>
                              <a:pt x="394811" y="63341"/>
                            </a:lnTo>
                            <a:lnTo>
                              <a:pt x="399288" y="70104"/>
                            </a:lnTo>
                            <a:lnTo>
                              <a:pt x="406050" y="74580"/>
                            </a:lnTo>
                            <a:lnTo>
                              <a:pt x="414528" y="76200"/>
                            </a:lnTo>
                            <a:lnTo>
                              <a:pt x="425196" y="76200"/>
                            </a:lnTo>
                            <a:lnTo>
                              <a:pt x="431292" y="71628"/>
                            </a:lnTo>
                            <a:lnTo>
                              <a:pt x="431778" y="70104"/>
                            </a:lnTo>
                            <a:lnTo>
                              <a:pt x="406908" y="70104"/>
                            </a:lnTo>
                            <a:lnTo>
                              <a:pt x="400812" y="64008"/>
                            </a:lnTo>
                            <a:lnTo>
                              <a:pt x="400812" y="45593"/>
                            </a:lnTo>
                            <a:lnTo>
                              <a:pt x="406908" y="39624"/>
                            </a:lnTo>
                            <a:lnTo>
                              <a:pt x="431886" y="39624"/>
                            </a:lnTo>
                            <a:lnTo>
                              <a:pt x="431366" y="38290"/>
                            </a:lnTo>
                            <a:lnTo>
                              <a:pt x="431292" y="38100"/>
                            </a:lnTo>
                            <a:lnTo>
                              <a:pt x="425196" y="32004"/>
                            </a:lnTo>
                            <a:close/>
                          </a:path>
                          <a:path w="608330" h="76200">
                            <a:moveTo>
                              <a:pt x="426593" y="60833"/>
                            </a:moveTo>
                            <a:lnTo>
                              <a:pt x="425196" y="67056"/>
                            </a:lnTo>
                            <a:lnTo>
                              <a:pt x="420624" y="70104"/>
                            </a:lnTo>
                            <a:lnTo>
                              <a:pt x="431778" y="70104"/>
                            </a:lnTo>
                            <a:lnTo>
                              <a:pt x="434213" y="62484"/>
                            </a:lnTo>
                            <a:lnTo>
                              <a:pt x="426593" y="60833"/>
                            </a:lnTo>
                            <a:close/>
                          </a:path>
                          <a:path w="608330" h="76200">
                            <a:moveTo>
                              <a:pt x="431886" y="39624"/>
                            </a:moveTo>
                            <a:lnTo>
                              <a:pt x="420624" y="39624"/>
                            </a:lnTo>
                            <a:lnTo>
                              <a:pt x="425196" y="42672"/>
                            </a:lnTo>
                            <a:lnTo>
                              <a:pt x="426593" y="47244"/>
                            </a:lnTo>
                            <a:lnTo>
                              <a:pt x="434213" y="45593"/>
                            </a:lnTo>
                            <a:lnTo>
                              <a:pt x="431886" y="39624"/>
                            </a:lnTo>
                            <a:close/>
                          </a:path>
                          <a:path w="608330" h="76200">
                            <a:moveTo>
                              <a:pt x="475488" y="38100"/>
                            </a:moveTo>
                            <a:lnTo>
                              <a:pt x="464693" y="38100"/>
                            </a:lnTo>
                            <a:lnTo>
                              <a:pt x="467868" y="42672"/>
                            </a:lnTo>
                            <a:lnTo>
                              <a:pt x="467868" y="48768"/>
                            </a:lnTo>
                            <a:lnTo>
                              <a:pt x="460248" y="50292"/>
                            </a:lnTo>
                            <a:lnTo>
                              <a:pt x="446531" y="51816"/>
                            </a:lnTo>
                            <a:lnTo>
                              <a:pt x="438912" y="56388"/>
                            </a:lnTo>
                            <a:lnTo>
                              <a:pt x="438912" y="71628"/>
                            </a:lnTo>
                            <a:lnTo>
                              <a:pt x="445008" y="76200"/>
                            </a:lnTo>
                            <a:lnTo>
                              <a:pt x="460248" y="76200"/>
                            </a:lnTo>
                            <a:lnTo>
                              <a:pt x="466344" y="73152"/>
                            </a:lnTo>
                            <a:lnTo>
                              <a:pt x="467332" y="70104"/>
                            </a:lnTo>
                            <a:lnTo>
                              <a:pt x="451104" y="70104"/>
                            </a:lnTo>
                            <a:lnTo>
                              <a:pt x="446531" y="67056"/>
                            </a:lnTo>
                            <a:lnTo>
                              <a:pt x="446531" y="59436"/>
                            </a:lnTo>
                            <a:lnTo>
                              <a:pt x="451104" y="56388"/>
                            </a:lnTo>
                            <a:lnTo>
                              <a:pt x="460248" y="54864"/>
                            </a:lnTo>
                            <a:lnTo>
                              <a:pt x="475488" y="54864"/>
                            </a:lnTo>
                            <a:lnTo>
                              <a:pt x="475488" y="38100"/>
                            </a:lnTo>
                            <a:close/>
                          </a:path>
                          <a:path w="608330" h="76200">
                            <a:moveTo>
                              <a:pt x="475488" y="68453"/>
                            </a:moveTo>
                            <a:lnTo>
                              <a:pt x="467868" y="68453"/>
                            </a:lnTo>
                            <a:lnTo>
                              <a:pt x="467868" y="76200"/>
                            </a:lnTo>
                            <a:lnTo>
                              <a:pt x="475488" y="76200"/>
                            </a:lnTo>
                            <a:lnTo>
                              <a:pt x="475488" y="68453"/>
                            </a:lnTo>
                            <a:close/>
                          </a:path>
                          <a:path w="608330" h="76200">
                            <a:moveTo>
                              <a:pt x="475488" y="54864"/>
                            </a:moveTo>
                            <a:lnTo>
                              <a:pt x="467868" y="54864"/>
                            </a:lnTo>
                            <a:lnTo>
                              <a:pt x="467868" y="65532"/>
                            </a:lnTo>
                            <a:lnTo>
                              <a:pt x="463295" y="70104"/>
                            </a:lnTo>
                            <a:lnTo>
                              <a:pt x="467332" y="70104"/>
                            </a:lnTo>
                            <a:lnTo>
                              <a:pt x="467868" y="68453"/>
                            </a:lnTo>
                            <a:lnTo>
                              <a:pt x="475488" y="68453"/>
                            </a:lnTo>
                            <a:lnTo>
                              <a:pt x="475488" y="54864"/>
                            </a:lnTo>
                            <a:close/>
                          </a:path>
                          <a:path w="608330" h="76200">
                            <a:moveTo>
                              <a:pt x="467868" y="32004"/>
                            </a:moveTo>
                            <a:lnTo>
                              <a:pt x="449453" y="32004"/>
                            </a:lnTo>
                            <a:lnTo>
                              <a:pt x="441833" y="38100"/>
                            </a:lnTo>
                            <a:lnTo>
                              <a:pt x="440436" y="47244"/>
                            </a:lnTo>
                            <a:lnTo>
                              <a:pt x="448056" y="47244"/>
                            </a:lnTo>
                            <a:lnTo>
                              <a:pt x="448056" y="42672"/>
                            </a:lnTo>
                            <a:lnTo>
                              <a:pt x="452628" y="38100"/>
                            </a:lnTo>
                            <a:lnTo>
                              <a:pt x="475488" y="38100"/>
                            </a:lnTo>
                            <a:lnTo>
                              <a:pt x="467868" y="32004"/>
                            </a:lnTo>
                            <a:close/>
                          </a:path>
                          <a:path w="608330" h="76200">
                            <a:moveTo>
                              <a:pt x="493776" y="16764"/>
                            </a:moveTo>
                            <a:lnTo>
                              <a:pt x="487553" y="16764"/>
                            </a:lnTo>
                            <a:lnTo>
                              <a:pt x="487553" y="76200"/>
                            </a:lnTo>
                            <a:lnTo>
                              <a:pt x="493776" y="76200"/>
                            </a:lnTo>
                            <a:lnTo>
                              <a:pt x="493776" y="16764"/>
                            </a:lnTo>
                            <a:close/>
                          </a:path>
                          <a:path w="608330" h="76200">
                            <a:moveTo>
                              <a:pt x="528828" y="32004"/>
                            </a:moveTo>
                            <a:lnTo>
                              <a:pt x="524256" y="32004"/>
                            </a:lnTo>
                            <a:lnTo>
                              <a:pt x="515062" y="33861"/>
                            </a:lnTo>
                            <a:lnTo>
                              <a:pt x="508333" y="38861"/>
                            </a:lnTo>
                            <a:lnTo>
                              <a:pt x="504199" y="46148"/>
                            </a:lnTo>
                            <a:lnTo>
                              <a:pt x="502793" y="54864"/>
                            </a:lnTo>
                            <a:lnTo>
                              <a:pt x="504199" y="63341"/>
                            </a:lnTo>
                            <a:lnTo>
                              <a:pt x="508333" y="70104"/>
                            </a:lnTo>
                            <a:lnTo>
                              <a:pt x="515062" y="74580"/>
                            </a:lnTo>
                            <a:lnTo>
                              <a:pt x="524256" y="76200"/>
                            </a:lnTo>
                            <a:lnTo>
                              <a:pt x="530352" y="76200"/>
                            </a:lnTo>
                            <a:lnTo>
                              <a:pt x="536448" y="73152"/>
                            </a:lnTo>
                            <a:lnTo>
                              <a:pt x="537972" y="70104"/>
                            </a:lnTo>
                            <a:lnTo>
                              <a:pt x="516636" y="70104"/>
                            </a:lnTo>
                            <a:lnTo>
                              <a:pt x="510413" y="64008"/>
                            </a:lnTo>
                            <a:lnTo>
                              <a:pt x="510413" y="45593"/>
                            </a:lnTo>
                            <a:lnTo>
                              <a:pt x="516636" y="39624"/>
                            </a:lnTo>
                            <a:lnTo>
                              <a:pt x="537972" y="39624"/>
                            </a:lnTo>
                            <a:lnTo>
                              <a:pt x="534924" y="35052"/>
                            </a:lnTo>
                            <a:lnTo>
                              <a:pt x="528828" y="32004"/>
                            </a:lnTo>
                            <a:close/>
                          </a:path>
                          <a:path w="608330" h="76200">
                            <a:moveTo>
                              <a:pt x="545592" y="16764"/>
                            </a:moveTo>
                            <a:lnTo>
                              <a:pt x="537972" y="16764"/>
                            </a:lnTo>
                            <a:lnTo>
                              <a:pt x="537972" y="39624"/>
                            </a:lnTo>
                            <a:lnTo>
                              <a:pt x="533400" y="39624"/>
                            </a:lnTo>
                            <a:lnTo>
                              <a:pt x="537972" y="45593"/>
                            </a:lnTo>
                            <a:lnTo>
                              <a:pt x="537972" y="64008"/>
                            </a:lnTo>
                            <a:lnTo>
                              <a:pt x="533400" y="70104"/>
                            </a:lnTo>
                            <a:lnTo>
                              <a:pt x="537972" y="70104"/>
                            </a:lnTo>
                            <a:lnTo>
                              <a:pt x="537972" y="76200"/>
                            </a:lnTo>
                            <a:lnTo>
                              <a:pt x="545592" y="76200"/>
                            </a:lnTo>
                            <a:lnTo>
                              <a:pt x="545592" y="16764"/>
                            </a:lnTo>
                            <a:close/>
                          </a:path>
                          <a:path w="608330" h="76200">
                            <a:moveTo>
                              <a:pt x="571500" y="16764"/>
                            </a:moveTo>
                            <a:lnTo>
                              <a:pt x="562356" y="16764"/>
                            </a:lnTo>
                            <a:lnTo>
                              <a:pt x="556133" y="28956"/>
                            </a:lnTo>
                            <a:lnTo>
                              <a:pt x="562356" y="28956"/>
                            </a:lnTo>
                            <a:lnTo>
                              <a:pt x="571500" y="16764"/>
                            </a:lnTo>
                            <a:close/>
                          </a:path>
                          <a:path w="608330" h="76200">
                            <a:moveTo>
                              <a:pt x="563753" y="33528"/>
                            </a:moveTo>
                            <a:lnTo>
                              <a:pt x="556133" y="33528"/>
                            </a:lnTo>
                            <a:lnTo>
                              <a:pt x="556133" y="76200"/>
                            </a:lnTo>
                            <a:lnTo>
                              <a:pt x="563753" y="76200"/>
                            </a:lnTo>
                            <a:lnTo>
                              <a:pt x="563753" y="33528"/>
                            </a:lnTo>
                            <a:close/>
                          </a:path>
                          <a:path w="608330" h="76200">
                            <a:moveTo>
                              <a:pt x="608076" y="38100"/>
                            </a:moveTo>
                            <a:lnTo>
                              <a:pt x="597408" y="38100"/>
                            </a:lnTo>
                            <a:lnTo>
                              <a:pt x="601853" y="42672"/>
                            </a:lnTo>
                            <a:lnTo>
                              <a:pt x="601853" y="48768"/>
                            </a:lnTo>
                            <a:lnTo>
                              <a:pt x="592836" y="50292"/>
                            </a:lnTo>
                            <a:lnTo>
                              <a:pt x="578993" y="51816"/>
                            </a:lnTo>
                            <a:lnTo>
                              <a:pt x="573024" y="56388"/>
                            </a:lnTo>
                            <a:lnTo>
                              <a:pt x="573024" y="71628"/>
                            </a:lnTo>
                            <a:lnTo>
                              <a:pt x="578993" y="76200"/>
                            </a:lnTo>
                            <a:lnTo>
                              <a:pt x="592836" y="76200"/>
                            </a:lnTo>
                            <a:lnTo>
                              <a:pt x="598932" y="73152"/>
                            </a:lnTo>
                            <a:lnTo>
                              <a:pt x="600826" y="70104"/>
                            </a:lnTo>
                            <a:lnTo>
                              <a:pt x="583692" y="70104"/>
                            </a:lnTo>
                            <a:lnTo>
                              <a:pt x="580644" y="67056"/>
                            </a:lnTo>
                            <a:lnTo>
                              <a:pt x="580644" y="59436"/>
                            </a:lnTo>
                            <a:lnTo>
                              <a:pt x="585216" y="56388"/>
                            </a:lnTo>
                            <a:lnTo>
                              <a:pt x="592836" y="54864"/>
                            </a:lnTo>
                            <a:lnTo>
                              <a:pt x="608076" y="54864"/>
                            </a:lnTo>
                            <a:lnTo>
                              <a:pt x="608076" y="38100"/>
                            </a:lnTo>
                            <a:close/>
                          </a:path>
                          <a:path w="608330" h="76200">
                            <a:moveTo>
                              <a:pt x="608076" y="68453"/>
                            </a:moveTo>
                            <a:lnTo>
                              <a:pt x="601853" y="68453"/>
                            </a:lnTo>
                            <a:lnTo>
                              <a:pt x="601853" y="76200"/>
                            </a:lnTo>
                            <a:lnTo>
                              <a:pt x="608076" y="76200"/>
                            </a:lnTo>
                            <a:lnTo>
                              <a:pt x="608076" y="68453"/>
                            </a:lnTo>
                            <a:close/>
                          </a:path>
                          <a:path w="608330" h="76200">
                            <a:moveTo>
                              <a:pt x="608076" y="54864"/>
                            </a:moveTo>
                            <a:lnTo>
                              <a:pt x="601853" y="54864"/>
                            </a:lnTo>
                            <a:lnTo>
                              <a:pt x="601853" y="65532"/>
                            </a:lnTo>
                            <a:lnTo>
                              <a:pt x="597408" y="70104"/>
                            </a:lnTo>
                            <a:lnTo>
                              <a:pt x="600826" y="70104"/>
                            </a:lnTo>
                            <a:lnTo>
                              <a:pt x="601853" y="68453"/>
                            </a:lnTo>
                            <a:lnTo>
                              <a:pt x="608076" y="68453"/>
                            </a:lnTo>
                            <a:lnTo>
                              <a:pt x="608076" y="54864"/>
                            </a:lnTo>
                            <a:close/>
                          </a:path>
                          <a:path w="608330" h="76200">
                            <a:moveTo>
                              <a:pt x="601853" y="32004"/>
                            </a:moveTo>
                            <a:lnTo>
                              <a:pt x="582168" y="32004"/>
                            </a:lnTo>
                            <a:lnTo>
                              <a:pt x="576072" y="38100"/>
                            </a:lnTo>
                            <a:lnTo>
                              <a:pt x="574548" y="47244"/>
                            </a:lnTo>
                            <a:lnTo>
                              <a:pt x="580644" y="47244"/>
                            </a:lnTo>
                            <a:lnTo>
                              <a:pt x="582168" y="42672"/>
                            </a:lnTo>
                            <a:lnTo>
                              <a:pt x="585216" y="38100"/>
                            </a:lnTo>
                            <a:lnTo>
                              <a:pt x="608076" y="38100"/>
                            </a:lnTo>
                            <a:lnTo>
                              <a:pt x="601853" y="32004"/>
                            </a:lnTo>
                            <a:close/>
                          </a:path>
                        </a:pathLst>
                      </a:custGeom>
                      <a:solidFill>
                        <a:srgbClr val="00587C"/>
                      </a:solidFill>
                    </wps:spPr>
                    <wps:bodyPr wrap="square" lIns="0" tIns="0" rIns="0" bIns="0" rtlCol="0">
                      <a:prstTxWarp prst="textNoShape">
                        <a:avLst/>
                      </a:prstTxWarp>
                      <a:noAutofit/>
                    </wps:bodyPr>
                  </wps:wsp>
                </a:graphicData>
              </a:graphic>
            </wp:anchor>
          </w:drawing>
        </mc:Choice>
        <mc:Fallback>
          <w:pict>
            <v:shape style="position:absolute;margin-left:438.720001pt;margin-top:55.440014pt;width:47.9pt;height:6pt;mso-position-horizontal-relative:page;mso-position-vertical-relative:page;z-index:-28856320" id="docshape940" coordorigin="8774,1109" coordsize="958,120" path="m8834,1109l8820,1109,8811,1128,8820,1128,8834,1109xm8823,1135l8811,1135,8774,1229,8787,1229,8796,1205,8849,1205,8844,1193,8803,1193,8818,1152,8829,1152,8823,1135xm8849,1205l8837,1205,8846,1229,8858,1229,8849,1205xm8829,1152l8818,1152,8832,1193,8844,1193,8829,1152xm8880,1162l8870,1162,8870,1229,8880,1229,8880,1181,8885,1176,8880,1176,8880,1162xm8904,1159l8894,1159,8885,1166,8880,1176,8885,1176,8890,1171,8911,1171,8909,1162,8906,1162,8904,1159xm8945,1159l8932,1162,8922,1170,8916,1181,8914,1195,8916,1209,8922,1219,8933,1226,8947,1229,8962,1229,8974,1222,8974,1219,8933,1219,8926,1210,8926,1198,8978,1198,8978,1193,8981,1193,8980,1188,8928,1188,8928,1176,8935,1169,8970,1169,8959,1162,8945,1159xm8964,1207l8964,1214,8957,1219,8974,1219,8976,1210,8964,1207xm8970,1169l8957,1169,8964,1176,8966,1188,8980,1188,8977,1179,8970,1169xm9043,1169l9026,1169,9034,1176,9034,1186,9019,1188,8998,1190,8988,1198,8988,1222,8998,1229,9022,1229,9029,1224,9032,1219,9005,1219,9000,1214,9000,1202,9007,1198,9019,1195,9043,1195,9043,1169xm9043,1217l9034,1217,9034,1229,9043,1229,9043,1217xm9043,1195l9034,1195,9034,1212,9026,1219,9032,1219,9034,1217,9043,1217,9043,1195xm9034,1159l9002,1159,8990,1169,8990,1183,9000,1183,9000,1176,9007,1169,9043,1169,9034,1159xm9132,1159l9122,1159,9108,1162,9099,1170,9093,1181,9091,1195,9093,1209,9099,1219,9108,1226,9122,1229,9132,1229,9142,1224,9144,1219,9110,1219,9103,1210,9103,1181,9110,1171,9144,1171,9139,1164,9132,1159xm9156,1135l9144,1135,9144,1171,9137,1171,9146,1181,9146,1210,9137,1219,9144,1219,9144,1229,9156,1229,9156,1135xm9202,1159l9189,1162,9179,1170,9172,1181,9170,1195,9172,1209,9179,1219,9190,1226,9204,1229,9218,1229,9230,1222,9231,1219,9192,1219,9182,1210,9182,1198,9235,1198,9235,1193,9238,1193,9236,1188,9185,1188,9185,1176,9192,1169,9227,1169,9216,1162,9202,1159xm9223,1207l9221,1214,9214,1219,9231,1219,9233,1210,9223,1207xm9227,1169l9216,1169,9221,1176,9223,1188,9236,1188,9234,1179,9227,1169xm9322,1135l9310,1135,9274,1229,9286,1229,9295,1205,9348,1205,9344,1193,9302,1193,9317,1152,9328,1152,9322,1135xm9348,1205l9336,1205,9346,1229,9358,1229,9348,1205xm9328,1152l9317,1152,9334,1193,9344,1193,9328,1152xm9379,1135l9370,1135,9370,1229,9379,1229,9379,1135xm9444,1159l9427,1159,9414,1162,9403,1169,9399,1176,9396,1181,9394,1195,9396,1209,9403,1219,9414,1226,9427,1229,9444,1229,9454,1222,9454,1219,9415,1219,9406,1210,9406,1181,9415,1171,9455,1171,9454,1169,9454,1169,9444,1159xm9446,1205l9444,1214,9437,1219,9454,1219,9458,1207,9446,1205xm9455,1171l9437,1171,9444,1176,9446,1183,9458,1181,9455,1171xm9523,1169l9506,1169,9511,1176,9511,1186,9499,1188,9478,1190,9466,1198,9466,1222,9475,1229,9499,1229,9509,1224,9510,1219,9485,1219,9478,1214,9478,1202,9485,1198,9499,1195,9523,1195,9523,1169xm9523,1217l9511,1217,9511,1229,9523,1229,9523,1217xm9523,1195l9511,1195,9511,1212,9504,1219,9510,1219,9511,1217,9523,1217,9523,1195xm9511,1159l9482,1159,9470,1169,9468,1183,9480,1183,9480,1176,9487,1169,9523,1169,9511,1159xm9552,1135l9542,1135,9542,1229,9552,1229,9552,1135xm9607,1159l9600,1159,9586,1162,9575,1170,9568,1181,9566,1195,9568,1209,9575,1219,9586,1226,9600,1229,9610,1229,9619,1224,9622,1219,9588,1219,9578,1210,9578,1181,9588,1171,9622,1171,9617,1164,9607,1159xm9634,1135l9622,1135,9622,1171,9614,1171,9622,1181,9622,1210,9614,1219,9622,1219,9622,1229,9634,1229,9634,1135xm9674,1135l9660,1135,9650,1154,9660,1154,9674,1135xm9662,1162l9650,1162,9650,1229,9662,1229,9662,1162xm9732,1169l9715,1169,9722,1176,9722,1186,9708,1188,9686,1190,9677,1198,9677,1222,9686,1229,9708,1229,9718,1224,9721,1219,9694,1219,9689,1214,9689,1202,9696,1198,9708,1195,9732,1195,9732,1169xm9732,1217l9722,1217,9722,1229,9732,1229,9732,1217xm9732,1195l9722,1195,9722,1212,9715,1219,9721,1219,9722,1217,9732,1217,9732,1195xm9722,1159l9691,1159,9682,1169,9679,1183,9689,1183,9691,1176,9696,1169,9732,1169,9722,1159xe" filled="true" fillcolor="#00587c" stroked="false">
              <v:path arrowok="t"/>
              <v:fill type="solid"/>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1"/>
      <w:numFmt w:val="decimal"/>
      <w:lvlText w:val="%1."/>
      <w:lvlJc w:val="left"/>
      <w:pPr>
        <w:ind w:left="1505" w:hanging="221"/>
        <w:jc w:val="left"/>
      </w:pPr>
      <w:rPr>
        <w:rFonts w:hint="default" w:ascii="Arial" w:hAnsi="Arial" w:eastAsia="Arial" w:cs="Arial"/>
        <w:b/>
        <w:bCs/>
        <w:i w:val="0"/>
        <w:iCs w:val="0"/>
        <w:spacing w:val="-1"/>
        <w:w w:val="99"/>
        <w:sz w:val="20"/>
        <w:szCs w:val="20"/>
        <w:lang w:val="es-ES" w:eastAsia="en-US" w:bidi="ar-SA"/>
      </w:rPr>
    </w:lvl>
    <w:lvl w:ilvl="1">
      <w:start w:val="1"/>
      <w:numFmt w:val="decimal"/>
      <w:lvlText w:val="%2."/>
      <w:lvlJc w:val="left"/>
      <w:pPr>
        <w:ind w:left="1505" w:hanging="221"/>
        <w:jc w:val="left"/>
      </w:pPr>
      <w:rPr>
        <w:rFonts w:hint="default" w:ascii="Arial" w:hAnsi="Arial" w:eastAsia="Arial" w:cs="Arial"/>
        <w:b/>
        <w:bCs/>
        <w:i w:val="0"/>
        <w:iCs w:val="0"/>
        <w:spacing w:val="-1"/>
        <w:w w:val="99"/>
        <w:sz w:val="20"/>
        <w:szCs w:val="20"/>
        <w:lang w:val="es-ES" w:eastAsia="en-US" w:bidi="ar-SA"/>
      </w:rPr>
    </w:lvl>
    <w:lvl w:ilvl="2">
      <w:start w:val="0"/>
      <w:numFmt w:val="bullet"/>
      <w:lvlText w:val="•"/>
      <w:lvlJc w:val="left"/>
      <w:pPr>
        <w:ind w:left="3524" w:hanging="221"/>
      </w:pPr>
      <w:rPr>
        <w:rFonts w:hint="default"/>
        <w:lang w:val="es-ES" w:eastAsia="en-US" w:bidi="ar-SA"/>
      </w:rPr>
    </w:lvl>
    <w:lvl w:ilvl="3">
      <w:start w:val="0"/>
      <w:numFmt w:val="bullet"/>
      <w:lvlText w:val="•"/>
      <w:lvlJc w:val="left"/>
      <w:pPr>
        <w:ind w:left="4537" w:hanging="221"/>
      </w:pPr>
      <w:rPr>
        <w:rFonts w:hint="default"/>
        <w:lang w:val="es-ES" w:eastAsia="en-US" w:bidi="ar-SA"/>
      </w:rPr>
    </w:lvl>
    <w:lvl w:ilvl="4">
      <w:start w:val="0"/>
      <w:numFmt w:val="bullet"/>
      <w:lvlText w:val="•"/>
      <w:lvlJc w:val="left"/>
      <w:pPr>
        <w:ind w:left="5549" w:hanging="221"/>
      </w:pPr>
      <w:rPr>
        <w:rFonts w:hint="default"/>
        <w:lang w:val="es-ES" w:eastAsia="en-US" w:bidi="ar-SA"/>
      </w:rPr>
    </w:lvl>
    <w:lvl w:ilvl="5">
      <w:start w:val="0"/>
      <w:numFmt w:val="bullet"/>
      <w:lvlText w:val="•"/>
      <w:lvlJc w:val="left"/>
      <w:pPr>
        <w:ind w:left="6561" w:hanging="221"/>
      </w:pPr>
      <w:rPr>
        <w:rFonts w:hint="default"/>
        <w:lang w:val="es-ES" w:eastAsia="en-US" w:bidi="ar-SA"/>
      </w:rPr>
    </w:lvl>
    <w:lvl w:ilvl="6">
      <w:start w:val="0"/>
      <w:numFmt w:val="bullet"/>
      <w:lvlText w:val="•"/>
      <w:lvlJc w:val="left"/>
      <w:pPr>
        <w:ind w:left="7574" w:hanging="221"/>
      </w:pPr>
      <w:rPr>
        <w:rFonts w:hint="default"/>
        <w:lang w:val="es-ES" w:eastAsia="en-US" w:bidi="ar-SA"/>
      </w:rPr>
    </w:lvl>
    <w:lvl w:ilvl="7">
      <w:start w:val="0"/>
      <w:numFmt w:val="bullet"/>
      <w:lvlText w:val="•"/>
      <w:lvlJc w:val="left"/>
      <w:pPr>
        <w:ind w:left="8586" w:hanging="221"/>
      </w:pPr>
      <w:rPr>
        <w:rFonts w:hint="default"/>
        <w:lang w:val="es-ES" w:eastAsia="en-US" w:bidi="ar-SA"/>
      </w:rPr>
    </w:lvl>
    <w:lvl w:ilvl="8">
      <w:start w:val="0"/>
      <w:numFmt w:val="bullet"/>
      <w:lvlText w:val="•"/>
      <w:lvlJc w:val="left"/>
      <w:pPr>
        <w:ind w:left="9598" w:hanging="221"/>
      </w:pPr>
      <w:rPr>
        <w:rFonts w:hint="default"/>
        <w:lang w:val="es-ES" w:eastAsia="en-US" w:bidi="ar-SA"/>
      </w:rPr>
    </w:lvl>
  </w:abstractNum>
  <w:abstractNum w:abstractNumId="25">
    <w:multiLevelType w:val="hybridMultilevel"/>
    <w:lvl w:ilvl="0">
      <w:start w:val="0"/>
      <w:numFmt w:val="bullet"/>
      <w:lvlText w:val="•"/>
      <w:lvlJc w:val="left"/>
      <w:pPr>
        <w:ind w:left="1284" w:hanging="125"/>
      </w:pPr>
      <w:rPr>
        <w:rFonts w:hint="default" w:ascii="Arial" w:hAnsi="Arial" w:eastAsia="Arial" w:cs="Arial"/>
        <w:b/>
        <w:bCs/>
        <w:i w:val="0"/>
        <w:iCs w:val="0"/>
        <w:spacing w:val="0"/>
        <w:w w:val="99"/>
        <w:sz w:val="20"/>
        <w:szCs w:val="20"/>
        <w:lang w:val="es-ES" w:eastAsia="en-US" w:bidi="ar-SA"/>
      </w:rPr>
    </w:lvl>
    <w:lvl w:ilvl="1">
      <w:start w:val="0"/>
      <w:numFmt w:val="bullet"/>
      <w:lvlText w:val="•"/>
      <w:lvlJc w:val="left"/>
      <w:pPr>
        <w:ind w:left="1284" w:hanging="125"/>
      </w:pPr>
      <w:rPr>
        <w:rFonts w:hint="default" w:ascii="Arial" w:hAnsi="Arial" w:eastAsia="Arial" w:cs="Arial"/>
        <w:b/>
        <w:bCs/>
        <w:i w:val="0"/>
        <w:iCs w:val="0"/>
        <w:spacing w:val="0"/>
        <w:w w:val="99"/>
        <w:sz w:val="20"/>
        <w:szCs w:val="20"/>
        <w:lang w:val="es-ES" w:eastAsia="en-US" w:bidi="ar-SA"/>
      </w:rPr>
    </w:lvl>
    <w:lvl w:ilvl="2">
      <w:start w:val="0"/>
      <w:numFmt w:val="bullet"/>
      <w:lvlText w:val="•"/>
      <w:lvlJc w:val="left"/>
      <w:pPr>
        <w:ind w:left="3348" w:hanging="125"/>
      </w:pPr>
      <w:rPr>
        <w:rFonts w:hint="default"/>
        <w:lang w:val="es-ES" w:eastAsia="en-US" w:bidi="ar-SA"/>
      </w:rPr>
    </w:lvl>
    <w:lvl w:ilvl="3">
      <w:start w:val="0"/>
      <w:numFmt w:val="bullet"/>
      <w:lvlText w:val="•"/>
      <w:lvlJc w:val="left"/>
      <w:pPr>
        <w:ind w:left="4383" w:hanging="125"/>
      </w:pPr>
      <w:rPr>
        <w:rFonts w:hint="default"/>
        <w:lang w:val="es-ES" w:eastAsia="en-US" w:bidi="ar-SA"/>
      </w:rPr>
    </w:lvl>
    <w:lvl w:ilvl="4">
      <w:start w:val="0"/>
      <w:numFmt w:val="bullet"/>
      <w:lvlText w:val="•"/>
      <w:lvlJc w:val="left"/>
      <w:pPr>
        <w:ind w:left="5417" w:hanging="125"/>
      </w:pPr>
      <w:rPr>
        <w:rFonts w:hint="default"/>
        <w:lang w:val="es-ES" w:eastAsia="en-US" w:bidi="ar-SA"/>
      </w:rPr>
    </w:lvl>
    <w:lvl w:ilvl="5">
      <w:start w:val="0"/>
      <w:numFmt w:val="bullet"/>
      <w:lvlText w:val="•"/>
      <w:lvlJc w:val="left"/>
      <w:pPr>
        <w:ind w:left="6451" w:hanging="125"/>
      </w:pPr>
      <w:rPr>
        <w:rFonts w:hint="default"/>
        <w:lang w:val="es-ES" w:eastAsia="en-US" w:bidi="ar-SA"/>
      </w:rPr>
    </w:lvl>
    <w:lvl w:ilvl="6">
      <w:start w:val="0"/>
      <w:numFmt w:val="bullet"/>
      <w:lvlText w:val="•"/>
      <w:lvlJc w:val="left"/>
      <w:pPr>
        <w:ind w:left="7486" w:hanging="125"/>
      </w:pPr>
      <w:rPr>
        <w:rFonts w:hint="default"/>
        <w:lang w:val="es-ES" w:eastAsia="en-US" w:bidi="ar-SA"/>
      </w:rPr>
    </w:lvl>
    <w:lvl w:ilvl="7">
      <w:start w:val="0"/>
      <w:numFmt w:val="bullet"/>
      <w:lvlText w:val="•"/>
      <w:lvlJc w:val="left"/>
      <w:pPr>
        <w:ind w:left="8520" w:hanging="125"/>
      </w:pPr>
      <w:rPr>
        <w:rFonts w:hint="default"/>
        <w:lang w:val="es-ES" w:eastAsia="en-US" w:bidi="ar-SA"/>
      </w:rPr>
    </w:lvl>
    <w:lvl w:ilvl="8">
      <w:start w:val="0"/>
      <w:numFmt w:val="bullet"/>
      <w:lvlText w:val="•"/>
      <w:lvlJc w:val="left"/>
      <w:pPr>
        <w:ind w:left="9554" w:hanging="125"/>
      </w:pPr>
      <w:rPr>
        <w:rFonts w:hint="default"/>
        <w:lang w:val="es-ES" w:eastAsia="en-US" w:bidi="ar-SA"/>
      </w:rPr>
    </w:lvl>
  </w:abstractNum>
  <w:abstractNum w:abstractNumId="24">
    <w:multiLevelType w:val="hybridMultilevel"/>
    <w:lvl w:ilvl="0">
      <w:start w:val="0"/>
      <w:numFmt w:val="bullet"/>
      <w:lvlText w:val="•"/>
      <w:lvlJc w:val="left"/>
      <w:pPr>
        <w:ind w:left="1284" w:hanging="125"/>
      </w:pPr>
      <w:rPr>
        <w:rFonts w:hint="default" w:ascii="Arial" w:hAnsi="Arial" w:eastAsia="Arial" w:cs="Arial"/>
        <w:b/>
        <w:bCs/>
        <w:i w:val="0"/>
        <w:iCs w:val="0"/>
        <w:spacing w:val="0"/>
        <w:w w:val="99"/>
        <w:sz w:val="20"/>
        <w:szCs w:val="20"/>
        <w:lang w:val="es-ES" w:eastAsia="en-US" w:bidi="ar-SA"/>
      </w:rPr>
    </w:lvl>
    <w:lvl w:ilvl="1">
      <w:start w:val="0"/>
      <w:numFmt w:val="bullet"/>
      <w:lvlText w:val="•"/>
      <w:lvlJc w:val="left"/>
      <w:pPr>
        <w:ind w:left="2314" w:hanging="125"/>
      </w:pPr>
      <w:rPr>
        <w:rFonts w:hint="default"/>
        <w:lang w:val="es-ES" w:eastAsia="en-US" w:bidi="ar-SA"/>
      </w:rPr>
    </w:lvl>
    <w:lvl w:ilvl="2">
      <w:start w:val="0"/>
      <w:numFmt w:val="bullet"/>
      <w:lvlText w:val="•"/>
      <w:lvlJc w:val="left"/>
      <w:pPr>
        <w:ind w:left="3348" w:hanging="125"/>
      </w:pPr>
      <w:rPr>
        <w:rFonts w:hint="default"/>
        <w:lang w:val="es-ES" w:eastAsia="en-US" w:bidi="ar-SA"/>
      </w:rPr>
    </w:lvl>
    <w:lvl w:ilvl="3">
      <w:start w:val="0"/>
      <w:numFmt w:val="bullet"/>
      <w:lvlText w:val="•"/>
      <w:lvlJc w:val="left"/>
      <w:pPr>
        <w:ind w:left="4383" w:hanging="125"/>
      </w:pPr>
      <w:rPr>
        <w:rFonts w:hint="default"/>
        <w:lang w:val="es-ES" w:eastAsia="en-US" w:bidi="ar-SA"/>
      </w:rPr>
    </w:lvl>
    <w:lvl w:ilvl="4">
      <w:start w:val="0"/>
      <w:numFmt w:val="bullet"/>
      <w:lvlText w:val="•"/>
      <w:lvlJc w:val="left"/>
      <w:pPr>
        <w:ind w:left="5417" w:hanging="125"/>
      </w:pPr>
      <w:rPr>
        <w:rFonts w:hint="default"/>
        <w:lang w:val="es-ES" w:eastAsia="en-US" w:bidi="ar-SA"/>
      </w:rPr>
    </w:lvl>
    <w:lvl w:ilvl="5">
      <w:start w:val="0"/>
      <w:numFmt w:val="bullet"/>
      <w:lvlText w:val="•"/>
      <w:lvlJc w:val="left"/>
      <w:pPr>
        <w:ind w:left="6451" w:hanging="125"/>
      </w:pPr>
      <w:rPr>
        <w:rFonts w:hint="default"/>
        <w:lang w:val="es-ES" w:eastAsia="en-US" w:bidi="ar-SA"/>
      </w:rPr>
    </w:lvl>
    <w:lvl w:ilvl="6">
      <w:start w:val="0"/>
      <w:numFmt w:val="bullet"/>
      <w:lvlText w:val="•"/>
      <w:lvlJc w:val="left"/>
      <w:pPr>
        <w:ind w:left="7486" w:hanging="125"/>
      </w:pPr>
      <w:rPr>
        <w:rFonts w:hint="default"/>
        <w:lang w:val="es-ES" w:eastAsia="en-US" w:bidi="ar-SA"/>
      </w:rPr>
    </w:lvl>
    <w:lvl w:ilvl="7">
      <w:start w:val="0"/>
      <w:numFmt w:val="bullet"/>
      <w:lvlText w:val="•"/>
      <w:lvlJc w:val="left"/>
      <w:pPr>
        <w:ind w:left="8520" w:hanging="125"/>
      </w:pPr>
      <w:rPr>
        <w:rFonts w:hint="default"/>
        <w:lang w:val="es-ES" w:eastAsia="en-US" w:bidi="ar-SA"/>
      </w:rPr>
    </w:lvl>
    <w:lvl w:ilvl="8">
      <w:start w:val="0"/>
      <w:numFmt w:val="bullet"/>
      <w:lvlText w:val="•"/>
      <w:lvlJc w:val="left"/>
      <w:pPr>
        <w:ind w:left="9554" w:hanging="125"/>
      </w:pPr>
      <w:rPr>
        <w:rFonts w:hint="default"/>
        <w:lang w:val="es-ES" w:eastAsia="en-US" w:bidi="ar-SA"/>
      </w:rPr>
    </w:lvl>
  </w:abstractNum>
  <w:abstractNum w:abstractNumId="23">
    <w:multiLevelType w:val="hybridMultilevel"/>
    <w:lvl w:ilvl="0">
      <w:start w:val="1"/>
      <w:numFmt w:val="decimal"/>
      <w:lvlText w:val="%1."/>
      <w:lvlJc w:val="left"/>
      <w:pPr>
        <w:ind w:left="1284" w:hanging="221"/>
        <w:jc w:val="left"/>
      </w:pPr>
      <w:rPr>
        <w:rFonts w:hint="default" w:ascii="Arial" w:hAnsi="Arial" w:eastAsia="Arial" w:cs="Arial"/>
        <w:b/>
        <w:bCs/>
        <w:i w:val="0"/>
        <w:iCs w:val="0"/>
        <w:spacing w:val="-1"/>
        <w:w w:val="99"/>
        <w:sz w:val="20"/>
        <w:szCs w:val="20"/>
        <w:lang w:val="es-ES" w:eastAsia="en-US" w:bidi="ar-SA"/>
      </w:rPr>
    </w:lvl>
    <w:lvl w:ilvl="1">
      <w:start w:val="0"/>
      <w:numFmt w:val="bullet"/>
      <w:lvlText w:val="•"/>
      <w:lvlJc w:val="left"/>
      <w:pPr>
        <w:ind w:left="2314" w:hanging="221"/>
      </w:pPr>
      <w:rPr>
        <w:rFonts w:hint="default"/>
        <w:lang w:val="es-ES" w:eastAsia="en-US" w:bidi="ar-SA"/>
      </w:rPr>
    </w:lvl>
    <w:lvl w:ilvl="2">
      <w:start w:val="0"/>
      <w:numFmt w:val="bullet"/>
      <w:lvlText w:val="•"/>
      <w:lvlJc w:val="left"/>
      <w:pPr>
        <w:ind w:left="3348" w:hanging="221"/>
      </w:pPr>
      <w:rPr>
        <w:rFonts w:hint="default"/>
        <w:lang w:val="es-ES" w:eastAsia="en-US" w:bidi="ar-SA"/>
      </w:rPr>
    </w:lvl>
    <w:lvl w:ilvl="3">
      <w:start w:val="0"/>
      <w:numFmt w:val="bullet"/>
      <w:lvlText w:val="•"/>
      <w:lvlJc w:val="left"/>
      <w:pPr>
        <w:ind w:left="4383" w:hanging="221"/>
      </w:pPr>
      <w:rPr>
        <w:rFonts w:hint="default"/>
        <w:lang w:val="es-ES" w:eastAsia="en-US" w:bidi="ar-SA"/>
      </w:rPr>
    </w:lvl>
    <w:lvl w:ilvl="4">
      <w:start w:val="0"/>
      <w:numFmt w:val="bullet"/>
      <w:lvlText w:val="•"/>
      <w:lvlJc w:val="left"/>
      <w:pPr>
        <w:ind w:left="5417" w:hanging="221"/>
      </w:pPr>
      <w:rPr>
        <w:rFonts w:hint="default"/>
        <w:lang w:val="es-ES" w:eastAsia="en-US" w:bidi="ar-SA"/>
      </w:rPr>
    </w:lvl>
    <w:lvl w:ilvl="5">
      <w:start w:val="0"/>
      <w:numFmt w:val="bullet"/>
      <w:lvlText w:val="•"/>
      <w:lvlJc w:val="left"/>
      <w:pPr>
        <w:ind w:left="6451" w:hanging="221"/>
      </w:pPr>
      <w:rPr>
        <w:rFonts w:hint="default"/>
        <w:lang w:val="es-ES" w:eastAsia="en-US" w:bidi="ar-SA"/>
      </w:rPr>
    </w:lvl>
    <w:lvl w:ilvl="6">
      <w:start w:val="0"/>
      <w:numFmt w:val="bullet"/>
      <w:lvlText w:val="•"/>
      <w:lvlJc w:val="left"/>
      <w:pPr>
        <w:ind w:left="7486" w:hanging="221"/>
      </w:pPr>
      <w:rPr>
        <w:rFonts w:hint="default"/>
        <w:lang w:val="es-ES" w:eastAsia="en-US" w:bidi="ar-SA"/>
      </w:rPr>
    </w:lvl>
    <w:lvl w:ilvl="7">
      <w:start w:val="0"/>
      <w:numFmt w:val="bullet"/>
      <w:lvlText w:val="•"/>
      <w:lvlJc w:val="left"/>
      <w:pPr>
        <w:ind w:left="8520" w:hanging="221"/>
      </w:pPr>
      <w:rPr>
        <w:rFonts w:hint="default"/>
        <w:lang w:val="es-ES" w:eastAsia="en-US" w:bidi="ar-SA"/>
      </w:rPr>
    </w:lvl>
    <w:lvl w:ilvl="8">
      <w:start w:val="0"/>
      <w:numFmt w:val="bullet"/>
      <w:lvlText w:val="•"/>
      <w:lvlJc w:val="left"/>
      <w:pPr>
        <w:ind w:left="9554" w:hanging="221"/>
      </w:pPr>
      <w:rPr>
        <w:rFonts w:hint="default"/>
        <w:lang w:val="es-ES" w:eastAsia="en-US" w:bidi="ar-SA"/>
      </w:rPr>
    </w:lvl>
  </w:abstractNum>
  <w:abstractNum w:abstractNumId="22">
    <w:multiLevelType w:val="hybridMultilevel"/>
    <w:lvl w:ilvl="0">
      <w:start w:val="1"/>
      <w:numFmt w:val="decimal"/>
      <w:lvlText w:val="%1."/>
      <w:lvlJc w:val="left"/>
      <w:pPr>
        <w:ind w:left="1284" w:hanging="221"/>
        <w:jc w:val="left"/>
      </w:pPr>
      <w:rPr>
        <w:rFonts w:hint="default" w:ascii="Arial" w:hAnsi="Arial" w:eastAsia="Arial" w:cs="Arial"/>
        <w:b/>
        <w:bCs/>
        <w:i w:val="0"/>
        <w:iCs w:val="0"/>
        <w:spacing w:val="-1"/>
        <w:w w:val="99"/>
        <w:sz w:val="20"/>
        <w:szCs w:val="20"/>
        <w:lang w:val="es-ES" w:eastAsia="en-US" w:bidi="ar-SA"/>
      </w:rPr>
    </w:lvl>
    <w:lvl w:ilvl="1">
      <w:start w:val="0"/>
      <w:numFmt w:val="bullet"/>
      <w:lvlText w:val="•"/>
      <w:lvlJc w:val="left"/>
      <w:pPr>
        <w:ind w:left="2314" w:hanging="221"/>
      </w:pPr>
      <w:rPr>
        <w:rFonts w:hint="default"/>
        <w:lang w:val="es-ES" w:eastAsia="en-US" w:bidi="ar-SA"/>
      </w:rPr>
    </w:lvl>
    <w:lvl w:ilvl="2">
      <w:start w:val="0"/>
      <w:numFmt w:val="bullet"/>
      <w:lvlText w:val="•"/>
      <w:lvlJc w:val="left"/>
      <w:pPr>
        <w:ind w:left="3348" w:hanging="221"/>
      </w:pPr>
      <w:rPr>
        <w:rFonts w:hint="default"/>
        <w:lang w:val="es-ES" w:eastAsia="en-US" w:bidi="ar-SA"/>
      </w:rPr>
    </w:lvl>
    <w:lvl w:ilvl="3">
      <w:start w:val="0"/>
      <w:numFmt w:val="bullet"/>
      <w:lvlText w:val="•"/>
      <w:lvlJc w:val="left"/>
      <w:pPr>
        <w:ind w:left="4383" w:hanging="221"/>
      </w:pPr>
      <w:rPr>
        <w:rFonts w:hint="default"/>
        <w:lang w:val="es-ES" w:eastAsia="en-US" w:bidi="ar-SA"/>
      </w:rPr>
    </w:lvl>
    <w:lvl w:ilvl="4">
      <w:start w:val="0"/>
      <w:numFmt w:val="bullet"/>
      <w:lvlText w:val="•"/>
      <w:lvlJc w:val="left"/>
      <w:pPr>
        <w:ind w:left="5417" w:hanging="221"/>
      </w:pPr>
      <w:rPr>
        <w:rFonts w:hint="default"/>
        <w:lang w:val="es-ES" w:eastAsia="en-US" w:bidi="ar-SA"/>
      </w:rPr>
    </w:lvl>
    <w:lvl w:ilvl="5">
      <w:start w:val="0"/>
      <w:numFmt w:val="bullet"/>
      <w:lvlText w:val="•"/>
      <w:lvlJc w:val="left"/>
      <w:pPr>
        <w:ind w:left="6451" w:hanging="221"/>
      </w:pPr>
      <w:rPr>
        <w:rFonts w:hint="default"/>
        <w:lang w:val="es-ES" w:eastAsia="en-US" w:bidi="ar-SA"/>
      </w:rPr>
    </w:lvl>
    <w:lvl w:ilvl="6">
      <w:start w:val="0"/>
      <w:numFmt w:val="bullet"/>
      <w:lvlText w:val="•"/>
      <w:lvlJc w:val="left"/>
      <w:pPr>
        <w:ind w:left="7486" w:hanging="221"/>
      </w:pPr>
      <w:rPr>
        <w:rFonts w:hint="default"/>
        <w:lang w:val="es-ES" w:eastAsia="en-US" w:bidi="ar-SA"/>
      </w:rPr>
    </w:lvl>
    <w:lvl w:ilvl="7">
      <w:start w:val="0"/>
      <w:numFmt w:val="bullet"/>
      <w:lvlText w:val="•"/>
      <w:lvlJc w:val="left"/>
      <w:pPr>
        <w:ind w:left="8520" w:hanging="221"/>
      </w:pPr>
      <w:rPr>
        <w:rFonts w:hint="default"/>
        <w:lang w:val="es-ES" w:eastAsia="en-US" w:bidi="ar-SA"/>
      </w:rPr>
    </w:lvl>
    <w:lvl w:ilvl="8">
      <w:start w:val="0"/>
      <w:numFmt w:val="bullet"/>
      <w:lvlText w:val="•"/>
      <w:lvlJc w:val="left"/>
      <w:pPr>
        <w:ind w:left="9554" w:hanging="221"/>
      </w:pPr>
      <w:rPr>
        <w:rFonts w:hint="default"/>
        <w:lang w:val="es-ES" w:eastAsia="en-US" w:bidi="ar-SA"/>
      </w:rPr>
    </w:lvl>
  </w:abstractNum>
  <w:abstractNum w:abstractNumId="21">
    <w:multiLevelType w:val="hybridMultilevel"/>
    <w:lvl w:ilvl="0">
      <w:start w:val="1"/>
      <w:numFmt w:val="decimal"/>
      <w:lvlText w:val="%1."/>
      <w:lvlJc w:val="left"/>
      <w:pPr>
        <w:ind w:left="1284" w:hanging="221"/>
        <w:jc w:val="left"/>
      </w:pPr>
      <w:rPr>
        <w:rFonts w:hint="default" w:ascii="Arial" w:hAnsi="Arial" w:eastAsia="Arial" w:cs="Arial"/>
        <w:b/>
        <w:bCs/>
        <w:i w:val="0"/>
        <w:iCs w:val="0"/>
        <w:spacing w:val="-1"/>
        <w:w w:val="99"/>
        <w:sz w:val="20"/>
        <w:szCs w:val="20"/>
        <w:lang w:val="es-ES" w:eastAsia="en-US" w:bidi="ar-SA"/>
      </w:rPr>
    </w:lvl>
    <w:lvl w:ilvl="1">
      <w:start w:val="0"/>
      <w:numFmt w:val="bullet"/>
      <w:lvlText w:val="•"/>
      <w:lvlJc w:val="left"/>
      <w:pPr>
        <w:ind w:left="2314" w:hanging="221"/>
      </w:pPr>
      <w:rPr>
        <w:rFonts w:hint="default"/>
        <w:lang w:val="es-ES" w:eastAsia="en-US" w:bidi="ar-SA"/>
      </w:rPr>
    </w:lvl>
    <w:lvl w:ilvl="2">
      <w:start w:val="0"/>
      <w:numFmt w:val="bullet"/>
      <w:lvlText w:val="•"/>
      <w:lvlJc w:val="left"/>
      <w:pPr>
        <w:ind w:left="3348" w:hanging="221"/>
      </w:pPr>
      <w:rPr>
        <w:rFonts w:hint="default"/>
        <w:lang w:val="es-ES" w:eastAsia="en-US" w:bidi="ar-SA"/>
      </w:rPr>
    </w:lvl>
    <w:lvl w:ilvl="3">
      <w:start w:val="0"/>
      <w:numFmt w:val="bullet"/>
      <w:lvlText w:val="•"/>
      <w:lvlJc w:val="left"/>
      <w:pPr>
        <w:ind w:left="4383" w:hanging="221"/>
      </w:pPr>
      <w:rPr>
        <w:rFonts w:hint="default"/>
        <w:lang w:val="es-ES" w:eastAsia="en-US" w:bidi="ar-SA"/>
      </w:rPr>
    </w:lvl>
    <w:lvl w:ilvl="4">
      <w:start w:val="0"/>
      <w:numFmt w:val="bullet"/>
      <w:lvlText w:val="•"/>
      <w:lvlJc w:val="left"/>
      <w:pPr>
        <w:ind w:left="5417" w:hanging="221"/>
      </w:pPr>
      <w:rPr>
        <w:rFonts w:hint="default"/>
        <w:lang w:val="es-ES" w:eastAsia="en-US" w:bidi="ar-SA"/>
      </w:rPr>
    </w:lvl>
    <w:lvl w:ilvl="5">
      <w:start w:val="0"/>
      <w:numFmt w:val="bullet"/>
      <w:lvlText w:val="•"/>
      <w:lvlJc w:val="left"/>
      <w:pPr>
        <w:ind w:left="6451" w:hanging="221"/>
      </w:pPr>
      <w:rPr>
        <w:rFonts w:hint="default"/>
        <w:lang w:val="es-ES" w:eastAsia="en-US" w:bidi="ar-SA"/>
      </w:rPr>
    </w:lvl>
    <w:lvl w:ilvl="6">
      <w:start w:val="0"/>
      <w:numFmt w:val="bullet"/>
      <w:lvlText w:val="•"/>
      <w:lvlJc w:val="left"/>
      <w:pPr>
        <w:ind w:left="7486" w:hanging="221"/>
      </w:pPr>
      <w:rPr>
        <w:rFonts w:hint="default"/>
        <w:lang w:val="es-ES" w:eastAsia="en-US" w:bidi="ar-SA"/>
      </w:rPr>
    </w:lvl>
    <w:lvl w:ilvl="7">
      <w:start w:val="0"/>
      <w:numFmt w:val="bullet"/>
      <w:lvlText w:val="•"/>
      <w:lvlJc w:val="left"/>
      <w:pPr>
        <w:ind w:left="8520" w:hanging="221"/>
      </w:pPr>
      <w:rPr>
        <w:rFonts w:hint="default"/>
        <w:lang w:val="es-ES" w:eastAsia="en-US" w:bidi="ar-SA"/>
      </w:rPr>
    </w:lvl>
    <w:lvl w:ilvl="8">
      <w:start w:val="0"/>
      <w:numFmt w:val="bullet"/>
      <w:lvlText w:val="•"/>
      <w:lvlJc w:val="left"/>
      <w:pPr>
        <w:ind w:left="9554" w:hanging="221"/>
      </w:pPr>
      <w:rPr>
        <w:rFonts w:hint="default"/>
        <w:lang w:val="es-ES" w:eastAsia="en-US" w:bidi="ar-SA"/>
      </w:rPr>
    </w:lvl>
  </w:abstractNum>
  <w:abstractNum w:abstractNumId="20">
    <w:multiLevelType w:val="hybridMultilevel"/>
    <w:lvl w:ilvl="0">
      <w:start w:val="0"/>
      <w:numFmt w:val="bullet"/>
      <w:lvlText w:val="-"/>
      <w:lvlJc w:val="left"/>
      <w:pPr>
        <w:ind w:left="2251" w:hanging="327"/>
      </w:pPr>
      <w:rPr>
        <w:rFonts w:hint="default" w:ascii="Calibri" w:hAnsi="Calibri" w:eastAsia="Calibri" w:cs="Calibri"/>
        <w:b w:val="0"/>
        <w:bCs w:val="0"/>
        <w:i w:val="0"/>
        <w:iCs w:val="0"/>
        <w:color w:val="4472C4"/>
        <w:spacing w:val="0"/>
        <w:w w:val="99"/>
        <w:sz w:val="20"/>
        <w:szCs w:val="20"/>
        <w:lang w:val="es-ES" w:eastAsia="en-US" w:bidi="ar-SA"/>
      </w:rPr>
    </w:lvl>
    <w:lvl w:ilvl="1">
      <w:start w:val="1"/>
      <w:numFmt w:val="decimal"/>
      <w:lvlText w:val="%2."/>
      <w:lvlJc w:val="left"/>
      <w:pPr>
        <w:ind w:left="2251" w:hanging="315"/>
        <w:jc w:val="left"/>
      </w:pPr>
      <w:rPr>
        <w:rFonts w:hint="default" w:ascii="Calibri" w:hAnsi="Calibri" w:eastAsia="Calibri" w:cs="Calibri"/>
        <w:b w:val="0"/>
        <w:bCs w:val="0"/>
        <w:i w:val="0"/>
        <w:iCs w:val="0"/>
        <w:spacing w:val="-1"/>
        <w:w w:val="99"/>
        <w:sz w:val="20"/>
        <w:szCs w:val="20"/>
        <w:lang w:val="es-ES" w:eastAsia="en-US" w:bidi="ar-SA"/>
      </w:rPr>
    </w:lvl>
    <w:lvl w:ilvl="2">
      <w:start w:val="0"/>
      <w:numFmt w:val="bullet"/>
      <w:lvlText w:val="•"/>
      <w:lvlJc w:val="left"/>
      <w:pPr>
        <w:ind w:left="4132" w:hanging="315"/>
      </w:pPr>
      <w:rPr>
        <w:rFonts w:hint="default"/>
        <w:lang w:val="es-ES" w:eastAsia="en-US" w:bidi="ar-SA"/>
      </w:rPr>
    </w:lvl>
    <w:lvl w:ilvl="3">
      <w:start w:val="0"/>
      <w:numFmt w:val="bullet"/>
      <w:lvlText w:val="•"/>
      <w:lvlJc w:val="left"/>
      <w:pPr>
        <w:ind w:left="5069" w:hanging="315"/>
      </w:pPr>
      <w:rPr>
        <w:rFonts w:hint="default"/>
        <w:lang w:val="es-ES" w:eastAsia="en-US" w:bidi="ar-SA"/>
      </w:rPr>
    </w:lvl>
    <w:lvl w:ilvl="4">
      <w:start w:val="0"/>
      <w:numFmt w:val="bullet"/>
      <w:lvlText w:val="•"/>
      <w:lvlJc w:val="left"/>
      <w:pPr>
        <w:ind w:left="6005" w:hanging="315"/>
      </w:pPr>
      <w:rPr>
        <w:rFonts w:hint="default"/>
        <w:lang w:val="es-ES" w:eastAsia="en-US" w:bidi="ar-SA"/>
      </w:rPr>
    </w:lvl>
    <w:lvl w:ilvl="5">
      <w:start w:val="0"/>
      <w:numFmt w:val="bullet"/>
      <w:lvlText w:val="•"/>
      <w:lvlJc w:val="left"/>
      <w:pPr>
        <w:ind w:left="6941" w:hanging="315"/>
      </w:pPr>
      <w:rPr>
        <w:rFonts w:hint="default"/>
        <w:lang w:val="es-ES" w:eastAsia="en-US" w:bidi="ar-SA"/>
      </w:rPr>
    </w:lvl>
    <w:lvl w:ilvl="6">
      <w:start w:val="0"/>
      <w:numFmt w:val="bullet"/>
      <w:lvlText w:val="•"/>
      <w:lvlJc w:val="left"/>
      <w:pPr>
        <w:ind w:left="7878" w:hanging="315"/>
      </w:pPr>
      <w:rPr>
        <w:rFonts w:hint="default"/>
        <w:lang w:val="es-ES" w:eastAsia="en-US" w:bidi="ar-SA"/>
      </w:rPr>
    </w:lvl>
    <w:lvl w:ilvl="7">
      <w:start w:val="0"/>
      <w:numFmt w:val="bullet"/>
      <w:lvlText w:val="•"/>
      <w:lvlJc w:val="left"/>
      <w:pPr>
        <w:ind w:left="8814" w:hanging="315"/>
      </w:pPr>
      <w:rPr>
        <w:rFonts w:hint="default"/>
        <w:lang w:val="es-ES" w:eastAsia="en-US" w:bidi="ar-SA"/>
      </w:rPr>
    </w:lvl>
    <w:lvl w:ilvl="8">
      <w:start w:val="0"/>
      <w:numFmt w:val="bullet"/>
      <w:lvlText w:val="•"/>
      <w:lvlJc w:val="left"/>
      <w:pPr>
        <w:ind w:left="9750" w:hanging="315"/>
      </w:pPr>
      <w:rPr>
        <w:rFonts w:hint="default"/>
        <w:lang w:val="es-ES" w:eastAsia="en-US" w:bidi="ar-SA"/>
      </w:rPr>
    </w:lvl>
  </w:abstractNum>
  <w:abstractNum w:abstractNumId="19">
    <w:multiLevelType w:val="hybridMultilevel"/>
    <w:lvl w:ilvl="0">
      <w:start w:val="0"/>
      <w:numFmt w:val="bullet"/>
      <w:lvlText w:val="•"/>
      <w:lvlJc w:val="left"/>
      <w:pPr>
        <w:ind w:left="2899" w:hanging="325"/>
      </w:pPr>
      <w:rPr>
        <w:rFonts w:hint="default" w:ascii="Verdana" w:hAnsi="Verdana" w:eastAsia="Verdana" w:cs="Verdana"/>
        <w:b w:val="0"/>
        <w:bCs w:val="0"/>
        <w:i w:val="0"/>
        <w:iCs w:val="0"/>
        <w:spacing w:val="0"/>
        <w:w w:val="83"/>
        <w:sz w:val="20"/>
        <w:szCs w:val="20"/>
        <w:lang w:val="es-ES" w:eastAsia="en-US" w:bidi="ar-SA"/>
      </w:rPr>
    </w:lvl>
    <w:lvl w:ilvl="1">
      <w:start w:val="0"/>
      <w:numFmt w:val="bullet"/>
      <w:lvlText w:val="•"/>
      <w:lvlJc w:val="left"/>
      <w:pPr>
        <w:ind w:left="3772" w:hanging="325"/>
      </w:pPr>
      <w:rPr>
        <w:rFonts w:hint="default"/>
        <w:lang w:val="es-ES" w:eastAsia="en-US" w:bidi="ar-SA"/>
      </w:rPr>
    </w:lvl>
    <w:lvl w:ilvl="2">
      <w:start w:val="0"/>
      <w:numFmt w:val="bullet"/>
      <w:lvlText w:val="•"/>
      <w:lvlJc w:val="left"/>
      <w:pPr>
        <w:ind w:left="4644" w:hanging="325"/>
      </w:pPr>
      <w:rPr>
        <w:rFonts w:hint="default"/>
        <w:lang w:val="es-ES" w:eastAsia="en-US" w:bidi="ar-SA"/>
      </w:rPr>
    </w:lvl>
    <w:lvl w:ilvl="3">
      <w:start w:val="0"/>
      <w:numFmt w:val="bullet"/>
      <w:lvlText w:val="•"/>
      <w:lvlJc w:val="left"/>
      <w:pPr>
        <w:ind w:left="5517" w:hanging="325"/>
      </w:pPr>
      <w:rPr>
        <w:rFonts w:hint="default"/>
        <w:lang w:val="es-ES" w:eastAsia="en-US" w:bidi="ar-SA"/>
      </w:rPr>
    </w:lvl>
    <w:lvl w:ilvl="4">
      <w:start w:val="0"/>
      <w:numFmt w:val="bullet"/>
      <w:lvlText w:val="•"/>
      <w:lvlJc w:val="left"/>
      <w:pPr>
        <w:ind w:left="6389" w:hanging="325"/>
      </w:pPr>
      <w:rPr>
        <w:rFonts w:hint="default"/>
        <w:lang w:val="es-ES" w:eastAsia="en-US" w:bidi="ar-SA"/>
      </w:rPr>
    </w:lvl>
    <w:lvl w:ilvl="5">
      <w:start w:val="0"/>
      <w:numFmt w:val="bullet"/>
      <w:lvlText w:val="•"/>
      <w:lvlJc w:val="left"/>
      <w:pPr>
        <w:ind w:left="7261" w:hanging="325"/>
      </w:pPr>
      <w:rPr>
        <w:rFonts w:hint="default"/>
        <w:lang w:val="es-ES" w:eastAsia="en-US" w:bidi="ar-SA"/>
      </w:rPr>
    </w:lvl>
    <w:lvl w:ilvl="6">
      <w:start w:val="0"/>
      <w:numFmt w:val="bullet"/>
      <w:lvlText w:val="•"/>
      <w:lvlJc w:val="left"/>
      <w:pPr>
        <w:ind w:left="8134" w:hanging="325"/>
      </w:pPr>
      <w:rPr>
        <w:rFonts w:hint="default"/>
        <w:lang w:val="es-ES" w:eastAsia="en-US" w:bidi="ar-SA"/>
      </w:rPr>
    </w:lvl>
    <w:lvl w:ilvl="7">
      <w:start w:val="0"/>
      <w:numFmt w:val="bullet"/>
      <w:lvlText w:val="•"/>
      <w:lvlJc w:val="left"/>
      <w:pPr>
        <w:ind w:left="9006" w:hanging="325"/>
      </w:pPr>
      <w:rPr>
        <w:rFonts w:hint="default"/>
        <w:lang w:val="es-ES" w:eastAsia="en-US" w:bidi="ar-SA"/>
      </w:rPr>
    </w:lvl>
    <w:lvl w:ilvl="8">
      <w:start w:val="0"/>
      <w:numFmt w:val="bullet"/>
      <w:lvlText w:val="•"/>
      <w:lvlJc w:val="left"/>
      <w:pPr>
        <w:ind w:left="9878" w:hanging="325"/>
      </w:pPr>
      <w:rPr>
        <w:rFonts w:hint="default"/>
        <w:lang w:val="es-ES" w:eastAsia="en-US" w:bidi="ar-SA"/>
      </w:rPr>
    </w:lvl>
  </w:abstractNum>
  <w:abstractNum w:abstractNumId="18">
    <w:multiLevelType w:val="hybridMultilevel"/>
    <w:lvl w:ilvl="0">
      <w:start w:val="0"/>
      <w:numFmt w:val="bullet"/>
      <w:lvlText w:val="•"/>
      <w:lvlJc w:val="left"/>
      <w:pPr>
        <w:ind w:left="2251" w:hanging="315"/>
      </w:pPr>
      <w:rPr>
        <w:rFonts w:hint="default" w:ascii="Calibri" w:hAnsi="Calibri" w:eastAsia="Calibri" w:cs="Calibri"/>
        <w:b w:val="0"/>
        <w:bCs w:val="0"/>
        <w:i w:val="0"/>
        <w:iCs w:val="0"/>
        <w:spacing w:val="0"/>
        <w:w w:val="99"/>
        <w:sz w:val="20"/>
        <w:szCs w:val="20"/>
        <w:lang w:val="es-ES" w:eastAsia="en-US" w:bidi="ar-SA"/>
      </w:rPr>
    </w:lvl>
    <w:lvl w:ilvl="1">
      <w:start w:val="0"/>
      <w:numFmt w:val="bullet"/>
      <w:lvlText w:val="•"/>
      <w:lvlJc w:val="left"/>
      <w:pPr>
        <w:ind w:left="3196" w:hanging="315"/>
      </w:pPr>
      <w:rPr>
        <w:rFonts w:hint="default"/>
        <w:lang w:val="es-ES" w:eastAsia="en-US" w:bidi="ar-SA"/>
      </w:rPr>
    </w:lvl>
    <w:lvl w:ilvl="2">
      <w:start w:val="0"/>
      <w:numFmt w:val="bullet"/>
      <w:lvlText w:val="•"/>
      <w:lvlJc w:val="left"/>
      <w:pPr>
        <w:ind w:left="4132" w:hanging="315"/>
      </w:pPr>
      <w:rPr>
        <w:rFonts w:hint="default"/>
        <w:lang w:val="es-ES" w:eastAsia="en-US" w:bidi="ar-SA"/>
      </w:rPr>
    </w:lvl>
    <w:lvl w:ilvl="3">
      <w:start w:val="0"/>
      <w:numFmt w:val="bullet"/>
      <w:lvlText w:val="•"/>
      <w:lvlJc w:val="left"/>
      <w:pPr>
        <w:ind w:left="5069" w:hanging="315"/>
      </w:pPr>
      <w:rPr>
        <w:rFonts w:hint="default"/>
        <w:lang w:val="es-ES" w:eastAsia="en-US" w:bidi="ar-SA"/>
      </w:rPr>
    </w:lvl>
    <w:lvl w:ilvl="4">
      <w:start w:val="0"/>
      <w:numFmt w:val="bullet"/>
      <w:lvlText w:val="•"/>
      <w:lvlJc w:val="left"/>
      <w:pPr>
        <w:ind w:left="6005" w:hanging="315"/>
      </w:pPr>
      <w:rPr>
        <w:rFonts w:hint="default"/>
        <w:lang w:val="es-ES" w:eastAsia="en-US" w:bidi="ar-SA"/>
      </w:rPr>
    </w:lvl>
    <w:lvl w:ilvl="5">
      <w:start w:val="0"/>
      <w:numFmt w:val="bullet"/>
      <w:lvlText w:val="•"/>
      <w:lvlJc w:val="left"/>
      <w:pPr>
        <w:ind w:left="6941" w:hanging="315"/>
      </w:pPr>
      <w:rPr>
        <w:rFonts w:hint="default"/>
        <w:lang w:val="es-ES" w:eastAsia="en-US" w:bidi="ar-SA"/>
      </w:rPr>
    </w:lvl>
    <w:lvl w:ilvl="6">
      <w:start w:val="0"/>
      <w:numFmt w:val="bullet"/>
      <w:lvlText w:val="•"/>
      <w:lvlJc w:val="left"/>
      <w:pPr>
        <w:ind w:left="7878" w:hanging="315"/>
      </w:pPr>
      <w:rPr>
        <w:rFonts w:hint="default"/>
        <w:lang w:val="es-ES" w:eastAsia="en-US" w:bidi="ar-SA"/>
      </w:rPr>
    </w:lvl>
    <w:lvl w:ilvl="7">
      <w:start w:val="0"/>
      <w:numFmt w:val="bullet"/>
      <w:lvlText w:val="•"/>
      <w:lvlJc w:val="left"/>
      <w:pPr>
        <w:ind w:left="8814" w:hanging="315"/>
      </w:pPr>
      <w:rPr>
        <w:rFonts w:hint="default"/>
        <w:lang w:val="es-ES" w:eastAsia="en-US" w:bidi="ar-SA"/>
      </w:rPr>
    </w:lvl>
    <w:lvl w:ilvl="8">
      <w:start w:val="0"/>
      <w:numFmt w:val="bullet"/>
      <w:lvlText w:val="•"/>
      <w:lvlJc w:val="left"/>
      <w:pPr>
        <w:ind w:left="9750" w:hanging="315"/>
      </w:pPr>
      <w:rPr>
        <w:rFonts w:hint="default"/>
        <w:lang w:val="es-ES" w:eastAsia="en-US" w:bidi="ar-SA"/>
      </w:rPr>
    </w:lvl>
  </w:abstractNum>
  <w:abstractNum w:abstractNumId="17">
    <w:multiLevelType w:val="hybridMultilevel"/>
    <w:lvl w:ilvl="0">
      <w:start w:val="3"/>
      <w:numFmt w:val="upperRoman"/>
      <w:lvlText w:val="%1."/>
      <w:lvlJc w:val="left"/>
      <w:pPr>
        <w:ind w:left="2182" w:hanging="257"/>
        <w:jc w:val="left"/>
      </w:pPr>
      <w:rPr>
        <w:rFonts w:hint="default" w:ascii="Calibri" w:hAnsi="Calibri" w:eastAsia="Calibri" w:cs="Calibri"/>
        <w:b w:val="0"/>
        <w:bCs w:val="0"/>
        <w:i w:val="0"/>
        <w:iCs w:val="0"/>
        <w:spacing w:val="-3"/>
        <w:w w:val="105"/>
        <w:sz w:val="20"/>
        <w:szCs w:val="20"/>
        <w:lang w:val="es-ES" w:eastAsia="en-US" w:bidi="ar-SA"/>
      </w:rPr>
    </w:lvl>
    <w:lvl w:ilvl="1">
      <w:start w:val="0"/>
      <w:numFmt w:val="bullet"/>
      <w:lvlText w:val="•"/>
      <w:lvlJc w:val="left"/>
      <w:pPr>
        <w:ind w:left="3124" w:hanging="257"/>
      </w:pPr>
      <w:rPr>
        <w:rFonts w:hint="default"/>
        <w:lang w:val="es-ES" w:eastAsia="en-US" w:bidi="ar-SA"/>
      </w:rPr>
    </w:lvl>
    <w:lvl w:ilvl="2">
      <w:start w:val="0"/>
      <w:numFmt w:val="bullet"/>
      <w:lvlText w:val="•"/>
      <w:lvlJc w:val="left"/>
      <w:pPr>
        <w:ind w:left="4068" w:hanging="257"/>
      </w:pPr>
      <w:rPr>
        <w:rFonts w:hint="default"/>
        <w:lang w:val="es-ES" w:eastAsia="en-US" w:bidi="ar-SA"/>
      </w:rPr>
    </w:lvl>
    <w:lvl w:ilvl="3">
      <w:start w:val="0"/>
      <w:numFmt w:val="bullet"/>
      <w:lvlText w:val="•"/>
      <w:lvlJc w:val="left"/>
      <w:pPr>
        <w:ind w:left="5013" w:hanging="257"/>
      </w:pPr>
      <w:rPr>
        <w:rFonts w:hint="default"/>
        <w:lang w:val="es-ES" w:eastAsia="en-US" w:bidi="ar-SA"/>
      </w:rPr>
    </w:lvl>
    <w:lvl w:ilvl="4">
      <w:start w:val="0"/>
      <w:numFmt w:val="bullet"/>
      <w:lvlText w:val="•"/>
      <w:lvlJc w:val="left"/>
      <w:pPr>
        <w:ind w:left="5957" w:hanging="257"/>
      </w:pPr>
      <w:rPr>
        <w:rFonts w:hint="default"/>
        <w:lang w:val="es-ES" w:eastAsia="en-US" w:bidi="ar-SA"/>
      </w:rPr>
    </w:lvl>
    <w:lvl w:ilvl="5">
      <w:start w:val="0"/>
      <w:numFmt w:val="bullet"/>
      <w:lvlText w:val="•"/>
      <w:lvlJc w:val="left"/>
      <w:pPr>
        <w:ind w:left="6901" w:hanging="257"/>
      </w:pPr>
      <w:rPr>
        <w:rFonts w:hint="default"/>
        <w:lang w:val="es-ES" w:eastAsia="en-US" w:bidi="ar-SA"/>
      </w:rPr>
    </w:lvl>
    <w:lvl w:ilvl="6">
      <w:start w:val="0"/>
      <w:numFmt w:val="bullet"/>
      <w:lvlText w:val="•"/>
      <w:lvlJc w:val="left"/>
      <w:pPr>
        <w:ind w:left="7846" w:hanging="257"/>
      </w:pPr>
      <w:rPr>
        <w:rFonts w:hint="default"/>
        <w:lang w:val="es-ES" w:eastAsia="en-US" w:bidi="ar-SA"/>
      </w:rPr>
    </w:lvl>
    <w:lvl w:ilvl="7">
      <w:start w:val="0"/>
      <w:numFmt w:val="bullet"/>
      <w:lvlText w:val="•"/>
      <w:lvlJc w:val="left"/>
      <w:pPr>
        <w:ind w:left="8790" w:hanging="257"/>
      </w:pPr>
      <w:rPr>
        <w:rFonts w:hint="default"/>
        <w:lang w:val="es-ES" w:eastAsia="en-US" w:bidi="ar-SA"/>
      </w:rPr>
    </w:lvl>
    <w:lvl w:ilvl="8">
      <w:start w:val="0"/>
      <w:numFmt w:val="bullet"/>
      <w:lvlText w:val="•"/>
      <w:lvlJc w:val="left"/>
      <w:pPr>
        <w:ind w:left="9734" w:hanging="257"/>
      </w:pPr>
      <w:rPr>
        <w:rFonts w:hint="default"/>
        <w:lang w:val="es-ES" w:eastAsia="en-US" w:bidi="ar-SA"/>
      </w:rPr>
    </w:lvl>
  </w:abstractNum>
  <w:abstractNum w:abstractNumId="16">
    <w:multiLevelType w:val="hybridMultilevel"/>
    <w:lvl w:ilvl="0">
      <w:start w:val="2"/>
      <w:numFmt w:val="upperRoman"/>
      <w:lvlText w:val="%1"/>
      <w:lvlJc w:val="left"/>
      <w:pPr>
        <w:ind w:left="2760" w:hanging="509"/>
        <w:jc w:val="left"/>
      </w:pPr>
      <w:rPr>
        <w:rFonts w:hint="default"/>
        <w:lang w:val="es-ES" w:eastAsia="en-US" w:bidi="ar-SA"/>
      </w:rPr>
    </w:lvl>
    <w:lvl w:ilvl="1">
      <w:start w:val="6"/>
      <w:numFmt w:val="decimal"/>
      <w:lvlText w:val="%1.%2"/>
      <w:lvlJc w:val="left"/>
      <w:pPr>
        <w:ind w:left="2760" w:hanging="509"/>
        <w:jc w:val="left"/>
      </w:pPr>
      <w:rPr>
        <w:rFonts w:hint="default"/>
        <w:lang w:val="es-ES" w:eastAsia="en-US" w:bidi="ar-SA"/>
      </w:rPr>
    </w:lvl>
    <w:lvl w:ilvl="2">
      <w:start w:val="2"/>
      <w:numFmt w:val="decimal"/>
      <w:lvlText w:val="%1.%2.%3."/>
      <w:lvlJc w:val="left"/>
      <w:pPr>
        <w:ind w:left="2760" w:hanging="509"/>
        <w:jc w:val="left"/>
      </w:pPr>
      <w:rPr>
        <w:rFonts w:hint="default" w:ascii="Calibri" w:hAnsi="Calibri" w:eastAsia="Calibri" w:cs="Calibri"/>
        <w:b w:val="0"/>
        <w:bCs w:val="0"/>
        <w:i w:val="0"/>
        <w:iCs w:val="0"/>
        <w:spacing w:val="-3"/>
        <w:w w:val="99"/>
        <w:sz w:val="20"/>
        <w:szCs w:val="20"/>
        <w:lang w:val="es-ES" w:eastAsia="en-US" w:bidi="ar-SA"/>
      </w:rPr>
    </w:lvl>
    <w:lvl w:ilvl="3">
      <w:start w:val="2"/>
      <w:numFmt w:val="decimal"/>
      <w:lvlText w:val="%1.%2.%3.%4."/>
      <w:lvlJc w:val="left"/>
      <w:pPr>
        <w:ind w:left="2251" w:hanging="721"/>
        <w:jc w:val="left"/>
      </w:pPr>
      <w:rPr>
        <w:rFonts w:hint="default" w:ascii="Calibri" w:hAnsi="Calibri" w:eastAsia="Calibri" w:cs="Calibri"/>
        <w:b w:val="0"/>
        <w:bCs w:val="0"/>
        <w:i w:val="0"/>
        <w:iCs w:val="0"/>
        <w:spacing w:val="-3"/>
        <w:w w:val="99"/>
        <w:sz w:val="20"/>
        <w:szCs w:val="20"/>
        <w:lang w:val="es-ES" w:eastAsia="en-US" w:bidi="ar-SA"/>
      </w:rPr>
    </w:lvl>
    <w:lvl w:ilvl="4">
      <w:start w:val="0"/>
      <w:numFmt w:val="bullet"/>
      <w:lvlText w:val="•"/>
      <w:lvlJc w:val="left"/>
      <w:pPr>
        <w:ind w:left="5714" w:hanging="721"/>
      </w:pPr>
      <w:rPr>
        <w:rFonts w:hint="default"/>
        <w:lang w:val="es-ES" w:eastAsia="en-US" w:bidi="ar-SA"/>
      </w:rPr>
    </w:lvl>
    <w:lvl w:ilvl="5">
      <w:start w:val="0"/>
      <w:numFmt w:val="bullet"/>
      <w:lvlText w:val="•"/>
      <w:lvlJc w:val="left"/>
      <w:pPr>
        <w:ind w:left="6699" w:hanging="721"/>
      </w:pPr>
      <w:rPr>
        <w:rFonts w:hint="default"/>
        <w:lang w:val="es-ES" w:eastAsia="en-US" w:bidi="ar-SA"/>
      </w:rPr>
    </w:lvl>
    <w:lvl w:ilvl="6">
      <w:start w:val="0"/>
      <w:numFmt w:val="bullet"/>
      <w:lvlText w:val="•"/>
      <w:lvlJc w:val="left"/>
      <w:pPr>
        <w:ind w:left="7684" w:hanging="721"/>
      </w:pPr>
      <w:rPr>
        <w:rFonts w:hint="default"/>
        <w:lang w:val="es-ES" w:eastAsia="en-US" w:bidi="ar-SA"/>
      </w:rPr>
    </w:lvl>
    <w:lvl w:ilvl="7">
      <w:start w:val="0"/>
      <w:numFmt w:val="bullet"/>
      <w:lvlText w:val="•"/>
      <w:lvlJc w:val="left"/>
      <w:pPr>
        <w:ind w:left="8669" w:hanging="721"/>
      </w:pPr>
      <w:rPr>
        <w:rFonts w:hint="default"/>
        <w:lang w:val="es-ES" w:eastAsia="en-US" w:bidi="ar-SA"/>
      </w:rPr>
    </w:lvl>
    <w:lvl w:ilvl="8">
      <w:start w:val="0"/>
      <w:numFmt w:val="bullet"/>
      <w:lvlText w:val="•"/>
      <w:lvlJc w:val="left"/>
      <w:pPr>
        <w:ind w:left="9653" w:hanging="721"/>
      </w:pPr>
      <w:rPr>
        <w:rFonts w:hint="default"/>
        <w:lang w:val="es-ES" w:eastAsia="en-US" w:bidi="ar-SA"/>
      </w:rPr>
    </w:lvl>
  </w:abstractNum>
  <w:abstractNum w:abstractNumId="15">
    <w:multiLevelType w:val="hybridMultilevel"/>
    <w:lvl w:ilvl="0">
      <w:start w:val="0"/>
      <w:numFmt w:val="bullet"/>
      <w:lvlText w:val="-"/>
      <w:lvlJc w:val="left"/>
      <w:pPr>
        <w:ind w:left="2251" w:hanging="327"/>
      </w:pPr>
      <w:rPr>
        <w:rFonts w:hint="default" w:ascii="Calibri" w:hAnsi="Calibri" w:eastAsia="Calibri" w:cs="Calibri"/>
        <w:b w:val="0"/>
        <w:bCs w:val="0"/>
        <w:i w:val="0"/>
        <w:iCs w:val="0"/>
        <w:color w:val="4472C4"/>
        <w:spacing w:val="0"/>
        <w:w w:val="99"/>
        <w:sz w:val="20"/>
        <w:szCs w:val="20"/>
        <w:lang w:val="es-ES" w:eastAsia="en-US" w:bidi="ar-SA"/>
      </w:rPr>
    </w:lvl>
    <w:lvl w:ilvl="1">
      <w:start w:val="0"/>
      <w:numFmt w:val="bullet"/>
      <w:lvlText w:val="•"/>
      <w:lvlJc w:val="left"/>
      <w:pPr>
        <w:ind w:left="3196" w:hanging="327"/>
      </w:pPr>
      <w:rPr>
        <w:rFonts w:hint="default"/>
        <w:lang w:val="es-ES" w:eastAsia="en-US" w:bidi="ar-SA"/>
      </w:rPr>
    </w:lvl>
    <w:lvl w:ilvl="2">
      <w:start w:val="0"/>
      <w:numFmt w:val="bullet"/>
      <w:lvlText w:val="•"/>
      <w:lvlJc w:val="left"/>
      <w:pPr>
        <w:ind w:left="4132" w:hanging="327"/>
      </w:pPr>
      <w:rPr>
        <w:rFonts w:hint="default"/>
        <w:lang w:val="es-ES" w:eastAsia="en-US" w:bidi="ar-SA"/>
      </w:rPr>
    </w:lvl>
    <w:lvl w:ilvl="3">
      <w:start w:val="0"/>
      <w:numFmt w:val="bullet"/>
      <w:lvlText w:val="•"/>
      <w:lvlJc w:val="left"/>
      <w:pPr>
        <w:ind w:left="5069" w:hanging="327"/>
      </w:pPr>
      <w:rPr>
        <w:rFonts w:hint="default"/>
        <w:lang w:val="es-ES" w:eastAsia="en-US" w:bidi="ar-SA"/>
      </w:rPr>
    </w:lvl>
    <w:lvl w:ilvl="4">
      <w:start w:val="0"/>
      <w:numFmt w:val="bullet"/>
      <w:lvlText w:val="•"/>
      <w:lvlJc w:val="left"/>
      <w:pPr>
        <w:ind w:left="6005" w:hanging="327"/>
      </w:pPr>
      <w:rPr>
        <w:rFonts w:hint="default"/>
        <w:lang w:val="es-ES" w:eastAsia="en-US" w:bidi="ar-SA"/>
      </w:rPr>
    </w:lvl>
    <w:lvl w:ilvl="5">
      <w:start w:val="0"/>
      <w:numFmt w:val="bullet"/>
      <w:lvlText w:val="•"/>
      <w:lvlJc w:val="left"/>
      <w:pPr>
        <w:ind w:left="6941" w:hanging="327"/>
      </w:pPr>
      <w:rPr>
        <w:rFonts w:hint="default"/>
        <w:lang w:val="es-ES" w:eastAsia="en-US" w:bidi="ar-SA"/>
      </w:rPr>
    </w:lvl>
    <w:lvl w:ilvl="6">
      <w:start w:val="0"/>
      <w:numFmt w:val="bullet"/>
      <w:lvlText w:val="•"/>
      <w:lvlJc w:val="left"/>
      <w:pPr>
        <w:ind w:left="7878" w:hanging="327"/>
      </w:pPr>
      <w:rPr>
        <w:rFonts w:hint="default"/>
        <w:lang w:val="es-ES" w:eastAsia="en-US" w:bidi="ar-SA"/>
      </w:rPr>
    </w:lvl>
    <w:lvl w:ilvl="7">
      <w:start w:val="0"/>
      <w:numFmt w:val="bullet"/>
      <w:lvlText w:val="•"/>
      <w:lvlJc w:val="left"/>
      <w:pPr>
        <w:ind w:left="8814" w:hanging="327"/>
      </w:pPr>
      <w:rPr>
        <w:rFonts w:hint="default"/>
        <w:lang w:val="es-ES" w:eastAsia="en-US" w:bidi="ar-SA"/>
      </w:rPr>
    </w:lvl>
    <w:lvl w:ilvl="8">
      <w:start w:val="0"/>
      <w:numFmt w:val="bullet"/>
      <w:lvlText w:val="•"/>
      <w:lvlJc w:val="left"/>
      <w:pPr>
        <w:ind w:left="9750" w:hanging="327"/>
      </w:pPr>
      <w:rPr>
        <w:rFonts w:hint="default"/>
        <w:lang w:val="es-ES" w:eastAsia="en-US" w:bidi="ar-SA"/>
      </w:rPr>
    </w:lvl>
  </w:abstractNum>
  <w:abstractNum w:abstractNumId="14">
    <w:multiLevelType w:val="hybridMultilevel"/>
    <w:lvl w:ilvl="0">
      <w:start w:val="0"/>
      <w:numFmt w:val="bullet"/>
      <w:lvlText w:val="•"/>
      <w:lvlJc w:val="left"/>
      <w:pPr>
        <w:ind w:left="2575" w:hanging="324"/>
      </w:pPr>
      <w:rPr>
        <w:rFonts w:hint="default" w:ascii="Verdana" w:hAnsi="Verdana" w:eastAsia="Verdana" w:cs="Verdana"/>
        <w:b w:val="0"/>
        <w:bCs w:val="0"/>
        <w:i w:val="0"/>
        <w:iCs w:val="0"/>
        <w:spacing w:val="0"/>
        <w:w w:val="84"/>
        <w:sz w:val="18"/>
        <w:szCs w:val="18"/>
        <w:lang w:val="es-ES" w:eastAsia="en-US" w:bidi="ar-SA"/>
      </w:rPr>
    </w:lvl>
    <w:lvl w:ilvl="1">
      <w:start w:val="0"/>
      <w:numFmt w:val="bullet"/>
      <w:lvlText w:val="•"/>
      <w:lvlJc w:val="left"/>
      <w:pPr>
        <w:ind w:left="3484" w:hanging="324"/>
      </w:pPr>
      <w:rPr>
        <w:rFonts w:hint="default"/>
        <w:lang w:val="es-ES" w:eastAsia="en-US" w:bidi="ar-SA"/>
      </w:rPr>
    </w:lvl>
    <w:lvl w:ilvl="2">
      <w:start w:val="0"/>
      <w:numFmt w:val="bullet"/>
      <w:lvlText w:val="•"/>
      <w:lvlJc w:val="left"/>
      <w:pPr>
        <w:ind w:left="4388" w:hanging="324"/>
      </w:pPr>
      <w:rPr>
        <w:rFonts w:hint="default"/>
        <w:lang w:val="es-ES" w:eastAsia="en-US" w:bidi="ar-SA"/>
      </w:rPr>
    </w:lvl>
    <w:lvl w:ilvl="3">
      <w:start w:val="0"/>
      <w:numFmt w:val="bullet"/>
      <w:lvlText w:val="•"/>
      <w:lvlJc w:val="left"/>
      <w:pPr>
        <w:ind w:left="5293" w:hanging="324"/>
      </w:pPr>
      <w:rPr>
        <w:rFonts w:hint="default"/>
        <w:lang w:val="es-ES" w:eastAsia="en-US" w:bidi="ar-SA"/>
      </w:rPr>
    </w:lvl>
    <w:lvl w:ilvl="4">
      <w:start w:val="0"/>
      <w:numFmt w:val="bullet"/>
      <w:lvlText w:val="•"/>
      <w:lvlJc w:val="left"/>
      <w:pPr>
        <w:ind w:left="6197" w:hanging="324"/>
      </w:pPr>
      <w:rPr>
        <w:rFonts w:hint="default"/>
        <w:lang w:val="es-ES" w:eastAsia="en-US" w:bidi="ar-SA"/>
      </w:rPr>
    </w:lvl>
    <w:lvl w:ilvl="5">
      <w:start w:val="0"/>
      <w:numFmt w:val="bullet"/>
      <w:lvlText w:val="•"/>
      <w:lvlJc w:val="left"/>
      <w:pPr>
        <w:ind w:left="7101" w:hanging="324"/>
      </w:pPr>
      <w:rPr>
        <w:rFonts w:hint="default"/>
        <w:lang w:val="es-ES" w:eastAsia="en-US" w:bidi="ar-SA"/>
      </w:rPr>
    </w:lvl>
    <w:lvl w:ilvl="6">
      <w:start w:val="0"/>
      <w:numFmt w:val="bullet"/>
      <w:lvlText w:val="•"/>
      <w:lvlJc w:val="left"/>
      <w:pPr>
        <w:ind w:left="8006" w:hanging="324"/>
      </w:pPr>
      <w:rPr>
        <w:rFonts w:hint="default"/>
        <w:lang w:val="es-ES" w:eastAsia="en-US" w:bidi="ar-SA"/>
      </w:rPr>
    </w:lvl>
    <w:lvl w:ilvl="7">
      <w:start w:val="0"/>
      <w:numFmt w:val="bullet"/>
      <w:lvlText w:val="•"/>
      <w:lvlJc w:val="left"/>
      <w:pPr>
        <w:ind w:left="8910" w:hanging="324"/>
      </w:pPr>
      <w:rPr>
        <w:rFonts w:hint="default"/>
        <w:lang w:val="es-ES" w:eastAsia="en-US" w:bidi="ar-SA"/>
      </w:rPr>
    </w:lvl>
    <w:lvl w:ilvl="8">
      <w:start w:val="0"/>
      <w:numFmt w:val="bullet"/>
      <w:lvlText w:val="•"/>
      <w:lvlJc w:val="left"/>
      <w:pPr>
        <w:ind w:left="9814" w:hanging="324"/>
      </w:pPr>
      <w:rPr>
        <w:rFonts w:hint="default"/>
        <w:lang w:val="es-ES" w:eastAsia="en-US" w:bidi="ar-SA"/>
      </w:rPr>
    </w:lvl>
  </w:abstractNum>
  <w:abstractNum w:abstractNumId="13">
    <w:multiLevelType w:val="hybridMultilevel"/>
    <w:lvl w:ilvl="0">
      <w:start w:val="0"/>
      <w:numFmt w:val="bullet"/>
      <w:lvlText w:val="•"/>
      <w:lvlJc w:val="left"/>
      <w:pPr>
        <w:ind w:left="2506" w:hanging="324"/>
      </w:pPr>
      <w:rPr>
        <w:rFonts w:hint="default" w:ascii="Verdana" w:hAnsi="Verdana" w:eastAsia="Verdana" w:cs="Verdana"/>
        <w:b w:val="0"/>
        <w:bCs w:val="0"/>
        <w:i w:val="0"/>
        <w:iCs w:val="0"/>
        <w:spacing w:val="0"/>
        <w:w w:val="83"/>
        <w:sz w:val="20"/>
        <w:szCs w:val="20"/>
        <w:lang w:val="es-ES" w:eastAsia="en-US" w:bidi="ar-SA"/>
      </w:rPr>
    </w:lvl>
    <w:lvl w:ilvl="1">
      <w:start w:val="0"/>
      <w:numFmt w:val="bullet"/>
      <w:lvlText w:val="•"/>
      <w:lvlJc w:val="left"/>
      <w:pPr>
        <w:ind w:left="3412" w:hanging="324"/>
      </w:pPr>
      <w:rPr>
        <w:rFonts w:hint="default"/>
        <w:lang w:val="es-ES" w:eastAsia="en-US" w:bidi="ar-SA"/>
      </w:rPr>
    </w:lvl>
    <w:lvl w:ilvl="2">
      <w:start w:val="0"/>
      <w:numFmt w:val="bullet"/>
      <w:lvlText w:val="•"/>
      <w:lvlJc w:val="left"/>
      <w:pPr>
        <w:ind w:left="4324" w:hanging="324"/>
      </w:pPr>
      <w:rPr>
        <w:rFonts w:hint="default"/>
        <w:lang w:val="es-ES" w:eastAsia="en-US" w:bidi="ar-SA"/>
      </w:rPr>
    </w:lvl>
    <w:lvl w:ilvl="3">
      <w:start w:val="0"/>
      <w:numFmt w:val="bullet"/>
      <w:lvlText w:val="•"/>
      <w:lvlJc w:val="left"/>
      <w:pPr>
        <w:ind w:left="5237" w:hanging="324"/>
      </w:pPr>
      <w:rPr>
        <w:rFonts w:hint="default"/>
        <w:lang w:val="es-ES" w:eastAsia="en-US" w:bidi="ar-SA"/>
      </w:rPr>
    </w:lvl>
    <w:lvl w:ilvl="4">
      <w:start w:val="0"/>
      <w:numFmt w:val="bullet"/>
      <w:lvlText w:val="•"/>
      <w:lvlJc w:val="left"/>
      <w:pPr>
        <w:ind w:left="6149" w:hanging="324"/>
      </w:pPr>
      <w:rPr>
        <w:rFonts w:hint="default"/>
        <w:lang w:val="es-ES" w:eastAsia="en-US" w:bidi="ar-SA"/>
      </w:rPr>
    </w:lvl>
    <w:lvl w:ilvl="5">
      <w:start w:val="0"/>
      <w:numFmt w:val="bullet"/>
      <w:lvlText w:val="•"/>
      <w:lvlJc w:val="left"/>
      <w:pPr>
        <w:ind w:left="7061" w:hanging="324"/>
      </w:pPr>
      <w:rPr>
        <w:rFonts w:hint="default"/>
        <w:lang w:val="es-ES" w:eastAsia="en-US" w:bidi="ar-SA"/>
      </w:rPr>
    </w:lvl>
    <w:lvl w:ilvl="6">
      <w:start w:val="0"/>
      <w:numFmt w:val="bullet"/>
      <w:lvlText w:val="•"/>
      <w:lvlJc w:val="left"/>
      <w:pPr>
        <w:ind w:left="7974" w:hanging="324"/>
      </w:pPr>
      <w:rPr>
        <w:rFonts w:hint="default"/>
        <w:lang w:val="es-ES" w:eastAsia="en-US" w:bidi="ar-SA"/>
      </w:rPr>
    </w:lvl>
    <w:lvl w:ilvl="7">
      <w:start w:val="0"/>
      <w:numFmt w:val="bullet"/>
      <w:lvlText w:val="•"/>
      <w:lvlJc w:val="left"/>
      <w:pPr>
        <w:ind w:left="8886" w:hanging="324"/>
      </w:pPr>
      <w:rPr>
        <w:rFonts w:hint="default"/>
        <w:lang w:val="es-ES" w:eastAsia="en-US" w:bidi="ar-SA"/>
      </w:rPr>
    </w:lvl>
    <w:lvl w:ilvl="8">
      <w:start w:val="0"/>
      <w:numFmt w:val="bullet"/>
      <w:lvlText w:val="•"/>
      <w:lvlJc w:val="left"/>
      <w:pPr>
        <w:ind w:left="9798" w:hanging="324"/>
      </w:pPr>
      <w:rPr>
        <w:rFonts w:hint="default"/>
        <w:lang w:val="es-ES" w:eastAsia="en-US" w:bidi="ar-SA"/>
      </w:rPr>
    </w:lvl>
  </w:abstractNum>
  <w:abstractNum w:abstractNumId="12">
    <w:multiLevelType w:val="hybridMultilevel"/>
    <w:lvl w:ilvl="0">
      <w:start w:val="2"/>
      <w:numFmt w:val="upperRoman"/>
      <w:lvlText w:val="%1"/>
      <w:lvlJc w:val="left"/>
      <w:pPr>
        <w:ind w:left="1925" w:hanging="706"/>
        <w:jc w:val="left"/>
      </w:pPr>
      <w:rPr>
        <w:rFonts w:hint="default"/>
        <w:lang w:val="es-ES" w:eastAsia="en-US" w:bidi="ar-SA"/>
      </w:rPr>
    </w:lvl>
    <w:lvl w:ilvl="1">
      <w:start w:val="3"/>
      <w:numFmt w:val="decimal"/>
      <w:lvlText w:val="%1.%2"/>
      <w:lvlJc w:val="left"/>
      <w:pPr>
        <w:ind w:left="1925" w:hanging="706"/>
        <w:jc w:val="left"/>
      </w:pPr>
      <w:rPr>
        <w:rFonts w:hint="default"/>
        <w:lang w:val="es-ES" w:eastAsia="en-US" w:bidi="ar-SA"/>
      </w:rPr>
    </w:lvl>
    <w:lvl w:ilvl="2">
      <w:start w:val="2"/>
      <w:numFmt w:val="decimal"/>
      <w:lvlText w:val="%1.%2.%3"/>
      <w:lvlJc w:val="left"/>
      <w:pPr>
        <w:ind w:left="1925" w:hanging="706"/>
        <w:jc w:val="left"/>
      </w:pPr>
      <w:rPr>
        <w:rFonts w:hint="default"/>
        <w:lang w:val="es-ES" w:eastAsia="en-US" w:bidi="ar-SA"/>
      </w:rPr>
    </w:lvl>
    <w:lvl w:ilvl="3">
      <w:start w:val="1"/>
      <w:numFmt w:val="decimal"/>
      <w:lvlText w:val="%1.%2.%3.%4."/>
      <w:lvlJc w:val="left"/>
      <w:pPr>
        <w:ind w:left="1925" w:hanging="706"/>
        <w:jc w:val="right"/>
      </w:pPr>
      <w:rPr>
        <w:rFonts w:hint="default" w:ascii="Calibri" w:hAnsi="Calibri" w:eastAsia="Calibri" w:cs="Calibri"/>
        <w:b w:val="0"/>
        <w:bCs w:val="0"/>
        <w:i w:val="0"/>
        <w:iCs w:val="0"/>
        <w:spacing w:val="-3"/>
        <w:w w:val="99"/>
        <w:sz w:val="20"/>
        <w:szCs w:val="20"/>
        <w:lang w:val="es-ES" w:eastAsia="en-US" w:bidi="ar-SA"/>
      </w:rPr>
    </w:lvl>
    <w:lvl w:ilvl="4">
      <w:start w:val="0"/>
      <w:numFmt w:val="bullet"/>
      <w:lvlText w:val="-"/>
      <w:lvlJc w:val="left"/>
      <w:pPr>
        <w:ind w:left="2251" w:hanging="327"/>
      </w:pPr>
      <w:rPr>
        <w:rFonts w:hint="default" w:ascii="Calibri" w:hAnsi="Calibri" w:eastAsia="Calibri" w:cs="Calibri"/>
        <w:spacing w:val="0"/>
        <w:w w:val="99"/>
        <w:lang w:val="es-ES" w:eastAsia="en-US" w:bidi="ar-SA"/>
      </w:rPr>
    </w:lvl>
    <w:lvl w:ilvl="5">
      <w:start w:val="0"/>
      <w:numFmt w:val="bullet"/>
      <w:lvlText w:val="•"/>
      <w:lvlJc w:val="left"/>
      <w:pPr>
        <w:ind w:left="2575" w:hanging="324"/>
      </w:pPr>
      <w:rPr>
        <w:rFonts w:hint="default" w:ascii="Verdana" w:hAnsi="Verdana" w:eastAsia="Verdana" w:cs="Verdana"/>
        <w:b w:val="0"/>
        <w:bCs w:val="0"/>
        <w:i w:val="0"/>
        <w:iCs w:val="0"/>
        <w:spacing w:val="0"/>
        <w:w w:val="83"/>
        <w:sz w:val="20"/>
        <w:szCs w:val="20"/>
        <w:lang w:val="es-ES" w:eastAsia="en-US" w:bidi="ar-SA"/>
      </w:rPr>
    </w:lvl>
    <w:lvl w:ilvl="6">
      <w:start w:val="0"/>
      <w:numFmt w:val="bullet"/>
      <w:lvlText w:val="•"/>
      <w:lvlJc w:val="left"/>
      <w:pPr>
        <w:ind w:left="7101" w:hanging="324"/>
      </w:pPr>
      <w:rPr>
        <w:rFonts w:hint="default"/>
        <w:lang w:val="es-ES" w:eastAsia="en-US" w:bidi="ar-SA"/>
      </w:rPr>
    </w:lvl>
    <w:lvl w:ilvl="7">
      <w:start w:val="0"/>
      <w:numFmt w:val="bullet"/>
      <w:lvlText w:val="•"/>
      <w:lvlJc w:val="left"/>
      <w:pPr>
        <w:ind w:left="8232" w:hanging="324"/>
      </w:pPr>
      <w:rPr>
        <w:rFonts w:hint="default"/>
        <w:lang w:val="es-ES" w:eastAsia="en-US" w:bidi="ar-SA"/>
      </w:rPr>
    </w:lvl>
    <w:lvl w:ilvl="8">
      <w:start w:val="0"/>
      <w:numFmt w:val="bullet"/>
      <w:lvlText w:val="•"/>
      <w:lvlJc w:val="left"/>
      <w:pPr>
        <w:ind w:left="9362" w:hanging="324"/>
      </w:pPr>
      <w:rPr>
        <w:rFonts w:hint="default"/>
        <w:lang w:val="es-ES" w:eastAsia="en-US" w:bidi="ar-SA"/>
      </w:rPr>
    </w:lvl>
  </w:abstractNum>
  <w:abstractNum w:abstractNumId="11">
    <w:multiLevelType w:val="hybridMultilevel"/>
    <w:lvl w:ilvl="0">
      <w:start w:val="0"/>
      <w:numFmt w:val="bullet"/>
      <w:lvlText w:val="-"/>
      <w:lvlJc w:val="left"/>
      <w:pPr>
        <w:ind w:left="1741" w:hanging="358"/>
      </w:pPr>
      <w:rPr>
        <w:rFonts w:hint="default" w:ascii="Arial" w:hAnsi="Arial" w:eastAsia="Arial" w:cs="Arial"/>
        <w:b w:val="0"/>
        <w:bCs w:val="0"/>
        <w:i w:val="0"/>
        <w:iCs w:val="0"/>
        <w:spacing w:val="0"/>
        <w:w w:val="100"/>
        <w:sz w:val="22"/>
        <w:szCs w:val="22"/>
        <w:lang w:val="es-ES" w:eastAsia="en-US" w:bidi="ar-SA"/>
      </w:rPr>
    </w:lvl>
    <w:lvl w:ilvl="1">
      <w:start w:val="0"/>
      <w:numFmt w:val="bullet"/>
      <w:lvlText w:val="•"/>
      <w:lvlJc w:val="left"/>
      <w:pPr>
        <w:ind w:left="2728" w:hanging="358"/>
      </w:pPr>
      <w:rPr>
        <w:rFonts w:hint="default"/>
        <w:lang w:val="es-ES" w:eastAsia="en-US" w:bidi="ar-SA"/>
      </w:rPr>
    </w:lvl>
    <w:lvl w:ilvl="2">
      <w:start w:val="0"/>
      <w:numFmt w:val="bullet"/>
      <w:lvlText w:val="•"/>
      <w:lvlJc w:val="left"/>
      <w:pPr>
        <w:ind w:left="3716" w:hanging="358"/>
      </w:pPr>
      <w:rPr>
        <w:rFonts w:hint="default"/>
        <w:lang w:val="es-ES" w:eastAsia="en-US" w:bidi="ar-SA"/>
      </w:rPr>
    </w:lvl>
    <w:lvl w:ilvl="3">
      <w:start w:val="0"/>
      <w:numFmt w:val="bullet"/>
      <w:lvlText w:val="•"/>
      <w:lvlJc w:val="left"/>
      <w:pPr>
        <w:ind w:left="4705" w:hanging="358"/>
      </w:pPr>
      <w:rPr>
        <w:rFonts w:hint="default"/>
        <w:lang w:val="es-ES" w:eastAsia="en-US" w:bidi="ar-SA"/>
      </w:rPr>
    </w:lvl>
    <w:lvl w:ilvl="4">
      <w:start w:val="0"/>
      <w:numFmt w:val="bullet"/>
      <w:lvlText w:val="•"/>
      <w:lvlJc w:val="left"/>
      <w:pPr>
        <w:ind w:left="5693" w:hanging="358"/>
      </w:pPr>
      <w:rPr>
        <w:rFonts w:hint="default"/>
        <w:lang w:val="es-ES" w:eastAsia="en-US" w:bidi="ar-SA"/>
      </w:rPr>
    </w:lvl>
    <w:lvl w:ilvl="5">
      <w:start w:val="0"/>
      <w:numFmt w:val="bullet"/>
      <w:lvlText w:val="•"/>
      <w:lvlJc w:val="left"/>
      <w:pPr>
        <w:ind w:left="6681" w:hanging="358"/>
      </w:pPr>
      <w:rPr>
        <w:rFonts w:hint="default"/>
        <w:lang w:val="es-ES" w:eastAsia="en-US" w:bidi="ar-SA"/>
      </w:rPr>
    </w:lvl>
    <w:lvl w:ilvl="6">
      <w:start w:val="0"/>
      <w:numFmt w:val="bullet"/>
      <w:lvlText w:val="•"/>
      <w:lvlJc w:val="left"/>
      <w:pPr>
        <w:ind w:left="7670" w:hanging="358"/>
      </w:pPr>
      <w:rPr>
        <w:rFonts w:hint="default"/>
        <w:lang w:val="es-ES" w:eastAsia="en-US" w:bidi="ar-SA"/>
      </w:rPr>
    </w:lvl>
    <w:lvl w:ilvl="7">
      <w:start w:val="0"/>
      <w:numFmt w:val="bullet"/>
      <w:lvlText w:val="•"/>
      <w:lvlJc w:val="left"/>
      <w:pPr>
        <w:ind w:left="8658" w:hanging="358"/>
      </w:pPr>
      <w:rPr>
        <w:rFonts w:hint="default"/>
        <w:lang w:val="es-ES" w:eastAsia="en-US" w:bidi="ar-SA"/>
      </w:rPr>
    </w:lvl>
    <w:lvl w:ilvl="8">
      <w:start w:val="0"/>
      <w:numFmt w:val="bullet"/>
      <w:lvlText w:val="•"/>
      <w:lvlJc w:val="left"/>
      <w:pPr>
        <w:ind w:left="9646" w:hanging="358"/>
      </w:pPr>
      <w:rPr>
        <w:rFonts w:hint="default"/>
        <w:lang w:val="es-ES" w:eastAsia="en-US" w:bidi="ar-SA"/>
      </w:rPr>
    </w:lvl>
  </w:abstractNum>
  <w:abstractNum w:abstractNumId="10">
    <w:multiLevelType w:val="hybridMultilevel"/>
    <w:lvl w:ilvl="0">
      <w:start w:val="0"/>
      <w:numFmt w:val="bullet"/>
      <w:lvlText w:val="✓"/>
      <w:lvlJc w:val="left"/>
      <w:pPr>
        <w:ind w:left="1585" w:hanging="411"/>
      </w:pPr>
      <w:rPr>
        <w:rFonts w:hint="default" w:ascii="Segoe UI Symbol" w:hAnsi="Segoe UI Symbol" w:eastAsia="Segoe UI Symbol" w:cs="Segoe UI Symbol"/>
        <w:b/>
        <w:bCs/>
        <w:i w:val="0"/>
        <w:iCs w:val="0"/>
        <w:color w:val="00AF50"/>
        <w:spacing w:val="0"/>
        <w:w w:val="99"/>
        <w:sz w:val="24"/>
        <w:szCs w:val="24"/>
        <w:lang w:val="es-ES" w:eastAsia="en-US" w:bidi="ar-SA"/>
      </w:rPr>
    </w:lvl>
    <w:lvl w:ilvl="1">
      <w:start w:val="0"/>
      <w:numFmt w:val="bullet"/>
      <w:lvlText w:val="•"/>
      <w:lvlJc w:val="left"/>
      <w:pPr>
        <w:ind w:left="2584" w:hanging="411"/>
      </w:pPr>
      <w:rPr>
        <w:rFonts w:hint="default"/>
        <w:lang w:val="es-ES" w:eastAsia="en-US" w:bidi="ar-SA"/>
      </w:rPr>
    </w:lvl>
    <w:lvl w:ilvl="2">
      <w:start w:val="0"/>
      <w:numFmt w:val="bullet"/>
      <w:lvlText w:val="•"/>
      <w:lvlJc w:val="left"/>
      <w:pPr>
        <w:ind w:left="3588" w:hanging="411"/>
      </w:pPr>
      <w:rPr>
        <w:rFonts w:hint="default"/>
        <w:lang w:val="es-ES" w:eastAsia="en-US" w:bidi="ar-SA"/>
      </w:rPr>
    </w:lvl>
    <w:lvl w:ilvl="3">
      <w:start w:val="0"/>
      <w:numFmt w:val="bullet"/>
      <w:lvlText w:val="•"/>
      <w:lvlJc w:val="left"/>
      <w:pPr>
        <w:ind w:left="4593" w:hanging="411"/>
      </w:pPr>
      <w:rPr>
        <w:rFonts w:hint="default"/>
        <w:lang w:val="es-ES" w:eastAsia="en-US" w:bidi="ar-SA"/>
      </w:rPr>
    </w:lvl>
    <w:lvl w:ilvl="4">
      <w:start w:val="0"/>
      <w:numFmt w:val="bullet"/>
      <w:lvlText w:val="•"/>
      <w:lvlJc w:val="left"/>
      <w:pPr>
        <w:ind w:left="5597" w:hanging="411"/>
      </w:pPr>
      <w:rPr>
        <w:rFonts w:hint="default"/>
        <w:lang w:val="es-ES" w:eastAsia="en-US" w:bidi="ar-SA"/>
      </w:rPr>
    </w:lvl>
    <w:lvl w:ilvl="5">
      <w:start w:val="0"/>
      <w:numFmt w:val="bullet"/>
      <w:lvlText w:val="•"/>
      <w:lvlJc w:val="left"/>
      <w:pPr>
        <w:ind w:left="6602" w:hanging="411"/>
      </w:pPr>
      <w:rPr>
        <w:rFonts w:hint="default"/>
        <w:lang w:val="es-ES" w:eastAsia="en-US" w:bidi="ar-SA"/>
      </w:rPr>
    </w:lvl>
    <w:lvl w:ilvl="6">
      <w:start w:val="0"/>
      <w:numFmt w:val="bullet"/>
      <w:lvlText w:val="•"/>
      <w:lvlJc w:val="left"/>
      <w:pPr>
        <w:ind w:left="7606" w:hanging="411"/>
      </w:pPr>
      <w:rPr>
        <w:rFonts w:hint="default"/>
        <w:lang w:val="es-ES" w:eastAsia="en-US" w:bidi="ar-SA"/>
      </w:rPr>
    </w:lvl>
    <w:lvl w:ilvl="7">
      <w:start w:val="0"/>
      <w:numFmt w:val="bullet"/>
      <w:lvlText w:val="•"/>
      <w:lvlJc w:val="left"/>
      <w:pPr>
        <w:ind w:left="8611" w:hanging="411"/>
      </w:pPr>
      <w:rPr>
        <w:rFonts w:hint="default"/>
        <w:lang w:val="es-ES" w:eastAsia="en-US" w:bidi="ar-SA"/>
      </w:rPr>
    </w:lvl>
    <w:lvl w:ilvl="8">
      <w:start w:val="0"/>
      <w:numFmt w:val="bullet"/>
      <w:lvlText w:val="•"/>
      <w:lvlJc w:val="left"/>
      <w:pPr>
        <w:ind w:left="9615" w:hanging="411"/>
      </w:pPr>
      <w:rPr>
        <w:rFonts w:hint="default"/>
        <w:lang w:val="es-ES" w:eastAsia="en-US" w:bidi="ar-SA"/>
      </w:rPr>
    </w:lvl>
  </w:abstractNum>
  <w:abstractNum w:abstractNumId="9">
    <w:multiLevelType w:val="hybridMultilevel"/>
    <w:lvl w:ilvl="0">
      <w:start w:val="1"/>
      <w:numFmt w:val="upperLetter"/>
      <w:lvlText w:val="%1)"/>
      <w:lvlJc w:val="left"/>
      <w:pPr>
        <w:ind w:left="1352" w:hanging="360"/>
        <w:jc w:val="left"/>
      </w:pPr>
      <w:rPr>
        <w:rFonts w:hint="default"/>
        <w:spacing w:val="0"/>
        <w:w w:val="100"/>
        <w:lang w:val="es-ES" w:eastAsia="en-US" w:bidi="ar-SA"/>
      </w:rPr>
    </w:lvl>
    <w:lvl w:ilvl="1">
      <w:start w:val="0"/>
      <w:numFmt w:val="bullet"/>
      <w:lvlText w:val="-"/>
      <w:lvlJc w:val="left"/>
      <w:pPr>
        <w:ind w:left="1712" w:hanging="360"/>
      </w:pPr>
      <w:rPr>
        <w:rFonts w:hint="default" w:ascii="Arial" w:hAnsi="Arial" w:eastAsia="Arial" w:cs="Arial"/>
        <w:spacing w:val="0"/>
        <w:w w:val="100"/>
        <w:lang w:val="es-ES" w:eastAsia="en-US" w:bidi="ar-SA"/>
      </w:rPr>
    </w:lvl>
    <w:lvl w:ilvl="2">
      <w:start w:val="0"/>
      <w:numFmt w:val="bullet"/>
      <w:lvlText w:val="•"/>
      <w:lvlJc w:val="left"/>
      <w:pPr>
        <w:ind w:left="1720" w:hanging="360"/>
      </w:pPr>
      <w:rPr>
        <w:rFonts w:hint="default"/>
        <w:lang w:val="es-ES" w:eastAsia="en-US" w:bidi="ar-SA"/>
      </w:rPr>
    </w:lvl>
    <w:lvl w:ilvl="3">
      <w:start w:val="0"/>
      <w:numFmt w:val="bullet"/>
      <w:lvlText w:val="•"/>
      <w:lvlJc w:val="left"/>
      <w:pPr>
        <w:ind w:left="2958" w:hanging="360"/>
      </w:pPr>
      <w:rPr>
        <w:rFonts w:hint="default"/>
        <w:lang w:val="es-ES" w:eastAsia="en-US" w:bidi="ar-SA"/>
      </w:rPr>
    </w:lvl>
    <w:lvl w:ilvl="4">
      <w:start w:val="0"/>
      <w:numFmt w:val="bullet"/>
      <w:lvlText w:val="•"/>
      <w:lvlJc w:val="left"/>
      <w:pPr>
        <w:ind w:left="4196" w:hanging="360"/>
      </w:pPr>
      <w:rPr>
        <w:rFonts w:hint="default"/>
        <w:lang w:val="es-ES" w:eastAsia="en-US" w:bidi="ar-SA"/>
      </w:rPr>
    </w:lvl>
    <w:lvl w:ilvl="5">
      <w:start w:val="0"/>
      <w:numFmt w:val="bullet"/>
      <w:lvlText w:val="•"/>
      <w:lvlJc w:val="left"/>
      <w:pPr>
        <w:ind w:left="5434" w:hanging="360"/>
      </w:pPr>
      <w:rPr>
        <w:rFonts w:hint="default"/>
        <w:lang w:val="es-ES" w:eastAsia="en-US" w:bidi="ar-SA"/>
      </w:rPr>
    </w:lvl>
    <w:lvl w:ilvl="6">
      <w:start w:val="0"/>
      <w:numFmt w:val="bullet"/>
      <w:lvlText w:val="•"/>
      <w:lvlJc w:val="left"/>
      <w:pPr>
        <w:ind w:left="6672" w:hanging="360"/>
      </w:pPr>
      <w:rPr>
        <w:rFonts w:hint="default"/>
        <w:lang w:val="es-ES" w:eastAsia="en-US" w:bidi="ar-SA"/>
      </w:rPr>
    </w:lvl>
    <w:lvl w:ilvl="7">
      <w:start w:val="0"/>
      <w:numFmt w:val="bullet"/>
      <w:lvlText w:val="•"/>
      <w:lvlJc w:val="left"/>
      <w:pPr>
        <w:ind w:left="7910" w:hanging="360"/>
      </w:pPr>
      <w:rPr>
        <w:rFonts w:hint="default"/>
        <w:lang w:val="es-ES" w:eastAsia="en-US" w:bidi="ar-SA"/>
      </w:rPr>
    </w:lvl>
    <w:lvl w:ilvl="8">
      <w:start w:val="0"/>
      <w:numFmt w:val="bullet"/>
      <w:lvlText w:val="•"/>
      <w:lvlJc w:val="left"/>
      <w:pPr>
        <w:ind w:left="9148" w:hanging="360"/>
      </w:pPr>
      <w:rPr>
        <w:rFonts w:hint="default"/>
        <w:lang w:val="es-ES" w:eastAsia="en-US" w:bidi="ar-SA"/>
      </w:rPr>
    </w:lvl>
  </w:abstractNum>
  <w:abstractNum w:abstractNumId="8">
    <w:multiLevelType w:val="hybridMultilevel"/>
    <w:lvl w:ilvl="0">
      <w:start w:val="1"/>
      <w:numFmt w:val="decimal"/>
      <w:lvlText w:val="%1."/>
      <w:lvlJc w:val="left"/>
      <w:pPr>
        <w:ind w:left="1349" w:hanging="358"/>
        <w:jc w:val="left"/>
      </w:pPr>
      <w:rPr>
        <w:rFonts w:hint="default" w:ascii="Arial" w:hAnsi="Arial" w:eastAsia="Arial" w:cs="Arial"/>
        <w:b w:val="0"/>
        <w:bCs w:val="0"/>
        <w:i w:val="0"/>
        <w:iCs w:val="0"/>
        <w:spacing w:val="-1"/>
        <w:w w:val="100"/>
        <w:sz w:val="22"/>
        <w:szCs w:val="22"/>
        <w:lang w:val="es-ES" w:eastAsia="en-US" w:bidi="ar-SA"/>
      </w:rPr>
    </w:lvl>
    <w:lvl w:ilvl="1">
      <w:start w:val="0"/>
      <w:numFmt w:val="bullet"/>
      <w:lvlText w:val="•"/>
      <w:lvlJc w:val="left"/>
      <w:pPr>
        <w:ind w:left="2368" w:hanging="358"/>
      </w:pPr>
      <w:rPr>
        <w:rFonts w:hint="default"/>
        <w:lang w:val="es-ES" w:eastAsia="en-US" w:bidi="ar-SA"/>
      </w:rPr>
    </w:lvl>
    <w:lvl w:ilvl="2">
      <w:start w:val="0"/>
      <w:numFmt w:val="bullet"/>
      <w:lvlText w:val="•"/>
      <w:lvlJc w:val="left"/>
      <w:pPr>
        <w:ind w:left="3396" w:hanging="358"/>
      </w:pPr>
      <w:rPr>
        <w:rFonts w:hint="default"/>
        <w:lang w:val="es-ES" w:eastAsia="en-US" w:bidi="ar-SA"/>
      </w:rPr>
    </w:lvl>
    <w:lvl w:ilvl="3">
      <w:start w:val="0"/>
      <w:numFmt w:val="bullet"/>
      <w:lvlText w:val="•"/>
      <w:lvlJc w:val="left"/>
      <w:pPr>
        <w:ind w:left="4425" w:hanging="358"/>
      </w:pPr>
      <w:rPr>
        <w:rFonts w:hint="default"/>
        <w:lang w:val="es-ES" w:eastAsia="en-US" w:bidi="ar-SA"/>
      </w:rPr>
    </w:lvl>
    <w:lvl w:ilvl="4">
      <w:start w:val="0"/>
      <w:numFmt w:val="bullet"/>
      <w:lvlText w:val="•"/>
      <w:lvlJc w:val="left"/>
      <w:pPr>
        <w:ind w:left="5453" w:hanging="358"/>
      </w:pPr>
      <w:rPr>
        <w:rFonts w:hint="default"/>
        <w:lang w:val="es-ES" w:eastAsia="en-US" w:bidi="ar-SA"/>
      </w:rPr>
    </w:lvl>
    <w:lvl w:ilvl="5">
      <w:start w:val="0"/>
      <w:numFmt w:val="bullet"/>
      <w:lvlText w:val="•"/>
      <w:lvlJc w:val="left"/>
      <w:pPr>
        <w:ind w:left="6482" w:hanging="358"/>
      </w:pPr>
      <w:rPr>
        <w:rFonts w:hint="default"/>
        <w:lang w:val="es-ES" w:eastAsia="en-US" w:bidi="ar-SA"/>
      </w:rPr>
    </w:lvl>
    <w:lvl w:ilvl="6">
      <w:start w:val="0"/>
      <w:numFmt w:val="bullet"/>
      <w:lvlText w:val="•"/>
      <w:lvlJc w:val="left"/>
      <w:pPr>
        <w:ind w:left="7510" w:hanging="358"/>
      </w:pPr>
      <w:rPr>
        <w:rFonts w:hint="default"/>
        <w:lang w:val="es-ES" w:eastAsia="en-US" w:bidi="ar-SA"/>
      </w:rPr>
    </w:lvl>
    <w:lvl w:ilvl="7">
      <w:start w:val="0"/>
      <w:numFmt w:val="bullet"/>
      <w:lvlText w:val="•"/>
      <w:lvlJc w:val="left"/>
      <w:pPr>
        <w:ind w:left="8539" w:hanging="358"/>
      </w:pPr>
      <w:rPr>
        <w:rFonts w:hint="default"/>
        <w:lang w:val="es-ES" w:eastAsia="en-US" w:bidi="ar-SA"/>
      </w:rPr>
    </w:lvl>
    <w:lvl w:ilvl="8">
      <w:start w:val="0"/>
      <w:numFmt w:val="bullet"/>
      <w:lvlText w:val="•"/>
      <w:lvlJc w:val="left"/>
      <w:pPr>
        <w:ind w:left="9567" w:hanging="358"/>
      </w:pPr>
      <w:rPr>
        <w:rFonts w:hint="default"/>
        <w:lang w:val="es-ES" w:eastAsia="en-US" w:bidi="ar-SA"/>
      </w:rPr>
    </w:lvl>
  </w:abstractNum>
  <w:abstractNum w:abstractNumId="7">
    <w:multiLevelType w:val="hybridMultilevel"/>
    <w:lvl w:ilvl="0">
      <w:start w:val="1"/>
      <w:numFmt w:val="lowerLetter"/>
      <w:lvlText w:val="%1)"/>
      <w:lvlJc w:val="left"/>
      <w:pPr>
        <w:ind w:left="1352" w:hanging="360"/>
        <w:jc w:val="left"/>
      </w:pPr>
      <w:rPr>
        <w:rFonts w:hint="default" w:ascii="Arial" w:hAnsi="Arial" w:eastAsia="Arial" w:cs="Arial"/>
        <w:b w:val="0"/>
        <w:bCs w:val="0"/>
        <w:i w:val="0"/>
        <w:iCs w:val="0"/>
        <w:spacing w:val="-1"/>
        <w:w w:val="100"/>
        <w:sz w:val="22"/>
        <w:szCs w:val="22"/>
        <w:lang w:val="es-ES" w:eastAsia="en-US" w:bidi="ar-SA"/>
      </w:rPr>
    </w:lvl>
    <w:lvl w:ilvl="1">
      <w:start w:val="0"/>
      <w:numFmt w:val="bullet"/>
      <w:lvlText w:val="•"/>
      <w:lvlJc w:val="left"/>
      <w:pPr>
        <w:ind w:left="2386" w:hanging="360"/>
      </w:pPr>
      <w:rPr>
        <w:rFonts w:hint="default"/>
        <w:lang w:val="es-ES" w:eastAsia="en-US" w:bidi="ar-SA"/>
      </w:rPr>
    </w:lvl>
    <w:lvl w:ilvl="2">
      <w:start w:val="0"/>
      <w:numFmt w:val="bullet"/>
      <w:lvlText w:val="•"/>
      <w:lvlJc w:val="left"/>
      <w:pPr>
        <w:ind w:left="3412" w:hanging="360"/>
      </w:pPr>
      <w:rPr>
        <w:rFonts w:hint="default"/>
        <w:lang w:val="es-ES" w:eastAsia="en-US" w:bidi="ar-SA"/>
      </w:rPr>
    </w:lvl>
    <w:lvl w:ilvl="3">
      <w:start w:val="0"/>
      <w:numFmt w:val="bullet"/>
      <w:lvlText w:val="•"/>
      <w:lvlJc w:val="left"/>
      <w:pPr>
        <w:ind w:left="4439" w:hanging="360"/>
      </w:pPr>
      <w:rPr>
        <w:rFonts w:hint="default"/>
        <w:lang w:val="es-ES" w:eastAsia="en-US" w:bidi="ar-SA"/>
      </w:rPr>
    </w:lvl>
    <w:lvl w:ilvl="4">
      <w:start w:val="0"/>
      <w:numFmt w:val="bullet"/>
      <w:lvlText w:val="•"/>
      <w:lvlJc w:val="left"/>
      <w:pPr>
        <w:ind w:left="5465" w:hanging="360"/>
      </w:pPr>
      <w:rPr>
        <w:rFonts w:hint="default"/>
        <w:lang w:val="es-ES" w:eastAsia="en-US" w:bidi="ar-SA"/>
      </w:rPr>
    </w:lvl>
    <w:lvl w:ilvl="5">
      <w:start w:val="0"/>
      <w:numFmt w:val="bullet"/>
      <w:lvlText w:val="•"/>
      <w:lvlJc w:val="left"/>
      <w:pPr>
        <w:ind w:left="6492" w:hanging="360"/>
      </w:pPr>
      <w:rPr>
        <w:rFonts w:hint="default"/>
        <w:lang w:val="es-ES" w:eastAsia="en-US" w:bidi="ar-SA"/>
      </w:rPr>
    </w:lvl>
    <w:lvl w:ilvl="6">
      <w:start w:val="0"/>
      <w:numFmt w:val="bullet"/>
      <w:lvlText w:val="•"/>
      <w:lvlJc w:val="left"/>
      <w:pPr>
        <w:ind w:left="7518" w:hanging="360"/>
      </w:pPr>
      <w:rPr>
        <w:rFonts w:hint="default"/>
        <w:lang w:val="es-ES" w:eastAsia="en-US" w:bidi="ar-SA"/>
      </w:rPr>
    </w:lvl>
    <w:lvl w:ilvl="7">
      <w:start w:val="0"/>
      <w:numFmt w:val="bullet"/>
      <w:lvlText w:val="•"/>
      <w:lvlJc w:val="left"/>
      <w:pPr>
        <w:ind w:left="8545" w:hanging="360"/>
      </w:pPr>
      <w:rPr>
        <w:rFonts w:hint="default"/>
        <w:lang w:val="es-ES" w:eastAsia="en-US" w:bidi="ar-SA"/>
      </w:rPr>
    </w:lvl>
    <w:lvl w:ilvl="8">
      <w:start w:val="0"/>
      <w:numFmt w:val="bullet"/>
      <w:lvlText w:val="•"/>
      <w:lvlJc w:val="left"/>
      <w:pPr>
        <w:ind w:left="9571" w:hanging="360"/>
      </w:pPr>
      <w:rPr>
        <w:rFonts w:hint="default"/>
        <w:lang w:val="es-ES" w:eastAsia="en-US" w:bidi="ar-SA"/>
      </w:rPr>
    </w:lvl>
  </w:abstractNum>
  <w:abstractNum w:abstractNumId="6">
    <w:multiLevelType w:val="hybridMultilevel"/>
    <w:lvl w:ilvl="0">
      <w:start w:val="2"/>
      <w:numFmt w:val="upperRoman"/>
      <w:lvlText w:val="%1"/>
      <w:lvlJc w:val="left"/>
      <w:pPr>
        <w:ind w:left="1856" w:hanging="857"/>
        <w:jc w:val="left"/>
      </w:pPr>
      <w:rPr>
        <w:rFonts w:hint="default"/>
        <w:lang w:val="es-ES" w:eastAsia="en-US" w:bidi="ar-SA"/>
      </w:rPr>
    </w:lvl>
    <w:lvl w:ilvl="1">
      <w:start w:val="5"/>
      <w:numFmt w:val="decimal"/>
      <w:lvlText w:val="%1.%2"/>
      <w:lvlJc w:val="left"/>
      <w:pPr>
        <w:ind w:left="1856" w:hanging="857"/>
        <w:jc w:val="left"/>
      </w:pPr>
      <w:rPr>
        <w:rFonts w:hint="default"/>
        <w:lang w:val="es-ES" w:eastAsia="en-US" w:bidi="ar-SA"/>
      </w:rPr>
    </w:lvl>
    <w:lvl w:ilvl="2">
      <w:start w:val="1"/>
      <w:numFmt w:val="decimal"/>
      <w:lvlText w:val="%1.%2.%3"/>
      <w:lvlJc w:val="left"/>
      <w:pPr>
        <w:ind w:left="1856" w:hanging="857"/>
        <w:jc w:val="left"/>
      </w:pPr>
      <w:rPr>
        <w:rFonts w:hint="default"/>
        <w:lang w:val="es-ES" w:eastAsia="en-US" w:bidi="ar-SA"/>
      </w:rPr>
    </w:lvl>
    <w:lvl w:ilvl="3">
      <w:start w:val="1"/>
      <w:numFmt w:val="decimal"/>
      <w:lvlText w:val="%1.%2.%3.%4."/>
      <w:lvlJc w:val="left"/>
      <w:pPr>
        <w:ind w:left="1856" w:hanging="857"/>
        <w:jc w:val="left"/>
      </w:pPr>
      <w:rPr>
        <w:rFonts w:hint="default" w:ascii="Arial" w:hAnsi="Arial" w:eastAsia="Arial" w:cs="Arial"/>
        <w:b w:val="0"/>
        <w:bCs w:val="0"/>
        <w:i w:val="0"/>
        <w:iCs w:val="0"/>
        <w:spacing w:val="-3"/>
        <w:w w:val="100"/>
        <w:sz w:val="22"/>
        <w:szCs w:val="22"/>
        <w:lang w:val="es-ES" w:eastAsia="en-US" w:bidi="ar-SA"/>
      </w:rPr>
    </w:lvl>
    <w:lvl w:ilvl="4">
      <w:start w:val="0"/>
      <w:numFmt w:val="bullet"/>
      <w:lvlText w:val="•"/>
      <w:lvlJc w:val="left"/>
      <w:pPr>
        <w:ind w:left="5765" w:hanging="857"/>
      </w:pPr>
      <w:rPr>
        <w:rFonts w:hint="default"/>
        <w:lang w:val="es-ES" w:eastAsia="en-US" w:bidi="ar-SA"/>
      </w:rPr>
    </w:lvl>
    <w:lvl w:ilvl="5">
      <w:start w:val="0"/>
      <w:numFmt w:val="bullet"/>
      <w:lvlText w:val="•"/>
      <w:lvlJc w:val="left"/>
      <w:pPr>
        <w:ind w:left="6742" w:hanging="857"/>
      </w:pPr>
      <w:rPr>
        <w:rFonts w:hint="default"/>
        <w:lang w:val="es-ES" w:eastAsia="en-US" w:bidi="ar-SA"/>
      </w:rPr>
    </w:lvl>
    <w:lvl w:ilvl="6">
      <w:start w:val="0"/>
      <w:numFmt w:val="bullet"/>
      <w:lvlText w:val="•"/>
      <w:lvlJc w:val="left"/>
      <w:pPr>
        <w:ind w:left="7718" w:hanging="857"/>
      </w:pPr>
      <w:rPr>
        <w:rFonts w:hint="default"/>
        <w:lang w:val="es-ES" w:eastAsia="en-US" w:bidi="ar-SA"/>
      </w:rPr>
    </w:lvl>
    <w:lvl w:ilvl="7">
      <w:start w:val="0"/>
      <w:numFmt w:val="bullet"/>
      <w:lvlText w:val="•"/>
      <w:lvlJc w:val="left"/>
      <w:pPr>
        <w:ind w:left="8695" w:hanging="857"/>
      </w:pPr>
      <w:rPr>
        <w:rFonts w:hint="default"/>
        <w:lang w:val="es-ES" w:eastAsia="en-US" w:bidi="ar-SA"/>
      </w:rPr>
    </w:lvl>
    <w:lvl w:ilvl="8">
      <w:start w:val="0"/>
      <w:numFmt w:val="bullet"/>
      <w:lvlText w:val="•"/>
      <w:lvlJc w:val="left"/>
      <w:pPr>
        <w:ind w:left="9671" w:hanging="857"/>
      </w:pPr>
      <w:rPr>
        <w:rFonts w:hint="default"/>
        <w:lang w:val="es-ES" w:eastAsia="en-US" w:bidi="ar-SA"/>
      </w:rPr>
    </w:lvl>
  </w:abstractNum>
  <w:abstractNum w:abstractNumId="5">
    <w:multiLevelType w:val="hybridMultilevel"/>
    <w:lvl w:ilvl="0">
      <w:start w:val="0"/>
      <w:numFmt w:val="bullet"/>
      <w:lvlText w:val="✓"/>
      <w:lvlJc w:val="left"/>
      <w:pPr>
        <w:ind w:left="2725" w:hanging="248"/>
      </w:pPr>
      <w:rPr>
        <w:rFonts w:hint="default" w:ascii="Segoe UI Symbol" w:hAnsi="Segoe UI Symbol" w:eastAsia="Segoe UI Symbol" w:cs="Segoe UI Symbol"/>
        <w:b/>
        <w:bCs/>
        <w:i w:val="0"/>
        <w:iCs w:val="0"/>
        <w:color w:val="46894A"/>
        <w:spacing w:val="0"/>
        <w:w w:val="99"/>
        <w:sz w:val="24"/>
        <w:szCs w:val="24"/>
        <w:lang w:val="es-ES" w:eastAsia="en-US" w:bidi="ar-SA"/>
      </w:rPr>
    </w:lvl>
    <w:lvl w:ilvl="1">
      <w:start w:val="0"/>
      <w:numFmt w:val="bullet"/>
      <w:lvlText w:val="•"/>
      <w:lvlJc w:val="left"/>
      <w:pPr>
        <w:ind w:left="3610" w:hanging="248"/>
      </w:pPr>
      <w:rPr>
        <w:rFonts w:hint="default"/>
        <w:lang w:val="es-ES" w:eastAsia="en-US" w:bidi="ar-SA"/>
      </w:rPr>
    </w:lvl>
    <w:lvl w:ilvl="2">
      <w:start w:val="0"/>
      <w:numFmt w:val="bullet"/>
      <w:lvlText w:val="•"/>
      <w:lvlJc w:val="left"/>
      <w:pPr>
        <w:ind w:left="4500" w:hanging="248"/>
      </w:pPr>
      <w:rPr>
        <w:rFonts w:hint="default"/>
        <w:lang w:val="es-ES" w:eastAsia="en-US" w:bidi="ar-SA"/>
      </w:rPr>
    </w:lvl>
    <w:lvl w:ilvl="3">
      <w:start w:val="0"/>
      <w:numFmt w:val="bullet"/>
      <w:lvlText w:val="•"/>
      <w:lvlJc w:val="left"/>
      <w:pPr>
        <w:ind w:left="5391" w:hanging="248"/>
      </w:pPr>
      <w:rPr>
        <w:rFonts w:hint="default"/>
        <w:lang w:val="es-ES" w:eastAsia="en-US" w:bidi="ar-SA"/>
      </w:rPr>
    </w:lvl>
    <w:lvl w:ilvl="4">
      <w:start w:val="0"/>
      <w:numFmt w:val="bullet"/>
      <w:lvlText w:val="•"/>
      <w:lvlJc w:val="left"/>
      <w:pPr>
        <w:ind w:left="6281" w:hanging="248"/>
      </w:pPr>
      <w:rPr>
        <w:rFonts w:hint="default"/>
        <w:lang w:val="es-ES" w:eastAsia="en-US" w:bidi="ar-SA"/>
      </w:rPr>
    </w:lvl>
    <w:lvl w:ilvl="5">
      <w:start w:val="0"/>
      <w:numFmt w:val="bullet"/>
      <w:lvlText w:val="•"/>
      <w:lvlJc w:val="left"/>
      <w:pPr>
        <w:ind w:left="7172" w:hanging="248"/>
      </w:pPr>
      <w:rPr>
        <w:rFonts w:hint="default"/>
        <w:lang w:val="es-ES" w:eastAsia="en-US" w:bidi="ar-SA"/>
      </w:rPr>
    </w:lvl>
    <w:lvl w:ilvl="6">
      <w:start w:val="0"/>
      <w:numFmt w:val="bullet"/>
      <w:lvlText w:val="•"/>
      <w:lvlJc w:val="left"/>
      <w:pPr>
        <w:ind w:left="8062" w:hanging="248"/>
      </w:pPr>
      <w:rPr>
        <w:rFonts w:hint="default"/>
        <w:lang w:val="es-ES" w:eastAsia="en-US" w:bidi="ar-SA"/>
      </w:rPr>
    </w:lvl>
    <w:lvl w:ilvl="7">
      <w:start w:val="0"/>
      <w:numFmt w:val="bullet"/>
      <w:lvlText w:val="•"/>
      <w:lvlJc w:val="left"/>
      <w:pPr>
        <w:ind w:left="8953" w:hanging="248"/>
      </w:pPr>
      <w:rPr>
        <w:rFonts w:hint="default"/>
        <w:lang w:val="es-ES" w:eastAsia="en-US" w:bidi="ar-SA"/>
      </w:rPr>
    </w:lvl>
    <w:lvl w:ilvl="8">
      <w:start w:val="0"/>
      <w:numFmt w:val="bullet"/>
      <w:lvlText w:val="•"/>
      <w:lvlJc w:val="left"/>
      <w:pPr>
        <w:ind w:left="9843" w:hanging="248"/>
      </w:pPr>
      <w:rPr>
        <w:rFonts w:hint="default"/>
        <w:lang w:val="es-ES" w:eastAsia="en-US" w:bidi="ar-SA"/>
      </w:rPr>
    </w:lvl>
  </w:abstractNum>
  <w:abstractNum w:abstractNumId="4">
    <w:multiLevelType w:val="hybridMultilevel"/>
    <w:lvl w:ilvl="0">
      <w:start w:val="0"/>
      <w:numFmt w:val="bullet"/>
      <w:lvlText w:val="-"/>
      <w:lvlJc w:val="left"/>
      <w:pPr>
        <w:ind w:left="1162" w:hanging="171"/>
      </w:pPr>
      <w:rPr>
        <w:rFonts w:hint="default" w:ascii="Arial Narrow" w:hAnsi="Arial Narrow" w:eastAsia="Arial Narrow" w:cs="Arial Narrow"/>
        <w:b w:val="0"/>
        <w:bCs w:val="0"/>
        <w:i w:val="0"/>
        <w:iCs w:val="0"/>
        <w:spacing w:val="0"/>
        <w:w w:val="100"/>
        <w:sz w:val="18"/>
        <w:szCs w:val="18"/>
        <w:lang w:val="es-ES" w:eastAsia="en-US" w:bidi="ar-SA"/>
      </w:rPr>
    </w:lvl>
    <w:lvl w:ilvl="1">
      <w:start w:val="0"/>
      <w:numFmt w:val="bullet"/>
      <w:lvlText w:val="•"/>
      <w:lvlJc w:val="left"/>
      <w:pPr>
        <w:ind w:left="2206" w:hanging="171"/>
      </w:pPr>
      <w:rPr>
        <w:rFonts w:hint="default"/>
        <w:lang w:val="es-ES" w:eastAsia="en-US" w:bidi="ar-SA"/>
      </w:rPr>
    </w:lvl>
    <w:lvl w:ilvl="2">
      <w:start w:val="0"/>
      <w:numFmt w:val="bullet"/>
      <w:lvlText w:val="•"/>
      <w:lvlJc w:val="left"/>
      <w:pPr>
        <w:ind w:left="3252" w:hanging="171"/>
      </w:pPr>
      <w:rPr>
        <w:rFonts w:hint="default"/>
        <w:lang w:val="es-ES" w:eastAsia="en-US" w:bidi="ar-SA"/>
      </w:rPr>
    </w:lvl>
    <w:lvl w:ilvl="3">
      <w:start w:val="0"/>
      <w:numFmt w:val="bullet"/>
      <w:lvlText w:val="•"/>
      <w:lvlJc w:val="left"/>
      <w:pPr>
        <w:ind w:left="4299" w:hanging="171"/>
      </w:pPr>
      <w:rPr>
        <w:rFonts w:hint="default"/>
        <w:lang w:val="es-ES" w:eastAsia="en-US" w:bidi="ar-SA"/>
      </w:rPr>
    </w:lvl>
    <w:lvl w:ilvl="4">
      <w:start w:val="0"/>
      <w:numFmt w:val="bullet"/>
      <w:lvlText w:val="•"/>
      <w:lvlJc w:val="left"/>
      <w:pPr>
        <w:ind w:left="5345" w:hanging="171"/>
      </w:pPr>
      <w:rPr>
        <w:rFonts w:hint="default"/>
        <w:lang w:val="es-ES" w:eastAsia="en-US" w:bidi="ar-SA"/>
      </w:rPr>
    </w:lvl>
    <w:lvl w:ilvl="5">
      <w:start w:val="0"/>
      <w:numFmt w:val="bullet"/>
      <w:lvlText w:val="•"/>
      <w:lvlJc w:val="left"/>
      <w:pPr>
        <w:ind w:left="6392" w:hanging="171"/>
      </w:pPr>
      <w:rPr>
        <w:rFonts w:hint="default"/>
        <w:lang w:val="es-ES" w:eastAsia="en-US" w:bidi="ar-SA"/>
      </w:rPr>
    </w:lvl>
    <w:lvl w:ilvl="6">
      <w:start w:val="0"/>
      <w:numFmt w:val="bullet"/>
      <w:lvlText w:val="•"/>
      <w:lvlJc w:val="left"/>
      <w:pPr>
        <w:ind w:left="7438" w:hanging="171"/>
      </w:pPr>
      <w:rPr>
        <w:rFonts w:hint="default"/>
        <w:lang w:val="es-ES" w:eastAsia="en-US" w:bidi="ar-SA"/>
      </w:rPr>
    </w:lvl>
    <w:lvl w:ilvl="7">
      <w:start w:val="0"/>
      <w:numFmt w:val="bullet"/>
      <w:lvlText w:val="•"/>
      <w:lvlJc w:val="left"/>
      <w:pPr>
        <w:ind w:left="8485" w:hanging="171"/>
      </w:pPr>
      <w:rPr>
        <w:rFonts w:hint="default"/>
        <w:lang w:val="es-ES" w:eastAsia="en-US" w:bidi="ar-SA"/>
      </w:rPr>
    </w:lvl>
    <w:lvl w:ilvl="8">
      <w:start w:val="0"/>
      <w:numFmt w:val="bullet"/>
      <w:lvlText w:val="•"/>
      <w:lvlJc w:val="left"/>
      <w:pPr>
        <w:ind w:left="9531" w:hanging="171"/>
      </w:pPr>
      <w:rPr>
        <w:rFonts w:hint="default"/>
        <w:lang w:val="es-ES" w:eastAsia="en-US" w:bidi="ar-SA"/>
      </w:rPr>
    </w:lvl>
  </w:abstractNum>
  <w:abstractNum w:abstractNumId="3">
    <w:multiLevelType w:val="hybridMultilevel"/>
    <w:lvl w:ilvl="0">
      <w:start w:val="0"/>
      <w:numFmt w:val="bullet"/>
      <w:lvlText w:val=""/>
      <w:lvlJc w:val="left"/>
      <w:pPr>
        <w:ind w:left="2432" w:hanging="360"/>
      </w:pPr>
      <w:rPr>
        <w:rFonts w:hint="default" w:ascii="Wingdings" w:hAnsi="Wingdings" w:eastAsia="Wingdings" w:cs="Wingdings"/>
        <w:b w:val="0"/>
        <w:bCs w:val="0"/>
        <w:i w:val="0"/>
        <w:iCs w:val="0"/>
        <w:color w:val="006FC0"/>
        <w:spacing w:val="0"/>
        <w:w w:val="100"/>
        <w:sz w:val="22"/>
        <w:szCs w:val="22"/>
        <w:lang w:val="es-ES" w:eastAsia="en-US" w:bidi="ar-SA"/>
      </w:rPr>
    </w:lvl>
    <w:lvl w:ilvl="1">
      <w:start w:val="0"/>
      <w:numFmt w:val="bullet"/>
      <w:lvlText w:val="•"/>
      <w:lvlJc w:val="left"/>
      <w:pPr>
        <w:ind w:left="3358" w:hanging="360"/>
      </w:pPr>
      <w:rPr>
        <w:rFonts w:hint="default"/>
        <w:lang w:val="es-ES" w:eastAsia="en-US" w:bidi="ar-SA"/>
      </w:rPr>
    </w:lvl>
    <w:lvl w:ilvl="2">
      <w:start w:val="0"/>
      <w:numFmt w:val="bullet"/>
      <w:lvlText w:val="•"/>
      <w:lvlJc w:val="left"/>
      <w:pPr>
        <w:ind w:left="4276" w:hanging="360"/>
      </w:pPr>
      <w:rPr>
        <w:rFonts w:hint="default"/>
        <w:lang w:val="es-ES" w:eastAsia="en-US" w:bidi="ar-SA"/>
      </w:rPr>
    </w:lvl>
    <w:lvl w:ilvl="3">
      <w:start w:val="0"/>
      <w:numFmt w:val="bullet"/>
      <w:lvlText w:val="•"/>
      <w:lvlJc w:val="left"/>
      <w:pPr>
        <w:ind w:left="5195" w:hanging="360"/>
      </w:pPr>
      <w:rPr>
        <w:rFonts w:hint="default"/>
        <w:lang w:val="es-ES" w:eastAsia="en-US" w:bidi="ar-SA"/>
      </w:rPr>
    </w:lvl>
    <w:lvl w:ilvl="4">
      <w:start w:val="0"/>
      <w:numFmt w:val="bullet"/>
      <w:lvlText w:val="•"/>
      <w:lvlJc w:val="left"/>
      <w:pPr>
        <w:ind w:left="6113" w:hanging="360"/>
      </w:pPr>
      <w:rPr>
        <w:rFonts w:hint="default"/>
        <w:lang w:val="es-ES" w:eastAsia="en-US" w:bidi="ar-SA"/>
      </w:rPr>
    </w:lvl>
    <w:lvl w:ilvl="5">
      <w:start w:val="0"/>
      <w:numFmt w:val="bullet"/>
      <w:lvlText w:val="•"/>
      <w:lvlJc w:val="left"/>
      <w:pPr>
        <w:ind w:left="7032" w:hanging="360"/>
      </w:pPr>
      <w:rPr>
        <w:rFonts w:hint="default"/>
        <w:lang w:val="es-ES" w:eastAsia="en-US" w:bidi="ar-SA"/>
      </w:rPr>
    </w:lvl>
    <w:lvl w:ilvl="6">
      <w:start w:val="0"/>
      <w:numFmt w:val="bullet"/>
      <w:lvlText w:val="•"/>
      <w:lvlJc w:val="left"/>
      <w:pPr>
        <w:ind w:left="7950" w:hanging="360"/>
      </w:pPr>
      <w:rPr>
        <w:rFonts w:hint="default"/>
        <w:lang w:val="es-ES" w:eastAsia="en-US" w:bidi="ar-SA"/>
      </w:rPr>
    </w:lvl>
    <w:lvl w:ilvl="7">
      <w:start w:val="0"/>
      <w:numFmt w:val="bullet"/>
      <w:lvlText w:val="•"/>
      <w:lvlJc w:val="left"/>
      <w:pPr>
        <w:ind w:left="8869" w:hanging="360"/>
      </w:pPr>
      <w:rPr>
        <w:rFonts w:hint="default"/>
        <w:lang w:val="es-ES" w:eastAsia="en-US" w:bidi="ar-SA"/>
      </w:rPr>
    </w:lvl>
    <w:lvl w:ilvl="8">
      <w:start w:val="0"/>
      <w:numFmt w:val="bullet"/>
      <w:lvlText w:val="•"/>
      <w:lvlJc w:val="left"/>
      <w:pPr>
        <w:ind w:left="9787" w:hanging="360"/>
      </w:pPr>
      <w:rPr>
        <w:rFonts w:hint="default"/>
        <w:lang w:val="es-ES" w:eastAsia="en-US" w:bidi="ar-SA"/>
      </w:rPr>
    </w:lvl>
  </w:abstractNum>
  <w:abstractNum w:abstractNumId="2">
    <w:multiLevelType w:val="hybridMultilevel"/>
    <w:lvl w:ilvl="0">
      <w:start w:val="1"/>
      <w:numFmt w:val="upperRoman"/>
      <w:lvlText w:val="%1."/>
      <w:lvlJc w:val="left"/>
      <w:pPr>
        <w:ind w:left="1174" w:hanging="183"/>
        <w:jc w:val="left"/>
      </w:pPr>
      <w:rPr>
        <w:rFonts w:hint="default" w:ascii="Arial" w:hAnsi="Arial" w:eastAsia="Arial" w:cs="Arial"/>
        <w:b/>
        <w:bCs/>
        <w:i w:val="0"/>
        <w:iCs w:val="0"/>
        <w:spacing w:val="0"/>
        <w:w w:val="100"/>
        <w:sz w:val="22"/>
        <w:szCs w:val="22"/>
        <w:lang w:val="es-ES" w:eastAsia="en-US" w:bidi="ar-SA"/>
      </w:rPr>
    </w:lvl>
    <w:lvl w:ilvl="1">
      <w:start w:val="1"/>
      <w:numFmt w:val="decimal"/>
      <w:lvlText w:val="%1.%2."/>
      <w:lvlJc w:val="left"/>
      <w:pPr>
        <w:ind w:left="1359" w:hanging="368"/>
        <w:jc w:val="left"/>
      </w:pPr>
      <w:rPr>
        <w:rFonts w:hint="default" w:ascii="Arial" w:hAnsi="Arial" w:eastAsia="Arial" w:cs="Arial"/>
        <w:b/>
        <w:bCs/>
        <w:i w:val="0"/>
        <w:iCs w:val="0"/>
        <w:spacing w:val="-3"/>
        <w:w w:val="100"/>
        <w:sz w:val="22"/>
        <w:szCs w:val="22"/>
        <w:lang w:val="es-ES" w:eastAsia="en-US" w:bidi="ar-SA"/>
      </w:rPr>
    </w:lvl>
    <w:lvl w:ilvl="2">
      <w:start w:val="1"/>
      <w:numFmt w:val="decimal"/>
      <w:lvlText w:val="%1.%2.%3."/>
      <w:lvlJc w:val="left"/>
      <w:pPr>
        <w:ind w:left="1683" w:hanging="550"/>
        <w:jc w:val="left"/>
      </w:pPr>
      <w:rPr>
        <w:rFonts w:hint="default" w:ascii="Arial" w:hAnsi="Arial" w:eastAsia="Arial" w:cs="Arial"/>
        <w:b/>
        <w:bCs/>
        <w:i w:val="0"/>
        <w:iCs w:val="0"/>
        <w:spacing w:val="-3"/>
        <w:w w:val="100"/>
        <w:sz w:val="22"/>
        <w:szCs w:val="22"/>
        <w:lang w:val="es-ES" w:eastAsia="en-US" w:bidi="ar-SA"/>
      </w:rPr>
    </w:lvl>
    <w:lvl w:ilvl="3">
      <w:start w:val="1"/>
      <w:numFmt w:val="decimal"/>
      <w:lvlText w:val="%1.%2.%3.%4."/>
      <w:lvlJc w:val="left"/>
      <w:pPr>
        <w:ind w:left="1786" w:hanging="795"/>
        <w:jc w:val="left"/>
      </w:pPr>
      <w:rPr>
        <w:rFonts w:hint="default" w:ascii="Arial" w:hAnsi="Arial" w:eastAsia="Arial" w:cs="Arial"/>
        <w:b w:val="0"/>
        <w:bCs w:val="0"/>
        <w:i w:val="0"/>
        <w:iCs w:val="0"/>
        <w:spacing w:val="-3"/>
        <w:w w:val="100"/>
        <w:sz w:val="22"/>
        <w:szCs w:val="22"/>
        <w:lang w:val="es-ES" w:eastAsia="en-US" w:bidi="ar-SA"/>
      </w:rPr>
    </w:lvl>
    <w:lvl w:ilvl="4">
      <w:start w:val="0"/>
      <w:numFmt w:val="bullet"/>
      <w:lvlText w:val="-"/>
      <w:lvlJc w:val="left"/>
      <w:pPr>
        <w:ind w:left="1417" w:hanging="360"/>
      </w:pPr>
      <w:rPr>
        <w:rFonts w:hint="default" w:ascii="Arial" w:hAnsi="Arial" w:eastAsia="Arial" w:cs="Arial"/>
        <w:b w:val="0"/>
        <w:bCs w:val="0"/>
        <w:i w:val="0"/>
        <w:iCs w:val="0"/>
        <w:spacing w:val="0"/>
        <w:w w:val="100"/>
        <w:sz w:val="22"/>
        <w:szCs w:val="22"/>
        <w:lang w:val="es-ES" w:eastAsia="en-US" w:bidi="ar-SA"/>
      </w:rPr>
    </w:lvl>
    <w:lvl w:ilvl="5">
      <w:start w:val="0"/>
      <w:numFmt w:val="bullet"/>
      <w:lvlText w:val="•"/>
      <w:lvlJc w:val="left"/>
      <w:pPr>
        <w:ind w:left="1680" w:hanging="360"/>
      </w:pPr>
      <w:rPr>
        <w:rFonts w:hint="default"/>
        <w:lang w:val="es-ES" w:eastAsia="en-US" w:bidi="ar-SA"/>
      </w:rPr>
    </w:lvl>
    <w:lvl w:ilvl="6">
      <w:start w:val="0"/>
      <w:numFmt w:val="bullet"/>
      <w:lvlText w:val="•"/>
      <w:lvlJc w:val="left"/>
      <w:pPr>
        <w:ind w:left="1740" w:hanging="360"/>
      </w:pPr>
      <w:rPr>
        <w:rFonts w:hint="default"/>
        <w:lang w:val="es-ES" w:eastAsia="en-US" w:bidi="ar-SA"/>
      </w:rPr>
    </w:lvl>
    <w:lvl w:ilvl="7">
      <w:start w:val="0"/>
      <w:numFmt w:val="bullet"/>
      <w:lvlText w:val="•"/>
      <w:lvlJc w:val="left"/>
      <w:pPr>
        <w:ind w:left="1780" w:hanging="360"/>
      </w:pPr>
      <w:rPr>
        <w:rFonts w:hint="default"/>
        <w:lang w:val="es-ES" w:eastAsia="en-US" w:bidi="ar-SA"/>
      </w:rPr>
    </w:lvl>
    <w:lvl w:ilvl="8">
      <w:start w:val="0"/>
      <w:numFmt w:val="bullet"/>
      <w:lvlText w:val="•"/>
      <w:lvlJc w:val="left"/>
      <w:pPr>
        <w:ind w:left="1860" w:hanging="360"/>
      </w:pPr>
      <w:rPr>
        <w:rFonts w:hint="default"/>
        <w:lang w:val="es-ES" w:eastAsia="en-US" w:bidi="ar-SA"/>
      </w:rPr>
    </w:lvl>
  </w:abstractNum>
  <w:abstractNum w:abstractNumId="1">
    <w:multiLevelType w:val="hybridMultilevel"/>
    <w:lvl w:ilvl="0">
      <w:start w:val="3"/>
      <w:numFmt w:val="upperRoman"/>
      <w:lvlText w:val="%1"/>
      <w:lvlJc w:val="left"/>
      <w:pPr>
        <w:ind w:left="1704" w:hanging="492"/>
        <w:jc w:val="left"/>
      </w:pPr>
      <w:rPr>
        <w:rFonts w:hint="default"/>
        <w:lang w:val="es-ES" w:eastAsia="en-US" w:bidi="ar-SA"/>
      </w:rPr>
    </w:lvl>
    <w:lvl w:ilvl="1">
      <w:start w:val="2"/>
      <w:numFmt w:val="decimal"/>
      <w:lvlText w:val="%1.%2."/>
      <w:lvlJc w:val="left"/>
      <w:pPr>
        <w:ind w:left="1704" w:hanging="492"/>
        <w:jc w:val="left"/>
      </w:pPr>
      <w:rPr>
        <w:rFonts w:hint="default" w:ascii="Arial" w:hAnsi="Arial" w:eastAsia="Arial" w:cs="Arial"/>
        <w:b/>
        <w:bCs/>
        <w:i w:val="0"/>
        <w:iCs w:val="0"/>
        <w:spacing w:val="-3"/>
        <w:w w:val="100"/>
        <w:sz w:val="22"/>
        <w:szCs w:val="22"/>
        <w:lang w:val="es-ES" w:eastAsia="en-US" w:bidi="ar-SA"/>
      </w:rPr>
    </w:lvl>
    <w:lvl w:ilvl="2">
      <w:start w:val="0"/>
      <w:numFmt w:val="bullet"/>
      <w:lvlText w:val="•"/>
      <w:lvlJc w:val="left"/>
      <w:pPr>
        <w:ind w:left="3684" w:hanging="492"/>
      </w:pPr>
      <w:rPr>
        <w:rFonts w:hint="default"/>
        <w:lang w:val="es-ES" w:eastAsia="en-US" w:bidi="ar-SA"/>
      </w:rPr>
    </w:lvl>
    <w:lvl w:ilvl="3">
      <w:start w:val="0"/>
      <w:numFmt w:val="bullet"/>
      <w:lvlText w:val="•"/>
      <w:lvlJc w:val="left"/>
      <w:pPr>
        <w:ind w:left="4677" w:hanging="492"/>
      </w:pPr>
      <w:rPr>
        <w:rFonts w:hint="default"/>
        <w:lang w:val="es-ES" w:eastAsia="en-US" w:bidi="ar-SA"/>
      </w:rPr>
    </w:lvl>
    <w:lvl w:ilvl="4">
      <w:start w:val="0"/>
      <w:numFmt w:val="bullet"/>
      <w:lvlText w:val="•"/>
      <w:lvlJc w:val="left"/>
      <w:pPr>
        <w:ind w:left="5669" w:hanging="492"/>
      </w:pPr>
      <w:rPr>
        <w:rFonts w:hint="default"/>
        <w:lang w:val="es-ES" w:eastAsia="en-US" w:bidi="ar-SA"/>
      </w:rPr>
    </w:lvl>
    <w:lvl w:ilvl="5">
      <w:start w:val="0"/>
      <w:numFmt w:val="bullet"/>
      <w:lvlText w:val="•"/>
      <w:lvlJc w:val="left"/>
      <w:pPr>
        <w:ind w:left="6662" w:hanging="492"/>
      </w:pPr>
      <w:rPr>
        <w:rFonts w:hint="default"/>
        <w:lang w:val="es-ES" w:eastAsia="en-US" w:bidi="ar-SA"/>
      </w:rPr>
    </w:lvl>
    <w:lvl w:ilvl="6">
      <w:start w:val="0"/>
      <w:numFmt w:val="bullet"/>
      <w:lvlText w:val="•"/>
      <w:lvlJc w:val="left"/>
      <w:pPr>
        <w:ind w:left="7654" w:hanging="492"/>
      </w:pPr>
      <w:rPr>
        <w:rFonts w:hint="default"/>
        <w:lang w:val="es-ES" w:eastAsia="en-US" w:bidi="ar-SA"/>
      </w:rPr>
    </w:lvl>
    <w:lvl w:ilvl="7">
      <w:start w:val="0"/>
      <w:numFmt w:val="bullet"/>
      <w:lvlText w:val="•"/>
      <w:lvlJc w:val="left"/>
      <w:pPr>
        <w:ind w:left="8647" w:hanging="492"/>
      </w:pPr>
      <w:rPr>
        <w:rFonts w:hint="default"/>
        <w:lang w:val="es-ES" w:eastAsia="en-US" w:bidi="ar-SA"/>
      </w:rPr>
    </w:lvl>
    <w:lvl w:ilvl="8">
      <w:start w:val="0"/>
      <w:numFmt w:val="bullet"/>
      <w:lvlText w:val="•"/>
      <w:lvlJc w:val="left"/>
      <w:pPr>
        <w:ind w:left="9639" w:hanging="492"/>
      </w:pPr>
      <w:rPr>
        <w:rFonts w:hint="default"/>
        <w:lang w:val="es-ES" w:eastAsia="en-US" w:bidi="ar-SA"/>
      </w:rPr>
    </w:lvl>
  </w:abstractNum>
  <w:abstractNum w:abstractNumId="0">
    <w:multiLevelType w:val="hybridMultilevel"/>
    <w:lvl w:ilvl="0">
      <w:start w:val="1"/>
      <w:numFmt w:val="upperRoman"/>
      <w:lvlText w:val="%1."/>
      <w:lvlJc w:val="left"/>
      <w:pPr>
        <w:ind w:left="1404" w:hanging="185"/>
        <w:jc w:val="left"/>
      </w:pPr>
      <w:rPr>
        <w:rFonts w:hint="default" w:ascii="Arial" w:hAnsi="Arial" w:eastAsia="Arial" w:cs="Arial"/>
        <w:b/>
        <w:bCs/>
        <w:i w:val="0"/>
        <w:iCs w:val="0"/>
        <w:spacing w:val="0"/>
        <w:w w:val="100"/>
        <w:sz w:val="22"/>
        <w:szCs w:val="22"/>
        <w:lang w:val="es-ES" w:eastAsia="en-US" w:bidi="ar-SA"/>
      </w:rPr>
    </w:lvl>
    <w:lvl w:ilvl="1">
      <w:start w:val="1"/>
      <w:numFmt w:val="decimal"/>
      <w:lvlText w:val="%1.%2."/>
      <w:lvlJc w:val="left"/>
      <w:pPr>
        <w:ind w:left="1579" w:hanging="367"/>
        <w:jc w:val="left"/>
      </w:pPr>
      <w:rPr>
        <w:rFonts w:hint="default" w:ascii="Arial" w:hAnsi="Arial" w:eastAsia="Arial" w:cs="Arial"/>
        <w:b/>
        <w:bCs/>
        <w:i w:val="0"/>
        <w:iCs w:val="0"/>
        <w:spacing w:val="-3"/>
        <w:w w:val="100"/>
        <w:sz w:val="22"/>
        <w:szCs w:val="22"/>
        <w:lang w:val="es-ES" w:eastAsia="en-US" w:bidi="ar-SA"/>
      </w:rPr>
    </w:lvl>
    <w:lvl w:ilvl="2">
      <w:start w:val="1"/>
      <w:numFmt w:val="decimal"/>
      <w:lvlText w:val="%1.%2.%3."/>
      <w:lvlJc w:val="left"/>
      <w:pPr>
        <w:ind w:left="1997" w:hanging="552"/>
        <w:jc w:val="left"/>
      </w:pPr>
      <w:rPr>
        <w:rFonts w:hint="default" w:ascii="Arial" w:hAnsi="Arial" w:eastAsia="Arial" w:cs="Arial"/>
        <w:b w:val="0"/>
        <w:bCs w:val="0"/>
        <w:i w:val="0"/>
        <w:iCs w:val="0"/>
        <w:spacing w:val="-3"/>
        <w:w w:val="100"/>
        <w:sz w:val="22"/>
        <w:szCs w:val="22"/>
        <w:lang w:val="es-ES" w:eastAsia="en-US" w:bidi="ar-SA"/>
      </w:rPr>
    </w:lvl>
    <w:lvl w:ilvl="3">
      <w:start w:val="0"/>
      <w:numFmt w:val="bullet"/>
      <w:lvlText w:val="•"/>
      <w:lvlJc w:val="left"/>
      <w:pPr>
        <w:ind w:left="1700" w:hanging="552"/>
      </w:pPr>
      <w:rPr>
        <w:rFonts w:hint="default"/>
        <w:lang w:val="es-ES" w:eastAsia="en-US" w:bidi="ar-SA"/>
      </w:rPr>
    </w:lvl>
    <w:lvl w:ilvl="4">
      <w:start w:val="0"/>
      <w:numFmt w:val="bullet"/>
      <w:lvlText w:val="•"/>
      <w:lvlJc w:val="left"/>
      <w:pPr>
        <w:ind w:left="2000" w:hanging="552"/>
      </w:pPr>
      <w:rPr>
        <w:rFonts w:hint="default"/>
        <w:lang w:val="es-ES" w:eastAsia="en-US" w:bidi="ar-SA"/>
      </w:rPr>
    </w:lvl>
    <w:lvl w:ilvl="5">
      <w:start w:val="0"/>
      <w:numFmt w:val="bullet"/>
      <w:lvlText w:val="•"/>
      <w:lvlJc w:val="left"/>
      <w:pPr>
        <w:ind w:left="2060" w:hanging="552"/>
      </w:pPr>
      <w:rPr>
        <w:rFonts w:hint="default"/>
        <w:lang w:val="es-ES" w:eastAsia="en-US" w:bidi="ar-SA"/>
      </w:rPr>
    </w:lvl>
    <w:lvl w:ilvl="6">
      <w:start w:val="0"/>
      <w:numFmt w:val="bullet"/>
      <w:lvlText w:val="•"/>
      <w:lvlJc w:val="left"/>
      <w:pPr>
        <w:ind w:left="3972" w:hanging="552"/>
      </w:pPr>
      <w:rPr>
        <w:rFonts w:hint="default"/>
        <w:lang w:val="es-ES" w:eastAsia="en-US" w:bidi="ar-SA"/>
      </w:rPr>
    </w:lvl>
    <w:lvl w:ilvl="7">
      <w:start w:val="0"/>
      <w:numFmt w:val="bullet"/>
      <w:lvlText w:val="•"/>
      <w:lvlJc w:val="left"/>
      <w:pPr>
        <w:ind w:left="5885" w:hanging="552"/>
      </w:pPr>
      <w:rPr>
        <w:rFonts w:hint="default"/>
        <w:lang w:val="es-ES" w:eastAsia="en-US" w:bidi="ar-SA"/>
      </w:rPr>
    </w:lvl>
    <w:lvl w:ilvl="8">
      <w:start w:val="0"/>
      <w:numFmt w:val="bullet"/>
      <w:lvlText w:val="•"/>
      <w:lvlJc w:val="left"/>
      <w:pPr>
        <w:ind w:left="7798" w:hanging="552"/>
      </w:pPr>
      <w:rPr>
        <w:rFonts w:hint="default"/>
        <w:lang w:val="es-ES" w:eastAsia="en-US" w:bidi="ar-SA"/>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n-US" w:bidi="ar-SA"/>
    </w:rPr>
  </w:style>
  <w:style w:styleId="TOC1" w:type="paragraph">
    <w:name w:val="TOC 1"/>
    <w:basedOn w:val="Normal"/>
    <w:uiPriority w:val="1"/>
    <w:qFormat/>
    <w:pPr>
      <w:spacing w:before="119"/>
      <w:ind w:left="1666" w:hanging="454"/>
    </w:pPr>
    <w:rPr>
      <w:rFonts w:ascii="Arial" w:hAnsi="Arial" w:eastAsia="Arial" w:cs="Arial"/>
      <w:b/>
      <w:bCs/>
      <w:sz w:val="22"/>
      <w:szCs w:val="22"/>
      <w:lang w:val="es-ES" w:eastAsia="en-US" w:bidi="ar-SA"/>
    </w:rPr>
  </w:style>
  <w:style w:styleId="TOC2" w:type="paragraph">
    <w:name w:val="TOC 2"/>
    <w:basedOn w:val="Normal"/>
    <w:uiPriority w:val="1"/>
    <w:qFormat/>
    <w:pPr>
      <w:spacing w:before="119"/>
      <w:ind w:left="2053" w:hanging="608"/>
    </w:pPr>
    <w:rPr>
      <w:rFonts w:ascii="Arial" w:hAnsi="Arial" w:eastAsia="Arial" w:cs="Arial"/>
      <w:sz w:val="22"/>
      <w:szCs w:val="22"/>
      <w:lang w:val="es-ES" w:eastAsia="en-US" w:bidi="ar-SA"/>
    </w:rPr>
  </w:style>
  <w:style w:styleId="TOC3" w:type="paragraph">
    <w:name w:val="TOC 3"/>
    <w:basedOn w:val="Normal"/>
    <w:uiPriority w:val="1"/>
    <w:qFormat/>
    <w:pPr>
      <w:spacing w:before="19"/>
      <w:ind w:left="1666"/>
    </w:pPr>
    <w:rPr>
      <w:rFonts w:ascii="Arial" w:hAnsi="Arial" w:eastAsia="Arial" w:cs="Arial"/>
      <w:b/>
      <w:bCs/>
      <w:sz w:val="22"/>
      <w:szCs w:val="22"/>
      <w:lang w:val="es-ES" w:eastAsia="en-US" w:bidi="ar-SA"/>
    </w:rPr>
  </w:style>
  <w:style w:styleId="TOC4" w:type="paragraph">
    <w:name w:val="TOC 4"/>
    <w:basedOn w:val="Normal"/>
    <w:uiPriority w:val="1"/>
    <w:qFormat/>
    <w:pPr>
      <w:spacing w:line="252" w:lineRule="exact"/>
      <w:ind w:left="2069"/>
    </w:pPr>
    <w:rPr>
      <w:rFonts w:ascii="Arial" w:hAnsi="Arial" w:eastAsia="Arial" w:cs="Arial"/>
      <w:sz w:val="22"/>
      <w:szCs w:val="22"/>
      <w:lang w:val="es-ES" w:eastAsia="en-US" w:bidi="ar-SA"/>
    </w:rPr>
  </w:style>
  <w:style w:styleId="BodyText" w:type="paragraph">
    <w:name w:val="Body Text"/>
    <w:basedOn w:val="Normal"/>
    <w:uiPriority w:val="1"/>
    <w:qFormat/>
    <w:pPr/>
    <w:rPr>
      <w:rFonts w:ascii="Arial" w:hAnsi="Arial" w:eastAsia="Arial" w:cs="Arial"/>
      <w:sz w:val="22"/>
      <w:szCs w:val="22"/>
      <w:lang w:val="es-ES" w:eastAsia="en-US" w:bidi="ar-SA"/>
    </w:rPr>
  </w:style>
  <w:style w:styleId="Heading1" w:type="paragraph">
    <w:name w:val="Heading 1"/>
    <w:basedOn w:val="Normal"/>
    <w:uiPriority w:val="1"/>
    <w:qFormat/>
    <w:pPr>
      <w:ind w:left="1277"/>
      <w:outlineLvl w:val="1"/>
    </w:pPr>
    <w:rPr>
      <w:rFonts w:ascii="Calibri" w:hAnsi="Calibri" w:eastAsia="Calibri" w:cs="Calibri"/>
      <w:b/>
      <w:bCs/>
      <w:sz w:val="32"/>
      <w:szCs w:val="32"/>
      <w:lang w:val="es-ES" w:eastAsia="en-US" w:bidi="ar-SA"/>
    </w:rPr>
  </w:style>
  <w:style w:styleId="Heading2" w:type="paragraph">
    <w:name w:val="Heading 2"/>
    <w:basedOn w:val="Normal"/>
    <w:uiPriority w:val="1"/>
    <w:qFormat/>
    <w:pPr>
      <w:ind w:left="992"/>
      <w:outlineLvl w:val="2"/>
    </w:pPr>
    <w:rPr>
      <w:rFonts w:ascii="Arial" w:hAnsi="Arial" w:eastAsia="Arial" w:cs="Arial"/>
      <w:b/>
      <w:bCs/>
      <w:sz w:val="28"/>
      <w:szCs w:val="28"/>
      <w:lang w:val="es-ES" w:eastAsia="en-US" w:bidi="ar-SA"/>
    </w:rPr>
  </w:style>
  <w:style w:styleId="Heading3" w:type="paragraph">
    <w:name w:val="Heading 3"/>
    <w:basedOn w:val="Normal"/>
    <w:uiPriority w:val="1"/>
    <w:qFormat/>
    <w:pPr>
      <w:ind w:left="1152" w:right="354"/>
      <w:jc w:val="center"/>
      <w:outlineLvl w:val="3"/>
    </w:pPr>
    <w:rPr>
      <w:rFonts w:ascii="Arial" w:hAnsi="Arial" w:eastAsia="Arial" w:cs="Arial"/>
      <w:b/>
      <w:bCs/>
      <w:sz w:val="24"/>
      <w:szCs w:val="24"/>
      <w:lang w:val="es-ES" w:eastAsia="en-US" w:bidi="ar-SA"/>
    </w:rPr>
  </w:style>
  <w:style w:styleId="Heading4" w:type="paragraph">
    <w:name w:val="Heading 4"/>
    <w:basedOn w:val="Normal"/>
    <w:uiPriority w:val="1"/>
    <w:qFormat/>
    <w:pPr>
      <w:ind w:left="-1"/>
      <w:jc w:val="center"/>
      <w:outlineLvl w:val="4"/>
    </w:pPr>
    <w:rPr>
      <w:rFonts w:ascii="Arial" w:hAnsi="Arial" w:eastAsia="Arial" w:cs="Arial"/>
      <w:b/>
      <w:bCs/>
      <w:sz w:val="22"/>
      <w:szCs w:val="22"/>
      <w:lang w:val="es-ES" w:eastAsia="en-US" w:bidi="ar-SA"/>
    </w:rPr>
  </w:style>
  <w:style w:styleId="Heading5" w:type="paragraph">
    <w:name w:val="Heading 5"/>
    <w:basedOn w:val="Normal"/>
    <w:uiPriority w:val="1"/>
    <w:qFormat/>
    <w:pPr>
      <w:spacing w:before="13"/>
      <w:ind w:left="20"/>
      <w:outlineLvl w:val="5"/>
    </w:pPr>
    <w:rPr>
      <w:rFonts w:ascii="Arial" w:hAnsi="Arial" w:eastAsia="Arial" w:cs="Arial"/>
      <w:b/>
      <w:bCs/>
      <w:sz w:val="22"/>
      <w:szCs w:val="22"/>
      <w:lang w:val="es-ES" w:eastAsia="en-US" w:bidi="ar-SA"/>
    </w:rPr>
  </w:style>
  <w:style w:styleId="ListParagraph" w:type="paragraph">
    <w:name w:val="List Paragraph"/>
    <w:basedOn w:val="Normal"/>
    <w:uiPriority w:val="1"/>
    <w:qFormat/>
    <w:pPr>
      <w:ind w:left="1705" w:hanging="360"/>
    </w:pPr>
    <w:rPr>
      <w:rFonts w:ascii="Arial" w:hAnsi="Arial" w:eastAsia="Arial" w:cs="Arial"/>
      <w:lang w:val="es-ES" w:eastAsia="en-US" w:bidi="ar-SA"/>
    </w:rPr>
  </w:style>
  <w:style w:styleId="TableParagraph" w:type="paragraph">
    <w:name w:val="Table Paragraph"/>
    <w:basedOn w:val="Normal"/>
    <w:uiPriority w:val="1"/>
    <w:qFormat/>
    <w:pPr/>
    <w:rPr>
      <w:rFonts w:ascii="Arial Narrow" w:hAnsi="Arial Narrow" w:eastAsia="Arial Narrow" w:cs="Arial Narrow"/>
      <w:lang w:val="es-E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header4.xml" Type="http://schemas.openxmlformats.org/officeDocument/2006/relationships/header"/><Relationship Id="rId100" Target="media/image40.png" Type="http://schemas.openxmlformats.org/officeDocument/2006/relationships/image"/><Relationship Id="rId101" Target="header29.xml" Type="http://schemas.openxmlformats.org/officeDocument/2006/relationships/header"/><Relationship Id="rId102" Target="header30.xml" Type="http://schemas.openxmlformats.org/officeDocument/2006/relationships/header"/><Relationship Id="rId103" Target="footer25.xml" Type="http://schemas.openxmlformats.org/officeDocument/2006/relationships/footer"/><Relationship Id="rId104" Target="footer26.xml" Type="http://schemas.openxmlformats.org/officeDocument/2006/relationships/footer"/><Relationship Id="rId105" Target="header31.xml" Type="http://schemas.openxmlformats.org/officeDocument/2006/relationships/header"/><Relationship Id="rId106" Target="header32.xml" Type="http://schemas.openxmlformats.org/officeDocument/2006/relationships/header"/><Relationship Id="rId107" Target="footer27.xml" Type="http://schemas.openxmlformats.org/officeDocument/2006/relationships/footer"/><Relationship Id="rId108" Target="footer28.xml" Type="http://schemas.openxmlformats.org/officeDocument/2006/relationships/footer"/><Relationship Id="rId109" Target="header33.xml" Type="http://schemas.openxmlformats.org/officeDocument/2006/relationships/header"/><Relationship Id="rId11" Target="header5.xml" Type="http://schemas.openxmlformats.org/officeDocument/2006/relationships/header"/><Relationship Id="rId110" Target="header34.xml" Type="http://schemas.openxmlformats.org/officeDocument/2006/relationships/header"/><Relationship Id="rId111" Target="footer29.xml" Type="http://schemas.openxmlformats.org/officeDocument/2006/relationships/footer"/><Relationship Id="rId112" Target="footer30.xml" Type="http://schemas.openxmlformats.org/officeDocument/2006/relationships/footer"/><Relationship Id="rId113" Target="header35.xml" Type="http://schemas.openxmlformats.org/officeDocument/2006/relationships/header"/><Relationship Id="rId114" Target="header36.xml" Type="http://schemas.openxmlformats.org/officeDocument/2006/relationships/header"/><Relationship Id="rId115" Target="footer31.xml" Type="http://schemas.openxmlformats.org/officeDocument/2006/relationships/footer"/><Relationship Id="rId116" Target="footer32.xml" Type="http://schemas.openxmlformats.org/officeDocument/2006/relationships/footer"/><Relationship Id="rId117" Target="header37.xml" Type="http://schemas.openxmlformats.org/officeDocument/2006/relationships/header"/><Relationship Id="rId118" Target="header38.xml" Type="http://schemas.openxmlformats.org/officeDocument/2006/relationships/header"/><Relationship Id="rId119" Target="footer33.xml" Type="http://schemas.openxmlformats.org/officeDocument/2006/relationships/footer"/><Relationship Id="rId12" Target="footer1.xml" Type="http://schemas.openxmlformats.org/officeDocument/2006/relationships/footer"/><Relationship Id="rId120" Target="footer34.xml" Type="http://schemas.openxmlformats.org/officeDocument/2006/relationships/footer"/><Relationship Id="rId121" Target="header39.xml" Type="http://schemas.openxmlformats.org/officeDocument/2006/relationships/header"/><Relationship Id="rId122" Target="header40.xml" Type="http://schemas.openxmlformats.org/officeDocument/2006/relationships/header"/><Relationship Id="rId123" Target="footer35.xml" Type="http://schemas.openxmlformats.org/officeDocument/2006/relationships/footer"/><Relationship Id="rId124" Target="footer36.xml" Type="http://schemas.openxmlformats.org/officeDocument/2006/relationships/footer"/><Relationship Id="rId125" Target="header41.xml" Type="http://schemas.openxmlformats.org/officeDocument/2006/relationships/header"/><Relationship Id="rId126" Target="header42.xml" Type="http://schemas.openxmlformats.org/officeDocument/2006/relationships/header"/><Relationship Id="rId127" Target="footer37.xml" Type="http://schemas.openxmlformats.org/officeDocument/2006/relationships/footer"/><Relationship Id="rId128" Target="footer38.xml" Type="http://schemas.openxmlformats.org/officeDocument/2006/relationships/footer"/><Relationship Id="rId129" Target="header43.xml" Type="http://schemas.openxmlformats.org/officeDocument/2006/relationships/header"/><Relationship Id="rId13" Target="footer2.xml" Type="http://schemas.openxmlformats.org/officeDocument/2006/relationships/footer"/><Relationship Id="rId130" Target="footer39.xml" Type="http://schemas.openxmlformats.org/officeDocument/2006/relationships/footer"/><Relationship Id="rId131" Target="footer40.xml" Type="http://schemas.openxmlformats.org/officeDocument/2006/relationships/footer"/><Relationship Id="rId132" Target="header44.xml" Type="http://schemas.openxmlformats.org/officeDocument/2006/relationships/header"/><Relationship Id="rId133" Target="header45.xml" Type="http://schemas.openxmlformats.org/officeDocument/2006/relationships/header"/><Relationship Id="rId134" Target="footer41.xml" Type="http://schemas.openxmlformats.org/officeDocument/2006/relationships/footer"/><Relationship Id="rId135" Target="media/image41.png" Type="http://schemas.openxmlformats.org/officeDocument/2006/relationships/image"/><Relationship Id="rId136" Target="header46.xml" Type="http://schemas.openxmlformats.org/officeDocument/2006/relationships/header"/><Relationship Id="rId137" Target="footer42.xml" Type="http://schemas.openxmlformats.org/officeDocument/2006/relationships/footer"/><Relationship Id="rId138" Target="header47.xml" Type="http://schemas.openxmlformats.org/officeDocument/2006/relationships/header"/><Relationship Id="rId139" Target="footer43.xml" Type="http://schemas.openxmlformats.org/officeDocument/2006/relationships/footer"/><Relationship Id="rId14" Target="media/image4.png" Type="http://schemas.openxmlformats.org/officeDocument/2006/relationships/image"/><Relationship Id="rId140" Target="header48.xml" Type="http://schemas.openxmlformats.org/officeDocument/2006/relationships/header"/><Relationship Id="rId141" Target="footer44.xml" Type="http://schemas.openxmlformats.org/officeDocument/2006/relationships/footer"/><Relationship Id="rId142" Target="header49.xml" Type="http://schemas.openxmlformats.org/officeDocument/2006/relationships/header"/><Relationship Id="rId143" Target="footer45.xml" Type="http://schemas.openxmlformats.org/officeDocument/2006/relationships/footer"/><Relationship Id="rId144" Target="header50.xml" Type="http://schemas.openxmlformats.org/officeDocument/2006/relationships/header"/><Relationship Id="rId145" Target="footer46.xml" Type="http://schemas.openxmlformats.org/officeDocument/2006/relationships/footer"/><Relationship Id="rId146" Target="header51.xml" Type="http://schemas.openxmlformats.org/officeDocument/2006/relationships/header"/><Relationship Id="rId147" Target="footer47.xml" Type="http://schemas.openxmlformats.org/officeDocument/2006/relationships/footer"/><Relationship Id="rId148" Target="header52.xml" Type="http://schemas.openxmlformats.org/officeDocument/2006/relationships/header"/><Relationship Id="rId149" Target="footer48.xml" Type="http://schemas.openxmlformats.org/officeDocument/2006/relationships/footer"/><Relationship Id="rId15" Target="header6.xml" Type="http://schemas.openxmlformats.org/officeDocument/2006/relationships/header"/><Relationship Id="rId150" Target="header53.xml" Type="http://schemas.openxmlformats.org/officeDocument/2006/relationships/header"/><Relationship Id="rId151" Target="footer49.xml" Type="http://schemas.openxmlformats.org/officeDocument/2006/relationships/footer"/><Relationship Id="rId152" Target="media/image42.jpeg" Type="http://schemas.openxmlformats.org/officeDocument/2006/relationships/image"/><Relationship Id="rId153" Target="media/image43.png" Type="http://schemas.openxmlformats.org/officeDocument/2006/relationships/image"/><Relationship Id="rId154" Target="https://sede.tcu.es/" TargetMode="External" Type="http://schemas.openxmlformats.org/officeDocument/2006/relationships/hyperlink"/><Relationship Id="rId155" Target="header54.xml" Type="http://schemas.openxmlformats.org/officeDocument/2006/relationships/header"/><Relationship Id="rId156" Target="footer50.xml" Type="http://schemas.openxmlformats.org/officeDocument/2006/relationships/footer"/><Relationship Id="rId157" Target="header55.xml" Type="http://schemas.openxmlformats.org/officeDocument/2006/relationships/header"/><Relationship Id="rId158" Target="footer51.xml" Type="http://schemas.openxmlformats.org/officeDocument/2006/relationships/footer"/><Relationship Id="rId159" Target="header56.xml" Type="http://schemas.openxmlformats.org/officeDocument/2006/relationships/header"/><Relationship Id="rId16" Target="header7.xml" Type="http://schemas.openxmlformats.org/officeDocument/2006/relationships/header"/><Relationship Id="rId160" Target="footer52.xml" Type="http://schemas.openxmlformats.org/officeDocument/2006/relationships/footer"/><Relationship Id="rId161" Target="header57.xml" Type="http://schemas.openxmlformats.org/officeDocument/2006/relationships/header"/><Relationship Id="rId162" Target="header58.xml" Type="http://schemas.openxmlformats.org/officeDocument/2006/relationships/header"/><Relationship Id="rId163" Target="footer53.xml" Type="http://schemas.openxmlformats.org/officeDocument/2006/relationships/footer"/><Relationship Id="rId164" Target="media/image44.png" Type="http://schemas.openxmlformats.org/officeDocument/2006/relationships/image"/><Relationship Id="rId165" Target="footer54.xml" Type="http://schemas.openxmlformats.org/officeDocument/2006/relationships/footer"/><Relationship Id="rId166" Target="footer55.xml" Type="http://schemas.openxmlformats.org/officeDocument/2006/relationships/footer"/><Relationship Id="rId167" Target="header59.xml" Type="http://schemas.openxmlformats.org/officeDocument/2006/relationships/header"/><Relationship Id="rId168" Target="header60.xml" Type="http://schemas.openxmlformats.org/officeDocument/2006/relationships/header"/><Relationship Id="rId169" Target="footer56.xml" Type="http://schemas.openxmlformats.org/officeDocument/2006/relationships/footer"/><Relationship Id="rId17" Target="footer3.xml" Type="http://schemas.openxmlformats.org/officeDocument/2006/relationships/footer"/><Relationship Id="rId170" Target="header61.xml" Type="http://schemas.openxmlformats.org/officeDocument/2006/relationships/header"/><Relationship Id="rId171" Target="footer57.xml" Type="http://schemas.openxmlformats.org/officeDocument/2006/relationships/footer"/><Relationship Id="rId172" Target="header62.xml" Type="http://schemas.openxmlformats.org/officeDocument/2006/relationships/header"/><Relationship Id="rId173" Target="footer58.xml" Type="http://schemas.openxmlformats.org/officeDocument/2006/relationships/footer"/><Relationship Id="rId174" Target="header63.xml" Type="http://schemas.openxmlformats.org/officeDocument/2006/relationships/header"/><Relationship Id="rId175" Target="header64.xml" Type="http://schemas.openxmlformats.org/officeDocument/2006/relationships/header"/><Relationship Id="rId176" Target="footer59.xml" Type="http://schemas.openxmlformats.org/officeDocument/2006/relationships/footer"/><Relationship Id="rId177" Target="media/image48.png" Type="http://schemas.openxmlformats.org/officeDocument/2006/relationships/image"/><Relationship Id="rId178" Target="http://gofile.me/38Hph/eTMsV9Ex9" TargetMode="External" Type="http://schemas.openxmlformats.org/officeDocument/2006/relationships/hyperlink"/><Relationship Id="rId179" Target="media/image49.png" Type="http://schemas.openxmlformats.org/officeDocument/2006/relationships/image"/><Relationship Id="rId18" Target="header8.xml" Type="http://schemas.openxmlformats.org/officeDocument/2006/relationships/header"/><Relationship Id="rId180" Target="mailto:info@malaga.eu" TargetMode="External" Type="http://schemas.openxmlformats.org/officeDocument/2006/relationships/hyperlink"/><Relationship Id="rId181" Target="http://www.malaga.eu/" TargetMode="External" Type="http://schemas.openxmlformats.org/officeDocument/2006/relationships/hyperlink"/><Relationship Id="rId182" Target="media/image50.png" Type="http://schemas.openxmlformats.org/officeDocument/2006/relationships/image"/><Relationship Id="rId183" Target="media/image51.png" Type="http://schemas.openxmlformats.org/officeDocument/2006/relationships/image"/><Relationship Id="rId184" Target="media/image52.png" Type="http://schemas.openxmlformats.org/officeDocument/2006/relationships/image"/><Relationship Id="rId185" Target="media/image53.png" Type="http://schemas.openxmlformats.org/officeDocument/2006/relationships/image"/><Relationship Id="rId186" Target="media/image54.png" Type="http://schemas.openxmlformats.org/officeDocument/2006/relationships/image"/><Relationship Id="rId187" Target="https://valida.malaga.eu/verifirma/code" TargetMode="External" Type="http://schemas.openxmlformats.org/officeDocument/2006/relationships/hyperlink"/><Relationship Id="rId188" Target="media/image55.png" Type="http://schemas.openxmlformats.org/officeDocument/2006/relationships/image"/><Relationship Id="rId189" Target="media/image56.png" Type="http://schemas.openxmlformats.org/officeDocument/2006/relationships/image"/><Relationship Id="rId19" Target="footer4.xml" Type="http://schemas.openxmlformats.org/officeDocument/2006/relationships/footer"/><Relationship Id="rId190" Target="header65.xml" Type="http://schemas.openxmlformats.org/officeDocument/2006/relationships/header"/><Relationship Id="rId191" Target="header66.xml" Type="http://schemas.openxmlformats.org/officeDocument/2006/relationships/header"/><Relationship Id="rId192" Target="footer60.xml" Type="http://schemas.openxmlformats.org/officeDocument/2006/relationships/footer"/><Relationship Id="rId193" Target="media/image57.png" Type="http://schemas.openxmlformats.org/officeDocument/2006/relationships/image"/><Relationship Id="rId194" Target="header67.xml" Type="http://schemas.openxmlformats.org/officeDocument/2006/relationships/header"/><Relationship Id="rId195" Target="header68.xml" Type="http://schemas.openxmlformats.org/officeDocument/2006/relationships/header"/><Relationship Id="rId196" Target="footer61.xml" Type="http://schemas.openxmlformats.org/officeDocument/2006/relationships/footer"/><Relationship Id="rId197" Target="media/image58.png" Type="http://schemas.openxmlformats.org/officeDocument/2006/relationships/image"/><Relationship Id="rId198" Target="header69.xml" Type="http://schemas.openxmlformats.org/officeDocument/2006/relationships/header"/><Relationship Id="rId199" Target="header70.xml" Type="http://schemas.openxmlformats.org/officeDocument/2006/relationships/header"/><Relationship Id="rId2" Target="fontTable.xml" Type="http://schemas.openxmlformats.org/officeDocument/2006/relationships/fontTable"/><Relationship Id="rId20" Target="header9.xml" Type="http://schemas.openxmlformats.org/officeDocument/2006/relationships/header"/><Relationship Id="rId200" Target="footer62.xml" Type="http://schemas.openxmlformats.org/officeDocument/2006/relationships/footer"/><Relationship Id="rId201" Target="media/image59.jpeg" Type="http://schemas.openxmlformats.org/officeDocument/2006/relationships/image"/><Relationship Id="rId202" Target="media/image60.png" Type="http://schemas.openxmlformats.org/officeDocument/2006/relationships/image"/><Relationship Id="rId203" Target="header71.xml" Type="http://schemas.openxmlformats.org/officeDocument/2006/relationships/header"/><Relationship Id="rId204" Target="header72.xml" Type="http://schemas.openxmlformats.org/officeDocument/2006/relationships/header"/><Relationship Id="rId205" Target="footer63.xml" Type="http://schemas.openxmlformats.org/officeDocument/2006/relationships/footer"/><Relationship Id="rId206" Target="media/image61.png" Type="http://schemas.openxmlformats.org/officeDocument/2006/relationships/image"/><Relationship Id="rId207" Target="header73.xml" Type="http://schemas.openxmlformats.org/officeDocument/2006/relationships/header"/><Relationship Id="rId208" Target="header74.xml" Type="http://schemas.openxmlformats.org/officeDocument/2006/relationships/header"/><Relationship Id="rId209" Target="footer64.xml" Type="http://schemas.openxmlformats.org/officeDocument/2006/relationships/footer"/><Relationship Id="rId21" Target="footer5.xml" Type="http://schemas.openxmlformats.org/officeDocument/2006/relationships/footer"/><Relationship Id="rId210" Target="media/image62.png" Type="http://schemas.openxmlformats.org/officeDocument/2006/relationships/image"/><Relationship Id="rId211" Target="https://valida.malaga.eu/verifirma/code/" TargetMode="External" Type="http://schemas.openxmlformats.org/officeDocument/2006/relationships/hyperlink"/><Relationship Id="rId212" Target="header75.xml" Type="http://schemas.openxmlformats.org/officeDocument/2006/relationships/header"/><Relationship Id="rId213" Target="header76.xml" Type="http://schemas.openxmlformats.org/officeDocument/2006/relationships/header"/><Relationship Id="rId214" Target="footer65.xml" Type="http://schemas.openxmlformats.org/officeDocument/2006/relationships/footer"/><Relationship Id="rId215" Target="media/image63.png" Type="http://schemas.openxmlformats.org/officeDocument/2006/relationships/image"/><Relationship Id="rId216" Target="header77.xml" Type="http://schemas.openxmlformats.org/officeDocument/2006/relationships/header"/><Relationship Id="rId217" Target="header78.xml" Type="http://schemas.openxmlformats.org/officeDocument/2006/relationships/header"/><Relationship Id="rId218" Target="footer66.xml" Type="http://schemas.openxmlformats.org/officeDocument/2006/relationships/footer"/><Relationship Id="rId219" Target="media/image64.png" Type="http://schemas.openxmlformats.org/officeDocument/2006/relationships/image"/><Relationship Id="rId22" Target="header10.xml" Type="http://schemas.openxmlformats.org/officeDocument/2006/relationships/header"/><Relationship Id="rId220" Target="media/image65.png" Type="http://schemas.openxmlformats.org/officeDocument/2006/relationships/image"/><Relationship Id="rId221" Target="header79.xml" Type="http://schemas.openxmlformats.org/officeDocument/2006/relationships/header"/><Relationship Id="rId222" Target="header80.xml" Type="http://schemas.openxmlformats.org/officeDocument/2006/relationships/header"/><Relationship Id="rId223" Target="footer67.xml" Type="http://schemas.openxmlformats.org/officeDocument/2006/relationships/footer"/><Relationship Id="rId224" Target="media/image66.png" Type="http://schemas.openxmlformats.org/officeDocument/2006/relationships/image"/><Relationship Id="rId225" Target="header81.xml" Type="http://schemas.openxmlformats.org/officeDocument/2006/relationships/header"/><Relationship Id="rId226" Target="header82.xml" Type="http://schemas.openxmlformats.org/officeDocument/2006/relationships/header"/><Relationship Id="rId227" Target="footer68.xml" Type="http://schemas.openxmlformats.org/officeDocument/2006/relationships/footer"/><Relationship Id="rId228" Target="https://valida.malaga/" TargetMode="External" Type="http://schemas.openxmlformats.org/officeDocument/2006/relationships/hyperlink"/><Relationship Id="rId229" Target="media/image67.png" Type="http://schemas.openxmlformats.org/officeDocument/2006/relationships/image"/><Relationship Id="rId23" Target="footer6.xml" Type="http://schemas.openxmlformats.org/officeDocument/2006/relationships/footer"/><Relationship Id="rId230" Target="header83.xml" Type="http://schemas.openxmlformats.org/officeDocument/2006/relationships/header"/><Relationship Id="rId231" Target="header84.xml" Type="http://schemas.openxmlformats.org/officeDocument/2006/relationships/header"/><Relationship Id="rId232" Target="footer69.xml" Type="http://schemas.openxmlformats.org/officeDocument/2006/relationships/footer"/><Relationship Id="rId233" Target="media/image68.png" Type="http://schemas.openxmlformats.org/officeDocument/2006/relationships/image"/><Relationship Id="rId234" Target="header85.xml" Type="http://schemas.openxmlformats.org/officeDocument/2006/relationships/header"/><Relationship Id="rId235" Target="header86.xml" Type="http://schemas.openxmlformats.org/officeDocument/2006/relationships/header"/><Relationship Id="rId236" Target="footer70.xml" Type="http://schemas.openxmlformats.org/officeDocument/2006/relationships/footer"/><Relationship Id="rId237" Target="media/image69.png" Type="http://schemas.openxmlformats.org/officeDocument/2006/relationships/image"/><Relationship Id="rId238" Target="header87.xml" Type="http://schemas.openxmlformats.org/officeDocument/2006/relationships/header"/><Relationship Id="rId239" Target="header88.xml" Type="http://schemas.openxmlformats.org/officeDocument/2006/relationships/header"/><Relationship Id="rId24" Target="header11.xml" Type="http://schemas.openxmlformats.org/officeDocument/2006/relationships/header"/><Relationship Id="rId240" Target="footer71.xml" Type="http://schemas.openxmlformats.org/officeDocument/2006/relationships/footer"/><Relationship Id="rId241" Target="media/image70.png" Type="http://schemas.openxmlformats.org/officeDocument/2006/relationships/image"/><Relationship Id="rId242" Target="header89.xml" Type="http://schemas.openxmlformats.org/officeDocument/2006/relationships/header"/><Relationship Id="rId243" Target="header90.xml" Type="http://schemas.openxmlformats.org/officeDocument/2006/relationships/header"/><Relationship Id="rId244" Target="footer72.xml" Type="http://schemas.openxmlformats.org/officeDocument/2006/relationships/footer"/><Relationship Id="rId245" Target="media/image71.png" Type="http://schemas.openxmlformats.org/officeDocument/2006/relationships/image"/><Relationship Id="rId246" Target="header91.xml" Type="http://schemas.openxmlformats.org/officeDocument/2006/relationships/header"/><Relationship Id="rId247" Target="header92.xml" Type="http://schemas.openxmlformats.org/officeDocument/2006/relationships/header"/><Relationship Id="rId248" Target="footer73.xml" Type="http://schemas.openxmlformats.org/officeDocument/2006/relationships/footer"/><Relationship Id="rId249" Target="header93.xml" Type="http://schemas.openxmlformats.org/officeDocument/2006/relationships/header"/><Relationship Id="rId25" Target="footer7.xml" Type="http://schemas.openxmlformats.org/officeDocument/2006/relationships/footer"/><Relationship Id="rId250" Target="header94.xml" Type="http://schemas.openxmlformats.org/officeDocument/2006/relationships/header"/><Relationship Id="rId251" Target="footer74.xml" Type="http://schemas.openxmlformats.org/officeDocument/2006/relationships/footer"/><Relationship Id="rId252" Target="media/image72.png" Type="http://schemas.openxmlformats.org/officeDocument/2006/relationships/image"/><Relationship Id="rId253" Target="header95.xml" Type="http://schemas.openxmlformats.org/officeDocument/2006/relationships/header"/><Relationship Id="rId254" Target="header96.xml" Type="http://schemas.openxmlformats.org/officeDocument/2006/relationships/header"/><Relationship Id="rId255" Target="footer75.xml" Type="http://schemas.openxmlformats.org/officeDocument/2006/relationships/footer"/><Relationship Id="rId256" Target="media/image73.png" Type="http://schemas.openxmlformats.org/officeDocument/2006/relationships/image"/><Relationship Id="rId257" Target="header97.xml" Type="http://schemas.openxmlformats.org/officeDocument/2006/relationships/header"/><Relationship Id="rId258" Target="header98.xml" Type="http://schemas.openxmlformats.org/officeDocument/2006/relationships/header"/><Relationship Id="rId259" Target="footer76.xml" Type="http://schemas.openxmlformats.org/officeDocument/2006/relationships/footer"/><Relationship Id="rId26" Target="header12.xml" Type="http://schemas.openxmlformats.org/officeDocument/2006/relationships/header"/><Relationship Id="rId260" Target="header99.xml" Type="http://schemas.openxmlformats.org/officeDocument/2006/relationships/header"/><Relationship Id="rId261" Target="header100.xml" Type="http://schemas.openxmlformats.org/officeDocument/2006/relationships/header"/><Relationship Id="rId262" Target="footer77.xml" Type="http://schemas.openxmlformats.org/officeDocument/2006/relationships/footer"/><Relationship Id="rId263" Target="header101.xml" Type="http://schemas.openxmlformats.org/officeDocument/2006/relationships/header"/><Relationship Id="rId264" Target="header102.xml" Type="http://schemas.openxmlformats.org/officeDocument/2006/relationships/header"/><Relationship Id="rId265" Target="footer78.xml" Type="http://schemas.openxmlformats.org/officeDocument/2006/relationships/footer"/><Relationship Id="rId266" Target="header103.xml" Type="http://schemas.openxmlformats.org/officeDocument/2006/relationships/header"/><Relationship Id="rId267" Target="header104.xml" Type="http://schemas.openxmlformats.org/officeDocument/2006/relationships/header"/><Relationship Id="rId268" Target="footer79.xml" Type="http://schemas.openxmlformats.org/officeDocument/2006/relationships/footer"/><Relationship Id="rId269" Target="header105.xml" Type="http://schemas.openxmlformats.org/officeDocument/2006/relationships/header"/><Relationship Id="rId27" Target="footer8.xml" Type="http://schemas.openxmlformats.org/officeDocument/2006/relationships/footer"/><Relationship Id="rId270" Target="header106.xml" Type="http://schemas.openxmlformats.org/officeDocument/2006/relationships/header"/><Relationship Id="rId271" Target="footer80.xml" Type="http://schemas.openxmlformats.org/officeDocument/2006/relationships/footer"/><Relationship Id="rId272" Target="header107.xml" Type="http://schemas.openxmlformats.org/officeDocument/2006/relationships/header"/><Relationship Id="rId273" Target="header108.xml" Type="http://schemas.openxmlformats.org/officeDocument/2006/relationships/header"/><Relationship Id="rId274" Target="footer81.xml" Type="http://schemas.openxmlformats.org/officeDocument/2006/relationships/footer"/><Relationship Id="rId275" Target="footer82.xml" Type="http://schemas.openxmlformats.org/officeDocument/2006/relationships/footer"/><Relationship Id="rId276" Target="media/image75.png" Type="http://schemas.openxmlformats.org/officeDocument/2006/relationships/image"/><Relationship Id="rId277" Target="header109.xml" Type="http://schemas.openxmlformats.org/officeDocument/2006/relationships/header"/><Relationship Id="rId278" Target="header110.xml" Type="http://schemas.openxmlformats.org/officeDocument/2006/relationships/header"/><Relationship Id="rId279" Target="footer83.xml" Type="http://schemas.openxmlformats.org/officeDocument/2006/relationships/footer"/><Relationship Id="rId28" Target="header13.xml" Type="http://schemas.openxmlformats.org/officeDocument/2006/relationships/header"/><Relationship Id="rId280" Target="footer84.xml" Type="http://schemas.openxmlformats.org/officeDocument/2006/relationships/footer"/><Relationship Id="rId281" Target="media/image77.png" Type="http://schemas.openxmlformats.org/officeDocument/2006/relationships/image"/><Relationship Id="rId282" Target="header111.xml" Type="http://schemas.openxmlformats.org/officeDocument/2006/relationships/header"/><Relationship Id="rId283" Target="header112.xml" Type="http://schemas.openxmlformats.org/officeDocument/2006/relationships/header"/><Relationship Id="rId284" Target="footer85.xml" Type="http://schemas.openxmlformats.org/officeDocument/2006/relationships/footer"/><Relationship Id="rId285" Target="http://www.movilidad.malaga.eu/" TargetMode="External" Type="http://schemas.openxmlformats.org/officeDocument/2006/relationships/hyperlink"/><Relationship Id="rId286" Target="header113.xml" Type="http://schemas.openxmlformats.org/officeDocument/2006/relationships/header"/><Relationship Id="rId287" Target="header114.xml" Type="http://schemas.openxmlformats.org/officeDocument/2006/relationships/header"/><Relationship Id="rId288" Target="footer86.xml" Type="http://schemas.openxmlformats.org/officeDocument/2006/relationships/footer"/><Relationship Id="rId289" Target="header115.xml" Type="http://schemas.openxmlformats.org/officeDocument/2006/relationships/header"/><Relationship Id="rId29" Target="header14.xml" Type="http://schemas.openxmlformats.org/officeDocument/2006/relationships/header"/><Relationship Id="rId290" Target="header116.xml" Type="http://schemas.openxmlformats.org/officeDocument/2006/relationships/header"/><Relationship Id="rId291" Target="footer87.xml" Type="http://schemas.openxmlformats.org/officeDocument/2006/relationships/footer"/><Relationship Id="rId292" Target="media/image78.jpeg" Type="http://schemas.openxmlformats.org/officeDocument/2006/relationships/image"/><Relationship Id="rId293" Target="media/image79.png" Type="http://schemas.openxmlformats.org/officeDocument/2006/relationships/image"/><Relationship Id="rId294" Target="header117.xml" Type="http://schemas.openxmlformats.org/officeDocument/2006/relationships/header"/><Relationship Id="rId295" Target="header118.xml" Type="http://schemas.openxmlformats.org/officeDocument/2006/relationships/header"/><Relationship Id="rId296" Target="footer88.xml" Type="http://schemas.openxmlformats.org/officeDocument/2006/relationships/footer"/><Relationship Id="rId297" Target="media/image80.jpeg" Type="http://schemas.openxmlformats.org/officeDocument/2006/relationships/image"/><Relationship Id="rId298" Target="media/image81.jpeg" Type="http://schemas.openxmlformats.org/officeDocument/2006/relationships/image"/><Relationship Id="rId299" Target="media/image82.png" Type="http://schemas.openxmlformats.org/officeDocument/2006/relationships/image"/><Relationship Id="rId3" Target="theme/theme1.xml" Type="http://schemas.openxmlformats.org/officeDocument/2006/relationships/theme"/><Relationship Id="rId30" Target="footer9.xml" Type="http://schemas.openxmlformats.org/officeDocument/2006/relationships/footer"/><Relationship Id="rId300" Target="header119.xml" Type="http://schemas.openxmlformats.org/officeDocument/2006/relationships/header"/><Relationship Id="rId301" Target="header120.xml" Type="http://schemas.openxmlformats.org/officeDocument/2006/relationships/header"/><Relationship Id="rId302" Target="footer89.xml" Type="http://schemas.openxmlformats.org/officeDocument/2006/relationships/footer"/><Relationship Id="rId303" Target="media/image83.jpeg" Type="http://schemas.openxmlformats.org/officeDocument/2006/relationships/image"/><Relationship Id="rId304" Target="https://movilidad.malaga.eu/opencms/export/sites/movilidad/.galeria-" TargetMode="External" Type="http://schemas.openxmlformats.org/officeDocument/2006/relationships/hyperlink"/><Relationship Id="rId305" Target="media/image84.png" Type="http://schemas.openxmlformats.org/officeDocument/2006/relationships/image"/><Relationship Id="rId306" Target="header121.xml" Type="http://schemas.openxmlformats.org/officeDocument/2006/relationships/header"/><Relationship Id="rId307" Target="header122.xml" Type="http://schemas.openxmlformats.org/officeDocument/2006/relationships/header"/><Relationship Id="rId308" Target="footer90.xml" Type="http://schemas.openxmlformats.org/officeDocument/2006/relationships/footer"/><Relationship Id="rId309" Target="media/image85.png" Type="http://schemas.openxmlformats.org/officeDocument/2006/relationships/image"/><Relationship Id="rId31" Target="footer10.xml" Type="http://schemas.openxmlformats.org/officeDocument/2006/relationships/footer"/><Relationship Id="rId310" Target="header123.xml" Type="http://schemas.openxmlformats.org/officeDocument/2006/relationships/header"/><Relationship Id="rId311" Target="header124.xml" Type="http://schemas.openxmlformats.org/officeDocument/2006/relationships/header"/><Relationship Id="rId312" Target="footer91.xml" Type="http://schemas.openxmlformats.org/officeDocument/2006/relationships/footer"/><Relationship Id="rId313" Target="header125.xml" Type="http://schemas.openxmlformats.org/officeDocument/2006/relationships/header"/><Relationship Id="rId314" Target="header126.xml" Type="http://schemas.openxmlformats.org/officeDocument/2006/relationships/header"/><Relationship Id="rId315" Target="footer92.xml" Type="http://schemas.openxmlformats.org/officeDocument/2006/relationships/footer"/><Relationship Id="rId316" Target="media/image86.png" Type="http://schemas.openxmlformats.org/officeDocument/2006/relationships/image"/><Relationship Id="rId317" Target="header127.xml" Type="http://schemas.openxmlformats.org/officeDocument/2006/relationships/header"/><Relationship Id="rId318" Target="header128.xml" Type="http://schemas.openxmlformats.org/officeDocument/2006/relationships/header"/><Relationship Id="rId319" Target="footer93.xml" Type="http://schemas.openxmlformats.org/officeDocument/2006/relationships/footer"/><Relationship Id="rId32" Target="https://esmovilidad.transportes.gob.es/" TargetMode="External" Type="http://schemas.openxmlformats.org/officeDocument/2006/relationships/hyperlink"/><Relationship Id="rId320" Target="media/image87.png" Type="http://schemas.openxmlformats.org/officeDocument/2006/relationships/image"/><Relationship Id="rId321" Target="header129.xml" Type="http://schemas.openxmlformats.org/officeDocument/2006/relationships/header"/><Relationship Id="rId322" Target="header130.xml" Type="http://schemas.openxmlformats.org/officeDocument/2006/relationships/header"/><Relationship Id="rId323" Target="footer94.xml" Type="http://schemas.openxmlformats.org/officeDocument/2006/relationships/footer"/><Relationship Id="rId324" Target="header131.xml" Type="http://schemas.openxmlformats.org/officeDocument/2006/relationships/header"/><Relationship Id="rId325" Target="header132.xml" Type="http://schemas.openxmlformats.org/officeDocument/2006/relationships/header"/><Relationship Id="rId326" Target="footer95.xml" Type="http://schemas.openxmlformats.org/officeDocument/2006/relationships/footer"/><Relationship Id="rId327" Target="media/image88.png" Type="http://schemas.openxmlformats.org/officeDocument/2006/relationships/image"/><Relationship Id="rId328" Target="header133.xml" Type="http://schemas.openxmlformats.org/officeDocument/2006/relationships/header"/><Relationship Id="rId329" Target="header134.xml" Type="http://schemas.openxmlformats.org/officeDocument/2006/relationships/header"/><Relationship Id="rId33" Target="media/image5.png" Type="http://schemas.openxmlformats.org/officeDocument/2006/relationships/image"/><Relationship Id="rId330" Target="footer96.xml" Type="http://schemas.openxmlformats.org/officeDocument/2006/relationships/footer"/><Relationship Id="rId331" Target="media/image89.png" Type="http://schemas.openxmlformats.org/officeDocument/2006/relationships/image"/><Relationship Id="rId332" Target="https://valida.malaga.eu/verifirma/cod" TargetMode="External" Type="http://schemas.openxmlformats.org/officeDocument/2006/relationships/hyperlink"/><Relationship Id="rId333" Target="header135.xml" Type="http://schemas.openxmlformats.org/officeDocument/2006/relationships/header"/><Relationship Id="rId334" Target="header136.xml" Type="http://schemas.openxmlformats.org/officeDocument/2006/relationships/header"/><Relationship Id="rId335" Target="footer97.xml" Type="http://schemas.openxmlformats.org/officeDocument/2006/relationships/footer"/><Relationship Id="rId336" Target="media/image90.png" Type="http://schemas.openxmlformats.org/officeDocument/2006/relationships/image"/><Relationship Id="rId337" Target="header137.xml" Type="http://schemas.openxmlformats.org/officeDocument/2006/relationships/header"/><Relationship Id="rId338" Target="footer98.xml" Type="http://schemas.openxmlformats.org/officeDocument/2006/relationships/footer"/><Relationship Id="rId339" Target="media/image91.png" Type="http://schemas.openxmlformats.org/officeDocument/2006/relationships/image"/><Relationship Id="rId34" Target="media/image6.png" Type="http://schemas.openxmlformats.org/officeDocument/2006/relationships/image"/><Relationship Id="rId340" Target="header138.xml" Type="http://schemas.openxmlformats.org/officeDocument/2006/relationships/header"/><Relationship Id="rId341" Target="footer99.xml" Type="http://schemas.openxmlformats.org/officeDocument/2006/relationships/footer"/><Relationship Id="rId342" Target="header139.xml" Type="http://schemas.openxmlformats.org/officeDocument/2006/relationships/header"/><Relationship Id="rId343" Target="footer100.xml" Type="http://schemas.openxmlformats.org/officeDocument/2006/relationships/footer"/><Relationship Id="rId344" Target="header140.xml" Type="http://schemas.openxmlformats.org/officeDocument/2006/relationships/header"/><Relationship Id="rId345" Target="header141.xml" Type="http://schemas.openxmlformats.org/officeDocument/2006/relationships/header"/><Relationship Id="rId346" Target="footer101.xml" Type="http://schemas.openxmlformats.org/officeDocument/2006/relationships/footer"/><Relationship Id="rId347" Target="footer102.xml" Type="http://schemas.openxmlformats.org/officeDocument/2006/relationships/footer"/><Relationship Id="rId348" Target="https://web.murcia.es/noticia/murcia-presenta-su-nuevo-" TargetMode="External" Type="http://schemas.openxmlformats.org/officeDocument/2006/relationships/hyperlink"/><Relationship Id="rId349" Target="mailto:d6f.transporte.sostenible@tcu.es" TargetMode="External" Type="http://schemas.openxmlformats.org/officeDocument/2006/relationships/hyperlink"/><Relationship Id="rId35" Target="media/image7.png" Type="http://schemas.openxmlformats.org/officeDocument/2006/relationships/image"/><Relationship Id="rId350" Target="https://femp-fondos-europa.es/documentos/pyr-programa-" TargetMode="External" Type="http://schemas.openxmlformats.org/officeDocument/2006/relationships/hyperlink"/><Relationship Id="rId351" Target="header142.xml" Type="http://schemas.openxmlformats.org/officeDocument/2006/relationships/header"/><Relationship Id="rId352" Target="footer103.xml" Type="http://schemas.openxmlformats.org/officeDocument/2006/relationships/footer"/><Relationship Id="rId353" Target="header143.xml" Type="http://schemas.openxmlformats.org/officeDocument/2006/relationships/header"/><Relationship Id="rId354" Target="footer104.xml" Type="http://schemas.openxmlformats.org/officeDocument/2006/relationships/footer"/><Relationship Id="rId355" Target="header144.xml" Type="http://schemas.openxmlformats.org/officeDocument/2006/relationships/header"/><Relationship Id="rId356" Target="header145.xml" Type="http://schemas.openxmlformats.org/officeDocument/2006/relationships/header"/><Relationship Id="rId357" Target="footer105.xml" Type="http://schemas.openxmlformats.org/officeDocument/2006/relationships/footer"/><Relationship Id="rId358" Target="footer106.xml" Type="http://schemas.openxmlformats.org/officeDocument/2006/relationships/footer"/><Relationship Id="rId359" Target="header146.xml" Type="http://schemas.openxmlformats.org/officeDocument/2006/relationships/header"/><Relationship Id="rId36" Target="media/image8.png" Type="http://schemas.openxmlformats.org/officeDocument/2006/relationships/image"/><Relationship Id="rId360" Target="footer107.xml" Type="http://schemas.openxmlformats.org/officeDocument/2006/relationships/footer"/><Relationship Id="rId361" Target="header147.xml" Type="http://schemas.openxmlformats.org/officeDocument/2006/relationships/header"/><Relationship Id="rId362" Target="footer108.xml" Type="http://schemas.openxmlformats.org/officeDocument/2006/relationships/footer"/><Relationship Id="rId363" Target="header148.xml" Type="http://schemas.openxmlformats.org/officeDocument/2006/relationships/header"/><Relationship Id="rId364" Target="footer109.xml" Type="http://schemas.openxmlformats.org/officeDocument/2006/relationships/footer"/><Relationship Id="rId365" Target="header149.xml" Type="http://schemas.openxmlformats.org/officeDocument/2006/relationships/header"/><Relationship Id="rId366" Target="header150.xml" Type="http://schemas.openxmlformats.org/officeDocument/2006/relationships/header"/><Relationship Id="rId367" Target="footer110.xml" Type="http://schemas.openxmlformats.org/officeDocument/2006/relationships/footer"/><Relationship Id="rId368" Target="footer111.xml" Type="http://schemas.openxmlformats.org/officeDocument/2006/relationships/footer"/><Relationship Id="rId369" Target="https://contrataciondelestado.es/wps/poc?uri=deeplink%3Adetalle_licitacion&amp;idEvl=n2Ss33rl5KadkQsA7R" TargetMode="External" Type="http://schemas.openxmlformats.org/officeDocument/2006/relationships/hyperlink"/><Relationship Id="rId37" Target="media/image9.png" Type="http://schemas.openxmlformats.org/officeDocument/2006/relationships/image"/><Relationship Id="rId370" Target="https://www.zaragoza.es/contenidos/movilidad/pdf/INDICE-INFORME_DIAGNOSTICO-" TargetMode="External" Type="http://schemas.openxmlformats.org/officeDocument/2006/relationships/hyperlink"/><Relationship Id="rId371" Target="numbering.xml" Type="http://schemas.openxmlformats.org/officeDocument/2006/relationships/numbering"/><Relationship Id="rId38" Target="media/image10.png" Type="http://schemas.openxmlformats.org/officeDocument/2006/relationships/image"/><Relationship Id="rId39" Target="media/image11.png" Type="http://schemas.openxmlformats.org/officeDocument/2006/relationships/image"/><Relationship Id="rId4" Target="settings.xml" Type="http://schemas.openxmlformats.org/officeDocument/2006/relationships/settings"/><Relationship Id="rId40" Target="media/image12.png" Type="http://schemas.openxmlformats.org/officeDocument/2006/relationships/image"/><Relationship Id="rId41" Target="media/image13.png" Type="http://schemas.openxmlformats.org/officeDocument/2006/relationships/image"/><Relationship Id="rId42" Target="media/image14.png" Type="http://schemas.openxmlformats.org/officeDocument/2006/relationships/image"/><Relationship Id="rId43" Target="media/image15.png" Type="http://schemas.openxmlformats.org/officeDocument/2006/relationships/image"/><Relationship Id="rId44" Target="media/image16.png" Type="http://schemas.openxmlformats.org/officeDocument/2006/relationships/image"/><Relationship Id="rId45" Target="media/image17.png" Type="http://schemas.openxmlformats.org/officeDocument/2006/relationships/image"/><Relationship Id="rId46" Target="media/image18.png" Type="http://schemas.openxmlformats.org/officeDocument/2006/relationships/image"/><Relationship Id="rId47" Target="media/image19.png" Type="http://schemas.openxmlformats.org/officeDocument/2006/relationships/image"/><Relationship Id="rId48" Target="file://aplica1-trib/Fiscali/4%20SUBDIRECCION%20TERCERA/TRANSPORTE%20COLECTIVO%20URBANO%20SOSTENIBLE/8%20Anteproyecto/Protocolo%20Regi&#195;&#179;n%20de%20Murcia%20con%20ayto%20Murcia.pdf" TargetMode="External" Type="http://schemas.openxmlformats.org/officeDocument/2006/relationships/hyperlink"/><Relationship Id="rId49" Target="file://aplica1-trib/Fiscali/4%20SUBDIRECCION%20TERCERA/6%20Tr&#195;&#161;mite/Documentos/Murcia/Documentaci&#195;&#179;n%20complementaria%20Isabel/Proyecto%20de%20Servicio%20Murcia%20V2%20-%20Copia%20autentica.pdf" TargetMode="External" Type="http://schemas.openxmlformats.org/officeDocument/2006/relationships/hyperlink"/><Relationship Id="rId5" Target="header1.xml" Type="http://schemas.openxmlformats.org/officeDocument/2006/relationships/header"/><Relationship Id="rId50" Target="media/image20.png" Type="http://schemas.openxmlformats.org/officeDocument/2006/relationships/image"/><Relationship Id="rId51" Target="media/image21.png" Type="http://schemas.openxmlformats.org/officeDocument/2006/relationships/image"/><Relationship Id="rId52" Target="media/image22.png" Type="http://schemas.openxmlformats.org/officeDocument/2006/relationships/image"/><Relationship Id="rId53" Target="media/image23.png" Type="http://schemas.openxmlformats.org/officeDocument/2006/relationships/image"/><Relationship Id="rId54" Target="media/image24.png" Type="http://schemas.openxmlformats.org/officeDocument/2006/relationships/image"/><Relationship Id="rId55" Target="media/image25.png" Type="http://schemas.openxmlformats.org/officeDocument/2006/relationships/image"/><Relationship Id="rId56" Target="media/image26.jpeg" Type="http://schemas.openxmlformats.org/officeDocument/2006/relationships/image"/><Relationship Id="rId57" Target="media/image27.png" Type="http://schemas.openxmlformats.org/officeDocument/2006/relationships/image"/><Relationship Id="rId58" Target="media/image28.jpeg" Type="http://schemas.openxmlformats.org/officeDocument/2006/relationships/image"/><Relationship Id="rId59" Target="header15.xml" Type="http://schemas.openxmlformats.org/officeDocument/2006/relationships/header"/><Relationship Id="rId6" Target="media/image2.png" Type="http://schemas.openxmlformats.org/officeDocument/2006/relationships/image"/><Relationship Id="rId60" Target="footer11.xml" Type="http://schemas.openxmlformats.org/officeDocument/2006/relationships/footer"/><Relationship Id="rId61" Target="media/image1.png" Type="http://schemas.openxmlformats.org/officeDocument/2006/relationships/image"/><Relationship Id="rId62" Target="header16.xml" Type="http://schemas.openxmlformats.org/officeDocument/2006/relationships/header"/><Relationship Id="rId63" Target="footer12.xml" Type="http://schemas.openxmlformats.org/officeDocument/2006/relationships/footer"/><Relationship Id="rId64" Target="header17.xml" Type="http://schemas.openxmlformats.org/officeDocument/2006/relationships/header"/><Relationship Id="rId65" Target="footer13.xml" Type="http://schemas.openxmlformats.org/officeDocument/2006/relationships/footer"/><Relationship Id="rId66" Target="header18.xml" Type="http://schemas.openxmlformats.org/officeDocument/2006/relationships/header"/><Relationship Id="rId67" Target="footer14.xml" Type="http://schemas.openxmlformats.org/officeDocument/2006/relationships/footer"/><Relationship Id="rId68" Target="header19.xml" Type="http://schemas.openxmlformats.org/officeDocument/2006/relationships/header"/><Relationship Id="rId69" Target="header20.xml" Type="http://schemas.openxmlformats.org/officeDocument/2006/relationships/header"/><Relationship Id="rId7" Target="header2.xml" Type="http://schemas.openxmlformats.org/officeDocument/2006/relationships/header"/><Relationship Id="rId70" Target="footer15.xml" Type="http://schemas.openxmlformats.org/officeDocument/2006/relationships/footer"/><Relationship Id="rId71" Target="footer16.xml" Type="http://schemas.openxmlformats.org/officeDocument/2006/relationships/footer"/><Relationship Id="rId72" Target="header21.xml" Type="http://schemas.openxmlformats.org/officeDocument/2006/relationships/header"/><Relationship Id="rId73" Target="header22.xml" Type="http://schemas.openxmlformats.org/officeDocument/2006/relationships/header"/><Relationship Id="rId74" Target="footer17.xml" Type="http://schemas.openxmlformats.org/officeDocument/2006/relationships/footer"/><Relationship Id="rId75" Target="footer18.xml" Type="http://schemas.openxmlformats.org/officeDocument/2006/relationships/footer"/><Relationship Id="rId76" Target="https://www.boe.es/diario_boe/txt.php?id=BOE-A-2023-26790" TargetMode="External" Type="http://schemas.openxmlformats.org/officeDocument/2006/relationships/hyperlink"/><Relationship Id="rId77" Target="header23.xml" Type="http://schemas.openxmlformats.org/officeDocument/2006/relationships/header"/><Relationship Id="rId78" Target="header24.xml" Type="http://schemas.openxmlformats.org/officeDocument/2006/relationships/header"/><Relationship Id="rId79" Target="footer19.xml" Type="http://schemas.openxmlformats.org/officeDocument/2006/relationships/footer"/><Relationship Id="rId8" Target="header3.xml" Type="http://schemas.openxmlformats.org/officeDocument/2006/relationships/header"/><Relationship Id="rId80" Target="footer20.xml" Type="http://schemas.openxmlformats.org/officeDocument/2006/relationships/footer"/><Relationship Id="rId81" Target="header25.xml" Type="http://schemas.openxmlformats.org/officeDocument/2006/relationships/header"/><Relationship Id="rId82" Target="header26.xml" Type="http://schemas.openxmlformats.org/officeDocument/2006/relationships/header"/><Relationship Id="rId83" Target="footer21.xml" Type="http://schemas.openxmlformats.org/officeDocument/2006/relationships/footer"/><Relationship Id="rId84" Target="footer22.xml" Type="http://schemas.openxmlformats.org/officeDocument/2006/relationships/footer"/><Relationship Id="rId85" Target="header27.xml" Type="http://schemas.openxmlformats.org/officeDocument/2006/relationships/header"/><Relationship Id="rId86" Target="header28.xml" Type="http://schemas.openxmlformats.org/officeDocument/2006/relationships/header"/><Relationship Id="rId87" Target="footer23.xml" Type="http://schemas.openxmlformats.org/officeDocument/2006/relationships/footer"/><Relationship Id="rId88" Target="footer24.xml" Type="http://schemas.openxmlformats.org/officeDocument/2006/relationships/footer"/><Relationship Id="rId89" Target="media/image29.png" Type="http://schemas.openxmlformats.org/officeDocument/2006/relationships/image"/><Relationship Id="rId9" Target="media/image3.png" Type="http://schemas.openxmlformats.org/officeDocument/2006/relationships/image"/><Relationship Id="rId90" Target="media/image30.png" Type="http://schemas.openxmlformats.org/officeDocument/2006/relationships/image"/><Relationship Id="rId91" Target="media/image31.png" Type="http://schemas.openxmlformats.org/officeDocument/2006/relationships/image"/><Relationship Id="rId92" Target="media/image32.png" Type="http://schemas.openxmlformats.org/officeDocument/2006/relationships/image"/><Relationship Id="rId93" Target="media/image33.png" Type="http://schemas.openxmlformats.org/officeDocument/2006/relationships/image"/><Relationship Id="rId94" Target="media/image34.png" Type="http://schemas.openxmlformats.org/officeDocument/2006/relationships/image"/><Relationship Id="rId95" Target="media/image35.png" Type="http://schemas.openxmlformats.org/officeDocument/2006/relationships/image"/><Relationship Id="rId96" Target="media/image36.png" Type="http://schemas.openxmlformats.org/officeDocument/2006/relationships/image"/><Relationship Id="rId97" Target="media/image37.png" Type="http://schemas.openxmlformats.org/officeDocument/2006/relationships/image"/><Relationship Id="rId98" Target="media/image38.png" Type="http://schemas.openxmlformats.org/officeDocument/2006/relationships/image"/><Relationship Id="rId99" Target="media/image39.png" Type="http://schemas.openxmlformats.org/officeDocument/2006/relationships/image"/></Relationships>
</file>

<file path=word/_rels/footer81.xml.rels><?xml version="1.0" encoding="UTF-8" standalone="no"?><Relationships xmlns="http://schemas.openxmlformats.org/package/2006/relationships"><Relationship Id="rId1" Target="media/image64.png" Type="http://schemas.openxmlformats.org/officeDocument/2006/relationships/image"/><Relationship Id="rId2" Target="media/image50.png" Type="http://schemas.openxmlformats.org/officeDocument/2006/relationships/image"/><Relationship Id="rId3" Target="media/image51.png" Type="http://schemas.openxmlformats.org/officeDocument/2006/relationships/image"/><Relationship Id="rId4" Target="media/image52.png" Type="http://schemas.openxmlformats.org/officeDocument/2006/relationships/image"/><Relationship Id="rId5" Target="media/image53.png" Type="http://schemas.openxmlformats.org/officeDocument/2006/relationships/image"/><Relationship Id="rId6" Target="media/image54.png" Type="http://schemas.openxmlformats.org/officeDocument/2006/relationships/image"/><Relationship Id="rId7" Target="media/image55.png" Type="http://schemas.openxmlformats.org/officeDocument/2006/relationships/image"/><Relationship Id="rId8" Target="media/image74.png" Type="http://schemas.openxmlformats.org/officeDocument/2006/relationships/image"/><Relationship Id="rId9" Target="https://valida.malaga.eu/verifirma/code" TargetMode="External" Type="http://schemas.openxmlformats.org/officeDocument/2006/relationships/hyperlink"/></Relationships>
</file>

<file path=word/_rels/footer83.xml.rels><?xml version="1.0" encoding="UTF-8" standalone="no"?><Relationships xmlns="http://schemas.openxmlformats.org/package/2006/relationships"><Relationship Id="rId1" Target="media/image64.png" Type="http://schemas.openxmlformats.org/officeDocument/2006/relationships/image"/><Relationship Id="rId2" Target="media/image50.png" Type="http://schemas.openxmlformats.org/officeDocument/2006/relationships/image"/><Relationship Id="rId3" Target="media/image51.png" Type="http://schemas.openxmlformats.org/officeDocument/2006/relationships/image"/><Relationship Id="rId4" Target="media/image52.png" Type="http://schemas.openxmlformats.org/officeDocument/2006/relationships/image"/><Relationship Id="rId5" Target="media/image53.png" Type="http://schemas.openxmlformats.org/officeDocument/2006/relationships/image"/><Relationship Id="rId6" Target="media/image54.png" Type="http://schemas.openxmlformats.org/officeDocument/2006/relationships/image"/><Relationship Id="rId7" Target="media/image55.png" Type="http://schemas.openxmlformats.org/officeDocument/2006/relationships/image"/><Relationship Id="rId8" Target="media/image76.png" Type="http://schemas.openxmlformats.org/officeDocument/2006/relationships/image"/><Relationship Id="rId9" Target="https://valida.malaga.eu/verifirma/code" TargetMode="External" Type="http://schemas.openxmlformats.org/officeDocument/2006/relationships/hyperlink"/></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_rels/header100.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01.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02.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03.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04.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05.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06.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07.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08.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09.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xml.rels><?xml version="1.0" encoding="UTF-8" standalone="no"?><Relationships xmlns="http://schemas.openxmlformats.org/package/2006/relationships"><Relationship Id="rId1" Target="media/image4.png" Type="http://schemas.openxmlformats.org/officeDocument/2006/relationships/image"/></Relationships>
</file>

<file path=word/_rels/header110.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1.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2.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3.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4.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5.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6.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7.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8.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19.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0.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1.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2.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3.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4.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5.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6.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7.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8.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29.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3.xml.rels><?xml version="1.0" encoding="UTF-8" standalone="no"?><Relationships xmlns="http://schemas.openxmlformats.org/package/2006/relationships"><Relationship Id="rId1" Target="media/image4.png" Type="http://schemas.openxmlformats.org/officeDocument/2006/relationships/image"/></Relationships>
</file>

<file path=word/_rels/header130.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31.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32.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33.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34.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35.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36.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37.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14.xml.rels><?xml version="1.0" encoding="UTF-8" standalone="no"?><Relationships xmlns="http://schemas.openxmlformats.org/package/2006/relationships"><Relationship Id="rId1" Target="media/image4.png" Type="http://schemas.openxmlformats.org/officeDocument/2006/relationships/image"/></Relationships>
</file>

<file path=word/_rels/header140.xml.rels><?xml version="1.0" encoding="UTF-8" standalone="no"?><Relationships xmlns="http://schemas.openxmlformats.org/package/2006/relationships"><Relationship Id="rId1" Target="media/image42.jpeg" Type="http://schemas.openxmlformats.org/officeDocument/2006/relationships/image"/></Relationships>
</file>

<file path=word/_rels/header141.xml.rels><?xml version="1.0" encoding="UTF-8" standalone="no"?><Relationships xmlns="http://schemas.openxmlformats.org/package/2006/relationships"><Relationship Id="rId1" Target="media/image42.jpeg" Type="http://schemas.openxmlformats.org/officeDocument/2006/relationships/image"/></Relationships>
</file>

<file path=word/_rels/header144.xml.rels><?xml version="1.0" encoding="UTF-8" standalone="no"?><Relationships xmlns="http://schemas.openxmlformats.org/package/2006/relationships"><Relationship Id="rId1" Target="media/image42.jpeg" Type="http://schemas.openxmlformats.org/officeDocument/2006/relationships/image"/></Relationships>
</file>

<file path=word/_rels/header145.xml.rels><?xml version="1.0" encoding="UTF-8" standalone="no"?><Relationships xmlns="http://schemas.openxmlformats.org/package/2006/relationships"><Relationship Id="rId1" Target="media/image42.jpeg" Type="http://schemas.openxmlformats.org/officeDocument/2006/relationships/image"/></Relationships>
</file>

<file path=word/_rels/header149.xml.rels><?xml version="1.0" encoding="UTF-8" standalone="no"?><Relationships xmlns="http://schemas.openxmlformats.org/package/2006/relationships"><Relationship Id="rId1" Target="media/image42.jpeg" Type="http://schemas.openxmlformats.org/officeDocument/2006/relationships/image"/></Relationships>
</file>

<file path=word/_rels/header150.xml.rels><?xml version="1.0" encoding="UTF-8" standalone="no"?><Relationships xmlns="http://schemas.openxmlformats.org/package/2006/relationships"><Relationship Id="rId1" Target="media/image42.jpeg" Type="http://schemas.openxmlformats.org/officeDocument/2006/relationships/image"/></Relationships>
</file>

<file path=word/_rels/header17.xml.rels><?xml version="1.0" encoding="UTF-8" standalone="no"?><Relationships xmlns="http://schemas.openxmlformats.org/package/2006/relationships"><Relationship Id="rId1" Target="media/image4.png" Type="http://schemas.openxmlformats.org/officeDocument/2006/relationships/image"/></Relationships>
</file>

<file path=word/_rels/header19.xml.rels><?xml version="1.0" encoding="UTF-8" standalone="no"?><Relationships xmlns="http://schemas.openxmlformats.org/package/2006/relationships"><Relationship Id="rId1" Target="media/image4.png" Type="http://schemas.openxmlformats.org/officeDocument/2006/relationships/image"/></Relationships>
</file>

<file path=word/_rels/header20.xml.rels><?xml version="1.0" encoding="UTF-8" standalone="no"?><Relationships xmlns="http://schemas.openxmlformats.org/package/2006/relationships"><Relationship Id="rId1" Target="media/image4.png" Type="http://schemas.openxmlformats.org/officeDocument/2006/relationships/image"/></Relationships>
</file>

<file path=word/_rels/header21.xml.rels><?xml version="1.0" encoding="UTF-8" standalone="no"?><Relationships xmlns="http://schemas.openxmlformats.org/package/2006/relationships"><Relationship Id="rId1" Target="media/image4.png" Type="http://schemas.openxmlformats.org/officeDocument/2006/relationships/image"/></Relationships>
</file>

<file path=word/_rels/header22.xml.rels><?xml version="1.0" encoding="UTF-8" standalone="no"?><Relationships xmlns="http://schemas.openxmlformats.org/package/2006/relationships"><Relationship Id="rId1" Target="media/image4.png" Type="http://schemas.openxmlformats.org/officeDocument/2006/relationships/image"/></Relationships>
</file>

<file path=word/_rels/header23.xml.rels><?xml version="1.0" encoding="UTF-8" standalone="no"?><Relationships xmlns="http://schemas.openxmlformats.org/package/2006/relationships"><Relationship Id="rId1" Target="media/image4.png" Type="http://schemas.openxmlformats.org/officeDocument/2006/relationships/image"/></Relationships>
</file>

<file path=word/_rels/header24.xml.rels><?xml version="1.0" encoding="UTF-8" standalone="no"?><Relationships xmlns="http://schemas.openxmlformats.org/package/2006/relationships"><Relationship Id="rId1" Target="media/image4.png" Type="http://schemas.openxmlformats.org/officeDocument/2006/relationships/image"/></Relationships>
</file>

<file path=word/_rels/header25.xml.rels><?xml version="1.0" encoding="UTF-8" standalone="no"?><Relationships xmlns="http://schemas.openxmlformats.org/package/2006/relationships"><Relationship Id="rId1" Target="media/image4.png" Type="http://schemas.openxmlformats.org/officeDocument/2006/relationships/image"/></Relationships>
</file>

<file path=word/_rels/header26.xml.rels><?xml version="1.0" encoding="UTF-8" standalone="no"?><Relationships xmlns="http://schemas.openxmlformats.org/package/2006/relationships"><Relationship Id="rId1" Target="media/image4.png" Type="http://schemas.openxmlformats.org/officeDocument/2006/relationships/image"/></Relationships>
</file>

<file path=word/_rels/header27.xml.rels><?xml version="1.0" encoding="UTF-8" standalone="no"?><Relationships xmlns="http://schemas.openxmlformats.org/package/2006/relationships"><Relationship Id="rId1" Target="media/image4.png" Type="http://schemas.openxmlformats.org/officeDocument/2006/relationships/image"/></Relationships>
</file>

<file path=word/_rels/header28.xml.rels><?xml version="1.0" encoding="UTF-8" standalone="no"?><Relationships xmlns="http://schemas.openxmlformats.org/package/2006/relationships"><Relationship Id="rId1" Target="media/image4.png" Type="http://schemas.openxmlformats.org/officeDocument/2006/relationships/image"/></Relationships>
</file>

<file path=word/_rels/header29.xml.rels><?xml version="1.0" encoding="UTF-8" standalone="no"?><Relationships xmlns="http://schemas.openxmlformats.org/package/2006/relationships"><Relationship Id="rId1" Target="media/image4.png" Type="http://schemas.openxmlformats.org/officeDocument/2006/relationships/image"/></Relationships>
</file>

<file path=word/_rels/header3.xml.rels><?xml version="1.0" encoding="UTF-8" standalone="no"?><Relationships xmlns="http://schemas.openxmlformats.org/package/2006/relationships"><Relationship Id="rId1" Target="media/image1.png" Type="http://schemas.openxmlformats.org/officeDocument/2006/relationships/image"/></Relationships>
</file>

<file path=word/_rels/header30.xml.rels><?xml version="1.0" encoding="UTF-8" standalone="no"?><Relationships xmlns="http://schemas.openxmlformats.org/package/2006/relationships"><Relationship Id="rId1" Target="media/image4.png" Type="http://schemas.openxmlformats.org/officeDocument/2006/relationships/image"/></Relationships>
</file>

<file path=word/_rels/header31.xml.rels><?xml version="1.0" encoding="UTF-8" standalone="no"?><Relationships xmlns="http://schemas.openxmlformats.org/package/2006/relationships"><Relationship Id="rId1" Target="media/image4.png" Type="http://schemas.openxmlformats.org/officeDocument/2006/relationships/image"/></Relationships>
</file>

<file path=word/_rels/header32.xml.rels><?xml version="1.0" encoding="UTF-8" standalone="no"?><Relationships xmlns="http://schemas.openxmlformats.org/package/2006/relationships"><Relationship Id="rId1" Target="media/image4.png" Type="http://schemas.openxmlformats.org/officeDocument/2006/relationships/image"/></Relationships>
</file>

<file path=word/_rels/header33.xml.rels><?xml version="1.0" encoding="UTF-8" standalone="no"?><Relationships xmlns="http://schemas.openxmlformats.org/package/2006/relationships"><Relationship Id="rId1" Target="media/image4.png" Type="http://schemas.openxmlformats.org/officeDocument/2006/relationships/image"/></Relationships>
</file>

<file path=word/_rels/header34.xml.rels><?xml version="1.0" encoding="UTF-8" standalone="no"?><Relationships xmlns="http://schemas.openxmlformats.org/package/2006/relationships"><Relationship Id="rId1" Target="media/image4.png" Type="http://schemas.openxmlformats.org/officeDocument/2006/relationships/image"/></Relationships>
</file>

<file path=word/_rels/header35.xml.rels><?xml version="1.0" encoding="UTF-8" standalone="no"?><Relationships xmlns="http://schemas.openxmlformats.org/package/2006/relationships"><Relationship Id="rId1" Target="media/image4.png" Type="http://schemas.openxmlformats.org/officeDocument/2006/relationships/image"/></Relationships>
</file>

<file path=word/_rels/header36.xml.rels><?xml version="1.0" encoding="UTF-8" standalone="no"?><Relationships xmlns="http://schemas.openxmlformats.org/package/2006/relationships"><Relationship Id="rId1" Target="media/image4.png" Type="http://schemas.openxmlformats.org/officeDocument/2006/relationships/image"/></Relationships>
</file>

<file path=word/_rels/header37.xml.rels><?xml version="1.0" encoding="UTF-8" standalone="no"?><Relationships xmlns="http://schemas.openxmlformats.org/package/2006/relationships"><Relationship Id="rId1" Target="media/image4.png" Type="http://schemas.openxmlformats.org/officeDocument/2006/relationships/image"/></Relationships>
</file>

<file path=word/_rels/header38.xml.rels><?xml version="1.0" encoding="UTF-8" standalone="no"?><Relationships xmlns="http://schemas.openxmlformats.org/package/2006/relationships"><Relationship Id="rId1" Target="media/image4.png" Type="http://schemas.openxmlformats.org/officeDocument/2006/relationships/image"/></Relationships>
</file>

<file path=word/_rels/header39.xml.rels><?xml version="1.0" encoding="UTF-8" standalone="no"?><Relationships xmlns="http://schemas.openxmlformats.org/package/2006/relationships"><Relationship Id="rId1" Target="media/image4.png" Type="http://schemas.openxmlformats.org/officeDocument/2006/relationships/image"/></Relationships>
</file>

<file path=word/_rels/header40.xml.rels><?xml version="1.0" encoding="UTF-8" standalone="no"?><Relationships xmlns="http://schemas.openxmlformats.org/package/2006/relationships"><Relationship Id="rId1" Target="media/image4.png" Type="http://schemas.openxmlformats.org/officeDocument/2006/relationships/image"/></Relationships>
</file>

<file path=word/_rels/header41.xml.rels><?xml version="1.0" encoding="UTF-8" standalone="no"?><Relationships xmlns="http://schemas.openxmlformats.org/package/2006/relationships"><Relationship Id="rId1" Target="media/image4.png" Type="http://schemas.openxmlformats.org/officeDocument/2006/relationships/image"/></Relationships>
</file>

<file path=word/_rels/header42.xml.rels><?xml version="1.0" encoding="UTF-8" standalone="no"?><Relationships xmlns="http://schemas.openxmlformats.org/package/2006/relationships"><Relationship Id="rId1" Target="media/image4.png" Type="http://schemas.openxmlformats.org/officeDocument/2006/relationships/image"/></Relationships>
</file>

<file path=word/_rels/header47.xml.rels><?xml version="1.0" encoding="UTF-8" standalone="no"?><Relationships xmlns="http://schemas.openxmlformats.org/package/2006/relationships"><Relationship Id="rId1" Target="media/image4.png" Type="http://schemas.openxmlformats.org/officeDocument/2006/relationships/image"/></Relationships>
</file>

<file path=word/_rels/header49.xml.rels><?xml version="1.0" encoding="UTF-8" standalone="no"?><Relationships xmlns="http://schemas.openxmlformats.org/package/2006/relationships"><Relationship Id="rId1" Target="media/image4.png" Type="http://schemas.openxmlformats.org/officeDocument/2006/relationships/image"/></Relationships>
</file>

<file path=word/_rels/header54.xml.rels><?xml version="1.0" encoding="UTF-8" standalone="no"?><Relationships xmlns="http://schemas.openxmlformats.org/package/2006/relationships"><Relationship Id="rId1" Target="media/image42.jpeg" Type="http://schemas.openxmlformats.org/officeDocument/2006/relationships/image"/></Relationships>
</file>

<file path=word/_rels/header57.xml.rels><?xml version="1.0" encoding="UTF-8" standalone="no"?><Relationships xmlns="http://schemas.openxmlformats.org/package/2006/relationships"><Relationship Id="rId1" Target="media/image42.jpeg" Type="http://schemas.openxmlformats.org/officeDocument/2006/relationships/image"/></Relationships>
</file>

<file path=word/_rels/header58.xml.rels><?xml version="1.0" encoding="UTF-8" standalone="no"?><Relationships xmlns="http://schemas.openxmlformats.org/package/2006/relationships"><Relationship Id="rId1" Target="media/image42.jpeg" Type="http://schemas.openxmlformats.org/officeDocument/2006/relationships/image"/></Relationships>
</file>

<file path=word/_rels/header59.xml.rels><?xml version="1.0" encoding="UTF-8" standalone="no"?><Relationships xmlns="http://schemas.openxmlformats.org/package/2006/relationships"><Relationship Id="rId1" Target="media/image42.jpeg" Type="http://schemas.openxmlformats.org/officeDocument/2006/relationships/image"/></Relationships>
</file>

<file path=word/_rels/header6.xml.rels><?xml version="1.0" encoding="UTF-8" standalone="no"?><Relationships xmlns="http://schemas.openxmlformats.org/package/2006/relationships"><Relationship Id="rId1" Target="media/image4.png" Type="http://schemas.openxmlformats.org/officeDocument/2006/relationships/image"/></Relationships>
</file>

<file path=word/_rels/header60.xml.rels><?xml version="1.0" encoding="UTF-8" standalone="no"?><Relationships xmlns="http://schemas.openxmlformats.org/package/2006/relationships"><Relationship Id="rId1" Target="media/image42.jpeg" Type="http://schemas.openxmlformats.org/officeDocument/2006/relationships/image"/></Relationships>
</file>

<file path=word/_rels/header63.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64.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65.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66.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67.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68.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69.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xml.rels><?xml version="1.0" encoding="UTF-8" standalone="no"?><Relationships xmlns="http://schemas.openxmlformats.org/package/2006/relationships"><Relationship Id="rId1" Target="media/image4.png" Type="http://schemas.openxmlformats.org/officeDocument/2006/relationships/image"/></Relationships>
</file>

<file path=word/_rels/header70.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1.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2.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3.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4.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5.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6.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7.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8.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79.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0.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1.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2.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3.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4.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5.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6.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7.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8.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89.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xml.rels><?xml version="1.0" encoding="UTF-8" standalone="no"?><Relationships xmlns="http://schemas.openxmlformats.org/package/2006/relationships"><Relationship Id="rId1" Target="media/image4.png" Type="http://schemas.openxmlformats.org/officeDocument/2006/relationships/image"/></Relationships>
</file>

<file path=word/_rels/header90.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1.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2.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3.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4.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5.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6.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7.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8.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_rels/header99.xml.rels><?xml version="1.0" encoding="UTF-8" standalone="no"?><Relationships xmlns="http://schemas.openxmlformats.org/package/2006/relationships"><Relationship Id="rId1" Target="media/image45.png" Type="http://schemas.openxmlformats.org/officeDocument/2006/relationships/image"/><Relationship Id="rId2" Target="media/image46.png" Type="http://schemas.openxmlformats.org/officeDocument/2006/relationships/image"/><Relationship Id="rId3" Target="media/image47.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
  <TotalTime>0</TotalTime>
  <Application/>
  <DocSecurity>0</DocSecurity>
  <ScaleCrop>false</ScaleCrop>
  <LinksUpToDate>false</LinksUpToDate>
  <SharedDoc>false</SharedDoc>
  <HyperlinksChanged>false</HyperlinksChanged>
  <AppVersion>12.0000</AppVersion>
  <Company/>
  <Manager/>
</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

<file path=docProps/custom.xml><?xml version="1.0" encoding="utf-8"?>
<Properties xmlns="http://schemas.openxmlformats.org/officeDocument/2006/custom-properties" xmlns:vt="http://schemas.openxmlformats.org/officeDocument/2006/docPropsVTypes"/>
</file>